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780" w:rsidRPr="004A0CF0" w:rsidRDefault="00286780" w:rsidP="004A0CF0">
      <w:pPr>
        <w:tabs>
          <w:tab w:val="left" w:pos="6840"/>
          <w:tab w:val="left" w:pos="7200"/>
          <w:tab w:val="left" w:pos="7560"/>
        </w:tabs>
        <w:jc w:val="center"/>
        <w:rPr>
          <w:sz w:val="28"/>
          <w:szCs w:val="28"/>
        </w:rPr>
      </w:pPr>
      <w:r w:rsidRPr="004A0CF0">
        <w:rPr>
          <w:sz w:val="28"/>
          <w:szCs w:val="28"/>
        </w:rPr>
        <w:t>Федеральное государственное бюджетное образовательное учреждение высшего образования «Курский государственный медицинский университет»</w:t>
      </w:r>
    </w:p>
    <w:p w:rsidR="00286780" w:rsidRDefault="00286780" w:rsidP="004A0CF0">
      <w:pPr>
        <w:tabs>
          <w:tab w:val="left" w:pos="6840"/>
          <w:tab w:val="left" w:pos="7200"/>
          <w:tab w:val="left" w:pos="7560"/>
        </w:tabs>
        <w:jc w:val="center"/>
        <w:rPr>
          <w:sz w:val="28"/>
          <w:szCs w:val="28"/>
        </w:rPr>
      </w:pPr>
      <w:r w:rsidRPr="004A0CF0">
        <w:rPr>
          <w:sz w:val="28"/>
          <w:szCs w:val="28"/>
        </w:rPr>
        <w:t>Министерства здравоохранения Российской Федерации</w:t>
      </w:r>
    </w:p>
    <w:p w:rsidR="00286780" w:rsidRDefault="00286780" w:rsidP="00AC3119">
      <w:pPr>
        <w:tabs>
          <w:tab w:val="left" w:pos="6840"/>
          <w:tab w:val="left" w:pos="7200"/>
          <w:tab w:val="left" w:pos="7560"/>
        </w:tabs>
        <w:jc w:val="center"/>
        <w:rPr>
          <w:sz w:val="28"/>
          <w:szCs w:val="28"/>
        </w:rPr>
      </w:pPr>
    </w:p>
    <w:p w:rsidR="00286780" w:rsidRDefault="00286780" w:rsidP="0096651F">
      <w:pPr>
        <w:tabs>
          <w:tab w:val="left" w:pos="6840"/>
          <w:tab w:val="left" w:pos="7200"/>
          <w:tab w:val="left" w:pos="7560"/>
        </w:tabs>
        <w:jc w:val="center"/>
        <w:rPr>
          <w:color w:val="000000"/>
          <w:sz w:val="28"/>
          <w:szCs w:val="28"/>
          <w:lang w:eastAsia="en-US"/>
        </w:rPr>
      </w:pPr>
    </w:p>
    <w:p w:rsidR="00286780" w:rsidRDefault="00286780" w:rsidP="0096651F">
      <w:pPr>
        <w:tabs>
          <w:tab w:val="left" w:pos="6840"/>
          <w:tab w:val="left" w:pos="7200"/>
          <w:tab w:val="left" w:pos="7560"/>
        </w:tabs>
        <w:jc w:val="center"/>
        <w:rPr>
          <w:color w:val="000000"/>
          <w:sz w:val="28"/>
          <w:szCs w:val="28"/>
          <w:lang w:eastAsia="en-US"/>
        </w:rPr>
      </w:pPr>
    </w:p>
    <w:p w:rsidR="00286780" w:rsidRPr="000C36D4" w:rsidRDefault="00286780" w:rsidP="0096651F">
      <w:pPr>
        <w:tabs>
          <w:tab w:val="left" w:pos="6840"/>
          <w:tab w:val="left" w:pos="7200"/>
          <w:tab w:val="left" w:pos="7560"/>
        </w:tabs>
        <w:jc w:val="center"/>
        <w:rPr>
          <w:color w:val="000000"/>
          <w:sz w:val="28"/>
          <w:szCs w:val="28"/>
          <w:lang w:eastAsia="en-US"/>
        </w:rPr>
      </w:pPr>
    </w:p>
    <w:p w:rsidR="00286780" w:rsidRPr="00C31BFA" w:rsidRDefault="00286780" w:rsidP="0096651F">
      <w:pPr>
        <w:tabs>
          <w:tab w:val="left" w:pos="6840"/>
          <w:tab w:val="left" w:pos="7200"/>
          <w:tab w:val="left" w:pos="7560"/>
        </w:tabs>
        <w:jc w:val="right"/>
        <w:rPr>
          <w:sz w:val="28"/>
          <w:szCs w:val="28"/>
          <w:lang w:eastAsia="en-US"/>
        </w:rPr>
      </w:pPr>
      <w:r w:rsidRPr="00C31BFA">
        <w:rPr>
          <w:sz w:val="28"/>
          <w:szCs w:val="28"/>
          <w:lang w:eastAsia="en-US"/>
        </w:rPr>
        <w:t>На правах рукописи</w:t>
      </w:r>
    </w:p>
    <w:p w:rsidR="00286780" w:rsidRPr="009D0E77" w:rsidRDefault="00286780" w:rsidP="0096651F">
      <w:pPr>
        <w:tabs>
          <w:tab w:val="left" w:pos="6840"/>
          <w:tab w:val="left" w:pos="7200"/>
          <w:tab w:val="left" w:pos="7560"/>
        </w:tabs>
        <w:jc w:val="center"/>
        <w:rPr>
          <w:color w:val="000000"/>
          <w:sz w:val="28"/>
          <w:szCs w:val="28"/>
          <w:lang w:eastAsia="en-US"/>
        </w:rPr>
      </w:pPr>
    </w:p>
    <w:p w:rsidR="00286780" w:rsidRPr="009D0E77" w:rsidRDefault="00286780" w:rsidP="0096651F">
      <w:pPr>
        <w:tabs>
          <w:tab w:val="left" w:pos="6840"/>
          <w:tab w:val="left" w:pos="7200"/>
          <w:tab w:val="left" w:pos="7560"/>
        </w:tabs>
        <w:jc w:val="center"/>
        <w:rPr>
          <w:color w:val="000000"/>
          <w:sz w:val="28"/>
          <w:szCs w:val="28"/>
          <w:lang w:eastAsia="en-US"/>
        </w:rPr>
      </w:pPr>
    </w:p>
    <w:p w:rsidR="00286780" w:rsidRPr="009D0E77" w:rsidRDefault="00286780" w:rsidP="0096651F">
      <w:pPr>
        <w:tabs>
          <w:tab w:val="left" w:pos="6840"/>
          <w:tab w:val="left" w:pos="7200"/>
          <w:tab w:val="left" w:pos="7560"/>
        </w:tabs>
        <w:jc w:val="center"/>
        <w:rPr>
          <w:color w:val="000000"/>
          <w:sz w:val="28"/>
          <w:szCs w:val="28"/>
          <w:lang w:eastAsia="en-US"/>
        </w:rPr>
      </w:pPr>
    </w:p>
    <w:p w:rsidR="00286780" w:rsidRPr="00616D88" w:rsidRDefault="00286780" w:rsidP="0096651F">
      <w:pPr>
        <w:tabs>
          <w:tab w:val="left" w:pos="6840"/>
          <w:tab w:val="left" w:pos="7200"/>
          <w:tab w:val="left" w:pos="7560"/>
        </w:tabs>
        <w:jc w:val="center"/>
        <w:rPr>
          <w:color w:val="000000"/>
          <w:sz w:val="32"/>
          <w:szCs w:val="32"/>
          <w:lang w:eastAsia="en-US"/>
        </w:rPr>
      </w:pPr>
    </w:p>
    <w:p w:rsidR="00286780" w:rsidRPr="00BC05A2" w:rsidRDefault="00286780" w:rsidP="00BC05A2">
      <w:pPr>
        <w:tabs>
          <w:tab w:val="left" w:pos="6840"/>
          <w:tab w:val="left" w:pos="7200"/>
          <w:tab w:val="left" w:pos="7560"/>
        </w:tabs>
        <w:jc w:val="center"/>
        <w:rPr>
          <w:b/>
          <w:sz w:val="32"/>
          <w:szCs w:val="32"/>
        </w:rPr>
      </w:pPr>
    </w:p>
    <w:p w:rsidR="00286780" w:rsidRPr="00616D88" w:rsidRDefault="00286780" w:rsidP="00BC05A2">
      <w:pPr>
        <w:tabs>
          <w:tab w:val="left" w:pos="6840"/>
          <w:tab w:val="left" w:pos="7200"/>
          <w:tab w:val="left" w:pos="7560"/>
        </w:tabs>
        <w:jc w:val="center"/>
        <w:rPr>
          <w:b/>
          <w:sz w:val="32"/>
          <w:szCs w:val="32"/>
        </w:rPr>
      </w:pPr>
      <w:r>
        <w:rPr>
          <w:b/>
          <w:sz w:val="32"/>
          <w:szCs w:val="32"/>
        </w:rPr>
        <w:t xml:space="preserve">ГРОМОВ </w:t>
      </w:r>
      <w:r w:rsidRPr="004A0CF0">
        <w:rPr>
          <w:b/>
          <w:sz w:val="32"/>
          <w:szCs w:val="32"/>
        </w:rPr>
        <w:t>Александр Леонидович</w:t>
      </w:r>
    </w:p>
    <w:p w:rsidR="00286780" w:rsidRPr="00616D88" w:rsidRDefault="00286780" w:rsidP="006B32E0">
      <w:pPr>
        <w:tabs>
          <w:tab w:val="left" w:pos="6840"/>
          <w:tab w:val="left" w:pos="7200"/>
          <w:tab w:val="left" w:pos="7560"/>
        </w:tabs>
        <w:jc w:val="center"/>
        <w:rPr>
          <w:sz w:val="28"/>
          <w:szCs w:val="28"/>
        </w:rPr>
      </w:pPr>
    </w:p>
    <w:p w:rsidR="00286780" w:rsidRPr="00616D88" w:rsidRDefault="00286780" w:rsidP="006B32E0">
      <w:pPr>
        <w:tabs>
          <w:tab w:val="left" w:pos="6840"/>
          <w:tab w:val="left" w:pos="7200"/>
          <w:tab w:val="left" w:pos="7560"/>
        </w:tabs>
        <w:jc w:val="center"/>
        <w:rPr>
          <w:sz w:val="28"/>
          <w:szCs w:val="28"/>
          <w:lang w:eastAsia="en-US"/>
        </w:rPr>
      </w:pPr>
    </w:p>
    <w:p w:rsidR="00286780" w:rsidRDefault="00286780" w:rsidP="00555678">
      <w:pPr>
        <w:tabs>
          <w:tab w:val="left" w:pos="6840"/>
          <w:tab w:val="left" w:pos="7200"/>
          <w:tab w:val="left" w:pos="7560"/>
        </w:tabs>
        <w:jc w:val="center"/>
        <w:rPr>
          <w:b/>
          <w:sz w:val="32"/>
          <w:szCs w:val="32"/>
        </w:rPr>
      </w:pPr>
      <w:r w:rsidRPr="004A0CF0">
        <w:rPr>
          <w:b/>
          <w:sz w:val="32"/>
          <w:szCs w:val="32"/>
        </w:rPr>
        <w:t>ХИРУРГИЧЕСКИЕ ОСЛОЖНЕНИЯ ОДОНТОГЕННОЙ ИНФЕКЦИИ У БОЛЬНЫХ С ПОЛИОРГАННОЙ ФОНОВОЙ ПАТОЛОГИЕЙ И СИНДРОМОМ ВЗАИМНОГО ОТЯГОЩЕНИЯ</w:t>
      </w:r>
    </w:p>
    <w:p w:rsidR="00286780" w:rsidRPr="004A0CF0" w:rsidRDefault="00286780" w:rsidP="00555678">
      <w:pPr>
        <w:tabs>
          <w:tab w:val="left" w:pos="6840"/>
          <w:tab w:val="left" w:pos="7200"/>
          <w:tab w:val="left" w:pos="7560"/>
        </w:tabs>
        <w:jc w:val="center"/>
        <w:rPr>
          <w:color w:val="000000"/>
          <w:sz w:val="28"/>
          <w:szCs w:val="28"/>
          <w:lang w:eastAsia="en-US"/>
        </w:rPr>
      </w:pPr>
    </w:p>
    <w:p w:rsidR="00286780" w:rsidRPr="00616D88" w:rsidRDefault="00286780" w:rsidP="00555678">
      <w:pPr>
        <w:tabs>
          <w:tab w:val="left" w:pos="6840"/>
          <w:tab w:val="left" w:pos="7200"/>
          <w:tab w:val="left" w:pos="7560"/>
        </w:tabs>
        <w:jc w:val="center"/>
        <w:rPr>
          <w:color w:val="000000"/>
          <w:sz w:val="28"/>
          <w:szCs w:val="28"/>
          <w:lang w:eastAsia="en-US"/>
        </w:rPr>
      </w:pPr>
    </w:p>
    <w:p w:rsidR="00807D20" w:rsidRPr="00807D20" w:rsidRDefault="00286780" w:rsidP="00807D20">
      <w:pPr>
        <w:tabs>
          <w:tab w:val="left" w:pos="6840"/>
          <w:tab w:val="left" w:pos="7200"/>
          <w:tab w:val="left" w:pos="7560"/>
        </w:tabs>
        <w:jc w:val="center"/>
        <w:rPr>
          <w:color w:val="000000"/>
          <w:sz w:val="32"/>
          <w:szCs w:val="32"/>
          <w:lang w:eastAsia="en-US"/>
        </w:rPr>
      </w:pPr>
      <w:r w:rsidRPr="004B1FEC">
        <w:rPr>
          <w:color w:val="FFFFFF"/>
          <w:sz w:val="32"/>
          <w:szCs w:val="32"/>
          <w:lang w:eastAsia="en-US"/>
        </w:rPr>
        <w:t>"</w:t>
      </w:r>
      <w:r w:rsidR="00807D20" w:rsidRPr="00807D20">
        <w:rPr>
          <w:color w:val="000000"/>
          <w:sz w:val="32"/>
          <w:szCs w:val="32"/>
          <w:lang w:eastAsia="en-US"/>
        </w:rPr>
        <w:t>3.1.7 – стоматология</w:t>
      </w:r>
    </w:p>
    <w:p w:rsidR="00286780" w:rsidRDefault="00807D20" w:rsidP="00807D20">
      <w:pPr>
        <w:tabs>
          <w:tab w:val="left" w:pos="6840"/>
          <w:tab w:val="left" w:pos="7200"/>
          <w:tab w:val="left" w:pos="7560"/>
        </w:tabs>
        <w:jc w:val="center"/>
        <w:rPr>
          <w:sz w:val="28"/>
          <w:szCs w:val="28"/>
          <w:lang w:eastAsia="en-US"/>
        </w:rPr>
      </w:pPr>
      <w:r w:rsidRPr="00807D20">
        <w:rPr>
          <w:color w:val="000000"/>
          <w:sz w:val="32"/>
          <w:szCs w:val="32"/>
          <w:lang w:eastAsia="en-US"/>
        </w:rPr>
        <w:t>3.1.9 – хирургия</w:t>
      </w:r>
    </w:p>
    <w:p w:rsidR="00286780" w:rsidRDefault="00286780" w:rsidP="00555678">
      <w:pPr>
        <w:tabs>
          <w:tab w:val="left" w:pos="6840"/>
          <w:tab w:val="left" w:pos="7200"/>
          <w:tab w:val="left" w:pos="7560"/>
        </w:tabs>
        <w:jc w:val="center"/>
        <w:rPr>
          <w:sz w:val="28"/>
          <w:szCs w:val="28"/>
          <w:lang w:eastAsia="en-US"/>
        </w:rPr>
      </w:pPr>
    </w:p>
    <w:p w:rsidR="00286780" w:rsidRPr="000C36D4" w:rsidRDefault="00286780" w:rsidP="0096651F">
      <w:pPr>
        <w:tabs>
          <w:tab w:val="left" w:pos="6840"/>
          <w:tab w:val="left" w:pos="7200"/>
          <w:tab w:val="left" w:pos="7560"/>
        </w:tabs>
        <w:jc w:val="center"/>
        <w:rPr>
          <w:sz w:val="28"/>
          <w:szCs w:val="28"/>
          <w:lang w:eastAsia="en-US"/>
        </w:rPr>
      </w:pPr>
      <w:r w:rsidRPr="000C36D4">
        <w:rPr>
          <w:sz w:val="28"/>
          <w:szCs w:val="28"/>
          <w:lang w:eastAsia="en-US"/>
        </w:rPr>
        <w:t xml:space="preserve">Диссертация </w:t>
      </w:r>
    </w:p>
    <w:p w:rsidR="00286780" w:rsidRPr="000C36D4" w:rsidRDefault="00286780" w:rsidP="0096651F">
      <w:pPr>
        <w:tabs>
          <w:tab w:val="left" w:pos="6840"/>
          <w:tab w:val="left" w:pos="7200"/>
          <w:tab w:val="left" w:pos="7560"/>
        </w:tabs>
        <w:jc w:val="center"/>
        <w:rPr>
          <w:sz w:val="28"/>
          <w:szCs w:val="28"/>
          <w:lang w:eastAsia="en-US"/>
        </w:rPr>
      </w:pPr>
      <w:r w:rsidRPr="000C36D4">
        <w:rPr>
          <w:sz w:val="28"/>
          <w:szCs w:val="28"/>
          <w:lang w:eastAsia="en-US"/>
        </w:rPr>
        <w:t>на соискание ученой степени</w:t>
      </w:r>
    </w:p>
    <w:p w:rsidR="00286780" w:rsidRDefault="00286780" w:rsidP="00BE5F19">
      <w:pPr>
        <w:tabs>
          <w:tab w:val="left" w:pos="6840"/>
          <w:tab w:val="left" w:pos="7200"/>
          <w:tab w:val="left" w:pos="7560"/>
        </w:tabs>
        <w:jc w:val="center"/>
        <w:rPr>
          <w:color w:val="000000"/>
          <w:sz w:val="28"/>
          <w:szCs w:val="28"/>
          <w:lang w:eastAsia="en-US"/>
        </w:rPr>
      </w:pPr>
      <w:r w:rsidRPr="004A0CF0">
        <w:rPr>
          <w:sz w:val="28"/>
          <w:szCs w:val="28"/>
          <w:lang w:eastAsia="en-US"/>
        </w:rPr>
        <w:t>доктора</w:t>
      </w:r>
      <w:r>
        <w:rPr>
          <w:sz w:val="28"/>
          <w:szCs w:val="28"/>
          <w:lang w:eastAsia="en-US"/>
        </w:rPr>
        <w:t xml:space="preserve"> </w:t>
      </w:r>
      <w:r w:rsidRPr="00A35A5F">
        <w:rPr>
          <w:sz w:val="28"/>
          <w:szCs w:val="28"/>
          <w:lang w:eastAsia="en-US"/>
        </w:rPr>
        <w:t xml:space="preserve">медицинских </w:t>
      </w:r>
      <w:r w:rsidRPr="00555678">
        <w:rPr>
          <w:sz w:val="28"/>
          <w:szCs w:val="28"/>
          <w:lang w:eastAsia="en-US"/>
        </w:rPr>
        <w:t>наук</w:t>
      </w:r>
    </w:p>
    <w:p w:rsidR="00286780" w:rsidRDefault="00286780" w:rsidP="00BE5F19">
      <w:pPr>
        <w:tabs>
          <w:tab w:val="left" w:pos="6840"/>
          <w:tab w:val="left" w:pos="7200"/>
          <w:tab w:val="left" w:pos="7560"/>
        </w:tabs>
        <w:jc w:val="center"/>
        <w:rPr>
          <w:color w:val="000000"/>
          <w:sz w:val="28"/>
          <w:szCs w:val="28"/>
          <w:lang w:eastAsia="en-US"/>
        </w:rPr>
      </w:pPr>
    </w:p>
    <w:p w:rsidR="00286780" w:rsidRDefault="00286780" w:rsidP="00BE5F19">
      <w:pPr>
        <w:tabs>
          <w:tab w:val="left" w:pos="6840"/>
          <w:tab w:val="left" w:pos="7200"/>
          <w:tab w:val="left" w:pos="7560"/>
        </w:tabs>
        <w:jc w:val="center"/>
        <w:rPr>
          <w:color w:val="000000"/>
          <w:sz w:val="28"/>
          <w:szCs w:val="28"/>
          <w:lang w:eastAsia="en-US"/>
        </w:rPr>
      </w:pPr>
    </w:p>
    <w:p w:rsidR="00286780" w:rsidRDefault="00286780" w:rsidP="00BE5F19">
      <w:pPr>
        <w:tabs>
          <w:tab w:val="left" w:pos="6840"/>
          <w:tab w:val="left" w:pos="7200"/>
          <w:tab w:val="left" w:pos="7560"/>
        </w:tabs>
        <w:jc w:val="center"/>
        <w:rPr>
          <w:color w:val="000000"/>
          <w:sz w:val="28"/>
          <w:szCs w:val="28"/>
          <w:lang w:eastAsia="en-US"/>
        </w:rPr>
      </w:pPr>
    </w:p>
    <w:p w:rsidR="00286780" w:rsidRDefault="00286780" w:rsidP="00BE5F19">
      <w:pPr>
        <w:tabs>
          <w:tab w:val="left" w:pos="6840"/>
          <w:tab w:val="left" w:pos="7200"/>
          <w:tab w:val="left" w:pos="7560"/>
        </w:tabs>
        <w:jc w:val="center"/>
        <w:rPr>
          <w:color w:val="000000"/>
          <w:sz w:val="28"/>
          <w:szCs w:val="28"/>
          <w:lang w:eastAsia="en-US"/>
        </w:rPr>
      </w:pPr>
    </w:p>
    <w:tbl>
      <w:tblPr>
        <w:tblW w:w="0" w:type="auto"/>
        <w:jc w:val="right"/>
        <w:tblLook w:val="00A0" w:firstRow="1" w:lastRow="0" w:firstColumn="1" w:lastColumn="0" w:noHBand="0" w:noVBand="0"/>
      </w:tblPr>
      <w:tblGrid>
        <w:gridCol w:w="5028"/>
      </w:tblGrid>
      <w:tr w:rsidR="00286780" w:rsidRPr="00B8286D" w:rsidTr="00AC3119">
        <w:trPr>
          <w:jc w:val="right"/>
        </w:trPr>
        <w:tc>
          <w:tcPr>
            <w:tcW w:w="5028" w:type="dxa"/>
          </w:tcPr>
          <w:p w:rsidR="00286780" w:rsidRDefault="00286780" w:rsidP="00B8286D">
            <w:pPr>
              <w:tabs>
                <w:tab w:val="left" w:pos="6840"/>
                <w:tab w:val="left" w:pos="7200"/>
                <w:tab w:val="left" w:pos="7560"/>
              </w:tabs>
              <w:rPr>
                <w:color w:val="000000"/>
                <w:sz w:val="28"/>
                <w:szCs w:val="28"/>
                <w:lang w:eastAsia="en-US"/>
              </w:rPr>
            </w:pPr>
            <w:r w:rsidRPr="00B8286D">
              <w:rPr>
                <w:color w:val="000000"/>
                <w:sz w:val="28"/>
                <w:szCs w:val="28"/>
                <w:lang w:eastAsia="en-US"/>
              </w:rPr>
              <w:t>Научны</w:t>
            </w:r>
            <w:r>
              <w:rPr>
                <w:color w:val="000000"/>
                <w:sz w:val="28"/>
                <w:szCs w:val="28"/>
                <w:lang w:eastAsia="en-US"/>
              </w:rPr>
              <w:t>е консультанты</w:t>
            </w:r>
            <w:r w:rsidRPr="00B8286D">
              <w:rPr>
                <w:color w:val="000000"/>
                <w:sz w:val="28"/>
                <w:szCs w:val="28"/>
                <w:lang w:eastAsia="en-US"/>
              </w:rPr>
              <w:t>:</w:t>
            </w:r>
          </w:p>
          <w:p w:rsidR="00E46BA2" w:rsidRDefault="00E46BA2" w:rsidP="00E46BA2">
            <w:pPr>
              <w:tabs>
                <w:tab w:val="left" w:pos="6840"/>
                <w:tab w:val="left" w:pos="7200"/>
                <w:tab w:val="left" w:pos="7560"/>
              </w:tabs>
              <w:rPr>
                <w:b/>
                <w:color w:val="000000"/>
                <w:sz w:val="28"/>
                <w:szCs w:val="28"/>
                <w:lang w:eastAsia="en-US"/>
              </w:rPr>
            </w:pPr>
            <w:r>
              <w:rPr>
                <w:b/>
                <w:color w:val="000000"/>
                <w:sz w:val="28"/>
                <w:szCs w:val="28"/>
                <w:lang w:eastAsia="en-US"/>
              </w:rPr>
              <w:t>Губин Михаил Аркадь</w:t>
            </w:r>
            <w:r w:rsidRPr="004A0CF0">
              <w:rPr>
                <w:b/>
                <w:color w:val="000000"/>
                <w:sz w:val="28"/>
                <w:szCs w:val="28"/>
                <w:lang w:eastAsia="en-US"/>
              </w:rPr>
              <w:t>евич</w:t>
            </w:r>
          </w:p>
          <w:p w:rsidR="00E46BA2" w:rsidRDefault="00E46BA2" w:rsidP="00E46BA2">
            <w:pPr>
              <w:tabs>
                <w:tab w:val="left" w:pos="6840"/>
                <w:tab w:val="left" w:pos="7200"/>
                <w:tab w:val="left" w:pos="7560"/>
              </w:tabs>
              <w:rPr>
                <w:b/>
                <w:color w:val="000000"/>
                <w:sz w:val="28"/>
                <w:szCs w:val="28"/>
                <w:lang w:eastAsia="en-US"/>
              </w:rPr>
            </w:pPr>
            <w:r w:rsidRPr="00CA5B18">
              <w:rPr>
                <w:color w:val="000000"/>
                <w:sz w:val="28"/>
                <w:szCs w:val="28"/>
                <w:lang w:eastAsia="en-US"/>
              </w:rPr>
              <w:t>доктор медицинских</w:t>
            </w:r>
            <w:r>
              <w:rPr>
                <w:color w:val="000000"/>
                <w:sz w:val="28"/>
                <w:szCs w:val="28"/>
                <w:lang w:eastAsia="en-US"/>
              </w:rPr>
              <w:t xml:space="preserve"> наук, профессор</w:t>
            </w:r>
            <w:r>
              <w:rPr>
                <w:b/>
                <w:color w:val="000000"/>
                <w:sz w:val="28"/>
                <w:szCs w:val="28"/>
                <w:lang w:eastAsia="en-US"/>
              </w:rPr>
              <w:t>;</w:t>
            </w:r>
          </w:p>
          <w:p w:rsidR="00E46BA2" w:rsidRPr="00B8286D" w:rsidRDefault="00E46BA2" w:rsidP="00E46BA2">
            <w:pPr>
              <w:tabs>
                <w:tab w:val="left" w:pos="6840"/>
                <w:tab w:val="left" w:pos="7200"/>
                <w:tab w:val="left" w:pos="7560"/>
              </w:tabs>
              <w:rPr>
                <w:color w:val="000000"/>
                <w:sz w:val="28"/>
                <w:szCs w:val="28"/>
                <w:lang w:eastAsia="en-US"/>
              </w:rPr>
            </w:pPr>
            <w:r>
              <w:rPr>
                <w:b/>
                <w:color w:val="000000"/>
                <w:sz w:val="28"/>
                <w:szCs w:val="28"/>
                <w:lang w:eastAsia="en-US"/>
              </w:rPr>
              <w:t xml:space="preserve">Иванов </w:t>
            </w:r>
            <w:r w:rsidRPr="004A0CF0">
              <w:rPr>
                <w:b/>
                <w:color w:val="000000"/>
                <w:sz w:val="28"/>
                <w:szCs w:val="28"/>
                <w:lang w:eastAsia="en-US"/>
              </w:rPr>
              <w:t>Сергей Викторович</w:t>
            </w:r>
            <w:r>
              <w:rPr>
                <w:b/>
                <w:color w:val="000000"/>
                <w:sz w:val="28"/>
                <w:szCs w:val="28"/>
                <w:lang w:eastAsia="en-US"/>
              </w:rPr>
              <w:t>,</w:t>
            </w:r>
          </w:p>
          <w:p w:rsidR="00E46BA2" w:rsidRDefault="00E46BA2" w:rsidP="00E46BA2">
            <w:pPr>
              <w:tabs>
                <w:tab w:val="left" w:pos="6840"/>
                <w:tab w:val="left" w:pos="7200"/>
                <w:tab w:val="left" w:pos="7560"/>
              </w:tabs>
              <w:rPr>
                <w:b/>
                <w:color w:val="000000"/>
                <w:sz w:val="28"/>
                <w:szCs w:val="28"/>
                <w:lang w:eastAsia="en-US"/>
              </w:rPr>
            </w:pPr>
            <w:r w:rsidRPr="00CA5B18">
              <w:rPr>
                <w:color w:val="000000"/>
                <w:sz w:val="28"/>
                <w:szCs w:val="28"/>
                <w:lang w:eastAsia="en-US"/>
              </w:rPr>
              <w:t>доктор медицинских</w:t>
            </w:r>
            <w:r>
              <w:rPr>
                <w:color w:val="000000"/>
                <w:sz w:val="28"/>
                <w:szCs w:val="28"/>
                <w:lang w:eastAsia="en-US"/>
              </w:rPr>
              <w:t xml:space="preserve"> наук, профессор</w:t>
            </w:r>
          </w:p>
          <w:p w:rsidR="00286780" w:rsidRPr="00B8286D" w:rsidRDefault="00286780" w:rsidP="00E46BA2">
            <w:pPr>
              <w:tabs>
                <w:tab w:val="left" w:pos="6840"/>
                <w:tab w:val="left" w:pos="7200"/>
                <w:tab w:val="left" w:pos="7560"/>
              </w:tabs>
              <w:rPr>
                <w:b/>
                <w:color w:val="000000"/>
                <w:sz w:val="28"/>
                <w:szCs w:val="28"/>
                <w:lang w:eastAsia="en-US"/>
              </w:rPr>
            </w:pPr>
          </w:p>
        </w:tc>
      </w:tr>
    </w:tbl>
    <w:p w:rsidR="00286780" w:rsidRDefault="00286780" w:rsidP="0096651F">
      <w:pPr>
        <w:tabs>
          <w:tab w:val="left" w:pos="6840"/>
          <w:tab w:val="left" w:pos="7200"/>
          <w:tab w:val="left" w:pos="7560"/>
        </w:tabs>
        <w:jc w:val="center"/>
        <w:rPr>
          <w:color w:val="000000"/>
          <w:sz w:val="28"/>
          <w:szCs w:val="28"/>
          <w:lang w:eastAsia="en-US"/>
        </w:rPr>
      </w:pPr>
    </w:p>
    <w:p w:rsidR="00286780" w:rsidRDefault="00286780" w:rsidP="0096651F">
      <w:pPr>
        <w:tabs>
          <w:tab w:val="left" w:pos="6840"/>
          <w:tab w:val="left" w:pos="7200"/>
          <w:tab w:val="left" w:pos="7560"/>
        </w:tabs>
        <w:jc w:val="center"/>
        <w:rPr>
          <w:color w:val="000000"/>
          <w:sz w:val="28"/>
          <w:szCs w:val="28"/>
          <w:lang w:eastAsia="en-US"/>
        </w:rPr>
      </w:pPr>
    </w:p>
    <w:p w:rsidR="00286780" w:rsidRDefault="00286780" w:rsidP="0096651F">
      <w:pPr>
        <w:tabs>
          <w:tab w:val="left" w:pos="6840"/>
          <w:tab w:val="left" w:pos="7200"/>
          <w:tab w:val="left" w:pos="7560"/>
        </w:tabs>
        <w:jc w:val="center"/>
        <w:rPr>
          <w:color w:val="000000"/>
          <w:sz w:val="28"/>
          <w:szCs w:val="28"/>
          <w:lang w:eastAsia="en-US"/>
        </w:rPr>
      </w:pPr>
    </w:p>
    <w:p w:rsidR="00286780" w:rsidRDefault="00286780" w:rsidP="0096651F">
      <w:pPr>
        <w:tabs>
          <w:tab w:val="left" w:pos="6840"/>
          <w:tab w:val="left" w:pos="7200"/>
          <w:tab w:val="left" w:pos="7560"/>
        </w:tabs>
        <w:jc w:val="center"/>
        <w:rPr>
          <w:color w:val="000000"/>
          <w:sz w:val="28"/>
          <w:szCs w:val="28"/>
          <w:lang w:eastAsia="en-US"/>
        </w:rPr>
      </w:pPr>
    </w:p>
    <w:p w:rsidR="00286780" w:rsidRDefault="00286780" w:rsidP="0096651F">
      <w:pPr>
        <w:tabs>
          <w:tab w:val="left" w:pos="6840"/>
          <w:tab w:val="left" w:pos="7200"/>
          <w:tab w:val="left" w:pos="7560"/>
        </w:tabs>
        <w:jc w:val="center"/>
        <w:rPr>
          <w:color w:val="000000"/>
          <w:sz w:val="28"/>
          <w:szCs w:val="28"/>
          <w:lang w:eastAsia="en-US"/>
        </w:rPr>
      </w:pPr>
      <w:r>
        <w:rPr>
          <w:color w:val="000000"/>
          <w:sz w:val="28"/>
          <w:szCs w:val="28"/>
          <w:lang w:eastAsia="en-US"/>
        </w:rPr>
        <w:t xml:space="preserve">Курск – </w:t>
      </w:r>
      <w:r w:rsidRPr="00F9488A">
        <w:rPr>
          <w:color w:val="000000"/>
          <w:sz w:val="28"/>
          <w:szCs w:val="28"/>
          <w:lang w:eastAsia="en-US"/>
        </w:rPr>
        <w:t>20</w:t>
      </w:r>
      <w:r>
        <w:rPr>
          <w:color w:val="000000"/>
          <w:sz w:val="28"/>
          <w:szCs w:val="28"/>
          <w:lang w:eastAsia="en-US"/>
        </w:rPr>
        <w:t>21</w:t>
      </w:r>
    </w:p>
    <w:p w:rsidR="00286780" w:rsidRDefault="00286780" w:rsidP="000C36D4">
      <w:pPr>
        <w:jc w:val="center"/>
        <w:rPr>
          <w:sz w:val="28"/>
          <w:szCs w:val="28"/>
          <w:lang w:eastAsia="en-US"/>
        </w:rPr>
      </w:pPr>
    </w:p>
    <w:p w:rsidR="00286780" w:rsidRDefault="00286780" w:rsidP="000C36D4">
      <w:pPr>
        <w:jc w:val="center"/>
        <w:rPr>
          <w:sz w:val="28"/>
          <w:szCs w:val="28"/>
          <w:lang w:eastAsia="en-US"/>
        </w:rPr>
        <w:sectPr w:rsidR="00286780" w:rsidSect="0005387D">
          <w:footerReference w:type="default" r:id="rId8"/>
          <w:footnotePr>
            <w:pos w:val="beneathText"/>
            <w:numRestart w:val="eachPage"/>
          </w:footnotePr>
          <w:pgSz w:w="11906" w:h="16838"/>
          <w:pgMar w:top="1134" w:right="567" w:bottom="1134" w:left="1418" w:header="706" w:footer="706" w:gutter="0"/>
          <w:cols w:space="708"/>
          <w:titlePg/>
          <w:docGrid w:linePitch="360"/>
        </w:sectPr>
      </w:pPr>
    </w:p>
    <w:p w:rsidR="00286780" w:rsidRPr="00C53F13" w:rsidRDefault="00286780" w:rsidP="000C36D4">
      <w:pPr>
        <w:jc w:val="center"/>
        <w:rPr>
          <w:b/>
          <w:sz w:val="28"/>
          <w:szCs w:val="28"/>
          <w:lang w:eastAsia="en-US"/>
        </w:rPr>
      </w:pPr>
      <w:r w:rsidRPr="00C53F13">
        <w:rPr>
          <w:b/>
          <w:sz w:val="28"/>
          <w:szCs w:val="28"/>
          <w:lang w:eastAsia="en-US"/>
        </w:rPr>
        <w:lastRenderedPageBreak/>
        <w:t>ОГЛАВЛЕНИЕ</w:t>
      </w:r>
    </w:p>
    <w:p w:rsidR="00286780" w:rsidRPr="00C53F13" w:rsidRDefault="00286780" w:rsidP="00C53F13">
      <w:pPr>
        <w:pStyle w:val="13"/>
        <w:jc w:val="both"/>
        <w:rPr>
          <w:b w:val="0"/>
        </w:rPr>
      </w:pPr>
      <w:r w:rsidRPr="00C53F13">
        <w:t>ВВЕДЕНИЕ</w:t>
      </w:r>
      <w:r>
        <w:rPr>
          <w:b w:val="0"/>
        </w:rPr>
        <w:tab/>
        <w:t>5</w:t>
      </w:r>
    </w:p>
    <w:p w:rsidR="00286780" w:rsidRPr="00C53F13" w:rsidRDefault="00286780" w:rsidP="00C53F13">
      <w:pPr>
        <w:pStyle w:val="13"/>
        <w:jc w:val="both"/>
        <w:rPr>
          <w:b w:val="0"/>
        </w:rPr>
      </w:pPr>
      <w:r w:rsidRPr="00C53F13">
        <w:t>Глава 1. ОБЗОР ЛИТЕРАТУРЫ</w:t>
      </w:r>
      <w:r w:rsidR="008F7D55">
        <w:rPr>
          <w:b w:val="0"/>
        </w:rPr>
        <w:tab/>
        <w:t>15</w:t>
      </w:r>
    </w:p>
    <w:p w:rsidR="00286780" w:rsidRPr="00C53F13" w:rsidRDefault="00286780" w:rsidP="00C53F13">
      <w:pPr>
        <w:pStyle w:val="13"/>
        <w:jc w:val="both"/>
        <w:rPr>
          <w:b w:val="0"/>
        </w:rPr>
      </w:pPr>
      <w:r w:rsidRPr="00C53F13">
        <w:rPr>
          <w:b w:val="0"/>
        </w:rPr>
        <w:t xml:space="preserve">1.1. Статистика и систематика одонтогенных воспалительных заболеваний с учетом фоновой соматической патологии и </w:t>
      </w:r>
      <w:r w:rsidR="008F7D55">
        <w:rPr>
          <w:b w:val="0"/>
        </w:rPr>
        <w:t>синдрома взаимного отягощения</w:t>
      </w:r>
      <w:r w:rsidR="008F7D55">
        <w:rPr>
          <w:b w:val="0"/>
        </w:rPr>
        <w:tab/>
        <w:t>15</w:t>
      </w:r>
    </w:p>
    <w:p w:rsidR="00286780" w:rsidRPr="00C53F13" w:rsidRDefault="00286780" w:rsidP="00C53F13">
      <w:pPr>
        <w:pStyle w:val="13"/>
        <w:jc w:val="both"/>
        <w:rPr>
          <w:b w:val="0"/>
        </w:rPr>
      </w:pPr>
      <w:r w:rsidRPr="00C53F13">
        <w:rPr>
          <w:b w:val="0"/>
        </w:rPr>
        <w:t>1.2. Полиорганные полиморбидные фоновые заболевания как общемедицинская проблема и как частная проблема у больных с одонтогенными воспалительными процессами.</w:t>
      </w:r>
      <w:r w:rsidR="008F7D55">
        <w:rPr>
          <w:b w:val="0"/>
        </w:rPr>
        <w:t xml:space="preserve"> Синдром взаимного отягощения</w:t>
      </w:r>
      <w:r w:rsidR="008F7D55">
        <w:rPr>
          <w:b w:val="0"/>
        </w:rPr>
        <w:tab/>
        <w:t>19</w:t>
      </w:r>
    </w:p>
    <w:p w:rsidR="00286780" w:rsidRPr="00C53F13" w:rsidRDefault="00286780" w:rsidP="00C53F13">
      <w:pPr>
        <w:pStyle w:val="13"/>
        <w:jc w:val="both"/>
        <w:rPr>
          <w:b w:val="0"/>
        </w:rPr>
      </w:pPr>
      <w:r w:rsidRPr="00C53F13">
        <w:rPr>
          <w:b w:val="0"/>
        </w:rPr>
        <w:t>1.3. Классификация одонтогенных воспалительных процессов с учетом полиорганной фоновой патологии и синдрома взаимного отягощения. Критерии диаг</w:t>
      </w:r>
      <w:r w:rsidR="008F7D55">
        <w:rPr>
          <w:b w:val="0"/>
        </w:rPr>
        <w:t>ностики одонтогенного сепсиса</w:t>
      </w:r>
      <w:r w:rsidR="008F7D55">
        <w:rPr>
          <w:b w:val="0"/>
        </w:rPr>
        <w:tab/>
        <w:t>26</w:t>
      </w:r>
    </w:p>
    <w:p w:rsidR="00286780" w:rsidRPr="00C53F13" w:rsidRDefault="00286780" w:rsidP="00C53F13">
      <w:pPr>
        <w:pStyle w:val="13"/>
        <w:jc w:val="both"/>
        <w:rPr>
          <w:b w:val="0"/>
        </w:rPr>
      </w:pPr>
      <w:r w:rsidRPr="00C53F13">
        <w:rPr>
          <w:b w:val="0"/>
        </w:rPr>
        <w:t xml:space="preserve">1.4. Этиология и патогенез острых воспалительных заболеваний челюстно-лицевой области с учетом фоновой полиорганной патологии и </w:t>
      </w:r>
      <w:r w:rsidR="008F7D55">
        <w:rPr>
          <w:b w:val="0"/>
        </w:rPr>
        <w:t>синдрома взаимного отягощения</w:t>
      </w:r>
      <w:r w:rsidR="008F7D55">
        <w:rPr>
          <w:b w:val="0"/>
        </w:rPr>
        <w:tab/>
        <w:t>31</w:t>
      </w:r>
    </w:p>
    <w:p w:rsidR="00286780" w:rsidRPr="00C53F13" w:rsidRDefault="00286780" w:rsidP="00C53F13">
      <w:pPr>
        <w:pStyle w:val="13"/>
        <w:jc w:val="both"/>
        <w:rPr>
          <w:b w:val="0"/>
        </w:rPr>
      </w:pPr>
      <w:r w:rsidRPr="00C53F13">
        <w:rPr>
          <w:b w:val="0"/>
        </w:rPr>
        <w:t xml:space="preserve">1.5. Клинико-лабораторная характеристика, диагностика, общие закономерности и особенности клинической картины острых одонтогенных воспалительных заболеваний челюстно-лицевой области при наличии полиорганной фоновой патологии и </w:t>
      </w:r>
      <w:r w:rsidR="008F7D55">
        <w:rPr>
          <w:b w:val="0"/>
        </w:rPr>
        <w:t>синдрома взаимного отягощения</w:t>
      </w:r>
      <w:r w:rsidR="008F7D55">
        <w:rPr>
          <w:b w:val="0"/>
        </w:rPr>
        <w:tab/>
        <w:t>37</w:t>
      </w:r>
    </w:p>
    <w:p w:rsidR="00286780" w:rsidRDefault="00286780" w:rsidP="00C53F13">
      <w:pPr>
        <w:pStyle w:val="13"/>
        <w:jc w:val="both"/>
        <w:rPr>
          <w:b w:val="0"/>
        </w:rPr>
      </w:pPr>
      <w:r w:rsidRPr="00C53F13">
        <w:rPr>
          <w:b w:val="0"/>
        </w:rPr>
        <w:t xml:space="preserve">1.6. Лечение пациентов с одонтогенными воспалительными заболеваниями челюстно-лицевой области при наличии полиорганной фоновой патологии и </w:t>
      </w:r>
      <w:r w:rsidR="008F7D55">
        <w:rPr>
          <w:b w:val="0"/>
        </w:rPr>
        <w:t>синдрома взаимного отягощения</w:t>
      </w:r>
      <w:r w:rsidR="008F7D55">
        <w:rPr>
          <w:b w:val="0"/>
        </w:rPr>
        <w:tab/>
        <w:t>48</w:t>
      </w:r>
    </w:p>
    <w:p w:rsidR="00286780" w:rsidRDefault="00286780" w:rsidP="002B711E">
      <w:pPr>
        <w:spacing w:before="240"/>
        <w:rPr>
          <w:b/>
          <w:sz w:val="28"/>
          <w:szCs w:val="28"/>
        </w:rPr>
      </w:pPr>
      <w:r>
        <w:rPr>
          <w:b/>
          <w:sz w:val="28"/>
          <w:szCs w:val="28"/>
        </w:rPr>
        <w:t>Глава 2. МАТЕРИАЛЫ И</w:t>
      </w:r>
      <w:r w:rsidR="008F7D55">
        <w:rPr>
          <w:b/>
          <w:sz w:val="28"/>
          <w:szCs w:val="28"/>
        </w:rPr>
        <w:t xml:space="preserve"> МЕТОДЫ ИССЛЕДОВАНИЯ……………….…….66</w:t>
      </w:r>
    </w:p>
    <w:p w:rsidR="00286780" w:rsidRDefault="00286780" w:rsidP="002B711E">
      <w:pPr>
        <w:spacing w:before="240"/>
        <w:rPr>
          <w:sz w:val="28"/>
          <w:szCs w:val="28"/>
        </w:rPr>
      </w:pPr>
      <w:r>
        <w:rPr>
          <w:sz w:val="28"/>
          <w:szCs w:val="28"/>
        </w:rPr>
        <w:t xml:space="preserve">2.1 </w:t>
      </w:r>
      <w:r w:rsidRPr="00542E27">
        <w:rPr>
          <w:sz w:val="28"/>
          <w:szCs w:val="28"/>
        </w:rPr>
        <w:t xml:space="preserve">Материалы </w:t>
      </w:r>
      <w:r>
        <w:rPr>
          <w:sz w:val="28"/>
          <w:szCs w:val="28"/>
        </w:rPr>
        <w:t>исслед</w:t>
      </w:r>
      <w:r w:rsidR="008F7D55">
        <w:rPr>
          <w:sz w:val="28"/>
          <w:szCs w:val="28"/>
        </w:rPr>
        <w:t>ования……………………………………...…………………66</w:t>
      </w:r>
    </w:p>
    <w:p w:rsidR="00286780" w:rsidRPr="00243E84" w:rsidRDefault="00286780" w:rsidP="00243E84">
      <w:pPr>
        <w:spacing w:before="240" w:line="360" w:lineRule="auto"/>
        <w:rPr>
          <w:sz w:val="28"/>
          <w:szCs w:val="28"/>
        </w:rPr>
      </w:pPr>
      <w:r w:rsidRPr="00243E84">
        <w:rPr>
          <w:sz w:val="28"/>
          <w:szCs w:val="28"/>
        </w:rPr>
        <w:t>2.2 Методы лабораторного и инструментального обследования………………...</w:t>
      </w:r>
      <w:r w:rsidR="008F7D55">
        <w:rPr>
          <w:sz w:val="28"/>
          <w:szCs w:val="28"/>
        </w:rPr>
        <w:t>102</w:t>
      </w:r>
    </w:p>
    <w:p w:rsidR="00286780" w:rsidRDefault="00286780" w:rsidP="00243E84">
      <w:pPr>
        <w:pStyle w:val="31"/>
        <w:spacing w:line="360" w:lineRule="auto"/>
        <w:jc w:val="both"/>
        <w:rPr>
          <w:b w:val="0"/>
          <w:i w:val="0"/>
        </w:rPr>
      </w:pPr>
      <w:r w:rsidRPr="00243E84">
        <w:rPr>
          <w:b w:val="0"/>
          <w:i w:val="0"/>
        </w:rPr>
        <w:t>2.3 Методы статистической обработки данных</w:t>
      </w:r>
      <w:r w:rsidR="008F7D55">
        <w:rPr>
          <w:b w:val="0"/>
          <w:i w:val="0"/>
        </w:rPr>
        <w:t>…………………………………...104</w:t>
      </w:r>
    </w:p>
    <w:p w:rsidR="00C55ECF" w:rsidRPr="00C55ECF" w:rsidRDefault="00C55ECF" w:rsidP="00C55ECF">
      <w:pPr>
        <w:rPr>
          <w:b/>
          <w:sz w:val="28"/>
          <w:szCs w:val="28"/>
          <w:lang w:eastAsia="en-US"/>
        </w:rPr>
      </w:pPr>
      <w:r w:rsidRPr="00C55ECF">
        <w:rPr>
          <w:b/>
          <w:sz w:val="28"/>
          <w:szCs w:val="28"/>
          <w:lang w:eastAsia="en-US"/>
        </w:rPr>
        <w:t>ОСНОВНАЯ ЧАСТЬ</w:t>
      </w:r>
      <w:r w:rsidR="008F7D55">
        <w:rPr>
          <w:b/>
          <w:sz w:val="28"/>
          <w:szCs w:val="28"/>
          <w:lang w:eastAsia="en-US"/>
        </w:rPr>
        <w:t>………………………………………………………………106</w:t>
      </w:r>
    </w:p>
    <w:p w:rsidR="00286780" w:rsidRPr="00C53F13" w:rsidRDefault="00286780" w:rsidP="00C53F13">
      <w:pPr>
        <w:pStyle w:val="13"/>
        <w:jc w:val="both"/>
        <w:rPr>
          <w:b w:val="0"/>
        </w:rPr>
      </w:pPr>
      <w:r w:rsidRPr="00C53F13">
        <w:t>Г</w:t>
      </w:r>
      <w:r>
        <w:t>лава 3</w:t>
      </w:r>
      <w:r w:rsidRPr="00C53F13">
        <w:t>. ПЕРВЫЙ БЛОК ИССЛЕДОВАНИЙ</w:t>
      </w:r>
      <w:r w:rsidR="008F7D55">
        <w:rPr>
          <w:b w:val="0"/>
        </w:rPr>
        <w:tab/>
        <w:t>106</w:t>
      </w:r>
    </w:p>
    <w:p w:rsidR="00286780" w:rsidRPr="00C53F13" w:rsidRDefault="00286780" w:rsidP="00C53F13">
      <w:pPr>
        <w:pStyle w:val="13"/>
        <w:jc w:val="both"/>
        <w:rPr>
          <w:b w:val="0"/>
        </w:rPr>
      </w:pPr>
      <w:r>
        <w:rPr>
          <w:b w:val="0"/>
        </w:rPr>
        <w:t>3</w:t>
      </w:r>
      <w:r w:rsidRPr="00C53F13">
        <w:rPr>
          <w:b w:val="0"/>
        </w:rPr>
        <w:t xml:space="preserve">.1. Общая характеристика одонтогенных воспалительных процессов. Структура хронической </w:t>
      </w:r>
      <w:r w:rsidR="008F7D55">
        <w:rPr>
          <w:b w:val="0"/>
        </w:rPr>
        <w:t>патологии внутренних органов</w:t>
      </w:r>
      <w:r w:rsidR="008F7D55">
        <w:rPr>
          <w:b w:val="0"/>
        </w:rPr>
        <w:tab/>
        <w:t>106</w:t>
      </w:r>
    </w:p>
    <w:p w:rsidR="00286780" w:rsidRPr="00C53F13" w:rsidRDefault="00286780" w:rsidP="00C53F13">
      <w:pPr>
        <w:pStyle w:val="13"/>
        <w:jc w:val="both"/>
        <w:rPr>
          <w:b w:val="0"/>
        </w:rPr>
      </w:pPr>
      <w:r>
        <w:rPr>
          <w:b w:val="0"/>
        </w:rPr>
        <w:t>3</w:t>
      </w:r>
      <w:r w:rsidRPr="00C53F13">
        <w:rPr>
          <w:b w:val="0"/>
        </w:rPr>
        <w:t xml:space="preserve">.2. Клинико-лабораторная характеристика местной формы одонтогенной инфекции, развивающейся на фоне хронической </w:t>
      </w:r>
      <w:r>
        <w:rPr>
          <w:b w:val="0"/>
        </w:rPr>
        <w:t>патологии внутренних органов</w:t>
      </w:r>
      <w:r>
        <w:rPr>
          <w:b w:val="0"/>
        </w:rPr>
        <w:tab/>
      </w:r>
      <w:r w:rsidR="008F7D55">
        <w:rPr>
          <w:b w:val="0"/>
        </w:rPr>
        <w:t>108</w:t>
      </w:r>
    </w:p>
    <w:p w:rsidR="00286780" w:rsidRPr="00C53F13" w:rsidRDefault="00286780" w:rsidP="00C53F13">
      <w:pPr>
        <w:pStyle w:val="13"/>
        <w:jc w:val="both"/>
        <w:rPr>
          <w:b w:val="0"/>
        </w:rPr>
      </w:pPr>
      <w:r w:rsidRPr="00C53F13">
        <w:rPr>
          <w:b w:val="0"/>
        </w:rPr>
        <w:t>Клинико-лабораторная характеристика МФОИ на фоне патологи</w:t>
      </w:r>
      <w:r w:rsidR="008F7D55">
        <w:rPr>
          <w:b w:val="0"/>
        </w:rPr>
        <w:t xml:space="preserve"> сердечно-сосудистой системы</w:t>
      </w:r>
      <w:r w:rsidR="008F7D55">
        <w:rPr>
          <w:b w:val="0"/>
        </w:rPr>
        <w:tab/>
        <w:t>108</w:t>
      </w:r>
    </w:p>
    <w:p w:rsidR="00286780" w:rsidRPr="00C53F13" w:rsidRDefault="00286780" w:rsidP="00C53F13">
      <w:pPr>
        <w:pStyle w:val="13"/>
        <w:jc w:val="both"/>
        <w:rPr>
          <w:b w:val="0"/>
        </w:rPr>
      </w:pPr>
      <w:r w:rsidRPr="00C53F13">
        <w:rPr>
          <w:b w:val="0"/>
        </w:rPr>
        <w:lastRenderedPageBreak/>
        <w:t>Клинико-лабораторная характеристика местной формы одонтогенной инфекции на фоне п</w:t>
      </w:r>
      <w:r w:rsidR="00B03763">
        <w:rPr>
          <w:b w:val="0"/>
        </w:rPr>
        <w:t>атологии дыхательной системы</w:t>
      </w:r>
      <w:r w:rsidR="00B03763">
        <w:rPr>
          <w:b w:val="0"/>
        </w:rPr>
        <w:tab/>
        <w:t>121</w:t>
      </w:r>
    </w:p>
    <w:p w:rsidR="00286780" w:rsidRDefault="00286780" w:rsidP="00C53F13">
      <w:pPr>
        <w:pStyle w:val="13"/>
        <w:jc w:val="both"/>
        <w:rPr>
          <w:b w:val="0"/>
        </w:rPr>
      </w:pPr>
      <w:r w:rsidRPr="00C53F13">
        <w:rPr>
          <w:b w:val="0"/>
        </w:rPr>
        <w:t>Клинико-лабораторная характеристика местной формы одонтогенной инфекции на фоне патологии эндокринн</w:t>
      </w:r>
      <w:r w:rsidR="00B03763">
        <w:rPr>
          <w:b w:val="0"/>
        </w:rPr>
        <w:t>ой системы (сахарный диабет)</w:t>
      </w:r>
      <w:r w:rsidR="00B03763">
        <w:rPr>
          <w:b w:val="0"/>
        </w:rPr>
        <w:tab/>
        <w:t>130</w:t>
      </w:r>
    </w:p>
    <w:p w:rsidR="00286780" w:rsidRPr="00C53F13" w:rsidRDefault="00286780" w:rsidP="00C53F13">
      <w:pPr>
        <w:pStyle w:val="13"/>
        <w:jc w:val="both"/>
        <w:rPr>
          <w:b w:val="0"/>
        </w:rPr>
      </w:pPr>
      <w:r w:rsidRPr="00C53F13">
        <w:rPr>
          <w:b w:val="0"/>
        </w:rPr>
        <w:t>Клинико-лабораторная характеристика МФОИ на фоне патологии пищеварительной системы и печени (в том числе, при наличии хронических инфекционных заболеваний), патолог</w:t>
      </w:r>
      <w:r w:rsidR="00B03763">
        <w:rPr>
          <w:b w:val="0"/>
        </w:rPr>
        <w:t>ии мочевыделительной системы</w:t>
      </w:r>
      <w:r w:rsidR="00B03763">
        <w:rPr>
          <w:b w:val="0"/>
        </w:rPr>
        <w:tab/>
        <w:t>136</w:t>
      </w:r>
    </w:p>
    <w:p w:rsidR="00286780" w:rsidRPr="00C53F13" w:rsidRDefault="00286780" w:rsidP="00C53F13">
      <w:pPr>
        <w:pStyle w:val="13"/>
        <w:jc w:val="both"/>
        <w:rPr>
          <w:b w:val="0"/>
        </w:rPr>
      </w:pPr>
      <w:r w:rsidRPr="00C53F13">
        <w:rPr>
          <w:b w:val="0"/>
        </w:rPr>
        <w:t xml:space="preserve">Иммунологическая характеристика местной формы одонтогенной инфекции с учетом хронической </w:t>
      </w:r>
      <w:r w:rsidR="00B03763">
        <w:rPr>
          <w:b w:val="0"/>
        </w:rPr>
        <w:t>патологии внутренних органов</w:t>
      </w:r>
      <w:r w:rsidR="00B03763">
        <w:rPr>
          <w:b w:val="0"/>
        </w:rPr>
        <w:tab/>
        <w:t>138</w:t>
      </w:r>
    </w:p>
    <w:p w:rsidR="00286780" w:rsidRPr="00C53F13" w:rsidRDefault="00286780" w:rsidP="00C53F13">
      <w:pPr>
        <w:pStyle w:val="13"/>
        <w:jc w:val="both"/>
        <w:rPr>
          <w:b w:val="0"/>
        </w:rPr>
      </w:pPr>
      <w:r w:rsidRPr="00C53F13">
        <w:rPr>
          <w:b w:val="0"/>
        </w:rPr>
        <w:t>Местная форма одонтогенной инфекции при наличии хронической со</w:t>
      </w:r>
      <w:r w:rsidR="00B03763">
        <w:rPr>
          <w:b w:val="0"/>
        </w:rPr>
        <w:t>матической патологии. Резюме</w:t>
      </w:r>
      <w:r w:rsidR="00B03763">
        <w:rPr>
          <w:b w:val="0"/>
        </w:rPr>
        <w:tab/>
        <w:t>140</w:t>
      </w:r>
    </w:p>
    <w:p w:rsidR="00286780" w:rsidRPr="00C53F13" w:rsidRDefault="00286780" w:rsidP="00C53F13">
      <w:pPr>
        <w:pStyle w:val="13"/>
        <w:jc w:val="both"/>
        <w:rPr>
          <w:b w:val="0"/>
        </w:rPr>
      </w:pPr>
      <w:r>
        <w:rPr>
          <w:b w:val="0"/>
        </w:rPr>
        <w:t>3</w:t>
      </w:r>
      <w:r w:rsidRPr="00C53F13">
        <w:rPr>
          <w:b w:val="0"/>
        </w:rPr>
        <w:t>.3. Клинико-лабораторная характеристика одонтогенного сепсиса</w:t>
      </w:r>
      <w:r>
        <w:rPr>
          <w:b w:val="0"/>
        </w:rPr>
        <w:t>,</w:t>
      </w:r>
      <w:r w:rsidRPr="00C53F13">
        <w:rPr>
          <w:b w:val="0"/>
        </w:rPr>
        <w:t xml:space="preserve"> развивающегося на фоне хронической </w:t>
      </w:r>
      <w:r w:rsidR="00B03763">
        <w:rPr>
          <w:b w:val="0"/>
        </w:rPr>
        <w:t>патологии внутренних органов</w:t>
      </w:r>
      <w:r w:rsidR="00B03763">
        <w:rPr>
          <w:b w:val="0"/>
        </w:rPr>
        <w:tab/>
        <w:t>141</w:t>
      </w:r>
    </w:p>
    <w:p w:rsidR="00286780" w:rsidRPr="00C53F13" w:rsidRDefault="00286780" w:rsidP="00C53F13">
      <w:pPr>
        <w:pStyle w:val="13"/>
        <w:jc w:val="both"/>
        <w:rPr>
          <w:b w:val="0"/>
        </w:rPr>
      </w:pPr>
      <w:r>
        <w:t>Глава 4</w:t>
      </w:r>
      <w:r w:rsidRPr="00C53F13">
        <w:t>. ВТОРОЙ БЛОК ИССЛЕДОВАНИЙ</w:t>
      </w:r>
      <w:r w:rsidR="00B03763">
        <w:rPr>
          <w:b w:val="0"/>
        </w:rPr>
        <w:tab/>
        <w:t>151</w:t>
      </w:r>
    </w:p>
    <w:p w:rsidR="00286780" w:rsidRPr="00C53F13" w:rsidRDefault="00286780" w:rsidP="00C53F13">
      <w:pPr>
        <w:pStyle w:val="13"/>
        <w:jc w:val="both"/>
        <w:rPr>
          <w:b w:val="0"/>
        </w:rPr>
      </w:pPr>
      <w:r w:rsidRPr="00C53F13">
        <w:rPr>
          <w:b w:val="0"/>
        </w:rPr>
        <w:t xml:space="preserve">4.1. Характеристика местной формы одонтогенной инфекции, развивающейся на фоне хронической полиморбидной полиорганной патологии. Фоновые заболевания и </w:t>
      </w:r>
      <w:r w:rsidR="00B03763">
        <w:rPr>
          <w:b w:val="0"/>
        </w:rPr>
        <w:t>синдром взаимного отягощения</w:t>
      </w:r>
      <w:r w:rsidR="00B03763">
        <w:rPr>
          <w:b w:val="0"/>
        </w:rPr>
        <w:tab/>
        <w:t>151</w:t>
      </w:r>
    </w:p>
    <w:p w:rsidR="00286780" w:rsidRDefault="00286780" w:rsidP="00457501">
      <w:pPr>
        <w:pStyle w:val="13"/>
        <w:spacing w:after="240"/>
        <w:jc w:val="both"/>
        <w:rPr>
          <w:b w:val="0"/>
        </w:rPr>
      </w:pPr>
      <w:r w:rsidRPr="00C53F13">
        <w:rPr>
          <w:b w:val="0"/>
        </w:rPr>
        <w:t xml:space="preserve">4.2. Клинико-лабораторная характеристика одонтогенного сепсиса, развивающегося на фоне хронической полиморбидной полиорганной патологии. Фоновые заболевания и </w:t>
      </w:r>
      <w:r w:rsidR="00B03763">
        <w:rPr>
          <w:b w:val="0"/>
        </w:rPr>
        <w:t>синдром взаимного отягощения</w:t>
      </w:r>
      <w:r w:rsidR="00B03763">
        <w:rPr>
          <w:b w:val="0"/>
        </w:rPr>
        <w:tab/>
        <w:t>158</w:t>
      </w:r>
    </w:p>
    <w:p w:rsidR="00286780" w:rsidRPr="00457501" w:rsidRDefault="00286780" w:rsidP="00FD18C9">
      <w:pPr>
        <w:jc w:val="both"/>
        <w:rPr>
          <w:rFonts w:cs="Calibri"/>
          <w:sz w:val="28"/>
          <w:szCs w:val="28"/>
          <w:lang w:eastAsia="ar-SA"/>
        </w:rPr>
      </w:pPr>
      <w:r w:rsidRPr="00457501">
        <w:rPr>
          <w:rFonts w:cs="Calibri"/>
          <w:sz w:val="28"/>
          <w:szCs w:val="28"/>
          <w:lang w:eastAsia="ar-SA"/>
        </w:rPr>
        <w:t>4.3 Контактные одонтогенные медиастиниты при наличии полиорганной фоновой патологии и синдрома взаимного отягощения</w:t>
      </w:r>
      <w:r w:rsidR="00B03763">
        <w:rPr>
          <w:rFonts w:cs="Calibri"/>
          <w:sz w:val="28"/>
          <w:szCs w:val="28"/>
          <w:lang w:eastAsia="ar-SA"/>
        </w:rPr>
        <w:t>…………………………………….168</w:t>
      </w:r>
    </w:p>
    <w:p w:rsidR="00286780" w:rsidRPr="00C53F13" w:rsidRDefault="00286780" w:rsidP="00C53F13">
      <w:pPr>
        <w:pStyle w:val="13"/>
        <w:jc w:val="both"/>
        <w:rPr>
          <w:b w:val="0"/>
        </w:rPr>
      </w:pPr>
      <w:r>
        <w:t>Глава 5</w:t>
      </w:r>
      <w:r w:rsidRPr="00C53F13">
        <w:t>. ТРЕТИЙ БЛОК ИССЛЕДОВАНИЙ</w:t>
      </w:r>
      <w:r w:rsidR="00B03763">
        <w:rPr>
          <w:b w:val="0"/>
        </w:rPr>
        <w:tab/>
        <w:t>176</w:t>
      </w:r>
    </w:p>
    <w:p w:rsidR="00286780" w:rsidRPr="00C53F13" w:rsidRDefault="00286780" w:rsidP="00C53F13">
      <w:pPr>
        <w:pStyle w:val="13"/>
        <w:jc w:val="both"/>
        <w:rPr>
          <w:b w:val="0"/>
        </w:rPr>
      </w:pPr>
      <w:r w:rsidRPr="00C53F13">
        <w:rPr>
          <w:b w:val="0"/>
        </w:rPr>
        <w:t>5.1. Диагностика хирургических осложнений одонтогенной инфекции у больных с полиорганной фоновой патологией и си</w:t>
      </w:r>
      <w:r w:rsidR="00B03763">
        <w:rPr>
          <w:b w:val="0"/>
        </w:rPr>
        <w:t>ндромом взаимного отягощения</w:t>
      </w:r>
      <w:r w:rsidR="00B03763">
        <w:rPr>
          <w:b w:val="0"/>
        </w:rPr>
        <w:tab/>
        <w:t>176</w:t>
      </w:r>
    </w:p>
    <w:p w:rsidR="00286780" w:rsidRPr="00C53F13" w:rsidRDefault="00286780" w:rsidP="00C53F13">
      <w:pPr>
        <w:pStyle w:val="13"/>
        <w:jc w:val="both"/>
        <w:rPr>
          <w:b w:val="0"/>
        </w:rPr>
      </w:pPr>
      <w:r w:rsidRPr="00C53F13">
        <w:rPr>
          <w:b w:val="0"/>
        </w:rPr>
        <w:t>5.2. Оценка эффективности общепринятых методов диагностики тяжелых форм одонтогенных воспалительных процес</w:t>
      </w:r>
      <w:r w:rsidR="00B03763">
        <w:rPr>
          <w:b w:val="0"/>
        </w:rPr>
        <w:t>сов и одонтогенного сепсиса.</w:t>
      </w:r>
      <w:r w:rsidR="00B03763">
        <w:rPr>
          <w:b w:val="0"/>
        </w:rPr>
        <w:tab/>
        <w:t>176</w:t>
      </w:r>
    </w:p>
    <w:p w:rsidR="00286780" w:rsidRPr="00C53F13" w:rsidRDefault="00286780" w:rsidP="00C53F13">
      <w:pPr>
        <w:pStyle w:val="13"/>
        <w:jc w:val="both"/>
        <w:rPr>
          <w:b w:val="0"/>
        </w:rPr>
      </w:pPr>
      <w:r w:rsidRPr="00C53F13">
        <w:rPr>
          <w:b w:val="0"/>
        </w:rPr>
        <w:t>5.3. Алгоритм комплексного обследования пациентов с хирургическими осложнениями одонтогенной инфекции с учетом полиорганной фоновой патологии и с</w:t>
      </w:r>
      <w:r w:rsidR="00B03763">
        <w:rPr>
          <w:b w:val="0"/>
        </w:rPr>
        <w:t>индрома взаимного отягощения</w:t>
      </w:r>
      <w:r w:rsidR="00B03763">
        <w:rPr>
          <w:b w:val="0"/>
        </w:rPr>
        <w:tab/>
        <w:t>182</w:t>
      </w:r>
    </w:p>
    <w:p w:rsidR="00286780" w:rsidRPr="00C53F13" w:rsidRDefault="00286780" w:rsidP="00C53F13">
      <w:pPr>
        <w:pStyle w:val="13"/>
        <w:jc w:val="both"/>
        <w:rPr>
          <w:b w:val="0"/>
        </w:rPr>
      </w:pPr>
      <w:r w:rsidRPr="00C53F13">
        <w:rPr>
          <w:b w:val="0"/>
        </w:rPr>
        <w:t>5.4. Программа комплексного многокомпонентного лечения больных с хирургическими осложнениями одонтогенной инфекции при наличии полиорганной фоновой патологии и с</w:t>
      </w:r>
      <w:r w:rsidR="00B03763">
        <w:rPr>
          <w:b w:val="0"/>
        </w:rPr>
        <w:t>индрома взаимного отягощения</w:t>
      </w:r>
      <w:r w:rsidR="00B03763">
        <w:rPr>
          <w:b w:val="0"/>
        </w:rPr>
        <w:tab/>
        <w:t>196</w:t>
      </w:r>
    </w:p>
    <w:p w:rsidR="00286780" w:rsidRPr="00C53F13" w:rsidRDefault="00286780" w:rsidP="00C53F13">
      <w:pPr>
        <w:pStyle w:val="13"/>
        <w:jc w:val="both"/>
        <w:rPr>
          <w:b w:val="0"/>
        </w:rPr>
      </w:pPr>
      <w:r w:rsidRPr="00C53F13">
        <w:rPr>
          <w:b w:val="0"/>
        </w:rPr>
        <w:t>П</w:t>
      </w:r>
      <w:r w:rsidR="00B03763">
        <w:rPr>
          <w:b w:val="0"/>
        </w:rPr>
        <w:t>редоперационная подготовка</w:t>
      </w:r>
      <w:r w:rsidR="00B03763">
        <w:rPr>
          <w:b w:val="0"/>
        </w:rPr>
        <w:tab/>
        <w:t>197</w:t>
      </w:r>
    </w:p>
    <w:p w:rsidR="00286780" w:rsidRPr="00C53F13" w:rsidRDefault="00286780" w:rsidP="00C53F13">
      <w:pPr>
        <w:pStyle w:val="13"/>
        <w:jc w:val="both"/>
        <w:rPr>
          <w:b w:val="0"/>
        </w:rPr>
      </w:pPr>
      <w:r w:rsidRPr="00C53F13">
        <w:rPr>
          <w:b w:val="0"/>
        </w:rPr>
        <w:t>Х</w:t>
      </w:r>
      <w:r w:rsidR="00B03763">
        <w:rPr>
          <w:b w:val="0"/>
        </w:rPr>
        <w:t>ирургическое лечение</w:t>
      </w:r>
      <w:r w:rsidR="00B03763">
        <w:rPr>
          <w:b w:val="0"/>
        </w:rPr>
        <w:tab/>
        <w:t>204</w:t>
      </w:r>
    </w:p>
    <w:p w:rsidR="00286780" w:rsidRPr="00C53F13" w:rsidRDefault="00286780" w:rsidP="00C53F13">
      <w:pPr>
        <w:pStyle w:val="13"/>
        <w:jc w:val="both"/>
        <w:rPr>
          <w:b w:val="0"/>
        </w:rPr>
      </w:pPr>
      <w:r w:rsidRPr="00C53F13">
        <w:rPr>
          <w:b w:val="0"/>
        </w:rPr>
        <w:lastRenderedPageBreak/>
        <w:t>Антибактериальная терапия и интенсивная т</w:t>
      </w:r>
      <w:r w:rsidR="00B03763">
        <w:rPr>
          <w:b w:val="0"/>
        </w:rPr>
        <w:t>ерапия одонтогенного сепсиса</w:t>
      </w:r>
      <w:r w:rsidR="00B03763">
        <w:rPr>
          <w:b w:val="0"/>
        </w:rPr>
        <w:tab/>
        <w:t>215</w:t>
      </w:r>
    </w:p>
    <w:p w:rsidR="00286780" w:rsidRPr="00C53F13" w:rsidRDefault="00286780" w:rsidP="00C53F13">
      <w:pPr>
        <w:pStyle w:val="13"/>
        <w:jc w:val="both"/>
        <w:rPr>
          <w:b w:val="0"/>
        </w:rPr>
      </w:pPr>
      <w:r w:rsidRPr="00C53F13">
        <w:rPr>
          <w:b w:val="0"/>
        </w:rPr>
        <w:t xml:space="preserve">5.5. Результаты применения разработанных алгоритма обследования и программы комплексного многокомпонентного </w:t>
      </w:r>
      <w:r w:rsidR="00B03763">
        <w:rPr>
          <w:b w:val="0"/>
        </w:rPr>
        <w:t>лечения. Клинические примеры</w:t>
      </w:r>
      <w:r w:rsidR="00B03763">
        <w:rPr>
          <w:b w:val="0"/>
        </w:rPr>
        <w:tab/>
        <w:t>221</w:t>
      </w:r>
    </w:p>
    <w:p w:rsidR="00286780" w:rsidRPr="00C53F13" w:rsidRDefault="00286780" w:rsidP="00C53F13">
      <w:pPr>
        <w:pStyle w:val="13"/>
        <w:jc w:val="both"/>
        <w:rPr>
          <w:b w:val="0"/>
        </w:rPr>
      </w:pPr>
      <w:r w:rsidRPr="00C53F13">
        <w:t>ЗАКЛЮЧЕНИЕ</w:t>
      </w:r>
      <w:r w:rsidR="00B03763">
        <w:rPr>
          <w:b w:val="0"/>
        </w:rPr>
        <w:tab/>
        <w:t>233</w:t>
      </w:r>
    </w:p>
    <w:p w:rsidR="00286780" w:rsidRPr="00C53F13" w:rsidRDefault="00286780" w:rsidP="00C53F13">
      <w:pPr>
        <w:pStyle w:val="13"/>
        <w:jc w:val="both"/>
        <w:rPr>
          <w:b w:val="0"/>
        </w:rPr>
      </w:pPr>
      <w:r w:rsidRPr="00C53F13">
        <w:t>Выводы</w:t>
      </w:r>
      <w:r w:rsidR="00B03763">
        <w:rPr>
          <w:b w:val="0"/>
        </w:rPr>
        <w:tab/>
        <w:t>250</w:t>
      </w:r>
    </w:p>
    <w:p w:rsidR="00286780" w:rsidRDefault="00286780" w:rsidP="00C53F13">
      <w:pPr>
        <w:pStyle w:val="13"/>
        <w:jc w:val="both"/>
        <w:rPr>
          <w:b w:val="0"/>
        </w:rPr>
      </w:pPr>
      <w:r w:rsidRPr="00C53F13">
        <w:t>Практические рекомендации</w:t>
      </w:r>
      <w:r w:rsidR="00B03763">
        <w:rPr>
          <w:b w:val="0"/>
        </w:rPr>
        <w:tab/>
        <w:t>251</w:t>
      </w:r>
    </w:p>
    <w:p w:rsidR="00286780" w:rsidRPr="0017384D" w:rsidRDefault="00286780" w:rsidP="0017384D">
      <w:pPr>
        <w:spacing w:before="240" w:line="360" w:lineRule="auto"/>
        <w:jc w:val="both"/>
        <w:rPr>
          <w:rFonts w:cs="Calibri"/>
          <w:sz w:val="28"/>
          <w:szCs w:val="28"/>
          <w:lang w:eastAsia="ar-SA"/>
        </w:rPr>
      </w:pPr>
      <w:r w:rsidRPr="00C20EAB">
        <w:rPr>
          <w:rFonts w:cs="Calibri"/>
          <w:b/>
          <w:sz w:val="28"/>
          <w:szCs w:val="28"/>
          <w:lang w:eastAsia="ar-SA"/>
        </w:rPr>
        <w:t>Перспективы дальнейшей разработки темы</w:t>
      </w:r>
      <w:r w:rsidRPr="0017384D">
        <w:rPr>
          <w:rFonts w:cs="Calibri"/>
          <w:sz w:val="28"/>
          <w:szCs w:val="28"/>
          <w:lang w:eastAsia="ar-SA"/>
        </w:rPr>
        <w:t>…………</w:t>
      </w:r>
      <w:r>
        <w:rPr>
          <w:rFonts w:cs="Calibri"/>
          <w:sz w:val="28"/>
          <w:szCs w:val="28"/>
          <w:lang w:eastAsia="ar-SA"/>
        </w:rPr>
        <w:t>..</w:t>
      </w:r>
      <w:r w:rsidR="00B03763">
        <w:rPr>
          <w:rFonts w:cs="Calibri"/>
          <w:sz w:val="28"/>
          <w:szCs w:val="28"/>
          <w:lang w:eastAsia="ar-SA"/>
        </w:rPr>
        <w:t>……………………… 253</w:t>
      </w:r>
    </w:p>
    <w:p w:rsidR="00286780" w:rsidRPr="00C53F13" w:rsidRDefault="00286780" w:rsidP="00C53F13">
      <w:pPr>
        <w:pStyle w:val="13"/>
        <w:jc w:val="both"/>
        <w:rPr>
          <w:b w:val="0"/>
        </w:rPr>
      </w:pPr>
      <w:r w:rsidRPr="00C53F13">
        <w:t>СПИСОК СОКРАЩЕНИЙ И УСЛОВНЫХ ОБОЗНАЧЕНИЙ</w:t>
      </w:r>
      <w:r w:rsidR="00B03763">
        <w:rPr>
          <w:b w:val="0"/>
        </w:rPr>
        <w:tab/>
        <w:t>254</w:t>
      </w:r>
    </w:p>
    <w:p w:rsidR="00286780" w:rsidRPr="001143FD" w:rsidRDefault="00286780" w:rsidP="001143FD">
      <w:pPr>
        <w:pStyle w:val="13"/>
        <w:spacing w:line="360" w:lineRule="auto"/>
        <w:jc w:val="both"/>
        <w:rPr>
          <w:b w:val="0"/>
          <w:szCs w:val="28"/>
        </w:rPr>
      </w:pPr>
      <w:r w:rsidRPr="001143FD">
        <w:rPr>
          <w:szCs w:val="28"/>
        </w:rPr>
        <w:t>СПИСОК ЛИТЕРАТУРЫ</w:t>
      </w:r>
      <w:r w:rsidR="00B03763">
        <w:rPr>
          <w:b w:val="0"/>
          <w:szCs w:val="28"/>
        </w:rPr>
        <w:tab/>
        <w:t>256</w:t>
      </w:r>
    </w:p>
    <w:p w:rsidR="00286780" w:rsidRPr="001143FD" w:rsidRDefault="00286780" w:rsidP="001143FD">
      <w:pPr>
        <w:spacing w:line="360" w:lineRule="auto"/>
        <w:rPr>
          <w:sz w:val="28"/>
          <w:szCs w:val="28"/>
        </w:rPr>
      </w:pPr>
      <w:r w:rsidRPr="001143FD">
        <w:rPr>
          <w:b/>
          <w:sz w:val="28"/>
          <w:szCs w:val="28"/>
        </w:rPr>
        <w:t>Приложение</w:t>
      </w:r>
      <w:r w:rsidR="000D7DA9">
        <w:rPr>
          <w:sz w:val="28"/>
          <w:szCs w:val="28"/>
        </w:rPr>
        <w:t>…………………………………………………………………………302</w:t>
      </w:r>
    </w:p>
    <w:p w:rsidR="00286780" w:rsidRPr="00623BCD" w:rsidRDefault="00286780" w:rsidP="001143FD">
      <w:pPr>
        <w:pStyle w:val="13"/>
        <w:spacing w:line="360" w:lineRule="auto"/>
      </w:pPr>
      <w:r w:rsidRPr="001143FD">
        <w:rPr>
          <w:b w:val="0"/>
          <w:szCs w:val="28"/>
        </w:rPr>
        <w:br w:type="page"/>
      </w:r>
      <w:r w:rsidRPr="00623BCD">
        <w:lastRenderedPageBreak/>
        <w:t>В</w:t>
      </w:r>
      <w:r>
        <w:t>ВЕДЕНИЕ</w:t>
      </w:r>
    </w:p>
    <w:p w:rsidR="00286780" w:rsidRDefault="00286780" w:rsidP="00C31BFA">
      <w:pPr>
        <w:spacing w:line="360" w:lineRule="auto"/>
        <w:rPr>
          <w:b/>
          <w:sz w:val="28"/>
          <w:szCs w:val="28"/>
          <w:lang w:eastAsia="en-US"/>
        </w:rPr>
      </w:pPr>
    </w:p>
    <w:p w:rsidR="00286780" w:rsidRPr="00C31BFA" w:rsidRDefault="00286780" w:rsidP="00C31BFA">
      <w:pPr>
        <w:spacing w:line="360" w:lineRule="auto"/>
        <w:ind w:firstLine="700"/>
        <w:jc w:val="both"/>
        <w:rPr>
          <w:b/>
          <w:sz w:val="28"/>
          <w:szCs w:val="28"/>
          <w:lang w:eastAsia="en-US"/>
        </w:rPr>
      </w:pPr>
      <w:r w:rsidRPr="00CA5B18">
        <w:rPr>
          <w:b/>
          <w:sz w:val="28"/>
          <w:szCs w:val="28"/>
          <w:lang w:eastAsia="en-US"/>
        </w:rPr>
        <w:t>Актуальность темы исследования</w:t>
      </w:r>
      <w:r>
        <w:rPr>
          <w:b/>
          <w:sz w:val="28"/>
          <w:szCs w:val="28"/>
          <w:lang w:eastAsia="en-US"/>
        </w:rPr>
        <w:t xml:space="preserve">. </w:t>
      </w:r>
      <w:r w:rsidRPr="004A0CF0">
        <w:rPr>
          <w:sz w:val="28"/>
          <w:szCs w:val="28"/>
        </w:rPr>
        <w:t>Проблема диагностики и лечения пациентов с гнойно-воспалительными заболеваниями при наличии фоновой соматической патологии сохранила свою актуальность и продолжает оставаться одной из наиболее важных проблем хирургической практики и медицинской исследовательской деятельности.</w:t>
      </w:r>
    </w:p>
    <w:p w:rsidR="00286780" w:rsidRPr="004A0CF0" w:rsidRDefault="00286780" w:rsidP="004A0CF0">
      <w:pPr>
        <w:spacing w:line="360" w:lineRule="auto"/>
        <w:ind w:firstLine="709"/>
        <w:jc w:val="both"/>
        <w:rPr>
          <w:sz w:val="28"/>
          <w:szCs w:val="28"/>
        </w:rPr>
      </w:pPr>
      <w:r w:rsidRPr="004A0CF0">
        <w:rPr>
          <w:sz w:val="28"/>
          <w:szCs w:val="28"/>
        </w:rPr>
        <w:t xml:space="preserve">Достаточно широко освещена тема гнойно-септических хирургических осложнений у больных с сахарным диабетом, синдром диабетической стопы, трофическими язвами нижних конечностей и гнойно-деструктивными заболеваниями легких на фоне сахарного диабета, </w:t>
      </w:r>
      <w:r>
        <w:rPr>
          <w:sz w:val="28"/>
          <w:szCs w:val="28"/>
        </w:rPr>
        <w:t>диабетической патологией почек (</w:t>
      </w:r>
      <w:r w:rsidRPr="004A0CF0">
        <w:rPr>
          <w:sz w:val="28"/>
          <w:szCs w:val="28"/>
        </w:rPr>
        <w:t>Светухин А.М., Прокудина М.В., 1997; Бондарев Г.А. и др., 2000; Григорьев Е.Г., Коган А.С., 2000; Анциферов М.Б. и др., 2001; Степ</w:t>
      </w:r>
      <w:r>
        <w:rPr>
          <w:sz w:val="28"/>
          <w:szCs w:val="28"/>
        </w:rPr>
        <w:t>аньянц Л.В., 2005; Беликов Л.Н. и др., 2006; Лазаренко В.А. и др., 2008; Алиев М.А. и др., 2011; Кукушкин Г.В., Старостина Е.Г., 2016; Максимов А.</w:t>
      </w:r>
      <w:r w:rsidRPr="004A0CF0">
        <w:rPr>
          <w:sz w:val="28"/>
          <w:szCs w:val="28"/>
        </w:rPr>
        <w:t xml:space="preserve">В и др., 2016; </w:t>
      </w:r>
      <w:r w:rsidRPr="004A0CF0">
        <w:rPr>
          <w:sz w:val="28"/>
          <w:szCs w:val="28"/>
          <w:lang w:val="en-US"/>
        </w:rPr>
        <w:t>Van</w:t>
      </w:r>
      <w:r>
        <w:rPr>
          <w:sz w:val="28"/>
          <w:szCs w:val="28"/>
        </w:rPr>
        <w:t xml:space="preserve"> </w:t>
      </w:r>
      <w:r w:rsidRPr="004A0CF0">
        <w:rPr>
          <w:sz w:val="28"/>
          <w:szCs w:val="28"/>
          <w:lang w:val="en-US"/>
        </w:rPr>
        <w:t>Aeker</w:t>
      </w:r>
      <w:r>
        <w:rPr>
          <w:sz w:val="28"/>
          <w:szCs w:val="28"/>
        </w:rPr>
        <w:t xml:space="preserve"> </w:t>
      </w:r>
      <w:r w:rsidRPr="004A0CF0">
        <w:rPr>
          <w:sz w:val="28"/>
          <w:szCs w:val="28"/>
          <w:lang w:val="en-US"/>
        </w:rPr>
        <w:t>K</w:t>
      </w:r>
      <w:r w:rsidRPr="004A0CF0">
        <w:rPr>
          <w:sz w:val="28"/>
          <w:szCs w:val="28"/>
        </w:rPr>
        <w:t xml:space="preserve">. </w:t>
      </w:r>
      <w:r>
        <w:rPr>
          <w:sz w:val="28"/>
          <w:szCs w:val="28"/>
          <w:lang w:val="en-US"/>
        </w:rPr>
        <w:t>e</w:t>
      </w:r>
      <w:r w:rsidRPr="004A0CF0">
        <w:rPr>
          <w:sz w:val="28"/>
          <w:szCs w:val="28"/>
          <w:lang w:val="en-US"/>
        </w:rPr>
        <w:t>t</w:t>
      </w:r>
      <w:r>
        <w:rPr>
          <w:sz w:val="28"/>
          <w:szCs w:val="28"/>
        </w:rPr>
        <w:t xml:space="preserve"> </w:t>
      </w:r>
      <w:r w:rsidRPr="004A0CF0">
        <w:rPr>
          <w:sz w:val="28"/>
          <w:szCs w:val="28"/>
          <w:lang w:val="en-US"/>
        </w:rPr>
        <w:t>al</w:t>
      </w:r>
      <w:r w:rsidRPr="004A0CF0">
        <w:rPr>
          <w:sz w:val="28"/>
          <w:szCs w:val="28"/>
        </w:rPr>
        <w:t>., 2002</w:t>
      </w:r>
      <w:r w:rsidRPr="004A0CF0">
        <w:rPr>
          <w:color w:val="000000"/>
          <w:sz w:val="28"/>
          <w:szCs w:val="28"/>
        </w:rPr>
        <w:t xml:space="preserve">; </w:t>
      </w:r>
      <w:r w:rsidRPr="004A0CF0">
        <w:rPr>
          <w:color w:val="000000"/>
          <w:sz w:val="28"/>
          <w:szCs w:val="28"/>
          <w:lang w:val="en-US"/>
        </w:rPr>
        <w:t>Dodson</w:t>
      </w:r>
      <w:r w:rsidR="000F335B">
        <w:rPr>
          <w:color w:val="000000"/>
          <w:sz w:val="28"/>
          <w:szCs w:val="28"/>
        </w:rPr>
        <w:t xml:space="preserve"> </w:t>
      </w:r>
      <w:r w:rsidRPr="004A0CF0">
        <w:rPr>
          <w:color w:val="000000"/>
          <w:sz w:val="28"/>
          <w:szCs w:val="28"/>
          <w:lang w:val="en-US"/>
        </w:rPr>
        <w:t>T</w:t>
      </w:r>
      <w:r>
        <w:rPr>
          <w:color w:val="000000"/>
          <w:sz w:val="28"/>
          <w:szCs w:val="28"/>
        </w:rPr>
        <w:t>.</w:t>
      </w:r>
      <w:r w:rsidRPr="004A0CF0">
        <w:rPr>
          <w:color w:val="000000"/>
          <w:sz w:val="28"/>
          <w:szCs w:val="28"/>
          <w:lang w:val="en-US"/>
        </w:rPr>
        <w:t>B</w:t>
      </w:r>
      <w:r w:rsidRPr="004A0CF0">
        <w:rPr>
          <w:color w:val="000000"/>
          <w:sz w:val="28"/>
          <w:szCs w:val="28"/>
        </w:rPr>
        <w:t>., 2005;</w:t>
      </w:r>
      <w:r>
        <w:rPr>
          <w:color w:val="000000"/>
          <w:sz w:val="28"/>
          <w:szCs w:val="28"/>
        </w:rPr>
        <w:t xml:space="preserve"> </w:t>
      </w:r>
      <w:r w:rsidRPr="004A0CF0">
        <w:rPr>
          <w:sz w:val="28"/>
          <w:szCs w:val="28"/>
          <w:shd w:val="clear" w:color="auto" w:fill="FFFFFF"/>
          <w:lang w:val="en-US"/>
        </w:rPr>
        <w:t>Blueman</w:t>
      </w:r>
      <w:r>
        <w:rPr>
          <w:sz w:val="28"/>
          <w:szCs w:val="28"/>
          <w:shd w:val="clear" w:color="auto" w:fill="FFFFFF"/>
        </w:rPr>
        <w:t xml:space="preserve"> </w:t>
      </w:r>
      <w:r w:rsidRPr="004A0CF0">
        <w:rPr>
          <w:sz w:val="28"/>
          <w:szCs w:val="28"/>
          <w:shd w:val="clear" w:color="auto" w:fill="FFFFFF"/>
          <w:lang w:val="en-US"/>
        </w:rPr>
        <w:t>D</w:t>
      </w:r>
      <w:r w:rsidRPr="004A0CF0">
        <w:rPr>
          <w:sz w:val="28"/>
          <w:szCs w:val="28"/>
          <w:shd w:val="clear" w:color="auto" w:fill="FFFFFF"/>
        </w:rPr>
        <w:t xml:space="preserve">., </w:t>
      </w:r>
      <w:r w:rsidRPr="004A0CF0">
        <w:rPr>
          <w:sz w:val="28"/>
          <w:szCs w:val="28"/>
          <w:shd w:val="clear" w:color="auto" w:fill="FFFFFF"/>
          <w:lang w:val="en-US"/>
        </w:rPr>
        <w:t>Bousfield</w:t>
      </w:r>
      <w:r>
        <w:rPr>
          <w:sz w:val="28"/>
          <w:szCs w:val="28"/>
          <w:shd w:val="clear" w:color="auto" w:fill="FFFFFF"/>
        </w:rPr>
        <w:t xml:space="preserve"> </w:t>
      </w:r>
      <w:r w:rsidRPr="004A0CF0">
        <w:rPr>
          <w:sz w:val="28"/>
          <w:szCs w:val="28"/>
          <w:shd w:val="clear" w:color="auto" w:fill="FFFFFF"/>
          <w:lang w:val="en-US"/>
        </w:rPr>
        <w:t>C</w:t>
      </w:r>
      <w:r w:rsidRPr="004A0CF0">
        <w:rPr>
          <w:sz w:val="28"/>
          <w:szCs w:val="28"/>
          <w:shd w:val="clear" w:color="auto" w:fill="FFFFFF"/>
        </w:rPr>
        <w:t>., 2012</w:t>
      </w:r>
      <w:r>
        <w:rPr>
          <w:sz w:val="28"/>
          <w:szCs w:val="28"/>
        </w:rPr>
        <w:t>)</w:t>
      </w:r>
      <w:r w:rsidRPr="004A0CF0">
        <w:rPr>
          <w:sz w:val="28"/>
          <w:szCs w:val="28"/>
        </w:rPr>
        <w:t>.</w:t>
      </w:r>
    </w:p>
    <w:p w:rsidR="00286780" w:rsidRPr="00527C8E" w:rsidRDefault="00286780" w:rsidP="004A0CF0">
      <w:pPr>
        <w:spacing w:line="360" w:lineRule="auto"/>
        <w:ind w:firstLine="709"/>
        <w:jc w:val="both"/>
        <w:rPr>
          <w:sz w:val="28"/>
          <w:szCs w:val="28"/>
        </w:rPr>
      </w:pPr>
      <w:r w:rsidRPr="004A0CF0">
        <w:rPr>
          <w:sz w:val="28"/>
          <w:szCs w:val="28"/>
        </w:rPr>
        <w:t xml:space="preserve">Большое внимание уделяется вопросам предоперационной подготовки и последующего лечения пациентов с экстренными и плановыми хирургическими заболеваниями при наличии сахарного диабета </w:t>
      </w:r>
      <w:r w:rsidRPr="004A0CF0">
        <w:rPr>
          <w:sz w:val="28"/>
          <w:szCs w:val="28"/>
          <w:lang w:val="en-US"/>
        </w:rPr>
        <w:t>I</w:t>
      </w:r>
      <w:r w:rsidRPr="004A0CF0">
        <w:rPr>
          <w:sz w:val="28"/>
          <w:szCs w:val="28"/>
        </w:rPr>
        <w:t xml:space="preserve"> и </w:t>
      </w:r>
      <w:r w:rsidRPr="004A0CF0">
        <w:rPr>
          <w:sz w:val="28"/>
          <w:szCs w:val="28"/>
          <w:lang w:val="en-US"/>
        </w:rPr>
        <w:t>II</w:t>
      </w:r>
      <w:r w:rsidRPr="004A0CF0">
        <w:rPr>
          <w:sz w:val="28"/>
          <w:szCs w:val="28"/>
        </w:rPr>
        <w:t xml:space="preserve"> типа, артериальной гипертензии, </w:t>
      </w:r>
      <w:r>
        <w:rPr>
          <w:sz w:val="28"/>
          <w:szCs w:val="28"/>
        </w:rPr>
        <w:t>ИБС</w:t>
      </w:r>
      <w:r w:rsidRPr="004A0CF0">
        <w:rPr>
          <w:sz w:val="28"/>
          <w:szCs w:val="28"/>
        </w:rPr>
        <w:t>, синдрома Лериша, феохр</w:t>
      </w:r>
      <w:r>
        <w:rPr>
          <w:sz w:val="28"/>
          <w:szCs w:val="28"/>
        </w:rPr>
        <w:t>омоцитомы (Газетов Б.М., Калинин А.Л., 1991;</w:t>
      </w:r>
      <w:r w:rsidR="00FA5836">
        <w:rPr>
          <w:sz w:val="28"/>
          <w:szCs w:val="28"/>
        </w:rPr>
        <w:t xml:space="preserve"> </w:t>
      </w:r>
      <w:r>
        <w:rPr>
          <w:sz w:val="28"/>
          <w:szCs w:val="28"/>
        </w:rPr>
        <w:t>Кулешов Е.В., Кулешов С.Е., 1996; Мурашов А.В., 2002; Голицина Т.Ю., Чазова Т.Е., 2004; Обухова Т.В., 2004; Прощаев К.</w:t>
      </w:r>
      <w:r w:rsidRPr="004A0CF0">
        <w:rPr>
          <w:sz w:val="28"/>
          <w:szCs w:val="28"/>
        </w:rPr>
        <w:t>И., 2005; Голи</w:t>
      </w:r>
      <w:r>
        <w:rPr>
          <w:sz w:val="28"/>
          <w:szCs w:val="28"/>
        </w:rPr>
        <w:t>цина Т.Ю., 2007; Жиляев Е.В., 2007; Лысенко М.А., 2013; Дедов И.</w:t>
      </w:r>
      <w:r w:rsidRPr="004A0CF0">
        <w:rPr>
          <w:sz w:val="28"/>
          <w:szCs w:val="28"/>
        </w:rPr>
        <w:t xml:space="preserve">И. и др., 2019; </w:t>
      </w:r>
      <w:r w:rsidRPr="004A0CF0">
        <w:rPr>
          <w:sz w:val="28"/>
          <w:szCs w:val="28"/>
          <w:shd w:val="clear" w:color="auto" w:fill="FFFFFF"/>
          <w:lang w:val="en-US"/>
        </w:rPr>
        <w:t>Shah</w:t>
      </w:r>
      <w:r>
        <w:rPr>
          <w:sz w:val="28"/>
          <w:szCs w:val="28"/>
          <w:shd w:val="clear" w:color="auto" w:fill="FFFFFF"/>
        </w:rPr>
        <w:t xml:space="preserve"> </w:t>
      </w:r>
      <w:r w:rsidRPr="004A0CF0">
        <w:rPr>
          <w:sz w:val="28"/>
          <w:szCs w:val="28"/>
          <w:shd w:val="clear" w:color="auto" w:fill="FFFFFF"/>
          <w:lang w:val="en-US"/>
        </w:rPr>
        <w:t>B</w:t>
      </w:r>
      <w:r>
        <w:rPr>
          <w:sz w:val="28"/>
          <w:szCs w:val="28"/>
          <w:shd w:val="clear" w:color="auto" w:fill="FFFFFF"/>
        </w:rPr>
        <w:t>.</w:t>
      </w:r>
      <w:r w:rsidRPr="004A0CF0">
        <w:rPr>
          <w:sz w:val="28"/>
          <w:szCs w:val="28"/>
          <w:shd w:val="clear" w:color="auto" w:fill="FFFFFF"/>
          <w:lang w:val="en-US"/>
        </w:rPr>
        <w:t>R</w:t>
      </w:r>
      <w:r w:rsidRPr="00527C8E">
        <w:rPr>
          <w:sz w:val="28"/>
          <w:szCs w:val="28"/>
          <w:shd w:val="clear" w:color="auto" w:fill="FFFFFF"/>
        </w:rPr>
        <w:t xml:space="preserve">., </w:t>
      </w:r>
      <w:r w:rsidRPr="004A0CF0">
        <w:rPr>
          <w:sz w:val="28"/>
          <w:szCs w:val="28"/>
          <w:shd w:val="clear" w:color="auto" w:fill="FFFFFF"/>
          <w:lang w:val="en-US"/>
        </w:rPr>
        <w:t>Hux</w:t>
      </w:r>
      <w:r w:rsidR="000F335B">
        <w:rPr>
          <w:sz w:val="28"/>
          <w:szCs w:val="28"/>
          <w:shd w:val="clear" w:color="auto" w:fill="FFFFFF"/>
        </w:rPr>
        <w:t xml:space="preserve"> </w:t>
      </w:r>
      <w:r w:rsidRPr="004A0CF0">
        <w:rPr>
          <w:sz w:val="28"/>
          <w:szCs w:val="28"/>
          <w:shd w:val="clear" w:color="auto" w:fill="FFFFFF"/>
          <w:lang w:val="en-US"/>
        </w:rPr>
        <w:t>J</w:t>
      </w:r>
      <w:r w:rsidRPr="00527C8E">
        <w:rPr>
          <w:sz w:val="28"/>
          <w:szCs w:val="28"/>
          <w:shd w:val="clear" w:color="auto" w:fill="FFFFFF"/>
        </w:rPr>
        <w:t>.</w:t>
      </w:r>
      <w:r w:rsidRPr="004A0CF0">
        <w:rPr>
          <w:sz w:val="28"/>
          <w:szCs w:val="28"/>
          <w:shd w:val="clear" w:color="auto" w:fill="FFFFFF"/>
          <w:lang w:val="en-US"/>
        </w:rPr>
        <w:t>E</w:t>
      </w:r>
      <w:r w:rsidRPr="00527C8E">
        <w:rPr>
          <w:sz w:val="28"/>
          <w:szCs w:val="28"/>
          <w:shd w:val="clear" w:color="auto" w:fill="FFFFFF"/>
        </w:rPr>
        <w:t xml:space="preserve">., 2003; </w:t>
      </w:r>
      <w:r w:rsidRPr="004A0CF0">
        <w:rPr>
          <w:sz w:val="28"/>
          <w:szCs w:val="28"/>
          <w:shd w:val="clear" w:color="auto" w:fill="FFFFFF"/>
          <w:lang w:val="en-US"/>
        </w:rPr>
        <w:t>Murphy</w:t>
      </w:r>
      <w:r>
        <w:rPr>
          <w:sz w:val="28"/>
          <w:szCs w:val="28"/>
          <w:shd w:val="clear" w:color="auto" w:fill="FFFFFF"/>
        </w:rPr>
        <w:t xml:space="preserve"> </w:t>
      </w:r>
      <w:r w:rsidRPr="004A0CF0">
        <w:rPr>
          <w:sz w:val="28"/>
          <w:szCs w:val="28"/>
          <w:shd w:val="clear" w:color="auto" w:fill="FFFFFF"/>
          <w:lang w:val="en-US"/>
        </w:rPr>
        <w:t>P</w:t>
      </w:r>
      <w:r w:rsidRPr="00527C8E">
        <w:rPr>
          <w:sz w:val="28"/>
          <w:szCs w:val="28"/>
          <w:shd w:val="clear" w:color="auto" w:fill="FFFFFF"/>
        </w:rPr>
        <w:t>.</w:t>
      </w:r>
      <w:r w:rsidRPr="004A0CF0">
        <w:rPr>
          <w:sz w:val="28"/>
          <w:szCs w:val="28"/>
          <w:shd w:val="clear" w:color="auto" w:fill="FFFFFF"/>
          <w:lang w:val="en-US"/>
        </w:rPr>
        <w:t>S</w:t>
      </w:r>
      <w:r w:rsidRPr="00527C8E">
        <w:rPr>
          <w:sz w:val="28"/>
          <w:szCs w:val="28"/>
          <w:shd w:val="clear" w:color="auto" w:fill="FFFFFF"/>
        </w:rPr>
        <w:t xml:space="preserve">., </w:t>
      </w:r>
      <w:r w:rsidRPr="004A0CF0">
        <w:rPr>
          <w:sz w:val="28"/>
          <w:szCs w:val="28"/>
          <w:shd w:val="clear" w:color="auto" w:fill="FFFFFF"/>
          <w:lang w:val="en-US"/>
        </w:rPr>
        <w:t>Evans</w:t>
      </w:r>
      <w:r>
        <w:rPr>
          <w:sz w:val="28"/>
          <w:szCs w:val="28"/>
          <w:shd w:val="clear" w:color="auto" w:fill="FFFFFF"/>
        </w:rPr>
        <w:t xml:space="preserve"> </w:t>
      </w:r>
      <w:r w:rsidRPr="004A0CF0">
        <w:rPr>
          <w:sz w:val="28"/>
          <w:szCs w:val="28"/>
          <w:shd w:val="clear" w:color="auto" w:fill="FFFFFF"/>
          <w:lang w:val="en-US"/>
        </w:rPr>
        <w:t>G</w:t>
      </w:r>
      <w:r w:rsidRPr="00527C8E">
        <w:rPr>
          <w:sz w:val="28"/>
          <w:szCs w:val="28"/>
          <w:shd w:val="clear" w:color="auto" w:fill="FFFFFF"/>
        </w:rPr>
        <w:t>.</w:t>
      </w:r>
      <w:r w:rsidRPr="004A0CF0">
        <w:rPr>
          <w:sz w:val="28"/>
          <w:szCs w:val="28"/>
          <w:shd w:val="clear" w:color="auto" w:fill="FFFFFF"/>
          <w:lang w:val="en-US"/>
        </w:rPr>
        <w:t>R</w:t>
      </w:r>
      <w:r w:rsidRPr="00527C8E">
        <w:rPr>
          <w:sz w:val="28"/>
          <w:szCs w:val="28"/>
          <w:shd w:val="clear" w:color="auto" w:fill="FFFFFF"/>
        </w:rPr>
        <w:t>.</w:t>
      </w:r>
      <w:r w:rsidRPr="004A0CF0">
        <w:rPr>
          <w:sz w:val="28"/>
          <w:szCs w:val="28"/>
          <w:shd w:val="clear" w:color="auto" w:fill="FFFFFF"/>
          <w:lang w:val="en-US"/>
        </w:rPr>
        <w:t>D</w:t>
      </w:r>
      <w:r w:rsidRPr="00527C8E">
        <w:rPr>
          <w:sz w:val="28"/>
          <w:szCs w:val="28"/>
          <w:shd w:val="clear" w:color="auto" w:fill="FFFFFF"/>
        </w:rPr>
        <w:t>., 2012</w:t>
      </w:r>
      <w:r>
        <w:rPr>
          <w:sz w:val="28"/>
          <w:szCs w:val="28"/>
        </w:rPr>
        <w:t>)</w:t>
      </w:r>
      <w:r w:rsidRPr="00527C8E">
        <w:rPr>
          <w:sz w:val="28"/>
          <w:szCs w:val="28"/>
        </w:rPr>
        <w:t>.</w:t>
      </w:r>
    </w:p>
    <w:p w:rsidR="00286780" w:rsidRPr="004A0CF0" w:rsidRDefault="00286780" w:rsidP="004A0CF0">
      <w:pPr>
        <w:spacing w:line="360" w:lineRule="auto"/>
        <w:ind w:firstLine="709"/>
        <w:jc w:val="both"/>
        <w:rPr>
          <w:sz w:val="28"/>
          <w:szCs w:val="28"/>
        </w:rPr>
      </w:pPr>
      <w:r w:rsidRPr="004A0CF0">
        <w:rPr>
          <w:sz w:val="28"/>
          <w:szCs w:val="28"/>
        </w:rPr>
        <w:t xml:space="preserve">Многие авторы подробно рассматривают методы хирургической помощи пожилым пациентам, у которых значительно возрастает вероятность наличия общесоматической патологии. Исследованы варианты предоперационной подготовки, обезболивания, диагностики и лечения различных хирургических болезней (сердечно-сосудистых, абдоминальных, гинекологических, урологических, проктологических, онкологических) у больных старших возрастных групп, в том числе </w:t>
      </w:r>
      <w:r w:rsidRPr="004A0CF0">
        <w:rPr>
          <w:sz w:val="28"/>
          <w:szCs w:val="28"/>
        </w:rPr>
        <w:lastRenderedPageBreak/>
        <w:t>при наличии фоновых заболеваний. Анализируются возможности симультанных и эндоскопических хирургиче</w:t>
      </w:r>
      <w:r>
        <w:rPr>
          <w:sz w:val="28"/>
          <w:szCs w:val="28"/>
        </w:rPr>
        <w:t xml:space="preserve">ских вмешательств </w:t>
      </w:r>
      <w:r w:rsidRPr="00C31BFA">
        <w:rPr>
          <w:sz w:val="28"/>
          <w:szCs w:val="28"/>
        </w:rPr>
        <w:t>(</w:t>
      </w:r>
      <w:r>
        <w:rPr>
          <w:sz w:val="28"/>
          <w:szCs w:val="28"/>
        </w:rPr>
        <w:t>Косаченко В.</w:t>
      </w:r>
      <w:r w:rsidRPr="004A0CF0">
        <w:rPr>
          <w:sz w:val="28"/>
          <w:szCs w:val="28"/>
        </w:rPr>
        <w:t xml:space="preserve">М., 2005; </w:t>
      </w:r>
      <w:r>
        <w:rPr>
          <w:sz w:val="28"/>
          <w:szCs w:val="28"/>
          <w:shd w:val="clear" w:color="auto" w:fill="FFFFFF"/>
        </w:rPr>
        <w:t>Арьева Г.</w:t>
      </w:r>
      <w:r w:rsidRPr="004A0CF0">
        <w:rPr>
          <w:sz w:val="28"/>
          <w:szCs w:val="28"/>
          <w:shd w:val="clear" w:color="auto" w:fill="FFFFFF"/>
        </w:rPr>
        <w:t xml:space="preserve">Т. и др., 2008; </w:t>
      </w:r>
      <w:r>
        <w:rPr>
          <w:sz w:val="28"/>
          <w:szCs w:val="28"/>
        </w:rPr>
        <w:t>Брискин Б.С., Ломидзе О.В., 2008; Горелик С.</w:t>
      </w:r>
      <w:r w:rsidRPr="004A0CF0">
        <w:rPr>
          <w:sz w:val="28"/>
          <w:szCs w:val="28"/>
        </w:rPr>
        <w:t>Г. и др., 2011; Лаза</w:t>
      </w:r>
      <w:r>
        <w:rPr>
          <w:sz w:val="28"/>
          <w:szCs w:val="28"/>
        </w:rPr>
        <w:t>ренко В.</w:t>
      </w:r>
      <w:r w:rsidRPr="004A0CF0">
        <w:rPr>
          <w:sz w:val="28"/>
          <w:szCs w:val="28"/>
        </w:rPr>
        <w:t>А. и др., 2011;</w:t>
      </w:r>
      <w:r>
        <w:rPr>
          <w:sz w:val="28"/>
          <w:szCs w:val="28"/>
        </w:rPr>
        <w:t xml:space="preserve"> Бронштейн А.С. и др., 2014; Макулбекова С.К., 2017; Стяжкина С.</w:t>
      </w:r>
      <w:r w:rsidRPr="004A0CF0">
        <w:rPr>
          <w:sz w:val="28"/>
          <w:szCs w:val="28"/>
        </w:rPr>
        <w:t>Н. и др., 2017;</w:t>
      </w:r>
      <w:r>
        <w:rPr>
          <w:sz w:val="28"/>
          <w:szCs w:val="28"/>
        </w:rPr>
        <w:t xml:space="preserve"> </w:t>
      </w:r>
      <w:r w:rsidRPr="004A0CF0">
        <w:rPr>
          <w:sz w:val="28"/>
          <w:szCs w:val="28"/>
          <w:shd w:val="clear" w:color="auto" w:fill="FFFFFF"/>
          <w:lang w:val="en-US"/>
        </w:rPr>
        <w:t>Judith</w:t>
      </w:r>
      <w:r>
        <w:rPr>
          <w:sz w:val="28"/>
          <w:szCs w:val="28"/>
          <w:shd w:val="clear" w:color="auto" w:fill="FFFFFF"/>
        </w:rPr>
        <w:t xml:space="preserve"> </w:t>
      </w:r>
      <w:r w:rsidRPr="004A0CF0">
        <w:rPr>
          <w:sz w:val="28"/>
          <w:szCs w:val="28"/>
          <w:shd w:val="clear" w:color="auto" w:fill="FFFFFF"/>
          <w:lang w:val="en-US"/>
        </w:rPr>
        <w:t>S</w:t>
      </w:r>
      <w:r>
        <w:rPr>
          <w:sz w:val="28"/>
          <w:szCs w:val="28"/>
          <w:shd w:val="clear" w:color="auto" w:fill="FFFFFF"/>
        </w:rPr>
        <w:t>.</w:t>
      </w:r>
      <w:r w:rsidRPr="004A0CF0">
        <w:rPr>
          <w:sz w:val="28"/>
          <w:szCs w:val="28"/>
          <w:shd w:val="clear" w:color="auto" w:fill="FFFFFF"/>
          <w:lang w:val="en-US"/>
        </w:rPr>
        <w:t>P</w:t>
      </w:r>
      <w:r w:rsidRPr="004A0CF0">
        <w:rPr>
          <w:sz w:val="28"/>
          <w:szCs w:val="28"/>
          <w:shd w:val="clear" w:color="auto" w:fill="FFFFFF"/>
        </w:rPr>
        <w:t xml:space="preserve">. </w:t>
      </w:r>
      <w:r>
        <w:rPr>
          <w:sz w:val="28"/>
          <w:szCs w:val="28"/>
          <w:shd w:val="clear" w:color="auto" w:fill="FFFFFF"/>
          <w:lang w:val="en-US"/>
        </w:rPr>
        <w:t>e</w:t>
      </w:r>
      <w:r w:rsidRPr="004A0CF0">
        <w:rPr>
          <w:sz w:val="28"/>
          <w:szCs w:val="28"/>
          <w:shd w:val="clear" w:color="auto" w:fill="FFFFFF"/>
          <w:lang w:val="en-US"/>
        </w:rPr>
        <w:t>t</w:t>
      </w:r>
      <w:r>
        <w:rPr>
          <w:sz w:val="28"/>
          <w:szCs w:val="28"/>
          <w:shd w:val="clear" w:color="auto" w:fill="FFFFFF"/>
        </w:rPr>
        <w:t xml:space="preserve"> </w:t>
      </w:r>
      <w:r w:rsidRPr="004A0CF0">
        <w:rPr>
          <w:sz w:val="28"/>
          <w:szCs w:val="28"/>
          <w:shd w:val="clear" w:color="auto" w:fill="FFFFFF"/>
          <w:lang w:val="en-US"/>
        </w:rPr>
        <w:t>al</w:t>
      </w:r>
      <w:r w:rsidRPr="004A0CF0">
        <w:rPr>
          <w:sz w:val="28"/>
          <w:szCs w:val="28"/>
          <w:shd w:val="clear" w:color="auto" w:fill="FFFFFF"/>
        </w:rPr>
        <w:t xml:space="preserve">., 2012; </w:t>
      </w:r>
      <w:r w:rsidRPr="004A0CF0">
        <w:rPr>
          <w:sz w:val="28"/>
          <w:szCs w:val="28"/>
          <w:shd w:val="clear" w:color="auto" w:fill="FFFFFF"/>
          <w:lang w:val="en-US"/>
        </w:rPr>
        <w:t>Mcrae</w:t>
      </w:r>
      <w:r>
        <w:rPr>
          <w:sz w:val="28"/>
          <w:szCs w:val="28"/>
          <w:shd w:val="clear" w:color="auto" w:fill="FFFFFF"/>
        </w:rPr>
        <w:t xml:space="preserve"> </w:t>
      </w:r>
      <w:r w:rsidRPr="004A0CF0">
        <w:rPr>
          <w:sz w:val="28"/>
          <w:szCs w:val="28"/>
          <w:shd w:val="clear" w:color="auto" w:fill="FFFFFF"/>
          <w:lang w:val="en-US"/>
        </w:rPr>
        <w:t>P</w:t>
      </w:r>
      <w:r>
        <w:rPr>
          <w:sz w:val="28"/>
          <w:szCs w:val="28"/>
          <w:shd w:val="clear" w:color="auto" w:fill="FFFFFF"/>
        </w:rPr>
        <w:t>.</w:t>
      </w:r>
      <w:r w:rsidRPr="004A0CF0">
        <w:rPr>
          <w:sz w:val="28"/>
          <w:szCs w:val="28"/>
          <w:shd w:val="clear" w:color="auto" w:fill="FFFFFF"/>
          <w:lang w:val="en-US"/>
        </w:rPr>
        <w:t>J</w:t>
      </w:r>
      <w:r w:rsidRPr="004A0CF0">
        <w:rPr>
          <w:sz w:val="28"/>
          <w:szCs w:val="28"/>
          <w:shd w:val="clear" w:color="auto" w:fill="FFFFFF"/>
        </w:rPr>
        <w:t xml:space="preserve">. </w:t>
      </w:r>
      <w:r w:rsidRPr="004A0CF0">
        <w:rPr>
          <w:sz w:val="28"/>
          <w:szCs w:val="28"/>
          <w:shd w:val="clear" w:color="auto" w:fill="FFFFFF"/>
          <w:lang w:val="en-US"/>
        </w:rPr>
        <w:t>et</w:t>
      </w:r>
      <w:r>
        <w:rPr>
          <w:sz w:val="28"/>
          <w:szCs w:val="28"/>
          <w:shd w:val="clear" w:color="auto" w:fill="FFFFFF"/>
        </w:rPr>
        <w:t xml:space="preserve"> </w:t>
      </w:r>
      <w:r w:rsidRPr="004A0CF0">
        <w:rPr>
          <w:sz w:val="28"/>
          <w:szCs w:val="28"/>
          <w:shd w:val="clear" w:color="auto" w:fill="FFFFFF"/>
          <w:lang w:val="en-US"/>
        </w:rPr>
        <w:t>al</w:t>
      </w:r>
      <w:r w:rsidRPr="004A0CF0">
        <w:rPr>
          <w:sz w:val="28"/>
          <w:szCs w:val="28"/>
          <w:shd w:val="clear" w:color="auto" w:fill="FFFFFF"/>
        </w:rPr>
        <w:t>., 2013</w:t>
      </w:r>
      <w:r w:rsidRPr="00C31BFA">
        <w:rPr>
          <w:sz w:val="28"/>
          <w:szCs w:val="28"/>
        </w:rPr>
        <w:t>)</w:t>
      </w:r>
      <w:r w:rsidRPr="004A0CF0">
        <w:rPr>
          <w:sz w:val="28"/>
          <w:szCs w:val="28"/>
        </w:rPr>
        <w:t>.</w:t>
      </w:r>
    </w:p>
    <w:p w:rsidR="00286780" w:rsidRDefault="00286780" w:rsidP="004A0CF0">
      <w:pPr>
        <w:spacing w:line="360" w:lineRule="auto"/>
        <w:ind w:firstLine="709"/>
        <w:jc w:val="both"/>
        <w:rPr>
          <w:spacing w:val="-4"/>
          <w:sz w:val="28"/>
          <w:szCs w:val="28"/>
        </w:rPr>
      </w:pPr>
      <w:r w:rsidRPr="003E0AC3">
        <w:rPr>
          <w:spacing w:val="-4"/>
          <w:sz w:val="28"/>
          <w:szCs w:val="28"/>
        </w:rPr>
        <w:t>Одонтогенные воспалительные процессы также нередко развиваются на фоне множественной соматической патологии. Отмечено, что у больных с хроническими заболеваниями внутренних органов флегмоны челюстно-лицевой области протекают тяжелее и склонны к распространению в сосе</w:t>
      </w:r>
      <w:r>
        <w:rPr>
          <w:spacing w:val="-4"/>
          <w:sz w:val="28"/>
          <w:szCs w:val="28"/>
        </w:rPr>
        <w:t xml:space="preserve">дние клетчаточные пространства </w:t>
      </w:r>
      <w:r w:rsidRPr="00C31BFA">
        <w:rPr>
          <w:spacing w:val="-4"/>
          <w:sz w:val="28"/>
          <w:szCs w:val="28"/>
        </w:rPr>
        <w:t>(</w:t>
      </w:r>
      <w:r w:rsidRPr="003E0AC3">
        <w:rPr>
          <w:spacing w:val="-4"/>
          <w:sz w:val="28"/>
          <w:szCs w:val="28"/>
        </w:rPr>
        <w:t>Бу</w:t>
      </w:r>
      <w:r>
        <w:rPr>
          <w:spacing w:val="-4"/>
          <w:sz w:val="28"/>
          <w:szCs w:val="28"/>
        </w:rPr>
        <w:t>даев А.</w:t>
      </w:r>
      <w:r w:rsidRPr="003E0AC3">
        <w:rPr>
          <w:spacing w:val="-4"/>
          <w:sz w:val="28"/>
          <w:szCs w:val="28"/>
        </w:rPr>
        <w:t>П., 2001</w:t>
      </w:r>
      <w:r>
        <w:rPr>
          <w:spacing w:val="-4"/>
          <w:sz w:val="28"/>
          <w:szCs w:val="28"/>
          <w:shd w:val="clear" w:color="auto" w:fill="FFFFFF"/>
        </w:rPr>
        <w:t>; БеркуновВ.Н. и др., 2006; Яременко А.</w:t>
      </w:r>
      <w:r w:rsidRPr="003E0AC3">
        <w:rPr>
          <w:spacing w:val="-4"/>
          <w:sz w:val="28"/>
          <w:szCs w:val="28"/>
          <w:shd w:val="clear" w:color="auto" w:fill="FFFFFF"/>
        </w:rPr>
        <w:t xml:space="preserve">И., 2007; </w:t>
      </w:r>
      <w:r>
        <w:rPr>
          <w:spacing w:val="-4"/>
          <w:sz w:val="28"/>
          <w:szCs w:val="28"/>
        </w:rPr>
        <w:t>Козлов В.</w:t>
      </w:r>
      <w:r w:rsidRPr="003E0AC3">
        <w:rPr>
          <w:spacing w:val="-4"/>
          <w:sz w:val="28"/>
          <w:szCs w:val="28"/>
        </w:rPr>
        <w:t>А</w:t>
      </w:r>
      <w:r>
        <w:rPr>
          <w:spacing w:val="-4"/>
          <w:sz w:val="28"/>
          <w:szCs w:val="28"/>
        </w:rPr>
        <w:t>., 2008; Тимофеев А.</w:t>
      </w:r>
      <w:r w:rsidRPr="003E0AC3">
        <w:rPr>
          <w:spacing w:val="-4"/>
          <w:sz w:val="28"/>
          <w:szCs w:val="28"/>
        </w:rPr>
        <w:t xml:space="preserve">А. и др., 2010; </w:t>
      </w:r>
      <w:r>
        <w:rPr>
          <w:spacing w:val="-4"/>
          <w:sz w:val="28"/>
          <w:szCs w:val="28"/>
          <w:shd w:val="clear" w:color="auto" w:fill="FFFFFF"/>
        </w:rPr>
        <w:t>Музыкин М.</w:t>
      </w:r>
      <w:r w:rsidRPr="003E0AC3">
        <w:rPr>
          <w:spacing w:val="-4"/>
          <w:sz w:val="28"/>
          <w:szCs w:val="28"/>
          <w:shd w:val="clear" w:color="auto" w:fill="FFFFFF"/>
        </w:rPr>
        <w:t>И., 2013;</w:t>
      </w:r>
      <w:r>
        <w:rPr>
          <w:spacing w:val="-4"/>
          <w:sz w:val="28"/>
          <w:szCs w:val="28"/>
          <w:shd w:val="clear" w:color="auto" w:fill="FFFFFF"/>
        </w:rPr>
        <w:t xml:space="preserve"> </w:t>
      </w:r>
      <w:r>
        <w:rPr>
          <w:spacing w:val="-4"/>
          <w:sz w:val="28"/>
          <w:szCs w:val="28"/>
        </w:rPr>
        <w:t>Рамазанов А.</w:t>
      </w:r>
      <w:r w:rsidRPr="003E0AC3">
        <w:rPr>
          <w:spacing w:val="-4"/>
          <w:sz w:val="28"/>
          <w:szCs w:val="28"/>
        </w:rPr>
        <w:t>Х. и др., 2013; Ву В</w:t>
      </w:r>
      <w:r>
        <w:rPr>
          <w:spacing w:val="-4"/>
          <w:sz w:val="28"/>
          <w:szCs w:val="28"/>
        </w:rPr>
        <w:t>ьет Куонг и др., 2014; Конев С.С., Гандылян К.С., 2016</w:t>
      </w:r>
      <w:r w:rsidRPr="00C31BFA">
        <w:rPr>
          <w:spacing w:val="-4"/>
          <w:sz w:val="28"/>
          <w:szCs w:val="28"/>
        </w:rPr>
        <w:t>)</w:t>
      </w:r>
      <w:r w:rsidRPr="003E0AC3">
        <w:rPr>
          <w:spacing w:val="-4"/>
          <w:sz w:val="28"/>
          <w:szCs w:val="28"/>
        </w:rPr>
        <w:t>.</w:t>
      </w:r>
    </w:p>
    <w:p w:rsidR="00286780" w:rsidRPr="003E0AC3" w:rsidRDefault="00286780" w:rsidP="004A0CF0">
      <w:pPr>
        <w:spacing w:line="360" w:lineRule="auto"/>
        <w:ind w:firstLine="709"/>
        <w:jc w:val="both"/>
        <w:rPr>
          <w:spacing w:val="-4"/>
          <w:sz w:val="28"/>
          <w:szCs w:val="28"/>
        </w:rPr>
      </w:pPr>
      <w:r w:rsidRPr="003E0AC3">
        <w:rPr>
          <w:spacing w:val="-4"/>
          <w:sz w:val="28"/>
          <w:szCs w:val="28"/>
        </w:rPr>
        <w:t>Наблюдается крайне высокая летальность пациентов с генерализованными формами острой одонтогенной инфекции при наличии сахарного диабета – более 30%, неблагоприятный исход заболевания возможен у лиц молод</w:t>
      </w:r>
      <w:r>
        <w:rPr>
          <w:spacing w:val="-4"/>
          <w:sz w:val="28"/>
          <w:szCs w:val="28"/>
        </w:rPr>
        <w:t xml:space="preserve">ого и трудоспособного возраста </w:t>
      </w:r>
      <w:r w:rsidRPr="00C31BFA">
        <w:rPr>
          <w:spacing w:val="-4"/>
          <w:sz w:val="28"/>
          <w:szCs w:val="28"/>
        </w:rPr>
        <w:t>(</w:t>
      </w:r>
      <w:r w:rsidRPr="003E0AC3">
        <w:rPr>
          <w:spacing w:val="-4"/>
          <w:sz w:val="28"/>
          <w:szCs w:val="28"/>
          <w:lang w:val="en-US"/>
        </w:rPr>
        <w:t>Botha</w:t>
      </w:r>
      <w:r>
        <w:rPr>
          <w:spacing w:val="-4"/>
          <w:sz w:val="28"/>
          <w:szCs w:val="28"/>
        </w:rPr>
        <w:t xml:space="preserve"> </w:t>
      </w:r>
      <w:r w:rsidRPr="003E0AC3">
        <w:rPr>
          <w:spacing w:val="-4"/>
          <w:sz w:val="28"/>
          <w:szCs w:val="28"/>
          <w:lang w:val="en-US"/>
        </w:rPr>
        <w:t>A</w:t>
      </w:r>
      <w:r w:rsidRPr="003E0AC3">
        <w:rPr>
          <w:spacing w:val="-4"/>
          <w:sz w:val="28"/>
          <w:szCs w:val="28"/>
        </w:rPr>
        <w:t xml:space="preserve">. </w:t>
      </w:r>
      <w:r>
        <w:rPr>
          <w:spacing w:val="-4"/>
          <w:sz w:val="28"/>
          <w:szCs w:val="28"/>
          <w:lang w:val="en-US"/>
        </w:rPr>
        <w:t>e</w:t>
      </w:r>
      <w:r w:rsidRPr="003E0AC3">
        <w:rPr>
          <w:spacing w:val="-4"/>
          <w:sz w:val="28"/>
          <w:szCs w:val="28"/>
          <w:lang w:val="en-US"/>
        </w:rPr>
        <w:t>t</w:t>
      </w:r>
      <w:r>
        <w:rPr>
          <w:spacing w:val="-4"/>
          <w:sz w:val="28"/>
          <w:szCs w:val="28"/>
        </w:rPr>
        <w:t xml:space="preserve"> </w:t>
      </w:r>
      <w:r w:rsidRPr="003E0AC3">
        <w:rPr>
          <w:spacing w:val="-4"/>
          <w:sz w:val="28"/>
          <w:szCs w:val="28"/>
          <w:lang w:val="en-US"/>
        </w:rPr>
        <w:t>al</w:t>
      </w:r>
      <w:r w:rsidRPr="003E0AC3">
        <w:rPr>
          <w:spacing w:val="-4"/>
          <w:sz w:val="28"/>
          <w:szCs w:val="28"/>
        </w:rPr>
        <w:t xml:space="preserve">., 2015; </w:t>
      </w:r>
      <w:r w:rsidRPr="003E0AC3">
        <w:rPr>
          <w:spacing w:val="-4"/>
          <w:sz w:val="28"/>
          <w:szCs w:val="28"/>
          <w:lang w:val="en-US"/>
        </w:rPr>
        <w:t>Noy</w:t>
      </w:r>
      <w:r>
        <w:rPr>
          <w:spacing w:val="-4"/>
          <w:sz w:val="28"/>
          <w:szCs w:val="28"/>
        </w:rPr>
        <w:t xml:space="preserve"> </w:t>
      </w:r>
      <w:r w:rsidRPr="003E0AC3">
        <w:rPr>
          <w:spacing w:val="-4"/>
          <w:sz w:val="28"/>
          <w:szCs w:val="28"/>
          <w:lang w:val="en-US"/>
        </w:rPr>
        <w:t>D</w:t>
      </w:r>
      <w:r w:rsidRPr="003E0AC3">
        <w:rPr>
          <w:spacing w:val="-4"/>
          <w:sz w:val="28"/>
          <w:szCs w:val="28"/>
        </w:rPr>
        <w:t xml:space="preserve">. </w:t>
      </w:r>
      <w:r>
        <w:rPr>
          <w:spacing w:val="-4"/>
          <w:sz w:val="28"/>
          <w:szCs w:val="28"/>
          <w:lang w:val="en-US"/>
        </w:rPr>
        <w:t>e</w:t>
      </w:r>
      <w:r w:rsidRPr="003E0AC3">
        <w:rPr>
          <w:spacing w:val="-4"/>
          <w:sz w:val="28"/>
          <w:szCs w:val="28"/>
          <w:lang w:val="en-US"/>
        </w:rPr>
        <w:t>t</w:t>
      </w:r>
      <w:r>
        <w:rPr>
          <w:spacing w:val="-4"/>
          <w:sz w:val="28"/>
          <w:szCs w:val="28"/>
        </w:rPr>
        <w:t xml:space="preserve"> </w:t>
      </w:r>
      <w:r w:rsidRPr="003E0AC3">
        <w:rPr>
          <w:spacing w:val="-4"/>
          <w:sz w:val="28"/>
          <w:szCs w:val="28"/>
          <w:lang w:val="en-US"/>
        </w:rPr>
        <w:t>al</w:t>
      </w:r>
      <w:r w:rsidRPr="003E0AC3">
        <w:rPr>
          <w:spacing w:val="-4"/>
          <w:sz w:val="28"/>
          <w:szCs w:val="28"/>
        </w:rPr>
        <w:t xml:space="preserve">., 2015; </w:t>
      </w:r>
      <w:r w:rsidRPr="003E0AC3">
        <w:rPr>
          <w:spacing w:val="-4"/>
          <w:sz w:val="28"/>
          <w:szCs w:val="28"/>
          <w:lang w:val="en-US"/>
        </w:rPr>
        <w:t>Juncar</w:t>
      </w:r>
      <w:r>
        <w:rPr>
          <w:spacing w:val="-4"/>
          <w:sz w:val="28"/>
          <w:szCs w:val="28"/>
        </w:rPr>
        <w:t xml:space="preserve"> </w:t>
      </w:r>
      <w:r w:rsidRPr="003E0AC3">
        <w:rPr>
          <w:spacing w:val="-4"/>
          <w:sz w:val="28"/>
          <w:szCs w:val="28"/>
          <w:lang w:val="en-US"/>
        </w:rPr>
        <w:t>M</w:t>
      </w:r>
      <w:r w:rsidRPr="003E0AC3">
        <w:rPr>
          <w:spacing w:val="-4"/>
          <w:sz w:val="28"/>
          <w:szCs w:val="28"/>
        </w:rPr>
        <w:t xml:space="preserve">. </w:t>
      </w:r>
      <w:r>
        <w:rPr>
          <w:spacing w:val="-4"/>
          <w:sz w:val="28"/>
          <w:szCs w:val="28"/>
          <w:lang w:val="en-US"/>
        </w:rPr>
        <w:t>e</w:t>
      </w:r>
      <w:r w:rsidRPr="003E0AC3">
        <w:rPr>
          <w:spacing w:val="-4"/>
          <w:sz w:val="28"/>
          <w:szCs w:val="28"/>
          <w:lang w:val="en-US"/>
        </w:rPr>
        <w:t>t</w:t>
      </w:r>
      <w:r>
        <w:rPr>
          <w:spacing w:val="-4"/>
          <w:sz w:val="28"/>
          <w:szCs w:val="28"/>
        </w:rPr>
        <w:t xml:space="preserve"> </w:t>
      </w:r>
      <w:r w:rsidRPr="003E0AC3">
        <w:rPr>
          <w:spacing w:val="-4"/>
          <w:sz w:val="28"/>
          <w:szCs w:val="28"/>
          <w:lang w:val="en-US"/>
        </w:rPr>
        <w:t>al</w:t>
      </w:r>
      <w:r w:rsidRPr="003E0AC3">
        <w:rPr>
          <w:spacing w:val="-4"/>
          <w:sz w:val="28"/>
          <w:szCs w:val="28"/>
        </w:rPr>
        <w:t xml:space="preserve">., 2016; </w:t>
      </w:r>
      <w:r w:rsidRPr="003E0AC3">
        <w:rPr>
          <w:spacing w:val="-4"/>
          <w:sz w:val="28"/>
          <w:szCs w:val="28"/>
          <w:lang w:val="en-US"/>
        </w:rPr>
        <w:t>Abdurrazaq</w:t>
      </w:r>
      <w:r>
        <w:rPr>
          <w:spacing w:val="-4"/>
          <w:sz w:val="28"/>
          <w:szCs w:val="28"/>
        </w:rPr>
        <w:t xml:space="preserve"> </w:t>
      </w:r>
      <w:r w:rsidRPr="003E0AC3">
        <w:rPr>
          <w:spacing w:val="-4"/>
          <w:sz w:val="28"/>
          <w:szCs w:val="28"/>
          <w:lang w:val="en-US"/>
        </w:rPr>
        <w:t>T</w:t>
      </w:r>
      <w:r>
        <w:rPr>
          <w:spacing w:val="-4"/>
          <w:sz w:val="28"/>
          <w:szCs w:val="28"/>
        </w:rPr>
        <w:t>.</w:t>
      </w:r>
      <w:r w:rsidRPr="003E0AC3">
        <w:rPr>
          <w:spacing w:val="-4"/>
          <w:sz w:val="28"/>
          <w:szCs w:val="28"/>
          <w:lang w:val="en-US"/>
        </w:rPr>
        <w:t>O</w:t>
      </w:r>
      <w:r w:rsidRPr="003E0AC3">
        <w:rPr>
          <w:spacing w:val="-4"/>
          <w:sz w:val="28"/>
          <w:szCs w:val="28"/>
        </w:rPr>
        <w:t xml:space="preserve">. </w:t>
      </w:r>
      <w:r w:rsidRPr="003E0AC3">
        <w:rPr>
          <w:spacing w:val="-4"/>
          <w:sz w:val="28"/>
          <w:szCs w:val="28"/>
          <w:lang w:val="en-US"/>
        </w:rPr>
        <w:t>et</w:t>
      </w:r>
      <w:r>
        <w:rPr>
          <w:spacing w:val="-4"/>
          <w:sz w:val="28"/>
          <w:szCs w:val="28"/>
        </w:rPr>
        <w:t xml:space="preserve"> </w:t>
      </w:r>
      <w:r w:rsidRPr="003E0AC3">
        <w:rPr>
          <w:spacing w:val="-4"/>
          <w:sz w:val="28"/>
          <w:szCs w:val="28"/>
          <w:lang w:val="en-US"/>
        </w:rPr>
        <w:t>al</w:t>
      </w:r>
      <w:r w:rsidRPr="003E0AC3">
        <w:rPr>
          <w:spacing w:val="-4"/>
          <w:sz w:val="28"/>
          <w:szCs w:val="28"/>
        </w:rPr>
        <w:t xml:space="preserve">., 2016; </w:t>
      </w:r>
      <w:r w:rsidRPr="003E0AC3">
        <w:rPr>
          <w:spacing w:val="-4"/>
          <w:sz w:val="28"/>
          <w:szCs w:val="28"/>
          <w:lang w:val="en-US"/>
        </w:rPr>
        <w:t>Kloth</w:t>
      </w:r>
      <w:r>
        <w:rPr>
          <w:spacing w:val="-4"/>
          <w:sz w:val="28"/>
          <w:szCs w:val="28"/>
        </w:rPr>
        <w:t xml:space="preserve"> </w:t>
      </w:r>
      <w:r w:rsidRPr="003E0AC3">
        <w:rPr>
          <w:spacing w:val="-4"/>
          <w:sz w:val="28"/>
          <w:szCs w:val="28"/>
          <w:lang w:val="en-US"/>
        </w:rPr>
        <w:t>C</w:t>
      </w:r>
      <w:r w:rsidRPr="003E0AC3">
        <w:rPr>
          <w:spacing w:val="-4"/>
          <w:sz w:val="28"/>
          <w:szCs w:val="28"/>
        </w:rPr>
        <w:t xml:space="preserve">. </w:t>
      </w:r>
      <w:r>
        <w:rPr>
          <w:spacing w:val="-4"/>
          <w:sz w:val="28"/>
          <w:szCs w:val="28"/>
          <w:lang w:val="en-US"/>
        </w:rPr>
        <w:t>e</w:t>
      </w:r>
      <w:r w:rsidRPr="003E0AC3">
        <w:rPr>
          <w:spacing w:val="-4"/>
          <w:sz w:val="28"/>
          <w:szCs w:val="28"/>
          <w:lang w:val="en-US"/>
        </w:rPr>
        <w:t>t</w:t>
      </w:r>
      <w:r>
        <w:rPr>
          <w:spacing w:val="-4"/>
          <w:sz w:val="28"/>
          <w:szCs w:val="28"/>
        </w:rPr>
        <w:t xml:space="preserve"> </w:t>
      </w:r>
      <w:r w:rsidRPr="003E0AC3">
        <w:rPr>
          <w:spacing w:val="-4"/>
          <w:sz w:val="28"/>
          <w:szCs w:val="28"/>
          <w:lang w:val="en-US"/>
        </w:rPr>
        <w:t>al</w:t>
      </w:r>
      <w:r w:rsidRPr="003E0AC3">
        <w:rPr>
          <w:spacing w:val="-4"/>
          <w:sz w:val="28"/>
          <w:szCs w:val="28"/>
        </w:rPr>
        <w:t xml:space="preserve">., 2017; </w:t>
      </w:r>
      <w:r w:rsidRPr="003E0AC3">
        <w:rPr>
          <w:spacing w:val="-4"/>
          <w:sz w:val="28"/>
          <w:szCs w:val="28"/>
          <w:lang w:val="en-US"/>
        </w:rPr>
        <w:t>Zemplenyi</w:t>
      </w:r>
      <w:r>
        <w:rPr>
          <w:spacing w:val="-4"/>
          <w:sz w:val="28"/>
          <w:szCs w:val="28"/>
        </w:rPr>
        <w:t xml:space="preserve"> </w:t>
      </w:r>
      <w:r w:rsidRPr="003E0AC3">
        <w:rPr>
          <w:spacing w:val="-4"/>
          <w:sz w:val="28"/>
          <w:szCs w:val="28"/>
          <w:lang w:val="en-US"/>
        </w:rPr>
        <w:t>K</w:t>
      </w:r>
      <w:r w:rsidRPr="003E0AC3">
        <w:rPr>
          <w:spacing w:val="-4"/>
          <w:sz w:val="28"/>
          <w:szCs w:val="28"/>
        </w:rPr>
        <w:t xml:space="preserve">. </w:t>
      </w:r>
      <w:r w:rsidRPr="003E0AC3">
        <w:rPr>
          <w:spacing w:val="-4"/>
          <w:sz w:val="28"/>
          <w:szCs w:val="28"/>
          <w:lang w:val="en-US"/>
        </w:rPr>
        <w:t>et</w:t>
      </w:r>
      <w:r>
        <w:rPr>
          <w:spacing w:val="-4"/>
          <w:sz w:val="28"/>
          <w:szCs w:val="28"/>
        </w:rPr>
        <w:t xml:space="preserve"> </w:t>
      </w:r>
      <w:r w:rsidRPr="003E0AC3">
        <w:rPr>
          <w:spacing w:val="-4"/>
          <w:sz w:val="28"/>
          <w:szCs w:val="28"/>
          <w:lang w:val="en-US"/>
        </w:rPr>
        <w:t>al</w:t>
      </w:r>
      <w:r w:rsidRPr="003E0AC3">
        <w:rPr>
          <w:spacing w:val="-4"/>
          <w:sz w:val="28"/>
          <w:szCs w:val="28"/>
        </w:rPr>
        <w:t xml:space="preserve">., 2017; </w:t>
      </w:r>
      <w:r w:rsidRPr="003E0AC3">
        <w:rPr>
          <w:spacing w:val="-4"/>
          <w:sz w:val="28"/>
          <w:szCs w:val="28"/>
          <w:shd w:val="clear" w:color="auto" w:fill="FFFFFF"/>
          <w:lang w:val="en-US"/>
        </w:rPr>
        <w:t>Mitchell</w:t>
      </w:r>
      <w:r>
        <w:rPr>
          <w:spacing w:val="-4"/>
          <w:sz w:val="28"/>
          <w:szCs w:val="28"/>
          <w:shd w:val="clear" w:color="auto" w:fill="FFFFFF"/>
        </w:rPr>
        <w:t xml:space="preserve"> </w:t>
      </w:r>
      <w:r w:rsidRPr="003E0AC3">
        <w:rPr>
          <w:spacing w:val="-4"/>
          <w:sz w:val="28"/>
          <w:szCs w:val="28"/>
          <w:shd w:val="clear" w:color="auto" w:fill="FFFFFF"/>
          <w:lang w:val="en-US"/>
        </w:rPr>
        <w:t>R</w:t>
      </w:r>
      <w:r>
        <w:rPr>
          <w:spacing w:val="-4"/>
          <w:sz w:val="28"/>
          <w:szCs w:val="28"/>
          <w:shd w:val="clear" w:color="auto" w:fill="FFFFFF"/>
        </w:rPr>
        <w:t>.</w:t>
      </w:r>
      <w:r w:rsidRPr="003E0AC3">
        <w:rPr>
          <w:spacing w:val="-4"/>
          <w:sz w:val="28"/>
          <w:szCs w:val="28"/>
          <w:shd w:val="clear" w:color="auto" w:fill="FFFFFF"/>
          <w:lang w:val="en-US"/>
        </w:rPr>
        <w:t>Gore</w:t>
      </w:r>
      <w:r>
        <w:rPr>
          <w:spacing w:val="-4"/>
          <w:sz w:val="28"/>
          <w:szCs w:val="28"/>
        </w:rPr>
        <w:t>, 2018</w:t>
      </w:r>
      <w:r w:rsidRPr="00C31BFA">
        <w:rPr>
          <w:spacing w:val="-4"/>
          <w:sz w:val="28"/>
          <w:szCs w:val="28"/>
        </w:rPr>
        <w:t>)</w:t>
      </w:r>
      <w:r w:rsidRPr="003E0AC3">
        <w:rPr>
          <w:spacing w:val="-4"/>
          <w:sz w:val="28"/>
          <w:szCs w:val="28"/>
        </w:rPr>
        <w:t>. Характерны длительные сроки госпитализации и высок</w:t>
      </w:r>
      <w:r>
        <w:rPr>
          <w:spacing w:val="-4"/>
          <w:sz w:val="28"/>
          <w:szCs w:val="28"/>
        </w:rPr>
        <w:t xml:space="preserve">ая стоимость лечения </w:t>
      </w:r>
      <w:r w:rsidRPr="00C31BFA">
        <w:rPr>
          <w:spacing w:val="-4"/>
          <w:sz w:val="28"/>
          <w:szCs w:val="28"/>
        </w:rPr>
        <w:t>(</w:t>
      </w:r>
      <w:r>
        <w:rPr>
          <w:spacing w:val="-4"/>
          <w:sz w:val="28"/>
          <w:szCs w:val="28"/>
        </w:rPr>
        <w:t>Козлов В.</w:t>
      </w:r>
      <w:r w:rsidRPr="003E0AC3">
        <w:rPr>
          <w:spacing w:val="-4"/>
          <w:sz w:val="28"/>
          <w:szCs w:val="28"/>
        </w:rPr>
        <w:t xml:space="preserve">А., 2008; </w:t>
      </w:r>
      <w:r w:rsidRPr="003E0AC3">
        <w:rPr>
          <w:spacing w:val="-4"/>
          <w:sz w:val="28"/>
          <w:szCs w:val="28"/>
          <w:lang w:val="en-US"/>
        </w:rPr>
        <w:t>Fukuchi</w:t>
      </w:r>
      <w:r>
        <w:rPr>
          <w:spacing w:val="-4"/>
          <w:sz w:val="28"/>
          <w:szCs w:val="28"/>
        </w:rPr>
        <w:t xml:space="preserve"> </w:t>
      </w:r>
      <w:r w:rsidRPr="003E0AC3">
        <w:rPr>
          <w:spacing w:val="-4"/>
          <w:sz w:val="28"/>
          <w:szCs w:val="28"/>
          <w:lang w:val="en-US"/>
        </w:rPr>
        <w:t>M</w:t>
      </w:r>
      <w:r w:rsidRPr="003E0AC3">
        <w:rPr>
          <w:spacing w:val="-4"/>
          <w:sz w:val="28"/>
          <w:szCs w:val="28"/>
        </w:rPr>
        <w:t xml:space="preserve">. </w:t>
      </w:r>
      <w:r w:rsidRPr="003E0AC3">
        <w:rPr>
          <w:spacing w:val="-4"/>
          <w:sz w:val="28"/>
          <w:szCs w:val="28"/>
          <w:lang w:val="en-US"/>
        </w:rPr>
        <w:t>et</w:t>
      </w:r>
      <w:r>
        <w:rPr>
          <w:spacing w:val="-4"/>
          <w:sz w:val="28"/>
          <w:szCs w:val="28"/>
        </w:rPr>
        <w:t xml:space="preserve"> </w:t>
      </w:r>
      <w:r w:rsidRPr="003E0AC3">
        <w:rPr>
          <w:spacing w:val="-4"/>
          <w:sz w:val="28"/>
          <w:szCs w:val="28"/>
          <w:lang w:val="en-US"/>
        </w:rPr>
        <w:t>al</w:t>
      </w:r>
      <w:r w:rsidRPr="003E0AC3">
        <w:rPr>
          <w:spacing w:val="-4"/>
          <w:sz w:val="28"/>
          <w:szCs w:val="28"/>
        </w:rPr>
        <w:t xml:space="preserve">., 2015; </w:t>
      </w:r>
      <w:r w:rsidRPr="003E0AC3">
        <w:rPr>
          <w:spacing w:val="-4"/>
          <w:sz w:val="28"/>
          <w:szCs w:val="28"/>
          <w:lang w:val="en-US"/>
        </w:rPr>
        <w:t>Prado</w:t>
      </w:r>
      <w:r w:rsidRPr="003E0AC3">
        <w:rPr>
          <w:spacing w:val="-4"/>
          <w:sz w:val="28"/>
          <w:szCs w:val="28"/>
        </w:rPr>
        <w:t>-</w:t>
      </w:r>
      <w:r w:rsidRPr="003E0AC3">
        <w:rPr>
          <w:spacing w:val="-4"/>
          <w:sz w:val="28"/>
          <w:szCs w:val="28"/>
          <w:lang w:val="en-US"/>
        </w:rPr>
        <w:t>Calleros</w:t>
      </w:r>
      <w:r>
        <w:rPr>
          <w:spacing w:val="-4"/>
          <w:sz w:val="28"/>
          <w:szCs w:val="28"/>
        </w:rPr>
        <w:t xml:space="preserve"> </w:t>
      </w:r>
      <w:r w:rsidRPr="003E0AC3">
        <w:rPr>
          <w:spacing w:val="-4"/>
          <w:sz w:val="28"/>
          <w:szCs w:val="28"/>
          <w:lang w:val="en-US"/>
        </w:rPr>
        <w:t>H</w:t>
      </w:r>
      <w:r>
        <w:rPr>
          <w:spacing w:val="-4"/>
          <w:sz w:val="28"/>
          <w:szCs w:val="28"/>
        </w:rPr>
        <w:t>.</w:t>
      </w:r>
      <w:r w:rsidRPr="003E0AC3">
        <w:rPr>
          <w:spacing w:val="-4"/>
          <w:sz w:val="28"/>
          <w:szCs w:val="28"/>
          <w:lang w:val="en-US"/>
        </w:rPr>
        <w:t>M</w:t>
      </w:r>
      <w:r w:rsidRPr="003E0AC3">
        <w:rPr>
          <w:spacing w:val="-4"/>
          <w:sz w:val="28"/>
          <w:szCs w:val="28"/>
        </w:rPr>
        <w:t xml:space="preserve">. </w:t>
      </w:r>
      <w:r w:rsidRPr="003E0AC3">
        <w:rPr>
          <w:spacing w:val="-4"/>
          <w:sz w:val="28"/>
          <w:szCs w:val="28"/>
          <w:lang w:val="en-US"/>
        </w:rPr>
        <w:t>et</w:t>
      </w:r>
      <w:r>
        <w:rPr>
          <w:spacing w:val="-4"/>
          <w:sz w:val="28"/>
          <w:szCs w:val="28"/>
        </w:rPr>
        <w:t xml:space="preserve"> </w:t>
      </w:r>
      <w:r w:rsidRPr="003E0AC3">
        <w:rPr>
          <w:spacing w:val="-4"/>
          <w:sz w:val="28"/>
          <w:szCs w:val="28"/>
          <w:lang w:val="en-US"/>
        </w:rPr>
        <w:t>al</w:t>
      </w:r>
      <w:r>
        <w:rPr>
          <w:spacing w:val="-4"/>
          <w:sz w:val="28"/>
          <w:szCs w:val="28"/>
        </w:rPr>
        <w:t>., 2016)</w:t>
      </w:r>
      <w:r w:rsidRPr="003E0AC3">
        <w:rPr>
          <w:spacing w:val="-4"/>
          <w:sz w:val="28"/>
          <w:szCs w:val="28"/>
        </w:rPr>
        <w:t>.</w:t>
      </w:r>
    </w:p>
    <w:p w:rsidR="00286780" w:rsidRDefault="00286780" w:rsidP="004A0CF0">
      <w:pPr>
        <w:spacing w:line="360" w:lineRule="auto"/>
        <w:ind w:firstLine="709"/>
        <w:jc w:val="both"/>
        <w:rPr>
          <w:spacing w:val="-4"/>
          <w:sz w:val="28"/>
          <w:szCs w:val="28"/>
        </w:rPr>
      </w:pPr>
      <w:r w:rsidRPr="003E0AC3">
        <w:rPr>
          <w:spacing w:val="-4"/>
          <w:sz w:val="28"/>
          <w:szCs w:val="28"/>
        </w:rPr>
        <w:t>Немногочисленные исследования, посвященные тяжелым одонтогенным воспалительным осложнениям, содержат информацию, ограниченную в основном частотой, распространенностью и структурой хронических заболеваний внутренних органов без должного обоснования принадлежности последних к фоновой, сопутствующей или конкурирующей патологии в каждом конкретном случае. Значительно реже представлены отдельные аспекты клинической картины одонтогенного сепсиса при наличии хронической патологии, теряющиеся на фоне общих характеристик генерализованного инфекционно-вос</w:t>
      </w:r>
      <w:r>
        <w:rPr>
          <w:spacing w:val="-4"/>
          <w:sz w:val="28"/>
          <w:szCs w:val="28"/>
        </w:rPr>
        <w:t xml:space="preserve">палительного процесса </w:t>
      </w:r>
      <w:r w:rsidRPr="00C31BFA">
        <w:rPr>
          <w:spacing w:val="-4"/>
          <w:sz w:val="28"/>
          <w:szCs w:val="28"/>
        </w:rPr>
        <w:t>(</w:t>
      </w:r>
      <w:r>
        <w:rPr>
          <w:spacing w:val="-4"/>
          <w:sz w:val="28"/>
          <w:szCs w:val="28"/>
        </w:rPr>
        <w:t>Губин М.</w:t>
      </w:r>
      <w:r w:rsidRPr="003E0AC3">
        <w:rPr>
          <w:spacing w:val="-4"/>
          <w:sz w:val="28"/>
          <w:szCs w:val="28"/>
        </w:rPr>
        <w:t>А., 1987; Хари</w:t>
      </w:r>
      <w:r>
        <w:rPr>
          <w:spacing w:val="-4"/>
          <w:sz w:val="28"/>
          <w:szCs w:val="28"/>
        </w:rPr>
        <w:t>тонов Ю.М., 1999; Будаев А.</w:t>
      </w:r>
      <w:r w:rsidRPr="003E0AC3">
        <w:rPr>
          <w:spacing w:val="-4"/>
          <w:sz w:val="28"/>
          <w:szCs w:val="28"/>
        </w:rPr>
        <w:t xml:space="preserve">П., 2001; </w:t>
      </w:r>
      <w:r>
        <w:rPr>
          <w:spacing w:val="-4"/>
          <w:sz w:val="28"/>
          <w:szCs w:val="28"/>
          <w:shd w:val="clear" w:color="auto" w:fill="FFFFFF"/>
        </w:rPr>
        <w:t>Пинелис Ю.И., Пинелис И.</w:t>
      </w:r>
      <w:r w:rsidRPr="003E0AC3">
        <w:rPr>
          <w:spacing w:val="-4"/>
          <w:sz w:val="28"/>
          <w:szCs w:val="28"/>
          <w:shd w:val="clear" w:color="auto" w:fill="FFFFFF"/>
        </w:rPr>
        <w:t>С</w:t>
      </w:r>
      <w:r w:rsidRPr="003C7CEC">
        <w:rPr>
          <w:spacing w:val="-4"/>
          <w:sz w:val="28"/>
          <w:szCs w:val="28"/>
          <w:shd w:val="clear" w:color="auto" w:fill="FFFFFF"/>
        </w:rPr>
        <w:t xml:space="preserve">., 2005; </w:t>
      </w:r>
      <w:r w:rsidRPr="003E0AC3">
        <w:rPr>
          <w:spacing w:val="-4"/>
          <w:sz w:val="28"/>
          <w:szCs w:val="28"/>
          <w:lang w:val="en-US"/>
        </w:rPr>
        <w:t>Lareyre</w:t>
      </w:r>
      <w:r>
        <w:rPr>
          <w:spacing w:val="-4"/>
          <w:sz w:val="28"/>
          <w:szCs w:val="28"/>
        </w:rPr>
        <w:t xml:space="preserve"> </w:t>
      </w:r>
      <w:r w:rsidRPr="003E0AC3">
        <w:rPr>
          <w:spacing w:val="-4"/>
          <w:sz w:val="28"/>
          <w:szCs w:val="28"/>
          <w:lang w:val="en-US"/>
        </w:rPr>
        <w:t>F</w:t>
      </w:r>
      <w:r w:rsidRPr="003C7CEC">
        <w:rPr>
          <w:spacing w:val="-4"/>
          <w:sz w:val="28"/>
          <w:szCs w:val="28"/>
        </w:rPr>
        <w:t>.</w:t>
      </w:r>
      <w:r w:rsidRPr="003E0AC3">
        <w:rPr>
          <w:spacing w:val="-4"/>
          <w:sz w:val="28"/>
          <w:szCs w:val="28"/>
          <w:lang w:val="en-US"/>
        </w:rPr>
        <w:t>A</w:t>
      </w:r>
      <w:r w:rsidRPr="003C7CEC">
        <w:rPr>
          <w:spacing w:val="-4"/>
          <w:sz w:val="28"/>
          <w:szCs w:val="28"/>
        </w:rPr>
        <w:t xml:space="preserve">. </w:t>
      </w:r>
      <w:r w:rsidRPr="003E0AC3">
        <w:rPr>
          <w:spacing w:val="-4"/>
          <w:sz w:val="28"/>
          <w:szCs w:val="28"/>
          <w:lang w:val="en-US"/>
        </w:rPr>
        <w:t>et</w:t>
      </w:r>
      <w:r>
        <w:rPr>
          <w:spacing w:val="-4"/>
          <w:sz w:val="28"/>
          <w:szCs w:val="28"/>
        </w:rPr>
        <w:t xml:space="preserve"> </w:t>
      </w:r>
      <w:r w:rsidRPr="003E0AC3">
        <w:rPr>
          <w:spacing w:val="-4"/>
          <w:sz w:val="28"/>
          <w:szCs w:val="28"/>
          <w:lang w:val="en-US"/>
        </w:rPr>
        <w:t>al</w:t>
      </w:r>
      <w:r w:rsidRPr="003C7CEC">
        <w:rPr>
          <w:spacing w:val="-4"/>
          <w:sz w:val="28"/>
          <w:szCs w:val="28"/>
        </w:rPr>
        <w:t xml:space="preserve">., 2017; </w:t>
      </w:r>
      <w:r w:rsidRPr="003E0AC3">
        <w:rPr>
          <w:spacing w:val="-4"/>
          <w:sz w:val="28"/>
          <w:szCs w:val="28"/>
          <w:lang w:val="en-US"/>
        </w:rPr>
        <w:t>Cavalcante</w:t>
      </w:r>
      <w:r>
        <w:rPr>
          <w:spacing w:val="-4"/>
          <w:sz w:val="28"/>
          <w:szCs w:val="28"/>
        </w:rPr>
        <w:t xml:space="preserve"> </w:t>
      </w:r>
      <w:r w:rsidRPr="003E0AC3">
        <w:rPr>
          <w:spacing w:val="-4"/>
          <w:sz w:val="28"/>
          <w:szCs w:val="28"/>
          <w:lang w:val="en-US"/>
        </w:rPr>
        <w:t>M</w:t>
      </w:r>
      <w:r w:rsidRPr="003C7CEC">
        <w:rPr>
          <w:spacing w:val="-4"/>
          <w:sz w:val="28"/>
          <w:szCs w:val="28"/>
        </w:rPr>
        <w:t>.</w:t>
      </w:r>
      <w:r w:rsidRPr="003E0AC3">
        <w:rPr>
          <w:spacing w:val="-4"/>
          <w:sz w:val="28"/>
          <w:szCs w:val="28"/>
          <w:lang w:val="en-US"/>
        </w:rPr>
        <w:t>B</w:t>
      </w:r>
      <w:r w:rsidRPr="003C7CEC">
        <w:rPr>
          <w:spacing w:val="-4"/>
          <w:sz w:val="28"/>
          <w:szCs w:val="28"/>
        </w:rPr>
        <w:t xml:space="preserve">. </w:t>
      </w:r>
      <w:r w:rsidRPr="003E0AC3">
        <w:rPr>
          <w:spacing w:val="-4"/>
          <w:sz w:val="28"/>
          <w:szCs w:val="28"/>
          <w:lang w:val="en-US"/>
        </w:rPr>
        <w:t>et</w:t>
      </w:r>
      <w:r>
        <w:rPr>
          <w:spacing w:val="-4"/>
          <w:sz w:val="28"/>
          <w:szCs w:val="28"/>
        </w:rPr>
        <w:t xml:space="preserve"> </w:t>
      </w:r>
      <w:r w:rsidRPr="003E0AC3">
        <w:rPr>
          <w:spacing w:val="-4"/>
          <w:sz w:val="28"/>
          <w:szCs w:val="28"/>
          <w:lang w:val="en-US"/>
        </w:rPr>
        <w:t>al</w:t>
      </w:r>
      <w:r w:rsidRPr="003C7CEC">
        <w:rPr>
          <w:spacing w:val="-4"/>
          <w:sz w:val="28"/>
          <w:szCs w:val="28"/>
        </w:rPr>
        <w:t xml:space="preserve">., 2017; </w:t>
      </w:r>
      <w:r w:rsidRPr="003E0AC3">
        <w:rPr>
          <w:spacing w:val="-4"/>
          <w:sz w:val="28"/>
          <w:szCs w:val="28"/>
          <w:lang w:val="en-US"/>
        </w:rPr>
        <w:t>Inan</w:t>
      </w:r>
      <w:r>
        <w:rPr>
          <w:spacing w:val="-4"/>
          <w:sz w:val="28"/>
          <w:szCs w:val="28"/>
        </w:rPr>
        <w:t xml:space="preserve"> </w:t>
      </w:r>
      <w:r w:rsidRPr="003E0AC3">
        <w:rPr>
          <w:spacing w:val="-4"/>
          <w:sz w:val="28"/>
          <w:szCs w:val="28"/>
          <w:lang w:val="en-US"/>
        </w:rPr>
        <w:t>C</w:t>
      </w:r>
      <w:r w:rsidRPr="003C7CEC">
        <w:rPr>
          <w:spacing w:val="-4"/>
          <w:sz w:val="28"/>
          <w:szCs w:val="28"/>
        </w:rPr>
        <w:t>.</w:t>
      </w:r>
      <w:r w:rsidRPr="003E0AC3">
        <w:rPr>
          <w:spacing w:val="-4"/>
          <w:sz w:val="28"/>
          <w:szCs w:val="28"/>
          <w:lang w:val="en-US"/>
        </w:rPr>
        <w:t>H</w:t>
      </w:r>
      <w:r w:rsidRPr="003C7CEC">
        <w:rPr>
          <w:spacing w:val="-4"/>
          <w:sz w:val="28"/>
          <w:szCs w:val="28"/>
        </w:rPr>
        <w:t xml:space="preserve">. </w:t>
      </w:r>
      <w:r w:rsidRPr="003E0AC3">
        <w:rPr>
          <w:spacing w:val="-4"/>
          <w:sz w:val="28"/>
          <w:szCs w:val="28"/>
          <w:lang w:val="en-US"/>
        </w:rPr>
        <w:t>et</w:t>
      </w:r>
      <w:r>
        <w:rPr>
          <w:spacing w:val="-4"/>
          <w:sz w:val="28"/>
          <w:szCs w:val="28"/>
        </w:rPr>
        <w:t xml:space="preserve"> </w:t>
      </w:r>
      <w:r w:rsidRPr="003E0AC3">
        <w:rPr>
          <w:spacing w:val="-4"/>
          <w:sz w:val="28"/>
          <w:szCs w:val="28"/>
          <w:lang w:val="en-US"/>
        </w:rPr>
        <w:t>al</w:t>
      </w:r>
      <w:r w:rsidRPr="003C7CEC">
        <w:rPr>
          <w:spacing w:val="-4"/>
          <w:sz w:val="28"/>
          <w:szCs w:val="28"/>
        </w:rPr>
        <w:t xml:space="preserve">., 2017; </w:t>
      </w:r>
      <w:r w:rsidRPr="003E0AC3">
        <w:rPr>
          <w:spacing w:val="-4"/>
          <w:sz w:val="28"/>
          <w:szCs w:val="28"/>
          <w:lang w:val="en-US"/>
        </w:rPr>
        <w:t>Al</w:t>
      </w:r>
      <w:r w:rsidRPr="003C7CEC">
        <w:rPr>
          <w:spacing w:val="-4"/>
          <w:sz w:val="28"/>
          <w:szCs w:val="28"/>
        </w:rPr>
        <w:t>-</w:t>
      </w:r>
      <w:r w:rsidRPr="003E0AC3">
        <w:rPr>
          <w:spacing w:val="-4"/>
          <w:sz w:val="28"/>
          <w:szCs w:val="28"/>
          <w:lang w:val="en-US"/>
        </w:rPr>
        <w:t>Ali</w:t>
      </w:r>
      <w:r>
        <w:rPr>
          <w:spacing w:val="-4"/>
          <w:sz w:val="28"/>
          <w:szCs w:val="28"/>
        </w:rPr>
        <w:t xml:space="preserve"> </w:t>
      </w:r>
      <w:r w:rsidRPr="003E0AC3">
        <w:rPr>
          <w:spacing w:val="-4"/>
          <w:sz w:val="28"/>
          <w:szCs w:val="28"/>
          <w:lang w:val="en-US"/>
        </w:rPr>
        <w:t>M</w:t>
      </w:r>
      <w:r w:rsidRPr="003C7CEC">
        <w:rPr>
          <w:spacing w:val="-4"/>
          <w:sz w:val="28"/>
          <w:szCs w:val="28"/>
        </w:rPr>
        <w:t>.</w:t>
      </w:r>
      <w:r w:rsidRPr="003E0AC3">
        <w:rPr>
          <w:spacing w:val="-4"/>
          <w:sz w:val="28"/>
          <w:szCs w:val="28"/>
          <w:lang w:val="en-US"/>
        </w:rPr>
        <w:t>A</w:t>
      </w:r>
      <w:r w:rsidRPr="003E0AC3">
        <w:rPr>
          <w:spacing w:val="-4"/>
          <w:sz w:val="28"/>
          <w:szCs w:val="28"/>
        </w:rPr>
        <w:t xml:space="preserve">. </w:t>
      </w:r>
      <w:r w:rsidRPr="003E0AC3">
        <w:rPr>
          <w:spacing w:val="-4"/>
          <w:sz w:val="28"/>
          <w:szCs w:val="28"/>
          <w:lang w:val="en-US"/>
        </w:rPr>
        <w:t>et</w:t>
      </w:r>
      <w:r>
        <w:rPr>
          <w:spacing w:val="-4"/>
          <w:sz w:val="28"/>
          <w:szCs w:val="28"/>
        </w:rPr>
        <w:t xml:space="preserve"> </w:t>
      </w:r>
      <w:r w:rsidRPr="003E0AC3">
        <w:rPr>
          <w:spacing w:val="-4"/>
          <w:sz w:val="28"/>
          <w:szCs w:val="28"/>
          <w:lang w:val="en-US"/>
        </w:rPr>
        <w:t>al</w:t>
      </w:r>
      <w:r>
        <w:rPr>
          <w:spacing w:val="-4"/>
          <w:sz w:val="28"/>
          <w:szCs w:val="28"/>
        </w:rPr>
        <w:t>., 2018</w:t>
      </w:r>
      <w:r w:rsidRPr="00C31BFA">
        <w:rPr>
          <w:spacing w:val="-4"/>
          <w:sz w:val="28"/>
          <w:szCs w:val="28"/>
        </w:rPr>
        <w:t>)</w:t>
      </w:r>
      <w:r>
        <w:rPr>
          <w:spacing w:val="-4"/>
          <w:sz w:val="28"/>
          <w:szCs w:val="28"/>
        </w:rPr>
        <w:t>.</w:t>
      </w:r>
    </w:p>
    <w:p w:rsidR="00286780" w:rsidRPr="004A0CF0" w:rsidRDefault="00286780" w:rsidP="004A0CF0">
      <w:pPr>
        <w:spacing w:line="360" w:lineRule="auto"/>
        <w:ind w:firstLine="709"/>
        <w:jc w:val="both"/>
        <w:rPr>
          <w:sz w:val="28"/>
          <w:szCs w:val="28"/>
        </w:rPr>
      </w:pPr>
      <w:r w:rsidRPr="004A0CF0">
        <w:rPr>
          <w:sz w:val="28"/>
          <w:szCs w:val="28"/>
        </w:rPr>
        <w:lastRenderedPageBreak/>
        <w:t xml:space="preserve">В </w:t>
      </w:r>
      <w:r>
        <w:rPr>
          <w:sz w:val="28"/>
          <w:szCs w:val="28"/>
        </w:rPr>
        <w:t>доступных литературных источниках</w:t>
      </w:r>
      <w:r w:rsidRPr="004A0CF0">
        <w:rPr>
          <w:sz w:val="28"/>
          <w:szCs w:val="28"/>
        </w:rPr>
        <w:t xml:space="preserve"> не обнаружено материалов, характеризующих особенности клинической картины и степень взаимного влияния одонтогенного инфекционного процесса и хронической полиорганной патологии внутренних органов в зависимости от нозологической формы превалирующего хронического фонового заболевания, формы (местная форма или сепсис) и степени тяжести основного гнойно-воспалительного заболевания. Отсутствуют алгоритмы комплексной диагностики и лечения пациентов с одонтогенными воспалительными осложнениями, развивающимися при наличии полиморбидного полиорганного фона. </w:t>
      </w:r>
    </w:p>
    <w:p w:rsidR="00286780" w:rsidRPr="004A0CF0" w:rsidRDefault="00286780" w:rsidP="00C31BFA">
      <w:pPr>
        <w:spacing w:line="360" w:lineRule="auto"/>
        <w:ind w:firstLine="709"/>
        <w:jc w:val="both"/>
        <w:rPr>
          <w:sz w:val="28"/>
          <w:szCs w:val="28"/>
        </w:rPr>
      </w:pPr>
      <w:r w:rsidRPr="004A0CF0">
        <w:rPr>
          <w:sz w:val="28"/>
          <w:szCs w:val="28"/>
        </w:rPr>
        <w:t>Данная проблема является актуальной, требует дальнейшего исследования и разработки соответствующих рекомендаций.</w:t>
      </w:r>
    </w:p>
    <w:p w:rsidR="00286780" w:rsidRPr="00C31BFA" w:rsidRDefault="00286780" w:rsidP="00C31BFA">
      <w:pPr>
        <w:spacing w:line="360" w:lineRule="auto"/>
        <w:ind w:firstLine="709"/>
        <w:jc w:val="both"/>
        <w:rPr>
          <w:b/>
          <w:sz w:val="28"/>
          <w:szCs w:val="28"/>
        </w:rPr>
      </w:pPr>
      <w:r w:rsidRPr="004A0CF0">
        <w:rPr>
          <w:b/>
          <w:sz w:val="28"/>
          <w:szCs w:val="28"/>
        </w:rPr>
        <w:t>Степень разработанности темы исследования</w:t>
      </w:r>
      <w:r>
        <w:rPr>
          <w:b/>
          <w:sz w:val="28"/>
          <w:szCs w:val="28"/>
        </w:rPr>
        <w:t xml:space="preserve">. </w:t>
      </w:r>
      <w:r w:rsidRPr="004A0CF0">
        <w:rPr>
          <w:sz w:val="28"/>
          <w:szCs w:val="28"/>
        </w:rPr>
        <w:t xml:space="preserve">Вопросы диагностики </w:t>
      </w:r>
      <w:r>
        <w:rPr>
          <w:sz w:val="28"/>
          <w:szCs w:val="28"/>
        </w:rPr>
        <w:t>гнойно-воспалительных</w:t>
      </w:r>
      <w:r w:rsidRPr="004A0CF0">
        <w:rPr>
          <w:sz w:val="28"/>
          <w:szCs w:val="28"/>
        </w:rPr>
        <w:t xml:space="preserve"> за</w:t>
      </w:r>
      <w:r>
        <w:rPr>
          <w:sz w:val="28"/>
          <w:szCs w:val="28"/>
        </w:rPr>
        <w:t xml:space="preserve">болеванийлица и шеи </w:t>
      </w:r>
      <w:r w:rsidRPr="004A0CF0">
        <w:rPr>
          <w:sz w:val="28"/>
          <w:szCs w:val="28"/>
        </w:rPr>
        <w:t>при наличии фоновой соматической патологии исследовались отечественными и зарубежными учеными. Наибольши</w:t>
      </w:r>
      <w:r>
        <w:rPr>
          <w:sz w:val="28"/>
          <w:szCs w:val="28"/>
        </w:rPr>
        <w:t>й вклад в их изучение внесли Н.Н. Бажанов, К.С. Гандылян, Е.</w:t>
      </w:r>
      <w:r w:rsidRPr="004A0CF0">
        <w:rPr>
          <w:sz w:val="28"/>
          <w:szCs w:val="28"/>
        </w:rPr>
        <w:t>И. Гирко, С.С. Ко</w:t>
      </w:r>
      <w:r>
        <w:rPr>
          <w:sz w:val="28"/>
          <w:szCs w:val="28"/>
        </w:rPr>
        <w:t>нев, Т.Г. Робустова, А.А. Тимофеев, В.А. Козлов, Н.</w:t>
      </w:r>
      <w:r w:rsidRPr="004A0CF0">
        <w:rPr>
          <w:sz w:val="28"/>
          <w:szCs w:val="28"/>
        </w:rPr>
        <w:t>И. Чевард</w:t>
      </w:r>
      <w:r>
        <w:rPr>
          <w:sz w:val="28"/>
          <w:szCs w:val="28"/>
        </w:rPr>
        <w:t>ов, А.</w:t>
      </w:r>
      <w:r w:rsidRPr="004A0CF0">
        <w:rPr>
          <w:sz w:val="28"/>
          <w:szCs w:val="28"/>
        </w:rPr>
        <w:t xml:space="preserve">Г. Шаргородский, </w:t>
      </w:r>
      <w:r>
        <w:rPr>
          <w:sz w:val="28"/>
          <w:szCs w:val="28"/>
          <w:shd w:val="clear" w:color="auto" w:fill="FFFFFF"/>
        </w:rPr>
        <w:t>А.</w:t>
      </w:r>
      <w:r w:rsidRPr="004A0CF0">
        <w:rPr>
          <w:sz w:val="28"/>
          <w:szCs w:val="28"/>
          <w:shd w:val="clear" w:color="auto" w:fill="FFFFFF"/>
        </w:rPr>
        <w:t>И. Яременко,</w:t>
      </w:r>
      <w:r>
        <w:rPr>
          <w:sz w:val="28"/>
          <w:szCs w:val="28"/>
          <w:shd w:val="clear" w:color="auto" w:fill="FFFFFF"/>
        </w:rPr>
        <w:t xml:space="preserve"> </w:t>
      </w:r>
      <w:r w:rsidRPr="004A0CF0">
        <w:rPr>
          <w:sz w:val="28"/>
          <w:szCs w:val="28"/>
          <w:lang w:val="en-US"/>
        </w:rPr>
        <w:t>T</w:t>
      </w:r>
      <w:r>
        <w:rPr>
          <w:sz w:val="28"/>
          <w:szCs w:val="28"/>
        </w:rPr>
        <w:t>.</w:t>
      </w:r>
      <w:r w:rsidRPr="004A0CF0">
        <w:rPr>
          <w:sz w:val="28"/>
          <w:szCs w:val="28"/>
          <w:lang w:val="en-US"/>
        </w:rPr>
        <w:t>O</w:t>
      </w:r>
      <w:r w:rsidRPr="004A0CF0">
        <w:rPr>
          <w:sz w:val="28"/>
          <w:szCs w:val="28"/>
        </w:rPr>
        <w:t xml:space="preserve">. </w:t>
      </w:r>
      <w:r w:rsidRPr="004A0CF0">
        <w:rPr>
          <w:sz w:val="28"/>
          <w:szCs w:val="28"/>
          <w:lang w:val="en-US"/>
        </w:rPr>
        <w:t>Abdurrazaq</w:t>
      </w:r>
      <w:r w:rsidRPr="004A0CF0">
        <w:rPr>
          <w:sz w:val="28"/>
          <w:szCs w:val="28"/>
        </w:rPr>
        <w:t xml:space="preserve">, </w:t>
      </w:r>
      <w:r w:rsidRPr="004A0CF0">
        <w:rPr>
          <w:sz w:val="28"/>
          <w:szCs w:val="28"/>
          <w:lang w:val="en-US"/>
        </w:rPr>
        <w:t>A</w:t>
      </w:r>
      <w:r w:rsidRPr="004A0CF0">
        <w:rPr>
          <w:sz w:val="28"/>
          <w:szCs w:val="28"/>
        </w:rPr>
        <w:t xml:space="preserve">. </w:t>
      </w:r>
      <w:r w:rsidRPr="004A0CF0">
        <w:rPr>
          <w:sz w:val="28"/>
          <w:szCs w:val="28"/>
          <w:lang w:val="en-US"/>
        </w:rPr>
        <w:t>Botha</w:t>
      </w:r>
      <w:r w:rsidRPr="004A0CF0">
        <w:rPr>
          <w:sz w:val="28"/>
          <w:szCs w:val="28"/>
        </w:rPr>
        <w:t xml:space="preserve">, </w:t>
      </w:r>
      <w:r w:rsidRPr="004A0CF0">
        <w:rPr>
          <w:sz w:val="28"/>
          <w:szCs w:val="28"/>
          <w:lang w:val="en-US"/>
        </w:rPr>
        <w:t>M</w:t>
      </w:r>
      <w:r w:rsidRPr="004A0CF0">
        <w:rPr>
          <w:sz w:val="28"/>
          <w:szCs w:val="28"/>
        </w:rPr>
        <w:t xml:space="preserve">. </w:t>
      </w:r>
      <w:r w:rsidRPr="004A0CF0">
        <w:rPr>
          <w:sz w:val="28"/>
          <w:szCs w:val="28"/>
          <w:lang w:val="en-US"/>
        </w:rPr>
        <w:t>Juncar</w:t>
      </w:r>
      <w:r w:rsidRPr="004A0CF0">
        <w:rPr>
          <w:sz w:val="28"/>
          <w:szCs w:val="28"/>
        </w:rPr>
        <w:t xml:space="preserve">, </w:t>
      </w:r>
      <w:r w:rsidRPr="004A0CF0">
        <w:rPr>
          <w:sz w:val="28"/>
          <w:szCs w:val="28"/>
          <w:lang w:val="en-US"/>
        </w:rPr>
        <w:t>C</w:t>
      </w:r>
      <w:r w:rsidRPr="004A0CF0">
        <w:rPr>
          <w:sz w:val="28"/>
          <w:szCs w:val="28"/>
        </w:rPr>
        <w:t xml:space="preserve">. </w:t>
      </w:r>
      <w:r w:rsidRPr="004A0CF0">
        <w:rPr>
          <w:sz w:val="28"/>
          <w:szCs w:val="28"/>
          <w:lang w:val="en-US"/>
        </w:rPr>
        <w:t>Kloth</w:t>
      </w:r>
      <w:r w:rsidRPr="004A0CF0">
        <w:rPr>
          <w:sz w:val="28"/>
          <w:szCs w:val="28"/>
        </w:rPr>
        <w:t xml:space="preserve">, </w:t>
      </w:r>
      <w:r w:rsidRPr="004A0CF0">
        <w:rPr>
          <w:sz w:val="28"/>
          <w:szCs w:val="28"/>
          <w:shd w:val="clear" w:color="auto" w:fill="FFFFFF"/>
          <w:lang w:val="en-US"/>
        </w:rPr>
        <w:t>R</w:t>
      </w:r>
      <w:r w:rsidRPr="004A0CF0">
        <w:rPr>
          <w:sz w:val="28"/>
          <w:szCs w:val="28"/>
          <w:shd w:val="clear" w:color="auto" w:fill="FFFFFF"/>
        </w:rPr>
        <w:t xml:space="preserve">. </w:t>
      </w:r>
      <w:r w:rsidRPr="004A0CF0">
        <w:rPr>
          <w:sz w:val="28"/>
          <w:szCs w:val="28"/>
          <w:shd w:val="clear" w:color="auto" w:fill="FFFFFF"/>
          <w:lang w:val="en-US"/>
        </w:rPr>
        <w:t>Gore</w:t>
      </w:r>
      <w:r>
        <w:rPr>
          <w:sz w:val="28"/>
          <w:szCs w:val="28"/>
          <w:shd w:val="clear" w:color="auto" w:fill="FFFFFF"/>
        </w:rPr>
        <w:t xml:space="preserve"> </w:t>
      </w:r>
      <w:r w:rsidRPr="004A0CF0">
        <w:rPr>
          <w:sz w:val="28"/>
          <w:szCs w:val="28"/>
          <w:shd w:val="clear" w:color="auto" w:fill="FFFFFF"/>
          <w:lang w:val="en-US"/>
        </w:rPr>
        <w:t>Mitchell</w:t>
      </w:r>
      <w:r w:rsidRPr="004A0CF0">
        <w:rPr>
          <w:sz w:val="28"/>
          <w:szCs w:val="28"/>
        </w:rPr>
        <w:t xml:space="preserve">, </w:t>
      </w:r>
      <w:r w:rsidRPr="004A0CF0">
        <w:rPr>
          <w:sz w:val="28"/>
          <w:szCs w:val="28"/>
          <w:lang w:val="en-US"/>
        </w:rPr>
        <w:t>D</w:t>
      </w:r>
      <w:r w:rsidRPr="004A0CF0">
        <w:rPr>
          <w:sz w:val="28"/>
          <w:szCs w:val="28"/>
        </w:rPr>
        <w:t xml:space="preserve">. </w:t>
      </w:r>
      <w:r w:rsidRPr="004A0CF0">
        <w:rPr>
          <w:sz w:val="28"/>
          <w:szCs w:val="28"/>
          <w:lang w:val="en-US"/>
        </w:rPr>
        <w:t>Noy</w:t>
      </w:r>
      <w:r w:rsidRPr="004A0CF0">
        <w:rPr>
          <w:sz w:val="28"/>
          <w:szCs w:val="28"/>
        </w:rPr>
        <w:t xml:space="preserve">, </w:t>
      </w:r>
      <w:r w:rsidRPr="004A0CF0">
        <w:rPr>
          <w:sz w:val="28"/>
          <w:szCs w:val="28"/>
          <w:lang w:val="en-US"/>
        </w:rPr>
        <w:t>K</w:t>
      </w:r>
      <w:r w:rsidRPr="004A0CF0">
        <w:rPr>
          <w:sz w:val="28"/>
          <w:szCs w:val="28"/>
        </w:rPr>
        <w:t xml:space="preserve">. </w:t>
      </w:r>
      <w:r w:rsidRPr="004A0CF0">
        <w:rPr>
          <w:sz w:val="28"/>
          <w:szCs w:val="28"/>
          <w:lang w:val="en-US"/>
        </w:rPr>
        <w:t>Zemplenyi</w:t>
      </w:r>
      <w:r w:rsidRPr="004A0CF0">
        <w:rPr>
          <w:sz w:val="28"/>
          <w:szCs w:val="28"/>
        </w:rPr>
        <w:t>.</w:t>
      </w:r>
    </w:p>
    <w:p w:rsidR="00286780" w:rsidRDefault="00286780" w:rsidP="00C31BFA">
      <w:pPr>
        <w:spacing w:line="360" w:lineRule="auto"/>
        <w:ind w:firstLine="709"/>
        <w:jc w:val="both"/>
        <w:rPr>
          <w:sz w:val="28"/>
          <w:szCs w:val="28"/>
        </w:rPr>
      </w:pPr>
      <w:r w:rsidRPr="004A0CF0">
        <w:rPr>
          <w:sz w:val="28"/>
          <w:szCs w:val="28"/>
        </w:rPr>
        <w:t>В последние го</w:t>
      </w:r>
      <w:r>
        <w:rPr>
          <w:sz w:val="28"/>
          <w:szCs w:val="28"/>
        </w:rPr>
        <w:t>ды проблеме уделяли внимание А.П. Будаев, М.А. Губин, А.С. Забелин, А.А. Оганесян, Ю.</w:t>
      </w:r>
      <w:r w:rsidRPr="004A0CF0">
        <w:rPr>
          <w:sz w:val="28"/>
          <w:szCs w:val="28"/>
        </w:rPr>
        <w:t>М. Харитонов. Их работы в значительной мере способствовали изучению одонтогенного сепсиса, сопровождающегося органной недостаточностью и множе</w:t>
      </w:r>
      <w:r>
        <w:rPr>
          <w:sz w:val="28"/>
          <w:szCs w:val="28"/>
        </w:rPr>
        <w:t xml:space="preserve">ственной системной дисфункцией. </w:t>
      </w:r>
      <w:r w:rsidRPr="004A0CF0">
        <w:rPr>
          <w:sz w:val="28"/>
          <w:szCs w:val="28"/>
        </w:rPr>
        <w:t xml:space="preserve">Однако, в трудах этих ученых не рассматривается системный подход к соматической патологии как фактору, способствующему отягощению течения основного воспалительного процесса. Отсутствуют сведения о трактовке одонтогенного сепсиса в рамках современных критериев </w:t>
      </w:r>
      <w:r>
        <w:rPr>
          <w:sz w:val="28"/>
          <w:szCs w:val="28"/>
        </w:rPr>
        <w:t>диагностики и лечения (</w:t>
      </w:r>
      <w:r w:rsidRPr="00AC516B">
        <w:rPr>
          <w:sz w:val="28"/>
          <w:szCs w:val="28"/>
          <w:lang w:val="en-US"/>
        </w:rPr>
        <w:t>SCCM</w:t>
      </w:r>
      <w:r w:rsidRPr="00AC516B">
        <w:rPr>
          <w:sz w:val="28"/>
          <w:szCs w:val="28"/>
        </w:rPr>
        <w:t>/</w:t>
      </w:r>
      <w:r w:rsidRPr="00AC516B">
        <w:rPr>
          <w:sz w:val="28"/>
          <w:szCs w:val="28"/>
          <w:lang w:val="en-US"/>
        </w:rPr>
        <w:t>ESICM</w:t>
      </w:r>
      <w:r w:rsidRPr="004A0CF0">
        <w:rPr>
          <w:sz w:val="28"/>
          <w:szCs w:val="28"/>
        </w:rPr>
        <w:t>, 2016 г.). Недостаточно проработаны вопросы полиморбидности (коморбидности) у пациен</w:t>
      </w:r>
      <w:r>
        <w:rPr>
          <w:sz w:val="28"/>
          <w:szCs w:val="28"/>
        </w:rPr>
        <w:t>тов челюстно-лицевого профиля</w:t>
      </w:r>
      <w:r w:rsidRPr="004A0CF0">
        <w:rPr>
          <w:sz w:val="28"/>
          <w:szCs w:val="28"/>
        </w:rPr>
        <w:t>.</w:t>
      </w:r>
    </w:p>
    <w:p w:rsidR="00286780" w:rsidRPr="004A0CF0" w:rsidRDefault="00286780" w:rsidP="00C31BFA">
      <w:pPr>
        <w:spacing w:line="360" w:lineRule="auto"/>
        <w:ind w:firstLine="709"/>
        <w:jc w:val="both"/>
        <w:rPr>
          <w:sz w:val="28"/>
          <w:szCs w:val="28"/>
        </w:rPr>
      </w:pPr>
      <w:r w:rsidRPr="00C31BFA">
        <w:rPr>
          <w:b/>
          <w:sz w:val="28"/>
          <w:szCs w:val="28"/>
        </w:rPr>
        <w:lastRenderedPageBreak/>
        <w:t>Цель исследования</w:t>
      </w:r>
      <w:r w:rsidRPr="004A0CF0">
        <w:rPr>
          <w:sz w:val="28"/>
          <w:szCs w:val="28"/>
        </w:rPr>
        <w:t xml:space="preserve"> – повышение эффективности диагностики и лечения пациентов с хирургическими осложнениями одонтогенной инфекции при наличии фоновой полиорганной патологии и синдрома взаимного отягощения.</w:t>
      </w:r>
    </w:p>
    <w:p w:rsidR="00286780" w:rsidRPr="00C31BFA" w:rsidRDefault="00286780" w:rsidP="00C31BFA">
      <w:pPr>
        <w:spacing w:line="360" w:lineRule="auto"/>
        <w:ind w:firstLine="709"/>
        <w:jc w:val="center"/>
        <w:rPr>
          <w:b/>
          <w:sz w:val="28"/>
          <w:szCs w:val="28"/>
        </w:rPr>
      </w:pPr>
      <w:r w:rsidRPr="00C31BFA">
        <w:rPr>
          <w:b/>
          <w:sz w:val="28"/>
          <w:szCs w:val="28"/>
        </w:rPr>
        <w:t>Задачи исследования</w:t>
      </w:r>
    </w:p>
    <w:p w:rsidR="00001BC4" w:rsidRPr="000F54C7" w:rsidRDefault="00001BC4" w:rsidP="00001BC4">
      <w:pPr>
        <w:numPr>
          <w:ilvl w:val="0"/>
          <w:numId w:val="12"/>
        </w:numPr>
        <w:spacing w:line="360" w:lineRule="auto"/>
        <w:ind w:left="0" w:firstLine="709"/>
        <w:jc w:val="both"/>
        <w:rPr>
          <w:sz w:val="28"/>
          <w:szCs w:val="28"/>
        </w:rPr>
      </w:pPr>
      <w:r w:rsidRPr="000F54C7">
        <w:rPr>
          <w:sz w:val="28"/>
          <w:szCs w:val="28"/>
        </w:rPr>
        <w:t xml:space="preserve">Выполнить сравнительную характеристику структуры хронической патологии внутренних органов у пациентов с </w:t>
      </w:r>
      <w:r>
        <w:rPr>
          <w:sz w:val="28"/>
          <w:szCs w:val="28"/>
        </w:rPr>
        <w:t xml:space="preserve">местной формой одонтогенной инфекции, </w:t>
      </w:r>
      <w:r w:rsidRPr="000F54C7">
        <w:rPr>
          <w:sz w:val="28"/>
          <w:szCs w:val="28"/>
        </w:rPr>
        <w:t>одонтогенным сепсисом</w:t>
      </w:r>
      <w:r>
        <w:rPr>
          <w:sz w:val="28"/>
          <w:szCs w:val="28"/>
        </w:rPr>
        <w:t xml:space="preserve"> и контактными медиастинитами</w:t>
      </w:r>
      <w:r w:rsidRPr="00A30516">
        <w:rPr>
          <w:sz w:val="28"/>
          <w:szCs w:val="28"/>
        </w:rPr>
        <w:t>.</w:t>
      </w:r>
    </w:p>
    <w:p w:rsidR="00001BC4" w:rsidRPr="000F54C7" w:rsidRDefault="00001BC4" w:rsidP="00001BC4">
      <w:pPr>
        <w:numPr>
          <w:ilvl w:val="0"/>
          <w:numId w:val="12"/>
        </w:numPr>
        <w:spacing w:line="360" w:lineRule="auto"/>
        <w:ind w:left="0" w:firstLine="709"/>
        <w:jc w:val="both"/>
        <w:rPr>
          <w:sz w:val="28"/>
          <w:szCs w:val="28"/>
        </w:rPr>
      </w:pPr>
      <w:r w:rsidRPr="000F54C7">
        <w:rPr>
          <w:sz w:val="28"/>
          <w:szCs w:val="28"/>
        </w:rPr>
        <w:t>Охарактеризовать влияние различных нозологических форм хронической патологии внутренних органов</w:t>
      </w:r>
      <w:r>
        <w:rPr>
          <w:sz w:val="28"/>
          <w:szCs w:val="28"/>
        </w:rPr>
        <w:t xml:space="preserve"> (сердечно-сосудистой, дыхательной, эндокринной, пищеварительной, печени)</w:t>
      </w:r>
      <w:r w:rsidRPr="000F54C7">
        <w:rPr>
          <w:sz w:val="28"/>
          <w:szCs w:val="28"/>
        </w:rPr>
        <w:t xml:space="preserve"> на клиническое течение и исход воспалительных </w:t>
      </w:r>
      <w:r>
        <w:rPr>
          <w:sz w:val="28"/>
          <w:szCs w:val="28"/>
        </w:rPr>
        <w:t>заболеваний челюстно-лицевой области и шеи.</w:t>
      </w:r>
    </w:p>
    <w:p w:rsidR="00001BC4" w:rsidRPr="000F54C7" w:rsidRDefault="00001BC4" w:rsidP="00001BC4">
      <w:pPr>
        <w:numPr>
          <w:ilvl w:val="0"/>
          <w:numId w:val="12"/>
        </w:numPr>
        <w:spacing w:line="360" w:lineRule="auto"/>
        <w:ind w:left="0" w:firstLine="709"/>
        <w:jc w:val="both"/>
        <w:rPr>
          <w:sz w:val="28"/>
          <w:szCs w:val="28"/>
        </w:rPr>
      </w:pPr>
      <w:r w:rsidRPr="000F54C7">
        <w:rPr>
          <w:sz w:val="28"/>
          <w:szCs w:val="28"/>
        </w:rPr>
        <w:t xml:space="preserve">Определить </w:t>
      </w:r>
      <w:r>
        <w:rPr>
          <w:sz w:val="28"/>
          <w:szCs w:val="28"/>
        </w:rPr>
        <w:t xml:space="preserve">полиморбидные </w:t>
      </w:r>
      <w:r w:rsidRPr="000F54C7">
        <w:rPr>
          <w:sz w:val="28"/>
          <w:szCs w:val="28"/>
        </w:rPr>
        <w:t>полиорганные фоновые нозологические формы хронической патологии внутренних органов</w:t>
      </w:r>
      <w:r>
        <w:rPr>
          <w:sz w:val="28"/>
          <w:szCs w:val="28"/>
        </w:rPr>
        <w:t xml:space="preserve"> у пациентов с воспалительными заболеваниями челюстно-лицевой области и шеи, оказывающие статистически значимое влияние на течение основного заболевания (воспалительного процесса)</w:t>
      </w:r>
      <w:r w:rsidRPr="000F54C7">
        <w:rPr>
          <w:sz w:val="28"/>
          <w:szCs w:val="28"/>
        </w:rPr>
        <w:t>.</w:t>
      </w:r>
    </w:p>
    <w:p w:rsidR="00001BC4" w:rsidRPr="000F54C7" w:rsidRDefault="00001BC4" w:rsidP="00001BC4">
      <w:pPr>
        <w:numPr>
          <w:ilvl w:val="0"/>
          <w:numId w:val="12"/>
        </w:numPr>
        <w:spacing w:line="360" w:lineRule="auto"/>
        <w:ind w:left="0" w:firstLine="709"/>
        <w:jc w:val="both"/>
        <w:rPr>
          <w:sz w:val="28"/>
          <w:szCs w:val="28"/>
        </w:rPr>
      </w:pPr>
      <w:r w:rsidRPr="000F54C7">
        <w:rPr>
          <w:sz w:val="28"/>
          <w:szCs w:val="28"/>
        </w:rPr>
        <w:t>Охарактеризовать особенн</w:t>
      </w:r>
      <w:r>
        <w:rPr>
          <w:sz w:val="28"/>
          <w:szCs w:val="28"/>
        </w:rPr>
        <w:t>ости клинического течения местной формы одонтогенной инфекции, одонтогенного сепсиса и контактных медиастинитов (КМ)</w:t>
      </w:r>
      <w:r w:rsidRPr="000F54C7">
        <w:rPr>
          <w:sz w:val="28"/>
          <w:szCs w:val="28"/>
        </w:rPr>
        <w:t xml:space="preserve"> при наличии полиорганной фоновой патологии.</w:t>
      </w:r>
    </w:p>
    <w:p w:rsidR="00001BC4" w:rsidRPr="000F54C7" w:rsidRDefault="00001BC4" w:rsidP="00001BC4">
      <w:pPr>
        <w:numPr>
          <w:ilvl w:val="0"/>
          <w:numId w:val="12"/>
        </w:numPr>
        <w:spacing w:line="360" w:lineRule="auto"/>
        <w:ind w:left="0" w:firstLine="709"/>
        <w:jc w:val="both"/>
        <w:rPr>
          <w:sz w:val="28"/>
          <w:szCs w:val="28"/>
        </w:rPr>
      </w:pPr>
      <w:r w:rsidRPr="000F54C7">
        <w:rPr>
          <w:sz w:val="28"/>
          <w:szCs w:val="28"/>
        </w:rPr>
        <w:t xml:space="preserve">Разработать алгоритм диагностики </w:t>
      </w:r>
      <w:r>
        <w:rPr>
          <w:sz w:val="28"/>
          <w:szCs w:val="28"/>
        </w:rPr>
        <w:t>сепсиса, развивающегося на фоне воспалительных заболеваний челюстно-лицевой области и шеи</w:t>
      </w:r>
      <w:r w:rsidRPr="000F54C7">
        <w:rPr>
          <w:sz w:val="28"/>
          <w:szCs w:val="28"/>
        </w:rPr>
        <w:t xml:space="preserve"> при наличии полиорганной фоновой патологии и синдрома взаимного отягощения.</w:t>
      </w:r>
    </w:p>
    <w:p w:rsidR="00001BC4" w:rsidRPr="000F54C7" w:rsidRDefault="00001BC4" w:rsidP="00001BC4">
      <w:pPr>
        <w:numPr>
          <w:ilvl w:val="0"/>
          <w:numId w:val="12"/>
        </w:numPr>
        <w:spacing w:line="360" w:lineRule="auto"/>
        <w:ind w:left="0" w:firstLine="709"/>
        <w:jc w:val="both"/>
        <w:rPr>
          <w:sz w:val="28"/>
          <w:szCs w:val="28"/>
        </w:rPr>
      </w:pPr>
      <w:r w:rsidRPr="000F54C7">
        <w:rPr>
          <w:sz w:val="28"/>
          <w:szCs w:val="28"/>
        </w:rPr>
        <w:t xml:space="preserve">Разработать программу комплексного лечения пациентов с </w:t>
      </w:r>
      <w:r>
        <w:rPr>
          <w:sz w:val="28"/>
          <w:szCs w:val="28"/>
        </w:rPr>
        <w:t>воспалительными заболеваниями челюстно-лицевой области и шеи</w:t>
      </w:r>
      <w:r w:rsidRPr="000F54C7">
        <w:rPr>
          <w:sz w:val="28"/>
          <w:szCs w:val="28"/>
        </w:rPr>
        <w:t>, полиорганной фоновой патологией и синдромом взаимного отягощения.</w:t>
      </w:r>
    </w:p>
    <w:p w:rsidR="00286780" w:rsidRPr="00001BC4" w:rsidRDefault="00001BC4" w:rsidP="00001BC4">
      <w:pPr>
        <w:numPr>
          <w:ilvl w:val="0"/>
          <w:numId w:val="12"/>
        </w:numPr>
        <w:spacing w:line="360" w:lineRule="auto"/>
        <w:ind w:left="0" w:firstLine="709"/>
        <w:jc w:val="both"/>
        <w:rPr>
          <w:sz w:val="28"/>
          <w:szCs w:val="28"/>
        </w:rPr>
      </w:pPr>
      <w:r w:rsidRPr="000F54C7">
        <w:rPr>
          <w:sz w:val="28"/>
          <w:szCs w:val="28"/>
        </w:rPr>
        <w:t>Оценить клиническую эффект</w:t>
      </w:r>
      <w:r>
        <w:rPr>
          <w:sz w:val="28"/>
          <w:szCs w:val="28"/>
        </w:rPr>
        <w:t>ивность разработанных алгоритма</w:t>
      </w:r>
      <w:r w:rsidRPr="000F54C7">
        <w:rPr>
          <w:sz w:val="28"/>
          <w:szCs w:val="28"/>
        </w:rPr>
        <w:t xml:space="preserve"> </w:t>
      </w:r>
      <w:r>
        <w:rPr>
          <w:sz w:val="28"/>
          <w:szCs w:val="28"/>
        </w:rPr>
        <w:t>диагностики</w:t>
      </w:r>
      <w:r w:rsidRPr="000F54C7">
        <w:rPr>
          <w:sz w:val="28"/>
          <w:szCs w:val="28"/>
        </w:rPr>
        <w:t xml:space="preserve"> и программы комплексного лечения на примере группы пациентов с </w:t>
      </w:r>
      <w:r>
        <w:rPr>
          <w:sz w:val="28"/>
          <w:szCs w:val="28"/>
        </w:rPr>
        <w:t xml:space="preserve">одонтогенными воспалительными заболеваниями </w:t>
      </w:r>
      <w:r w:rsidRPr="000F54C7">
        <w:rPr>
          <w:sz w:val="28"/>
          <w:szCs w:val="28"/>
        </w:rPr>
        <w:t>при наличии полиорганной фоновой патологии и синдрома взаимного отягощения.</w:t>
      </w:r>
    </w:p>
    <w:p w:rsidR="00001BC4" w:rsidRDefault="00286780" w:rsidP="00001BC4">
      <w:pPr>
        <w:spacing w:line="360" w:lineRule="auto"/>
        <w:ind w:firstLine="709"/>
        <w:jc w:val="both"/>
        <w:rPr>
          <w:sz w:val="28"/>
          <w:szCs w:val="28"/>
        </w:rPr>
      </w:pPr>
      <w:r w:rsidRPr="00C31BFA">
        <w:rPr>
          <w:b/>
          <w:sz w:val="28"/>
          <w:szCs w:val="28"/>
        </w:rPr>
        <w:lastRenderedPageBreak/>
        <w:t>Научная новизна диссертационного исследования</w:t>
      </w:r>
      <w:r w:rsidRPr="004A0CF0">
        <w:rPr>
          <w:sz w:val="28"/>
          <w:szCs w:val="28"/>
        </w:rPr>
        <w:t xml:space="preserve"> </w:t>
      </w:r>
      <w:r w:rsidR="00001BC4" w:rsidRPr="000F54C7">
        <w:rPr>
          <w:sz w:val="28"/>
          <w:szCs w:val="28"/>
        </w:rPr>
        <w:t xml:space="preserve">диссертационного исследования заключается в определении </w:t>
      </w:r>
      <w:r w:rsidR="00001BC4">
        <w:rPr>
          <w:sz w:val="28"/>
          <w:szCs w:val="28"/>
        </w:rPr>
        <w:t>детализированных характеристик</w:t>
      </w:r>
      <w:r w:rsidR="00001BC4" w:rsidRPr="000F54C7">
        <w:rPr>
          <w:sz w:val="28"/>
          <w:szCs w:val="28"/>
        </w:rPr>
        <w:t xml:space="preserve"> клинического течения </w:t>
      </w:r>
      <w:r w:rsidR="00001BC4">
        <w:rPr>
          <w:sz w:val="28"/>
          <w:szCs w:val="28"/>
        </w:rPr>
        <w:t>воспалительных заболеваний челюстно-лицевой области и шеи</w:t>
      </w:r>
      <w:r w:rsidR="00001BC4" w:rsidRPr="000F54C7">
        <w:rPr>
          <w:sz w:val="28"/>
          <w:szCs w:val="28"/>
        </w:rPr>
        <w:t xml:space="preserve"> при наличии различных форм хронической патологии</w:t>
      </w:r>
      <w:r w:rsidR="00001BC4">
        <w:rPr>
          <w:sz w:val="28"/>
          <w:szCs w:val="28"/>
        </w:rPr>
        <w:t xml:space="preserve"> (ХП)</w:t>
      </w:r>
      <w:r w:rsidR="00001BC4" w:rsidRPr="000F54C7">
        <w:rPr>
          <w:sz w:val="28"/>
          <w:szCs w:val="28"/>
        </w:rPr>
        <w:t xml:space="preserve"> внутренних ор</w:t>
      </w:r>
      <w:r w:rsidR="00001BC4">
        <w:rPr>
          <w:sz w:val="28"/>
          <w:szCs w:val="28"/>
        </w:rPr>
        <w:t xml:space="preserve">ганов, в том числе полиморбидной полиорганной. Для пациентов с сепсисом характерны множественные изменения показателей гомеостаза, ассоциируемые с развитием органной недостаточности, причем наличие ХП внутренних органов вне зависимости от нозологических характеристик фоновой патологии определяет развитие статистически значимо более существенных нарушений (тенденция к септическому шоку, выраженная анемия, изменения </w:t>
      </w:r>
      <w:r w:rsidR="00001BC4">
        <w:rPr>
          <w:sz w:val="28"/>
          <w:szCs w:val="28"/>
          <w:lang w:val="en-US"/>
        </w:rPr>
        <w:t>pH</w:t>
      </w:r>
      <w:r w:rsidR="00001BC4" w:rsidRPr="008F7D57">
        <w:rPr>
          <w:sz w:val="28"/>
          <w:szCs w:val="28"/>
        </w:rPr>
        <w:t xml:space="preserve"> </w:t>
      </w:r>
      <w:r w:rsidR="00001BC4">
        <w:rPr>
          <w:sz w:val="28"/>
          <w:szCs w:val="28"/>
        </w:rPr>
        <w:t>крови). В отсутствии генерализованного воспалительного процесса преобладают изменения отдельных показателей гемодинамики, клеточного и биохимического состава крови, ассоциируемые с наличием сахарного диабета, гипертонической болезни и местной формы одонтогеннной инфекции (гипергликемия, повышение артериального давления, лейкоцитоз, в отдельных случаях – гиперкреатининемия, гипербилирубинемия).</w:t>
      </w:r>
    </w:p>
    <w:p w:rsidR="00001BC4" w:rsidRDefault="00001BC4" w:rsidP="00001BC4">
      <w:pPr>
        <w:spacing w:line="360" w:lineRule="auto"/>
        <w:ind w:firstLine="709"/>
        <w:jc w:val="both"/>
        <w:rPr>
          <w:sz w:val="28"/>
          <w:szCs w:val="28"/>
        </w:rPr>
      </w:pPr>
      <w:r>
        <w:rPr>
          <w:sz w:val="28"/>
          <w:szCs w:val="28"/>
        </w:rPr>
        <w:t>Сформирован перечень нозологических форм ХП внутренних органов, оказывающих</w:t>
      </w:r>
      <w:r w:rsidRPr="000F54C7">
        <w:rPr>
          <w:sz w:val="28"/>
          <w:szCs w:val="28"/>
        </w:rPr>
        <w:t xml:space="preserve"> </w:t>
      </w:r>
      <w:r>
        <w:rPr>
          <w:sz w:val="28"/>
          <w:szCs w:val="28"/>
        </w:rPr>
        <w:t>существенное</w:t>
      </w:r>
      <w:r w:rsidRPr="000F54C7">
        <w:rPr>
          <w:sz w:val="28"/>
          <w:szCs w:val="28"/>
        </w:rPr>
        <w:t xml:space="preserve"> влияние на течение и исход одонтоге</w:t>
      </w:r>
      <w:r>
        <w:rPr>
          <w:sz w:val="28"/>
          <w:szCs w:val="28"/>
        </w:rPr>
        <w:t>нного воспалительного процесса.</w:t>
      </w:r>
      <w:r w:rsidRPr="00A30516">
        <w:rPr>
          <w:sz w:val="28"/>
          <w:szCs w:val="28"/>
        </w:rPr>
        <w:t xml:space="preserve"> </w:t>
      </w:r>
      <w:r>
        <w:rPr>
          <w:sz w:val="28"/>
          <w:szCs w:val="28"/>
        </w:rPr>
        <w:t xml:space="preserve">Наличие сахарного диабета, хронической сердечной недостаточности </w:t>
      </w:r>
      <w:r>
        <w:rPr>
          <w:sz w:val="28"/>
          <w:szCs w:val="28"/>
          <w:lang w:val="en-US"/>
        </w:rPr>
        <w:t>III</w:t>
      </w:r>
      <w:r w:rsidRPr="00A30516">
        <w:rPr>
          <w:sz w:val="28"/>
          <w:szCs w:val="28"/>
        </w:rPr>
        <w:t xml:space="preserve"> </w:t>
      </w:r>
      <w:r>
        <w:rPr>
          <w:sz w:val="28"/>
          <w:szCs w:val="28"/>
        </w:rPr>
        <w:t>функционального класса, полиорганных полиморбидных заболеваний сердечно-сосудистой и эндокринной систем у пациентов с МФОИ, полиорганной полиморбидной патологии сердечно-сосудистой, дыхательной, эндокринной, мочевыделительной систем и печени у пациентов с сепсисом, определяет увеличение частоты гнойно-воспалительных осложнений (19-75%) и вероятность летального исхода (до 100%).</w:t>
      </w:r>
    </w:p>
    <w:p w:rsidR="00001BC4" w:rsidRDefault="00001BC4" w:rsidP="00001BC4">
      <w:pPr>
        <w:spacing w:line="360" w:lineRule="auto"/>
        <w:ind w:firstLine="709"/>
        <w:jc w:val="both"/>
        <w:rPr>
          <w:sz w:val="28"/>
          <w:szCs w:val="28"/>
        </w:rPr>
      </w:pPr>
      <w:r>
        <w:rPr>
          <w:sz w:val="28"/>
          <w:szCs w:val="28"/>
        </w:rPr>
        <w:t>Определена нозологическая структура полиорганной фоновой патологии, сопровождающейся синдромом взаимного отягощения. У пациентов с МФОИ полиморбидные заболевания сердечно-сосудистой и эндокринной систем диагностированы в целом в 81,5% случаев, для сепсиса характерно преобладание полиморбидных заболеваний печени и синдрома алкогольной зависимости (39,3%), сахарный диабет в сочетании с сердечно-сосудистой патологией – 25%.</w:t>
      </w:r>
    </w:p>
    <w:p w:rsidR="00286780" w:rsidRPr="004A0CF0" w:rsidRDefault="00001BC4" w:rsidP="00001BC4">
      <w:pPr>
        <w:spacing w:line="360" w:lineRule="auto"/>
        <w:ind w:firstLine="709"/>
        <w:jc w:val="both"/>
        <w:rPr>
          <w:sz w:val="28"/>
          <w:szCs w:val="28"/>
        </w:rPr>
      </w:pPr>
      <w:r>
        <w:rPr>
          <w:sz w:val="28"/>
          <w:szCs w:val="28"/>
        </w:rPr>
        <w:lastRenderedPageBreak/>
        <w:t>На основании дискриминантного анализа массива значений клинико-лабораторных показателей пациентов с хирургическими осложнениями одонтогенной инфекции, полиорганной фоновой патологией и синдромом взаимного отягощения, определены наиболее информативные прогностические показатели для последующей разработки алгоритма диагностики одонтогенного сепсиса.</w:t>
      </w:r>
    </w:p>
    <w:p w:rsidR="00286780" w:rsidRDefault="00286780" w:rsidP="00001BC4">
      <w:pPr>
        <w:spacing w:line="360" w:lineRule="auto"/>
        <w:ind w:firstLine="709"/>
        <w:jc w:val="both"/>
        <w:rPr>
          <w:sz w:val="28"/>
          <w:szCs w:val="28"/>
        </w:rPr>
      </w:pPr>
      <w:r w:rsidRPr="004A0CF0">
        <w:rPr>
          <w:b/>
          <w:sz w:val="28"/>
          <w:szCs w:val="28"/>
        </w:rPr>
        <w:t>Теоретическая и практическая значимость работы</w:t>
      </w:r>
      <w:r>
        <w:rPr>
          <w:b/>
          <w:sz w:val="28"/>
          <w:szCs w:val="28"/>
        </w:rPr>
        <w:t xml:space="preserve">. </w:t>
      </w:r>
      <w:r w:rsidR="00001BC4">
        <w:rPr>
          <w:sz w:val="28"/>
          <w:szCs w:val="28"/>
          <w:lang w:eastAsia="ar-SA"/>
        </w:rPr>
        <w:t>Разработан и внедрен</w:t>
      </w:r>
      <w:r w:rsidR="00001BC4" w:rsidRPr="000F54C7">
        <w:rPr>
          <w:sz w:val="28"/>
          <w:szCs w:val="28"/>
          <w:lang w:eastAsia="ar-SA"/>
        </w:rPr>
        <w:t xml:space="preserve"> в клини</w:t>
      </w:r>
      <w:r w:rsidR="00001BC4">
        <w:rPr>
          <w:sz w:val="28"/>
          <w:szCs w:val="28"/>
          <w:lang w:eastAsia="ar-SA"/>
        </w:rPr>
        <w:t>ческую практику алгоритм диагностики сепсиса, ассоциируемого с воспалительными заболеваниями челюстно-лицевой области и шеи</w:t>
      </w:r>
      <w:r w:rsidR="00001BC4" w:rsidRPr="000F54C7">
        <w:rPr>
          <w:sz w:val="28"/>
          <w:szCs w:val="28"/>
          <w:lang w:eastAsia="ar-SA"/>
        </w:rPr>
        <w:t>. Эффективность диагностики одонтоге</w:t>
      </w:r>
      <w:r w:rsidR="00001BC4">
        <w:rPr>
          <w:sz w:val="28"/>
          <w:szCs w:val="28"/>
          <w:lang w:eastAsia="ar-SA"/>
        </w:rPr>
        <w:t>нного сепсиса увеличилась с 69% в контрольной группе до 97,5</w:t>
      </w:r>
      <w:r w:rsidR="00001BC4" w:rsidRPr="000F54C7">
        <w:rPr>
          <w:sz w:val="28"/>
          <w:szCs w:val="28"/>
          <w:lang w:eastAsia="ar-SA"/>
        </w:rPr>
        <w:t>% (</w:t>
      </w:r>
      <w:r w:rsidR="00001BC4" w:rsidRPr="000F54C7">
        <w:rPr>
          <w:sz w:val="28"/>
          <w:szCs w:val="28"/>
          <w:lang w:val="en-US" w:eastAsia="ar-SA"/>
        </w:rPr>
        <w:t>p</w:t>
      </w:r>
      <w:r w:rsidR="00001BC4" w:rsidRPr="000F54C7">
        <w:rPr>
          <w:sz w:val="28"/>
          <w:szCs w:val="28"/>
          <w:lang w:eastAsia="ar-SA"/>
        </w:rPr>
        <w:t>&lt;</w:t>
      </w:r>
      <w:r w:rsidR="00001BC4">
        <w:rPr>
          <w:sz w:val="28"/>
          <w:szCs w:val="28"/>
          <w:lang w:eastAsia="ar-SA"/>
        </w:rPr>
        <w:t xml:space="preserve">0,05). </w:t>
      </w:r>
      <w:r w:rsidR="00001BC4" w:rsidRPr="000F54C7">
        <w:rPr>
          <w:sz w:val="28"/>
          <w:szCs w:val="28"/>
          <w:lang w:eastAsia="ar-SA"/>
        </w:rPr>
        <w:t>Разработана</w:t>
      </w:r>
      <w:r w:rsidR="00001BC4">
        <w:rPr>
          <w:sz w:val="28"/>
          <w:szCs w:val="28"/>
          <w:lang w:eastAsia="ar-SA"/>
        </w:rPr>
        <w:t xml:space="preserve"> программа комплексного</w:t>
      </w:r>
      <w:r w:rsidR="00001BC4" w:rsidRPr="000F54C7">
        <w:rPr>
          <w:sz w:val="28"/>
          <w:szCs w:val="28"/>
          <w:lang w:eastAsia="ar-SA"/>
        </w:rPr>
        <w:t xml:space="preserve"> лечения больных с </w:t>
      </w:r>
      <w:r w:rsidR="00001BC4">
        <w:rPr>
          <w:sz w:val="28"/>
          <w:szCs w:val="28"/>
          <w:lang w:eastAsia="ar-SA"/>
        </w:rPr>
        <w:t>воспалительными заболеваниями челюстно-лицевой области и шеи</w:t>
      </w:r>
      <w:r w:rsidR="00001BC4" w:rsidRPr="000F54C7">
        <w:rPr>
          <w:sz w:val="28"/>
          <w:szCs w:val="28"/>
          <w:lang w:eastAsia="ar-SA"/>
        </w:rPr>
        <w:t xml:space="preserve">. Отмечено сокращение частоты развития </w:t>
      </w:r>
      <w:r w:rsidR="00001BC4">
        <w:rPr>
          <w:sz w:val="28"/>
          <w:szCs w:val="28"/>
          <w:lang w:eastAsia="ar-SA"/>
        </w:rPr>
        <w:t xml:space="preserve">одонтогенных </w:t>
      </w:r>
      <w:r w:rsidR="00001BC4" w:rsidRPr="000F54C7">
        <w:rPr>
          <w:sz w:val="28"/>
          <w:szCs w:val="28"/>
          <w:lang w:eastAsia="ar-SA"/>
        </w:rPr>
        <w:t>гнойно-воспалительных осложнений с</w:t>
      </w:r>
      <w:r w:rsidR="00001BC4">
        <w:rPr>
          <w:sz w:val="28"/>
          <w:szCs w:val="28"/>
          <w:lang w:eastAsia="ar-SA"/>
        </w:rPr>
        <w:t xml:space="preserve"> 33,3% в контрольной группе до 7,5</w:t>
      </w:r>
      <w:r w:rsidR="00001BC4" w:rsidRPr="000F54C7">
        <w:rPr>
          <w:sz w:val="28"/>
          <w:szCs w:val="28"/>
          <w:lang w:eastAsia="ar-SA"/>
        </w:rPr>
        <w:t>% (</w:t>
      </w:r>
      <w:r w:rsidR="00001BC4" w:rsidRPr="000F54C7">
        <w:rPr>
          <w:sz w:val="28"/>
          <w:szCs w:val="28"/>
          <w:lang w:val="en-US" w:eastAsia="ar-SA"/>
        </w:rPr>
        <w:t>p</w:t>
      </w:r>
      <w:r w:rsidR="00001BC4" w:rsidRPr="000F54C7">
        <w:rPr>
          <w:sz w:val="28"/>
          <w:szCs w:val="28"/>
          <w:lang w:eastAsia="ar-SA"/>
        </w:rPr>
        <w:t>&lt;0,</w:t>
      </w:r>
      <w:r w:rsidR="00001BC4">
        <w:rPr>
          <w:sz w:val="28"/>
          <w:szCs w:val="28"/>
          <w:lang w:eastAsia="ar-SA"/>
        </w:rPr>
        <w:t>05), уменьшение летальности с 16,7% до 2,5</w:t>
      </w:r>
      <w:r w:rsidR="00001BC4" w:rsidRPr="000F54C7">
        <w:rPr>
          <w:sz w:val="28"/>
          <w:szCs w:val="28"/>
          <w:lang w:eastAsia="ar-SA"/>
        </w:rPr>
        <w:t>% (</w:t>
      </w:r>
      <w:r w:rsidR="00001BC4" w:rsidRPr="000F54C7">
        <w:rPr>
          <w:sz w:val="28"/>
          <w:szCs w:val="28"/>
          <w:lang w:val="en-US" w:eastAsia="ar-SA"/>
        </w:rPr>
        <w:t>p</w:t>
      </w:r>
      <w:r w:rsidR="00001BC4" w:rsidRPr="000F54C7">
        <w:rPr>
          <w:sz w:val="28"/>
          <w:szCs w:val="28"/>
          <w:lang w:eastAsia="ar-SA"/>
        </w:rPr>
        <w:t>&lt;0,05), что является значимым практическим результатом.</w:t>
      </w:r>
      <w:r w:rsidRPr="009B4028">
        <w:rPr>
          <w:b/>
          <w:sz w:val="28"/>
          <w:szCs w:val="28"/>
          <w:lang w:eastAsia="ar-SA"/>
        </w:rPr>
        <w:t>Методология и методы исследования</w:t>
      </w:r>
      <w:r>
        <w:rPr>
          <w:b/>
          <w:sz w:val="28"/>
          <w:szCs w:val="28"/>
          <w:lang w:eastAsia="ar-SA"/>
        </w:rPr>
        <w:t xml:space="preserve">. </w:t>
      </w:r>
      <w:r>
        <w:rPr>
          <w:sz w:val="28"/>
          <w:szCs w:val="28"/>
          <w:lang w:eastAsia="ar-SA"/>
        </w:rPr>
        <w:t>Диссертационная работа выполнена в соответствии с основными методологическими принципами и правилами доказательной медицины.</w:t>
      </w:r>
      <w:r>
        <w:rPr>
          <w:sz w:val="28"/>
          <w:szCs w:val="28"/>
        </w:rPr>
        <w:t xml:space="preserve"> Использованы клинические, клинико-лабораторные и статистические методы исследования.</w:t>
      </w:r>
    </w:p>
    <w:p w:rsidR="00286780" w:rsidRDefault="00286780" w:rsidP="00C31BFA">
      <w:pPr>
        <w:spacing w:line="360" w:lineRule="auto"/>
        <w:ind w:firstLine="709"/>
        <w:jc w:val="both"/>
        <w:rPr>
          <w:sz w:val="28"/>
          <w:szCs w:val="28"/>
        </w:rPr>
      </w:pPr>
      <w:r>
        <w:rPr>
          <w:sz w:val="28"/>
          <w:szCs w:val="28"/>
        </w:rPr>
        <w:t>Объект исследования – более 600 пациентов с одонтогенными воспалительными процессами челюстно-лицевой области и шеи, в том числе при наличии фоновой полиорганной патологии и синдрома взаимного отягощения.</w:t>
      </w:r>
    </w:p>
    <w:p w:rsidR="00286780" w:rsidRDefault="00286780" w:rsidP="00C31BFA">
      <w:pPr>
        <w:spacing w:line="360" w:lineRule="auto"/>
        <w:ind w:firstLine="709"/>
        <w:jc w:val="both"/>
        <w:rPr>
          <w:sz w:val="28"/>
          <w:szCs w:val="28"/>
        </w:rPr>
      </w:pPr>
      <w:r>
        <w:rPr>
          <w:sz w:val="28"/>
          <w:szCs w:val="28"/>
        </w:rPr>
        <w:t xml:space="preserve">Предмет исследования – клинико-лабораторные характеристики пациентов с хирургическими осложнениями одонтогенной инфекции при наличии хронической патологии внутренних органов; оценка влияния различных нозологических форм ХП, в том числе полиорганной, на течение и исход МФОИ и одонтогенного сепсиса; оценка эффективности применения разработанных </w:t>
      </w:r>
      <w:r w:rsidRPr="000F54C7">
        <w:rPr>
          <w:sz w:val="28"/>
          <w:szCs w:val="28"/>
        </w:rPr>
        <w:t>алгоритм</w:t>
      </w:r>
      <w:r>
        <w:rPr>
          <w:sz w:val="28"/>
          <w:szCs w:val="28"/>
        </w:rPr>
        <w:t>а</w:t>
      </w:r>
      <w:r w:rsidRPr="000F54C7">
        <w:rPr>
          <w:sz w:val="28"/>
          <w:szCs w:val="28"/>
        </w:rPr>
        <w:t xml:space="preserve"> диагностики </w:t>
      </w:r>
      <w:r>
        <w:rPr>
          <w:sz w:val="28"/>
          <w:szCs w:val="28"/>
        </w:rPr>
        <w:t>и программы</w:t>
      </w:r>
      <w:r w:rsidRPr="000F54C7">
        <w:rPr>
          <w:sz w:val="28"/>
          <w:szCs w:val="28"/>
        </w:rPr>
        <w:t xml:space="preserve"> комплексного лечения пациентов с хирургическими осложнениями одонтогенной инфекции, полиорганной фоновой патологией и синдромом взаимного отягощения.</w:t>
      </w:r>
    </w:p>
    <w:p w:rsidR="00286780" w:rsidRDefault="00286780" w:rsidP="00C31BFA">
      <w:pPr>
        <w:spacing w:line="360" w:lineRule="auto"/>
        <w:ind w:firstLine="709"/>
        <w:jc w:val="both"/>
        <w:rPr>
          <w:sz w:val="28"/>
          <w:szCs w:val="28"/>
        </w:rPr>
      </w:pPr>
      <w:r w:rsidRPr="00E5157E">
        <w:rPr>
          <w:sz w:val="28"/>
          <w:szCs w:val="28"/>
        </w:rPr>
        <w:lastRenderedPageBreak/>
        <w:t xml:space="preserve">Для статистической обработки результатов исследования использован пакет программ </w:t>
      </w:r>
      <w:r w:rsidRPr="00E5157E">
        <w:rPr>
          <w:sz w:val="28"/>
          <w:szCs w:val="28"/>
          <w:lang w:val="en-US"/>
        </w:rPr>
        <w:t>STATISTICA</w:t>
      </w:r>
      <w:r w:rsidRPr="00E5157E">
        <w:rPr>
          <w:sz w:val="28"/>
          <w:szCs w:val="28"/>
        </w:rPr>
        <w:t xml:space="preserve"> 6.1 фирмы </w:t>
      </w:r>
      <w:r w:rsidRPr="00E5157E">
        <w:rPr>
          <w:sz w:val="28"/>
          <w:szCs w:val="28"/>
          <w:lang w:val="en-US"/>
        </w:rPr>
        <w:t>StatSoft</w:t>
      </w:r>
      <w:r w:rsidRPr="00E5157E">
        <w:rPr>
          <w:sz w:val="28"/>
          <w:szCs w:val="28"/>
          <w:vertAlign w:val="superscript"/>
        </w:rPr>
        <w:t>®</w:t>
      </w:r>
      <w:r w:rsidRPr="00E5157E">
        <w:rPr>
          <w:sz w:val="28"/>
          <w:szCs w:val="28"/>
        </w:rPr>
        <w:t xml:space="preserve">. </w:t>
      </w:r>
      <w:r>
        <w:rPr>
          <w:sz w:val="28"/>
          <w:szCs w:val="28"/>
        </w:rPr>
        <w:t>В</w:t>
      </w:r>
      <w:r w:rsidRPr="00E5157E">
        <w:rPr>
          <w:sz w:val="28"/>
          <w:szCs w:val="28"/>
        </w:rPr>
        <w:t xml:space="preserve"> качестве порогового значения принят уровень статистической значимости </w:t>
      </w:r>
      <w:r w:rsidRPr="00E5157E">
        <w:rPr>
          <w:sz w:val="28"/>
          <w:szCs w:val="28"/>
          <w:lang w:val="en-US"/>
        </w:rPr>
        <w:t>a</w:t>
      </w:r>
      <w:r>
        <w:rPr>
          <w:sz w:val="28"/>
          <w:szCs w:val="28"/>
        </w:rPr>
        <w:t>=</w:t>
      </w:r>
      <w:r w:rsidRPr="00E5157E">
        <w:rPr>
          <w:sz w:val="28"/>
          <w:szCs w:val="28"/>
        </w:rPr>
        <w:t>0,05.</w:t>
      </w:r>
    </w:p>
    <w:p w:rsidR="00286780" w:rsidRDefault="00286780" w:rsidP="00C31BFA">
      <w:pPr>
        <w:spacing w:line="360" w:lineRule="auto"/>
        <w:ind w:firstLine="709"/>
        <w:jc w:val="center"/>
        <w:rPr>
          <w:b/>
          <w:sz w:val="28"/>
          <w:szCs w:val="28"/>
        </w:rPr>
      </w:pPr>
      <w:r>
        <w:rPr>
          <w:b/>
          <w:sz w:val="28"/>
          <w:szCs w:val="28"/>
        </w:rPr>
        <w:t>Основные п</w:t>
      </w:r>
      <w:r w:rsidRPr="005B118D">
        <w:rPr>
          <w:b/>
          <w:sz w:val="28"/>
          <w:szCs w:val="28"/>
        </w:rPr>
        <w:t>оложения, выносимые на защиту</w:t>
      </w:r>
    </w:p>
    <w:p w:rsidR="00001BC4" w:rsidRPr="000F54C7" w:rsidRDefault="00001BC4" w:rsidP="00001BC4">
      <w:pPr>
        <w:pStyle w:val="afc"/>
        <w:numPr>
          <w:ilvl w:val="0"/>
          <w:numId w:val="14"/>
        </w:numPr>
        <w:tabs>
          <w:tab w:val="clear" w:pos="720"/>
          <w:tab w:val="num" w:pos="0"/>
        </w:tabs>
        <w:spacing w:line="360" w:lineRule="auto"/>
        <w:ind w:left="0" w:firstLine="700"/>
        <w:jc w:val="both"/>
        <w:rPr>
          <w:sz w:val="28"/>
          <w:szCs w:val="28"/>
        </w:rPr>
      </w:pPr>
      <w:r w:rsidRPr="000F54C7">
        <w:rPr>
          <w:sz w:val="28"/>
          <w:szCs w:val="28"/>
        </w:rPr>
        <w:t>Нозологическая структура хронической патологии внутренних органов у пац</w:t>
      </w:r>
      <w:r>
        <w:rPr>
          <w:sz w:val="28"/>
          <w:szCs w:val="28"/>
        </w:rPr>
        <w:t>иентов с одонтогенным сепсисом,</w:t>
      </w:r>
      <w:r w:rsidRPr="000F54C7">
        <w:rPr>
          <w:sz w:val="28"/>
          <w:szCs w:val="28"/>
        </w:rPr>
        <w:t xml:space="preserve"> </w:t>
      </w:r>
      <w:r>
        <w:rPr>
          <w:sz w:val="28"/>
          <w:szCs w:val="28"/>
        </w:rPr>
        <w:t>местной формой одонтогенной инфекции (</w:t>
      </w:r>
      <w:r w:rsidRPr="000F54C7">
        <w:rPr>
          <w:sz w:val="28"/>
          <w:szCs w:val="28"/>
        </w:rPr>
        <w:t>МФОИ</w:t>
      </w:r>
      <w:r>
        <w:rPr>
          <w:sz w:val="28"/>
          <w:szCs w:val="28"/>
        </w:rPr>
        <w:t>) и контактными медиастинитами</w:t>
      </w:r>
      <w:r w:rsidRPr="000F54C7">
        <w:rPr>
          <w:sz w:val="28"/>
          <w:szCs w:val="28"/>
        </w:rPr>
        <w:t xml:space="preserve"> статистически значимо различается: у пациентов с МФОИ</w:t>
      </w:r>
      <w:r>
        <w:rPr>
          <w:sz w:val="28"/>
          <w:szCs w:val="28"/>
        </w:rPr>
        <w:t xml:space="preserve"> и контактными медиастинитами</w:t>
      </w:r>
      <w:r w:rsidRPr="000F54C7">
        <w:rPr>
          <w:sz w:val="28"/>
          <w:szCs w:val="28"/>
        </w:rPr>
        <w:t xml:space="preserve"> преобладают заболевания сердечно-сосудистой системы</w:t>
      </w:r>
      <w:r>
        <w:rPr>
          <w:sz w:val="28"/>
          <w:szCs w:val="28"/>
        </w:rPr>
        <w:t xml:space="preserve"> (67,2% и 53,8% соответственно)</w:t>
      </w:r>
      <w:r w:rsidRPr="000F54C7">
        <w:rPr>
          <w:sz w:val="28"/>
          <w:szCs w:val="28"/>
        </w:rPr>
        <w:t>; одонтогенный сепсис статистически значимо чаще развивается на фоне патологии печени (</w:t>
      </w:r>
      <w:r>
        <w:rPr>
          <w:sz w:val="28"/>
          <w:szCs w:val="28"/>
        </w:rPr>
        <w:t xml:space="preserve">38,9%; </w:t>
      </w:r>
      <w:r w:rsidRPr="000F54C7">
        <w:rPr>
          <w:sz w:val="28"/>
          <w:szCs w:val="28"/>
          <w:lang w:val="en-US"/>
        </w:rPr>
        <w:t>p</w:t>
      </w:r>
      <w:r>
        <w:rPr>
          <w:sz w:val="28"/>
          <w:szCs w:val="28"/>
        </w:rPr>
        <w:t>&lt;0,05).</w:t>
      </w:r>
    </w:p>
    <w:p w:rsidR="00001BC4" w:rsidRPr="000F54C7" w:rsidRDefault="00001BC4" w:rsidP="00001BC4">
      <w:pPr>
        <w:pStyle w:val="afc"/>
        <w:numPr>
          <w:ilvl w:val="0"/>
          <w:numId w:val="14"/>
        </w:numPr>
        <w:tabs>
          <w:tab w:val="clear" w:pos="720"/>
          <w:tab w:val="num" w:pos="0"/>
        </w:tabs>
        <w:spacing w:line="360" w:lineRule="auto"/>
        <w:ind w:left="0" w:firstLine="700"/>
        <w:jc w:val="both"/>
        <w:rPr>
          <w:sz w:val="28"/>
          <w:szCs w:val="28"/>
        </w:rPr>
      </w:pPr>
      <w:r w:rsidRPr="000F54C7">
        <w:rPr>
          <w:sz w:val="28"/>
          <w:szCs w:val="28"/>
        </w:rPr>
        <w:t xml:space="preserve">Сахарный диабет и хроническая патология сердечно-сосудистой системы при наличии ХСН </w:t>
      </w:r>
      <w:r w:rsidRPr="000F54C7">
        <w:rPr>
          <w:sz w:val="28"/>
          <w:szCs w:val="28"/>
          <w:lang w:val="en-US"/>
        </w:rPr>
        <w:t>III</w:t>
      </w:r>
      <w:r w:rsidRPr="000F54C7">
        <w:rPr>
          <w:sz w:val="28"/>
          <w:szCs w:val="28"/>
        </w:rPr>
        <w:t xml:space="preserve"> функционального класса у пациентов с МФОИ, хроническая патология внутренних органов у пациентов с одонтоген</w:t>
      </w:r>
      <w:r>
        <w:rPr>
          <w:sz w:val="28"/>
          <w:szCs w:val="28"/>
        </w:rPr>
        <w:t>н</w:t>
      </w:r>
      <w:r w:rsidRPr="000F54C7">
        <w:rPr>
          <w:sz w:val="28"/>
          <w:szCs w:val="28"/>
        </w:rPr>
        <w:t>ым сепсисом определяют статистически значимое замедление процессов очищения гнойной раны и роста грануляций, увеличение частоты гнойно-воспалительных осложнений и прирост летальности (</w:t>
      </w:r>
      <w:r w:rsidRPr="000F54C7">
        <w:rPr>
          <w:sz w:val="28"/>
          <w:szCs w:val="28"/>
          <w:lang w:val="en-US"/>
        </w:rPr>
        <w:t>p</w:t>
      </w:r>
      <w:r>
        <w:rPr>
          <w:sz w:val="28"/>
          <w:szCs w:val="28"/>
        </w:rPr>
        <w:t>&lt;0,05).</w:t>
      </w:r>
    </w:p>
    <w:p w:rsidR="00001BC4" w:rsidRPr="000F54C7" w:rsidRDefault="00001BC4" w:rsidP="00001BC4">
      <w:pPr>
        <w:pStyle w:val="afc"/>
        <w:numPr>
          <w:ilvl w:val="0"/>
          <w:numId w:val="14"/>
        </w:numPr>
        <w:tabs>
          <w:tab w:val="clear" w:pos="720"/>
          <w:tab w:val="num" w:pos="0"/>
        </w:tabs>
        <w:spacing w:line="360" w:lineRule="auto"/>
        <w:ind w:left="0" w:firstLine="700"/>
        <w:jc w:val="both"/>
        <w:rPr>
          <w:sz w:val="28"/>
          <w:szCs w:val="28"/>
        </w:rPr>
      </w:pPr>
      <w:r w:rsidRPr="000F54C7">
        <w:rPr>
          <w:sz w:val="28"/>
          <w:szCs w:val="28"/>
        </w:rPr>
        <w:t>Полиорганная полиморбидная хроническая патология у пациентов с одонтогенным сепсисом является фоновой вне зависимости от нозологической формы; у пациентов с МФОИ фоновой полиорганной полиморбидной патологией является сахарный диабет и полиморбидные заболева</w:t>
      </w:r>
      <w:r>
        <w:rPr>
          <w:sz w:val="28"/>
          <w:szCs w:val="28"/>
        </w:rPr>
        <w:t>ния сердечно-сосудистой системы.</w:t>
      </w:r>
    </w:p>
    <w:p w:rsidR="00001BC4" w:rsidRPr="000F54C7" w:rsidRDefault="00001BC4" w:rsidP="00001BC4">
      <w:pPr>
        <w:pStyle w:val="afc"/>
        <w:numPr>
          <w:ilvl w:val="0"/>
          <w:numId w:val="14"/>
        </w:numPr>
        <w:tabs>
          <w:tab w:val="clear" w:pos="720"/>
          <w:tab w:val="num" w:pos="0"/>
        </w:tabs>
        <w:spacing w:line="360" w:lineRule="auto"/>
        <w:ind w:left="0" w:firstLine="700"/>
        <w:jc w:val="both"/>
        <w:rPr>
          <w:sz w:val="28"/>
          <w:szCs w:val="28"/>
        </w:rPr>
      </w:pPr>
      <w:r w:rsidRPr="000F54C7">
        <w:rPr>
          <w:sz w:val="28"/>
          <w:szCs w:val="28"/>
        </w:rPr>
        <w:t>Полиорганная полиморбидная хроническая п</w:t>
      </w:r>
      <w:r>
        <w:rPr>
          <w:sz w:val="28"/>
          <w:szCs w:val="28"/>
        </w:rPr>
        <w:t xml:space="preserve">атология у пациентов с МФОИ, </w:t>
      </w:r>
      <w:r w:rsidRPr="000F54C7">
        <w:rPr>
          <w:sz w:val="28"/>
          <w:szCs w:val="28"/>
        </w:rPr>
        <w:t xml:space="preserve">одонтогенным сепсисом </w:t>
      </w:r>
      <w:r>
        <w:rPr>
          <w:sz w:val="28"/>
          <w:szCs w:val="28"/>
        </w:rPr>
        <w:t xml:space="preserve">и контактными медиастинитами </w:t>
      </w:r>
      <w:r w:rsidRPr="000F54C7">
        <w:rPr>
          <w:sz w:val="28"/>
          <w:szCs w:val="28"/>
        </w:rPr>
        <w:t>определяет статистически значимое увеличение частоты гнойно-воспалительных осложнений, прирост летальности и развитие синдрома взаимного отягощения (</w:t>
      </w:r>
      <w:r w:rsidRPr="000F54C7">
        <w:rPr>
          <w:sz w:val="28"/>
          <w:szCs w:val="28"/>
          <w:lang w:val="en-US"/>
        </w:rPr>
        <w:t>p</w:t>
      </w:r>
      <w:r>
        <w:rPr>
          <w:sz w:val="28"/>
          <w:szCs w:val="28"/>
        </w:rPr>
        <w:t xml:space="preserve"> &lt;0,05).</w:t>
      </w:r>
    </w:p>
    <w:p w:rsidR="00001BC4" w:rsidRPr="000F54C7" w:rsidRDefault="00001BC4" w:rsidP="00001BC4">
      <w:pPr>
        <w:pStyle w:val="afc"/>
        <w:numPr>
          <w:ilvl w:val="0"/>
          <w:numId w:val="14"/>
        </w:numPr>
        <w:tabs>
          <w:tab w:val="clear" w:pos="720"/>
          <w:tab w:val="num" w:pos="0"/>
        </w:tabs>
        <w:spacing w:line="360" w:lineRule="auto"/>
        <w:ind w:left="0" w:firstLine="700"/>
        <w:jc w:val="both"/>
        <w:rPr>
          <w:sz w:val="28"/>
          <w:szCs w:val="28"/>
        </w:rPr>
      </w:pPr>
      <w:r>
        <w:rPr>
          <w:sz w:val="28"/>
          <w:szCs w:val="28"/>
        </w:rPr>
        <w:t>Разработан алгоритм</w:t>
      </w:r>
      <w:r w:rsidRPr="000F54C7">
        <w:rPr>
          <w:sz w:val="28"/>
          <w:szCs w:val="28"/>
        </w:rPr>
        <w:t xml:space="preserve"> диагностики одонтогенного сепсиса у пациентов с </w:t>
      </w:r>
      <w:r>
        <w:rPr>
          <w:sz w:val="28"/>
          <w:szCs w:val="28"/>
        </w:rPr>
        <w:t>воспалительными заболеваниями челюстно-лицевой области и шеи</w:t>
      </w:r>
      <w:r w:rsidRPr="000F54C7">
        <w:rPr>
          <w:sz w:val="28"/>
          <w:szCs w:val="28"/>
        </w:rPr>
        <w:t>, полиорганной фоновой патологией и синдромом взаимного отягощения</w:t>
      </w:r>
      <w:r>
        <w:rPr>
          <w:sz w:val="28"/>
          <w:szCs w:val="28"/>
        </w:rPr>
        <w:t>, включающий определение распространенности воспалительного процесса, уровня сознания, показа</w:t>
      </w:r>
      <w:r>
        <w:rPr>
          <w:sz w:val="28"/>
          <w:szCs w:val="28"/>
        </w:rPr>
        <w:lastRenderedPageBreak/>
        <w:t>телей гемодинамики, газового и биохимического состава крови с последующей балльной оценкой и соотнесению количества баллов форме инфекционного процесса (генерализованная или местная).</w:t>
      </w:r>
    </w:p>
    <w:p w:rsidR="00001BC4" w:rsidRPr="000F54C7" w:rsidRDefault="00001BC4" w:rsidP="00001BC4">
      <w:pPr>
        <w:pStyle w:val="afc"/>
        <w:numPr>
          <w:ilvl w:val="0"/>
          <w:numId w:val="14"/>
        </w:numPr>
        <w:tabs>
          <w:tab w:val="clear" w:pos="720"/>
          <w:tab w:val="num" w:pos="0"/>
        </w:tabs>
        <w:spacing w:line="360" w:lineRule="auto"/>
        <w:ind w:left="0" w:firstLine="700"/>
        <w:jc w:val="both"/>
        <w:rPr>
          <w:sz w:val="28"/>
          <w:szCs w:val="28"/>
        </w:rPr>
      </w:pPr>
      <w:r w:rsidRPr="000F54C7">
        <w:rPr>
          <w:sz w:val="28"/>
          <w:szCs w:val="28"/>
        </w:rPr>
        <w:t xml:space="preserve">Разработана программа комплексного лечения пациентов с </w:t>
      </w:r>
      <w:r>
        <w:rPr>
          <w:sz w:val="28"/>
          <w:szCs w:val="28"/>
        </w:rPr>
        <w:t>воспалительными заболеваниями челюстно-лицевой области и шеи</w:t>
      </w:r>
      <w:r w:rsidRPr="000F54C7">
        <w:rPr>
          <w:sz w:val="28"/>
          <w:szCs w:val="28"/>
        </w:rPr>
        <w:t>, полиорганной фоновой патологией и синдромом взаимного отягощения</w:t>
      </w:r>
      <w:r>
        <w:rPr>
          <w:sz w:val="28"/>
          <w:szCs w:val="28"/>
        </w:rPr>
        <w:t>, включающая предоперационную подготовку, алгоритм выбора методики оперативного вмешательства в зависимости от распространенности воспалительного процесса, наличия сепсиса и гнилостно-некротического компонента, использование двух разработанных модифицированных доступа, рациональную антибактериальную терапию.</w:t>
      </w:r>
    </w:p>
    <w:p w:rsidR="00D03252" w:rsidRPr="00D03252" w:rsidRDefault="00001BC4" w:rsidP="00001BC4">
      <w:pPr>
        <w:numPr>
          <w:ilvl w:val="0"/>
          <w:numId w:val="14"/>
        </w:numPr>
        <w:tabs>
          <w:tab w:val="clear" w:pos="720"/>
          <w:tab w:val="num" w:pos="0"/>
        </w:tabs>
        <w:spacing w:line="360" w:lineRule="auto"/>
        <w:ind w:left="0" w:firstLine="700"/>
        <w:contextualSpacing/>
        <w:jc w:val="both"/>
        <w:rPr>
          <w:sz w:val="28"/>
          <w:szCs w:val="28"/>
        </w:rPr>
      </w:pPr>
      <w:r w:rsidRPr="000F54C7">
        <w:rPr>
          <w:sz w:val="28"/>
          <w:szCs w:val="28"/>
        </w:rPr>
        <w:t>При</w:t>
      </w:r>
      <w:r>
        <w:rPr>
          <w:sz w:val="28"/>
          <w:szCs w:val="28"/>
        </w:rPr>
        <w:t>менение разработанных алгоритма</w:t>
      </w:r>
      <w:r w:rsidRPr="000F54C7">
        <w:rPr>
          <w:sz w:val="28"/>
          <w:szCs w:val="28"/>
        </w:rPr>
        <w:t xml:space="preserve"> диагностики и программы комплексного лечения пациентов с </w:t>
      </w:r>
      <w:r>
        <w:rPr>
          <w:sz w:val="28"/>
          <w:szCs w:val="28"/>
        </w:rPr>
        <w:t>воспалительными заболеваниями челюстно-лицевой области и шеи</w:t>
      </w:r>
      <w:r w:rsidRPr="000F54C7">
        <w:rPr>
          <w:sz w:val="28"/>
          <w:szCs w:val="28"/>
        </w:rPr>
        <w:t xml:space="preserve"> при наличии полиорганной фоновой патологии и синдрома взаимного отягощения позволяет статистически значимо повысить эффективность диагностики одонтогенного сепсиса и увеличить эффективность лечения (</w:t>
      </w:r>
      <w:r w:rsidRPr="000F54C7">
        <w:rPr>
          <w:sz w:val="28"/>
          <w:szCs w:val="28"/>
          <w:lang w:val="en-US"/>
        </w:rPr>
        <w:t>p</w:t>
      </w:r>
      <w:r>
        <w:rPr>
          <w:sz w:val="28"/>
          <w:szCs w:val="28"/>
        </w:rPr>
        <w:t>&lt;</w:t>
      </w:r>
      <w:r w:rsidRPr="000F54C7">
        <w:rPr>
          <w:sz w:val="28"/>
          <w:szCs w:val="28"/>
        </w:rPr>
        <w:t>0,05).</w:t>
      </w:r>
    </w:p>
    <w:p w:rsidR="00286780" w:rsidRDefault="00286780" w:rsidP="00C31BFA">
      <w:pPr>
        <w:spacing w:line="360" w:lineRule="auto"/>
        <w:jc w:val="both"/>
        <w:rPr>
          <w:sz w:val="28"/>
          <w:szCs w:val="28"/>
          <w:lang w:eastAsia="en-US"/>
        </w:rPr>
      </w:pPr>
      <w:r>
        <w:rPr>
          <w:b/>
          <w:sz w:val="28"/>
          <w:szCs w:val="28"/>
        </w:rPr>
        <w:t xml:space="preserve">Степень достоверности и апробация результатов. </w:t>
      </w:r>
      <w:r>
        <w:rPr>
          <w:sz w:val="28"/>
          <w:szCs w:val="28"/>
          <w:lang w:eastAsia="en-US"/>
        </w:rPr>
        <w:t xml:space="preserve">Степень достоверности результатов определяется репрезентативным объемом выборки, достаточным количеством исследуемых параметров, применением современных методов лабораторно-инструментального обследования и статистической обработки данных. Использованы официально утвержденные методики, одобренные Региональным Этическим комитетом ГБОУ ВПО КГМУ Минздрава России (протокол </w:t>
      </w:r>
      <w:r w:rsidRPr="004337DE">
        <w:rPr>
          <w:spacing w:val="-4"/>
          <w:sz w:val="28"/>
          <w:szCs w:val="28"/>
        </w:rPr>
        <w:t>№ </w:t>
      </w:r>
      <w:r>
        <w:rPr>
          <w:spacing w:val="-4"/>
          <w:sz w:val="28"/>
          <w:szCs w:val="28"/>
        </w:rPr>
        <w:t>2</w:t>
      </w:r>
      <w:r>
        <w:rPr>
          <w:sz w:val="28"/>
          <w:szCs w:val="28"/>
          <w:lang w:eastAsia="en-US"/>
        </w:rPr>
        <w:t xml:space="preserve"> от 15.02.2016). Дизайн исследования, сроки наблюдения, статистическая обработка полученных результатов соответствует требованиям доказательной медицины и задачам исследования.</w:t>
      </w:r>
    </w:p>
    <w:p w:rsidR="00286780" w:rsidRDefault="00286780" w:rsidP="00C31BFA">
      <w:pPr>
        <w:spacing w:line="360" w:lineRule="auto"/>
        <w:jc w:val="both"/>
        <w:rPr>
          <w:sz w:val="28"/>
          <w:szCs w:val="28"/>
          <w:lang w:eastAsia="en-US"/>
        </w:rPr>
      </w:pPr>
      <w:r>
        <w:rPr>
          <w:sz w:val="28"/>
          <w:szCs w:val="28"/>
          <w:lang w:eastAsia="en-US"/>
        </w:rPr>
        <w:t xml:space="preserve">Апробация диссертационного исследования состоялась на коллегиальном заседании кафедр хирургических болезней №1, хирургических болезней ФПО, общей хирургии, хирургической стоматологии и челюстно-лицевой хирургии, терапевтической стоматологии, оперативной хирургии и топографической анатомии им. А.Д. Мясникова ФГБОУ ВО КГМУ Минздрава России, кафедры стоматологии </w:t>
      </w:r>
      <w:r>
        <w:rPr>
          <w:sz w:val="28"/>
          <w:szCs w:val="28"/>
          <w:lang w:eastAsia="en-US"/>
        </w:rPr>
        <w:lastRenderedPageBreak/>
        <w:t>общей практики НИУ «БелГУ», стоматологии ИДПО ФГБОУ ВО ВГМУ им. Н.Н. Бурденко, кафедры стоматологии и челюстно-лицевой хирургии ФГБОУ ВО ОрГМУ Минздрава России 25.02.2021, протокол №3.</w:t>
      </w:r>
    </w:p>
    <w:p w:rsidR="00286780" w:rsidRPr="001D70FC" w:rsidRDefault="00286780" w:rsidP="00C31BFA">
      <w:pPr>
        <w:spacing w:line="360" w:lineRule="auto"/>
        <w:jc w:val="both"/>
        <w:rPr>
          <w:sz w:val="28"/>
          <w:szCs w:val="28"/>
          <w:lang w:eastAsia="en-US"/>
        </w:rPr>
      </w:pPr>
      <w:r w:rsidRPr="001D70FC">
        <w:rPr>
          <w:sz w:val="28"/>
          <w:szCs w:val="28"/>
          <w:lang w:eastAsia="en-US"/>
        </w:rPr>
        <w:t xml:space="preserve">Основные результаты диссертационного исследования доложены на следующих конференциях: Международная межвузовская конференция, посвященная 100-летнему юбилею профессора В.Ф.Рудько (22-23 марта 2019 г., МГМСУ, г. Москва); </w:t>
      </w:r>
      <w:r w:rsidRPr="001D70FC">
        <w:rPr>
          <w:sz w:val="28"/>
          <w:szCs w:val="28"/>
          <w:lang w:val="en-US" w:eastAsia="en-US"/>
        </w:rPr>
        <w:t>XLI</w:t>
      </w:r>
      <w:r w:rsidRPr="001D70FC">
        <w:rPr>
          <w:sz w:val="28"/>
          <w:szCs w:val="28"/>
          <w:lang w:eastAsia="en-US"/>
        </w:rPr>
        <w:t>(41-я) Итоговая научная конференция молодых ученых МГМСУ имени А.И.Евдокимова (01-03 апреля 2019 г., МГМСУ, г. Москва); 85-я Международная научная конференция "Университетская наука: взгляд в будущее" (7 февраля 2020 г., КГМУ, г. Курск); 85-я Международная научная конференция "Университетская наука: взгляд в будущее" (7 февраля 2020 г., КГМУ, г. Курск); 85-я Международная научная конференция "Молодежная наука и современность" (23-24 апреля 2020 г., КГМУ, г. Курск).</w:t>
      </w:r>
    </w:p>
    <w:p w:rsidR="00286780" w:rsidRDefault="00286780" w:rsidP="00C31BFA">
      <w:pPr>
        <w:spacing w:line="360" w:lineRule="auto"/>
        <w:jc w:val="both"/>
        <w:rPr>
          <w:sz w:val="28"/>
          <w:szCs w:val="28"/>
          <w:lang w:eastAsia="en-US"/>
        </w:rPr>
      </w:pPr>
      <w:r w:rsidRPr="00C31BFA">
        <w:rPr>
          <w:b/>
          <w:sz w:val="28"/>
          <w:szCs w:val="28"/>
          <w:lang w:eastAsia="en-US"/>
        </w:rPr>
        <w:t>Внедрение результатов работы в практику.</w:t>
      </w:r>
      <w:r>
        <w:rPr>
          <w:b/>
          <w:sz w:val="28"/>
          <w:szCs w:val="28"/>
          <w:lang w:eastAsia="en-US"/>
        </w:rPr>
        <w:t xml:space="preserve"> </w:t>
      </w:r>
      <w:r>
        <w:rPr>
          <w:sz w:val="28"/>
          <w:szCs w:val="28"/>
          <w:lang w:eastAsia="en-US"/>
        </w:rPr>
        <w:t xml:space="preserve">Результаты диссертационного исследования внедрены в практическую деятельность БМУ "Курская областная клиническая больница", учебный процесс кафедры хирургической стоматологии и челюстно-лицевой хирургии, кафедры хирургических болезней ФПО, кафедры хирургических болезней </w:t>
      </w:r>
      <w:r w:rsidRPr="004337DE">
        <w:rPr>
          <w:spacing w:val="-4"/>
          <w:sz w:val="28"/>
          <w:szCs w:val="28"/>
        </w:rPr>
        <w:t>№ 1</w:t>
      </w:r>
      <w:r>
        <w:rPr>
          <w:sz w:val="28"/>
          <w:szCs w:val="28"/>
          <w:lang w:eastAsia="en-US"/>
        </w:rPr>
        <w:t xml:space="preserve"> ГБОУ ВПО КГМУ Минздрава России. Автор настоящего диссертационного исследования является соавтором Национального руководства "Челюстно-лицевая хирургия", глава </w:t>
      </w:r>
      <w:r w:rsidRPr="004337DE">
        <w:rPr>
          <w:spacing w:val="-4"/>
          <w:sz w:val="28"/>
          <w:szCs w:val="28"/>
        </w:rPr>
        <w:t>№ </w:t>
      </w:r>
      <w:r>
        <w:rPr>
          <w:spacing w:val="-4"/>
          <w:sz w:val="28"/>
          <w:szCs w:val="28"/>
        </w:rPr>
        <w:t>5</w:t>
      </w:r>
      <w:r>
        <w:rPr>
          <w:sz w:val="28"/>
          <w:szCs w:val="28"/>
          <w:lang w:eastAsia="en-US"/>
        </w:rPr>
        <w:t xml:space="preserve"> (М., 2019 г.).</w:t>
      </w:r>
    </w:p>
    <w:p w:rsidR="00286780" w:rsidRDefault="00286780" w:rsidP="002B4F23">
      <w:pPr>
        <w:spacing w:line="360" w:lineRule="auto"/>
        <w:jc w:val="both"/>
        <w:rPr>
          <w:sz w:val="28"/>
          <w:szCs w:val="28"/>
          <w:lang w:eastAsia="en-US"/>
        </w:rPr>
      </w:pPr>
      <w:r>
        <w:rPr>
          <w:b/>
          <w:sz w:val="28"/>
          <w:szCs w:val="28"/>
          <w:lang w:eastAsia="en-US"/>
        </w:rPr>
        <w:t xml:space="preserve">Личный вклад автора. </w:t>
      </w:r>
      <w:r>
        <w:rPr>
          <w:sz w:val="28"/>
          <w:szCs w:val="28"/>
          <w:lang w:eastAsia="en-US"/>
        </w:rPr>
        <w:t>Диссертационная работа подготовлена автором лично, вклад автора определяется непосредственным участием на всех этапах исследования: разработка дизайна, отбор пациентов, проведение комплексного клинико-лабораторного и инструментального обследования и лечения, первичная обработка полученного материала, систематизация, статистическая обработка, анализ результатов, разработка диагностических и лечебных программ и их внедрение.</w:t>
      </w:r>
    </w:p>
    <w:p w:rsidR="00286780" w:rsidRPr="00750354" w:rsidRDefault="00286780" w:rsidP="002B4F23">
      <w:pPr>
        <w:spacing w:line="360" w:lineRule="auto"/>
        <w:jc w:val="both"/>
        <w:rPr>
          <w:sz w:val="28"/>
          <w:szCs w:val="28"/>
          <w:lang w:eastAsia="en-US"/>
        </w:rPr>
      </w:pPr>
      <w:r w:rsidRPr="00C31BFA">
        <w:rPr>
          <w:b/>
          <w:sz w:val="28"/>
          <w:szCs w:val="28"/>
          <w:lang w:eastAsia="en-US"/>
        </w:rPr>
        <w:t>Публикации.</w:t>
      </w:r>
      <w:r>
        <w:rPr>
          <w:b/>
          <w:sz w:val="28"/>
          <w:szCs w:val="28"/>
          <w:lang w:eastAsia="en-US"/>
        </w:rPr>
        <w:t xml:space="preserve"> </w:t>
      </w:r>
      <w:r>
        <w:rPr>
          <w:sz w:val="28"/>
          <w:szCs w:val="28"/>
          <w:lang w:eastAsia="en-US"/>
        </w:rPr>
        <w:t>По материалам исследования опубликовано 2</w:t>
      </w:r>
      <w:r w:rsidR="00945B9B">
        <w:rPr>
          <w:sz w:val="28"/>
          <w:szCs w:val="28"/>
          <w:lang w:eastAsia="en-US"/>
        </w:rPr>
        <w:t>3</w:t>
      </w:r>
      <w:r w:rsidR="00D37A1E">
        <w:rPr>
          <w:sz w:val="28"/>
          <w:szCs w:val="28"/>
          <w:lang w:eastAsia="en-US"/>
        </w:rPr>
        <w:t xml:space="preserve"> научные работы, из них 16</w:t>
      </w:r>
      <w:r>
        <w:rPr>
          <w:sz w:val="28"/>
          <w:szCs w:val="28"/>
          <w:lang w:eastAsia="en-US"/>
        </w:rPr>
        <w:t xml:space="preserve"> публикаций в изданиях, рекомендованных ВАК РФ, в том числе одна публикация, входящая в </w:t>
      </w:r>
      <w:r>
        <w:rPr>
          <w:sz w:val="28"/>
          <w:szCs w:val="28"/>
          <w:lang w:val="en-US" w:eastAsia="en-US"/>
        </w:rPr>
        <w:t>Scopus</w:t>
      </w:r>
      <w:r>
        <w:rPr>
          <w:sz w:val="28"/>
          <w:szCs w:val="28"/>
          <w:lang w:eastAsia="en-US"/>
        </w:rPr>
        <w:t xml:space="preserve">; зарегистрирован патент на изобретение </w:t>
      </w:r>
      <w:r>
        <w:rPr>
          <w:sz w:val="28"/>
          <w:szCs w:val="28"/>
          <w:lang w:val="en-US" w:eastAsia="en-US"/>
        </w:rPr>
        <w:t>RU</w:t>
      </w:r>
      <w:r>
        <w:rPr>
          <w:sz w:val="28"/>
          <w:szCs w:val="28"/>
          <w:lang w:eastAsia="en-US"/>
        </w:rPr>
        <w:t xml:space="preserve">2705105 </w:t>
      </w:r>
      <w:r>
        <w:rPr>
          <w:sz w:val="28"/>
          <w:szCs w:val="28"/>
          <w:lang w:eastAsia="en-US"/>
        </w:rPr>
        <w:lastRenderedPageBreak/>
        <w:t>С1 от 05.11.2019 г., "Способ оперативного лечения одонтогенных флегмон дна полости рта с частичным рассечением подъязычно-подчелюстного мешка".</w:t>
      </w:r>
    </w:p>
    <w:p w:rsidR="00286780" w:rsidRPr="00333DDF" w:rsidRDefault="00286780" w:rsidP="00333DDF">
      <w:pPr>
        <w:spacing w:line="360" w:lineRule="auto"/>
        <w:jc w:val="both"/>
        <w:rPr>
          <w:sz w:val="28"/>
          <w:szCs w:val="28"/>
          <w:lang w:eastAsia="en-US"/>
        </w:rPr>
      </w:pPr>
      <w:r w:rsidRPr="00C31BFA">
        <w:rPr>
          <w:b/>
          <w:sz w:val="28"/>
          <w:szCs w:val="28"/>
          <w:lang w:eastAsia="en-US"/>
        </w:rPr>
        <w:t>Объем и структура диссертации.</w:t>
      </w:r>
      <w:r>
        <w:rPr>
          <w:b/>
          <w:sz w:val="28"/>
          <w:szCs w:val="28"/>
          <w:lang w:eastAsia="en-US"/>
        </w:rPr>
        <w:t xml:space="preserve"> </w:t>
      </w:r>
      <w:r w:rsidR="000D7DA9">
        <w:rPr>
          <w:sz w:val="28"/>
          <w:szCs w:val="28"/>
          <w:lang w:eastAsia="en-US"/>
        </w:rPr>
        <w:t>Диссертация изложена на 302</w:t>
      </w:r>
      <w:r>
        <w:rPr>
          <w:sz w:val="28"/>
          <w:szCs w:val="28"/>
          <w:lang w:eastAsia="en-US"/>
        </w:rPr>
        <w:t xml:space="preserve"> страницах машинописного текста, состоит из введения, обзора литературы, трех глав собственных исследований, заключения, выводов, практических рекомендаций. Библиографический список с</w:t>
      </w:r>
      <w:r w:rsidR="007731FD">
        <w:rPr>
          <w:sz w:val="28"/>
          <w:szCs w:val="28"/>
          <w:lang w:eastAsia="en-US"/>
        </w:rPr>
        <w:t>одержит 380 источников, из них 269</w:t>
      </w:r>
      <w:r>
        <w:rPr>
          <w:sz w:val="28"/>
          <w:szCs w:val="28"/>
          <w:lang w:eastAsia="en-US"/>
        </w:rPr>
        <w:t xml:space="preserve"> - отечественные публикации, 111 - иностранная литература. Работа иллюстрирована таблицами (72) и рисунками (19).</w:t>
      </w:r>
    </w:p>
    <w:p w:rsidR="00286780" w:rsidRDefault="00286780">
      <w:pPr>
        <w:rPr>
          <w:b/>
          <w:i/>
          <w:sz w:val="28"/>
          <w:szCs w:val="28"/>
          <w:lang w:eastAsia="en-US"/>
        </w:rPr>
      </w:pPr>
      <w:r>
        <w:br w:type="page"/>
      </w:r>
    </w:p>
    <w:p w:rsidR="00286780" w:rsidRDefault="00286780" w:rsidP="006A5920">
      <w:pPr>
        <w:pStyle w:val="10"/>
      </w:pPr>
      <w:bookmarkStart w:id="0" w:name="_Toc58756714"/>
      <w:bookmarkStart w:id="1" w:name="_Toc67905685"/>
      <w:r w:rsidRPr="006A5920">
        <w:t>Глава 1. О</w:t>
      </w:r>
      <w:r>
        <w:t>БЗОР ЛИТЕРАТУРЫ</w:t>
      </w:r>
      <w:bookmarkEnd w:id="0"/>
      <w:bookmarkEnd w:id="1"/>
    </w:p>
    <w:p w:rsidR="00286780" w:rsidRPr="006A5920" w:rsidRDefault="00286780" w:rsidP="006A5920">
      <w:pPr>
        <w:jc w:val="both"/>
        <w:rPr>
          <w:sz w:val="28"/>
          <w:szCs w:val="28"/>
          <w:lang w:eastAsia="en-US"/>
        </w:rPr>
      </w:pPr>
    </w:p>
    <w:p w:rsidR="00286780" w:rsidRPr="00457501" w:rsidRDefault="00286780" w:rsidP="00457501">
      <w:pPr>
        <w:pStyle w:val="20"/>
        <w:spacing w:line="360" w:lineRule="auto"/>
      </w:pPr>
      <w:bookmarkStart w:id="2" w:name="_Toc67905686"/>
      <w:r w:rsidRPr="006A5920">
        <w:t>1.1. Статистика и систематика одонтогенных воспалительных заболеваний с учетом фоновой соматической патологии и синдрома взаимного отягощения</w:t>
      </w:r>
      <w:bookmarkEnd w:id="2"/>
    </w:p>
    <w:p w:rsidR="00286780" w:rsidRPr="006A5920" w:rsidRDefault="00286780" w:rsidP="00457501">
      <w:pPr>
        <w:spacing w:line="360" w:lineRule="auto"/>
        <w:ind w:firstLine="709"/>
        <w:jc w:val="both"/>
        <w:rPr>
          <w:sz w:val="28"/>
          <w:szCs w:val="28"/>
        </w:rPr>
      </w:pPr>
      <w:r w:rsidRPr="006A5920">
        <w:rPr>
          <w:sz w:val="28"/>
          <w:szCs w:val="28"/>
        </w:rPr>
        <w:t>В настоящее время многие исследователи отмечают увеличение количества пациентов с воспалительными процессами челюстно-лицевой области в условиях хирургического стационара и на амбулаторном приеме, что ассоциируется с существенным приростом распространенности нарушений клеточного и гуморального иммунитета, в том числе на фоне соматической патологии, широким применением антибиотиков, глюкокортикостероидов и других химиотерапевтических препаратов, социаль</w:t>
      </w:r>
      <w:r>
        <w:rPr>
          <w:sz w:val="28"/>
          <w:szCs w:val="28"/>
        </w:rPr>
        <w:t>ными факторами (Тер-Асатуров Г.П., 2005; Гайворонская Т.</w:t>
      </w:r>
      <w:r w:rsidRPr="006A5920">
        <w:rPr>
          <w:sz w:val="28"/>
          <w:szCs w:val="28"/>
        </w:rPr>
        <w:t>В, 2007</w:t>
      </w:r>
      <w:r>
        <w:rPr>
          <w:sz w:val="28"/>
          <w:szCs w:val="28"/>
          <w:shd w:val="clear" w:color="auto" w:fill="FFFFFF"/>
        </w:rPr>
        <w:t>;</w:t>
      </w:r>
      <w:r w:rsidR="00FD1D50">
        <w:rPr>
          <w:sz w:val="28"/>
          <w:szCs w:val="28"/>
          <w:shd w:val="clear" w:color="auto" w:fill="FFFFFF"/>
        </w:rPr>
        <w:t xml:space="preserve"> </w:t>
      </w:r>
      <w:r>
        <w:rPr>
          <w:sz w:val="28"/>
          <w:szCs w:val="28"/>
          <w:shd w:val="clear" w:color="auto" w:fill="FFFFFF"/>
        </w:rPr>
        <w:t>Арутюнов С.</w:t>
      </w:r>
      <w:r w:rsidRPr="006A5920">
        <w:rPr>
          <w:sz w:val="28"/>
          <w:szCs w:val="28"/>
          <w:shd w:val="clear" w:color="auto" w:fill="FFFFFF"/>
        </w:rPr>
        <w:t xml:space="preserve">Д. и др., 2009; </w:t>
      </w:r>
      <w:r>
        <w:rPr>
          <w:sz w:val="28"/>
          <w:szCs w:val="28"/>
        </w:rPr>
        <w:t>Байриков И.М. и др., 2014; Гандылян К.</w:t>
      </w:r>
      <w:r w:rsidRPr="006A5920">
        <w:rPr>
          <w:sz w:val="28"/>
          <w:szCs w:val="28"/>
        </w:rPr>
        <w:t xml:space="preserve">С. и др., 2015; </w:t>
      </w:r>
      <w:r>
        <w:rPr>
          <w:sz w:val="28"/>
          <w:szCs w:val="28"/>
          <w:shd w:val="clear" w:color="auto" w:fill="FFFFFF"/>
        </w:rPr>
        <w:t>Аракелян М.</w:t>
      </w:r>
      <w:r w:rsidRPr="006A5920">
        <w:rPr>
          <w:sz w:val="28"/>
          <w:szCs w:val="28"/>
          <w:shd w:val="clear" w:color="auto" w:fill="FFFFFF"/>
        </w:rPr>
        <w:t>Г. и др., 2016</w:t>
      </w:r>
      <w:r>
        <w:rPr>
          <w:sz w:val="28"/>
          <w:szCs w:val="28"/>
        </w:rPr>
        <w:t>; Конев С.С., Гандылян К.С., 2016)</w:t>
      </w:r>
      <w:r w:rsidRPr="006A5920">
        <w:rPr>
          <w:sz w:val="28"/>
          <w:szCs w:val="28"/>
        </w:rPr>
        <w:t xml:space="preserve">. </w:t>
      </w:r>
    </w:p>
    <w:p w:rsidR="00286780" w:rsidRPr="006A5920" w:rsidRDefault="00286780" w:rsidP="006A5920">
      <w:pPr>
        <w:spacing w:line="360" w:lineRule="auto"/>
        <w:ind w:firstLine="709"/>
        <w:jc w:val="both"/>
        <w:rPr>
          <w:sz w:val="28"/>
          <w:szCs w:val="28"/>
        </w:rPr>
      </w:pPr>
      <w:r w:rsidRPr="006A5920">
        <w:rPr>
          <w:sz w:val="28"/>
          <w:szCs w:val="28"/>
        </w:rPr>
        <w:t>По данным литературы, удельный вес больных с гнойными заболеваниями лица и шеи составляет около 60–70% от общего числа госпитализируемых в отделения челюстно-лицевой хирургии и 10–20% больных, обращающихся за медицинской помощью в хирургические кабинеты стоматологических поликлиник. Из них в 60–80% случаев диагностированы од</w:t>
      </w:r>
      <w:r>
        <w:rPr>
          <w:sz w:val="28"/>
          <w:szCs w:val="28"/>
        </w:rPr>
        <w:t>онтогенные флегмоны (Воложин А.И., 1995; Бажанов Н.Н, 1997; Кантемиров О.И., 2001; Шаргородский А.</w:t>
      </w:r>
      <w:r w:rsidRPr="006A5920">
        <w:rPr>
          <w:sz w:val="28"/>
          <w:szCs w:val="28"/>
        </w:rPr>
        <w:t>Г., 2001; Дур</w:t>
      </w:r>
      <w:r>
        <w:rPr>
          <w:sz w:val="28"/>
          <w:szCs w:val="28"/>
        </w:rPr>
        <w:t>ново Е.А., 2003; Агапов В.С., Пиминова И.</w:t>
      </w:r>
      <w:r w:rsidRPr="006A5920">
        <w:rPr>
          <w:sz w:val="28"/>
          <w:szCs w:val="28"/>
        </w:rPr>
        <w:t xml:space="preserve">А., 2005, 2006; </w:t>
      </w:r>
      <w:r w:rsidRPr="006A5920">
        <w:rPr>
          <w:sz w:val="28"/>
          <w:szCs w:val="28"/>
          <w:shd w:val="clear" w:color="auto" w:fill="FFFFFF"/>
        </w:rPr>
        <w:t xml:space="preserve">Ашуров Г.Г. и др., 2012; </w:t>
      </w:r>
      <w:r w:rsidRPr="006A5920">
        <w:rPr>
          <w:sz w:val="28"/>
          <w:szCs w:val="28"/>
        </w:rPr>
        <w:t>Гандыл</w:t>
      </w:r>
      <w:r>
        <w:rPr>
          <w:sz w:val="28"/>
          <w:szCs w:val="28"/>
        </w:rPr>
        <w:t>ян К.С. и др., 2015)</w:t>
      </w:r>
      <w:r w:rsidRPr="006A5920">
        <w:rPr>
          <w:sz w:val="28"/>
          <w:szCs w:val="28"/>
        </w:rPr>
        <w:t>.</w:t>
      </w:r>
    </w:p>
    <w:p w:rsidR="00286780" w:rsidRPr="006A5920" w:rsidRDefault="00286780" w:rsidP="006A5920">
      <w:pPr>
        <w:spacing w:line="360" w:lineRule="auto"/>
        <w:ind w:firstLine="709"/>
        <w:jc w:val="both"/>
        <w:rPr>
          <w:sz w:val="28"/>
          <w:szCs w:val="28"/>
        </w:rPr>
      </w:pPr>
      <w:r w:rsidRPr="006A5920">
        <w:rPr>
          <w:sz w:val="28"/>
          <w:szCs w:val="28"/>
        </w:rPr>
        <w:t xml:space="preserve">Сохраняется прирост «атипично» протекающих форм одонтогенной инфекции, характеризующихся вялотекущей, гипореактивной воспалительной реакцией, на фоне которых развиваются местные и общие осложнения </w:t>
      </w:r>
      <w:r>
        <w:rPr>
          <w:sz w:val="28"/>
          <w:szCs w:val="28"/>
        </w:rPr>
        <w:t>(</w:t>
      </w:r>
      <w:r>
        <w:rPr>
          <w:sz w:val="28"/>
          <w:szCs w:val="28"/>
          <w:shd w:val="clear" w:color="auto" w:fill="FFFFFF"/>
        </w:rPr>
        <w:t>Фомичев Е.В., 1999; Райан М.</w:t>
      </w:r>
      <w:r w:rsidRPr="006A5920">
        <w:rPr>
          <w:sz w:val="28"/>
          <w:szCs w:val="28"/>
          <w:shd w:val="clear" w:color="auto" w:fill="FFFFFF"/>
        </w:rPr>
        <w:t xml:space="preserve">А. и др., 2005; </w:t>
      </w:r>
      <w:r w:rsidRPr="006A5920">
        <w:rPr>
          <w:sz w:val="28"/>
          <w:szCs w:val="28"/>
        </w:rPr>
        <w:t>Ву Вь</w:t>
      </w:r>
      <w:r>
        <w:rPr>
          <w:sz w:val="28"/>
          <w:szCs w:val="28"/>
        </w:rPr>
        <w:t>ет Конг и др., 2014; Караков К.</w:t>
      </w:r>
      <w:r w:rsidRPr="006A5920">
        <w:rPr>
          <w:sz w:val="28"/>
          <w:szCs w:val="28"/>
        </w:rPr>
        <w:t>Г</w:t>
      </w:r>
      <w:r>
        <w:rPr>
          <w:sz w:val="28"/>
          <w:szCs w:val="28"/>
        </w:rPr>
        <w:t>. и др., 2016)</w:t>
      </w:r>
      <w:r w:rsidRPr="006A5920">
        <w:rPr>
          <w:sz w:val="28"/>
          <w:szCs w:val="28"/>
        </w:rPr>
        <w:t>.</w:t>
      </w:r>
    </w:p>
    <w:p w:rsidR="00286780" w:rsidRPr="00BC4677" w:rsidRDefault="00286780" w:rsidP="006A5920">
      <w:pPr>
        <w:spacing w:line="360" w:lineRule="auto"/>
        <w:ind w:firstLine="709"/>
        <w:jc w:val="both"/>
        <w:rPr>
          <w:sz w:val="28"/>
          <w:szCs w:val="28"/>
        </w:rPr>
      </w:pPr>
      <w:r w:rsidRPr="006A5920">
        <w:rPr>
          <w:sz w:val="28"/>
          <w:szCs w:val="28"/>
        </w:rPr>
        <w:t xml:space="preserve">На фоне сахарного диабета наблюдаются единичные, но крайне тяжелые формы некротизирующего одонтогенного воспалительного процесса, в том числе с распространением на </w:t>
      </w:r>
      <w:r>
        <w:rPr>
          <w:sz w:val="28"/>
          <w:szCs w:val="28"/>
        </w:rPr>
        <w:t>клетчатку и органы средостения (</w:t>
      </w:r>
      <w:r w:rsidRPr="006A5920">
        <w:rPr>
          <w:sz w:val="28"/>
          <w:szCs w:val="28"/>
          <w:lang w:val="en-US"/>
        </w:rPr>
        <w:t>Bucak</w:t>
      </w:r>
      <w:r>
        <w:rPr>
          <w:sz w:val="28"/>
          <w:szCs w:val="28"/>
        </w:rPr>
        <w:t xml:space="preserve"> </w:t>
      </w:r>
      <w:r w:rsidRPr="006A5920">
        <w:rPr>
          <w:sz w:val="28"/>
          <w:szCs w:val="28"/>
          <w:lang w:val="en-US"/>
        </w:rPr>
        <w:t>A</w:t>
      </w:r>
      <w:r w:rsidRPr="006A5920">
        <w:rPr>
          <w:sz w:val="28"/>
          <w:szCs w:val="28"/>
        </w:rPr>
        <w:t xml:space="preserve">. </w:t>
      </w:r>
      <w:r w:rsidRPr="006A5920">
        <w:rPr>
          <w:sz w:val="28"/>
          <w:szCs w:val="28"/>
          <w:lang w:val="en-US"/>
        </w:rPr>
        <w:t>et</w:t>
      </w:r>
      <w:r>
        <w:rPr>
          <w:sz w:val="28"/>
          <w:szCs w:val="28"/>
        </w:rPr>
        <w:t xml:space="preserve"> </w:t>
      </w:r>
      <w:r w:rsidRPr="006A5920">
        <w:rPr>
          <w:sz w:val="28"/>
          <w:szCs w:val="28"/>
          <w:lang w:val="en-US"/>
        </w:rPr>
        <w:t>al</w:t>
      </w:r>
      <w:r w:rsidRPr="006A5920">
        <w:rPr>
          <w:sz w:val="28"/>
          <w:szCs w:val="28"/>
        </w:rPr>
        <w:t xml:space="preserve">., 2013; </w:t>
      </w:r>
      <w:r w:rsidRPr="006A5920">
        <w:rPr>
          <w:sz w:val="28"/>
          <w:szCs w:val="28"/>
          <w:lang w:val="en-US"/>
        </w:rPr>
        <w:t>Antunes</w:t>
      </w:r>
      <w:r>
        <w:rPr>
          <w:sz w:val="28"/>
          <w:szCs w:val="28"/>
        </w:rPr>
        <w:t xml:space="preserve"> </w:t>
      </w:r>
      <w:r w:rsidRPr="006A5920">
        <w:rPr>
          <w:sz w:val="28"/>
          <w:szCs w:val="28"/>
          <w:lang w:val="en-US"/>
        </w:rPr>
        <w:t>A</w:t>
      </w:r>
      <w:r>
        <w:rPr>
          <w:sz w:val="28"/>
          <w:szCs w:val="28"/>
        </w:rPr>
        <w:t>.</w:t>
      </w:r>
      <w:r w:rsidRPr="006A5920">
        <w:rPr>
          <w:sz w:val="28"/>
          <w:szCs w:val="28"/>
          <w:lang w:val="en-US"/>
        </w:rPr>
        <w:t>A</w:t>
      </w:r>
      <w:r w:rsidRPr="00BC4677">
        <w:rPr>
          <w:sz w:val="28"/>
          <w:szCs w:val="28"/>
        </w:rPr>
        <w:t xml:space="preserve">. </w:t>
      </w:r>
      <w:r w:rsidRPr="006A5920">
        <w:rPr>
          <w:sz w:val="28"/>
          <w:szCs w:val="28"/>
          <w:lang w:val="en-US"/>
        </w:rPr>
        <w:t>et</w:t>
      </w:r>
      <w:r>
        <w:rPr>
          <w:sz w:val="28"/>
          <w:szCs w:val="28"/>
        </w:rPr>
        <w:t xml:space="preserve"> </w:t>
      </w:r>
      <w:r w:rsidRPr="006A5920">
        <w:rPr>
          <w:sz w:val="28"/>
          <w:szCs w:val="28"/>
          <w:lang w:val="en-US"/>
        </w:rPr>
        <w:t>al</w:t>
      </w:r>
      <w:r w:rsidRPr="00BC4677">
        <w:rPr>
          <w:sz w:val="28"/>
          <w:szCs w:val="28"/>
        </w:rPr>
        <w:t xml:space="preserve">., 2014; </w:t>
      </w:r>
      <w:r w:rsidRPr="006A5920">
        <w:rPr>
          <w:sz w:val="28"/>
          <w:szCs w:val="28"/>
          <w:lang w:val="en-US"/>
        </w:rPr>
        <w:t>Novelli</w:t>
      </w:r>
      <w:r>
        <w:rPr>
          <w:sz w:val="28"/>
          <w:szCs w:val="28"/>
        </w:rPr>
        <w:t xml:space="preserve"> </w:t>
      </w:r>
      <w:r w:rsidRPr="006A5920">
        <w:rPr>
          <w:sz w:val="28"/>
          <w:szCs w:val="28"/>
          <w:lang w:val="en-US"/>
        </w:rPr>
        <w:t>G</w:t>
      </w:r>
      <w:r w:rsidRPr="00BC4677">
        <w:rPr>
          <w:sz w:val="28"/>
          <w:szCs w:val="28"/>
        </w:rPr>
        <w:t xml:space="preserve">. </w:t>
      </w:r>
      <w:r>
        <w:rPr>
          <w:sz w:val="28"/>
          <w:szCs w:val="28"/>
          <w:lang w:val="en-US"/>
        </w:rPr>
        <w:t>e</w:t>
      </w:r>
      <w:r w:rsidRPr="006A5920">
        <w:rPr>
          <w:sz w:val="28"/>
          <w:szCs w:val="28"/>
          <w:lang w:val="en-US"/>
        </w:rPr>
        <w:t>t</w:t>
      </w:r>
      <w:r>
        <w:rPr>
          <w:sz w:val="28"/>
          <w:szCs w:val="28"/>
        </w:rPr>
        <w:t xml:space="preserve"> </w:t>
      </w:r>
      <w:r w:rsidRPr="006A5920">
        <w:rPr>
          <w:sz w:val="28"/>
          <w:szCs w:val="28"/>
          <w:lang w:val="en-US"/>
        </w:rPr>
        <w:t>al</w:t>
      </w:r>
      <w:r w:rsidRPr="00BC4677">
        <w:rPr>
          <w:sz w:val="28"/>
          <w:szCs w:val="28"/>
        </w:rPr>
        <w:t xml:space="preserve">., 2014; </w:t>
      </w:r>
      <w:r w:rsidRPr="006A5920">
        <w:rPr>
          <w:sz w:val="28"/>
          <w:szCs w:val="28"/>
          <w:lang w:val="en-US"/>
        </w:rPr>
        <w:t>van</w:t>
      </w:r>
      <w:r>
        <w:rPr>
          <w:sz w:val="28"/>
          <w:szCs w:val="28"/>
        </w:rPr>
        <w:t xml:space="preserve"> </w:t>
      </w:r>
      <w:r w:rsidRPr="006A5920">
        <w:rPr>
          <w:sz w:val="28"/>
          <w:szCs w:val="28"/>
          <w:lang w:val="en-US"/>
        </w:rPr>
        <w:t>Niekerk</w:t>
      </w:r>
      <w:r>
        <w:rPr>
          <w:sz w:val="28"/>
          <w:szCs w:val="28"/>
        </w:rPr>
        <w:t xml:space="preserve"> </w:t>
      </w:r>
      <w:r w:rsidRPr="006A5920">
        <w:rPr>
          <w:sz w:val="28"/>
          <w:szCs w:val="28"/>
          <w:lang w:val="en-US"/>
        </w:rPr>
        <w:t>C</w:t>
      </w:r>
      <w:r w:rsidRPr="00BC4677">
        <w:rPr>
          <w:sz w:val="28"/>
          <w:szCs w:val="28"/>
        </w:rPr>
        <w:t xml:space="preserve">. </w:t>
      </w:r>
      <w:r w:rsidRPr="006A5920">
        <w:rPr>
          <w:sz w:val="28"/>
          <w:szCs w:val="28"/>
          <w:lang w:val="en-US"/>
        </w:rPr>
        <w:t>et</w:t>
      </w:r>
      <w:r>
        <w:rPr>
          <w:sz w:val="28"/>
          <w:szCs w:val="28"/>
        </w:rPr>
        <w:t xml:space="preserve"> </w:t>
      </w:r>
      <w:r w:rsidRPr="006A5920">
        <w:rPr>
          <w:sz w:val="28"/>
          <w:szCs w:val="28"/>
          <w:lang w:val="en-US"/>
        </w:rPr>
        <w:t>al</w:t>
      </w:r>
      <w:r w:rsidRPr="00BC4677">
        <w:rPr>
          <w:sz w:val="28"/>
          <w:szCs w:val="28"/>
        </w:rPr>
        <w:t xml:space="preserve">., 2014; </w:t>
      </w:r>
      <w:r w:rsidRPr="006A5920">
        <w:rPr>
          <w:sz w:val="28"/>
          <w:szCs w:val="28"/>
          <w:lang w:val="en-US"/>
        </w:rPr>
        <w:t>Sumi</w:t>
      </w:r>
      <w:r>
        <w:rPr>
          <w:sz w:val="28"/>
          <w:szCs w:val="28"/>
        </w:rPr>
        <w:t xml:space="preserve"> </w:t>
      </w:r>
      <w:r w:rsidRPr="006A5920">
        <w:rPr>
          <w:sz w:val="28"/>
          <w:szCs w:val="28"/>
          <w:lang w:val="en-US"/>
        </w:rPr>
        <w:t>Y</w:t>
      </w:r>
      <w:r w:rsidRPr="00BC4677">
        <w:rPr>
          <w:sz w:val="28"/>
          <w:szCs w:val="28"/>
        </w:rPr>
        <w:t xml:space="preserve">. </w:t>
      </w:r>
      <w:r>
        <w:rPr>
          <w:sz w:val="28"/>
          <w:szCs w:val="28"/>
          <w:lang w:val="en-US"/>
        </w:rPr>
        <w:t>e</w:t>
      </w:r>
      <w:r w:rsidRPr="006A5920">
        <w:rPr>
          <w:sz w:val="28"/>
          <w:szCs w:val="28"/>
          <w:lang w:val="en-US"/>
        </w:rPr>
        <w:t>t</w:t>
      </w:r>
      <w:r w:rsidRPr="00C30E69">
        <w:rPr>
          <w:sz w:val="28"/>
          <w:szCs w:val="28"/>
        </w:rPr>
        <w:t xml:space="preserve"> </w:t>
      </w:r>
      <w:r w:rsidRPr="006A5920">
        <w:rPr>
          <w:sz w:val="28"/>
          <w:szCs w:val="28"/>
          <w:lang w:val="en-US"/>
        </w:rPr>
        <w:t>al</w:t>
      </w:r>
      <w:r w:rsidRPr="00BC4677">
        <w:rPr>
          <w:sz w:val="28"/>
          <w:szCs w:val="28"/>
        </w:rPr>
        <w:t xml:space="preserve">., 2014; </w:t>
      </w:r>
      <w:r w:rsidRPr="006A5920">
        <w:rPr>
          <w:sz w:val="28"/>
          <w:szCs w:val="28"/>
          <w:lang w:val="en-US"/>
        </w:rPr>
        <w:t>Botha</w:t>
      </w:r>
      <w:r w:rsidRPr="00C30E69">
        <w:rPr>
          <w:sz w:val="28"/>
          <w:szCs w:val="28"/>
        </w:rPr>
        <w:t xml:space="preserve"> </w:t>
      </w:r>
      <w:r w:rsidRPr="006A5920">
        <w:rPr>
          <w:sz w:val="28"/>
          <w:szCs w:val="28"/>
          <w:lang w:val="en-US"/>
        </w:rPr>
        <w:t>A</w:t>
      </w:r>
      <w:r w:rsidRPr="00BC4677">
        <w:rPr>
          <w:sz w:val="28"/>
          <w:szCs w:val="28"/>
        </w:rPr>
        <w:t xml:space="preserve">. </w:t>
      </w:r>
      <w:r w:rsidRPr="006A5920">
        <w:rPr>
          <w:sz w:val="28"/>
          <w:szCs w:val="28"/>
          <w:lang w:val="en-US"/>
        </w:rPr>
        <w:t>et</w:t>
      </w:r>
      <w:r w:rsidRPr="00C30E69">
        <w:rPr>
          <w:sz w:val="28"/>
          <w:szCs w:val="28"/>
        </w:rPr>
        <w:t xml:space="preserve"> </w:t>
      </w:r>
      <w:r w:rsidRPr="006A5920">
        <w:rPr>
          <w:sz w:val="28"/>
          <w:szCs w:val="28"/>
          <w:lang w:val="en-US"/>
        </w:rPr>
        <w:t>al</w:t>
      </w:r>
      <w:r w:rsidRPr="00BC4677">
        <w:rPr>
          <w:sz w:val="28"/>
          <w:szCs w:val="28"/>
        </w:rPr>
        <w:t xml:space="preserve">., 2015; </w:t>
      </w:r>
      <w:r w:rsidRPr="006A5920">
        <w:rPr>
          <w:sz w:val="28"/>
          <w:szCs w:val="28"/>
          <w:lang w:val="en-US"/>
        </w:rPr>
        <w:t>Cruz</w:t>
      </w:r>
      <w:r w:rsidRPr="00C30E69">
        <w:rPr>
          <w:sz w:val="28"/>
          <w:szCs w:val="28"/>
        </w:rPr>
        <w:t xml:space="preserve"> </w:t>
      </w:r>
      <w:r w:rsidRPr="006A5920">
        <w:rPr>
          <w:sz w:val="28"/>
          <w:szCs w:val="28"/>
          <w:lang w:val="en-US"/>
        </w:rPr>
        <w:t>Toro</w:t>
      </w:r>
      <w:r w:rsidRPr="00C30E69">
        <w:rPr>
          <w:sz w:val="28"/>
          <w:szCs w:val="28"/>
        </w:rPr>
        <w:t xml:space="preserve"> </w:t>
      </w:r>
      <w:r w:rsidRPr="006A5920">
        <w:rPr>
          <w:sz w:val="28"/>
          <w:szCs w:val="28"/>
          <w:lang w:val="en-US"/>
        </w:rPr>
        <w:t>P</w:t>
      </w:r>
      <w:r w:rsidRPr="00BC4677">
        <w:rPr>
          <w:sz w:val="28"/>
          <w:szCs w:val="28"/>
        </w:rPr>
        <w:t xml:space="preserve">. </w:t>
      </w:r>
      <w:r w:rsidRPr="006A5920">
        <w:rPr>
          <w:sz w:val="28"/>
          <w:szCs w:val="28"/>
          <w:lang w:val="en-US"/>
        </w:rPr>
        <w:t>et</w:t>
      </w:r>
      <w:r w:rsidRPr="00C30E69">
        <w:rPr>
          <w:sz w:val="28"/>
          <w:szCs w:val="28"/>
        </w:rPr>
        <w:t xml:space="preserve"> </w:t>
      </w:r>
      <w:r w:rsidRPr="006A5920">
        <w:rPr>
          <w:sz w:val="28"/>
          <w:szCs w:val="28"/>
          <w:lang w:val="en-US"/>
        </w:rPr>
        <w:t>al</w:t>
      </w:r>
      <w:r w:rsidRPr="00BC4677">
        <w:rPr>
          <w:sz w:val="28"/>
          <w:szCs w:val="28"/>
        </w:rPr>
        <w:t xml:space="preserve">., 2015; </w:t>
      </w:r>
      <w:r w:rsidRPr="006A5920">
        <w:rPr>
          <w:sz w:val="28"/>
          <w:szCs w:val="28"/>
          <w:lang w:val="en-US"/>
        </w:rPr>
        <w:t>Muhammad</w:t>
      </w:r>
      <w:r w:rsidRPr="00C30E69">
        <w:rPr>
          <w:sz w:val="28"/>
          <w:szCs w:val="28"/>
        </w:rPr>
        <w:t xml:space="preserve"> </w:t>
      </w:r>
      <w:r w:rsidRPr="006A5920">
        <w:rPr>
          <w:sz w:val="28"/>
          <w:szCs w:val="28"/>
          <w:lang w:val="en-US"/>
        </w:rPr>
        <w:t>J</w:t>
      </w:r>
      <w:r w:rsidRPr="00BC4677">
        <w:rPr>
          <w:sz w:val="28"/>
          <w:szCs w:val="28"/>
        </w:rPr>
        <w:t>.</w:t>
      </w:r>
      <w:r w:rsidRPr="006A5920">
        <w:rPr>
          <w:sz w:val="28"/>
          <w:szCs w:val="28"/>
          <w:lang w:val="en-US"/>
        </w:rPr>
        <w:t>K</w:t>
      </w:r>
      <w:r w:rsidRPr="00BC4677">
        <w:rPr>
          <w:sz w:val="28"/>
          <w:szCs w:val="28"/>
        </w:rPr>
        <w:t xml:space="preserve">. </w:t>
      </w:r>
      <w:r w:rsidRPr="006A5920">
        <w:rPr>
          <w:sz w:val="28"/>
          <w:szCs w:val="28"/>
          <w:lang w:val="en-US"/>
        </w:rPr>
        <w:t>et</w:t>
      </w:r>
      <w:r w:rsidRPr="00C30E69">
        <w:rPr>
          <w:sz w:val="28"/>
          <w:szCs w:val="28"/>
        </w:rPr>
        <w:t xml:space="preserve"> </w:t>
      </w:r>
      <w:r w:rsidRPr="006A5920">
        <w:rPr>
          <w:sz w:val="28"/>
          <w:szCs w:val="28"/>
          <w:lang w:val="en-US"/>
        </w:rPr>
        <w:t>al</w:t>
      </w:r>
      <w:r w:rsidRPr="00BC4677">
        <w:rPr>
          <w:sz w:val="28"/>
          <w:szCs w:val="28"/>
        </w:rPr>
        <w:t xml:space="preserve">., 2015; </w:t>
      </w:r>
      <w:r w:rsidRPr="006A5920">
        <w:rPr>
          <w:sz w:val="28"/>
          <w:szCs w:val="28"/>
          <w:lang w:val="en-US"/>
        </w:rPr>
        <w:lastRenderedPageBreak/>
        <w:t>Noy</w:t>
      </w:r>
      <w:r w:rsidRPr="00C30E69">
        <w:rPr>
          <w:sz w:val="28"/>
          <w:szCs w:val="28"/>
        </w:rPr>
        <w:t xml:space="preserve"> </w:t>
      </w:r>
      <w:r w:rsidRPr="006A5920">
        <w:rPr>
          <w:sz w:val="28"/>
          <w:szCs w:val="28"/>
          <w:lang w:val="en-US"/>
        </w:rPr>
        <w:t>D</w:t>
      </w:r>
      <w:r w:rsidRPr="00BC4677">
        <w:rPr>
          <w:sz w:val="28"/>
          <w:szCs w:val="28"/>
        </w:rPr>
        <w:t xml:space="preserve">. </w:t>
      </w:r>
      <w:r>
        <w:rPr>
          <w:sz w:val="28"/>
          <w:szCs w:val="28"/>
          <w:lang w:val="en-US"/>
        </w:rPr>
        <w:t>e</w:t>
      </w:r>
      <w:r w:rsidRPr="006A5920">
        <w:rPr>
          <w:sz w:val="28"/>
          <w:szCs w:val="28"/>
          <w:lang w:val="en-US"/>
        </w:rPr>
        <w:t>t</w:t>
      </w:r>
      <w:r w:rsidRPr="00C30E69">
        <w:rPr>
          <w:sz w:val="28"/>
          <w:szCs w:val="28"/>
        </w:rPr>
        <w:t xml:space="preserve"> </w:t>
      </w:r>
      <w:r w:rsidRPr="006A5920">
        <w:rPr>
          <w:sz w:val="28"/>
          <w:szCs w:val="28"/>
          <w:lang w:val="en-US"/>
        </w:rPr>
        <w:t>al</w:t>
      </w:r>
      <w:r w:rsidRPr="00BC4677">
        <w:rPr>
          <w:sz w:val="28"/>
          <w:szCs w:val="28"/>
        </w:rPr>
        <w:t xml:space="preserve">., 2015; </w:t>
      </w:r>
      <w:r w:rsidRPr="006A5920">
        <w:rPr>
          <w:sz w:val="28"/>
          <w:szCs w:val="28"/>
          <w:lang w:val="en-US"/>
        </w:rPr>
        <w:t>Abdurrazaq</w:t>
      </w:r>
      <w:r w:rsidRPr="00C30E69">
        <w:rPr>
          <w:sz w:val="28"/>
          <w:szCs w:val="28"/>
        </w:rPr>
        <w:t xml:space="preserve"> </w:t>
      </w:r>
      <w:r w:rsidRPr="006A5920">
        <w:rPr>
          <w:sz w:val="28"/>
          <w:szCs w:val="28"/>
          <w:lang w:val="en-US"/>
        </w:rPr>
        <w:t>T</w:t>
      </w:r>
      <w:r w:rsidRPr="00BC4677">
        <w:rPr>
          <w:sz w:val="28"/>
          <w:szCs w:val="28"/>
        </w:rPr>
        <w:t>.</w:t>
      </w:r>
      <w:r w:rsidRPr="006A5920">
        <w:rPr>
          <w:sz w:val="28"/>
          <w:szCs w:val="28"/>
          <w:lang w:val="en-US"/>
        </w:rPr>
        <w:t>O</w:t>
      </w:r>
      <w:r w:rsidRPr="00BC4677">
        <w:rPr>
          <w:sz w:val="28"/>
          <w:szCs w:val="28"/>
        </w:rPr>
        <w:t xml:space="preserve">. </w:t>
      </w:r>
      <w:r w:rsidRPr="006A5920">
        <w:rPr>
          <w:sz w:val="28"/>
          <w:szCs w:val="28"/>
          <w:lang w:val="en-US"/>
        </w:rPr>
        <w:t>et</w:t>
      </w:r>
      <w:r w:rsidRPr="00C30E69">
        <w:rPr>
          <w:sz w:val="28"/>
          <w:szCs w:val="28"/>
        </w:rPr>
        <w:t xml:space="preserve"> </w:t>
      </w:r>
      <w:r w:rsidRPr="006A5920">
        <w:rPr>
          <w:sz w:val="28"/>
          <w:szCs w:val="28"/>
          <w:lang w:val="en-US"/>
        </w:rPr>
        <w:t>al</w:t>
      </w:r>
      <w:r w:rsidRPr="00BC4677">
        <w:rPr>
          <w:sz w:val="28"/>
          <w:szCs w:val="28"/>
        </w:rPr>
        <w:t xml:space="preserve">., 2016; </w:t>
      </w:r>
      <w:r w:rsidRPr="006A5920">
        <w:rPr>
          <w:sz w:val="28"/>
          <w:szCs w:val="28"/>
          <w:lang w:val="en-US"/>
        </w:rPr>
        <w:t>Juncar</w:t>
      </w:r>
      <w:r w:rsidRPr="00C30E69">
        <w:rPr>
          <w:sz w:val="28"/>
          <w:szCs w:val="28"/>
        </w:rPr>
        <w:t xml:space="preserve"> </w:t>
      </w:r>
      <w:r w:rsidRPr="006A5920">
        <w:rPr>
          <w:sz w:val="28"/>
          <w:szCs w:val="28"/>
          <w:lang w:val="en-US"/>
        </w:rPr>
        <w:t>M</w:t>
      </w:r>
      <w:r w:rsidRPr="00BC4677">
        <w:rPr>
          <w:sz w:val="28"/>
          <w:szCs w:val="28"/>
        </w:rPr>
        <w:t xml:space="preserve">. </w:t>
      </w:r>
      <w:r w:rsidRPr="006A5920">
        <w:rPr>
          <w:sz w:val="28"/>
          <w:szCs w:val="28"/>
          <w:lang w:val="en-US"/>
        </w:rPr>
        <w:t>et</w:t>
      </w:r>
      <w:r w:rsidRPr="00C30E69">
        <w:rPr>
          <w:sz w:val="28"/>
          <w:szCs w:val="28"/>
        </w:rPr>
        <w:t xml:space="preserve"> </w:t>
      </w:r>
      <w:r w:rsidRPr="006A5920">
        <w:rPr>
          <w:sz w:val="28"/>
          <w:szCs w:val="28"/>
          <w:lang w:val="en-US"/>
        </w:rPr>
        <w:t>al</w:t>
      </w:r>
      <w:r w:rsidRPr="00BC4677">
        <w:rPr>
          <w:sz w:val="28"/>
          <w:szCs w:val="28"/>
        </w:rPr>
        <w:t xml:space="preserve">., 2016; </w:t>
      </w:r>
      <w:r w:rsidRPr="006A5920">
        <w:rPr>
          <w:sz w:val="28"/>
          <w:szCs w:val="28"/>
          <w:lang w:val="en-US"/>
        </w:rPr>
        <w:t>Bayetto</w:t>
      </w:r>
      <w:r w:rsidRPr="00C30E69">
        <w:rPr>
          <w:sz w:val="28"/>
          <w:szCs w:val="28"/>
        </w:rPr>
        <w:t xml:space="preserve"> </w:t>
      </w:r>
      <w:r w:rsidRPr="006A5920">
        <w:rPr>
          <w:sz w:val="28"/>
          <w:szCs w:val="28"/>
          <w:lang w:val="en-US"/>
        </w:rPr>
        <w:t>K</w:t>
      </w:r>
      <w:r w:rsidRPr="00BC4677">
        <w:rPr>
          <w:sz w:val="28"/>
          <w:szCs w:val="28"/>
        </w:rPr>
        <w:t xml:space="preserve">. </w:t>
      </w:r>
      <w:r>
        <w:rPr>
          <w:sz w:val="28"/>
          <w:szCs w:val="28"/>
          <w:lang w:val="en-US"/>
        </w:rPr>
        <w:t>et</w:t>
      </w:r>
      <w:r w:rsidRPr="00C30E69">
        <w:rPr>
          <w:sz w:val="28"/>
          <w:szCs w:val="28"/>
        </w:rPr>
        <w:t xml:space="preserve"> </w:t>
      </w:r>
      <w:r w:rsidRPr="006A5920">
        <w:rPr>
          <w:sz w:val="28"/>
          <w:szCs w:val="28"/>
          <w:lang w:val="en-US"/>
        </w:rPr>
        <w:t>al</w:t>
      </w:r>
      <w:r w:rsidRPr="00BC4677">
        <w:rPr>
          <w:sz w:val="28"/>
          <w:szCs w:val="28"/>
        </w:rPr>
        <w:t xml:space="preserve">., 2017; </w:t>
      </w:r>
      <w:r w:rsidRPr="006A5920">
        <w:rPr>
          <w:sz w:val="28"/>
          <w:szCs w:val="28"/>
          <w:lang w:val="en-US"/>
        </w:rPr>
        <w:t>Cariati</w:t>
      </w:r>
      <w:r w:rsidRPr="00C30E69">
        <w:rPr>
          <w:sz w:val="28"/>
          <w:szCs w:val="28"/>
        </w:rPr>
        <w:t xml:space="preserve"> </w:t>
      </w:r>
      <w:r w:rsidRPr="006A5920">
        <w:rPr>
          <w:sz w:val="28"/>
          <w:szCs w:val="28"/>
          <w:lang w:val="en-US"/>
        </w:rPr>
        <w:t>P</w:t>
      </w:r>
      <w:r w:rsidRPr="00BC4677">
        <w:rPr>
          <w:sz w:val="28"/>
          <w:szCs w:val="28"/>
        </w:rPr>
        <w:t xml:space="preserve">. </w:t>
      </w:r>
      <w:r w:rsidRPr="006A5920">
        <w:rPr>
          <w:sz w:val="28"/>
          <w:szCs w:val="28"/>
          <w:lang w:val="en-US"/>
        </w:rPr>
        <w:t>et</w:t>
      </w:r>
      <w:r w:rsidRPr="00C30E69">
        <w:rPr>
          <w:sz w:val="28"/>
          <w:szCs w:val="28"/>
        </w:rPr>
        <w:t xml:space="preserve"> </w:t>
      </w:r>
      <w:r w:rsidRPr="006A5920">
        <w:rPr>
          <w:sz w:val="28"/>
          <w:szCs w:val="28"/>
          <w:lang w:val="en-US"/>
        </w:rPr>
        <w:t>al</w:t>
      </w:r>
      <w:r w:rsidRPr="00BC4677">
        <w:rPr>
          <w:sz w:val="28"/>
          <w:szCs w:val="28"/>
        </w:rPr>
        <w:t xml:space="preserve">., 2017; </w:t>
      </w:r>
      <w:r w:rsidRPr="006A5920">
        <w:rPr>
          <w:sz w:val="28"/>
          <w:szCs w:val="28"/>
          <w:lang w:val="en-US"/>
        </w:rPr>
        <w:t>Cortese</w:t>
      </w:r>
      <w:r w:rsidRPr="00C30E69">
        <w:rPr>
          <w:sz w:val="28"/>
          <w:szCs w:val="28"/>
        </w:rPr>
        <w:t xml:space="preserve"> </w:t>
      </w:r>
      <w:r w:rsidRPr="006A5920">
        <w:rPr>
          <w:sz w:val="28"/>
          <w:szCs w:val="28"/>
          <w:lang w:val="en-US"/>
        </w:rPr>
        <w:t>A</w:t>
      </w:r>
      <w:r w:rsidRPr="00BC4677">
        <w:rPr>
          <w:sz w:val="28"/>
          <w:szCs w:val="28"/>
        </w:rPr>
        <w:t xml:space="preserve">. </w:t>
      </w:r>
      <w:r w:rsidRPr="006A5920">
        <w:rPr>
          <w:sz w:val="28"/>
          <w:szCs w:val="28"/>
          <w:lang w:val="en-US"/>
        </w:rPr>
        <w:t>et</w:t>
      </w:r>
      <w:r w:rsidRPr="00C30E69">
        <w:rPr>
          <w:sz w:val="28"/>
          <w:szCs w:val="28"/>
        </w:rPr>
        <w:t xml:space="preserve"> </w:t>
      </w:r>
      <w:r w:rsidRPr="006A5920">
        <w:rPr>
          <w:sz w:val="28"/>
          <w:szCs w:val="28"/>
          <w:lang w:val="en-US"/>
        </w:rPr>
        <w:t>al</w:t>
      </w:r>
      <w:r w:rsidRPr="00BC4677">
        <w:rPr>
          <w:sz w:val="28"/>
          <w:szCs w:val="28"/>
        </w:rPr>
        <w:t xml:space="preserve">., 2017; </w:t>
      </w:r>
      <w:r w:rsidRPr="006A5920">
        <w:rPr>
          <w:sz w:val="28"/>
          <w:szCs w:val="28"/>
          <w:lang w:val="en-US"/>
        </w:rPr>
        <w:t>Kloth</w:t>
      </w:r>
      <w:r w:rsidRPr="00C30E69">
        <w:rPr>
          <w:sz w:val="28"/>
          <w:szCs w:val="28"/>
        </w:rPr>
        <w:t xml:space="preserve"> </w:t>
      </w:r>
      <w:r w:rsidRPr="006A5920">
        <w:rPr>
          <w:sz w:val="28"/>
          <w:szCs w:val="28"/>
          <w:lang w:val="en-US"/>
        </w:rPr>
        <w:t>C</w:t>
      </w:r>
      <w:r w:rsidRPr="00BC4677">
        <w:rPr>
          <w:sz w:val="28"/>
          <w:szCs w:val="28"/>
        </w:rPr>
        <w:t xml:space="preserve">. </w:t>
      </w:r>
      <w:r w:rsidRPr="006A5920">
        <w:rPr>
          <w:sz w:val="28"/>
          <w:szCs w:val="28"/>
          <w:lang w:val="en-US"/>
        </w:rPr>
        <w:t>et</w:t>
      </w:r>
      <w:r w:rsidRPr="00C30E69">
        <w:rPr>
          <w:sz w:val="28"/>
          <w:szCs w:val="28"/>
        </w:rPr>
        <w:t xml:space="preserve"> </w:t>
      </w:r>
      <w:r w:rsidRPr="006A5920">
        <w:rPr>
          <w:sz w:val="28"/>
          <w:szCs w:val="28"/>
          <w:lang w:val="en-US"/>
        </w:rPr>
        <w:t>al</w:t>
      </w:r>
      <w:r w:rsidRPr="00BC4677">
        <w:rPr>
          <w:sz w:val="28"/>
          <w:szCs w:val="28"/>
        </w:rPr>
        <w:t xml:space="preserve">., 2017; </w:t>
      </w:r>
      <w:r w:rsidRPr="006A5920">
        <w:rPr>
          <w:sz w:val="28"/>
          <w:szCs w:val="28"/>
          <w:lang w:val="en-US"/>
        </w:rPr>
        <w:t>Zemplenyi</w:t>
      </w:r>
      <w:r w:rsidRPr="00C30E69">
        <w:rPr>
          <w:sz w:val="28"/>
          <w:szCs w:val="28"/>
        </w:rPr>
        <w:t xml:space="preserve"> </w:t>
      </w:r>
      <w:r w:rsidRPr="006A5920">
        <w:rPr>
          <w:sz w:val="28"/>
          <w:szCs w:val="28"/>
          <w:lang w:val="en-US"/>
        </w:rPr>
        <w:t>K</w:t>
      </w:r>
      <w:r w:rsidRPr="00BC4677">
        <w:rPr>
          <w:sz w:val="28"/>
          <w:szCs w:val="28"/>
        </w:rPr>
        <w:t xml:space="preserve">. </w:t>
      </w:r>
      <w:r w:rsidRPr="006A5920">
        <w:rPr>
          <w:sz w:val="28"/>
          <w:szCs w:val="28"/>
          <w:lang w:val="en-US"/>
        </w:rPr>
        <w:t>et</w:t>
      </w:r>
      <w:r w:rsidRPr="00C30E69">
        <w:rPr>
          <w:sz w:val="28"/>
          <w:szCs w:val="28"/>
        </w:rPr>
        <w:t xml:space="preserve"> </w:t>
      </w:r>
      <w:r w:rsidRPr="006A5920">
        <w:rPr>
          <w:sz w:val="28"/>
          <w:szCs w:val="28"/>
          <w:lang w:val="en-US"/>
        </w:rPr>
        <w:t>al</w:t>
      </w:r>
      <w:r>
        <w:rPr>
          <w:sz w:val="28"/>
          <w:szCs w:val="28"/>
        </w:rPr>
        <w:t>., 2017)</w:t>
      </w:r>
      <w:r w:rsidRPr="00BC4677">
        <w:rPr>
          <w:sz w:val="28"/>
          <w:szCs w:val="28"/>
        </w:rPr>
        <w:t>.</w:t>
      </w:r>
    </w:p>
    <w:p w:rsidR="00286780" w:rsidRPr="006A5920" w:rsidRDefault="00286780" w:rsidP="006A5920">
      <w:pPr>
        <w:spacing w:line="360" w:lineRule="auto"/>
        <w:ind w:firstLine="709"/>
        <w:jc w:val="both"/>
        <w:rPr>
          <w:sz w:val="28"/>
          <w:szCs w:val="28"/>
        </w:rPr>
      </w:pPr>
      <w:r w:rsidRPr="006A5920">
        <w:rPr>
          <w:sz w:val="28"/>
          <w:szCs w:val="28"/>
        </w:rPr>
        <w:t>Единичные публикации, посвященные одонтогенному сепсису, не дают достоверной статистической информации о распространенности данной патологии в различных регионах РФ и в других странах. Однако тенденция к приросту количества септических больных в последние десятилетия просматривается достаточно четко. Отмечается увеличение количества пациентов с одонтогенным сепсисом на фоне сопутствующей сомат</w:t>
      </w:r>
      <w:r>
        <w:rPr>
          <w:sz w:val="28"/>
          <w:szCs w:val="28"/>
        </w:rPr>
        <w:t xml:space="preserve">ической патологии </w:t>
      </w:r>
      <w:r w:rsidRPr="00E320E5">
        <w:rPr>
          <w:sz w:val="28"/>
          <w:szCs w:val="28"/>
        </w:rPr>
        <w:t>(</w:t>
      </w:r>
      <w:r>
        <w:rPr>
          <w:sz w:val="28"/>
          <w:szCs w:val="28"/>
        </w:rPr>
        <w:t>Харитонов Ю.М., 1999, 2011; Будаев А.П., 2001; Губин М.</w:t>
      </w:r>
      <w:r w:rsidRPr="006A5920">
        <w:rPr>
          <w:sz w:val="28"/>
          <w:szCs w:val="28"/>
        </w:rPr>
        <w:t>А.</w:t>
      </w:r>
      <w:r>
        <w:rPr>
          <w:sz w:val="28"/>
          <w:szCs w:val="28"/>
        </w:rPr>
        <w:t xml:space="preserve"> и др., 2004, 2003; Оганесян А.</w:t>
      </w:r>
      <w:r w:rsidRPr="006A5920">
        <w:rPr>
          <w:sz w:val="28"/>
          <w:szCs w:val="28"/>
        </w:rPr>
        <w:t>А., Три</w:t>
      </w:r>
      <w:r>
        <w:rPr>
          <w:sz w:val="28"/>
          <w:szCs w:val="28"/>
        </w:rPr>
        <w:t>фонов Б.В., 2010; Громов А.Л., 2011</w:t>
      </w:r>
      <w:r w:rsidRPr="00E320E5">
        <w:rPr>
          <w:sz w:val="28"/>
          <w:szCs w:val="28"/>
        </w:rPr>
        <w:t>)</w:t>
      </w:r>
      <w:r w:rsidRPr="006A5920">
        <w:rPr>
          <w:sz w:val="28"/>
          <w:szCs w:val="28"/>
        </w:rPr>
        <w:t>.</w:t>
      </w:r>
    </w:p>
    <w:p w:rsidR="00286780" w:rsidRPr="006A5920" w:rsidRDefault="00286780" w:rsidP="006A5920">
      <w:pPr>
        <w:spacing w:line="360" w:lineRule="auto"/>
        <w:ind w:firstLine="709"/>
        <w:jc w:val="both"/>
        <w:rPr>
          <w:sz w:val="28"/>
          <w:szCs w:val="28"/>
        </w:rPr>
      </w:pPr>
      <w:r w:rsidRPr="006A5920">
        <w:rPr>
          <w:sz w:val="28"/>
          <w:szCs w:val="28"/>
        </w:rPr>
        <w:t>Контактный одонтогенный медиастинит, сепсис, вторичные внутричерепные осложнения, в том числе при наличии фоновых заболеваний, наблюдаются у 0,5–4,1% больных острой одонт</w:t>
      </w:r>
      <w:r>
        <w:rPr>
          <w:sz w:val="28"/>
          <w:szCs w:val="28"/>
        </w:rPr>
        <w:t xml:space="preserve">огенной инфекцией </w:t>
      </w:r>
      <w:r w:rsidRPr="00E320E5">
        <w:rPr>
          <w:sz w:val="28"/>
          <w:szCs w:val="28"/>
        </w:rPr>
        <w:t>(</w:t>
      </w:r>
      <w:r>
        <w:rPr>
          <w:sz w:val="28"/>
          <w:szCs w:val="28"/>
        </w:rPr>
        <w:t>Робустова Т.Г. и др., 1996; Шаргородский А.Г., 2001; Губин М.А. и др., 2003</w:t>
      </w:r>
      <w:r w:rsidRPr="00E320E5">
        <w:rPr>
          <w:sz w:val="28"/>
          <w:szCs w:val="28"/>
        </w:rPr>
        <w:t>)</w:t>
      </w:r>
      <w:r w:rsidRPr="006A5920">
        <w:rPr>
          <w:sz w:val="28"/>
          <w:szCs w:val="28"/>
        </w:rPr>
        <w:t>. По мнению ряда авторов, в странах СНГ данная патология регистрируется значительно чаще, чем в мире в целом, что обуславливает высокую степень значимости данн</w:t>
      </w:r>
      <w:r>
        <w:rPr>
          <w:sz w:val="28"/>
          <w:szCs w:val="28"/>
        </w:rPr>
        <w:t xml:space="preserve">ой проблемы для РФ </w:t>
      </w:r>
      <w:r w:rsidRPr="00E320E5">
        <w:rPr>
          <w:sz w:val="28"/>
          <w:szCs w:val="28"/>
        </w:rPr>
        <w:t>(</w:t>
      </w:r>
      <w:r>
        <w:rPr>
          <w:sz w:val="28"/>
          <w:szCs w:val="28"/>
        </w:rPr>
        <w:t>Высоцкий А.</w:t>
      </w:r>
      <w:r w:rsidRPr="006A5920">
        <w:rPr>
          <w:sz w:val="28"/>
          <w:szCs w:val="28"/>
        </w:rPr>
        <w:t>Г., Тахтау</w:t>
      </w:r>
      <w:r>
        <w:rPr>
          <w:sz w:val="28"/>
          <w:szCs w:val="28"/>
        </w:rPr>
        <w:t>лов В.В., 2006; Перепелицын В.Н., Огородников М.А., 2007; Юлдашев И.М. и др., 2011</w:t>
      </w:r>
      <w:r w:rsidRPr="006A5920">
        <w:rPr>
          <w:sz w:val="28"/>
          <w:szCs w:val="28"/>
        </w:rPr>
        <w:t xml:space="preserve">. </w:t>
      </w:r>
    </w:p>
    <w:p w:rsidR="00286780" w:rsidRPr="006A5920" w:rsidRDefault="00286780" w:rsidP="006A5920">
      <w:pPr>
        <w:spacing w:line="360" w:lineRule="auto"/>
        <w:ind w:firstLine="709"/>
        <w:jc w:val="both"/>
        <w:rPr>
          <w:sz w:val="28"/>
          <w:szCs w:val="28"/>
        </w:rPr>
      </w:pPr>
      <w:r w:rsidRPr="006A5920">
        <w:rPr>
          <w:sz w:val="28"/>
          <w:szCs w:val="28"/>
        </w:rPr>
        <w:t xml:space="preserve">В частности, ежегодная заболеваемость одонтогенным медиастинитом по данным </w:t>
      </w:r>
      <w:r w:rsidRPr="006A5920">
        <w:rPr>
          <w:sz w:val="28"/>
          <w:szCs w:val="28"/>
          <w:lang w:val="en-US"/>
        </w:rPr>
        <w:t>Hospital</w:t>
      </w:r>
      <w:r>
        <w:rPr>
          <w:sz w:val="28"/>
          <w:szCs w:val="28"/>
        </w:rPr>
        <w:t xml:space="preserve"> </w:t>
      </w:r>
      <w:r w:rsidRPr="006A5920">
        <w:rPr>
          <w:sz w:val="28"/>
          <w:szCs w:val="28"/>
          <w:lang w:val="en-US"/>
        </w:rPr>
        <w:t>Universitari</w:t>
      </w:r>
      <w:r>
        <w:rPr>
          <w:sz w:val="28"/>
          <w:szCs w:val="28"/>
        </w:rPr>
        <w:t xml:space="preserve"> </w:t>
      </w:r>
      <w:r w:rsidRPr="006A5920">
        <w:rPr>
          <w:sz w:val="28"/>
          <w:szCs w:val="28"/>
          <w:lang w:val="en-US"/>
        </w:rPr>
        <w:t>Vall</w:t>
      </w:r>
      <w:r>
        <w:rPr>
          <w:sz w:val="28"/>
          <w:szCs w:val="28"/>
        </w:rPr>
        <w:t xml:space="preserve"> </w:t>
      </w:r>
      <w:r w:rsidRPr="006A5920">
        <w:rPr>
          <w:sz w:val="28"/>
          <w:szCs w:val="28"/>
          <w:lang w:val="en-US"/>
        </w:rPr>
        <w:t>d</w:t>
      </w:r>
      <w:r w:rsidRPr="006A5920">
        <w:rPr>
          <w:sz w:val="28"/>
          <w:szCs w:val="28"/>
        </w:rPr>
        <w:t>´</w:t>
      </w:r>
      <w:r w:rsidRPr="006A5920">
        <w:rPr>
          <w:sz w:val="28"/>
          <w:szCs w:val="28"/>
          <w:lang w:val="en-US"/>
        </w:rPr>
        <w:t>Herbonde</w:t>
      </w:r>
      <w:r>
        <w:rPr>
          <w:sz w:val="28"/>
          <w:szCs w:val="28"/>
        </w:rPr>
        <w:t xml:space="preserve"> </w:t>
      </w:r>
      <w:r w:rsidRPr="006A5920">
        <w:rPr>
          <w:sz w:val="28"/>
          <w:szCs w:val="28"/>
          <w:lang w:val="en-US"/>
        </w:rPr>
        <w:t>Barcelona</w:t>
      </w:r>
      <w:r w:rsidRPr="006A5920">
        <w:rPr>
          <w:sz w:val="28"/>
          <w:szCs w:val="28"/>
        </w:rPr>
        <w:t>, с января 1996 года по декабрь 2006 года, составила 5,1 случай на 1000000 населения, всего 43 пациента за 10 лет наблюдений. Приводятся данные о единичных случаях нисходящего некротизирующего медиастинита в клиниках Италии, Испании, Новой Зеландии, Иордании, Тайваня, А</w:t>
      </w:r>
      <w:r>
        <w:rPr>
          <w:sz w:val="28"/>
          <w:szCs w:val="28"/>
        </w:rPr>
        <w:t xml:space="preserve">нглии, Германии и других стран </w:t>
      </w:r>
      <w:r w:rsidRPr="00E320E5">
        <w:rPr>
          <w:sz w:val="28"/>
          <w:szCs w:val="28"/>
        </w:rPr>
        <w:t>(</w:t>
      </w:r>
      <w:r w:rsidRPr="006A5920">
        <w:rPr>
          <w:sz w:val="28"/>
          <w:szCs w:val="28"/>
          <w:lang w:val="en-US"/>
        </w:rPr>
        <w:t>Charles</w:t>
      </w:r>
      <w:r w:rsidRPr="006A5920">
        <w:rPr>
          <w:sz w:val="28"/>
          <w:szCs w:val="28"/>
        </w:rPr>
        <w:t>-</w:t>
      </w:r>
      <w:r w:rsidRPr="006A5920">
        <w:rPr>
          <w:sz w:val="28"/>
          <w:szCs w:val="28"/>
          <w:lang w:val="en-US"/>
        </w:rPr>
        <w:t>Henri</w:t>
      </w:r>
      <w:r w:rsidRPr="004574F4">
        <w:rPr>
          <w:sz w:val="28"/>
          <w:szCs w:val="28"/>
        </w:rPr>
        <w:t xml:space="preserve"> </w:t>
      </w:r>
      <w:r w:rsidRPr="006A5920">
        <w:rPr>
          <w:sz w:val="28"/>
          <w:szCs w:val="28"/>
          <w:lang w:val="en-US"/>
        </w:rPr>
        <w:t>Marty</w:t>
      </w:r>
      <w:r w:rsidRPr="006A5920">
        <w:rPr>
          <w:sz w:val="28"/>
          <w:szCs w:val="28"/>
        </w:rPr>
        <w:t>-</w:t>
      </w:r>
      <w:r w:rsidRPr="006A5920">
        <w:rPr>
          <w:sz w:val="28"/>
          <w:szCs w:val="28"/>
          <w:lang w:val="en-US"/>
        </w:rPr>
        <w:t>Ane</w:t>
      </w:r>
      <w:r w:rsidRPr="004574F4">
        <w:rPr>
          <w:sz w:val="28"/>
          <w:szCs w:val="28"/>
        </w:rPr>
        <w:t xml:space="preserve"> </w:t>
      </w:r>
      <w:r w:rsidRPr="006A5920">
        <w:rPr>
          <w:sz w:val="28"/>
          <w:szCs w:val="28"/>
          <w:lang w:val="en-US"/>
        </w:rPr>
        <w:t>et</w:t>
      </w:r>
      <w:r w:rsidRPr="004574F4">
        <w:rPr>
          <w:sz w:val="28"/>
          <w:szCs w:val="28"/>
        </w:rPr>
        <w:t xml:space="preserve"> </w:t>
      </w:r>
      <w:r w:rsidRPr="006A5920">
        <w:rPr>
          <w:sz w:val="28"/>
          <w:szCs w:val="28"/>
          <w:lang w:val="en-US"/>
        </w:rPr>
        <w:t>al</w:t>
      </w:r>
      <w:r w:rsidRPr="006A5920">
        <w:rPr>
          <w:sz w:val="28"/>
          <w:szCs w:val="28"/>
        </w:rPr>
        <w:t xml:space="preserve">., 1999; </w:t>
      </w:r>
      <w:r w:rsidRPr="006A5920">
        <w:rPr>
          <w:sz w:val="28"/>
          <w:szCs w:val="28"/>
          <w:shd w:val="clear" w:color="auto" w:fill="FFFFFF"/>
          <w:lang w:val="en-US"/>
        </w:rPr>
        <w:t>Hseih</w:t>
      </w:r>
      <w:r w:rsidRPr="004574F4">
        <w:rPr>
          <w:sz w:val="28"/>
          <w:szCs w:val="28"/>
          <w:shd w:val="clear" w:color="auto" w:fill="FFFFFF"/>
        </w:rPr>
        <w:t xml:space="preserve"> </w:t>
      </w:r>
      <w:r w:rsidRPr="006A5920">
        <w:rPr>
          <w:sz w:val="28"/>
          <w:szCs w:val="28"/>
          <w:shd w:val="clear" w:color="auto" w:fill="FFFFFF"/>
          <w:lang w:val="en-US"/>
        </w:rPr>
        <w:t>T</w:t>
      </w:r>
      <w:r w:rsidRPr="006A5920">
        <w:rPr>
          <w:sz w:val="28"/>
          <w:szCs w:val="28"/>
          <w:shd w:val="clear" w:color="auto" w:fill="FFFFFF"/>
        </w:rPr>
        <w:t xml:space="preserve">. </w:t>
      </w:r>
      <w:r>
        <w:rPr>
          <w:sz w:val="28"/>
          <w:szCs w:val="28"/>
          <w:shd w:val="clear" w:color="auto" w:fill="FFFFFF"/>
          <w:lang w:val="en-US"/>
        </w:rPr>
        <w:t>e</w:t>
      </w:r>
      <w:r w:rsidRPr="006A5920">
        <w:rPr>
          <w:sz w:val="28"/>
          <w:szCs w:val="28"/>
          <w:shd w:val="clear" w:color="auto" w:fill="FFFFFF"/>
          <w:lang w:val="en-US"/>
        </w:rPr>
        <w:t>t</w:t>
      </w:r>
      <w:r w:rsidRPr="004574F4">
        <w:rPr>
          <w:sz w:val="28"/>
          <w:szCs w:val="28"/>
          <w:shd w:val="clear" w:color="auto" w:fill="FFFFFF"/>
        </w:rPr>
        <w:t xml:space="preserve"> </w:t>
      </w:r>
      <w:r w:rsidRPr="006A5920">
        <w:rPr>
          <w:sz w:val="28"/>
          <w:szCs w:val="28"/>
          <w:shd w:val="clear" w:color="auto" w:fill="FFFFFF"/>
          <w:lang w:val="en-US"/>
        </w:rPr>
        <w:t>al</w:t>
      </w:r>
      <w:r w:rsidRPr="006A5920">
        <w:rPr>
          <w:sz w:val="28"/>
          <w:szCs w:val="28"/>
          <w:shd w:val="clear" w:color="auto" w:fill="FFFFFF"/>
        </w:rPr>
        <w:t xml:space="preserve">., 2000; </w:t>
      </w:r>
      <w:r w:rsidRPr="006A5920">
        <w:rPr>
          <w:sz w:val="28"/>
          <w:szCs w:val="28"/>
          <w:lang w:val="en-US"/>
        </w:rPr>
        <w:t>Pappa</w:t>
      </w:r>
      <w:r w:rsidRPr="004574F4">
        <w:rPr>
          <w:sz w:val="28"/>
          <w:szCs w:val="28"/>
        </w:rPr>
        <w:t xml:space="preserve"> </w:t>
      </w:r>
      <w:r w:rsidRPr="006A5920">
        <w:rPr>
          <w:sz w:val="28"/>
          <w:szCs w:val="28"/>
          <w:lang w:val="en-US"/>
        </w:rPr>
        <w:t>H</w:t>
      </w:r>
      <w:r w:rsidRPr="006A5920">
        <w:rPr>
          <w:sz w:val="28"/>
          <w:szCs w:val="28"/>
        </w:rPr>
        <w:t xml:space="preserve">., </w:t>
      </w:r>
      <w:r w:rsidRPr="006A5920">
        <w:rPr>
          <w:sz w:val="28"/>
          <w:szCs w:val="28"/>
          <w:lang w:val="en-US"/>
        </w:rPr>
        <w:t>Jones</w:t>
      </w:r>
      <w:r w:rsidRPr="004574F4">
        <w:rPr>
          <w:sz w:val="28"/>
          <w:szCs w:val="28"/>
        </w:rPr>
        <w:t xml:space="preserve"> </w:t>
      </w:r>
      <w:r w:rsidRPr="006A5920">
        <w:rPr>
          <w:sz w:val="28"/>
          <w:szCs w:val="28"/>
          <w:lang w:val="en-US"/>
        </w:rPr>
        <w:t>D</w:t>
      </w:r>
      <w:r>
        <w:rPr>
          <w:sz w:val="28"/>
          <w:szCs w:val="28"/>
        </w:rPr>
        <w:t>.</w:t>
      </w:r>
      <w:r w:rsidRPr="006A5920">
        <w:rPr>
          <w:sz w:val="28"/>
          <w:szCs w:val="28"/>
          <w:lang w:val="en-US"/>
        </w:rPr>
        <w:t>C</w:t>
      </w:r>
      <w:r w:rsidRPr="006A5920">
        <w:rPr>
          <w:sz w:val="28"/>
          <w:szCs w:val="28"/>
        </w:rPr>
        <w:t xml:space="preserve">., 2005; </w:t>
      </w:r>
      <w:r w:rsidRPr="006A5920">
        <w:rPr>
          <w:sz w:val="28"/>
          <w:szCs w:val="28"/>
          <w:lang w:val="en-US"/>
        </w:rPr>
        <w:t>Annet</w:t>
      </w:r>
      <w:r w:rsidRPr="004574F4">
        <w:rPr>
          <w:sz w:val="28"/>
          <w:szCs w:val="28"/>
        </w:rPr>
        <w:t xml:space="preserve"> </w:t>
      </w:r>
      <w:r w:rsidRPr="006A5920">
        <w:rPr>
          <w:sz w:val="28"/>
          <w:szCs w:val="28"/>
          <w:lang w:val="en-US"/>
        </w:rPr>
        <w:t>Sandner</w:t>
      </w:r>
      <w:r w:rsidRPr="004574F4">
        <w:rPr>
          <w:sz w:val="28"/>
          <w:szCs w:val="28"/>
        </w:rPr>
        <w:t xml:space="preserve"> </w:t>
      </w:r>
      <w:r w:rsidRPr="006A5920">
        <w:rPr>
          <w:sz w:val="28"/>
          <w:szCs w:val="28"/>
          <w:lang w:val="en-US"/>
        </w:rPr>
        <w:t>et</w:t>
      </w:r>
      <w:r w:rsidRPr="004574F4">
        <w:rPr>
          <w:sz w:val="28"/>
          <w:szCs w:val="28"/>
        </w:rPr>
        <w:t xml:space="preserve"> </w:t>
      </w:r>
      <w:r w:rsidRPr="006A5920">
        <w:rPr>
          <w:sz w:val="28"/>
          <w:szCs w:val="28"/>
          <w:lang w:val="en-US"/>
        </w:rPr>
        <w:t>al</w:t>
      </w:r>
      <w:r w:rsidRPr="006A5920">
        <w:rPr>
          <w:sz w:val="28"/>
          <w:szCs w:val="28"/>
        </w:rPr>
        <w:t xml:space="preserve">., 2007; </w:t>
      </w:r>
      <w:r w:rsidRPr="006A5920">
        <w:rPr>
          <w:sz w:val="28"/>
          <w:szCs w:val="28"/>
          <w:lang w:val="en-US"/>
        </w:rPr>
        <w:t>Fabio</w:t>
      </w:r>
      <w:r w:rsidRPr="004574F4">
        <w:rPr>
          <w:sz w:val="28"/>
          <w:szCs w:val="28"/>
        </w:rPr>
        <w:t xml:space="preserve"> </w:t>
      </w:r>
      <w:r w:rsidRPr="006A5920">
        <w:rPr>
          <w:sz w:val="28"/>
          <w:szCs w:val="28"/>
          <w:lang w:val="en-US"/>
        </w:rPr>
        <w:t>Roccia</w:t>
      </w:r>
      <w:r w:rsidRPr="004574F4">
        <w:rPr>
          <w:sz w:val="28"/>
          <w:szCs w:val="28"/>
        </w:rPr>
        <w:t xml:space="preserve"> </w:t>
      </w:r>
      <w:r w:rsidRPr="006A5920">
        <w:rPr>
          <w:sz w:val="28"/>
          <w:szCs w:val="28"/>
          <w:lang w:val="en-US"/>
        </w:rPr>
        <w:t>et</w:t>
      </w:r>
      <w:r w:rsidRPr="004574F4">
        <w:rPr>
          <w:sz w:val="28"/>
          <w:szCs w:val="28"/>
        </w:rPr>
        <w:t xml:space="preserve"> </w:t>
      </w:r>
      <w:r w:rsidRPr="006A5920">
        <w:rPr>
          <w:sz w:val="28"/>
          <w:szCs w:val="28"/>
          <w:lang w:val="en-US"/>
        </w:rPr>
        <w:t>al</w:t>
      </w:r>
      <w:r w:rsidRPr="006A5920">
        <w:rPr>
          <w:sz w:val="28"/>
          <w:szCs w:val="28"/>
        </w:rPr>
        <w:t xml:space="preserve">., 2007; </w:t>
      </w:r>
      <w:r w:rsidRPr="006A5920">
        <w:rPr>
          <w:sz w:val="28"/>
          <w:szCs w:val="28"/>
          <w:lang w:val="en-US"/>
        </w:rPr>
        <w:t>Antonio</w:t>
      </w:r>
      <w:r w:rsidRPr="004574F4">
        <w:rPr>
          <w:sz w:val="28"/>
          <w:szCs w:val="28"/>
        </w:rPr>
        <w:t xml:space="preserve"> </w:t>
      </w:r>
      <w:r w:rsidRPr="006A5920">
        <w:rPr>
          <w:sz w:val="28"/>
          <w:szCs w:val="28"/>
          <w:lang w:val="en-US"/>
        </w:rPr>
        <w:t>Pinto</w:t>
      </w:r>
      <w:r w:rsidRPr="004574F4">
        <w:rPr>
          <w:sz w:val="28"/>
          <w:szCs w:val="28"/>
        </w:rPr>
        <w:t xml:space="preserve"> </w:t>
      </w:r>
      <w:r w:rsidRPr="006A5920">
        <w:rPr>
          <w:sz w:val="28"/>
          <w:szCs w:val="28"/>
          <w:lang w:val="en-US"/>
        </w:rPr>
        <w:t>et</w:t>
      </w:r>
      <w:r w:rsidRPr="004574F4">
        <w:rPr>
          <w:sz w:val="28"/>
          <w:szCs w:val="28"/>
        </w:rPr>
        <w:t xml:space="preserve"> </w:t>
      </w:r>
      <w:r w:rsidRPr="006A5920">
        <w:rPr>
          <w:sz w:val="28"/>
          <w:szCs w:val="28"/>
          <w:lang w:val="en-US"/>
        </w:rPr>
        <w:t>al</w:t>
      </w:r>
      <w:r w:rsidRPr="006A5920">
        <w:rPr>
          <w:sz w:val="28"/>
          <w:szCs w:val="28"/>
        </w:rPr>
        <w:t xml:space="preserve">., 2008; </w:t>
      </w:r>
      <w:r w:rsidRPr="006A5920">
        <w:rPr>
          <w:sz w:val="28"/>
          <w:szCs w:val="28"/>
          <w:lang w:val="en-US"/>
        </w:rPr>
        <w:t>Mahmoud</w:t>
      </w:r>
      <w:r w:rsidRPr="004574F4">
        <w:rPr>
          <w:sz w:val="28"/>
          <w:szCs w:val="28"/>
        </w:rPr>
        <w:t xml:space="preserve"> </w:t>
      </w:r>
      <w:r w:rsidRPr="006A5920">
        <w:rPr>
          <w:sz w:val="28"/>
          <w:szCs w:val="28"/>
          <w:lang w:val="en-US"/>
        </w:rPr>
        <w:t>Abu</w:t>
      </w:r>
      <w:r w:rsidRPr="004574F4">
        <w:rPr>
          <w:sz w:val="28"/>
          <w:szCs w:val="28"/>
        </w:rPr>
        <w:t xml:space="preserve"> </w:t>
      </w:r>
      <w:r w:rsidRPr="006A5920">
        <w:rPr>
          <w:sz w:val="28"/>
          <w:szCs w:val="28"/>
          <w:lang w:val="en-US"/>
        </w:rPr>
        <w:t>Abeeleh</w:t>
      </w:r>
      <w:r w:rsidRPr="004574F4">
        <w:rPr>
          <w:sz w:val="28"/>
          <w:szCs w:val="28"/>
        </w:rPr>
        <w:t xml:space="preserve"> </w:t>
      </w:r>
      <w:r w:rsidRPr="006A5920">
        <w:rPr>
          <w:sz w:val="28"/>
          <w:szCs w:val="28"/>
          <w:lang w:val="en-US"/>
        </w:rPr>
        <w:t>et</w:t>
      </w:r>
      <w:r w:rsidRPr="004574F4">
        <w:rPr>
          <w:sz w:val="28"/>
          <w:szCs w:val="28"/>
        </w:rPr>
        <w:t xml:space="preserve"> </w:t>
      </w:r>
      <w:r w:rsidRPr="006A5920">
        <w:rPr>
          <w:sz w:val="28"/>
          <w:szCs w:val="28"/>
          <w:lang w:val="en-US"/>
        </w:rPr>
        <w:t>al</w:t>
      </w:r>
      <w:r>
        <w:rPr>
          <w:sz w:val="28"/>
          <w:szCs w:val="28"/>
        </w:rPr>
        <w:t>., 2010</w:t>
      </w:r>
      <w:r w:rsidRPr="00E320E5">
        <w:rPr>
          <w:sz w:val="28"/>
          <w:szCs w:val="28"/>
        </w:rPr>
        <w:t>)</w:t>
      </w:r>
      <w:r w:rsidRPr="006A5920">
        <w:rPr>
          <w:sz w:val="28"/>
          <w:szCs w:val="28"/>
        </w:rPr>
        <w:t>. В отдельных публикациях отмечено наличие фоновых соматических заболеваний (сахарный диабет), отягощающих течение осно</w:t>
      </w:r>
      <w:r>
        <w:rPr>
          <w:sz w:val="28"/>
          <w:szCs w:val="28"/>
        </w:rPr>
        <w:t xml:space="preserve">вного патологического процесса </w:t>
      </w:r>
      <w:r w:rsidRPr="00E320E5">
        <w:rPr>
          <w:sz w:val="28"/>
          <w:szCs w:val="28"/>
        </w:rPr>
        <w:t>(</w:t>
      </w:r>
      <w:r w:rsidRPr="006A5920">
        <w:rPr>
          <w:sz w:val="28"/>
          <w:szCs w:val="28"/>
          <w:lang w:val="en-US"/>
        </w:rPr>
        <w:t>LeyvaP</w:t>
      </w:r>
      <w:r w:rsidRPr="006A5920">
        <w:rPr>
          <w:sz w:val="28"/>
          <w:szCs w:val="28"/>
        </w:rPr>
        <w:t xml:space="preserve">. </w:t>
      </w:r>
      <w:r w:rsidRPr="006A5920">
        <w:rPr>
          <w:sz w:val="28"/>
          <w:szCs w:val="28"/>
          <w:lang w:val="en-US"/>
        </w:rPr>
        <w:t>et</w:t>
      </w:r>
      <w:r w:rsidRPr="004574F4">
        <w:rPr>
          <w:sz w:val="28"/>
          <w:szCs w:val="28"/>
        </w:rPr>
        <w:t xml:space="preserve"> </w:t>
      </w:r>
      <w:r w:rsidRPr="006A5920">
        <w:rPr>
          <w:sz w:val="28"/>
          <w:szCs w:val="28"/>
          <w:lang w:val="en-US"/>
        </w:rPr>
        <w:t>al</w:t>
      </w:r>
      <w:r>
        <w:rPr>
          <w:sz w:val="28"/>
          <w:szCs w:val="28"/>
        </w:rPr>
        <w:t>., 2013</w:t>
      </w:r>
      <w:r w:rsidRPr="00E320E5">
        <w:rPr>
          <w:sz w:val="28"/>
          <w:szCs w:val="28"/>
        </w:rPr>
        <w:t>)</w:t>
      </w:r>
      <w:r w:rsidRPr="006A5920">
        <w:rPr>
          <w:sz w:val="28"/>
          <w:szCs w:val="28"/>
        </w:rPr>
        <w:t>.</w:t>
      </w:r>
      <w:r>
        <w:rPr>
          <w:sz w:val="28"/>
          <w:szCs w:val="28"/>
        </w:rPr>
        <w:t xml:space="preserve"> </w:t>
      </w:r>
      <w:r w:rsidRPr="006A5920">
        <w:rPr>
          <w:sz w:val="28"/>
          <w:szCs w:val="28"/>
        </w:rPr>
        <w:t>Чаще всего одонтогенные воспалительные процес</w:t>
      </w:r>
      <w:r w:rsidRPr="006A5920">
        <w:rPr>
          <w:sz w:val="28"/>
          <w:szCs w:val="28"/>
        </w:rPr>
        <w:lastRenderedPageBreak/>
        <w:t xml:space="preserve">сы развиваются у пациентов наиболее трудоспособного возраста (20–50 лет), мужчины составляют большую часть заболевших. Средний возраст больного одонтогенной флегмоной </w:t>
      </w:r>
      <w:r>
        <w:rPr>
          <w:sz w:val="28"/>
          <w:szCs w:val="28"/>
        </w:rPr>
        <w:t xml:space="preserve">– около 30 лет </w:t>
      </w:r>
      <w:r w:rsidRPr="00E320E5">
        <w:rPr>
          <w:sz w:val="28"/>
          <w:szCs w:val="28"/>
        </w:rPr>
        <w:t>(</w:t>
      </w:r>
      <w:r>
        <w:rPr>
          <w:sz w:val="28"/>
          <w:szCs w:val="28"/>
        </w:rPr>
        <w:t>Шаргородский А.Г., 2001; Байриков И.</w:t>
      </w:r>
      <w:r w:rsidRPr="006A5920">
        <w:rPr>
          <w:sz w:val="28"/>
          <w:szCs w:val="28"/>
        </w:rPr>
        <w:t>М. и др., 2014; Конев</w:t>
      </w:r>
      <w:r>
        <w:rPr>
          <w:sz w:val="28"/>
          <w:szCs w:val="28"/>
        </w:rPr>
        <w:t xml:space="preserve"> С.С., Гандылян К.С., 2016</w:t>
      </w:r>
      <w:r w:rsidRPr="00E320E5">
        <w:rPr>
          <w:sz w:val="28"/>
          <w:szCs w:val="28"/>
        </w:rPr>
        <w:t>)</w:t>
      </w:r>
      <w:r w:rsidRPr="006A5920">
        <w:rPr>
          <w:sz w:val="28"/>
          <w:szCs w:val="28"/>
        </w:rPr>
        <w:t>.</w:t>
      </w:r>
    </w:p>
    <w:p w:rsidR="00286780" w:rsidRPr="006A5920" w:rsidRDefault="00286780" w:rsidP="006A5920">
      <w:pPr>
        <w:spacing w:line="360" w:lineRule="auto"/>
        <w:ind w:right="99" w:firstLine="709"/>
        <w:jc w:val="both"/>
        <w:rPr>
          <w:sz w:val="28"/>
          <w:szCs w:val="28"/>
        </w:rPr>
      </w:pPr>
      <w:r w:rsidRPr="006A5920">
        <w:rPr>
          <w:sz w:val="28"/>
          <w:szCs w:val="28"/>
        </w:rPr>
        <w:t>Одонтогенный хирургический сепсис, контактный одонтогенный медиастинит и вторичные внутричерепные осложнения встречаются у больных в возраст</w:t>
      </w:r>
      <w:r>
        <w:rPr>
          <w:sz w:val="28"/>
          <w:szCs w:val="28"/>
        </w:rPr>
        <w:t xml:space="preserve">е от 15 до 70 лет </w:t>
      </w:r>
      <w:r w:rsidRPr="00E320E5">
        <w:rPr>
          <w:sz w:val="28"/>
          <w:szCs w:val="28"/>
        </w:rPr>
        <w:t>(</w:t>
      </w:r>
      <w:r>
        <w:rPr>
          <w:sz w:val="28"/>
          <w:szCs w:val="28"/>
        </w:rPr>
        <w:t>Харитонов Ю.М., 1999</w:t>
      </w:r>
      <w:r w:rsidRPr="00E320E5">
        <w:rPr>
          <w:sz w:val="28"/>
          <w:szCs w:val="28"/>
        </w:rPr>
        <w:t>)</w:t>
      </w:r>
      <w:r w:rsidRPr="006A5920">
        <w:rPr>
          <w:sz w:val="28"/>
          <w:szCs w:val="28"/>
        </w:rPr>
        <w:t>. Преобладают мужчины – 73,7%; женщин – 26,3</w:t>
      </w:r>
      <w:r>
        <w:rPr>
          <w:sz w:val="28"/>
          <w:szCs w:val="28"/>
        </w:rPr>
        <w:t xml:space="preserve">% </w:t>
      </w:r>
      <w:r w:rsidRPr="00E320E5">
        <w:rPr>
          <w:sz w:val="28"/>
          <w:szCs w:val="28"/>
        </w:rPr>
        <w:t>(</w:t>
      </w:r>
      <w:r>
        <w:rPr>
          <w:sz w:val="28"/>
          <w:szCs w:val="28"/>
        </w:rPr>
        <w:t>Робустова Т.Г. и др., 1996</w:t>
      </w:r>
      <w:r w:rsidRPr="00E320E5">
        <w:rPr>
          <w:sz w:val="28"/>
          <w:szCs w:val="28"/>
        </w:rPr>
        <w:t>)</w:t>
      </w:r>
      <w:r w:rsidRPr="006A5920">
        <w:rPr>
          <w:sz w:val="28"/>
          <w:szCs w:val="28"/>
        </w:rPr>
        <w:t>.</w:t>
      </w:r>
    </w:p>
    <w:p w:rsidR="00286780" w:rsidRPr="006A5920" w:rsidRDefault="00286780" w:rsidP="006A5920">
      <w:pPr>
        <w:spacing w:line="360" w:lineRule="auto"/>
        <w:ind w:firstLine="709"/>
        <w:rPr>
          <w:sz w:val="28"/>
          <w:szCs w:val="28"/>
        </w:rPr>
      </w:pPr>
      <w:r w:rsidRPr="006A5920">
        <w:rPr>
          <w:sz w:val="28"/>
          <w:szCs w:val="28"/>
        </w:rPr>
        <w:t>Характеристика одонтогенного и неодонтогенного сепсиса в зависимости от локализации и распространенности первичного гнойного очага пред</w:t>
      </w:r>
      <w:r>
        <w:rPr>
          <w:sz w:val="28"/>
          <w:szCs w:val="28"/>
        </w:rPr>
        <w:t xml:space="preserve">ставлена в Таблице 1 </w:t>
      </w:r>
      <w:r w:rsidRPr="00E320E5">
        <w:rPr>
          <w:sz w:val="28"/>
          <w:szCs w:val="28"/>
        </w:rPr>
        <w:t>(</w:t>
      </w:r>
      <w:r>
        <w:rPr>
          <w:sz w:val="28"/>
          <w:szCs w:val="28"/>
        </w:rPr>
        <w:t>Губин М.А. и др., 2003</w:t>
      </w:r>
      <w:r w:rsidRPr="00E320E5">
        <w:rPr>
          <w:sz w:val="28"/>
          <w:szCs w:val="28"/>
        </w:rPr>
        <w:t>)</w:t>
      </w:r>
      <w:r w:rsidRPr="006A5920">
        <w:rPr>
          <w:sz w:val="28"/>
          <w:szCs w:val="28"/>
        </w:rPr>
        <w:t>.</w:t>
      </w:r>
    </w:p>
    <w:p w:rsidR="00286780" w:rsidRPr="006A5920" w:rsidRDefault="00286780" w:rsidP="006A5920">
      <w:pPr>
        <w:rPr>
          <w:sz w:val="28"/>
          <w:szCs w:val="28"/>
        </w:rPr>
      </w:pPr>
    </w:p>
    <w:p w:rsidR="00286780" w:rsidRPr="006A5920" w:rsidRDefault="00286780" w:rsidP="006A5920">
      <w:pPr>
        <w:spacing w:after="120"/>
        <w:jc w:val="both"/>
        <w:rPr>
          <w:sz w:val="28"/>
          <w:szCs w:val="28"/>
        </w:rPr>
      </w:pPr>
      <w:r w:rsidRPr="006A5920">
        <w:rPr>
          <w:b/>
          <w:sz w:val="28"/>
          <w:szCs w:val="28"/>
        </w:rPr>
        <w:t>Таблица 1</w:t>
      </w:r>
      <w:r w:rsidRPr="006A5920">
        <w:rPr>
          <w:sz w:val="28"/>
          <w:szCs w:val="28"/>
        </w:rPr>
        <w:t xml:space="preserve"> – </w:t>
      </w:r>
      <w:r>
        <w:rPr>
          <w:sz w:val="28"/>
          <w:szCs w:val="28"/>
        </w:rPr>
        <w:t>"</w:t>
      </w:r>
      <w:r w:rsidRPr="006A5920">
        <w:rPr>
          <w:sz w:val="28"/>
          <w:szCs w:val="28"/>
        </w:rPr>
        <w:t>Характеристика сепсиса в соответствии с локализацией процесса</w:t>
      </w:r>
      <w:r>
        <w:rPr>
          <w:sz w:val="28"/>
          <w:szCs w:val="28"/>
        </w:rPr>
        <w:t xml:space="preserve">" </w:t>
      </w:r>
      <w:r w:rsidRPr="00E320E5">
        <w:rPr>
          <w:sz w:val="28"/>
          <w:szCs w:val="28"/>
        </w:rPr>
        <w:t>(</w:t>
      </w:r>
      <w:r>
        <w:rPr>
          <w:sz w:val="28"/>
          <w:szCs w:val="28"/>
        </w:rPr>
        <w:t>Губин М.А. и др., 2003</w:t>
      </w:r>
      <w:r w:rsidRPr="00E320E5">
        <w:rPr>
          <w:sz w:val="28"/>
          <w:szCs w:val="28"/>
        </w:rPr>
        <w:t>)</w:t>
      </w:r>
      <w:r w:rsidRPr="006A5920">
        <w:rPr>
          <w:sz w:val="28"/>
          <w:szCs w:val="28"/>
        </w:rPr>
        <w:t>.</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1985"/>
        <w:gridCol w:w="1842"/>
      </w:tblGrid>
      <w:tr w:rsidR="00286780" w:rsidRPr="006A5920" w:rsidTr="006A5920">
        <w:trPr>
          <w:trHeight w:val="227"/>
          <w:jc w:val="center"/>
        </w:trPr>
        <w:tc>
          <w:tcPr>
            <w:tcW w:w="3072" w:type="pct"/>
            <w:vMerge w:val="restart"/>
            <w:vAlign w:val="center"/>
          </w:tcPr>
          <w:p w:rsidR="00286780" w:rsidRPr="006A5920" w:rsidRDefault="00286780" w:rsidP="006A5920">
            <w:pPr>
              <w:jc w:val="center"/>
              <w:rPr>
                <w:i/>
                <w:sz w:val="24"/>
                <w:szCs w:val="24"/>
              </w:rPr>
            </w:pPr>
            <w:r w:rsidRPr="006A5920">
              <w:rPr>
                <w:i/>
                <w:sz w:val="24"/>
                <w:szCs w:val="24"/>
              </w:rPr>
              <w:t>Форма воспалительного процесса</w:t>
            </w:r>
          </w:p>
        </w:tc>
        <w:tc>
          <w:tcPr>
            <w:tcW w:w="1928" w:type="pct"/>
            <w:gridSpan w:val="2"/>
            <w:vAlign w:val="center"/>
          </w:tcPr>
          <w:p w:rsidR="00286780" w:rsidRPr="006A5920" w:rsidRDefault="00286780" w:rsidP="006A5920">
            <w:pPr>
              <w:jc w:val="center"/>
              <w:rPr>
                <w:i/>
                <w:sz w:val="24"/>
                <w:szCs w:val="24"/>
              </w:rPr>
            </w:pPr>
            <w:r w:rsidRPr="006A5920">
              <w:rPr>
                <w:i/>
                <w:sz w:val="24"/>
                <w:szCs w:val="24"/>
              </w:rPr>
              <w:t>Количество больных</w:t>
            </w:r>
          </w:p>
        </w:tc>
      </w:tr>
      <w:tr w:rsidR="00286780" w:rsidRPr="006A5920" w:rsidTr="006A5920">
        <w:trPr>
          <w:trHeight w:val="227"/>
          <w:jc w:val="center"/>
        </w:trPr>
        <w:tc>
          <w:tcPr>
            <w:tcW w:w="3072" w:type="pct"/>
            <w:vMerge/>
          </w:tcPr>
          <w:p w:rsidR="00286780" w:rsidRPr="006A5920" w:rsidRDefault="00286780" w:rsidP="006A5920">
            <w:pPr>
              <w:jc w:val="center"/>
              <w:rPr>
                <w:sz w:val="24"/>
                <w:szCs w:val="24"/>
              </w:rPr>
            </w:pPr>
          </w:p>
        </w:tc>
        <w:tc>
          <w:tcPr>
            <w:tcW w:w="1000" w:type="pct"/>
          </w:tcPr>
          <w:p w:rsidR="00286780" w:rsidRPr="006A5920" w:rsidRDefault="00286780" w:rsidP="006A5920">
            <w:pPr>
              <w:jc w:val="center"/>
              <w:rPr>
                <w:sz w:val="24"/>
                <w:szCs w:val="24"/>
              </w:rPr>
            </w:pPr>
            <w:r w:rsidRPr="006A5920">
              <w:rPr>
                <w:sz w:val="24"/>
                <w:szCs w:val="24"/>
              </w:rPr>
              <w:t>абс.</w:t>
            </w:r>
          </w:p>
        </w:tc>
        <w:tc>
          <w:tcPr>
            <w:tcW w:w="928" w:type="pct"/>
          </w:tcPr>
          <w:p w:rsidR="00286780" w:rsidRPr="006A5920" w:rsidRDefault="00286780" w:rsidP="006A5920">
            <w:pPr>
              <w:jc w:val="center"/>
              <w:rPr>
                <w:sz w:val="24"/>
                <w:szCs w:val="24"/>
              </w:rPr>
            </w:pPr>
            <w:r w:rsidRPr="006A5920">
              <w:rPr>
                <w:sz w:val="24"/>
                <w:szCs w:val="24"/>
              </w:rPr>
              <w:t>%</w:t>
            </w:r>
          </w:p>
        </w:tc>
      </w:tr>
      <w:tr w:rsidR="00286780" w:rsidRPr="006A5920" w:rsidTr="006A5920">
        <w:trPr>
          <w:trHeight w:val="454"/>
          <w:jc w:val="center"/>
        </w:trPr>
        <w:tc>
          <w:tcPr>
            <w:tcW w:w="3072" w:type="pct"/>
            <w:vAlign w:val="center"/>
          </w:tcPr>
          <w:p w:rsidR="00286780" w:rsidRPr="006A5920" w:rsidRDefault="00286780" w:rsidP="006A5920">
            <w:pPr>
              <w:rPr>
                <w:sz w:val="24"/>
                <w:szCs w:val="24"/>
              </w:rPr>
            </w:pPr>
            <w:r w:rsidRPr="006A5920">
              <w:rPr>
                <w:sz w:val="24"/>
                <w:szCs w:val="24"/>
              </w:rPr>
              <w:t>Одонтогенные воспалительные заболевания (флегмоны, острый остеомиелит, острый одонтогенный синусит)</w:t>
            </w:r>
          </w:p>
        </w:tc>
        <w:tc>
          <w:tcPr>
            <w:tcW w:w="1000" w:type="pct"/>
            <w:vAlign w:val="center"/>
          </w:tcPr>
          <w:p w:rsidR="00286780" w:rsidRPr="006A5920" w:rsidRDefault="00286780" w:rsidP="006A5920">
            <w:pPr>
              <w:jc w:val="center"/>
              <w:rPr>
                <w:sz w:val="24"/>
                <w:szCs w:val="24"/>
              </w:rPr>
            </w:pPr>
            <w:r w:rsidRPr="006A5920">
              <w:rPr>
                <w:sz w:val="24"/>
                <w:szCs w:val="24"/>
              </w:rPr>
              <w:t>105</w:t>
            </w:r>
          </w:p>
        </w:tc>
        <w:tc>
          <w:tcPr>
            <w:tcW w:w="928" w:type="pct"/>
            <w:vAlign w:val="center"/>
          </w:tcPr>
          <w:p w:rsidR="00286780" w:rsidRPr="006A5920" w:rsidRDefault="00286780" w:rsidP="006A5920">
            <w:pPr>
              <w:jc w:val="center"/>
              <w:rPr>
                <w:sz w:val="24"/>
                <w:szCs w:val="24"/>
              </w:rPr>
            </w:pPr>
            <w:r w:rsidRPr="006A5920">
              <w:rPr>
                <w:sz w:val="24"/>
                <w:szCs w:val="24"/>
              </w:rPr>
              <w:t>37,1</w:t>
            </w:r>
          </w:p>
        </w:tc>
      </w:tr>
      <w:tr w:rsidR="00286780" w:rsidRPr="006A5920" w:rsidTr="006A5920">
        <w:trPr>
          <w:trHeight w:val="454"/>
          <w:jc w:val="center"/>
        </w:trPr>
        <w:tc>
          <w:tcPr>
            <w:tcW w:w="3072" w:type="pct"/>
            <w:vAlign w:val="center"/>
          </w:tcPr>
          <w:p w:rsidR="00286780" w:rsidRPr="006A5920" w:rsidRDefault="00286780" w:rsidP="006A5920">
            <w:pPr>
              <w:jc w:val="both"/>
              <w:rPr>
                <w:sz w:val="24"/>
                <w:szCs w:val="24"/>
              </w:rPr>
            </w:pPr>
            <w:r w:rsidRPr="006A5920">
              <w:rPr>
                <w:sz w:val="24"/>
                <w:szCs w:val="24"/>
              </w:rPr>
              <w:t>Прогрессирующие флегмоны, осложненные КОМ</w:t>
            </w:r>
          </w:p>
        </w:tc>
        <w:tc>
          <w:tcPr>
            <w:tcW w:w="1000" w:type="pct"/>
            <w:vAlign w:val="center"/>
          </w:tcPr>
          <w:p w:rsidR="00286780" w:rsidRPr="006A5920" w:rsidRDefault="00286780" w:rsidP="006A5920">
            <w:pPr>
              <w:jc w:val="center"/>
              <w:rPr>
                <w:sz w:val="24"/>
                <w:szCs w:val="24"/>
              </w:rPr>
            </w:pPr>
            <w:r w:rsidRPr="006A5920">
              <w:rPr>
                <w:sz w:val="24"/>
                <w:szCs w:val="24"/>
              </w:rPr>
              <w:t>87</w:t>
            </w:r>
          </w:p>
        </w:tc>
        <w:tc>
          <w:tcPr>
            <w:tcW w:w="928" w:type="pct"/>
            <w:vAlign w:val="center"/>
          </w:tcPr>
          <w:p w:rsidR="00286780" w:rsidRPr="006A5920" w:rsidRDefault="00286780" w:rsidP="006A5920">
            <w:pPr>
              <w:jc w:val="center"/>
              <w:rPr>
                <w:sz w:val="24"/>
                <w:szCs w:val="24"/>
              </w:rPr>
            </w:pPr>
            <w:r w:rsidRPr="006A5920">
              <w:rPr>
                <w:sz w:val="24"/>
                <w:szCs w:val="24"/>
              </w:rPr>
              <w:t>30,7</w:t>
            </w:r>
          </w:p>
        </w:tc>
      </w:tr>
      <w:tr w:rsidR="00286780" w:rsidRPr="006A5920" w:rsidTr="006A5920">
        <w:trPr>
          <w:trHeight w:val="454"/>
          <w:jc w:val="center"/>
        </w:trPr>
        <w:tc>
          <w:tcPr>
            <w:tcW w:w="3072" w:type="pct"/>
            <w:vAlign w:val="center"/>
          </w:tcPr>
          <w:p w:rsidR="00286780" w:rsidRPr="006A5920" w:rsidRDefault="00286780" w:rsidP="006A5920">
            <w:pPr>
              <w:jc w:val="both"/>
              <w:rPr>
                <w:sz w:val="24"/>
                <w:szCs w:val="24"/>
              </w:rPr>
            </w:pPr>
            <w:r w:rsidRPr="006A5920">
              <w:rPr>
                <w:sz w:val="24"/>
                <w:szCs w:val="24"/>
              </w:rPr>
              <w:t>Вторичные внутричерепные осложнения</w:t>
            </w:r>
          </w:p>
        </w:tc>
        <w:tc>
          <w:tcPr>
            <w:tcW w:w="1000" w:type="pct"/>
            <w:vAlign w:val="center"/>
          </w:tcPr>
          <w:p w:rsidR="00286780" w:rsidRPr="006A5920" w:rsidRDefault="00286780" w:rsidP="006A5920">
            <w:pPr>
              <w:jc w:val="center"/>
              <w:rPr>
                <w:sz w:val="24"/>
                <w:szCs w:val="24"/>
              </w:rPr>
            </w:pPr>
            <w:r w:rsidRPr="006A5920">
              <w:rPr>
                <w:sz w:val="24"/>
                <w:szCs w:val="24"/>
              </w:rPr>
              <w:t>58</w:t>
            </w:r>
          </w:p>
        </w:tc>
        <w:tc>
          <w:tcPr>
            <w:tcW w:w="928" w:type="pct"/>
            <w:vAlign w:val="center"/>
          </w:tcPr>
          <w:p w:rsidR="00286780" w:rsidRPr="006A5920" w:rsidRDefault="00286780" w:rsidP="006A5920">
            <w:pPr>
              <w:jc w:val="center"/>
              <w:rPr>
                <w:sz w:val="24"/>
                <w:szCs w:val="24"/>
              </w:rPr>
            </w:pPr>
            <w:r w:rsidRPr="006A5920">
              <w:rPr>
                <w:sz w:val="24"/>
                <w:szCs w:val="24"/>
              </w:rPr>
              <w:t>20,5</w:t>
            </w:r>
          </w:p>
        </w:tc>
      </w:tr>
      <w:tr w:rsidR="00286780" w:rsidRPr="006A5920" w:rsidTr="006A5920">
        <w:trPr>
          <w:trHeight w:val="454"/>
          <w:jc w:val="center"/>
        </w:trPr>
        <w:tc>
          <w:tcPr>
            <w:tcW w:w="3072" w:type="pct"/>
            <w:vAlign w:val="center"/>
          </w:tcPr>
          <w:p w:rsidR="00286780" w:rsidRPr="006A5920" w:rsidRDefault="00286780" w:rsidP="006A5920">
            <w:pPr>
              <w:rPr>
                <w:sz w:val="24"/>
                <w:szCs w:val="24"/>
              </w:rPr>
            </w:pPr>
            <w:r w:rsidRPr="006A5920">
              <w:rPr>
                <w:sz w:val="24"/>
                <w:szCs w:val="24"/>
              </w:rPr>
              <w:t>Фурункулы и карбункулы лица</w:t>
            </w:r>
          </w:p>
        </w:tc>
        <w:tc>
          <w:tcPr>
            <w:tcW w:w="1000" w:type="pct"/>
            <w:vAlign w:val="center"/>
          </w:tcPr>
          <w:p w:rsidR="00286780" w:rsidRPr="006A5920" w:rsidRDefault="00286780" w:rsidP="006A5920">
            <w:pPr>
              <w:jc w:val="center"/>
              <w:rPr>
                <w:sz w:val="24"/>
                <w:szCs w:val="24"/>
              </w:rPr>
            </w:pPr>
            <w:r w:rsidRPr="006A5920">
              <w:rPr>
                <w:sz w:val="24"/>
                <w:szCs w:val="24"/>
              </w:rPr>
              <w:t>21</w:t>
            </w:r>
          </w:p>
        </w:tc>
        <w:tc>
          <w:tcPr>
            <w:tcW w:w="928" w:type="pct"/>
            <w:vAlign w:val="center"/>
          </w:tcPr>
          <w:p w:rsidR="00286780" w:rsidRPr="006A5920" w:rsidRDefault="00286780" w:rsidP="006A5920">
            <w:pPr>
              <w:jc w:val="center"/>
              <w:rPr>
                <w:sz w:val="24"/>
                <w:szCs w:val="24"/>
              </w:rPr>
            </w:pPr>
            <w:r w:rsidRPr="006A5920">
              <w:rPr>
                <w:sz w:val="24"/>
                <w:szCs w:val="24"/>
              </w:rPr>
              <w:t>7,4</w:t>
            </w:r>
          </w:p>
        </w:tc>
      </w:tr>
      <w:tr w:rsidR="00286780" w:rsidRPr="006A5920" w:rsidTr="006A5920">
        <w:trPr>
          <w:trHeight w:val="454"/>
          <w:jc w:val="center"/>
        </w:trPr>
        <w:tc>
          <w:tcPr>
            <w:tcW w:w="3072" w:type="pct"/>
            <w:vAlign w:val="center"/>
          </w:tcPr>
          <w:p w:rsidR="00286780" w:rsidRPr="006A5920" w:rsidRDefault="00286780" w:rsidP="006A5920">
            <w:pPr>
              <w:rPr>
                <w:sz w:val="24"/>
                <w:szCs w:val="24"/>
              </w:rPr>
            </w:pPr>
            <w:r w:rsidRPr="006A5920">
              <w:rPr>
                <w:sz w:val="24"/>
                <w:szCs w:val="24"/>
              </w:rPr>
              <w:t>Паротиты</w:t>
            </w:r>
          </w:p>
        </w:tc>
        <w:tc>
          <w:tcPr>
            <w:tcW w:w="1000" w:type="pct"/>
            <w:vAlign w:val="center"/>
          </w:tcPr>
          <w:p w:rsidR="00286780" w:rsidRPr="006A5920" w:rsidRDefault="00286780" w:rsidP="006A5920">
            <w:pPr>
              <w:jc w:val="center"/>
              <w:rPr>
                <w:sz w:val="24"/>
                <w:szCs w:val="24"/>
              </w:rPr>
            </w:pPr>
            <w:r w:rsidRPr="006A5920">
              <w:rPr>
                <w:sz w:val="24"/>
                <w:szCs w:val="24"/>
              </w:rPr>
              <w:t>12</w:t>
            </w:r>
          </w:p>
        </w:tc>
        <w:tc>
          <w:tcPr>
            <w:tcW w:w="928" w:type="pct"/>
            <w:vAlign w:val="center"/>
          </w:tcPr>
          <w:p w:rsidR="00286780" w:rsidRPr="006A5920" w:rsidRDefault="00286780" w:rsidP="006A5920">
            <w:pPr>
              <w:jc w:val="center"/>
              <w:rPr>
                <w:sz w:val="24"/>
                <w:szCs w:val="24"/>
              </w:rPr>
            </w:pPr>
            <w:r w:rsidRPr="006A5920">
              <w:rPr>
                <w:sz w:val="24"/>
                <w:szCs w:val="24"/>
              </w:rPr>
              <w:t>4,3</w:t>
            </w:r>
          </w:p>
        </w:tc>
      </w:tr>
      <w:tr w:rsidR="00286780" w:rsidRPr="006A5920" w:rsidTr="006A5920">
        <w:trPr>
          <w:trHeight w:val="454"/>
          <w:jc w:val="center"/>
        </w:trPr>
        <w:tc>
          <w:tcPr>
            <w:tcW w:w="3072" w:type="pct"/>
            <w:vAlign w:val="center"/>
          </w:tcPr>
          <w:p w:rsidR="00286780" w:rsidRPr="006A5920" w:rsidRDefault="00286780" w:rsidP="006A5920">
            <w:pPr>
              <w:jc w:val="both"/>
              <w:rPr>
                <w:sz w:val="24"/>
                <w:szCs w:val="24"/>
              </w:rPr>
            </w:pPr>
            <w:r w:rsidRPr="006A5920">
              <w:rPr>
                <w:sz w:val="24"/>
                <w:szCs w:val="24"/>
              </w:rPr>
              <w:t>Итого</w:t>
            </w:r>
            <w:r>
              <w:rPr>
                <w:sz w:val="24"/>
                <w:szCs w:val="24"/>
              </w:rPr>
              <w:t>"</w:t>
            </w:r>
          </w:p>
        </w:tc>
        <w:tc>
          <w:tcPr>
            <w:tcW w:w="1000" w:type="pct"/>
            <w:vAlign w:val="center"/>
          </w:tcPr>
          <w:p w:rsidR="00286780" w:rsidRPr="006A5920" w:rsidRDefault="00286780" w:rsidP="006A5920">
            <w:pPr>
              <w:jc w:val="center"/>
              <w:rPr>
                <w:sz w:val="24"/>
                <w:szCs w:val="24"/>
              </w:rPr>
            </w:pPr>
            <w:r w:rsidRPr="006A5920">
              <w:rPr>
                <w:sz w:val="24"/>
                <w:szCs w:val="24"/>
              </w:rPr>
              <w:t>283</w:t>
            </w:r>
          </w:p>
        </w:tc>
        <w:tc>
          <w:tcPr>
            <w:tcW w:w="928" w:type="pct"/>
            <w:vAlign w:val="center"/>
          </w:tcPr>
          <w:p w:rsidR="00286780" w:rsidRPr="006A5920" w:rsidRDefault="00286780" w:rsidP="006A5920">
            <w:pPr>
              <w:jc w:val="center"/>
              <w:rPr>
                <w:sz w:val="24"/>
                <w:szCs w:val="24"/>
              </w:rPr>
            </w:pPr>
            <w:r w:rsidRPr="006A5920">
              <w:rPr>
                <w:sz w:val="24"/>
                <w:szCs w:val="24"/>
              </w:rPr>
              <w:t>100</w:t>
            </w:r>
          </w:p>
        </w:tc>
      </w:tr>
    </w:tbl>
    <w:p w:rsidR="00286780" w:rsidRPr="006A5920" w:rsidRDefault="00286780" w:rsidP="006A5920">
      <w:pPr>
        <w:rPr>
          <w:sz w:val="28"/>
          <w:szCs w:val="28"/>
        </w:rPr>
      </w:pPr>
    </w:p>
    <w:p w:rsidR="00286780" w:rsidRPr="006A5920" w:rsidRDefault="00286780" w:rsidP="006A5920">
      <w:pPr>
        <w:spacing w:line="360" w:lineRule="auto"/>
        <w:ind w:firstLine="709"/>
        <w:jc w:val="both"/>
        <w:rPr>
          <w:sz w:val="28"/>
          <w:szCs w:val="28"/>
        </w:rPr>
      </w:pPr>
      <w:r>
        <w:rPr>
          <w:sz w:val="28"/>
          <w:szCs w:val="28"/>
        </w:rPr>
        <w:t>Ч</w:t>
      </w:r>
      <w:r w:rsidRPr="006A5920">
        <w:rPr>
          <w:sz w:val="28"/>
          <w:szCs w:val="28"/>
        </w:rPr>
        <w:t>аще всего одонтогенный сепсис ассоциируется с контактным одонтогенным медиастинитом и одонтогенными воспалительными заболеваниями челюстно-лицевой области и шеи (67,8%). Реже сепсис встречается у пациентов с вторичными внутричерепными осложнениями, фурункулами и карбунку</w:t>
      </w:r>
      <w:r>
        <w:rPr>
          <w:sz w:val="28"/>
          <w:szCs w:val="28"/>
        </w:rPr>
        <w:t xml:space="preserve">лами лица </w:t>
      </w:r>
      <w:r w:rsidRPr="00E320E5">
        <w:rPr>
          <w:sz w:val="28"/>
          <w:szCs w:val="28"/>
        </w:rPr>
        <w:t>(</w:t>
      </w:r>
      <w:r>
        <w:rPr>
          <w:sz w:val="28"/>
          <w:szCs w:val="28"/>
        </w:rPr>
        <w:t>Губин М.А. и др., 2003</w:t>
      </w:r>
      <w:r w:rsidRPr="00E320E5">
        <w:rPr>
          <w:sz w:val="28"/>
          <w:szCs w:val="28"/>
        </w:rPr>
        <w:t>)</w:t>
      </w:r>
      <w:r>
        <w:rPr>
          <w:sz w:val="28"/>
          <w:szCs w:val="28"/>
        </w:rPr>
        <w:t>.</w:t>
      </w:r>
    </w:p>
    <w:p w:rsidR="00286780" w:rsidRPr="00466B71" w:rsidRDefault="00286780" w:rsidP="006A5920">
      <w:pPr>
        <w:spacing w:line="360" w:lineRule="auto"/>
        <w:ind w:firstLine="709"/>
        <w:jc w:val="both"/>
        <w:rPr>
          <w:sz w:val="28"/>
          <w:szCs w:val="28"/>
        </w:rPr>
      </w:pPr>
      <w:r w:rsidRPr="006A5920">
        <w:rPr>
          <w:sz w:val="28"/>
          <w:szCs w:val="28"/>
        </w:rPr>
        <w:t>Единичные исследования содержат информацию о распространенности сопутствующей и фоновой патологии у пациентов с гнойно-воспалительными заболеваниями челюстно-лицевой области.</w:t>
      </w:r>
      <w:r w:rsidRPr="004574F4">
        <w:rPr>
          <w:sz w:val="28"/>
          <w:szCs w:val="28"/>
        </w:rPr>
        <w:t xml:space="preserve"> </w:t>
      </w:r>
      <w:r w:rsidRPr="006A5920">
        <w:rPr>
          <w:sz w:val="28"/>
          <w:szCs w:val="28"/>
        </w:rPr>
        <w:t>В частности, около 23,6% пациентов стоматологических поликлиник страдают различными соматич</w:t>
      </w:r>
      <w:r>
        <w:rPr>
          <w:sz w:val="28"/>
          <w:szCs w:val="28"/>
        </w:rPr>
        <w:t>ескими заболевания</w:t>
      </w:r>
      <w:r>
        <w:rPr>
          <w:sz w:val="28"/>
          <w:szCs w:val="28"/>
        </w:rPr>
        <w:lastRenderedPageBreak/>
        <w:t xml:space="preserve">ми </w:t>
      </w:r>
      <w:r w:rsidRPr="00E320E5">
        <w:rPr>
          <w:sz w:val="28"/>
          <w:szCs w:val="28"/>
        </w:rPr>
        <w:t>(</w:t>
      </w:r>
      <w:r>
        <w:rPr>
          <w:sz w:val="28"/>
          <w:szCs w:val="28"/>
        </w:rPr>
        <w:t>Козлов В.А., 2008</w:t>
      </w:r>
      <w:r w:rsidRPr="00E320E5">
        <w:rPr>
          <w:sz w:val="28"/>
          <w:szCs w:val="28"/>
        </w:rPr>
        <w:t>)</w:t>
      </w:r>
      <w:r w:rsidRPr="006A5920">
        <w:rPr>
          <w:sz w:val="28"/>
          <w:szCs w:val="28"/>
        </w:rPr>
        <w:t>. Среди пациентов с одонтогенными флегмонами сопутствующая патология встречается в 30–60% случаев. Чаще всего выявляются заболевания сердечно-сосудистой системы (около 50%) и органов пищеварения (10–12%). Реже встречаются болезни органов дыхания (7–8%), патология эндокринной и нервной систем (около 5%). Еще реже диагностированы инфекционные болез</w:t>
      </w:r>
      <w:r>
        <w:rPr>
          <w:sz w:val="28"/>
          <w:szCs w:val="28"/>
        </w:rPr>
        <w:t xml:space="preserve">ни, ВИЧ – около 4% </w:t>
      </w:r>
      <w:r w:rsidRPr="00E320E5">
        <w:rPr>
          <w:sz w:val="28"/>
          <w:szCs w:val="28"/>
        </w:rPr>
        <w:t>(</w:t>
      </w:r>
      <w:r>
        <w:rPr>
          <w:sz w:val="28"/>
          <w:szCs w:val="28"/>
        </w:rPr>
        <w:t>Байриков И.М. и др., 2014</w:t>
      </w:r>
      <w:r w:rsidRPr="00E320E5">
        <w:rPr>
          <w:sz w:val="28"/>
          <w:szCs w:val="28"/>
        </w:rPr>
        <w:t>)</w:t>
      </w:r>
      <w:r w:rsidRPr="006A5920">
        <w:rPr>
          <w:sz w:val="28"/>
          <w:szCs w:val="28"/>
        </w:rPr>
        <w:t>.</w:t>
      </w:r>
      <w:r>
        <w:rPr>
          <w:sz w:val="28"/>
          <w:szCs w:val="28"/>
        </w:rPr>
        <w:t xml:space="preserve"> </w:t>
      </w:r>
      <w:r w:rsidRPr="00AA79AB">
        <w:rPr>
          <w:spacing w:val="-4"/>
          <w:sz w:val="28"/>
          <w:szCs w:val="28"/>
        </w:rPr>
        <w:t>По данным литературных источников, одонтогенный сепсис развивается на фоне сопутствующей патологии у 78,1% больных. Наиболее часто выявляются заболевания сердечно-сосудистой (около 50%) и дыхательной систем (48,9%). Реже встречаются заболевания других</w:t>
      </w:r>
      <w:r>
        <w:rPr>
          <w:spacing w:val="-4"/>
          <w:sz w:val="28"/>
          <w:szCs w:val="28"/>
        </w:rPr>
        <w:t xml:space="preserve"> органов" (Таблица 2, Губин М.А. и др., 2003)</w:t>
      </w:r>
      <w:r w:rsidRPr="00AA79AB">
        <w:rPr>
          <w:spacing w:val="-4"/>
          <w:sz w:val="28"/>
          <w:szCs w:val="28"/>
        </w:rPr>
        <w:t>.</w:t>
      </w:r>
    </w:p>
    <w:p w:rsidR="00286780" w:rsidRPr="006A5920" w:rsidRDefault="00286780" w:rsidP="006A5920">
      <w:pPr>
        <w:rPr>
          <w:sz w:val="28"/>
          <w:szCs w:val="28"/>
        </w:rPr>
      </w:pPr>
    </w:p>
    <w:p w:rsidR="00286780" w:rsidRPr="006A5920" w:rsidRDefault="00286780" w:rsidP="003264FF">
      <w:pPr>
        <w:spacing w:line="360" w:lineRule="auto"/>
        <w:jc w:val="both"/>
        <w:rPr>
          <w:sz w:val="28"/>
          <w:szCs w:val="28"/>
        </w:rPr>
      </w:pPr>
      <w:r w:rsidRPr="006A5920">
        <w:rPr>
          <w:b/>
          <w:sz w:val="28"/>
          <w:szCs w:val="28"/>
        </w:rPr>
        <w:t xml:space="preserve">Таблица </w:t>
      </w:r>
      <w:r>
        <w:rPr>
          <w:b/>
          <w:sz w:val="28"/>
          <w:szCs w:val="28"/>
        </w:rPr>
        <w:t>2</w:t>
      </w:r>
      <w:r w:rsidRPr="006A5920">
        <w:rPr>
          <w:sz w:val="28"/>
          <w:szCs w:val="28"/>
        </w:rPr>
        <w:t xml:space="preserve"> – </w:t>
      </w:r>
      <w:r>
        <w:rPr>
          <w:sz w:val="28"/>
          <w:szCs w:val="28"/>
        </w:rPr>
        <w:t>"</w:t>
      </w:r>
      <w:r w:rsidRPr="006A5920">
        <w:rPr>
          <w:sz w:val="28"/>
          <w:szCs w:val="28"/>
        </w:rPr>
        <w:t>Количественная характеристика фоновой патологии у больных с сепсисом</w:t>
      </w:r>
      <w:r>
        <w:rPr>
          <w:sz w:val="28"/>
          <w:szCs w:val="28"/>
        </w:rPr>
        <w:t xml:space="preserve">" </w:t>
      </w:r>
      <w:r>
        <w:rPr>
          <w:spacing w:val="-4"/>
          <w:sz w:val="28"/>
          <w:szCs w:val="28"/>
        </w:rPr>
        <w:t>(Губин М.</w:t>
      </w:r>
      <w:r w:rsidRPr="00AA79AB">
        <w:rPr>
          <w:spacing w:val="-4"/>
          <w:sz w:val="28"/>
          <w:szCs w:val="28"/>
        </w:rPr>
        <w:t>А. и др., 2003</w:t>
      </w:r>
      <w:r>
        <w:rPr>
          <w:spacing w:val="-4"/>
          <w:sz w:val="28"/>
          <w:szCs w:val="28"/>
        </w:rPr>
        <w:t>)</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1"/>
        <w:gridCol w:w="1873"/>
        <w:gridCol w:w="1649"/>
      </w:tblGrid>
      <w:tr w:rsidR="00286780" w:rsidRPr="006A5920" w:rsidTr="006A5920">
        <w:trPr>
          <w:trHeight w:val="345"/>
        </w:trPr>
        <w:tc>
          <w:tcPr>
            <w:tcW w:w="3225" w:type="pct"/>
            <w:vMerge w:val="restart"/>
            <w:tcMar>
              <w:left w:w="28" w:type="dxa"/>
              <w:right w:w="28" w:type="dxa"/>
            </w:tcMar>
            <w:vAlign w:val="center"/>
          </w:tcPr>
          <w:p w:rsidR="00286780" w:rsidRPr="006A5920" w:rsidRDefault="00286780" w:rsidP="006A5920">
            <w:pPr>
              <w:jc w:val="center"/>
              <w:rPr>
                <w:i/>
                <w:sz w:val="24"/>
                <w:szCs w:val="24"/>
              </w:rPr>
            </w:pPr>
            <w:r w:rsidRPr="006A5920">
              <w:rPr>
                <w:i/>
                <w:sz w:val="24"/>
                <w:szCs w:val="24"/>
              </w:rPr>
              <w:t>Характер фоновой патологии</w:t>
            </w:r>
          </w:p>
        </w:tc>
        <w:tc>
          <w:tcPr>
            <w:tcW w:w="1775" w:type="pct"/>
            <w:gridSpan w:val="2"/>
            <w:tcMar>
              <w:left w:w="28" w:type="dxa"/>
              <w:right w:w="28" w:type="dxa"/>
            </w:tcMar>
            <w:vAlign w:val="center"/>
          </w:tcPr>
          <w:p w:rsidR="00286780" w:rsidRPr="006A5920" w:rsidRDefault="00286780" w:rsidP="006A5920">
            <w:pPr>
              <w:jc w:val="center"/>
              <w:rPr>
                <w:i/>
                <w:sz w:val="24"/>
                <w:szCs w:val="24"/>
              </w:rPr>
            </w:pPr>
            <w:r w:rsidRPr="006A5920">
              <w:rPr>
                <w:i/>
                <w:sz w:val="24"/>
                <w:szCs w:val="24"/>
              </w:rPr>
              <w:t xml:space="preserve">Количество больных сепсисом </w:t>
            </w:r>
          </w:p>
        </w:tc>
      </w:tr>
      <w:tr w:rsidR="00286780" w:rsidRPr="006A5920" w:rsidTr="006A5920">
        <w:trPr>
          <w:trHeight w:val="210"/>
        </w:trPr>
        <w:tc>
          <w:tcPr>
            <w:tcW w:w="3225" w:type="pct"/>
            <w:vMerge/>
            <w:tcMar>
              <w:left w:w="28" w:type="dxa"/>
              <w:right w:w="28" w:type="dxa"/>
            </w:tcMar>
          </w:tcPr>
          <w:p w:rsidR="00286780" w:rsidRPr="006A5920" w:rsidRDefault="00286780" w:rsidP="006A5920">
            <w:pPr>
              <w:jc w:val="both"/>
              <w:rPr>
                <w:sz w:val="24"/>
                <w:szCs w:val="24"/>
              </w:rPr>
            </w:pPr>
          </w:p>
        </w:tc>
        <w:tc>
          <w:tcPr>
            <w:tcW w:w="944" w:type="pct"/>
            <w:tcMar>
              <w:left w:w="28" w:type="dxa"/>
              <w:right w:w="28" w:type="dxa"/>
            </w:tcMar>
            <w:vAlign w:val="center"/>
          </w:tcPr>
          <w:p w:rsidR="00286780" w:rsidRPr="006A5920" w:rsidRDefault="00286780" w:rsidP="006A5920">
            <w:pPr>
              <w:jc w:val="center"/>
              <w:rPr>
                <w:sz w:val="24"/>
                <w:szCs w:val="24"/>
              </w:rPr>
            </w:pPr>
            <w:r w:rsidRPr="006A5920">
              <w:rPr>
                <w:sz w:val="24"/>
                <w:szCs w:val="24"/>
              </w:rPr>
              <w:t>абс.</w:t>
            </w:r>
          </w:p>
        </w:tc>
        <w:tc>
          <w:tcPr>
            <w:tcW w:w="831" w:type="pct"/>
            <w:tcMar>
              <w:left w:w="28" w:type="dxa"/>
              <w:right w:w="28" w:type="dxa"/>
            </w:tcMar>
            <w:vAlign w:val="center"/>
          </w:tcPr>
          <w:p w:rsidR="00286780" w:rsidRPr="006A5920" w:rsidRDefault="00286780" w:rsidP="006A5920">
            <w:pPr>
              <w:jc w:val="center"/>
              <w:rPr>
                <w:sz w:val="24"/>
                <w:szCs w:val="24"/>
              </w:rPr>
            </w:pPr>
            <w:r w:rsidRPr="006A5920">
              <w:rPr>
                <w:sz w:val="24"/>
                <w:szCs w:val="24"/>
              </w:rPr>
              <w:t>%</w:t>
            </w:r>
          </w:p>
        </w:tc>
      </w:tr>
      <w:tr w:rsidR="00286780" w:rsidRPr="006A5920" w:rsidTr="006A5920">
        <w:trPr>
          <w:trHeight w:val="454"/>
        </w:trPr>
        <w:tc>
          <w:tcPr>
            <w:tcW w:w="3225" w:type="pct"/>
            <w:tcMar>
              <w:left w:w="28" w:type="dxa"/>
              <w:right w:w="28" w:type="dxa"/>
            </w:tcMar>
            <w:vAlign w:val="center"/>
          </w:tcPr>
          <w:p w:rsidR="00286780" w:rsidRPr="006A5920" w:rsidRDefault="00286780" w:rsidP="006A5920">
            <w:pPr>
              <w:jc w:val="both"/>
              <w:rPr>
                <w:sz w:val="24"/>
                <w:szCs w:val="24"/>
              </w:rPr>
            </w:pPr>
            <w:r w:rsidRPr="006A5920">
              <w:rPr>
                <w:sz w:val="24"/>
                <w:szCs w:val="24"/>
              </w:rPr>
              <w:t>Заболевания сердечно-сосудистой и дыхательной систем</w:t>
            </w:r>
          </w:p>
        </w:tc>
        <w:tc>
          <w:tcPr>
            <w:tcW w:w="944" w:type="pct"/>
            <w:tcMar>
              <w:left w:w="28" w:type="dxa"/>
              <w:right w:w="28" w:type="dxa"/>
            </w:tcMar>
            <w:vAlign w:val="center"/>
          </w:tcPr>
          <w:p w:rsidR="00286780" w:rsidRPr="006A5920" w:rsidRDefault="00286780" w:rsidP="006A5920">
            <w:pPr>
              <w:jc w:val="center"/>
              <w:rPr>
                <w:sz w:val="24"/>
                <w:szCs w:val="24"/>
              </w:rPr>
            </w:pPr>
            <w:r w:rsidRPr="006A5920">
              <w:rPr>
                <w:sz w:val="24"/>
                <w:szCs w:val="24"/>
              </w:rPr>
              <w:t>108</w:t>
            </w:r>
          </w:p>
        </w:tc>
        <w:tc>
          <w:tcPr>
            <w:tcW w:w="831" w:type="pct"/>
            <w:tcMar>
              <w:left w:w="28" w:type="dxa"/>
              <w:right w:w="28" w:type="dxa"/>
            </w:tcMar>
            <w:vAlign w:val="center"/>
          </w:tcPr>
          <w:p w:rsidR="00286780" w:rsidRPr="006A5920" w:rsidRDefault="00286780" w:rsidP="006A5920">
            <w:pPr>
              <w:jc w:val="center"/>
              <w:rPr>
                <w:sz w:val="24"/>
                <w:szCs w:val="24"/>
              </w:rPr>
            </w:pPr>
            <w:r w:rsidRPr="006A5920">
              <w:rPr>
                <w:sz w:val="24"/>
                <w:szCs w:val="24"/>
              </w:rPr>
              <w:t>48,9</w:t>
            </w:r>
          </w:p>
        </w:tc>
      </w:tr>
      <w:tr w:rsidR="00286780" w:rsidRPr="006A5920" w:rsidTr="006A5920">
        <w:trPr>
          <w:trHeight w:val="454"/>
        </w:trPr>
        <w:tc>
          <w:tcPr>
            <w:tcW w:w="3225" w:type="pct"/>
            <w:tcMar>
              <w:left w:w="28" w:type="dxa"/>
              <w:right w:w="28" w:type="dxa"/>
            </w:tcMar>
            <w:vAlign w:val="center"/>
          </w:tcPr>
          <w:p w:rsidR="00286780" w:rsidRPr="006A5920" w:rsidRDefault="00286780" w:rsidP="006A5920">
            <w:pPr>
              <w:jc w:val="both"/>
              <w:rPr>
                <w:sz w:val="24"/>
                <w:szCs w:val="24"/>
              </w:rPr>
            </w:pPr>
            <w:r w:rsidRPr="006A5920">
              <w:rPr>
                <w:sz w:val="24"/>
                <w:szCs w:val="24"/>
              </w:rPr>
              <w:t>Заболевания органов пищеварения</w:t>
            </w:r>
          </w:p>
        </w:tc>
        <w:tc>
          <w:tcPr>
            <w:tcW w:w="944" w:type="pct"/>
            <w:tcMar>
              <w:left w:w="28" w:type="dxa"/>
              <w:right w:w="28" w:type="dxa"/>
            </w:tcMar>
            <w:vAlign w:val="center"/>
          </w:tcPr>
          <w:p w:rsidR="00286780" w:rsidRPr="006A5920" w:rsidRDefault="00286780" w:rsidP="006A5920">
            <w:pPr>
              <w:jc w:val="center"/>
              <w:rPr>
                <w:sz w:val="24"/>
                <w:szCs w:val="24"/>
              </w:rPr>
            </w:pPr>
            <w:r w:rsidRPr="006A5920">
              <w:rPr>
                <w:sz w:val="24"/>
                <w:szCs w:val="24"/>
              </w:rPr>
              <w:t>43</w:t>
            </w:r>
          </w:p>
        </w:tc>
        <w:tc>
          <w:tcPr>
            <w:tcW w:w="831" w:type="pct"/>
            <w:tcMar>
              <w:left w:w="28" w:type="dxa"/>
              <w:right w:w="28" w:type="dxa"/>
            </w:tcMar>
            <w:vAlign w:val="center"/>
          </w:tcPr>
          <w:p w:rsidR="00286780" w:rsidRPr="006A5920" w:rsidRDefault="00286780" w:rsidP="006A5920">
            <w:pPr>
              <w:jc w:val="center"/>
              <w:rPr>
                <w:sz w:val="24"/>
                <w:szCs w:val="24"/>
              </w:rPr>
            </w:pPr>
            <w:r w:rsidRPr="006A5920">
              <w:rPr>
                <w:sz w:val="24"/>
                <w:szCs w:val="24"/>
              </w:rPr>
              <w:t>19,5</w:t>
            </w:r>
          </w:p>
        </w:tc>
      </w:tr>
      <w:tr w:rsidR="00286780" w:rsidRPr="006A5920" w:rsidTr="006A5920">
        <w:trPr>
          <w:trHeight w:val="454"/>
        </w:trPr>
        <w:tc>
          <w:tcPr>
            <w:tcW w:w="3225" w:type="pct"/>
            <w:tcMar>
              <w:left w:w="28" w:type="dxa"/>
              <w:right w:w="28" w:type="dxa"/>
            </w:tcMar>
            <w:vAlign w:val="center"/>
          </w:tcPr>
          <w:p w:rsidR="00286780" w:rsidRPr="006A5920" w:rsidRDefault="00286780" w:rsidP="006A5920">
            <w:pPr>
              <w:jc w:val="both"/>
              <w:rPr>
                <w:sz w:val="24"/>
                <w:szCs w:val="24"/>
              </w:rPr>
            </w:pPr>
            <w:r w:rsidRPr="006A5920">
              <w:rPr>
                <w:sz w:val="24"/>
                <w:szCs w:val="24"/>
              </w:rPr>
              <w:t>Заболевания органов мочевыделительной системы</w:t>
            </w:r>
          </w:p>
        </w:tc>
        <w:tc>
          <w:tcPr>
            <w:tcW w:w="944" w:type="pct"/>
            <w:tcMar>
              <w:left w:w="28" w:type="dxa"/>
              <w:right w:w="28" w:type="dxa"/>
            </w:tcMar>
            <w:vAlign w:val="center"/>
          </w:tcPr>
          <w:p w:rsidR="00286780" w:rsidRPr="006A5920" w:rsidRDefault="00286780" w:rsidP="006A5920">
            <w:pPr>
              <w:jc w:val="center"/>
              <w:rPr>
                <w:sz w:val="24"/>
                <w:szCs w:val="24"/>
              </w:rPr>
            </w:pPr>
            <w:r w:rsidRPr="006A5920">
              <w:rPr>
                <w:sz w:val="24"/>
                <w:szCs w:val="24"/>
              </w:rPr>
              <w:t>24</w:t>
            </w:r>
          </w:p>
        </w:tc>
        <w:tc>
          <w:tcPr>
            <w:tcW w:w="831" w:type="pct"/>
            <w:tcMar>
              <w:left w:w="28" w:type="dxa"/>
              <w:right w:w="28" w:type="dxa"/>
            </w:tcMar>
            <w:vAlign w:val="center"/>
          </w:tcPr>
          <w:p w:rsidR="00286780" w:rsidRPr="006A5920" w:rsidRDefault="00286780" w:rsidP="006A5920">
            <w:pPr>
              <w:jc w:val="center"/>
              <w:rPr>
                <w:sz w:val="24"/>
                <w:szCs w:val="24"/>
              </w:rPr>
            </w:pPr>
            <w:r w:rsidRPr="006A5920">
              <w:rPr>
                <w:sz w:val="24"/>
                <w:szCs w:val="24"/>
              </w:rPr>
              <w:t>10,9</w:t>
            </w:r>
          </w:p>
        </w:tc>
      </w:tr>
      <w:tr w:rsidR="00286780" w:rsidRPr="006A5920" w:rsidTr="006A5920">
        <w:trPr>
          <w:trHeight w:val="454"/>
        </w:trPr>
        <w:tc>
          <w:tcPr>
            <w:tcW w:w="3225" w:type="pct"/>
            <w:tcMar>
              <w:left w:w="28" w:type="dxa"/>
              <w:right w:w="28" w:type="dxa"/>
            </w:tcMar>
            <w:vAlign w:val="center"/>
          </w:tcPr>
          <w:p w:rsidR="00286780" w:rsidRPr="006A5920" w:rsidRDefault="00286780" w:rsidP="006A5920">
            <w:pPr>
              <w:jc w:val="both"/>
              <w:rPr>
                <w:sz w:val="24"/>
                <w:szCs w:val="24"/>
              </w:rPr>
            </w:pPr>
            <w:r w:rsidRPr="006A5920">
              <w:rPr>
                <w:sz w:val="24"/>
                <w:szCs w:val="24"/>
              </w:rPr>
              <w:t>Эндокринные заболевания (в том числе сахарный диабет)</w:t>
            </w:r>
          </w:p>
        </w:tc>
        <w:tc>
          <w:tcPr>
            <w:tcW w:w="944" w:type="pct"/>
            <w:tcMar>
              <w:left w:w="28" w:type="dxa"/>
              <w:right w:w="28" w:type="dxa"/>
            </w:tcMar>
            <w:vAlign w:val="center"/>
          </w:tcPr>
          <w:p w:rsidR="00286780" w:rsidRPr="006A5920" w:rsidRDefault="00286780" w:rsidP="006A5920">
            <w:pPr>
              <w:jc w:val="center"/>
              <w:rPr>
                <w:sz w:val="24"/>
                <w:szCs w:val="24"/>
              </w:rPr>
            </w:pPr>
            <w:r w:rsidRPr="006A5920">
              <w:rPr>
                <w:sz w:val="24"/>
                <w:szCs w:val="24"/>
              </w:rPr>
              <w:t>21</w:t>
            </w:r>
          </w:p>
        </w:tc>
        <w:tc>
          <w:tcPr>
            <w:tcW w:w="831" w:type="pct"/>
            <w:tcMar>
              <w:left w:w="28" w:type="dxa"/>
              <w:right w:w="28" w:type="dxa"/>
            </w:tcMar>
            <w:vAlign w:val="center"/>
          </w:tcPr>
          <w:p w:rsidR="00286780" w:rsidRPr="006A5920" w:rsidRDefault="00286780" w:rsidP="006A5920">
            <w:pPr>
              <w:jc w:val="center"/>
              <w:rPr>
                <w:sz w:val="24"/>
                <w:szCs w:val="24"/>
              </w:rPr>
            </w:pPr>
            <w:r w:rsidRPr="006A5920">
              <w:rPr>
                <w:sz w:val="24"/>
                <w:szCs w:val="24"/>
              </w:rPr>
              <w:t>9,5</w:t>
            </w:r>
          </w:p>
        </w:tc>
      </w:tr>
      <w:tr w:rsidR="00286780" w:rsidRPr="006A5920" w:rsidTr="006A5920">
        <w:trPr>
          <w:trHeight w:val="454"/>
        </w:trPr>
        <w:tc>
          <w:tcPr>
            <w:tcW w:w="3225" w:type="pct"/>
            <w:tcMar>
              <w:left w:w="28" w:type="dxa"/>
              <w:right w:w="28" w:type="dxa"/>
            </w:tcMar>
            <w:vAlign w:val="center"/>
          </w:tcPr>
          <w:p w:rsidR="00286780" w:rsidRPr="006A5920" w:rsidRDefault="00286780" w:rsidP="006A5920">
            <w:pPr>
              <w:jc w:val="both"/>
              <w:rPr>
                <w:sz w:val="24"/>
                <w:szCs w:val="24"/>
              </w:rPr>
            </w:pPr>
            <w:r w:rsidRPr="006A5920">
              <w:rPr>
                <w:sz w:val="24"/>
                <w:szCs w:val="24"/>
              </w:rPr>
              <w:t>Хронический алкоголизм</w:t>
            </w:r>
          </w:p>
        </w:tc>
        <w:tc>
          <w:tcPr>
            <w:tcW w:w="944" w:type="pct"/>
            <w:tcMar>
              <w:left w:w="28" w:type="dxa"/>
              <w:right w:w="28" w:type="dxa"/>
            </w:tcMar>
            <w:vAlign w:val="center"/>
          </w:tcPr>
          <w:p w:rsidR="00286780" w:rsidRPr="006A5920" w:rsidRDefault="00286780" w:rsidP="006A5920">
            <w:pPr>
              <w:jc w:val="center"/>
              <w:rPr>
                <w:sz w:val="24"/>
                <w:szCs w:val="24"/>
              </w:rPr>
            </w:pPr>
            <w:r w:rsidRPr="006A5920">
              <w:rPr>
                <w:sz w:val="24"/>
                <w:szCs w:val="24"/>
              </w:rPr>
              <w:t>15</w:t>
            </w:r>
          </w:p>
        </w:tc>
        <w:tc>
          <w:tcPr>
            <w:tcW w:w="831" w:type="pct"/>
            <w:tcMar>
              <w:left w:w="28" w:type="dxa"/>
              <w:right w:w="28" w:type="dxa"/>
            </w:tcMar>
            <w:vAlign w:val="center"/>
          </w:tcPr>
          <w:p w:rsidR="00286780" w:rsidRPr="006A5920" w:rsidRDefault="00286780" w:rsidP="006A5920">
            <w:pPr>
              <w:jc w:val="center"/>
              <w:rPr>
                <w:sz w:val="24"/>
                <w:szCs w:val="24"/>
              </w:rPr>
            </w:pPr>
            <w:r w:rsidRPr="006A5920">
              <w:rPr>
                <w:sz w:val="24"/>
                <w:szCs w:val="24"/>
              </w:rPr>
              <w:t>6,8</w:t>
            </w:r>
          </w:p>
        </w:tc>
      </w:tr>
      <w:tr w:rsidR="00286780" w:rsidRPr="006A5920" w:rsidTr="006A5920">
        <w:trPr>
          <w:trHeight w:val="454"/>
        </w:trPr>
        <w:tc>
          <w:tcPr>
            <w:tcW w:w="3225" w:type="pct"/>
            <w:tcMar>
              <w:left w:w="28" w:type="dxa"/>
              <w:right w:w="28" w:type="dxa"/>
            </w:tcMar>
            <w:vAlign w:val="center"/>
          </w:tcPr>
          <w:p w:rsidR="00286780" w:rsidRPr="006A5920" w:rsidRDefault="00286780" w:rsidP="006A5920">
            <w:pPr>
              <w:jc w:val="both"/>
              <w:rPr>
                <w:sz w:val="24"/>
                <w:szCs w:val="24"/>
              </w:rPr>
            </w:pPr>
            <w:r w:rsidRPr="006A5920">
              <w:rPr>
                <w:sz w:val="24"/>
                <w:szCs w:val="24"/>
              </w:rPr>
              <w:t>Иная патология (ревматоидный артрит, аллергические заболевания, болезнь Паркинсона и др.)</w:t>
            </w:r>
          </w:p>
        </w:tc>
        <w:tc>
          <w:tcPr>
            <w:tcW w:w="944" w:type="pct"/>
            <w:tcMar>
              <w:left w:w="28" w:type="dxa"/>
              <w:right w:w="28" w:type="dxa"/>
            </w:tcMar>
            <w:vAlign w:val="center"/>
          </w:tcPr>
          <w:p w:rsidR="00286780" w:rsidRPr="006A5920" w:rsidRDefault="00286780" w:rsidP="006A5920">
            <w:pPr>
              <w:jc w:val="center"/>
              <w:rPr>
                <w:sz w:val="24"/>
                <w:szCs w:val="24"/>
              </w:rPr>
            </w:pPr>
            <w:r w:rsidRPr="006A5920">
              <w:rPr>
                <w:sz w:val="24"/>
                <w:szCs w:val="24"/>
              </w:rPr>
              <w:t>10</w:t>
            </w:r>
          </w:p>
        </w:tc>
        <w:tc>
          <w:tcPr>
            <w:tcW w:w="831" w:type="pct"/>
            <w:tcMar>
              <w:left w:w="28" w:type="dxa"/>
              <w:right w:w="28" w:type="dxa"/>
            </w:tcMar>
            <w:vAlign w:val="center"/>
          </w:tcPr>
          <w:p w:rsidR="00286780" w:rsidRPr="006A5920" w:rsidRDefault="00286780" w:rsidP="006A5920">
            <w:pPr>
              <w:jc w:val="center"/>
              <w:rPr>
                <w:sz w:val="24"/>
                <w:szCs w:val="24"/>
              </w:rPr>
            </w:pPr>
            <w:r w:rsidRPr="006A5920">
              <w:rPr>
                <w:sz w:val="24"/>
                <w:szCs w:val="24"/>
              </w:rPr>
              <w:t>4,4</w:t>
            </w:r>
          </w:p>
        </w:tc>
      </w:tr>
      <w:tr w:rsidR="00286780" w:rsidRPr="006A5920" w:rsidTr="006A5920">
        <w:trPr>
          <w:trHeight w:val="454"/>
        </w:trPr>
        <w:tc>
          <w:tcPr>
            <w:tcW w:w="3225" w:type="pct"/>
            <w:tcMar>
              <w:left w:w="28" w:type="dxa"/>
              <w:right w:w="28" w:type="dxa"/>
            </w:tcMar>
            <w:vAlign w:val="center"/>
          </w:tcPr>
          <w:p w:rsidR="00286780" w:rsidRPr="006A5920" w:rsidRDefault="00286780" w:rsidP="006A5920">
            <w:pPr>
              <w:jc w:val="both"/>
              <w:rPr>
                <w:sz w:val="24"/>
                <w:szCs w:val="24"/>
              </w:rPr>
            </w:pPr>
            <w:r w:rsidRPr="006A5920">
              <w:rPr>
                <w:sz w:val="24"/>
                <w:szCs w:val="24"/>
              </w:rPr>
              <w:t>Итого…</w:t>
            </w:r>
          </w:p>
        </w:tc>
        <w:tc>
          <w:tcPr>
            <w:tcW w:w="944" w:type="pct"/>
            <w:tcMar>
              <w:left w:w="28" w:type="dxa"/>
              <w:right w:w="28" w:type="dxa"/>
            </w:tcMar>
            <w:vAlign w:val="center"/>
          </w:tcPr>
          <w:p w:rsidR="00286780" w:rsidRPr="006A5920" w:rsidRDefault="00286780" w:rsidP="006A5920">
            <w:pPr>
              <w:jc w:val="center"/>
              <w:rPr>
                <w:sz w:val="24"/>
                <w:szCs w:val="24"/>
              </w:rPr>
            </w:pPr>
            <w:r w:rsidRPr="006A5920">
              <w:rPr>
                <w:sz w:val="24"/>
                <w:szCs w:val="24"/>
              </w:rPr>
              <w:t>221</w:t>
            </w:r>
          </w:p>
        </w:tc>
        <w:tc>
          <w:tcPr>
            <w:tcW w:w="831" w:type="pct"/>
            <w:tcMar>
              <w:left w:w="28" w:type="dxa"/>
              <w:right w:w="28" w:type="dxa"/>
            </w:tcMar>
            <w:vAlign w:val="center"/>
          </w:tcPr>
          <w:p w:rsidR="00286780" w:rsidRPr="006A5920" w:rsidRDefault="00286780" w:rsidP="006A5920">
            <w:pPr>
              <w:jc w:val="center"/>
              <w:rPr>
                <w:sz w:val="24"/>
                <w:szCs w:val="24"/>
              </w:rPr>
            </w:pPr>
            <w:r w:rsidRPr="006A5920">
              <w:rPr>
                <w:sz w:val="24"/>
                <w:szCs w:val="24"/>
              </w:rPr>
              <w:t>100,0</w:t>
            </w:r>
          </w:p>
        </w:tc>
      </w:tr>
    </w:tbl>
    <w:p w:rsidR="00286780" w:rsidRPr="006A5920" w:rsidRDefault="00286780" w:rsidP="006A5920">
      <w:pPr>
        <w:jc w:val="both"/>
        <w:rPr>
          <w:sz w:val="24"/>
          <w:szCs w:val="24"/>
        </w:rPr>
      </w:pPr>
    </w:p>
    <w:p w:rsidR="00286780" w:rsidRPr="006A5920" w:rsidRDefault="00286780" w:rsidP="006A5920">
      <w:pPr>
        <w:spacing w:line="360" w:lineRule="auto"/>
        <w:ind w:firstLine="709"/>
        <w:jc w:val="both"/>
        <w:rPr>
          <w:sz w:val="28"/>
          <w:szCs w:val="28"/>
        </w:rPr>
      </w:pPr>
      <w:r w:rsidRPr="006A5920">
        <w:rPr>
          <w:sz w:val="28"/>
          <w:szCs w:val="28"/>
        </w:rPr>
        <w:t>В 52% случаев у больных с одонтогенным сепсисом наблюдается поражение двух и более систем органов одновременно (множественная фоновая патоло</w:t>
      </w:r>
      <w:r>
        <w:rPr>
          <w:sz w:val="28"/>
          <w:szCs w:val="28"/>
        </w:rPr>
        <w:t>гия) (Губин М.А. и др., 2003)</w:t>
      </w:r>
      <w:r w:rsidRPr="006A5920">
        <w:rPr>
          <w:sz w:val="28"/>
          <w:szCs w:val="28"/>
        </w:rPr>
        <w:t>.</w:t>
      </w:r>
    </w:p>
    <w:p w:rsidR="00286780" w:rsidRPr="006A5920" w:rsidRDefault="00286780" w:rsidP="006A5920">
      <w:pPr>
        <w:spacing w:line="360" w:lineRule="auto"/>
        <w:ind w:firstLine="709"/>
        <w:jc w:val="both"/>
        <w:rPr>
          <w:sz w:val="28"/>
          <w:szCs w:val="28"/>
        </w:rPr>
      </w:pPr>
      <w:r w:rsidRPr="006A5920">
        <w:rPr>
          <w:sz w:val="28"/>
          <w:szCs w:val="28"/>
        </w:rPr>
        <w:t>В целом, доступная литература содержит единичные сведения о частоте и распространенности фоновой соматической патологии у пациентов с гнойно-воспалительными процессами челюстно-лицевой области, в основном, с генерализованными формами одонтогенной инфекции. Нередко одни и те же нозологические формы причисляются в одних исследованиях – к сопутствующим заболе</w:t>
      </w:r>
      <w:r w:rsidRPr="006A5920">
        <w:rPr>
          <w:sz w:val="28"/>
          <w:szCs w:val="28"/>
        </w:rPr>
        <w:lastRenderedPageBreak/>
        <w:t>ваниям, в других – к фоновой патологии без каких-либо оснований и доказательной базы. Нет информации об особенностях распространенности фоновой или сопутствующей соматической патологии у пациентов челюстно-лицевого профиля в зависимости от тяжести состояния, фактора генерализации инфекционного процесса и наличия превалирующих соматических терапевтических заболеваний сердечно-сосудистой, дыхательной, эндокринной, пищеварительной и других систем. Отсутствуют сведения о заболеваниях внутренних органов у больных с одонтогенным сепсисом и местной формой одонтогенной инфекции с учетом современных подходов к диагностике генерализованных воспалительных процессов (критерии «Сепсис-3).</w:t>
      </w:r>
    </w:p>
    <w:p w:rsidR="00286780" w:rsidRPr="004A0CF0" w:rsidRDefault="00286780" w:rsidP="004A0CF0">
      <w:pPr>
        <w:jc w:val="both"/>
        <w:rPr>
          <w:sz w:val="28"/>
          <w:szCs w:val="28"/>
          <w:lang w:eastAsia="en-US"/>
        </w:rPr>
      </w:pPr>
    </w:p>
    <w:p w:rsidR="00286780" w:rsidRPr="00457501" w:rsidRDefault="00286780" w:rsidP="00457501">
      <w:pPr>
        <w:pStyle w:val="20"/>
        <w:spacing w:line="360" w:lineRule="auto"/>
        <w:jc w:val="both"/>
      </w:pPr>
      <w:bookmarkStart w:id="3" w:name="_Toc67905687"/>
      <w:r w:rsidRPr="006A5920">
        <w:t>1.2. Полиорганные полиморбидные фоновые заболевания как общемедицинская проблема и как частная проблема у больных с одонтогенными воспалительными процессами. Синдром взаимного отягощения</w:t>
      </w:r>
      <w:bookmarkEnd w:id="3"/>
    </w:p>
    <w:p w:rsidR="00286780" w:rsidRPr="006A5920" w:rsidRDefault="00286780" w:rsidP="00457501">
      <w:pPr>
        <w:spacing w:line="360" w:lineRule="auto"/>
        <w:ind w:firstLine="709"/>
        <w:jc w:val="both"/>
        <w:rPr>
          <w:sz w:val="28"/>
          <w:szCs w:val="28"/>
        </w:rPr>
      </w:pPr>
      <w:r w:rsidRPr="006A5920">
        <w:rPr>
          <w:sz w:val="28"/>
          <w:szCs w:val="28"/>
        </w:rPr>
        <w:t>Наиболее подробно множественная патология (полипатия) изучена у пациентов терапевтического профиля. Для ее обозначения в соответствующей литературе чаще всего применяются термины «коморб</w:t>
      </w:r>
      <w:r>
        <w:rPr>
          <w:sz w:val="28"/>
          <w:szCs w:val="28"/>
        </w:rPr>
        <w:t>идность» или «полиморбидность» (</w:t>
      </w:r>
      <w:r w:rsidRPr="006A5920">
        <w:rPr>
          <w:sz w:val="28"/>
          <w:szCs w:val="28"/>
          <w:lang w:val="en-US"/>
        </w:rPr>
        <w:t>Feinstein</w:t>
      </w:r>
      <w:r w:rsidRPr="004574F4">
        <w:rPr>
          <w:sz w:val="28"/>
          <w:szCs w:val="28"/>
        </w:rPr>
        <w:t xml:space="preserve"> </w:t>
      </w:r>
      <w:r w:rsidRPr="006A5920">
        <w:rPr>
          <w:sz w:val="28"/>
          <w:szCs w:val="28"/>
          <w:lang w:val="en-US"/>
        </w:rPr>
        <w:t>A</w:t>
      </w:r>
      <w:r>
        <w:rPr>
          <w:sz w:val="28"/>
          <w:szCs w:val="28"/>
        </w:rPr>
        <w:t>.</w:t>
      </w:r>
      <w:r w:rsidRPr="006A5920">
        <w:rPr>
          <w:sz w:val="28"/>
          <w:szCs w:val="28"/>
          <w:lang w:val="en-US"/>
        </w:rPr>
        <w:t>R</w:t>
      </w:r>
      <w:r>
        <w:rPr>
          <w:sz w:val="28"/>
          <w:szCs w:val="28"/>
        </w:rPr>
        <w:t>., 1970; Лазебник Л.</w:t>
      </w:r>
      <w:r w:rsidRPr="006A5920">
        <w:rPr>
          <w:sz w:val="28"/>
          <w:szCs w:val="28"/>
        </w:rPr>
        <w:t xml:space="preserve">Б., 2005; </w:t>
      </w:r>
      <w:r w:rsidRPr="006A5920">
        <w:rPr>
          <w:sz w:val="28"/>
          <w:szCs w:val="28"/>
          <w:shd w:val="clear" w:color="auto" w:fill="FFFFFF"/>
          <w:lang w:val="en-US"/>
        </w:rPr>
        <w:t>Moher</w:t>
      </w:r>
      <w:r w:rsidRPr="004574F4">
        <w:rPr>
          <w:sz w:val="28"/>
          <w:szCs w:val="28"/>
          <w:shd w:val="clear" w:color="auto" w:fill="FFFFFF"/>
        </w:rPr>
        <w:t xml:space="preserve"> </w:t>
      </w:r>
      <w:r w:rsidRPr="006A5920">
        <w:rPr>
          <w:sz w:val="28"/>
          <w:szCs w:val="28"/>
          <w:shd w:val="clear" w:color="auto" w:fill="FFFFFF"/>
          <w:lang w:val="en-US"/>
        </w:rPr>
        <w:t>D</w:t>
      </w:r>
      <w:r w:rsidRPr="006A5920">
        <w:rPr>
          <w:sz w:val="28"/>
          <w:szCs w:val="28"/>
          <w:shd w:val="clear" w:color="auto" w:fill="FFFFFF"/>
        </w:rPr>
        <w:t xml:space="preserve">. </w:t>
      </w:r>
      <w:r>
        <w:rPr>
          <w:sz w:val="28"/>
          <w:szCs w:val="28"/>
          <w:shd w:val="clear" w:color="auto" w:fill="FFFFFF"/>
          <w:lang w:val="en-US"/>
        </w:rPr>
        <w:t>e</w:t>
      </w:r>
      <w:r w:rsidRPr="006A5920">
        <w:rPr>
          <w:sz w:val="28"/>
          <w:szCs w:val="28"/>
          <w:shd w:val="clear" w:color="auto" w:fill="FFFFFF"/>
          <w:lang w:val="en-US"/>
        </w:rPr>
        <w:t>t</w:t>
      </w:r>
      <w:r w:rsidRPr="004574F4">
        <w:rPr>
          <w:sz w:val="28"/>
          <w:szCs w:val="28"/>
          <w:shd w:val="clear" w:color="auto" w:fill="FFFFFF"/>
        </w:rPr>
        <w:t xml:space="preserve"> </w:t>
      </w:r>
      <w:r w:rsidRPr="006A5920">
        <w:rPr>
          <w:sz w:val="28"/>
          <w:szCs w:val="28"/>
          <w:shd w:val="clear" w:color="auto" w:fill="FFFFFF"/>
          <w:lang w:val="en-US"/>
        </w:rPr>
        <w:t>al</w:t>
      </w:r>
      <w:r w:rsidRPr="006A5920">
        <w:rPr>
          <w:sz w:val="28"/>
          <w:szCs w:val="28"/>
          <w:shd w:val="clear" w:color="auto" w:fill="FFFFFF"/>
        </w:rPr>
        <w:t xml:space="preserve">., 2009; </w:t>
      </w:r>
      <w:r>
        <w:rPr>
          <w:sz w:val="28"/>
          <w:szCs w:val="28"/>
        </w:rPr>
        <w:t>Шарабичев Ю.Т., 2014)</w:t>
      </w:r>
      <w:r w:rsidRPr="006A5920">
        <w:rPr>
          <w:sz w:val="28"/>
          <w:szCs w:val="28"/>
        </w:rPr>
        <w:t>.</w:t>
      </w:r>
    </w:p>
    <w:p w:rsidR="00286780" w:rsidRPr="006A5920" w:rsidRDefault="00286780" w:rsidP="006A5920">
      <w:pPr>
        <w:spacing w:line="360" w:lineRule="auto"/>
        <w:ind w:firstLine="709"/>
        <w:jc w:val="both"/>
        <w:rPr>
          <w:sz w:val="28"/>
          <w:szCs w:val="28"/>
        </w:rPr>
      </w:pPr>
      <w:r w:rsidRPr="006A5920">
        <w:rPr>
          <w:sz w:val="28"/>
          <w:szCs w:val="28"/>
        </w:rPr>
        <w:t xml:space="preserve">Коморбидность – </w:t>
      </w:r>
      <w:r>
        <w:rPr>
          <w:sz w:val="28"/>
          <w:szCs w:val="28"/>
        </w:rPr>
        <w:t>"</w:t>
      </w:r>
      <w:r w:rsidRPr="006A5920">
        <w:rPr>
          <w:sz w:val="28"/>
          <w:szCs w:val="28"/>
        </w:rPr>
        <w:t>сосуществование двух и/или более синдромов (транссиндромальная коморбидность) или заболеваний (транснозологическая коморбидность) у одного пациента, патогенетически взаимосвязанных между собой или сов</w:t>
      </w:r>
      <w:r>
        <w:rPr>
          <w:sz w:val="28"/>
          <w:szCs w:val="28"/>
        </w:rPr>
        <w:t xml:space="preserve">падающих во времени" </w:t>
      </w:r>
      <w:r w:rsidRPr="00E320E5">
        <w:rPr>
          <w:sz w:val="28"/>
          <w:szCs w:val="28"/>
        </w:rPr>
        <w:t>(</w:t>
      </w:r>
      <w:r>
        <w:rPr>
          <w:sz w:val="28"/>
          <w:szCs w:val="28"/>
        </w:rPr>
        <w:t>Верткин А.Л., Скотников А.С., 2013; Журавлев Ю.И., Тхорикова В.Н., 2013; Мамедов М.Н. и др., 2018; Верткин А.Л. и др., 2014</w:t>
      </w:r>
      <w:r w:rsidRPr="00E320E5">
        <w:rPr>
          <w:sz w:val="28"/>
          <w:szCs w:val="28"/>
        </w:rPr>
        <w:t>)</w:t>
      </w:r>
      <w:r w:rsidRPr="006A5920">
        <w:rPr>
          <w:sz w:val="28"/>
          <w:szCs w:val="28"/>
        </w:rPr>
        <w:t>. Распространенность коморбидности среди населения в целом составляет от 69% у больных молодого возраста до 98% у пацие</w:t>
      </w:r>
      <w:r>
        <w:rPr>
          <w:sz w:val="28"/>
          <w:szCs w:val="28"/>
        </w:rPr>
        <w:t xml:space="preserve">нтов старшей возрастной группы </w:t>
      </w:r>
      <w:r w:rsidRPr="00E320E5">
        <w:rPr>
          <w:sz w:val="28"/>
          <w:szCs w:val="28"/>
        </w:rPr>
        <w:t>(</w:t>
      </w:r>
      <w:r w:rsidRPr="006A5920">
        <w:rPr>
          <w:sz w:val="28"/>
          <w:szCs w:val="28"/>
        </w:rPr>
        <w:t>Бы</w:t>
      </w:r>
      <w:r>
        <w:rPr>
          <w:sz w:val="28"/>
          <w:szCs w:val="28"/>
        </w:rPr>
        <w:t>ковская Т.Ю. и др., 2017; Леонтьева Е.Ю. и др., 2017</w:t>
      </w:r>
      <w:r w:rsidRPr="00E320E5">
        <w:rPr>
          <w:sz w:val="28"/>
          <w:szCs w:val="28"/>
        </w:rPr>
        <w:t>)</w:t>
      </w:r>
      <w:r w:rsidRPr="006A5920">
        <w:rPr>
          <w:sz w:val="28"/>
          <w:szCs w:val="28"/>
        </w:rPr>
        <w:t>.</w:t>
      </w:r>
    </w:p>
    <w:p w:rsidR="00286780" w:rsidRPr="006A5920" w:rsidRDefault="00286780" w:rsidP="006A5920">
      <w:pPr>
        <w:spacing w:line="360" w:lineRule="auto"/>
        <w:ind w:firstLine="709"/>
        <w:jc w:val="both"/>
        <w:rPr>
          <w:sz w:val="28"/>
          <w:szCs w:val="28"/>
        </w:rPr>
      </w:pPr>
      <w:r w:rsidRPr="006A5920">
        <w:rPr>
          <w:sz w:val="28"/>
          <w:szCs w:val="28"/>
        </w:rPr>
        <w:t>Выделяют несколько видов коморбидности: причинная, осложненная, ятроген</w:t>
      </w:r>
      <w:r>
        <w:rPr>
          <w:sz w:val="28"/>
          <w:szCs w:val="28"/>
        </w:rPr>
        <w:t xml:space="preserve">ная, неуточненная, «случайная» </w:t>
      </w:r>
      <w:r w:rsidRPr="00E320E5">
        <w:rPr>
          <w:sz w:val="28"/>
          <w:szCs w:val="28"/>
        </w:rPr>
        <w:t>(</w:t>
      </w:r>
      <w:r w:rsidRPr="006A5920">
        <w:rPr>
          <w:sz w:val="28"/>
          <w:szCs w:val="28"/>
          <w:lang w:val="en-US"/>
        </w:rPr>
        <w:t>Gijsen</w:t>
      </w:r>
      <w:r w:rsidRPr="004574F4">
        <w:rPr>
          <w:sz w:val="28"/>
          <w:szCs w:val="28"/>
        </w:rPr>
        <w:t xml:space="preserve"> </w:t>
      </w:r>
      <w:r w:rsidRPr="006A5920">
        <w:rPr>
          <w:sz w:val="28"/>
          <w:szCs w:val="28"/>
          <w:lang w:val="en-US"/>
        </w:rPr>
        <w:t>R</w:t>
      </w:r>
      <w:r w:rsidRPr="006A5920">
        <w:rPr>
          <w:sz w:val="28"/>
          <w:szCs w:val="28"/>
        </w:rPr>
        <w:t xml:space="preserve">. </w:t>
      </w:r>
      <w:r>
        <w:rPr>
          <w:sz w:val="28"/>
          <w:szCs w:val="28"/>
          <w:lang w:val="en-US"/>
        </w:rPr>
        <w:t>e</w:t>
      </w:r>
      <w:r w:rsidRPr="006A5920">
        <w:rPr>
          <w:sz w:val="28"/>
          <w:szCs w:val="28"/>
          <w:lang w:val="en-US"/>
        </w:rPr>
        <w:t>t</w:t>
      </w:r>
      <w:r w:rsidRPr="004574F4">
        <w:rPr>
          <w:sz w:val="28"/>
          <w:szCs w:val="28"/>
        </w:rPr>
        <w:t xml:space="preserve"> </w:t>
      </w:r>
      <w:r w:rsidRPr="006A5920">
        <w:rPr>
          <w:sz w:val="28"/>
          <w:szCs w:val="28"/>
          <w:lang w:val="en-US"/>
        </w:rPr>
        <w:t>al</w:t>
      </w:r>
      <w:r>
        <w:rPr>
          <w:sz w:val="28"/>
          <w:szCs w:val="28"/>
        </w:rPr>
        <w:t>., 2001</w:t>
      </w:r>
      <w:r w:rsidRPr="00E320E5">
        <w:rPr>
          <w:sz w:val="28"/>
          <w:szCs w:val="28"/>
        </w:rPr>
        <w:t>)</w:t>
      </w:r>
      <w:r w:rsidRPr="006A5920">
        <w:rPr>
          <w:sz w:val="28"/>
          <w:szCs w:val="28"/>
        </w:rPr>
        <w:t>.</w:t>
      </w:r>
    </w:p>
    <w:p w:rsidR="00286780" w:rsidRPr="006A5920" w:rsidRDefault="00286780" w:rsidP="006A5920">
      <w:pPr>
        <w:spacing w:line="360" w:lineRule="auto"/>
        <w:ind w:firstLine="709"/>
        <w:jc w:val="both"/>
        <w:rPr>
          <w:sz w:val="28"/>
          <w:szCs w:val="28"/>
        </w:rPr>
      </w:pPr>
      <w:r w:rsidRPr="006A5920">
        <w:rPr>
          <w:sz w:val="28"/>
          <w:szCs w:val="28"/>
        </w:rPr>
        <w:lastRenderedPageBreak/>
        <w:t>Понятие «коморбидность» охватывает широкий спектр заболеваний, являющихся как фоновыми, так и сопутствующими.</w:t>
      </w:r>
    </w:p>
    <w:p w:rsidR="00286780" w:rsidRPr="006A5920" w:rsidRDefault="00286780" w:rsidP="006A5920">
      <w:pPr>
        <w:spacing w:line="360" w:lineRule="auto"/>
        <w:ind w:firstLine="709"/>
        <w:jc w:val="both"/>
        <w:rPr>
          <w:sz w:val="28"/>
          <w:szCs w:val="28"/>
        </w:rPr>
      </w:pPr>
      <w:r w:rsidRPr="006A5920">
        <w:rPr>
          <w:sz w:val="28"/>
          <w:szCs w:val="28"/>
        </w:rPr>
        <w:t>В 2009 г</w:t>
      </w:r>
      <w:r>
        <w:rPr>
          <w:sz w:val="28"/>
          <w:szCs w:val="28"/>
        </w:rPr>
        <w:t>. профессор Ф.</w:t>
      </w:r>
      <w:r w:rsidRPr="006A5920">
        <w:rPr>
          <w:sz w:val="28"/>
          <w:szCs w:val="28"/>
        </w:rPr>
        <w:t>И. Белялов предложил 12 тезисов коморбидности:</w:t>
      </w:r>
    </w:p>
    <w:p w:rsidR="00286780" w:rsidRPr="00AA79AB" w:rsidRDefault="00286780" w:rsidP="006A5920">
      <w:pPr>
        <w:spacing w:line="360" w:lineRule="auto"/>
        <w:ind w:firstLine="709"/>
        <w:jc w:val="both"/>
        <w:rPr>
          <w:spacing w:val="-4"/>
          <w:sz w:val="28"/>
          <w:szCs w:val="28"/>
        </w:rPr>
      </w:pPr>
      <w:r w:rsidRPr="00AA79AB">
        <w:rPr>
          <w:spacing w:val="-4"/>
          <w:sz w:val="28"/>
          <w:szCs w:val="28"/>
        </w:rPr>
        <w:t>«1) коморбидные болезни встречаются часто, особенно у пожилых пациентов;</w:t>
      </w:r>
    </w:p>
    <w:p w:rsidR="00286780" w:rsidRPr="006A5920" w:rsidRDefault="00286780" w:rsidP="006A5920">
      <w:pPr>
        <w:spacing w:line="360" w:lineRule="auto"/>
        <w:ind w:firstLine="709"/>
        <w:jc w:val="both"/>
        <w:rPr>
          <w:sz w:val="28"/>
          <w:szCs w:val="28"/>
        </w:rPr>
      </w:pPr>
      <w:r>
        <w:rPr>
          <w:sz w:val="28"/>
          <w:szCs w:val="28"/>
        </w:rPr>
        <w:t xml:space="preserve">2) </w:t>
      </w:r>
      <w:r w:rsidRPr="006A5920">
        <w:rPr>
          <w:sz w:val="28"/>
          <w:szCs w:val="28"/>
        </w:rPr>
        <w:t>повышенная частота коморбидности не может объясняться только высокой распространенностью болезней;</w:t>
      </w:r>
    </w:p>
    <w:p w:rsidR="00286780" w:rsidRPr="006A5920" w:rsidRDefault="00286780" w:rsidP="006A5920">
      <w:pPr>
        <w:spacing w:line="360" w:lineRule="auto"/>
        <w:ind w:firstLine="709"/>
        <w:jc w:val="both"/>
        <w:rPr>
          <w:sz w:val="28"/>
          <w:szCs w:val="28"/>
        </w:rPr>
      </w:pPr>
      <w:r>
        <w:rPr>
          <w:sz w:val="28"/>
          <w:szCs w:val="28"/>
        </w:rPr>
        <w:t xml:space="preserve">3) </w:t>
      </w:r>
      <w:r w:rsidRPr="006A5920">
        <w:rPr>
          <w:sz w:val="28"/>
          <w:szCs w:val="28"/>
        </w:rPr>
        <w:t>у пациентов с коморбидными заболеваниями возрастает тяжесть состояния и ухудшается прогноз;</w:t>
      </w:r>
    </w:p>
    <w:p w:rsidR="00286780" w:rsidRPr="006A5920" w:rsidRDefault="00286780" w:rsidP="006A5920">
      <w:pPr>
        <w:spacing w:line="360" w:lineRule="auto"/>
        <w:ind w:firstLine="709"/>
        <w:jc w:val="both"/>
        <w:rPr>
          <w:sz w:val="28"/>
          <w:szCs w:val="28"/>
        </w:rPr>
      </w:pPr>
      <w:r>
        <w:rPr>
          <w:sz w:val="28"/>
          <w:szCs w:val="28"/>
        </w:rPr>
        <w:t xml:space="preserve">4) </w:t>
      </w:r>
      <w:r w:rsidRPr="006A5920">
        <w:rPr>
          <w:sz w:val="28"/>
          <w:szCs w:val="28"/>
        </w:rPr>
        <w:t>коморбидность необходимо учитывать при диагностике болезней;</w:t>
      </w:r>
    </w:p>
    <w:p w:rsidR="00286780" w:rsidRPr="006A5920" w:rsidRDefault="00286780" w:rsidP="006A5920">
      <w:pPr>
        <w:spacing w:line="360" w:lineRule="auto"/>
        <w:ind w:firstLine="709"/>
        <w:jc w:val="both"/>
        <w:rPr>
          <w:sz w:val="28"/>
          <w:szCs w:val="28"/>
        </w:rPr>
      </w:pPr>
      <w:r w:rsidRPr="006A5920">
        <w:rPr>
          <w:sz w:val="28"/>
          <w:szCs w:val="28"/>
        </w:rPr>
        <w:t>5) лечение заболевания требует учета коморбидности;</w:t>
      </w:r>
    </w:p>
    <w:p w:rsidR="00286780" w:rsidRPr="006A5920" w:rsidRDefault="00286780" w:rsidP="006A5920">
      <w:pPr>
        <w:spacing w:line="360" w:lineRule="auto"/>
        <w:ind w:firstLine="709"/>
        <w:jc w:val="both"/>
        <w:rPr>
          <w:sz w:val="28"/>
          <w:szCs w:val="28"/>
        </w:rPr>
      </w:pPr>
      <w:r w:rsidRPr="006A5920">
        <w:rPr>
          <w:sz w:val="28"/>
          <w:szCs w:val="28"/>
        </w:rPr>
        <w:t>6) лечение нескольких заболеваний требует учета взаимовлияния медикаментов;</w:t>
      </w:r>
    </w:p>
    <w:p w:rsidR="00286780" w:rsidRPr="006A5920" w:rsidRDefault="00286780" w:rsidP="006A5920">
      <w:pPr>
        <w:spacing w:line="360" w:lineRule="auto"/>
        <w:ind w:firstLine="709"/>
        <w:jc w:val="both"/>
        <w:rPr>
          <w:sz w:val="28"/>
          <w:szCs w:val="28"/>
        </w:rPr>
      </w:pPr>
      <w:r w:rsidRPr="006A5920">
        <w:rPr>
          <w:sz w:val="28"/>
          <w:szCs w:val="28"/>
        </w:rPr>
        <w:t>7) коморбидные заболевания требуют значительного увеличения медицинских ресурсов;</w:t>
      </w:r>
    </w:p>
    <w:p w:rsidR="00286780" w:rsidRPr="006A5920" w:rsidRDefault="00286780" w:rsidP="006A5920">
      <w:pPr>
        <w:spacing w:line="360" w:lineRule="auto"/>
        <w:ind w:firstLine="709"/>
        <w:jc w:val="both"/>
        <w:rPr>
          <w:sz w:val="28"/>
          <w:szCs w:val="28"/>
        </w:rPr>
      </w:pPr>
      <w:r w:rsidRPr="006A5920">
        <w:rPr>
          <w:sz w:val="28"/>
          <w:szCs w:val="28"/>
        </w:rPr>
        <w:t>8) повышение числа медикаментов увеличивает риск побочных эффектов;</w:t>
      </w:r>
    </w:p>
    <w:p w:rsidR="00286780" w:rsidRPr="006A5920" w:rsidRDefault="00286780" w:rsidP="006A5920">
      <w:pPr>
        <w:spacing w:line="360" w:lineRule="auto"/>
        <w:ind w:firstLine="709"/>
        <w:jc w:val="both"/>
        <w:rPr>
          <w:sz w:val="28"/>
          <w:szCs w:val="28"/>
        </w:rPr>
      </w:pPr>
      <w:r w:rsidRPr="006A5920">
        <w:rPr>
          <w:sz w:val="28"/>
          <w:szCs w:val="28"/>
        </w:rPr>
        <w:t>9) коморбидные болезни снижают приверженность пациентов к лечению;</w:t>
      </w:r>
    </w:p>
    <w:p w:rsidR="00286780" w:rsidRPr="006A5920" w:rsidRDefault="00286780" w:rsidP="006A5920">
      <w:pPr>
        <w:spacing w:line="360" w:lineRule="auto"/>
        <w:ind w:firstLine="709"/>
        <w:jc w:val="both"/>
        <w:rPr>
          <w:sz w:val="28"/>
          <w:szCs w:val="28"/>
        </w:rPr>
      </w:pPr>
      <w:r w:rsidRPr="006A5920">
        <w:rPr>
          <w:sz w:val="28"/>
          <w:szCs w:val="28"/>
        </w:rPr>
        <w:t>10) необходимо больше научных исследований диагностики и лечения сочетанных болезней;</w:t>
      </w:r>
    </w:p>
    <w:p w:rsidR="00286780" w:rsidRPr="00AA79AB" w:rsidRDefault="00286780" w:rsidP="006A5920">
      <w:pPr>
        <w:spacing w:line="360" w:lineRule="auto"/>
        <w:ind w:firstLine="709"/>
        <w:jc w:val="both"/>
        <w:rPr>
          <w:spacing w:val="-4"/>
          <w:sz w:val="28"/>
          <w:szCs w:val="28"/>
        </w:rPr>
      </w:pPr>
      <w:r w:rsidRPr="00AA79AB">
        <w:rPr>
          <w:spacing w:val="-4"/>
          <w:sz w:val="28"/>
          <w:szCs w:val="28"/>
        </w:rPr>
        <w:t>11) важно выработать оптимальную стратегию ведения сочетанных болезней;</w:t>
      </w:r>
    </w:p>
    <w:p w:rsidR="00286780" w:rsidRPr="006A5920" w:rsidRDefault="00286780" w:rsidP="006A5920">
      <w:pPr>
        <w:spacing w:line="360" w:lineRule="auto"/>
        <w:ind w:firstLine="709"/>
        <w:jc w:val="both"/>
        <w:rPr>
          <w:sz w:val="28"/>
          <w:szCs w:val="28"/>
        </w:rPr>
      </w:pPr>
      <w:r w:rsidRPr="006A5920">
        <w:rPr>
          <w:sz w:val="28"/>
          <w:szCs w:val="28"/>
        </w:rPr>
        <w:t>12) в рекомендации по диагностике и лечению заболеваний целесообразно включать разделы коморбидных забол</w:t>
      </w:r>
      <w:r>
        <w:rPr>
          <w:sz w:val="28"/>
          <w:szCs w:val="28"/>
        </w:rPr>
        <w:t xml:space="preserve">еваний и состояний» </w:t>
      </w:r>
      <w:r w:rsidRPr="00E320E5">
        <w:rPr>
          <w:sz w:val="28"/>
          <w:szCs w:val="28"/>
        </w:rPr>
        <w:t>(</w:t>
      </w:r>
      <w:r>
        <w:rPr>
          <w:sz w:val="28"/>
          <w:szCs w:val="28"/>
        </w:rPr>
        <w:t>Белялов Ф.И., 2009</w:t>
      </w:r>
      <w:r w:rsidRPr="00E320E5">
        <w:rPr>
          <w:sz w:val="28"/>
          <w:szCs w:val="28"/>
        </w:rPr>
        <w:t>)</w:t>
      </w:r>
      <w:r w:rsidRPr="006A5920">
        <w:rPr>
          <w:sz w:val="28"/>
          <w:szCs w:val="28"/>
        </w:rPr>
        <w:t>.</w:t>
      </w:r>
    </w:p>
    <w:p w:rsidR="00286780" w:rsidRPr="006A5920" w:rsidRDefault="00286780" w:rsidP="006A5920">
      <w:pPr>
        <w:spacing w:line="360" w:lineRule="auto"/>
        <w:ind w:firstLine="709"/>
        <w:jc w:val="both"/>
        <w:rPr>
          <w:sz w:val="28"/>
          <w:szCs w:val="28"/>
        </w:rPr>
      </w:pPr>
      <w:r w:rsidRPr="006A5920">
        <w:rPr>
          <w:sz w:val="28"/>
          <w:szCs w:val="28"/>
        </w:rPr>
        <w:t>Данная концепция в полной мере может быть применена к больным хирургического и стоматологического профиля. Установлено, что у 80% пациентов трудоспособного возраста, обращающихся за помощью к врачу-стоматологу, состояние здоровья отягощено распростра</w:t>
      </w:r>
      <w:r>
        <w:rPr>
          <w:sz w:val="28"/>
          <w:szCs w:val="28"/>
        </w:rPr>
        <w:t xml:space="preserve">ненной соматической патологией </w:t>
      </w:r>
      <w:r w:rsidRPr="00E320E5">
        <w:rPr>
          <w:sz w:val="28"/>
          <w:szCs w:val="28"/>
        </w:rPr>
        <w:t>(</w:t>
      </w:r>
      <w:r w:rsidRPr="006A5920">
        <w:rPr>
          <w:sz w:val="28"/>
          <w:szCs w:val="28"/>
        </w:rPr>
        <w:t>Леон</w:t>
      </w:r>
      <w:r>
        <w:rPr>
          <w:sz w:val="28"/>
          <w:szCs w:val="28"/>
        </w:rPr>
        <w:t>тьева Е.Ю. и др., 2017</w:t>
      </w:r>
      <w:r w:rsidRPr="00E320E5">
        <w:rPr>
          <w:sz w:val="28"/>
          <w:szCs w:val="28"/>
        </w:rPr>
        <w:t>)</w:t>
      </w:r>
      <w:r w:rsidRPr="006A5920">
        <w:rPr>
          <w:sz w:val="28"/>
          <w:szCs w:val="28"/>
        </w:rPr>
        <w:t xml:space="preserve">. Доказан взаимоотягощающий и взаимосвязанный характер общесоматических болезней, таких как </w:t>
      </w:r>
      <w:r>
        <w:rPr>
          <w:sz w:val="28"/>
          <w:szCs w:val="28"/>
        </w:rPr>
        <w:t>"</w:t>
      </w:r>
      <w:r w:rsidRPr="006A5920">
        <w:rPr>
          <w:sz w:val="28"/>
          <w:szCs w:val="28"/>
        </w:rPr>
        <w:t>хроническая почечная недостаточность, сахарный диабет, острый лейкоз, сердечно-сосудистая патология, и хронических стоматологических заболеваний</w:t>
      </w:r>
      <w:r>
        <w:rPr>
          <w:sz w:val="28"/>
          <w:szCs w:val="28"/>
        </w:rPr>
        <w:t>"</w:t>
      </w:r>
      <w:r w:rsidRPr="006A5920">
        <w:rPr>
          <w:sz w:val="28"/>
          <w:szCs w:val="28"/>
        </w:rPr>
        <w:t xml:space="preserve">, в том числе воспалительных </w:t>
      </w:r>
      <w:r w:rsidRPr="00E320E5">
        <w:rPr>
          <w:sz w:val="28"/>
          <w:szCs w:val="28"/>
        </w:rPr>
        <w:t>(</w:t>
      </w:r>
      <w:r w:rsidRPr="006A5920">
        <w:rPr>
          <w:sz w:val="28"/>
          <w:szCs w:val="28"/>
          <w:shd w:val="clear" w:color="auto" w:fill="FFFFFF"/>
        </w:rPr>
        <w:t>Давыдовский И.</w:t>
      </w:r>
      <w:r>
        <w:rPr>
          <w:sz w:val="28"/>
          <w:szCs w:val="28"/>
          <w:shd w:val="clear" w:color="auto" w:fill="FFFFFF"/>
        </w:rPr>
        <w:t>В., 1962; Данилова И.</w:t>
      </w:r>
      <w:r w:rsidRPr="006A5920">
        <w:rPr>
          <w:sz w:val="28"/>
          <w:szCs w:val="28"/>
          <w:shd w:val="clear" w:color="auto" w:fill="FFFFFF"/>
        </w:rPr>
        <w:t xml:space="preserve">Г., 2008; </w:t>
      </w:r>
      <w:r>
        <w:rPr>
          <w:sz w:val="28"/>
          <w:szCs w:val="28"/>
        </w:rPr>
        <w:t>Гажва С.И., Иголкина Н.А., 2013</w:t>
      </w:r>
      <w:r w:rsidRPr="00E320E5">
        <w:rPr>
          <w:sz w:val="28"/>
          <w:szCs w:val="28"/>
        </w:rPr>
        <w:t>)</w:t>
      </w:r>
      <w:r w:rsidRPr="006A5920">
        <w:rPr>
          <w:sz w:val="28"/>
          <w:szCs w:val="28"/>
        </w:rPr>
        <w:t>.</w:t>
      </w:r>
    </w:p>
    <w:p w:rsidR="00286780" w:rsidRPr="006A5920" w:rsidRDefault="00286780" w:rsidP="006A5920">
      <w:pPr>
        <w:spacing w:line="360" w:lineRule="auto"/>
        <w:ind w:firstLine="709"/>
        <w:jc w:val="both"/>
        <w:rPr>
          <w:sz w:val="28"/>
          <w:szCs w:val="28"/>
        </w:rPr>
      </w:pPr>
      <w:r w:rsidRPr="006A5920">
        <w:rPr>
          <w:sz w:val="28"/>
          <w:szCs w:val="28"/>
        </w:rPr>
        <w:lastRenderedPageBreak/>
        <w:t>В хирургической практике коморбидные заболевания внутренних органов способны существенно изменить течение послеоперационного периода и повли</w:t>
      </w:r>
      <w:r>
        <w:rPr>
          <w:sz w:val="28"/>
          <w:szCs w:val="28"/>
        </w:rPr>
        <w:t xml:space="preserve">ять на прогноз </w:t>
      </w:r>
      <w:r w:rsidRPr="00E320E5">
        <w:rPr>
          <w:sz w:val="28"/>
          <w:szCs w:val="28"/>
        </w:rPr>
        <w:t>(</w:t>
      </w:r>
      <w:r>
        <w:rPr>
          <w:sz w:val="28"/>
          <w:szCs w:val="28"/>
        </w:rPr>
        <w:t>Журавлев К.</w:t>
      </w:r>
      <w:r w:rsidRPr="006A5920">
        <w:rPr>
          <w:sz w:val="28"/>
          <w:szCs w:val="28"/>
        </w:rPr>
        <w:t>В., 2011; Штраубе Г</w:t>
      </w:r>
      <w:r>
        <w:rPr>
          <w:sz w:val="28"/>
          <w:szCs w:val="28"/>
        </w:rPr>
        <w:t>.И., 2017</w:t>
      </w:r>
      <w:r w:rsidRPr="00E320E5">
        <w:rPr>
          <w:sz w:val="28"/>
          <w:szCs w:val="28"/>
        </w:rPr>
        <w:t>)</w:t>
      </w:r>
      <w:r w:rsidRPr="006A5920">
        <w:rPr>
          <w:sz w:val="28"/>
          <w:szCs w:val="28"/>
        </w:rPr>
        <w:t xml:space="preserve">. </w:t>
      </w:r>
      <w:r>
        <w:rPr>
          <w:sz w:val="28"/>
          <w:szCs w:val="28"/>
        </w:rPr>
        <w:t>Также</w:t>
      </w:r>
      <w:r w:rsidRPr="006A5920">
        <w:rPr>
          <w:sz w:val="28"/>
          <w:szCs w:val="28"/>
        </w:rPr>
        <w:t xml:space="preserve"> лечение хирургических болезней должно проводиться с учетом коморбидного фона. Среди пациентов общехирургического профиля чаще встречаются заболевания сердечно-сосудистой системы (артериальная гипертония) – 35,2%; а </w:t>
      </w:r>
      <w:r>
        <w:rPr>
          <w:sz w:val="28"/>
          <w:szCs w:val="28"/>
        </w:rPr>
        <w:t>также</w:t>
      </w:r>
      <w:r w:rsidRPr="006A5920">
        <w:rPr>
          <w:sz w:val="28"/>
          <w:szCs w:val="28"/>
        </w:rPr>
        <w:t xml:space="preserve"> заболевания пищеварительной системы (гастриты, дуодениты, гастродуодениты и др.) – 38,6%. Реже диагностируется патология эндокринной (30,7%) и дыхательной (20,3%) систем. Среди заболеваний эндокринной системы наиболее часто выявляется с</w:t>
      </w:r>
      <w:r>
        <w:rPr>
          <w:sz w:val="28"/>
          <w:szCs w:val="28"/>
        </w:rPr>
        <w:t xml:space="preserve">ахарный диабет – у 15% больных </w:t>
      </w:r>
      <w:r w:rsidRPr="00E320E5">
        <w:rPr>
          <w:sz w:val="28"/>
          <w:szCs w:val="28"/>
        </w:rPr>
        <w:t>(</w:t>
      </w:r>
      <w:r w:rsidRPr="006A5920">
        <w:rPr>
          <w:sz w:val="28"/>
          <w:szCs w:val="28"/>
        </w:rPr>
        <w:t>Стяж</w:t>
      </w:r>
      <w:r>
        <w:rPr>
          <w:sz w:val="28"/>
          <w:szCs w:val="28"/>
        </w:rPr>
        <w:t>кина С.Н., 2017</w:t>
      </w:r>
      <w:r w:rsidRPr="00E320E5">
        <w:rPr>
          <w:sz w:val="28"/>
          <w:szCs w:val="28"/>
        </w:rPr>
        <w:t>)</w:t>
      </w:r>
      <w:r w:rsidRPr="006A5920">
        <w:rPr>
          <w:sz w:val="28"/>
          <w:szCs w:val="28"/>
        </w:rPr>
        <w:t>.</w:t>
      </w:r>
    </w:p>
    <w:p w:rsidR="00286780" w:rsidRPr="006A5920" w:rsidRDefault="00286780" w:rsidP="006A5920">
      <w:pPr>
        <w:spacing w:line="360" w:lineRule="auto"/>
        <w:ind w:firstLine="709"/>
        <w:jc w:val="both"/>
        <w:rPr>
          <w:sz w:val="28"/>
          <w:szCs w:val="28"/>
        </w:rPr>
      </w:pPr>
      <w:r w:rsidRPr="006A5920">
        <w:rPr>
          <w:sz w:val="28"/>
          <w:szCs w:val="28"/>
        </w:rPr>
        <w:t xml:space="preserve">В целом, распространенность коморбидного фона у общехирургических больных совпадает с аналогичными показателями пациентов с гнойными заболеваниями челюстно-лицевой области и шеи. </w:t>
      </w:r>
    </w:p>
    <w:p w:rsidR="00286780" w:rsidRPr="006A5920" w:rsidRDefault="00286780" w:rsidP="006A5920">
      <w:pPr>
        <w:spacing w:line="360" w:lineRule="auto"/>
        <w:ind w:firstLine="709"/>
        <w:jc w:val="both"/>
        <w:rPr>
          <w:sz w:val="28"/>
          <w:szCs w:val="28"/>
        </w:rPr>
      </w:pPr>
      <w:r w:rsidRPr="006A5920">
        <w:rPr>
          <w:sz w:val="28"/>
          <w:szCs w:val="28"/>
        </w:rPr>
        <w:t xml:space="preserve">Помимо термина «коморбидность», для обозначения полинозологического характера диагностированных у пациента заболеваний, </w:t>
      </w:r>
      <w:r>
        <w:rPr>
          <w:sz w:val="28"/>
          <w:szCs w:val="28"/>
        </w:rPr>
        <w:t>также</w:t>
      </w:r>
      <w:r w:rsidRPr="006A5920">
        <w:rPr>
          <w:sz w:val="28"/>
          <w:szCs w:val="28"/>
        </w:rPr>
        <w:t xml:space="preserve"> применяют термины «полиморбидность», «мультиморбидность», «полипатия»,</w:t>
      </w:r>
      <w:r>
        <w:rPr>
          <w:sz w:val="28"/>
          <w:szCs w:val="28"/>
        </w:rPr>
        <w:t xml:space="preserve"> «двойной диагноз» </w:t>
      </w:r>
      <w:r w:rsidRPr="00E320E5">
        <w:rPr>
          <w:sz w:val="28"/>
          <w:szCs w:val="28"/>
        </w:rPr>
        <w:t>(</w:t>
      </w:r>
      <w:r>
        <w:rPr>
          <w:sz w:val="28"/>
          <w:szCs w:val="28"/>
        </w:rPr>
        <w:t>Лазебник Л.Б., 2005</w:t>
      </w:r>
      <w:r w:rsidRPr="00E320E5">
        <w:rPr>
          <w:sz w:val="28"/>
          <w:szCs w:val="28"/>
        </w:rPr>
        <w:t>)</w:t>
      </w:r>
      <w:r w:rsidRPr="006A5920">
        <w:rPr>
          <w:sz w:val="28"/>
          <w:szCs w:val="28"/>
        </w:rPr>
        <w:t xml:space="preserve">. Данные термины не являются полными синонимами коморбидности. </w:t>
      </w:r>
    </w:p>
    <w:p w:rsidR="00286780" w:rsidRPr="006A5920" w:rsidRDefault="00286780" w:rsidP="006A5920">
      <w:pPr>
        <w:spacing w:line="360" w:lineRule="auto"/>
        <w:ind w:firstLine="709"/>
        <w:jc w:val="both"/>
        <w:rPr>
          <w:sz w:val="28"/>
          <w:szCs w:val="28"/>
        </w:rPr>
      </w:pPr>
      <w:r w:rsidRPr="006A5920">
        <w:rPr>
          <w:sz w:val="28"/>
          <w:szCs w:val="28"/>
        </w:rPr>
        <w:t>В частности, полиморбидность определяется как наличие некоторого количества различных заболеваний, которые могут быть не связаны между собой па</w:t>
      </w:r>
      <w:r>
        <w:rPr>
          <w:sz w:val="28"/>
          <w:szCs w:val="28"/>
        </w:rPr>
        <w:t xml:space="preserve">тогенетически </w:t>
      </w:r>
      <w:r w:rsidRPr="00E320E5">
        <w:rPr>
          <w:sz w:val="28"/>
          <w:szCs w:val="28"/>
        </w:rPr>
        <w:t>(</w:t>
      </w:r>
      <w:r>
        <w:rPr>
          <w:sz w:val="28"/>
          <w:szCs w:val="28"/>
        </w:rPr>
        <w:t>Митрофанов И.М. и др., 2013</w:t>
      </w:r>
      <w:r w:rsidRPr="00E320E5">
        <w:rPr>
          <w:sz w:val="28"/>
          <w:szCs w:val="28"/>
        </w:rPr>
        <w:t>)</w:t>
      </w:r>
      <w:r w:rsidRPr="006A5920">
        <w:rPr>
          <w:sz w:val="28"/>
          <w:szCs w:val="28"/>
        </w:rPr>
        <w:t>, в то время как коморбидность чаще всего подразумевает наличие единого патогенет</w:t>
      </w:r>
      <w:r>
        <w:rPr>
          <w:sz w:val="28"/>
          <w:szCs w:val="28"/>
        </w:rPr>
        <w:t xml:space="preserve">ического механизма </w:t>
      </w:r>
      <w:r w:rsidRPr="00E320E5">
        <w:rPr>
          <w:sz w:val="28"/>
          <w:szCs w:val="28"/>
        </w:rPr>
        <w:t>(</w:t>
      </w:r>
      <w:r>
        <w:rPr>
          <w:sz w:val="28"/>
          <w:szCs w:val="28"/>
        </w:rPr>
        <w:t>Лазебник Л.Б., 2007</w:t>
      </w:r>
      <w:r w:rsidRPr="00E320E5">
        <w:rPr>
          <w:sz w:val="28"/>
          <w:szCs w:val="28"/>
        </w:rPr>
        <w:t>)</w:t>
      </w:r>
      <w:r>
        <w:rPr>
          <w:sz w:val="28"/>
          <w:szCs w:val="28"/>
        </w:rPr>
        <w:t xml:space="preserve">, но не обязательно </w:t>
      </w:r>
      <w:r w:rsidRPr="00E320E5">
        <w:rPr>
          <w:sz w:val="28"/>
          <w:szCs w:val="28"/>
        </w:rPr>
        <w:t>(</w:t>
      </w:r>
      <w:r>
        <w:rPr>
          <w:sz w:val="28"/>
          <w:szCs w:val="28"/>
        </w:rPr>
        <w:t>Верткин А.Л., Скотников А.С., 2013; Верткин А.Л. и др., 2014</w:t>
      </w:r>
      <w:r w:rsidRPr="00E320E5">
        <w:rPr>
          <w:sz w:val="28"/>
          <w:szCs w:val="28"/>
        </w:rPr>
        <w:t>)</w:t>
      </w:r>
      <w:r w:rsidRPr="006A5920">
        <w:rPr>
          <w:sz w:val="28"/>
          <w:szCs w:val="28"/>
        </w:rPr>
        <w:t>.</w:t>
      </w:r>
    </w:p>
    <w:p w:rsidR="00286780" w:rsidRPr="006A5920" w:rsidRDefault="00286780" w:rsidP="006A5920">
      <w:pPr>
        <w:spacing w:line="360" w:lineRule="auto"/>
        <w:ind w:firstLine="709"/>
        <w:jc w:val="both"/>
        <w:rPr>
          <w:sz w:val="28"/>
          <w:szCs w:val="28"/>
        </w:rPr>
      </w:pPr>
      <w:r w:rsidRPr="006A5920">
        <w:rPr>
          <w:sz w:val="28"/>
          <w:szCs w:val="28"/>
        </w:rPr>
        <w:t>В свою очередь, по мнению ряда авторов, мультиморбидность – это наличие у одного индивидуума множества хронических и острых заболеваний одновременно, без каких-либо обобщающих патогенетич</w:t>
      </w:r>
      <w:r>
        <w:rPr>
          <w:sz w:val="28"/>
          <w:szCs w:val="28"/>
        </w:rPr>
        <w:t xml:space="preserve">еских характеристик </w:t>
      </w:r>
      <w:r w:rsidRPr="00E320E5">
        <w:rPr>
          <w:sz w:val="28"/>
          <w:szCs w:val="28"/>
        </w:rPr>
        <w:t>(</w:t>
      </w:r>
      <w:r>
        <w:rPr>
          <w:sz w:val="28"/>
          <w:szCs w:val="28"/>
        </w:rPr>
        <w:t>Верткин А.Л. и др., 2013</w:t>
      </w:r>
      <w:r w:rsidRPr="00E320E5">
        <w:rPr>
          <w:sz w:val="28"/>
          <w:szCs w:val="28"/>
        </w:rPr>
        <w:t>)</w:t>
      </w:r>
      <w:r w:rsidRPr="006A5920">
        <w:rPr>
          <w:sz w:val="28"/>
          <w:szCs w:val="28"/>
        </w:rPr>
        <w:t xml:space="preserve">. По мнению других авторов, понятие полиморбидности (наличия нескольких заболеваний у одного больного) является обобщающим определением, и включает понятия «мультиморбидность» и «коморбидность», отличающиеся </w:t>
      </w:r>
      <w:r w:rsidRPr="006A5920">
        <w:rPr>
          <w:sz w:val="28"/>
          <w:szCs w:val="28"/>
        </w:rPr>
        <w:lastRenderedPageBreak/>
        <w:t>отсутствием или наличием единых патогене</w:t>
      </w:r>
      <w:r>
        <w:rPr>
          <w:sz w:val="28"/>
          <w:szCs w:val="28"/>
        </w:rPr>
        <w:t xml:space="preserve">тических механизмов </w:t>
      </w:r>
      <w:r w:rsidRPr="00E320E5">
        <w:rPr>
          <w:sz w:val="28"/>
          <w:szCs w:val="28"/>
        </w:rPr>
        <w:t>(</w:t>
      </w:r>
      <w:r>
        <w:rPr>
          <w:sz w:val="28"/>
          <w:szCs w:val="28"/>
        </w:rPr>
        <w:t>Воронин С.В. и др., 2018</w:t>
      </w:r>
      <w:r w:rsidRPr="00E320E5">
        <w:rPr>
          <w:sz w:val="28"/>
          <w:szCs w:val="28"/>
        </w:rPr>
        <w:t>)</w:t>
      </w:r>
      <w:r w:rsidRPr="006A5920">
        <w:rPr>
          <w:sz w:val="28"/>
          <w:szCs w:val="28"/>
        </w:rPr>
        <w:t>.</w:t>
      </w:r>
    </w:p>
    <w:p w:rsidR="00286780" w:rsidRPr="006A5920" w:rsidRDefault="00286780" w:rsidP="006A5920">
      <w:pPr>
        <w:spacing w:line="360" w:lineRule="auto"/>
        <w:ind w:firstLine="709"/>
        <w:jc w:val="both"/>
        <w:rPr>
          <w:sz w:val="28"/>
          <w:szCs w:val="28"/>
        </w:rPr>
      </w:pPr>
      <w:r w:rsidRPr="006A5920">
        <w:rPr>
          <w:sz w:val="28"/>
          <w:szCs w:val="28"/>
        </w:rPr>
        <w:t xml:space="preserve">Значительное количество терминов, обозначающих множественные соматические заболевания у одного пациента, может являться причиной разногласий и неоднозначной трактовки понятий «коморбидность/полиморбидность/мульти-морбидность». </w:t>
      </w:r>
      <w:r>
        <w:rPr>
          <w:sz w:val="28"/>
          <w:szCs w:val="28"/>
        </w:rPr>
        <w:t xml:space="preserve">По </w:t>
      </w:r>
      <w:r w:rsidRPr="006A5920">
        <w:rPr>
          <w:sz w:val="28"/>
          <w:szCs w:val="28"/>
        </w:rPr>
        <w:t>нашему мнению, в практической деятельности челюстно-лицевого хирурга наиболее приемлем термин «полиморбидность», так как он включает определение множественных нозологических форм, связанных или не связанных патогенетически (см. выше).</w:t>
      </w:r>
    </w:p>
    <w:p w:rsidR="00286780" w:rsidRPr="006A5920" w:rsidRDefault="00286780" w:rsidP="006A5920">
      <w:pPr>
        <w:spacing w:line="360" w:lineRule="auto"/>
        <w:ind w:firstLine="709"/>
        <w:jc w:val="both"/>
        <w:rPr>
          <w:sz w:val="28"/>
          <w:szCs w:val="28"/>
        </w:rPr>
      </w:pPr>
      <w:r w:rsidRPr="006A5920">
        <w:rPr>
          <w:sz w:val="28"/>
          <w:szCs w:val="28"/>
        </w:rPr>
        <w:t xml:space="preserve">В настоящее время существует большое количество систем оценки коморбидности и полиморбидности – </w:t>
      </w:r>
      <w:r w:rsidRPr="006A5920">
        <w:rPr>
          <w:sz w:val="28"/>
          <w:szCs w:val="28"/>
          <w:lang w:val="en-US"/>
        </w:rPr>
        <w:t>CIRS</w:t>
      </w:r>
      <w:r w:rsidRPr="006A5920">
        <w:rPr>
          <w:sz w:val="28"/>
          <w:szCs w:val="28"/>
        </w:rPr>
        <w:t xml:space="preserve">, индекс </w:t>
      </w:r>
      <w:r w:rsidRPr="006A5920">
        <w:rPr>
          <w:sz w:val="28"/>
          <w:szCs w:val="28"/>
          <w:lang w:val="en-US"/>
        </w:rPr>
        <w:t>Kaplan</w:t>
      </w:r>
      <w:r>
        <w:rPr>
          <w:sz w:val="28"/>
          <w:szCs w:val="28"/>
        </w:rPr>
        <w:t xml:space="preserve"> – </w:t>
      </w:r>
      <w:r w:rsidRPr="006A5920">
        <w:rPr>
          <w:sz w:val="28"/>
          <w:szCs w:val="28"/>
          <w:lang w:val="en-US"/>
        </w:rPr>
        <w:t>Feinstein</w:t>
      </w:r>
      <w:r w:rsidRPr="006A5920">
        <w:rPr>
          <w:sz w:val="28"/>
          <w:szCs w:val="28"/>
        </w:rPr>
        <w:t xml:space="preserve"> (для анализа коморбидности у больных с сахарным диабетом злокачественными новообразованиями), </w:t>
      </w:r>
      <w:r w:rsidRPr="006A5920">
        <w:rPr>
          <w:sz w:val="28"/>
          <w:szCs w:val="28"/>
          <w:lang w:val="en-US"/>
        </w:rPr>
        <w:t>CIRS</w:t>
      </w:r>
      <w:r w:rsidRPr="006A5920">
        <w:rPr>
          <w:sz w:val="28"/>
          <w:szCs w:val="28"/>
        </w:rPr>
        <w:t>-</w:t>
      </w:r>
      <w:r w:rsidRPr="006A5920">
        <w:rPr>
          <w:sz w:val="28"/>
          <w:szCs w:val="28"/>
          <w:lang w:val="en-US"/>
        </w:rPr>
        <w:t>G</w:t>
      </w:r>
      <w:r w:rsidRPr="006A5920">
        <w:rPr>
          <w:sz w:val="28"/>
          <w:szCs w:val="28"/>
        </w:rPr>
        <w:t xml:space="preserve"> для пожилых больных, индексы </w:t>
      </w:r>
      <w:r w:rsidRPr="006A5920">
        <w:rPr>
          <w:sz w:val="28"/>
          <w:szCs w:val="28"/>
          <w:lang w:val="en-US"/>
        </w:rPr>
        <w:t>Charlson</w:t>
      </w:r>
      <w:r w:rsidRPr="006A5920">
        <w:rPr>
          <w:sz w:val="28"/>
          <w:szCs w:val="28"/>
        </w:rPr>
        <w:t xml:space="preserve">, </w:t>
      </w:r>
      <w:r w:rsidRPr="006A5920">
        <w:rPr>
          <w:sz w:val="28"/>
          <w:szCs w:val="28"/>
          <w:lang w:val="en-US"/>
        </w:rPr>
        <w:t>ICED</w:t>
      </w:r>
      <w:r w:rsidRPr="006A5920">
        <w:rPr>
          <w:sz w:val="28"/>
          <w:szCs w:val="28"/>
        </w:rPr>
        <w:t xml:space="preserve"> и множество других </w:t>
      </w:r>
      <w:r w:rsidRPr="00E320E5">
        <w:rPr>
          <w:sz w:val="28"/>
          <w:szCs w:val="28"/>
        </w:rPr>
        <w:t>(</w:t>
      </w:r>
      <w:r>
        <w:rPr>
          <w:sz w:val="28"/>
          <w:szCs w:val="28"/>
        </w:rPr>
        <w:t>Нургазизова А.</w:t>
      </w:r>
      <w:r w:rsidRPr="006A5920">
        <w:rPr>
          <w:sz w:val="28"/>
          <w:szCs w:val="28"/>
        </w:rPr>
        <w:t xml:space="preserve">К., 2014; </w:t>
      </w:r>
      <w:r w:rsidRPr="006A5920">
        <w:rPr>
          <w:sz w:val="28"/>
          <w:szCs w:val="28"/>
          <w:lang w:val="en-US"/>
        </w:rPr>
        <w:t>Hudon</w:t>
      </w:r>
      <w:r w:rsidRPr="004574F4">
        <w:rPr>
          <w:sz w:val="28"/>
          <w:szCs w:val="28"/>
        </w:rPr>
        <w:t xml:space="preserve"> </w:t>
      </w:r>
      <w:r w:rsidRPr="006A5920">
        <w:rPr>
          <w:sz w:val="28"/>
          <w:szCs w:val="28"/>
          <w:lang w:val="en-US"/>
        </w:rPr>
        <w:t>C</w:t>
      </w:r>
      <w:r w:rsidRPr="006A5920">
        <w:rPr>
          <w:sz w:val="28"/>
          <w:szCs w:val="28"/>
        </w:rPr>
        <w:t xml:space="preserve">. </w:t>
      </w:r>
      <w:r>
        <w:rPr>
          <w:sz w:val="28"/>
          <w:szCs w:val="28"/>
          <w:lang w:val="en-US"/>
        </w:rPr>
        <w:t>e</w:t>
      </w:r>
      <w:r w:rsidRPr="006A5920">
        <w:rPr>
          <w:sz w:val="28"/>
          <w:szCs w:val="28"/>
          <w:lang w:val="en-US"/>
        </w:rPr>
        <w:t>t</w:t>
      </w:r>
      <w:r w:rsidRPr="004574F4">
        <w:rPr>
          <w:sz w:val="28"/>
          <w:szCs w:val="28"/>
        </w:rPr>
        <w:t xml:space="preserve"> </w:t>
      </w:r>
      <w:r w:rsidRPr="006A5920">
        <w:rPr>
          <w:sz w:val="28"/>
          <w:szCs w:val="28"/>
          <w:lang w:val="en-US"/>
        </w:rPr>
        <w:t>al</w:t>
      </w:r>
      <w:r>
        <w:rPr>
          <w:sz w:val="28"/>
          <w:szCs w:val="28"/>
        </w:rPr>
        <w:t>., 2005</w:t>
      </w:r>
      <w:r w:rsidRPr="00E320E5">
        <w:rPr>
          <w:sz w:val="28"/>
          <w:szCs w:val="28"/>
        </w:rPr>
        <w:t>)</w:t>
      </w:r>
      <w:r w:rsidRPr="006A5920">
        <w:rPr>
          <w:sz w:val="28"/>
          <w:szCs w:val="28"/>
        </w:rPr>
        <w:t>. В основном, данные дифференциально-диагностические системы применяются для количественной оценки коморбидности (в баллах), оценки степени тяжести коморбидности/полиморбид</w:t>
      </w:r>
      <w:r>
        <w:rPr>
          <w:sz w:val="28"/>
          <w:szCs w:val="28"/>
        </w:rPr>
        <w:t>-</w:t>
      </w:r>
      <w:r w:rsidRPr="006A5920">
        <w:rPr>
          <w:sz w:val="28"/>
          <w:szCs w:val="28"/>
        </w:rPr>
        <w:t xml:space="preserve">ности, а в некоторых случаях – для определения прогноза летальности (например, десятилетний прогноз летальности по индексу </w:t>
      </w:r>
      <w:r w:rsidRPr="006A5920">
        <w:rPr>
          <w:sz w:val="28"/>
          <w:szCs w:val="28"/>
          <w:lang w:val="en-US"/>
        </w:rPr>
        <w:t>Charlson</w:t>
      </w:r>
      <w:r w:rsidRPr="006A5920">
        <w:rPr>
          <w:sz w:val="28"/>
          <w:szCs w:val="28"/>
        </w:rPr>
        <w:t>). В РФ одним из наиболее часто применяющихся индексов оценки пол</w:t>
      </w:r>
      <w:r>
        <w:rPr>
          <w:sz w:val="28"/>
          <w:szCs w:val="28"/>
        </w:rPr>
        <w:t>иморбидности является индекс Л.</w:t>
      </w:r>
      <w:r w:rsidRPr="006A5920">
        <w:rPr>
          <w:sz w:val="28"/>
          <w:szCs w:val="28"/>
        </w:rPr>
        <w:t>Б. Лазебника (2000), вычисляемый как отношение общего количества болезней в исследуемой группе больных к числе</w:t>
      </w:r>
      <w:r>
        <w:rPr>
          <w:sz w:val="28"/>
          <w:szCs w:val="28"/>
        </w:rPr>
        <w:t>нности данной группы. Индекс Л.</w:t>
      </w:r>
      <w:r w:rsidRPr="006A5920">
        <w:rPr>
          <w:sz w:val="28"/>
          <w:szCs w:val="28"/>
        </w:rPr>
        <w:t xml:space="preserve">Б. Лазебника не дает представления о прогнозе летального исхода для пациента с хронической полиморбидной патологией, но позволяет выполнить количественную оценку полиморбидности в исследуемой когорте больных. </w:t>
      </w:r>
    </w:p>
    <w:p w:rsidR="00286780" w:rsidRPr="006A5920" w:rsidRDefault="00286780" w:rsidP="006A5920">
      <w:pPr>
        <w:spacing w:line="360" w:lineRule="auto"/>
        <w:ind w:firstLine="709"/>
        <w:jc w:val="both"/>
        <w:rPr>
          <w:sz w:val="28"/>
          <w:szCs w:val="28"/>
        </w:rPr>
      </w:pPr>
      <w:r w:rsidRPr="006A5920">
        <w:rPr>
          <w:sz w:val="28"/>
          <w:szCs w:val="28"/>
        </w:rPr>
        <w:t>Существующие индексы оценки коморбидности/полиморбидности, концентрируя внимание на различных формах хронической терапевтической патологии, не учитывают наличие острых воспалительных процессов, в том числе генерализованных, которые могут оказать самостоятельное влияние на прогноз для жизни и восстановления трудоспособности.</w:t>
      </w:r>
    </w:p>
    <w:p w:rsidR="00286780" w:rsidRPr="006A5920" w:rsidRDefault="00286780" w:rsidP="006A5920">
      <w:pPr>
        <w:spacing w:line="360" w:lineRule="auto"/>
        <w:ind w:firstLine="709"/>
        <w:jc w:val="both"/>
        <w:rPr>
          <w:sz w:val="28"/>
          <w:szCs w:val="28"/>
        </w:rPr>
      </w:pPr>
      <w:r w:rsidRPr="006A5920">
        <w:rPr>
          <w:sz w:val="28"/>
          <w:szCs w:val="28"/>
        </w:rPr>
        <w:lastRenderedPageBreak/>
        <w:t>Рассмотрим принципы классификации полиморбидности. Возможно распределение по генетической предрасположенности (генетически детерминированная и мультифакториальная), по типу возникновения (врожденная и приобретенная), по профилю заболеваний (хирургическая, терапевтическая, смешанная), по времени возникновения (неонатальная, постнатальная), по степени обремененности (легкая, средняя, тяжелая), по локализации (моноорганная, полиорганная, моносистемная, полисистемная), причем полиорганная полиморбидность может быть как моносистемной</w:t>
      </w:r>
      <w:r>
        <w:rPr>
          <w:sz w:val="28"/>
          <w:szCs w:val="28"/>
        </w:rPr>
        <w:t>,</w:t>
      </w:r>
      <w:r w:rsidRPr="006A5920">
        <w:rPr>
          <w:sz w:val="28"/>
          <w:szCs w:val="28"/>
        </w:rPr>
        <w:t xml:space="preserve"> т</w:t>
      </w:r>
      <w:r>
        <w:rPr>
          <w:sz w:val="28"/>
          <w:szCs w:val="28"/>
        </w:rPr>
        <w:t xml:space="preserve">ак и полисистемной </w:t>
      </w:r>
      <w:r w:rsidRPr="00E320E5">
        <w:rPr>
          <w:sz w:val="28"/>
          <w:szCs w:val="28"/>
        </w:rPr>
        <w:t>(</w:t>
      </w:r>
      <w:r>
        <w:rPr>
          <w:sz w:val="28"/>
          <w:szCs w:val="28"/>
        </w:rPr>
        <w:t>Лазебник Л.Б. и др., 2014</w:t>
      </w:r>
      <w:r w:rsidRPr="00E320E5">
        <w:rPr>
          <w:sz w:val="28"/>
          <w:szCs w:val="28"/>
        </w:rPr>
        <w:t>)</w:t>
      </w:r>
      <w:r w:rsidRPr="006A5920">
        <w:rPr>
          <w:sz w:val="28"/>
          <w:szCs w:val="28"/>
        </w:rPr>
        <w:t>.</w:t>
      </w:r>
    </w:p>
    <w:p w:rsidR="00286780" w:rsidRPr="006A5920" w:rsidRDefault="00286780" w:rsidP="006A5920">
      <w:pPr>
        <w:spacing w:line="360" w:lineRule="auto"/>
        <w:ind w:firstLine="709"/>
        <w:jc w:val="both"/>
        <w:rPr>
          <w:sz w:val="28"/>
          <w:szCs w:val="28"/>
        </w:rPr>
      </w:pPr>
      <w:r w:rsidRPr="006A5920">
        <w:rPr>
          <w:sz w:val="28"/>
          <w:szCs w:val="28"/>
        </w:rPr>
        <w:t>Таким образом, в рамках данной диссертационной работы возможно исследование полиорганной (полиморбидной) фоновой патологии (поли- и моносистемной) у пациентов с одонтогенными воспалительными заболеваниями челюстно-лицевой области, что содержит элементы научной новизны и представляет практическую значимость.</w:t>
      </w:r>
    </w:p>
    <w:p w:rsidR="00286780" w:rsidRPr="00AA79AB" w:rsidRDefault="00286780" w:rsidP="006A5920">
      <w:pPr>
        <w:spacing w:line="360" w:lineRule="auto"/>
        <w:ind w:firstLine="709"/>
        <w:jc w:val="both"/>
        <w:rPr>
          <w:spacing w:val="-4"/>
          <w:sz w:val="28"/>
          <w:szCs w:val="28"/>
        </w:rPr>
      </w:pPr>
      <w:r w:rsidRPr="00AA79AB">
        <w:rPr>
          <w:spacing w:val="-4"/>
          <w:sz w:val="28"/>
          <w:szCs w:val="28"/>
        </w:rPr>
        <w:t>Рассмотрим определение понятия «фоновая» патология и связанные термины.</w:t>
      </w:r>
    </w:p>
    <w:p w:rsidR="00286780" w:rsidRPr="006A5920" w:rsidRDefault="00286780" w:rsidP="006A5920">
      <w:pPr>
        <w:spacing w:line="360" w:lineRule="auto"/>
        <w:ind w:firstLine="709"/>
        <w:jc w:val="both"/>
        <w:rPr>
          <w:sz w:val="28"/>
          <w:szCs w:val="28"/>
        </w:rPr>
      </w:pPr>
      <w:r w:rsidRPr="006A5920">
        <w:rPr>
          <w:sz w:val="28"/>
          <w:szCs w:val="28"/>
        </w:rPr>
        <w:t xml:space="preserve">Существующие правила формулировки диагноза включают выделение основного заболевания, которое может быть </w:t>
      </w:r>
      <w:r>
        <w:rPr>
          <w:sz w:val="28"/>
          <w:szCs w:val="28"/>
        </w:rPr>
        <w:t>"</w:t>
      </w:r>
      <w:r w:rsidRPr="006A5920">
        <w:rPr>
          <w:sz w:val="28"/>
          <w:szCs w:val="28"/>
        </w:rPr>
        <w:t>представлено моноказуальным основным заболеванием, комбинированным основным заболеванием (конкурирующими или сочетанными заболеваниями, основным и фоновым заболеванием), мультиказуальным основным заболеванием</w:t>
      </w:r>
      <w:r>
        <w:rPr>
          <w:sz w:val="28"/>
          <w:szCs w:val="28"/>
        </w:rPr>
        <w:t>"</w:t>
      </w:r>
      <w:r w:rsidRPr="006A5920">
        <w:rPr>
          <w:sz w:val="28"/>
          <w:szCs w:val="28"/>
        </w:rPr>
        <w:t xml:space="preserve">, их осложнениями, а </w:t>
      </w:r>
      <w:r>
        <w:rPr>
          <w:sz w:val="28"/>
          <w:szCs w:val="28"/>
        </w:rPr>
        <w:t>также</w:t>
      </w:r>
      <w:r w:rsidRPr="006A5920">
        <w:rPr>
          <w:sz w:val="28"/>
          <w:szCs w:val="28"/>
        </w:rPr>
        <w:t xml:space="preserve"> сопутствующи</w:t>
      </w:r>
      <w:r>
        <w:rPr>
          <w:sz w:val="28"/>
          <w:szCs w:val="28"/>
        </w:rPr>
        <w:t xml:space="preserve">ми заболеваниями </w:t>
      </w:r>
      <w:r w:rsidRPr="00E320E5">
        <w:rPr>
          <w:sz w:val="28"/>
          <w:szCs w:val="28"/>
        </w:rPr>
        <w:t>(</w:t>
      </w:r>
      <w:r>
        <w:rPr>
          <w:sz w:val="28"/>
          <w:szCs w:val="28"/>
        </w:rPr>
        <w:t>Зайратьянц О.В., Кактурский Л.В., 2011; Пальцев М.А. и др., 2011</w:t>
      </w:r>
      <w:r w:rsidRPr="00E320E5">
        <w:rPr>
          <w:sz w:val="28"/>
          <w:szCs w:val="28"/>
        </w:rPr>
        <w:t>)</w:t>
      </w:r>
      <w:r w:rsidRPr="006A5920">
        <w:rPr>
          <w:sz w:val="28"/>
          <w:szCs w:val="28"/>
        </w:rPr>
        <w:t>.</w:t>
      </w:r>
    </w:p>
    <w:p w:rsidR="00286780" w:rsidRPr="006A5920" w:rsidRDefault="00286780" w:rsidP="006A5920">
      <w:pPr>
        <w:spacing w:line="360" w:lineRule="auto"/>
        <w:ind w:firstLine="709"/>
        <w:jc w:val="both"/>
        <w:rPr>
          <w:sz w:val="28"/>
          <w:szCs w:val="28"/>
        </w:rPr>
      </w:pPr>
      <w:r w:rsidRPr="006A5920">
        <w:rPr>
          <w:sz w:val="28"/>
          <w:szCs w:val="28"/>
        </w:rPr>
        <w:t xml:space="preserve">Согласно определению, к </w:t>
      </w:r>
      <w:r w:rsidRPr="006A5920">
        <w:rPr>
          <w:i/>
          <w:sz w:val="28"/>
          <w:szCs w:val="28"/>
        </w:rPr>
        <w:t>фоновой</w:t>
      </w:r>
      <w:r w:rsidRPr="006A5920">
        <w:rPr>
          <w:sz w:val="28"/>
          <w:szCs w:val="28"/>
        </w:rPr>
        <w:t xml:space="preserve"> патологии (ФП) относится такая </w:t>
      </w:r>
      <w:r w:rsidRPr="006A5920">
        <w:rPr>
          <w:i/>
          <w:sz w:val="28"/>
          <w:szCs w:val="28"/>
        </w:rPr>
        <w:t xml:space="preserve">хроническая </w:t>
      </w:r>
      <w:r w:rsidRPr="006A5920">
        <w:rPr>
          <w:sz w:val="28"/>
          <w:szCs w:val="28"/>
        </w:rPr>
        <w:t xml:space="preserve">патология (ХП), которая, не являясь связанной с </w:t>
      </w:r>
      <w:r w:rsidRPr="006A5920">
        <w:rPr>
          <w:i/>
          <w:sz w:val="28"/>
          <w:szCs w:val="28"/>
        </w:rPr>
        <w:t>основным</w:t>
      </w:r>
      <w:r w:rsidRPr="006A5920">
        <w:rPr>
          <w:sz w:val="28"/>
          <w:szCs w:val="28"/>
        </w:rPr>
        <w:t xml:space="preserve"> патологическим процессом (заболеванием) этиологически, оказывает существенное влияние на течение и исход основ</w:t>
      </w:r>
      <w:r>
        <w:rPr>
          <w:sz w:val="28"/>
          <w:szCs w:val="28"/>
        </w:rPr>
        <w:t xml:space="preserve">ного заболевания </w:t>
      </w:r>
      <w:r w:rsidRPr="00E320E5">
        <w:rPr>
          <w:sz w:val="28"/>
          <w:szCs w:val="28"/>
        </w:rPr>
        <w:t>(</w:t>
      </w:r>
      <w:r>
        <w:rPr>
          <w:sz w:val="28"/>
          <w:szCs w:val="28"/>
        </w:rPr>
        <w:t>Зайратьянц О.В., Кактурский Л.В., 2011; Верткин А.Л., Заратьянц О.В., 2017</w:t>
      </w:r>
      <w:r w:rsidRPr="00E320E5">
        <w:rPr>
          <w:sz w:val="28"/>
          <w:szCs w:val="28"/>
        </w:rPr>
        <w:t>)</w:t>
      </w:r>
      <w:r w:rsidRPr="006A5920">
        <w:rPr>
          <w:sz w:val="28"/>
          <w:szCs w:val="28"/>
        </w:rPr>
        <w:t xml:space="preserve">. </w:t>
      </w:r>
    </w:p>
    <w:p w:rsidR="00286780" w:rsidRPr="006A5920" w:rsidRDefault="00286780" w:rsidP="006A5920">
      <w:pPr>
        <w:spacing w:line="360" w:lineRule="auto"/>
        <w:ind w:firstLine="709"/>
        <w:jc w:val="both"/>
        <w:rPr>
          <w:sz w:val="28"/>
          <w:szCs w:val="28"/>
        </w:rPr>
      </w:pPr>
      <w:r w:rsidRPr="006A5920">
        <w:rPr>
          <w:sz w:val="28"/>
          <w:szCs w:val="28"/>
        </w:rPr>
        <w:t>В свою очередь, «</w:t>
      </w:r>
      <w:r w:rsidRPr="006A5920">
        <w:rPr>
          <w:i/>
          <w:sz w:val="28"/>
          <w:szCs w:val="28"/>
        </w:rPr>
        <w:t>основное</w:t>
      </w:r>
      <w:r w:rsidRPr="006A5920">
        <w:rPr>
          <w:sz w:val="28"/>
          <w:szCs w:val="28"/>
        </w:rPr>
        <w:t xml:space="preserve"> заболевание – это заболевание, которое само по себе или в связи с осложнениями вызывает первоочередную необходимость оказания медицинской помощи в связи с наибольшей угрозой работоспособности, жизни и здоровью, либо приводит к инвалидизации, либо становится причиной </w:t>
      </w:r>
      <w:r>
        <w:rPr>
          <w:sz w:val="28"/>
          <w:szCs w:val="28"/>
        </w:rPr>
        <w:lastRenderedPageBreak/>
        <w:t xml:space="preserve">смерти» </w:t>
      </w:r>
      <w:r w:rsidRPr="00E320E5">
        <w:rPr>
          <w:sz w:val="28"/>
          <w:szCs w:val="28"/>
        </w:rPr>
        <w:t>(</w:t>
      </w:r>
      <w:r>
        <w:rPr>
          <w:sz w:val="28"/>
          <w:szCs w:val="28"/>
        </w:rPr>
        <w:t>Заратьянц О.В. и др., 2019</w:t>
      </w:r>
      <w:r w:rsidRPr="00E320E5">
        <w:rPr>
          <w:sz w:val="28"/>
          <w:szCs w:val="28"/>
        </w:rPr>
        <w:t>)</w:t>
      </w:r>
      <w:r w:rsidRPr="006A5920">
        <w:rPr>
          <w:sz w:val="28"/>
          <w:szCs w:val="28"/>
        </w:rPr>
        <w:t>. Это – «одна или несколько нозологических единиц (заболеваний или травм, реже синдром) по поводу которых проводилось лечение или обследование во время последнего эпизода обращения за медицин</w:t>
      </w:r>
      <w:r>
        <w:rPr>
          <w:sz w:val="28"/>
          <w:szCs w:val="28"/>
        </w:rPr>
        <w:t xml:space="preserve">ской помощью…» </w:t>
      </w:r>
      <w:r w:rsidRPr="00C82F8D">
        <w:rPr>
          <w:sz w:val="28"/>
          <w:szCs w:val="28"/>
        </w:rPr>
        <w:t>(</w:t>
      </w:r>
      <w:r>
        <w:rPr>
          <w:sz w:val="28"/>
          <w:szCs w:val="28"/>
        </w:rPr>
        <w:t>Зайратьянц О.В., Кактурский Л.В., 2003, 2011</w:t>
      </w:r>
      <w:r w:rsidRPr="00C82F8D">
        <w:rPr>
          <w:sz w:val="28"/>
          <w:szCs w:val="28"/>
        </w:rPr>
        <w:t>)</w:t>
      </w:r>
      <w:r w:rsidRPr="006A5920">
        <w:rPr>
          <w:sz w:val="28"/>
          <w:szCs w:val="28"/>
        </w:rPr>
        <w:t xml:space="preserve">. </w:t>
      </w:r>
    </w:p>
    <w:p w:rsidR="00286780" w:rsidRPr="006A5920" w:rsidRDefault="00286780" w:rsidP="006A5920">
      <w:pPr>
        <w:spacing w:line="360" w:lineRule="auto"/>
        <w:ind w:firstLine="709"/>
        <w:jc w:val="both"/>
        <w:rPr>
          <w:sz w:val="28"/>
          <w:szCs w:val="28"/>
        </w:rPr>
      </w:pPr>
      <w:r w:rsidRPr="006A5920">
        <w:rPr>
          <w:sz w:val="28"/>
          <w:szCs w:val="28"/>
        </w:rPr>
        <w:t xml:space="preserve">В настоящем исследовании </w:t>
      </w:r>
      <w:r w:rsidRPr="006A5920">
        <w:rPr>
          <w:i/>
          <w:sz w:val="28"/>
          <w:szCs w:val="28"/>
        </w:rPr>
        <w:t>основным</w:t>
      </w:r>
      <w:r w:rsidRPr="006A5920">
        <w:rPr>
          <w:sz w:val="28"/>
          <w:szCs w:val="28"/>
        </w:rPr>
        <w:t xml:space="preserve"> патологическим процессом (заболеванием) при поступлении пациента в хирургический стационар является МФОИ и ОС, по поводу которых осуществлена госпитализация пациента в настоящее время. Эти заболевания требуют неотложного хирургического лечения и сопровождаются ухудшением общего состояния больного, а отказ от своевременного оказания медицинской помощи при наличии гнойно-воспалительного процесса челюстно-лицевой области может являться причиной развития жизнеугрожающих осложнений и летального исхода.</w:t>
      </w:r>
    </w:p>
    <w:p w:rsidR="00286780" w:rsidRPr="006A5920" w:rsidRDefault="00286780" w:rsidP="006A5920">
      <w:pPr>
        <w:spacing w:line="360" w:lineRule="auto"/>
        <w:ind w:firstLine="709"/>
        <w:jc w:val="both"/>
        <w:rPr>
          <w:sz w:val="28"/>
          <w:szCs w:val="28"/>
        </w:rPr>
      </w:pPr>
      <w:r w:rsidRPr="006A5920">
        <w:rPr>
          <w:sz w:val="28"/>
          <w:szCs w:val="28"/>
        </w:rPr>
        <w:t xml:space="preserve">Иные патологические процессы и нозологические формы (кроме </w:t>
      </w:r>
      <w:r w:rsidRPr="006A5920">
        <w:rPr>
          <w:i/>
          <w:sz w:val="28"/>
          <w:szCs w:val="28"/>
        </w:rPr>
        <w:t>фоновых</w:t>
      </w:r>
      <w:r w:rsidRPr="006A5920">
        <w:rPr>
          <w:sz w:val="28"/>
          <w:szCs w:val="28"/>
        </w:rPr>
        <w:t xml:space="preserve">), определяемые у пациента с МФОИ или ОС, могут быть заболеваниями </w:t>
      </w:r>
      <w:r w:rsidRPr="006A5920">
        <w:rPr>
          <w:i/>
          <w:sz w:val="28"/>
          <w:szCs w:val="28"/>
        </w:rPr>
        <w:t xml:space="preserve">конкурирующими, сочетанными </w:t>
      </w:r>
      <w:r w:rsidRPr="006A5920">
        <w:rPr>
          <w:sz w:val="28"/>
          <w:szCs w:val="28"/>
        </w:rPr>
        <w:t xml:space="preserve">или </w:t>
      </w:r>
      <w:r w:rsidRPr="006A5920">
        <w:rPr>
          <w:i/>
          <w:sz w:val="28"/>
          <w:szCs w:val="28"/>
        </w:rPr>
        <w:t>сопутствующими</w:t>
      </w:r>
      <w:r w:rsidRPr="006A5920">
        <w:rPr>
          <w:sz w:val="28"/>
          <w:szCs w:val="28"/>
        </w:rPr>
        <w:t>.</w:t>
      </w:r>
    </w:p>
    <w:p w:rsidR="00286780" w:rsidRPr="00AA79AB" w:rsidRDefault="00286780" w:rsidP="006A5920">
      <w:pPr>
        <w:spacing w:line="360" w:lineRule="auto"/>
        <w:ind w:firstLine="709"/>
        <w:jc w:val="both"/>
        <w:rPr>
          <w:spacing w:val="-4"/>
          <w:sz w:val="28"/>
          <w:szCs w:val="28"/>
        </w:rPr>
      </w:pPr>
      <w:r>
        <w:rPr>
          <w:spacing w:val="-4"/>
          <w:sz w:val="28"/>
          <w:szCs w:val="28"/>
        </w:rPr>
        <w:t>"</w:t>
      </w:r>
      <w:r w:rsidRPr="00AA79AB">
        <w:rPr>
          <w:spacing w:val="-4"/>
          <w:sz w:val="28"/>
          <w:szCs w:val="28"/>
        </w:rPr>
        <w:t>Конкурирующими называют такие заболевания</w:t>
      </w:r>
      <w:r>
        <w:rPr>
          <w:spacing w:val="-4"/>
          <w:sz w:val="28"/>
          <w:szCs w:val="28"/>
        </w:rPr>
        <w:t>"</w:t>
      </w:r>
      <w:r w:rsidRPr="00AA79AB">
        <w:rPr>
          <w:spacing w:val="-4"/>
          <w:sz w:val="28"/>
          <w:szCs w:val="28"/>
        </w:rPr>
        <w:t>, «которыми одновременно страдал умерший и каждое из которых в отдельности, несомненно, могло п</w:t>
      </w:r>
      <w:r>
        <w:rPr>
          <w:spacing w:val="-4"/>
          <w:sz w:val="28"/>
          <w:szCs w:val="28"/>
        </w:rPr>
        <w:t xml:space="preserve">ривести к смерти» </w:t>
      </w:r>
      <w:r w:rsidRPr="00177C18">
        <w:rPr>
          <w:spacing w:val="-4"/>
          <w:sz w:val="28"/>
          <w:szCs w:val="28"/>
        </w:rPr>
        <w:t>(</w:t>
      </w:r>
      <w:r>
        <w:rPr>
          <w:spacing w:val="-4"/>
          <w:sz w:val="28"/>
          <w:szCs w:val="28"/>
        </w:rPr>
        <w:t>Заратьянц О.В. и др., 2003; Зайратьянц О.В., Кактурский Л.В., 2011</w:t>
      </w:r>
      <w:r w:rsidRPr="00177C18">
        <w:rPr>
          <w:spacing w:val="-4"/>
          <w:sz w:val="28"/>
          <w:szCs w:val="28"/>
        </w:rPr>
        <w:t>)</w:t>
      </w:r>
      <w:r w:rsidRPr="00AA79AB">
        <w:rPr>
          <w:spacing w:val="-4"/>
          <w:sz w:val="28"/>
          <w:szCs w:val="28"/>
        </w:rPr>
        <w:t>.</w:t>
      </w:r>
    </w:p>
    <w:p w:rsidR="00286780" w:rsidRPr="00AA79AB" w:rsidRDefault="00286780" w:rsidP="006A5920">
      <w:pPr>
        <w:spacing w:line="360" w:lineRule="auto"/>
        <w:ind w:firstLine="709"/>
        <w:jc w:val="both"/>
        <w:rPr>
          <w:spacing w:val="-4"/>
          <w:sz w:val="28"/>
          <w:szCs w:val="28"/>
        </w:rPr>
      </w:pPr>
      <w:r w:rsidRPr="00AA79AB">
        <w:rPr>
          <w:spacing w:val="-4"/>
          <w:sz w:val="28"/>
          <w:szCs w:val="28"/>
        </w:rPr>
        <w:t>«Конкурирующие заболевания – это коморбидные нозологические единицы или травмы (реже – синдромы), которыми также страдал пациент, и, в случае смерти, могли самостоятел</w:t>
      </w:r>
      <w:r>
        <w:rPr>
          <w:spacing w:val="-4"/>
          <w:sz w:val="28"/>
          <w:szCs w:val="28"/>
        </w:rPr>
        <w:t xml:space="preserve">ьно к ней привести» </w:t>
      </w:r>
      <w:r w:rsidRPr="00177C18">
        <w:rPr>
          <w:spacing w:val="-4"/>
          <w:sz w:val="28"/>
          <w:szCs w:val="28"/>
        </w:rPr>
        <w:t>(</w:t>
      </w:r>
      <w:r>
        <w:rPr>
          <w:spacing w:val="-4"/>
          <w:sz w:val="28"/>
          <w:szCs w:val="28"/>
        </w:rPr>
        <w:t>Верткин А.Л., Заратьянц О.В., 2017</w:t>
      </w:r>
      <w:r w:rsidRPr="00177C18">
        <w:rPr>
          <w:spacing w:val="-4"/>
          <w:sz w:val="28"/>
          <w:szCs w:val="28"/>
        </w:rPr>
        <w:t>)</w:t>
      </w:r>
      <w:r w:rsidRPr="00AA79AB">
        <w:rPr>
          <w:spacing w:val="-4"/>
          <w:sz w:val="28"/>
          <w:szCs w:val="28"/>
        </w:rPr>
        <w:t>.</w:t>
      </w:r>
    </w:p>
    <w:p w:rsidR="00286780" w:rsidRPr="006A5920" w:rsidRDefault="00286780" w:rsidP="006A5920">
      <w:pPr>
        <w:spacing w:line="360" w:lineRule="auto"/>
        <w:ind w:firstLine="709"/>
        <w:jc w:val="both"/>
        <w:rPr>
          <w:sz w:val="28"/>
          <w:szCs w:val="28"/>
        </w:rPr>
      </w:pPr>
      <w:r w:rsidRPr="006A5920">
        <w:rPr>
          <w:sz w:val="28"/>
          <w:szCs w:val="28"/>
        </w:rPr>
        <w:t xml:space="preserve"> «Сочетанными считают такие заболевания (…), которые, находясь в различных патогенетических взаимоотношениях и взаимно отягощая друг друга, привели к смерти, причем каждое из них в отдельности не</w:t>
      </w:r>
      <w:r>
        <w:rPr>
          <w:sz w:val="28"/>
          <w:szCs w:val="28"/>
        </w:rPr>
        <w:t xml:space="preserve"> вызвало бы летального исхода» </w:t>
      </w:r>
      <w:r w:rsidRPr="00177C18">
        <w:rPr>
          <w:sz w:val="28"/>
          <w:szCs w:val="28"/>
        </w:rPr>
        <w:t>(</w:t>
      </w:r>
      <w:r>
        <w:rPr>
          <w:sz w:val="28"/>
          <w:szCs w:val="28"/>
        </w:rPr>
        <w:t>Зайратьянц О.В., Кактурский Л.</w:t>
      </w:r>
      <w:r w:rsidRPr="006A5920">
        <w:rPr>
          <w:sz w:val="28"/>
          <w:szCs w:val="28"/>
        </w:rPr>
        <w:t>В., 2011</w:t>
      </w:r>
      <w:r w:rsidRPr="00177C18">
        <w:rPr>
          <w:sz w:val="28"/>
          <w:szCs w:val="28"/>
        </w:rPr>
        <w:t>)</w:t>
      </w:r>
      <w:r w:rsidRPr="006A5920">
        <w:rPr>
          <w:sz w:val="28"/>
          <w:szCs w:val="28"/>
        </w:rPr>
        <w:t>.</w:t>
      </w:r>
    </w:p>
    <w:p w:rsidR="00286780" w:rsidRPr="00AA79AB" w:rsidRDefault="00286780" w:rsidP="006A5920">
      <w:pPr>
        <w:spacing w:line="360" w:lineRule="auto"/>
        <w:ind w:firstLine="709"/>
        <w:jc w:val="both"/>
        <w:rPr>
          <w:spacing w:val="-4"/>
          <w:sz w:val="28"/>
          <w:szCs w:val="28"/>
        </w:rPr>
      </w:pPr>
      <w:r w:rsidRPr="00AA79AB">
        <w:rPr>
          <w:spacing w:val="-4"/>
          <w:sz w:val="28"/>
          <w:szCs w:val="28"/>
        </w:rPr>
        <w:t>Принципы, отмеченные в данном определении, могут быть применимы не только к пациентам умершим, но и к пациентам с благоприятным исходом заболевания, у которых могли развиться или развились какие-либо осложнения ХП, представляющие определенный риск летального исхода, который, тем не менее, не произошел вследствие надлежащего и своевременного оказания медицинской помощи.</w:t>
      </w:r>
    </w:p>
    <w:p w:rsidR="00286780" w:rsidRPr="006A5920" w:rsidRDefault="00286780" w:rsidP="006A5920">
      <w:pPr>
        <w:spacing w:line="360" w:lineRule="auto"/>
        <w:ind w:firstLine="709"/>
        <w:jc w:val="both"/>
        <w:rPr>
          <w:sz w:val="28"/>
          <w:szCs w:val="28"/>
        </w:rPr>
      </w:pPr>
      <w:r w:rsidRPr="006A5920">
        <w:rPr>
          <w:sz w:val="28"/>
          <w:szCs w:val="28"/>
        </w:rPr>
        <w:lastRenderedPageBreak/>
        <w:t xml:space="preserve">Например, у пациента с гнойно-воспалительным процессом челюстно-лицевой области, сахарный диабет может обуславливать тяжелое общее состояние пациента, требующее проведения экстренных лечебных мероприятий, без которых вероятность летального исхода существенно увеличивается. То есть, сахарный диабет может быть заболеванием </w:t>
      </w:r>
      <w:r w:rsidRPr="006A5920">
        <w:rPr>
          <w:i/>
          <w:sz w:val="28"/>
          <w:szCs w:val="28"/>
        </w:rPr>
        <w:t>фоновым</w:t>
      </w:r>
      <w:r w:rsidRPr="006A5920">
        <w:rPr>
          <w:sz w:val="28"/>
          <w:szCs w:val="28"/>
        </w:rPr>
        <w:t xml:space="preserve"> по отношению к МФОИ или ОС (если оказывает существенное влияние на </w:t>
      </w:r>
      <w:r w:rsidRPr="006A5920">
        <w:rPr>
          <w:i/>
          <w:sz w:val="28"/>
          <w:szCs w:val="28"/>
        </w:rPr>
        <w:t>основное</w:t>
      </w:r>
      <w:r w:rsidRPr="006A5920">
        <w:rPr>
          <w:sz w:val="28"/>
          <w:szCs w:val="28"/>
        </w:rPr>
        <w:t xml:space="preserve"> заболевание), или заболеванием </w:t>
      </w:r>
      <w:r w:rsidRPr="006A5920">
        <w:rPr>
          <w:i/>
          <w:sz w:val="28"/>
          <w:szCs w:val="28"/>
        </w:rPr>
        <w:t>конкурирующим</w:t>
      </w:r>
      <w:r w:rsidRPr="006A5920">
        <w:rPr>
          <w:sz w:val="28"/>
          <w:szCs w:val="28"/>
        </w:rPr>
        <w:t xml:space="preserve"> (так как теоретически может привести к летальному исходу «в отдельности», «сам по себе», вне связи с МФОИ или ОС).</w:t>
      </w:r>
    </w:p>
    <w:p w:rsidR="00286780" w:rsidRPr="006A5920" w:rsidRDefault="00286780" w:rsidP="006A5920">
      <w:pPr>
        <w:spacing w:line="360" w:lineRule="auto"/>
        <w:ind w:firstLine="709"/>
        <w:jc w:val="both"/>
        <w:rPr>
          <w:sz w:val="28"/>
          <w:szCs w:val="28"/>
        </w:rPr>
      </w:pPr>
      <w:r w:rsidRPr="006A5920">
        <w:rPr>
          <w:sz w:val="28"/>
          <w:szCs w:val="28"/>
        </w:rPr>
        <w:t>«Сопутствующее заболевание – заболевание, которое не имеет причинно-следственной связи с основным заболеванием, уступает ему в степени необходимости оказания медицинской помощи, влияния на работоспоспособность, опасности для жизни и здоровья и не является причиной смерти (…). Сопутствующие заболевания не могут иметь смертел</w:t>
      </w:r>
      <w:r>
        <w:rPr>
          <w:sz w:val="28"/>
          <w:szCs w:val="28"/>
        </w:rPr>
        <w:t xml:space="preserve">ьных осложнений (…)» </w:t>
      </w:r>
      <w:r w:rsidRPr="00177C18">
        <w:rPr>
          <w:sz w:val="28"/>
          <w:szCs w:val="28"/>
        </w:rPr>
        <w:t>(</w:t>
      </w:r>
      <w:r>
        <w:rPr>
          <w:sz w:val="28"/>
          <w:szCs w:val="28"/>
        </w:rPr>
        <w:t>Насыров Р.А. и др., 2018; Заратьянц О.В. и др., 2015, 2019</w:t>
      </w:r>
      <w:r w:rsidRPr="00177C18">
        <w:rPr>
          <w:sz w:val="28"/>
          <w:szCs w:val="28"/>
        </w:rPr>
        <w:t>)</w:t>
      </w:r>
      <w:r w:rsidRPr="006A5920">
        <w:rPr>
          <w:sz w:val="28"/>
          <w:szCs w:val="28"/>
        </w:rPr>
        <w:t>. Сопутствующие заболевания – это, как правило, хронические заболевания в состоянии ремиссии.</w:t>
      </w:r>
    </w:p>
    <w:p w:rsidR="00286780" w:rsidRPr="006A5920" w:rsidRDefault="00286780" w:rsidP="006A5920">
      <w:pPr>
        <w:spacing w:line="360" w:lineRule="auto"/>
        <w:ind w:firstLine="709"/>
        <w:jc w:val="both"/>
        <w:rPr>
          <w:sz w:val="28"/>
          <w:szCs w:val="28"/>
        </w:rPr>
      </w:pPr>
      <w:r w:rsidRPr="006A5920">
        <w:rPr>
          <w:sz w:val="28"/>
          <w:szCs w:val="28"/>
        </w:rPr>
        <w:t>В свою очередь, «синдром взаимного отягощения – это комплекс симптомов, указывающий на более тяжелое течение патологического процесса, связанного с каждым из сочетающихся повреждений, по сравнению с клинической картиной, характерной для аналогичных изолирова</w:t>
      </w:r>
      <w:r>
        <w:rPr>
          <w:sz w:val="28"/>
          <w:szCs w:val="28"/>
        </w:rPr>
        <w:t xml:space="preserve">нных повреждений» </w:t>
      </w:r>
      <w:r w:rsidRPr="00177C18">
        <w:rPr>
          <w:sz w:val="28"/>
          <w:szCs w:val="28"/>
        </w:rPr>
        <w:t>(</w:t>
      </w:r>
      <w:r>
        <w:rPr>
          <w:sz w:val="28"/>
          <w:szCs w:val="28"/>
        </w:rPr>
        <w:t>Денисенко В.Н. и др., 2002</w:t>
      </w:r>
      <w:r w:rsidRPr="00177C18">
        <w:rPr>
          <w:sz w:val="28"/>
          <w:szCs w:val="28"/>
        </w:rPr>
        <w:t>)</w:t>
      </w:r>
      <w:r w:rsidRPr="006A5920">
        <w:rPr>
          <w:sz w:val="28"/>
          <w:szCs w:val="28"/>
        </w:rPr>
        <w:t>. Наиболее детально синдром взаимного отягощения изучен у пациентов с ком</w:t>
      </w:r>
      <w:r>
        <w:rPr>
          <w:sz w:val="28"/>
          <w:szCs w:val="28"/>
        </w:rPr>
        <w:t xml:space="preserve">бинированной травмой </w:t>
      </w:r>
      <w:r w:rsidRPr="00177C18">
        <w:rPr>
          <w:sz w:val="28"/>
          <w:szCs w:val="28"/>
        </w:rPr>
        <w:t>(</w:t>
      </w:r>
      <w:r>
        <w:rPr>
          <w:sz w:val="28"/>
          <w:szCs w:val="28"/>
        </w:rPr>
        <w:t>Жидков С.</w:t>
      </w:r>
      <w:r w:rsidRPr="006A5920">
        <w:rPr>
          <w:sz w:val="28"/>
          <w:szCs w:val="28"/>
        </w:rPr>
        <w:t>А. и др., 2001; Гара</w:t>
      </w:r>
      <w:r>
        <w:rPr>
          <w:sz w:val="28"/>
          <w:szCs w:val="28"/>
        </w:rPr>
        <w:t>ев Д.А., 2007</w:t>
      </w:r>
      <w:r w:rsidRPr="00177C18">
        <w:rPr>
          <w:sz w:val="28"/>
          <w:szCs w:val="28"/>
        </w:rPr>
        <w:t>)</w:t>
      </w:r>
      <w:r w:rsidRPr="006A5920">
        <w:rPr>
          <w:sz w:val="28"/>
          <w:szCs w:val="28"/>
        </w:rPr>
        <w:t>. В единичных публикациях синдром взаимного отягощения упоминается в контексте диагностики и лечения больных с хирургическими гнойно-воспалительными заболеваниями на фон</w:t>
      </w:r>
      <w:r>
        <w:rPr>
          <w:sz w:val="28"/>
          <w:szCs w:val="28"/>
        </w:rPr>
        <w:t xml:space="preserve">е сахарного диабета </w:t>
      </w:r>
      <w:r w:rsidRPr="00177C18">
        <w:rPr>
          <w:sz w:val="28"/>
          <w:szCs w:val="28"/>
        </w:rPr>
        <w:t>(</w:t>
      </w:r>
      <w:r>
        <w:rPr>
          <w:sz w:val="28"/>
          <w:szCs w:val="28"/>
        </w:rPr>
        <w:t>Юсупова Ш.Ю. и др., 2014</w:t>
      </w:r>
      <w:r w:rsidRPr="00177C18">
        <w:rPr>
          <w:sz w:val="28"/>
          <w:szCs w:val="28"/>
        </w:rPr>
        <w:t>)</w:t>
      </w:r>
      <w:r w:rsidRPr="006A5920">
        <w:rPr>
          <w:sz w:val="28"/>
          <w:szCs w:val="28"/>
        </w:rPr>
        <w:t xml:space="preserve">. </w:t>
      </w:r>
    </w:p>
    <w:p w:rsidR="00286780" w:rsidRPr="006A5920" w:rsidRDefault="00286780" w:rsidP="006A5920">
      <w:pPr>
        <w:spacing w:line="360" w:lineRule="auto"/>
        <w:ind w:firstLine="709"/>
        <w:jc w:val="both"/>
        <w:rPr>
          <w:sz w:val="28"/>
          <w:szCs w:val="28"/>
        </w:rPr>
      </w:pPr>
      <w:r w:rsidRPr="006A5920">
        <w:rPr>
          <w:sz w:val="28"/>
          <w:szCs w:val="28"/>
        </w:rPr>
        <w:t>В настоящее время нет единого представления, какой термин из вышеобозначенных (</w:t>
      </w:r>
      <w:r w:rsidRPr="006A5920">
        <w:rPr>
          <w:i/>
          <w:sz w:val="28"/>
          <w:szCs w:val="28"/>
        </w:rPr>
        <w:t>конкурирующая</w:t>
      </w:r>
      <w:r w:rsidRPr="006A5920">
        <w:rPr>
          <w:sz w:val="28"/>
          <w:szCs w:val="28"/>
        </w:rPr>
        <w:t xml:space="preserve">, </w:t>
      </w:r>
      <w:r w:rsidRPr="006A5920">
        <w:rPr>
          <w:i/>
          <w:sz w:val="28"/>
          <w:szCs w:val="28"/>
        </w:rPr>
        <w:t>сочетанная,</w:t>
      </w:r>
      <w:r>
        <w:rPr>
          <w:i/>
          <w:sz w:val="28"/>
          <w:szCs w:val="28"/>
        </w:rPr>
        <w:t xml:space="preserve"> </w:t>
      </w:r>
      <w:r w:rsidRPr="006A5920">
        <w:rPr>
          <w:i/>
          <w:sz w:val="28"/>
          <w:szCs w:val="28"/>
        </w:rPr>
        <w:t>фоновая</w:t>
      </w:r>
      <w:r w:rsidRPr="006A5920">
        <w:rPr>
          <w:sz w:val="28"/>
          <w:szCs w:val="28"/>
        </w:rPr>
        <w:t xml:space="preserve"> или </w:t>
      </w:r>
      <w:r w:rsidRPr="006A5920">
        <w:rPr>
          <w:i/>
          <w:sz w:val="28"/>
          <w:szCs w:val="28"/>
        </w:rPr>
        <w:t>сопутствующая</w:t>
      </w:r>
      <w:r w:rsidRPr="006A5920">
        <w:rPr>
          <w:sz w:val="28"/>
          <w:szCs w:val="28"/>
        </w:rPr>
        <w:t xml:space="preserve"> патология) можно применить к хронической патологии (ХП), диагностируемой у пациентов с местной формой одонтогенной инфекции (МФОИ) или одонтогенным сепсисом (ОС) при поступлении в стационар по поводу гнойно-воспалительного </w:t>
      </w:r>
      <w:r w:rsidRPr="006A5920">
        <w:rPr>
          <w:sz w:val="28"/>
          <w:szCs w:val="28"/>
        </w:rPr>
        <w:lastRenderedPageBreak/>
        <w:t>процесса челюстно-лицевой области. В доступной научно-исследовательской литературе не обнаружено каких-либо сведений об особенностях полиорганной (полиморбидной) фоновой патологии и синдрома взаимного отягощения у пациентов с одонтогенными воспалительными процессами челюстно-лицевой области. Данный вопрос требует проведения соответствующего исследования.</w:t>
      </w:r>
    </w:p>
    <w:p w:rsidR="00286780" w:rsidRPr="004A0CF0" w:rsidRDefault="00286780" w:rsidP="004A0CF0">
      <w:pPr>
        <w:jc w:val="both"/>
        <w:rPr>
          <w:sz w:val="28"/>
          <w:szCs w:val="28"/>
          <w:lang w:eastAsia="en-US"/>
        </w:rPr>
      </w:pPr>
    </w:p>
    <w:p w:rsidR="00286780" w:rsidRPr="00457501" w:rsidRDefault="00286780" w:rsidP="00457501">
      <w:pPr>
        <w:pStyle w:val="20"/>
        <w:spacing w:line="360" w:lineRule="auto"/>
        <w:jc w:val="both"/>
      </w:pPr>
      <w:bookmarkStart w:id="4" w:name="_Toc67905688"/>
      <w:r w:rsidRPr="006A5920">
        <w:t>1.3. Классификация одонтогенных воспалительных процессов с учетом полиорганной фоновой патологии и синдрома взаимного отягощения. Критерии диагностики одонтогенного сепсиса</w:t>
      </w:r>
      <w:bookmarkEnd w:id="4"/>
    </w:p>
    <w:p w:rsidR="00286780" w:rsidRPr="00404B84" w:rsidRDefault="00286780" w:rsidP="00457501">
      <w:pPr>
        <w:spacing w:line="360" w:lineRule="auto"/>
        <w:ind w:firstLine="709"/>
        <w:jc w:val="both"/>
        <w:rPr>
          <w:sz w:val="28"/>
          <w:szCs w:val="28"/>
        </w:rPr>
      </w:pPr>
      <w:r w:rsidRPr="00404B84">
        <w:rPr>
          <w:sz w:val="28"/>
          <w:szCs w:val="28"/>
        </w:rPr>
        <w:t>Вопросы классификации гнойно-воспалительных процессов челюстно-лицевой области и их осложнений подробно изложены в соответствующей лите</w:t>
      </w:r>
      <w:r>
        <w:rPr>
          <w:sz w:val="28"/>
          <w:szCs w:val="28"/>
        </w:rPr>
        <w:t xml:space="preserve">ратуре </w:t>
      </w:r>
      <w:r w:rsidRPr="00177C18">
        <w:rPr>
          <w:sz w:val="28"/>
          <w:szCs w:val="28"/>
        </w:rPr>
        <w:t>(</w:t>
      </w:r>
      <w:r>
        <w:rPr>
          <w:sz w:val="28"/>
          <w:szCs w:val="28"/>
        </w:rPr>
        <w:t>Большаков О.П</w:t>
      </w:r>
      <w:r w:rsidRPr="004574F4">
        <w:rPr>
          <w:sz w:val="28"/>
          <w:szCs w:val="28"/>
        </w:rPr>
        <w:t>.</w:t>
      </w:r>
      <w:r>
        <w:rPr>
          <w:sz w:val="28"/>
          <w:szCs w:val="28"/>
        </w:rPr>
        <w:t>, 2001; Шаргородский А.Г., 2001; Соловьев М.</w:t>
      </w:r>
      <w:r w:rsidRPr="00404B84">
        <w:rPr>
          <w:sz w:val="28"/>
          <w:szCs w:val="28"/>
        </w:rPr>
        <w:t xml:space="preserve">М., </w:t>
      </w:r>
      <w:r w:rsidRPr="00404B84">
        <w:rPr>
          <w:sz w:val="28"/>
          <w:szCs w:val="28"/>
          <w:shd w:val="clear" w:color="auto" w:fill="FFFFFF"/>
        </w:rPr>
        <w:t>Робу</w:t>
      </w:r>
      <w:r>
        <w:rPr>
          <w:sz w:val="28"/>
          <w:szCs w:val="28"/>
          <w:shd w:val="clear" w:color="auto" w:fill="FFFFFF"/>
        </w:rPr>
        <w:t>стова Т.Г., 2005; Вернадский Ю.</w:t>
      </w:r>
      <w:r w:rsidRPr="00404B84">
        <w:rPr>
          <w:sz w:val="28"/>
          <w:szCs w:val="28"/>
          <w:shd w:val="clear" w:color="auto" w:fill="FFFFFF"/>
        </w:rPr>
        <w:t xml:space="preserve">И., 2007; </w:t>
      </w:r>
      <w:r>
        <w:rPr>
          <w:sz w:val="28"/>
          <w:szCs w:val="28"/>
        </w:rPr>
        <w:t>Соловьев М.М. и др., 2016</w:t>
      </w:r>
      <w:r w:rsidRPr="00177C18">
        <w:rPr>
          <w:sz w:val="28"/>
          <w:szCs w:val="28"/>
        </w:rPr>
        <w:t>)</w:t>
      </w:r>
      <w:r w:rsidRPr="00404B84">
        <w:rPr>
          <w:sz w:val="28"/>
          <w:szCs w:val="28"/>
        </w:rPr>
        <w:t>. Необходимо отметить наличие различных подходов к этому вопросу, отличающихся, в основном, дифференцировкой периодонт</w:t>
      </w:r>
      <w:r>
        <w:rPr>
          <w:sz w:val="28"/>
          <w:szCs w:val="28"/>
        </w:rPr>
        <w:t xml:space="preserve">ита, периостита и остеомиелита </w:t>
      </w:r>
      <w:r w:rsidRPr="00177C18">
        <w:rPr>
          <w:sz w:val="28"/>
          <w:szCs w:val="28"/>
        </w:rPr>
        <w:t>(</w:t>
      </w:r>
      <w:r>
        <w:rPr>
          <w:sz w:val="28"/>
          <w:szCs w:val="28"/>
        </w:rPr>
        <w:t>Робустова Т. Г., 2003</w:t>
      </w:r>
      <w:r w:rsidRPr="00177C18">
        <w:rPr>
          <w:sz w:val="28"/>
          <w:szCs w:val="28"/>
        </w:rPr>
        <w:t>)</w:t>
      </w:r>
      <w:r w:rsidRPr="00404B84">
        <w:rPr>
          <w:sz w:val="28"/>
          <w:szCs w:val="28"/>
        </w:rPr>
        <w:t>.</w:t>
      </w:r>
    </w:p>
    <w:p w:rsidR="00286780" w:rsidRPr="00404B84" w:rsidRDefault="00286780" w:rsidP="00404B84">
      <w:pPr>
        <w:spacing w:line="360" w:lineRule="auto"/>
        <w:ind w:firstLine="709"/>
        <w:jc w:val="both"/>
        <w:rPr>
          <w:sz w:val="28"/>
          <w:szCs w:val="28"/>
        </w:rPr>
      </w:pPr>
      <w:r>
        <w:rPr>
          <w:sz w:val="28"/>
          <w:szCs w:val="28"/>
        </w:rPr>
        <w:t>А.И. Евдокимов, Г.</w:t>
      </w:r>
      <w:r w:rsidRPr="00404B84">
        <w:rPr>
          <w:sz w:val="28"/>
          <w:szCs w:val="28"/>
        </w:rPr>
        <w:t>А. Васильев разработали классификацию воспалительных процессов, дополненную и д</w:t>
      </w:r>
      <w:r>
        <w:rPr>
          <w:sz w:val="28"/>
          <w:szCs w:val="28"/>
        </w:rPr>
        <w:t>етализированную впоследствии А.</w:t>
      </w:r>
      <w:r w:rsidRPr="00404B84">
        <w:rPr>
          <w:sz w:val="28"/>
          <w:szCs w:val="28"/>
        </w:rPr>
        <w:t xml:space="preserve">Г. Шаргородским, в которой различаются различные формы периостита и периодонтита (острый, хронический, в стадии обострения), остеомиелит челюстей, перикоронарит, абсцессы и флегмоны челюстно-лицевой области, одонтогенный синусит, одонтогенный инфильтрат, поражение лимфатического аппарата (лимфаденит, аденофлегмона), </w:t>
      </w:r>
      <w:r>
        <w:rPr>
          <w:sz w:val="28"/>
          <w:szCs w:val="28"/>
        </w:rPr>
        <w:t>осложнения</w:t>
      </w:r>
      <w:r w:rsidRPr="00177C18">
        <w:rPr>
          <w:sz w:val="28"/>
          <w:szCs w:val="28"/>
        </w:rPr>
        <w:t xml:space="preserve"> (</w:t>
      </w:r>
      <w:r>
        <w:rPr>
          <w:sz w:val="28"/>
          <w:szCs w:val="28"/>
        </w:rPr>
        <w:t>Шаргородский А.Г., 2001;Робустова Т.Г., 2003</w:t>
      </w:r>
      <w:r w:rsidRPr="00177C18">
        <w:rPr>
          <w:sz w:val="28"/>
          <w:szCs w:val="28"/>
        </w:rPr>
        <w:t>)</w:t>
      </w:r>
      <w:r w:rsidRPr="00404B84">
        <w:rPr>
          <w:sz w:val="28"/>
          <w:szCs w:val="28"/>
        </w:rPr>
        <w:t>. Данная классификация широко используется в настоящее время.</w:t>
      </w:r>
    </w:p>
    <w:p w:rsidR="00286780" w:rsidRPr="00404B84" w:rsidRDefault="00286780" w:rsidP="00404B84">
      <w:pPr>
        <w:spacing w:line="360" w:lineRule="auto"/>
        <w:ind w:firstLine="709"/>
        <w:jc w:val="both"/>
        <w:rPr>
          <w:sz w:val="28"/>
          <w:szCs w:val="28"/>
        </w:rPr>
      </w:pPr>
      <w:r w:rsidRPr="00404B84">
        <w:rPr>
          <w:sz w:val="28"/>
          <w:szCs w:val="28"/>
        </w:rPr>
        <w:t xml:space="preserve">По мнению ряда авторов, </w:t>
      </w:r>
      <w:r>
        <w:rPr>
          <w:sz w:val="28"/>
          <w:szCs w:val="28"/>
        </w:rPr>
        <w:t>"</w:t>
      </w:r>
      <w:r w:rsidRPr="00404B84">
        <w:rPr>
          <w:sz w:val="28"/>
          <w:szCs w:val="28"/>
        </w:rPr>
        <w:t>наиболее серьезными осложнениями воспалительных заболеваний челюстно-лицевой области являются сепсис, медиастиниты, вторичные внутр</w:t>
      </w:r>
      <w:r>
        <w:rPr>
          <w:sz w:val="28"/>
          <w:szCs w:val="28"/>
        </w:rPr>
        <w:t xml:space="preserve">ичерепные осложнения" </w:t>
      </w:r>
      <w:r w:rsidRPr="00177C18">
        <w:rPr>
          <w:sz w:val="28"/>
          <w:szCs w:val="28"/>
        </w:rPr>
        <w:t>(</w:t>
      </w:r>
      <w:r>
        <w:rPr>
          <w:sz w:val="28"/>
          <w:szCs w:val="28"/>
        </w:rPr>
        <w:t>Будаев А.П., 2001; Харитонов Ю.М., 1999; Губин М.А., 2004; Громов А.Л., 2011</w:t>
      </w:r>
      <w:r w:rsidRPr="00177C18">
        <w:rPr>
          <w:sz w:val="28"/>
          <w:szCs w:val="28"/>
        </w:rPr>
        <w:t>)</w:t>
      </w:r>
      <w:r w:rsidRPr="00404B84">
        <w:rPr>
          <w:sz w:val="28"/>
          <w:szCs w:val="28"/>
        </w:rPr>
        <w:t>.</w:t>
      </w:r>
    </w:p>
    <w:p w:rsidR="00286780" w:rsidRPr="00404B84" w:rsidRDefault="00286780" w:rsidP="00404B84">
      <w:pPr>
        <w:spacing w:line="360" w:lineRule="auto"/>
        <w:ind w:firstLine="709"/>
        <w:jc w:val="both"/>
        <w:rPr>
          <w:sz w:val="28"/>
          <w:szCs w:val="28"/>
        </w:rPr>
      </w:pPr>
      <w:r w:rsidRPr="00404B84">
        <w:rPr>
          <w:sz w:val="28"/>
          <w:szCs w:val="28"/>
        </w:rPr>
        <w:t xml:space="preserve">Существуют различные классификации сепсиса. </w:t>
      </w:r>
      <w:r>
        <w:rPr>
          <w:sz w:val="28"/>
          <w:szCs w:val="28"/>
        </w:rPr>
        <w:t>"</w:t>
      </w:r>
      <w:r w:rsidRPr="00404B84">
        <w:rPr>
          <w:sz w:val="28"/>
          <w:szCs w:val="28"/>
        </w:rPr>
        <w:t xml:space="preserve">На </w:t>
      </w:r>
      <w:r w:rsidRPr="00404B84">
        <w:rPr>
          <w:sz w:val="28"/>
          <w:szCs w:val="28"/>
          <w:lang w:val="en-US"/>
        </w:rPr>
        <w:t>I</w:t>
      </w:r>
      <w:r w:rsidRPr="00404B84">
        <w:rPr>
          <w:sz w:val="28"/>
          <w:szCs w:val="28"/>
        </w:rPr>
        <w:t xml:space="preserve"> Всесоюзной конференции по ранам и раневой инфекции была предложена классификация сепсиса, </w:t>
      </w:r>
      <w:r w:rsidRPr="00404B84">
        <w:rPr>
          <w:sz w:val="28"/>
          <w:szCs w:val="28"/>
        </w:rPr>
        <w:lastRenderedPageBreak/>
        <w:t>разделяющая понятия гнойно-резорбтивной лихорадки, различных форм сепсиса: начальная форма сепсиса, септице</w:t>
      </w:r>
      <w:r>
        <w:rPr>
          <w:sz w:val="28"/>
          <w:szCs w:val="28"/>
        </w:rPr>
        <w:t xml:space="preserve">мия, септикопиемия" </w:t>
      </w:r>
      <w:r w:rsidRPr="00177C18">
        <w:rPr>
          <w:sz w:val="28"/>
          <w:szCs w:val="28"/>
        </w:rPr>
        <w:t>(</w:t>
      </w:r>
      <w:r>
        <w:rPr>
          <w:sz w:val="28"/>
          <w:szCs w:val="28"/>
        </w:rPr>
        <w:t>Светухин А.</w:t>
      </w:r>
      <w:r w:rsidRPr="00404B84">
        <w:rPr>
          <w:sz w:val="28"/>
          <w:szCs w:val="28"/>
        </w:rPr>
        <w:t>М., 1989; Ку</w:t>
      </w:r>
      <w:r>
        <w:rPr>
          <w:sz w:val="28"/>
          <w:szCs w:val="28"/>
        </w:rPr>
        <w:t>зин М.И. и др., 2002</w:t>
      </w:r>
      <w:r w:rsidRPr="00177C18">
        <w:rPr>
          <w:sz w:val="28"/>
          <w:szCs w:val="28"/>
        </w:rPr>
        <w:t>)</w:t>
      </w:r>
      <w:r w:rsidRPr="00404B84">
        <w:rPr>
          <w:sz w:val="28"/>
          <w:szCs w:val="28"/>
        </w:rPr>
        <w:t>.</w:t>
      </w:r>
    </w:p>
    <w:p w:rsidR="00286780" w:rsidRPr="00404B84" w:rsidRDefault="00286780" w:rsidP="00404B84">
      <w:pPr>
        <w:spacing w:line="360" w:lineRule="auto"/>
        <w:ind w:right="99" w:firstLine="709"/>
        <w:jc w:val="both"/>
        <w:rPr>
          <w:sz w:val="28"/>
          <w:szCs w:val="28"/>
        </w:rPr>
      </w:pPr>
      <w:r w:rsidRPr="00404B84">
        <w:rPr>
          <w:sz w:val="28"/>
          <w:szCs w:val="28"/>
        </w:rPr>
        <w:t>В клинической практике возможно использование общехирургической классифик</w:t>
      </w:r>
      <w:r>
        <w:rPr>
          <w:sz w:val="28"/>
          <w:szCs w:val="28"/>
        </w:rPr>
        <w:t>ации сепсиса по С.</w:t>
      </w:r>
      <w:r w:rsidRPr="00404B84">
        <w:rPr>
          <w:sz w:val="28"/>
          <w:szCs w:val="28"/>
        </w:rPr>
        <w:t>В. Петрову (2005) с учетом локализации источника первичного очага, виду возбудителя, типу клинического течения, времени разви</w:t>
      </w:r>
      <w:r>
        <w:rPr>
          <w:sz w:val="28"/>
          <w:szCs w:val="28"/>
        </w:rPr>
        <w:t xml:space="preserve">тия и др. </w:t>
      </w:r>
      <w:r w:rsidRPr="00177C18">
        <w:rPr>
          <w:sz w:val="28"/>
          <w:szCs w:val="28"/>
        </w:rPr>
        <w:t>(</w:t>
      </w:r>
      <w:r>
        <w:rPr>
          <w:sz w:val="28"/>
          <w:szCs w:val="28"/>
        </w:rPr>
        <w:t>Завада Н.В. и др., 2003</w:t>
      </w:r>
      <w:r w:rsidRPr="00177C18">
        <w:rPr>
          <w:sz w:val="28"/>
          <w:szCs w:val="28"/>
        </w:rPr>
        <w:t>)</w:t>
      </w:r>
      <w:r w:rsidRPr="00404B84">
        <w:rPr>
          <w:sz w:val="28"/>
          <w:szCs w:val="28"/>
        </w:rPr>
        <w:t>.</w:t>
      </w:r>
    </w:p>
    <w:p w:rsidR="00286780" w:rsidRPr="00404B84" w:rsidRDefault="00286780" w:rsidP="00404B84">
      <w:pPr>
        <w:spacing w:line="360" w:lineRule="auto"/>
        <w:ind w:right="99" w:firstLine="709"/>
        <w:jc w:val="both"/>
        <w:rPr>
          <w:sz w:val="28"/>
          <w:szCs w:val="28"/>
        </w:rPr>
      </w:pPr>
      <w:r w:rsidRPr="00404B84">
        <w:rPr>
          <w:sz w:val="28"/>
          <w:szCs w:val="28"/>
        </w:rPr>
        <w:t xml:space="preserve">У пациентов стоматологического профиля хирургический сепсис является вторичным, одонтогенным, воспалительным, и, как правило, ранним (развитие до 14 суток), острым или подострым, крайне </w:t>
      </w:r>
      <w:r>
        <w:rPr>
          <w:sz w:val="28"/>
          <w:szCs w:val="28"/>
        </w:rPr>
        <w:t xml:space="preserve">редко – молниеносным </w:t>
      </w:r>
      <w:r w:rsidRPr="00177C18">
        <w:rPr>
          <w:sz w:val="28"/>
          <w:szCs w:val="28"/>
        </w:rPr>
        <w:t>(</w:t>
      </w:r>
      <w:r>
        <w:rPr>
          <w:sz w:val="28"/>
          <w:szCs w:val="28"/>
        </w:rPr>
        <w:t>Громов А.Л., 2011</w:t>
      </w:r>
      <w:r w:rsidRPr="00177C18">
        <w:rPr>
          <w:sz w:val="28"/>
          <w:szCs w:val="28"/>
        </w:rPr>
        <w:t>)</w:t>
      </w:r>
      <w:r w:rsidRPr="00404B84">
        <w:rPr>
          <w:sz w:val="28"/>
          <w:szCs w:val="28"/>
        </w:rPr>
        <w:t xml:space="preserve">. Одонтогенный сепсис может быть грамположительным или грамотрицательным. </w:t>
      </w:r>
    </w:p>
    <w:p w:rsidR="00286780" w:rsidRPr="00404B84" w:rsidRDefault="00286780" w:rsidP="00404B84">
      <w:pPr>
        <w:spacing w:line="360" w:lineRule="auto"/>
        <w:ind w:right="99" w:firstLine="709"/>
        <w:jc w:val="both"/>
        <w:rPr>
          <w:sz w:val="28"/>
          <w:szCs w:val="28"/>
        </w:rPr>
      </w:pPr>
      <w:r w:rsidRPr="00404B84">
        <w:rPr>
          <w:sz w:val="28"/>
          <w:szCs w:val="28"/>
        </w:rPr>
        <w:t xml:space="preserve">Существует </w:t>
      </w:r>
      <w:r>
        <w:rPr>
          <w:sz w:val="28"/>
          <w:szCs w:val="28"/>
        </w:rPr>
        <w:t>также</w:t>
      </w:r>
      <w:r w:rsidRPr="00404B84">
        <w:rPr>
          <w:sz w:val="28"/>
          <w:szCs w:val="28"/>
        </w:rPr>
        <w:t xml:space="preserve"> классификация сепсиса по МКБ-10, основанная на этиологическом принципе в зависимости от вида микроорганизма, выделенно</w:t>
      </w:r>
      <w:r>
        <w:rPr>
          <w:sz w:val="28"/>
          <w:szCs w:val="28"/>
        </w:rPr>
        <w:t xml:space="preserve">го из гемокультуры </w:t>
      </w:r>
      <w:r w:rsidRPr="00177C18">
        <w:rPr>
          <w:sz w:val="28"/>
          <w:szCs w:val="28"/>
        </w:rPr>
        <w:t>(</w:t>
      </w:r>
      <w:r>
        <w:rPr>
          <w:sz w:val="28"/>
          <w:szCs w:val="28"/>
        </w:rPr>
        <w:t>Гельфанд Б.Р. и др., 2006</w:t>
      </w:r>
      <w:r w:rsidRPr="00177C18">
        <w:rPr>
          <w:sz w:val="28"/>
          <w:szCs w:val="28"/>
        </w:rPr>
        <w:t>)</w:t>
      </w:r>
      <w:r w:rsidRPr="00404B84">
        <w:rPr>
          <w:sz w:val="28"/>
          <w:szCs w:val="28"/>
        </w:rPr>
        <w:t xml:space="preserve">. Обязательно наличие септицемии – стафилококковой, стрептококковой, кандидозной, грамотрицательной, герпетической, неуточненной. Классификация сепсиса по МКБ-10 практически неприменима к сепсису одонтогенной этиологии, так как в ней отсутствует понятие сепсиса, вызванного анаэробной неклостридиальной инфекцией, наиболее часто являющейся причиной одонтогенной инфекции. Отсутствуют </w:t>
      </w:r>
      <w:r>
        <w:rPr>
          <w:sz w:val="28"/>
          <w:szCs w:val="28"/>
        </w:rPr>
        <w:t>также</w:t>
      </w:r>
      <w:r w:rsidRPr="00404B84">
        <w:rPr>
          <w:sz w:val="28"/>
          <w:szCs w:val="28"/>
        </w:rPr>
        <w:t xml:space="preserve"> определения других форм сепсиса, протекающих без септицемии.</w:t>
      </w:r>
    </w:p>
    <w:p w:rsidR="00286780" w:rsidRPr="00C5336B" w:rsidRDefault="00286780" w:rsidP="00466B71">
      <w:pPr>
        <w:spacing w:line="360" w:lineRule="auto"/>
        <w:ind w:firstLine="709"/>
        <w:jc w:val="both"/>
        <w:rPr>
          <w:sz w:val="28"/>
          <w:szCs w:val="28"/>
        </w:rPr>
      </w:pPr>
      <w:r w:rsidRPr="00404B84">
        <w:rPr>
          <w:sz w:val="28"/>
          <w:szCs w:val="28"/>
        </w:rPr>
        <w:t xml:space="preserve">Современные классификации сепсиса основаны на результатах деятельности согласительной конференции Американского колледжа пульмонологов и Общества специалистов критической медицины – </w:t>
      </w:r>
      <w:r w:rsidRPr="00404B84">
        <w:rPr>
          <w:sz w:val="28"/>
          <w:szCs w:val="28"/>
          <w:lang w:val="en-US"/>
        </w:rPr>
        <w:t>ACCP</w:t>
      </w:r>
      <w:r>
        <w:rPr>
          <w:sz w:val="28"/>
          <w:szCs w:val="28"/>
        </w:rPr>
        <w:t>/</w:t>
      </w:r>
      <w:r w:rsidRPr="00404B84">
        <w:rPr>
          <w:sz w:val="28"/>
          <w:szCs w:val="28"/>
          <w:lang w:val="en-US"/>
        </w:rPr>
        <w:t>SCCM</w:t>
      </w:r>
      <w:r w:rsidRPr="00404B84">
        <w:rPr>
          <w:sz w:val="28"/>
          <w:szCs w:val="28"/>
        </w:rPr>
        <w:t xml:space="preserve"> (1992 г.), согласно которым выделяют синдром системной воспалительной реакции, сепсис, тяжелый сепсис, септический шок, полиорганную недостаточность и рефрактерный септический шок. В России рекомендации </w:t>
      </w:r>
      <w:r w:rsidRPr="00404B84">
        <w:rPr>
          <w:sz w:val="28"/>
          <w:szCs w:val="28"/>
          <w:lang w:val="en-US"/>
        </w:rPr>
        <w:t>ACCP</w:t>
      </w:r>
      <w:r>
        <w:rPr>
          <w:sz w:val="28"/>
          <w:szCs w:val="28"/>
        </w:rPr>
        <w:t>/</w:t>
      </w:r>
      <w:r w:rsidRPr="00404B84">
        <w:rPr>
          <w:sz w:val="28"/>
          <w:szCs w:val="28"/>
          <w:lang w:val="en-US"/>
        </w:rPr>
        <w:t>SCCM</w:t>
      </w:r>
      <w:r w:rsidRPr="00404B84">
        <w:rPr>
          <w:sz w:val="28"/>
          <w:szCs w:val="28"/>
        </w:rPr>
        <w:t xml:space="preserve"> (1992) были утверждены на заседаниях РАСХ</w:t>
      </w:r>
      <w:r>
        <w:rPr>
          <w:sz w:val="28"/>
          <w:szCs w:val="28"/>
        </w:rPr>
        <w:t xml:space="preserve">И -Калуга, 2004г.; Москва, 2008 г. </w:t>
      </w:r>
      <w:r w:rsidRPr="005A29FD">
        <w:rPr>
          <w:sz w:val="28"/>
          <w:szCs w:val="28"/>
        </w:rPr>
        <w:t>(</w:t>
      </w:r>
      <w:r w:rsidRPr="00404B84">
        <w:rPr>
          <w:sz w:val="28"/>
          <w:szCs w:val="28"/>
        </w:rPr>
        <w:t>Гельфанд</w:t>
      </w:r>
      <w:r w:rsidRPr="004574F4">
        <w:rPr>
          <w:sz w:val="28"/>
          <w:szCs w:val="28"/>
        </w:rPr>
        <w:t xml:space="preserve"> </w:t>
      </w:r>
      <w:r w:rsidRPr="00404B84">
        <w:rPr>
          <w:sz w:val="28"/>
          <w:szCs w:val="28"/>
        </w:rPr>
        <w:t>Б</w:t>
      </w:r>
      <w:r w:rsidRPr="000315B9">
        <w:rPr>
          <w:sz w:val="28"/>
          <w:szCs w:val="28"/>
        </w:rPr>
        <w:t>.</w:t>
      </w:r>
      <w:r w:rsidRPr="00404B84">
        <w:rPr>
          <w:sz w:val="28"/>
          <w:szCs w:val="28"/>
        </w:rPr>
        <w:t>Р</w:t>
      </w:r>
      <w:r w:rsidRPr="000315B9">
        <w:rPr>
          <w:sz w:val="28"/>
          <w:szCs w:val="28"/>
        </w:rPr>
        <w:t xml:space="preserve">. </w:t>
      </w:r>
      <w:r w:rsidRPr="00404B84">
        <w:rPr>
          <w:sz w:val="28"/>
          <w:szCs w:val="28"/>
        </w:rPr>
        <w:t>и</w:t>
      </w:r>
      <w:r w:rsidRPr="004574F4">
        <w:rPr>
          <w:sz w:val="28"/>
          <w:szCs w:val="28"/>
        </w:rPr>
        <w:t xml:space="preserve"> </w:t>
      </w:r>
      <w:r w:rsidRPr="00404B84">
        <w:rPr>
          <w:sz w:val="28"/>
          <w:szCs w:val="28"/>
        </w:rPr>
        <w:t>др</w:t>
      </w:r>
      <w:r w:rsidRPr="000315B9">
        <w:rPr>
          <w:sz w:val="28"/>
          <w:szCs w:val="28"/>
        </w:rPr>
        <w:t xml:space="preserve">., 2006, 2004; </w:t>
      </w:r>
      <w:r w:rsidRPr="00404B84">
        <w:rPr>
          <w:sz w:val="28"/>
          <w:szCs w:val="28"/>
        </w:rPr>
        <w:t>Руднов</w:t>
      </w:r>
      <w:r w:rsidRPr="004574F4">
        <w:rPr>
          <w:sz w:val="28"/>
          <w:szCs w:val="28"/>
        </w:rPr>
        <w:t xml:space="preserve"> </w:t>
      </w:r>
      <w:r w:rsidRPr="00404B84">
        <w:rPr>
          <w:sz w:val="28"/>
          <w:szCs w:val="28"/>
        </w:rPr>
        <w:t>В</w:t>
      </w:r>
      <w:r w:rsidRPr="000315B9">
        <w:rPr>
          <w:sz w:val="28"/>
          <w:szCs w:val="28"/>
        </w:rPr>
        <w:t>.</w:t>
      </w:r>
      <w:r w:rsidRPr="00404B84">
        <w:rPr>
          <w:sz w:val="28"/>
          <w:szCs w:val="28"/>
        </w:rPr>
        <w:t>А</w:t>
      </w:r>
      <w:r w:rsidRPr="000315B9">
        <w:rPr>
          <w:sz w:val="28"/>
          <w:szCs w:val="28"/>
        </w:rPr>
        <w:t xml:space="preserve">., </w:t>
      </w:r>
      <w:r w:rsidRPr="00404B84">
        <w:rPr>
          <w:sz w:val="28"/>
          <w:szCs w:val="28"/>
        </w:rPr>
        <w:t>Кулабухов</w:t>
      </w:r>
      <w:r w:rsidRPr="004574F4">
        <w:rPr>
          <w:sz w:val="28"/>
          <w:szCs w:val="28"/>
        </w:rPr>
        <w:t xml:space="preserve"> </w:t>
      </w:r>
      <w:r w:rsidRPr="00404B84">
        <w:rPr>
          <w:sz w:val="28"/>
          <w:szCs w:val="28"/>
        </w:rPr>
        <w:t>В</w:t>
      </w:r>
      <w:r w:rsidRPr="000315B9">
        <w:rPr>
          <w:sz w:val="28"/>
          <w:szCs w:val="28"/>
        </w:rPr>
        <w:t>.</w:t>
      </w:r>
      <w:r w:rsidRPr="00404B84">
        <w:rPr>
          <w:sz w:val="28"/>
          <w:szCs w:val="28"/>
        </w:rPr>
        <w:t>В</w:t>
      </w:r>
      <w:r w:rsidRPr="000315B9">
        <w:rPr>
          <w:sz w:val="28"/>
          <w:szCs w:val="28"/>
        </w:rPr>
        <w:t>., 2016</w:t>
      </w:r>
      <w:r w:rsidRPr="00177C18">
        <w:rPr>
          <w:sz w:val="28"/>
          <w:szCs w:val="28"/>
        </w:rPr>
        <w:t xml:space="preserve">; </w:t>
      </w:r>
      <w:r w:rsidRPr="00404B84">
        <w:rPr>
          <w:sz w:val="28"/>
          <w:szCs w:val="28"/>
          <w:lang w:val="en-US"/>
        </w:rPr>
        <w:t>Bone</w:t>
      </w:r>
      <w:r w:rsidRPr="004574F4">
        <w:rPr>
          <w:sz w:val="28"/>
          <w:szCs w:val="28"/>
        </w:rPr>
        <w:t xml:space="preserve"> </w:t>
      </w:r>
      <w:r w:rsidRPr="00404B84">
        <w:rPr>
          <w:sz w:val="28"/>
          <w:szCs w:val="28"/>
          <w:lang w:val="en-US"/>
        </w:rPr>
        <w:t>R</w:t>
      </w:r>
      <w:r>
        <w:rPr>
          <w:sz w:val="28"/>
          <w:szCs w:val="28"/>
        </w:rPr>
        <w:t>.</w:t>
      </w:r>
      <w:r w:rsidRPr="00404B84">
        <w:rPr>
          <w:sz w:val="28"/>
          <w:szCs w:val="28"/>
          <w:lang w:val="en-US"/>
        </w:rPr>
        <w:t>S</w:t>
      </w:r>
      <w:r w:rsidRPr="000315B9">
        <w:rPr>
          <w:sz w:val="28"/>
          <w:szCs w:val="28"/>
        </w:rPr>
        <w:t xml:space="preserve">. </w:t>
      </w:r>
      <w:r w:rsidRPr="00404B84">
        <w:rPr>
          <w:sz w:val="28"/>
          <w:szCs w:val="28"/>
          <w:lang w:val="en-US"/>
        </w:rPr>
        <w:t>et</w:t>
      </w:r>
      <w:r w:rsidRPr="004574F4">
        <w:rPr>
          <w:sz w:val="28"/>
          <w:szCs w:val="28"/>
        </w:rPr>
        <w:t xml:space="preserve"> </w:t>
      </w:r>
      <w:r w:rsidRPr="00404B84">
        <w:rPr>
          <w:sz w:val="28"/>
          <w:szCs w:val="28"/>
          <w:lang w:val="en-US"/>
        </w:rPr>
        <w:t>al</w:t>
      </w:r>
      <w:r w:rsidRPr="000315B9">
        <w:rPr>
          <w:sz w:val="28"/>
          <w:szCs w:val="28"/>
        </w:rPr>
        <w:t xml:space="preserve">., 1992; </w:t>
      </w:r>
      <w:r w:rsidRPr="00404B84">
        <w:rPr>
          <w:sz w:val="28"/>
          <w:szCs w:val="28"/>
          <w:lang w:val="en-US"/>
        </w:rPr>
        <w:t>Zimmerman</w:t>
      </w:r>
      <w:r w:rsidRPr="004574F4">
        <w:rPr>
          <w:sz w:val="28"/>
          <w:szCs w:val="28"/>
        </w:rPr>
        <w:t xml:space="preserve"> </w:t>
      </w:r>
      <w:r w:rsidRPr="00404B84">
        <w:rPr>
          <w:sz w:val="28"/>
          <w:szCs w:val="28"/>
          <w:lang w:val="en-US"/>
        </w:rPr>
        <w:t>I</w:t>
      </w:r>
      <w:r w:rsidRPr="000315B9">
        <w:rPr>
          <w:sz w:val="28"/>
          <w:szCs w:val="28"/>
        </w:rPr>
        <w:t>.</w:t>
      </w:r>
      <w:r w:rsidRPr="00404B84">
        <w:rPr>
          <w:sz w:val="28"/>
          <w:szCs w:val="28"/>
          <w:lang w:val="en-US"/>
        </w:rPr>
        <w:t>I</w:t>
      </w:r>
      <w:r w:rsidRPr="000315B9">
        <w:rPr>
          <w:sz w:val="28"/>
          <w:szCs w:val="28"/>
        </w:rPr>
        <w:t xml:space="preserve">., </w:t>
      </w:r>
      <w:r w:rsidRPr="00404B84">
        <w:rPr>
          <w:sz w:val="28"/>
          <w:szCs w:val="28"/>
          <w:lang w:val="en-US"/>
        </w:rPr>
        <w:t>Ringer</w:t>
      </w:r>
      <w:r w:rsidRPr="004574F4">
        <w:rPr>
          <w:sz w:val="28"/>
          <w:szCs w:val="28"/>
        </w:rPr>
        <w:t xml:space="preserve"> </w:t>
      </w:r>
      <w:r w:rsidRPr="00404B84">
        <w:rPr>
          <w:sz w:val="28"/>
          <w:szCs w:val="28"/>
          <w:lang w:val="en-US"/>
        </w:rPr>
        <w:t>T</w:t>
      </w:r>
      <w:r w:rsidRPr="000315B9">
        <w:rPr>
          <w:sz w:val="28"/>
          <w:szCs w:val="28"/>
        </w:rPr>
        <w:t>.</w:t>
      </w:r>
      <w:r w:rsidRPr="00404B84">
        <w:rPr>
          <w:sz w:val="28"/>
          <w:szCs w:val="28"/>
          <w:lang w:val="en-US"/>
        </w:rPr>
        <w:t>V</w:t>
      </w:r>
      <w:r w:rsidRPr="000315B9">
        <w:rPr>
          <w:sz w:val="28"/>
          <w:szCs w:val="28"/>
        </w:rPr>
        <w:t xml:space="preserve">., 1992; </w:t>
      </w:r>
      <w:r w:rsidRPr="00404B84">
        <w:rPr>
          <w:sz w:val="28"/>
          <w:szCs w:val="28"/>
          <w:lang w:val="en-US"/>
        </w:rPr>
        <w:t>Bone</w:t>
      </w:r>
      <w:r w:rsidRPr="004574F4">
        <w:rPr>
          <w:sz w:val="28"/>
          <w:szCs w:val="28"/>
        </w:rPr>
        <w:t xml:space="preserve"> </w:t>
      </w:r>
      <w:r w:rsidRPr="00404B84">
        <w:rPr>
          <w:sz w:val="28"/>
          <w:szCs w:val="28"/>
          <w:lang w:val="en-US"/>
        </w:rPr>
        <w:t>R</w:t>
      </w:r>
      <w:r w:rsidRPr="000315B9">
        <w:rPr>
          <w:sz w:val="28"/>
          <w:szCs w:val="28"/>
        </w:rPr>
        <w:t>.</w:t>
      </w:r>
      <w:r w:rsidRPr="00404B84">
        <w:rPr>
          <w:sz w:val="28"/>
          <w:szCs w:val="28"/>
          <w:lang w:val="en-US"/>
        </w:rPr>
        <w:t>S</w:t>
      </w:r>
      <w:r w:rsidRPr="000315B9">
        <w:rPr>
          <w:sz w:val="28"/>
          <w:szCs w:val="28"/>
        </w:rPr>
        <w:t xml:space="preserve">., 1996; </w:t>
      </w:r>
      <w:r w:rsidRPr="00404B84">
        <w:rPr>
          <w:sz w:val="28"/>
          <w:szCs w:val="28"/>
          <w:lang w:val="en-US"/>
        </w:rPr>
        <w:t>Baue</w:t>
      </w:r>
      <w:r w:rsidRPr="004574F4">
        <w:rPr>
          <w:sz w:val="28"/>
          <w:szCs w:val="28"/>
        </w:rPr>
        <w:t xml:space="preserve"> </w:t>
      </w:r>
      <w:r w:rsidRPr="00404B84">
        <w:rPr>
          <w:sz w:val="28"/>
          <w:szCs w:val="28"/>
          <w:lang w:val="en-US"/>
        </w:rPr>
        <w:t>A</w:t>
      </w:r>
      <w:r w:rsidRPr="000315B9">
        <w:rPr>
          <w:sz w:val="28"/>
          <w:szCs w:val="28"/>
        </w:rPr>
        <w:t>.</w:t>
      </w:r>
      <w:r w:rsidRPr="00404B84">
        <w:rPr>
          <w:sz w:val="28"/>
          <w:szCs w:val="28"/>
          <w:lang w:val="en-US"/>
        </w:rPr>
        <w:t>E</w:t>
      </w:r>
      <w:r w:rsidRPr="000315B9">
        <w:rPr>
          <w:sz w:val="28"/>
          <w:szCs w:val="28"/>
        </w:rPr>
        <w:t xml:space="preserve">. </w:t>
      </w:r>
      <w:r w:rsidRPr="00404B84">
        <w:rPr>
          <w:sz w:val="28"/>
          <w:szCs w:val="28"/>
          <w:lang w:val="en-US"/>
        </w:rPr>
        <w:t>et</w:t>
      </w:r>
      <w:r w:rsidRPr="004574F4">
        <w:rPr>
          <w:sz w:val="28"/>
          <w:szCs w:val="28"/>
        </w:rPr>
        <w:t xml:space="preserve"> </w:t>
      </w:r>
      <w:r w:rsidRPr="00404B84">
        <w:rPr>
          <w:sz w:val="28"/>
          <w:szCs w:val="28"/>
          <w:lang w:val="en-US"/>
        </w:rPr>
        <w:t>al</w:t>
      </w:r>
      <w:r w:rsidRPr="000315B9">
        <w:rPr>
          <w:sz w:val="28"/>
          <w:szCs w:val="28"/>
        </w:rPr>
        <w:t xml:space="preserve">., 1998; </w:t>
      </w:r>
      <w:r w:rsidRPr="00404B84">
        <w:rPr>
          <w:bCs/>
          <w:sz w:val="28"/>
          <w:szCs w:val="28"/>
          <w:lang w:val="en-US"/>
        </w:rPr>
        <w:t>Sprung</w:t>
      </w:r>
      <w:r w:rsidRPr="004574F4">
        <w:rPr>
          <w:bCs/>
          <w:sz w:val="28"/>
          <w:szCs w:val="28"/>
        </w:rPr>
        <w:t xml:space="preserve"> </w:t>
      </w:r>
      <w:r w:rsidRPr="00404B84">
        <w:rPr>
          <w:sz w:val="28"/>
          <w:szCs w:val="28"/>
          <w:lang w:val="en-US"/>
        </w:rPr>
        <w:t>C</w:t>
      </w:r>
      <w:r w:rsidRPr="000315B9">
        <w:rPr>
          <w:sz w:val="28"/>
          <w:szCs w:val="28"/>
        </w:rPr>
        <w:t>.</w:t>
      </w:r>
      <w:r w:rsidRPr="00404B84">
        <w:rPr>
          <w:bCs/>
          <w:sz w:val="28"/>
          <w:szCs w:val="28"/>
          <w:lang w:val="en-US"/>
        </w:rPr>
        <w:t>L</w:t>
      </w:r>
      <w:r w:rsidRPr="000315B9">
        <w:rPr>
          <w:sz w:val="28"/>
          <w:szCs w:val="28"/>
        </w:rPr>
        <w:t>.</w:t>
      </w:r>
      <w:r w:rsidRPr="000315B9">
        <w:rPr>
          <w:bCs/>
          <w:sz w:val="28"/>
          <w:szCs w:val="28"/>
        </w:rPr>
        <w:t xml:space="preserve">, </w:t>
      </w:r>
      <w:r w:rsidRPr="00404B84">
        <w:rPr>
          <w:sz w:val="28"/>
          <w:szCs w:val="28"/>
          <w:lang w:val="en-US"/>
        </w:rPr>
        <w:t>Matot</w:t>
      </w:r>
      <w:r w:rsidRPr="004574F4">
        <w:rPr>
          <w:sz w:val="28"/>
          <w:szCs w:val="28"/>
        </w:rPr>
        <w:t xml:space="preserve"> </w:t>
      </w:r>
      <w:r w:rsidRPr="00404B84">
        <w:rPr>
          <w:sz w:val="28"/>
          <w:szCs w:val="28"/>
          <w:lang w:val="en-US"/>
        </w:rPr>
        <w:t>Idit</w:t>
      </w:r>
      <w:r w:rsidRPr="000315B9">
        <w:rPr>
          <w:sz w:val="28"/>
          <w:szCs w:val="28"/>
        </w:rPr>
        <w:t xml:space="preserve">, </w:t>
      </w:r>
      <w:r w:rsidRPr="000315B9">
        <w:rPr>
          <w:sz w:val="28"/>
          <w:szCs w:val="28"/>
        </w:rPr>
        <w:lastRenderedPageBreak/>
        <w:t xml:space="preserve">2001; </w:t>
      </w:r>
      <w:r w:rsidRPr="00404B84">
        <w:rPr>
          <w:sz w:val="28"/>
          <w:szCs w:val="28"/>
          <w:lang w:val="en-US"/>
        </w:rPr>
        <w:t>Levy</w:t>
      </w:r>
      <w:r w:rsidRPr="004574F4">
        <w:rPr>
          <w:sz w:val="28"/>
          <w:szCs w:val="28"/>
        </w:rPr>
        <w:t xml:space="preserve"> </w:t>
      </w:r>
      <w:r w:rsidRPr="00404B84">
        <w:rPr>
          <w:sz w:val="28"/>
          <w:szCs w:val="28"/>
          <w:lang w:val="en-US"/>
        </w:rPr>
        <w:t>M</w:t>
      </w:r>
      <w:r w:rsidRPr="000315B9">
        <w:rPr>
          <w:sz w:val="28"/>
          <w:szCs w:val="28"/>
        </w:rPr>
        <w:t>.</w:t>
      </w:r>
      <w:r w:rsidRPr="00404B84">
        <w:rPr>
          <w:sz w:val="28"/>
          <w:szCs w:val="28"/>
          <w:lang w:val="en-US"/>
        </w:rPr>
        <w:t>M</w:t>
      </w:r>
      <w:r w:rsidRPr="000315B9">
        <w:rPr>
          <w:sz w:val="28"/>
          <w:szCs w:val="28"/>
        </w:rPr>
        <w:t xml:space="preserve">. </w:t>
      </w:r>
      <w:r w:rsidRPr="00404B84">
        <w:rPr>
          <w:sz w:val="28"/>
          <w:szCs w:val="28"/>
          <w:lang w:val="en-US"/>
        </w:rPr>
        <w:t>et</w:t>
      </w:r>
      <w:r w:rsidRPr="004574F4">
        <w:rPr>
          <w:sz w:val="28"/>
          <w:szCs w:val="28"/>
        </w:rPr>
        <w:t xml:space="preserve"> </w:t>
      </w:r>
      <w:r w:rsidRPr="00404B84">
        <w:rPr>
          <w:sz w:val="28"/>
          <w:szCs w:val="28"/>
          <w:lang w:val="en-US"/>
        </w:rPr>
        <w:t>al</w:t>
      </w:r>
      <w:r w:rsidRPr="000315B9">
        <w:rPr>
          <w:sz w:val="28"/>
          <w:szCs w:val="28"/>
        </w:rPr>
        <w:t>., 2003</w:t>
      </w:r>
      <w:r w:rsidRPr="00177C18">
        <w:rPr>
          <w:sz w:val="28"/>
          <w:szCs w:val="28"/>
        </w:rPr>
        <w:t>)</w:t>
      </w:r>
      <w:r w:rsidRPr="000315B9">
        <w:rPr>
          <w:sz w:val="28"/>
          <w:szCs w:val="28"/>
        </w:rPr>
        <w:t xml:space="preserve">. </w:t>
      </w:r>
      <w:r w:rsidRPr="00404B84">
        <w:rPr>
          <w:sz w:val="28"/>
          <w:szCs w:val="28"/>
        </w:rPr>
        <w:t xml:space="preserve">Данная классификация применима к сепсису различного происхождения, в том числе к одонтогенному, широко использовалась клиницистами до настоящего времени. В 2001 г. были предложены расширенные диагностические критерии сепсиса, получившие название «Сепсис-2». Они не получили широкого распространения в </w:t>
      </w:r>
      <w:r>
        <w:rPr>
          <w:sz w:val="28"/>
          <w:szCs w:val="28"/>
        </w:rPr>
        <w:t xml:space="preserve">клинической практике </w:t>
      </w:r>
      <w:r w:rsidRPr="00177C18">
        <w:rPr>
          <w:sz w:val="28"/>
          <w:szCs w:val="28"/>
        </w:rPr>
        <w:t>(</w:t>
      </w:r>
      <w:r>
        <w:rPr>
          <w:sz w:val="28"/>
          <w:szCs w:val="28"/>
        </w:rPr>
        <w:t>Руднов В.А., Кулабухов В.В., 2016</w:t>
      </w:r>
      <w:r w:rsidRPr="00177C18">
        <w:rPr>
          <w:sz w:val="28"/>
          <w:szCs w:val="28"/>
        </w:rPr>
        <w:t>)</w:t>
      </w:r>
      <w:r w:rsidRPr="00404B84">
        <w:rPr>
          <w:sz w:val="28"/>
          <w:szCs w:val="28"/>
        </w:rPr>
        <w:t>.</w:t>
      </w:r>
      <w:r>
        <w:rPr>
          <w:sz w:val="28"/>
          <w:szCs w:val="28"/>
        </w:rPr>
        <w:t xml:space="preserve"> </w:t>
      </w:r>
      <w:r w:rsidRPr="00404B84">
        <w:rPr>
          <w:sz w:val="28"/>
          <w:szCs w:val="28"/>
        </w:rPr>
        <w:t>Следующим этапом эволюции положений о сепсисе стало создание в 2014 г. по инициативе Европейского общества медицины критических состояний и Общества медицины критических состояний (</w:t>
      </w:r>
      <w:r w:rsidRPr="00404B84">
        <w:rPr>
          <w:sz w:val="28"/>
          <w:szCs w:val="28"/>
          <w:lang w:val="en-US"/>
        </w:rPr>
        <w:t>SCCM</w:t>
      </w:r>
      <w:r w:rsidRPr="00404B84">
        <w:rPr>
          <w:sz w:val="28"/>
          <w:szCs w:val="28"/>
        </w:rPr>
        <w:t>/</w:t>
      </w:r>
      <w:r w:rsidRPr="00404B84">
        <w:rPr>
          <w:sz w:val="28"/>
          <w:szCs w:val="28"/>
          <w:lang w:val="en-US"/>
        </w:rPr>
        <w:t>ESICM</w:t>
      </w:r>
      <w:r w:rsidRPr="00404B84">
        <w:rPr>
          <w:sz w:val="28"/>
          <w:szCs w:val="28"/>
        </w:rPr>
        <w:t xml:space="preserve">) рабочей группы, разработавшей принципиально новые положения и определения сепсиса (Сепсис-3). В частности, отмечается клиническая бесполезность критериев синдрома системной воспалительной реакции, отменено понятие «тяжелый сепсис», а стандартом определения органной дисфункции признана шкала </w:t>
      </w:r>
      <w:r w:rsidRPr="00404B84">
        <w:rPr>
          <w:sz w:val="28"/>
          <w:szCs w:val="28"/>
          <w:lang w:val="en-US"/>
        </w:rPr>
        <w:t>SOFA</w:t>
      </w:r>
      <w:r>
        <w:rPr>
          <w:sz w:val="28"/>
          <w:szCs w:val="28"/>
        </w:rPr>
        <w:t xml:space="preserve"> </w:t>
      </w:r>
      <w:r w:rsidRPr="00177C18">
        <w:rPr>
          <w:sz w:val="28"/>
          <w:szCs w:val="28"/>
        </w:rPr>
        <w:t>(</w:t>
      </w:r>
      <w:r w:rsidRPr="00404B84">
        <w:rPr>
          <w:rFonts w:cs="Helvetica"/>
          <w:sz w:val="28"/>
          <w:szCs w:val="28"/>
          <w:lang w:val="en-US"/>
        </w:rPr>
        <w:t>Singer</w:t>
      </w:r>
      <w:r w:rsidRPr="0006202D">
        <w:rPr>
          <w:rFonts w:cs="Helvetica"/>
          <w:sz w:val="28"/>
          <w:szCs w:val="28"/>
        </w:rPr>
        <w:t xml:space="preserve"> </w:t>
      </w:r>
      <w:r w:rsidRPr="00404B84">
        <w:rPr>
          <w:rFonts w:cs="Helvetica"/>
          <w:sz w:val="28"/>
          <w:szCs w:val="28"/>
          <w:lang w:val="en-US"/>
        </w:rPr>
        <w:t>M</w:t>
      </w:r>
      <w:r w:rsidRPr="00404B84">
        <w:rPr>
          <w:rFonts w:cs="Helvetica"/>
          <w:sz w:val="28"/>
          <w:szCs w:val="28"/>
        </w:rPr>
        <w:t xml:space="preserve">. </w:t>
      </w:r>
      <w:r w:rsidRPr="00404B84">
        <w:rPr>
          <w:rFonts w:cs="Helvetica"/>
          <w:sz w:val="28"/>
          <w:szCs w:val="28"/>
          <w:lang w:val="en-US"/>
        </w:rPr>
        <w:t>et</w:t>
      </w:r>
      <w:r w:rsidRPr="0006202D">
        <w:rPr>
          <w:rFonts w:cs="Helvetica"/>
          <w:sz w:val="28"/>
          <w:szCs w:val="28"/>
        </w:rPr>
        <w:t xml:space="preserve"> </w:t>
      </w:r>
      <w:r w:rsidRPr="00404B84">
        <w:rPr>
          <w:rFonts w:cs="Helvetica"/>
          <w:sz w:val="28"/>
          <w:szCs w:val="28"/>
          <w:lang w:val="en-US"/>
        </w:rPr>
        <w:t>al</w:t>
      </w:r>
      <w:r>
        <w:rPr>
          <w:rFonts w:cs="Helvetica"/>
          <w:sz w:val="28"/>
          <w:szCs w:val="28"/>
        </w:rPr>
        <w:t>., 2016</w:t>
      </w:r>
      <w:r w:rsidRPr="00177C18">
        <w:rPr>
          <w:rFonts w:cs="Helvetica"/>
          <w:sz w:val="28"/>
          <w:szCs w:val="28"/>
        </w:rPr>
        <w:t>)</w:t>
      </w:r>
      <w:r w:rsidRPr="00404B84">
        <w:rPr>
          <w:rFonts w:cs="Helvetica"/>
          <w:sz w:val="28"/>
          <w:szCs w:val="28"/>
        </w:rPr>
        <w:t>.</w:t>
      </w:r>
      <w:r>
        <w:rPr>
          <w:rFonts w:cs="Helvetica"/>
          <w:sz w:val="28"/>
          <w:szCs w:val="28"/>
        </w:rPr>
        <w:t xml:space="preserve"> </w:t>
      </w:r>
      <w:r w:rsidRPr="00404B84">
        <w:rPr>
          <w:sz w:val="28"/>
          <w:szCs w:val="28"/>
        </w:rPr>
        <w:t>Также в связи с введением новых клинических рекомендаций, предложен новый алгорит</w:t>
      </w:r>
      <w:r>
        <w:rPr>
          <w:sz w:val="28"/>
          <w:szCs w:val="28"/>
        </w:rPr>
        <w:t>м диагностики сепсиса (Рисунок 1</w:t>
      </w:r>
      <w:r w:rsidRPr="00404B84">
        <w:rPr>
          <w:sz w:val="28"/>
          <w:szCs w:val="28"/>
        </w:rPr>
        <w:t>).</w:t>
      </w:r>
    </w:p>
    <w:p w:rsidR="00286780" w:rsidRPr="00C5336B" w:rsidRDefault="00286780" w:rsidP="00126F71">
      <w:pPr>
        <w:spacing w:line="360" w:lineRule="auto"/>
        <w:ind w:right="99" w:firstLine="709"/>
        <w:jc w:val="both"/>
        <w:rPr>
          <w:sz w:val="28"/>
          <w:szCs w:val="28"/>
        </w:rPr>
      </w:pPr>
      <w:r w:rsidRPr="00C5336B">
        <w:rPr>
          <w:sz w:val="28"/>
          <w:szCs w:val="28"/>
        </w:rPr>
        <w:t xml:space="preserve">Для диагностики септического шока по алгоритму </w:t>
      </w:r>
      <w:r w:rsidRPr="00C5336B">
        <w:rPr>
          <w:sz w:val="28"/>
          <w:szCs w:val="28"/>
          <w:lang w:val="en-US"/>
        </w:rPr>
        <w:t>SCCM</w:t>
      </w:r>
      <w:r w:rsidRPr="00C5336B">
        <w:rPr>
          <w:sz w:val="28"/>
          <w:szCs w:val="28"/>
        </w:rPr>
        <w:t>/</w:t>
      </w:r>
      <w:r w:rsidRPr="00C5336B">
        <w:rPr>
          <w:sz w:val="28"/>
          <w:szCs w:val="28"/>
          <w:lang w:val="en-US"/>
        </w:rPr>
        <w:t>ESICM</w:t>
      </w:r>
      <w:r w:rsidRPr="00C5336B">
        <w:rPr>
          <w:sz w:val="28"/>
          <w:szCs w:val="28"/>
        </w:rPr>
        <w:t xml:space="preserve"> требуется определение лактата крови. Гиперлактатемия более 2 ммоль/л означает нарушение доставки и использования кислорода тканями, включение процессов анаэробного гликолиза.</w:t>
      </w:r>
    </w:p>
    <w:p w:rsidR="00286780" w:rsidRPr="00C5336B" w:rsidRDefault="00286780" w:rsidP="00126F71">
      <w:pPr>
        <w:spacing w:line="360" w:lineRule="auto"/>
        <w:ind w:right="99" w:firstLine="709"/>
        <w:jc w:val="both"/>
        <w:rPr>
          <w:sz w:val="28"/>
          <w:szCs w:val="28"/>
        </w:rPr>
      </w:pPr>
      <w:r w:rsidRPr="00C5336B">
        <w:rPr>
          <w:sz w:val="28"/>
          <w:szCs w:val="28"/>
        </w:rPr>
        <w:t>Представленная методика имеет как свои достоинства, так и недостатки. С одной стороны, из диагностики сепсиса как патологического процесса исключено понятие «сепсис без органной недостаточности», а термин «тяжелый сепсис» заменен на термин «сепсис», то есть наличие органной дисфункции для диагностики сепсиса является в данном случае обязательным. Это ограничивает круг септических пациентов, что создает предпосылки для более рационального использования денежных средств и коек реанимационного отделения</w:t>
      </w:r>
      <w:bookmarkStart w:id="5" w:name="_Hlk58774045"/>
    </w:p>
    <w:bookmarkEnd w:id="5"/>
    <w:p w:rsidR="000F335B" w:rsidRDefault="000F335B" w:rsidP="000F335B">
      <w:pPr>
        <w:spacing w:line="360" w:lineRule="auto"/>
        <w:ind w:firstLine="709"/>
        <w:jc w:val="both"/>
        <w:rPr>
          <w:sz w:val="28"/>
          <w:szCs w:val="28"/>
        </w:rPr>
      </w:pPr>
      <w:r>
        <w:rPr>
          <w:sz w:val="28"/>
          <w:szCs w:val="28"/>
        </w:rPr>
        <w:t>Как следует из Рисунка 1</w:t>
      </w:r>
      <w:r w:rsidRPr="00C5336B">
        <w:rPr>
          <w:sz w:val="28"/>
          <w:szCs w:val="28"/>
        </w:rPr>
        <w:t xml:space="preserve">, понятие «сепсис» обозначает наличие органной дисфункции, определяемой по шкале </w:t>
      </w:r>
      <w:r w:rsidRPr="00C5336B">
        <w:rPr>
          <w:sz w:val="28"/>
          <w:szCs w:val="28"/>
          <w:lang w:val="en-US"/>
        </w:rPr>
        <w:t>SOFA</w:t>
      </w:r>
      <w:r w:rsidRPr="00C5336B">
        <w:rPr>
          <w:sz w:val="28"/>
          <w:szCs w:val="28"/>
        </w:rPr>
        <w:t xml:space="preserve">. Показанием к оценке органной дисфункции может быть определение 2 или более баллов по дополнительной шкале </w:t>
      </w:r>
      <w:r w:rsidRPr="00C5336B">
        <w:rPr>
          <w:sz w:val="28"/>
          <w:szCs w:val="28"/>
          <w:lang w:val="en-US"/>
        </w:rPr>
        <w:t>qSOFA</w:t>
      </w:r>
      <w:r w:rsidRPr="00C5336B">
        <w:rPr>
          <w:sz w:val="28"/>
          <w:szCs w:val="28"/>
        </w:rPr>
        <w:t xml:space="preserve">, а </w:t>
      </w:r>
      <w:r>
        <w:rPr>
          <w:sz w:val="28"/>
          <w:szCs w:val="28"/>
        </w:rPr>
        <w:t>также</w:t>
      </w:r>
      <w:r w:rsidRPr="00C5336B">
        <w:rPr>
          <w:sz w:val="28"/>
          <w:szCs w:val="28"/>
        </w:rPr>
        <w:t xml:space="preserve"> сохраняющееся подозрение на сепсис при </w:t>
      </w:r>
      <w:r w:rsidRPr="00C5336B">
        <w:rPr>
          <w:sz w:val="28"/>
          <w:szCs w:val="28"/>
          <w:lang w:val="en-US"/>
        </w:rPr>
        <w:t>qSOFA</w:t>
      </w:r>
      <w:r>
        <w:rPr>
          <w:sz w:val="28"/>
          <w:szCs w:val="28"/>
        </w:rPr>
        <w:t>&lt;</w:t>
      </w:r>
      <w:r w:rsidRPr="00C5336B">
        <w:rPr>
          <w:sz w:val="28"/>
          <w:szCs w:val="28"/>
        </w:rPr>
        <w:t>2.</w:t>
      </w:r>
    </w:p>
    <w:p w:rsidR="00286780" w:rsidRPr="004A0CF0" w:rsidRDefault="00286780" w:rsidP="004A0CF0">
      <w:pPr>
        <w:jc w:val="both"/>
        <w:rPr>
          <w:sz w:val="28"/>
          <w:szCs w:val="28"/>
          <w:lang w:eastAsia="en-US"/>
        </w:rPr>
      </w:pPr>
    </w:p>
    <w:p w:rsidR="00286780" w:rsidRPr="004A0CF0" w:rsidRDefault="00807D20" w:rsidP="00C5336B">
      <w:pPr>
        <w:jc w:val="center"/>
        <w:rPr>
          <w:sz w:val="28"/>
          <w:szCs w:val="28"/>
          <w:lang w:eastAsia="en-US"/>
        </w:rPr>
      </w:pPr>
      <w:r>
        <w:rPr>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92.75pt;height:590.25pt;visibility:visible">
            <v:imagedata r:id="rId9" o:title=""/>
          </v:shape>
        </w:pict>
      </w:r>
    </w:p>
    <w:p w:rsidR="00286780" w:rsidRDefault="00286780" w:rsidP="00C5336B">
      <w:pPr>
        <w:pStyle w:val="a3"/>
        <w:rPr>
          <w:lang w:eastAsia="en-US"/>
        </w:rPr>
      </w:pPr>
      <w:r w:rsidRPr="00C5336B">
        <w:rPr>
          <w:b/>
        </w:rPr>
        <w:t xml:space="preserve">Рисунок </w:t>
      </w:r>
      <w:r>
        <w:rPr>
          <w:b/>
        </w:rPr>
        <w:t>1</w:t>
      </w:r>
      <w:r w:rsidRPr="00C5336B">
        <w:t xml:space="preserve"> – Алгоритм диагностики сепсиса в соответствии с критериями </w:t>
      </w:r>
      <w:r w:rsidRPr="00C5336B">
        <w:rPr>
          <w:lang w:val="en-US"/>
        </w:rPr>
        <w:t>SCCM</w:t>
      </w:r>
      <w:r w:rsidRPr="00C5336B">
        <w:t>/</w:t>
      </w:r>
      <w:r w:rsidRPr="00C5336B">
        <w:rPr>
          <w:lang w:val="en-US"/>
        </w:rPr>
        <w:t>ESICM</w:t>
      </w:r>
    </w:p>
    <w:p w:rsidR="00286780" w:rsidRDefault="00286780" w:rsidP="004A0CF0">
      <w:pPr>
        <w:jc w:val="both"/>
        <w:rPr>
          <w:sz w:val="28"/>
          <w:szCs w:val="28"/>
          <w:lang w:eastAsia="en-US"/>
        </w:rPr>
      </w:pPr>
    </w:p>
    <w:p w:rsidR="00286780" w:rsidRPr="00C5336B" w:rsidRDefault="00286780" w:rsidP="00126F71">
      <w:pPr>
        <w:spacing w:line="360" w:lineRule="auto"/>
        <w:ind w:right="99" w:firstLine="709"/>
        <w:jc w:val="both"/>
        <w:rPr>
          <w:sz w:val="28"/>
          <w:szCs w:val="28"/>
        </w:rPr>
      </w:pPr>
      <w:r w:rsidRPr="00C5336B">
        <w:rPr>
          <w:sz w:val="28"/>
          <w:szCs w:val="28"/>
        </w:rPr>
        <w:t xml:space="preserve">С другой стороны, использование диагностической шкалы </w:t>
      </w:r>
      <w:r w:rsidRPr="00C5336B">
        <w:rPr>
          <w:sz w:val="28"/>
          <w:szCs w:val="28"/>
          <w:lang w:val="en-US"/>
        </w:rPr>
        <w:t>SOFA</w:t>
      </w:r>
      <w:r w:rsidRPr="00C5336B">
        <w:rPr>
          <w:sz w:val="28"/>
          <w:szCs w:val="28"/>
        </w:rPr>
        <w:t xml:space="preserve"> предполагает обязательное определение парциального кислорода артериальной крови, а диагностика септического шока – определение лактата, что создает определенные трудности, связанные с увеличением нагрузки на клинические лаборатории </w:t>
      </w:r>
      <w:r w:rsidRPr="00C5336B">
        <w:rPr>
          <w:sz w:val="28"/>
          <w:szCs w:val="28"/>
        </w:rPr>
        <w:lastRenderedPageBreak/>
        <w:t xml:space="preserve">и дежурный медицинский персонал. </w:t>
      </w:r>
      <w:r>
        <w:rPr>
          <w:sz w:val="28"/>
          <w:szCs w:val="28"/>
        </w:rPr>
        <w:t>Также</w:t>
      </w:r>
      <w:r w:rsidRPr="00C5336B">
        <w:rPr>
          <w:sz w:val="28"/>
          <w:szCs w:val="28"/>
        </w:rPr>
        <w:t xml:space="preserve"> в алгоритме диагностики </w:t>
      </w:r>
      <w:r w:rsidRPr="00C5336B">
        <w:rPr>
          <w:sz w:val="28"/>
          <w:szCs w:val="28"/>
          <w:lang w:val="en-US"/>
        </w:rPr>
        <w:t>SCCM</w:t>
      </w:r>
      <w:r w:rsidRPr="00C5336B">
        <w:rPr>
          <w:sz w:val="28"/>
          <w:szCs w:val="28"/>
        </w:rPr>
        <w:t>/</w:t>
      </w:r>
      <w:r w:rsidRPr="00C5336B">
        <w:rPr>
          <w:sz w:val="28"/>
          <w:szCs w:val="28"/>
          <w:lang w:val="en-US"/>
        </w:rPr>
        <w:t>ESICM</w:t>
      </w:r>
      <w:r w:rsidRPr="00C5336B">
        <w:rPr>
          <w:sz w:val="28"/>
          <w:szCs w:val="28"/>
        </w:rPr>
        <w:t xml:space="preserve"> отсутствует понятие инфекционного процесса, что позволяет необоснованно ставить диагноз «сепсис» в том числе при отсутствии какого-либо воспаления. </w:t>
      </w:r>
    </w:p>
    <w:p w:rsidR="00286780" w:rsidRPr="00C5336B" w:rsidRDefault="00286780" w:rsidP="00C5336B">
      <w:pPr>
        <w:spacing w:line="360" w:lineRule="auto"/>
        <w:ind w:right="99" w:firstLine="709"/>
        <w:jc w:val="both"/>
        <w:rPr>
          <w:sz w:val="28"/>
          <w:szCs w:val="28"/>
        </w:rPr>
      </w:pPr>
      <w:r w:rsidRPr="00C5336B">
        <w:rPr>
          <w:sz w:val="28"/>
          <w:szCs w:val="28"/>
        </w:rPr>
        <w:t xml:space="preserve">Таким образом, алгоритм </w:t>
      </w:r>
      <w:r w:rsidRPr="00C5336B">
        <w:rPr>
          <w:sz w:val="28"/>
          <w:szCs w:val="28"/>
          <w:lang w:val="en-US"/>
        </w:rPr>
        <w:t>SCCM</w:t>
      </w:r>
      <w:r w:rsidRPr="00C5336B">
        <w:rPr>
          <w:sz w:val="28"/>
          <w:szCs w:val="28"/>
        </w:rPr>
        <w:t>/</w:t>
      </w:r>
      <w:r w:rsidRPr="00C5336B">
        <w:rPr>
          <w:sz w:val="28"/>
          <w:szCs w:val="28"/>
          <w:lang w:val="en-US"/>
        </w:rPr>
        <w:t>ESICM</w:t>
      </w:r>
      <w:r w:rsidRPr="00C5336B">
        <w:rPr>
          <w:sz w:val="28"/>
          <w:szCs w:val="28"/>
        </w:rPr>
        <w:t xml:space="preserve"> требует дальнейшей доработки и обсуждения.</w:t>
      </w:r>
    </w:p>
    <w:p w:rsidR="00286780" w:rsidRPr="00C5336B" w:rsidRDefault="00286780" w:rsidP="00C5336B">
      <w:pPr>
        <w:spacing w:line="360" w:lineRule="auto"/>
        <w:ind w:right="99" w:firstLine="709"/>
        <w:jc w:val="both"/>
        <w:rPr>
          <w:sz w:val="28"/>
          <w:szCs w:val="28"/>
        </w:rPr>
      </w:pPr>
      <w:r w:rsidRPr="00C5336B">
        <w:rPr>
          <w:sz w:val="28"/>
          <w:szCs w:val="28"/>
        </w:rPr>
        <w:t xml:space="preserve">Медиастинит </w:t>
      </w:r>
      <w:r>
        <w:rPr>
          <w:sz w:val="28"/>
          <w:szCs w:val="28"/>
        </w:rPr>
        <w:t>также</w:t>
      </w:r>
      <w:r w:rsidRPr="00C5336B">
        <w:rPr>
          <w:sz w:val="28"/>
          <w:szCs w:val="28"/>
        </w:rPr>
        <w:t xml:space="preserve"> является одними из наиболее тяжелых осложнений воспалительных процессов челюстно-л</w:t>
      </w:r>
      <w:r>
        <w:rPr>
          <w:sz w:val="28"/>
          <w:szCs w:val="28"/>
        </w:rPr>
        <w:t xml:space="preserve">ицевой области </w:t>
      </w:r>
      <w:r w:rsidRPr="00177C18">
        <w:rPr>
          <w:sz w:val="28"/>
          <w:szCs w:val="28"/>
        </w:rPr>
        <w:t>(</w:t>
      </w:r>
      <w:r>
        <w:rPr>
          <w:sz w:val="28"/>
          <w:szCs w:val="28"/>
        </w:rPr>
        <w:t>Шаргородский А.Г., 2001; Губин М.А., 2004, 2003, 1987; Козлов В.А., 2008</w:t>
      </w:r>
      <w:r w:rsidRPr="00177C18">
        <w:rPr>
          <w:sz w:val="28"/>
          <w:szCs w:val="28"/>
        </w:rPr>
        <w:t>)</w:t>
      </w:r>
      <w:r w:rsidRPr="00C5336B">
        <w:rPr>
          <w:sz w:val="28"/>
          <w:szCs w:val="28"/>
        </w:rPr>
        <w:t>.</w:t>
      </w:r>
      <w:r>
        <w:rPr>
          <w:sz w:val="28"/>
          <w:szCs w:val="28"/>
        </w:rPr>
        <w:t xml:space="preserve"> </w:t>
      </w:r>
      <w:r w:rsidRPr="00C5336B">
        <w:rPr>
          <w:sz w:val="28"/>
          <w:szCs w:val="28"/>
        </w:rPr>
        <w:t>В клинической практике используется общехирургическая классификация медиастинитов, различающая медиастиниты по источнику инфицирования, локализации, фаз</w:t>
      </w:r>
      <w:r>
        <w:rPr>
          <w:sz w:val="28"/>
          <w:szCs w:val="28"/>
        </w:rPr>
        <w:t xml:space="preserve">е развития и другим признакам </w:t>
      </w:r>
      <w:r w:rsidRPr="00177C18">
        <w:rPr>
          <w:sz w:val="28"/>
          <w:szCs w:val="28"/>
        </w:rPr>
        <w:t>(</w:t>
      </w:r>
      <w:r w:rsidRPr="00C5336B">
        <w:rPr>
          <w:sz w:val="28"/>
          <w:szCs w:val="28"/>
        </w:rPr>
        <w:t>Ив</w:t>
      </w:r>
      <w:r>
        <w:rPr>
          <w:sz w:val="28"/>
          <w:szCs w:val="28"/>
        </w:rPr>
        <w:t>анов А.Я., 1959; Слесаренко С.С и др., 2005; Гостищев В.К., 2012</w:t>
      </w:r>
      <w:r w:rsidRPr="00177C18">
        <w:rPr>
          <w:sz w:val="28"/>
          <w:szCs w:val="28"/>
        </w:rPr>
        <w:t>)</w:t>
      </w:r>
      <w:r w:rsidRPr="00C5336B">
        <w:rPr>
          <w:sz w:val="28"/>
          <w:szCs w:val="28"/>
        </w:rPr>
        <w:t>. Данная классификация является общехирургической, она применима для описания медиастинитов различного происхождения. Существует классификация о</w:t>
      </w:r>
      <w:r>
        <w:rPr>
          <w:sz w:val="28"/>
          <w:szCs w:val="28"/>
        </w:rPr>
        <w:t>донтогенных медиастинитов по Н.</w:t>
      </w:r>
      <w:r w:rsidRPr="00C5336B">
        <w:rPr>
          <w:sz w:val="28"/>
          <w:szCs w:val="28"/>
        </w:rPr>
        <w:t>Г. Попову (1971 г.), не имеющая принципиальных отличий от вышеобозначенной о</w:t>
      </w:r>
      <w:r>
        <w:rPr>
          <w:sz w:val="28"/>
          <w:szCs w:val="28"/>
        </w:rPr>
        <w:t xml:space="preserve">бщехирургической классификации </w:t>
      </w:r>
      <w:r w:rsidRPr="00177C18">
        <w:rPr>
          <w:sz w:val="28"/>
          <w:szCs w:val="28"/>
        </w:rPr>
        <w:t>(</w:t>
      </w:r>
      <w:r w:rsidRPr="00C5336B">
        <w:rPr>
          <w:sz w:val="28"/>
          <w:szCs w:val="28"/>
        </w:rPr>
        <w:t>Гир</w:t>
      </w:r>
      <w:r>
        <w:rPr>
          <w:sz w:val="28"/>
          <w:szCs w:val="28"/>
        </w:rPr>
        <w:t>ко Е.И., 1994</w:t>
      </w:r>
      <w:r w:rsidRPr="00177C18">
        <w:rPr>
          <w:sz w:val="28"/>
          <w:szCs w:val="28"/>
        </w:rPr>
        <w:t>)</w:t>
      </w:r>
      <w:r w:rsidRPr="00C5336B">
        <w:rPr>
          <w:sz w:val="28"/>
          <w:szCs w:val="28"/>
        </w:rPr>
        <w:t>.</w:t>
      </w:r>
    </w:p>
    <w:p w:rsidR="00286780" w:rsidRPr="00C5336B" w:rsidRDefault="00286780" w:rsidP="00C5336B">
      <w:pPr>
        <w:spacing w:line="360" w:lineRule="auto"/>
        <w:ind w:right="99" w:firstLine="709"/>
        <w:jc w:val="both"/>
        <w:rPr>
          <w:sz w:val="28"/>
          <w:szCs w:val="28"/>
        </w:rPr>
      </w:pPr>
      <w:r>
        <w:rPr>
          <w:sz w:val="28"/>
          <w:szCs w:val="28"/>
        </w:rPr>
        <w:t>Также</w:t>
      </w:r>
      <w:r w:rsidRPr="00C5336B">
        <w:rPr>
          <w:sz w:val="28"/>
          <w:szCs w:val="28"/>
        </w:rPr>
        <w:t xml:space="preserve"> разработаны </w:t>
      </w:r>
      <w:r>
        <w:rPr>
          <w:sz w:val="28"/>
          <w:szCs w:val="28"/>
        </w:rPr>
        <w:t>"</w:t>
      </w:r>
      <w:r w:rsidRPr="00C5336B">
        <w:rPr>
          <w:sz w:val="28"/>
          <w:szCs w:val="28"/>
        </w:rPr>
        <w:t>клинические классификации вторичных внутричерепных осложнений, наиболее полно представленные при осложнениях воспалительных забол</w:t>
      </w:r>
      <w:r>
        <w:rPr>
          <w:sz w:val="28"/>
          <w:szCs w:val="28"/>
        </w:rPr>
        <w:t xml:space="preserve">еваний ЛОР-органов" </w:t>
      </w:r>
      <w:r w:rsidRPr="00177C18">
        <w:rPr>
          <w:sz w:val="28"/>
          <w:szCs w:val="28"/>
        </w:rPr>
        <w:t>(</w:t>
      </w:r>
      <w:r>
        <w:rPr>
          <w:sz w:val="28"/>
          <w:szCs w:val="28"/>
        </w:rPr>
        <w:t>Воронкин В.Ф., 2000; Аринова С.П., 2012; Древаль О.Н. и др., 2015; Криволапов А.А., 2016; Янов Ю.К. и др., 2016</w:t>
      </w:r>
      <w:r w:rsidRPr="00177C18">
        <w:rPr>
          <w:sz w:val="28"/>
          <w:szCs w:val="28"/>
        </w:rPr>
        <w:t>)</w:t>
      </w:r>
      <w:r w:rsidRPr="00C5336B">
        <w:rPr>
          <w:sz w:val="28"/>
          <w:szCs w:val="28"/>
        </w:rPr>
        <w:t xml:space="preserve">. В соответствующей классификации </w:t>
      </w:r>
      <w:r>
        <w:rPr>
          <w:sz w:val="28"/>
          <w:szCs w:val="28"/>
        </w:rPr>
        <w:t>"</w:t>
      </w:r>
      <w:r w:rsidRPr="00C5336B">
        <w:rPr>
          <w:sz w:val="28"/>
          <w:szCs w:val="28"/>
        </w:rPr>
        <w:t>вторичные внутричерепные осложнения гнойных заболеваний лица и шеи выделяют пять клинических групп заболеваний: 1) токсико-инфекционный отек оболочек головного мозга, 2) менингит и менингоэнцефалит, 3) тромбоз кавернозного синуса, 4) тромбоз кавернозного синуса и менингоэнцефалит, 5) аб</w:t>
      </w:r>
      <w:r>
        <w:rPr>
          <w:sz w:val="28"/>
          <w:szCs w:val="28"/>
        </w:rPr>
        <w:t xml:space="preserve">сцесс головного мозга" </w:t>
      </w:r>
      <w:r w:rsidRPr="00177C18">
        <w:rPr>
          <w:sz w:val="28"/>
          <w:szCs w:val="28"/>
        </w:rPr>
        <w:t>(</w:t>
      </w:r>
      <w:r>
        <w:rPr>
          <w:sz w:val="28"/>
          <w:szCs w:val="28"/>
        </w:rPr>
        <w:t>Губин М.А. и др., 2000; Чевардов Н.И., 2000</w:t>
      </w:r>
      <w:r w:rsidRPr="00177C18">
        <w:rPr>
          <w:sz w:val="28"/>
          <w:szCs w:val="28"/>
        </w:rPr>
        <w:t>)</w:t>
      </w:r>
      <w:r w:rsidRPr="00C5336B">
        <w:rPr>
          <w:sz w:val="28"/>
          <w:szCs w:val="28"/>
        </w:rPr>
        <w:t xml:space="preserve">. </w:t>
      </w:r>
      <w:r>
        <w:rPr>
          <w:sz w:val="28"/>
          <w:szCs w:val="28"/>
        </w:rPr>
        <w:t>"</w:t>
      </w:r>
      <w:r w:rsidRPr="00C5336B">
        <w:rPr>
          <w:sz w:val="28"/>
          <w:szCs w:val="28"/>
        </w:rPr>
        <w:t>Токсико-инфекционный отек оболочек головного мозга</w:t>
      </w:r>
      <w:r>
        <w:rPr>
          <w:sz w:val="28"/>
          <w:szCs w:val="28"/>
        </w:rPr>
        <w:t>"</w:t>
      </w:r>
      <w:r w:rsidRPr="00C5336B">
        <w:rPr>
          <w:sz w:val="28"/>
          <w:szCs w:val="28"/>
        </w:rPr>
        <w:t xml:space="preserve"> является, фактически, серозным менингитом, развивающимся как осложнение абсцесса (флегмоны) челюстно-лицевой области.</w:t>
      </w:r>
    </w:p>
    <w:p w:rsidR="00286780" w:rsidRPr="00C5336B" w:rsidRDefault="00286780" w:rsidP="00C5336B">
      <w:pPr>
        <w:spacing w:line="360" w:lineRule="auto"/>
        <w:ind w:right="99" w:firstLine="709"/>
        <w:jc w:val="both"/>
        <w:rPr>
          <w:sz w:val="28"/>
          <w:szCs w:val="28"/>
        </w:rPr>
      </w:pPr>
      <w:r w:rsidRPr="00C5336B">
        <w:rPr>
          <w:sz w:val="28"/>
          <w:szCs w:val="28"/>
        </w:rPr>
        <w:lastRenderedPageBreak/>
        <w:t>В целом, классификации гнойно-воспалительных заболеваний челюстно-лицевой области и их осложнений информативны, практичны и разработаны достаточно подробно, но не позволяют дать оценку влияния фоновых заболеваний на патогенез, клиническую картину и исход основного патологического процесса. Отсутствуют разделы, посвященные коморбидным состояниям.</w:t>
      </w:r>
    </w:p>
    <w:p w:rsidR="00286780" w:rsidRPr="00C5336B" w:rsidRDefault="00286780" w:rsidP="00C5336B">
      <w:pPr>
        <w:spacing w:line="360" w:lineRule="auto"/>
        <w:ind w:right="99" w:firstLine="709"/>
        <w:jc w:val="both"/>
        <w:rPr>
          <w:sz w:val="28"/>
          <w:szCs w:val="28"/>
        </w:rPr>
      </w:pPr>
      <w:r w:rsidRPr="00C5336B">
        <w:rPr>
          <w:sz w:val="28"/>
          <w:szCs w:val="28"/>
        </w:rPr>
        <w:t xml:space="preserve">Вопросы статистики, систематики и классификации общесоматической терапевтической патологии детально освещены в многочисленных учебниках, статьях, практических руководствах, предназначенных, в основном, для врачей-терапевтов и студентов. В них </w:t>
      </w:r>
      <w:r>
        <w:rPr>
          <w:sz w:val="28"/>
          <w:szCs w:val="28"/>
        </w:rPr>
        <w:t>также</w:t>
      </w:r>
      <w:r w:rsidRPr="00C5336B">
        <w:rPr>
          <w:sz w:val="28"/>
          <w:szCs w:val="28"/>
        </w:rPr>
        <w:t xml:space="preserve"> отсутствуют понятия взаимосвязи между заболеваниями внутренних органов и хирургическими гнойными заболеваниями. </w:t>
      </w:r>
    </w:p>
    <w:p w:rsidR="00286780" w:rsidRPr="00C5336B" w:rsidRDefault="00286780" w:rsidP="00C5336B">
      <w:pPr>
        <w:spacing w:line="360" w:lineRule="auto"/>
        <w:ind w:right="99" w:firstLine="709"/>
        <w:jc w:val="both"/>
        <w:rPr>
          <w:sz w:val="28"/>
          <w:szCs w:val="28"/>
        </w:rPr>
      </w:pPr>
      <w:r w:rsidRPr="00C5336B">
        <w:rPr>
          <w:sz w:val="28"/>
          <w:szCs w:val="28"/>
        </w:rPr>
        <w:t>В доступной литературе не обнаружено классификации гнойно-воспалительных заболеваний челюстно-лицевой о</w:t>
      </w:r>
      <w:r>
        <w:rPr>
          <w:sz w:val="28"/>
          <w:szCs w:val="28"/>
        </w:rPr>
        <w:t>бласти</w:t>
      </w:r>
      <w:r w:rsidRPr="00C5336B">
        <w:rPr>
          <w:sz w:val="28"/>
          <w:szCs w:val="28"/>
        </w:rPr>
        <w:t>, отражающей наличие фоновой патологии и синдрома взаимного отягощения.</w:t>
      </w:r>
    </w:p>
    <w:p w:rsidR="00286780" w:rsidRDefault="00286780" w:rsidP="004A0CF0">
      <w:pPr>
        <w:jc w:val="both"/>
        <w:rPr>
          <w:sz w:val="28"/>
          <w:szCs w:val="28"/>
          <w:lang w:eastAsia="en-US"/>
        </w:rPr>
      </w:pPr>
    </w:p>
    <w:p w:rsidR="00286780" w:rsidRPr="00457501" w:rsidRDefault="00286780" w:rsidP="00457501">
      <w:pPr>
        <w:pStyle w:val="20"/>
        <w:spacing w:line="360" w:lineRule="auto"/>
        <w:jc w:val="both"/>
      </w:pPr>
      <w:bookmarkStart w:id="6" w:name="_Toc67905689"/>
      <w:r>
        <w:t xml:space="preserve">1.4. </w:t>
      </w:r>
      <w:r w:rsidRPr="00C5336B">
        <w:t>Этиология и патогенез острых воспалительных заболеваний челюстно-лицевой области с учетом фоновой полиорганной патологии и синдрома взаимного отягощения</w:t>
      </w:r>
      <w:bookmarkEnd w:id="6"/>
    </w:p>
    <w:p w:rsidR="00286780" w:rsidRPr="00C5336B" w:rsidRDefault="00286780" w:rsidP="00457501">
      <w:pPr>
        <w:spacing w:line="360" w:lineRule="auto"/>
        <w:ind w:right="99" w:firstLine="709"/>
        <w:jc w:val="both"/>
        <w:rPr>
          <w:sz w:val="28"/>
          <w:szCs w:val="28"/>
        </w:rPr>
      </w:pPr>
      <w:r w:rsidRPr="00C5336B">
        <w:rPr>
          <w:sz w:val="28"/>
          <w:szCs w:val="28"/>
        </w:rPr>
        <w:t xml:space="preserve">В настоящее время инфекционная природа воспалительных заболеваний челюстно-лицевой области и шеи не вызывает сомнений </w:t>
      </w:r>
      <w:r>
        <w:rPr>
          <w:sz w:val="28"/>
          <w:szCs w:val="28"/>
        </w:rPr>
        <w:t>(</w:t>
      </w:r>
      <w:r>
        <w:rPr>
          <w:sz w:val="28"/>
          <w:szCs w:val="28"/>
          <w:shd w:val="clear" w:color="auto" w:fill="FFFFFF"/>
        </w:rPr>
        <w:t>Миронов А.</w:t>
      </w:r>
      <w:r w:rsidRPr="00C5336B">
        <w:rPr>
          <w:sz w:val="28"/>
          <w:szCs w:val="28"/>
          <w:shd w:val="clear" w:color="auto" w:fill="FFFFFF"/>
        </w:rPr>
        <w:t xml:space="preserve">Ю. и др., 1998; </w:t>
      </w:r>
      <w:r>
        <w:rPr>
          <w:sz w:val="28"/>
          <w:szCs w:val="28"/>
        </w:rPr>
        <w:t>Шаргородский А.</w:t>
      </w:r>
      <w:r w:rsidRPr="00C5336B">
        <w:rPr>
          <w:sz w:val="28"/>
          <w:szCs w:val="28"/>
        </w:rPr>
        <w:t>Г., 2001;</w:t>
      </w:r>
      <w:r w:rsidRPr="0006202D">
        <w:rPr>
          <w:sz w:val="28"/>
          <w:szCs w:val="28"/>
        </w:rPr>
        <w:t xml:space="preserve"> </w:t>
      </w:r>
      <w:r>
        <w:rPr>
          <w:sz w:val="28"/>
          <w:szCs w:val="28"/>
        </w:rPr>
        <w:t>Робустова Т.</w:t>
      </w:r>
      <w:r w:rsidRPr="00C5336B">
        <w:rPr>
          <w:sz w:val="28"/>
          <w:szCs w:val="28"/>
        </w:rPr>
        <w:t xml:space="preserve">Г., 2003; </w:t>
      </w:r>
      <w:r>
        <w:rPr>
          <w:sz w:val="28"/>
          <w:szCs w:val="28"/>
          <w:shd w:val="clear" w:color="auto" w:fill="FFFFFF"/>
        </w:rPr>
        <w:t>Иванов A.</w:t>
      </w:r>
      <w:r w:rsidRPr="00C5336B">
        <w:rPr>
          <w:sz w:val="28"/>
          <w:szCs w:val="28"/>
          <w:shd w:val="clear" w:color="auto" w:fill="FFFFFF"/>
        </w:rPr>
        <w:t>C. и др., 2005</w:t>
      </w:r>
      <w:r>
        <w:rPr>
          <w:sz w:val="28"/>
          <w:szCs w:val="28"/>
        </w:rPr>
        <w:t>)</w:t>
      </w:r>
      <w:r w:rsidRPr="00C5336B">
        <w:rPr>
          <w:sz w:val="28"/>
          <w:szCs w:val="28"/>
        </w:rPr>
        <w:t>.</w:t>
      </w:r>
    </w:p>
    <w:p w:rsidR="00286780" w:rsidRDefault="00286780" w:rsidP="00C5336B">
      <w:pPr>
        <w:spacing w:line="360" w:lineRule="auto"/>
        <w:ind w:right="99" w:firstLine="709"/>
        <w:jc w:val="both"/>
        <w:rPr>
          <w:sz w:val="28"/>
          <w:szCs w:val="28"/>
        </w:rPr>
      </w:pPr>
      <w:r w:rsidRPr="00C5336B">
        <w:rPr>
          <w:sz w:val="28"/>
          <w:szCs w:val="28"/>
        </w:rPr>
        <w:t>Острые одонтогенные воспалительные процессы являются инфекционными заболеваниями, развивающимися в результате внедрения микрофлоры через разрушенные ткани зуба и краев</w:t>
      </w:r>
      <w:r>
        <w:rPr>
          <w:sz w:val="28"/>
          <w:szCs w:val="28"/>
        </w:rPr>
        <w:t>ой пародонт в окружающие ткани (</w:t>
      </w:r>
      <w:r w:rsidRPr="00C5336B">
        <w:rPr>
          <w:sz w:val="28"/>
          <w:szCs w:val="28"/>
        </w:rPr>
        <w:t>Шаргород</w:t>
      </w:r>
      <w:r>
        <w:rPr>
          <w:sz w:val="28"/>
          <w:szCs w:val="28"/>
        </w:rPr>
        <w:t>ский А.</w:t>
      </w:r>
      <w:r w:rsidRPr="00C5336B">
        <w:rPr>
          <w:sz w:val="28"/>
          <w:szCs w:val="28"/>
        </w:rPr>
        <w:t xml:space="preserve">Г., 2001; </w:t>
      </w:r>
      <w:r>
        <w:rPr>
          <w:sz w:val="28"/>
          <w:szCs w:val="28"/>
          <w:shd w:val="clear" w:color="auto" w:fill="FFFFFF"/>
        </w:rPr>
        <w:t>Кабакова С.А., Погоцкий А.</w:t>
      </w:r>
      <w:r w:rsidRPr="00C5336B">
        <w:rPr>
          <w:sz w:val="28"/>
          <w:szCs w:val="28"/>
          <w:shd w:val="clear" w:color="auto" w:fill="FFFFFF"/>
        </w:rPr>
        <w:t xml:space="preserve">К., 2003; </w:t>
      </w:r>
      <w:r w:rsidRPr="00C5336B">
        <w:rPr>
          <w:sz w:val="28"/>
          <w:szCs w:val="28"/>
        </w:rPr>
        <w:t>Ву Вьет Конг и др., 2014]. Большинство инфекций полости рта вызывается аэробно-анаэробными ассоциациями или ассоци</w:t>
      </w:r>
      <w:r>
        <w:rPr>
          <w:sz w:val="28"/>
          <w:szCs w:val="28"/>
        </w:rPr>
        <w:t xml:space="preserve">ациями анаэробов </w:t>
      </w:r>
      <w:r w:rsidRPr="0006202D">
        <w:rPr>
          <w:sz w:val="28"/>
          <w:szCs w:val="28"/>
        </w:rPr>
        <w:t>(</w:t>
      </w:r>
      <w:r>
        <w:rPr>
          <w:sz w:val="28"/>
          <w:szCs w:val="28"/>
        </w:rPr>
        <w:t>Бернадский Ю.И., 1998; Робустова Т.Г. и др., 2006; Артеменко К.Л., 2007).</w:t>
      </w:r>
    </w:p>
    <w:p w:rsidR="00286780" w:rsidRPr="00BE255A" w:rsidRDefault="00286780" w:rsidP="00C5336B">
      <w:pPr>
        <w:spacing w:line="360" w:lineRule="auto"/>
        <w:ind w:right="99" w:firstLine="709"/>
        <w:jc w:val="both"/>
        <w:rPr>
          <w:sz w:val="28"/>
          <w:szCs w:val="28"/>
        </w:rPr>
      </w:pPr>
      <w:r w:rsidRPr="00C5336B">
        <w:rPr>
          <w:sz w:val="28"/>
          <w:szCs w:val="28"/>
        </w:rPr>
        <w:t>Аэробно-анаэробные ассоциации состоят, как правило, из 3-4 видов, вступающих в синергические и антагони</w:t>
      </w:r>
      <w:r>
        <w:rPr>
          <w:sz w:val="28"/>
          <w:szCs w:val="28"/>
        </w:rPr>
        <w:t>стические отношения (Воложин А.</w:t>
      </w:r>
      <w:r w:rsidRPr="00C5336B">
        <w:rPr>
          <w:sz w:val="28"/>
          <w:szCs w:val="28"/>
        </w:rPr>
        <w:t>И., Рогин</w:t>
      </w:r>
      <w:r>
        <w:rPr>
          <w:sz w:val="28"/>
          <w:szCs w:val="28"/>
        </w:rPr>
        <w:lastRenderedPageBreak/>
        <w:t>ский В.В., 1998; Рогинский В.</w:t>
      </w:r>
      <w:r w:rsidRPr="00C5336B">
        <w:rPr>
          <w:sz w:val="28"/>
          <w:szCs w:val="28"/>
        </w:rPr>
        <w:t>В. и др., 1998</w:t>
      </w:r>
      <w:r w:rsidRPr="00C5336B">
        <w:rPr>
          <w:sz w:val="28"/>
          <w:szCs w:val="28"/>
          <w:shd w:val="clear" w:color="auto" w:fill="FFFFFF"/>
        </w:rPr>
        <w:t xml:space="preserve">; </w:t>
      </w:r>
      <w:r w:rsidRPr="00C5336B">
        <w:rPr>
          <w:sz w:val="28"/>
          <w:szCs w:val="28"/>
          <w:shd w:val="clear" w:color="auto" w:fill="FFFFFF"/>
          <w:lang w:val="en-US"/>
        </w:rPr>
        <w:t>Wall</w:t>
      </w:r>
      <w:r w:rsidRPr="0006202D">
        <w:rPr>
          <w:sz w:val="28"/>
          <w:szCs w:val="28"/>
          <w:shd w:val="clear" w:color="auto" w:fill="FFFFFF"/>
        </w:rPr>
        <w:t xml:space="preserve"> </w:t>
      </w:r>
      <w:r w:rsidRPr="00C5336B">
        <w:rPr>
          <w:sz w:val="28"/>
          <w:szCs w:val="28"/>
          <w:shd w:val="clear" w:color="auto" w:fill="FFFFFF"/>
          <w:lang w:val="en-US"/>
        </w:rPr>
        <w:t>D</w:t>
      </w:r>
      <w:r>
        <w:rPr>
          <w:sz w:val="28"/>
          <w:szCs w:val="28"/>
          <w:shd w:val="clear" w:color="auto" w:fill="FFFFFF"/>
        </w:rPr>
        <w:t xml:space="preserve">. </w:t>
      </w:r>
      <w:r w:rsidRPr="00C5336B">
        <w:rPr>
          <w:sz w:val="28"/>
          <w:szCs w:val="28"/>
          <w:shd w:val="clear" w:color="auto" w:fill="FFFFFF"/>
        </w:rPr>
        <w:t>В</w:t>
      </w:r>
      <w:r w:rsidRPr="00BE255A">
        <w:rPr>
          <w:sz w:val="28"/>
          <w:szCs w:val="28"/>
          <w:shd w:val="clear" w:color="auto" w:fill="FFFFFF"/>
        </w:rPr>
        <w:t xml:space="preserve">. </w:t>
      </w:r>
      <w:r w:rsidRPr="00F52145">
        <w:rPr>
          <w:sz w:val="28"/>
          <w:szCs w:val="28"/>
          <w:shd w:val="clear" w:color="auto" w:fill="FFFFFF"/>
          <w:lang w:val="fr-FR"/>
        </w:rPr>
        <w:t>et</w:t>
      </w:r>
      <w:r w:rsidRPr="00BE255A">
        <w:rPr>
          <w:sz w:val="28"/>
          <w:szCs w:val="28"/>
          <w:shd w:val="clear" w:color="auto" w:fill="FFFFFF"/>
        </w:rPr>
        <w:t xml:space="preserve"> </w:t>
      </w:r>
      <w:r w:rsidRPr="00F52145">
        <w:rPr>
          <w:sz w:val="28"/>
          <w:szCs w:val="28"/>
          <w:shd w:val="clear" w:color="auto" w:fill="FFFFFF"/>
          <w:lang w:val="fr-FR"/>
        </w:rPr>
        <w:t>al</w:t>
      </w:r>
      <w:r w:rsidRPr="00BE255A">
        <w:rPr>
          <w:sz w:val="28"/>
          <w:szCs w:val="28"/>
          <w:shd w:val="clear" w:color="auto" w:fill="FFFFFF"/>
        </w:rPr>
        <w:t xml:space="preserve">., 2000; </w:t>
      </w:r>
      <w:r w:rsidRPr="00F52145">
        <w:rPr>
          <w:sz w:val="28"/>
          <w:szCs w:val="28"/>
          <w:shd w:val="clear" w:color="auto" w:fill="FFFFFF"/>
          <w:lang w:val="fr-FR"/>
        </w:rPr>
        <w:t>Simonart</w:t>
      </w:r>
      <w:r w:rsidRPr="00BE255A">
        <w:rPr>
          <w:sz w:val="28"/>
          <w:szCs w:val="28"/>
          <w:shd w:val="clear" w:color="auto" w:fill="FFFFFF"/>
        </w:rPr>
        <w:t xml:space="preserve"> </w:t>
      </w:r>
      <w:r w:rsidRPr="00F52145">
        <w:rPr>
          <w:sz w:val="28"/>
          <w:szCs w:val="28"/>
          <w:shd w:val="clear" w:color="auto" w:fill="FFFFFF"/>
          <w:lang w:val="fr-FR"/>
        </w:rPr>
        <w:t>T</w:t>
      </w:r>
      <w:r w:rsidRPr="00BE255A">
        <w:rPr>
          <w:sz w:val="28"/>
          <w:szCs w:val="28"/>
          <w:shd w:val="clear" w:color="auto" w:fill="FFFFFF"/>
        </w:rPr>
        <w:t xml:space="preserve">. </w:t>
      </w:r>
      <w:r w:rsidRPr="00F52145">
        <w:rPr>
          <w:sz w:val="28"/>
          <w:szCs w:val="28"/>
          <w:shd w:val="clear" w:color="auto" w:fill="FFFFFF"/>
          <w:lang w:val="fr-FR"/>
        </w:rPr>
        <w:t>etal</w:t>
      </w:r>
      <w:r w:rsidRPr="00BE255A">
        <w:rPr>
          <w:sz w:val="28"/>
          <w:szCs w:val="28"/>
          <w:shd w:val="clear" w:color="auto" w:fill="FFFFFF"/>
        </w:rPr>
        <w:t xml:space="preserve">., 2001; </w:t>
      </w:r>
      <w:r w:rsidRPr="00F52145">
        <w:rPr>
          <w:sz w:val="28"/>
          <w:szCs w:val="28"/>
          <w:shd w:val="clear" w:color="auto" w:fill="FFFFFF"/>
          <w:lang w:val="fr-FR"/>
        </w:rPr>
        <w:t>Edmiston</w:t>
      </w:r>
      <w:r w:rsidRPr="00BE255A">
        <w:rPr>
          <w:sz w:val="28"/>
          <w:szCs w:val="28"/>
          <w:shd w:val="clear" w:color="auto" w:fill="FFFFFF"/>
        </w:rPr>
        <w:t xml:space="preserve"> </w:t>
      </w:r>
      <w:r w:rsidRPr="00C5336B">
        <w:rPr>
          <w:sz w:val="28"/>
          <w:szCs w:val="28"/>
          <w:shd w:val="clear" w:color="auto" w:fill="FFFFFF"/>
        </w:rPr>
        <w:t>С</w:t>
      </w:r>
      <w:r w:rsidRPr="00BE255A">
        <w:rPr>
          <w:sz w:val="28"/>
          <w:szCs w:val="28"/>
          <w:shd w:val="clear" w:color="auto" w:fill="FFFFFF"/>
        </w:rPr>
        <w:t>.</w:t>
      </w:r>
      <w:r w:rsidRPr="00F52145">
        <w:rPr>
          <w:sz w:val="28"/>
          <w:szCs w:val="28"/>
          <w:shd w:val="clear" w:color="auto" w:fill="FFFFFF"/>
          <w:lang w:val="fr-FR"/>
        </w:rPr>
        <w:t>E</w:t>
      </w:r>
      <w:r w:rsidRPr="00BE255A">
        <w:rPr>
          <w:sz w:val="28"/>
          <w:szCs w:val="28"/>
          <w:shd w:val="clear" w:color="auto" w:fill="FFFFFF"/>
        </w:rPr>
        <w:t xml:space="preserve">. </w:t>
      </w:r>
      <w:r w:rsidRPr="00F52145">
        <w:rPr>
          <w:sz w:val="28"/>
          <w:szCs w:val="28"/>
          <w:shd w:val="clear" w:color="auto" w:fill="FFFFFF"/>
          <w:lang w:val="fr-FR"/>
        </w:rPr>
        <w:t>et</w:t>
      </w:r>
      <w:r w:rsidRPr="00BE255A">
        <w:rPr>
          <w:sz w:val="28"/>
          <w:szCs w:val="28"/>
          <w:shd w:val="clear" w:color="auto" w:fill="FFFFFF"/>
        </w:rPr>
        <w:t xml:space="preserve"> </w:t>
      </w:r>
      <w:r w:rsidRPr="00F52145">
        <w:rPr>
          <w:sz w:val="28"/>
          <w:szCs w:val="28"/>
          <w:shd w:val="clear" w:color="auto" w:fill="FFFFFF"/>
          <w:lang w:val="fr-FR"/>
        </w:rPr>
        <w:t>al</w:t>
      </w:r>
      <w:r w:rsidRPr="00BE255A">
        <w:rPr>
          <w:sz w:val="28"/>
          <w:szCs w:val="28"/>
          <w:shd w:val="clear" w:color="auto" w:fill="FFFFFF"/>
        </w:rPr>
        <w:t>., 2002</w:t>
      </w:r>
      <w:r w:rsidRPr="0006202D">
        <w:rPr>
          <w:sz w:val="28"/>
          <w:szCs w:val="28"/>
        </w:rPr>
        <w:t>)</w:t>
      </w:r>
      <w:r w:rsidRPr="00BE255A">
        <w:rPr>
          <w:sz w:val="28"/>
          <w:szCs w:val="28"/>
        </w:rPr>
        <w:t>.</w:t>
      </w:r>
    </w:p>
    <w:p w:rsidR="00286780" w:rsidRPr="00C5336B" w:rsidRDefault="00286780" w:rsidP="00C5336B">
      <w:pPr>
        <w:spacing w:line="360" w:lineRule="auto"/>
        <w:ind w:right="99" w:firstLine="709"/>
        <w:jc w:val="both"/>
        <w:rPr>
          <w:sz w:val="28"/>
          <w:szCs w:val="28"/>
        </w:rPr>
      </w:pPr>
      <w:r w:rsidRPr="00C5336B">
        <w:rPr>
          <w:sz w:val="28"/>
          <w:szCs w:val="28"/>
        </w:rPr>
        <w:t>Установлено, что при одонтогенных воспалительных процессах высеиваются облигатные анаэробные бактерии (79%), стафилококк (15%) и стрептококк (6%). В 95,6% случаев определяются ассоциации 2–9 видов факультативных и облигатных анаэробов. Неспорообразующие анаэробные бактерии встречаю</w:t>
      </w:r>
      <w:r>
        <w:rPr>
          <w:sz w:val="28"/>
          <w:szCs w:val="28"/>
        </w:rPr>
        <w:t>тся в 50–65% случаев (Ушаков Р.В., Царев В.Н., 1991, 1995, 2004, 2006)</w:t>
      </w:r>
      <w:r w:rsidRPr="00C5336B">
        <w:rPr>
          <w:sz w:val="28"/>
          <w:szCs w:val="28"/>
        </w:rPr>
        <w:t>.</w:t>
      </w:r>
    </w:p>
    <w:p w:rsidR="00286780" w:rsidRDefault="00286780" w:rsidP="00C5336B">
      <w:pPr>
        <w:spacing w:line="360" w:lineRule="auto"/>
        <w:ind w:right="99" w:firstLine="709"/>
        <w:jc w:val="both"/>
        <w:rPr>
          <w:sz w:val="28"/>
          <w:szCs w:val="28"/>
        </w:rPr>
      </w:pPr>
      <w:r w:rsidRPr="00C5336B">
        <w:rPr>
          <w:sz w:val="28"/>
          <w:szCs w:val="28"/>
        </w:rPr>
        <w:t xml:space="preserve">Чаще всего при воспалительных процессах в полости рта выделяют </w:t>
      </w:r>
      <w:r w:rsidRPr="00C5336B">
        <w:rPr>
          <w:sz w:val="28"/>
          <w:szCs w:val="28"/>
          <w:lang w:val="en-US"/>
        </w:rPr>
        <w:t>Actinobacillus</w:t>
      </w:r>
      <w:r w:rsidRPr="0006202D">
        <w:rPr>
          <w:sz w:val="28"/>
          <w:szCs w:val="28"/>
        </w:rPr>
        <w:t xml:space="preserve"> </w:t>
      </w:r>
      <w:r w:rsidRPr="00C5336B">
        <w:rPr>
          <w:sz w:val="28"/>
          <w:szCs w:val="28"/>
          <w:lang w:val="en-US"/>
        </w:rPr>
        <w:t>actinomycetem</w:t>
      </w:r>
      <w:r w:rsidRPr="0006202D">
        <w:rPr>
          <w:sz w:val="28"/>
          <w:szCs w:val="28"/>
        </w:rPr>
        <w:t xml:space="preserve"> </w:t>
      </w:r>
      <w:r w:rsidRPr="00C5336B">
        <w:rPr>
          <w:sz w:val="28"/>
          <w:szCs w:val="28"/>
          <w:lang w:val="en-US"/>
        </w:rPr>
        <w:t>comitans</w:t>
      </w:r>
      <w:r w:rsidRPr="00C5336B">
        <w:rPr>
          <w:sz w:val="28"/>
          <w:szCs w:val="28"/>
        </w:rPr>
        <w:t xml:space="preserve"> и </w:t>
      </w:r>
      <w:r w:rsidRPr="00C5336B">
        <w:rPr>
          <w:sz w:val="28"/>
          <w:szCs w:val="28"/>
          <w:lang w:val="en-US"/>
        </w:rPr>
        <w:t>Porphyromonas</w:t>
      </w:r>
      <w:r w:rsidRPr="0006202D">
        <w:rPr>
          <w:sz w:val="28"/>
          <w:szCs w:val="28"/>
        </w:rPr>
        <w:t xml:space="preserve"> </w:t>
      </w:r>
      <w:r w:rsidRPr="00C5336B">
        <w:rPr>
          <w:sz w:val="28"/>
          <w:szCs w:val="28"/>
          <w:lang w:val="en-US"/>
        </w:rPr>
        <w:t>gingivalis</w:t>
      </w:r>
      <w:r w:rsidRPr="00C5336B">
        <w:rPr>
          <w:sz w:val="28"/>
          <w:szCs w:val="28"/>
        </w:rPr>
        <w:t xml:space="preserve">, реже встречаются </w:t>
      </w:r>
      <w:r w:rsidRPr="00C5336B">
        <w:rPr>
          <w:sz w:val="28"/>
          <w:szCs w:val="28"/>
          <w:lang w:val="en-US"/>
        </w:rPr>
        <w:t>Bacteroides</w:t>
      </w:r>
      <w:r w:rsidRPr="0006202D">
        <w:rPr>
          <w:sz w:val="28"/>
          <w:szCs w:val="28"/>
        </w:rPr>
        <w:t xml:space="preserve"> </w:t>
      </w:r>
      <w:r w:rsidRPr="00C5336B">
        <w:rPr>
          <w:sz w:val="28"/>
          <w:szCs w:val="28"/>
          <w:lang w:val="en-US"/>
        </w:rPr>
        <w:t>forsythus</w:t>
      </w:r>
      <w:r w:rsidRPr="00C5336B">
        <w:rPr>
          <w:sz w:val="28"/>
          <w:szCs w:val="28"/>
        </w:rPr>
        <w:t xml:space="preserve">, </w:t>
      </w:r>
      <w:r w:rsidRPr="00C5336B">
        <w:rPr>
          <w:sz w:val="28"/>
          <w:szCs w:val="28"/>
          <w:lang w:val="en-US"/>
        </w:rPr>
        <w:t>Prevotella</w:t>
      </w:r>
      <w:r w:rsidRPr="0006202D">
        <w:rPr>
          <w:sz w:val="28"/>
          <w:szCs w:val="28"/>
        </w:rPr>
        <w:t xml:space="preserve"> </w:t>
      </w:r>
      <w:r w:rsidRPr="00C5336B">
        <w:rPr>
          <w:sz w:val="28"/>
          <w:szCs w:val="28"/>
          <w:lang w:val="en-US"/>
        </w:rPr>
        <w:t>nigrescens</w:t>
      </w:r>
      <w:r w:rsidRPr="00C5336B">
        <w:rPr>
          <w:sz w:val="28"/>
          <w:szCs w:val="28"/>
        </w:rPr>
        <w:t xml:space="preserve">, </w:t>
      </w:r>
      <w:r w:rsidRPr="00C5336B">
        <w:rPr>
          <w:sz w:val="28"/>
          <w:szCs w:val="28"/>
          <w:lang w:val="en-US"/>
        </w:rPr>
        <w:t>Fusobacterium</w:t>
      </w:r>
      <w:r w:rsidRPr="00C5336B">
        <w:rPr>
          <w:sz w:val="28"/>
          <w:szCs w:val="28"/>
        </w:rPr>
        <w:t xml:space="preserve">, </w:t>
      </w:r>
      <w:r w:rsidRPr="00C5336B">
        <w:rPr>
          <w:sz w:val="28"/>
          <w:szCs w:val="28"/>
          <w:lang w:val="en-US"/>
        </w:rPr>
        <w:t>Peptostreptococcus</w:t>
      </w:r>
      <w:r w:rsidRPr="00C5336B">
        <w:rPr>
          <w:sz w:val="28"/>
          <w:szCs w:val="28"/>
        </w:rPr>
        <w:t xml:space="preserve">, </w:t>
      </w:r>
      <w:r w:rsidRPr="00C5336B">
        <w:rPr>
          <w:sz w:val="28"/>
          <w:szCs w:val="28"/>
          <w:lang w:val="en-US"/>
        </w:rPr>
        <w:t>Treponema</w:t>
      </w:r>
      <w:r w:rsidRPr="004C111F">
        <w:rPr>
          <w:sz w:val="28"/>
          <w:szCs w:val="28"/>
        </w:rPr>
        <w:t xml:space="preserve"> </w:t>
      </w:r>
      <w:r w:rsidRPr="00C5336B">
        <w:rPr>
          <w:sz w:val="28"/>
          <w:szCs w:val="28"/>
          <w:lang w:val="en-US"/>
        </w:rPr>
        <w:t>spp</w:t>
      </w:r>
      <w:r w:rsidRPr="00C5336B">
        <w:rPr>
          <w:sz w:val="28"/>
          <w:szCs w:val="28"/>
        </w:rPr>
        <w:t xml:space="preserve">., </w:t>
      </w:r>
      <w:r w:rsidRPr="00C5336B">
        <w:rPr>
          <w:sz w:val="28"/>
          <w:szCs w:val="28"/>
          <w:lang w:val="en-US"/>
        </w:rPr>
        <w:t>Klebsiella</w:t>
      </w:r>
      <w:r w:rsidRPr="004C111F">
        <w:rPr>
          <w:sz w:val="28"/>
          <w:szCs w:val="28"/>
        </w:rPr>
        <w:t xml:space="preserve"> </w:t>
      </w:r>
      <w:r w:rsidRPr="00C5336B">
        <w:rPr>
          <w:sz w:val="28"/>
          <w:szCs w:val="28"/>
          <w:lang w:val="en-US"/>
        </w:rPr>
        <w:t>spp</w:t>
      </w:r>
      <w:r>
        <w:rPr>
          <w:sz w:val="28"/>
          <w:szCs w:val="28"/>
        </w:rPr>
        <w:t>. (</w:t>
      </w:r>
      <w:r w:rsidRPr="00C5336B">
        <w:rPr>
          <w:sz w:val="28"/>
          <w:szCs w:val="28"/>
        </w:rPr>
        <w:t xml:space="preserve">Царев В.Н., Ушаков Р.В., 2004, 2006; Оганесян А.А., Трифонов Б.В., 2010; Денис А.Г., Колядов Н.Ф., 2011; Бычкова Н.П., 2014; </w:t>
      </w:r>
      <w:r w:rsidRPr="00C5336B">
        <w:rPr>
          <w:sz w:val="28"/>
          <w:szCs w:val="28"/>
          <w:shd w:val="clear" w:color="auto" w:fill="FFFFFF"/>
          <w:lang w:val="en-US"/>
        </w:rPr>
        <w:t>Abuel</w:t>
      </w:r>
      <w:r w:rsidRPr="00C5336B">
        <w:rPr>
          <w:sz w:val="28"/>
          <w:szCs w:val="28"/>
          <w:shd w:val="clear" w:color="auto" w:fill="FFFFFF"/>
        </w:rPr>
        <w:t>-</w:t>
      </w:r>
      <w:r w:rsidRPr="00C5336B">
        <w:rPr>
          <w:sz w:val="28"/>
          <w:szCs w:val="28"/>
          <w:shd w:val="clear" w:color="auto" w:fill="FFFFFF"/>
          <w:lang w:val="en-US"/>
        </w:rPr>
        <w:t>NaajI</w:t>
      </w:r>
      <w:r w:rsidRPr="00C5336B">
        <w:rPr>
          <w:sz w:val="28"/>
          <w:szCs w:val="28"/>
          <w:shd w:val="clear" w:color="auto" w:fill="FFFFFF"/>
        </w:rPr>
        <w:t xml:space="preserve">. </w:t>
      </w:r>
      <w:r w:rsidRPr="00C5336B">
        <w:rPr>
          <w:sz w:val="28"/>
          <w:szCs w:val="28"/>
          <w:shd w:val="clear" w:color="auto" w:fill="FFFFFF"/>
          <w:lang w:val="en-US"/>
        </w:rPr>
        <w:t>et</w:t>
      </w:r>
      <w:r w:rsidRPr="004C111F">
        <w:rPr>
          <w:sz w:val="28"/>
          <w:szCs w:val="28"/>
          <w:shd w:val="clear" w:color="auto" w:fill="FFFFFF"/>
        </w:rPr>
        <w:t xml:space="preserve"> </w:t>
      </w:r>
      <w:r w:rsidRPr="00C5336B">
        <w:rPr>
          <w:sz w:val="28"/>
          <w:szCs w:val="28"/>
          <w:shd w:val="clear" w:color="auto" w:fill="FFFFFF"/>
          <w:lang w:val="en-US"/>
        </w:rPr>
        <w:t>al</w:t>
      </w:r>
      <w:r w:rsidRPr="00C5336B">
        <w:rPr>
          <w:sz w:val="28"/>
          <w:szCs w:val="28"/>
          <w:shd w:val="clear" w:color="auto" w:fill="FFFFFF"/>
        </w:rPr>
        <w:t>., 2001</w:t>
      </w:r>
      <w:r>
        <w:rPr>
          <w:sz w:val="28"/>
          <w:szCs w:val="28"/>
        </w:rPr>
        <w:t>)</w:t>
      </w:r>
      <w:r w:rsidRPr="00C5336B">
        <w:rPr>
          <w:sz w:val="28"/>
          <w:szCs w:val="28"/>
        </w:rPr>
        <w:t xml:space="preserve">. Это микроорганизмы, являются частью нормальной микрофлоры, приобретающей патогенные свойства в определенных условиях. </w:t>
      </w:r>
    </w:p>
    <w:p w:rsidR="00286780" w:rsidRPr="00C5336B" w:rsidRDefault="00286780" w:rsidP="00C5336B">
      <w:pPr>
        <w:spacing w:line="360" w:lineRule="auto"/>
        <w:ind w:right="99" w:firstLine="709"/>
        <w:jc w:val="both"/>
        <w:rPr>
          <w:sz w:val="28"/>
          <w:szCs w:val="28"/>
        </w:rPr>
      </w:pPr>
      <w:r w:rsidRPr="00C5336B">
        <w:rPr>
          <w:sz w:val="28"/>
          <w:szCs w:val="28"/>
        </w:rPr>
        <w:t>При гнилостно-некротической флегмоне дна полости рта выделяется полимикробная флора (</w:t>
      </w:r>
      <w:r w:rsidRPr="00C5336B">
        <w:rPr>
          <w:sz w:val="28"/>
          <w:szCs w:val="28"/>
          <w:lang w:val="en-US"/>
        </w:rPr>
        <w:t>Fusobacteriumspp</w:t>
      </w:r>
      <w:r w:rsidRPr="00C5336B">
        <w:rPr>
          <w:sz w:val="28"/>
          <w:szCs w:val="28"/>
        </w:rPr>
        <w:t xml:space="preserve">., </w:t>
      </w:r>
      <w:r w:rsidRPr="00C5336B">
        <w:rPr>
          <w:sz w:val="28"/>
          <w:szCs w:val="28"/>
          <w:lang w:val="en-US"/>
        </w:rPr>
        <w:t>Bacteroides</w:t>
      </w:r>
      <w:r w:rsidRPr="004C111F">
        <w:rPr>
          <w:sz w:val="28"/>
          <w:szCs w:val="28"/>
        </w:rPr>
        <w:t xml:space="preserve"> </w:t>
      </w:r>
      <w:r w:rsidRPr="00C5336B">
        <w:rPr>
          <w:sz w:val="28"/>
          <w:szCs w:val="28"/>
          <w:lang w:val="en-US"/>
        </w:rPr>
        <w:t>spp</w:t>
      </w:r>
      <w:r w:rsidRPr="00C5336B">
        <w:rPr>
          <w:sz w:val="28"/>
          <w:szCs w:val="28"/>
        </w:rPr>
        <w:t xml:space="preserve">., </w:t>
      </w:r>
      <w:r w:rsidRPr="00C5336B">
        <w:rPr>
          <w:sz w:val="28"/>
          <w:szCs w:val="28"/>
          <w:lang w:val="en-US"/>
        </w:rPr>
        <w:t>Peptostreptococcus</w:t>
      </w:r>
      <w:r w:rsidRPr="004C111F">
        <w:rPr>
          <w:sz w:val="28"/>
          <w:szCs w:val="28"/>
        </w:rPr>
        <w:t xml:space="preserve"> </w:t>
      </w:r>
      <w:r w:rsidRPr="00C5336B">
        <w:rPr>
          <w:sz w:val="28"/>
          <w:szCs w:val="28"/>
          <w:lang w:val="en-US"/>
        </w:rPr>
        <w:t>spp</w:t>
      </w:r>
      <w:r w:rsidRPr="00C5336B">
        <w:rPr>
          <w:sz w:val="28"/>
          <w:szCs w:val="28"/>
        </w:rPr>
        <w:t xml:space="preserve">., </w:t>
      </w:r>
      <w:r w:rsidRPr="00C5336B">
        <w:rPr>
          <w:sz w:val="28"/>
          <w:szCs w:val="28"/>
          <w:lang w:val="en-US"/>
        </w:rPr>
        <w:t>Actinomyces</w:t>
      </w:r>
      <w:r w:rsidRPr="004C111F">
        <w:rPr>
          <w:sz w:val="28"/>
          <w:szCs w:val="28"/>
        </w:rPr>
        <w:t xml:space="preserve"> </w:t>
      </w:r>
      <w:r w:rsidRPr="00C5336B">
        <w:rPr>
          <w:sz w:val="28"/>
          <w:szCs w:val="28"/>
          <w:lang w:val="en-US"/>
        </w:rPr>
        <w:t>spp</w:t>
      </w:r>
      <w:r w:rsidRPr="00C5336B">
        <w:rPr>
          <w:sz w:val="28"/>
          <w:szCs w:val="28"/>
        </w:rPr>
        <w:t xml:space="preserve">., </w:t>
      </w:r>
      <w:r w:rsidRPr="00C5336B">
        <w:rPr>
          <w:sz w:val="28"/>
          <w:szCs w:val="28"/>
          <w:lang w:val="en-US"/>
        </w:rPr>
        <w:t>Propioni</w:t>
      </w:r>
      <w:r w:rsidRPr="004C111F">
        <w:rPr>
          <w:sz w:val="28"/>
          <w:szCs w:val="28"/>
        </w:rPr>
        <w:t xml:space="preserve"> </w:t>
      </w:r>
      <w:r w:rsidRPr="00C5336B">
        <w:rPr>
          <w:sz w:val="28"/>
          <w:szCs w:val="28"/>
          <w:lang w:val="en-US"/>
        </w:rPr>
        <w:t>bactertum</w:t>
      </w:r>
      <w:r w:rsidRPr="004C111F">
        <w:rPr>
          <w:sz w:val="28"/>
          <w:szCs w:val="28"/>
        </w:rPr>
        <w:t xml:space="preserve"> </w:t>
      </w:r>
      <w:r w:rsidRPr="00C5336B">
        <w:rPr>
          <w:sz w:val="28"/>
          <w:szCs w:val="28"/>
          <w:lang w:val="en-US"/>
        </w:rPr>
        <w:t>spp</w:t>
      </w:r>
      <w:r>
        <w:rPr>
          <w:sz w:val="28"/>
          <w:szCs w:val="28"/>
        </w:rPr>
        <w:t>.) (Робустова Т.Г., 2003; Царев В.</w:t>
      </w:r>
      <w:r w:rsidRPr="00C5336B">
        <w:rPr>
          <w:sz w:val="28"/>
          <w:szCs w:val="28"/>
        </w:rPr>
        <w:t>Н., Уша</w:t>
      </w:r>
      <w:r>
        <w:rPr>
          <w:sz w:val="28"/>
          <w:szCs w:val="28"/>
        </w:rPr>
        <w:t>ков Р.В., 2006)</w:t>
      </w:r>
      <w:r w:rsidRPr="00C5336B">
        <w:rPr>
          <w:sz w:val="28"/>
          <w:szCs w:val="28"/>
        </w:rPr>
        <w:t>. Встречаются бактероиды – до 30% случаев. Большое значение имеют актиномицеты, в том числе в ассоциации с другими микроорганизмами. Частота выявления актиноми</w:t>
      </w:r>
      <w:r>
        <w:rPr>
          <w:sz w:val="28"/>
          <w:szCs w:val="28"/>
        </w:rPr>
        <w:t>цет достигает 37–41% (Агаева Н.</w:t>
      </w:r>
      <w:r w:rsidRPr="00C5336B">
        <w:rPr>
          <w:sz w:val="28"/>
          <w:szCs w:val="28"/>
        </w:rPr>
        <w:t>А., 2008; Гасымо</w:t>
      </w:r>
      <w:r>
        <w:rPr>
          <w:sz w:val="28"/>
          <w:szCs w:val="28"/>
        </w:rPr>
        <w:t>ва Г.С., Агаева Н.А., 2010)</w:t>
      </w:r>
      <w:r w:rsidRPr="00C5336B">
        <w:rPr>
          <w:sz w:val="28"/>
          <w:szCs w:val="28"/>
        </w:rPr>
        <w:t xml:space="preserve">. </w:t>
      </w:r>
    </w:p>
    <w:p w:rsidR="00286780" w:rsidRPr="00C5336B" w:rsidRDefault="00286780" w:rsidP="00C5336B">
      <w:pPr>
        <w:spacing w:line="360" w:lineRule="auto"/>
        <w:ind w:right="99" w:firstLine="709"/>
        <w:jc w:val="both"/>
        <w:rPr>
          <w:sz w:val="28"/>
          <w:szCs w:val="28"/>
        </w:rPr>
      </w:pPr>
      <w:r w:rsidRPr="00C5336B">
        <w:rPr>
          <w:sz w:val="28"/>
          <w:szCs w:val="28"/>
        </w:rPr>
        <w:t>Тяжелые осложнения одонтогенной инфекции (сепсис, контактные медиастиниты, вторичные внутричерепные осложнения) являются заболеваниями, имеющими в основном бактериальную прир</w:t>
      </w:r>
      <w:r>
        <w:rPr>
          <w:sz w:val="28"/>
          <w:szCs w:val="28"/>
        </w:rPr>
        <w:t>оду происхождения (Харитонов Ю.М., 1999; Громов А.Л., 2011)</w:t>
      </w:r>
      <w:r w:rsidRPr="00C5336B">
        <w:rPr>
          <w:sz w:val="28"/>
          <w:szCs w:val="28"/>
        </w:rPr>
        <w:t>. Кроме того, генерализованный инфекционный процесс выз</w:t>
      </w:r>
      <w:r>
        <w:rPr>
          <w:sz w:val="28"/>
          <w:szCs w:val="28"/>
        </w:rPr>
        <w:t>ывают грибы и вирусы (Завада Н.В. и др., 2003; Гельфанд Б.Р. и др., 2004)</w:t>
      </w:r>
      <w:r w:rsidRPr="00C5336B">
        <w:rPr>
          <w:sz w:val="28"/>
          <w:szCs w:val="28"/>
        </w:rPr>
        <w:t xml:space="preserve">. Их роль в развитии одонтогенного инфекционного процесса изучена недостаточно. </w:t>
      </w:r>
    </w:p>
    <w:p w:rsidR="00286780" w:rsidRDefault="00286780" w:rsidP="00C5336B">
      <w:pPr>
        <w:spacing w:line="360" w:lineRule="auto"/>
        <w:ind w:right="99" w:firstLine="709"/>
        <w:jc w:val="both"/>
        <w:rPr>
          <w:sz w:val="28"/>
          <w:szCs w:val="28"/>
        </w:rPr>
      </w:pPr>
      <w:r w:rsidRPr="00C5336B">
        <w:rPr>
          <w:sz w:val="28"/>
          <w:szCs w:val="28"/>
        </w:rPr>
        <w:t xml:space="preserve">Большое значение имеет анаэробная неклостридиальная микрофлора, 65–80% хирургической инфекции имеет </w:t>
      </w:r>
      <w:r>
        <w:rPr>
          <w:sz w:val="28"/>
          <w:szCs w:val="28"/>
        </w:rPr>
        <w:t>неклостридиальную составляющую (</w:t>
      </w:r>
      <w:r w:rsidRPr="00C5336B">
        <w:rPr>
          <w:sz w:val="28"/>
          <w:szCs w:val="28"/>
        </w:rPr>
        <w:t>Бе</w:t>
      </w:r>
      <w:r>
        <w:rPr>
          <w:sz w:val="28"/>
          <w:szCs w:val="28"/>
        </w:rPr>
        <w:t>ло</w:t>
      </w:r>
      <w:r>
        <w:rPr>
          <w:sz w:val="28"/>
          <w:szCs w:val="28"/>
        </w:rPr>
        <w:lastRenderedPageBreak/>
        <w:t>куров Ю.Н. и др., 1983; Граменицкий А.</w:t>
      </w:r>
      <w:r w:rsidRPr="00C5336B">
        <w:rPr>
          <w:sz w:val="28"/>
          <w:szCs w:val="28"/>
        </w:rPr>
        <w:t>Б., 2001</w:t>
      </w:r>
      <w:r>
        <w:rPr>
          <w:sz w:val="28"/>
          <w:szCs w:val="28"/>
          <w:shd w:val="clear" w:color="auto" w:fill="FFFFFF"/>
        </w:rPr>
        <w:t>; Русанова Е.</w:t>
      </w:r>
      <w:r w:rsidRPr="00C5336B">
        <w:rPr>
          <w:sz w:val="28"/>
          <w:szCs w:val="28"/>
          <w:shd w:val="clear" w:color="auto" w:fill="FFFFFF"/>
        </w:rPr>
        <w:t>В. и др., 2003</w:t>
      </w:r>
      <w:r>
        <w:rPr>
          <w:sz w:val="28"/>
          <w:szCs w:val="28"/>
        </w:rPr>
        <w:t>)</w:t>
      </w:r>
      <w:r w:rsidRPr="00C5336B">
        <w:rPr>
          <w:sz w:val="28"/>
          <w:szCs w:val="28"/>
        </w:rPr>
        <w:t>. Возбудителями тяжелых форм острой одонтогенной инфекции может быть грамотрицательная флора (кишечная палочка, клебсиелла, синегнойная палочка), стафилококки, стрептококки и их ассоциации, причем в последнее время отмечается преобладание грамотрицательны</w:t>
      </w:r>
      <w:r>
        <w:rPr>
          <w:sz w:val="28"/>
          <w:szCs w:val="28"/>
        </w:rPr>
        <w:t>х ассоциаций – до 60% (Гирко Е.</w:t>
      </w:r>
      <w:r w:rsidRPr="00C5336B">
        <w:rPr>
          <w:sz w:val="28"/>
          <w:szCs w:val="28"/>
        </w:rPr>
        <w:t>И., 1994; Буда</w:t>
      </w:r>
      <w:r>
        <w:rPr>
          <w:sz w:val="28"/>
          <w:szCs w:val="28"/>
        </w:rPr>
        <w:t>ев А.П., 2001; Громов А.Л., 2011; Харитонов Ю.М. и др., 2011).</w:t>
      </w:r>
    </w:p>
    <w:p w:rsidR="00286780" w:rsidRDefault="00286780" w:rsidP="00C5336B">
      <w:pPr>
        <w:spacing w:line="360" w:lineRule="auto"/>
        <w:ind w:right="99" w:firstLine="709"/>
        <w:jc w:val="both"/>
        <w:rPr>
          <w:sz w:val="28"/>
          <w:szCs w:val="28"/>
        </w:rPr>
      </w:pPr>
      <w:r>
        <w:rPr>
          <w:sz w:val="28"/>
          <w:szCs w:val="28"/>
        </w:rPr>
        <w:t>По данным А.</w:t>
      </w:r>
      <w:r w:rsidRPr="00C5336B">
        <w:rPr>
          <w:sz w:val="28"/>
          <w:szCs w:val="28"/>
        </w:rPr>
        <w:t>С. Забелина (2008), при одонтогенном медиастините неклостридиальная анаэробная инфекция в ассоциациях с аэробами выявлялась в 85% случаев, причем анаэробная моноинфекция наблю</w:t>
      </w:r>
      <w:r>
        <w:rPr>
          <w:sz w:val="28"/>
          <w:szCs w:val="28"/>
        </w:rPr>
        <w:t>далась в 20,6% (Шаргородский А.</w:t>
      </w:r>
      <w:r w:rsidRPr="00C5336B">
        <w:rPr>
          <w:sz w:val="28"/>
          <w:szCs w:val="28"/>
        </w:rPr>
        <w:t>Г.,</w:t>
      </w:r>
      <w:r>
        <w:rPr>
          <w:sz w:val="28"/>
          <w:szCs w:val="28"/>
        </w:rPr>
        <w:t xml:space="preserve"> 2001)</w:t>
      </w:r>
      <w:r w:rsidRPr="00C5336B">
        <w:rPr>
          <w:sz w:val="28"/>
          <w:szCs w:val="28"/>
        </w:rPr>
        <w:t xml:space="preserve">. </w:t>
      </w:r>
    </w:p>
    <w:p w:rsidR="00286780" w:rsidRDefault="00286780" w:rsidP="00C5336B">
      <w:pPr>
        <w:spacing w:line="360" w:lineRule="auto"/>
        <w:ind w:right="99" w:firstLine="709"/>
        <w:jc w:val="both"/>
        <w:rPr>
          <w:sz w:val="28"/>
          <w:szCs w:val="28"/>
        </w:rPr>
      </w:pPr>
      <w:r w:rsidRPr="00C5336B">
        <w:rPr>
          <w:sz w:val="28"/>
          <w:szCs w:val="28"/>
        </w:rPr>
        <w:t>У пациентов, страдающих алкоголизмом или сахарным диабетом, могут быть выделены</w:t>
      </w:r>
      <w:r>
        <w:rPr>
          <w:sz w:val="28"/>
          <w:szCs w:val="28"/>
        </w:rPr>
        <w:t>:</w:t>
      </w:r>
      <w:r w:rsidRPr="00C5336B">
        <w:rPr>
          <w:sz w:val="28"/>
          <w:szCs w:val="28"/>
        </w:rPr>
        <w:t xml:space="preserve"> золотистый стафилококк, синегнойная палочка и грамотрицательные энтеробактер</w:t>
      </w:r>
      <w:r>
        <w:rPr>
          <w:sz w:val="28"/>
          <w:szCs w:val="28"/>
        </w:rPr>
        <w:t>ии (Царев В.Н, Ушаков Р.В., 2006)</w:t>
      </w:r>
      <w:r w:rsidRPr="00C5336B">
        <w:rPr>
          <w:sz w:val="28"/>
          <w:szCs w:val="28"/>
        </w:rPr>
        <w:t xml:space="preserve">. </w:t>
      </w:r>
    </w:p>
    <w:p w:rsidR="00286780" w:rsidRPr="00C5336B" w:rsidRDefault="00286780" w:rsidP="00C5336B">
      <w:pPr>
        <w:spacing w:line="360" w:lineRule="auto"/>
        <w:ind w:right="99" w:firstLine="709"/>
        <w:jc w:val="both"/>
        <w:rPr>
          <w:sz w:val="28"/>
          <w:szCs w:val="28"/>
        </w:rPr>
      </w:pPr>
      <w:r w:rsidRPr="00C5336B">
        <w:rPr>
          <w:sz w:val="28"/>
          <w:szCs w:val="28"/>
        </w:rPr>
        <w:t>Отмечается несовпадение микрофлоры гнойных очагов челюстно-лицевой области и бактериолог</w:t>
      </w:r>
      <w:r>
        <w:rPr>
          <w:sz w:val="28"/>
          <w:szCs w:val="28"/>
        </w:rPr>
        <w:t>ических посевов крови (Губин М.А. и др., 2004).</w:t>
      </w:r>
    </w:p>
    <w:p w:rsidR="00286780" w:rsidRDefault="00286780" w:rsidP="00C5336B">
      <w:pPr>
        <w:spacing w:line="360" w:lineRule="auto"/>
        <w:ind w:right="99" w:firstLine="709"/>
        <w:jc w:val="both"/>
        <w:rPr>
          <w:sz w:val="28"/>
          <w:szCs w:val="28"/>
        </w:rPr>
      </w:pPr>
      <w:r w:rsidRPr="00C5336B">
        <w:rPr>
          <w:sz w:val="28"/>
          <w:szCs w:val="28"/>
        </w:rPr>
        <w:t>Патогенез одонтогенных воспалительных заболеваний подробно изложен в соответствующи</w:t>
      </w:r>
      <w:r>
        <w:rPr>
          <w:sz w:val="28"/>
          <w:szCs w:val="28"/>
        </w:rPr>
        <w:t>х руководствах (Шаргородский А.Г., 2001; Бажанов Н.Н., 2002; Бернадский Ю.И., 2003; Робустова Т.</w:t>
      </w:r>
      <w:r w:rsidRPr="00C5336B">
        <w:rPr>
          <w:sz w:val="28"/>
          <w:szCs w:val="28"/>
        </w:rPr>
        <w:t xml:space="preserve">Г., 2003; </w:t>
      </w:r>
      <w:r>
        <w:rPr>
          <w:sz w:val="28"/>
          <w:szCs w:val="28"/>
          <w:shd w:val="clear" w:color="auto" w:fill="FFFFFF"/>
        </w:rPr>
        <w:t>Куликовский В.Ф., Шевченко Л.</w:t>
      </w:r>
      <w:r w:rsidRPr="00C5336B">
        <w:rPr>
          <w:sz w:val="28"/>
          <w:szCs w:val="28"/>
          <w:shd w:val="clear" w:color="auto" w:fill="FFFFFF"/>
        </w:rPr>
        <w:t>B., 2009</w:t>
      </w:r>
      <w:r>
        <w:rPr>
          <w:sz w:val="28"/>
          <w:szCs w:val="28"/>
        </w:rPr>
        <w:t>).</w:t>
      </w:r>
    </w:p>
    <w:p w:rsidR="00286780" w:rsidRPr="00C5336B" w:rsidRDefault="00286780" w:rsidP="00C5336B">
      <w:pPr>
        <w:spacing w:line="360" w:lineRule="auto"/>
        <w:ind w:right="99" w:firstLine="709"/>
        <w:jc w:val="both"/>
        <w:rPr>
          <w:sz w:val="28"/>
          <w:szCs w:val="28"/>
        </w:rPr>
      </w:pPr>
      <w:r w:rsidRPr="00C5336B">
        <w:rPr>
          <w:sz w:val="28"/>
          <w:szCs w:val="28"/>
        </w:rPr>
        <w:t xml:space="preserve">Ведущая роль в развитии воспалительного процесса принадлежит компонентам клеточной стенки, экзотоксинам и ферментам грамположительных бактерий (пептидогликан, тейхоевая кислота, коагулаза, гиалорунидаза, фибринолизин, дермонекротоксин, лейкотоксин, энтеротоксин, стрептолизин и др.), а </w:t>
      </w:r>
      <w:r>
        <w:rPr>
          <w:sz w:val="28"/>
          <w:szCs w:val="28"/>
        </w:rPr>
        <w:t>также</w:t>
      </w:r>
      <w:r w:rsidRPr="00C5336B">
        <w:rPr>
          <w:sz w:val="28"/>
          <w:szCs w:val="28"/>
        </w:rPr>
        <w:t xml:space="preserve"> липополисахариду грамотрицательных микроорганизмов, воздействующим на клеточные структуры и рецепторы. В дальнейшем происходит каскадная активация ряда биологических систем организма: комплемента, свертывающей и противосвертывающей, калликринин-кининовой, клеточных элементов (тучных клеток, тромбоцитов, эндотелиоцитов, лейкоцитов). Как следствие, высвобождаются биологически активные вещества и медиаторы воспаления (гистамин, брадикинин, факторы свертывания, цитокины), обладающие множественными локаль</w:t>
      </w:r>
      <w:r w:rsidRPr="00C5336B">
        <w:rPr>
          <w:sz w:val="28"/>
          <w:szCs w:val="28"/>
        </w:rPr>
        <w:lastRenderedPageBreak/>
        <w:t>ными и генерализован</w:t>
      </w:r>
      <w:r>
        <w:rPr>
          <w:sz w:val="28"/>
          <w:szCs w:val="28"/>
        </w:rPr>
        <w:t>ными эффектами (Шаргородский А.</w:t>
      </w:r>
      <w:r w:rsidRPr="00C5336B">
        <w:rPr>
          <w:sz w:val="28"/>
          <w:szCs w:val="28"/>
        </w:rPr>
        <w:t>Г., 2001; Ерюхин И.</w:t>
      </w:r>
      <w:r>
        <w:rPr>
          <w:sz w:val="28"/>
          <w:szCs w:val="28"/>
        </w:rPr>
        <w:t>А. и др., 2006; Федоров В.Д. и др., 2007).</w:t>
      </w:r>
    </w:p>
    <w:p w:rsidR="00286780" w:rsidRPr="00C5336B" w:rsidRDefault="00286780" w:rsidP="00C5336B">
      <w:pPr>
        <w:spacing w:line="360" w:lineRule="auto"/>
        <w:ind w:firstLine="709"/>
        <w:jc w:val="both"/>
        <w:rPr>
          <w:sz w:val="28"/>
          <w:szCs w:val="28"/>
        </w:rPr>
      </w:pPr>
      <w:r w:rsidRPr="00C5336B">
        <w:rPr>
          <w:sz w:val="28"/>
          <w:szCs w:val="28"/>
        </w:rPr>
        <w:t xml:space="preserve">При наличии небольшого количества патогенных элементов процесс протекает локально, не затрагивая отдаленные системы и органы. Основными задачами такого локального защитного ответа является ограничение развития инфекционного процесса и эрадикация возбудителя. Таким образом, развивается локализованное воспаление без признаков синдрома системного воспалительного ответа. Наряду с провоспалительными цитокинами, через определенный промежуток времени выделяются </w:t>
      </w:r>
      <w:r>
        <w:rPr>
          <w:sz w:val="28"/>
          <w:szCs w:val="28"/>
        </w:rPr>
        <w:t>также</w:t>
      </w:r>
      <w:r w:rsidRPr="00C5336B">
        <w:rPr>
          <w:sz w:val="28"/>
          <w:szCs w:val="28"/>
        </w:rPr>
        <w:t xml:space="preserve"> противовоспалительные цитокины, которые ограничивают процессы в очаге поражения по типу отрицательной о</w:t>
      </w:r>
      <w:r>
        <w:rPr>
          <w:sz w:val="28"/>
          <w:szCs w:val="28"/>
        </w:rPr>
        <w:t>братной связи (</w:t>
      </w:r>
      <w:r w:rsidRPr="00C5336B">
        <w:rPr>
          <w:sz w:val="28"/>
          <w:szCs w:val="28"/>
        </w:rPr>
        <w:t>За</w:t>
      </w:r>
      <w:r>
        <w:rPr>
          <w:sz w:val="28"/>
          <w:szCs w:val="28"/>
        </w:rPr>
        <w:t>вада Н.В. и др., 2003; Ерюхин И.А. и др., 2006)</w:t>
      </w:r>
      <w:r w:rsidRPr="00C5336B">
        <w:rPr>
          <w:sz w:val="28"/>
          <w:szCs w:val="28"/>
        </w:rPr>
        <w:t>.</w:t>
      </w:r>
    </w:p>
    <w:p w:rsidR="00286780" w:rsidRPr="00C5336B" w:rsidRDefault="00286780" w:rsidP="00C5336B">
      <w:pPr>
        <w:spacing w:line="360" w:lineRule="auto"/>
        <w:ind w:right="99" w:firstLine="709"/>
        <w:jc w:val="both"/>
        <w:rPr>
          <w:sz w:val="28"/>
          <w:szCs w:val="28"/>
        </w:rPr>
      </w:pPr>
      <w:r w:rsidRPr="00C5336B">
        <w:rPr>
          <w:sz w:val="28"/>
          <w:szCs w:val="28"/>
        </w:rPr>
        <w:t xml:space="preserve">При распространении биологически активных веществ и провоспалительных цитокинов в системный кровоток в большом количестве вызывает срыв адаптационных механизмов и развитие органно-системных повреждений, в том числе септического шока </w:t>
      </w:r>
      <w:r>
        <w:rPr>
          <w:sz w:val="28"/>
          <w:szCs w:val="28"/>
        </w:rPr>
        <w:t>(</w:t>
      </w:r>
      <w:r>
        <w:rPr>
          <w:sz w:val="28"/>
          <w:szCs w:val="28"/>
          <w:shd w:val="clear" w:color="auto" w:fill="FFFFFF"/>
        </w:rPr>
        <w:t>Руднов В.</w:t>
      </w:r>
      <w:r w:rsidRPr="00C5336B">
        <w:rPr>
          <w:sz w:val="28"/>
          <w:szCs w:val="28"/>
          <w:shd w:val="clear" w:color="auto" w:fill="FFFFFF"/>
        </w:rPr>
        <w:t>А., 1995</w:t>
      </w:r>
      <w:r>
        <w:rPr>
          <w:sz w:val="28"/>
          <w:szCs w:val="28"/>
        </w:rPr>
        <w:t>; Ерюхин И.А. и др., 2006; Федоров В.Д. и др., 2007)</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В ряде случаев механизмы ограничения воспалительного процесса не функционируют, и микроорганизмы, продукты их жизнедеятельности и/или медиаторы воспаления попадают в системный кровоток. Развивается синдром системного воспалительного ответа, характеризующийся разнообразными изменениями функционирования органов и систем (тахикардия, тахипноэ, лейкоцитоз, гипервентиляция и т. д.).</w:t>
      </w:r>
    </w:p>
    <w:p w:rsidR="00286780" w:rsidRDefault="00286780" w:rsidP="00C5336B">
      <w:pPr>
        <w:spacing w:line="360" w:lineRule="auto"/>
        <w:ind w:firstLine="709"/>
        <w:jc w:val="both"/>
        <w:rPr>
          <w:sz w:val="28"/>
          <w:szCs w:val="28"/>
        </w:rPr>
      </w:pPr>
      <w:r w:rsidRPr="00C5336B">
        <w:rPr>
          <w:sz w:val="28"/>
          <w:szCs w:val="28"/>
        </w:rPr>
        <w:t xml:space="preserve">Септический процесс с локализацией гнойного очага в челюстно-лицевой области имеет ряд отличительных особенностей: анатомическая близость жизненно важных структур и общий с ними кровоток – центральная нервная система (головной мозг), верхние дыхательные пути, крупные кровеносные сосуды шеи, язык, глотка и пищевод. В связи с этим отмечается раннее развитие энцефалопатии на фоне интоксикации, острой дыхательной недостаточности, дефицита питания. </w:t>
      </w:r>
      <w:r>
        <w:rPr>
          <w:sz w:val="28"/>
          <w:szCs w:val="28"/>
        </w:rPr>
        <w:t>"</w:t>
      </w:r>
      <w:r w:rsidRPr="00C5336B">
        <w:rPr>
          <w:sz w:val="28"/>
          <w:szCs w:val="28"/>
        </w:rPr>
        <w:t xml:space="preserve">При наличии гиповолемии </w:t>
      </w:r>
      <w:r w:rsidRPr="00C5336B">
        <w:rPr>
          <w:sz w:val="28"/>
          <w:szCs w:val="28"/>
          <w:lang w:val="en-US"/>
        </w:rPr>
        <w:t>I</w:t>
      </w:r>
      <w:r w:rsidRPr="00C5336B">
        <w:rPr>
          <w:sz w:val="28"/>
          <w:szCs w:val="28"/>
        </w:rPr>
        <w:t xml:space="preserve"> степени (дефицит ОЦК 10–13%) изменения со стороны гемодинамики характеризуются развитием гипердинамического синдро</w:t>
      </w:r>
      <w:r w:rsidRPr="00C5336B">
        <w:rPr>
          <w:sz w:val="28"/>
          <w:szCs w:val="28"/>
        </w:rPr>
        <w:lastRenderedPageBreak/>
        <w:t>ма. Снижается ударный объем сердца (УОС), увеличивается частота сердечных сокращений и минутный объем сердца (МОС) при нормальных показателях общего периферического сопротивления</w:t>
      </w:r>
      <w:r>
        <w:rPr>
          <w:sz w:val="28"/>
          <w:szCs w:val="28"/>
        </w:rPr>
        <w:t>"</w:t>
      </w:r>
      <w:r w:rsidRPr="00C5336B">
        <w:rPr>
          <w:sz w:val="28"/>
          <w:szCs w:val="28"/>
        </w:rPr>
        <w:t xml:space="preserve"> (ОПС)</w:t>
      </w:r>
      <w:r>
        <w:rPr>
          <w:sz w:val="28"/>
          <w:szCs w:val="28"/>
        </w:rPr>
        <w:t xml:space="preserve"> (</w:t>
      </w:r>
      <w:r w:rsidRPr="00C5336B">
        <w:rPr>
          <w:sz w:val="28"/>
          <w:szCs w:val="28"/>
        </w:rPr>
        <w:t>За</w:t>
      </w:r>
      <w:r>
        <w:rPr>
          <w:sz w:val="28"/>
          <w:szCs w:val="28"/>
        </w:rPr>
        <w:t>вада Н.В. и др., 2003; Ерюхин И.А. и др., 2006).</w:t>
      </w:r>
    </w:p>
    <w:p w:rsidR="00286780" w:rsidRPr="00C5336B" w:rsidRDefault="00286780" w:rsidP="00C5336B">
      <w:pPr>
        <w:spacing w:line="360" w:lineRule="auto"/>
        <w:ind w:firstLine="709"/>
        <w:jc w:val="both"/>
        <w:rPr>
          <w:sz w:val="28"/>
          <w:szCs w:val="28"/>
        </w:rPr>
      </w:pPr>
      <w:r w:rsidRPr="00C5336B">
        <w:rPr>
          <w:sz w:val="28"/>
          <w:szCs w:val="28"/>
        </w:rPr>
        <w:t xml:space="preserve">Если дефицит ОЦК превышает 14–30% (гиповолемия </w:t>
      </w:r>
      <w:r w:rsidRPr="00C5336B">
        <w:rPr>
          <w:sz w:val="28"/>
          <w:szCs w:val="28"/>
          <w:lang w:val="en-US"/>
        </w:rPr>
        <w:t>II</w:t>
      </w:r>
      <w:r w:rsidRPr="00C5336B">
        <w:rPr>
          <w:sz w:val="28"/>
          <w:szCs w:val="28"/>
        </w:rPr>
        <w:t>-</w:t>
      </w:r>
      <w:r w:rsidRPr="00C5336B">
        <w:rPr>
          <w:sz w:val="28"/>
          <w:szCs w:val="28"/>
          <w:lang w:val="en-US"/>
        </w:rPr>
        <w:t>III</w:t>
      </w:r>
      <w:r w:rsidRPr="00C5336B">
        <w:rPr>
          <w:sz w:val="28"/>
          <w:szCs w:val="28"/>
        </w:rPr>
        <w:t xml:space="preserve"> степени), гемодинамические нарушения характеризуются развитием гиподинамического синдрома: прогрессирующая тахикардия, снижение МОС, повышение общего периферического сопротивления</w:t>
      </w:r>
      <w:r>
        <w:rPr>
          <w:sz w:val="28"/>
          <w:szCs w:val="28"/>
        </w:rPr>
        <w:t>"</w:t>
      </w:r>
      <w:r w:rsidRPr="00C5336B">
        <w:rPr>
          <w:sz w:val="28"/>
          <w:szCs w:val="28"/>
        </w:rPr>
        <w:t>. В дальнейшем гиподинамический синдром приводит к выраженной декомпенсации кровообращения, прогрессирующей артериальной гипотензии и отяго</w:t>
      </w:r>
      <w:r>
        <w:rPr>
          <w:sz w:val="28"/>
          <w:szCs w:val="28"/>
        </w:rPr>
        <w:t>щению метаболических нарушений (</w:t>
      </w:r>
      <w:r w:rsidRPr="00C5336B">
        <w:rPr>
          <w:sz w:val="28"/>
          <w:szCs w:val="28"/>
        </w:rPr>
        <w:t>Г</w:t>
      </w:r>
      <w:r>
        <w:rPr>
          <w:sz w:val="28"/>
          <w:szCs w:val="28"/>
        </w:rPr>
        <w:t>убин М.А., 1987; Гирко Е.И., 1994; Харитонов Ю.М., 1999; Будаев А.П., 2001; Робустова Т.</w:t>
      </w:r>
      <w:r w:rsidRPr="00C5336B">
        <w:rPr>
          <w:sz w:val="28"/>
          <w:szCs w:val="28"/>
        </w:rPr>
        <w:t xml:space="preserve">Г., 2003; </w:t>
      </w:r>
      <w:r w:rsidRPr="00C5336B">
        <w:rPr>
          <w:sz w:val="28"/>
          <w:szCs w:val="28"/>
          <w:shd w:val="clear" w:color="auto" w:fill="FFFFFF"/>
        </w:rPr>
        <w:t>Сала</w:t>
      </w:r>
      <w:r>
        <w:rPr>
          <w:sz w:val="28"/>
          <w:szCs w:val="28"/>
          <w:shd w:val="clear" w:color="auto" w:fill="FFFFFF"/>
        </w:rPr>
        <w:t>хов А.</w:t>
      </w:r>
      <w:r w:rsidRPr="00C5336B">
        <w:rPr>
          <w:sz w:val="28"/>
          <w:szCs w:val="28"/>
          <w:shd w:val="clear" w:color="auto" w:fill="FFFFFF"/>
        </w:rPr>
        <w:t>К., 2003</w:t>
      </w:r>
      <w:r>
        <w:rPr>
          <w:sz w:val="28"/>
          <w:szCs w:val="28"/>
        </w:rPr>
        <w:t>)</w:t>
      </w:r>
      <w:r w:rsidRPr="00C5336B">
        <w:rPr>
          <w:sz w:val="28"/>
          <w:szCs w:val="28"/>
        </w:rPr>
        <w:t>.</w:t>
      </w:r>
    </w:p>
    <w:p w:rsidR="00286780" w:rsidRDefault="00286780" w:rsidP="00C5336B">
      <w:pPr>
        <w:spacing w:line="360" w:lineRule="auto"/>
        <w:ind w:right="99" w:firstLine="709"/>
        <w:jc w:val="both"/>
        <w:rPr>
          <w:sz w:val="28"/>
          <w:szCs w:val="28"/>
        </w:rPr>
      </w:pPr>
      <w:r>
        <w:rPr>
          <w:sz w:val="28"/>
          <w:szCs w:val="28"/>
        </w:rPr>
        <w:t>Также</w:t>
      </w:r>
      <w:r w:rsidRPr="00C5336B">
        <w:rPr>
          <w:sz w:val="28"/>
          <w:szCs w:val="28"/>
        </w:rPr>
        <w:t xml:space="preserve"> значительную роль в генезе генерализованной инфекции принадлежит феномену бактериальной кишечной транслокации, при котором происходит нарушение барьерной функции кишечной стенки, выброс биологически активных веществ в портальный кровоток, активация печеночных макрофагов и макрофагов легких с последующим системным выбросом цитокинов, развитие септических нарушений, в том числе острого респираторно</w:t>
      </w:r>
      <w:r>
        <w:rPr>
          <w:sz w:val="28"/>
          <w:szCs w:val="28"/>
        </w:rPr>
        <w:t>го дистресс-синдрома (Завада Н.В. и др., 2003; Гельфанд Б.Р. и др., 2004).</w:t>
      </w:r>
    </w:p>
    <w:p w:rsidR="00286780" w:rsidRPr="00C5336B" w:rsidRDefault="00286780" w:rsidP="00C5336B">
      <w:pPr>
        <w:spacing w:line="360" w:lineRule="auto"/>
        <w:ind w:right="99" w:firstLine="709"/>
        <w:jc w:val="both"/>
        <w:rPr>
          <w:sz w:val="28"/>
          <w:szCs w:val="28"/>
        </w:rPr>
      </w:pPr>
      <w:r w:rsidRPr="00C5336B">
        <w:rPr>
          <w:sz w:val="28"/>
          <w:szCs w:val="28"/>
        </w:rPr>
        <w:t>В последнее время получены данные об активации феномена бактериальной кишечной транслокации при остром одонтогенном вос</w:t>
      </w:r>
      <w:r>
        <w:rPr>
          <w:sz w:val="28"/>
          <w:szCs w:val="28"/>
        </w:rPr>
        <w:t>палительном процессе (Громов А.Л., Зыкин А.Г., 2014)</w:t>
      </w:r>
      <w:r w:rsidRPr="00C5336B">
        <w:rPr>
          <w:sz w:val="28"/>
          <w:szCs w:val="28"/>
        </w:rPr>
        <w:t>.</w:t>
      </w:r>
    </w:p>
    <w:p w:rsidR="00286780" w:rsidRDefault="00286780" w:rsidP="00C5336B">
      <w:pPr>
        <w:spacing w:line="360" w:lineRule="auto"/>
        <w:ind w:firstLine="709"/>
        <w:jc w:val="both"/>
        <w:rPr>
          <w:sz w:val="28"/>
          <w:szCs w:val="28"/>
        </w:rPr>
      </w:pPr>
      <w:r w:rsidRPr="00C5336B">
        <w:rPr>
          <w:sz w:val="28"/>
          <w:szCs w:val="28"/>
        </w:rPr>
        <w:t>Различают три основных пути распространения хирургической инфекции: контактный, лимфогенный и гематогенный. Многие авторы считают ведущим контактный путь распространения, то есть вовлечение в воспалительный процесс прилежащих клетчаточных пространств. Пути распространения одонтогенного гнойно-воспалительного процесса подробно приводятся в соответствующих по</w:t>
      </w:r>
      <w:r>
        <w:rPr>
          <w:sz w:val="28"/>
          <w:szCs w:val="28"/>
        </w:rPr>
        <w:t>собиях и статьях (Гирко Е.И., 1994; Шаргородский А.Г., 2001; Соловьев М.</w:t>
      </w:r>
      <w:r w:rsidRPr="00C5336B">
        <w:rPr>
          <w:sz w:val="28"/>
          <w:szCs w:val="28"/>
        </w:rPr>
        <w:t xml:space="preserve">М. и др., 2009; </w:t>
      </w:r>
      <w:r w:rsidRPr="00C5336B">
        <w:rPr>
          <w:sz w:val="28"/>
          <w:szCs w:val="28"/>
          <w:shd w:val="clear" w:color="auto" w:fill="FFFFFF"/>
          <w:lang w:val="en-US"/>
        </w:rPr>
        <w:t>Ariji</w:t>
      </w:r>
      <w:r w:rsidRPr="004C111F">
        <w:rPr>
          <w:sz w:val="28"/>
          <w:szCs w:val="28"/>
          <w:shd w:val="clear" w:color="auto" w:fill="FFFFFF"/>
        </w:rPr>
        <w:t xml:space="preserve"> </w:t>
      </w:r>
      <w:r w:rsidRPr="00C5336B">
        <w:rPr>
          <w:sz w:val="28"/>
          <w:szCs w:val="28"/>
          <w:shd w:val="clear" w:color="auto" w:fill="FFFFFF"/>
          <w:lang w:val="en-US"/>
        </w:rPr>
        <w:t>Y</w:t>
      </w:r>
      <w:r w:rsidRPr="00C5336B">
        <w:rPr>
          <w:sz w:val="28"/>
          <w:szCs w:val="28"/>
          <w:shd w:val="clear" w:color="auto" w:fill="FFFFFF"/>
        </w:rPr>
        <w:t xml:space="preserve">. </w:t>
      </w:r>
      <w:r>
        <w:rPr>
          <w:sz w:val="28"/>
          <w:szCs w:val="28"/>
          <w:shd w:val="clear" w:color="auto" w:fill="FFFFFF"/>
          <w:lang w:val="en-US"/>
        </w:rPr>
        <w:t>e</w:t>
      </w:r>
      <w:r w:rsidRPr="00C5336B">
        <w:rPr>
          <w:sz w:val="28"/>
          <w:szCs w:val="28"/>
          <w:shd w:val="clear" w:color="auto" w:fill="FFFFFF"/>
          <w:lang w:val="en-US"/>
        </w:rPr>
        <w:t>t</w:t>
      </w:r>
      <w:r w:rsidRPr="004C111F">
        <w:rPr>
          <w:sz w:val="28"/>
          <w:szCs w:val="28"/>
          <w:shd w:val="clear" w:color="auto" w:fill="FFFFFF"/>
        </w:rPr>
        <w:t xml:space="preserve"> </w:t>
      </w:r>
      <w:r w:rsidRPr="00C5336B">
        <w:rPr>
          <w:sz w:val="28"/>
          <w:szCs w:val="28"/>
          <w:shd w:val="clear" w:color="auto" w:fill="FFFFFF"/>
          <w:lang w:val="en-US"/>
        </w:rPr>
        <w:t>al</w:t>
      </w:r>
      <w:r w:rsidRPr="00C5336B">
        <w:rPr>
          <w:sz w:val="28"/>
          <w:szCs w:val="28"/>
          <w:shd w:val="clear" w:color="auto" w:fill="FFFFFF"/>
        </w:rPr>
        <w:t>., 2002</w:t>
      </w:r>
      <w:r>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lastRenderedPageBreak/>
        <w:t xml:space="preserve">Для одонтогенной инфекции более характерно вовлечение пространств дна полости рта и окологлоточного пространства с последующим распространением между париетальным и висцеральным листками эндоцервикальной фасции, вдоль трахеи, пищевода, по сосудисто-нервному пучку, в основном, в переднее средостение. Реже развивается </w:t>
      </w:r>
      <w:r>
        <w:rPr>
          <w:sz w:val="28"/>
          <w:szCs w:val="28"/>
        </w:rPr>
        <w:t>тотальный медиастинит (Гирко Е.И., 1994).</w:t>
      </w:r>
    </w:p>
    <w:p w:rsidR="00286780" w:rsidRPr="00C5336B" w:rsidRDefault="00286780" w:rsidP="00C5336B">
      <w:pPr>
        <w:spacing w:line="360" w:lineRule="auto"/>
        <w:ind w:firstLine="709"/>
        <w:jc w:val="both"/>
        <w:rPr>
          <w:sz w:val="28"/>
          <w:szCs w:val="28"/>
        </w:rPr>
      </w:pPr>
      <w:r w:rsidRPr="00C5336B">
        <w:rPr>
          <w:sz w:val="28"/>
          <w:szCs w:val="28"/>
        </w:rPr>
        <w:t>В доступной литературе не обнаружено сведений о каких-либо особенностях распространения одонтогенного инфекционного процесса при наличии фоновой соматической патологии.</w:t>
      </w:r>
    </w:p>
    <w:p w:rsidR="00286780" w:rsidRPr="00C5336B" w:rsidRDefault="00286780" w:rsidP="00C5336B">
      <w:pPr>
        <w:spacing w:line="360" w:lineRule="auto"/>
        <w:ind w:right="99" w:firstLine="709"/>
        <w:jc w:val="both"/>
        <w:rPr>
          <w:sz w:val="28"/>
          <w:szCs w:val="28"/>
        </w:rPr>
      </w:pPr>
      <w:r w:rsidRPr="00C5336B">
        <w:rPr>
          <w:sz w:val="28"/>
          <w:szCs w:val="28"/>
        </w:rPr>
        <w:t xml:space="preserve">Некоторые исследователи выделяют так называемые </w:t>
      </w:r>
      <w:r>
        <w:rPr>
          <w:sz w:val="28"/>
          <w:szCs w:val="28"/>
        </w:rPr>
        <w:t>"</w:t>
      </w:r>
      <w:r w:rsidRPr="00C5336B">
        <w:rPr>
          <w:sz w:val="28"/>
          <w:szCs w:val="28"/>
        </w:rPr>
        <w:t>векторы преимущественного распространения гнойно-воспалительного процесса</w:t>
      </w:r>
      <w:r>
        <w:rPr>
          <w:sz w:val="28"/>
          <w:szCs w:val="28"/>
        </w:rPr>
        <w:t>"</w:t>
      </w:r>
      <w:r w:rsidRPr="00C5336B">
        <w:rPr>
          <w:sz w:val="28"/>
          <w:szCs w:val="28"/>
        </w:rPr>
        <w:t xml:space="preserve"> при развитии </w:t>
      </w:r>
      <w:r>
        <w:rPr>
          <w:sz w:val="28"/>
          <w:szCs w:val="28"/>
        </w:rPr>
        <w:t>"</w:t>
      </w:r>
      <w:r w:rsidRPr="00C5336B">
        <w:rPr>
          <w:sz w:val="28"/>
          <w:szCs w:val="28"/>
        </w:rPr>
        <w:t>флегмоны дна полости рта: вертикальный нижний (в поднижнечелюстное пространство) и последующий горизонтальный передний (в подподбородочное пространство) при формировании односторонней одонтогенной флегмоны дна полости рта, горизонтальный задний (из подподбородочного на другую сторону, в поднижнечелюстное пространство). Горизонтальный заднее-внутренний (в крыловидно-нижнечелюстное и окологлоточное клетчаточные пространства) отмечается при формировании двусторонней флегм</w:t>
      </w:r>
      <w:r>
        <w:rPr>
          <w:sz w:val="28"/>
          <w:szCs w:val="28"/>
        </w:rPr>
        <w:t>оны дна полости рта" (Тесевич Л.И., Черченко Н.Н., 2018)</w:t>
      </w:r>
      <w:r w:rsidRPr="00C5336B">
        <w:rPr>
          <w:sz w:val="28"/>
          <w:szCs w:val="28"/>
        </w:rPr>
        <w:t>.</w:t>
      </w:r>
    </w:p>
    <w:p w:rsidR="00286780" w:rsidRPr="00C5336B" w:rsidRDefault="00286780" w:rsidP="00C5336B">
      <w:pPr>
        <w:spacing w:line="360" w:lineRule="auto"/>
        <w:ind w:right="99" w:firstLine="709"/>
        <w:jc w:val="both"/>
        <w:rPr>
          <w:sz w:val="28"/>
          <w:szCs w:val="28"/>
        </w:rPr>
      </w:pPr>
      <w:r w:rsidRPr="00C5336B">
        <w:rPr>
          <w:sz w:val="28"/>
          <w:szCs w:val="28"/>
        </w:rPr>
        <w:t>Большое значение в патогенезе одонтогенной инфекции имеют циркулирующие иммунные комплексы, которые фиксируются на эндотелии кровеносных сосудов и в совокупности с компонентами комплемента, вызывают повреждение эндотелиоцитов, тромбоз микроциркуляторного русла и повр</w:t>
      </w:r>
      <w:r>
        <w:rPr>
          <w:sz w:val="28"/>
          <w:szCs w:val="28"/>
        </w:rPr>
        <w:t>еждение тканей (Шаргородский А.Г., 2001; Ксембаев С.С., Ямашев И.Г., 2006)</w:t>
      </w:r>
      <w:r w:rsidRPr="00C5336B">
        <w:rPr>
          <w:sz w:val="28"/>
          <w:szCs w:val="28"/>
        </w:rPr>
        <w:t>.</w:t>
      </w:r>
    </w:p>
    <w:p w:rsidR="00286780" w:rsidRDefault="00286780" w:rsidP="00C5336B">
      <w:pPr>
        <w:spacing w:line="360" w:lineRule="auto"/>
        <w:ind w:right="99" w:firstLine="709"/>
        <w:jc w:val="both"/>
        <w:rPr>
          <w:sz w:val="28"/>
          <w:szCs w:val="28"/>
        </w:rPr>
      </w:pPr>
      <w:r w:rsidRPr="00C5336B">
        <w:rPr>
          <w:sz w:val="28"/>
          <w:szCs w:val="28"/>
        </w:rPr>
        <w:t xml:space="preserve">Кроме того, при развитии гнойно-воспалительного процесса любой локализации отмечается активация свободнорадикального окисления и перекисного окисления липидов, развивается окислительный стресс. </w:t>
      </w:r>
      <w:r>
        <w:rPr>
          <w:sz w:val="28"/>
          <w:szCs w:val="28"/>
        </w:rPr>
        <w:t>Также</w:t>
      </w:r>
      <w:r w:rsidRPr="00C5336B">
        <w:rPr>
          <w:sz w:val="28"/>
          <w:szCs w:val="28"/>
        </w:rPr>
        <w:t xml:space="preserve"> характерно снижение ан</w:t>
      </w:r>
      <w:r>
        <w:rPr>
          <w:sz w:val="28"/>
          <w:szCs w:val="28"/>
        </w:rPr>
        <w:t>тиоксидантной защиты (Завада Н.В. и др., 2003).</w:t>
      </w:r>
    </w:p>
    <w:p w:rsidR="00286780" w:rsidRPr="00C5336B" w:rsidRDefault="00286780" w:rsidP="00C5336B">
      <w:pPr>
        <w:spacing w:line="360" w:lineRule="auto"/>
        <w:ind w:right="99" w:firstLine="709"/>
        <w:jc w:val="both"/>
        <w:rPr>
          <w:sz w:val="28"/>
          <w:szCs w:val="28"/>
        </w:rPr>
      </w:pPr>
      <w:r w:rsidRPr="00C5336B">
        <w:rPr>
          <w:sz w:val="28"/>
          <w:szCs w:val="28"/>
        </w:rPr>
        <w:t>Аналогичные механизмы запускаются и при некоторых формах фоновой патологии, например,</w:t>
      </w:r>
      <w:r>
        <w:rPr>
          <w:sz w:val="28"/>
          <w:szCs w:val="28"/>
        </w:rPr>
        <w:t xml:space="preserve"> при сахарном диабете (Дедов И.И., Шестакова М.В., 2011)</w:t>
      </w:r>
      <w:r w:rsidRPr="00C5336B">
        <w:rPr>
          <w:sz w:val="28"/>
          <w:szCs w:val="28"/>
        </w:rPr>
        <w:t>, что создает предпосылки для взаимоотягощения процесса.</w:t>
      </w:r>
    </w:p>
    <w:p w:rsidR="00286780" w:rsidRDefault="00286780" w:rsidP="00C5336B">
      <w:pPr>
        <w:spacing w:line="360" w:lineRule="auto"/>
        <w:ind w:right="99" w:firstLine="709"/>
        <w:jc w:val="both"/>
        <w:rPr>
          <w:spacing w:val="-4"/>
          <w:sz w:val="28"/>
          <w:szCs w:val="28"/>
        </w:rPr>
      </w:pPr>
      <w:r w:rsidRPr="00292869">
        <w:rPr>
          <w:spacing w:val="-4"/>
          <w:sz w:val="28"/>
          <w:szCs w:val="28"/>
        </w:rPr>
        <w:lastRenderedPageBreak/>
        <w:t>В доступной литературе не обнаружено данных, в достаточной мере раскрывающих особенности этиологии и патогенеза острого одонтогенного воспалительного процесса при наличии различных форм фоновой полиорганной патологии.</w:t>
      </w:r>
    </w:p>
    <w:p w:rsidR="00286780" w:rsidRPr="00292869" w:rsidRDefault="00286780" w:rsidP="00C5336B">
      <w:pPr>
        <w:spacing w:line="360" w:lineRule="auto"/>
        <w:ind w:right="99" w:firstLine="709"/>
        <w:jc w:val="both"/>
        <w:rPr>
          <w:spacing w:val="-4"/>
          <w:sz w:val="28"/>
          <w:szCs w:val="28"/>
        </w:rPr>
      </w:pPr>
    </w:p>
    <w:p w:rsidR="00286780" w:rsidRPr="00457501" w:rsidRDefault="00286780" w:rsidP="00457501">
      <w:pPr>
        <w:pStyle w:val="20"/>
        <w:spacing w:line="360" w:lineRule="auto"/>
        <w:jc w:val="both"/>
      </w:pPr>
      <w:bookmarkStart w:id="7" w:name="_Toc67905690"/>
      <w:r>
        <w:t xml:space="preserve">1.5. </w:t>
      </w:r>
      <w:r w:rsidRPr="00C5336B">
        <w:t>Клинико-лабораторная характеристика, диагностика, общие закономерности и особенности клинической картины острых одонтогенных воспалительных заболеваний челюстно-лицевой области при наличии полиорганной фоновой патологии и синдрома взаимного отягощения</w:t>
      </w:r>
      <w:bookmarkEnd w:id="7"/>
    </w:p>
    <w:p w:rsidR="00286780" w:rsidRPr="00C5336B" w:rsidRDefault="00286780" w:rsidP="00457501">
      <w:pPr>
        <w:spacing w:line="360" w:lineRule="auto"/>
        <w:ind w:firstLine="709"/>
        <w:jc w:val="both"/>
        <w:rPr>
          <w:sz w:val="28"/>
          <w:szCs w:val="28"/>
        </w:rPr>
      </w:pPr>
      <w:r w:rsidRPr="00C5336B">
        <w:rPr>
          <w:sz w:val="28"/>
          <w:szCs w:val="28"/>
        </w:rPr>
        <w:t xml:space="preserve">Для одонтогенных гнойно-воспалительных заболеваний характерны общие клинические проявления и местные признаки, достаточно полно освещенные в многочисленных монографиях, учебниках, журнальных статьях </w:t>
      </w:r>
      <w:r w:rsidRPr="00D12492">
        <w:rPr>
          <w:sz w:val="28"/>
          <w:szCs w:val="28"/>
        </w:rPr>
        <w:t>(</w:t>
      </w:r>
      <w:r>
        <w:rPr>
          <w:sz w:val="28"/>
          <w:szCs w:val="28"/>
          <w:shd w:val="clear" w:color="auto" w:fill="FFFFFF"/>
        </w:rPr>
        <w:t>Забелин А.С. и др., 1997; Ермоленко С.В., 1998; Титова С.Н., 2005; Турчина Е.</w:t>
      </w:r>
      <w:r w:rsidRPr="00C5336B">
        <w:rPr>
          <w:sz w:val="28"/>
          <w:szCs w:val="28"/>
          <w:shd w:val="clear" w:color="auto" w:fill="FFFFFF"/>
        </w:rPr>
        <w:t>В., 2007; Удальцо</w:t>
      </w:r>
      <w:r>
        <w:rPr>
          <w:sz w:val="28"/>
          <w:szCs w:val="28"/>
          <w:shd w:val="clear" w:color="auto" w:fill="FFFFFF"/>
        </w:rPr>
        <w:t>ва H.A., Ермолаева Л.A., 2007; Удальцова H.</w:t>
      </w:r>
      <w:r w:rsidRPr="00C5336B">
        <w:rPr>
          <w:sz w:val="28"/>
          <w:szCs w:val="28"/>
          <w:shd w:val="clear" w:color="auto" w:fill="FFFFFF"/>
        </w:rPr>
        <w:t>A., Ф</w:t>
      </w:r>
      <w:r>
        <w:rPr>
          <w:sz w:val="28"/>
          <w:szCs w:val="28"/>
          <w:shd w:val="clear" w:color="auto" w:fill="FFFFFF"/>
        </w:rPr>
        <w:t>аизов Т.Т., 2007; Бичун А.</w:t>
      </w:r>
      <w:r w:rsidRPr="00C5336B">
        <w:rPr>
          <w:sz w:val="28"/>
          <w:szCs w:val="28"/>
          <w:shd w:val="clear" w:color="auto" w:fill="FFFFFF"/>
        </w:rPr>
        <w:t xml:space="preserve">Б. и др., 2010; </w:t>
      </w:r>
      <w:r w:rsidRPr="00C5336B">
        <w:rPr>
          <w:sz w:val="28"/>
          <w:szCs w:val="28"/>
          <w:shd w:val="clear" w:color="auto" w:fill="FFFFFF"/>
          <w:lang w:val="en-US"/>
        </w:rPr>
        <w:t>Peterson</w:t>
      </w:r>
      <w:r w:rsidRPr="004C111F">
        <w:rPr>
          <w:sz w:val="28"/>
          <w:szCs w:val="28"/>
          <w:shd w:val="clear" w:color="auto" w:fill="FFFFFF"/>
        </w:rPr>
        <w:t xml:space="preserve"> </w:t>
      </w:r>
      <w:r w:rsidRPr="00C5336B">
        <w:rPr>
          <w:sz w:val="28"/>
          <w:szCs w:val="28"/>
          <w:shd w:val="clear" w:color="auto" w:fill="FFFFFF"/>
          <w:lang w:val="en-US"/>
        </w:rPr>
        <w:t>L</w:t>
      </w:r>
      <w:r w:rsidRPr="00C5336B">
        <w:rPr>
          <w:sz w:val="28"/>
          <w:szCs w:val="28"/>
          <w:shd w:val="clear" w:color="auto" w:fill="FFFFFF"/>
        </w:rPr>
        <w:t xml:space="preserve">., 1993; </w:t>
      </w:r>
      <w:r w:rsidRPr="00C5336B">
        <w:rPr>
          <w:sz w:val="28"/>
          <w:szCs w:val="28"/>
          <w:shd w:val="clear" w:color="auto" w:fill="FFFFFF"/>
          <w:lang w:val="en-US"/>
        </w:rPr>
        <w:t>Irani</w:t>
      </w:r>
      <w:r w:rsidRPr="004C111F">
        <w:rPr>
          <w:sz w:val="28"/>
          <w:szCs w:val="28"/>
          <w:shd w:val="clear" w:color="auto" w:fill="FFFFFF"/>
        </w:rPr>
        <w:t xml:space="preserve"> </w:t>
      </w:r>
      <w:r w:rsidRPr="00C5336B">
        <w:rPr>
          <w:sz w:val="28"/>
          <w:szCs w:val="28"/>
          <w:shd w:val="clear" w:color="auto" w:fill="FFFFFF"/>
          <w:lang w:val="en-US"/>
        </w:rPr>
        <w:t>S</w:t>
      </w:r>
      <w:r w:rsidRPr="00C5336B">
        <w:rPr>
          <w:sz w:val="28"/>
          <w:szCs w:val="28"/>
          <w:shd w:val="clear" w:color="auto" w:fill="FFFFFF"/>
        </w:rPr>
        <w:t>., 2017</w:t>
      </w:r>
      <w:r w:rsidRPr="00D12492">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В частности, выделяют три группы жалоб, наблюдаемых у пациентов с воспалительными заболеваниями челюс</w:t>
      </w:r>
      <w:r>
        <w:rPr>
          <w:sz w:val="28"/>
          <w:szCs w:val="28"/>
        </w:rPr>
        <w:t xml:space="preserve">тно-лицевой области </w:t>
      </w:r>
      <w:r w:rsidRPr="00D12492">
        <w:rPr>
          <w:sz w:val="28"/>
          <w:szCs w:val="28"/>
        </w:rPr>
        <w:t>(</w:t>
      </w:r>
      <w:r>
        <w:rPr>
          <w:sz w:val="28"/>
          <w:szCs w:val="28"/>
        </w:rPr>
        <w:t>Будаев А.П., 2001</w:t>
      </w:r>
      <w:r w:rsidRPr="00D12492">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1) местные жалобы, зависящие от характера локализации и распространенности первичного воспалительного процесса;</w:t>
      </w:r>
    </w:p>
    <w:p w:rsidR="00286780" w:rsidRPr="00C5336B" w:rsidRDefault="00286780" w:rsidP="00C5336B">
      <w:pPr>
        <w:spacing w:line="360" w:lineRule="auto"/>
        <w:ind w:firstLine="709"/>
        <w:jc w:val="both"/>
        <w:rPr>
          <w:sz w:val="28"/>
          <w:szCs w:val="28"/>
        </w:rPr>
      </w:pPr>
      <w:r w:rsidRPr="00C5336B">
        <w:rPr>
          <w:sz w:val="28"/>
          <w:szCs w:val="28"/>
        </w:rPr>
        <w:t>2) общие жалобы, обусловленные наличием синдрома эндогенной интоксикации;</w:t>
      </w:r>
    </w:p>
    <w:p w:rsidR="00286780" w:rsidRPr="00C5336B" w:rsidRDefault="00286780" w:rsidP="00C5336B">
      <w:pPr>
        <w:spacing w:line="360" w:lineRule="auto"/>
        <w:ind w:firstLine="709"/>
        <w:jc w:val="both"/>
        <w:rPr>
          <w:sz w:val="28"/>
          <w:szCs w:val="28"/>
        </w:rPr>
      </w:pPr>
      <w:r w:rsidRPr="00C5336B">
        <w:rPr>
          <w:sz w:val="28"/>
          <w:szCs w:val="28"/>
        </w:rPr>
        <w:t>3) жалобы, связанные с имеющейся у больных фоновой патологией.</w:t>
      </w:r>
    </w:p>
    <w:p w:rsidR="00286780" w:rsidRPr="00C5336B" w:rsidRDefault="00286780" w:rsidP="00C5336B">
      <w:pPr>
        <w:spacing w:line="360" w:lineRule="auto"/>
        <w:ind w:firstLine="709"/>
        <w:jc w:val="both"/>
        <w:rPr>
          <w:sz w:val="28"/>
          <w:szCs w:val="28"/>
        </w:rPr>
      </w:pPr>
      <w:r w:rsidRPr="00C5336B">
        <w:rPr>
          <w:sz w:val="28"/>
          <w:szCs w:val="28"/>
        </w:rPr>
        <w:t xml:space="preserve">У больных местной формой гнойной инфекции (без органной недостаточности) преобладают жалобы местного характера, связанные с развитием воспалительной инфильтрации той или иной анатомической области, интенсивными болями в области инфильтрата. При вовлечении в воспалительный процесс окологлоточного пространства появляются жалобы на затруднение дыхания и боли при глотании. </w:t>
      </w:r>
    </w:p>
    <w:p w:rsidR="00286780" w:rsidRPr="00C5336B" w:rsidRDefault="00286780" w:rsidP="00C5336B">
      <w:pPr>
        <w:spacing w:line="360" w:lineRule="auto"/>
        <w:ind w:firstLine="709"/>
        <w:jc w:val="both"/>
        <w:rPr>
          <w:sz w:val="28"/>
          <w:szCs w:val="28"/>
        </w:rPr>
      </w:pPr>
      <w:r w:rsidRPr="00C5336B">
        <w:rPr>
          <w:sz w:val="28"/>
          <w:szCs w:val="28"/>
        </w:rPr>
        <w:t>Жалобы, связанные с развитием синдрома эндогенной интоксикации, выражены умеренно, проявляются головной болью, слабостью, головокружением, уменьшением аппетита.</w:t>
      </w:r>
    </w:p>
    <w:p w:rsidR="00286780" w:rsidRPr="00C5336B" w:rsidRDefault="00286780" w:rsidP="00C5336B">
      <w:pPr>
        <w:spacing w:line="360" w:lineRule="auto"/>
        <w:ind w:firstLine="709"/>
        <w:jc w:val="both"/>
        <w:rPr>
          <w:sz w:val="28"/>
          <w:szCs w:val="28"/>
        </w:rPr>
      </w:pPr>
      <w:r w:rsidRPr="00C5336B">
        <w:rPr>
          <w:sz w:val="28"/>
          <w:szCs w:val="28"/>
        </w:rPr>
        <w:lastRenderedPageBreak/>
        <w:t>Кроме того, имеют место жалобы, связанные с наличием фоновой патологии. При поражении дыхательной системы и системы кровообращения характерным является одышка, реже приступы удушья, боли в области сердца, за грудиной, головные боли. Больные с сахарным диабетом предъявляют жалобы на су</w:t>
      </w:r>
      <w:r>
        <w:rPr>
          <w:sz w:val="28"/>
          <w:szCs w:val="28"/>
        </w:rPr>
        <w:t xml:space="preserve">хость во рту, жажду </w:t>
      </w:r>
      <w:r w:rsidRPr="00D12492">
        <w:rPr>
          <w:sz w:val="28"/>
          <w:szCs w:val="28"/>
        </w:rPr>
        <w:t>(</w:t>
      </w:r>
      <w:r>
        <w:rPr>
          <w:sz w:val="28"/>
          <w:szCs w:val="28"/>
        </w:rPr>
        <w:t>Будаев А.</w:t>
      </w:r>
      <w:r w:rsidRPr="00C5336B">
        <w:rPr>
          <w:sz w:val="28"/>
          <w:szCs w:val="28"/>
        </w:rPr>
        <w:t xml:space="preserve">П., 2001; </w:t>
      </w:r>
      <w:r w:rsidRPr="00C5336B">
        <w:rPr>
          <w:sz w:val="28"/>
          <w:szCs w:val="28"/>
          <w:shd w:val="clear" w:color="auto" w:fill="FFFFFF"/>
          <w:lang w:val="en-US"/>
        </w:rPr>
        <w:t>Antoniades</w:t>
      </w:r>
      <w:r w:rsidRPr="004C111F">
        <w:rPr>
          <w:sz w:val="28"/>
          <w:szCs w:val="28"/>
          <w:shd w:val="clear" w:color="auto" w:fill="FFFFFF"/>
        </w:rPr>
        <w:t xml:space="preserve"> </w:t>
      </w:r>
      <w:r w:rsidRPr="00C5336B">
        <w:rPr>
          <w:sz w:val="28"/>
          <w:szCs w:val="28"/>
          <w:shd w:val="clear" w:color="auto" w:fill="FFFFFF"/>
          <w:lang w:val="en-US"/>
        </w:rPr>
        <w:t>K</w:t>
      </w:r>
      <w:r w:rsidRPr="00C5336B">
        <w:rPr>
          <w:sz w:val="28"/>
          <w:szCs w:val="28"/>
          <w:shd w:val="clear" w:color="auto" w:fill="FFFFFF"/>
        </w:rPr>
        <w:t xml:space="preserve">. </w:t>
      </w:r>
      <w:r w:rsidRPr="00C5336B">
        <w:rPr>
          <w:sz w:val="28"/>
          <w:szCs w:val="28"/>
          <w:shd w:val="clear" w:color="auto" w:fill="FFFFFF"/>
          <w:lang w:val="en-US"/>
        </w:rPr>
        <w:t>et</w:t>
      </w:r>
      <w:r w:rsidRPr="004C111F">
        <w:rPr>
          <w:sz w:val="28"/>
          <w:szCs w:val="28"/>
          <w:shd w:val="clear" w:color="auto" w:fill="FFFFFF"/>
        </w:rPr>
        <w:t xml:space="preserve"> </w:t>
      </w:r>
      <w:r w:rsidRPr="00C5336B">
        <w:rPr>
          <w:sz w:val="28"/>
          <w:szCs w:val="28"/>
          <w:shd w:val="clear" w:color="auto" w:fill="FFFFFF"/>
          <w:lang w:val="en-US"/>
        </w:rPr>
        <w:t>al</w:t>
      </w:r>
      <w:r w:rsidRPr="00C5336B">
        <w:rPr>
          <w:sz w:val="28"/>
          <w:szCs w:val="28"/>
          <w:shd w:val="clear" w:color="auto" w:fill="FFFFFF"/>
        </w:rPr>
        <w:t>., 2004</w:t>
      </w:r>
      <w:r w:rsidRPr="00D12492">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 xml:space="preserve">Пациенты с одонтогенным сепсисом (при наличии полиорганной недостаточности) </w:t>
      </w:r>
      <w:r>
        <w:rPr>
          <w:sz w:val="28"/>
          <w:szCs w:val="28"/>
        </w:rPr>
        <w:t>также</w:t>
      </w:r>
      <w:r w:rsidRPr="00C5336B">
        <w:rPr>
          <w:sz w:val="28"/>
          <w:szCs w:val="28"/>
        </w:rPr>
        <w:t xml:space="preserve"> предъявляют жалобы общего и местного (локального) характера, а </w:t>
      </w:r>
      <w:r>
        <w:rPr>
          <w:sz w:val="28"/>
          <w:szCs w:val="28"/>
        </w:rPr>
        <w:t>также</w:t>
      </w:r>
      <w:r w:rsidRPr="00C5336B">
        <w:rPr>
          <w:sz w:val="28"/>
          <w:szCs w:val="28"/>
        </w:rPr>
        <w:t xml:space="preserve"> жалобы, связанные с наличием фоновой патологии. </w:t>
      </w:r>
    </w:p>
    <w:p w:rsidR="00286780" w:rsidRPr="00C5336B" w:rsidRDefault="00286780" w:rsidP="00C5336B">
      <w:pPr>
        <w:spacing w:line="360" w:lineRule="auto"/>
        <w:ind w:firstLine="709"/>
        <w:jc w:val="both"/>
        <w:rPr>
          <w:sz w:val="28"/>
          <w:szCs w:val="28"/>
        </w:rPr>
      </w:pPr>
      <w:r w:rsidRPr="00C5336B">
        <w:rPr>
          <w:sz w:val="28"/>
          <w:szCs w:val="28"/>
        </w:rPr>
        <w:t xml:space="preserve">Следует отметить, что общие жалобы при наличии сепсиса, как правило, преобладают над местными. </w:t>
      </w:r>
    </w:p>
    <w:p w:rsidR="00286780" w:rsidRPr="00C5336B" w:rsidRDefault="00286780" w:rsidP="00C5336B">
      <w:pPr>
        <w:spacing w:line="360" w:lineRule="auto"/>
        <w:ind w:firstLine="709"/>
        <w:jc w:val="both"/>
        <w:rPr>
          <w:sz w:val="28"/>
          <w:szCs w:val="28"/>
        </w:rPr>
      </w:pPr>
      <w:r w:rsidRPr="00C5336B">
        <w:rPr>
          <w:sz w:val="28"/>
          <w:szCs w:val="28"/>
        </w:rPr>
        <w:t>Отмечено, что в связи с наличием периферической нейропатии у больных с сахарным диабетом возможно снижение интенсивности или полное отсутствие жалоб на боли в области восп</w:t>
      </w:r>
      <w:r>
        <w:rPr>
          <w:sz w:val="28"/>
          <w:szCs w:val="28"/>
        </w:rPr>
        <w:t xml:space="preserve">алительного очага </w:t>
      </w:r>
      <w:r w:rsidRPr="00D12492">
        <w:rPr>
          <w:sz w:val="28"/>
          <w:szCs w:val="28"/>
        </w:rPr>
        <w:t>(</w:t>
      </w:r>
      <w:r>
        <w:rPr>
          <w:sz w:val="28"/>
          <w:szCs w:val="28"/>
        </w:rPr>
        <w:t>Анциферов Б.М., 2002</w:t>
      </w:r>
      <w:r w:rsidRPr="00D12492">
        <w:rPr>
          <w:sz w:val="28"/>
          <w:szCs w:val="28"/>
        </w:rPr>
        <w:t>)</w:t>
      </w:r>
      <w:r w:rsidRPr="00C5336B">
        <w:rPr>
          <w:sz w:val="28"/>
          <w:szCs w:val="28"/>
        </w:rPr>
        <w:t>. Скудные жалобы и клиническая симптоматика н</w:t>
      </w:r>
      <w:r>
        <w:rPr>
          <w:sz w:val="28"/>
          <w:szCs w:val="28"/>
        </w:rPr>
        <w:t xml:space="preserve">аблюдаются у пожилых пациентов </w:t>
      </w:r>
      <w:r w:rsidRPr="00D12492">
        <w:rPr>
          <w:sz w:val="28"/>
          <w:szCs w:val="28"/>
        </w:rPr>
        <w:t>(</w:t>
      </w:r>
      <w:r w:rsidRPr="00C5336B">
        <w:rPr>
          <w:sz w:val="28"/>
          <w:szCs w:val="28"/>
        </w:rPr>
        <w:t>Дво</w:t>
      </w:r>
      <w:r>
        <w:rPr>
          <w:sz w:val="28"/>
          <w:szCs w:val="28"/>
        </w:rPr>
        <w:t>рецкий Л.И. и др., 1997</w:t>
      </w:r>
      <w:r w:rsidRPr="00D12492">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Клиническая картина и состояние гомеостаза у септических больных находится в прямой зависимости от сроков поступления пациентов в стационар. При длительности заболевания более 6 суток увеличивается вероятность развития распространенного гнойного процесса, тяжелого или крайне тяжелого состояния пациента и полиорганной недостаточн</w:t>
      </w:r>
      <w:r>
        <w:rPr>
          <w:sz w:val="28"/>
          <w:szCs w:val="28"/>
        </w:rPr>
        <w:t xml:space="preserve">ости </w:t>
      </w:r>
      <w:r w:rsidRPr="00D12492">
        <w:rPr>
          <w:sz w:val="28"/>
          <w:szCs w:val="28"/>
        </w:rPr>
        <w:t>(</w:t>
      </w:r>
      <w:r>
        <w:rPr>
          <w:sz w:val="28"/>
          <w:szCs w:val="28"/>
        </w:rPr>
        <w:t>Губин М.А., Харитонов Ю.М., 2006</w:t>
      </w:r>
      <w:r w:rsidRPr="00D12492">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 xml:space="preserve">Нередко органная недостаточность развивается в сроки до 6 суток. Наблюдается прогрессирующее распространение гнойно-воспалительного процесса по клетчаточным пространствам дна полости рта, шеи, средостения, что характерно для гнилостно-некротических одонтогенных флегмон </w:t>
      </w:r>
      <w:r w:rsidRPr="00D12492">
        <w:rPr>
          <w:sz w:val="28"/>
          <w:szCs w:val="28"/>
        </w:rPr>
        <w:t>(</w:t>
      </w:r>
      <w:r w:rsidRPr="00C5336B">
        <w:rPr>
          <w:sz w:val="28"/>
          <w:szCs w:val="28"/>
          <w:shd w:val="clear" w:color="auto" w:fill="FFFFFF"/>
          <w:lang w:val="en-US"/>
        </w:rPr>
        <w:t>Vinikoor</w:t>
      </w:r>
      <w:r w:rsidRPr="0037499A">
        <w:rPr>
          <w:sz w:val="28"/>
          <w:szCs w:val="28"/>
          <w:shd w:val="clear" w:color="auto" w:fill="FFFFFF"/>
        </w:rPr>
        <w:t xml:space="preserve"> </w:t>
      </w:r>
      <w:r w:rsidRPr="00C5336B">
        <w:rPr>
          <w:sz w:val="28"/>
          <w:szCs w:val="28"/>
          <w:shd w:val="clear" w:color="auto" w:fill="FFFFFF"/>
          <w:lang w:val="en-US"/>
        </w:rPr>
        <w:t>M</w:t>
      </w:r>
      <w:r>
        <w:rPr>
          <w:sz w:val="28"/>
          <w:szCs w:val="28"/>
          <w:shd w:val="clear" w:color="auto" w:fill="FFFFFF"/>
        </w:rPr>
        <w:t>.</w:t>
      </w:r>
      <w:r w:rsidRPr="00C5336B">
        <w:rPr>
          <w:sz w:val="28"/>
          <w:szCs w:val="28"/>
          <w:shd w:val="clear" w:color="auto" w:fill="FFFFFF"/>
          <w:lang w:val="en-US"/>
        </w:rPr>
        <w:t>J</w:t>
      </w:r>
      <w:r w:rsidRPr="00C5336B">
        <w:rPr>
          <w:sz w:val="28"/>
          <w:szCs w:val="28"/>
          <w:shd w:val="clear" w:color="auto" w:fill="FFFFFF"/>
        </w:rPr>
        <w:t xml:space="preserve">. </w:t>
      </w:r>
      <w:r w:rsidRPr="00C5336B">
        <w:rPr>
          <w:sz w:val="28"/>
          <w:szCs w:val="28"/>
          <w:shd w:val="clear" w:color="auto" w:fill="FFFFFF"/>
          <w:lang w:val="en-US"/>
        </w:rPr>
        <w:t>et</w:t>
      </w:r>
      <w:r w:rsidRPr="0037499A">
        <w:rPr>
          <w:sz w:val="28"/>
          <w:szCs w:val="28"/>
          <w:shd w:val="clear" w:color="auto" w:fill="FFFFFF"/>
        </w:rPr>
        <w:t xml:space="preserve"> </w:t>
      </w:r>
      <w:r w:rsidRPr="00C5336B">
        <w:rPr>
          <w:sz w:val="28"/>
          <w:szCs w:val="28"/>
          <w:shd w:val="clear" w:color="auto" w:fill="FFFFFF"/>
          <w:lang w:val="en-US"/>
        </w:rPr>
        <w:t>al</w:t>
      </w:r>
      <w:r w:rsidRPr="00C5336B">
        <w:rPr>
          <w:sz w:val="28"/>
          <w:szCs w:val="28"/>
          <w:shd w:val="clear" w:color="auto" w:fill="FFFFFF"/>
        </w:rPr>
        <w:t>., 2011</w:t>
      </w:r>
      <w:r w:rsidRPr="00D12492">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 xml:space="preserve">Общее состояние при поступлении пациента с одонтогенным воспалительным процессом в стационар </w:t>
      </w:r>
      <w:r>
        <w:rPr>
          <w:sz w:val="28"/>
          <w:szCs w:val="28"/>
        </w:rPr>
        <w:t>также</w:t>
      </w:r>
      <w:r w:rsidRPr="00C5336B">
        <w:rPr>
          <w:sz w:val="28"/>
          <w:szCs w:val="28"/>
        </w:rPr>
        <w:t xml:space="preserve"> зависит от формы гнойной инфекции и наличия органной недостаточности. </w:t>
      </w:r>
    </w:p>
    <w:p w:rsidR="00286780" w:rsidRDefault="00286780" w:rsidP="00C5336B">
      <w:pPr>
        <w:spacing w:line="360" w:lineRule="auto"/>
        <w:ind w:firstLine="709"/>
        <w:jc w:val="both"/>
        <w:rPr>
          <w:sz w:val="28"/>
          <w:szCs w:val="28"/>
        </w:rPr>
      </w:pPr>
      <w:r w:rsidRPr="00C5336B">
        <w:rPr>
          <w:sz w:val="28"/>
          <w:szCs w:val="28"/>
        </w:rPr>
        <w:t>Для острого одонтогенного сепсиса характерно тяжелое общее состояние пациента, реже – средней тяжести, крайне тяжело</w:t>
      </w:r>
      <w:r>
        <w:rPr>
          <w:sz w:val="28"/>
          <w:szCs w:val="28"/>
        </w:rPr>
        <w:t xml:space="preserve">е или агонирующее. По данным </w:t>
      </w:r>
      <w:r>
        <w:rPr>
          <w:sz w:val="28"/>
          <w:szCs w:val="28"/>
        </w:rPr>
        <w:lastRenderedPageBreak/>
        <w:t>М.</w:t>
      </w:r>
      <w:r w:rsidRPr="00C5336B">
        <w:rPr>
          <w:sz w:val="28"/>
          <w:szCs w:val="28"/>
        </w:rPr>
        <w:t xml:space="preserve">А. Губина и др., </w:t>
      </w:r>
      <w:r>
        <w:rPr>
          <w:sz w:val="28"/>
          <w:szCs w:val="28"/>
        </w:rPr>
        <w:t>"</w:t>
      </w:r>
      <w:r w:rsidRPr="00C5336B">
        <w:rPr>
          <w:sz w:val="28"/>
          <w:szCs w:val="28"/>
        </w:rPr>
        <w:t xml:space="preserve">общее состояние у 33,3% больных было средней тяжести, у 62,9% – тяжелое, и у 3,8% – крайне </w:t>
      </w:r>
      <w:r>
        <w:rPr>
          <w:sz w:val="28"/>
          <w:szCs w:val="28"/>
        </w:rPr>
        <w:t xml:space="preserve">тяжелое" </w:t>
      </w:r>
      <w:r w:rsidRPr="00D12492">
        <w:rPr>
          <w:sz w:val="28"/>
          <w:szCs w:val="28"/>
        </w:rPr>
        <w:t>(</w:t>
      </w:r>
      <w:r>
        <w:rPr>
          <w:sz w:val="28"/>
          <w:szCs w:val="28"/>
        </w:rPr>
        <w:t>Губин М.А., 2004, 2003, 1987</w:t>
      </w:r>
      <w:r w:rsidRPr="00D12492">
        <w:rPr>
          <w:sz w:val="28"/>
          <w:szCs w:val="28"/>
        </w:rPr>
        <w:t>)</w:t>
      </w:r>
      <w:r w:rsidRPr="00C5336B">
        <w:rPr>
          <w:sz w:val="28"/>
          <w:szCs w:val="28"/>
        </w:rPr>
        <w:t xml:space="preserve">. </w:t>
      </w:r>
    </w:p>
    <w:p w:rsidR="00286780" w:rsidRPr="00C5336B" w:rsidRDefault="00286780" w:rsidP="00C5336B">
      <w:pPr>
        <w:spacing w:line="360" w:lineRule="auto"/>
        <w:ind w:firstLine="709"/>
        <w:jc w:val="both"/>
        <w:rPr>
          <w:sz w:val="28"/>
          <w:szCs w:val="28"/>
        </w:rPr>
      </w:pPr>
      <w:r w:rsidRPr="00C5336B">
        <w:rPr>
          <w:sz w:val="28"/>
          <w:szCs w:val="28"/>
        </w:rPr>
        <w:t>Корреляция клинико-лабораторных признаков сепсиса и тяжести состояния пациента п</w:t>
      </w:r>
      <w:r>
        <w:rPr>
          <w:sz w:val="28"/>
          <w:szCs w:val="28"/>
        </w:rPr>
        <w:t>риведена в Таблице 3</w:t>
      </w:r>
      <w:r w:rsidR="005C0E16">
        <w:rPr>
          <w:sz w:val="28"/>
          <w:szCs w:val="28"/>
        </w:rPr>
        <w:t xml:space="preserve"> </w:t>
      </w:r>
      <w:r w:rsidRPr="00D12492">
        <w:rPr>
          <w:sz w:val="28"/>
          <w:szCs w:val="28"/>
        </w:rPr>
        <w:t>(</w:t>
      </w:r>
      <w:r>
        <w:rPr>
          <w:sz w:val="28"/>
          <w:szCs w:val="28"/>
        </w:rPr>
        <w:t>Кузин М.И. и др., 1990; Губин М.</w:t>
      </w:r>
      <w:r w:rsidRPr="00C5336B">
        <w:rPr>
          <w:sz w:val="28"/>
          <w:szCs w:val="28"/>
        </w:rPr>
        <w:t>А., 2004; Ро</w:t>
      </w:r>
      <w:r>
        <w:rPr>
          <w:sz w:val="28"/>
          <w:szCs w:val="28"/>
        </w:rPr>
        <w:t>бустова Т.Г. и др., 2006</w:t>
      </w:r>
      <w:r w:rsidRPr="000B13B7">
        <w:rPr>
          <w:sz w:val="28"/>
          <w:szCs w:val="28"/>
        </w:rPr>
        <w:t>)</w:t>
      </w:r>
      <w:r w:rsidRPr="00C5336B">
        <w:rPr>
          <w:sz w:val="28"/>
          <w:szCs w:val="28"/>
        </w:rPr>
        <w:t>.</w:t>
      </w:r>
    </w:p>
    <w:p w:rsidR="00286780" w:rsidRPr="00C5336B" w:rsidRDefault="00286780" w:rsidP="00C5336B">
      <w:pPr>
        <w:jc w:val="both"/>
        <w:rPr>
          <w:sz w:val="28"/>
          <w:szCs w:val="28"/>
        </w:rPr>
      </w:pPr>
    </w:p>
    <w:p w:rsidR="00286780" w:rsidRPr="00C5336B" w:rsidRDefault="00286780" w:rsidP="00C5336B">
      <w:pPr>
        <w:spacing w:after="120"/>
        <w:jc w:val="both"/>
        <w:rPr>
          <w:sz w:val="28"/>
          <w:szCs w:val="28"/>
        </w:rPr>
      </w:pPr>
      <w:r w:rsidRPr="00C5336B">
        <w:rPr>
          <w:b/>
          <w:sz w:val="28"/>
          <w:szCs w:val="28"/>
        </w:rPr>
        <w:t xml:space="preserve">Таблица </w:t>
      </w:r>
      <w:r>
        <w:rPr>
          <w:b/>
          <w:sz w:val="28"/>
          <w:szCs w:val="28"/>
        </w:rPr>
        <w:t>3</w:t>
      </w:r>
      <w:r w:rsidRPr="00C5336B">
        <w:rPr>
          <w:sz w:val="28"/>
          <w:szCs w:val="28"/>
        </w:rPr>
        <w:t xml:space="preserve"> – Взаимосвязь тяжести состояния пациента и клинических характеристик острого одонтогенного сепсиса</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2"/>
        <w:gridCol w:w="8761"/>
      </w:tblGrid>
      <w:tr w:rsidR="00286780" w:rsidRPr="00C5336B" w:rsidTr="00C5336B">
        <w:trPr>
          <w:trHeight w:val="454"/>
        </w:trPr>
        <w:tc>
          <w:tcPr>
            <w:tcW w:w="1162" w:type="dxa"/>
            <w:tcMar>
              <w:left w:w="28" w:type="dxa"/>
              <w:right w:w="28" w:type="dxa"/>
            </w:tcMar>
            <w:vAlign w:val="center"/>
          </w:tcPr>
          <w:p w:rsidR="00286780" w:rsidRPr="00C5336B" w:rsidRDefault="00286780" w:rsidP="00C5336B">
            <w:pPr>
              <w:jc w:val="center"/>
              <w:rPr>
                <w:i/>
                <w:sz w:val="24"/>
                <w:szCs w:val="24"/>
              </w:rPr>
            </w:pPr>
            <w:r w:rsidRPr="00C5336B">
              <w:rPr>
                <w:i/>
                <w:sz w:val="24"/>
                <w:szCs w:val="24"/>
              </w:rPr>
              <w:t>Тяжесть течения</w:t>
            </w:r>
          </w:p>
        </w:tc>
        <w:tc>
          <w:tcPr>
            <w:tcW w:w="8761" w:type="dxa"/>
            <w:tcMar>
              <w:left w:w="28" w:type="dxa"/>
              <w:right w:w="28" w:type="dxa"/>
            </w:tcMar>
            <w:vAlign w:val="center"/>
          </w:tcPr>
          <w:p w:rsidR="00286780" w:rsidRPr="00C5336B" w:rsidRDefault="00286780" w:rsidP="00C5336B">
            <w:pPr>
              <w:jc w:val="center"/>
              <w:rPr>
                <w:i/>
                <w:sz w:val="24"/>
                <w:szCs w:val="24"/>
              </w:rPr>
            </w:pPr>
            <w:r w:rsidRPr="00C5336B">
              <w:rPr>
                <w:i/>
                <w:sz w:val="24"/>
                <w:szCs w:val="24"/>
              </w:rPr>
              <w:t>Клинико-лабораторные признаки острого одонтогенного сепсиса</w:t>
            </w:r>
          </w:p>
        </w:tc>
      </w:tr>
      <w:tr w:rsidR="00286780" w:rsidRPr="00C5336B" w:rsidTr="00C5336B">
        <w:trPr>
          <w:trHeight w:val="454"/>
        </w:trPr>
        <w:tc>
          <w:tcPr>
            <w:tcW w:w="1162" w:type="dxa"/>
            <w:tcMar>
              <w:left w:w="28" w:type="dxa"/>
              <w:right w:w="28" w:type="dxa"/>
            </w:tcMar>
            <w:vAlign w:val="center"/>
          </w:tcPr>
          <w:p w:rsidR="00286780" w:rsidRPr="00C5336B" w:rsidRDefault="00286780" w:rsidP="00C5336B">
            <w:pPr>
              <w:rPr>
                <w:sz w:val="24"/>
                <w:szCs w:val="24"/>
              </w:rPr>
            </w:pPr>
            <w:r w:rsidRPr="00C5336B">
              <w:rPr>
                <w:sz w:val="24"/>
                <w:szCs w:val="24"/>
              </w:rPr>
              <w:t>Средняя тяжесть</w:t>
            </w:r>
          </w:p>
        </w:tc>
        <w:tc>
          <w:tcPr>
            <w:tcW w:w="8761" w:type="dxa"/>
            <w:tcMar>
              <w:left w:w="28" w:type="dxa"/>
              <w:right w:w="28" w:type="dxa"/>
            </w:tcMar>
            <w:vAlign w:val="center"/>
          </w:tcPr>
          <w:p w:rsidR="00286780" w:rsidRPr="000B13B7" w:rsidRDefault="00286780" w:rsidP="00C5336B">
            <w:pPr>
              <w:jc w:val="both"/>
              <w:rPr>
                <w:sz w:val="24"/>
                <w:szCs w:val="24"/>
              </w:rPr>
            </w:pPr>
            <w:r>
              <w:rPr>
                <w:sz w:val="24"/>
                <w:szCs w:val="24"/>
              </w:rPr>
              <w:t>"</w:t>
            </w:r>
            <w:r w:rsidRPr="00C5336B">
              <w:rPr>
                <w:sz w:val="24"/>
                <w:szCs w:val="24"/>
              </w:rPr>
              <w:t>Наличие первичного очага, лихорадка (температура тела около 38 º</w:t>
            </w:r>
            <w:r w:rsidRPr="00C5336B">
              <w:rPr>
                <w:sz w:val="24"/>
                <w:szCs w:val="24"/>
                <w:lang w:val="en-US"/>
              </w:rPr>
              <w:t>C</w:t>
            </w:r>
            <w:r w:rsidRPr="00C5336B">
              <w:rPr>
                <w:sz w:val="24"/>
                <w:szCs w:val="24"/>
              </w:rPr>
              <w:t>, положительные посевы крови, тахикардия менее 100 в 1 мин, отсутствие одышки, интоксикация легкая или средней степени тяжести, незначительная анемия (гемоглобин более 100 г/л, эритроциты – более 2,0×10</w:t>
            </w:r>
            <w:r w:rsidRPr="00C5336B">
              <w:rPr>
                <w:sz w:val="24"/>
                <w:szCs w:val="24"/>
                <w:vertAlign w:val="superscript"/>
              </w:rPr>
              <w:t>12</w:t>
            </w:r>
            <w:r w:rsidRPr="00C5336B">
              <w:rPr>
                <w:sz w:val="24"/>
                <w:szCs w:val="24"/>
              </w:rPr>
              <w:t>/л), отсутствие органной недостаточности. Гнойно-резорбтивная лихорадка или септицемия</w:t>
            </w:r>
            <w:r>
              <w:rPr>
                <w:sz w:val="24"/>
                <w:szCs w:val="24"/>
              </w:rPr>
              <w:t>"</w:t>
            </w:r>
            <w:r w:rsidRPr="000B13B7">
              <w:rPr>
                <w:sz w:val="24"/>
                <w:szCs w:val="24"/>
              </w:rPr>
              <w:t>(</w:t>
            </w:r>
            <w:r w:rsidRPr="00537D50">
              <w:rPr>
                <w:sz w:val="24"/>
                <w:szCs w:val="24"/>
              </w:rPr>
              <w:t>Кузин М.И. и др., 1990; Губин М.А., 2004; Робустова Т.Г. и др., 2006</w:t>
            </w:r>
            <w:r w:rsidRPr="000B13B7">
              <w:rPr>
                <w:sz w:val="24"/>
                <w:szCs w:val="24"/>
              </w:rPr>
              <w:t>)</w:t>
            </w:r>
          </w:p>
        </w:tc>
      </w:tr>
      <w:tr w:rsidR="00286780" w:rsidRPr="00C5336B" w:rsidTr="00C5336B">
        <w:trPr>
          <w:trHeight w:val="454"/>
        </w:trPr>
        <w:tc>
          <w:tcPr>
            <w:tcW w:w="1162" w:type="dxa"/>
            <w:tcMar>
              <w:left w:w="28" w:type="dxa"/>
              <w:right w:w="28" w:type="dxa"/>
            </w:tcMar>
            <w:vAlign w:val="center"/>
          </w:tcPr>
          <w:p w:rsidR="00286780" w:rsidRPr="00C5336B" w:rsidRDefault="00286780" w:rsidP="00C5336B">
            <w:pPr>
              <w:rPr>
                <w:sz w:val="24"/>
                <w:szCs w:val="24"/>
              </w:rPr>
            </w:pPr>
            <w:r w:rsidRPr="00C5336B">
              <w:rPr>
                <w:sz w:val="24"/>
                <w:szCs w:val="24"/>
              </w:rPr>
              <w:t>Тяжелое состояние</w:t>
            </w:r>
          </w:p>
        </w:tc>
        <w:tc>
          <w:tcPr>
            <w:tcW w:w="8761" w:type="dxa"/>
            <w:tcMar>
              <w:left w:w="28" w:type="dxa"/>
              <w:right w:w="28" w:type="dxa"/>
            </w:tcMar>
            <w:vAlign w:val="center"/>
          </w:tcPr>
          <w:p w:rsidR="00286780" w:rsidRPr="000B13B7" w:rsidRDefault="00286780" w:rsidP="00C5336B">
            <w:pPr>
              <w:jc w:val="both"/>
              <w:rPr>
                <w:sz w:val="24"/>
                <w:szCs w:val="24"/>
              </w:rPr>
            </w:pPr>
            <w:r>
              <w:rPr>
                <w:sz w:val="24"/>
                <w:szCs w:val="24"/>
              </w:rPr>
              <w:t>"</w:t>
            </w:r>
            <w:r w:rsidRPr="00C5336B">
              <w:rPr>
                <w:sz w:val="24"/>
                <w:szCs w:val="24"/>
              </w:rPr>
              <w:t>Нарушения системы гомеостаза и функций внутренних органов на уровне субкомпенсации (ЧСС более 100 в 1 мин), нарушения сердечного ритма, изменения внешнего дыхания, выраженные анемия и гипопротеинемия, повышение уровня билирубина и трансаминаз, изменение плотности мочи, цилиндрурия, протеинурия. Определяется предельное напряжение компенсаторных возможностей системы гомеостаза. Септицемия и септикопиемия</w:t>
            </w:r>
            <w:r>
              <w:rPr>
                <w:sz w:val="24"/>
                <w:szCs w:val="24"/>
              </w:rPr>
              <w:t xml:space="preserve">" </w:t>
            </w:r>
            <w:r w:rsidRPr="000B13B7">
              <w:rPr>
                <w:sz w:val="24"/>
                <w:szCs w:val="24"/>
              </w:rPr>
              <w:t>(</w:t>
            </w:r>
            <w:r w:rsidRPr="00537D50">
              <w:rPr>
                <w:sz w:val="24"/>
                <w:szCs w:val="24"/>
              </w:rPr>
              <w:t>Кузин М.И. и др., 1990; Губин М.А., 2004; Робустова Т.Г. и др., 2006</w:t>
            </w:r>
            <w:r w:rsidRPr="000B13B7">
              <w:rPr>
                <w:sz w:val="24"/>
                <w:szCs w:val="24"/>
              </w:rPr>
              <w:t>)</w:t>
            </w:r>
          </w:p>
        </w:tc>
      </w:tr>
      <w:tr w:rsidR="00286780" w:rsidRPr="00C5336B" w:rsidTr="00C5336B">
        <w:trPr>
          <w:trHeight w:val="454"/>
        </w:trPr>
        <w:tc>
          <w:tcPr>
            <w:tcW w:w="1162" w:type="dxa"/>
            <w:tcMar>
              <w:left w:w="28" w:type="dxa"/>
              <w:right w:w="28" w:type="dxa"/>
            </w:tcMar>
            <w:vAlign w:val="center"/>
          </w:tcPr>
          <w:p w:rsidR="00286780" w:rsidRPr="00C5336B" w:rsidRDefault="00286780" w:rsidP="00C5336B">
            <w:pPr>
              <w:rPr>
                <w:sz w:val="24"/>
                <w:szCs w:val="24"/>
              </w:rPr>
            </w:pPr>
            <w:r w:rsidRPr="00C5336B">
              <w:rPr>
                <w:sz w:val="24"/>
                <w:szCs w:val="24"/>
              </w:rPr>
              <w:t>Крайне тяжелое состояние</w:t>
            </w:r>
          </w:p>
        </w:tc>
        <w:tc>
          <w:tcPr>
            <w:tcW w:w="8761" w:type="dxa"/>
            <w:tcMar>
              <w:left w:w="28" w:type="dxa"/>
              <w:right w:w="28" w:type="dxa"/>
            </w:tcMar>
            <w:vAlign w:val="center"/>
          </w:tcPr>
          <w:p w:rsidR="00286780" w:rsidRPr="000B13B7" w:rsidRDefault="00286780" w:rsidP="00C5336B">
            <w:pPr>
              <w:jc w:val="both"/>
              <w:rPr>
                <w:sz w:val="24"/>
                <w:szCs w:val="24"/>
              </w:rPr>
            </w:pPr>
            <w:r>
              <w:rPr>
                <w:sz w:val="24"/>
                <w:szCs w:val="24"/>
              </w:rPr>
              <w:t>"</w:t>
            </w:r>
            <w:r w:rsidRPr="00C5336B">
              <w:rPr>
                <w:sz w:val="24"/>
                <w:szCs w:val="24"/>
              </w:rPr>
              <w:t>Длительное безуспешное лечение сепсиса, вторичные гнойные очаги, септический шок. Определяются полиорганная недостаточность и тяжелая интоксикация. Сердечно-легочная недостаточность (тахикардия более 120 в 1 мин, одышка более 28–30 в 1 мин, снижение АД, нарушения сердечного ритма и газового состава крови). Выраженные признаки печеночно-почечной недостаточности, расстройства ЦНС</w:t>
            </w:r>
            <w:r>
              <w:rPr>
                <w:sz w:val="24"/>
                <w:szCs w:val="24"/>
              </w:rPr>
              <w:t xml:space="preserve">" </w:t>
            </w:r>
            <w:r w:rsidRPr="000B13B7">
              <w:rPr>
                <w:sz w:val="24"/>
                <w:szCs w:val="24"/>
              </w:rPr>
              <w:t>(</w:t>
            </w:r>
            <w:r w:rsidRPr="00537D50">
              <w:rPr>
                <w:sz w:val="24"/>
                <w:szCs w:val="24"/>
              </w:rPr>
              <w:t>Кузин М.И. и др., 1990; Губин М.А., 2004; Робустова Т.Г. и др., 2006</w:t>
            </w:r>
            <w:r w:rsidRPr="000B13B7">
              <w:rPr>
                <w:sz w:val="24"/>
                <w:szCs w:val="24"/>
              </w:rPr>
              <w:t>)</w:t>
            </w:r>
          </w:p>
        </w:tc>
      </w:tr>
    </w:tbl>
    <w:p w:rsidR="00286780" w:rsidRPr="00C5336B" w:rsidRDefault="00286780" w:rsidP="00C5336B">
      <w:pPr>
        <w:jc w:val="both"/>
        <w:rPr>
          <w:sz w:val="28"/>
          <w:szCs w:val="28"/>
        </w:rPr>
      </w:pPr>
    </w:p>
    <w:p w:rsidR="00286780" w:rsidRPr="00C5336B" w:rsidRDefault="00286780" w:rsidP="00C5336B">
      <w:pPr>
        <w:spacing w:line="360" w:lineRule="auto"/>
        <w:ind w:firstLine="709"/>
        <w:jc w:val="both"/>
        <w:rPr>
          <w:sz w:val="28"/>
          <w:szCs w:val="28"/>
        </w:rPr>
      </w:pPr>
      <w:r w:rsidRPr="00C5336B">
        <w:rPr>
          <w:sz w:val="28"/>
          <w:szCs w:val="28"/>
        </w:rPr>
        <w:t xml:space="preserve">Следует отметить, что до настоящего времени в клинической практике применялось понятие сепсиса (без органной недостаточности), связанное с наличием только синдрома системного воспалительного ответа при наличии воспалительного очага (критерии </w:t>
      </w:r>
      <w:r w:rsidRPr="00C5336B">
        <w:rPr>
          <w:sz w:val="28"/>
          <w:szCs w:val="28"/>
          <w:lang w:val="en-US"/>
        </w:rPr>
        <w:t>ACCP</w:t>
      </w:r>
      <w:r>
        <w:rPr>
          <w:sz w:val="28"/>
          <w:szCs w:val="28"/>
        </w:rPr>
        <w:t>/</w:t>
      </w:r>
      <w:r w:rsidRPr="00C5336B">
        <w:rPr>
          <w:sz w:val="28"/>
          <w:szCs w:val="28"/>
          <w:lang w:val="en-US"/>
        </w:rPr>
        <w:t>SCCM</w:t>
      </w:r>
      <w:r w:rsidRPr="00C5336B">
        <w:rPr>
          <w:sz w:val="28"/>
          <w:szCs w:val="28"/>
        </w:rPr>
        <w:t>, 1992 г.), что позволяло определять общее состояние больного одонтог</w:t>
      </w:r>
      <w:r w:rsidR="00B840C3">
        <w:rPr>
          <w:sz w:val="28"/>
          <w:szCs w:val="28"/>
        </w:rPr>
        <w:t>енным сепсисом средней тяжести,</w:t>
      </w:r>
      <w:r w:rsidRPr="00C5336B">
        <w:rPr>
          <w:sz w:val="28"/>
          <w:szCs w:val="28"/>
        </w:rPr>
        <w:t>так как отсутство</w:t>
      </w:r>
      <w:r w:rsidR="00B840C3">
        <w:rPr>
          <w:sz w:val="28"/>
          <w:szCs w:val="28"/>
        </w:rPr>
        <w:t>вала органная недостаточность</w:t>
      </w:r>
      <w:r>
        <w:rPr>
          <w:sz w:val="28"/>
          <w:szCs w:val="28"/>
        </w:rPr>
        <w:t xml:space="preserve"> </w:t>
      </w:r>
      <w:r w:rsidRPr="000B13B7">
        <w:rPr>
          <w:sz w:val="28"/>
          <w:szCs w:val="28"/>
        </w:rPr>
        <w:t>(</w:t>
      </w:r>
      <w:r w:rsidRPr="00C5336B">
        <w:rPr>
          <w:sz w:val="28"/>
          <w:szCs w:val="28"/>
          <w:lang w:val="en-US"/>
        </w:rPr>
        <w:t>BoneR</w:t>
      </w:r>
      <w:r>
        <w:rPr>
          <w:sz w:val="28"/>
          <w:szCs w:val="28"/>
        </w:rPr>
        <w:t>.</w:t>
      </w:r>
      <w:r w:rsidRPr="00C5336B">
        <w:rPr>
          <w:sz w:val="28"/>
          <w:szCs w:val="28"/>
          <w:lang w:val="en-US"/>
        </w:rPr>
        <w:t>C</w:t>
      </w:r>
      <w:r w:rsidRPr="00C5336B">
        <w:rPr>
          <w:sz w:val="28"/>
          <w:szCs w:val="28"/>
        </w:rPr>
        <w:t xml:space="preserve">. </w:t>
      </w:r>
      <w:r w:rsidRPr="00C5336B">
        <w:rPr>
          <w:sz w:val="28"/>
          <w:szCs w:val="28"/>
          <w:lang w:val="en-US"/>
        </w:rPr>
        <w:t>et</w:t>
      </w:r>
      <w:r w:rsidRPr="0037499A">
        <w:rPr>
          <w:sz w:val="28"/>
          <w:szCs w:val="28"/>
        </w:rPr>
        <w:t xml:space="preserve"> </w:t>
      </w:r>
      <w:r w:rsidRPr="00C5336B">
        <w:rPr>
          <w:sz w:val="28"/>
          <w:szCs w:val="28"/>
          <w:lang w:val="en-US"/>
        </w:rPr>
        <w:t>al</w:t>
      </w:r>
      <w:r>
        <w:rPr>
          <w:sz w:val="28"/>
          <w:szCs w:val="28"/>
        </w:rPr>
        <w:t>., 1991, 1992, 1995, 1996</w:t>
      </w:r>
      <w:r w:rsidRPr="000B13B7">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Pr>
          <w:sz w:val="28"/>
          <w:szCs w:val="28"/>
        </w:rPr>
        <w:t>Также</w:t>
      </w:r>
      <w:r w:rsidRPr="00C5336B">
        <w:rPr>
          <w:sz w:val="28"/>
          <w:szCs w:val="28"/>
        </w:rPr>
        <w:t xml:space="preserve"> разработаны критерии топической диагностики флегмон в зависимости от клинической симптоматики, отраженные в специальных таблицах, предназначенных в том числе для практ</w:t>
      </w:r>
      <w:r>
        <w:rPr>
          <w:sz w:val="28"/>
          <w:szCs w:val="28"/>
        </w:rPr>
        <w:t xml:space="preserve">ических врачей </w:t>
      </w:r>
      <w:r w:rsidRPr="000B13B7">
        <w:rPr>
          <w:sz w:val="28"/>
          <w:szCs w:val="28"/>
        </w:rPr>
        <w:t>(</w:t>
      </w:r>
      <w:r>
        <w:rPr>
          <w:sz w:val="28"/>
          <w:szCs w:val="28"/>
        </w:rPr>
        <w:t>Шаргородский А.</w:t>
      </w:r>
      <w:r w:rsidRPr="00C5336B">
        <w:rPr>
          <w:sz w:val="28"/>
          <w:szCs w:val="28"/>
        </w:rPr>
        <w:t>Г., 2001; Робу</w:t>
      </w:r>
      <w:r>
        <w:rPr>
          <w:sz w:val="28"/>
          <w:szCs w:val="28"/>
        </w:rPr>
        <w:t>стова Т.</w:t>
      </w:r>
      <w:r w:rsidRPr="00C5336B">
        <w:rPr>
          <w:sz w:val="28"/>
          <w:szCs w:val="28"/>
        </w:rPr>
        <w:t xml:space="preserve">Г., 2003; Соловьев </w:t>
      </w:r>
      <w:r>
        <w:rPr>
          <w:sz w:val="28"/>
          <w:szCs w:val="28"/>
        </w:rPr>
        <w:t>М.М. и др., 2009</w:t>
      </w:r>
      <w:r w:rsidRPr="00223871">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lastRenderedPageBreak/>
        <w:t>В то же время дифференциальная диагностика прогрессирующих флегмон является сложной задачей, требующей глубоких знаний анатомии челюстно-лицевой области, шеи и средостения.</w:t>
      </w:r>
    </w:p>
    <w:p w:rsidR="00286780" w:rsidRPr="00C5336B" w:rsidRDefault="00286780" w:rsidP="00C5336B">
      <w:pPr>
        <w:spacing w:line="360" w:lineRule="auto"/>
        <w:ind w:firstLine="709"/>
        <w:jc w:val="both"/>
        <w:rPr>
          <w:sz w:val="28"/>
          <w:szCs w:val="28"/>
        </w:rPr>
      </w:pPr>
      <w:r w:rsidRPr="00C5336B">
        <w:rPr>
          <w:sz w:val="28"/>
          <w:szCs w:val="28"/>
        </w:rPr>
        <w:t>Существующие алгоритмы диагностики одонтогенной инфекции основаны на топической диагностике, включающей сопоставление и выраженность отдель</w:t>
      </w:r>
      <w:r>
        <w:rPr>
          <w:sz w:val="28"/>
          <w:szCs w:val="28"/>
        </w:rPr>
        <w:t>ных симптомов воспаления. По В.</w:t>
      </w:r>
      <w:r w:rsidRPr="00C5336B">
        <w:rPr>
          <w:sz w:val="28"/>
          <w:szCs w:val="28"/>
        </w:rPr>
        <w:t>А. Козлову определяются четыре основных признака: наличие «причинного» зуба, выраженность воспалительного инфильтрата, нарушение двигательной функции нижней челюсти и глотания. Локализация инфильтрата определяет топограф</w:t>
      </w:r>
      <w:r>
        <w:rPr>
          <w:sz w:val="28"/>
          <w:szCs w:val="28"/>
        </w:rPr>
        <w:t xml:space="preserve">ию гнойного процесса </w:t>
      </w:r>
      <w:r w:rsidRPr="00223871">
        <w:rPr>
          <w:sz w:val="28"/>
          <w:szCs w:val="28"/>
        </w:rPr>
        <w:t>(</w:t>
      </w:r>
      <w:r>
        <w:rPr>
          <w:sz w:val="28"/>
          <w:szCs w:val="28"/>
        </w:rPr>
        <w:t>Иванов О.</w:t>
      </w:r>
      <w:r w:rsidRPr="00C5336B">
        <w:rPr>
          <w:sz w:val="28"/>
          <w:szCs w:val="28"/>
        </w:rPr>
        <w:t>А., 2006; Со</w:t>
      </w:r>
      <w:r>
        <w:rPr>
          <w:sz w:val="28"/>
          <w:szCs w:val="28"/>
        </w:rPr>
        <w:t>ловьев М.М. и др., 2016; Шаргородский А.Г., 2016</w:t>
      </w:r>
      <w:r w:rsidRPr="00223871">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 xml:space="preserve">К вспомогательным методам диагностики относят рентгенографию, термографию, пункцию </w:t>
      </w:r>
      <w:r>
        <w:rPr>
          <w:sz w:val="28"/>
          <w:szCs w:val="28"/>
        </w:rPr>
        <w:t xml:space="preserve">воспалительного очага </w:t>
      </w:r>
      <w:r w:rsidRPr="00223871">
        <w:rPr>
          <w:sz w:val="28"/>
          <w:szCs w:val="28"/>
        </w:rPr>
        <w:t>(</w:t>
      </w:r>
      <w:r>
        <w:rPr>
          <w:sz w:val="28"/>
          <w:szCs w:val="28"/>
        </w:rPr>
        <w:t>Гирко Е.И., 1994; Соловьев М.М. и др., 2016</w:t>
      </w:r>
      <w:r w:rsidRPr="00223871">
        <w:rPr>
          <w:sz w:val="28"/>
          <w:szCs w:val="28"/>
        </w:rPr>
        <w:t>)</w:t>
      </w:r>
      <w:r w:rsidRPr="00C5336B">
        <w:rPr>
          <w:sz w:val="28"/>
          <w:szCs w:val="28"/>
        </w:rPr>
        <w:t xml:space="preserve">. </w:t>
      </w:r>
    </w:p>
    <w:p w:rsidR="00286780" w:rsidRPr="00C5336B" w:rsidRDefault="00286780" w:rsidP="00C5336B">
      <w:pPr>
        <w:spacing w:line="360" w:lineRule="auto"/>
        <w:ind w:firstLine="709"/>
        <w:jc w:val="both"/>
        <w:rPr>
          <w:sz w:val="28"/>
          <w:szCs w:val="28"/>
        </w:rPr>
      </w:pPr>
      <w:r w:rsidRPr="00C5336B">
        <w:rPr>
          <w:sz w:val="28"/>
          <w:szCs w:val="28"/>
        </w:rPr>
        <w:t>В последнее время для топической диагностики гнойных процессов лица и шеи широко применяется ультразвуковая диагностика и компьютерная томогра</w:t>
      </w:r>
      <w:r>
        <w:rPr>
          <w:sz w:val="28"/>
          <w:szCs w:val="28"/>
        </w:rPr>
        <w:t xml:space="preserve">фия или МРТ </w:t>
      </w:r>
      <w:r w:rsidRPr="00223871">
        <w:rPr>
          <w:sz w:val="28"/>
          <w:szCs w:val="28"/>
        </w:rPr>
        <w:t>(</w:t>
      </w:r>
      <w:r>
        <w:rPr>
          <w:sz w:val="28"/>
          <w:szCs w:val="28"/>
        </w:rPr>
        <w:t>Гирко Е.</w:t>
      </w:r>
      <w:r w:rsidRPr="00C5336B">
        <w:rPr>
          <w:sz w:val="28"/>
          <w:szCs w:val="28"/>
        </w:rPr>
        <w:t>И., 1994; Губин М</w:t>
      </w:r>
      <w:r>
        <w:rPr>
          <w:sz w:val="28"/>
          <w:szCs w:val="28"/>
        </w:rPr>
        <w:t>.А., Лазутиков О.В., 2002</w:t>
      </w:r>
      <w:r w:rsidRPr="00223871">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Большое значение имеет знание патофизиологических и физиологических процессов, имеющих как локальное, так и системное значение.</w:t>
      </w:r>
    </w:p>
    <w:p w:rsidR="00286780" w:rsidRPr="00C5336B" w:rsidRDefault="00286780" w:rsidP="00C5336B">
      <w:pPr>
        <w:spacing w:line="360" w:lineRule="auto"/>
        <w:ind w:firstLine="709"/>
        <w:jc w:val="both"/>
        <w:rPr>
          <w:sz w:val="28"/>
          <w:szCs w:val="28"/>
        </w:rPr>
      </w:pPr>
      <w:r w:rsidRPr="00C5336B">
        <w:rPr>
          <w:sz w:val="28"/>
          <w:szCs w:val="28"/>
        </w:rPr>
        <w:t xml:space="preserve">На фоне прогрессирующих одонтогенных флегмон развиваются осложнения, отягощающие состояние больного и влияющие на исход заболевания. </w:t>
      </w:r>
      <w:r>
        <w:rPr>
          <w:sz w:val="28"/>
          <w:szCs w:val="28"/>
        </w:rPr>
        <w:t>"</w:t>
      </w:r>
      <w:r w:rsidRPr="00C5336B">
        <w:rPr>
          <w:sz w:val="28"/>
          <w:szCs w:val="28"/>
        </w:rPr>
        <w:t>Наиболее значимыми</w:t>
      </w:r>
      <w:r>
        <w:rPr>
          <w:sz w:val="28"/>
          <w:szCs w:val="28"/>
        </w:rPr>
        <w:t>"</w:t>
      </w:r>
      <w:r w:rsidRPr="00C5336B">
        <w:rPr>
          <w:sz w:val="28"/>
          <w:szCs w:val="28"/>
        </w:rPr>
        <w:t xml:space="preserve"> осложнениями являются сепсис, контактные одонтогенные медиастиниты, вторичные внутричерепные осложнения, острая дыхательная недостаточность</w:t>
      </w:r>
      <w:r>
        <w:rPr>
          <w:sz w:val="28"/>
          <w:szCs w:val="28"/>
        </w:rPr>
        <w:t xml:space="preserve"> </w:t>
      </w:r>
      <w:r w:rsidRPr="00223871">
        <w:rPr>
          <w:sz w:val="28"/>
          <w:szCs w:val="28"/>
        </w:rPr>
        <w:t>(</w:t>
      </w:r>
      <w:r>
        <w:rPr>
          <w:sz w:val="28"/>
          <w:szCs w:val="28"/>
        </w:rPr>
        <w:t>Гирко Е.</w:t>
      </w:r>
      <w:r w:rsidRPr="00C5336B">
        <w:rPr>
          <w:sz w:val="28"/>
          <w:szCs w:val="28"/>
        </w:rPr>
        <w:t>И., 1994; Губин М</w:t>
      </w:r>
      <w:r>
        <w:rPr>
          <w:sz w:val="28"/>
          <w:szCs w:val="28"/>
        </w:rPr>
        <w:t>.А., Лазутиков О.В., 2002</w:t>
      </w:r>
      <w:r w:rsidRPr="00223871">
        <w:rPr>
          <w:sz w:val="28"/>
          <w:szCs w:val="28"/>
        </w:rPr>
        <w:t>)</w:t>
      </w:r>
      <w:r w:rsidRPr="00C5336B">
        <w:rPr>
          <w:sz w:val="28"/>
          <w:szCs w:val="28"/>
        </w:rPr>
        <w:t>.</w:t>
      </w:r>
    </w:p>
    <w:p w:rsidR="00286780" w:rsidRPr="00292869" w:rsidRDefault="00286780" w:rsidP="00C5336B">
      <w:pPr>
        <w:spacing w:line="360" w:lineRule="auto"/>
        <w:ind w:firstLine="709"/>
        <w:jc w:val="both"/>
        <w:rPr>
          <w:spacing w:val="-4"/>
          <w:sz w:val="28"/>
          <w:szCs w:val="28"/>
        </w:rPr>
      </w:pPr>
      <w:r w:rsidRPr="00292869">
        <w:rPr>
          <w:spacing w:val="-4"/>
          <w:sz w:val="28"/>
          <w:szCs w:val="28"/>
        </w:rPr>
        <w:t>Дифференциальная диагностика сепсиса и контактного медиастинита подробно рассмотрена в соответ</w:t>
      </w:r>
      <w:r>
        <w:rPr>
          <w:spacing w:val="-4"/>
          <w:sz w:val="28"/>
          <w:szCs w:val="28"/>
        </w:rPr>
        <w:t xml:space="preserve">ствующих руководствах </w:t>
      </w:r>
      <w:r w:rsidRPr="00223871">
        <w:rPr>
          <w:spacing w:val="-4"/>
          <w:sz w:val="28"/>
          <w:szCs w:val="28"/>
        </w:rPr>
        <w:t>(</w:t>
      </w:r>
      <w:r>
        <w:rPr>
          <w:spacing w:val="-4"/>
          <w:sz w:val="28"/>
          <w:szCs w:val="28"/>
        </w:rPr>
        <w:t>Гирко Е.И., 1994; Харитонов Ю.М., 1999; Шаргородский А.Г., 2001; Губин М.А., Лазутиков О.В., 2002</w:t>
      </w:r>
      <w:r w:rsidRPr="00223871">
        <w:rPr>
          <w:spacing w:val="-4"/>
          <w:sz w:val="28"/>
          <w:szCs w:val="28"/>
        </w:rPr>
        <w:t>)</w:t>
      </w:r>
      <w:r w:rsidRPr="00292869">
        <w:rPr>
          <w:spacing w:val="-4"/>
          <w:sz w:val="28"/>
          <w:szCs w:val="28"/>
        </w:rPr>
        <w:t>.</w:t>
      </w:r>
    </w:p>
    <w:p w:rsidR="00286780" w:rsidRPr="00292869" w:rsidRDefault="00286780" w:rsidP="00C5336B">
      <w:pPr>
        <w:spacing w:line="360" w:lineRule="auto"/>
        <w:ind w:firstLine="709"/>
        <w:jc w:val="both"/>
        <w:rPr>
          <w:spacing w:val="-4"/>
          <w:sz w:val="28"/>
          <w:szCs w:val="28"/>
        </w:rPr>
      </w:pPr>
      <w:r w:rsidRPr="00292869">
        <w:rPr>
          <w:spacing w:val="-4"/>
          <w:sz w:val="28"/>
          <w:szCs w:val="28"/>
        </w:rPr>
        <w:t>Несмотря на постоянное совершенствование методов диагностики тяжелых осложнений, нередко контактные одонтогенные медиастиниты, внутричерепные осложнения и сепсис выявляются несвоевременно, что приводит к неудовлетворительным результатам лечения и существенному увеличению сроков госпитализации.</w:t>
      </w:r>
    </w:p>
    <w:p w:rsidR="00286780" w:rsidRPr="00C5336B" w:rsidRDefault="00286780" w:rsidP="00C5336B">
      <w:pPr>
        <w:spacing w:line="360" w:lineRule="auto"/>
        <w:ind w:firstLine="709"/>
        <w:jc w:val="both"/>
        <w:rPr>
          <w:sz w:val="28"/>
          <w:szCs w:val="28"/>
        </w:rPr>
      </w:pPr>
      <w:r w:rsidRPr="00C5336B">
        <w:rPr>
          <w:sz w:val="28"/>
          <w:szCs w:val="28"/>
        </w:rPr>
        <w:lastRenderedPageBreak/>
        <w:t xml:space="preserve">В настоящее время критерии ранней диагностики тяжелых осложнений острой </w:t>
      </w:r>
      <w:r w:rsidRPr="00C5336B">
        <w:rPr>
          <w:i/>
          <w:sz w:val="28"/>
          <w:szCs w:val="28"/>
        </w:rPr>
        <w:t xml:space="preserve">одонтогенной </w:t>
      </w:r>
      <w:r w:rsidRPr="00C5336B">
        <w:rPr>
          <w:sz w:val="28"/>
          <w:szCs w:val="28"/>
        </w:rPr>
        <w:t xml:space="preserve">инфекции, в том числе </w:t>
      </w:r>
      <w:r w:rsidRPr="00C5336B">
        <w:rPr>
          <w:i/>
          <w:sz w:val="28"/>
          <w:szCs w:val="28"/>
        </w:rPr>
        <w:t>одонтогенного</w:t>
      </w:r>
      <w:r w:rsidRPr="00C5336B">
        <w:rPr>
          <w:sz w:val="28"/>
          <w:szCs w:val="28"/>
        </w:rPr>
        <w:t xml:space="preserve"> сепсиса, разработаны недостаточно полно и не позволяют прогнозировать дальнейшее течение и исход заболевания в предоперационном периоде.</w:t>
      </w:r>
    </w:p>
    <w:p w:rsidR="00286780" w:rsidRPr="00C5336B" w:rsidRDefault="00286780" w:rsidP="00C5336B">
      <w:pPr>
        <w:spacing w:line="360" w:lineRule="auto"/>
        <w:ind w:firstLine="709"/>
        <w:jc w:val="both"/>
        <w:rPr>
          <w:sz w:val="28"/>
          <w:szCs w:val="28"/>
        </w:rPr>
      </w:pPr>
      <w:r w:rsidRPr="00C5336B">
        <w:rPr>
          <w:sz w:val="28"/>
          <w:szCs w:val="28"/>
        </w:rPr>
        <w:t>Существующие диагностические шкалы, определяющие тяжесть состояния больного и прогнозирующие развитие органной недостаточности (</w:t>
      </w:r>
      <w:r w:rsidRPr="00C5336B">
        <w:rPr>
          <w:sz w:val="28"/>
          <w:szCs w:val="28"/>
          <w:lang w:val="en-US"/>
        </w:rPr>
        <w:t>Apache</w:t>
      </w:r>
      <w:r w:rsidRPr="0037499A">
        <w:rPr>
          <w:sz w:val="28"/>
          <w:szCs w:val="28"/>
        </w:rPr>
        <w:t xml:space="preserve"> </w:t>
      </w:r>
      <w:r w:rsidRPr="00C5336B">
        <w:rPr>
          <w:sz w:val="28"/>
          <w:szCs w:val="28"/>
          <w:lang w:val="en-US"/>
        </w:rPr>
        <w:t>II</w:t>
      </w:r>
      <w:r w:rsidRPr="00C5336B">
        <w:rPr>
          <w:sz w:val="28"/>
          <w:szCs w:val="28"/>
        </w:rPr>
        <w:t xml:space="preserve">, </w:t>
      </w:r>
      <w:r w:rsidRPr="00C5336B">
        <w:rPr>
          <w:sz w:val="28"/>
          <w:szCs w:val="28"/>
          <w:lang w:val="en-US"/>
        </w:rPr>
        <w:t>III</w:t>
      </w:r>
      <w:r w:rsidRPr="00C5336B">
        <w:rPr>
          <w:sz w:val="28"/>
          <w:szCs w:val="28"/>
        </w:rPr>
        <w:t xml:space="preserve">, </w:t>
      </w:r>
      <w:r w:rsidRPr="00C5336B">
        <w:rPr>
          <w:sz w:val="28"/>
          <w:szCs w:val="28"/>
          <w:lang w:val="en-US"/>
        </w:rPr>
        <w:t>SAPS</w:t>
      </w:r>
      <w:r w:rsidRPr="00C5336B">
        <w:rPr>
          <w:sz w:val="28"/>
          <w:szCs w:val="28"/>
        </w:rPr>
        <w:t xml:space="preserve">, </w:t>
      </w:r>
      <w:r w:rsidRPr="00C5336B">
        <w:rPr>
          <w:sz w:val="28"/>
          <w:szCs w:val="28"/>
          <w:lang w:val="en-US"/>
        </w:rPr>
        <w:t>SOFA</w:t>
      </w:r>
      <w:r w:rsidRPr="00C5336B">
        <w:rPr>
          <w:sz w:val="28"/>
          <w:szCs w:val="28"/>
        </w:rPr>
        <w:t xml:space="preserve"> и др.), не ориентированы на диагностику </w:t>
      </w:r>
      <w:r w:rsidRPr="00C5336B">
        <w:rPr>
          <w:i/>
          <w:sz w:val="28"/>
          <w:szCs w:val="28"/>
        </w:rPr>
        <w:t>одонтогенных</w:t>
      </w:r>
      <w:r w:rsidRPr="00C5336B">
        <w:rPr>
          <w:sz w:val="28"/>
          <w:szCs w:val="28"/>
        </w:rPr>
        <w:t xml:space="preserve"> воспалительных заболеваний, имеющих свои отличит</w:t>
      </w:r>
      <w:r>
        <w:rPr>
          <w:sz w:val="28"/>
          <w:szCs w:val="28"/>
        </w:rPr>
        <w:t xml:space="preserve">ельные особенности </w:t>
      </w:r>
      <w:r w:rsidRPr="00223871">
        <w:rPr>
          <w:sz w:val="28"/>
          <w:szCs w:val="28"/>
        </w:rPr>
        <w:t>(</w:t>
      </w:r>
      <w:r>
        <w:rPr>
          <w:sz w:val="28"/>
          <w:szCs w:val="28"/>
        </w:rPr>
        <w:t>Гельфанд Б.Р., 2001; Будаев А.</w:t>
      </w:r>
      <w:r w:rsidRPr="00C5336B">
        <w:rPr>
          <w:sz w:val="28"/>
          <w:szCs w:val="28"/>
        </w:rPr>
        <w:t xml:space="preserve">П., 2012; </w:t>
      </w:r>
      <w:r w:rsidRPr="00C5336B">
        <w:rPr>
          <w:sz w:val="28"/>
          <w:szCs w:val="28"/>
          <w:lang w:val="en-US"/>
        </w:rPr>
        <w:t>Knaus</w:t>
      </w:r>
      <w:r w:rsidRPr="0037499A">
        <w:rPr>
          <w:sz w:val="28"/>
          <w:szCs w:val="28"/>
        </w:rPr>
        <w:t xml:space="preserve"> </w:t>
      </w:r>
      <w:r w:rsidRPr="00C5336B">
        <w:rPr>
          <w:sz w:val="28"/>
          <w:szCs w:val="28"/>
          <w:lang w:val="en-US"/>
        </w:rPr>
        <w:t>W</w:t>
      </w:r>
      <w:r>
        <w:rPr>
          <w:sz w:val="28"/>
          <w:szCs w:val="28"/>
        </w:rPr>
        <w:t>.</w:t>
      </w:r>
      <w:r w:rsidRPr="00C5336B">
        <w:rPr>
          <w:sz w:val="28"/>
          <w:szCs w:val="28"/>
          <w:lang w:val="en-US"/>
        </w:rPr>
        <w:t>A</w:t>
      </w:r>
      <w:r w:rsidRPr="00C5336B">
        <w:rPr>
          <w:sz w:val="28"/>
          <w:szCs w:val="28"/>
        </w:rPr>
        <w:t xml:space="preserve">. </w:t>
      </w:r>
      <w:r w:rsidRPr="00C5336B">
        <w:rPr>
          <w:sz w:val="28"/>
          <w:szCs w:val="28"/>
          <w:lang w:val="en-US"/>
        </w:rPr>
        <w:t>et</w:t>
      </w:r>
      <w:r w:rsidRPr="0037499A">
        <w:rPr>
          <w:sz w:val="28"/>
          <w:szCs w:val="28"/>
        </w:rPr>
        <w:t xml:space="preserve"> </w:t>
      </w:r>
      <w:r w:rsidRPr="00C5336B">
        <w:rPr>
          <w:sz w:val="28"/>
          <w:szCs w:val="28"/>
          <w:lang w:val="en-US"/>
        </w:rPr>
        <w:t>al</w:t>
      </w:r>
      <w:r>
        <w:rPr>
          <w:sz w:val="28"/>
          <w:szCs w:val="28"/>
        </w:rPr>
        <w:t>., 1985</w:t>
      </w:r>
      <w:r w:rsidRPr="00223871">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 xml:space="preserve">В литературе представлены единичные сведения о применении соответствующих программ диагностики воспалительных осложнений одонтогенной инфекции, использующих диагностические системы </w:t>
      </w:r>
      <w:r w:rsidRPr="00C5336B">
        <w:rPr>
          <w:sz w:val="28"/>
          <w:szCs w:val="28"/>
          <w:lang w:val="en-US"/>
        </w:rPr>
        <w:t>ApacheII</w:t>
      </w:r>
      <w:r w:rsidRPr="00C5336B">
        <w:rPr>
          <w:sz w:val="28"/>
          <w:szCs w:val="28"/>
        </w:rPr>
        <w:t xml:space="preserve">, </w:t>
      </w:r>
      <w:r w:rsidRPr="00C5336B">
        <w:rPr>
          <w:sz w:val="28"/>
          <w:szCs w:val="28"/>
          <w:lang w:val="en-US"/>
        </w:rPr>
        <w:t>SOFA</w:t>
      </w:r>
      <w:r w:rsidRPr="00C5336B">
        <w:rPr>
          <w:sz w:val="28"/>
          <w:szCs w:val="28"/>
        </w:rPr>
        <w:t xml:space="preserve"> и </w:t>
      </w:r>
      <w:r w:rsidRPr="00C5336B">
        <w:rPr>
          <w:sz w:val="28"/>
          <w:szCs w:val="28"/>
          <w:lang w:val="en-US"/>
        </w:rPr>
        <w:t>SAPS</w:t>
      </w:r>
      <w:r w:rsidRPr="0037499A">
        <w:rPr>
          <w:sz w:val="28"/>
          <w:szCs w:val="28"/>
        </w:rPr>
        <w:t xml:space="preserve"> </w:t>
      </w:r>
      <w:r w:rsidRPr="00223871">
        <w:rPr>
          <w:sz w:val="28"/>
          <w:szCs w:val="28"/>
        </w:rPr>
        <w:t>(</w:t>
      </w:r>
      <w:r w:rsidRPr="00C5336B">
        <w:rPr>
          <w:sz w:val="28"/>
          <w:szCs w:val="28"/>
        </w:rPr>
        <w:t>Гро</w:t>
      </w:r>
      <w:r>
        <w:rPr>
          <w:sz w:val="28"/>
          <w:szCs w:val="28"/>
        </w:rPr>
        <w:t>мов А.Л., 2011; Оганесян А.А., Куликовский В.Ф., 2011; Губин М.А. и др., 2013</w:t>
      </w:r>
      <w:r w:rsidRPr="00223871">
        <w:rPr>
          <w:sz w:val="28"/>
          <w:szCs w:val="28"/>
        </w:rPr>
        <w:t>)</w:t>
      </w:r>
      <w:r w:rsidRPr="00C5336B">
        <w:rPr>
          <w:sz w:val="28"/>
          <w:szCs w:val="28"/>
        </w:rPr>
        <w:t xml:space="preserve">. Кроме того, информативность различных диагностических шкал в отношении острого одонтогенного воспаления </w:t>
      </w:r>
      <w:r>
        <w:rPr>
          <w:sz w:val="28"/>
          <w:szCs w:val="28"/>
        </w:rPr>
        <w:t>также</w:t>
      </w:r>
      <w:r w:rsidRPr="00C5336B">
        <w:rPr>
          <w:sz w:val="28"/>
          <w:szCs w:val="28"/>
        </w:rPr>
        <w:t xml:space="preserve"> различается в зависимости от исполь</w:t>
      </w:r>
      <w:r>
        <w:rPr>
          <w:sz w:val="28"/>
          <w:szCs w:val="28"/>
        </w:rPr>
        <w:t xml:space="preserve">зуемого метода </w:t>
      </w:r>
      <w:r w:rsidRPr="00223871">
        <w:rPr>
          <w:sz w:val="28"/>
          <w:szCs w:val="28"/>
        </w:rPr>
        <w:t>(</w:t>
      </w:r>
      <w:r>
        <w:rPr>
          <w:sz w:val="28"/>
          <w:szCs w:val="28"/>
        </w:rPr>
        <w:t>Будаев А.П., 2012</w:t>
      </w:r>
      <w:r w:rsidRPr="00223871">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Многие авторы отмечают необходимость раннего выявления тяжелых одонтогенных осложнений, в том числе на догоспитальном этапе. Предлагается оценивать тип воспалительной реакции (по внешним признакам), проводить клиническую нозологическую и топи</w:t>
      </w:r>
      <w:r>
        <w:rPr>
          <w:sz w:val="28"/>
          <w:szCs w:val="28"/>
        </w:rPr>
        <w:t xml:space="preserve">ческую диагностику </w:t>
      </w:r>
      <w:r w:rsidRPr="00223871">
        <w:rPr>
          <w:sz w:val="28"/>
          <w:szCs w:val="28"/>
        </w:rPr>
        <w:t>(</w:t>
      </w:r>
      <w:r>
        <w:rPr>
          <w:sz w:val="28"/>
          <w:szCs w:val="28"/>
        </w:rPr>
        <w:t>Оганесян А.А., Куликовский В.Ф., 2011; Губин М.</w:t>
      </w:r>
      <w:r w:rsidRPr="00C5336B">
        <w:rPr>
          <w:sz w:val="28"/>
          <w:szCs w:val="28"/>
        </w:rPr>
        <w:t xml:space="preserve">А. и др., 2013; </w:t>
      </w:r>
      <w:r w:rsidRPr="00C5336B">
        <w:rPr>
          <w:sz w:val="28"/>
          <w:szCs w:val="28"/>
          <w:shd w:val="clear" w:color="auto" w:fill="FFFFFF"/>
          <w:lang w:val="en-US"/>
        </w:rPr>
        <w:t>Ha</w:t>
      </w:r>
      <w:r w:rsidRPr="0037499A">
        <w:rPr>
          <w:sz w:val="28"/>
          <w:szCs w:val="28"/>
          <w:shd w:val="clear" w:color="auto" w:fill="FFFFFF"/>
        </w:rPr>
        <w:t xml:space="preserve"> </w:t>
      </w:r>
      <w:r w:rsidRPr="00C5336B">
        <w:rPr>
          <w:sz w:val="28"/>
          <w:szCs w:val="28"/>
          <w:shd w:val="clear" w:color="auto" w:fill="FFFFFF"/>
          <w:lang w:val="en-US"/>
        </w:rPr>
        <w:t>K</w:t>
      </w:r>
      <w:r>
        <w:rPr>
          <w:sz w:val="28"/>
          <w:szCs w:val="28"/>
          <w:shd w:val="clear" w:color="auto" w:fill="FFFFFF"/>
        </w:rPr>
        <w:t>.</w:t>
      </w:r>
      <w:r w:rsidRPr="00C5336B">
        <w:rPr>
          <w:sz w:val="28"/>
          <w:szCs w:val="28"/>
          <w:shd w:val="clear" w:color="auto" w:fill="FFFFFF"/>
          <w:lang w:val="en-US"/>
        </w:rPr>
        <w:t>Y</w:t>
      </w:r>
      <w:r w:rsidRPr="00C5336B">
        <w:rPr>
          <w:sz w:val="28"/>
          <w:szCs w:val="28"/>
          <w:shd w:val="clear" w:color="auto" w:fill="FFFFFF"/>
        </w:rPr>
        <w:t xml:space="preserve">. </w:t>
      </w:r>
      <w:r w:rsidRPr="00C5336B">
        <w:rPr>
          <w:sz w:val="28"/>
          <w:szCs w:val="28"/>
          <w:shd w:val="clear" w:color="auto" w:fill="FFFFFF"/>
          <w:lang w:val="en-US"/>
        </w:rPr>
        <w:t>et</w:t>
      </w:r>
      <w:r w:rsidRPr="0037499A">
        <w:rPr>
          <w:sz w:val="28"/>
          <w:szCs w:val="28"/>
          <w:shd w:val="clear" w:color="auto" w:fill="FFFFFF"/>
        </w:rPr>
        <w:t xml:space="preserve"> </w:t>
      </w:r>
      <w:r w:rsidRPr="00C5336B">
        <w:rPr>
          <w:sz w:val="28"/>
          <w:szCs w:val="28"/>
          <w:shd w:val="clear" w:color="auto" w:fill="FFFFFF"/>
          <w:lang w:val="en-US"/>
        </w:rPr>
        <w:t>al</w:t>
      </w:r>
      <w:r w:rsidRPr="00C5336B">
        <w:rPr>
          <w:sz w:val="28"/>
          <w:szCs w:val="28"/>
          <w:shd w:val="clear" w:color="auto" w:fill="FFFFFF"/>
        </w:rPr>
        <w:t>., 2013</w:t>
      </w:r>
      <w:r w:rsidRPr="00DB70A2">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 xml:space="preserve">Особенности изменения показателей обменных процессов и гомеостаза у больных одонтогенными флегмонами представлены в многочисленных монографиях, </w:t>
      </w:r>
      <w:r>
        <w:rPr>
          <w:sz w:val="28"/>
          <w:szCs w:val="28"/>
        </w:rPr>
        <w:t xml:space="preserve">статьях, диссертациях </w:t>
      </w:r>
      <w:r w:rsidRPr="00DB70A2">
        <w:rPr>
          <w:sz w:val="28"/>
          <w:szCs w:val="28"/>
        </w:rPr>
        <w:t>(</w:t>
      </w:r>
      <w:r>
        <w:rPr>
          <w:sz w:val="28"/>
          <w:szCs w:val="28"/>
        </w:rPr>
        <w:t>Губин М.А., 1987; Гирко Е.И., 1994; Харитонов Ю.М., 1999; Будаев А.П., 2001</w:t>
      </w:r>
      <w:r w:rsidRPr="00DB70A2">
        <w:rPr>
          <w:sz w:val="28"/>
          <w:szCs w:val="28"/>
        </w:rPr>
        <w:t>)</w:t>
      </w:r>
      <w:r w:rsidRPr="00C5336B">
        <w:rPr>
          <w:sz w:val="28"/>
          <w:szCs w:val="28"/>
        </w:rPr>
        <w:t>. В то же время, вопросам гомеостатических нарушений при тяжелых осложнениях острой одонтогенной инфекции (сепсисе, медиастините, вторичных внутричерепных осложнениях) посвящены немногочисленные научные работы.</w:t>
      </w:r>
    </w:p>
    <w:p w:rsidR="00286780" w:rsidRPr="00C5336B" w:rsidRDefault="00286780" w:rsidP="00C5336B">
      <w:pPr>
        <w:spacing w:line="360" w:lineRule="auto"/>
        <w:ind w:firstLine="709"/>
        <w:jc w:val="both"/>
        <w:rPr>
          <w:sz w:val="28"/>
          <w:szCs w:val="28"/>
        </w:rPr>
      </w:pPr>
      <w:r w:rsidRPr="00C5336B">
        <w:rPr>
          <w:sz w:val="28"/>
          <w:szCs w:val="28"/>
        </w:rPr>
        <w:lastRenderedPageBreak/>
        <w:t>Большое значение имеет тип течения воспалительной реакции и реактивности организма: нормергический, гиперергический, гипоергиче</w:t>
      </w:r>
      <w:r>
        <w:rPr>
          <w:sz w:val="28"/>
          <w:szCs w:val="28"/>
        </w:rPr>
        <w:t xml:space="preserve">ский </w:t>
      </w:r>
      <w:r w:rsidRPr="00DB70A2">
        <w:rPr>
          <w:sz w:val="28"/>
          <w:szCs w:val="28"/>
        </w:rPr>
        <w:t>(</w:t>
      </w:r>
      <w:r>
        <w:rPr>
          <w:sz w:val="28"/>
          <w:szCs w:val="28"/>
        </w:rPr>
        <w:t>Воложин А.И., 1995, 1996</w:t>
      </w:r>
      <w:r w:rsidRPr="00DB70A2">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Гиперергический тип течения характерен для лиц молодого возраста, проявляется выраженной интоксикацией, интенсивными изменениями показателей гомеостаза, быстрым распространением воспалительного процесса, высокой иммунологической реактивностью организма, интенсивными показателями перекисного окисления липидов. Наблюдается альтерация, активный некроз тканей в очаге поражения, обусловленный, в том числе, аутоиммунным и аллергическим компонентами (гиперчувствительность немедленного типа). Нормергический тип течения преобладает у пациентов среднего возраста, характеризуется умеренно выраженными общими и местными клиническими проявлениями, высокими показателями антимикробной защиты. В свою очередь, для гипергического типа воспалительной реакции, встречающегося чаще всего у пациентов старших возрастных групп, характерно медленное, прогрессирующее течение гнойного процесса без выраженных общих проявлений, низкая иммунологическая реактивность, интенсификация процессов перекисного окис</w:t>
      </w:r>
      <w:r>
        <w:rPr>
          <w:sz w:val="28"/>
          <w:szCs w:val="28"/>
        </w:rPr>
        <w:t xml:space="preserve">ления липидов </w:t>
      </w:r>
      <w:r w:rsidRPr="00DB70A2">
        <w:rPr>
          <w:sz w:val="28"/>
          <w:szCs w:val="28"/>
        </w:rPr>
        <w:t>(</w:t>
      </w:r>
      <w:r>
        <w:rPr>
          <w:sz w:val="28"/>
          <w:szCs w:val="28"/>
        </w:rPr>
        <w:t>Дурново Е.А., 2003</w:t>
      </w:r>
      <w:r w:rsidRPr="00DB70A2">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Также для общей характеристики состояния систем жизнеобеспечения многие исследователи выделяют компенсированное, субкомпенсированное и декомпенсированное</w:t>
      </w:r>
      <w:r>
        <w:rPr>
          <w:sz w:val="28"/>
          <w:szCs w:val="28"/>
        </w:rPr>
        <w:t xml:space="preserve"> состояние гомеостаза </w:t>
      </w:r>
      <w:r w:rsidRPr="00DB70A2">
        <w:rPr>
          <w:sz w:val="28"/>
          <w:szCs w:val="28"/>
        </w:rPr>
        <w:t>(</w:t>
      </w:r>
      <w:r>
        <w:rPr>
          <w:sz w:val="28"/>
          <w:szCs w:val="28"/>
        </w:rPr>
        <w:t>Губин М.А., 1987; Харитонов Ю.</w:t>
      </w:r>
      <w:r w:rsidRPr="00C5336B">
        <w:rPr>
          <w:sz w:val="28"/>
          <w:szCs w:val="28"/>
        </w:rPr>
        <w:t>М., 1999; Б</w:t>
      </w:r>
      <w:r>
        <w:rPr>
          <w:sz w:val="28"/>
          <w:szCs w:val="28"/>
        </w:rPr>
        <w:t>удаев А.П., 2001; Губин М.А., Харитонов Ю.М., 2006</w:t>
      </w:r>
      <w:r w:rsidRPr="00DB70A2">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Pr>
          <w:sz w:val="28"/>
          <w:szCs w:val="28"/>
        </w:rPr>
        <w:t>"</w:t>
      </w:r>
      <w:r w:rsidRPr="00C5336B">
        <w:rPr>
          <w:sz w:val="28"/>
          <w:szCs w:val="28"/>
        </w:rPr>
        <w:t>Компенсированное состояние характеризуется удовлетворительным или средней тяжести общим состоянием больного, умеренно выраженными изменениями показателей гомеостаза (или показатели гомеостаза в пределах физиологической нормы), умеренным гипердинамическим типом кровообращения, не требуется мероприятий интенсивной терапии: искусственной вентиляции легких, введения вазопрессоров. При субкомпенсированном изменении систем жизнеобеспечения состояние больного тяжелое, показатели гомеостаза выходят за пределы физиологической нормы, а показатели одной из систем жизнеобеспечения характеризуются глубокими изменениями. Декомпенсация систем жизнеобеспечения ха</w:t>
      </w:r>
      <w:r w:rsidRPr="00C5336B">
        <w:rPr>
          <w:sz w:val="28"/>
          <w:szCs w:val="28"/>
        </w:rPr>
        <w:lastRenderedPageBreak/>
        <w:t>рактеризуется крайне тяжелым или агонирующим общим состоянием, синдромом гипоциркуляции, тахикардией, одышкой, глубокими расстройствами показате</w:t>
      </w:r>
      <w:r>
        <w:rPr>
          <w:sz w:val="28"/>
          <w:szCs w:val="28"/>
        </w:rPr>
        <w:t xml:space="preserve">лей гомеостаза, шоком" </w:t>
      </w:r>
      <w:r w:rsidRPr="00DB70A2">
        <w:rPr>
          <w:sz w:val="28"/>
          <w:szCs w:val="28"/>
        </w:rPr>
        <w:t>(</w:t>
      </w:r>
      <w:r>
        <w:rPr>
          <w:sz w:val="28"/>
          <w:szCs w:val="28"/>
        </w:rPr>
        <w:t>Губин М.А., 1987; Будаев А.П., 2001</w:t>
      </w:r>
      <w:r w:rsidRPr="00DB70A2">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 xml:space="preserve">Ориентируясь на степень нарушения состояния систем жизнеобеспечения, длительность и сроки патологического процесса, а </w:t>
      </w:r>
      <w:r>
        <w:rPr>
          <w:sz w:val="28"/>
          <w:szCs w:val="28"/>
        </w:rPr>
        <w:t>также</w:t>
      </w:r>
      <w:r w:rsidRPr="00C5336B">
        <w:rPr>
          <w:sz w:val="28"/>
          <w:szCs w:val="28"/>
        </w:rPr>
        <w:t xml:space="preserve"> на характерные изменения показателей гомеостаза, М. А. Губин и др. выделяют так называемые фазы заболевания: реактивную, токси</w:t>
      </w:r>
      <w:r>
        <w:rPr>
          <w:sz w:val="28"/>
          <w:szCs w:val="28"/>
        </w:rPr>
        <w:t xml:space="preserve">ческую и терминальную </w:t>
      </w:r>
      <w:r w:rsidRPr="00C82F8D">
        <w:rPr>
          <w:sz w:val="28"/>
          <w:szCs w:val="28"/>
        </w:rPr>
        <w:t>(</w:t>
      </w:r>
      <w:r>
        <w:rPr>
          <w:sz w:val="28"/>
          <w:szCs w:val="28"/>
        </w:rPr>
        <w:t>Губин М.А., 1987; Губин М.А., Харитонов Ю.М., 2006</w:t>
      </w:r>
      <w:r w:rsidRPr="00C82F8D">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В целом, реактивная фаза, отражающая запуск механизмов защиты, соответствует компенсации. Длительность заболевания, как правило, до 4 суток. Токсическая фаза характеризуется максимальным напряжением показателей гомеостаза (субкомпенсированное состояние), длительность заболевания от 5 до 7 суток. В терминальной фазе происходит срыв и декомпенсация функционирования систем жизнеобеспечения, длительность заболевания от 8 суток и более.</w:t>
      </w:r>
    </w:p>
    <w:p w:rsidR="00286780" w:rsidRPr="00C5336B" w:rsidRDefault="00286780" w:rsidP="00C5336B">
      <w:pPr>
        <w:spacing w:line="360" w:lineRule="auto"/>
        <w:ind w:firstLine="709"/>
        <w:jc w:val="both"/>
        <w:rPr>
          <w:sz w:val="28"/>
          <w:szCs w:val="28"/>
        </w:rPr>
      </w:pPr>
      <w:r w:rsidRPr="00C5336B">
        <w:rPr>
          <w:sz w:val="28"/>
          <w:szCs w:val="28"/>
        </w:rPr>
        <w:t xml:space="preserve">Тяжесть состояния </w:t>
      </w:r>
      <w:r>
        <w:rPr>
          <w:sz w:val="28"/>
          <w:szCs w:val="28"/>
        </w:rPr>
        <w:t>также</w:t>
      </w:r>
      <w:r w:rsidRPr="00C5336B">
        <w:rPr>
          <w:sz w:val="28"/>
          <w:szCs w:val="28"/>
        </w:rPr>
        <w:t xml:space="preserve"> находится в зависимости от количества вовлеченных в воспалительный процесс клетчаточных пространств, преобладающего вида возбудителей инфекции и типа острого воспалительного процесса (гнойное воспаление, гнойно-некротическое, гнилостно-некротическое, гангренозное). Как правило, наличие большого массива пораженных тканей создает предпосылки для отягощения общего состояния больного и развития генерализованного инфекционного процесса. Флегмоны в пределах 1–3 клетчаточных пространств соответствуют обычно компенсированным изменениям показателей гомеостаза, реактивной фазе заболевания. Поражение 4</w:t>
      </w:r>
      <w:r>
        <w:rPr>
          <w:sz w:val="28"/>
          <w:szCs w:val="28"/>
        </w:rPr>
        <w:t>–</w:t>
      </w:r>
      <w:r w:rsidRPr="00C5336B">
        <w:rPr>
          <w:sz w:val="28"/>
          <w:szCs w:val="28"/>
        </w:rPr>
        <w:t xml:space="preserve">6 клетчаточных пространств, по мнению ряда авторов, сопровождается субкомпенсированным нарушениям и токсической фазе. Вовлечение в воспалительный процесс 6 и более клетчаточных пространств, развитие контактного медиастинита, вторичных внутричерепных осложнений тождественно сепсису, декомпенсации жизнедеятельности, токсической или терминальной фазе заболевания. </w:t>
      </w:r>
    </w:p>
    <w:p w:rsidR="00286780" w:rsidRPr="00C5336B" w:rsidRDefault="00286780" w:rsidP="00C5336B">
      <w:pPr>
        <w:spacing w:line="360" w:lineRule="auto"/>
        <w:ind w:firstLine="709"/>
        <w:jc w:val="both"/>
        <w:rPr>
          <w:sz w:val="28"/>
          <w:szCs w:val="28"/>
        </w:rPr>
      </w:pPr>
      <w:r w:rsidRPr="00C5336B">
        <w:rPr>
          <w:sz w:val="28"/>
          <w:szCs w:val="28"/>
        </w:rPr>
        <w:t xml:space="preserve">Следует отметить, что степень изменения показателей гомеостаза в зависимости от количества вовлеченных клетчаточных пространств носит, в целом, </w:t>
      </w:r>
      <w:r w:rsidRPr="00C5336B">
        <w:rPr>
          <w:sz w:val="28"/>
          <w:szCs w:val="28"/>
        </w:rPr>
        <w:lastRenderedPageBreak/>
        <w:t>условный характер. Компенсация может наблюдаться у пациентов с большим объемом пораженных тканей, в других случаях сепсис и септический шок развиваются при поражении всего 2-3 клетчаточных пространств.</w:t>
      </w:r>
    </w:p>
    <w:p w:rsidR="00286780" w:rsidRPr="00C5336B" w:rsidRDefault="00286780" w:rsidP="00C5336B">
      <w:pPr>
        <w:spacing w:line="360" w:lineRule="auto"/>
        <w:ind w:firstLine="709"/>
        <w:jc w:val="both"/>
        <w:rPr>
          <w:sz w:val="28"/>
          <w:szCs w:val="28"/>
        </w:rPr>
      </w:pPr>
      <w:r w:rsidRPr="00C5336B">
        <w:rPr>
          <w:sz w:val="28"/>
          <w:szCs w:val="28"/>
        </w:rPr>
        <w:t xml:space="preserve">Существенное значение имеют </w:t>
      </w:r>
      <w:r>
        <w:rPr>
          <w:sz w:val="28"/>
          <w:szCs w:val="28"/>
        </w:rPr>
        <w:t>также</w:t>
      </w:r>
      <w:r w:rsidRPr="00C5336B">
        <w:rPr>
          <w:sz w:val="28"/>
          <w:szCs w:val="28"/>
        </w:rPr>
        <w:t xml:space="preserve"> характер преобладающих возбудителей и тип воспалительного процесса. В частности, грамположительная, а </w:t>
      </w:r>
      <w:r>
        <w:rPr>
          <w:sz w:val="28"/>
          <w:szCs w:val="28"/>
        </w:rPr>
        <w:t>также</w:t>
      </w:r>
      <w:r w:rsidRPr="00C5336B">
        <w:rPr>
          <w:sz w:val="28"/>
          <w:szCs w:val="28"/>
        </w:rPr>
        <w:t xml:space="preserve"> сочетание грамположительной и грамотрицательной микрофлоры (чаще всего – золотистый стафилококк, ассоциации стафилококка и кишечной палочки) вызывают гнойное или гнойно-некротическое воспаление, характеризующееся ограниченным экссудативным поражением тканей, сформированным гнойным очагом, как правило, отсутствием выраженной эндогенной интоксикации и тенденции к шоку (если нет септического поражения легких или других септических осложнений), общим состоянием средней тяжести.</w:t>
      </w:r>
    </w:p>
    <w:p w:rsidR="00286780" w:rsidRPr="00C5336B" w:rsidRDefault="00286780" w:rsidP="00C5336B">
      <w:pPr>
        <w:spacing w:line="360" w:lineRule="auto"/>
        <w:ind w:firstLine="709"/>
        <w:jc w:val="both"/>
        <w:rPr>
          <w:sz w:val="28"/>
          <w:szCs w:val="28"/>
        </w:rPr>
      </w:pPr>
      <w:r w:rsidRPr="00C5336B">
        <w:rPr>
          <w:sz w:val="28"/>
          <w:szCs w:val="28"/>
        </w:rPr>
        <w:t xml:space="preserve">При наличии гнилостно-некротического поражения тканей, вызываемого ассоциациями грамположительных и грамотрицательных микроорганизмов, с участием неклостридиальной анаэробной инфекции, наблюдается вовлечение в патологический процесс большого массива мышечной ткани, фасций, клетчатки. Общее состояние больных характеризуется как тяжелое или крайне тяжелое, выраженная эндогенная интоксикация, склонность к </w:t>
      </w:r>
      <w:r>
        <w:rPr>
          <w:sz w:val="28"/>
          <w:szCs w:val="28"/>
        </w:rPr>
        <w:t xml:space="preserve">септическому шоку </w:t>
      </w:r>
      <w:r w:rsidRPr="00DB70A2">
        <w:rPr>
          <w:sz w:val="28"/>
          <w:szCs w:val="28"/>
        </w:rPr>
        <w:t>(</w:t>
      </w:r>
      <w:r>
        <w:rPr>
          <w:sz w:val="28"/>
          <w:szCs w:val="28"/>
        </w:rPr>
        <w:t>Харитонов Ю.М., 1999; Будаев А.</w:t>
      </w:r>
      <w:r w:rsidRPr="00C5336B">
        <w:rPr>
          <w:sz w:val="28"/>
          <w:szCs w:val="28"/>
        </w:rPr>
        <w:t>П</w:t>
      </w:r>
      <w:r>
        <w:rPr>
          <w:sz w:val="28"/>
          <w:szCs w:val="28"/>
        </w:rPr>
        <w:t>., 2001; Шаргородский А.Г., 2001; Губин М.</w:t>
      </w:r>
      <w:r w:rsidRPr="00C5336B">
        <w:rPr>
          <w:sz w:val="28"/>
          <w:szCs w:val="28"/>
        </w:rPr>
        <w:t>А., Харито</w:t>
      </w:r>
      <w:r>
        <w:rPr>
          <w:sz w:val="28"/>
          <w:szCs w:val="28"/>
        </w:rPr>
        <w:t>нов Ю.</w:t>
      </w:r>
      <w:r w:rsidRPr="00C5336B">
        <w:rPr>
          <w:sz w:val="28"/>
          <w:szCs w:val="28"/>
        </w:rPr>
        <w:t xml:space="preserve">М., 2006; </w:t>
      </w:r>
      <w:r>
        <w:rPr>
          <w:sz w:val="28"/>
          <w:szCs w:val="28"/>
          <w:shd w:val="clear" w:color="auto" w:fill="FFFFFF"/>
        </w:rPr>
        <w:t>Левенец А.</w:t>
      </w:r>
      <w:r w:rsidRPr="00C5336B">
        <w:rPr>
          <w:sz w:val="28"/>
          <w:szCs w:val="28"/>
          <w:shd w:val="clear" w:color="auto" w:fill="FFFFFF"/>
        </w:rPr>
        <w:t xml:space="preserve">А., 2006; </w:t>
      </w:r>
      <w:r w:rsidRPr="00C5336B">
        <w:rPr>
          <w:sz w:val="28"/>
          <w:szCs w:val="28"/>
          <w:shd w:val="clear" w:color="auto" w:fill="FFFFFF"/>
          <w:lang w:val="en-US"/>
        </w:rPr>
        <w:t>Ashar</w:t>
      </w:r>
      <w:r w:rsidRPr="0037499A">
        <w:rPr>
          <w:sz w:val="28"/>
          <w:szCs w:val="28"/>
          <w:shd w:val="clear" w:color="auto" w:fill="FFFFFF"/>
        </w:rPr>
        <w:t xml:space="preserve"> </w:t>
      </w:r>
      <w:r w:rsidRPr="00C5336B">
        <w:rPr>
          <w:sz w:val="28"/>
          <w:szCs w:val="28"/>
          <w:shd w:val="clear" w:color="auto" w:fill="FFFFFF"/>
          <w:lang w:val="en-US"/>
        </w:rPr>
        <w:t>A</w:t>
      </w:r>
      <w:r w:rsidRPr="00C5336B">
        <w:rPr>
          <w:sz w:val="28"/>
          <w:szCs w:val="28"/>
          <w:shd w:val="clear" w:color="auto" w:fill="FFFFFF"/>
        </w:rPr>
        <w:t>., 2004</w:t>
      </w:r>
      <w:r w:rsidRPr="00DB70A2">
        <w:rPr>
          <w:sz w:val="28"/>
          <w:szCs w:val="28"/>
        </w:rPr>
        <w:t>)</w:t>
      </w:r>
      <w:r w:rsidRPr="00C5336B">
        <w:rPr>
          <w:sz w:val="28"/>
          <w:szCs w:val="28"/>
        </w:rPr>
        <w:t>.</w:t>
      </w:r>
    </w:p>
    <w:p w:rsidR="00286780" w:rsidRPr="00C5336B" w:rsidRDefault="00286780" w:rsidP="00C5336B">
      <w:pPr>
        <w:spacing w:line="360" w:lineRule="auto"/>
        <w:ind w:right="99" w:firstLine="709"/>
        <w:jc w:val="both"/>
        <w:rPr>
          <w:sz w:val="28"/>
          <w:szCs w:val="28"/>
        </w:rPr>
      </w:pPr>
      <w:r w:rsidRPr="00C5336B">
        <w:rPr>
          <w:sz w:val="28"/>
          <w:szCs w:val="28"/>
        </w:rPr>
        <w:t>Следующим фактором, влияющим на тяжесть состояния и гомеостатические функции организма, является фоновая патология.</w:t>
      </w:r>
    </w:p>
    <w:p w:rsidR="00286780" w:rsidRPr="00C5336B" w:rsidRDefault="00286780" w:rsidP="00C5336B">
      <w:pPr>
        <w:spacing w:line="360" w:lineRule="auto"/>
        <w:ind w:right="99" w:firstLine="709"/>
        <w:jc w:val="both"/>
        <w:rPr>
          <w:sz w:val="28"/>
          <w:szCs w:val="28"/>
        </w:rPr>
      </w:pPr>
      <w:r w:rsidRPr="00C5336B">
        <w:rPr>
          <w:sz w:val="28"/>
          <w:szCs w:val="28"/>
        </w:rPr>
        <w:t>В частности, сахарный диабет характеризуется выраженными метаболическими нарушениями, оказывающими существенное влияние на состояние гомеостаза у пациентов с гнойно-воспалительными процессами. Изменения при СД связаны с гликированием гемоглобина, белков мембраны эритроцитов, повышение функциональной активн</w:t>
      </w:r>
      <w:r>
        <w:rPr>
          <w:sz w:val="28"/>
          <w:szCs w:val="28"/>
        </w:rPr>
        <w:t xml:space="preserve">ости тромбоцитов </w:t>
      </w:r>
      <w:r w:rsidRPr="00580B35">
        <w:rPr>
          <w:sz w:val="28"/>
          <w:szCs w:val="28"/>
        </w:rPr>
        <w:t>(</w:t>
      </w:r>
      <w:r>
        <w:rPr>
          <w:sz w:val="28"/>
          <w:szCs w:val="28"/>
        </w:rPr>
        <w:t>Автандилов Г.Г., 1990; Дедов И.И., Шестакова М.В., 2011</w:t>
      </w:r>
      <w:r w:rsidRPr="00580B35">
        <w:rPr>
          <w:sz w:val="28"/>
          <w:szCs w:val="28"/>
        </w:rPr>
        <w:t>)</w:t>
      </w:r>
      <w:r w:rsidRPr="00C5336B">
        <w:rPr>
          <w:sz w:val="28"/>
          <w:szCs w:val="28"/>
        </w:rPr>
        <w:t>.</w:t>
      </w:r>
    </w:p>
    <w:p w:rsidR="00286780" w:rsidRPr="00C5336B" w:rsidRDefault="00286780" w:rsidP="00C5336B">
      <w:pPr>
        <w:tabs>
          <w:tab w:val="left" w:pos="3780"/>
        </w:tabs>
        <w:spacing w:line="360" w:lineRule="auto"/>
        <w:ind w:firstLine="709"/>
        <w:jc w:val="both"/>
        <w:rPr>
          <w:sz w:val="28"/>
          <w:szCs w:val="28"/>
        </w:rPr>
      </w:pPr>
      <w:r w:rsidRPr="00C5336B">
        <w:rPr>
          <w:sz w:val="28"/>
          <w:szCs w:val="28"/>
        </w:rPr>
        <w:t>Выявлена прямая зависимость между интенсивностью перекисного окисления липидов при СД и тяжесть</w:t>
      </w:r>
      <w:r>
        <w:rPr>
          <w:sz w:val="28"/>
          <w:szCs w:val="28"/>
        </w:rPr>
        <w:t xml:space="preserve">ю гнойного процесса </w:t>
      </w:r>
      <w:r w:rsidRPr="00580B35">
        <w:rPr>
          <w:sz w:val="28"/>
          <w:szCs w:val="28"/>
        </w:rPr>
        <w:t>(</w:t>
      </w:r>
      <w:r>
        <w:rPr>
          <w:sz w:val="28"/>
          <w:szCs w:val="28"/>
        </w:rPr>
        <w:t>Юсупова Ш.Ю. и др., 2014</w:t>
      </w:r>
      <w:r w:rsidRPr="00580B35">
        <w:rPr>
          <w:sz w:val="28"/>
          <w:szCs w:val="28"/>
        </w:rPr>
        <w:t>)</w:t>
      </w:r>
      <w:r w:rsidRPr="00C5336B">
        <w:rPr>
          <w:sz w:val="28"/>
          <w:szCs w:val="28"/>
        </w:rPr>
        <w:t>.</w:t>
      </w:r>
    </w:p>
    <w:p w:rsidR="00286780" w:rsidRPr="00C5336B" w:rsidRDefault="00286780" w:rsidP="00C5336B">
      <w:pPr>
        <w:spacing w:line="360" w:lineRule="auto"/>
        <w:ind w:right="99" w:firstLine="709"/>
        <w:jc w:val="both"/>
        <w:rPr>
          <w:sz w:val="28"/>
          <w:szCs w:val="28"/>
        </w:rPr>
      </w:pPr>
      <w:r>
        <w:rPr>
          <w:sz w:val="28"/>
          <w:szCs w:val="28"/>
        </w:rPr>
        <w:lastRenderedPageBreak/>
        <w:t>Также</w:t>
      </w:r>
      <w:r w:rsidRPr="00C5336B">
        <w:rPr>
          <w:sz w:val="28"/>
          <w:szCs w:val="28"/>
        </w:rPr>
        <w:t xml:space="preserve"> при сахарном диабете отмечаются нарушения реологии крови, холестериновая эмболия, облитерирующий атеросклероз, которые на фоне автономной и периферической нейропатии приводят к нарушению заживления ран и распрост</w:t>
      </w:r>
      <w:r>
        <w:rPr>
          <w:sz w:val="28"/>
          <w:szCs w:val="28"/>
        </w:rPr>
        <w:t xml:space="preserve">ранению инфекционного процесса </w:t>
      </w:r>
      <w:r w:rsidRPr="00580B35">
        <w:rPr>
          <w:sz w:val="28"/>
          <w:szCs w:val="28"/>
        </w:rPr>
        <w:t>(</w:t>
      </w:r>
      <w:r w:rsidRPr="00C5336B">
        <w:rPr>
          <w:sz w:val="28"/>
          <w:szCs w:val="28"/>
        </w:rPr>
        <w:t>Анциферов Б</w:t>
      </w:r>
      <w:r>
        <w:rPr>
          <w:sz w:val="28"/>
          <w:szCs w:val="28"/>
        </w:rPr>
        <w:t>.М., 2002</w:t>
      </w:r>
      <w:r w:rsidRPr="00580B35">
        <w:rPr>
          <w:sz w:val="28"/>
          <w:szCs w:val="28"/>
        </w:rPr>
        <w:t>)</w:t>
      </w:r>
      <w:r w:rsidRPr="00C5336B">
        <w:rPr>
          <w:sz w:val="28"/>
          <w:szCs w:val="28"/>
        </w:rPr>
        <w:t>.</w:t>
      </w:r>
    </w:p>
    <w:p w:rsidR="00286780" w:rsidRPr="00C5336B" w:rsidRDefault="00286780" w:rsidP="00C5336B">
      <w:pPr>
        <w:tabs>
          <w:tab w:val="left" w:pos="3780"/>
        </w:tabs>
        <w:spacing w:line="360" w:lineRule="auto"/>
        <w:ind w:firstLine="709"/>
        <w:jc w:val="both"/>
        <w:rPr>
          <w:sz w:val="28"/>
          <w:szCs w:val="28"/>
        </w:rPr>
      </w:pPr>
      <w:r w:rsidRPr="00C5336B">
        <w:rPr>
          <w:sz w:val="28"/>
          <w:szCs w:val="28"/>
        </w:rPr>
        <w:t>У пациентов с сахарным диабетом отмечено быстрое распространение зон одонтогенного некроза, выраженная интоксикация, деструктивный характер процесса, высокая ле</w:t>
      </w:r>
      <w:r w:rsidR="007F42F7">
        <w:rPr>
          <w:sz w:val="28"/>
          <w:szCs w:val="28"/>
        </w:rPr>
        <w:t>тальность – до 30,3%</w:t>
      </w:r>
      <w:r>
        <w:rPr>
          <w:sz w:val="28"/>
          <w:szCs w:val="28"/>
        </w:rPr>
        <w:t xml:space="preserve"> </w:t>
      </w:r>
      <w:r w:rsidRPr="00580B35">
        <w:rPr>
          <w:sz w:val="28"/>
          <w:szCs w:val="28"/>
        </w:rPr>
        <w:t>(</w:t>
      </w:r>
      <w:r>
        <w:rPr>
          <w:sz w:val="28"/>
          <w:szCs w:val="28"/>
        </w:rPr>
        <w:t>Козлов В.</w:t>
      </w:r>
      <w:r w:rsidRPr="00C5336B">
        <w:rPr>
          <w:sz w:val="28"/>
          <w:szCs w:val="28"/>
        </w:rPr>
        <w:t xml:space="preserve">А., 2006; </w:t>
      </w:r>
      <w:r w:rsidRPr="00C5336B">
        <w:rPr>
          <w:sz w:val="28"/>
          <w:szCs w:val="28"/>
          <w:shd w:val="clear" w:color="auto" w:fill="FFFFFF"/>
          <w:lang w:val="en-US"/>
        </w:rPr>
        <w:t>Camino</w:t>
      </w:r>
      <w:r w:rsidRPr="0037499A">
        <w:rPr>
          <w:sz w:val="28"/>
          <w:szCs w:val="28"/>
          <w:shd w:val="clear" w:color="auto" w:fill="FFFFFF"/>
        </w:rPr>
        <w:t xml:space="preserve"> </w:t>
      </w:r>
      <w:r w:rsidRPr="00C5336B">
        <w:rPr>
          <w:sz w:val="28"/>
          <w:szCs w:val="28"/>
          <w:shd w:val="clear" w:color="auto" w:fill="FFFFFF"/>
          <w:lang w:val="en-US"/>
        </w:rPr>
        <w:t>Junior</w:t>
      </w:r>
      <w:r w:rsidRPr="0037499A">
        <w:rPr>
          <w:sz w:val="28"/>
          <w:szCs w:val="28"/>
          <w:shd w:val="clear" w:color="auto" w:fill="FFFFFF"/>
        </w:rPr>
        <w:t xml:space="preserve"> </w:t>
      </w:r>
      <w:r w:rsidRPr="00C5336B">
        <w:rPr>
          <w:sz w:val="28"/>
          <w:szCs w:val="28"/>
          <w:shd w:val="clear" w:color="auto" w:fill="FFFFFF"/>
          <w:lang w:val="en-US"/>
        </w:rPr>
        <w:t>R</w:t>
      </w:r>
      <w:r w:rsidRPr="00C5336B">
        <w:rPr>
          <w:sz w:val="28"/>
          <w:szCs w:val="28"/>
          <w:shd w:val="clear" w:color="auto" w:fill="FFFFFF"/>
        </w:rPr>
        <w:t xml:space="preserve">. </w:t>
      </w:r>
      <w:r w:rsidRPr="00C5336B">
        <w:rPr>
          <w:sz w:val="28"/>
          <w:szCs w:val="28"/>
          <w:shd w:val="clear" w:color="auto" w:fill="FFFFFF"/>
          <w:lang w:val="en-US"/>
        </w:rPr>
        <w:t>et</w:t>
      </w:r>
      <w:r w:rsidRPr="0037499A">
        <w:rPr>
          <w:sz w:val="28"/>
          <w:szCs w:val="28"/>
          <w:shd w:val="clear" w:color="auto" w:fill="FFFFFF"/>
        </w:rPr>
        <w:t xml:space="preserve"> </w:t>
      </w:r>
      <w:r w:rsidRPr="00C5336B">
        <w:rPr>
          <w:sz w:val="28"/>
          <w:szCs w:val="28"/>
          <w:shd w:val="clear" w:color="auto" w:fill="FFFFFF"/>
          <w:lang w:val="en-US"/>
        </w:rPr>
        <w:t>al</w:t>
      </w:r>
      <w:r w:rsidRPr="00C5336B">
        <w:rPr>
          <w:sz w:val="28"/>
          <w:szCs w:val="28"/>
          <w:shd w:val="clear" w:color="auto" w:fill="FFFFFF"/>
        </w:rPr>
        <w:t>., 2014</w:t>
      </w:r>
      <w:r w:rsidRPr="00C5336B">
        <w:rPr>
          <w:color w:val="131413"/>
          <w:sz w:val="28"/>
          <w:szCs w:val="28"/>
          <w:shd w:val="clear" w:color="auto" w:fill="FFFFFF"/>
        </w:rPr>
        <w:t xml:space="preserve">; </w:t>
      </w:r>
      <w:r w:rsidRPr="00C5336B">
        <w:rPr>
          <w:color w:val="131413"/>
          <w:sz w:val="28"/>
          <w:szCs w:val="28"/>
          <w:shd w:val="clear" w:color="auto" w:fill="FFFFFF"/>
          <w:lang w:val="en-US"/>
        </w:rPr>
        <w:t>Mitchell</w:t>
      </w:r>
      <w:r w:rsidRPr="0037499A">
        <w:rPr>
          <w:color w:val="131413"/>
          <w:sz w:val="28"/>
          <w:szCs w:val="28"/>
          <w:shd w:val="clear" w:color="auto" w:fill="FFFFFF"/>
        </w:rPr>
        <w:t xml:space="preserve"> </w:t>
      </w:r>
      <w:r w:rsidRPr="00C5336B">
        <w:rPr>
          <w:color w:val="131413"/>
          <w:sz w:val="28"/>
          <w:szCs w:val="28"/>
          <w:shd w:val="clear" w:color="auto" w:fill="FFFFFF"/>
          <w:lang w:val="en-US"/>
        </w:rPr>
        <w:t>R</w:t>
      </w:r>
      <w:r w:rsidRPr="00C5336B">
        <w:rPr>
          <w:color w:val="131413"/>
          <w:sz w:val="28"/>
          <w:szCs w:val="28"/>
          <w:shd w:val="clear" w:color="auto" w:fill="FFFFFF"/>
        </w:rPr>
        <w:t>.</w:t>
      </w:r>
      <w:r w:rsidRPr="0037499A">
        <w:rPr>
          <w:color w:val="131413"/>
          <w:sz w:val="28"/>
          <w:szCs w:val="28"/>
          <w:shd w:val="clear" w:color="auto" w:fill="FFFFFF"/>
        </w:rPr>
        <w:t xml:space="preserve"> </w:t>
      </w:r>
      <w:r w:rsidRPr="00C5336B">
        <w:rPr>
          <w:color w:val="131413"/>
          <w:sz w:val="28"/>
          <w:szCs w:val="28"/>
          <w:shd w:val="clear" w:color="auto" w:fill="FFFFFF"/>
          <w:lang w:val="en-US"/>
        </w:rPr>
        <w:t>Gore</w:t>
      </w:r>
      <w:r w:rsidRPr="00C5336B">
        <w:rPr>
          <w:color w:val="131413"/>
          <w:sz w:val="28"/>
          <w:szCs w:val="28"/>
          <w:shd w:val="clear" w:color="auto" w:fill="FFFFFF"/>
        </w:rPr>
        <w:t>, 2018</w:t>
      </w:r>
      <w:r w:rsidRPr="00580B35">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Таким образом, характер и степень изменения показателей гомеостаза зависит от состояния систем жизнеобеспечения (компенсация, субкомпенсация, декомпенсация), фазы воспалительного процесса (реактивная, токсическая, терминальная), типа течения воспалительной реакции и реактивности организма (нормергический, гипоергический, гиперергический), сроков заболевания, количества вовлеченных клетчаточных пространств, видового состава возбудителей и других факторов (возраст, фоновая патология, наличие сепсиса).</w:t>
      </w:r>
    </w:p>
    <w:p w:rsidR="00286780" w:rsidRPr="00C5336B" w:rsidRDefault="00286780" w:rsidP="00C5336B">
      <w:pPr>
        <w:spacing w:line="360" w:lineRule="auto"/>
        <w:ind w:firstLine="709"/>
        <w:jc w:val="both"/>
        <w:rPr>
          <w:sz w:val="28"/>
          <w:szCs w:val="28"/>
        </w:rPr>
      </w:pPr>
      <w:r w:rsidRPr="00C5336B">
        <w:rPr>
          <w:sz w:val="28"/>
          <w:szCs w:val="28"/>
        </w:rPr>
        <w:t>Рассматривая изменения показателей гомеостаза, характерные для гнойно-септических заболеваний челюстно-лицевой области и шеи, в первую очередь необходимо отметить существенные гемодинамические нарушения и изменения показателей функционирования сердечно-сосудистой системы.</w:t>
      </w:r>
    </w:p>
    <w:p w:rsidR="00286780" w:rsidRPr="00C5336B" w:rsidRDefault="00286780" w:rsidP="00C5336B">
      <w:pPr>
        <w:spacing w:line="360" w:lineRule="auto"/>
        <w:ind w:firstLine="709"/>
        <w:jc w:val="both"/>
        <w:rPr>
          <w:sz w:val="28"/>
          <w:szCs w:val="28"/>
        </w:rPr>
      </w:pPr>
      <w:r w:rsidRPr="00C5336B">
        <w:rPr>
          <w:sz w:val="28"/>
          <w:szCs w:val="28"/>
        </w:rPr>
        <w:t>Для начальных стадий развития заболевания (реактивная, токсическая) характерными является умеренное повышение артериального давления, увеличение сердечного индекса, снижение ударного объема крови, существенное увеличение частоты сердечных сокращений, нормальные значения периферического сосудистого сопротивления. В последующем прогрессирует снижение объема циркулирующей крови, нарастает тахикардия, увеличивается сердечный индекс без существенного изменения ударного объема крови (или отмечается его снижение). Развивается гипердинамический тип кровообращения.</w:t>
      </w:r>
    </w:p>
    <w:p w:rsidR="00286780" w:rsidRPr="00C5336B" w:rsidRDefault="00286780" w:rsidP="00C5336B">
      <w:pPr>
        <w:spacing w:line="360" w:lineRule="auto"/>
        <w:ind w:firstLine="709"/>
        <w:jc w:val="both"/>
        <w:rPr>
          <w:sz w:val="28"/>
          <w:szCs w:val="28"/>
        </w:rPr>
      </w:pPr>
      <w:r>
        <w:rPr>
          <w:sz w:val="28"/>
          <w:szCs w:val="28"/>
        </w:rPr>
        <w:t>Также</w:t>
      </w:r>
      <w:r w:rsidRPr="00C5336B">
        <w:rPr>
          <w:sz w:val="28"/>
          <w:szCs w:val="28"/>
        </w:rPr>
        <w:t xml:space="preserve"> возможно открытие артериовенозных шунтов, которые начинают функционировать при бактериемии, снижается общее периферическое сосудистое </w:t>
      </w:r>
      <w:r w:rsidRPr="00C5336B">
        <w:rPr>
          <w:sz w:val="28"/>
          <w:szCs w:val="28"/>
        </w:rPr>
        <w:lastRenderedPageBreak/>
        <w:t xml:space="preserve">сопротивление, а </w:t>
      </w:r>
      <w:r>
        <w:rPr>
          <w:sz w:val="28"/>
          <w:szCs w:val="28"/>
        </w:rPr>
        <w:t>также</w:t>
      </w:r>
      <w:r w:rsidRPr="00C5336B">
        <w:rPr>
          <w:sz w:val="28"/>
          <w:szCs w:val="28"/>
        </w:rPr>
        <w:t xml:space="preserve"> снижается артериовенозная разница по содержанию ки</w:t>
      </w:r>
      <w:r>
        <w:rPr>
          <w:sz w:val="28"/>
          <w:szCs w:val="28"/>
        </w:rPr>
        <w:t xml:space="preserve">слорода </w:t>
      </w:r>
      <w:r w:rsidRPr="00580B35">
        <w:rPr>
          <w:sz w:val="28"/>
          <w:szCs w:val="28"/>
        </w:rPr>
        <w:t>(</w:t>
      </w:r>
      <w:r>
        <w:rPr>
          <w:sz w:val="28"/>
          <w:szCs w:val="28"/>
        </w:rPr>
        <w:t>Завада Н.В. и др., 2003</w:t>
      </w:r>
      <w:r w:rsidRPr="00580B35">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 xml:space="preserve">В дальнейшем (токсическая и терминальная стадии заболевания) наблюдается истощение резервных возможностей сердечно-сосудистой системы. Снижается артериальное давление (систолическое и диастолическое), уменьшается объем циркулирующей крови, снижается сердечный индекс и ударный объем крови. Отмечается выраженная тахикардия, уменьшение сократительной способности миокарда, повышение общего периферического сосудистого сопротивления. Развивается гиподинамический тип кровообращения, нарушения микроциркуляции, ишемия органов и тканей, возможно развитие септического шока. </w:t>
      </w:r>
    </w:p>
    <w:p w:rsidR="00286780" w:rsidRPr="00C5336B" w:rsidRDefault="00286780" w:rsidP="00C5336B">
      <w:pPr>
        <w:spacing w:line="360" w:lineRule="auto"/>
        <w:ind w:firstLine="709"/>
        <w:jc w:val="both"/>
        <w:rPr>
          <w:sz w:val="28"/>
          <w:szCs w:val="28"/>
        </w:rPr>
      </w:pPr>
      <w:r w:rsidRPr="00C5336B">
        <w:rPr>
          <w:sz w:val="28"/>
          <w:szCs w:val="28"/>
        </w:rPr>
        <w:t>В последующем эти изменения прогрессируют, развивается септический шок рефрактерного типа, некорригируемый введением адреномиметиков и мероприятиями интенсивной терапии.</w:t>
      </w:r>
    </w:p>
    <w:p w:rsidR="00286780" w:rsidRPr="00C5336B" w:rsidRDefault="00286780" w:rsidP="00C5336B">
      <w:pPr>
        <w:spacing w:line="360" w:lineRule="auto"/>
        <w:ind w:firstLine="709"/>
        <w:jc w:val="both"/>
        <w:rPr>
          <w:sz w:val="28"/>
          <w:szCs w:val="28"/>
        </w:rPr>
      </w:pPr>
      <w:r w:rsidRPr="00C5336B">
        <w:rPr>
          <w:sz w:val="28"/>
          <w:szCs w:val="28"/>
        </w:rPr>
        <w:t>По мере прогрессирования воспалительного процесса и системных нарушений развиваются явления острой дыхательной недостаточности. В целом, дыхательная недостаточность диагностируется у 70–75% больных одонтогенным сепсисом, обусловлена обструкцией дыхательных путей и развитием септической пневмонии, развитием острого повреждения легких и острым респираторным дистресс-синдромом, гемической и циркуляторной гипоксией. Клинически острая дыхательная недостаточность проявляется одышкой до 30 дыхательных движений в минуту и более, снижением концентрации кислорода артериальной крови, снижением респираторного индекса, повышением содержания углекислого газа.</w:t>
      </w:r>
    </w:p>
    <w:p w:rsidR="00286780" w:rsidRPr="00C5336B" w:rsidRDefault="00286780" w:rsidP="00C5336B">
      <w:pPr>
        <w:spacing w:line="360" w:lineRule="auto"/>
        <w:ind w:firstLine="709"/>
        <w:jc w:val="both"/>
        <w:rPr>
          <w:sz w:val="28"/>
          <w:szCs w:val="28"/>
        </w:rPr>
      </w:pPr>
      <w:r w:rsidRPr="00C5336B">
        <w:rPr>
          <w:sz w:val="28"/>
          <w:szCs w:val="28"/>
        </w:rPr>
        <w:t xml:space="preserve">Изменения показателей гомеостаза и обменных процессов на начальных стадиях развития заболевания характеризуются анемией, диспротеинеимией, гипоальбуминемией, возрастанием содержания всех фракций глобулинов, гиперкоагуляцией. В дальнейшем, по мере развития гнойно-воспалительного процесса, эти изменения прогрессируют. </w:t>
      </w:r>
      <w:r>
        <w:rPr>
          <w:sz w:val="28"/>
          <w:szCs w:val="28"/>
        </w:rPr>
        <w:t>Также</w:t>
      </w:r>
      <w:r w:rsidRPr="00C5336B">
        <w:rPr>
          <w:sz w:val="28"/>
          <w:szCs w:val="28"/>
        </w:rPr>
        <w:t xml:space="preserve"> отмечается гиперкоагуляция на фоне острого или подострого фибринолиза, декомпенсированный ацидоз или алкалоз, гиперкалиемия, гипернатриемия </w:t>
      </w:r>
      <w:r>
        <w:rPr>
          <w:sz w:val="28"/>
          <w:szCs w:val="28"/>
        </w:rPr>
        <w:t xml:space="preserve">или гипонатриемия </w:t>
      </w:r>
      <w:r w:rsidRPr="00580B35">
        <w:rPr>
          <w:sz w:val="28"/>
          <w:szCs w:val="28"/>
        </w:rPr>
        <w:t>(</w:t>
      </w:r>
      <w:r>
        <w:rPr>
          <w:sz w:val="28"/>
          <w:szCs w:val="28"/>
        </w:rPr>
        <w:t xml:space="preserve">Харитонов Ю.М., 1999; Будаев </w:t>
      </w:r>
      <w:r>
        <w:rPr>
          <w:sz w:val="28"/>
          <w:szCs w:val="28"/>
        </w:rPr>
        <w:lastRenderedPageBreak/>
        <w:t>А.П., 2001; Шаргородский А.Г., 2001; Завада Н.</w:t>
      </w:r>
      <w:r w:rsidRPr="00C5336B">
        <w:rPr>
          <w:sz w:val="28"/>
          <w:szCs w:val="28"/>
        </w:rPr>
        <w:t>В. и др., 2003; Губин М.А., Хари</w:t>
      </w:r>
      <w:r>
        <w:rPr>
          <w:sz w:val="28"/>
          <w:szCs w:val="28"/>
        </w:rPr>
        <w:t>тонов Ю.М., 2006</w:t>
      </w:r>
      <w:r w:rsidRPr="00580B35">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Характерными признаками распространения гнойной инфекции являются гипергликемия (более 8 ммоль\л), не связанная с наличием сахарного диабета, повышение концентрации лактатдегидрогеназы, АСТ, креатинина, мочевины. Коэффициент де Ритиса (отношение АСТ\АЛТ) достоверно увеличивается при сеп</w:t>
      </w:r>
      <w:r>
        <w:rPr>
          <w:sz w:val="28"/>
          <w:szCs w:val="28"/>
        </w:rPr>
        <w:t xml:space="preserve">тическом шоке </w:t>
      </w:r>
      <w:r w:rsidRPr="00580B35">
        <w:rPr>
          <w:sz w:val="28"/>
          <w:szCs w:val="28"/>
        </w:rPr>
        <w:t>(</w:t>
      </w:r>
      <w:r>
        <w:rPr>
          <w:sz w:val="28"/>
          <w:szCs w:val="28"/>
        </w:rPr>
        <w:t>Громов А.Л., 2011</w:t>
      </w:r>
      <w:r w:rsidRPr="00580B35">
        <w:rPr>
          <w:sz w:val="28"/>
          <w:szCs w:val="28"/>
        </w:rPr>
        <w:t>)</w:t>
      </w:r>
      <w:r w:rsidRPr="00C5336B">
        <w:rPr>
          <w:sz w:val="28"/>
          <w:szCs w:val="28"/>
        </w:rPr>
        <w:t>. При развитии органной недостаточности уровень средних молекул и лейкоцитарный индекс интоксикации достигают пре</w:t>
      </w:r>
      <w:r>
        <w:rPr>
          <w:sz w:val="28"/>
          <w:szCs w:val="28"/>
        </w:rPr>
        <w:t xml:space="preserve">дельных значений </w:t>
      </w:r>
      <w:r w:rsidRPr="00580B35">
        <w:rPr>
          <w:sz w:val="28"/>
          <w:szCs w:val="28"/>
        </w:rPr>
        <w:t>(</w:t>
      </w:r>
      <w:r>
        <w:rPr>
          <w:sz w:val="28"/>
          <w:szCs w:val="28"/>
        </w:rPr>
        <w:t>Харитонов Ю.М., 1999</w:t>
      </w:r>
      <w:r w:rsidRPr="00580B35">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В целом, характер и величина изменения показателей гомеостаза коррелируют с фазой заболевания (реактивная, токсическая и терминальная), выраженностью синдрома эндогенной интоксикации, типом воспалительной реакции, развитием сепсиса и септического шока.</w:t>
      </w:r>
    </w:p>
    <w:p w:rsidR="00286780" w:rsidRPr="00680ACF" w:rsidRDefault="00286780" w:rsidP="00C5336B">
      <w:pPr>
        <w:spacing w:line="360" w:lineRule="auto"/>
        <w:ind w:firstLine="709"/>
        <w:jc w:val="both"/>
        <w:rPr>
          <w:spacing w:val="-2"/>
          <w:sz w:val="28"/>
          <w:szCs w:val="28"/>
        </w:rPr>
      </w:pPr>
      <w:r w:rsidRPr="00680ACF">
        <w:rPr>
          <w:spacing w:val="-2"/>
          <w:sz w:val="28"/>
          <w:szCs w:val="28"/>
        </w:rPr>
        <w:t>Иммунный статус больных одонтогенными воспалительными заболеваниями характеризуется значительным разбросом индивидуальных значений, затрудняющих выявление каких-либо закономерностей. Отмечается снижение клеточной защиты за счет Т-хелперов, активация гуморальной защиты, изменение резервных возможностей иммунитета. Тяжесть состояния больного коррелирует с интенсивностью перекисног</w:t>
      </w:r>
      <w:r>
        <w:rPr>
          <w:spacing w:val="-2"/>
          <w:sz w:val="28"/>
          <w:szCs w:val="28"/>
        </w:rPr>
        <w:t xml:space="preserve">о окисления липидов </w:t>
      </w:r>
      <w:r w:rsidRPr="00580B35">
        <w:rPr>
          <w:spacing w:val="-2"/>
          <w:sz w:val="28"/>
          <w:szCs w:val="28"/>
        </w:rPr>
        <w:t>(</w:t>
      </w:r>
      <w:r>
        <w:rPr>
          <w:spacing w:val="-2"/>
          <w:sz w:val="28"/>
          <w:szCs w:val="28"/>
        </w:rPr>
        <w:t>Дурново Е.А., 2003</w:t>
      </w:r>
      <w:r w:rsidRPr="00580B35">
        <w:rPr>
          <w:spacing w:val="-2"/>
          <w:sz w:val="28"/>
          <w:szCs w:val="28"/>
        </w:rPr>
        <w:t>)</w:t>
      </w:r>
      <w:r w:rsidRPr="00680ACF">
        <w:rPr>
          <w:spacing w:val="-2"/>
          <w:sz w:val="28"/>
          <w:szCs w:val="28"/>
        </w:rPr>
        <w:t xml:space="preserve">. При развитии одонтогенного сепсиса зарегистрирован дефицит Т-лимфоцитов, </w:t>
      </w:r>
      <w:r w:rsidRPr="00680ACF">
        <w:rPr>
          <w:spacing w:val="-2"/>
          <w:sz w:val="28"/>
          <w:szCs w:val="28"/>
          <w:lang w:val="en-US"/>
        </w:rPr>
        <w:t>IgG</w:t>
      </w:r>
      <w:r w:rsidRPr="00680ACF">
        <w:rPr>
          <w:spacing w:val="-2"/>
          <w:sz w:val="28"/>
          <w:szCs w:val="28"/>
        </w:rPr>
        <w:t xml:space="preserve">, снижение фагоцитоза </w:t>
      </w:r>
      <w:r w:rsidRPr="00580B35">
        <w:rPr>
          <w:spacing w:val="-2"/>
          <w:sz w:val="28"/>
          <w:szCs w:val="28"/>
        </w:rPr>
        <w:t>(</w:t>
      </w:r>
      <w:r>
        <w:rPr>
          <w:spacing w:val="-2"/>
          <w:sz w:val="28"/>
          <w:szCs w:val="28"/>
        </w:rPr>
        <w:t>Громов А.Л., 2011</w:t>
      </w:r>
      <w:r w:rsidRPr="00580B35">
        <w:rPr>
          <w:spacing w:val="-2"/>
          <w:sz w:val="28"/>
          <w:szCs w:val="28"/>
        </w:rPr>
        <w:t>)</w:t>
      </w:r>
      <w:r w:rsidRPr="00680ACF">
        <w:rPr>
          <w:spacing w:val="-2"/>
          <w:sz w:val="28"/>
          <w:szCs w:val="28"/>
        </w:rPr>
        <w:t xml:space="preserve">. Выявляется иммунодефицит </w:t>
      </w:r>
      <w:r w:rsidRPr="00680ACF">
        <w:rPr>
          <w:spacing w:val="-2"/>
          <w:sz w:val="28"/>
          <w:szCs w:val="28"/>
          <w:lang w:val="en-US"/>
        </w:rPr>
        <w:t>II</w:t>
      </w:r>
      <w:r w:rsidRPr="00680ACF">
        <w:rPr>
          <w:spacing w:val="-2"/>
          <w:sz w:val="28"/>
          <w:szCs w:val="28"/>
        </w:rPr>
        <w:t>–</w:t>
      </w:r>
      <w:r w:rsidRPr="00680ACF">
        <w:rPr>
          <w:spacing w:val="-2"/>
          <w:sz w:val="28"/>
          <w:szCs w:val="28"/>
          <w:lang w:val="en-US"/>
        </w:rPr>
        <w:t>III</w:t>
      </w:r>
      <w:r w:rsidRPr="00680ACF">
        <w:rPr>
          <w:spacing w:val="-2"/>
          <w:sz w:val="28"/>
          <w:szCs w:val="28"/>
        </w:rPr>
        <w:t xml:space="preserve"> степени преимущественно за счет сокращения по</w:t>
      </w:r>
      <w:r>
        <w:rPr>
          <w:spacing w:val="-2"/>
          <w:sz w:val="28"/>
          <w:szCs w:val="28"/>
        </w:rPr>
        <w:t xml:space="preserve">пуляции Т-лимфоцитов </w:t>
      </w:r>
      <w:r w:rsidRPr="00580B35">
        <w:rPr>
          <w:spacing w:val="-2"/>
          <w:sz w:val="28"/>
          <w:szCs w:val="28"/>
        </w:rPr>
        <w:t>(</w:t>
      </w:r>
      <w:r>
        <w:rPr>
          <w:spacing w:val="-2"/>
          <w:sz w:val="28"/>
          <w:szCs w:val="28"/>
        </w:rPr>
        <w:t>Будаев А.П., 2001</w:t>
      </w:r>
      <w:r w:rsidRPr="00580B35">
        <w:rPr>
          <w:spacing w:val="-2"/>
          <w:sz w:val="28"/>
          <w:szCs w:val="28"/>
        </w:rPr>
        <w:t>)</w:t>
      </w:r>
      <w:r w:rsidRPr="00680ACF">
        <w:rPr>
          <w:spacing w:val="-2"/>
          <w:sz w:val="28"/>
          <w:szCs w:val="28"/>
        </w:rPr>
        <w:t xml:space="preserve">. </w:t>
      </w:r>
    </w:p>
    <w:p w:rsidR="00286780" w:rsidRPr="00C5336B" w:rsidRDefault="00286780" w:rsidP="00C5336B">
      <w:pPr>
        <w:spacing w:line="360" w:lineRule="auto"/>
        <w:ind w:right="99" w:firstLine="709"/>
        <w:jc w:val="both"/>
        <w:rPr>
          <w:sz w:val="28"/>
          <w:szCs w:val="28"/>
        </w:rPr>
      </w:pPr>
      <w:r w:rsidRPr="00C5336B">
        <w:rPr>
          <w:sz w:val="28"/>
          <w:szCs w:val="28"/>
        </w:rPr>
        <w:t>Особую группу риска составляют больные с патологией нескольких систем: сочетанием болезней сердца и сосудов, органов дыхания на фоне сахарного диабета или органов пищеварения, связанных с хроническим алкоголизмом. Именно у них чаще всего развивается состояние декомпенсации жизненно важ</w:t>
      </w:r>
      <w:r>
        <w:rPr>
          <w:sz w:val="28"/>
          <w:szCs w:val="28"/>
        </w:rPr>
        <w:t xml:space="preserve">ных систем организма </w:t>
      </w:r>
      <w:r w:rsidRPr="00580B35">
        <w:rPr>
          <w:sz w:val="28"/>
          <w:szCs w:val="28"/>
        </w:rPr>
        <w:t>(</w:t>
      </w:r>
      <w:r>
        <w:rPr>
          <w:sz w:val="28"/>
          <w:szCs w:val="28"/>
        </w:rPr>
        <w:t>Будаев А.П., 2001</w:t>
      </w:r>
      <w:r w:rsidRPr="00580B35">
        <w:rPr>
          <w:sz w:val="28"/>
          <w:szCs w:val="28"/>
        </w:rPr>
        <w:t>)</w:t>
      </w:r>
      <w:r w:rsidRPr="00C5336B">
        <w:rPr>
          <w:sz w:val="28"/>
          <w:szCs w:val="28"/>
        </w:rPr>
        <w:t xml:space="preserve">. </w:t>
      </w:r>
      <w:r>
        <w:rPr>
          <w:sz w:val="28"/>
          <w:szCs w:val="28"/>
        </w:rPr>
        <w:t>"</w:t>
      </w:r>
      <w:r w:rsidRPr="00C5336B">
        <w:rPr>
          <w:sz w:val="28"/>
          <w:szCs w:val="28"/>
        </w:rPr>
        <w:t>Группу риска</w:t>
      </w:r>
      <w:r>
        <w:rPr>
          <w:sz w:val="28"/>
          <w:szCs w:val="28"/>
        </w:rPr>
        <w:t>"</w:t>
      </w:r>
      <w:r w:rsidRPr="00C5336B">
        <w:rPr>
          <w:sz w:val="28"/>
          <w:szCs w:val="28"/>
        </w:rPr>
        <w:t xml:space="preserve"> по развитию острого воспалительного процесса в средостении составляют больные с заболеваниями легких, желудочно-киш</w:t>
      </w:r>
      <w:r>
        <w:rPr>
          <w:sz w:val="28"/>
          <w:szCs w:val="28"/>
        </w:rPr>
        <w:t xml:space="preserve">ечного тракта, крови </w:t>
      </w:r>
      <w:r w:rsidRPr="00580B35">
        <w:rPr>
          <w:sz w:val="28"/>
          <w:szCs w:val="28"/>
        </w:rPr>
        <w:t>(</w:t>
      </w:r>
      <w:r>
        <w:rPr>
          <w:sz w:val="28"/>
          <w:szCs w:val="28"/>
        </w:rPr>
        <w:t>Козлов В.А., 2006</w:t>
      </w:r>
      <w:r w:rsidRPr="00580B35">
        <w:rPr>
          <w:sz w:val="28"/>
          <w:szCs w:val="28"/>
        </w:rPr>
        <w:t>)</w:t>
      </w:r>
      <w:r w:rsidRPr="00C5336B">
        <w:rPr>
          <w:sz w:val="28"/>
          <w:szCs w:val="28"/>
        </w:rPr>
        <w:t>.</w:t>
      </w:r>
    </w:p>
    <w:p w:rsidR="00286780" w:rsidRPr="00C5336B" w:rsidRDefault="00286780" w:rsidP="00C5336B">
      <w:pPr>
        <w:tabs>
          <w:tab w:val="left" w:pos="3780"/>
        </w:tabs>
        <w:spacing w:line="360" w:lineRule="auto"/>
        <w:ind w:firstLine="709"/>
        <w:jc w:val="both"/>
        <w:rPr>
          <w:sz w:val="28"/>
          <w:szCs w:val="28"/>
        </w:rPr>
      </w:pPr>
      <w:r w:rsidRPr="00C5336B">
        <w:rPr>
          <w:sz w:val="28"/>
          <w:szCs w:val="28"/>
        </w:rPr>
        <w:lastRenderedPageBreak/>
        <w:t xml:space="preserve">Фоновая патология является тем дестабилизирующим гомеостаз фактором, который негативно действует на состояние адаптивно-компенсаторных реакций организма. Вторичный иммунодефицит, обусловленный инфекционными, аллергическими, аутоиммунными заболеваниями способствует развитию болезни в атипичной форме </w:t>
      </w:r>
      <w:r w:rsidRPr="00580B35">
        <w:rPr>
          <w:sz w:val="28"/>
          <w:szCs w:val="28"/>
        </w:rPr>
        <w:t>(</w:t>
      </w:r>
      <w:r>
        <w:rPr>
          <w:sz w:val="28"/>
          <w:szCs w:val="28"/>
          <w:shd w:val="clear" w:color="auto" w:fill="FFFFFF"/>
        </w:rPr>
        <w:t>Зенгер В.</w:t>
      </w:r>
      <w:r w:rsidRPr="00C5336B">
        <w:rPr>
          <w:sz w:val="28"/>
          <w:szCs w:val="28"/>
          <w:shd w:val="clear" w:color="auto" w:fill="FFFFFF"/>
        </w:rPr>
        <w:t>Г. и др., 2008</w:t>
      </w:r>
      <w:r>
        <w:rPr>
          <w:sz w:val="28"/>
          <w:szCs w:val="28"/>
        </w:rPr>
        <w:t>; Фомичев Е.В. и др., 2010; Ефимова Е.В., 2012</w:t>
      </w:r>
      <w:r w:rsidRPr="00580B35">
        <w:rPr>
          <w:sz w:val="28"/>
          <w:szCs w:val="28"/>
        </w:rPr>
        <w:t>)</w:t>
      </w:r>
      <w:r w:rsidRPr="00C5336B">
        <w:rPr>
          <w:sz w:val="28"/>
          <w:szCs w:val="28"/>
        </w:rPr>
        <w:t xml:space="preserve">. У больных сахарным диабетом и хирургической гнойной инфекцией иммунодефицит связан со снижением количества </w:t>
      </w:r>
      <w:r w:rsidRPr="00C5336B">
        <w:rPr>
          <w:sz w:val="28"/>
          <w:szCs w:val="28"/>
          <w:lang w:val="en-US"/>
        </w:rPr>
        <w:t>CD</w:t>
      </w:r>
      <w:r w:rsidRPr="00C5336B">
        <w:rPr>
          <w:sz w:val="28"/>
          <w:szCs w:val="28"/>
        </w:rPr>
        <w:t xml:space="preserve">-3, </w:t>
      </w:r>
      <w:r w:rsidRPr="00C5336B">
        <w:rPr>
          <w:sz w:val="28"/>
          <w:szCs w:val="28"/>
          <w:lang w:val="en-US"/>
        </w:rPr>
        <w:t>CD</w:t>
      </w:r>
      <w:r w:rsidRPr="00C5336B">
        <w:rPr>
          <w:sz w:val="28"/>
          <w:szCs w:val="28"/>
        </w:rPr>
        <w:t xml:space="preserve">-4, </w:t>
      </w:r>
      <w:r w:rsidRPr="00C5336B">
        <w:rPr>
          <w:sz w:val="28"/>
          <w:szCs w:val="28"/>
          <w:lang w:val="en-US"/>
        </w:rPr>
        <w:t>CD</w:t>
      </w:r>
      <w:r w:rsidRPr="00C5336B">
        <w:rPr>
          <w:sz w:val="28"/>
          <w:szCs w:val="28"/>
        </w:rPr>
        <w:t xml:space="preserve">-8 </w:t>
      </w:r>
      <w:r>
        <w:rPr>
          <w:sz w:val="28"/>
          <w:szCs w:val="28"/>
        </w:rPr>
        <w:br/>
      </w:r>
      <w:r w:rsidRPr="00C5336B">
        <w:rPr>
          <w:sz w:val="28"/>
          <w:szCs w:val="28"/>
        </w:rPr>
        <w:t>Т-лимфоцитов, блокированием компле</w:t>
      </w:r>
      <w:r>
        <w:rPr>
          <w:sz w:val="28"/>
          <w:szCs w:val="28"/>
        </w:rPr>
        <w:t xml:space="preserve">мента и фагоцитоза </w:t>
      </w:r>
      <w:r w:rsidRPr="00580B35">
        <w:rPr>
          <w:sz w:val="28"/>
          <w:szCs w:val="28"/>
        </w:rPr>
        <w:t>(</w:t>
      </w:r>
      <w:r>
        <w:rPr>
          <w:sz w:val="28"/>
          <w:szCs w:val="28"/>
        </w:rPr>
        <w:t>Светухин А.</w:t>
      </w:r>
      <w:r w:rsidRPr="00C5336B">
        <w:rPr>
          <w:sz w:val="28"/>
          <w:szCs w:val="28"/>
        </w:rPr>
        <w:t>М., Про</w:t>
      </w:r>
      <w:r>
        <w:rPr>
          <w:sz w:val="28"/>
          <w:szCs w:val="28"/>
        </w:rPr>
        <w:t>кудина М.В., 1997; Дедов И.И., Шестакова М.В., 2011</w:t>
      </w:r>
      <w:r w:rsidRPr="00580B35">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В доступной литературе не обнаружено исследований, посвященных детальному изучению показателей кровообращения, метаболизма и иммунитета у пациентов с гнойными процессами челюстно-лицевой области при наличии фоновой полиорганной патологии и синдрома взаимного отягощения.</w:t>
      </w:r>
    </w:p>
    <w:p w:rsidR="00286780" w:rsidRDefault="00286780" w:rsidP="004A0CF0">
      <w:pPr>
        <w:jc w:val="both"/>
        <w:rPr>
          <w:sz w:val="28"/>
          <w:szCs w:val="28"/>
          <w:lang w:eastAsia="en-US"/>
        </w:rPr>
      </w:pPr>
    </w:p>
    <w:p w:rsidR="00286780" w:rsidRPr="00457501" w:rsidRDefault="00286780" w:rsidP="00457501">
      <w:pPr>
        <w:pStyle w:val="20"/>
        <w:spacing w:line="360" w:lineRule="auto"/>
        <w:jc w:val="both"/>
      </w:pPr>
      <w:bookmarkStart w:id="8" w:name="_Toc67905691"/>
      <w:r>
        <w:t xml:space="preserve">1.6. </w:t>
      </w:r>
      <w:r w:rsidRPr="00C5336B">
        <w:t>Лечение пациентов с одонтогенными воспалительными заболеваниями челюстно-лицевой области при наличии полиорганной фоновой патологии и синдрома взаимного отягощения</w:t>
      </w:r>
      <w:bookmarkEnd w:id="8"/>
    </w:p>
    <w:p w:rsidR="00286780" w:rsidRPr="00C5336B" w:rsidRDefault="00286780" w:rsidP="00457501">
      <w:pPr>
        <w:spacing w:line="360" w:lineRule="auto"/>
        <w:ind w:firstLine="709"/>
        <w:jc w:val="both"/>
        <w:rPr>
          <w:sz w:val="28"/>
          <w:szCs w:val="28"/>
        </w:rPr>
      </w:pPr>
      <w:r w:rsidRPr="00C5336B">
        <w:rPr>
          <w:b/>
          <w:sz w:val="28"/>
          <w:szCs w:val="28"/>
        </w:rPr>
        <w:t>Предоперационная подготовка</w:t>
      </w:r>
      <w:r w:rsidRPr="00C5336B">
        <w:rPr>
          <w:sz w:val="28"/>
          <w:szCs w:val="28"/>
        </w:rPr>
        <w:t>. Предоперационная подготовка является обоснованным и необходимым этапом лечения больных хирургического и стоматологического профиля, в том числе с осложнениями острой одонтогенной ин</w:t>
      </w:r>
      <w:r>
        <w:rPr>
          <w:sz w:val="28"/>
          <w:szCs w:val="28"/>
        </w:rPr>
        <w:t xml:space="preserve">фекции </w:t>
      </w:r>
      <w:r w:rsidRPr="00580B35">
        <w:rPr>
          <w:sz w:val="28"/>
          <w:szCs w:val="28"/>
        </w:rPr>
        <w:t>(</w:t>
      </w:r>
      <w:r>
        <w:rPr>
          <w:sz w:val="28"/>
          <w:szCs w:val="28"/>
        </w:rPr>
        <w:t>Харитонов Ю.</w:t>
      </w:r>
      <w:r w:rsidRPr="00C5336B">
        <w:rPr>
          <w:sz w:val="28"/>
          <w:szCs w:val="28"/>
        </w:rPr>
        <w:t>М., 1999</w:t>
      </w:r>
      <w:r>
        <w:rPr>
          <w:sz w:val="28"/>
          <w:szCs w:val="28"/>
          <w:shd w:val="clear" w:color="auto" w:fill="FFFFFF"/>
        </w:rPr>
        <w:t>; Григорьянц Л.</w:t>
      </w:r>
      <w:r w:rsidRPr="00C5336B">
        <w:rPr>
          <w:sz w:val="28"/>
          <w:szCs w:val="28"/>
          <w:shd w:val="clear" w:color="auto" w:fill="FFFFFF"/>
        </w:rPr>
        <w:t>A. и др., 2006</w:t>
      </w:r>
      <w:r w:rsidRPr="00580B35">
        <w:rPr>
          <w:sz w:val="28"/>
          <w:szCs w:val="28"/>
        </w:rPr>
        <w:t>)</w:t>
      </w:r>
      <w:r w:rsidRPr="00C5336B">
        <w:rPr>
          <w:sz w:val="28"/>
          <w:szCs w:val="28"/>
        </w:rPr>
        <w:t xml:space="preserve">. Целью предоперационной подготовки является обеспечение устойчивого состояния систем жизнедеятельности </w:t>
      </w:r>
      <w:r>
        <w:rPr>
          <w:sz w:val="28"/>
          <w:szCs w:val="28"/>
        </w:rPr>
        <w:t>"</w:t>
      </w:r>
      <w:r w:rsidRPr="00C5336B">
        <w:rPr>
          <w:sz w:val="28"/>
          <w:szCs w:val="28"/>
        </w:rPr>
        <w:t>во время операции и в посл</w:t>
      </w:r>
      <w:r>
        <w:rPr>
          <w:sz w:val="28"/>
          <w:szCs w:val="28"/>
        </w:rPr>
        <w:t xml:space="preserve">еоперационном периоде" </w:t>
      </w:r>
      <w:r w:rsidRPr="00580B35">
        <w:rPr>
          <w:sz w:val="28"/>
          <w:szCs w:val="28"/>
        </w:rPr>
        <w:t>(</w:t>
      </w:r>
      <w:r>
        <w:rPr>
          <w:sz w:val="28"/>
          <w:szCs w:val="28"/>
        </w:rPr>
        <w:t>Губин М.А., Харитонов Ю.М., 2006</w:t>
      </w:r>
      <w:r w:rsidRPr="00580B35">
        <w:rPr>
          <w:sz w:val="28"/>
          <w:szCs w:val="28"/>
        </w:rPr>
        <w:t>)</w:t>
      </w:r>
      <w:r w:rsidRPr="00C5336B">
        <w:rPr>
          <w:sz w:val="28"/>
          <w:szCs w:val="28"/>
        </w:rPr>
        <w:t xml:space="preserve">. </w:t>
      </w:r>
    </w:p>
    <w:p w:rsidR="00286780" w:rsidRPr="00C5336B" w:rsidRDefault="00286780" w:rsidP="00C5336B">
      <w:pPr>
        <w:spacing w:line="360" w:lineRule="auto"/>
        <w:ind w:firstLine="709"/>
        <w:jc w:val="both"/>
        <w:rPr>
          <w:sz w:val="28"/>
          <w:szCs w:val="28"/>
        </w:rPr>
      </w:pPr>
      <w:r w:rsidRPr="00C5336B">
        <w:rPr>
          <w:sz w:val="28"/>
          <w:szCs w:val="28"/>
        </w:rPr>
        <w:t>Установлено, что при отсутствии корректной предоперационной подготовки риск развития серьезных и жизнеугрожающих осложнений (острая сердечно-сосудистая, дыхательная недостаточность, шок, отек головного мозга, кома) сущес</w:t>
      </w:r>
      <w:r>
        <w:rPr>
          <w:sz w:val="28"/>
          <w:szCs w:val="28"/>
        </w:rPr>
        <w:t xml:space="preserve">твенно возрастает </w:t>
      </w:r>
      <w:r w:rsidRPr="00580B35">
        <w:rPr>
          <w:sz w:val="28"/>
          <w:szCs w:val="28"/>
        </w:rPr>
        <w:t>(</w:t>
      </w:r>
      <w:r>
        <w:rPr>
          <w:sz w:val="28"/>
          <w:szCs w:val="28"/>
        </w:rPr>
        <w:t>Харитонов Ю.М., 1999; Будаев А.</w:t>
      </w:r>
      <w:r w:rsidRPr="00C5336B">
        <w:rPr>
          <w:sz w:val="28"/>
          <w:szCs w:val="28"/>
        </w:rPr>
        <w:t>П., 2001;</w:t>
      </w:r>
      <w:r>
        <w:rPr>
          <w:sz w:val="28"/>
          <w:szCs w:val="28"/>
        </w:rPr>
        <w:t xml:space="preserve"> Шаргородский А.Г., 2001; Завада Н.В. и др., 2003; Губин М.А., Харитонов Ю.М., 2006</w:t>
      </w:r>
      <w:r w:rsidRPr="00580B35">
        <w:rPr>
          <w:sz w:val="28"/>
          <w:szCs w:val="28"/>
        </w:rPr>
        <w:t>)</w:t>
      </w:r>
      <w:r w:rsidRPr="00C5336B">
        <w:rPr>
          <w:sz w:val="28"/>
          <w:szCs w:val="28"/>
        </w:rPr>
        <w:t xml:space="preserve">. </w:t>
      </w:r>
    </w:p>
    <w:p w:rsidR="00286780" w:rsidRPr="00C5336B" w:rsidRDefault="00286780" w:rsidP="00C5336B">
      <w:pPr>
        <w:spacing w:line="360" w:lineRule="auto"/>
        <w:ind w:firstLine="709"/>
        <w:jc w:val="both"/>
        <w:rPr>
          <w:b/>
          <w:sz w:val="28"/>
          <w:szCs w:val="28"/>
        </w:rPr>
      </w:pPr>
      <w:r w:rsidRPr="00C5336B">
        <w:rPr>
          <w:sz w:val="28"/>
          <w:szCs w:val="28"/>
        </w:rPr>
        <w:lastRenderedPageBreak/>
        <w:t>Характер и объем предоперационной подготовки находится в зависимости от степени нарушения показателей гомеостаза и функций основных систем органов (сердечно-сосудистой, дыхательной, нервной, мочевыделительной, пищеварительной системы и печени), фазы заболевания (компенсация, субкомпен</w:t>
      </w:r>
      <w:r>
        <w:rPr>
          <w:sz w:val="28"/>
          <w:szCs w:val="28"/>
        </w:rPr>
        <w:t xml:space="preserve">сация, декомпенсация </w:t>
      </w:r>
      <w:r w:rsidRPr="00580B35">
        <w:rPr>
          <w:sz w:val="28"/>
          <w:szCs w:val="28"/>
        </w:rPr>
        <w:t>(</w:t>
      </w:r>
      <w:r>
        <w:rPr>
          <w:sz w:val="28"/>
          <w:szCs w:val="28"/>
        </w:rPr>
        <w:t>Будаев А.П., 2001; Губин М.А. и др., 2003; Губин М.</w:t>
      </w:r>
      <w:r w:rsidRPr="00C5336B">
        <w:rPr>
          <w:sz w:val="28"/>
          <w:szCs w:val="28"/>
        </w:rPr>
        <w:t>А., Харито</w:t>
      </w:r>
      <w:r>
        <w:rPr>
          <w:sz w:val="28"/>
          <w:szCs w:val="28"/>
        </w:rPr>
        <w:t>нов Ю.М., 2006</w:t>
      </w:r>
      <w:r w:rsidRPr="00580B35">
        <w:rPr>
          <w:sz w:val="28"/>
          <w:szCs w:val="28"/>
        </w:rPr>
        <w:t>)</w:t>
      </w:r>
      <w:r w:rsidRPr="00C5336B">
        <w:rPr>
          <w:sz w:val="28"/>
          <w:szCs w:val="28"/>
        </w:rPr>
        <w:t>. В состоянии компенсации используется введение аналгетиков, спазмолитиков, антипиретиков, глюкокортикоидов. В фазе субкомпенсации предоперационная подготовка заключается в основном в коррекции гиповолемии и снижении интоксикации. Для декомпенсации характерны множественные нарушения показателей гомеостаза, корригируе</w:t>
      </w:r>
      <w:r>
        <w:rPr>
          <w:sz w:val="28"/>
          <w:szCs w:val="28"/>
        </w:rPr>
        <w:t xml:space="preserve">мые в предоперационном периоде </w:t>
      </w:r>
      <w:r w:rsidRPr="00580B35">
        <w:rPr>
          <w:sz w:val="28"/>
          <w:szCs w:val="28"/>
        </w:rPr>
        <w:t>(</w:t>
      </w:r>
      <w:r w:rsidRPr="00C5336B">
        <w:rPr>
          <w:sz w:val="28"/>
          <w:szCs w:val="28"/>
        </w:rPr>
        <w:t>Ха</w:t>
      </w:r>
      <w:r>
        <w:rPr>
          <w:sz w:val="28"/>
          <w:szCs w:val="28"/>
        </w:rPr>
        <w:t>ритонов Ю.</w:t>
      </w:r>
      <w:r w:rsidRPr="00C5336B">
        <w:rPr>
          <w:sz w:val="28"/>
          <w:szCs w:val="28"/>
        </w:rPr>
        <w:t>М., 1999; Будаев</w:t>
      </w:r>
      <w:r>
        <w:rPr>
          <w:sz w:val="28"/>
          <w:szCs w:val="28"/>
        </w:rPr>
        <w:t xml:space="preserve"> А.П., 2001; Губин М.</w:t>
      </w:r>
      <w:r w:rsidRPr="00C5336B">
        <w:rPr>
          <w:sz w:val="28"/>
          <w:szCs w:val="28"/>
        </w:rPr>
        <w:t xml:space="preserve">А. </w:t>
      </w:r>
      <w:r>
        <w:rPr>
          <w:sz w:val="28"/>
          <w:szCs w:val="28"/>
        </w:rPr>
        <w:t>и др., 2003</w:t>
      </w:r>
      <w:r w:rsidRPr="00580B35">
        <w:rPr>
          <w:sz w:val="28"/>
          <w:szCs w:val="28"/>
        </w:rPr>
        <w:t>)</w:t>
      </w:r>
      <w:r w:rsidRPr="00C5336B">
        <w:rPr>
          <w:sz w:val="28"/>
          <w:szCs w:val="28"/>
        </w:rPr>
        <w:t>.</w:t>
      </w:r>
    </w:p>
    <w:p w:rsidR="00286780" w:rsidRPr="00C5336B" w:rsidRDefault="00286780" w:rsidP="00C5336B">
      <w:pPr>
        <w:overflowPunct w:val="0"/>
        <w:autoSpaceDE w:val="0"/>
        <w:autoSpaceDN w:val="0"/>
        <w:adjustRightInd w:val="0"/>
        <w:spacing w:line="360" w:lineRule="auto"/>
        <w:ind w:firstLine="709"/>
        <w:jc w:val="both"/>
        <w:rPr>
          <w:sz w:val="28"/>
          <w:szCs w:val="28"/>
        </w:rPr>
      </w:pPr>
      <w:r w:rsidRPr="00C5336B">
        <w:rPr>
          <w:sz w:val="28"/>
          <w:szCs w:val="28"/>
        </w:rPr>
        <w:t>Следовательно, определение соответствующих показателей гомеостаза в предоперационном периоде является необходимой частью лечения больного. Продолжительность предоперационной подготовки не должна превышать 2</w:t>
      </w:r>
      <w:r>
        <w:rPr>
          <w:sz w:val="28"/>
          <w:szCs w:val="28"/>
        </w:rPr>
        <w:t xml:space="preserve">–3 часов </w:t>
      </w:r>
      <w:r w:rsidRPr="00580B35">
        <w:rPr>
          <w:sz w:val="28"/>
          <w:szCs w:val="28"/>
        </w:rPr>
        <w:t>(</w:t>
      </w:r>
      <w:r>
        <w:rPr>
          <w:sz w:val="28"/>
          <w:szCs w:val="28"/>
        </w:rPr>
        <w:t>Губин М.А. и др., 2003</w:t>
      </w:r>
      <w:r w:rsidRPr="00580B35">
        <w:rPr>
          <w:sz w:val="28"/>
          <w:szCs w:val="28"/>
        </w:rPr>
        <w:t>)</w:t>
      </w:r>
      <w:r w:rsidRPr="00C5336B">
        <w:rPr>
          <w:sz w:val="28"/>
          <w:szCs w:val="28"/>
        </w:rPr>
        <w:t>. Следует отметить, что антибактериальная терапия должна применяться после коррекции в</w:t>
      </w:r>
      <w:r>
        <w:rPr>
          <w:sz w:val="28"/>
          <w:szCs w:val="28"/>
        </w:rPr>
        <w:t xml:space="preserve">олемических нарушений </w:t>
      </w:r>
      <w:r w:rsidRPr="00580B35">
        <w:rPr>
          <w:sz w:val="28"/>
          <w:szCs w:val="28"/>
        </w:rPr>
        <w:t>(</w:t>
      </w:r>
      <w:r>
        <w:rPr>
          <w:sz w:val="28"/>
          <w:szCs w:val="28"/>
        </w:rPr>
        <w:t>Губин М.</w:t>
      </w:r>
      <w:r w:rsidRPr="00C5336B">
        <w:rPr>
          <w:sz w:val="28"/>
          <w:szCs w:val="28"/>
        </w:rPr>
        <w:t>А., Ха</w:t>
      </w:r>
      <w:r>
        <w:rPr>
          <w:sz w:val="28"/>
          <w:szCs w:val="28"/>
        </w:rPr>
        <w:t>ритонов Ю.М., 2006</w:t>
      </w:r>
      <w:r w:rsidRPr="00580B35">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Предоперационная подготовка больных хирургического профиля при наличии определенных форм фоновой патологии приводится в соответствующих руководствах и статьях. Наиболее подробно вопросы предоперационной подготовки разобраны для хирургической патологии, развивающейся на фоне сахарного диабета, что обусловлено значительной распространенностью данного заболевания, социальной значимостью, риском возникновения осложнений и другими факто</w:t>
      </w:r>
      <w:r>
        <w:rPr>
          <w:sz w:val="28"/>
          <w:szCs w:val="28"/>
        </w:rPr>
        <w:t xml:space="preserve">рами </w:t>
      </w:r>
      <w:r w:rsidRPr="00580B35">
        <w:rPr>
          <w:sz w:val="28"/>
          <w:szCs w:val="28"/>
        </w:rPr>
        <w:t>(</w:t>
      </w:r>
      <w:r>
        <w:rPr>
          <w:sz w:val="28"/>
          <w:szCs w:val="28"/>
        </w:rPr>
        <w:t>Светухин А.М., Прокудина М.В., 1997; Дедов И.И., Шестакова М.В., 2011; Дедов И.И. и др., 2019</w:t>
      </w:r>
      <w:r w:rsidRPr="00580B35">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При экстренной патологии, требующей оперативного вмешательства в максимально короткие сроки, длительность предоперационной подготовки должна быть в пределах 2–3 часов. Абсолютным противопоказанием к операции является развитие грубых нарушений гомеостаза (некомпенсированного кетоацидоза, комы). В этом случае производятся только реанимационные хирургические вмеша</w:t>
      </w:r>
      <w:r w:rsidRPr="00C5336B">
        <w:rPr>
          <w:sz w:val="28"/>
          <w:szCs w:val="28"/>
        </w:rPr>
        <w:lastRenderedPageBreak/>
        <w:t>тельства: трахеостомия, перевязка сосудов при кровотечении. В периоперационном периоде больным с острой хирургической патологией (за исключением амбулаторных хирургических вмешательств) независимо от предшествующего лечения сахарного диабета назначается инсулин</w:t>
      </w:r>
      <w:r>
        <w:rPr>
          <w:sz w:val="28"/>
          <w:szCs w:val="28"/>
        </w:rPr>
        <w:t xml:space="preserve"> короткого действия </w:t>
      </w:r>
      <w:r w:rsidRPr="00580B35">
        <w:rPr>
          <w:sz w:val="28"/>
          <w:szCs w:val="28"/>
        </w:rPr>
        <w:t>(</w:t>
      </w:r>
      <w:r>
        <w:rPr>
          <w:sz w:val="28"/>
          <w:szCs w:val="28"/>
        </w:rPr>
        <w:t>Кулешов Е.В., Кулешов С.Е., 1996; Светухин А.М., Прокудина М.В., 1997; Совцов С.</w:t>
      </w:r>
      <w:r w:rsidRPr="00C5336B">
        <w:rPr>
          <w:sz w:val="28"/>
          <w:szCs w:val="28"/>
        </w:rPr>
        <w:t>А., Ре</w:t>
      </w:r>
      <w:r>
        <w:rPr>
          <w:sz w:val="28"/>
          <w:szCs w:val="28"/>
        </w:rPr>
        <w:t>вель-Муроз Ж.А., 2014; Дедов И.И. и др., 2019</w:t>
      </w:r>
      <w:r w:rsidRPr="00580B35">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В день операции контроль гликемии вы</w:t>
      </w:r>
      <w:r>
        <w:rPr>
          <w:sz w:val="28"/>
          <w:szCs w:val="28"/>
        </w:rPr>
        <w:t xml:space="preserve">полняется каждые 2–3 часа, а во </w:t>
      </w:r>
      <w:r w:rsidRPr="00C5336B">
        <w:rPr>
          <w:sz w:val="28"/>
          <w:szCs w:val="28"/>
        </w:rPr>
        <w:t xml:space="preserve">время операции или при развитии осложнений – каждые 30 минут. На протяжении последующих 4–5 суток контроль гликемии выполняется каждые 4–6 часов, в дальнейшем – 3 раза в сутки. </w:t>
      </w:r>
      <w:r>
        <w:rPr>
          <w:sz w:val="28"/>
          <w:szCs w:val="28"/>
        </w:rPr>
        <w:t>Также</w:t>
      </w:r>
      <w:r w:rsidRPr="00C5336B">
        <w:rPr>
          <w:sz w:val="28"/>
          <w:szCs w:val="28"/>
        </w:rPr>
        <w:t xml:space="preserve"> необходимо определение кетоновых тел и глюкозы в моче в предоперационном перио</w:t>
      </w:r>
      <w:r>
        <w:rPr>
          <w:sz w:val="28"/>
          <w:szCs w:val="28"/>
        </w:rPr>
        <w:t xml:space="preserve">де и после операции </w:t>
      </w:r>
      <w:r w:rsidRPr="00580B35">
        <w:rPr>
          <w:sz w:val="28"/>
          <w:szCs w:val="28"/>
        </w:rPr>
        <w:t>(</w:t>
      </w:r>
      <w:r>
        <w:rPr>
          <w:sz w:val="28"/>
          <w:szCs w:val="28"/>
        </w:rPr>
        <w:t>Федоров В.Д., Светухин А.М., 2007; Совцов С.А., Ревель-Муроз Ж.А., 2014</w:t>
      </w:r>
      <w:r w:rsidRPr="00580B35">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Некоторые хирурги рекомендуют определять уровень глюкозы крови и исследовать моч</w:t>
      </w:r>
      <w:r>
        <w:rPr>
          <w:sz w:val="28"/>
          <w:szCs w:val="28"/>
        </w:rPr>
        <w:t xml:space="preserve">у на ацетон каждые 30–45 минут </w:t>
      </w:r>
      <w:r w:rsidRPr="00580B35">
        <w:rPr>
          <w:sz w:val="28"/>
          <w:szCs w:val="28"/>
        </w:rPr>
        <w:t>(</w:t>
      </w:r>
      <w:r w:rsidRPr="00C5336B">
        <w:rPr>
          <w:sz w:val="28"/>
          <w:szCs w:val="28"/>
          <w:lang w:val="en-US"/>
        </w:rPr>
        <w:t>Olefsky</w:t>
      </w:r>
      <w:r>
        <w:rPr>
          <w:sz w:val="28"/>
          <w:szCs w:val="28"/>
        </w:rPr>
        <w:t xml:space="preserve"> </w:t>
      </w:r>
      <w:r w:rsidRPr="00C5336B">
        <w:rPr>
          <w:sz w:val="28"/>
          <w:szCs w:val="28"/>
          <w:lang w:val="en-US"/>
        </w:rPr>
        <w:t>J</w:t>
      </w:r>
      <w:r>
        <w:rPr>
          <w:sz w:val="28"/>
          <w:szCs w:val="28"/>
        </w:rPr>
        <w:t>.</w:t>
      </w:r>
      <w:r w:rsidRPr="00C5336B">
        <w:rPr>
          <w:sz w:val="28"/>
          <w:szCs w:val="28"/>
          <w:lang w:val="en-US"/>
        </w:rPr>
        <w:t>U</w:t>
      </w:r>
      <w:r w:rsidRPr="00C5336B">
        <w:rPr>
          <w:sz w:val="28"/>
          <w:szCs w:val="28"/>
        </w:rPr>
        <w:t xml:space="preserve">., </w:t>
      </w:r>
      <w:r w:rsidRPr="00C5336B">
        <w:rPr>
          <w:sz w:val="28"/>
          <w:szCs w:val="28"/>
          <w:lang w:val="en-US"/>
        </w:rPr>
        <w:t>Shervin</w:t>
      </w:r>
      <w:r>
        <w:rPr>
          <w:sz w:val="28"/>
          <w:szCs w:val="28"/>
        </w:rPr>
        <w:t xml:space="preserve"> </w:t>
      </w:r>
      <w:r w:rsidRPr="00C5336B">
        <w:rPr>
          <w:sz w:val="28"/>
          <w:szCs w:val="28"/>
          <w:lang w:val="en-US"/>
        </w:rPr>
        <w:t>R</w:t>
      </w:r>
      <w:r>
        <w:rPr>
          <w:sz w:val="28"/>
          <w:szCs w:val="28"/>
        </w:rPr>
        <w:t>.</w:t>
      </w:r>
      <w:r w:rsidRPr="00C5336B">
        <w:rPr>
          <w:sz w:val="28"/>
          <w:szCs w:val="28"/>
          <w:lang w:val="en-US"/>
        </w:rPr>
        <w:t>S</w:t>
      </w:r>
      <w:r>
        <w:rPr>
          <w:sz w:val="28"/>
          <w:szCs w:val="28"/>
        </w:rPr>
        <w:t>., 1985</w:t>
      </w:r>
      <w:r w:rsidRPr="00580B35">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Следует учитывать, что при гнойной патологии гипергликемия в пределах 11–13 ммоль/л наблюдается, в том числе при отсутствии сахарного диабета, особенно при распространенных формах воспалительного процесса и при сепсисе. В этом случае гипергликемия связана с усилением процессов гликогенолиза и глю</w:t>
      </w:r>
      <w:r>
        <w:rPr>
          <w:sz w:val="28"/>
          <w:szCs w:val="28"/>
        </w:rPr>
        <w:t xml:space="preserve">конеогенеза </w:t>
      </w:r>
      <w:r w:rsidRPr="0018520F">
        <w:rPr>
          <w:sz w:val="28"/>
          <w:szCs w:val="28"/>
        </w:rPr>
        <w:t>(</w:t>
      </w:r>
      <w:r>
        <w:rPr>
          <w:sz w:val="28"/>
          <w:szCs w:val="28"/>
        </w:rPr>
        <w:t>Завада Н.В. и др., 2003</w:t>
      </w:r>
      <w:r w:rsidRPr="0018520F">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Следует стремиться к максимально возможной компенсации сахарного диабета (менее 8–10 ммоль/л), однако операцию можно проводить при уровне гликемии 12–</w:t>
      </w:r>
      <w:r>
        <w:rPr>
          <w:sz w:val="28"/>
          <w:szCs w:val="28"/>
        </w:rPr>
        <w:t xml:space="preserve">13 ммоль/л </w:t>
      </w:r>
      <w:r w:rsidRPr="0018520F">
        <w:rPr>
          <w:sz w:val="28"/>
          <w:szCs w:val="28"/>
        </w:rPr>
        <w:t>(</w:t>
      </w:r>
      <w:r>
        <w:rPr>
          <w:sz w:val="28"/>
          <w:szCs w:val="28"/>
        </w:rPr>
        <w:t>Гельфанд Б.Р. и др., 2004; Совцов С.А., Ревель-Муроз Ж.А., 2014; Дедов И.И. и др., 2019</w:t>
      </w:r>
      <w:r w:rsidRPr="0018520F">
        <w:rPr>
          <w:sz w:val="28"/>
          <w:szCs w:val="28"/>
        </w:rPr>
        <w:t>)</w:t>
      </w:r>
      <w:r w:rsidRPr="00C5336B">
        <w:rPr>
          <w:sz w:val="28"/>
          <w:szCs w:val="28"/>
        </w:rPr>
        <w:t>. Гликемия более 13 ммоль/л угрожаема в плане развития осложнений, ее следует корректировать соответствующими дозами инсулина. Стремление к достижению нормогликемии может привести к гипогликем</w:t>
      </w:r>
      <w:r>
        <w:rPr>
          <w:sz w:val="28"/>
          <w:szCs w:val="28"/>
        </w:rPr>
        <w:t xml:space="preserve">ии и развитию комы </w:t>
      </w:r>
      <w:r w:rsidRPr="0018520F">
        <w:rPr>
          <w:sz w:val="28"/>
          <w:szCs w:val="28"/>
        </w:rPr>
        <w:t>(</w:t>
      </w:r>
      <w:r>
        <w:rPr>
          <w:sz w:val="28"/>
          <w:szCs w:val="28"/>
        </w:rPr>
        <w:t>Голицына Т.Ю., Чазова Т.Е., 2004; Совцов С.А., Ревель-Муроз Ж.А., 2014</w:t>
      </w:r>
      <w:r w:rsidRPr="0018520F">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 xml:space="preserve">Обоснованной является инсулинотерапия на фоне внутривенного введения 5%-го раствора глюкозы. Одновременно с контролем гликемии необходимо контролировать содержание электролитов, проводить инфузионную терапию, </w:t>
      </w:r>
      <w:r w:rsidRPr="00C5336B">
        <w:rPr>
          <w:sz w:val="28"/>
          <w:szCs w:val="28"/>
        </w:rPr>
        <w:lastRenderedPageBreak/>
        <w:t>направленную на регидратацию и дезинтоксикацию, устранение нарушений показа</w:t>
      </w:r>
      <w:r>
        <w:rPr>
          <w:sz w:val="28"/>
          <w:szCs w:val="28"/>
        </w:rPr>
        <w:t xml:space="preserve">телей гомеостаза </w:t>
      </w:r>
      <w:r w:rsidRPr="0018520F">
        <w:rPr>
          <w:sz w:val="28"/>
          <w:szCs w:val="28"/>
        </w:rPr>
        <w:t>(</w:t>
      </w:r>
      <w:r>
        <w:rPr>
          <w:sz w:val="28"/>
          <w:szCs w:val="28"/>
        </w:rPr>
        <w:t>Будаев А.П., 2001; Фомичев Е.В. и др., 2014; Дедов И.И. и др., 2019</w:t>
      </w:r>
      <w:r w:rsidRPr="0018520F">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Дозировка инсулина короткого действия в периоперационном и послеоперационном периодах подробно рассмотрен</w:t>
      </w:r>
      <w:r>
        <w:rPr>
          <w:sz w:val="28"/>
          <w:szCs w:val="28"/>
        </w:rPr>
        <w:t xml:space="preserve">а в соответствующей литературе </w:t>
      </w:r>
      <w:r w:rsidRPr="0018520F">
        <w:rPr>
          <w:sz w:val="28"/>
          <w:szCs w:val="28"/>
        </w:rPr>
        <w:t>(</w:t>
      </w:r>
      <w:r w:rsidRPr="00C5336B">
        <w:rPr>
          <w:sz w:val="28"/>
          <w:szCs w:val="28"/>
        </w:rPr>
        <w:t>Де</w:t>
      </w:r>
      <w:r>
        <w:rPr>
          <w:sz w:val="28"/>
          <w:szCs w:val="28"/>
        </w:rPr>
        <w:t>дов И.И. и др., 2019</w:t>
      </w:r>
      <w:r w:rsidRPr="0018520F">
        <w:rPr>
          <w:sz w:val="28"/>
          <w:szCs w:val="28"/>
        </w:rPr>
        <w:t>)</w:t>
      </w:r>
      <w:r w:rsidRPr="00C5336B">
        <w:rPr>
          <w:sz w:val="28"/>
          <w:szCs w:val="28"/>
        </w:rPr>
        <w:t>. Кроме того, больным с сахарным диабетом типа 1 необходимо назначение глюкозо-инсулино-калиевой смеси в периоперационном периоде под контролем г</w:t>
      </w:r>
      <w:r>
        <w:rPr>
          <w:sz w:val="28"/>
          <w:szCs w:val="28"/>
        </w:rPr>
        <w:t xml:space="preserve">ликемии и калиемии </w:t>
      </w:r>
      <w:r w:rsidRPr="0018520F">
        <w:rPr>
          <w:sz w:val="28"/>
          <w:szCs w:val="28"/>
        </w:rPr>
        <w:t>(</w:t>
      </w:r>
      <w:r>
        <w:rPr>
          <w:sz w:val="28"/>
          <w:szCs w:val="28"/>
        </w:rPr>
        <w:t>Голицына Т.Ю., Чазова Т.Е., 2004</w:t>
      </w:r>
      <w:r w:rsidRPr="0018520F">
        <w:rPr>
          <w:sz w:val="28"/>
          <w:szCs w:val="28"/>
        </w:rPr>
        <w:t>)</w:t>
      </w:r>
      <w:r w:rsidRPr="00C5336B">
        <w:rPr>
          <w:sz w:val="28"/>
          <w:szCs w:val="28"/>
        </w:rPr>
        <w:t xml:space="preserve">. </w:t>
      </w:r>
    </w:p>
    <w:p w:rsidR="00286780" w:rsidRPr="00C5336B" w:rsidRDefault="00286780" w:rsidP="00C5336B">
      <w:pPr>
        <w:spacing w:line="360" w:lineRule="auto"/>
        <w:ind w:firstLine="709"/>
        <w:jc w:val="both"/>
        <w:rPr>
          <w:sz w:val="28"/>
          <w:szCs w:val="28"/>
        </w:rPr>
      </w:pPr>
      <w:r w:rsidRPr="00C5336B">
        <w:rPr>
          <w:sz w:val="28"/>
          <w:szCs w:val="28"/>
        </w:rPr>
        <w:t>В доступной литературе обнаружены единичные работы, посвященные вопросам предоперационной подготовке больных острой одонтогенной инфекцией, протекающей на фо</w:t>
      </w:r>
      <w:r>
        <w:rPr>
          <w:sz w:val="28"/>
          <w:szCs w:val="28"/>
        </w:rPr>
        <w:t xml:space="preserve">не сахарного диабета </w:t>
      </w:r>
      <w:r w:rsidRPr="0018520F">
        <w:rPr>
          <w:sz w:val="28"/>
          <w:szCs w:val="28"/>
        </w:rPr>
        <w:t>(</w:t>
      </w:r>
      <w:r>
        <w:rPr>
          <w:sz w:val="28"/>
          <w:szCs w:val="28"/>
        </w:rPr>
        <w:t>Будаев А.П., 2001; Фомичев Е.</w:t>
      </w:r>
      <w:r w:rsidRPr="00C5336B">
        <w:rPr>
          <w:sz w:val="28"/>
          <w:szCs w:val="28"/>
        </w:rPr>
        <w:t>В.</w:t>
      </w:r>
      <w:r>
        <w:rPr>
          <w:sz w:val="28"/>
          <w:szCs w:val="28"/>
        </w:rPr>
        <w:t xml:space="preserve"> и др., 2014</w:t>
      </w:r>
      <w:r w:rsidRPr="0018520F">
        <w:rPr>
          <w:sz w:val="28"/>
          <w:szCs w:val="28"/>
        </w:rPr>
        <w:t>)</w:t>
      </w:r>
      <w:r w:rsidRPr="00C5336B">
        <w:rPr>
          <w:sz w:val="28"/>
          <w:szCs w:val="28"/>
        </w:rPr>
        <w:t>. Детализированных исследований, посвященных данному вопросу и учитывающих отличительные этиологические, патогенетические и клинические особенности воспалительных процессов челюстно-лицевой области и шеи, в соответствующих литературных источниках обнаружено не было.</w:t>
      </w:r>
    </w:p>
    <w:p w:rsidR="00286780" w:rsidRPr="00680ACF" w:rsidRDefault="00286780" w:rsidP="00C5336B">
      <w:pPr>
        <w:spacing w:line="360" w:lineRule="auto"/>
        <w:ind w:firstLine="709"/>
        <w:jc w:val="both"/>
        <w:rPr>
          <w:spacing w:val="-4"/>
          <w:sz w:val="28"/>
          <w:szCs w:val="28"/>
        </w:rPr>
      </w:pPr>
      <w:r w:rsidRPr="00680ACF">
        <w:rPr>
          <w:spacing w:val="-4"/>
          <w:sz w:val="28"/>
          <w:szCs w:val="28"/>
        </w:rPr>
        <w:t>Схемы предоперационной подготовки при экстренной и плановой хирургической патологии, сопровождающейся фоновой ишемической болезнью сердца, синдромом Лериша, артериальной гипертензией, приводятся в соответствующих научных работах. В частности, перед некардиохирургическими вмешательствами больным ишемической болезнью сердца рекомендовано применение кардиоселективных р-блокаторов, обеспечивающих стабилизацию гемодинамики (атенолол), а также нитратов пролонг</w:t>
      </w:r>
      <w:r>
        <w:rPr>
          <w:spacing w:val="-4"/>
          <w:sz w:val="28"/>
          <w:szCs w:val="28"/>
        </w:rPr>
        <w:t xml:space="preserve">ированного действия </w:t>
      </w:r>
      <w:r w:rsidRPr="0018520F">
        <w:rPr>
          <w:spacing w:val="-4"/>
          <w:sz w:val="28"/>
          <w:szCs w:val="28"/>
        </w:rPr>
        <w:t>(</w:t>
      </w:r>
      <w:r>
        <w:rPr>
          <w:spacing w:val="-4"/>
          <w:sz w:val="28"/>
          <w:szCs w:val="28"/>
        </w:rPr>
        <w:t>Прощаев К.И., 2000; Мурашов А.В., 2002; Крюкова Л.</w:t>
      </w:r>
      <w:r w:rsidRPr="00680ACF">
        <w:rPr>
          <w:spacing w:val="-4"/>
          <w:sz w:val="28"/>
          <w:szCs w:val="28"/>
        </w:rPr>
        <w:t>М., 2003; Обухова Т.</w:t>
      </w:r>
      <w:r>
        <w:rPr>
          <w:spacing w:val="-4"/>
          <w:sz w:val="28"/>
          <w:szCs w:val="28"/>
        </w:rPr>
        <w:t>В., 2004; Косаченко В.М., 2005</w:t>
      </w:r>
      <w:r w:rsidRPr="0018520F">
        <w:rPr>
          <w:spacing w:val="-4"/>
          <w:sz w:val="28"/>
          <w:szCs w:val="28"/>
        </w:rPr>
        <w:t>)</w:t>
      </w:r>
      <w:r w:rsidRPr="00680ACF">
        <w:rPr>
          <w:spacing w:val="-4"/>
          <w:sz w:val="28"/>
          <w:szCs w:val="28"/>
        </w:rPr>
        <w:t xml:space="preserve">. </w:t>
      </w:r>
    </w:p>
    <w:p w:rsidR="00286780" w:rsidRPr="00C5336B" w:rsidRDefault="00286780" w:rsidP="00C5336B">
      <w:pPr>
        <w:spacing w:line="360" w:lineRule="auto"/>
        <w:ind w:firstLine="709"/>
        <w:jc w:val="both"/>
        <w:rPr>
          <w:sz w:val="28"/>
          <w:szCs w:val="28"/>
        </w:rPr>
      </w:pPr>
      <w:r w:rsidRPr="00C5336B">
        <w:rPr>
          <w:sz w:val="28"/>
          <w:szCs w:val="28"/>
        </w:rPr>
        <w:t xml:space="preserve">Пациентам с артериальной гипертензией перед экстренной хирургической операцией показано применение диуретиков, антагонистов кальция </w:t>
      </w:r>
      <w:r w:rsidRPr="00C5336B">
        <w:rPr>
          <w:sz w:val="28"/>
          <w:szCs w:val="28"/>
          <w:lang w:val="en-US"/>
        </w:rPr>
        <w:t>III</w:t>
      </w:r>
      <w:r w:rsidRPr="00C5336B">
        <w:rPr>
          <w:sz w:val="28"/>
          <w:szCs w:val="28"/>
        </w:rPr>
        <w:t xml:space="preserve"> поколения. Для премедикации более целесообразно использовать холинолитики, антигистаминные препараты, бензодиазепины, наркотические аналгетики и препараты, обладающие антигипер</w:t>
      </w:r>
      <w:r>
        <w:rPr>
          <w:sz w:val="28"/>
          <w:szCs w:val="28"/>
        </w:rPr>
        <w:t xml:space="preserve">тензивным действием </w:t>
      </w:r>
      <w:r w:rsidRPr="0018520F">
        <w:rPr>
          <w:sz w:val="28"/>
          <w:szCs w:val="28"/>
        </w:rPr>
        <w:t>(</w:t>
      </w:r>
      <w:r>
        <w:rPr>
          <w:sz w:val="28"/>
          <w:szCs w:val="28"/>
        </w:rPr>
        <w:t>Обухова Т.В., 2004</w:t>
      </w:r>
      <w:r w:rsidRPr="0018520F">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Больные различными формами ХОБЛ должны получить соответствующую предоперационную подготовку перед оперативным вмешательством. Для этой це</w:t>
      </w:r>
      <w:r w:rsidRPr="00C5336B">
        <w:rPr>
          <w:sz w:val="28"/>
          <w:szCs w:val="28"/>
        </w:rPr>
        <w:lastRenderedPageBreak/>
        <w:t>ли используют пероральное, внутривенное и ингаляционное введение бронхолитиков (антихолинэргических препаратов, метилксантинов, бета-2-агонистов), глюкокортикостероидов, муколитиков,</w:t>
      </w:r>
      <w:r>
        <w:rPr>
          <w:sz w:val="28"/>
          <w:szCs w:val="28"/>
        </w:rPr>
        <w:t xml:space="preserve"> М-холинолитиков, теофиллинов </w:t>
      </w:r>
      <w:r w:rsidRPr="0018520F">
        <w:rPr>
          <w:sz w:val="28"/>
          <w:szCs w:val="28"/>
        </w:rPr>
        <w:t>(</w:t>
      </w:r>
      <w:r w:rsidRPr="00C5336B">
        <w:rPr>
          <w:sz w:val="28"/>
          <w:szCs w:val="28"/>
        </w:rPr>
        <w:t>Лихван</w:t>
      </w:r>
      <w:r>
        <w:rPr>
          <w:sz w:val="28"/>
          <w:szCs w:val="28"/>
        </w:rPr>
        <w:t>цев В.В., 1998</w:t>
      </w:r>
      <w:r w:rsidRPr="0018520F">
        <w:rPr>
          <w:sz w:val="28"/>
          <w:szCs w:val="28"/>
        </w:rPr>
        <w:t>)</w:t>
      </w:r>
      <w:r w:rsidRPr="00C5336B">
        <w:rPr>
          <w:sz w:val="28"/>
          <w:szCs w:val="28"/>
        </w:rPr>
        <w:t>. Возможны ультразвуковые ингаляции 1%</w:t>
      </w:r>
      <w:r>
        <w:rPr>
          <w:sz w:val="28"/>
          <w:szCs w:val="28"/>
        </w:rPr>
        <w:t>-го</w:t>
      </w:r>
      <w:r w:rsidRPr="00C5336B">
        <w:rPr>
          <w:sz w:val="28"/>
          <w:szCs w:val="28"/>
        </w:rPr>
        <w:t xml:space="preserve"> раствора фуросемида за 30 минут до опер</w:t>
      </w:r>
      <w:r>
        <w:rPr>
          <w:sz w:val="28"/>
          <w:szCs w:val="28"/>
        </w:rPr>
        <w:t xml:space="preserve">ации в дозе 2 мл </w:t>
      </w:r>
      <w:r w:rsidRPr="0018520F">
        <w:rPr>
          <w:sz w:val="28"/>
          <w:szCs w:val="28"/>
        </w:rPr>
        <w:t>(</w:t>
      </w:r>
      <w:r>
        <w:rPr>
          <w:sz w:val="28"/>
          <w:szCs w:val="28"/>
        </w:rPr>
        <w:t>Шидловский А.С., Мурадов А.</w:t>
      </w:r>
      <w:r w:rsidRPr="00C5336B">
        <w:rPr>
          <w:sz w:val="28"/>
          <w:szCs w:val="28"/>
        </w:rPr>
        <w:t>Б</w:t>
      </w:r>
      <w:r>
        <w:rPr>
          <w:sz w:val="28"/>
          <w:szCs w:val="28"/>
        </w:rPr>
        <w:t>., пат. № 2351324 от 16.04.2007</w:t>
      </w:r>
      <w:r w:rsidRPr="00C82F8D">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 xml:space="preserve">Бронхиальная астма </w:t>
      </w:r>
      <w:r>
        <w:rPr>
          <w:sz w:val="28"/>
          <w:szCs w:val="28"/>
        </w:rPr>
        <w:t>также</w:t>
      </w:r>
      <w:r w:rsidRPr="00C5336B">
        <w:rPr>
          <w:sz w:val="28"/>
          <w:szCs w:val="28"/>
        </w:rPr>
        <w:t xml:space="preserve"> является патологией, требующей предоперационной подготовки. Показано применение небулайзерной терапии будесонидом, прием поддерживающих доз гормональных препаратов, мониторинг функций внешнего дыхания в перио</w:t>
      </w:r>
      <w:r>
        <w:rPr>
          <w:sz w:val="28"/>
          <w:szCs w:val="28"/>
        </w:rPr>
        <w:t xml:space="preserve">перационном периоде </w:t>
      </w:r>
      <w:r w:rsidRPr="0018520F">
        <w:rPr>
          <w:sz w:val="28"/>
          <w:szCs w:val="28"/>
        </w:rPr>
        <w:t>(</w:t>
      </w:r>
      <w:r>
        <w:rPr>
          <w:sz w:val="28"/>
          <w:szCs w:val="28"/>
        </w:rPr>
        <w:t>Турчина М.С., 2011</w:t>
      </w:r>
      <w:r w:rsidRPr="0018520F">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Особую группу пациентов составляют больные с манифестировавшей почечно-печеночной недостаточности. Изменения печени и почек происходят, как правило, содружественно. Для проведения хирургического вмешательства данному контингенту больных требуется комплексное обследование, включающее оценку синдрома эндогенной интоксикации, коагулопатии, печеночно-клеточной недостаточности, цитолиза, холестаза, белково-энергетических и электролитных изменений. Практические мероприятия должны включать инфузию растворов с целью дезинтоксикации, устранение водно-электролитных нарушений, энтеросорбцию, кишечный лаваж, экстракорпоральную</w:t>
      </w:r>
      <w:r>
        <w:rPr>
          <w:sz w:val="28"/>
          <w:szCs w:val="28"/>
        </w:rPr>
        <w:t xml:space="preserve"> дезинтоксикацию по показаниям </w:t>
      </w:r>
      <w:r w:rsidRPr="0018520F">
        <w:rPr>
          <w:sz w:val="28"/>
          <w:szCs w:val="28"/>
        </w:rPr>
        <w:t>(</w:t>
      </w:r>
      <w:r w:rsidRPr="00C5336B">
        <w:rPr>
          <w:sz w:val="28"/>
          <w:szCs w:val="28"/>
        </w:rPr>
        <w:t>Лихв</w:t>
      </w:r>
      <w:r>
        <w:rPr>
          <w:sz w:val="28"/>
          <w:szCs w:val="28"/>
        </w:rPr>
        <w:t>анцев В.В., 1998; Трухманов Р.С., 2005; Климович И.</w:t>
      </w:r>
      <w:r w:rsidRPr="00C5336B">
        <w:rPr>
          <w:sz w:val="28"/>
          <w:szCs w:val="28"/>
        </w:rPr>
        <w:t>Н., 20</w:t>
      </w:r>
      <w:r>
        <w:rPr>
          <w:sz w:val="28"/>
          <w:szCs w:val="28"/>
        </w:rPr>
        <w:t>07; Костюченко М.В., 2012</w:t>
      </w:r>
      <w:r w:rsidRPr="0018520F">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Исследований, посвященных вопросам предоперационной подготовки при гнойно-воспалительных процессах челюстно-лицевой области при наличии фоновых ИБС, артериальной гипертензии, ХОБЛ, бронхиальной астмы, в доступных литературных источниках обнаружено не было.</w:t>
      </w:r>
    </w:p>
    <w:p w:rsidR="00286780" w:rsidRPr="00C5336B" w:rsidRDefault="00286780" w:rsidP="00C5336B">
      <w:pPr>
        <w:spacing w:line="360" w:lineRule="auto"/>
        <w:ind w:firstLine="709"/>
        <w:jc w:val="both"/>
        <w:rPr>
          <w:sz w:val="28"/>
          <w:szCs w:val="28"/>
        </w:rPr>
      </w:pPr>
      <w:r w:rsidRPr="00C5336B">
        <w:rPr>
          <w:sz w:val="28"/>
          <w:szCs w:val="28"/>
        </w:rPr>
        <w:t xml:space="preserve">Вне зависимости от наличия или отсутствия фоновой патологии, лицам пожилого и старческого возраста перед оперативным лечением рекомендуется обязательное проведение инфузионно-трансфузионной терапии волемических нарушений с учетом стресс-нормы геронтологических больных, определение лактата крови и оценка тяжести состояния, а </w:t>
      </w:r>
      <w:r>
        <w:rPr>
          <w:sz w:val="28"/>
          <w:szCs w:val="28"/>
        </w:rPr>
        <w:t>также</w:t>
      </w:r>
      <w:r w:rsidRPr="00C5336B">
        <w:rPr>
          <w:sz w:val="28"/>
          <w:szCs w:val="28"/>
        </w:rPr>
        <w:t xml:space="preserve"> введение бензодиазепинов, антигиста</w:t>
      </w:r>
      <w:r w:rsidRPr="00C5336B">
        <w:rPr>
          <w:sz w:val="28"/>
          <w:szCs w:val="28"/>
        </w:rPr>
        <w:lastRenderedPageBreak/>
        <w:t>минных средств в дозировке 50% от общепринятых доз. При этом критериями достаточности качества подготовки являются: гемоглобин более 90 г/л, ЦВД более 4 см водного столба, общий белок более 65 г/л. Следует учитывать высокую чувствительность геронтологических пациентов к кровопотере, гиповолемии и стрессу. Для профилактики послеоперационных легочных осложнений, волемических нарушений возможно использование антигипоксантов («Бемитил»), оксигенации и мероприятий, направленных на оптимизацию дренажной функции лимфатиче</w:t>
      </w:r>
      <w:r>
        <w:rPr>
          <w:sz w:val="28"/>
          <w:szCs w:val="28"/>
        </w:rPr>
        <w:t xml:space="preserve">ской системы легких </w:t>
      </w:r>
      <w:r w:rsidRPr="0018520F">
        <w:rPr>
          <w:sz w:val="28"/>
          <w:szCs w:val="28"/>
        </w:rPr>
        <w:t>(</w:t>
      </w:r>
      <w:r>
        <w:rPr>
          <w:sz w:val="28"/>
          <w:szCs w:val="28"/>
        </w:rPr>
        <w:t>Тесфайе В.А., 2008; Шарипов Р.Х., 2010</w:t>
      </w:r>
      <w:r w:rsidRPr="0018520F">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 xml:space="preserve">В целом, обобщая данный материал, необходимо отметить существование большого количества вариантов предоперационной подготовки при различных типах фоновой патологии. Данная проблема достаточно широко представлена в литературных источниках, посвященных хирургическим заболеваниям, методам анестезиологического пособия и реанимационной практики. </w:t>
      </w:r>
    </w:p>
    <w:p w:rsidR="00286780" w:rsidRPr="00C5336B" w:rsidRDefault="00286780" w:rsidP="00C5336B">
      <w:pPr>
        <w:spacing w:line="360" w:lineRule="auto"/>
        <w:ind w:firstLine="709"/>
        <w:jc w:val="both"/>
        <w:rPr>
          <w:sz w:val="28"/>
          <w:szCs w:val="28"/>
        </w:rPr>
      </w:pPr>
      <w:r w:rsidRPr="00C5336B">
        <w:rPr>
          <w:sz w:val="28"/>
          <w:szCs w:val="28"/>
        </w:rPr>
        <w:t>В то же время, в литературе стоматологической направленности и экстренной челюстно-лицевой хирургии, соответствующие рекомендации достаточного отражения в настоящее время не находят.</w:t>
      </w:r>
    </w:p>
    <w:p w:rsidR="00286780" w:rsidRPr="00C5336B" w:rsidRDefault="00286780" w:rsidP="00C5336B">
      <w:pPr>
        <w:spacing w:line="360" w:lineRule="auto"/>
        <w:ind w:firstLine="709"/>
        <w:jc w:val="both"/>
        <w:rPr>
          <w:sz w:val="28"/>
          <w:szCs w:val="28"/>
        </w:rPr>
      </w:pPr>
      <w:r w:rsidRPr="00C5336B">
        <w:rPr>
          <w:b/>
          <w:sz w:val="28"/>
          <w:szCs w:val="28"/>
        </w:rPr>
        <w:t>Оперативное лечение</w:t>
      </w:r>
      <w:r w:rsidRPr="00C5336B">
        <w:rPr>
          <w:sz w:val="28"/>
          <w:szCs w:val="28"/>
        </w:rPr>
        <w:t xml:space="preserve">. Оперативное лечение является одним из важнейших компонентов комплексного лечения гнойно-воспалительных процессов челюстно-лицевой области и шеи </w:t>
      </w:r>
      <w:r w:rsidRPr="0018520F">
        <w:rPr>
          <w:sz w:val="28"/>
          <w:szCs w:val="28"/>
        </w:rPr>
        <w:t>(</w:t>
      </w:r>
      <w:r>
        <w:rPr>
          <w:sz w:val="28"/>
          <w:szCs w:val="28"/>
          <w:shd w:val="clear" w:color="auto" w:fill="FFFFFF"/>
        </w:rPr>
        <w:t>Бажанов H.H. и др., 1985; Абдулаев Ш.Ю. и др., 1988; Ходжаева К.</w:t>
      </w:r>
      <w:r w:rsidRPr="00C5336B">
        <w:rPr>
          <w:sz w:val="28"/>
          <w:szCs w:val="28"/>
          <w:shd w:val="clear" w:color="auto" w:fill="FFFFFF"/>
        </w:rPr>
        <w:t xml:space="preserve">Х. и др., 2000; Лукьяненко В.И., 2005; </w:t>
      </w:r>
      <w:r w:rsidRPr="00C5336B">
        <w:rPr>
          <w:sz w:val="28"/>
          <w:szCs w:val="28"/>
        </w:rPr>
        <w:t xml:space="preserve">Славинский </w:t>
      </w:r>
      <w:r>
        <w:rPr>
          <w:sz w:val="28"/>
          <w:szCs w:val="28"/>
        </w:rPr>
        <w:t>В.</w:t>
      </w:r>
      <w:r w:rsidRPr="00C5336B">
        <w:rPr>
          <w:sz w:val="28"/>
          <w:szCs w:val="28"/>
        </w:rPr>
        <w:t xml:space="preserve">Г., 2005; </w:t>
      </w:r>
      <w:r w:rsidRPr="00C5336B">
        <w:rPr>
          <w:sz w:val="28"/>
          <w:szCs w:val="28"/>
          <w:shd w:val="clear" w:color="auto" w:fill="FFFFFF"/>
        </w:rPr>
        <w:t>Дадыкин В.</w:t>
      </w:r>
      <w:r>
        <w:rPr>
          <w:sz w:val="28"/>
          <w:szCs w:val="28"/>
          <w:shd w:val="clear" w:color="auto" w:fill="FFFFFF"/>
        </w:rPr>
        <w:t>Ф., Ковшов В.В., 2006; Гук A.</w:t>
      </w:r>
      <w:r w:rsidRPr="00C5336B">
        <w:rPr>
          <w:sz w:val="28"/>
          <w:szCs w:val="28"/>
          <w:shd w:val="clear" w:color="auto" w:fill="FFFFFF"/>
        </w:rPr>
        <w:t xml:space="preserve">C., 2007; </w:t>
      </w:r>
      <w:r>
        <w:rPr>
          <w:sz w:val="28"/>
          <w:szCs w:val="28"/>
        </w:rPr>
        <w:t>Глинник А.</w:t>
      </w:r>
      <w:r w:rsidRPr="00C5336B">
        <w:rPr>
          <w:sz w:val="28"/>
          <w:szCs w:val="28"/>
        </w:rPr>
        <w:t>В. и др., 201</w:t>
      </w:r>
      <w:r>
        <w:rPr>
          <w:sz w:val="28"/>
          <w:szCs w:val="28"/>
        </w:rPr>
        <w:t>2</w:t>
      </w:r>
      <w:r w:rsidRPr="0018520F">
        <w:rPr>
          <w:sz w:val="28"/>
          <w:szCs w:val="28"/>
        </w:rPr>
        <w:t>)</w:t>
      </w:r>
      <w:r w:rsidRPr="00C5336B">
        <w:rPr>
          <w:sz w:val="28"/>
          <w:szCs w:val="28"/>
        </w:rPr>
        <w:t>.</w:t>
      </w:r>
    </w:p>
    <w:p w:rsidR="00286780" w:rsidRPr="00BE4E40" w:rsidRDefault="00286780" w:rsidP="00C5336B">
      <w:pPr>
        <w:spacing w:line="360" w:lineRule="auto"/>
        <w:ind w:firstLine="709"/>
        <w:jc w:val="both"/>
        <w:rPr>
          <w:spacing w:val="-2"/>
          <w:sz w:val="28"/>
          <w:szCs w:val="28"/>
        </w:rPr>
      </w:pPr>
      <w:r w:rsidRPr="00BE4E40">
        <w:rPr>
          <w:spacing w:val="-2"/>
          <w:sz w:val="28"/>
          <w:szCs w:val="28"/>
        </w:rPr>
        <w:t xml:space="preserve">Оперативное лечение должно выполняться таким доступом и в таком объеме, который обеспечит максимальную радикальность </w:t>
      </w:r>
      <w:r>
        <w:rPr>
          <w:spacing w:val="-2"/>
          <w:sz w:val="28"/>
          <w:szCs w:val="28"/>
        </w:rPr>
        <w:t xml:space="preserve">и будет исчерпывающим </w:t>
      </w:r>
      <w:r w:rsidRPr="0018520F">
        <w:rPr>
          <w:spacing w:val="-2"/>
          <w:sz w:val="28"/>
          <w:szCs w:val="28"/>
        </w:rPr>
        <w:t>(</w:t>
      </w:r>
      <w:r>
        <w:rPr>
          <w:spacing w:val="-2"/>
          <w:sz w:val="28"/>
          <w:szCs w:val="28"/>
        </w:rPr>
        <w:t>Губин М.</w:t>
      </w:r>
      <w:r w:rsidRPr="00BE4E40">
        <w:rPr>
          <w:spacing w:val="-2"/>
          <w:sz w:val="28"/>
          <w:szCs w:val="28"/>
        </w:rPr>
        <w:t xml:space="preserve">А., 2013, 2006, 2004, 2003, 1987; </w:t>
      </w:r>
      <w:r>
        <w:rPr>
          <w:spacing w:val="-2"/>
          <w:sz w:val="28"/>
          <w:szCs w:val="28"/>
          <w:shd w:val="clear" w:color="auto" w:fill="FFFFFF"/>
        </w:rPr>
        <w:t>Захарова Г.Н., Булкин В.</w:t>
      </w:r>
      <w:r w:rsidRPr="00BE4E40">
        <w:rPr>
          <w:spacing w:val="-2"/>
          <w:sz w:val="28"/>
          <w:szCs w:val="28"/>
          <w:shd w:val="clear" w:color="auto" w:fill="FFFFFF"/>
        </w:rPr>
        <w:t>А., 2003;</w:t>
      </w:r>
      <w:r>
        <w:rPr>
          <w:spacing w:val="-2"/>
          <w:sz w:val="28"/>
          <w:szCs w:val="28"/>
        </w:rPr>
        <w:t xml:space="preserve"> Будаев А.П., 2001; Григорьев Е.Г., Коган А.С., 2000; Харитонов Ю.М., 2011, 1999</w:t>
      </w:r>
      <w:r w:rsidRPr="0018520F">
        <w:rPr>
          <w:spacing w:val="-2"/>
          <w:sz w:val="28"/>
          <w:szCs w:val="28"/>
        </w:rPr>
        <w:t>)</w:t>
      </w:r>
      <w:r w:rsidRPr="00BE4E40">
        <w:rPr>
          <w:spacing w:val="-2"/>
          <w:sz w:val="28"/>
          <w:szCs w:val="28"/>
        </w:rPr>
        <w:t xml:space="preserve">. </w:t>
      </w:r>
    </w:p>
    <w:p w:rsidR="00286780" w:rsidRPr="00C5336B" w:rsidRDefault="00286780" w:rsidP="00C5336B">
      <w:pPr>
        <w:spacing w:line="360" w:lineRule="auto"/>
        <w:ind w:firstLine="709"/>
        <w:jc w:val="both"/>
        <w:rPr>
          <w:sz w:val="28"/>
          <w:szCs w:val="28"/>
        </w:rPr>
      </w:pPr>
      <w:r w:rsidRPr="00C5336B">
        <w:rPr>
          <w:sz w:val="28"/>
          <w:szCs w:val="28"/>
        </w:rPr>
        <w:t>Критериями радикальности оперативного лечения являются:</w:t>
      </w:r>
    </w:p>
    <w:p w:rsidR="00286780" w:rsidRPr="00C5336B" w:rsidRDefault="00286780" w:rsidP="00C5336B">
      <w:pPr>
        <w:spacing w:line="360" w:lineRule="auto"/>
        <w:ind w:firstLine="709"/>
        <w:jc w:val="both"/>
        <w:rPr>
          <w:sz w:val="28"/>
          <w:szCs w:val="28"/>
        </w:rPr>
      </w:pPr>
      <w:r w:rsidRPr="00C5336B">
        <w:rPr>
          <w:sz w:val="28"/>
          <w:szCs w:val="28"/>
        </w:rPr>
        <w:t>«– гарантированная ликвидация первичного одонтогенного источника инфицирования;</w:t>
      </w:r>
    </w:p>
    <w:p w:rsidR="00286780" w:rsidRPr="00C5336B" w:rsidRDefault="00286780" w:rsidP="00C5336B">
      <w:pPr>
        <w:spacing w:line="360" w:lineRule="auto"/>
        <w:ind w:firstLine="709"/>
        <w:jc w:val="both"/>
        <w:rPr>
          <w:sz w:val="28"/>
          <w:szCs w:val="28"/>
        </w:rPr>
      </w:pPr>
      <w:r w:rsidRPr="00C5336B">
        <w:rPr>
          <w:sz w:val="28"/>
          <w:szCs w:val="28"/>
        </w:rPr>
        <w:lastRenderedPageBreak/>
        <w:t>– использование доступов, обеспечивающих исчерпывающую ревизию всех вовлеченных в воспалительный процесс клетчаточных пространств лица и шеи, гарантированное отсутствие невскрытых гнойных очагов;</w:t>
      </w:r>
    </w:p>
    <w:p w:rsidR="00286780" w:rsidRPr="00C5336B" w:rsidRDefault="00286780" w:rsidP="00C5336B">
      <w:pPr>
        <w:spacing w:line="360" w:lineRule="auto"/>
        <w:ind w:firstLine="709"/>
        <w:jc w:val="both"/>
        <w:rPr>
          <w:sz w:val="28"/>
          <w:szCs w:val="28"/>
        </w:rPr>
      </w:pPr>
      <w:r w:rsidRPr="00C5336B">
        <w:rPr>
          <w:sz w:val="28"/>
          <w:szCs w:val="28"/>
        </w:rPr>
        <w:t>– ревизия раны должна включать определение характера воспалительной реакции, границ и глубины распространения воспалительного процесса;</w:t>
      </w:r>
    </w:p>
    <w:p w:rsidR="00286780" w:rsidRPr="00C5336B" w:rsidRDefault="00286780" w:rsidP="00C5336B">
      <w:pPr>
        <w:spacing w:line="360" w:lineRule="auto"/>
        <w:ind w:firstLine="709"/>
        <w:jc w:val="both"/>
        <w:rPr>
          <w:sz w:val="28"/>
          <w:szCs w:val="28"/>
        </w:rPr>
      </w:pPr>
      <w:r w:rsidRPr="00C5336B">
        <w:rPr>
          <w:sz w:val="28"/>
          <w:szCs w:val="28"/>
        </w:rPr>
        <w:t>– у больных с проявлениями анаэробной неклостридиальной инфекции хирургическое лечение должно проводиться с широким отслаиванием подкожной жировой клетчатки, рассечением фасций, мышечных массивов, включать обязательные некрэктомии и адекватное дренирование с последующим раневым диализом в труднодоступных зонах;</w:t>
      </w:r>
    </w:p>
    <w:p w:rsidR="00286780" w:rsidRPr="00C5336B" w:rsidRDefault="00286780" w:rsidP="00C5336B">
      <w:pPr>
        <w:spacing w:line="360" w:lineRule="auto"/>
        <w:ind w:firstLine="709"/>
        <w:jc w:val="both"/>
        <w:rPr>
          <w:sz w:val="28"/>
          <w:szCs w:val="28"/>
        </w:rPr>
      </w:pPr>
      <w:r w:rsidRPr="00C5336B">
        <w:rPr>
          <w:sz w:val="28"/>
          <w:szCs w:val="28"/>
        </w:rPr>
        <w:t>– выбор хирургического доступа должен обеспечить не только максимальное раскрытие раны, но и возможность полноценного лечения с проведением этапных некрэктомий и раневого диализа;</w:t>
      </w:r>
    </w:p>
    <w:p w:rsidR="00286780" w:rsidRPr="00C5336B" w:rsidRDefault="00286780" w:rsidP="00C5336B">
      <w:pPr>
        <w:spacing w:line="360" w:lineRule="auto"/>
        <w:ind w:firstLine="709"/>
        <w:jc w:val="both"/>
        <w:rPr>
          <w:sz w:val="28"/>
          <w:szCs w:val="28"/>
        </w:rPr>
      </w:pPr>
      <w:r w:rsidRPr="00C5336B">
        <w:rPr>
          <w:sz w:val="28"/>
          <w:szCs w:val="28"/>
        </w:rPr>
        <w:t>– проведение широких и множественных разрезов не должно лимитироваться опасением образования значительны</w:t>
      </w:r>
      <w:r>
        <w:rPr>
          <w:sz w:val="28"/>
          <w:szCs w:val="28"/>
        </w:rPr>
        <w:t xml:space="preserve">х дефектов тканей» </w:t>
      </w:r>
      <w:r w:rsidRPr="0018520F">
        <w:rPr>
          <w:sz w:val="28"/>
          <w:szCs w:val="28"/>
        </w:rPr>
        <w:t>(</w:t>
      </w:r>
      <w:r>
        <w:rPr>
          <w:sz w:val="28"/>
          <w:szCs w:val="28"/>
        </w:rPr>
        <w:t>Оганесян А.А. и др., 2011; Губин М.</w:t>
      </w:r>
      <w:r w:rsidRPr="00C5336B">
        <w:rPr>
          <w:sz w:val="28"/>
          <w:szCs w:val="28"/>
        </w:rPr>
        <w:t>А</w:t>
      </w:r>
      <w:r>
        <w:rPr>
          <w:sz w:val="28"/>
          <w:szCs w:val="28"/>
        </w:rPr>
        <w:t>., 2013, 2006, 2004, 2003, 1987</w:t>
      </w:r>
      <w:r w:rsidRPr="0018520F">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Оперативные доступы и методы, применяемые для лечения гнойно-воспалительных процессов челюстно-лицевой области и шеи, подробно изложены в соответствующих руководст</w:t>
      </w:r>
      <w:r>
        <w:rPr>
          <w:sz w:val="28"/>
          <w:szCs w:val="28"/>
        </w:rPr>
        <w:t xml:space="preserve">вах и монографиях </w:t>
      </w:r>
      <w:r w:rsidRPr="0018520F">
        <w:rPr>
          <w:sz w:val="28"/>
          <w:szCs w:val="28"/>
        </w:rPr>
        <w:t>(</w:t>
      </w:r>
      <w:r>
        <w:rPr>
          <w:sz w:val="28"/>
          <w:szCs w:val="28"/>
        </w:rPr>
        <w:t>Большаков О.</w:t>
      </w:r>
      <w:r w:rsidRPr="00C5336B">
        <w:rPr>
          <w:sz w:val="28"/>
          <w:szCs w:val="28"/>
        </w:rPr>
        <w:t>П</w:t>
      </w:r>
      <w:r>
        <w:rPr>
          <w:sz w:val="28"/>
          <w:szCs w:val="28"/>
        </w:rPr>
        <w:t>.</w:t>
      </w:r>
      <w:r w:rsidRPr="00C5336B">
        <w:rPr>
          <w:sz w:val="28"/>
          <w:szCs w:val="28"/>
        </w:rPr>
        <w:t>, 2001; Соловь</w:t>
      </w:r>
      <w:r>
        <w:rPr>
          <w:sz w:val="28"/>
          <w:szCs w:val="28"/>
        </w:rPr>
        <w:t>ев М.</w:t>
      </w:r>
      <w:r w:rsidRPr="00C5336B">
        <w:rPr>
          <w:sz w:val="28"/>
          <w:szCs w:val="28"/>
        </w:rPr>
        <w:t>М., Шаргородс</w:t>
      </w:r>
      <w:r>
        <w:rPr>
          <w:sz w:val="28"/>
          <w:szCs w:val="28"/>
        </w:rPr>
        <w:t>кий А.Г., 2001; Робустова Т.Г., 2003; Губин М.А. и др., 2011; Соловьев М.М. и др., 2016</w:t>
      </w:r>
      <w:r w:rsidRPr="0018520F">
        <w:rPr>
          <w:sz w:val="28"/>
          <w:szCs w:val="28"/>
        </w:rPr>
        <w:t>)</w:t>
      </w:r>
      <w:r w:rsidRPr="00C5336B">
        <w:rPr>
          <w:sz w:val="28"/>
          <w:szCs w:val="28"/>
        </w:rPr>
        <w:t>. При развитии контактного медиастинита обоснованными являют</w:t>
      </w:r>
      <w:r>
        <w:rPr>
          <w:sz w:val="28"/>
          <w:szCs w:val="28"/>
        </w:rPr>
        <w:t>ся шейная медиастинотомия по В.</w:t>
      </w:r>
      <w:r w:rsidRPr="00C5336B">
        <w:rPr>
          <w:sz w:val="28"/>
          <w:szCs w:val="28"/>
        </w:rPr>
        <w:t>И. Разумовскому, отсечение передней ножки грудинно-ключично-сосцевидной мышцы от грудины, сквозное дре</w:t>
      </w:r>
      <w:r>
        <w:rPr>
          <w:sz w:val="28"/>
          <w:szCs w:val="28"/>
        </w:rPr>
        <w:t xml:space="preserve">нирование средостения </w:t>
      </w:r>
      <w:r w:rsidRPr="0018520F">
        <w:rPr>
          <w:sz w:val="28"/>
          <w:szCs w:val="28"/>
        </w:rPr>
        <w:t>(</w:t>
      </w:r>
      <w:r>
        <w:rPr>
          <w:sz w:val="28"/>
          <w:szCs w:val="28"/>
        </w:rPr>
        <w:t>Гирко Е.И., 1994</w:t>
      </w:r>
      <w:r w:rsidRPr="0018520F">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Объем оперативного пособия и вид обезболивание определяется совокупностью факторов: характер острой воспалительной реакции, количеством вовлеченных в процесс клетчаточных простран</w:t>
      </w:r>
      <w:r>
        <w:rPr>
          <w:sz w:val="28"/>
          <w:szCs w:val="28"/>
        </w:rPr>
        <w:t>ств, их локализацией (Таблица 4</w:t>
      </w:r>
      <w:r w:rsidRPr="00C5336B">
        <w:rPr>
          <w:sz w:val="28"/>
          <w:szCs w:val="28"/>
        </w:rPr>
        <w:t xml:space="preserve">) </w:t>
      </w:r>
      <w:r w:rsidRPr="0018520F">
        <w:rPr>
          <w:sz w:val="28"/>
          <w:szCs w:val="28"/>
        </w:rPr>
        <w:t>(</w:t>
      </w:r>
      <w:r w:rsidRPr="00C5336B">
        <w:rPr>
          <w:sz w:val="28"/>
          <w:szCs w:val="28"/>
          <w:shd w:val="clear" w:color="auto" w:fill="FFFFFF"/>
        </w:rPr>
        <w:t>Оль</w:t>
      </w:r>
      <w:r>
        <w:rPr>
          <w:sz w:val="28"/>
          <w:szCs w:val="28"/>
          <w:shd w:val="clear" w:color="auto" w:fill="FFFFFF"/>
        </w:rPr>
        <w:t>шевский В.А., 1983; Харитонов Ю.</w:t>
      </w:r>
      <w:r w:rsidRPr="00C5336B">
        <w:rPr>
          <w:sz w:val="28"/>
          <w:szCs w:val="28"/>
          <w:shd w:val="clear" w:color="auto" w:fill="FFFFFF"/>
        </w:rPr>
        <w:t xml:space="preserve">М., 1999; </w:t>
      </w:r>
      <w:r>
        <w:rPr>
          <w:sz w:val="28"/>
          <w:szCs w:val="28"/>
        </w:rPr>
        <w:t>Будаев А.</w:t>
      </w:r>
      <w:r w:rsidRPr="00C5336B">
        <w:rPr>
          <w:sz w:val="28"/>
          <w:szCs w:val="28"/>
        </w:rPr>
        <w:t xml:space="preserve">П., 2001; </w:t>
      </w:r>
      <w:r>
        <w:rPr>
          <w:sz w:val="28"/>
          <w:szCs w:val="28"/>
          <w:shd w:val="clear" w:color="auto" w:fill="FFFFFF"/>
        </w:rPr>
        <w:t>Голубь И.В., 2008; Оганесян А.</w:t>
      </w:r>
      <w:r w:rsidRPr="00C5336B">
        <w:rPr>
          <w:sz w:val="28"/>
          <w:szCs w:val="28"/>
          <w:shd w:val="clear" w:color="auto" w:fill="FFFFFF"/>
        </w:rPr>
        <w:t xml:space="preserve">А., 2009; </w:t>
      </w:r>
      <w:r>
        <w:rPr>
          <w:sz w:val="28"/>
          <w:szCs w:val="28"/>
        </w:rPr>
        <w:t>Громов А.Л., 2011; Губин М.</w:t>
      </w:r>
      <w:r w:rsidRPr="00C5336B">
        <w:rPr>
          <w:sz w:val="28"/>
          <w:szCs w:val="28"/>
        </w:rPr>
        <w:t>А., 1987, 2003, 20</w:t>
      </w:r>
      <w:r>
        <w:rPr>
          <w:sz w:val="28"/>
          <w:szCs w:val="28"/>
        </w:rPr>
        <w:t>04, 2006, 2011, 2013; Забелин А.С., 2018</w:t>
      </w:r>
      <w:r w:rsidRPr="0018520F">
        <w:rPr>
          <w:sz w:val="28"/>
          <w:szCs w:val="28"/>
        </w:rPr>
        <w:t>)</w:t>
      </w:r>
      <w:r w:rsidRPr="00C5336B">
        <w:rPr>
          <w:sz w:val="28"/>
          <w:szCs w:val="28"/>
        </w:rPr>
        <w:t>.</w:t>
      </w:r>
    </w:p>
    <w:p w:rsidR="00286780" w:rsidRPr="009D777D" w:rsidRDefault="00286780" w:rsidP="00126F71">
      <w:pPr>
        <w:spacing w:line="360" w:lineRule="auto"/>
        <w:ind w:firstLine="709"/>
        <w:jc w:val="both"/>
        <w:rPr>
          <w:spacing w:val="-2"/>
          <w:sz w:val="28"/>
          <w:szCs w:val="28"/>
        </w:rPr>
      </w:pPr>
      <w:r w:rsidRPr="009D777D">
        <w:rPr>
          <w:spacing w:val="-2"/>
          <w:sz w:val="28"/>
          <w:szCs w:val="28"/>
        </w:rPr>
        <w:lastRenderedPageBreak/>
        <w:t>Таким образом, при гнилостно-некротическом характере воспаления используются наиболее радикальные варианты оперативного лечения: некрэктомия, ревизия клетчаточных пространств на путях возможного распространения, дренирование двупросветными дренажами, трахеостомия, эндотрахеальный наркоз. При ограниченном гнойном поражении тканей оперативный доступ должен обеспечивать адекватное дренирование полости абсцесса или флегмоны, операцию можно проводить под наркозом или использовать местную анестезию с соответствующей премедикацией, потенцированную мес</w:t>
      </w:r>
      <w:r>
        <w:rPr>
          <w:spacing w:val="-2"/>
          <w:sz w:val="28"/>
          <w:szCs w:val="28"/>
        </w:rPr>
        <w:t xml:space="preserve">тную анестезию </w:t>
      </w:r>
      <w:r w:rsidRPr="0018520F">
        <w:rPr>
          <w:spacing w:val="-2"/>
          <w:sz w:val="28"/>
          <w:szCs w:val="28"/>
        </w:rPr>
        <w:t>(</w:t>
      </w:r>
      <w:r>
        <w:rPr>
          <w:spacing w:val="-2"/>
          <w:sz w:val="28"/>
          <w:szCs w:val="28"/>
        </w:rPr>
        <w:t>Шаргородский А.</w:t>
      </w:r>
      <w:r w:rsidRPr="009D777D">
        <w:rPr>
          <w:spacing w:val="-2"/>
          <w:sz w:val="28"/>
          <w:szCs w:val="28"/>
        </w:rPr>
        <w:t>Г., 2001</w:t>
      </w:r>
      <w:r>
        <w:rPr>
          <w:spacing w:val="-2"/>
          <w:sz w:val="28"/>
          <w:szCs w:val="28"/>
          <w:shd w:val="clear" w:color="auto" w:fill="FFFFFF"/>
        </w:rPr>
        <w:t>; Пятаков С.</w:t>
      </w:r>
      <w:r w:rsidRPr="009D777D">
        <w:rPr>
          <w:spacing w:val="-2"/>
          <w:sz w:val="28"/>
          <w:szCs w:val="28"/>
          <w:shd w:val="clear" w:color="auto" w:fill="FFFFFF"/>
        </w:rPr>
        <w:t>Н., 2006</w:t>
      </w:r>
      <w:r>
        <w:rPr>
          <w:spacing w:val="-2"/>
          <w:sz w:val="28"/>
          <w:szCs w:val="28"/>
        </w:rPr>
        <w:t>; Громов А.Л., 2011; Харитонов Ю.М. и др., 2011</w:t>
      </w:r>
      <w:r w:rsidRPr="0018520F">
        <w:rPr>
          <w:spacing w:val="-2"/>
          <w:sz w:val="28"/>
          <w:szCs w:val="28"/>
        </w:rPr>
        <w:t>)</w:t>
      </w:r>
      <w:r w:rsidRPr="009D777D">
        <w:rPr>
          <w:spacing w:val="-2"/>
          <w:sz w:val="28"/>
          <w:szCs w:val="28"/>
        </w:rPr>
        <w:t>.</w:t>
      </w:r>
    </w:p>
    <w:p w:rsidR="00286780" w:rsidRPr="00C5336B" w:rsidRDefault="00286780" w:rsidP="00C5336B">
      <w:pPr>
        <w:rPr>
          <w:sz w:val="28"/>
          <w:szCs w:val="28"/>
        </w:rPr>
      </w:pPr>
    </w:p>
    <w:p w:rsidR="00286780" w:rsidRPr="00C5336B" w:rsidRDefault="00286780" w:rsidP="00C5336B">
      <w:pPr>
        <w:spacing w:after="120"/>
        <w:rPr>
          <w:sz w:val="28"/>
          <w:szCs w:val="28"/>
        </w:rPr>
      </w:pPr>
      <w:r w:rsidRPr="00C5336B">
        <w:rPr>
          <w:b/>
          <w:sz w:val="28"/>
          <w:szCs w:val="28"/>
        </w:rPr>
        <w:t xml:space="preserve">Таблица </w:t>
      </w:r>
      <w:r>
        <w:rPr>
          <w:b/>
          <w:sz w:val="28"/>
          <w:szCs w:val="28"/>
        </w:rPr>
        <w:t>4</w:t>
      </w:r>
      <w:r w:rsidRPr="00C5336B">
        <w:rPr>
          <w:sz w:val="28"/>
          <w:szCs w:val="28"/>
        </w:rPr>
        <w:t xml:space="preserve"> – Алгоритм выбора методики оперативного вмешательства и характера анестезии </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9"/>
        <w:gridCol w:w="2879"/>
        <w:gridCol w:w="2700"/>
        <w:gridCol w:w="2615"/>
      </w:tblGrid>
      <w:tr w:rsidR="00286780" w:rsidRPr="00C5336B" w:rsidTr="00C5336B">
        <w:trPr>
          <w:trHeight w:val="227"/>
        </w:trPr>
        <w:tc>
          <w:tcPr>
            <w:tcW w:w="1729" w:type="dxa"/>
            <w:vMerge w:val="restart"/>
            <w:tcMar>
              <w:left w:w="28" w:type="dxa"/>
              <w:right w:w="28" w:type="dxa"/>
            </w:tcMar>
            <w:vAlign w:val="center"/>
          </w:tcPr>
          <w:p w:rsidR="00286780" w:rsidRPr="00C5336B" w:rsidRDefault="00286780" w:rsidP="00C5336B">
            <w:pPr>
              <w:jc w:val="center"/>
              <w:rPr>
                <w:i/>
                <w:sz w:val="24"/>
                <w:szCs w:val="24"/>
              </w:rPr>
            </w:pPr>
            <w:r w:rsidRPr="00C5336B">
              <w:rPr>
                <w:i/>
                <w:sz w:val="24"/>
                <w:szCs w:val="24"/>
              </w:rPr>
              <w:t>Тип</w:t>
            </w:r>
            <w:r w:rsidRPr="00C5336B">
              <w:rPr>
                <w:i/>
                <w:sz w:val="24"/>
                <w:szCs w:val="24"/>
              </w:rPr>
              <w:br/>
              <w:t>воспалительного процесса</w:t>
            </w:r>
          </w:p>
        </w:tc>
        <w:tc>
          <w:tcPr>
            <w:tcW w:w="8194" w:type="dxa"/>
            <w:gridSpan w:val="3"/>
            <w:tcMar>
              <w:left w:w="28" w:type="dxa"/>
              <w:right w:w="28" w:type="dxa"/>
            </w:tcMar>
            <w:vAlign w:val="center"/>
          </w:tcPr>
          <w:p w:rsidR="00286780" w:rsidRPr="00C5336B" w:rsidRDefault="00286780" w:rsidP="00C5336B">
            <w:pPr>
              <w:jc w:val="center"/>
              <w:rPr>
                <w:i/>
                <w:sz w:val="24"/>
                <w:szCs w:val="24"/>
              </w:rPr>
            </w:pPr>
            <w:r w:rsidRPr="00C5336B">
              <w:rPr>
                <w:i/>
                <w:sz w:val="24"/>
                <w:szCs w:val="24"/>
              </w:rPr>
              <w:t>Количество вовлеченных клетчаточных пространств</w:t>
            </w:r>
          </w:p>
          <w:p w:rsidR="00286780" w:rsidRPr="00C5336B" w:rsidRDefault="00286780" w:rsidP="00C5336B">
            <w:pPr>
              <w:jc w:val="center"/>
              <w:rPr>
                <w:i/>
                <w:sz w:val="24"/>
                <w:szCs w:val="24"/>
              </w:rPr>
            </w:pPr>
            <w:r w:rsidRPr="00C5336B">
              <w:rPr>
                <w:i/>
                <w:sz w:val="24"/>
                <w:szCs w:val="24"/>
              </w:rPr>
              <w:t>Объем оперативного вмешательства, методы анестезии</w:t>
            </w:r>
          </w:p>
        </w:tc>
      </w:tr>
      <w:tr w:rsidR="00286780" w:rsidRPr="00C5336B" w:rsidTr="00C5336B">
        <w:trPr>
          <w:trHeight w:val="227"/>
        </w:trPr>
        <w:tc>
          <w:tcPr>
            <w:tcW w:w="1729" w:type="dxa"/>
            <w:vMerge/>
            <w:tcMar>
              <w:left w:w="28" w:type="dxa"/>
              <w:right w:w="28" w:type="dxa"/>
            </w:tcMar>
            <w:vAlign w:val="center"/>
          </w:tcPr>
          <w:p w:rsidR="00286780" w:rsidRPr="00C5336B" w:rsidRDefault="00286780" w:rsidP="00C5336B">
            <w:pPr>
              <w:jc w:val="both"/>
              <w:rPr>
                <w:sz w:val="24"/>
                <w:szCs w:val="24"/>
              </w:rPr>
            </w:pPr>
          </w:p>
        </w:tc>
        <w:tc>
          <w:tcPr>
            <w:tcW w:w="2879" w:type="dxa"/>
            <w:tcMar>
              <w:left w:w="28" w:type="dxa"/>
              <w:right w:w="28" w:type="dxa"/>
            </w:tcMar>
            <w:vAlign w:val="center"/>
          </w:tcPr>
          <w:p w:rsidR="00286780" w:rsidRPr="00C5336B" w:rsidRDefault="00286780" w:rsidP="00C5336B">
            <w:pPr>
              <w:ind w:right="432"/>
              <w:jc w:val="center"/>
              <w:rPr>
                <w:sz w:val="24"/>
                <w:szCs w:val="24"/>
              </w:rPr>
            </w:pPr>
            <w:r w:rsidRPr="00C5336B">
              <w:rPr>
                <w:sz w:val="24"/>
                <w:szCs w:val="24"/>
              </w:rPr>
              <w:t>1-2 клетчаточных пространства</w:t>
            </w:r>
          </w:p>
        </w:tc>
        <w:tc>
          <w:tcPr>
            <w:tcW w:w="2700" w:type="dxa"/>
            <w:tcMar>
              <w:left w:w="28" w:type="dxa"/>
              <w:right w:w="28" w:type="dxa"/>
            </w:tcMar>
            <w:vAlign w:val="center"/>
          </w:tcPr>
          <w:p w:rsidR="00286780" w:rsidRPr="00C5336B" w:rsidRDefault="00286780" w:rsidP="00C5336B">
            <w:pPr>
              <w:jc w:val="center"/>
              <w:rPr>
                <w:sz w:val="24"/>
                <w:szCs w:val="24"/>
              </w:rPr>
            </w:pPr>
            <w:r w:rsidRPr="00C5336B">
              <w:rPr>
                <w:sz w:val="24"/>
                <w:szCs w:val="24"/>
              </w:rPr>
              <w:t>3-4 клетчаточных пространства</w:t>
            </w:r>
          </w:p>
        </w:tc>
        <w:tc>
          <w:tcPr>
            <w:tcW w:w="2615" w:type="dxa"/>
            <w:tcMar>
              <w:left w:w="28" w:type="dxa"/>
              <w:right w:w="28" w:type="dxa"/>
            </w:tcMar>
            <w:vAlign w:val="center"/>
          </w:tcPr>
          <w:p w:rsidR="00286780" w:rsidRPr="00C5336B" w:rsidRDefault="00286780" w:rsidP="00C5336B">
            <w:pPr>
              <w:jc w:val="center"/>
              <w:rPr>
                <w:sz w:val="24"/>
                <w:szCs w:val="24"/>
              </w:rPr>
            </w:pPr>
            <w:r w:rsidRPr="00C5336B">
              <w:rPr>
                <w:sz w:val="24"/>
                <w:szCs w:val="24"/>
              </w:rPr>
              <w:t>более 4, или вовлечение глубоких пространств лица и шеи</w:t>
            </w:r>
          </w:p>
        </w:tc>
      </w:tr>
      <w:tr w:rsidR="00286780" w:rsidRPr="00C5336B" w:rsidTr="00C5336B">
        <w:trPr>
          <w:trHeight w:val="227"/>
        </w:trPr>
        <w:tc>
          <w:tcPr>
            <w:tcW w:w="1729" w:type="dxa"/>
            <w:vMerge w:val="restart"/>
            <w:tcMar>
              <w:left w:w="28" w:type="dxa"/>
              <w:right w:w="28" w:type="dxa"/>
            </w:tcMar>
            <w:vAlign w:val="center"/>
          </w:tcPr>
          <w:p w:rsidR="00286780" w:rsidRPr="00C5336B" w:rsidRDefault="00286780" w:rsidP="00C5336B">
            <w:pPr>
              <w:rPr>
                <w:sz w:val="24"/>
                <w:szCs w:val="24"/>
              </w:rPr>
            </w:pPr>
            <w:r w:rsidRPr="00C5336B">
              <w:rPr>
                <w:sz w:val="24"/>
                <w:szCs w:val="24"/>
              </w:rPr>
              <w:t>1-й тип. Гнойное воспаление</w:t>
            </w:r>
          </w:p>
        </w:tc>
        <w:tc>
          <w:tcPr>
            <w:tcW w:w="8194" w:type="dxa"/>
            <w:gridSpan w:val="3"/>
            <w:tcMar>
              <w:left w:w="28" w:type="dxa"/>
              <w:right w:w="28" w:type="dxa"/>
            </w:tcMar>
            <w:vAlign w:val="center"/>
          </w:tcPr>
          <w:p w:rsidR="00286780" w:rsidRPr="00C5336B" w:rsidRDefault="00286780" w:rsidP="00C5336B">
            <w:pPr>
              <w:jc w:val="center"/>
              <w:rPr>
                <w:sz w:val="24"/>
                <w:szCs w:val="24"/>
              </w:rPr>
            </w:pPr>
            <w:r w:rsidRPr="00C5336B">
              <w:rPr>
                <w:sz w:val="24"/>
                <w:szCs w:val="24"/>
              </w:rPr>
              <w:t>Вскрытие и дренирование соответствующих клетчаточных пространств</w:t>
            </w:r>
          </w:p>
        </w:tc>
      </w:tr>
      <w:tr w:rsidR="00286780" w:rsidRPr="00C5336B" w:rsidTr="00C5336B">
        <w:trPr>
          <w:trHeight w:val="227"/>
        </w:trPr>
        <w:tc>
          <w:tcPr>
            <w:tcW w:w="1729" w:type="dxa"/>
            <w:vMerge/>
            <w:tcMar>
              <w:left w:w="28" w:type="dxa"/>
              <w:right w:w="28" w:type="dxa"/>
            </w:tcMar>
            <w:vAlign w:val="center"/>
          </w:tcPr>
          <w:p w:rsidR="00286780" w:rsidRPr="00C5336B" w:rsidRDefault="00286780" w:rsidP="00C5336B">
            <w:pPr>
              <w:rPr>
                <w:sz w:val="24"/>
                <w:szCs w:val="24"/>
              </w:rPr>
            </w:pPr>
          </w:p>
        </w:tc>
        <w:tc>
          <w:tcPr>
            <w:tcW w:w="2879" w:type="dxa"/>
            <w:tcMar>
              <w:left w:w="28" w:type="dxa"/>
              <w:right w:w="28" w:type="dxa"/>
            </w:tcMar>
            <w:vAlign w:val="center"/>
          </w:tcPr>
          <w:p w:rsidR="00286780" w:rsidRPr="00C5336B" w:rsidRDefault="00286780" w:rsidP="00C5336B">
            <w:pPr>
              <w:jc w:val="center"/>
              <w:rPr>
                <w:sz w:val="24"/>
                <w:szCs w:val="24"/>
              </w:rPr>
            </w:pPr>
            <w:r w:rsidRPr="00C5336B">
              <w:rPr>
                <w:sz w:val="24"/>
                <w:szCs w:val="24"/>
              </w:rPr>
              <w:t>Потенцированная местная анестезия</w:t>
            </w:r>
          </w:p>
        </w:tc>
        <w:tc>
          <w:tcPr>
            <w:tcW w:w="2700" w:type="dxa"/>
            <w:tcMar>
              <w:left w:w="28" w:type="dxa"/>
              <w:right w:w="28" w:type="dxa"/>
            </w:tcMar>
            <w:vAlign w:val="center"/>
          </w:tcPr>
          <w:p w:rsidR="00286780" w:rsidRPr="00C5336B" w:rsidRDefault="00286780" w:rsidP="00C5336B">
            <w:pPr>
              <w:jc w:val="center"/>
              <w:rPr>
                <w:sz w:val="24"/>
                <w:szCs w:val="24"/>
              </w:rPr>
            </w:pPr>
            <w:r w:rsidRPr="00C5336B">
              <w:rPr>
                <w:sz w:val="24"/>
                <w:szCs w:val="24"/>
              </w:rPr>
              <w:t>Потенцированная местная анестезия, наркоз</w:t>
            </w:r>
          </w:p>
        </w:tc>
        <w:tc>
          <w:tcPr>
            <w:tcW w:w="2615" w:type="dxa"/>
            <w:tcMar>
              <w:left w:w="28" w:type="dxa"/>
              <w:right w:w="28" w:type="dxa"/>
            </w:tcMar>
            <w:vAlign w:val="center"/>
          </w:tcPr>
          <w:p w:rsidR="00286780" w:rsidRPr="00C5336B" w:rsidRDefault="00286780" w:rsidP="00C5336B">
            <w:pPr>
              <w:jc w:val="center"/>
              <w:rPr>
                <w:sz w:val="24"/>
                <w:szCs w:val="24"/>
                <w:lang w:val="en-US"/>
              </w:rPr>
            </w:pPr>
            <w:r w:rsidRPr="00C5336B">
              <w:rPr>
                <w:sz w:val="24"/>
                <w:szCs w:val="24"/>
              </w:rPr>
              <w:t>Наркоз</w:t>
            </w:r>
          </w:p>
        </w:tc>
      </w:tr>
      <w:tr w:rsidR="00286780" w:rsidRPr="00C5336B" w:rsidTr="00C5336B">
        <w:trPr>
          <w:trHeight w:val="227"/>
        </w:trPr>
        <w:tc>
          <w:tcPr>
            <w:tcW w:w="1729" w:type="dxa"/>
            <w:vMerge w:val="restart"/>
            <w:tcMar>
              <w:left w:w="28" w:type="dxa"/>
              <w:right w:w="28" w:type="dxa"/>
            </w:tcMar>
            <w:vAlign w:val="center"/>
          </w:tcPr>
          <w:p w:rsidR="00286780" w:rsidRPr="00C5336B" w:rsidRDefault="00286780" w:rsidP="00C5336B">
            <w:pPr>
              <w:rPr>
                <w:sz w:val="24"/>
                <w:szCs w:val="24"/>
              </w:rPr>
            </w:pPr>
            <w:r w:rsidRPr="00C5336B">
              <w:rPr>
                <w:sz w:val="24"/>
                <w:szCs w:val="24"/>
              </w:rPr>
              <w:t xml:space="preserve">2-й тип. </w:t>
            </w:r>
          </w:p>
          <w:p w:rsidR="00286780" w:rsidRPr="00C5336B" w:rsidRDefault="00286780" w:rsidP="00C5336B">
            <w:pPr>
              <w:rPr>
                <w:sz w:val="24"/>
                <w:szCs w:val="24"/>
              </w:rPr>
            </w:pPr>
            <w:r w:rsidRPr="00C5336B">
              <w:rPr>
                <w:sz w:val="24"/>
                <w:szCs w:val="24"/>
              </w:rPr>
              <w:t>Гнойно-некротическое воспаление</w:t>
            </w:r>
          </w:p>
        </w:tc>
        <w:tc>
          <w:tcPr>
            <w:tcW w:w="8194" w:type="dxa"/>
            <w:gridSpan w:val="3"/>
            <w:tcMar>
              <w:left w:w="28" w:type="dxa"/>
              <w:right w:w="28" w:type="dxa"/>
            </w:tcMar>
            <w:vAlign w:val="center"/>
          </w:tcPr>
          <w:p w:rsidR="00286780" w:rsidRPr="00C5336B" w:rsidRDefault="00286780" w:rsidP="00C5336B">
            <w:pPr>
              <w:jc w:val="center"/>
              <w:rPr>
                <w:sz w:val="24"/>
                <w:szCs w:val="24"/>
              </w:rPr>
            </w:pPr>
            <w:r w:rsidRPr="00C5336B">
              <w:rPr>
                <w:sz w:val="24"/>
                <w:szCs w:val="24"/>
              </w:rPr>
              <w:t>Широкое раскрытие всех вовлеченных клетчаточных пространств, частичная некрэктомия. Дренирование гнойных полостей</w:t>
            </w:r>
          </w:p>
        </w:tc>
      </w:tr>
      <w:tr w:rsidR="00286780" w:rsidRPr="00C5336B" w:rsidTr="00C5336B">
        <w:trPr>
          <w:trHeight w:val="227"/>
        </w:trPr>
        <w:tc>
          <w:tcPr>
            <w:tcW w:w="1729" w:type="dxa"/>
            <w:vMerge/>
            <w:tcMar>
              <w:left w:w="28" w:type="dxa"/>
              <w:right w:w="28" w:type="dxa"/>
            </w:tcMar>
            <w:vAlign w:val="center"/>
          </w:tcPr>
          <w:p w:rsidR="00286780" w:rsidRPr="00C5336B" w:rsidRDefault="00286780" w:rsidP="00C5336B">
            <w:pPr>
              <w:rPr>
                <w:sz w:val="24"/>
                <w:szCs w:val="24"/>
              </w:rPr>
            </w:pPr>
          </w:p>
        </w:tc>
        <w:tc>
          <w:tcPr>
            <w:tcW w:w="2879" w:type="dxa"/>
            <w:tcMar>
              <w:left w:w="28" w:type="dxa"/>
              <w:right w:w="28" w:type="dxa"/>
            </w:tcMar>
            <w:vAlign w:val="center"/>
          </w:tcPr>
          <w:p w:rsidR="00286780" w:rsidRPr="00C5336B" w:rsidRDefault="00286780" w:rsidP="00C5336B">
            <w:pPr>
              <w:jc w:val="center"/>
              <w:rPr>
                <w:sz w:val="24"/>
                <w:szCs w:val="24"/>
              </w:rPr>
            </w:pPr>
            <w:r w:rsidRPr="00C5336B">
              <w:rPr>
                <w:sz w:val="24"/>
                <w:szCs w:val="24"/>
              </w:rPr>
              <w:t>Потенцированная местная анестезия</w:t>
            </w:r>
          </w:p>
        </w:tc>
        <w:tc>
          <w:tcPr>
            <w:tcW w:w="2700" w:type="dxa"/>
            <w:tcMar>
              <w:left w:w="28" w:type="dxa"/>
              <w:right w:w="28" w:type="dxa"/>
            </w:tcMar>
            <w:vAlign w:val="center"/>
          </w:tcPr>
          <w:p w:rsidR="00286780" w:rsidRPr="00C5336B" w:rsidRDefault="00286780" w:rsidP="00C5336B">
            <w:pPr>
              <w:jc w:val="center"/>
              <w:rPr>
                <w:sz w:val="24"/>
                <w:szCs w:val="24"/>
              </w:rPr>
            </w:pPr>
            <w:r w:rsidRPr="00C5336B">
              <w:rPr>
                <w:sz w:val="24"/>
                <w:szCs w:val="24"/>
              </w:rPr>
              <w:t>Потенцированная местная анестезия, наркоз</w:t>
            </w:r>
          </w:p>
        </w:tc>
        <w:tc>
          <w:tcPr>
            <w:tcW w:w="2615" w:type="dxa"/>
            <w:tcMar>
              <w:left w:w="28" w:type="dxa"/>
              <w:right w:w="28" w:type="dxa"/>
            </w:tcMar>
            <w:vAlign w:val="center"/>
          </w:tcPr>
          <w:p w:rsidR="00286780" w:rsidRPr="00C5336B" w:rsidRDefault="00286780" w:rsidP="00C5336B">
            <w:pPr>
              <w:jc w:val="center"/>
              <w:rPr>
                <w:sz w:val="24"/>
                <w:szCs w:val="24"/>
                <w:lang w:val="en-US"/>
              </w:rPr>
            </w:pPr>
            <w:r w:rsidRPr="00C5336B">
              <w:rPr>
                <w:sz w:val="24"/>
                <w:szCs w:val="24"/>
              </w:rPr>
              <w:t>Наркоз</w:t>
            </w:r>
          </w:p>
        </w:tc>
      </w:tr>
      <w:tr w:rsidR="00286780" w:rsidRPr="00C5336B" w:rsidTr="00C5336B">
        <w:trPr>
          <w:trHeight w:val="227"/>
        </w:trPr>
        <w:tc>
          <w:tcPr>
            <w:tcW w:w="1729" w:type="dxa"/>
            <w:vMerge w:val="restart"/>
            <w:tcMar>
              <w:left w:w="28" w:type="dxa"/>
              <w:right w:w="28" w:type="dxa"/>
            </w:tcMar>
            <w:vAlign w:val="center"/>
          </w:tcPr>
          <w:p w:rsidR="00286780" w:rsidRPr="00C5336B" w:rsidRDefault="00286780" w:rsidP="00C5336B">
            <w:pPr>
              <w:rPr>
                <w:sz w:val="24"/>
                <w:szCs w:val="24"/>
              </w:rPr>
            </w:pPr>
            <w:r w:rsidRPr="00C5336B">
              <w:rPr>
                <w:sz w:val="24"/>
                <w:szCs w:val="24"/>
              </w:rPr>
              <w:t xml:space="preserve">3-й тип. </w:t>
            </w:r>
          </w:p>
          <w:p w:rsidR="00286780" w:rsidRPr="00C5336B" w:rsidRDefault="00286780" w:rsidP="00C5336B">
            <w:pPr>
              <w:rPr>
                <w:sz w:val="24"/>
                <w:szCs w:val="24"/>
              </w:rPr>
            </w:pPr>
            <w:r w:rsidRPr="00C5336B">
              <w:rPr>
                <w:sz w:val="24"/>
                <w:szCs w:val="24"/>
              </w:rPr>
              <w:t>Гнилостно-некротическое воспаление</w:t>
            </w:r>
          </w:p>
        </w:tc>
        <w:tc>
          <w:tcPr>
            <w:tcW w:w="8194" w:type="dxa"/>
            <w:gridSpan w:val="3"/>
            <w:tcMar>
              <w:left w:w="28" w:type="dxa"/>
              <w:right w:w="28" w:type="dxa"/>
            </w:tcMar>
            <w:vAlign w:val="center"/>
          </w:tcPr>
          <w:p w:rsidR="00286780" w:rsidRPr="00C5336B" w:rsidRDefault="00286780" w:rsidP="00C5336B">
            <w:pPr>
              <w:jc w:val="center"/>
              <w:rPr>
                <w:sz w:val="24"/>
                <w:szCs w:val="24"/>
              </w:rPr>
            </w:pPr>
            <w:r w:rsidRPr="00C5336B">
              <w:rPr>
                <w:sz w:val="24"/>
                <w:szCs w:val="24"/>
              </w:rPr>
              <w:t>Максимальное раскрытие всех вовлеченных в воспалительный процесс клетчаточных пространств до здоровых тканей, максимальное иссечение некротизированных тканей, ревизия клетчаточных пространств на путях возможного распространения. Превентивная перевязка крупных сосудов. Постановка двупросветных дренажей для постоянного длительного раневого диализа. Активная аспирация</w:t>
            </w:r>
          </w:p>
        </w:tc>
      </w:tr>
      <w:tr w:rsidR="00286780" w:rsidRPr="00C5336B" w:rsidTr="00C5336B">
        <w:trPr>
          <w:trHeight w:val="227"/>
        </w:trPr>
        <w:tc>
          <w:tcPr>
            <w:tcW w:w="1729" w:type="dxa"/>
            <w:vMerge/>
            <w:tcMar>
              <w:left w:w="28" w:type="dxa"/>
              <w:right w:w="28" w:type="dxa"/>
            </w:tcMar>
            <w:vAlign w:val="center"/>
          </w:tcPr>
          <w:p w:rsidR="00286780" w:rsidRPr="00C5336B" w:rsidRDefault="00286780" w:rsidP="00C5336B">
            <w:pPr>
              <w:jc w:val="both"/>
              <w:rPr>
                <w:sz w:val="24"/>
                <w:szCs w:val="24"/>
              </w:rPr>
            </w:pPr>
          </w:p>
        </w:tc>
        <w:tc>
          <w:tcPr>
            <w:tcW w:w="2879" w:type="dxa"/>
            <w:tcMar>
              <w:left w:w="28" w:type="dxa"/>
              <w:right w:w="28" w:type="dxa"/>
            </w:tcMar>
            <w:vAlign w:val="center"/>
          </w:tcPr>
          <w:p w:rsidR="00286780" w:rsidRPr="00C5336B" w:rsidRDefault="00286780" w:rsidP="00C5336B">
            <w:pPr>
              <w:jc w:val="center"/>
              <w:rPr>
                <w:sz w:val="24"/>
                <w:szCs w:val="24"/>
              </w:rPr>
            </w:pPr>
            <w:r w:rsidRPr="00C5336B">
              <w:rPr>
                <w:sz w:val="24"/>
                <w:szCs w:val="24"/>
              </w:rPr>
              <w:t>Потенцированная местная анестезия, наркоз</w:t>
            </w:r>
          </w:p>
        </w:tc>
        <w:tc>
          <w:tcPr>
            <w:tcW w:w="5315" w:type="dxa"/>
            <w:gridSpan w:val="2"/>
            <w:tcMar>
              <w:left w:w="28" w:type="dxa"/>
              <w:right w:w="28" w:type="dxa"/>
            </w:tcMar>
            <w:vAlign w:val="center"/>
          </w:tcPr>
          <w:p w:rsidR="00286780" w:rsidRPr="00C5336B" w:rsidRDefault="00286780" w:rsidP="00C5336B">
            <w:pPr>
              <w:jc w:val="center"/>
              <w:rPr>
                <w:sz w:val="24"/>
                <w:szCs w:val="24"/>
                <w:lang w:val="en-US"/>
              </w:rPr>
            </w:pPr>
            <w:r w:rsidRPr="00C5336B">
              <w:rPr>
                <w:sz w:val="24"/>
                <w:szCs w:val="24"/>
              </w:rPr>
              <w:t>Наркоз</w:t>
            </w:r>
          </w:p>
        </w:tc>
      </w:tr>
    </w:tbl>
    <w:p w:rsidR="00286780" w:rsidRPr="00C5336B" w:rsidRDefault="00286780" w:rsidP="00C5336B">
      <w:pPr>
        <w:jc w:val="both"/>
        <w:rPr>
          <w:sz w:val="28"/>
          <w:szCs w:val="28"/>
        </w:rPr>
      </w:pPr>
    </w:p>
    <w:p w:rsidR="00286780" w:rsidRPr="009D777D" w:rsidRDefault="00286780" w:rsidP="00C5336B">
      <w:pPr>
        <w:spacing w:line="360" w:lineRule="auto"/>
        <w:ind w:firstLine="709"/>
        <w:jc w:val="both"/>
        <w:rPr>
          <w:spacing w:val="-4"/>
          <w:sz w:val="28"/>
          <w:szCs w:val="28"/>
        </w:rPr>
      </w:pPr>
      <w:r w:rsidRPr="009D777D">
        <w:rPr>
          <w:spacing w:val="-4"/>
          <w:sz w:val="28"/>
          <w:szCs w:val="28"/>
        </w:rPr>
        <w:t xml:space="preserve">При наличии острой дыхательной недостаточности </w:t>
      </w:r>
      <w:r>
        <w:rPr>
          <w:spacing w:val="-4"/>
          <w:sz w:val="28"/>
          <w:szCs w:val="28"/>
        </w:rPr>
        <w:t>"</w:t>
      </w:r>
      <w:r w:rsidRPr="009D777D">
        <w:rPr>
          <w:spacing w:val="-4"/>
          <w:sz w:val="28"/>
          <w:szCs w:val="28"/>
        </w:rPr>
        <w:t xml:space="preserve">выполняют трахеостомию </w:t>
      </w:r>
      <w:r>
        <w:rPr>
          <w:spacing w:val="-4"/>
          <w:sz w:val="28"/>
          <w:szCs w:val="28"/>
        </w:rPr>
        <w:t xml:space="preserve">в экстренном порядке" </w:t>
      </w:r>
      <w:r w:rsidRPr="0018520F">
        <w:rPr>
          <w:spacing w:val="-4"/>
          <w:sz w:val="28"/>
          <w:szCs w:val="28"/>
        </w:rPr>
        <w:t>(</w:t>
      </w:r>
      <w:r>
        <w:rPr>
          <w:spacing w:val="-4"/>
          <w:sz w:val="28"/>
          <w:szCs w:val="28"/>
        </w:rPr>
        <w:t>Будаев А.П., 2001; Громов А.Л., 2011; Губин М.А., 2013</w:t>
      </w:r>
      <w:r w:rsidRPr="0018520F">
        <w:rPr>
          <w:spacing w:val="-4"/>
          <w:sz w:val="28"/>
          <w:szCs w:val="28"/>
        </w:rPr>
        <w:t>)</w:t>
      </w:r>
      <w:r w:rsidRPr="009D777D">
        <w:rPr>
          <w:spacing w:val="-4"/>
          <w:sz w:val="28"/>
          <w:szCs w:val="28"/>
        </w:rPr>
        <w:t>.</w:t>
      </w:r>
    </w:p>
    <w:p w:rsidR="00286780" w:rsidRPr="00C5336B" w:rsidRDefault="00286780" w:rsidP="00C5336B">
      <w:pPr>
        <w:spacing w:line="360" w:lineRule="auto"/>
        <w:ind w:firstLine="709"/>
        <w:jc w:val="both"/>
        <w:rPr>
          <w:sz w:val="28"/>
          <w:szCs w:val="28"/>
        </w:rPr>
      </w:pPr>
      <w:r w:rsidRPr="00C5336B">
        <w:rPr>
          <w:sz w:val="28"/>
          <w:szCs w:val="28"/>
        </w:rPr>
        <w:t xml:space="preserve">Применение существующих вариантов оперативного лечения находится в зависимости от характера и распространенности местного воспалительного процесса, но не учитывает степень изменения гомеостатических систем и наличие </w:t>
      </w:r>
      <w:r w:rsidRPr="00C5336B">
        <w:rPr>
          <w:sz w:val="28"/>
          <w:szCs w:val="28"/>
        </w:rPr>
        <w:lastRenderedPageBreak/>
        <w:t xml:space="preserve">полиорганной фоновой патологии, оказывающей существенное влияние на тяжесть состояния, периоперационный период и течение заболевания в целом. </w:t>
      </w:r>
    </w:p>
    <w:p w:rsidR="00286780" w:rsidRPr="00C5336B" w:rsidRDefault="00286780" w:rsidP="00C5336B">
      <w:pPr>
        <w:spacing w:line="360" w:lineRule="auto"/>
        <w:ind w:firstLine="709"/>
        <w:jc w:val="both"/>
        <w:rPr>
          <w:sz w:val="28"/>
          <w:szCs w:val="28"/>
        </w:rPr>
      </w:pPr>
      <w:r w:rsidRPr="009D777D">
        <w:rPr>
          <w:b/>
          <w:sz w:val="28"/>
          <w:szCs w:val="28"/>
        </w:rPr>
        <w:t>Антибиотикотерапия</w:t>
      </w:r>
      <w:r w:rsidRPr="00C5336B">
        <w:rPr>
          <w:sz w:val="28"/>
          <w:szCs w:val="28"/>
        </w:rPr>
        <w:t>. Необходимым компонентом лечения одонтогенных воспалительных заболеваний челюстно-лицевой области и шеи является антибио</w:t>
      </w:r>
      <w:r>
        <w:rPr>
          <w:sz w:val="28"/>
          <w:szCs w:val="28"/>
        </w:rPr>
        <w:t xml:space="preserve">тикотерапия </w:t>
      </w:r>
      <w:r w:rsidRPr="00DD56F4">
        <w:rPr>
          <w:sz w:val="28"/>
          <w:szCs w:val="28"/>
        </w:rPr>
        <w:t>(</w:t>
      </w:r>
      <w:r>
        <w:rPr>
          <w:sz w:val="28"/>
          <w:szCs w:val="28"/>
        </w:rPr>
        <w:t>Соловьев М.</w:t>
      </w:r>
      <w:r w:rsidRPr="00C5336B">
        <w:rPr>
          <w:sz w:val="28"/>
          <w:szCs w:val="28"/>
        </w:rPr>
        <w:t xml:space="preserve">М. и др., 2016; </w:t>
      </w:r>
      <w:r>
        <w:rPr>
          <w:sz w:val="28"/>
          <w:szCs w:val="28"/>
          <w:shd w:val="clear" w:color="auto" w:fill="FFFFFF"/>
        </w:rPr>
        <w:t>Безрукова И.</w:t>
      </w:r>
      <w:r w:rsidRPr="00C5336B">
        <w:rPr>
          <w:sz w:val="28"/>
          <w:szCs w:val="28"/>
          <w:shd w:val="clear" w:color="auto" w:fill="FFFFFF"/>
        </w:rPr>
        <w:t xml:space="preserve">В. и др., 2005; </w:t>
      </w:r>
      <w:r>
        <w:rPr>
          <w:sz w:val="28"/>
          <w:szCs w:val="28"/>
        </w:rPr>
        <w:t>Робустова Т.Г., 2003; Соловьев М.М., 2001; Шаргородский А.</w:t>
      </w:r>
      <w:r w:rsidRPr="00C5336B">
        <w:rPr>
          <w:sz w:val="28"/>
          <w:szCs w:val="28"/>
        </w:rPr>
        <w:t xml:space="preserve">Г., 2001; </w:t>
      </w:r>
      <w:r>
        <w:rPr>
          <w:sz w:val="28"/>
          <w:szCs w:val="28"/>
          <w:shd w:val="clear" w:color="auto" w:fill="FFFFFF"/>
        </w:rPr>
        <w:t>Зузова А.</w:t>
      </w:r>
      <w:r w:rsidRPr="00C5336B">
        <w:rPr>
          <w:sz w:val="28"/>
          <w:szCs w:val="28"/>
          <w:shd w:val="clear" w:color="auto" w:fill="FFFFFF"/>
        </w:rPr>
        <w:t>П., Забе</w:t>
      </w:r>
      <w:r>
        <w:rPr>
          <w:sz w:val="28"/>
          <w:szCs w:val="28"/>
          <w:shd w:val="clear" w:color="auto" w:fill="FFFFFF"/>
        </w:rPr>
        <w:t>лин A.</w:t>
      </w:r>
      <w:r w:rsidRPr="00C5336B">
        <w:rPr>
          <w:sz w:val="28"/>
          <w:szCs w:val="28"/>
          <w:shd w:val="clear" w:color="auto" w:fill="FFFFFF"/>
        </w:rPr>
        <w:t xml:space="preserve">C., 2000; </w:t>
      </w:r>
      <w:r w:rsidRPr="00C5336B">
        <w:rPr>
          <w:rFonts w:cs="Helvetica"/>
          <w:sz w:val="28"/>
          <w:szCs w:val="28"/>
          <w:shd w:val="clear" w:color="auto" w:fill="FFFFFF"/>
          <w:lang w:val="pt-BR"/>
        </w:rPr>
        <w:t>Rega</w:t>
      </w:r>
      <w:r w:rsidRPr="00BE255A">
        <w:rPr>
          <w:rFonts w:cs="Helvetica"/>
          <w:sz w:val="28"/>
          <w:szCs w:val="28"/>
          <w:shd w:val="clear" w:color="auto" w:fill="FFFFFF"/>
        </w:rPr>
        <w:t xml:space="preserve"> </w:t>
      </w:r>
      <w:r w:rsidRPr="00C5336B">
        <w:rPr>
          <w:rFonts w:cs="Helvetica"/>
          <w:sz w:val="28"/>
          <w:szCs w:val="28"/>
          <w:shd w:val="clear" w:color="auto" w:fill="FFFFFF"/>
          <w:lang w:val="pt-BR"/>
        </w:rPr>
        <w:t>A</w:t>
      </w:r>
      <w:r>
        <w:rPr>
          <w:rFonts w:cs="Helvetica"/>
          <w:sz w:val="28"/>
          <w:szCs w:val="28"/>
          <w:shd w:val="clear" w:color="auto" w:fill="FFFFFF"/>
        </w:rPr>
        <w:t>.</w:t>
      </w:r>
      <w:r w:rsidRPr="00C5336B">
        <w:rPr>
          <w:rFonts w:cs="Helvetica"/>
          <w:sz w:val="28"/>
          <w:szCs w:val="28"/>
          <w:shd w:val="clear" w:color="auto" w:fill="FFFFFF"/>
          <w:lang w:val="pt-BR"/>
        </w:rPr>
        <w:t>J</w:t>
      </w:r>
      <w:r w:rsidRPr="00C5336B">
        <w:rPr>
          <w:rFonts w:cs="Helvetica"/>
          <w:sz w:val="28"/>
          <w:szCs w:val="28"/>
          <w:shd w:val="clear" w:color="auto" w:fill="FFFFFF"/>
        </w:rPr>
        <w:t>.</w:t>
      </w:r>
      <w:r w:rsidRPr="0037499A">
        <w:rPr>
          <w:rFonts w:cs="Helvetica"/>
          <w:sz w:val="28"/>
          <w:szCs w:val="28"/>
          <w:shd w:val="clear" w:color="auto" w:fill="FFFFFF"/>
        </w:rPr>
        <w:t xml:space="preserve"> </w:t>
      </w:r>
      <w:r w:rsidRPr="00C5336B">
        <w:rPr>
          <w:sz w:val="28"/>
          <w:szCs w:val="28"/>
          <w:lang w:val="en-US"/>
        </w:rPr>
        <w:t>et</w:t>
      </w:r>
      <w:r w:rsidRPr="0037499A">
        <w:rPr>
          <w:sz w:val="28"/>
          <w:szCs w:val="28"/>
        </w:rPr>
        <w:t xml:space="preserve"> </w:t>
      </w:r>
      <w:r w:rsidRPr="00C5336B">
        <w:rPr>
          <w:sz w:val="28"/>
          <w:szCs w:val="28"/>
          <w:lang w:val="en-US"/>
        </w:rPr>
        <w:t>al</w:t>
      </w:r>
      <w:r w:rsidRPr="00C5336B">
        <w:rPr>
          <w:sz w:val="28"/>
          <w:szCs w:val="28"/>
        </w:rPr>
        <w:t xml:space="preserve">., 2006; </w:t>
      </w:r>
      <w:r w:rsidRPr="00C5336B">
        <w:rPr>
          <w:sz w:val="28"/>
          <w:szCs w:val="28"/>
          <w:lang w:val="en-US"/>
        </w:rPr>
        <w:t>Wheeler</w:t>
      </w:r>
      <w:r w:rsidRPr="0037499A">
        <w:rPr>
          <w:sz w:val="28"/>
          <w:szCs w:val="28"/>
        </w:rPr>
        <w:t xml:space="preserve"> </w:t>
      </w:r>
      <w:r w:rsidRPr="00C5336B">
        <w:rPr>
          <w:sz w:val="28"/>
          <w:szCs w:val="28"/>
          <w:lang w:val="en-US"/>
        </w:rPr>
        <w:t>A</w:t>
      </w:r>
      <w:r>
        <w:rPr>
          <w:sz w:val="28"/>
          <w:szCs w:val="28"/>
        </w:rPr>
        <w:t>.</w:t>
      </w:r>
      <w:r w:rsidRPr="00C5336B">
        <w:rPr>
          <w:sz w:val="28"/>
          <w:szCs w:val="28"/>
          <w:lang w:val="en-US"/>
        </w:rPr>
        <w:t>P</w:t>
      </w:r>
      <w:r w:rsidRPr="00C5336B">
        <w:rPr>
          <w:sz w:val="28"/>
          <w:szCs w:val="28"/>
        </w:rPr>
        <w:t xml:space="preserve">., </w:t>
      </w:r>
      <w:r w:rsidRPr="00C5336B">
        <w:rPr>
          <w:sz w:val="28"/>
          <w:szCs w:val="28"/>
          <w:lang w:val="en-US"/>
        </w:rPr>
        <w:t>Bernard</w:t>
      </w:r>
      <w:r w:rsidRPr="0037499A">
        <w:rPr>
          <w:sz w:val="28"/>
          <w:szCs w:val="28"/>
        </w:rPr>
        <w:t xml:space="preserve"> </w:t>
      </w:r>
      <w:r w:rsidRPr="00C5336B">
        <w:rPr>
          <w:sz w:val="28"/>
          <w:szCs w:val="28"/>
          <w:lang w:val="en-US"/>
        </w:rPr>
        <w:t>G</w:t>
      </w:r>
      <w:r>
        <w:rPr>
          <w:sz w:val="28"/>
          <w:szCs w:val="28"/>
        </w:rPr>
        <w:t>.</w:t>
      </w:r>
      <w:r w:rsidRPr="00C5336B">
        <w:rPr>
          <w:sz w:val="28"/>
          <w:szCs w:val="28"/>
          <w:lang w:val="en-US"/>
        </w:rPr>
        <w:t>R</w:t>
      </w:r>
      <w:r>
        <w:rPr>
          <w:sz w:val="28"/>
          <w:szCs w:val="28"/>
        </w:rPr>
        <w:t>., 1999</w:t>
      </w:r>
      <w:r w:rsidRPr="00DD56F4">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Установлено, что при одонтогенных флегмонах преобладает смешанная флора (около 78%), причем в 62,5% определяются анаэробные ассоциации, аэроб</w:t>
      </w:r>
      <w:r>
        <w:rPr>
          <w:sz w:val="28"/>
          <w:szCs w:val="28"/>
        </w:rPr>
        <w:t xml:space="preserve">ы высеваются в 21,7% </w:t>
      </w:r>
      <w:r w:rsidRPr="00DD56F4">
        <w:rPr>
          <w:sz w:val="28"/>
          <w:szCs w:val="28"/>
        </w:rPr>
        <w:t>(</w:t>
      </w:r>
      <w:r>
        <w:rPr>
          <w:sz w:val="28"/>
          <w:szCs w:val="28"/>
        </w:rPr>
        <w:t>Матчин А.А., 2015; Артеменко К.</w:t>
      </w:r>
      <w:r w:rsidRPr="00C5336B">
        <w:rPr>
          <w:sz w:val="28"/>
          <w:szCs w:val="28"/>
        </w:rPr>
        <w:t xml:space="preserve">Л., 2007; Бернадский </w:t>
      </w:r>
      <w:r>
        <w:rPr>
          <w:sz w:val="28"/>
          <w:szCs w:val="28"/>
        </w:rPr>
        <w:t>Ю.И., 2003, 1998; Робустова Т.Г., 2003; Шаргородский А.</w:t>
      </w:r>
      <w:r w:rsidRPr="00C5336B">
        <w:rPr>
          <w:sz w:val="28"/>
          <w:szCs w:val="28"/>
        </w:rPr>
        <w:t xml:space="preserve">Г., 2001; </w:t>
      </w:r>
      <w:r>
        <w:rPr>
          <w:sz w:val="28"/>
          <w:szCs w:val="28"/>
          <w:shd w:val="clear" w:color="auto" w:fill="FFFFFF"/>
        </w:rPr>
        <w:t>Железнова Е.</w:t>
      </w:r>
      <w:r w:rsidRPr="00C5336B">
        <w:rPr>
          <w:sz w:val="28"/>
          <w:szCs w:val="28"/>
          <w:shd w:val="clear" w:color="auto" w:fill="FFFFFF"/>
        </w:rPr>
        <w:t xml:space="preserve">А., 2000; </w:t>
      </w:r>
      <w:r w:rsidRPr="00C5336B">
        <w:rPr>
          <w:sz w:val="28"/>
          <w:szCs w:val="28"/>
        </w:rPr>
        <w:t>Рогинский</w:t>
      </w:r>
      <w:r>
        <w:rPr>
          <w:sz w:val="28"/>
          <w:szCs w:val="28"/>
        </w:rPr>
        <w:t xml:space="preserve"> В.</w:t>
      </w:r>
      <w:r w:rsidRPr="00C5336B">
        <w:rPr>
          <w:sz w:val="28"/>
          <w:szCs w:val="28"/>
        </w:rPr>
        <w:t>В. и др., 1998;</w:t>
      </w:r>
      <w:r>
        <w:rPr>
          <w:sz w:val="28"/>
          <w:szCs w:val="28"/>
        </w:rPr>
        <w:t xml:space="preserve"> </w:t>
      </w:r>
      <w:r w:rsidRPr="00C5336B">
        <w:rPr>
          <w:color w:val="000000"/>
          <w:sz w:val="28"/>
          <w:szCs w:val="28"/>
          <w:lang w:val="en-US"/>
        </w:rPr>
        <w:t>Fating</w:t>
      </w:r>
      <w:r w:rsidRPr="0037499A">
        <w:rPr>
          <w:color w:val="000000"/>
          <w:sz w:val="28"/>
          <w:szCs w:val="28"/>
        </w:rPr>
        <w:t xml:space="preserve"> </w:t>
      </w:r>
      <w:r w:rsidRPr="00C5336B">
        <w:rPr>
          <w:color w:val="000000"/>
          <w:sz w:val="28"/>
          <w:szCs w:val="28"/>
          <w:lang w:val="en-US"/>
        </w:rPr>
        <w:t>N</w:t>
      </w:r>
      <w:r>
        <w:rPr>
          <w:color w:val="000000"/>
          <w:sz w:val="28"/>
          <w:szCs w:val="28"/>
        </w:rPr>
        <w:t>.</w:t>
      </w:r>
      <w:r w:rsidRPr="00C5336B">
        <w:rPr>
          <w:color w:val="000000"/>
          <w:sz w:val="28"/>
          <w:szCs w:val="28"/>
          <w:lang w:val="en-US"/>
        </w:rPr>
        <w:t>S</w:t>
      </w:r>
      <w:r w:rsidRPr="00C5336B">
        <w:rPr>
          <w:color w:val="000000"/>
          <w:sz w:val="28"/>
          <w:szCs w:val="28"/>
        </w:rPr>
        <w:t xml:space="preserve">., </w:t>
      </w:r>
      <w:r w:rsidRPr="00C5336B">
        <w:rPr>
          <w:color w:val="000000"/>
          <w:sz w:val="28"/>
          <w:szCs w:val="28"/>
          <w:lang w:val="en-US"/>
        </w:rPr>
        <w:t>Saikrishna</w:t>
      </w:r>
      <w:r w:rsidRPr="0037499A">
        <w:rPr>
          <w:color w:val="000000"/>
          <w:sz w:val="28"/>
          <w:szCs w:val="28"/>
        </w:rPr>
        <w:t xml:space="preserve"> </w:t>
      </w:r>
      <w:r w:rsidRPr="00C5336B">
        <w:rPr>
          <w:color w:val="000000"/>
          <w:sz w:val="28"/>
          <w:szCs w:val="28"/>
          <w:lang w:val="en-US"/>
        </w:rPr>
        <w:t>D</w:t>
      </w:r>
      <w:r w:rsidRPr="00C5336B">
        <w:rPr>
          <w:color w:val="000000"/>
          <w:sz w:val="28"/>
          <w:szCs w:val="28"/>
        </w:rPr>
        <w:t>., 2014</w:t>
      </w:r>
      <w:r w:rsidRPr="00DD56F4">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 xml:space="preserve">Следовательно, применяемые для лечения одонтогенной инфекции антибактериальные препараты должны оказывать влияние на анаэробную и на аэробную составляющие микрофлоры гнойных очагов </w:t>
      </w:r>
      <w:r w:rsidRPr="00061EDE">
        <w:rPr>
          <w:sz w:val="28"/>
          <w:szCs w:val="28"/>
        </w:rPr>
        <w:t>(</w:t>
      </w:r>
      <w:r w:rsidRPr="00C5336B">
        <w:rPr>
          <w:sz w:val="28"/>
          <w:szCs w:val="28"/>
          <w:shd w:val="clear" w:color="auto" w:fill="FFFFFF"/>
        </w:rPr>
        <w:t xml:space="preserve">Дмитриева-Носова </w:t>
      </w:r>
      <w:r>
        <w:rPr>
          <w:sz w:val="28"/>
          <w:szCs w:val="28"/>
          <w:shd w:val="clear" w:color="auto" w:fill="FFFFFF"/>
        </w:rPr>
        <w:t>В.</w:t>
      </w:r>
      <w:r w:rsidRPr="00C5336B">
        <w:rPr>
          <w:sz w:val="28"/>
          <w:szCs w:val="28"/>
          <w:shd w:val="clear" w:color="auto" w:fill="FFFFFF"/>
        </w:rPr>
        <w:t>Ф., 2010; Па</w:t>
      </w:r>
      <w:r>
        <w:rPr>
          <w:sz w:val="28"/>
          <w:szCs w:val="28"/>
          <w:shd w:val="clear" w:color="auto" w:fill="FFFFFF"/>
        </w:rPr>
        <w:t>нин A.M., Робустова Т.Г., 2010; Яковлев В.П. и др., 2005; Ермолов В.Ф., 2004; Чумаков A.</w:t>
      </w:r>
      <w:r w:rsidRPr="00C5336B">
        <w:rPr>
          <w:sz w:val="28"/>
          <w:szCs w:val="28"/>
          <w:shd w:val="clear" w:color="auto" w:fill="FFFFFF"/>
        </w:rPr>
        <w:t>A., 1991</w:t>
      </w:r>
      <w:r w:rsidRPr="00061EDE">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Препаратами выбора при локализации процесса в пределах 1-2 клетчаточных пространствах могут быть линкомицин, эритромицин, оксациллин в комбинации с метронидазолом, ампициллин; ингибиторзащищенные пенициллины (амоксициллин/клавуланат) и цефуроксим применяются при распространении процесса. Препаратами резерва является клиндамицин, кларитромицин, доксициклин, ципрофлоксацин в сочетании с метро</w:t>
      </w:r>
      <w:r>
        <w:rPr>
          <w:sz w:val="28"/>
          <w:szCs w:val="28"/>
        </w:rPr>
        <w:t xml:space="preserve">нидазолом </w:t>
      </w:r>
      <w:r w:rsidRPr="00061EDE">
        <w:rPr>
          <w:sz w:val="28"/>
          <w:szCs w:val="28"/>
        </w:rPr>
        <w:t>(</w:t>
      </w:r>
      <w:r>
        <w:rPr>
          <w:sz w:val="28"/>
          <w:szCs w:val="28"/>
        </w:rPr>
        <w:t>Ушаков Р.В., Царев В.Н., 2019; Царев В.Н., 2009; Царев В.Н., Ушаков Р.</w:t>
      </w:r>
      <w:r w:rsidRPr="00C5336B">
        <w:rPr>
          <w:sz w:val="28"/>
          <w:szCs w:val="28"/>
        </w:rPr>
        <w:t>В., 2006;</w:t>
      </w:r>
      <w:r>
        <w:rPr>
          <w:sz w:val="28"/>
          <w:szCs w:val="28"/>
          <w:shd w:val="clear" w:color="auto" w:fill="FFFFFF"/>
        </w:rPr>
        <w:t xml:space="preserve"> Падейская E.H., 2005; Лазарева И.Б., Игонин A.</w:t>
      </w:r>
      <w:r w:rsidRPr="00C5336B">
        <w:rPr>
          <w:sz w:val="28"/>
          <w:szCs w:val="28"/>
          <w:shd w:val="clear" w:color="auto" w:fill="FFFFFF"/>
        </w:rPr>
        <w:t>A., 2004</w:t>
      </w:r>
      <w:r w:rsidRPr="00061EDE">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Среди аэробных и анаэробных микроорганизмов высокая резистентность определяется к доксициклину, ампициллину, эритромицину, клиндамицину. Низкий уровень резистентности отмечен к ингибиторзащищенным пенициллинам (ампициллин/сульбактам, амоксициллин/</w:t>
      </w:r>
      <w:r>
        <w:rPr>
          <w:sz w:val="28"/>
          <w:szCs w:val="28"/>
        </w:rPr>
        <w:t xml:space="preserve">клавулановая кислота) </w:t>
      </w:r>
      <w:r w:rsidRPr="00061EDE">
        <w:rPr>
          <w:sz w:val="28"/>
          <w:szCs w:val="28"/>
        </w:rPr>
        <w:t>(</w:t>
      </w:r>
      <w:r>
        <w:rPr>
          <w:sz w:val="28"/>
          <w:szCs w:val="28"/>
        </w:rPr>
        <w:t>Денис А.</w:t>
      </w:r>
      <w:r w:rsidRPr="00C5336B">
        <w:rPr>
          <w:sz w:val="28"/>
          <w:szCs w:val="28"/>
        </w:rPr>
        <w:t>Г., Ко</w:t>
      </w:r>
      <w:r>
        <w:rPr>
          <w:sz w:val="28"/>
          <w:szCs w:val="28"/>
        </w:rPr>
        <w:t>лядов Н.Ф., 2011</w:t>
      </w:r>
      <w:r w:rsidRPr="00061EDE">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lastRenderedPageBreak/>
        <w:t>Обоснованным является совместное применение антибиотиков и ферментных препаратов (вобэнзим и ДНК-аза</w:t>
      </w:r>
      <w:r>
        <w:rPr>
          <w:sz w:val="28"/>
          <w:szCs w:val="28"/>
        </w:rPr>
        <w:t xml:space="preserve">), воздействующих на биопленки </w:t>
      </w:r>
      <w:r w:rsidRPr="00061EDE">
        <w:rPr>
          <w:sz w:val="28"/>
          <w:szCs w:val="28"/>
        </w:rPr>
        <w:t>(</w:t>
      </w:r>
      <w:r w:rsidRPr="00C5336B">
        <w:rPr>
          <w:sz w:val="28"/>
          <w:szCs w:val="28"/>
        </w:rPr>
        <w:t>Артемен</w:t>
      </w:r>
      <w:r>
        <w:rPr>
          <w:sz w:val="28"/>
          <w:szCs w:val="28"/>
        </w:rPr>
        <w:t>ко К.Л., 2007</w:t>
      </w:r>
      <w:r w:rsidRPr="00061EDE">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 xml:space="preserve">Использование бактериофагов может являться дополнением к антибактериальной терапии гнойно-воспалительных заболеваний челюстно-лицевой области, в том числе при наличии фоновой патологии </w:t>
      </w:r>
      <w:r w:rsidRPr="00061EDE">
        <w:rPr>
          <w:sz w:val="28"/>
          <w:szCs w:val="28"/>
        </w:rPr>
        <w:t>(</w:t>
      </w:r>
      <w:r>
        <w:rPr>
          <w:sz w:val="28"/>
          <w:szCs w:val="28"/>
          <w:shd w:val="clear" w:color="auto" w:fill="FFFFFF"/>
        </w:rPr>
        <w:t>Булгакова В.</w:t>
      </w:r>
      <w:r w:rsidRPr="00C5336B">
        <w:rPr>
          <w:sz w:val="28"/>
          <w:szCs w:val="28"/>
          <w:shd w:val="clear" w:color="auto" w:fill="FFFFFF"/>
        </w:rPr>
        <w:t>А., 2010</w:t>
      </w:r>
      <w:r w:rsidRPr="00061EDE">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Возможно не только внутривенное и внутримышечное, но и регионарное лимфогенное введ</w:t>
      </w:r>
      <w:r>
        <w:rPr>
          <w:sz w:val="28"/>
          <w:szCs w:val="28"/>
        </w:rPr>
        <w:t xml:space="preserve">ение антибиотиков </w:t>
      </w:r>
      <w:r w:rsidRPr="00061EDE">
        <w:rPr>
          <w:sz w:val="28"/>
          <w:szCs w:val="28"/>
        </w:rPr>
        <w:t>(</w:t>
      </w:r>
      <w:r>
        <w:rPr>
          <w:sz w:val="28"/>
          <w:szCs w:val="28"/>
        </w:rPr>
        <w:t>Овчаренко В.</w:t>
      </w:r>
      <w:r w:rsidRPr="00C5336B">
        <w:rPr>
          <w:sz w:val="28"/>
          <w:szCs w:val="28"/>
        </w:rPr>
        <w:t>В., 2004;</w:t>
      </w:r>
      <w:r>
        <w:rPr>
          <w:sz w:val="28"/>
          <w:szCs w:val="28"/>
          <w:shd w:val="clear" w:color="auto" w:fill="FFFFFF"/>
        </w:rPr>
        <w:t xml:space="preserve"> Майбородин И.В., 2003; Терещенко А.Е. и др., 2000; Буянов В.</w:t>
      </w:r>
      <w:r w:rsidRPr="00C5336B">
        <w:rPr>
          <w:sz w:val="28"/>
          <w:szCs w:val="28"/>
          <w:shd w:val="clear" w:color="auto" w:fill="FFFFFF"/>
        </w:rPr>
        <w:t>М. и др., 1991</w:t>
      </w:r>
      <w:r w:rsidRPr="00061EDE">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 xml:space="preserve">Системным и локальным антибактериальным эффектом, применимым в хирургии одонтогенных осложнений при наличии фоновой патологии, обладают </w:t>
      </w:r>
      <w:r>
        <w:rPr>
          <w:sz w:val="28"/>
          <w:szCs w:val="28"/>
        </w:rPr>
        <w:t>также</w:t>
      </w:r>
      <w:r w:rsidRPr="00C5336B">
        <w:rPr>
          <w:sz w:val="28"/>
          <w:szCs w:val="28"/>
        </w:rPr>
        <w:t xml:space="preserve"> озонированные растворы, гипохлорит н</w:t>
      </w:r>
      <w:r>
        <w:rPr>
          <w:sz w:val="28"/>
          <w:szCs w:val="28"/>
        </w:rPr>
        <w:t xml:space="preserve">атрия </w:t>
      </w:r>
      <w:r w:rsidRPr="00061EDE">
        <w:rPr>
          <w:sz w:val="28"/>
          <w:szCs w:val="28"/>
        </w:rPr>
        <w:t>(</w:t>
      </w:r>
      <w:r>
        <w:rPr>
          <w:sz w:val="28"/>
          <w:szCs w:val="28"/>
        </w:rPr>
        <w:t>Векслер Н.Ю., Бояринов Г.</w:t>
      </w:r>
      <w:r w:rsidRPr="00C5336B">
        <w:rPr>
          <w:sz w:val="28"/>
          <w:szCs w:val="28"/>
        </w:rPr>
        <w:t xml:space="preserve">А., 2005; </w:t>
      </w:r>
      <w:r>
        <w:rPr>
          <w:sz w:val="28"/>
          <w:szCs w:val="28"/>
          <w:shd w:val="clear" w:color="auto" w:fill="FFFFFF"/>
        </w:rPr>
        <w:t>Бояринов Г.</w:t>
      </w:r>
      <w:r w:rsidRPr="00C5336B">
        <w:rPr>
          <w:sz w:val="28"/>
          <w:szCs w:val="28"/>
          <w:shd w:val="clear" w:color="auto" w:fill="FFFFFF"/>
        </w:rPr>
        <w:t xml:space="preserve">А. и </w:t>
      </w:r>
      <w:r>
        <w:rPr>
          <w:sz w:val="28"/>
          <w:szCs w:val="28"/>
          <w:shd w:val="clear" w:color="auto" w:fill="FFFFFF"/>
        </w:rPr>
        <w:t>др., 2005, 2000, 1999; Ацель Е.</w:t>
      </w:r>
      <w:r w:rsidRPr="00C5336B">
        <w:rPr>
          <w:sz w:val="28"/>
          <w:szCs w:val="28"/>
          <w:shd w:val="clear" w:color="auto" w:fill="FFFFFF"/>
        </w:rPr>
        <w:t>А., 2004; Ветчинникова О.</w:t>
      </w:r>
      <w:r>
        <w:rPr>
          <w:sz w:val="28"/>
          <w:szCs w:val="28"/>
          <w:shd w:val="clear" w:color="auto" w:fill="FFFFFF"/>
        </w:rPr>
        <w:t>Н. и др., 2002; Мовсесян Г.</w:t>
      </w:r>
      <w:r w:rsidRPr="00C5336B">
        <w:rPr>
          <w:sz w:val="28"/>
          <w:szCs w:val="28"/>
          <w:shd w:val="clear" w:color="auto" w:fill="FFFFFF"/>
        </w:rPr>
        <w:t>М. 2001; Шу</w:t>
      </w:r>
      <w:r>
        <w:rPr>
          <w:sz w:val="28"/>
          <w:szCs w:val="28"/>
          <w:shd w:val="clear" w:color="auto" w:fill="FFFFFF"/>
        </w:rPr>
        <w:t>лаков В.В. и др., 2000; Каршиев Х.</w:t>
      </w:r>
      <w:r w:rsidRPr="00C5336B">
        <w:rPr>
          <w:sz w:val="28"/>
          <w:szCs w:val="28"/>
          <w:shd w:val="clear" w:color="auto" w:fill="FFFFFF"/>
        </w:rPr>
        <w:t>К., 1998</w:t>
      </w:r>
      <w:r w:rsidRPr="008F04DC">
        <w:rPr>
          <w:sz w:val="28"/>
          <w:szCs w:val="28"/>
        </w:rPr>
        <w:t>)</w:t>
      </w:r>
      <w:r w:rsidRPr="00C5336B">
        <w:rPr>
          <w:sz w:val="28"/>
          <w:szCs w:val="28"/>
        </w:rPr>
        <w:t>.</w:t>
      </w:r>
    </w:p>
    <w:p w:rsidR="00286780" w:rsidRPr="00C5336B" w:rsidRDefault="00286780" w:rsidP="00C5336B">
      <w:pPr>
        <w:spacing w:line="360" w:lineRule="auto"/>
        <w:ind w:right="99" w:firstLine="709"/>
        <w:jc w:val="both"/>
        <w:rPr>
          <w:sz w:val="28"/>
          <w:szCs w:val="28"/>
        </w:rPr>
      </w:pPr>
      <w:r w:rsidRPr="00C5336B">
        <w:rPr>
          <w:sz w:val="28"/>
          <w:szCs w:val="28"/>
        </w:rPr>
        <w:t>Диагноз «сепсис», свидетельствующий о появлении системных признаков инфекционного процесса, позволяет считать возможным использование различных антибиотиков «первого» ряда, как в случае эмпирической терапии, так и при верифицированном возбудителе. Антибиотикотерапия должна применяться не только с учетом токсического влияния препаратов на органы, но и с учетом фактора высвобождения индукторов воспаления: липополисахарида грамотрицательных и тейхоевых кислот грамположител</w:t>
      </w:r>
      <w:r>
        <w:rPr>
          <w:sz w:val="28"/>
          <w:szCs w:val="28"/>
        </w:rPr>
        <w:t xml:space="preserve">ьных микроорганизмов </w:t>
      </w:r>
      <w:r w:rsidRPr="008F04DC">
        <w:rPr>
          <w:sz w:val="28"/>
          <w:szCs w:val="28"/>
        </w:rPr>
        <w:t>(</w:t>
      </w:r>
      <w:r>
        <w:rPr>
          <w:sz w:val="28"/>
          <w:szCs w:val="28"/>
        </w:rPr>
        <w:t>Ерюхин И.А. и др., 2006; Ушаков Р.В., Царев В.</w:t>
      </w:r>
      <w:r w:rsidRPr="00C5336B">
        <w:rPr>
          <w:sz w:val="28"/>
          <w:szCs w:val="28"/>
        </w:rPr>
        <w:t xml:space="preserve">Н., 2019; </w:t>
      </w:r>
      <w:r>
        <w:rPr>
          <w:color w:val="000000"/>
          <w:sz w:val="28"/>
          <w:szCs w:val="28"/>
        </w:rPr>
        <w:t>Писарик С.</w:t>
      </w:r>
      <w:r w:rsidRPr="00C5336B">
        <w:rPr>
          <w:color w:val="000000"/>
          <w:sz w:val="28"/>
          <w:szCs w:val="28"/>
        </w:rPr>
        <w:t>Ф. и др., 2012</w:t>
      </w:r>
      <w:r w:rsidRPr="008F04DC">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При установлении сепсиса антибактериальная терапия начинаться как можно раньше, в течение первого часа после установления соответствующего диагно</w:t>
      </w:r>
      <w:r>
        <w:rPr>
          <w:sz w:val="28"/>
          <w:szCs w:val="28"/>
        </w:rPr>
        <w:t xml:space="preserve">за </w:t>
      </w:r>
      <w:r w:rsidRPr="008F04DC">
        <w:rPr>
          <w:sz w:val="28"/>
          <w:szCs w:val="28"/>
        </w:rPr>
        <w:t>(</w:t>
      </w:r>
      <w:r>
        <w:rPr>
          <w:sz w:val="28"/>
          <w:szCs w:val="28"/>
        </w:rPr>
        <w:t>Савельев В.</w:t>
      </w:r>
      <w:r w:rsidRPr="00C5336B">
        <w:rPr>
          <w:sz w:val="28"/>
          <w:szCs w:val="28"/>
        </w:rPr>
        <w:t xml:space="preserve">С. и др., 2006; </w:t>
      </w:r>
      <w:r w:rsidRPr="00C5336B">
        <w:rPr>
          <w:sz w:val="28"/>
          <w:szCs w:val="28"/>
          <w:shd w:val="clear" w:color="auto" w:fill="FFFFFF"/>
          <w:lang w:val="en-US"/>
        </w:rPr>
        <w:t>Dellinger</w:t>
      </w:r>
      <w:r w:rsidRPr="0037499A">
        <w:rPr>
          <w:sz w:val="28"/>
          <w:szCs w:val="28"/>
          <w:shd w:val="clear" w:color="auto" w:fill="FFFFFF"/>
        </w:rPr>
        <w:t xml:space="preserve"> </w:t>
      </w:r>
      <w:r w:rsidRPr="00C5336B">
        <w:rPr>
          <w:sz w:val="28"/>
          <w:szCs w:val="28"/>
          <w:shd w:val="clear" w:color="auto" w:fill="FFFFFF"/>
          <w:lang w:val="en-US"/>
        </w:rPr>
        <w:t>R</w:t>
      </w:r>
      <w:r>
        <w:rPr>
          <w:sz w:val="28"/>
          <w:szCs w:val="28"/>
          <w:shd w:val="clear" w:color="auto" w:fill="FFFFFF"/>
        </w:rPr>
        <w:t>.</w:t>
      </w:r>
      <w:r w:rsidRPr="00C5336B">
        <w:rPr>
          <w:sz w:val="28"/>
          <w:szCs w:val="28"/>
          <w:shd w:val="clear" w:color="auto" w:fill="FFFFFF"/>
          <w:lang w:val="en-US"/>
        </w:rPr>
        <w:t>P</w:t>
      </w:r>
      <w:r w:rsidRPr="00C5336B">
        <w:rPr>
          <w:sz w:val="28"/>
          <w:szCs w:val="28"/>
          <w:shd w:val="clear" w:color="auto" w:fill="FFFFFF"/>
        </w:rPr>
        <w:t xml:space="preserve">. </w:t>
      </w:r>
      <w:r w:rsidRPr="00C5336B">
        <w:rPr>
          <w:sz w:val="28"/>
          <w:szCs w:val="28"/>
          <w:shd w:val="clear" w:color="auto" w:fill="FFFFFF"/>
          <w:lang w:val="en-US"/>
        </w:rPr>
        <w:t>et</w:t>
      </w:r>
      <w:r w:rsidRPr="0037499A">
        <w:rPr>
          <w:sz w:val="28"/>
          <w:szCs w:val="28"/>
          <w:shd w:val="clear" w:color="auto" w:fill="FFFFFF"/>
        </w:rPr>
        <w:t xml:space="preserve"> </w:t>
      </w:r>
      <w:r w:rsidRPr="00C5336B">
        <w:rPr>
          <w:sz w:val="28"/>
          <w:szCs w:val="28"/>
          <w:shd w:val="clear" w:color="auto" w:fill="FFFFFF"/>
          <w:lang w:val="en-US"/>
        </w:rPr>
        <w:t>al</w:t>
      </w:r>
      <w:r w:rsidRPr="00C5336B">
        <w:rPr>
          <w:sz w:val="28"/>
          <w:szCs w:val="28"/>
          <w:shd w:val="clear" w:color="auto" w:fill="FFFFFF"/>
        </w:rPr>
        <w:t>., 2004</w:t>
      </w:r>
      <w:r w:rsidRPr="008F04DC">
        <w:rPr>
          <w:sz w:val="28"/>
          <w:szCs w:val="28"/>
        </w:rPr>
        <w:t>)</w:t>
      </w:r>
      <w:r w:rsidRPr="00C5336B">
        <w:rPr>
          <w:sz w:val="28"/>
          <w:szCs w:val="28"/>
        </w:rPr>
        <w:t>.</w:t>
      </w:r>
      <w:r>
        <w:rPr>
          <w:sz w:val="28"/>
          <w:szCs w:val="28"/>
        </w:rPr>
        <w:t xml:space="preserve"> </w:t>
      </w:r>
      <w:r w:rsidRPr="00C5336B">
        <w:rPr>
          <w:sz w:val="28"/>
          <w:szCs w:val="28"/>
          <w:shd w:val="clear" w:color="auto" w:fill="FFFFFF"/>
        </w:rPr>
        <w:t>Раннее начало введения является ключевым фактором для положительного эффекта соответствующих противомикробных препаратов. При наличии сепсиса или септического шока каждый час задержки введения соответствующих антимикробных препаратов с</w:t>
      </w:r>
      <w:r>
        <w:rPr>
          <w:sz w:val="28"/>
          <w:szCs w:val="28"/>
          <w:shd w:val="clear" w:color="auto" w:fill="FFFFFF"/>
        </w:rPr>
        <w:t xml:space="preserve">вязан с увеличением смертности </w:t>
      </w:r>
      <w:r w:rsidRPr="008F04DC">
        <w:rPr>
          <w:sz w:val="28"/>
          <w:szCs w:val="28"/>
          <w:shd w:val="clear" w:color="auto" w:fill="FFFFFF"/>
        </w:rPr>
        <w:t>(</w:t>
      </w:r>
      <w:r w:rsidRPr="00C5336B">
        <w:rPr>
          <w:sz w:val="28"/>
          <w:szCs w:val="28"/>
          <w:shd w:val="clear" w:color="auto" w:fill="FFFFFF"/>
          <w:lang w:val="en-US"/>
        </w:rPr>
        <w:t>Rhodes</w:t>
      </w:r>
      <w:r w:rsidRPr="0037499A">
        <w:rPr>
          <w:sz w:val="28"/>
          <w:szCs w:val="28"/>
          <w:shd w:val="clear" w:color="auto" w:fill="FFFFFF"/>
        </w:rPr>
        <w:t xml:space="preserve"> </w:t>
      </w:r>
      <w:r w:rsidRPr="00C5336B">
        <w:rPr>
          <w:sz w:val="28"/>
          <w:szCs w:val="28"/>
          <w:shd w:val="clear" w:color="auto" w:fill="FFFFFF"/>
          <w:lang w:val="en-US"/>
        </w:rPr>
        <w:t>A</w:t>
      </w:r>
      <w:r w:rsidRPr="00C5336B">
        <w:rPr>
          <w:sz w:val="28"/>
          <w:szCs w:val="28"/>
          <w:shd w:val="clear" w:color="auto" w:fill="FFFFFF"/>
        </w:rPr>
        <w:t xml:space="preserve">. </w:t>
      </w:r>
      <w:r w:rsidRPr="00C5336B">
        <w:rPr>
          <w:sz w:val="28"/>
          <w:szCs w:val="28"/>
          <w:shd w:val="clear" w:color="auto" w:fill="FFFFFF"/>
          <w:lang w:val="en-US"/>
        </w:rPr>
        <w:t>et</w:t>
      </w:r>
      <w:r w:rsidRPr="0037499A">
        <w:rPr>
          <w:sz w:val="28"/>
          <w:szCs w:val="28"/>
          <w:shd w:val="clear" w:color="auto" w:fill="FFFFFF"/>
        </w:rPr>
        <w:t xml:space="preserve"> </w:t>
      </w:r>
      <w:r w:rsidRPr="00C5336B">
        <w:rPr>
          <w:sz w:val="28"/>
          <w:szCs w:val="28"/>
          <w:shd w:val="clear" w:color="auto" w:fill="FFFFFF"/>
          <w:lang w:val="en-US"/>
        </w:rPr>
        <w:t>al</w:t>
      </w:r>
      <w:r>
        <w:rPr>
          <w:sz w:val="28"/>
          <w:szCs w:val="28"/>
          <w:shd w:val="clear" w:color="auto" w:fill="FFFFFF"/>
        </w:rPr>
        <w:t>., 2016</w:t>
      </w:r>
      <w:r w:rsidRPr="008F04DC">
        <w:rPr>
          <w:sz w:val="28"/>
          <w:szCs w:val="28"/>
          <w:shd w:val="clear" w:color="auto" w:fill="FFFFFF"/>
        </w:rPr>
        <w:t>)</w:t>
      </w:r>
      <w:r w:rsidRPr="00C5336B">
        <w:rPr>
          <w:sz w:val="28"/>
          <w:szCs w:val="28"/>
          <w:shd w:val="clear" w:color="auto" w:fill="FFFFFF"/>
        </w:rPr>
        <w:t>.</w:t>
      </w:r>
    </w:p>
    <w:p w:rsidR="00286780" w:rsidRPr="00C5336B" w:rsidRDefault="00286780" w:rsidP="00C5336B">
      <w:pPr>
        <w:spacing w:line="360" w:lineRule="auto"/>
        <w:ind w:right="99" w:firstLine="709"/>
        <w:jc w:val="both"/>
        <w:rPr>
          <w:sz w:val="28"/>
          <w:szCs w:val="28"/>
        </w:rPr>
      </w:pPr>
      <w:r w:rsidRPr="00C5336B">
        <w:rPr>
          <w:sz w:val="28"/>
          <w:szCs w:val="28"/>
        </w:rPr>
        <w:lastRenderedPageBreak/>
        <w:t>Чем тяжелее генерализованная воспалительная реакция, тем более эффективный и безопасный антибиотик долже</w:t>
      </w:r>
      <w:r>
        <w:rPr>
          <w:sz w:val="28"/>
          <w:szCs w:val="28"/>
        </w:rPr>
        <w:t xml:space="preserve">н быть использован </w:t>
      </w:r>
      <w:r w:rsidRPr="008F04DC">
        <w:rPr>
          <w:sz w:val="28"/>
          <w:szCs w:val="28"/>
        </w:rPr>
        <w:t>(</w:t>
      </w:r>
      <w:r>
        <w:rPr>
          <w:sz w:val="28"/>
          <w:szCs w:val="28"/>
        </w:rPr>
        <w:t>Гельфанд Б.Р. и др., 2001</w:t>
      </w:r>
      <w:r w:rsidRPr="008F04DC">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Непосредственный выбор антибактериального препарата, используемого для лечения конкретного пациента с одонтогенным воспалительным процессом и одонтогенным сепсисом, зависит от совокупности различных факторов: степени тяжести воспалительного процесса (местная форма одонтогенной инфекции, сепсис, септический шок), микробиологических и культуральных характеристик возбудителей инфекции, функционального состояния органов и систем организма (компенсация, субкомпенсаци</w:t>
      </w:r>
      <w:r>
        <w:rPr>
          <w:sz w:val="28"/>
          <w:szCs w:val="28"/>
        </w:rPr>
        <w:t xml:space="preserve">я, декомпенсация) </w:t>
      </w:r>
      <w:r w:rsidRPr="008F04DC">
        <w:rPr>
          <w:sz w:val="28"/>
          <w:szCs w:val="28"/>
        </w:rPr>
        <w:t>(</w:t>
      </w:r>
      <w:r>
        <w:rPr>
          <w:sz w:val="28"/>
          <w:szCs w:val="28"/>
        </w:rPr>
        <w:t>Харитонов Ю.М., Громов А.Л., 2011; Гельфанд Б.Р. и др., 2001; Ерюхин И.А. и др., 2006</w:t>
      </w:r>
      <w:r w:rsidRPr="008F04DC">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При поступлении пациента с острым одонтогенным воспалительным процессом в стационар необходимо оценивать тяжесть состояния с использованием интегральных дифференциально-диагностических шкал (</w:t>
      </w:r>
      <w:r w:rsidRPr="00C5336B">
        <w:rPr>
          <w:sz w:val="28"/>
          <w:szCs w:val="28"/>
          <w:lang w:val="en-US"/>
        </w:rPr>
        <w:t>SOFA</w:t>
      </w:r>
      <w:r w:rsidRPr="00C5336B">
        <w:rPr>
          <w:sz w:val="28"/>
          <w:szCs w:val="28"/>
        </w:rPr>
        <w:t>, А</w:t>
      </w:r>
      <w:r w:rsidRPr="00C5336B">
        <w:rPr>
          <w:sz w:val="28"/>
          <w:szCs w:val="28"/>
          <w:lang w:val="en-US"/>
        </w:rPr>
        <w:t>PACHE</w:t>
      </w:r>
      <w:r w:rsidRPr="0037499A">
        <w:rPr>
          <w:sz w:val="28"/>
          <w:szCs w:val="28"/>
        </w:rPr>
        <w:t xml:space="preserve"> </w:t>
      </w:r>
      <w:r w:rsidRPr="00C5336B">
        <w:rPr>
          <w:sz w:val="28"/>
          <w:szCs w:val="28"/>
          <w:lang w:val="en-US"/>
        </w:rPr>
        <w:t>II</w:t>
      </w:r>
      <w:r w:rsidRPr="00C5336B">
        <w:rPr>
          <w:sz w:val="28"/>
          <w:szCs w:val="28"/>
        </w:rPr>
        <w:t xml:space="preserve"> и др.) тип острого воспалительного процесса (гнойный, гнойно-некротический, гнилостно-некротический или гангренозный), наличие фоновой или сопутствующей патологии. Назначается эмпирическая антибактериальная терапия, основанная на использовании антибиотиков широкого спектра действия. Если характер септического процесса расценивается как сепсис (и баллов по шкале А</w:t>
      </w:r>
      <w:r w:rsidRPr="00C5336B">
        <w:rPr>
          <w:sz w:val="28"/>
          <w:szCs w:val="28"/>
          <w:lang w:val="en-US"/>
        </w:rPr>
        <w:t>PACHE</w:t>
      </w:r>
      <w:r w:rsidRPr="0037499A">
        <w:rPr>
          <w:sz w:val="28"/>
          <w:szCs w:val="28"/>
        </w:rPr>
        <w:t xml:space="preserve"> </w:t>
      </w:r>
      <w:r w:rsidRPr="00C5336B">
        <w:rPr>
          <w:sz w:val="28"/>
          <w:szCs w:val="28"/>
          <w:lang w:val="en-US"/>
        </w:rPr>
        <w:t>II</w:t>
      </w:r>
      <w:r w:rsidRPr="00C5336B">
        <w:rPr>
          <w:sz w:val="28"/>
          <w:szCs w:val="28"/>
        </w:rPr>
        <w:t xml:space="preserve"> меньше 15, начальная форма сепсиса, фаза компенсации), средствами выбора являются цефалоспорины </w:t>
      </w:r>
      <w:r w:rsidRPr="00C5336B">
        <w:rPr>
          <w:sz w:val="28"/>
          <w:szCs w:val="28"/>
          <w:lang w:val="en-US"/>
        </w:rPr>
        <w:t>III</w:t>
      </w:r>
      <w:r w:rsidRPr="00C5336B">
        <w:rPr>
          <w:sz w:val="28"/>
          <w:szCs w:val="28"/>
        </w:rPr>
        <w:t xml:space="preserve"> поколения (цефабол, цефтриаксон, цефоперазон и др.), фторхинолоны (левофлоксацин, моксифлоксацин, офлоксацин и др.). Используются </w:t>
      </w:r>
      <w:r>
        <w:rPr>
          <w:sz w:val="28"/>
          <w:szCs w:val="28"/>
        </w:rPr>
        <w:t>также</w:t>
      </w:r>
      <w:r w:rsidRPr="00C5336B">
        <w:rPr>
          <w:sz w:val="28"/>
          <w:szCs w:val="28"/>
        </w:rPr>
        <w:t xml:space="preserve"> ингибиторзащищенные пенициллины (амоксициллин/клавуланат, ампициллин/сульбактам и др.), цефалоспорины </w:t>
      </w:r>
      <w:r w:rsidRPr="00C5336B">
        <w:rPr>
          <w:sz w:val="28"/>
          <w:szCs w:val="28"/>
          <w:lang w:val="en-US"/>
        </w:rPr>
        <w:t>II</w:t>
      </w:r>
      <w:r w:rsidRPr="00C5336B">
        <w:rPr>
          <w:sz w:val="28"/>
          <w:szCs w:val="28"/>
        </w:rPr>
        <w:t xml:space="preserve"> поколения (цефалексин и др.) в сочетании с амикацином. При подозрении на наличие анаэробной неклостридиальной инфекции (гнилостно-некротический тип воспалительного процесса), вышеперечисленные препараты (кроме моксифлоксацина) сочетаются с препаратами метронидазола (метрогил), реже с клиндамицином. При установлении тяжелого сепсиса, септического шока, полиорганной недостаточности (или баллов по шкале </w:t>
      </w:r>
      <w:r w:rsidRPr="00C5336B">
        <w:rPr>
          <w:sz w:val="28"/>
          <w:szCs w:val="28"/>
          <w:lang w:val="en-US"/>
        </w:rPr>
        <w:t>APACHEII</w:t>
      </w:r>
      <w:r w:rsidRPr="00C5336B">
        <w:rPr>
          <w:sz w:val="28"/>
          <w:szCs w:val="28"/>
        </w:rPr>
        <w:t xml:space="preserve"> более 15, фаза декомпенсации), необходимо использовать це</w:t>
      </w:r>
      <w:r w:rsidRPr="00C5336B">
        <w:rPr>
          <w:sz w:val="28"/>
          <w:szCs w:val="28"/>
        </w:rPr>
        <w:lastRenderedPageBreak/>
        <w:t xml:space="preserve">фалоспорины </w:t>
      </w:r>
      <w:r w:rsidRPr="00C5336B">
        <w:rPr>
          <w:sz w:val="28"/>
          <w:szCs w:val="28"/>
          <w:lang w:val="en-US"/>
        </w:rPr>
        <w:t>IV</w:t>
      </w:r>
      <w:r w:rsidRPr="00C5336B">
        <w:rPr>
          <w:sz w:val="28"/>
          <w:szCs w:val="28"/>
        </w:rPr>
        <w:t xml:space="preserve"> поколения цефепим (или цефпиром), или карбапенемы (меронем, эртапенем и др.). В отдельных случаях применимы цефалоспорины </w:t>
      </w:r>
      <w:r w:rsidRPr="00C5336B">
        <w:rPr>
          <w:sz w:val="28"/>
          <w:szCs w:val="28"/>
          <w:lang w:val="en-US"/>
        </w:rPr>
        <w:t>III</w:t>
      </w:r>
      <w:r w:rsidRPr="00C5336B">
        <w:rPr>
          <w:sz w:val="28"/>
          <w:szCs w:val="28"/>
        </w:rPr>
        <w:t xml:space="preserve"> поколения (в сочетании с метрогилом или реже – с клиндамицином) или комбинация левофло</w:t>
      </w:r>
      <w:r>
        <w:rPr>
          <w:sz w:val="28"/>
          <w:szCs w:val="28"/>
        </w:rPr>
        <w:t xml:space="preserve">ксацин и метрогил </w:t>
      </w:r>
      <w:r w:rsidRPr="008F04DC">
        <w:rPr>
          <w:sz w:val="28"/>
          <w:szCs w:val="28"/>
        </w:rPr>
        <w:t>(</w:t>
      </w:r>
      <w:r>
        <w:rPr>
          <w:sz w:val="28"/>
          <w:szCs w:val="28"/>
        </w:rPr>
        <w:t>Харитонов Ю.М., Громов А.Л., 2011; Гельфанд Б.Р. и др., 2001; Ерюхин И.</w:t>
      </w:r>
      <w:r w:rsidRPr="00C5336B">
        <w:rPr>
          <w:sz w:val="28"/>
          <w:szCs w:val="28"/>
        </w:rPr>
        <w:t>А.</w:t>
      </w:r>
      <w:r>
        <w:rPr>
          <w:sz w:val="28"/>
          <w:szCs w:val="28"/>
        </w:rPr>
        <w:t xml:space="preserve"> и др., 2006, 2004; Савельев В.С. и др., 2007, 2006</w:t>
      </w:r>
      <w:r w:rsidRPr="008F04DC">
        <w:rPr>
          <w:sz w:val="28"/>
          <w:szCs w:val="28"/>
        </w:rPr>
        <w:t>)</w:t>
      </w:r>
      <w:r w:rsidRPr="00C5336B">
        <w:rPr>
          <w:sz w:val="28"/>
          <w:szCs w:val="28"/>
        </w:rPr>
        <w:t xml:space="preserve">. </w:t>
      </w:r>
    </w:p>
    <w:p w:rsidR="00286780" w:rsidRPr="00C5336B" w:rsidRDefault="00286780" w:rsidP="00C5336B">
      <w:pPr>
        <w:spacing w:line="360" w:lineRule="auto"/>
        <w:ind w:firstLine="709"/>
        <w:jc w:val="both"/>
        <w:rPr>
          <w:sz w:val="28"/>
          <w:szCs w:val="28"/>
        </w:rPr>
      </w:pPr>
      <w:r w:rsidRPr="00C5336B">
        <w:rPr>
          <w:sz w:val="28"/>
          <w:szCs w:val="28"/>
        </w:rPr>
        <w:t xml:space="preserve">При назначении конкретных антибактериальных средств необходимо учитывать их способность усиливать синдром эндогенной интоксикации в результате высвобождения биологически активных веществ при бактериолизе. В связи с этим, применение цефалоспоринов </w:t>
      </w:r>
      <w:r w:rsidRPr="00C5336B">
        <w:rPr>
          <w:sz w:val="28"/>
          <w:szCs w:val="28"/>
          <w:lang w:val="en-US"/>
        </w:rPr>
        <w:t>II</w:t>
      </w:r>
      <w:r w:rsidRPr="00C5336B">
        <w:rPr>
          <w:sz w:val="28"/>
          <w:szCs w:val="28"/>
        </w:rPr>
        <w:t xml:space="preserve"> поколения и пенициллинов должно быть ограничено у пациентов с выраженной полиорганной недостаточ</w:t>
      </w:r>
      <w:r>
        <w:rPr>
          <w:sz w:val="28"/>
          <w:szCs w:val="28"/>
        </w:rPr>
        <w:t xml:space="preserve">ностью </w:t>
      </w:r>
      <w:r w:rsidRPr="008F04DC">
        <w:rPr>
          <w:sz w:val="28"/>
          <w:szCs w:val="28"/>
        </w:rPr>
        <w:t>(</w:t>
      </w:r>
      <w:r>
        <w:rPr>
          <w:sz w:val="28"/>
          <w:szCs w:val="28"/>
        </w:rPr>
        <w:t>Харитонов Ю.М., Громов А.Л., 2011; Гельфанд Б.Р. и др., 2001</w:t>
      </w:r>
      <w:r w:rsidRPr="008F04DC">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Во всех случаях обнаружения метициллинрезистентного золотистого стафилококка (</w:t>
      </w:r>
      <w:r w:rsidRPr="00C5336B">
        <w:rPr>
          <w:sz w:val="28"/>
          <w:szCs w:val="28"/>
          <w:lang w:val="en-US"/>
        </w:rPr>
        <w:t>MRSA</w:t>
      </w:r>
      <w:r w:rsidRPr="00C5336B">
        <w:rPr>
          <w:sz w:val="28"/>
          <w:szCs w:val="28"/>
        </w:rPr>
        <w:t>) используются ванком</w:t>
      </w:r>
      <w:r>
        <w:rPr>
          <w:sz w:val="28"/>
          <w:szCs w:val="28"/>
        </w:rPr>
        <w:t xml:space="preserve">ицин, линезолид или даптомицин </w:t>
      </w:r>
      <w:r w:rsidRPr="008F04DC">
        <w:rPr>
          <w:sz w:val="28"/>
          <w:szCs w:val="28"/>
        </w:rPr>
        <w:t>(</w:t>
      </w:r>
      <w:r w:rsidRPr="00C5336B">
        <w:rPr>
          <w:sz w:val="28"/>
          <w:szCs w:val="28"/>
        </w:rPr>
        <w:t>Уша</w:t>
      </w:r>
      <w:r>
        <w:rPr>
          <w:sz w:val="28"/>
          <w:szCs w:val="28"/>
        </w:rPr>
        <w:t>ков Р.В., Царев В.Н., 2019</w:t>
      </w:r>
      <w:r w:rsidRPr="008F04DC">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t>В последнее время в связи с введением критериев «Сепсис-3» понятия «сепсис», «тяжелый сепсис» пересмотрены, определение синдрома системной воспалительной реакции в связи с этим более не является основополагающим, однако это не может кардинально изменить основные подходы к принципам антибактериальной терапи</w:t>
      </w:r>
      <w:r>
        <w:rPr>
          <w:sz w:val="28"/>
          <w:szCs w:val="28"/>
        </w:rPr>
        <w:t xml:space="preserve">и тяжелых инфекций </w:t>
      </w:r>
      <w:r w:rsidRPr="008F04DC">
        <w:rPr>
          <w:sz w:val="28"/>
          <w:szCs w:val="28"/>
        </w:rPr>
        <w:t>(</w:t>
      </w:r>
      <w:r>
        <w:rPr>
          <w:sz w:val="28"/>
          <w:szCs w:val="28"/>
        </w:rPr>
        <w:t>Гельфанд Б.Р. и др., 2017; Руднов В.</w:t>
      </w:r>
      <w:r w:rsidRPr="00C5336B">
        <w:rPr>
          <w:sz w:val="28"/>
          <w:szCs w:val="28"/>
        </w:rPr>
        <w:t>А., Ку</w:t>
      </w:r>
      <w:r>
        <w:rPr>
          <w:sz w:val="28"/>
          <w:szCs w:val="28"/>
        </w:rPr>
        <w:t>лабухов В.В., 2016</w:t>
      </w:r>
      <w:r w:rsidRPr="008F04DC">
        <w:rPr>
          <w:sz w:val="28"/>
          <w:szCs w:val="28"/>
        </w:rPr>
        <w:t>)</w:t>
      </w:r>
      <w:r w:rsidRPr="00C5336B">
        <w:rPr>
          <w:sz w:val="28"/>
          <w:szCs w:val="28"/>
        </w:rPr>
        <w:t>.</w:t>
      </w:r>
    </w:p>
    <w:p w:rsidR="00286780" w:rsidRPr="00516AE4" w:rsidRDefault="00286780" w:rsidP="00C5336B">
      <w:pPr>
        <w:spacing w:line="360" w:lineRule="auto"/>
        <w:ind w:firstLine="709"/>
        <w:jc w:val="both"/>
        <w:rPr>
          <w:spacing w:val="-4"/>
          <w:sz w:val="28"/>
          <w:szCs w:val="28"/>
        </w:rPr>
      </w:pPr>
      <w:r w:rsidRPr="00516AE4">
        <w:rPr>
          <w:spacing w:val="-4"/>
          <w:sz w:val="28"/>
          <w:szCs w:val="28"/>
        </w:rPr>
        <w:t>После получения данных микробиологического исследования раневого отделяемого, крови и других биологических жидкостей (моча, плевральная или перитонеальная жидкость) используется целенаправленная антибиотикотерапия в зависимости от характеристик выделенного возбудителя (или нескольких возбудителей).</w:t>
      </w:r>
    </w:p>
    <w:p w:rsidR="00286780" w:rsidRPr="00C5336B" w:rsidRDefault="00286780" w:rsidP="00C5336B">
      <w:pPr>
        <w:spacing w:line="360" w:lineRule="auto"/>
        <w:ind w:firstLine="709"/>
        <w:jc w:val="both"/>
        <w:rPr>
          <w:sz w:val="28"/>
          <w:szCs w:val="28"/>
        </w:rPr>
      </w:pPr>
      <w:r w:rsidRPr="00C5336B">
        <w:rPr>
          <w:sz w:val="28"/>
          <w:szCs w:val="28"/>
        </w:rPr>
        <w:t>Применение антибиотиков должно проводиться с учетом возраста и наличия фоновой патологии. В частности, возможно фармакокинетическое взаимодействие с другими лекарственными средствами и нарушение всасывания (препаратами кальция, железа, алюминия, магния, теофиллином, нестероидными противовоспали</w:t>
      </w:r>
      <w:r>
        <w:rPr>
          <w:sz w:val="28"/>
          <w:szCs w:val="28"/>
        </w:rPr>
        <w:t xml:space="preserve">тельными средствами) </w:t>
      </w:r>
      <w:r w:rsidRPr="008F04DC">
        <w:rPr>
          <w:sz w:val="28"/>
          <w:szCs w:val="28"/>
        </w:rPr>
        <w:t>(</w:t>
      </w:r>
      <w:r>
        <w:rPr>
          <w:sz w:val="28"/>
          <w:szCs w:val="28"/>
        </w:rPr>
        <w:t>Ушаков Р.В., Царев В.</w:t>
      </w:r>
      <w:r w:rsidRPr="00C5336B">
        <w:rPr>
          <w:sz w:val="28"/>
          <w:szCs w:val="28"/>
        </w:rPr>
        <w:t xml:space="preserve">Н., 2019; </w:t>
      </w:r>
      <w:r>
        <w:rPr>
          <w:sz w:val="28"/>
          <w:szCs w:val="28"/>
          <w:shd w:val="clear" w:color="auto" w:fill="FFFFFF"/>
        </w:rPr>
        <w:t>Барер Г.</w:t>
      </w:r>
      <w:r w:rsidRPr="00C5336B">
        <w:rPr>
          <w:sz w:val="28"/>
          <w:szCs w:val="28"/>
          <w:shd w:val="clear" w:color="auto" w:fill="FFFFFF"/>
        </w:rPr>
        <w:t>М., Зо</w:t>
      </w:r>
      <w:r>
        <w:rPr>
          <w:sz w:val="28"/>
          <w:szCs w:val="28"/>
          <w:shd w:val="clear" w:color="auto" w:fill="FFFFFF"/>
        </w:rPr>
        <w:t>рян Е.В., 2006; Бажанов H.</w:t>
      </w:r>
      <w:r w:rsidRPr="00C5336B">
        <w:rPr>
          <w:sz w:val="28"/>
          <w:szCs w:val="28"/>
          <w:shd w:val="clear" w:color="auto" w:fill="FFFFFF"/>
        </w:rPr>
        <w:t>H. и др., 2005</w:t>
      </w:r>
      <w:r w:rsidRPr="008F04DC">
        <w:rPr>
          <w:sz w:val="28"/>
          <w:szCs w:val="28"/>
        </w:rPr>
        <w:t>)</w:t>
      </w:r>
      <w:r w:rsidRPr="00C5336B">
        <w:rPr>
          <w:sz w:val="28"/>
          <w:szCs w:val="28"/>
        </w:rPr>
        <w:t>.</w:t>
      </w:r>
    </w:p>
    <w:p w:rsidR="00286780" w:rsidRPr="00C5336B" w:rsidRDefault="00286780" w:rsidP="00C5336B">
      <w:pPr>
        <w:spacing w:line="360" w:lineRule="auto"/>
        <w:ind w:firstLine="709"/>
        <w:jc w:val="both"/>
        <w:rPr>
          <w:sz w:val="28"/>
          <w:szCs w:val="28"/>
        </w:rPr>
      </w:pPr>
      <w:r w:rsidRPr="00C5336B">
        <w:rPr>
          <w:sz w:val="28"/>
          <w:szCs w:val="28"/>
        </w:rPr>
        <w:lastRenderedPageBreak/>
        <w:t>При нарушениях функции печени – основного метаболизирующего органа – инактивация некоторых антибиотиков (макролиды, линкозамиды, тетрациклины, метронидазол) замедляется, что сопровождается увеличением концентрации препаратов в сыворотке крови и дальнейшему нарушению функций гепатоцитов вплоть до печеночной комы. При почечной недостаточности замедляется выведение других групп антибактериальных препаратов (бета-лактамы, аминогликозиды и др.), повышается риск токсического воздействия. В этом случае необходимым действием является определение клиренса креатинина, и при его снижении – уменьшение суточных дох антибиотиков или увеличение интервалов между отдельными введениями. В соответствующих руководствах подробно изложены схемы изменения дозировки в зависимости от клиренса креатинин</w:t>
      </w:r>
      <w:r>
        <w:rPr>
          <w:sz w:val="28"/>
          <w:szCs w:val="28"/>
        </w:rPr>
        <w:t xml:space="preserve">а </w:t>
      </w:r>
      <w:r w:rsidRPr="008F04DC">
        <w:rPr>
          <w:sz w:val="28"/>
          <w:szCs w:val="28"/>
        </w:rPr>
        <w:t>(</w:t>
      </w:r>
      <w:r>
        <w:rPr>
          <w:sz w:val="28"/>
          <w:szCs w:val="28"/>
        </w:rPr>
        <w:t>Страчунский Л.С., Козлов С.Н., 2002</w:t>
      </w:r>
      <w:r w:rsidRPr="008F04DC">
        <w:rPr>
          <w:sz w:val="28"/>
          <w:szCs w:val="28"/>
        </w:rPr>
        <w:t>)</w:t>
      </w:r>
      <w:r w:rsidRPr="00C5336B">
        <w:rPr>
          <w:sz w:val="28"/>
          <w:szCs w:val="28"/>
        </w:rPr>
        <w:t>.</w:t>
      </w:r>
    </w:p>
    <w:p w:rsidR="00286780" w:rsidRPr="00516AE4" w:rsidRDefault="00286780" w:rsidP="00C5336B">
      <w:pPr>
        <w:spacing w:line="360" w:lineRule="auto"/>
        <w:ind w:firstLine="709"/>
        <w:jc w:val="both"/>
        <w:rPr>
          <w:spacing w:val="-4"/>
          <w:sz w:val="28"/>
          <w:szCs w:val="28"/>
        </w:rPr>
      </w:pPr>
      <w:r w:rsidRPr="00516AE4">
        <w:rPr>
          <w:spacing w:val="-4"/>
          <w:sz w:val="28"/>
          <w:szCs w:val="28"/>
        </w:rPr>
        <w:t>В целом, антибиотикотерапия при различных формах хирургической инфекции, в том числе одонтогенной, подробно рассмотрена в существующих монографиях и руководствах. В то же время остаются открытыми вопросы рациональной антибиотикотерапии тяжелых инфекционных процессов одонтогенной этиологии при наличии полиорганной фоновой патологии и синдрома взаимного отягощения.</w:t>
      </w:r>
    </w:p>
    <w:p w:rsidR="00286780" w:rsidRPr="00C5336B" w:rsidRDefault="00286780" w:rsidP="00C5336B">
      <w:pPr>
        <w:spacing w:line="360" w:lineRule="auto"/>
        <w:ind w:firstLine="709"/>
        <w:jc w:val="both"/>
        <w:rPr>
          <w:sz w:val="28"/>
          <w:szCs w:val="28"/>
        </w:rPr>
      </w:pPr>
      <w:r w:rsidRPr="00C5336B">
        <w:rPr>
          <w:sz w:val="28"/>
          <w:szCs w:val="28"/>
        </w:rPr>
        <w:t>Интенсивная терапия, коррекция метаболических нарушений и иммунологических расстройств. Основной целью интенсивной терапии при сепсисе, в том числе одонтогенном, является оптимизация транспорта кислорода в условиях его повышенного потребления. Эта задача достигается с помощью двух основных направлений: гемодинамической и рес</w:t>
      </w:r>
      <w:r>
        <w:rPr>
          <w:sz w:val="28"/>
          <w:szCs w:val="28"/>
        </w:rPr>
        <w:t xml:space="preserve">пираторной поддержки </w:t>
      </w:r>
      <w:r w:rsidRPr="008F04DC">
        <w:rPr>
          <w:sz w:val="28"/>
          <w:szCs w:val="28"/>
        </w:rPr>
        <w:t>(</w:t>
      </w:r>
      <w:r>
        <w:rPr>
          <w:sz w:val="28"/>
          <w:szCs w:val="28"/>
        </w:rPr>
        <w:t>Ерюхин И.А. и др., 2004; Малышев В.</w:t>
      </w:r>
      <w:r w:rsidRPr="00C5336B">
        <w:rPr>
          <w:sz w:val="28"/>
          <w:szCs w:val="28"/>
        </w:rPr>
        <w:t xml:space="preserve">Д., 2002; Костюченко А. Л. и др., 2000; </w:t>
      </w:r>
      <w:r w:rsidRPr="00C5336B">
        <w:rPr>
          <w:sz w:val="28"/>
          <w:szCs w:val="28"/>
          <w:lang w:val="en-US"/>
        </w:rPr>
        <w:t>Van</w:t>
      </w:r>
      <w:r w:rsidRPr="0037499A">
        <w:rPr>
          <w:sz w:val="28"/>
          <w:szCs w:val="28"/>
        </w:rPr>
        <w:t xml:space="preserve"> </w:t>
      </w:r>
      <w:r w:rsidRPr="00C5336B">
        <w:rPr>
          <w:sz w:val="28"/>
          <w:szCs w:val="28"/>
          <w:lang w:val="en-US"/>
        </w:rPr>
        <w:t>den</w:t>
      </w:r>
      <w:r w:rsidRPr="0037499A">
        <w:rPr>
          <w:sz w:val="28"/>
          <w:szCs w:val="28"/>
        </w:rPr>
        <w:t xml:space="preserve"> </w:t>
      </w:r>
      <w:r w:rsidRPr="00C5336B">
        <w:rPr>
          <w:sz w:val="28"/>
          <w:szCs w:val="28"/>
          <w:lang w:val="en-US"/>
        </w:rPr>
        <w:t>Berghle</w:t>
      </w:r>
      <w:r w:rsidRPr="0037499A">
        <w:rPr>
          <w:sz w:val="28"/>
          <w:szCs w:val="28"/>
        </w:rPr>
        <w:t xml:space="preserve"> </w:t>
      </w:r>
      <w:r w:rsidRPr="00C5336B">
        <w:rPr>
          <w:sz w:val="28"/>
          <w:szCs w:val="28"/>
          <w:lang w:val="en-US"/>
        </w:rPr>
        <w:t>G</w:t>
      </w:r>
      <w:r w:rsidRPr="00C5336B">
        <w:rPr>
          <w:sz w:val="28"/>
          <w:szCs w:val="28"/>
        </w:rPr>
        <w:t xml:space="preserve">. </w:t>
      </w:r>
      <w:r w:rsidRPr="00C5336B">
        <w:rPr>
          <w:sz w:val="28"/>
          <w:szCs w:val="28"/>
          <w:lang w:val="en-US"/>
        </w:rPr>
        <w:t>et</w:t>
      </w:r>
      <w:r w:rsidRPr="0037499A">
        <w:rPr>
          <w:sz w:val="28"/>
          <w:szCs w:val="28"/>
        </w:rPr>
        <w:t xml:space="preserve"> </w:t>
      </w:r>
      <w:r w:rsidRPr="00C5336B">
        <w:rPr>
          <w:sz w:val="28"/>
          <w:szCs w:val="28"/>
          <w:lang w:val="en-US"/>
        </w:rPr>
        <w:t>al</w:t>
      </w:r>
      <w:r w:rsidRPr="00C5336B">
        <w:rPr>
          <w:sz w:val="28"/>
          <w:szCs w:val="28"/>
        </w:rPr>
        <w:t xml:space="preserve">., 2003; </w:t>
      </w:r>
      <w:r w:rsidRPr="00C5336B">
        <w:rPr>
          <w:sz w:val="28"/>
          <w:szCs w:val="28"/>
          <w:shd w:val="clear" w:color="auto" w:fill="FFFFFF"/>
          <w:lang w:val="en-US"/>
        </w:rPr>
        <w:t>Balk</w:t>
      </w:r>
      <w:r w:rsidRPr="0037499A">
        <w:rPr>
          <w:sz w:val="28"/>
          <w:szCs w:val="28"/>
          <w:shd w:val="clear" w:color="auto" w:fill="FFFFFF"/>
        </w:rPr>
        <w:t xml:space="preserve"> </w:t>
      </w:r>
      <w:r w:rsidRPr="00C5336B">
        <w:rPr>
          <w:sz w:val="28"/>
          <w:szCs w:val="28"/>
          <w:shd w:val="clear" w:color="auto" w:fill="FFFFFF"/>
          <w:lang w:val="en-US"/>
        </w:rPr>
        <w:t>R</w:t>
      </w:r>
      <w:r>
        <w:rPr>
          <w:sz w:val="28"/>
          <w:szCs w:val="28"/>
          <w:shd w:val="clear" w:color="auto" w:fill="FFFFFF"/>
        </w:rPr>
        <w:t>.</w:t>
      </w:r>
      <w:r w:rsidRPr="00C5336B">
        <w:rPr>
          <w:sz w:val="28"/>
          <w:szCs w:val="28"/>
          <w:shd w:val="clear" w:color="auto" w:fill="FFFFFF"/>
          <w:lang w:val="en-US"/>
        </w:rPr>
        <w:t>A</w:t>
      </w:r>
      <w:r w:rsidRPr="00C5336B">
        <w:rPr>
          <w:sz w:val="28"/>
          <w:szCs w:val="28"/>
          <w:shd w:val="clear" w:color="auto" w:fill="FFFFFF"/>
        </w:rPr>
        <w:t xml:space="preserve">., 2000; </w:t>
      </w:r>
      <w:r w:rsidRPr="00C5336B">
        <w:rPr>
          <w:sz w:val="28"/>
          <w:szCs w:val="28"/>
          <w:shd w:val="clear" w:color="auto" w:fill="FFFFFF"/>
          <w:lang w:val="en-US"/>
        </w:rPr>
        <w:t>Ranieri</w:t>
      </w:r>
      <w:r w:rsidRPr="0037499A">
        <w:rPr>
          <w:sz w:val="28"/>
          <w:szCs w:val="28"/>
          <w:shd w:val="clear" w:color="auto" w:fill="FFFFFF"/>
        </w:rPr>
        <w:t xml:space="preserve"> </w:t>
      </w:r>
      <w:r w:rsidRPr="00C5336B">
        <w:rPr>
          <w:sz w:val="28"/>
          <w:szCs w:val="28"/>
          <w:shd w:val="clear" w:color="auto" w:fill="FFFFFF"/>
          <w:lang w:val="en-US"/>
        </w:rPr>
        <w:t>V</w:t>
      </w:r>
      <w:r>
        <w:rPr>
          <w:sz w:val="28"/>
          <w:szCs w:val="28"/>
          <w:shd w:val="clear" w:color="auto" w:fill="FFFFFF"/>
        </w:rPr>
        <w:t>.</w:t>
      </w:r>
      <w:r w:rsidRPr="00C5336B">
        <w:rPr>
          <w:sz w:val="28"/>
          <w:szCs w:val="28"/>
          <w:shd w:val="clear" w:color="auto" w:fill="FFFFFF"/>
          <w:lang w:val="en-US"/>
        </w:rPr>
        <w:t>M</w:t>
      </w:r>
      <w:r w:rsidRPr="00C5336B">
        <w:rPr>
          <w:sz w:val="28"/>
          <w:szCs w:val="28"/>
          <w:shd w:val="clear" w:color="auto" w:fill="FFFFFF"/>
        </w:rPr>
        <w:t xml:space="preserve">. </w:t>
      </w:r>
      <w:r w:rsidRPr="00C5336B">
        <w:rPr>
          <w:sz w:val="28"/>
          <w:szCs w:val="28"/>
          <w:shd w:val="clear" w:color="auto" w:fill="FFFFFF"/>
          <w:lang w:val="en-US"/>
        </w:rPr>
        <w:t>et</w:t>
      </w:r>
      <w:r w:rsidRPr="0037499A">
        <w:rPr>
          <w:sz w:val="28"/>
          <w:szCs w:val="28"/>
          <w:shd w:val="clear" w:color="auto" w:fill="FFFFFF"/>
        </w:rPr>
        <w:t xml:space="preserve"> </w:t>
      </w:r>
      <w:r w:rsidRPr="00C5336B">
        <w:rPr>
          <w:sz w:val="28"/>
          <w:szCs w:val="28"/>
          <w:shd w:val="clear" w:color="auto" w:fill="FFFFFF"/>
          <w:lang w:val="en-US"/>
        </w:rPr>
        <w:t>al</w:t>
      </w:r>
      <w:r w:rsidRPr="00C5336B">
        <w:rPr>
          <w:sz w:val="28"/>
          <w:szCs w:val="28"/>
          <w:shd w:val="clear" w:color="auto" w:fill="FFFFFF"/>
        </w:rPr>
        <w:t xml:space="preserve">., 1999; </w:t>
      </w:r>
      <w:r w:rsidRPr="00C5336B">
        <w:rPr>
          <w:sz w:val="28"/>
          <w:szCs w:val="28"/>
          <w:shd w:val="clear" w:color="auto" w:fill="FFFFFF"/>
          <w:lang w:val="en-US"/>
        </w:rPr>
        <w:t>Amato</w:t>
      </w:r>
      <w:r w:rsidRPr="0037499A">
        <w:rPr>
          <w:sz w:val="28"/>
          <w:szCs w:val="28"/>
          <w:shd w:val="clear" w:color="auto" w:fill="FFFFFF"/>
        </w:rPr>
        <w:t xml:space="preserve"> </w:t>
      </w:r>
      <w:r w:rsidRPr="00C5336B">
        <w:rPr>
          <w:sz w:val="28"/>
          <w:szCs w:val="28"/>
          <w:shd w:val="clear" w:color="auto" w:fill="FFFFFF"/>
          <w:lang w:val="en-US"/>
        </w:rPr>
        <w:t>M</w:t>
      </w:r>
      <w:r>
        <w:rPr>
          <w:sz w:val="28"/>
          <w:szCs w:val="28"/>
          <w:shd w:val="clear" w:color="auto" w:fill="FFFFFF"/>
        </w:rPr>
        <w:t>.</w:t>
      </w:r>
      <w:r w:rsidRPr="00C5336B">
        <w:rPr>
          <w:sz w:val="28"/>
          <w:szCs w:val="28"/>
          <w:shd w:val="clear" w:color="auto" w:fill="FFFFFF"/>
          <w:lang w:val="en-US"/>
        </w:rPr>
        <w:t>B</w:t>
      </w:r>
      <w:r w:rsidRPr="00C5336B">
        <w:rPr>
          <w:sz w:val="28"/>
          <w:szCs w:val="28"/>
          <w:shd w:val="clear" w:color="auto" w:fill="FFFFFF"/>
        </w:rPr>
        <w:t xml:space="preserve">. </w:t>
      </w:r>
      <w:r w:rsidRPr="00C5336B">
        <w:rPr>
          <w:sz w:val="28"/>
          <w:szCs w:val="28"/>
          <w:shd w:val="clear" w:color="auto" w:fill="FFFFFF"/>
          <w:lang w:val="en-US"/>
        </w:rPr>
        <w:t>et</w:t>
      </w:r>
      <w:r w:rsidRPr="0037499A">
        <w:rPr>
          <w:sz w:val="28"/>
          <w:szCs w:val="28"/>
          <w:shd w:val="clear" w:color="auto" w:fill="FFFFFF"/>
        </w:rPr>
        <w:t xml:space="preserve"> </w:t>
      </w:r>
      <w:r w:rsidRPr="00C5336B">
        <w:rPr>
          <w:sz w:val="28"/>
          <w:szCs w:val="28"/>
          <w:shd w:val="clear" w:color="auto" w:fill="FFFFFF"/>
          <w:lang w:val="en-US"/>
        </w:rPr>
        <w:t>al</w:t>
      </w:r>
      <w:r w:rsidRPr="00C5336B">
        <w:rPr>
          <w:sz w:val="28"/>
          <w:szCs w:val="28"/>
          <w:shd w:val="clear" w:color="auto" w:fill="FFFFFF"/>
        </w:rPr>
        <w:t>., 1998</w:t>
      </w:r>
      <w:r w:rsidRPr="008F04DC">
        <w:rPr>
          <w:sz w:val="28"/>
          <w:szCs w:val="28"/>
        </w:rPr>
        <w:t>)</w:t>
      </w:r>
      <w:r w:rsidRPr="00C5336B">
        <w:rPr>
          <w:sz w:val="28"/>
          <w:szCs w:val="28"/>
        </w:rPr>
        <w:t>.</w:t>
      </w:r>
    </w:p>
    <w:p w:rsidR="00286780" w:rsidRPr="00C5336B" w:rsidRDefault="00286780" w:rsidP="00C5336B">
      <w:pPr>
        <w:spacing w:line="360" w:lineRule="auto"/>
        <w:ind w:right="99" w:firstLine="709"/>
        <w:jc w:val="both"/>
        <w:rPr>
          <w:sz w:val="28"/>
          <w:szCs w:val="28"/>
        </w:rPr>
      </w:pPr>
      <w:r w:rsidRPr="00C5336B">
        <w:rPr>
          <w:sz w:val="28"/>
          <w:szCs w:val="28"/>
        </w:rPr>
        <w:t>Обозначен рекомендуемый алгоритм рес</w:t>
      </w:r>
      <w:r>
        <w:rPr>
          <w:sz w:val="28"/>
          <w:szCs w:val="28"/>
        </w:rPr>
        <w:t xml:space="preserve">пираторной терапии при сепсисе </w:t>
      </w:r>
      <w:r w:rsidRPr="008F04DC">
        <w:rPr>
          <w:sz w:val="28"/>
          <w:szCs w:val="28"/>
        </w:rPr>
        <w:t>(</w:t>
      </w:r>
      <w:r w:rsidRPr="00C5336B">
        <w:rPr>
          <w:sz w:val="28"/>
          <w:szCs w:val="28"/>
          <w:lang w:val="en-US"/>
        </w:rPr>
        <w:t>Eichacker</w:t>
      </w:r>
      <w:r w:rsidRPr="0037499A">
        <w:rPr>
          <w:sz w:val="28"/>
          <w:szCs w:val="28"/>
        </w:rPr>
        <w:t xml:space="preserve"> </w:t>
      </w:r>
      <w:r w:rsidRPr="00C5336B">
        <w:rPr>
          <w:sz w:val="28"/>
          <w:szCs w:val="28"/>
          <w:lang w:val="en-US"/>
        </w:rPr>
        <w:t>P</w:t>
      </w:r>
      <w:r>
        <w:rPr>
          <w:sz w:val="28"/>
          <w:szCs w:val="28"/>
        </w:rPr>
        <w:t>.</w:t>
      </w:r>
      <w:r w:rsidRPr="00C5336B">
        <w:rPr>
          <w:sz w:val="28"/>
          <w:szCs w:val="28"/>
          <w:lang w:val="en-US"/>
        </w:rPr>
        <w:t>Q</w:t>
      </w:r>
      <w:r w:rsidRPr="0037499A">
        <w:rPr>
          <w:sz w:val="28"/>
          <w:szCs w:val="28"/>
        </w:rPr>
        <w:t xml:space="preserve">. </w:t>
      </w:r>
      <w:r>
        <w:rPr>
          <w:sz w:val="28"/>
          <w:szCs w:val="28"/>
          <w:lang w:val="en-US"/>
        </w:rPr>
        <w:t>e</w:t>
      </w:r>
      <w:r w:rsidRPr="00C5336B">
        <w:rPr>
          <w:sz w:val="28"/>
          <w:szCs w:val="28"/>
          <w:lang w:val="en-US"/>
        </w:rPr>
        <w:t>t</w:t>
      </w:r>
      <w:r w:rsidRPr="0037499A">
        <w:rPr>
          <w:sz w:val="28"/>
          <w:szCs w:val="28"/>
        </w:rPr>
        <w:t xml:space="preserve"> </w:t>
      </w:r>
      <w:r w:rsidRPr="00C5336B">
        <w:rPr>
          <w:sz w:val="28"/>
          <w:szCs w:val="28"/>
          <w:lang w:val="en-US"/>
        </w:rPr>
        <w:t>al</w:t>
      </w:r>
      <w:r w:rsidRPr="0037499A">
        <w:rPr>
          <w:sz w:val="28"/>
          <w:szCs w:val="28"/>
        </w:rPr>
        <w:t xml:space="preserve">., 2002; </w:t>
      </w:r>
      <w:r w:rsidRPr="00C5336B">
        <w:rPr>
          <w:sz w:val="28"/>
          <w:szCs w:val="28"/>
          <w:lang w:val="en-US"/>
        </w:rPr>
        <w:t>Ranieri</w:t>
      </w:r>
      <w:r w:rsidRPr="0037499A">
        <w:rPr>
          <w:sz w:val="28"/>
          <w:szCs w:val="28"/>
        </w:rPr>
        <w:t xml:space="preserve"> </w:t>
      </w:r>
      <w:r w:rsidRPr="00C5336B">
        <w:rPr>
          <w:sz w:val="28"/>
          <w:szCs w:val="28"/>
          <w:lang w:val="en-US"/>
        </w:rPr>
        <w:t>V</w:t>
      </w:r>
      <w:r w:rsidRPr="0037499A">
        <w:rPr>
          <w:sz w:val="28"/>
          <w:szCs w:val="28"/>
        </w:rPr>
        <w:t>.</w:t>
      </w:r>
      <w:r w:rsidRPr="00C5336B">
        <w:rPr>
          <w:sz w:val="28"/>
          <w:szCs w:val="28"/>
          <w:lang w:val="en-US"/>
        </w:rPr>
        <w:t>M</w:t>
      </w:r>
      <w:r w:rsidRPr="0037499A">
        <w:rPr>
          <w:sz w:val="28"/>
          <w:szCs w:val="28"/>
        </w:rPr>
        <w:t xml:space="preserve">. </w:t>
      </w:r>
      <w:r w:rsidRPr="00C5336B">
        <w:rPr>
          <w:sz w:val="28"/>
          <w:szCs w:val="28"/>
          <w:lang w:val="en-US"/>
        </w:rPr>
        <w:t>et</w:t>
      </w:r>
      <w:r w:rsidRPr="0037499A">
        <w:rPr>
          <w:sz w:val="28"/>
          <w:szCs w:val="28"/>
        </w:rPr>
        <w:t xml:space="preserve"> </w:t>
      </w:r>
      <w:r w:rsidRPr="00C5336B">
        <w:rPr>
          <w:sz w:val="28"/>
          <w:szCs w:val="28"/>
          <w:lang w:val="en-US"/>
        </w:rPr>
        <w:t>al</w:t>
      </w:r>
      <w:r w:rsidRPr="0037499A">
        <w:rPr>
          <w:sz w:val="28"/>
          <w:szCs w:val="28"/>
        </w:rPr>
        <w:t xml:space="preserve">., 1999; </w:t>
      </w:r>
      <w:r w:rsidRPr="00C5336B">
        <w:rPr>
          <w:sz w:val="28"/>
          <w:szCs w:val="28"/>
          <w:lang w:val="en-US"/>
        </w:rPr>
        <w:t>Slutsky</w:t>
      </w:r>
      <w:r w:rsidRPr="0037499A">
        <w:rPr>
          <w:sz w:val="28"/>
          <w:szCs w:val="28"/>
        </w:rPr>
        <w:t xml:space="preserve"> </w:t>
      </w:r>
      <w:r w:rsidRPr="00C5336B">
        <w:rPr>
          <w:sz w:val="28"/>
          <w:szCs w:val="28"/>
          <w:lang w:val="en-US"/>
        </w:rPr>
        <w:t>A</w:t>
      </w:r>
      <w:r w:rsidRPr="0037499A">
        <w:rPr>
          <w:sz w:val="28"/>
          <w:szCs w:val="28"/>
        </w:rPr>
        <w:t>.</w:t>
      </w:r>
      <w:r w:rsidRPr="00C5336B">
        <w:rPr>
          <w:sz w:val="28"/>
          <w:szCs w:val="28"/>
          <w:lang w:val="en-US"/>
        </w:rPr>
        <w:t>S</w:t>
      </w:r>
      <w:r w:rsidRPr="0037499A">
        <w:rPr>
          <w:sz w:val="28"/>
          <w:szCs w:val="28"/>
        </w:rPr>
        <w:t xml:space="preserve">. </w:t>
      </w:r>
      <w:r w:rsidRPr="00C5336B">
        <w:rPr>
          <w:sz w:val="28"/>
          <w:szCs w:val="28"/>
          <w:lang w:val="en-US"/>
        </w:rPr>
        <w:t>et</w:t>
      </w:r>
      <w:r w:rsidRPr="0037499A">
        <w:rPr>
          <w:sz w:val="28"/>
          <w:szCs w:val="28"/>
        </w:rPr>
        <w:t xml:space="preserve"> </w:t>
      </w:r>
      <w:r w:rsidRPr="00C5336B">
        <w:rPr>
          <w:sz w:val="28"/>
          <w:szCs w:val="28"/>
          <w:lang w:val="en-US"/>
        </w:rPr>
        <w:t>al</w:t>
      </w:r>
      <w:r w:rsidRPr="0037499A">
        <w:rPr>
          <w:sz w:val="28"/>
          <w:szCs w:val="28"/>
        </w:rPr>
        <w:t xml:space="preserve">., 1998; </w:t>
      </w:r>
      <w:r w:rsidRPr="00C5336B">
        <w:rPr>
          <w:sz w:val="28"/>
          <w:szCs w:val="28"/>
          <w:lang w:val="en-US"/>
        </w:rPr>
        <w:t>Schnapp</w:t>
      </w:r>
      <w:r w:rsidRPr="0037499A">
        <w:rPr>
          <w:sz w:val="28"/>
          <w:szCs w:val="28"/>
        </w:rPr>
        <w:t xml:space="preserve"> </w:t>
      </w:r>
      <w:r w:rsidRPr="00C5336B">
        <w:rPr>
          <w:sz w:val="28"/>
          <w:szCs w:val="28"/>
          <w:lang w:val="en-US"/>
        </w:rPr>
        <w:t>L</w:t>
      </w:r>
      <w:r w:rsidRPr="0037499A">
        <w:rPr>
          <w:sz w:val="28"/>
          <w:szCs w:val="28"/>
        </w:rPr>
        <w:t>.</w:t>
      </w:r>
      <w:r w:rsidRPr="00C5336B">
        <w:rPr>
          <w:sz w:val="28"/>
          <w:szCs w:val="28"/>
          <w:lang w:val="en-US"/>
        </w:rPr>
        <w:t>M</w:t>
      </w:r>
      <w:r w:rsidRPr="0037499A">
        <w:rPr>
          <w:sz w:val="28"/>
          <w:szCs w:val="28"/>
        </w:rPr>
        <w:t xml:space="preserve">. </w:t>
      </w:r>
      <w:r w:rsidRPr="00C5336B">
        <w:rPr>
          <w:sz w:val="28"/>
          <w:szCs w:val="28"/>
          <w:lang w:val="en-US"/>
        </w:rPr>
        <w:t>et</w:t>
      </w:r>
      <w:r w:rsidRPr="0037499A">
        <w:rPr>
          <w:sz w:val="28"/>
          <w:szCs w:val="28"/>
        </w:rPr>
        <w:t xml:space="preserve"> </w:t>
      </w:r>
      <w:r w:rsidRPr="00C5336B">
        <w:rPr>
          <w:sz w:val="28"/>
          <w:szCs w:val="28"/>
          <w:lang w:val="en-US"/>
        </w:rPr>
        <w:t>al</w:t>
      </w:r>
      <w:r w:rsidRPr="0037499A">
        <w:rPr>
          <w:sz w:val="28"/>
          <w:szCs w:val="28"/>
        </w:rPr>
        <w:t xml:space="preserve">., 1995; </w:t>
      </w:r>
      <w:r w:rsidRPr="00C5336B">
        <w:rPr>
          <w:sz w:val="28"/>
          <w:szCs w:val="28"/>
          <w:lang w:val="en-US"/>
        </w:rPr>
        <w:t>Rossaint</w:t>
      </w:r>
      <w:r w:rsidRPr="0037499A">
        <w:rPr>
          <w:sz w:val="28"/>
          <w:szCs w:val="28"/>
        </w:rPr>
        <w:t xml:space="preserve"> </w:t>
      </w:r>
      <w:r w:rsidRPr="00C5336B">
        <w:rPr>
          <w:sz w:val="28"/>
          <w:szCs w:val="28"/>
          <w:lang w:val="en-US"/>
        </w:rPr>
        <w:t>R</w:t>
      </w:r>
      <w:r w:rsidRPr="0037499A">
        <w:rPr>
          <w:sz w:val="28"/>
          <w:szCs w:val="28"/>
        </w:rPr>
        <w:t xml:space="preserve">. </w:t>
      </w:r>
      <w:r w:rsidRPr="00C5336B">
        <w:rPr>
          <w:sz w:val="28"/>
          <w:szCs w:val="28"/>
          <w:lang w:val="en-US"/>
        </w:rPr>
        <w:t>et</w:t>
      </w:r>
      <w:r w:rsidRPr="0037499A">
        <w:rPr>
          <w:sz w:val="28"/>
          <w:szCs w:val="28"/>
        </w:rPr>
        <w:t xml:space="preserve"> </w:t>
      </w:r>
      <w:r w:rsidRPr="00C5336B">
        <w:rPr>
          <w:sz w:val="28"/>
          <w:szCs w:val="28"/>
          <w:lang w:val="en-US"/>
        </w:rPr>
        <w:t>al</w:t>
      </w:r>
      <w:r w:rsidRPr="0037499A">
        <w:rPr>
          <w:sz w:val="28"/>
          <w:szCs w:val="28"/>
        </w:rPr>
        <w:t xml:space="preserve">., 1993; </w:t>
      </w:r>
      <w:r w:rsidRPr="00C5336B">
        <w:rPr>
          <w:sz w:val="28"/>
          <w:szCs w:val="28"/>
          <w:lang w:val="en-US"/>
        </w:rPr>
        <w:t>Shane</w:t>
      </w:r>
      <w:r w:rsidRPr="0037499A">
        <w:rPr>
          <w:sz w:val="28"/>
          <w:szCs w:val="28"/>
        </w:rPr>
        <w:t xml:space="preserve"> </w:t>
      </w:r>
      <w:r w:rsidRPr="00C5336B">
        <w:rPr>
          <w:sz w:val="28"/>
          <w:szCs w:val="28"/>
          <w:lang w:val="en-US"/>
        </w:rPr>
        <w:t>P</w:t>
      </w:r>
      <w:r w:rsidRPr="0037499A">
        <w:rPr>
          <w:sz w:val="28"/>
          <w:szCs w:val="28"/>
        </w:rPr>
        <w:t>.</w:t>
      </w:r>
      <w:r w:rsidRPr="00C5336B">
        <w:rPr>
          <w:sz w:val="28"/>
          <w:szCs w:val="28"/>
          <w:lang w:val="en-US"/>
        </w:rPr>
        <w:t>J</w:t>
      </w:r>
      <w:r w:rsidRPr="0037499A">
        <w:rPr>
          <w:sz w:val="28"/>
          <w:szCs w:val="28"/>
        </w:rPr>
        <w:t xml:space="preserve">. </w:t>
      </w:r>
      <w:r w:rsidRPr="00C5336B">
        <w:rPr>
          <w:sz w:val="28"/>
          <w:szCs w:val="28"/>
          <w:lang w:val="en-US"/>
        </w:rPr>
        <w:t>et</w:t>
      </w:r>
      <w:r w:rsidRPr="0037499A">
        <w:rPr>
          <w:sz w:val="28"/>
          <w:szCs w:val="28"/>
        </w:rPr>
        <w:t xml:space="preserve"> </w:t>
      </w:r>
      <w:r w:rsidRPr="00C5336B">
        <w:rPr>
          <w:sz w:val="28"/>
          <w:szCs w:val="28"/>
          <w:lang w:val="en-US"/>
        </w:rPr>
        <w:t>al</w:t>
      </w:r>
      <w:r w:rsidRPr="0037499A">
        <w:rPr>
          <w:sz w:val="28"/>
          <w:szCs w:val="28"/>
        </w:rPr>
        <w:t xml:space="preserve">., 1992). </w:t>
      </w:r>
      <w:r w:rsidRPr="00C5336B">
        <w:rPr>
          <w:sz w:val="28"/>
          <w:szCs w:val="28"/>
        </w:rPr>
        <w:t>В частности, ИВЛ необходимо проводить малыми объемами с положительным давлением в конце выдоха (ПДКВ), избегая баро- и волюмотравмы (повреждение давлением и объемом), эффективно проведение ИВЛ в положении на животе (прон-</w:t>
      </w:r>
      <w:r w:rsidRPr="00C5336B">
        <w:rPr>
          <w:sz w:val="28"/>
          <w:szCs w:val="28"/>
        </w:rPr>
        <w:lastRenderedPageBreak/>
        <w:t>позиция), возможно испол</w:t>
      </w:r>
      <w:r>
        <w:rPr>
          <w:sz w:val="28"/>
          <w:szCs w:val="28"/>
        </w:rPr>
        <w:t xml:space="preserve">ьзование кислородной поддержки </w:t>
      </w:r>
      <w:r w:rsidRPr="008F04DC">
        <w:rPr>
          <w:sz w:val="28"/>
          <w:szCs w:val="28"/>
        </w:rPr>
        <w:t>(</w:t>
      </w:r>
      <w:r w:rsidRPr="00C5336B">
        <w:rPr>
          <w:sz w:val="28"/>
          <w:szCs w:val="28"/>
        </w:rPr>
        <w:t>Ерюхин И. А. и др., 2004; Ра</w:t>
      </w:r>
      <w:r>
        <w:rPr>
          <w:sz w:val="28"/>
          <w:szCs w:val="28"/>
        </w:rPr>
        <w:t>душкевич В.Л. и др., 2011; Жданов Г.</w:t>
      </w:r>
      <w:r w:rsidRPr="00C5336B">
        <w:rPr>
          <w:sz w:val="28"/>
          <w:szCs w:val="28"/>
        </w:rPr>
        <w:t xml:space="preserve">Г., </w:t>
      </w:r>
      <w:r>
        <w:rPr>
          <w:sz w:val="28"/>
          <w:szCs w:val="28"/>
        </w:rPr>
        <w:t>Зильбер А.</w:t>
      </w:r>
      <w:r w:rsidRPr="00C5336B">
        <w:rPr>
          <w:sz w:val="28"/>
          <w:szCs w:val="28"/>
        </w:rPr>
        <w:t xml:space="preserve">П., 2007; </w:t>
      </w:r>
      <w:r w:rsidRPr="00C5336B">
        <w:rPr>
          <w:sz w:val="28"/>
          <w:szCs w:val="28"/>
          <w:lang w:val="en-US"/>
        </w:rPr>
        <w:t>Slutsky</w:t>
      </w:r>
      <w:r w:rsidRPr="0037499A">
        <w:rPr>
          <w:sz w:val="28"/>
          <w:szCs w:val="28"/>
        </w:rPr>
        <w:t xml:space="preserve"> </w:t>
      </w:r>
      <w:r w:rsidRPr="00C5336B">
        <w:rPr>
          <w:sz w:val="28"/>
          <w:szCs w:val="28"/>
          <w:lang w:val="en-US"/>
        </w:rPr>
        <w:t>A</w:t>
      </w:r>
      <w:r>
        <w:rPr>
          <w:sz w:val="28"/>
          <w:szCs w:val="28"/>
        </w:rPr>
        <w:t>.</w:t>
      </w:r>
      <w:r w:rsidRPr="00C5336B">
        <w:rPr>
          <w:sz w:val="28"/>
          <w:szCs w:val="28"/>
          <w:lang w:val="en-US"/>
        </w:rPr>
        <w:t>S</w:t>
      </w:r>
      <w:r w:rsidRPr="00C5336B">
        <w:rPr>
          <w:sz w:val="28"/>
          <w:szCs w:val="28"/>
        </w:rPr>
        <w:t xml:space="preserve">., 2001; </w:t>
      </w:r>
      <w:r w:rsidRPr="00C5336B">
        <w:rPr>
          <w:sz w:val="28"/>
          <w:szCs w:val="28"/>
          <w:lang w:val="en-US"/>
        </w:rPr>
        <w:t>Slutsky</w:t>
      </w:r>
      <w:r w:rsidRPr="0037499A">
        <w:rPr>
          <w:sz w:val="28"/>
          <w:szCs w:val="28"/>
        </w:rPr>
        <w:t xml:space="preserve"> </w:t>
      </w:r>
      <w:r w:rsidRPr="00C5336B">
        <w:rPr>
          <w:sz w:val="28"/>
          <w:szCs w:val="28"/>
          <w:lang w:val="en-US"/>
        </w:rPr>
        <w:t>A</w:t>
      </w:r>
      <w:r>
        <w:rPr>
          <w:sz w:val="28"/>
          <w:szCs w:val="28"/>
        </w:rPr>
        <w:t>.</w:t>
      </w:r>
      <w:r w:rsidRPr="00C5336B">
        <w:rPr>
          <w:sz w:val="28"/>
          <w:szCs w:val="28"/>
          <w:lang w:val="en-US"/>
        </w:rPr>
        <w:t>S</w:t>
      </w:r>
      <w:r w:rsidRPr="00C5336B">
        <w:rPr>
          <w:sz w:val="28"/>
          <w:szCs w:val="28"/>
        </w:rPr>
        <w:t xml:space="preserve">., </w:t>
      </w:r>
      <w:r w:rsidRPr="00C5336B">
        <w:rPr>
          <w:sz w:val="28"/>
          <w:szCs w:val="28"/>
          <w:lang w:val="en-US"/>
        </w:rPr>
        <w:t>Brazen</w:t>
      </w:r>
      <w:r w:rsidRPr="0037499A">
        <w:rPr>
          <w:sz w:val="28"/>
          <w:szCs w:val="28"/>
        </w:rPr>
        <w:t xml:space="preserve"> </w:t>
      </w:r>
      <w:r w:rsidRPr="00C5336B">
        <w:rPr>
          <w:sz w:val="28"/>
          <w:szCs w:val="28"/>
          <w:lang w:val="en-US"/>
        </w:rPr>
        <w:t>J</w:t>
      </w:r>
      <w:r>
        <w:rPr>
          <w:sz w:val="28"/>
          <w:szCs w:val="28"/>
        </w:rPr>
        <w:t>.</w:t>
      </w:r>
      <w:r w:rsidRPr="00C5336B">
        <w:rPr>
          <w:sz w:val="28"/>
          <w:szCs w:val="28"/>
          <w:lang w:val="en-US"/>
        </w:rPr>
        <w:t>M</w:t>
      </w:r>
      <w:r>
        <w:rPr>
          <w:sz w:val="28"/>
          <w:szCs w:val="28"/>
        </w:rPr>
        <w:t>., 2002</w:t>
      </w:r>
      <w:r w:rsidRPr="008F04DC">
        <w:rPr>
          <w:sz w:val="28"/>
          <w:szCs w:val="28"/>
        </w:rPr>
        <w:t>)</w:t>
      </w:r>
      <w:r w:rsidRPr="00C5336B">
        <w:rPr>
          <w:sz w:val="28"/>
          <w:szCs w:val="28"/>
        </w:rPr>
        <w:t>.</w:t>
      </w:r>
    </w:p>
    <w:p w:rsidR="00286780" w:rsidRPr="00E3214E" w:rsidRDefault="00286780" w:rsidP="00C5336B">
      <w:pPr>
        <w:spacing w:line="360" w:lineRule="auto"/>
        <w:ind w:right="99" w:firstLine="709"/>
        <w:jc w:val="both"/>
        <w:rPr>
          <w:spacing w:val="-2"/>
          <w:sz w:val="28"/>
          <w:szCs w:val="28"/>
        </w:rPr>
      </w:pPr>
      <w:r w:rsidRPr="00E3214E">
        <w:rPr>
          <w:spacing w:val="-2"/>
          <w:sz w:val="28"/>
          <w:szCs w:val="28"/>
        </w:rPr>
        <w:t>Гемодинамическая поддержка включает инфузионную терапию и введение вазоактивных препаратов, увеличивающие сосудистый тонус и обладающих влиянием на инотропную функцию сердца (адреналин, дофамин, добутамин, норадреналин) под контролем показателей гемодинамики и диуреза и других характ</w:t>
      </w:r>
      <w:r>
        <w:rPr>
          <w:spacing w:val="-2"/>
          <w:sz w:val="28"/>
          <w:szCs w:val="28"/>
        </w:rPr>
        <w:t xml:space="preserve">еристик </w:t>
      </w:r>
      <w:r w:rsidRPr="008F04DC">
        <w:rPr>
          <w:spacing w:val="-2"/>
          <w:sz w:val="28"/>
          <w:szCs w:val="28"/>
        </w:rPr>
        <w:t>(</w:t>
      </w:r>
      <w:r>
        <w:rPr>
          <w:color w:val="000000"/>
          <w:spacing w:val="-2"/>
          <w:sz w:val="28"/>
          <w:szCs w:val="28"/>
        </w:rPr>
        <w:t>Малышев В.</w:t>
      </w:r>
      <w:r w:rsidRPr="00E3214E">
        <w:rPr>
          <w:color w:val="000000"/>
          <w:spacing w:val="-2"/>
          <w:sz w:val="28"/>
          <w:szCs w:val="28"/>
        </w:rPr>
        <w:t>Д. и др., 2002</w:t>
      </w:r>
      <w:r>
        <w:rPr>
          <w:spacing w:val="-2"/>
          <w:sz w:val="28"/>
          <w:szCs w:val="28"/>
        </w:rPr>
        <w:t>; Савельев В. С. и др., 2006</w:t>
      </w:r>
      <w:r w:rsidRPr="00E3214E">
        <w:rPr>
          <w:color w:val="000000"/>
          <w:spacing w:val="-2"/>
          <w:sz w:val="28"/>
          <w:szCs w:val="28"/>
        </w:rPr>
        <w:t>;</w:t>
      </w:r>
      <w:r>
        <w:rPr>
          <w:color w:val="000000"/>
          <w:spacing w:val="-2"/>
          <w:sz w:val="28"/>
          <w:szCs w:val="28"/>
        </w:rPr>
        <w:t xml:space="preserve"> </w:t>
      </w:r>
      <w:r w:rsidRPr="00E3214E">
        <w:rPr>
          <w:spacing w:val="-2"/>
          <w:sz w:val="28"/>
          <w:szCs w:val="28"/>
          <w:lang w:val="en-US"/>
        </w:rPr>
        <w:t>Vincent</w:t>
      </w:r>
      <w:r w:rsidRPr="0037499A">
        <w:rPr>
          <w:spacing w:val="-2"/>
          <w:sz w:val="28"/>
          <w:szCs w:val="28"/>
        </w:rPr>
        <w:t xml:space="preserve"> </w:t>
      </w:r>
      <w:r w:rsidRPr="00E3214E">
        <w:rPr>
          <w:spacing w:val="-2"/>
          <w:sz w:val="28"/>
          <w:szCs w:val="28"/>
          <w:lang w:val="en-US"/>
        </w:rPr>
        <w:t>J</w:t>
      </w:r>
      <w:r>
        <w:rPr>
          <w:spacing w:val="-2"/>
          <w:sz w:val="28"/>
          <w:szCs w:val="28"/>
        </w:rPr>
        <w:t>.</w:t>
      </w:r>
      <w:r w:rsidRPr="00E3214E">
        <w:rPr>
          <w:spacing w:val="-2"/>
          <w:sz w:val="28"/>
          <w:szCs w:val="28"/>
          <w:lang w:val="en-US"/>
        </w:rPr>
        <w:t>L</w:t>
      </w:r>
      <w:r w:rsidRPr="00E3214E">
        <w:rPr>
          <w:spacing w:val="-2"/>
          <w:sz w:val="28"/>
          <w:szCs w:val="28"/>
        </w:rPr>
        <w:t>., 2001</w:t>
      </w:r>
      <w:r w:rsidRPr="008F04DC">
        <w:rPr>
          <w:spacing w:val="-2"/>
          <w:sz w:val="28"/>
          <w:szCs w:val="28"/>
        </w:rPr>
        <w:t>)</w:t>
      </w:r>
      <w:r w:rsidRPr="00E3214E">
        <w:rPr>
          <w:spacing w:val="-2"/>
          <w:sz w:val="28"/>
          <w:szCs w:val="28"/>
        </w:rPr>
        <w:t>.</w:t>
      </w:r>
    </w:p>
    <w:p w:rsidR="00286780" w:rsidRPr="00C5336B" w:rsidRDefault="00286780" w:rsidP="00C5336B">
      <w:pPr>
        <w:spacing w:line="360" w:lineRule="auto"/>
        <w:ind w:right="99" w:firstLine="709"/>
        <w:jc w:val="both"/>
        <w:rPr>
          <w:sz w:val="28"/>
          <w:szCs w:val="28"/>
        </w:rPr>
      </w:pPr>
      <w:r w:rsidRPr="00C5336B">
        <w:rPr>
          <w:sz w:val="28"/>
          <w:szCs w:val="28"/>
        </w:rPr>
        <w:t xml:space="preserve">Инфузионная терапия осуществляется растворами различного характера – кристаллоидами и коллоидами, имеющими свои достоинства и недостатки, объем инфузии подбирается индивидуально (с учетом массы тела и других факторов). Соответствующие рекомендации разрешают использование кристаллоидов, в том числе физиологического раствора, сбалансированных солевых растворов, растворов альбумина и желатина как дополнение к кристаллоидам, а препараты гидроксиэтилированного крахмала, широко распространенные ранее, в настоящее время признаны неэффективными или вредными </w:t>
      </w:r>
      <w:r w:rsidRPr="008F04DC">
        <w:rPr>
          <w:sz w:val="28"/>
          <w:szCs w:val="28"/>
        </w:rPr>
        <w:t>(</w:t>
      </w:r>
      <w:r w:rsidRPr="00C5336B">
        <w:rPr>
          <w:sz w:val="28"/>
          <w:szCs w:val="28"/>
          <w:shd w:val="clear" w:color="auto" w:fill="FFFFFF"/>
          <w:lang w:val="en-US"/>
        </w:rPr>
        <w:t>Rochwerg</w:t>
      </w:r>
      <w:r w:rsidRPr="0037499A">
        <w:rPr>
          <w:sz w:val="28"/>
          <w:szCs w:val="28"/>
          <w:shd w:val="clear" w:color="auto" w:fill="FFFFFF"/>
        </w:rPr>
        <w:t xml:space="preserve"> </w:t>
      </w:r>
      <w:r w:rsidRPr="00C5336B">
        <w:rPr>
          <w:sz w:val="28"/>
          <w:szCs w:val="28"/>
          <w:shd w:val="clear" w:color="auto" w:fill="FFFFFF"/>
          <w:lang w:val="en-US"/>
        </w:rPr>
        <w:t>B</w:t>
      </w:r>
      <w:r w:rsidRPr="00C5336B">
        <w:rPr>
          <w:sz w:val="28"/>
          <w:szCs w:val="28"/>
          <w:shd w:val="clear" w:color="auto" w:fill="FFFFFF"/>
        </w:rPr>
        <w:t xml:space="preserve">. </w:t>
      </w:r>
      <w:r>
        <w:rPr>
          <w:sz w:val="28"/>
          <w:szCs w:val="28"/>
          <w:shd w:val="clear" w:color="auto" w:fill="FFFFFF"/>
          <w:lang w:val="en-US"/>
        </w:rPr>
        <w:t>e</w:t>
      </w:r>
      <w:r w:rsidRPr="00C5336B">
        <w:rPr>
          <w:sz w:val="28"/>
          <w:szCs w:val="28"/>
          <w:shd w:val="clear" w:color="auto" w:fill="FFFFFF"/>
          <w:lang w:val="en-US"/>
        </w:rPr>
        <w:t>t</w:t>
      </w:r>
      <w:r w:rsidRPr="0037499A">
        <w:rPr>
          <w:sz w:val="28"/>
          <w:szCs w:val="28"/>
          <w:shd w:val="clear" w:color="auto" w:fill="FFFFFF"/>
        </w:rPr>
        <w:t xml:space="preserve"> </w:t>
      </w:r>
      <w:r w:rsidRPr="00C5336B">
        <w:rPr>
          <w:sz w:val="28"/>
          <w:szCs w:val="28"/>
          <w:shd w:val="clear" w:color="auto" w:fill="FFFFFF"/>
          <w:lang w:val="en-US"/>
        </w:rPr>
        <w:t>al</w:t>
      </w:r>
      <w:r w:rsidRPr="00C5336B">
        <w:rPr>
          <w:sz w:val="28"/>
          <w:szCs w:val="28"/>
          <w:shd w:val="clear" w:color="auto" w:fill="FFFFFF"/>
        </w:rPr>
        <w:t xml:space="preserve">., 2014; </w:t>
      </w:r>
      <w:r w:rsidRPr="00C5336B">
        <w:rPr>
          <w:sz w:val="28"/>
          <w:szCs w:val="28"/>
          <w:shd w:val="clear" w:color="auto" w:fill="FFFFFF"/>
          <w:lang w:val="en-US"/>
        </w:rPr>
        <w:t>Rhodes</w:t>
      </w:r>
      <w:r w:rsidRPr="0037499A">
        <w:rPr>
          <w:sz w:val="28"/>
          <w:szCs w:val="28"/>
          <w:shd w:val="clear" w:color="auto" w:fill="FFFFFF"/>
        </w:rPr>
        <w:t xml:space="preserve"> </w:t>
      </w:r>
      <w:r w:rsidRPr="00C5336B">
        <w:rPr>
          <w:sz w:val="28"/>
          <w:szCs w:val="28"/>
          <w:shd w:val="clear" w:color="auto" w:fill="FFFFFF"/>
          <w:lang w:val="en-US"/>
        </w:rPr>
        <w:t>A</w:t>
      </w:r>
      <w:r w:rsidRPr="00C5336B">
        <w:rPr>
          <w:sz w:val="28"/>
          <w:szCs w:val="28"/>
          <w:shd w:val="clear" w:color="auto" w:fill="FFFFFF"/>
        </w:rPr>
        <w:t xml:space="preserve">. </w:t>
      </w:r>
      <w:r w:rsidRPr="00C5336B">
        <w:rPr>
          <w:sz w:val="28"/>
          <w:szCs w:val="28"/>
          <w:shd w:val="clear" w:color="auto" w:fill="FFFFFF"/>
          <w:lang w:val="en-US"/>
        </w:rPr>
        <w:t>et</w:t>
      </w:r>
      <w:r w:rsidRPr="0037499A">
        <w:rPr>
          <w:sz w:val="28"/>
          <w:szCs w:val="28"/>
          <w:shd w:val="clear" w:color="auto" w:fill="FFFFFF"/>
        </w:rPr>
        <w:t xml:space="preserve"> </w:t>
      </w:r>
      <w:r w:rsidRPr="00C5336B">
        <w:rPr>
          <w:sz w:val="28"/>
          <w:szCs w:val="28"/>
          <w:shd w:val="clear" w:color="auto" w:fill="FFFFFF"/>
          <w:lang w:val="en-US"/>
        </w:rPr>
        <w:t>al</w:t>
      </w:r>
      <w:r w:rsidRPr="00C5336B">
        <w:rPr>
          <w:sz w:val="28"/>
          <w:szCs w:val="28"/>
          <w:shd w:val="clear" w:color="auto" w:fill="FFFFFF"/>
        </w:rPr>
        <w:t>., 2017</w:t>
      </w:r>
      <w:r w:rsidRPr="008F04DC">
        <w:rPr>
          <w:sz w:val="28"/>
          <w:szCs w:val="28"/>
        </w:rPr>
        <w:t>)</w:t>
      </w:r>
      <w:r w:rsidRPr="00C5336B">
        <w:rPr>
          <w:sz w:val="28"/>
          <w:szCs w:val="28"/>
        </w:rPr>
        <w:t>.</w:t>
      </w:r>
    </w:p>
    <w:p w:rsidR="00286780" w:rsidRPr="00C5336B" w:rsidRDefault="00286780" w:rsidP="00C5336B">
      <w:pPr>
        <w:spacing w:line="360" w:lineRule="auto"/>
        <w:ind w:right="99" w:firstLine="709"/>
        <w:jc w:val="both"/>
        <w:rPr>
          <w:sz w:val="28"/>
          <w:szCs w:val="28"/>
        </w:rPr>
      </w:pPr>
      <w:r w:rsidRPr="00C5336B">
        <w:rPr>
          <w:sz w:val="28"/>
          <w:szCs w:val="28"/>
        </w:rPr>
        <w:t>Инфузионная терапия является важным компонентом интенсивной терапии тяжелых фор</w:t>
      </w:r>
      <w:r>
        <w:rPr>
          <w:sz w:val="28"/>
          <w:szCs w:val="28"/>
        </w:rPr>
        <w:t xml:space="preserve">м острой одонтогенной инфекции </w:t>
      </w:r>
      <w:r w:rsidRPr="008F04DC">
        <w:rPr>
          <w:sz w:val="28"/>
          <w:szCs w:val="28"/>
        </w:rPr>
        <w:t>(</w:t>
      </w:r>
      <w:r>
        <w:rPr>
          <w:sz w:val="28"/>
          <w:szCs w:val="28"/>
        </w:rPr>
        <w:t>Будаев А.П., 2001; Губин М.</w:t>
      </w:r>
      <w:r w:rsidRPr="00C5336B">
        <w:rPr>
          <w:sz w:val="28"/>
          <w:szCs w:val="28"/>
        </w:rPr>
        <w:t xml:space="preserve">А. </w:t>
      </w:r>
      <w:r>
        <w:rPr>
          <w:sz w:val="28"/>
          <w:szCs w:val="28"/>
        </w:rPr>
        <w:t>и др., 2004, 2003; Харитонов Ю.</w:t>
      </w:r>
      <w:r w:rsidRPr="00C5336B">
        <w:rPr>
          <w:sz w:val="28"/>
          <w:szCs w:val="28"/>
        </w:rPr>
        <w:t xml:space="preserve">М. и др., 2011; </w:t>
      </w:r>
      <w:r w:rsidRPr="00C5336B">
        <w:rPr>
          <w:sz w:val="28"/>
          <w:szCs w:val="28"/>
          <w:lang w:val="en-US"/>
        </w:rPr>
        <w:t>Leyva</w:t>
      </w:r>
      <w:r w:rsidRPr="0037499A">
        <w:rPr>
          <w:sz w:val="28"/>
          <w:szCs w:val="28"/>
        </w:rPr>
        <w:t xml:space="preserve"> </w:t>
      </w:r>
      <w:r w:rsidRPr="00C5336B">
        <w:rPr>
          <w:sz w:val="28"/>
          <w:szCs w:val="28"/>
          <w:lang w:val="en-US"/>
        </w:rPr>
        <w:t>P</w:t>
      </w:r>
      <w:r w:rsidRPr="00C5336B">
        <w:rPr>
          <w:sz w:val="28"/>
          <w:szCs w:val="28"/>
        </w:rPr>
        <w:t xml:space="preserve">. </w:t>
      </w:r>
      <w:r w:rsidRPr="00C5336B">
        <w:rPr>
          <w:sz w:val="28"/>
          <w:szCs w:val="28"/>
          <w:lang w:val="en-US"/>
        </w:rPr>
        <w:t>et</w:t>
      </w:r>
      <w:r w:rsidRPr="0037499A">
        <w:rPr>
          <w:sz w:val="28"/>
          <w:szCs w:val="28"/>
        </w:rPr>
        <w:t xml:space="preserve"> </w:t>
      </w:r>
      <w:r w:rsidRPr="00C5336B">
        <w:rPr>
          <w:sz w:val="28"/>
          <w:szCs w:val="28"/>
          <w:lang w:val="en-US"/>
        </w:rPr>
        <w:t>al</w:t>
      </w:r>
      <w:r>
        <w:rPr>
          <w:sz w:val="28"/>
          <w:szCs w:val="28"/>
        </w:rPr>
        <w:t>., 2013</w:t>
      </w:r>
      <w:r w:rsidRPr="00026A2C">
        <w:rPr>
          <w:sz w:val="28"/>
          <w:szCs w:val="28"/>
        </w:rPr>
        <w:t>)</w:t>
      </w:r>
      <w:r w:rsidRPr="00C5336B">
        <w:rPr>
          <w:sz w:val="28"/>
          <w:szCs w:val="28"/>
        </w:rPr>
        <w:t>. Современные параметры инфузионной терапии и другие аспекты интенсивного лечения, рекомендуемые для пациентов с сепсисом, должны в полной мере использоваться при лечении больных с тяжелыми одонтогенными осложнениями, в том числе при наличии полиорганной фоновой патологии, что в настоящее время выполняется не в полном объеме.</w:t>
      </w:r>
    </w:p>
    <w:p w:rsidR="00286780" w:rsidRPr="00C5336B" w:rsidRDefault="00286780" w:rsidP="00C5336B">
      <w:pPr>
        <w:spacing w:line="360" w:lineRule="auto"/>
        <w:ind w:right="99" w:firstLine="709"/>
        <w:jc w:val="both"/>
        <w:rPr>
          <w:sz w:val="28"/>
          <w:szCs w:val="28"/>
        </w:rPr>
      </w:pPr>
      <w:r w:rsidRPr="00C5336B">
        <w:rPr>
          <w:sz w:val="28"/>
          <w:szCs w:val="28"/>
        </w:rPr>
        <w:t xml:space="preserve">Применение глюкокортикостероидов: в некоторых исследованиях установлено положительное влияние применения </w:t>
      </w:r>
      <w:r w:rsidRPr="00C5336B">
        <w:rPr>
          <w:i/>
          <w:sz w:val="28"/>
          <w:szCs w:val="28"/>
        </w:rPr>
        <w:t>малых</w:t>
      </w:r>
      <w:r w:rsidRPr="00C5336B">
        <w:rPr>
          <w:sz w:val="28"/>
          <w:szCs w:val="28"/>
        </w:rPr>
        <w:t xml:space="preserve"> доз гидрокортизона (100 мг 3 раза в сутки или в виде инфузии 0,18 мг/кг/час) длительно, в течение 5–10 суток, при лечении больных с рефрактерным септическим шоком </w:t>
      </w:r>
      <w:r w:rsidRPr="00026A2C">
        <w:rPr>
          <w:sz w:val="28"/>
          <w:szCs w:val="28"/>
        </w:rPr>
        <w:t>(</w:t>
      </w:r>
      <w:r w:rsidRPr="00C5336B">
        <w:rPr>
          <w:sz w:val="28"/>
          <w:szCs w:val="28"/>
          <w:shd w:val="clear" w:color="auto" w:fill="FFFFFF"/>
          <w:lang w:val="en-US"/>
        </w:rPr>
        <w:t>Bollaert</w:t>
      </w:r>
      <w:r w:rsidRPr="0037499A">
        <w:rPr>
          <w:sz w:val="28"/>
          <w:szCs w:val="28"/>
          <w:shd w:val="clear" w:color="auto" w:fill="FFFFFF"/>
        </w:rPr>
        <w:t xml:space="preserve"> </w:t>
      </w:r>
      <w:r w:rsidRPr="00C5336B">
        <w:rPr>
          <w:sz w:val="28"/>
          <w:szCs w:val="28"/>
          <w:shd w:val="clear" w:color="auto" w:fill="FFFFFF"/>
          <w:lang w:val="en-US"/>
        </w:rPr>
        <w:t>P</w:t>
      </w:r>
      <w:r>
        <w:rPr>
          <w:sz w:val="28"/>
          <w:szCs w:val="28"/>
          <w:shd w:val="clear" w:color="auto" w:fill="FFFFFF"/>
        </w:rPr>
        <w:t>.</w:t>
      </w:r>
      <w:r w:rsidRPr="00C5336B">
        <w:rPr>
          <w:sz w:val="28"/>
          <w:szCs w:val="28"/>
          <w:shd w:val="clear" w:color="auto" w:fill="FFFFFF"/>
          <w:lang w:val="en-US"/>
        </w:rPr>
        <w:t>E</w:t>
      </w:r>
      <w:r w:rsidRPr="00C5336B">
        <w:rPr>
          <w:sz w:val="28"/>
          <w:szCs w:val="28"/>
          <w:shd w:val="clear" w:color="auto" w:fill="FFFFFF"/>
        </w:rPr>
        <w:t xml:space="preserve">. </w:t>
      </w:r>
      <w:r w:rsidRPr="00C5336B">
        <w:rPr>
          <w:sz w:val="28"/>
          <w:szCs w:val="28"/>
          <w:shd w:val="clear" w:color="auto" w:fill="FFFFFF"/>
          <w:lang w:val="en-US"/>
        </w:rPr>
        <w:t>et</w:t>
      </w:r>
      <w:r w:rsidRPr="0037499A">
        <w:rPr>
          <w:sz w:val="28"/>
          <w:szCs w:val="28"/>
          <w:shd w:val="clear" w:color="auto" w:fill="FFFFFF"/>
        </w:rPr>
        <w:t xml:space="preserve"> </w:t>
      </w:r>
      <w:r w:rsidRPr="00C5336B">
        <w:rPr>
          <w:sz w:val="28"/>
          <w:szCs w:val="28"/>
          <w:shd w:val="clear" w:color="auto" w:fill="FFFFFF"/>
          <w:lang w:val="en-US"/>
        </w:rPr>
        <w:t>al</w:t>
      </w:r>
      <w:r w:rsidRPr="00C5336B">
        <w:rPr>
          <w:sz w:val="28"/>
          <w:szCs w:val="28"/>
          <w:shd w:val="clear" w:color="auto" w:fill="FFFFFF"/>
        </w:rPr>
        <w:t>.</w:t>
      </w:r>
      <w:r w:rsidRPr="00C5336B">
        <w:rPr>
          <w:sz w:val="28"/>
          <w:szCs w:val="28"/>
        </w:rPr>
        <w:t xml:space="preserve">, 1998; </w:t>
      </w:r>
      <w:r w:rsidRPr="00C5336B">
        <w:rPr>
          <w:sz w:val="28"/>
          <w:szCs w:val="28"/>
          <w:shd w:val="clear" w:color="auto" w:fill="FFFFFF"/>
          <w:lang w:val="en-US"/>
        </w:rPr>
        <w:t>Briege</w:t>
      </w:r>
      <w:r w:rsidRPr="0037499A">
        <w:rPr>
          <w:sz w:val="28"/>
          <w:szCs w:val="28"/>
          <w:shd w:val="clear" w:color="auto" w:fill="FFFFFF"/>
        </w:rPr>
        <w:t xml:space="preserve"> </w:t>
      </w:r>
      <w:r w:rsidRPr="00C5336B">
        <w:rPr>
          <w:sz w:val="28"/>
          <w:szCs w:val="28"/>
          <w:shd w:val="clear" w:color="auto" w:fill="FFFFFF"/>
          <w:lang w:val="en-US"/>
        </w:rPr>
        <w:t>lJ</w:t>
      </w:r>
      <w:r w:rsidRPr="00C5336B">
        <w:rPr>
          <w:sz w:val="28"/>
          <w:szCs w:val="28"/>
          <w:shd w:val="clear" w:color="auto" w:fill="FFFFFF"/>
        </w:rPr>
        <w:t xml:space="preserve">. </w:t>
      </w:r>
      <w:r>
        <w:rPr>
          <w:sz w:val="28"/>
          <w:szCs w:val="28"/>
          <w:shd w:val="clear" w:color="auto" w:fill="FFFFFF"/>
          <w:lang w:val="en-US"/>
        </w:rPr>
        <w:t>e</w:t>
      </w:r>
      <w:r w:rsidRPr="00C5336B">
        <w:rPr>
          <w:sz w:val="28"/>
          <w:szCs w:val="28"/>
          <w:shd w:val="clear" w:color="auto" w:fill="FFFFFF"/>
          <w:lang w:val="en-US"/>
        </w:rPr>
        <w:t>t</w:t>
      </w:r>
      <w:r w:rsidRPr="0037499A">
        <w:rPr>
          <w:sz w:val="28"/>
          <w:szCs w:val="28"/>
          <w:shd w:val="clear" w:color="auto" w:fill="FFFFFF"/>
        </w:rPr>
        <w:t xml:space="preserve"> </w:t>
      </w:r>
      <w:r w:rsidRPr="00C5336B">
        <w:rPr>
          <w:sz w:val="28"/>
          <w:szCs w:val="28"/>
          <w:shd w:val="clear" w:color="auto" w:fill="FFFFFF"/>
          <w:lang w:val="en-US"/>
        </w:rPr>
        <w:t>al</w:t>
      </w:r>
      <w:r w:rsidRPr="00C5336B">
        <w:rPr>
          <w:sz w:val="28"/>
          <w:szCs w:val="28"/>
          <w:shd w:val="clear" w:color="auto" w:fill="FFFFFF"/>
        </w:rPr>
        <w:t>.</w:t>
      </w:r>
      <w:r w:rsidRPr="00C5336B">
        <w:rPr>
          <w:sz w:val="28"/>
          <w:szCs w:val="28"/>
        </w:rPr>
        <w:t xml:space="preserve">, 1999; </w:t>
      </w:r>
      <w:r w:rsidRPr="00C5336B">
        <w:rPr>
          <w:sz w:val="28"/>
          <w:szCs w:val="28"/>
          <w:lang w:val="en-US"/>
        </w:rPr>
        <w:t>Annane</w:t>
      </w:r>
      <w:r w:rsidRPr="0037499A">
        <w:rPr>
          <w:sz w:val="28"/>
          <w:szCs w:val="28"/>
        </w:rPr>
        <w:t xml:space="preserve"> </w:t>
      </w:r>
      <w:r w:rsidRPr="00C5336B">
        <w:rPr>
          <w:sz w:val="28"/>
          <w:szCs w:val="28"/>
          <w:lang w:val="en-US"/>
        </w:rPr>
        <w:t>D</w:t>
      </w:r>
      <w:r w:rsidRPr="00C5336B">
        <w:rPr>
          <w:sz w:val="28"/>
          <w:szCs w:val="28"/>
        </w:rPr>
        <w:t xml:space="preserve">. </w:t>
      </w:r>
      <w:r>
        <w:rPr>
          <w:sz w:val="28"/>
          <w:szCs w:val="28"/>
          <w:lang w:val="en-US"/>
        </w:rPr>
        <w:t>e</w:t>
      </w:r>
      <w:r w:rsidRPr="00C5336B">
        <w:rPr>
          <w:sz w:val="28"/>
          <w:szCs w:val="28"/>
          <w:lang w:val="en-US"/>
        </w:rPr>
        <w:t>t</w:t>
      </w:r>
      <w:r w:rsidRPr="0037499A">
        <w:rPr>
          <w:sz w:val="28"/>
          <w:szCs w:val="28"/>
        </w:rPr>
        <w:t xml:space="preserve"> </w:t>
      </w:r>
      <w:r w:rsidRPr="00C5336B">
        <w:rPr>
          <w:sz w:val="28"/>
          <w:szCs w:val="28"/>
          <w:lang w:val="en-US"/>
        </w:rPr>
        <w:t>al</w:t>
      </w:r>
      <w:r>
        <w:rPr>
          <w:sz w:val="28"/>
          <w:szCs w:val="28"/>
        </w:rPr>
        <w:t>., 2009</w:t>
      </w:r>
      <w:r w:rsidRPr="00026A2C">
        <w:rPr>
          <w:sz w:val="28"/>
          <w:szCs w:val="28"/>
        </w:rPr>
        <w:t>)</w:t>
      </w:r>
      <w:r w:rsidRPr="00C5336B">
        <w:rPr>
          <w:sz w:val="28"/>
          <w:szCs w:val="28"/>
        </w:rPr>
        <w:t>.По сведениям других авторов</w:t>
      </w:r>
      <w:r>
        <w:rPr>
          <w:sz w:val="28"/>
          <w:szCs w:val="28"/>
        </w:rPr>
        <w:t>,</w:t>
      </w:r>
      <w:r w:rsidRPr="00C5336B">
        <w:rPr>
          <w:sz w:val="28"/>
          <w:szCs w:val="28"/>
        </w:rPr>
        <w:t xml:space="preserve"> </w:t>
      </w:r>
      <w:r w:rsidRPr="00C5336B">
        <w:rPr>
          <w:sz w:val="28"/>
          <w:szCs w:val="28"/>
        </w:rPr>
        <w:lastRenderedPageBreak/>
        <w:t xml:space="preserve">использование малых доз глюкокортикостероидов находится под обоснованным сомнением в связи с отсутствием эффективности </w:t>
      </w:r>
      <w:r>
        <w:rPr>
          <w:sz w:val="28"/>
          <w:szCs w:val="28"/>
        </w:rPr>
        <w:t>(</w:t>
      </w:r>
      <w:r w:rsidRPr="00C5336B">
        <w:rPr>
          <w:sz w:val="28"/>
          <w:szCs w:val="28"/>
          <w:shd w:val="clear" w:color="auto" w:fill="FFFFFF"/>
          <w:lang w:val="en-US"/>
        </w:rPr>
        <w:t>Sprung</w:t>
      </w:r>
      <w:r w:rsidRPr="0037499A">
        <w:rPr>
          <w:sz w:val="28"/>
          <w:szCs w:val="28"/>
          <w:shd w:val="clear" w:color="auto" w:fill="FFFFFF"/>
        </w:rPr>
        <w:t xml:space="preserve"> </w:t>
      </w:r>
      <w:r w:rsidRPr="00C5336B">
        <w:rPr>
          <w:sz w:val="28"/>
          <w:szCs w:val="28"/>
          <w:shd w:val="clear" w:color="auto" w:fill="FFFFFF"/>
          <w:lang w:val="en-US"/>
        </w:rPr>
        <w:t>C</w:t>
      </w:r>
      <w:r>
        <w:rPr>
          <w:sz w:val="28"/>
          <w:szCs w:val="28"/>
          <w:shd w:val="clear" w:color="auto" w:fill="FFFFFF"/>
        </w:rPr>
        <w:t>.</w:t>
      </w:r>
      <w:r w:rsidRPr="00C5336B">
        <w:rPr>
          <w:sz w:val="28"/>
          <w:szCs w:val="28"/>
          <w:shd w:val="clear" w:color="auto" w:fill="FFFFFF"/>
          <w:lang w:val="en-US"/>
        </w:rPr>
        <w:t>L</w:t>
      </w:r>
      <w:r w:rsidRPr="00C5336B">
        <w:rPr>
          <w:sz w:val="28"/>
          <w:szCs w:val="28"/>
          <w:shd w:val="clear" w:color="auto" w:fill="FFFFFF"/>
        </w:rPr>
        <w:t xml:space="preserve">. </w:t>
      </w:r>
      <w:r w:rsidRPr="00C5336B">
        <w:rPr>
          <w:sz w:val="28"/>
          <w:szCs w:val="28"/>
          <w:shd w:val="clear" w:color="auto" w:fill="FFFFFF"/>
          <w:lang w:val="en-US"/>
        </w:rPr>
        <w:t>et</w:t>
      </w:r>
      <w:r w:rsidRPr="0037499A">
        <w:rPr>
          <w:sz w:val="28"/>
          <w:szCs w:val="28"/>
          <w:shd w:val="clear" w:color="auto" w:fill="FFFFFF"/>
        </w:rPr>
        <w:t xml:space="preserve"> </w:t>
      </w:r>
      <w:r w:rsidRPr="00C5336B">
        <w:rPr>
          <w:sz w:val="28"/>
          <w:szCs w:val="28"/>
          <w:shd w:val="clear" w:color="auto" w:fill="FFFFFF"/>
          <w:lang w:val="en-US"/>
        </w:rPr>
        <w:t>al</w:t>
      </w:r>
      <w:r w:rsidRPr="00C5336B">
        <w:rPr>
          <w:sz w:val="28"/>
          <w:szCs w:val="28"/>
          <w:shd w:val="clear" w:color="auto" w:fill="FFFFFF"/>
        </w:rPr>
        <w:t>., 2008</w:t>
      </w:r>
      <w:r>
        <w:rPr>
          <w:sz w:val="28"/>
          <w:szCs w:val="28"/>
        </w:rPr>
        <w:t>)</w:t>
      </w:r>
      <w:r w:rsidRPr="00C5336B">
        <w:rPr>
          <w:sz w:val="28"/>
          <w:szCs w:val="28"/>
        </w:rPr>
        <w:t>.</w:t>
      </w:r>
    </w:p>
    <w:p w:rsidR="00286780" w:rsidRPr="00C5336B" w:rsidRDefault="00286780" w:rsidP="00C5336B">
      <w:pPr>
        <w:spacing w:line="360" w:lineRule="auto"/>
        <w:ind w:right="99" w:firstLine="709"/>
        <w:jc w:val="both"/>
        <w:rPr>
          <w:sz w:val="28"/>
          <w:szCs w:val="28"/>
        </w:rPr>
      </w:pPr>
      <w:r w:rsidRPr="00C5336B">
        <w:rPr>
          <w:sz w:val="28"/>
          <w:szCs w:val="28"/>
        </w:rPr>
        <w:t xml:space="preserve">Гнойная инфекция в той или иной степени обязательно сопровождается синдромом эндогенной интоксикации </w:t>
      </w:r>
      <w:r>
        <w:rPr>
          <w:sz w:val="28"/>
          <w:szCs w:val="28"/>
        </w:rPr>
        <w:t>(</w:t>
      </w:r>
      <w:r>
        <w:rPr>
          <w:sz w:val="28"/>
          <w:szCs w:val="28"/>
          <w:shd w:val="clear" w:color="auto" w:fill="FFFFFF"/>
        </w:rPr>
        <w:t>Шано В.</w:t>
      </w:r>
      <w:r w:rsidRPr="00C5336B">
        <w:rPr>
          <w:sz w:val="28"/>
          <w:szCs w:val="28"/>
          <w:shd w:val="clear" w:color="auto" w:fill="FFFFFF"/>
        </w:rPr>
        <w:t xml:space="preserve">П. и др., 1997; </w:t>
      </w:r>
      <w:r w:rsidRPr="00C5336B">
        <w:rPr>
          <w:bCs/>
          <w:sz w:val="28"/>
          <w:szCs w:val="28"/>
          <w:shd w:val="clear" w:color="auto" w:fill="FFFFFF"/>
        </w:rPr>
        <w:t>Шано В</w:t>
      </w:r>
      <w:r>
        <w:rPr>
          <w:sz w:val="28"/>
          <w:szCs w:val="28"/>
          <w:shd w:val="clear" w:color="auto" w:fill="FFFFFF"/>
        </w:rPr>
        <w:t>.</w:t>
      </w:r>
      <w:r w:rsidRPr="00C5336B">
        <w:rPr>
          <w:bCs/>
          <w:sz w:val="28"/>
          <w:szCs w:val="28"/>
          <w:shd w:val="clear" w:color="auto" w:fill="FFFFFF"/>
        </w:rPr>
        <w:t>П</w:t>
      </w:r>
      <w:r>
        <w:rPr>
          <w:sz w:val="28"/>
          <w:szCs w:val="28"/>
          <w:shd w:val="clear" w:color="auto" w:fill="FFFFFF"/>
        </w:rPr>
        <w:t>., Кучер E.</w:t>
      </w:r>
      <w:r w:rsidRPr="00C5336B">
        <w:rPr>
          <w:sz w:val="28"/>
          <w:szCs w:val="28"/>
          <w:shd w:val="clear" w:color="auto" w:fill="FFFFFF"/>
        </w:rPr>
        <w:t xml:space="preserve">А., 2011; </w:t>
      </w:r>
      <w:r w:rsidRPr="00C5336B">
        <w:rPr>
          <w:sz w:val="28"/>
          <w:szCs w:val="28"/>
          <w:lang w:val="en-US"/>
        </w:rPr>
        <w:t>Van</w:t>
      </w:r>
      <w:r w:rsidRPr="0037499A">
        <w:rPr>
          <w:sz w:val="28"/>
          <w:szCs w:val="28"/>
        </w:rPr>
        <w:t xml:space="preserve"> </w:t>
      </w:r>
      <w:r w:rsidRPr="00C5336B">
        <w:rPr>
          <w:sz w:val="28"/>
          <w:szCs w:val="28"/>
          <w:lang w:val="en-US"/>
        </w:rPr>
        <w:t>der</w:t>
      </w:r>
      <w:r w:rsidRPr="0037499A">
        <w:rPr>
          <w:sz w:val="28"/>
          <w:szCs w:val="28"/>
        </w:rPr>
        <w:t xml:space="preserve"> </w:t>
      </w:r>
      <w:r w:rsidRPr="00C5336B">
        <w:rPr>
          <w:sz w:val="28"/>
          <w:szCs w:val="28"/>
          <w:lang w:val="en-US"/>
        </w:rPr>
        <w:t>Meer</w:t>
      </w:r>
      <w:r w:rsidRPr="0037499A">
        <w:rPr>
          <w:sz w:val="28"/>
          <w:szCs w:val="28"/>
        </w:rPr>
        <w:t xml:space="preserve"> </w:t>
      </w:r>
      <w:r w:rsidRPr="00C5336B">
        <w:rPr>
          <w:sz w:val="28"/>
          <w:szCs w:val="28"/>
          <w:lang w:val="en-US"/>
        </w:rPr>
        <w:t>W</w:t>
      </w:r>
      <w:r w:rsidRPr="00C5336B">
        <w:rPr>
          <w:sz w:val="28"/>
          <w:szCs w:val="28"/>
        </w:rPr>
        <w:t xml:space="preserve">. </w:t>
      </w:r>
      <w:r>
        <w:rPr>
          <w:sz w:val="28"/>
          <w:szCs w:val="28"/>
          <w:lang w:val="en-US"/>
        </w:rPr>
        <w:t>e</w:t>
      </w:r>
      <w:r w:rsidRPr="00C5336B">
        <w:rPr>
          <w:sz w:val="28"/>
          <w:szCs w:val="28"/>
          <w:lang w:val="en-US"/>
        </w:rPr>
        <w:t>t</w:t>
      </w:r>
      <w:r w:rsidRPr="0037499A">
        <w:rPr>
          <w:sz w:val="28"/>
          <w:szCs w:val="28"/>
        </w:rPr>
        <w:t xml:space="preserve"> </w:t>
      </w:r>
      <w:r w:rsidRPr="00C5336B">
        <w:rPr>
          <w:sz w:val="28"/>
          <w:szCs w:val="28"/>
          <w:lang w:val="en-US"/>
        </w:rPr>
        <w:t>al</w:t>
      </w:r>
      <w:r>
        <w:rPr>
          <w:sz w:val="28"/>
          <w:szCs w:val="28"/>
        </w:rPr>
        <w:t>., 2007)</w:t>
      </w:r>
      <w:r w:rsidRPr="00C5336B">
        <w:rPr>
          <w:sz w:val="28"/>
          <w:szCs w:val="28"/>
        </w:rPr>
        <w:t xml:space="preserve">. </w:t>
      </w:r>
    </w:p>
    <w:p w:rsidR="00286780" w:rsidRPr="00C5336B" w:rsidRDefault="00286780" w:rsidP="00C5336B">
      <w:pPr>
        <w:spacing w:line="360" w:lineRule="auto"/>
        <w:ind w:right="99" w:firstLine="709"/>
        <w:jc w:val="both"/>
        <w:rPr>
          <w:spacing w:val="-4"/>
          <w:sz w:val="28"/>
          <w:szCs w:val="28"/>
        </w:rPr>
      </w:pPr>
      <w:r w:rsidRPr="00C5336B">
        <w:rPr>
          <w:spacing w:val="-4"/>
          <w:sz w:val="28"/>
          <w:szCs w:val="28"/>
        </w:rPr>
        <w:t xml:space="preserve">Используются различные методы экстракорпоральной дезинтоксикации: гемосорбция, в том числе гемосорбция с экстракорпоральной оксигенацией, дренирование грудного лимфатического протока, перфузия крови через ксеноселезенку, плазмаферез, гемодиафильтрация, другие методы, комбинация методов. Показаниями к применению методов экстракорпоральной дезинтоксикации являются неэффективность консервативной терапии, прогрессирование острой почечно-печеночной недостаточности, возникновение токсической энцефалопатии </w:t>
      </w:r>
      <w:r w:rsidRPr="00026A2C">
        <w:rPr>
          <w:spacing w:val="-4"/>
          <w:sz w:val="28"/>
          <w:szCs w:val="28"/>
        </w:rPr>
        <w:t>(</w:t>
      </w:r>
      <w:r w:rsidRPr="00C5336B">
        <w:rPr>
          <w:spacing w:val="-4"/>
          <w:sz w:val="28"/>
          <w:szCs w:val="28"/>
          <w:shd w:val="clear" w:color="auto" w:fill="FFFFFF"/>
          <w:lang w:val="en-US"/>
        </w:rPr>
        <w:t>Barsilay</w:t>
      </w:r>
      <w:r w:rsidRPr="0037499A">
        <w:rPr>
          <w:spacing w:val="-4"/>
          <w:sz w:val="28"/>
          <w:szCs w:val="28"/>
          <w:shd w:val="clear" w:color="auto" w:fill="FFFFFF"/>
        </w:rPr>
        <w:t xml:space="preserve"> </w:t>
      </w:r>
      <w:r w:rsidRPr="00C5336B">
        <w:rPr>
          <w:spacing w:val="-4"/>
          <w:sz w:val="28"/>
          <w:szCs w:val="28"/>
          <w:shd w:val="clear" w:color="auto" w:fill="FFFFFF"/>
          <w:lang w:val="en-US"/>
        </w:rPr>
        <w:t>F</w:t>
      </w:r>
      <w:r w:rsidRPr="00C5336B">
        <w:rPr>
          <w:spacing w:val="-4"/>
          <w:sz w:val="28"/>
          <w:szCs w:val="28"/>
          <w:shd w:val="clear" w:color="auto" w:fill="FFFFFF"/>
        </w:rPr>
        <w:t xml:space="preserve">. </w:t>
      </w:r>
      <w:r>
        <w:rPr>
          <w:spacing w:val="-4"/>
          <w:sz w:val="28"/>
          <w:szCs w:val="28"/>
          <w:shd w:val="clear" w:color="auto" w:fill="FFFFFF"/>
          <w:lang w:val="en-US"/>
        </w:rPr>
        <w:t>e</w:t>
      </w:r>
      <w:r w:rsidRPr="00C5336B">
        <w:rPr>
          <w:spacing w:val="-4"/>
          <w:sz w:val="28"/>
          <w:szCs w:val="28"/>
          <w:shd w:val="clear" w:color="auto" w:fill="FFFFFF"/>
          <w:lang w:val="en-US"/>
        </w:rPr>
        <w:t>t</w:t>
      </w:r>
      <w:r w:rsidRPr="0037499A">
        <w:rPr>
          <w:spacing w:val="-4"/>
          <w:sz w:val="28"/>
          <w:szCs w:val="28"/>
          <w:shd w:val="clear" w:color="auto" w:fill="FFFFFF"/>
        </w:rPr>
        <w:t xml:space="preserve"> </w:t>
      </w:r>
      <w:r w:rsidRPr="00C5336B">
        <w:rPr>
          <w:spacing w:val="-4"/>
          <w:sz w:val="28"/>
          <w:szCs w:val="28"/>
          <w:shd w:val="clear" w:color="auto" w:fill="FFFFFF"/>
          <w:lang w:val="en-US"/>
        </w:rPr>
        <w:t>al</w:t>
      </w:r>
      <w:r w:rsidRPr="00C5336B">
        <w:rPr>
          <w:spacing w:val="-4"/>
          <w:sz w:val="28"/>
          <w:szCs w:val="28"/>
          <w:shd w:val="clear" w:color="auto" w:fill="FFFFFF"/>
        </w:rPr>
        <w:t>., 1989</w:t>
      </w:r>
      <w:r w:rsidRPr="00C5336B">
        <w:rPr>
          <w:spacing w:val="-4"/>
          <w:sz w:val="28"/>
          <w:szCs w:val="28"/>
        </w:rPr>
        <w:t xml:space="preserve">; </w:t>
      </w:r>
      <w:r w:rsidRPr="00C5336B">
        <w:rPr>
          <w:spacing w:val="-4"/>
          <w:sz w:val="28"/>
          <w:szCs w:val="28"/>
          <w:lang w:val="en-US"/>
        </w:rPr>
        <w:t>Ronco</w:t>
      </w:r>
      <w:r w:rsidRPr="0037499A">
        <w:rPr>
          <w:spacing w:val="-4"/>
          <w:sz w:val="28"/>
          <w:szCs w:val="28"/>
        </w:rPr>
        <w:t xml:space="preserve"> </w:t>
      </w:r>
      <w:r w:rsidRPr="00C5336B">
        <w:rPr>
          <w:spacing w:val="-4"/>
          <w:sz w:val="28"/>
          <w:szCs w:val="28"/>
          <w:lang w:val="en-US"/>
        </w:rPr>
        <w:t>C</w:t>
      </w:r>
      <w:r w:rsidRPr="00C5336B">
        <w:rPr>
          <w:spacing w:val="-4"/>
          <w:sz w:val="28"/>
          <w:szCs w:val="28"/>
        </w:rPr>
        <w:t xml:space="preserve">. </w:t>
      </w:r>
      <w:r w:rsidRPr="00C5336B">
        <w:rPr>
          <w:spacing w:val="-4"/>
          <w:sz w:val="28"/>
          <w:szCs w:val="28"/>
          <w:lang w:val="en-US"/>
        </w:rPr>
        <w:t>et</w:t>
      </w:r>
      <w:r w:rsidRPr="0037499A">
        <w:rPr>
          <w:spacing w:val="-4"/>
          <w:sz w:val="28"/>
          <w:szCs w:val="28"/>
        </w:rPr>
        <w:t xml:space="preserve"> </w:t>
      </w:r>
      <w:r w:rsidRPr="00C5336B">
        <w:rPr>
          <w:spacing w:val="-4"/>
          <w:sz w:val="28"/>
          <w:szCs w:val="28"/>
          <w:lang w:val="en-US"/>
        </w:rPr>
        <w:t>al</w:t>
      </w:r>
      <w:r w:rsidRPr="00C5336B">
        <w:rPr>
          <w:spacing w:val="-4"/>
          <w:sz w:val="28"/>
          <w:szCs w:val="28"/>
        </w:rPr>
        <w:t xml:space="preserve">., 2010; </w:t>
      </w:r>
      <w:r w:rsidRPr="00C5336B">
        <w:rPr>
          <w:spacing w:val="-4"/>
          <w:sz w:val="28"/>
          <w:szCs w:val="28"/>
          <w:shd w:val="clear" w:color="auto" w:fill="FFFFFF"/>
          <w:lang w:val="en-US"/>
        </w:rPr>
        <w:t>Zhou</w:t>
      </w:r>
      <w:r w:rsidRPr="0037499A">
        <w:rPr>
          <w:spacing w:val="-4"/>
          <w:sz w:val="28"/>
          <w:szCs w:val="28"/>
          <w:shd w:val="clear" w:color="auto" w:fill="FFFFFF"/>
        </w:rPr>
        <w:t xml:space="preserve"> </w:t>
      </w:r>
      <w:r w:rsidRPr="00C5336B">
        <w:rPr>
          <w:spacing w:val="-4"/>
          <w:sz w:val="28"/>
          <w:szCs w:val="28"/>
          <w:shd w:val="clear" w:color="auto" w:fill="FFFFFF"/>
          <w:lang w:val="en-US"/>
        </w:rPr>
        <w:t>F</w:t>
      </w:r>
      <w:r w:rsidRPr="00C5336B">
        <w:rPr>
          <w:spacing w:val="-4"/>
          <w:sz w:val="28"/>
          <w:szCs w:val="28"/>
          <w:shd w:val="clear" w:color="auto" w:fill="FFFFFF"/>
        </w:rPr>
        <w:t xml:space="preserve">. </w:t>
      </w:r>
      <w:r w:rsidRPr="00C5336B">
        <w:rPr>
          <w:spacing w:val="-4"/>
          <w:sz w:val="28"/>
          <w:szCs w:val="28"/>
          <w:shd w:val="clear" w:color="auto" w:fill="FFFFFF"/>
          <w:lang w:val="en-US"/>
        </w:rPr>
        <w:t>et</w:t>
      </w:r>
      <w:r w:rsidRPr="0037499A">
        <w:rPr>
          <w:spacing w:val="-4"/>
          <w:sz w:val="28"/>
          <w:szCs w:val="28"/>
          <w:shd w:val="clear" w:color="auto" w:fill="FFFFFF"/>
        </w:rPr>
        <w:t xml:space="preserve"> </w:t>
      </w:r>
      <w:r w:rsidRPr="00C5336B">
        <w:rPr>
          <w:spacing w:val="-4"/>
          <w:sz w:val="28"/>
          <w:szCs w:val="28"/>
          <w:shd w:val="clear" w:color="auto" w:fill="FFFFFF"/>
          <w:lang w:val="en-US"/>
        </w:rPr>
        <w:t>al</w:t>
      </w:r>
      <w:r w:rsidRPr="00C5336B">
        <w:rPr>
          <w:spacing w:val="-4"/>
          <w:sz w:val="28"/>
          <w:szCs w:val="28"/>
          <w:shd w:val="clear" w:color="auto" w:fill="FFFFFF"/>
        </w:rPr>
        <w:t>., 2012</w:t>
      </w:r>
      <w:r w:rsidRPr="00026A2C">
        <w:rPr>
          <w:spacing w:val="-4"/>
          <w:sz w:val="28"/>
          <w:szCs w:val="28"/>
        </w:rPr>
        <w:t>)</w:t>
      </w:r>
      <w:r w:rsidRPr="00C5336B">
        <w:rPr>
          <w:spacing w:val="-4"/>
          <w:sz w:val="28"/>
          <w:szCs w:val="28"/>
        </w:rPr>
        <w:t xml:space="preserve">. Ряд других исследований отрицает положительный эффект экстракорпоральной детоксикации организма при сепсисе при отсутствии почечной недостаточности </w:t>
      </w:r>
      <w:r w:rsidRPr="00026A2C">
        <w:rPr>
          <w:spacing w:val="-4"/>
          <w:sz w:val="28"/>
          <w:szCs w:val="28"/>
        </w:rPr>
        <w:t>(</w:t>
      </w:r>
      <w:r w:rsidRPr="00C5336B">
        <w:rPr>
          <w:spacing w:val="-4"/>
          <w:sz w:val="28"/>
          <w:szCs w:val="28"/>
          <w:shd w:val="clear" w:color="auto" w:fill="FFFFFF"/>
          <w:lang w:val="en-US"/>
        </w:rPr>
        <w:t>Payen</w:t>
      </w:r>
      <w:r w:rsidRPr="0037499A">
        <w:rPr>
          <w:spacing w:val="-4"/>
          <w:sz w:val="28"/>
          <w:szCs w:val="28"/>
          <w:shd w:val="clear" w:color="auto" w:fill="FFFFFF"/>
        </w:rPr>
        <w:t xml:space="preserve"> </w:t>
      </w:r>
      <w:r w:rsidRPr="00C5336B">
        <w:rPr>
          <w:spacing w:val="-4"/>
          <w:sz w:val="28"/>
          <w:szCs w:val="28"/>
          <w:shd w:val="clear" w:color="auto" w:fill="FFFFFF"/>
          <w:lang w:val="en-US"/>
        </w:rPr>
        <w:t>D</w:t>
      </w:r>
      <w:r>
        <w:rPr>
          <w:spacing w:val="-4"/>
          <w:sz w:val="28"/>
          <w:szCs w:val="28"/>
          <w:shd w:val="clear" w:color="auto" w:fill="FFFFFF"/>
        </w:rPr>
        <w:t>.</w:t>
      </w:r>
      <w:r w:rsidRPr="00C5336B">
        <w:rPr>
          <w:spacing w:val="-4"/>
          <w:sz w:val="28"/>
          <w:szCs w:val="28"/>
          <w:shd w:val="clear" w:color="auto" w:fill="FFFFFF"/>
          <w:lang w:val="en-US"/>
        </w:rPr>
        <w:t>M</w:t>
      </w:r>
      <w:r w:rsidRPr="00C5336B">
        <w:rPr>
          <w:spacing w:val="-4"/>
          <w:sz w:val="28"/>
          <w:szCs w:val="28"/>
          <w:shd w:val="clear" w:color="auto" w:fill="FFFFFF"/>
        </w:rPr>
        <w:t xml:space="preserve">. </w:t>
      </w:r>
      <w:r w:rsidRPr="00C5336B">
        <w:rPr>
          <w:spacing w:val="-4"/>
          <w:sz w:val="28"/>
          <w:szCs w:val="28"/>
          <w:shd w:val="clear" w:color="auto" w:fill="FFFFFF"/>
          <w:lang w:val="en-US"/>
        </w:rPr>
        <w:t>et</w:t>
      </w:r>
      <w:r w:rsidRPr="0037499A">
        <w:rPr>
          <w:spacing w:val="-4"/>
          <w:sz w:val="28"/>
          <w:szCs w:val="28"/>
          <w:shd w:val="clear" w:color="auto" w:fill="FFFFFF"/>
        </w:rPr>
        <w:t xml:space="preserve"> </w:t>
      </w:r>
      <w:r w:rsidRPr="00C5336B">
        <w:rPr>
          <w:spacing w:val="-4"/>
          <w:sz w:val="28"/>
          <w:szCs w:val="28"/>
          <w:shd w:val="clear" w:color="auto" w:fill="FFFFFF"/>
          <w:lang w:val="en-US"/>
        </w:rPr>
        <w:t>al</w:t>
      </w:r>
      <w:r w:rsidRPr="00C5336B">
        <w:rPr>
          <w:spacing w:val="-4"/>
          <w:sz w:val="28"/>
          <w:szCs w:val="28"/>
          <w:shd w:val="clear" w:color="auto" w:fill="FFFFFF"/>
        </w:rPr>
        <w:t>., 2015</w:t>
      </w:r>
      <w:r w:rsidRPr="00026A2C">
        <w:rPr>
          <w:spacing w:val="-4"/>
          <w:sz w:val="28"/>
          <w:szCs w:val="28"/>
        </w:rPr>
        <w:t>)</w:t>
      </w:r>
      <w:r w:rsidRPr="00C5336B">
        <w:rPr>
          <w:spacing w:val="-4"/>
          <w:sz w:val="28"/>
          <w:szCs w:val="28"/>
        </w:rPr>
        <w:t>.</w:t>
      </w:r>
    </w:p>
    <w:p w:rsidR="00286780" w:rsidRPr="00C5336B" w:rsidRDefault="00286780" w:rsidP="00C5336B">
      <w:pPr>
        <w:spacing w:line="360" w:lineRule="auto"/>
        <w:ind w:right="99" w:firstLine="709"/>
        <w:jc w:val="both"/>
        <w:rPr>
          <w:sz w:val="28"/>
          <w:szCs w:val="28"/>
        </w:rPr>
      </w:pPr>
      <w:r w:rsidRPr="00C5336B">
        <w:rPr>
          <w:sz w:val="28"/>
          <w:szCs w:val="28"/>
        </w:rPr>
        <w:t>Изменения гемокоагуляции при сепсисе как правило носят неоднозначный характер (гипер-, гипокоагуляция, ДВС-синдром, тромбоцитопения, вторичное потребление факторов свертывания), в связи с чем устранение их проводится на о</w:t>
      </w:r>
      <w:r>
        <w:rPr>
          <w:sz w:val="28"/>
          <w:szCs w:val="28"/>
        </w:rPr>
        <w:t xml:space="preserve">сновании анализа коагулограммы </w:t>
      </w:r>
      <w:r w:rsidRPr="00026A2C">
        <w:rPr>
          <w:sz w:val="28"/>
          <w:szCs w:val="28"/>
        </w:rPr>
        <w:t>(</w:t>
      </w:r>
      <w:r w:rsidRPr="00C5336B">
        <w:rPr>
          <w:sz w:val="28"/>
          <w:szCs w:val="28"/>
          <w:lang w:val="en-US"/>
        </w:rPr>
        <w:t>Vanderschueren</w:t>
      </w:r>
      <w:r w:rsidR="00327AFF">
        <w:rPr>
          <w:sz w:val="28"/>
          <w:szCs w:val="28"/>
        </w:rPr>
        <w:t xml:space="preserve"> </w:t>
      </w:r>
      <w:r w:rsidRPr="00C5336B">
        <w:rPr>
          <w:sz w:val="28"/>
          <w:szCs w:val="28"/>
          <w:lang w:val="en-US"/>
        </w:rPr>
        <w:t>S</w:t>
      </w:r>
      <w:r w:rsidRPr="00C5336B">
        <w:rPr>
          <w:sz w:val="28"/>
          <w:szCs w:val="28"/>
        </w:rPr>
        <w:t xml:space="preserve">. </w:t>
      </w:r>
      <w:r w:rsidR="00327AFF">
        <w:rPr>
          <w:sz w:val="28"/>
          <w:szCs w:val="28"/>
          <w:lang w:val="en-US"/>
        </w:rPr>
        <w:t>e</w:t>
      </w:r>
      <w:r w:rsidRPr="00C5336B">
        <w:rPr>
          <w:sz w:val="28"/>
          <w:szCs w:val="28"/>
          <w:lang w:val="en-US"/>
        </w:rPr>
        <w:t>t</w:t>
      </w:r>
      <w:r w:rsidR="00327AFF">
        <w:rPr>
          <w:sz w:val="28"/>
          <w:szCs w:val="28"/>
        </w:rPr>
        <w:t xml:space="preserve"> </w:t>
      </w:r>
      <w:r w:rsidRPr="00C5336B">
        <w:rPr>
          <w:sz w:val="28"/>
          <w:szCs w:val="28"/>
          <w:lang w:val="en-US"/>
        </w:rPr>
        <w:t>al</w:t>
      </w:r>
      <w:r>
        <w:rPr>
          <w:sz w:val="28"/>
          <w:szCs w:val="28"/>
        </w:rPr>
        <w:t>., 2000; Завада Н.</w:t>
      </w:r>
      <w:r w:rsidRPr="00C5336B">
        <w:rPr>
          <w:sz w:val="28"/>
          <w:szCs w:val="28"/>
        </w:rPr>
        <w:t>В. и др.,</w:t>
      </w:r>
      <w:r>
        <w:rPr>
          <w:sz w:val="28"/>
          <w:szCs w:val="28"/>
        </w:rPr>
        <w:t xml:space="preserve"> 2003; Ерюхин И.А. и др., 2006</w:t>
      </w:r>
      <w:r w:rsidRPr="00026A2C">
        <w:rPr>
          <w:sz w:val="28"/>
          <w:szCs w:val="28"/>
        </w:rPr>
        <w:t>)</w:t>
      </w:r>
      <w:r w:rsidRPr="00C5336B">
        <w:rPr>
          <w:sz w:val="28"/>
          <w:szCs w:val="28"/>
        </w:rPr>
        <w:t>.</w:t>
      </w:r>
    </w:p>
    <w:p w:rsidR="00286780" w:rsidRPr="00C5336B" w:rsidRDefault="00286780" w:rsidP="00C5336B">
      <w:pPr>
        <w:spacing w:line="360" w:lineRule="auto"/>
        <w:ind w:right="99" w:firstLine="709"/>
        <w:jc w:val="both"/>
        <w:rPr>
          <w:sz w:val="28"/>
          <w:szCs w:val="28"/>
        </w:rPr>
      </w:pPr>
      <w:r w:rsidRPr="00C5336B">
        <w:rPr>
          <w:sz w:val="28"/>
          <w:szCs w:val="28"/>
        </w:rPr>
        <w:t xml:space="preserve">Для коррекции гемокоагуляции и содержания тромбоцитов используются нефракционированный или низкомолекулярный гепарины, тромбоцитарная масса, свежезамороженная плазма </w:t>
      </w:r>
      <w:r w:rsidRPr="00026A2C">
        <w:rPr>
          <w:sz w:val="28"/>
          <w:szCs w:val="28"/>
        </w:rPr>
        <w:t>(</w:t>
      </w:r>
      <w:r w:rsidRPr="00C5336B">
        <w:rPr>
          <w:sz w:val="28"/>
          <w:szCs w:val="28"/>
          <w:shd w:val="clear" w:color="auto" w:fill="FFFFFF"/>
          <w:lang w:val="en-US"/>
        </w:rPr>
        <w:t>Diedrich</w:t>
      </w:r>
      <w:r w:rsidRPr="0037499A">
        <w:rPr>
          <w:sz w:val="28"/>
          <w:szCs w:val="28"/>
          <w:shd w:val="clear" w:color="auto" w:fill="FFFFFF"/>
        </w:rPr>
        <w:t xml:space="preserve"> </w:t>
      </w:r>
      <w:r w:rsidRPr="00C5336B">
        <w:rPr>
          <w:sz w:val="28"/>
          <w:szCs w:val="28"/>
          <w:shd w:val="clear" w:color="auto" w:fill="FFFFFF"/>
          <w:lang w:val="en-US"/>
        </w:rPr>
        <w:t>B</w:t>
      </w:r>
      <w:r w:rsidRPr="00C5336B">
        <w:rPr>
          <w:sz w:val="28"/>
          <w:szCs w:val="28"/>
          <w:shd w:val="clear" w:color="auto" w:fill="FFFFFF"/>
        </w:rPr>
        <w:t xml:space="preserve">. </w:t>
      </w:r>
      <w:r w:rsidRPr="00C5336B">
        <w:rPr>
          <w:sz w:val="28"/>
          <w:szCs w:val="28"/>
          <w:shd w:val="clear" w:color="auto" w:fill="FFFFFF"/>
          <w:lang w:val="en-US"/>
        </w:rPr>
        <w:t>et</w:t>
      </w:r>
      <w:r w:rsidRPr="0037499A">
        <w:rPr>
          <w:sz w:val="28"/>
          <w:szCs w:val="28"/>
          <w:shd w:val="clear" w:color="auto" w:fill="FFFFFF"/>
        </w:rPr>
        <w:t xml:space="preserve"> </w:t>
      </w:r>
      <w:r w:rsidRPr="00C5336B">
        <w:rPr>
          <w:sz w:val="28"/>
          <w:szCs w:val="28"/>
          <w:shd w:val="clear" w:color="auto" w:fill="FFFFFF"/>
          <w:lang w:val="en-US"/>
        </w:rPr>
        <w:t>al</w:t>
      </w:r>
      <w:r w:rsidRPr="00C5336B">
        <w:rPr>
          <w:sz w:val="28"/>
          <w:szCs w:val="28"/>
          <w:shd w:val="clear" w:color="auto" w:fill="FFFFFF"/>
        </w:rPr>
        <w:t xml:space="preserve">., 2005; </w:t>
      </w:r>
      <w:r w:rsidRPr="00C5336B">
        <w:rPr>
          <w:sz w:val="28"/>
          <w:szCs w:val="28"/>
          <w:shd w:val="clear" w:color="auto" w:fill="FFFFFF"/>
          <w:lang w:val="en-US"/>
        </w:rPr>
        <w:t>Levi</w:t>
      </w:r>
      <w:r w:rsidRPr="0037499A">
        <w:rPr>
          <w:sz w:val="28"/>
          <w:szCs w:val="28"/>
          <w:shd w:val="clear" w:color="auto" w:fill="FFFFFF"/>
        </w:rPr>
        <w:t xml:space="preserve"> </w:t>
      </w:r>
      <w:r w:rsidRPr="00C5336B">
        <w:rPr>
          <w:sz w:val="28"/>
          <w:szCs w:val="28"/>
          <w:shd w:val="clear" w:color="auto" w:fill="FFFFFF"/>
          <w:lang w:val="en-US"/>
        </w:rPr>
        <w:t>M</w:t>
      </w:r>
      <w:r w:rsidRPr="00C5336B">
        <w:rPr>
          <w:sz w:val="28"/>
          <w:szCs w:val="28"/>
          <w:shd w:val="clear" w:color="auto" w:fill="FFFFFF"/>
        </w:rPr>
        <w:t xml:space="preserve">. </w:t>
      </w:r>
      <w:r w:rsidRPr="00C5336B">
        <w:rPr>
          <w:sz w:val="28"/>
          <w:szCs w:val="28"/>
          <w:shd w:val="clear" w:color="auto" w:fill="FFFFFF"/>
          <w:lang w:val="en-US"/>
        </w:rPr>
        <w:t>et</w:t>
      </w:r>
      <w:r w:rsidRPr="0037499A">
        <w:rPr>
          <w:sz w:val="28"/>
          <w:szCs w:val="28"/>
          <w:shd w:val="clear" w:color="auto" w:fill="FFFFFF"/>
        </w:rPr>
        <w:t xml:space="preserve"> </w:t>
      </w:r>
      <w:r w:rsidRPr="00C5336B">
        <w:rPr>
          <w:sz w:val="28"/>
          <w:szCs w:val="28"/>
          <w:shd w:val="clear" w:color="auto" w:fill="FFFFFF"/>
          <w:lang w:val="en-US"/>
        </w:rPr>
        <w:t>al</w:t>
      </w:r>
      <w:r w:rsidRPr="00C5336B">
        <w:rPr>
          <w:sz w:val="28"/>
          <w:szCs w:val="28"/>
          <w:shd w:val="clear" w:color="auto" w:fill="FFFFFF"/>
        </w:rPr>
        <w:t xml:space="preserve">., 2007; </w:t>
      </w:r>
      <w:r w:rsidRPr="00C5336B">
        <w:rPr>
          <w:sz w:val="28"/>
          <w:szCs w:val="28"/>
          <w:shd w:val="clear" w:color="auto" w:fill="FFFFFF"/>
          <w:lang w:val="en-US"/>
        </w:rPr>
        <w:t>Alhazzani</w:t>
      </w:r>
      <w:r w:rsidRPr="0037499A">
        <w:rPr>
          <w:sz w:val="28"/>
          <w:szCs w:val="28"/>
          <w:shd w:val="clear" w:color="auto" w:fill="FFFFFF"/>
        </w:rPr>
        <w:t xml:space="preserve"> </w:t>
      </w:r>
      <w:r w:rsidRPr="00C5336B">
        <w:rPr>
          <w:sz w:val="28"/>
          <w:szCs w:val="28"/>
          <w:shd w:val="clear" w:color="auto" w:fill="FFFFFF"/>
          <w:lang w:val="en-US"/>
        </w:rPr>
        <w:t>W</w:t>
      </w:r>
      <w:r w:rsidRPr="00C5336B">
        <w:rPr>
          <w:sz w:val="28"/>
          <w:szCs w:val="28"/>
          <w:shd w:val="clear" w:color="auto" w:fill="FFFFFF"/>
        </w:rPr>
        <w:t xml:space="preserve">. </w:t>
      </w:r>
      <w:r>
        <w:rPr>
          <w:sz w:val="28"/>
          <w:szCs w:val="28"/>
          <w:shd w:val="clear" w:color="auto" w:fill="FFFFFF"/>
          <w:lang w:val="en-US"/>
        </w:rPr>
        <w:t>e</w:t>
      </w:r>
      <w:r w:rsidRPr="00C5336B">
        <w:rPr>
          <w:sz w:val="28"/>
          <w:szCs w:val="28"/>
          <w:shd w:val="clear" w:color="auto" w:fill="FFFFFF"/>
          <w:lang w:val="en-US"/>
        </w:rPr>
        <w:t>t</w:t>
      </w:r>
      <w:r w:rsidRPr="0037499A">
        <w:rPr>
          <w:sz w:val="28"/>
          <w:szCs w:val="28"/>
          <w:shd w:val="clear" w:color="auto" w:fill="FFFFFF"/>
        </w:rPr>
        <w:t xml:space="preserve"> </w:t>
      </w:r>
      <w:r w:rsidRPr="00C5336B">
        <w:rPr>
          <w:sz w:val="28"/>
          <w:szCs w:val="28"/>
          <w:shd w:val="clear" w:color="auto" w:fill="FFFFFF"/>
          <w:lang w:val="en-US"/>
        </w:rPr>
        <w:t>al</w:t>
      </w:r>
      <w:r w:rsidRPr="00C5336B">
        <w:rPr>
          <w:sz w:val="28"/>
          <w:szCs w:val="28"/>
          <w:shd w:val="clear" w:color="auto" w:fill="FFFFFF"/>
        </w:rPr>
        <w:t>., 2013</w:t>
      </w:r>
      <w:r w:rsidRPr="00026A2C">
        <w:rPr>
          <w:sz w:val="28"/>
          <w:szCs w:val="28"/>
        </w:rPr>
        <w:t>)</w:t>
      </w:r>
      <w:r w:rsidRPr="00C5336B">
        <w:rPr>
          <w:sz w:val="28"/>
          <w:szCs w:val="28"/>
        </w:rPr>
        <w:t xml:space="preserve">. Препараты гепарина абсолютно показано применять с целью профилактики тромбоза глубоких вен и тромбоэмболических осложнений </w:t>
      </w:r>
      <w:r w:rsidRPr="00026A2C">
        <w:rPr>
          <w:sz w:val="28"/>
          <w:szCs w:val="28"/>
        </w:rPr>
        <w:t>(</w:t>
      </w:r>
      <w:r w:rsidRPr="00C5336B">
        <w:rPr>
          <w:color w:val="000000"/>
          <w:sz w:val="28"/>
          <w:szCs w:val="28"/>
          <w:lang w:val="en-US"/>
        </w:rPr>
        <w:t>Aird</w:t>
      </w:r>
      <w:r w:rsidRPr="0037499A">
        <w:rPr>
          <w:color w:val="000000"/>
          <w:sz w:val="28"/>
          <w:szCs w:val="28"/>
        </w:rPr>
        <w:t xml:space="preserve"> </w:t>
      </w:r>
      <w:r w:rsidRPr="00C5336B">
        <w:rPr>
          <w:color w:val="000000"/>
          <w:sz w:val="28"/>
          <w:szCs w:val="28"/>
          <w:lang w:val="en-US"/>
        </w:rPr>
        <w:t>W</w:t>
      </w:r>
      <w:r>
        <w:rPr>
          <w:color w:val="000000"/>
          <w:sz w:val="28"/>
          <w:szCs w:val="28"/>
        </w:rPr>
        <w:t>.</w:t>
      </w:r>
      <w:r w:rsidRPr="00C5336B">
        <w:rPr>
          <w:color w:val="000000"/>
          <w:sz w:val="28"/>
          <w:szCs w:val="28"/>
          <w:lang w:val="en-US"/>
        </w:rPr>
        <w:t>C</w:t>
      </w:r>
      <w:r w:rsidRPr="00C5336B">
        <w:rPr>
          <w:color w:val="000000"/>
          <w:sz w:val="28"/>
          <w:szCs w:val="28"/>
        </w:rPr>
        <w:t xml:space="preserve">., 2003; </w:t>
      </w:r>
      <w:r w:rsidRPr="00C5336B">
        <w:rPr>
          <w:sz w:val="28"/>
          <w:szCs w:val="28"/>
          <w:shd w:val="clear" w:color="auto" w:fill="FFFFFF"/>
          <w:lang w:val="en-US"/>
        </w:rPr>
        <w:t>Beitland</w:t>
      </w:r>
      <w:r w:rsidRPr="0037499A">
        <w:rPr>
          <w:sz w:val="28"/>
          <w:szCs w:val="28"/>
          <w:shd w:val="clear" w:color="auto" w:fill="FFFFFF"/>
        </w:rPr>
        <w:t xml:space="preserve"> </w:t>
      </w:r>
      <w:r w:rsidRPr="00C5336B">
        <w:rPr>
          <w:sz w:val="28"/>
          <w:szCs w:val="28"/>
          <w:shd w:val="clear" w:color="auto" w:fill="FFFFFF"/>
          <w:lang w:val="en-US"/>
        </w:rPr>
        <w:t>S</w:t>
      </w:r>
      <w:r w:rsidRPr="00C5336B">
        <w:rPr>
          <w:sz w:val="28"/>
          <w:szCs w:val="28"/>
          <w:shd w:val="clear" w:color="auto" w:fill="FFFFFF"/>
        </w:rPr>
        <w:t xml:space="preserve">. </w:t>
      </w:r>
      <w:r>
        <w:rPr>
          <w:sz w:val="28"/>
          <w:szCs w:val="28"/>
          <w:shd w:val="clear" w:color="auto" w:fill="FFFFFF"/>
          <w:lang w:val="en-US"/>
        </w:rPr>
        <w:t>e</w:t>
      </w:r>
      <w:r w:rsidRPr="00C5336B">
        <w:rPr>
          <w:sz w:val="28"/>
          <w:szCs w:val="28"/>
          <w:shd w:val="clear" w:color="auto" w:fill="FFFFFF"/>
          <w:lang w:val="en-US"/>
        </w:rPr>
        <w:t>t</w:t>
      </w:r>
      <w:r w:rsidRPr="0037499A">
        <w:rPr>
          <w:sz w:val="28"/>
          <w:szCs w:val="28"/>
          <w:shd w:val="clear" w:color="auto" w:fill="FFFFFF"/>
        </w:rPr>
        <w:t xml:space="preserve"> </w:t>
      </w:r>
      <w:r w:rsidRPr="00C5336B">
        <w:rPr>
          <w:sz w:val="28"/>
          <w:szCs w:val="28"/>
          <w:shd w:val="clear" w:color="auto" w:fill="FFFFFF"/>
          <w:lang w:val="en-US"/>
        </w:rPr>
        <w:t>al</w:t>
      </w:r>
      <w:r w:rsidRPr="00C5336B">
        <w:rPr>
          <w:sz w:val="28"/>
          <w:szCs w:val="28"/>
          <w:shd w:val="clear" w:color="auto" w:fill="FFFFFF"/>
        </w:rPr>
        <w:t>., 2015</w:t>
      </w:r>
      <w:r w:rsidRPr="00026A2C">
        <w:rPr>
          <w:color w:val="000000"/>
          <w:sz w:val="28"/>
          <w:szCs w:val="28"/>
        </w:rPr>
        <w:t>)</w:t>
      </w:r>
      <w:r w:rsidRPr="00C5336B">
        <w:rPr>
          <w:sz w:val="28"/>
          <w:szCs w:val="28"/>
        </w:rPr>
        <w:t>.</w:t>
      </w:r>
    </w:p>
    <w:p w:rsidR="00286780" w:rsidRPr="00516AE4" w:rsidRDefault="00286780" w:rsidP="00C5336B">
      <w:pPr>
        <w:spacing w:line="360" w:lineRule="auto"/>
        <w:ind w:right="99" w:firstLine="709"/>
        <w:jc w:val="both"/>
        <w:rPr>
          <w:spacing w:val="-4"/>
          <w:sz w:val="28"/>
          <w:szCs w:val="28"/>
        </w:rPr>
      </w:pPr>
      <w:r w:rsidRPr="00C5336B">
        <w:rPr>
          <w:sz w:val="28"/>
          <w:szCs w:val="28"/>
        </w:rPr>
        <w:t xml:space="preserve">Не рекомендуется использовать свежезамороженную плазму (СЗП) с целью коррекции показателей свертываемости крови без продолжающегося кровотечения, СЗП может быть использована при кровотечении на фоне дефицита факторов свертывания </w:t>
      </w:r>
      <w:r w:rsidRPr="00026A2C">
        <w:rPr>
          <w:sz w:val="28"/>
          <w:szCs w:val="28"/>
        </w:rPr>
        <w:t>(</w:t>
      </w:r>
      <w:r w:rsidRPr="00C5336B">
        <w:rPr>
          <w:sz w:val="28"/>
          <w:szCs w:val="28"/>
          <w:shd w:val="clear" w:color="auto" w:fill="FFFFFF"/>
          <w:lang w:val="en-US"/>
        </w:rPr>
        <w:t>Liumbruno</w:t>
      </w:r>
      <w:r w:rsidRPr="0037499A">
        <w:rPr>
          <w:sz w:val="28"/>
          <w:szCs w:val="28"/>
          <w:shd w:val="clear" w:color="auto" w:fill="FFFFFF"/>
        </w:rPr>
        <w:t xml:space="preserve"> </w:t>
      </w:r>
      <w:r w:rsidRPr="00C5336B">
        <w:rPr>
          <w:sz w:val="28"/>
          <w:szCs w:val="28"/>
          <w:shd w:val="clear" w:color="auto" w:fill="FFFFFF"/>
          <w:lang w:val="en-US"/>
        </w:rPr>
        <w:t>G</w:t>
      </w:r>
      <w:r w:rsidRPr="00C5336B">
        <w:rPr>
          <w:sz w:val="28"/>
          <w:szCs w:val="28"/>
          <w:shd w:val="clear" w:color="auto" w:fill="FFFFFF"/>
        </w:rPr>
        <w:t xml:space="preserve">. </w:t>
      </w:r>
      <w:r w:rsidRPr="00C5336B">
        <w:rPr>
          <w:sz w:val="28"/>
          <w:szCs w:val="28"/>
          <w:shd w:val="clear" w:color="auto" w:fill="FFFFFF"/>
          <w:lang w:val="en-US"/>
        </w:rPr>
        <w:t>et</w:t>
      </w:r>
      <w:r w:rsidRPr="0037499A">
        <w:rPr>
          <w:sz w:val="28"/>
          <w:szCs w:val="28"/>
          <w:shd w:val="clear" w:color="auto" w:fill="FFFFFF"/>
        </w:rPr>
        <w:t xml:space="preserve"> </w:t>
      </w:r>
      <w:r w:rsidRPr="00C5336B">
        <w:rPr>
          <w:sz w:val="28"/>
          <w:szCs w:val="28"/>
          <w:shd w:val="clear" w:color="auto" w:fill="FFFFFF"/>
          <w:lang w:val="en-US"/>
        </w:rPr>
        <w:t>al</w:t>
      </w:r>
      <w:r w:rsidRPr="00C5336B">
        <w:rPr>
          <w:sz w:val="28"/>
          <w:szCs w:val="28"/>
          <w:shd w:val="clear" w:color="auto" w:fill="FFFFFF"/>
        </w:rPr>
        <w:t>., 2009</w:t>
      </w:r>
      <w:r w:rsidRPr="00026A2C">
        <w:rPr>
          <w:sz w:val="28"/>
          <w:szCs w:val="28"/>
        </w:rPr>
        <w:t>)</w:t>
      </w:r>
      <w:r w:rsidRPr="00C5336B">
        <w:rPr>
          <w:sz w:val="28"/>
          <w:szCs w:val="28"/>
        </w:rPr>
        <w:t>.</w:t>
      </w:r>
      <w:r>
        <w:rPr>
          <w:sz w:val="28"/>
          <w:szCs w:val="28"/>
        </w:rPr>
        <w:t xml:space="preserve"> </w:t>
      </w:r>
      <w:r w:rsidRPr="00516AE4">
        <w:rPr>
          <w:spacing w:val="-4"/>
          <w:sz w:val="28"/>
          <w:szCs w:val="28"/>
        </w:rPr>
        <w:t xml:space="preserve">По некоторым сведениям, введение </w:t>
      </w:r>
      <w:r w:rsidRPr="00516AE4">
        <w:rPr>
          <w:spacing w:val="-4"/>
          <w:sz w:val="28"/>
          <w:szCs w:val="28"/>
        </w:rPr>
        <w:lastRenderedPageBreak/>
        <w:t xml:space="preserve">активированного протеина С (дротрекогина альфа) при сепсисе может привести к снижению риска летального исхода на 19,4% </w:t>
      </w:r>
      <w:r w:rsidRPr="00026A2C">
        <w:rPr>
          <w:spacing w:val="-4"/>
          <w:sz w:val="28"/>
          <w:szCs w:val="28"/>
        </w:rPr>
        <w:t>(</w:t>
      </w:r>
      <w:r w:rsidRPr="00516AE4">
        <w:rPr>
          <w:spacing w:val="-4"/>
          <w:sz w:val="28"/>
          <w:szCs w:val="28"/>
          <w:shd w:val="clear" w:color="auto" w:fill="FCFCFC"/>
          <w:lang w:val="en-US"/>
        </w:rPr>
        <w:t>Roback</w:t>
      </w:r>
      <w:r w:rsidRPr="0037499A">
        <w:rPr>
          <w:spacing w:val="-4"/>
          <w:sz w:val="28"/>
          <w:szCs w:val="28"/>
          <w:shd w:val="clear" w:color="auto" w:fill="FCFCFC"/>
        </w:rPr>
        <w:t xml:space="preserve"> </w:t>
      </w:r>
      <w:r w:rsidRPr="00516AE4">
        <w:rPr>
          <w:spacing w:val="-4"/>
          <w:sz w:val="28"/>
          <w:szCs w:val="28"/>
          <w:shd w:val="clear" w:color="auto" w:fill="FCFCFC"/>
          <w:lang w:val="en-US"/>
        </w:rPr>
        <w:t>M</w:t>
      </w:r>
      <w:r>
        <w:rPr>
          <w:spacing w:val="-4"/>
          <w:sz w:val="28"/>
          <w:szCs w:val="28"/>
          <w:shd w:val="clear" w:color="auto" w:fill="FCFCFC"/>
        </w:rPr>
        <w:t>.</w:t>
      </w:r>
      <w:r w:rsidRPr="00516AE4">
        <w:rPr>
          <w:spacing w:val="-4"/>
          <w:sz w:val="28"/>
          <w:szCs w:val="28"/>
          <w:shd w:val="clear" w:color="auto" w:fill="FCFCFC"/>
          <w:lang w:val="en-US"/>
        </w:rPr>
        <w:t>G</w:t>
      </w:r>
      <w:r w:rsidRPr="00516AE4">
        <w:rPr>
          <w:spacing w:val="-4"/>
          <w:sz w:val="28"/>
          <w:szCs w:val="28"/>
          <w:shd w:val="clear" w:color="auto" w:fill="FCFCFC"/>
        </w:rPr>
        <w:t xml:space="preserve">. </w:t>
      </w:r>
      <w:r w:rsidRPr="00516AE4">
        <w:rPr>
          <w:spacing w:val="-4"/>
          <w:sz w:val="28"/>
          <w:szCs w:val="28"/>
          <w:shd w:val="clear" w:color="auto" w:fill="FCFCFC"/>
          <w:lang w:val="en-US"/>
        </w:rPr>
        <w:t>et</w:t>
      </w:r>
      <w:r w:rsidRPr="0037499A">
        <w:rPr>
          <w:spacing w:val="-4"/>
          <w:sz w:val="28"/>
          <w:szCs w:val="28"/>
          <w:shd w:val="clear" w:color="auto" w:fill="FCFCFC"/>
        </w:rPr>
        <w:t xml:space="preserve"> </w:t>
      </w:r>
      <w:r w:rsidRPr="00516AE4">
        <w:rPr>
          <w:spacing w:val="-4"/>
          <w:sz w:val="28"/>
          <w:szCs w:val="28"/>
          <w:shd w:val="clear" w:color="auto" w:fill="FCFCFC"/>
          <w:lang w:val="en-US"/>
        </w:rPr>
        <w:t>al</w:t>
      </w:r>
      <w:r w:rsidRPr="00516AE4">
        <w:rPr>
          <w:spacing w:val="-4"/>
          <w:sz w:val="28"/>
          <w:szCs w:val="28"/>
          <w:shd w:val="clear" w:color="auto" w:fill="FCFCFC"/>
        </w:rPr>
        <w:t xml:space="preserve">., 1998; </w:t>
      </w:r>
      <w:r w:rsidRPr="00516AE4">
        <w:rPr>
          <w:spacing w:val="-4"/>
          <w:sz w:val="28"/>
          <w:szCs w:val="28"/>
          <w:shd w:val="clear" w:color="auto" w:fill="FCFCFC"/>
          <w:lang w:val="en-US"/>
        </w:rPr>
        <w:t>Grinnell</w:t>
      </w:r>
      <w:r w:rsidRPr="0037499A">
        <w:rPr>
          <w:spacing w:val="-4"/>
          <w:sz w:val="28"/>
          <w:szCs w:val="28"/>
          <w:shd w:val="clear" w:color="auto" w:fill="FCFCFC"/>
        </w:rPr>
        <w:t xml:space="preserve"> </w:t>
      </w:r>
      <w:r w:rsidRPr="00516AE4">
        <w:rPr>
          <w:spacing w:val="-4"/>
          <w:sz w:val="28"/>
          <w:szCs w:val="28"/>
          <w:shd w:val="clear" w:color="auto" w:fill="FCFCFC"/>
          <w:lang w:val="en-US"/>
        </w:rPr>
        <w:t>B</w:t>
      </w:r>
      <w:r>
        <w:rPr>
          <w:spacing w:val="-4"/>
          <w:sz w:val="28"/>
          <w:szCs w:val="28"/>
          <w:shd w:val="clear" w:color="auto" w:fill="FCFCFC"/>
        </w:rPr>
        <w:t>.</w:t>
      </w:r>
      <w:r w:rsidRPr="00516AE4">
        <w:rPr>
          <w:spacing w:val="-4"/>
          <w:sz w:val="28"/>
          <w:szCs w:val="28"/>
          <w:shd w:val="clear" w:color="auto" w:fill="FCFCFC"/>
          <w:lang w:val="en-US"/>
        </w:rPr>
        <w:t>W</w:t>
      </w:r>
      <w:r w:rsidRPr="00516AE4">
        <w:rPr>
          <w:spacing w:val="-4"/>
          <w:sz w:val="28"/>
          <w:szCs w:val="28"/>
          <w:shd w:val="clear" w:color="auto" w:fill="FCFCFC"/>
        </w:rPr>
        <w:t xml:space="preserve">., </w:t>
      </w:r>
      <w:r w:rsidRPr="00516AE4">
        <w:rPr>
          <w:spacing w:val="-4"/>
          <w:sz w:val="28"/>
          <w:szCs w:val="28"/>
          <w:shd w:val="clear" w:color="auto" w:fill="FCFCFC"/>
          <w:lang w:val="en-US"/>
        </w:rPr>
        <w:t>Joyce</w:t>
      </w:r>
      <w:r w:rsidRPr="0037499A">
        <w:rPr>
          <w:spacing w:val="-4"/>
          <w:sz w:val="28"/>
          <w:szCs w:val="28"/>
          <w:shd w:val="clear" w:color="auto" w:fill="FCFCFC"/>
        </w:rPr>
        <w:t xml:space="preserve"> </w:t>
      </w:r>
      <w:r w:rsidRPr="00516AE4">
        <w:rPr>
          <w:spacing w:val="-4"/>
          <w:sz w:val="28"/>
          <w:szCs w:val="28"/>
          <w:shd w:val="clear" w:color="auto" w:fill="FCFCFC"/>
          <w:lang w:val="en-US"/>
        </w:rPr>
        <w:t>D</w:t>
      </w:r>
      <w:r w:rsidRPr="00516AE4">
        <w:rPr>
          <w:spacing w:val="-4"/>
          <w:sz w:val="28"/>
          <w:szCs w:val="28"/>
          <w:shd w:val="clear" w:color="auto" w:fill="FCFCFC"/>
        </w:rPr>
        <w:t xml:space="preserve">., 2001; </w:t>
      </w:r>
      <w:r w:rsidRPr="00516AE4">
        <w:rPr>
          <w:spacing w:val="-4"/>
          <w:sz w:val="28"/>
          <w:szCs w:val="28"/>
          <w:shd w:val="clear" w:color="auto" w:fill="FCFCFC"/>
          <w:lang w:val="en-US"/>
        </w:rPr>
        <w:t>Macias</w:t>
      </w:r>
      <w:r w:rsidRPr="0037499A">
        <w:rPr>
          <w:spacing w:val="-4"/>
          <w:sz w:val="28"/>
          <w:szCs w:val="28"/>
          <w:shd w:val="clear" w:color="auto" w:fill="FCFCFC"/>
        </w:rPr>
        <w:t xml:space="preserve"> </w:t>
      </w:r>
      <w:r w:rsidRPr="00516AE4">
        <w:rPr>
          <w:spacing w:val="-4"/>
          <w:sz w:val="28"/>
          <w:szCs w:val="28"/>
          <w:shd w:val="clear" w:color="auto" w:fill="FCFCFC"/>
          <w:lang w:val="en-US"/>
        </w:rPr>
        <w:t>W</w:t>
      </w:r>
      <w:r>
        <w:rPr>
          <w:spacing w:val="-4"/>
          <w:sz w:val="28"/>
          <w:szCs w:val="28"/>
          <w:shd w:val="clear" w:color="auto" w:fill="FCFCFC"/>
        </w:rPr>
        <w:t>.</w:t>
      </w:r>
      <w:r w:rsidRPr="00516AE4">
        <w:rPr>
          <w:spacing w:val="-4"/>
          <w:sz w:val="28"/>
          <w:szCs w:val="28"/>
          <w:shd w:val="clear" w:color="auto" w:fill="FCFCFC"/>
          <w:lang w:val="en-US"/>
        </w:rPr>
        <w:t>L</w:t>
      </w:r>
      <w:r w:rsidRPr="00516AE4">
        <w:rPr>
          <w:spacing w:val="-4"/>
          <w:sz w:val="28"/>
          <w:szCs w:val="28"/>
          <w:shd w:val="clear" w:color="auto" w:fill="FCFCFC"/>
        </w:rPr>
        <w:t xml:space="preserve">. </w:t>
      </w:r>
      <w:r w:rsidRPr="00516AE4">
        <w:rPr>
          <w:spacing w:val="-4"/>
          <w:sz w:val="28"/>
          <w:szCs w:val="28"/>
          <w:shd w:val="clear" w:color="auto" w:fill="FCFCFC"/>
          <w:lang w:val="en-US"/>
        </w:rPr>
        <w:t>et</w:t>
      </w:r>
      <w:r w:rsidRPr="0037499A">
        <w:rPr>
          <w:spacing w:val="-4"/>
          <w:sz w:val="28"/>
          <w:szCs w:val="28"/>
          <w:shd w:val="clear" w:color="auto" w:fill="FCFCFC"/>
        </w:rPr>
        <w:t xml:space="preserve"> </w:t>
      </w:r>
      <w:r w:rsidRPr="00516AE4">
        <w:rPr>
          <w:spacing w:val="-4"/>
          <w:sz w:val="28"/>
          <w:szCs w:val="28"/>
          <w:shd w:val="clear" w:color="auto" w:fill="FCFCFC"/>
          <w:lang w:val="en-US"/>
        </w:rPr>
        <w:t>al</w:t>
      </w:r>
      <w:r w:rsidRPr="00516AE4">
        <w:rPr>
          <w:spacing w:val="-4"/>
          <w:sz w:val="28"/>
          <w:szCs w:val="28"/>
          <w:shd w:val="clear" w:color="auto" w:fill="FCFCFC"/>
        </w:rPr>
        <w:t>., 2002</w:t>
      </w:r>
      <w:r w:rsidRPr="00026A2C">
        <w:rPr>
          <w:spacing w:val="-4"/>
          <w:sz w:val="28"/>
          <w:szCs w:val="28"/>
        </w:rPr>
        <w:t>)</w:t>
      </w:r>
      <w:r w:rsidRPr="00516AE4">
        <w:rPr>
          <w:spacing w:val="-4"/>
          <w:sz w:val="28"/>
          <w:szCs w:val="28"/>
        </w:rPr>
        <w:t xml:space="preserve">. Повторные исследования опровергли эффективность данного препарата, и он был снят с производства и реализации судебным решением </w:t>
      </w:r>
      <w:r w:rsidRPr="00026A2C">
        <w:rPr>
          <w:spacing w:val="-4"/>
          <w:sz w:val="28"/>
          <w:szCs w:val="28"/>
        </w:rPr>
        <w:t>(</w:t>
      </w:r>
      <w:r w:rsidRPr="00516AE4">
        <w:rPr>
          <w:spacing w:val="-4"/>
          <w:sz w:val="28"/>
          <w:szCs w:val="28"/>
          <w:shd w:val="clear" w:color="auto" w:fill="FFFFFF"/>
          <w:lang w:val="en-US"/>
        </w:rPr>
        <w:t>Ranieri</w:t>
      </w:r>
      <w:r w:rsidRPr="0037499A">
        <w:rPr>
          <w:spacing w:val="-4"/>
          <w:sz w:val="28"/>
          <w:szCs w:val="28"/>
          <w:shd w:val="clear" w:color="auto" w:fill="FFFFFF"/>
        </w:rPr>
        <w:t xml:space="preserve"> </w:t>
      </w:r>
      <w:r w:rsidRPr="00516AE4">
        <w:rPr>
          <w:spacing w:val="-4"/>
          <w:sz w:val="28"/>
          <w:szCs w:val="28"/>
          <w:shd w:val="clear" w:color="auto" w:fill="FFFFFF"/>
          <w:lang w:val="en-US"/>
        </w:rPr>
        <w:t>V</w:t>
      </w:r>
      <w:r>
        <w:rPr>
          <w:spacing w:val="-4"/>
          <w:sz w:val="28"/>
          <w:szCs w:val="28"/>
          <w:shd w:val="clear" w:color="auto" w:fill="FFFFFF"/>
        </w:rPr>
        <w:t>.</w:t>
      </w:r>
      <w:r w:rsidRPr="00516AE4">
        <w:rPr>
          <w:spacing w:val="-4"/>
          <w:sz w:val="28"/>
          <w:szCs w:val="28"/>
          <w:shd w:val="clear" w:color="auto" w:fill="FFFFFF"/>
          <w:lang w:val="en-US"/>
        </w:rPr>
        <w:t>M</w:t>
      </w:r>
      <w:r w:rsidRPr="00516AE4">
        <w:rPr>
          <w:spacing w:val="-4"/>
          <w:sz w:val="28"/>
          <w:szCs w:val="28"/>
          <w:shd w:val="clear" w:color="auto" w:fill="FFFFFF"/>
        </w:rPr>
        <w:t xml:space="preserve">. </w:t>
      </w:r>
      <w:r w:rsidRPr="00516AE4">
        <w:rPr>
          <w:spacing w:val="-4"/>
          <w:sz w:val="28"/>
          <w:szCs w:val="28"/>
          <w:shd w:val="clear" w:color="auto" w:fill="FFFFFF"/>
          <w:lang w:val="en-US"/>
        </w:rPr>
        <w:t>et</w:t>
      </w:r>
      <w:r w:rsidRPr="0037499A">
        <w:rPr>
          <w:spacing w:val="-4"/>
          <w:sz w:val="28"/>
          <w:szCs w:val="28"/>
          <w:shd w:val="clear" w:color="auto" w:fill="FFFFFF"/>
        </w:rPr>
        <w:t xml:space="preserve"> </w:t>
      </w:r>
      <w:r w:rsidRPr="00516AE4">
        <w:rPr>
          <w:spacing w:val="-4"/>
          <w:sz w:val="28"/>
          <w:szCs w:val="28"/>
          <w:shd w:val="clear" w:color="auto" w:fill="FFFFFF"/>
          <w:lang w:val="en-US"/>
        </w:rPr>
        <w:t>al</w:t>
      </w:r>
      <w:r w:rsidRPr="00516AE4">
        <w:rPr>
          <w:spacing w:val="-4"/>
          <w:sz w:val="28"/>
          <w:szCs w:val="28"/>
          <w:shd w:val="clear" w:color="auto" w:fill="FFFFFF"/>
        </w:rPr>
        <w:t>., 2012</w:t>
      </w:r>
      <w:r w:rsidRPr="00026A2C">
        <w:rPr>
          <w:spacing w:val="-4"/>
          <w:sz w:val="28"/>
          <w:szCs w:val="28"/>
        </w:rPr>
        <w:t>)</w:t>
      </w:r>
      <w:r w:rsidRPr="00516AE4">
        <w:rPr>
          <w:spacing w:val="-4"/>
          <w:sz w:val="28"/>
          <w:szCs w:val="28"/>
        </w:rPr>
        <w:t>.</w:t>
      </w:r>
    </w:p>
    <w:p w:rsidR="00286780" w:rsidRPr="00C5336B" w:rsidRDefault="00286780" w:rsidP="00C5336B">
      <w:pPr>
        <w:spacing w:line="360" w:lineRule="auto"/>
        <w:ind w:right="99" w:firstLine="709"/>
        <w:jc w:val="both"/>
        <w:rPr>
          <w:sz w:val="28"/>
          <w:szCs w:val="28"/>
        </w:rPr>
      </w:pPr>
      <w:r w:rsidRPr="00C5336B">
        <w:rPr>
          <w:sz w:val="28"/>
          <w:szCs w:val="28"/>
        </w:rPr>
        <w:t>Важными компонентами интенсивной терапии сепсиса являются профилактика стресс-язв желудочно-кишечного тракта, коррекция гл</w:t>
      </w:r>
      <w:r>
        <w:rPr>
          <w:sz w:val="28"/>
          <w:szCs w:val="28"/>
        </w:rPr>
        <w:t xml:space="preserve">икемии и нутритивная поддержка </w:t>
      </w:r>
      <w:r w:rsidRPr="00026A2C">
        <w:rPr>
          <w:sz w:val="28"/>
          <w:szCs w:val="28"/>
        </w:rPr>
        <w:t>(</w:t>
      </w:r>
      <w:r>
        <w:rPr>
          <w:sz w:val="28"/>
          <w:szCs w:val="28"/>
        </w:rPr>
        <w:t>Савельев В.</w:t>
      </w:r>
      <w:r w:rsidRPr="00C5336B">
        <w:rPr>
          <w:sz w:val="28"/>
          <w:szCs w:val="28"/>
        </w:rPr>
        <w:t xml:space="preserve">С. и др., 2006; </w:t>
      </w:r>
      <w:r w:rsidRPr="00C5336B">
        <w:rPr>
          <w:sz w:val="28"/>
          <w:szCs w:val="28"/>
          <w:shd w:val="clear" w:color="auto" w:fill="FFFFFF"/>
          <w:lang w:val="en-US"/>
        </w:rPr>
        <w:t>Rhodes</w:t>
      </w:r>
      <w:r w:rsidRPr="0037499A">
        <w:rPr>
          <w:sz w:val="28"/>
          <w:szCs w:val="28"/>
          <w:shd w:val="clear" w:color="auto" w:fill="FFFFFF"/>
        </w:rPr>
        <w:t xml:space="preserve"> </w:t>
      </w:r>
      <w:r w:rsidRPr="00C5336B">
        <w:rPr>
          <w:sz w:val="28"/>
          <w:szCs w:val="28"/>
          <w:shd w:val="clear" w:color="auto" w:fill="FFFFFF"/>
          <w:lang w:val="en-US"/>
        </w:rPr>
        <w:t>A</w:t>
      </w:r>
      <w:r w:rsidRPr="00C5336B">
        <w:rPr>
          <w:sz w:val="28"/>
          <w:szCs w:val="28"/>
          <w:shd w:val="clear" w:color="auto" w:fill="FFFFFF"/>
        </w:rPr>
        <w:t xml:space="preserve">. </w:t>
      </w:r>
      <w:r w:rsidRPr="00C5336B">
        <w:rPr>
          <w:sz w:val="28"/>
          <w:szCs w:val="28"/>
          <w:shd w:val="clear" w:color="auto" w:fill="FFFFFF"/>
          <w:lang w:val="en-US"/>
        </w:rPr>
        <w:t>et</w:t>
      </w:r>
      <w:r w:rsidRPr="0037499A">
        <w:rPr>
          <w:sz w:val="28"/>
          <w:szCs w:val="28"/>
          <w:shd w:val="clear" w:color="auto" w:fill="FFFFFF"/>
        </w:rPr>
        <w:t xml:space="preserve"> </w:t>
      </w:r>
      <w:r w:rsidRPr="00C5336B">
        <w:rPr>
          <w:sz w:val="28"/>
          <w:szCs w:val="28"/>
          <w:shd w:val="clear" w:color="auto" w:fill="FFFFFF"/>
          <w:lang w:val="en-US"/>
        </w:rPr>
        <w:t>al</w:t>
      </w:r>
      <w:r w:rsidRPr="00C5336B">
        <w:rPr>
          <w:sz w:val="28"/>
          <w:szCs w:val="28"/>
          <w:shd w:val="clear" w:color="auto" w:fill="FFFFFF"/>
        </w:rPr>
        <w:t>., 2017</w:t>
      </w:r>
      <w:r w:rsidRPr="00026A2C">
        <w:rPr>
          <w:sz w:val="28"/>
          <w:szCs w:val="28"/>
        </w:rPr>
        <w:t>)</w:t>
      </w:r>
      <w:r w:rsidRPr="00C5336B">
        <w:rPr>
          <w:sz w:val="28"/>
          <w:szCs w:val="28"/>
        </w:rPr>
        <w:t>.</w:t>
      </w:r>
    </w:p>
    <w:p w:rsidR="00286780" w:rsidRPr="00C5336B" w:rsidRDefault="00286780" w:rsidP="00C5336B">
      <w:pPr>
        <w:spacing w:line="360" w:lineRule="auto"/>
        <w:ind w:right="99" w:firstLine="709"/>
        <w:jc w:val="both"/>
        <w:rPr>
          <w:sz w:val="28"/>
          <w:szCs w:val="28"/>
        </w:rPr>
      </w:pPr>
      <w:r w:rsidRPr="00C5336B">
        <w:rPr>
          <w:sz w:val="28"/>
          <w:szCs w:val="28"/>
        </w:rPr>
        <w:t>Сепсис оказывает угнетающее воздействие на иммунитет и изменяет баланс интерлейкинов, что приводит к истощению иммунной системы и определяет показания для коррекци</w:t>
      </w:r>
      <w:r>
        <w:rPr>
          <w:sz w:val="28"/>
          <w:szCs w:val="28"/>
        </w:rPr>
        <w:t xml:space="preserve">и данной патологии </w:t>
      </w:r>
      <w:r w:rsidRPr="00026A2C">
        <w:rPr>
          <w:sz w:val="28"/>
          <w:szCs w:val="28"/>
        </w:rPr>
        <w:t>(</w:t>
      </w:r>
      <w:r>
        <w:rPr>
          <w:sz w:val="28"/>
          <w:szCs w:val="28"/>
        </w:rPr>
        <w:t>Громов М.И., 1998; Дурново Е.</w:t>
      </w:r>
      <w:r w:rsidRPr="00C5336B">
        <w:rPr>
          <w:sz w:val="28"/>
          <w:szCs w:val="28"/>
        </w:rPr>
        <w:t xml:space="preserve">А., 2003; </w:t>
      </w:r>
      <w:r w:rsidRPr="00C5336B">
        <w:rPr>
          <w:sz w:val="28"/>
          <w:szCs w:val="28"/>
          <w:shd w:val="clear" w:color="auto" w:fill="FFFFFF"/>
          <w:lang w:val="en-US"/>
        </w:rPr>
        <w:t>Bozza</w:t>
      </w:r>
      <w:r w:rsidRPr="0037499A">
        <w:rPr>
          <w:sz w:val="28"/>
          <w:szCs w:val="28"/>
          <w:shd w:val="clear" w:color="auto" w:fill="FFFFFF"/>
        </w:rPr>
        <w:t xml:space="preserve"> </w:t>
      </w:r>
      <w:r w:rsidRPr="00C5336B">
        <w:rPr>
          <w:sz w:val="28"/>
          <w:szCs w:val="28"/>
          <w:shd w:val="clear" w:color="auto" w:fill="FFFFFF"/>
          <w:lang w:val="en-US"/>
        </w:rPr>
        <w:t>F</w:t>
      </w:r>
      <w:r>
        <w:rPr>
          <w:sz w:val="28"/>
          <w:szCs w:val="28"/>
          <w:shd w:val="clear" w:color="auto" w:fill="FFFFFF"/>
        </w:rPr>
        <w:t>.</w:t>
      </w:r>
      <w:r w:rsidRPr="00C5336B">
        <w:rPr>
          <w:sz w:val="28"/>
          <w:szCs w:val="28"/>
          <w:shd w:val="clear" w:color="auto" w:fill="FFFFFF"/>
          <w:lang w:val="en-US"/>
        </w:rPr>
        <w:t>A</w:t>
      </w:r>
      <w:r w:rsidRPr="00C5336B">
        <w:rPr>
          <w:sz w:val="28"/>
          <w:szCs w:val="28"/>
          <w:shd w:val="clear" w:color="auto" w:fill="FFFFFF"/>
        </w:rPr>
        <w:t xml:space="preserve">. </w:t>
      </w:r>
      <w:r w:rsidRPr="00C5336B">
        <w:rPr>
          <w:sz w:val="28"/>
          <w:szCs w:val="28"/>
          <w:shd w:val="clear" w:color="auto" w:fill="FFFFFF"/>
          <w:lang w:val="en-US"/>
        </w:rPr>
        <w:t>et</w:t>
      </w:r>
      <w:r w:rsidRPr="0037499A">
        <w:rPr>
          <w:sz w:val="28"/>
          <w:szCs w:val="28"/>
          <w:shd w:val="clear" w:color="auto" w:fill="FFFFFF"/>
        </w:rPr>
        <w:t xml:space="preserve"> </w:t>
      </w:r>
      <w:r w:rsidRPr="00C5336B">
        <w:rPr>
          <w:sz w:val="28"/>
          <w:szCs w:val="28"/>
          <w:shd w:val="clear" w:color="auto" w:fill="FFFFFF"/>
          <w:lang w:val="en-US"/>
        </w:rPr>
        <w:t>al</w:t>
      </w:r>
      <w:r w:rsidRPr="00C5336B">
        <w:rPr>
          <w:sz w:val="28"/>
          <w:szCs w:val="28"/>
          <w:shd w:val="clear" w:color="auto" w:fill="FFFFFF"/>
        </w:rPr>
        <w:t>., 2007</w:t>
      </w:r>
      <w:r w:rsidRPr="00026A2C">
        <w:rPr>
          <w:sz w:val="28"/>
          <w:szCs w:val="28"/>
        </w:rPr>
        <w:t>)</w:t>
      </w:r>
      <w:r w:rsidRPr="00C5336B">
        <w:rPr>
          <w:sz w:val="28"/>
          <w:szCs w:val="28"/>
        </w:rPr>
        <w:t>.</w:t>
      </w:r>
    </w:p>
    <w:p w:rsidR="00286780" w:rsidRPr="00C5336B" w:rsidRDefault="00286780" w:rsidP="00C5336B">
      <w:pPr>
        <w:spacing w:line="360" w:lineRule="auto"/>
        <w:ind w:right="99" w:firstLine="709"/>
        <w:jc w:val="both"/>
        <w:rPr>
          <w:sz w:val="28"/>
          <w:szCs w:val="28"/>
        </w:rPr>
      </w:pPr>
      <w:r w:rsidRPr="00C5336B">
        <w:rPr>
          <w:sz w:val="28"/>
          <w:szCs w:val="28"/>
        </w:rPr>
        <w:t xml:space="preserve">Коррекцию иммунных нарушений необходимо проводить на основании данных иммунологического анализа, причем иммунотерапия должна начинаться параллельно с другими видами терапии (антибактериальной, </w:t>
      </w:r>
      <w:r>
        <w:rPr>
          <w:sz w:val="28"/>
          <w:szCs w:val="28"/>
        </w:rPr>
        <w:t xml:space="preserve">этиотропной и т. д.) </w:t>
      </w:r>
      <w:r w:rsidRPr="00026A2C">
        <w:rPr>
          <w:sz w:val="28"/>
          <w:szCs w:val="28"/>
        </w:rPr>
        <w:t>(</w:t>
      </w:r>
      <w:r>
        <w:rPr>
          <w:sz w:val="28"/>
          <w:szCs w:val="28"/>
        </w:rPr>
        <w:t>Хаитов Р.М., Пинегин Б.В., 2000</w:t>
      </w:r>
      <w:r w:rsidRPr="00026A2C">
        <w:rPr>
          <w:sz w:val="28"/>
          <w:szCs w:val="28"/>
        </w:rPr>
        <w:t>)</w:t>
      </w:r>
      <w:r w:rsidRPr="00C5336B">
        <w:rPr>
          <w:sz w:val="28"/>
          <w:szCs w:val="28"/>
        </w:rPr>
        <w:t>.</w:t>
      </w:r>
    </w:p>
    <w:p w:rsidR="00286780" w:rsidRPr="00C5336B" w:rsidRDefault="00286780" w:rsidP="00C5336B">
      <w:pPr>
        <w:spacing w:line="360" w:lineRule="auto"/>
        <w:ind w:right="99" w:firstLine="709"/>
        <w:jc w:val="both"/>
        <w:rPr>
          <w:sz w:val="28"/>
          <w:szCs w:val="28"/>
        </w:rPr>
      </w:pPr>
      <w:r w:rsidRPr="00C5336B">
        <w:rPr>
          <w:sz w:val="28"/>
          <w:szCs w:val="28"/>
        </w:rPr>
        <w:t xml:space="preserve">При восстановлении системы иммунного гомеостаза при сепсисе представляет особый интерес заместительное применение иммуноглобулинов, а </w:t>
      </w:r>
      <w:r>
        <w:rPr>
          <w:sz w:val="28"/>
          <w:szCs w:val="28"/>
        </w:rPr>
        <w:t>также</w:t>
      </w:r>
      <w:r w:rsidRPr="00C5336B">
        <w:rPr>
          <w:sz w:val="28"/>
          <w:szCs w:val="28"/>
        </w:rPr>
        <w:t xml:space="preserve"> препаратов, содержащих иммуноглобулины в своем составе (пентаглобин, антистафилококковый иммуноглобулин и др.) </w:t>
      </w:r>
      <w:r w:rsidRPr="00026A2C">
        <w:rPr>
          <w:sz w:val="28"/>
          <w:szCs w:val="28"/>
        </w:rPr>
        <w:t>(</w:t>
      </w:r>
      <w:r w:rsidRPr="00C5336B">
        <w:rPr>
          <w:sz w:val="28"/>
          <w:szCs w:val="28"/>
          <w:shd w:val="clear" w:color="auto" w:fill="FFFFFF"/>
          <w:lang w:val="en-US"/>
        </w:rPr>
        <w:t>Pildal</w:t>
      </w:r>
      <w:r w:rsidRPr="0037499A">
        <w:rPr>
          <w:sz w:val="28"/>
          <w:szCs w:val="28"/>
          <w:shd w:val="clear" w:color="auto" w:fill="FFFFFF"/>
        </w:rPr>
        <w:t xml:space="preserve"> </w:t>
      </w:r>
      <w:r w:rsidRPr="00C5336B">
        <w:rPr>
          <w:sz w:val="28"/>
          <w:szCs w:val="28"/>
          <w:shd w:val="clear" w:color="auto" w:fill="FFFFFF"/>
          <w:lang w:val="en-US"/>
        </w:rPr>
        <w:t>J</w:t>
      </w:r>
      <w:r w:rsidRPr="00C5336B">
        <w:rPr>
          <w:sz w:val="28"/>
          <w:szCs w:val="28"/>
          <w:shd w:val="clear" w:color="auto" w:fill="FFFFFF"/>
        </w:rPr>
        <w:t xml:space="preserve">., </w:t>
      </w:r>
      <w:r w:rsidRPr="00C5336B">
        <w:rPr>
          <w:sz w:val="28"/>
          <w:szCs w:val="28"/>
          <w:shd w:val="clear" w:color="auto" w:fill="FFFFFF"/>
          <w:lang w:val="en-US"/>
        </w:rPr>
        <w:t>G</w:t>
      </w:r>
      <w:r w:rsidRPr="00C5336B">
        <w:rPr>
          <w:sz w:val="28"/>
          <w:szCs w:val="28"/>
          <w:shd w:val="clear" w:color="auto" w:fill="FFFFFF"/>
        </w:rPr>
        <w:t>ø</w:t>
      </w:r>
      <w:r w:rsidRPr="00C5336B">
        <w:rPr>
          <w:sz w:val="28"/>
          <w:szCs w:val="28"/>
          <w:shd w:val="clear" w:color="auto" w:fill="FFFFFF"/>
          <w:lang w:val="en-US"/>
        </w:rPr>
        <w:t>tzsche</w:t>
      </w:r>
      <w:r w:rsidRPr="0037499A">
        <w:rPr>
          <w:sz w:val="28"/>
          <w:szCs w:val="28"/>
          <w:shd w:val="clear" w:color="auto" w:fill="FFFFFF"/>
        </w:rPr>
        <w:t xml:space="preserve"> </w:t>
      </w:r>
      <w:r w:rsidRPr="00C5336B">
        <w:rPr>
          <w:sz w:val="28"/>
          <w:szCs w:val="28"/>
          <w:shd w:val="clear" w:color="auto" w:fill="FFFFFF"/>
          <w:lang w:val="en-US"/>
        </w:rPr>
        <w:t>P</w:t>
      </w:r>
      <w:r>
        <w:rPr>
          <w:sz w:val="28"/>
          <w:szCs w:val="28"/>
          <w:shd w:val="clear" w:color="auto" w:fill="FFFFFF"/>
        </w:rPr>
        <w:t>.</w:t>
      </w:r>
      <w:r w:rsidRPr="00C5336B">
        <w:rPr>
          <w:sz w:val="28"/>
          <w:szCs w:val="28"/>
          <w:shd w:val="clear" w:color="auto" w:fill="FFFFFF"/>
          <w:lang w:val="en-US"/>
        </w:rPr>
        <w:t>C</w:t>
      </w:r>
      <w:r w:rsidRPr="00C5336B">
        <w:rPr>
          <w:sz w:val="28"/>
          <w:szCs w:val="28"/>
          <w:shd w:val="clear" w:color="auto" w:fill="FFFFFF"/>
        </w:rPr>
        <w:t>., 2004</w:t>
      </w:r>
      <w:r w:rsidRPr="00026A2C">
        <w:rPr>
          <w:sz w:val="28"/>
          <w:szCs w:val="28"/>
        </w:rPr>
        <w:t>)</w:t>
      </w:r>
      <w:r w:rsidRPr="00C5336B">
        <w:rPr>
          <w:sz w:val="28"/>
          <w:szCs w:val="28"/>
        </w:rPr>
        <w:t>.</w:t>
      </w:r>
      <w:r>
        <w:rPr>
          <w:sz w:val="28"/>
          <w:szCs w:val="28"/>
        </w:rPr>
        <w:t xml:space="preserve"> </w:t>
      </w:r>
      <w:r w:rsidRPr="00C5336B">
        <w:rPr>
          <w:sz w:val="28"/>
          <w:szCs w:val="28"/>
        </w:rPr>
        <w:t xml:space="preserve">В то же время последние исследования не выявили положительного эффекта от применения заместительной терапии иммуноглобулинами </w:t>
      </w:r>
      <w:r w:rsidRPr="00026A2C">
        <w:rPr>
          <w:sz w:val="28"/>
          <w:szCs w:val="28"/>
        </w:rPr>
        <w:t>(</w:t>
      </w:r>
      <w:r w:rsidRPr="00C5336B">
        <w:rPr>
          <w:sz w:val="28"/>
          <w:szCs w:val="28"/>
          <w:shd w:val="clear" w:color="auto" w:fill="FFFFFF"/>
          <w:lang w:val="en-US"/>
        </w:rPr>
        <w:t>Werdan</w:t>
      </w:r>
      <w:r w:rsidRPr="0037499A">
        <w:rPr>
          <w:sz w:val="28"/>
          <w:szCs w:val="28"/>
          <w:shd w:val="clear" w:color="auto" w:fill="FFFFFF"/>
        </w:rPr>
        <w:t xml:space="preserve"> </w:t>
      </w:r>
      <w:r w:rsidRPr="00C5336B">
        <w:rPr>
          <w:sz w:val="28"/>
          <w:szCs w:val="28"/>
          <w:shd w:val="clear" w:color="auto" w:fill="FFFFFF"/>
          <w:lang w:val="en-US"/>
        </w:rPr>
        <w:t>K</w:t>
      </w:r>
      <w:r w:rsidRPr="00C5336B">
        <w:rPr>
          <w:sz w:val="28"/>
          <w:szCs w:val="28"/>
          <w:shd w:val="clear" w:color="auto" w:fill="FFFFFF"/>
        </w:rPr>
        <w:t xml:space="preserve">. </w:t>
      </w:r>
      <w:r w:rsidRPr="00C5336B">
        <w:rPr>
          <w:sz w:val="28"/>
          <w:szCs w:val="28"/>
          <w:shd w:val="clear" w:color="auto" w:fill="FFFFFF"/>
          <w:lang w:val="en-US"/>
        </w:rPr>
        <w:t>et</w:t>
      </w:r>
      <w:r w:rsidRPr="0037499A">
        <w:rPr>
          <w:sz w:val="28"/>
          <w:szCs w:val="28"/>
          <w:shd w:val="clear" w:color="auto" w:fill="FFFFFF"/>
        </w:rPr>
        <w:t xml:space="preserve"> </w:t>
      </w:r>
      <w:r w:rsidRPr="00C5336B">
        <w:rPr>
          <w:sz w:val="28"/>
          <w:szCs w:val="28"/>
          <w:shd w:val="clear" w:color="auto" w:fill="FFFFFF"/>
          <w:lang w:val="en-US"/>
        </w:rPr>
        <w:t>al</w:t>
      </w:r>
      <w:r w:rsidRPr="00C5336B">
        <w:rPr>
          <w:sz w:val="28"/>
          <w:szCs w:val="28"/>
          <w:shd w:val="clear" w:color="auto" w:fill="FFFFFF"/>
        </w:rPr>
        <w:t xml:space="preserve">., 2007; </w:t>
      </w:r>
      <w:r w:rsidRPr="00C5336B">
        <w:rPr>
          <w:sz w:val="28"/>
          <w:szCs w:val="28"/>
          <w:shd w:val="clear" w:color="auto" w:fill="FFFFFF"/>
          <w:lang w:val="en-US"/>
        </w:rPr>
        <w:t>Alejandria</w:t>
      </w:r>
      <w:r w:rsidRPr="0037499A">
        <w:rPr>
          <w:sz w:val="28"/>
          <w:szCs w:val="28"/>
          <w:shd w:val="clear" w:color="auto" w:fill="FFFFFF"/>
        </w:rPr>
        <w:t xml:space="preserve"> </w:t>
      </w:r>
      <w:r w:rsidRPr="00C5336B">
        <w:rPr>
          <w:sz w:val="28"/>
          <w:szCs w:val="28"/>
          <w:shd w:val="clear" w:color="auto" w:fill="FFFFFF"/>
          <w:lang w:val="en-US"/>
        </w:rPr>
        <w:t>M</w:t>
      </w:r>
      <w:r>
        <w:rPr>
          <w:sz w:val="28"/>
          <w:szCs w:val="28"/>
          <w:shd w:val="clear" w:color="auto" w:fill="FFFFFF"/>
        </w:rPr>
        <w:t>.</w:t>
      </w:r>
      <w:r w:rsidRPr="00C5336B">
        <w:rPr>
          <w:sz w:val="28"/>
          <w:szCs w:val="28"/>
          <w:shd w:val="clear" w:color="auto" w:fill="FFFFFF"/>
          <w:lang w:val="en-US"/>
        </w:rPr>
        <w:t>M</w:t>
      </w:r>
      <w:r w:rsidRPr="00C5336B">
        <w:rPr>
          <w:sz w:val="28"/>
          <w:szCs w:val="28"/>
          <w:shd w:val="clear" w:color="auto" w:fill="FFFFFF"/>
        </w:rPr>
        <w:t xml:space="preserve">. </w:t>
      </w:r>
      <w:r w:rsidRPr="00C5336B">
        <w:rPr>
          <w:sz w:val="28"/>
          <w:szCs w:val="28"/>
          <w:shd w:val="clear" w:color="auto" w:fill="FFFFFF"/>
          <w:lang w:val="en-US"/>
        </w:rPr>
        <w:t>et</w:t>
      </w:r>
      <w:r w:rsidRPr="0037499A">
        <w:rPr>
          <w:sz w:val="28"/>
          <w:szCs w:val="28"/>
          <w:shd w:val="clear" w:color="auto" w:fill="FFFFFF"/>
        </w:rPr>
        <w:t xml:space="preserve"> </w:t>
      </w:r>
      <w:r w:rsidRPr="00C5336B">
        <w:rPr>
          <w:sz w:val="28"/>
          <w:szCs w:val="28"/>
          <w:shd w:val="clear" w:color="auto" w:fill="FFFFFF"/>
          <w:lang w:val="en-US"/>
        </w:rPr>
        <w:t>al</w:t>
      </w:r>
      <w:r w:rsidRPr="00C5336B">
        <w:rPr>
          <w:sz w:val="28"/>
          <w:szCs w:val="28"/>
          <w:shd w:val="clear" w:color="auto" w:fill="FFFFFF"/>
        </w:rPr>
        <w:t>., 2013</w:t>
      </w:r>
      <w:r w:rsidRPr="00026A2C">
        <w:rPr>
          <w:sz w:val="28"/>
          <w:szCs w:val="28"/>
        </w:rPr>
        <w:t>)</w:t>
      </w:r>
      <w:r w:rsidRPr="00C5336B">
        <w:rPr>
          <w:sz w:val="28"/>
          <w:szCs w:val="28"/>
        </w:rPr>
        <w:t>.</w:t>
      </w:r>
    </w:p>
    <w:p w:rsidR="00286780" w:rsidRPr="00C5336B" w:rsidRDefault="00286780" w:rsidP="00C5336B">
      <w:pPr>
        <w:spacing w:line="360" w:lineRule="auto"/>
        <w:ind w:right="99" w:firstLine="709"/>
        <w:jc w:val="both"/>
        <w:rPr>
          <w:sz w:val="28"/>
          <w:szCs w:val="28"/>
        </w:rPr>
      </w:pPr>
      <w:r w:rsidRPr="00C5336B">
        <w:rPr>
          <w:sz w:val="28"/>
          <w:szCs w:val="28"/>
        </w:rPr>
        <w:t>Большой интерес проявляется к применению в клинической практике иммунотропных и иммуномодулирующих средств: полиоксидоний, галавит, имун</w:t>
      </w:r>
      <w:r>
        <w:rPr>
          <w:sz w:val="28"/>
          <w:szCs w:val="28"/>
        </w:rPr>
        <w:t xml:space="preserve">офан, ликопид, левамизол и др. </w:t>
      </w:r>
      <w:r w:rsidRPr="00026A2C">
        <w:rPr>
          <w:sz w:val="28"/>
          <w:szCs w:val="28"/>
        </w:rPr>
        <w:t>(</w:t>
      </w:r>
      <w:r>
        <w:rPr>
          <w:sz w:val="28"/>
          <w:szCs w:val="28"/>
        </w:rPr>
        <w:t>Завада Н.В. и др., 2003</w:t>
      </w:r>
      <w:r w:rsidRPr="00026A2C">
        <w:rPr>
          <w:sz w:val="28"/>
          <w:szCs w:val="28"/>
        </w:rPr>
        <w:t>)</w:t>
      </w:r>
      <w:r w:rsidRPr="00C5336B">
        <w:rPr>
          <w:sz w:val="28"/>
          <w:szCs w:val="28"/>
        </w:rPr>
        <w:t>.</w:t>
      </w:r>
    </w:p>
    <w:p w:rsidR="00286780" w:rsidRPr="00C5336B" w:rsidRDefault="00286780" w:rsidP="00C5336B">
      <w:pPr>
        <w:spacing w:line="360" w:lineRule="auto"/>
        <w:ind w:right="99" w:firstLine="709"/>
        <w:jc w:val="both"/>
        <w:rPr>
          <w:sz w:val="28"/>
          <w:szCs w:val="28"/>
        </w:rPr>
      </w:pPr>
      <w:r w:rsidRPr="00C5336B">
        <w:rPr>
          <w:sz w:val="28"/>
          <w:szCs w:val="28"/>
        </w:rPr>
        <w:t xml:space="preserve">Кроме медикаментозной терапии к иммунокорригирующим методам лечения сепсиса, в том числе одонтогенного, относятся ультрафиолетовое облучение крови, лазерное облучение крови, использование ксеноселезенки, плазмаферез, </w:t>
      </w:r>
      <w:r w:rsidRPr="00C5336B">
        <w:rPr>
          <w:sz w:val="28"/>
          <w:szCs w:val="28"/>
        </w:rPr>
        <w:lastRenderedPageBreak/>
        <w:t>гемосорбция, гипербариче</w:t>
      </w:r>
      <w:r>
        <w:rPr>
          <w:sz w:val="28"/>
          <w:szCs w:val="28"/>
        </w:rPr>
        <w:t xml:space="preserve">ская оксигенация, озонотерапия </w:t>
      </w:r>
      <w:r w:rsidRPr="00026A2C">
        <w:rPr>
          <w:sz w:val="28"/>
          <w:szCs w:val="28"/>
        </w:rPr>
        <w:t>(</w:t>
      </w:r>
      <w:r>
        <w:rPr>
          <w:sz w:val="28"/>
          <w:szCs w:val="28"/>
        </w:rPr>
        <w:t>Харитонов Ю.М., 1999; Будаев А.</w:t>
      </w:r>
      <w:r w:rsidRPr="00C5336B">
        <w:rPr>
          <w:sz w:val="28"/>
          <w:szCs w:val="28"/>
        </w:rPr>
        <w:t>П.</w:t>
      </w:r>
      <w:r>
        <w:rPr>
          <w:sz w:val="28"/>
          <w:szCs w:val="28"/>
        </w:rPr>
        <w:t>, 2001; Граменицкий А.Б., 2001</w:t>
      </w:r>
      <w:r w:rsidRPr="00026A2C">
        <w:rPr>
          <w:sz w:val="28"/>
          <w:szCs w:val="28"/>
        </w:rPr>
        <w:t>)</w:t>
      </w:r>
      <w:r w:rsidRPr="00C5336B">
        <w:rPr>
          <w:sz w:val="28"/>
          <w:szCs w:val="28"/>
        </w:rPr>
        <w:t>.</w:t>
      </w:r>
    </w:p>
    <w:p w:rsidR="00286780" w:rsidRPr="00C5336B" w:rsidRDefault="00286780" w:rsidP="00C5336B">
      <w:pPr>
        <w:spacing w:line="360" w:lineRule="auto"/>
        <w:ind w:right="99" w:firstLine="709"/>
        <w:jc w:val="both"/>
        <w:rPr>
          <w:spacing w:val="-4"/>
          <w:sz w:val="28"/>
          <w:szCs w:val="28"/>
        </w:rPr>
      </w:pPr>
      <w:r w:rsidRPr="00C5336B">
        <w:rPr>
          <w:spacing w:val="-4"/>
          <w:sz w:val="28"/>
          <w:szCs w:val="28"/>
        </w:rPr>
        <w:t xml:space="preserve">Таким образом, при сепсисе является обоснованным применение комплексного лечения, включающего обязательную предоперационную подготовку, максимально радикальное оперативное лечение с последующими перевязками и дополнительными оперативными пособиями (при необходимости), эффективную антибиотикотерапию, коррекцию гемодинамических нарушений и острой дыхательной недостаточности, коррекцию электролитного обмена и кислотно-щелочного состояния, дезинтоксикацию (с применением методов экстракорпоральной детоксикации), а </w:t>
      </w:r>
      <w:r>
        <w:rPr>
          <w:spacing w:val="-4"/>
          <w:sz w:val="28"/>
          <w:szCs w:val="28"/>
        </w:rPr>
        <w:t>также</w:t>
      </w:r>
      <w:r w:rsidRPr="00C5336B">
        <w:rPr>
          <w:spacing w:val="-4"/>
          <w:sz w:val="28"/>
          <w:szCs w:val="28"/>
        </w:rPr>
        <w:t xml:space="preserve"> применение иммунологических методов лечения. </w:t>
      </w:r>
    </w:p>
    <w:p w:rsidR="00286780" w:rsidRPr="00C5336B" w:rsidRDefault="00286780" w:rsidP="00C5336B">
      <w:pPr>
        <w:spacing w:line="360" w:lineRule="auto"/>
        <w:ind w:right="99" w:firstLine="709"/>
        <w:jc w:val="both"/>
        <w:rPr>
          <w:sz w:val="28"/>
          <w:szCs w:val="28"/>
        </w:rPr>
      </w:pPr>
      <w:r w:rsidRPr="00C5336B">
        <w:rPr>
          <w:sz w:val="28"/>
          <w:szCs w:val="28"/>
        </w:rPr>
        <w:t>Не вызывает сомнений необходимость лечения сепсиса только в условиях стационара, а при наличии соответствующих показаний – в отделении реанимации и интенсивной терапии.</w:t>
      </w:r>
    </w:p>
    <w:p w:rsidR="00286780" w:rsidRPr="00C5336B" w:rsidRDefault="00286780" w:rsidP="00C5336B">
      <w:pPr>
        <w:spacing w:line="360" w:lineRule="auto"/>
        <w:ind w:right="99" w:firstLine="709"/>
        <w:jc w:val="both"/>
        <w:rPr>
          <w:sz w:val="28"/>
          <w:szCs w:val="28"/>
        </w:rPr>
      </w:pPr>
      <w:r w:rsidRPr="00C5336B">
        <w:rPr>
          <w:sz w:val="28"/>
          <w:szCs w:val="28"/>
        </w:rPr>
        <w:t>В доступной литературе не обнаружено исследований, характеризующих эффективность применения вышеозначенных рекомендаций у пациентов с тяжелыми формами острой одонтогенной инфекции челюстно-лицевой области и полиорганными полиморбидными фоновыми заболеваниями внутренних органов.</w:t>
      </w:r>
    </w:p>
    <w:p w:rsidR="00286780" w:rsidRPr="00C5336B" w:rsidRDefault="00286780" w:rsidP="00C5336B">
      <w:pPr>
        <w:spacing w:line="360" w:lineRule="auto"/>
        <w:ind w:right="99" w:firstLine="709"/>
        <w:jc w:val="both"/>
        <w:rPr>
          <w:sz w:val="28"/>
          <w:szCs w:val="28"/>
        </w:rPr>
      </w:pPr>
      <w:r w:rsidRPr="00C5336B">
        <w:rPr>
          <w:sz w:val="28"/>
          <w:szCs w:val="28"/>
        </w:rPr>
        <w:t>Резюмируя вышеобозначенное, следует отметить наличие широкого спектра публикаций, посвященных вопросам этиологии, патогенеза и клинической картины гнойно-воспалительных заболеваний челюстно-лицевой области и шеи. Подробно рассмотрены существующие методы диагностики и лечения одонтогенных абсцессов и флегмон.</w:t>
      </w:r>
    </w:p>
    <w:p w:rsidR="00286780" w:rsidRPr="00C5336B" w:rsidRDefault="00286780" w:rsidP="00C5336B">
      <w:pPr>
        <w:spacing w:line="360" w:lineRule="auto"/>
        <w:ind w:right="99" w:firstLine="709"/>
        <w:jc w:val="both"/>
        <w:rPr>
          <w:spacing w:val="-4"/>
          <w:sz w:val="28"/>
          <w:szCs w:val="28"/>
        </w:rPr>
      </w:pPr>
      <w:r w:rsidRPr="00C5336B">
        <w:rPr>
          <w:spacing w:val="-4"/>
          <w:sz w:val="28"/>
          <w:szCs w:val="28"/>
        </w:rPr>
        <w:t xml:space="preserve">Значительно меньшее количество литературных источников содержит сведения о так называемых тяжелых осложнениях острой одонтогенной инфекции </w:t>
      </w:r>
      <w:r>
        <w:rPr>
          <w:spacing w:val="-4"/>
          <w:sz w:val="28"/>
          <w:szCs w:val="28"/>
        </w:rPr>
        <w:t>–</w:t>
      </w:r>
      <w:r w:rsidRPr="00C5336B">
        <w:rPr>
          <w:spacing w:val="-4"/>
          <w:sz w:val="28"/>
          <w:szCs w:val="28"/>
        </w:rPr>
        <w:t xml:space="preserve"> одонтогенном сепсисе, контактном одонтогенном медиастините, вторичных внутричерепных осложнениях. Информация, представленная в данных работах, сформирована, в основном, с использованием клинического материала двадцати- или тридцатилетней давности без применения современных критериев диагностики сепсиса и эффективных программ комплексного лечения «септических» больных, основанных на принципах «доказательной» медицины (критерии «Сепсис-3»).</w:t>
      </w:r>
    </w:p>
    <w:p w:rsidR="00286780" w:rsidRPr="00C5336B" w:rsidRDefault="00286780" w:rsidP="00C5336B">
      <w:pPr>
        <w:spacing w:line="360" w:lineRule="auto"/>
        <w:ind w:right="99" w:firstLine="709"/>
        <w:jc w:val="both"/>
        <w:rPr>
          <w:spacing w:val="-4"/>
          <w:sz w:val="28"/>
          <w:szCs w:val="28"/>
        </w:rPr>
      </w:pPr>
      <w:r w:rsidRPr="00C5336B">
        <w:rPr>
          <w:spacing w:val="-4"/>
          <w:sz w:val="28"/>
          <w:szCs w:val="28"/>
        </w:rPr>
        <w:lastRenderedPageBreak/>
        <w:t xml:space="preserve">В единичных статьях и монографиях представлены разрозненные и не всегда доказательно обоснованные данные об особенностях развития одонтогенного воспалительного процесса при наличии фоновой или сопутствующей патологии. Не обнаружено литературных источников, позволяющих оценить наличие и характер влияния различных групп хронических заболеваний внутренних органов на развитие, течение и исход острого одонтогенного воспалительного процесса, в то время как наличие такого влияния является доказательным критерием </w:t>
      </w:r>
      <w:r>
        <w:rPr>
          <w:spacing w:val="-4"/>
          <w:sz w:val="28"/>
          <w:szCs w:val="28"/>
        </w:rPr>
        <w:t>«</w:t>
      </w:r>
      <w:r w:rsidRPr="00C5336B">
        <w:rPr>
          <w:spacing w:val="-4"/>
          <w:sz w:val="28"/>
          <w:szCs w:val="28"/>
        </w:rPr>
        <w:t>фоновости</w:t>
      </w:r>
      <w:r>
        <w:rPr>
          <w:spacing w:val="-4"/>
          <w:sz w:val="28"/>
          <w:szCs w:val="28"/>
        </w:rPr>
        <w:t>»</w:t>
      </w:r>
      <w:r w:rsidRPr="00C5336B">
        <w:rPr>
          <w:spacing w:val="-4"/>
          <w:sz w:val="28"/>
          <w:szCs w:val="28"/>
        </w:rPr>
        <w:t xml:space="preserve"> рассматриваемой патологии. Не приводятся характеристики полиморбидной составляющей у данной категории пациентов. Отсутствуют алгоритмы диагностики и лечения больных с одонтогенными гнойно-воспалительными заболеваниями, учитывающие наличие полиорганной полиморбидной фоновой патологии.</w:t>
      </w:r>
    </w:p>
    <w:p w:rsidR="00286780" w:rsidRPr="00C5336B" w:rsidRDefault="00286780" w:rsidP="00C5336B">
      <w:pPr>
        <w:spacing w:line="360" w:lineRule="auto"/>
        <w:ind w:right="99" w:firstLine="709"/>
        <w:jc w:val="both"/>
        <w:rPr>
          <w:sz w:val="28"/>
          <w:szCs w:val="28"/>
        </w:rPr>
      </w:pPr>
      <w:r w:rsidRPr="00C5336B">
        <w:rPr>
          <w:sz w:val="28"/>
          <w:szCs w:val="28"/>
        </w:rPr>
        <w:t>В целом, проблема диагностики и лечения пациентов с хирургическими осложнениями одонтогенной инфекции при наличии полиорганной фоновой патологии и синдрома взаимного отягощения требует дальнейшего исследования и разработки соответствующих рекомендаций.</w:t>
      </w:r>
    </w:p>
    <w:p w:rsidR="00286780" w:rsidRDefault="00286780" w:rsidP="00BD2F93">
      <w:pPr>
        <w:spacing w:line="360" w:lineRule="auto"/>
        <w:ind w:firstLine="709"/>
        <w:contextualSpacing/>
        <w:jc w:val="center"/>
        <w:rPr>
          <w:b/>
          <w:sz w:val="28"/>
          <w:szCs w:val="28"/>
        </w:rPr>
      </w:pPr>
      <w:r>
        <w:br w:type="page"/>
      </w:r>
      <w:r w:rsidRPr="00BD2F93">
        <w:rPr>
          <w:b/>
          <w:sz w:val="28"/>
          <w:szCs w:val="28"/>
        </w:rPr>
        <w:lastRenderedPageBreak/>
        <w:t>Глава 2</w:t>
      </w:r>
      <w:r>
        <w:t xml:space="preserve">. </w:t>
      </w:r>
      <w:r>
        <w:rPr>
          <w:b/>
          <w:sz w:val="28"/>
          <w:szCs w:val="28"/>
        </w:rPr>
        <w:t>МАТЕРИАЛЫ И МЕТОДЫ ИССЛЕДОВАНИЯ</w:t>
      </w:r>
    </w:p>
    <w:p w:rsidR="00286780" w:rsidRDefault="00286780" w:rsidP="00BD2F93">
      <w:pPr>
        <w:spacing w:line="360" w:lineRule="auto"/>
        <w:ind w:firstLine="709"/>
        <w:contextualSpacing/>
        <w:jc w:val="both"/>
        <w:rPr>
          <w:b/>
          <w:sz w:val="28"/>
          <w:szCs w:val="28"/>
        </w:rPr>
      </w:pPr>
    </w:p>
    <w:p w:rsidR="00286780" w:rsidRPr="00542E27" w:rsidRDefault="00286780" w:rsidP="00542E27">
      <w:pPr>
        <w:spacing w:line="360" w:lineRule="auto"/>
        <w:ind w:firstLine="709"/>
        <w:contextualSpacing/>
        <w:rPr>
          <w:b/>
          <w:i/>
          <w:sz w:val="28"/>
          <w:szCs w:val="28"/>
        </w:rPr>
      </w:pPr>
      <w:r>
        <w:rPr>
          <w:b/>
          <w:i/>
          <w:sz w:val="28"/>
          <w:szCs w:val="28"/>
        </w:rPr>
        <w:t>2.1</w:t>
      </w:r>
      <w:r w:rsidRPr="00542E27">
        <w:rPr>
          <w:b/>
          <w:i/>
          <w:sz w:val="28"/>
          <w:szCs w:val="28"/>
        </w:rPr>
        <w:t xml:space="preserve"> </w:t>
      </w:r>
      <w:r>
        <w:rPr>
          <w:b/>
          <w:i/>
          <w:sz w:val="28"/>
          <w:szCs w:val="28"/>
        </w:rPr>
        <w:t>Материалы</w:t>
      </w:r>
      <w:r w:rsidRPr="00542E27">
        <w:rPr>
          <w:b/>
          <w:i/>
          <w:sz w:val="28"/>
          <w:szCs w:val="28"/>
        </w:rPr>
        <w:t xml:space="preserve"> </w:t>
      </w:r>
      <w:r>
        <w:rPr>
          <w:b/>
          <w:i/>
          <w:sz w:val="28"/>
          <w:szCs w:val="28"/>
        </w:rPr>
        <w:t>исследования</w:t>
      </w:r>
    </w:p>
    <w:p w:rsidR="00286780" w:rsidRDefault="00286780" w:rsidP="00BD2F93">
      <w:pPr>
        <w:spacing w:line="360" w:lineRule="auto"/>
        <w:ind w:firstLine="709"/>
        <w:jc w:val="both"/>
        <w:rPr>
          <w:sz w:val="28"/>
          <w:szCs w:val="28"/>
        </w:rPr>
      </w:pPr>
      <w:r w:rsidRPr="004A0CF0">
        <w:rPr>
          <w:sz w:val="28"/>
          <w:szCs w:val="28"/>
        </w:rPr>
        <w:t xml:space="preserve">В соответствии с поставленными задачами, выполнено </w:t>
      </w:r>
      <w:r>
        <w:rPr>
          <w:sz w:val="28"/>
          <w:szCs w:val="28"/>
        </w:rPr>
        <w:t>три</w:t>
      </w:r>
      <w:r w:rsidRPr="004A0CF0">
        <w:rPr>
          <w:sz w:val="28"/>
          <w:szCs w:val="28"/>
        </w:rPr>
        <w:t xml:space="preserve"> блока исследований.</w:t>
      </w:r>
    </w:p>
    <w:p w:rsidR="00286780" w:rsidRPr="004A0CF0" w:rsidRDefault="00286780" w:rsidP="00BD2F93">
      <w:pPr>
        <w:spacing w:line="360" w:lineRule="auto"/>
        <w:ind w:firstLine="709"/>
        <w:jc w:val="both"/>
        <w:rPr>
          <w:sz w:val="28"/>
          <w:szCs w:val="28"/>
        </w:rPr>
      </w:pPr>
      <w:r w:rsidRPr="008277FA">
        <w:rPr>
          <w:b/>
          <w:sz w:val="28"/>
          <w:szCs w:val="28"/>
        </w:rPr>
        <w:t>Первый (</w:t>
      </w:r>
      <w:r w:rsidRPr="008277FA">
        <w:rPr>
          <w:b/>
          <w:sz w:val="28"/>
          <w:szCs w:val="28"/>
          <w:lang w:val="en-US"/>
        </w:rPr>
        <w:t>I</w:t>
      </w:r>
      <w:r w:rsidRPr="008277FA">
        <w:rPr>
          <w:b/>
          <w:sz w:val="28"/>
          <w:szCs w:val="28"/>
        </w:rPr>
        <w:t>) блок исследований</w:t>
      </w:r>
      <w:r w:rsidRPr="004A0CF0">
        <w:rPr>
          <w:sz w:val="28"/>
          <w:szCs w:val="28"/>
        </w:rPr>
        <w:t xml:space="preserve"> посвящен оценке влияния различных форм хронической патологии (ХП) внутренних органов на клинико-лабораторные характеристики, течение и исход одонтогенного гнойно-воспалительного процесса (что позволяет выявить наличие и определить закономерности подобного влияния), а </w:t>
      </w:r>
      <w:r>
        <w:rPr>
          <w:sz w:val="28"/>
          <w:szCs w:val="28"/>
        </w:rPr>
        <w:t>также</w:t>
      </w:r>
      <w:r w:rsidRPr="004A0CF0">
        <w:rPr>
          <w:sz w:val="28"/>
          <w:szCs w:val="28"/>
        </w:rPr>
        <w:t xml:space="preserve"> определению распространенности полиорганной полиморбидной патологии в исследуемых </w:t>
      </w:r>
      <w:r>
        <w:rPr>
          <w:sz w:val="28"/>
          <w:szCs w:val="28"/>
        </w:rPr>
        <w:t>под</w:t>
      </w:r>
      <w:r w:rsidRPr="004A0CF0">
        <w:rPr>
          <w:sz w:val="28"/>
          <w:szCs w:val="28"/>
        </w:rPr>
        <w:t xml:space="preserve">группах пациентов с различными формами ХП внутренних органов. </w:t>
      </w:r>
    </w:p>
    <w:p w:rsidR="00286780" w:rsidRPr="004A0CF0" w:rsidRDefault="00286780" w:rsidP="00BD2F93">
      <w:pPr>
        <w:spacing w:line="360" w:lineRule="auto"/>
        <w:ind w:firstLine="709"/>
        <w:jc w:val="both"/>
        <w:rPr>
          <w:sz w:val="28"/>
          <w:szCs w:val="28"/>
        </w:rPr>
      </w:pPr>
      <w:r w:rsidRPr="008277FA">
        <w:rPr>
          <w:b/>
          <w:sz w:val="28"/>
          <w:szCs w:val="28"/>
        </w:rPr>
        <w:t xml:space="preserve">В рамках </w:t>
      </w:r>
      <w:r w:rsidRPr="008277FA">
        <w:rPr>
          <w:b/>
          <w:sz w:val="28"/>
          <w:szCs w:val="28"/>
          <w:lang w:val="en-US"/>
        </w:rPr>
        <w:t>I</w:t>
      </w:r>
      <w:r w:rsidRPr="008277FA">
        <w:rPr>
          <w:b/>
          <w:sz w:val="28"/>
          <w:szCs w:val="28"/>
        </w:rPr>
        <w:t xml:space="preserve"> блока исследований выполнено</w:t>
      </w:r>
      <w:r w:rsidRPr="004A0CF0">
        <w:rPr>
          <w:sz w:val="28"/>
          <w:szCs w:val="28"/>
        </w:rPr>
        <w:t xml:space="preserve"> определение частоты и распространенности хирургических осложнений одонтогенной инфекции у пациентов с </w:t>
      </w:r>
      <w:r>
        <w:rPr>
          <w:sz w:val="28"/>
          <w:szCs w:val="28"/>
        </w:rPr>
        <w:t>ХП</w:t>
      </w:r>
      <w:r w:rsidRPr="004A0CF0">
        <w:rPr>
          <w:sz w:val="28"/>
          <w:szCs w:val="28"/>
        </w:rPr>
        <w:t xml:space="preserve"> сердечно-сосудистой, дыхательной, эндокринной, мочевыделительной систем, органов пищеварения и печени; изучение структуры хронической патологии внутренних органов. Исследованы </w:t>
      </w:r>
      <w:r>
        <w:rPr>
          <w:sz w:val="28"/>
          <w:szCs w:val="28"/>
        </w:rPr>
        <w:t>клинико-лабораторные характеристики</w:t>
      </w:r>
      <w:r w:rsidRPr="004A0CF0">
        <w:rPr>
          <w:sz w:val="28"/>
          <w:szCs w:val="28"/>
        </w:rPr>
        <w:t xml:space="preserve"> одонтогенного гнойно-воспалительного процесса на фоне хронических заболеваний внутренних органов, показатели центральной и периферической гемодинамики, клеточного состава и биохимических характеристик крови, показатели клеточного и гуморального иммунитета</w:t>
      </w:r>
      <w:r>
        <w:rPr>
          <w:sz w:val="28"/>
          <w:szCs w:val="28"/>
        </w:rPr>
        <w:t>, сроки очищения ран и прекращения экссудации, сроки появления грануляций и показатели эффективности стационарного леченияв зависимости от</w:t>
      </w:r>
      <w:r w:rsidRPr="004A0CF0">
        <w:rPr>
          <w:sz w:val="28"/>
          <w:szCs w:val="28"/>
        </w:rPr>
        <w:t xml:space="preserve"> на</w:t>
      </w:r>
      <w:r>
        <w:rPr>
          <w:sz w:val="28"/>
          <w:szCs w:val="28"/>
        </w:rPr>
        <w:t>личия</w:t>
      </w:r>
      <w:r w:rsidRPr="004A0CF0">
        <w:rPr>
          <w:sz w:val="28"/>
          <w:szCs w:val="28"/>
        </w:rPr>
        <w:t xml:space="preserve"> хронической патологии сердечно-сосудистой, дыхательной и эндокринной систем. Определена распространенность полиморбидной полиорганной фоновой патологии в сформированных группах пациентов с ХП.</w:t>
      </w:r>
    </w:p>
    <w:p w:rsidR="00286780" w:rsidRPr="004A0CF0" w:rsidRDefault="00286780" w:rsidP="00BD2F93">
      <w:pPr>
        <w:spacing w:line="360" w:lineRule="auto"/>
        <w:ind w:firstLine="709"/>
        <w:jc w:val="both"/>
        <w:rPr>
          <w:sz w:val="28"/>
          <w:szCs w:val="28"/>
        </w:rPr>
      </w:pPr>
      <w:r w:rsidRPr="004A0CF0">
        <w:rPr>
          <w:sz w:val="28"/>
          <w:szCs w:val="28"/>
        </w:rPr>
        <w:t xml:space="preserve">В целом, в рамках </w:t>
      </w:r>
      <w:r w:rsidRPr="004A0CF0">
        <w:rPr>
          <w:sz w:val="28"/>
          <w:szCs w:val="28"/>
          <w:lang w:val="en-US"/>
        </w:rPr>
        <w:t>I</w:t>
      </w:r>
      <w:r w:rsidRPr="004A0CF0">
        <w:rPr>
          <w:sz w:val="28"/>
          <w:szCs w:val="28"/>
        </w:rPr>
        <w:t xml:space="preserve"> блока исследований проанализированы возрастно-половые характеристики, данные анамнеза, результаты клинико-лаборато</w:t>
      </w:r>
      <w:r>
        <w:rPr>
          <w:sz w:val="28"/>
          <w:szCs w:val="28"/>
        </w:rPr>
        <w:t>рного обследования и лечения 502</w:t>
      </w:r>
      <w:r w:rsidR="000F335B">
        <w:rPr>
          <w:sz w:val="28"/>
          <w:szCs w:val="28"/>
        </w:rPr>
        <w:t xml:space="preserve"> </w:t>
      </w:r>
      <w:r w:rsidRPr="004A0CF0">
        <w:rPr>
          <w:sz w:val="28"/>
          <w:szCs w:val="28"/>
        </w:rPr>
        <w:t>пациентов с одонтогенными воспалительными заболеваниями чел</w:t>
      </w:r>
      <w:r>
        <w:rPr>
          <w:sz w:val="28"/>
          <w:szCs w:val="28"/>
        </w:rPr>
        <w:t>юстно-лицевой области (Рисунок 2</w:t>
      </w:r>
      <w:r w:rsidRPr="004A0CF0">
        <w:rPr>
          <w:sz w:val="28"/>
          <w:szCs w:val="28"/>
        </w:rPr>
        <w:t>).</w:t>
      </w:r>
    </w:p>
    <w:p w:rsidR="00286780" w:rsidRPr="004A0CF0" w:rsidRDefault="00286780" w:rsidP="00BD2F93">
      <w:pPr>
        <w:tabs>
          <w:tab w:val="left" w:pos="3520"/>
        </w:tabs>
        <w:spacing w:line="360" w:lineRule="auto"/>
        <w:ind w:firstLine="709"/>
        <w:jc w:val="both"/>
        <w:rPr>
          <w:sz w:val="28"/>
          <w:szCs w:val="28"/>
        </w:rPr>
      </w:pPr>
      <w:r w:rsidRPr="004A0CF0">
        <w:rPr>
          <w:sz w:val="28"/>
          <w:szCs w:val="28"/>
        </w:rPr>
        <w:lastRenderedPageBreak/>
        <w:t xml:space="preserve">Одной из задач, решаемых в рамках данного исследования, является определение частоты и распространенности МФОИ и ОС, а </w:t>
      </w:r>
      <w:r>
        <w:rPr>
          <w:sz w:val="28"/>
          <w:szCs w:val="28"/>
        </w:rPr>
        <w:t>также</w:t>
      </w:r>
      <w:r w:rsidRPr="004A0CF0">
        <w:rPr>
          <w:sz w:val="28"/>
          <w:szCs w:val="28"/>
        </w:rPr>
        <w:t xml:space="preserve"> различных форм хронической терапевтической патологии (ХП), в том числе </w:t>
      </w:r>
      <w:r w:rsidRPr="004A0CF0">
        <w:rPr>
          <w:i/>
          <w:sz w:val="28"/>
          <w:szCs w:val="28"/>
        </w:rPr>
        <w:t xml:space="preserve">фоновой </w:t>
      </w:r>
      <w:r w:rsidRPr="004A0CF0">
        <w:rPr>
          <w:sz w:val="28"/>
          <w:szCs w:val="28"/>
        </w:rPr>
        <w:t>(ФП), в общей совокупности пациентов с МФОИ и ОС.</w:t>
      </w:r>
    </w:p>
    <w:p w:rsidR="00286780" w:rsidRPr="004A0CF0" w:rsidRDefault="00286780" w:rsidP="00BD2F93">
      <w:pPr>
        <w:tabs>
          <w:tab w:val="left" w:pos="3520"/>
        </w:tabs>
        <w:spacing w:line="360" w:lineRule="auto"/>
        <w:ind w:firstLine="709"/>
        <w:jc w:val="both"/>
        <w:rPr>
          <w:sz w:val="28"/>
          <w:szCs w:val="28"/>
        </w:rPr>
      </w:pPr>
      <w:r w:rsidRPr="004A0CF0">
        <w:rPr>
          <w:sz w:val="28"/>
          <w:szCs w:val="28"/>
        </w:rPr>
        <w:t xml:space="preserve">Для решения данной задачи выполнен ретроспективный анализ архивных материалов отделения челюстно-лицевой хирургии Курской областной клинической больницы с </w:t>
      </w:r>
      <w:r>
        <w:rPr>
          <w:sz w:val="28"/>
          <w:szCs w:val="28"/>
        </w:rPr>
        <w:t>2012 по 2015 гг. (Рисунок 2</w:t>
      </w:r>
      <w:r w:rsidRPr="004A0CF0">
        <w:rPr>
          <w:sz w:val="28"/>
          <w:szCs w:val="28"/>
        </w:rPr>
        <w:t>, причем соответствующий материал (истории болезни) проанализирован в порядке реального поступления больных в стационар (выборка пациентов не осуществлялась).</w:t>
      </w:r>
    </w:p>
    <w:p w:rsidR="00286780" w:rsidRDefault="00286780" w:rsidP="00BD2F93">
      <w:pPr>
        <w:tabs>
          <w:tab w:val="left" w:pos="3520"/>
        </w:tabs>
        <w:spacing w:line="360" w:lineRule="auto"/>
        <w:ind w:firstLine="709"/>
        <w:jc w:val="both"/>
        <w:rPr>
          <w:sz w:val="28"/>
          <w:szCs w:val="28"/>
        </w:rPr>
      </w:pPr>
      <w:r w:rsidRPr="004A0CF0">
        <w:rPr>
          <w:sz w:val="28"/>
          <w:szCs w:val="28"/>
        </w:rPr>
        <w:t>Полученные данные сгруппированы в соответствии с характером инфекционного процесса (</w:t>
      </w:r>
      <w:r>
        <w:rPr>
          <w:sz w:val="28"/>
          <w:szCs w:val="28"/>
        </w:rPr>
        <w:t>МФОИ</w:t>
      </w:r>
      <w:r w:rsidRPr="004A0CF0">
        <w:rPr>
          <w:sz w:val="28"/>
          <w:szCs w:val="28"/>
        </w:rPr>
        <w:t xml:space="preserve">, </w:t>
      </w:r>
      <w:r>
        <w:rPr>
          <w:sz w:val="28"/>
          <w:szCs w:val="28"/>
        </w:rPr>
        <w:t>ОС</w:t>
      </w:r>
      <w:r w:rsidRPr="004A0CF0">
        <w:rPr>
          <w:sz w:val="28"/>
          <w:szCs w:val="28"/>
        </w:rPr>
        <w:t>), наличием и характером хрониче</w:t>
      </w:r>
      <w:r>
        <w:rPr>
          <w:sz w:val="28"/>
          <w:szCs w:val="28"/>
        </w:rPr>
        <w:t>ской патологии.</w:t>
      </w:r>
    </w:p>
    <w:p w:rsidR="00286780" w:rsidRPr="00BE50AD" w:rsidRDefault="00286780" w:rsidP="00BD2F93">
      <w:pPr>
        <w:spacing w:line="360" w:lineRule="auto"/>
        <w:ind w:firstLine="709"/>
        <w:jc w:val="both"/>
        <w:rPr>
          <w:sz w:val="28"/>
          <w:szCs w:val="28"/>
        </w:rPr>
      </w:pPr>
      <w:r w:rsidRPr="00BE50AD">
        <w:rPr>
          <w:sz w:val="28"/>
          <w:szCs w:val="28"/>
        </w:rPr>
        <w:t>Структура хронической патологии внутренних органов проанализирована с применением Международной статистической классификации болезней и проблем, связанных со здоровьем МКБ-10, Женева, 1989 г.</w:t>
      </w:r>
    </w:p>
    <w:p w:rsidR="00286780" w:rsidRPr="00994F0A" w:rsidRDefault="00286780" w:rsidP="00994F0A">
      <w:pPr>
        <w:spacing w:line="360" w:lineRule="auto"/>
        <w:ind w:firstLine="709"/>
        <w:jc w:val="both"/>
        <w:rPr>
          <w:sz w:val="28"/>
          <w:szCs w:val="28"/>
        </w:rPr>
      </w:pPr>
      <w:r w:rsidRPr="00BE50AD">
        <w:rPr>
          <w:sz w:val="28"/>
          <w:szCs w:val="28"/>
        </w:rPr>
        <w:t xml:space="preserve">Артериальная гипертония классифицирована по ВОЗ/МОАГ (1999 г.); ишемическая болезнь сердца (ИБС) – с учетом рекомендаций экспертов ВОЗ (1979 г.) и функциональных классов </w:t>
      </w:r>
      <w:r w:rsidRPr="00BE50AD">
        <w:rPr>
          <w:sz w:val="28"/>
          <w:szCs w:val="28"/>
          <w:lang w:val="en-US"/>
        </w:rPr>
        <w:t>Canadian</w:t>
      </w:r>
      <w:r>
        <w:rPr>
          <w:sz w:val="28"/>
          <w:szCs w:val="28"/>
        </w:rPr>
        <w:t xml:space="preserve"> </w:t>
      </w:r>
      <w:r w:rsidRPr="00BE50AD">
        <w:rPr>
          <w:sz w:val="28"/>
          <w:szCs w:val="28"/>
          <w:lang w:val="en-US"/>
        </w:rPr>
        <w:t>Cardiovascular</w:t>
      </w:r>
      <w:r>
        <w:rPr>
          <w:sz w:val="28"/>
          <w:szCs w:val="28"/>
        </w:rPr>
        <w:t xml:space="preserve"> </w:t>
      </w:r>
      <w:r w:rsidRPr="00BE50AD">
        <w:rPr>
          <w:sz w:val="28"/>
          <w:szCs w:val="28"/>
          <w:lang w:val="en-US"/>
        </w:rPr>
        <w:t>Society</w:t>
      </w:r>
      <w:r w:rsidRPr="00BE50AD">
        <w:rPr>
          <w:sz w:val="28"/>
          <w:szCs w:val="28"/>
        </w:rPr>
        <w:t xml:space="preserve">; хроническая сердечная недостаточность (ХСН) – использованы тезисы </w:t>
      </w:r>
      <w:r w:rsidRPr="00BE50AD">
        <w:rPr>
          <w:sz w:val="28"/>
          <w:szCs w:val="28"/>
          <w:lang w:val="en-US"/>
        </w:rPr>
        <w:t>NYHA</w:t>
      </w:r>
      <w:r w:rsidRPr="00BE50AD">
        <w:rPr>
          <w:sz w:val="28"/>
          <w:szCs w:val="28"/>
        </w:rPr>
        <w:t>, 1964 г.</w:t>
      </w:r>
      <w:r>
        <w:rPr>
          <w:sz w:val="28"/>
          <w:szCs w:val="28"/>
        </w:rPr>
        <w:t xml:space="preserve"> </w:t>
      </w:r>
      <w:r w:rsidRPr="00BE50AD">
        <w:rPr>
          <w:sz w:val="28"/>
          <w:szCs w:val="28"/>
        </w:rPr>
        <w:t>ХОБЛ классифицирована с использованием спирометрической (функциональной) классификации с учетом объема форсированного выдоха за первую секунду (</w:t>
      </w:r>
      <w:r w:rsidRPr="00BE50AD">
        <w:rPr>
          <w:sz w:val="28"/>
          <w:szCs w:val="28"/>
          <w:lang w:val="en-US"/>
        </w:rPr>
        <w:t>I</w:t>
      </w:r>
      <w:r w:rsidRPr="00BE50AD">
        <w:rPr>
          <w:sz w:val="28"/>
          <w:szCs w:val="28"/>
        </w:rPr>
        <w:t xml:space="preserve">, </w:t>
      </w:r>
      <w:r w:rsidRPr="00BE50AD">
        <w:rPr>
          <w:sz w:val="28"/>
          <w:szCs w:val="28"/>
          <w:lang w:val="en-US"/>
        </w:rPr>
        <w:t>II</w:t>
      </w:r>
      <w:r w:rsidRPr="00BE50AD">
        <w:rPr>
          <w:sz w:val="28"/>
          <w:szCs w:val="28"/>
        </w:rPr>
        <w:t xml:space="preserve">, </w:t>
      </w:r>
      <w:r w:rsidRPr="00BE50AD">
        <w:rPr>
          <w:sz w:val="28"/>
          <w:szCs w:val="28"/>
          <w:lang w:val="en-US"/>
        </w:rPr>
        <w:t>III</w:t>
      </w:r>
      <w:r w:rsidRPr="00BE50AD">
        <w:rPr>
          <w:sz w:val="28"/>
          <w:szCs w:val="28"/>
        </w:rPr>
        <w:t xml:space="preserve">, </w:t>
      </w:r>
      <w:r w:rsidRPr="00BE50AD">
        <w:rPr>
          <w:sz w:val="28"/>
          <w:szCs w:val="28"/>
          <w:lang w:val="en-US"/>
        </w:rPr>
        <w:t>IV</w:t>
      </w:r>
      <w:r>
        <w:rPr>
          <w:sz w:val="28"/>
          <w:szCs w:val="28"/>
        </w:rPr>
        <w:t xml:space="preserve"> стадии</w:t>
      </w:r>
      <w:r w:rsidRPr="00BE50AD">
        <w:rPr>
          <w:sz w:val="28"/>
          <w:szCs w:val="28"/>
        </w:rPr>
        <w:t>); дыхательная недостаточность классифицирована по А.Г.Дембо, Л.Д. Шик, 1964 г. (</w:t>
      </w:r>
      <w:r w:rsidRPr="00BE50AD">
        <w:rPr>
          <w:sz w:val="28"/>
          <w:szCs w:val="28"/>
          <w:lang w:val="en-US"/>
        </w:rPr>
        <w:t>I</w:t>
      </w:r>
      <w:r w:rsidRPr="00BE50AD">
        <w:rPr>
          <w:sz w:val="28"/>
          <w:szCs w:val="28"/>
        </w:rPr>
        <w:t xml:space="preserve">, </w:t>
      </w:r>
      <w:r w:rsidRPr="00BE50AD">
        <w:rPr>
          <w:sz w:val="28"/>
          <w:szCs w:val="28"/>
          <w:lang w:val="en-US"/>
        </w:rPr>
        <w:t>II</w:t>
      </w:r>
      <w:r w:rsidRPr="00BE50AD">
        <w:rPr>
          <w:sz w:val="28"/>
          <w:szCs w:val="28"/>
        </w:rPr>
        <w:t xml:space="preserve">, </w:t>
      </w:r>
      <w:r w:rsidRPr="00BE50AD">
        <w:rPr>
          <w:sz w:val="28"/>
          <w:szCs w:val="28"/>
          <w:lang w:val="en-US"/>
        </w:rPr>
        <w:t>III</w:t>
      </w:r>
      <w:r w:rsidRPr="00BE50AD">
        <w:rPr>
          <w:sz w:val="28"/>
          <w:szCs w:val="28"/>
        </w:rPr>
        <w:t xml:space="preserve"> степени).</w:t>
      </w:r>
      <w:r>
        <w:rPr>
          <w:sz w:val="28"/>
          <w:szCs w:val="28"/>
        </w:rPr>
        <w:t xml:space="preserve"> </w:t>
      </w:r>
      <w:r w:rsidRPr="00BE50AD">
        <w:rPr>
          <w:sz w:val="28"/>
          <w:szCs w:val="28"/>
        </w:rPr>
        <w:t>Сахарный диабет диагностирован и классифицирован в соответствии с рекомендациями ВОЗ (1999 г.).</w:t>
      </w:r>
      <w:r>
        <w:rPr>
          <w:sz w:val="28"/>
          <w:szCs w:val="28"/>
        </w:rPr>
        <w:t xml:space="preserve"> </w:t>
      </w:r>
      <w:r w:rsidRPr="004A0CF0">
        <w:rPr>
          <w:sz w:val="28"/>
          <w:szCs w:val="28"/>
        </w:rPr>
        <w:t xml:space="preserve">В результате сформированы четыре серии пациентов с МФОИ и ХП, а </w:t>
      </w:r>
      <w:r>
        <w:rPr>
          <w:sz w:val="28"/>
          <w:szCs w:val="28"/>
        </w:rPr>
        <w:t>также</w:t>
      </w:r>
      <w:r w:rsidRPr="004A0CF0">
        <w:rPr>
          <w:sz w:val="28"/>
          <w:szCs w:val="28"/>
        </w:rPr>
        <w:t xml:space="preserve"> серия пациентов с МФОИ без ХП (312 больных), необходимая для корректного определения частоты и распространенности пациентов с МФОИ и ХП в общей «популяции» пациентов с МФОИ.</w:t>
      </w:r>
      <w:r>
        <w:rPr>
          <w:sz w:val="28"/>
          <w:szCs w:val="28"/>
        </w:rPr>
        <w:t xml:space="preserve"> </w:t>
      </w:r>
      <w:r w:rsidRPr="00994F0A">
        <w:rPr>
          <w:sz w:val="28"/>
          <w:szCs w:val="28"/>
        </w:rPr>
        <w:t>Следует отметить, что возрастно-половые характеристики серии пациентов с МФОИ без ХП (312 пациентов) по возрастно-половым характеристикам не являются статистически сопоставимыми с аналогичными характеристиками основных и контрольных групп настоящего исследования (</w:t>
      </w:r>
      <w:r w:rsidRPr="00994F0A">
        <w:rPr>
          <w:sz w:val="28"/>
          <w:szCs w:val="28"/>
          <w:lang w:val="en-US"/>
        </w:rPr>
        <w:t>p</w:t>
      </w:r>
      <w:r w:rsidRPr="00994F0A">
        <w:rPr>
          <w:sz w:val="28"/>
          <w:szCs w:val="28"/>
        </w:rPr>
        <w:t>&lt;0,05).</w:t>
      </w:r>
    </w:p>
    <w:p w:rsidR="00286780" w:rsidRDefault="00286780" w:rsidP="00BD2F93">
      <w:pPr>
        <w:spacing w:line="360" w:lineRule="auto"/>
        <w:ind w:firstLine="709"/>
        <w:jc w:val="both"/>
        <w:rPr>
          <w:sz w:val="28"/>
          <w:szCs w:val="28"/>
        </w:rPr>
      </w:pPr>
    </w:p>
    <w:p w:rsidR="00286780" w:rsidRPr="00BE50AD" w:rsidRDefault="00AE516C" w:rsidP="00994F0A">
      <w:pPr>
        <w:spacing w:line="360" w:lineRule="auto"/>
        <w:jc w:val="both"/>
        <w:rPr>
          <w:sz w:val="28"/>
          <w:szCs w:val="28"/>
        </w:rP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130pt;margin-top:288.5pt;width:0;height:71.3pt;z-index:6" o:connectortype="straight"/>
        </w:pict>
      </w:r>
      <w:r>
        <w:rPr>
          <w:noProof/>
        </w:rPr>
        <w:pict>
          <v:shape id="_x0000_s1027" type="#_x0000_t32" style="position:absolute;left:0;text-align:left;margin-left:65pt;margin-top:288.5pt;width:0;height:71.3pt;z-index:5" o:connectortype="straight"/>
        </w:pict>
      </w:r>
      <w:r>
        <w:rPr>
          <w:noProof/>
        </w:rPr>
        <w:pict>
          <v:shape id="_x0000_s1028" type="#_x0000_t32" style="position:absolute;left:0;text-align:left;margin-left:145pt;margin-top:88.35pt;width:0;height:152.65pt;z-index:4" o:connectortype="straight"/>
        </w:pict>
      </w:r>
      <w:r w:rsidR="00807D20">
        <w:rPr>
          <w:rFonts w:ascii="Calibri" w:hAnsi="Calibri"/>
          <w:noProof/>
          <w:sz w:val="22"/>
          <w:szCs w:val="22"/>
        </w:rPr>
        <w:pict>
          <v:shape id="Рисунок 1" o:spid="_x0000_i1028" type="#_x0000_t75" style="width:455.25pt;height:348pt;visibility:visible">
            <v:imagedata r:id="rId10" o:title=""/>
          </v:shape>
        </w:pict>
      </w:r>
    </w:p>
    <w:p w:rsidR="00286780" w:rsidRDefault="00807D20" w:rsidP="00BD2F93">
      <w:pPr>
        <w:pStyle w:val="a3"/>
        <w:rPr>
          <w:b/>
        </w:rPr>
      </w:pPr>
      <w:r>
        <w:rPr>
          <w:rFonts w:ascii="Calibri" w:hAnsi="Calibri"/>
          <w:noProof/>
          <w:sz w:val="22"/>
          <w:szCs w:val="22"/>
        </w:rPr>
        <w:pict>
          <v:shape id="Рисунок 2" o:spid="_x0000_i1029" type="#_x0000_t75" style="width:477pt;height:294.75pt;visibility:visible">
            <v:imagedata r:id="rId11" o:title=""/>
          </v:shape>
        </w:pict>
      </w:r>
    </w:p>
    <w:p w:rsidR="00286780" w:rsidRPr="004A0CF0" w:rsidRDefault="00286780" w:rsidP="00BD2F93">
      <w:pPr>
        <w:pStyle w:val="a3"/>
        <w:rPr>
          <w:lang w:eastAsia="en-US"/>
        </w:rPr>
      </w:pPr>
      <w:r w:rsidRPr="004A0CF0">
        <w:rPr>
          <w:b/>
        </w:rPr>
        <w:t xml:space="preserve">Рисунок </w:t>
      </w:r>
      <w:r>
        <w:rPr>
          <w:b/>
        </w:rPr>
        <w:t>2</w:t>
      </w:r>
      <w:r w:rsidRPr="004A0CF0">
        <w:t xml:space="preserve"> – Общая характеристика </w:t>
      </w:r>
      <w:r w:rsidRPr="004A0CF0">
        <w:rPr>
          <w:lang w:val="en-US"/>
        </w:rPr>
        <w:t>I</w:t>
      </w:r>
      <w:r w:rsidRPr="004A0CF0">
        <w:t xml:space="preserve"> блока исследований</w:t>
      </w:r>
    </w:p>
    <w:p w:rsidR="00286780" w:rsidRDefault="00286780" w:rsidP="00BD2F93">
      <w:pPr>
        <w:tabs>
          <w:tab w:val="left" w:pos="3520"/>
        </w:tabs>
        <w:spacing w:line="360" w:lineRule="auto"/>
        <w:ind w:firstLine="709"/>
        <w:jc w:val="both"/>
        <w:rPr>
          <w:sz w:val="28"/>
          <w:szCs w:val="28"/>
        </w:rPr>
      </w:pPr>
    </w:p>
    <w:p w:rsidR="00286780" w:rsidRPr="004A0CF0" w:rsidRDefault="00286780" w:rsidP="00BD2F93">
      <w:pPr>
        <w:tabs>
          <w:tab w:val="left" w:pos="3520"/>
        </w:tabs>
        <w:spacing w:line="360" w:lineRule="auto"/>
        <w:ind w:firstLine="709"/>
        <w:jc w:val="both"/>
        <w:rPr>
          <w:sz w:val="28"/>
          <w:szCs w:val="28"/>
        </w:rPr>
      </w:pPr>
      <w:r w:rsidRPr="004A0CF0">
        <w:rPr>
          <w:sz w:val="28"/>
          <w:szCs w:val="28"/>
        </w:rPr>
        <w:lastRenderedPageBreak/>
        <w:t xml:space="preserve">В то же время сравнение клинико-лабораторных характеристик пациентов </w:t>
      </w:r>
      <w:r>
        <w:rPr>
          <w:sz w:val="28"/>
          <w:szCs w:val="28"/>
        </w:rPr>
        <w:t>под</w:t>
      </w:r>
      <w:r w:rsidRPr="004A0CF0">
        <w:rPr>
          <w:sz w:val="28"/>
          <w:szCs w:val="28"/>
        </w:rPr>
        <w:t xml:space="preserve">групп пациентов с МФОИ и ХП с </w:t>
      </w:r>
      <w:r>
        <w:rPr>
          <w:sz w:val="28"/>
          <w:szCs w:val="28"/>
        </w:rPr>
        <w:t>под</w:t>
      </w:r>
      <w:r w:rsidRPr="004A0CF0">
        <w:rPr>
          <w:sz w:val="28"/>
          <w:szCs w:val="28"/>
        </w:rPr>
        <w:t>группой пациентов с МФОИ без ХП является обязательным условием исследования, так как позволяет выявить и оценить изменения показателей гомеостаза и других характеристик, обусловленные влиянием ХП на организм пациента, у которого развилось МФОИ.</w:t>
      </w:r>
    </w:p>
    <w:p w:rsidR="00286780" w:rsidRPr="004337DE" w:rsidRDefault="00286780" w:rsidP="00BD2F93">
      <w:pPr>
        <w:tabs>
          <w:tab w:val="left" w:pos="3520"/>
        </w:tabs>
        <w:spacing w:line="360" w:lineRule="auto"/>
        <w:ind w:firstLine="709"/>
        <w:jc w:val="both"/>
        <w:rPr>
          <w:spacing w:val="-4"/>
          <w:sz w:val="28"/>
          <w:szCs w:val="28"/>
        </w:rPr>
      </w:pPr>
      <w:r w:rsidRPr="004337DE">
        <w:rPr>
          <w:spacing w:val="-4"/>
          <w:sz w:val="28"/>
          <w:szCs w:val="28"/>
        </w:rPr>
        <w:t xml:space="preserve">Учитывая вышеобозначенное обстоятельство, данные 312 пациентов с МФОИ без ХП использованы для формирования контрольной </w:t>
      </w:r>
      <w:r w:rsidR="00114E1B">
        <w:rPr>
          <w:spacing w:val="-4"/>
          <w:sz w:val="28"/>
          <w:szCs w:val="28"/>
        </w:rPr>
        <w:t>под</w:t>
      </w:r>
      <w:r w:rsidRPr="004337DE">
        <w:rPr>
          <w:spacing w:val="-4"/>
          <w:sz w:val="28"/>
          <w:szCs w:val="28"/>
        </w:rPr>
        <w:t>группы № 4 (28 пациентов с МФОИ без ХП), сопоставимой по возрастно-половым характеристикам с аналогичными з</w:t>
      </w:r>
      <w:r w:rsidR="0036118E">
        <w:rPr>
          <w:spacing w:val="-4"/>
          <w:sz w:val="28"/>
          <w:szCs w:val="28"/>
        </w:rPr>
        <w:t>начениями</w:t>
      </w:r>
      <w:r w:rsidRPr="004337DE">
        <w:rPr>
          <w:spacing w:val="-4"/>
          <w:sz w:val="28"/>
          <w:szCs w:val="28"/>
        </w:rPr>
        <w:t xml:space="preserve"> </w:t>
      </w:r>
      <w:r w:rsidR="0036118E">
        <w:rPr>
          <w:spacing w:val="-4"/>
          <w:sz w:val="28"/>
          <w:szCs w:val="28"/>
        </w:rPr>
        <w:t>под</w:t>
      </w:r>
      <w:r w:rsidRPr="004337DE">
        <w:rPr>
          <w:spacing w:val="-4"/>
          <w:sz w:val="28"/>
          <w:szCs w:val="28"/>
        </w:rPr>
        <w:t>групп настоящего исследования.</w:t>
      </w:r>
    </w:p>
    <w:p w:rsidR="00286780" w:rsidRPr="004A0CF0" w:rsidRDefault="00286780" w:rsidP="00BD2F93">
      <w:pPr>
        <w:tabs>
          <w:tab w:val="left" w:pos="3520"/>
        </w:tabs>
        <w:spacing w:line="360" w:lineRule="auto"/>
        <w:ind w:firstLine="709"/>
        <w:jc w:val="both"/>
        <w:rPr>
          <w:sz w:val="28"/>
          <w:szCs w:val="28"/>
        </w:rPr>
      </w:pPr>
      <w:r w:rsidRPr="004A0CF0">
        <w:rPr>
          <w:sz w:val="28"/>
          <w:szCs w:val="28"/>
        </w:rPr>
        <w:t xml:space="preserve">Кроме того, в рамках оценки частоты и распространенности ОС в общей структуре пациентов с воспалительными </w:t>
      </w:r>
      <w:r>
        <w:rPr>
          <w:sz w:val="28"/>
          <w:szCs w:val="28"/>
        </w:rPr>
        <w:t>заболеваниями</w:t>
      </w:r>
      <w:r w:rsidRPr="004A0CF0">
        <w:rPr>
          <w:sz w:val="28"/>
          <w:szCs w:val="28"/>
        </w:rPr>
        <w:t xml:space="preserve"> челюстно-лицевой области, пациен</w:t>
      </w:r>
      <w:r>
        <w:rPr>
          <w:sz w:val="28"/>
          <w:szCs w:val="28"/>
        </w:rPr>
        <w:t xml:space="preserve">ты с ОС (период </w:t>
      </w:r>
      <w:r w:rsidRPr="004A0CF0">
        <w:rPr>
          <w:sz w:val="28"/>
          <w:szCs w:val="28"/>
        </w:rPr>
        <w:t>2012–2015 гг.</w:t>
      </w:r>
      <w:r>
        <w:rPr>
          <w:sz w:val="28"/>
          <w:szCs w:val="28"/>
        </w:rPr>
        <w:t>)</w:t>
      </w:r>
      <w:r w:rsidR="00542596">
        <w:rPr>
          <w:sz w:val="28"/>
          <w:szCs w:val="28"/>
        </w:rPr>
        <w:t xml:space="preserve"> сгруппированы в подгруппу</w:t>
      </w:r>
      <w:r w:rsidRPr="004A0CF0">
        <w:rPr>
          <w:sz w:val="28"/>
          <w:szCs w:val="28"/>
        </w:rPr>
        <w:t xml:space="preserve"> пациентов с </w:t>
      </w:r>
      <w:r>
        <w:rPr>
          <w:sz w:val="28"/>
          <w:szCs w:val="28"/>
        </w:rPr>
        <w:t>одонтогенным сепсисом (Рисунок 2</w:t>
      </w:r>
      <w:r w:rsidRPr="004A0CF0">
        <w:rPr>
          <w:sz w:val="28"/>
          <w:szCs w:val="28"/>
        </w:rPr>
        <w:t>).</w:t>
      </w:r>
    </w:p>
    <w:p w:rsidR="00286780" w:rsidRPr="004A0CF0" w:rsidRDefault="00286780" w:rsidP="00BD2F93">
      <w:pPr>
        <w:tabs>
          <w:tab w:val="left" w:pos="3520"/>
        </w:tabs>
        <w:spacing w:line="360" w:lineRule="auto"/>
        <w:ind w:firstLine="709"/>
        <w:jc w:val="both"/>
        <w:rPr>
          <w:sz w:val="28"/>
          <w:szCs w:val="28"/>
        </w:rPr>
      </w:pPr>
      <w:r w:rsidRPr="004A0CF0">
        <w:rPr>
          <w:sz w:val="28"/>
          <w:szCs w:val="28"/>
        </w:rPr>
        <w:t>Так</w:t>
      </w:r>
      <w:r w:rsidR="00D70CBA">
        <w:rPr>
          <w:sz w:val="28"/>
          <w:szCs w:val="28"/>
        </w:rPr>
        <w:t>им образом, сформированные подгруппы</w:t>
      </w:r>
      <w:r w:rsidRPr="004A0CF0">
        <w:rPr>
          <w:sz w:val="28"/>
          <w:szCs w:val="28"/>
        </w:rPr>
        <w:t xml:space="preserve"> пациентов с МФОИ и ОС необходимы для определения частоты и распространенности МФОИ и ОС в целом, а </w:t>
      </w:r>
      <w:r>
        <w:rPr>
          <w:sz w:val="28"/>
          <w:szCs w:val="28"/>
        </w:rPr>
        <w:t>также</w:t>
      </w:r>
      <w:r w:rsidRPr="004A0CF0">
        <w:rPr>
          <w:sz w:val="28"/>
          <w:szCs w:val="28"/>
        </w:rPr>
        <w:t xml:space="preserve"> МФОИ с различными формами ХП.</w:t>
      </w:r>
    </w:p>
    <w:p w:rsidR="00286780" w:rsidRDefault="00286780" w:rsidP="00BD2F93">
      <w:pPr>
        <w:tabs>
          <w:tab w:val="left" w:pos="3520"/>
        </w:tabs>
        <w:spacing w:line="360" w:lineRule="auto"/>
        <w:ind w:firstLine="709"/>
        <w:jc w:val="both"/>
        <w:rPr>
          <w:sz w:val="28"/>
          <w:szCs w:val="28"/>
        </w:rPr>
      </w:pPr>
      <w:r w:rsidRPr="004A0CF0">
        <w:rPr>
          <w:sz w:val="28"/>
          <w:szCs w:val="28"/>
        </w:rPr>
        <w:t>В дальнейшем, для осуществления корректной оценки показателей гомеостаза и объективизации иных данных пациентов с МФОИ и ОС при н</w:t>
      </w:r>
      <w:r w:rsidR="00542596">
        <w:rPr>
          <w:sz w:val="28"/>
          <w:szCs w:val="28"/>
        </w:rPr>
        <w:t>аличии ХП, соответствующие подгруппы</w:t>
      </w:r>
      <w:r w:rsidRPr="004A0CF0">
        <w:rPr>
          <w:sz w:val="28"/>
          <w:szCs w:val="28"/>
        </w:rPr>
        <w:t xml:space="preserve"> пациентов с МФОИ и ОС дополнены клиническим материалом, полученным в результате исследования архивного материала Воронежской областной клинической больницы, а </w:t>
      </w:r>
      <w:r>
        <w:rPr>
          <w:sz w:val="28"/>
          <w:szCs w:val="28"/>
        </w:rPr>
        <w:t>также</w:t>
      </w:r>
      <w:r w:rsidRPr="004A0CF0">
        <w:rPr>
          <w:sz w:val="28"/>
          <w:szCs w:val="28"/>
        </w:rPr>
        <w:t xml:space="preserve"> Курской обл</w:t>
      </w:r>
      <w:r>
        <w:rPr>
          <w:sz w:val="28"/>
          <w:szCs w:val="28"/>
        </w:rPr>
        <w:t>астной клинической больницы (23</w:t>
      </w:r>
      <w:r w:rsidRPr="004A0CF0">
        <w:rPr>
          <w:sz w:val="28"/>
          <w:szCs w:val="28"/>
        </w:rPr>
        <w:t xml:space="preserve"> пациент</w:t>
      </w:r>
      <w:r>
        <w:rPr>
          <w:sz w:val="28"/>
          <w:szCs w:val="28"/>
        </w:rPr>
        <w:t>а, Рисунок 2</w:t>
      </w:r>
      <w:r w:rsidRPr="004A0CF0">
        <w:rPr>
          <w:sz w:val="28"/>
          <w:szCs w:val="28"/>
        </w:rPr>
        <w:t>).</w:t>
      </w:r>
    </w:p>
    <w:p w:rsidR="00286780" w:rsidRPr="004A0CF0" w:rsidRDefault="00286780" w:rsidP="006D1682">
      <w:pPr>
        <w:spacing w:line="360" w:lineRule="auto"/>
        <w:ind w:firstLine="709"/>
        <w:jc w:val="both"/>
        <w:rPr>
          <w:sz w:val="28"/>
          <w:szCs w:val="28"/>
        </w:rPr>
      </w:pPr>
      <w:r w:rsidRPr="004A0CF0">
        <w:rPr>
          <w:sz w:val="28"/>
          <w:szCs w:val="28"/>
        </w:rPr>
        <w:t>Рассмотрим мет</w:t>
      </w:r>
      <w:r w:rsidR="00542596">
        <w:rPr>
          <w:sz w:val="28"/>
          <w:szCs w:val="28"/>
        </w:rPr>
        <w:t>оды формирования отдельных подгрупп</w:t>
      </w:r>
      <w:r w:rsidRPr="004A0CF0">
        <w:rPr>
          <w:sz w:val="28"/>
          <w:szCs w:val="28"/>
        </w:rPr>
        <w:t xml:space="preserve"> пациентов с МФОИ и </w:t>
      </w:r>
      <w:r w:rsidR="00542596">
        <w:rPr>
          <w:sz w:val="28"/>
          <w:szCs w:val="28"/>
        </w:rPr>
        <w:t>ОС</w:t>
      </w:r>
      <w:r w:rsidRPr="004A0CF0">
        <w:rPr>
          <w:sz w:val="28"/>
          <w:szCs w:val="28"/>
        </w:rPr>
        <w:t>.</w:t>
      </w:r>
    </w:p>
    <w:p w:rsidR="00286780" w:rsidRPr="004A0CF0" w:rsidRDefault="00286780" w:rsidP="006D1682">
      <w:pPr>
        <w:spacing w:line="360" w:lineRule="auto"/>
        <w:ind w:firstLine="709"/>
        <w:jc w:val="both"/>
        <w:rPr>
          <w:sz w:val="28"/>
          <w:szCs w:val="28"/>
        </w:rPr>
      </w:pPr>
      <w:r w:rsidRPr="004A0CF0">
        <w:rPr>
          <w:sz w:val="28"/>
          <w:szCs w:val="28"/>
        </w:rPr>
        <w:t>Следует отметить, что больные с хроническими заболеваниями, находящимися в стадии ремиссии, не отягощающими общего состояния больного и не влияющими на</w:t>
      </w:r>
      <w:r>
        <w:rPr>
          <w:sz w:val="28"/>
          <w:szCs w:val="28"/>
        </w:rPr>
        <w:t xml:space="preserve"> течение основного заболевания - </w:t>
      </w:r>
      <w:r w:rsidRPr="004A0CF0">
        <w:rPr>
          <w:sz w:val="28"/>
          <w:szCs w:val="28"/>
        </w:rPr>
        <w:t>одонтогенного</w:t>
      </w:r>
      <w:r>
        <w:rPr>
          <w:sz w:val="28"/>
          <w:szCs w:val="28"/>
        </w:rPr>
        <w:t xml:space="preserve"> воспалительного процесса</w:t>
      </w:r>
      <w:r w:rsidRPr="004A0CF0">
        <w:rPr>
          <w:sz w:val="28"/>
          <w:szCs w:val="28"/>
        </w:rPr>
        <w:t>, к исследуемой выборке пациентов с ХП причислены не были, так как данная патология поопределению относитс</w:t>
      </w:r>
      <w:r>
        <w:rPr>
          <w:sz w:val="28"/>
          <w:szCs w:val="28"/>
        </w:rPr>
        <w:t>я к сопутствующим заболеваниям (</w:t>
      </w:r>
      <w:r w:rsidRPr="004A0CF0">
        <w:rPr>
          <w:sz w:val="28"/>
          <w:szCs w:val="28"/>
        </w:rPr>
        <w:t>За</w:t>
      </w:r>
      <w:r>
        <w:rPr>
          <w:sz w:val="28"/>
          <w:szCs w:val="28"/>
        </w:rPr>
        <w:t>ратьянц О.</w:t>
      </w:r>
      <w:r w:rsidRPr="004A0CF0">
        <w:rPr>
          <w:sz w:val="28"/>
          <w:szCs w:val="28"/>
        </w:rPr>
        <w:t>В. и др., 2015;</w:t>
      </w:r>
      <w:r>
        <w:rPr>
          <w:sz w:val="28"/>
          <w:szCs w:val="28"/>
        </w:rPr>
        <w:t xml:space="preserve"> 2019)</w:t>
      </w:r>
      <w:r w:rsidRPr="004A0CF0">
        <w:rPr>
          <w:sz w:val="28"/>
          <w:szCs w:val="28"/>
        </w:rPr>
        <w:t>.</w:t>
      </w:r>
    </w:p>
    <w:p w:rsidR="00286780" w:rsidRPr="004A0CF0" w:rsidRDefault="00286780" w:rsidP="006D1682">
      <w:pPr>
        <w:spacing w:line="360" w:lineRule="auto"/>
        <w:ind w:firstLine="709"/>
        <w:jc w:val="both"/>
        <w:rPr>
          <w:sz w:val="28"/>
          <w:szCs w:val="28"/>
        </w:rPr>
      </w:pPr>
      <w:r w:rsidRPr="004A0CF0">
        <w:rPr>
          <w:sz w:val="28"/>
          <w:szCs w:val="28"/>
        </w:rPr>
        <w:lastRenderedPageBreak/>
        <w:t xml:space="preserve">К таким заболеваниям отнесены хронический гастрит, хронический панкреатит, хронический колит, хронический необструктивный бронхит, иная хроническая патология (заболевания центральной нервной системы – олигофрения, болезнь Паркинсона, энцефалопатия; хронический пиелонефрит в стадии ремиссии без явлений почечной недостаточности). Наркомания, несмотря на доказанное существенное влияние на общее состояние пациента и развитие локальных нарушений, </w:t>
      </w:r>
      <w:r>
        <w:rPr>
          <w:sz w:val="28"/>
          <w:szCs w:val="28"/>
        </w:rPr>
        <w:t>также</w:t>
      </w:r>
      <w:r w:rsidRPr="004A0CF0">
        <w:rPr>
          <w:sz w:val="28"/>
          <w:szCs w:val="28"/>
        </w:rPr>
        <w:t xml:space="preserve"> исключена из выборки пациентов с ХП в связи с отсутствием достаточных оснований для корректного установления диагноза.</w:t>
      </w:r>
    </w:p>
    <w:p w:rsidR="00286780" w:rsidRPr="004A0CF0" w:rsidRDefault="00286780" w:rsidP="006D1682">
      <w:pPr>
        <w:spacing w:line="360" w:lineRule="auto"/>
        <w:ind w:firstLine="709"/>
        <w:jc w:val="both"/>
        <w:rPr>
          <w:sz w:val="28"/>
          <w:szCs w:val="28"/>
        </w:rPr>
      </w:pPr>
      <w:r w:rsidRPr="004A0CF0">
        <w:rPr>
          <w:sz w:val="28"/>
          <w:szCs w:val="28"/>
        </w:rPr>
        <w:t xml:space="preserve">Критерием обозначения какой-либо нозологической формы заболевания внутренних органов как </w:t>
      </w:r>
      <w:r w:rsidRPr="004A0CF0">
        <w:rPr>
          <w:i/>
          <w:sz w:val="28"/>
          <w:szCs w:val="28"/>
        </w:rPr>
        <w:t>фоновой</w:t>
      </w:r>
      <w:r w:rsidRPr="004A0CF0">
        <w:rPr>
          <w:sz w:val="28"/>
          <w:szCs w:val="28"/>
        </w:rPr>
        <w:t xml:space="preserve"> патологии является доказанное неблагоприятное влияние на течение, развитие осложнений и исход основного патолог</w:t>
      </w:r>
      <w:r>
        <w:rPr>
          <w:sz w:val="28"/>
          <w:szCs w:val="28"/>
        </w:rPr>
        <w:t>ического процесса (Заратьянц О.</w:t>
      </w:r>
      <w:r w:rsidRPr="004A0CF0">
        <w:rPr>
          <w:sz w:val="28"/>
          <w:szCs w:val="28"/>
        </w:rPr>
        <w:t xml:space="preserve">В. и др., </w:t>
      </w:r>
      <w:r>
        <w:rPr>
          <w:sz w:val="28"/>
          <w:szCs w:val="28"/>
        </w:rPr>
        <w:t>2019)</w:t>
      </w:r>
      <w:r w:rsidRPr="004A0CF0">
        <w:rPr>
          <w:sz w:val="28"/>
          <w:szCs w:val="28"/>
        </w:rPr>
        <w:t>.</w:t>
      </w:r>
    </w:p>
    <w:p w:rsidR="00286780" w:rsidRPr="004337DE" w:rsidRDefault="00286780" w:rsidP="006D1682">
      <w:pPr>
        <w:spacing w:line="360" w:lineRule="auto"/>
        <w:ind w:firstLine="709"/>
        <w:jc w:val="both"/>
        <w:rPr>
          <w:spacing w:val="-4"/>
          <w:sz w:val="28"/>
          <w:szCs w:val="28"/>
        </w:rPr>
      </w:pPr>
      <w:r w:rsidRPr="004A0CF0">
        <w:rPr>
          <w:sz w:val="28"/>
          <w:szCs w:val="28"/>
        </w:rPr>
        <w:t>«</w:t>
      </w:r>
      <w:r w:rsidRPr="004337DE">
        <w:rPr>
          <w:spacing w:val="-4"/>
          <w:sz w:val="28"/>
          <w:szCs w:val="28"/>
        </w:rPr>
        <w:t>Классической» фоновой патологией, по данным литературы, является сахар</w:t>
      </w:r>
      <w:r>
        <w:rPr>
          <w:spacing w:val="-4"/>
          <w:sz w:val="28"/>
          <w:szCs w:val="28"/>
        </w:rPr>
        <w:t>ный диабет (Зайратьянц О.В., Кактурский Л.В., 2011; Пальцев М.А. и др., 2011)</w:t>
      </w:r>
      <w:r w:rsidRPr="004337DE">
        <w:rPr>
          <w:spacing w:val="-4"/>
          <w:sz w:val="28"/>
          <w:szCs w:val="28"/>
        </w:rPr>
        <w:t>.</w:t>
      </w:r>
    </w:p>
    <w:p w:rsidR="00286780" w:rsidRDefault="00286780" w:rsidP="006D1682">
      <w:pPr>
        <w:spacing w:line="360" w:lineRule="auto"/>
        <w:ind w:firstLine="709"/>
        <w:jc w:val="both"/>
        <w:rPr>
          <w:sz w:val="28"/>
          <w:szCs w:val="28"/>
        </w:rPr>
      </w:pPr>
      <w:r w:rsidRPr="004A0CF0">
        <w:rPr>
          <w:sz w:val="28"/>
          <w:szCs w:val="28"/>
        </w:rPr>
        <w:t>В отношении других заболеваний</w:t>
      </w:r>
      <w:r>
        <w:rPr>
          <w:sz w:val="28"/>
          <w:szCs w:val="28"/>
        </w:rPr>
        <w:t>,</w:t>
      </w:r>
      <w:r w:rsidRPr="004A0CF0">
        <w:rPr>
          <w:sz w:val="28"/>
          <w:szCs w:val="28"/>
        </w:rPr>
        <w:t xml:space="preserve"> за исключением перечисленной выше хронической патологии в состоянии ремиссии, а </w:t>
      </w:r>
      <w:r>
        <w:rPr>
          <w:sz w:val="28"/>
          <w:szCs w:val="28"/>
        </w:rPr>
        <w:t>также</w:t>
      </w:r>
      <w:r w:rsidRPr="004A0CF0">
        <w:rPr>
          <w:sz w:val="28"/>
          <w:szCs w:val="28"/>
        </w:rPr>
        <w:t xml:space="preserve"> наркомании, выполнено соответствующее исследование (</w:t>
      </w:r>
      <w:r w:rsidRPr="004A0CF0">
        <w:rPr>
          <w:sz w:val="28"/>
          <w:szCs w:val="28"/>
          <w:lang w:val="en-US"/>
        </w:rPr>
        <w:t>I</w:t>
      </w:r>
      <w:r w:rsidRPr="004A0CF0">
        <w:rPr>
          <w:sz w:val="28"/>
          <w:szCs w:val="28"/>
        </w:rPr>
        <w:t xml:space="preserve"> блок исследований), определяющее степень влияния той или иной патологии на течение, развитие осложнений, продолжительность госпитализации и исход одонтогенного воспалительного процесса.</w:t>
      </w:r>
    </w:p>
    <w:p w:rsidR="00286780" w:rsidRDefault="00286780" w:rsidP="006F7C65">
      <w:pPr>
        <w:spacing w:line="360" w:lineRule="auto"/>
        <w:ind w:firstLine="709"/>
        <w:jc w:val="both"/>
        <w:rPr>
          <w:sz w:val="28"/>
          <w:szCs w:val="28"/>
        </w:rPr>
      </w:pPr>
      <w:r w:rsidRPr="004A0CF0">
        <w:rPr>
          <w:sz w:val="28"/>
          <w:szCs w:val="28"/>
        </w:rPr>
        <w:t>Ниже перечислена сгруппированная по системам органов хроническая па</w:t>
      </w:r>
      <w:r>
        <w:rPr>
          <w:sz w:val="28"/>
          <w:szCs w:val="28"/>
        </w:rPr>
        <w:t>тология</w:t>
      </w:r>
      <w:r w:rsidRPr="004A0CF0">
        <w:rPr>
          <w:sz w:val="28"/>
          <w:szCs w:val="28"/>
        </w:rPr>
        <w:t xml:space="preserve"> с выполнением в дальнейшем соответствующей характеристики наличия и степени влияния на </w:t>
      </w:r>
      <w:r>
        <w:rPr>
          <w:sz w:val="28"/>
          <w:szCs w:val="28"/>
        </w:rPr>
        <w:t>МФОИ</w:t>
      </w:r>
      <w:r w:rsidRPr="004A0CF0">
        <w:rPr>
          <w:sz w:val="28"/>
          <w:szCs w:val="28"/>
        </w:rPr>
        <w:t>.</w:t>
      </w:r>
    </w:p>
    <w:p w:rsidR="00286780" w:rsidRPr="004A0CF0" w:rsidRDefault="00286780" w:rsidP="00BD2F93">
      <w:pPr>
        <w:spacing w:line="360" w:lineRule="auto"/>
        <w:ind w:firstLine="709"/>
        <w:jc w:val="both"/>
        <w:rPr>
          <w:sz w:val="28"/>
          <w:szCs w:val="28"/>
        </w:rPr>
      </w:pPr>
      <w:r w:rsidRPr="004A0CF0">
        <w:rPr>
          <w:sz w:val="28"/>
          <w:szCs w:val="28"/>
        </w:rPr>
        <w:t>Хроническая патология сердечно-сосудистой системы в исследуемой выборке пациентов представлена заболеваниями, существенно влияющими на гемодинамику и кровоснабжение тканей, состояние внутренних органов (миокард, кровено</w:t>
      </w:r>
      <w:r>
        <w:rPr>
          <w:sz w:val="28"/>
          <w:szCs w:val="28"/>
        </w:rPr>
        <w:t>сные сосуды, почки) (Мурашов А.В., 2002; Крюкова Л.М., 2003; Обухова Т.В., 2004;Косаченко В.М., 2005)</w:t>
      </w:r>
      <w:r w:rsidRPr="004A0CF0">
        <w:rPr>
          <w:sz w:val="28"/>
          <w:szCs w:val="28"/>
        </w:rPr>
        <w:t xml:space="preserve">, что </w:t>
      </w:r>
      <w:r w:rsidRPr="004A0CF0">
        <w:rPr>
          <w:i/>
          <w:sz w:val="28"/>
          <w:szCs w:val="28"/>
        </w:rPr>
        <w:t>предположительно</w:t>
      </w:r>
      <w:r w:rsidRPr="004A0CF0">
        <w:rPr>
          <w:sz w:val="28"/>
          <w:szCs w:val="28"/>
        </w:rPr>
        <w:t xml:space="preserve"> может оказывать воздействие на тяжесть состояния и течение одонтогенного гнойно-воспалительного процесса, обуславливать развитие осложнений (гипертонический криз, неотложные состояния, гипертензивные реакции, ишемия миокарда и головного мозга, </w:t>
      </w:r>
      <w:r w:rsidRPr="004A0CF0">
        <w:rPr>
          <w:sz w:val="28"/>
          <w:szCs w:val="28"/>
        </w:rPr>
        <w:lastRenderedPageBreak/>
        <w:t xml:space="preserve">нарушения ритма, сердечная недостаточность). К такой патологии относятся артериальная гипертония, различные формы </w:t>
      </w:r>
      <w:r>
        <w:rPr>
          <w:sz w:val="28"/>
          <w:szCs w:val="28"/>
        </w:rPr>
        <w:t>ИБС</w:t>
      </w:r>
      <w:r w:rsidRPr="004A0CF0">
        <w:rPr>
          <w:sz w:val="28"/>
          <w:szCs w:val="28"/>
        </w:rPr>
        <w:t xml:space="preserve">, пороки сердца (врожденные, приобретенные). </w:t>
      </w:r>
    </w:p>
    <w:p w:rsidR="00286780" w:rsidRPr="004A0CF0" w:rsidRDefault="00286780" w:rsidP="00BD2F93">
      <w:pPr>
        <w:spacing w:line="360" w:lineRule="auto"/>
        <w:ind w:firstLine="709"/>
        <w:jc w:val="both"/>
        <w:rPr>
          <w:sz w:val="28"/>
          <w:szCs w:val="28"/>
        </w:rPr>
      </w:pPr>
      <w:r w:rsidRPr="004A0CF0">
        <w:rPr>
          <w:sz w:val="28"/>
          <w:szCs w:val="28"/>
        </w:rPr>
        <w:t xml:space="preserve">К ХП органов дыхания, которые предположительно можно обозначить как фоновые (по отношению к одонтогенному инфекционному процессу) в связи с установленным существенным воздействием на показатели гомеостаза, причислены </w:t>
      </w:r>
      <w:r>
        <w:rPr>
          <w:sz w:val="28"/>
          <w:szCs w:val="28"/>
        </w:rPr>
        <w:t>ХОБЛ</w:t>
      </w:r>
      <w:r w:rsidRPr="004A0CF0">
        <w:rPr>
          <w:sz w:val="28"/>
          <w:szCs w:val="28"/>
        </w:rPr>
        <w:t xml:space="preserve">, хронический обструктивный </w:t>
      </w:r>
      <w:r>
        <w:rPr>
          <w:sz w:val="28"/>
          <w:szCs w:val="28"/>
        </w:rPr>
        <w:t>бронхит)</w:t>
      </w:r>
      <w:r w:rsidRPr="004A0CF0">
        <w:rPr>
          <w:sz w:val="28"/>
          <w:szCs w:val="28"/>
        </w:rPr>
        <w:t xml:space="preserve">, бронхиальная астма, </w:t>
      </w:r>
      <w:r>
        <w:rPr>
          <w:sz w:val="28"/>
          <w:szCs w:val="28"/>
        </w:rPr>
        <w:t>иная патология (</w:t>
      </w:r>
      <w:r w:rsidRPr="004A0CF0">
        <w:rPr>
          <w:sz w:val="28"/>
          <w:szCs w:val="28"/>
        </w:rPr>
        <w:t>туберкулез легких</w:t>
      </w:r>
      <w:r>
        <w:rPr>
          <w:sz w:val="28"/>
          <w:szCs w:val="28"/>
        </w:rPr>
        <w:t>)</w:t>
      </w:r>
      <w:r w:rsidRPr="004A0CF0">
        <w:rPr>
          <w:sz w:val="28"/>
          <w:szCs w:val="28"/>
        </w:rPr>
        <w:t>.</w:t>
      </w:r>
    </w:p>
    <w:p w:rsidR="00286780" w:rsidRPr="004A0CF0" w:rsidRDefault="00286780" w:rsidP="00BD2F93">
      <w:pPr>
        <w:spacing w:line="360" w:lineRule="auto"/>
        <w:ind w:firstLine="709"/>
        <w:jc w:val="both"/>
        <w:rPr>
          <w:sz w:val="28"/>
          <w:szCs w:val="28"/>
        </w:rPr>
      </w:pPr>
      <w:r>
        <w:rPr>
          <w:sz w:val="28"/>
          <w:szCs w:val="28"/>
        </w:rPr>
        <w:t>ХП</w:t>
      </w:r>
      <w:r w:rsidRPr="004A0CF0">
        <w:rPr>
          <w:sz w:val="28"/>
          <w:szCs w:val="28"/>
        </w:rPr>
        <w:t xml:space="preserve"> эндокринной системы представлена сахарным диабетом 1-го и 2-го типа. Данные литературы указывают на множественное влияние сахарного диабета на состояние внутренней среды организма, структуру и состояние крупных и мелких кровеносных сосудов, кровоснабжение миокарда, головного мозга, периферических тканей, развитие почечной недостаточности и втор</w:t>
      </w:r>
      <w:r>
        <w:rPr>
          <w:sz w:val="28"/>
          <w:szCs w:val="28"/>
        </w:rPr>
        <w:t>ичного иммунодефицита (Дедов И.И. и др., 2019)</w:t>
      </w:r>
      <w:r w:rsidRPr="004A0CF0">
        <w:rPr>
          <w:sz w:val="28"/>
          <w:szCs w:val="28"/>
        </w:rPr>
        <w:t>.</w:t>
      </w:r>
    </w:p>
    <w:p w:rsidR="00286780" w:rsidRPr="004A0CF0" w:rsidRDefault="00286780" w:rsidP="00BD2F93">
      <w:pPr>
        <w:spacing w:line="360" w:lineRule="auto"/>
        <w:ind w:firstLine="709"/>
        <w:jc w:val="both"/>
        <w:rPr>
          <w:sz w:val="28"/>
          <w:szCs w:val="28"/>
        </w:rPr>
      </w:pPr>
      <w:r>
        <w:rPr>
          <w:sz w:val="28"/>
          <w:szCs w:val="28"/>
        </w:rPr>
        <w:t>К хронической патологии</w:t>
      </w:r>
      <w:r w:rsidRPr="004A0CF0">
        <w:rPr>
          <w:sz w:val="28"/>
          <w:szCs w:val="28"/>
        </w:rPr>
        <w:t xml:space="preserve"> пищеварительной системы и печени отнесены болезнь оперированного желудка, вирусные и токсические гепатиты, цирроз печени (вирусный, токсический, застойный), хронический алкоголизм (алкогольная болезнь) при наличии соответствующего установленного диагноза. Также в качестве </w:t>
      </w:r>
      <w:r>
        <w:rPr>
          <w:sz w:val="28"/>
          <w:szCs w:val="28"/>
        </w:rPr>
        <w:t>хронической патологии</w:t>
      </w:r>
      <w:r w:rsidRPr="004A0CF0">
        <w:rPr>
          <w:sz w:val="28"/>
          <w:szCs w:val="28"/>
        </w:rPr>
        <w:t xml:space="preserve"> проанализированы болезни почек (гломерулонефрит, пиелонефрит) с явлениями </w:t>
      </w:r>
      <w:r>
        <w:rPr>
          <w:sz w:val="28"/>
          <w:szCs w:val="28"/>
        </w:rPr>
        <w:t>ХПН</w:t>
      </w:r>
      <w:r w:rsidRPr="004A0CF0">
        <w:rPr>
          <w:sz w:val="28"/>
          <w:szCs w:val="28"/>
        </w:rPr>
        <w:t>.</w:t>
      </w:r>
    </w:p>
    <w:p w:rsidR="00286780" w:rsidRDefault="00286780" w:rsidP="00BD2F93">
      <w:pPr>
        <w:spacing w:line="360" w:lineRule="auto"/>
        <w:ind w:firstLine="709"/>
        <w:jc w:val="both"/>
        <w:rPr>
          <w:sz w:val="28"/>
          <w:szCs w:val="28"/>
        </w:rPr>
      </w:pPr>
      <w:r w:rsidRPr="004A0CF0">
        <w:rPr>
          <w:sz w:val="28"/>
          <w:szCs w:val="28"/>
        </w:rPr>
        <w:t xml:space="preserve">Как указано выше, для определения частоты и распространенности </w:t>
      </w:r>
      <w:r>
        <w:rPr>
          <w:sz w:val="28"/>
          <w:szCs w:val="28"/>
        </w:rPr>
        <w:t>ХП</w:t>
      </w:r>
      <w:r w:rsidRPr="004A0CF0">
        <w:rPr>
          <w:sz w:val="28"/>
          <w:szCs w:val="28"/>
        </w:rPr>
        <w:t xml:space="preserve"> внутренних органов у больных с местной формой одонтогенной инфекции (МФОИ) в общей структуре пациентов с МФОИ, в «сплошном» порядке поступления в стационар обс</w:t>
      </w:r>
      <w:r>
        <w:rPr>
          <w:sz w:val="28"/>
          <w:szCs w:val="28"/>
        </w:rPr>
        <w:t>ледовано 443 пациента (Рисунок 2</w:t>
      </w:r>
      <w:r w:rsidRPr="004A0CF0">
        <w:rPr>
          <w:sz w:val="28"/>
          <w:szCs w:val="28"/>
        </w:rPr>
        <w:t>), госпитализированных в отделение челюстно-лицевой хирургии Курской областной клинической больни</w:t>
      </w:r>
      <w:r>
        <w:rPr>
          <w:sz w:val="28"/>
          <w:szCs w:val="28"/>
        </w:rPr>
        <w:t>цы с 2012 по 2015 гг. Местная форма одонтогенной инфекции</w:t>
      </w:r>
      <w:r w:rsidRPr="004A0CF0">
        <w:rPr>
          <w:sz w:val="28"/>
          <w:szCs w:val="28"/>
        </w:rPr>
        <w:t xml:space="preserve"> представлена следующими нозологическими форма</w:t>
      </w:r>
      <w:r>
        <w:rPr>
          <w:sz w:val="28"/>
          <w:szCs w:val="28"/>
        </w:rPr>
        <w:t>ми по МКБ-10</w:t>
      </w:r>
      <w:r w:rsidRPr="004A0CF0">
        <w:rPr>
          <w:sz w:val="28"/>
          <w:szCs w:val="28"/>
        </w:rPr>
        <w:t xml:space="preserve">: </w:t>
      </w:r>
    </w:p>
    <w:p w:rsidR="00286780" w:rsidRDefault="00286780" w:rsidP="002A3C85">
      <w:pPr>
        <w:numPr>
          <w:ilvl w:val="0"/>
          <w:numId w:val="13"/>
        </w:numPr>
        <w:spacing w:line="360" w:lineRule="auto"/>
        <w:ind w:left="0" w:firstLine="709"/>
        <w:jc w:val="both"/>
        <w:rPr>
          <w:sz w:val="28"/>
          <w:szCs w:val="28"/>
        </w:rPr>
      </w:pPr>
      <w:r w:rsidRPr="004A0CF0">
        <w:rPr>
          <w:sz w:val="28"/>
          <w:szCs w:val="28"/>
        </w:rPr>
        <w:t>флегмона лица (</w:t>
      </w:r>
      <w:r w:rsidRPr="004A0CF0">
        <w:rPr>
          <w:sz w:val="28"/>
          <w:szCs w:val="28"/>
          <w:lang w:val="en-US"/>
        </w:rPr>
        <w:t>L</w:t>
      </w:r>
      <w:r>
        <w:rPr>
          <w:sz w:val="28"/>
          <w:szCs w:val="28"/>
        </w:rPr>
        <w:t>03.2);</w:t>
      </w:r>
    </w:p>
    <w:p w:rsidR="00286780" w:rsidRPr="004A0CF0" w:rsidRDefault="00286780" w:rsidP="002A3C85">
      <w:pPr>
        <w:numPr>
          <w:ilvl w:val="0"/>
          <w:numId w:val="13"/>
        </w:numPr>
        <w:spacing w:line="360" w:lineRule="auto"/>
        <w:ind w:left="0" w:firstLine="709"/>
        <w:jc w:val="both"/>
        <w:rPr>
          <w:sz w:val="28"/>
          <w:szCs w:val="28"/>
        </w:rPr>
      </w:pPr>
      <w:r w:rsidRPr="004A0CF0">
        <w:rPr>
          <w:sz w:val="28"/>
          <w:szCs w:val="28"/>
        </w:rPr>
        <w:t>флегмона и абсцесс полости рта (</w:t>
      </w:r>
      <w:r w:rsidRPr="004A0CF0">
        <w:rPr>
          <w:sz w:val="28"/>
          <w:szCs w:val="28"/>
          <w:lang w:val="en-US"/>
        </w:rPr>
        <w:t>K</w:t>
      </w:r>
      <w:r w:rsidRPr="004A0CF0">
        <w:rPr>
          <w:sz w:val="28"/>
          <w:szCs w:val="28"/>
        </w:rPr>
        <w:t>12.2).</w:t>
      </w:r>
    </w:p>
    <w:p w:rsidR="00286780" w:rsidRPr="004A0CF0" w:rsidRDefault="00286780" w:rsidP="00BD2F93">
      <w:pPr>
        <w:spacing w:line="360" w:lineRule="auto"/>
        <w:ind w:firstLine="709"/>
        <w:jc w:val="both"/>
        <w:rPr>
          <w:sz w:val="28"/>
          <w:szCs w:val="28"/>
        </w:rPr>
      </w:pPr>
      <w:r w:rsidRPr="004A0CF0">
        <w:rPr>
          <w:sz w:val="28"/>
          <w:szCs w:val="28"/>
        </w:rPr>
        <w:lastRenderedPageBreak/>
        <w:t>Критери</w:t>
      </w:r>
      <w:r>
        <w:rPr>
          <w:sz w:val="28"/>
          <w:szCs w:val="28"/>
        </w:rPr>
        <w:t>й</w:t>
      </w:r>
      <w:r w:rsidRPr="004A0CF0">
        <w:rPr>
          <w:sz w:val="28"/>
          <w:szCs w:val="28"/>
        </w:rPr>
        <w:t xml:space="preserve"> включения: местная форма одонтогенной инфекции</w:t>
      </w:r>
      <w:r>
        <w:rPr>
          <w:sz w:val="28"/>
          <w:szCs w:val="28"/>
        </w:rPr>
        <w:t>. К</w:t>
      </w:r>
      <w:r w:rsidRPr="004A0CF0">
        <w:rPr>
          <w:sz w:val="28"/>
          <w:szCs w:val="28"/>
        </w:rPr>
        <w:t>ритери</w:t>
      </w:r>
      <w:r>
        <w:rPr>
          <w:sz w:val="28"/>
          <w:szCs w:val="28"/>
        </w:rPr>
        <w:t>й</w:t>
      </w:r>
      <w:r w:rsidRPr="004A0CF0">
        <w:rPr>
          <w:sz w:val="28"/>
          <w:szCs w:val="28"/>
        </w:rPr>
        <w:t xml:space="preserve"> исключения: одонтогенный сепсис. В соответствии с данными критериями и характером хронической патологии внутренних органов, сформированы следу</w:t>
      </w:r>
      <w:r w:rsidR="0071737E">
        <w:rPr>
          <w:sz w:val="28"/>
          <w:szCs w:val="28"/>
        </w:rPr>
        <w:t>ющие подгруппы</w:t>
      </w:r>
      <w:r w:rsidRPr="004A0CF0">
        <w:rPr>
          <w:sz w:val="28"/>
          <w:szCs w:val="28"/>
        </w:rPr>
        <w:t xml:space="preserve"> пациентов: </w:t>
      </w:r>
    </w:p>
    <w:p w:rsidR="00286780" w:rsidRPr="004A0CF0" w:rsidRDefault="0071737E" w:rsidP="00BD2F93">
      <w:pPr>
        <w:spacing w:line="360" w:lineRule="auto"/>
        <w:ind w:firstLine="709"/>
        <w:jc w:val="both"/>
        <w:rPr>
          <w:sz w:val="28"/>
          <w:szCs w:val="28"/>
        </w:rPr>
      </w:pPr>
      <w:r>
        <w:rPr>
          <w:sz w:val="28"/>
          <w:szCs w:val="28"/>
        </w:rPr>
        <w:t>1) подгруппа</w:t>
      </w:r>
      <w:r w:rsidR="00286780" w:rsidRPr="004A0CF0">
        <w:rPr>
          <w:sz w:val="28"/>
          <w:szCs w:val="28"/>
        </w:rPr>
        <w:t xml:space="preserve"> больных с МФОИ и заболеваниями сердечно-сосудистой системы (88 больных); критерии включения – МФОИ, патология сердечно-сосудистой системы; критерии исключения – сепсис, заболевания эндокринной, дыхательной (за исключением хронического необструктивного бронхита), мочевыделительной (за исключением хронического пиелонефрита, мочекаменной болезни без явлений почечной недостаточности), пищеварительной систем и печени;</w:t>
      </w:r>
    </w:p>
    <w:p w:rsidR="00286780" w:rsidRPr="004337DE" w:rsidRDefault="0071737E" w:rsidP="00BD2F93">
      <w:pPr>
        <w:spacing w:line="360" w:lineRule="auto"/>
        <w:ind w:firstLine="709"/>
        <w:jc w:val="both"/>
        <w:rPr>
          <w:spacing w:val="-4"/>
          <w:sz w:val="28"/>
          <w:szCs w:val="28"/>
        </w:rPr>
      </w:pPr>
      <w:r>
        <w:rPr>
          <w:spacing w:val="-4"/>
          <w:sz w:val="28"/>
          <w:szCs w:val="28"/>
        </w:rPr>
        <w:t xml:space="preserve"> 2) подгруппа</w:t>
      </w:r>
      <w:r w:rsidR="00286780" w:rsidRPr="004337DE">
        <w:rPr>
          <w:spacing w:val="-4"/>
          <w:sz w:val="28"/>
          <w:szCs w:val="28"/>
        </w:rPr>
        <w:t xml:space="preserve"> больных с МФОИ и заболеваниями органов дыхания (18 пациентов); критерии включения – МФОИ, патология органов дыхания; критерии исключения – сепсис, заболевания эндокринной, мочевыделительной, пищеварительной систем и печени, злокачественные новообразования, аутоиммунная патология; </w:t>
      </w:r>
    </w:p>
    <w:p w:rsidR="00286780" w:rsidRPr="004A0CF0" w:rsidRDefault="0071737E" w:rsidP="00BD2F93">
      <w:pPr>
        <w:spacing w:line="360" w:lineRule="auto"/>
        <w:ind w:firstLine="709"/>
        <w:jc w:val="both"/>
        <w:rPr>
          <w:sz w:val="28"/>
          <w:szCs w:val="28"/>
        </w:rPr>
      </w:pPr>
      <w:r>
        <w:rPr>
          <w:sz w:val="28"/>
          <w:szCs w:val="28"/>
        </w:rPr>
        <w:t>3) подгруппа</w:t>
      </w:r>
      <w:r w:rsidR="00286780" w:rsidRPr="004A0CF0">
        <w:rPr>
          <w:sz w:val="28"/>
          <w:szCs w:val="28"/>
        </w:rPr>
        <w:t xml:space="preserve"> больных с МФОИ и заболеваниями эндокринной системы (15 пациентов); критерии включения – МФОИ, патология эндокринной системы; критерии исключения – сепсис, заболевания дыхательной, мочевыделительной, пищеварительной систем и печени, злокачественные новообразования, аутоиммунная патология;</w:t>
      </w:r>
    </w:p>
    <w:p w:rsidR="00286780" w:rsidRPr="004A0CF0" w:rsidRDefault="0071737E" w:rsidP="00BD2F93">
      <w:pPr>
        <w:spacing w:line="360" w:lineRule="auto"/>
        <w:ind w:firstLine="709"/>
        <w:jc w:val="both"/>
        <w:rPr>
          <w:sz w:val="28"/>
          <w:szCs w:val="28"/>
        </w:rPr>
      </w:pPr>
      <w:r>
        <w:rPr>
          <w:sz w:val="28"/>
          <w:szCs w:val="28"/>
        </w:rPr>
        <w:t>4) подгруппа</w:t>
      </w:r>
      <w:r w:rsidR="00286780" w:rsidRPr="004A0CF0">
        <w:rPr>
          <w:sz w:val="28"/>
          <w:szCs w:val="28"/>
        </w:rPr>
        <w:t xml:space="preserve"> больных с МФОИ и </w:t>
      </w:r>
      <w:r w:rsidR="00286780">
        <w:rPr>
          <w:sz w:val="28"/>
          <w:szCs w:val="28"/>
        </w:rPr>
        <w:t>ХП</w:t>
      </w:r>
      <w:r w:rsidR="00286780" w:rsidRPr="004A0CF0">
        <w:rPr>
          <w:sz w:val="28"/>
          <w:szCs w:val="28"/>
        </w:rPr>
        <w:t xml:space="preserve"> органов пищеварения, мочевыделительной системы </w:t>
      </w:r>
      <w:r w:rsidR="00286780">
        <w:rPr>
          <w:sz w:val="28"/>
          <w:szCs w:val="28"/>
        </w:rPr>
        <w:t xml:space="preserve">и печени </w:t>
      </w:r>
      <w:r w:rsidR="00286780" w:rsidRPr="004A0CF0">
        <w:rPr>
          <w:sz w:val="28"/>
          <w:szCs w:val="28"/>
        </w:rPr>
        <w:t>(10 пациенто</w:t>
      </w:r>
      <w:r w:rsidR="00286780">
        <w:rPr>
          <w:sz w:val="28"/>
          <w:szCs w:val="28"/>
        </w:rPr>
        <w:t>в); критерии включения: МФОИ, ХП</w:t>
      </w:r>
      <w:r w:rsidR="00286780" w:rsidRPr="004A0CF0">
        <w:rPr>
          <w:sz w:val="28"/>
          <w:szCs w:val="28"/>
        </w:rPr>
        <w:t xml:space="preserve"> органов пищеварения и печени, </w:t>
      </w:r>
      <w:r w:rsidR="00286780">
        <w:rPr>
          <w:sz w:val="28"/>
          <w:szCs w:val="28"/>
        </w:rPr>
        <w:t>органов мочевыделительной системы</w:t>
      </w:r>
      <w:r w:rsidR="00286780" w:rsidRPr="004A0CF0">
        <w:rPr>
          <w:sz w:val="28"/>
          <w:szCs w:val="28"/>
        </w:rPr>
        <w:t>; критерии исключения – сепсис, заболевания дыхательной, мочевыделительной, эндокринной систем, злокачественные новообразования, аутоиммунная патология;</w:t>
      </w:r>
    </w:p>
    <w:p w:rsidR="00286780" w:rsidRPr="004A0CF0" w:rsidRDefault="0071737E" w:rsidP="00BD2F93">
      <w:pPr>
        <w:spacing w:line="360" w:lineRule="auto"/>
        <w:ind w:firstLine="709"/>
        <w:jc w:val="both"/>
        <w:rPr>
          <w:sz w:val="28"/>
          <w:szCs w:val="28"/>
        </w:rPr>
      </w:pPr>
      <w:r>
        <w:rPr>
          <w:sz w:val="28"/>
          <w:szCs w:val="28"/>
        </w:rPr>
        <w:t>5) подгруппа</w:t>
      </w:r>
      <w:r w:rsidR="00286780" w:rsidRPr="004A0CF0">
        <w:rPr>
          <w:sz w:val="28"/>
          <w:szCs w:val="28"/>
        </w:rPr>
        <w:t xml:space="preserve"> пациентов с МФОИ без </w:t>
      </w:r>
      <w:r w:rsidR="00286780">
        <w:rPr>
          <w:sz w:val="28"/>
          <w:szCs w:val="28"/>
        </w:rPr>
        <w:t>ХП</w:t>
      </w:r>
      <w:r w:rsidR="00286780" w:rsidRPr="004A0CF0">
        <w:rPr>
          <w:sz w:val="28"/>
          <w:szCs w:val="28"/>
        </w:rPr>
        <w:t xml:space="preserve"> внутренних органов; критери</w:t>
      </w:r>
      <w:r w:rsidR="00286780">
        <w:rPr>
          <w:sz w:val="28"/>
          <w:szCs w:val="28"/>
        </w:rPr>
        <w:t>й</w:t>
      </w:r>
      <w:r w:rsidR="00286780" w:rsidRPr="004A0CF0">
        <w:rPr>
          <w:sz w:val="28"/>
          <w:szCs w:val="28"/>
        </w:rPr>
        <w:t xml:space="preserve"> включения – МФОИ; критери</w:t>
      </w:r>
      <w:r w:rsidR="00286780">
        <w:rPr>
          <w:sz w:val="28"/>
          <w:szCs w:val="28"/>
        </w:rPr>
        <w:t>й</w:t>
      </w:r>
      <w:r w:rsidR="00286780" w:rsidRPr="004A0CF0">
        <w:rPr>
          <w:sz w:val="28"/>
          <w:szCs w:val="28"/>
        </w:rPr>
        <w:t xml:space="preserve"> исключения – хронические заболевания (312 пациентов).</w:t>
      </w:r>
    </w:p>
    <w:p w:rsidR="00286780" w:rsidRPr="003040FC" w:rsidRDefault="00286780" w:rsidP="003040FC">
      <w:pPr>
        <w:pStyle w:val="af6"/>
        <w:spacing w:line="360" w:lineRule="auto"/>
        <w:ind w:firstLine="709"/>
        <w:rPr>
          <w:spacing w:val="-4"/>
        </w:rPr>
      </w:pPr>
      <w:r>
        <w:rPr>
          <w:spacing w:val="-4"/>
        </w:rPr>
        <w:t>Для получения статистически достоверных результатов клинико-лабораторног</w:t>
      </w:r>
      <w:r w:rsidR="0071737E">
        <w:rPr>
          <w:spacing w:val="-4"/>
        </w:rPr>
        <w:t>о обследования в отношении подгрупп</w:t>
      </w:r>
      <w:r>
        <w:rPr>
          <w:spacing w:val="-4"/>
        </w:rPr>
        <w:t xml:space="preserve"> пациентов с МФОИ и различ</w:t>
      </w:r>
      <w:r>
        <w:rPr>
          <w:spacing w:val="-4"/>
        </w:rPr>
        <w:lastRenderedPageBreak/>
        <w:t>ными заболеваниями внутренни</w:t>
      </w:r>
      <w:r w:rsidR="0071737E">
        <w:rPr>
          <w:spacing w:val="-4"/>
        </w:rPr>
        <w:t>х органов, соответствующие подгруппы</w:t>
      </w:r>
      <w:r>
        <w:rPr>
          <w:spacing w:val="-4"/>
        </w:rPr>
        <w:t xml:space="preserve"> дополне</w:t>
      </w:r>
      <w:r w:rsidR="0071737E">
        <w:rPr>
          <w:spacing w:val="-4"/>
        </w:rPr>
        <w:t>ны клиническим материалом (</w:t>
      </w:r>
      <w:r w:rsidR="0036118E">
        <w:rPr>
          <w:spacing w:val="-4"/>
        </w:rPr>
        <w:t>за исключением подгруппы</w:t>
      </w:r>
      <w:r w:rsidR="00542596">
        <w:rPr>
          <w:spacing w:val="-4"/>
        </w:rPr>
        <w:t xml:space="preserve"> пациентов с МФОИ и патологией сердечно-сосудистой системы</w:t>
      </w:r>
      <w:r w:rsidR="0036118E">
        <w:rPr>
          <w:spacing w:val="-4"/>
        </w:rPr>
        <w:t>,</w:t>
      </w:r>
      <w:r>
        <w:rPr>
          <w:spacing w:val="-4"/>
        </w:rPr>
        <w:t xml:space="preserve"> редуцирована до 35 человек, использована функция генерации случайных чисел </w:t>
      </w:r>
      <w:r>
        <w:rPr>
          <w:spacing w:val="-4"/>
          <w:lang w:val="en-US"/>
        </w:rPr>
        <w:t>MicrosoftExcel</w:t>
      </w:r>
      <w:r>
        <w:rPr>
          <w:spacing w:val="-4"/>
        </w:rPr>
        <w:t>). Сформирован ряд подгрупп</w:t>
      </w:r>
      <w:r w:rsidR="00456ED3">
        <w:rPr>
          <w:spacing w:val="-4"/>
        </w:rPr>
        <w:t>, используемых в клинико-лабораторных исследованиях</w:t>
      </w:r>
      <w:r>
        <w:rPr>
          <w:spacing w:val="-4"/>
        </w:rPr>
        <w:t xml:space="preserve"> (Рисунок 2, Таблицы 10, 11).</w:t>
      </w:r>
      <w:r w:rsidR="003040FC">
        <w:rPr>
          <w:spacing w:val="-4"/>
        </w:rPr>
        <w:t xml:space="preserve"> </w:t>
      </w:r>
      <w:r>
        <w:t>Сформиров</w:t>
      </w:r>
      <w:r w:rsidR="0071737E">
        <w:t>ана</w:t>
      </w:r>
      <w:r>
        <w:t xml:space="preserve"> </w:t>
      </w:r>
      <w:r w:rsidR="0071737E">
        <w:t>под</w:t>
      </w:r>
      <w:r>
        <w:t>группа № 1</w:t>
      </w:r>
      <w:r w:rsidR="00542596">
        <w:t xml:space="preserve"> (</w:t>
      </w:r>
      <w:r w:rsidR="00456ED3">
        <w:t xml:space="preserve">МФОИ и </w:t>
      </w:r>
      <w:r w:rsidR="00542596">
        <w:t>патология сердечно-сосудистой системы</w:t>
      </w:r>
      <w:r>
        <w:t xml:space="preserve">, </w:t>
      </w:r>
      <w:r w:rsidRPr="008264FC">
        <w:t>35</w:t>
      </w:r>
      <w:r>
        <w:t xml:space="preserve"> пациентов; мужчин – 17 (48,6%), средний возраст – 51,2±2,37 (дисперсия</w:t>
      </w:r>
      <w:r>
        <w:rPr>
          <w:lang w:val="en-US"/>
        </w:rPr>
        <w:t>D</w:t>
      </w:r>
      <w:r w:rsidRPr="008264FC">
        <w:t>(</w:t>
      </w:r>
      <w:r>
        <w:rPr>
          <w:lang w:val="en-US"/>
        </w:rPr>
        <w:t>x</w:t>
      </w:r>
      <w:r w:rsidRPr="008264FC">
        <w:t>)=</w:t>
      </w:r>
      <w:r>
        <w:t>191,6) лет.</w:t>
      </w:r>
      <w:r w:rsidRPr="004A0CF0">
        <w:t xml:space="preserve"> Артериальная гипертония классифицирована по ВОЗ/МОАГ (1999 г.) и </w:t>
      </w:r>
      <w:r w:rsidRPr="004A0CF0">
        <w:rPr>
          <w:lang w:val="en-US"/>
        </w:rPr>
        <w:t>EHS</w:t>
      </w:r>
      <w:r w:rsidRPr="004A0CF0">
        <w:t>/</w:t>
      </w:r>
      <w:r w:rsidRPr="004A0CF0">
        <w:rPr>
          <w:lang w:val="en-US"/>
        </w:rPr>
        <w:t>ESC</w:t>
      </w:r>
      <w:r>
        <w:t xml:space="preserve"> (</w:t>
      </w:r>
      <w:r w:rsidRPr="004A0CF0">
        <w:t>2013 г.</w:t>
      </w:r>
      <w:r>
        <w:t>)</w:t>
      </w:r>
      <w:r w:rsidRPr="004A0CF0">
        <w:t xml:space="preserve">; ишемическая болезнь сердца (ИБС) – с учетом рекомендаций экспертов ВОЗ (1979 г.) и функциональных классов </w:t>
      </w:r>
      <w:r w:rsidRPr="004A0CF0">
        <w:rPr>
          <w:lang w:val="en-US"/>
        </w:rPr>
        <w:t>Canadian</w:t>
      </w:r>
      <w:r w:rsidR="00536E5B">
        <w:t xml:space="preserve"> </w:t>
      </w:r>
      <w:r w:rsidRPr="004A0CF0">
        <w:rPr>
          <w:lang w:val="en-US"/>
        </w:rPr>
        <w:t>Cardiovascular</w:t>
      </w:r>
      <w:r w:rsidR="00536E5B">
        <w:t xml:space="preserve"> </w:t>
      </w:r>
      <w:r w:rsidRPr="004A0CF0">
        <w:rPr>
          <w:lang w:val="en-US"/>
        </w:rPr>
        <w:t>Society</w:t>
      </w:r>
      <w:r>
        <w:t>; ХСН</w:t>
      </w:r>
      <w:r w:rsidRPr="004A0CF0">
        <w:t xml:space="preserve"> – по </w:t>
      </w:r>
      <w:r w:rsidRPr="004A0CF0">
        <w:rPr>
          <w:lang w:val="en-US"/>
        </w:rPr>
        <w:t>NYHA</w:t>
      </w:r>
      <w:r w:rsidRPr="004A0CF0">
        <w:t>, 1964 г.</w:t>
      </w:r>
    </w:p>
    <w:p w:rsidR="00114E1B" w:rsidRDefault="00456ED3" w:rsidP="003040FC">
      <w:pPr>
        <w:spacing w:line="360" w:lineRule="auto"/>
        <w:ind w:firstLine="709"/>
        <w:jc w:val="both"/>
        <w:rPr>
          <w:sz w:val="28"/>
          <w:szCs w:val="28"/>
        </w:rPr>
      </w:pPr>
      <w:r>
        <w:rPr>
          <w:sz w:val="28"/>
          <w:szCs w:val="28"/>
        </w:rPr>
        <w:t>Подгруппа</w:t>
      </w:r>
      <w:r w:rsidR="00286780" w:rsidRPr="004A0CF0">
        <w:rPr>
          <w:sz w:val="28"/>
          <w:szCs w:val="28"/>
        </w:rPr>
        <w:t xml:space="preserve"> больных с МФОИ и </w:t>
      </w:r>
      <w:r w:rsidR="00286780">
        <w:rPr>
          <w:sz w:val="28"/>
          <w:szCs w:val="28"/>
        </w:rPr>
        <w:t>ХП органов дыхания (18</w:t>
      </w:r>
      <w:r w:rsidR="00286780" w:rsidRPr="004A0CF0">
        <w:rPr>
          <w:sz w:val="28"/>
          <w:szCs w:val="28"/>
        </w:rPr>
        <w:t>) дополне</w:t>
      </w:r>
      <w:r w:rsidR="00286780">
        <w:rPr>
          <w:sz w:val="28"/>
          <w:szCs w:val="28"/>
        </w:rPr>
        <w:t>на пациентами</w:t>
      </w:r>
      <w:r w:rsidR="00286780" w:rsidRPr="004A0CF0">
        <w:rPr>
          <w:sz w:val="28"/>
          <w:szCs w:val="28"/>
        </w:rPr>
        <w:t xml:space="preserve"> Курской областной клинической боль</w:t>
      </w:r>
      <w:r w:rsidR="00286780">
        <w:rPr>
          <w:sz w:val="28"/>
          <w:szCs w:val="28"/>
        </w:rPr>
        <w:t>ницы</w:t>
      </w:r>
      <w:r w:rsidR="00286780" w:rsidRPr="004A0CF0">
        <w:rPr>
          <w:sz w:val="28"/>
          <w:szCs w:val="28"/>
        </w:rPr>
        <w:t xml:space="preserve"> (2016–2017 гг.</w:t>
      </w:r>
      <w:r w:rsidR="00286780">
        <w:rPr>
          <w:sz w:val="28"/>
          <w:szCs w:val="28"/>
        </w:rPr>
        <w:t>, 16 пациентов</w:t>
      </w:r>
      <w:r w:rsidR="0071737E">
        <w:rPr>
          <w:sz w:val="28"/>
          <w:szCs w:val="28"/>
        </w:rPr>
        <w:t>). Сформирована</w:t>
      </w:r>
      <w:r>
        <w:rPr>
          <w:sz w:val="28"/>
          <w:szCs w:val="28"/>
        </w:rPr>
        <w:t xml:space="preserve"> </w:t>
      </w:r>
      <w:r w:rsidR="0071737E">
        <w:rPr>
          <w:sz w:val="28"/>
          <w:szCs w:val="28"/>
        </w:rPr>
        <w:t>под</w:t>
      </w:r>
      <w:r w:rsidR="00286780" w:rsidRPr="004A0CF0">
        <w:rPr>
          <w:sz w:val="28"/>
          <w:szCs w:val="28"/>
        </w:rPr>
        <w:t xml:space="preserve">группа № 2, 34 пациента; </w:t>
      </w:r>
      <w:r w:rsidR="00286780">
        <w:rPr>
          <w:sz w:val="28"/>
          <w:szCs w:val="28"/>
        </w:rPr>
        <w:t xml:space="preserve">из них </w:t>
      </w:r>
      <w:r w:rsidR="00286780" w:rsidRPr="004A0CF0">
        <w:rPr>
          <w:sz w:val="28"/>
          <w:szCs w:val="28"/>
        </w:rPr>
        <w:t>мужчин – 28 (82,4%), женщин – 6 (17,6%), средний возраст – 41,8±2,14 лет. Использована спирометрическая (функциональная) классификация ХОБЛ с учетом объема форсированного выдоха за первую секунду (</w:t>
      </w:r>
      <w:r w:rsidR="00286780" w:rsidRPr="004A0CF0">
        <w:rPr>
          <w:sz w:val="28"/>
          <w:szCs w:val="28"/>
          <w:lang w:val="en-US"/>
        </w:rPr>
        <w:t>I</w:t>
      </w:r>
      <w:r w:rsidR="00286780" w:rsidRPr="004A0CF0">
        <w:rPr>
          <w:sz w:val="28"/>
          <w:szCs w:val="28"/>
        </w:rPr>
        <w:t xml:space="preserve">, </w:t>
      </w:r>
      <w:r w:rsidR="00286780" w:rsidRPr="004A0CF0">
        <w:rPr>
          <w:sz w:val="28"/>
          <w:szCs w:val="28"/>
          <w:lang w:val="en-US"/>
        </w:rPr>
        <w:t>II</w:t>
      </w:r>
      <w:r w:rsidR="00286780" w:rsidRPr="004A0CF0">
        <w:rPr>
          <w:sz w:val="28"/>
          <w:szCs w:val="28"/>
        </w:rPr>
        <w:t xml:space="preserve">, </w:t>
      </w:r>
      <w:r w:rsidR="00286780" w:rsidRPr="004A0CF0">
        <w:rPr>
          <w:sz w:val="28"/>
          <w:szCs w:val="28"/>
          <w:lang w:val="en-US"/>
        </w:rPr>
        <w:t>III</w:t>
      </w:r>
      <w:r w:rsidR="00286780" w:rsidRPr="004A0CF0">
        <w:rPr>
          <w:sz w:val="28"/>
          <w:szCs w:val="28"/>
        </w:rPr>
        <w:t xml:space="preserve">, </w:t>
      </w:r>
      <w:r w:rsidR="00286780" w:rsidRPr="004A0CF0">
        <w:rPr>
          <w:sz w:val="28"/>
          <w:szCs w:val="28"/>
          <w:lang w:val="en-US"/>
        </w:rPr>
        <w:t>IV</w:t>
      </w:r>
      <w:r w:rsidR="00286780">
        <w:rPr>
          <w:sz w:val="28"/>
          <w:szCs w:val="28"/>
        </w:rPr>
        <w:t xml:space="preserve"> стадии</w:t>
      </w:r>
      <w:r w:rsidR="00286780" w:rsidRPr="004A0CF0">
        <w:rPr>
          <w:sz w:val="28"/>
          <w:szCs w:val="28"/>
        </w:rPr>
        <w:t>); дыхательная недостаточность классифицирована по А.Г.Дембо, Л.Д. Шик, 1964 г. (</w:t>
      </w:r>
      <w:r w:rsidR="00286780" w:rsidRPr="004A0CF0">
        <w:rPr>
          <w:sz w:val="28"/>
          <w:szCs w:val="28"/>
          <w:lang w:val="en-US"/>
        </w:rPr>
        <w:t>I</w:t>
      </w:r>
      <w:r w:rsidR="00286780" w:rsidRPr="004A0CF0">
        <w:rPr>
          <w:sz w:val="28"/>
          <w:szCs w:val="28"/>
        </w:rPr>
        <w:t xml:space="preserve">, </w:t>
      </w:r>
      <w:r w:rsidR="00286780" w:rsidRPr="004A0CF0">
        <w:rPr>
          <w:sz w:val="28"/>
          <w:szCs w:val="28"/>
          <w:lang w:val="en-US"/>
        </w:rPr>
        <w:t>II</w:t>
      </w:r>
      <w:r w:rsidR="00286780" w:rsidRPr="004A0CF0">
        <w:rPr>
          <w:sz w:val="28"/>
          <w:szCs w:val="28"/>
        </w:rPr>
        <w:t xml:space="preserve">, </w:t>
      </w:r>
      <w:r w:rsidR="00286780" w:rsidRPr="004A0CF0">
        <w:rPr>
          <w:sz w:val="28"/>
          <w:szCs w:val="28"/>
          <w:lang w:val="en-US"/>
        </w:rPr>
        <w:t>III</w:t>
      </w:r>
      <w:r w:rsidR="00286780" w:rsidRPr="004A0CF0">
        <w:rPr>
          <w:sz w:val="28"/>
          <w:szCs w:val="28"/>
        </w:rPr>
        <w:t xml:space="preserve"> степен</w:t>
      </w:r>
      <w:r w:rsidR="00286780">
        <w:rPr>
          <w:sz w:val="28"/>
          <w:szCs w:val="28"/>
        </w:rPr>
        <w:t>и</w:t>
      </w:r>
      <w:r w:rsidR="00286780" w:rsidRPr="004A0CF0">
        <w:rPr>
          <w:sz w:val="28"/>
          <w:szCs w:val="28"/>
        </w:rPr>
        <w:t>).</w:t>
      </w:r>
      <w:r w:rsidR="00286780">
        <w:rPr>
          <w:sz w:val="28"/>
          <w:szCs w:val="28"/>
        </w:rPr>
        <w:t xml:space="preserve"> </w:t>
      </w:r>
      <w:r>
        <w:rPr>
          <w:sz w:val="28"/>
          <w:szCs w:val="28"/>
        </w:rPr>
        <w:t>Подгруппа</w:t>
      </w:r>
      <w:r w:rsidR="00286780" w:rsidRPr="004A0CF0">
        <w:rPr>
          <w:sz w:val="28"/>
          <w:szCs w:val="28"/>
        </w:rPr>
        <w:t xml:space="preserve"> больных с МФОИ и заболеваниями эндокринной системы (15 пациентов) </w:t>
      </w:r>
      <w:r w:rsidR="00286780">
        <w:rPr>
          <w:sz w:val="28"/>
          <w:szCs w:val="28"/>
        </w:rPr>
        <w:t>также</w:t>
      </w:r>
      <w:r w:rsidR="00286780" w:rsidRPr="004A0CF0">
        <w:rPr>
          <w:sz w:val="28"/>
          <w:szCs w:val="28"/>
        </w:rPr>
        <w:t xml:space="preserve"> дополнена </w:t>
      </w:r>
      <w:r w:rsidR="00286780">
        <w:rPr>
          <w:sz w:val="28"/>
          <w:szCs w:val="28"/>
        </w:rPr>
        <w:t>больными</w:t>
      </w:r>
      <w:r w:rsidR="00286780" w:rsidRPr="004A0CF0">
        <w:rPr>
          <w:sz w:val="28"/>
          <w:szCs w:val="28"/>
        </w:rPr>
        <w:t xml:space="preserve"> Курской областной клиниче</w:t>
      </w:r>
      <w:r w:rsidR="00286780">
        <w:rPr>
          <w:sz w:val="28"/>
          <w:szCs w:val="28"/>
        </w:rPr>
        <w:t>ской больницы (</w:t>
      </w:r>
      <w:r w:rsidR="00286780" w:rsidRPr="004A0CF0">
        <w:rPr>
          <w:sz w:val="28"/>
          <w:szCs w:val="28"/>
        </w:rPr>
        <w:t>2016–2017 гг.</w:t>
      </w:r>
      <w:r w:rsidR="00286780">
        <w:rPr>
          <w:sz w:val="28"/>
          <w:szCs w:val="28"/>
        </w:rPr>
        <w:t xml:space="preserve">, </w:t>
      </w:r>
      <w:r w:rsidR="00286780" w:rsidRPr="004A0CF0">
        <w:rPr>
          <w:sz w:val="28"/>
          <w:szCs w:val="28"/>
        </w:rPr>
        <w:t xml:space="preserve">14 пациентов). </w:t>
      </w:r>
      <w:r w:rsidR="00286780">
        <w:rPr>
          <w:sz w:val="28"/>
          <w:szCs w:val="28"/>
        </w:rPr>
        <w:t>Дополнительно о</w:t>
      </w:r>
      <w:r w:rsidR="00286780" w:rsidRPr="004A0CF0">
        <w:rPr>
          <w:sz w:val="28"/>
          <w:szCs w:val="28"/>
        </w:rPr>
        <w:t xml:space="preserve">бследовано 16 пациентов отделения челюстно-лицевой хирургии № 2 Воронежской областной клинической больницы с диагностированной </w:t>
      </w:r>
      <w:r w:rsidR="00286780">
        <w:rPr>
          <w:sz w:val="28"/>
          <w:szCs w:val="28"/>
        </w:rPr>
        <w:t xml:space="preserve">МФОИ </w:t>
      </w:r>
      <w:r w:rsidR="00286780" w:rsidRPr="004A0CF0">
        <w:rPr>
          <w:sz w:val="28"/>
          <w:szCs w:val="28"/>
        </w:rPr>
        <w:t xml:space="preserve">и сахарным диабетом (2013 г.). </w:t>
      </w:r>
      <w:r w:rsidR="00286780">
        <w:rPr>
          <w:sz w:val="28"/>
          <w:szCs w:val="28"/>
        </w:rPr>
        <w:t>Подгруппа</w:t>
      </w:r>
      <w:r w:rsidR="00286780" w:rsidRPr="004A0CF0">
        <w:rPr>
          <w:sz w:val="28"/>
          <w:szCs w:val="28"/>
        </w:rPr>
        <w:t xml:space="preserve"> пациентов с МФОИ и заболеваниям</w:t>
      </w:r>
      <w:r>
        <w:rPr>
          <w:sz w:val="28"/>
          <w:szCs w:val="28"/>
        </w:rPr>
        <w:t>и эндокринной системы (</w:t>
      </w:r>
      <w:r w:rsidR="0071737E">
        <w:rPr>
          <w:sz w:val="28"/>
          <w:szCs w:val="28"/>
        </w:rPr>
        <w:t>под</w:t>
      </w:r>
      <w:r w:rsidR="00286780" w:rsidRPr="004A0CF0">
        <w:rPr>
          <w:sz w:val="28"/>
          <w:szCs w:val="28"/>
        </w:rPr>
        <w:t>группа № 3) включает 45 больных. Сахарный диабет диагностирован и классифицирован в соответствии с рекомендациями ВОЗ (1999 г.).</w:t>
      </w:r>
      <w:r w:rsidR="00286780">
        <w:rPr>
          <w:sz w:val="28"/>
          <w:szCs w:val="28"/>
        </w:rPr>
        <w:t xml:space="preserve"> </w:t>
      </w:r>
      <w:r w:rsidR="0071737E">
        <w:rPr>
          <w:sz w:val="28"/>
          <w:szCs w:val="28"/>
        </w:rPr>
        <w:t>Подгруппу</w:t>
      </w:r>
      <w:r w:rsidR="00286780" w:rsidRPr="004A0CF0">
        <w:rPr>
          <w:sz w:val="28"/>
          <w:szCs w:val="28"/>
        </w:rPr>
        <w:t xml:space="preserve"> пациентов с МФОИ и хроническими заболеваниями пищеварительной, мочевыделительной систем и печени, дополнить до статистически значимых размеров выборки для использования параметрических инструментов обработки данных не удалось, выполнена их описательная характеристика и оценка в общей структуре хронической патологии.</w:t>
      </w:r>
      <w:r w:rsidR="003040FC">
        <w:rPr>
          <w:sz w:val="28"/>
          <w:szCs w:val="28"/>
        </w:rPr>
        <w:t xml:space="preserve"> </w:t>
      </w:r>
      <w:r w:rsidR="00286780" w:rsidRPr="004A0CF0">
        <w:rPr>
          <w:sz w:val="28"/>
          <w:szCs w:val="28"/>
        </w:rPr>
        <w:t>Детализированная характери</w:t>
      </w:r>
      <w:r w:rsidR="00286780" w:rsidRPr="004A0CF0">
        <w:rPr>
          <w:sz w:val="28"/>
          <w:szCs w:val="28"/>
        </w:rPr>
        <w:lastRenderedPageBreak/>
        <w:t xml:space="preserve">стика </w:t>
      </w:r>
      <w:r w:rsidR="00286780">
        <w:rPr>
          <w:sz w:val="28"/>
          <w:szCs w:val="28"/>
        </w:rPr>
        <w:t>под</w:t>
      </w:r>
      <w:r w:rsidR="00286780" w:rsidRPr="004A0CF0">
        <w:rPr>
          <w:sz w:val="28"/>
          <w:szCs w:val="28"/>
        </w:rPr>
        <w:t xml:space="preserve">групп № 1-3, а </w:t>
      </w:r>
      <w:r w:rsidR="00286780">
        <w:rPr>
          <w:sz w:val="28"/>
          <w:szCs w:val="28"/>
        </w:rPr>
        <w:t>также</w:t>
      </w:r>
      <w:r w:rsidR="00DF3401">
        <w:rPr>
          <w:sz w:val="28"/>
          <w:szCs w:val="28"/>
        </w:rPr>
        <w:t xml:space="preserve"> </w:t>
      </w:r>
      <w:r w:rsidR="00286780">
        <w:rPr>
          <w:sz w:val="28"/>
          <w:szCs w:val="28"/>
        </w:rPr>
        <w:t>под</w:t>
      </w:r>
      <w:r w:rsidR="00286780" w:rsidRPr="004A0CF0">
        <w:rPr>
          <w:sz w:val="28"/>
          <w:szCs w:val="28"/>
        </w:rPr>
        <w:t>группы пациентов с хроническими заболеваниями пищеварительной, мочевыделительной систем и печени, представлена в соответствующих разделах диссертационного исследования.</w:t>
      </w:r>
    </w:p>
    <w:p w:rsidR="00286780" w:rsidRPr="004A0CF0" w:rsidRDefault="00114E1B" w:rsidP="006A6148">
      <w:pPr>
        <w:spacing w:line="360" w:lineRule="auto"/>
        <w:ind w:firstLine="709"/>
        <w:jc w:val="both"/>
        <w:rPr>
          <w:sz w:val="28"/>
          <w:szCs w:val="28"/>
        </w:rPr>
      </w:pPr>
      <w:r>
        <w:rPr>
          <w:sz w:val="28"/>
          <w:szCs w:val="28"/>
        </w:rPr>
        <w:t>Следует отметить, что сравнительная характеристика признаков исследуемых подгрупп пациентов с МФОИ и той или иной формой хронической патологии (ХП) внутренних органов выполнялясь с использовани</w:t>
      </w:r>
      <w:r w:rsidR="003040FC">
        <w:rPr>
          <w:sz w:val="28"/>
          <w:szCs w:val="28"/>
        </w:rPr>
        <w:t>ем следующих принципов (для первого блока</w:t>
      </w:r>
      <w:r>
        <w:rPr>
          <w:sz w:val="28"/>
          <w:szCs w:val="28"/>
        </w:rPr>
        <w:t xml:space="preserve"> исследований): пациенты с МФОИ и ХП сравнивались не с относительно здоровыми людьми, а с пациентами с ХП (например, с сахарным диабетом) без МФОИ, так как важно было понять, как развитие МФОИ влияет на пациентов с ХП, существующей изначально; для оценки </w:t>
      </w:r>
      <w:r w:rsidR="003040FC">
        <w:rPr>
          <w:sz w:val="28"/>
          <w:szCs w:val="28"/>
        </w:rPr>
        <w:t xml:space="preserve">принципиальных </w:t>
      </w:r>
      <w:r>
        <w:rPr>
          <w:sz w:val="28"/>
          <w:szCs w:val="28"/>
        </w:rPr>
        <w:t xml:space="preserve">различий выполнялось сравнение </w:t>
      </w:r>
      <w:r w:rsidR="003040FC">
        <w:rPr>
          <w:sz w:val="28"/>
          <w:szCs w:val="28"/>
        </w:rPr>
        <w:t xml:space="preserve">показателей </w:t>
      </w:r>
      <w:r>
        <w:rPr>
          <w:sz w:val="28"/>
          <w:szCs w:val="28"/>
        </w:rPr>
        <w:t xml:space="preserve">пациентов с МФОИ и ХП с </w:t>
      </w:r>
      <w:r w:rsidR="003040FC">
        <w:rPr>
          <w:sz w:val="28"/>
          <w:szCs w:val="28"/>
        </w:rPr>
        <w:t>показателями пациентов</w:t>
      </w:r>
      <w:r>
        <w:rPr>
          <w:sz w:val="28"/>
          <w:szCs w:val="28"/>
        </w:rPr>
        <w:t xml:space="preserve"> с МФОИ без ХП;</w:t>
      </w:r>
      <w:r w:rsidR="003040FC">
        <w:rPr>
          <w:sz w:val="28"/>
          <w:szCs w:val="28"/>
        </w:rPr>
        <w:t xml:space="preserve"> сравнение с относительно здоровыми индивидами осуществлялось только в случае оценки иммунологических параметров (исключение)</w:t>
      </w:r>
      <w:r w:rsidR="00286780" w:rsidRPr="004A0CF0">
        <w:rPr>
          <w:sz w:val="28"/>
          <w:szCs w:val="28"/>
        </w:rPr>
        <w:t>.</w:t>
      </w:r>
      <w:r w:rsidR="003040FC">
        <w:rPr>
          <w:sz w:val="28"/>
          <w:szCs w:val="28"/>
        </w:rPr>
        <w:t xml:space="preserve"> </w:t>
      </w:r>
      <w:r w:rsidR="00286780" w:rsidRPr="004A0CF0">
        <w:rPr>
          <w:sz w:val="28"/>
          <w:szCs w:val="28"/>
        </w:rPr>
        <w:t xml:space="preserve">Для оценки состояния гомеостаза и сравнительной характеристики отдельных подгрупп, сформированы контрольные </w:t>
      </w:r>
      <w:r w:rsidR="00286780">
        <w:rPr>
          <w:sz w:val="28"/>
          <w:szCs w:val="28"/>
        </w:rPr>
        <w:t>под</w:t>
      </w:r>
      <w:r w:rsidR="00286780" w:rsidRPr="004A0CF0">
        <w:rPr>
          <w:sz w:val="28"/>
          <w:szCs w:val="28"/>
        </w:rPr>
        <w:t>группы пациентов с заболеваниями сердечно-сосудистой, дыхательной, эндокринной систем по материалам профильных отделений (отделения плановой кардиологии, пульмонологии, эндокринологии Курской областной клинической больницы, данные Курс</w:t>
      </w:r>
      <w:r w:rsidR="006A6148">
        <w:rPr>
          <w:sz w:val="28"/>
          <w:szCs w:val="28"/>
        </w:rPr>
        <w:t xml:space="preserve">кой городской поликлиники № 1). </w:t>
      </w:r>
      <w:r w:rsidR="00286780" w:rsidRPr="004A0CF0">
        <w:rPr>
          <w:sz w:val="28"/>
          <w:szCs w:val="28"/>
        </w:rPr>
        <w:t xml:space="preserve">Контрольная </w:t>
      </w:r>
      <w:r w:rsidR="00286780">
        <w:rPr>
          <w:sz w:val="28"/>
          <w:szCs w:val="28"/>
        </w:rPr>
        <w:t>под</w:t>
      </w:r>
      <w:r w:rsidR="00286780" w:rsidRPr="004A0CF0">
        <w:rPr>
          <w:sz w:val="28"/>
          <w:szCs w:val="28"/>
        </w:rPr>
        <w:t>гр</w:t>
      </w:r>
      <w:r w:rsidR="00B7239E">
        <w:rPr>
          <w:sz w:val="28"/>
          <w:szCs w:val="28"/>
        </w:rPr>
        <w:t>уппа</w:t>
      </w:r>
      <w:r w:rsidR="00286780" w:rsidRPr="004A0CF0">
        <w:rPr>
          <w:sz w:val="28"/>
          <w:szCs w:val="28"/>
        </w:rPr>
        <w:t xml:space="preserve"> № 1 (32 пациента) с </w:t>
      </w:r>
      <w:r w:rsidR="00286780">
        <w:rPr>
          <w:sz w:val="28"/>
          <w:szCs w:val="28"/>
        </w:rPr>
        <w:t>ХП</w:t>
      </w:r>
      <w:r w:rsidR="00286780" w:rsidRPr="004A0CF0">
        <w:rPr>
          <w:sz w:val="28"/>
          <w:szCs w:val="28"/>
        </w:rPr>
        <w:t xml:space="preserve"> сердечно-сосудистой системы (артериальная гипертония и/</w:t>
      </w:r>
      <w:r w:rsidR="00286780">
        <w:rPr>
          <w:sz w:val="28"/>
          <w:szCs w:val="28"/>
        </w:rPr>
        <w:t>или ИБС</w:t>
      </w:r>
      <w:r w:rsidR="00286780" w:rsidRPr="004A0CF0">
        <w:rPr>
          <w:sz w:val="28"/>
          <w:szCs w:val="28"/>
        </w:rPr>
        <w:t>) сформирована по материалам отделения плановой кардиологии Курской областной</w:t>
      </w:r>
      <w:r w:rsidR="00286780">
        <w:rPr>
          <w:sz w:val="28"/>
          <w:szCs w:val="28"/>
        </w:rPr>
        <w:t xml:space="preserve"> клинической больницы (Таблица 5</w:t>
      </w:r>
      <w:r w:rsidR="00286780" w:rsidRPr="004A0CF0">
        <w:rPr>
          <w:sz w:val="28"/>
          <w:szCs w:val="28"/>
        </w:rPr>
        <w:t xml:space="preserve">, 2018 г.). </w:t>
      </w:r>
    </w:p>
    <w:p w:rsidR="00286780" w:rsidRPr="000F335B" w:rsidRDefault="00286780" w:rsidP="00BD2F93">
      <w:pPr>
        <w:jc w:val="both"/>
        <w:rPr>
          <w:sz w:val="24"/>
          <w:szCs w:val="24"/>
          <w:lang w:eastAsia="en-US"/>
        </w:rPr>
      </w:pPr>
    </w:p>
    <w:p w:rsidR="00286780" w:rsidRPr="004A0CF0" w:rsidRDefault="00286780" w:rsidP="00BD2F93">
      <w:pPr>
        <w:spacing w:after="120"/>
        <w:jc w:val="both"/>
        <w:rPr>
          <w:sz w:val="28"/>
          <w:szCs w:val="28"/>
        </w:rPr>
      </w:pPr>
      <w:r w:rsidRPr="004A0CF0">
        <w:rPr>
          <w:b/>
          <w:sz w:val="28"/>
          <w:szCs w:val="28"/>
        </w:rPr>
        <w:t xml:space="preserve">Таблица </w:t>
      </w:r>
      <w:r>
        <w:rPr>
          <w:b/>
          <w:sz w:val="28"/>
          <w:szCs w:val="28"/>
        </w:rPr>
        <w:t>5</w:t>
      </w:r>
      <w:r w:rsidRPr="004A0CF0">
        <w:rPr>
          <w:sz w:val="28"/>
          <w:szCs w:val="28"/>
        </w:rPr>
        <w:t xml:space="preserve"> – Нозологические формы заболеваний сердечно-сосудистой системы пациентов контрольной </w:t>
      </w:r>
      <w:r w:rsidR="00DF3401">
        <w:rPr>
          <w:sz w:val="28"/>
          <w:szCs w:val="28"/>
        </w:rPr>
        <w:t>под</w:t>
      </w:r>
      <w:r w:rsidRPr="004A0CF0">
        <w:rPr>
          <w:sz w:val="28"/>
          <w:szCs w:val="28"/>
        </w:rPr>
        <w:t>группы № 1</w:t>
      </w:r>
    </w:p>
    <w:tbl>
      <w:tblPr>
        <w:tblW w:w="9923" w:type="dxa"/>
        <w:tblLayout w:type="fixed"/>
        <w:tblLook w:val="0000" w:firstRow="0" w:lastRow="0" w:firstColumn="0" w:lastColumn="0" w:noHBand="0" w:noVBand="0"/>
      </w:tblPr>
      <w:tblGrid>
        <w:gridCol w:w="5778"/>
        <w:gridCol w:w="2410"/>
        <w:gridCol w:w="1735"/>
      </w:tblGrid>
      <w:tr w:rsidR="00286780" w:rsidRPr="004A0CF0" w:rsidTr="000F335B">
        <w:trPr>
          <w:trHeight w:val="227"/>
        </w:trPr>
        <w:tc>
          <w:tcPr>
            <w:tcW w:w="5778" w:type="dxa"/>
            <w:vMerge w:val="restart"/>
            <w:tcBorders>
              <w:top w:val="single" w:sz="4" w:space="0" w:color="000000"/>
              <w:left w:val="single" w:sz="4" w:space="0" w:color="000000"/>
              <w:bottom w:val="single" w:sz="4" w:space="0" w:color="000000"/>
            </w:tcBorders>
            <w:vAlign w:val="center"/>
          </w:tcPr>
          <w:p w:rsidR="00286780" w:rsidRPr="004A0CF0" w:rsidRDefault="00286780" w:rsidP="00FA7C6C">
            <w:pPr>
              <w:snapToGrid w:val="0"/>
              <w:jc w:val="center"/>
              <w:rPr>
                <w:i/>
                <w:sz w:val="24"/>
                <w:szCs w:val="24"/>
              </w:rPr>
            </w:pPr>
            <w:r w:rsidRPr="004A0CF0">
              <w:rPr>
                <w:i/>
                <w:sz w:val="24"/>
                <w:szCs w:val="24"/>
              </w:rPr>
              <w:t>Заболевание</w:t>
            </w:r>
          </w:p>
        </w:tc>
        <w:tc>
          <w:tcPr>
            <w:tcW w:w="4145" w:type="dxa"/>
            <w:gridSpan w:val="2"/>
            <w:tcBorders>
              <w:top w:val="single" w:sz="4" w:space="0" w:color="000000"/>
              <w:left w:val="single" w:sz="4" w:space="0" w:color="000000"/>
              <w:bottom w:val="single" w:sz="4" w:space="0" w:color="000000"/>
              <w:right w:val="single" w:sz="4" w:space="0" w:color="000000"/>
            </w:tcBorders>
            <w:vAlign w:val="center"/>
          </w:tcPr>
          <w:p w:rsidR="00286780" w:rsidRPr="004A0CF0" w:rsidRDefault="00286780" w:rsidP="00FA7C6C">
            <w:pPr>
              <w:snapToGrid w:val="0"/>
              <w:jc w:val="center"/>
              <w:rPr>
                <w:i/>
                <w:sz w:val="24"/>
                <w:szCs w:val="24"/>
              </w:rPr>
            </w:pPr>
            <w:r w:rsidRPr="004A0CF0">
              <w:rPr>
                <w:i/>
                <w:sz w:val="24"/>
                <w:szCs w:val="24"/>
              </w:rPr>
              <w:t>Количество пациентов</w:t>
            </w:r>
          </w:p>
        </w:tc>
      </w:tr>
      <w:tr w:rsidR="00286780" w:rsidRPr="004A0CF0" w:rsidTr="000F335B">
        <w:trPr>
          <w:trHeight w:val="227"/>
        </w:trPr>
        <w:tc>
          <w:tcPr>
            <w:tcW w:w="5778" w:type="dxa"/>
            <w:vMerge/>
            <w:tcBorders>
              <w:top w:val="single" w:sz="4" w:space="0" w:color="000000"/>
              <w:left w:val="single" w:sz="4" w:space="0" w:color="000000"/>
              <w:bottom w:val="single" w:sz="4" w:space="0" w:color="000000"/>
            </w:tcBorders>
          </w:tcPr>
          <w:p w:rsidR="00286780" w:rsidRPr="004A0CF0" w:rsidRDefault="00286780" w:rsidP="00FA7C6C">
            <w:pPr>
              <w:snapToGrid w:val="0"/>
              <w:jc w:val="center"/>
              <w:rPr>
                <w:sz w:val="24"/>
                <w:szCs w:val="24"/>
              </w:rPr>
            </w:pPr>
          </w:p>
        </w:tc>
        <w:tc>
          <w:tcPr>
            <w:tcW w:w="2410" w:type="dxa"/>
            <w:tcBorders>
              <w:top w:val="single" w:sz="4" w:space="0" w:color="000000"/>
              <w:left w:val="single" w:sz="4" w:space="0" w:color="000000"/>
              <w:bottom w:val="single" w:sz="4" w:space="0" w:color="000000"/>
            </w:tcBorders>
            <w:vAlign w:val="center"/>
          </w:tcPr>
          <w:p w:rsidR="00286780" w:rsidRPr="004A0CF0" w:rsidRDefault="00DF3401" w:rsidP="00FA7C6C">
            <w:pPr>
              <w:snapToGrid w:val="0"/>
              <w:jc w:val="center"/>
              <w:rPr>
                <w:sz w:val="24"/>
                <w:szCs w:val="24"/>
              </w:rPr>
            </w:pPr>
            <w:r w:rsidRPr="004A0CF0">
              <w:rPr>
                <w:sz w:val="24"/>
                <w:szCs w:val="24"/>
              </w:rPr>
              <w:t>А</w:t>
            </w:r>
            <w:r w:rsidR="00286780" w:rsidRPr="004A0CF0">
              <w:rPr>
                <w:sz w:val="24"/>
                <w:szCs w:val="24"/>
              </w:rPr>
              <w:t>бсолютное</w:t>
            </w:r>
          </w:p>
          <w:p w:rsidR="00286780" w:rsidRPr="004A0CF0" w:rsidRDefault="00286780" w:rsidP="00FA7C6C">
            <w:pPr>
              <w:jc w:val="center"/>
              <w:rPr>
                <w:sz w:val="24"/>
                <w:szCs w:val="24"/>
              </w:rPr>
            </w:pPr>
            <w:r w:rsidRPr="004A0CF0">
              <w:rPr>
                <w:sz w:val="24"/>
                <w:szCs w:val="24"/>
              </w:rPr>
              <w:t>значение</w:t>
            </w:r>
          </w:p>
        </w:tc>
        <w:tc>
          <w:tcPr>
            <w:tcW w:w="1735" w:type="dxa"/>
            <w:tcBorders>
              <w:top w:val="single" w:sz="4" w:space="0" w:color="000000"/>
              <w:left w:val="single" w:sz="4" w:space="0" w:color="000000"/>
              <w:bottom w:val="single" w:sz="4" w:space="0" w:color="000000"/>
              <w:right w:val="single" w:sz="4" w:space="0" w:color="000000"/>
            </w:tcBorders>
            <w:vAlign w:val="center"/>
          </w:tcPr>
          <w:p w:rsidR="00286780" w:rsidRPr="004A0CF0" w:rsidRDefault="00286780" w:rsidP="00FA7C6C">
            <w:pPr>
              <w:snapToGrid w:val="0"/>
              <w:jc w:val="center"/>
              <w:rPr>
                <w:sz w:val="24"/>
                <w:szCs w:val="24"/>
              </w:rPr>
            </w:pPr>
            <w:r w:rsidRPr="004A0CF0">
              <w:rPr>
                <w:sz w:val="24"/>
                <w:szCs w:val="24"/>
              </w:rPr>
              <w:t>%</w:t>
            </w:r>
          </w:p>
        </w:tc>
      </w:tr>
      <w:tr w:rsidR="00286780" w:rsidRPr="004A0CF0" w:rsidTr="000F335B">
        <w:trPr>
          <w:trHeight w:val="338"/>
        </w:trPr>
        <w:tc>
          <w:tcPr>
            <w:tcW w:w="5778" w:type="dxa"/>
            <w:tcBorders>
              <w:top w:val="single" w:sz="4" w:space="0" w:color="000000"/>
              <w:left w:val="single" w:sz="4" w:space="0" w:color="000000"/>
              <w:bottom w:val="single" w:sz="4" w:space="0" w:color="000000"/>
            </w:tcBorders>
            <w:vAlign w:val="center"/>
          </w:tcPr>
          <w:p w:rsidR="00286780" w:rsidRPr="004A0CF0" w:rsidRDefault="00286780" w:rsidP="00FA7C6C">
            <w:pPr>
              <w:snapToGrid w:val="0"/>
              <w:rPr>
                <w:sz w:val="24"/>
                <w:szCs w:val="24"/>
              </w:rPr>
            </w:pPr>
            <w:r w:rsidRPr="00BA4C61">
              <w:rPr>
                <w:sz w:val="24"/>
                <w:szCs w:val="24"/>
              </w:rPr>
              <w:t>Гипертоническая болезнь</w:t>
            </w:r>
          </w:p>
        </w:tc>
        <w:tc>
          <w:tcPr>
            <w:tcW w:w="2410" w:type="dxa"/>
            <w:tcBorders>
              <w:top w:val="single" w:sz="4" w:space="0" w:color="000000"/>
              <w:left w:val="single" w:sz="4" w:space="0" w:color="000000"/>
              <w:bottom w:val="single" w:sz="4" w:space="0" w:color="000000"/>
            </w:tcBorders>
            <w:vAlign w:val="center"/>
          </w:tcPr>
          <w:p w:rsidR="00286780" w:rsidRPr="004A0CF0" w:rsidRDefault="00286780" w:rsidP="00FA7C6C">
            <w:pPr>
              <w:snapToGrid w:val="0"/>
              <w:jc w:val="center"/>
              <w:rPr>
                <w:sz w:val="24"/>
                <w:szCs w:val="24"/>
              </w:rPr>
            </w:pPr>
            <w:r w:rsidRPr="004A0CF0">
              <w:rPr>
                <w:sz w:val="24"/>
                <w:szCs w:val="24"/>
              </w:rPr>
              <w:t>22</w:t>
            </w:r>
          </w:p>
        </w:tc>
        <w:tc>
          <w:tcPr>
            <w:tcW w:w="1735" w:type="dxa"/>
            <w:tcBorders>
              <w:top w:val="single" w:sz="4" w:space="0" w:color="000000"/>
              <w:left w:val="single" w:sz="4" w:space="0" w:color="000000"/>
              <w:bottom w:val="single" w:sz="4" w:space="0" w:color="000000"/>
              <w:right w:val="single" w:sz="4" w:space="0" w:color="000000"/>
            </w:tcBorders>
            <w:vAlign w:val="center"/>
          </w:tcPr>
          <w:p w:rsidR="00286780" w:rsidRPr="004A0CF0" w:rsidRDefault="00286780" w:rsidP="00FA7C6C">
            <w:pPr>
              <w:snapToGrid w:val="0"/>
              <w:jc w:val="center"/>
              <w:rPr>
                <w:sz w:val="24"/>
                <w:szCs w:val="24"/>
              </w:rPr>
            </w:pPr>
            <w:r w:rsidRPr="004A0CF0">
              <w:rPr>
                <w:sz w:val="24"/>
                <w:szCs w:val="24"/>
              </w:rPr>
              <w:t>68,8</w:t>
            </w:r>
          </w:p>
        </w:tc>
      </w:tr>
      <w:tr w:rsidR="00286780" w:rsidRPr="004A0CF0" w:rsidTr="000F335B">
        <w:trPr>
          <w:trHeight w:val="413"/>
        </w:trPr>
        <w:tc>
          <w:tcPr>
            <w:tcW w:w="5778" w:type="dxa"/>
            <w:tcBorders>
              <w:top w:val="single" w:sz="4" w:space="0" w:color="000000"/>
              <w:left w:val="single" w:sz="4" w:space="0" w:color="000000"/>
              <w:bottom w:val="single" w:sz="4" w:space="0" w:color="000000"/>
            </w:tcBorders>
            <w:vAlign w:val="center"/>
          </w:tcPr>
          <w:p w:rsidR="00286780" w:rsidRPr="004A0CF0" w:rsidRDefault="00286780" w:rsidP="00FA7C6C">
            <w:pPr>
              <w:snapToGrid w:val="0"/>
              <w:rPr>
                <w:sz w:val="24"/>
                <w:szCs w:val="24"/>
              </w:rPr>
            </w:pPr>
            <w:r w:rsidRPr="004A0CF0">
              <w:rPr>
                <w:sz w:val="24"/>
                <w:szCs w:val="24"/>
              </w:rPr>
              <w:t>Ишемическая болезнь сердца</w:t>
            </w:r>
          </w:p>
        </w:tc>
        <w:tc>
          <w:tcPr>
            <w:tcW w:w="2410" w:type="dxa"/>
            <w:tcBorders>
              <w:top w:val="single" w:sz="4" w:space="0" w:color="000000"/>
              <w:left w:val="single" w:sz="4" w:space="0" w:color="000000"/>
              <w:bottom w:val="single" w:sz="4" w:space="0" w:color="000000"/>
            </w:tcBorders>
            <w:vAlign w:val="center"/>
          </w:tcPr>
          <w:p w:rsidR="00286780" w:rsidRPr="004A0CF0" w:rsidRDefault="00286780" w:rsidP="00FA7C6C">
            <w:pPr>
              <w:snapToGrid w:val="0"/>
              <w:jc w:val="center"/>
              <w:rPr>
                <w:sz w:val="24"/>
                <w:szCs w:val="24"/>
              </w:rPr>
            </w:pPr>
            <w:r w:rsidRPr="004A0CF0">
              <w:rPr>
                <w:sz w:val="24"/>
                <w:szCs w:val="24"/>
              </w:rPr>
              <w:t>1</w:t>
            </w:r>
          </w:p>
        </w:tc>
        <w:tc>
          <w:tcPr>
            <w:tcW w:w="1735" w:type="dxa"/>
            <w:tcBorders>
              <w:top w:val="single" w:sz="4" w:space="0" w:color="000000"/>
              <w:left w:val="single" w:sz="4" w:space="0" w:color="000000"/>
              <w:bottom w:val="single" w:sz="4" w:space="0" w:color="000000"/>
              <w:right w:val="single" w:sz="4" w:space="0" w:color="000000"/>
            </w:tcBorders>
            <w:vAlign w:val="center"/>
          </w:tcPr>
          <w:p w:rsidR="00286780" w:rsidRPr="004A0CF0" w:rsidRDefault="00286780" w:rsidP="00FA7C6C">
            <w:pPr>
              <w:snapToGrid w:val="0"/>
              <w:jc w:val="center"/>
              <w:rPr>
                <w:sz w:val="24"/>
                <w:szCs w:val="24"/>
              </w:rPr>
            </w:pPr>
            <w:r w:rsidRPr="004A0CF0">
              <w:rPr>
                <w:sz w:val="24"/>
                <w:szCs w:val="24"/>
              </w:rPr>
              <w:t>3,1</w:t>
            </w:r>
          </w:p>
        </w:tc>
      </w:tr>
      <w:tr w:rsidR="00286780" w:rsidRPr="004A0CF0" w:rsidTr="000F335B">
        <w:trPr>
          <w:trHeight w:val="405"/>
        </w:trPr>
        <w:tc>
          <w:tcPr>
            <w:tcW w:w="5778" w:type="dxa"/>
            <w:tcBorders>
              <w:top w:val="single" w:sz="4" w:space="0" w:color="000000"/>
              <w:left w:val="single" w:sz="4" w:space="0" w:color="000000"/>
              <w:bottom w:val="single" w:sz="4" w:space="0" w:color="000000"/>
            </w:tcBorders>
            <w:vAlign w:val="center"/>
          </w:tcPr>
          <w:p w:rsidR="00286780" w:rsidRPr="004A0CF0" w:rsidRDefault="00286780" w:rsidP="00FA7C6C">
            <w:pPr>
              <w:snapToGrid w:val="0"/>
              <w:rPr>
                <w:sz w:val="24"/>
                <w:szCs w:val="24"/>
              </w:rPr>
            </w:pPr>
            <w:r w:rsidRPr="004A0CF0">
              <w:rPr>
                <w:sz w:val="24"/>
                <w:szCs w:val="24"/>
              </w:rPr>
              <w:t>Артериальная гипертония и ишемическая болезнь сердца</w:t>
            </w:r>
          </w:p>
        </w:tc>
        <w:tc>
          <w:tcPr>
            <w:tcW w:w="2410" w:type="dxa"/>
            <w:tcBorders>
              <w:top w:val="single" w:sz="4" w:space="0" w:color="000000"/>
              <w:left w:val="single" w:sz="4" w:space="0" w:color="000000"/>
              <w:bottom w:val="single" w:sz="4" w:space="0" w:color="000000"/>
            </w:tcBorders>
            <w:vAlign w:val="center"/>
          </w:tcPr>
          <w:p w:rsidR="00286780" w:rsidRPr="004A0CF0" w:rsidRDefault="00286780" w:rsidP="00FA7C6C">
            <w:pPr>
              <w:snapToGrid w:val="0"/>
              <w:jc w:val="center"/>
              <w:rPr>
                <w:sz w:val="24"/>
                <w:szCs w:val="24"/>
              </w:rPr>
            </w:pPr>
            <w:r w:rsidRPr="004A0CF0">
              <w:rPr>
                <w:sz w:val="24"/>
                <w:szCs w:val="24"/>
              </w:rPr>
              <w:t>9</w:t>
            </w:r>
          </w:p>
        </w:tc>
        <w:tc>
          <w:tcPr>
            <w:tcW w:w="1735" w:type="dxa"/>
            <w:tcBorders>
              <w:top w:val="single" w:sz="4" w:space="0" w:color="000000"/>
              <w:left w:val="single" w:sz="4" w:space="0" w:color="000000"/>
              <w:bottom w:val="single" w:sz="4" w:space="0" w:color="000000"/>
              <w:right w:val="single" w:sz="4" w:space="0" w:color="000000"/>
            </w:tcBorders>
            <w:vAlign w:val="center"/>
          </w:tcPr>
          <w:p w:rsidR="00286780" w:rsidRPr="004A0CF0" w:rsidRDefault="00286780" w:rsidP="00FA7C6C">
            <w:pPr>
              <w:snapToGrid w:val="0"/>
              <w:jc w:val="center"/>
              <w:rPr>
                <w:sz w:val="24"/>
                <w:szCs w:val="24"/>
              </w:rPr>
            </w:pPr>
            <w:r w:rsidRPr="004A0CF0">
              <w:rPr>
                <w:sz w:val="24"/>
                <w:szCs w:val="24"/>
              </w:rPr>
              <w:t>28,1</w:t>
            </w:r>
          </w:p>
        </w:tc>
      </w:tr>
      <w:tr w:rsidR="00286780" w:rsidRPr="004A0CF0" w:rsidTr="000F335B">
        <w:trPr>
          <w:trHeight w:val="326"/>
        </w:trPr>
        <w:tc>
          <w:tcPr>
            <w:tcW w:w="5778" w:type="dxa"/>
            <w:tcBorders>
              <w:top w:val="single" w:sz="4" w:space="0" w:color="000000"/>
              <w:left w:val="single" w:sz="4" w:space="0" w:color="000000"/>
              <w:bottom w:val="single" w:sz="4" w:space="0" w:color="000000"/>
            </w:tcBorders>
            <w:vAlign w:val="center"/>
          </w:tcPr>
          <w:p w:rsidR="00286780" w:rsidRPr="004A0CF0" w:rsidRDefault="00286780" w:rsidP="00FA7C6C">
            <w:pPr>
              <w:snapToGrid w:val="0"/>
              <w:rPr>
                <w:sz w:val="24"/>
                <w:szCs w:val="24"/>
              </w:rPr>
            </w:pPr>
            <w:r>
              <w:rPr>
                <w:sz w:val="24"/>
                <w:szCs w:val="24"/>
              </w:rPr>
              <w:t>Всего</w:t>
            </w:r>
          </w:p>
        </w:tc>
        <w:tc>
          <w:tcPr>
            <w:tcW w:w="2410" w:type="dxa"/>
            <w:tcBorders>
              <w:top w:val="single" w:sz="4" w:space="0" w:color="000000"/>
              <w:left w:val="single" w:sz="4" w:space="0" w:color="000000"/>
              <w:bottom w:val="single" w:sz="4" w:space="0" w:color="000000"/>
            </w:tcBorders>
            <w:vAlign w:val="center"/>
          </w:tcPr>
          <w:p w:rsidR="00286780" w:rsidRPr="004A0CF0" w:rsidRDefault="00286780" w:rsidP="00FA7C6C">
            <w:pPr>
              <w:snapToGrid w:val="0"/>
              <w:jc w:val="center"/>
              <w:rPr>
                <w:sz w:val="24"/>
                <w:szCs w:val="24"/>
              </w:rPr>
            </w:pPr>
            <w:r w:rsidRPr="004A0CF0">
              <w:rPr>
                <w:sz w:val="24"/>
                <w:szCs w:val="24"/>
              </w:rPr>
              <w:t>32</w:t>
            </w:r>
          </w:p>
        </w:tc>
        <w:tc>
          <w:tcPr>
            <w:tcW w:w="1735" w:type="dxa"/>
            <w:tcBorders>
              <w:top w:val="single" w:sz="4" w:space="0" w:color="000000"/>
              <w:left w:val="single" w:sz="4" w:space="0" w:color="000000"/>
              <w:bottom w:val="single" w:sz="4" w:space="0" w:color="000000"/>
              <w:right w:val="single" w:sz="4" w:space="0" w:color="000000"/>
            </w:tcBorders>
            <w:vAlign w:val="center"/>
          </w:tcPr>
          <w:p w:rsidR="00286780" w:rsidRPr="004A0CF0" w:rsidRDefault="00286780" w:rsidP="00FA7C6C">
            <w:pPr>
              <w:snapToGrid w:val="0"/>
              <w:jc w:val="center"/>
              <w:rPr>
                <w:sz w:val="24"/>
                <w:szCs w:val="24"/>
              </w:rPr>
            </w:pPr>
            <w:r w:rsidRPr="004A0CF0">
              <w:rPr>
                <w:sz w:val="24"/>
                <w:szCs w:val="24"/>
              </w:rPr>
              <w:t>100</w:t>
            </w:r>
          </w:p>
        </w:tc>
      </w:tr>
    </w:tbl>
    <w:p w:rsidR="00286780" w:rsidRPr="004A0CF0" w:rsidRDefault="00286780" w:rsidP="00BD2F93">
      <w:pPr>
        <w:rPr>
          <w:sz w:val="28"/>
          <w:szCs w:val="28"/>
        </w:rPr>
      </w:pPr>
    </w:p>
    <w:p w:rsidR="00286780" w:rsidRPr="004A0CF0" w:rsidRDefault="00286780" w:rsidP="00BD2F93">
      <w:pPr>
        <w:spacing w:line="360" w:lineRule="auto"/>
        <w:ind w:firstLine="709"/>
        <w:jc w:val="both"/>
        <w:rPr>
          <w:sz w:val="28"/>
          <w:szCs w:val="28"/>
        </w:rPr>
      </w:pPr>
      <w:r w:rsidRPr="004A0CF0">
        <w:rPr>
          <w:sz w:val="28"/>
          <w:szCs w:val="28"/>
        </w:rPr>
        <w:lastRenderedPageBreak/>
        <w:t>Возрастно-половой сос</w:t>
      </w:r>
      <w:r>
        <w:rPr>
          <w:sz w:val="28"/>
          <w:szCs w:val="28"/>
        </w:rPr>
        <w:t xml:space="preserve">тав </w:t>
      </w:r>
      <w:r w:rsidR="00456ED3">
        <w:rPr>
          <w:sz w:val="28"/>
          <w:szCs w:val="28"/>
        </w:rPr>
        <w:t xml:space="preserve">контрольной </w:t>
      </w:r>
      <w:r>
        <w:rPr>
          <w:sz w:val="28"/>
          <w:szCs w:val="28"/>
        </w:rPr>
        <w:t>подгруппы</w:t>
      </w:r>
      <w:r w:rsidR="00456ED3">
        <w:rPr>
          <w:sz w:val="28"/>
          <w:szCs w:val="28"/>
        </w:rPr>
        <w:t xml:space="preserve"> №1</w:t>
      </w:r>
      <w:r>
        <w:rPr>
          <w:sz w:val="28"/>
          <w:szCs w:val="28"/>
        </w:rPr>
        <w:t>: мужчин – 12 (37,5%)</w:t>
      </w:r>
      <w:r w:rsidRPr="004A0CF0">
        <w:rPr>
          <w:sz w:val="28"/>
          <w:szCs w:val="28"/>
        </w:rPr>
        <w:t>; средний возраст – 54,5±2,47 лет. Критерии исключения: острый воспалительный процесс, сахарный диабет, хроническая обструктивная болезнь легких, бронхиальная астма, туберкулез легких, гепатит, цирроз печени</w:t>
      </w:r>
      <w:r w:rsidRPr="00BA4C61">
        <w:rPr>
          <w:sz w:val="28"/>
          <w:szCs w:val="28"/>
        </w:rPr>
        <w:t>,</w:t>
      </w:r>
      <w:r w:rsidRPr="004A0CF0">
        <w:rPr>
          <w:sz w:val="28"/>
          <w:szCs w:val="28"/>
        </w:rPr>
        <w:t xml:space="preserve"> наркомания, тяжелая декомпенсированная сердечно-сосудистая недостаточность.</w:t>
      </w:r>
    </w:p>
    <w:p w:rsidR="00286780" w:rsidRDefault="00286780" w:rsidP="00BD2F93">
      <w:pPr>
        <w:spacing w:line="360" w:lineRule="auto"/>
        <w:ind w:firstLine="709"/>
        <w:jc w:val="both"/>
        <w:rPr>
          <w:sz w:val="28"/>
          <w:szCs w:val="28"/>
        </w:rPr>
      </w:pPr>
      <w:r>
        <w:rPr>
          <w:sz w:val="28"/>
          <w:szCs w:val="28"/>
        </w:rPr>
        <w:t>Как следует из Таблицы 5</w:t>
      </w:r>
      <w:r w:rsidRPr="004A0CF0">
        <w:rPr>
          <w:sz w:val="28"/>
          <w:szCs w:val="28"/>
        </w:rPr>
        <w:t xml:space="preserve">, в контрольной </w:t>
      </w:r>
      <w:r>
        <w:rPr>
          <w:sz w:val="28"/>
          <w:szCs w:val="28"/>
        </w:rPr>
        <w:t>под</w:t>
      </w:r>
      <w:r w:rsidRPr="004A0CF0">
        <w:rPr>
          <w:sz w:val="28"/>
          <w:szCs w:val="28"/>
        </w:rPr>
        <w:t>группе № 1 выявлен 31 боль</w:t>
      </w:r>
      <w:r>
        <w:rPr>
          <w:sz w:val="28"/>
          <w:szCs w:val="28"/>
        </w:rPr>
        <w:t>ной с артериальной гипертонией.</w:t>
      </w:r>
    </w:p>
    <w:p w:rsidR="00286780" w:rsidRPr="004A0CF0" w:rsidRDefault="00286780" w:rsidP="005C30BA">
      <w:pPr>
        <w:spacing w:line="360" w:lineRule="auto"/>
        <w:ind w:firstLine="709"/>
        <w:jc w:val="both"/>
        <w:rPr>
          <w:sz w:val="28"/>
          <w:szCs w:val="28"/>
        </w:rPr>
      </w:pPr>
      <w:r w:rsidRPr="004A0CF0">
        <w:rPr>
          <w:sz w:val="28"/>
          <w:szCs w:val="28"/>
        </w:rPr>
        <w:t>Степень тяжести артериальной гипертонии определена с использованием классификации ВОЗ/МОАГ (1999 г.), Европейского общества гипертонии и Европейского общества кардиологов (2013 г</w:t>
      </w:r>
      <w:r>
        <w:rPr>
          <w:sz w:val="28"/>
          <w:szCs w:val="28"/>
        </w:rPr>
        <w:t>., Таблица 6</w:t>
      </w:r>
      <w:r w:rsidRPr="004A0CF0">
        <w:rPr>
          <w:sz w:val="28"/>
          <w:szCs w:val="28"/>
        </w:rPr>
        <w:t>).</w:t>
      </w:r>
    </w:p>
    <w:p w:rsidR="00286780" w:rsidRPr="003E0AC3" w:rsidRDefault="00286780" w:rsidP="00BD2F93">
      <w:pPr>
        <w:rPr>
          <w:sz w:val="16"/>
          <w:szCs w:val="16"/>
        </w:rPr>
      </w:pPr>
    </w:p>
    <w:p w:rsidR="00286780" w:rsidRPr="004A0CF0" w:rsidRDefault="00286780" w:rsidP="00BD2F93">
      <w:pPr>
        <w:spacing w:after="120"/>
        <w:jc w:val="both"/>
        <w:rPr>
          <w:sz w:val="28"/>
          <w:szCs w:val="28"/>
        </w:rPr>
      </w:pPr>
      <w:r w:rsidRPr="004A0CF0">
        <w:rPr>
          <w:b/>
          <w:sz w:val="28"/>
          <w:szCs w:val="28"/>
        </w:rPr>
        <w:t xml:space="preserve">Таблица </w:t>
      </w:r>
      <w:r>
        <w:rPr>
          <w:b/>
          <w:sz w:val="28"/>
          <w:szCs w:val="28"/>
        </w:rPr>
        <w:t>6</w:t>
      </w:r>
      <w:r w:rsidRPr="004A0CF0">
        <w:rPr>
          <w:sz w:val="28"/>
          <w:szCs w:val="28"/>
        </w:rPr>
        <w:t xml:space="preserve"> – Распределение пациентов контрольной </w:t>
      </w:r>
      <w:r>
        <w:rPr>
          <w:sz w:val="28"/>
          <w:szCs w:val="28"/>
        </w:rPr>
        <w:t>под</w:t>
      </w:r>
      <w:r w:rsidRPr="004A0CF0">
        <w:rPr>
          <w:sz w:val="28"/>
          <w:szCs w:val="28"/>
        </w:rPr>
        <w:t>группы № 1 с артериальной гипертонией в зависимости от уровня артериального давления (EHS/ESC, 2013 г.)</w:t>
      </w:r>
    </w:p>
    <w:tbl>
      <w:tblPr>
        <w:tblW w:w="9923" w:type="dxa"/>
        <w:jc w:val="center"/>
        <w:tblLayout w:type="fixed"/>
        <w:tblLook w:val="0000" w:firstRow="0" w:lastRow="0" w:firstColumn="0" w:lastColumn="0" w:noHBand="0" w:noVBand="0"/>
      </w:tblPr>
      <w:tblGrid>
        <w:gridCol w:w="3881"/>
        <w:gridCol w:w="2977"/>
        <w:gridCol w:w="3065"/>
      </w:tblGrid>
      <w:tr w:rsidR="00286780" w:rsidRPr="004A0CF0" w:rsidTr="00FA7C6C">
        <w:trPr>
          <w:trHeight w:val="227"/>
          <w:jc w:val="center"/>
        </w:trPr>
        <w:tc>
          <w:tcPr>
            <w:tcW w:w="3881" w:type="dxa"/>
            <w:vMerge w:val="restart"/>
            <w:tcBorders>
              <w:top w:val="single" w:sz="4" w:space="0" w:color="000000"/>
              <w:left w:val="single" w:sz="4" w:space="0" w:color="000000"/>
              <w:bottom w:val="single" w:sz="4" w:space="0" w:color="000000"/>
            </w:tcBorders>
            <w:vAlign w:val="center"/>
          </w:tcPr>
          <w:p w:rsidR="00286780" w:rsidRPr="004A0CF0" w:rsidRDefault="00286780" w:rsidP="00FA7C6C">
            <w:pPr>
              <w:snapToGrid w:val="0"/>
              <w:jc w:val="center"/>
              <w:rPr>
                <w:i/>
                <w:sz w:val="24"/>
                <w:szCs w:val="24"/>
              </w:rPr>
            </w:pPr>
            <w:r w:rsidRPr="004A0CF0">
              <w:rPr>
                <w:i/>
                <w:sz w:val="24"/>
                <w:szCs w:val="24"/>
              </w:rPr>
              <w:t>Артериальная гипертония</w:t>
            </w:r>
          </w:p>
        </w:tc>
        <w:tc>
          <w:tcPr>
            <w:tcW w:w="6042" w:type="dxa"/>
            <w:gridSpan w:val="2"/>
            <w:tcBorders>
              <w:top w:val="single" w:sz="4" w:space="0" w:color="000000"/>
              <w:left w:val="single" w:sz="4" w:space="0" w:color="000000"/>
              <w:right w:val="single" w:sz="4" w:space="0" w:color="000000"/>
            </w:tcBorders>
            <w:vAlign w:val="center"/>
          </w:tcPr>
          <w:p w:rsidR="00286780" w:rsidRPr="004A0CF0" w:rsidRDefault="00286780" w:rsidP="00FA7C6C">
            <w:pPr>
              <w:snapToGrid w:val="0"/>
              <w:jc w:val="center"/>
              <w:rPr>
                <w:i/>
                <w:sz w:val="24"/>
                <w:szCs w:val="24"/>
              </w:rPr>
            </w:pPr>
            <w:r w:rsidRPr="004A0CF0">
              <w:rPr>
                <w:i/>
                <w:sz w:val="24"/>
                <w:szCs w:val="24"/>
              </w:rPr>
              <w:t>Количество пациентов</w:t>
            </w:r>
          </w:p>
        </w:tc>
      </w:tr>
      <w:tr w:rsidR="00286780" w:rsidRPr="004A0CF0" w:rsidTr="00FA7C6C">
        <w:trPr>
          <w:trHeight w:val="227"/>
          <w:jc w:val="center"/>
        </w:trPr>
        <w:tc>
          <w:tcPr>
            <w:tcW w:w="3881" w:type="dxa"/>
            <w:vMerge/>
            <w:tcBorders>
              <w:top w:val="single" w:sz="4" w:space="0" w:color="000000"/>
              <w:left w:val="single" w:sz="4" w:space="0" w:color="000000"/>
              <w:bottom w:val="single" w:sz="4" w:space="0" w:color="000000"/>
            </w:tcBorders>
          </w:tcPr>
          <w:p w:rsidR="00286780" w:rsidRPr="004A0CF0" w:rsidRDefault="00286780" w:rsidP="00FA7C6C">
            <w:pPr>
              <w:snapToGrid w:val="0"/>
              <w:jc w:val="both"/>
              <w:rPr>
                <w:sz w:val="24"/>
                <w:szCs w:val="24"/>
              </w:rPr>
            </w:pPr>
          </w:p>
        </w:tc>
        <w:tc>
          <w:tcPr>
            <w:tcW w:w="2977" w:type="dxa"/>
            <w:tcBorders>
              <w:top w:val="single" w:sz="4" w:space="0" w:color="000000"/>
              <w:left w:val="single" w:sz="4" w:space="0" w:color="000000"/>
              <w:bottom w:val="single" w:sz="4" w:space="0" w:color="000000"/>
            </w:tcBorders>
          </w:tcPr>
          <w:p w:rsidR="00286780" w:rsidRPr="004A0CF0" w:rsidRDefault="00286780" w:rsidP="00FA7C6C">
            <w:pPr>
              <w:snapToGrid w:val="0"/>
              <w:jc w:val="center"/>
              <w:rPr>
                <w:sz w:val="24"/>
                <w:szCs w:val="24"/>
              </w:rPr>
            </w:pPr>
            <w:r w:rsidRPr="004A0CF0">
              <w:rPr>
                <w:sz w:val="24"/>
                <w:szCs w:val="24"/>
              </w:rPr>
              <w:t>абсолютное значение</w:t>
            </w:r>
          </w:p>
        </w:tc>
        <w:tc>
          <w:tcPr>
            <w:tcW w:w="3065" w:type="dxa"/>
            <w:tcBorders>
              <w:top w:val="single" w:sz="4" w:space="0" w:color="000000"/>
              <w:left w:val="single" w:sz="4" w:space="0" w:color="000000"/>
              <w:bottom w:val="single" w:sz="4" w:space="0" w:color="000000"/>
              <w:right w:val="single" w:sz="4" w:space="0" w:color="000000"/>
            </w:tcBorders>
            <w:vAlign w:val="center"/>
          </w:tcPr>
          <w:p w:rsidR="00286780" w:rsidRPr="004A0CF0" w:rsidRDefault="00286780" w:rsidP="00FA7C6C">
            <w:pPr>
              <w:snapToGrid w:val="0"/>
              <w:jc w:val="center"/>
              <w:rPr>
                <w:sz w:val="24"/>
                <w:szCs w:val="24"/>
              </w:rPr>
            </w:pPr>
            <w:r w:rsidRPr="004A0CF0">
              <w:rPr>
                <w:sz w:val="24"/>
                <w:szCs w:val="24"/>
              </w:rPr>
              <w:t>%</w:t>
            </w:r>
          </w:p>
        </w:tc>
      </w:tr>
      <w:tr w:rsidR="00286780" w:rsidRPr="004A0CF0" w:rsidTr="00FA7C6C">
        <w:trPr>
          <w:trHeight w:val="454"/>
          <w:jc w:val="center"/>
        </w:trPr>
        <w:tc>
          <w:tcPr>
            <w:tcW w:w="3881" w:type="dxa"/>
            <w:tcBorders>
              <w:top w:val="single" w:sz="4" w:space="0" w:color="000000"/>
              <w:left w:val="single" w:sz="4" w:space="0" w:color="000000"/>
              <w:bottom w:val="single" w:sz="4" w:space="0" w:color="000000"/>
            </w:tcBorders>
            <w:vAlign w:val="center"/>
          </w:tcPr>
          <w:p w:rsidR="00286780" w:rsidRPr="004A0CF0" w:rsidRDefault="00286780" w:rsidP="00FA7C6C">
            <w:pPr>
              <w:snapToGrid w:val="0"/>
              <w:jc w:val="both"/>
              <w:rPr>
                <w:sz w:val="24"/>
                <w:szCs w:val="24"/>
              </w:rPr>
            </w:pPr>
            <w:r w:rsidRPr="004A0CF0">
              <w:rPr>
                <w:sz w:val="24"/>
                <w:szCs w:val="24"/>
                <w:lang w:val="en-US"/>
              </w:rPr>
              <w:t>I</w:t>
            </w:r>
            <w:r w:rsidRPr="004A0CF0">
              <w:rPr>
                <w:sz w:val="24"/>
                <w:szCs w:val="24"/>
              </w:rPr>
              <w:t xml:space="preserve"> степень (мягкая)</w:t>
            </w:r>
          </w:p>
        </w:tc>
        <w:tc>
          <w:tcPr>
            <w:tcW w:w="2977" w:type="dxa"/>
            <w:tcBorders>
              <w:top w:val="single" w:sz="4" w:space="0" w:color="000000"/>
              <w:left w:val="single" w:sz="4" w:space="0" w:color="000000"/>
              <w:bottom w:val="single" w:sz="4" w:space="0" w:color="000000"/>
            </w:tcBorders>
            <w:vAlign w:val="center"/>
          </w:tcPr>
          <w:p w:rsidR="00286780" w:rsidRPr="004A0CF0" w:rsidRDefault="00286780" w:rsidP="00FA7C6C">
            <w:pPr>
              <w:snapToGrid w:val="0"/>
              <w:jc w:val="center"/>
              <w:rPr>
                <w:sz w:val="24"/>
                <w:szCs w:val="24"/>
              </w:rPr>
            </w:pPr>
            <w:r w:rsidRPr="004A0CF0">
              <w:rPr>
                <w:sz w:val="24"/>
                <w:szCs w:val="24"/>
              </w:rPr>
              <w:t>4</w:t>
            </w:r>
          </w:p>
        </w:tc>
        <w:tc>
          <w:tcPr>
            <w:tcW w:w="3065" w:type="dxa"/>
            <w:tcBorders>
              <w:top w:val="single" w:sz="4" w:space="0" w:color="000000"/>
              <w:left w:val="single" w:sz="4" w:space="0" w:color="000000"/>
              <w:bottom w:val="single" w:sz="4" w:space="0" w:color="000000"/>
              <w:right w:val="single" w:sz="4" w:space="0" w:color="000000"/>
            </w:tcBorders>
            <w:vAlign w:val="center"/>
          </w:tcPr>
          <w:p w:rsidR="00286780" w:rsidRPr="004A0CF0" w:rsidRDefault="00286780" w:rsidP="00FA7C6C">
            <w:pPr>
              <w:snapToGrid w:val="0"/>
              <w:jc w:val="center"/>
              <w:rPr>
                <w:sz w:val="24"/>
                <w:szCs w:val="24"/>
              </w:rPr>
            </w:pPr>
            <w:r w:rsidRPr="004A0CF0">
              <w:rPr>
                <w:sz w:val="24"/>
                <w:szCs w:val="24"/>
              </w:rPr>
              <w:t>12,9</w:t>
            </w:r>
          </w:p>
        </w:tc>
      </w:tr>
      <w:tr w:rsidR="00286780" w:rsidRPr="004A0CF0" w:rsidTr="00FA7C6C">
        <w:trPr>
          <w:trHeight w:val="454"/>
          <w:jc w:val="center"/>
        </w:trPr>
        <w:tc>
          <w:tcPr>
            <w:tcW w:w="3881" w:type="dxa"/>
            <w:tcBorders>
              <w:top w:val="single" w:sz="4" w:space="0" w:color="000000"/>
              <w:left w:val="single" w:sz="4" w:space="0" w:color="000000"/>
              <w:bottom w:val="single" w:sz="4" w:space="0" w:color="000000"/>
            </w:tcBorders>
            <w:vAlign w:val="center"/>
          </w:tcPr>
          <w:p w:rsidR="00286780" w:rsidRPr="004A0CF0" w:rsidRDefault="00286780" w:rsidP="00FA7C6C">
            <w:pPr>
              <w:snapToGrid w:val="0"/>
              <w:jc w:val="both"/>
              <w:rPr>
                <w:sz w:val="24"/>
                <w:szCs w:val="24"/>
              </w:rPr>
            </w:pPr>
            <w:r w:rsidRPr="004A0CF0">
              <w:rPr>
                <w:sz w:val="24"/>
                <w:szCs w:val="24"/>
                <w:lang w:val="en-US"/>
              </w:rPr>
              <w:t>II</w:t>
            </w:r>
            <w:r w:rsidRPr="004A0CF0">
              <w:rPr>
                <w:sz w:val="24"/>
                <w:szCs w:val="24"/>
              </w:rPr>
              <w:t xml:space="preserve"> степень (умеренная)</w:t>
            </w:r>
          </w:p>
        </w:tc>
        <w:tc>
          <w:tcPr>
            <w:tcW w:w="2977" w:type="dxa"/>
            <w:tcBorders>
              <w:top w:val="single" w:sz="4" w:space="0" w:color="000000"/>
              <w:left w:val="single" w:sz="4" w:space="0" w:color="000000"/>
              <w:bottom w:val="single" w:sz="4" w:space="0" w:color="000000"/>
            </w:tcBorders>
            <w:vAlign w:val="center"/>
          </w:tcPr>
          <w:p w:rsidR="00286780" w:rsidRPr="004A0CF0" w:rsidRDefault="00286780" w:rsidP="00FA7C6C">
            <w:pPr>
              <w:snapToGrid w:val="0"/>
              <w:jc w:val="center"/>
              <w:rPr>
                <w:sz w:val="24"/>
                <w:szCs w:val="24"/>
              </w:rPr>
            </w:pPr>
            <w:r w:rsidRPr="004A0CF0">
              <w:rPr>
                <w:sz w:val="24"/>
                <w:szCs w:val="24"/>
              </w:rPr>
              <w:t>21</w:t>
            </w:r>
          </w:p>
        </w:tc>
        <w:tc>
          <w:tcPr>
            <w:tcW w:w="3065" w:type="dxa"/>
            <w:tcBorders>
              <w:top w:val="single" w:sz="4" w:space="0" w:color="000000"/>
              <w:left w:val="single" w:sz="4" w:space="0" w:color="000000"/>
              <w:bottom w:val="single" w:sz="4" w:space="0" w:color="000000"/>
              <w:right w:val="single" w:sz="4" w:space="0" w:color="000000"/>
            </w:tcBorders>
            <w:vAlign w:val="center"/>
          </w:tcPr>
          <w:p w:rsidR="00286780" w:rsidRPr="004A0CF0" w:rsidRDefault="00286780" w:rsidP="00FA7C6C">
            <w:pPr>
              <w:snapToGrid w:val="0"/>
              <w:jc w:val="center"/>
              <w:rPr>
                <w:sz w:val="24"/>
                <w:szCs w:val="24"/>
              </w:rPr>
            </w:pPr>
            <w:r w:rsidRPr="004A0CF0">
              <w:rPr>
                <w:sz w:val="24"/>
                <w:szCs w:val="24"/>
              </w:rPr>
              <w:t>67,7</w:t>
            </w:r>
          </w:p>
        </w:tc>
      </w:tr>
      <w:tr w:rsidR="00286780" w:rsidRPr="004A0CF0" w:rsidTr="00FA7C6C">
        <w:trPr>
          <w:trHeight w:val="454"/>
          <w:jc w:val="center"/>
        </w:trPr>
        <w:tc>
          <w:tcPr>
            <w:tcW w:w="3881" w:type="dxa"/>
            <w:tcBorders>
              <w:top w:val="single" w:sz="4" w:space="0" w:color="000000"/>
              <w:left w:val="single" w:sz="4" w:space="0" w:color="000000"/>
              <w:bottom w:val="single" w:sz="4" w:space="0" w:color="000000"/>
            </w:tcBorders>
            <w:vAlign w:val="center"/>
          </w:tcPr>
          <w:p w:rsidR="00286780" w:rsidRPr="004A0CF0" w:rsidRDefault="00286780" w:rsidP="00FA7C6C">
            <w:pPr>
              <w:snapToGrid w:val="0"/>
              <w:jc w:val="both"/>
              <w:rPr>
                <w:sz w:val="24"/>
                <w:szCs w:val="24"/>
              </w:rPr>
            </w:pPr>
            <w:r w:rsidRPr="004A0CF0">
              <w:rPr>
                <w:sz w:val="24"/>
                <w:szCs w:val="24"/>
                <w:lang w:val="en-US"/>
              </w:rPr>
              <w:t>III</w:t>
            </w:r>
            <w:r w:rsidRPr="004A0CF0">
              <w:rPr>
                <w:sz w:val="24"/>
                <w:szCs w:val="24"/>
              </w:rPr>
              <w:t xml:space="preserve"> степень (тяжелая)</w:t>
            </w:r>
          </w:p>
        </w:tc>
        <w:tc>
          <w:tcPr>
            <w:tcW w:w="2977" w:type="dxa"/>
            <w:tcBorders>
              <w:top w:val="single" w:sz="4" w:space="0" w:color="000000"/>
              <w:left w:val="single" w:sz="4" w:space="0" w:color="000000"/>
              <w:bottom w:val="single" w:sz="4" w:space="0" w:color="000000"/>
            </w:tcBorders>
            <w:vAlign w:val="center"/>
          </w:tcPr>
          <w:p w:rsidR="00286780" w:rsidRPr="004A0CF0" w:rsidRDefault="00286780" w:rsidP="00FA7C6C">
            <w:pPr>
              <w:snapToGrid w:val="0"/>
              <w:jc w:val="center"/>
              <w:rPr>
                <w:sz w:val="24"/>
                <w:szCs w:val="24"/>
              </w:rPr>
            </w:pPr>
            <w:r w:rsidRPr="004A0CF0">
              <w:rPr>
                <w:sz w:val="24"/>
                <w:szCs w:val="24"/>
              </w:rPr>
              <w:t>6</w:t>
            </w:r>
          </w:p>
        </w:tc>
        <w:tc>
          <w:tcPr>
            <w:tcW w:w="3065" w:type="dxa"/>
            <w:tcBorders>
              <w:top w:val="single" w:sz="4" w:space="0" w:color="000000"/>
              <w:left w:val="single" w:sz="4" w:space="0" w:color="000000"/>
              <w:bottom w:val="single" w:sz="4" w:space="0" w:color="000000"/>
              <w:right w:val="single" w:sz="4" w:space="0" w:color="000000"/>
            </w:tcBorders>
            <w:vAlign w:val="center"/>
          </w:tcPr>
          <w:p w:rsidR="00286780" w:rsidRPr="004A0CF0" w:rsidRDefault="00286780" w:rsidP="00FA7C6C">
            <w:pPr>
              <w:snapToGrid w:val="0"/>
              <w:jc w:val="center"/>
              <w:rPr>
                <w:sz w:val="24"/>
                <w:szCs w:val="24"/>
              </w:rPr>
            </w:pPr>
            <w:r w:rsidRPr="004A0CF0">
              <w:rPr>
                <w:sz w:val="24"/>
                <w:szCs w:val="24"/>
              </w:rPr>
              <w:t>19,4</w:t>
            </w:r>
          </w:p>
        </w:tc>
      </w:tr>
      <w:tr w:rsidR="00286780" w:rsidRPr="004A0CF0" w:rsidTr="00FA7C6C">
        <w:trPr>
          <w:trHeight w:val="454"/>
          <w:jc w:val="center"/>
        </w:trPr>
        <w:tc>
          <w:tcPr>
            <w:tcW w:w="3881" w:type="dxa"/>
            <w:tcBorders>
              <w:top w:val="single" w:sz="4" w:space="0" w:color="000000"/>
              <w:left w:val="single" w:sz="4" w:space="0" w:color="000000"/>
              <w:bottom w:val="single" w:sz="4" w:space="0" w:color="000000"/>
            </w:tcBorders>
            <w:vAlign w:val="center"/>
          </w:tcPr>
          <w:p w:rsidR="00286780" w:rsidRPr="004A0CF0" w:rsidRDefault="00286780" w:rsidP="00FA7C6C">
            <w:pPr>
              <w:snapToGrid w:val="0"/>
              <w:jc w:val="both"/>
              <w:rPr>
                <w:sz w:val="24"/>
                <w:szCs w:val="24"/>
              </w:rPr>
            </w:pPr>
            <w:r w:rsidRPr="004A0CF0">
              <w:rPr>
                <w:sz w:val="24"/>
                <w:szCs w:val="24"/>
              </w:rPr>
              <w:t>Итого</w:t>
            </w:r>
          </w:p>
        </w:tc>
        <w:tc>
          <w:tcPr>
            <w:tcW w:w="2977" w:type="dxa"/>
            <w:tcBorders>
              <w:top w:val="single" w:sz="4" w:space="0" w:color="000000"/>
              <w:left w:val="single" w:sz="4" w:space="0" w:color="000000"/>
              <w:bottom w:val="single" w:sz="4" w:space="0" w:color="000000"/>
            </w:tcBorders>
            <w:vAlign w:val="center"/>
          </w:tcPr>
          <w:p w:rsidR="00286780" w:rsidRPr="004A0CF0" w:rsidRDefault="00286780" w:rsidP="00FA7C6C">
            <w:pPr>
              <w:snapToGrid w:val="0"/>
              <w:jc w:val="center"/>
              <w:rPr>
                <w:sz w:val="24"/>
                <w:szCs w:val="24"/>
              </w:rPr>
            </w:pPr>
            <w:r w:rsidRPr="004A0CF0">
              <w:rPr>
                <w:sz w:val="24"/>
                <w:szCs w:val="24"/>
              </w:rPr>
              <w:t>31</w:t>
            </w:r>
          </w:p>
        </w:tc>
        <w:tc>
          <w:tcPr>
            <w:tcW w:w="3065" w:type="dxa"/>
            <w:tcBorders>
              <w:top w:val="single" w:sz="4" w:space="0" w:color="000000"/>
              <w:left w:val="single" w:sz="4" w:space="0" w:color="000000"/>
              <w:bottom w:val="single" w:sz="4" w:space="0" w:color="000000"/>
              <w:right w:val="single" w:sz="4" w:space="0" w:color="000000"/>
            </w:tcBorders>
            <w:vAlign w:val="center"/>
          </w:tcPr>
          <w:p w:rsidR="00286780" w:rsidRPr="004A0CF0" w:rsidRDefault="00286780" w:rsidP="00FA7C6C">
            <w:pPr>
              <w:snapToGrid w:val="0"/>
              <w:jc w:val="center"/>
              <w:rPr>
                <w:sz w:val="24"/>
                <w:szCs w:val="24"/>
              </w:rPr>
            </w:pPr>
            <w:r w:rsidRPr="004A0CF0">
              <w:rPr>
                <w:sz w:val="24"/>
                <w:szCs w:val="24"/>
              </w:rPr>
              <w:t>100</w:t>
            </w:r>
          </w:p>
        </w:tc>
      </w:tr>
      <w:tr w:rsidR="00286780" w:rsidRPr="004A0CF0" w:rsidTr="00FA7C6C">
        <w:trPr>
          <w:trHeight w:val="454"/>
          <w:jc w:val="center"/>
        </w:trPr>
        <w:tc>
          <w:tcPr>
            <w:tcW w:w="9923" w:type="dxa"/>
            <w:gridSpan w:val="3"/>
            <w:tcBorders>
              <w:top w:val="single" w:sz="4" w:space="0" w:color="000000"/>
              <w:left w:val="single" w:sz="4" w:space="0" w:color="000000"/>
              <w:bottom w:val="single" w:sz="4" w:space="0" w:color="000000"/>
              <w:right w:val="single" w:sz="4" w:space="0" w:color="000000"/>
            </w:tcBorders>
            <w:vAlign w:val="center"/>
          </w:tcPr>
          <w:p w:rsidR="00286780" w:rsidRPr="004A0CF0" w:rsidRDefault="00286780" w:rsidP="00FA7C6C">
            <w:pPr>
              <w:snapToGrid w:val="0"/>
              <w:jc w:val="both"/>
              <w:rPr>
                <w:sz w:val="24"/>
                <w:szCs w:val="24"/>
              </w:rPr>
            </w:pPr>
            <w:r w:rsidRPr="004A0CF0">
              <w:rPr>
                <w:i/>
                <w:sz w:val="24"/>
                <w:szCs w:val="24"/>
              </w:rPr>
              <w:t>Примечание</w:t>
            </w:r>
            <w:r w:rsidRPr="004A0CF0">
              <w:rPr>
                <w:sz w:val="24"/>
                <w:szCs w:val="24"/>
              </w:rPr>
              <w:t xml:space="preserve">. </w:t>
            </w:r>
            <w:r w:rsidRPr="004A0CF0">
              <w:rPr>
                <w:sz w:val="24"/>
                <w:szCs w:val="24"/>
                <w:lang w:val="en-US"/>
              </w:rPr>
              <w:t>EHS</w:t>
            </w:r>
            <w:r w:rsidRPr="004A0CF0">
              <w:rPr>
                <w:sz w:val="24"/>
                <w:szCs w:val="24"/>
              </w:rPr>
              <w:t xml:space="preserve"> – Европейское общество гипертонии; </w:t>
            </w:r>
            <w:r w:rsidRPr="004A0CF0">
              <w:rPr>
                <w:sz w:val="24"/>
                <w:szCs w:val="24"/>
                <w:lang w:val="en-US"/>
              </w:rPr>
              <w:t>ESC</w:t>
            </w:r>
            <w:r w:rsidRPr="004A0CF0">
              <w:rPr>
                <w:sz w:val="24"/>
                <w:szCs w:val="24"/>
              </w:rPr>
              <w:t xml:space="preserve"> – Европейское общество кардиологов</w:t>
            </w:r>
          </w:p>
        </w:tc>
      </w:tr>
    </w:tbl>
    <w:p w:rsidR="00286780" w:rsidRPr="004A0CF0" w:rsidRDefault="00286780" w:rsidP="00BD2F93">
      <w:pPr>
        <w:rPr>
          <w:sz w:val="28"/>
          <w:szCs w:val="28"/>
        </w:rPr>
      </w:pPr>
    </w:p>
    <w:p w:rsidR="00286780" w:rsidRDefault="00286780" w:rsidP="00BD2F93">
      <w:pPr>
        <w:spacing w:line="360" w:lineRule="auto"/>
        <w:ind w:firstLine="709"/>
        <w:jc w:val="both"/>
        <w:rPr>
          <w:sz w:val="28"/>
          <w:szCs w:val="28"/>
        </w:rPr>
      </w:pPr>
      <w:r w:rsidRPr="004A0CF0">
        <w:rPr>
          <w:sz w:val="28"/>
          <w:szCs w:val="28"/>
        </w:rPr>
        <w:t xml:space="preserve">Хроническая сердечная недостаточность (ХСН) диагностирована у 21 пациентов контрольной </w:t>
      </w:r>
      <w:r w:rsidR="006A6148">
        <w:rPr>
          <w:sz w:val="28"/>
          <w:szCs w:val="28"/>
        </w:rPr>
        <w:t>под</w:t>
      </w:r>
      <w:r w:rsidRPr="004A0CF0">
        <w:rPr>
          <w:sz w:val="28"/>
          <w:szCs w:val="28"/>
        </w:rPr>
        <w:t>группы № 1 (65,6%). Де</w:t>
      </w:r>
      <w:r w:rsidR="00E425F6">
        <w:rPr>
          <w:sz w:val="28"/>
          <w:szCs w:val="28"/>
        </w:rPr>
        <w:t>тальное распределение пациентов</w:t>
      </w:r>
      <w:r w:rsidRPr="004A0CF0">
        <w:rPr>
          <w:sz w:val="28"/>
          <w:szCs w:val="28"/>
        </w:rPr>
        <w:t xml:space="preserve"> контрольной </w:t>
      </w:r>
      <w:r>
        <w:rPr>
          <w:sz w:val="28"/>
          <w:szCs w:val="28"/>
        </w:rPr>
        <w:t>под</w:t>
      </w:r>
      <w:r w:rsidRPr="004A0CF0">
        <w:rPr>
          <w:sz w:val="28"/>
          <w:szCs w:val="28"/>
        </w:rPr>
        <w:t>групп</w:t>
      </w:r>
      <w:r>
        <w:rPr>
          <w:sz w:val="28"/>
          <w:szCs w:val="28"/>
        </w:rPr>
        <w:t>ы</w:t>
      </w:r>
      <w:r w:rsidR="006A6148">
        <w:rPr>
          <w:sz w:val="28"/>
          <w:szCs w:val="28"/>
        </w:rPr>
        <w:t xml:space="preserve"> №1</w:t>
      </w:r>
      <w:r w:rsidRPr="004A0CF0">
        <w:rPr>
          <w:sz w:val="28"/>
          <w:szCs w:val="28"/>
        </w:rPr>
        <w:t xml:space="preserve"> в зависимости от принадлежности к функциональным классам (ФК) </w:t>
      </w:r>
      <w:r>
        <w:rPr>
          <w:sz w:val="28"/>
          <w:szCs w:val="28"/>
        </w:rPr>
        <w:t>ХСН</w:t>
      </w:r>
      <w:r w:rsidRPr="004A0CF0">
        <w:rPr>
          <w:sz w:val="28"/>
          <w:szCs w:val="28"/>
        </w:rPr>
        <w:t xml:space="preserve"> (классификация </w:t>
      </w:r>
      <w:r w:rsidRPr="004A0CF0">
        <w:rPr>
          <w:sz w:val="28"/>
          <w:szCs w:val="28"/>
          <w:lang w:val="en-US"/>
        </w:rPr>
        <w:t>NYHA</w:t>
      </w:r>
      <w:r w:rsidRPr="004A0CF0">
        <w:rPr>
          <w:sz w:val="28"/>
          <w:szCs w:val="28"/>
        </w:rPr>
        <w:t>, 1964 г</w:t>
      </w:r>
      <w:r>
        <w:rPr>
          <w:sz w:val="28"/>
          <w:szCs w:val="28"/>
        </w:rPr>
        <w:t>.)</w:t>
      </w:r>
      <w:r w:rsidR="00E425F6">
        <w:rPr>
          <w:sz w:val="28"/>
          <w:szCs w:val="28"/>
        </w:rPr>
        <w:t>,</w:t>
      </w:r>
      <w:r>
        <w:rPr>
          <w:sz w:val="28"/>
          <w:szCs w:val="28"/>
        </w:rPr>
        <w:t xml:space="preserve"> представлено в Таблице 7</w:t>
      </w:r>
      <w:r w:rsidRPr="004A0CF0">
        <w:rPr>
          <w:sz w:val="28"/>
          <w:szCs w:val="28"/>
        </w:rPr>
        <w:t>.</w:t>
      </w:r>
    </w:p>
    <w:p w:rsidR="00286780" w:rsidRPr="004A0CF0" w:rsidRDefault="00286780" w:rsidP="00243E84">
      <w:pPr>
        <w:spacing w:line="360" w:lineRule="auto"/>
        <w:ind w:firstLine="709"/>
        <w:jc w:val="both"/>
        <w:rPr>
          <w:sz w:val="28"/>
          <w:szCs w:val="28"/>
        </w:rPr>
      </w:pPr>
      <w:r w:rsidRPr="00243E84">
        <w:rPr>
          <w:sz w:val="28"/>
          <w:szCs w:val="28"/>
        </w:rPr>
        <w:t>Для коррекции патологии сердечно-сосудистой системы применялись нитраты, диуретики, β-адреноблокаторы, антагонисты кальция, ингибиторы ангиотензинпревращающего фе</w:t>
      </w:r>
      <w:r w:rsidR="0021199A">
        <w:rPr>
          <w:sz w:val="28"/>
          <w:szCs w:val="28"/>
        </w:rPr>
        <w:t>рмента (АПФ). Пациенты под</w:t>
      </w:r>
      <w:r w:rsidRPr="00243E84">
        <w:rPr>
          <w:sz w:val="28"/>
          <w:szCs w:val="28"/>
        </w:rPr>
        <w:t xml:space="preserve">группы № 1 и контрольной </w:t>
      </w:r>
      <w:r w:rsidR="0021199A">
        <w:rPr>
          <w:sz w:val="28"/>
          <w:szCs w:val="28"/>
        </w:rPr>
        <w:t>под</w:t>
      </w:r>
      <w:r w:rsidRPr="00243E84">
        <w:rPr>
          <w:sz w:val="28"/>
          <w:szCs w:val="28"/>
        </w:rPr>
        <w:t>группы № 1 по структуре, характеру, степени тяжести и проводимой те</w:t>
      </w:r>
      <w:r w:rsidRPr="00243E84">
        <w:rPr>
          <w:sz w:val="28"/>
          <w:szCs w:val="28"/>
        </w:rPr>
        <w:lastRenderedPageBreak/>
        <w:t>рапии патологии сердечно-сосудистой системы, статистически значимых различий не имеют (</w:t>
      </w:r>
      <w:r w:rsidRPr="00243E84">
        <w:rPr>
          <w:sz w:val="28"/>
          <w:szCs w:val="28"/>
          <w:lang w:val="en-US"/>
        </w:rPr>
        <w:t>p</w:t>
      </w:r>
      <w:r w:rsidRPr="00243E84">
        <w:rPr>
          <w:sz w:val="28"/>
          <w:szCs w:val="28"/>
        </w:rPr>
        <w:t>&gt;0,05).</w:t>
      </w:r>
    </w:p>
    <w:p w:rsidR="00286780" w:rsidRPr="00243E84" w:rsidRDefault="00286780" w:rsidP="00BD2F93">
      <w:pPr>
        <w:rPr>
          <w:sz w:val="28"/>
          <w:szCs w:val="28"/>
        </w:rPr>
      </w:pPr>
    </w:p>
    <w:p w:rsidR="00286780" w:rsidRPr="004A0CF0" w:rsidRDefault="00286780" w:rsidP="00BD2F93">
      <w:pPr>
        <w:spacing w:after="120"/>
        <w:jc w:val="both"/>
        <w:rPr>
          <w:sz w:val="28"/>
          <w:szCs w:val="28"/>
        </w:rPr>
      </w:pPr>
      <w:r w:rsidRPr="004A0CF0">
        <w:rPr>
          <w:b/>
          <w:sz w:val="28"/>
          <w:szCs w:val="28"/>
        </w:rPr>
        <w:t xml:space="preserve">Таблица </w:t>
      </w:r>
      <w:r>
        <w:rPr>
          <w:b/>
          <w:sz w:val="28"/>
          <w:szCs w:val="28"/>
        </w:rPr>
        <w:t>7</w:t>
      </w:r>
      <w:r w:rsidRPr="004A0CF0">
        <w:rPr>
          <w:sz w:val="28"/>
          <w:szCs w:val="28"/>
        </w:rPr>
        <w:t xml:space="preserve"> – Распределение пациентов контрольной </w:t>
      </w:r>
      <w:r>
        <w:rPr>
          <w:sz w:val="28"/>
          <w:szCs w:val="28"/>
        </w:rPr>
        <w:t>под</w:t>
      </w:r>
      <w:r w:rsidRPr="004A0CF0">
        <w:rPr>
          <w:sz w:val="28"/>
          <w:szCs w:val="28"/>
        </w:rPr>
        <w:t>группы № 1 с хронической сердечной недостаточностью (NYHA, 1964 г.)</w:t>
      </w:r>
    </w:p>
    <w:tbl>
      <w:tblPr>
        <w:tblW w:w="9923" w:type="dxa"/>
        <w:tblLayout w:type="fixed"/>
        <w:tblLook w:val="0000" w:firstRow="0" w:lastRow="0" w:firstColumn="0" w:lastColumn="0" w:noHBand="0" w:noVBand="0"/>
      </w:tblPr>
      <w:tblGrid>
        <w:gridCol w:w="3314"/>
        <w:gridCol w:w="3402"/>
        <w:gridCol w:w="3207"/>
      </w:tblGrid>
      <w:tr w:rsidR="00286780" w:rsidRPr="004A0CF0" w:rsidTr="00FA7C6C">
        <w:trPr>
          <w:trHeight w:val="227"/>
        </w:trPr>
        <w:tc>
          <w:tcPr>
            <w:tcW w:w="3314" w:type="dxa"/>
            <w:vMerge w:val="restart"/>
            <w:tcBorders>
              <w:top w:val="single" w:sz="4" w:space="0" w:color="000000"/>
              <w:left w:val="single" w:sz="4" w:space="0" w:color="000000"/>
              <w:bottom w:val="single" w:sz="4" w:space="0" w:color="000000"/>
            </w:tcBorders>
            <w:vAlign w:val="center"/>
          </w:tcPr>
          <w:p w:rsidR="00286780" w:rsidRPr="004A0CF0" w:rsidRDefault="00286780" w:rsidP="00FA7C6C">
            <w:pPr>
              <w:snapToGrid w:val="0"/>
              <w:jc w:val="center"/>
              <w:rPr>
                <w:i/>
                <w:sz w:val="24"/>
                <w:szCs w:val="24"/>
              </w:rPr>
            </w:pPr>
            <w:r w:rsidRPr="004A0CF0">
              <w:rPr>
                <w:i/>
                <w:sz w:val="24"/>
                <w:szCs w:val="24"/>
              </w:rPr>
              <w:t>Функциональный класс ХСН</w:t>
            </w:r>
          </w:p>
        </w:tc>
        <w:tc>
          <w:tcPr>
            <w:tcW w:w="6609" w:type="dxa"/>
            <w:gridSpan w:val="2"/>
            <w:tcBorders>
              <w:top w:val="single" w:sz="4" w:space="0" w:color="000000"/>
              <w:left w:val="single" w:sz="4" w:space="0" w:color="000000"/>
              <w:right w:val="single" w:sz="4" w:space="0" w:color="000000"/>
            </w:tcBorders>
            <w:vAlign w:val="center"/>
          </w:tcPr>
          <w:p w:rsidR="00286780" w:rsidRPr="004A0CF0" w:rsidRDefault="00286780" w:rsidP="00FA7C6C">
            <w:pPr>
              <w:snapToGrid w:val="0"/>
              <w:jc w:val="center"/>
              <w:rPr>
                <w:i/>
                <w:sz w:val="24"/>
                <w:szCs w:val="24"/>
              </w:rPr>
            </w:pPr>
            <w:r w:rsidRPr="004A0CF0">
              <w:rPr>
                <w:i/>
                <w:sz w:val="24"/>
                <w:szCs w:val="24"/>
              </w:rPr>
              <w:t>Количество пациентов</w:t>
            </w:r>
          </w:p>
        </w:tc>
      </w:tr>
      <w:tr w:rsidR="00286780" w:rsidRPr="004A0CF0" w:rsidTr="00FA7C6C">
        <w:trPr>
          <w:trHeight w:val="227"/>
        </w:trPr>
        <w:tc>
          <w:tcPr>
            <w:tcW w:w="3314" w:type="dxa"/>
            <w:vMerge/>
            <w:tcBorders>
              <w:top w:val="single" w:sz="4" w:space="0" w:color="000000"/>
              <w:left w:val="single" w:sz="4" w:space="0" w:color="000000"/>
              <w:bottom w:val="single" w:sz="4" w:space="0" w:color="000000"/>
            </w:tcBorders>
          </w:tcPr>
          <w:p w:rsidR="00286780" w:rsidRPr="004A0CF0" w:rsidRDefault="00286780" w:rsidP="00FA7C6C">
            <w:pPr>
              <w:snapToGrid w:val="0"/>
              <w:jc w:val="both"/>
              <w:rPr>
                <w:sz w:val="24"/>
                <w:szCs w:val="24"/>
              </w:rPr>
            </w:pPr>
          </w:p>
        </w:tc>
        <w:tc>
          <w:tcPr>
            <w:tcW w:w="3402" w:type="dxa"/>
            <w:tcBorders>
              <w:top w:val="single" w:sz="4" w:space="0" w:color="000000"/>
              <w:left w:val="single" w:sz="4" w:space="0" w:color="000000"/>
              <w:bottom w:val="single" w:sz="4" w:space="0" w:color="000000"/>
            </w:tcBorders>
          </w:tcPr>
          <w:p w:rsidR="00286780" w:rsidRPr="004A0CF0" w:rsidRDefault="00286780" w:rsidP="00FA7C6C">
            <w:pPr>
              <w:snapToGrid w:val="0"/>
              <w:jc w:val="center"/>
              <w:rPr>
                <w:sz w:val="24"/>
                <w:szCs w:val="24"/>
              </w:rPr>
            </w:pPr>
            <w:r w:rsidRPr="004A0CF0">
              <w:rPr>
                <w:sz w:val="24"/>
                <w:szCs w:val="24"/>
              </w:rPr>
              <w:t>абсолютное значение</w:t>
            </w:r>
          </w:p>
        </w:tc>
        <w:tc>
          <w:tcPr>
            <w:tcW w:w="3207" w:type="dxa"/>
            <w:tcBorders>
              <w:top w:val="single" w:sz="4" w:space="0" w:color="000000"/>
              <w:left w:val="single" w:sz="4" w:space="0" w:color="000000"/>
              <w:bottom w:val="single" w:sz="4" w:space="0" w:color="000000"/>
              <w:right w:val="single" w:sz="4" w:space="0" w:color="000000"/>
            </w:tcBorders>
            <w:vAlign w:val="center"/>
          </w:tcPr>
          <w:p w:rsidR="00286780" w:rsidRPr="004A0CF0" w:rsidRDefault="00286780" w:rsidP="00FA7C6C">
            <w:pPr>
              <w:snapToGrid w:val="0"/>
              <w:jc w:val="center"/>
              <w:rPr>
                <w:sz w:val="24"/>
                <w:szCs w:val="24"/>
              </w:rPr>
            </w:pPr>
            <w:r w:rsidRPr="004A0CF0">
              <w:rPr>
                <w:sz w:val="24"/>
                <w:szCs w:val="24"/>
              </w:rPr>
              <w:t>%</w:t>
            </w:r>
          </w:p>
        </w:tc>
      </w:tr>
      <w:tr w:rsidR="00286780" w:rsidRPr="004A0CF0" w:rsidTr="00FA7C6C">
        <w:trPr>
          <w:trHeight w:val="454"/>
        </w:trPr>
        <w:tc>
          <w:tcPr>
            <w:tcW w:w="3314" w:type="dxa"/>
            <w:tcBorders>
              <w:top w:val="single" w:sz="4" w:space="0" w:color="000000"/>
              <w:left w:val="single" w:sz="4" w:space="0" w:color="000000"/>
              <w:bottom w:val="single" w:sz="4" w:space="0" w:color="000000"/>
            </w:tcBorders>
            <w:vAlign w:val="center"/>
          </w:tcPr>
          <w:p w:rsidR="00286780" w:rsidRPr="004A0CF0" w:rsidRDefault="00286780" w:rsidP="00FA7C6C">
            <w:pPr>
              <w:snapToGrid w:val="0"/>
              <w:jc w:val="both"/>
              <w:rPr>
                <w:sz w:val="24"/>
                <w:szCs w:val="24"/>
              </w:rPr>
            </w:pPr>
            <w:r w:rsidRPr="004A0CF0">
              <w:rPr>
                <w:sz w:val="24"/>
                <w:szCs w:val="24"/>
              </w:rPr>
              <w:t>ХСН отсутствует</w:t>
            </w:r>
          </w:p>
        </w:tc>
        <w:tc>
          <w:tcPr>
            <w:tcW w:w="3402" w:type="dxa"/>
            <w:tcBorders>
              <w:top w:val="single" w:sz="4" w:space="0" w:color="000000"/>
              <w:left w:val="single" w:sz="4" w:space="0" w:color="000000"/>
              <w:bottom w:val="single" w:sz="4" w:space="0" w:color="000000"/>
            </w:tcBorders>
            <w:vAlign w:val="center"/>
          </w:tcPr>
          <w:p w:rsidR="00286780" w:rsidRPr="004A0CF0" w:rsidRDefault="00286780" w:rsidP="00FA7C6C">
            <w:pPr>
              <w:snapToGrid w:val="0"/>
              <w:jc w:val="center"/>
              <w:rPr>
                <w:sz w:val="24"/>
                <w:szCs w:val="24"/>
              </w:rPr>
            </w:pPr>
            <w:r w:rsidRPr="004A0CF0">
              <w:rPr>
                <w:sz w:val="24"/>
                <w:szCs w:val="24"/>
              </w:rPr>
              <w:t>11</w:t>
            </w:r>
          </w:p>
        </w:tc>
        <w:tc>
          <w:tcPr>
            <w:tcW w:w="3207" w:type="dxa"/>
            <w:tcBorders>
              <w:top w:val="single" w:sz="4" w:space="0" w:color="000000"/>
              <w:left w:val="single" w:sz="4" w:space="0" w:color="000000"/>
              <w:bottom w:val="single" w:sz="4" w:space="0" w:color="000000"/>
              <w:right w:val="single" w:sz="4" w:space="0" w:color="000000"/>
            </w:tcBorders>
            <w:vAlign w:val="center"/>
          </w:tcPr>
          <w:p w:rsidR="00286780" w:rsidRPr="004A0CF0" w:rsidRDefault="00286780" w:rsidP="00FA7C6C">
            <w:pPr>
              <w:snapToGrid w:val="0"/>
              <w:jc w:val="center"/>
              <w:rPr>
                <w:sz w:val="24"/>
                <w:szCs w:val="24"/>
              </w:rPr>
            </w:pPr>
            <w:r w:rsidRPr="004A0CF0">
              <w:rPr>
                <w:sz w:val="24"/>
                <w:szCs w:val="24"/>
              </w:rPr>
              <w:t>34,4</w:t>
            </w:r>
          </w:p>
        </w:tc>
      </w:tr>
      <w:tr w:rsidR="00286780" w:rsidRPr="004A0CF0" w:rsidTr="00A43C2B">
        <w:trPr>
          <w:trHeight w:val="277"/>
        </w:trPr>
        <w:tc>
          <w:tcPr>
            <w:tcW w:w="3314" w:type="dxa"/>
            <w:tcBorders>
              <w:top w:val="single" w:sz="4" w:space="0" w:color="000000"/>
              <w:left w:val="single" w:sz="4" w:space="0" w:color="000000"/>
              <w:bottom w:val="single" w:sz="4" w:space="0" w:color="000000"/>
            </w:tcBorders>
            <w:vAlign w:val="center"/>
          </w:tcPr>
          <w:p w:rsidR="00286780" w:rsidRPr="004A0CF0" w:rsidRDefault="00286780" w:rsidP="00FA7C6C">
            <w:pPr>
              <w:snapToGrid w:val="0"/>
              <w:jc w:val="both"/>
              <w:rPr>
                <w:sz w:val="24"/>
                <w:szCs w:val="24"/>
              </w:rPr>
            </w:pPr>
            <w:r w:rsidRPr="004A0CF0">
              <w:rPr>
                <w:sz w:val="24"/>
                <w:szCs w:val="24"/>
                <w:lang w:val="en-US"/>
              </w:rPr>
              <w:t>I</w:t>
            </w:r>
            <w:r w:rsidRPr="004A0CF0">
              <w:rPr>
                <w:sz w:val="24"/>
                <w:szCs w:val="24"/>
              </w:rPr>
              <w:t xml:space="preserve"> ФК</w:t>
            </w:r>
          </w:p>
        </w:tc>
        <w:tc>
          <w:tcPr>
            <w:tcW w:w="3402" w:type="dxa"/>
            <w:tcBorders>
              <w:top w:val="single" w:sz="4" w:space="0" w:color="000000"/>
              <w:left w:val="single" w:sz="4" w:space="0" w:color="000000"/>
              <w:bottom w:val="single" w:sz="4" w:space="0" w:color="000000"/>
            </w:tcBorders>
            <w:vAlign w:val="center"/>
          </w:tcPr>
          <w:p w:rsidR="00286780" w:rsidRPr="004A0CF0" w:rsidRDefault="00286780" w:rsidP="00FA7C6C">
            <w:pPr>
              <w:snapToGrid w:val="0"/>
              <w:jc w:val="center"/>
              <w:rPr>
                <w:sz w:val="24"/>
                <w:szCs w:val="24"/>
              </w:rPr>
            </w:pPr>
            <w:r w:rsidRPr="004A0CF0">
              <w:rPr>
                <w:sz w:val="24"/>
                <w:szCs w:val="24"/>
              </w:rPr>
              <w:t>7</w:t>
            </w:r>
          </w:p>
        </w:tc>
        <w:tc>
          <w:tcPr>
            <w:tcW w:w="3207" w:type="dxa"/>
            <w:tcBorders>
              <w:top w:val="single" w:sz="4" w:space="0" w:color="000000"/>
              <w:left w:val="single" w:sz="4" w:space="0" w:color="000000"/>
              <w:bottom w:val="single" w:sz="4" w:space="0" w:color="000000"/>
              <w:right w:val="single" w:sz="4" w:space="0" w:color="000000"/>
            </w:tcBorders>
            <w:vAlign w:val="center"/>
          </w:tcPr>
          <w:p w:rsidR="00286780" w:rsidRPr="004A0CF0" w:rsidRDefault="00286780" w:rsidP="00FA7C6C">
            <w:pPr>
              <w:snapToGrid w:val="0"/>
              <w:jc w:val="center"/>
              <w:rPr>
                <w:sz w:val="24"/>
                <w:szCs w:val="24"/>
              </w:rPr>
            </w:pPr>
            <w:r w:rsidRPr="004A0CF0">
              <w:rPr>
                <w:sz w:val="24"/>
                <w:szCs w:val="24"/>
              </w:rPr>
              <w:t>21,9</w:t>
            </w:r>
          </w:p>
        </w:tc>
      </w:tr>
      <w:tr w:rsidR="00286780" w:rsidRPr="004A0CF0" w:rsidTr="00A43C2B">
        <w:trPr>
          <w:trHeight w:val="268"/>
        </w:trPr>
        <w:tc>
          <w:tcPr>
            <w:tcW w:w="3314" w:type="dxa"/>
            <w:tcBorders>
              <w:top w:val="single" w:sz="4" w:space="0" w:color="000000"/>
              <w:left w:val="single" w:sz="4" w:space="0" w:color="000000"/>
              <w:bottom w:val="single" w:sz="4" w:space="0" w:color="000000"/>
            </w:tcBorders>
            <w:vAlign w:val="center"/>
          </w:tcPr>
          <w:p w:rsidR="00286780" w:rsidRPr="004A0CF0" w:rsidRDefault="00286780" w:rsidP="00FA7C6C">
            <w:pPr>
              <w:snapToGrid w:val="0"/>
              <w:jc w:val="both"/>
              <w:rPr>
                <w:sz w:val="24"/>
                <w:szCs w:val="24"/>
              </w:rPr>
            </w:pPr>
            <w:r w:rsidRPr="004A0CF0">
              <w:rPr>
                <w:sz w:val="24"/>
                <w:szCs w:val="24"/>
                <w:lang w:val="en-US"/>
              </w:rPr>
              <w:t>II</w:t>
            </w:r>
            <w:r w:rsidRPr="004A0CF0">
              <w:rPr>
                <w:sz w:val="24"/>
                <w:szCs w:val="24"/>
              </w:rPr>
              <w:t xml:space="preserve"> ФК</w:t>
            </w:r>
          </w:p>
        </w:tc>
        <w:tc>
          <w:tcPr>
            <w:tcW w:w="3402" w:type="dxa"/>
            <w:tcBorders>
              <w:top w:val="single" w:sz="4" w:space="0" w:color="000000"/>
              <w:left w:val="single" w:sz="4" w:space="0" w:color="000000"/>
              <w:bottom w:val="single" w:sz="4" w:space="0" w:color="000000"/>
            </w:tcBorders>
            <w:vAlign w:val="center"/>
          </w:tcPr>
          <w:p w:rsidR="00286780" w:rsidRPr="004A0CF0" w:rsidRDefault="00286780" w:rsidP="00FA7C6C">
            <w:pPr>
              <w:snapToGrid w:val="0"/>
              <w:jc w:val="center"/>
              <w:rPr>
                <w:sz w:val="24"/>
                <w:szCs w:val="24"/>
              </w:rPr>
            </w:pPr>
            <w:r w:rsidRPr="004A0CF0">
              <w:rPr>
                <w:sz w:val="24"/>
                <w:szCs w:val="24"/>
              </w:rPr>
              <w:t>12</w:t>
            </w:r>
          </w:p>
        </w:tc>
        <w:tc>
          <w:tcPr>
            <w:tcW w:w="3207" w:type="dxa"/>
            <w:tcBorders>
              <w:top w:val="single" w:sz="4" w:space="0" w:color="000000"/>
              <w:left w:val="single" w:sz="4" w:space="0" w:color="000000"/>
              <w:bottom w:val="single" w:sz="4" w:space="0" w:color="000000"/>
              <w:right w:val="single" w:sz="4" w:space="0" w:color="000000"/>
            </w:tcBorders>
            <w:vAlign w:val="center"/>
          </w:tcPr>
          <w:p w:rsidR="00286780" w:rsidRPr="004A0CF0" w:rsidRDefault="00286780" w:rsidP="00FA7C6C">
            <w:pPr>
              <w:snapToGrid w:val="0"/>
              <w:jc w:val="center"/>
              <w:rPr>
                <w:sz w:val="24"/>
                <w:szCs w:val="24"/>
              </w:rPr>
            </w:pPr>
            <w:r w:rsidRPr="004A0CF0">
              <w:rPr>
                <w:sz w:val="24"/>
                <w:szCs w:val="24"/>
              </w:rPr>
              <w:t>37,5</w:t>
            </w:r>
          </w:p>
        </w:tc>
      </w:tr>
      <w:tr w:rsidR="00286780" w:rsidRPr="004A0CF0" w:rsidTr="00FA7C6C">
        <w:trPr>
          <w:trHeight w:val="329"/>
        </w:trPr>
        <w:tc>
          <w:tcPr>
            <w:tcW w:w="3314" w:type="dxa"/>
            <w:tcBorders>
              <w:top w:val="single" w:sz="4" w:space="0" w:color="000000"/>
              <w:left w:val="single" w:sz="4" w:space="0" w:color="000000"/>
              <w:bottom w:val="single" w:sz="4" w:space="0" w:color="000000"/>
            </w:tcBorders>
            <w:vAlign w:val="center"/>
          </w:tcPr>
          <w:p w:rsidR="00286780" w:rsidRPr="004A0CF0" w:rsidRDefault="00286780" w:rsidP="00FA7C6C">
            <w:pPr>
              <w:snapToGrid w:val="0"/>
              <w:jc w:val="both"/>
              <w:rPr>
                <w:sz w:val="24"/>
                <w:szCs w:val="24"/>
              </w:rPr>
            </w:pPr>
            <w:r w:rsidRPr="004A0CF0">
              <w:rPr>
                <w:sz w:val="24"/>
                <w:szCs w:val="24"/>
                <w:lang w:val="en-US"/>
              </w:rPr>
              <w:t>III</w:t>
            </w:r>
            <w:r w:rsidRPr="004A0CF0">
              <w:rPr>
                <w:sz w:val="24"/>
                <w:szCs w:val="24"/>
              </w:rPr>
              <w:t xml:space="preserve"> ФК</w:t>
            </w:r>
          </w:p>
        </w:tc>
        <w:tc>
          <w:tcPr>
            <w:tcW w:w="3402" w:type="dxa"/>
            <w:tcBorders>
              <w:top w:val="single" w:sz="4" w:space="0" w:color="000000"/>
              <w:left w:val="single" w:sz="4" w:space="0" w:color="000000"/>
              <w:bottom w:val="single" w:sz="4" w:space="0" w:color="000000"/>
            </w:tcBorders>
            <w:vAlign w:val="center"/>
          </w:tcPr>
          <w:p w:rsidR="00286780" w:rsidRPr="004A0CF0" w:rsidRDefault="00286780" w:rsidP="00FA7C6C">
            <w:pPr>
              <w:snapToGrid w:val="0"/>
              <w:jc w:val="center"/>
              <w:rPr>
                <w:sz w:val="24"/>
                <w:szCs w:val="24"/>
              </w:rPr>
            </w:pPr>
            <w:r w:rsidRPr="004A0CF0">
              <w:rPr>
                <w:sz w:val="24"/>
                <w:szCs w:val="24"/>
              </w:rPr>
              <w:t>2</w:t>
            </w:r>
          </w:p>
        </w:tc>
        <w:tc>
          <w:tcPr>
            <w:tcW w:w="3207" w:type="dxa"/>
            <w:tcBorders>
              <w:top w:val="single" w:sz="4" w:space="0" w:color="000000"/>
              <w:left w:val="single" w:sz="4" w:space="0" w:color="000000"/>
              <w:bottom w:val="single" w:sz="4" w:space="0" w:color="000000"/>
              <w:right w:val="single" w:sz="4" w:space="0" w:color="000000"/>
            </w:tcBorders>
            <w:vAlign w:val="center"/>
          </w:tcPr>
          <w:p w:rsidR="00286780" w:rsidRPr="004A0CF0" w:rsidRDefault="00286780" w:rsidP="00FA7C6C">
            <w:pPr>
              <w:snapToGrid w:val="0"/>
              <w:jc w:val="center"/>
              <w:rPr>
                <w:sz w:val="24"/>
                <w:szCs w:val="24"/>
              </w:rPr>
            </w:pPr>
            <w:r w:rsidRPr="004A0CF0">
              <w:rPr>
                <w:sz w:val="24"/>
                <w:szCs w:val="24"/>
              </w:rPr>
              <w:t>6,2</w:t>
            </w:r>
          </w:p>
        </w:tc>
      </w:tr>
      <w:tr w:rsidR="00286780" w:rsidRPr="004A0CF0" w:rsidTr="00FA7C6C">
        <w:trPr>
          <w:trHeight w:val="307"/>
        </w:trPr>
        <w:tc>
          <w:tcPr>
            <w:tcW w:w="3314" w:type="dxa"/>
            <w:tcBorders>
              <w:top w:val="single" w:sz="4" w:space="0" w:color="000000"/>
              <w:left w:val="single" w:sz="4" w:space="0" w:color="000000"/>
              <w:bottom w:val="single" w:sz="4" w:space="0" w:color="000000"/>
            </w:tcBorders>
            <w:vAlign w:val="center"/>
          </w:tcPr>
          <w:p w:rsidR="00286780" w:rsidRPr="004A0CF0" w:rsidRDefault="00286780" w:rsidP="00FA7C6C">
            <w:pPr>
              <w:snapToGrid w:val="0"/>
              <w:jc w:val="both"/>
              <w:rPr>
                <w:sz w:val="24"/>
                <w:szCs w:val="24"/>
              </w:rPr>
            </w:pPr>
            <w:r w:rsidRPr="004A0CF0">
              <w:rPr>
                <w:sz w:val="24"/>
                <w:szCs w:val="24"/>
                <w:lang w:val="en-US"/>
              </w:rPr>
              <w:t xml:space="preserve">IV </w:t>
            </w:r>
            <w:r w:rsidRPr="004A0CF0">
              <w:rPr>
                <w:sz w:val="24"/>
                <w:szCs w:val="24"/>
              </w:rPr>
              <w:t>ФК</w:t>
            </w:r>
          </w:p>
        </w:tc>
        <w:tc>
          <w:tcPr>
            <w:tcW w:w="3402" w:type="dxa"/>
            <w:tcBorders>
              <w:top w:val="single" w:sz="4" w:space="0" w:color="000000"/>
              <w:left w:val="single" w:sz="4" w:space="0" w:color="000000"/>
              <w:bottom w:val="single" w:sz="4" w:space="0" w:color="000000"/>
            </w:tcBorders>
            <w:vAlign w:val="center"/>
          </w:tcPr>
          <w:p w:rsidR="00286780" w:rsidRPr="004A0CF0" w:rsidRDefault="00286780" w:rsidP="00FA7C6C">
            <w:pPr>
              <w:snapToGrid w:val="0"/>
              <w:jc w:val="center"/>
              <w:rPr>
                <w:sz w:val="24"/>
                <w:szCs w:val="24"/>
              </w:rPr>
            </w:pPr>
            <w:r w:rsidRPr="004A0CF0">
              <w:rPr>
                <w:sz w:val="24"/>
                <w:szCs w:val="24"/>
              </w:rPr>
              <w:t>0</w:t>
            </w:r>
          </w:p>
        </w:tc>
        <w:tc>
          <w:tcPr>
            <w:tcW w:w="3207" w:type="dxa"/>
            <w:tcBorders>
              <w:top w:val="single" w:sz="4" w:space="0" w:color="000000"/>
              <w:left w:val="single" w:sz="4" w:space="0" w:color="000000"/>
              <w:bottom w:val="single" w:sz="4" w:space="0" w:color="000000"/>
              <w:right w:val="single" w:sz="4" w:space="0" w:color="000000"/>
            </w:tcBorders>
            <w:vAlign w:val="center"/>
          </w:tcPr>
          <w:p w:rsidR="00286780" w:rsidRPr="004A0CF0" w:rsidRDefault="00286780" w:rsidP="00FA7C6C">
            <w:pPr>
              <w:snapToGrid w:val="0"/>
              <w:jc w:val="center"/>
              <w:rPr>
                <w:sz w:val="24"/>
                <w:szCs w:val="24"/>
              </w:rPr>
            </w:pPr>
            <w:r w:rsidRPr="004A0CF0">
              <w:rPr>
                <w:sz w:val="24"/>
                <w:szCs w:val="24"/>
              </w:rPr>
              <w:t>0,0</w:t>
            </w:r>
          </w:p>
        </w:tc>
      </w:tr>
      <w:tr w:rsidR="00286780" w:rsidRPr="004A0CF0" w:rsidTr="00FA7C6C">
        <w:trPr>
          <w:trHeight w:val="258"/>
        </w:trPr>
        <w:tc>
          <w:tcPr>
            <w:tcW w:w="3314" w:type="dxa"/>
            <w:tcBorders>
              <w:top w:val="single" w:sz="4" w:space="0" w:color="000000"/>
              <w:left w:val="single" w:sz="4" w:space="0" w:color="000000"/>
              <w:bottom w:val="single" w:sz="4" w:space="0" w:color="000000"/>
            </w:tcBorders>
            <w:vAlign w:val="center"/>
          </w:tcPr>
          <w:p w:rsidR="00286780" w:rsidRPr="004A0CF0" w:rsidRDefault="00286780" w:rsidP="00FA7C6C">
            <w:pPr>
              <w:snapToGrid w:val="0"/>
              <w:jc w:val="both"/>
              <w:rPr>
                <w:sz w:val="24"/>
                <w:szCs w:val="24"/>
              </w:rPr>
            </w:pPr>
            <w:r w:rsidRPr="004A0CF0">
              <w:rPr>
                <w:sz w:val="24"/>
                <w:szCs w:val="24"/>
              </w:rPr>
              <w:t>Итого</w:t>
            </w:r>
          </w:p>
        </w:tc>
        <w:tc>
          <w:tcPr>
            <w:tcW w:w="3402" w:type="dxa"/>
            <w:tcBorders>
              <w:top w:val="single" w:sz="4" w:space="0" w:color="000000"/>
              <w:left w:val="single" w:sz="4" w:space="0" w:color="000000"/>
              <w:bottom w:val="single" w:sz="4" w:space="0" w:color="000000"/>
            </w:tcBorders>
            <w:vAlign w:val="center"/>
          </w:tcPr>
          <w:p w:rsidR="00286780" w:rsidRPr="004A0CF0" w:rsidRDefault="00286780" w:rsidP="00FA7C6C">
            <w:pPr>
              <w:snapToGrid w:val="0"/>
              <w:jc w:val="center"/>
              <w:rPr>
                <w:sz w:val="24"/>
                <w:szCs w:val="24"/>
              </w:rPr>
            </w:pPr>
            <w:r w:rsidRPr="004A0CF0">
              <w:rPr>
                <w:sz w:val="24"/>
                <w:szCs w:val="24"/>
              </w:rPr>
              <w:t>32</w:t>
            </w:r>
          </w:p>
        </w:tc>
        <w:tc>
          <w:tcPr>
            <w:tcW w:w="3207" w:type="dxa"/>
            <w:tcBorders>
              <w:top w:val="single" w:sz="4" w:space="0" w:color="000000"/>
              <w:left w:val="single" w:sz="4" w:space="0" w:color="000000"/>
              <w:bottom w:val="single" w:sz="4" w:space="0" w:color="000000"/>
              <w:right w:val="single" w:sz="4" w:space="0" w:color="000000"/>
            </w:tcBorders>
            <w:vAlign w:val="center"/>
          </w:tcPr>
          <w:p w:rsidR="00286780" w:rsidRPr="004A0CF0" w:rsidRDefault="00286780" w:rsidP="00FA7C6C">
            <w:pPr>
              <w:snapToGrid w:val="0"/>
              <w:jc w:val="center"/>
              <w:rPr>
                <w:sz w:val="24"/>
                <w:szCs w:val="24"/>
              </w:rPr>
            </w:pPr>
            <w:r w:rsidRPr="004A0CF0">
              <w:rPr>
                <w:sz w:val="24"/>
                <w:szCs w:val="24"/>
              </w:rPr>
              <w:t>100</w:t>
            </w:r>
          </w:p>
        </w:tc>
      </w:tr>
      <w:tr w:rsidR="00286780" w:rsidRPr="004A0CF0" w:rsidTr="00A43C2B">
        <w:trPr>
          <w:trHeight w:val="172"/>
        </w:trPr>
        <w:tc>
          <w:tcPr>
            <w:tcW w:w="9923" w:type="dxa"/>
            <w:gridSpan w:val="3"/>
            <w:tcBorders>
              <w:top w:val="single" w:sz="4" w:space="0" w:color="000000"/>
              <w:left w:val="single" w:sz="4" w:space="0" w:color="000000"/>
              <w:bottom w:val="single" w:sz="4" w:space="0" w:color="000000"/>
              <w:right w:val="single" w:sz="4" w:space="0" w:color="000000"/>
            </w:tcBorders>
            <w:vAlign w:val="center"/>
          </w:tcPr>
          <w:p w:rsidR="00286780" w:rsidRPr="004A0CF0" w:rsidRDefault="00286780" w:rsidP="00FA7C6C">
            <w:pPr>
              <w:snapToGrid w:val="0"/>
              <w:jc w:val="center"/>
              <w:rPr>
                <w:sz w:val="24"/>
                <w:szCs w:val="24"/>
              </w:rPr>
            </w:pPr>
            <w:r w:rsidRPr="004A0CF0">
              <w:rPr>
                <w:i/>
                <w:sz w:val="24"/>
                <w:szCs w:val="24"/>
              </w:rPr>
              <w:t>Примечание</w:t>
            </w:r>
            <w:r w:rsidRPr="004A0CF0">
              <w:rPr>
                <w:sz w:val="24"/>
                <w:szCs w:val="24"/>
              </w:rPr>
              <w:t xml:space="preserve">. </w:t>
            </w:r>
            <w:r w:rsidRPr="004A0CF0">
              <w:rPr>
                <w:sz w:val="24"/>
                <w:szCs w:val="24"/>
                <w:lang w:val="en-US"/>
              </w:rPr>
              <w:t>NYHA</w:t>
            </w:r>
            <w:r w:rsidRPr="004A0CF0">
              <w:rPr>
                <w:sz w:val="24"/>
                <w:szCs w:val="24"/>
              </w:rPr>
              <w:t xml:space="preserve"> – Нью-Йоркская кардиологическая ассоциация</w:t>
            </w:r>
          </w:p>
        </w:tc>
      </w:tr>
    </w:tbl>
    <w:p w:rsidR="00286780" w:rsidRDefault="00286780" w:rsidP="00BD2F93">
      <w:pPr>
        <w:spacing w:line="360" w:lineRule="auto"/>
        <w:ind w:firstLine="709"/>
        <w:jc w:val="both"/>
        <w:rPr>
          <w:sz w:val="28"/>
          <w:szCs w:val="28"/>
        </w:rPr>
      </w:pPr>
    </w:p>
    <w:p w:rsidR="00286780" w:rsidRPr="004A0CF0" w:rsidRDefault="00286780" w:rsidP="00BD2F93">
      <w:pPr>
        <w:spacing w:line="360" w:lineRule="auto"/>
        <w:ind w:firstLine="709"/>
        <w:jc w:val="both"/>
        <w:rPr>
          <w:sz w:val="28"/>
          <w:szCs w:val="28"/>
        </w:rPr>
      </w:pPr>
      <w:r w:rsidRPr="004A0CF0">
        <w:rPr>
          <w:sz w:val="28"/>
          <w:szCs w:val="28"/>
        </w:rPr>
        <w:t>Для определения основных показателей центральной и периферической гемодина</w:t>
      </w:r>
      <w:r>
        <w:rPr>
          <w:sz w:val="28"/>
          <w:szCs w:val="28"/>
        </w:rPr>
        <w:t>мики (артериальное давление</w:t>
      </w:r>
      <w:r w:rsidRPr="004A0CF0">
        <w:rPr>
          <w:sz w:val="28"/>
          <w:szCs w:val="28"/>
        </w:rPr>
        <w:t xml:space="preserve">, </w:t>
      </w:r>
      <w:r w:rsidRPr="0071003B">
        <w:rPr>
          <w:color w:val="FFFFFF"/>
          <w:sz w:val="28"/>
          <w:szCs w:val="28"/>
        </w:rPr>
        <w:t>"</w:t>
      </w:r>
      <w:r w:rsidRPr="004A0CF0">
        <w:rPr>
          <w:sz w:val="28"/>
          <w:szCs w:val="28"/>
        </w:rPr>
        <w:t>ча</w:t>
      </w:r>
      <w:r>
        <w:rPr>
          <w:sz w:val="28"/>
          <w:szCs w:val="28"/>
        </w:rPr>
        <w:t>стота сердечных сокращений</w:t>
      </w:r>
      <w:r w:rsidRPr="004A0CF0">
        <w:rPr>
          <w:sz w:val="28"/>
          <w:szCs w:val="28"/>
        </w:rPr>
        <w:t>, удар</w:t>
      </w:r>
      <w:r>
        <w:rPr>
          <w:sz w:val="28"/>
          <w:szCs w:val="28"/>
        </w:rPr>
        <w:t>ный объем сердца</w:t>
      </w:r>
      <w:r w:rsidRPr="004A0CF0">
        <w:rPr>
          <w:sz w:val="28"/>
          <w:szCs w:val="28"/>
        </w:rPr>
        <w:t>, мин</w:t>
      </w:r>
      <w:r>
        <w:rPr>
          <w:sz w:val="28"/>
          <w:szCs w:val="28"/>
        </w:rPr>
        <w:t>утный объем кровообращения</w:t>
      </w:r>
      <w:r w:rsidRPr="004A0CF0">
        <w:rPr>
          <w:sz w:val="28"/>
          <w:szCs w:val="28"/>
        </w:rPr>
        <w:t>,</w:t>
      </w:r>
      <w:r w:rsidRPr="0071003B">
        <w:rPr>
          <w:color w:val="FFFFFF"/>
          <w:sz w:val="28"/>
          <w:szCs w:val="28"/>
        </w:rPr>
        <w:t xml:space="preserve"> «</w:t>
      </w:r>
      <w:r w:rsidRPr="004A0CF0">
        <w:rPr>
          <w:sz w:val="28"/>
          <w:szCs w:val="28"/>
        </w:rPr>
        <w:t xml:space="preserve"> общее периферическое сосуди</w:t>
      </w:r>
      <w:r>
        <w:rPr>
          <w:sz w:val="28"/>
          <w:szCs w:val="28"/>
        </w:rPr>
        <w:t>стое сопротивление</w:t>
      </w:r>
      <w:r w:rsidRPr="004A0CF0">
        <w:rPr>
          <w:sz w:val="28"/>
          <w:szCs w:val="28"/>
        </w:rPr>
        <w:t xml:space="preserve">) дополнительно сформирована контрольная </w:t>
      </w:r>
      <w:r>
        <w:rPr>
          <w:sz w:val="28"/>
          <w:szCs w:val="28"/>
        </w:rPr>
        <w:t>под</w:t>
      </w:r>
      <w:r w:rsidRPr="004A0CF0">
        <w:rPr>
          <w:sz w:val="28"/>
          <w:szCs w:val="28"/>
        </w:rPr>
        <w:t xml:space="preserve">группа № 1а (использован клинический материал городской поликлиники № 1), включающая 25 пациентов с заболеваниями сердечно-сосудистой системы (артериальная гипертония, ИБС), из них </w:t>
      </w:r>
      <w:r w:rsidRPr="0071003B">
        <w:rPr>
          <w:color w:val="FFFFFF"/>
          <w:sz w:val="28"/>
          <w:szCs w:val="28"/>
        </w:rPr>
        <w:t>"</w:t>
      </w:r>
      <w:r w:rsidRPr="004A0CF0">
        <w:rPr>
          <w:sz w:val="28"/>
          <w:szCs w:val="28"/>
        </w:rPr>
        <w:t xml:space="preserve">12 мужчин (48%), 13 женщин (52%), средний возраст – 47,8±1,3 лет. Контрольная </w:t>
      </w:r>
      <w:r w:rsidR="0021199A">
        <w:rPr>
          <w:sz w:val="28"/>
          <w:szCs w:val="28"/>
        </w:rPr>
        <w:t>под</w:t>
      </w:r>
      <w:r w:rsidRPr="004A0CF0">
        <w:rPr>
          <w:sz w:val="28"/>
          <w:szCs w:val="28"/>
        </w:rPr>
        <w:t xml:space="preserve">группа № 1а сопоставима с контрольной </w:t>
      </w:r>
      <w:r w:rsidR="0021199A">
        <w:rPr>
          <w:sz w:val="28"/>
          <w:szCs w:val="28"/>
        </w:rPr>
        <w:t>подгруппой № 1,</w:t>
      </w:r>
      <w:r w:rsidRPr="004A0CF0">
        <w:rPr>
          <w:sz w:val="28"/>
          <w:szCs w:val="28"/>
        </w:rPr>
        <w:t xml:space="preserve"> </w:t>
      </w:r>
      <w:r w:rsidR="0021199A">
        <w:rPr>
          <w:sz w:val="28"/>
          <w:szCs w:val="28"/>
        </w:rPr>
        <w:t>подгруппой № 1</w:t>
      </w:r>
      <w:r w:rsidRPr="004A0CF0">
        <w:rPr>
          <w:sz w:val="28"/>
          <w:szCs w:val="28"/>
        </w:rPr>
        <w:t xml:space="preserve"> по возрастно-половым характеристикам, индексу массы тела, методам лечения</w:t>
      </w:r>
      <w:r w:rsidRPr="0071003B">
        <w:rPr>
          <w:color w:val="FFFFFF"/>
          <w:sz w:val="28"/>
          <w:szCs w:val="28"/>
        </w:rPr>
        <w:t>"</w:t>
      </w:r>
      <w:r w:rsidRPr="004A0CF0">
        <w:rPr>
          <w:sz w:val="28"/>
          <w:szCs w:val="28"/>
        </w:rPr>
        <w:t xml:space="preserve"> хронической патологии сердечно-сосудистой системы (</w:t>
      </w:r>
      <w:r w:rsidRPr="004A0CF0">
        <w:rPr>
          <w:sz w:val="28"/>
          <w:szCs w:val="28"/>
          <w:lang w:val="en-US"/>
        </w:rPr>
        <w:t>p</w:t>
      </w:r>
      <w:r>
        <w:rPr>
          <w:sz w:val="28"/>
          <w:szCs w:val="28"/>
        </w:rPr>
        <w:t>&gt;</w:t>
      </w:r>
      <w:r w:rsidRPr="004A0CF0">
        <w:rPr>
          <w:sz w:val="28"/>
          <w:szCs w:val="28"/>
        </w:rPr>
        <w:t>0,05).</w:t>
      </w:r>
    </w:p>
    <w:p w:rsidR="00286780" w:rsidRPr="004A0CF0" w:rsidRDefault="00286780" w:rsidP="00BD2F93">
      <w:pPr>
        <w:spacing w:line="360" w:lineRule="auto"/>
        <w:ind w:firstLine="709"/>
        <w:jc w:val="both"/>
        <w:rPr>
          <w:sz w:val="28"/>
          <w:szCs w:val="28"/>
        </w:rPr>
      </w:pPr>
      <w:r w:rsidRPr="004A0CF0">
        <w:rPr>
          <w:sz w:val="28"/>
          <w:szCs w:val="28"/>
        </w:rPr>
        <w:t xml:space="preserve">Контрольная </w:t>
      </w:r>
      <w:r>
        <w:rPr>
          <w:sz w:val="28"/>
          <w:szCs w:val="28"/>
        </w:rPr>
        <w:t>под</w:t>
      </w:r>
      <w:r w:rsidRPr="004A0CF0">
        <w:rPr>
          <w:sz w:val="28"/>
          <w:szCs w:val="28"/>
        </w:rPr>
        <w:t xml:space="preserve">группа № 2 включает 26 пациентов с хронической патологией органов дыхания: хронической обструктивной болезнью легких (ХОБЛ) </w:t>
      </w:r>
      <w:r w:rsidRPr="004A0CF0">
        <w:rPr>
          <w:sz w:val="28"/>
          <w:szCs w:val="28"/>
          <w:lang w:val="en-US"/>
        </w:rPr>
        <w:t>I</w:t>
      </w:r>
      <w:r w:rsidRPr="004A0CF0">
        <w:rPr>
          <w:sz w:val="28"/>
          <w:szCs w:val="28"/>
        </w:rPr>
        <w:t>–</w:t>
      </w:r>
      <w:r w:rsidRPr="004A0CF0">
        <w:rPr>
          <w:sz w:val="28"/>
          <w:szCs w:val="28"/>
          <w:lang w:val="en-US"/>
        </w:rPr>
        <w:t>III</w:t>
      </w:r>
      <w:r w:rsidRPr="004A0CF0">
        <w:rPr>
          <w:sz w:val="28"/>
          <w:szCs w:val="28"/>
        </w:rPr>
        <w:t xml:space="preserve"> стадии (18 больных), бронхиальной астмой (двое больных), хроническим обструктивным бронхитом (шесть больных). Территориальная принадлежность пациентов контрольной </w:t>
      </w:r>
      <w:r w:rsidR="0021199A">
        <w:rPr>
          <w:sz w:val="28"/>
          <w:szCs w:val="28"/>
        </w:rPr>
        <w:t>под</w:t>
      </w:r>
      <w:r w:rsidRPr="004A0CF0">
        <w:rPr>
          <w:sz w:val="28"/>
          <w:szCs w:val="28"/>
        </w:rPr>
        <w:t xml:space="preserve">группы № 3: 17 больных находились на стационарном лечении в отделении пульмонологии Курской областной клинической больнице (2018 г.), девять пациентов наблюдались амбулаторно у пульмонолога в условиях городской поликлиники № 1. Возрастно-половые характеристики контрольной </w:t>
      </w:r>
      <w:r w:rsidR="00E425F6">
        <w:rPr>
          <w:sz w:val="28"/>
          <w:szCs w:val="28"/>
        </w:rPr>
        <w:lastRenderedPageBreak/>
        <w:t>под</w:t>
      </w:r>
      <w:r w:rsidRPr="004A0CF0">
        <w:rPr>
          <w:sz w:val="28"/>
          <w:szCs w:val="28"/>
        </w:rPr>
        <w:t>группы № 2: мужчин – 16 (61,5%), женщин – 10 (38,5%); средний возраст – 45,0±2,49 лет. Критерии исключения: острый воспалительный процесс, сахарный диабет, гепатит</w:t>
      </w:r>
      <w:r>
        <w:rPr>
          <w:sz w:val="28"/>
          <w:szCs w:val="28"/>
        </w:rPr>
        <w:t xml:space="preserve">, </w:t>
      </w:r>
      <w:r w:rsidRPr="004A0CF0">
        <w:rPr>
          <w:sz w:val="28"/>
          <w:szCs w:val="28"/>
        </w:rPr>
        <w:t xml:space="preserve">цирроз печени, наркомания, тяжелая декомпенсированная сердечно-сосудистая недостаточность. Коморбидная патология сердечно-сосудистой системы диагностирована у 11 пациентов (42,3%), представлена артериальной гипертонией </w:t>
      </w:r>
      <w:r w:rsidRPr="004A0CF0">
        <w:rPr>
          <w:sz w:val="28"/>
          <w:szCs w:val="28"/>
          <w:lang w:val="en-US"/>
        </w:rPr>
        <w:t>I</w:t>
      </w:r>
      <w:r w:rsidRPr="004A0CF0">
        <w:rPr>
          <w:sz w:val="28"/>
          <w:szCs w:val="28"/>
        </w:rPr>
        <w:t xml:space="preserve"> и </w:t>
      </w:r>
      <w:r w:rsidRPr="004A0CF0">
        <w:rPr>
          <w:sz w:val="28"/>
          <w:szCs w:val="28"/>
          <w:lang w:val="en-US"/>
        </w:rPr>
        <w:t>II</w:t>
      </w:r>
      <w:r w:rsidRPr="004A0CF0">
        <w:rPr>
          <w:sz w:val="28"/>
          <w:szCs w:val="28"/>
        </w:rPr>
        <w:t xml:space="preserve"> степ</w:t>
      </w:r>
      <w:r>
        <w:rPr>
          <w:sz w:val="28"/>
          <w:szCs w:val="28"/>
        </w:rPr>
        <w:t>ени, ИБС</w:t>
      </w:r>
      <w:r w:rsidRPr="004A0CF0">
        <w:rPr>
          <w:sz w:val="28"/>
          <w:szCs w:val="28"/>
        </w:rPr>
        <w:t xml:space="preserve"> (стабильная стенокардия напряжения, фибрилляция предсердий). Пациенты контрольной </w:t>
      </w:r>
      <w:r w:rsidR="0021199A">
        <w:rPr>
          <w:sz w:val="28"/>
          <w:szCs w:val="28"/>
        </w:rPr>
        <w:t>под</w:t>
      </w:r>
      <w:r w:rsidRPr="004A0CF0">
        <w:rPr>
          <w:sz w:val="28"/>
          <w:szCs w:val="28"/>
        </w:rPr>
        <w:t xml:space="preserve">группы № 2 получали терапию, назначаемую при хронической патологии органов дыхания (бронходилататоры, глюкокортикостероиды, антихолинергические препараты, метилксантины, антиоксиданты, ингибиторы фосфодиэстеразы). Контрольная </w:t>
      </w:r>
      <w:r>
        <w:rPr>
          <w:sz w:val="28"/>
          <w:szCs w:val="28"/>
        </w:rPr>
        <w:t>под</w:t>
      </w:r>
      <w:r w:rsidRPr="004A0CF0">
        <w:rPr>
          <w:sz w:val="28"/>
          <w:szCs w:val="28"/>
        </w:rPr>
        <w:t>гр</w:t>
      </w:r>
      <w:r w:rsidR="0021199A">
        <w:rPr>
          <w:sz w:val="28"/>
          <w:szCs w:val="28"/>
        </w:rPr>
        <w:t>уппа № 2 сопоставима с под</w:t>
      </w:r>
      <w:r w:rsidRPr="004A0CF0">
        <w:rPr>
          <w:sz w:val="28"/>
          <w:szCs w:val="28"/>
        </w:rPr>
        <w:t>группой № 2 по возрастно-половым и антропометрическим характеристикам, характеру и степени тяжести патологии органов дыхания, степени тяжести дыхательной недостаточности и нарушений функции дыхания, распространенности, характеру и степени тяжести коморбидной патологии сердечно-сосудистой системы, проводимой терапии (</w:t>
      </w:r>
      <w:r w:rsidRPr="004A0CF0">
        <w:rPr>
          <w:sz w:val="28"/>
          <w:szCs w:val="28"/>
          <w:lang w:val="en-US"/>
        </w:rPr>
        <w:t>p</w:t>
      </w:r>
      <w:r>
        <w:rPr>
          <w:sz w:val="28"/>
          <w:szCs w:val="28"/>
        </w:rPr>
        <w:t>&gt;</w:t>
      </w:r>
      <w:r w:rsidRPr="004A0CF0">
        <w:rPr>
          <w:sz w:val="28"/>
          <w:szCs w:val="28"/>
        </w:rPr>
        <w:t>0,05).</w:t>
      </w:r>
    </w:p>
    <w:p w:rsidR="00286780" w:rsidRPr="004A0CF0" w:rsidRDefault="00286780" w:rsidP="00BD2F93">
      <w:pPr>
        <w:spacing w:line="360" w:lineRule="auto"/>
        <w:ind w:firstLine="709"/>
        <w:jc w:val="both"/>
        <w:rPr>
          <w:sz w:val="28"/>
          <w:szCs w:val="28"/>
        </w:rPr>
      </w:pPr>
      <w:r w:rsidRPr="004A0CF0">
        <w:rPr>
          <w:sz w:val="28"/>
          <w:szCs w:val="28"/>
        </w:rPr>
        <w:t xml:space="preserve">Контрольная </w:t>
      </w:r>
      <w:r>
        <w:rPr>
          <w:sz w:val="28"/>
          <w:szCs w:val="28"/>
        </w:rPr>
        <w:t>под</w:t>
      </w:r>
      <w:r w:rsidRPr="004A0CF0">
        <w:rPr>
          <w:sz w:val="28"/>
          <w:szCs w:val="28"/>
        </w:rPr>
        <w:t>группа № 3 включает 3</w:t>
      </w:r>
      <w:r>
        <w:rPr>
          <w:sz w:val="28"/>
          <w:szCs w:val="28"/>
        </w:rPr>
        <w:t>0 пациентов с сахарным диабетом</w:t>
      </w:r>
      <w:r w:rsidRPr="00BA3FD5">
        <w:rPr>
          <w:color w:val="FFFFFF"/>
          <w:sz w:val="28"/>
          <w:szCs w:val="28"/>
        </w:rPr>
        <w:t>"</w:t>
      </w:r>
      <w:r w:rsidRPr="004A0CF0">
        <w:rPr>
          <w:sz w:val="28"/>
          <w:szCs w:val="28"/>
        </w:rPr>
        <w:t>(са</w:t>
      </w:r>
      <w:r>
        <w:rPr>
          <w:sz w:val="28"/>
          <w:szCs w:val="28"/>
        </w:rPr>
        <w:t>харный диабет 2-го типа</w:t>
      </w:r>
      <w:r w:rsidRPr="00BA3FD5">
        <w:rPr>
          <w:color w:val="FFFFFF"/>
          <w:sz w:val="28"/>
          <w:szCs w:val="28"/>
        </w:rPr>
        <w:t>"</w:t>
      </w:r>
      <w:r>
        <w:rPr>
          <w:sz w:val="28"/>
          <w:szCs w:val="28"/>
        </w:rPr>
        <w:t>– 28</w:t>
      </w:r>
      <w:r w:rsidRPr="00BA3FD5">
        <w:rPr>
          <w:color w:val="FFFFFF"/>
          <w:sz w:val="28"/>
          <w:szCs w:val="28"/>
        </w:rPr>
        <w:t>"</w:t>
      </w:r>
      <w:r w:rsidRPr="004A0CF0">
        <w:rPr>
          <w:sz w:val="28"/>
          <w:szCs w:val="28"/>
        </w:rPr>
        <w:t>больных, сахарный диаб</w:t>
      </w:r>
      <w:r>
        <w:rPr>
          <w:sz w:val="28"/>
          <w:szCs w:val="28"/>
        </w:rPr>
        <w:t>ет 1-го типа</w:t>
      </w:r>
      <w:r w:rsidRPr="004A0CF0">
        <w:rPr>
          <w:sz w:val="28"/>
          <w:szCs w:val="28"/>
        </w:rPr>
        <w:t>– два пациента), находившихся на стационарном лечении в отделении эндокринологии Курской областной</w:t>
      </w:r>
      <w:r>
        <w:rPr>
          <w:sz w:val="28"/>
          <w:szCs w:val="28"/>
        </w:rPr>
        <w:t xml:space="preserve"> клинической больницы в 2018 г. </w:t>
      </w:r>
      <w:r w:rsidRPr="004A0CF0">
        <w:rPr>
          <w:sz w:val="28"/>
          <w:szCs w:val="28"/>
        </w:rPr>
        <w:t xml:space="preserve">Возрастно-половые характеристики контрольной </w:t>
      </w:r>
      <w:r>
        <w:rPr>
          <w:sz w:val="28"/>
          <w:szCs w:val="28"/>
        </w:rPr>
        <w:t>под</w:t>
      </w:r>
      <w:r w:rsidRPr="004A0CF0">
        <w:rPr>
          <w:sz w:val="28"/>
          <w:szCs w:val="28"/>
        </w:rPr>
        <w:t>группы № 3: мужчин – 12 (40%), женщин – 18 (60%), средний возраст – 52,2±</w:t>
      </w:r>
      <w:r>
        <w:rPr>
          <w:sz w:val="28"/>
          <w:szCs w:val="28"/>
        </w:rPr>
        <w:t>2,44 года. Критерии исключения:</w:t>
      </w:r>
      <w:r w:rsidRPr="007669C7">
        <w:rPr>
          <w:color w:val="FFFFFF"/>
          <w:sz w:val="28"/>
          <w:szCs w:val="28"/>
        </w:rPr>
        <w:t>"</w:t>
      </w:r>
      <w:r w:rsidRPr="004A0CF0">
        <w:rPr>
          <w:sz w:val="28"/>
          <w:szCs w:val="28"/>
        </w:rPr>
        <w:t>острый воспалительный про</w:t>
      </w:r>
      <w:r>
        <w:rPr>
          <w:sz w:val="28"/>
          <w:szCs w:val="28"/>
        </w:rPr>
        <w:t xml:space="preserve">цесс, </w:t>
      </w:r>
      <w:r w:rsidRPr="004A0CF0">
        <w:rPr>
          <w:sz w:val="28"/>
          <w:szCs w:val="28"/>
        </w:rPr>
        <w:t xml:space="preserve">гепатит, цирроз печени, наркомания, тяжелая декомпенсированная сердечно-сосудистая недостаточность, диабетические комы, болезни органов дыхания. Хроническая патология сердечно-сосудистой системы диагностирована у 22 пациентов (73,3%), представлена артериальной гипертонией </w:t>
      </w:r>
      <w:r w:rsidRPr="004A0CF0">
        <w:rPr>
          <w:sz w:val="28"/>
          <w:szCs w:val="28"/>
          <w:lang w:val="en-US"/>
        </w:rPr>
        <w:t>I</w:t>
      </w:r>
      <w:r w:rsidRPr="004A0CF0">
        <w:rPr>
          <w:sz w:val="28"/>
          <w:szCs w:val="28"/>
        </w:rPr>
        <w:t xml:space="preserve">, </w:t>
      </w:r>
      <w:r w:rsidRPr="004A0CF0">
        <w:rPr>
          <w:sz w:val="28"/>
          <w:szCs w:val="28"/>
          <w:lang w:val="en-US"/>
        </w:rPr>
        <w:t>II</w:t>
      </w:r>
      <w:r w:rsidRPr="004A0CF0">
        <w:rPr>
          <w:sz w:val="28"/>
          <w:szCs w:val="28"/>
        </w:rPr>
        <w:t xml:space="preserve">, </w:t>
      </w:r>
      <w:r w:rsidRPr="004A0CF0">
        <w:rPr>
          <w:sz w:val="28"/>
          <w:szCs w:val="28"/>
          <w:lang w:val="en-US"/>
        </w:rPr>
        <w:t>III</w:t>
      </w:r>
      <w:r w:rsidRPr="004A0CF0">
        <w:rPr>
          <w:sz w:val="28"/>
          <w:szCs w:val="28"/>
        </w:rPr>
        <w:t xml:space="preserve"> степени, ишемической болезнью сердца (стабильная стенокардия напряжения, фибрилля</w:t>
      </w:r>
      <w:r>
        <w:rPr>
          <w:sz w:val="28"/>
          <w:szCs w:val="28"/>
        </w:rPr>
        <w:t xml:space="preserve">ция предсердий). </w:t>
      </w:r>
      <w:r w:rsidRPr="004A0CF0">
        <w:rPr>
          <w:sz w:val="28"/>
          <w:szCs w:val="28"/>
        </w:rPr>
        <w:t xml:space="preserve">Пациенты контрольной </w:t>
      </w:r>
      <w:r>
        <w:rPr>
          <w:sz w:val="28"/>
          <w:szCs w:val="28"/>
        </w:rPr>
        <w:t>под</w:t>
      </w:r>
      <w:r w:rsidRPr="004A0CF0">
        <w:rPr>
          <w:sz w:val="28"/>
          <w:szCs w:val="28"/>
        </w:rPr>
        <w:t xml:space="preserve">группы № 3 получали стандартную терапию, назначаемую при сахарном диабете (инсулинотерапия, пероральные сахароснижающие препараты). Контрольная </w:t>
      </w:r>
      <w:r>
        <w:rPr>
          <w:sz w:val="28"/>
          <w:szCs w:val="28"/>
        </w:rPr>
        <w:t>под</w:t>
      </w:r>
      <w:r w:rsidRPr="004A0CF0">
        <w:rPr>
          <w:sz w:val="28"/>
          <w:szCs w:val="28"/>
        </w:rPr>
        <w:t xml:space="preserve">группа № 3 сопоставима с основной </w:t>
      </w:r>
      <w:r w:rsidR="00E425F6">
        <w:rPr>
          <w:sz w:val="28"/>
          <w:szCs w:val="28"/>
        </w:rPr>
        <w:t>под</w:t>
      </w:r>
      <w:r w:rsidRPr="004A0CF0">
        <w:rPr>
          <w:sz w:val="28"/>
          <w:szCs w:val="28"/>
        </w:rPr>
        <w:t>группой № 3 по возрастно-половым и антропометрическим характеристи</w:t>
      </w:r>
      <w:r w:rsidRPr="004A0CF0">
        <w:rPr>
          <w:sz w:val="28"/>
          <w:szCs w:val="28"/>
        </w:rPr>
        <w:lastRenderedPageBreak/>
        <w:t>кам, структуре патологии, характеру и степени компенсации гликемических нарушений, распространенности, характеру и степени тяжести хронической патологии сердечно-сосудистой системы, проводимой терапии (</w:t>
      </w:r>
      <w:r w:rsidRPr="004A0CF0">
        <w:rPr>
          <w:sz w:val="28"/>
          <w:szCs w:val="28"/>
          <w:lang w:val="en-US"/>
        </w:rPr>
        <w:t>p</w:t>
      </w:r>
      <w:r>
        <w:rPr>
          <w:sz w:val="28"/>
          <w:szCs w:val="28"/>
        </w:rPr>
        <w:t>&gt;</w:t>
      </w:r>
      <w:r w:rsidRPr="004A0CF0">
        <w:rPr>
          <w:sz w:val="28"/>
          <w:szCs w:val="28"/>
        </w:rPr>
        <w:t>0,05).</w:t>
      </w:r>
    </w:p>
    <w:p w:rsidR="00286780" w:rsidRPr="004A0CF0" w:rsidRDefault="00286780" w:rsidP="00BD2F93">
      <w:pPr>
        <w:spacing w:line="360" w:lineRule="auto"/>
        <w:ind w:firstLine="709"/>
        <w:jc w:val="both"/>
        <w:rPr>
          <w:sz w:val="28"/>
          <w:szCs w:val="28"/>
        </w:rPr>
      </w:pPr>
      <w:r w:rsidRPr="004A0CF0">
        <w:rPr>
          <w:sz w:val="28"/>
          <w:szCs w:val="28"/>
        </w:rPr>
        <w:t xml:space="preserve">Для сравнительного исследования основных показателей гемодинамики (АД, ЧСС, УОС, МОК, СИ, ОПСС), клеточного состава и биохимических характеристик крови, иммунитета, характеристик догоспитального периода, показателей стационарного лечения (средний койко-день, развитие осложнений, летальность) у пациентов с МФОИ и ХП, сформирована контрольная </w:t>
      </w:r>
      <w:r>
        <w:rPr>
          <w:sz w:val="28"/>
          <w:szCs w:val="28"/>
        </w:rPr>
        <w:t>под</w:t>
      </w:r>
      <w:r w:rsidRPr="004A0CF0">
        <w:rPr>
          <w:sz w:val="28"/>
          <w:szCs w:val="28"/>
        </w:rPr>
        <w:t xml:space="preserve">группа пациентов с МФОИ без хронической патологии внутренних органов – контрольная </w:t>
      </w:r>
      <w:r w:rsidR="00BE01DE">
        <w:rPr>
          <w:sz w:val="28"/>
          <w:szCs w:val="28"/>
        </w:rPr>
        <w:t>под</w:t>
      </w:r>
      <w:r w:rsidRPr="004A0CF0">
        <w:rPr>
          <w:sz w:val="28"/>
          <w:szCs w:val="28"/>
        </w:rPr>
        <w:t xml:space="preserve">группа № 4, сопоставимая по возрастно-половому составу, индексу массы тела, характеристикам МФОИ, с аналогичными показателями </w:t>
      </w:r>
      <w:r>
        <w:rPr>
          <w:sz w:val="28"/>
          <w:szCs w:val="28"/>
        </w:rPr>
        <w:t>под</w:t>
      </w:r>
      <w:r w:rsidRPr="004A0CF0">
        <w:rPr>
          <w:sz w:val="28"/>
          <w:szCs w:val="28"/>
        </w:rPr>
        <w:t xml:space="preserve">групп № 1, № 1а, № 2 и № 3, контрольной </w:t>
      </w:r>
      <w:r w:rsidR="0021199A">
        <w:rPr>
          <w:sz w:val="28"/>
          <w:szCs w:val="28"/>
        </w:rPr>
        <w:t>под</w:t>
      </w:r>
      <w:r w:rsidRPr="004A0CF0">
        <w:rPr>
          <w:sz w:val="28"/>
          <w:szCs w:val="28"/>
        </w:rPr>
        <w:t>группы № 1 (</w:t>
      </w:r>
      <w:r w:rsidRPr="004A0CF0">
        <w:rPr>
          <w:sz w:val="28"/>
          <w:szCs w:val="28"/>
          <w:lang w:val="en-US"/>
        </w:rPr>
        <w:t>p</w:t>
      </w:r>
      <w:r>
        <w:rPr>
          <w:sz w:val="28"/>
          <w:szCs w:val="28"/>
        </w:rPr>
        <w:t>&gt;</w:t>
      </w:r>
      <w:r w:rsidRPr="004A0CF0">
        <w:rPr>
          <w:sz w:val="28"/>
          <w:szCs w:val="28"/>
        </w:rPr>
        <w:t xml:space="preserve">0,05). </w:t>
      </w:r>
    </w:p>
    <w:p w:rsidR="00286780" w:rsidRPr="004A0CF0" w:rsidRDefault="00286780" w:rsidP="00BD2F93">
      <w:pPr>
        <w:spacing w:line="360" w:lineRule="auto"/>
        <w:ind w:firstLine="709"/>
        <w:jc w:val="both"/>
        <w:rPr>
          <w:sz w:val="28"/>
          <w:szCs w:val="28"/>
        </w:rPr>
      </w:pPr>
      <w:r w:rsidRPr="004A0CF0">
        <w:rPr>
          <w:sz w:val="28"/>
          <w:szCs w:val="28"/>
        </w:rPr>
        <w:t xml:space="preserve">Состав и характеристики контрольной </w:t>
      </w:r>
      <w:r>
        <w:rPr>
          <w:sz w:val="28"/>
          <w:szCs w:val="28"/>
        </w:rPr>
        <w:t>под</w:t>
      </w:r>
      <w:r w:rsidRPr="004A0CF0">
        <w:rPr>
          <w:sz w:val="28"/>
          <w:szCs w:val="28"/>
        </w:rPr>
        <w:t>группы № 4: 28 пациентов, из них мужчин – 14 (50%); средний возраст – 48,9±2,3 лет;</w:t>
      </w:r>
      <w:r>
        <w:rPr>
          <w:sz w:val="28"/>
          <w:szCs w:val="28"/>
        </w:rPr>
        <w:t xml:space="preserve"> </w:t>
      </w:r>
      <w:r w:rsidRPr="004A0CF0">
        <w:rPr>
          <w:sz w:val="28"/>
          <w:szCs w:val="28"/>
        </w:rPr>
        <w:t>продолжительность стационарного лечения – 9,1±0,21 койко-день; догоспитальный период: самолечение – два пациента (7,15%), не лечились и не обращались к врачу – 16 (57,15%), лечились амбулаторно – 10 (35,7%). В процессе стационарного лечения отмечено 3,6% осложнений (один пациент, развитие флегмоны), летальность – 0%; среднее количество вовлеченных в воспалительный процесс топографо-анатомических областей</w:t>
      </w:r>
      <w:r>
        <w:rPr>
          <w:sz w:val="28"/>
          <w:szCs w:val="28"/>
        </w:rPr>
        <w:t xml:space="preserve"> челюстно-лицевой области</w:t>
      </w:r>
      <w:r w:rsidRPr="004A0CF0">
        <w:rPr>
          <w:sz w:val="28"/>
          <w:szCs w:val="28"/>
        </w:rPr>
        <w:t xml:space="preserve"> и клетчаточных пространств </w:t>
      </w:r>
      <w:r>
        <w:rPr>
          <w:sz w:val="28"/>
          <w:szCs w:val="28"/>
        </w:rPr>
        <w:t xml:space="preserve">шеи </w:t>
      </w:r>
      <w:r w:rsidRPr="004A0CF0">
        <w:rPr>
          <w:sz w:val="28"/>
          <w:szCs w:val="28"/>
        </w:rPr>
        <w:t xml:space="preserve">– 1,11±0,09. </w:t>
      </w:r>
      <w:r>
        <w:rPr>
          <w:sz w:val="28"/>
          <w:szCs w:val="28"/>
        </w:rPr>
        <w:t>Сроки очищения раны – 5</w:t>
      </w:r>
      <w:r w:rsidRPr="00D41E54">
        <w:rPr>
          <w:sz w:val="28"/>
          <w:szCs w:val="28"/>
        </w:rPr>
        <w:t>[4</w:t>
      </w:r>
      <w:r>
        <w:rPr>
          <w:sz w:val="28"/>
          <w:szCs w:val="28"/>
        </w:rPr>
        <w:t>;</w:t>
      </w:r>
      <w:r w:rsidRPr="00D41E54">
        <w:rPr>
          <w:sz w:val="28"/>
          <w:szCs w:val="28"/>
        </w:rPr>
        <w:t>5]</w:t>
      </w:r>
      <w:r>
        <w:rPr>
          <w:sz w:val="28"/>
          <w:szCs w:val="28"/>
        </w:rPr>
        <w:t xml:space="preserve"> суток, сроки появления грануляций – 6</w:t>
      </w:r>
      <w:r w:rsidRPr="00D41E54">
        <w:rPr>
          <w:sz w:val="28"/>
          <w:szCs w:val="28"/>
        </w:rPr>
        <w:t>[</w:t>
      </w:r>
      <w:r>
        <w:rPr>
          <w:sz w:val="28"/>
          <w:szCs w:val="28"/>
        </w:rPr>
        <w:t>5;6</w:t>
      </w:r>
      <w:r w:rsidRPr="00D41E54">
        <w:rPr>
          <w:sz w:val="28"/>
          <w:szCs w:val="28"/>
        </w:rPr>
        <w:t>]</w:t>
      </w:r>
      <w:r>
        <w:rPr>
          <w:sz w:val="28"/>
          <w:szCs w:val="28"/>
        </w:rPr>
        <w:t xml:space="preserve"> суток. </w:t>
      </w:r>
      <w:r w:rsidRPr="004A0CF0">
        <w:rPr>
          <w:sz w:val="28"/>
          <w:szCs w:val="28"/>
        </w:rPr>
        <w:t>Топография воспалитель</w:t>
      </w:r>
      <w:r>
        <w:rPr>
          <w:sz w:val="28"/>
          <w:szCs w:val="28"/>
        </w:rPr>
        <w:t xml:space="preserve">ного процесса: поднижечелюстная область </w:t>
      </w:r>
      <w:r w:rsidRPr="004A0CF0">
        <w:rPr>
          <w:sz w:val="28"/>
          <w:szCs w:val="28"/>
        </w:rPr>
        <w:t>– семь пациентов (25%); подпо</w:t>
      </w:r>
      <w:r>
        <w:rPr>
          <w:sz w:val="28"/>
          <w:szCs w:val="28"/>
        </w:rPr>
        <w:t>дбородочная область</w:t>
      </w:r>
      <w:r w:rsidRPr="004A0CF0">
        <w:rPr>
          <w:sz w:val="28"/>
          <w:szCs w:val="28"/>
        </w:rPr>
        <w:t xml:space="preserve"> – два (7,1%); поднижечелюстное и подподбо</w:t>
      </w:r>
      <w:r>
        <w:rPr>
          <w:sz w:val="28"/>
          <w:szCs w:val="28"/>
        </w:rPr>
        <w:t>родочное области</w:t>
      </w:r>
      <w:r w:rsidRPr="004A0CF0">
        <w:rPr>
          <w:sz w:val="28"/>
          <w:szCs w:val="28"/>
        </w:rPr>
        <w:t xml:space="preserve"> – один (3,6%); дно полости рта – 2 (7,1%); челюстно-язычный желобок – четыре (14,25%); щечное – четыре (14,25%); щечное и подподбородочное – один (3,6%); субмассетериальное – один (3,6%); крыловидно-нижечелюстное – два (7,1%); околоушно-жевательная и височная области – один (3,6%); подглазничная – один (3,6%); остеомиелит челюсти – один (3,6%); периостит – один (3,6%).</w:t>
      </w:r>
    </w:p>
    <w:p w:rsidR="00286780" w:rsidRPr="004A0CF0" w:rsidRDefault="00286780" w:rsidP="00BD2F93">
      <w:pPr>
        <w:spacing w:line="360" w:lineRule="auto"/>
        <w:ind w:firstLine="709"/>
        <w:jc w:val="both"/>
        <w:rPr>
          <w:sz w:val="28"/>
          <w:szCs w:val="28"/>
        </w:rPr>
      </w:pPr>
      <w:r w:rsidRPr="004A0CF0">
        <w:rPr>
          <w:sz w:val="28"/>
          <w:szCs w:val="28"/>
        </w:rPr>
        <w:lastRenderedPageBreak/>
        <w:t xml:space="preserve">Сопоставимость </w:t>
      </w:r>
      <w:r>
        <w:rPr>
          <w:sz w:val="28"/>
          <w:szCs w:val="28"/>
        </w:rPr>
        <w:t>под</w:t>
      </w:r>
      <w:r w:rsidRPr="004A0CF0">
        <w:rPr>
          <w:sz w:val="28"/>
          <w:szCs w:val="28"/>
        </w:rPr>
        <w:t>групп № 1</w:t>
      </w:r>
      <w:r>
        <w:rPr>
          <w:sz w:val="28"/>
          <w:szCs w:val="28"/>
        </w:rPr>
        <w:t>–</w:t>
      </w:r>
      <w:r w:rsidRPr="004A0CF0">
        <w:rPr>
          <w:sz w:val="28"/>
          <w:szCs w:val="28"/>
        </w:rPr>
        <w:t xml:space="preserve">3 с контрольной </w:t>
      </w:r>
      <w:r>
        <w:rPr>
          <w:sz w:val="28"/>
          <w:szCs w:val="28"/>
        </w:rPr>
        <w:t>под</w:t>
      </w:r>
      <w:r w:rsidRPr="004A0CF0">
        <w:rPr>
          <w:sz w:val="28"/>
          <w:szCs w:val="28"/>
        </w:rPr>
        <w:t xml:space="preserve">группой № 4 по показателям среднего количества вовлеченных в воспалительный процесс топографо-анатомических областей и клетчаточных пространств, а </w:t>
      </w:r>
      <w:r>
        <w:rPr>
          <w:sz w:val="28"/>
          <w:szCs w:val="28"/>
        </w:rPr>
        <w:t>также</w:t>
      </w:r>
      <w:r w:rsidRPr="004A0CF0">
        <w:rPr>
          <w:sz w:val="28"/>
          <w:szCs w:val="28"/>
        </w:rPr>
        <w:t xml:space="preserve"> с учетом локализации воспалительного пр</w:t>
      </w:r>
      <w:r>
        <w:rPr>
          <w:sz w:val="28"/>
          <w:szCs w:val="28"/>
        </w:rPr>
        <w:t>оцесса, представлена в Таблице 8</w:t>
      </w:r>
      <w:r w:rsidRPr="004A0CF0">
        <w:rPr>
          <w:sz w:val="28"/>
          <w:szCs w:val="28"/>
        </w:rPr>
        <w:t>.</w:t>
      </w:r>
    </w:p>
    <w:p w:rsidR="00286780" w:rsidRPr="004A0CF0" w:rsidRDefault="00286780" w:rsidP="00BD2F93">
      <w:pPr>
        <w:spacing w:line="360" w:lineRule="auto"/>
        <w:ind w:firstLine="709"/>
        <w:jc w:val="both"/>
        <w:rPr>
          <w:sz w:val="28"/>
          <w:szCs w:val="28"/>
        </w:rPr>
      </w:pPr>
    </w:p>
    <w:p w:rsidR="00286780" w:rsidRPr="004A0CF0" w:rsidRDefault="00286780" w:rsidP="00BD2F93">
      <w:pPr>
        <w:spacing w:after="120"/>
        <w:jc w:val="both"/>
        <w:rPr>
          <w:sz w:val="28"/>
          <w:szCs w:val="28"/>
        </w:rPr>
      </w:pPr>
      <w:r>
        <w:rPr>
          <w:b/>
          <w:sz w:val="28"/>
          <w:szCs w:val="28"/>
        </w:rPr>
        <w:t>Таблица 8</w:t>
      </w:r>
      <w:r w:rsidRPr="004A0CF0">
        <w:rPr>
          <w:sz w:val="28"/>
          <w:szCs w:val="28"/>
        </w:rPr>
        <w:t xml:space="preserve">– Сравнительная характеристика исследуемых </w:t>
      </w:r>
      <w:r>
        <w:rPr>
          <w:sz w:val="28"/>
          <w:szCs w:val="28"/>
        </w:rPr>
        <w:t>под</w:t>
      </w:r>
      <w:r w:rsidRPr="004A0CF0">
        <w:rPr>
          <w:sz w:val="28"/>
          <w:szCs w:val="28"/>
        </w:rPr>
        <w:t xml:space="preserve">групп пациентов с МФОИ по распространенности воспалительного процесса (в сравнении с контрольной </w:t>
      </w:r>
      <w:r w:rsidR="00FE6BE3">
        <w:rPr>
          <w:sz w:val="28"/>
          <w:szCs w:val="28"/>
        </w:rPr>
        <w:t>под</w:t>
      </w:r>
      <w:r w:rsidRPr="004A0CF0">
        <w:rPr>
          <w:sz w:val="28"/>
          <w:szCs w:val="28"/>
        </w:rPr>
        <w:t>группой № 4)</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4197"/>
        <w:gridCol w:w="2783"/>
      </w:tblGrid>
      <w:tr w:rsidR="00286780" w:rsidRPr="004A0CF0" w:rsidTr="00FA7C6C">
        <w:trPr>
          <w:trHeight w:val="454"/>
          <w:jc w:val="center"/>
        </w:trPr>
        <w:tc>
          <w:tcPr>
            <w:tcW w:w="2943" w:type="dxa"/>
            <w:vAlign w:val="center"/>
          </w:tcPr>
          <w:p w:rsidR="00286780" w:rsidRPr="004A0CF0" w:rsidRDefault="00286780" w:rsidP="00FA7C6C">
            <w:pPr>
              <w:jc w:val="center"/>
              <w:rPr>
                <w:i/>
                <w:sz w:val="24"/>
                <w:szCs w:val="24"/>
              </w:rPr>
            </w:pPr>
            <w:r w:rsidRPr="004A0CF0">
              <w:rPr>
                <w:i/>
                <w:sz w:val="24"/>
                <w:szCs w:val="24"/>
              </w:rPr>
              <w:t>Группы</w:t>
            </w:r>
          </w:p>
        </w:tc>
        <w:tc>
          <w:tcPr>
            <w:tcW w:w="4197" w:type="dxa"/>
            <w:vAlign w:val="center"/>
          </w:tcPr>
          <w:p w:rsidR="00286780" w:rsidRPr="004A0CF0" w:rsidRDefault="00286780" w:rsidP="00FA7C6C">
            <w:pPr>
              <w:jc w:val="center"/>
              <w:rPr>
                <w:i/>
                <w:sz w:val="24"/>
                <w:szCs w:val="24"/>
              </w:rPr>
            </w:pPr>
            <w:r w:rsidRPr="004A0CF0">
              <w:rPr>
                <w:i/>
                <w:sz w:val="24"/>
                <w:szCs w:val="24"/>
              </w:rPr>
              <w:t>Количество вовлеченных клетчаточных пространств (среднее значение)</w:t>
            </w:r>
          </w:p>
        </w:tc>
        <w:tc>
          <w:tcPr>
            <w:tcW w:w="2783" w:type="dxa"/>
            <w:vAlign w:val="center"/>
          </w:tcPr>
          <w:p w:rsidR="00286780" w:rsidRPr="004A0CF0" w:rsidRDefault="00286780" w:rsidP="00FA7C6C">
            <w:pPr>
              <w:jc w:val="center"/>
              <w:rPr>
                <w:i/>
                <w:sz w:val="24"/>
                <w:szCs w:val="24"/>
                <w:lang w:val="en-US"/>
              </w:rPr>
            </w:pPr>
            <w:r w:rsidRPr="004A0CF0">
              <w:rPr>
                <w:i/>
                <w:sz w:val="24"/>
                <w:szCs w:val="24"/>
              </w:rPr>
              <w:t xml:space="preserve">Значение </w:t>
            </w:r>
            <w:r w:rsidRPr="004A0CF0">
              <w:rPr>
                <w:i/>
                <w:sz w:val="24"/>
                <w:szCs w:val="24"/>
                <w:lang w:val="en-US"/>
              </w:rPr>
              <w:t>p</w:t>
            </w:r>
          </w:p>
        </w:tc>
      </w:tr>
      <w:tr w:rsidR="00286780" w:rsidRPr="004A0CF0" w:rsidTr="00FA7C6C">
        <w:trPr>
          <w:trHeight w:val="454"/>
          <w:jc w:val="center"/>
        </w:trPr>
        <w:tc>
          <w:tcPr>
            <w:tcW w:w="2943" w:type="dxa"/>
            <w:vAlign w:val="center"/>
          </w:tcPr>
          <w:p w:rsidR="00286780" w:rsidRPr="004A0CF0" w:rsidRDefault="00286780" w:rsidP="00FA7C6C">
            <w:pPr>
              <w:rPr>
                <w:sz w:val="24"/>
                <w:szCs w:val="24"/>
              </w:rPr>
            </w:pPr>
            <w:r>
              <w:rPr>
                <w:sz w:val="24"/>
                <w:szCs w:val="24"/>
              </w:rPr>
              <w:t>Под</w:t>
            </w:r>
            <w:r w:rsidRPr="004A0CF0">
              <w:rPr>
                <w:sz w:val="24"/>
                <w:szCs w:val="24"/>
              </w:rPr>
              <w:t>группа № 1</w:t>
            </w:r>
          </w:p>
        </w:tc>
        <w:tc>
          <w:tcPr>
            <w:tcW w:w="4197" w:type="dxa"/>
            <w:vAlign w:val="center"/>
          </w:tcPr>
          <w:p w:rsidR="00286780" w:rsidRPr="004A0CF0" w:rsidRDefault="00286780" w:rsidP="00FA7C6C">
            <w:pPr>
              <w:jc w:val="center"/>
              <w:rPr>
                <w:sz w:val="24"/>
                <w:szCs w:val="24"/>
              </w:rPr>
            </w:pPr>
            <w:r w:rsidRPr="004A0CF0">
              <w:rPr>
                <w:sz w:val="24"/>
                <w:szCs w:val="24"/>
              </w:rPr>
              <w:t>1,4±0,07</w:t>
            </w:r>
          </w:p>
        </w:tc>
        <w:tc>
          <w:tcPr>
            <w:tcW w:w="2783" w:type="dxa"/>
            <w:vAlign w:val="center"/>
          </w:tcPr>
          <w:p w:rsidR="00286780" w:rsidRPr="004A0CF0" w:rsidRDefault="00286780" w:rsidP="00FA7C6C">
            <w:pPr>
              <w:jc w:val="center"/>
              <w:rPr>
                <w:sz w:val="24"/>
                <w:szCs w:val="24"/>
              </w:rPr>
            </w:pPr>
            <w:r>
              <w:rPr>
                <w:sz w:val="24"/>
                <w:szCs w:val="24"/>
              </w:rPr>
              <w:t>&gt;</w:t>
            </w:r>
            <w:r w:rsidRPr="004A0CF0">
              <w:rPr>
                <w:sz w:val="24"/>
                <w:szCs w:val="24"/>
              </w:rPr>
              <w:t>0,05</w:t>
            </w:r>
          </w:p>
        </w:tc>
      </w:tr>
      <w:tr w:rsidR="00286780" w:rsidRPr="004A0CF0" w:rsidTr="00FA7C6C">
        <w:trPr>
          <w:trHeight w:val="454"/>
          <w:jc w:val="center"/>
        </w:trPr>
        <w:tc>
          <w:tcPr>
            <w:tcW w:w="2943" w:type="dxa"/>
            <w:vAlign w:val="center"/>
          </w:tcPr>
          <w:p w:rsidR="00286780" w:rsidRPr="004A0CF0" w:rsidRDefault="00286780" w:rsidP="00FA7C6C">
            <w:pPr>
              <w:rPr>
                <w:sz w:val="24"/>
                <w:szCs w:val="24"/>
              </w:rPr>
            </w:pPr>
            <w:r>
              <w:rPr>
                <w:sz w:val="24"/>
                <w:szCs w:val="24"/>
              </w:rPr>
              <w:t>Под</w:t>
            </w:r>
            <w:r w:rsidRPr="004A0CF0">
              <w:rPr>
                <w:sz w:val="24"/>
                <w:szCs w:val="24"/>
              </w:rPr>
              <w:t>группа № 2</w:t>
            </w:r>
          </w:p>
        </w:tc>
        <w:tc>
          <w:tcPr>
            <w:tcW w:w="4197" w:type="dxa"/>
            <w:vAlign w:val="center"/>
          </w:tcPr>
          <w:p w:rsidR="00286780" w:rsidRPr="004A0CF0" w:rsidRDefault="00286780" w:rsidP="00FA7C6C">
            <w:pPr>
              <w:jc w:val="center"/>
              <w:rPr>
                <w:sz w:val="24"/>
                <w:szCs w:val="24"/>
              </w:rPr>
            </w:pPr>
            <w:r w:rsidRPr="004A0CF0">
              <w:rPr>
                <w:sz w:val="24"/>
                <w:szCs w:val="24"/>
              </w:rPr>
              <w:t>1,4±0,12</w:t>
            </w:r>
          </w:p>
        </w:tc>
        <w:tc>
          <w:tcPr>
            <w:tcW w:w="2783" w:type="dxa"/>
            <w:vAlign w:val="center"/>
          </w:tcPr>
          <w:p w:rsidR="00286780" w:rsidRPr="004A0CF0" w:rsidRDefault="00286780" w:rsidP="00FA7C6C">
            <w:pPr>
              <w:jc w:val="center"/>
              <w:rPr>
                <w:sz w:val="24"/>
                <w:szCs w:val="24"/>
              </w:rPr>
            </w:pPr>
            <w:r>
              <w:rPr>
                <w:sz w:val="24"/>
                <w:szCs w:val="24"/>
              </w:rPr>
              <w:t>&gt;</w:t>
            </w:r>
            <w:r w:rsidRPr="004A0CF0">
              <w:rPr>
                <w:sz w:val="24"/>
                <w:szCs w:val="24"/>
              </w:rPr>
              <w:t>0,05</w:t>
            </w:r>
          </w:p>
        </w:tc>
      </w:tr>
      <w:tr w:rsidR="00286780" w:rsidRPr="004A0CF0" w:rsidTr="00FA7C6C">
        <w:trPr>
          <w:trHeight w:val="454"/>
          <w:jc w:val="center"/>
        </w:trPr>
        <w:tc>
          <w:tcPr>
            <w:tcW w:w="2943" w:type="dxa"/>
            <w:vAlign w:val="center"/>
          </w:tcPr>
          <w:p w:rsidR="00286780" w:rsidRPr="004A0CF0" w:rsidRDefault="00286780" w:rsidP="00FA7C6C">
            <w:pPr>
              <w:jc w:val="both"/>
              <w:rPr>
                <w:sz w:val="24"/>
                <w:szCs w:val="24"/>
              </w:rPr>
            </w:pPr>
            <w:r>
              <w:rPr>
                <w:sz w:val="24"/>
                <w:szCs w:val="24"/>
              </w:rPr>
              <w:t>Под</w:t>
            </w:r>
            <w:r w:rsidRPr="004A0CF0">
              <w:rPr>
                <w:sz w:val="24"/>
                <w:szCs w:val="24"/>
              </w:rPr>
              <w:t>группа № 3</w:t>
            </w:r>
          </w:p>
        </w:tc>
        <w:tc>
          <w:tcPr>
            <w:tcW w:w="4197" w:type="dxa"/>
            <w:vAlign w:val="center"/>
          </w:tcPr>
          <w:p w:rsidR="00286780" w:rsidRPr="004A0CF0" w:rsidRDefault="00286780" w:rsidP="00FA7C6C">
            <w:pPr>
              <w:jc w:val="center"/>
              <w:rPr>
                <w:sz w:val="24"/>
                <w:szCs w:val="24"/>
              </w:rPr>
            </w:pPr>
            <w:r w:rsidRPr="004A0CF0">
              <w:rPr>
                <w:sz w:val="24"/>
                <w:szCs w:val="24"/>
              </w:rPr>
              <w:t>0,9±0,11</w:t>
            </w:r>
          </w:p>
        </w:tc>
        <w:tc>
          <w:tcPr>
            <w:tcW w:w="2783" w:type="dxa"/>
            <w:vAlign w:val="center"/>
          </w:tcPr>
          <w:p w:rsidR="00286780" w:rsidRPr="004A0CF0" w:rsidRDefault="00286780" w:rsidP="00FA7C6C">
            <w:pPr>
              <w:jc w:val="center"/>
              <w:rPr>
                <w:sz w:val="24"/>
                <w:szCs w:val="24"/>
              </w:rPr>
            </w:pPr>
            <w:r>
              <w:rPr>
                <w:sz w:val="24"/>
                <w:szCs w:val="24"/>
              </w:rPr>
              <w:t>&gt;</w:t>
            </w:r>
            <w:r w:rsidRPr="004A0CF0">
              <w:rPr>
                <w:sz w:val="24"/>
                <w:szCs w:val="24"/>
              </w:rPr>
              <w:t>0,05</w:t>
            </w:r>
          </w:p>
        </w:tc>
      </w:tr>
      <w:tr w:rsidR="00286780" w:rsidRPr="004A0CF0" w:rsidTr="00FA7C6C">
        <w:trPr>
          <w:trHeight w:val="454"/>
          <w:jc w:val="center"/>
        </w:trPr>
        <w:tc>
          <w:tcPr>
            <w:tcW w:w="2943" w:type="dxa"/>
            <w:vAlign w:val="center"/>
          </w:tcPr>
          <w:p w:rsidR="00286780" w:rsidRPr="004A0CF0" w:rsidRDefault="00286780" w:rsidP="00FA7C6C">
            <w:pPr>
              <w:jc w:val="both"/>
              <w:rPr>
                <w:sz w:val="24"/>
                <w:szCs w:val="24"/>
              </w:rPr>
            </w:pPr>
            <w:r>
              <w:rPr>
                <w:sz w:val="24"/>
                <w:szCs w:val="24"/>
              </w:rPr>
              <w:t>Под</w:t>
            </w:r>
            <w:r w:rsidRPr="004A0CF0">
              <w:rPr>
                <w:sz w:val="24"/>
                <w:szCs w:val="24"/>
              </w:rPr>
              <w:t>группа № 4</w:t>
            </w:r>
          </w:p>
        </w:tc>
        <w:tc>
          <w:tcPr>
            <w:tcW w:w="4197" w:type="dxa"/>
            <w:vAlign w:val="center"/>
          </w:tcPr>
          <w:p w:rsidR="00286780" w:rsidRPr="004A0CF0" w:rsidRDefault="00286780" w:rsidP="00FA7C6C">
            <w:pPr>
              <w:jc w:val="center"/>
              <w:rPr>
                <w:sz w:val="24"/>
                <w:szCs w:val="24"/>
              </w:rPr>
            </w:pPr>
            <w:r w:rsidRPr="004A0CF0">
              <w:rPr>
                <w:sz w:val="24"/>
                <w:szCs w:val="24"/>
              </w:rPr>
              <w:t>1,11±0,09</w:t>
            </w:r>
          </w:p>
        </w:tc>
        <w:tc>
          <w:tcPr>
            <w:tcW w:w="2783" w:type="dxa"/>
            <w:vAlign w:val="center"/>
          </w:tcPr>
          <w:p w:rsidR="00286780" w:rsidRPr="004A0CF0" w:rsidRDefault="00286780" w:rsidP="00FA7C6C">
            <w:pPr>
              <w:jc w:val="center"/>
              <w:rPr>
                <w:sz w:val="24"/>
                <w:szCs w:val="24"/>
              </w:rPr>
            </w:pPr>
            <w:r w:rsidRPr="004A0CF0">
              <w:rPr>
                <w:sz w:val="24"/>
                <w:szCs w:val="24"/>
              </w:rPr>
              <w:t>–</w:t>
            </w:r>
          </w:p>
        </w:tc>
      </w:tr>
    </w:tbl>
    <w:p w:rsidR="00286780" w:rsidRDefault="00286780" w:rsidP="00BD2F93">
      <w:pPr>
        <w:rPr>
          <w:sz w:val="28"/>
          <w:szCs w:val="28"/>
        </w:rPr>
      </w:pPr>
    </w:p>
    <w:p w:rsidR="00286780" w:rsidRPr="004A0CF0" w:rsidRDefault="00286780" w:rsidP="005C30BA">
      <w:pPr>
        <w:spacing w:line="360" w:lineRule="auto"/>
        <w:ind w:firstLine="709"/>
        <w:jc w:val="both"/>
        <w:rPr>
          <w:sz w:val="28"/>
          <w:szCs w:val="28"/>
        </w:rPr>
      </w:pPr>
      <w:r w:rsidRPr="004A0CF0">
        <w:rPr>
          <w:sz w:val="28"/>
          <w:szCs w:val="28"/>
        </w:rPr>
        <w:t xml:space="preserve">Следовательно, по среднему количеству вовлеченных в воспалительный процесс клетчаточных пространств и топографо-анатомических областей статистически значимых различий между сравниваемыми </w:t>
      </w:r>
      <w:r w:rsidR="00305C24">
        <w:rPr>
          <w:sz w:val="28"/>
          <w:szCs w:val="28"/>
        </w:rPr>
        <w:t>под</w:t>
      </w:r>
      <w:r w:rsidRPr="004A0CF0">
        <w:rPr>
          <w:sz w:val="28"/>
          <w:szCs w:val="28"/>
        </w:rPr>
        <w:t>группами не обнаружено.</w:t>
      </w:r>
    </w:p>
    <w:p w:rsidR="00286780" w:rsidRPr="00243E84" w:rsidRDefault="00286780" w:rsidP="00243E84">
      <w:pPr>
        <w:spacing w:line="360" w:lineRule="auto"/>
        <w:ind w:firstLine="709"/>
        <w:jc w:val="both"/>
        <w:rPr>
          <w:sz w:val="28"/>
          <w:szCs w:val="28"/>
        </w:rPr>
      </w:pPr>
      <w:r w:rsidRPr="004A0CF0">
        <w:rPr>
          <w:sz w:val="28"/>
          <w:szCs w:val="28"/>
        </w:rPr>
        <w:t xml:space="preserve">Рассмотрим топографо-анатомические характеристики локализации воспалительных процессов у пациентов с МФОИ в рамках </w:t>
      </w:r>
      <w:r w:rsidRPr="004A0CF0">
        <w:rPr>
          <w:sz w:val="28"/>
          <w:szCs w:val="28"/>
          <w:lang w:val="en-US"/>
        </w:rPr>
        <w:t>I</w:t>
      </w:r>
      <w:r w:rsidRPr="004A0CF0">
        <w:rPr>
          <w:sz w:val="28"/>
          <w:szCs w:val="28"/>
        </w:rPr>
        <w:t xml:space="preserve"> блока исследований (Таб</w:t>
      </w:r>
      <w:r>
        <w:rPr>
          <w:sz w:val="28"/>
          <w:szCs w:val="28"/>
        </w:rPr>
        <w:t>лица 9</w:t>
      </w:r>
      <w:r w:rsidRPr="004A0CF0">
        <w:rPr>
          <w:sz w:val="28"/>
          <w:szCs w:val="28"/>
        </w:rPr>
        <w:t>).</w:t>
      </w:r>
      <w:r>
        <w:rPr>
          <w:sz w:val="28"/>
          <w:szCs w:val="28"/>
        </w:rPr>
        <w:t xml:space="preserve"> </w:t>
      </w:r>
      <w:r w:rsidRPr="00243E84">
        <w:rPr>
          <w:sz w:val="28"/>
          <w:szCs w:val="28"/>
        </w:rPr>
        <w:t>Из Таблицы 9 следует, что по топографо-анатомической локализации воспалительного процесса статистически значимых различий между сравниваемыми подгруппами пациентов с МФОИ не обнаружено (</w:t>
      </w:r>
      <w:r w:rsidRPr="00243E84">
        <w:rPr>
          <w:sz w:val="28"/>
          <w:szCs w:val="28"/>
          <w:lang w:val="en-US"/>
        </w:rPr>
        <w:t>p</w:t>
      </w:r>
      <w:r w:rsidRPr="00243E84">
        <w:rPr>
          <w:sz w:val="28"/>
          <w:szCs w:val="28"/>
        </w:rPr>
        <w:t>&gt;0,05).</w:t>
      </w:r>
    </w:p>
    <w:p w:rsidR="00ED67A7" w:rsidRDefault="00286780" w:rsidP="00243E84">
      <w:pPr>
        <w:spacing w:line="360" w:lineRule="auto"/>
        <w:ind w:firstLine="709"/>
        <w:jc w:val="both"/>
        <w:rPr>
          <w:sz w:val="28"/>
          <w:szCs w:val="28"/>
        </w:rPr>
      </w:pPr>
      <w:r w:rsidRPr="00243E84">
        <w:rPr>
          <w:sz w:val="28"/>
          <w:szCs w:val="28"/>
        </w:rPr>
        <w:t>Для выполнения сравнительной характеристики основных показателей гуморального иммунитета (</w:t>
      </w:r>
      <w:r w:rsidRPr="00243E84">
        <w:rPr>
          <w:sz w:val="28"/>
          <w:szCs w:val="28"/>
          <w:lang w:val="en-US"/>
        </w:rPr>
        <w:t>IgA</w:t>
      </w:r>
      <w:r w:rsidRPr="00243E84">
        <w:rPr>
          <w:sz w:val="28"/>
          <w:szCs w:val="28"/>
        </w:rPr>
        <w:t xml:space="preserve">, </w:t>
      </w:r>
      <w:r w:rsidRPr="00243E84">
        <w:rPr>
          <w:sz w:val="28"/>
          <w:szCs w:val="28"/>
          <w:lang w:val="en-US"/>
        </w:rPr>
        <w:t>IgM</w:t>
      </w:r>
      <w:r w:rsidRPr="00243E84">
        <w:rPr>
          <w:sz w:val="28"/>
          <w:szCs w:val="28"/>
        </w:rPr>
        <w:t xml:space="preserve">, </w:t>
      </w:r>
      <w:r w:rsidRPr="00243E84">
        <w:rPr>
          <w:sz w:val="28"/>
          <w:szCs w:val="28"/>
          <w:lang w:val="en-US"/>
        </w:rPr>
        <w:t>IgG</w:t>
      </w:r>
      <w:r w:rsidRPr="00243E84">
        <w:rPr>
          <w:sz w:val="28"/>
          <w:szCs w:val="28"/>
        </w:rPr>
        <w:t xml:space="preserve">) и уровня интерлейкинов (ИЛ-1ß, ИЛ-4, ИЛ-6, ИЛ-10, ФНО-α) у пациентов с МФОИ, сформирована контрольная подгруппа относительно здоровых индивидов. Численность </w:t>
      </w:r>
      <w:r w:rsidR="00114E1B">
        <w:rPr>
          <w:sz w:val="28"/>
          <w:szCs w:val="28"/>
        </w:rPr>
        <w:t>под</w:t>
      </w:r>
      <w:r w:rsidRPr="00243E84">
        <w:rPr>
          <w:sz w:val="28"/>
          <w:szCs w:val="28"/>
        </w:rPr>
        <w:t>группы – 32, мужчин – 16 (50%), с</w:t>
      </w:r>
      <w:r w:rsidR="00ED67A7">
        <w:rPr>
          <w:sz w:val="28"/>
          <w:szCs w:val="28"/>
        </w:rPr>
        <w:t>редний возраст – 43,9±2,57 лет.</w:t>
      </w:r>
    </w:p>
    <w:p w:rsidR="00286780" w:rsidRPr="004A0CF0" w:rsidRDefault="00286780" w:rsidP="00243E84">
      <w:pPr>
        <w:spacing w:line="360" w:lineRule="auto"/>
        <w:ind w:firstLine="709"/>
        <w:jc w:val="both"/>
        <w:rPr>
          <w:sz w:val="28"/>
          <w:szCs w:val="28"/>
        </w:rPr>
      </w:pPr>
      <w:r w:rsidRPr="00243E84">
        <w:rPr>
          <w:sz w:val="28"/>
          <w:szCs w:val="28"/>
        </w:rPr>
        <w:t>Критерии исключения: острая хирургическая патология, хронические заболевания внутренн</w:t>
      </w:r>
      <w:r>
        <w:rPr>
          <w:sz w:val="28"/>
          <w:szCs w:val="28"/>
        </w:rPr>
        <w:t>их органов в стадии обострения.</w:t>
      </w:r>
    </w:p>
    <w:p w:rsidR="00286780" w:rsidRPr="004A0CF0" w:rsidRDefault="00286780" w:rsidP="00BD2F93">
      <w:pPr>
        <w:rPr>
          <w:sz w:val="28"/>
          <w:szCs w:val="28"/>
        </w:rPr>
      </w:pPr>
    </w:p>
    <w:p w:rsidR="00286780" w:rsidRPr="004A0CF0" w:rsidRDefault="00286780" w:rsidP="00BD2F93">
      <w:pPr>
        <w:spacing w:after="120"/>
        <w:jc w:val="both"/>
        <w:rPr>
          <w:sz w:val="28"/>
          <w:szCs w:val="28"/>
        </w:rPr>
      </w:pPr>
      <w:r w:rsidRPr="004A0CF0">
        <w:rPr>
          <w:b/>
          <w:sz w:val="28"/>
          <w:szCs w:val="28"/>
        </w:rPr>
        <w:lastRenderedPageBreak/>
        <w:t xml:space="preserve">Таблица </w:t>
      </w:r>
      <w:r>
        <w:rPr>
          <w:b/>
          <w:sz w:val="28"/>
          <w:szCs w:val="28"/>
        </w:rPr>
        <w:t>9</w:t>
      </w:r>
      <w:r w:rsidRPr="004A0CF0">
        <w:rPr>
          <w:sz w:val="28"/>
          <w:szCs w:val="28"/>
        </w:rPr>
        <w:t xml:space="preserve"> – Сравнительная характеристика исследуемых </w:t>
      </w:r>
      <w:r>
        <w:rPr>
          <w:sz w:val="28"/>
          <w:szCs w:val="28"/>
        </w:rPr>
        <w:t>под</w:t>
      </w:r>
      <w:r w:rsidRPr="004A0CF0">
        <w:rPr>
          <w:sz w:val="28"/>
          <w:szCs w:val="28"/>
        </w:rPr>
        <w:t xml:space="preserve">групп пациентов с МФОИ по локализации воспалительного процесса (в сравнении с контрольной </w:t>
      </w:r>
      <w:r w:rsidR="00305C24">
        <w:rPr>
          <w:sz w:val="28"/>
          <w:szCs w:val="28"/>
        </w:rPr>
        <w:t>под</w:t>
      </w:r>
      <w:r w:rsidRPr="004A0CF0">
        <w:rPr>
          <w:sz w:val="28"/>
          <w:szCs w:val="28"/>
        </w:rPr>
        <w:t>группой № 4)</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06"/>
        <w:gridCol w:w="1559"/>
        <w:gridCol w:w="1418"/>
        <w:gridCol w:w="1417"/>
        <w:gridCol w:w="823"/>
      </w:tblGrid>
      <w:tr w:rsidR="00286780" w:rsidRPr="00243E84" w:rsidTr="00FA7C6C">
        <w:trPr>
          <w:trHeight w:val="550"/>
        </w:trPr>
        <w:tc>
          <w:tcPr>
            <w:tcW w:w="4706" w:type="dxa"/>
            <w:vMerge w:val="restart"/>
            <w:tcMar>
              <w:left w:w="28" w:type="dxa"/>
              <w:right w:w="28" w:type="dxa"/>
            </w:tcMar>
            <w:vAlign w:val="center"/>
          </w:tcPr>
          <w:p w:rsidR="00286780" w:rsidRPr="00243E84" w:rsidRDefault="00286780" w:rsidP="00FA7C6C">
            <w:pPr>
              <w:jc w:val="center"/>
              <w:rPr>
                <w:i/>
                <w:sz w:val="24"/>
                <w:szCs w:val="24"/>
              </w:rPr>
            </w:pPr>
            <w:r w:rsidRPr="00243E84">
              <w:rPr>
                <w:i/>
                <w:sz w:val="24"/>
                <w:szCs w:val="24"/>
              </w:rPr>
              <w:t>Топографо-анатомические области, клетчаточные пространства, отдельные нозологические формы</w:t>
            </w:r>
          </w:p>
        </w:tc>
        <w:tc>
          <w:tcPr>
            <w:tcW w:w="4394" w:type="dxa"/>
            <w:gridSpan w:val="3"/>
            <w:tcMar>
              <w:left w:w="28" w:type="dxa"/>
              <w:right w:w="28" w:type="dxa"/>
            </w:tcMar>
            <w:vAlign w:val="center"/>
          </w:tcPr>
          <w:p w:rsidR="00286780" w:rsidRPr="00243E84" w:rsidRDefault="00286780" w:rsidP="00FA7C6C">
            <w:pPr>
              <w:jc w:val="center"/>
              <w:rPr>
                <w:i/>
                <w:sz w:val="24"/>
                <w:szCs w:val="24"/>
              </w:rPr>
            </w:pPr>
            <w:r w:rsidRPr="00243E84">
              <w:rPr>
                <w:sz w:val="24"/>
                <w:szCs w:val="24"/>
              </w:rPr>
              <w:t>Подруппа</w:t>
            </w:r>
          </w:p>
        </w:tc>
        <w:tc>
          <w:tcPr>
            <w:tcW w:w="823" w:type="dxa"/>
            <w:vMerge w:val="restart"/>
            <w:tcMar>
              <w:left w:w="28" w:type="dxa"/>
              <w:right w:w="28" w:type="dxa"/>
            </w:tcMar>
            <w:vAlign w:val="center"/>
          </w:tcPr>
          <w:p w:rsidR="00286780" w:rsidRPr="00243E84" w:rsidRDefault="00286780" w:rsidP="00FA7C6C">
            <w:pPr>
              <w:jc w:val="center"/>
              <w:rPr>
                <w:i/>
                <w:sz w:val="24"/>
                <w:szCs w:val="24"/>
              </w:rPr>
            </w:pPr>
            <w:r w:rsidRPr="00243E84">
              <w:rPr>
                <w:i/>
                <w:sz w:val="24"/>
                <w:szCs w:val="24"/>
              </w:rPr>
              <w:t xml:space="preserve">Значение </w:t>
            </w:r>
            <w:r w:rsidRPr="00243E84">
              <w:rPr>
                <w:i/>
                <w:sz w:val="24"/>
                <w:szCs w:val="24"/>
                <w:lang w:val="en-US"/>
              </w:rPr>
              <w:t>p</w:t>
            </w:r>
          </w:p>
        </w:tc>
      </w:tr>
      <w:tr w:rsidR="00286780" w:rsidRPr="00243E84" w:rsidTr="00FA7C6C">
        <w:trPr>
          <w:trHeight w:val="227"/>
        </w:trPr>
        <w:tc>
          <w:tcPr>
            <w:tcW w:w="4706" w:type="dxa"/>
            <w:vMerge/>
            <w:tcMar>
              <w:left w:w="28" w:type="dxa"/>
              <w:right w:w="28" w:type="dxa"/>
            </w:tcMar>
          </w:tcPr>
          <w:p w:rsidR="00286780" w:rsidRPr="00243E84" w:rsidRDefault="00286780" w:rsidP="00FA7C6C">
            <w:pPr>
              <w:jc w:val="center"/>
              <w:rPr>
                <w:sz w:val="24"/>
                <w:szCs w:val="24"/>
              </w:rPr>
            </w:pPr>
          </w:p>
        </w:tc>
        <w:tc>
          <w:tcPr>
            <w:tcW w:w="1559" w:type="dxa"/>
            <w:tcMar>
              <w:left w:w="28" w:type="dxa"/>
              <w:right w:w="28" w:type="dxa"/>
            </w:tcMar>
          </w:tcPr>
          <w:p w:rsidR="00286780" w:rsidRPr="00243E84" w:rsidRDefault="00286780" w:rsidP="00FA7C6C">
            <w:pPr>
              <w:jc w:val="center"/>
              <w:rPr>
                <w:sz w:val="24"/>
                <w:szCs w:val="24"/>
              </w:rPr>
            </w:pPr>
            <w:r w:rsidRPr="00243E84">
              <w:rPr>
                <w:sz w:val="24"/>
                <w:szCs w:val="24"/>
              </w:rPr>
              <w:t>№ 1 (</w:t>
            </w:r>
            <w:r w:rsidRPr="00243E84">
              <w:rPr>
                <w:sz w:val="24"/>
                <w:szCs w:val="24"/>
                <w:lang w:val="en-US"/>
              </w:rPr>
              <w:t>n</w:t>
            </w:r>
            <w:r w:rsidRPr="00243E84">
              <w:rPr>
                <w:sz w:val="24"/>
                <w:szCs w:val="24"/>
              </w:rPr>
              <w:t>=35)</w:t>
            </w:r>
          </w:p>
        </w:tc>
        <w:tc>
          <w:tcPr>
            <w:tcW w:w="1418" w:type="dxa"/>
            <w:tcMar>
              <w:left w:w="28" w:type="dxa"/>
              <w:right w:w="28" w:type="dxa"/>
            </w:tcMar>
          </w:tcPr>
          <w:p w:rsidR="00286780" w:rsidRPr="00243E84" w:rsidRDefault="00286780" w:rsidP="00FA7C6C">
            <w:pPr>
              <w:tabs>
                <w:tab w:val="left" w:pos="2040"/>
              </w:tabs>
              <w:jc w:val="center"/>
              <w:rPr>
                <w:sz w:val="24"/>
                <w:szCs w:val="24"/>
              </w:rPr>
            </w:pPr>
            <w:r w:rsidRPr="00243E84">
              <w:rPr>
                <w:sz w:val="24"/>
                <w:szCs w:val="24"/>
              </w:rPr>
              <w:t>№ 2 (</w:t>
            </w:r>
            <w:r w:rsidRPr="00243E84">
              <w:rPr>
                <w:sz w:val="24"/>
                <w:szCs w:val="24"/>
                <w:lang w:val="en-US"/>
              </w:rPr>
              <w:t>n</w:t>
            </w:r>
            <w:r w:rsidRPr="00243E84">
              <w:rPr>
                <w:sz w:val="24"/>
                <w:szCs w:val="24"/>
              </w:rPr>
              <w:t>=34)</w:t>
            </w:r>
          </w:p>
        </w:tc>
        <w:tc>
          <w:tcPr>
            <w:tcW w:w="1417" w:type="dxa"/>
            <w:tcMar>
              <w:left w:w="28" w:type="dxa"/>
              <w:right w:w="28" w:type="dxa"/>
            </w:tcMar>
          </w:tcPr>
          <w:p w:rsidR="00286780" w:rsidRPr="00243E84" w:rsidRDefault="00286780" w:rsidP="00FA7C6C">
            <w:pPr>
              <w:tabs>
                <w:tab w:val="left" w:pos="2040"/>
              </w:tabs>
              <w:jc w:val="center"/>
              <w:rPr>
                <w:sz w:val="24"/>
                <w:szCs w:val="24"/>
              </w:rPr>
            </w:pPr>
            <w:r w:rsidRPr="00243E84">
              <w:rPr>
                <w:sz w:val="24"/>
                <w:szCs w:val="24"/>
              </w:rPr>
              <w:t>№ 3 (</w:t>
            </w:r>
            <w:r w:rsidRPr="00243E84">
              <w:rPr>
                <w:sz w:val="24"/>
                <w:szCs w:val="24"/>
                <w:lang w:val="en-US"/>
              </w:rPr>
              <w:t>n</w:t>
            </w:r>
            <w:r w:rsidRPr="00243E84">
              <w:rPr>
                <w:sz w:val="24"/>
                <w:szCs w:val="24"/>
              </w:rPr>
              <w:t>=42)</w:t>
            </w:r>
          </w:p>
        </w:tc>
        <w:tc>
          <w:tcPr>
            <w:tcW w:w="823" w:type="dxa"/>
            <w:vMerge/>
            <w:tcMar>
              <w:left w:w="28" w:type="dxa"/>
              <w:right w:w="28" w:type="dxa"/>
            </w:tcMar>
          </w:tcPr>
          <w:p w:rsidR="00286780" w:rsidRPr="00243E84" w:rsidRDefault="00286780" w:rsidP="00FA7C6C">
            <w:pPr>
              <w:jc w:val="center"/>
              <w:rPr>
                <w:sz w:val="24"/>
                <w:szCs w:val="24"/>
              </w:rPr>
            </w:pPr>
          </w:p>
        </w:tc>
      </w:tr>
      <w:tr w:rsidR="00286780" w:rsidRPr="00243E84" w:rsidTr="00243E84">
        <w:trPr>
          <w:trHeight w:val="328"/>
        </w:trPr>
        <w:tc>
          <w:tcPr>
            <w:tcW w:w="4706" w:type="dxa"/>
            <w:tcMar>
              <w:left w:w="28" w:type="dxa"/>
              <w:right w:w="28" w:type="dxa"/>
            </w:tcMar>
            <w:vAlign w:val="center"/>
          </w:tcPr>
          <w:p w:rsidR="00286780" w:rsidRPr="00243E84" w:rsidRDefault="00286780" w:rsidP="00FA7C6C">
            <w:pPr>
              <w:rPr>
                <w:sz w:val="24"/>
                <w:szCs w:val="24"/>
              </w:rPr>
            </w:pPr>
            <w:r w:rsidRPr="00243E84">
              <w:rPr>
                <w:sz w:val="24"/>
                <w:szCs w:val="24"/>
              </w:rPr>
              <w:t>Поднижечелюстное</w:t>
            </w:r>
          </w:p>
        </w:tc>
        <w:tc>
          <w:tcPr>
            <w:tcW w:w="1559" w:type="dxa"/>
            <w:tcMar>
              <w:left w:w="28" w:type="dxa"/>
              <w:right w:w="28" w:type="dxa"/>
            </w:tcMar>
            <w:vAlign w:val="center"/>
          </w:tcPr>
          <w:p w:rsidR="00286780" w:rsidRPr="00243E84" w:rsidRDefault="00286780" w:rsidP="00FA7C6C">
            <w:pPr>
              <w:jc w:val="center"/>
              <w:rPr>
                <w:sz w:val="24"/>
                <w:szCs w:val="24"/>
              </w:rPr>
            </w:pPr>
            <w:r w:rsidRPr="00243E84">
              <w:rPr>
                <w:sz w:val="24"/>
                <w:szCs w:val="24"/>
              </w:rPr>
              <w:t>24</w:t>
            </w:r>
          </w:p>
        </w:tc>
        <w:tc>
          <w:tcPr>
            <w:tcW w:w="1418" w:type="dxa"/>
            <w:tcMar>
              <w:left w:w="28" w:type="dxa"/>
              <w:right w:w="28" w:type="dxa"/>
            </w:tcMar>
            <w:vAlign w:val="center"/>
          </w:tcPr>
          <w:p w:rsidR="00286780" w:rsidRPr="00243E84" w:rsidRDefault="00286780" w:rsidP="00FA7C6C">
            <w:pPr>
              <w:jc w:val="center"/>
              <w:rPr>
                <w:sz w:val="24"/>
                <w:szCs w:val="24"/>
              </w:rPr>
            </w:pPr>
            <w:r w:rsidRPr="00243E84">
              <w:rPr>
                <w:sz w:val="24"/>
                <w:szCs w:val="24"/>
              </w:rPr>
              <w:t>7</w:t>
            </w:r>
          </w:p>
        </w:tc>
        <w:tc>
          <w:tcPr>
            <w:tcW w:w="1417" w:type="dxa"/>
            <w:tcMar>
              <w:left w:w="28" w:type="dxa"/>
              <w:right w:w="28" w:type="dxa"/>
            </w:tcMar>
            <w:vAlign w:val="center"/>
          </w:tcPr>
          <w:p w:rsidR="00286780" w:rsidRPr="00243E84" w:rsidRDefault="00286780" w:rsidP="00FA7C6C">
            <w:pPr>
              <w:jc w:val="center"/>
              <w:rPr>
                <w:sz w:val="24"/>
                <w:szCs w:val="24"/>
              </w:rPr>
            </w:pPr>
            <w:r w:rsidRPr="00243E84">
              <w:rPr>
                <w:sz w:val="24"/>
                <w:szCs w:val="24"/>
              </w:rPr>
              <w:t>5</w:t>
            </w:r>
          </w:p>
        </w:tc>
        <w:tc>
          <w:tcPr>
            <w:tcW w:w="823" w:type="dxa"/>
            <w:tcMar>
              <w:left w:w="28" w:type="dxa"/>
              <w:right w:w="28" w:type="dxa"/>
            </w:tcMar>
            <w:vAlign w:val="center"/>
          </w:tcPr>
          <w:p w:rsidR="00286780" w:rsidRPr="00243E84" w:rsidRDefault="00286780" w:rsidP="00FA7C6C">
            <w:pPr>
              <w:jc w:val="center"/>
              <w:rPr>
                <w:sz w:val="24"/>
                <w:szCs w:val="24"/>
              </w:rPr>
            </w:pPr>
            <w:r w:rsidRPr="00243E84">
              <w:rPr>
                <w:sz w:val="24"/>
                <w:szCs w:val="24"/>
                <w:lang w:val="en-US"/>
              </w:rPr>
              <w:t>p</w:t>
            </w:r>
            <w:r w:rsidRPr="00243E84">
              <w:rPr>
                <w:sz w:val="24"/>
                <w:szCs w:val="24"/>
              </w:rPr>
              <w:t>&gt;0,05</w:t>
            </w:r>
          </w:p>
        </w:tc>
      </w:tr>
      <w:tr w:rsidR="00286780" w:rsidRPr="00243E84" w:rsidTr="00243E84">
        <w:trPr>
          <w:trHeight w:val="418"/>
        </w:trPr>
        <w:tc>
          <w:tcPr>
            <w:tcW w:w="4706" w:type="dxa"/>
            <w:tcMar>
              <w:left w:w="28" w:type="dxa"/>
              <w:right w:w="28" w:type="dxa"/>
            </w:tcMar>
            <w:vAlign w:val="center"/>
          </w:tcPr>
          <w:p w:rsidR="00286780" w:rsidRPr="00243E84" w:rsidRDefault="00286780" w:rsidP="00FB0829">
            <w:pPr>
              <w:rPr>
                <w:sz w:val="24"/>
                <w:szCs w:val="24"/>
              </w:rPr>
            </w:pPr>
            <w:r w:rsidRPr="00243E84">
              <w:rPr>
                <w:sz w:val="24"/>
                <w:szCs w:val="24"/>
              </w:rPr>
              <w:t>Подподбородочное</w:t>
            </w:r>
          </w:p>
        </w:tc>
        <w:tc>
          <w:tcPr>
            <w:tcW w:w="1559" w:type="dxa"/>
            <w:tcMar>
              <w:left w:w="28" w:type="dxa"/>
              <w:right w:w="28" w:type="dxa"/>
            </w:tcMar>
            <w:vAlign w:val="center"/>
          </w:tcPr>
          <w:p w:rsidR="00286780" w:rsidRPr="00243E84" w:rsidRDefault="00286780" w:rsidP="00FB0829">
            <w:pPr>
              <w:jc w:val="center"/>
              <w:rPr>
                <w:sz w:val="24"/>
                <w:szCs w:val="24"/>
              </w:rPr>
            </w:pPr>
            <w:r w:rsidRPr="00243E84">
              <w:rPr>
                <w:sz w:val="24"/>
                <w:szCs w:val="24"/>
              </w:rPr>
              <w:t>4</w:t>
            </w:r>
          </w:p>
        </w:tc>
        <w:tc>
          <w:tcPr>
            <w:tcW w:w="1418" w:type="dxa"/>
            <w:tcMar>
              <w:left w:w="28" w:type="dxa"/>
              <w:right w:w="28" w:type="dxa"/>
            </w:tcMar>
            <w:vAlign w:val="center"/>
          </w:tcPr>
          <w:p w:rsidR="00286780" w:rsidRPr="00243E84" w:rsidRDefault="00286780" w:rsidP="00FB0829">
            <w:pPr>
              <w:jc w:val="center"/>
              <w:rPr>
                <w:sz w:val="24"/>
                <w:szCs w:val="24"/>
                <w:lang w:val="en-US"/>
              </w:rPr>
            </w:pPr>
            <w:r w:rsidRPr="00243E84">
              <w:rPr>
                <w:sz w:val="24"/>
                <w:szCs w:val="24"/>
                <w:lang w:val="en-US"/>
              </w:rPr>
              <w:t>0</w:t>
            </w:r>
          </w:p>
        </w:tc>
        <w:tc>
          <w:tcPr>
            <w:tcW w:w="1417" w:type="dxa"/>
            <w:tcMar>
              <w:left w:w="28" w:type="dxa"/>
              <w:right w:w="28" w:type="dxa"/>
            </w:tcMar>
            <w:vAlign w:val="center"/>
          </w:tcPr>
          <w:p w:rsidR="00286780" w:rsidRPr="00243E84" w:rsidRDefault="00286780" w:rsidP="00FB0829">
            <w:pPr>
              <w:jc w:val="center"/>
              <w:rPr>
                <w:sz w:val="24"/>
                <w:szCs w:val="24"/>
              </w:rPr>
            </w:pPr>
            <w:r w:rsidRPr="00243E84">
              <w:rPr>
                <w:sz w:val="24"/>
                <w:szCs w:val="24"/>
              </w:rPr>
              <w:t>3</w:t>
            </w:r>
          </w:p>
        </w:tc>
        <w:tc>
          <w:tcPr>
            <w:tcW w:w="823" w:type="dxa"/>
            <w:tcMar>
              <w:left w:w="28" w:type="dxa"/>
              <w:right w:w="28" w:type="dxa"/>
            </w:tcMar>
          </w:tcPr>
          <w:p w:rsidR="00286780" w:rsidRPr="00243E84" w:rsidRDefault="00286780" w:rsidP="00FB0829">
            <w:pPr>
              <w:rPr>
                <w:sz w:val="24"/>
                <w:szCs w:val="24"/>
              </w:rPr>
            </w:pPr>
            <w:r w:rsidRPr="00243E84">
              <w:rPr>
                <w:sz w:val="24"/>
                <w:szCs w:val="24"/>
                <w:lang w:val="en-US"/>
              </w:rPr>
              <w:t>p</w:t>
            </w:r>
            <w:r w:rsidRPr="00243E84">
              <w:rPr>
                <w:sz w:val="24"/>
                <w:szCs w:val="24"/>
              </w:rPr>
              <w:t>&gt;0,05</w:t>
            </w:r>
          </w:p>
        </w:tc>
      </w:tr>
      <w:tr w:rsidR="00286780" w:rsidRPr="00243E84" w:rsidTr="00243E84">
        <w:trPr>
          <w:trHeight w:val="409"/>
        </w:trPr>
        <w:tc>
          <w:tcPr>
            <w:tcW w:w="4706" w:type="dxa"/>
            <w:tcMar>
              <w:left w:w="28" w:type="dxa"/>
              <w:right w:w="28" w:type="dxa"/>
            </w:tcMar>
            <w:vAlign w:val="center"/>
          </w:tcPr>
          <w:p w:rsidR="00286780" w:rsidRPr="00243E84" w:rsidRDefault="00286780" w:rsidP="00FB0829">
            <w:pPr>
              <w:rPr>
                <w:sz w:val="24"/>
                <w:szCs w:val="24"/>
              </w:rPr>
            </w:pPr>
            <w:r w:rsidRPr="00243E84">
              <w:rPr>
                <w:sz w:val="24"/>
                <w:szCs w:val="24"/>
              </w:rPr>
              <w:t>Челюстно-язычный желобок</w:t>
            </w:r>
          </w:p>
        </w:tc>
        <w:tc>
          <w:tcPr>
            <w:tcW w:w="1559" w:type="dxa"/>
            <w:tcMar>
              <w:left w:w="28" w:type="dxa"/>
              <w:right w:w="28" w:type="dxa"/>
            </w:tcMar>
            <w:vAlign w:val="center"/>
          </w:tcPr>
          <w:p w:rsidR="00286780" w:rsidRPr="00243E84" w:rsidRDefault="00286780" w:rsidP="00FB0829">
            <w:pPr>
              <w:jc w:val="center"/>
              <w:rPr>
                <w:sz w:val="24"/>
                <w:szCs w:val="24"/>
              </w:rPr>
            </w:pPr>
            <w:r w:rsidRPr="00243E84">
              <w:rPr>
                <w:sz w:val="24"/>
                <w:szCs w:val="24"/>
              </w:rPr>
              <w:t>18</w:t>
            </w:r>
          </w:p>
        </w:tc>
        <w:tc>
          <w:tcPr>
            <w:tcW w:w="1418" w:type="dxa"/>
            <w:tcMar>
              <w:left w:w="28" w:type="dxa"/>
              <w:right w:w="28" w:type="dxa"/>
            </w:tcMar>
            <w:vAlign w:val="center"/>
          </w:tcPr>
          <w:p w:rsidR="00286780" w:rsidRPr="00243E84" w:rsidRDefault="00286780" w:rsidP="00FB0829">
            <w:pPr>
              <w:jc w:val="center"/>
              <w:rPr>
                <w:sz w:val="24"/>
                <w:szCs w:val="24"/>
                <w:lang w:val="en-US"/>
              </w:rPr>
            </w:pPr>
            <w:r w:rsidRPr="00243E84">
              <w:rPr>
                <w:sz w:val="24"/>
                <w:szCs w:val="24"/>
                <w:lang w:val="en-US"/>
              </w:rPr>
              <w:t>5</w:t>
            </w:r>
          </w:p>
        </w:tc>
        <w:tc>
          <w:tcPr>
            <w:tcW w:w="1417" w:type="dxa"/>
            <w:tcMar>
              <w:left w:w="28" w:type="dxa"/>
              <w:right w:w="28" w:type="dxa"/>
            </w:tcMar>
            <w:vAlign w:val="center"/>
          </w:tcPr>
          <w:p w:rsidR="00286780" w:rsidRPr="00243E84" w:rsidRDefault="00286780" w:rsidP="00FB0829">
            <w:pPr>
              <w:jc w:val="center"/>
              <w:rPr>
                <w:sz w:val="24"/>
                <w:szCs w:val="24"/>
              </w:rPr>
            </w:pPr>
            <w:r w:rsidRPr="00243E84">
              <w:rPr>
                <w:sz w:val="24"/>
                <w:szCs w:val="24"/>
              </w:rPr>
              <w:t>4</w:t>
            </w:r>
          </w:p>
        </w:tc>
        <w:tc>
          <w:tcPr>
            <w:tcW w:w="823" w:type="dxa"/>
            <w:tcMar>
              <w:left w:w="28" w:type="dxa"/>
              <w:right w:w="28" w:type="dxa"/>
            </w:tcMar>
          </w:tcPr>
          <w:p w:rsidR="00286780" w:rsidRPr="00243E84" w:rsidRDefault="00286780" w:rsidP="00FB0829">
            <w:pPr>
              <w:rPr>
                <w:sz w:val="24"/>
                <w:szCs w:val="24"/>
              </w:rPr>
            </w:pPr>
            <w:r w:rsidRPr="00243E84">
              <w:rPr>
                <w:sz w:val="24"/>
                <w:szCs w:val="24"/>
                <w:lang w:val="en-US"/>
              </w:rPr>
              <w:t>p</w:t>
            </w:r>
            <w:r w:rsidRPr="00243E84">
              <w:rPr>
                <w:sz w:val="24"/>
                <w:szCs w:val="24"/>
              </w:rPr>
              <w:t>&gt;0,05</w:t>
            </w:r>
          </w:p>
        </w:tc>
      </w:tr>
      <w:tr w:rsidR="00286780" w:rsidRPr="00243E84" w:rsidTr="00243E84">
        <w:trPr>
          <w:trHeight w:val="273"/>
        </w:trPr>
        <w:tc>
          <w:tcPr>
            <w:tcW w:w="4706" w:type="dxa"/>
            <w:tcMar>
              <w:left w:w="28" w:type="dxa"/>
              <w:right w:w="28" w:type="dxa"/>
            </w:tcMar>
            <w:vAlign w:val="center"/>
          </w:tcPr>
          <w:p w:rsidR="00286780" w:rsidRPr="00243E84" w:rsidRDefault="00286780" w:rsidP="00FB0829">
            <w:pPr>
              <w:rPr>
                <w:sz w:val="24"/>
                <w:szCs w:val="24"/>
              </w:rPr>
            </w:pPr>
            <w:r w:rsidRPr="00243E84">
              <w:rPr>
                <w:sz w:val="24"/>
                <w:szCs w:val="24"/>
              </w:rPr>
              <w:t>Щечное</w:t>
            </w:r>
          </w:p>
        </w:tc>
        <w:tc>
          <w:tcPr>
            <w:tcW w:w="1559" w:type="dxa"/>
            <w:tcMar>
              <w:left w:w="28" w:type="dxa"/>
              <w:right w:w="28" w:type="dxa"/>
            </w:tcMar>
            <w:vAlign w:val="center"/>
          </w:tcPr>
          <w:p w:rsidR="00286780" w:rsidRPr="00243E84" w:rsidRDefault="00286780" w:rsidP="00FB0829">
            <w:pPr>
              <w:jc w:val="center"/>
              <w:rPr>
                <w:sz w:val="24"/>
                <w:szCs w:val="24"/>
              </w:rPr>
            </w:pPr>
            <w:r w:rsidRPr="00243E84">
              <w:rPr>
                <w:sz w:val="24"/>
                <w:szCs w:val="24"/>
              </w:rPr>
              <w:t>15</w:t>
            </w:r>
          </w:p>
        </w:tc>
        <w:tc>
          <w:tcPr>
            <w:tcW w:w="1418" w:type="dxa"/>
            <w:tcMar>
              <w:left w:w="28" w:type="dxa"/>
              <w:right w:w="28" w:type="dxa"/>
            </w:tcMar>
            <w:vAlign w:val="center"/>
          </w:tcPr>
          <w:p w:rsidR="00286780" w:rsidRPr="00243E84" w:rsidRDefault="00286780" w:rsidP="00FB0829">
            <w:pPr>
              <w:jc w:val="center"/>
              <w:rPr>
                <w:sz w:val="24"/>
                <w:szCs w:val="24"/>
                <w:lang w:val="en-US"/>
              </w:rPr>
            </w:pPr>
            <w:r w:rsidRPr="00243E84">
              <w:rPr>
                <w:sz w:val="24"/>
                <w:szCs w:val="24"/>
                <w:lang w:val="en-US"/>
              </w:rPr>
              <w:t>3</w:t>
            </w:r>
          </w:p>
        </w:tc>
        <w:tc>
          <w:tcPr>
            <w:tcW w:w="1417" w:type="dxa"/>
            <w:tcMar>
              <w:left w:w="28" w:type="dxa"/>
              <w:right w:w="28" w:type="dxa"/>
            </w:tcMar>
            <w:vAlign w:val="center"/>
          </w:tcPr>
          <w:p w:rsidR="00286780" w:rsidRPr="00243E84" w:rsidRDefault="00286780" w:rsidP="00FB0829">
            <w:pPr>
              <w:jc w:val="center"/>
              <w:rPr>
                <w:sz w:val="24"/>
                <w:szCs w:val="24"/>
              </w:rPr>
            </w:pPr>
            <w:r w:rsidRPr="00243E84">
              <w:rPr>
                <w:sz w:val="24"/>
                <w:szCs w:val="24"/>
              </w:rPr>
              <w:t>7</w:t>
            </w:r>
          </w:p>
        </w:tc>
        <w:tc>
          <w:tcPr>
            <w:tcW w:w="823" w:type="dxa"/>
            <w:tcMar>
              <w:left w:w="28" w:type="dxa"/>
              <w:right w:w="28" w:type="dxa"/>
            </w:tcMar>
          </w:tcPr>
          <w:p w:rsidR="00286780" w:rsidRPr="00243E84" w:rsidRDefault="00286780" w:rsidP="00FB0829">
            <w:pPr>
              <w:rPr>
                <w:sz w:val="24"/>
                <w:szCs w:val="24"/>
              </w:rPr>
            </w:pPr>
            <w:r w:rsidRPr="00243E84">
              <w:rPr>
                <w:sz w:val="24"/>
                <w:szCs w:val="24"/>
                <w:lang w:val="en-US"/>
              </w:rPr>
              <w:t>p</w:t>
            </w:r>
            <w:r w:rsidRPr="00243E84">
              <w:rPr>
                <w:sz w:val="24"/>
                <w:szCs w:val="24"/>
              </w:rPr>
              <w:t>&gt;0,05</w:t>
            </w:r>
          </w:p>
        </w:tc>
      </w:tr>
      <w:tr w:rsidR="00286780" w:rsidRPr="00243E84" w:rsidTr="00C82F8D">
        <w:trPr>
          <w:trHeight w:val="454"/>
        </w:trPr>
        <w:tc>
          <w:tcPr>
            <w:tcW w:w="4706" w:type="dxa"/>
            <w:tcMar>
              <w:left w:w="28" w:type="dxa"/>
              <w:right w:w="28" w:type="dxa"/>
            </w:tcMar>
            <w:vAlign w:val="center"/>
          </w:tcPr>
          <w:p w:rsidR="00286780" w:rsidRPr="00243E84" w:rsidRDefault="00286780" w:rsidP="00FB0829">
            <w:pPr>
              <w:rPr>
                <w:sz w:val="24"/>
                <w:szCs w:val="24"/>
              </w:rPr>
            </w:pPr>
            <w:r w:rsidRPr="00243E84">
              <w:rPr>
                <w:sz w:val="24"/>
                <w:szCs w:val="24"/>
              </w:rPr>
              <w:t>Подчелюстное и подподбородочное</w:t>
            </w:r>
          </w:p>
        </w:tc>
        <w:tc>
          <w:tcPr>
            <w:tcW w:w="1559" w:type="dxa"/>
            <w:tcMar>
              <w:left w:w="28" w:type="dxa"/>
              <w:right w:w="28" w:type="dxa"/>
            </w:tcMar>
            <w:vAlign w:val="center"/>
          </w:tcPr>
          <w:p w:rsidR="00286780" w:rsidRPr="00243E84" w:rsidRDefault="00286780" w:rsidP="00FB0829">
            <w:pPr>
              <w:jc w:val="center"/>
              <w:rPr>
                <w:sz w:val="24"/>
                <w:szCs w:val="24"/>
              </w:rPr>
            </w:pPr>
            <w:r w:rsidRPr="00243E84">
              <w:rPr>
                <w:sz w:val="24"/>
                <w:szCs w:val="24"/>
              </w:rPr>
              <w:t>7</w:t>
            </w:r>
          </w:p>
        </w:tc>
        <w:tc>
          <w:tcPr>
            <w:tcW w:w="1418" w:type="dxa"/>
            <w:tcMar>
              <w:left w:w="28" w:type="dxa"/>
              <w:right w:w="28" w:type="dxa"/>
            </w:tcMar>
            <w:vAlign w:val="center"/>
          </w:tcPr>
          <w:p w:rsidR="00286780" w:rsidRPr="00243E84" w:rsidRDefault="00286780" w:rsidP="00FB0829">
            <w:pPr>
              <w:jc w:val="center"/>
              <w:rPr>
                <w:sz w:val="24"/>
                <w:szCs w:val="24"/>
                <w:lang w:val="en-US"/>
              </w:rPr>
            </w:pPr>
            <w:r w:rsidRPr="00243E84">
              <w:rPr>
                <w:sz w:val="24"/>
                <w:szCs w:val="24"/>
                <w:lang w:val="en-US"/>
              </w:rPr>
              <w:t>1</w:t>
            </w:r>
          </w:p>
        </w:tc>
        <w:tc>
          <w:tcPr>
            <w:tcW w:w="1417" w:type="dxa"/>
            <w:tcMar>
              <w:left w:w="28" w:type="dxa"/>
              <w:right w:w="28" w:type="dxa"/>
            </w:tcMar>
            <w:vAlign w:val="center"/>
          </w:tcPr>
          <w:p w:rsidR="00286780" w:rsidRPr="00243E84" w:rsidRDefault="00286780" w:rsidP="00FB0829">
            <w:pPr>
              <w:jc w:val="center"/>
              <w:rPr>
                <w:sz w:val="24"/>
                <w:szCs w:val="24"/>
              </w:rPr>
            </w:pPr>
            <w:r w:rsidRPr="00243E84">
              <w:rPr>
                <w:sz w:val="24"/>
                <w:szCs w:val="24"/>
              </w:rPr>
              <w:t>1</w:t>
            </w:r>
          </w:p>
        </w:tc>
        <w:tc>
          <w:tcPr>
            <w:tcW w:w="823" w:type="dxa"/>
            <w:tcMar>
              <w:left w:w="28" w:type="dxa"/>
              <w:right w:w="28" w:type="dxa"/>
            </w:tcMar>
          </w:tcPr>
          <w:p w:rsidR="00286780" w:rsidRPr="00243E84" w:rsidRDefault="00286780" w:rsidP="00FB0829">
            <w:pPr>
              <w:rPr>
                <w:sz w:val="24"/>
                <w:szCs w:val="24"/>
              </w:rPr>
            </w:pPr>
            <w:r w:rsidRPr="00243E84">
              <w:rPr>
                <w:sz w:val="24"/>
                <w:szCs w:val="24"/>
                <w:lang w:val="en-US"/>
              </w:rPr>
              <w:t>p</w:t>
            </w:r>
            <w:r w:rsidRPr="00243E84">
              <w:rPr>
                <w:sz w:val="24"/>
                <w:szCs w:val="24"/>
              </w:rPr>
              <w:t>&gt;0,05</w:t>
            </w:r>
          </w:p>
        </w:tc>
      </w:tr>
      <w:tr w:rsidR="00286780" w:rsidRPr="00243E84" w:rsidTr="00C82F8D">
        <w:trPr>
          <w:trHeight w:val="454"/>
        </w:trPr>
        <w:tc>
          <w:tcPr>
            <w:tcW w:w="4706" w:type="dxa"/>
            <w:tcMar>
              <w:left w:w="28" w:type="dxa"/>
              <w:right w:w="28" w:type="dxa"/>
            </w:tcMar>
            <w:vAlign w:val="center"/>
          </w:tcPr>
          <w:p w:rsidR="00286780" w:rsidRPr="00243E84" w:rsidRDefault="00286780" w:rsidP="00FB0829">
            <w:pPr>
              <w:rPr>
                <w:sz w:val="24"/>
                <w:szCs w:val="24"/>
              </w:rPr>
            </w:pPr>
            <w:r w:rsidRPr="00243E84">
              <w:rPr>
                <w:sz w:val="24"/>
                <w:szCs w:val="24"/>
              </w:rPr>
              <w:t>Крыловидно-нижечелюстное</w:t>
            </w:r>
          </w:p>
        </w:tc>
        <w:tc>
          <w:tcPr>
            <w:tcW w:w="1559" w:type="dxa"/>
            <w:tcMar>
              <w:left w:w="28" w:type="dxa"/>
              <w:right w:w="28" w:type="dxa"/>
            </w:tcMar>
            <w:vAlign w:val="center"/>
          </w:tcPr>
          <w:p w:rsidR="00286780" w:rsidRPr="00243E84" w:rsidRDefault="00286780" w:rsidP="00FB0829">
            <w:pPr>
              <w:jc w:val="center"/>
              <w:rPr>
                <w:sz w:val="24"/>
                <w:szCs w:val="24"/>
              </w:rPr>
            </w:pPr>
            <w:r w:rsidRPr="00243E84">
              <w:rPr>
                <w:sz w:val="24"/>
                <w:szCs w:val="24"/>
              </w:rPr>
              <w:t>9</w:t>
            </w:r>
          </w:p>
        </w:tc>
        <w:tc>
          <w:tcPr>
            <w:tcW w:w="1418" w:type="dxa"/>
            <w:tcMar>
              <w:left w:w="28" w:type="dxa"/>
              <w:right w:w="28" w:type="dxa"/>
            </w:tcMar>
            <w:vAlign w:val="center"/>
          </w:tcPr>
          <w:p w:rsidR="00286780" w:rsidRPr="00243E84" w:rsidRDefault="00286780" w:rsidP="00FB0829">
            <w:pPr>
              <w:jc w:val="center"/>
              <w:rPr>
                <w:sz w:val="24"/>
                <w:szCs w:val="24"/>
                <w:lang w:val="en-US"/>
              </w:rPr>
            </w:pPr>
            <w:r w:rsidRPr="00243E84">
              <w:rPr>
                <w:sz w:val="24"/>
                <w:szCs w:val="24"/>
                <w:lang w:val="en-US"/>
              </w:rPr>
              <w:t>2</w:t>
            </w:r>
          </w:p>
        </w:tc>
        <w:tc>
          <w:tcPr>
            <w:tcW w:w="1417" w:type="dxa"/>
            <w:tcMar>
              <w:left w:w="28" w:type="dxa"/>
              <w:right w:w="28" w:type="dxa"/>
            </w:tcMar>
            <w:vAlign w:val="center"/>
          </w:tcPr>
          <w:p w:rsidR="00286780" w:rsidRPr="00243E84" w:rsidRDefault="00286780" w:rsidP="00FB0829">
            <w:pPr>
              <w:jc w:val="center"/>
              <w:rPr>
                <w:sz w:val="24"/>
                <w:szCs w:val="24"/>
              </w:rPr>
            </w:pPr>
            <w:r w:rsidRPr="00243E84">
              <w:rPr>
                <w:sz w:val="24"/>
                <w:szCs w:val="24"/>
              </w:rPr>
              <w:t>1</w:t>
            </w:r>
          </w:p>
        </w:tc>
        <w:tc>
          <w:tcPr>
            <w:tcW w:w="823" w:type="dxa"/>
            <w:tcMar>
              <w:left w:w="28" w:type="dxa"/>
              <w:right w:w="28" w:type="dxa"/>
            </w:tcMar>
          </w:tcPr>
          <w:p w:rsidR="00286780" w:rsidRPr="00243E84" w:rsidRDefault="00286780" w:rsidP="00FB0829">
            <w:pPr>
              <w:rPr>
                <w:sz w:val="24"/>
                <w:szCs w:val="24"/>
              </w:rPr>
            </w:pPr>
            <w:r w:rsidRPr="00243E84">
              <w:rPr>
                <w:sz w:val="24"/>
                <w:szCs w:val="24"/>
                <w:lang w:val="en-US"/>
              </w:rPr>
              <w:t>p</w:t>
            </w:r>
            <w:r w:rsidRPr="00243E84">
              <w:rPr>
                <w:sz w:val="24"/>
                <w:szCs w:val="24"/>
              </w:rPr>
              <w:t>&gt;0,05</w:t>
            </w:r>
          </w:p>
        </w:tc>
      </w:tr>
      <w:tr w:rsidR="00286780" w:rsidRPr="00243E84" w:rsidTr="00C82F8D">
        <w:trPr>
          <w:trHeight w:val="454"/>
        </w:trPr>
        <w:tc>
          <w:tcPr>
            <w:tcW w:w="4706" w:type="dxa"/>
            <w:tcMar>
              <w:left w:w="28" w:type="dxa"/>
              <w:right w:w="28" w:type="dxa"/>
            </w:tcMar>
            <w:vAlign w:val="center"/>
          </w:tcPr>
          <w:p w:rsidR="00286780" w:rsidRPr="00243E84" w:rsidRDefault="00286780" w:rsidP="00FB0829">
            <w:pPr>
              <w:rPr>
                <w:sz w:val="24"/>
                <w:szCs w:val="24"/>
              </w:rPr>
            </w:pPr>
            <w:r w:rsidRPr="00243E84">
              <w:rPr>
                <w:sz w:val="24"/>
                <w:szCs w:val="24"/>
              </w:rPr>
              <w:t>Крыловидно-нижечелюстное и челюстно-язычный желобок</w:t>
            </w:r>
          </w:p>
        </w:tc>
        <w:tc>
          <w:tcPr>
            <w:tcW w:w="1559" w:type="dxa"/>
            <w:tcMar>
              <w:left w:w="28" w:type="dxa"/>
              <w:right w:w="28" w:type="dxa"/>
            </w:tcMar>
            <w:vAlign w:val="center"/>
          </w:tcPr>
          <w:p w:rsidR="00286780" w:rsidRPr="00243E84" w:rsidRDefault="00286780" w:rsidP="00FB0829">
            <w:pPr>
              <w:jc w:val="center"/>
              <w:rPr>
                <w:sz w:val="24"/>
                <w:szCs w:val="24"/>
              </w:rPr>
            </w:pPr>
            <w:r w:rsidRPr="00243E84">
              <w:rPr>
                <w:sz w:val="24"/>
                <w:szCs w:val="24"/>
              </w:rPr>
              <w:t>0</w:t>
            </w:r>
          </w:p>
        </w:tc>
        <w:tc>
          <w:tcPr>
            <w:tcW w:w="1418" w:type="dxa"/>
            <w:tcMar>
              <w:left w:w="28" w:type="dxa"/>
              <w:right w:w="28" w:type="dxa"/>
            </w:tcMar>
            <w:vAlign w:val="center"/>
          </w:tcPr>
          <w:p w:rsidR="00286780" w:rsidRPr="00243E84" w:rsidRDefault="00286780" w:rsidP="00FB0829">
            <w:pPr>
              <w:jc w:val="center"/>
              <w:rPr>
                <w:sz w:val="24"/>
                <w:szCs w:val="24"/>
              </w:rPr>
            </w:pPr>
            <w:r w:rsidRPr="00243E84">
              <w:rPr>
                <w:sz w:val="24"/>
                <w:szCs w:val="24"/>
              </w:rPr>
              <w:t>1</w:t>
            </w:r>
          </w:p>
        </w:tc>
        <w:tc>
          <w:tcPr>
            <w:tcW w:w="1417" w:type="dxa"/>
            <w:tcMar>
              <w:left w:w="28" w:type="dxa"/>
              <w:right w:w="28" w:type="dxa"/>
            </w:tcMar>
            <w:vAlign w:val="center"/>
          </w:tcPr>
          <w:p w:rsidR="00286780" w:rsidRPr="00243E84" w:rsidRDefault="00286780" w:rsidP="00FB0829">
            <w:pPr>
              <w:jc w:val="center"/>
              <w:rPr>
                <w:sz w:val="24"/>
                <w:szCs w:val="24"/>
              </w:rPr>
            </w:pPr>
            <w:r w:rsidRPr="00243E84">
              <w:rPr>
                <w:sz w:val="24"/>
                <w:szCs w:val="24"/>
              </w:rPr>
              <w:t>0</w:t>
            </w:r>
          </w:p>
        </w:tc>
        <w:tc>
          <w:tcPr>
            <w:tcW w:w="823" w:type="dxa"/>
            <w:tcMar>
              <w:left w:w="28" w:type="dxa"/>
              <w:right w:w="28" w:type="dxa"/>
            </w:tcMar>
          </w:tcPr>
          <w:p w:rsidR="00286780" w:rsidRPr="00243E84" w:rsidRDefault="00286780" w:rsidP="00FB0829">
            <w:pPr>
              <w:rPr>
                <w:sz w:val="24"/>
                <w:szCs w:val="24"/>
              </w:rPr>
            </w:pPr>
            <w:r w:rsidRPr="00243E84">
              <w:rPr>
                <w:sz w:val="24"/>
                <w:szCs w:val="24"/>
                <w:lang w:val="en-US"/>
              </w:rPr>
              <w:t>p</w:t>
            </w:r>
            <w:r w:rsidRPr="00243E84">
              <w:rPr>
                <w:sz w:val="24"/>
                <w:szCs w:val="24"/>
              </w:rPr>
              <w:t>&gt;0,05</w:t>
            </w:r>
          </w:p>
        </w:tc>
      </w:tr>
      <w:tr w:rsidR="00286780" w:rsidRPr="00243E84" w:rsidTr="00243E84">
        <w:trPr>
          <w:trHeight w:val="341"/>
        </w:trPr>
        <w:tc>
          <w:tcPr>
            <w:tcW w:w="4706" w:type="dxa"/>
            <w:tcMar>
              <w:left w:w="28" w:type="dxa"/>
              <w:right w:w="28" w:type="dxa"/>
            </w:tcMar>
            <w:vAlign w:val="center"/>
          </w:tcPr>
          <w:p w:rsidR="00286780" w:rsidRPr="00243E84" w:rsidRDefault="00286780" w:rsidP="00FB0829">
            <w:pPr>
              <w:rPr>
                <w:sz w:val="24"/>
                <w:szCs w:val="24"/>
              </w:rPr>
            </w:pPr>
            <w:r w:rsidRPr="00243E84">
              <w:rPr>
                <w:sz w:val="24"/>
                <w:szCs w:val="24"/>
              </w:rPr>
              <w:t>Окологлоточное</w:t>
            </w:r>
          </w:p>
        </w:tc>
        <w:tc>
          <w:tcPr>
            <w:tcW w:w="1559" w:type="dxa"/>
            <w:tcMar>
              <w:left w:w="28" w:type="dxa"/>
              <w:right w:w="28" w:type="dxa"/>
            </w:tcMar>
            <w:vAlign w:val="center"/>
          </w:tcPr>
          <w:p w:rsidR="00286780" w:rsidRPr="00243E84" w:rsidRDefault="00286780" w:rsidP="00FB0829">
            <w:pPr>
              <w:jc w:val="center"/>
              <w:rPr>
                <w:sz w:val="24"/>
                <w:szCs w:val="24"/>
              </w:rPr>
            </w:pPr>
            <w:r w:rsidRPr="00243E84">
              <w:rPr>
                <w:sz w:val="24"/>
                <w:szCs w:val="24"/>
              </w:rPr>
              <w:t>1</w:t>
            </w:r>
          </w:p>
        </w:tc>
        <w:tc>
          <w:tcPr>
            <w:tcW w:w="1418" w:type="dxa"/>
            <w:tcMar>
              <w:left w:w="28" w:type="dxa"/>
              <w:right w:w="28" w:type="dxa"/>
            </w:tcMar>
            <w:vAlign w:val="center"/>
          </w:tcPr>
          <w:p w:rsidR="00286780" w:rsidRPr="00243E84" w:rsidRDefault="00286780" w:rsidP="00FB0829">
            <w:pPr>
              <w:jc w:val="center"/>
              <w:rPr>
                <w:sz w:val="24"/>
                <w:szCs w:val="24"/>
              </w:rPr>
            </w:pPr>
            <w:r w:rsidRPr="00243E84">
              <w:rPr>
                <w:sz w:val="24"/>
                <w:szCs w:val="24"/>
              </w:rPr>
              <w:t>1</w:t>
            </w:r>
          </w:p>
        </w:tc>
        <w:tc>
          <w:tcPr>
            <w:tcW w:w="1417" w:type="dxa"/>
            <w:tcMar>
              <w:left w:w="28" w:type="dxa"/>
              <w:right w:w="28" w:type="dxa"/>
            </w:tcMar>
            <w:vAlign w:val="center"/>
          </w:tcPr>
          <w:p w:rsidR="00286780" w:rsidRPr="00243E84" w:rsidRDefault="00286780" w:rsidP="00FB0829">
            <w:pPr>
              <w:jc w:val="center"/>
              <w:rPr>
                <w:sz w:val="24"/>
                <w:szCs w:val="24"/>
              </w:rPr>
            </w:pPr>
            <w:r w:rsidRPr="00243E84">
              <w:rPr>
                <w:sz w:val="24"/>
                <w:szCs w:val="24"/>
              </w:rPr>
              <w:t>1</w:t>
            </w:r>
          </w:p>
        </w:tc>
        <w:tc>
          <w:tcPr>
            <w:tcW w:w="823" w:type="dxa"/>
            <w:tcMar>
              <w:left w:w="28" w:type="dxa"/>
              <w:right w:w="28" w:type="dxa"/>
            </w:tcMar>
          </w:tcPr>
          <w:p w:rsidR="00286780" w:rsidRPr="00243E84" w:rsidRDefault="00286780" w:rsidP="00FB0829">
            <w:pPr>
              <w:rPr>
                <w:sz w:val="24"/>
                <w:szCs w:val="24"/>
              </w:rPr>
            </w:pPr>
            <w:r w:rsidRPr="00243E84">
              <w:rPr>
                <w:sz w:val="24"/>
                <w:szCs w:val="24"/>
                <w:lang w:val="en-US"/>
              </w:rPr>
              <w:t>p</w:t>
            </w:r>
            <w:r w:rsidRPr="00243E84">
              <w:rPr>
                <w:sz w:val="24"/>
                <w:szCs w:val="24"/>
              </w:rPr>
              <w:t>&gt;0,05</w:t>
            </w:r>
          </w:p>
        </w:tc>
      </w:tr>
      <w:tr w:rsidR="00286780" w:rsidRPr="00243E84" w:rsidTr="00243E84">
        <w:trPr>
          <w:trHeight w:val="262"/>
        </w:trPr>
        <w:tc>
          <w:tcPr>
            <w:tcW w:w="4706" w:type="dxa"/>
            <w:tcMar>
              <w:left w:w="28" w:type="dxa"/>
              <w:right w:w="28" w:type="dxa"/>
            </w:tcMar>
            <w:vAlign w:val="center"/>
          </w:tcPr>
          <w:p w:rsidR="00286780" w:rsidRPr="00243E84" w:rsidRDefault="00286780" w:rsidP="00FB0829">
            <w:pPr>
              <w:rPr>
                <w:sz w:val="24"/>
                <w:szCs w:val="24"/>
              </w:rPr>
            </w:pPr>
            <w:r w:rsidRPr="00243E84">
              <w:rPr>
                <w:sz w:val="24"/>
                <w:szCs w:val="24"/>
              </w:rPr>
              <w:t>Субмассетериальное</w:t>
            </w:r>
          </w:p>
        </w:tc>
        <w:tc>
          <w:tcPr>
            <w:tcW w:w="1559" w:type="dxa"/>
            <w:tcMar>
              <w:left w:w="28" w:type="dxa"/>
              <w:right w:w="28" w:type="dxa"/>
            </w:tcMar>
            <w:vAlign w:val="center"/>
          </w:tcPr>
          <w:p w:rsidR="00286780" w:rsidRPr="00243E84" w:rsidRDefault="00286780" w:rsidP="00FB0829">
            <w:pPr>
              <w:jc w:val="center"/>
              <w:rPr>
                <w:sz w:val="24"/>
                <w:szCs w:val="24"/>
              </w:rPr>
            </w:pPr>
            <w:r w:rsidRPr="00243E84">
              <w:rPr>
                <w:sz w:val="24"/>
                <w:szCs w:val="24"/>
              </w:rPr>
              <w:t>5</w:t>
            </w:r>
          </w:p>
        </w:tc>
        <w:tc>
          <w:tcPr>
            <w:tcW w:w="1418" w:type="dxa"/>
            <w:tcMar>
              <w:left w:w="28" w:type="dxa"/>
              <w:right w:w="28" w:type="dxa"/>
            </w:tcMar>
            <w:vAlign w:val="center"/>
          </w:tcPr>
          <w:p w:rsidR="00286780" w:rsidRPr="00243E84" w:rsidRDefault="00286780" w:rsidP="00FB0829">
            <w:pPr>
              <w:jc w:val="center"/>
              <w:rPr>
                <w:sz w:val="24"/>
                <w:szCs w:val="24"/>
              </w:rPr>
            </w:pPr>
            <w:r w:rsidRPr="00243E84">
              <w:rPr>
                <w:sz w:val="24"/>
                <w:szCs w:val="24"/>
              </w:rPr>
              <w:t>1</w:t>
            </w:r>
          </w:p>
        </w:tc>
        <w:tc>
          <w:tcPr>
            <w:tcW w:w="1417" w:type="dxa"/>
            <w:tcMar>
              <w:left w:w="28" w:type="dxa"/>
              <w:right w:w="28" w:type="dxa"/>
            </w:tcMar>
            <w:vAlign w:val="center"/>
          </w:tcPr>
          <w:p w:rsidR="00286780" w:rsidRPr="00243E84" w:rsidRDefault="00286780" w:rsidP="00FB0829">
            <w:pPr>
              <w:jc w:val="center"/>
              <w:rPr>
                <w:sz w:val="24"/>
                <w:szCs w:val="24"/>
              </w:rPr>
            </w:pPr>
            <w:r w:rsidRPr="00243E84">
              <w:rPr>
                <w:sz w:val="24"/>
                <w:szCs w:val="24"/>
              </w:rPr>
              <w:t>2</w:t>
            </w:r>
          </w:p>
        </w:tc>
        <w:tc>
          <w:tcPr>
            <w:tcW w:w="823" w:type="dxa"/>
            <w:tcMar>
              <w:left w:w="28" w:type="dxa"/>
              <w:right w:w="28" w:type="dxa"/>
            </w:tcMar>
          </w:tcPr>
          <w:p w:rsidR="00286780" w:rsidRPr="00243E84" w:rsidRDefault="00286780" w:rsidP="00FB0829">
            <w:pPr>
              <w:rPr>
                <w:sz w:val="24"/>
                <w:szCs w:val="24"/>
              </w:rPr>
            </w:pPr>
            <w:r w:rsidRPr="00243E84">
              <w:rPr>
                <w:sz w:val="24"/>
                <w:szCs w:val="24"/>
                <w:lang w:val="en-US"/>
              </w:rPr>
              <w:t>p</w:t>
            </w:r>
            <w:r w:rsidRPr="00243E84">
              <w:rPr>
                <w:sz w:val="24"/>
                <w:szCs w:val="24"/>
              </w:rPr>
              <w:t>&gt;0,05</w:t>
            </w:r>
          </w:p>
        </w:tc>
      </w:tr>
      <w:tr w:rsidR="00286780" w:rsidRPr="00243E84" w:rsidTr="00243E84">
        <w:trPr>
          <w:trHeight w:val="407"/>
        </w:trPr>
        <w:tc>
          <w:tcPr>
            <w:tcW w:w="4706" w:type="dxa"/>
            <w:tcMar>
              <w:left w:w="28" w:type="dxa"/>
              <w:right w:w="28" w:type="dxa"/>
            </w:tcMar>
            <w:vAlign w:val="center"/>
          </w:tcPr>
          <w:p w:rsidR="00286780" w:rsidRPr="00243E84" w:rsidRDefault="00286780" w:rsidP="00FB0829">
            <w:pPr>
              <w:rPr>
                <w:sz w:val="24"/>
                <w:szCs w:val="24"/>
              </w:rPr>
            </w:pPr>
            <w:r w:rsidRPr="00243E84">
              <w:rPr>
                <w:sz w:val="24"/>
                <w:szCs w:val="24"/>
              </w:rPr>
              <w:t>Дно полости рта</w:t>
            </w:r>
          </w:p>
        </w:tc>
        <w:tc>
          <w:tcPr>
            <w:tcW w:w="1559" w:type="dxa"/>
            <w:tcMar>
              <w:left w:w="28" w:type="dxa"/>
              <w:right w:w="28" w:type="dxa"/>
            </w:tcMar>
            <w:vAlign w:val="center"/>
          </w:tcPr>
          <w:p w:rsidR="00286780" w:rsidRPr="00243E84" w:rsidRDefault="00286780" w:rsidP="00FB0829">
            <w:pPr>
              <w:jc w:val="center"/>
              <w:rPr>
                <w:sz w:val="24"/>
                <w:szCs w:val="24"/>
              </w:rPr>
            </w:pPr>
            <w:r w:rsidRPr="00243E84">
              <w:rPr>
                <w:sz w:val="24"/>
                <w:szCs w:val="24"/>
              </w:rPr>
              <w:t>21</w:t>
            </w:r>
          </w:p>
        </w:tc>
        <w:tc>
          <w:tcPr>
            <w:tcW w:w="1418" w:type="dxa"/>
            <w:tcMar>
              <w:left w:w="28" w:type="dxa"/>
              <w:right w:w="28" w:type="dxa"/>
            </w:tcMar>
            <w:vAlign w:val="center"/>
          </w:tcPr>
          <w:p w:rsidR="00286780" w:rsidRPr="00243E84" w:rsidRDefault="00286780" w:rsidP="00FB0829">
            <w:pPr>
              <w:jc w:val="center"/>
              <w:rPr>
                <w:sz w:val="24"/>
                <w:szCs w:val="24"/>
              </w:rPr>
            </w:pPr>
            <w:r w:rsidRPr="00243E84">
              <w:rPr>
                <w:sz w:val="24"/>
                <w:szCs w:val="24"/>
              </w:rPr>
              <w:t>7</w:t>
            </w:r>
          </w:p>
        </w:tc>
        <w:tc>
          <w:tcPr>
            <w:tcW w:w="1417" w:type="dxa"/>
            <w:tcMar>
              <w:left w:w="28" w:type="dxa"/>
              <w:right w:w="28" w:type="dxa"/>
            </w:tcMar>
            <w:vAlign w:val="center"/>
          </w:tcPr>
          <w:p w:rsidR="00286780" w:rsidRPr="00243E84" w:rsidRDefault="00286780" w:rsidP="00FB0829">
            <w:pPr>
              <w:jc w:val="center"/>
              <w:rPr>
                <w:sz w:val="24"/>
                <w:szCs w:val="24"/>
              </w:rPr>
            </w:pPr>
            <w:r w:rsidRPr="00243E84">
              <w:rPr>
                <w:sz w:val="24"/>
                <w:szCs w:val="24"/>
              </w:rPr>
              <w:t>4</w:t>
            </w:r>
          </w:p>
        </w:tc>
        <w:tc>
          <w:tcPr>
            <w:tcW w:w="823" w:type="dxa"/>
            <w:tcMar>
              <w:left w:w="28" w:type="dxa"/>
              <w:right w:w="28" w:type="dxa"/>
            </w:tcMar>
          </w:tcPr>
          <w:p w:rsidR="00286780" w:rsidRPr="00243E84" w:rsidRDefault="00286780" w:rsidP="00FB0829">
            <w:pPr>
              <w:rPr>
                <w:sz w:val="24"/>
                <w:szCs w:val="24"/>
              </w:rPr>
            </w:pPr>
            <w:r w:rsidRPr="00243E84">
              <w:rPr>
                <w:sz w:val="24"/>
                <w:szCs w:val="24"/>
                <w:lang w:val="en-US"/>
              </w:rPr>
              <w:t>p</w:t>
            </w:r>
            <w:r w:rsidRPr="00243E84">
              <w:rPr>
                <w:sz w:val="24"/>
                <w:szCs w:val="24"/>
              </w:rPr>
              <w:t>&gt;0,05</w:t>
            </w:r>
          </w:p>
        </w:tc>
      </w:tr>
      <w:tr w:rsidR="00286780" w:rsidRPr="00243E84" w:rsidTr="00243E84">
        <w:trPr>
          <w:trHeight w:val="271"/>
        </w:trPr>
        <w:tc>
          <w:tcPr>
            <w:tcW w:w="4706" w:type="dxa"/>
            <w:tcMar>
              <w:left w:w="28" w:type="dxa"/>
              <w:right w:w="28" w:type="dxa"/>
            </w:tcMar>
            <w:vAlign w:val="center"/>
          </w:tcPr>
          <w:p w:rsidR="00286780" w:rsidRPr="00243E84" w:rsidRDefault="00286780" w:rsidP="00FB0829">
            <w:pPr>
              <w:rPr>
                <w:sz w:val="24"/>
                <w:szCs w:val="24"/>
              </w:rPr>
            </w:pPr>
            <w:r w:rsidRPr="00243E84">
              <w:rPr>
                <w:sz w:val="24"/>
                <w:szCs w:val="24"/>
              </w:rPr>
              <w:t>Периостит</w:t>
            </w:r>
          </w:p>
        </w:tc>
        <w:tc>
          <w:tcPr>
            <w:tcW w:w="1559" w:type="dxa"/>
            <w:tcMar>
              <w:left w:w="28" w:type="dxa"/>
              <w:right w:w="28" w:type="dxa"/>
            </w:tcMar>
            <w:vAlign w:val="center"/>
          </w:tcPr>
          <w:p w:rsidR="00286780" w:rsidRPr="00243E84" w:rsidRDefault="00286780" w:rsidP="00FB0829">
            <w:pPr>
              <w:jc w:val="center"/>
              <w:rPr>
                <w:sz w:val="24"/>
                <w:szCs w:val="24"/>
              </w:rPr>
            </w:pPr>
            <w:r w:rsidRPr="00243E84">
              <w:rPr>
                <w:sz w:val="24"/>
                <w:szCs w:val="24"/>
              </w:rPr>
              <w:t>9</w:t>
            </w:r>
          </w:p>
        </w:tc>
        <w:tc>
          <w:tcPr>
            <w:tcW w:w="1418" w:type="dxa"/>
            <w:tcMar>
              <w:left w:w="28" w:type="dxa"/>
              <w:right w:w="28" w:type="dxa"/>
            </w:tcMar>
            <w:vAlign w:val="center"/>
          </w:tcPr>
          <w:p w:rsidR="00286780" w:rsidRPr="00243E84" w:rsidRDefault="00286780" w:rsidP="00FB0829">
            <w:pPr>
              <w:jc w:val="center"/>
              <w:rPr>
                <w:sz w:val="24"/>
                <w:szCs w:val="24"/>
              </w:rPr>
            </w:pPr>
            <w:r w:rsidRPr="00243E84">
              <w:rPr>
                <w:sz w:val="24"/>
                <w:szCs w:val="24"/>
              </w:rPr>
              <w:t>1</w:t>
            </w:r>
          </w:p>
        </w:tc>
        <w:tc>
          <w:tcPr>
            <w:tcW w:w="1417" w:type="dxa"/>
            <w:tcMar>
              <w:left w:w="28" w:type="dxa"/>
              <w:right w:w="28" w:type="dxa"/>
            </w:tcMar>
            <w:vAlign w:val="center"/>
          </w:tcPr>
          <w:p w:rsidR="00286780" w:rsidRPr="00243E84" w:rsidRDefault="00286780" w:rsidP="00FB0829">
            <w:pPr>
              <w:jc w:val="center"/>
              <w:rPr>
                <w:sz w:val="24"/>
                <w:szCs w:val="24"/>
              </w:rPr>
            </w:pPr>
            <w:r w:rsidRPr="00243E84">
              <w:rPr>
                <w:sz w:val="24"/>
                <w:szCs w:val="24"/>
              </w:rPr>
              <w:t>1</w:t>
            </w:r>
          </w:p>
        </w:tc>
        <w:tc>
          <w:tcPr>
            <w:tcW w:w="823" w:type="dxa"/>
            <w:tcMar>
              <w:left w:w="28" w:type="dxa"/>
              <w:right w:w="28" w:type="dxa"/>
            </w:tcMar>
          </w:tcPr>
          <w:p w:rsidR="00286780" w:rsidRPr="00243E84" w:rsidRDefault="00286780" w:rsidP="00FB0829">
            <w:pPr>
              <w:rPr>
                <w:sz w:val="24"/>
                <w:szCs w:val="24"/>
              </w:rPr>
            </w:pPr>
            <w:r w:rsidRPr="00243E84">
              <w:rPr>
                <w:sz w:val="24"/>
                <w:szCs w:val="24"/>
                <w:lang w:val="en-US"/>
              </w:rPr>
              <w:t>p</w:t>
            </w:r>
            <w:r w:rsidRPr="00243E84">
              <w:rPr>
                <w:sz w:val="24"/>
                <w:szCs w:val="24"/>
              </w:rPr>
              <w:t>&gt;0,05</w:t>
            </w:r>
          </w:p>
        </w:tc>
      </w:tr>
      <w:tr w:rsidR="00286780" w:rsidRPr="00243E84" w:rsidTr="00243E84">
        <w:trPr>
          <w:trHeight w:val="417"/>
        </w:trPr>
        <w:tc>
          <w:tcPr>
            <w:tcW w:w="4706" w:type="dxa"/>
            <w:tcMar>
              <w:left w:w="28" w:type="dxa"/>
              <w:right w:w="28" w:type="dxa"/>
            </w:tcMar>
            <w:vAlign w:val="center"/>
          </w:tcPr>
          <w:p w:rsidR="00286780" w:rsidRPr="00243E84" w:rsidRDefault="00286780" w:rsidP="00FB0829">
            <w:pPr>
              <w:rPr>
                <w:sz w:val="24"/>
                <w:szCs w:val="24"/>
              </w:rPr>
            </w:pPr>
            <w:r w:rsidRPr="00243E84">
              <w:rPr>
                <w:sz w:val="24"/>
                <w:szCs w:val="24"/>
              </w:rPr>
              <w:t>Ретромалярное</w:t>
            </w:r>
          </w:p>
        </w:tc>
        <w:tc>
          <w:tcPr>
            <w:tcW w:w="1559" w:type="dxa"/>
            <w:tcMar>
              <w:left w:w="28" w:type="dxa"/>
              <w:right w:w="28" w:type="dxa"/>
            </w:tcMar>
            <w:vAlign w:val="center"/>
          </w:tcPr>
          <w:p w:rsidR="00286780" w:rsidRPr="00243E84" w:rsidRDefault="00286780" w:rsidP="00FB0829">
            <w:pPr>
              <w:jc w:val="center"/>
              <w:rPr>
                <w:sz w:val="24"/>
                <w:szCs w:val="24"/>
              </w:rPr>
            </w:pPr>
            <w:r w:rsidRPr="00243E84">
              <w:rPr>
                <w:sz w:val="24"/>
                <w:szCs w:val="24"/>
              </w:rPr>
              <w:t>2</w:t>
            </w:r>
          </w:p>
        </w:tc>
        <w:tc>
          <w:tcPr>
            <w:tcW w:w="1418" w:type="dxa"/>
            <w:tcMar>
              <w:left w:w="28" w:type="dxa"/>
              <w:right w:w="28" w:type="dxa"/>
            </w:tcMar>
            <w:vAlign w:val="center"/>
          </w:tcPr>
          <w:p w:rsidR="00286780" w:rsidRPr="00243E84" w:rsidRDefault="00286780" w:rsidP="00FB0829">
            <w:pPr>
              <w:jc w:val="center"/>
              <w:rPr>
                <w:sz w:val="24"/>
                <w:szCs w:val="24"/>
              </w:rPr>
            </w:pPr>
            <w:r w:rsidRPr="00243E84">
              <w:rPr>
                <w:sz w:val="24"/>
                <w:szCs w:val="24"/>
              </w:rPr>
              <w:t>1</w:t>
            </w:r>
          </w:p>
        </w:tc>
        <w:tc>
          <w:tcPr>
            <w:tcW w:w="1417" w:type="dxa"/>
            <w:tcMar>
              <w:left w:w="28" w:type="dxa"/>
              <w:right w:w="28" w:type="dxa"/>
            </w:tcMar>
            <w:vAlign w:val="center"/>
          </w:tcPr>
          <w:p w:rsidR="00286780" w:rsidRPr="00243E84" w:rsidRDefault="00286780" w:rsidP="00FB0829">
            <w:pPr>
              <w:jc w:val="center"/>
              <w:rPr>
                <w:sz w:val="24"/>
                <w:szCs w:val="24"/>
              </w:rPr>
            </w:pPr>
            <w:r w:rsidRPr="00243E84">
              <w:rPr>
                <w:sz w:val="24"/>
                <w:szCs w:val="24"/>
              </w:rPr>
              <w:t>1</w:t>
            </w:r>
          </w:p>
        </w:tc>
        <w:tc>
          <w:tcPr>
            <w:tcW w:w="823" w:type="dxa"/>
            <w:tcMar>
              <w:left w:w="28" w:type="dxa"/>
              <w:right w:w="28" w:type="dxa"/>
            </w:tcMar>
          </w:tcPr>
          <w:p w:rsidR="00286780" w:rsidRPr="00243E84" w:rsidRDefault="00286780" w:rsidP="00FB0829">
            <w:pPr>
              <w:rPr>
                <w:sz w:val="24"/>
                <w:szCs w:val="24"/>
              </w:rPr>
            </w:pPr>
            <w:r w:rsidRPr="00243E84">
              <w:rPr>
                <w:sz w:val="24"/>
                <w:szCs w:val="24"/>
                <w:lang w:val="en-US"/>
              </w:rPr>
              <w:t>p</w:t>
            </w:r>
            <w:r w:rsidRPr="00243E84">
              <w:rPr>
                <w:sz w:val="24"/>
                <w:szCs w:val="24"/>
              </w:rPr>
              <w:t>&gt;0,05</w:t>
            </w:r>
          </w:p>
        </w:tc>
      </w:tr>
      <w:tr w:rsidR="00286780" w:rsidRPr="00243E84" w:rsidTr="00243E84">
        <w:trPr>
          <w:trHeight w:val="267"/>
        </w:trPr>
        <w:tc>
          <w:tcPr>
            <w:tcW w:w="4706" w:type="dxa"/>
            <w:tcMar>
              <w:left w:w="28" w:type="dxa"/>
              <w:right w:w="28" w:type="dxa"/>
            </w:tcMar>
            <w:vAlign w:val="center"/>
          </w:tcPr>
          <w:p w:rsidR="00286780" w:rsidRPr="00243E84" w:rsidRDefault="00286780" w:rsidP="00FB0829">
            <w:pPr>
              <w:rPr>
                <w:sz w:val="24"/>
                <w:szCs w:val="24"/>
              </w:rPr>
            </w:pPr>
            <w:r w:rsidRPr="00243E84">
              <w:rPr>
                <w:sz w:val="24"/>
                <w:szCs w:val="24"/>
              </w:rPr>
              <w:t>Подвисочное</w:t>
            </w:r>
          </w:p>
        </w:tc>
        <w:tc>
          <w:tcPr>
            <w:tcW w:w="1559" w:type="dxa"/>
            <w:tcMar>
              <w:left w:w="28" w:type="dxa"/>
              <w:right w:w="28" w:type="dxa"/>
            </w:tcMar>
            <w:vAlign w:val="center"/>
          </w:tcPr>
          <w:p w:rsidR="00286780" w:rsidRPr="00243E84" w:rsidRDefault="00286780" w:rsidP="00FB0829">
            <w:pPr>
              <w:jc w:val="center"/>
              <w:rPr>
                <w:sz w:val="24"/>
                <w:szCs w:val="24"/>
              </w:rPr>
            </w:pPr>
            <w:r w:rsidRPr="00243E84">
              <w:rPr>
                <w:sz w:val="24"/>
                <w:szCs w:val="24"/>
              </w:rPr>
              <w:t>1</w:t>
            </w:r>
          </w:p>
        </w:tc>
        <w:tc>
          <w:tcPr>
            <w:tcW w:w="1418" w:type="dxa"/>
            <w:tcMar>
              <w:left w:w="28" w:type="dxa"/>
              <w:right w:w="28" w:type="dxa"/>
            </w:tcMar>
            <w:vAlign w:val="center"/>
          </w:tcPr>
          <w:p w:rsidR="00286780" w:rsidRPr="00243E84" w:rsidRDefault="00286780" w:rsidP="00FB0829">
            <w:pPr>
              <w:jc w:val="center"/>
              <w:rPr>
                <w:sz w:val="24"/>
                <w:szCs w:val="24"/>
              </w:rPr>
            </w:pPr>
            <w:r w:rsidRPr="00243E84">
              <w:rPr>
                <w:sz w:val="24"/>
                <w:szCs w:val="24"/>
              </w:rPr>
              <w:t>1</w:t>
            </w:r>
          </w:p>
        </w:tc>
        <w:tc>
          <w:tcPr>
            <w:tcW w:w="1417" w:type="dxa"/>
            <w:tcMar>
              <w:left w:w="28" w:type="dxa"/>
              <w:right w:w="28" w:type="dxa"/>
            </w:tcMar>
            <w:vAlign w:val="center"/>
          </w:tcPr>
          <w:p w:rsidR="00286780" w:rsidRPr="00243E84" w:rsidRDefault="00286780" w:rsidP="00FB0829">
            <w:pPr>
              <w:jc w:val="center"/>
              <w:rPr>
                <w:sz w:val="24"/>
                <w:szCs w:val="24"/>
              </w:rPr>
            </w:pPr>
            <w:r w:rsidRPr="00243E84">
              <w:rPr>
                <w:sz w:val="24"/>
                <w:szCs w:val="24"/>
              </w:rPr>
              <w:t>0</w:t>
            </w:r>
          </w:p>
        </w:tc>
        <w:tc>
          <w:tcPr>
            <w:tcW w:w="823" w:type="dxa"/>
            <w:tcMar>
              <w:left w:w="28" w:type="dxa"/>
              <w:right w:w="28" w:type="dxa"/>
            </w:tcMar>
          </w:tcPr>
          <w:p w:rsidR="00286780" w:rsidRPr="00243E84" w:rsidRDefault="00286780" w:rsidP="00FB0829">
            <w:pPr>
              <w:rPr>
                <w:sz w:val="24"/>
                <w:szCs w:val="24"/>
              </w:rPr>
            </w:pPr>
            <w:r w:rsidRPr="00243E84">
              <w:rPr>
                <w:sz w:val="24"/>
                <w:szCs w:val="24"/>
                <w:lang w:val="en-US"/>
              </w:rPr>
              <w:t>p</w:t>
            </w:r>
            <w:r w:rsidRPr="00243E84">
              <w:rPr>
                <w:sz w:val="24"/>
                <w:szCs w:val="24"/>
              </w:rPr>
              <w:t>&gt;0,05</w:t>
            </w:r>
          </w:p>
        </w:tc>
      </w:tr>
      <w:tr w:rsidR="00286780" w:rsidRPr="00243E84" w:rsidTr="00C82F8D">
        <w:trPr>
          <w:trHeight w:val="454"/>
        </w:trPr>
        <w:tc>
          <w:tcPr>
            <w:tcW w:w="4706" w:type="dxa"/>
            <w:tcMar>
              <w:left w:w="28" w:type="dxa"/>
              <w:right w:w="28" w:type="dxa"/>
            </w:tcMar>
            <w:vAlign w:val="center"/>
          </w:tcPr>
          <w:p w:rsidR="00286780" w:rsidRPr="00243E84" w:rsidRDefault="00286780" w:rsidP="00FB0829">
            <w:pPr>
              <w:rPr>
                <w:sz w:val="24"/>
                <w:szCs w:val="24"/>
              </w:rPr>
            </w:pPr>
            <w:r w:rsidRPr="00243E84">
              <w:rPr>
                <w:sz w:val="24"/>
                <w:szCs w:val="24"/>
              </w:rPr>
              <w:t>Подчелюстное и крыловидно-нижечелюстное</w:t>
            </w:r>
          </w:p>
        </w:tc>
        <w:tc>
          <w:tcPr>
            <w:tcW w:w="1559" w:type="dxa"/>
            <w:tcMar>
              <w:left w:w="28" w:type="dxa"/>
              <w:right w:w="28" w:type="dxa"/>
            </w:tcMar>
            <w:vAlign w:val="center"/>
          </w:tcPr>
          <w:p w:rsidR="00286780" w:rsidRPr="00243E84" w:rsidRDefault="00286780" w:rsidP="00FB0829">
            <w:pPr>
              <w:jc w:val="center"/>
              <w:rPr>
                <w:sz w:val="24"/>
                <w:szCs w:val="24"/>
              </w:rPr>
            </w:pPr>
            <w:r w:rsidRPr="00243E84">
              <w:rPr>
                <w:sz w:val="24"/>
                <w:szCs w:val="24"/>
              </w:rPr>
              <w:t>6</w:t>
            </w:r>
          </w:p>
        </w:tc>
        <w:tc>
          <w:tcPr>
            <w:tcW w:w="1418" w:type="dxa"/>
            <w:tcMar>
              <w:left w:w="28" w:type="dxa"/>
              <w:right w:w="28" w:type="dxa"/>
            </w:tcMar>
            <w:vAlign w:val="center"/>
          </w:tcPr>
          <w:p w:rsidR="00286780" w:rsidRPr="00243E84" w:rsidRDefault="00286780" w:rsidP="00FB0829">
            <w:pPr>
              <w:jc w:val="center"/>
              <w:rPr>
                <w:sz w:val="24"/>
                <w:szCs w:val="24"/>
              </w:rPr>
            </w:pPr>
            <w:r w:rsidRPr="00243E84">
              <w:rPr>
                <w:sz w:val="24"/>
                <w:szCs w:val="24"/>
              </w:rPr>
              <w:t>0</w:t>
            </w:r>
          </w:p>
        </w:tc>
        <w:tc>
          <w:tcPr>
            <w:tcW w:w="1417" w:type="dxa"/>
            <w:tcMar>
              <w:left w:w="28" w:type="dxa"/>
              <w:right w:w="28" w:type="dxa"/>
            </w:tcMar>
            <w:vAlign w:val="center"/>
          </w:tcPr>
          <w:p w:rsidR="00286780" w:rsidRPr="00243E84" w:rsidRDefault="00286780" w:rsidP="00FB0829">
            <w:pPr>
              <w:jc w:val="center"/>
              <w:rPr>
                <w:sz w:val="24"/>
                <w:szCs w:val="24"/>
              </w:rPr>
            </w:pPr>
            <w:r w:rsidRPr="00243E84">
              <w:rPr>
                <w:sz w:val="24"/>
                <w:szCs w:val="24"/>
              </w:rPr>
              <w:t>0</w:t>
            </w:r>
          </w:p>
        </w:tc>
        <w:tc>
          <w:tcPr>
            <w:tcW w:w="823" w:type="dxa"/>
            <w:tcMar>
              <w:left w:w="28" w:type="dxa"/>
              <w:right w:w="28" w:type="dxa"/>
            </w:tcMar>
          </w:tcPr>
          <w:p w:rsidR="00286780" w:rsidRPr="00243E84" w:rsidRDefault="00286780" w:rsidP="00FB0829">
            <w:pPr>
              <w:rPr>
                <w:sz w:val="24"/>
                <w:szCs w:val="24"/>
              </w:rPr>
            </w:pPr>
            <w:r w:rsidRPr="00243E84">
              <w:rPr>
                <w:sz w:val="24"/>
                <w:szCs w:val="24"/>
                <w:lang w:val="en-US"/>
              </w:rPr>
              <w:t>p</w:t>
            </w:r>
            <w:r w:rsidRPr="00243E84">
              <w:rPr>
                <w:sz w:val="24"/>
                <w:szCs w:val="24"/>
              </w:rPr>
              <w:t>&gt;0,05</w:t>
            </w:r>
          </w:p>
        </w:tc>
      </w:tr>
      <w:tr w:rsidR="00286780" w:rsidRPr="00243E84" w:rsidTr="00C82F8D">
        <w:trPr>
          <w:trHeight w:val="454"/>
        </w:trPr>
        <w:tc>
          <w:tcPr>
            <w:tcW w:w="4706" w:type="dxa"/>
            <w:tcMar>
              <w:left w:w="28" w:type="dxa"/>
              <w:right w:w="28" w:type="dxa"/>
            </w:tcMar>
            <w:vAlign w:val="center"/>
          </w:tcPr>
          <w:p w:rsidR="00286780" w:rsidRPr="00243E84" w:rsidRDefault="00286780" w:rsidP="00FB0829">
            <w:pPr>
              <w:rPr>
                <w:sz w:val="24"/>
                <w:szCs w:val="24"/>
              </w:rPr>
            </w:pPr>
            <w:r w:rsidRPr="00243E84">
              <w:rPr>
                <w:sz w:val="24"/>
                <w:szCs w:val="24"/>
              </w:rPr>
              <w:t>Субмассетериальное и щечное</w:t>
            </w:r>
          </w:p>
        </w:tc>
        <w:tc>
          <w:tcPr>
            <w:tcW w:w="1559" w:type="dxa"/>
            <w:tcMar>
              <w:left w:w="28" w:type="dxa"/>
              <w:right w:w="28" w:type="dxa"/>
            </w:tcMar>
            <w:vAlign w:val="center"/>
          </w:tcPr>
          <w:p w:rsidR="00286780" w:rsidRPr="00243E84" w:rsidRDefault="00286780" w:rsidP="00FB0829">
            <w:pPr>
              <w:jc w:val="center"/>
              <w:rPr>
                <w:sz w:val="24"/>
                <w:szCs w:val="24"/>
              </w:rPr>
            </w:pPr>
            <w:r w:rsidRPr="00243E84">
              <w:rPr>
                <w:sz w:val="24"/>
                <w:szCs w:val="24"/>
              </w:rPr>
              <w:t>1</w:t>
            </w:r>
          </w:p>
        </w:tc>
        <w:tc>
          <w:tcPr>
            <w:tcW w:w="1418" w:type="dxa"/>
            <w:tcMar>
              <w:left w:w="28" w:type="dxa"/>
              <w:right w:w="28" w:type="dxa"/>
            </w:tcMar>
            <w:vAlign w:val="center"/>
          </w:tcPr>
          <w:p w:rsidR="00286780" w:rsidRPr="00243E84" w:rsidRDefault="00286780" w:rsidP="00FB0829">
            <w:pPr>
              <w:jc w:val="center"/>
              <w:rPr>
                <w:sz w:val="24"/>
                <w:szCs w:val="24"/>
              </w:rPr>
            </w:pPr>
            <w:r w:rsidRPr="00243E84">
              <w:rPr>
                <w:sz w:val="24"/>
                <w:szCs w:val="24"/>
              </w:rPr>
              <w:t>0</w:t>
            </w:r>
          </w:p>
        </w:tc>
        <w:tc>
          <w:tcPr>
            <w:tcW w:w="1417" w:type="dxa"/>
            <w:tcMar>
              <w:left w:w="28" w:type="dxa"/>
              <w:right w:w="28" w:type="dxa"/>
            </w:tcMar>
            <w:vAlign w:val="center"/>
          </w:tcPr>
          <w:p w:rsidR="00286780" w:rsidRPr="00243E84" w:rsidRDefault="00286780" w:rsidP="00FB0829">
            <w:pPr>
              <w:jc w:val="center"/>
              <w:rPr>
                <w:sz w:val="24"/>
                <w:szCs w:val="24"/>
              </w:rPr>
            </w:pPr>
            <w:r w:rsidRPr="00243E84">
              <w:rPr>
                <w:sz w:val="24"/>
                <w:szCs w:val="24"/>
              </w:rPr>
              <w:t>2</w:t>
            </w:r>
          </w:p>
        </w:tc>
        <w:tc>
          <w:tcPr>
            <w:tcW w:w="823" w:type="dxa"/>
            <w:tcMar>
              <w:left w:w="28" w:type="dxa"/>
              <w:right w:w="28" w:type="dxa"/>
            </w:tcMar>
          </w:tcPr>
          <w:p w:rsidR="00286780" w:rsidRPr="00243E84" w:rsidRDefault="00286780" w:rsidP="00FB0829">
            <w:pPr>
              <w:rPr>
                <w:sz w:val="24"/>
                <w:szCs w:val="24"/>
              </w:rPr>
            </w:pPr>
            <w:r w:rsidRPr="00243E84">
              <w:rPr>
                <w:sz w:val="24"/>
                <w:szCs w:val="24"/>
                <w:lang w:val="en-US"/>
              </w:rPr>
              <w:t>p</w:t>
            </w:r>
            <w:r w:rsidRPr="00243E84">
              <w:rPr>
                <w:sz w:val="24"/>
                <w:szCs w:val="24"/>
              </w:rPr>
              <w:t>&gt;0,05</w:t>
            </w:r>
          </w:p>
        </w:tc>
      </w:tr>
      <w:tr w:rsidR="00286780" w:rsidRPr="00243E84" w:rsidTr="00C82F8D">
        <w:trPr>
          <w:trHeight w:val="454"/>
        </w:trPr>
        <w:tc>
          <w:tcPr>
            <w:tcW w:w="4706" w:type="dxa"/>
            <w:tcMar>
              <w:left w:w="28" w:type="dxa"/>
              <w:right w:w="28" w:type="dxa"/>
            </w:tcMar>
            <w:vAlign w:val="center"/>
          </w:tcPr>
          <w:p w:rsidR="00286780" w:rsidRPr="00243E84" w:rsidRDefault="00286780" w:rsidP="00FB0829">
            <w:pPr>
              <w:rPr>
                <w:sz w:val="24"/>
                <w:szCs w:val="24"/>
              </w:rPr>
            </w:pPr>
            <w:r w:rsidRPr="00243E84">
              <w:rPr>
                <w:sz w:val="24"/>
                <w:szCs w:val="24"/>
              </w:rPr>
              <w:t>Субмассетериальное и крыловидно-нижнечелюстное</w:t>
            </w:r>
          </w:p>
        </w:tc>
        <w:tc>
          <w:tcPr>
            <w:tcW w:w="1559" w:type="dxa"/>
            <w:tcMar>
              <w:left w:w="28" w:type="dxa"/>
              <w:right w:w="28" w:type="dxa"/>
            </w:tcMar>
            <w:vAlign w:val="center"/>
          </w:tcPr>
          <w:p w:rsidR="00286780" w:rsidRPr="00243E84" w:rsidRDefault="00286780" w:rsidP="00FB0829">
            <w:pPr>
              <w:jc w:val="center"/>
              <w:rPr>
                <w:sz w:val="24"/>
                <w:szCs w:val="24"/>
              </w:rPr>
            </w:pPr>
            <w:r w:rsidRPr="00243E84">
              <w:rPr>
                <w:sz w:val="24"/>
                <w:szCs w:val="24"/>
              </w:rPr>
              <w:t>2</w:t>
            </w:r>
          </w:p>
        </w:tc>
        <w:tc>
          <w:tcPr>
            <w:tcW w:w="1418" w:type="dxa"/>
            <w:tcMar>
              <w:left w:w="28" w:type="dxa"/>
              <w:right w:w="28" w:type="dxa"/>
            </w:tcMar>
            <w:vAlign w:val="center"/>
          </w:tcPr>
          <w:p w:rsidR="00286780" w:rsidRPr="00243E84" w:rsidRDefault="00286780" w:rsidP="00FB0829">
            <w:pPr>
              <w:jc w:val="center"/>
              <w:rPr>
                <w:sz w:val="24"/>
                <w:szCs w:val="24"/>
              </w:rPr>
            </w:pPr>
            <w:r w:rsidRPr="00243E84">
              <w:rPr>
                <w:sz w:val="24"/>
                <w:szCs w:val="24"/>
              </w:rPr>
              <w:t>1</w:t>
            </w:r>
          </w:p>
        </w:tc>
        <w:tc>
          <w:tcPr>
            <w:tcW w:w="1417" w:type="dxa"/>
            <w:tcMar>
              <w:left w:w="28" w:type="dxa"/>
              <w:right w:w="28" w:type="dxa"/>
            </w:tcMar>
            <w:vAlign w:val="center"/>
          </w:tcPr>
          <w:p w:rsidR="00286780" w:rsidRPr="00243E84" w:rsidRDefault="00286780" w:rsidP="00FB0829">
            <w:pPr>
              <w:jc w:val="center"/>
              <w:rPr>
                <w:sz w:val="24"/>
                <w:szCs w:val="24"/>
              </w:rPr>
            </w:pPr>
            <w:r w:rsidRPr="00243E84">
              <w:rPr>
                <w:sz w:val="24"/>
                <w:szCs w:val="24"/>
              </w:rPr>
              <w:t>0</w:t>
            </w:r>
          </w:p>
        </w:tc>
        <w:tc>
          <w:tcPr>
            <w:tcW w:w="823" w:type="dxa"/>
            <w:tcMar>
              <w:left w:w="28" w:type="dxa"/>
              <w:right w:w="28" w:type="dxa"/>
            </w:tcMar>
          </w:tcPr>
          <w:p w:rsidR="00286780" w:rsidRPr="00243E84" w:rsidRDefault="00286780" w:rsidP="00FB0829">
            <w:pPr>
              <w:rPr>
                <w:sz w:val="24"/>
                <w:szCs w:val="24"/>
              </w:rPr>
            </w:pPr>
            <w:r w:rsidRPr="00243E84">
              <w:rPr>
                <w:sz w:val="24"/>
                <w:szCs w:val="24"/>
                <w:lang w:val="en-US"/>
              </w:rPr>
              <w:t>p</w:t>
            </w:r>
            <w:r w:rsidRPr="00243E84">
              <w:rPr>
                <w:sz w:val="24"/>
                <w:szCs w:val="24"/>
              </w:rPr>
              <w:t>&gt;0,05</w:t>
            </w:r>
          </w:p>
        </w:tc>
      </w:tr>
      <w:tr w:rsidR="00286780" w:rsidRPr="00243E84" w:rsidTr="00C82F8D">
        <w:trPr>
          <w:trHeight w:val="454"/>
        </w:trPr>
        <w:tc>
          <w:tcPr>
            <w:tcW w:w="4706" w:type="dxa"/>
            <w:tcMar>
              <w:left w:w="28" w:type="dxa"/>
              <w:right w:w="28" w:type="dxa"/>
            </w:tcMar>
            <w:vAlign w:val="center"/>
          </w:tcPr>
          <w:p w:rsidR="00286780" w:rsidRPr="00243E84" w:rsidRDefault="00286780" w:rsidP="00FB0829">
            <w:pPr>
              <w:rPr>
                <w:sz w:val="24"/>
                <w:szCs w:val="24"/>
              </w:rPr>
            </w:pPr>
            <w:r w:rsidRPr="00243E84">
              <w:rPr>
                <w:sz w:val="24"/>
                <w:szCs w:val="24"/>
              </w:rPr>
              <w:t>Околоушно-жевательное</w:t>
            </w:r>
          </w:p>
        </w:tc>
        <w:tc>
          <w:tcPr>
            <w:tcW w:w="1559" w:type="dxa"/>
            <w:tcMar>
              <w:left w:w="28" w:type="dxa"/>
              <w:right w:w="28" w:type="dxa"/>
            </w:tcMar>
            <w:vAlign w:val="center"/>
          </w:tcPr>
          <w:p w:rsidR="00286780" w:rsidRPr="00243E84" w:rsidRDefault="00286780" w:rsidP="00FB0829">
            <w:pPr>
              <w:jc w:val="center"/>
              <w:rPr>
                <w:sz w:val="24"/>
                <w:szCs w:val="24"/>
              </w:rPr>
            </w:pPr>
            <w:r w:rsidRPr="00243E84">
              <w:rPr>
                <w:sz w:val="24"/>
                <w:szCs w:val="24"/>
              </w:rPr>
              <w:t>3</w:t>
            </w:r>
          </w:p>
        </w:tc>
        <w:tc>
          <w:tcPr>
            <w:tcW w:w="1418" w:type="dxa"/>
            <w:tcMar>
              <w:left w:w="28" w:type="dxa"/>
              <w:right w:w="28" w:type="dxa"/>
            </w:tcMar>
            <w:vAlign w:val="center"/>
          </w:tcPr>
          <w:p w:rsidR="00286780" w:rsidRPr="00243E84" w:rsidRDefault="00286780" w:rsidP="00FB0829">
            <w:pPr>
              <w:jc w:val="center"/>
              <w:rPr>
                <w:sz w:val="24"/>
                <w:szCs w:val="24"/>
              </w:rPr>
            </w:pPr>
            <w:r w:rsidRPr="00243E84">
              <w:rPr>
                <w:sz w:val="24"/>
                <w:szCs w:val="24"/>
              </w:rPr>
              <w:t>0</w:t>
            </w:r>
          </w:p>
        </w:tc>
        <w:tc>
          <w:tcPr>
            <w:tcW w:w="1417" w:type="dxa"/>
            <w:tcMar>
              <w:left w:w="28" w:type="dxa"/>
              <w:right w:w="28" w:type="dxa"/>
            </w:tcMar>
            <w:vAlign w:val="center"/>
          </w:tcPr>
          <w:p w:rsidR="00286780" w:rsidRPr="00243E84" w:rsidRDefault="00286780" w:rsidP="00FB0829">
            <w:pPr>
              <w:jc w:val="center"/>
              <w:rPr>
                <w:sz w:val="24"/>
                <w:szCs w:val="24"/>
              </w:rPr>
            </w:pPr>
            <w:r w:rsidRPr="00243E84">
              <w:rPr>
                <w:sz w:val="24"/>
                <w:szCs w:val="24"/>
              </w:rPr>
              <w:t>1</w:t>
            </w:r>
          </w:p>
        </w:tc>
        <w:tc>
          <w:tcPr>
            <w:tcW w:w="823" w:type="dxa"/>
            <w:tcMar>
              <w:left w:w="28" w:type="dxa"/>
              <w:right w:w="28" w:type="dxa"/>
            </w:tcMar>
          </w:tcPr>
          <w:p w:rsidR="00286780" w:rsidRPr="00243E84" w:rsidRDefault="00286780" w:rsidP="00FB0829">
            <w:pPr>
              <w:rPr>
                <w:sz w:val="24"/>
                <w:szCs w:val="24"/>
              </w:rPr>
            </w:pPr>
            <w:r w:rsidRPr="00243E84">
              <w:rPr>
                <w:sz w:val="24"/>
                <w:szCs w:val="24"/>
                <w:lang w:val="en-US"/>
              </w:rPr>
              <w:t>p</w:t>
            </w:r>
            <w:r w:rsidRPr="00243E84">
              <w:rPr>
                <w:sz w:val="24"/>
                <w:szCs w:val="24"/>
              </w:rPr>
              <w:t>&gt;0,05</w:t>
            </w:r>
          </w:p>
        </w:tc>
      </w:tr>
      <w:tr w:rsidR="00286780" w:rsidRPr="00243E84" w:rsidTr="00C82F8D">
        <w:trPr>
          <w:trHeight w:val="454"/>
        </w:trPr>
        <w:tc>
          <w:tcPr>
            <w:tcW w:w="4706" w:type="dxa"/>
            <w:tcMar>
              <w:left w:w="28" w:type="dxa"/>
              <w:right w:w="28" w:type="dxa"/>
            </w:tcMar>
            <w:vAlign w:val="center"/>
          </w:tcPr>
          <w:p w:rsidR="00286780" w:rsidRPr="00243E84" w:rsidRDefault="00286780" w:rsidP="00FB0829">
            <w:pPr>
              <w:rPr>
                <w:sz w:val="24"/>
                <w:szCs w:val="24"/>
              </w:rPr>
            </w:pPr>
            <w:r w:rsidRPr="00243E84">
              <w:rPr>
                <w:sz w:val="24"/>
                <w:szCs w:val="24"/>
              </w:rPr>
              <w:t>Поднижечелюстное и околоушно-жевательное</w:t>
            </w:r>
          </w:p>
        </w:tc>
        <w:tc>
          <w:tcPr>
            <w:tcW w:w="1559" w:type="dxa"/>
            <w:tcMar>
              <w:left w:w="28" w:type="dxa"/>
              <w:right w:w="28" w:type="dxa"/>
            </w:tcMar>
            <w:vAlign w:val="center"/>
          </w:tcPr>
          <w:p w:rsidR="00286780" w:rsidRPr="00243E84" w:rsidRDefault="00286780" w:rsidP="00FB0829">
            <w:pPr>
              <w:jc w:val="center"/>
              <w:rPr>
                <w:sz w:val="24"/>
                <w:szCs w:val="24"/>
              </w:rPr>
            </w:pPr>
            <w:r w:rsidRPr="00243E84">
              <w:rPr>
                <w:sz w:val="24"/>
                <w:szCs w:val="24"/>
              </w:rPr>
              <w:t>0</w:t>
            </w:r>
          </w:p>
        </w:tc>
        <w:tc>
          <w:tcPr>
            <w:tcW w:w="1418" w:type="dxa"/>
            <w:tcMar>
              <w:left w:w="28" w:type="dxa"/>
              <w:right w:w="28" w:type="dxa"/>
            </w:tcMar>
            <w:vAlign w:val="center"/>
          </w:tcPr>
          <w:p w:rsidR="00286780" w:rsidRPr="00243E84" w:rsidRDefault="00286780" w:rsidP="00FB0829">
            <w:pPr>
              <w:jc w:val="center"/>
              <w:rPr>
                <w:sz w:val="24"/>
                <w:szCs w:val="24"/>
              </w:rPr>
            </w:pPr>
            <w:r w:rsidRPr="00243E84">
              <w:rPr>
                <w:sz w:val="24"/>
                <w:szCs w:val="24"/>
              </w:rPr>
              <w:t>0</w:t>
            </w:r>
          </w:p>
        </w:tc>
        <w:tc>
          <w:tcPr>
            <w:tcW w:w="1417" w:type="dxa"/>
            <w:tcMar>
              <w:left w:w="28" w:type="dxa"/>
              <w:right w:w="28" w:type="dxa"/>
            </w:tcMar>
            <w:vAlign w:val="center"/>
          </w:tcPr>
          <w:p w:rsidR="00286780" w:rsidRPr="00243E84" w:rsidRDefault="00286780" w:rsidP="00FB0829">
            <w:pPr>
              <w:jc w:val="center"/>
              <w:rPr>
                <w:sz w:val="24"/>
                <w:szCs w:val="24"/>
              </w:rPr>
            </w:pPr>
            <w:r w:rsidRPr="00243E84">
              <w:rPr>
                <w:sz w:val="24"/>
                <w:szCs w:val="24"/>
              </w:rPr>
              <w:t>1</w:t>
            </w:r>
          </w:p>
        </w:tc>
        <w:tc>
          <w:tcPr>
            <w:tcW w:w="823" w:type="dxa"/>
            <w:tcMar>
              <w:left w:w="28" w:type="dxa"/>
              <w:right w:w="28" w:type="dxa"/>
            </w:tcMar>
          </w:tcPr>
          <w:p w:rsidR="00286780" w:rsidRPr="00243E84" w:rsidRDefault="00286780" w:rsidP="00FB0829">
            <w:pPr>
              <w:rPr>
                <w:sz w:val="24"/>
                <w:szCs w:val="24"/>
              </w:rPr>
            </w:pPr>
            <w:r w:rsidRPr="00243E84">
              <w:rPr>
                <w:sz w:val="24"/>
                <w:szCs w:val="24"/>
                <w:lang w:val="en-US"/>
              </w:rPr>
              <w:t>p</w:t>
            </w:r>
            <w:r w:rsidRPr="00243E84">
              <w:rPr>
                <w:sz w:val="24"/>
                <w:szCs w:val="24"/>
              </w:rPr>
              <w:t>&gt;0,05</w:t>
            </w:r>
          </w:p>
        </w:tc>
      </w:tr>
      <w:tr w:rsidR="00286780" w:rsidRPr="00243E84" w:rsidTr="00C82F8D">
        <w:trPr>
          <w:trHeight w:val="454"/>
        </w:trPr>
        <w:tc>
          <w:tcPr>
            <w:tcW w:w="4706" w:type="dxa"/>
            <w:tcMar>
              <w:left w:w="28" w:type="dxa"/>
              <w:right w:w="28" w:type="dxa"/>
            </w:tcMar>
            <w:vAlign w:val="center"/>
          </w:tcPr>
          <w:p w:rsidR="00286780" w:rsidRPr="00243E84" w:rsidRDefault="00286780" w:rsidP="00FB0829">
            <w:pPr>
              <w:rPr>
                <w:sz w:val="24"/>
                <w:szCs w:val="24"/>
              </w:rPr>
            </w:pPr>
            <w:r w:rsidRPr="00243E84">
              <w:rPr>
                <w:sz w:val="24"/>
                <w:szCs w:val="24"/>
              </w:rPr>
              <w:t>Подчелюстное и щечное</w:t>
            </w:r>
          </w:p>
        </w:tc>
        <w:tc>
          <w:tcPr>
            <w:tcW w:w="1559" w:type="dxa"/>
            <w:tcMar>
              <w:left w:w="28" w:type="dxa"/>
              <w:right w:w="28" w:type="dxa"/>
            </w:tcMar>
            <w:vAlign w:val="center"/>
          </w:tcPr>
          <w:p w:rsidR="00286780" w:rsidRPr="00243E84" w:rsidRDefault="00286780" w:rsidP="00FB0829">
            <w:pPr>
              <w:jc w:val="center"/>
              <w:rPr>
                <w:sz w:val="24"/>
                <w:szCs w:val="24"/>
              </w:rPr>
            </w:pPr>
            <w:r w:rsidRPr="00243E84">
              <w:rPr>
                <w:sz w:val="24"/>
                <w:szCs w:val="24"/>
              </w:rPr>
              <w:t>3</w:t>
            </w:r>
          </w:p>
        </w:tc>
        <w:tc>
          <w:tcPr>
            <w:tcW w:w="1418" w:type="dxa"/>
            <w:tcMar>
              <w:left w:w="28" w:type="dxa"/>
              <w:right w:w="28" w:type="dxa"/>
            </w:tcMar>
            <w:vAlign w:val="center"/>
          </w:tcPr>
          <w:p w:rsidR="00286780" w:rsidRPr="00243E84" w:rsidRDefault="00286780" w:rsidP="00FB0829">
            <w:pPr>
              <w:jc w:val="center"/>
              <w:rPr>
                <w:sz w:val="24"/>
                <w:szCs w:val="24"/>
              </w:rPr>
            </w:pPr>
            <w:r w:rsidRPr="00243E84">
              <w:rPr>
                <w:sz w:val="24"/>
                <w:szCs w:val="24"/>
              </w:rPr>
              <w:t>0</w:t>
            </w:r>
          </w:p>
        </w:tc>
        <w:tc>
          <w:tcPr>
            <w:tcW w:w="1417" w:type="dxa"/>
            <w:tcMar>
              <w:left w:w="28" w:type="dxa"/>
              <w:right w:w="28" w:type="dxa"/>
            </w:tcMar>
            <w:vAlign w:val="center"/>
          </w:tcPr>
          <w:p w:rsidR="00286780" w:rsidRPr="00243E84" w:rsidRDefault="00286780" w:rsidP="00FB0829">
            <w:pPr>
              <w:jc w:val="center"/>
              <w:rPr>
                <w:sz w:val="24"/>
                <w:szCs w:val="24"/>
              </w:rPr>
            </w:pPr>
            <w:r w:rsidRPr="00243E84">
              <w:rPr>
                <w:sz w:val="24"/>
                <w:szCs w:val="24"/>
              </w:rPr>
              <w:t>1</w:t>
            </w:r>
          </w:p>
        </w:tc>
        <w:tc>
          <w:tcPr>
            <w:tcW w:w="823" w:type="dxa"/>
            <w:tcMar>
              <w:left w:w="28" w:type="dxa"/>
              <w:right w:w="28" w:type="dxa"/>
            </w:tcMar>
          </w:tcPr>
          <w:p w:rsidR="00286780" w:rsidRPr="00243E84" w:rsidRDefault="00286780" w:rsidP="00FB0829">
            <w:pPr>
              <w:rPr>
                <w:sz w:val="24"/>
                <w:szCs w:val="24"/>
              </w:rPr>
            </w:pPr>
            <w:r w:rsidRPr="00243E84">
              <w:rPr>
                <w:sz w:val="24"/>
                <w:szCs w:val="24"/>
                <w:lang w:val="en-US"/>
              </w:rPr>
              <w:t>p</w:t>
            </w:r>
            <w:r w:rsidRPr="00243E84">
              <w:rPr>
                <w:sz w:val="24"/>
                <w:szCs w:val="24"/>
              </w:rPr>
              <w:t>&gt;0,05</w:t>
            </w:r>
          </w:p>
        </w:tc>
      </w:tr>
      <w:tr w:rsidR="00286780" w:rsidRPr="00243E84" w:rsidTr="00C82F8D">
        <w:trPr>
          <w:trHeight w:val="454"/>
        </w:trPr>
        <w:tc>
          <w:tcPr>
            <w:tcW w:w="4706" w:type="dxa"/>
            <w:tcMar>
              <w:left w:w="28" w:type="dxa"/>
              <w:right w:w="28" w:type="dxa"/>
            </w:tcMar>
            <w:vAlign w:val="center"/>
          </w:tcPr>
          <w:p w:rsidR="00286780" w:rsidRPr="00243E84" w:rsidRDefault="00286780" w:rsidP="00FB0829">
            <w:pPr>
              <w:rPr>
                <w:sz w:val="24"/>
                <w:szCs w:val="24"/>
              </w:rPr>
            </w:pPr>
            <w:r w:rsidRPr="00243E84">
              <w:rPr>
                <w:sz w:val="24"/>
                <w:szCs w:val="24"/>
              </w:rPr>
              <w:t>Периодонтит</w:t>
            </w:r>
          </w:p>
        </w:tc>
        <w:tc>
          <w:tcPr>
            <w:tcW w:w="1559" w:type="dxa"/>
            <w:tcMar>
              <w:left w:w="28" w:type="dxa"/>
              <w:right w:w="28" w:type="dxa"/>
            </w:tcMar>
            <w:vAlign w:val="center"/>
          </w:tcPr>
          <w:p w:rsidR="00286780" w:rsidRPr="00243E84" w:rsidRDefault="00286780" w:rsidP="00FB0829">
            <w:pPr>
              <w:jc w:val="center"/>
              <w:rPr>
                <w:sz w:val="24"/>
                <w:szCs w:val="24"/>
              </w:rPr>
            </w:pPr>
            <w:r w:rsidRPr="00243E84">
              <w:rPr>
                <w:sz w:val="24"/>
                <w:szCs w:val="24"/>
              </w:rPr>
              <w:t>1</w:t>
            </w:r>
          </w:p>
        </w:tc>
        <w:tc>
          <w:tcPr>
            <w:tcW w:w="1418" w:type="dxa"/>
            <w:tcMar>
              <w:left w:w="28" w:type="dxa"/>
              <w:right w:w="28" w:type="dxa"/>
            </w:tcMar>
            <w:vAlign w:val="center"/>
          </w:tcPr>
          <w:p w:rsidR="00286780" w:rsidRPr="00243E84" w:rsidRDefault="00286780" w:rsidP="00FB0829">
            <w:pPr>
              <w:jc w:val="center"/>
              <w:rPr>
                <w:sz w:val="24"/>
                <w:szCs w:val="24"/>
              </w:rPr>
            </w:pPr>
            <w:r w:rsidRPr="00243E84">
              <w:rPr>
                <w:sz w:val="24"/>
                <w:szCs w:val="24"/>
              </w:rPr>
              <w:t>0</w:t>
            </w:r>
          </w:p>
        </w:tc>
        <w:tc>
          <w:tcPr>
            <w:tcW w:w="1417" w:type="dxa"/>
            <w:tcMar>
              <w:left w:w="28" w:type="dxa"/>
              <w:right w:w="28" w:type="dxa"/>
            </w:tcMar>
            <w:vAlign w:val="center"/>
          </w:tcPr>
          <w:p w:rsidR="00286780" w:rsidRPr="00243E84" w:rsidRDefault="00286780" w:rsidP="00FB0829">
            <w:pPr>
              <w:jc w:val="center"/>
              <w:rPr>
                <w:sz w:val="24"/>
                <w:szCs w:val="24"/>
              </w:rPr>
            </w:pPr>
            <w:r w:rsidRPr="00243E84">
              <w:rPr>
                <w:sz w:val="24"/>
                <w:szCs w:val="24"/>
              </w:rPr>
              <w:t>1</w:t>
            </w:r>
          </w:p>
        </w:tc>
        <w:tc>
          <w:tcPr>
            <w:tcW w:w="823" w:type="dxa"/>
            <w:tcMar>
              <w:left w:w="28" w:type="dxa"/>
              <w:right w:w="28" w:type="dxa"/>
            </w:tcMar>
          </w:tcPr>
          <w:p w:rsidR="00286780" w:rsidRPr="00243E84" w:rsidRDefault="00286780" w:rsidP="00FB0829">
            <w:pPr>
              <w:rPr>
                <w:sz w:val="24"/>
                <w:szCs w:val="24"/>
              </w:rPr>
            </w:pPr>
            <w:r w:rsidRPr="00243E84">
              <w:rPr>
                <w:sz w:val="24"/>
                <w:szCs w:val="24"/>
                <w:lang w:val="en-US"/>
              </w:rPr>
              <w:t>p</w:t>
            </w:r>
            <w:r w:rsidRPr="00243E84">
              <w:rPr>
                <w:sz w:val="24"/>
                <w:szCs w:val="24"/>
              </w:rPr>
              <w:t>&gt;0,05</w:t>
            </w:r>
          </w:p>
        </w:tc>
      </w:tr>
      <w:tr w:rsidR="00286780" w:rsidRPr="00243E84" w:rsidTr="00C82F8D">
        <w:trPr>
          <w:trHeight w:val="454"/>
        </w:trPr>
        <w:tc>
          <w:tcPr>
            <w:tcW w:w="4706" w:type="dxa"/>
            <w:tcMar>
              <w:left w:w="28" w:type="dxa"/>
              <w:right w:w="28" w:type="dxa"/>
            </w:tcMar>
            <w:vAlign w:val="center"/>
          </w:tcPr>
          <w:p w:rsidR="00286780" w:rsidRPr="00243E84" w:rsidRDefault="00286780" w:rsidP="00FB0829">
            <w:pPr>
              <w:rPr>
                <w:sz w:val="24"/>
                <w:szCs w:val="24"/>
              </w:rPr>
            </w:pPr>
            <w:r w:rsidRPr="00243E84">
              <w:rPr>
                <w:sz w:val="24"/>
                <w:szCs w:val="24"/>
              </w:rPr>
              <w:t>Гайморит</w:t>
            </w:r>
          </w:p>
        </w:tc>
        <w:tc>
          <w:tcPr>
            <w:tcW w:w="1559" w:type="dxa"/>
            <w:tcMar>
              <w:left w:w="28" w:type="dxa"/>
              <w:right w:w="28" w:type="dxa"/>
            </w:tcMar>
            <w:vAlign w:val="center"/>
          </w:tcPr>
          <w:p w:rsidR="00286780" w:rsidRPr="00243E84" w:rsidRDefault="00286780" w:rsidP="00FB0829">
            <w:pPr>
              <w:jc w:val="center"/>
              <w:rPr>
                <w:sz w:val="24"/>
                <w:szCs w:val="24"/>
              </w:rPr>
            </w:pPr>
            <w:r w:rsidRPr="00243E84">
              <w:rPr>
                <w:sz w:val="24"/>
                <w:szCs w:val="24"/>
              </w:rPr>
              <w:t>0</w:t>
            </w:r>
          </w:p>
        </w:tc>
        <w:tc>
          <w:tcPr>
            <w:tcW w:w="1418" w:type="dxa"/>
            <w:tcMar>
              <w:left w:w="28" w:type="dxa"/>
              <w:right w:w="28" w:type="dxa"/>
            </w:tcMar>
            <w:vAlign w:val="center"/>
          </w:tcPr>
          <w:p w:rsidR="00286780" w:rsidRPr="00243E84" w:rsidRDefault="00286780" w:rsidP="00FB0829">
            <w:pPr>
              <w:jc w:val="center"/>
              <w:rPr>
                <w:sz w:val="24"/>
                <w:szCs w:val="24"/>
              </w:rPr>
            </w:pPr>
            <w:r w:rsidRPr="00243E84">
              <w:rPr>
                <w:sz w:val="24"/>
                <w:szCs w:val="24"/>
              </w:rPr>
              <w:t>0</w:t>
            </w:r>
          </w:p>
        </w:tc>
        <w:tc>
          <w:tcPr>
            <w:tcW w:w="1417" w:type="dxa"/>
            <w:tcMar>
              <w:left w:w="28" w:type="dxa"/>
              <w:right w:w="28" w:type="dxa"/>
            </w:tcMar>
            <w:vAlign w:val="center"/>
          </w:tcPr>
          <w:p w:rsidR="00286780" w:rsidRPr="00243E84" w:rsidRDefault="00286780" w:rsidP="00FB0829">
            <w:pPr>
              <w:jc w:val="center"/>
              <w:rPr>
                <w:sz w:val="24"/>
                <w:szCs w:val="24"/>
              </w:rPr>
            </w:pPr>
            <w:r w:rsidRPr="00243E84">
              <w:rPr>
                <w:sz w:val="24"/>
                <w:szCs w:val="24"/>
              </w:rPr>
              <w:t>1</w:t>
            </w:r>
          </w:p>
        </w:tc>
        <w:tc>
          <w:tcPr>
            <w:tcW w:w="823" w:type="dxa"/>
            <w:tcMar>
              <w:left w:w="28" w:type="dxa"/>
              <w:right w:w="28" w:type="dxa"/>
            </w:tcMar>
          </w:tcPr>
          <w:p w:rsidR="00286780" w:rsidRPr="00243E84" w:rsidRDefault="00286780" w:rsidP="00FB0829">
            <w:pPr>
              <w:rPr>
                <w:sz w:val="24"/>
                <w:szCs w:val="24"/>
              </w:rPr>
            </w:pPr>
            <w:r w:rsidRPr="00243E84">
              <w:rPr>
                <w:sz w:val="24"/>
                <w:szCs w:val="24"/>
                <w:lang w:val="en-US"/>
              </w:rPr>
              <w:t>p</w:t>
            </w:r>
            <w:r w:rsidRPr="00243E84">
              <w:rPr>
                <w:sz w:val="24"/>
                <w:szCs w:val="24"/>
              </w:rPr>
              <w:t>&gt;0,05</w:t>
            </w:r>
          </w:p>
        </w:tc>
      </w:tr>
      <w:tr w:rsidR="00286780" w:rsidRPr="00243E84" w:rsidTr="00C82F8D">
        <w:trPr>
          <w:trHeight w:val="454"/>
        </w:trPr>
        <w:tc>
          <w:tcPr>
            <w:tcW w:w="4706" w:type="dxa"/>
            <w:tcMar>
              <w:left w:w="28" w:type="dxa"/>
              <w:right w:w="28" w:type="dxa"/>
            </w:tcMar>
            <w:vAlign w:val="center"/>
          </w:tcPr>
          <w:p w:rsidR="00286780" w:rsidRPr="00243E84" w:rsidRDefault="00286780" w:rsidP="00FB0829">
            <w:pPr>
              <w:rPr>
                <w:sz w:val="24"/>
                <w:szCs w:val="24"/>
              </w:rPr>
            </w:pPr>
            <w:r w:rsidRPr="00243E84">
              <w:rPr>
                <w:sz w:val="24"/>
                <w:szCs w:val="24"/>
              </w:rPr>
              <w:t>Остеомиелит</w:t>
            </w:r>
          </w:p>
        </w:tc>
        <w:tc>
          <w:tcPr>
            <w:tcW w:w="1559" w:type="dxa"/>
            <w:tcMar>
              <w:left w:w="28" w:type="dxa"/>
              <w:right w:w="28" w:type="dxa"/>
            </w:tcMar>
            <w:vAlign w:val="center"/>
          </w:tcPr>
          <w:p w:rsidR="00286780" w:rsidRPr="00243E84" w:rsidRDefault="00286780" w:rsidP="00FB0829">
            <w:pPr>
              <w:jc w:val="center"/>
              <w:rPr>
                <w:sz w:val="24"/>
                <w:szCs w:val="24"/>
              </w:rPr>
            </w:pPr>
            <w:r w:rsidRPr="00243E84">
              <w:rPr>
                <w:sz w:val="24"/>
                <w:szCs w:val="24"/>
              </w:rPr>
              <w:t>0</w:t>
            </w:r>
          </w:p>
        </w:tc>
        <w:tc>
          <w:tcPr>
            <w:tcW w:w="1418" w:type="dxa"/>
            <w:tcMar>
              <w:left w:w="28" w:type="dxa"/>
              <w:right w:w="28" w:type="dxa"/>
            </w:tcMar>
            <w:vAlign w:val="center"/>
          </w:tcPr>
          <w:p w:rsidR="00286780" w:rsidRPr="00243E84" w:rsidRDefault="00286780" w:rsidP="00FB0829">
            <w:pPr>
              <w:jc w:val="center"/>
              <w:rPr>
                <w:sz w:val="24"/>
                <w:szCs w:val="24"/>
              </w:rPr>
            </w:pPr>
            <w:r w:rsidRPr="00243E84">
              <w:rPr>
                <w:sz w:val="24"/>
                <w:szCs w:val="24"/>
              </w:rPr>
              <w:t>0</w:t>
            </w:r>
          </w:p>
        </w:tc>
        <w:tc>
          <w:tcPr>
            <w:tcW w:w="1417" w:type="dxa"/>
            <w:tcMar>
              <w:left w:w="28" w:type="dxa"/>
              <w:right w:w="28" w:type="dxa"/>
            </w:tcMar>
            <w:vAlign w:val="center"/>
          </w:tcPr>
          <w:p w:rsidR="00286780" w:rsidRPr="00243E84" w:rsidRDefault="00286780" w:rsidP="00FB0829">
            <w:pPr>
              <w:jc w:val="center"/>
              <w:rPr>
                <w:sz w:val="24"/>
                <w:szCs w:val="24"/>
              </w:rPr>
            </w:pPr>
            <w:r w:rsidRPr="00243E84">
              <w:rPr>
                <w:sz w:val="24"/>
                <w:szCs w:val="24"/>
              </w:rPr>
              <w:t>7</w:t>
            </w:r>
          </w:p>
        </w:tc>
        <w:tc>
          <w:tcPr>
            <w:tcW w:w="823" w:type="dxa"/>
            <w:tcMar>
              <w:left w:w="28" w:type="dxa"/>
              <w:right w:w="28" w:type="dxa"/>
            </w:tcMar>
          </w:tcPr>
          <w:p w:rsidR="00286780" w:rsidRPr="00243E84" w:rsidRDefault="00286780" w:rsidP="00FB0829">
            <w:pPr>
              <w:rPr>
                <w:sz w:val="24"/>
                <w:szCs w:val="24"/>
              </w:rPr>
            </w:pPr>
            <w:r w:rsidRPr="00243E84">
              <w:rPr>
                <w:sz w:val="24"/>
                <w:szCs w:val="24"/>
                <w:lang w:val="en-US"/>
              </w:rPr>
              <w:t>p</w:t>
            </w:r>
            <w:r w:rsidRPr="00243E84">
              <w:rPr>
                <w:sz w:val="24"/>
                <w:szCs w:val="24"/>
              </w:rPr>
              <w:t>&gt;0,05</w:t>
            </w:r>
          </w:p>
        </w:tc>
      </w:tr>
    </w:tbl>
    <w:p w:rsidR="00286780" w:rsidRDefault="00286780" w:rsidP="00BD2F93">
      <w:pPr>
        <w:rPr>
          <w:sz w:val="28"/>
          <w:szCs w:val="28"/>
        </w:rPr>
      </w:pPr>
    </w:p>
    <w:p w:rsidR="000F335B" w:rsidRDefault="00286780" w:rsidP="000F335B">
      <w:pPr>
        <w:spacing w:line="360" w:lineRule="auto"/>
        <w:ind w:firstLine="709"/>
        <w:jc w:val="both"/>
        <w:rPr>
          <w:spacing w:val="-4"/>
          <w:sz w:val="28"/>
          <w:szCs w:val="28"/>
        </w:rPr>
      </w:pPr>
      <w:r w:rsidRPr="004337DE">
        <w:rPr>
          <w:spacing w:val="-4"/>
          <w:sz w:val="28"/>
          <w:szCs w:val="28"/>
        </w:rPr>
        <w:t xml:space="preserve">По возрастно-половым характеристикам, структуре и распространенности хронической патологии внутренних органов контрольная </w:t>
      </w:r>
      <w:r>
        <w:rPr>
          <w:spacing w:val="-4"/>
          <w:sz w:val="28"/>
          <w:szCs w:val="28"/>
        </w:rPr>
        <w:t>под</w:t>
      </w:r>
      <w:r w:rsidRPr="004337DE">
        <w:rPr>
          <w:spacing w:val="-4"/>
          <w:sz w:val="28"/>
          <w:szCs w:val="28"/>
        </w:rPr>
        <w:t xml:space="preserve">группа относительно здоровых индивидов сопоставима с </w:t>
      </w:r>
      <w:r>
        <w:rPr>
          <w:spacing w:val="-4"/>
          <w:sz w:val="28"/>
          <w:szCs w:val="28"/>
        </w:rPr>
        <w:t>под</w:t>
      </w:r>
      <w:r w:rsidRPr="004337DE">
        <w:rPr>
          <w:spacing w:val="-4"/>
          <w:sz w:val="28"/>
          <w:szCs w:val="28"/>
        </w:rPr>
        <w:t xml:space="preserve">группами № 1–3, 1а, контрольным </w:t>
      </w:r>
      <w:r>
        <w:rPr>
          <w:spacing w:val="-4"/>
          <w:sz w:val="28"/>
          <w:szCs w:val="28"/>
        </w:rPr>
        <w:t>под</w:t>
      </w:r>
      <w:r w:rsidRPr="004337DE">
        <w:rPr>
          <w:spacing w:val="-4"/>
          <w:sz w:val="28"/>
          <w:szCs w:val="28"/>
        </w:rPr>
        <w:t>группами № 1–4.</w:t>
      </w:r>
    </w:p>
    <w:p w:rsidR="000F335B" w:rsidRPr="000F335B" w:rsidRDefault="00286780" w:rsidP="000F335B">
      <w:pPr>
        <w:spacing w:line="360" w:lineRule="auto"/>
        <w:ind w:firstLine="709"/>
        <w:jc w:val="both"/>
        <w:rPr>
          <w:spacing w:val="-4"/>
          <w:sz w:val="28"/>
          <w:szCs w:val="28"/>
        </w:rPr>
      </w:pPr>
      <w:r w:rsidRPr="004A0CF0">
        <w:rPr>
          <w:sz w:val="28"/>
          <w:szCs w:val="28"/>
        </w:rPr>
        <w:t xml:space="preserve">Общая характеристика сформированных в рамках </w:t>
      </w:r>
      <w:r w:rsidRPr="004A0CF0">
        <w:rPr>
          <w:sz w:val="28"/>
          <w:szCs w:val="28"/>
          <w:lang w:val="en-US"/>
        </w:rPr>
        <w:t>I</w:t>
      </w:r>
      <w:r w:rsidRPr="004A0CF0">
        <w:rPr>
          <w:sz w:val="28"/>
          <w:szCs w:val="28"/>
        </w:rPr>
        <w:t xml:space="preserve"> блока исследований </w:t>
      </w:r>
      <w:r>
        <w:rPr>
          <w:sz w:val="28"/>
          <w:szCs w:val="28"/>
        </w:rPr>
        <w:t>подгрупп</w:t>
      </w:r>
      <w:r w:rsidRPr="004A0CF0">
        <w:rPr>
          <w:sz w:val="28"/>
          <w:szCs w:val="28"/>
        </w:rPr>
        <w:t xml:space="preserve"> пациентов (кроме </w:t>
      </w:r>
      <w:r w:rsidR="008C5821">
        <w:rPr>
          <w:sz w:val="28"/>
          <w:szCs w:val="28"/>
        </w:rPr>
        <w:t>под</w:t>
      </w:r>
      <w:r w:rsidRPr="004A0CF0">
        <w:rPr>
          <w:sz w:val="28"/>
          <w:szCs w:val="28"/>
        </w:rPr>
        <w:t xml:space="preserve">групп с ОС), представлена в Таблицах </w:t>
      </w:r>
      <w:r>
        <w:rPr>
          <w:sz w:val="28"/>
          <w:szCs w:val="28"/>
        </w:rPr>
        <w:t>10, 11</w:t>
      </w:r>
      <w:r w:rsidRPr="004A0CF0">
        <w:rPr>
          <w:sz w:val="28"/>
          <w:szCs w:val="28"/>
        </w:rPr>
        <w:t>.</w:t>
      </w:r>
    </w:p>
    <w:p w:rsidR="00286780" w:rsidRPr="004A0CF0" w:rsidRDefault="00286780" w:rsidP="00BD2F93">
      <w:pPr>
        <w:spacing w:after="120"/>
        <w:jc w:val="both"/>
        <w:rPr>
          <w:sz w:val="28"/>
          <w:szCs w:val="28"/>
        </w:rPr>
      </w:pPr>
      <w:r w:rsidRPr="004A0CF0">
        <w:rPr>
          <w:b/>
          <w:sz w:val="28"/>
          <w:szCs w:val="28"/>
        </w:rPr>
        <w:lastRenderedPageBreak/>
        <w:t xml:space="preserve">Таблица </w:t>
      </w:r>
      <w:r>
        <w:rPr>
          <w:b/>
          <w:sz w:val="28"/>
          <w:szCs w:val="28"/>
        </w:rPr>
        <w:t>10</w:t>
      </w:r>
      <w:r w:rsidRPr="004A0CF0">
        <w:rPr>
          <w:sz w:val="28"/>
          <w:szCs w:val="28"/>
        </w:rPr>
        <w:t xml:space="preserve"> – </w:t>
      </w:r>
      <w:r>
        <w:rPr>
          <w:sz w:val="28"/>
          <w:szCs w:val="28"/>
        </w:rPr>
        <w:t>Под</w:t>
      </w:r>
      <w:r w:rsidRPr="004A0CF0">
        <w:rPr>
          <w:sz w:val="28"/>
          <w:szCs w:val="28"/>
        </w:rPr>
        <w:t>группы больных с МФОИ (</w:t>
      </w:r>
      <w:r w:rsidRPr="004A0CF0">
        <w:rPr>
          <w:sz w:val="28"/>
          <w:szCs w:val="28"/>
          <w:lang w:val="en-US"/>
        </w:rPr>
        <w:t>I</w:t>
      </w:r>
      <w:r w:rsidRPr="004A0CF0">
        <w:rPr>
          <w:sz w:val="28"/>
          <w:szCs w:val="28"/>
        </w:rPr>
        <w:t xml:space="preserve"> блок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7"/>
        <w:gridCol w:w="2116"/>
        <w:gridCol w:w="1401"/>
        <w:gridCol w:w="1565"/>
        <w:gridCol w:w="2116"/>
        <w:gridCol w:w="1642"/>
      </w:tblGrid>
      <w:tr w:rsidR="00286780" w:rsidRPr="004A0CF0" w:rsidTr="00FA7C6C">
        <w:tc>
          <w:tcPr>
            <w:tcW w:w="779" w:type="dxa"/>
            <w:tcMar>
              <w:left w:w="28" w:type="dxa"/>
              <w:right w:w="28" w:type="dxa"/>
            </w:tcMar>
          </w:tcPr>
          <w:p w:rsidR="00286780" w:rsidRPr="00D15BFE" w:rsidRDefault="00286780" w:rsidP="00FA7C6C">
            <w:pPr>
              <w:snapToGrid w:val="0"/>
              <w:jc w:val="center"/>
              <w:rPr>
                <w:i/>
                <w:sz w:val="24"/>
                <w:szCs w:val="24"/>
              </w:rPr>
            </w:pPr>
            <w:r w:rsidRPr="00D15BFE">
              <w:rPr>
                <w:i/>
                <w:sz w:val="24"/>
                <w:szCs w:val="24"/>
              </w:rPr>
              <w:t xml:space="preserve">№ </w:t>
            </w:r>
            <w:r>
              <w:rPr>
                <w:i/>
                <w:sz w:val="24"/>
                <w:szCs w:val="24"/>
              </w:rPr>
              <w:t>под</w:t>
            </w:r>
            <w:r w:rsidRPr="00D15BFE">
              <w:rPr>
                <w:i/>
                <w:sz w:val="24"/>
                <w:szCs w:val="24"/>
              </w:rPr>
              <w:t>группы</w:t>
            </w:r>
          </w:p>
        </w:tc>
        <w:tc>
          <w:tcPr>
            <w:tcW w:w="2368" w:type="dxa"/>
            <w:tcMar>
              <w:left w:w="28" w:type="dxa"/>
              <w:right w:w="28" w:type="dxa"/>
            </w:tcMar>
          </w:tcPr>
          <w:p w:rsidR="00286780" w:rsidRPr="00D15BFE" w:rsidRDefault="00286780" w:rsidP="00FA7C6C">
            <w:pPr>
              <w:snapToGrid w:val="0"/>
              <w:jc w:val="center"/>
              <w:rPr>
                <w:i/>
                <w:sz w:val="24"/>
                <w:szCs w:val="24"/>
              </w:rPr>
            </w:pPr>
            <w:r w:rsidRPr="00D15BFE">
              <w:rPr>
                <w:i/>
                <w:sz w:val="24"/>
                <w:szCs w:val="24"/>
              </w:rPr>
              <w:t xml:space="preserve">Наименование </w:t>
            </w:r>
            <w:r w:rsidRPr="00D15BFE">
              <w:rPr>
                <w:i/>
                <w:sz w:val="24"/>
                <w:szCs w:val="24"/>
              </w:rPr>
              <w:br/>
            </w:r>
          </w:p>
        </w:tc>
        <w:tc>
          <w:tcPr>
            <w:tcW w:w="1437" w:type="dxa"/>
            <w:tcMar>
              <w:left w:w="28" w:type="dxa"/>
              <w:right w:w="28" w:type="dxa"/>
            </w:tcMar>
          </w:tcPr>
          <w:p w:rsidR="00286780" w:rsidRPr="00D15BFE" w:rsidRDefault="00286780" w:rsidP="00FA7C6C">
            <w:pPr>
              <w:snapToGrid w:val="0"/>
              <w:jc w:val="center"/>
              <w:rPr>
                <w:i/>
                <w:sz w:val="24"/>
                <w:szCs w:val="24"/>
              </w:rPr>
            </w:pPr>
            <w:r>
              <w:rPr>
                <w:i/>
                <w:sz w:val="24"/>
                <w:szCs w:val="24"/>
              </w:rPr>
              <w:t xml:space="preserve">Численность </w:t>
            </w:r>
          </w:p>
        </w:tc>
        <w:tc>
          <w:tcPr>
            <w:tcW w:w="1614" w:type="dxa"/>
            <w:tcMar>
              <w:left w:w="28" w:type="dxa"/>
              <w:right w:w="28" w:type="dxa"/>
            </w:tcMar>
          </w:tcPr>
          <w:p w:rsidR="00286780" w:rsidRPr="00D15BFE" w:rsidRDefault="00286780" w:rsidP="00FA7C6C">
            <w:pPr>
              <w:snapToGrid w:val="0"/>
              <w:jc w:val="center"/>
              <w:rPr>
                <w:i/>
                <w:sz w:val="24"/>
                <w:szCs w:val="24"/>
              </w:rPr>
            </w:pPr>
            <w:r>
              <w:rPr>
                <w:i/>
                <w:sz w:val="24"/>
                <w:szCs w:val="24"/>
              </w:rPr>
              <w:t xml:space="preserve">Формирование </w:t>
            </w:r>
          </w:p>
        </w:tc>
        <w:tc>
          <w:tcPr>
            <w:tcW w:w="2125" w:type="dxa"/>
            <w:tcMar>
              <w:left w:w="28" w:type="dxa"/>
              <w:right w:w="28" w:type="dxa"/>
            </w:tcMar>
          </w:tcPr>
          <w:p w:rsidR="00286780" w:rsidRPr="00D15BFE" w:rsidRDefault="00286780" w:rsidP="00FA7C6C">
            <w:pPr>
              <w:snapToGrid w:val="0"/>
              <w:jc w:val="center"/>
              <w:rPr>
                <w:i/>
                <w:sz w:val="24"/>
                <w:szCs w:val="24"/>
              </w:rPr>
            </w:pPr>
            <w:r>
              <w:rPr>
                <w:i/>
                <w:sz w:val="24"/>
                <w:szCs w:val="24"/>
              </w:rPr>
              <w:t xml:space="preserve">Состав </w:t>
            </w:r>
          </w:p>
        </w:tc>
        <w:tc>
          <w:tcPr>
            <w:tcW w:w="1654" w:type="dxa"/>
            <w:tcMar>
              <w:left w:w="28" w:type="dxa"/>
              <w:right w:w="28" w:type="dxa"/>
            </w:tcMar>
          </w:tcPr>
          <w:p w:rsidR="00286780" w:rsidRPr="00D15BFE" w:rsidRDefault="00286780" w:rsidP="00FA7C6C">
            <w:pPr>
              <w:snapToGrid w:val="0"/>
              <w:jc w:val="center"/>
              <w:rPr>
                <w:i/>
                <w:sz w:val="24"/>
                <w:szCs w:val="24"/>
              </w:rPr>
            </w:pPr>
            <w:r>
              <w:rPr>
                <w:i/>
                <w:sz w:val="24"/>
                <w:szCs w:val="24"/>
              </w:rPr>
              <w:t>Подг</w:t>
            </w:r>
            <w:r w:rsidRPr="00D15BFE">
              <w:rPr>
                <w:i/>
                <w:sz w:val="24"/>
                <w:szCs w:val="24"/>
              </w:rPr>
              <w:t>руппы</w:t>
            </w:r>
            <w:r w:rsidRPr="00D15BFE">
              <w:rPr>
                <w:i/>
                <w:sz w:val="24"/>
                <w:szCs w:val="24"/>
              </w:rPr>
              <w:br/>
              <w:t xml:space="preserve"> сравнения</w:t>
            </w:r>
          </w:p>
        </w:tc>
      </w:tr>
      <w:tr w:rsidR="00286780" w:rsidRPr="004A0CF0" w:rsidTr="00FA7C6C">
        <w:tc>
          <w:tcPr>
            <w:tcW w:w="779" w:type="dxa"/>
            <w:tcMar>
              <w:left w:w="28" w:type="dxa"/>
              <w:right w:w="28" w:type="dxa"/>
            </w:tcMar>
            <w:vAlign w:val="center"/>
          </w:tcPr>
          <w:p w:rsidR="00286780" w:rsidRPr="00D15BFE" w:rsidRDefault="00286780" w:rsidP="00FA7C6C">
            <w:pPr>
              <w:snapToGrid w:val="0"/>
              <w:jc w:val="center"/>
              <w:rPr>
                <w:sz w:val="24"/>
                <w:szCs w:val="24"/>
              </w:rPr>
            </w:pPr>
            <w:r w:rsidRPr="00D15BFE">
              <w:rPr>
                <w:sz w:val="24"/>
                <w:szCs w:val="24"/>
              </w:rPr>
              <w:t>1.</w:t>
            </w:r>
          </w:p>
        </w:tc>
        <w:tc>
          <w:tcPr>
            <w:tcW w:w="2368" w:type="dxa"/>
            <w:tcMar>
              <w:left w:w="28" w:type="dxa"/>
              <w:right w:w="28" w:type="dxa"/>
            </w:tcMar>
            <w:vAlign w:val="center"/>
          </w:tcPr>
          <w:p w:rsidR="00286780" w:rsidRPr="00D15BFE" w:rsidRDefault="00286780" w:rsidP="008C5821">
            <w:pPr>
              <w:snapToGrid w:val="0"/>
              <w:jc w:val="center"/>
              <w:rPr>
                <w:sz w:val="24"/>
                <w:szCs w:val="24"/>
              </w:rPr>
            </w:pPr>
            <w:r>
              <w:rPr>
                <w:sz w:val="24"/>
                <w:szCs w:val="24"/>
              </w:rPr>
              <w:t>Под</w:t>
            </w:r>
            <w:r w:rsidR="008C5821">
              <w:rPr>
                <w:sz w:val="24"/>
                <w:szCs w:val="24"/>
              </w:rPr>
              <w:t>группа № 1</w:t>
            </w:r>
          </w:p>
        </w:tc>
        <w:tc>
          <w:tcPr>
            <w:tcW w:w="1437" w:type="dxa"/>
            <w:tcMar>
              <w:left w:w="28" w:type="dxa"/>
              <w:right w:w="28" w:type="dxa"/>
            </w:tcMar>
            <w:vAlign w:val="center"/>
          </w:tcPr>
          <w:p w:rsidR="00286780" w:rsidRPr="00D15BFE" w:rsidRDefault="00286780" w:rsidP="00FA7C6C">
            <w:pPr>
              <w:snapToGrid w:val="0"/>
              <w:jc w:val="center"/>
              <w:rPr>
                <w:sz w:val="24"/>
                <w:szCs w:val="24"/>
              </w:rPr>
            </w:pPr>
            <w:r>
              <w:rPr>
                <w:sz w:val="24"/>
                <w:szCs w:val="24"/>
              </w:rPr>
              <w:t>35</w:t>
            </w:r>
          </w:p>
        </w:tc>
        <w:tc>
          <w:tcPr>
            <w:tcW w:w="1614" w:type="dxa"/>
            <w:tcMar>
              <w:left w:w="28" w:type="dxa"/>
              <w:right w:w="28" w:type="dxa"/>
            </w:tcMar>
          </w:tcPr>
          <w:p w:rsidR="00286780" w:rsidRPr="00D15BFE" w:rsidRDefault="00286780" w:rsidP="00FA7C6C">
            <w:pPr>
              <w:snapToGrid w:val="0"/>
              <w:rPr>
                <w:sz w:val="24"/>
                <w:szCs w:val="24"/>
              </w:rPr>
            </w:pPr>
            <w:r>
              <w:rPr>
                <w:sz w:val="24"/>
                <w:szCs w:val="24"/>
              </w:rPr>
              <w:t>35</w:t>
            </w:r>
            <w:r w:rsidRPr="00D15BFE">
              <w:rPr>
                <w:sz w:val="24"/>
                <w:szCs w:val="24"/>
              </w:rPr>
              <w:t xml:space="preserve"> пациентов КОКБ (2012–2015</w:t>
            </w:r>
            <w:r>
              <w:rPr>
                <w:sz w:val="24"/>
                <w:szCs w:val="24"/>
              </w:rPr>
              <w:t xml:space="preserve"> </w:t>
            </w:r>
            <w:r w:rsidRPr="00D15BFE">
              <w:rPr>
                <w:sz w:val="24"/>
                <w:szCs w:val="24"/>
              </w:rPr>
              <w:t>гг.)</w:t>
            </w:r>
          </w:p>
        </w:tc>
        <w:tc>
          <w:tcPr>
            <w:tcW w:w="2125" w:type="dxa"/>
            <w:tcMar>
              <w:left w:w="28" w:type="dxa"/>
              <w:right w:w="28" w:type="dxa"/>
            </w:tcMar>
          </w:tcPr>
          <w:p w:rsidR="00286780" w:rsidRPr="00D15BFE" w:rsidRDefault="00286780" w:rsidP="00FA7C6C">
            <w:pPr>
              <w:snapToGrid w:val="0"/>
              <w:rPr>
                <w:sz w:val="24"/>
                <w:szCs w:val="24"/>
              </w:rPr>
            </w:pPr>
            <w:r w:rsidRPr="00D15BFE">
              <w:rPr>
                <w:sz w:val="24"/>
                <w:szCs w:val="24"/>
              </w:rPr>
              <w:t>Пациенты с МФОИ и хронической патологией сердечно-сосудистой системы</w:t>
            </w:r>
          </w:p>
        </w:tc>
        <w:tc>
          <w:tcPr>
            <w:tcW w:w="1654" w:type="dxa"/>
            <w:tcMar>
              <w:left w:w="28" w:type="dxa"/>
              <w:right w:w="28" w:type="dxa"/>
            </w:tcMar>
          </w:tcPr>
          <w:p w:rsidR="00286780" w:rsidRPr="00D15BFE" w:rsidRDefault="00286780" w:rsidP="00FA7C6C">
            <w:pPr>
              <w:snapToGrid w:val="0"/>
              <w:rPr>
                <w:sz w:val="24"/>
                <w:szCs w:val="24"/>
              </w:rPr>
            </w:pPr>
            <w:r w:rsidRPr="00D15BFE">
              <w:rPr>
                <w:sz w:val="24"/>
                <w:szCs w:val="24"/>
              </w:rPr>
              <w:t xml:space="preserve">Контрольные </w:t>
            </w:r>
            <w:r>
              <w:rPr>
                <w:sz w:val="24"/>
                <w:szCs w:val="24"/>
              </w:rPr>
              <w:t>под</w:t>
            </w:r>
            <w:r w:rsidRPr="00D15BFE">
              <w:rPr>
                <w:sz w:val="24"/>
                <w:szCs w:val="24"/>
              </w:rPr>
              <w:t>группы № 1, № 4</w:t>
            </w:r>
          </w:p>
        </w:tc>
      </w:tr>
      <w:tr w:rsidR="00286780" w:rsidRPr="004A0CF0" w:rsidTr="00FA7C6C">
        <w:tc>
          <w:tcPr>
            <w:tcW w:w="779" w:type="dxa"/>
            <w:tcMar>
              <w:left w:w="28" w:type="dxa"/>
              <w:right w:w="28" w:type="dxa"/>
            </w:tcMar>
            <w:vAlign w:val="center"/>
          </w:tcPr>
          <w:p w:rsidR="00286780" w:rsidRPr="00D15BFE" w:rsidRDefault="00286780" w:rsidP="00FA7C6C">
            <w:pPr>
              <w:snapToGrid w:val="0"/>
              <w:jc w:val="center"/>
              <w:rPr>
                <w:sz w:val="24"/>
                <w:szCs w:val="24"/>
              </w:rPr>
            </w:pPr>
            <w:r w:rsidRPr="00D15BFE">
              <w:rPr>
                <w:sz w:val="24"/>
                <w:szCs w:val="24"/>
              </w:rPr>
              <w:t>2.</w:t>
            </w:r>
          </w:p>
        </w:tc>
        <w:tc>
          <w:tcPr>
            <w:tcW w:w="2368" w:type="dxa"/>
            <w:tcMar>
              <w:left w:w="28" w:type="dxa"/>
              <w:right w:w="28" w:type="dxa"/>
            </w:tcMar>
            <w:vAlign w:val="center"/>
          </w:tcPr>
          <w:p w:rsidR="00286780" w:rsidRPr="00D15BFE" w:rsidRDefault="00286780" w:rsidP="00FA7C6C">
            <w:pPr>
              <w:snapToGrid w:val="0"/>
              <w:jc w:val="center"/>
              <w:rPr>
                <w:sz w:val="24"/>
                <w:szCs w:val="24"/>
              </w:rPr>
            </w:pPr>
            <w:r>
              <w:rPr>
                <w:sz w:val="24"/>
                <w:szCs w:val="24"/>
              </w:rPr>
              <w:t>Под</w:t>
            </w:r>
            <w:r w:rsidRPr="00D15BFE">
              <w:rPr>
                <w:sz w:val="24"/>
                <w:szCs w:val="24"/>
              </w:rPr>
              <w:t>группа №2</w:t>
            </w:r>
          </w:p>
        </w:tc>
        <w:tc>
          <w:tcPr>
            <w:tcW w:w="1437" w:type="dxa"/>
            <w:tcMar>
              <w:left w:w="28" w:type="dxa"/>
              <w:right w:w="28" w:type="dxa"/>
            </w:tcMar>
            <w:vAlign w:val="center"/>
          </w:tcPr>
          <w:p w:rsidR="00286780" w:rsidRPr="00D15BFE" w:rsidRDefault="00286780" w:rsidP="00FA7C6C">
            <w:pPr>
              <w:snapToGrid w:val="0"/>
              <w:jc w:val="center"/>
              <w:rPr>
                <w:sz w:val="24"/>
                <w:szCs w:val="24"/>
              </w:rPr>
            </w:pPr>
            <w:r w:rsidRPr="00D15BFE">
              <w:rPr>
                <w:sz w:val="24"/>
                <w:szCs w:val="24"/>
              </w:rPr>
              <w:t>34</w:t>
            </w:r>
          </w:p>
        </w:tc>
        <w:tc>
          <w:tcPr>
            <w:tcW w:w="1614" w:type="dxa"/>
            <w:tcMar>
              <w:left w:w="28" w:type="dxa"/>
              <w:right w:w="28" w:type="dxa"/>
            </w:tcMar>
          </w:tcPr>
          <w:p w:rsidR="00286780" w:rsidRPr="00D15BFE" w:rsidRDefault="00286780" w:rsidP="00FA7C6C">
            <w:pPr>
              <w:snapToGrid w:val="0"/>
              <w:rPr>
                <w:sz w:val="24"/>
                <w:szCs w:val="24"/>
              </w:rPr>
            </w:pPr>
            <w:r w:rsidRPr="00D15BFE">
              <w:rPr>
                <w:sz w:val="24"/>
                <w:szCs w:val="24"/>
              </w:rPr>
              <w:t>18 пациентов КОКБ (2012–2015 гг.), 16 пациентов КОКБ (2016–2017 гг.)</w:t>
            </w:r>
          </w:p>
        </w:tc>
        <w:tc>
          <w:tcPr>
            <w:tcW w:w="2125" w:type="dxa"/>
            <w:tcMar>
              <w:left w:w="28" w:type="dxa"/>
              <w:right w:w="28" w:type="dxa"/>
            </w:tcMar>
          </w:tcPr>
          <w:p w:rsidR="00286780" w:rsidRPr="00D15BFE" w:rsidRDefault="00286780" w:rsidP="00FA7C6C">
            <w:pPr>
              <w:snapToGrid w:val="0"/>
              <w:rPr>
                <w:sz w:val="24"/>
                <w:szCs w:val="24"/>
              </w:rPr>
            </w:pPr>
            <w:r w:rsidRPr="00D15BFE">
              <w:rPr>
                <w:sz w:val="24"/>
                <w:szCs w:val="24"/>
              </w:rPr>
              <w:t xml:space="preserve">Пациенты с МФОИ и хронической патологией органов дыхания </w:t>
            </w:r>
          </w:p>
        </w:tc>
        <w:tc>
          <w:tcPr>
            <w:tcW w:w="1654" w:type="dxa"/>
            <w:tcMar>
              <w:left w:w="28" w:type="dxa"/>
              <w:right w:w="28" w:type="dxa"/>
            </w:tcMar>
          </w:tcPr>
          <w:p w:rsidR="00286780" w:rsidRPr="00D15BFE" w:rsidRDefault="00286780" w:rsidP="00FA7C6C">
            <w:pPr>
              <w:snapToGrid w:val="0"/>
              <w:rPr>
                <w:sz w:val="24"/>
                <w:szCs w:val="24"/>
              </w:rPr>
            </w:pPr>
            <w:r w:rsidRPr="00D15BFE">
              <w:rPr>
                <w:sz w:val="24"/>
                <w:szCs w:val="24"/>
              </w:rPr>
              <w:t xml:space="preserve">Контрольные </w:t>
            </w:r>
            <w:r>
              <w:rPr>
                <w:sz w:val="24"/>
                <w:szCs w:val="24"/>
              </w:rPr>
              <w:t>под</w:t>
            </w:r>
            <w:r w:rsidRPr="00D15BFE">
              <w:rPr>
                <w:sz w:val="24"/>
                <w:szCs w:val="24"/>
              </w:rPr>
              <w:t>группы № 2, № 4</w:t>
            </w:r>
          </w:p>
        </w:tc>
      </w:tr>
      <w:tr w:rsidR="00286780" w:rsidRPr="004A0CF0" w:rsidTr="00FA7C6C">
        <w:tc>
          <w:tcPr>
            <w:tcW w:w="779" w:type="dxa"/>
            <w:tcMar>
              <w:left w:w="28" w:type="dxa"/>
              <w:right w:w="28" w:type="dxa"/>
            </w:tcMar>
            <w:vAlign w:val="center"/>
          </w:tcPr>
          <w:p w:rsidR="00286780" w:rsidRPr="00D15BFE" w:rsidRDefault="00286780" w:rsidP="00FA7C6C">
            <w:pPr>
              <w:snapToGrid w:val="0"/>
              <w:jc w:val="center"/>
              <w:rPr>
                <w:sz w:val="24"/>
                <w:szCs w:val="24"/>
              </w:rPr>
            </w:pPr>
            <w:r w:rsidRPr="00D15BFE">
              <w:rPr>
                <w:sz w:val="24"/>
                <w:szCs w:val="24"/>
              </w:rPr>
              <w:t>3.</w:t>
            </w:r>
          </w:p>
        </w:tc>
        <w:tc>
          <w:tcPr>
            <w:tcW w:w="2368" w:type="dxa"/>
            <w:tcMar>
              <w:left w:w="28" w:type="dxa"/>
              <w:right w:w="28" w:type="dxa"/>
            </w:tcMar>
            <w:vAlign w:val="center"/>
          </w:tcPr>
          <w:p w:rsidR="00286780" w:rsidRPr="00D15BFE" w:rsidRDefault="00286780" w:rsidP="00FA7C6C">
            <w:pPr>
              <w:snapToGrid w:val="0"/>
              <w:jc w:val="center"/>
              <w:rPr>
                <w:sz w:val="24"/>
                <w:szCs w:val="24"/>
              </w:rPr>
            </w:pPr>
            <w:r>
              <w:rPr>
                <w:sz w:val="24"/>
                <w:szCs w:val="24"/>
              </w:rPr>
              <w:t>Под</w:t>
            </w:r>
            <w:r w:rsidRPr="00D15BFE">
              <w:rPr>
                <w:sz w:val="24"/>
                <w:szCs w:val="24"/>
              </w:rPr>
              <w:t>группа №3</w:t>
            </w:r>
          </w:p>
        </w:tc>
        <w:tc>
          <w:tcPr>
            <w:tcW w:w="1437" w:type="dxa"/>
            <w:tcMar>
              <w:left w:w="28" w:type="dxa"/>
              <w:right w:w="28" w:type="dxa"/>
            </w:tcMar>
            <w:vAlign w:val="center"/>
          </w:tcPr>
          <w:p w:rsidR="00286780" w:rsidRPr="00D15BFE" w:rsidRDefault="00286780" w:rsidP="00FA7C6C">
            <w:pPr>
              <w:snapToGrid w:val="0"/>
              <w:jc w:val="center"/>
              <w:rPr>
                <w:sz w:val="24"/>
                <w:szCs w:val="24"/>
              </w:rPr>
            </w:pPr>
            <w:r w:rsidRPr="00D15BFE">
              <w:rPr>
                <w:sz w:val="24"/>
                <w:szCs w:val="24"/>
              </w:rPr>
              <w:t>45</w:t>
            </w:r>
          </w:p>
        </w:tc>
        <w:tc>
          <w:tcPr>
            <w:tcW w:w="1614" w:type="dxa"/>
            <w:tcMar>
              <w:left w:w="28" w:type="dxa"/>
              <w:right w:w="28" w:type="dxa"/>
            </w:tcMar>
          </w:tcPr>
          <w:p w:rsidR="00286780" w:rsidRPr="00D15BFE" w:rsidRDefault="00286780" w:rsidP="00FA7C6C">
            <w:pPr>
              <w:snapToGrid w:val="0"/>
              <w:rPr>
                <w:sz w:val="24"/>
                <w:szCs w:val="24"/>
              </w:rPr>
            </w:pPr>
            <w:r w:rsidRPr="00D15BFE">
              <w:rPr>
                <w:sz w:val="24"/>
                <w:szCs w:val="24"/>
              </w:rPr>
              <w:t>15 пациентов КОКБ (2012–2015 гг.), 14 пациентов КОКБ (2016–2017 гг.), 16 пациентов ВОКБ №1 (2013 г.)</w:t>
            </w:r>
          </w:p>
        </w:tc>
        <w:tc>
          <w:tcPr>
            <w:tcW w:w="2125" w:type="dxa"/>
            <w:tcMar>
              <w:left w:w="28" w:type="dxa"/>
              <w:right w:w="28" w:type="dxa"/>
            </w:tcMar>
          </w:tcPr>
          <w:p w:rsidR="00286780" w:rsidRPr="00D15BFE" w:rsidRDefault="00286780" w:rsidP="00FA7C6C">
            <w:pPr>
              <w:snapToGrid w:val="0"/>
              <w:rPr>
                <w:sz w:val="24"/>
                <w:szCs w:val="24"/>
              </w:rPr>
            </w:pPr>
            <w:r w:rsidRPr="00D15BFE">
              <w:rPr>
                <w:sz w:val="24"/>
                <w:szCs w:val="24"/>
              </w:rPr>
              <w:t>Пациенты с МФОИ и хронической патологией эндокринной системы</w:t>
            </w:r>
          </w:p>
        </w:tc>
        <w:tc>
          <w:tcPr>
            <w:tcW w:w="1654" w:type="dxa"/>
            <w:tcMar>
              <w:left w:w="28" w:type="dxa"/>
              <w:right w:w="28" w:type="dxa"/>
            </w:tcMar>
          </w:tcPr>
          <w:p w:rsidR="00286780" w:rsidRPr="00D15BFE" w:rsidRDefault="00286780" w:rsidP="00FA7C6C">
            <w:pPr>
              <w:snapToGrid w:val="0"/>
              <w:rPr>
                <w:sz w:val="24"/>
                <w:szCs w:val="24"/>
              </w:rPr>
            </w:pPr>
            <w:r w:rsidRPr="00D15BFE">
              <w:rPr>
                <w:sz w:val="24"/>
                <w:szCs w:val="24"/>
              </w:rPr>
              <w:t xml:space="preserve">Контрольные </w:t>
            </w:r>
            <w:r>
              <w:rPr>
                <w:sz w:val="24"/>
                <w:szCs w:val="24"/>
              </w:rPr>
              <w:t>под</w:t>
            </w:r>
            <w:r w:rsidRPr="00D15BFE">
              <w:rPr>
                <w:sz w:val="24"/>
                <w:szCs w:val="24"/>
              </w:rPr>
              <w:t>группы № 3, № 4</w:t>
            </w:r>
          </w:p>
        </w:tc>
      </w:tr>
      <w:tr w:rsidR="00286780" w:rsidRPr="004A0CF0" w:rsidTr="00FA7C6C">
        <w:tc>
          <w:tcPr>
            <w:tcW w:w="779" w:type="dxa"/>
            <w:tcMar>
              <w:left w:w="28" w:type="dxa"/>
              <w:right w:w="28" w:type="dxa"/>
            </w:tcMar>
            <w:vAlign w:val="center"/>
          </w:tcPr>
          <w:p w:rsidR="00286780" w:rsidRPr="00D15BFE" w:rsidRDefault="00286780" w:rsidP="00FA7C6C">
            <w:pPr>
              <w:snapToGrid w:val="0"/>
              <w:jc w:val="center"/>
              <w:rPr>
                <w:sz w:val="24"/>
                <w:szCs w:val="24"/>
              </w:rPr>
            </w:pPr>
            <w:r w:rsidRPr="00D15BFE">
              <w:rPr>
                <w:sz w:val="24"/>
                <w:szCs w:val="24"/>
              </w:rPr>
              <w:t>4.</w:t>
            </w:r>
          </w:p>
        </w:tc>
        <w:tc>
          <w:tcPr>
            <w:tcW w:w="2368" w:type="dxa"/>
            <w:tcMar>
              <w:left w:w="28" w:type="dxa"/>
              <w:right w:w="28" w:type="dxa"/>
            </w:tcMar>
            <w:vAlign w:val="center"/>
          </w:tcPr>
          <w:p w:rsidR="00286780" w:rsidRPr="00D15BFE" w:rsidRDefault="00286780" w:rsidP="00FA7C6C">
            <w:pPr>
              <w:snapToGrid w:val="0"/>
              <w:jc w:val="center"/>
              <w:rPr>
                <w:sz w:val="24"/>
                <w:szCs w:val="24"/>
              </w:rPr>
            </w:pPr>
            <w:r>
              <w:rPr>
                <w:sz w:val="24"/>
                <w:szCs w:val="24"/>
              </w:rPr>
              <w:t>Подг</w:t>
            </w:r>
            <w:r w:rsidRPr="00D15BFE">
              <w:rPr>
                <w:sz w:val="24"/>
                <w:szCs w:val="24"/>
              </w:rPr>
              <w:t>руппа больных с МФОИ и хроническими заболеваниями пищеварительной, мочевыделительной систем и печени</w:t>
            </w:r>
          </w:p>
        </w:tc>
        <w:tc>
          <w:tcPr>
            <w:tcW w:w="1437" w:type="dxa"/>
            <w:tcMar>
              <w:left w:w="28" w:type="dxa"/>
              <w:right w:w="28" w:type="dxa"/>
            </w:tcMar>
            <w:vAlign w:val="center"/>
          </w:tcPr>
          <w:p w:rsidR="00286780" w:rsidRPr="00D15BFE" w:rsidRDefault="00286780" w:rsidP="00FA7C6C">
            <w:pPr>
              <w:snapToGrid w:val="0"/>
              <w:jc w:val="center"/>
              <w:rPr>
                <w:sz w:val="24"/>
                <w:szCs w:val="24"/>
              </w:rPr>
            </w:pPr>
            <w:r w:rsidRPr="00D15BFE">
              <w:rPr>
                <w:sz w:val="24"/>
                <w:szCs w:val="24"/>
              </w:rPr>
              <w:t>10</w:t>
            </w:r>
          </w:p>
        </w:tc>
        <w:tc>
          <w:tcPr>
            <w:tcW w:w="1614" w:type="dxa"/>
            <w:tcMar>
              <w:left w:w="28" w:type="dxa"/>
              <w:right w:w="28" w:type="dxa"/>
            </w:tcMar>
          </w:tcPr>
          <w:p w:rsidR="00286780" w:rsidRPr="00D15BFE" w:rsidRDefault="00286780" w:rsidP="00FA7C6C">
            <w:pPr>
              <w:snapToGrid w:val="0"/>
              <w:rPr>
                <w:sz w:val="24"/>
                <w:szCs w:val="24"/>
              </w:rPr>
            </w:pPr>
            <w:r w:rsidRPr="00D15BFE">
              <w:rPr>
                <w:sz w:val="24"/>
                <w:szCs w:val="24"/>
              </w:rPr>
              <w:t>10 пациентов КОКБ (2012–2015 гг.)</w:t>
            </w:r>
          </w:p>
        </w:tc>
        <w:tc>
          <w:tcPr>
            <w:tcW w:w="2125" w:type="dxa"/>
            <w:tcMar>
              <w:left w:w="28" w:type="dxa"/>
              <w:right w:w="28" w:type="dxa"/>
            </w:tcMar>
          </w:tcPr>
          <w:p w:rsidR="00286780" w:rsidRPr="00D15BFE" w:rsidRDefault="00286780" w:rsidP="00FA7C6C">
            <w:pPr>
              <w:snapToGrid w:val="0"/>
              <w:rPr>
                <w:sz w:val="24"/>
                <w:szCs w:val="24"/>
              </w:rPr>
            </w:pPr>
            <w:r w:rsidRPr="00D15BFE">
              <w:rPr>
                <w:sz w:val="24"/>
                <w:szCs w:val="24"/>
              </w:rPr>
              <w:t>Пациенты с МФОИ и хронической патологией пищеварительной системы, печени, мочевыделительной системы</w:t>
            </w:r>
          </w:p>
        </w:tc>
        <w:tc>
          <w:tcPr>
            <w:tcW w:w="1654" w:type="dxa"/>
            <w:tcMar>
              <w:left w:w="28" w:type="dxa"/>
              <w:right w:w="28" w:type="dxa"/>
            </w:tcMar>
          </w:tcPr>
          <w:p w:rsidR="00286780" w:rsidRPr="00D15BFE" w:rsidRDefault="00286780" w:rsidP="00FA7C6C">
            <w:pPr>
              <w:snapToGrid w:val="0"/>
              <w:rPr>
                <w:sz w:val="24"/>
                <w:szCs w:val="24"/>
              </w:rPr>
            </w:pPr>
            <w:r w:rsidRPr="00D15BFE">
              <w:rPr>
                <w:sz w:val="24"/>
                <w:szCs w:val="24"/>
              </w:rPr>
              <w:t>Отсутствуют, выполнена описательная характеристика</w:t>
            </w:r>
          </w:p>
        </w:tc>
      </w:tr>
    </w:tbl>
    <w:p w:rsidR="00286780" w:rsidRDefault="00286780" w:rsidP="00BD2F93">
      <w:pPr>
        <w:jc w:val="both"/>
        <w:rPr>
          <w:sz w:val="28"/>
          <w:szCs w:val="28"/>
          <w:lang w:eastAsia="en-US"/>
        </w:rPr>
      </w:pPr>
    </w:p>
    <w:p w:rsidR="000F335B" w:rsidRDefault="000F335B" w:rsidP="00BD2F93">
      <w:pPr>
        <w:jc w:val="both"/>
        <w:rPr>
          <w:sz w:val="28"/>
          <w:szCs w:val="28"/>
          <w:lang w:eastAsia="en-US"/>
        </w:rPr>
      </w:pPr>
      <w:r>
        <w:rPr>
          <w:sz w:val="28"/>
          <w:szCs w:val="28"/>
          <w:lang w:eastAsia="en-US"/>
        </w:rPr>
        <w:t>Контрольные подгруппы представлены в Таблице 11.</w:t>
      </w:r>
    </w:p>
    <w:p w:rsidR="000F335B" w:rsidRDefault="000F335B" w:rsidP="00BD2F93">
      <w:pPr>
        <w:jc w:val="both"/>
        <w:rPr>
          <w:sz w:val="28"/>
          <w:szCs w:val="28"/>
          <w:lang w:eastAsia="en-US"/>
        </w:rPr>
      </w:pPr>
    </w:p>
    <w:p w:rsidR="00286780" w:rsidRPr="00AC516B" w:rsidRDefault="00286780" w:rsidP="00BD2F93">
      <w:pPr>
        <w:pStyle w:val="affffff4"/>
        <w:rPr>
          <w:spacing w:val="-8"/>
        </w:rPr>
      </w:pPr>
      <w:r w:rsidRPr="00AC516B">
        <w:rPr>
          <w:b/>
        </w:rPr>
        <w:t xml:space="preserve">Таблица </w:t>
      </w:r>
      <w:r>
        <w:rPr>
          <w:b/>
        </w:rPr>
        <w:t>11</w:t>
      </w:r>
      <w:r w:rsidRPr="00AC516B">
        <w:t xml:space="preserve"> – Контрольные </w:t>
      </w:r>
      <w:r>
        <w:t>под</w:t>
      </w:r>
      <w:r w:rsidRPr="00AC516B">
        <w:t>группы (</w:t>
      </w:r>
      <w:r w:rsidRPr="00AC516B">
        <w:rPr>
          <w:lang w:val="en-US"/>
        </w:rPr>
        <w:t>I</w:t>
      </w:r>
      <w:r w:rsidRPr="00AC516B">
        <w:t xml:space="preserve"> блок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9"/>
        <w:gridCol w:w="1780"/>
        <w:gridCol w:w="1319"/>
        <w:gridCol w:w="2045"/>
        <w:gridCol w:w="2107"/>
        <w:gridCol w:w="1657"/>
      </w:tblGrid>
      <w:tr w:rsidR="00286780" w:rsidRPr="00AC516B" w:rsidTr="00FA7C6C">
        <w:trPr>
          <w:trHeight w:val="454"/>
        </w:trPr>
        <w:tc>
          <w:tcPr>
            <w:tcW w:w="959" w:type="dxa"/>
            <w:tcMar>
              <w:left w:w="28" w:type="dxa"/>
              <w:right w:w="28" w:type="dxa"/>
            </w:tcMar>
          </w:tcPr>
          <w:p w:rsidR="00286780" w:rsidRPr="00D15BFE" w:rsidRDefault="00286780" w:rsidP="00FA7C6C">
            <w:pPr>
              <w:snapToGrid w:val="0"/>
              <w:jc w:val="center"/>
              <w:rPr>
                <w:i/>
                <w:spacing w:val="-8"/>
                <w:sz w:val="24"/>
                <w:szCs w:val="24"/>
              </w:rPr>
            </w:pPr>
            <w:r w:rsidRPr="00D15BFE">
              <w:rPr>
                <w:i/>
                <w:spacing w:val="-8"/>
                <w:sz w:val="24"/>
                <w:szCs w:val="24"/>
              </w:rPr>
              <w:t xml:space="preserve">№ </w:t>
            </w:r>
            <w:r w:rsidR="0021199A">
              <w:rPr>
                <w:i/>
                <w:spacing w:val="-8"/>
                <w:sz w:val="24"/>
                <w:szCs w:val="24"/>
              </w:rPr>
              <w:t>под</w:t>
            </w:r>
            <w:r w:rsidRPr="00D15BFE">
              <w:rPr>
                <w:i/>
                <w:spacing w:val="-8"/>
                <w:sz w:val="24"/>
                <w:szCs w:val="24"/>
              </w:rPr>
              <w:t>группы</w:t>
            </w:r>
          </w:p>
        </w:tc>
        <w:tc>
          <w:tcPr>
            <w:tcW w:w="1799" w:type="dxa"/>
            <w:tcMar>
              <w:left w:w="28" w:type="dxa"/>
              <w:right w:w="28" w:type="dxa"/>
            </w:tcMar>
          </w:tcPr>
          <w:p w:rsidR="00286780" w:rsidRPr="00D15BFE" w:rsidRDefault="0021199A" w:rsidP="00FA7C6C">
            <w:pPr>
              <w:snapToGrid w:val="0"/>
              <w:jc w:val="center"/>
              <w:rPr>
                <w:i/>
                <w:spacing w:val="-8"/>
                <w:sz w:val="24"/>
                <w:szCs w:val="24"/>
              </w:rPr>
            </w:pPr>
            <w:r>
              <w:rPr>
                <w:i/>
                <w:spacing w:val="-8"/>
                <w:sz w:val="24"/>
                <w:szCs w:val="24"/>
              </w:rPr>
              <w:t>Наименование</w:t>
            </w:r>
          </w:p>
        </w:tc>
        <w:tc>
          <w:tcPr>
            <w:tcW w:w="1319" w:type="dxa"/>
            <w:tcMar>
              <w:left w:w="28" w:type="dxa"/>
              <w:right w:w="28" w:type="dxa"/>
            </w:tcMar>
          </w:tcPr>
          <w:p w:rsidR="00286780" w:rsidRPr="00D15BFE" w:rsidRDefault="0021199A" w:rsidP="00FA7C6C">
            <w:pPr>
              <w:snapToGrid w:val="0"/>
              <w:jc w:val="center"/>
              <w:rPr>
                <w:i/>
                <w:spacing w:val="-8"/>
                <w:sz w:val="24"/>
                <w:szCs w:val="24"/>
              </w:rPr>
            </w:pPr>
            <w:r>
              <w:rPr>
                <w:i/>
                <w:spacing w:val="-8"/>
                <w:sz w:val="24"/>
                <w:szCs w:val="24"/>
              </w:rPr>
              <w:t>Численность</w:t>
            </w:r>
          </w:p>
        </w:tc>
        <w:tc>
          <w:tcPr>
            <w:tcW w:w="2072" w:type="dxa"/>
            <w:tcMar>
              <w:left w:w="28" w:type="dxa"/>
              <w:right w:w="28" w:type="dxa"/>
            </w:tcMar>
          </w:tcPr>
          <w:p w:rsidR="00286780" w:rsidRPr="00D15BFE" w:rsidRDefault="00286780" w:rsidP="0021199A">
            <w:pPr>
              <w:snapToGrid w:val="0"/>
              <w:jc w:val="center"/>
              <w:rPr>
                <w:i/>
                <w:spacing w:val="-8"/>
                <w:sz w:val="24"/>
                <w:szCs w:val="24"/>
              </w:rPr>
            </w:pPr>
            <w:r w:rsidRPr="00D15BFE">
              <w:rPr>
                <w:i/>
                <w:spacing w:val="-8"/>
                <w:sz w:val="24"/>
                <w:szCs w:val="24"/>
              </w:rPr>
              <w:t>Формирование</w:t>
            </w:r>
          </w:p>
        </w:tc>
        <w:tc>
          <w:tcPr>
            <w:tcW w:w="2141" w:type="dxa"/>
            <w:tcMar>
              <w:left w:w="28" w:type="dxa"/>
              <w:right w:w="28" w:type="dxa"/>
            </w:tcMar>
          </w:tcPr>
          <w:p w:rsidR="00286780" w:rsidRPr="00D15BFE" w:rsidRDefault="0021199A" w:rsidP="00FA7C6C">
            <w:pPr>
              <w:snapToGrid w:val="0"/>
              <w:jc w:val="center"/>
              <w:rPr>
                <w:i/>
                <w:spacing w:val="-8"/>
                <w:sz w:val="24"/>
                <w:szCs w:val="24"/>
              </w:rPr>
            </w:pPr>
            <w:r>
              <w:rPr>
                <w:i/>
                <w:spacing w:val="-8"/>
                <w:sz w:val="24"/>
                <w:szCs w:val="24"/>
              </w:rPr>
              <w:t>Состав</w:t>
            </w:r>
          </w:p>
        </w:tc>
        <w:tc>
          <w:tcPr>
            <w:tcW w:w="1687" w:type="dxa"/>
            <w:tcMar>
              <w:left w:w="28" w:type="dxa"/>
              <w:right w:w="28" w:type="dxa"/>
            </w:tcMar>
          </w:tcPr>
          <w:p w:rsidR="00286780" w:rsidRPr="00D15BFE" w:rsidRDefault="0021199A" w:rsidP="00FA7C6C">
            <w:pPr>
              <w:snapToGrid w:val="0"/>
              <w:jc w:val="center"/>
              <w:rPr>
                <w:i/>
                <w:spacing w:val="-8"/>
                <w:sz w:val="24"/>
                <w:szCs w:val="24"/>
              </w:rPr>
            </w:pPr>
            <w:r>
              <w:rPr>
                <w:i/>
                <w:spacing w:val="-8"/>
                <w:sz w:val="24"/>
                <w:szCs w:val="24"/>
              </w:rPr>
              <w:t>Сравнение</w:t>
            </w:r>
          </w:p>
        </w:tc>
      </w:tr>
      <w:tr w:rsidR="00286780" w:rsidRPr="00AC516B" w:rsidTr="00FA7C6C">
        <w:trPr>
          <w:trHeight w:val="454"/>
        </w:trPr>
        <w:tc>
          <w:tcPr>
            <w:tcW w:w="9977" w:type="dxa"/>
            <w:gridSpan w:val="6"/>
            <w:tcMar>
              <w:left w:w="28" w:type="dxa"/>
              <w:right w:w="28" w:type="dxa"/>
            </w:tcMar>
            <w:vAlign w:val="center"/>
          </w:tcPr>
          <w:p w:rsidR="00286780" w:rsidRPr="00D15BFE" w:rsidRDefault="00286780" w:rsidP="00FA7C6C">
            <w:pPr>
              <w:snapToGrid w:val="0"/>
              <w:jc w:val="center"/>
              <w:rPr>
                <w:spacing w:val="-8"/>
                <w:sz w:val="24"/>
                <w:szCs w:val="24"/>
              </w:rPr>
            </w:pPr>
            <w:r w:rsidRPr="00D15BFE">
              <w:rPr>
                <w:spacing w:val="-8"/>
                <w:sz w:val="24"/>
                <w:szCs w:val="24"/>
              </w:rPr>
              <w:t>Пациенты с хронической патологией без МФОИ</w:t>
            </w:r>
          </w:p>
        </w:tc>
      </w:tr>
      <w:tr w:rsidR="00286780" w:rsidRPr="00AC516B" w:rsidTr="00FA7C6C">
        <w:trPr>
          <w:trHeight w:val="454"/>
        </w:trPr>
        <w:tc>
          <w:tcPr>
            <w:tcW w:w="959" w:type="dxa"/>
            <w:tcMar>
              <w:left w:w="28" w:type="dxa"/>
              <w:right w:w="28" w:type="dxa"/>
            </w:tcMar>
          </w:tcPr>
          <w:p w:rsidR="00286780" w:rsidRPr="00D15BFE" w:rsidRDefault="00286780" w:rsidP="00FA7C6C">
            <w:pPr>
              <w:snapToGrid w:val="0"/>
              <w:jc w:val="center"/>
              <w:rPr>
                <w:spacing w:val="-8"/>
                <w:sz w:val="24"/>
                <w:szCs w:val="24"/>
              </w:rPr>
            </w:pPr>
            <w:r w:rsidRPr="00D15BFE">
              <w:rPr>
                <w:spacing w:val="-8"/>
                <w:sz w:val="24"/>
                <w:szCs w:val="24"/>
              </w:rPr>
              <w:t>1.</w:t>
            </w:r>
          </w:p>
        </w:tc>
        <w:tc>
          <w:tcPr>
            <w:tcW w:w="1799" w:type="dxa"/>
            <w:tcMar>
              <w:left w:w="28" w:type="dxa"/>
              <w:right w:w="28" w:type="dxa"/>
            </w:tcMar>
          </w:tcPr>
          <w:p w:rsidR="00286780" w:rsidRPr="00D15BFE" w:rsidRDefault="00286780" w:rsidP="00FA7C6C">
            <w:pPr>
              <w:snapToGrid w:val="0"/>
              <w:jc w:val="center"/>
              <w:rPr>
                <w:spacing w:val="-8"/>
                <w:sz w:val="24"/>
                <w:szCs w:val="24"/>
              </w:rPr>
            </w:pPr>
            <w:r w:rsidRPr="00D15BFE">
              <w:rPr>
                <w:spacing w:val="-8"/>
                <w:sz w:val="24"/>
                <w:szCs w:val="24"/>
              </w:rPr>
              <w:t xml:space="preserve">Контрольная </w:t>
            </w:r>
            <w:r>
              <w:rPr>
                <w:spacing w:val="-8"/>
                <w:sz w:val="24"/>
                <w:szCs w:val="24"/>
              </w:rPr>
              <w:t>под</w:t>
            </w:r>
            <w:r w:rsidRPr="00D15BFE">
              <w:rPr>
                <w:spacing w:val="-8"/>
                <w:sz w:val="24"/>
                <w:szCs w:val="24"/>
              </w:rPr>
              <w:t>группа № 1</w:t>
            </w:r>
          </w:p>
        </w:tc>
        <w:tc>
          <w:tcPr>
            <w:tcW w:w="1319" w:type="dxa"/>
            <w:tcMar>
              <w:left w:w="28" w:type="dxa"/>
              <w:right w:w="28" w:type="dxa"/>
            </w:tcMar>
          </w:tcPr>
          <w:p w:rsidR="00286780" w:rsidRPr="00D15BFE" w:rsidRDefault="00286780" w:rsidP="00FA7C6C">
            <w:pPr>
              <w:snapToGrid w:val="0"/>
              <w:jc w:val="center"/>
              <w:rPr>
                <w:spacing w:val="-8"/>
                <w:sz w:val="24"/>
                <w:szCs w:val="24"/>
              </w:rPr>
            </w:pPr>
            <w:r w:rsidRPr="00D15BFE">
              <w:rPr>
                <w:spacing w:val="-8"/>
                <w:sz w:val="24"/>
                <w:szCs w:val="24"/>
              </w:rPr>
              <w:t>32</w:t>
            </w:r>
          </w:p>
        </w:tc>
        <w:tc>
          <w:tcPr>
            <w:tcW w:w="2072" w:type="dxa"/>
            <w:tcMar>
              <w:left w:w="28" w:type="dxa"/>
              <w:right w:w="28" w:type="dxa"/>
            </w:tcMar>
          </w:tcPr>
          <w:p w:rsidR="00286780" w:rsidRPr="00D15BFE" w:rsidRDefault="00286780" w:rsidP="00FA7C6C">
            <w:pPr>
              <w:snapToGrid w:val="0"/>
              <w:jc w:val="both"/>
              <w:rPr>
                <w:spacing w:val="-8"/>
                <w:sz w:val="24"/>
                <w:szCs w:val="24"/>
              </w:rPr>
            </w:pPr>
            <w:r w:rsidRPr="00D15BFE">
              <w:rPr>
                <w:spacing w:val="-8"/>
                <w:sz w:val="24"/>
                <w:szCs w:val="24"/>
              </w:rPr>
              <w:t>32 пациента КОКБ, отделение плановой кардиологии (2018г.)</w:t>
            </w:r>
          </w:p>
        </w:tc>
        <w:tc>
          <w:tcPr>
            <w:tcW w:w="2141" w:type="dxa"/>
            <w:tcMar>
              <w:left w:w="28" w:type="dxa"/>
              <w:right w:w="28" w:type="dxa"/>
            </w:tcMar>
          </w:tcPr>
          <w:p w:rsidR="00286780" w:rsidRPr="00D15BFE" w:rsidRDefault="00286780" w:rsidP="00FA7C6C">
            <w:pPr>
              <w:snapToGrid w:val="0"/>
              <w:jc w:val="both"/>
              <w:rPr>
                <w:spacing w:val="-8"/>
                <w:sz w:val="24"/>
                <w:szCs w:val="24"/>
              </w:rPr>
            </w:pPr>
            <w:r w:rsidRPr="00D15BFE">
              <w:rPr>
                <w:spacing w:val="-8"/>
                <w:sz w:val="24"/>
                <w:szCs w:val="24"/>
              </w:rPr>
              <w:t>Пациенты с хроническими заболеваниями сердечно-сосудистой системы</w:t>
            </w:r>
          </w:p>
        </w:tc>
        <w:tc>
          <w:tcPr>
            <w:tcW w:w="1687" w:type="dxa"/>
            <w:tcMar>
              <w:left w:w="28" w:type="dxa"/>
              <w:right w:w="28" w:type="dxa"/>
            </w:tcMar>
          </w:tcPr>
          <w:p w:rsidR="00286780" w:rsidRPr="00D15BFE" w:rsidRDefault="00286780" w:rsidP="00FA7C6C">
            <w:pPr>
              <w:snapToGrid w:val="0"/>
              <w:jc w:val="center"/>
              <w:rPr>
                <w:spacing w:val="-8"/>
                <w:sz w:val="24"/>
                <w:szCs w:val="24"/>
              </w:rPr>
            </w:pPr>
            <w:r>
              <w:rPr>
                <w:spacing w:val="-8"/>
                <w:sz w:val="24"/>
                <w:szCs w:val="24"/>
              </w:rPr>
              <w:t>Под</w:t>
            </w:r>
            <w:r w:rsidRPr="00D15BFE">
              <w:rPr>
                <w:spacing w:val="-8"/>
                <w:sz w:val="24"/>
                <w:szCs w:val="24"/>
              </w:rPr>
              <w:t>группа № 1</w:t>
            </w:r>
          </w:p>
        </w:tc>
      </w:tr>
      <w:tr w:rsidR="00286780" w:rsidRPr="00AC516B" w:rsidTr="00FA7C6C">
        <w:trPr>
          <w:trHeight w:val="454"/>
        </w:trPr>
        <w:tc>
          <w:tcPr>
            <w:tcW w:w="959" w:type="dxa"/>
            <w:tcMar>
              <w:left w:w="28" w:type="dxa"/>
              <w:right w:w="28" w:type="dxa"/>
            </w:tcMar>
          </w:tcPr>
          <w:p w:rsidR="00286780" w:rsidRPr="00D15BFE" w:rsidRDefault="00286780" w:rsidP="00FA7C6C">
            <w:pPr>
              <w:snapToGrid w:val="0"/>
              <w:jc w:val="center"/>
              <w:rPr>
                <w:spacing w:val="-8"/>
                <w:sz w:val="24"/>
                <w:szCs w:val="24"/>
              </w:rPr>
            </w:pPr>
            <w:r w:rsidRPr="00D15BFE">
              <w:rPr>
                <w:spacing w:val="-8"/>
                <w:sz w:val="24"/>
                <w:szCs w:val="24"/>
              </w:rPr>
              <w:t xml:space="preserve">2. </w:t>
            </w:r>
          </w:p>
        </w:tc>
        <w:tc>
          <w:tcPr>
            <w:tcW w:w="1799" w:type="dxa"/>
            <w:tcMar>
              <w:left w:w="28" w:type="dxa"/>
              <w:right w:w="28" w:type="dxa"/>
            </w:tcMar>
          </w:tcPr>
          <w:p w:rsidR="00286780" w:rsidRPr="00D15BFE" w:rsidRDefault="00286780" w:rsidP="00FA7C6C">
            <w:pPr>
              <w:snapToGrid w:val="0"/>
              <w:jc w:val="center"/>
              <w:rPr>
                <w:spacing w:val="-8"/>
                <w:sz w:val="24"/>
                <w:szCs w:val="24"/>
              </w:rPr>
            </w:pPr>
            <w:r w:rsidRPr="00D15BFE">
              <w:rPr>
                <w:spacing w:val="-8"/>
                <w:sz w:val="24"/>
                <w:szCs w:val="24"/>
              </w:rPr>
              <w:t xml:space="preserve">Контрольная </w:t>
            </w:r>
            <w:r>
              <w:rPr>
                <w:spacing w:val="-8"/>
                <w:sz w:val="24"/>
                <w:szCs w:val="24"/>
              </w:rPr>
              <w:t>под</w:t>
            </w:r>
            <w:r w:rsidRPr="00D15BFE">
              <w:rPr>
                <w:spacing w:val="-8"/>
                <w:sz w:val="24"/>
                <w:szCs w:val="24"/>
              </w:rPr>
              <w:t>группа № 2</w:t>
            </w:r>
          </w:p>
        </w:tc>
        <w:tc>
          <w:tcPr>
            <w:tcW w:w="1319" w:type="dxa"/>
            <w:tcMar>
              <w:left w:w="28" w:type="dxa"/>
              <w:right w:w="28" w:type="dxa"/>
            </w:tcMar>
          </w:tcPr>
          <w:p w:rsidR="00286780" w:rsidRPr="00D15BFE" w:rsidRDefault="00286780" w:rsidP="00FA7C6C">
            <w:pPr>
              <w:snapToGrid w:val="0"/>
              <w:jc w:val="center"/>
              <w:rPr>
                <w:spacing w:val="-8"/>
                <w:sz w:val="24"/>
                <w:szCs w:val="24"/>
              </w:rPr>
            </w:pPr>
            <w:r w:rsidRPr="00D15BFE">
              <w:rPr>
                <w:spacing w:val="-8"/>
                <w:sz w:val="24"/>
                <w:szCs w:val="24"/>
              </w:rPr>
              <w:t>26</w:t>
            </w:r>
          </w:p>
        </w:tc>
        <w:tc>
          <w:tcPr>
            <w:tcW w:w="2072" w:type="dxa"/>
            <w:tcMar>
              <w:left w:w="28" w:type="dxa"/>
              <w:right w:w="28" w:type="dxa"/>
            </w:tcMar>
          </w:tcPr>
          <w:p w:rsidR="00286780" w:rsidRPr="00D15BFE" w:rsidRDefault="00286780" w:rsidP="00FA7C6C">
            <w:pPr>
              <w:snapToGrid w:val="0"/>
              <w:jc w:val="both"/>
              <w:rPr>
                <w:spacing w:val="-8"/>
                <w:sz w:val="24"/>
                <w:szCs w:val="24"/>
              </w:rPr>
            </w:pPr>
            <w:r w:rsidRPr="00D15BFE">
              <w:rPr>
                <w:spacing w:val="-8"/>
                <w:sz w:val="24"/>
                <w:szCs w:val="24"/>
              </w:rPr>
              <w:t>17 пациентов КОКБ, отделение пульмонологии (2018</w:t>
            </w:r>
            <w:r>
              <w:rPr>
                <w:spacing w:val="-8"/>
                <w:sz w:val="24"/>
                <w:szCs w:val="24"/>
              </w:rPr>
              <w:t xml:space="preserve"> </w:t>
            </w:r>
            <w:r w:rsidRPr="00D15BFE">
              <w:rPr>
                <w:spacing w:val="-8"/>
                <w:sz w:val="24"/>
                <w:szCs w:val="24"/>
              </w:rPr>
              <w:t>г.), 9 пациентов, наблюдаемых в городской поликлинике № 1, г. Курск (2018</w:t>
            </w:r>
            <w:r>
              <w:rPr>
                <w:spacing w:val="-8"/>
                <w:sz w:val="24"/>
                <w:szCs w:val="24"/>
              </w:rPr>
              <w:t xml:space="preserve"> </w:t>
            </w:r>
            <w:r w:rsidRPr="00D15BFE">
              <w:rPr>
                <w:spacing w:val="-8"/>
                <w:sz w:val="24"/>
                <w:szCs w:val="24"/>
              </w:rPr>
              <w:t>г.)</w:t>
            </w:r>
          </w:p>
        </w:tc>
        <w:tc>
          <w:tcPr>
            <w:tcW w:w="2141" w:type="dxa"/>
            <w:tcMar>
              <w:left w:w="28" w:type="dxa"/>
              <w:right w:w="28" w:type="dxa"/>
            </w:tcMar>
          </w:tcPr>
          <w:p w:rsidR="00286780" w:rsidRPr="00D15BFE" w:rsidRDefault="00286780" w:rsidP="00FA7C6C">
            <w:pPr>
              <w:snapToGrid w:val="0"/>
              <w:jc w:val="both"/>
              <w:rPr>
                <w:spacing w:val="-8"/>
                <w:sz w:val="24"/>
                <w:szCs w:val="24"/>
              </w:rPr>
            </w:pPr>
            <w:r w:rsidRPr="00D15BFE">
              <w:rPr>
                <w:spacing w:val="-8"/>
                <w:sz w:val="24"/>
                <w:szCs w:val="24"/>
              </w:rPr>
              <w:t>Пациенты с хроническими заболеваниями органов дыхания</w:t>
            </w:r>
          </w:p>
        </w:tc>
        <w:tc>
          <w:tcPr>
            <w:tcW w:w="1687" w:type="dxa"/>
            <w:tcMar>
              <w:left w:w="28" w:type="dxa"/>
              <w:right w:w="28" w:type="dxa"/>
            </w:tcMar>
          </w:tcPr>
          <w:p w:rsidR="00286780" w:rsidRPr="00D15BFE" w:rsidRDefault="00286780" w:rsidP="00FA7C6C">
            <w:pPr>
              <w:snapToGrid w:val="0"/>
              <w:jc w:val="center"/>
              <w:rPr>
                <w:spacing w:val="-8"/>
                <w:sz w:val="24"/>
                <w:szCs w:val="24"/>
              </w:rPr>
            </w:pPr>
            <w:r>
              <w:rPr>
                <w:spacing w:val="-8"/>
                <w:sz w:val="24"/>
                <w:szCs w:val="24"/>
              </w:rPr>
              <w:t>Под</w:t>
            </w:r>
            <w:r w:rsidRPr="00D15BFE">
              <w:rPr>
                <w:spacing w:val="-8"/>
                <w:sz w:val="24"/>
                <w:szCs w:val="24"/>
              </w:rPr>
              <w:t>группа № 2</w:t>
            </w:r>
          </w:p>
        </w:tc>
      </w:tr>
    </w:tbl>
    <w:p w:rsidR="000F335B" w:rsidRDefault="000F335B" w:rsidP="00BD2F93">
      <w:pPr>
        <w:jc w:val="both"/>
        <w:rPr>
          <w:spacing w:val="-8"/>
          <w:sz w:val="28"/>
          <w:szCs w:val="28"/>
          <w:lang w:eastAsia="en-US"/>
        </w:rPr>
      </w:pPr>
    </w:p>
    <w:p w:rsidR="00286780" w:rsidRDefault="00286780" w:rsidP="00BD2F93">
      <w:pPr>
        <w:pStyle w:val="affffff4"/>
      </w:pPr>
      <w:r>
        <w:lastRenderedPageBreak/>
        <w:t>Продолжение таблицы 11</w:t>
      </w:r>
    </w:p>
    <w:tbl>
      <w:tblPr>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9"/>
        <w:gridCol w:w="1560"/>
        <w:gridCol w:w="1701"/>
        <w:gridCol w:w="1701"/>
        <w:gridCol w:w="1625"/>
        <w:gridCol w:w="1663"/>
      </w:tblGrid>
      <w:tr w:rsidR="00286780" w:rsidRPr="00AC516B" w:rsidTr="000803FC">
        <w:trPr>
          <w:trHeight w:val="454"/>
        </w:trPr>
        <w:tc>
          <w:tcPr>
            <w:tcW w:w="1729" w:type="dxa"/>
            <w:tcMar>
              <w:left w:w="28" w:type="dxa"/>
              <w:right w:w="28" w:type="dxa"/>
            </w:tcMar>
          </w:tcPr>
          <w:p w:rsidR="00286780" w:rsidRPr="00D15BFE" w:rsidRDefault="00286780" w:rsidP="00FA7C6C">
            <w:pPr>
              <w:snapToGrid w:val="0"/>
              <w:jc w:val="center"/>
              <w:rPr>
                <w:i/>
                <w:spacing w:val="-8"/>
                <w:sz w:val="24"/>
                <w:szCs w:val="24"/>
              </w:rPr>
            </w:pPr>
            <w:r w:rsidRPr="00D15BFE">
              <w:rPr>
                <w:i/>
                <w:spacing w:val="-8"/>
                <w:sz w:val="24"/>
                <w:szCs w:val="24"/>
              </w:rPr>
              <w:t xml:space="preserve">№ </w:t>
            </w:r>
            <w:r w:rsidR="0021199A">
              <w:rPr>
                <w:i/>
                <w:spacing w:val="-8"/>
                <w:sz w:val="24"/>
                <w:szCs w:val="24"/>
              </w:rPr>
              <w:t>под</w:t>
            </w:r>
            <w:r w:rsidRPr="00D15BFE">
              <w:rPr>
                <w:i/>
                <w:spacing w:val="-8"/>
                <w:sz w:val="24"/>
                <w:szCs w:val="24"/>
              </w:rPr>
              <w:t>группы</w:t>
            </w:r>
          </w:p>
        </w:tc>
        <w:tc>
          <w:tcPr>
            <w:tcW w:w="1560" w:type="dxa"/>
            <w:tcMar>
              <w:left w:w="28" w:type="dxa"/>
              <w:right w:w="28" w:type="dxa"/>
            </w:tcMar>
          </w:tcPr>
          <w:p w:rsidR="00286780" w:rsidRPr="00D15BFE" w:rsidRDefault="0021199A" w:rsidP="00FA7C6C">
            <w:pPr>
              <w:snapToGrid w:val="0"/>
              <w:jc w:val="center"/>
              <w:rPr>
                <w:i/>
                <w:spacing w:val="-8"/>
                <w:sz w:val="24"/>
                <w:szCs w:val="24"/>
              </w:rPr>
            </w:pPr>
            <w:r>
              <w:rPr>
                <w:i/>
                <w:spacing w:val="-8"/>
                <w:sz w:val="24"/>
                <w:szCs w:val="24"/>
              </w:rPr>
              <w:t>Наименование</w:t>
            </w:r>
          </w:p>
        </w:tc>
        <w:tc>
          <w:tcPr>
            <w:tcW w:w="1701" w:type="dxa"/>
            <w:tcMar>
              <w:left w:w="28" w:type="dxa"/>
              <w:right w:w="28" w:type="dxa"/>
            </w:tcMar>
          </w:tcPr>
          <w:p w:rsidR="00286780" w:rsidRPr="00D15BFE" w:rsidRDefault="0021199A" w:rsidP="00FA7C6C">
            <w:pPr>
              <w:snapToGrid w:val="0"/>
              <w:jc w:val="center"/>
              <w:rPr>
                <w:i/>
                <w:spacing w:val="-8"/>
                <w:sz w:val="24"/>
                <w:szCs w:val="24"/>
              </w:rPr>
            </w:pPr>
            <w:r>
              <w:rPr>
                <w:i/>
                <w:spacing w:val="-8"/>
                <w:sz w:val="24"/>
                <w:szCs w:val="24"/>
              </w:rPr>
              <w:t>Численность</w:t>
            </w:r>
          </w:p>
        </w:tc>
        <w:tc>
          <w:tcPr>
            <w:tcW w:w="1701" w:type="dxa"/>
            <w:tcMar>
              <w:left w:w="28" w:type="dxa"/>
              <w:right w:w="28" w:type="dxa"/>
            </w:tcMar>
          </w:tcPr>
          <w:p w:rsidR="00286780" w:rsidRPr="00D15BFE" w:rsidRDefault="00286780" w:rsidP="0021199A">
            <w:pPr>
              <w:snapToGrid w:val="0"/>
              <w:jc w:val="center"/>
              <w:rPr>
                <w:i/>
                <w:spacing w:val="-8"/>
                <w:sz w:val="24"/>
                <w:szCs w:val="24"/>
              </w:rPr>
            </w:pPr>
            <w:r w:rsidRPr="00D15BFE">
              <w:rPr>
                <w:i/>
                <w:spacing w:val="-8"/>
                <w:sz w:val="24"/>
                <w:szCs w:val="24"/>
              </w:rPr>
              <w:t>Формирование</w:t>
            </w:r>
          </w:p>
        </w:tc>
        <w:tc>
          <w:tcPr>
            <w:tcW w:w="1625" w:type="dxa"/>
            <w:tcMar>
              <w:left w:w="28" w:type="dxa"/>
              <w:right w:w="28" w:type="dxa"/>
            </w:tcMar>
          </w:tcPr>
          <w:p w:rsidR="00286780" w:rsidRPr="00D15BFE" w:rsidRDefault="0021199A" w:rsidP="00FA7C6C">
            <w:pPr>
              <w:snapToGrid w:val="0"/>
              <w:jc w:val="center"/>
              <w:rPr>
                <w:i/>
                <w:spacing w:val="-8"/>
                <w:sz w:val="24"/>
                <w:szCs w:val="24"/>
              </w:rPr>
            </w:pPr>
            <w:r>
              <w:rPr>
                <w:i/>
                <w:spacing w:val="-8"/>
                <w:sz w:val="24"/>
                <w:szCs w:val="24"/>
              </w:rPr>
              <w:t>Состав</w:t>
            </w:r>
          </w:p>
        </w:tc>
        <w:tc>
          <w:tcPr>
            <w:tcW w:w="1663" w:type="dxa"/>
            <w:tcMar>
              <w:left w:w="28" w:type="dxa"/>
              <w:right w:w="28" w:type="dxa"/>
            </w:tcMar>
          </w:tcPr>
          <w:p w:rsidR="00286780" w:rsidRPr="00D15BFE" w:rsidRDefault="0021199A" w:rsidP="0021199A">
            <w:pPr>
              <w:snapToGrid w:val="0"/>
              <w:rPr>
                <w:i/>
                <w:spacing w:val="-8"/>
                <w:sz w:val="24"/>
                <w:szCs w:val="24"/>
              </w:rPr>
            </w:pPr>
            <w:r>
              <w:rPr>
                <w:i/>
                <w:spacing w:val="-8"/>
                <w:sz w:val="24"/>
                <w:szCs w:val="24"/>
              </w:rPr>
              <w:t>Сравнение</w:t>
            </w:r>
          </w:p>
        </w:tc>
      </w:tr>
      <w:tr w:rsidR="00286780" w:rsidRPr="00AC516B" w:rsidTr="000803FC">
        <w:trPr>
          <w:trHeight w:val="454"/>
        </w:trPr>
        <w:tc>
          <w:tcPr>
            <w:tcW w:w="1729" w:type="dxa"/>
            <w:tcMar>
              <w:left w:w="28" w:type="dxa"/>
              <w:right w:w="28" w:type="dxa"/>
            </w:tcMar>
          </w:tcPr>
          <w:p w:rsidR="00286780" w:rsidRPr="00D15BFE" w:rsidRDefault="00286780" w:rsidP="00FA7C6C">
            <w:pPr>
              <w:snapToGrid w:val="0"/>
              <w:jc w:val="center"/>
              <w:rPr>
                <w:spacing w:val="-8"/>
                <w:sz w:val="24"/>
                <w:szCs w:val="24"/>
              </w:rPr>
            </w:pPr>
            <w:r w:rsidRPr="00D15BFE">
              <w:rPr>
                <w:spacing w:val="-8"/>
                <w:sz w:val="24"/>
                <w:szCs w:val="24"/>
              </w:rPr>
              <w:t xml:space="preserve">3. </w:t>
            </w:r>
          </w:p>
        </w:tc>
        <w:tc>
          <w:tcPr>
            <w:tcW w:w="1560" w:type="dxa"/>
            <w:tcMar>
              <w:left w:w="28" w:type="dxa"/>
              <w:right w:w="28" w:type="dxa"/>
            </w:tcMar>
          </w:tcPr>
          <w:p w:rsidR="00286780" w:rsidRPr="00D15BFE" w:rsidRDefault="00286780" w:rsidP="00FA7C6C">
            <w:pPr>
              <w:snapToGrid w:val="0"/>
              <w:jc w:val="center"/>
              <w:rPr>
                <w:spacing w:val="-8"/>
                <w:sz w:val="24"/>
                <w:szCs w:val="24"/>
              </w:rPr>
            </w:pPr>
            <w:r w:rsidRPr="00D15BFE">
              <w:rPr>
                <w:spacing w:val="-8"/>
                <w:sz w:val="24"/>
                <w:szCs w:val="24"/>
              </w:rPr>
              <w:t xml:space="preserve">Контрольная </w:t>
            </w:r>
            <w:r>
              <w:rPr>
                <w:spacing w:val="-8"/>
                <w:sz w:val="24"/>
                <w:szCs w:val="24"/>
              </w:rPr>
              <w:t>под</w:t>
            </w:r>
            <w:r w:rsidRPr="00D15BFE">
              <w:rPr>
                <w:spacing w:val="-8"/>
                <w:sz w:val="24"/>
                <w:szCs w:val="24"/>
              </w:rPr>
              <w:t>группа № 3</w:t>
            </w:r>
          </w:p>
        </w:tc>
        <w:tc>
          <w:tcPr>
            <w:tcW w:w="1701" w:type="dxa"/>
            <w:tcMar>
              <w:left w:w="28" w:type="dxa"/>
              <w:right w:w="28" w:type="dxa"/>
            </w:tcMar>
          </w:tcPr>
          <w:p w:rsidR="00286780" w:rsidRPr="00D15BFE" w:rsidRDefault="00286780" w:rsidP="00FA7C6C">
            <w:pPr>
              <w:snapToGrid w:val="0"/>
              <w:jc w:val="center"/>
              <w:rPr>
                <w:spacing w:val="-8"/>
                <w:sz w:val="24"/>
                <w:szCs w:val="24"/>
              </w:rPr>
            </w:pPr>
            <w:r w:rsidRPr="00D15BFE">
              <w:rPr>
                <w:spacing w:val="-8"/>
                <w:sz w:val="24"/>
                <w:szCs w:val="24"/>
              </w:rPr>
              <w:t>30</w:t>
            </w:r>
          </w:p>
        </w:tc>
        <w:tc>
          <w:tcPr>
            <w:tcW w:w="1701" w:type="dxa"/>
            <w:tcMar>
              <w:left w:w="28" w:type="dxa"/>
              <w:right w:w="28" w:type="dxa"/>
            </w:tcMar>
          </w:tcPr>
          <w:p w:rsidR="00286780" w:rsidRPr="00D15BFE" w:rsidRDefault="00286780" w:rsidP="00FA7C6C">
            <w:pPr>
              <w:snapToGrid w:val="0"/>
              <w:jc w:val="both"/>
              <w:rPr>
                <w:spacing w:val="-8"/>
                <w:sz w:val="24"/>
                <w:szCs w:val="24"/>
              </w:rPr>
            </w:pPr>
            <w:r w:rsidRPr="00D15BFE">
              <w:rPr>
                <w:spacing w:val="-8"/>
                <w:sz w:val="24"/>
                <w:szCs w:val="24"/>
              </w:rPr>
              <w:t>30 пациентов КОКБ, отделение эндокринологии (2018</w:t>
            </w:r>
            <w:r>
              <w:rPr>
                <w:spacing w:val="-8"/>
                <w:sz w:val="24"/>
                <w:szCs w:val="24"/>
              </w:rPr>
              <w:t xml:space="preserve"> </w:t>
            </w:r>
            <w:r w:rsidRPr="00D15BFE">
              <w:rPr>
                <w:spacing w:val="-8"/>
                <w:sz w:val="24"/>
                <w:szCs w:val="24"/>
              </w:rPr>
              <w:t>г.)</w:t>
            </w:r>
          </w:p>
        </w:tc>
        <w:tc>
          <w:tcPr>
            <w:tcW w:w="1625" w:type="dxa"/>
            <w:tcMar>
              <w:left w:w="28" w:type="dxa"/>
              <w:right w:w="28" w:type="dxa"/>
            </w:tcMar>
          </w:tcPr>
          <w:p w:rsidR="00286780" w:rsidRPr="00D15BFE" w:rsidRDefault="00286780" w:rsidP="00FA7C6C">
            <w:pPr>
              <w:snapToGrid w:val="0"/>
              <w:jc w:val="both"/>
              <w:rPr>
                <w:spacing w:val="-8"/>
                <w:sz w:val="24"/>
                <w:szCs w:val="24"/>
              </w:rPr>
            </w:pPr>
            <w:r w:rsidRPr="00D15BFE">
              <w:rPr>
                <w:spacing w:val="-8"/>
                <w:sz w:val="24"/>
                <w:szCs w:val="24"/>
              </w:rPr>
              <w:t>Пациенты с сахарным диабетом</w:t>
            </w:r>
          </w:p>
        </w:tc>
        <w:tc>
          <w:tcPr>
            <w:tcW w:w="1663" w:type="dxa"/>
            <w:tcMar>
              <w:left w:w="28" w:type="dxa"/>
              <w:right w:w="28" w:type="dxa"/>
            </w:tcMar>
          </w:tcPr>
          <w:p w:rsidR="00286780" w:rsidRPr="00D15BFE" w:rsidRDefault="00286780" w:rsidP="00FA7C6C">
            <w:pPr>
              <w:snapToGrid w:val="0"/>
              <w:jc w:val="center"/>
              <w:rPr>
                <w:spacing w:val="-8"/>
                <w:sz w:val="24"/>
                <w:szCs w:val="24"/>
              </w:rPr>
            </w:pPr>
            <w:r>
              <w:rPr>
                <w:spacing w:val="-8"/>
                <w:sz w:val="24"/>
                <w:szCs w:val="24"/>
              </w:rPr>
              <w:t>Подг</w:t>
            </w:r>
            <w:r w:rsidRPr="00D15BFE">
              <w:rPr>
                <w:spacing w:val="-8"/>
                <w:sz w:val="24"/>
                <w:szCs w:val="24"/>
              </w:rPr>
              <w:t>руппа № 3</w:t>
            </w:r>
          </w:p>
        </w:tc>
      </w:tr>
      <w:tr w:rsidR="00286780" w:rsidRPr="00AC516B" w:rsidTr="000803FC">
        <w:trPr>
          <w:trHeight w:val="454"/>
        </w:trPr>
        <w:tc>
          <w:tcPr>
            <w:tcW w:w="1729" w:type="dxa"/>
            <w:tcMar>
              <w:left w:w="28" w:type="dxa"/>
              <w:right w:w="28" w:type="dxa"/>
            </w:tcMar>
          </w:tcPr>
          <w:p w:rsidR="00286780" w:rsidRPr="00D15BFE" w:rsidRDefault="00286780" w:rsidP="00FA7C6C">
            <w:pPr>
              <w:snapToGrid w:val="0"/>
              <w:jc w:val="center"/>
              <w:rPr>
                <w:spacing w:val="-8"/>
                <w:sz w:val="24"/>
                <w:szCs w:val="24"/>
              </w:rPr>
            </w:pPr>
            <w:r w:rsidRPr="00D15BFE">
              <w:rPr>
                <w:spacing w:val="-8"/>
                <w:sz w:val="24"/>
                <w:szCs w:val="24"/>
              </w:rPr>
              <w:t>4.</w:t>
            </w:r>
          </w:p>
        </w:tc>
        <w:tc>
          <w:tcPr>
            <w:tcW w:w="1560" w:type="dxa"/>
            <w:tcMar>
              <w:left w:w="28" w:type="dxa"/>
              <w:right w:w="28" w:type="dxa"/>
            </w:tcMar>
          </w:tcPr>
          <w:p w:rsidR="00286780" w:rsidRPr="00D15BFE" w:rsidRDefault="00286780" w:rsidP="00FA7C6C">
            <w:pPr>
              <w:snapToGrid w:val="0"/>
              <w:jc w:val="center"/>
              <w:rPr>
                <w:spacing w:val="-8"/>
                <w:sz w:val="24"/>
                <w:szCs w:val="24"/>
              </w:rPr>
            </w:pPr>
            <w:r w:rsidRPr="00D15BFE">
              <w:rPr>
                <w:spacing w:val="-8"/>
                <w:sz w:val="24"/>
                <w:szCs w:val="24"/>
              </w:rPr>
              <w:t xml:space="preserve">Контрольная </w:t>
            </w:r>
            <w:r>
              <w:rPr>
                <w:spacing w:val="-8"/>
                <w:sz w:val="24"/>
                <w:szCs w:val="24"/>
              </w:rPr>
              <w:t>под</w:t>
            </w:r>
            <w:r w:rsidRPr="00D15BFE">
              <w:rPr>
                <w:spacing w:val="-8"/>
                <w:sz w:val="24"/>
                <w:szCs w:val="24"/>
              </w:rPr>
              <w:t>группа № 1а</w:t>
            </w:r>
          </w:p>
        </w:tc>
        <w:tc>
          <w:tcPr>
            <w:tcW w:w="1701" w:type="dxa"/>
            <w:tcMar>
              <w:left w:w="28" w:type="dxa"/>
              <w:right w:w="28" w:type="dxa"/>
            </w:tcMar>
          </w:tcPr>
          <w:p w:rsidR="00286780" w:rsidRPr="00D15BFE" w:rsidRDefault="00286780" w:rsidP="00FA7C6C">
            <w:pPr>
              <w:snapToGrid w:val="0"/>
              <w:jc w:val="center"/>
              <w:rPr>
                <w:spacing w:val="-8"/>
                <w:sz w:val="24"/>
                <w:szCs w:val="24"/>
              </w:rPr>
            </w:pPr>
            <w:r w:rsidRPr="00D15BFE">
              <w:rPr>
                <w:spacing w:val="-8"/>
                <w:sz w:val="24"/>
                <w:szCs w:val="24"/>
              </w:rPr>
              <w:t>25</w:t>
            </w:r>
          </w:p>
        </w:tc>
        <w:tc>
          <w:tcPr>
            <w:tcW w:w="1701" w:type="dxa"/>
            <w:tcMar>
              <w:left w:w="28" w:type="dxa"/>
              <w:right w:w="28" w:type="dxa"/>
            </w:tcMar>
          </w:tcPr>
          <w:p w:rsidR="00286780" w:rsidRPr="00D15BFE" w:rsidRDefault="00286780" w:rsidP="00FA7C6C">
            <w:pPr>
              <w:snapToGrid w:val="0"/>
              <w:jc w:val="both"/>
              <w:rPr>
                <w:spacing w:val="-8"/>
                <w:sz w:val="24"/>
                <w:szCs w:val="24"/>
              </w:rPr>
            </w:pPr>
            <w:r w:rsidRPr="00D15BFE">
              <w:rPr>
                <w:spacing w:val="-8"/>
                <w:sz w:val="24"/>
                <w:szCs w:val="24"/>
              </w:rPr>
              <w:t>25 пациентов, наблюдаемых в городской поликлинике № 1, г. Курск (2018</w:t>
            </w:r>
            <w:r>
              <w:rPr>
                <w:spacing w:val="-8"/>
                <w:sz w:val="24"/>
                <w:szCs w:val="24"/>
              </w:rPr>
              <w:t xml:space="preserve"> </w:t>
            </w:r>
            <w:r w:rsidRPr="00D15BFE">
              <w:rPr>
                <w:spacing w:val="-8"/>
                <w:sz w:val="24"/>
                <w:szCs w:val="24"/>
              </w:rPr>
              <w:t>г.)</w:t>
            </w:r>
          </w:p>
        </w:tc>
        <w:tc>
          <w:tcPr>
            <w:tcW w:w="1625" w:type="dxa"/>
            <w:tcMar>
              <w:left w:w="28" w:type="dxa"/>
              <w:right w:w="28" w:type="dxa"/>
            </w:tcMar>
          </w:tcPr>
          <w:p w:rsidR="00286780" w:rsidRPr="00D15BFE" w:rsidRDefault="00286780" w:rsidP="00FA7C6C">
            <w:pPr>
              <w:snapToGrid w:val="0"/>
              <w:jc w:val="both"/>
              <w:rPr>
                <w:spacing w:val="-8"/>
                <w:sz w:val="24"/>
                <w:szCs w:val="24"/>
              </w:rPr>
            </w:pPr>
            <w:r w:rsidRPr="00D15BFE">
              <w:rPr>
                <w:spacing w:val="-8"/>
                <w:sz w:val="24"/>
                <w:szCs w:val="24"/>
              </w:rPr>
              <w:t>Пациенты с хронической патологией сердечно-сосудистой системы</w:t>
            </w:r>
          </w:p>
        </w:tc>
        <w:tc>
          <w:tcPr>
            <w:tcW w:w="1663" w:type="dxa"/>
            <w:tcMar>
              <w:left w:w="28" w:type="dxa"/>
              <w:right w:w="28" w:type="dxa"/>
            </w:tcMar>
          </w:tcPr>
          <w:p w:rsidR="00286780" w:rsidRPr="00D15BFE" w:rsidRDefault="00286780" w:rsidP="00FA7C6C">
            <w:pPr>
              <w:snapToGrid w:val="0"/>
              <w:jc w:val="center"/>
              <w:rPr>
                <w:spacing w:val="-8"/>
                <w:sz w:val="24"/>
                <w:szCs w:val="24"/>
              </w:rPr>
            </w:pPr>
            <w:r>
              <w:rPr>
                <w:spacing w:val="-8"/>
                <w:sz w:val="24"/>
                <w:szCs w:val="24"/>
              </w:rPr>
              <w:t>Подг</w:t>
            </w:r>
            <w:r w:rsidRPr="00D15BFE">
              <w:rPr>
                <w:spacing w:val="-8"/>
                <w:sz w:val="24"/>
                <w:szCs w:val="24"/>
              </w:rPr>
              <w:t>руппа № 1а</w:t>
            </w:r>
          </w:p>
        </w:tc>
      </w:tr>
      <w:tr w:rsidR="00286780" w:rsidRPr="00AC516B" w:rsidTr="000803FC">
        <w:trPr>
          <w:trHeight w:val="454"/>
        </w:trPr>
        <w:tc>
          <w:tcPr>
            <w:tcW w:w="1729" w:type="dxa"/>
            <w:tcMar>
              <w:left w:w="28" w:type="dxa"/>
              <w:right w:w="28" w:type="dxa"/>
            </w:tcMar>
            <w:vAlign w:val="center"/>
          </w:tcPr>
          <w:p w:rsidR="00286780" w:rsidRPr="00D15BFE" w:rsidRDefault="00286780" w:rsidP="00FA7C6C">
            <w:pPr>
              <w:snapToGrid w:val="0"/>
              <w:jc w:val="both"/>
              <w:rPr>
                <w:spacing w:val="-8"/>
                <w:sz w:val="24"/>
                <w:szCs w:val="24"/>
              </w:rPr>
            </w:pPr>
            <w:r w:rsidRPr="00D15BFE">
              <w:rPr>
                <w:spacing w:val="-8"/>
                <w:sz w:val="24"/>
                <w:szCs w:val="24"/>
              </w:rPr>
              <w:t>Всего пациентов с хронической патологией без МФОИ</w:t>
            </w:r>
          </w:p>
        </w:tc>
        <w:tc>
          <w:tcPr>
            <w:tcW w:w="1560" w:type="dxa"/>
            <w:tcMar>
              <w:left w:w="28" w:type="dxa"/>
              <w:right w:w="28" w:type="dxa"/>
            </w:tcMar>
            <w:vAlign w:val="center"/>
          </w:tcPr>
          <w:p w:rsidR="00286780" w:rsidRPr="00D15BFE" w:rsidRDefault="00286780" w:rsidP="00FA7C6C">
            <w:pPr>
              <w:snapToGrid w:val="0"/>
              <w:jc w:val="center"/>
              <w:rPr>
                <w:spacing w:val="-8"/>
                <w:sz w:val="24"/>
                <w:szCs w:val="24"/>
              </w:rPr>
            </w:pPr>
            <w:r w:rsidRPr="00D15BFE">
              <w:rPr>
                <w:spacing w:val="-8"/>
                <w:sz w:val="24"/>
                <w:szCs w:val="24"/>
              </w:rPr>
              <w:t>113</w:t>
            </w:r>
          </w:p>
        </w:tc>
        <w:tc>
          <w:tcPr>
            <w:tcW w:w="1701" w:type="dxa"/>
            <w:tcMar>
              <w:left w:w="28" w:type="dxa"/>
              <w:right w:w="28" w:type="dxa"/>
            </w:tcMar>
            <w:vAlign w:val="center"/>
          </w:tcPr>
          <w:p w:rsidR="00286780" w:rsidRPr="00D15BFE" w:rsidRDefault="00286780" w:rsidP="00FA7C6C">
            <w:pPr>
              <w:snapToGrid w:val="0"/>
              <w:jc w:val="center"/>
              <w:rPr>
                <w:spacing w:val="-8"/>
                <w:sz w:val="24"/>
                <w:szCs w:val="24"/>
              </w:rPr>
            </w:pPr>
            <w:r w:rsidRPr="00D15BFE">
              <w:rPr>
                <w:spacing w:val="-8"/>
                <w:sz w:val="24"/>
                <w:szCs w:val="24"/>
              </w:rPr>
              <w:t>–</w:t>
            </w:r>
          </w:p>
        </w:tc>
        <w:tc>
          <w:tcPr>
            <w:tcW w:w="1701" w:type="dxa"/>
            <w:tcMar>
              <w:left w:w="28" w:type="dxa"/>
              <w:right w:w="28" w:type="dxa"/>
            </w:tcMar>
            <w:vAlign w:val="center"/>
          </w:tcPr>
          <w:p w:rsidR="00286780" w:rsidRPr="00D15BFE" w:rsidRDefault="00286780" w:rsidP="00FA7C6C">
            <w:pPr>
              <w:snapToGrid w:val="0"/>
              <w:jc w:val="center"/>
              <w:rPr>
                <w:spacing w:val="-8"/>
                <w:sz w:val="24"/>
                <w:szCs w:val="24"/>
              </w:rPr>
            </w:pPr>
            <w:r w:rsidRPr="00D15BFE">
              <w:rPr>
                <w:spacing w:val="-8"/>
                <w:sz w:val="24"/>
                <w:szCs w:val="24"/>
              </w:rPr>
              <w:t>–</w:t>
            </w:r>
          </w:p>
        </w:tc>
        <w:tc>
          <w:tcPr>
            <w:tcW w:w="3288" w:type="dxa"/>
            <w:gridSpan w:val="2"/>
            <w:tcMar>
              <w:left w:w="28" w:type="dxa"/>
              <w:right w:w="28" w:type="dxa"/>
            </w:tcMar>
            <w:vAlign w:val="center"/>
          </w:tcPr>
          <w:p w:rsidR="00286780" w:rsidRPr="00D15BFE" w:rsidRDefault="00286780" w:rsidP="00FA7C6C">
            <w:pPr>
              <w:snapToGrid w:val="0"/>
              <w:jc w:val="center"/>
              <w:rPr>
                <w:spacing w:val="-8"/>
                <w:sz w:val="24"/>
                <w:szCs w:val="24"/>
              </w:rPr>
            </w:pPr>
            <w:r w:rsidRPr="00D15BFE">
              <w:rPr>
                <w:spacing w:val="-8"/>
                <w:sz w:val="24"/>
                <w:szCs w:val="24"/>
              </w:rPr>
              <w:t>–</w:t>
            </w:r>
          </w:p>
        </w:tc>
      </w:tr>
      <w:tr w:rsidR="00286780" w:rsidRPr="00AC516B" w:rsidTr="000803FC">
        <w:trPr>
          <w:trHeight w:val="454"/>
        </w:trPr>
        <w:tc>
          <w:tcPr>
            <w:tcW w:w="9979" w:type="dxa"/>
            <w:gridSpan w:val="6"/>
            <w:tcMar>
              <w:left w:w="28" w:type="dxa"/>
              <w:right w:w="28" w:type="dxa"/>
            </w:tcMar>
            <w:vAlign w:val="center"/>
          </w:tcPr>
          <w:p w:rsidR="00286780" w:rsidRPr="00D15BFE" w:rsidRDefault="00286780" w:rsidP="00FA7C6C">
            <w:pPr>
              <w:jc w:val="center"/>
              <w:rPr>
                <w:spacing w:val="-8"/>
                <w:sz w:val="24"/>
                <w:szCs w:val="24"/>
              </w:rPr>
            </w:pPr>
            <w:r w:rsidRPr="00D15BFE">
              <w:rPr>
                <w:spacing w:val="-8"/>
                <w:sz w:val="24"/>
                <w:szCs w:val="24"/>
              </w:rPr>
              <w:t>Пациенты с МФОИ без хронических заболеваний</w:t>
            </w:r>
          </w:p>
        </w:tc>
      </w:tr>
      <w:tr w:rsidR="00286780" w:rsidRPr="00AC516B" w:rsidTr="000803FC">
        <w:trPr>
          <w:trHeight w:val="454"/>
        </w:trPr>
        <w:tc>
          <w:tcPr>
            <w:tcW w:w="1729" w:type="dxa"/>
            <w:tcMar>
              <w:left w:w="28" w:type="dxa"/>
              <w:right w:w="28" w:type="dxa"/>
            </w:tcMar>
          </w:tcPr>
          <w:p w:rsidR="00286780" w:rsidRPr="00D15BFE" w:rsidRDefault="00286780" w:rsidP="00FA7C6C">
            <w:pPr>
              <w:snapToGrid w:val="0"/>
              <w:jc w:val="center"/>
              <w:rPr>
                <w:spacing w:val="-8"/>
                <w:sz w:val="24"/>
                <w:szCs w:val="24"/>
              </w:rPr>
            </w:pPr>
            <w:r w:rsidRPr="00D15BFE">
              <w:rPr>
                <w:spacing w:val="-8"/>
                <w:sz w:val="24"/>
                <w:szCs w:val="24"/>
              </w:rPr>
              <w:t>4.</w:t>
            </w:r>
          </w:p>
        </w:tc>
        <w:tc>
          <w:tcPr>
            <w:tcW w:w="1560" w:type="dxa"/>
            <w:tcMar>
              <w:left w:w="28" w:type="dxa"/>
              <w:right w:w="28" w:type="dxa"/>
            </w:tcMar>
          </w:tcPr>
          <w:p w:rsidR="00286780" w:rsidRPr="00D15BFE" w:rsidRDefault="00286780" w:rsidP="00FA7C6C">
            <w:pPr>
              <w:snapToGrid w:val="0"/>
              <w:jc w:val="both"/>
              <w:rPr>
                <w:spacing w:val="-8"/>
                <w:sz w:val="24"/>
                <w:szCs w:val="24"/>
              </w:rPr>
            </w:pPr>
            <w:r>
              <w:rPr>
                <w:spacing w:val="-8"/>
                <w:sz w:val="24"/>
                <w:szCs w:val="24"/>
              </w:rPr>
              <w:t>Подгруппа</w:t>
            </w:r>
            <w:r w:rsidRPr="00D15BFE">
              <w:rPr>
                <w:spacing w:val="-8"/>
                <w:sz w:val="24"/>
                <w:szCs w:val="24"/>
              </w:rPr>
              <w:t xml:space="preserve"> пациентов с МФОИ без хронической патологии</w:t>
            </w:r>
          </w:p>
        </w:tc>
        <w:tc>
          <w:tcPr>
            <w:tcW w:w="1701" w:type="dxa"/>
            <w:tcMar>
              <w:left w:w="28" w:type="dxa"/>
              <w:right w:w="28" w:type="dxa"/>
            </w:tcMar>
          </w:tcPr>
          <w:p w:rsidR="00286780" w:rsidRPr="00D15BFE" w:rsidRDefault="00286780" w:rsidP="00FA7C6C">
            <w:pPr>
              <w:snapToGrid w:val="0"/>
              <w:jc w:val="center"/>
              <w:rPr>
                <w:spacing w:val="-8"/>
                <w:sz w:val="24"/>
                <w:szCs w:val="24"/>
              </w:rPr>
            </w:pPr>
            <w:r w:rsidRPr="00D15BFE">
              <w:rPr>
                <w:spacing w:val="-8"/>
                <w:sz w:val="24"/>
                <w:szCs w:val="24"/>
              </w:rPr>
              <w:t>312</w:t>
            </w:r>
          </w:p>
        </w:tc>
        <w:tc>
          <w:tcPr>
            <w:tcW w:w="1701" w:type="dxa"/>
            <w:tcMar>
              <w:left w:w="28" w:type="dxa"/>
              <w:right w:w="28" w:type="dxa"/>
            </w:tcMar>
          </w:tcPr>
          <w:p w:rsidR="00286780" w:rsidRPr="00D15BFE" w:rsidRDefault="00286780" w:rsidP="00FA7C6C">
            <w:pPr>
              <w:snapToGrid w:val="0"/>
              <w:jc w:val="both"/>
              <w:rPr>
                <w:spacing w:val="-8"/>
                <w:sz w:val="24"/>
                <w:szCs w:val="24"/>
              </w:rPr>
            </w:pPr>
            <w:r w:rsidRPr="00D15BFE">
              <w:rPr>
                <w:spacing w:val="-8"/>
                <w:sz w:val="24"/>
                <w:szCs w:val="24"/>
              </w:rPr>
              <w:t>312 пациентов КОКБ, отделение челюстно-лицевой хирургии (2000–2010 гг., 2012–2015</w:t>
            </w:r>
            <w:r>
              <w:rPr>
                <w:spacing w:val="-8"/>
                <w:sz w:val="24"/>
                <w:szCs w:val="24"/>
              </w:rPr>
              <w:t xml:space="preserve"> </w:t>
            </w:r>
            <w:r w:rsidRPr="00D15BFE">
              <w:rPr>
                <w:spacing w:val="-8"/>
                <w:sz w:val="24"/>
                <w:szCs w:val="24"/>
              </w:rPr>
              <w:t xml:space="preserve"> гг.)</w:t>
            </w:r>
          </w:p>
        </w:tc>
        <w:tc>
          <w:tcPr>
            <w:tcW w:w="1625" w:type="dxa"/>
            <w:tcMar>
              <w:left w:w="28" w:type="dxa"/>
              <w:right w:w="28" w:type="dxa"/>
            </w:tcMar>
          </w:tcPr>
          <w:p w:rsidR="00286780" w:rsidRPr="00D15BFE" w:rsidRDefault="00286780" w:rsidP="00FA7C6C">
            <w:pPr>
              <w:snapToGrid w:val="0"/>
              <w:jc w:val="both"/>
              <w:rPr>
                <w:spacing w:val="-8"/>
                <w:sz w:val="24"/>
                <w:szCs w:val="24"/>
              </w:rPr>
            </w:pPr>
            <w:r w:rsidRPr="00D15BFE">
              <w:rPr>
                <w:spacing w:val="-8"/>
                <w:sz w:val="24"/>
                <w:szCs w:val="24"/>
              </w:rPr>
              <w:t>Пациенты с МФОИ без хронической патологии внутренних органов</w:t>
            </w:r>
          </w:p>
        </w:tc>
        <w:tc>
          <w:tcPr>
            <w:tcW w:w="1663" w:type="dxa"/>
            <w:tcMar>
              <w:left w:w="28" w:type="dxa"/>
              <w:right w:w="28" w:type="dxa"/>
            </w:tcMar>
          </w:tcPr>
          <w:p w:rsidR="00286780" w:rsidRPr="00D15BFE" w:rsidRDefault="00286780" w:rsidP="00FA7C6C">
            <w:pPr>
              <w:snapToGrid w:val="0"/>
              <w:jc w:val="both"/>
              <w:rPr>
                <w:spacing w:val="-8"/>
                <w:sz w:val="24"/>
                <w:szCs w:val="24"/>
              </w:rPr>
            </w:pPr>
            <w:r w:rsidRPr="00D15BFE">
              <w:rPr>
                <w:spacing w:val="-8"/>
                <w:sz w:val="24"/>
                <w:szCs w:val="24"/>
              </w:rPr>
              <w:t xml:space="preserve">Отсутствуют, так как </w:t>
            </w:r>
            <w:r>
              <w:rPr>
                <w:spacing w:val="-8"/>
                <w:sz w:val="24"/>
                <w:szCs w:val="24"/>
              </w:rPr>
              <w:t>под</w:t>
            </w:r>
            <w:r w:rsidRPr="00D15BFE">
              <w:rPr>
                <w:spacing w:val="-8"/>
                <w:sz w:val="24"/>
                <w:szCs w:val="24"/>
              </w:rPr>
              <w:t>группа несопоставима с другими группами по возрастно-половым характеристикам</w:t>
            </w:r>
          </w:p>
        </w:tc>
      </w:tr>
      <w:tr w:rsidR="00286780" w:rsidRPr="00AC516B" w:rsidTr="000803FC">
        <w:trPr>
          <w:trHeight w:val="454"/>
        </w:trPr>
        <w:tc>
          <w:tcPr>
            <w:tcW w:w="1729" w:type="dxa"/>
            <w:tcMar>
              <w:left w:w="28" w:type="dxa"/>
              <w:right w:w="28" w:type="dxa"/>
            </w:tcMar>
          </w:tcPr>
          <w:p w:rsidR="00286780" w:rsidRPr="00D15BFE" w:rsidRDefault="00286780" w:rsidP="00FA7C6C">
            <w:pPr>
              <w:snapToGrid w:val="0"/>
              <w:jc w:val="both"/>
              <w:rPr>
                <w:spacing w:val="-8"/>
                <w:sz w:val="24"/>
                <w:szCs w:val="24"/>
              </w:rPr>
            </w:pPr>
            <w:r w:rsidRPr="00D15BFE">
              <w:rPr>
                <w:spacing w:val="-8"/>
                <w:sz w:val="24"/>
                <w:szCs w:val="24"/>
              </w:rPr>
              <w:t>Всего пациентов с МФОИ без хронической патологии</w:t>
            </w:r>
          </w:p>
        </w:tc>
        <w:tc>
          <w:tcPr>
            <w:tcW w:w="1560" w:type="dxa"/>
            <w:tcMar>
              <w:left w:w="28" w:type="dxa"/>
              <w:right w:w="28" w:type="dxa"/>
            </w:tcMar>
            <w:vAlign w:val="center"/>
          </w:tcPr>
          <w:p w:rsidR="00286780" w:rsidRPr="00D15BFE" w:rsidRDefault="00286780" w:rsidP="00FA7C6C">
            <w:pPr>
              <w:snapToGrid w:val="0"/>
              <w:jc w:val="center"/>
              <w:rPr>
                <w:spacing w:val="-8"/>
                <w:sz w:val="24"/>
                <w:szCs w:val="24"/>
              </w:rPr>
            </w:pPr>
            <w:r w:rsidRPr="00D15BFE">
              <w:rPr>
                <w:spacing w:val="-8"/>
                <w:sz w:val="24"/>
                <w:szCs w:val="24"/>
              </w:rPr>
              <w:t>312</w:t>
            </w:r>
          </w:p>
        </w:tc>
        <w:tc>
          <w:tcPr>
            <w:tcW w:w="1701" w:type="dxa"/>
            <w:tcMar>
              <w:left w:w="28" w:type="dxa"/>
              <w:right w:w="28" w:type="dxa"/>
            </w:tcMar>
            <w:vAlign w:val="center"/>
          </w:tcPr>
          <w:p w:rsidR="00286780" w:rsidRPr="00D15BFE" w:rsidRDefault="00286780" w:rsidP="00FA7C6C">
            <w:pPr>
              <w:snapToGrid w:val="0"/>
              <w:jc w:val="center"/>
              <w:rPr>
                <w:spacing w:val="-8"/>
                <w:sz w:val="24"/>
                <w:szCs w:val="24"/>
                <w:lang w:val="en-US"/>
              </w:rPr>
            </w:pPr>
            <w:r w:rsidRPr="00D15BFE">
              <w:rPr>
                <w:spacing w:val="-8"/>
                <w:sz w:val="24"/>
                <w:szCs w:val="24"/>
                <w:lang w:val="en-US"/>
              </w:rPr>
              <w:t>–</w:t>
            </w:r>
          </w:p>
        </w:tc>
        <w:tc>
          <w:tcPr>
            <w:tcW w:w="1701" w:type="dxa"/>
            <w:tcMar>
              <w:left w:w="28" w:type="dxa"/>
              <w:right w:w="28" w:type="dxa"/>
            </w:tcMar>
            <w:vAlign w:val="center"/>
          </w:tcPr>
          <w:p w:rsidR="00286780" w:rsidRPr="00D15BFE" w:rsidRDefault="00286780" w:rsidP="00FA7C6C">
            <w:pPr>
              <w:snapToGrid w:val="0"/>
              <w:jc w:val="center"/>
              <w:rPr>
                <w:spacing w:val="-8"/>
                <w:sz w:val="24"/>
                <w:szCs w:val="24"/>
                <w:lang w:val="en-US"/>
              </w:rPr>
            </w:pPr>
            <w:r w:rsidRPr="00D15BFE">
              <w:rPr>
                <w:spacing w:val="-8"/>
                <w:sz w:val="24"/>
                <w:szCs w:val="24"/>
                <w:lang w:val="en-US"/>
              </w:rPr>
              <w:t>–</w:t>
            </w:r>
          </w:p>
        </w:tc>
        <w:tc>
          <w:tcPr>
            <w:tcW w:w="3288" w:type="dxa"/>
            <w:gridSpan w:val="2"/>
            <w:tcMar>
              <w:left w:w="28" w:type="dxa"/>
              <w:right w:w="28" w:type="dxa"/>
            </w:tcMar>
            <w:vAlign w:val="center"/>
          </w:tcPr>
          <w:p w:rsidR="00286780" w:rsidRPr="00D15BFE" w:rsidRDefault="00286780" w:rsidP="00FA7C6C">
            <w:pPr>
              <w:snapToGrid w:val="0"/>
              <w:jc w:val="center"/>
              <w:rPr>
                <w:spacing w:val="-8"/>
                <w:sz w:val="24"/>
                <w:szCs w:val="24"/>
                <w:lang w:val="en-US"/>
              </w:rPr>
            </w:pPr>
            <w:r w:rsidRPr="00D15BFE">
              <w:rPr>
                <w:spacing w:val="-8"/>
                <w:sz w:val="24"/>
                <w:szCs w:val="24"/>
                <w:lang w:val="en-US"/>
              </w:rPr>
              <w:t>–</w:t>
            </w:r>
          </w:p>
        </w:tc>
      </w:tr>
      <w:tr w:rsidR="00286780" w:rsidRPr="00AC516B" w:rsidTr="000803FC">
        <w:trPr>
          <w:trHeight w:val="454"/>
        </w:trPr>
        <w:tc>
          <w:tcPr>
            <w:tcW w:w="9979" w:type="dxa"/>
            <w:gridSpan w:val="6"/>
            <w:tcMar>
              <w:left w:w="28" w:type="dxa"/>
              <w:right w:w="28" w:type="dxa"/>
            </w:tcMar>
            <w:vAlign w:val="center"/>
          </w:tcPr>
          <w:p w:rsidR="00286780" w:rsidRPr="00D15BFE" w:rsidRDefault="00286780" w:rsidP="00FA7C6C">
            <w:pPr>
              <w:jc w:val="center"/>
              <w:rPr>
                <w:spacing w:val="-8"/>
                <w:sz w:val="24"/>
                <w:szCs w:val="24"/>
              </w:rPr>
            </w:pPr>
            <w:r w:rsidRPr="00D15BFE">
              <w:rPr>
                <w:spacing w:val="-8"/>
                <w:sz w:val="24"/>
                <w:szCs w:val="24"/>
              </w:rPr>
              <w:t>Относительно здоровые индивиды</w:t>
            </w:r>
          </w:p>
        </w:tc>
      </w:tr>
      <w:tr w:rsidR="00286780" w:rsidRPr="00AC516B" w:rsidTr="000803FC">
        <w:trPr>
          <w:trHeight w:val="454"/>
        </w:trPr>
        <w:tc>
          <w:tcPr>
            <w:tcW w:w="1729" w:type="dxa"/>
            <w:tcMar>
              <w:left w:w="28" w:type="dxa"/>
              <w:right w:w="28" w:type="dxa"/>
            </w:tcMar>
          </w:tcPr>
          <w:p w:rsidR="00286780" w:rsidRPr="00D15BFE" w:rsidRDefault="00286780" w:rsidP="00FA7C6C">
            <w:pPr>
              <w:snapToGrid w:val="0"/>
              <w:jc w:val="center"/>
              <w:rPr>
                <w:spacing w:val="-8"/>
                <w:sz w:val="24"/>
                <w:szCs w:val="24"/>
              </w:rPr>
            </w:pPr>
            <w:r w:rsidRPr="00D15BFE">
              <w:rPr>
                <w:spacing w:val="-8"/>
                <w:sz w:val="24"/>
                <w:szCs w:val="24"/>
              </w:rPr>
              <w:t>6.</w:t>
            </w:r>
          </w:p>
        </w:tc>
        <w:tc>
          <w:tcPr>
            <w:tcW w:w="1560" w:type="dxa"/>
            <w:tcMar>
              <w:left w:w="28" w:type="dxa"/>
              <w:right w:w="28" w:type="dxa"/>
            </w:tcMar>
          </w:tcPr>
          <w:p w:rsidR="00286780" w:rsidRPr="00D15BFE" w:rsidRDefault="00286780" w:rsidP="00FA7C6C">
            <w:pPr>
              <w:snapToGrid w:val="0"/>
              <w:jc w:val="both"/>
              <w:rPr>
                <w:spacing w:val="-8"/>
                <w:sz w:val="24"/>
                <w:szCs w:val="24"/>
              </w:rPr>
            </w:pPr>
            <w:r w:rsidRPr="00D15BFE">
              <w:rPr>
                <w:spacing w:val="-8"/>
                <w:sz w:val="24"/>
                <w:szCs w:val="24"/>
              </w:rPr>
              <w:t xml:space="preserve">Контрольная </w:t>
            </w:r>
            <w:r>
              <w:rPr>
                <w:spacing w:val="-8"/>
                <w:sz w:val="24"/>
                <w:szCs w:val="24"/>
              </w:rPr>
              <w:t>под</w:t>
            </w:r>
            <w:r w:rsidRPr="00D15BFE">
              <w:rPr>
                <w:spacing w:val="-8"/>
                <w:sz w:val="24"/>
                <w:szCs w:val="24"/>
              </w:rPr>
              <w:t>группа относительно здоровых индивидов</w:t>
            </w:r>
          </w:p>
        </w:tc>
        <w:tc>
          <w:tcPr>
            <w:tcW w:w="1701" w:type="dxa"/>
            <w:tcMar>
              <w:left w:w="28" w:type="dxa"/>
              <w:right w:w="28" w:type="dxa"/>
            </w:tcMar>
          </w:tcPr>
          <w:p w:rsidR="00286780" w:rsidRPr="00D15BFE" w:rsidRDefault="00286780" w:rsidP="00FA7C6C">
            <w:pPr>
              <w:snapToGrid w:val="0"/>
              <w:jc w:val="both"/>
              <w:rPr>
                <w:spacing w:val="-8"/>
                <w:sz w:val="24"/>
                <w:szCs w:val="24"/>
              </w:rPr>
            </w:pPr>
            <w:r w:rsidRPr="00D15BFE">
              <w:rPr>
                <w:spacing w:val="-8"/>
                <w:sz w:val="24"/>
                <w:szCs w:val="24"/>
              </w:rPr>
              <w:t>32</w:t>
            </w:r>
          </w:p>
        </w:tc>
        <w:tc>
          <w:tcPr>
            <w:tcW w:w="1701" w:type="dxa"/>
            <w:tcMar>
              <w:left w:w="28" w:type="dxa"/>
              <w:right w:w="28" w:type="dxa"/>
            </w:tcMar>
          </w:tcPr>
          <w:p w:rsidR="00286780" w:rsidRPr="00D15BFE" w:rsidRDefault="00286780" w:rsidP="00FA7C6C">
            <w:pPr>
              <w:snapToGrid w:val="0"/>
              <w:jc w:val="both"/>
              <w:rPr>
                <w:spacing w:val="-8"/>
                <w:sz w:val="24"/>
                <w:szCs w:val="24"/>
              </w:rPr>
            </w:pPr>
            <w:r w:rsidRPr="00D15BFE">
              <w:rPr>
                <w:spacing w:val="-8"/>
                <w:sz w:val="24"/>
                <w:szCs w:val="24"/>
              </w:rPr>
              <w:t>Медицинский персонал, студенты, практиканты</w:t>
            </w:r>
          </w:p>
        </w:tc>
        <w:tc>
          <w:tcPr>
            <w:tcW w:w="1625" w:type="dxa"/>
            <w:tcMar>
              <w:left w:w="28" w:type="dxa"/>
              <w:right w:w="28" w:type="dxa"/>
            </w:tcMar>
          </w:tcPr>
          <w:p w:rsidR="00286780" w:rsidRPr="00D15BFE" w:rsidRDefault="00286780" w:rsidP="00FA7C6C">
            <w:pPr>
              <w:snapToGrid w:val="0"/>
              <w:jc w:val="both"/>
              <w:rPr>
                <w:spacing w:val="-8"/>
                <w:sz w:val="24"/>
                <w:szCs w:val="24"/>
              </w:rPr>
            </w:pPr>
            <w:r w:rsidRPr="00D15BFE">
              <w:rPr>
                <w:spacing w:val="-8"/>
                <w:sz w:val="24"/>
                <w:szCs w:val="24"/>
              </w:rPr>
              <w:t>Индивиды без острой хирургической патологии, возможно наличие хронических заболеваний внутренних органов в стадии ремиссии</w:t>
            </w:r>
          </w:p>
        </w:tc>
        <w:tc>
          <w:tcPr>
            <w:tcW w:w="1663" w:type="dxa"/>
            <w:tcMar>
              <w:left w:w="28" w:type="dxa"/>
              <w:right w:w="28" w:type="dxa"/>
            </w:tcMar>
          </w:tcPr>
          <w:p w:rsidR="00286780" w:rsidRPr="00D15BFE" w:rsidRDefault="00286780" w:rsidP="00FA7C6C">
            <w:pPr>
              <w:snapToGrid w:val="0"/>
              <w:jc w:val="both"/>
              <w:rPr>
                <w:spacing w:val="-8"/>
                <w:sz w:val="24"/>
                <w:szCs w:val="24"/>
              </w:rPr>
            </w:pPr>
            <w:r>
              <w:rPr>
                <w:spacing w:val="-8"/>
                <w:sz w:val="24"/>
                <w:szCs w:val="24"/>
              </w:rPr>
              <w:t>Под</w:t>
            </w:r>
            <w:r w:rsidRPr="00D15BFE">
              <w:rPr>
                <w:spacing w:val="-8"/>
                <w:sz w:val="24"/>
                <w:szCs w:val="24"/>
              </w:rPr>
              <w:t>группы № 1–3, контрольная группа № 4</w:t>
            </w:r>
          </w:p>
        </w:tc>
      </w:tr>
      <w:tr w:rsidR="00286780" w:rsidRPr="00AC516B" w:rsidTr="000803FC">
        <w:trPr>
          <w:trHeight w:val="454"/>
        </w:trPr>
        <w:tc>
          <w:tcPr>
            <w:tcW w:w="9979" w:type="dxa"/>
            <w:gridSpan w:val="6"/>
            <w:tcMar>
              <w:left w:w="28" w:type="dxa"/>
              <w:right w:w="28" w:type="dxa"/>
            </w:tcMar>
            <w:vAlign w:val="center"/>
          </w:tcPr>
          <w:p w:rsidR="00286780" w:rsidRPr="00D15BFE" w:rsidRDefault="00286780" w:rsidP="00FA7C6C">
            <w:pPr>
              <w:jc w:val="center"/>
              <w:rPr>
                <w:spacing w:val="-8"/>
                <w:sz w:val="24"/>
                <w:szCs w:val="24"/>
              </w:rPr>
            </w:pPr>
            <w:r w:rsidRPr="00D15BFE">
              <w:rPr>
                <w:i/>
                <w:spacing w:val="-8"/>
                <w:sz w:val="24"/>
                <w:szCs w:val="24"/>
              </w:rPr>
              <w:t>Примечание</w:t>
            </w:r>
            <w:r w:rsidRPr="00D15BFE">
              <w:rPr>
                <w:spacing w:val="-8"/>
                <w:sz w:val="24"/>
                <w:szCs w:val="24"/>
              </w:rPr>
              <w:t>. КОКБ – Курская областная клиническая больница</w:t>
            </w:r>
          </w:p>
        </w:tc>
      </w:tr>
    </w:tbl>
    <w:p w:rsidR="00286780" w:rsidRDefault="00286780" w:rsidP="00BD2F93">
      <w:pPr>
        <w:spacing w:line="360" w:lineRule="auto"/>
        <w:jc w:val="both"/>
        <w:rPr>
          <w:spacing w:val="-8"/>
          <w:sz w:val="28"/>
          <w:szCs w:val="28"/>
          <w:lang w:eastAsia="en-US"/>
        </w:rPr>
      </w:pPr>
    </w:p>
    <w:p w:rsidR="00ED67A7" w:rsidRDefault="00286780" w:rsidP="00ED67A7">
      <w:pPr>
        <w:spacing w:line="360" w:lineRule="auto"/>
        <w:jc w:val="both"/>
        <w:rPr>
          <w:spacing w:val="-8"/>
          <w:sz w:val="28"/>
          <w:szCs w:val="28"/>
          <w:lang w:eastAsia="en-US"/>
        </w:rPr>
      </w:pPr>
      <w:r>
        <w:rPr>
          <w:spacing w:val="-8"/>
          <w:sz w:val="28"/>
          <w:szCs w:val="28"/>
          <w:lang w:eastAsia="en-US"/>
        </w:rPr>
        <w:t xml:space="preserve">В таблице 12 представлена информация о сопоставимости сравниваемых подгрупп пациентов с МФОИ в рамках </w:t>
      </w:r>
      <w:r>
        <w:rPr>
          <w:spacing w:val="-8"/>
          <w:sz w:val="28"/>
          <w:szCs w:val="28"/>
          <w:lang w:val="en-US" w:eastAsia="en-US"/>
        </w:rPr>
        <w:t>I</w:t>
      </w:r>
      <w:r>
        <w:rPr>
          <w:spacing w:val="-8"/>
          <w:sz w:val="28"/>
          <w:szCs w:val="28"/>
          <w:lang w:eastAsia="en-US"/>
        </w:rPr>
        <w:t xml:space="preserve"> блока исследований.</w:t>
      </w:r>
    </w:p>
    <w:p w:rsidR="00286780" w:rsidRDefault="00286780" w:rsidP="00ED67A7">
      <w:pPr>
        <w:spacing w:line="360" w:lineRule="auto"/>
        <w:jc w:val="both"/>
        <w:rPr>
          <w:spacing w:val="-8"/>
          <w:sz w:val="28"/>
          <w:szCs w:val="28"/>
          <w:lang w:eastAsia="en-US"/>
        </w:rPr>
      </w:pPr>
      <w:r>
        <w:rPr>
          <w:spacing w:val="-8"/>
          <w:sz w:val="28"/>
          <w:szCs w:val="28"/>
          <w:lang w:eastAsia="en-US"/>
        </w:rPr>
        <w:br w:type="page"/>
      </w:r>
      <w:r w:rsidRPr="00D971AF">
        <w:rPr>
          <w:b/>
          <w:spacing w:val="-8"/>
          <w:sz w:val="28"/>
          <w:szCs w:val="28"/>
          <w:lang w:eastAsia="en-US"/>
        </w:rPr>
        <w:lastRenderedPageBreak/>
        <w:t>Таблица 12 -</w:t>
      </w:r>
      <w:r>
        <w:rPr>
          <w:spacing w:val="-8"/>
          <w:sz w:val="28"/>
          <w:szCs w:val="28"/>
          <w:lang w:eastAsia="en-US"/>
        </w:rPr>
        <w:t xml:space="preserve"> Сопоставимость сравниваемых подгрупп по некоторым признакам</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1729"/>
        <w:gridCol w:w="2015"/>
        <w:gridCol w:w="2756"/>
        <w:gridCol w:w="1600"/>
      </w:tblGrid>
      <w:tr w:rsidR="00286780" w:rsidRPr="00246190" w:rsidTr="00FA7C6C">
        <w:trPr>
          <w:trHeight w:val="917"/>
        </w:trPr>
        <w:tc>
          <w:tcPr>
            <w:tcW w:w="1728" w:type="dxa"/>
            <w:tcMar>
              <w:left w:w="28" w:type="dxa"/>
              <w:right w:w="28" w:type="dxa"/>
            </w:tcMar>
          </w:tcPr>
          <w:p w:rsidR="00286780" w:rsidRPr="008D2AE7" w:rsidRDefault="00286780" w:rsidP="00FA7C6C">
            <w:pPr>
              <w:snapToGrid w:val="0"/>
              <w:jc w:val="center"/>
              <w:rPr>
                <w:sz w:val="22"/>
                <w:szCs w:val="22"/>
              </w:rPr>
            </w:pPr>
            <w:r w:rsidRPr="008D2AE7">
              <w:rPr>
                <w:sz w:val="22"/>
                <w:szCs w:val="22"/>
              </w:rPr>
              <w:t>Признак</w:t>
            </w:r>
          </w:p>
        </w:tc>
        <w:tc>
          <w:tcPr>
            <w:tcW w:w="1729" w:type="dxa"/>
            <w:tcMar>
              <w:left w:w="28" w:type="dxa"/>
              <w:right w:w="28" w:type="dxa"/>
            </w:tcMar>
          </w:tcPr>
          <w:p w:rsidR="00286780" w:rsidRPr="008D2AE7" w:rsidRDefault="00286780" w:rsidP="00FA7C6C">
            <w:pPr>
              <w:snapToGrid w:val="0"/>
              <w:jc w:val="center"/>
              <w:rPr>
                <w:sz w:val="22"/>
                <w:szCs w:val="22"/>
              </w:rPr>
            </w:pPr>
            <w:r w:rsidRPr="008D2AE7">
              <w:rPr>
                <w:sz w:val="22"/>
                <w:szCs w:val="22"/>
              </w:rPr>
              <w:t>Подгруппы: значение признака</w:t>
            </w:r>
          </w:p>
        </w:tc>
        <w:tc>
          <w:tcPr>
            <w:tcW w:w="2015" w:type="dxa"/>
            <w:tcMar>
              <w:left w:w="28" w:type="dxa"/>
              <w:right w:w="28" w:type="dxa"/>
            </w:tcMar>
          </w:tcPr>
          <w:p w:rsidR="00286780" w:rsidRPr="008D2AE7" w:rsidRDefault="00286780" w:rsidP="00FA7C6C">
            <w:pPr>
              <w:snapToGrid w:val="0"/>
              <w:jc w:val="center"/>
              <w:rPr>
                <w:sz w:val="22"/>
                <w:szCs w:val="22"/>
              </w:rPr>
            </w:pPr>
            <w:r w:rsidRPr="008D2AE7">
              <w:rPr>
                <w:sz w:val="22"/>
                <w:szCs w:val="22"/>
              </w:rPr>
              <w:t>Контрольные подгруппы: значение признака</w:t>
            </w:r>
          </w:p>
        </w:tc>
        <w:tc>
          <w:tcPr>
            <w:tcW w:w="2756" w:type="dxa"/>
            <w:tcMar>
              <w:left w:w="28" w:type="dxa"/>
              <w:right w:w="28" w:type="dxa"/>
            </w:tcMar>
          </w:tcPr>
          <w:p w:rsidR="00286780" w:rsidRPr="008D2AE7" w:rsidRDefault="00286780" w:rsidP="00FA7C6C">
            <w:pPr>
              <w:snapToGrid w:val="0"/>
              <w:jc w:val="center"/>
              <w:rPr>
                <w:sz w:val="22"/>
                <w:szCs w:val="22"/>
              </w:rPr>
            </w:pPr>
            <w:r w:rsidRPr="008D2AE7">
              <w:rPr>
                <w:sz w:val="22"/>
                <w:szCs w:val="22"/>
              </w:rPr>
              <w:t>Контрольная подгруппа №4</w:t>
            </w:r>
          </w:p>
        </w:tc>
        <w:tc>
          <w:tcPr>
            <w:tcW w:w="1600" w:type="dxa"/>
          </w:tcPr>
          <w:p w:rsidR="00286780" w:rsidRPr="008D2AE7" w:rsidRDefault="00286780" w:rsidP="00FA7C6C">
            <w:pPr>
              <w:snapToGrid w:val="0"/>
              <w:jc w:val="center"/>
              <w:rPr>
                <w:sz w:val="22"/>
                <w:szCs w:val="22"/>
              </w:rPr>
            </w:pPr>
            <w:r w:rsidRPr="008D2AE7">
              <w:rPr>
                <w:sz w:val="22"/>
                <w:szCs w:val="22"/>
              </w:rPr>
              <w:t xml:space="preserve">Величина </w:t>
            </w:r>
            <w:r w:rsidRPr="008D2AE7">
              <w:rPr>
                <w:sz w:val="22"/>
                <w:szCs w:val="22"/>
                <w:lang w:val="en-US"/>
              </w:rPr>
              <w:t>p</w:t>
            </w:r>
            <w:r w:rsidRPr="008D2AE7">
              <w:rPr>
                <w:sz w:val="22"/>
                <w:szCs w:val="22"/>
              </w:rPr>
              <w:t>(сравнение подгрупп)</w:t>
            </w:r>
          </w:p>
        </w:tc>
      </w:tr>
      <w:tr w:rsidR="00286780" w:rsidRPr="00246190" w:rsidTr="00FA7C6C">
        <w:trPr>
          <w:trHeight w:val="540"/>
        </w:trPr>
        <w:tc>
          <w:tcPr>
            <w:tcW w:w="1728" w:type="dxa"/>
            <w:vMerge w:val="restart"/>
            <w:tcMar>
              <w:left w:w="28" w:type="dxa"/>
              <w:right w:w="28" w:type="dxa"/>
            </w:tcMar>
            <w:vAlign w:val="center"/>
          </w:tcPr>
          <w:p w:rsidR="00286780" w:rsidRPr="00246190" w:rsidRDefault="00286780" w:rsidP="00FA7C6C">
            <w:pPr>
              <w:snapToGrid w:val="0"/>
              <w:rPr>
                <w:sz w:val="22"/>
                <w:szCs w:val="22"/>
              </w:rPr>
            </w:pPr>
            <w:r w:rsidRPr="00246190">
              <w:rPr>
                <w:sz w:val="22"/>
                <w:szCs w:val="22"/>
              </w:rPr>
              <w:t>1. Средний возраст (лет)</w:t>
            </w:r>
          </w:p>
        </w:tc>
        <w:tc>
          <w:tcPr>
            <w:tcW w:w="1729"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Погруппа №1: 51,2±2,37</w:t>
            </w:r>
          </w:p>
        </w:tc>
        <w:tc>
          <w:tcPr>
            <w:tcW w:w="2015"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Контрольная подгруппа №1: 54,5±2,47</w:t>
            </w:r>
          </w:p>
        </w:tc>
        <w:tc>
          <w:tcPr>
            <w:tcW w:w="2756" w:type="dxa"/>
            <w:vMerge w:val="restart"/>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48,9±2,3</w:t>
            </w:r>
          </w:p>
        </w:tc>
        <w:tc>
          <w:tcPr>
            <w:tcW w:w="1600" w:type="dxa"/>
          </w:tcPr>
          <w:p w:rsidR="00286780" w:rsidRDefault="00286780" w:rsidP="00FA7C6C">
            <w:pPr>
              <w:jc w:val="center"/>
            </w:pPr>
            <w:r w:rsidRPr="00E6027B">
              <w:rPr>
                <w:sz w:val="22"/>
                <w:szCs w:val="22"/>
                <w:lang w:val="en-US"/>
              </w:rPr>
              <w:t>p</w:t>
            </w:r>
            <w:r>
              <w:rPr>
                <w:sz w:val="22"/>
                <w:szCs w:val="22"/>
              </w:rPr>
              <w:t>&gt;</w:t>
            </w:r>
            <w:r w:rsidRPr="00E6027B">
              <w:rPr>
                <w:sz w:val="22"/>
                <w:szCs w:val="22"/>
              </w:rPr>
              <w:t>0</w:t>
            </w:r>
            <w:r w:rsidRPr="00E6027B">
              <w:rPr>
                <w:sz w:val="22"/>
                <w:szCs w:val="22"/>
                <w:lang w:val="en-US"/>
              </w:rPr>
              <w:t>.</w:t>
            </w:r>
            <w:r w:rsidRPr="00E6027B">
              <w:rPr>
                <w:sz w:val="22"/>
                <w:szCs w:val="22"/>
              </w:rPr>
              <w:t>0</w:t>
            </w:r>
            <w:r w:rsidRPr="00E6027B">
              <w:rPr>
                <w:sz w:val="22"/>
                <w:szCs w:val="22"/>
                <w:lang w:val="en-US"/>
              </w:rPr>
              <w:t>5</w:t>
            </w:r>
          </w:p>
        </w:tc>
      </w:tr>
      <w:tr w:rsidR="00286780" w:rsidRPr="00246190" w:rsidTr="00FA7C6C">
        <w:trPr>
          <w:trHeight w:val="555"/>
        </w:trPr>
        <w:tc>
          <w:tcPr>
            <w:tcW w:w="1728" w:type="dxa"/>
            <w:vMerge/>
            <w:tcMar>
              <w:left w:w="28" w:type="dxa"/>
              <w:right w:w="28" w:type="dxa"/>
            </w:tcMar>
            <w:vAlign w:val="center"/>
          </w:tcPr>
          <w:p w:rsidR="00286780" w:rsidRPr="00246190" w:rsidRDefault="00286780" w:rsidP="00FA7C6C">
            <w:pPr>
              <w:snapToGrid w:val="0"/>
              <w:rPr>
                <w:sz w:val="22"/>
                <w:szCs w:val="22"/>
              </w:rPr>
            </w:pPr>
          </w:p>
        </w:tc>
        <w:tc>
          <w:tcPr>
            <w:tcW w:w="1729" w:type="dxa"/>
            <w:tcMar>
              <w:left w:w="28" w:type="dxa"/>
              <w:right w:w="28" w:type="dxa"/>
            </w:tcMar>
            <w:vAlign w:val="center"/>
          </w:tcPr>
          <w:p w:rsidR="00286780" w:rsidRPr="00246190" w:rsidRDefault="003040FC" w:rsidP="00FA7C6C">
            <w:pPr>
              <w:snapToGrid w:val="0"/>
              <w:jc w:val="center"/>
              <w:rPr>
                <w:sz w:val="22"/>
                <w:szCs w:val="22"/>
              </w:rPr>
            </w:pPr>
            <w:r>
              <w:rPr>
                <w:sz w:val="22"/>
                <w:szCs w:val="22"/>
              </w:rPr>
              <w:t>Подгруппа №1</w:t>
            </w:r>
            <w:r w:rsidR="00286780" w:rsidRPr="00246190">
              <w:rPr>
                <w:sz w:val="22"/>
                <w:szCs w:val="22"/>
              </w:rPr>
              <w:t>:</w:t>
            </w:r>
          </w:p>
          <w:p w:rsidR="00286780" w:rsidRPr="00246190" w:rsidRDefault="00286780" w:rsidP="00FA7C6C">
            <w:pPr>
              <w:jc w:val="center"/>
              <w:rPr>
                <w:sz w:val="22"/>
                <w:szCs w:val="22"/>
              </w:rPr>
            </w:pPr>
            <w:r w:rsidRPr="00246190">
              <w:rPr>
                <w:sz w:val="22"/>
                <w:szCs w:val="22"/>
              </w:rPr>
              <w:t xml:space="preserve">51,2±2,37 </w:t>
            </w:r>
          </w:p>
        </w:tc>
        <w:tc>
          <w:tcPr>
            <w:tcW w:w="2015"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Контрольная подгруппа №1а:</w:t>
            </w:r>
          </w:p>
          <w:p w:rsidR="00286780" w:rsidRPr="00246190" w:rsidRDefault="00286780" w:rsidP="00FA7C6C">
            <w:pPr>
              <w:jc w:val="center"/>
              <w:rPr>
                <w:sz w:val="22"/>
                <w:szCs w:val="22"/>
              </w:rPr>
            </w:pPr>
            <w:r w:rsidRPr="00246190">
              <w:rPr>
                <w:sz w:val="22"/>
                <w:szCs w:val="22"/>
              </w:rPr>
              <w:t xml:space="preserve">47,8±1,3 </w:t>
            </w:r>
          </w:p>
        </w:tc>
        <w:tc>
          <w:tcPr>
            <w:tcW w:w="2756" w:type="dxa"/>
            <w:vMerge/>
            <w:tcMar>
              <w:left w:w="28" w:type="dxa"/>
              <w:right w:w="28" w:type="dxa"/>
            </w:tcMar>
          </w:tcPr>
          <w:p w:rsidR="00286780" w:rsidRPr="00246190" w:rsidRDefault="00286780" w:rsidP="00FA7C6C">
            <w:pPr>
              <w:snapToGrid w:val="0"/>
              <w:jc w:val="center"/>
              <w:rPr>
                <w:sz w:val="22"/>
                <w:szCs w:val="22"/>
              </w:rPr>
            </w:pPr>
          </w:p>
        </w:tc>
        <w:tc>
          <w:tcPr>
            <w:tcW w:w="1600" w:type="dxa"/>
          </w:tcPr>
          <w:p w:rsidR="00286780" w:rsidRDefault="00286780" w:rsidP="00FA7C6C">
            <w:pPr>
              <w:jc w:val="center"/>
            </w:pPr>
            <w:r w:rsidRPr="00E6027B">
              <w:rPr>
                <w:sz w:val="22"/>
                <w:szCs w:val="22"/>
                <w:lang w:val="en-US"/>
              </w:rPr>
              <w:t>p</w:t>
            </w:r>
            <w:r>
              <w:rPr>
                <w:sz w:val="22"/>
                <w:szCs w:val="22"/>
              </w:rPr>
              <w:t>&gt;</w:t>
            </w:r>
            <w:r w:rsidRPr="00E6027B">
              <w:rPr>
                <w:sz w:val="22"/>
                <w:szCs w:val="22"/>
              </w:rPr>
              <w:t>0</w:t>
            </w:r>
            <w:r w:rsidRPr="00E6027B">
              <w:rPr>
                <w:sz w:val="22"/>
                <w:szCs w:val="22"/>
                <w:lang w:val="en-US"/>
              </w:rPr>
              <w:t>.</w:t>
            </w:r>
            <w:r w:rsidRPr="00E6027B">
              <w:rPr>
                <w:sz w:val="22"/>
                <w:szCs w:val="22"/>
              </w:rPr>
              <w:t>0</w:t>
            </w:r>
            <w:r w:rsidRPr="00E6027B">
              <w:rPr>
                <w:sz w:val="22"/>
                <w:szCs w:val="22"/>
                <w:lang w:val="en-US"/>
              </w:rPr>
              <w:t>5</w:t>
            </w:r>
          </w:p>
        </w:tc>
      </w:tr>
      <w:tr w:rsidR="00286780" w:rsidRPr="00246190" w:rsidTr="00FA7C6C">
        <w:trPr>
          <w:trHeight w:val="525"/>
        </w:trPr>
        <w:tc>
          <w:tcPr>
            <w:tcW w:w="1728" w:type="dxa"/>
            <w:vMerge/>
            <w:tcMar>
              <w:left w:w="28" w:type="dxa"/>
              <w:right w:w="28" w:type="dxa"/>
            </w:tcMar>
            <w:vAlign w:val="center"/>
          </w:tcPr>
          <w:p w:rsidR="00286780" w:rsidRPr="00246190" w:rsidRDefault="00286780" w:rsidP="00FA7C6C">
            <w:pPr>
              <w:snapToGrid w:val="0"/>
              <w:rPr>
                <w:sz w:val="22"/>
                <w:szCs w:val="22"/>
              </w:rPr>
            </w:pPr>
          </w:p>
        </w:tc>
        <w:tc>
          <w:tcPr>
            <w:tcW w:w="1729"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Подгруппа №2: 41,8±2,14</w:t>
            </w:r>
          </w:p>
        </w:tc>
        <w:tc>
          <w:tcPr>
            <w:tcW w:w="2015"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Контрольная подгруппа №2: 45,0±2,49</w:t>
            </w:r>
          </w:p>
        </w:tc>
        <w:tc>
          <w:tcPr>
            <w:tcW w:w="2756" w:type="dxa"/>
            <w:vMerge/>
            <w:tcMar>
              <w:left w:w="28" w:type="dxa"/>
              <w:right w:w="28" w:type="dxa"/>
            </w:tcMar>
          </w:tcPr>
          <w:p w:rsidR="00286780" w:rsidRPr="00246190" w:rsidRDefault="00286780" w:rsidP="00FA7C6C">
            <w:pPr>
              <w:snapToGrid w:val="0"/>
              <w:jc w:val="center"/>
              <w:rPr>
                <w:sz w:val="22"/>
                <w:szCs w:val="22"/>
              </w:rPr>
            </w:pPr>
          </w:p>
        </w:tc>
        <w:tc>
          <w:tcPr>
            <w:tcW w:w="1600" w:type="dxa"/>
          </w:tcPr>
          <w:p w:rsidR="00286780" w:rsidRDefault="00286780" w:rsidP="00FA7C6C">
            <w:pPr>
              <w:jc w:val="center"/>
            </w:pPr>
            <w:r w:rsidRPr="00E6027B">
              <w:rPr>
                <w:sz w:val="22"/>
                <w:szCs w:val="22"/>
                <w:lang w:val="en-US"/>
              </w:rPr>
              <w:t>p</w:t>
            </w:r>
            <w:r>
              <w:rPr>
                <w:sz w:val="22"/>
                <w:szCs w:val="22"/>
              </w:rPr>
              <w:t>&gt;</w:t>
            </w:r>
            <w:r w:rsidRPr="00E6027B">
              <w:rPr>
                <w:sz w:val="22"/>
                <w:szCs w:val="22"/>
              </w:rPr>
              <w:t>0</w:t>
            </w:r>
            <w:r w:rsidRPr="00E6027B">
              <w:rPr>
                <w:sz w:val="22"/>
                <w:szCs w:val="22"/>
                <w:lang w:val="en-US"/>
              </w:rPr>
              <w:t>.</w:t>
            </w:r>
            <w:r w:rsidRPr="00E6027B">
              <w:rPr>
                <w:sz w:val="22"/>
                <w:szCs w:val="22"/>
              </w:rPr>
              <w:t>0</w:t>
            </w:r>
            <w:r w:rsidRPr="00E6027B">
              <w:rPr>
                <w:sz w:val="22"/>
                <w:szCs w:val="22"/>
                <w:lang w:val="en-US"/>
              </w:rPr>
              <w:t>5</w:t>
            </w:r>
          </w:p>
        </w:tc>
      </w:tr>
      <w:tr w:rsidR="00286780" w:rsidRPr="00246190" w:rsidTr="00FA7C6C">
        <w:trPr>
          <w:trHeight w:val="300"/>
        </w:trPr>
        <w:tc>
          <w:tcPr>
            <w:tcW w:w="1728" w:type="dxa"/>
            <w:vMerge/>
            <w:tcMar>
              <w:left w:w="28" w:type="dxa"/>
              <w:right w:w="28" w:type="dxa"/>
            </w:tcMar>
            <w:vAlign w:val="center"/>
          </w:tcPr>
          <w:p w:rsidR="00286780" w:rsidRPr="00246190" w:rsidRDefault="00286780" w:rsidP="00FA7C6C">
            <w:pPr>
              <w:snapToGrid w:val="0"/>
              <w:rPr>
                <w:sz w:val="22"/>
                <w:szCs w:val="22"/>
              </w:rPr>
            </w:pPr>
          </w:p>
        </w:tc>
        <w:tc>
          <w:tcPr>
            <w:tcW w:w="1729"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 xml:space="preserve">Подгруппа №3: 57,2 ± 1,92 </w:t>
            </w:r>
          </w:p>
        </w:tc>
        <w:tc>
          <w:tcPr>
            <w:tcW w:w="2015"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Контрольная подгруппа №3: 52,2±2,44</w:t>
            </w:r>
          </w:p>
        </w:tc>
        <w:tc>
          <w:tcPr>
            <w:tcW w:w="2756" w:type="dxa"/>
            <w:vMerge/>
            <w:tcMar>
              <w:left w:w="28" w:type="dxa"/>
              <w:right w:w="28" w:type="dxa"/>
            </w:tcMar>
          </w:tcPr>
          <w:p w:rsidR="00286780" w:rsidRPr="00246190" w:rsidRDefault="00286780" w:rsidP="00FA7C6C">
            <w:pPr>
              <w:snapToGrid w:val="0"/>
              <w:jc w:val="center"/>
              <w:rPr>
                <w:sz w:val="22"/>
                <w:szCs w:val="22"/>
                <w:lang w:val="en-US"/>
              </w:rPr>
            </w:pPr>
          </w:p>
        </w:tc>
        <w:tc>
          <w:tcPr>
            <w:tcW w:w="1600" w:type="dxa"/>
          </w:tcPr>
          <w:p w:rsidR="00286780" w:rsidRDefault="00286780" w:rsidP="00FA7C6C">
            <w:pPr>
              <w:jc w:val="center"/>
            </w:pPr>
            <w:r w:rsidRPr="00E6027B">
              <w:rPr>
                <w:sz w:val="22"/>
                <w:szCs w:val="22"/>
                <w:lang w:val="en-US"/>
              </w:rPr>
              <w:t>p</w:t>
            </w:r>
            <w:r>
              <w:rPr>
                <w:sz w:val="22"/>
                <w:szCs w:val="22"/>
              </w:rPr>
              <w:t>&gt;</w:t>
            </w:r>
            <w:r w:rsidRPr="00E6027B">
              <w:rPr>
                <w:sz w:val="22"/>
                <w:szCs w:val="22"/>
              </w:rPr>
              <w:t>0</w:t>
            </w:r>
            <w:r w:rsidRPr="00E6027B">
              <w:rPr>
                <w:sz w:val="22"/>
                <w:szCs w:val="22"/>
                <w:lang w:val="en-US"/>
              </w:rPr>
              <w:t>.</w:t>
            </w:r>
            <w:r w:rsidRPr="00E6027B">
              <w:rPr>
                <w:sz w:val="22"/>
                <w:szCs w:val="22"/>
              </w:rPr>
              <w:t>0</w:t>
            </w:r>
            <w:r w:rsidRPr="00E6027B">
              <w:rPr>
                <w:sz w:val="22"/>
                <w:szCs w:val="22"/>
                <w:lang w:val="en-US"/>
              </w:rPr>
              <w:t>5</w:t>
            </w:r>
          </w:p>
        </w:tc>
      </w:tr>
      <w:tr w:rsidR="00286780" w:rsidRPr="00246190" w:rsidTr="00FA7C6C">
        <w:tc>
          <w:tcPr>
            <w:tcW w:w="1728" w:type="dxa"/>
            <w:vMerge w:val="restart"/>
            <w:tcMar>
              <w:left w:w="28" w:type="dxa"/>
              <w:right w:w="28" w:type="dxa"/>
            </w:tcMar>
            <w:vAlign w:val="center"/>
          </w:tcPr>
          <w:p w:rsidR="00286780" w:rsidRPr="00246190" w:rsidRDefault="00286780" w:rsidP="00FA7C6C">
            <w:pPr>
              <w:snapToGrid w:val="0"/>
              <w:rPr>
                <w:sz w:val="22"/>
                <w:szCs w:val="22"/>
              </w:rPr>
            </w:pPr>
            <w:r w:rsidRPr="00246190">
              <w:rPr>
                <w:sz w:val="22"/>
                <w:szCs w:val="22"/>
              </w:rPr>
              <w:t>2. Половой состав (мужчины)</w:t>
            </w:r>
          </w:p>
        </w:tc>
        <w:tc>
          <w:tcPr>
            <w:tcW w:w="1729"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Погруппа №1: 17 (48,6%)</w:t>
            </w:r>
          </w:p>
        </w:tc>
        <w:tc>
          <w:tcPr>
            <w:tcW w:w="2015"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Контрольная по д группа №1: 12 (37,5%)</w:t>
            </w:r>
          </w:p>
        </w:tc>
        <w:tc>
          <w:tcPr>
            <w:tcW w:w="2756" w:type="dxa"/>
            <w:vMerge w:val="restart"/>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14 (50%)</w:t>
            </w:r>
          </w:p>
        </w:tc>
        <w:tc>
          <w:tcPr>
            <w:tcW w:w="1600" w:type="dxa"/>
          </w:tcPr>
          <w:p w:rsidR="00286780" w:rsidRDefault="00286780" w:rsidP="00FA7C6C">
            <w:pPr>
              <w:jc w:val="center"/>
            </w:pPr>
            <w:r w:rsidRPr="00E6027B">
              <w:rPr>
                <w:sz w:val="22"/>
                <w:szCs w:val="22"/>
                <w:lang w:val="en-US"/>
              </w:rPr>
              <w:t>p</w:t>
            </w:r>
            <w:r>
              <w:rPr>
                <w:sz w:val="22"/>
                <w:szCs w:val="22"/>
              </w:rPr>
              <w:t>&gt;</w:t>
            </w:r>
            <w:r w:rsidRPr="00E6027B">
              <w:rPr>
                <w:sz w:val="22"/>
                <w:szCs w:val="22"/>
              </w:rPr>
              <w:t>0</w:t>
            </w:r>
            <w:r w:rsidRPr="00E6027B">
              <w:rPr>
                <w:sz w:val="22"/>
                <w:szCs w:val="22"/>
                <w:lang w:val="en-US"/>
              </w:rPr>
              <w:t>.</w:t>
            </w:r>
            <w:r w:rsidRPr="00E6027B">
              <w:rPr>
                <w:sz w:val="22"/>
                <w:szCs w:val="22"/>
              </w:rPr>
              <w:t>0</w:t>
            </w:r>
            <w:r w:rsidRPr="00E6027B">
              <w:rPr>
                <w:sz w:val="22"/>
                <w:szCs w:val="22"/>
                <w:lang w:val="en-US"/>
              </w:rPr>
              <w:t>5</w:t>
            </w:r>
          </w:p>
        </w:tc>
      </w:tr>
      <w:tr w:rsidR="00286780" w:rsidRPr="00246190" w:rsidTr="00FA7C6C">
        <w:tc>
          <w:tcPr>
            <w:tcW w:w="1728" w:type="dxa"/>
            <w:vMerge/>
            <w:tcMar>
              <w:left w:w="28" w:type="dxa"/>
              <w:right w:w="28" w:type="dxa"/>
            </w:tcMar>
            <w:vAlign w:val="center"/>
          </w:tcPr>
          <w:p w:rsidR="00286780" w:rsidRPr="00246190" w:rsidRDefault="00286780" w:rsidP="00FA7C6C">
            <w:pPr>
              <w:snapToGrid w:val="0"/>
              <w:rPr>
                <w:sz w:val="22"/>
                <w:szCs w:val="22"/>
              </w:rPr>
            </w:pPr>
          </w:p>
        </w:tc>
        <w:tc>
          <w:tcPr>
            <w:tcW w:w="1729"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Подгруппа №1а:</w:t>
            </w:r>
          </w:p>
          <w:p w:rsidR="00286780" w:rsidRPr="00246190" w:rsidRDefault="00286780" w:rsidP="00FA7C6C">
            <w:pPr>
              <w:jc w:val="center"/>
              <w:rPr>
                <w:sz w:val="22"/>
                <w:szCs w:val="22"/>
              </w:rPr>
            </w:pPr>
            <w:r w:rsidRPr="00246190">
              <w:rPr>
                <w:sz w:val="22"/>
                <w:szCs w:val="22"/>
              </w:rPr>
              <w:t xml:space="preserve">16 (47,1%) </w:t>
            </w:r>
          </w:p>
        </w:tc>
        <w:tc>
          <w:tcPr>
            <w:tcW w:w="2015"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Контрольная подгруппа №1а:</w:t>
            </w:r>
          </w:p>
          <w:p w:rsidR="00286780" w:rsidRPr="00246190" w:rsidRDefault="00286780" w:rsidP="00FA7C6C">
            <w:pPr>
              <w:jc w:val="center"/>
              <w:rPr>
                <w:sz w:val="22"/>
                <w:szCs w:val="22"/>
              </w:rPr>
            </w:pPr>
            <w:r w:rsidRPr="00246190">
              <w:rPr>
                <w:sz w:val="22"/>
                <w:szCs w:val="22"/>
              </w:rPr>
              <w:t>12 (48%)</w:t>
            </w:r>
          </w:p>
        </w:tc>
        <w:tc>
          <w:tcPr>
            <w:tcW w:w="2756" w:type="dxa"/>
            <w:vMerge/>
            <w:tcMar>
              <w:left w:w="28" w:type="dxa"/>
              <w:right w:w="28" w:type="dxa"/>
            </w:tcMar>
          </w:tcPr>
          <w:p w:rsidR="00286780" w:rsidRPr="00246190" w:rsidRDefault="00286780" w:rsidP="00FA7C6C">
            <w:pPr>
              <w:snapToGrid w:val="0"/>
              <w:jc w:val="center"/>
              <w:rPr>
                <w:sz w:val="22"/>
                <w:szCs w:val="22"/>
              </w:rPr>
            </w:pPr>
          </w:p>
        </w:tc>
        <w:tc>
          <w:tcPr>
            <w:tcW w:w="1600" w:type="dxa"/>
          </w:tcPr>
          <w:p w:rsidR="00286780" w:rsidRDefault="00286780" w:rsidP="00FA7C6C">
            <w:pPr>
              <w:jc w:val="center"/>
            </w:pPr>
            <w:r w:rsidRPr="00E6027B">
              <w:rPr>
                <w:sz w:val="22"/>
                <w:szCs w:val="22"/>
                <w:lang w:val="en-US"/>
              </w:rPr>
              <w:t>p</w:t>
            </w:r>
            <w:r>
              <w:rPr>
                <w:sz w:val="22"/>
                <w:szCs w:val="22"/>
              </w:rPr>
              <w:t>&gt;</w:t>
            </w:r>
            <w:r w:rsidRPr="00E6027B">
              <w:rPr>
                <w:sz w:val="22"/>
                <w:szCs w:val="22"/>
              </w:rPr>
              <w:t>0</w:t>
            </w:r>
            <w:r w:rsidRPr="00E6027B">
              <w:rPr>
                <w:sz w:val="22"/>
                <w:szCs w:val="22"/>
                <w:lang w:val="en-US"/>
              </w:rPr>
              <w:t>.</w:t>
            </w:r>
            <w:r w:rsidRPr="00E6027B">
              <w:rPr>
                <w:sz w:val="22"/>
                <w:szCs w:val="22"/>
              </w:rPr>
              <w:t>0</w:t>
            </w:r>
            <w:r w:rsidRPr="00E6027B">
              <w:rPr>
                <w:sz w:val="22"/>
                <w:szCs w:val="22"/>
                <w:lang w:val="en-US"/>
              </w:rPr>
              <w:t>5</w:t>
            </w:r>
          </w:p>
        </w:tc>
      </w:tr>
      <w:tr w:rsidR="00286780" w:rsidRPr="00246190" w:rsidTr="00FA7C6C">
        <w:tc>
          <w:tcPr>
            <w:tcW w:w="1728" w:type="dxa"/>
            <w:vMerge/>
            <w:tcMar>
              <w:left w:w="28" w:type="dxa"/>
              <w:right w:w="28" w:type="dxa"/>
            </w:tcMar>
            <w:vAlign w:val="center"/>
          </w:tcPr>
          <w:p w:rsidR="00286780" w:rsidRPr="00246190" w:rsidRDefault="00286780" w:rsidP="00FA7C6C">
            <w:pPr>
              <w:snapToGrid w:val="0"/>
              <w:jc w:val="center"/>
              <w:rPr>
                <w:sz w:val="22"/>
                <w:szCs w:val="22"/>
              </w:rPr>
            </w:pPr>
          </w:p>
        </w:tc>
        <w:tc>
          <w:tcPr>
            <w:tcW w:w="1729"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Подгруппа №2: 28 (82,4%)</w:t>
            </w:r>
          </w:p>
        </w:tc>
        <w:tc>
          <w:tcPr>
            <w:tcW w:w="2015"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Контрольная погруппа №2: 16 (61,5%)</w:t>
            </w:r>
          </w:p>
        </w:tc>
        <w:tc>
          <w:tcPr>
            <w:tcW w:w="2756" w:type="dxa"/>
            <w:vMerge/>
            <w:tcMar>
              <w:left w:w="28" w:type="dxa"/>
              <w:right w:w="28" w:type="dxa"/>
            </w:tcMar>
          </w:tcPr>
          <w:p w:rsidR="00286780" w:rsidRPr="00246190" w:rsidRDefault="00286780" w:rsidP="00FA7C6C">
            <w:pPr>
              <w:snapToGrid w:val="0"/>
              <w:jc w:val="center"/>
              <w:rPr>
                <w:sz w:val="22"/>
                <w:szCs w:val="22"/>
              </w:rPr>
            </w:pPr>
          </w:p>
        </w:tc>
        <w:tc>
          <w:tcPr>
            <w:tcW w:w="1600" w:type="dxa"/>
          </w:tcPr>
          <w:p w:rsidR="00286780" w:rsidRDefault="00286780" w:rsidP="00FA7C6C">
            <w:pPr>
              <w:jc w:val="center"/>
            </w:pPr>
            <w:r w:rsidRPr="00E6027B">
              <w:rPr>
                <w:sz w:val="22"/>
                <w:szCs w:val="22"/>
                <w:lang w:val="en-US"/>
              </w:rPr>
              <w:t>p</w:t>
            </w:r>
            <w:r>
              <w:rPr>
                <w:sz w:val="22"/>
                <w:szCs w:val="22"/>
              </w:rPr>
              <w:t>&gt;</w:t>
            </w:r>
            <w:r w:rsidRPr="00E6027B">
              <w:rPr>
                <w:sz w:val="22"/>
                <w:szCs w:val="22"/>
              </w:rPr>
              <w:t>0</w:t>
            </w:r>
            <w:r w:rsidRPr="00E6027B">
              <w:rPr>
                <w:sz w:val="22"/>
                <w:szCs w:val="22"/>
                <w:lang w:val="en-US"/>
              </w:rPr>
              <w:t>.</w:t>
            </w:r>
            <w:r w:rsidRPr="00E6027B">
              <w:rPr>
                <w:sz w:val="22"/>
                <w:szCs w:val="22"/>
              </w:rPr>
              <w:t>0</w:t>
            </w:r>
            <w:r w:rsidRPr="00E6027B">
              <w:rPr>
                <w:sz w:val="22"/>
                <w:szCs w:val="22"/>
                <w:lang w:val="en-US"/>
              </w:rPr>
              <w:t>5</w:t>
            </w:r>
          </w:p>
        </w:tc>
      </w:tr>
      <w:tr w:rsidR="00286780" w:rsidRPr="00246190" w:rsidTr="00FA7C6C">
        <w:tc>
          <w:tcPr>
            <w:tcW w:w="1728" w:type="dxa"/>
            <w:vMerge/>
            <w:tcMar>
              <w:left w:w="28" w:type="dxa"/>
              <w:right w:w="28" w:type="dxa"/>
            </w:tcMar>
            <w:vAlign w:val="center"/>
          </w:tcPr>
          <w:p w:rsidR="00286780" w:rsidRPr="00246190" w:rsidRDefault="00286780" w:rsidP="00FA7C6C">
            <w:pPr>
              <w:snapToGrid w:val="0"/>
              <w:jc w:val="center"/>
              <w:rPr>
                <w:sz w:val="22"/>
                <w:szCs w:val="22"/>
              </w:rPr>
            </w:pPr>
          </w:p>
        </w:tc>
        <w:tc>
          <w:tcPr>
            <w:tcW w:w="1729"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Подгруппа №3: 12 (40%)</w:t>
            </w:r>
          </w:p>
        </w:tc>
        <w:tc>
          <w:tcPr>
            <w:tcW w:w="2015"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Контрольная подгруппа №3: 12 (40)%</w:t>
            </w:r>
          </w:p>
        </w:tc>
        <w:tc>
          <w:tcPr>
            <w:tcW w:w="2756" w:type="dxa"/>
            <w:vMerge/>
            <w:tcMar>
              <w:left w:w="28" w:type="dxa"/>
              <w:right w:w="28" w:type="dxa"/>
            </w:tcMar>
          </w:tcPr>
          <w:p w:rsidR="00286780" w:rsidRPr="00246190" w:rsidRDefault="00286780" w:rsidP="00FA7C6C">
            <w:pPr>
              <w:snapToGrid w:val="0"/>
              <w:jc w:val="center"/>
              <w:rPr>
                <w:sz w:val="22"/>
                <w:szCs w:val="22"/>
              </w:rPr>
            </w:pPr>
          </w:p>
        </w:tc>
        <w:tc>
          <w:tcPr>
            <w:tcW w:w="1600" w:type="dxa"/>
          </w:tcPr>
          <w:p w:rsidR="00286780" w:rsidRDefault="00286780" w:rsidP="00FA7C6C">
            <w:pPr>
              <w:jc w:val="center"/>
            </w:pPr>
            <w:r w:rsidRPr="00E6027B">
              <w:rPr>
                <w:sz w:val="22"/>
                <w:szCs w:val="22"/>
                <w:lang w:val="en-US"/>
              </w:rPr>
              <w:t>p</w:t>
            </w:r>
            <w:r>
              <w:rPr>
                <w:sz w:val="22"/>
                <w:szCs w:val="22"/>
              </w:rPr>
              <w:t>&gt;</w:t>
            </w:r>
            <w:r w:rsidRPr="00E6027B">
              <w:rPr>
                <w:sz w:val="22"/>
                <w:szCs w:val="22"/>
              </w:rPr>
              <w:t>0</w:t>
            </w:r>
            <w:r w:rsidRPr="00E6027B">
              <w:rPr>
                <w:sz w:val="22"/>
                <w:szCs w:val="22"/>
                <w:lang w:val="en-US"/>
              </w:rPr>
              <w:t>.</w:t>
            </w:r>
            <w:r w:rsidRPr="00E6027B">
              <w:rPr>
                <w:sz w:val="22"/>
                <w:szCs w:val="22"/>
              </w:rPr>
              <w:t>0</w:t>
            </w:r>
            <w:r w:rsidRPr="00E6027B">
              <w:rPr>
                <w:sz w:val="22"/>
                <w:szCs w:val="22"/>
                <w:lang w:val="en-US"/>
              </w:rPr>
              <w:t>5</w:t>
            </w:r>
          </w:p>
        </w:tc>
      </w:tr>
      <w:tr w:rsidR="00286780" w:rsidRPr="00246190" w:rsidTr="00FA7C6C">
        <w:tc>
          <w:tcPr>
            <w:tcW w:w="1728" w:type="dxa"/>
            <w:vMerge w:val="restart"/>
            <w:tcMar>
              <w:left w:w="28" w:type="dxa"/>
              <w:right w:w="28" w:type="dxa"/>
            </w:tcMar>
            <w:vAlign w:val="center"/>
          </w:tcPr>
          <w:p w:rsidR="00286780" w:rsidRPr="00246190" w:rsidRDefault="00286780" w:rsidP="00FA7C6C">
            <w:pPr>
              <w:snapToGrid w:val="0"/>
              <w:rPr>
                <w:sz w:val="22"/>
                <w:szCs w:val="22"/>
              </w:rPr>
            </w:pPr>
            <w:r w:rsidRPr="00246190">
              <w:rPr>
                <w:sz w:val="22"/>
                <w:szCs w:val="22"/>
              </w:rPr>
              <w:t>3. Средний рост</w:t>
            </w:r>
            <w:r>
              <w:rPr>
                <w:sz w:val="22"/>
                <w:szCs w:val="22"/>
              </w:rPr>
              <w:t xml:space="preserve"> (см)</w:t>
            </w:r>
          </w:p>
        </w:tc>
        <w:tc>
          <w:tcPr>
            <w:tcW w:w="1729"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Погруппа №1: 168,6±1,5</w:t>
            </w:r>
          </w:p>
        </w:tc>
        <w:tc>
          <w:tcPr>
            <w:tcW w:w="2015"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Контрольная по д группа №1: 168,5±1,13</w:t>
            </w:r>
          </w:p>
        </w:tc>
        <w:tc>
          <w:tcPr>
            <w:tcW w:w="2756" w:type="dxa"/>
            <w:vMerge w:val="restart"/>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171,7±2,33</w:t>
            </w:r>
          </w:p>
        </w:tc>
        <w:tc>
          <w:tcPr>
            <w:tcW w:w="1600" w:type="dxa"/>
          </w:tcPr>
          <w:p w:rsidR="00286780" w:rsidRDefault="00286780" w:rsidP="00FA7C6C">
            <w:pPr>
              <w:jc w:val="center"/>
            </w:pPr>
            <w:r w:rsidRPr="00E6027B">
              <w:rPr>
                <w:sz w:val="22"/>
                <w:szCs w:val="22"/>
                <w:lang w:val="en-US"/>
              </w:rPr>
              <w:t>p</w:t>
            </w:r>
            <w:r>
              <w:rPr>
                <w:sz w:val="22"/>
                <w:szCs w:val="22"/>
              </w:rPr>
              <w:t>&gt;</w:t>
            </w:r>
            <w:r w:rsidRPr="00E6027B">
              <w:rPr>
                <w:sz w:val="22"/>
                <w:szCs w:val="22"/>
              </w:rPr>
              <w:t>0</w:t>
            </w:r>
            <w:r w:rsidRPr="00E6027B">
              <w:rPr>
                <w:sz w:val="22"/>
                <w:szCs w:val="22"/>
                <w:lang w:val="en-US"/>
              </w:rPr>
              <w:t>.</w:t>
            </w:r>
            <w:r w:rsidRPr="00E6027B">
              <w:rPr>
                <w:sz w:val="22"/>
                <w:szCs w:val="22"/>
              </w:rPr>
              <w:t>0</w:t>
            </w:r>
            <w:r w:rsidRPr="00E6027B">
              <w:rPr>
                <w:sz w:val="22"/>
                <w:szCs w:val="22"/>
                <w:lang w:val="en-US"/>
              </w:rPr>
              <w:t>5</w:t>
            </w:r>
          </w:p>
        </w:tc>
      </w:tr>
      <w:tr w:rsidR="00286780" w:rsidRPr="00246190" w:rsidTr="00FA7C6C">
        <w:tc>
          <w:tcPr>
            <w:tcW w:w="1728" w:type="dxa"/>
            <w:vMerge/>
            <w:tcMar>
              <w:left w:w="28" w:type="dxa"/>
              <w:right w:w="28" w:type="dxa"/>
            </w:tcMar>
            <w:vAlign w:val="center"/>
          </w:tcPr>
          <w:p w:rsidR="00286780" w:rsidRPr="00246190" w:rsidRDefault="00286780" w:rsidP="00FA7C6C">
            <w:pPr>
              <w:snapToGrid w:val="0"/>
              <w:jc w:val="center"/>
              <w:rPr>
                <w:sz w:val="22"/>
                <w:szCs w:val="22"/>
              </w:rPr>
            </w:pPr>
          </w:p>
        </w:tc>
        <w:tc>
          <w:tcPr>
            <w:tcW w:w="1729"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Подгруппа №1а:</w:t>
            </w:r>
          </w:p>
          <w:p w:rsidR="00286780" w:rsidRPr="00246190" w:rsidRDefault="00286780" w:rsidP="00FA7C6C">
            <w:pPr>
              <w:jc w:val="center"/>
              <w:rPr>
                <w:sz w:val="22"/>
                <w:szCs w:val="22"/>
              </w:rPr>
            </w:pPr>
            <w:r w:rsidRPr="00246190">
              <w:rPr>
                <w:sz w:val="22"/>
                <w:szCs w:val="22"/>
              </w:rPr>
              <w:t>166,88±1,36</w:t>
            </w:r>
          </w:p>
        </w:tc>
        <w:tc>
          <w:tcPr>
            <w:tcW w:w="2015"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Контрольная подгруппа №1а:</w:t>
            </w:r>
          </w:p>
          <w:p w:rsidR="00286780" w:rsidRPr="00246190" w:rsidRDefault="00286780" w:rsidP="00FA7C6C">
            <w:pPr>
              <w:jc w:val="center"/>
              <w:rPr>
                <w:sz w:val="22"/>
                <w:szCs w:val="22"/>
              </w:rPr>
            </w:pPr>
            <w:r>
              <w:rPr>
                <w:sz w:val="22"/>
                <w:szCs w:val="22"/>
              </w:rPr>
              <w:t>167,8</w:t>
            </w:r>
            <w:r w:rsidRPr="00246190">
              <w:rPr>
                <w:sz w:val="22"/>
                <w:szCs w:val="22"/>
              </w:rPr>
              <w:t>±1,</w:t>
            </w:r>
            <w:r>
              <w:rPr>
                <w:sz w:val="22"/>
                <w:szCs w:val="22"/>
              </w:rPr>
              <w:t>7</w:t>
            </w:r>
          </w:p>
        </w:tc>
        <w:tc>
          <w:tcPr>
            <w:tcW w:w="2756" w:type="dxa"/>
            <w:vMerge/>
            <w:tcMar>
              <w:left w:w="28" w:type="dxa"/>
              <w:right w:w="28" w:type="dxa"/>
            </w:tcMar>
          </w:tcPr>
          <w:p w:rsidR="00286780" w:rsidRPr="00246190" w:rsidRDefault="00286780" w:rsidP="00FA7C6C">
            <w:pPr>
              <w:snapToGrid w:val="0"/>
              <w:jc w:val="center"/>
              <w:rPr>
                <w:sz w:val="22"/>
                <w:szCs w:val="22"/>
              </w:rPr>
            </w:pPr>
          </w:p>
        </w:tc>
        <w:tc>
          <w:tcPr>
            <w:tcW w:w="1600" w:type="dxa"/>
          </w:tcPr>
          <w:p w:rsidR="00286780" w:rsidRDefault="00286780" w:rsidP="00FA7C6C">
            <w:pPr>
              <w:jc w:val="center"/>
            </w:pPr>
            <w:r w:rsidRPr="00E6027B">
              <w:rPr>
                <w:sz w:val="22"/>
                <w:szCs w:val="22"/>
                <w:lang w:val="en-US"/>
              </w:rPr>
              <w:t>p</w:t>
            </w:r>
            <w:r>
              <w:rPr>
                <w:sz w:val="22"/>
                <w:szCs w:val="22"/>
              </w:rPr>
              <w:t>&gt;</w:t>
            </w:r>
            <w:r w:rsidRPr="00E6027B">
              <w:rPr>
                <w:sz w:val="22"/>
                <w:szCs w:val="22"/>
              </w:rPr>
              <w:t>0</w:t>
            </w:r>
            <w:r w:rsidRPr="00E6027B">
              <w:rPr>
                <w:sz w:val="22"/>
                <w:szCs w:val="22"/>
                <w:lang w:val="en-US"/>
              </w:rPr>
              <w:t>.</w:t>
            </w:r>
            <w:r w:rsidRPr="00E6027B">
              <w:rPr>
                <w:sz w:val="22"/>
                <w:szCs w:val="22"/>
              </w:rPr>
              <w:t>0</w:t>
            </w:r>
            <w:r w:rsidRPr="00E6027B">
              <w:rPr>
                <w:sz w:val="22"/>
                <w:szCs w:val="22"/>
                <w:lang w:val="en-US"/>
              </w:rPr>
              <w:t>5</w:t>
            </w:r>
          </w:p>
        </w:tc>
      </w:tr>
      <w:tr w:rsidR="00286780" w:rsidRPr="00246190" w:rsidTr="00FA7C6C">
        <w:tc>
          <w:tcPr>
            <w:tcW w:w="1728" w:type="dxa"/>
            <w:vMerge/>
            <w:tcMar>
              <w:left w:w="28" w:type="dxa"/>
              <w:right w:w="28" w:type="dxa"/>
            </w:tcMar>
            <w:vAlign w:val="center"/>
          </w:tcPr>
          <w:p w:rsidR="00286780" w:rsidRPr="00246190" w:rsidRDefault="00286780" w:rsidP="00FA7C6C">
            <w:pPr>
              <w:snapToGrid w:val="0"/>
              <w:jc w:val="center"/>
              <w:rPr>
                <w:sz w:val="22"/>
                <w:szCs w:val="22"/>
              </w:rPr>
            </w:pPr>
          </w:p>
        </w:tc>
        <w:tc>
          <w:tcPr>
            <w:tcW w:w="1729"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Подгруппа №2: 171,8±1,9</w:t>
            </w:r>
          </w:p>
        </w:tc>
        <w:tc>
          <w:tcPr>
            <w:tcW w:w="2015"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Контрольная погруппа №2: 172,4±2,1</w:t>
            </w:r>
          </w:p>
        </w:tc>
        <w:tc>
          <w:tcPr>
            <w:tcW w:w="2756" w:type="dxa"/>
            <w:vMerge/>
            <w:tcMar>
              <w:left w:w="28" w:type="dxa"/>
              <w:right w:w="28" w:type="dxa"/>
            </w:tcMar>
          </w:tcPr>
          <w:p w:rsidR="00286780" w:rsidRPr="00246190" w:rsidRDefault="00286780" w:rsidP="00FA7C6C">
            <w:pPr>
              <w:snapToGrid w:val="0"/>
              <w:jc w:val="center"/>
              <w:rPr>
                <w:sz w:val="22"/>
                <w:szCs w:val="22"/>
              </w:rPr>
            </w:pPr>
          </w:p>
        </w:tc>
        <w:tc>
          <w:tcPr>
            <w:tcW w:w="1600" w:type="dxa"/>
          </w:tcPr>
          <w:p w:rsidR="00286780" w:rsidRDefault="00286780" w:rsidP="00FA7C6C">
            <w:pPr>
              <w:jc w:val="center"/>
            </w:pPr>
            <w:r w:rsidRPr="00E6027B">
              <w:rPr>
                <w:sz w:val="22"/>
                <w:szCs w:val="22"/>
                <w:lang w:val="en-US"/>
              </w:rPr>
              <w:t>p</w:t>
            </w:r>
            <w:r>
              <w:rPr>
                <w:sz w:val="22"/>
                <w:szCs w:val="22"/>
              </w:rPr>
              <w:t>&gt;</w:t>
            </w:r>
            <w:r w:rsidRPr="00E6027B">
              <w:rPr>
                <w:sz w:val="22"/>
                <w:szCs w:val="22"/>
              </w:rPr>
              <w:t>0</w:t>
            </w:r>
            <w:r w:rsidRPr="00E6027B">
              <w:rPr>
                <w:sz w:val="22"/>
                <w:szCs w:val="22"/>
                <w:lang w:val="en-US"/>
              </w:rPr>
              <w:t>.</w:t>
            </w:r>
            <w:r w:rsidRPr="00E6027B">
              <w:rPr>
                <w:sz w:val="22"/>
                <w:szCs w:val="22"/>
              </w:rPr>
              <w:t>0</w:t>
            </w:r>
            <w:r w:rsidRPr="00E6027B">
              <w:rPr>
                <w:sz w:val="22"/>
                <w:szCs w:val="22"/>
                <w:lang w:val="en-US"/>
              </w:rPr>
              <w:t>5</w:t>
            </w:r>
          </w:p>
        </w:tc>
      </w:tr>
      <w:tr w:rsidR="00286780" w:rsidRPr="00246190" w:rsidTr="00FA7C6C">
        <w:tc>
          <w:tcPr>
            <w:tcW w:w="1728" w:type="dxa"/>
            <w:vMerge/>
            <w:tcMar>
              <w:left w:w="28" w:type="dxa"/>
              <w:right w:w="28" w:type="dxa"/>
            </w:tcMar>
            <w:vAlign w:val="center"/>
          </w:tcPr>
          <w:p w:rsidR="00286780" w:rsidRPr="00246190" w:rsidRDefault="00286780" w:rsidP="00FA7C6C">
            <w:pPr>
              <w:snapToGrid w:val="0"/>
              <w:jc w:val="center"/>
              <w:rPr>
                <w:sz w:val="22"/>
                <w:szCs w:val="22"/>
              </w:rPr>
            </w:pPr>
          </w:p>
        </w:tc>
        <w:tc>
          <w:tcPr>
            <w:tcW w:w="1729"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 xml:space="preserve">Подгруппа №3: </w:t>
            </w:r>
          </w:p>
          <w:p w:rsidR="00286780" w:rsidRPr="00246190" w:rsidRDefault="00286780" w:rsidP="00FA7C6C">
            <w:pPr>
              <w:jc w:val="center"/>
              <w:rPr>
                <w:sz w:val="22"/>
                <w:szCs w:val="22"/>
              </w:rPr>
            </w:pPr>
            <w:r w:rsidRPr="00246190">
              <w:rPr>
                <w:sz w:val="22"/>
                <w:szCs w:val="22"/>
              </w:rPr>
              <w:t>169±1,71</w:t>
            </w:r>
          </w:p>
        </w:tc>
        <w:tc>
          <w:tcPr>
            <w:tcW w:w="2015"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Контрольная подгруппа №3: 169,4±1,83</w:t>
            </w:r>
          </w:p>
        </w:tc>
        <w:tc>
          <w:tcPr>
            <w:tcW w:w="2756" w:type="dxa"/>
            <w:vMerge/>
            <w:tcMar>
              <w:left w:w="28" w:type="dxa"/>
              <w:right w:w="28" w:type="dxa"/>
            </w:tcMar>
          </w:tcPr>
          <w:p w:rsidR="00286780" w:rsidRPr="00246190" w:rsidRDefault="00286780" w:rsidP="00FA7C6C">
            <w:pPr>
              <w:snapToGrid w:val="0"/>
              <w:jc w:val="center"/>
              <w:rPr>
                <w:sz w:val="22"/>
                <w:szCs w:val="22"/>
              </w:rPr>
            </w:pPr>
          </w:p>
        </w:tc>
        <w:tc>
          <w:tcPr>
            <w:tcW w:w="1600" w:type="dxa"/>
          </w:tcPr>
          <w:p w:rsidR="00286780" w:rsidRDefault="00286780" w:rsidP="00FA7C6C">
            <w:pPr>
              <w:jc w:val="center"/>
            </w:pPr>
            <w:r w:rsidRPr="00E6027B">
              <w:rPr>
                <w:sz w:val="22"/>
                <w:szCs w:val="22"/>
                <w:lang w:val="en-US"/>
              </w:rPr>
              <w:t>p</w:t>
            </w:r>
            <w:r>
              <w:rPr>
                <w:sz w:val="22"/>
                <w:szCs w:val="22"/>
              </w:rPr>
              <w:t>&gt;</w:t>
            </w:r>
            <w:r w:rsidRPr="00E6027B">
              <w:rPr>
                <w:sz w:val="22"/>
                <w:szCs w:val="22"/>
              </w:rPr>
              <w:t>0</w:t>
            </w:r>
            <w:r w:rsidRPr="00E6027B">
              <w:rPr>
                <w:sz w:val="22"/>
                <w:szCs w:val="22"/>
                <w:lang w:val="en-US"/>
              </w:rPr>
              <w:t>.</w:t>
            </w:r>
            <w:r w:rsidRPr="00E6027B">
              <w:rPr>
                <w:sz w:val="22"/>
                <w:szCs w:val="22"/>
              </w:rPr>
              <w:t>0</w:t>
            </w:r>
            <w:r w:rsidRPr="00E6027B">
              <w:rPr>
                <w:sz w:val="22"/>
                <w:szCs w:val="22"/>
                <w:lang w:val="en-US"/>
              </w:rPr>
              <w:t>5</w:t>
            </w:r>
          </w:p>
        </w:tc>
      </w:tr>
      <w:tr w:rsidR="00286780" w:rsidRPr="00246190" w:rsidTr="00FA7C6C">
        <w:tc>
          <w:tcPr>
            <w:tcW w:w="1728" w:type="dxa"/>
            <w:vMerge w:val="restart"/>
            <w:tcMar>
              <w:left w:w="28" w:type="dxa"/>
              <w:right w:w="28" w:type="dxa"/>
            </w:tcMar>
            <w:vAlign w:val="center"/>
          </w:tcPr>
          <w:p w:rsidR="00286780" w:rsidRPr="00246190" w:rsidRDefault="00286780" w:rsidP="00FA7C6C">
            <w:pPr>
              <w:snapToGrid w:val="0"/>
              <w:rPr>
                <w:sz w:val="22"/>
                <w:szCs w:val="22"/>
              </w:rPr>
            </w:pPr>
            <w:r w:rsidRPr="00246190">
              <w:rPr>
                <w:sz w:val="22"/>
                <w:szCs w:val="22"/>
              </w:rPr>
              <w:t>4. Средний вес</w:t>
            </w:r>
            <w:r>
              <w:rPr>
                <w:sz w:val="22"/>
                <w:szCs w:val="22"/>
              </w:rPr>
              <w:t xml:space="preserve"> (кг)</w:t>
            </w:r>
          </w:p>
        </w:tc>
        <w:tc>
          <w:tcPr>
            <w:tcW w:w="1729"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 xml:space="preserve">Погруппа №1: </w:t>
            </w:r>
          </w:p>
          <w:p w:rsidR="00286780" w:rsidRPr="002818BC" w:rsidRDefault="00286780" w:rsidP="00FA7C6C">
            <w:pPr>
              <w:jc w:val="center"/>
              <w:rPr>
                <w:sz w:val="22"/>
                <w:szCs w:val="22"/>
              </w:rPr>
            </w:pPr>
            <w:r w:rsidRPr="002818BC">
              <w:rPr>
                <w:sz w:val="22"/>
                <w:szCs w:val="22"/>
              </w:rPr>
              <w:t>79,4±2,3</w:t>
            </w:r>
          </w:p>
        </w:tc>
        <w:tc>
          <w:tcPr>
            <w:tcW w:w="2015"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Контрольная под группа №1: 168,5±1,13</w:t>
            </w:r>
          </w:p>
        </w:tc>
        <w:tc>
          <w:tcPr>
            <w:tcW w:w="2756" w:type="dxa"/>
            <w:vMerge w:val="restart"/>
            <w:tcMar>
              <w:left w:w="28" w:type="dxa"/>
              <w:right w:w="28" w:type="dxa"/>
            </w:tcMar>
            <w:vAlign w:val="center"/>
          </w:tcPr>
          <w:p w:rsidR="00286780" w:rsidRPr="00246190" w:rsidRDefault="00286780" w:rsidP="00FA7C6C">
            <w:pPr>
              <w:snapToGrid w:val="0"/>
              <w:jc w:val="center"/>
              <w:rPr>
                <w:sz w:val="22"/>
                <w:szCs w:val="22"/>
              </w:rPr>
            </w:pPr>
            <w:r>
              <w:rPr>
                <w:sz w:val="22"/>
                <w:szCs w:val="22"/>
              </w:rPr>
              <w:t>74,3±3,49</w:t>
            </w:r>
          </w:p>
        </w:tc>
        <w:tc>
          <w:tcPr>
            <w:tcW w:w="1600" w:type="dxa"/>
          </w:tcPr>
          <w:p w:rsidR="00286780" w:rsidRDefault="00286780" w:rsidP="00FA7C6C">
            <w:pPr>
              <w:jc w:val="center"/>
            </w:pPr>
            <w:r w:rsidRPr="00E6027B">
              <w:rPr>
                <w:sz w:val="22"/>
                <w:szCs w:val="22"/>
                <w:lang w:val="en-US"/>
              </w:rPr>
              <w:t>p</w:t>
            </w:r>
            <w:r>
              <w:rPr>
                <w:sz w:val="22"/>
                <w:szCs w:val="22"/>
              </w:rPr>
              <w:t>&gt;</w:t>
            </w:r>
            <w:r w:rsidRPr="00E6027B">
              <w:rPr>
                <w:sz w:val="22"/>
                <w:szCs w:val="22"/>
              </w:rPr>
              <w:t>0</w:t>
            </w:r>
            <w:r w:rsidRPr="00E6027B">
              <w:rPr>
                <w:sz w:val="22"/>
                <w:szCs w:val="22"/>
                <w:lang w:val="en-US"/>
              </w:rPr>
              <w:t>.</w:t>
            </w:r>
            <w:r w:rsidRPr="00E6027B">
              <w:rPr>
                <w:sz w:val="22"/>
                <w:szCs w:val="22"/>
              </w:rPr>
              <w:t>0</w:t>
            </w:r>
            <w:r w:rsidRPr="00E6027B">
              <w:rPr>
                <w:sz w:val="22"/>
                <w:szCs w:val="22"/>
                <w:lang w:val="en-US"/>
              </w:rPr>
              <w:t>5</w:t>
            </w:r>
          </w:p>
        </w:tc>
      </w:tr>
      <w:tr w:rsidR="00286780" w:rsidRPr="00246190" w:rsidTr="00FA7C6C">
        <w:tc>
          <w:tcPr>
            <w:tcW w:w="1728" w:type="dxa"/>
            <w:vMerge/>
            <w:tcMar>
              <w:left w:w="28" w:type="dxa"/>
              <w:right w:w="28" w:type="dxa"/>
            </w:tcMar>
            <w:vAlign w:val="center"/>
          </w:tcPr>
          <w:p w:rsidR="00286780" w:rsidRPr="00246190" w:rsidRDefault="00286780" w:rsidP="00FA7C6C">
            <w:pPr>
              <w:snapToGrid w:val="0"/>
              <w:jc w:val="center"/>
              <w:rPr>
                <w:sz w:val="22"/>
                <w:szCs w:val="22"/>
              </w:rPr>
            </w:pPr>
          </w:p>
        </w:tc>
        <w:tc>
          <w:tcPr>
            <w:tcW w:w="1729"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Подгруппа №1а:</w:t>
            </w:r>
          </w:p>
          <w:p w:rsidR="00286780" w:rsidRPr="00246190" w:rsidRDefault="00286780" w:rsidP="00FA7C6C">
            <w:pPr>
              <w:jc w:val="center"/>
              <w:rPr>
                <w:sz w:val="22"/>
                <w:szCs w:val="22"/>
              </w:rPr>
            </w:pPr>
            <w:r>
              <w:rPr>
                <w:sz w:val="22"/>
                <w:szCs w:val="22"/>
              </w:rPr>
              <w:t>81,8</w:t>
            </w:r>
            <w:r w:rsidRPr="00246190">
              <w:rPr>
                <w:sz w:val="22"/>
                <w:szCs w:val="22"/>
              </w:rPr>
              <w:t>±</w:t>
            </w:r>
            <w:r>
              <w:rPr>
                <w:sz w:val="22"/>
                <w:szCs w:val="22"/>
              </w:rPr>
              <w:t>2,87</w:t>
            </w:r>
          </w:p>
        </w:tc>
        <w:tc>
          <w:tcPr>
            <w:tcW w:w="2015"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Контрольная подгруппа №1а:</w:t>
            </w:r>
          </w:p>
          <w:p w:rsidR="00286780" w:rsidRPr="00246190" w:rsidRDefault="00286780" w:rsidP="00FA7C6C">
            <w:pPr>
              <w:jc w:val="center"/>
              <w:rPr>
                <w:sz w:val="22"/>
                <w:szCs w:val="22"/>
              </w:rPr>
            </w:pPr>
            <w:r>
              <w:rPr>
                <w:sz w:val="22"/>
                <w:szCs w:val="22"/>
              </w:rPr>
              <w:t>71</w:t>
            </w:r>
            <w:r w:rsidRPr="00246190">
              <w:rPr>
                <w:sz w:val="22"/>
                <w:szCs w:val="22"/>
              </w:rPr>
              <w:t>,3±</w:t>
            </w:r>
            <w:r>
              <w:rPr>
                <w:sz w:val="22"/>
                <w:szCs w:val="22"/>
              </w:rPr>
              <w:t>2,18</w:t>
            </w:r>
          </w:p>
        </w:tc>
        <w:tc>
          <w:tcPr>
            <w:tcW w:w="2756" w:type="dxa"/>
            <w:vMerge/>
            <w:tcMar>
              <w:left w:w="28" w:type="dxa"/>
              <w:right w:w="28" w:type="dxa"/>
            </w:tcMar>
          </w:tcPr>
          <w:p w:rsidR="00286780" w:rsidRPr="00246190" w:rsidRDefault="00286780" w:rsidP="00FA7C6C">
            <w:pPr>
              <w:snapToGrid w:val="0"/>
              <w:jc w:val="center"/>
              <w:rPr>
                <w:sz w:val="22"/>
                <w:szCs w:val="22"/>
              </w:rPr>
            </w:pPr>
          </w:p>
        </w:tc>
        <w:tc>
          <w:tcPr>
            <w:tcW w:w="1600" w:type="dxa"/>
          </w:tcPr>
          <w:p w:rsidR="00286780" w:rsidRDefault="00286780" w:rsidP="00FA7C6C">
            <w:pPr>
              <w:jc w:val="center"/>
            </w:pPr>
            <w:r w:rsidRPr="00E6027B">
              <w:rPr>
                <w:sz w:val="22"/>
                <w:szCs w:val="22"/>
                <w:lang w:val="en-US"/>
              </w:rPr>
              <w:t>p</w:t>
            </w:r>
            <w:r>
              <w:rPr>
                <w:sz w:val="22"/>
                <w:szCs w:val="22"/>
              </w:rPr>
              <w:t>&gt;</w:t>
            </w:r>
            <w:r w:rsidRPr="00E6027B">
              <w:rPr>
                <w:sz w:val="22"/>
                <w:szCs w:val="22"/>
              </w:rPr>
              <w:t>0</w:t>
            </w:r>
            <w:r w:rsidRPr="00E6027B">
              <w:rPr>
                <w:sz w:val="22"/>
                <w:szCs w:val="22"/>
                <w:lang w:val="en-US"/>
              </w:rPr>
              <w:t>.</w:t>
            </w:r>
            <w:r w:rsidRPr="00E6027B">
              <w:rPr>
                <w:sz w:val="22"/>
                <w:szCs w:val="22"/>
              </w:rPr>
              <w:t>0</w:t>
            </w:r>
            <w:r w:rsidRPr="00E6027B">
              <w:rPr>
                <w:sz w:val="22"/>
                <w:szCs w:val="22"/>
                <w:lang w:val="en-US"/>
              </w:rPr>
              <w:t>5</w:t>
            </w:r>
          </w:p>
        </w:tc>
      </w:tr>
      <w:tr w:rsidR="00286780" w:rsidRPr="00246190" w:rsidTr="00FA7C6C">
        <w:trPr>
          <w:trHeight w:val="92"/>
        </w:trPr>
        <w:tc>
          <w:tcPr>
            <w:tcW w:w="1728" w:type="dxa"/>
            <w:vMerge/>
            <w:tcMar>
              <w:left w:w="28" w:type="dxa"/>
              <w:right w:w="28" w:type="dxa"/>
            </w:tcMar>
            <w:vAlign w:val="center"/>
          </w:tcPr>
          <w:p w:rsidR="00286780" w:rsidRPr="00246190" w:rsidRDefault="00286780" w:rsidP="00FA7C6C">
            <w:pPr>
              <w:snapToGrid w:val="0"/>
              <w:jc w:val="center"/>
              <w:rPr>
                <w:sz w:val="22"/>
                <w:szCs w:val="22"/>
              </w:rPr>
            </w:pPr>
          </w:p>
        </w:tc>
        <w:tc>
          <w:tcPr>
            <w:tcW w:w="1729"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 xml:space="preserve">Подгруппа №2: </w:t>
            </w:r>
            <w:r>
              <w:rPr>
                <w:sz w:val="22"/>
                <w:szCs w:val="22"/>
              </w:rPr>
              <w:t>73,1</w:t>
            </w:r>
            <w:r w:rsidRPr="00246190">
              <w:rPr>
                <w:sz w:val="22"/>
                <w:szCs w:val="22"/>
              </w:rPr>
              <w:t>±</w:t>
            </w:r>
            <w:r>
              <w:rPr>
                <w:sz w:val="22"/>
                <w:szCs w:val="22"/>
              </w:rPr>
              <w:t>2,8</w:t>
            </w:r>
          </w:p>
        </w:tc>
        <w:tc>
          <w:tcPr>
            <w:tcW w:w="2015"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 xml:space="preserve">Контрольная погруппа №2: </w:t>
            </w:r>
            <w:r>
              <w:rPr>
                <w:sz w:val="22"/>
                <w:szCs w:val="22"/>
              </w:rPr>
              <w:t>71,4</w:t>
            </w:r>
            <w:r w:rsidRPr="00246190">
              <w:rPr>
                <w:sz w:val="22"/>
                <w:szCs w:val="22"/>
              </w:rPr>
              <w:t>±2,</w:t>
            </w:r>
            <w:r>
              <w:rPr>
                <w:sz w:val="22"/>
                <w:szCs w:val="22"/>
              </w:rPr>
              <w:t>5</w:t>
            </w:r>
          </w:p>
        </w:tc>
        <w:tc>
          <w:tcPr>
            <w:tcW w:w="2756" w:type="dxa"/>
            <w:vMerge/>
            <w:tcMar>
              <w:left w:w="28" w:type="dxa"/>
              <w:right w:w="28" w:type="dxa"/>
            </w:tcMar>
          </w:tcPr>
          <w:p w:rsidR="00286780" w:rsidRPr="00246190" w:rsidRDefault="00286780" w:rsidP="00FA7C6C">
            <w:pPr>
              <w:snapToGrid w:val="0"/>
              <w:jc w:val="center"/>
              <w:rPr>
                <w:sz w:val="22"/>
                <w:szCs w:val="22"/>
              </w:rPr>
            </w:pPr>
          </w:p>
        </w:tc>
        <w:tc>
          <w:tcPr>
            <w:tcW w:w="1600" w:type="dxa"/>
          </w:tcPr>
          <w:p w:rsidR="00286780" w:rsidRDefault="00286780" w:rsidP="00FA7C6C">
            <w:pPr>
              <w:jc w:val="center"/>
            </w:pPr>
            <w:r w:rsidRPr="00E6027B">
              <w:rPr>
                <w:sz w:val="22"/>
                <w:szCs w:val="22"/>
                <w:lang w:val="en-US"/>
              </w:rPr>
              <w:t>p</w:t>
            </w:r>
            <w:r>
              <w:rPr>
                <w:sz w:val="22"/>
                <w:szCs w:val="22"/>
              </w:rPr>
              <w:t>&gt;</w:t>
            </w:r>
            <w:r w:rsidRPr="00E6027B">
              <w:rPr>
                <w:sz w:val="22"/>
                <w:szCs w:val="22"/>
              </w:rPr>
              <w:t>0</w:t>
            </w:r>
            <w:r w:rsidRPr="00E6027B">
              <w:rPr>
                <w:sz w:val="22"/>
                <w:szCs w:val="22"/>
                <w:lang w:val="en-US"/>
              </w:rPr>
              <w:t>.</w:t>
            </w:r>
            <w:r w:rsidRPr="00E6027B">
              <w:rPr>
                <w:sz w:val="22"/>
                <w:szCs w:val="22"/>
              </w:rPr>
              <w:t>0</w:t>
            </w:r>
            <w:r w:rsidRPr="00E6027B">
              <w:rPr>
                <w:sz w:val="22"/>
                <w:szCs w:val="22"/>
                <w:lang w:val="en-US"/>
              </w:rPr>
              <w:t>5</w:t>
            </w:r>
          </w:p>
        </w:tc>
      </w:tr>
      <w:tr w:rsidR="00286780" w:rsidRPr="00246190" w:rsidTr="00FA7C6C">
        <w:tc>
          <w:tcPr>
            <w:tcW w:w="1728" w:type="dxa"/>
            <w:vMerge/>
            <w:tcMar>
              <w:left w:w="28" w:type="dxa"/>
              <w:right w:w="28" w:type="dxa"/>
            </w:tcMar>
            <w:vAlign w:val="center"/>
          </w:tcPr>
          <w:p w:rsidR="00286780" w:rsidRPr="00246190" w:rsidRDefault="00286780" w:rsidP="00FA7C6C">
            <w:pPr>
              <w:snapToGrid w:val="0"/>
              <w:jc w:val="center"/>
              <w:rPr>
                <w:sz w:val="22"/>
                <w:szCs w:val="22"/>
              </w:rPr>
            </w:pPr>
          </w:p>
        </w:tc>
        <w:tc>
          <w:tcPr>
            <w:tcW w:w="1729"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 xml:space="preserve">Подгруппа №3: </w:t>
            </w:r>
          </w:p>
          <w:p w:rsidR="00286780" w:rsidRPr="00246190" w:rsidRDefault="00286780" w:rsidP="00FA7C6C">
            <w:pPr>
              <w:jc w:val="center"/>
              <w:rPr>
                <w:sz w:val="22"/>
                <w:szCs w:val="22"/>
              </w:rPr>
            </w:pPr>
            <w:r>
              <w:rPr>
                <w:sz w:val="22"/>
                <w:szCs w:val="22"/>
              </w:rPr>
              <w:t>86,7</w:t>
            </w:r>
            <w:r w:rsidRPr="00246190">
              <w:rPr>
                <w:sz w:val="22"/>
                <w:szCs w:val="22"/>
              </w:rPr>
              <w:t>±</w:t>
            </w:r>
            <w:r>
              <w:rPr>
                <w:sz w:val="22"/>
                <w:szCs w:val="22"/>
              </w:rPr>
              <w:t>7,48</w:t>
            </w:r>
          </w:p>
        </w:tc>
        <w:tc>
          <w:tcPr>
            <w:tcW w:w="2015" w:type="dxa"/>
            <w:tcMar>
              <w:left w:w="28" w:type="dxa"/>
              <w:right w:w="28" w:type="dxa"/>
            </w:tcMar>
            <w:vAlign w:val="center"/>
          </w:tcPr>
          <w:p w:rsidR="00286780" w:rsidRPr="00246190" w:rsidRDefault="00286780" w:rsidP="00FA7C6C">
            <w:pPr>
              <w:snapToGrid w:val="0"/>
              <w:jc w:val="center"/>
              <w:rPr>
                <w:sz w:val="22"/>
                <w:szCs w:val="22"/>
              </w:rPr>
            </w:pPr>
            <w:r w:rsidRPr="00246190">
              <w:rPr>
                <w:sz w:val="22"/>
                <w:szCs w:val="22"/>
              </w:rPr>
              <w:t xml:space="preserve">Контрольная подгруппа №3: </w:t>
            </w:r>
            <w:r>
              <w:rPr>
                <w:sz w:val="22"/>
                <w:szCs w:val="22"/>
              </w:rPr>
              <w:t>83</w:t>
            </w:r>
            <w:r w:rsidRPr="00246190">
              <w:rPr>
                <w:sz w:val="22"/>
                <w:szCs w:val="22"/>
              </w:rPr>
              <w:t>±</w:t>
            </w:r>
            <w:r>
              <w:rPr>
                <w:sz w:val="22"/>
                <w:szCs w:val="22"/>
              </w:rPr>
              <w:t>7</w:t>
            </w:r>
            <w:r w:rsidRPr="00246190">
              <w:rPr>
                <w:sz w:val="22"/>
                <w:szCs w:val="22"/>
              </w:rPr>
              <w:t>,</w:t>
            </w:r>
            <w:r>
              <w:rPr>
                <w:sz w:val="22"/>
                <w:szCs w:val="22"/>
              </w:rPr>
              <w:t>29</w:t>
            </w:r>
          </w:p>
        </w:tc>
        <w:tc>
          <w:tcPr>
            <w:tcW w:w="2756" w:type="dxa"/>
            <w:vMerge/>
            <w:tcMar>
              <w:left w:w="28" w:type="dxa"/>
              <w:right w:w="28" w:type="dxa"/>
            </w:tcMar>
          </w:tcPr>
          <w:p w:rsidR="00286780" w:rsidRPr="00246190" w:rsidRDefault="00286780" w:rsidP="00FA7C6C">
            <w:pPr>
              <w:snapToGrid w:val="0"/>
              <w:jc w:val="center"/>
              <w:rPr>
                <w:sz w:val="22"/>
                <w:szCs w:val="22"/>
              </w:rPr>
            </w:pPr>
          </w:p>
        </w:tc>
        <w:tc>
          <w:tcPr>
            <w:tcW w:w="1600" w:type="dxa"/>
          </w:tcPr>
          <w:p w:rsidR="00286780" w:rsidRDefault="00286780" w:rsidP="00FA7C6C">
            <w:pPr>
              <w:jc w:val="center"/>
            </w:pPr>
            <w:r w:rsidRPr="00E6027B">
              <w:rPr>
                <w:sz w:val="22"/>
                <w:szCs w:val="22"/>
                <w:lang w:val="en-US"/>
              </w:rPr>
              <w:t>p</w:t>
            </w:r>
            <w:r>
              <w:rPr>
                <w:sz w:val="22"/>
                <w:szCs w:val="22"/>
              </w:rPr>
              <w:t>&gt;</w:t>
            </w:r>
            <w:r w:rsidRPr="00E6027B">
              <w:rPr>
                <w:sz w:val="22"/>
                <w:szCs w:val="22"/>
              </w:rPr>
              <w:t>0</w:t>
            </w:r>
            <w:r w:rsidRPr="00E6027B">
              <w:rPr>
                <w:sz w:val="22"/>
                <w:szCs w:val="22"/>
                <w:lang w:val="en-US"/>
              </w:rPr>
              <w:t>.</w:t>
            </w:r>
            <w:r w:rsidRPr="00E6027B">
              <w:rPr>
                <w:sz w:val="22"/>
                <w:szCs w:val="22"/>
              </w:rPr>
              <w:t>0</w:t>
            </w:r>
            <w:r w:rsidRPr="00E6027B">
              <w:rPr>
                <w:sz w:val="22"/>
                <w:szCs w:val="22"/>
                <w:lang w:val="en-US"/>
              </w:rPr>
              <w:t>5</w:t>
            </w:r>
          </w:p>
        </w:tc>
      </w:tr>
    </w:tbl>
    <w:p w:rsidR="00286780" w:rsidRDefault="00286780" w:rsidP="00BD2F93">
      <w:pPr>
        <w:spacing w:line="360" w:lineRule="auto"/>
        <w:ind w:firstLine="709"/>
        <w:jc w:val="both"/>
        <w:rPr>
          <w:sz w:val="28"/>
          <w:szCs w:val="28"/>
        </w:rPr>
      </w:pPr>
    </w:p>
    <w:p w:rsidR="00286780" w:rsidRDefault="00286780" w:rsidP="00BD2F93">
      <w:pPr>
        <w:spacing w:line="360" w:lineRule="auto"/>
        <w:ind w:firstLine="709"/>
        <w:jc w:val="both"/>
        <w:rPr>
          <w:sz w:val="28"/>
          <w:szCs w:val="28"/>
        </w:rPr>
      </w:pPr>
      <w:r>
        <w:rPr>
          <w:sz w:val="28"/>
          <w:szCs w:val="28"/>
        </w:rPr>
        <w:t>Сравниваемые подгруппы сопоставимы по возрастно-половым и антропометрическим признакам (</w:t>
      </w:r>
      <w:r w:rsidRPr="008D2AE7">
        <w:rPr>
          <w:sz w:val="28"/>
          <w:szCs w:val="28"/>
          <w:lang w:val="en-US"/>
        </w:rPr>
        <w:t>p</w:t>
      </w:r>
      <w:r>
        <w:rPr>
          <w:sz w:val="28"/>
          <w:szCs w:val="28"/>
        </w:rPr>
        <w:t>&gt;</w:t>
      </w:r>
      <w:r w:rsidRPr="008D2AE7">
        <w:rPr>
          <w:sz w:val="28"/>
          <w:szCs w:val="28"/>
        </w:rPr>
        <w:t>0.05).</w:t>
      </w:r>
    </w:p>
    <w:p w:rsidR="00286780" w:rsidRDefault="00286780" w:rsidP="00BD2F93">
      <w:pPr>
        <w:spacing w:line="360" w:lineRule="auto"/>
        <w:ind w:firstLine="709"/>
        <w:jc w:val="both"/>
        <w:rPr>
          <w:sz w:val="28"/>
          <w:szCs w:val="28"/>
        </w:rPr>
      </w:pPr>
      <w:r>
        <w:rPr>
          <w:sz w:val="28"/>
          <w:szCs w:val="28"/>
        </w:rPr>
        <w:lastRenderedPageBreak/>
        <w:t xml:space="preserve">Подгруппы с одонтогенным сепсисом. </w:t>
      </w:r>
      <w:r w:rsidRPr="00AC516B">
        <w:rPr>
          <w:sz w:val="28"/>
          <w:szCs w:val="28"/>
        </w:rPr>
        <w:t>В соответствии с целями и задачами д</w:t>
      </w:r>
      <w:r>
        <w:rPr>
          <w:sz w:val="28"/>
          <w:szCs w:val="28"/>
        </w:rPr>
        <w:t>иссертационной работы</w:t>
      </w:r>
      <w:r w:rsidRPr="00AC516B">
        <w:rPr>
          <w:sz w:val="28"/>
          <w:szCs w:val="28"/>
        </w:rPr>
        <w:t xml:space="preserve">, в условиях отделения челюстно-лицевой хирургии Курской областной клинической больницы в 2012–2015 гг. </w:t>
      </w:r>
      <w:r>
        <w:rPr>
          <w:sz w:val="28"/>
          <w:szCs w:val="28"/>
        </w:rPr>
        <w:t>выполнен ретроспективный анализ историй болезни</w:t>
      </w:r>
      <w:r w:rsidRPr="00AC516B">
        <w:rPr>
          <w:sz w:val="28"/>
          <w:szCs w:val="28"/>
        </w:rPr>
        <w:t xml:space="preserve"> 36 пациентов с одонтогенным сепсисом, в том числе с ХП. </w:t>
      </w:r>
    </w:p>
    <w:p w:rsidR="00286780" w:rsidRPr="00AC516B" w:rsidRDefault="00286780" w:rsidP="00BD2F93">
      <w:pPr>
        <w:spacing w:line="360" w:lineRule="auto"/>
        <w:ind w:firstLine="709"/>
        <w:jc w:val="both"/>
        <w:rPr>
          <w:sz w:val="28"/>
          <w:szCs w:val="28"/>
        </w:rPr>
      </w:pPr>
      <w:r w:rsidRPr="00AC516B">
        <w:rPr>
          <w:sz w:val="28"/>
          <w:szCs w:val="28"/>
        </w:rPr>
        <w:t>С целью объективизации результатов, дополнительно выполнен ретроспективный анализ соответствующего архивного клинического материала (историй болезни) 21 пациента с одонтогенным сепсисом и органной недостаточностью (</w:t>
      </w:r>
      <w:r>
        <w:rPr>
          <w:sz w:val="28"/>
          <w:szCs w:val="28"/>
        </w:rPr>
        <w:t xml:space="preserve">критерии </w:t>
      </w:r>
      <w:r w:rsidRPr="00AC516B">
        <w:rPr>
          <w:sz w:val="28"/>
          <w:szCs w:val="28"/>
          <w:lang w:val="en-US"/>
        </w:rPr>
        <w:t>SCCM</w:t>
      </w:r>
      <w:r w:rsidRPr="00AC516B">
        <w:rPr>
          <w:sz w:val="28"/>
          <w:szCs w:val="28"/>
        </w:rPr>
        <w:t>/</w:t>
      </w:r>
      <w:r w:rsidRPr="00AC516B">
        <w:rPr>
          <w:sz w:val="28"/>
          <w:szCs w:val="28"/>
          <w:lang w:val="en-US"/>
        </w:rPr>
        <w:t>ESICM</w:t>
      </w:r>
      <w:r w:rsidRPr="00AC516B">
        <w:rPr>
          <w:sz w:val="28"/>
          <w:szCs w:val="28"/>
        </w:rPr>
        <w:t>), находившихся на стационарном лечении в отделении челюстно-лицевой хирургии Курской областной клинической больницы в 2000–2010 гг.</w:t>
      </w:r>
      <w:r>
        <w:rPr>
          <w:sz w:val="28"/>
          <w:szCs w:val="28"/>
        </w:rPr>
        <w:t>,</w:t>
      </w:r>
      <w:r w:rsidR="005E3F38">
        <w:rPr>
          <w:sz w:val="28"/>
          <w:szCs w:val="28"/>
        </w:rPr>
        <w:t xml:space="preserve"> </w:t>
      </w:r>
      <w:r>
        <w:rPr>
          <w:sz w:val="28"/>
          <w:szCs w:val="28"/>
        </w:rPr>
        <w:t xml:space="preserve">обследование пациентов с ОС в </w:t>
      </w:r>
      <w:r w:rsidRPr="00AC516B">
        <w:rPr>
          <w:sz w:val="28"/>
          <w:szCs w:val="28"/>
        </w:rPr>
        <w:t xml:space="preserve">2018–2019 гг., </w:t>
      </w:r>
      <w:r>
        <w:rPr>
          <w:sz w:val="28"/>
          <w:szCs w:val="28"/>
        </w:rPr>
        <w:t>материалы девяти</w:t>
      </w:r>
      <w:r w:rsidRPr="00AC516B">
        <w:rPr>
          <w:sz w:val="28"/>
          <w:szCs w:val="28"/>
        </w:rPr>
        <w:t xml:space="preserve"> больных с одонтогенным сепсисом по материалам Воронежской областной клинической больницы № 1 (2016–2019 гг.).</w:t>
      </w:r>
    </w:p>
    <w:p w:rsidR="00286780" w:rsidRPr="00AC516B" w:rsidRDefault="00286780" w:rsidP="00BD2F93">
      <w:pPr>
        <w:spacing w:line="360" w:lineRule="auto"/>
        <w:ind w:firstLine="709"/>
        <w:jc w:val="both"/>
        <w:rPr>
          <w:sz w:val="28"/>
          <w:szCs w:val="28"/>
        </w:rPr>
      </w:pPr>
      <w:r w:rsidRPr="00AC516B">
        <w:rPr>
          <w:sz w:val="28"/>
          <w:szCs w:val="28"/>
        </w:rPr>
        <w:t xml:space="preserve">Рассмотрим принципы формирования и общие характеристики </w:t>
      </w:r>
      <w:r>
        <w:rPr>
          <w:sz w:val="28"/>
          <w:szCs w:val="28"/>
        </w:rPr>
        <w:t>подгрупп</w:t>
      </w:r>
      <w:r w:rsidRPr="00AC516B">
        <w:rPr>
          <w:sz w:val="28"/>
          <w:szCs w:val="28"/>
        </w:rPr>
        <w:t xml:space="preserve"> пациентов с ОС.</w:t>
      </w:r>
    </w:p>
    <w:p w:rsidR="00286780" w:rsidRPr="00AC516B" w:rsidRDefault="00286780" w:rsidP="00BD2F93">
      <w:pPr>
        <w:spacing w:line="360" w:lineRule="auto"/>
        <w:ind w:firstLine="709"/>
        <w:jc w:val="both"/>
        <w:rPr>
          <w:sz w:val="28"/>
          <w:szCs w:val="28"/>
        </w:rPr>
      </w:pPr>
      <w:r w:rsidRPr="00AC516B">
        <w:rPr>
          <w:sz w:val="28"/>
          <w:szCs w:val="28"/>
        </w:rPr>
        <w:t>С учетом дополнительного материала, всего обследовано 66 пациентов с одонтогенным сепсисом.</w:t>
      </w:r>
    </w:p>
    <w:p w:rsidR="00286780" w:rsidRPr="00AC516B" w:rsidRDefault="00286780" w:rsidP="00BD2F93">
      <w:pPr>
        <w:spacing w:line="360" w:lineRule="auto"/>
        <w:ind w:firstLine="709"/>
        <w:jc w:val="both"/>
        <w:rPr>
          <w:sz w:val="28"/>
          <w:szCs w:val="28"/>
        </w:rPr>
      </w:pPr>
      <w:r w:rsidRPr="00AC516B">
        <w:rPr>
          <w:sz w:val="28"/>
          <w:szCs w:val="28"/>
        </w:rPr>
        <w:t xml:space="preserve">Из них у 36 больных с </w:t>
      </w:r>
      <w:r w:rsidR="00F751DC">
        <w:rPr>
          <w:sz w:val="28"/>
          <w:szCs w:val="28"/>
        </w:rPr>
        <w:t>одонтогенным сепсисом (подгруппа пациентов с ОС и ХП</w:t>
      </w:r>
      <w:r w:rsidRPr="00AC516B">
        <w:rPr>
          <w:sz w:val="28"/>
          <w:szCs w:val="28"/>
        </w:rPr>
        <w:t>) диагностирована ХП внутренних органов (сердечно-сосудистой, дыхательной, эндокринной систем, пищеварительной системы и печени, хронический алкоголизм); мужчин – 28 (77,8%); восемь женщин (22,2%); средний возраст – 47,9±2,21 года</w:t>
      </w:r>
      <w:r>
        <w:rPr>
          <w:sz w:val="28"/>
          <w:szCs w:val="28"/>
        </w:rPr>
        <w:t>; средний рост 176,3±2,84 см; средний вес 86±7,41 кг</w:t>
      </w:r>
      <w:r w:rsidRPr="00AC516B">
        <w:rPr>
          <w:sz w:val="28"/>
          <w:szCs w:val="28"/>
        </w:rPr>
        <w:t>.</w:t>
      </w:r>
    </w:p>
    <w:p w:rsidR="00286780" w:rsidRPr="00AC516B" w:rsidRDefault="00286780" w:rsidP="00BD2F93">
      <w:pPr>
        <w:spacing w:line="360" w:lineRule="auto"/>
        <w:ind w:firstLine="709"/>
        <w:jc w:val="both"/>
        <w:rPr>
          <w:sz w:val="28"/>
          <w:szCs w:val="28"/>
        </w:rPr>
      </w:pPr>
      <w:r w:rsidRPr="00AC516B">
        <w:rPr>
          <w:sz w:val="28"/>
          <w:szCs w:val="28"/>
        </w:rPr>
        <w:t xml:space="preserve">Контрольная </w:t>
      </w:r>
      <w:r>
        <w:rPr>
          <w:sz w:val="28"/>
          <w:szCs w:val="28"/>
        </w:rPr>
        <w:t>под</w:t>
      </w:r>
      <w:r w:rsidRPr="00AC516B">
        <w:rPr>
          <w:sz w:val="28"/>
          <w:szCs w:val="28"/>
        </w:rPr>
        <w:t>группа больных с одонтогенным сепсисом без ХП внутренних органов включает 30 пациентов – 28 мужчин (93,3%); две женщины (6,7%); сред</w:t>
      </w:r>
      <w:r>
        <w:rPr>
          <w:sz w:val="28"/>
          <w:szCs w:val="28"/>
        </w:rPr>
        <w:t>ний возраст – 4</w:t>
      </w:r>
      <w:r w:rsidRPr="00AC516B">
        <w:rPr>
          <w:sz w:val="28"/>
          <w:szCs w:val="28"/>
        </w:rPr>
        <w:t>2,4±1,68 года</w:t>
      </w:r>
      <w:r>
        <w:rPr>
          <w:sz w:val="28"/>
          <w:szCs w:val="28"/>
        </w:rPr>
        <w:t>; средний рост 171,4±2,26 см; средний вес 74±6,34 кг</w:t>
      </w:r>
      <w:r w:rsidRPr="00AC516B">
        <w:rPr>
          <w:sz w:val="28"/>
          <w:szCs w:val="28"/>
        </w:rPr>
        <w:t>.</w:t>
      </w:r>
      <w:r>
        <w:rPr>
          <w:sz w:val="28"/>
          <w:szCs w:val="28"/>
        </w:rPr>
        <w:t xml:space="preserve"> Подгруппы сопоставимы по возрастно-половому составу и антропометрии </w:t>
      </w:r>
      <w:r w:rsidRPr="00AC516B">
        <w:rPr>
          <w:sz w:val="28"/>
          <w:szCs w:val="28"/>
        </w:rPr>
        <w:t>(</w:t>
      </w:r>
      <w:r w:rsidRPr="00AC516B">
        <w:rPr>
          <w:sz w:val="28"/>
          <w:szCs w:val="28"/>
          <w:lang w:val="en-US"/>
        </w:rPr>
        <w:t>p</w:t>
      </w:r>
      <w:r>
        <w:rPr>
          <w:sz w:val="28"/>
          <w:szCs w:val="28"/>
        </w:rPr>
        <w:t>&gt;</w:t>
      </w:r>
      <w:r w:rsidRPr="00AC516B">
        <w:rPr>
          <w:sz w:val="28"/>
          <w:szCs w:val="28"/>
        </w:rPr>
        <w:t>0,05)</w:t>
      </w:r>
      <w:r>
        <w:rPr>
          <w:sz w:val="28"/>
          <w:szCs w:val="28"/>
        </w:rPr>
        <w:t>.</w:t>
      </w:r>
    </w:p>
    <w:p w:rsidR="00286780" w:rsidRPr="00AC516B" w:rsidRDefault="00286780" w:rsidP="00BD2F93">
      <w:pPr>
        <w:spacing w:line="360" w:lineRule="auto"/>
        <w:ind w:firstLine="709"/>
        <w:jc w:val="both"/>
        <w:rPr>
          <w:sz w:val="28"/>
          <w:szCs w:val="28"/>
        </w:rPr>
      </w:pPr>
      <w:r w:rsidRPr="00AC516B">
        <w:rPr>
          <w:sz w:val="28"/>
          <w:szCs w:val="28"/>
        </w:rPr>
        <w:t xml:space="preserve">Сопоставимость </w:t>
      </w:r>
      <w:r>
        <w:rPr>
          <w:sz w:val="28"/>
          <w:szCs w:val="28"/>
        </w:rPr>
        <w:t>подгруппы пациентов с ОС</w:t>
      </w:r>
      <w:r w:rsidR="00F751DC">
        <w:rPr>
          <w:sz w:val="28"/>
          <w:szCs w:val="28"/>
        </w:rPr>
        <w:t xml:space="preserve"> и ХП,</w:t>
      </w:r>
      <w:r>
        <w:rPr>
          <w:sz w:val="28"/>
          <w:szCs w:val="28"/>
        </w:rPr>
        <w:t xml:space="preserve"> контрольной подгруппы</w:t>
      </w:r>
      <w:r w:rsidRPr="00AC516B">
        <w:rPr>
          <w:sz w:val="28"/>
          <w:szCs w:val="28"/>
        </w:rPr>
        <w:t xml:space="preserve"> пациентов с ОС по показателям среднего количества вовлеченных в воспалительный процесс топографо-анатомических областей</w:t>
      </w:r>
      <w:r>
        <w:rPr>
          <w:sz w:val="28"/>
          <w:szCs w:val="28"/>
        </w:rPr>
        <w:t xml:space="preserve"> челюстно-лицевой области</w:t>
      </w:r>
      <w:r w:rsidRPr="00AC516B">
        <w:rPr>
          <w:sz w:val="28"/>
          <w:szCs w:val="28"/>
        </w:rPr>
        <w:t xml:space="preserve"> и </w:t>
      </w:r>
      <w:r w:rsidRPr="00AC516B">
        <w:rPr>
          <w:sz w:val="28"/>
          <w:szCs w:val="28"/>
        </w:rPr>
        <w:lastRenderedPageBreak/>
        <w:t>клетчаточных пространств</w:t>
      </w:r>
      <w:r>
        <w:rPr>
          <w:sz w:val="28"/>
          <w:szCs w:val="28"/>
        </w:rPr>
        <w:t xml:space="preserve"> шеи</w:t>
      </w:r>
      <w:r w:rsidRPr="00AC516B">
        <w:rPr>
          <w:sz w:val="28"/>
          <w:szCs w:val="28"/>
        </w:rPr>
        <w:t xml:space="preserve">, а </w:t>
      </w:r>
      <w:r>
        <w:rPr>
          <w:sz w:val="28"/>
          <w:szCs w:val="28"/>
        </w:rPr>
        <w:t>также</w:t>
      </w:r>
      <w:r w:rsidRPr="00AC516B">
        <w:rPr>
          <w:sz w:val="28"/>
          <w:szCs w:val="28"/>
        </w:rPr>
        <w:t xml:space="preserve"> по локализации воспалительного процес</w:t>
      </w:r>
      <w:r>
        <w:rPr>
          <w:sz w:val="28"/>
          <w:szCs w:val="28"/>
        </w:rPr>
        <w:t>са, представлена в Таблице 13</w:t>
      </w:r>
      <w:r w:rsidRPr="00AC516B">
        <w:rPr>
          <w:sz w:val="28"/>
          <w:szCs w:val="28"/>
        </w:rPr>
        <w:t>.</w:t>
      </w:r>
    </w:p>
    <w:p w:rsidR="00286780" w:rsidRPr="0041756E" w:rsidRDefault="00286780" w:rsidP="00BD2F93">
      <w:pPr>
        <w:rPr>
          <w:sz w:val="16"/>
          <w:szCs w:val="16"/>
        </w:rPr>
      </w:pPr>
    </w:p>
    <w:p w:rsidR="00286780" w:rsidRPr="00AC516B" w:rsidRDefault="00286780" w:rsidP="00BD2F93">
      <w:pPr>
        <w:spacing w:after="120"/>
        <w:jc w:val="both"/>
        <w:rPr>
          <w:sz w:val="28"/>
          <w:szCs w:val="28"/>
        </w:rPr>
      </w:pPr>
      <w:r w:rsidRPr="00AC516B">
        <w:rPr>
          <w:b/>
          <w:sz w:val="28"/>
          <w:szCs w:val="28"/>
        </w:rPr>
        <w:t xml:space="preserve">Таблица </w:t>
      </w:r>
      <w:r>
        <w:rPr>
          <w:b/>
          <w:sz w:val="28"/>
          <w:szCs w:val="28"/>
        </w:rPr>
        <w:t>13</w:t>
      </w:r>
      <w:r w:rsidRPr="00AC516B">
        <w:rPr>
          <w:sz w:val="28"/>
          <w:szCs w:val="28"/>
        </w:rPr>
        <w:t xml:space="preserve"> – Сравнительная характеристика исследуемых </w:t>
      </w:r>
      <w:r>
        <w:rPr>
          <w:sz w:val="28"/>
          <w:szCs w:val="28"/>
        </w:rPr>
        <w:t>под</w:t>
      </w:r>
      <w:r w:rsidRPr="00AC516B">
        <w:rPr>
          <w:sz w:val="28"/>
          <w:szCs w:val="28"/>
        </w:rPr>
        <w:t>групп пациентов с ОС по распространенности воспалительного процесса</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4677"/>
        <w:gridCol w:w="1310"/>
      </w:tblGrid>
      <w:tr w:rsidR="00286780" w:rsidRPr="00AC516B" w:rsidTr="00FA7C6C">
        <w:trPr>
          <w:trHeight w:val="454"/>
        </w:trPr>
        <w:tc>
          <w:tcPr>
            <w:tcW w:w="3936" w:type="dxa"/>
            <w:vAlign w:val="center"/>
          </w:tcPr>
          <w:p w:rsidR="00286780" w:rsidRPr="00AC516B" w:rsidRDefault="00286780" w:rsidP="00FA7C6C">
            <w:pPr>
              <w:jc w:val="center"/>
              <w:rPr>
                <w:i/>
                <w:sz w:val="24"/>
                <w:szCs w:val="24"/>
              </w:rPr>
            </w:pPr>
            <w:r w:rsidRPr="00AC516B">
              <w:rPr>
                <w:i/>
                <w:sz w:val="24"/>
                <w:szCs w:val="24"/>
              </w:rPr>
              <w:t>Группы</w:t>
            </w:r>
          </w:p>
        </w:tc>
        <w:tc>
          <w:tcPr>
            <w:tcW w:w="4677" w:type="dxa"/>
            <w:vAlign w:val="center"/>
          </w:tcPr>
          <w:p w:rsidR="00286780" w:rsidRPr="00AC516B" w:rsidRDefault="00286780" w:rsidP="00FA7C6C">
            <w:pPr>
              <w:jc w:val="center"/>
              <w:rPr>
                <w:i/>
                <w:sz w:val="24"/>
                <w:szCs w:val="24"/>
              </w:rPr>
            </w:pPr>
            <w:r w:rsidRPr="00AC516B">
              <w:rPr>
                <w:i/>
                <w:sz w:val="24"/>
                <w:szCs w:val="24"/>
              </w:rPr>
              <w:t>Количество вовлеченных клетчаточных пространств (среднее значение)</w:t>
            </w:r>
          </w:p>
        </w:tc>
        <w:tc>
          <w:tcPr>
            <w:tcW w:w="1310" w:type="dxa"/>
            <w:vAlign w:val="center"/>
          </w:tcPr>
          <w:p w:rsidR="00286780" w:rsidRPr="00AC516B" w:rsidRDefault="00286780" w:rsidP="00FA7C6C">
            <w:pPr>
              <w:jc w:val="center"/>
              <w:rPr>
                <w:i/>
                <w:sz w:val="24"/>
                <w:szCs w:val="24"/>
                <w:lang w:val="en-US"/>
              </w:rPr>
            </w:pPr>
            <w:r w:rsidRPr="00AC516B">
              <w:rPr>
                <w:i/>
                <w:sz w:val="24"/>
                <w:szCs w:val="24"/>
              </w:rPr>
              <w:t xml:space="preserve">Значение </w:t>
            </w:r>
            <w:r w:rsidRPr="00AC516B">
              <w:rPr>
                <w:i/>
                <w:sz w:val="24"/>
                <w:szCs w:val="24"/>
                <w:lang w:val="en-US"/>
              </w:rPr>
              <w:t>p</w:t>
            </w:r>
          </w:p>
        </w:tc>
      </w:tr>
      <w:tr w:rsidR="00286780" w:rsidRPr="00AC516B" w:rsidTr="00FA7C6C">
        <w:trPr>
          <w:trHeight w:val="454"/>
        </w:trPr>
        <w:tc>
          <w:tcPr>
            <w:tcW w:w="3936" w:type="dxa"/>
          </w:tcPr>
          <w:p w:rsidR="00286780" w:rsidRPr="00AC516B" w:rsidRDefault="00286780" w:rsidP="00FA7C6C">
            <w:pPr>
              <w:rPr>
                <w:sz w:val="24"/>
                <w:szCs w:val="24"/>
              </w:rPr>
            </w:pPr>
            <w:r w:rsidRPr="00AC516B">
              <w:rPr>
                <w:sz w:val="24"/>
                <w:szCs w:val="24"/>
              </w:rPr>
              <w:t xml:space="preserve">1. </w:t>
            </w:r>
            <w:r>
              <w:rPr>
                <w:sz w:val="24"/>
                <w:szCs w:val="24"/>
              </w:rPr>
              <w:t>Под</w:t>
            </w:r>
            <w:r w:rsidRPr="00AC516B">
              <w:rPr>
                <w:sz w:val="24"/>
                <w:szCs w:val="24"/>
              </w:rPr>
              <w:t>группа пациентов с ОС</w:t>
            </w:r>
            <w:r w:rsidR="00F751DC">
              <w:rPr>
                <w:sz w:val="24"/>
                <w:szCs w:val="24"/>
              </w:rPr>
              <w:t xml:space="preserve"> и ХП</w:t>
            </w:r>
            <w:r w:rsidRPr="00AC516B">
              <w:rPr>
                <w:sz w:val="24"/>
                <w:szCs w:val="24"/>
              </w:rPr>
              <w:t xml:space="preserve"> (</w:t>
            </w:r>
            <w:r w:rsidRPr="00AC516B">
              <w:rPr>
                <w:sz w:val="24"/>
                <w:szCs w:val="24"/>
                <w:lang w:val="en-US"/>
              </w:rPr>
              <w:t>n</w:t>
            </w:r>
            <w:r>
              <w:rPr>
                <w:sz w:val="24"/>
                <w:szCs w:val="24"/>
              </w:rPr>
              <w:t>=</w:t>
            </w:r>
            <w:r w:rsidRPr="00AC516B">
              <w:rPr>
                <w:sz w:val="24"/>
                <w:szCs w:val="24"/>
              </w:rPr>
              <w:t>36)</w:t>
            </w:r>
          </w:p>
        </w:tc>
        <w:tc>
          <w:tcPr>
            <w:tcW w:w="4677" w:type="dxa"/>
            <w:vAlign w:val="center"/>
          </w:tcPr>
          <w:p w:rsidR="00286780" w:rsidRPr="00AC516B" w:rsidRDefault="00286780" w:rsidP="00FA7C6C">
            <w:pPr>
              <w:jc w:val="center"/>
              <w:rPr>
                <w:sz w:val="24"/>
                <w:szCs w:val="24"/>
              </w:rPr>
            </w:pPr>
            <w:r w:rsidRPr="00AC516B">
              <w:rPr>
                <w:sz w:val="24"/>
                <w:szCs w:val="24"/>
              </w:rPr>
              <w:t>6,03±0,4</w:t>
            </w:r>
          </w:p>
        </w:tc>
        <w:tc>
          <w:tcPr>
            <w:tcW w:w="1310" w:type="dxa"/>
            <w:vAlign w:val="center"/>
          </w:tcPr>
          <w:p w:rsidR="00286780" w:rsidRPr="00FB0829" w:rsidRDefault="00286780" w:rsidP="00FA7C6C">
            <w:pPr>
              <w:jc w:val="center"/>
              <w:rPr>
                <w:sz w:val="24"/>
                <w:szCs w:val="24"/>
              </w:rPr>
            </w:pPr>
            <w:r w:rsidRPr="00FB0829">
              <w:rPr>
                <w:sz w:val="24"/>
                <w:szCs w:val="24"/>
                <w:lang w:val="en-US"/>
              </w:rPr>
              <w:t>p</w:t>
            </w:r>
            <w:r w:rsidRPr="00FB0829">
              <w:rPr>
                <w:sz w:val="24"/>
                <w:szCs w:val="24"/>
              </w:rPr>
              <w:t>&gt;0,05</w:t>
            </w:r>
          </w:p>
        </w:tc>
      </w:tr>
      <w:tr w:rsidR="00286780" w:rsidRPr="00AC516B" w:rsidTr="00FA7C6C">
        <w:trPr>
          <w:trHeight w:val="454"/>
        </w:trPr>
        <w:tc>
          <w:tcPr>
            <w:tcW w:w="3936" w:type="dxa"/>
          </w:tcPr>
          <w:p w:rsidR="00286780" w:rsidRPr="00AC516B" w:rsidRDefault="00286780" w:rsidP="00FA7C6C">
            <w:pPr>
              <w:rPr>
                <w:sz w:val="24"/>
                <w:szCs w:val="24"/>
              </w:rPr>
            </w:pPr>
            <w:r w:rsidRPr="00AC516B">
              <w:rPr>
                <w:sz w:val="24"/>
                <w:szCs w:val="24"/>
              </w:rPr>
              <w:t xml:space="preserve">2. Контрольная </w:t>
            </w:r>
            <w:r>
              <w:rPr>
                <w:sz w:val="24"/>
                <w:szCs w:val="24"/>
              </w:rPr>
              <w:t>под</w:t>
            </w:r>
            <w:r w:rsidRPr="00AC516B">
              <w:rPr>
                <w:sz w:val="24"/>
                <w:szCs w:val="24"/>
              </w:rPr>
              <w:t>группа пациентов с ОС (</w:t>
            </w:r>
            <w:r w:rsidRPr="00AC516B">
              <w:rPr>
                <w:sz w:val="24"/>
                <w:szCs w:val="24"/>
                <w:lang w:val="en-US"/>
              </w:rPr>
              <w:t>n</w:t>
            </w:r>
            <w:r>
              <w:rPr>
                <w:sz w:val="24"/>
                <w:szCs w:val="24"/>
              </w:rPr>
              <w:t>=</w:t>
            </w:r>
            <w:r w:rsidRPr="00AC516B">
              <w:rPr>
                <w:sz w:val="24"/>
                <w:szCs w:val="24"/>
              </w:rPr>
              <w:t>30)</w:t>
            </w:r>
          </w:p>
        </w:tc>
        <w:tc>
          <w:tcPr>
            <w:tcW w:w="4677" w:type="dxa"/>
            <w:vAlign w:val="center"/>
          </w:tcPr>
          <w:p w:rsidR="00286780" w:rsidRPr="00AC516B" w:rsidRDefault="00286780" w:rsidP="00FA7C6C">
            <w:pPr>
              <w:jc w:val="center"/>
              <w:rPr>
                <w:sz w:val="24"/>
                <w:szCs w:val="24"/>
              </w:rPr>
            </w:pPr>
            <w:r w:rsidRPr="00AC516B">
              <w:rPr>
                <w:sz w:val="24"/>
                <w:szCs w:val="24"/>
              </w:rPr>
              <w:t>5,62±0,5</w:t>
            </w:r>
          </w:p>
        </w:tc>
        <w:tc>
          <w:tcPr>
            <w:tcW w:w="1310" w:type="dxa"/>
            <w:vAlign w:val="center"/>
          </w:tcPr>
          <w:p w:rsidR="00286780" w:rsidRPr="00AC516B" w:rsidRDefault="00286780" w:rsidP="00FA7C6C">
            <w:pPr>
              <w:jc w:val="center"/>
              <w:rPr>
                <w:sz w:val="24"/>
                <w:szCs w:val="24"/>
              </w:rPr>
            </w:pPr>
            <w:r w:rsidRPr="00AC516B">
              <w:rPr>
                <w:sz w:val="24"/>
                <w:szCs w:val="24"/>
              </w:rPr>
              <w:t>–</w:t>
            </w:r>
          </w:p>
        </w:tc>
      </w:tr>
    </w:tbl>
    <w:p w:rsidR="00286780" w:rsidRPr="00AC516B" w:rsidRDefault="00286780" w:rsidP="00BD2F93">
      <w:pPr>
        <w:rPr>
          <w:sz w:val="28"/>
          <w:szCs w:val="28"/>
        </w:rPr>
      </w:pPr>
    </w:p>
    <w:p w:rsidR="00286780" w:rsidRDefault="00286780" w:rsidP="00BD2F93">
      <w:pPr>
        <w:spacing w:line="360" w:lineRule="auto"/>
        <w:ind w:firstLine="709"/>
        <w:jc w:val="both"/>
        <w:rPr>
          <w:sz w:val="28"/>
          <w:szCs w:val="28"/>
        </w:rPr>
      </w:pPr>
      <w:r>
        <w:rPr>
          <w:sz w:val="28"/>
          <w:szCs w:val="28"/>
        </w:rPr>
        <w:t>Из Таблицы 13</w:t>
      </w:r>
      <w:r w:rsidRPr="00AC516B">
        <w:rPr>
          <w:sz w:val="28"/>
          <w:szCs w:val="28"/>
        </w:rPr>
        <w:t xml:space="preserve"> следует, что по среднему количеству вовлеченных в воспалительный процесс топографо-анатомических областей и клетчаточных пространств у пациентов с ОС статистически значимых различий между сравниваемыми </w:t>
      </w:r>
      <w:r>
        <w:rPr>
          <w:sz w:val="28"/>
          <w:szCs w:val="28"/>
        </w:rPr>
        <w:t>под</w:t>
      </w:r>
      <w:r w:rsidRPr="00AC516B">
        <w:rPr>
          <w:sz w:val="28"/>
          <w:szCs w:val="28"/>
        </w:rPr>
        <w:t>группами не обнаружено.</w:t>
      </w:r>
    </w:p>
    <w:p w:rsidR="00286780" w:rsidRPr="00AC516B" w:rsidRDefault="00286780" w:rsidP="00BD2F93">
      <w:pPr>
        <w:spacing w:line="360" w:lineRule="auto"/>
        <w:ind w:firstLine="709"/>
        <w:jc w:val="both"/>
        <w:rPr>
          <w:sz w:val="28"/>
          <w:szCs w:val="28"/>
        </w:rPr>
      </w:pPr>
      <w:r w:rsidRPr="00AC516B">
        <w:rPr>
          <w:sz w:val="28"/>
          <w:szCs w:val="28"/>
        </w:rPr>
        <w:t xml:space="preserve">Рассмотрим топографо-анатомические характеристики воспалительных процессов у пациентов с </w:t>
      </w:r>
      <w:r>
        <w:rPr>
          <w:sz w:val="28"/>
          <w:szCs w:val="28"/>
        </w:rPr>
        <w:t>ОС</w:t>
      </w:r>
      <w:r w:rsidRPr="00AC516B">
        <w:rPr>
          <w:sz w:val="28"/>
          <w:szCs w:val="28"/>
        </w:rPr>
        <w:t xml:space="preserve"> в рамках </w:t>
      </w:r>
      <w:r w:rsidRPr="00AC516B">
        <w:rPr>
          <w:sz w:val="28"/>
          <w:szCs w:val="28"/>
          <w:lang w:val="en-US"/>
        </w:rPr>
        <w:t>I</w:t>
      </w:r>
      <w:r w:rsidRPr="00AC516B">
        <w:rPr>
          <w:sz w:val="28"/>
          <w:szCs w:val="28"/>
        </w:rPr>
        <w:t xml:space="preserve"> блока исследований (Таб</w:t>
      </w:r>
      <w:r>
        <w:rPr>
          <w:sz w:val="28"/>
          <w:szCs w:val="28"/>
        </w:rPr>
        <w:t>лица 14</w:t>
      </w:r>
      <w:r w:rsidRPr="00AC516B">
        <w:rPr>
          <w:sz w:val="28"/>
          <w:szCs w:val="28"/>
        </w:rPr>
        <w:t>).</w:t>
      </w:r>
    </w:p>
    <w:p w:rsidR="00286780" w:rsidRPr="0041756E" w:rsidRDefault="00286780" w:rsidP="00BD2F93">
      <w:pPr>
        <w:rPr>
          <w:sz w:val="16"/>
          <w:szCs w:val="16"/>
        </w:rPr>
      </w:pPr>
    </w:p>
    <w:p w:rsidR="00286780" w:rsidRPr="00AC516B" w:rsidRDefault="00286780" w:rsidP="00BD2F93">
      <w:pPr>
        <w:spacing w:after="120"/>
        <w:jc w:val="both"/>
        <w:rPr>
          <w:sz w:val="28"/>
          <w:szCs w:val="28"/>
        </w:rPr>
      </w:pPr>
      <w:r w:rsidRPr="00AC516B">
        <w:rPr>
          <w:b/>
          <w:sz w:val="28"/>
          <w:szCs w:val="28"/>
        </w:rPr>
        <w:t xml:space="preserve">Таблица </w:t>
      </w:r>
      <w:r>
        <w:rPr>
          <w:b/>
          <w:sz w:val="28"/>
          <w:szCs w:val="28"/>
        </w:rPr>
        <w:t>14</w:t>
      </w:r>
      <w:r w:rsidRPr="00AC516B">
        <w:rPr>
          <w:sz w:val="28"/>
          <w:szCs w:val="28"/>
        </w:rPr>
        <w:t xml:space="preserve"> – Сравнительная характеристика исследуемых </w:t>
      </w:r>
      <w:r>
        <w:rPr>
          <w:sz w:val="28"/>
          <w:szCs w:val="28"/>
        </w:rPr>
        <w:t>под</w:t>
      </w:r>
      <w:r w:rsidRPr="00AC516B">
        <w:rPr>
          <w:sz w:val="28"/>
          <w:szCs w:val="28"/>
        </w:rPr>
        <w:t xml:space="preserve">групп пациентов с ОС по локализации воспалительного процесса </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8"/>
        <w:gridCol w:w="1984"/>
        <w:gridCol w:w="1843"/>
        <w:gridCol w:w="1168"/>
      </w:tblGrid>
      <w:tr w:rsidR="00286780" w:rsidRPr="00AC516B" w:rsidTr="00FA7C6C">
        <w:trPr>
          <w:trHeight w:val="227"/>
          <w:jc w:val="center"/>
        </w:trPr>
        <w:tc>
          <w:tcPr>
            <w:tcW w:w="4928" w:type="dxa"/>
            <w:vMerge w:val="restart"/>
            <w:vAlign w:val="center"/>
          </w:tcPr>
          <w:p w:rsidR="00286780" w:rsidRPr="00AC516B" w:rsidRDefault="00286780" w:rsidP="00FA7C6C">
            <w:pPr>
              <w:jc w:val="center"/>
              <w:rPr>
                <w:i/>
                <w:sz w:val="24"/>
                <w:szCs w:val="24"/>
              </w:rPr>
            </w:pPr>
            <w:r w:rsidRPr="00AC516B">
              <w:rPr>
                <w:i/>
                <w:sz w:val="24"/>
                <w:szCs w:val="24"/>
              </w:rPr>
              <w:t>Клетчаточные пространства и</w:t>
            </w:r>
            <w:r w:rsidRPr="00AC516B">
              <w:rPr>
                <w:i/>
                <w:sz w:val="24"/>
                <w:szCs w:val="24"/>
              </w:rPr>
              <w:br/>
              <w:t xml:space="preserve"> топографо-анатомические области </w:t>
            </w:r>
          </w:p>
        </w:tc>
        <w:tc>
          <w:tcPr>
            <w:tcW w:w="3827" w:type="dxa"/>
            <w:gridSpan w:val="2"/>
            <w:vAlign w:val="center"/>
          </w:tcPr>
          <w:p w:rsidR="00286780" w:rsidRPr="00AC516B" w:rsidRDefault="00286780" w:rsidP="00FA7C6C">
            <w:pPr>
              <w:jc w:val="center"/>
              <w:rPr>
                <w:i/>
                <w:sz w:val="24"/>
                <w:szCs w:val="24"/>
              </w:rPr>
            </w:pPr>
            <w:r w:rsidRPr="00AC516B">
              <w:rPr>
                <w:i/>
                <w:sz w:val="24"/>
                <w:szCs w:val="24"/>
              </w:rPr>
              <w:t>Группы</w:t>
            </w:r>
          </w:p>
        </w:tc>
        <w:tc>
          <w:tcPr>
            <w:tcW w:w="1168" w:type="dxa"/>
            <w:vMerge w:val="restart"/>
            <w:vAlign w:val="center"/>
          </w:tcPr>
          <w:p w:rsidR="00286780" w:rsidRPr="00AC516B" w:rsidRDefault="00286780" w:rsidP="00FA7C6C">
            <w:pPr>
              <w:jc w:val="center"/>
              <w:rPr>
                <w:i/>
                <w:sz w:val="24"/>
                <w:szCs w:val="24"/>
              </w:rPr>
            </w:pPr>
            <w:r w:rsidRPr="00AC516B">
              <w:rPr>
                <w:i/>
                <w:sz w:val="24"/>
                <w:szCs w:val="24"/>
              </w:rPr>
              <w:t xml:space="preserve">Значение </w:t>
            </w:r>
            <w:r w:rsidRPr="00AC516B">
              <w:rPr>
                <w:i/>
                <w:sz w:val="24"/>
                <w:szCs w:val="24"/>
                <w:lang w:val="en-US"/>
              </w:rPr>
              <w:t>p</w:t>
            </w:r>
          </w:p>
        </w:tc>
      </w:tr>
      <w:tr w:rsidR="00286780" w:rsidRPr="00AC516B" w:rsidTr="00FA7C6C">
        <w:trPr>
          <w:trHeight w:val="227"/>
          <w:jc w:val="center"/>
        </w:trPr>
        <w:tc>
          <w:tcPr>
            <w:tcW w:w="4928" w:type="dxa"/>
            <w:vMerge/>
          </w:tcPr>
          <w:p w:rsidR="00286780" w:rsidRPr="00AC516B" w:rsidRDefault="00286780" w:rsidP="00FA7C6C">
            <w:pPr>
              <w:jc w:val="center"/>
              <w:rPr>
                <w:sz w:val="24"/>
                <w:szCs w:val="24"/>
              </w:rPr>
            </w:pPr>
          </w:p>
        </w:tc>
        <w:tc>
          <w:tcPr>
            <w:tcW w:w="1984" w:type="dxa"/>
          </w:tcPr>
          <w:p w:rsidR="00286780" w:rsidRPr="00AC516B" w:rsidRDefault="00286780" w:rsidP="00FA7C6C">
            <w:pPr>
              <w:jc w:val="center"/>
              <w:rPr>
                <w:sz w:val="24"/>
                <w:szCs w:val="24"/>
              </w:rPr>
            </w:pPr>
            <w:r>
              <w:rPr>
                <w:sz w:val="24"/>
                <w:szCs w:val="24"/>
              </w:rPr>
              <w:t>Под</w:t>
            </w:r>
            <w:r w:rsidRPr="00AC516B">
              <w:rPr>
                <w:sz w:val="24"/>
                <w:szCs w:val="24"/>
              </w:rPr>
              <w:t xml:space="preserve">группа </w:t>
            </w:r>
            <w:r w:rsidR="00F751DC">
              <w:rPr>
                <w:sz w:val="24"/>
                <w:szCs w:val="24"/>
              </w:rPr>
              <w:t>с ОС и ХП</w:t>
            </w:r>
            <w:r w:rsidR="005E3F38">
              <w:rPr>
                <w:sz w:val="24"/>
                <w:szCs w:val="24"/>
              </w:rPr>
              <w:t xml:space="preserve"> </w:t>
            </w:r>
            <w:r w:rsidRPr="00AC516B">
              <w:rPr>
                <w:sz w:val="24"/>
                <w:szCs w:val="24"/>
              </w:rPr>
              <w:t>(</w:t>
            </w:r>
            <w:r w:rsidRPr="00AC516B">
              <w:rPr>
                <w:sz w:val="24"/>
                <w:szCs w:val="24"/>
                <w:lang w:val="en-US"/>
              </w:rPr>
              <w:t>n</w:t>
            </w:r>
            <w:r>
              <w:rPr>
                <w:sz w:val="24"/>
                <w:szCs w:val="24"/>
              </w:rPr>
              <w:t>=</w:t>
            </w:r>
            <w:r w:rsidRPr="00AC516B">
              <w:rPr>
                <w:sz w:val="24"/>
                <w:szCs w:val="24"/>
              </w:rPr>
              <w:t>36)</w:t>
            </w:r>
          </w:p>
        </w:tc>
        <w:tc>
          <w:tcPr>
            <w:tcW w:w="1843" w:type="dxa"/>
          </w:tcPr>
          <w:p w:rsidR="00286780" w:rsidRPr="00AC516B" w:rsidRDefault="00286780" w:rsidP="00FA7C6C">
            <w:pPr>
              <w:tabs>
                <w:tab w:val="left" w:pos="2040"/>
              </w:tabs>
              <w:rPr>
                <w:sz w:val="24"/>
                <w:szCs w:val="24"/>
              </w:rPr>
            </w:pPr>
            <w:r w:rsidRPr="00AC516B">
              <w:rPr>
                <w:sz w:val="24"/>
                <w:szCs w:val="24"/>
              </w:rPr>
              <w:t xml:space="preserve">Контрольная </w:t>
            </w:r>
            <w:r>
              <w:rPr>
                <w:sz w:val="24"/>
                <w:szCs w:val="24"/>
              </w:rPr>
              <w:t>под</w:t>
            </w:r>
            <w:r w:rsidRPr="00AC516B">
              <w:rPr>
                <w:sz w:val="24"/>
                <w:szCs w:val="24"/>
              </w:rPr>
              <w:t>группа (</w:t>
            </w:r>
            <w:r w:rsidRPr="00AC516B">
              <w:rPr>
                <w:sz w:val="24"/>
                <w:szCs w:val="24"/>
                <w:lang w:val="en-US"/>
              </w:rPr>
              <w:t>n</w:t>
            </w:r>
            <w:r>
              <w:rPr>
                <w:sz w:val="24"/>
                <w:szCs w:val="24"/>
              </w:rPr>
              <w:t>=</w:t>
            </w:r>
            <w:r w:rsidRPr="00AC516B">
              <w:rPr>
                <w:sz w:val="24"/>
                <w:szCs w:val="24"/>
              </w:rPr>
              <w:t>30)</w:t>
            </w:r>
          </w:p>
        </w:tc>
        <w:tc>
          <w:tcPr>
            <w:tcW w:w="1168" w:type="dxa"/>
            <w:vMerge/>
          </w:tcPr>
          <w:p w:rsidR="00286780" w:rsidRPr="00AC516B" w:rsidRDefault="00286780" w:rsidP="00FA7C6C">
            <w:pPr>
              <w:jc w:val="center"/>
              <w:rPr>
                <w:sz w:val="24"/>
                <w:szCs w:val="24"/>
              </w:rPr>
            </w:pPr>
          </w:p>
        </w:tc>
      </w:tr>
      <w:tr w:rsidR="00286780" w:rsidRPr="00AC516B" w:rsidTr="00C82F8D">
        <w:trPr>
          <w:trHeight w:val="454"/>
          <w:jc w:val="center"/>
        </w:trPr>
        <w:tc>
          <w:tcPr>
            <w:tcW w:w="4928" w:type="dxa"/>
            <w:vAlign w:val="center"/>
          </w:tcPr>
          <w:p w:rsidR="00286780" w:rsidRPr="00AC516B" w:rsidRDefault="00286780" w:rsidP="00FB0829">
            <w:pPr>
              <w:rPr>
                <w:sz w:val="24"/>
                <w:szCs w:val="24"/>
              </w:rPr>
            </w:pPr>
            <w:r w:rsidRPr="00AC516B">
              <w:rPr>
                <w:sz w:val="24"/>
                <w:szCs w:val="24"/>
              </w:rPr>
              <w:t>Дно полости рта</w:t>
            </w:r>
          </w:p>
        </w:tc>
        <w:tc>
          <w:tcPr>
            <w:tcW w:w="1984" w:type="dxa"/>
            <w:vAlign w:val="center"/>
          </w:tcPr>
          <w:p w:rsidR="00286780" w:rsidRPr="00AC516B" w:rsidRDefault="00286780" w:rsidP="00FB0829">
            <w:pPr>
              <w:jc w:val="center"/>
              <w:rPr>
                <w:sz w:val="24"/>
                <w:szCs w:val="24"/>
              </w:rPr>
            </w:pPr>
            <w:r w:rsidRPr="00AC516B">
              <w:rPr>
                <w:sz w:val="24"/>
                <w:szCs w:val="24"/>
              </w:rPr>
              <w:t>3</w:t>
            </w:r>
          </w:p>
        </w:tc>
        <w:tc>
          <w:tcPr>
            <w:tcW w:w="1843" w:type="dxa"/>
            <w:vAlign w:val="center"/>
          </w:tcPr>
          <w:p w:rsidR="00286780" w:rsidRPr="00AC516B" w:rsidRDefault="00286780" w:rsidP="00FB0829">
            <w:pPr>
              <w:jc w:val="center"/>
              <w:rPr>
                <w:sz w:val="24"/>
                <w:szCs w:val="24"/>
              </w:rPr>
            </w:pPr>
            <w:r w:rsidRPr="00AC516B">
              <w:rPr>
                <w:sz w:val="24"/>
                <w:szCs w:val="24"/>
              </w:rPr>
              <w:t>2</w:t>
            </w:r>
          </w:p>
        </w:tc>
        <w:tc>
          <w:tcPr>
            <w:tcW w:w="1168" w:type="dxa"/>
          </w:tcPr>
          <w:p w:rsidR="00286780" w:rsidRPr="00FB0829" w:rsidRDefault="00286780" w:rsidP="00FB0829">
            <w:r w:rsidRPr="00FB0829">
              <w:rPr>
                <w:sz w:val="24"/>
                <w:szCs w:val="24"/>
                <w:lang w:val="en-US"/>
              </w:rPr>
              <w:t>p</w:t>
            </w:r>
            <w:r w:rsidRPr="00FB0829">
              <w:rPr>
                <w:sz w:val="24"/>
                <w:szCs w:val="24"/>
              </w:rPr>
              <w:t>&gt;0,05</w:t>
            </w:r>
          </w:p>
        </w:tc>
      </w:tr>
      <w:tr w:rsidR="00286780" w:rsidRPr="00AC516B" w:rsidTr="00C82F8D">
        <w:trPr>
          <w:trHeight w:val="454"/>
          <w:jc w:val="center"/>
        </w:trPr>
        <w:tc>
          <w:tcPr>
            <w:tcW w:w="4928" w:type="dxa"/>
            <w:vAlign w:val="center"/>
          </w:tcPr>
          <w:p w:rsidR="00286780" w:rsidRPr="00AC516B" w:rsidRDefault="00286780" w:rsidP="00FB0829">
            <w:pPr>
              <w:rPr>
                <w:sz w:val="24"/>
                <w:szCs w:val="24"/>
              </w:rPr>
            </w:pPr>
            <w:r w:rsidRPr="00AC516B">
              <w:rPr>
                <w:sz w:val="24"/>
                <w:szCs w:val="24"/>
              </w:rPr>
              <w:t>Дно полости рта и клетчаточные пространства шеи*</w:t>
            </w:r>
          </w:p>
        </w:tc>
        <w:tc>
          <w:tcPr>
            <w:tcW w:w="1984" w:type="dxa"/>
            <w:vAlign w:val="center"/>
          </w:tcPr>
          <w:p w:rsidR="00286780" w:rsidRPr="00AC516B" w:rsidRDefault="00286780" w:rsidP="00FB0829">
            <w:pPr>
              <w:jc w:val="center"/>
              <w:rPr>
                <w:sz w:val="24"/>
                <w:szCs w:val="24"/>
              </w:rPr>
            </w:pPr>
            <w:r w:rsidRPr="00AC516B">
              <w:rPr>
                <w:sz w:val="24"/>
                <w:szCs w:val="24"/>
              </w:rPr>
              <w:t>11</w:t>
            </w:r>
          </w:p>
        </w:tc>
        <w:tc>
          <w:tcPr>
            <w:tcW w:w="1843" w:type="dxa"/>
            <w:vAlign w:val="center"/>
          </w:tcPr>
          <w:p w:rsidR="00286780" w:rsidRPr="00AC516B" w:rsidRDefault="00286780" w:rsidP="00FB0829">
            <w:pPr>
              <w:jc w:val="center"/>
              <w:rPr>
                <w:sz w:val="24"/>
                <w:szCs w:val="24"/>
              </w:rPr>
            </w:pPr>
            <w:r w:rsidRPr="00AC516B">
              <w:rPr>
                <w:sz w:val="24"/>
                <w:szCs w:val="24"/>
              </w:rPr>
              <w:t>14</w:t>
            </w:r>
          </w:p>
        </w:tc>
        <w:tc>
          <w:tcPr>
            <w:tcW w:w="1168" w:type="dxa"/>
          </w:tcPr>
          <w:p w:rsidR="00286780" w:rsidRPr="00FB0829" w:rsidRDefault="00286780" w:rsidP="00FB0829">
            <w:r w:rsidRPr="00FB0829">
              <w:rPr>
                <w:sz w:val="24"/>
                <w:szCs w:val="24"/>
                <w:lang w:val="en-US"/>
              </w:rPr>
              <w:t>p</w:t>
            </w:r>
            <w:r w:rsidRPr="00FB0829">
              <w:rPr>
                <w:sz w:val="24"/>
                <w:szCs w:val="24"/>
              </w:rPr>
              <w:t>&gt;0,05</w:t>
            </w:r>
          </w:p>
        </w:tc>
      </w:tr>
      <w:tr w:rsidR="00286780" w:rsidRPr="00AC516B" w:rsidTr="00C82F8D">
        <w:trPr>
          <w:trHeight w:val="454"/>
          <w:jc w:val="center"/>
        </w:trPr>
        <w:tc>
          <w:tcPr>
            <w:tcW w:w="4928" w:type="dxa"/>
            <w:vAlign w:val="center"/>
          </w:tcPr>
          <w:p w:rsidR="00286780" w:rsidRPr="00AC516B" w:rsidRDefault="00286780" w:rsidP="00FB0829">
            <w:pPr>
              <w:jc w:val="both"/>
              <w:rPr>
                <w:sz w:val="24"/>
                <w:szCs w:val="24"/>
              </w:rPr>
            </w:pPr>
            <w:r w:rsidRPr="00AC516B">
              <w:rPr>
                <w:sz w:val="24"/>
                <w:szCs w:val="24"/>
              </w:rPr>
              <w:t>Дно полости рта, клетчаточные пространства шеи, медиастинит</w:t>
            </w:r>
          </w:p>
        </w:tc>
        <w:tc>
          <w:tcPr>
            <w:tcW w:w="1984" w:type="dxa"/>
            <w:vAlign w:val="center"/>
          </w:tcPr>
          <w:p w:rsidR="00286780" w:rsidRPr="00AC516B" w:rsidRDefault="00286780" w:rsidP="00FB0829">
            <w:pPr>
              <w:jc w:val="center"/>
              <w:rPr>
                <w:sz w:val="24"/>
                <w:szCs w:val="24"/>
              </w:rPr>
            </w:pPr>
            <w:r w:rsidRPr="00AC516B">
              <w:rPr>
                <w:sz w:val="24"/>
                <w:szCs w:val="24"/>
              </w:rPr>
              <w:t>8</w:t>
            </w:r>
          </w:p>
        </w:tc>
        <w:tc>
          <w:tcPr>
            <w:tcW w:w="1843" w:type="dxa"/>
            <w:vAlign w:val="center"/>
          </w:tcPr>
          <w:p w:rsidR="00286780" w:rsidRPr="00AC516B" w:rsidRDefault="00286780" w:rsidP="00FB0829">
            <w:pPr>
              <w:jc w:val="center"/>
              <w:rPr>
                <w:sz w:val="24"/>
                <w:szCs w:val="24"/>
              </w:rPr>
            </w:pPr>
            <w:r w:rsidRPr="00AC516B">
              <w:rPr>
                <w:sz w:val="24"/>
                <w:szCs w:val="24"/>
              </w:rPr>
              <w:t>10</w:t>
            </w:r>
          </w:p>
        </w:tc>
        <w:tc>
          <w:tcPr>
            <w:tcW w:w="1168" w:type="dxa"/>
          </w:tcPr>
          <w:p w:rsidR="00286780" w:rsidRPr="00FB0829" w:rsidRDefault="00286780" w:rsidP="00FB0829">
            <w:r w:rsidRPr="00FB0829">
              <w:rPr>
                <w:sz w:val="24"/>
                <w:szCs w:val="24"/>
                <w:lang w:val="en-US"/>
              </w:rPr>
              <w:t>p</w:t>
            </w:r>
            <w:r w:rsidRPr="00FB0829">
              <w:rPr>
                <w:sz w:val="24"/>
                <w:szCs w:val="24"/>
              </w:rPr>
              <w:t>&gt;0,05</w:t>
            </w:r>
          </w:p>
        </w:tc>
      </w:tr>
      <w:tr w:rsidR="00286780" w:rsidRPr="00AC516B" w:rsidTr="00C82F8D">
        <w:trPr>
          <w:trHeight w:val="454"/>
          <w:jc w:val="center"/>
        </w:trPr>
        <w:tc>
          <w:tcPr>
            <w:tcW w:w="4928" w:type="dxa"/>
            <w:vAlign w:val="center"/>
          </w:tcPr>
          <w:p w:rsidR="00286780" w:rsidRPr="00AC516B" w:rsidRDefault="00286780" w:rsidP="00FB0829">
            <w:pPr>
              <w:jc w:val="both"/>
              <w:rPr>
                <w:sz w:val="24"/>
                <w:szCs w:val="24"/>
              </w:rPr>
            </w:pPr>
            <w:r w:rsidRPr="00AC516B">
              <w:rPr>
                <w:sz w:val="24"/>
                <w:szCs w:val="24"/>
              </w:rPr>
              <w:t>Иная локализация**</w:t>
            </w:r>
          </w:p>
        </w:tc>
        <w:tc>
          <w:tcPr>
            <w:tcW w:w="1984" w:type="dxa"/>
            <w:vAlign w:val="center"/>
          </w:tcPr>
          <w:p w:rsidR="00286780" w:rsidRPr="00AC516B" w:rsidRDefault="00286780" w:rsidP="00FB0829">
            <w:pPr>
              <w:jc w:val="center"/>
              <w:rPr>
                <w:sz w:val="24"/>
                <w:szCs w:val="24"/>
              </w:rPr>
            </w:pPr>
            <w:r w:rsidRPr="00AC516B">
              <w:rPr>
                <w:sz w:val="24"/>
                <w:szCs w:val="24"/>
              </w:rPr>
              <w:t>8</w:t>
            </w:r>
          </w:p>
        </w:tc>
        <w:tc>
          <w:tcPr>
            <w:tcW w:w="1843" w:type="dxa"/>
            <w:vAlign w:val="center"/>
          </w:tcPr>
          <w:p w:rsidR="00286780" w:rsidRPr="00AC516B" w:rsidRDefault="00286780" w:rsidP="00FB0829">
            <w:pPr>
              <w:jc w:val="center"/>
              <w:rPr>
                <w:sz w:val="24"/>
                <w:szCs w:val="24"/>
              </w:rPr>
            </w:pPr>
            <w:r w:rsidRPr="00AC516B">
              <w:rPr>
                <w:sz w:val="24"/>
                <w:szCs w:val="24"/>
              </w:rPr>
              <w:t>10</w:t>
            </w:r>
          </w:p>
        </w:tc>
        <w:tc>
          <w:tcPr>
            <w:tcW w:w="1168" w:type="dxa"/>
          </w:tcPr>
          <w:p w:rsidR="00286780" w:rsidRPr="00FB0829" w:rsidRDefault="00286780" w:rsidP="00FB0829">
            <w:r w:rsidRPr="00FB0829">
              <w:rPr>
                <w:sz w:val="24"/>
                <w:szCs w:val="24"/>
                <w:lang w:val="en-US"/>
              </w:rPr>
              <w:t>p</w:t>
            </w:r>
            <w:r w:rsidRPr="00FB0829">
              <w:rPr>
                <w:sz w:val="24"/>
                <w:szCs w:val="24"/>
              </w:rPr>
              <w:t>&gt;0,05</w:t>
            </w:r>
          </w:p>
        </w:tc>
      </w:tr>
      <w:tr w:rsidR="00286780" w:rsidRPr="00AC516B" w:rsidTr="00FA7C6C">
        <w:trPr>
          <w:trHeight w:val="227"/>
          <w:jc w:val="center"/>
        </w:trPr>
        <w:tc>
          <w:tcPr>
            <w:tcW w:w="9923" w:type="dxa"/>
            <w:gridSpan w:val="4"/>
          </w:tcPr>
          <w:p w:rsidR="00286780" w:rsidRPr="00AC516B" w:rsidRDefault="00286780" w:rsidP="00FA7C6C">
            <w:pPr>
              <w:jc w:val="both"/>
              <w:rPr>
                <w:sz w:val="24"/>
                <w:szCs w:val="24"/>
              </w:rPr>
            </w:pPr>
            <w:r w:rsidRPr="00AC516B">
              <w:rPr>
                <w:i/>
                <w:sz w:val="24"/>
                <w:szCs w:val="24"/>
              </w:rPr>
              <w:t>Примечание</w:t>
            </w:r>
            <w:r w:rsidRPr="00AC516B">
              <w:rPr>
                <w:sz w:val="24"/>
                <w:szCs w:val="24"/>
              </w:rPr>
              <w:t>. * – пространства между париетальным и висцеральным листками внутренностной (4-й) фасции шеи по В.Н.Шевкуненко (превисцеральное, ретровисцеральное, претрахеальное), пространство наружного шейного треугольника; ** – топографо-анатомические об</w:t>
            </w:r>
            <w:r>
              <w:rPr>
                <w:sz w:val="24"/>
                <w:szCs w:val="24"/>
              </w:rPr>
              <w:t>ласти</w:t>
            </w:r>
            <w:r w:rsidRPr="00AC516B">
              <w:rPr>
                <w:sz w:val="24"/>
                <w:szCs w:val="24"/>
              </w:rPr>
              <w:t xml:space="preserve">, прилежащие к верхней челюсти, а </w:t>
            </w:r>
            <w:r>
              <w:rPr>
                <w:sz w:val="24"/>
                <w:szCs w:val="24"/>
              </w:rPr>
              <w:t>также</w:t>
            </w:r>
            <w:r w:rsidRPr="00AC516B">
              <w:rPr>
                <w:sz w:val="24"/>
                <w:szCs w:val="24"/>
              </w:rPr>
              <w:t xml:space="preserve"> не обозначенные в пп. № 1–3 таблицы</w:t>
            </w:r>
          </w:p>
        </w:tc>
      </w:tr>
    </w:tbl>
    <w:p w:rsidR="003040FC" w:rsidRDefault="003040FC" w:rsidP="00BD2F93">
      <w:pPr>
        <w:spacing w:line="360" w:lineRule="auto"/>
        <w:ind w:firstLine="709"/>
        <w:jc w:val="both"/>
        <w:rPr>
          <w:sz w:val="28"/>
          <w:szCs w:val="28"/>
        </w:rPr>
      </w:pPr>
    </w:p>
    <w:p w:rsidR="00286780" w:rsidRPr="00AC516B" w:rsidRDefault="00286780" w:rsidP="00BD2F93">
      <w:pPr>
        <w:spacing w:line="360" w:lineRule="auto"/>
        <w:ind w:firstLine="709"/>
        <w:jc w:val="both"/>
        <w:rPr>
          <w:rFonts w:cs="Calibri"/>
          <w:szCs w:val="28"/>
        </w:rPr>
      </w:pPr>
      <w:r w:rsidRPr="00AC516B">
        <w:rPr>
          <w:sz w:val="28"/>
          <w:szCs w:val="28"/>
        </w:rPr>
        <w:t xml:space="preserve">Следовательно, исследование топографо-анатомических характеристик локализации воспалительного процесса в сравниваемых </w:t>
      </w:r>
      <w:r w:rsidR="00F751DC">
        <w:rPr>
          <w:sz w:val="28"/>
          <w:szCs w:val="28"/>
        </w:rPr>
        <w:t>под</w:t>
      </w:r>
      <w:r w:rsidRPr="00AC516B">
        <w:rPr>
          <w:sz w:val="28"/>
          <w:szCs w:val="28"/>
        </w:rPr>
        <w:t>группах пациентов с ОС статистически значимых различий не выявило (</w:t>
      </w:r>
      <w:r w:rsidRPr="00AC516B">
        <w:rPr>
          <w:sz w:val="28"/>
          <w:szCs w:val="28"/>
          <w:lang w:val="en-US"/>
        </w:rPr>
        <w:t>p</w:t>
      </w:r>
      <w:r>
        <w:rPr>
          <w:sz w:val="28"/>
          <w:szCs w:val="28"/>
        </w:rPr>
        <w:t>&gt;</w:t>
      </w:r>
      <w:r w:rsidRPr="00AC516B">
        <w:rPr>
          <w:sz w:val="28"/>
          <w:szCs w:val="28"/>
        </w:rPr>
        <w:t>0,05).</w:t>
      </w:r>
    </w:p>
    <w:p w:rsidR="00286780" w:rsidRDefault="00286780" w:rsidP="00BD2F93">
      <w:pPr>
        <w:spacing w:line="360" w:lineRule="auto"/>
        <w:ind w:firstLine="709"/>
        <w:jc w:val="both"/>
        <w:rPr>
          <w:sz w:val="28"/>
          <w:szCs w:val="28"/>
        </w:rPr>
      </w:pPr>
      <w:r w:rsidRPr="00AC516B">
        <w:rPr>
          <w:sz w:val="28"/>
          <w:szCs w:val="28"/>
        </w:rPr>
        <w:lastRenderedPageBreak/>
        <w:t xml:space="preserve">Сравниваемые </w:t>
      </w:r>
      <w:r>
        <w:rPr>
          <w:sz w:val="28"/>
          <w:szCs w:val="28"/>
        </w:rPr>
        <w:t>под</w:t>
      </w:r>
      <w:r w:rsidRPr="00AC516B">
        <w:rPr>
          <w:sz w:val="28"/>
          <w:szCs w:val="28"/>
        </w:rPr>
        <w:t>группы паци</w:t>
      </w:r>
      <w:r>
        <w:rPr>
          <w:sz w:val="28"/>
          <w:szCs w:val="28"/>
        </w:rPr>
        <w:t>ентов с сепсисом (Таблица 15</w:t>
      </w:r>
      <w:r w:rsidRPr="00AC516B">
        <w:rPr>
          <w:sz w:val="28"/>
          <w:szCs w:val="28"/>
        </w:rPr>
        <w:t xml:space="preserve">) сопоставимы по </w:t>
      </w:r>
      <w:r>
        <w:rPr>
          <w:sz w:val="28"/>
          <w:szCs w:val="28"/>
        </w:rPr>
        <w:t>возрастно-половым характеристикам,</w:t>
      </w:r>
      <w:r w:rsidRPr="00AC516B">
        <w:rPr>
          <w:sz w:val="28"/>
          <w:szCs w:val="28"/>
        </w:rPr>
        <w:t xml:space="preserve"> характеру предоперационной подготовки, объему оперативного лечения, составу и объему медикаментозной интенсивной терапии (</w:t>
      </w:r>
      <w:r w:rsidRPr="00AC516B">
        <w:rPr>
          <w:sz w:val="28"/>
          <w:szCs w:val="28"/>
          <w:lang w:val="en-US"/>
        </w:rPr>
        <w:t>p</w:t>
      </w:r>
      <w:r>
        <w:rPr>
          <w:sz w:val="28"/>
          <w:szCs w:val="28"/>
        </w:rPr>
        <w:t>&gt;</w:t>
      </w:r>
      <w:r w:rsidRPr="00AC516B">
        <w:rPr>
          <w:sz w:val="28"/>
          <w:szCs w:val="28"/>
        </w:rPr>
        <w:t>0,05).</w:t>
      </w:r>
    </w:p>
    <w:p w:rsidR="00286780" w:rsidRDefault="00286780" w:rsidP="00BD2F93">
      <w:pPr>
        <w:jc w:val="both"/>
        <w:rPr>
          <w:sz w:val="28"/>
          <w:szCs w:val="28"/>
        </w:rPr>
      </w:pPr>
    </w:p>
    <w:p w:rsidR="00286780" w:rsidRPr="001D1E6B" w:rsidRDefault="00286780" w:rsidP="00BD2F93">
      <w:pPr>
        <w:spacing w:after="120"/>
        <w:jc w:val="both"/>
        <w:rPr>
          <w:sz w:val="28"/>
          <w:szCs w:val="28"/>
        </w:rPr>
      </w:pPr>
      <w:r>
        <w:rPr>
          <w:b/>
          <w:sz w:val="28"/>
          <w:szCs w:val="28"/>
        </w:rPr>
        <w:t>Таблица 15</w:t>
      </w:r>
      <w:r w:rsidR="00456ED3">
        <w:rPr>
          <w:b/>
          <w:sz w:val="28"/>
          <w:szCs w:val="28"/>
        </w:rPr>
        <w:t xml:space="preserve"> </w:t>
      </w:r>
      <w:r w:rsidRPr="001D1E6B">
        <w:rPr>
          <w:sz w:val="28"/>
          <w:szCs w:val="28"/>
        </w:rPr>
        <w:t>–</w:t>
      </w:r>
      <w:r w:rsidR="00456ED3">
        <w:rPr>
          <w:sz w:val="28"/>
          <w:szCs w:val="28"/>
        </w:rPr>
        <w:t>Подг</w:t>
      </w:r>
      <w:r w:rsidRPr="001D1E6B">
        <w:rPr>
          <w:sz w:val="28"/>
          <w:szCs w:val="28"/>
        </w:rPr>
        <w:t>руппы пациентов с одонтогенным сепсисом (I блок исследований)</w:t>
      </w:r>
    </w:p>
    <w:tbl>
      <w:tblPr>
        <w:tblW w:w="9923" w:type="dxa"/>
        <w:tblLayout w:type="fixed"/>
        <w:tblLook w:val="0000" w:firstRow="0" w:lastRow="0" w:firstColumn="0" w:lastColumn="0" w:noHBand="0" w:noVBand="0"/>
      </w:tblPr>
      <w:tblGrid>
        <w:gridCol w:w="879"/>
        <w:gridCol w:w="1559"/>
        <w:gridCol w:w="1418"/>
        <w:gridCol w:w="3402"/>
        <w:gridCol w:w="2665"/>
      </w:tblGrid>
      <w:tr w:rsidR="00286780" w:rsidRPr="001D1E6B" w:rsidTr="00FA7C6C">
        <w:tc>
          <w:tcPr>
            <w:tcW w:w="879" w:type="dxa"/>
            <w:tcBorders>
              <w:top w:val="single" w:sz="4" w:space="0" w:color="000000"/>
              <w:left w:val="single" w:sz="4" w:space="0" w:color="000000"/>
              <w:bottom w:val="single" w:sz="4" w:space="0" w:color="000000"/>
            </w:tcBorders>
            <w:tcMar>
              <w:left w:w="28" w:type="dxa"/>
              <w:right w:w="28" w:type="dxa"/>
            </w:tcMar>
            <w:vAlign w:val="center"/>
          </w:tcPr>
          <w:p w:rsidR="00286780" w:rsidRPr="001D1E6B" w:rsidRDefault="00286780" w:rsidP="00FA7C6C">
            <w:pPr>
              <w:snapToGrid w:val="0"/>
              <w:ind w:firstLine="5"/>
              <w:jc w:val="center"/>
              <w:rPr>
                <w:i/>
                <w:sz w:val="24"/>
                <w:szCs w:val="24"/>
              </w:rPr>
            </w:pPr>
            <w:r w:rsidRPr="001D1E6B">
              <w:rPr>
                <w:i/>
                <w:sz w:val="24"/>
                <w:szCs w:val="24"/>
              </w:rPr>
              <w:t>№</w:t>
            </w:r>
            <w:r w:rsidRPr="001D1E6B">
              <w:rPr>
                <w:i/>
                <w:sz w:val="24"/>
                <w:szCs w:val="24"/>
              </w:rPr>
              <w:br/>
            </w:r>
            <w:r>
              <w:rPr>
                <w:i/>
                <w:sz w:val="24"/>
                <w:szCs w:val="24"/>
              </w:rPr>
              <w:t>под</w:t>
            </w:r>
            <w:r w:rsidRPr="001D1E6B">
              <w:rPr>
                <w:i/>
                <w:sz w:val="24"/>
                <w:szCs w:val="24"/>
              </w:rPr>
              <w:t>группы</w:t>
            </w:r>
          </w:p>
        </w:tc>
        <w:tc>
          <w:tcPr>
            <w:tcW w:w="1559" w:type="dxa"/>
            <w:tcBorders>
              <w:top w:val="single" w:sz="4" w:space="0" w:color="000000"/>
              <w:left w:val="single" w:sz="4" w:space="0" w:color="000000"/>
              <w:bottom w:val="single" w:sz="4" w:space="0" w:color="000000"/>
            </w:tcBorders>
            <w:tcMar>
              <w:left w:w="28" w:type="dxa"/>
              <w:right w:w="28" w:type="dxa"/>
            </w:tcMar>
            <w:vAlign w:val="center"/>
          </w:tcPr>
          <w:p w:rsidR="00286780" w:rsidRPr="001D1E6B" w:rsidRDefault="00286780" w:rsidP="00FA7C6C">
            <w:pPr>
              <w:snapToGrid w:val="0"/>
              <w:ind w:firstLine="5"/>
              <w:jc w:val="center"/>
              <w:rPr>
                <w:i/>
                <w:sz w:val="24"/>
                <w:szCs w:val="24"/>
              </w:rPr>
            </w:pPr>
            <w:r w:rsidRPr="001D1E6B">
              <w:rPr>
                <w:i/>
                <w:sz w:val="24"/>
                <w:szCs w:val="24"/>
              </w:rPr>
              <w:t xml:space="preserve">Наименование </w:t>
            </w:r>
            <w:r>
              <w:rPr>
                <w:i/>
                <w:sz w:val="24"/>
                <w:szCs w:val="24"/>
              </w:rPr>
              <w:t>под</w:t>
            </w:r>
            <w:r w:rsidRPr="001D1E6B">
              <w:rPr>
                <w:i/>
                <w:sz w:val="24"/>
                <w:szCs w:val="24"/>
              </w:rPr>
              <w:t>группы</w:t>
            </w:r>
          </w:p>
        </w:tc>
        <w:tc>
          <w:tcPr>
            <w:tcW w:w="1418" w:type="dxa"/>
            <w:tcBorders>
              <w:top w:val="single" w:sz="4" w:space="0" w:color="000000"/>
              <w:left w:val="single" w:sz="4" w:space="0" w:color="000000"/>
              <w:bottom w:val="single" w:sz="4" w:space="0" w:color="000000"/>
            </w:tcBorders>
            <w:tcMar>
              <w:left w:w="28" w:type="dxa"/>
              <w:right w:w="28" w:type="dxa"/>
            </w:tcMar>
            <w:vAlign w:val="center"/>
          </w:tcPr>
          <w:p w:rsidR="00286780" w:rsidRPr="001D1E6B" w:rsidRDefault="00286780" w:rsidP="00FA7C6C">
            <w:pPr>
              <w:snapToGrid w:val="0"/>
              <w:ind w:firstLine="5"/>
              <w:jc w:val="center"/>
              <w:rPr>
                <w:i/>
                <w:sz w:val="24"/>
                <w:szCs w:val="24"/>
              </w:rPr>
            </w:pPr>
            <w:r>
              <w:rPr>
                <w:i/>
                <w:sz w:val="24"/>
                <w:szCs w:val="24"/>
              </w:rPr>
              <w:t xml:space="preserve">Численность </w:t>
            </w:r>
          </w:p>
        </w:tc>
        <w:tc>
          <w:tcPr>
            <w:tcW w:w="3402" w:type="dxa"/>
            <w:tcBorders>
              <w:top w:val="single" w:sz="4" w:space="0" w:color="000000"/>
              <w:left w:val="single" w:sz="4" w:space="0" w:color="000000"/>
              <w:bottom w:val="single" w:sz="4" w:space="0" w:color="000000"/>
            </w:tcBorders>
            <w:tcMar>
              <w:left w:w="28" w:type="dxa"/>
              <w:right w:w="28" w:type="dxa"/>
            </w:tcMar>
            <w:vAlign w:val="center"/>
          </w:tcPr>
          <w:p w:rsidR="00286780" w:rsidRPr="001D1E6B" w:rsidRDefault="00286780" w:rsidP="00FA7C6C">
            <w:pPr>
              <w:snapToGrid w:val="0"/>
              <w:ind w:firstLine="5"/>
              <w:jc w:val="center"/>
              <w:rPr>
                <w:i/>
                <w:sz w:val="24"/>
                <w:szCs w:val="24"/>
              </w:rPr>
            </w:pPr>
            <w:r>
              <w:rPr>
                <w:i/>
                <w:sz w:val="24"/>
                <w:szCs w:val="24"/>
              </w:rPr>
              <w:t>Формирование</w:t>
            </w:r>
          </w:p>
        </w:tc>
        <w:tc>
          <w:tcPr>
            <w:tcW w:w="266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D1E6B" w:rsidRDefault="00286780" w:rsidP="00FA7C6C">
            <w:pPr>
              <w:snapToGrid w:val="0"/>
              <w:ind w:firstLine="5"/>
              <w:jc w:val="center"/>
              <w:rPr>
                <w:i/>
                <w:sz w:val="24"/>
                <w:szCs w:val="24"/>
              </w:rPr>
            </w:pPr>
            <w:r>
              <w:rPr>
                <w:i/>
                <w:sz w:val="24"/>
                <w:szCs w:val="24"/>
              </w:rPr>
              <w:t>Состав</w:t>
            </w:r>
          </w:p>
        </w:tc>
      </w:tr>
      <w:tr w:rsidR="00286780" w:rsidRPr="001D1E6B" w:rsidTr="00FA7C6C">
        <w:tc>
          <w:tcPr>
            <w:tcW w:w="879" w:type="dxa"/>
            <w:tcBorders>
              <w:top w:val="single" w:sz="4" w:space="0" w:color="000000"/>
              <w:left w:val="single" w:sz="4" w:space="0" w:color="000000"/>
              <w:bottom w:val="single" w:sz="4" w:space="0" w:color="000000"/>
            </w:tcBorders>
            <w:tcMar>
              <w:left w:w="28" w:type="dxa"/>
              <w:right w:w="28" w:type="dxa"/>
            </w:tcMar>
          </w:tcPr>
          <w:p w:rsidR="00286780" w:rsidRPr="001D1E6B" w:rsidRDefault="00286780" w:rsidP="00FA7C6C">
            <w:pPr>
              <w:snapToGrid w:val="0"/>
              <w:ind w:firstLine="5"/>
              <w:jc w:val="center"/>
              <w:rPr>
                <w:sz w:val="24"/>
                <w:szCs w:val="24"/>
              </w:rPr>
            </w:pPr>
            <w:r w:rsidRPr="001D1E6B">
              <w:rPr>
                <w:sz w:val="24"/>
                <w:szCs w:val="24"/>
              </w:rPr>
              <w:t>1.</w:t>
            </w:r>
          </w:p>
        </w:tc>
        <w:tc>
          <w:tcPr>
            <w:tcW w:w="1559" w:type="dxa"/>
            <w:tcBorders>
              <w:top w:val="single" w:sz="4" w:space="0" w:color="000000"/>
              <w:left w:val="single" w:sz="4" w:space="0" w:color="000000"/>
              <w:bottom w:val="single" w:sz="4" w:space="0" w:color="000000"/>
            </w:tcBorders>
            <w:tcMar>
              <w:left w:w="28" w:type="dxa"/>
              <w:right w:w="28" w:type="dxa"/>
            </w:tcMar>
          </w:tcPr>
          <w:p w:rsidR="00286780" w:rsidRPr="001D1E6B" w:rsidRDefault="00286780" w:rsidP="00FA7C6C">
            <w:pPr>
              <w:snapToGrid w:val="0"/>
              <w:ind w:firstLine="5"/>
              <w:jc w:val="both"/>
              <w:rPr>
                <w:sz w:val="24"/>
                <w:szCs w:val="24"/>
              </w:rPr>
            </w:pPr>
            <w:r>
              <w:rPr>
                <w:sz w:val="24"/>
                <w:szCs w:val="24"/>
              </w:rPr>
              <w:t>Под</w:t>
            </w:r>
            <w:r w:rsidRPr="001D1E6B">
              <w:rPr>
                <w:sz w:val="24"/>
                <w:szCs w:val="24"/>
              </w:rPr>
              <w:t>группа пациентов с одонтогенным сепсисом</w:t>
            </w:r>
            <w:r w:rsidR="00F751DC">
              <w:rPr>
                <w:sz w:val="24"/>
                <w:szCs w:val="24"/>
              </w:rPr>
              <w:t xml:space="preserve"> и ХП</w:t>
            </w:r>
          </w:p>
        </w:tc>
        <w:tc>
          <w:tcPr>
            <w:tcW w:w="1418" w:type="dxa"/>
            <w:tcBorders>
              <w:top w:val="single" w:sz="4" w:space="0" w:color="000000"/>
              <w:left w:val="single" w:sz="4" w:space="0" w:color="000000"/>
              <w:bottom w:val="single" w:sz="4" w:space="0" w:color="000000"/>
            </w:tcBorders>
            <w:tcMar>
              <w:left w:w="28" w:type="dxa"/>
              <w:right w:w="28" w:type="dxa"/>
            </w:tcMar>
          </w:tcPr>
          <w:p w:rsidR="00286780" w:rsidRPr="001D1E6B" w:rsidRDefault="00286780" w:rsidP="00FA7C6C">
            <w:pPr>
              <w:snapToGrid w:val="0"/>
              <w:ind w:firstLine="5"/>
              <w:jc w:val="center"/>
              <w:rPr>
                <w:sz w:val="24"/>
                <w:szCs w:val="24"/>
              </w:rPr>
            </w:pPr>
            <w:r w:rsidRPr="001D1E6B">
              <w:rPr>
                <w:sz w:val="24"/>
                <w:szCs w:val="24"/>
              </w:rPr>
              <w:t>36</w:t>
            </w:r>
          </w:p>
        </w:tc>
        <w:tc>
          <w:tcPr>
            <w:tcW w:w="3402" w:type="dxa"/>
            <w:tcBorders>
              <w:top w:val="single" w:sz="4" w:space="0" w:color="000000"/>
              <w:left w:val="single" w:sz="4" w:space="0" w:color="000000"/>
              <w:bottom w:val="single" w:sz="4" w:space="0" w:color="000000"/>
            </w:tcBorders>
            <w:tcMar>
              <w:left w:w="28" w:type="dxa"/>
              <w:right w:w="28" w:type="dxa"/>
            </w:tcMar>
          </w:tcPr>
          <w:p w:rsidR="00286780" w:rsidRPr="001D1E6B" w:rsidRDefault="00286780" w:rsidP="00114E1B">
            <w:pPr>
              <w:snapToGrid w:val="0"/>
              <w:ind w:left="113" w:right="112" w:firstLine="5"/>
              <w:jc w:val="both"/>
              <w:rPr>
                <w:sz w:val="24"/>
                <w:szCs w:val="24"/>
              </w:rPr>
            </w:pPr>
            <w:r w:rsidRPr="001D1E6B">
              <w:rPr>
                <w:sz w:val="24"/>
                <w:szCs w:val="24"/>
              </w:rPr>
              <w:t>19 пациентов КОКБ (2012–2015 гг.), 10 пациентов КОКБ (2000–2010 гг.), 2 пациента КОКБ (2018–2019 гг.), 5 пациентов ВОКБ № 1 (2016–2019 гг.)</w:t>
            </w:r>
          </w:p>
        </w:tc>
        <w:tc>
          <w:tcPr>
            <w:tcW w:w="2665" w:type="dxa"/>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1D1E6B" w:rsidRDefault="00286780" w:rsidP="00114E1B">
            <w:pPr>
              <w:snapToGrid w:val="0"/>
              <w:ind w:left="110" w:right="89" w:firstLine="5"/>
              <w:jc w:val="both"/>
              <w:rPr>
                <w:sz w:val="24"/>
                <w:szCs w:val="24"/>
              </w:rPr>
            </w:pPr>
            <w:r w:rsidRPr="001D1E6B">
              <w:rPr>
                <w:sz w:val="24"/>
                <w:szCs w:val="24"/>
              </w:rPr>
              <w:t>Пациенты с одонтогенным сепсисом и хроническими заболеваниями внутренних органов</w:t>
            </w:r>
          </w:p>
        </w:tc>
      </w:tr>
      <w:tr w:rsidR="00286780" w:rsidRPr="001D1E6B" w:rsidTr="00FA7C6C">
        <w:tc>
          <w:tcPr>
            <w:tcW w:w="879" w:type="dxa"/>
            <w:tcBorders>
              <w:top w:val="single" w:sz="4" w:space="0" w:color="000000"/>
              <w:left w:val="single" w:sz="4" w:space="0" w:color="000000"/>
              <w:bottom w:val="single" w:sz="4" w:space="0" w:color="000000"/>
            </w:tcBorders>
            <w:tcMar>
              <w:left w:w="28" w:type="dxa"/>
              <w:right w:w="28" w:type="dxa"/>
            </w:tcMar>
          </w:tcPr>
          <w:p w:rsidR="00286780" w:rsidRPr="001D1E6B" w:rsidRDefault="00286780" w:rsidP="00FA7C6C">
            <w:pPr>
              <w:snapToGrid w:val="0"/>
              <w:ind w:firstLine="5"/>
              <w:jc w:val="center"/>
              <w:rPr>
                <w:sz w:val="24"/>
                <w:szCs w:val="24"/>
              </w:rPr>
            </w:pPr>
            <w:r w:rsidRPr="001D1E6B">
              <w:rPr>
                <w:sz w:val="24"/>
                <w:szCs w:val="24"/>
              </w:rPr>
              <w:t>2.</w:t>
            </w:r>
          </w:p>
        </w:tc>
        <w:tc>
          <w:tcPr>
            <w:tcW w:w="1559" w:type="dxa"/>
            <w:tcBorders>
              <w:top w:val="single" w:sz="4" w:space="0" w:color="000000"/>
              <w:left w:val="single" w:sz="4" w:space="0" w:color="000000"/>
              <w:bottom w:val="single" w:sz="4" w:space="0" w:color="000000"/>
            </w:tcBorders>
            <w:tcMar>
              <w:left w:w="28" w:type="dxa"/>
              <w:right w:w="28" w:type="dxa"/>
            </w:tcMar>
          </w:tcPr>
          <w:p w:rsidR="00286780" w:rsidRPr="001D1E6B" w:rsidRDefault="00286780" w:rsidP="00FA7C6C">
            <w:pPr>
              <w:snapToGrid w:val="0"/>
              <w:ind w:firstLine="5"/>
              <w:jc w:val="both"/>
              <w:rPr>
                <w:sz w:val="24"/>
                <w:szCs w:val="24"/>
              </w:rPr>
            </w:pPr>
            <w:r w:rsidRPr="001D1E6B">
              <w:rPr>
                <w:sz w:val="24"/>
                <w:szCs w:val="24"/>
              </w:rPr>
              <w:t xml:space="preserve">Контрольная </w:t>
            </w:r>
            <w:r>
              <w:rPr>
                <w:sz w:val="24"/>
                <w:szCs w:val="24"/>
              </w:rPr>
              <w:t>под</w:t>
            </w:r>
            <w:r w:rsidRPr="001D1E6B">
              <w:rPr>
                <w:sz w:val="24"/>
                <w:szCs w:val="24"/>
              </w:rPr>
              <w:t xml:space="preserve">группа пациентов с одонтогенным сепсисом </w:t>
            </w:r>
          </w:p>
        </w:tc>
        <w:tc>
          <w:tcPr>
            <w:tcW w:w="1418" w:type="dxa"/>
            <w:tcBorders>
              <w:top w:val="single" w:sz="4" w:space="0" w:color="000000"/>
              <w:left w:val="single" w:sz="4" w:space="0" w:color="000000"/>
              <w:bottom w:val="single" w:sz="4" w:space="0" w:color="000000"/>
            </w:tcBorders>
            <w:tcMar>
              <w:left w:w="28" w:type="dxa"/>
              <w:right w:w="28" w:type="dxa"/>
            </w:tcMar>
          </w:tcPr>
          <w:p w:rsidR="00286780" w:rsidRPr="001D1E6B" w:rsidRDefault="00286780" w:rsidP="00FA7C6C">
            <w:pPr>
              <w:snapToGrid w:val="0"/>
              <w:ind w:firstLine="5"/>
              <w:jc w:val="center"/>
              <w:rPr>
                <w:sz w:val="24"/>
                <w:szCs w:val="24"/>
              </w:rPr>
            </w:pPr>
            <w:r w:rsidRPr="001D1E6B">
              <w:rPr>
                <w:sz w:val="24"/>
                <w:szCs w:val="24"/>
              </w:rPr>
              <w:t>30</w:t>
            </w:r>
          </w:p>
        </w:tc>
        <w:tc>
          <w:tcPr>
            <w:tcW w:w="3402" w:type="dxa"/>
            <w:tcBorders>
              <w:top w:val="single" w:sz="4" w:space="0" w:color="000000"/>
              <w:left w:val="single" w:sz="4" w:space="0" w:color="000000"/>
              <w:bottom w:val="single" w:sz="4" w:space="0" w:color="000000"/>
            </w:tcBorders>
            <w:tcMar>
              <w:left w:w="28" w:type="dxa"/>
              <w:right w:w="28" w:type="dxa"/>
            </w:tcMar>
          </w:tcPr>
          <w:p w:rsidR="00286780" w:rsidRPr="001D1E6B" w:rsidRDefault="00286780" w:rsidP="00114E1B">
            <w:pPr>
              <w:snapToGrid w:val="0"/>
              <w:ind w:left="113" w:right="112" w:firstLine="5"/>
              <w:jc w:val="both"/>
              <w:rPr>
                <w:sz w:val="24"/>
                <w:szCs w:val="24"/>
              </w:rPr>
            </w:pPr>
            <w:r w:rsidRPr="001D1E6B">
              <w:rPr>
                <w:sz w:val="24"/>
                <w:szCs w:val="24"/>
              </w:rPr>
              <w:t>17 пациентов КОКБ (2012–2015 гг.), 7 пациентов КОКБ (2000–2010 гг.), 2 пациента КОКБ (2018</w:t>
            </w:r>
            <w:r>
              <w:rPr>
                <w:sz w:val="24"/>
                <w:szCs w:val="24"/>
              </w:rPr>
              <w:t> </w:t>
            </w:r>
            <w:r w:rsidRPr="001D1E6B">
              <w:rPr>
                <w:sz w:val="24"/>
                <w:szCs w:val="24"/>
              </w:rPr>
              <w:t>г.), 4 пациента ВОКБ № 1 (2016-2019 гг.)</w:t>
            </w:r>
          </w:p>
        </w:tc>
        <w:tc>
          <w:tcPr>
            <w:tcW w:w="2665" w:type="dxa"/>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1D1E6B" w:rsidRDefault="00286780" w:rsidP="00114E1B">
            <w:pPr>
              <w:snapToGrid w:val="0"/>
              <w:ind w:left="110" w:right="89" w:firstLine="5"/>
              <w:jc w:val="both"/>
              <w:rPr>
                <w:sz w:val="24"/>
                <w:szCs w:val="24"/>
              </w:rPr>
            </w:pPr>
            <w:r w:rsidRPr="001D1E6B">
              <w:rPr>
                <w:sz w:val="24"/>
                <w:szCs w:val="24"/>
              </w:rPr>
              <w:t>Пациенты с одонтогенным сепсисом без хронической патологии</w:t>
            </w:r>
          </w:p>
        </w:tc>
      </w:tr>
      <w:tr w:rsidR="00286780" w:rsidRPr="001D1E6B" w:rsidTr="00FA7C6C">
        <w:trPr>
          <w:trHeight w:val="454"/>
        </w:trPr>
        <w:tc>
          <w:tcPr>
            <w:tcW w:w="879" w:type="dxa"/>
            <w:tcBorders>
              <w:top w:val="single" w:sz="4" w:space="0" w:color="000000"/>
              <w:left w:val="single" w:sz="4" w:space="0" w:color="000000"/>
              <w:bottom w:val="single" w:sz="4" w:space="0" w:color="000000"/>
            </w:tcBorders>
            <w:tcMar>
              <w:left w:w="28" w:type="dxa"/>
              <w:right w:w="28" w:type="dxa"/>
            </w:tcMar>
            <w:vAlign w:val="center"/>
          </w:tcPr>
          <w:p w:rsidR="00286780" w:rsidRPr="001D1E6B" w:rsidRDefault="00286780" w:rsidP="00FA7C6C">
            <w:pPr>
              <w:snapToGrid w:val="0"/>
              <w:ind w:firstLine="5"/>
              <w:jc w:val="both"/>
              <w:rPr>
                <w:sz w:val="24"/>
                <w:szCs w:val="24"/>
              </w:rPr>
            </w:pPr>
          </w:p>
        </w:tc>
        <w:tc>
          <w:tcPr>
            <w:tcW w:w="1559" w:type="dxa"/>
            <w:tcBorders>
              <w:top w:val="single" w:sz="4" w:space="0" w:color="000000"/>
              <w:left w:val="single" w:sz="4" w:space="0" w:color="000000"/>
              <w:bottom w:val="single" w:sz="4" w:space="0" w:color="000000"/>
            </w:tcBorders>
            <w:tcMar>
              <w:left w:w="28" w:type="dxa"/>
              <w:right w:w="28" w:type="dxa"/>
            </w:tcMar>
            <w:vAlign w:val="center"/>
          </w:tcPr>
          <w:p w:rsidR="00286780" w:rsidRPr="001D1E6B" w:rsidRDefault="00286780" w:rsidP="00FA7C6C">
            <w:pPr>
              <w:snapToGrid w:val="0"/>
              <w:ind w:firstLine="5"/>
              <w:jc w:val="both"/>
              <w:rPr>
                <w:sz w:val="24"/>
                <w:szCs w:val="24"/>
              </w:rPr>
            </w:pPr>
            <w:r w:rsidRPr="001D1E6B">
              <w:rPr>
                <w:sz w:val="24"/>
                <w:szCs w:val="24"/>
              </w:rPr>
              <w:t xml:space="preserve">Всего </w:t>
            </w:r>
          </w:p>
        </w:tc>
        <w:tc>
          <w:tcPr>
            <w:tcW w:w="1418" w:type="dxa"/>
            <w:tcBorders>
              <w:top w:val="single" w:sz="4" w:space="0" w:color="000000"/>
              <w:left w:val="single" w:sz="4" w:space="0" w:color="000000"/>
              <w:bottom w:val="single" w:sz="4" w:space="0" w:color="000000"/>
            </w:tcBorders>
            <w:tcMar>
              <w:left w:w="28" w:type="dxa"/>
              <w:right w:w="28" w:type="dxa"/>
            </w:tcMar>
            <w:vAlign w:val="center"/>
          </w:tcPr>
          <w:p w:rsidR="00286780" w:rsidRPr="001D1E6B" w:rsidRDefault="00286780" w:rsidP="00FA7C6C">
            <w:pPr>
              <w:snapToGrid w:val="0"/>
              <w:ind w:firstLine="5"/>
              <w:jc w:val="center"/>
              <w:rPr>
                <w:sz w:val="24"/>
                <w:szCs w:val="24"/>
              </w:rPr>
            </w:pPr>
            <w:r w:rsidRPr="001D1E6B">
              <w:rPr>
                <w:sz w:val="24"/>
                <w:szCs w:val="24"/>
              </w:rPr>
              <w:t>66</w:t>
            </w:r>
          </w:p>
        </w:tc>
        <w:tc>
          <w:tcPr>
            <w:tcW w:w="3402" w:type="dxa"/>
            <w:tcBorders>
              <w:top w:val="single" w:sz="4" w:space="0" w:color="000000"/>
              <w:left w:val="single" w:sz="4" w:space="0" w:color="000000"/>
              <w:bottom w:val="single" w:sz="4" w:space="0" w:color="000000"/>
            </w:tcBorders>
            <w:tcMar>
              <w:left w:w="28" w:type="dxa"/>
              <w:right w:w="28" w:type="dxa"/>
            </w:tcMar>
            <w:vAlign w:val="center"/>
          </w:tcPr>
          <w:p w:rsidR="00286780" w:rsidRPr="001D1E6B" w:rsidRDefault="00286780" w:rsidP="00FA7C6C">
            <w:pPr>
              <w:snapToGrid w:val="0"/>
              <w:ind w:firstLine="5"/>
              <w:jc w:val="both"/>
              <w:rPr>
                <w:sz w:val="24"/>
                <w:szCs w:val="24"/>
              </w:rPr>
            </w:pPr>
            <w:r w:rsidRPr="001D1E6B">
              <w:rPr>
                <w:sz w:val="24"/>
                <w:szCs w:val="24"/>
              </w:rPr>
              <w:t>–</w:t>
            </w:r>
          </w:p>
        </w:tc>
        <w:tc>
          <w:tcPr>
            <w:tcW w:w="266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D1E6B" w:rsidRDefault="00286780" w:rsidP="00FA7C6C">
            <w:pPr>
              <w:snapToGrid w:val="0"/>
              <w:ind w:firstLine="5"/>
              <w:jc w:val="both"/>
              <w:rPr>
                <w:sz w:val="24"/>
                <w:szCs w:val="24"/>
              </w:rPr>
            </w:pPr>
            <w:r w:rsidRPr="001D1E6B">
              <w:rPr>
                <w:sz w:val="24"/>
                <w:szCs w:val="24"/>
              </w:rPr>
              <w:t>–</w:t>
            </w:r>
          </w:p>
        </w:tc>
      </w:tr>
      <w:tr w:rsidR="00286780" w:rsidRPr="001D1E6B" w:rsidTr="00FA7C6C">
        <w:tc>
          <w:tcPr>
            <w:tcW w:w="9923" w:type="dxa"/>
            <w:gridSpan w:val="5"/>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1D1E6B" w:rsidRDefault="00286780" w:rsidP="00FA7C6C">
            <w:pPr>
              <w:snapToGrid w:val="0"/>
              <w:ind w:firstLine="5"/>
              <w:jc w:val="both"/>
              <w:rPr>
                <w:sz w:val="24"/>
                <w:szCs w:val="24"/>
              </w:rPr>
            </w:pPr>
            <w:r w:rsidRPr="001D1E6B">
              <w:rPr>
                <w:i/>
                <w:sz w:val="24"/>
                <w:szCs w:val="24"/>
              </w:rPr>
              <w:t>Примечание</w:t>
            </w:r>
            <w:r w:rsidRPr="001D1E6B">
              <w:rPr>
                <w:sz w:val="24"/>
                <w:szCs w:val="24"/>
              </w:rPr>
              <w:t>. КОКБ – Курская областная клиническая больница, ВОКБ – Воронежская областная клиническая больница</w:t>
            </w:r>
          </w:p>
        </w:tc>
      </w:tr>
    </w:tbl>
    <w:p w:rsidR="00286780" w:rsidRPr="001D1E6B" w:rsidRDefault="00286780" w:rsidP="00BD2F93">
      <w:pPr>
        <w:jc w:val="both"/>
        <w:rPr>
          <w:sz w:val="28"/>
          <w:szCs w:val="28"/>
        </w:rPr>
      </w:pPr>
    </w:p>
    <w:p w:rsidR="00286780" w:rsidRPr="00AC516B" w:rsidRDefault="00286780" w:rsidP="00BD2F93">
      <w:pPr>
        <w:spacing w:line="360" w:lineRule="auto"/>
        <w:ind w:firstLine="709"/>
        <w:jc w:val="both"/>
        <w:rPr>
          <w:sz w:val="28"/>
          <w:szCs w:val="28"/>
        </w:rPr>
      </w:pPr>
      <w:r w:rsidRPr="00AC516B">
        <w:rPr>
          <w:sz w:val="28"/>
          <w:szCs w:val="28"/>
        </w:rPr>
        <w:t xml:space="preserve">Таким образом, в рамках </w:t>
      </w:r>
      <w:r w:rsidRPr="00AC516B">
        <w:rPr>
          <w:sz w:val="28"/>
          <w:szCs w:val="28"/>
          <w:lang w:val="en-US"/>
        </w:rPr>
        <w:t>I</w:t>
      </w:r>
      <w:r w:rsidRPr="00AC516B">
        <w:rPr>
          <w:sz w:val="28"/>
          <w:szCs w:val="28"/>
        </w:rPr>
        <w:t xml:space="preserve"> блока ис</w:t>
      </w:r>
      <w:r>
        <w:rPr>
          <w:sz w:val="28"/>
          <w:szCs w:val="28"/>
        </w:rPr>
        <w:t>следований всего обследовано 502</w:t>
      </w:r>
      <w:r w:rsidRPr="00AC516B">
        <w:rPr>
          <w:sz w:val="28"/>
          <w:szCs w:val="28"/>
        </w:rPr>
        <w:t xml:space="preserve"> пациентов с одонтогенными воспалительными заболеваниями и хронической патологией внутренних органов: 66 пациен</w:t>
      </w:r>
      <w:r>
        <w:rPr>
          <w:sz w:val="28"/>
          <w:szCs w:val="28"/>
        </w:rPr>
        <w:t>тов с одонтогенным сепсисом, 436</w:t>
      </w:r>
      <w:r w:rsidRPr="00AC516B">
        <w:rPr>
          <w:sz w:val="28"/>
          <w:szCs w:val="28"/>
        </w:rPr>
        <w:t xml:space="preserve"> пациента с местной формой одонтогенной инфекции.</w:t>
      </w:r>
    </w:p>
    <w:p w:rsidR="00C55ECF" w:rsidRDefault="000F335B" w:rsidP="000F335B">
      <w:pPr>
        <w:spacing w:line="360" w:lineRule="auto"/>
        <w:ind w:firstLine="709"/>
        <w:jc w:val="both"/>
        <w:rPr>
          <w:sz w:val="28"/>
          <w:szCs w:val="28"/>
        </w:rPr>
      </w:pPr>
      <w:r w:rsidRPr="00AC516B">
        <w:rPr>
          <w:sz w:val="28"/>
          <w:szCs w:val="28"/>
        </w:rPr>
        <w:t xml:space="preserve">Критерии диагностики одонтогенного сепсиса: </w:t>
      </w:r>
      <w:r>
        <w:rPr>
          <w:sz w:val="28"/>
          <w:szCs w:val="28"/>
        </w:rPr>
        <w:t xml:space="preserve">использованы критерии </w:t>
      </w:r>
      <w:r w:rsidRPr="00AC516B">
        <w:rPr>
          <w:sz w:val="28"/>
          <w:szCs w:val="28"/>
        </w:rPr>
        <w:t>Европейского общества медицины критических состояний и Общества медицины критических состояний (</w:t>
      </w:r>
      <w:r w:rsidRPr="00AC516B">
        <w:rPr>
          <w:sz w:val="28"/>
          <w:szCs w:val="28"/>
          <w:lang w:val="en-US"/>
        </w:rPr>
        <w:t>SCCM</w:t>
      </w:r>
      <w:r w:rsidRPr="00AC516B">
        <w:rPr>
          <w:sz w:val="28"/>
          <w:szCs w:val="28"/>
        </w:rPr>
        <w:t>/</w:t>
      </w:r>
      <w:r w:rsidRPr="00AC516B">
        <w:rPr>
          <w:sz w:val="28"/>
          <w:szCs w:val="28"/>
          <w:lang w:val="en-US"/>
        </w:rPr>
        <w:t>ESICM</w:t>
      </w:r>
      <w:r w:rsidRPr="00AC516B">
        <w:rPr>
          <w:sz w:val="28"/>
          <w:szCs w:val="28"/>
        </w:rPr>
        <w:t>) «Сепсис-3»</w:t>
      </w:r>
      <w:r>
        <w:rPr>
          <w:sz w:val="28"/>
          <w:szCs w:val="28"/>
        </w:rPr>
        <w:t>, в том числе ретроспективно (Рисунок 3</w:t>
      </w:r>
      <w:r w:rsidRPr="00AC516B">
        <w:rPr>
          <w:sz w:val="28"/>
          <w:szCs w:val="28"/>
        </w:rPr>
        <w:t>).</w:t>
      </w:r>
    </w:p>
    <w:p w:rsidR="000F335B" w:rsidRDefault="000F335B" w:rsidP="000F335B">
      <w:pPr>
        <w:spacing w:line="360" w:lineRule="auto"/>
        <w:ind w:firstLine="709"/>
        <w:jc w:val="both"/>
        <w:rPr>
          <w:sz w:val="28"/>
          <w:szCs w:val="28"/>
        </w:rPr>
      </w:pPr>
      <w:r>
        <w:rPr>
          <w:sz w:val="28"/>
          <w:szCs w:val="28"/>
        </w:rPr>
        <w:t xml:space="preserve">Пациенты с подозрением на инфекционный процесс анализированы с применением дифференциально-диагностической шкалы </w:t>
      </w:r>
      <w:r>
        <w:rPr>
          <w:sz w:val="28"/>
          <w:szCs w:val="28"/>
          <w:lang w:val="en-US"/>
        </w:rPr>
        <w:t>qSOFA</w:t>
      </w:r>
      <w:r>
        <w:rPr>
          <w:sz w:val="28"/>
          <w:szCs w:val="28"/>
        </w:rPr>
        <w:t xml:space="preserve">. При наличии двух и более баллов органная недостаточность оценивалась по шкале </w:t>
      </w:r>
      <w:r>
        <w:rPr>
          <w:sz w:val="28"/>
          <w:szCs w:val="28"/>
          <w:lang w:val="en-US"/>
        </w:rPr>
        <w:t>SOFA</w:t>
      </w:r>
      <w:r>
        <w:rPr>
          <w:sz w:val="28"/>
          <w:szCs w:val="28"/>
        </w:rPr>
        <w:t xml:space="preserve">. Два и более балла по </w:t>
      </w:r>
      <w:r>
        <w:rPr>
          <w:sz w:val="28"/>
          <w:szCs w:val="28"/>
          <w:lang w:val="en-US"/>
        </w:rPr>
        <w:t>SOFA</w:t>
      </w:r>
      <w:r w:rsidRPr="000F335B">
        <w:rPr>
          <w:sz w:val="28"/>
          <w:szCs w:val="28"/>
        </w:rPr>
        <w:t xml:space="preserve"> </w:t>
      </w:r>
      <w:r>
        <w:rPr>
          <w:sz w:val="28"/>
          <w:szCs w:val="28"/>
        </w:rPr>
        <w:t>указывает на развитие сепсиса.</w:t>
      </w:r>
    </w:p>
    <w:p w:rsidR="00286780" w:rsidRPr="00C55ECF" w:rsidRDefault="000F335B" w:rsidP="00C55ECF">
      <w:pPr>
        <w:spacing w:line="360" w:lineRule="auto"/>
        <w:ind w:firstLine="709"/>
        <w:jc w:val="both"/>
        <w:rPr>
          <w:sz w:val="28"/>
          <w:szCs w:val="28"/>
        </w:rPr>
      </w:pPr>
      <w:r>
        <w:rPr>
          <w:sz w:val="28"/>
          <w:szCs w:val="28"/>
        </w:rPr>
        <w:lastRenderedPageBreak/>
        <w:t xml:space="preserve">Отсутствие достаточного </w:t>
      </w:r>
      <w:r w:rsidR="00C55ECF">
        <w:rPr>
          <w:sz w:val="28"/>
          <w:szCs w:val="28"/>
        </w:rPr>
        <w:t xml:space="preserve">для определения сепсиса </w:t>
      </w:r>
      <w:r>
        <w:rPr>
          <w:sz w:val="28"/>
          <w:szCs w:val="28"/>
        </w:rPr>
        <w:t xml:space="preserve">количества баллов по </w:t>
      </w:r>
      <w:r>
        <w:rPr>
          <w:sz w:val="28"/>
          <w:szCs w:val="28"/>
          <w:lang w:val="en-US"/>
        </w:rPr>
        <w:t>qSOFA</w:t>
      </w:r>
      <w:r>
        <w:rPr>
          <w:sz w:val="28"/>
          <w:szCs w:val="28"/>
        </w:rPr>
        <w:t xml:space="preserve"> </w:t>
      </w:r>
      <w:r w:rsidR="00C55ECF">
        <w:rPr>
          <w:sz w:val="28"/>
          <w:szCs w:val="28"/>
        </w:rPr>
        <w:t>может означать как отсутствие септического процесса, так и необходимость дальнейшего наблюдения пациента.</w:t>
      </w:r>
    </w:p>
    <w:p w:rsidR="00286780" w:rsidRPr="004A0CF0" w:rsidRDefault="00807D20" w:rsidP="00BD2F93">
      <w:pPr>
        <w:jc w:val="center"/>
        <w:rPr>
          <w:sz w:val="28"/>
          <w:szCs w:val="28"/>
          <w:lang w:eastAsia="en-US"/>
        </w:rPr>
      </w:pPr>
      <w:r>
        <w:rPr>
          <w:noProof/>
          <w:sz w:val="28"/>
          <w:szCs w:val="28"/>
        </w:rPr>
        <w:pict>
          <v:shape id="_x0000_i1030" type="#_x0000_t75" style="width:487.5pt;height:491.25pt;visibility:visible">
            <v:imagedata r:id="rId12" o:title=""/>
          </v:shape>
        </w:pict>
      </w:r>
    </w:p>
    <w:p w:rsidR="00286780" w:rsidRPr="0047401B" w:rsidRDefault="00286780" w:rsidP="00BD2F93">
      <w:pPr>
        <w:pStyle w:val="a3"/>
      </w:pPr>
      <w:r w:rsidRPr="00AC516B">
        <w:rPr>
          <w:b/>
        </w:rPr>
        <w:t xml:space="preserve">Рисунок </w:t>
      </w:r>
      <w:r>
        <w:rPr>
          <w:b/>
        </w:rPr>
        <w:t>3</w:t>
      </w:r>
      <w:r w:rsidRPr="00AC516B">
        <w:t xml:space="preserve"> – Алгоритм диагностики сепсиса согласно критериям </w:t>
      </w:r>
      <w:r w:rsidRPr="00AC516B">
        <w:rPr>
          <w:lang w:val="en-US"/>
        </w:rPr>
        <w:t>SCCM</w:t>
      </w:r>
      <w:r w:rsidRPr="00AC516B">
        <w:t>/</w:t>
      </w:r>
      <w:r w:rsidRPr="00AC516B">
        <w:rPr>
          <w:lang w:val="en-US"/>
        </w:rPr>
        <w:t>ESICM</w:t>
      </w:r>
      <w:r>
        <w:t xml:space="preserve"> (2016 г.)</w:t>
      </w:r>
    </w:p>
    <w:p w:rsidR="00286780" w:rsidRPr="004A0CF0" w:rsidRDefault="00286780" w:rsidP="00BD2F93">
      <w:pPr>
        <w:jc w:val="center"/>
        <w:rPr>
          <w:sz w:val="28"/>
          <w:szCs w:val="28"/>
          <w:lang w:eastAsia="en-US"/>
        </w:rPr>
      </w:pPr>
    </w:p>
    <w:p w:rsidR="00286780" w:rsidRPr="001D1E6B" w:rsidRDefault="00286780" w:rsidP="00BD2F93">
      <w:pPr>
        <w:spacing w:line="360" w:lineRule="auto"/>
        <w:ind w:firstLine="709"/>
        <w:jc w:val="both"/>
        <w:rPr>
          <w:sz w:val="28"/>
          <w:szCs w:val="28"/>
        </w:rPr>
      </w:pPr>
      <w:r w:rsidRPr="001D1E6B">
        <w:rPr>
          <w:sz w:val="28"/>
          <w:szCs w:val="28"/>
        </w:rPr>
        <w:t xml:space="preserve">Таким образом, в рамках </w:t>
      </w:r>
      <w:r w:rsidRPr="001D1E6B">
        <w:rPr>
          <w:sz w:val="28"/>
          <w:szCs w:val="28"/>
          <w:lang w:val="en-US"/>
        </w:rPr>
        <w:t>I</w:t>
      </w:r>
      <w:r w:rsidRPr="001D1E6B">
        <w:rPr>
          <w:sz w:val="28"/>
          <w:szCs w:val="28"/>
        </w:rPr>
        <w:t xml:space="preserve"> блока исследований сформировано две </w:t>
      </w:r>
      <w:r>
        <w:rPr>
          <w:sz w:val="28"/>
          <w:szCs w:val="28"/>
        </w:rPr>
        <w:t>под</w:t>
      </w:r>
      <w:r w:rsidRPr="001D1E6B">
        <w:rPr>
          <w:sz w:val="28"/>
          <w:szCs w:val="28"/>
        </w:rPr>
        <w:t>группы пациентов с одонтогенным сепсисом.</w:t>
      </w:r>
    </w:p>
    <w:p w:rsidR="00286780" w:rsidRPr="001D1E6B" w:rsidRDefault="00286780" w:rsidP="00BD2F93">
      <w:pPr>
        <w:spacing w:line="360" w:lineRule="auto"/>
        <w:ind w:firstLine="709"/>
        <w:jc w:val="both"/>
        <w:rPr>
          <w:sz w:val="28"/>
          <w:szCs w:val="28"/>
        </w:rPr>
      </w:pPr>
      <w:r w:rsidRPr="008277FA">
        <w:rPr>
          <w:b/>
          <w:sz w:val="28"/>
          <w:szCs w:val="28"/>
        </w:rPr>
        <w:t>Второй (</w:t>
      </w:r>
      <w:r w:rsidRPr="008277FA">
        <w:rPr>
          <w:b/>
          <w:sz w:val="28"/>
          <w:szCs w:val="28"/>
          <w:lang w:val="en-US"/>
        </w:rPr>
        <w:t>II</w:t>
      </w:r>
      <w:r w:rsidRPr="008277FA">
        <w:rPr>
          <w:b/>
          <w:sz w:val="28"/>
          <w:szCs w:val="28"/>
        </w:rPr>
        <w:t>) блок исследований</w:t>
      </w:r>
      <w:r w:rsidRPr="001D1E6B">
        <w:rPr>
          <w:sz w:val="28"/>
          <w:szCs w:val="28"/>
        </w:rPr>
        <w:t xml:space="preserve"> включает определение общих закономерностей и особенностей клинических проявлений хирургических осложнений острой одонтогенной инфекции при наличии фоновой полиорганной полимор</w:t>
      </w:r>
      <w:r w:rsidRPr="001D1E6B">
        <w:rPr>
          <w:sz w:val="28"/>
          <w:szCs w:val="28"/>
        </w:rPr>
        <w:lastRenderedPageBreak/>
        <w:t>бидной патологии (полиорганная ФП) и синдрома взаимного отягощения. Дана комплексная клинико-лабораторная характеристика хирургических осложнений одонтогенной инфекции и полиорганной ФП в соответствии с характером, распространенностью воспалительного процесса, наличием органной недостаточности, формой гнойной инфекции и характером фоновых заболеваний.</w:t>
      </w:r>
    </w:p>
    <w:p w:rsidR="00286780" w:rsidRPr="001D1E6B" w:rsidRDefault="00286780" w:rsidP="00BD2F93">
      <w:pPr>
        <w:spacing w:line="360" w:lineRule="auto"/>
        <w:ind w:firstLine="709"/>
        <w:jc w:val="both"/>
        <w:rPr>
          <w:sz w:val="28"/>
          <w:szCs w:val="28"/>
        </w:rPr>
      </w:pPr>
      <w:r w:rsidRPr="008277FA">
        <w:rPr>
          <w:b/>
          <w:sz w:val="28"/>
          <w:szCs w:val="28"/>
        </w:rPr>
        <w:t xml:space="preserve">В рамках </w:t>
      </w:r>
      <w:r w:rsidRPr="008277FA">
        <w:rPr>
          <w:b/>
          <w:sz w:val="28"/>
          <w:szCs w:val="28"/>
          <w:lang w:val="en-US"/>
        </w:rPr>
        <w:t>II</w:t>
      </w:r>
      <w:r w:rsidRPr="008277FA">
        <w:rPr>
          <w:b/>
          <w:sz w:val="28"/>
          <w:szCs w:val="28"/>
        </w:rPr>
        <w:t xml:space="preserve"> блока исследований</w:t>
      </w:r>
      <w:r w:rsidRPr="001D1E6B">
        <w:rPr>
          <w:sz w:val="28"/>
          <w:szCs w:val="28"/>
        </w:rPr>
        <w:t>, выполнен анализ возрастно-половых характеристик, характеристик полиморбидной патологии, результатов клинико-лабораторного обследования, методов и результатов комплексного лечения 167 пациентов с одонтогенными гнойно-воспалительными заболеваниями челюстно-лицевой области и полиморбидными полиорганными заболеваниями сердечно-сосудистой, дыхательной, эндокринной, мочевыделительной систем, пищеварительной системы и печени, гепатитами «В» и «С», синдромом алкогольной зависимости.</w:t>
      </w:r>
    </w:p>
    <w:p w:rsidR="00286780" w:rsidRPr="001D1E6B" w:rsidRDefault="00286780" w:rsidP="006D0512">
      <w:pPr>
        <w:tabs>
          <w:tab w:val="left" w:pos="3520"/>
        </w:tabs>
        <w:spacing w:line="360" w:lineRule="auto"/>
        <w:ind w:firstLine="709"/>
        <w:jc w:val="both"/>
        <w:rPr>
          <w:sz w:val="28"/>
          <w:szCs w:val="28"/>
        </w:rPr>
      </w:pPr>
      <w:r w:rsidRPr="001D1E6B">
        <w:rPr>
          <w:sz w:val="28"/>
          <w:szCs w:val="28"/>
        </w:rPr>
        <w:t>Исследуемый материал сгруппирован в соответствии с характером инфекционного процесса (МФОИ, ОС), наличи</w:t>
      </w:r>
      <w:r>
        <w:rPr>
          <w:sz w:val="28"/>
          <w:szCs w:val="28"/>
        </w:rPr>
        <w:t>ем ФП, сформированы четыре подгруппы</w:t>
      </w:r>
      <w:r w:rsidRPr="001D1E6B">
        <w:rPr>
          <w:sz w:val="28"/>
          <w:szCs w:val="28"/>
        </w:rPr>
        <w:t xml:space="preserve">, а </w:t>
      </w:r>
      <w:r>
        <w:rPr>
          <w:sz w:val="28"/>
          <w:szCs w:val="28"/>
        </w:rPr>
        <w:t>также</w:t>
      </w:r>
      <w:r w:rsidR="00456ED3">
        <w:rPr>
          <w:sz w:val="28"/>
          <w:szCs w:val="28"/>
        </w:rPr>
        <w:t xml:space="preserve"> </w:t>
      </w:r>
      <w:r>
        <w:rPr>
          <w:sz w:val="28"/>
          <w:szCs w:val="28"/>
        </w:rPr>
        <w:t>подгруппа</w:t>
      </w:r>
      <w:r w:rsidRPr="001D1E6B">
        <w:rPr>
          <w:sz w:val="28"/>
          <w:szCs w:val="28"/>
        </w:rPr>
        <w:t xml:space="preserve"> пациентов с МФОИ и полиморбидными полиорганными забо</w:t>
      </w:r>
      <w:r>
        <w:rPr>
          <w:sz w:val="28"/>
          <w:szCs w:val="28"/>
        </w:rPr>
        <w:t>леваниями (Рисунок 4, Таблица 16</w:t>
      </w:r>
      <w:r w:rsidRPr="001D1E6B">
        <w:rPr>
          <w:sz w:val="28"/>
          <w:szCs w:val="28"/>
        </w:rPr>
        <w:t>).</w:t>
      </w:r>
      <w:r w:rsidR="006D0512">
        <w:rPr>
          <w:sz w:val="28"/>
          <w:szCs w:val="28"/>
        </w:rPr>
        <w:t xml:space="preserve"> </w:t>
      </w:r>
      <w:r>
        <w:rPr>
          <w:sz w:val="28"/>
          <w:szCs w:val="28"/>
        </w:rPr>
        <w:t>Подгруппа</w:t>
      </w:r>
      <w:r w:rsidRPr="001D1E6B">
        <w:rPr>
          <w:sz w:val="28"/>
          <w:szCs w:val="28"/>
        </w:rPr>
        <w:t xml:space="preserve"> пациентов </w:t>
      </w:r>
      <w:r w:rsidRPr="001D1E6B">
        <w:rPr>
          <w:i/>
          <w:sz w:val="28"/>
          <w:szCs w:val="28"/>
        </w:rPr>
        <w:t>с МФОИ и полиморбидными полиорганными заболеваниями</w:t>
      </w:r>
      <w:r w:rsidRPr="001D1E6B">
        <w:rPr>
          <w:sz w:val="28"/>
          <w:szCs w:val="28"/>
        </w:rPr>
        <w:t xml:space="preserve"> – 81 пациент (мужчин – 42 (51,9%), женщин – 39 (48,1%), средний возраст – 56,6±1,5 лет).</w:t>
      </w:r>
    </w:p>
    <w:p w:rsidR="00286780" w:rsidRPr="001D1E6B" w:rsidRDefault="00286780" w:rsidP="006D0512">
      <w:pPr>
        <w:spacing w:line="360" w:lineRule="auto"/>
        <w:ind w:firstLine="709"/>
        <w:jc w:val="both"/>
        <w:rPr>
          <w:sz w:val="28"/>
          <w:szCs w:val="28"/>
        </w:rPr>
      </w:pPr>
      <w:r w:rsidRPr="001D1E6B">
        <w:rPr>
          <w:sz w:val="28"/>
          <w:szCs w:val="28"/>
        </w:rPr>
        <w:t xml:space="preserve">Используя клинический материал </w:t>
      </w:r>
      <w:r w:rsidR="00456ED3">
        <w:rPr>
          <w:sz w:val="28"/>
          <w:szCs w:val="28"/>
        </w:rPr>
        <w:t>подгруппы</w:t>
      </w:r>
      <w:r w:rsidRPr="001D1E6B">
        <w:rPr>
          <w:sz w:val="28"/>
          <w:szCs w:val="28"/>
        </w:rPr>
        <w:t xml:space="preserve"> пациентов </w:t>
      </w:r>
      <w:r w:rsidRPr="001D1E6B">
        <w:rPr>
          <w:i/>
          <w:sz w:val="28"/>
          <w:szCs w:val="28"/>
        </w:rPr>
        <w:t xml:space="preserve">с МФОИ и полиморбидными полиорганными заболеваниями </w:t>
      </w:r>
      <w:r w:rsidRPr="001D1E6B">
        <w:rPr>
          <w:sz w:val="28"/>
          <w:szCs w:val="28"/>
        </w:rPr>
        <w:t>(см. выше), на основании проведенных исследований</w:t>
      </w:r>
      <w:r>
        <w:rPr>
          <w:sz w:val="28"/>
          <w:szCs w:val="28"/>
        </w:rPr>
        <w:t>,</w:t>
      </w:r>
      <w:r w:rsidRPr="001D1E6B">
        <w:rPr>
          <w:sz w:val="28"/>
          <w:szCs w:val="28"/>
        </w:rPr>
        <w:t xml:space="preserve"> дополнительно сформирована </w:t>
      </w:r>
      <w:r>
        <w:rPr>
          <w:sz w:val="28"/>
          <w:szCs w:val="28"/>
        </w:rPr>
        <w:t>под</w:t>
      </w:r>
      <w:r w:rsidRPr="001D1E6B">
        <w:rPr>
          <w:sz w:val="28"/>
          <w:szCs w:val="28"/>
        </w:rPr>
        <w:t xml:space="preserve">группа пациентов с МФОИ </w:t>
      </w:r>
      <w:r w:rsidRPr="001D1E6B">
        <w:rPr>
          <w:i/>
          <w:sz w:val="28"/>
          <w:szCs w:val="28"/>
        </w:rPr>
        <w:t xml:space="preserve">и фоновыми (!) полиморбидными полиорганными заболеваниями – </w:t>
      </w:r>
      <w:r w:rsidRPr="001D1E6B">
        <w:rPr>
          <w:sz w:val="28"/>
          <w:szCs w:val="28"/>
        </w:rPr>
        <w:t>66 пациентов (мужчин – 30 (45,5%), женщин – 36 (54,5%)</w:t>
      </w:r>
      <w:r>
        <w:rPr>
          <w:sz w:val="28"/>
          <w:szCs w:val="28"/>
        </w:rPr>
        <w:t>; средний рост 166,1±2,58 см; средний вес 85,8±6,54 кг</w:t>
      </w:r>
      <w:r w:rsidRPr="001D1E6B">
        <w:rPr>
          <w:sz w:val="28"/>
          <w:szCs w:val="28"/>
        </w:rPr>
        <w:t>.</w:t>
      </w:r>
      <w:r w:rsidR="006D0512">
        <w:rPr>
          <w:sz w:val="28"/>
          <w:szCs w:val="28"/>
        </w:rPr>
        <w:t xml:space="preserve"> </w:t>
      </w:r>
      <w:r w:rsidRPr="001D1E6B">
        <w:rPr>
          <w:sz w:val="28"/>
          <w:szCs w:val="28"/>
        </w:rPr>
        <w:t xml:space="preserve">Сформирована </w:t>
      </w:r>
      <w:r>
        <w:rPr>
          <w:sz w:val="28"/>
          <w:szCs w:val="28"/>
        </w:rPr>
        <w:t>под</w:t>
      </w:r>
      <w:r w:rsidRPr="001D1E6B">
        <w:rPr>
          <w:sz w:val="28"/>
          <w:szCs w:val="28"/>
        </w:rPr>
        <w:t xml:space="preserve">группа пациентов </w:t>
      </w:r>
      <w:r w:rsidRPr="001D1E6B">
        <w:rPr>
          <w:i/>
          <w:sz w:val="28"/>
          <w:szCs w:val="28"/>
        </w:rPr>
        <w:t>с одонтогенным сепсисом и полиморбидными полиорганными заболеваниями</w:t>
      </w:r>
      <w:r w:rsidRPr="001D1E6B">
        <w:rPr>
          <w:sz w:val="28"/>
          <w:szCs w:val="28"/>
        </w:rPr>
        <w:t xml:space="preserve"> – 28 пациентов (мужчин – 20 (71,4%), женщин – восемь (28,6%),</w:t>
      </w:r>
      <w:r>
        <w:rPr>
          <w:sz w:val="28"/>
          <w:szCs w:val="28"/>
        </w:rPr>
        <w:t xml:space="preserve"> </w:t>
      </w:r>
      <w:r w:rsidRPr="001D1E6B">
        <w:rPr>
          <w:sz w:val="28"/>
          <w:szCs w:val="28"/>
        </w:rPr>
        <w:t>средний возраст – 48,9±2,61 года)</w:t>
      </w:r>
      <w:r>
        <w:rPr>
          <w:sz w:val="28"/>
          <w:szCs w:val="28"/>
        </w:rPr>
        <w:t>; средний рост 169,3±3,53 см; средний вес 72±3,46 кг</w:t>
      </w:r>
      <w:r w:rsidRPr="001D1E6B">
        <w:rPr>
          <w:sz w:val="28"/>
          <w:szCs w:val="28"/>
        </w:rPr>
        <w:t>.</w:t>
      </w:r>
    </w:p>
    <w:p w:rsidR="00286780" w:rsidRDefault="00286780" w:rsidP="00BD2F93">
      <w:pPr>
        <w:spacing w:line="360" w:lineRule="auto"/>
        <w:ind w:firstLine="709"/>
        <w:jc w:val="both"/>
        <w:rPr>
          <w:sz w:val="28"/>
          <w:szCs w:val="28"/>
        </w:rPr>
      </w:pPr>
      <w:r w:rsidRPr="001D1E6B">
        <w:rPr>
          <w:sz w:val="28"/>
          <w:szCs w:val="28"/>
        </w:rPr>
        <w:t xml:space="preserve">В качестве контрольных </w:t>
      </w:r>
      <w:r>
        <w:rPr>
          <w:sz w:val="28"/>
          <w:szCs w:val="28"/>
        </w:rPr>
        <w:t>под</w:t>
      </w:r>
      <w:r w:rsidRPr="001D1E6B">
        <w:rPr>
          <w:sz w:val="28"/>
          <w:szCs w:val="28"/>
        </w:rPr>
        <w:t xml:space="preserve">групп использованы </w:t>
      </w:r>
      <w:r>
        <w:rPr>
          <w:sz w:val="28"/>
          <w:szCs w:val="28"/>
        </w:rPr>
        <w:t>под</w:t>
      </w:r>
      <w:r w:rsidRPr="001D1E6B">
        <w:rPr>
          <w:sz w:val="28"/>
          <w:szCs w:val="28"/>
        </w:rPr>
        <w:t xml:space="preserve">группы пациентов, рассмотренные ранее в рамках </w:t>
      </w:r>
      <w:r w:rsidRPr="001D1E6B">
        <w:rPr>
          <w:sz w:val="28"/>
          <w:szCs w:val="28"/>
          <w:lang w:val="en-US"/>
        </w:rPr>
        <w:t>I</w:t>
      </w:r>
      <w:r>
        <w:rPr>
          <w:sz w:val="28"/>
          <w:szCs w:val="28"/>
        </w:rPr>
        <w:t xml:space="preserve"> блока исследований (см. далее).</w:t>
      </w:r>
    </w:p>
    <w:p w:rsidR="00286780" w:rsidRPr="001D1E6B" w:rsidRDefault="00807D20" w:rsidP="00994F0A">
      <w:pPr>
        <w:spacing w:line="360" w:lineRule="auto"/>
        <w:jc w:val="both"/>
        <w:rPr>
          <w:sz w:val="28"/>
          <w:szCs w:val="28"/>
        </w:rPr>
      </w:pPr>
      <w:r>
        <w:rPr>
          <w:sz w:val="28"/>
          <w:szCs w:val="28"/>
        </w:rPr>
        <w:lastRenderedPageBreak/>
        <w:pict>
          <v:shape id="_x0000_i1031" type="#_x0000_t75" style="width:474.75pt;height:336pt">
            <v:imagedata r:id="rId13" o:title="Новый рисунок"/>
          </v:shape>
        </w:pict>
      </w:r>
    </w:p>
    <w:p w:rsidR="00286780" w:rsidRPr="001D1E6B" w:rsidRDefault="00286780" w:rsidP="00BD2F93">
      <w:pPr>
        <w:pStyle w:val="a3"/>
      </w:pPr>
      <w:r w:rsidRPr="001D1E6B">
        <w:rPr>
          <w:b/>
        </w:rPr>
        <w:t>Рис</w:t>
      </w:r>
      <w:r>
        <w:rPr>
          <w:b/>
        </w:rPr>
        <w:t>унок 4</w:t>
      </w:r>
      <w:r w:rsidRPr="001D1E6B">
        <w:rPr>
          <w:b/>
        </w:rPr>
        <w:t xml:space="preserve"> – </w:t>
      </w:r>
      <w:r w:rsidRPr="001D1E6B">
        <w:t>Общая характеристика II блока исследований</w:t>
      </w:r>
    </w:p>
    <w:p w:rsidR="00286780" w:rsidRPr="004A0CF0" w:rsidRDefault="00286780" w:rsidP="00BD2F93">
      <w:pPr>
        <w:jc w:val="both"/>
        <w:rPr>
          <w:sz w:val="28"/>
          <w:szCs w:val="28"/>
          <w:lang w:eastAsia="en-US"/>
        </w:rPr>
      </w:pPr>
    </w:p>
    <w:p w:rsidR="00286780" w:rsidRPr="00243E84" w:rsidRDefault="00286780" w:rsidP="00243E84">
      <w:pPr>
        <w:spacing w:line="360" w:lineRule="auto"/>
        <w:ind w:firstLine="709"/>
        <w:jc w:val="both"/>
        <w:rPr>
          <w:sz w:val="28"/>
          <w:szCs w:val="28"/>
        </w:rPr>
      </w:pPr>
      <w:r>
        <w:rPr>
          <w:sz w:val="28"/>
          <w:szCs w:val="28"/>
        </w:rPr>
        <w:t xml:space="preserve">Сформированы: </w:t>
      </w:r>
      <w:r w:rsidRPr="001D1E6B">
        <w:rPr>
          <w:sz w:val="28"/>
          <w:szCs w:val="28"/>
        </w:rPr>
        <w:t xml:space="preserve">1) контрольная </w:t>
      </w:r>
      <w:r>
        <w:rPr>
          <w:sz w:val="28"/>
          <w:szCs w:val="28"/>
        </w:rPr>
        <w:t>под</w:t>
      </w:r>
      <w:r w:rsidRPr="001D1E6B">
        <w:rPr>
          <w:sz w:val="28"/>
          <w:szCs w:val="28"/>
        </w:rPr>
        <w:t xml:space="preserve">группа пациентов с МФОИ без ХП внутренних органов (в рамках </w:t>
      </w:r>
      <w:r w:rsidRPr="001D1E6B">
        <w:rPr>
          <w:sz w:val="28"/>
          <w:szCs w:val="28"/>
          <w:lang w:val="en-US"/>
        </w:rPr>
        <w:t>I</w:t>
      </w:r>
      <w:r w:rsidRPr="001D1E6B">
        <w:rPr>
          <w:sz w:val="28"/>
          <w:szCs w:val="28"/>
        </w:rPr>
        <w:t xml:space="preserve"> блока исследований – контрольная </w:t>
      </w:r>
      <w:r>
        <w:rPr>
          <w:sz w:val="28"/>
          <w:szCs w:val="28"/>
        </w:rPr>
        <w:t>под</w:t>
      </w:r>
      <w:r w:rsidRPr="001D1E6B">
        <w:rPr>
          <w:sz w:val="28"/>
          <w:szCs w:val="28"/>
        </w:rPr>
        <w:t>группа № 4): 28 пациентов, из них мужчин – 14 (50%); средний возраст – 48,9±2,3 лет; осложнения – 1 пациент, 3,6%); среднее количество вовлеченных в воспалительный процесс топографо-анатомических областей и клетчаточных пространств – 1,11±0,09</w:t>
      </w:r>
      <w:r>
        <w:rPr>
          <w:sz w:val="28"/>
          <w:szCs w:val="28"/>
        </w:rPr>
        <w:t xml:space="preserve">; средний рост – 171,7±2,33 см; средний вес – 74,3±3,49 кг. </w:t>
      </w:r>
      <w:r w:rsidRPr="001D1E6B">
        <w:rPr>
          <w:sz w:val="28"/>
          <w:szCs w:val="28"/>
        </w:rPr>
        <w:t xml:space="preserve">Топография воспалительного процесса: поднижечелюстное клетчаточное пространство – семь пациентов (25%); подподбородочное клетчаточное пространство – два (7,1%); поднижечелюстное и подподбородочное пространства – один (3,6%); дно полости рта – два (7,1%); челюстно-язычный желобок – четыре (14,25%); щечное – четыре (14,25%); щечное и подподбородочное – один (3,6%); субмассетериальное – один (3,6%); крыловидно-нижечелюстное – два (7,1%); околоушно-жевательная и височная области – один (3,6%); подглазничная – один (3,6%); остеомиелит челюсти – один </w:t>
      </w:r>
      <w:r>
        <w:rPr>
          <w:sz w:val="28"/>
          <w:szCs w:val="28"/>
        </w:rPr>
        <w:t>(3,6%); периостит – один (3,6%);</w:t>
      </w:r>
    </w:p>
    <w:p w:rsidR="00286780" w:rsidRDefault="00286780" w:rsidP="00BD2F93">
      <w:pPr>
        <w:spacing w:line="360" w:lineRule="auto"/>
        <w:ind w:firstLine="709"/>
        <w:jc w:val="both"/>
        <w:rPr>
          <w:sz w:val="28"/>
          <w:szCs w:val="28"/>
        </w:rPr>
      </w:pPr>
      <w:r w:rsidRPr="001D1E6B">
        <w:rPr>
          <w:sz w:val="28"/>
          <w:szCs w:val="28"/>
        </w:rPr>
        <w:lastRenderedPageBreak/>
        <w:t xml:space="preserve">2) контрольная </w:t>
      </w:r>
      <w:r>
        <w:rPr>
          <w:sz w:val="28"/>
          <w:szCs w:val="28"/>
        </w:rPr>
        <w:t>под</w:t>
      </w:r>
      <w:r w:rsidRPr="001D1E6B">
        <w:rPr>
          <w:sz w:val="28"/>
          <w:szCs w:val="28"/>
        </w:rPr>
        <w:t>группа больных с одонтогенным сепсисом без ХП внутренних органов (30 пациентов: 28 мужчин (93,3%); 2 жен</w:t>
      </w:r>
      <w:r>
        <w:rPr>
          <w:sz w:val="28"/>
          <w:szCs w:val="28"/>
        </w:rPr>
        <w:t>щины (6,7%); средний возраст – 4</w:t>
      </w:r>
      <w:r w:rsidRPr="001D1E6B">
        <w:rPr>
          <w:sz w:val="28"/>
          <w:szCs w:val="28"/>
        </w:rPr>
        <w:t xml:space="preserve">2,4±1,68 года; </w:t>
      </w:r>
      <w:r>
        <w:rPr>
          <w:sz w:val="28"/>
          <w:szCs w:val="28"/>
        </w:rPr>
        <w:t>средний рост 171,4±2,26 см; средний вес 74±6,34 кг; средний койко-день – 22</w:t>
      </w:r>
      <w:r w:rsidRPr="001D1E6B">
        <w:rPr>
          <w:sz w:val="28"/>
          <w:szCs w:val="28"/>
        </w:rPr>
        <w:t>[14;25]; диагностика ОС при поступлении в стационар – 40%; осложнения – 46,7%; летальность – 6,7%). Среднее количество вовлеченных в воспалительный процесс клетчаточных пространств и топографо-анатомических областей – 5,62±0,5.</w:t>
      </w:r>
      <w:r>
        <w:rPr>
          <w:sz w:val="28"/>
          <w:szCs w:val="28"/>
        </w:rPr>
        <w:t xml:space="preserve"> </w:t>
      </w:r>
      <w:r w:rsidRPr="001D1E6B">
        <w:rPr>
          <w:sz w:val="28"/>
          <w:szCs w:val="28"/>
        </w:rPr>
        <w:t xml:space="preserve">Общая характеристика сформированных в рамках </w:t>
      </w:r>
      <w:r w:rsidRPr="001D1E6B">
        <w:rPr>
          <w:sz w:val="28"/>
          <w:szCs w:val="28"/>
          <w:lang w:val="en-US"/>
        </w:rPr>
        <w:t>II</w:t>
      </w:r>
      <w:r w:rsidRPr="001D1E6B">
        <w:rPr>
          <w:sz w:val="28"/>
          <w:szCs w:val="28"/>
        </w:rPr>
        <w:t xml:space="preserve"> блока исследований </w:t>
      </w:r>
      <w:r>
        <w:rPr>
          <w:sz w:val="28"/>
          <w:szCs w:val="28"/>
        </w:rPr>
        <w:t>подгрупп, представлена в Таблице 16</w:t>
      </w:r>
      <w:r w:rsidRPr="001D1E6B">
        <w:rPr>
          <w:sz w:val="28"/>
          <w:szCs w:val="28"/>
        </w:rPr>
        <w:t>.</w:t>
      </w:r>
    </w:p>
    <w:p w:rsidR="00286780" w:rsidRPr="00243E84" w:rsidRDefault="00286780" w:rsidP="00994F0A">
      <w:pPr>
        <w:spacing w:line="360" w:lineRule="auto"/>
        <w:ind w:firstLine="709"/>
        <w:jc w:val="both"/>
        <w:rPr>
          <w:sz w:val="26"/>
          <w:szCs w:val="26"/>
        </w:rPr>
      </w:pPr>
      <w:r w:rsidRPr="00994F0A">
        <w:rPr>
          <w:sz w:val="28"/>
          <w:szCs w:val="28"/>
        </w:rPr>
        <w:t xml:space="preserve">Сопоставимость подгрупп пациентов с МФОИ и ОС в рамках </w:t>
      </w:r>
      <w:r w:rsidRPr="00994F0A">
        <w:rPr>
          <w:sz w:val="28"/>
          <w:szCs w:val="28"/>
          <w:lang w:val="en-US"/>
        </w:rPr>
        <w:t>II</w:t>
      </w:r>
      <w:r w:rsidRPr="00994F0A">
        <w:rPr>
          <w:sz w:val="28"/>
          <w:szCs w:val="28"/>
        </w:rPr>
        <w:t xml:space="preserve"> блока исследований с учетом среднего количества вовлеченных в воспалительный процесс топографо-анатомических областей и клетчаточных представлена в Таблице 17. При подсчете общего количества топографо-анатомических областей и клетчаточных пространств челюстно-лицевой области и шеи вовлечение средостения (медиастинит) условно принимается за 1 (единицу), которая суммируется с полученным ранее значением.</w:t>
      </w:r>
    </w:p>
    <w:p w:rsidR="00286780" w:rsidRPr="004A0CF0" w:rsidRDefault="00286780" w:rsidP="00BD2F93">
      <w:pPr>
        <w:jc w:val="both"/>
        <w:rPr>
          <w:sz w:val="28"/>
          <w:szCs w:val="28"/>
          <w:lang w:eastAsia="en-US"/>
        </w:rPr>
      </w:pPr>
    </w:p>
    <w:p w:rsidR="00286780" w:rsidRPr="004A0CF0" w:rsidRDefault="00286780" w:rsidP="00BD2F93">
      <w:pPr>
        <w:pStyle w:val="affffff4"/>
        <w:rPr>
          <w:lang w:eastAsia="en-US"/>
        </w:rPr>
      </w:pPr>
      <w:r w:rsidRPr="009520C1">
        <w:rPr>
          <w:b/>
        </w:rPr>
        <w:t>Таблица 1</w:t>
      </w:r>
      <w:r>
        <w:rPr>
          <w:b/>
        </w:rPr>
        <w:t>6</w:t>
      </w:r>
      <w:r w:rsidRPr="009520C1">
        <w:t xml:space="preserve"> - </w:t>
      </w:r>
      <w:r>
        <w:t>Под</w:t>
      </w:r>
      <w:r w:rsidRPr="009520C1">
        <w:t>группы больных (</w:t>
      </w:r>
      <w:r w:rsidRPr="009520C1">
        <w:rPr>
          <w:lang w:val="en-US"/>
        </w:rPr>
        <w:t>II</w:t>
      </w:r>
      <w:r w:rsidRPr="009520C1">
        <w:t xml:space="preserve"> блок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9"/>
        <w:gridCol w:w="1952"/>
        <w:gridCol w:w="1348"/>
        <w:gridCol w:w="1894"/>
        <w:gridCol w:w="1508"/>
        <w:gridCol w:w="2436"/>
      </w:tblGrid>
      <w:tr w:rsidR="00286780" w:rsidRPr="00243E84" w:rsidTr="00FA7C6C">
        <w:trPr>
          <w:trHeight w:val="454"/>
        </w:trPr>
        <w:tc>
          <w:tcPr>
            <w:tcW w:w="839" w:type="dxa"/>
            <w:tcMar>
              <w:left w:w="28" w:type="dxa"/>
              <w:right w:w="28" w:type="dxa"/>
            </w:tcMar>
            <w:vAlign w:val="center"/>
          </w:tcPr>
          <w:p w:rsidR="00286780" w:rsidRPr="00243E84" w:rsidRDefault="00286780" w:rsidP="00FA7C6C">
            <w:pPr>
              <w:snapToGrid w:val="0"/>
              <w:jc w:val="center"/>
              <w:rPr>
                <w:i/>
                <w:spacing w:val="-8"/>
                <w:sz w:val="26"/>
                <w:szCs w:val="26"/>
              </w:rPr>
            </w:pPr>
            <w:r w:rsidRPr="00243E84">
              <w:rPr>
                <w:i/>
                <w:spacing w:val="-8"/>
                <w:sz w:val="26"/>
                <w:szCs w:val="26"/>
              </w:rPr>
              <w:t>№ подгруппы</w:t>
            </w:r>
          </w:p>
        </w:tc>
        <w:tc>
          <w:tcPr>
            <w:tcW w:w="1952" w:type="dxa"/>
            <w:tcMar>
              <w:left w:w="28" w:type="dxa"/>
              <w:right w:w="28" w:type="dxa"/>
            </w:tcMar>
            <w:vAlign w:val="center"/>
          </w:tcPr>
          <w:p w:rsidR="00286780" w:rsidRPr="00243E84" w:rsidRDefault="00286780" w:rsidP="00FA7C6C">
            <w:pPr>
              <w:snapToGrid w:val="0"/>
              <w:jc w:val="center"/>
              <w:rPr>
                <w:i/>
                <w:spacing w:val="-8"/>
                <w:sz w:val="26"/>
                <w:szCs w:val="26"/>
              </w:rPr>
            </w:pPr>
            <w:r w:rsidRPr="00243E84">
              <w:rPr>
                <w:i/>
                <w:spacing w:val="-8"/>
                <w:sz w:val="26"/>
                <w:szCs w:val="26"/>
              </w:rPr>
              <w:t xml:space="preserve">Наименование </w:t>
            </w:r>
          </w:p>
        </w:tc>
        <w:tc>
          <w:tcPr>
            <w:tcW w:w="1348" w:type="dxa"/>
            <w:tcMar>
              <w:left w:w="28" w:type="dxa"/>
              <w:right w:w="28" w:type="dxa"/>
            </w:tcMar>
            <w:vAlign w:val="center"/>
          </w:tcPr>
          <w:p w:rsidR="00286780" w:rsidRPr="00243E84" w:rsidRDefault="00286780" w:rsidP="00FA7C6C">
            <w:pPr>
              <w:snapToGrid w:val="0"/>
              <w:jc w:val="center"/>
              <w:rPr>
                <w:i/>
                <w:spacing w:val="-8"/>
                <w:sz w:val="26"/>
                <w:szCs w:val="26"/>
              </w:rPr>
            </w:pPr>
            <w:r w:rsidRPr="00243E84">
              <w:rPr>
                <w:i/>
                <w:spacing w:val="-8"/>
                <w:sz w:val="26"/>
                <w:szCs w:val="26"/>
              </w:rPr>
              <w:t xml:space="preserve">Численность </w:t>
            </w:r>
          </w:p>
        </w:tc>
        <w:tc>
          <w:tcPr>
            <w:tcW w:w="1894" w:type="dxa"/>
            <w:tcMar>
              <w:left w:w="28" w:type="dxa"/>
              <w:right w:w="28" w:type="dxa"/>
            </w:tcMar>
            <w:vAlign w:val="center"/>
          </w:tcPr>
          <w:p w:rsidR="00286780" w:rsidRPr="00243E84" w:rsidRDefault="00286780" w:rsidP="00FA7C6C">
            <w:pPr>
              <w:snapToGrid w:val="0"/>
              <w:jc w:val="center"/>
              <w:rPr>
                <w:i/>
                <w:spacing w:val="-8"/>
                <w:sz w:val="26"/>
                <w:szCs w:val="26"/>
              </w:rPr>
            </w:pPr>
            <w:r w:rsidRPr="00243E84">
              <w:rPr>
                <w:i/>
                <w:spacing w:val="-8"/>
                <w:sz w:val="26"/>
                <w:szCs w:val="26"/>
              </w:rPr>
              <w:t xml:space="preserve">Формирование </w:t>
            </w:r>
          </w:p>
        </w:tc>
        <w:tc>
          <w:tcPr>
            <w:tcW w:w="1508" w:type="dxa"/>
            <w:tcMar>
              <w:left w:w="28" w:type="dxa"/>
              <w:right w:w="28" w:type="dxa"/>
            </w:tcMar>
            <w:vAlign w:val="center"/>
          </w:tcPr>
          <w:p w:rsidR="00286780" w:rsidRPr="00243E84" w:rsidRDefault="00286780" w:rsidP="00FA7C6C">
            <w:pPr>
              <w:snapToGrid w:val="0"/>
              <w:jc w:val="center"/>
              <w:rPr>
                <w:i/>
                <w:spacing w:val="-8"/>
                <w:sz w:val="26"/>
                <w:szCs w:val="26"/>
              </w:rPr>
            </w:pPr>
            <w:r w:rsidRPr="00243E84">
              <w:rPr>
                <w:i/>
                <w:spacing w:val="-8"/>
                <w:sz w:val="26"/>
                <w:szCs w:val="26"/>
              </w:rPr>
              <w:t>Состав</w:t>
            </w:r>
            <w:r w:rsidRPr="00243E84">
              <w:rPr>
                <w:i/>
                <w:spacing w:val="-8"/>
                <w:sz w:val="26"/>
                <w:szCs w:val="26"/>
              </w:rPr>
              <w:br/>
            </w:r>
          </w:p>
        </w:tc>
        <w:tc>
          <w:tcPr>
            <w:tcW w:w="2436" w:type="dxa"/>
            <w:tcMar>
              <w:left w:w="28" w:type="dxa"/>
              <w:right w:w="28" w:type="dxa"/>
            </w:tcMar>
            <w:vAlign w:val="center"/>
          </w:tcPr>
          <w:p w:rsidR="00286780" w:rsidRPr="00243E84" w:rsidRDefault="00286780" w:rsidP="00FA7C6C">
            <w:pPr>
              <w:snapToGrid w:val="0"/>
              <w:jc w:val="center"/>
              <w:rPr>
                <w:i/>
                <w:spacing w:val="-8"/>
                <w:sz w:val="26"/>
                <w:szCs w:val="26"/>
              </w:rPr>
            </w:pPr>
            <w:r w:rsidRPr="00243E84">
              <w:rPr>
                <w:i/>
                <w:spacing w:val="-8"/>
                <w:sz w:val="26"/>
                <w:szCs w:val="26"/>
              </w:rPr>
              <w:t>Подгруппы сравнения</w:t>
            </w:r>
          </w:p>
        </w:tc>
      </w:tr>
      <w:tr w:rsidR="00286780" w:rsidRPr="00243E84" w:rsidTr="00FA7C6C">
        <w:trPr>
          <w:trHeight w:val="454"/>
        </w:trPr>
        <w:tc>
          <w:tcPr>
            <w:tcW w:w="839" w:type="dxa"/>
            <w:tcMar>
              <w:left w:w="28" w:type="dxa"/>
              <w:right w:w="28" w:type="dxa"/>
            </w:tcMar>
          </w:tcPr>
          <w:p w:rsidR="00286780" w:rsidRPr="00243E84" w:rsidRDefault="00286780" w:rsidP="00FA7C6C">
            <w:pPr>
              <w:snapToGrid w:val="0"/>
              <w:jc w:val="center"/>
              <w:rPr>
                <w:spacing w:val="-8"/>
                <w:sz w:val="26"/>
                <w:szCs w:val="26"/>
              </w:rPr>
            </w:pPr>
            <w:r w:rsidRPr="00243E84">
              <w:rPr>
                <w:spacing w:val="-8"/>
                <w:sz w:val="26"/>
                <w:szCs w:val="26"/>
              </w:rPr>
              <w:t>1.</w:t>
            </w:r>
          </w:p>
        </w:tc>
        <w:tc>
          <w:tcPr>
            <w:tcW w:w="1952" w:type="dxa"/>
            <w:tcMar>
              <w:left w:w="28" w:type="dxa"/>
              <w:right w:w="28" w:type="dxa"/>
            </w:tcMar>
          </w:tcPr>
          <w:p w:rsidR="00286780" w:rsidRPr="00243E84" w:rsidRDefault="00456ED3" w:rsidP="00FA7C6C">
            <w:pPr>
              <w:snapToGrid w:val="0"/>
              <w:jc w:val="both"/>
              <w:rPr>
                <w:spacing w:val="-8"/>
                <w:sz w:val="26"/>
                <w:szCs w:val="26"/>
              </w:rPr>
            </w:pPr>
            <w:r>
              <w:rPr>
                <w:spacing w:val="-8"/>
                <w:sz w:val="26"/>
                <w:szCs w:val="26"/>
              </w:rPr>
              <w:t>Подгруппа</w:t>
            </w:r>
            <w:r w:rsidR="00286780" w:rsidRPr="00243E84">
              <w:rPr>
                <w:spacing w:val="-8"/>
                <w:sz w:val="26"/>
                <w:szCs w:val="26"/>
              </w:rPr>
              <w:t xml:space="preserve"> пациентов с МФОИ и полиморбидными полиорганными заболеваниями</w:t>
            </w:r>
          </w:p>
        </w:tc>
        <w:tc>
          <w:tcPr>
            <w:tcW w:w="1348" w:type="dxa"/>
            <w:tcMar>
              <w:left w:w="28" w:type="dxa"/>
              <w:right w:w="28" w:type="dxa"/>
            </w:tcMar>
          </w:tcPr>
          <w:p w:rsidR="00286780" w:rsidRPr="00243E84" w:rsidRDefault="00286780" w:rsidP="00FA7C6C">
            <w:pPr>
              <w:snapToGrid w:val="0"/>
              <w:jc w:val="center"/>
              <w:rPr>
                <w:spacing w:val="-8"/>
                <w:sz w:val="26"/>
                <w:szCs w:val="26"/>
              </w:rPr>
            </w:pPr>
            <w:r w:rsidRPr="00243E84">
              <w:rPr>
                <w:spacing w:val="-8"/>
                <w:sz w:val="26"/>
                <w:szCs w:val="26"/>
              </w:rPr>
              <w:t>81</w:t>
            </w:r>
          </w:p>
        </w:tc>
        <w:tc>
          <w:tcPr>
            <w:tcW w:w="1894" w:type="dxa"/>
            <w:tcMar>
              <w:left w:w="28" w:type="dxa"/>
              <w:right w:w="28" w:type="dxa"/>
            </w:tcMar>
          </w:tcPr>
          <w:p w:rsidR="00286780" w:rsidRPr="00243E84" w:rsidRDefault="00286780" w:rsidP="00FA7C6C">
            <w:pPr>
              <w:snapToGrid w:val="0"/>
              <w:jc w:val="both"/>
              <w:rPr>
                <w:spacing w:val="-8"/>
                <w:sz w:val="26"/>
                <w:szCs w:val="26"/>
              </w:rPr>
            </w:pPr>
            <w:r w:rsidRPr="00243E84">
              <w:rPr>
                <w:spacing w:val="-8"/>
                <w:sz w:val="26"/>
                <w:szCs w:val="26"/>
              </w:rPr>
              <w:t>81 пациент КОКБ (2012–2015 гг.)</w:t>
            </w:r>
          </w:p>
        </w:tc>
        <w:tc>
          <w:tcPr>
            <w:tcW w:w="1508" w:type="dxa"/>
            <w:tcMar>
              <w:left w:w="28" w:type="dxa"/>
              <w:right w:w="28" w:type="dxa"/>
            </w:tcMar>
          </w:tcPr>
          <w:p w:rsidR="00286780" w:rsidRPr="00243E84" w:rsidRDefault="00286780" w:rsidP="00FA7C6C">
            <w:pPr>
              <w:snapToGrid w:val="0"/>
              <w:jc w:val="both"/>
              <w:rPr>
                <w:spacing w:val="-8"/>
                <w:sz w:val="26"/>
                <w:szCs w:val="26"/>
              </w:rPr>
            </w:pPr>
            <w:r w:rsidRPr="00243E84">
              <w:rPr>
                <w:spacing w:val="-8"/>
                <w:sz w:val="26"/>
                <w:szCs w:val="26"/>
              </w:rPr>
              <w:t>Пациенты с МФОИ и полиморбидными полиорганными заболеваниями</w:t>
            </w:r>
          </w:p>
        </w:tc>
        <w:tc>
          <w:tcPr>
            <w:tcW w:w="2436" w:type="dxa"/>
            <w:tcMar>
              <w:left w:w="28" w:type="dxa"/>
              <w:right w:w="28" w:type="dxa"/>
            </w:tcMar>
          </w:tcPr>
          <w:p w:rsidR="00286780" w:rsidRPr="00243E84" w:rsidRDefault="00286780" w:rsidP="00FA7C6C">
            <w:pPr>
              <w:snapToGrid w:val="0"/>
              <w:jc w:val="both"/>
              <w:rPr>
                <w:spacing w:val="-8"/>
                <w:sz w:val="26"/>
                <w:szCs w:val="26"/>
              </w:rPr>
            </w:pPr>
            <w:r w:rsidRPr="00243E84">
              <w:rPr>
                <w:spacing w:val="-8"/>
                <w:sz w:val="26"/>
                <w:szCs w:val="26"/>
              </w:rPr>
              <w:t>-</w:t>
            </w:r>
          </w:p>
        </w:tc>
      </w:tr>
      <w:tr w:rsidR="00286780" w:rsidRPr="00243E84" w:rsidTr="00FA7C6C">
        <w:trPr>
          <w:trHeight w:val="454"/>
        </w:trPr>
        <w:tc>
          <w:tcPr>
            <w:tcW w:w="839" w:type="dxa"/>
            <w:tcMar>
              <w:left w:w="28" w:type="dxa"/>
              <w:right w:w="28" w:type="dxa"/>
            </w:tcMar>
          </w:tcPr>
          <w:p w:rsidR="00286780" w:rsidRPr="00243E84" w:rsidRDefault="00286780" w:rsidP="00FA7C6C">
            <w:pPr>
              <w:snapToGrid w:val="0"/>
              <w:jc w:val="center"/>
              <w:rPr>
                <w:spacing w:val="-8"/>
                <w:sz w:val="26"/>
                <w:szCs w:val="26"/>
              </w:rPr>
            </w:pPr>
            <w:r w:rsidRPr="00243E84">
              <w:rPr>
                <w:spacing w:val="-8"/>
                <w:sz w:val="26"/>
                <w:szCs w:val="26"/>
              </w:rPr>
              <w:t>1.1</w:t>
            </w:r>
          </w:p>
        </w:tc>
        <w:tc>
          <w:tcPr>
            <w:tcW w:w="1952" w:type="dxa"/>
            <w:tcMar>
              <w:left w:w="28" w:type="dxa"/>
              <w:right w:w="28" w:type="dxa"/>
            </w:tcMar>
          </w:tcPr>
          <w:p w:rsidR="00286780" w:rsidRPr="00243E84" w:rsidRDefault="00286780" w:rsidP="00FA7C6C">
            <w:pPr>
              <w:snapToGrid w:val="0"/>
              <w:jc w:val="both"/>
              <w:rPr>
                <w:spacing w:val="-8"/>
                <w:sz w:val="26"/>
                <w:szCs w:val="26"/>
              </w:rPr>
            </w:pPr>
            <w:r w:rsidRPr="00243E84">
              <w:rPr>
                <w:spacing w:val="-8"/>
                <w:sz w:val="26"/>
                <w:szCs w:val="26"/>
              </w:rPr>
              <w:t xml:space="preserve">Подгруппа пациентов с МФОИ и </w:t>
            </w:r>
            <w:r w:rsidRPr="00243E84">
              <w:rPr>
                <w:i/>
                <w:spacing w:val="-8"/>
                <w:sz w:val="26"/>
                <w:szCs w:val="26"/>
              </w:rPr>
              <w:t>фоновыми</w:t>
            </w:r>
            <w:r w:rsidRPr="00243E84">
              <w:rPr>
                <w:spacing w:val="-8"/>
                <w:sz w:val="26"/>
                <w:szCs w:val="26"/>
              </w:rPr>
              <w:t xml:space="preserve"> полиморбидными полиорганными заболеваниями</w:t>
            </w:r>
          </w:p>
        </w:tc>
        <w:tc>
          <w:tcPr>
            <w:tcW w:w="1348" w:type="dxa"/>
            <w:tcMar>
              <w:left w:w="28" w:type="dxa"/>
              <w:right w:w="28" w:type="dxa"/>
            </w:tcMar>
          </w:tcPr>
          <w:p w:rsidR="00286780" w:rsidRPr="00277CF2" w:rsidRDefault="00286780" w:rsidP="00FA7C6C">
            <w:pPr>
              <w:snapToGrid w:val="0"/>
              <w:jc w:val="center"/>
              <w:rPr>
                <w:spacing w:val="-8"/>
                <w:sz w:val="26"/>
                <w:szCs w:val="26"/>
              </w:rPr>
            </w:pPr>
            <w:r w:rsidRPr="00277CF2">
              <w:rPr>
                <w:spacing w:val="-8"/>
                <w:sz w:val="26"/>
                <w:szCs w:val="26"/>
              </w:rPr>
              <w:t>66</w:t>
            </w:r>
          </w:p>
        </w:tc>
        <w:tc>
          <w:tcPr>
            <w:tcW w:w="1894" w:type="dxa"/>
            <w:tcMar>
              <w:left w:w="28" w:type="dxa"/>
              <w:right w:w="28" w:type="dxa"/>
            </w:tcMar>
          </w:tcPr>
          <w:p w:rsidR="00286780" w:rsidRPr="00277CF2" w:rsidRDefault="00286780" w:rsidP="00FA7C6C">
            <w:pPr>
              <w:snapToGrid w:val="0"/>
              <w:jc w:val="both"/>
              <w:rPr>
                <w:spacing w:val="-8"/>
                <w:sz w:val="26"/>
                <w:szCs w:val="26"/>
              </w:rPr>
            </w:pPr>
            <w:r w:rsidRPr="00277CF2">
              <w:rPr>
                <w:spacing w:val="-8"/>
                <w:sz w:val="26"/>
                <w:szCs w:val="26"/>
              </w:rPr>
              <w:t>66 пациентов КОКБ (2012–2015 гг.)</w:t>
            </w:r>
          </w:p>
        </w:tc>
        <w:tc>
          <w:tcPr>
            <w:tcW w:w="1508" w:type="dxa"/>
            <w:tcMar>
              <w:left w:w="28" w:type="dxa"/>
              <w:right w:w="28" w:type="dxa"/>
            </w:tcMar>
          </w:tcPr>
          <w:p w:rsidR="00286780" w:rsidRPr="00243E84" w:rsidRDefault="00286780" w:rsidP="00FA7C6C">
            <w:pPr>
              <w:snapToGrid w:val="0"/>
              <w:jc w:val="both"/>
              <w:rPr>
                <w:spacing w:val="-8"/>
                <w:sz w:val="26"/>
                <w:szCs w:val="26"/>
              </w:rPr>
            </w:pPr>
            <w:r w:rsidRPr="00243E84">
              <w:rPr>
                <w:spacing w:val="-8"/>
                <w:sz w:val="26"/>
                <w:szCs w:val="26"/>
              </w:rPr>
              <w:t>Пациенты с МФОИ и фоновыми полиморбидными полиорганными заболеваниями</w:t>
            </w:r>
          </w:p>
        </w:tc>
        <w:tc>
          <w:tcPr>
            <w:tcW w:w="2436" w:type="dxa"/>
            <w:tcMar>
              <w:left w:w="28" w:type="dxa"/>
              <w:right w:w="28" w:type="dxa"/>
            </w:tcMar>
          </w:tcPr>
          <w:p w:rsidR="00286780" w:rsidRPr="00243E84" w:rsidRDefault="00286780" w:rsidP="00FA7C6C">
            <w:pPr>
              <w:snapToGrid w:val="0"/>
              <w:jc w:val="both"/>
              <w:rPr>
                <w:spacing w:val="-8"/>
                <w:sz w:val="26"/>
                <w:szCs w:val="26"/>
              </w:rPr>
            </w:pPr>
            <w:r w:rsidRPr="00243E84">
              <w:rPr>
                <w:spacing w:val="-8"/>
                <w:sz w:val="26"/>
                <w:szCs w:val="26"/>
              </w:rPr>
              <w:t>Контрольная подгруппа пациентов с МФОИ без хронической патологии внутренних органов, основная группа пациентов с одонтогенным сепсисом и фоновыми полиморбидными полиорганными заболеваниями</w:t>
            </w:r>
          </w:p>
        </w:tc>
      </w:tr>
    </w:tbl>
    <w:p w:rsidR="00286780" w:rsidRDefault="00286780" w:rsidP="00BD2F93">
      <w:pPr>
        <w:pStyle w:val="affffff4"/>
      </w:pPr>
    </w:p>
    <w:p w:rsidR="00286780" w:rsidRDefault="00286780" w:rsidP="00BD2F93">
      <w:pPr>
        <w:pStyle w:val="affffff4"/>
      </w:pPr>
      <w:r>
        <w:lastRenderedPageBreak/>
        <w:t>Продолжение таблицы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9"/>
        <w:gridCol w:w="1952"/>
        <w:gridCol w:w="1348"/>
        <w:gridCol w:w="1894"/>
        <w:gridCol w:w="1508"/>
        <w:gridCol w:w="2436"/>
      </w:tblGrid>
      <w:tr w:rsidR="00286780" w:rsidRPr="00243E84" w:rsidTr="00FA7C6C">
        <w:trPr>
          <w:trHeight w:val="454"/>
        </w:trPr>
        <w:tc>
          <w:tcPr>
            <w:tcW w:w="839" w:type="dxa"/>
            <w:tcMar>
              <w:left w:w="28" w:type="dxa"/>
              <w:right w:w="28" w:type="dxa"/>
            </w:tcMar>
            <w:vAlign w:val="center"/>
          </w:tcPr>
          <w:p w:rsidR="00286780" w:rsidRPr="00243E84" w:rsidRDefault="00286780" w:rsidP="00FA7C6C">
            <w:pPr>
              <w:snapToGrid w:val="0"/>
              <w:jc w:val="center"/>
              <w:rPr>
                <w:i/>
                <w:spacing w:val="-8"/>
                <w:sz w:val="26"/>
                <w:szCs w:val="26"/>
              </w:rPr>
            </w:pPr>
            <w:r w:rsidRPr="00243E84">
              <w:rPr>
                <w:i/>
                <w:spacing w:val="-8"/>
                <w:sz w:val="26"/>
                <w:szCs w:val="26"/>
              </w:rPr>
              <w:t>№ подгруппы</w:t>
            </w:r>
          </w:p>
        </w:tc>
        <w:tc>
          <w:tcPr>
            <w:tcW w:w="1952" w:type="dxa"/>
            <w:tcMar>
              <w:left w:w="28" w:type="dxa"/>
              <w:right w:w="28" w:type="dxa"/>
            </w:tcMar>
            <w:vAlign w:val="center"/>
          </w:tcPr>
          <w:p w:rsidR="00286780" w:rsidRPr="00243E84" w:rsidRDefault="00286780" w:rsidP="00FA7C6C">
            <w:pPr>
              <w:snapToGrid w:val="0"/>
              <w:jc w:val="center"/>
              <w:rPr>
                <w:i/>
                <w:spacing w:val="-8"/>
                <w:sz w:val="26"/>
                <w:szCs w:val="26"/>
              </w:rPr>
            </w:pPr>
            <w:r w:rsidRPr="00243E84">
              <w:rPr>
                <w:i/>
                <w:spacing w:val="-8"/>
                <w:sz w:val="26"/>
                <w:szCs w:val="26"/>
              </w:rPr>
              <w:t>Наименование</w:t>
            </w:r>
          </w:p>
        </w:tc>
        <w:tc>
          <w:tcPr>
            <w:tcW w:w="1348" w:type="dxa"/>
            <w:tcMar>
              <w:left w:w="28" w:type="dxa"/>
              <w:right w:w="28" w:type="dxa"/>
            </w:tcMar>
            <w:vAlign w:val="center"/>
          </w:tcPr>
          <w:p w:rsidR="00286780" w:rsidRPr="00243E84" w:rsidRDefault="00286780" w:rsidP="00FA7C6C">
            <w:pPr>
              <w:snapToGrid w:val="0"/>
              <w:jc w:val="center"/>
              <w:rPr>
                <w:i/>
                <w:spacing w:val="-8"/>
                <w:sz w:val="26"/>
                <w:szCs w:val="26"/>
              </w:rPr>
            </w:pPr>
            <w:r w:rsidRPr="00243E84">
              <w:rPr>
                <w:i/>
                <w:spacing w:val="-8"/>
                <w:sz w:val="26"/>
                <w:szCs w:val="26"/>
              </w:rPr>
              <w:t xml:space="preserve">Численность </w:t>
            </w:r>
          </w:p>
        </w:tc>
        <w:tc>
          <w:tcPr>
            <w:tcW w:w="1894" w:type="dxa"/>
            <w:tcMar>
              <w:left w:w="28" w:type="dxa"/>
              <w:right w:w="28" w:type="dxa"/>
            </w:tcMar>
            <w:vAlign w:val="center"/>
          </w:tcPr>
          <w:p w:rsidR="00286780" w:rsidRPr="00243E84" w:rsidRDefault="00286780" w:rsidP="00FA7C6C">
            <w:pPr>
              <w:snapToGrid w:val="0"/>
              <w:jc w:val="center"/>
              <w:rPr>
                <w:i/>
                <w:spacing w:val="-8"/>
                <w:sz w:val="26"/>
                <w:szCs w:val="26"/>
              </w:rPr>
            </w:pPr>
            <w:r w:rsidRPr="00243E84">
              <w:rPr>
                <w:i/>
                <w:spacing w:val="-8"/>
                <w:sz w:val="26"/>
                <w:szCs w:val="26"/>
              </w:rPr>
              <w:t>Формирование</w:t>
            </w:r>
          </w:p>
        </w:tc>
        <w:tc>
          <w:tcPr>
            <w:tcW w:w="1508" w:type="dxa"/>
            <w:tcMar>
              <w:left w:w="28" w:type="dxa"/>
              <w:right w:w="28" w:type="dxa"/>
            </w:tcMar>
            <w:vAlign w:val="center"/>
          </w:tcPr>
          <w:p w:rsidR="00286780" w:rsidRPr="00243E84" w:rsidRDefault="00286780" w:rsidP="00FA7C6C">
            <w:pPr>
              <w:snapToGrid w:val="0"/>
              <w:jc w:val="center"/>
              <w:rPr>
                <w:i/>
                <w:spacing w:val="-8"/>
                <w:sz w:val="26"/>
                <w:szCs w:val="26"/>
              </w:rPr>
            </w:pPr>
            <w:r w:rsidRPr="00243E84">
              <w:rPr>
                <w:i/>
                <w:spacing w:val="-8"/>
                <w:sz w:val="26"/>
                <w:szCs w:val="26"/>
              </w:rPr>
              <w:t>Состав</w:t>
            </w:r>
          </w:p>
        </w:tc>
        <w:tc>
          <w:tcPr>
            <w:tcW w:w="2436" w:type="dxa"/>
            <w:tcMar>
              <w:left w:w="28" w:type="dxa"/>
              <w:right w:w="28" w:type="dxa"/>
            </w:tcMar>
            <w:vAlign w:val="center"/>
          </w:tcPr>
          <w:p w:rsidR="00286780" w:rsidRPr="00243E84" w:rsidRDefault="00286780" w:rsidP="00FA7C6C">
            <w:pPr>
              <w:snapToGrid w:val="0"/>
              <w:jc w:val="center"/>
              <w:rPr>
                <w:i/>
                <w:spacing w:val="-8"/>
                <w:sz w:val="26"/>
                <w:szCs w:val="26"/>
              </w:rPr>
            </w:pPr>
            <w:r w:rsidRPr="00243E84">
              <w:rPr>
                <w:i/>
                <w:spacing w:val="-8"/>
                <w:sz w:val="26"/>
                <w:szCs w:val="26"/>
              </w:rPr>
              <w:t>Подгруппы сравнения</w:t>
            </w:r>
          </w:p>
        </w:tc>
      </w:tr>
      <w:tr w:rsidR="00286780" w:rsidRPr="00243E84" w:rsidTr="00FA7C6C">
        <w:trPr>
          <w:trHeight w:val="454"/>
        </w:trPr>
        <w:tc>
          <w:tcPr>
            <w:tcW w:w="839" w:type="dxa"/>
            <w:tcMar>
              <w:left w:w="28" w:type="dxa"/>
              <w:right w:w="28" w:type="dxa"/>
            </w:tcMar>
          </w:tcPr>
          <w:p w:rsidR="00286780" w:rsidRPr="00243E84" w:rsidRDefault="00286780" w:rsidP="00FA7C6C">
            <w:pPr>
              <w:snapToGrid w:val="0"/>
              <w:jc w:val="center"/>
              <w:rPr>
                <w:spacing w:val="-8"/>
                <w:sz w:val="26"/>
                <w:szCs w:val="26"/>
              </w:rPr>
            </w:pPr>
            <w:r w:rsidRPr="00243E84">
              <w:rPr>
                <w:spacing w:val="-8"/>
                <w:sz w:val="26"/>
                <w:szCs w:val="26"/>
              </w:rPr>
              <w:t>2.</w:t>
            </w:r>
          </w:p>
        </w:tc>
        <w:tc>
          <w:tcPr>
            <w:tcW w:w="1952" w:type="dxa"/>
            <w:tcMar>
              <w:left w:w="28" w:type="dxa"/>
              <w:right w:w="28" w:type="dxa"/>
            </w:tcMar>
          </w:tcPr>
          <w:p w:rsidR="00286780" w:rsidRPr="00243E84" w:rsidRDefault="00286780" w:rsidP="00FA7C6C">
            <w:pPr>
              <w:snapToGrid w:val="0"/>
              <w:jc w:val="both"/>
              <w:rPr>
                <w:spacing w:val="-8"/>
                <w:sz w:val="26"/>
                <w:szCs w:val="26"/>
              </w:rPr>
            </w:pPr>
            <w:r w:rsidRPr="00243E84">
              <w:rPr>
                <w:spacing w:val="-8"/>
                <w:sz w:val="26"/>
                <w:szCs w:val="26"/>
              </w:rPr>
              <w:t xml:space="preserve">Контрольная подгруппа пациентов с МФОИ без хронической патологии внутренних органов (№4, </w:t>
            </w:r>
            <w:r w:rsidRPr="00243E84">
              <w:rPr>
                <w:spacing w:val="-8"/>
                <w:sz w:val="26"/>
                <w:szCs w:val="26"/>
                <w:lang w:val="en-US"/>
              </w:rPr>
              <w:t>I</w:t>
            </w:r>
            <w:r w:rsidRPr="00243E84">
              <w:rPr>
                <w:spacing w:val="-8"/>
                <w:sz w:val="26"/>
                <w:szCs w:val="26"/>
              </w:rPr>
              <w:t xml:space="preserve"> блок)</w:t>
            </w:r>
          </w:p>
        </w:tc>
        <w:tc>
          <w:tcPr>
            <w:tcW w:w="1348" w:type="dxa"/>
            <w:tcMar>
              <w:left w:w="28" w:type="dxa"/>
              <w:right w:w="28" w:type="dxa"/>
            </w:tcMar>
          </w:tcPr>
          <w:p w:rsidR="00286780" w:rsidRPr="00243E84" w:rsidRDefault="00286780" w:rsidP="00FA7C6C">
            <w:pPr>
              <w:snapToGrid w:val="0"/>
              <w:jc w:val="center"/>
              <w:rPr>
                <w:spacing w:val="-8"/>
                <w:sz w:val="26"/>
                <w:szCs w:val="26"/>
              </w:rPr>
            </w:pPr>
            <w:r w:rsidRPr="00243E84">
              <w:rPr>
                <w:spacing w:val="-8"/>
                <w:sz w:val="26"/>
                <w:szCs w:val="26"/>
              </w:rPr>
              <w:t>28</w:t>
            </w:r>
          </w:p>
        </w:tc>
        <w:tc>
          <w:tcPr>
            <w:tcW w:w="1894" w:type="dxa"/>
            <w:tcMar>
              <w:left w:w="28" w:type="dxa"/>
              <w:right w:w="28" w:type="dxa"/>
            </w:tcMar>
          </w:tcPr>
          <w:p w:rsidR="00286780" w:rsidRPr="00243E84" w:rsidRDefault="00286780" w:rsidP="00FA7C6C">
            <w:pPr>
              <w:snapToGrid w:val="0"/>
              <w:jc w:val="both"/>
              <w:rPr>
                <w:spacing w:val="-8"/>
                <w:sz w:val="26"/>
                <w:szCs w:val="26"/>
              </w:rPr>
            </w:pPr>
            <w:r w:rsidRPr="00243E84">
              <w:rPr>
                <w:spacing w:val="-8"/>
                <w:sz w:val="26"/>
                <w:szCs w:val="26"/>
              </w:rPr>
              <w:t>28 больных контрольной подгруппы пациентов с МФОИ: 14 мужчин и 14 женщин в возрасте 28–73 года</w:t>
            </w:r>
          </w:p>
        </w:tc>
        <w:tc>
          <w:tcPr>
            <w:tcW w:w="1508" w:type="dxa"/>
            <w:tcMar>
              <w:left w:w="28" w:type="dxa"/>
              <w:right w:w="28" w:type="dxa"/>
            </w:tcMar>
          </w:tcPr>
          <w:p w:rsidR="00286780" w:rsidRPr="00243E84" w:rsidRDefault="00286780" w:rsidP="00FA7C6C">
            <w:pPr>
              <w:snapToGrid w:val="0"/>
              <w:jc w:val="both"/>
              <w:rPr>
                <w:spacing w:val="-8"/>
                <w:sz w:val="26"/>
                <w:szCs w:val="26"/>
              </w:rPr>
            </w:pPr>
            <w:r w:rsidRPr="00243E84">
              <w:rPr>
                <w:spacing w:val="-8"/>
                <w:sz w:val="26"/>
                <w:szCs w:val="26"/>
              </w:rPr>
              <w:t>Пациенты с МФОИ без хронической патологии внутренних органов</w:t>
            </w:r>
          </w:p>
        </w:tc>
        <w:tc>
          <w:tcPr>
            <w:tcW w:w="2436" w:type="dxa"/>
            <w:tcMar>
              <w:left w:w="28" w:type="dxa"/>
              <w:right w:w="28" w:type="dxa"/>
            </w:tcMar>
          </w:tcPr>
          <w:p w:rsidR="00286780" w:rsidRPr="00243E84" w:rsidRDefault="00286780" w:rsidP="00FA7C6C">
            <w:pPr>
              <w:snapToGrid w:val="0"/>
              <w:jc w:val="both"/>
              <w:rPr>
                <w:spacing w:val="-8"/>
                <w:sz w:val="26"/>
                <w:szCs w:val="26"/>
              </w:rPr>
            </w:pPr>
            <w:r w:rsidRPr="00243E84">
              <w:rPr>
                <w:spacing w:val="-8"/>
                <w:sz w:val="26"/>
                <w:szCs w:val="26"/>
              </w:rPr>
              <w:t>Подгруппа пациентов с МФОИ и фоновыми полиморбидными полиорганными заболеваниями</w:t>
            </w:r>
          </w:p>
        </w:tc>
      </w:tr>
      <w:tr w:rsidR="00286780" w:rsidRPr="00243E84" w:rsidTr="00FA7C6C">
        <w:trPr>
          <w:trHeight w:val="454"/>
        </w:trPr>
        <w:tc>
          <w:tcPr>
            <w:tcW w:w="839" w:type="dxa"/>
            <w:tcMar>
              <w:left w:w="28" w:type="dxa"/>
              <w:right w:w="28" w:type="dxa"/>
            </w:tcMar>
          </w:tcPr>
          <w:p w:rsidR="00286780" w:rsidRPr="00243E84" w:rsidRDefault="00286780" w:rsidP="00FA7C6C">
            <w:pPr>
              <w:snapToGrid w:val="0"/>
              <w:jc w:val="center"/>
              <w:rPr>
                <w:spacing w:val="-8"/>
                <w:sz w:val="26"/>
                <w:szCs w:val="26"/>
              </w:rPr>
            </w:pPr>
            <w:r w:rsidRPr="00243E84">
              <w:rPr>
                <w:spacing w:val="-8"/>
                <w:sz w:val="26"/>
                <w:szCs w:val="26"/>
              </w:rPr>
              <w:t>3.</w:t>
            </w:r>
          </w:p>
        </w:tc>
        <w:tc>
          <w:tcPr>
            <w:tcW w:w="1952" w:type="dxa"/>
            <w:tcMar>
              <w:left w:w="28" w:type="dxa"/>
              <w:right w:w="28" w:type="dxa"/>
            </w:tcMar>
          </w:tcPr>
          <w:p w:rsidR="00286780" w:rsidRPr="00243E84" w:rsidRDefault="00286780" w:rsidP="00FA7C6C">
            <w:pPr>
              <w:snapToGrid w:val="0"/>
              <w:jc w:val="both"/>
              <w:rPr>
                <w:spacing w:val="-8"/>
                <w:sz w:val="26"/>
                <w:szCs w:val="26"/>
              </w:rPr>
            </w:pPr>
            <w:r w:rsidRPr="00243E84">
              <w:rPr>
                <w:spacing w:val="-8"/>
                <w:sz w:val="26"/>
                <w:szCs w:val="26"/>
              </w:rPr>
              <w:t>Подгруппа пациентов с одонтогенным сепсисом и фоновыми полиморбидными полиорганными заболеваниями</w:t>
            </w:r>
          </w:p>
        </w:tc>
        <w:tc>
          <w:tcPr>
            <w:tcW w:w="1348" w:type="dxa"/>
            <w:tcMar>
              <w:left w:w="28" w:type="dxa"/>
              <w:right w:w="28" w:type="dxa"/>
            </w:tcMar>
          </w:tcPr>
          <w:p w:rsidR="00286780" w:rsidRPr="00243E84" w:rsidRDefault="00286780" w:rsidP="00FA7C6C">
            <w:pPr>
              <w:snapToGrid w:val="0"/>
              <w:jc w:val="center"/>
              <w:rPr>
                <w:spacing w:val="-8"/>
                <w:sz w:val="26"/>
                <w:szCs w:val="26"/>
              </w:rPr>
            </w:pPr>
            <w:r w:rsidRPr="00243E84">
              <w:rPr>
                <w:spacing w:val="-8"/>
                <w:sz w:val="26"/>
                <w:szCs w:val="26"/>
              </w:rPr>
              <w:t>28</w:t>
            </w:r>
          </w:p>
        </w:tc>
        <w:tc>
          <w:tcPr>
            <w:tcW w:w="1894" w:type="dxa"/>
            <w:tcMar>
              <w:left w:w="28" w:type="dxa"/>
              <w:right w:w="28" w:type="dxa"/>
            </w:tcMar>
          </w:tcPr>
          <w:p w:rsidR="00286780" w:rsidRPr="00243E84" w:rsidRDefault="00286780" w:rsidP="00FA7C6C">
            <w:pPr>
              <w:snapToGrid w:val="0"/>
              <w:jc w:val="both"/>
              <w:rPr>
                <w:spacing w:val="-8"/>
                <w:sz w:val="26"/>
                <w:szCs w:val="26"/>
              </w:rPr>
            </w:pPr>
            <w:r w:rsidRPr="00243E84">
              <w:rPr>
                <w:spacing w:val="-8"/>
                <w:sz w:val="26"/>
                <w:szCs w:val="26"/>
              </w:rPr>
              <w:t xml:space="preserve">10 пациентов КОКБ (2012–2015 гг.), 8 пациентов КОКБ (2000–2010 гг.), 5 пациентов ВОКБ №1 (2016-2019 гг.), 5 пациентов Белгородской областной клинической больницы им. Святителя Иосафа (2005–2009 гг.) </w:t>
            </w:r>
          </w:p>
        </w:tc>
        <w:tc>
          <w:tcPr>
            <w:tcW w:w="1508" w:type="dxa"/>
            <w:tcMar>
              <w:left w:w="28" w:type="dxa"/>
              <w:right w:w="28" w:type="dxa"/>
            </w:tcMar>
          </w:tcPr>
          <w:p w:rsidR="00286780" w:rsidRPr="00243E84" w:rsidRDefault="00286780" w:rsidP="00FA7C6C">
            <w:pPr>
              <w:snapToGrid w:val="0"/>
              <w:jc w:val="both"/>
              <w:rPr>
                <w:spacing w:val="-8"/>
                <w:sz w:val="26"/>
                <w:szCs w:val="26"/>
              </w:rPr>
            </w:pPr>
            <w:r w:rsidRPr="00243E84">
              <w:rPr>
                <w:spacing w:val="-8"/>
                <w:sz w:val="26"/>
                <w:szCs w:val="26"/>
              </w:rPr>
              <w:t>Пациенты с одонтогенным сепсисом и фоновыми полиморбидными полиорганными заболеваниями</w:t>
            </w:r>
          </w:p>
        </w:tc>
        <w:tc>
          <w:tcPr>
            <w:tcW w:w="2436" w:type="dxa"/>
            <w:tcMar>
              <w:left w:w="28" w:type="dxa"/>
              <w:right w:w="28" w:type="dxa"/>
            </w:tcMar>
          </w:tcPr>
          <w:p w:rsidR="00286780" w:rsidRPr="00243E84" w:rsidRDefault="00286780" w:rsidP="00FA7C6C">
            <w:pPr>
              <w:snapToGrid w:val="0"/>
              <w:jc w:val="both"/>
              <w:rPr>
                <w:spacing w:val="-8"/>
                <w:sz w:val="26"/>
                <w:szCs w:val="26"/>
              </w:rPr>
            </w:pPr>
            <w:r w:rsidRPr="00243E84">
              <w:rPr>
                <w:spacing w:val="-8"/>
                <w:sz w:val="26"/>
                <w:szCs w:val="26"/>
              </w:rPr>
              <w:t>Контрольная подгруппа больных с одонтогенным сепсисом без хронической патологии внутренних органов;</w:t>
            </w:r>
          </w:p>
          <w:p w:rsidR="00286780" w:rsidRPr="00243E84" w:rsidRDefault="00286780" w:rsidP="00FA7C6C">
            <w:pPr>
              <w:jc w:val="both"/>
              <w:rPr>
                <w:spacing w:val="-8"/>
                <w:sz w:val="26"/>
                <w:szCs w:val="26"/>
              </w:rPr>
            </w:pPr>
            <w:r w:rsidRPr="00243E84">
              <w:rPr>
                <w:spacing w:val="-8"/>
                <w:sz w:val="26"/>
                <w:szCs w:val="26"/>
              </w:rPr>
              <w:t>подгруппа пациентов с МФОИ и фоновыми полиморбидными полиорганными заболеваниями</w:t>
            </w:r>
          </w:p>
        </w:tc>
      </w:tr>
      <w:tr w:rsidR="00286780" w:rsidRPr="00243E84" w:rsidTr="00FA7C6C">
        <w:trPr>
          <w:trHeight w:val="454"/>
        </w:trPr>
        <w:tc>
          <w:tcPr>
            <w:tcW w:w="839" w:type="dxa"/>
            <w:tcMar>
              <w:left w:w="28" w:type="dxa"/>
              <w:right w:w="28" w:type="dxa"/>
            </w:tcMar>
          </w:tcPr>
          <w:p w:rsidR="00286780" w:rsidRPr="00243E84" w:rsidRDefault="00286780" w:rsidP="00FA7C6C">
            <w:pPr>
              <w:snapToGrid w:val="0"/>
              <w:jc w:val="center"/>
              <w:rPr>
                <w:spacing w:val="-8"/>
                <w:sz w:val="26"/>
                <w:szCs w:val="26"/>
              </w:rPr>
            </w:pPr>
            <w:r w:rsidRPr="00243E84">
              <w:rPr>
                <w:spacing w:val="-8"/>
                <w:sz w:val="26"/>
                <w:szCs w:val="26"/>
              </w:rPr>
              <w:t>4.</w:t>
            </w:r>
          </w:p>
        </w:tc>
        <w:tc>
          <w:tcPr>
            <w:tcW w:w="1952" w:type="dxa"/>
            <w:tcMar>
              <w:left w:w="28" w:type="dxa"/>
              <w:right w:w="28" w:type="dxa"/>
            </w:tcMar>
          </w:tcPr>
          <w:p w:rsidR="00286780" w:rsidRPr="00243E84" w:rsidRDefault="00286780" w:rsidP="00FA7C6C">
            <w:pPr>
              <w:snapToGrid w:val="0"/>
              <w:jc w:val="both"/>
              <w:rPr>
                <w:spacing w:val="-8"/>
                <w:sz w:val="26"/>
                <w:szCs w:val="26"/>
              </w:rPr>
            </w:pPr>
            <w:r w:rsidRPr="00243E84">
              <w:rPr>
                <w:spacing w:val="-8"/>
                <w:sz w:val="26"/>
                <w:szCs w:val="26"/>
              </w:rPr>
              <w:t>Контрольная подгруппа больных с одонтогенным сепсисом без хронической патологии внутренних органов</w:t>
            </w:r>
          </w:p>
        </w:tc>
        <w:tc>
          <w:tcPr>
            <w:tcW w:w="1348" w:type="dxa"/>
            <w:tcMar>
              <w:left w:w="28" w:type="dxa"/>
              <w:right w:w="28" w:type="dxa"/>
            </w:tcMar>
          </w:tcPr>
          <w:p w:rsidR="00286780" w:rsidRPr="00243E84" w:rsidRDefault="00286780" w:rsidP="00FA7C6C">
            <w:pPr>
              <w:snapToGrid w:val="0"/>
              <w:jc w:val="center"/>
              <w:rPr>
                <w:spacing w:val="-8"/>
                <w:sz w:val="26"/>
                <w:szCs w:val="26"/>
              </w:rPr>
            </w:pPr>
            <w:r w:rsidRPr="00243E84">
              <w:rPr>
                <w:spacing w:val="-8"/>
                <w:sz w:val="26"/>
                <w:szCs w:val="26"/>
              </w:rPr>
              <w:t>30</w:t>
            </w:r>
          </w:p>
        </w:tc>
        <w:tc>
          <w:tcPr>
            <w:tcW w:w="1894" w:type="dxa"/>
            <w:tcMar>
              <w:left w:w="28" w:type="dxa"/>
              <w:right w:w="28" w:type="dxa"/>
            </w:tcMar>
          </w:tcPr>
          <w:p w:rsidR="00286780" w:rsidRPr="00243E84" w:rsidRDefault="00286780" w:rsidP="00FA7C6C">
            <w:pPr>
              <w:snapToGrid w:val="0"/>
              <w:jc w:val="both"/>
              <w:rPr>
                <w:spacing w:val="-8"/>
                <w:sz w:val="26"/>
                <w:szCs w:val="26"/>
              </w:rPr>
            </w:pPr>
            <w:r w:rsidRPr="00243E84">
              <w:rPr>
                <w:spacing w:val="-8"/>
                <w:sz w:val="26"/>
                <w:szCs w:val="26"/>
              </w:rPr>
              <w:t>17 пациентов КОКБ (2012–2015 гг.), 7 пациентов КОКБ (2000–2010 гг.), 2 пациента КОКБ (2018 г.), 4 пациента ВОКБ №1 (2016–2019 гг.)</w:t>
            </w:r>
          </w:p>
        </w:tc>
        <w:tc>
          <w:tcPr>
            <w:tcW w:w="1508" w:type="dxa"/>
            <w:tcMar>
              <w:left w:w="28" w:type="dxa"/>
              <w:right w:w="28" w:type="dxa"/>
            </w:tcMar>
          </w:tcPr>
          <w:p w:rsidR="00286780" w:rsidRPr="00243E84" w:rsidRDefault="00286780" w:rsidP="00FA7C6C">
            <w:pPr>
              <w:snapToGrid w:val="0"/>
              <w:jc w:val="both"/>
              <w:rPr>
                <w:spacing w:val="-8"/>
                <w:sz w:val="26"/>
                <w:szCs w:val="26"/>
              </w:rPr>
            </w:pPr>
            <w:r w:rsidRPr="00243E84">
              <w:rPr>
                <w:spacing w:val="-8"/>
                <w:sz w:val="26"/>
                <w:szCs w:val="26"/>
              </w:rPr>
              <w:t>Пациенты с одонтогенным сепсисом без хронической патологии</w:t>
            </w:r>
          </w:p>
        </w:tc>
        <w:tc>
          <w:tcPr>
            <w:tcW w:w="2436" w:type="dxa"/>
            <w:tcMar>
              <w:left w:w="28" w:type="dxa"/>
              <w:right w:w="28" w:type="dxa"/>
            </w:tcMar>
          </w:tcPr>
          <w:p w:rsidR="00286780" w:rsidRPr="00243E84" w:rsidRDefault="00286780" w:rsidP="00FA7C6C">
            <w:pPr>
              <w:snapToGrid w:val="0"/>
              <w:jc w:val="both"/>
              <w:rPr>
                <w:spacing w:val="-8"/>
                <w:sz w:val="26"/>
                <w:szCs w:val="26"/>
              </w:rPr>
            </w:pPr>
            <w:r w:rsidRPr="00243E84">
              <w:rPr>
                <w:spacing w:val="-8"/>
                <w:sz w:val="26"/>
                <w:szCs w:val="26"/>
              </w:rPr>
              <w:t>Подгруппа пациентов с одонтогенным сепсисом и фоновыми полиморбидными полиорганными заболеваниями</w:t>
            </w:r>
          </w:p>
        </w:tc>
      </w:tr>
      <w:tr w:rsidR="00286780" w:rsidRPr="00243E84" w:rsidTr="00FA7C6C">
        <w:trPr>
          <w:trHeight w:val="454"/>
        </w:trPr>
        <w:tc>
          <w:tcPr>
            <w:tcW w:w="839" w:type="dxa"/>
            <w:tcMar>
              <w:left w:w="28" w:type="dxa"/>
              <w:right w:w="28" w:type="dxa"/>
            </w:tcMar>
            <w:vAlign w:val="center"/>
          </w:tcPr>
          <w:p w:rsidR="00286780" w:rsidRPr="00243E84" w:rsidRDefault="00286780" w:rsidP="00FA7C6C">
            <w:pPr>
              <w:jc w:val="both"/>
              <w:rPr>
                <w:spacing w:val="-8"/>
                <w:sz w:val="26"/>
                <w:szCs w:val="26"/>
              </w:rPr>
            </w:pPr>
          </w:p>
        </w:tc>
        <w:tc>
          <w:tcPr>
            <w:tcW w:w="1952" w:type="dxa"/>
            <w:tcMar>
              <w:left w:w="28" w:type="dxa"/>
              <w:right w:w="28" w:type="dxa"/>
            </w:tcMar>
            <w:vAlign w:val="center"/>
          </w:tcPr>
          <w:p w:rsidR="00286780" w:rsidRPr="00243E84" w:rsidRDefault="00286780" w:rsidP="00FA7C6C">
            <w:pPr>
              <w:snapToGrid w:val="0"/>
              <w:jc w:val="both"/>
              <w:rPr>
                <w:spacing w:val="-8"/>
                <w:sz w:val="26"/>
                <w:szCs w:val="26"/>
              </w:rPr>
            </w:pPr>
            <w:r w:rsidRPr="00243E84">
              <w:rPr>
                <w:spacing w:val="-8"/>
                <w:sz w:val="26"/>
                <w:szCs w:val="26"/>
              </w:rPr>
              <w:t xml:space="preserve">Всего </w:t>
            </w:r>
          </w:p>
        </w:tc>
        <w:tc>
          <w:tcPr>
            <w:tcW w:w="1348" w:type="dxa"/>
            <w:tcMar>
              <w:left w:w="28" w:type="dxa"/>
              <w:right w:w="28" w:type="dxa"/>
            </w:tcMar>
            <w:vAlign w:val="center"/>
          </w:tcPr>
          <w:p w:rsidR="00286780" w:rsidRPr="00243E84" w:rsidRDefault="00286780" w:rsidP="00FA7C6C">
            <w:pPr>
              <w:snapToGrid w:val="0"/>
              <w:jc w:val="center"/>
              <w:rPr>
                <w:spacing w:val="-8"/>
                <w:sz w:val="26"/>
                <w:szCs w:val="26"/>
              </w:rPr>
            </w:pPr>
            <w:r w:rsidRPr="00243E84">
              <w:rPr>
                <w:spacing w:val="-8"/>
                <w:sz w:val="26"/>
                <w:szCs w:val="26"/>
              </w:rPr>
              <w:t>167</w:t>
            </w:r>
          </w:p>
        </w:tc>
        <w:tc>
          <w:tcPr>
            <w:tcW w:w="1894" w:type="dxa"/>
            <w:tcMar>
              <w:left w:w="28" w:type="dxa"/>
              <w:right w:w="28" w:type="dxa"/>
            </w:tcMar>
            <w:vAlign w:val="center"/>
          </w:tcPr>
          <w:p w:rsidR="00286780" w:rsidRPr="00243E84" w:rsidRDefault="00286780" w:rsidP="00FA7C6C">
            <w:pPr>
              <w:jc w:val="both"/>
              <w:rPr>
                <w:spacing w:val="-8"/>
                <w:sz w:val="26"/>
                <w:szCs w:val="26"/>
              </w:rPr>
            </w:pPr>
          </w:p>
        </w:tc>
        <w:tc>
          <w:tcPr>
            <w:tcW w:w="1508" w:type="dxa"/>
            <w:tcMar>
              <w:left w:w="28" w:type="dxa"/>
              <w:right w:w="28" w:type="dxa"/>
            </w:tcMar>
            <w:vAlign w:val="center"/>
          </w:tcPr>
          <w:p w:rsidR="00286780" w:rsidRPr="00243E84" w:rsidRDefault="00286780" w:rsidP="00FA7C6C">
            <w:pPr>
              <w:jc w:val="both"/>
              <w:rPr>
                <w:spacing w:val="-8"/>
                <w:sz w:val="26"/>
                <w:szCs w:val="26"/>
              </w:rPr>
            </w:pPr>
          </w:p>
        </w:tc>
        <w:tc>
          <w:tcPr>
            <w:tcW w:w="2436" w:type="dxa"/>
            <w:tcMar>
              <w:left w:w="28" w:type="dxa"/>
              <w:right w:w="28" w:type="dxa"/>
            </w:tcMar>
            <w:vAlign w:val="center"/>
          </w:tcPr>
          <w:p w:rsidR="00286780" w:rsidRPr="00243E84" w:rsidRDefault="00286780" w:rsidP="00FA7C6C">
            <w:pPr>
              <w:jc w:val="both"/>
              <w:rPr>
                <w:spacing w:val="-8"/>
                <w:sz w:val="26"/>
                <w:szCs w:val="26"/>
              </w:rPr>
            </w:pPr>
          </w:p>
        </w:tc>
      </w:tr>
      <w:tr w:rsidR="00286780" w:rsidRPr="00243E84" w:rsidTr="00FA7C6C">
        <w:trPr>
          <w:trHeight w:val="454"/>
        </w:trPr>
        <w:tc>
          <w:tcPr>
            <w:tcW w:w="9977" w:type="dxa"/>
            <w:gridSpan w:val="6"/>
            <w:tcMar>
              <w:left w:w="28" w:type="dxa"/>
              <w:right w:w="28" w:type="dxa"/>
            </w:tcMar>
          </w:tcPr>
          <w:p w:rsidR="00286780" w:rsidRPr="00243E84" w:rsidRDefault="00286780" w:rsidP="00FA7C6C">
            <w:pPr>
              <w:jc w:val="both"/>
              <w:rPr>
                <w:spacing w:val="-8"/>
                <w:sz w:val="26"/>
                <w:szCs w:val="26"/>
              </w:rPr>
            </w:pPr>
            <w:r w:rsidRPr="00243E84">
              <w:rPr>
                <w:i/>
                <w:spacing w:val="-8"/>
                <w:sz w:val="26"/>
                <w:szCs w:val="26"/>
              </w:rPr>
              <w:t>Примечание</w:t>
            </w:r>
            <w:r w:rsidRPr="00243E84">
              <w:rPr>
                <w:spacing w:val="-8"/>
                <w:sz w:val="26"/>
                <w:szCs w:val="26"/>
              </w:rPr>
              <w:t>. КОКБ – Курская областная клиническая больница, ВОКБ – Воронежская областная клиническая больница</w:t>
            </w:r>
          </w:p>
        </w:tc>
      </w:tr>
    </w:tbl>
    <w:p w:rsidR="00286780" w:rsidRDefault="00286780" w:rsidP="00BD2F93">
      <w:pPr>
        <w:jc w:val="both"/>
        <w:rPr>
          <w:sz w:val="28"/>
          <w:szCs w:val="28"/>
          <w:lang w:eastAsia="en-US"/>
        </w:rPr>
      </w:pPr>
    </w:p>
    <w:p w:rsidR="00286780" w:rsidRDefault="00286780" w:rsidP="00BD2F93">
      <w:pPr>
        <w:spacing w:line="360" w:lineRule="auto"/>
        <w:ind w:firstLine="709"/>
        <w:jc w:val="both"/>
        <w:rPr>
          <w:sz w:val="28"/>
          <w:szCs w:val="28"/>
        </w:rPr>
      </w:pPr>
      <w:r>
        <w:rPr>
          <w:sz w:val="28"/>
          <w:szCs w:val="28"/>
        </w:rPr>
        <w:t>Из Таблицы 17</w:t>
      </w:r>
      <w:r w:rsidRPr="009008E9">
        <w:rPr>
          <w:sz w:val="28"/>
          <w:szCs w:val="28"/>
        </w:rPr>
        <w:t xml:space="preserve"> следует, что по среднему количеству вовлеченных в воспалительный процесс топографо-анатомических областей и клетчаточных пространств между </w:t>
      </w:r>
      <w:r>
        <w:rPr>
          <w:sz w:val="28"/>
          <w:szCs w:val="28"/>
        </w:rPr>
        <w:t>под</w:t>
      </w:r>
      <w:r w:rsidRPr="009008E9">
        <w:rPr>
          <w:sz w:val="28"/>
          <w:szCs w:val="28"/>
        </w:rPr>
        <w:t>группами пациентов с МФОИ, ОС в сочетании с фоновой полиорганной патологией статистически значимых различий не обнаружено.</w:t>
      </w:r>
    </w:p>
    <w:p w:rsidR="00286780" w:rsidRPr="009008E9" w:rsidRDefault="00286780" w:rsidP="00243E84">
      <w:pPr>
        <w:spacing w:line="360" w:lineRule="auto"/>
        <w:ind w:firstLine="709"/>
        <w:jc w:val="both"/>
        <w:rPr>
          <w:sz w:val="28"/>
          <w:szCs w:val="28"/>
        </w:rPr>
      </w:pPr>
      <w:r w:rsidRPr="00243E84">
        <w:rPr>
          <w:sz w:val="28"/>
          <w:szCs w:val="28"/>
        </w:rPr>
        <w:t>Сравнение подгрупп пациентов с МФОИ, ОС и фоновой полиорганной патологией с учетом топографо-анатомической локализации воспалительного про</w:t>
      </w:r>
      <w:r w:rsidRPr="00243E84">
        <w:rPr>
          <w:sz w:val="28"/>
          <w:szCs w:val="28"/>
        </w:rPr>
        <w:lastRenderedPageBreak/>
        <w:t xml:space="preserve">цесса выполнено по методике, представленной выше в рамках </w:t>
      </w:r>
      <w:r w:rsidRPr="00243E84">
        <w:rPr>
          <w:sz w:val="28"/>
          <w:szCs w:val="28"/>
          <w:lang w:val="en-US"/>
        </w:rPr>
        <w:t>I</w:t>
      </w:r>
      <w:r w:rsidRPr="00243E84">
        <w:rPr>
          <w:sz w:val="28"/>
          <w:szCs w:val="28"/>
        </w:rPr>
        <w:t xml:space="preserve"> блока исследований. Статистически значимых различий между исследуемыми подгруппами не обнаружено (</w:t>
      </w:r>
      <w:r w:rsidRPr="00243E84">
        <w:rPr>
          <w:sz w:val="28"/>
          <w:szCs w:val="28"/>
          <w:lang w:val="en-US"/>
        </w:rPr>
        <w:t>p</w:t>
      </w:r>
      <w:r w:rsidRPr="00243E84">
        <w:rPr>
          <w:sz w:val="28"/>
          <w:szCs w:val="28"/>
        </w:rPr>
        <w:t>&gt;0,05).</w:t>
      </w:r>
    </w:p>
    <w:p w:rsidR="00286780" w:rsidRPr="009008E9" w:rsidRDefault="00286780" w:rsidP="00BD2F93">
      <w:pPr>
        <w:jc w:val="both"/>
        <w:rPr>
          <w:sz w:val="28"/>
          <w:szCs w:val="28"/>
        </w:rPr>
      </w:pPr>
    </w:p>
    <w:p w:rsidR="00286780" w:rsidRPr="009008E9" w:rsidRDefault="00286780" w:rsidP="00BD2F93">
      <w:pPr>
        <w:spacing w:after="120"/>
        <w:jc w:val="both"/>
        <w:rPr>
          <w:sz w:val="28"/>
          <w:szCs w:val="28"/>
        </w:rPr>
      </w:pPr>
      <w:r w:rsidRPr="009008E9">
        <w:rPr>
          <w:b/>
          <w:sz w:val="28"/>
          <w:szCs w:val="28"/>
        </w:rPr>
        <w:t>Таблица 1</w:t>
      </w:r>
      <w:r>
        <w:rPr>
          <w:b/>
          <w:sz w:val="28"/>
          <w:szCs w:val="28"/>
        </w:rPr>
        <w:t>7</w:t>
      </w:r>
      <w:r w:rsidRPr="009008E9">
        <w:rPr>
          <w:sz w:val="28"/>
          <w:szCs w:val="28"/>
        </w:rPr>
        <w:t xml:space="preserve"> – Характеристика исследуемых </w:t>
      </w:r>
      <w:r>
        <w:rPr>
          <w:sz w:val="28"/>
          <w:szCs w:val="28"/>
        </w:rPr>
        <w:t>под</w:t>
      </w:r>
      <w:r w:rsidRPr="009008E9">
        <w:rPr>
          <w:sz w:val="28"/>
          <w:szCs w:val="28"/>
        </w:rPr>
        <w:t xml:space="preserve">групп пациентов с МФОИ и ОС и фоновой полиорганной патологией с учетом распространенности воспалительного процесса (сравнение с контрольными </w:t>
      </w:r>
      <w:r w:rsidR="00AC3864">
        <w:rPr>
          <w:sz w:val="28"/>
          <w:szCs w:val="28"/>
        </w:rPr>
        <w:t>под</w:t>
      </w:r>
      <w:r w:rsidRPr="009008E9">
        <w:rPr>
          <w:sz w:val="28"/>
          <w:szCs w:val="28"/>
        </w:rPr>
        <w:t>группами)</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14"/>
        <w:gridCol w:w="4252"/>
        <w:gridCol w:w="1957"/>
      </w:tblGrid>
      <w:tr w:rsidR="00286780" w:rsidRPr="009008E9" w:rsidTr="00FA7C6C">
        <w:trPr>
          <w:trHeight w:val="454"/>
        </w:trPr>
        <w:tc>
          <w:tcPr>
            <w:tcW w:w="3714" w:type="dxa"/>
            <w:tcMar>
              <w:left w:w="28" w:type="dxa"/>
              <w:right w:w="28" w:type="dxa"/>
            </w:tcMar>
            <w:vAlign w:val="center"/>
          </w:tcPr>
          <w:p w:rsidR="00286780" w:rsidRPr="009008E9" w:rsidRDefault="00286780" w:rsidP="00FA7C6C">
            <w:pPr>
              <w:jc w:val="center"/>
              <w:rPr>
                <w:i/>
                <w:sz w:val="24"/>
                <w:szCs w:val="24"/>
              </w:rPr>
            </w:pPr>
            <w:r>
              <w:rPr>
                <w:i/>
                <w:sz w:val="24"/>
                <w:szCs w:val="24"/>
              </w:rPr>
              <w:t>Подг</w:t>
            </w:r>
            <w:r w:rsidRPr="009008E9">
              <w:rPr>
                <w:i/>
                <w:sz w:val="24"/>
                <w:szCs w:val="24"/>
              </w:rPr>
              <w:t>руппы</w:t>
            </w:r>
          </w:p>
        </w:tc>
        <w:tc>
          <w:tcPr>
            <w:tcW w:w="4252" w:type="dxa"/>
            <w:tcMar>
              <w:left w:w="28" w:type="dxa"/>
              <w:right w:w="28" w:type="dxa"/>
            </w:tcMar>
            <w:vAlign w:val="center"/>
          </w:tcPr>
          <w:p w:rsidR="00286780" w:rsidRPr="009008E9" w:rsidRDefault="00286780" w:rsidP="00FA7C6C">
            <w:pPr>
              <w:jc w:val="center"/>
              <w:rPr>
                <w:i/>
                <w:sz w:val="24"/>
                <w:szCs w:val="24"/>
              </w:rPr>
            </w:pPr>
            <w:r w:rsidRPr="009008E9">
              <w:rPr>
                <w:i/>
                <w:sz w:val="24"/>
                <w:szCs w:val="24"/>
              </w:rPr>
              <w:t>Количество вовлеченных клетчаточных пространств (среднее значение)</w:t>
            </w:r>
          </w:p>
        </w:tc>
        <w:tc>
          <w:tcPr>
            <w:tcW w:w="1957" w:type="dxa"/>
            <w:tcMar>
              <w:left w:w="28" w:type="dxa"/>
              <w:right w:w="28" w:type="dxa"/>
            </w:tcMar>
            <w:vAlign w:val="center"/>
          </w:tcPr>
          <w:p w:rsidR="00286780" w:rsidRPr="009008E9" w:rsidRDefault="00286780" w:rsidP="00FA7C6C">
            <w:pPr>
              <w:jc w:val="center"/>
              <w:rPr>
                <w:i/>
                <w:sz w:val="24"/>
                <w:szCs w:val="24"/>
                <w:lang w:val="en-US"/>
              </w:rPr>
            </w:pPr>
            <w:r w:rsidRPr="009008E9">
              <w:rPr>
                <w:i/>
                <w:sz w:val="24"/>
                <w:szCs w:val="24"/>
              </w:rPr>
              <w:t xml:space="preserve">Значение </w:t>
            </w:r>
            <w:r w:rsidRPr="009008E9">
              <w:rPr>
                <w:i/>
                <w:sz w:val="24"/>
                <w:szCs w:val="24"/>
                <w:lang w:val="en-US"/>
              </w:rPr>
              <w:t>p</w:t>
            </w:r>
          </w:p>
        </w:tc>
      </w:tr>
      <w:tr w:rsidR="00286780" w:rsidRPr="009008E9" w:rsidTr="00C82F8D">
        <w:trPr>
          <w:trHeight w:val="454"/>
        </w:trPr>
        <w:tc>
          <w:tcPr>
            <w:tcW w:w="3714" w:type="dxa"/>
            <w:tcMar>
              <w:left w:w="28" w:type="dxa"/>
              <w:right w:w="28" w:type="dxa"/>
            </w:tcMar>
            <w:vAlign w:val="center"/>
          </w:tcPr>
          <w:p w:rsidR="00286780" w:rsidRPr="009008E9" w:rsidRDefault="00286780" w:rsidP="00FB0829">
            <w:pPr>
              <w:rPr>
                <w:sz w:val="24"/>
                <w:szCs w:val="24"/>
              </w:rPr>
            </w:pPr>
            <w:r>
              <w:rPr>
                <w:sz w:val="24"/>
                <w:szCs w:val="24"/>
              </w:rPr>
              <w:t>Под</w:t>
            </w:r>
            <w:r w:rsidRPr="009008E9">
              <w:rPr>
                <w:sz w:val="24"/>
                <w:szCs w:val="24"/>
              </w:rPr>
              <w:t>группа пациентов с МФОИ (</w:t>
            </w:r>
            <w:r w:rsidRPr="009008E9">
              <w:rPr>
                <w:sz w:val="24"/>
                <w:szCs w:val="24"/>
                <w:lang w:val="en-US"/>
              </w:rPr>
              <w:t>n</w:t>
            </w:r>
            <w:r w:rsidRPr="009008E9">
              <w:rPr>
                <w:sz w:val="24"/>
                <w:szCs w:val="24"/>
              </w:rPr>
              <w:t>=66)</w:t>
            </w:r>
          </w:p>
        </w:tc>
        <w:tc>
          <w:tcPr>
            <w:tcW w:w="4252" w:type="dxa"/>
            <w:tcMar>
              <w:left w:w="28" w:type="dxa"/>
              <w:right w:w="28" w:type="dxa"/>
            </w:tcMar>
            <w:vAlign w:val="center"/>
          </w:tcPr>
          <w:p w:rsidR="00286780" w:rsidRPr="009008E9" w:rsidRDefault="00286780" w:rsidP="00FB0829">
            <w:pPr>
              <w:jc w:val="center"/>
              <w:rPr>
                <w:sz w:val="24"/>
                <w:szCs w:val="24"/>
              </w:rPr>
            </w:pPr>
            <w:r w:rsidRPr="009008E9">
              <w:rPr>
                <w:sz w:val="24"/>
                <w:szCs w:val="24"/>
              </w:rPr>
              <w:t>1,15±0,09</w:t>
            </w:r>
          </w:p>
        </w:tc>
        <w:tc>
          <w:tcPr>
            <w:tcW w:w="1957" w:type="dxa"/>
            <w:tcMar>
              <w:left w:w="28" w:type="dxa"/>
              <w:right w:w="28" w:type="dxa"/>
            </w:tcMar>
          </w:tcPr>
          <w:p w:rsidR="00286780" w:rsidRPr="00FB0829" w:rsidRDefault="00286780" w:rsidP="00FB0829">
            <w:pPr>
              <w:jc w:val="center"/>
            </w:pPr>
            <w:r w:rsidRPr="00FB0829">
              <w:rPr>
                <w:sz w:val="24"/>
                <w:szCs w:val="24"/>
                <w:lang w:val="en-US"/>
              </w:rPr>
              <w:t>p</w:t>
            </w:r>
            <w:r w:rsidRPr="00FB0829">
              <w:rPr>
                <w:sz w:val="24"/>
                <w:szCs w:val="24"/>
              </w:rPr>
              <w:t>&gt;0,05</w:t>
            </w:r>
          </w:p>
        </w:tc>
      </w:tr>
      <w:tr w:rsidR="00286780" w:rsidRPr="009008E9" w:rsidTr="00C82F8D">
        <w:trPr>
          <w:trHeight w:val="454"/>
        </w:trPr>
        <w:tc>
          <w:tcPr>
            <w:tcW w:w="3714" w:type="dxa"/>
            <w:tcMar>
              <w:left w:w="28" w:type="dxa"/>
              <w:right w:w="28" w:type="dxa"/>
            </w:tcMar>
            <w:vAlign w:val="center"/>
          </w:tcPr>
          <w:p w:rsidR="00286780" w:rsidRPr="009008E9" w:rsidRDefault="00286780" w:rsidP="00FB0829">
            <w:pPr>
              <w:rPr>
                <w:sz w:val="24"/>
                <w:szCs w:val="24"/>
              </w:rPr>
            </w:pPr>
            <w:r>
              <w:rPr>
                <w:sz w:val="24"/>
                <w:szCs w:val="24"/>
              </w:rPr>
              <w:t>Под</w:t>
            </w:r>
            <w:r w:rsidRPr="009008E9">
              <w:rPr>
                <w:sz w:val="24"/>
                <w:szCs w:val="24"/>
              </w:rPr>
              <w:t>группа пациентов с ОС (</w:t>
            </w:r>
            <w:r w:rsidRPr="009008E9">
              <w:rPr>
                <w:sz w:val="24"/>
                <w:szCs w:val="24"/>
                <w:lang w:val="en-US"/>
              </w:rPr>
              <w:t>n</w:t>
            </w:r>
            <w:r w:rsidRPr="009008E9">
              <w:rPr>
                <w:sz w:val="24"/>
                <w:szCs w:val="24"/>
              </w:rPr>
              <w:t>=28)</w:t>
            </w:r>
          </w:p>
        </w:tc>
        <w:tc>
          <w:tcPr>
            <w:tcW w:w="4252" w:type="dxa"/>
            <w:tcMar>
              <w:left w:w="28" w:type="dxa"/>
              <w:right w:w="28" w:type="dxa"/>
            </w:tcMar>
            <w:vAlign w:val="center"/>
          </w:tcPr>
          <w:p w:rsidR="00286780" w:rsidRPr="009008E9" w:rsidRDefault="00286780" w:rsidP="00FB0829">
            <w:pPr>
              <w:jc w:val="center"/>
              <w:rPr>
                <w:sz w:val="24"/>
                <w:szCs w:val="24"/>
              </w:rPr>
            </w:pPr>
            <w:r w:rsidRPr="009008E9">
              <w:rPr>
                <w:sz w:val="24"/>
                <w:szCs w:val="24"/>
              </w:rPr>
              <w:t>5,89±0,39</w:t>
            </w:r>
          </w:p>
        </w:tc>
        <w:tc>
          <w:tcPr>
            <w:tcW w:w="1957" w:type="dxa"/>
            <w:tcMar>
              <w:left w:w="28" w:type="dxa"/>
              <w:right w:w="28" w:type="dxa"/>
            </w:tcMar>
          </w:tcPr>
          <w:p w:rsidR="00286780" w:rsidRPr="00FB0829" w:rsidRDefault="00286780" w:rsidP="00FB0829">
            <w:pPr>
              <w:jc w:val="center"/>
            </w:pPr>
            <w:r w:rsidRPr="00FB0829">
              <w:rPr>
                <w:sz w:val="24"/>
                <w:szCs w:val="24"/>
                <w:lang w:val="en-US"/>
              </w:rPr>
              <w:t>p</w:t>
            </w:r>
            <w:r w:rsidRPr="00FB0829">
              <w:rPr>
                <w:sz w:val="24"/>
                <w:szCs w:val="24"/>
              </w:rPr>
              <w:t>&gt;0,05</w:t>
            </w:r>
          </w:p>
        </w:tc>
      </w:tr>
    </w:tbl>
    <w:p w:rsidR="00286780" w:rsidRPr="009008E9" w:rsidRDefault="00286780" w:rsidP="00BD2F93">
      <w:pPr>
        <w:jc w:val="both"/>
        <w:rPr>
          <w:sz w:val="28"/>
          <w:szCs w:val="28"/>
        </w:rPr>
      </w:pPr>
    </w:p>
    <w:p w:rsidR="00286780" w:rsidRDefault="00286780" w:rsidP="00BD2F93">
      <w:pPr>
        <w:spacing w:line="360" w:lineRule="auto"/>
        <w:ind w:firstLine="709"/>
        <w:jc w:val="both"/>
        <w:rPr>
          <w:sz w:val="28"/>
          <w:szCs w:val="28"/>
        </w:rPr>
      </w:pPr>
      <w:r>
        <w:rPr>
          <w:sz w:val="28"/>
          <w:szCs w:val="28"/>
        </w:rPr>
        <w:t>С</w:t>
      </w:r>
      <w:r w:rsidRPr="009008E9">
        <w:rPr>
          <w:sz w:val="28"/>
          <w:szCs w:val="28"/>
        </w:rPr>
        <w:t xml:space="preserve">равниваемые </w:t>
      </w:r>
      <w:r>
        <w:rPr>
          <w:sz w:val="28"/>
          <w:szCs w:val="28"/>
        </w:rPr>
        <w:t>под</w:t>
      </w:r>
      <w:r w:rsidRPr="009008E9">
        <w:rPr>
          <w:sz w:val="28"/>
          <w:szCs w:val="28"/>
        </w:rPr>
        <w:t>группы сопоставимы по возрастно-половым и антропометрическим характеристикам, форме (абсцесс, флегмона), распространенности, локализации и степени тяжести основного гнойно-воспалительного процесса, хирургическим и медикаментозным методам лечения МФОИ и одонтогенного сепсиса (</w:t>
      </w:r>
      <w:r w:rsidRPr="009008E9">
        <w:rPr>
          <w:sz w:val="28"/>
          <w:szCs w:val="28"/>
          <w:lang w:val="en-US"/>
        </w:rPr>
        <w:t>p</w:t>
      </w:r>
      <w:r>
        <w:rPr>
          <w:sz w:val="28"/>
          <w:szCs w:val="28"/>
        </w:rPr>
        <w:t>&gt;</w:t>
      </w:r>
      <w:r w:rsidRPr="009008E9">
        <w:rPr>
          <w:sz w:val="28"/>
          <w:szCs w:val="28"/>
        </w:rPr>
        <w:t>0,05).</w:t>
      </w:r>
    </w:p>
    <w:p w:rsidR="00286780" w:rsidRDefault="00286780" w:rsidP="00BD2F93">
      <w:pPr>
        <w:spacing w:line="360" w:lineRule="auto"/>
        <w:ind w:firstLine="709"/>
        <w:jc w:val="both"/>
        <w:rPr>
          <w:sz w:val="28"/>
          <w:szCs w:val="28"/>
        </w:rPr>
      </w:pPr>
      <w:r>
        <w:rPr>
          <w:sz w:val="28"/>
          <w:szCs w:val="28"/>
        </w:rPr>
        <w:t>В рамках второго блока исследований рассмотрены контактные одонтогенные медиастиниты (КОМ), развивающиеся при наличии полиорганной фоновой патологии и синдрома взаимного отягощения.</w:t>
      </w:r>
    </w:p>
    <w:p w:rsidR="00286780" w:rsidRDefault="00286780" w:rsidP="00BD2F93">
      <w:pPr>
        <w:spacing w:line="360" w:lineRule="auto"/>
        <w:ind w:firstLine="709"/>
        <w:jc w:val="both"/>
        <w:rPr>
          <w:sz w:val="28"/>
          <w:szCs w:val="28"/>
        </w:rPr>
      </w:pPr>
      <w:r>
        <w:rPr>
          <w:sz w:val="28"/>
          <w:szCs w:val="28"/>
        </w:rPr>
        <w:t>Исследованы классификация, жалобы пациентов с КОМ, характеристика анамнеза (продолжительность догоспитального периода, догоспитальное лечение), клинико-лабораторные показатели (сравнение подгруппы пациентов с КОМ, фоновой полиорганной патологией с группой с КОМ в отсутствии полиорганной фоновой патологии внутренних органов, микробиологическая характеристика раневого отделяемого и гемокультур, показатели эффективности диагностики и стационарного лечения (средний койко-день, осложнения, летальность).</w:t>
      </w:r>
    </w:p>
    <w:p w:rsidR="00286780" w:rsidRDefault="00286780" w:rsidP="00BD2F93">
      <w:pPr>
        <w:spacing w:line="360" w:lineRule="auto"/>
        <w:ind w:firstLine="709"/>
        <w:jc w:val="both"/>
        <w:rPr>
          <w:sz w:val="28"/>
          <w:szCs w:val="28"/>
        </w:rPr>
      </w:pPr>
      <w:r>
        <w:rPr>
          <w:sz w:val="28"/>
          <w:szCs w:val="28"/>
        </w:rPr>
        <w:t>Для классификации КОМ использована классификация медиастинитов по А.Я. Иванову, 1959 г.).</w:t>
      </w:r>
    </w:p>
    <w:p w:rsidR="00286780" w:rsidRDefault="00286780" w:rsidP="00C75FF5">
      <w:pPr>
        <w:spacing w:line="360" w:lineRule="auto"/>
        <w:ind w:firstLine="709"/>
        <w:jc w:val="both"/>
        <w:rPr>
          <w:sz w:val="28"/>
          <w:szCs w:val="28"/>
        </w:rPr>
      </w:pPr>
      <w:r>
        <w:rPr>
          <w:sz w:val="28"/>
          <w:szCs w:val="28"/>
        </w:rPr>
        <w:t>К подгруппе пациентов с КОМ без полиорганной фоновой патологии и синдрома взаимного отягощения (подгруппа сравнения) отнесены семь пациентов (мужчин - 6; 85,7%; средний возраст – 28</w:t>
      </w:r>
      <w:r w:rsidRPr="00C75FF5">
        <w:rPr>
          <w:sz w:val="28"/>
          <w:szCs w:val="28"/>
        </w:rPr>
        <w:t>[</w:t>
      </w:r>
      <w:r>
        <w:rPr>
          <w:sz w:val="28"/>
          <w:szCs w:val="28"/>
        </w:rPr>
        <w:t>24;30</w:t>
      </w:r>
      <w:r w:rsidRPr="00C75FF5">
        <w:rPr>
          <w:sz w:val="28"/>
          <w:szCs w:val="28"/>
        </w:rPr>
        <w:t>]</w:t>
      </w:r>
      <w:r>
        <w:rPr>
          <w:sz w:val="28"/>
          <w:szCs w:val="28"/>
        </w:rPr>
        <w:t xml:space="preserve"> лет; средний рост 180</w:t>
      </w:r>
      <w:r w:rsidRPr="00566A16">
        <w:rPr>
          <w:sz w:val="28"/>
          <w:szCs w:val="28"/>
        </w:rPr>
        <w:t>[</w:t>
      </w:r>
      <w:r>
        <w:rPr>
          <w:sz w:val="28"/>
          <w:szCs w:val="28"/>
        </w:rPr>
        <w:t>176;190</w:t>
      </w:r>
      <w:r w:rsidRPr="00566A16">
        <w:rPr>
          <w:sz w:val="28"/>
          <w:szCs w:val="28"/>
        </w:rPr>
        <w:t>]</w:t>
      </w:r>
      <w:r>
        <w:rPr>
          <w:sz w:val="28"/>
          <w:szCs w:val="28"/>
        </w:rPr>
        <w:t xml:space="preserve"> </w:t>
      </w:r>
      <w:r>
        <w:rPr>
          <w:sz w:val="28"/>
          <w:szCs w:val="28"/>
        </w:rPr>
        <w:lastRenderedPageBreak/>
        <w:t>см; средний вес 88</w:t>
      </w:r>
      <w:r w:rsidRPr="00566A16">
        <w:rPr>
          <w:sz w:val="28"/>
          <w:szCs w:val="28"/>
        </w:rPr>
        <w:t>[</w:t>
      </w:r>
      <w:r>
        <w:rPr>
          <w:sz w:val="28"/>
          <w:szCs w:val="28"/>
        </w:rPr>
        <w:t>75;120 кг</w:t>
      </w:r>
      <w:r w:rsidRPr="00566A16">
        <w:rPr>
          <w:sz w:val="28"/>
          <w:szCs w:val="28"/>
        </w:rPr>
        <w:t>]</w:t>
      </w:r>
      <w:r>
        <w:rPr>
          <w:sz w:val="28"/>
          <w:szCs w:val="28"/>
        </w:rPr>
        <w:t xml:space="preserve">), входящих в контрольную подгруппу пациентов с одонтогенным сепсисом без хронической патологии внутренних органов. Синдром полиорганной недостаточности (СПОН, </w:t>
      </w:r>
      <w:r>
        <w:rPr>
          <w:sz w:val="28"/>
          <w:szCs w:val="28"/>
          <w:lang w:val="en-US"/>
        </w:rPr>
        <w:t>SOFA</w:t>
      </w:r>
      <w:r>
        <w:rPr>
          <w:sz w:val="28"/>
          <w:szCs w:val="28"/>
        </w:rPr>
        <w:t>&gt;</w:t>
      </w:r>
      <w:r w:rsidRPr="009F2678">
        <w:rPr>
          <w:sz w:val="28"/>
          <w:szCs w:val="28"/>
        </w:rPr>
        <w:t xml:space="preserve">2 </w:t>
      </w:r>
      <w:r>
        <w:rPr>
          <w:sz w:val="28"/>
          <w:szCs w:val="28"/>
        </w:rPr>
        <w:t>балла) диагностирован в 100% случаев. Септический шок - 1 пациент (14,3%), аррозивное кровотечение (внутренняя яремная вена) - 1 пациент (14,3%), острая дыхательная недостаточность (с наложением трахеостомы) - 3 пациента (42,9%).</w:t>
      </w:r>
    </w:p>
    <w:p w:rsidR="00286780" w:rsidRDefault="00286780" w:rsidP="00C75FF5">
      <w:pPr>
        <w:spacing w:line="360" w:lineRule="auto"/>
        <w:ind w:firstLine="709"/>
        <w:jc w:val="both"/>
        <w:rPr>
          <w:sz w:val="28"/>
          <w:szCs w:val="28"/>
        </w:rPr>
      </w:pPr>
      <w:r>
        <w:rPr>
          <w:sz w:val="28"/>
          <w:szCs w:val="28"/>
        </w:rPr>
        <w:t xml:space="preserve">К подгруппе пациентов с КОМ, полиорганной фоновой патологией и синдромом взаимного отягощения отнесены 13 пациентов (мужчин – 6; 46,2%; средний возраст – </w:t>
      </w:r>
      <w:r w:rsidRPr="008277FA">
        <w:rPr>
          <w:sz w:val="28"/>
          <w:szCs w:val="28"/>
        </w:rPr>
        <w:t>36[</w:t>
      </w:r>
      <w:r>
        <w:rPr>
          <w:sz w:val="28"/>
          <w:szCs w:val="28"/>
        </w:rPr>
        <w:t>2</w:t>
      </w:r>
      <w:r w:rsidRPr="008277FA">
        <w:rPr>
          <w:sz w:val="28"/>
          <w:szCs w:val="28"/>
        </w:rPr>
        <w:t>9</w:t>
      </w:r>
      <w:r>
        <w:rPr>
          <w:sz w:val="28"/>
          <w:szCs w:val="28"/>
        </w:rPr>
        <w:t>;</w:t>
      </w:r>
      <w:r w:rsidRPr="008277FA">
        <w:rPr>
          <w:sz w:val="28"/>
          <w:szCs w:val="28"/>
        </w:rPr>
        <w:t xml:space="preserve">42] </w:t>
      </w:r>
      <w:r>
        <w:rPr>
          <w:sz w:val="28"/>
          <w:szCs w:val="28"/>
        </w:rPr>
        <w:t>года; средний рост 176</w:t>
      </w:r>
      <w:r w:rsidRPr="00566A16">
        <w:rPr>
          <w:sz w:val="28"/>
          <w:szCs w:val="28"/>
        </w:rPr>
        <w:t>[</w:t>
      </w:r>
      <w:r>
        <w:rPr>
          <w:sz w:val="28"/>
          <w:szCs w:val="28"/>
        </w:rPr>
        <w:t>172;182</w:t>
      </w:r>
      <w:r w:rsidRPr="00566A16">
        <w:rPr>
          <w:sz w:val="28"/>
          <w:szCs w:val="28"/>
        </w:rPr>
        <w:t>]</w:t>
      </w:r>
      <w:r>
        <w:rPr>
          <w:sz w:val="28"/>
          <w:szCs w:val="28"/>
        </w:rPr>
        <w:t xml:space="preserve"> см; средний вес 78</w:t>
      </w:r>
      <w:r w:rsidRPr="00107606">
        <w:rPr>
          <w:sz w:val="28"/>
          <w:szCs w:val="28"/>
        </w:rPr>
        <w:t>[</w:t>
      </w:r>
      <w:r>
        <w:rPr>
          <w:sz w:val="28"/>
          <w:szCs w:val="28"/>
        </w:rPr>
        <w:t>65;110</w:t>
      </w:r>
      <w:r w:rsidRPr="00107606">
        <w:rPr>
          <w:sz w:val="28"/>
          <w:szCs w:val="28"/>
        </w:rPr>
        <w:t>]</w:t>
      </w:r>
      <w:r>
        <w:rPr>
          <w:sz w:val="28"/>
          <w:szCs w:val="28"/>
        </w:rPr>
        <w:t xml:space="preserve"> кг), входящих в группу пациентов с одонтогенным сепсисом, полиорганной фоновой патологией и синдромом взаимного отягощения. Синдром полиорганной недостаточности (</w:t>
      </w:r>
      <w:r>
        <w:rPr>
          <w:sz w:val="28"/>
          <w:szCs w:val="28"/>
          <w:lang w:val="en-US"/>
        </w:rPr>
        <w:t>SOFA</w:t>
      </w:r>
      <w:r>
        <w:rPr>
          <w:sz w:val="28"/>
          <w:szCs w:val="28"/>
        </w:rPr>
        <w:t>&gt;</w:t>
      </w:r>
      <w:r w:rsidRPr="009F2678">
        <w:rPr>
          <w:sz w:val="28"/>
          <w:szCs w:val="28"/>
        </w:rPr>
        <w:t xml:space="preserve">2 </w:t>
      </w:r>
      <w:r>
        <w:rPr>
          <w:sz w:val="28"/>
          <w:szCs w:val="28"/>
        </w:rPr>
        <w:t>балла) диагностирован в 100% случаев. Осложнения подробно рассмотрены в соответствующем разделе диссертационного исследования.</w:t>
      </w:r>
    </w:p>
    <w:p w:rsidR="00286780" w:rsidRDefault="00286780" w:rsidP="00C75FF5">
      <w:pPr>
        <w:spacing w:line="360" w:lineRule="auto"/>
        <w:ind w:firstLine="709"/>
        <w:jc w:val="both"/>
        <w:rPr>
          <w:sz w:val="28"/>
          <w:szCs w:val="28"/>
        </w:rPr>
      </w:pPr>
      <w:r>
        <w:rPr>
          <w:sz w:val="28"/>
          <w:szCs w:val="28"/>
        </w:rPr>
        <w:t xml:space="preserve">Лечение пациентов с КОМ исследуемых подгрупп соответствует лечению пациентов контрольной группы в рамках </w:t>
      </w:r>
      <w:r>
        <w:rPr>
          <w:sz w:val="28"/>
          <w:szCs w:val="28"/>
          <w:lang w:val="en-US"/>
        </w:rPr>
        <w:t>III</w:t>
      </w:r>
      <w:r w:rsidRPr="001409B4">
        <w:rPr>
          <w:sz w:val="28"/>
          <w:szCs w:val="28"/>
        </w:rPr>
        <w:t xml:space="preserve"> </w:t>
      </w:r>
      <w:r>
        <w:rPr>
          <w:sz w:val="28"/>
          <w:szCs w:val="28"/>
        </w:rPr>
        <w:t>блока исследований, представленному ниже.</w:t>
      </w:r>
    </w:p>
    <w:p w:rsidR="00286780" w:rsidRPr="00C75FF5" w:rsidRDefault="00286780" w:rsidP="008277FA">
      <w:pPr>
        <w:spacing w:line="360" w:lineRule="auto"/>
        <w:ind w:firstLine="709"/>
        <w:jc w:val="both"/>
        <w:rPr>
          <w:sz w:val="28"/>
          <w:szCs w:val="28"/>
        </w:rPr>
      </w:pPr>
      <w:r>
        <w:rPr>
          <w:sz w:val="28"/>
          <w:szCs w:val="28"/>
        </w:rPr>
        <w:t>С</w:t>
      </w:r>
      <w:r w:rsidRPr="009008E9">
        <w:rPr>
          <w:sz w:val="28"/>
          <w:szCs w:val="28"/>
        </w:rPr>
        <w:t xml:space="preserve">равниваемые </w:t>
      </w:r>
      <w:r>
        <w:rPr>
          <w:sz w:val="28"/>
          <w:szCs w:val="28"/>
        </w:rPr>
        <w:t>под</w:t>
      </w:r>
      <w:r w:rsidRPr="009008E9">
        <w:rPr>
          <w:sz w:val="28"/>
          <w:szCs w:val="28"/>
        </w:rPr>
        <w:t>группы сопоставимы по возрастно-половым и антропометрическим характерис</w:t>
      </w:r>
      <w:r>
        <w:rPr>
          <w:sz w:val="28"/>
          <w:szCs w:val="28"/>
        </w:rPr>
        <w:t>тикам</w:t>
      </w:r>
      <w:r w:rsidRPr="009008E9">
        <w:rPr>
          <w:sz w:val="28"/>
          <w:szCs w:val="28"/>
        </w:rPr>
        <w:t xml:space="preserve">, распространенности, локализации и степени тяжести основного гнойно-воспалительного процесса, хирургическим и медикаментозным методам лечения одонтогенного сепсиса </w:t>
      </w:r>
      <w:r>
        <w:rPr>
          <w:sz w:val="28"/>
          <w:szCs w:val="28"/>
        </w:rPr>
        <w:t xml:space="preserve">и КОМ </w:t>
      </w:r>
      <w:r w:rsidRPr="009008E9">
        <w:rPr>
          <w:sz w:val="28"/>
          <w:szCs w:val="28"/>
        </w:rPr>
        <w:t>(</w:t>
      </w:r>
      <w:r w:rsidRPr="009008E9">
        <w:rPr>
          <w:sz w:val="28"/>
          <w:szCs w:val="28"/>
          <w:lang w:val="en-US"/>
        </w:rPr>
        <w:t>p</w:t>
      </w:r>
      <w:r>
        <w:rPr>
          <w:sz w:val="28"/>
          <w:szCs w:val="28"/>
        </w:rPr>
        <w:t>&gt;</w:t>
      </w:r>
      <w:r w:rsidRPr="009008E9">
        <w:rPr>
          <w:sz w:val="28"/>
          <w:szCs w:val="28"/>
        </w:rPr>
        <w:t>0,05).</w:t>
      </w:r>
    </w:p>
    <w:p w:rsidR="00286780" w:rsidRDefault="00286780" w:rsidP="00BD2F93">
      <w:pPr>
        <w:spacing w:line="360" w:lineRule="auto"/>
        <w:ind w:firstLine="709"/>
        <w:jc w:val="both"/>
        <w:rPr>
          <w:sz w:val="28"/>
          <w:szCs w:val="28"/>
        </w:rPr>
      </w:pPr>
      <w:r w:rsidRPr="008277FA">
        <w:rPr>
          <w:b/>
          <w:sz w:val="28"/>
          <w:szCs w:val="28"/>
        </w:rPr>
        <w:t>В рамках третьего (</w:t>
      </w:r>
      <w:r w:rsidRPr="008277FA">
        <w:rPr>
          <w:b/>
          <w:sz w:val="28"/>
          <w:szCs w:val="28"/>
          <w:lang w:val="en-US"/>
        </w:rPr>
        <w:t>III</w:t>
      </w:r>
      <w:r w:rsidRPr="008277FA">
        <w:rPr>
          <w:b/>
          <w:sz w:val="28"/>
          <w:szCs w:val="28"/>
        </w:rPr>
        <w:t>) блока исследований</w:t>
      </w:r>
      <w:r w:rsidRPr="009008E9">
        <w:rPr>
          <w:sz w:val="28"/>
          <w:szCs w:val="28"/>
        </w:rPr>
        <w:t xml:space="preserve"> разработан </w:t>
      </w:r>
      <w:r w:rsidRPr="009008E9">
        <w:rPr>
          <w:i/>
          <w:sz w:val="28"/>
          <w:szCs w:val="28"/>
        </w:rPr>
        <w:t>алгоритм обследования</w:t>
      </w:r>
      <w:r w:rsidRPr="009008E9">
        <w:rPr>
          <w:sz w:val="28"/>
          <w:szCs w:val="28"/>
        </w:rPr>
        <w:t xml:space="preserve"> и </w:t>
      </w:r>
      <w:r w:rsidRPr="009008E9">
        <w:rPr>
          <w:i/>
          <w:sz w:val="28"/>
          <w:szCs w:val="28"/>
        </w:rPr>
        <w:t>программа комплексного многокомпонентного лечения</w:t>
      </w:r>
      <w:r w:rsidRPr="009008E9">
        <w:rPr>
          <w:sz w:val="28"/>
          <w:szCs w:val="28"/>
        </w:rPr>
        <w:t xml:space="preserve"> пациентов с хирургическими осложнениями одонтогенной инфекции, фоновой полиорганной патологией и </w:t>
      </w:r>
      <w:r>
        <w:rPr>
          <w:sz w:val="28"/>
          <w:szCs w:val="28"/>
        </w:rPr>
        <w:t>синдромом взаимного отягощения.</w:t>
      </w:r>
    </w:p>
    <w:p w:rsidR="00286780" w:rsidRPr="009008E9" w:rsidRDefault="00286780" w:rsidP="00BD2F93">
      <w:pPr>
        <w:spacing w:line="360" w:lineRule="auto"/>
        <w:ind w:firstLine="709"/>
        <w:jc w:val="both"/>
        <w:rPr>
          <w:sz w:val="28"/>
          <w:szCs w:val="28"/>
        </w:rPr>
      </w:pPr>
      <w:r w:rsidRPr="009008E9">
        <w:rPr>
          <w:sz w:val="28"/>
          <w:szCs w:val="28"/>
        </w:rPr>
        <w:t>Выполнена оценка эффективности разработанных</w:t>
      </w:r>
      <w:r w:rsidRPr="009008E9">
        <w:rPr>
          <w:i/>
          <w:sz w:val="28"/>
          <w:szCs w:val="28"/>
        </w:rPr>
        <w:t>алгоритма обследования</w:t>
      </w:r>
      <w:r w:rsidRPr="009008E9">
        <w:rPr>
          <w:sz w:val="28"/>
          <w:szCs w:val="28"/>
        </w:rPr>
        <w:t xml:space="preserve"> и </w:t>
      </w:r>
      <w:r w:rsidRPr="009008E9">
        <w:rPr>
          <w:i/>
          <w:sz w:val="28"/>
          <w:szCs w:val="28"/>
        </w:rPr>
        <w:t>программы комплексного лечения</w:t>
      </w:r>
      <w:r w:rsidRPr="009008E9">
        <w:rPr>
          <w:sz w:val="28"/>
          <w:szCs w:val="28"/>
        </w:rPr>
        <w:t>.</w:t>
      </w:r>
    </w:p>
    <w:p w:rsidR="00286780" w:rsidRPr="009008E9" w:rsidRDefault="00286780" w:rsidP="00BD2F93">
      <w:pPr>
        <w:spacing w:line="360" w:lineRule="auto"/>
        <w:ind w:firstLine="709"/>
        <w:jc w:val="both"/>
        <w:rPr>
          <w:sz w:val="28"/>
          <w:szCs w:val="28"/>
        </w:rPr>
      </w:pPr>
      <w:r w:rsidRPr="009008E9">
        <w:rPr>
          <w:sz w:val="28"/>
          <w:szCs w:val="28"/>
        </w:rPr>
        <w:t>С целью определения показателей чувствительности, специфичности, точности, прогностичности положительного и отрицательного результатов (</w:t>
      </w:r>
      <w:r w:rsidRPr="009008E9">
        <w:rPr>
          <w:sz w:val="28"/>
          <w:szCs w:val="28"/>
          <w:lang w:val="en-US"/>
        </w:rPr>
        <w:t>Se</w:t>
      </w:r>
      <w:r w:rsidRPr="009008E9">
        <w:rPr>
          <w:sz w:val="28"/>
          <w:szCs w:val="28"/>
        </w:rPr>
        <w:t xml:space="preserve">, </w:t>
      </w:r>
      <w:r w:rsidRPr="009008E9">
        <w:rPr>
          <w:sz w:val="28"/>
          <w:szCs w:val="28"/>
          <w:lang w:val="en-US"/>
        </w:rPr>
        <w:t>Sp</w:t>
      </w:r>
      <w:r w:rsidRPr="009008E9">
        <w:rPr>
          <w:sz w:val="28"/>
          <w:szCs w:val="28"/>
        </w:rPr>
        <w:t xml:space="preserve">, </w:t>
      </w:r>
      <w:r w:rsidRPr="009008E9">
        <w:rPr>
          <w:sz w:val="28"/>
          <w:szCs w:val="28"/>
          <w:lang w:val="en-US"/>
        </w:rPr>
        <w:t>Ac</w:t>
      </w:r>
      <w:r w:rsidRPr="009008E9">
        <w:rPr>
          <w:sz w:val="28"/>
          <w:szCs w:val="28"/>
        </w:rPr>
        <w:t xml:space="preserve">, </w:t>
      </w:r>
      <w:r w:rsidRPr="009008E9">
        <w:rPr>
          <w:sz w:val="28"/>
          <w:szCs w:val="28"/>
          <w:lang w:val="en-US"/>
        </w:rPr>
        <w:t>PPV</w:t>
      </w:r>
      <w:r w:rsidRPr="009008E9">
        <w:rPr>
          <w:sz w:val="28"/>
          <w:szCs w:val="28"/>
        </w:rPr>
        <w:t xml:space="preserve">, </w:t>
      </w:r>
      <w:r w:rsidRPr="009008E9">
        <w:rPr>
          <w:sz w:val="28"/>
          <w:szCs w:val="28"/>
          <w:lang w:val="en-US"/>
        </w:rPr>
        <w:t>NPV</w:t>
      </w:r>
      <w:r w:rsidRPr="009008E9">
        <w:rPr>
          <w:sz w:val="28"/>
          <w:szCs w:val="28"/>
        </w:rPr>
        <w:t xml:space="preserve"> соответственно), необходимых для математически обоснованной </w:t>
      </w:r>
      <w:r w:rsidRPr="009008E9">
        <w:rPr>
          <w:sz w:val="28"/>
          <w:szCs w:val="28"/>
        </w:rPr>
        <w:lastRenderedPageBreak/>
        <w:t xml:space="preserve">разработки </w:t>
      </w:r>
      <w:r w:rsidRPr="009008E9">
        <w:rPr>
          <w:i/>
          <w:sz w:val="28"/>
          <w:szCs w:val="28"/>
        </w:rPr>
        <w:t>алгоритма обследования</w:t>
      </w:r>
      <w:r w:rsidRPr="009008E9">
        <w:rPr>
          <w:sz w:val="28"/>
          <w:szCs w:val="28"/>
        </w:rPr>
        <w:t xml:space="preserve"> пациентов с хирургическими осложнениями одонтогенной инфекции, выполнен анализ клинико-лабораторных данных 85 больных с МФОИ и ОС (Курск, Курская областная клиническая больница, 2012–2015 гг., 2018 г.), из них 45 пациентов с МФОИ (мужчин – 32 (71,1%), средний возраст – 43,8±2,52 года), 40 пациентов с ОС (мужчин – 35 (87,5%), средний возраст – 39,1±2,16 лет). Фоновая полиорганная патология диагностирована у восьми пациентов с МФОИ (17,8%), у 11 пациентов с ОС (27,5%), </w:t>
      </w:r>
      <w:r w:rsidRPr="009008E9">
        <w:rPr>
          <w:sz w:val="28"/>
          <w:szCs w:val="28"/>
          <w:lang w:val="en-US"/>
        </w:rPr>
        <w:t>p</w:t>
      </w:r>
      <w:r w:rsidRPr="009008E9">
        <w:rPr>
          <w:sz w:val="28"/>
          <w:szCs w:val="28"/>
        </w:rPr>
        <w:t>&gt;0,05.</w:t>
      </w:r>
    </w:p>
    <w:p w:rsidR="00286780" w:rsidRPr="009008E9" w:rsidRDefault="00286780" w:rsidP="00BD2F93">
      <w:pPr>
        <w:spacing w:line="360" w:lineRule="auto"/>
        <w:ind w:firstLine="709"/>
        <w:jc w:val="both"/>
        <w:rPr>
          <w:sz w:val="28"/>
          <w:szCs w:val="28"/>
        </w:rPr>
      </w:pPr>
      <w:r w:rsidRPr="009008E9">
        <w:rPr>
          <w:sz w:val="28"/>
          <w:szCs w:val="28"/>
        </w:rPr>
        <w:t xml:space="preserve">Сравниваемые </w:t>
      </w:r>
      <w:r>
        <w:rPr>
          <w:sz w:val="28"/>
          <w:szCs w:val="28"/>
        </w:rPr>
        <w:t>под</w:t>
      </w:r>
      <w:r w:rsidRPr="009008E9">
        <w:rPr>
          <w:sz w:val="28"/>
          <w:szCs w:val="28"/>
        </w:rPr>
        <w:t>группы сопоставимы по возрастно-половым и антропометрическим характеристикам, нозологическим характеристикам хронической патологии внутренних органов (</w:t>
      </w:r>
      <w:r w:rsidRPr="009008E9">
        <w:rPr>
          <w:sz w:val="28"/>
          <w:szCs w:val="28"/>
          <w:lang w:val="en-US"/>
        </w:rPr>
        <w:t>p</w:t>
      </w:r>
      <w:r>
        <w:rPr>
          <w:sz w:val="28"/>
          <w:szCs w:val="28"/>
        </w:rPr>
        <w:t>&gt;</w:t>
      </w:r>
      <w:r w:rsidRPr="009008E9">
        <w:rPr>
          <w:sz w:val="28"/>
          <w:szCs w:val="28"/>
        </w:rPr>
        <w:t>0,05), различаются по форме воспалительного процесса (сепсис, местная форма гнойной инфекции).</w:t>
      </w:r>
    </w:p>
    <w:p w:rsidR="00286780" w:rsidRPr="009008E9" w:rsidRDefault="00286780" w:rsidP="00BD2F93">
      <w:pPr>
        <w:spacing w:line="360" w:lineRule="auto"/>
        <w:ind w:firstLine="709"/>
        <w:jc w:val="both"/>
        <w:rPr>
          <w:sz w:val="28"/>
          <w:szCs w:val="28"/>
        </w:rPr>
      </w:pPr>
      <w:r w:rsidRPr="009008E9">
        <w:rPr>
          <w:sz w:val="28"/>
          <w:szCs w:val="28"/>
        </w:rPr>
        <w:t xml:space="preserve">Клинико-лабораторные характеристики пациентов исследуемых </w:t>
      </w:r>
      <w:r>
        <w:rPr>
          <w:sz w:val="28"/>
          <w:szCs w:val="28"/>
        </w:rPr>
        <w:t>под</w:t>
      </w:r>
      <w:r w:rsidRPr="009008E9">
        <w:rPr>
          <w:sz w:val="28"/>
          <w:szCs w:val="28"/>
        </w:rPr>
        <w:t xml:space="preserve">групп проанализированы с применением дифференциально-диагностических шкал </w:t>
      </w:r>
      <w:r w:rsidRPr="009008E9">
        <w:rPr>
          <w:sz w:val="28"/>
          <w:szCs w:val="28"/>
          <w:lang w:val="en-US"/>
        </w:rPr>
        <w:t>SOFA</w:t>
      </w:r>
      <w:r>
        <w:rPr>
          <w:sz w:val="28"/>
          <w:szCs w:val="28"/>
        </w:rPr>
        <w:t xml:space="preserve"> (</w:t>
      </w:r>
      <w:r w:rsidRPr="009008E9">
        <w:rPr>
          <w:sz w:val="28"/>
          <w:szCs w:val="28"/>
          <w:shd w:val="clear" w:color="auto" w:fill="FFFFFF"/>
          <w:lang w:val="en-US"/>
        </w:rPr>
        <w:t>Vincent</w:t>
      </w:r>
      <w:r w:rsidR="000F3A55">
        <w:rPr>
          <w:sz w:val="28"/>
          <w:szCs w:val="28"/>
          <w:shd w:val="clear" w:color="auto" w:fill="FFFFFF"/>
        </w:rPr>
        <w:t xml:space="preserve"> </w:t>
      </w:r>
      <w:r w:rsidRPr="009008E9">
        <w:rPr>
          <w:sz w:val="28"/>
          <w:szCs w:val="28"/>
          <w:shd w:val="clear" w:color="auto" w:fill="FFFFFF"/>
          <w:lang w:val="en-US"/>
        </w:rPr>
        <w:t>J</w:t>
      </w:r>
      <w:r w:rsidRPr="009008E9">
        <w:rPr>
          <w:sz w:val="28"/>
          <w:szCs w:val="28"/>
          <w:shd w:val="clear" w:color="auto" w:fill="FFFFFF"/>
        </w:rPr>
        <w:t>.</w:t>
      </w:r>
      <w:r w:rsidRPr="009008E9">
        <w:rPr>
          <w:sz w:val="28"/>
          <w:szCs w:val="28"/>
          <w:shd w:val="clear" w:color="auto" w:fill="FFFFFF"/>
          <w:lang w:val="en-US"/>
        </w:rPr>
        <w:t>L</w:t>
      </w:r>
      <w:r w:rsidRPr="009008E9">
        <w:rPr>
          <w:sz w:val="28"/>
          <w:szCs w:val="28"/>
          <w:shd w:val="clear" w:color="auto" w:fill="FFFFFF"/>
        </w:rPr>
        <w:t xml:space="preserve">. </w:t>
      </w:r>
      <w:r w:rsidRPr="009008E9">
        <w:rPr>
          <w:sz w:val="28"/>
          <w:szCs w:val="28"/>
          <w:shd w:val="clear" w:color="auto" w:fill="FFFFFF"/>
          <w:lang w:val="en-US"/>
        </w:rPr>
        <w:t>et</w:t>
      </w:r>
      <w:r w:rsidR="000F3A55">
        <w:rPr>
          <w:sz w:val="28"/>
          <w:szCs w:val="28"/>
          <w:shd w:val="clear" w:color="auto" w:fill="FFFFFF"/>
        </w:rPr>
        <w:t xml:space="preserve"> </w:t>
      </w:r>
      <w:r w:rsidRPr="009008E9">
        <w:rPr>
          <w:sz w:val="28"/>
          <w:szCs w:val="28"/>
          <w:shd w:val="clear" w:color="auto" w:fill="FFFFFF"/>
          <w:lang w:val="en-US"/>
        </w:rPr>
        <w:t>al</w:t>
      </w:r>
      <w:r w:rsidRPr="009008E9">
        <w:rPr>
          <w:sz w:val="28"/>
          <w:szCs w:val="28"/>
          <w:shd w:val="clear" w:color="auto" w:fill="FFFFFF"/>
        </w:rPr>
        <w:t>., 1996</w:t>
      </w:r>
      <w:r>
        <w:rPr>
          <w:sz w:val="28"/>
          <w:szCs w:val="28"/>
        </w:rPr>
        <w:t>)</w:t>
      </w:r>
      <w:r w:rsidRPr="009008E9">
        <w:rPr>
          <w:sz w:val="28"/>
          <w:szCs w:val="28"/>
        </w:rPr>
        <w:t xml:space="preserve">, </w:t>
      </w:r>
      <w:r w:rsidRPr="009008E9">
        <w:rPr>
          <w:sz w:val="28"/>
          <w:szCs w:val="28"/>
          <w:lang w:val="en-US"/>
        </w:rPr>
        <w:t>qSOFA</w:t>
      </w:r>
      <w:r>
        <w:rPr>
          <w:sz w:val="28"/>
          <w:szCs w:val="28"/>
        </w:rPr>
        <w:t xml:space="preserve"> (</w:t>
      </w:r>
      <w:r w:rsidRPr="009008E9">
        <w:rPr>
          <w:sz w:val="28"/>
          <w:szCs w:val="28"/>
          <w:shd w:val="clear" w:color="auto" w:fill="FFFFFF"/>
          <w:lang w:val="en-US"/>
        </w:rPr>
        <w:t>Rhodes</w:t>
      </w:r>
      <w:r w:rsidR="000F3A55">
        <w:rPr>
          <w:sz w:val="28"/>
          <w:szCs w:val="28"/>
          <w:shd w:val="clear" w:color="auto" w:fill="FFFFFF"/>
        </w:rPr>
        <w:t xml:space="preserve"> </w:t>
      </w:r>
      <w:r w:rsidRPr="009008E9">
        <w:rPr>
          <w:sz w:val="28"/>
          <w:szCs w:val="28"/>
          <w:shd w:val="clear" w:color="auto" w:fill="FFFFFF"/>
          <w:lang w:val="en-US"/>
        </w:rPr>
        <w:t>A</w:t>
      </w:r>
      <w:r w:rsidRPr="009008E9">
        <w:rPr>
          <w:sz w:val="28"/>
          <w:szCs w:val="28"/>
          <w:shd w:val="clear" w:color="auto" w:fill="FFFFFF"/>
        </w:rPr>
        <w:t xml:space="preserve">. </w:t>
      </w:r>
      <w:r w:rsidR="000F3A55" w:rsidRPr="009008E9">
        <w:rPr>
          <w:sz w:val="28"/>
          <w:szCs w:val="28"/>
          <w:shd w:val="clear" w:color="auto" w:fill="FFFFFF"/>
          <w:lang w:val="en-US"/>
        </w:rPr>
        <w:t>E</w:t>
      </w:r>
      <w:r w:rsidRPr="009008E9">
        <w:rPr>
          <w:sz w:val="28"/>
          <w:szCs w:val="28"/>
          <w:shd w:val="clear" w:color="auto" w:fill="FFFFFF"/>
          <w:lang w:val="en-US"/>
        </w:rPr>
        <w:t>t</w:t>
      </w:r>
      <w:r w:rsidR="000F3A55">
        <w:rPr>
          <w:sz w:val="28"/>
          <w:szCs w:val="28"/>
          <w:shd w:val="clear" w:color="auto" w:fill="FFFFFF"/>
        </w:rPr>
        <w:t xml:space="preserve"> </w:t>
      </w:r>
      <w:r w:rsidRPr="009008E9">
        <w:rPr>
          <w:sz w:val="28"/>
          <w:szCs w:val="28"/>
          <w:shd w:val="clear" w:color="auto" w:fill="FFFFFF"/>
          <w:lang w:val="en-US"/>
        </w:rPr>
        <w:t>al</w:t>
      </w:r>
      <w:r w:rsidRPr="009008E9">
        <w:rPr>
          <w:sz w:val="28"/>
          <w:szCs w:val="28"/>
          <w:shd w:val="clear" w:color="auto" w:fill="FFFFFF"/>
        </w:rPr>
        <w:t>., 2016</w:t>
      </w:r>
      <w:r>
        <w:rPr>
          <w:sz w:val="28"/>
          <w:szCs w:val="28"/>
        </w:rPr>
        <w:t>)</w:t>
      </w:r>
      <w:r w:rsidRPr="009008E9">
        <w:rPr>
          <w:sz w:val="28"/>
          <w:szCs w:val="28"/>
        </w:rPr>
        <w:t xml:space="preserve">, критериев </w:t>
      </w:r>
      <w:r w:rsidRPr="009008E9">
        <w:rPr>
          <w:sz w:val="28"/>
          <w:szCs w:val="28"/>
          <w:lang w:val="en-US"/>
        </w:rPr>
        <w:t>SIRS</w:t>
      </w:r>
      <w:r>
        <w:rPr>
          <w:sz w:val="28"/>
          <w:szCs w:val="28"/>
        </w:rPr>
        <w:t xml:space="preserve"> (</w:t>
      </w:r>
      <w:r w:rsidRPr="009008E9">
        <w:rPr>
          <w:sz w:val="28"/>
          <w:szCs w:val="28"/>
          <w:shd w:val="clear" w:color="auto" w:fill="FFFFFF"/>
          <w:lang w:val="en-US"/>
        </w:rPr>
        <w:t>Levy</w:t>
      </w:r>
      <w:r w:rsidR="000F3A55">
        <w:rPr>
          <w:sz w:val="28"/>
          <w:szCs w:val="28"/>
          <w:shd w:val="clear" w:color="auto" w:fill="FFFFFF"/>
        </w:rPr>
        <w:t xml:space="preserve"> </w:t>
      </w:r>
      <w:r w:rsidRPr="009008E9">
        <w:rPr>
          <w:sz w:val="28"/>
          <w:szCs w:val="28"/>
          <w:shd w:val="clear" w:color="auto" w:fill="FFFFFF"/>
          <w:lang w:val="en-US"/>
        </w:rPr>
        <w:t>M</w:t>
      </w:r>
      <w:r w:rsidRPr="009008E9">
        <w:rPr>
          <w:sz w:val="28"/>
          <w:szCs w:val="28"/>
          <w:shd w:val="clear" w:color="auto" w:fill="FFFFFF"/>
        </w:rPr>
        <w:t>.</w:t>
      </w:r>
      <w:r w:rsidRPr="009008E9">
        <w:rPr>
          <w:sz w:val="28"/>
          <w:szCs w:val="28"/>
          <w:shd w:val="clear" w:color="auto" w:fill="FFFFFF"/>
          <w:lang w:val="en-US"/>
        </w:rPr>
        <w:t>M</w:t>
      </w:r>
      <w:r w:rsidRPr="009008E9">
        <w:rPr>
          <w:sz w:val="28"/>
          <w:szCs w:val="28"/>
          <w:shd w:val="clear" w:color="auto" w:fill="FFFFFF"/>
        </w:rPr>
        <w:t xml:space="preserve">. </w:t>
      </w:r>
      <w:r w:rsidRPr="009008E9">
        <w:rPr>
          <w:sz w:val="28"/>
          <w:szCs w:val="28"/>
          <w:shd w:val="clear" w:color="auto" w:fill="FFFFFF"/>
          <w:lang w:val="en-US"/>
        </w:rPr>
        <w:t>et</w:t>
      </w:r>
      <w:r w:rsidR="000F3A55">
        <w:rPr>
          <w:sz w:val="28"/>
          <w:szCs w:val="28"/>
          <w:shd w:val="clear" w:color="auto" w:fill="FFFFFF"/>
        </w:rPr>
        <w:t xml:space="preserve"> </w:t>
      </w:r>
      <w:r w:rsidRPr="009008E9">
        <w:rPr>
          <w:sz w:val="28"/>
          <w:szCs w:val="28"/>
          <w:shd w:val="clear" w:color="auto" w:fill="FFFFFF"/>
          <w:lang w:val="en-US"/>
        </w:rPr>
        <w:t>al</w:t>
      </w:r>
      <w:r w:rsidRPr="009008E9">
        <w:rPr>
          <w:sz w:val="28"/>
          <w:szCs w:val="28"/>
          <w:shd w:val="clear" w:color="auto" w:fill="FFFFFF"/>
        </w:rPr>
        <w:t>., 2003</w:t>
      </w:r>
      <w:r>
        <w:rPr>
          <w:sz w:val="28"/>
          <w:szCs w:val="28"/>
        </w:rPr>
        <w:t>)</w:t>
      </w:r>
      <w:r w:rsidRPr="009008E9">
        <w:rPr>
          <w:sz w:val="28"/>
          <w:szCs w:val="28"/>
        </w:rPr>
        <w:t xml:space="preserve">, </w:t>
      </w:r>
      <w:r w:rsidRPr="009008E9">
        <w:rPr>
          <w:i/>
          <w:sz w:val="28"/>
          <w:szCs w:val="28"/>
        </w:rPr>
        <w:t>унифицированной программы ранней диагностики одонтогенного сепсиса</w:t>
      </w:r>
      <w:r>
        <w:rPr>
          <w:sz w:val="28"/>
          <w:szCs w:val="28"/>
        </w:rPr>
        <w:t xml:space="preserve"> (Губин М.А. и др., 2003)</w:t>
      </w:r>
      <w:r w:rsidRPr="009008E9">
        <w:rPr>
          <w:sz w:val="28"/>
          <w:szCs w:val="28"/>
        </w:rPr>
        <w:t>.</w:t>
      </w:r>
    </w:p>
    <w:p w:rsidR="00286780" w:rsidRDefault="00286780" w:rsidP="00BD2F93">
      <w:pPr>
        <w:spacing w:line="360" w:lineRule="auto"/>
        <w:ind w:firstLine="709"/>
        <w:jc w:val="both"/>
        <w:rPr>
          <w:sz w:val="28"/>
          <w:szCs w:val="28"/>
        </w:rPr>
      </w:pPr>
      <w:r w:rsidRPr="009008E9">
        <w:rPr>
          <w:sz w:val="28"/>
          <w:szCs w:val="28"/>
        </w:rPr>
        <w:t xml:space="preserve">Целью применения вышеобозначенных дифференциально-диагностических шкал и </w:t>
      </w:r>
      <w:r w:rsidRPr="009008E9">
        <w:rPr>
          <w:i/>
          <w:sz w:val="28"/>
          <w:szCs w:val="28"/>
        </w:rPr>
        <w:t>унифицированной программы</w:t>
      </w:r>
      <w:r w:rsidRPr="009008E9">
        <w:rPr>
          <w:sz w:val="28"/>
          <w:szCs w:val="28"/>
        </w:rPr>
        <w:t xml:space="preserve"> является установление диагноза «сепсис», или определение высок</w:t>
      </w:r>
      <w:r>
        <w:rPr>
          <w:sz w:val="28"/>
          <w:szCs w:val="28"/>
        </w:rPr>
        <w:t>ой вероятности наличия сепсиса.</w:t>
      </w:r>
    </w:p>
    <w:p w:rsidR="00286780" w:rsidRDefault="00286780" w:rsidP="00BD2F93">
      <w:pPr>
        <w:spacing w:line="360" w:lineRule="auto"/>
        <w:ind w:firstLine="709"/>
        <w:jc w:val="both"/>
        <w:rPr>
          <w:sz w:val="28"/>
          <w:szCs w:val="28"/>
        </w:rPr>
      </w:pPr>
      <w:r w:rsidRPr="009008E9">
        <w:rPr>
          <w:sz w:val="28"/>
          <w:szCs w:val="28"/>
        </w:rPr>
        <w:t xml:space="preserve">Диагноз «сепсис» определяется при наличии двух или более баллов шкалы </w:t>
      </w:r>
      <w:r w:rsidRPr="009008E9">
        <w:rPr>
          <w:sz w:val="28"/>
          <w:szCs w:val="28"/>
          <w:lang w:val="en-US"/>
        </w:rPr>
        <w:t>SOFA</w:t>
      </w:r>
      <w:r w:rsidRPr="009008E9">
        <w:rPr>
          <w:sz w:val="28"/>
          <w:szCs w:val="28"/>
        </w:rPr>
        <w:t xml:space="preserve"> (в интерпретации положений «Сепсис-3» </w:t>
      </w:r>
      <w:r>
        <w:rPr>
          <w:sz w:val="28"/>
          <w:szCs w:val="28"/>
        </w:rPr>
        <w:t>(</w:t>
      </w:r>
      <w:r w:rsidRPr="009008E9">
        <w:rPr>
          <w:sz w:val="28"/>
          <w:szCs w:val="28"/>
          <w:shd w:val="clear" w:color="auto" w:fill="FFFFFF"/>
          <w:lang w:val="en-US"/>
        </w:rPr>
        <w:t>Rhodes</w:t>
      </w:r>
      <w:r w:rsidRPr="001409B4">
        <w:rPr>
          <w:sz w:val="28"/>
          <w:szCs w:val="28"/>
          <w:shd w:val="clear" w:color="auto" w:fill="FFFFFF"/>
        </w:rPr>
        <w:t xml:space="preserve"> </w:t>
      </w:r>
      <w:r w:rsidRPr="009008E9">
        <w:rPr>
          <w:sz w:val="28"/>
          <w:szCs w:val="28"/>
          <w:shd w:val="clear" w:color="auto" w:fill="FFFFFF"/>
          <w:lang w:val="en-US"/>
        </w:rPr>
        <w:t>A</w:t>
      </w:r>
      <w:r w:rsidRPr="009008E9">
        <w:rPr>
          <w:sz w:val="28"/>
          <w:szCs w:val="28"/>
          <w:shd w:val="clear" w:color="auto" w:fill="FFFFFF"/>
        </w:rPr>
        <w:t xml:space="preserve">. </w:t>
      </w:r>
      <w:r w:rsidRPr="009008E9">
        <w:rPr>
          <w:sz w:val="28"/>
          <w:szCs w:val="28"/>
          <w:shd w:val="clear" w:color="auto" w:fill="FFFFFF"/>
          <w:lang w:val="en-US"/>
        </w:rPr>
        <w:t>et</w:t>
      </w:r>
      <w:r w:rsidRPr="001409B4">
        <w:rPr>
          <w:sz w:val="28"/>
          <w:szCs w:val="28"/>
          <w:shd w:val="clear" w:color="auto" w:fill="FFFFFF"/>
        </w:rPr>
        <w:t xml:space="preserve"> </w:t>
      </w:r>
      <w:r w:rsidRPr="009008E9">
        <w:rPr>
          <w:sz w:val="28"/>
          <w:szCs w:val="28"/>
          <w:shd w:val="clear" w:color="auto" w:fill="FFFFFF"/>
          <w:lang w:val="en-US"/>
        </w:rPr>
        <w:t>al</w:t>
      </w:r>
      <w:r w:rsidRPr="009008E9">
        <w:rPr>
          <w:sz w:val="28"/>
          <w:szCs w:val="28"/>
          <w:shd w:val="clear" w:color="auto" w:fill="FFFFFF"/>
        </w:rPr>
        <w:t>., 2016</w:t>
      </w:r>
      <w:r w:rsidRPr="009008E9">
        <w:rPr>
          <w:sz w:val="28"/>
          <w:szCs w:val="28"/>
        </w:rPr>
        <w:t xml:space="preserve">), два и более (три, четыре) критериев </w:t>
      </w:r>
      <w:r w:rsidRPr="009008E9">
        <w:rPr>
          <w:sz w:val="28"/>
          <w:szCs w:val="28"/>
          <w:lang w:val="en-US"/>
        </w:rPr>
        <w:t>SIRS</w:t>
      </w:r>
      <w:r>
        <w:rPr>
          <w:sz w:val="28"/>
          <w:szCs w:val="28"/>
        </w:rPr>
        <w:t xml:space="preserve"> (</w:t>
      </w:r>
      <w:r w:rsidRPr="009008E9">
        <w:rPr>
          <w:sz w:val="28"/>
          <w:szCs w:val="28"/>
          <w:shd w:val="clear" w:color="auto" w:fill="FFFFFF"/>
          <w:lang w:val="en-US"/>
        </w:rPr>
        <w:t>Levy</w:t>
      </w:r>
      <w:r w:rsidRPr="001409B4">
        <w:rPr>
          <w:sz w:val="28"/>
          <w:szCs w:val="28"/>
          <w:shd w:val="clear" w:color="auto" w:fill="FFFFFF"/>
        </w:rPr>
        <w:t xml:space="preserve"> </w:t>
      </w:r>
      <w:r w:rsidRPr="009008E9">
        <w:rPr>
          <w:sz w:val="28"/>
          <w:szCs w:val="28"/>
          <w:shd w:val="clear" w:color="auto" w:fill="FFFFFF"/>
          <w:lang w:val="en-US"/>
        </w:rPr>
        <w:t>M</w:t>
      </w:r>
      <w:r w:rsidRPr="009008E9">
        <w:rPr>
          <w:sz w:val="28"/>
          <w:szCs w:val="28"/>
          <w:shd w:val="clear" w:color="auto" w:fill="FFFFFF"/>
        </w:rPr>
        <w:t>.</w:t>
      </w:r>
      <w:r w:rsidRPr="009008E9">
        <w:rPr>
          <w:sz w:val="28"/>
          <w:szCs w:val="28"/>
          <w:shd w:val="clear" w:color="auto" w:fill="FFFFFF"/>
          <w:lang w:val="en-US"/>
        </w:rPr>
        <w:t>M</w:t>
      </w:r>
      <w:r w:rsidRPr="009008E9">
        <w:rPr>
          <w:sz w:val="28"/>
          <w:szCs w:val="28"/>
          <w:shd w:val="clear" w:color="auto" w:fill="FFFFFF"/>
        </w:rPr>
        <w:t xml:space="preserve">. </w:t>
      </w:r>
      <w:r w:rsidRPr="009008E9">
        <w:rPr>
          <w:sz w:val="28"/>
          <w:szCs w:val="28"/>
          <w:shd w:val="clear" w:color="auto" w:fill="FFFFFF"/>
          <w:lang w:val="en-US"/>
        </w:rPr>
        <w:t>et</w:t>
      </w:r>
      <w:r w:rsidRPr="001409B4">
        <w:rPr>
          <w:sz w:val="28"/>
          <w:szCs w:val="28"/>
          <w:shd w:val="clear" w:color="auto" w:fill="FFFFFF"/>
        </w:rPr>
        <w:t xml:space="preserve"> </w:t>
      </w:r>
      <w:r w:rsidRPr="009008E9">
        <w:rPr>
          <w:sz w:val="28"/>
          <w:szCs w:val="28"/>
          <w:shd w:val="clear" w:color="auto" w:fill="FFFFFF"/>
          <w:lang w:val="en-US"/>
        </w:rPr>
        <w:t>al</w:t>
      </w:r>
      <w:r w:rsidRPr="009008E9">
        <w:rPr>
          <w:sz w:val="28"/>
          <w:szCs w:val="28"/>
          <w:shd w:val="clear" w:color="auto" w:fill="FFFFFF"/>
        </w:rPr>
        <w:t>., 2003</w:t>
      </w:r>
      <w:r>
        <w:rPr>
          <w:sz w:val="28"/>
          <w:szCs w:val="28"/>
        </w:rPr>
        <w:t>)</w:t>
      </w:r>
      <w:r w:rsidRPr="009008E9">
        <w:rPr>
          <w:sz w:val="28"/>
          <w:szCs w:val="28"/>
        </w:rPr>
        <w:t xml:space="preserve"> при наличии инфекционно-воспалительного очага, а </w:t>
      </w:r>
      <w:r>
        <w:rPr>
          <w:sz w:val="28"/>
          <w:szCs w:val="28"/>
        </w:rPr>
        <w:t>также</w:t>
      </w:r>
      <w:r w:rsidRPr="009008E9">
        <w:rPr>
          <w:sz w:val="28"/>
          <w:szCs w:val="28"/>
        </w:rPr>
        <w:t xml:space="preserve"> при наличии «достоверных» признаков </w:t>
      </w:r>
      <w:r>
        <w:rPr>
          <w:sz w:val="28"/>
          <w:szCs w:val="28"/>
        </w:rPr>
        <w:t>одонтогенного сепсиса (Губин М.А. и др., 2006)</w:t>
      </w:r>
      <w:r w:rsidRPr="009008E9">
        <w:rPr>
          <w:sz w:val="28"/>
          <w:szCs w:val="28"/>
        </w:rPr>
        <w:t>.</w:t>
      </w:r>
    </w:p>
    <w:p w:rsidR="00286780" w:rsidRPr="009008E9" w:rsidRDefault="00286780" w:rsidP="00BD2F93">
      <w:pPr>
        <w:spacing w:line="360" w:lineRule="auto"/>
        <w:ind w:firstLine="709"/>
        <w:jc w:val="both"/>
        <w:rPr>
          <w:sz w:val="28"/>
          <w:szCs w:val="28"/>
        </w:rPr>
      </w:pPr>
      <w:r w:rsidRPr="009008E9">
        <w:rPr>
          <w:sz w:val="28"/>
          <w:szCs w:val="28"/>
        </w:rPr>
        <w:t xml:space="preserve">Результатом анализа является установление или опровержение диагноза «сепсис» у каждого пациента в исследуемых </w:t>
      </w:r>
      <w:r w:rsidR="00375DEE">
        <w:rPr>
          <w:sz w:val="28"/>
          <w:szCs w:val="28"/>
        </w:rPr>
        <w:t>под</w:t>
      </w:r>
      <w:r w:rsidRPr="009008E9">
        <w:rPr>
          <w:sz w:val="28"/>
          <w:szCs w:val="28"/>
        </w:rPr>
        <w:t>группах.</w:t>
      </w:r>
      <w:r w:rsidRPr="001409B4">
        <w:rPr>
          <w:sz w:val="28"/>
          <w:szCs w:val="28"/>
        </w:rPr>
        <w:t xml:space="preserve"> </w:t>
      </w:r>
      <w:r w:rsidRPr="009008E9">
        <w:rPr>
          <w:sz w:val="28"/>
          <w:szCs w:val="28"/>
        </w:rPr>
        <w:t>Дифференциально-диагностическая шкала qSOFA и унифицированная программа ранней диагностики одонтогенного сепсиса представл</w:t>
      </w:r>
      <w:r>
        <w:rPr>
          <w:sz w:val="28"/>
          <w:szCs w:val="28"/>
        </w:rPr>
        <w:t>ены в Таблицах 18, 19 (Губин М.</w:t>
      </w:r>
      <w:r w:rsidRPr="009008E9">
        <w:rPr>
          <w:sz w:val="28"/>
          <w:szCs w:val="28"/>
        </w:rPr>
        <w:t xml:space="preserve">А. и др., 2003; </w:t>
      </w:r>
      <w:r w:rsidRPr="009008E9">
        <w:rPr>
          <w:sz w:val="28"/>
          <w:szCs w:val="28"/>
          <w:lang w:val="fr-FR"/>
        </w:rPr>
        <w:t>Singer</w:t>
      </w:r>
      <w:r w:rsidRPr="00BE255A">
        <w:rPr>
          <w:sz w:val="28"/>
          <w:szCs w:val="28"/>
        </w:rPr>
        <w:t xml:space="preserve"> </w:t>
      </w:r>
      <w:r w:rsidRPr="009008E9">
        <w:rPr>
          <w:sz w:val="28"/>
          <w:szCs w:val="28"/>
          <w:lang w:val="fr-FR"/>
        </w:rPr>
        <w:t>M</w:t>
      </w:r>
      <w:r w:rsidRPr="00F52145">
        <w:rPr>
          <w:sz w:val="28"/>
          <w:szCs w:val="28"/>
        </w:rPr>
        <w:t xml:space="preserve">. </w:t>
      </w:r>
      <w:r w:rsidRPr="009008E9">
        <w:rPr>
          <w:sz w:val="28"/>
          <w:szCs w:val="28"/>
          <w:lang w:val="fr-FR"/>
        </w:rPr>
        <w:t>et</w:t>
      </w:r>
      <w:r w:rsidRPr="00BE255A">
        <w:rPr>
          <w:sz w:val="28"/>
          <w:szCs w:val="28"/>
        </w:rPr>
        <w:t xml:space="preserve"> </w:t>
      </w:r>
      <w:r w:rsidRPr="009008E9">
        <w:rPr>
          <w:sz w:val="28"/>
          <w:szCs w:val="28"/>
          <w:lang w:val="fr-FR"/>
        </w:rPr>
        <w:t>al</w:t>
      </w:r>
      <w:r>
        <w:rPr>
          <w:sz w:val="28"/>
          <w:szCs w:val="28"/>
        </w:rPr>
        <w:t>., 2016)</w:t>
      </w:r>
      <w:r w:rsidRPr="009008E9">
        <w:rPr>
          <w:sz w:val="28"/>
          <w:szCs w:val="28"/>
        </w:rPr>
        <w:t>.</w:t>
      </w:r>
    </w:p>
    <w:p w:rsidR="00286780" w:rsidRPr="009008E9" w:rsidRDefault="00286780" w:rsidP="00BD2F93">
      <w:pPr>
        <w:spacing w:line="360" w:lineRule="auto"/>
        <w:ind w:firstLine="709"/>
        <w:jc w:val="both"/>
        <w:rPr>
          <w:sz w:val="28"/>
          <w:szCs w:val="28"/>
        </w:rPr>
      </w:pPr>
      <w:r w:rsidRPr="009008E9">
        <w:rPr>
          <w:sz w:val="28"/>
          <w:szCs w:val="28"/>
        </w:rPr>
        <w:lastRenderedPageBreak/>
        <w:t xml:space="preserve">Определение двух и более баллов по шкале </w:t>
      </w:r>
      <w:r w:rsidRPr="009008E9">
        <w:rPr>
          <w:sz w:val="28"/>
          <w:szCs w:val="28"/>
          <w:lang w:val="en-US"/>
        </w:rPr>
        <w:t>qSOFA</w:t>
      </w:r>
      <w:r w:rsidRPr="009008E9">
        <w:rPr>
          <w:sz w:val="28"/>
          <w:szCs w:val="28"/>
        </w:rPr>
        <w:t xml:space="preserve"> означает высокую вероятность развития сепсиса </w:t>
      </w:r>
      <w:r>
        <w:rPr>
          <w:sz w:val="28"/>
          <w:szCs w:val="28"/>
        </w:rPr>
        <w:t>(</w:t>
      </w:r>
      <w:r w:rsidRPr="009008E9">
        <w:rPr>
          <w:sz w:val="28"/>
          <w:szCs w:val="28"/>
          <w:shd w:val="clear" w:color="auto" w:fill="FFFFFF"/>
          <w:lang w:val="en-US"/>
        </w:rPr>
        <w:t>Rhodes</w:t>
      </w:r>
      <w:r>
        <w:rPr>
          <w:sz w:val="28"/>
          <w:szCs w:val="28"/>
          <w:shd w:val="clear" w:color="auto" w:fill="FFFFFF"/>
        </w:rPr>
        <w:t xml:space="preserve"> </w:t>
      </w:r>
      <w:r w:rsidRPr="009008E9">
        <w:rPr>
          <w:sz w:val="28"/>
          <w:szCs w:val="28"/>
          <w:shd w:val="clear" w:color="auto" w:fill="FFFFFF"/>
          <w:lang w:val="en-US"/>
        </w:rPr>
        <w:t>A</w:t>
      </w:r>
      <w:r w:rsidRPr="009008E9">
        <w:rPr>
          <w:sz w:val="28"/>
          <w:szCs w:val="28"/>
          <w:shd w:val="clear" w:color="auto" w:fill="FFFFFF"/>
        </w:rPr>
        <w:t xml:space="preserve">. </w:t>
      </w:r>
      <w:r w:rsidRPr="009008E9">
        <w:rPr>
          <w:sz w:val="28"/>
          <w:szCs w:val="28"/>
          <w:shd w:val="clear" w:color="auto" w:fill="FFFFFF"/>
          <w:lang w:val="en-US"/>
        </w:rPr>
        <w:t>et</w:t>
      </w:r>
      <w:r>
        <w:rPr>
          <w:sz w:val="28"/>
          <w:szCs w:val="28"/>
          <w:shd w:val="clear" w:color="auto" w:fill="FFFFFF"/>
        </w:rPr>
        <w:t xml:space="preserve"> </w:t>
      </w:r>
      <w:r w:rsidRPr="009008E9">
        <w:rPr>
          <w:sz w:val="28"/>
          <w:szCs w:val="28"/>
          <w:shd w:val="clear" w:color="auto" w:fill="FFFFFF"/>
          <w:lang w:val="en-US"/>
        </w:rPr>
        <w:t>al</w:t>
      </w:r>
      <w:r w:rsidRPr="009008E9">
        <w:rPr>
          <w:sz w:val="28"/>
          <w:szCs w:val="28"/>
          <w:shd w:val="clear" w:color="auto" w:fill="FFFFFF"/>
        </w:rPr>
        <w:t>., 2016</w:t>
      </w:r>
      <w:r w:rsidRPr="009008E9">
        <w:rPr>
          <w:sz w:val="28"/>
          <w:szCs w:val="28"/>
        </w:rPr>
        <w:t xml:space="preserve">; </w:t>
      </w:r>
      <w:r w:rsidRPr="009008E9">
        <w:rPr>
          <w:sz w:val="28"/>
          <w:szCs w:val="28"/>
          <w:lang w:val="fr-FR"/>
        </w:rPr>
        <w:t>Singer</w:t>
      </w:r>
      <w:r>
        <w:rPr>
          <w:sz w:val="28"/>
          <w:szCs w:val="28"/>
        </w:rPr>
        <w:t xml:space="preserve"> </w:t>
      </w:r>
      <w:r w:rsidRPr="009008E9">
        <w:rPr>
          <w:sz w:val="28"/>
          <w:szCs w:val="28"/>
          <w:lang w:val="fr-FR"/>
        </w:rPr>
        <w:t>M</w:t>
      </w:r>
      <w:r w:rsidRPr="009008E9">
        <w:rPr>
          <w:sz w:val="28"/>
          <w:szCs w:val="28"/>
        </w:rPr>
        <w:t xml:space="preserve">. </w:t>
      </w:r>
      <w:r w:rsidRPr="009008E9">
        <w:rPr>
          <w:sz w:val="28"/>
          <w:szCs w:val="28"/>
          <w:lang w:val="fr-FR"/>
        </w:rPr>
        <w:t>et</w:t>
      </w:r>
      <w:r>
        <w:rPr>
          <w:sz w:val="28"/>
          <w:szCs w:val="28"/>
        </w:rPr>
        <w:t xml:space="preserve"> </w:t>
      </w:r>
      <w:r w:rsidRPr="009008E9">
        <w:rPr>
          <w:sz w:val="28"/>
          <w:szCs w:val="28"/>
          <w:lang w:val="fr-FR"/>
        </w:rPr>
        <w:t>al</w:t>
      </w:r>
      <w:r>
        <w:rPr>
          <w:sz w:val="28"/>
          <w:szCs w:val="28"/>
        </w:rPr>
        <w:t>., 2016)</w:t>
      </w:r>
      <w:r w:rsidRPr="009008E9">
        <w:rPr>
          <w:sz w:val="28"/>
          <w:szCs w:val="28"/>
        </w:rPr>
        <w:t>.</w:t>
      </w:r>
    </w:p>
    <w:p w:rsidR="00286780" w:rsidRPr="009008E9" w:rsidRDefault="00286780" w:rsidP="00BD2F93">
      <w:pPr>
        <w:jc w:val="both"/>
        <w:rPr>
          <w:sz w:val="28"/>
          <w:szCs w:val="28"/>
        </w:rPr>
      </w:pPr>
    </w:p>
    <w:p w:rsidR="00286780" w:rsidRPr="009008E9" w:rsidRDefault="00286780" w:rsidP="00BD2F93">
      <w:pPr>
        <w:spacing w:after="120"/>
        <w:jc w:val="both"/>
        <w:rPr>
          <w:sz w:val="28"/>
          <w:szCs w:val="28"/>
        </w:rPr>
      </w:pPr>
      <w:r w:rsidRPr="009008E9">
        <w:rPr>
          <w:b/>
          <w:sz w:val="28"/>
          <w:szCs w:val="28"/>
        </w:rPr>
        <w:t>Таблица 1</w:t>
      </w:r>
      <w:r>
        <w:rPr>
          <w:b/>
          <w:sz w:val="28"/>
          <w:szCs w:val="28"/>
        </w:rPr>
        <w:t>8</w:t>
      </w:r>
      <w:r w:rsidRPr="009008E9">
        <w:rPr>
          <w:sz w:val="28"/>
          <w:szCs w:val="28"/>
        </w:rPr>
        <w:t xml:space="preserve"> – Шкала qSOFA </w:t>
      </w:r>
    </w:p>
    <w:tbl>
      <w:tblPr>
        <w:tblW w:w="9923" w:type="dxa"/>
        <w:jc w:val="center"/>
        <w:tblLayout w:type="fixed"/>
        <w:tblLook w:val="0000" w:firstRow="0" w:lastRow="0" w:firstColumn="0" w:lastColumn="0" w:noHBand="0" w:noVBand="0"/>
      </w:tblPr>
      <w:tblGrid>
        <w:gridCol w:w="5495"/>
        <w:gridCol w:w="4428"/>
      </w:tblGrid>
      <w:tr w:rsidR="00286780" w:rsidRPr="00171853" w:rsidTr="00FA7C6C">
        <w:trPr>
          <w:trHeight w:val="454"/>
          <w:jc w:val="center"/>
        </w:trPr>
        <w:tc>
          <w:tcPr>
            <w:tcW w:w="5495" w:type="dxa"/>
            <w:tcBorders>
              <w:top w:val="single" w:sz="4" w:space="0" w:color="000000"/>
              <w:left w:val="single" w:sz="4" w:space="0" w:color="000000"/>
              <w:bottom w:val="single" w:sz="4" w:space="0" w:color="000000"/>
            </w:tcBorders>
            <w:vAlign w:val="center"/>
          </w:tcPr>
          <w:p w:rsidR="00286780" w:rsidRPr="00171853" w:rsidRDefault="00286780" w:rsidP="00FA7C6C">
            <w:pPr>
              <w:snapToGrid w:val="0"/>
              <w:jc w:val="center"/>
              <w:rPr>
                <w:i/>
                <w:sz w:val="28"/>
                <w:szCs w:val="28"/>
              </w:rPr>
            </w:pPr>
            <w:r w:rsidRPr="00171853">
              <w:rPr>
                <w:i/>
                <w:sz w:val="28"/>
                <w:szCs w:val="28"/>
              </w:rPr>
              <w:t>Показатель</w:t>
            </w:r>
          </w:p>
        </w:tc>
        <w:tc>
          <w:tcPr>
            <w:tcW w:w="4428" w:type="dxa"/>
            <w:tcBorders>
              <w:top w:val="single" w:sz="4" w:space="0" w:color="000000"/>
              <w:left w:val="single" w:sz="4" w:space="0" w:color="000000"/>
              <w:bottom w:val="single" w:sz="4" w:space="0" w:color="000000"/>
              <w:right w:val="single" w:sz="4" w:space="0" w:color="000000"/>
            </w:tcBorders>
            <w:vAlign w:val="center"/>
          </w:tcPr>
          <w:p w:rsidR="00286780" w:rsidRPr="00171853" w:rsidRDefault="00286780" w:rsidP="00FA7C6C">
            <w:pPr>
              <w:snapToGrid w:val="0"/>
              <w:jc w:val="center"/>
              <w:rPr>
                <w:i/>
                <w:sz w:val="28"/>
                <w:szCs w:val="28"/>
              </w:rPr>
            </w:pPr>
            <w:r w:rsidRPr="00171853">
              <w:rPr>
                <w:i/>
                <w:sz w:val="28"/>
                <w:szCs w:val="28"/>
              </w:rPr>
              <w:t>Баллы</w:t>
            </w:r>
          </w:p>
        </w:tc>
      </w:tr>
      <w:tr w:rsidR="00286780" w:rsidRPr="00171853" w:rsidTr="00FA7C6C">
        <w:trPr>
          <w:trHeight w:val="454"/>
          <w:jc w:val="center"/>
        </w:trPr>
        <w:tc>
          <w:tcPr>
            <w:tcW w:w="5495" w:type="dxa"/>
            <w:tcBorders>
              <w:top w:val="single" w:sz="4" w:space="0" w:color="000000"/>
              <w:left w:val="single" w:sz="4" w:space="0" w:color="000000"/>
              <w:bottom w:val="single" w:sz="4" w:space="0" w:color="000000"/>
            </w:tcBorders>
            <w:vAlign w:val="center"/>
          </w:tcPr>
          <w:p w:rsidR="00286780" w:rsidRPr="00171853" w:rsidRDefault="00286780" w:rsidP="00FA7C6C">
            <w:pPr>
              <w:snapToGrid w:val="0"/>
              <w:rPr>
                <w:sz w:val="28"/>
                <w:szCs w:val="28"/>
              </w:rPr>
            </w:pPr>
            <w:r w:rsidRPr="00171853">
              <w:rPr>
                <w:sz w:val="28"/>
                <w:szCs w:val="28"/>
              </w:rPr>
              <w:t>Систолическое АД ≤ 100 мм рт. ст.</w:t>
            </w:r>
          </w:p>
        </w:tc>
        <w:tc>
          <w:tcPr>
            <w:tcW w:w="4428" w:type="dxa"/>
            <w:tcBorders>
              <w:top w:val="single" w:sz="4" w:space="0" w:color="000000"/>
              <w:left w:val="single" w:sz="4" w:space="0" w:color="000000"/>
              <w:bottom w:val="single" w:sz="4" w:space="0" w:color="000000"/>
              <w:right w:val="single" w:sz="4" w:space="0" w:color="000000"/>
            </w:tcBorders>
            <w:vAlign w:val="center"/>
          </w:tcPr>
          <w:p w:rsidR="00286780" w:rsidRPr="00171853" w:rsidRDefault="00286780" w:rsidP="00FA7C6C">
            <w:pPr>
              <w:snapToGrid w:val="0"/>
              <w:jc w:val="center"/>
              <w:rPr>
                <w:sz w:val="28"/>
                <w:szCs w:val="28"/>
              </w:rPr>
            </w:pPr>
            <w:r w:rsidRPr="00171853">
              <w:rPr>
                <w:sz w:val="28"/>
                <w:szCs w:val="28"/>
              </w:rPr>
              <w:t>1</w:t>
            </w:r>
          </w:p>
        </w:tc>
      </w:tr>
      <w:tr w:rsidR="00286780" w:rsidRPr="00171853" w:rsidTr="00FA7C6C">
        <w:trPr>
          <w:trHeight w:val="454"/>
          <w:jc w:val="center"/>
        </w:trPr>
        <w:tc>
          <w:tcPr>
            <w:tcW w:w="5495" w:type="dxa"/>
            <w:tcBorders>
              <w:top w:val="single" w:sz="4" w:space="0" w:color="000000"/>
              <w:left w:val="single" w:sz="4" w:space="0" w:color="000000"/>
              <w:bottom w:val="single" w:sz="4" w:space="0" w:color="000000"/>
            </w:tcBorders>
            <w:vAlign w:val="center"/>
          </w:tcPr>
          <w:p w:rsidR="00286780" w:rsidRPr="00171853" w:rsidRDefault="00286780" w:rsidP="00FA7C6C">
            <w:pPr>
              <w:snapToGrid w:val="0"/>
              <w:rPr>
                <w:sz w:val="28"/>
                <w:szCs w:val="28"/>
              </w:rPr>
            </w:pPr>
            <w:r w:rsidRPr="00171853">
              <w:rPr>
                <w:sz w:val="28"/>
                <w:szCs w:val="28"/>
              </w:rPr>
              <w:t>Частота сердечных сокращений ≥ 22 в 1 мин.</w:t>
            </w:r>
          </w:p>
        </w:tc>
        <w:tc>
          <w:tcPr>
            <w:tcW w:w="4428" w:type="dxa"/>
            <w:tcBorders>
              <w:top w:val="single" w:sz="4" w:space="0" w:color="000000"/>
              <w:left w:val="single" w:sz="4" w:space="0" w:color="000000"/>
              <w:bottom w:val="single" w:sz="4" w:space="0" w:color="000000"/>
              <w:right w:val="single" w:sz="4" w:space="0" w:color="000000"/>
            </w:tcBorders>
            <w:vAlign w:val="center"/>
          </w:tcPr>
          <w:p w:rsidR="00286780" w:rsidRPr="00171853" w:rsidRDefault="00286780" w:rsidP="00FA7C6C">
            <w:pPr>
              <w:snapToGrid w:val="0"/>
              <w:jc w:val="center"/>
              <w:rPr>
                <w:sz w:val="28"/>
                <w:szCs w:val="28"/>
              </w:rPr>
            </w:pPr>
            <w:r w:rsidRPr="00171853">
              <w:rPr>
                <w:sz w:val="28"/>
                <w:szCs w:val="28"/>
              </w:rPr>
              <w:t>1</w:t>
            </w:r>
          </w:p>
        </w:tc>
      </w:tr>
      <w:tr w:rsidR="00286780" w:rsidRPr="00171853" w:rsidTr="00FA7C6C">
        <w:trPr>
          <w:trHeight w:val="454"/>
          <w:jc w:val="center"/>
        </w:trPr>
        <w:tc>
          <w:tcPr>
            <w:tcW w:w="5495" w:type="dxa"/>
            <w:tcBorders>
              <w:top w:val="single" w:sz="4" w:space="0" w:color="000000"/>
              <w:left w:val="single" w:sz="4" w:space="0" w:color="000000"/>
              <w:bottom w:val="single" w:sz="4" w:space="0" w:color="000000"/>
            </w:tcBorders>
            <w:vAlign w:val="center"/>
          </w:tcPr>
          <w:p w:rsidR="00286780" w:rsidRPr="00171853" w:rsidRDefault="00286780" w:rsidP="00FA7C6C">
            <w:pPr>
              <w:snapToGrid w:val="0"/>
              <w:rPr>
                <w:sz w:val="28"/>
                <w:szCs w:val="28"/>
              </w:rPr>
            </w:pPr>
            <w:r w:rsidRPr="00171853">
              <w:rPr>
                <w:sz w:val="28"/>
                <w:szCs w:val="28"/>
              </w:rPr>
              <w:t>Нарушение сознания (по шкале ком Глазго &lt; 15)</w:t>
            </w:r>
          </w:p>
        </w:tc>
        <w:tc>
          <w:tcPr>
            <w:tcW w:w="4428" w:type="dxa"/>
            <w:tcBorders>
              <w:top w:val="single" w:sz="4" w:space="0" w:color="000000"/>
              <w:left w:val="single" w:sz="4" w:space="0" w:color="000000"/>
              <w:bottom w:val="single" w:sz="4" w:space="0" w:color="000000"/>
              <w:right w:val="single" w:sz="4" w:space="0" w:color="000000"/>
            </w:tcBorders>
            <w:vAlign w:val="center"/>
          </w:tcPr>
          <w:p w:rsidR="00286780" w:rsidRPr="00171853" w:rsidRDefault="00286780" w:rsidP="00FA7C6C">
            <w:pPr>
              <w:snapToGrid w:val="0"/>
              <w:jc w:val="center"/>
              <w:rPr>
                <w:sz w:val="28"/>
                <w:szCs w:val="28"/>
              </w:rPr>
            </w:pPr>
            <w:r w:rsidRPr="00171853">
              <w:rPr>
                <w:sz w:val="28"/>
                <w:szCs w:val="28"/>
              </w:rPr>
              <w:t>1</w:t>
            </w:r>
          </w:p>
        </w:tc>
      </w:tr>
      <w:tr w:rsidR="00286780" w:rsidRPr="00171853" w:rsidTr="00FA7C6C">
        <w:trPr>
          <w:trHeight w:val="454"/>
          <w:jc w:val="center"/>
        </w:trPr>
        <w:tc>
          <w:tcPr>
            <w:tcW w:w="9923" w:type="dxa"/>
            <w:gridSpan w:val="2"/>
            <w:tcBorders>
              <w:top w:val="single" w:sz="4" w:space="0" w:color="000000"/>
              <w:left w:val="single" w:sz="4" w:space="0" w:color="000000"/>
              <w:bottom w:val="single" w:sz="4" w:space="0" w:color="000000"/>
              <w:right w:val="single" w:sz="4" w:space="0" w:color="000000"/>
            </w:tcBorders>
            <w:vAlign w:val="center"/>
          </w:tcPr>
          <w:p w:rsidR="00286780" w:rsidRPr="00171853" w:rsidRDefault="00286780" w:rsidP="00FA7C6C">
            <w:pPr>
              <w:jc w:val="center"/>
              <w:rPr>
                <w:sz w:val="28"/>
                <w:szCs w:val="28"/>
              </w:rPr>
            </w:pPr>
            <w:r w:rsidRPr="00171853">
              <w:rPr>
                <w:i/>
                <w:sz w:val="28"/>
                <w:szCs w:val="28"/>
              </w:rPr>
              <w:t>Примечание</w:t>
            </w:r>
            <w:r w:rsidRPr="00171853">
              <w:rPr>
                <w:sz w:val="28"/>
                <w:szCs w:val="28"/>
              </w:rPr>
              <w:t>. АД – артериальное давление</w:t>
            </w:r>
          </w:p>
        </w:tc>
      </w:tr>
    </w:tbl>
    <w:p w:rsidR="00286780" w:rsidRDefault="00286780" w:rsidP="00BD2F93">
      <w:pPr>
        <w:jc w:val="both"/>
        <w:rPr>
          <w:sz w:val="28"/>
          <w:szCs w:val="28"/>
        </w:rPr>
      </w:pPr>
    </w:p>
    <w:p w:rsidR="00286780" w:rsidRPr="00672E47" w:rsidRDefault="00286780" w:rsidP="00DD72E7">
      <w:pPr>
        <w:spacing w:line="360" w:lineRule="auto"/>
        <w:ind w:firstLine="709"/>
        <w:jc w:val="both"/>
        <w:rPr>
          <w:spacing w:val="-2"/>
          <w:sz w:val="28"/>
          <w:szCs w:val="28"/>
        </w:rPr>
      </w:pPr>
      <w:r w:rsidRPr="00672E47">
        <w:rPr>
          <w:spacing w:val="-2"/>
          <w:sz w:val="28"/>
          <w:szCs w:val="28"/>
        </w:rPr>
        <w:t>На основании вышеоб</w:t>
      </w:r>
      <w:r>
        <w:rPr>
          <w:spacing w:val="-2"/>
          <w:sz w:val="28"/>
          <w:szCs w:val="28"/>
        </w:rPr>
        <w:t>означенных данных</w:t>
      </w:r>
      <w:r w:rsidRPr="00672E47">
        <w:rPr>
          <w:spacing w:val="-2"/>
          <w:sz w:val="28"/>
          <w:szCs w:val="28"/>
        </w:rPr>
        <w:t>, определены «достоверные следующие признаки одонтогенного с</w:t>
      </w:r>
      <w:r>
        <w:rPr>
          <w:spacing w:val="-2"/>
          <w:sz w:val="28"/>
          <w:szCs w:val="28"/>
        </w:rPr>
        <w:t>епсиса» (Губин М.А. и др., 2006)</w:t>
      </w:r>
      <w:r w:rsidRPr="00672E47">
        <w:rPr>
          <w:spacing w:val="-2"/>
          <w:sz w:val="28"/>
          <w:szCs w:val="28"/>
        </w:rPr>
        <w:t>:</w:t>
      </w:r>
    </w:p>
    <w:p w:rsidR="00286780" w:rsidRPr="009008E9" w:rsidRDefault="00286780" w:rsidP="00DD72E7">
      <w:pPr>
        <w:spacing w:line="360" w:lineRule="auto"/>
        <w:ind w:firstLine="709"/>
        <w:jc w:val="both"/>
        <w:rPr>
          <w:sz w:val="28"/>
          <w:szCs w:val="28"/>
        </w:rPr>
      </w:pPr>
      <w:r>
        <w:rPr>
          <w:sz w:val="28"/>
          <w:szCs w:val="28"/>
        </w:rPr>
        <w:t>"</w:t>
      </w:r>
      <w:r w:rsidRPr="009008E9">
        <w:rPr>
          <w:sz w:val="28"/>
          <w:szCs w:val="28"/>
        </w:rPr>
        <w:t>1) наличие гнойного очага;</w:t>
      </w:r>
    </w:p>
    <w:p w:rsidR="00286780" w:rsidRPr="009008E9" w:rsidRDefault="00286780" w:rsidP="00DD72E7">
      <w:pPr>
        <w:spacing w:line="360" w:lineRule="auto"/>
        <w:ind w:firstLine="709"/>
        <w:jc w:val="both"/>
        <w:rPr>
          <w:sz w:val="28"/>
          <w:szCs w:val="28"/>
        </w:rPr>
      </w:pPr>
      <w:r w:rsidRPr="009008E9">
        <w:rPr>
          <w:sz w:val="28"/>
          <w:szCs w:val="28"/>
        </w:rPr>
        <w:t>2) прогрессирующее нарушение обменных процессов и иммунитета;</w:t>
      </w:r>
    </w:p>
    <w:p w:rsidR="00286780" w:rsidRPr="009008E9" w:rsidRDefault="00286780" w:rsidP="00DD72E7">
      <w:pPr>
        <w:spacing w:line="360" w:lineRule="auto"/>
        <w:ind w:firstLine="709"/>
        <w:jc w:val="both"/>
        <w:rPr>
          <w:sz w:val="28"/>
          <w:szCs w:val="28"/>
        </w:rPr>
      </w:pPr>
      <w:r w:rsidRPr="009008E9">
        <w:rPr>
          <w:sz w:val="28"/>
          <w:szCs w:val="28"/>
        </w:rPr>
        <w:t>3) стойкая анемия;</w:t>
      </w:r>
    </w:p>
    <w:p w:rsidR="00286780" w:rsidRPr="009008E9" w:rsidRDefault="00286780" w:rsidP="00DD72E7">
      <w:pPr>
        <w:spacing w:line="360" w:lineRule="auto"/>
        <w:ind w:firstLine="709"/>
        <w:jc w:val="both"/>
        <w:rPr>
          <w:sz w:val="28"/>
          <w:szCs w:val="28"/>
        </w:rPr>
      </w:pPr>
      <w:r w:rsidRPr="009008E9">
        <w:rPr>
          <w:sz w:val="28"/>
          <w:szCs w:val="28"/>
        </w:rPr>
        <w:t>4) снижение массы тела;</w:t>
      </w:r>
    </w:p>
    <w:p w:rsidR="00286780" w:rsidRPr="009008E9" w:rsidRDefault="00286780" w:rsidP="00DD72E7">
      <w:pPr>
        <w:spacing w:line="360" w:lineRule="auto"/>
        <w:ind w:firstLine="709"/>
        <w:jc w:val="both"/>
        <w:rPr>
          <w:sz w:val="28"/>
          <w:szCs w:val="28"/>
        </w:rPr>
      </w:pPr>
      <w:r w:rsidRPr="009008E9">
        <w:rPr>
          <w:sz w:val="28"/>
          <w:szCs w:val="28"/>
        </w:rPr>
        <w:t>5) положительные посевы крови</w:t>
      </w:r>
      <w:r>
        <w:rPr>
          <w:sz w:val="28"/>
          <w:szCs w:val="28"/>
        </w:rPr>
        <w:t xml:space="preserve">" </w:t>
      </w:r>
      <w:r>
        <w:rPr>
          <w:spacing w:val="-2"/>
          <w:sz w:val="28"/>
          <w:szCs w:val="28"/>
        </w:rPr>
        <w:t>(</w:t>
      </w:r>
      <w:r w:rsidRPr="00672E47">
        <w:rPr>
          <w:spacing w:val="-2"/>
          <w:sz w:val="28"/>
          <w:szCs w:val="28"/>
        </w:rPr>
        <w:t>Губин М.А. и др., 2006</w:t>
      </w:r>
      <w:r>
        <w:rPr>
          <w:spacing w:val="-2"/>
          <w:sz w:val="28"/>
          <w:szCs w:val="28"/>
        </w:rPr>
        <w:t>)</w:t>
      </w:r>
      <w:r w:rsidRPr="009008E9">
        <w:rPr>
          <w:sz w:val="28"/>
          <w:szCs w:val="28"/>
        </w:rPr>
        <w:t>.</w:t>
      </w:r>
    </w:p>
    <w:p w:rsidR="00286780" w:rsidRPr="009008E9" w:rsidRDefault="00286780" w:rsidP="00DD72E7">
      <w:pPr>
        <w:spacing w:line="360" w:lineRule="auto"/>
        <w:ind w:firstLine="709"/>
        <w:jc w:val="both"/>
        <w:rPr>
          <w:sz w:val="28"/>
          <w:szCs w:val="28"/>
        </w:rPr>
      </w:pPr>
      <w:r w:rsidRPr="009008E9">
        <w:rPr>
          <w:sz w:val="28"/>
          <w:szCs w:val="28"/>
        </w:rPr>
        <w:t xml:space="preserve">Критерии </w:t>
      </w:r>
      <w:r w:rsidRPr="009008E9">
        <w:rPr>
          <w:sz w:val="28"/>
          <w:szCs w:val="28"/>
          <w:lang w:val="en-US"/>
        </w:rPr>
        <w:t>SIRS</w:t>
      </w:r>
      <w:r>
        <w:rPr>
          <w:sz w:val="28"/>
          <w:szCs w:val="28"/>
        </w:rPr>
        <w:t>-синдрома (</w:t>
      </w:r>
      <w:r w:rsidRPr="009008E9">
        <w:rPr>
          <w:sz w:val="28"/>
          <w:szCs w:val="28"/>
        </w:rPr>
        <w:t xml:space="preserve">ССВР) в данном разделе решено не приводить, так как они подробно представлены в соответствующих источниках литературы </w:t>
      </w:r>
      <w:r>
        <w:rPr>
          <w:sz w:val="28"/>
          <w:szCs w:val="28"/>
        </w:rPr>
        <w:t>(</w:t>
      </w:r>
      <w:r w:rsidRPr="00672E47">
        <w:rPr>
          <w:sz w:val="28"/>
          <w:szCs w:val="28"/>
        </w:rPr>
        <w:t>Levy M.M. et al., 2003</w:t>
      </w:r>
      <w:r>
        <w:rPr>
          <w:sz w:val="28"/>
          <w:szCs w:val="28"/>
        </w:rPr>
        <w:t>)</w:t>
      </w:r>
      <w:r w:rsidRPr="009008E9">
        <w:rPr>
          <w:sz w:val="28"/>
          <w:szCs w:val="28"/>
        </w:rPr>
        <w:t>.</w:t>
      </w:r>
    </w:p>
    <w:p w:rsidR="00286780" w:rsidRPr="009008E9" w:rsidRDefault="00286780" w:rsidP="00DD72E7">
      <w:pPr>
        <w:spacing w:line="360" w:lineRule="auto"/>
        <w:ind w:firstLine="709"/>
        <w:jc w:val="both"/>
        <w:rPr>
          <w:sz w:val="28"/>
          <w:szCs w:val="28"/>
        </w:rPr>
      </w:pPr>
      <w:r w:rsidRPr="009008E9">
        <w:rPr>
          <w:sz w:val="28"/>
          <w:szCs w:val="28"/>
        </w:rPr>
        <w:t xml:space="preserve">Шкала </w:t>
      </w:r>
      <w:r w:rsidRPr="009008E9">
        <w:rPr>
          <w:sz w:val="28"/>
          <w:szCs w:val="28"/>
          <w:lang w:val="en-US"/>
        </w:rPr>
        <w:t>SOFA</w:t>
      </w:r>
      <w:r w:rsidRPr="009008E9">
        <w:rPr>
          <w:sz w:val="28"/>
          <w:szCs w:val="28"/>
        </w:rPr>
        <w:t xml:space="preserve"> представлена в соответствующем разделе (</w:t>
      </w:r>
      <w:r w:rsidRPr="009008E9">
        <w:rPr>
          <w:sz w:val="28"/>
          <w:szCs w:val="28"/>
          <w:lang w:val="en-US"/>
        </w:rPr>
        <w:t>III</w:t>
      </w:r>
      <w:r>
        <w:rPr>
          <w:sz w:val="28"/>
          <w:szCs w:val="28"/>
        </w:rPr>
        <w:t>-й</w:t>
      </w:r>
      <w:r w:rsidRPr="009008E9">
        <w:rPr>
          <w:sz w:val="28"/>
          <w:szCs w:val="28"/>
        </w:rPr>
        <w:t xml:space="preserve"> блок исследований), а </w:t>
      </w:r>
      <w:r>
        <w:rPr>
          <w:sz w:val="28"/>
          <w:szCs w:val="28"/>
        </w:rPr>
        <w:t>также</w:t>
      </w:r>
      <w:r w:rsidRPr="009008E9">
        <w:rPr>
          <w:sz w:val="28"/>
          <w:szCs w:val="28"/>
        </w:rPr>
        <w:t xml:space="preserve"> включена в алгоритм, обозначенный на Рисунке 3.</w:t>
      </w:r>
    </w:p>
    <w:p w:rsidR="00286780" w:rsidRDefault="00286780" w:rsidP="00DD72E7">
      <w:pPr>
        <w:spacing w:line="360" w:lineRule="auto"/>
        <w:ind w:firstLine="709"/>
        <w:jc w:val="both"/>
        <w:rPr>
          <w:i/>
          <w:sz w:val="28"/>
          <w:szCs w:val="28"/>
        </w:rPr>
      </w:pPr>
      <w:r w:rsidRPr="009008E9">
        <w:rPr>
          <w:sz w:val="28"/>
          <w:szCs w:val="28"/>
        </w:rPr>
        <w:t>Полученные результаты обработаны с применением онлайн-калькулятора «</w:t>
      </w:r>
      <w:r w:rsidRPr="009008E9">
        <w:rPr>
          <w:sz w:val="28"/>
          <w:szCs w:val="28"/>
          <w:lang w:val="en-US"/>
        </w:rPr>
        <w:t>MEDCALC</w:t>
      </w:r>
      <w:r w:rsidRPr="009008E9">
        <w:rPr>
          <w:sz w:val="28"/>
          <w:szCs w:val="28"/>
        </w:rPr>
        <w:t>»</w:t>
      </w:r>
      <w:r>
        <w:rPr>
          <w:sz w:val="28"/>
          <w:szCs w:val="28"/>
        </w:rPr>
        <w:t xml:space="preserve"> (</w:t>
      </w:r>
      <w:r w:rsidRPr="009008E9">
        <w:rPr>
          <w:sz w:val="28"/>
          <w:szCs w:val="28"/>
          <w:lang w:val="en-US"/>
        </w:rPr>
        <w:t>URL</w:t>
      </w:r>
      <w:r w:rsidRPr="009008E9">
        <w:rPr>
          <w:sz w:val="28"/>
          <w:szCs w:val="28"/>
        </w:rPr>
        <w:t xml:space="preserve">: </w:t>
      </w:r>
      <w:r w:rsidRPr="009008E9">
        <w:rPr>
          <w:sz w:val="28"/>
          <w:szCs w:val="28"/>
          <w:lang w:val="en-US"/>
        </w:rPr>
        <w:t>http</w:t>
      </w:r>
      <w:r w:rsidRPr="009008E9">
        <w:rPr>
          <w:sz w:val="28"/>
          <w:szCs w:val="28"/>
        </w:rPr>
        <w:t>://</w:t>
      </w:r>
      <w:r w:rsidRPr="009008E9">
        <w:rPr>
          <w:sz w:val="28"/>
          <w:szCs w:val="28"/>
          <w:lang w:val="en-US"/>
        </w:rPr>
        <w:t>medcalc</w:t>
      </w:r>
      <w:r w:rsidRPr="009008E9">
        <w:rPr>
          <w:sz w:val="28"/>
          <w:szCs w:val="28"/>
        </w:rPr>
        <w:t>.</w:t>
      </w:r>
      <w:r w:rsidRPr="009008E9">
        <w:rPr>
          <w:sz w:val="28"/>
          <w:szCs w:val="28"/>
          <w:lang w:val="en-US"/>
        </w:rPr>
        <w:t>org</w:t>
      </w:r>
      <w:r>
        <w:rPr>
          <w:sz w:val="28"/>
          <w:szCs w:val="28"/>
        </w:rPr>
        <w:t>)</w:t>
      </w:r>
      <w:r w:rsidRPr="009008E9">
        <w:rPr>
          <w:sz w:val="28"/>
          <w:szCs w:val="28"/>
        </w:rPr>
        <w:t>. Получены значения чувствительности, специфичности, точности, прогностичности положительного и отрицательного результатов (</w:t>
      </w:r>
      <w:r w:rsidRPr="009008E9">
        <w:rPr>
          <w:sz w:val="28"/>
          <w:szCs w:val="28"/>
          <w:lang w:val="en-US"/>
        </w:rPr>
        <w:t>Se</w:t>
      </w:r>
      <w:r w:rsidRPr="009008E9">
        <w:rPr>
          <w:sz w:val="28"/>
          <w:szCs w:val="28"/>
        </w:rPr>
        <w:t xml:space="preserve">, </w:t>
      </w:r>
      <w:r w:rsidRPr="009008E9">
        <w:rPr>
          <w:sz w:val="28"/>
          <w:szCs w:val="28"/>
          <w:lang w:val="en-US"/>
        </w:rPr>
        <w:t>Sp</w:t>
      </w:r>
      <w:r w:rsidRPr="009008E9">
        <w:rPr>
          <w:sz w:val="28"/>
          <w:szCs w:val="28"/>
        </w:rPr>
        <w:t xml:space="preserve">, </w:t>
      </w:r>
      <w:r w:rsidRPr="009008E9">
        <w:rPr>
          <w:sz w:val="28"/>
          <w:szCs w:val="28"/>
          <w:lang w:val="en-US"/>
        </w:rPr>
        <w:t>Ac</w:t>
      </w:r>
      <w:r w:rsidRPr="009008E9">
        <w:rPr>
          <w:sz w:val="28"/>
          <w:szCs w:val="28"/>
        </w:rPr>
        <w:t xml:space="preserve">, </w:t>
      </w:r>
      <w:r w:rsidRPr="009008E9">
        <w:rPr>
          <w:sz w:val="28"/>
          <w:szCs w:val="28"/>
          <w:lang w:val="en-US"/>
        </w:rPr>
        <w:t>PPV</w:t>
      </w:r>
      <w:r w:rsidRPr="009008E9">
        <w:rPr>
          <w:sz w:val="28"/>
          <w:szCs w:val="28"/>
        </w:rPr>
        <w:t xml:space="preserve">, </w:t>
      </w:r>
      <w:r w:rsidRPr="009008E9">
        <w:rPr>
          <w:sz w:val="28"/>
          <w:szCs w:val="28"/>
          <w:lang w:val="en-US"/>
        </w:rPr>
        <w:t>NPV</w:t>
      </w:r>
      <w:r w:rsidRPr="009008E9">
        <w:rPr>
          <w:sz w:val="28"/>
          <w:szCs w:val="28"/>
        </w:rPr>
        <w:t xml:space="preserve">) вышеобозначенных методов, форма записи </w:t>
      </w:r>
      <w:r w:rsidRPr="009008E9">
        <w:rPr>
          <w:i/>
          <w:sz w:val="28"/>
          <w:szCs w:val="28"/>
          <w:lang w:val="en-US"/>
        </w:rPr>
        <w:t>Me</w:t>
      </w:r>
      <w:r w:rsidRPr="009008E9">
        <w:rPr>
          <w:i/>
          <w:sz w:val="28"/>
          <w:szCs w:val="28"/>
        </w:rPr>
        <w:t xml:space="preserve"> [95% ДИ]</w:t>
      </w:r>
      <w:r w:rsidRPr="009008E9">
        <w:rPr>
          <w:sz w:val="28"/>
          <w:szCs w:val="28"/>
        </w:rPr>
        <w:t xml:space="preserve">, где </w:t>
      </w:r>
      <w:r w:rsidRPr="009008E9">
        <w:rPr>
          <w:i/>
          <w:sz w:val="28"/>
          <w:szCs w:val="28"/>
          <w:lang w:val="en-US"/>
        </w:rPr>
        <w:t>Me</w:t>
      </w:r>
      <w:r w:rsidRPr="009008E9">
        <w:rPr>
          <w:i/>
          <w:sz w:val="28"/>
          <w:szCs w:val="28"/>
        </w:rPr>
        <w:t xml:space="preserve"> – </w:t>
      </w:r>
      <w:r w:rsidRPr="009008E9">
        <w:rPr>
          <w:sz w:val="28"/>
          <w:szCs w:val="28"/>
        </w:rPr>
        <w:t xml:space="preserve">медиана, а </w:t>
      </w:r>
      <w:r w:rsidRPr="00672E47">
        <w:rPr>
          <w:i/>
          <w:sz w:val="28"/>
          <w:szCs w:val="28"/>
        </w:rPr>
        <w:t>[</w:t>
      </w:r>
      <w:r w:rsidRPr="009008E9">
        <w:rPr>
          <w:i/>
          <w:sz w:val="28"/>
          <w:szCs w:val="28"/>
        </w:rPr>
        <w:t>95% ДИ</w:t>
      </w:r>
      <w:r w:rsidRPr="00672E47">
        <w:rPr>
          <w:i/>
          <w:sz w:val="28"/>
          <w:szCs w:val="28"/>
        </w:rPr>
        <w:t>]</w:t>
      </w:r>
      <w:r w:rsidRPr="009008E9">
        <w:rPr>
          <w:i/>
          <w:sz w:val="28"/>
          <w:szCs w:val="28"/>
        </w:rPr>
        <w:t xml:space="preserve"> – </w:t>
      </w:r>
      <w:r w:rsidRPr="00672E47">
        <w:rPr>
          <w:i/>
          <w:sz w:val="28"/>
          <w:szCs w:val="28"/>
        </w:rPr>
        <w:t>95</w:t>
      </w:r>
      <w:r>
        <w:rPr>
          <w:i/>
          <w:sz w:val="28"/>
          <w:szCs w:val="28"/>
        </w:rPr>
        <w:t>%</w:t>
      </w:r>
      <w:r w:rsidRPr="00672E47">
        <w:rPr>
          <w:i/>
          <w:sz w:val="28"/>
          <w:szCs w:val="28"/>
        </w:rPr>
        <w:t>-</w:t>
      </w:r>
      <w:r>
        <w:rPr>
          <w:i/>
          <w:sz w:val="28"/>
          <w:szCs w:val="28"/>
        </w:rPr>
        <w:t xml:space="preserve">й </w:t>
      </w:r>
      <w:r w:rsidRPr="009008E9">
        <w:rPr>
          <w:sz w:val="28"/>
          <w:szCs w:val="28"/>
        </w:rPr>
        <w:t>доверительный интервал</w:t>
      </w:r>
      <w:r w:rsidRPr="009008E9">
        <w:rPr>
          <w:i/>
          <w:sz w:val="28"/>
          <w:szCs w:val="28"/>
        </w:rPr>
        <w:t>.</w:t>
      </w:r>
    </w:p>
    <w:p w:rsidR="00286780" w:rsidRPr="00171853" w:rsidRDefault="00286780" w:rsidP="00171853">
      <w:pPr>
        <w:spacing w:line="360" w:lineRule="auto"/>
        <w:ind w:firstLine="709"/>
        <w:jc w:val="both"/>
        <w:rPr>
          <w:sz w:val="28"/>
          <w:szCs w:val="28"/>
        </w:rPr>
      </w:pPr>
      <w:r w:rsidRPr="00171853">
        <w:rPr>
          <w:sz w:val="28"/>
          <w:szCs w:val="28"/>
        </w:rPr>
        <w:t xml:space="preserve">На основании результатов </w:t>
      </w:r>
      <w:r w:rsidRPr="00171853">
        <w:rPr>
          <w:sz w:val="28"/>
          <w:szCs w:val="28"/>
          <w:lang w:val="en-US"/>
        </w:rPr>
        <w:t>Se</w:t>
      </w:r>
      <w:r w:rsidRPr="00171853">
        <w:rPr>
          <w:sz w:val="28"/>
          <w:szCs w:val="28"/>
        </w:rPr>
        <w:t xml:space="preserve">, </w:t>
      </w:r>
      <w:r w:rsidRPr="00171853">
        <w:rPr>
          <w:sz w:val="28"/>
          <w:szCs w:val="28"/>
          <w:lang w:val="en-US"/>
        </w:rPr>
        <w:t>Sp</w:t>
      </w:r>
      <w:r w:rsidRPr="00171853">
        <w:rPr>
          <w:sz w:val="28"/>
          <w:szCs w:val="28"/>
        </w:rPr>
        <w:t xml:space="preserve">, </w:t>
      </w:r>
      <w:r w:rsidRPr="00171853">
        <w:rPr>
          <w:sz w:val="28"/>
          <w:szCs w:val="28"/>
          <w:lang w:val="en-US"/>
        </w:rPr>
        <w:t>Ac</w:t>
      </w:r>
      <w:r w:rsidRPr="00171853">
        <w:rPr>
          <w:sz w:val="28"/>
          <w:szCs w:val="28"/>
        </w:rPr>
        <w:t xml:space="preserve">, </w:t>
      </w:r>
      <w:r w:rsidRPr="00171853">
        <w:rPr>
          <w:sz w:val="28"/>
          <w:szCs w:val="28"/>
          <w:lang w:val="en-US"/>
        </w:rPr>
        <w:t>PPV</w:t>
      </w:r>
      <w:r w:rsidRPr="00171853">
        <w:rPr>
          <w:sz w:val="28"/>
          <w:szCs w:val="28"/>
        </w:rPr>
        <w:t xml:space="preserve">, </w:t>
      </w:r>
      <w:r w:rsidRPr="00171853">
        <w:rPr>
          <w:sz w:val="28"/>
          <w:szCs w:val="28"/>
          <w:lang w:val="en-US"/>
        </w:rPr>
        <w:t>NPV</w:t>
      </w:r>
      <w:r w:rsidRPr="00171853">
        <w:rPr>
          <w:sz w:val="28"/>
          <w:szCs w:val="28"/>
        </w:rPr>
        <w:t xml:space="preserve"> выполнена сравнительная характеристика указанных выше алгоритмов.</w:t>
      </w:r>
    </w:p>
    <w:p w:rsidR="00286780" w:rsidRPr="009008E9" w:rsidRDefault="00286780" w:rsidP="00BD2F93">
      <w:pPr>
        <w:jc w:val="both"/>
        <w:rPr>
          <w:sz w:val="28"/>
          <w:szCs w:val="28"/>
        </w:rPr>
      </w:pPr>
    </w:p>
    <w:p w:rsidR="00286780" w:rsidRPr="00067701" w:rsidRDefault="00286780" w:rsidP="00BD2F93">
      <w:pPr>
        <w:spacing w:after="120"/>
        <w:jc w:val="both"/>
        <w:rPr>
          <w:spacing w:val="-8"/>
          <w:sz w:val="28"/>
          <w:szCs w:val="28"/>
        </w:rPr>
      </w:pPr>
      <w:r w:rsidRPr="009008E9">
        <w:rPr>
          <w:b/>
          <w:sz w:val="28"/>
          <w:szCs w:val="28"/>
        </w:rPr>
        <w:lastRenderedPageBreak/>
        <w:t>Таблица 1</w:t>
      </w:r>
      <w:r>
        <w:rPr>
          <w:b/>
          <w:sz w:val="28"/>
          <w:szCs w:val="28"/>
        </w:rPr>
        <w:t>9</w:t>
      </w:r>
      <w:r w:rsidRPr="009008E9">
        <w:rPr>
          <w:sz w:val="28"/>
          <w:szCs w:val="28"/>
        </w:rPr>
        <w:t xml:space="preserve"> – Симптомокомплексы при одонтогенном сепсисе</w:t>
      </w:r>
      <w:r>
        <w:rPr>
          <w:sz w:val="28"/>
          <w:szCs w:val="28"/>
        </w:rPr>
        <w:t xml:space="preserve"> (Губин М.</w:t>
      </w:r>
      <w:r w:rsidRPr="009008E9">
        <w:rPr>
          <w:sz w:val="28"/>
          <w:szCs w:val="28"/>
        </w:rPr>
        <w:t>А. и др</w:t>
      </w:r>
      <w:r w:rsidRPr="00067701">
        <w:rPr>
          <w:sz w:val="28"/>
          <w:szCs w:val="28"/>
        </w:rPr>
        <w:t>.</w:t>
      </w:r>
      <w:r w:rsidRPr="00931C76">
        <w:rPr>
          <w:sz w:val="28"/>
          <w:szCs w:val="28"/>
        </w:rPr>
        <w:t>, 2003</w:t>
      </w:r>
      <w:r>
        <w:rPr>
          <w:sz w:val="28"/>
          <w:szCs w:val="28"/>
        </w:rPr>
        <w:t>)</w:t>
      </w:r>
    </w:p>
    <w:tbl>
      <w:tblPr>
        <w:tblW w:w="9923" w:type="dxa"/>
        <w:tblLayout w:type="fixed"/>
        <w:tblLook w:val="0000" w:firstRow="0" w:lastRow="0" w:firstColumn="0" w:lastColumn="0" w:noHBand="0" w:noVBand="0"/>
      </w:tblPr>
      <w:tblGrid>
        <w:gridCol w:w="2438"/>
        <w:gridCol w:w="4253"/>
        <w:gridCol w:w="3232"/>
      </w:tblGrid>
      <w:tr w:rsidR="00286780" w:rsidRPr="00FB0829" w:rsidTr="00FA7C6C">
        <w:trPr>
          <w:trHeight w:val="454"/>
        </w:trPr>
        <w:tc>
          <w:tcPr>
            <w:tcW w:w="9923" w:type="dxa"/>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FB0829" w:rsidRDefault="00286780" w:rsidP="00FA7C6C">
            <w:pPr>
              <w:snapToGrid w:val="0"/>
              <w:jc w:val="center"/>
              <w:rPr>
                <w:spacing w:val="-8"/>
                <w:sz w:val="24"/>
                <w:szCs w:val="24"/>
              </w:rPr>
            </w:pPr>
            <w:r w:rsidRPr="00FB0829">
              <w:rPr>
                <w:spacing w:val="-8"/>
                <w:sz w:val="24"/>
                <w:szCs w:val="24"/>
              </w:rPr>
              <w:t>Признаки сепсиса</w:t>
            </w:r>
          </w:p>
        </w:tc>
      </w:tr>
      <w:tr w:rsidR="00286780" w:rsidRPr="00FB0829" w:rsidTr="00FA7C6C">
        <w:trPr>
          <w:trHeight w:val="454"/>
        </w:trPr>
        <w:tc>
          <w:tcPr>
            <w:tcW w:w="2438" w:type="dxa"/>
            <w:tcBorders>
              <w:top w:val="single" w:sz="4" w:space="0" w:color="000000"/>
              <w:left w:val="single" w:sz="4" w:space="0" w:color="000000"/>
              <w:bottom w:val="single" w:sz="4" w:space="0" w:color="000000"/>
            </w:tcBorders>
            <w:tcMar>
              <w:left w:w="28" w:type="dxa"/>
              <w:right w:w="28" w:type="dxa"/>
            </w:tcMar>
            <w:vAlign w:val="center"/>
          </w:tcPr>
          <w:p w:rsidR="00286780" w:rsidRPr="00FB0829" w:rsidRDefault="00286780" w:rsidP="00FA7C6C">
            <w:pPr>
              <w:snapToGrid w:val="0"/>
              <w:jc w:val="center"/>
              <w:rPr>
                <w:spacing w:val="-8"/>
                <w:sz w:val="24"/>
                <w:szCs w:val="24"/>
              </w:rPr>
            </w:pPr>
            <w:r w:rsidRPr="00FB0829">
              <w:rPr>
                <w:spacing w:val="-8"/>
                <w:sz w:val="24"/>
                <w:szCs w:val="24"/>
              </w:rPr>
              <w:t>Ранние</w:t>
            </w:r>
          </w:p>
        </w:tc>
        <w:tc>
          <w:tcPr>
            <w:tcW w:w="4253" w:type="dxa"/>
            <w:tcBorders>
              <w:top w:val="single" w:sz="4" w:space="0" w:color="000000"/>
              <w:left w:val="single" w:sz="4" w:space="0" w:color="000000"/>
              <w:bottom w:val="single" w:sz="4" w:space="0" w:color="000000"/>
            </w:tcBorders>
            <w:tcMar>
              <w:left w:w="28" w:type="dxa"/>
              <w:right w:w="28" w:type="dxa"/>
            </w:tcMar>
            <w:vAlign w:val="center"/>
          </w:tcPr>
          <w:p w:rsidR="00286780" w:rsidRPr="00FB0829" w:rsidRDefault="00286780" w:rsidP="00FA7C6C">
            <w:pPr>
              <w:snapToGrid w:val="0"/>
              <w:jc w:val="center"/>
              <w:rPr>
                <w:spacing w:val="-8"/>
                <w:sz w:val="24"/>
                <w:szCs w:val="24"/>
              </w:rPr>
            </w:pPr>
            <w:r w:rsidRPr="00FB0829">
              <w:rPr>
                <w:spacing w:val="-8"/>
                <w:sz w:val="24"/>
                <w:szCs w:val="24"/>
              </w:rPr>
              <w:t>Промежуточные (7–14 сут.)</w:t>
            </w:r>
          </w:p>
        </w:tc>
        <w:tc>
          <w:tcPr>
            <w:tcW w:w="323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FB0829" w:rsidRDefault="00286780" w:rsidP="00FA7C6C">
            <w:pPr>
              <w:snapToGrid w:val="0"/>
              <w:jc w:val="center"/>
              <w:rPr>
                <w:spacing w:val="-8"/>
                <w:sz w:val="24"/>
                <w:szCs w:val="24"/>
              </w:rPr>
            </w:pPr>
            <w:r w:rsidRPr="00FB0829">
              <w:rPr>
                <w:spacing w:val="-8"/>
                <w:sz w:val="24"/>
                <w:szCs w:val="24"/>
              </w:rPr>
              <w:t>Поздние (более 2 недель)</w:t>
            </w:r>
          </w:p>
        </w:tc>
      </w:tr>
      <w:tr w:rsidR="00286780" w:rsidRPr="00FB0829" w:rsidTr="00FA7C6C">
        <w:trPr>
          <w:trHeight w:val="454"/>
        </w:trPr>
        <w:tc>
          <w:tcPr>
            <w:tcW w:w="2438" w:type="dxa"/>
            <w:tcBorders>
              <w:top w:val="single" w:sz="4" w:space="0" w:color="000000"/>
              <w:left w:val="single" w:sz="4" w:space="0" w:color="000000"/>
              <w:bottom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Фебрильная лихорадка на протяжении 3 сут.</w:t>
            </w:r>
          </w:p>
        </w:tc>
        <w:tc>
          <w:tcPr>
            <w:tcW w:w="4253" w:type="dxa"/>
            <w:tcBorders>
              <w:top w:val="single" w:sz="4" w:space="0" w:color="000000"/>
              <w:left w:val="single" w:sz="4" w:space="0" w:color="000000"/>
              <w:bottom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Снижение массы тела</w:t>
            </w:r>
          </w:p>
        </w:tc>
        <w:tc>
          <w:tcPr>
            <w:tcW w:w="323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Отсутствие прибавки массы тела на фоне стабилизации общего состояния</w:t>
            </w:r>
          </w:p>
        </w:tc>
      </w:tr>
      <w:tr w:rsidR="00286780" w:rsidRPr="00FB0829" w:rsidTr="00FA7C6C">
        <w:trPr>
          <w:trHeight w:val="454"/>
        </w:trPr>
        <w:tc>
          <w:tcPr>
            <w:tcW w:w="2438" w:type="dxa"/>
            <w:tcBorders>
              <w:top w:val="single" w:sz="4" w:space="0" w:color="000000"/>
              <w:left w:val="single" w:sz="4" w:space="0" w:color="000000"/>
              <w:bottom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Нарушение функции ЦНС по типу угнетения</w:t>
            </w:r>
          </w:p>
        </w:tc>
        <w:tc>
          <w:tcPr>
            <w:tcW w:w="4253" w:type="dxa"/>
            <w:tcBorders>
              <w:top w:val="single" w:sz="4" w:space="0" w:color="000000"/>
              <w:left w:val="single" w:sz="4" w:space="0" w:color="000000"/>
              <w:bottom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Гектический тип температурной кривой</w:t>
            </w:r>
          </w:p>
        </w:tc>
        <w:tc>
          <w:tcPr>
            <w:tcW w:w="323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Бледно-серая окраска кожи</w:t>
            </w:r>
          </w:p>
        </w:tc>
      </w:tr>
      <w:tr w:rsidR="00286780" w:rsidRPr="00FB0829" w:rsidTr="00FA7C6C">
        <w:trPr>
          <w:trHeight w:val="454"/>
        </w:trPr>
        <w:tc>
          <w:tcPr>
            <w:tcW w:w="2438" w:type="dxa"/>
            <w:tcBorders>
              <w:top w:val="single" w:sz="4" w:space="0" w:color="000000"/>
              <w:left w:val="single" w:sz="4" w:space="0" w:color="000000"/>
              <w:bottom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Наличие первичного гнойного очага</w:t>
            </w:r>
          </w:p>
        </w:tc>
        <w:tc>
          <w:tcPr>
            <w:tcW w:w="4253" w:type="dxa"/>
            <w:tcBorders>
              <w:top w:val="single" w:sz="4" w:space="0" w:color="000000"/>
              <w:left w:val="single" w:sz="4" w:space="0" w:color="000000"/>
              <w:bottom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Сохраняющаяся бледно-серая окраска кожи, желтушность, цианоз, акроцианоз</w:t>
            </w:r>
          </w:p>
        </w:tc>
        <w:tc>
          <w:tcPr>
            <w:tcW w:w="323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Гепатоспленомегалия</w:t>
            </w:r>
          </w:p>
        </w:tc>
      </w:tr>
      <w:tr w:rsidR="00286780" w:rsidRPr="00FB0829" w:rsidTr="00FA7C6C">
        <w:trPr>
          <w:trHeight w:val="454"/>
        </w:trPr>
        <w:tc>
          <w:tcPr>
            <w:tcW w:w="2438" w:type="dxa"/>
            <w:tcBorders>
              <w:top w:val="single" w:sz="4" w:space="0" w:color="000000"/>
              <w:left w:val="single" w:sz="4" w:space="0" w:color="000000"/>
              <w:bottom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Развитие септического шока с синдромом гипоциркуляции и ОДН</w:t>
            </w:r>
          </w:p>
        </w:tc>
        <w:tc>
          <w:tcPr>
            <w:tcW w:w="4253" w:type="dxa"/>
            <w:tcBorders>
              <w:top w:val="single" w:sz="4" w:space="0" w:color="000000"/>
              <w:left w:val="single" w:sz="4" w:space="0" w:color="000000"/>
              <w:bottom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Анемия с неуклонным снижением эритроцитов и уровня гемоглобина</w:t>
            </w:r>
          </w:p>
        </w:tc>
        <w:tc>
          <w:tcPr>
            <w:tcW w:w="323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Токсический миокардит</w:t>
            </w:r>
          </w:p>
        </w:tc>
      </w:tr>
      <w:tr w:rsidR="00286780" w:rsidRPr="00FB0829" w:rsidTr="00FA7C6C">
        <w:trPr>
          <w:trHeight w:val="454"/>
        </w:trPr>
        <w:tc>
          <w:tcPr>
            <w:tcW w:w="2438" w:type="dxa"/>
            <w:tcBorders>
              <w:top w:val="single" w:sz="4" w:space="0" w:color="000000"/>
              <w:left w:val="single" w:sz="4" w:space="0" w:color="000000"/>
              <w:bottom w:val="single" w:sz="4" w:space="0" w:color="000000"/>
            </w:tcBorders>
            <w:tcMar>
              <w:left w:w="28" w:type="dxa"/>
              <w:right w:w="28" w:type="dxa"/>
            </w:tcMar>
            <w:vAlign w:val="center"/>
          </w:tcPr>
          <w:p w:rsidR="00286780" w:rsidRPr="00FB0829" w:rsidRDefault="00286780" w:rsidP="00FA7C6C">
            <w:pPr>
              <w:snapToGrid w:val="0"/>
              <w:rPr>
                <w:spacing w:val="-8"/>
                <w:sz w:val="24"/>
                <w:szCs w:val="24"/>
              </w:rPr>
            </w:pPr>
          </w:p>
        </w:tc>
        <w:tc>
          <w:tcPr>
            <w:tcW w:w="4253" w:type="dxa"/>
            <w:tcBorders>
              <w:top w:val="single" w:sz="4" w:space="0" w:color="000000"/>
              <w:left w:val="single" w:sz="4" w:space="0" w:color="000000"/>
              <w:bottom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Появление новых пиемических очагов воспаления</w:t>
            </w:r>
          </w:p>
        </w:tc>
        <w:tc>
          <w:tcPr>
            <w:tcW w:w="323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Замедленная динамика показателей обменных процессов</w:t>
            </w:r>
          </w:p>
        </w:tc>
      </w:tr>
      <w:tr w:rsidR="00286780" w:rsidRPr="00FB0829" w:rsidTr="00FA7C6C">
        <w:trPr>
          <w:trHeight w:val="454"/>
        </w:trPr>
        <w:tc>
          <w:tcPr>
            <w:tcW w:w="2438" w:type="dxa"/>
            <w:tcBorders>
              <w:top w:val="single" w:sz="4" w:space="0" w:color="000000"/>
              <w:left w:val="single" w:sz="4" w:space="0" w:color="000000"/>
              <w:bottom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w:t>
            </w:r>
          </w:p>
        </w:tc>
        <w:tc>
          <w:tcPr>
            <w:tcW w:w="4253" w:type="dxa"/>
            <w:tcBorders>
              <w:top w:val="single" w:sz="4" w:space="0" w:color="000000"/>
              <w:left w:val="single" w:sz="4" w:space="0" w:color="000000"/>
              <w:bottom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Низкий детоксицмрующий эффект операции на гнойных очагах</w:t>
            </w:r>
          </w:p>
        </w:tc>
        <w:tc>
          <w:tcPr>
            <w:tcW w:w="323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Характерный вид гнойных ран</w:t>
            </w:r>
          </w:p>
        </w:tc>
      </w:tr>
      <w:tr w:rsidR="00286780" w:rsidRPr="00FB0829" w:rsidTr="00FA7C6C">
        <w:trPr>
          <w:trHeight w:val="949"/>
        </w:trPr>
        <w:tc>
          <w:tcPr>
            <w:tcW w:w="2438" w:type="dxa"/>
            <w:tcBorders>
              <w:top w:val="single" w:sz="4" w:space="0" w:color="000000"/>
              <w:left w:val="single" w:sz="4" w:space="0" w:color="000000"/>
              <w:bottom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w:t>
            </w:r>
          </w:p>
        </w:tc>
        <w:tc>
          <w:tcPr>
            <w:tcW w:w="4253" w:type="dxa"/>
            <w:tcBorders>
              <w:top w:val="single" w:sz="4" w:space="0" w:color="000000"/>
              <w:left w:val="single" w:sz="4" w:space="0" w:color="000000"/>
              <w:bottom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Гепатоспленомегалия</w:t>
            </w:r>
          </w:p>
        </w:tc>
        <w:tc>
          <w:tcPr>
            <w:tcW w:w="323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 xml:space="preserve">Декомпенсированные нарушения гемокоагуляции с геморрагическим синдромом, некрозами кожи и слизистых оболочек </w:t>
            </w:r>
          </w:p>
        </w:tc>
      </w:tr>
      <w:tr w:rsidR="00286780" w:rsidRPr="00FB0829" w:rsidTr="00FA7C6C">
        <w:trPr>
          <w:trHeight w:val="454"/>
        </w:trPr>
        <w:tc>
          <w:tcPr>
            <w:tcW w:w="2438" w:type="dxa"/>
            <w:tcBorders>
              <w:top w:val="single" w:sz="4" w:space="0" w:color="000000"/>
              <w:left w:val="single" w:sz="4" w:space="0" w:color="000000"/>
              <w:bottom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w:t>
            </w:r>
          </w:p>
        </w:tc>
        <w:tc>
          <w:tcPr>
            <w:tcW w:w="4253" w:type="dxa"/>
            <w:tcBorders>
              <w:top w:val="single" w:sz="4" w:space="0" w:color="000000"/>
              <w:left w:val="single" w:sz="4" w:space="0" w:color="000000"/>
              <w:bottom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Токсический миокардит</w:t>
            </w:r>
          </w:p>
        </w:tc>
        <w:tc>
          <w:tcPr>
            <w:tcW w:w="323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w:t>
            </w:r>
          </w:p>
        </w:tc>
      </w:tr>
      <w:tr w:rsidR="00286780" w:rsidRPr="00FB0829" w:rsidTr="00FA7C6C">
        <w:trPr>
          <w:trHeight w:val="454"/>
        </w:trPr>
        <w:tc>
          <w:tcPr>
            <w:tcW w:w="2438" w:type="dxa"/>
            <w:tcBorders>
              <w:top w:val="single" w:sz="4" w:space="0" w:color="000000"/>
              <w:left w:val="single" w:sz="4" w:space="0" w:color="000000"/>
              <w:bottom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w:t>
            </w:r>
          </w:p>
        </w:tc>
        <w:tc>
          <w:tcPr>
            <w:tcW w:w="4253" w:type="dxa"/>
            <w:tcBorders>
              <w:top w:val="single" w:sz="4" w:space="0" w:color="000000"/>
              <w:left w:val="single" w:sz="4" w:space="0" w:color="000000"/>
              <w:bottom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Прогрессирующее нарушение обменных процессов (снижение содержания общего белка и альбумина на 30% и более, декомпенсированное нарушение КОС, гемокоагуляции, гиперферментемия</w:t>
            </w:r>
          </w:p>
        </w:tc>
        <w:tc>
          <w:tcPr>
            <w:tcW w:w="323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w:t>
            </w:r>
          </w:p>
        </w:tc>
      </w:tr>
      <w:tr w:rsidR="00286780" w:rsidRPr="00FB0829" w:rsidTr="00FA7C6C">
        <w:trPr>
          <w:trHeight w:val="949"/>
        </w:trPr>
        <w:tc>
          <w:tcPr>
            <w:tcW w:w="2438" w:type="dxa"/>
            <w:tcBorders>
              <w:top w:val="single" w:sz="4" w:space="0" w:color="000000"/>
              <w:left w:val="single" w:sz="4" w:space="0" w:color="000000"/>
              <w:bottom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w:t>
            </w:r>
          </w:p>
        </w:tc>
        <w:tc>
          <w:tcPr>
            <w:tcW w:w="4253" w:type="dxa"/>
            <w:tcBorders>
              <w:top w:val="single" w:sz="4" w:space="0" w:color="000000"/>
              <w:left w:val="single" w:sz="4" w:space="0" w:color="000000"/>
              <w:bottom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Снижение содержания лимфоцитов (до 40–50%), дисбаланс иммунной системы, высокий уровень циркулирующего иммунного комплекса</w:t>
            </w:r>
          </w:p>
        </w:tc>
        <w:tc>
          <w:tcPr>
            <w:tcW w:w="323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w:t>
            </w:r>
          </w:p>
        </w:tc>
      </w:tr>
      <w:tr w:rsidR="00286780" w:rsidRPr="00FB0829" w:rsidTr="00FA7C6C">
        <w:trPr>
          <w:trHeight w:val="128"/>
        </w:trPr>
        <w:tc>
          <w:tcPr>
            <w:tcW w:w="2438" w:type="dxa"/>
            <w:tcBorders>
              <w:top w:val="single" w:sz="4" w:space="0" w:color="000000"/>
              <w:left w:val="single" w:sz="4" w:space="0" w:color="000000"/>
              <w:bottom w:val="single" w:sz="4" w:space="0" w:color="000000"/>
            </w:tcBorders>
            <w:tcMar>
              <w:left w:w="28" w:type="dxa"/>
              <w:right w:w="28" w:type="dxa"/>
            </w:tcMar>
            <w:vAlign w:val="center"/>
          </w:tcPr>
          <w:p w:rsidR="00286780" w:rsidRPr="00FB0829" w:rsidRDefault="00286780" w:rsidP="00FA7C6C">
            <w:pPr>
              <w:snapToGrid w:val="0"/>
              <w:rPr>
                <w:spacing w:val="-8"/>
                <w:sz w:val="24"/>
                <w:szCs w:val="24"/>
              </w:rPr>
            </w:pPr>
          </w:p>
        </w:tc>
        <w:tc>
          <w:tcPr>
            <w:tcW w:w="4253" w:type="dxa"/>
            <w:tcBorders>
              <w:top w:val="single" w:sz="4" w:space="0" w:color="000000"/>
              <w:left w:val="single" w:sz="4" w:space="0" w:color="000000"/>
              <w:bottom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Положительные посевы гемокультуры</w:t>
            </w:r>
          </w:p>
        </w:tc>
        <w:tc>
          <w:tcPr>
            <w:tcW w:w="323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w:t>
            </w:r>
          </w:p>
        </w:tc>
      </w:tr>
      <w:tr w:rsidR="00286780" w:rsidRPr="00FB0829" w:rsidTr="00FA7C6C">
        <w:trPr>
          <w:trHeight w:val="454"/>
        </w:trPr>
        <w:tc>
          <w:tcPr>
            <w:tcW w:w="2438" w:type="dxa"/>
            <w:tcBorders>
              <w:top w:val="single" w:sz="4" w:space="0" w:color="000000"/>
              <w:left w:val="single" w:sz="4" w:space="0" w:color="000000"/>
              <w:bottom w:val="single" w:sz="4" w:space="0" w:color="000000"/>
            </w:tcBorders>
            <w:tcMar>
              <w:left w:w="28" w:type="dxa"/>
              <w:right w:w="28" w:type="dxa"/>
            </w:tcMar>
            <w:vAlign w:val="center"/>
          </w:tcPr>
          <w:p w:rsidR="00286780" w:rsidRPr="00FB0829" w:rsidRDefault="00286780" w:rsidP="00FA7C6C">
            <w:pPr>
              <w:snapToGrid w:val="0"/>
              <w:rPr>
                <w:spacing w:val="-8"/>
                <w:sz w:val="24"/>
                <w:szCs w:val="24"/>
              </w:rPr>
            </w:pPr>
          </w:p>
        </w:tc>
        <w:tc>
          <w:tcPr>
            <w:tcW w:w="4253" w:type="dxa"/>
            <w:tcBorders>
              <w:top w:val="single" w:sz="4" w:space="0" w:color="000000"/>
              <w:left w:val="single" w:sz="4" w:space="0" w:color="000000"/>
              <w:bottom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Рефрактерность к проводимому лечению</w:t>
            </w:r>
          </w:p>
        </w:tc>
        <w:tc>
          <w:tcPr>
            <w:tcW w:w="323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FB0829" w:rsidRDefault="00286780" w:rsidP="00FA7C6C">
            <w:pPr>
              <w:snapToGrid w:val="0"/>
              <w:rPr>
                <w:spacing w:val="-8"/>
                <w:sz w:val="24"/>
                <w:szCs w:val="24"/>
              </w:rPr>
            </w:pPr>
            <w:r w:rsidRPr="00FB0829">
              <w:rPr>
                <w:spacing w:val="-8"/>
                <w:sz w:val="24"/>
                <w:szCs w:val="24"/>
              </w:rPr>
              <w:t>–</w:t>
            </w:r>
          </w:p>
        </w:tc>
      </w:tr>
      <w:tr w:rsidR="00286780" w:rsidRPr="00FB0829" w:rsidTr="00FA7C6C">
        <w:trPr>
          <w:trHeight w:val="454"/>
        </w:trPr>
        <w:tc>
          <w:tcPr>
            <w:tcW w:w="9923" w:type="dxa"/>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FB0829" w:rsidRDefault="00286780" w:rsidP="00FA7C6C">
            <w:pPr>
              <w:jc w:val="both"/>
              <w:rPr>
                <w:spacing w:val="-8"/>
                <w:sz w:val="24"/>
                <w:szCs w:val="24"/>
              </w:rPr>
            </w:pPr>
            <w:r w:rsidRPr="00FB0829">
              <w:rPr>
                <w:i/>
                <w:spacing w:val="-8"/>
                <w:sz w:val="24"/>
                <w:szCs w:val="24"/>
              </w:rPr>
              <w:t>Примечание</w:t>
            </w:r>
            <w:r w:rsidRPr="00FB0829">
              <w:rPr>
                <w:spacing w:val="-8"/>
                <w:sz w:val="24"/>
                <w:szCs w:val="24"/>
              </w:rPr>
              <w:t>. ОДН – острая дыхательная недостаточность, ЦНС – центральная нервная система</w:t>
            </w:r>
          </w:p>
        </w:tc>
      </w:tr>
    </w:tbl>
    <w:p w:rsidR="00286780" w:rsidRPr="009008E9" w:rsidRDefault="00286780" w:rsidP="00BD2F93">
      <w:pPr>
        <w:jc w:val="both"/>
        <w:rPr>
          <w:sz w:val="28"/>
          <w:szCs w:val="28"/>
        </w:rPr>
      </w:pPr>
    </w:p>
    <w:p w:rsidR="00286780" w:rsidRPr="009008E9" w:rsidRDefault="00286780" w:rsidP="00BD2F93">
      <w:pPr>
        <w:spacing w:line="360" w:lineRule="auto"/>
        <w:ind w:firstLine="709"/>
        <w:jc w:val="both"/>
        <w:rPr>
          <w:sz w:val="28"/>
          <w:szCs w:val="28"/>
        </w:rPr>
      </w:pPr>
      <w:r w:rsidRPr="009008E9">
        <w:rPr>
          <w:sz w:val="28"/>
          <w:szCs w:val="28"/>
        </w:rPr>
        <w:t xml:space="preserve">В последующем разработан </w:t>
      </w:r>
      <w:r w:rsidRPr="009008E9">
        <w:rPr>
          <w:i/>
          <w:sz w:val="28"/>
          <w:szCs w:val="28"/>
        </w:rPr>
        <w:t>алгоритм ранней диагностики одонтогенного сепсиса</w:t>
      </w:r>
      <w:r>
        <w:rPr>
          <w:i/>
          <w:sz w:val="28"/>
          <w:szCs w:val="28"/>
        </w:rPr>
        <w:t xml:space="preserve"> (1)</w:t>
      </w:r>
      <w:r w:rsidRPr="009008E9">
        <w:rPr>
          <w:sz w:val="28"/>
          <w:szCs w:val="28"/>
        </w:rPr>
        <w:t xml:space="preserve">, </w:t>
      </w:r>
      <w:r w:rsidRPr="00736468">
        <w:rPr>
          <w:i/>
          <w:sz w:val="28"/>
          <w:szCs w:val="28"/>
        </w:rPr>
        <w:t xml:space="preserve">алгоритмы диагностики одонтогенного сепсиса </w:t>
      </w:r>
      <w:r>
        <w:rPr>
          <w:sz w:val="28"/>
          <w:szCs w:val="28"/>
        </w:rPr>
        <w:t xml:space="preserve">(1 и 2), </w:t>
      </w:r>
      <w:r w:rsidRPr="009008E9">
        <w:rPr>
          <w:sz w:val="28"/>
          <w:szCs w:val="28"/>
        </w:rPr>
        <w:t xml:space="preserve">эффективность которого в целом, а </w:t>
      </w:r>
      <w:r>
        <w:rPr>
          <w:sz w:val="28"/>
          <w:szCs w:val="28"/>
        </w:rPr>
        <w:t>также</w:t>
      </w:r>
      <w:r w:rsidRPr="009008E9">
        <w:rPr>
          <w:sz w:val="28"/>
          <w:szCs w:val="28"/>
        </w:rPr>
        <w:t xml:space="preserve"> эффективность отдельных его блоков определена с применением онлайн-калькулятора «</w:t>
      </w:r>
      <w:r w:rsidRPr="009008E9">
        <w:rPr>
          <w:sz w:val="28"/>
          <w:szCs w:val="28"/>
          <w:lang w:val="en-US"/>
        </w:rPr>
        <w:t>MEDCALC</w:t>
      </w:r>
      <w:r w:rsidRPr="009008E9">
        <w:rPr>
          <w:sz w:val="28"/>
          <w:szCs w:val="28"/>
        </w:rPr>
        <w:t>» (</w:t>
      </w:r>
      <w:r w:rsidRPr="009008E9">
        <w:rPr>
          <w:sz w:val="28"/>
          <w:szCs w:val="28"/>
          <w:lang w:val="en-US"/>
        </w:rPr>
        <w:t>Se</w:t>
      </w:r>
      <w:r w:rsidRPr="009008E9">
        <w:rPr>
          <w:sz w:val="28"/>
          <w:szCs w:val="28"/>
        </w:rPr>
        <w:t xml:space="preserve">, </w:t>
      </w:r>
      <w:r w:rsidRPr="009008E9">
        <w:rPr>
          <w:sz w:val="28"/>
          <w:szCs w:val="28"/>
          <w:lang w:val="en-US"/>
        </w:rPr>
        <w:t>Sp</w:t>
      </w:r>
      <w:r w:rsidRPr="009008E9">
        <w:rPr>
          <w:sz w:val="28"/>
          <w:szCs w:val="28"/>
        </w:rPr>
        <w:t xml:space="preserve">, </w:t>
      </w:r>
      <w:r w:rsidRPr="009008E9">
        <w:rPr>
          <w:sz w:val="28"/>
          <w:szCs w:val="28"/>
          <w:lang w:val="en-US"/>
        </w:rPr>
        <w:t>Ac</w:t>
      </w:r>
      <w:r w:rsidRPr="009008E9">
        <w:rPr>
          <w:sz w:val="28"/>
          <w:szCs w:val="28"/>
        </w:rPr>
        <w:t xml:space="preserve">, </w:t>
      </w:r>
      <w:r w:rsidRPr="009008E9">
        <w:rPr>
          <w:sz w:val="28"/>
          <w:szCs w:val="28"/>
          <w:lang w:val="en-US"/>
        </w:rPr>
        <w:t>PPV</w:t>
      </w:r>
      <w:r w:rsidRPr="009008E9">
        <w:rPr>
          <w:sz w:val="28"/>
          <w:szCs w:val="28"/>
        </w:rPr>
        <w:t xml:space="preserve">, </w:t>
      </w:r>
      <w:r w:rsidRPr="009008E9">
        <w:rPr>
          <w:sz w:val="28"/>
          <w:szCs w:val="28"/>
          <w:lang w:val="en-US"/>
        </w:rPr>
        <w:t>NPV</w:t>
      </w:r>
      <w:r w:rsidRPr="009008E9">
        <w:rPr>
          <w:sz w:val="28"/>
          <w:szCs w:val="28"/>
        </w:rPr>
        <w:t xml:space="preserve">) на основании ретроспективной оценки клинико-лабораторных данных 85 пациентов с МФОИ и ОС, обследованных в рамках </w:t>
      </w:r>
      <w:r w:rsidRPr="009008E9">
        <w:rPr>
          <w:sz w:val="28"/>
          <w:szCs w:val="28"/>
          <w:lang w:val="en-US"/>
        </w:rPr>
        <w:t>III</w:t>
      </w:r>
      <w:r w:rsidRPr="009008E9">
        <w:rPr>
          <w:sz w:val="28"/>
          <w:szCs w:val="28"/>
        </w:rPr>
        <w:t xml:space="preserve"> блока исследований (см. выше).</w:t>
      </w:r>
    </w:p>
    <w:p w:rsidR="00286780" w:rsidRPr="009008E9" w:rsidRDefault="00286780" w:rsidP="00BD2F93">
      <w:pPr>
        <w:spacing w:line="360" w:lineRule="auto"/>
        <w:ind w:firstLine="709"/>
        <w:jc w:val="both"/>
        <w:rPr>
          <w:sz w:val="28"/>
          <w:szCs w:val="28"/>
        </w:rPr>
      </w:pPr>
      <w:r w:rsidRPr="009008E9">
        <w:rPr>
          <w:sz w:val="28"/>
          <w:szCs w:val="28"/>
        </w:rPr>
        <w:lastRenderedPageBreak/>
        <w:t xml:space="preserve">Практическая эффективность применения </w:t>
      </w:r>
      <w:r w:rsidRPr="009008E9">
        <w:rPr>
          <w:i/>
          <w:sz w:val="28"/>
          <w:szCs w:val="28"/>
        </w:rPr>
        <w:t>алгор</w:t>
      </w:r>
      <w:r>
        <w:rPr>
          <w:i/>
          <w:sz w:val="28"/>
          <w:szCs w:val="28"/>
        </w:rPr>
        <w:t>итма</w:t>
      </w:r>
      <w:r w:rsidRPr="009008E9">
        <w:rPr>
          <w:i/>
          <w:sz w:val="28"/>
          <w:szCs w:val="28"/>
        </w:rPr>
        <w:t xml:space="preserve"> ранней диагностики одонтогенного сепсиса </w:t>
      </w:r>
      <w:r w:rsidRPr="009008E9">
        <w:rPr>
          <w:sz w:val="28"/>
          <w:szCs w:val="28"/>
        </w:rPr>
        <w:t xml:space="preserve">оценивается на примере </w:t>
      </w:r>
      <w:r w:rsidRPr="009008E9">
        <w:rPr>
          <w:i/>
          <w:sz w:val="28"/>
          <w:szCs w:val="28"/>
        </w:rPr>
        <w:t>основной</w:t>
      </w:r>
      <w:r w:rsidRPr="009008E9">
        <w:rPr>
          <w:sz w:val="28"/>
          <w:szCs w:val="28"/>
        </w:rPr>
        <w:t xml:space="preserve"> группы пациентов с одонтогенными воспалительными процессами в сравнении с </w:t>
      </w:r>
      <w:r w:rsidRPr="009008E9">
        <w:rPr>
          <w:i/>
          <w:sz w:val="28"/>
          <w:szCs w:val="28"/>
        </w:rPr>
        <w:t>контрольной</w:t>
      </w:r>
      <w:r w:rsidRPr="009008E9">
        <w:rPr>
          <w:sz w:val="28"/>
          <w:szCs w:val="28"/>
        </w:rPr>
        <w:t xml:space="preserve"> группой (см. ниже). Критерием оценки эффективности применения является так называемая </w:t>
      </w:r>
      <w:r w:rsidRPr="009008E9">
        <w:rPr>
          <w:i/>
          <w:sz w:val="28"/>
          <w:szCs w:val="28"/>
        </w:rPr>
        <w:t>эффективность ранней диагностики основного заболевания</w:t>
      </w:r>
      <w:r>
        <w:rPr>
          <w:sz w:val="28"/>
          <w:szCs w:val="28"/>
        </w:rPr>
        <w:t xml:space="preserve"> (</w:t>
      </w:r>
      <w:r w:rsidRPr="00672E47">
        <w:rPr>
          <w:sz w:val="28"/>
          <w:szCs w:val="28"/>
        </w:rPr>
        <w:t>Губин М.А., 1987; Харитонов Ю.М., 1999; Будаев А.П., 2001</w:t>
      </w:r>
      <w:r>
        <w:rPr>
          <w:sz w:val="28"/>
          <w:szCs w:val="28"/>
        </w:rPr>
        <w:t>)</w:t>
      </w:r>
      <w:r w:rsidRPr="009008E9">
        <w:rPr>
          <w:sz w:val="28"/>
          <w:szCs w:val="28"/>
        </w:rPr>
        <w:t xml:space="preserve">, т. е. </w:t>
      </w:r>
      <w:r>
        <w:rPr>
          <w:sz w:val="28"/>
          <w:szCs w:val="28"/>
        </w:rPr>
        <w:t xml:space="preserve">процент </w:t>
      </w:r>
      <w:r w:rsidRPr="009008E9">
        <w:rPr>
          <w:sz w:val="28"/>
          <w:szCs w:val="28"/>
        </w:rPr>
        <w:t>правильно установленных диагнозов по основному патологическому процессу (МФОИ или ОС, локализация, распространенность воспалительного очага) при поступлении в стационар (документированный «диагноз при поступлении» на титульном листе соответствующей истории болезни).</w:t>
      </w:r>
    </w:p>
    <w:p w:rsidR="00286780" w:rsidRPr="009008E9" w:rsidRDefault="00286780" w:rsidP="00BD2F93">
      <w:pPr>
        <w:spacing w:line="360" w:lineRule="auto"/>
        <w:ind w:firstLine="709"/>
        <w:jc w:val="both"/>
        <w:rPr>
          <w:sz w:val="28"/>
          <w:szCs w:val="28"/>
        </w:rPr>
      </w:pPr>
      <w:r w:rsidRPr="009008E9">
        <w:rPr>
          <w:sz w:val="28"/>
          <w:szCs w:val="28"/>
        </w:rPr>
        <w:t xml:space="preserve">Разработана </w:t>
      </w:r>
      <w:r w:rsidRPr="009008E9">
        <w:rPr>
          <w:i/>
          <w:sz w:val="28"/>
          <w:szCs w:val="28"/>
        </w:rPr>
        <w:t>программа комплексного многокомпонентного</w:t>
      </w:r>
      <w:r w:rsidRPr="009008E9">
        <w:rPr>
          <w:sz w:val="28"/>
          <w:szCs w:val="28"/>
        </w:rPr>
        <w:t xml:space="preserve"> лечения пациентов с хирургическими осложнениями острой одонтогенной инфекции (МФОИ и ОС), фоновой по</w:t>
      </w:r>
      <w:r>
        <w:rPr>
          <w:sz w:val="28"/>
          <w:szCs w:val="28"/>
        </w:rPr>
        <w:t>лиорганной патологией</w:t>
      </w:r>
      <w:r w:rsidRPr="009008E9">
        <w:rPr>
          <w:sz w:val="28"/>
          <w:szCs w:val="28"/>
        </w:rPr>
        <w:t>.</w:t>
      </w:r>
    </w:p>
    <w:p w:rsidR="00286780" w:rsidRPr="009008E9" w:rsidRDefault="00286780" w:rsidP="00BD2F93">
      <w:pPr>
        <w:spacing w:line="360" w:lineRule="auto"/>
        <w:ind w:firstLine="709"/>
        <w:jc w:val="both"/>
        <w:rPr>
          <w:sz w:val="28"/>
          <w:szCs w:val="28"/>
        </w:rPr>
      </w:pPr>
      <w:r w:rsidRPr="00BC4677">
        <w:rPr>
          <w:sz w:val="28"/>
          <w:szCs w:val="28"/>
        </w:rPr>
        <w:t xml:space="preserve">Оценка эффективности разработанных </w:t>
      </w:r>
      <w:r>
        <w:rPr>
          <w:i/>
          <w:sz w:val="28"/>
          <w:szCs w:val="28"/>
        </w:rPr>
        <w:t>алгоритмов</w:t>
      </w:r>
      <w:r w:rsidRPr="00BC4677">
        <w:rPr>
          <w:i/>
          <w:sz w:val="28"/>
          <w:szCs w:val="28"/>
        </w:rPr>
        <w:t xml:space="preserve"> обследования</w:t>
      </w:r>
      <w:r w:rsidRPr="00BC4677">
        <w:rPr>
          <w:sz w:val="28"/>
          <w:szCs w:val="28"/>
        </w:rPr>
        <w:t xml:space="preserve"> и </w:t>
      </w:r>
      <w:r w:rsidRPr="00BC4677">
        <w:rPr>
          <w:i/>
          <w:sz w:val="28"/>
          <w:szCs w:val="28"/>
        </w:rPr>
        <w:t>программы комплексного многокомпонентного лечения</w:t>
      </w:r>
      <w:r w:rsidRPr="00BC4677">
        <w:rPr>
          <w:sz w:val="28"/>
          <w:szCs w:val="28"/>
        </w:rPr>
        <w:t xml:space="preserve"> выполнена </w:t>
      </w:r>
      <w:r>
        <w:rPr>
          <w:sz w:val="28"/>
          <w:szCs w:val="28"/>
        </w:rPr>
        <w:t>с использованием</w:t>
      </w:r>
      <w:r w:rsidRPr="00BC4677">
        <w:rPr>
          <w:sz w:val="28"/>
          <w:szCs w:val="28"/>
        </w:rPr>
        <w:t xml:space="preserve"> результатов диагностики и лечения пациентов отделения челюстно-лицевой хирургии Курской областной клинической больницы (2012–2020 гг.); простое слепое рандомизированное </w:t>
      </w:r>
      <w:r>
        <w:rPr>
          <w:sz w:val="28"/>
          <w:szCs w:val="28"/>
        </w:rPr>
        <w:t>исследование</w:t>
      </w:r>
      <w:r w:rsidRPr="009008E9">
        <w:rPr>
          <w:sz w:val="28"/>
          <w:szCs w:val="28"/>
        </w:rPr>
        <w:t>.</w:t>
      </w:r>
    </w:p>
    <w:p w:rsidR="00286780" w:rsidRPr="009008E9" w:rsidRDefault="00286780" w:rsidP="00BD2F93">
      <w:pPr>
        <w:spacing w:line="360" w:lineRule="auto"/>
        <w:ind w:firstLine="709"/>
        <w:jc w:val="both"/>
        <w:rPr>
          <w:sz w:val="28"/>
          <w:szCs w:val="28"/>
        </w:rPr>
      </w:pPr>
      <w:r w:rsidRPr="009008E9">
        <w:rPr>
          <w:sz w:val="28"/>
          <w:szCs w:val="28"/>
        </w:rPr>
        <w:t>Критерии включения: одонтогенный воспалительный процесс (МФОИ и ОС), полиморбидная полиорганная патология.</w:t>
      </w:r>
    </w:p>
    <w:p w:rsidR="00286780" w:rsidRPr="009008E9" w:rsidRDefault="00286780" w:rsidP="00BD2F93">
      <w:pPr>
        <w:spacing w:line="360" w:lineRule="auto"/>
        <w:ind w:firstLine="709"/>
        <w:jc w:val="both"/>
        <w:rPr>
          <w:sz w:val="28"/>
          <w:szCs w:val="28"/>
        </w:rPr>
      </w:pPr>
      <w:r w:rsidRPr="009008E9">
        <w:rPr>
          <w:sz w:val="28"/>
          <w:szCs w:val="28"/>
        </w:rPr>
        <w:t>Критерии исключения: неодонтогенные воспалительные процессы, отсутствие полиморбидной полиорганной патологии.</w:t>
      </w:r>
    </w:p>
    <w:p w:rsidR="00286780" w:rsidRPr="009008E9" w:rsidRDefault="00286780" w:rsidP="00BD2F93">
      <w:pPr>
        <w:spacing w:line="360" w:lineRule="auto"/>
        <w:ind w:firstLine="709"/>
        <w:jc w:val="both"/>
        <w:rPr>
          <w:sz w:val="28"/>
          <w:szCs w:val="28"/>
        </w:rPr>
      </w:pPr>
      <w:r w:rsidRPr="009008E9">
        <w:rPr>
          <w:sz w:val="28"/>
          <w:szCs w:val="28"/>
        </w:rPr>
        <w:t>Пациенты с хирургическими осложнениями острой одонтогенной инфекции (МФОИ и ОС) и фон</w:t>
      </w:r>
      <w:r>
        <w:rPr>
          <w:sz w:val="28"/>
          <w:szCs w:val="28"/>
        </w:rPr>
        <w:t>овой полиорганной патологией (82</w:t>
      </w:r>
      <w:r w:rsidRPr="009008E9">
        <w:rPr>
          <w:sz w:val="28"/>
          <w:szCs w:val="28"/>
        </w:rPr>
        <w:t>) в случайном (рандомном) порядке разделены на две группы (</w:t>
      </w:r>
      <w:r w:rsidRPr="009008E9">
        <w:rPr>
          <w:i/>
          <w:sz w:val="28"/>
          <w:szCs w:val="28"/>
        </w:rPr>
        <w:t>контрольную</w:t>
      </w:r>
      <w:r w:rsidRPr="009008E9">
        <w:rPr>
          <w:sz w:val="28"/>
          <w:szCs w:val="28"/>
        </w:rPr>
        <w:t xml:space="preserve"> и </w:t>
      </w:r>
      <w:r w:rsidRPr="009008E9">
        <w:rPr>
          <w:i/>
          <w:sz w:val="28"/>
          <w:szCs w:val="28"/>
        </w:rPr>
        <w:t>основную</w:t>
      </w:r>
      <w:r w:rsidRPr="009008E9">
        <w:rPr>
          <w:sz w:val="28"/>
          <w:szCs w:val="28"/>
        </w:rPr>
        <w:t>):</w:t>
      </w:r>
    </w:p>
    <w:p w:rsidR="00286780" w:rsidRPr="009008E9" w:rsidRDefault="00286780" w:rsidP="00BD2F93">
      <w:pPr>
        <w:spacing w:line="360" w:lineRule="auto"/>
        <w:ind w:firstLine="709"/>
        <w:jc w:val="both"/>
        <w:rPr>
          <w:sz w:val="28"/>
          <w:szCs w:val="28"/>
        </w:rPr>
      </w:pPr>
      <w:r w:rsidRPr="009008E9">
        <w:rPr>
          <w:sz w:val="28"/>
          <w:szCs w:val="28"/>
        </w:rPr>
        <w:t xml:space="preserve">1) </w:t>
      </w:r>
      <w:r w:rsidRPr="009008E9">
        <w:rPr>
          <w:i/>
          <w:sz w:val="28"/>
          <w:szCs w:val="28"/>
        </w:rPr>
        <w:t>контрольная</w:t>
      </w:r>
      <w:r w:rsidRPr="009008E9">
        <w:rPr>
          <w:sz w:val="28"/>
          <w:szCs w:val="28"/>
        </w:rPr>
        <w:t xml:space="preserve"> г</w:t>
      </w:r>
      <w:r>
        <w:rPr>
          <w:sz w:val="28"/>
          <w:szCs w:val="28"/>
        </w:rPr>
        <w:t>руппа – 42 пациента; мужчин – 22 (52,4%), 56,0±2,22 года</w:t>
      </w:r>
      <w:r w:rsidRPr="009008E9">
        <w:rPr>
          <w:sz w:val="28"/>
          <w:szCs w:val="28"/>
        </w:rPr>
        <w:t>; среднее количество вовлеченных в воспалительный процесс клетчаточных пространств и топографо-анатомических областей – 1[1;3]; МФОИ (</w:t>
      </w:r>
      <w:r w:rsidRPr="009008E9">
        <w:rPr>
          <w:sz w:val="28"/>
          <w:szCs w:val="28"/>
          <w:lang w:val="en-US"/>
        </w:rPr>
        <w:t>SOFA</w:t>
      </w:r>
      <w:r w:rsidR="000F3A55">
        <w:rPr>
          <w:sz w:val="28"/>
          <w:szCs w:val="28"/>
        </w:rPr>
        <w:t>&lt;2 баллов) – 32</w:t>
      </w:r>
      <w:r>
        <w:rPr>
          <w:sz w:val="28"/>
          <w:szCs w:val="28"/>
        </w:rPr>
        <w:t xml:space="preserve"> пациента (76,2</w:t>
      </w:r>
      <w:r w:rsidRPr="009008E9">
        <w:rPr>
          <w:sz w:val="28"/>
          <w:szCs w:val="28"/>
        </w:rPr>
        <w:t>%), ОС (</w:t>
      </w:r>
      <w:r w:rsidRPr="009008E9">
        <w:rPr>
          <w:sz w:val="28"/>
          <w:szCs w:val="28"/>
          <w:lang w:val="en-US"/>
        </w:rPr>
        <w:t>SOFA</w:t>
      </w:r>
      <w:r w:rsidRPr="009008E9">
        <w:rPr>
          <w:sz w:val="28"/>
          <w:szCs w:val="28"/>
        </w:rPr>
        <w:t>≥2</w:t>
      </w:r>
      <w:r>
        <w:rPr>
          <w:sz w:val="28"/>
          <w:szCs w:val="28"/>
        </w:rPr>
        <w:t> балла) – 10 пациентов (23,8</w:t>
      </w:r>
      <w:r w:rsidRPr="009008E9">
        <w:rPr>
          <w:sz w:val="28"/>
          <w:szCs w:val="28"/>
        </w:rPr>
        <w:t>%);</w:t>
      </w:r>
    </w:p>
    <w:p w:rsidR="00286780" w:rsidRPr="009008E9" w:rsidRDefault="00286780" w:rsidP="00BD2F93">
      <w:pPr>
        <w:spacing w:line="360" w:lineRule="auto"/>
        <w:ind w:firstLine="709"/>
        <w:jc w:val="both"/>
        <w:rPr>
          <w:sz w:val="28"/>
          <w:szCs w:val="28"/>
        </w:rPr>
      </w:pPr>
      <w:r w:rsidRPr="009008E9">
        <w:rPr>
          <w:sz w:val="28"/>
          <w:szCs w:val="28"/>
        </w:rPr>
        <w:lastRenderedPageBreak/>
        <w:t xml:space="preserve">2) </w:t>
      </w:r>
      <w:r w:rsidRPr="009008E9">
        <w:rPr>
          <w:i/>
          <w:sz w:val="28"/>
          <w:szCs w:val="28"/>
        </w:rPr>
        <w:t>основная</w:t>
      </w:r>
      <w:r>
        <w:rPr>
          <w:sz w:val="28"/>
          <w:szCs w:val="28"/>
        </w:rPr>
        <w:t xml:space="preserve"> группа – 40 пациентов; мужчин – 20 (50%), женщин – 20 (50%), средний возраст 60,3±2,1</w:t>
      </w:r>
      <w:r w:rsidRPr="009008E9">
        <w:rPr>
          <w:sz w:val="28"/>
          <w:szCs w:val="28"/>
        </w:rPr>
        <w:t xml:space="preserve"> года; среднее количество вовлеченных в воспалительный процесс клетчаточных пространств и топографо-анатомических областей – 1[1;2]; МФОИ (</w:t>
      </w:r>
      <w:r w:rsidRPr="009008E9">
        <w:rPr>
          <w:sz w:val="28"/>
          <w:szCs w:val="28"/>
          <w:lang w:val="en-US"/>
        </w:rPr>
        <w:t>SOFA</w:t>
      </w:r>
      <w:r>
        <w:rPr>
          <w:sz w:val="28"/>
          <w:szCs w:val="28"/>
        </w:rPr>
        <w:t>&lt;2 баллов) – 31</w:t>
      </w:r>
      <w:r w:rsidRPr="009008E9">
        <w:rPr>
          <w:sz w:val="28"/>
          <w:szCs w:val="28"/>
        </w:rPr>
        <w:t xml:space="preserve"> пациент</w:t>
      </w:r>
      <w:r>
        <w:rPr>
          <w:sz w:val="28"/>
          <w:szCs w:val="28"/>
        </w:rPr>
        <w:t xml:space="preserve"> (77,5</w:t>
      </w:r>
      <w:r w:rsidRPr="009008E9">
        <w:rPr>
          <w:sz w:val="28"/>
          <w:szCs w:val="28"/>
        </w:rPr>
        <w:t>%), ОС (</w:t>
      </w:r>
      <w:r w:rsidRPr="009008E9">
        <w:rPr>
          <w:sz w:val="28"/>
          <w:szCs w:val="28"/>
          <w:lang w:val="en-US"/>
        </w:rPr>
        <w:t>SOFA</w:t>
      </w:r>
      <w:r w:rsidRPr="009008E9">
        <w:rPr>
          <w:sz w:val="28"/>
          <w:szCs w:val="28"/>
        </w:rPr>
        <w:t xml:space="preserve">≥2 балла) – </w:t>
      </w:r>
      <w:r>
        <w:rPr>
          <w:sz w:val="28"/>
          <w:szCs w:val="28"/>
        </w:rPr>
        <w:t>девять</w:t>
      </w:r>
      <w:r w:rsidRPr="009008E9">
        <w:rPr>
          <w:sz w:val="28"/>
          <w:szCs w:val="28"/>
        </w:rPr>
        <w:t xml:space="preserve"> па</w:t>
      </w:r>
      <w:r>
        <w:rPr>
          <w:sz w:val="28"/>
          <w:szCs w:val="28"/>
        </w:rPr>
        <w:t>циентов (22,5</w:t>
      </w:r>
      <w:r w:rsidRPr="009008E9">
        <w:rPr>
          <w:sz w:val="28"/>
          <w:szCs w:val="28"/>
        </w:rPr>
        <w:t>%).</w:t>
      </w:r>
    </w:p>
    <w:p w:rsidR="00286780" w:rsidRPr="009008E9" w:rsidRDefault="00286780" w:rsidP="00BD2F93">
      <w:pPr>
        <w:spacing w:line="360" w:lineRule="auto"/>
        <w:ind w:firstLine="709"/>
        <w:jc w:val="both"/>
        <w:rPr>
          <w:sz w:val="28"/>
          <w:szCs w:val="28"/>
        </w:rPr>
      </w:pPr>
      <w:r w:rsidRPr="009008E9">
        <w:rPr>
          <w:sz w:val="28"/>
          <w:szCs w:val="28"/>
        </w:rPr>
        <w:t>Сравниваемые группы сопоставимы по возрастно-половым и антропометрическим характеристикам, форме (абсцесс, флегмона, МФОИ и ОС), распространенности (количество вовлеченных клетчаточных пространств) основного одонтогенного воспалительного процесса, локализации одонтогенного воспалительного процесса, нозологической структуре и степени тяжести фоновой полиорганной патологии (</w:t>
      </w:r>
      <w:r w:rsidRPr="009008E9">
        <w:rPr>
          <w:sz w:val="28"/>
          <w:szCs w:val="28"/>
          <w:lang w:val="en-US"/>
        </w:rPr>
        <w:t>p</w:t>
      </w:r>
      <w:r>
        <w:rPr>
          <w:sz w:val="28"/>
          <w:szCs w:val="28"/>
        </w:rPr>
        <w:t>&gt;</w:t>
      </w:r>
      <w:r w:rsidRPr="009008E9">
        <w:rPr>
          <w:sz w:val="28"/>
          <w:szCs w:val="28"/>
        </w:rPr>
        <w:t>0,05).</w:t>
      </w:r>
    </w:p>
    <w:p w:rsidR="00286780" w:rsidRPr="009008E9" w:rsidRDefault="00286780" w:rsidP="00BD2F93">
      <w:pPr>
        <w:spacing w:line="360" w:lineRule="auto"/>
        <w:ind w:firstLine="709"/>
        <w:jc w:val="both"/>
        <w:rPr>
          <w:sz w:val="28"/>
          <w:szCs w:val="28"/>
        </w:rPr>
      </w:pPr>
      <w:r w:rsidRPr="009008E9">
        <w:rPr>
          <w:sz w:val="28"/>
          <w:szCs w:val="28"/>
        </w:rPr>
        <w:t>Сравниваемые группы различаются методами диагностики ОС, методами лечения пациентов с ОС и МФОИ (см. ниже).</w:t>
      </w:r>
    </w:p>
    <w:p w:rsidR="00286780" w:rsidRPr="009008E9" w:rsidRDefault="00286780" w:rsidP="00BD2F93">
      <w:pPr>
        <w:spacing w:line="360" w:lineRule="auto"/>
        <w:ind w:firstLine="709"/>
        <w:jc w:val="both"/>
        <w:rPr>
          <w:sz w:val="28"/>
          <w:szCs w:val="28"/>
        </w:rPr>
      </w:pPr>
      <w:r w:rsidRPr="009008E9">
        <w:rPr>
          <w:sz w:val="28"/>
          <w:szCs w:val="28"/>
        </w:rPr>
        <w:t xml:space="preserve">В </w:t>
      </w:r>
      <w:r w:rsidRPr="009008E9">
        <w:rPr>
          <w:i/>
          <w:sz w:val="28"/>
          <w:szCs w:val="28"/>
        </w:rPr>
        <w:t>контрольной</w:t>
      </w:r>
      <w:r w:rsidRPr="009008E9">
        <w:rPr>
          <w:sz w:val="28"/>
          <w:szCs w:val="28"/>
        </w:rPr>
        <w:t xml:space="preserve"> группе диагностика одонтогенного сепсиса осуществлялась с применением критериев</w:t>
      </w:r>
      <w:r>
        <w:rPr>
          <w:sz w:val="28"/>
          <w:szCs w:val="28"/>
        </w:rPr>
        <w:t xml:space="preserve"> </w:t>
      </w:r>
      <w:r w:rsidRPr="00AC516B">
        <w:rPr>
          <w:sz w:val="28"/>
          <w:szCs w:val="28"/>
        </w:rPr>
        <w:t>Европейского общества медицины критических состояний и Общества медицины критических состояний (</w:t>
      </w:r>
      <w:r w:rsidRPr="00AC516B">
        <w:rPr>
          <w:sz w:val="28"/>
          <w:szCs w:val="28"/>
          <w:lang w:val="en-US"/>
        </w:rPr>
        <w:t>SCCM</w:t>
      </w:r>
      <w:r w:rsidRPr="00AC516B">
        <w:rPr>
          <w:sz w:val="28"/>
          <w:szCs w:val="28"/>
        </w:rPr>
        <w:t>/</w:t>
      </w:r>
      <w:r w:rsidRPr="00AC516B">
        <w:rPr>
          <w:sz w:val="28"/>
          <w:szCs w:val="28"/>
          <w:lang w:val="en-US"/>
        </w:rPr>
        <w:t>ESICM</w:t>
      </w:r>
      <w:r w:rsidRPr="00AC516B">
        <w:rPr>
          <w:sz w:val="28"/>
          <w:szCs w:val="28"/>
        </w:rPr>
        <w:t>) «Сепсис-3»</w:t>
      </w:r>
      <w:r w:rsidRPr="009008E9">
        <w:rPr>
          <w:sz w:val="28"/>
          <w:szCs w:val="28"/>
        </w:rPr>
        <w:t xml:space="preserve">, к категории «сепсис» отнесены пациенты с диагностированной органной недостаточностью, определяемой с использованием дифференциально-диагностической шкалы </w:t>
      </w:r>
      <w:r w:rsidRPr="009008E9">
        <w:rPr>
          <w:sz w:val="28"/>
          <w:szCs w:val="28"/>
          <w:lang w:val="en-US"/>
        </w:rPr>
        <w:t>SOFA</w:t>
      </w:r>
      <w:r>
        <w:rPr>
          <w:sz w:val="28"/>
          <w:szCs w:val="28"/>
        </w:rPr>
        <w:t xml:space="preserve"> (≥</w:t>
      </w:r>
      <w:r w:rsidRPr="009008E9">
        <w:rPr>
          <w:sz w:val="28"/>
          <w:szCs w:val="28"/>
        </w:rPr>
        <w:t>2 балла).</w:t>
      </w:r>
    </w:p>
    <w:p w:rsidR="00286780" w:rsidRPr="009008E9" w:rsidRDefault="00286780" w:rsidP="00BD2F93">
      <w:pPr>
        <w:spacing w:line="360" w:lineRule="auto"/>
        <w:ind w:firstLine="709"/>
        <w:jc w:val="both"/>
        <w:rPr>
          <w:i/>
          <w:sz w:val="28"/>
          <w:szCs w:val="28"/>
        </w:rPr>
      </w:pPr>
      <w:r w:rsidRPr="009008E9">
        <w:rPr>
          <w:sz w:val="28"/>
          <w:szCs w:val="28"/>
        </w:rPr>
        <w:t xml:space="preserve">В </w:t>
      </w:r>
      <w:r w:rsidRPr="009008E9">
        <w:rPr>
          <w:i/>
          <w:sz w:val="28"/>
          <w:szCs w:val="28"/>
        </w:rPr>
        <w:t>основной</w:t>
      </w:r>
      <w:r w:rsidRPr="009008E9">
        <w:rPr>
          <w:sz w:val="28"/>
          <w:szCs w:val="28"/>
        </w:rPr>
        <w:t xml:space="preserve"> группе диагностика одонтогенного сепсиса осуществлялась</w:t>
      </w:r>
      <w:r>
        <w:rPr>
          <w:sz w:val="28"/>
          <w:szCs w:val="28"/>
        </w:rPr>
        <w:t xml:space="preserve"> с использованием разработанного</w:t>
      </w:r>
      <w:r w:rsidRPr="009008E9">
        <w:rPr>
          <w:i/>
          <w:sz w:val="28"/>
          <w:szCs w:val="28"/>
        </w:rPr>
        <w:t>алгоритма ранней диагностики одонтогенного сепсиса</w:t>
      </w:r>
      <w:r>
        <w:rPr>
          <w:i/>
          <w:sz w:val="28"/>
          <w:szCs w:val="28"/>
        </w:rPr>
        <w:t xml:space="preserve"> и разработанных алгоритмов диагностики одонтогенного сепсиса</w:t>
      </w:r>
      <w:r w:rsidRPr="009008E9">
        <w:rPr>
          <w:i/>
          <w:sz w:val="28"/>
          <w:szCs w:val="28"/>
        </w:rPr>
        <w:t>.</w:t>
      </w:r>
    </w:p>
    <w:p w:rsidR="00286780" w:rsidRPr="009008E9" w:rsidRDefault="00286780" w:rsidP="00BD2F93">
      <w:pPr>
        <w:spacing w:line="360" w:lineRule="auto"/>
        <w:ind w:firstLine="709"/>
        <w:jc w:val="both"/>
        <w:rPr>
          <w:sz w:val="28"/>
          <w:szCs w:val="28"/>
        </w:rPr>
      </w:pPr>
      <w:r w:rsidRPr="009008E9">
        <w:rPr>
          <w:sz w:val="28"/>
          <w:szCs w:val="28"/>
        </w:rPr>
        <w:t>В контрольной группе лечение МФОИ и ОС при наличии фоновой полиорганной патологии и синдрома взаимного отягощения проводилось «традиционными» методами, включающими предоперационную подготовку, оперативное вмешательство и последующее комплексное лечение (см. ниже).</w:t>
      </w:r>
    </w:p>
    <w:p w:rsidR="00286780" w:rsidRPr="009008E9" w:rsidRDefault="00286780" w:rsidP="00BD2F93">
      <w:pPr>
        <w:spacing w:line="360" w:lineRule="auto"/>
        <w:ind w:firstLine="709"/>
        <w:jc w:val="both"/>
        <w:rPr>
          <w:i/>
          <w:sz w:val="28"/>
          <w:szCs w:val="28"/>
        </w:rPr>
      </w:pPr>
      <w:r w:rsidRPr="009008E9">
        <w:rPr>
          <w:sz w:val="28"/>
          <w:szCs w:val="28"/>
        </w:rPr>
        <w:t xml:space="preserve">В основной группе лечение МФОИ и ОС проводилось с применением разработанной </w:t>
      </w:r>
      <w:r w:rsidRPr="009008E9">
        <w:rPr>
          <w:i/>
          <w:sz w:val="28"/>
          <w:szCs w:val="28"/>
        </w:rPr>
        <w:t>программы комплексного многокомпонентного лечения.</w:t>
      </w:r>
    </w:p>
    <w:p w:rsidR="00286780" w:rsidRDefault="00286780" w:rsidP="00BD2F93">
      <w:pPr>
        <w:spacing w:line="360" w:lineRule="auto"/>
        <w:ind w:firstLine="709"/>
        <w:jc w:val="both"/>
        <w:rPr>
          <w:sz w:val="28"/>
          <w:szCs w:val="28"/>
        </w:rPr>
      </w:pPr>
      <w:r w:rsidRPr="009008E9">
        <w:rPr>
          <w:sz w:val="28"/>
          <w:szCs w:val="28"/>
        </w:rPr>
        <w:lastRenderedPageBreak/>
        <w:t>Далее предоперационная подготовка и последующая антибиотикотерапия у больных контрольной группы рассмотрена для пациентов с МФОИ и пациентов с ОС раздельно.</w:t>
      </w:r>
    </w:p>
    <w:p w:rsidR="00286780" w:rsidRPr="009008E9" w:rsidRDefault="00286780" w:rsidP="00BD2F93">
      <w:pPr>
        <w:spacing w:line="360" w:lineRule="auto"/>
        <w:ind w:firstLine="709"/>
        <w:jc w:val="both"/>
        <w:rPr>
          <w:sz w:val="28"/>
          <w:szCs w:val="28"/>
        </w:rPr>
      </w:pPr>
      <w:r>
        <w:rPr>
          <w:sz w:val="28"/>
          <w:szCs w:val="28"/>
        </w:rPr>
        <w:t>Периоперационное ведение, оперативное лечение и последующая терапия пациентов контрольной группы</w:t>
      </w:r>
      <w:r w:rsidR="00F116AA">
        <w:rPr>
          <w:sz w:val="28"/>
          <w:szCs w:val="28"/>
        </w:rPr>
        <w:t xml:space="preserve"> с МФОИ и ОС выполнялась с учетом материалов профильных монографий</w:t>
      </w:r>
      <w:r w:rsidR="00B7185C">
        <w:rPr>
          <w:sz w:val="28"/>
          <w:szCs w:val="28"/>
        </w:rPr>
        <w:t>,</w:t>
      </w:r>
      <w:r w:rsidR="00F116AA">
        <w:rPr>
          <w:sz w:val="28"/>
          <w:szCs w:val="28"/>
        </w:rPr>
        <w:t xml:space="preserve"> пособий</w:t>
      </w:r>
      <w:r>
        <w:rPr>
          <w:sz w:val="28"/>
          <w:szCs w:val="28"/>
        </w:rPr>
        <w:t xml:space="preserve"> и к</w:t>
      </w:r>
      <w:r w:rsidR="00F116AA">
        <w:rPr>
          <w:sz w:val="28"/>
          <w:szCs w:val="28"/>
        </w:rPr>
        <w:t>линических рекомендаций</w:t>
      </w:r>
      <w:r>
        <w:rPr>
          <w:sz w:val="28"/>
          <w:szCs w:val="28"/>
        </w:rPr>
        <w:t xml:space="preserve"> (Харитонов Ю.М., 1999; Шаргородский А.Г., 2001; Завада Н.В. и др., 2003; Губин М.А., Харитонов Ю.</w:t>
      </w:r>
      <w:r w:rsidRPr="00C5336B">
        <w:rPr>
          <w:sz w:val="28"/>
          <w:szCs w:val="28"/>
        </w:rPr>
        <w:t>М., 2006</w:t>
      </w:r>
      <w:r>
        <w:rPr>
          <w:sz w:val="28"/>
          <w:szCs w:val="28"/>
        </w:rPr>
        <w:t>; Большаков О.</w:t>
      </w:r>
      <w:r w:rsidRPr="00C5336B">
        <w:rPr>
          <w:sz w:val="28"/>
          <w:szCs w:val="28"/>
        </w:rPr>
        <w:t>П</w:t>
      </w:r>
      <w:r>
        <w:rPr>
          <w:sz w:val="28"/>
          <w:szCs w:val="28"/>
        </w:rPr>
        <w:t>.</w:t>
      </w:r>
      <w:r w:rsidRPr="00C5336B">
        <w:rPr>
          <w:sz w:val="28"/>
          <w:szCs w:val="28"/>
        </w:rPr>
        <w:t>, 2001; Соловь</w:t>
      </w:r>
      <w:r>
        <w:rPr>
          <w:sz w:val="28"/>
          <w:szCs w:val="28"/>
        </w:rPr>
        <w:t>ев М.</w:t>
      </w:r>
      <w:r w:rsidRPr="00C5336B">
        <w:rPr>
          <w:sz w:val="28"/>
          <w:szCs w:val="28"/>
        </w:rPr>
        <w:t>М., Шаргородс</w:t>
      </w:r>
      <w:r>
        <w:rPr>
          <w:sz w:val="28"/>
          <w:szCs w:val="28"/>
        </w:rPr>
        <w:t>кий А.Г., 2001; Робустова Т.Г., 2003; Губин М.А. и др., 2011; Кулаков А.А. и соавт., 2015; Соловьев М.</w:t>
      </w:r>
      <w:r w:rsidRPr="00C5336B">
        <w:rPr>
          <w:sz w:val="28"/>
          <w:szCs w:val="28"/>
        </w:rPr>
        <w:t>М. и др., 2016</w:t>
      </w:r>
      <w:r>
        <w:rPr>
          <w:sz w:val="28"/>
          <w:szCs w:val="28"/>
        </w:rPr>
        <w:t>).</w:t>
      </w:r>
    </w:p>
    <w:p w:rsidR="00286780" w:rsidRPr="009008E9" w:rsidRDefault="00286780" w:rsidP="00BD2F93">
      <w:pPr>
        <w:spacing w:line="360" w:lineRule="auto"/>
        <w:ind w:firstLine="709"/>
        <w:jc w:val="both"/>
        <w:rPr>
          <w:sz w:val="28"/>
          <w:szCs w:val="28"/>
        </w:rPr>
      </w:pPr>
      <w:r w:rsidRPr="009008E9">
        <w:rPr>
          <w:sz w:val="28"/>
          <w:szCs w:val="28"/>
        </w:rPr>
        <w:t>Предоперационная подготовка у пациентов контрольной группы с ОС и фоновой полиорганной патологией (10 больных) осуществлялась с использованием:</w:t>
      </w:r>
    </w:p>
    <w:p w:rsidR="00286780" w:rsidRPr="009008E9" w:rsidRDefault="00286780" w:rsidP="00BD2F93">
      <w:pPr>
        <w:spacing w:line="360" w:lineRule="auto"/>
        <w:ind w:firstLine="709"/>
        <w:jc w:val="both"/>
        <w:rPr>
          <w:sz w:val="28"/>
          <w:szCs w:val="28"/>
        </w:rPr>
      </w:pPr>
      <w:r w:rsidRPr="009008E9">
        <w:rPr>
          <w:sz w:val="28"/>
          <w:szCs w:val="28"/>
        </w:rPr>
        <w:t>1) наркотического аналгетика промедола 2%-го и блокатора м-холинорецепторов атропина 0,1%-го – три пациента;</w:t>
      </w:r>
    </w:p>
    <w:p w:rsidR="00286780" w:rsidRPr="009008E9" w:rsidRDefault="00286780" w:rsidP="00BD2F93">
      <w:pPr>
        <w:spacing w:line="360" w:lineRule="auto"/>
        <w:ind w:firstLine="709"/>
        <w:jc w:val="both"/>
        <w:rPr>
          <w:sz w:val="28"/>
          <w:szCs w:val="28"/>
        </w:rPr>
      </w:pPr>
      <w:r w:rsidRPr="009008E9">
        <w:rPr>
          <w:sz w:val="28"/>
          <w:szCs w:val="28"/>
        </w:rPr>
        <w:t xml:space="preserve">2) антибактериальных средств (цефалоспорины </w:t>
      </w:r>
      <w:r w:rsidRPr="009008E9">
        <w:rPr>
          <w:sz w:val="28"/>
          <w:szCs w:val="28"/>
          <w:lang w:val="en-US"/>
        </w:rPr>
        <w:t>I</w:t>
      </w:r>
      <w:r w:rsidRPr="009008E9">
        <w:rPr>
          <w:sz w:val="28"/>
          <w:szCs w:val="28"/>
        </w:rPr>
        <w:t>–</w:t>
      </w:r>
      <w:r w:rsidRPr="009008E9">
        <w:rPr>
          <w:sz w:val="28"/>
          <w:szCs w:val="28"/>
          <w:lang w:val="en-US"/>
        </w:rPr>
        <w:t>III</w:t>
      </w:r>
      <w:r w:rsidRPr="009008E9">
        <w:rPr>
          <w:sz w:val="28"/>
          <w:szCs w:val="28"/>
        </w:rPr>
        <w:t xml:space="preserve"> поколений (цефазолин, цефотаксим, цефтриаксон), фторхинолоны </w:t>
      </w:r>
      <w:r w:rsidRPr="009008E9">
        <w:rPr>
          <w:sz w:val="28"/>
          <w:szCs w:val="28"/>
          <w:lang w:val="en-US"/>
        </w:rPr>
        <w:t>II</w:t>
      </w:r>
      <w:r w:rsidRPr="009008E9">
        <w:rPr>
          <w:sz w:val="28"/>
          <w:szCs w:val="28"/>
        </w:rPr>
        <w:t xml:space="preserve"> поколения (ципрофлоксацин), аминогликозиды </w:t>
      </w:r>
      <w:r w:rsidRPr="009008E9">
        <w:rPr>
          <w:sz w:val="28"/>
          <w:szCs w:val="28"/>
          <w:lang w:val="en-US"/>
        </w:rPr>
        <w:t>III</w:t>
      </w:r>
      <w:r w:rsidRPr="009008E9">
        <w:rPr>
          <w:sz w:val="28"/>
          <w:szCs w:val="28"/>
        </w:rPr>
        <w:t xml:space="preserve"> поколения (амикацин), ингибиторзащищенные пенициллины (амоксициллин/клавулановая кислота), в том числе с метронидазолом, в сочетании с инфузией кристаллоидных растворов (физиологический 0,9%-го </w:t>
      </w:r>
      <w:r w:rsidRPr="009008E9">
        <w:rPr>
          <w:sz w:val="28"/>
          <w:szCs w:val="28"/>
          <w:lang w:val="en-US"/>
        </w:rPr>
        <w:t>NaCl</w:t>
      </w:r>
      <w:r w:rsidRPr="009008E9">
        <w:rPr>
          <w:sz w:val="28"/>
          <w:szCs w:val="28"/>
        </w:rPr>
        <w:t>, раствор Рингера, 5%-го раствор глюкозы) в объеме до 800 мл – семь пациентов.</w:t>
      </w:r>
    </w:p>
    <w:p w:rsidR="00286780" w:rsidRPr="009008E9" w:rsidRDefault="00286780" w:rsidP="00BD2F93">
      <w:pPr>
        <w:spacing w:line="360" w:lineRule="auto"/>
        <w:ind w:firstLine="709"/>
        <w:jc w:val="both"/>
        <w:rPr>
          <w:sz w:val="28"/>
          <w:szCs w:val="28"/>
        </w:rPr>
      </w:pPr>
      <w:r w:rsidRPr="009008E9">
        <w:rPr>
          <w:sz w:val="28"/>
          <w:szCs w:val="28"/>
        </w:rPr>
        <w:t>У пациентов контрольной группы с ОС и сахарным диабетом (трое больных) инсулинотерапия в составе предоперационной подготовки не использовалась, несмотря на наличие выраженной гипергликемии более 15 ммоль/л.</w:t>
      </w:r>
    </w:p>
    <w:p w:rsidR="00286780" w:rsidRPr="009008E9" w:rsidRDefault="00286780" w:rsidP="00BD2F93">
      <w:pPr>
        <w:spacing w:line="360" w:lineRule="auto"/>
        <w:ind w:firstLine="709"/>
        <w:jc w:val="both"/>
        <w:rPr>
          <w:sz w:val="28"/>
          <w:szCs w:val="28"/>
        </w:rPr>
      </w:pPr>
      <w:r w:rsidRPr="009008E9">
        <w:rPr>
          <w:sz w:val="28"/>
          <w:szCs w:val="28"/>
        </w:rPr>
        <w:t>В целом, предоперационная подготовка пациентов контрольной группы с ОС и фоновой полиорганной патологией не соответствует современным представлениям оказания специализированной медицинской помощи больным с ОС и не учитывает наличие фоновой полиорганной патологии.</w:t>
      </w:r>
    </w:p>
    <w:p w:rsidR="00286780" w:rsidRPr="009008E9" w:rsidRDefault="00286780" w:rsidP="00BD2F93">
      <w:pPr>
        <w:spacing w:line="360" w:lineRule="auto"/>
        <w:ind w:firstLine="709"/>
        <w:jc w:val="both"/>
        <w:rPr>
          <w:sz w:val="28"/>
          <w:szCs w:val="28"/>
        </w:rPr>
      </w:pPr>
      <w:r w:rsidRPr="009008E9">
        <w:rPr>
          <w:sz w:val="28"/>
          <w:szCs w:val="28"/>
        </w:rPr>
        <w:t xml:space="preserve">Предоперационная подготовка у пациентов контрольной группы с МФОИ и фоновой полиорганной патологией заключалась в использовании наркотических аналгетиков (промедол 2%-й) или ненаркотических (анальгин 50%-й, кеторолака </w:t>
      </w:r>
      <w:r w:rsidRPr="009008E9">
        <w:rPr>
          <w:sz w:val="28"/>
          <w:szCs w:val="28"/>
        </w:rPr>
        <w:lastRenderedPageBreak/>
        <w:t>трометамин). В одном случае у пациента с МФОИ в предоперационном периоде развился гипертонический криз, потребовавший экстренной медикаментозной коррекции. У пациентов с МФОИ и сахарным диабетом (восемь больных) инсулинотерапия при поступлении в стационар в предоперационном периоде не применялась, несмотря на наличие гипергликемии более 10 ммоль/л.</w:t>
      </w:r>
    </w:p>
    <w:p w:rsidR="00286780" w:rsidRPr="009008E9" w:rsidRDefault="00286780" w:rsidP="00BD2F93">
      <w:pPr>
        <w:spacing w:line="360" w:lineRule="auto"/>
        <w:ind w:firstLine="709"/>
        <w:jc w:val="both"/>
        <w:rPr>
          <w:sz w:val="28"/>
          <w:szCs w:val="28"/>
        </w:rPr>
      </w:pPr>
      <w:r w:rsidRPr="009008E9">
        <w:rPr>
          <w:sz w:val="28"/>
          <w:szCs w:val="28"/>
        </w:rPr>
        <w:t xml:space="preserve">Оперативное вмешательство у пациентов с МФОИ и ОС осуществлялось «традиционным» способом: при наличии флегмоны дна полости рта – воротникообразный разрез кожи с пересечением передних брюшек двубрюшных мышц и рассечением челюстно-подъязычной мышцы, при наличии флегмоны подчелюстной области – разрез кожи параллельно краю нижней челюсти в поднижечелюстном треугольнике, при наличии гнойно-воспалительного процесса </w:t>
      </w:r>
      <w:r w:rsidRPr="009008E9">
        <w:rPr>
          <w:i/>
          <w:sz w:val="28"/>
          <w:szCs w:val="28"/>
        </w:rPr>
        <w:t>иных</w:t>
      </w:r>
      <w:r w:rsidRPr="009008E9">
        <w:rPr>
          <w:sz w:val="28"/>
          <w:szCs w:val="28"/>
        </w:rPr>
        <w:t xml:space="preserve"> областей и клетчаточных пространств – в соответствии с общепринятыми правилами. Разрез кожи и подкожной клетчатки в подчелюстной области производится по </w:t>
      </w:r>
      <w:r>
        <w:rPr>
          <w:sz w:val="28"/>
          <w:szCs w:val="28"/>
        </w:rPr>
        <w:t>"</w:t>
      </w:r>
      <w:r w:rsidRPr="009008E9">
        <w:rPr>
          <w:sz w:val="28"/>
          <w:szCs w:val="28"/>
        </w:rPr>
        <w:t>линии, соединяющей центр подбородка с точкой, расположенной на 2 см ниже вершины угла нижней челюсти на протяженность воспалительного инфильтрата</w:t>
      </w:r>
      <w:r>
        <w:rPr>
          <w:sz w:val="28"/>
          <w:szCs w:val="28"/>
        </w:rPr>
        <w:t>"</w:t>
      </w:r>
      <w:r w:rsidRPr="009008E9">
        <w:rPr>
          <w:sz w:val="28"/>
          <w:szCs w:val="28"/>
        </w:rPr>
        <w:t xml:space="preserve">. Рассекают подкожную мышцу шеи и отслаивают ее от подлежащих мягких тканей вместе с краевой ветвью лицевого нерва. Вскрывают капсулу поднижнечелюстной слюнной железы по её верхнему краю, рассекая поверхностный листок собственной фасции шеи. Перевязывают лицевую артерию и вену. Отводят поднижнечелюстную слюнную железу книзу, производят ревизию глубокого отдела поднижнечелюстного пространства, </w:t>
      </w:r>
      <w:r w:rsidRPr="009008E9">
        <w:rPr>
          <w:i/>
          <w:sz w:val="28"/>
          <w:szCs w:val="28"/>
        </w:rPr>
        <w:t>расслаивая клетчатку между железой и глубоким листком собственной фасции шеи</w:t>
      </w:r>
      <w:r w:rsidRPr="009008E9">
        <w:rPr>
          <w:sz w:val="28"/>
          <w:szCs w:val="28"/>
        </w:rPr>
        <w:t>, дренируя гнойный очаг. Пальцевая ревизия вовлеченных в воспалительный процесс клетчаточных пространств, частичная некрэктомия при наличии гнилостно-некротического процесса, последующее дренирование гнойных полостей двупросветными дрена</w:t>
      </w:r>
      <w:r>
        <w:rPr>
          <w:sz w:val="28"/>
          <w:szCs w:val="28"/>
        </w:rPr>
        <w:t xml:space="preserve">жами и тампонирование полостей </w:t>
      </w:r>
      <w:r w:rsidRPr="00177C18">
        <w:rPr>
          <w:sz w:val="28"/>
          <w:szCs w:val="28"/>
        </w:rPr>
        <w:t>(</w:t>
      </w:r>
      <w:r w:rsidRPr="009008E9">
        <w:rPr>
          <w:sz w:val="28"/>
          <w:szCs w:val="28"/>
        </w:rPr>
        <w:t xml:space="preserve">Соловьев М.М. и др., 2006; Робустова Т.Г. и др., 2003; </w:t>
      </w:r>
      <w:r w:rsidRPr="009008E9">
        <w:rPr>
          <w:sz w:val="28"/>
          <w:szCs w:val="28"/>
          <w:shd w:val="clear" w:color="auto" w:fill="FFFFFF"/>
          <w:lang w:val="en-US"/>
        </w:rPr>
        <w:t>ArijiY</w:t>
      </w:r>
      <w:r w:rsidRPr="009008E9">
        <w:rPr>
          <w:sz w:val="28"/>
          <w:szCs w:val="28"/>
          <w:shd w:val="clear" w:color="auto" w:fill="FFFFFF"/>
        </w:rPr>
        <w:t xml:space="preserve">. </w:t>
      </w:r>
      <w:r w:rsidR="00FE1CCF" w:rsidRPr="009008E9">
        <w:rPr>
          <w:sz w:val="28"/>
          <w:szCs w:val="28"/>
          <w:shd w:val="clear" w:color="auto" w:fill="FFFFFF"/>
          <w:lang w:val="en-US"/>
        </w:rPr>
        <w:t>E</w:t>
      </w:r>
      <w:r w:rsidR="00FE1CCF">
        <w:rPr>
          <w:sz w:val="28"/>
          <w:szCs w:val="28"/>
          <w:shd w:val="clear" w:color="auto" w:fill="FFFFFF"/>
          <w:lang w:val="en-US"/>
        </w:rPr>
        <w:t>t</w:t>
      </w:r>
      <w:r w:rsidR="00FE1CCF" w:rsidRPr="005E11A7">
        <w:rPr>
          <w:sz w:val="28"/>
          <w:szCs w:val="28"/>
          <w:shd w:val="clear" w:color="auto" w:fill="FFFFFF"/>
        </w:rPr>
        <w:t xml:space="preserve"> </w:t>
      </w:r>
      <w:r w:rsidRPr="009008E9">
        <w:rPr>
          <w:sz w:val="28"/>
          <w:szCs w:val="28"/>
          <w:shd w:val="clear" w:color="auto" w:fill="FFFFFF"/>
          <w:lang w:val="en-US"/>
        </w:rPr>
        <w:t>al</w:t>
      </w:r>
      <w:r w:rsidRPr="009008E9">
        <w:rPr>
          <w:sz w:val="28"/>
          <w:szCs w:val="28"/>
          <w:shd w:val="clear" w:color="auto" w:fill="FFFFFF"/>
        </w:rPr>
        <w:t>., 2002</w:t>
      </w:r>
      <w:r w:rsidRPr="00177C18">
        <w:rPr>
          <w:sz w:val="28"/>
          <w:szCs w:val="28"/>
          <w:shd w:val="clear" w:color="auto" w:fill="FFFFFF"/>
        </w:rPr>
        <w:t>)</w:t>
      </w:r>
      <w:r w:rsidRPr="00672E47">
        <w:rPr>
          <w:sz w:val="28"/>
          <w:szCs w:val="28"/>
          <w:shd w:val="clear" w:color="auto" w:fill="FFFFFF"/>
        </w:rPr>
        <w:t>.</w:t>
      </w:r>
      <w:r w:rsidRPr="009008E9">
        <w:rPr>
          <w:sz w:val="28"/>
          <w:szCs w:val="28"/>
        </w:rPr>
        <w:t xml:space="preserve"> Перевязки при наличии ОС осуществлялись 2-3 раза в сутки, у больных с МФОИ – один раз в сутки.</w:t>
      </w:r>
    </w:p>
    <w:p w:rsidR="00286780" w:rsidRDefault="00286780" w:rsidP="00BD2F93">
      <w:pPr>
        <w:spacing w:line="360" w:lineRule="auto"/>
        <w:ind w:firstLine="709"/>
        <w:jc w:val="both"/>
        <w:rPr>
          <w:sz w:val="28"/>
          <w:szCs w:val="28"/>
        </w:rPr>
      </w:pPr>
      <w:r w:rsidRPr="009008E9">
        <w:rPr>
          <w:sz w:val="28"/>
          <w:szCs w:val="28"/>
        </w:rPr>
        <w:t xml:space="preserve">Недостатками стандартного доступа являются отсутствие ревизии поднижнечелюстного пространства </w:t>
      </w:r>
      <w:r w:rsidRPr="009008E9">
        <w:rPr>
          <w:i/>
          <w:sz w:val="28"/>
          <w:szCs w:val="28"/>
        </w:rPr>
        <w:t>кзади и книзу от поднижнечелюстной слюнной желе</w:t>
      </w:r>
      <w:r w:rsidRPr="009008E9">
        <w:rPr>
          <w:i/>
          <w:sz w:val="28"/>
          <w:szCs w:val="28"/>
        </w:rPr>
        <w:lastRenderedPageBreak/>
        <w:t>зы</w:t>
      </w:r>
      <w:r w:rsidRPr="009008E9">
        <w:rPr>
          <w:sz w:val="28"/>
          <w:szCs w:val="28"/>
        </w:rPr>
        <w:t>, что</w:t>
      </w:r>
      <w:r>
        <w:rPr>
          <w:sz w:val="28"/>
          <w:szCs w:val="28"/>
        </w:rPr>
        <w:t>,</w:t>
      </w:r>
      <w:r w:rsidRPr="009008E9">
        <w:rPr>
          <w:sz w:val="28"/>
          <w:szCs w:val="28"/>
        </w:rPr>
        <w:t xml:space="preserve"> по нашему мнению</w:t>
      </w:r>
      <w:r>
        <w:rPr>
          <w:sz w:val="28"/>
          <w:szCs w:val="28"/>
        </w:rPr>
        <w:t>,</w:t>
      </w:r>
      <w:r w:rsidRPr="009008E9">
        <w:rPr>
          <w:sz w:val="28"/>
          <w:szCs w:val="28"/>
        </w:rPr>
        <w:t xml:space="preserve"> препятствует полноценной ревизии поднижнечелюстного пространства в заднем отделе, влияет негативно на отток раневого отделяемого, замедляет очищение послеоперационной раны.</w:t>
      </w:r>
    </w:p>
    <w:p w:rsidR="00286780" w:rsidRPr="009008E9" w:rsidRDefault="00286780" w:rsidP="00BD2F93">
      <w:pPr>
        <w:spacing w:line="360" w:lineRule="auto"/>
        <w:ind w:firstLine="709"/>
        <w:jc w:val="both"/>
        <w:rPr>
          <w:sz w:val="28"/>
          <w:szCs w:val="28"/>
        </w:rPr>
      </w:pPr>
      <w:r>
        <w:rPr>
          <w:sz w:val="28"/>
          <w:szCs w:val="28"/>
        </w:rPr>
        <w:t>При наличии верхнее-переднего медиастинита осуществлялась внеплевральная надгрудинная шейная медиастинотомия по В.И. Разумовскому, внеплевральная шейная боковая медиастинотомия при локализации в верхнее-боковых отделах средостения, а при поражении нижних отделов средостения – дополнительно проводилась внеплевральная нижняя трансабдоминальная медиастинотомия по Савиных (Ерюхин И.А. и соавт., 2006; Гостищев В.К., 2004).</w:t>
      </w:r>
    </w:p>
    <w:p w:rsidR="00286780" w:rsidRPr="009008E9" w:rsidRDefault="00286780" w:rsidP="00BD2F93">
      <w:pPr>
        <w:spacing w:line="360" w:lineRule="auto"/>
        <w:ind w:firstLine="709"/>
        <w:jc w:val="both"/>
        <w:rPr>
          <w:sz w:val="28"/>
          <w:szCs w:val="28"/>
        </w:rPr>
      </w:pPr>
      <w:r w:rsidRPr="009008E9">
        <w:rPr>
          <w:sz w:val="28"/>
          <w:szCs w:val="28"/>
        </w:rPr>
        <w:t>Послеоперационная антибиотикотерапия у пациентов контрольной группы с ОС и фоновой полиорганной патологией (10 больных):</w:t>
      </w:r>
    </w:p>
    <w:p w:rsidR="00286780" w:rsidRPr="009008E9" w:rsidRDefault="00286780" w:rsidP="00BD2F93">
      <w:pPr>
        <w:spacing w:line="360" w:lineRule="auto"/>
        <w:ind w:firstLine="709"/>
        <w:jc w:val="both"/>
        <w:rPr>
          <w:sz w:val="28"/>
          <w:szCs w:val="28"/>
        </w:rPr>
      </w:pPr>
      <w:r w:rsidRPr="009008E9">
        <w:rPr>
          <w:sz w:val="28"/>
          <w:szCs w:val="28"/>
        </w:rPr>
        <w:t>1) меропенем (в том числе в сочетании с ванкомицином/амикацином/метронидазолом) – два пациента;</w:t>
      </w:r>
    </w:p>
    <w:p w:rsidR="00286780" w:rsidRPr="009008E9" w:rsidRDefault="00286780" w:rsidP="00BD2F93">
      <w:pPr>
        <w:spacing w:line="360" w:lineRule="auto"/>
        <w:ind w:firstLine="709"/>
        <w:jc w:val="both"/>
        <w:rPr>
          <w:sz w:val="28"/>
          <w:szCs w:val="28"/>
        </w:rPr>
      </w:pPr>
      <w:r w:rsidRPr="009008E9">
        <w:rPr>
          <w:sz w:val="28"/>
          <w:szCs w:val="28"/>
        </w:rPr>
        <w:t xml:space="preserve">2) цефалоспорины </w:t>
      </w:r>
      <w:r w:rsidRPr="009008E9">
        <w:rPr>
          <w:sz w:val="28"/>
          <w:szCs w:val="28"/>
          <w:lang w:val="en-US"/>
        </w:rPr>
        <w:t>III</w:t>
      </w:r>
      <w:r w:rsidRPr="009008E9">
        <w:rPr>
          <w:sz w:val="28"/>
          <w:szCs w:val="28"/>
        </w:rPr>
        <w:t xml:space="preserve"> поколения (цефотаксим, цефтриаксон, цефоперазон/сульбактам, в том числе с амикацином/метронидазолом) – шесть пациентов;</w:t>
      </w:r>
    </w:p>
    <w:p w:rsidR="00286780" w:rsidRPr="009008E9" w:rsidRDefault="00286780" w:rsidP="00BD2F93">
      <w:pPr>
        <w:spacing w:line="360" w:lineRule="auto"/>
        <w:ind w:firstLine="709"/>
        <w:jc w:val="both"/>
        <w:rPr>
          <w:sz w:val="28"/>
          <w:szCs w:val="28"/>
        </w:rPr>
      </w:pPr>
      <w:r w:rsidRPr="009008E9">
        <w:rPr>
          <w:sz w:val="28"/>
          <w:szCs w:val="28"/>
        </w:rPr>
        <w:t xml:space="preserve">3) фторхинолоны </w:t>
      </w:r>
      <w:r w:rsidRPr="009008E9">
        <w:rPr>
          <w:sz w:val="28"/>
          <w:szCs w:val="28"/>
          <w:lang w:val="en-US"/>
        </w:rPr>
        <w:t>II</w:t>
      </w:r>
      <w:r w:rsidRPr="009008E9">
        <w:rPr>
          <w:sz w:val="28"/>
          <w:szCs w:val="28"/>
        </w:rPr>
        <w:t xml:space="preserve"> и </w:t>
      </w:r>
      <w:r w:rsidRPr="009008E9">
        <w:rPr>
          <w:sz w:val="28"/>
          <w:szCs w:val="28"/>
          <w:lang w:val="en-US"/>
        </w:rPr>
        <w:t>III</w:t>
      </w:r>
      <w:r w:rsidRPr="009008E9">
        <w:rPr>
          <w:sz w:val="28"/>
          <w:szCs w:val="28"/>
        </w:rPr>
        <w:t xml:space="preserve"> поколений (ципрофлоксацин, левофлоксацин, в том числе в сочетании с клиндамицином/амикацином) – два пациента.</w:t>
      </w:r>
    </w:p>
    <w:p w:rsidR="00286780" w:rsidRPr="009008E9" w:rsidRDefault="00286780" w:rsidP="00BD2F93">
      <w:pPr>
        <w:spacing w:line="360" w:lineRule="auto"/>
        <w:ind w:firstLine="709"/>
        <w:jc w:val="both"/>
        <w:rPr>
          <w:sz w:val="28"/>
          <w:szCs w:val="28"/>
        </w:rPr>
      </w:pPr>
      <w:r w:rsidRPr="009008E9">
        <w:rPr>
          <w:sz w:val="28"/>
          <w:szCs w:val="28"/>
        </w:rPr>
        <w:t xml:space="preserve">Послеоперационная антибиотикотерапия у пациентов контрольной группы с МФОИ и фоновой полиорганной патологией производилась с использованием цефалоспоринов </w:t>
      </w:r>
      <w:r w:rsidRPr="009008E9">
        <w:rPr>
          <w:sz w:val="28"/>
          <w:szCs w:val="28"/>
          <w:lang w:val="en-US"/>
        </w:rPr>
        <w:t>I</w:t>
      </w:r>
      <w:r w:rsidRPr="009008E9">
        <w:rPr>
          <w:sz w:val="28"/>
          <w:szCs w:val="28"/>
        </w:rPr>
        <w:t xml:space="preserve"> и </w:t>
      </w:r>
      <w:r w:rsidRPr="009008E9">
        <w:rPr>
          <w:sz w:val="28"/>
          <w:szCs w:val="28"/>
          <w:lang w:val="en-US"/>
        </w:rPr>
        <w:t>III</w:t>
      </w:r>
      <w:r w:rsidRPr="009008E9">
        <w:rPr>
          <w:sz w:val="28"/>
          <w:szCs w:val="28"/>
        </w:rPr>
        <w:t xml:space="preserve"> поколений (цефазолин, цефтриаксон, цефотаксим), фторхинолонов </w:t>
      </w:r>
      <w:r w:rsidRPr="009008E9">
        <w:rPr>
          <w:sz w:val="28"/>
          <w:szCs w:val="28"/>
          <w:lang w:val="en-US"/>
        </w:rPr>
        <w:t>II</w:t>
      </w:r>
      <w:r w:rsidRPr="009008E9">
        <w:rPr>
          <w:sz w:val="28"/>
          <w:szCs w:val="28"/>
        </w:rPr>
        <w:t xml:space="preserve"> поколения (ципрофлоксацин), аминогликозида </w:t>
      </w:r>
      <w:r w:rsidRPr="009008E9">
        <w:rPr>
          <w:sz w:val="28"/>
          <w:szCs w:val="28"/>
          <w:lang w:val="en-US"/>
        </w:rPr>
        <w:t>III</w:t>
      </w:r>
      <w:r w:rsidRPr="009008E9">
        <w:rPr>
          <w:sz w:val="28"/>
          <w:szCs w:val="28"/>
        </w:rPr>
        <w:t xml:space="preserve"> поколения амикацина в виде монотерапии или в сочетании с метронидазолом.</w:t>
      </w:r>
    </w:p>
    <w:p w:rsidR="00286780" w:rsidRDefault="00286780" w:rsidP="00BD2F93">
      <w:pPr>
        <w:spacing w:line="360" w:lineRule="auto"/>
        <w:ind w:firstLine="709"/>
        <w:jc w:val="both"/>
        <w:rPr>
          <w:sz w:val="28"/>
          <w:szCs w:val="28"/>
        </w:rPr>
      </w:pPr>
      <w:r>
        <w:rPr>
          <w:sz w:val="28"/>
          <w:szCs w:val="28"/>
        </w:rPr>
        <w:t>Также</w:t>
      </w:r>
      <w:r w:rsidRPr="009008E9">
        <w:rPr>
          <w:sz w:val="28"/>
          <w:szCs w:val="28"/>
        </w:rPr>
        <w:t xml:space="preserve"> в состав комплексного лечения пациентов с ОС контрольной группы включена инфузионная терапия (кристаллоиды, коллоиды), профилактика тромбообразования (гепарин), профилактика стресс-язв желудочно-кишечного тракта (омепразол, блокаторы </w:t>
      </w:r>
      <w:r w:rsidRPr="009008E9">
        <w:rPr>
          <w:sz w:val="28"/>
          <w:szCs w:val="28"/>
          <w:lang w:val="en-US"/>
        </w:rPr>
        <w:t>H</w:t>
      </w:r>
      <w:r w:rsidRPr="009008E9">
        <w:rPr>
          <w:sz w:val="28"/>
          <w:szCs w:val="28"/>
          <w:vertAlign w:val="subscript"/>
        </w:rPr>
        <w:t>2</w:t>
      </w:r>
      <w:r w:rsidRPr="009008E9">
        <w:rPr>
          <w:sz w:val="28"/>
          <w:szCs w:val="28"/>
        </w:rPr>
        <w:t>-гистаминовых рецепторов), нутритивная поддержка, инсулинотерапия при наличии сахарного диабета, симптоматическая терапия по показаниям.</w:t>
      </w:r>
    </w:p>
    <w:p w:rsidR="00286780" w:rsidRPr="009008E9" w:rsidRDefault="00286780" w:rsidP="00BD2F93">
      <w:pPr>
        <w:spacing w:line="360" w:lineRule="auto"/>
        <w:ind w:firstLine="709"/>
        <w:jc w:val="both"/>
        <w:rPr>
          <w:sz w:val="28"/>
          <w:szCs w:val="28"/>
        </w:rPr>
      </w:pPr>
      <w:r w:rsidRPr="009008E9">
        <w:rPr>
          <w:sz w:val="28"/>
          <w:szCs w:val="28"/>
        </w:rPr>
        <w:t xml:space="preserve">Для сравнения результатов комплексного лечения пациентов основной и контрольной групп использованы следующие показатели: средний койко-день </w:t>
      </w:r>
      <w:r w:rsidRPr="009008E9">
        <w:rPr>
          <w:sz w:val="28"/>
          <w:szCs w:val="28"/>
        </w:rPr>
        <w:lastRenderedPageBreak/>
        <w:t xml:space="preserve">(к/д), частота развития осложнений, ассоциируемых с основным заболеванием (гнойно-воспалительные осложнения, </w:t>
      </w:r>
      <w:r>
        <w:rPr>
          <w:sz w:val="28"/>
          <w:szCs w:val="28"/>
        </w:rPr>
        <w:t>процент</w:t>
      </w:r>
      <w:r w:rsidRPr="009008E9">
        <w:rPr>
          <w:sz w:val="28"/>
          <w:szCs w:val="28"/>
        </w:rPr>
        <w:t xml:space="preserve">), летальность; а </w:t>
      </w:r>
      <w:r>
        <w:rPr>
          <w:sz w:val="28"/>
          <w:szCs w:val="28"/>
        </w:rPr>
        <w:t>также</w:t>
      </w:r>
      <w:r w:rsidRPr="009008E9">
        <w:rPr>
          <w:sz w:val="28"/>
          <w:szCs w:val="28"/>
        </w:rPr>
        <w:t xml:space="preserve"> ряд клинико-лабораторных показателей, оцениваемых при поступлении (первые сутки) и на третьи сутки стационарного лечения: температура тела, содержание эритроцитов, концентрация гемоглобина, лейкоцитоз капиллярной крови, концентрация общего белка мочевины, креатинина, билирубина венозной крови.</w:t>
      </w:r>
    </w:p>
    <w:p w:rsidR="00286780" w:rsidRPr="009008E9" w:rsidRDefault="00286780" w:rsidP="00BD2F93">
      <w:pPr>
        <w:spacing w:line="360" w:lineRule="auto"/>
        <w:ind w:firstLine="709"/>
        <w:jc w:val="both"/>
        <w:rPr>
          <w:sz w:val="28"/>
          <w:szCs w:val="28"/>
        </w:rPr>
      </w:pPr>
      <w:r w:rsidRPr="009008E9">
        <w:rPr>
          <w:sz w:val="28"/>
          <w:szCs w:val="28"/>
        </w:rPr>
        <w:t>Средний койко-день пациентов</w:t>
      </w:r>
      <w:r>
        <w:rPr>
          <w:sz w:val="28"/>
          <w:szCs w:val="28"/>
        </w:rPr>
        <w:t xml:space="preserve"> контрольной группы составил 9[7;14</w:t>
      </w:r>
      <w:r w:rsidRPr="009008E9">
        <w:rPr>
          <w:sz w:val="28"/>
          <w:szCs w:val="28"/>
        </w:rPr>
        <w:t xml:space="preserve">] к/д. Гнойно-воспалительные осложнения (распространение воспалительного процесса, развитие сепсиса, септического шока, медиастинита, аррозивного кровотечения, отека легких и головного мозга, острой дыхательной недостаточности), диагностированы у 14 </w:t>
      </w:r>
      <w:r>
        <w:rPr>
          <w:sz w:val="28"/>
          <w:szCs w:val="28"/>
        </w:rPr>
        <w:t>пациентов контрольной группы (33,3</w:t>
      </w:r>
      <w:r w:rsidRPr="009008E9">
        <w:rPr>
          <w:sz w:val="28"/>
          <w:szCs w:val="28"/>
        </w:rPr>
        <w:t xml:space="preserve">%); эффективность ранней диагностики основного заболевания (при поступлении в стационар) – </w:t>
      </w:r>
      <w:r>
        <w:rPr>
          <w:sz w:val="28"/>
          <w:szCs w:val="28"/>
        </w:rPr>
        <w:t>69</w:t>
      </w:r>
      <w:r w:rsidRPr="009008E9">
        <w:rPr>
          <w:sz w:val="28"/>
          <w:szCs w:val="28"/>
        </w:rPr>
        <w:t>%, ле</w:t>
      </w:r>
      <w:r>
        <w:rPr>
          <w:sz w:val="28"/>
          <w:szCs w:val="28"/>
        </w:rPr>
        <w:t>тальность – семь больных (16,7</w:t>
      </w:r>
      <w:r w:rsidRPr="009008E9">
        <w:rPr>
          <w:sz w:val="28"/>
          <w:szCs w:val="28"/>
        </w:rPr>
        <w:t>%).</w:t>
      </w:r>
    </w:p>
    <w:p w:rsidR="00286780" w:rsidRPr="00F420BB" w:rsidRDefault="00286780" w:rsidP="00F420BB">
      <w:pPr>
        <w:pStyle w:val="31"/>
        <w:spacing w:line="360" w:lineRule="auto"/>
        <w:jc w:val="left"/>
        <w:rPr>
          <w:b w:val="0"/>
          <w:i w:val="0"/>
        </w:rPr>
      </w:pPr>
    </w:p>
    <w:p w:rsidR="00286780" w:rsidRPr="002B6DB7" w:rsidRDefault="00286780" w:rsidP="00243E84">
      <w:pPr>
        <w:pStyle w:val="31"/>
        <w:spacing w:line="360" w:lineRule="auto"/>
        <w:jc w:val="both"/>
      </w:pPr>
      <w:bookmarkStart w:id="9" w:name="_Toc67905692"/>
      <w:r>
        <w:t xml:space="preserve">2.2 </w:t>
      </w:r>
      <w:r w:rsidRPr="009008E9">
        <w:t>Методы лабораторного и инструментального обследования</w:t>
      </w:r>
      <w:bookmarkEnd w:id="9"/>
    </w:p>
    <w:p w:rsidR="00286780" w:rsidRPr="006A5920" w:rsidRDefault="00286780" w:rsidP="00BB35D7">
      <w:pPr>
        <w:spacing w:line="360" w:lineRule="auto"/>
        <w:ind w:firstLine="709"/>
        <w:jc w:val="both"/>
        <w:rPr>
          <w:sz w:val="28"/>
          <w:szCs w:val="28"/>
        </w:rPr>
      </w:pPr>
      <w:r w:rsidRPr="006A5920">
        <w:rPr>
          <w:sz w:val="28"/>
          <w:szCs w:val="28"/>
        </w:rPr>
        <w:t xml:space="preserve">В обозначенных выше </w:t>
      </w:r>
      <w:r>
        <w:rPr>
          <w:sz w:val="28"/>
          <w:szCs w:val="28"/>
        </w:rPr>
        <w:t>под</w:t>
      </w:r>
      <w:r w:rsidRPr="006A5920">
        <w:rPr>
          <w:sz w:val="28"/>
          <w:szCs w:val="28"/>
        </w:rPr>
        <w:t>группах пациентов с МФОИ и одонтогенным сепсисом выполнено исследование ряда клинико-лабораторных показателей.</w:t>
      </w:r>
    </w:p>
    <w:p w:rsidR="00286780" w:rsidRPr="006A5920" w:rsidRDefault="00286780" w:rsidP="00BB35D7">
      <w:pPr>
        <w:spacing w:line="360" w:lineRule="auto"/>
        <w:ind w:firstLine="709"/>
        <w:jc w:val="both"/>
        <w:rPr>
          <w:sz w:val="28"/>
          <w:szCs w:val="28"/>
        </w:rPr>
      </w:pPr>
      <w:r w:rsidRPr="006A5920">
        <w:rPr>
          <w:sz w:val="28"/>
          <w:szCs w:val="28"/>
        </w:rPr>
        <w:t>Проанализированы количество и локализация вовлеченных в гнойно-воспалительный процесс клетчаточных пространств, форма (абсцесс или флегмона) и распространенность гнойного процесса, характеристистики догоспитального периода (амбулаторное лечение), жалобы, данные объективного обследования, показатели гомеостаза</w:t>
      </w:r>
      <w:r>
        <w:rPr>
          <w:sz w:val="28"/>
          <w:szCs w:val="28"/>
        </w:rPr>
        <w:t>, сроки очищения ран и прекращения экссудации, сроки появления грануляций, показатели эффективности стационарного лечения (средний койко-день, % осложнений, летальность)</w:t>
      </w:r>
      <w:r w:rsidRPr="006A5920">
        <w:rPr>
          <w:sz w:val="28"/>
          <w:szCs w:val="28"/>
        </w:rPr>
        <w:t>.</w:t>
      </w:r>
    </w:p>
    <w:p w:rsidR="00286780" w:rsidRPr="006A5920" w:rsidRDefault="00286780" w:rsidP="00BB35D7">
      <w:pPr>
        <w:spacing w:line="360" w:lineRule="auto"/>
        <w:ind w:firstLine="709"/>
        <w:jc w:val="both"/>
        <w:rPr>
          <w:sz w:val="28"/>
          <w:szCs w:val="28"/>
        </w:rPr>
      </w:pPr>
      <w:r w:rsidRPr="006A5920">
        <w:rPr>
          <w:sz w:val="28"/>
          <w:szCs w:val="28"/>
        </w:rPr>
        <w:t xml:space="preserve">Систолическое и диастолическое артериальное давление, частота сердечных сокращений (АДс, АДд, ЧСС) определяли аускультативно по Короткову, или с использованием монитора прикроватного многофункционального </w:t>
      </w:r>
      <w:r w:rsidRPr="006A5920">
        <w:rPr>
          <w:sz w:val="28"/>
          <w:szCs w:val="28"/>
          <w:lang w:val="en-US"/>
        </w:rPr>
        <w:t>PC</w:t>
      </w:r>
      <w:r w:rsidRPr="006A5920">
        <w:rPr>
          <w:sz w:val="28"/>
          <w:szCs w:val="28"/>
        </w:rPr>
        <w:t>-9000</w:t>
      </w:r>
      <w:r w:rsidRPr="006A5920">
        <w:rPr>
          <w:sz w:val="28"/>
          <w:szCs w:val="28"/>
          <w:lang w:val="en-US"/>
        </w:rPr>
        <w:t>f</w:t>
      </w:r>
      <w:r w:rsidRPr="006A5920">
        <w:rPr>
          <w:sz w:val="28"/>
          <w:szCs w:val="28"/>
        </w:rPr>
        <w:t xml:space="preserve">.У пациентов с МФОИ </w:t>
      </w:r>
      <w:r>
        <w:rPr>
          <w:sz w:val="28"/>
          <w:szCs w:val="28"/>
        </w:rPr>
        <w:t>также</w:t>
      </w:r>
      <w:r w:rsidRPr="006A5920">
        <w:rPr>
          <w:sz w:val="28"/>
          <w:szCs w:val="28"/>
        </w:rPr>
        <w:t xml:space="preserve"> определены дополнительные показатели центральной и периферической гемодинамики: ударный объем сердца – УОС, минутный объем </w:t>
      </w:r>
      <w:r w:rsidRPr="006A5920">
        <w:rPr>
          <w:sz w:val="28"/>
          <w:szCs w:val="28"/>
        </w:rPr>
        <w:lastRenderedPageBreak/>
        <w:t>кровообращения – МОК, общее периферическое сосудистое сопротивление – ОПСС.</w:t>
      </w:r>
    </w:p>
    <w:p w:rsidR="00286780" w:rsidRDefault="00286780" w:rsidP="00BB35D7">
      <w:pPr>
        <w:spacing w:line="360" w:lineRule="auto"/>
        <w:ind w:firstLine="709"/>
        <w:jc w:val="both"/>
        <w:rPr>
          <w:sz w:val="28"/>
          <w:szCs w:val="28"/>
        </w:rPr>
      </w:pPr>
      <w:r w:rsidRPr="006A5920">
        <w:rPr>
          <w:sz w:val="28"/>
          <w:szCs w:val="28"/>
        </w:rPr>
        <w:t xml:space="preserve">Ударный объем сердца (УОС) рассчитан методом </w:t>
      </w:r>
      <w:r>
        <w:rPr>
          <w:sz w:val="28"/>
          <w:szCs w:val="28"/>
        </w:rPr>
        <w:t>эхокадиографии</w:t>
      </w:r>
      <w:r w:rsidRPr="006A5920">
        <w:rPr>
          <w:sz w:val="28"/>
          <w:szCs w:val="28"/>
        </w:rPr>
        <w:t xml:space="preserve"> по формуле</w:t>
      </w:r>
    </w:p>
    <w:p w:rsidR="00286780" w:rsidRDefault="00286780" w:rsidP="00BB35D7">
      <w:pPr>
        <w:jc w:val="both"/>
        <w:rPr>
          <w:sz w:val="28"/>
          <w:szCs w:val="28"/>
        </w:rPr>
      </w:pPr>
    </w:p>
    <w:tbl>
      <w:tblPr>
        <w:tblW w:w="0" w:type="auto"/>
        <w:tblLook w:val="00A0" w:firstRow="1" w:lastRow="0" w:firstColumn="1" w:lastColumn="0" w:noHBand="0" w:noVBand="0"/>
      </w:tblPr>
      <w:tblGrid>
        <w:gridCol w:w="9584"/>
        <w:gridCol w:w="337"/>
      </w:tblGrid>
      <w:tr w:rsidR="00286780" w:rsidTr="00EF2CEE">
        <w:tc>
          <w:tcPr>
            <w:tcW w:w="9594" w:type="dxa"/>
            <w:tcMar>
              <w:left w:w="0" w:type="dxa"/>
              <w:right w:w="0" w:type="dxa"/>
            </w:tcMar>
          </w:tcPr>
          <w:p w:rsidR="00286780" w:rsidRPr="00D15BFE" w:rsidRDefault="00807D20" w:rsidP="00EF2CEE">
            <w:pPr>
              <w:jc w:val="center"/>
              <w:rPr>
                <w:sz w:val="28"/>
                <w:szCs w:val="28"/>
              </w:rPr>
            </w:pPr>
            <w:r>
              <w:pict>
                <v:shape id="_x0000_i1032" type="#_x0000_t75" style="width:115.2pt;height:14.4pt" equationxml="&lt;">
                  <v:imagedata r:id="rId14" o:title="" chromakey="white"/>
                </v:shape>
              </w:pict>
            </w:r>
          </w:p>
        </w:tc>
        <w:tc>
          <w:tcPr>
            <w:tcW w:w="337" w:type="dxa"/>
            <w:tcMar>
              <w:left w:w="0" w:type="dxa"/>
              <w:right w:w="0" w:type="dxa"/>
            </w:tcMar>
          </w:tcPr>
          <w:p w:rsidR="00286780" w:rsidRPr="00D15BFE" w:rsidRDefault="00286780" w:rsidP="00EF2CEE">
            <w:pPr>
              <w:jc w:val="right"/>
              <w:rPr>
                <w:sz w:val="28"/>
                <w:szCs w:val="28"/>
              </w:rPr>
            </w:pPr>
            <w:r w:rsidRPr="00D15BFE">
              <w:rPr>
                <w:sz w:val="28"/>
                <w:szCs w:val="28"/>
              </w:rPr>
              <w:t>(1)</w:t>
            </w:r>
          </w:p>
        </w:tc>
      </w:tr>
    </w:tbl>
    <w:p w:rsidR="00286780" w:rsidRPr="006A5920" w:rsidRDefault="00286780" w:rsidP="00BB35D7">
      <w:pPr>
        <w:jc w:val="both"/>
        <w:rPr>
          <w:sz w:val="28"/>
          <w:szCs w:val="28"/>
        </w:rPr>
      </w:pPr>
      <w:r w:rsidRPr="006A5920">
        <w:rPr>
          <w:sz w:val="28"/>
          <w:szCs w:val="28"/>
        </w:rPr>
        <w:t>где УОС – ударный объем сердца, мл;</w:t>
      </w:r>
    </w:p>
    <w:p w:rsidR="00286780" w:rsidRPr="006A5920" w:rsidRDefault="00286780" w:rsidP="00BB35D7">
      <w:pPr>
        <w:jc w:val="both"/>
        <w:rPr>
          <w:sz w:val="28"/>
          <w:szCs w:val="28"/>
        </w:rPr>
      </w:pPr>
      <w:r w:rsidRPr="006A5920">
        <w:rPr>
          <w:sz w:val="28"/>
          <w:szCs w:val="28"/>
        </w:rPr>
        <w:t>КДО – конечный диастолический объем, мл;</w:t>
      </w:r>
    </w:p>
    <w:p w:rsidR="00286780" w:rsidRDefault="00286780" w:rsidP="00BB35D7">
      <w:pPr>
        <w:jc w:val="both"/>
        <w:rPr>
          <w:sz w:val="28"/>
          <w:szCs w:val="28"/>
        </w:rPr>
      </w:pPr>
      <w:r w:rsidRPr="006A5920">
        <w:rPr>
          <w:sz w:val="28"/>
          <w:szCs w:val="28"/>
        </w:rPr>
        <w:t>КСО – конечный систолический объем, мл.</w:t>
      </w:r>
    </w:p>
    <w:p w:rsidR="00286780" w:rsidRPr="006A5920" w:rsidRDefault="00286780" w:rsidP="00BB35D7">
      <w:pPr>
        <w:jc w:val="both"/>
        <w:rPr>
          <w:sz w:val="28"/>
          <w:szCs w:val="28"/>
        </w:rPr>
      </w:pPr>
    </w:p>
    <w:p w:rsidR="00286780" w:rsidRDefault="00286780" w:rsidP="00BB35D7">
      <w:pPr>
        <w:spacing w:line="360" w:lineRule="auto"/>
        <w:ind w:firstLine="709"/>
        <w:jc w:val="both"/>
        <w:rPr>
          <w:sz w:val="28"/>
          <w:szCs w:val="28"/>
        </w:rPr>
      </w:pPr>
      <w:r w:rsidRPr="006A5920">
        <w:rPr>
          <w:sz w:val="28"/>
          <w:szCs w:val="28"/>
        </w:rPr>
        <w:t>Минутный объем кровообращения (МОК) рассчитан по формуле</w:t>
      </w:r>
    </w:p>
    <w:p w:rsidR="00286780" w:rsidRDefault="00286780" w:rsidP="00BB35D7">
      <w:pPr>
        <w:jc w:val="both"/>
        <w:rPr>
          <w:sz w:val="28"/>
          <w:szCs w:val="28"/>
        </w:rPr>
      </w:pPr>
    </w:p>
    <w:tbl>
      <w:tblPr>
        <w:tblW w:w="0" w:type="auto"/>
        <w:tblLook w:val="00A0" w:firstRow="1" w:lastRow="0" w:firstColumn="1" w:lastColumn="0" w:noHBand="0" w:noVBand="0"/>
      </w:tblPr>
      <w:tblGrid>
        <w:gridCol w:w="9584"/>
        <w:gridCol w:w="337"/>
      </w:tblGrid>
      <w:tr w:rsidR="00286780" w:rsidTr="00EF2CEE">
        <w:tc>
          <w:tcPr>
            <w:tcW w:w="9594" w:type="dxa"/>
            <w:tcMar>
              <w:left w:w="0" w:type="dxa"/>
              <w:right w:w="0" w:type="dxa"/>
            </w:tcMar>
          </w:tcPr>
          <w:p w:rsidR="00286780" w:rsidRPr="00D15BFE" w:rsidRDefault="00807D20" w:rsidP="00EF2CEE">
            <w:pPr>
              <w:jc w:val="center"/>
              <w:rPr>
                <w:sz w:val="28"/>
                <w:szCs w:val="28"/>
              </w:rPr>
            </w:pPr>
            <w:r>
              <w:pict>
                <v:shape id="_x0000_i1033" type="#_x0000_t75" style="width:115.2pt;height:14.4pt" equationxml="&lt;">
                  <v:imagedata r:id="rId15" o:title="" chromakey="white"/>
                </v:shape>
              </w:pict>
            </w:r>
          </w:p>
        </w:tc>
        <w:tc>
          <w:tcPr>
            <w:tcW w:w="337" w:type="dxa"/>
            <w:tcMar>
              <w:left w:w="0" w:type="dxa"/>
              <w:right w:w="0" w:type="dxa"/>
            </w:tcMar>
          </w:tcPr>
          <w:p w:rsidR="00286780" w:rsidRPr="00D15BFE" w:rsidRDefault="00286780" w:rsidP="00EF2CEE">
            <w:pPr>
              <w:jc w:val="right"/>
              <w:rPr>
                <w:sz w:val="28"/>
                <w:szCs w:val="28"/>
              </w:rPr>
            </w:pPr>
            <w:r w:rsidRPr="00D15BFE">
              <w:rPr>
                <w:sz w:val="28"/>
                <w:szCs w:val="28"/>
              </w:rPr>
              <w:t>(2)</w:t>
            </w:r>
          </w:p>
        </w:tc>
      </w:tr>
    </w:tbl>
    <w:p w:rsidR="00286780" w:rsidRPr="006A5920" w:rsidRDefault="00286780" w:rsidP="00BB35D7">
      <w:pPr>
        <w:jc w:val="both"/>
        <w:rPr>
          <w:sz w:val="28"/>
          <w:szCs w:val="28"/>
        </w:rPr>
      </w:pPr>
      <w:r w:rsidRPr="006A5920">
        <w:rPr>
          <w:sz w:val="28"/>
          <w:szCs w:val="28"/>
        </w:rPr>
        <w:t>где МОК – минутный объем кровообращения, мл/мин;</w:t>
      </w:r>
    </w:p>
    <w:p w:rsidR="00286780" w:rsidRDefault="00286780" w:rsidP="00BB35D7">
      <w:pPr>
        <w:jc w:val="both"/>
        <w:rPr>
          <w:sz w:val="28"/>
          <w:szCs w:val="28"/>
        </w:rPr>
      </w:pPr>
      <w:r w:rsidRPr="006A5920">
        <w:rPr>
          <w:sz w:val="28"/>
          <w:szCs w:val="28"/>
        </w:rPr>
        <w:t>ЧСС – частота сердечных сокращений, уд/мин.</w:t>
      </w:r>
    </w:p>
    <w:p w:rsidR="00286780" w:rsidRPr="006A5920" w:rsidRDefault="00286780" w:rsidP="00BB35D7">
      <w:pPr>
        <w:jc w:val="both"/>
        <w:rPr>
          <w:sz w:val="28"/>
          <w:szCs w:val="28"/>
        </w:rPr>
      </w:pPr>
    </w:p>
    <w:p w:rsidR="00286780" w:rsidRDefault="00286780" w:rsidP="00BB35D7">
      <w:pPr>
        <w:spacing w:line="360" w:lineRule="auto"/>
        <w:ind w:firstLine="709"/>
        <w:jc w:val="both"/>
        <w:rPr>
          <w:sz w:val="28"/>
          <w:szCs w:val="28"/>
        </w:rPr>
      </w:pPr>
      <w:r w:rsidRPr="006A5920">
        <w:rPr>
          <w:sz w:val="28"/>
          <w:szCs w:val="28"/>
        </w:rPr>
        <w:t>Систолический индекс</w:t>
      </w:r>
    </w:p>
    <w:p w:rsidR="00286780" w:rsidRDefault="00286780" w:rsidP="00BB35D7">
      <w:pPr>
        <w:jc w:val="both"/>
        <w:rPr>
          <w:sz w:val="28"/>
          <w:szCs w:val="28"/>
        </w:rPr>
      </w:pPr>
    </w:p>
    <w:tbl>
      <w:tblPr>
        <w:tblW w:w="0" w:type="auto"/>
        <w:tblLook w:val="00A0" w:firstRow="1" w:lastRow="0" w:firstColumn="1" w:lastColumn="0" w:noHBand="0" w:noVBand="0"/>
      </w:tblPr>
      <w:tblGrid>
        <w:gridCol w:w="9584"/>
        <w:gridCol w:w="337"/>
      </w:tblGrid>
      <w:tr w:rsidR="00286780" w:rsidTr="00EF2CEE">
        <w:tc>
          <w:tcPr>
            <w:tcW w:w="9594" w:type="dxa"/>
            <w:tcMar>
              <w:left w:w="0" w:type="dxa"/>
              <w:right w:w="0" w:type="dxa"/>
            </w:tcMar>
          </w:tcPr>
          <w:p w:rsidR="00286780" w:rsidRPr="00DF71BE" w:rsidRDefault="00286780" w:rsidP="00EF2CEE">
            <w:pPr>
              <w:jc w:val="center"/>
              <w:rPr>
                <w:sz w:val="28"/>
                <w:szCs w:val="28"/>
              </w:rPr>
            </w:pPr>
            <w:r>
              <w:rPr>
                <w:sz w:val="28"/>
                <w:szCs w:val="28"/>
              </w:rPr>
              <w:t>СИ (л·м</w:t>
            </w:r>
            <w:r>
              <w:rPr>
                <w:sz w:val="28"/>
                <w:szCs w:val="28"/>
                <w:vertAlign w:val="superscript"/>
              </w:rPr>
              <w:t>–2</w:t>
            </w:r>
            <w:r>
              <w:rPr>
                <w:sz w:val="28"/>
                <w:szCs w:val="28"/>
              </w:rPr>
              <w:t>·мин</w:t>
            </w:r>
            <w:r>
              <w:rPr>
                <w:sz w:val="28"/>
                <w:szCs w:val="28"/>
                <w:vertAlign w:val="superscript"/>
              </w:rPr>
              <w:t>–1</w:t>
            </w:r>
            <w:r>
              <w:rPr>
                <w:sz w:val="28"/>
                <w:szCs w:val="28"/>
              </w:rPr>
              <w:t>) = МОК/</w:t>
            </w:r>
            <w:r>
              <w:rPr>
                <w:sz w:val="28"/>
                <w:szCs w:val="28"/>
                <w:lang w:val="en-US"/>
              </w:rPr>
              <w:t>S</w:t>
            </w:r>
            <w:r>
              <w:rPr>
                <w:sz w:val="28"/>
                <w:szCs w:val="28"/>
              </w:rPr>
              <w:t>,</w:t>
            </w:r>
          </w:p>
        </w:tc>
        <w:tc>
          <w:tcPr>
            <w:tcW w:w="337" w:type="dxa"/>
            <w:tcMar>
              <w:left w:w="0" w:type="dxa"/>
              <w:right w:w="0" w:type="dxa"/>
            </w:tcMar>
            <w:vAlign w:val="center"/>
          </w:tcPr>
          <w:p w:rsidR="00286780" w:rsidRPr="00D15BFE" w:rsidRDefault="00286780" w:rsidP="00EF2CEE">
            <w:pPr>
              <w:jc w:val="right"/>
              <w:rPr>
                <w:sz w:val="28"/>
                <w:szCs w:val="28"/>
              </w:rPr>
            </w:pPr>
            <w:r>
              <w:rPr>
                <w:sz w:val="28"/>
                <w:szCs w:val="28"/>
              </w:rPr>
              <w:t>(</w:t>
            </w:r>
            <w:r>
              <w:rPr>
                <w:sz w:val="28"/>
                <w:szCs w:val="28"/>
                <w:lang w:val="en-US"/>
              </w:rPr>
              <w:t>3</w:t>
            </w:r>
            <w:r w:rsidRPr="00D15BFE">
              <w:rPr>
                <w:sz w:val="28"/>
                <w:szCs w:val="28"/>
              </w:rPr>
              <w:t>)</w:t>
            </w:r>
          </w:p>
        </w:tc>
      </w:tr>
    </w:tbl>
    <w:p w:rsidR="00286780" w:rsidRPr="006A5920" w:rsidRDefault="00286780" w:rsidP="00BB35D7">
      <w:pPr>
        <w:jc w:val="both"/>
        <w:rPr>
          <w:sz w:val="28"/>
          <w:szCs w:val="28"/>
        </w:rPr>
      </w:pPr>
      <w:r w:rsidRPr="006A5920">
        <w:rPr>
          <w:sz w:val="28"/>
          <w:szCs w:val="28"/>
        </w:rPr>
        <w:t>где СИ – систолический индекс, л·м</w:t>
      </w:r>
      <w:r w:rsidRPr="006A5920">
        <w:rPr>
          <w:sz w:val="28"/>
          <w:szCs w:val="28"/>
          <w:vertAlign w:val="superscript"/>
        </w:rPr>
        <w:t>–2</w:t>
      </w:r>
      <w:r w:rsidRPr="006A5920">
        <w:rPr>
          <w:sz w:val="28"/>
          <w:szCs w:val="28"/>
        </w:rPr>
        <w:t>·мин</w:t>
      </w:r>
      <w:r w:rsidRPr="006A5920">
        <w:rPr>
          <w:sz w:val="28"/>
          <w:szCs w:val="28"/>
          <w:vertAlign w:val="superscript"/>
        </w:rPr>
        <w:t>–1</w:t>
      </w:r>
      <w:r w:rsidRPr="006A5920">
        <w:rPr>
          <w:sz w:val="28"/>
          <w:szCs w:val="28"/>
        </w:rPr>
        <w:t>;</w:t>
      </w:r>
    </w:p>
    <w:p w:rsidR="00286780" w:rsidRPr="00AA79AB" w:rsidRDefault="00286780" w:rsidP="00BB35D7">
      <w:pPr>
        <w:jc w:val="both"/>
        <w:rPr>
          <w:spacing w:val="-8"/>
          <w:sz w:val="28"/>
          <w:szCs w:val="28"/>
        </w:rPr>
      </w:pPr>
      <w:r w:rsidRPr="00306C6B">
        <w:rPr>
          <w:i/>
          <w:spacing w:val="-8"/>
          <w:sz w:val="28"/>
          <w:szCs w:val="28"/>
          <w:lang w:val="en-US"/>
        </w:rPr>
        <w:t>S</w:t>
      </w:r>
      <w:r w:rsidRPr="00306C6B">
        <w:rPr>
          <w:spacing w:val="-8"/>
          <w:sz w:val="28"/>
          <w:szCs w:val="28"/>
        </w:rPr>
        <w:t xml:space="preserve"> – площадь поверхности тела пациента, рассчитываемая по формуле Мостеллера, м</w:t>
      </w:r>
      <w:r w:rsidRPr="00306C6B">
        <w:rPr>
          <w:spacing w:val="-8"/>
          <w:sz w:val="28"/>
          <w:szCs w:val="28"/>
          <w:vertAlign w:val="superscript"/>
        </w:rPr>
        <w:t>2</w:t>
      </w:r>
      <w:r w:rsidRPr="00306C6B">
        <w:rPr>
          <w:spacing w:val="-8"/>
          <w:sz w:val="28"/>
          <w:szCs w:val="28"/>
        </w:rPr>
        <w:t>.</w:t>
      </w:r>
    </w:p>
    <w:p w:rsidR="00286780" w:rsidRPr="00AA79AB" w:rsidRDefault="00286780" w:rsidP="00BB35D7">
      <w:pPr>
        <w:spacing w:line="360" w:lineRule="auto"/>
        <w:ind w:firstLine="709"/>
        <w:jc w:val="both"/>
        <w:rPr>
          <w:sz w:val="28"/>
          <w:szCs w:val="28"/>
        </w:rPr>
      </w:pPr>
      <w:r w:rsidRPr="006A5920">
        <w:rPr>
          <w:sz w:val="28"/>
          <w:szCs w:val="28"/>
        </w:rPr>
        <w:t>Общее периферическое сосудистое сопротивление (ОПСС) определено по формуле</w:t>
      </w:r>
    </w:p>
    <w:tbl>
      <w:tblPr>
        <w:tblW w:w="0" w:type="auto"/>
        <w:tblLook w:val="00A0" w:firstRow="1" w:lastRow="0" w:firstColumn="1" w:lastColumn="0" w:noHBand="0" w:noVBand="0"/>
      </w:tblPr>
      <w:tblGrid>
        <w:gridCol w:w="9584"/>
        <w:gridCol w:w="337"/>
      </w:tblGrid>
      <w:tr w:rsidR="00286780" w:rsidTr="00EF2CEE">
        <w:tc>
          <w:tcPr>
            <w:tcW w:w="9584" w:type="dxa"/>
            <w:tcMar>
              <w:left w:w="0" w:type="dxa"/>
              <w:right w:w="0" w:type="dxa"/>
            </w:tcMar>
          </w:tcPr>
          <w:p w:rsidR="00286780" w:rsidRDefault="00286780" w:rsidP="00EF2CEE">
            <w:pPr>
              <w:jc w:val="center"/>
              <w:rPr>
                <w:sz w:val="28"/>
                <w:szCs w:val="28"/>
              </w:rPr>
            </w:pPr>
            <w:r>
              <w:rPr>
                <w:sz w:val="28"/>
                <w:szCs w:val="28"/>
              </w:rPr>
              <w:t>ОПСС = (АДср/УОС)·1333 (Виноградова Т.С. и соавт., 1986),</w:t>
            </w:r>
          </w:p>
        </w:tc>
        <w:tc>
          <w:tcPr>
            <w:tcW w:w="337" w:type="dxa"/>
            <w:tcMar>
              <w:left w:w="0" w:type="dxa"/>
              <w:right w:w="0" w:type="dxa"/>
            </w:tcMar>
            <w:vAlign w:val="center"/>
          </w:tcPr>
          <w:p w:rsidR="00286780" w:rsidRDefault="00286780" w:rsidP="00EF2CEE">
            <w:pPr>
              <w:jc w:val="right"/>
              <w:rPr>
                <w:sz w:val="28"/>
                <w:szCs w:val="28"/>
              </w:rPr>
            </w:pPr>
            <w:r>
              <w:rPr>
                <w:sz w:val="28"/>
                <w:szCs w:val="28"/>
              </w:rPr>
              <w:t>(</w:t>
            </w:r>
            <w:r w:rsidRPr="00757A8B">
              <w:rPr>
                <w:sz w:val="28"/>
                <w:szCs w:val="28"/>
              </w:rPr>
              <w:t>4</w:t>
            </w:r>
            <w:r>
              <w:rPr>
                <w:sz w:val="28"/>
                <w:szCs w:val="28"/>
              </w:rPr>
              <w:t>)</w:t>
            </w:r>
          </w:p>
        </w:tc>
      </w:tr>
    </w:tbl>
    <w:p w:rsidR="00286780" w:rsidRDefault="00286780" w:rsidP="00BB35D7">
      <w:pPr>
        <w:jc w:val="both"/>
        <w:rPr>
          <w:sz w:val="28"/>
          <w:szCs w:val="28"/>
        </w:rPr>
      </w:pPr>
      <w:r w:rsidRPr="006A5920">
        <w:rPr>
          <w:sz w:val="28"/>
          <w:szCs w:val="28"/>
        </w:rPr>
        <w:t>где АД</w:t>
      </w:r>
      <w:r w:rsidRPr="00306C6B">
        <w:rPr>
          <w:sz w:val="28"/>
          <w:szCs w:val="28"/>
          <w:vertAlign w:val="subscript"/>
        </w:rPr>
        <w:t>ср</w:t>
      </w:r>
      <w:r w:rsidRPr="006A5920">
        <w:rPr>
          <w:sz w:val="28"/>
          <w:szCs w:val="28"/>
        </w:rPr>
        <w:t xml:space="preserve"> – среднее динамическое давление по Вецлеру и Богеру, мм рт. ст.</w:t>
      </w:r>
    </w:p>
    <w:p w:rsidR="00286780" w:rsidRPr="006A5920" w:rsidRDefault="00286780" w:rsidP="00BB35D7">
      <w:pPr>
        <w:jc w:val="both"/>
        <w:rPr>
          <w:sz w:val="28"/>
          <w:szCs w:val="28"/>
        </w:rPr>
      </w:pPr>
    </w:p>
    <w:p w:rsidR="00286780" w:rsidRPr="006A5920" w:rsidRDefault="00286780" w:rsidP="00BB35D7">
      <w:pPr>
        <w:spacing w:line="360" w:lineRule="auto"/>
        <w:ind w:firstLine="709"/>
        <w:jc w:val="both"/>
        <w:rPr>
          <w:sz w:val="28"/>
          <w:szCs w:val="28"/>
        </w:rPr>
      </w:pPr>
      <w:r w:rsidRPr="006A5920">
        <w:rPr>
          <w:sz w:val="28"/>
          <w:szCs w:val="28"/>
        </w:rPr>
        <w:t>У пациентов с МФОИ и одонтогенным сепсисом оценивали частоту дыхательных движений, содержание эритроцитов, тромбоцитов, гемоглобина, лейкоцитов, лейкоцитарную формулу,</w:t>
      </w:r>
      <w:r>
        <w:rPr>
          <w:sz w:val="28"/>
          <w:szCs w:val="28"/>
        </w:rPr>
        <w:t xml:space="preserve"> лейкоцитарный индекс интоксикации (ЛИИ) по В.К. Островскому (1983 г.),</w:t>
      </w:r>
      <w:r w:rsidRPr="006A5920">
        <w:rPr>
          <w:sz w:val="28"/>
          <w:szCs w:val="28"/>
        </w:rPr>
        <w:t xml:space="preserve"> скорость оседания эритроцитов (СОЭ), биохимические показатели: натрий (</w:t>
      </w:r>
      <w:r w:rsidRPr="006A5920">
        <w:rPr>
          <w:sz w:val="28"/>
          <w:szCs w:val="28"/>
          <w:lang w:val="en-US"/>
        </w:rPr>
        <w:t>Na</w:t>
      </w:r>
      <w:r w:rsidRPr="006A5920">
        <w:rPr>
          <w:sz w:val="28"/>
          <w:szCs w:val="28"/>
        </w:rPr>
        <w:t>), калий (</w:t>
      </w:r>
      <w:r w:rsidRPr="006A5920">
        <w:rPr>
          <w:sz w:val="28"/>
          <w:szCs w:val="28"/>
          <w:lang w:val="en-US"/>
        </w:rPr>
        <w:t>K</w:t>
      </w:r>
      <w:r w:rsidRPr="006A5920">
        <w:rPr>
          <w:sz w:val="28"/>
          <w:szCs w:val="28"/>
        </w:rPr>
        <w:t>), хлор (</w:t>
      </w:r>
      <w:r w:rsidRPr="006A5920">
        <w:rPr>
          <w:sz w:val="28"/>
          <w:szCs w:val="28"/>
          <w:lang w:val="en-US"/>
        </w:rPr>
        <w:t>K</w:t>
      </w:r>
      <w:r w:rsidRPr="006A5920">
        <w:rPr>
          <w:sz w:val="28"/>
          <w:szCs w:val="28"/>
        </w:rPr>
        <w:t xml:space="preserve">), креатинин, α-амилаза, мочевина, билирубин общий, аланинаминотрансфераза (АЛТ), аспартатаминотрансфераза (АСТ), у пациентов с одонтогенным сепсисом – лактат, лактатдегидрогеназа (ЛДГ), газовый и кислотно-основной состав артериальной крови (парциальное давление кислорода, углекислого газа, </w:t>
      </w:r>
      <w:r w:rsidRPr="006A5920">
        <w:rPr>
          <w:sz w:val="28"/>
          <w:szCs w:val="28"/>
          <w:lang w:val="en-US"/>
        </w:rPr>
        <w:t>pH</w:t>
      </w:r>
      <w:r w:rsidRPr="006A5920">
        <w:rPr>
          <w:sz w:val="28"/>
          <w:szCs w:val="28"/>
        </w:rPr>
        <w:t>, дефицит оснований (</w:t>
      </w:r>
      <w:r w:rsidRPr="006A5920">
        <w:rPr>
          <w:sz w:val="28"/>
          <w:szCs w:val="28"/>
          <w:lang w:val="en-US"/>
        </w:rPr>
        <w:t>BE</w:t>
      </w:r>
      <w:r w:rsidRPr="006A5920">
        <w:rPr>
          <w:sz w:val="28"/>
          <w:szCs w:val="28"/>
        </w:rPr>
        <w:t xml:space="preserve">)), характеристики клеточного и гуморального иммунитета. </w:t>
      </w:r>
    </w:p>
    <w:p w:rsidR="00286780" w:rsidRPr="006A5920" w:rsidRDefault="00286780" w:rsidP="00BB35D7">
      <w:pPr>
        <w:spacing w:line="360" w:lineRule="auto"/>
        <w:ind w:firstLine="709"/>
        <w:jc w:val="both"/>
        <w:rPr>
          <w:sz w:val="28"/>
          <w:szCs w:val="28"/>
        </w:rPr>
      </w:pPr>
      <w:r w:rsidRPr="006A5920">
        <w:rPr>
          <w:sz w:val="28"/>
          <w:szCs w:val="28"/>
        </w:rPr>
        <w:lastRenderedPageBreak/>
        <w:t xml:space="preserve">Для определения клеточного состава крови использован гематологический анализатор </w:t>
      </w:r>
      <w:r w:rsidRPr="006A5920">
        <w:rPr>
          <w:sz w:val="28"/>
          <w:szCs w:val="28"/>
          <w:lang w:val="en-US"/>
        </w:rPr>
        <w:t>SysmexKX</w:t>
      </w:r>
      <w:r w:rsidRPr="006A5920">
        <w:rPr>
          <w:sz w:val="28"/>
          <w:szCs w:val="28"/>
        </w:rPr>
        <w:t>-21</w:t>
      </w:r>
      <w:r w:rsidRPr="006A5920">
        <w:rPr>
          <w:sz w:val="28"/>
          <w:szCs w:val="28"/>
          <w:lang w:val="en-US"/>
        </w:rPr>
        <w:t>N</w:t>
      </w:r>
      <w:r w:rsidRPr="006A5920">
        <w:rPr>
          <w:sz w:val="28"/>
          <w:szCs w:val="28"/>
        </w:rPr>
        <w:t xml:space="preserve"> (метод проточной цитометрии и лазерной детекции, Япония). Анализ биохимических показателей биологических жидкостей, глюкозы/лактата выполнен с использованием анализаторов </w:t>
      </w:r>
      <w:r w:rsidRPr="006A5920">
        <w:rPr>
          <w:sz w:val="28"/>
          <w:szCs w:val="28"/>
          <w:lang w:val="en-US"/>
        </w:rPr>
        <w:t>StatFax</w:t>
      </w:r>
      <w:r w:rsidRPr="006A5920">
        <w:rPr>
          <w:sz w:val="28"/>
          <w:szCs w:val="28"/>
        </w:rPr>
        <w:t xml:space="preserve"> 1904 (США) + </w:t>
      </w:r>
      <w:r w:rsidRPr="006A5920">
        <w:rPr>
          <w:sz w:val="28"/>
          <w:szCs w:val="28"/>
          <w:lang w:val="en-US"/>
        </w:rPr>
        <w:t>R</w:t>
      </w:r>
      <w:r w:rsidRPr="006A5920">
        <w:rPr>
          <w:sz w:val="28"/>
          <w:szCs w:val="28"/>
        </w:rPr>
        <w:t xml:space="preserve"> и </w:t>
      </w:r>
      <w:r w:rsidRPr="006A5920">
        <w:rPr>
          <w:sz w:val="28"/>
          <w:szCs w:val="28"/>
          <w:lang w:val="en-US"/>
        </w:rPr>
        <w:t>SuperGLAmbulance</w:t>
      </w:r>
      <w:r w:rsidRPr="006A5920">
        <w:rPr>
          <w:sz w:val="28"/>
          <w:szCs w:val="28"/>
        </w:rPr>
        <w:t xml:space="preserve"> (Германия), работающих по принципу измерения оптической плотности биологических жидкостей под действием различных реагентов и на основе амперметрического энзиматического метода (измерение процессов ферментативного окисления на поверхности электрода). Газовый и кислотно-основной состав исследуемых биологических жидкостей исследован с применением анализатора газов крови </w:t>
      </w:r>
      <w:r w:rsidRPr="006A5920">
        <w:rPr>
          <w:sz w:val="28"/>
          <w:szCs w:val="28"/>
          <w:lang w:val="en-US"/>
        </w:rPr>
        <w:t>ABL</w:t>
      </w:r>
      <w:r w:rsidRPr="006A5920">
        <w:rPr>
          <w:sz w:val="28"/>
          <w:szCs w:val="28"/>
        </w:rPr>
        <w:t xml:space="preserve">800 </w:t>
      </w:r>
      <w:r w:rsidRPr="006A5920">
        <w:rPr>
          <w:sz w:val="28"/>
          <w:szCs w:val="28"/>
          <w:lang w:val="en-US"/>
        </w:rPr>
        <w:t>FLEX</w:t>
      </w:r>
      <w:r w:rsidRPr="006A5920">
        <w:rPr>
          <w:sz w:val="28"/>
          <w:szCs w:val="28"/>
        </w:rPr>
        <w:t xml:space="preserve"> (принцип амперометрии, потенциометрии и кондуктометрии, Дания).</w:t>
      </w:r>
    </w:p>
    <w:p w:rsidR="00286780" w:rsidRDefault="00286780" w:rsidP="00BB35D7">
      <w:pPr>
        <w:spacing w:line="360" w:lineRule="auto"/>
        <w:ind w:firstLine="709"/>
        <w:jc w:val="both"/>
        <w:rPr>
          <w:sz w:val="28"/>
          <w:szCs w:val="28"/>
        </w:rPr>
      </w:pPr>
      <w:r w:rsidRPr="006A5920">
        <w:rPr>
          <w:sz w:val="28"/>
          <w:szCs w:val="28"/>
        </w:rPr>
        <w:t xml:space="preserve">Для определения </w:t>
      </w:r>
      <w:r w:rsidRPr="006A5920">
        <w:rPr>
          <w:sz w:val="28"/>
          <w:szCs w:val="28"/>
          <w:lang w:val="en-US"/>
        </w:rPr>
        <w:t>IgA</w:t>
      </w:r>
      <w:r w:rsidRPr="006A5920">
        <w:rPr>
          <w:sz w:val="28"/>
          <w:szCs w:val="28"/>
        </w:rPr>
        <w:t xml:space="preserve">, </w:t>
      </w:r>
      <w:r w:rsidRPr="006A5920">
        <w:rPr>
          <w:sz w:val="28"/>
          <w:szCs w:val="28"/>
          <w:lang w:val="en-US"/>
        </w:rPr>
        <w:t>IgG</w:t>
      </w:r>
      <w:r w:rsidRPr="006A5920">
        <w:rPr>
          <w:sz w:val="28"/>
          <w:szCs w:val="28"/>
        </w:rPr>
        <w:t xml:space="preserve">, </w:t>
      </w:r>
      <w:r w:rsidRPr="006A5920">
        <w:rPr>
          <w:sz w:val="28"/>
          <w:szCs w:val="28"/>
          <w:lang w:val="en-US"/>
        </w:rPr>
        <w:t>IgM</w:t>
      </w:r>
      <w:r w:rsidRPr="006A5920">
        <w:rPr>
          <w:sz w:val="28"/>
          <w:szCs w:val="28"/>
        </w:rPr>
        <w:t>, интерлейкинов ИЛ-1, ИЛ-4, ИЛ-6, ИЛ-10, ФНОα методом иммуноферментного анализа, использованы наборы «Иммуноскрин</w:t>
      </w:r>
      <w:r>
        <w:rPr>
          <w:sz w:val="28"/>
          <w:szCs w:val="28"/>
        </w:rPr>
        <w:t>-</w:t>
      </w:r>
      <w:r w:rsidRPr="006A5920">
        <w:rPr>
          <w:sz w:val="28"/>
          <w:szCs w:val="28"/>
          <w:lang w:val="en-US"/>
        </w:rPr>
        <w:t>G</w:t>
      </w:r>
      <w:r w:rsidRPr="006A5920">
        <w:rPr>
          <w:sz w:val="28"/>
          <w:szCs w:val="28"/>
        </w:rPr>
        <w:t xml:space="preserve">, </w:t>
      </w:r>
      <w:r w:rsidRPr="006A5920">
        <w:rPr>
          <w:sz w:val="28"/>
          <w:szCs w:val="28"/>
          <w:lang w:val="en-US"/>
        </w:rPr>
        <w:t>M</w:t>
      </w:r>
      <w:r w:rsidRPr="006A5920">
        <w:rPr>
          <w:sz w:val="28"/>
          <w:szCs w:val="28"/>
        </w:rPr>
        <w:t xml:space="preserve">, </w:t>
      </w:r>
      <w:r w:rsidRPr="006A5920">
        <w:rPr>
          <w:sz w:val="28"/>
          <w:szCs w:val="28"/>
          <w:lang w:val="en-US"/>
        </w:rPr>
        <w:t>A</w:t>
      </w:r>
      <w:r>
        <w:rPr>
          <w:sz w:val="28"/>
          <w:szCs w:val="28"/>
        </w:rPr>
        <w:t>-</w:t>
      </w:r>
      <w:r w:rsidRPr="006A5920">
        <w:rPr>
          <w:sz w:val="28"/>
          <w:szCs w:val="28"/>
        </w:rPr>
        <w:t>ИФА</w:t>
      </w:r>
      <w:r>
        <w:rPr>
          <w:sz w:val="28"/>
          <w:szCs w:val="28"/>
        </w:rPr>
        <w:t>-</w:t>
      </w:r>
      <w:r w:rsidRPr="006A5920">
        <w:rPr>
          <w:sz w:val="28"/>
          <w:szCs w:val="28"/>
        </w:rPr>
        <w:t>БЕСТ», «Интерлейкин</w:t>
      </w:r>
      <w:r>
        <w:rPr>
          <w:sz w:val="28"/>
          <w:szCs w:val="28"/>
        </w:rPr>
        <w:t>-</w:t>
      </w:r>
      <w:r w:rsidRPr="006A5920">
        <w:rPr>
          <w:sz w:val="28"/>
          <w:szCs w:val="28"/>
        </w:rPr>
        <w:t>1 бета</w:t>
      </w:r>
      <w:r>
        <w:rPr>
          <w:sz w:val="28"/>
          <w:szCs w:val="28"/>
        </w:rPr>
        <w:t>-</w:t>
      </w:r>
      <w:r w:rsidRPr="006A5920">
        <w:rPr>
          <w:sz w:val="28"/>
          <w:szCs w:val="28"/>
        </w:rPr>
        <w:t>ИФА-БЕСТ», «Интерлейкин</w:t>
      </w:r>
      <w:r>
        <w:rPr>
          <w:sz w:val="28"/>
          <w:szCs w:val="28"/>
        </w:rPr>
        <w:t>-</w:t>
      </w:r>
      <w:r w:rsidRPr="006A5920">
        <w:rPr>
          <w:sz w:val="28"/>
          <w:szCs w:val="28"/>
        </w:rPr>
        <w:t>4</w:t>
      </w:r>
      <w:r>
        <w:rPr>
          <w:sz w:val="28"/>
          <w:szCs w:val="28"/>
        </w:rPr>
        <w:t>-</w:t>
      </w:r>
      <w:r w:rsidRPr="006A5920">
        <w:rPr>
          <w:sz w:val="28"/>
          <w:szCs w:val="28"/>
        </w:rPr>
        <w:t>ИФА-БЕСТ», «Интерлейкин</w:t>
      </w:r>
      <w:r>
        <w:rPr>
          <w:sz w:val="28"/>
          <w:szCs w:val="28"/>
        </w:rPr>
        <w:t>-</w:t>
      </w:r>
      <w:r w:rsidRPr="006A5920">
        <w:rPr>
          <w:sz w:val="28"/>
          <w:szCs w:val="28"/>
        </w:rPr>
        <w:t>6</w:t>
      </w:r>
      <w:r>
        <w:rPr>
          <w:sz w:val="28"/>
          <w:szCs w:val="28"/>
        </w:rPr>
        <w:t>-</w:t>
      </w:r>
      <w:r w:rsidRPr="006A5920">
        <w:rPr>
          <w:sz w:val="28"/>
          <w:szCs w:val="28"/>
        </w:rPr>
        <w:t>ИФА-БЕСТ», «Интерлейкин</w:t>
      </w:r>
      <w:r>
        <w:rPr>
          <w:sz w:val="28"/>
          <w:szCs w:val="28"/>
        </w:rPr>
        <w:t>-</w:t>
      </w:r>
      <w:r w:rsidRPr="006A5920">
        <w:rPr>
          <w:sz w:val="28"/>
          <w:szCs w:val="28"/>
        </w:rPr>
        <w:t>10</w:t>
      </w:r>
      <w:r>
        <w:rPr>
          <w:sz w:val="28"/>
          <w:szCs w:val="28"/>
        </w:rPr>
        <w:t>-</w:t>
      </w:r>
      <w:r w:rsidRPr="006A5920">
        <w:rPr>
          <w:sz w:val="28"/>
          <w:szCs w:val="28"/>
        </w:rPr>
        <w:t>ИФА-БЕСТ», «альфа</w:t>
      </w:r>
      <w:r>
        <w:rPr>
          <w:sz w:val="28"/>
          <w:szCs w:val="28"/>
        </w:rPr>
        <w:t>-</w:t>
      </w:r>
      <w:r w:rsidRPr="006A5920">
        <w:rPr>
          <w:sz w:val="28"/>
          <w:szCs w:val="28"/>
        </w:rPr>
        <w:t>ФНО</w:t>
      </w:r>
      <w:r>
        <w:rPr>
          <w:sz w:val="28"/>
          <w:szCs w:val="28"/>
        </w:rPr>
        <w:t>-</w:t>
      </w:r>
      <w:r w:rsidRPr="006A5920">
        <w:rPr>
          <w:sz w:val="28"/>
          <w:szCs w:val="28"/>
        </w:rPr>
        <w:t>ИФА</w:t>
      </w:r>
      <w:r>
        <w:rPr>
          <w:sz w:val="28"/>
          <w:szCs w:val="28"/>
        </w:rPr>
        <w:t>-</w:t>
      </w:r>
      <w:r w:rsidRPr="006A5920">
        <w:rPr>
          <w:sz w:val="28"/>
          <w:szCs w:val="28"/>
        </w:rPr>
        <w:t>БЕСТ» фирмы «Вектор-Бест», Россия.</w:t>
      </w:r>
    </w:p>
    <w:p w:rsidR="00286780" w:rsidRPr="006A5920" w:rsidRDefault="00286780" w:rsidP="00BB35D7">
      <w:pPr>
        <w:spacing w:line="360" w:lineRule="auto"/>
        <w:ind w:firstLine="709"/>
        <w:jc w:val="both"/>
        <w:rPr>
          <w:sz w:val="28"/>
          <w:szCs w:val="28"/>
        </w:rPr>
      </w:pPr>
    </w:p>
    <w:p w:rsidR="00286780" w:rsidRPr="004A0CF0" w:rsidRDefault="00286780" w:rsidP="00243E84">
      <w:pPr>
        <w:pStyle w:val="31"/>
        <w:spacing w:line="360" w:lineRule="auto"/>
        <w:jc w:val="both"/>
      </w:pPr>
      <w:bookmarkStart w:id="10" w:name="_Toc67905693"/>
      <w:r>
        <w:t xml:space="preserve">2.3 </w:t>
      </w:r>
      <w:r w:rsidRPr="006A5920">
        <w:t>Методы статистической обработки данных</w:t>
      </w:r>
      <w:bookmarkEnd w:id="10"/>
    </w:p>
    <w:p w:rsidR="00286780" w:rsidRDefault="00286780" w:rsidP="00243E84">
      <w:pPr>
        <w:spacing w:line="360" w:lineRule="auto"/>
        <w:ind w:firstLine="709"/>
        <w:jc w:val="both"/>
        <w:rPr>
          <w:sz w:val="28"/>
          <w:szCs w:val="28"/>
        </w:rPr>
      </w:pPr>
      <w:r w:rsidRPr="006A5920">
        <w:rPr>
          <w:sz w:val="28"/>
          <w:szCs w:val="28"/>
        </w:rPr>
        <w:t xml:space="preserve">Для статистической обработки результатов исследования использован пакет программ </w:t>
      </w:r>
      <w:r w:rsidRPr="006A5920">
        <w:rPr>
          <w:sz w:val="28"/>
          <w:szCs w:val="28"/>
          <w:lang w:val="en-US"/>
        </w:rPr>
        <w:t>STATISTICA</w:t>
      </w:r>
      <w:r w:rsidRPr="006A5920">
        <w:rPr>
          <w:sz w:val="28"/>
          <w:szCs w:val="28"/>
        </w:rPr>
        <w:t xml:space="preserve"> 6.1 фирмы </w:t>
      </w:r>
      <w:r w:rsidRPr="006A5920">
        <w:rPr>
          <w:sz w:val="28"/>
          <w:szCs w:val="28"/>
          <w:lang w:val="en-US"/>
        </w:rPr>
        <w:t>StatSoft</w:t>
      </w:r>
      <w:r w:rsidRPr="006A5920">
        <w:rPr>
          <w:sz w:val="28"/>
          <w:szCs w:val="28"/>
          <w:vertAlign w:val="superscript"/>
        </w:rPr>
        <w:t>®</w:t>
      </w:r>
      <w:r w:rsidRPr="006A5920">
        <w:rPr>
          <w:sz w:val="28"/>
          <w:szCs w:val="28"/>
        </w:rPr>
        <w:t>.Статистическая нулевая гипотеза о соответствии данных нормальному закону проверялась с помощью критерия Шапиро–Уилка. В качестве порогового уровня статистической значимости р (вероятности ошибочно отклонить нулевую гипотезу) принято значение 0,05.</w:t>
      </w:r>
      <w:r w:rsidR="00C028B0">
        <w:rPr>
          <w:sz w:val="28"/>
          <w:szCs w:val="28"/>
        </w:rPr>
        <w:t xml:space="preserve"> </w:t>
      </w:r>
      <w:r w:rsidRPr="006A5920">
        <w:rPr>
          <w:sz w:val="28"/>
          <w:szCs w:val="28"/>
        </w:rPr>
        <w:t>Для признаков, которые были распределены в соответствии с законом нормального распределения, в качестве наиболее типичного значения для выборки выбирали среднее значение (</w:t>
      </w:r>
      <w:r w:rsidRPr="006A5920">
        <w:rPr>
          <w:sz w:val="28"/>
          <w:szCs w:val="28"/>
          <w:lang w:val="en-US"/>
        </w:rPr>
        <w:t>M</w:t>
      </w:r>
      <w:r w:rsidRPr="006A5920">
        <w:rPr>
          <w:sz w:val="28"/>
          <w:szCs w:val="28"/>
        </w:rPr>
        <w:t>), в качестве меры рассеяния – стандартную ошибку среднего (</w:t>
      </w:r>
      <w:r w:rsidRPr="006A5920">
        <w:rPr>
          <w:sz w:val="28"/>
          <w:szCs w:val="28"/>
          <w:lang w:val="en-US"/>
        </w:rPr>
        <w:t>m</w:t>
      </w:r>
      <w:r w:rsidRPr="006A5920">
        <w:rPr>
          <w:sz w:val="28"/>
          <w:szCs w:val="28"/>
        </w:rPr>
        <w:t>), результат записан в виде М±</w:t>
      </w:r>
      <w:r w:rsidRPr="006A5920">
        <w:rPr>
          <w:sz w:val="28"/>
          <w:szCs w:val="28"/>
          <w:lang w:val="en-US"/>
        </w:rPr>
        <w:t>m</w:t>
      </w:r>
      <w:r w:rsidRPr="006A5920">
        <w:rPr>
          <w:sz w:val="28"/>
          <w:szCs w:val="28"/>
        </w:rPr>
        <w:t>.</w:t>
      </w:r>
      <w:r w:rsidRPr="00306C6B">
        <w:rPr>
          <w:spacing w:val="-4"/>
          <w:sz w:val="28"/>
          <w:szCs w:val="28"/>
        </w:rPr>
        <w:t>Для признаков, не подчиняющихся закону нормального распределения, определялась медиана (</w:t>
      </w:r>
      <w:r w:rsidRPr="00306C6B">
        <w:rPr>
          <w:spacing w:val="-4"/>
          <w:sz w:val="28"/>
          <w:szCs w:val="28"/>
          <w:lang w:val="en-US"/>
        </w:rPr>
        <w:t>Me</w:t>
      </w:r>
      <w:r w:rsidRPr="00306C6B">
        <w:rPr>
          <w:spacing w:val="-4"/>
          <w:sz w:val="28"/>
          <w:szCs w:val="28"/>
        </w:rPr>
        <w:t xml:space="preserve">), 25 и 75 квартили, результат вида </w:t>
      </w:r>
      <w:r w:rsidRPr="00306C6B">
        <w:rPr>
          <w:spacing w:val="-4"/>
          <w:sz w:val="28"/>
          <w:szCs w:val="28"/>
          <w:lang w:val="en-US"/>
        </w:rPr>
        <w:t>Me</w:t>
      </w:r>
      <w:r w:rsidRPr="00306C6B">
        <w:rPr>
          <w:spacing w:val="-4"/>
          <w:sz w:val="28"/>
          <w:szCs w:val="28"/>
        </w:rPr>
        <w:t xml:space="preserve"> [25; 75 квартили], т. е. </w:t>
      </w:r>
      <w:r w:rsidRPr="00306C6B">
        <w:rPr>
          <w:spacing w:val="-4"/>
          <w:sz w:val="28"/>
          <w:szCs w:val="28"/>
          <w:lang w:val="en-US"/>
        </w:rPr>
        <w:t>Me</w:t>
      </w:r>
      <w:r w:rsidRPr="00306C6B">
        <w:rPr>
          <w:spacing w:val="-4"/>
          <w:sz w:val="28"/>
          <w:szCs w:val="28"/>
        </w:rPr>
        <w:t xml:space="preserve"> [50% </w:t>
      </w:r>
      <w:r w:rsidRPr="00306C6B">
        <w:rPr>
          <w:spacing w:val="-4"/>
          <w:sz w:val="28"/>
          <w:szCs w:val="28"/>
          <w:lang w:val="en-US"/>
        </w:rPr>
        <w:t>IQR</w:t>
      </w:r>
      <w:r w:rsidRPr="00306C6B">
        <w:rPr>
          <w:spacing w:val="-4"/>
          <w:sz w:val="28"/>
          <w:szCs w:val="28"/>
        </w:rPr>
        <w:t xml:space="preserve">], где 50% </w:t>
      </w:r>
      <w:r w:rsidRPr="00306C6B">
        <w:rPr>
          <w:spacing w:val="-4"/>
          <w:sz w:val="28"/>
          <w:szCs w:val="28"/>
          <w:lang w:val="en-US"/>
        </w:rPr>
        <w:t>IQR</w:t>
      </w:r>
      <w:r w:rsidRPr="00306C6B">
        <w:rPr>
          <w:spacing w:val="-4"/>
          <w:sz w:val="28"/>
          <w:szCs w:val="28"/>
        </w:rPr>
        <w:t xml:space="preserve"> – 50%-й межквартильный интервал (средний).</w:t>
      </w:r>
      <w:r w:rsidRPr="006A5920">
        <w:rPr>
          <w:sz w:val="28"/>
          <w:szCs w:val="28"/>
        </w:rPr>
        <w:t xml:space="preserve">Для проверки различий средних изучаемых признаков, </w:t>
      </w:r>
      <w:r w:rsidRPr="006A5920">
        <w:rPr>
          <w:sz w:val="28"/>
          <w:szCs w:val="28"/>
        </w:rPr>
        <w:lastRenderedPageBreak/>
        <w:t xml:space="preserve">имеющих нормальное распределение в исследуемых </w:t>
      </w:r>
      <w:r>
        <w:rPr>
          <w:sz w:val="28"/>
          <w:szCs w:val="28"/>
        </w:rPr>
        <w:t>под</w:t>
      </w:r>
      <w:r w:rsidRPr="006A5920">
        <w:rPr>
          <w:sz w:val="28"/>
          <w:szCs w:val="28"/>
        </w:rPr>
        <w:t xml:space="preserve">группах, использован критерий </w:t>
      </w:r>
      <w:r>
        <w:rPr>
          <w:sz w:val="28"/>
          <w:szCs w:val="28"/>
        </w:rPr>
        <w:t xml:space="preserve">Ньюмена - Кейлса для независимых выборок. </w:t>
      </w:r>
      <w:r w:rsidRPr="006A5920">
        <w:rPr>
          <w:sz w:val="28"/>
          <w:szCs w:val="28"/>
        </w:rPr>
        <w:t xml:space="preserve">Различия средних изучаемых признаков, не имеющих нормального распределения в исследуемых группах, определяли с помощью </w:t>
      </w:r>
      <w:r w:rsidRPr="006A5920">
        <w:rPr>
          <w:sz w:val="28"/>
          <w:szCs w:val="28"/>
          <w:lang w:val="en-US"/>
        </w:rPr>
        <w:t>U</w:t>
      </w:r>
      <w:r w:rsidRPr="006A5920">
        <w:rPr>
          <w:sz w:val="28"/>
          <w:szCs w:val="28"/>
        </w:rPr>
        <w:t xml:space="preserve"> критери</w:t>
      </w:r>
      <w:r>
        <w:rPr>
          <w:sz w:val="28"/>
          <w:szCs w:val="28"/>
        </w:rPr>
        <w:t>я</w:t>
      </w:r>
      <w:r w:rsidRPr="006A5920">
        <w:rPr>
          <w:sz w:val="28"/>
          <w:szCs w:val="28"/>
        </w:rPr>
        <w:t xml:space="preserve"> Манна</w:t>
      </w:r>
      <w:r>
        <w:rPr>
          <w:sz w:val="28"/>
          <w:szCs w:val="28"/>
        </w:rPr>
        <w:t xml:space="preserve">– </w:t>
      </w:r>
      <w:r w:rsidRPr="006A5920">
        <w:rPr>
          <w:sz w:val="28"/>
          <w:szCs w:val="28"/>
        </w:rPr>
        <w:t>Уитни</w:t>
      </w:r>
      <w:r>
        <w:rPr>
          <w:sz w:val="28"/>
          <w:szCs w:val="28"/>
        </w:rPr>
        <w:t>, а при множественном сравнении – критерий Краскела – Уоллиса.</w:t>
      </w:r>
    </w:p>
    <w:p w:rsidR="00286780" w:rsidRDefault="00286780" w:rsidP="00BB35D7">
      <w:pPr>
        <w:spacing w:line="360" w:lineRule="auto"/>
        <w:ind w:firstLine="709"/>
        <w:jc w:val="both"/>
        <w:rPr>
          <w:sz w:val="28"/>
          <w:szCs w:val="28"/>
        </w:rPr>
      </w:pPr>
      <w:r>
        <w:rPr>
          <w:sz w:val="28"/>
          <w:szCs w:val="28"/>
        </w:rPr>
        <w:t>Для выявления иерархии значений и классификации кластеров в пределах величин исследуемых признаков применялся кластерный анализ (для лейкоцитарного индекса интоксикации как интегративного признака).</w:t>
      </w:r>
    </w:p>
    <w:p w:rsidR="00286780" w:rsidRDefault="00286780" w:rsidP="00BB35D7">
      <w:pPr>
        <w:spacing w:line="360" w:lineRule="auto"/>
        <w:ind w:firstLine="709"/>
        <w:jc w:val="both"/>
        <w:rPr>
          <w:sz w:val="28"/>
          <w:szCs w:val="28"/>
        </w:rPr>
      </w:pPr>
      <w:r>
        <w:rPr>
          <w:sz w:val="28"/>
          <w:szCs w:val="28"/>
        </w:rPr>
        <w:t>Для определения взаимосвязи между признаками использован корреляционный анализ. Величина корреляции определена по шкале Чеддока (от очень слабой до очень высокой).</w:t>
      </w:r>
    </w:p>
    <w:p w:rsidR="00286780" w:rsidRDefault="00286780" w:rsidP="00BB35D7">
      <w:pPr>
        <w:spacing w:line="360" w:lineRule="auto"/>
        <w:ind w:firstLine="709"/>
        <w:jc w:val="both"/>
        <w:rPr>
          <w:sz w:val="28"/>
          <w:szCs w:val="28"/>
        </w:rPr>
      </w:pPr>
      <w:r>
        <w:rPr>
          <w:sz w:val="28"/>
          <w:szCs w:val="28"/>
        </w:rPr>
        <w:t xml:space="preserve">Для разработки алгоритма ранней диагностики одонтогенного сепсиса, алгоритма диагностики одонтогенного сепсиса (1), программы комплексного многокомпонентного лечения, использован метод экспертных оценок. Для разработкиалгоритма диагностики одонтогенного сепсиса (2) применялся дискриминантный анализ клинико-лабораторных показателей пациентов с МФОИ и ОС. </w:t>
      </w:r>
    </w:p>
    <w:p w:rsidR="00286780" w:rsidRPr="0075500E" w:rsidRDefault="00286780" w:rsidP="00BB35D7">
      <w:pPr>
        <w:spacing w:line="360" w:lineRule="auto"/>
        <w:ind w:firstLine="709"/>
        <w:jc w:val="both"/>
        <w:rPr>
          <w:sz w:val="28"/>
          <w:szCs w:val="28"/>
        </w:rPr>
      </w:pPr>
      <w:r w:rsidRPr="006A5920">
        <w:rPr>
          <w:sz w:val="28"/>
          <w:szCs w:val="28"/>
        </w:rPr>
        <w:t>Для исследования эффективности диагностических методов использован онлайн-калькулятор «</w:t>
      </w:r>
      <w:r w:rsidRPr="006A5920">
        <w:rPr>
          <w:sz w:val="28"/>
          <w:szCs w:val="28"/>
          <w:lang w:val="en-US"/>
        </w:rPr>
        <w:t>MEDCALC</w:t>
      </w:r>
      <w:r w:rsidRPr="006A5920">
        <w:rPr>
          <w:sz w:val="28"/>
          <w:szCs w:val="28"/>
        </w:rPr>
        <w:t>»</w:t>
      </w:r>
      <w:r>
        <w:rPr>
          <w:sz w:val="28"/>
          <w:szCs w:val="28"/>
        </w:rPr>
        <w:t xml:space="preserve"> (</w:t>
      </w:r>
      <w:r w:rsidRPr="006A5920">
        <w:rPr>
          <w:sz w:val="28"/>
          <w:szCs w:val="28"/>
          <w:lang w:val="en-US"/>
        </w:rPr>
        <w:t>URL</w:t>
      </w:r>
      <w:r w:rsidRPr="006A5920">
        <w:rPr>
          <w:sz w:val="28"/>
          <w:szCs w:val="28"/>
        </w:rPr>
        <w:t xml:space="preserve">: </w:t>
      </w:r>
      <w:r w:rsidRPr="006A5920">
        <w:rPr>
          <w:sz w:val="28"/>
          <w:szCs w:val="28"/>
          <w:lang w:val="en-US"/>
        </w:rPr>
        <w:t>http</w:t>
      </w:r>
      <w:r w:rsidRPr="006A5920">
        <w:rPr>
          <w:sz w:val="28"/>
          <w:szCs w:val="28"/>
        </w:rPr>
        <w:t>://</w:t>
      </w:r>
      <w:r w:rsidRPr="006A5920">
        <w:rPr>
          <w:sz w:val="28"/>
          <w:szCs w:val="28"/>
          <w:lang w:val="en-US"/>
        </w:rPr>
        <w:t>medcalc</w:t>
      </w:r>
      <w:r w:rsidRPr="006A5920">
        <w:rPr>
          <w:sz w:val="28"/>
          <w:szCs w:val="28"/>
        </w:rPr>
        <w:t>.</w:t>
      </w:r>
      <w:r w:rsidRPr="006A5920">
        <w:rPr>
          <w:sz w:val="28"/>
          <w:szCs w:val="28"/>
          <w:lang w:val="en-US"/>
        </w:rPr>
        <w:t>org</w:t>
      </w:r>
      <w:r>
        <w:rPr>
          <w:sz w:val="28"/>
          <w:szCs w:val="28"/>
        </w:rPr>
        <w:t>)</w:t>
      </w:r>
      <w:r w:rsidRPr="006A5920">
        <w:rPr>
          <w:sz w:val="28"/>
          <w:szCs w:val="28"/>
        </w:rPr>
        <w:t>. Получены значения чувствительности, специфичности, точности, прогностичности положительного и отрицательного результатов (</w:t>
      </w:r>
      <w:r w:rsidRPr="006A5920">
        <w:rPr>
          <w:sz w:val="28"/>
          <w:szCs w:val="28"/>
          <w:lang w:val="en-US"/>
        </w:rPr>
        <w:t>Se</w:t>
      </w:r>
      <w:r w:rsidRPr="006A5920">
        <w:rPr>
          <w:sz w:val="28"/>
          <w:szCs w:val="28"/>
        </w:rPr>
        <w:t xml:space="preserve">, </w:t>
      </w:r>
      <w:r w:rsidRPr="006A5920">
        <w:rPr>
          <w:sz w:val="28"/>
          <w:szCs w:val="28"/>
          <w:lang w:val="en-US"/>
        </w:rPr>
        <w:t>Sp</w:t>
      </w:r>
      <w:r w:rsidRPr="006A5920">
        <w:rPr>
          <w:sz w:val="28"/>
          <w:szCs w:val="28"/>
        </w:rPr>
        <w:t xml:space="preserve">, </w:t>
      </w:r>
      <w:r w:rsidRPr="006A5920">
        <w:rPr>
          <w:sz w:val="28"/>
          <w:szCs w:val="28"/>
          <w:lang w:val="en-US"/>
        </w:rPr>
        <w:t>Ac</w:t>
      </w:r>
      <w:r w:rsidRPr="006A5920">
        <w:rPr>
          <w:sz w:val="28"/>
          <w:szCs w:val="28"/>
        </w:rPr>
        <w:t xml:space="preserve">, </w:t>
      </w:r>
      <w:r w:rsidRPr="006A5920">
        <w:rPr>
          <w:sz w:val="28"/>
          <w:szCs w:val="28"/>
          <w:lang w:val="en-US"/>
        </w:rPr>
        <w:t>PPV</w:t>
      </w:r>
      <w:r w:rsidRPr="006A5920">
        <w:rPr>
          <w:sz w:val="28"/>
          <w:szCs w:val="28"/>
        </w:rPr>
        <w:t xml:space="preserve">, </w:t>
      </w:r>
      <w:r w:rsidRPr="006A5920">
        <w:rPr>
          <w:sz w:val="28"/>
          <w:szCs w:val="28"/>
          <w:lang w:val="en-US"/>
        </w:rPr>
        <w:t>NPV</w:t>
      </w:r>
      <w:r w:rsidRPr="006A5920">
        <w:rPr>
          <w:sz w:val="28"/>
          <w:szCs w:val="28"/>
        </w:rPr>
        <w:t xml:space="preserve">), а </w:t>
      </w:r>
      <w:r>
        <w:rPr>
          <w:sz w:val="28"/>
          <w:szCs w:val="28"/>
        </w:rPr>
        <w:t>также</w:t>
      </w:r>
      <w:r w:rsidRPr="006A5920">
        <w:rPr>
          <w:sz w:val="28"/>
          <w:szCs w:val="28"/>
        </w:rPr>
        <w:t xml:space="preserve"> величина </w:t>
      </w:r>
      <w:r w:rsidRPr="006A5920">
        <w:rPr>
          <w:sz w:val="28"/>
          <w:szCs w:val="28"/>
          <w:lang w:val="en-US"/>
        </w:rPr>
        <w:t>p</w:t>
      </w:r>
      <w:r w:rsidRPr="006A5920">
        <w:rPr>
          <w:sz w:val="28"/>
          <w:szCs w:val="28"/>
        </w:rPr>
        <w:t xml:space="preserve"> по результатам вычисления точного критерия Фишера, форма записи для </w:t>
      </w:r>
      <w:r w:rsidRPr="006A5920">
        <w:rPr>
          <w:sz w:val="28"/>
          <w:szCs w:val="28"/>
          <w:lang w:val="en-US"/>
        </w:rPr>
        <w:t>Se</w:t>
      </w:r>
      <w:r w:rsidRPr="006A5920">
        <w:rPr>
          <w:sz w:val="28"/>
          <w:szCs w:val="28"/>
        </w:rPr>
        <w:t xml:space="preserve">, </w:t>
      </w:r>
      <w:r w:rsidRPr="006A5920">
        <w:rPr>
          <w:sz w:val="28"/>
          <w:szCs w:val="28"/>
          <w:lang w:val="en-US"/>
        </w:rPr>
        <w:t>Sp</w:t>
      </w:r>
      <w:r w:rsidRPr="006A5920">
        <w:rPr>
          <w:sz w:val="28"/>
          <w:szCs w:val="28"/>
        </w:rPr>
        <w:t xml:space="preserve">, </w:t>
      </w:r>
      <w:r w:rsidRPr="006A5920">
        <w:rPr>
          <w:sz w:val="28"/>
          <w:szCs w:val="28"/>
          <w:lang w:val="en-US"/>
        </w:rPr>
        <w:t>Ac</w:t>
      </w:r>
      <w:r w:rsidRPr="006A5920">
        <w:rPr>
          <w:sz w:val="28"/>
          <w:szCs w:val="28"/>
        </w:rPr>
        <w:t xml:space="preserve">, </w:t>
      </w:r>
      <w:r w:rsidRPr="006A5920">
        <w:rPr>
          <w:sz w:val="28"/>
          <w:szCs w:val="28"/>
          <w:lang w:val="en-US"/>
        </w:rPr>
        <w:t>PPV</w:t>
      </w:r>
      <w:r w:rsidRPr="006A5920">
        <w:rPr>
          <w:sz w:val="28"/>
          <w:szCs w:val="28"/>
        </w:rPr>
        <w:t xml:space="preserve">, </w:t>
      </w:r>
      <w:r w:rsidRPr="006A5920">
        <w:rPr>
          <w:sz w:val="28"/>
          <w:szCs w:val="28"/>
          <w:lang w:val="en-US"/>
        </w:rPr>
        <w:t>NPV</w:t>
      </w:r>
      <w:r w:rsidRPr="006A5920">
        <w:rPr>
          <w:i/>
          <w:sz w:val="28"/>
          <w:szCs w:val="28"/>
        </w:rPr>
        <w:t xml:space="preserve">: </w:t>
      </w:r>
      <w:r w:rsidRPr="006A5920">
        <w:rPr>
          <w:i/>
          <w:sz w:val="28"/>
          <w:szCs w:val="28"/>
          <w:lang w:val="en-US"/>
        </w:rPr>
        <w:t>Me</w:t>
      </w:r>
      <w:r w:rsidRPr="006A5920">
        <w:rPr>
          <w:i/>
          <w:sz w:val="28"/>
          <w:szCs w:val="28"/>
        </w:rPr>
        <w:t xml:space="preserve"> [95% ДИ]</w:t>
      </w:r>
      <w:r w:rsidRPr="006A5920">
        <w:rPr>
          <w:sz w:val="28"/>
          <w:szCs w:val="28"/>
        </w:rPr>
        <w:t xml:space="preserve">, где </w:t>
      </w:r>
      <w:r w:rsidRPr="006A5920">
        <w:rPr>
          <w:i/>
          <w:sz w:val="28"/>
          <w:szCs w:val="28"/>
          <w:lang w:val="en-US"/>
        </w:rPr>
        <w:t>Me</w:t>
      </w:r>
      <w:r w:rsidRPr="006A5920">
        <w:rPr>
          <w:i/>
          <w:sz w:val="28"/>
          <w:szCs w:val="28"/>
        </w:rPr>
        <w:t xml:space="preserve"> – </w:t>
      </w:r>
      <w:r w:rsidRPr="006A5920">
        <w:rPr>
          <w:sz w:val="28"/>
          <w:szCs w:val="28"/>
        </w:rPr>
        <w:t xml:space="preserve">медиана, а </w:t>
      </w:r>
      <w:r w:rsidRPr="006A5920">
        <w:rPr>
          <w:i/>
          <w:sz w:val="28"/>
          <w:szCs w:val="28"/>
        </w:rPr>
        <w:t xml:space="preserve">[95% ДИ]– </w:t>
      </w:r>
      <w:r>
        <w:rPr>
          <w:i/>
          <w:sz w:val="28"/>
          <w:szCs w:val="28"/>
        </w:rPr>
        <w:t xml:space="preserve">95%-й </w:t>
      </w:r>
      <w:r w:rsidRPr="006A5920">
        <w:rPr>
          <w:sz w:val="28"/>
          <w:szCs w:val="28"/>
        </w:rPr>
        <w:t>доверительный интервал</w:t>
      </w:r>
      <w:r w:rsidRPr="006A5920">
        <w:rPr>
          <w:i/>
          <w:sz w:val="28"/>
          <w:szCs w:val="28"/>
        </w:rPr>
        <w:t>.</w:t>
      </w:r>
      <w:r>
        <w:rPr>
          <w:sz w:val="28"/>
          <w:szCs w:val="28"/>
        </w:rPr>
        <w:t xml:space="preserve"> В настоящем исследовании в качестве порогового значения принят уровень статистической значимости </w:t>
      </w:r>
      <w:r>
        <w:rPr>
          <w:sz w:val="28"/>
          <w:szCs w:val="28"/>
          <w:lang w:val="en-US"/>
        </w:rPr>
        <w:t>a</w:t>
      </w:r>
      <w:r w:rsidRPr="00F2638E">
        <w:rPr>
          <w:sz w:val="28"/>
          <w:szCs w:val="28"/>
        </w:rPr>
        <w:t>=0,05.</w:t>
      </w:r>
    </w:p>
    <w:p w:rsidR="00286780" w:rsidRPr="00C55ECF" w:rsidRDefault="00286780" w:rsidP="00C55ECF">
      <w:pPr>
        <w:jc w:val="center"/>
        <w:rPr>
          <w:b/>
          <w:sz w:val="28"/>
          <w:szCs w:val="28"/>
          <w:lang w:eastAsia="en-US"/>
        </w:rPr>
      </w:pPr>
      <w:r>
        <w:rPr>
          <w:sz w:val="28"/>
          <w:szCs w:val="28"/>
          <w:lang w:eastAsia="en-US"/>
        </w:rPr>
        <w:br w:type="page"/>
      </w:r>
      <w:r w:rsidR="00C55ECF" w:rsidRPr="00C55ECF">
        <w:rPr>
          <w:b/>
          <w:sz w:val="28"/>
          <w:szCs w:val="28"/>
          <w:lang w:eastAsia="en-US"/>
        </w:rPr>
        <w:lastRenderedPageBreak/>
        <w:t>ОСНОВНАЯ ЧАСТЬ</w:t>
      </w:r>
    </w:p>
    <w:p w:rsidR="00C55ECF" w:rsidRDefault="00C55ECF" w:rsidP="00C55ECF">
      <w:pPr>
        <w:jc w:val="center"/>
        <w:rPr>
          <w:b/>
          <w:bCs/>
          <w:spacing w:val="-1"/>
          <w:kern w:val="32"/>
          <w:sz w:val="28"/>
          <w:szCs w:val="28"/>
          <w:lang w:eastAsia="zh-CN"/>
        </w:rPr>
      </w:pPr>
    </w:p>
    <w:p w:rsidR="00286780" w:rsidRDefault="00286780" w:rsidP="00C5336B">
      <w:pPr>
        <w:pStyle w:val="10"/>
      </w:pPr>
      <w:bookmarkStart w:id="11" w:name="_Toc67905694"/>
      <w:r>
        <w:t>Глава 3</w:t>
      </w:r>
      <w:r w:rsidRPr="00C5336B">
        <w:t>. П</w:t>
      </w:r>
      <w:r>
        <w:t>ЕРВЫЙ БЛОК ИССЛЕДОВАНИЙ</w:t>
      </w:r>
      <w:bookmarkEnd w:id="11"/>
    </w:p>
    <w:p w:rsidR="00286780" w:rsidRPr="00C5336B" w:rsidRDefault="00286780" w:rsidP="00C5336B">
      <w:pPr>
        <w:jc w:val="both"/>
        <w:rPr>
          <w:sz w:val="28"/>
          <w:szCs w:val="28"/>
          <w:lang w:eastAsia="en-US"/>
        </w:rPr>
      </w:pPr>
    </w:p>
    <w:p w:rsidR="00286780" w:rsidRPr="00457501" w:rsidRDefault="00286780" w:rsidP="00457501">
      <w:pPr>
        <w:pStyle w:val="20"/>
        <w:spacing w:line="360" w:lineRule="auto"/>
        <w:jc w:val="both"/>
      </w:pPr>
      <w:bookmarkStart w:id="12" w:name="_Toc67905695"/>
      <w:r>
        <w:t>3</w:t>
      </w:r>
      <w:r w:rsidRPr="00C5336B">
        <w:t>.1. Общая характеристика одонтогенных воспалительных процессов. Структура хронической патологии внутренних органов</w:t>
      </w:r>
      <w:bookmarkEnd w:id="12"/>
    </w:p>
    <w:p w:rsidR="00286780" w:rsidRPr="00C5336B" w:rsidRDefault="00286780" w:rsidP="00457501">
      <w:pPr>
        <w:spacing w:line="360" w:lineRule="auto"/>
        <w:ind w:firstLine="709"/>
        <w:jc w:val="both"/>
        <w:rPr>
          <w:rFonts w:cs="Calibri"/>
          <w:sz w:val="28"/>
          <w:szCs w:val="28"/>
          <w:lang w:eastAsia="ar-SA"/>
        </w:rPr>
      </w:pPr>
      <w:r w:rsidRPr="00C5336B">
        <w:rPr>
          <w:rFonts w:cs="Calibri"/>
          <w:sz w:val="28"/>
          <w:szCs w:val="28"/>
          <w:lang w:eastAsia="ar-SA"/>
        </w:rPr>
        <w:t>Распределение пациентов (479) с одонтогенными воспалительными заболеваниями челюстно-лицевой области</w:t>
      </w:r>
      <w:r>
        <w:rPr>
          <w:rFonts w:cs="Calibri"/>
          <w:sz w:val="28"/>
          <w:szCs w:val="28"/>
          <w:lang w:eastAsia="ar-SA"/>
        </w:rPr>
        <w:t>,</w:t>
      </w:r>
      <w:r w:rsidRPr="00C5336B">
        <w:rPr>
          <w:rFonts w:cs="Calibri"/>
          <w:sz w:val="28"/>
          <w:szCs w:val="28"/>
          <w:lang w:eastAsia="ar-SA"/>
        </w:rPr>
        <w:t xml:space="preserve"> в зависимости от фактора генерализации инфекционного процесса</w:t>
      </w:r>
      <w:r>
        <w:rPr>
          <w:rFonts w:cs="Calibri"/>
          <w:sz w:val="28"/>
          <w:szCs w:val="28"/>
          <w:lang w:eastAsia="ar-SA"/>
        </w:rPr>
        <w:t>, представлено в Таблице 20</w:t>
      </w:r>
      <w:r w:rsidRPr="00C5336B">
        <w:rPr>
          <w:rFonts w:cs="Calibri"/>
          <w:sz w:val="28"/>
          <w:szCs w:val="28"/>
          <w:lang w:eastAsia="ar-SA"/>
        </w:rPr>
        <w:t>.</w:t>
      </w:r>
    </w:p>
    <w:p w:rsidR="00286780" w:rsidRPr="00C5336B" w:rsidRDefault="00286780" w:rsidP="00C5336B">
      <w:pPr>
        <w:jc w:val="both"/>
        <w:rPr>
          <w:rFonts w:cs="Calibri"/>
          <w:sz w:val="28"/>
          <w:szCs w:val="28"/>
          <w:lang w:eastAsia="ar-SA"/>
        </w:rPr>
      </w:pPr>
    </w:p>
    <w:p w:rsidR="00286780" w:rsidRPr="00C5336B" w:rsidRDefault="00286780" w:rsidP="00C5336B">
      <w:pPr>
        <w:spacing w:after="120"/>
        <w:jc w:val="both"/>
        <w:rPr>
          <w:sz w:val="28"/>
          <w:szCs w:val="28"/>
        </w:rPr>
      </w:pPr>
      <w:r w:rsidRPr="00C5336B">
        <w:rPr>
          <w:b/>
          <w:sz w:val="28"/>
          <w:szCs w:val="28"/>
        </w:rPr>
        <w:t xml:space="preserve">Таблица </w:t>
      </w:r>
      <w:r>
        <w:rPr>
          <w:b/>
          <w:sz w:val="28"/>
          <w:szCs w:val="28"/>
        </w:rPr>
        <w:t>20</w:t>
      </w:r>
      <w:r w:rsidRPr="00C5336B">
        <w:rPr>
          <w:sz w:val="28"/>
          <w:szCs w:val="28"/>
        </w:rPr>
        <w:t xml:space="preserve"> – Общая характеристика пациентов с одонтогенной инфекцией в соответствии с характером инфекционного процесса</w:t>
      </w:r>
    </w:p>
    <w:tbl>
      <w:tblPr>
        <w:tblW w:w="9894" w:type="dxa"/>
        <w:tblLayout w:type="fixed"/>
        <w:tblLook w:val="0000" w:firstRow="0" w:lastRow="0" w:firstColumn="0" w:lastColumn="0" w:noHBand="0" w:noVBand="0"/>
      </w:tblPr>
      <w:tblGrid>
        <w:gridCol w:w="534"/>
        <w:gridCol w:w="5023"/>
        <w:gridCol w:w="2353"/>
        <w:gridCol w:w="1984"/>
      </w:tblGrid>
      <w:tr w:rsidR="00286780" w:rsidRPr="00C5336B" w:rsidTr="00C5336B">
        <w:trPr>
          <w:trHeight w:val="227"/>
        </w:trPr>
        <w:tc>
          <w:tcPr>
            <w:tcW w:w="534" w:type="dxa"/>
            <w:vMerge w:val="restart"/>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center"/>
              <w:rPr>
                <w:rFonts w:cs="Calibri"/>
                <w:i/>
                <w:sz w:val="24"/>
                <w:szCs w:val="24"/>
                <w:lang w:eastAsia="ar-SA"/>
              </w:rPr>
            </w:pPr>
            <w:r w:rsidRPr="00C5336B">
              <w:rPr>
                <w:rFonts w:cs="Calibri"/>
                <w:i/>
                <w:sz w:val="24"/>
                <w:szCs w:val="24"/>
                <w:lang w:eastAsia="ar-SA"/>
              </w:rPr>
              <w:t>№</w:t>
            </w:r>
          </w:p>
        </w:tc>
        <w:tc>
          <w:tcPr>
            <w:tcW w:w="5023" w:type="dxa"/>
            <w:vMerge w:val="restart"/>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center"/>
              <w:rPr>
                <w:rFonts w:cs="Calibri"/>
                <w:i/>
                <w:sz w:val="24"/>
                <w:szCs w:val="24"/>
                <w:lang w:eastAsia="ar-SA"/>
              </w:rPr>
            </w:pPr>
            <w:r w:rsidRPr="00C5336B">
              <w:rPr>
                <w:rFonts w:cs="Calibri"/>
                <w:i/>
                <w:sz w:val="24"/>
                <w:szCs w:val="24"/>
                <w:lang w:eastAsia="ar-SA"/>
              </w:rPr>
              <w:t>Патологический процесс</w:t>
            </w:r>
          </w:p>
        </w:tc>
        <w:tc>
          <w:tcPr>
            <w:tcW w:w="4337"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5336B" w:rsidRDefault="00286780" w:rsidP="00C5336B">
            <w:pPr>
              <w:snapToGrid w:val="0"/>
              <w:jc w:val="center"/>
              <w:rPr>
                <w:rFonts w:cs="Calibri"/>
                <w:i/>
                <w:sz w:val="24"/>
                <w:szCs w:val="24"/>
                <w:lang w:eastAsia="ar-SA"/>
              </w:rPr>
            </w:pPr>
            <w:r w:rsidRPr="00C5336B">
              <w:rPr>
                <w:rFonts w:cs="Calibri"/>
                <w:i/>
                <w:sz w:val="24"/>
                <w:szCs w:val="24"/>
                <w:lang w:eastAsia="ar-SA"/>
              </w:rPr>
              <w:t>Количество пациентов</w:t>
            </w:r>
          </w:p>
        </w:tc>
      </w:tr>
      <w:tr w:rsidR="00286780" w:rsidRPr="00C5336B" w:rsidTr="00C5336B">
        <w:trPr>
          <w:trHeight w:val="227"/>
        </w:trPr>
        <w:tc>
          <w:tcPr>
            <w:tcW w:w="534" w:type="dxa"/>
            <w:vMerge/>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center"/>
              <w:rPr>
                <w:rFonts w:cs="Calibri"/>
                <w:sz w:val="24"/>
                <w:szCs w:val="24"/>
                <w:lang w:eastAsia="ar-SA"/>
              </w:rPr>
            </w:pPr>
          </w:p>
        </w:tc>
        <w:tc>
          <w:tcPr>
            <w:tcW w:w="5023" w:type="dxa"/>
            <w:vMerge/>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center"/>
              <w:rPr>
                <w:rFonts w:cs="Calibri"/>
                <w:sz w:val="24"/>
                <w:szCs w:val="24"/>
                <w:lang w:eastAsia="ar-SA"/>
              </w:rPr>
            </w:pPr>
          </w:p>
        </w:tc>
        <w:tc>
          <w:tcPr>
            <w:tcW w:w="2353"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center"/>
              <w:rPr>
                <w:rFonts w:cs="Calibri"/>
                <w:sz w:val="24"/>
                <w:szCs w:val="24"/>
                <w:lang w:eastAsia="ar-SA"/>
              </w:rPr>
            </w:pPr>
            <w:r w:rsidRPr="00C5336B">
              <w:rPr>
                <w:rFonts w:cs="Calibri"/>
                <w:sz w:val="24"/>
                <w:szCs w:val="24"/>
                <w:lang w:eastAsia="ar-SA"/>
              </w:rPr>
              <w:t>абсолютное значение</w:t>
            </w:r>
          </w:p>
        </w:tc>
        <w:tc>
          <w:tcPr>
            <w:tcW w:w="19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5336B" w:rsidRDefault="00286780" w:rsidP="00C5336B">
            <w:pPr>
              <w:snapToGrid w:val="0"/>
              <w:jc w:val="center"/>
              <w:rPr>
                <w:rFonts w:cs="Calibri"/>
                <w:sz w:val="24"/>
                <w:szCs w:val="24"/>
                <w:lang w:eastAsia="ar-SA"/>
              </w:rPr>
            </w:pPr>
            <w:r w:rsidRPr="00C5336B">
              <w:rPr>
                <w:rFonts w:cs="Calibri"/>
                <w:sz w:val="24"/>
                <w:szCs w:val="24"/>
                <w:lang w:eastAsia="ar-SA"/>
              </w:rPr>
              <w:t>%</w:t>
            </w:r>
          </w:p>
        </w:tc>
      </w:tr>
      <w:tr w:rsidR="00286780" w:rsidRPr="00C5336B" w:rsidTr="00C5336B">
        <w:trPr>
          <w:trHeight w:val="454"/>
        </w:trPr>
        <w:tc>
          <w:tcPr>
            <w:tcW w:w="534"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center"/>
              <w:rPr>
                <w:rFonts w:cs="Calibri"/>
                <w:sz w:val="24"/>
                <w:szCs w:val="24"/>
                <w:lang w:eastAsia="ar-SA"/>
              </w:rPr>
            </w:pPr>
            <w:r w:rsidRPr="00C5336B">
              <w:rPr>
                <w:rFonts w:cs="Calibri"/>
                <w:sz w:val="24"/>
                <w:szCs w:val="24"/>
                <w:lang w:eastAsia="ar-SA"/>
              </w:rPr>
              <w:t>1.</w:t>
            </w:r>
          </w:p>
        </w:tc>
        <w:tc>
          <w:tcPr>
            <w:tcW w:w="5023"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rPr>
                <w:rFonts w:cs="Calibri"/>
                <w:sz w:val="24"/>
                <w:szCs w:val="24"/>
                <w:lang w:eastAsia="ar-SA"/>
              </w:rPr>
            </w:pPr>
            <w:r w:rsidRPr="00C5336B">
              <w:rPr>
                <w:rFonts w:cs="Calibri"/>
                <w:sz w:val="24"/>
                <w:szCs w:val="24"/>
                <w:lang w:eastAsia="ar-SA"/>
              </w:rPr>
              <w:t>Местная форма одонтогенной инфекции</w:t>
            </w:r>
          </w:p>
        </w:tc>
        <w:tc>
          <w:tcPr>
            <w:tcW w:w="2353"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center"/>
              <w:rPr>
                <w:rFonts w:cs="Calibri"/>
                <w:sz w:val="24"/>
                <w:szCs w:val="24"/>
                <w:lang w:eastAsia="ar-SA"/>
              </w:rPr>
            </w:pPr>
            <w:r w:rsidRPr="00C5336B">
              <w:rPr>
                <w:rFonts w:cs="Calibri"/>
                <w:sz w:val="24"/>
                <w:szCs w:val="24"/>
                <w:lang w:eastAsia="ar-SA"/>
              </w:rPr>
              <w:t>443</w:t>
            </w:r>
          </w:p>
        </w:tc>
        <w:tc>
          <w:tcPr>
            <w:tcW w:w="19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5336B" w:rsidRDefault="00286780" w:rsidP="00C5336B">
            <w:pPr>
              <w:snapToGrid w:val="0"/>
              <w:jc w:val="center"/>
              <w:rPr>
                <w:rFonts w:cs="Calibri"/>
                <w:sz w:val="24"/>
                <w:szCs w:val="24"/>
                <w:lang w:eastAsia="ar-SA"/>
              </w:rPr>
            </w:pPr>
            <w:r w:rsidRPr="00C5336B">
              <w:rPr>
                <w:rFonts w:cs="Calibri"/>
                <w:sz w:val="24"/>
                <w:szCs w:val="24"/>
                <w:lang w:eastAsia="ar-SA"/>
              </w:rPr>
              <w:t>92,5</w:t>
            </w:r>
          </w:p>
        </w:tc>
      </w:tr>
      <w:tr w:rsidR="00286780" w:rsidRPr="00C5336B" w:rsidTr="00C5336B">
        <w:trPr>
          <w:trHeight w:val="454"/>
        </w:trPr>
        <w:tc>
          <w:tcPr>
            <w:tcW w:w="534"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center"/>
              <w:rPr>
                <w:rFonts w:cs="Calibri"/>
                <w:sz w:val="24"/>
                <w:szCs w:val="24"/>
                <w:lang w:eastAsia="ar-SA"/>
              </w:rPr>
            </w:pPr>
            <w:r w:rsidRPr="00C5336B">
              <w:rPr>
                <w:rFonts w:cs="Calibri"/>
                <w:sz w:val="24"/>
                <w:szCs w:val="24"/>
                <w:lang w:eastAsia="ar-SA"/>
              </w:rPr>
              <w:t>2.</w:t>
            </w:r>
          </w:p>
        </w:tc>
        <w:tc>
          <w:tcPr>
            <w:tcW w:w="5023"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rPr>
                <w:rFonts w:cs="Calibri"/>
                <w:sz w:val="24"/>
                <w:szCs w:val="24"/>
                <w:lang w:eastAsia="ar-SA"/>
              </w:rPr>
            </w:pPr>
            <w:r>
              <w:rPr>
                <w:rFonts w:cs="Calibri"/>
                <w:sz w:val="24"/>
                <w:szCs w:val="24"/>
                <w:lang w:eastAsia="ar-SA"/>
              </w:rPr>
              <w:t xml:space="preserve">Одонтогенный сепсис </w:t>
            </w:r>
          </w:p>
        </w:tc>
        <w:tc>
          <w:tcPr>
            <w:tcW w:w="2353"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center"/>
              <w:rPr>
                <w:rFonts w:cs="Calibri"/>
                <w:sz w:val="24"/>
                <w:szCs w:val="24"/>
                <w:lang w:eastAsia="ar-SA"/>
              </w:rPr>
            </w:pPr>
            <w:r w:rsidRPr="00C5336B">
              <w:rPr>
                <w:rFonts w:cs="Calibri"/>
                <w:sz w:val="24"/>
                <w:szCs w:val="24"/>
                <w:lang w:eastAsia="ar-SA"/>
              </w:rPr>
              <w:t>36</w:t>
            </w:r>
          </w:p>
        </w:tc>
        <w:tc>
          <w:tcPr>
            <w:tcW w:w="19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5336B" w:rsidRDefault="00286780" w:rsidP="00C5336B">
            <w:pPr>
              <w:snapToGrid w:val="0"/>
              <w:jc w:val="center"/>
              <w:rPr>
                <w:rFonts w:cs="Calibri"/>
                <w:sz w:val="24"/>
                <w:szCs w:val="24"/>
                <w:lang w:eastAsia="ar-SA"/>
              </w:rPr>
            </w:pPr>
            <w:r w:rsidRPr="00C5336B">
              <w:rPr>
                <w:rFonts w:cs="Calibri"/>
                <w:sz w:val="24"/>
                <w:szCs w:val="24"/>
                <w:lang w:eastAsia="ar-SA"/>
              </w:rPr>
              <w:t>7,5</w:t>
            </w:r>
          </w:p>
        </w:tc>
      </w:tr>
      <w:tr w:rsidR="00286780" w:rsidRPr="00C5336B" w:rsidTr="00C5336B">
        <w:trPr>
          <w:trHeight w:val="454"/>
        </w:trPr>
        <w:tc>
          <w:tcPr>
            <w:tcW w:w="534"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rPr>
                <w:rFonts w:cs="Calibri"/>
                <w:sz w:val="24"/>
                <w:szCs w:val="24"/>
                <w:lang w:eastAsia="ar-SA"/>
              </w:rPr>
            </w:pPr>
          </w:p>
        </w:tc>
        <w:tc>
          <w:tcPr>
            <w:tcW w:w="5023"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rPr>
                <w:rFonts w:cs="Calibri"/>
                <w:sz w:val="24"/>
                <w:szCs w:val="24"/>
                <w:lang w:eastAsia="ar-SA"/>
              </w:rPr>
            </w:pPr>
            <w:r w:rsidRPr="00C5336B">
              <w:rPr>
                <w:rFonts w:cs="Calibri"/>
                <w:sz w:val="24"/>
                <w:szCs w:val="24"/>
                <w:lang w:eastAsia="ar-SA"/>
              </w:rPr>
              <w:t>Итого</w:t>
            </w:r>
          </w:p>
        </w:tc>
        <w:tc>
          <w:tcPr>
            <w:tcW w:w="2353"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center"/>
              <w:rPr>
                <w:rFonts w:cs="Calibri"/>
                <w:sz w:val="24"/>
                <w:szCs w:val="24"/>
                <w:lang w:eastAsia="ar-SA"/>
              </w:rPr>
            </w:pPr>
            <w:r w:rsidRPr="00C5336B">
              <w:rPr>
                <w:rFonts w:cs="Calibri"/>
                <w:sz w:val="24"/>
                <w:szCs w:val="24"/>
                <w:lang w:eastAsia="ar-SA"/>
              </w:rPr>
              <w:t>479</w:t>
            </w:r>
          </w:p>
        </w:tc>
        <w:tc>
          <w:tcPr>
            <w:tcW w:w="19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5336B" w:rsidRDefault="00286780" w:rsidP="00C5336B">
            <w:pPr>
              <w:snapToGrid w:val="0"/>
              <w:jc w:val="center"/>
              <w:rPr>
                <w:rFonts w:cs="Calibri"/>
                <w:sz w:val="24"/>
                <w:szCs w:val="24"/>
                <w:lang w:eastAsia="ar-SA"/>
              </w:rPr>
            </w:pPr>
            <w:r w:rsidRPr="00C5336B">
              <w:rPr>
                <w:rFonts w:cs="Calibri"/>
                <w:sz w:val="24"/>
                <w:szCs w:val="24"/>
                <w:lang w:eastAsia="ar-SA"/>
              </w:rPr>
              <w:t>100</w:t>
            </w:r>
          </w:p>
        </w:tc>
      </w:tr>
    </w:tbl>
    <w:p w:rsidR="00286780" w:rsidRPr="00901BC6" w:rsidRDefault="00286780" w:rsidP="00C5336B">
      <w:pPr>
        <w:jc w:val="both"/>
        <w:rPr>
          <w:rFonts w:cs="Calibri"/>
          <w:sz w:val="22"/>
          <w:szCs w:val="22"/>
          <w:lang w:eastAsia="ar-SA"/>
        </w:rPr>
      </w:pPr>
    </w:p>
    <w:p w:rsidR="00286780" w:rsidRPr="00C5336B" w:rsidRDefault="00286780" w:rsidP="00C5336B">
      <w:pPr>
        <w:spacing w:line="360" w:lineRule="auto"/>
        <w:ind w:firstLine="709"/>
        <w:jc w:val="both"/>
        <w:rPr>
          <w:rFonts w:cs="Calibri"/>
          <w:sz w:val="28"/>
          <w:szCs w:val="28"/>
          <w:lang w:eastAsia="ar-SA"/>
        </w:rPr>
      </w:pPr>
      <w:r w:rsidRPr="00C5336B">
        <w:rPr>
          <w:rFonts w:cs="Calibri"/>
          <w:sz w:val="28"/>
          <w:szCs w:val="28"/>
          <w:lang w:eastAsia="ar-SA"/>
        </w:rPr>
        <w:t>Таким образом, в общей структуре одонтогенных гнойно-воспалительных процессов преобладает местная форма одонтогенной инфекции (92,5%), одонтогенный сепсис диагностирован в 7,5% случаев.</w:t>
      </w:r>
    </w:p>
    <w:p w:rsidR="00286780" w:rsidRPr="00C5336B" w:rsidRDefault="00286780" w:rsidP="00C5336B">
      <w:pPr>
        <w:spacing w:line="360" w:lineRule="auto"/>
        <w:ind w:firstLine="709"/>
        <w:jc w:val="both"/>
        <w:rPr>
          <w:rFonts w:cs="Calibri"/>
          <w:sz w:val="28"/>
          <w:szCs w:val="28"/>
          <w:lang w:eastAsia="ar-SA"/>
        </w:rPr>
      </w:pPr>
      <w:r w:rsidRPr="00C5336B">
        <w:rPr>
          <w:rFonts w:cs="Calibri"/>
          <w:sz w:val="28"/>
          <w:szCs w:val="28"/>
          <w:lang w:eastAsia="ar-SA"/>
        </w:rPr>
        <w:t>Хроническая патология внутренних органов диагностирована у 131 пациента с МФОИ (29,6%), у 312 пациентов с МФОИ хронические заболевания отсутствовали (70,4%).</w:t>
      </w:r>
    </w:p>
    <w:p w:rsidR="00286780" w:rsidRPr="00C5336B" w:rsidRDefault="00286780" w:rsidP="00C5336B">
      <w:pPr>
        <w:spacing w:line="360" w:lineRule="auto"/>
        <w:ind w:firstLine="709"/>
        <w:jc w:val="both"/>
        <w:rPr>
          <w:sz w:val="28"/>
          <w:szCs w:val="28"/>
          <w:lang w:eastAsia="ar-SA"/>
        </w:rPr>
      </w:pPr>
      <w:r w:rsidRPr="00C5336B">
        <w:rPr>
          <w:sz w:val="28"/>
          <w:szCs w:val="28"/>
          <w:lang w:eastAsia="ar-SA"/>
        </w:rPr>
        <w:t xml:space="preserve">Нозологическая структура ХП внутренних органов у больных </w:t>
      </w:r>
      <w:r>
        <w:rPr>
          <w:sz w:val="28"/>
          <w:szCs w:val="28"/>
          <w:lang w:eastAsia="ar-SA"/>
        </w:rPr>
        <w:t>с МФОИ представлена в Таблице 21</w:t>
      </w:r>
      <w:r w:rsidRPr="00C5336B">
        <w:rPr>
          <w:sz w:val="28"/>
          <w:szCs w:val="28"/>
          <w:lang w:eastAsia="ar-SA"/>
        </w:rPr>
        <w:t>.</w:t>
      </w:r>
    </w:p>
    <w:p w:rsidR="00286780" w:rsidRPr="00C5336B" w:rsidRDefault="00286780" w:rsidP="00516AE4">
      <w:pPr>
        <w:spacing w:line="360" w:lineRule="auto"/>
        <w:ind w:firstLine="709"/>
        <w:jc w:val="both"/>
        <w:rPr>
          <w:sz w:val="28"/>
          <w:szCs w:val="28"/>
          <w:lang w:eastAsia="ar-SA"/>
        </w:rPr>
      </w:pPr>
      <w:r w:rsidRPr="00C5336B">
        <w:rPr>
          <w:sz w:val="28"/>
          <w:szCs w:val="28"/>
          <w:lang w:eastAsia="ar-SA"/>
        </w:rPr>
        <w:t xml:space="preserve">Оценивая нозологическую структуру патологии у пациентов с МФОИ и хроническими заболеваниями внутренних органов, следует отметить </w:t>
      </w:r>
      <w:r>
        <w:rPr>
          <w:sz w:val="28"/>
          <w:szCs w:val="28"/>
          <w:lang w:eastAsia="ar-SA"/>
        </w:rPr>
        <w:t xml:space="preserve">статистически значимое </w:t>
      </w:r>
      <w:r w:rsidRPr="00C5336B">
        <w:rPr>
          <w:sz w:val="28"/>
          <w:szCs w:val="28"/>
          <w:lang w:eastAsia="ar-SA"/>
        </w:rPr>
        <w:t>преобладание болезней серд</w:t>
      </w:r>
      <w:r>
        <w:rPr>
          <w:sz w:val="28"/>
          <w:szCs w:val="28"/>
          <w:lang w:eastAsia="ar-SA"/>
        </w:rPr>
        <w:t>ечно-сосудистой системы – 67,2</w:t>
      </w:r>
      <w:r w:rsidRPr="00C5336B">
        <w:rPr>
          <w:sz w:val="28"/>
          <w:szCs w:val="28"/>
          <w:lang w:eastAsia="ar-SA"/>
        </w:rPr>
        <w:t>%. Реже диагностирована патология органов дыхания, болезни эндокринной, мочевыделительной, пищеварительной систем и печени.</w:t>
      </w:r>
    </w:p>
    <w:p w:rsidR="00286780" w:rsidRPr="00C5336B" w:rsidRDefault="00286780" w:rsidP="00516AE4">
      <w:pPr>
        <w:spacing w:line="360" w:lineRule="auto"/>
        <w:ind w:firstLine="709"/>
        <w:jc w:val="both"/>
        <w:rPr>
          <w:sz w:val="28"/>
          <w:szCs w:val="28"/>
          <w:lang w:eastAsia="ar-SA"/>
        </w:rPr>
      </w:pPr>
      <w:r w:rsidRPr="00C5336B">
        <w:rPr>
          <w:sz w:val="28"/>
          <w:szCs w:val="28"/>
          <w:lang w:eastAsia="ar-SA"/>
        </w:rPr>
        <w:t xml:space="preserve">Анализ </w:t>
      </w:r>
      <w:r w:rsidRPr="00C5336B">
        <w:rPr>
          <w:rFonts w:cs="Calibri"/>
          <w:sz w:val="28"/>
          <w:szCs w:val="28"/>
          <w:lang w:eastAsia="ar-SA"/>
        </w:rPr>
        <w:t>36</w:t>
      </w:r>
      <w:r w:rsidR="00EE1FD6">
        <w:rPr>
          <w:rFonts w:cs="Calibri"/>
          <w:sz w:val="28"/>
          <w:szCs w:val="28"/>
          <w:lang w:eastAsia="ar-SA"/>
        </w:rPr>
        <w:t xml:space="preserve"> </w:t>
      </w:r>
      <w:r w:rsidRPr="00C5336B">
        <w:rPr>
          <w:rFonts w:cs="Calibri"/>
          <w:sz w:val="28"/>
          <w:szCs w:val="28"/>
          <w:lang w:eastAsia="ar-SA"/>
        </w:rPr>
        <w:t>пациентов с одонтогенным сепсисом (2012–2015 гг., Курск)</w:t>
      </w:r>
      <w:r w:rsidRPr="00C5336B">
        <w:rPr>
          <w:sz w:val="28"/>
          <w:szCs w:val="28"/>
          <w:lang w:eastAsia="ar-SA"/>
        </w:rPr>
        <w:t xml:space="preserve">: хроническая патология внутренних органов диагностирована у 19 пациентов (52,8%), </w:t>
      </w:r>
      <w:r w:rsidRPr="00C5336B">
        <w:rPr>
          <w:sz w:val="28"/>
          <w:szCs w:val="28"/>
          <w:lang w:eastAsia="ar-SA"/>
        </w:rPr>
        <w:lastRenderedPageBreak/>
        <w:t>из них полиорганная полиморбидная патология – 10 (27,8%). Следовательно, у пациентов с ОС ХП внутренних органов встречается статистически значимо чаще, чем у пациентов с МФОИ (</w:t>
      </w:r>
      <w:r w:rsidRPr="00C5336B">
        <w:rPr>
          <w:sz w:val="28"/>
          <w:szCs w:val="28"/>
          <w:lang w:val="en-US" w:eastAsia="ar-SA"/>
        </w:rPr>
        <w:t>p</w:t>
      </w:r>
      <w:r>
        <w:rPr>
          <w:sz w:val="28"/>
          <w:szCs w:val="28"/>
          <w:lang w:eastAsia="ar-SA"/>
        </w:rPr>
        <w:t>&lt;</w:t>
      </w:r>
      <w:r w:rsidRPr="00C5336B">
        <w:rPr>
          <w:sz w:val="28"/>
          <w:szCs w:val="28"/>
          <w:lang w:eastAsia="ar-SA"/>
        </w:rPr>
        <w:t>0,05).</w:t>
      </w:r>
    </w:p>
    <w:p w:rsidR="00286780" w:rsidRPr="00C5336B" w:rsidRDefault="00286780" w:rsidP="00C5336B">
      <w:pPr>
        <w:jc w:val="both"/>
        <w:rPr>
          <w:rFonts w:cs="Calibri"/>
          <w:sz w:val="28"/>
          <w:szCs w:val="28"/>
          <w:lang w:eastAsia="ar-SA"/>
        </w:rPr>
      </w:pPr>
    </w:p>
    <w:p w:rsidR="00286780" w:rsidRPr="00C5336B" w:rsidRDefault="00286780" w:rsidP="00C5336B">
      <w:pPr>
        <w:spacing w:after="120"/>
        <w:jc w:val="both"/>
        <w:rPr>
          <w:sz w:val="28"/>
          <w:szCs w:val="28"/>
        </w:rPr>
      </w:pPr>
      <w:r w:rsidRPr="00C5336B">
        <w:rPr>
          <w:b/>
          <w:sz w:val="28"/>
          <w:szCs w:val="28"/>
        </w:rPr>
        <w:t>Таблица 2</w:t>
      </w:r>
      <w:r>
        <w:rPr>
          <w:b/>
          <w:sz w:val="28"/>
          <w:szCs w:val="28"/>
        </w:rPr>
        <w:t>1</w:t>
      </w:r>
      <w:r w:rsidRPr="00C5336B">
        <w:rPr>
          <w:sz w:val="28"/>
          <w:szCs w:val="28"/>
        </w:rPr>
        <w:t xml:space="preserve"> – Общая характеристика хронических заболеваний внутренних орга</w:t>
      </w:r>
      <w:r>
        <w:rPr>
          <w:sz w:val="28"/>
          <w:szCs w:val="28"/>
        </w:rPr>
        <w:t>нов у пациентов с МФОИ (n=131</w:t>
      </w:r>
      <w:r w:rsidRPr="00C5336B">
        <w:rPr>
          <w:sz w:val="28"/>
          <w:szCs w:val="28"/>
        </w:rPr>
        <w:t>; 2012–2015 гг.)</w:t>
      </w:r>
    </w:p>
    <w:tbl>
      <w:tblPr>
        <w:tblW w:w="9923" w:type="dxa"/>
        <w:tblLayout w:type="fixed"/>
        <w:tblLook w:val="0000" w:firstRow="0" w:lastRow="0" w:firstColumn="0" w:lastColumn="0" w:noHBand="0" w:noVBand="0"/>
      </w:tblPr>
      <w:tblGrid>
        <w:gridCol w:w="5866"/>
        <w:gridCol w:w="1985"/>
        <w:gridCol w:w="2072"/>
      </w:tblGrid>
      <w:tr w:rsidR="00286780" w:rsidRPr="00C5336B" w:rsidTr="00C5336B">
        <w:trPr>
          <w:trHeight w:val="375"/>
        </w:trPr>
        <w:tc>
          <w:tcPr>
            <w:tcW w:w="5866" w:type="dxa"/>
            <w:vMerge w:val="restart"/>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center"/>
              <w:rPr>
                <w:i/>
                <w:sz w:val="24"/>
                <w:szCs w:val="24"/>
                <w:lang w:eastAsia="ar-SA"/>
              </w:rPr>
            </w:pPr>
            <w:r w:rsidRPr="00C5336B">
              <w:rPr>
                <w:i/>
                <w:sz w:val="24"/>
                <w:szCs w:val="24"/>
                <w:lang w:eastAsia="ar-SA"/>
              </w:rPr>
              <w:t>Хро</w:t>
            </w:r>
            <w:r>
              <w:rPr>
                <w:i/>
                <w:sz w:val="24"/>
                <w:szCs w:val="24"/>
                <w:lang w:eastAsia="ar-SA"/>
              </w:rPr>
              <w:t>ническая патология</w:t>
            </w:r>
          </w:p>
        </w:tc>
        <w:tc>
          <w:tcPr>
            <w:tcW w:w="4057"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5336B" w:rsidRDefault="00286780" w:rsidP="00C5336B">
            <w:pPr>
              <w:snapToGrid w:val="0"/>
              <w:jc w:val="center"/>
              <w:rPr>
                <w:i/>
                <w:sz w:val="24"/>
                <w:szCs w:val="24"/>
                <w:lang w:eastAsia="ar-SA"/>
              </w:rPr>
            </w:pPr>
            <w:r w:rsidRPr="00C5336B">
              <w:rPr>
                <w:i/>
                <w:sz w:val="24"/>
                <w:szCs w:val="24"/>
                <w:lang w:eastAsia="ar-SA"/>
              </w:rPr>
              <w:t>Количество больных</w:t>
            </w:r>
          </w:p>
        </w:tc>
      </w:tr>
      <w:tr w:rsidR="00286780" w:rsidRPr="00C5336B" w:rsidTr="00C5336B">
        <w:trPr>
          <w:trHeight w:val="255"/>
        </w:trPr>
        <w:tc>
          <w:tcPr>
            <w:tcW w:w="5866" w:type="dxa"/>
            <w:vMerge/>
            <w:tcBorders>
              <w:top w:val="single" w:sz="4" w:space="0" w:color="000000"/>
              <w:left w:val="single" w:sz="4" w:space="0" w:color="000000"/>
              <w:bottom w:val="single" w:sz="4" w:space="0" w:color="000000"/>
            </w:tcBorders>
            <w:tcMar>
              <w:left w:w="28" w:type="dxa"/>
              <w:right w:w="28" w:type="dxa"/>
            </w:tcMar>
          </w:tcPr>
          <w:p w:rsidR="00286780" w:rsidRPr="00C5336B" w:rsidRDefault="00286780" w:rsidP="00C5336B">
            <w:pPr>
              <w:snapToGrid w:val="0"/>
              <w:jc w:val="both"/>
              <w:rPr>
                <w:rFonts w:ascii="Calibri" w:hAnsi="Calibri" w:cs="Calibri"/>
                <w:sz w:val="24"/>
                <w:szCs w:val="24"/>
                <w:lang w:eastAsia="ar-SA"/>
              </w:rPr>
            </w:pP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center"/>
              <w:rPr>
                <w:sz w:val="24"/>
                <w:szCs w:val="24"/>
                <w:lang w:eastAsia="ar-SA"/>
              </w:rPr>
            </w:pPr>
            <w:r w:rsidRPr="00C5336B">
              <w:rPr>
                <w:sz w:val="24"/>
                <w:szCs w:val="24"/>
                <w:lang w:eastAsia="ar-SA"/>
              </w:rPr>
              <w:t>абсолютное</w:t>
            </w:r>
          </w:p>
          <w:p w:rsidR="00286780" w:rsidRPr="00C5336B" w:rsidRDefault="00286780" w:rsidP="00C5336B">
            <w:pPr>
              <w:jc w:val="center"/>
              <w:rPr>
                <w:sz w:val="24"/>
                <w:szCs w:val="24"/>
                <w:lang w:eastAsia="ar-SA"/>
              </w:rPr>
            </w:pPr>
            <w:r w:rsidRPr="00C5336B">
              <w:rPr>
                <w:sz w:val="24"/>
                <w:szCs w:val="24"/>
                <w:lang w:eastAsia="ar-SA"/>
              </w:rPr>
              <w:t>значение</w:t>
            </w:r>
          </w:p>
        </w:tc>
        <w:tc>
          <w:tcPr>
            <w:tcW w:w="207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5336B" w:rsidRDefault="00286780" w:rsidP="00C5336B">
            <w:pPr>
              <w:snapToGrid w:val="0"/>
              <w:jc w:val="center"/>
              <w:rPr>
                <w:sz w:val="24"/>
                <w:szCs w:val="24"/>
                <w:lang w:eastAsia="ar-SA"/>
              </w:rPr>
            </w:pPr>
            <w:r w:rsidRPr="00C5336B">
              <w:rPr>
                <w:sz w:val="24"/>
                <w:szCs w:val="24"/>
                <w:lang w:eastAsia="ar-SA"/>
              </w:rPr>
              <w:t>%</w:t>
            </w:r>
          </w:p>
        </w:tc>
      </w:tr>
      <w:tr w:rsidR="00286780" w:rsidRPr="00C5336B" w:rsidTr="00C5336B">
        <w:trPr>
          <w:trHeight w:val="454"/>
        </w:trPr>
        <w:tc>
          <w:tcPr>
            <w:tcW w:w="5866"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both"/>
              <w:rPr>
                <w:sz w:val="24"/>
                <w:szCs w:val="24"/>
                <w:lang w:eastAsia="ar-SA"/>
              </w:rPr>
            </w:pPr>
            <w:r w:rsidRPr="00C5336B">
              <w:rPr>
                <w:sz w:val="24"/>
                <w:szCs w:val="24"/>
                <w:lang w:eastAsia="ar-SA"/>
              </w:rPr>
              <w:t>Заболевания сердечно-сосудистой системы</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center"/>
              <w:rPr>
                <w:sz w:val="24"/>
                <w:szCs w:val="24"/>
                <w:lang w:eastAsia="ar-SA"/>
              </w:rPr>
            </w:pPr>
            <w:r w:rsidRPr="00C5336B">
              <w:rPr>
                <w:sz w:val="24"/>
                <w:szCs w:val="24"/>
                <w:lang w:eastAsia="ar-SA"/>
              </w:rPr>
              <w:t>88</w:t>
            </w:r>
          </w:p>
        </w:tc>
        <w:tc>
          <w:tcPr>
            <w:tcW w:w="207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5336B" w:rsidRDefault="00286780" w:rsidP="00C5336B">
            <w:pPr>
              <w:snapToGrid w:val="0"/>
              <w:jc w:val="center"/>
              <w:rPr>
                <w:sz w:val="24"/>
                <w:szCs w:val="24"/>
                <w:lang w:eastAsia="ar-SA"/>
              </w:rPr>
            </w:pPr>
            <w:r w:rsidRPr="00C5336B">
              <w:rPr>
                <w:sz w:val="24"/>
                <w:szCs w:val="24"/>
                <w:lang w:eastAsia="ar-SA"/>
              </w:rPr>
              <w:t>67,2</w:t>
            </w:r>
          </w:p>
        </w:tc>
      </w:tr>
      <w:tr w:rsidR="00286780" w:rsidRPr="00C5336B" w:rsidTr="00C5336B">
        <w:trPr>
          <w:trHeight w:val="454"/>
        </w:trPr>
        <w:tc>
          <w:tcPr>
            <w:tcW w:w="5866"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both"/>
              <w:rPr>
                <w:sz w:val="24"/>
                <w:szCs w:val="24"/>
                <w:lang w:eastAsia="ar-SA"/>
              </w:rPr>
            </w:pPr>
            <w:r w:rsidRPr="00C5336B">
              <w:rPr>
                <w:sz w:val="24"/>
                <w:szCs w:val="24"/>
                <w:lang w:eastAsia="ar-SA"/>
              </w:rPr>
              <w:t>Заболевания дыхательной системы</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center"/>
              <w:rPr>
                <w:sz w:val="24"/>
                <w:szCs w:val="24"/>
                <w:lang w:eastAsia="ar-SA"/>
              </w:rPr>
            </w:pPr>
            <w:r w:rsidRPr="00C5336B">
              <w:rPr>
                <w:sz w:val="24"/>
                <w:szCs w:val="24"/>
                <w:lang w:eastAsia="ar-SA"/>
              </w:rPr>
              <w:t>18</w:t>
            </w:r>
          </w:p>
        </w:tc>
        <w:tc>
          <w:tcPr>
            <w:tcW w:w="207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5336B" w:rsidRDefault="00286780" w:rsidP="00C5336B">
            <w:pPr>
              <w:snapToGrid w:val="0"/>
              <w:jc w:val="center"/>
              <w:rPr>
                <w:sz w:val="24"/>
                <w:szCs w:val="24"/>
                <w:lang w:eastAsia="ar-SA"/>
              </w:rPr>
            </w:pPr>
            <w:r w:rsidRPr="00C5336B">
              <w:rPr>
                <w:sz w:val="24"/>
                <w:szCs w:val="24"/>
                <w:lang w:eastAsia="ar-SA"/>
              </w:rPr>
              <w:t>13,7</w:t>
            </w:r>
          </w:p>
        </w:tc>
      </w:tr>
      <w:tr w:rsidR="00286780" w:rsidRPr="00C5336B" w:rsidTr="00C5336B">
        <w:trPr>
          <w:trHeight w:val="454"/>
        </w:trPr>
        <w:tc>
          <w:tcPr>
            <w:tcW w:w="5866"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both"/>
              <w:rPr>
                <w:sz w:val="24"/>
                <w:szCs w:val="24"/>
                <w:lang w:eastAsia="ar-SA"/>
              </w:rPr>
            </w:pPr>
            <w:r w:rsidRPr="00C5336B">
              <w:rPr>
                <w:sz w:val="24"/>
                <w:szCs w:val="24"/>
                <w:lang w:eastAsia="ar-SA"/>
              </w:rPr>
              <w:t>Заболевания эндокринной системы</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center"/>
              <w:rPr>
                <w:sz w:val="24"/>
                <w:szCs w:val="24"/>
                <w:lang w:eastAsia="ar-SA"/>
              </w:rPr>
            </w:pPr>
            <w:r w:rsidRPr="00C5336B">
              <w:rPr>
                <w:sz w:val="24"/>
                <w:szCs w:val="24"/>
                <w:lang w:eastAsia="ar-SA"/>
              </w:rPr>
              <w:t>15</w:t>
            </w:r>
          </w:p>
        </w:tc>
        <w:tc>
          <w:tcPr>
            <w:tcW w:w="207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5336B" w:rsidRDefault="00286780" w:rsidP="00C5336B">
            <w:pPr>
              <w:snapToGrid w:val="0"/>
              <w:jc w:val="center"/>
              <w:rPr>
                <w:sz w:val="24"/>
                <w:szCs w:val="24"/>
                <w:lang w:eastAsia="ar-SA"/>
              </w:rPr>
            </w:pPr>
            <w:r w:rsidRPr="00C5336B">
              <w:rPr>
                <w:sz w:val="24"/>
                <w:szCs w:val="24"/>
                <w:lang w:eastAsia="ar-SA"/>
              </w:rPr>
              <w:t>11,5</w:t>
            </w:r>
          </w:p>
        </w:tc>
      </w:tr>
      <w:tr w:rsidR="00286780" w:rsidRPr="00C5336B" w:rsidTr="00C5336B">
        <w:trPr>
          <w:trHeight w:val="454"/>
        </w:trPr>
        <w:tc>
          <w:tcPr>
            <w:tcW w:w="5866"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both"/>
              <w:rPr>
                <w:sz w:val="24"/>
                <w:szCs w:val="24"/>
                <w:lang w:eastAsia="ar-SA"/>
              </w:rPr>
            </w:pPr>
            <w:r w:rsidRPr="00C5336B">
              <w:rPr>
                <w:sz w:val="24"/>
                <w:szCs w:val="24"/>
                <w:lang w:eastAsia="ar-SA"/>
              </w:rPr>
              <w:t>Заболевания пищеварит</w:t>
            </w:r>
            <w:r>
              <w:rPr>
                <w:sz w:val="24"/>
                <w:szCs w:val="24"/>
                <w:lang w:eastAsia="ar-SA"/>
              </w:rPr>
              <w:t>ельной системы</w:t>
            </w:r>
            <w:r w:rsidRPr="00C5336B">
              <w:rPr>
                <w:sz w:val="24"/>
                <w:szCs w:val="24"/>
                <w:lang w:eastAsia="ar-SA"/>
              </w:rPr>
              <w:t>, печени, хроническая алкогольная болезнь, ВИЧ</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center"/>
              <w:rPr>
                <w:sz w:val="24"/>
                <w:szCs w:val="24"/>
                <w:lang w:eastAsia="ar-SA"/>
              </w:rPr>
            </w:pPr>
            <w:r w:rsidRPr="00C5336B">
              <w:rPr>
                <w:sz w:val="24"/>
                <w:szCs w:val="24"/>
                <w:lang w:eastAsia="ar-SA"/>
              </w:rPr>
              <w:t>10</w:t>
            </w:r>
          </w:p>
        </w:tc>
        <w:tc>
          <w:tcPr>
            <w:tcW w:w="207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5336B" w:rsidRDefault="00286780" w:rsidP="00C5336B">
            <w:pPr>
              <w:snapToGrid w:val="0"/>
              <w:jc w:val="center"/>
              <w:rPr>
                <w:sz w:val="24"/>
                <w:szCs w:val="24"/>
                <w:lang w:eastAsia="ar-SA"/>
              </w:rPr>
            </w:pPr>
            <w:r w:rsidRPr="00C5336B">
              <w:rPr>
                <w:sz w:val="24"/>
                <w:szCs w:val="24"/>
                <w:lang w:eastAsia="ar-SA"/>
              </w:rPr>
              <w:t>7,6</w:t>
            </w:r>
          </w:p>
        </w:tc>
      </w:tr>
      <w:tr w:rsidR="00286780" w:rsidRPr="00C5336B" w:rsidTr="00C5336B">
        <w:trPr>
          <w:trHeight w:val="454"/>
        </w:trPr>
        <w:tc>
          <w:tcPr>
            <w:tcW w:w="5866"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both"/>
              <w:rPr>
                <w:sz w:val="24"/>
                <w:szCs w:val="24"/>
                <w:lang w:eastAsia="ar-SA"/>
              </w:rPr>
            </w:pPr>
            <w:r w:rsidRPr="00C5336B">
              <w:rPr>
                <w:sz w:val="24"/>
                <w:szCs w:val="24"/>
                <w:lang w:eastAsia="ar-SA"/>
              </w:rPr>
              <w:t>Заболевания мочевыделительной системы</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center"/>
              <w:rPr>
                <w:sz w:val="24"/>
                <w:szCs w:val="24"/>
                <w:lang w:eastAsia="ar-SA"/>
              </w:rPr>
            </w:pPr>
            <w:r w:rsidRPr="00C5336B">
              <w:rPr>
                <w:sz w:val="24"/>
                <w:szCs w:val="24"/>
                <w:lang w:eastAsia="ar-SA"/>
              </w:rPr>
              <w:t>2</w:t>
            </w:r>
          </w:p>
        </w:tc>
        <w:tc>
          <w:tcPr>
            <w:tcW w:w="207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5336B" w:rsidRDefault="00286780" w:rsidP="00C5336B">
            <w:pPr>
              <w:snapToGrid w:val="0"/>
              <w:jc w:val="center"/>
              <w:rPr>
                <w:sz w:val="24"/>
                <w:szCs w:val="24"/>
                <w:lang w:eastAsia="ar-SA"/>
              </w:rPr>
            </w:pPr>
            <w:r w:rsidRPr="00C5336B">
              <w:rPr>
                <w:sz w:val="24"/>
                <w:szCs w:val="24"/>
                <w:lang w:eastAsia="ar-SA"/>
              </w:rPr>
              <w:t>1,5</w:t>
            </w:r>
          </w:p>
        </w:tc>
      </w:tr>
      <w:tr w:rsidR="00286780" w:rsidRPr="00C5336B" w:rsidTr="00C5336B">
        <w:trPr>
          <w:trHeight w:val="454"/>
        </w:trPr>
        <w:tc>
          <w:tcPr>
            <w:tcW w:w="5866"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both"/>
              <w:rPr>
                <w:sz w:val="24"/>
                <w:szCs w:val="24"/>
                <w:lang w:eastAsia="ar-SA"/>
              </w:rPr>
            </w:pPr>
            <w:r w:rsidRPr="00C5336B">
              <w:rPr>
                <w:sz w:val="24"/>
                <w:szCs w:val="24"/>
                <w:lang w:eastAsia="ar-SA"/>
              </w:rPr>
              <w:t>Всего</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center"/>
              <w:rPr>
                <w:sz w:val="24"/>
                <w:szCs w:val="24"/>
                <w:lang w:eastAsia="ar-SA"/>
              </w:rPr>
            </w:pPr>
            <w:r w:rsidRPr="00C5336B">
              <w:rPr>
                <w:sz w:val="24"/>
                <w:szCs w:val="24"/>
                <w:lang w:eastAsia="ar-SA"/>
              </w:rPr>
              <w:t>131</w:t>
            </w:r>
          </w:p>
        </w:tc>
        <w:tc>
          <w:tcPr>
            <w:tcW w:w="207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5336B" w:rsidRDefault="00286780" w:rsidP="00C5336B">
            <w:pPr>
              <w:snapToGrid w:val="0"/>
              <w:jc w:val="center"/>
              <w:rPr>
                <w:sz w:val="24"/>
                <w:szCs w:val="24"/>
                <w:lang w:eastAsia="ar-SA"/>
              </w:rPr>
            </w:pPr>
            <w:r w:rsidRPr="00C5336B">
              <w:rPr>
                <w:sz w:val="24"/>
                <w:szCs w:val="24"/>
                <w:lang w:eastAsia="ar-SA"/>
              </w:rPr>
              <w:t>100</w:t>
            </w:r>
          </w:p>
        </w:tc>
      </w:tr>
    </w:tbl>
    <w:p w:rsidR="00286780" w:rsidRPr="00C5336B" w:rsidRDefault="00286780" w:rsidP="00C5336B">
      <w:pPr>
        <w:jc w:val="both"/>
        <w:rPr>
          <w:sz w:val="24"/>
          <w:szCs w:val="24"/>
          <w:lang w:eastAsia="ar-SA"/>
        </w:rPr>
      </w:pPr>
    </w:p>
    <w:p w:rsidR="00286780" w:rsidRPr="00C5336B" w:rsidRDefault="00286780" w:rsidP="00C5336B">
      <w:pPr>
        <w:spacing w:line="360" w:lineRule="auto"/>
        <w:ind w:firstLine="709"/>
        <w:jc w:val="both"/>
        <w:rPr>
          <w:sz w:val="28"/>
          <w:szCs w:val="28"/>
          <w:lang w:eastAsia="ar-SA"/>
        </w:rPr>
      </w:pPr>
      <w:r w:rsidRPr="00C5336B">
        <w:rPr>
          <w:sz w:val="28"/>
          <w:szCs w:val="28"/>
          <w:lang w:eastAsia="ar-SA"/>
        </w:rPr>
        <w:t>Нозологическая структура ХП внутренних органов у больных с ОС (</w:t>
      </w:r>
      <w:r>
        <w:rPr>
          <w:i/>
          <w:sz w:val="28"/>
          <w:szCs w:val="28"/>
          <w:lang w:eastAsia="ar-SA"/>
        </w:rPr>
        <w:t>под</w:t>
      </w:r>
      <w:r w:rsidRPr="00C5336B">
        <w:rPr>
          <w:i/>
          <w:sz w:val="28"/>
          <w:szCs w:val="28"/>
          <w:lang w:eastAsia="ar-SA"/>
        </w:rPr>
        <w:t>группа пациентов с ОС</w:t>
      </w:r>
      <w:r w:rsidRPr="00C5336B">
        <w:rPr>
          <w:sz w:val="28"/>
          <w:szCs w:val="28"/>
          <w:lang w:eastAsia="ar-SA"/>
        </w:rPr>
        <w:t xml:space="preserve"> в рамках </w:t>
      </w:r>
      <w:r w:rsidRPr="00C5336B">
        <w:rPr>
          <w:sz w:val="28"/>
          <w:szCs w:val="28"/>
          <w:lang w:val="en-US" w:eastAsia="ar-SA"/>
        </w:rPr>
        <w:t>I</w:t>
      </w:r>
      <w:r w:rsidRPr="00C5336B">
        <w:rPr>
          <w:sz w:val="28"/>
          <w:szCs w:val="28"/>
          <w:lang w:eastAsia="ar-SA"/>
        </w:rPr>
        <w:t xml:space="preserve"> блока исследо</w:t>
      </w:r>
      <w:r>
        <w:rPr>
          <w:sz w:val="28"/>
          <w:szCs w:val="28"/>
          <w:lang w:eastAsia="ar-SA"/>
        </w:rPr>
        <w:t>ваний) представлена в Таблице 22</w:t>
      </w:r>
      <w:r w:rsidRPr="00C5336B">
        <w:rPr>
          <w:sz w:val="28"/>
          <w:szCs w:val="28"/>
          <w:lang w:eastAsia="ar-SA"/>
        </w:rPr>
        <w:t>.</w:t>
      </w:r>
    </w:p>
    <w:p w:rsidR="00286780" w:rsidRPr="00C5336B" w:rsidRDefault="00286780" w:rsidP="00C5336B">
      <w:pPr>
        <w:jc w:val="both"/>
        <w:rPr>
          <w:rFonts w:cs="Calibri"/>
          <w:sz w:val="28"/>
          <w:szCs w:val="28"/>
          <w:lang w:eastAsia="ar-SA"/>
        </w:rPr>
      </w:pPr>
    </w:p>
    <w:p w:rsidR="00286780" w:rsidRPr="00C5336B" w:rsidRDefault="00286780" w:rsidP="00C5336B">
      <w:pPr>
        <w:spacing w:after="120"/>
        <w:jc w:val="both"/>
        <w:rPr>
          <w:sz w:val="28"/>
          <w:szCs w:val="28"/>
        </w:rPr>
      </w:pPr>
      <w:r w:rsidRPr="00C5336B">
        <w:rPr>
          <w:b/>
          <w:sz w:val="28"/>
          <w:szCs w:val="28"/>
        </w:rPr>
        <w:t>Таблица 2</w:t>
      </w:r>
      <w:r>
        <w:rPr>
          <w:b/>
          <w:sz w:val="28"/>
          <w:szCs w:val="28"/>
        </w:rPr>
        <w:t>2</w:t>
      </w:r>
      <w:r w:rsidRPr="00C5336B">
        <w:rPr>
          <w:sz w:val="28"/>
          <w:szCs w:val="28"/>
        </w:rPr>
        <w:t xml:space="preserve"> – Общая характеристика хронических заболеваний внутренних органов у пациентов с одонтогенным сепсисом (</w:t>
      </w:r>
      <w:r>
        <w:rPr>
          <w:sz w:val="28"/>
          <w:szCs w:val="28"/>
        </w:rPr>
        <w:t>n=36</w:t>
      </w:r>
      <w:r w:rsidRPr="00C5336B">
        <w:rPr>
          <w:sz w:val="28"/>
          <w:szCs w:val="28"/>
        </w:rPr>
        <w:t>; 2000–2010 гг., 2012–2019 гг.)</w:t>
      </w:r>
    </w:p>
    <w:tbl>
      <w:tblPr>
        <w:tblW w:w="9923" w:type="dxa"/>
        <w:tblInd w:w="108" w:type="dxa"/>
        <w:tblLayout w:type="fixed"/>
        <w:tblLook w:val="0000" w:firstRow="0" w:lastRow="0" w:firstColumn="0" w:lastColumn="0" w:noHBand="0" w:noVBand="0"/>
      </w:tblPr>
      <w:tblGrid>
        <w:gridCol w:w="6583"/>
        <w:gridCol w:w="1842"/>
        <w:gridCol w:w="1498"/>
      </w:tblGrid>
      <w:tr w:rsidR="00286780" w:rsidRPr="00C5336B" w:rsidTr="00C5336B">
        <w:trPr>
          <w:trHeight w:val="375"/>
        </w:trPr>
        <w:tc>
          <w:tcPr>
            <w:tcW w:w="6583" w:type="dxa"/>
            <w:vMerge w:val="restart"/>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center"/>
              <w:rPr>
                <w:i/>
                <w:sz w:val="24"/>
                <w:szCs w:val="24"/>
                <w:lang w:eastAsia="ar-SA"/>
              </w:rPr>
            </w:pPr>
            <w:r>
              <w:rPr>
                <w:i/>
                <w:sz w:val="24"/>
                <w:szCs w:val="24"/>
                <w:lang w:eastAsia="ar-SA"/>
              </w:rPr>
              <w:t>Хроническая патология</w:t>
            </w:r>
          </w:p>
        </w:tc>
        <w:tc>
          <w:tcPr>
            <w:tcW w:w="3340"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5336B" w:rsidRDefault="00286780" w:rsidP="00C5336B">
            <w:pPr>
              <w:snapToGrid w:val="0"/>
              <w:jc w:val="center"/>
              <w:rPr>
                <w:i/>
                <w:sz w:val="24"/>
                <w:szCs w:val="24"/>
                <w:lang w:eastAsia="ar-SA"/>
              </w:rPr>
            </w:pPr>
            <w:r w:rsidRPr="00C5336B">
              <w:rPr>
                <w:i/>
                <w:sz w:val="24"/>
                <w:szCs w:val="24"/>
                <w:lang w:eastAsia="ar-SA"/>
              </w:rPr>
              <w:t>Количество больных</w:t>
            </w:r>
          </w:p>
        </w:tc>
      </w:tr>
      <w:tr w:rsidR="00286780" w:rsidRPr="00C5336B" w:rsidTr="00C5336B">
        <w:trPr>
          <w:trHeight w:val="255"/>
        </w:trPr>
        <w:tc>
          <w:tcPr>
            <w:tcW w:w="6583" w:type="dxa"/>
            <w:vMerge/>
            <w:tcBorders>
              <w:top w:val="single" w:sz="4" w:space="0" w:color="000000"/>
              <w:left w:val="single" w:sz="4" w:space="0" w:color="000000"/>
              <w:bottom w:val="single" w:sz="4" w:space="0" w:color="000000"/>
            </w:tcBorders>
            <w:tcMar>
              <w:left w:w="28" w:type="dxa"/>
              <w:right w:w="28" w:type="dxa"/>
            </w:tcMar>
          </w:tcPr>
          <w:p w:rsidR="00286780" w:rsidRPr="00C5336B" w:rsidRDefault="00286780" w:rsidP="00C5336B">
            <w:pPr>
              <w:snapToGrid w:val="0"/>
              <w:jc w:val="both"/>
              <w:rPr>
                <w:rFonts w:ascii="Calibri" w:hAnsi="Calibri" w:cs="Calibri"/>
                <w:sz w:val="24"/>
                <w:szCs w:val="24"/>
                <w:lang w:eastAsia="ar-SA"/>
              </w:rPr>
            </w:pPr>
          </w:p>
        </w:tc>
        <w:tc>
          <w:tcPr>
            <w:tcW w:w="1842"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center"/>
              <w:rPr>
                <w:sz w:val="24"/>
                <w:szCs w:val="24"/>
                <w:lang w:eastAsia="ar-SA"/>
              </w:rPr>
            </w:pPr>
            <w:r w:rsidRPr="00C5336B">
              <w:rPr>
                <w:sz w:val="24"/>
                <w:szCs w:val="24"/>
                <w:lang w:eastAsia="ar-SA"/>
              </w:rPr>
              <w:t>абсолютное</w:t>
            </w:r>
          </w:p>
          <w:p w:rsidR="00286780" w:rsidRPr="00C5336B" w:rsidRDefault="00286780" w:rsidP="00C5336B">
            <w:pPr>
              <w:jc w:val="center"/>
              <w:rPr>
                <w:sz w:val="24"/>
                <w:szCs w:val="24"/>
                <w:lang w:eastAsia="ar-SA"/>
              </w:rPr>
            </w:pPr>
            <w:r w:rsidRPr="00C5336B">
              <w:rPr>
                <w:sz w:val="24"/>
                <w:szCs w:val="24"/>
                <w:lang w:eastAsia="ar-SA"/>
              </w:rPr>
              <w:t>значение</w:t>
            </w:r>
          </w:p>
        </w:tc>
        <w:tc>
          <w:tcPr>
            <w:tcW w:w="149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5336B" w:rsidRDefault="00286780" w:rsidP="00C5336B">
            <w:pPr>
              <w:snapToGrid w:val="0"/>
              <w:jc w:val="center"/>
              <w:rPr>
                <w:sz w:val="24"/>
                <w:szCs w:val="24"/>
                <w:lang w:eastAsia="ar-SA"/>
              </w:rPr>
            </w:pPr>
            <w:r w:rsidRPr="00C5336B">
              <w:rPr>
                <w:sz w:val="24"/>
                <w:szCs w:val="24"/>
                <w:lang w:eastAsia="ar-SA"/>
              </w:rPr>
              <w:t>%</w:t>
            </w:r>
          </w:p>
        </w:tc>
      </w:tr>
      <w:tr w:rsidR="00286780" w:rsidRPr="00C5336B" w:rsidTr="00C5336B">
        <w:trPr>
          <w:trHeight w:val="454"/>
        </w:trPr>
        <w:tc>
          <w:tcPr>
            <w:tcW w:w="6583"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rPr>
                <w:sz w:val="24"/>
                <w:szCs w:val="24"/>
                <w:lang w:eastAsia="ar-SA"/>
              </w:rPr>
            </w:pPr>
            <w:r w:rsidRPr="00C5336B">
              <w:rPr>
                <w:sz w:val="24"/>
                <w:szCs w:val="24"/>
                <w:lang w:eastAsia="ar-SA"/>
              </w:rPr>
              <w:t>Заболевания сердечно-сосудистой системы</w:t>
            </w:r>
          </w:p>
        </w:tc>
        <w:tc>
          <w:tcPr>
            <w:tcW w:w="1842"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center"/>
              <w:rPr>
                <w:sz w:val="24"/>
                <w:szCs w:val="24"/>
                <w:lang w:eastAsia="ar-SA"/>
              </w:rPr>
            </w:pPr>
            <w:r w:rsidRPr="00C5336B">
              <w:rPr>
                <w:sz w:val="24"/>
                <w:szCs w:val="24"/>
                <w:lang w:eastAsia="ar-SA"/>
              </w:rPr>
              <w:t>9</w:t>
            </w:r>
          </w:p>
        </w:tc>
        <w:tc>
          <w:tcPr>
            <w:tcW w:w="149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5336B" w:rsidRDefault="00286780" w:rsidP="00C5336B">
            <w:pPr>
              <w:snapToGrid w:val="0"/>
              <w:jc w:val="center"/>
              <w:rPr>
                <w:sz w:val="24"/>
                <w:szCs w:val="24"/>
                <w:lang w:eastAsia="ar-SA"/>
              </w:rPr>
            </w:pPr>
            <w:r w:rsidRPr="00C5336B">
              <w:rPr>
                <w:sz w:val="24"/>
                <w:szCs w:val="24"/>
                <w:lang w:eastAsia="ar-SA"/>
              </w:rPr>
              <w:t>25,0</w:t>
            </w:r>
          </w:p>
        </w:tc>
      </w:tr>
      <w:tr w:rsidR="00286780" w:rsidRPr="00C5336B" w:rsidTr="00C5336B">
        <w:trPr>
          <w:trHeight w:val="454"/>
        </w:trPr>
        <w:tc>
          <w:tcPr>
            <w:tcW w:w="6583"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rPr>
                <w:sz w:val="24"/>
                <w:szCs w:val="24"/>
                <w:lang w:eastAsia="ar-SA"/>
              </w:rPr>
            </w:pPr>
            <w:r w:rsidRPr="00C5336B">
              <w:rPr>
                <w:sz w:val="24"/>
                <w:szCs w:val="24"/>
                <w:lang w:eastAsia="ar-SA"/>
              </w:rPr>
              <w:t>Заболевания дыхательной системы</w:t>
            </w:r>
          </w:p>
        </w:tc>
        <w:tc>
          <w:tcPr>
            <w:tcW w:w="1842"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center"/>
              <w:rPr>
                <w:sz w:val="24"/>
                <w:szCs w:val="24"/>
                <w:lang w:eastAsia="ar-SA"/>
              </w:rPr>
            </w:pPr>
            <w:r w:rsidRPr="00C5336B">
              <w:rPr>
                <w:sz w:val="24"/>
                <w:szCs w:val="24"/>
                <w:lang w:eastAsia="ar-SA"/>
              </w:rPr>
              <w:t>4</w:t>
            </w:r>
          </w:p>
        </w:tc>
        <w:tc>
          <w:tcPr>
            <w:tcW w:w="149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5336B" w:rsidRDefault="00286780" w:rsidP="00C5336B">
            <w:pPr>
              <w:snapToGrid w:val="0"/>
              <w:jc w:val="center"/>
              <w:rPr>
                <w:sz w:val="24"/>
                <w:szCs w:val="24"/>
                <w:lang w:eastAsia="ar-SA"/>
              </w:rPr>
            </w:pPr>
            <w:r w:rsidRPr="00C5336B">
              <w:rPr>
                <w:sz w:val="24"/>
                <w:szCs w:val="24"/>
                <w:lang w:eastAsia="ar-SA"/>
              </w:rPr>
              <w:t>11,1</w:t>
            </w:r>
          </w:p>
        </w:tc>
      </w:tr>
      <w:tr w:rsidR="00286780" w:rsidRPr="00C5336B" w:rsidTr="00C5336B">
        <w:trPr>
          <w:trHeight w:val="454"/>
        </w:trPr>
        <w:tc>
          <w:tcPr>
            <w:tcW w:w="6583"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rPr>
                <w:sz w:val="24"/>
                <w:szCs w:val="24"/>
                <w:lang w:eastAsia="ar-SA"/>
              </w:rPr>
            </w:pPr>
            <w:r w:rsidRPr="00C5336B">
              <w:rPr>
                <w:sz w:val="24"/>
                <w:szCs w:val="24"/>
                <w:lang w:eastAsia="ar-SA"/>
              </w:rPr>
              <w:t>Заболевания эндокринной системы</w:t>
            </w:r>
          </w:p>
        </w:tc>
        <w:tc>
          <w:tcPr>
            <w:tcW w:w="1842"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center"/>
              <w:rPr>
                <w:sz w:val="24"/>
                <w:szCs w:val="24"/>
                <w:lang w:eastAsia="ar-SA"/>
              </w:rPr>
            </w:pPr>
            <w:r w:rsidRPr="00C5336B">
              <w:rPr>
                <w:sz w:val="24"/>
                <w:szCs w:val="24"/>
                <w:lang w:eastAsia="ar-SA"/>
              </w:rPr>
              <w:t>6</w:t>
            </w:r>
          </w:p>
        </w:tc>
        <w:tc>
          <w:tcPr>
            <w:tcW w:w="149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5336B" w:rsidRDefault="00286780" w:rsidP="00C5336B">
            <w:pPr>
              <w:snapToGrid w:val="0"/>
              <w:jc w:val="center"/>
              <w:rPr>
                <w:sz w:val="24"/>
                <w:szCs w:val="24"/>
                <w:lang w:eastAsia="ar-SA"/>
              </w:rPr>
            </w:pPr>
            <w:r w:rsidRPr="00C5336B">
              <w:rPr>
                <w:sz w:val="24"/>
                <w:szCs w:val="24"/>
                <w:lang w:eastAsia="ar-SA"/>
              </w:rPr>
              <w:t>16,6</w:t>
            </w:r>
          </w:p>
        </w:tc>
      </w:tr>
      <w:tr w:rsidR="00286780" w:rsidRPr="00C5336B" w:rsidTr="00C5336B">
        <w:trPr>
          <w:trHeight w:val="454"/>
        </w:trPr>
        <w:tc>
          <w:tcPr>
            <w:tcW w:w="6583"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rPr>
                <w:sz w:val="24"/>
                <w:szCs w:val="24"/>
                <w:lang w:eastAsia="ar-SA"/>
              </w:rPr>
            </w:pPr>
            <w:r w:rsidRPr="00C5336B">
              <w:rPr>
                <w:sz w:val="24"/>
                <w:szCs w:val="24"/>
                <w:lang w:eastAsia="ar-SA"/>
              </w:rPr>
              <w:t>Заболевания пищеварительной системы, печени, хроническая алкогольная болезнь</w:t>
            </w:r>
          </w:p>
        </w:tc>
        <w:tc>
          <w:tcPr>
            <w:tcW w:w="1842"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center"/>
              <w:rPr>
                <w:sz w:val="24"/>
                <w:szCs w:val="24"/>
                <w:lang w:eastAsia="ar-SA"/>
              </w:rPr>
            </w:pPr>
            <w:r w:rsidRPr="00C5336B">
              <w:rPr>
                <w:sz w:val="24"/>
                <w:szCs w:val="24"/>
                <w:lang w:eastAsia="ar-SA"/>
              </w:rPr>
              <w:t>14</w:t>
            </w:r>
          </w:p>
        </w:tc>
        <w:tc>
          <w:tcPr>
            <w:tcW w:w="149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5336B" w:rsidRDefault="00286780" w:rsidP="00C5336B">
            <w:pPr>
              <w:snapToGrid w:val="0"/>
              <w:jc w:val="center"/>
              <w:rPr>
                <w:sz w:val="24"/>
                <w:szCs w:val="24"/>
                <w:lang w:eastAsia="ar-SA"/>
              </w:rPr>
            </w:pPr>
            <w:r w:rsidRPr="00C5336B">
              <w:rPr>
                <w:sz w:val="24"/>
                <w:szCs w:val="24"/>
                <w:lang w:eastAsia="ar-SA"/>
              </w:rPr>
              <w:t>38,9</w:t>
            </w:r>
          </w:p>
        </w:tc>
      </w:tr>
      <w:tr w:rsidR="00286780" w:rsidRPr="00C5336B" w:rsidTr="00C5336B">
        <w:trPr>
          <w:trHeight w:val="454"/>
        </w:trPr>
        <w:tc>
          <w:tcPr>
            <w:tcW w:w="6583"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rPr>
                <w:sz w:val="24"/>
                <w:szCs w:val="24"/>
                <w:lang w:eastAsia="ar-SA"/>
              </w:rPr>
            </w:pPr>
            <w:r w:rsidRPr="00C5336B">
              <w:rPr>
                <w:sz w:val="24"/>
                <w:szCs w:val="24"/>
                <w:lang w:eastAsia="ar-SA"/>
              </w:rPr>
              <w:t>Заболевания мочевыделительной системы</w:t>
            </w:r>
          </w:p>
        </w:tc>
        <w:tc>
          <w:tcPr>
            <w:tcW w:w="1842"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center"/>
              <w:rPr>
                <w:sz w:val="24"/>
                <w:szCs w:val="24"/>
                <w:lang w:eastAsia="ar-SA"/>
              </w:rPr>
            </w:pPr>
            <w:r w:rsidRPr="00C5336B">
              <w:rPr>
                <w:sz w:val="24"/>
                <w:szCs w:val="24"/>
                <w:lang w:eastAsia="ar-SA"/>
              </w:rPr>
              <w:t>2</w:t>
            </w:r>
          </w:p>
        </w:tc>
        <w:tc>
          <w:tcPr>
            <w:tcW w:w="149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5336B" w:rsidRDefault="00286780" w:rsidP="00C5336B">
            <w:pPr>
              <w:snapToGrid w:val="0"/>
              <w:jc w:val="center"/>
              <w:rPr>
                <w:sz w:val="24"/>
                <w:szCs w:val="24"/>
                <w:lang w:eastAsia="ar-SA"/>
              </w:rPr>
            </w:pPr>
            <w:r w:rsidRPr="00C5336B">
              <w:rPr>
                <w:sz w:val="24"/>
                <w:szCs w:val="24"/>
                <w:lang w:eastAsia="ar-SA"/>
              </w:rPr>
              <w:t>5,6</w:t>
            </w:r>
          </w:p>
        </w:tc>
      </w:tr>
      <w:tr w:rsidR="00286780" w:rsidRPr="00C5336B" w:rsidTr="00C5336B">
        <w:trPr>
          <w:trHeight w:val="454"/>
        </w:trPr>
        <w:tc>
          <w:tcPr>
            <w:tcW w:w="6583"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rPr>
                <w:sz w:val="24"/>
                <w:szCs w:val="24"/>
                <w:lang w:eastAsia="ar-SA"/>
              </w:rPr>
            </w:pPr>
            <w:r w:rsidRPr="00C5336B">
              <w:rPr>
                <w:sz w:val="24"/>
                <w:szCs w:val="24"/>
                <w:lang w:eastAsia="ar-SA"/>
              </w:rPr>
              <w:t>Злокачественные новообразования</w:t>
            </w:r>
          </w:p>
        </w:tc>
        <w:tc>
          <w:tcPr>
            <w:tcW w:w="1842"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center"/>
              <w:rPr>
                <w:sz w:val="24"/>
                <w:szCs w:val="24"/>
                <w:lang w:eastAsia="ar-SA"/>
              </w:rPr>
            </w:pPr>
            <w:r w:rsidRPr="00C5336B">
              <w:rPr>
                <w:sz w:val="24"/>
                <w:szCs w:val="24"/>
                <w:lang w:eastAsia="ar-SA"/>
              </w:rPr>
              <w:t>1</w:t>
            </w:r>
          </w:p>
        </w:tc>
        <w:tc>
          <w:tcPr>
            <w:tcW w:w="149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5336B" w:rsidRDefault="00286780" w:rsidP="00C5336B">
            <w:pPr>
              <w:snapToGrid w:val="0"/>
              <w:jc w:val="center"/>
              <w:rPr>
                <w:sz w:val="24"/>
                <w:szCs w:val="24"/>
                <w:lang w:eastAsia="ar-SA"/>
              </w:rPr>
            </w:pPr>
            <w:r w:rsidRPr="00C5336B">
              <w:rPr>
                <w:sz w:val="24"/>
                <w:szCs w:val="24"/>
                <w:lang w:eastAsia="ar-SA"/>
              </w:rPr>
              <w:t>2,8</w:t>
            </w:r>
          </w:p>
        </w:tc>
      </w:tr>
      <w:tr w:rsidR="00286780" w:rsidRPr="00C5336B" w:rsidTr="00C5336B">
        <w:trPr>
          <w:trHeight w:val="454"/>
        </w:trPr>
        <w:tc>
          <w:tcPr>
            <w:tcW w:w="6583"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rPr>
                <w:sz w:val="24"/>
                <w:szCs w:val="24"/>
                <w:lang w:eastAsia="ar-SA"/>
              </w:rPr>
            </w:pPr>
            <w:r w:rsidRPr="00C5336B">
              <w:rPr>
                <w:sz w:val="24"/>
                <w:szCs w:val="24"/>
                <w:lang w:eastAsia="ar-SA"/>
              </w:rPr>
              <w:t>Всего</w:t>
            </w:r>
          </w:p>
        </w:tc>
        <w:tc>
          <w:tcPr>
            <w:tcW w:w="1842" w:type="dxa"/>
            <w:tcBorders>
              <w:top w:val="single" w:sz="4" w:space="0" w:color="000000"/>
              <w:left w:val="single" w:sz="4" w:space="0" w:color="000000"/>
              <w:bottom w:val="single" w:sz="4" w:space="0" w:color="000000"/>
            </w:tcBorders>
            <w:tcMar>
              <w:left w:w="28" w:type="dxa"/>
              <w:right w:w="28" w:type="dxa"/>
            </w:tcMar>
            <w:vAlign w:val="center"/>
          </w:tcPr>
          <w:p w:rsidR="00286780" w:rsidRPr="00C5336B" w:rsidRDefault="00286780" w:rsidP="00C5336B">
            <w:pPr>
              <w:snapToGrid w:val="0"/>
              <w:jc w:val="center"/>
              <w:rPr>
                <w:sz w:val="24"/>
                <w:szCs w:val="24"/>
                <w:lang w:eastAsia="ar-SA"/>
              </w:rPr>
            </w:pPr>
            <w:r w:rsidRPr="00C5336B">
              <w:rPr>
                <w:sz w:val="24"/>
                <w:szCs w:val="24"/>
                <w:lang w:eastAsia="ar-SA"/>
              </w:rPr>
              <w:t>36</w:t>
            </w:r>
          </w:p>
        </w:tc>
        <w:tc>
          <w:tcPr>
            <w:tcW w:w="149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5336B" w:rsidRDefault="00286780" w:rsidP="00C5336B">
            <w:pPr>
              <w:snapToGrid w:val="0"/>
              <w:jc w:val="center"/>
              <w:rPr>
                <w:sz w:val="24"/>
                <w:szCs w:val="24"/>
                <w:lang w:eastAsia="ar-SA"/>
              </w:rPr>
            </w:pPr>
            <w:r w:rsidRPr="00C5336B">
              <w:rPr>
                <w:sz w:val="24"/>
                <w:szCs w:val="24"/>
                <w:lang w:eastAsia="ar-SA"/>
              </w:rPr>
              <w:t>100</w:t>
            </w:r>
          </w:p>
        </w:tc>
      </w:tr>
    </w:tbl>
    <w:p w:rsidR="00286780" w:rsidRPr="00C5336B" w:rsidRDefault="00286780" w:rsidP="00C5336B">
      <w:pPr>
        <w:jc w:val="both"/>
        <w:rPr>
          <w:rFonts w:cs="Calibri"/>
          <w:sz w:val="24"/>
          <w:szCs w:val="24"/>
          <w:lang w:eastAsia="ar-SA"/>
        </w:rPr>
      </w:pPr>
    </w:p>
    <w:p w:rsidR="00286780" w:rsidRPr="00516AE4" w:rsidRDefault="00286780" w:rsidP="00C5336B">
      <w:pPr>
        <w:spacing w:line="360" w:lineRule="auto"/>
        <w:ind w:firstLine="709"/>
        <w:jc w:val="both"/>
        <w:rPr>
          <w:rFonts w:cs="Calibri"/>
          <w:spacing w:val="-4"/>
          <w:sz w:val="28"/>
          <w:szCs w:val="28"/>
          <w:lang w:eastAsia="ar-SA"/>
        </w:rPr>
      </w:pPr>
      <w:r w:rsidRPr="00516AE4">
        <w:rPr>
          <w:rFonts w:cs="Calibri"/>
          <w:spacing w:val="-4"/>
          <w:sz w:val="28"/>
          <w:szCs w:val="28"/>
          <w:lang w:eastAsia="ar-SA"/>
        </w:rPr>
        <w:lastRenderedPageBreak/>
        <w:t>У пациентов с ОС преобладают болезни пищеварительной системы и печени (болезнь оперированного желудка, хронические вирусные и алкогольные гепатиты, цирроз печени), хроническая алкогольная болезнь, заболевания сердечно-сосудистойсистемы (артериальная гипертония, ИБС),</w:t>
      </w:r>
      <w:r>
        <w:rPr>
          <w:rFonts w:cs="Calibri"/>
          <w:spacing w:val="-4"/>
          <w:sz w:val="28"/>
          <w:szCs w:val="28"/>
          <w:lang w:eastAsia="ar-SA"/>
        </w:rPr>
        <w:t xml:space="preserve"> сахарный диабет – более 63%</w:t>
      </w:r>
      <w:r w:rsidRPr="00516AE4">
        <w:rPr>
          <w:rFonts w:cs="Calibri"/>
          <w:spacing w:val="-4"/>
          <w:sz w:val="28"/>
          <w:szCs w:val="28"/>
          <w:lang w:eastAsia="ar-SA"/>
        </w:rPr>
        <w:t>. Несколько реже диагностированы заболевания дыхательной и мочевыделительной систем. Злокачественные новообразования у пациентов с одонтогенным сепсисом встречаются в единичных случаях (около 3%).</w:t>
      </w:r>
    </w:p>
    <w:p w:rsidR="00286780" w:rsidRPr="00C5336B" w:rsidRDefault="00286780" w:rsidP="00C5336B">
      <w:pPr>
        <w:spacing w:line="360" w:lineRule="auto"/>
        <w:ind w:firstLine="709"/>
        <w:jc w:val="both"/>
        <w:rPr>
          <w:rFonts w:cs="Calibri"/>
          <w:sz w:val="28"/>
          <w:szCs w:val="28"/>
          <w:lang w:eastAsia="ar-SA"/>
        </w:rPr>
      </w:pPr>
      <w:r w:rsidRPr="00C5336B">
        <w:rPr>
          <w:rFonts w:cs="Calibri"/>
          <w:sz w:val="28"/>
          <w:szCs w:val="28"/>
          <w:lang w:eastAsia="ar-SA"/>
        </w:rPr>
        <w:t>Сравнение результирующих показателей паци</w:t>
      </w:r>
      <w:r>
        <w:rPr>
          <w:rFonts w:cs="Calibri"/>
          <w:sz w:val="28"/>
          <w:szCs w:val="28"/>
          <w:lang w:eastAsia="ar-SA"/>
        </w:rPr>
        <w:t>ентов с ОС (Таблица 22</w:t>
      </w:r>
      <w:r w:rsidRPr="00C5336B">
        <w:rPr>
          <w:rFonts w:cs="Calibri"/>
          <w:sz w:val="28"/>
          <w:szCs w:val="28"/>
          <w:lang w:eastAsia="ar-SA"/>
        </w:rPr>
        <w:t>) с аналогичными показател</w:t>
      </w:r>
      <w:r>
        <w:rPr>
          <w:rFonts w:cs="Calibri"/>
          <w:sz w:val="28"/>
          <w:szCs w:val="28"/>
          <w:lang w:eastAsia="ar-SA"/>
        </w:rPr>
        <w:t>ями пациентов с МФОИ (Таблица 21</w:t>
      </w:r>
      <w:r w:rsidRPr="00C5336B">
        <w:rPr>
          <w:rFonts w:cs="Calibri"/>
          <w:sz w:val="28"/>
          <w:szCs w:val="28"/>
          <w:lang w:eastAsia="ar-SA"/>
        </w:rPr>
        <w:t xml:space="preserve">) указывает на значительное увеличение распространенности заболеваний </w:t>
      </w:r>
      <w:r>
        <w:rPr>
          <w:rFonts w:cs="Calibri"/>
          <w:sz w:val="28"/>
          <w:szCs w:val="28"/>
          <w:lang w:eastAsia="ar-SA"/>
        </w:rPr>
        <w:t>печени,</w:t>
      </w:r>
      <w:r w:rsidRPr="00C5336B">
        <w:rPr>
          <w:rFonts w:cs="Calibri"/>
          <w:sz w:val="28"/>
          <w:szCs w:val="28"/>
          <w:lang w:eastAsia="ar-SA"/>
        </w:rPr>
        <w:t xml:space="preserve"> хронического алкоголизма (38,9% в сравнении с 6,1% при МФОИ, </w:t>
      </w:r>
      <w:r w:rsidRPr="00C5336B">
        <w:rPr>
          <w:sz w:val="28"/>
          <w:szCs w:val="28"/>
          <w:lang w:val="en-US" w:eastAsia="ar-SA"/>
        </w:rPr>
        <w:t>p</w:t>
      </w:r>
      <w:r>
        <w:rPr>
          <w:sz w:val="28"/>
          <w:szCs w:val="28"/>
          <w:lang w:eastAsia="ar-SA"/>
        </w:rPr>
        <w:t>&lt;</w:t>
      </w:r>
      <w:r w:rsidRPr="00C5336B">
        <w:rPr>
          <w:sz w:val="28"/>
          <w:szCs w:val="28"/>
          <w:lang w:eastAsia="ar-SA"/>
        </w:rPr>
        <w:t>0,05</w:t>
      </w:r>
      <w:r w:rsidRPr="00C5336B">
        <w:rPr>
          <w:rFonts w:cs="Calibri"/>
          <w:sz w:val="28"/>
          <w:szCs w:val="28"/>
          <w:lang w:eastAsia="ar-SA"/>
        </w:rPr>
        <w:t>), в основном, за счет хронических вирусных и алкогольного гепатитов, цирроза печени, алкогольной болезни. Болезнь оперированного желудка диагностирована у одного пациента с ОС (как и в случае с МФОИ). Несколько чаще, чем при МФОИ, у пациентов с ОС наблюдается сахарный диабет, заболевания дыхательной и мочевыделительной систем</w:t>
      </w:r>
      <w:r>
        <w:rPr>
          <w:sz w:val="28"/>
          <w:szCs w:val="28"/>
          <w:lang w:eastAsia="ar-SA"/>
        </w:rPr>
        <w:t>(</w:t>
      </w:r>
      <w:r w:rsidRPr="00C5336B">
        <w:rPr>
          <w:sz w:val="28"/>
          <w:szCs w:val="28"/>
          <w:lang w:val="en-US" w:eastAsia="ar-SA"/>
        </w:rPr>
        <w:t>p</w:t>
      </w:r>
      <w:r>
        <w:rPr>
          <w:sz w:val="28"/>
          <w:szCs w:val="28"/>
          <w:lang w:eastAsia="ar-SA"/>
        </w:rPr>
        <w:t>&gt;</w:t>
      </w:r>
      <w:r w:rsidRPr="00C5336B">
        <w:rPr>
          <w:sz w:val="28"/>
          <w:szCs w:val="28"/>
          <w:lang w:eastAsia="ar-SA"/>
        </w:rPr>
        <w:t>0,05</w:t>
      </w:r>
      <w:r>
        <w:rPr>
          <w:sz w:val="28"/>
          <w:szCs w:val="28"/>
          <w:lang w:eastAsia="ar-SA"/>
        </w:rPr>
        <w:t>)</w:t>
      </w:r>
      <w:r w:rsidRPr="00C5336B">
        <w:rPr>
          <w:rFonts w:cs="Calibri"/>
          <w:sz w:val="28"/>
          <w:szCs w:val="28"/>
          <w:lang w:eastAsia="ar-SA"/>
        </w:rPr>
        <w:t xml:space="preserve">, а изолированная патология сердечно-сосудистой системы встречается </w:t>
      </w:r>
      <w:r>
        <w:rPr>
          <w:rFonts w:cs="Calibri"/>
          <w:sz w:val="28"/>
          <w:szCs w:val="28"/>
          <w:lang w:eastAsia="ar-SA"/>
        </w:rPr>
        <w:t xml:space="preserve">статистически значимо </w:t>
      </w:r>
      <w:r w:rsidRPr="00C5336B">
        <w:rPr>
          <w:rFonts w:cs="Calibri"/>
          <w:sz w:val="28"/>
          <w:szCs w:val="28"/>
          <w:lang w:eastAsia="ar-SA"/>
        </w:rPr>
        <w:t>реже (</w:t>
      </w:r>
      <w:r w:rsidRPr="00C5336B">
        <w:rPr>
          <w:sz w:val="28"/>
          <w:szCs w:val="28"/>
          <w:lang w:val="en-US" w:eastAsia="ar-SA"/>
        </w:rPr>
        <w:t>p</w:t>
      </w:r>
      <w:r>
        <w:rPr>
          <w:sz w:val="28"/>
          <w:szCs w:val="28"/>
          <w:lang w:eastAsia="ar-SA"/>
        </w:rPr>
        <w:t>&lt;</w:t>
      </w:r>
      <w:r w:rsidRPr="00C5336B">
        <w:rPr>
          <w:sz w:val="28"/>
          <w:szCs w:val="28"/>
          <w:lang w:eastAsia="ar-SA"/>
        </w:rPr>
        <w:t>0,05</w:t>
      </w:r>
      <w:r w:rsidRPr="00C5336B">
        <w:rPr>
          <w:rFonts w:cs="Calibri"/>
          <w:sz w:val="28"/>
          <w:szCs w:val="28"/>
          <w:lang w:eastAsia="ar-SA"/>
        </w:rPr>
        <w:t>).</w:t>
      </w:r>
    </w:p>
    <w:p w:rsidR="00286780" w:rsidRDefault="00286780" w:rsidP="004A0CF0">
      <w:pPr>
        <w:jc w:val="both"/>
        <w:rPr>
          <w:sz w:val="28"/>
          <w:szCs w:val="28"/>
          <w:lang w:eastAsia="en-US"/>
        </w:rPr>
      </w:pPr>
    </w:p>
    <w:p w:rsidR="00286780" w:rsidRPr="00920C24" w:rsidRDefault="00286780" w:rsidP="00920C24">
      <w:pPr>
        <w:pStyle w:val="20"/>
        <w:jc w:val="both"/>
      </w:pPr>
      <w:bookmarkStart w:id="13" w:name="_Toc67905696"/>
      <w:r>
        <w:t>3.</w:t>
      </w:r>
      <w:r w:rsidRPr="00920C24">
        <w:t>2. Клинико-лабораторная характеристика местной формы одонтогенной инфекции, развивающейся на фоне хронической патологии внутренних органов</w:t>
      </w:r>
      <w:bookmarkEnd w:id="13"/>
    </w:p>
    <w:p w:rsidR="00286780" w:rsidRPr="00920C24" w:rsidRDefault="00286780" w:rsidP="00920C24">
      <w:pPr>
        <w:jc w:val="both"/>
        <w:rPr>
          <w:sz w:val="28"/>
          <w:szCs w:val="28"/>
          <w:lang w:eastAsia="en-US"/>
        </w:rPr>
      </w:pPr>
    </w:p>
    <w:p w:rsidR="00286780" w:rsidRDefault="00286780" w:rsidP="00457501">
      <w:pPr>
        <w:pStyle w:val="3ff4"/>
        <w:pBdr>
          <w:top w:val="none" w:sz="0" w:space="0" w:color="auto"/>
          <w:left w:val="none" w:sz="0" w:space="0" w:color="auto"/>
          <w:bottom w:val="none" w:sz="0" w:space="0" w:color="auto"/>
          <w:right w:val="none" w:sz="0" w:space="0" w:color="auto"/>
          <w:bar w:val="none" w:sz="0" w:color="auto"/>
        </w:pBdr>
        <w:spacing w:line="360" w:lineRule="auto"/>
        <w:jc w:val="both"/>
        <w:rPr>
          <w:rStyle w:val="comma"/>
        </w:rPr>
      </w:pPr>
      <w:bookmarkStart w:id="14" w:name="_Toc12"/>
      <w:bookmarkStart w:id="15" w:name="_Toc67905697"/>
      <w:r>
        <w:rPr>
          <w:rStyle w:val="comma"/>
          <w:rFonts w:cs="Arial Unicode MS"/>
        </w:rPr>
        <w:t>Клинико-лабораторная характеристика МФОИ на фоне патологи</w:t>
      </w:r>
      <w:r>
        <w:rPr>
          <w:rStyle w:val="comma"/>
          <w:rFonts w:cs="Arial Unicode MS"/>
        </w:rPr>
        <w:br/>
        <w:t>сердечно-сосудистой системы</w:t>
      </w:r>
      <w:bookmarkEnd w:id="14"/>
      <w:bookmarkEnd w:id="15"/>
    </w:p>
    <w:p w:rsidR="00286780" w:rsidRDefault="00286780" w:rsidP="00457501">
      <w:pPr>
        <w:pStyle w:val="af6"/>
        <w:spacing w:line="360" w:lineRule="auto"/>
        <w:ind w:firstLine="709"/>
        <w:rPr>
          <w:rStyle w:val="Hyperlink0"/>
          <w:rFonts w:cs="Arial Unicode MS"/>
        </w:rPr>
      </w:pPr>
      <w:r>
        <w:rPr>
          <w:rStyle w:val="Hyperlink0"/>
          <w:rFonts w:cs="Arial Unicode MS"/>
        </w:rPr>
        <w:t xml:space="preserve">Всего обследовано 35 пациентов с МФОИ и хроническими заболеваниями сердечно-сосудистой системы. МФОИ представлена одонтогенными абсцессами челюстно-лицевой области (крылочелюстного, окологлоточного, поджевательного клетчаточных пространств, челюстно-язычного желобка, щечной, околоушно-жевательной, подподбородочной и подчелюстной областей, периоститами и ретромалярными абсцессами) – 21 пациент </w:t>
      </w:r>
      <w:r>
        <w:rPr>
          <w:rStyle w:val="Hyperlink0"/>
          <w:rFonts w:cs="Arial Unicode MS"/>
          <w:lang w:val="it-IT"/>
        </w:rPr>
        <w:t>(</w:t>
      </w:r>
      <w:r>
        <w:rPr>
          <w:rStyle w:val="Hyperlink0"/>
          <w:rFonts w:cs="Arial Unicode MS"/>
        </w:rPr>
        <w:t>60</w:t>
      </w:r>
      <w:r>
        <w:rPr>
          <w:rStyle w:val="Hyperlink0"/>
          <w:rFonts w:cs="Arial Unicode MS"/>
          <w:lang w:val="it-IT"/>
        </w:rPr>
        <w:t xml:space="preserve">%); </w:t>
      </w:r>
      <w:r>
        <w:rPr>
          <w:rStyle w:val="Hyperlink0"/>
          <w:rFonts w:cs="Arial Unicode MS"/>
        </w:rPr>
        <w:t>одонтогенными флегмонами с вовлечением 1–3 клетчаточных пространств – 14 больных (40%).</w:t>
      </w:r>
    </w:p>
    <w:p w:rsidR="00286780" w:rsidRDefault="00286780" w:rsidP="006239CF">
      <w:pPr>
        <w:pStyle w:val="af6"/>
        <w:spacing w:line="360" w:lineRule="auto"/>
        <w:ind w:firstLine="709"/>
        <w:rPr>
          <w:rStyle w:val="Hyperlink0"/>
          <w:rFonts w:cs="Arial Unicode MS"/>
        </w:rPr>
      </w:pPr>
      <w:r>
        <w:rPr>
          <w:rStyle w:val="Hyperlink0"/>
          <w:rFonts w:cs="Arial Unicode MS"/>
        </w:rPr>
        <w:lastRenderedPageBreak/>
        <w:t>Характер хронической патологии сердечно-сосудистой системы указан в Таблице 23.</w:t>
      </w:r>
    </w:p>
    <w:p w:rsidR="00286780" w:rsidRDefault="00286780" w:rsidP="006239CF">
      <w:pPr>
        <w:pStyle w:val="af6"/>
        <w:rPr>
          <w:rStyle w:val="comma"/>
        </w:rPr>
      </w:pPr>
    </w:p>
    <w:p w:rsidR="00286780" w:rsidRDefault="00286780" w:rsidP="006239CF">
      <w:pPr>
        <w:pStyle w:val="af6"/>
        <w:spacing w:after="120"/>
        <w:rPr>
          <w:rStyle w:val="Hyperlink0"/>
          <w:rFonts w:cs="Arial Unicode MS"/>
        </w:rPr>
      </w:pPr>
      <w:r>
        <w:rPr>
          <w:rStyle w:val="afffffffffff8"/>
          <w:b/>
          <w:bCs/>
        </w:rPr>
        <w:t>Таблица 23</w:t>
      </w:r>
      <w:r>
        <w:rPr>
          <w:rStyle w:val="Hyperlink0"/>
          <w:rFonts w:cs="Arial Unicode MS"/>
        </w:rPr>
        <w:t xml:space="preserve"> – Нозологические формы ХП сердечно-сосудистой системы у пациентов с МФОИ</w:t>
      </w:r>
    </w:p>
    <w:tbl>
      <w:tblPr>
        <w:tblW w:w="991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6232"/>
        <w:gridCol w:w="1983"/>
        <w:gridCol w:w="1700"/>
      </w:tblGrid>
      <w:tr w:rsidR="00286780" w:rsidRPr="00C55ECF" w:rsidTr="006239CF">
        <w:trPr>
          <w:trHeight w:val="300"/>
        </w:trPr>
        <w:tc>
          <w:tcPr>
            <w:tcW w:w="6232"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jc w:val="center"/>
              <w:rPr>
                <w:sz w:val="24"/>
                <w:szCs w:val="24"/>
              </w:rPr>
            </w:pPr>
            <w:r w:rsidRPr="00C55ECF">
              <w:rPr>
                <w:rStyle w:val="afffffffffff8"/>
                <w:i/>
                <w:iCs/>
                <w:sz w:val="24"/>
                <w:szCs w:val="24"/>
              </w:rPr>
              <w:t>Заболевание</w:t>
            </w:r>
          </w:p>
        </w:tc>
        <w:tc>
          <w:tcPr>
            <w:tcW w:w="368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jc w:val="center"/>
              <w:rPr>
                <w:sz w:val="24"/>
                <w:szCs w:val="24"/>
              </w:rPr>
            </w:pPr>
            <w:r w:rsidRPr="00C55ECF">
              <w:rPr>
                <w:rStyle w:val="afffffffffff8"/>
                <w:i/>
                <w:iCs/>
                <w:sz w:val="24"/>
                <w:szCs w:val="24"/>
              </w:rPr>
              <w:t>Количество пациентов</w:t>
            </w:r>
          </w:p>
        </w:tc>
      </w:tr>
      <w:tr w:rsidR="00286780" w:rsidRPr="00C55ECF" w:rsidTr="006239CF">
        <w:trPr>
          <w:trHeight w:val="600"/>
        </w:trPr>
        <w:tc>
          <w:tcPr>
            <w:tcW w:w="6232" w:type="dxa"/>
            <w:vMerge/>
            <w:tcBorders>
              <w:top w:val="single" w:sz="4" w:space="0" w:color="000000"/>
              <w:left w:val="single" w:sz="4" w:space="0" w:color="000000"/>
              <w:bottom w:val="single" w:sz="4" w:space="0" w:color="000000"/>
              <w:right w:val="single" w:sz="4" w:space="0" w:color="000000"/>
            </w:tcBorders>
          </w:tcPr>
          <w:p w:rsidR="00286780" w:rsidRPr="00C55ECF" w:rsidRDefault="00286780" w:rsidP="006239CF">
            <w:pPr>
              <w:rPr>
                <w:sz w:val="24"/>
                <w:szCs w:val="24"/>
              </w:rPr>
            </w:pPr>
          </w:p>
        </w:tc>
        <w:tc>
          <w:tcPr>
            <w:tcW w:w="19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jc w:val="center"/>
              <w:rPr>
                <w:rStyle w:val="afffffffffff8"/>
                <w:sz w:val="24"/>
                <w:szCs w:val="24"/>
              </w:rPr>
            </w:pPr>
            <w:r w:rsidRPr="00C55ECF">
              <w:rPr>
                <w:rStyle w:val="afffffffffff8"/>
                <w:sz w:val="24"/>
                <w:szCs w:val="24"/>
              </w:rPr>
              <w:t>абсолютное</w:t>
            </w:r>
          </w:p>
          <w:p w:rsidR="00286780" w:rsidRPr="00C55ECF" w:rsidRDefault="00286780" w:rsidP="006239CF">
            <w:pPr>
              <w:pStyle w:val="af6"/>
              <w:jc w:val="center"/>
              <w:rPr>
                <w:sz w:val="24"/>
                <w:szCs w:val="24"/>
              </w:rPr>
            </w:pPr>
            <w:r w:rsidRPr="00C55ECF">
              <w:rPr>
                <w:rStyle w:val="afffffffffff8"/>
                <w:sz w:val="24"/>
                <w:szCs w:val="24"/>
              </w:rPr>
              <w:t>значение</w:t>
            </w:r>
          </w:p>
        </w:tc>
        <w:tc>
          <w:tcPr>
            <w:tcW w:w="17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jc w:val="center"/>
              <w:rPr>
                <w:sz w:val="24"/>
                <w:szCs w:val="24"/>
              </w:rPr>
            </w:pPr>
            <w:r w:rsidRPr="00C55ECF">
              <w:rPr>
                <w:rStyle w:val="afffffffffff8"/>
                <w:sz w:val="24"/>
                <w:szCs w:val="24"/>
              </w:rPr>
              <w:t>%</w:t>
            </w:r>
          </w:p>
        </w:tc>
      </w:tr>
      <w:tr w:rsidR="00286780" w:rsidRPr="00C55ECF" w:rsidTr="006239CF">
        <w:trPr>
          <w:trHeight w:val="304"/>
        </w:trPr>
        <w:tc>
          <w:tcPr>
            <w:tcW w:w="6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rPr>
                <w:sz w:val="24"/>
                <w:szCs w:val="24"/>
              </w:rPr>
            </w:pPr>
            <w:r w:rsidRPr="00C55ECF">
              <w:rPr>
                <w:rStyle w:val="afffffffffff8"/>
                <w:sz w:val="24"/>
                <w:szCs w:val="24"/>
              </w:rPr>
              <w:t>Артериальная гипертония</w:t>
            </w:r>
          </w:p>
        </w:tc>
        <w:tc>
          <w:tcPr>
            <w:tcW w:w="19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jc w:val="center"/>
              <w:rPr>
                <w:sz w:val="24"/>
                <w:szCs w:val="24"/>
              </w:rPr>
            </w:pPr>
            <w:r w:rsidRPr="00C55ECF">
              <w:rPr>
                <w:rStyle w:val="afffffffffff8"/>
                <w:sz w:val="24"/>
                <w:szCs w:val="24"/>
              </w:rPr>
              <w:t>33</w:t>
            </w:r>
          </w:p>
        </w:tc>
        <w:tc>
          <w:tcPr>
            <w:tcW w:w="17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jc w:val="center"/>
              <w:rPr>
                <w:sz w:val="24"/>
                <w:szCs w:val="24"/>
              </w:rPr>
            </w:pPr>
            <w:r w:rsidRPr="00C55ECF">
              <w:rPr>
                <w:rStyle w:val="afffffffffff8"/>
                <w:sz w:val="24"/>
                <w:szCs w:val="24"/>
              </w:rPr>
              <w:t>94,3</w:t>
            </w:r>
          </w:p>
        </w:tc>
      </w:tr>
      <w:tr w:rsidR="00286780" w:rsidRPr="00C55ECF" w:rsidTr="006239CF">
        <w:trPr>
          <w:trHeight w:val="304"/>
        </w:trPr>
        <w:tc>
          <w:tcPr>
            <w:tcW w:w="6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rPr>
                <w:sz w:val="24"/>
                <w:szCs w:val="24"/>
              </w:rPr>
            </w:pPr>
            <w:r w:rsidRPr="00C55ECF">
              <w:rPr>
                <w:rStyle w:val="afffffffffff8"/>
                <w:sz w:val="24"/>
                <w:szCs w:val="24"/>
              </w:rPr>
              <w:t>Артериальная гипертония и ИБС</w:t>
            </w:r>
          </w:p>
        </w:tc>
        <w:tc>
          <w:tcPr>
            <w:tcW w:w="19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jc w:val="center"/>
              <w:rPr>
                <w:sz w:val="24"/>
                <w:szCs w:val="24"/>
              </w:rPr>
            </w:pPr>
            <w:r w:rsidRPr="00C55ECF">
              <w:rPr>
                <w:rStyle w:val="afffffffffff8"/>
                <w:sz w:val="24"/>
                <w:szCs w:val="24"/>
              </w:rPr>
              <w:t>1</w:t>
            </w:r>
          </w:p>
        </w:tc>
        <w:tc>
          <w:tcPr>
            <w:tcW w:w="17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jc w:val="center"/>
              <w:rPr>
                <w:sz w:val="24"/>
                <w:szCs w:val="24"/>
              </w:rPr>
            </w:pPr>
            <w:r w:rsidRPr="00C55ECF">
              <w:rPr>
                <w:rStyle w:val="afffffffffff8"/>
                <w:sz w:val="24"/>
                <w:szCs w:val="24"/>
              </w:rPr>
              <w:t>2,85</w:t>
            </w:r>
          </w:p>
        </w:tc>
      </w:tr>
      <w:tr w:rsidR="00286780" w:rsidRPr="00C55ECF" w:rsidTr="006239CF">
        <w:trPr>
          <w:trHeight w:val="304"/>
        </w:trPr>
        <w:tc>
          <w:tcPr>
            <w:tcW w:w="6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rPr>
                <w:sz w:val="24"/>
                <w:szCs w:val="24"/>
              </w:rPr>
            </w:pPr>
            <w:r w:rsidRPr="00C55ECF">
              <w:rPr>
                <w:rStyle w:val="afffffffffff8"/>
                <w:sz w:val="24"/>
                <w:szCs w:val="24"/>
              </w:rPr>
              <w:t>Ишемическая болезнь сердца (ИБС)</w:t>
            </w:r>
          </w:p>
        </w:tc>
        <w:tc>
          <w:tcPr>
            <w:tcW w:w="19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jc w:val="center"/>
              <w:rPr>
                <w:sz w:val="24"/>
                <w:szCs w:val="24"/>
              </w:rPr>
            </w:pPr>
            <w:r w:rsidRPr="00C55ECF">
              <w:rPr>
                <w:rStyle w:val="afffffffffff8"/>
                <w:sz w:val="24"/>
                <w:szCs w:val="24"/>
              </w:rPr>
              <w:t>1</w:t>
            </w:r>
          </w:p>
        </w:tc>
        <w:tc>
          <w:tcPr>
            <w:tcW w:w="17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jc w:val="center"/>
              <w:rPr>
                <w:sz w:val="24"/>
                <w:szCs w:val="24"/>
              </w:rPr>
            </w:pPr>
            <w:r w:rsidRPr="00C55ECF">
              <w:rPr>
                <w:rStyle w:val="afffffffffff8"/>
                <w:sz w:val="24"/>
                <w:szCs w:val="24"/>
              </w:rPr>
              <w:t>2,85</w:t>
            </w:r>
          </w:p>
        </w:tc>
      </w:tr>
      <w:tr w:rsidR="00286780" w:rsidRPr="00C55ECF" w:rsidTr="006239CF">
        <w:trPr>
          <w:trHeight w:val="304"/>
        </w:trPr>
        <w:tc>
          <w:tcPr>
            <w:tcW w:w="6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rPr>
                <w:sz w:val="24"/>
                <w:szCs w:val="24"/>
              </w:rPr>
            </w:pPr>
            <w:r w:rsidRPr="00C55ECF">
              <w:rPr>
                <w:rStyle w:val="afffffffffff8"/>
                <w:sz w:val="24"/>
                <w:szCs w:val="24"/>
              </w:rPr>
              <w:t>Итого</w:t>
            </w:r>
          </w:p>
        </w:tc>
        <w:tc>
          <w:tcPr>
            <w:tcW w:w="19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jc w:val="center"/>
              <w:rPr>
                <w:sz w:val="24"/>
                <w:szCs w:val="24"/>
              </w:rPr>
            </w:pPr>
            <w:r w:rsidRPr="00C55ECF">
              <w:rPr>
                <w:rStyle w:val="afffffffffff8"/>
                <w:sz w:val="24"/>
                <w:szCs w:val="24"/>
              </w:rPr>
              <w:t>35</w:t>
            </w:r>
          </w:p>
        </w:tc>
        <w:tc>
          <w:tcPr>
            <w:tcW w:w="17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jc w:val="center"/>
              <w:rPr>
                <w:sz w:val="24"/>
                <w:szCs w:val="24"/>
              </w:rPr>
            </w:pPr>
            <w:r w:rsidRPr="00C55ECF">
              <w:rPr>
                <w:rStyle w:val="afffffffffff8"/>
                <w:sz w:val="24"/>
                <w:szCs w:val="24"/>
              </w:rPr>
              <w:t>100</w:t>
            </w:r>
          </w:p>
        </w:tc>
      </w:tr>
    </w:tbl>
    <w:p w:rsidR="00286780" w:rsidRDefault="00286780" w:rsidP="006239CF">
      <w:pPr>
        <w:pStyle w:val="af6"/>
        <w:rPr>
          <w:rStyle w:val="comma"/>
        </w:rPr>
      </w:pPr>
    </w:p>
    <w:p w:rsidR="00286780" w:rsidRDefault="00286780" w:rsidP="006239CF">
      <w:pPr>
        <w:pStyle w:val="af6"/>
        <w:spacing w:line="360" w:lineRule="auto"/>
        <w:ind w:firstLine="709"/>
        <w:rPr>
          <w:rStyle w:val="Hyperlink0"/>
          <w:rFonts w:cs="Arial Unicode MS"/>
        </w:rPr>
      </w:pPr>
      <w:r>
        <w:rPr>
          <w:rStyle w:val="Hyperlink0"/>
          <w:rFonts w:cs="Arial Unicode MS"/>
        </w:rPr>
        <w:t>Преобладают пациенты с МФОИ и артериальной гипертонией (94,3</w:t>
      </w:r>
      <w:r w:rsidRPr="00B23A72">
        <w:rPr>
          <w:rStyle w:val="Hyperlink0"/>
          <w:rFonts w:cs="Arial Unicode MS"/>
        </w:rPr>
        <w:t xml:space="preserve">%), </w:t>
      </w:r>
      <w:r>
        <w:rPr>
          <w:rStyle w:val="Hyperlink0"/>
          <w:rFonts w:cs="Arial Unicode MS"/>
        </w:rPr>
        <w:t>несколько реже диагностированы ишемическая болезнь сердца в сочетании с артериальной гипертонией (2,85%), ишемическая болезнь сердца (без коморбидной артериальной гипертонии (2,85%).</w:t>
      </w:r>
    </w:p>
    <w:p w:rsidR="00286780" w:rsidRDefault="00286780" w:rsidP="006239CF">
      <w:pPr>
        <w:pStyle w:val="af6"/>
        <w:spacing w:line="360" w:lineRule="auto"/>
        <w:ind w:firstLine="709"/>
        <w:rPr>
          <w:rStyle w:val="Hyperlink0"/>
          <w:rFonts w:cs="Arial Unicode MS"/>
        </w:rPr>
      </w:pPr>
      <w:r>
        <w:rPr>
          <w:rStyle w:val="Hyperlink0"/>
          <w:rFonts w:cs="Arial Unicode MS"/>
        </w:rPr>
        <w:t>Как следует из Таблицы 23, в подгруппе № 1 артериальная гипертония диагностирована у 34 пациентов (97,1%). Распределение больных с артериальной гипертонией в зависимости от величины уровня артериального давления (</w:t>
      </w:r>
      <w:r>
        <w:rPr>
          <w:rStyle w:val="afffffffffff8"/>
          <w:lang w:val="en-US"/>
        </w:rPr>
        <w:t>EHS</w:t>
      </w:r>
      <w:r>
        <w:rPr>
          <w:rStyle w:val="Hyperlink0"/>
          <w:rFonts w:cs="Arial Unicode MS"/>
        </w:rPr>
        <w:t>/</w:t>
      </w:r>
      <w:r>
        <w:rPr>
          <w:rStyle w:val="afffffffffff8"/>
          <w:lang w:val="en-US"/>
        </w:rPr>
        <w:t>ESC</w:t>
      </w:r>
      <w:r>
        <w:rPr>
          <w:rStyle w:val="Hyperlink0"/>
          <w:rFonts w:cs="Arial Unicode MS"/>
        </w:rPr>
        <w:t>, 2013 г.; ВОЗ/МОАГ, 1999 г.) представлено в Таблице 24.</w:t>
      </w:r>
    </w:p>
    <w:p w:rsidR="00286780" w:rsidRDefault="00286780" w:rsidP="006239CF">
      <w:pPr>
        <w:pStyle w:val="af6"/>
        <w:rPr>
          <w:rStyle w:val="comma"/>
        </w:rPr>
      </w:pPr>
    </w:p>
    <w:p w:rsidR="00286780" w:rsidRDefault="00286780" w:rsidP="006239CF">
      <w:pPr>
        <w:pStyle w:val="af6"/>
        <w:spacing w:after="120"/>
        <w:rPr>
          <w:rStyle w:val="Hyperlink0"/>
          <w:rFonts w:cs="Arial Unicode MS"/>
        </w:rPr>
      </w:pPr>
      <w:r>
        <w:rPr>
          <w:rStyle w:val="afffffffffff8"/>
          <w:b/>
          <w:bCs/>
        </w:rPr>
        <w:t>Таблица 24</w:t>
      </w:r>
      <w:r>
        <w:rPr>
          <w:rStyle w:val="Hyperlink0"/>
          <w:rFonts w:cs="Arial Unicode MS"/>
        </w:rPr>
        <w:t xml:space="preserve"> – Распределение пациентов с артериальной гипертонией (EHS/ESC, 2013 г.; ВОЗ/МОАГ, 1999 г.) </w:t>
      </w:r>
    </w:p>
    <w:tbl>
      <w:tblPr>
        <w:tblW w:w="99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3128"/>
        <w:gridCol w:w="3653"/>
        <w:gridCol w:w="3142"/>
      </w:tblGrid>
      <w:tr w:rsidR="00286780" w:rsidRPr="00C55ECF" w:rsidTr="006239CF">
        <w:trPr>
          <w:trHeight w:val="300"/>
          <w:jc w:val="center"/>
        </w:trPr>
        <w:tc>
          <w:tcPr>
            <w:tcW w:w="3128"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jc w:val="center"/>
              <w:rPr>
                <w:sz w:val="24"/>
                <w:szCs w:val="24"/>
              </w:rPr>
            </w:pPr>
            <w:r w:rsidRPr="00C55ECF">
              <w:rPr>
                <w:rStyle w:val="afffffffffff8"/>
                <w:i/>
                <w:iCs/>
                <w:sz w:val="24"/>
                <w:szCs w:val="24"/>
              </w:rPr>
              <w:t>Артериальная гипертония</w:t>
            </w:r>
          </w:p>
        </w:tc>
        <w:tc>
          <w:tcPr>
            <w:tcW w:w="679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jc w:val="center"/>
              <w:rPr>
                <w:sz w:val="24"/>
                <w:szCs w:val="24"/>
              </w:rPr>
            </w:pPr>
            <w:r w:rsidRPr="00C55ECF">
              <w:rPr>
                <w:rStyle w:val="afffffffffff8"/>
                <w:i/>
                <w:iCs/>
                <w:sz w:val="24"/>
                <w:szCs w:val="24"/>
              </w:rPr>
              <w:t>Количество пациентов</w:t>
            </w:r>
          </w:p>
        </w:tc>
      </w:tr>
      <w:tr w:rsidR="00286780" w:rsidRPr="00C55ECF" w:rsidTr="006239CF">
        <w:trPr>
          <w:trHeight w:val="300"/>
          <w:jc w:val="center"/>
        </w:trPr>
        <w:tc>
          <w:tcPr>
            <w:tcW w:w="3128" w:type="dxa"/>
            <w:vMerge/>
            <w:tcBorders>
              <w:top w:val="single" w:sz="4" w:space="0" w:color="000000"/>
              <w:left w:val="single" w:sz="4" w:space="0" w:color="000000"/>
              <w:bottom w:val="single" w:sz="4" w:space="0" w:color="000000"/>
              <w:right w:val="single" w:sz="4" w:space="0" w:color="000000"/>
            </w:tcBorders>
          </w:tcPr>
          <w:p w:rsidR="00286780" w:rsidRPr="00C55ECF" w:rsidRDefault="00286780" w:rsidP="006239CF">
            <w:pPr>
              <w:rPr>
                <w:sz w:val="24"/>
                <w:szCs w:val="24"/>
              </w:rPr>
            </w:pPr>
          </w:p>
        </w:tc>
        <w:tc>
          <w:tcPr>
            <w:tcW w:w="36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jc w:val="center"/>
              <w:rPr>
                <w:sz w:val="24"/>
                <w:szCs w:val="24"/>
              </w:rPr>
            </w:pPr>
            <w:r w:rsidRPr="00C55ECF">
              <w:rPr>
                <w:rStyle w:val="afffffffffff8"/>
                <w:sz w:val="24"/>
                <w:szCs w:val="24"/>
              </w:rPr>
              <w:t>абсолютное значение</w:t>
            </w:r>
          </w:p>
        </w:tc>
        <w:tc>
          <w:tcPr>
            <w:tcW w:w="31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jc w:val="center"/>
              <w:rPr>
                <w:sz w:val="24"/>
                <w:szCs w:val="24"/>
              </w:rPr>
            </w:pPr>
            <w:r w:rsidRPr="00C55ECF">
              <w:rPr>
                <w:rStyle w:val="afffffffffff8"/>
                <w:sz w:val="24"/>
                <w:szCs w:val="24"/>
              </w:rPr>
              <w:t>%</w:t>
            </w:r>
          </w:p>
        </w:tc>
      </w:tr>
      <w:tr w:rsidR="00286780" w:rsidRPr="00C55ECF" w:rsidTr="006239CF">
        <w:trPr>
          <w:trHeight w:val="304"/>
          <w:jc w:val="center"/>
        </w:trPr>
        <w:tc>
          <w:tcPr>
            <w:tcW w:w="3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rPr>
                <w:sz w:val="24"/>
                <w:szCs w:val="24"/>
              </w:rPr>
            </w:pPr>
            <w:r w:rsidRPr="00C55ECF">
              <w:rPr>
                <w:rStyle w:val="afffffffffff8"/>
                <w:sz w:val="24"/>
                <w:szCs w:val="24"/>
                <w:lang w:val="en-US"/>
              </w:rPr>
              <w:t>I</w:t>
            </w:r>
            <w:r w:rsidRPr="00C55ECF">
              <w:rPr>
                <w:rStyle w:val="afffffffffff8"/>
                <w:sz w:val="24"/>
                <w:szCs w:val="24"/>
              </w:rPr>
              <w:t xml:space="preserve"> степень (мягкая)</w:t>
            </w:r>
          </w:p>
        </w:tc>
        <w:tc>
          <w:tcPr>
            <w:tcW w:w="36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jc w:val="center"/>
              <w:rPr>
                <w:sz w:val="24"/>
                <w:szCs w:val="24"/>
              </w:rPr>
            </w:pPr>
            <w:r w:rsidRPr="00C55ECF">
              <w:rPr>
                <w:rStyle w:val="afffffffffff8"/>
                <w:sz w:val="24"/>
                <w:szCs w:val="24"/>
              </w:rPr>
              <w:t>14</w:t>
            </w:r>
          </w:p>
        </w:tc>
        <w:tc>
          <w:tcPr>
            <w:tcW w:w="31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jc w:val="center"/>
              <w:rPr>
                <w:sz w:val="24"/>
                <w:szCs w:val="24"/>
              </w:rPr>
            </w:pPr>
            <w:r w:rsidRPr="00C55ECF">
              <w:rPr>
                <w:rStyle w:val="afffffffffff8"/>
                <w:sz w:val="24"/>
                <w:szCs w:val="24"/>
              </w:rPr>
              <w:t>41,2</w:t>
            </w:r>
          </w:p>
        </w:tc>
      </w:tr>
      <w:tr w:rsidR="00286780" w:rsidRPr="00C55ECF" w:rsidTr="006239CF">
        <w:trPr>
          <w:trHeight w:val="304"/>
          <w:jc w:val="center"/>
        </w:trPr>
        <w:tc>
          <w:tcPr>
            <w:tcW w:w="3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rPr>
                <w:sz w:val="24"/>
                <w:szCs w:val="24"/>
              </w:rPr>
            </w:pPr>
            <w:r w:rsidRPr="00C55ECF">
              <w:rPr>
                <w:rStyle w:val="afffffffffff8"/>
                <w:sz w:val="24"/>
                <w:szCs w:val="24"/>
                <w:lang w:val="en-US"/>
              </w:rPr>
              <w:t>II</w:t>
            </w:r>
            <w:r w:rsidRPr="00C55ECF">
              <w:rPr>
                <w:rStyle w:val="afffffffffff8"/>
                <w:sz w:val="24"/>
                <w:szCs w:val="24"/>
              </w:rPr>
              <w:t xml:space="preserve"> степень (умеренная)</w:t>
            </w:r>
          </w:p>
        </w:tc>
        <w:tc>
          <w:tcPr>
            <w:tcW w:w="36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jc w:val="center"/>
              <w:rPr>
                <w:sz w:val="24"/>
                <w:szCs w:val="24"/>
              </w:rPr>
            </w:pPr>
            <w:r w:rsidRPr="00C55ECF">
              <w:rPr>
                <w:rStyle w:val="afffffffffff8"/>
                <w:sz w:val="24"/>
                <w:szCs w:val="24"/>
              </w:rPr>
              <w:t>12</w:t>
            </w:r>
          </w:p>
        </w:tc>
        <w:tc>
          <w:tcPr>
            <w:tcW w:w="31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jc w:val="center"/>
              <w:rPr>
                <w:sz w:val="24"/>
                <w:szCs w:val="24"/>
              </w:rPr>
            </w:pPr>
            <w:r w:rsidRPr="00C55ECF">
              <w:rPr>
                <w:rStyle w:val="afffffffffff8"/>
                <w:sz w:val="24"/>
                <w:szCs w:val="24"/>
              </w:rPr>
              <w:t>35,3</w:t>
            </w:r>
          </w:p>
        </w:tc>
      </w:tr>
      <w:tr w:rsidR="00286780" w:rsidRPr="00C55ECF" w:rsidTr="006239CF">
        <w:trPr>
          <w:trHeight w:val="304"/>
          <w:jc w:val="center"/>
        </w:trPr>
        <w:tc>
          <w:tcPr>
            <w:tcW w:w="3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rPr>
                <w:sz w:val="24"/>
                <w:szCs w:val="24"/>
              </w:rPr>
            </w:pPr>
            <w:r w:rsidRPr="00C55ECF">
              <w:rPr>
                <w:rStyle w:val="afffffffffff8"/>
                <w:sz w:val="24"/>
                <w:szCs w:val="24"/>
                <w:lang w:val="en-US"/>
              </w:rPr>
              <w:t>III</w:t>
            </w:r>
            <w:r w:rsidRPr="00C55ECF">
              <w:rPr>
                <w:rStyle w:val="afffffffffff8"/>
                <w:sz w:val="24"/>
                <w:szCs w:val="24"/>
              </w:rPr>
              <w:t xml:space="preserve"> степень (тяжелая)</w:t>
            </w:r>
          </w:p>
        </w:tc>
        <w:tc>
          <w:tcPr>
            <w:tcW w:w="36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jc w:val="center"/>
              <w:rPr>
                <w:sz w:val="24"/>
                <w:szCs w:val="24"/>
              </w:rPr>
            </w:pPr>
            <w:r w:rsidRPr="00C55ECF">
              <w:rPr>
                <w:rStyle w:val="afffffffffff8"/>
                <w:sz w:val="24"/>
                <w:szCs w:val="24"/>
              </w:rPr>
              <w:t>8</w:t>
            </w:r>
          </w:p>
        </w:tc>
        <w:tc>
          <w:tcPr>
            <w:tcW w:w="31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jc w:val="center"/>
              <w:rPr>
                <w:sz w:val="24"/>
                <w:szCs w:val="24"/>
              </w:rPr>
            </w:pPr>
            <w:r w:rsidRPr="00C55ECF">
              <w:rPr>
                <w:rStyle w:val="afffffffffff8"/>
                <w:sz w:val="24"/>
                <w:szCs w:val="24"/>
              </w:rPr>
              <w:t>23,5</w:t>
            </w:r>
          </w:p>
        </w:tc>
      </w:tr>
      <w:tr w:rsidR="00286780" w:rsidRPr="00C55ECF" w:rsidTr="006239CF">
        <w:trPr>
          <w:trHeight w:val="304"/>
          <w:jc w:val="center"/>
        </w:trPr>
        <w:tc>
          <w:tcPr>
            <w:tcW w:w="3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rPr>
                <w:sz w:val="24"/>
                <w:szCs w:val="24"/>
              </w:rPr>
            </w:pPr>
            <w:r w:rsidRPr="00C55ECF">
              <w:rPr>
                <w:rStyle w:val="afffffffffff8"/>
                <w:sz w:val="24"/>
                <w:szCs w:val="24"/>
              </w:rPr>
              <w:t>Итого</w:t>
            </w:r>
          </w:p>
        </w:tc>
        <w:tc>
          <w:tcPr>
            <w:tcW w:w="36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jc w:val="center"/>
              <w:rPr>
                <w:sz w:val="24"/>
                <w:szCs w:val="24"/>
              </w:rPr>
            </w:pPr>
            <w:r w:rsidRPr="00C55ECF">
              <w:rPr>
                <w:rStyle w:val="afffffffffff8"/>
                <w:sz w:val="24"/>
                <w:szCs w:val="24"/>
              </w:rPr>
              <w:t>34</w:t>
            </w:r>
          </w:p>
        </w:tc>
        <w:tc>
          <w:tcPr>
            <w:tcW w:w="31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jc w:val="center"/>
              <w:rPr>
                <w:sz w:val="24"/>
                <w:szCs w:val="24"/>
              </w:rPr>
            </w:pPr>
            <w:r w:rsidRPr="00C55ECF">
              <w:rPr>
                <w:rStyle w:val="afffffffffff8"/>
                <w:sz w:val="24"/>
                <w:szCs w:val="24"/>
              </w:rPr>
              <w:t>100</w:t>
            </w:r>
          </w:p>
        </w:tc>
      </w:tr>
      <w:tr w:rsidR="00286780" w:rsidRPr="00C55ECF" w:rsidTr="006239CF">
        <w:trPr>
          <w:trHeight w:val="900"/>
          <w:jc w:val="center"/>
        </w:trPr>
        <w:tc>
          <w:tcPr>
            <w:tcW w:w="9923"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C55ECF" w:rsidRDefault="00286780" w:rsidP="006239CF">
            <w:pPr>
              <w:pStyle w:val="af6"/>
              <w:rPr>
                <w:sz w:val="24"/>
                <w:szCs w:val="24"/>
              </w:rPr>
            </w:pPr>
            <w:r w:rsidRPr="00C55ECF">
              <w:rPr>
                <w:rStyle w:val="afffffffffff8"/>
                <w:i/>
                <w:iCs/>
                <w:sz w:val="24"/>
                <w:szCs w:val="24"/>
              </w:rPr>
              <w:t>Примечание.</w:t>
            </w:r>
            <w:r w:rsidRPr="00C55ECF">
              <w:rPr>
                <w:rStyle w:val="afffffffffff8"/>
                <w:sz w:val="24"/>
                <w:szCs w:val="24"/>
              </w:rPr>
              <w:t>* – различия статистически достоверны (</w:t>
            </w:r>
            <w:r w:rsidRPr="00C55ECF">
              <w:rPr>
                <w:rStyle w:val="afffffffffff8"/>
                <w:sz w:val="24"/>
                <w:szCs w:val="24"/>
                <w:lang w:val="en-US"/>
              </w:rPr>
              <w:t>p</w:t>
            </w:r>
            <w:r w:rsidRPr="00C55ECF">
              <w:rPr>
                <w:rStyle w:val="afffffffffff8"/>
                <w:sz w:val="24"/>
                <w:szCs w:val="24"/>
              </w:rPr>
              <w:t xml:space="preserve">&lt;0,05); </w:t>
            </w:r>
            <w:r w:rsidRPr="00C55ECF">
              <w:rPr>
                <w:rStyle w:val="afffffffffff8"/>
                <w:sz w:val="24"/>
                <w:szCs w:val="24"/>
                <w:lang w:val="en-US"/>
              </w:rPr>
              <w:t>EHS</w:t>
            </w:r>
            <w:r w:rsidRPr="00C55ECF">
              <w:rPr>
                <w:rStyle w:val="afffffffffff8"/>
                <w:sz w:val="24"/>
                <w:szCs w:val="24"/>
              </w:rPr>
              <w:t xml:space="preserve"> – Европейское общество гипертонии; </w:t>
            </w:r>
            <w:r w:rsidRPr="00C55ECF">
              <w:rPr>
                <w:rStyle w:val="afffffffffff8"/>
                <w:sz w:val="24"/>
                <w:szCs w:val="24"/>
                <w:lang w:val="en-US"/>
              </w:rPr>
              <w:t>ESC</w:t>
            </w:r>
            <w:r w:rsidRPr="00C55ECF">
              <w:rPr>
                <w:rStyle w:val="afffffffffff8"/>
                <w:sz w:val="24"/>
                <w:szCs w:val="24"/>
              </w:rPr>
              <w:t xml:space="preserve"> – Европейское общество кардиологов, ВОЗ – Всемирная организация здравоохранения, МОАГ – международное общество артериальной гипертонии</w:t>
            </w:r>
          </w:p>
        </w:tc>
      </w:tr>
    </w:tbl>
    <w:p w:rsidR="00286780" w:rsidRDefault="00286780" w:rsidP="006239CF">
      <w:pPr>
        <w:pStyle w:val="af6"/>
        <w:rPr>
          <w:rStyle w:val="afffffffffff8"/>
          <w:i/>
          <w:iCs/>
          <w:sz w:val="24"/>
          <w:szCs w:val="24"/>
        </w:rPr>
      </w:pPr>
    </w:p>
    <w:p w:rsidR="00286780" w:rsidRDefault="00286780" w:rsidP="006239CF">
      <w:pPr>
        <w:pStyle w:val="af6"/>
        <w:spacing w:line="360" w:lineRule="auto"/>
        <w:ind w:firstLine="709"/>
        <w:rPr>
          <w:rStyle w:val="Hyperlink0"/>
          <w:rFonts w:cs="Arial Unicode MS"/>
        </w:rPr>
      </w:pPr>
      <w:r>
        <w:rPr>
          <w:rStyle w:val="Hyperlink0"/>
          <w:rFonts w:cs="Arial Unicode MS"/>
        </w:rPr>
        <w:t xml:space="preserve">Первая степень артериальной гипертонии у пациентов с МФОИ диагностирована в </w:t>
      </w:r>
      <w:r w:rsidRPr="00A746A7">
        <w:rPr>
          <w:rStyle w:val="Hyperlink0"/>
          <w:rFonts w:cs="Arial Unicode MS"/>
        </w:rPr>
        <w:t>41</w:t>
      </w:r>
      <w:r>
        <w:rPr>
          <w:rStyle w:val="Hyperlink0"/>
          <w:rFonts w:cs="Arial Unicode MS"/>
        </w:rPr>
        <w:t>,</w:t>
      </w:r>
      <w:r w:rsidRPr="00A746A7">
        <w:rPr>
          <w:rStyle w:val="Hyperlink0"/>
          <w:rFonts w:cs="Arial Unicode MS"/>
        </w:rPr>
        <w:t>2</w:t>
      </w:r>
      <w:r>
        <w:rPr>
          <w:rStyle w:val="Hyperlink0"/>
          <w:rFonts w:cs="Arial Unicode MS"/>
        </w:rPr>
        <w:t xml:space="preserve">%, </w:t>
      </w:r>
      <w:r>
        <w:rPr>
          <w:rStyle w:val="afffffffffff8"/>
          <w:lang w:val="en-US"/>
        </w:rPr>
        <w:t>II</w:t>
      </w:r>
      <w:r>
        <w:rPr>
          <w:rStyle w:val="Hyperlink0"/>
          <w:rFonts w:cs="Arial Unicode MS"/>
        </w:rPr>
        <w:t xml:space="preserve"> степень – 35,3%; </w:t>
      </w:r>
      <w:r>
        <w:rPr>
          <w:rStyle w:val="afffffffffff8"/>
          <w:lang w:val="en-US"/>
        </w:rPr>
        <w:t>III</w:t>
      </w:r>
      <w:r>
        <w:rPr>
          <w:rStyle w:val="Hyperlink0"/>
          <w:rFonts w:cs="Arial Unicode MS"/>
        </w:rPr>
        <w:t xml:space="preserve"> степень – 23,5%, статистических различий между частотами распространенности степеней артериальной гипертонии не обнаружено </w:t>
      </w:r>
      <w:r>
        <w:rPr>
          <w:rStyle w:val="afffffffffff8"/>
        </w:rPr>
        <w:t>(р&gt;</w:t>
      </w:r>
      <w:r w:rsidRPr="00A7413C">
        <w:rPr>
          <w:rStyle w:val="afffffffffff8"/>
        </w:rPr>
        <w:t>0,05)</w:t>
      </w:r>
      <w:r w:rsidRPr="00A7413C">
        <w:rPr>
          <w:rStyle w:val="Hyperlink0"/>
          <w:rFonts w:cs="Arial Unicode MS"/>
        </w:rPr>
        <w:t>.</w:t>
      </w:r>
    </w:p>
    <w:p w:rsidR="00286780" w:rsidRDefault="00286780" w:rsidP="006239CF">
      <w:pPr>
        <w:pStyle w:val="af6"/>
        <w:spacing w:line="360" w:lineRule="auto"/>
        <w:ind w:firstLine="709"/>
        <w:rPr>
          <w:rStyle w:val="Hyperlink0"/>
          <w:rFonts w:cs="Arial Unicode MS"/>
        </w:rPr>
      </w:pPr>
      <w:r>
        <w:rPr>
          <w:rStyle w:val="Hyperlink0"/>
          <w:rFonts w:cs="Arial Unicode MS"/>
        </w:rPr>
        <w:t xml:space="preserve">В исследуемой подгруппе больных ишемическая болезнь сердца, в том числе в сочетании с артериальной гипертонией, диагностирована у 2 пациентов (5,7%). Ишемическая болезнь сердца представленастабильной стенокардией напряжения </w:t>
      </w:r>
      <w:r>
        <w:rPr>
          <w:rStyle w:val="afffffffffff8"/>
          <w:lang w:val="en-US"/>
        </w:rPr>
        <w:t>III</w:t>
      </w:r>
      <w:r>
        <w:rPr>
          <w:rStyle w:val="Hyperlink0"/>
          <w:rFonts w:cs="Arial Unicode MS"/>
        </w:rPr>
        <w:t xml:space="preserve"> функционального класса (1 пациент), постоянной формой фибрилляцией предсердий </w:t>
      </w:r>
      <w:r>
        <w:rPr>
          <w:rStyle w:val="afffffffffff8"/>
        </w:rPr>
        <w:t>(1 пациент)</w:t>
      </w:r>
      <w:r>
        <w:rPr>
          <w:rStyle w:val="Hyperlink0"/>
          <w:rFonts w:cs="Arial Unicode MS"/>
        </w:rPr>
        <w:t>. Нестабильной стенокардии напряжения, прогрессирующей стенокардии, а также жизнеугрожающих нарушений ритма и внутрисердечной проводимости у пациентов с МФОИ не определяются.</w:t>
      </w:r>
    </w:p>
    <w:p w:rsidR="00286780" w:rsidRDefault="00286780" w:rsidP="006239CF">
      <w:pPr>
        <w:pStyle w:val="af6"/>
        <w:spacing w:line="360" w:lineRule="auto"/>
        <w:ind w:firstLine="709"/>
        <w:rPr>
          <w:rStyle w:val="afffffffffff8"/>
          <w:spacing w:val="-4"/>
        </w:rPr>
      </w:pPr>
      <w:r>
        <w:rPr>
          <w:rStyle w:val="afffffffffff8"/>
          <w:spacing w:val="-4"/>
        </w:rPr>
        <w:t>Гипертрофия миокарда левого желудочка (ГМЛЖ) диагностирована у 8 пациентов с МФОИ и артериальной гипертонией (22,6%). Иных форм поражения органов-мишеней (атеросклеротические бляшки, ретинопатия, нефропатия) не обнаружено, что, возможно, связано с недостаточно детальным специализированным кардиологическим обследованием больных с МФОИ при поступлении в стационар.</w:t>
      </w:r>
    </w:p>
    <w:p w:rsidR="00286780" w:rsidRDefault="00286780" w:rsidP="006239CF">
      <w:pPr>
        <w:pStyle w:val="af6"/>
        <w:spacing w:line="360" w:lineRule="auto"/>
        <w:ind w:firstLine="709"/>
        <w:rPr>
          <w:rStyle w:val="Hyperlink0"/>
          <w:rFonts w:cs="Arial Unicode MS"/>
        </w:rPr>
      </w:pPr>
      <w:r>
        <w:rPr>
          <w:rStyle w:val="Hyperlink0"/>
          <w:rFonts w:cs="Arial Unicode MS"/>
        </w:rPr>
        <w:t xml:space="preserve">Детальное распределение пациентов в зависимости от принадлежности к функциональным классам (ФК) хронической сердечной недостаточности (классификация </w:t>
      </w:r>
      <w:r>
        <w:rPr>
          <w:rStyle w:val="afffffffffff8"/>
          <w:lang w:val="en-US"/>
        </w:rPr>
        <w:t>NYHA</w:t>
      </w:r>
      <w:r>
        <w:rPr>
          <w:rStyle w:val="Hyperlink0"/>
          <w:rFonts w:cs="Arial Unicode MS"/>
        </w:rPr>
        <w:t>, 1964 г.) представлено в Таблице 25.</w:t>
      </w:r>
    </w:p>
    <w:p w:rsidR="00286780" w:rsidRDefault="00286780" w:rsidP="006239CF">
      <w:pPr>
        <w:pStyle w:val="af6"/>
        <w:rPr>
          <w:rStyle w:val="comma"/>
        </w:rPr>
      </w:pPr>
    </w:p>
    <w:p w:rsidR="00286780" w:rsidRDefault="00286780" w:rsidP="006239CF">
      <w:pPr>
        <w:pStyle w:val="af6"/>
        <w:spacing w:after="120"/>
        <w:rPr>
          <w:rStyle w:val="Hyperlink0"/>
          <w:rFonts w:cs="Arial Unicode MS"/>
        </w:rPr>
      </w:pPr>
      <w:r>
        <w:rPr>
          <w:rStyle w:val="afffffffffff8"/>
          <w:b/>
          <w:bCs/>
        </w:rPr>
        <w:t>Таблица 25</w:t>
      </w:r>
      <w:r>
        <w:rPr>
          <w:rStyle w:val="Hyperlink0"/>
          <w:rFonts w:cs="Arial Unicode MS"/>
        </w:rPr>
        <w:t xml:space="preserve"> – Распределение пациентов с хронической сердечной недостаточностью </w:t>
      </w:r>
      <w:r>
        <w:rPr>
          <w:rStyle w:val="Hyperlink0"/>
          <w:rFonts w:cs="Arial Unicode MS"/>
          <w:lang w:val="en-US"/>
        </w:rPr>
        <w:t xml:space="preserve">(NYHA, 1964 </w:t>
      </w:r>
      <w:r>
        <w:rPr>
          <w:rStyle w:val="Hyperlink0"/>
          <w:rFonts w:cs="Arial Unicode MS"/>
        </w:rPr>
        <w:t>г.)</w:t>
      </w:r>
    </w:p>
    <w:tbl>
      <w:tblPr>
        <w:tblW w:w="991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3131"/>
        <w:gridCol w:w="3282"/>
        <w:gridCol w:w="3502"/>
      </w:tblGrid>
      <w:tr w:rsidR="00286780" w:rsidRPr="00B5165F" w:rsidTr="006239CF">
        <w:trPr>
          <w:trHeight w:val="300"/>
          <w:jc w:val="center"/>
        </w:trPr>
        <w:tc>
          <w:tcPr>
            <w:tcW w:w="3131"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B5165F" w:rsidRDefault="00286780" w:rsidP="006239CF">
            <w:pPr>
              <w:pStyle w:val="af6"/>
              <w:ind w:firstLine="5"/>
              <w:rPr>
                <w:sz w:val="24"/>
                <w:szCs w:val="24"/>
              </w:rPr>
            </w:pPr>
            <w:r w:rsidRPr="00B5165F">
              <w:rPr>
                <w:rStyle w:val="afffffffffff8"/>
                <w:i/>
                <w:iCs/>
                <w:sz w:val="24"/>
                <w:szCs w:val="24"/>
              </w:rPr>
              <w:t>Функциональный класс ХСН</w:t>
            </w:r>
          </w:p>
        </w:tc>
        <w:tc>
          <w:tcPr>
            <w:tcW w:w="678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B5165F" w:rsidRDefault="00286780" w:rsidP="006239CF">
            <w:pPr>
              <w:pStyle w:val="af6"/>
              <w:ind w:firstLine="5"/>
              <w:jc w:val="center"/>
              <w:rPr>
                <w:sz w:val="24"/>
                <w:szCs w:val="24"/>
              </w:rPr>
            </w:pPr>
            <w:r w:rsidRPr="00B5165F">
              <w:rPr>
                <w:rStyle w:val="afffffffffff8"/>
                <w:i/>
                <w:iCs/>
                <w:sz w:val="24"/>
                <w:szCs w:val="24"/>
              </w:rPr>
              <w:t>Количество пациентов</w:t>
            </w:r>
          </w:p>
        </w:tc>
      </w:tr>
      <w:tr w:rsidR="00286780" w:rsidRPr="00B5165F" w:rsidTr="00A12698">
        <w:trPr>
          <w:trHeight w:val="186"/>
          <w:jc w:val="center"/>
        </w:trPr>
        <w:tc>
          <w:tcPr>
            <w:tcW w:w="3131" w:type="dxa"/>
            <w:vMerge/>
            <w:tcBorders>
              <w:top w:val="single" w:sz="4" w:space="0" w:color="000000"/>
              <w:left w:val="single" w:sz="4" w:space="0" w:color="000000"/>
              <w:bottom w:val="single" w:sz="4" w:space="0" w:color="000000"/>
              <w:right w:val="single" w:sz="4" w:space="0" w:color="000000"/>
            </w:tcBorders>
          </w:tcPr>
          <w:p w:rsidR="00286780" w:rsidRPr="00B5165F" w:rsidRDefault="00286780" w:rsidP="006239CF">
            <w:pPr>
              <w:rPr>
                <w:sz w:val="24"/>
                <w:szCs w:val="24"/>
              </w:rPr>
            </w:pPr>
          </w:p>
        </w:tc>
        <w:tc>
          <w:tcPr>
            <w:tcW w:w="32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6780" w:rsidRPr="00B5165F" w:rsidRDefault="00286780" w:rsidP="006239CF">
            <w:pPr>
              <w:pStyle w:val="af6"/>
              <w:ind w:firstLine="5"/>
              <w:jc w:val="center"/>
              <w:rPr>
                <w:sz w:val="24"/>
                <w:szCs w:val="24"/>
              </w:rPr>
            </w:pPr>
            <w:r w:rsidRPr="00B5165F">
              <w:rPr>
                <w:rStyle w:val="afffffffffff8"/>
                <w:sz w:val="24"/>
                <w:szCs w:val="24"/>
              </w:rPr>
              <w:t>абсолютное значение</w:t>
            </w:r>
          </w:p>
        </w:tc>
        <w:tc>
          <w:tcPr>
            <w:tcW w:w="35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B5165F" w:rsidRDefault="00286780" w:rsidP="006239CF">
            <w:pPr>
              <w:pStyle w:val="af6"/>
              <w:ind w:firstLine="5"/>
              <w:jc w:val="center"/>
              <w:rPr>
                <w:sz w:val="24"/>
                <w:szCs w:val="24"/>
              </w:rPr>
            </w:pPr>
            <w:r w:rsidRPr="00B5165F">
              <w:rPr>
                <w:rStyle w:val="afffffffffff8"/>
                <w:sz w:val="24"/>
                <w:szCs w:val="24"/>
              </w:rPr>
              <w:t>%</w:t>
            </w:r>
          </w:p>
        </w:tc>
      </w:tr>
      <w:tr w:rsidR="00286780" w:rsidRPr="00B5165F" w:rsidTr="00B5165F">
        <w:trPr>
          <w:trHeight w:val="278"/>
          <w:jc w:val="center"/>
        </w:trPr>
        <w:tc>
          <w:tcPr>
            <w:tcW w:w="31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B5165F" w:rsidRDefault="00286780" w:rsidP="006239CF">
            <w:pPr>
              <w:pStyle w:val="af6"/>
              <w:ind w:firstLine="5"/>
              <w:rPr>
                <w:rStyle w:val="afffffffffff8"/>
                <w:sz w:val="24"/>
                <w:szCs w:val="24"/>
              </w:rPr>
            </w:pPr>
            <w:r w:rsidRPr="00B5165F">
              <w:rPr>
                <w:rStyle w:val="afffffffffff8"/>
                <w:sz w:val="24"/>
                <w:szCs w:val="24"/>
              </w:rPr>
              <w:t>ХСН отсутствует</w:t>
            </w:r>
          </w:p>
        </w:tc>
        <w:tc>
          <w:tcPr>
            <w:tcW w:w="32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B5165F" w:rsidRDefault="00286780" w:rsidP="006239CF">
            <w:pPr>
              <w:pStyle w:val="af6"/>
              <w:ind w:firstLine="5"/>
              <w:jc w:val="center"/>
              <w:rPr>
                <w:rStyle w:val="afffffffffff8"/>
                <w:sz w:val="24"/>
                <w:szCs w:val="24"/>
              </w:rPr>
            </w:pPr>
            <w:r w:rsidRPr="00B5165F">
              <w:rPr>
                <w:rStyle w:val="afffffffffff8"/>
                <w:sz w:val="24"/>
                <w:szCs w:val="24"/>
              </w:rPr>
              <w:t>23</w:t>
            </w:r>
          </w:p>
        </w:tc>
        <w:tc>
          <w:tcPr>
            <w:tcW w:w="35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B5165F" w:rsidRDefault="00286780" w:rsidP="006239CF">
            <w:pPr>
              <w:pStyle w:val="af6"/>
              <w:ind w:firstLine="5"/>
              <w:jc w:val="center"/>
              <w:rPr>
                <w:rStyle w:val="afffffffffff8"/>
                <w:sz w:val="24"/>
                <w:szCs w:val="24"/>
              </w:rPr>
            </w:pPr>
            <w:r w:rsidRPr="00B5165F">
              <w:rPr>
                <w:rStyle w:val="afffffffffff8"/>
                <w:sz w:val="24"/>
                <w:szCs w:val="24"/>
              </w:rPr>
              <w:t>65,7</w:t>
            </w:r>
          </w:p>
        </w:tc>
      </w:tr>
      <w:tr w:rsidR="00286780" w:rsidRPr="00B5165F" w:rsidTr="00B5165F">
        <w:trPr>
          <w:trHeight w:val="227"/>
          <w:jc w:val="center"/>
        </w:trPr>
        <w:tc>
          <w:tcPr>
            <w:tcW w:w="31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B5165F" w:rsidRDefault="00286780" w:rsidP="006239CF">
            <w:pPr>
              <w:pStyle w:val="af6"/>
              <w:ind w:firstLine="5"/>
              <w:rPr>
                <w:sz w:val="24"/>
                <w:szCs w:val="24"/>
              </w:rPr>
            </w:pPr>
            <w:r w:rsidRPr="00B5165F">
              <w:rPr>
                <w:rStyle w:val="afffffffffff8"/>
                <w:sz w:val="24"/>
                <w:szCs w:val="24"/>
                <w:lang w:val="en-US"/>
              </w:rPr>
              <w:t>I</w:t>
            </w:r>
            <w:r w:rsidRPr="00B5165F">
              <w:rPr>
                <w:rStyle w:val="afffffffffff8"/>
                <w:sz w:val="24"/>
                <w:szCs w:val="24"/>
              </w:rPr>
              <w:t xml:space="preserve"> ФК</w:t>
            </w:r>
          </w:p>
        </w:tc>
        <w:tc>
          <w:tcPr>
            <w:tcW w:w="32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B5165F" w:rsidRDefault="00286780" w:rsidP="006239CF">
            <w:pPr>
              <w:pStyle w:val="af6"/>
              <w:ind w:firstLine="5"/>
              <w:jc w:val="center"/>
              <w:rPr>
                <w:sz w:val="24"/>
                <w:szCs w:val="24"/>
              </w:rPr>
            </w:pPr>
            <w:r w:rsidRPr="00B5165F">
              <w:rPr>
                <w:rStyle w:val="afffffffffff8"/>
                <w:sz w:val="24"/>
                <w:szCs w:val="24"/>
              </w:rPr>
              <w:t>3</w:t>
            </w:r>
          </w:p>
        </w:tc>
        <w:tc>
          <w:tcPr>
            <w:tcW w:w="35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B5165F" w:rsidRDefault="00286780" w:rsidP="006239CF">
            <w:pPr>
              <w:pStyle w:val="af6"/>
              <w:ind w:firstLine="5"/>
              <w:jc w:val="center"/>
              <w:rPr>
                <w:sz w:val="24"/>
                <w:szCs w:val="24"/>
              </w:rPr>
            </w:pPr>
            <w:r w:rsidRPr="00B5165F">
              <w:rPr>
                <w:rStyle w:val="afffffffffff8"/>
                <w:sz w:val="24"/>
                <w:szCs w:val="24"/>
              </w:rPr>
              <w:t>8,6</w:t>
            </w:r>
          </w:p>
        </w:tc>
      </w:tr>
      <w:tr w:rsidR="00286780" w:rsidRPr="00B5165F" w:rsidTr="00A12698">
        <w:trPr>
          <w:trHeight w:val="233"/>
          <w:jc w:val="center"/>
        </w:trPr>
        <w:tc>
          <w:tcPr>
            <w:tcW w:w="31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B5165F" w:rsidRDefault="00286780" w:rsidP="006239CF">
            <w:pPr>
              <w:pStyle w:val="af6"/>
              <w:ind w:firstLine="5"/>
              <w:rPr>
                <w:sz w:val="24"/>
                <w:szCs w:val="24"/>
              </w:rPr>
            </w:pPr>
            <w:r w:rsidRPr="00B5165F">
              <w:rPr>
                <w:rStyle w:val="afffffffffff8"/>
                <w:sz w:val="24"/>
                <w:szCs w:val="24"/>
                <w:lang w:val="en-US"/>
              </w:rPr>
              <w:t>II</w:t>
            </w:r>
            <w:r w:rsidRPr="00B5165F">
              <w:rPr>
                <w:rStyle w:val="afffffffffff8"/>
                <w:sz w:val="24"/>
                <w:szCs w:val="24"/>
              </w:rPr>
              <w:t xml:space="preserve"> ФК</w:t>
            </w:r>
          </w:p>
        </w:tc>
        <w:tc>
          <w:tcPr>
            <w:tcW w:w="32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B5165F" w:rsidRDefault="00286780" w:rsidP="006239CF">
            <w:pPr>
              <w:pStyle w:val="af6"/>
              <w:ind w:firstLine="5"/>
              <w:jc w:val="center"/>
              <w:rPr>
                <w:sz w:val="24"/>
                <w:szCs w:val="24"/>
              </w:rPr>
            </w:pPr>
            <w:r w:rsidRPr="00B5165F">
              <w:rPr>
                <w:rStyle w:val="afffffffffff8"/>
                <w:sz w:val="24"/>
                <w:szCs w:val="24"/>
              </w:rPr>
              <w:t>5</w:t>
            </w:r>
          </w:p>
        </w:tc>
        <w:tc>
          <w:tcPr>
            <w:tcW w:w="35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B5165F" w:rsidRDefault="00286780" w:rsidP="006239CF">
            <w:pPr>
              <w:pStyle w:val="af6"/>
              <w:ind w:firstLine="5"/>
              <w:jc w:val="center"/>
              <w:rPr>
                <w:sz w:val="24"/>
                <w:szCs w:val="24"/>
              </w:rPr>
            </w:pPr>
            <w:r w:rsidRPr="00B5165F">
              <w:rPr>
                <w:rStyle w:val="afffffffffff8"/>
                <w:sz w:val="24"/>
                <w:szCs w:val="24"/>
              </w:rPr>
              <w:t>14,3</w:t>
            </w:r>
          </w:p>
        </w:tc>
      </w:tr>
      <w:tr w:rsidR="00286780" w:rsidRPr="00B5165F" w:rsidTr="006239CF">
        <w:trPr>
          <w:trHeight w:val="304"/>
          <w:jc w:val="center"/>
        </w:trPr>
        <w:tc>
          <w:tcPr>
            <w:tcW w:w="31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B5165F" w:rsidRDefault="00286780" w:rsidP="006239CF">
            <w:pPr>
              <w:pStyle w:val="af6"/>
              <w:ind w:firstLine="5"/>
              <w:rPr>
                <w:sz w:val="24"/>
                <w:szCs w:val="24"/>
              </w:rPr>
            </w:pPr>
            <w:r w:rsidRPr="00B5165F">
              <w:rPr>
                <w:sz w:val="24"/>
                <w:szCs w:val="24"/>
                <w:lang w:val="en-US"/>
              </w:rPr>
              <w:t>III</w:t>
            </w:r>
            <w:r w:rsidRPr="00B5165F">
              <w:rPr>
                <w:sz w:val="24"/>
                <w:szCs w:val="24"/>
              </w:rPr>
              <w:t xml:space="preserve"> ФК</w:t>
            </w:r>
          </w:p>
        </w:tc>
        <w:tc>
          <w:tcPr>
            <w:tcW w:w="32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B5165F" w:rsidRDefault="00286780" w:rsidP="006239CF">
            <w:pPr>
              <w:pStyle w:val="af6"/>
              <w:ind w:firstLine="5"/>
              <w:jc w:val="center"/>
              <w:rPr>
                <w:sz w:val="24"/>
                <w:szCs w:val="24"/>
              </w:rPr>
            </w:pPr>
            <w:r w:rsidRPr="00B5165F">
              <w:rPr>
                <w:sz w:val="24"/>
                <w:szCs w:val="24"/>
              </w:rPr>
              <w:t>4</w:t>
            </w:r>
          </w:p>
        </w:tc>
        <w:tc>
          <w:tcPr>
            <w:tcW w:w="35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B5165F" w:rsidRDefault="00286780" w:rsidP="006239CF">
            <w:pPr>
              <w:pStyle w:val="af6"/>
              <w:ind w:firstLine="5"/>
              <w:jc w:val="center"/>
              <w:rPr>
                <w:sz w:val="24"/>
                <w:szCs w:val="24"/>
              </w:rPr>
            </w:pPr>
            <w:r w:rsidRPr="00B5165F">
              <w:rPr>
                <w:sz w:val="24"/>
                <w:szCs w:val="24"/>
              </w:rPr>
              <w:t>11,4</w:t>
            </w:r>
          </w:p>
        </w:tc>
      </w:tr>
      <w:tr w:rsidR="00286780" w:rsidRPr="00B5165F" w:rsidTr="00A12698">
        <w:trPr>
          <w:trHeight w:val="204"/>
          <w:jc w:val="center"/>
        </w:trPr>
        <w:tc>
          <w:tcPr>
            <w:tcW w:w="31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B5165F" w:rsidRDefault="00286780" w:rsidP="006239CF">
            <w:pPr>
              <w:pStyle w:val="af6"/>
              <w:ind w:firstLine="5"/>
              <w:rPr>
                <w:sz w:val="24"/>
                <w:szCs w:val="24"/>
              </w:rPr>
            </w:pPr>
            <w:r w:rsidRPr="00B5165F">
              <w:rPr>
                <w:rStyle w:val="afffffffffff8"/>
                <w:sz w:val="24"/>
                <w:szCs w:val="24"/>
              </w:rPr>
              <w:t>Итого</w:t>
            </w:r>
          </w:p>
        </w:tc>
        <w:tc>
          <w:tcPr>
            <w:tcW w:w="32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B5165F" w:rsidRDefault="00286780" w:rsidP="006239CF">
            <w:pPr>
              <w:pStyle w:val="af6"/>
              <w:ind w:firstLine="5"/>
              <w:jc w:val="center"/>
              <w:rPr>
                <w:sz w:val="24"/>
                <w:szCs w:val="24"/>
              </w:rPr>
            </w:pPr>
            <w:r w:rsidRPr="00B5165F">
              <w:rPr>
                <w:rStyle w:val="afffffffffff8"/>
                <w:sz w:val="24"/>
                <w:szCs w:val="24"/>
              </w:rPr>
              <w:t>35</w:t>
            </w:r>
          </w:p>
        </w:tc>
        <w:tc>
          <w:tcPr>
            <w:tcW w:w="35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B5165F" w:rsidRDefault="00286780" w:rsidP="006239CF">
            <w:pPr>
              <w:pStyle w:val="af6"/>
              <w:ind w:firstLine="5"/>
              <w:jc w:val="center"/>
              <w:rPr>
                <w:sz w:val="24"/>
                <w:szCs w:val="24"/>
              </w:rPr>
            </w:pPr>
            <w:r w:rsidRPr="00B5165F">
              <w:rPr>
                <w:rStyle w:val="afffffffffff8"/>
                <w:sz w:val="24"/>
                <w:szCs w:val="24"/>
              </w:rPr>
              <w:t>100</w:t>
            </w:r>
          </w:p>
        </w:tc>
      </w:tr>
      <w:tr w:rsidR="00286780" w:rsidRPr="00B5165F" w:rsidTr="006239CF">
        <w:trPr>
          <w:trHeight w:val="304"/>
          <w:jc w:val="center"/>
        </w:trPr>
        <w:tc>
          <w:tcPr>
            <w:tcW w:w="9915"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B5165F" w:rsidRDefault="00286780" w:rsidP="006239CF">
            <w:pPr>
              <w:pStyle w:val="af6"/>
              <w:jc w:val="center"/>
              <w:rPr>
                <w:sz w:val="24"/>
                <w:szCs w:val="24"/>
              </w:rPr>
            </w:pPr>
            <w:r w:rsidRPr="00B5165F">
              <w:rPr>
                <w:rStyle w:val="afffffffffff8"/>
                <w:i/>
                <w:iCs/>
                <w:sz w:val="24"/>
                <w:szCs w:val="24"/>
              </w:rPr>
              <w:t>Примечание</w:t>
            </w:r>
            <w:r w:rsidRPr="00B5165F">
              <w:rPr>
                <w:rStyle w:val="afffffffffff8"/>
                <w:sz w:val="24"/>
                <w:szCs w:val="24"/>
              </w:rPr>
              <w:t xml:space="preserve">. </w:t>
            </w:r>
            <w:r w:rsidRPr="00B5165F">
              <w:rPr>
                <w:rStyle w:val="afffffffffff8"/>
                <w:sz w:val="24"/>
                <w:szCs w:val="24"/>
                <w:lang w:val="en-US"/>
              </w:rPr>
              <w:t>NYHA</w:t>
            </w:r>
            <w:r w:rsidRPr="00B5165F">
              <w:rPr>
                <w:rStyle w:val="afffffffffff8"/>
                <w:sz w:val="24"/>
                <w:szCs w:val="24"/>
              </w:rPr>
              <w:t xml:space="preserve"> – Нью-Йоркская кардиологическая ассоциация</w:t>
            </w:r>
          </w:p>
        </w:tc>
      </w:tr>
    </w:tbl>
    <w:p w:rsidR="00286780" w:rsidRDefault="00286780" w:rsidP="006239CF">
      <w:pPr>
        <w:pStyle w:val="af6"/>
        <w:widowControl w:val="0"/>
        <w:spacing w:after="120"/>
        <w:jc w:val="center"/>
        <w:rPr>
          <w:rStyle w:val="Hyperlink0"/>
          <w:rFonts w:cs="Arial Unicode MS"/>
        </w:rPr>
      </w:pPr>
    </w:p>
    <w:p w:rsidR="00286780" w:rsidRDefault="00286780" w:rsidP="00B5165F">
      <w:pPr>
        <w:pStyle w:val="af6"/>
        <w:spacing w:line="360" w:lineRule="auto"/>
        <w:ind w:firstLine="700"/>
        <w:rPr>
          <w:rStyle w:val="comma"/>
        </w:rPr>
      </w:pPr>
      <w:r>
        <w:rPr>
          <w:rStyle w:val="Hyperlink0"/>
          <w:rFonts w:cs="Arial Unicode MS"/>
        </w:rPr>
        <w:lastRenderedPageBreak/>
        <w:t>Хроническая сердечная недостаточность (ХСН) определяется у 12 пациентов подгруппы № 1 (34,2%), в 23 случаях (65,7%) ХСН отсутствует.</w:t>
      </w:r>
    </w:p>
    <w:p w:rsidR="00286780" w:rsidRDefault="00286780" w:rsidP="00B5165F">
      <w:pPr>
        <w:pStyle w:val="af6"/>
        <w:spacing w:line="360" w:lineRule="auto"/>
        <w:ind w:firstLine="700"/>
        <w:rPr>
          <w:rStyle w:val="Hyperlink0"/>
          <w:rFonts w:cs="Arial Unicode MS"/>
        </w:rPr>
      </w:pPr>
      <w:r>
        <w:rPr>
          <w:rStyle w:val="Hyperlink0"/>
          <w:rFonts w:cs="Arial Unicode MS"/>
        </w:rPr>
        <w:t>Все пациенты с МФОИ и хронической патологией сердечно-сосудистой системы предъявляли жалобы, которые условно можно разделить на три группы. Первая группа жалоб связана с синдромом эндогенной интоксикации: слабость, боли в мышцах, повышение температуры тела, озноб, головные боли, снижение или отсутствие аппетита. Данный тип жалоб встречается в той или иной степени у всех пациентов с МФОИ и заболеваниями сердечно-сосудистой системы, но наиболее выражен у больных с флегмонами в пределах трех клетчаточных пространств (11 пациентов). Вторая группа жалоб обусловлена наличием локального воспалительного процесса: боли различной степени выраженности, локализующиеся в области воспалительного инфильтрата или иррадиирующие вдоль ветвей тройничного нерва, боли при глотании, затруднение глотания, ощущение нехватки воздуха – у пациентов с вовлечением в воспалительный процесс окологлоточного пространства, корня языка и дна полости рта, боли и затруднение при открывании рта и жевании вплоть до полной невозможности открывания рта и приема пищи – у пациентов с вовлечением жевательных мышц (медиальной и латеральной крыловидных, жевательной и других), ощущение пульсации в области инфильтрата.</w:t>
      </w:r>
    </w:p>
    <w:p w:rsidR="00286780" w:rsidRDefault="00286780" w:rsidP="006239CF">
      <w:pPr>
        <w:pStyle w:val="af6"/>
        <w:spacing w:line="360" w:lineRule="auto"/>
        <w:ind w:firstLine="709"/>
        <w:rPr>
          <w:rStyle w:val="Hyperlink0"/>
          <w:rFonts w:cs="Arial Unicode MS"/>
        </w:rPr>
      </w:pPr>
      <w:r>
        <w:rPr>
          <w:rStyle w:val="Hyperlink0"/>
          <w:rFonts w:cs="Arial Unicode MS"/>
        </w:rPr>
        <w:t>Характерным для МФОИ в целом является преобладание местных жалоб над общими.</w:t>
      </w:r>
    </w:p>
    <w:p w:rsidR="00286780" w:rsidRDefault="00286780" w:rsidP="006239CF">
      <w:pPr>
        <w:pStyle w:val="af6"/>
        <w:spacing w:line="360" w:lineRule="auto"/>
        <w:ind w:firstLine="709"/>
        <w:rPr>
          <w:rStyle w:val="Hyperlink0"/>
          <w:rFonts w:cs="Arial Unicode MS"/>
        </w:rPr>
      </w:pPr>
      <w:r>
        <w:rPr>
          <w:rStyle w:val="Hyperlink0"/>
          <w:rFonts w:cs="Arial Unicode MS"/>
        </w:rPr>
        <w:t xml:space="preserve">Третья группа жалоб отражает наличие хронической патологии сердечно-сосудистой системы и степень ее компенсации. Пациенты с гипертонической болезнью без явлений гипертонического криза предъявляли жалобы на головные боли, локализованные в теменно-затылочных и височных областях. При наличии явлений гипертонического криза и избыточных гипертензивных реакций (одинпациент) отмечались выраженные головные боли и шум в ушах, боли в области сердца, тошнота. Отдельные больные с нарушением сердечного ритма предъявляли жалобы на ощущение сердцебиения и перебои в работе сердца (один пациент), однако данный тип жалоб выявлялся только при детальном расспросе, так как был </w:t>
      </w:r>
      <w:r>
        <w:rPr>
          <w:rStyle w:val="Hyperlink0"/>
          <w:rFonts w:cs="Arial Unicode MS"/>
        </w:rPr>
        <w:lastRenderedPageBreak/>
        <w:t>завуалирован жалобами первой и второй групп. Жалоб, связанных с декомпенсацией ИБС или хронической сердечной недостаточностью (одышка, кашель, отеки), болями в области сердца (в отсутствии гипертонического криза), отмечено не было.</w:t>
      </w:r>
    </w:p>
    <w:p w:rsidR="00286780" w:rsidRDefault="00286780" w:rsidP="006239CF">
      <w:pPr>
        <w:pStyle w:val="af6"/>
        <w:spacing w:line="360" w:lineRule="auto"/>
        <w:ind w:firstLine="709"/>
        <w:rPr>
          <w:rStyle w:val="Hyperlink0"/>
          <w:rFonts w:cs="Arial Unicode MS"/>
        </w:rPr>
      </w:pPr>
      <w:r>
        <w:rPr>
          <w:rStyle w:val="Hyperlink0"/>
          <w:rFonts w:cs="Arial Unicode MS"/>
        </w:rPr>
        <w:t>В целом, в исследуемой подгруппе больных жалобы, характерные для заболеваний сердечно-сосудистой системы, отмечались пациентами с МФОИ как значимые, сравнимые или преобладающие над жалобами, связанными с развитием гнойного процесса, только при наличии избыточных гипертензивных реакций и явлений гипертонического криза. В отсутствии декомпенсированной артериальной гипертонии преобладали жалобы первой и второй групп, связанные с основным заболеванием.</w:t>
      </w:r>
    </w:p>
    <w:p w:rsidR="00286780" w:rsidRDefault="00286780" w:rsidP="006239CF">
      <w:pPr>
        <w:pStyle w:val="af6"/>
        <w:spacing w:line="360" w:lineRule="auto"/>
        <w:ind w:firstLine="709"/>
        <w:rPr>
          <w:rStyle w:val="Hyperlink0"/>
          <w:rFonts w:cs="Arial Unicode MS"/>
        </w:rPr>
      </w:pPr>
      <w:r>
        <w:rPr>
          <w:rStyle w:val="Hyperlink0"/>
          <w:rFonts w:cs="Arial Unicode MS"/>
        </w:rPr>
        <w:t>Детализированные данные об особенностях догоспитального этапа указаны в Таблице 26.</w:t>
      </w:r>
    </w:p>
    <w:p w:rsidR="00286780" w:rsidRDefault="00286780" w:rsidP="006239CF">
      <w:pPr>
        <w:pStyle w:val="af6"/>
        <w:spacing w:after="120"/>
        <w:rPr>
          <w:rStyle w:val="Hyperlink0"/>
          <w:rFonts w:cs="Arial Unicode MS"/>
        </w:rPr>
      </w:pPr>
      <w:r>
        <w:rPr>
          <w:rStyle w:val="afffffffffff8"/>
          <w:b/>
          <w:bCs/>
        </w:rPr>
        <w:t>Таблица 26</w:t>
      </w:r>
      <w:r>
        <w:rPr>
          <w:rStyle w:val="Hyperlink0"/>
          <w:rFonts w:cs="Arial Unicode MS"/>
        </w:rPr>
        <w:t xml:space="preserve"> – Характеристика догоспитального периода</w:t>
      </w:r>
    </w:p>
    <w:tbl>
      <w:tblPr>
        <w:tblW w:w="99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4503"/>
        <w:gridCol w:w="2840"/>
        <w:gridCol w:w="2580"/>
      </w:tblGrid>
      <w:tr w:rsidR="00286780" w:rsidTr="006239CF">
        <w:trPr>
          <w:trHeight w:val="300"/>
          <w:jc w:val="center"/>
        </w:trPr>
        <w:tc>
          <w:tcPr>
            <w:tcW w:w="4503"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i/>
                <w:iCs/>
                <w:sz w:val="24"/>
                <w:szCs w:val="24"/>
              </w:rPr>
              <w:t>Догоспитальный период</w:t>
            </w:r>
          </w:p>
        </w:tc>
        <w:tc>
          <w:tcPr>
            <w:tcW w:w="542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i/>
                <w:iCs/>
                <w:sz w:val="24"/>
                <w:szCs w:val="24"/>
              </w:rPr>
              <w:t>Количество пациентов</w:t>
            </w:r>
          </w:p>
        </w:tc>
      </w:tr>
      <w:tr w:rsidR="00286780" w:rsidTr="006239CF">
        <w:trPr>
          <w:trHeight w:val="300"/>
          <w:jc w:val="center"/>
        </w:trPr>
        <w:tc>
          <w:tcPr>
            <w:tcW w:w="4503" w:type="dxa"/>
            <w:vMerge/>
            <w:tcBorders>
              <w:top w:val="single" w:sz="4" w:space="0" w:color="000000"/>
              <w:left w:val="single" w:sz="4" w:space="0" w:color="000000"/>
              <w:bottom w:val="single" w:sz="4" w:space="0" w:color="000000"/>
              <w:right w:val="single" w:sz="4" w:space="0" w:color="000000"/>
            </w:tcBorders>
          </w:tcPr>
          <w:p w:rsidR="00286780" w:rsidRDefault="00286780" w:rsidP="006239CF"/>
        </w:tc>
        <w:tc>
          <w:tcPr>
            <w:tcW w:w="28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абсолютное значение</w:t>
            </w:r>
          </w:p>
        </w:tc>
        <w:tc>
          <w:tcPr>
            <w:tcW w:w="25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w:t>
            </w:r>
          </w:p>
        </w:tc>
      </w:tr>
      <w:tr w:rsidR="00286780" w:rsidTr="006239CF">
        <w:trPr>
          <w:trHeight w:val="304"/>
          <w:jc w:val="center"/>
        </w:trPr>
        <w:tc>
          <w:tcPr>
            <w:tcW w:w="4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pPr>
            <w:r>
              <w:rPr>
                <w:rStyle w:val="afffffffffff8"/>
                <w:sz w:val="24"/>
                <w:szCs w:val="24"/>
              </w:rPr>
              <w:t>Отсутствие обращения к специалисту</w:t>
            </w:r>
          </w:p>
        </w:tc>
        <w:tc>
          <w:tcPr>
            <w:tcW w:w="28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13</w:t>
            </w:r>
          </w:p>
        </w:tc>
        <w:tc>
          <w:tcPr>
            <w:tcW w:w="25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37,1</w:t>
            </w:r>
          </w:p>
        </w:tc>
      </w:tr>
      <w:tr w:rsidR="00286780" w:rsidTr="006239CF">
        <w:trPr>
          <w:trHeight w:val="304"/>
          <w:jc w:val="center"/>
        </w:trPr>
        <w:tc>
          <w:tcPr>
            <w:tcW w:w="4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pPr>
            <w:r>
              <w:rPr>
                <w:rStyle w:val="afffffffffff8"/>
                <w:sz w:val="24"/>
                <w:szCs w:val="24"/>
              </w:rPr>
              <w:t>Самолечение</w:t>
            </w:r>
          </w:p>
        </w:tc>
        <w:tc>
          <w:tcPr>
            <w:tcW w:w="28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4</w:t>
            </w:r>
          </w:p>
        </w:tc>
        <w:tc>
          <w:tcPr>
            <w:tcW w:w="25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11,4</w:t>
            </w:r>
          </w:p>
        </w:tc>
      </w:tr>
      <w:tr w:rsidR="00286780" w:rsidTr="006239CF">
        <w:trPr>
          <w:trHeight w:val="304"/>
          <w:jc w:val="center"/>
        </w:trPr>
        <w:tc>
          <w:tcPr>
            <w:tcW w:w="4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pPr>
            <w:r>
              <w:rPr>
                <w:rStyle w:val="afffffffffff8"/>
                <w:sz w:val="24"/>
                <w:szCs w:val="24"/>
              </w:rPr>
              <w:t>Лечение в амбулаторных условиях</w:t>
            </w:r>
          </w:p>
        </w:tc>
        <w:tc>
          <w:tcPr>
            <w:tcW w:w="28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18</w:t>
            </w:r>
          </w:p>
        </w:tc>
        <w:tc>
          <w:tcPr>
            <w:tcW w:w="25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51,5</w:t>
            </w:r>
          </w:p>
        </w:tc>
      </w:tr>
      <w:tr w:rsidR="00286780" w:rsidTr="006239CF">
        <w:trPr>
          <w:trHeight w:val="304"/>
          <w:jc w:val="center"/>
        </w:trPr>
        <w:tc>
          <w:tcPr>
            <w:tcW w:w="4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pPr>
            <w:r>
              <w:rPr>
                <w:rStyle w:val="afffffffffff8"/>
                <w:sz w:val="24"/>
                <w:szCs w:val="24"/>
              </w:rPr>
              <w:t>Всего</w:t>
            </w:r>
          </w:p>
        </w:tc>
        <w:tc>
          <w:tcPr>
            <w:tcW w:w="28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35</w:t>
            </w:r>
          </w:p>
        </w:tc>
        <w:tc>
          <w:tcPr>
            <w:tcW w:w="25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100</w:t>
            </w:r>
          </w:p>
        </w:tc>
      </w:tr>
    </w:tbl>
    <w:p w:rsidR="00286780" w:rsidRDefault="00286780" w:rsidP="006239CF">
      <w:pPr>
        <w:pStyle w:val="af6"/>
        <w:rPr>
          <w:rStyle w:val="comma"/>
        </w:rPr>
      </w:pPr>
    </w:p>
    <w:p w:rsidR="00286780" w:rsidRDefault="00286780" w:rsidP="006239CF">
      <w:pPr>
        <w:pStyle w:val="af6"/>
        <w:spacing w:line="360" w:lineRule="auto"/>
        <w:ind w:firstLine="709"/>
        <w:rPr>
          <w:rStyle w:val="comma"/>
        </w:rPr>
      </w:pPr>
      <w:r>
        <w:rPr>
          <w:rStyle w:val="Hyperlink0"/>
          <w:rFonts w:cs="Arial Unicode MS"/>
        </w:rPr>
        <w:t xml:space="preserve">Большинство пациентов – 18 (51,5%), обращались к стоматологу по месту жительства, проводилось амбулаторное лечение – раскрытие или удаление зуба, периостеотомия, антибиотикотерапия, в основном, пероральными препаратами. Не обращались к врачу до поступления в стационар и не лечились амбулаторно 13 пациентов (37,1%), самолечением занимались 4 больных (11,4%). </w:t>
      </w:r>
    </w:p>
    <w:p w:rsidR="00286780" w:rsidRDefault="00286780" w:rsidP="006239CF">
      <w:pPr>
        <w:pStyle w:val="af6"/>
        <w:spacing w:line="360" w:lineRule="auto"/>
        <w:ind w:firstLine="709"/>
        <w:rPr>
          <w:rStyle w:val="Hyperlink0"/>
          <w:rFonts w:cs="Arial Unicode MS"/>
        </w:rPr>
      </w:pPr>
      <w:r>
        <w:rPr>
          <w:rStyle w:val="Hyperlink0"/>
          <w:rFonts w:cs="Arial Unicode MS"/>
        </w:rPr>
        <w:t>В целом, следует отметить значительное количество случаев неэффективного амбулаторного лечения (более 50%) длительностью от 1 до 14 суток, что характеризует недостаточную подготовку стоматологов амбулаторно-поликлинического звена.</w:t>
      </w:r>
    </w:p>
    <w:p w:rsidR="00286780" w:rsidRDefault="00286780" w:rsidP="006239CF">
      <w:pPr>
        <w:pStyle w:val="af6"/>
        <w:spacing w:line="360" w:lineRule="auto"/>
        <w:ind w:firstLine="709"/>
        <w:rPr>
          <w:rStyle w:val="afffffffffff8"/>
          <w:spacing w:val="-4"/>
        </w:rPr>
      </w:pPr>
      <w:r>
        <w:rPr>
          <w:rStyle w:val="afffffffffff8"/>
          <w:spacing w:val="-4"/>
        </w:rPr>
        <w:lastRenderedPageBreak/>
        <w:t>Также около 40% пациентов не находит возможности обратиться к врачу по месту жительства, что может быть связано с социально-экономическими или иными факторами (асоциальный образ жизни, отсутствие специалиста, низкий уровень информированности населения о необходимости квалифицированного лечения).</w:t>
      </w:r>
    </w:p>
    <w:p w:rsidR="00286780" w:rsidRDefault="00286780" w:rsidP="006239CF">
      <w:pPr>
        <w:pStyle w:val="af6"/>
        <w:spacing w:line="360" w:lineRule="auto"/>
        <w:ind w:firstLine="709"/>
        <w:rPr>
          <w:rStyle w:val="Hyperlink0"/>
          <w:rFonts w:cs="Arial Unicode MS"/>
        </w:rPr>
      </w:pPr>
      <w:r>
        <w:rPr>
          <w:rStyle w:val="Hyperlink0"/>
          <w:rFonts w:cs="Arial Unicode MS"/>
        </w:rPr>
        <w:t>Общее состояние пациентов с МФОИ и заболеваниями сердечно-сосудистой системы расценивалось чаще как удовлетворительное, реже средней тяжести или тяжелое (при наличии распространенной флегмоны или явлений гипертонического криза), то есть тяжесть состояния находится в зависимости не только от объема вовлеченного в воспалительный процесс массива тканей (количества клетчаточных пространств), но и от наличия фоновой патологии.</w:t>
      </w:r>
    </w:p>
    <w:p w:rsidR="00286780" w:rsidRDefault="00286780" w:rsidP="006239CF">
      <w:pPr>
        <w:pStyle w:val="af6"/>
        <w:spacing w:line="360" w:lineRule="auto"/>
        <w:ind w:firstLine="709"/>
        <w:rPr>
          <w:rStyle w:val="afffffffffff8"/>
          <w:spacing w:val="-2"/>
        </w:rPr>
      </w:pPr>
      <w:r>
        <w:rPr>
          <w:rStyle w:val="afffffffffff8"/>
          <w:spacing w:val="-2"/>
        </w:rPr>
        <w:t>Средние значения основных показателей центральной и периферической гемодинамики пациентов с МФОИ и хронической патологией сердечно-сосудистой системы (подгруппа № 1а), их сравнительная характеристика в отношении контрольных подгрупп № 1а (пациенты с заболеваниями сердечно-сосудистой системы без МФОИ) и № 4 (МФОИ без фоновой патологии), указаны в Таблице 27. Как следует из Таблицы 27, развитие МФОИ у больных с исходной хронической патологией сердечно-сосудистой системы к значимым изменениям показателей центральной и периферической гемодинамики не приводит, то есть МФОИ не вызывает статистически значимой тахикардии и прироста УОС и МОК у пациентов данной группы.</w:t>
      </w:r>
    </w:p>
    <w:p w:rsidR="00286780" w:rsidRDefault="00286780" w:rsidP="006239CF">
      <w:pPr>
        <w:pStyle w:val="af6"/>
        <w:spacing w:line="360" w:lineRule="auto"/>
        <w:ind w:firstLine="709"/>
        <w:rPr>
          <w:rStyle w:val="afffffffffff8"/>
          <w:spacing w:val="-2"/>
        </w:rPr>
      </w:pPr>
      <w:r>
        <w:rPr>
          <w:rStyle w:val="afffffffffff8"/>
          <w:spacing w:val="-2"/>
        </w:rPr>
        <w:t>Возможно, данное явление связано с отсутствием у больных с исходной артериальной гипертонией и/или ишемической болезнью сердца соответствующих функциональных резервов сердечно-сосудистой системы. Интенсификации кровообращения, необходимой для улучшения кровоснабжения тканей в условиях воспалительного процесса, у пациентов с заболеваниями сердечно-сосудистой системы, в среднем, не происходит, что может оказывать отрицательное влияние на устойчивость организма к инфекционной инвазии в целом.</w:t>
      </w:r>
    </w:p>
    <w:p w:rsidR="00C55ECF" w:rsidRDefault="00C55ECF" w:rsidP="00C55ECF">
      <w:pPr>
        <w:pStyle w:val="af6"/>
        <w:spacing w:line="360" w:lineRule="auto"/>
        <w:ind w:firstLine="709"/>
        <w:rPr>
          <w:rStyle w:val="Hyperlink0"/>
          <w:rFonts w:cs="Arial Unicode MS"/>
        </w:rPr>
      </w:pPr>
      <w:r>
        <w:rPr>
          <w:rStyle w:val="Hyperlink0"/>
          <w:rFonts w:cs="Arial Unicode MS"/>
        </w:rPr>
        <w:t>Влияние патологии сердечно-сосудистой системы на показатели гемодинамики пациентов с МФОИ можно охарактеризовать приростом артериального давления (систолического, диастолического, среднего). Полученный результат объ</w:t>
      </w:r>
      <w:r>
        <w:rPr>
          <w:rStyle w:val="Hyperlink0"/>
          <w:rFonts w:cs="Arial Unicode MS"/>
        </w:rPr>
        <w:lastRenderedPageBreak/>
        <w:t>ясняется наличием гемодинамических особенностей артериальной гипертонии (повышение артериального давления), составляющей основную часть патологии сердечно-с</w:t>
      </w:r>
      <w:r w:rsidR="006D0512">
        <w:rPr>
          <w:rStyle w:val="Hyperlink0"/>
          <w:rFonts w:cs="Arial Unicode MS"/>
        </w:rPr>
        <w:t>осудистой системы подгруппы № 1</w:t>
      </w:r>
      <w:r>
        <w:rPr>
          <w:rStyle w:val="Hyperlink0"/>
          <w:rFonts w:cs="Arial Unicode MS"/>
        </w:rPr>
        <w:t xml:space="preserve"> (более 60%). Средние значения показателей УОС, ЧСС, МОК и ОПСС при этом не изменяются.</w:t>
      </w:r>
    </w:p>
    <w:p w:rsidR="00286780" w:rsidRDefault="00286780" w:rsidP="006239CF">
      <w:pPr>
        <w:pStyle w:val="af6"/>
        <w:rPr>
          <w:rStyle w:val="comma"/>
        </w:rPr>
      </w:pPr>
    </w:p>
    <w:p w:rsidR="00286780" w:rsidRDefault="00286780" w:rsidP="006239CF">
      <w:pPr>
        <w:pStyle w:val="af6"/>
        <w:spacing w:after="120"/>
        <w:rPr>
          <w:rStyle w:val="Hyperlink0"/>
          <w:rFonts w:cs="Arial Unicode MS"/>
        </w:rPr>
      </w:pPr>
      <w:r>
        <w:rPr>
          <w:rStyle w:val="afffffffffff8"/>
          <w:b/>
          <w:bCs/>
        </w:rPr>
        <w:t>Таблица 27</w:t>
      </w:r>
      <w:r>
        <w:rPr>
          <w:rStyle w:val="Hyperlink0"/>
          <w:rFonts w:cs="Arial Unicode MS"/>
        </w:rPr>
        <w:t xml:space="preserve"> – Сравнительная характеристика показателей гемодинамики пациентов исследуемых подгрупп</w:t>
      </w:r>
    </w:p>
    <w:tbl>
      <w:tblPr>
        <w:tblW w:w="9923"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3181"/>
        <w:gridCol w:w="2322"/>
        <w:gridCol w:w="2355"/>
        <w:gridCol w:w="2065"/>
      </w:tblGrid>
      <w:tr w:rsidR="00286780" w:rsidTr="006239CF">
        <w:trPr>
          <w:trHeight w:val="600"/>
        </w:trPr>
        <w:tc>
          <w:tcPr>
            <w:tcW w:w="31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i/>
                <w:iCs/>
                <w:sz w:val="24"/>
                <w:szCs w:val="24"/>
              </w:rPr>
              <w:t>Признак</w:t>
            </w:r>
          </w:p>
        </w:tc>
        <w:tc>
          <w:tcPr>
            <w:tcW w:w="23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6D0512" w:rsidP="006239CF">
            <w:pPr>
              <w:pStyle w:val="af6"/>
              <w:jc w:val="center"/>
            </w:pPr>
            <w:r>
              <w:rPr>
                <w:rStyle w:val="afffffffffff8"/>
                <w:i/>
                <w:iCs/>
                <w:sz w:val="24"/>
                <w:szCs w:val="24"/>
              </w:rPr>
              <w:t>Подгруппа № 1</w:t>
            </w:r>
            <w:r w:rsidR="00286780">
              <w:rPr>
                <w:rStyle w:val="afffffffffff8"/>
                <w:i/>
                <w:iCs/>
                <w:sz w:val="24"/>
                <w:szCs w:val="24"/>
                <w:lang w:val="en-US"/>
              </w:rPr>
              <w:t xml:space="preserve"> (n=34)</w:t>
            </w:r>
          </w:p>
        </w:tc>
        <w:tc>
          <w:tcPr>
            <w:tcW w:w="2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i/>
                <w:iCs/>
                <w:sz w:val="24"/>
                <w:szCs w:val="24"/>
              </w:rPr>
              <w:t>Контрольная подгруппа № 1а</w:t>
            </w:r>
            <w:r>
              <w:rPr>
                <w:rStyle w:val="afffffffffff8"/>
                <w:i/>
                <w:iCs/>
                <w:sz w:val="24"/>
                <w:szCs w:val="24"/>
                <w:lang w:val="en-US"/>
              </w:rPr>
              <w:t xml:space="preserve"> (n=25)</w:t>
            </w:r>
          </w:p>
        </w:tc>
        <w:tc>
          <w:tcPr>
            <w:tcW w:w="2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i/>
                <w:iCs/>
                <w:sz w:val="24"/>
                <w:szCs w:val="24"/>
              </w:rPr>
              <w:t>Контрольная подгруппа № 4(</w:t>
            </w:r>
            <w:r>
              <w:rPr>
                <w:rStyle w:val="afffffffffff8"/>
                <w:i/>
                <w:iCs/>
                <w:sz w:val="24"/>
                <w:szCs w:val="24"/>
                <w:lang w:val="en-US"/>
              </w:rPr>
              <w:t>n=28)</w:t>
            </w:r>
          </w:p>
        </w:tc>
      </w:tr>
      <w:tr w:rsidR="00286780" w:rsidTr="006239CF">
        <w:trPr>
          <w:trHeight w:val="600"/>
        </w:trPr>
        <w:tc>
          <w:tcPr>
            <w:tcW w:w="31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pPr>
            <w:r>
              <w:rPr>
                <w:rStyle w:val="afffffffffff8"/>
                <w:sz w:val="24"/>
                <w:szCs w:val="24"/>
              </w:rPr>
              <w:t>АД систолическое (мм рт. ст.)</w:t>
            </w:r>
          </w:p>
        </w:tc>
        <w:tc>
          <w:tcPr>
            <w:tcW w:w="23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lang w:val="en-US"/>
              </w:rPr>
              <w:t>150[135</w:t>
            </w:r>
            <w:r>
              <w:rPr>
                <w:rStyle w:val="afffffffffff8"/>
                <w:sz w:val="24"/>
                <w:szCs w:val="24"/>
              </w:rPr>
              <w:t>;</w:t>
            </w:r>
            <w:r>
              <w:rPr>
                <w:rStyle w:val="afffffffffff8"/>
                <w:sz w:val="24"/>
                <w:szCs w:val="24"/>
                <w:lang w:val="en-US"/>
              </w:rPr>
              <w:t>160]</w:t>
            </w:r>
            <w:r>
              <w:rPr>
                <w:rStyle w:val="afffffffffff8"/>
                <w:sz w:val="24"/>
                <w:szCs w:val="24"/>
              </w:rPr>
              <w:t>**</w:t>
            </w:r>
          </w:p>
        </w:tc>
        <w:tc>
          <w:tcPr>
            <w:tcW w:w="2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145[140;150]</w:t>
            </w:r>
          </w:p>
        </w:tc>
        <w:tc>
          <w:tcPr>
            <w:tcW w:w="2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130</w:t>
            </w:r>
            <w:r>
              <w:rPr>
                <w:rStyle w:val="afffffffffff8"/>
                <w:sz w:val="24"/>
                <w:szCs w:val="24"/>
                <w:lang w:val="en-US"/>
              </w:rPr>
              <w:t>[</w:t>
            </w:r>
            <w:r>
              <w:rPr>
                <w:rStyle w:val="afffffffffff8"/>
                <w:sz w:val="24"/>
                <w:szCs w:val="24"/>
              </w:rPr>
              <w:t>120;140</w:t>
            </w:r>
            <w:r>
              <w:rPr>
                <w:rStyle w:val="afffffffffff8"/>
                <w:sz w:val="24"/>
                <w:szCs w:val="24"/>
                <w:lang w:val="en-US"/>
              </w:rPr>
              <w:t>]</w:t>
            </w:r>
          </w:p>
        </w:tc>
      </w:tr>
      <w:tr w:rsidR="00286780" w:rsidTr="006239CF">
        <w:trPr>
          <w:trHeight w:val="600"/>
        </w:trPr>
        <w:tc>
          <w:tcPr>
            <w:tcW w:w="31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pPr>
            <w:r>
              <w:rPr>
                <w:rStyle w:val="afffffffffff8"/>
                <w:sz w:val="24"/>
                <w:szCs w:val="24"/>
              </w:rPr>
              <w:t>АД диастолическое (мм рт. ст.)</w:t>
            </w:r>
          </w:p>
        </w:tc>
        <w:tc>
          <w:tcPr>
            <w:tcW w:w="23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90 [80;100]**</w:t>
            </w:r>
          </w:p>
        </w:tc>
        <w:tc>
          <w:tcPr>
            <w:tcW w:w="2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90[90;100</w:t>
            </w:r>
            <w:r>
              <w:rPr>
                <w:rStyle w:val="afffffffffff8"/>
                <w:sz w:val="24"/>
                <w:szCs w:val="24"/>
                <w:lang w:val="en-US"/>
              </w:rPr>
              <w:t>]</w:t>
            </w:r>
          </w:p>
        </w:tc>
        <w:tc>
          <w:tcPr>
            <w:tcW w:w="2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80 [80;90]</w:t>
            </w:r>
          </w:p>
        </w:tc>
      </w:tr>
      <w:tr w:rsidR="00286780" w:rsidTr="006239CF">
        <w:trPr>
          <w:trHeight w:val="600"/>
        </w:trPr>
        <w:tc>
          <w:tcPr>
            <w:tcW w:w="31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pPr>
            <w:r>
              <w:rPr>
                <w:rStyle w:val="afffffffffff8"/>
                <w:sz w:val="24"/>
                <w:szCs w:val="24"/>
              </w:rPr>
              <w:t>АД среднее (мм рт. ст.)</w:t>
            </w:r>
          </w:p>
        </w:tc>
        <w:tc>
          <w:tcPr>
            <w:tcW w:w="23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115,2</w:t>
            </w:r>
            <w:r>
              <w:rPr>
                <w:rStyle w:val="afffffffffff8"/>
                <w:sz w:val="24"/>
                <w:szCs w:val="24"/>
                <w:lang w:val="en-US"/>
              </w:rPr>
              <w:t>[</w:t>
            </w:r>
            <w:r>
              <w:rPr>
                <w:rStyle w:val="afffffffffff8"/>
                <w:sz w:val="24"/>
                <w:szCs w:val="24"/>
              </w:rPr>
              <w:t>105,2;123,6</w:t>
            </w:r>
            <w:r>
              <w:rPr>
                <w:rStyle w:val="afffffffffff8"/>
                <w:sz w:val="24"/>
                <w:szCs w:val="24"/>
                <w:lang w:val="en-US"/>
              </w:rPr>
              <w:t>]</w:t>
            </w:r>
            <w:r>
              <w:rPr>
                <w:rStyle w:val="afffffffffff8"/>
                <w:sz w:val="24"/>
                <w:szCs w:val="24"/>
              </w:rPr>
              <w:t>**</w:t>
            </w:r>
          </w:p>
        </w:tc>
        <w:tc>
          <w:tcPr>
            <w:tcW w:w="2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116,0</w:t>
            </w:r>
            <w:r>
              <w:rPr>
                <w:rStyle w:val="afffffffffff8"/>
                <w:sz w:val="24"/>
                <w:szCs w:val="24"/>
                <w:lang w:val="en-US"/>
              </w:rPr>
              <w:t>[</w:t>
            </w:r>
            <w:r>
              <w:rPr>
                <w:rStyle w:val="afffffffffff8"/>
                <w:sz w:val="24"/>
                <w:szCs w:val="24"/>
              </w:rPr>
              <w:t>111,0;120,1</w:t>
            </w:r>
            <w:r>
              <w:rPr>
                <w:rStyle w:val="afffffffffff8"/>
                <w:sz w:val="24"/>
                <w:szCs w:val="24"/>
                <w:lang w:val="en-US"/>
              </w:rPr>
              <w:t>]</w:t>
            </w:r>
          </w:p>
        </w:tc>
        <w:tc>
          <w:tcPr>
            <w:tcW w:w="2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101[96,8;105,2]</w:t>
            </w:r>
          </w:p>
        </w:tc>
      </w:tr>
      <w:tr w:rsidR="00286780" w:rsidTr="006239CF">
        <w:trPr>
          <w:trHeight w:val="300"/>
        </w:trPr>
        <w:tc>
          <w:tcPr>
            <w:tcW w:w="31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pPr>
            <w:r>
              <w:rPr>
                <w:rStyle w:val="afffffffffff8"/>
                <w:sz w:val="24"/>
                <w:szCs w:val="24"/>
              </w:rPr>
              <w:t>ЧСС (в 1 мин.)</w:t>
            </w:r>
          </w:p>
        </w:tc>
        <w:tc>
          <w:tcPr>
            <w:tcW w:w="23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80[76;87]</w:t>
            </w:r>
          </w:p>
        </w:tc>
        <w:tc>
          <w:tcPr>
            <w:tcW w:w="2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78</w:t>
            </w:r>
            <w:r>
              <w:rPr>
                <w:rStyle w:val="afffffffffff8"/>
                <w:sz w:val="24"/>
                <w:szCs w:val="24"/>
                <w:lang w:val="en-US"/>
              </w:rPr>
              <w:t>[75</w:t>
            </w:r>
            <w:r>
              <w:rPr>
                <w:rStyle w:val="afffffffffff8"/>
                <w:sz w:val="24"/>
                <w:szCs w:val="24"/>
              </w:rPr>
              <w:t>;</w:t>
            </w:r>
            <w:r>
              <w:rPr>
                <w:rStyle w:val="afffffffffff8"/>
                <w:sz w:val="24"/>
                <w:szCs w:val="24"/>
                <w:lang w:val="en-US"/>
              </w:rPr>
              <w:t>88]</w:t>
            </w:r>
          </w:p>
        </w:tc>
        <w:tc>
          <w:tcPr>
            <w:tcW w:w="2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78[72;80]</w:t>
            </w:r>
          </w:p>
        </w:tc>
      </w:tr>
      <w:tr w:rsidR="00286780" w:rsidTr="006239CF">
        <w:trPr>
          <w:trHeight w:val="300"/>
        </w:trPr>
        <w:tc>
          <w:tcPr>
            <w:tcW w:w="31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pPr>
            <w:r>
              <w:rPr>
                <w:rStyle w:val="afffffffffff8"/>
                <w:sz w:val="24"/>
                <w:szCs w:val="24"/>
              </w:rPr>
              <w:t>УОС объем сердца (мл)</w:t>
            </w:r>
          </w:p>
        </w:tc>
        <w:tc>
          <w:tcPr>
            <w:tcW w:w="23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59,2±2,5</w:t>
            </w:r>
          </w:p>
        </w:tc>
        <w:tc>
          <w:tcPr>
            <w:tcW w:w="2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58,1±1,48</w:t>
            </w:r>
          </w:p>
        </w:tc>
        <w:tc>
          <w:tcPr>
            <w:tcW w:w="2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62,1±2,37</w:t>
            </w:r>
          </w:p>
        </w:tc>
      </w:tr>
      <w:tr w:rsidR="00286780" w:rsidTr="006239CF">
        <w:trPr>
          <w:trHeight w:val="300"/>
        </w:trPr>
        <w:tc>
          <w:tcPr>
            <w:tcW w:w="31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pPr>
            <w:r>
              <w:rPr>
                <w:rStyle w:val="afffffffffff8"/>
                <w:sz w:val="24"/>
                <w:szCs w:val="24"/>
              </w:rPr>
              <w:t>МОК (л)</w:t>
            </w:r>
          </w:p>
        </w:tc>
        <w:tc>
          <w:tcPr>
            <w:tcW w:w="23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7,11±2,2</w:t>
            </w:r>
          </w:p>
        </w:tc>
        <w:tc>
          <w:tcPr>
            <w:tcW w:w="2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4,69±0,15</w:t>
            </w:r>
          </w:p>
        </w:tc>
        <w:tc>
          <w:tcPr>
            <w:tcW w:w="2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5,02±0,35</w:t>
            </w:r>
          </w:p>
        </w:tc>
      </w:tr>
      <w:tr w:rsidR="00286780" w:rsidTr="006239CF">
        <w:trPr>
          <w:trHeight w:val="300"/>
        </w:trPr>
        <w:tc>
          <w:tcPr>
            <w:tcW w:w="31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pPr>
            <w:r>
              <w:rPr>
                <w:rStyle w:val="afffffffffff8"/>
                <w:sz w:val="24"/>
                <w:szCs w:val="24"/>
              </w:rPr>
              <w:t>СИ (л/мин×м кв.)</w:t>
            </w:r>
          </w:p>
        </w:tc>
        <w:tc>
          <w:tcPr>
            <w:tcW w:w="23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2,47[2,03;3,01]</w:t>
            </w:r>
          </w:p>
        </w:tc>
        <w:tc>
          <w:tcPr>
            <w:tcW w:w="2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2,6</w:t>
            </w:r>
            <w:r>
              <w:rPr>
                <w:rStyle w:val="afffffffffff8"/>
                <w:sz w:val="24"/>
                <w:szCs w:val="24"/>
                <w:lang w:val="en-US"/>
              </w:rPr>
              <w:t>[</w:t>
            </w:r>
            <w:r>
              <w:rPr>
                <w:rStyle w:val="afffffffffff8"/>
                <w:sz w:val="24"/>
                <w:szCs w:val="24"/>
              </w:rPr>
              <w:t>2,3;2,84</w:t>
            </w:r>
            <w:r>
              <w:rPr>
                <w:rStyle w:val="afffffffffff8"/>
                <w:sz w:val="24"/>
                <w:szCs w:val="24"/>
                <w:lang w:val="en-US"/>
              </w:rPr>
              <w:t>]</w:t>
            </w:r>
          </w:p>
        </w:tc>
        <w:tc>
          <w:tcPr>
            <w:tcW w:w="2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2,56 [1,98;3,28]</w:t>
            </w:r>
          </w:p>
        </w:tc>
      </w:tr>
      <w:tr w:rsidR="00286780" w:rsidTr="006239CF">
        <w:trPr>
          <w:trHeight w:val="300"/>
        </w:trPr>
        <w:tc>
          <w:tcPr>
            <w:tcW w:w="31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pPr>
            <w:r>
              <w:rPr>
                <w:rStyle w:val="afffffffffff8"/>
                <w:sz w:val="24"/>
                <w:szCs w:val="24"/>
              </w:rPr>
              <w:t>ОПСС (дин×с×см</w:t>
            </w:r>
            <w:r>
              <w:rPr>
                <w:rStyle w:val="afffffffffff8"/>
                <w:sz w:val="24"/>
                <w:szCs w:val="24"/>
                <w:vertAlign w:val="superscript"/>
              </w:rPr>
              <w:t>-5</w:t>
            </w:r>
            <w:r>
              <w:rPr>
                <w:rStyle w:val="afffffffffff8"/>
                <w:sz w:val="24"/>
                <w:szCs w:val="24"/>
              </w:rPr>
              <w:t>)</w:t>
            </w:r>
          </w:p>
        </w:tc>
        <w:tc>
          <w:tcPr>
            <w:tcW w:w="23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2744,8±131,1</w:t>
            </w:r>
          </w:p>
        </w:tc>
        <w:tc>
          <w:tcPr>
            <w:tcW w:w="2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2691,91±75,6</w:t>
            </w:r>
          </w:p>
        </w:tc>
        <w:tc>
          <w:tcPr>
            <w:tcW w:w="2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2212,85±117,37</w:t>
            </w:r>
          </w:p>
        </w:tc>
      </w:tr>
      <w:tr w:rsidR="00286780" w:rsidRPr="00B23A72" w:rsidTr="006239CF">
        <w:trPr>
          <w:trHeight w:val="1500"/>
        </w:trPr>
        <w:tc>
          <w:tcPr>
            <w:tcW w:w="9923"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pPr>
            <w:r>
              <w:rPr>
                <w:rStyle w:val="afffffffffff8"/>
                <w:i/>
                <w:iCs/>
                <w:sz w:val="24"/>
                <w:szCs w:val="24"/>
              </w:rPr>
              <w:t>Примечание</w:t>
            </w:r>
            <w:r>
              <w:rPr>
                <w:rStyle w:val="afffffffffff8"/>
                <w:sz w:val="24"/>
                <w:szCs w:val="24"/>
              </w:rPr>
              <w:t xml:space="preserve">. Различия статистически значимы (р&lt;0,05) по сравнению с показателями: </w:t>
            </w:r>
            <w:r>
              <w:rPr>
                <w:rStyle w:val="afffffffffff8"/>
                <w:sz w:val="24"/>
                <w:szCs w:val="24"/>
              </w:rPr>
              <w:br/>
              <w:t>* – контрольной подгруппы № 1а, ** – контрольной подгруппы № 4. АД – артериальное давление; ЧСС – частота сердечных сокращений; УОС – ударный объем сердца; МОК – минутный объем кровообращения; СИ – систолический индекс; ОПСС – общее периферическое сосудистое сопротивление</w:t>
            </w:r>
          </w:p>
        </w:tc>
      </w:tr>
    </w:tbl>
    <w:p w:rsidR="00286780" w:rsidRDefault="00286780" w:rsidP="006239CF">
      <w:pPr>
        <w:pStyle w:val="af6"/>
        <w:rPr>
          <w:rStyle w:val="comma"/>
          <w:szCs w:val="24"/>
        </w:rPr>
      </w:pPr>
    </w:p>
    <w:p w:rsidR="00286780" w:rsidRDefault="00286780" w:rsidP="006239CF">
      <w:pPr>
        <w:pStyle w:val="af6"/>
        <w:spacing w:line="360" w:lineRule="auto"/>
        <w:ind w:firstLine="709"/>
        <w:rPr>
          <w:rStyle w:val="Hyperlink0"/>
          <w:rFonts w:cs="Arial Unicode MS"/>
        </w:rPr>
      </w:pPr>
      <w:r>
        <w:rPr>
          <w:rStyle w:val="Hyperlink0"/>
          <w:rFonts w:cs="Arial Unicode MS"/>
        </w:rPr>
        <w:t>Установлено, что параметрам гиперкинетического спастического типа гемодинамического профиля (СИ более</w:t>
      </w:r>
      <w:r w:rsidRPr="00B23A72">
        <w:rPr>
          <w:rStyle w:val="Hyperlink0"/>
          <w:rFonts w:cs="Arial Unicode MS"/>
        </w:rPr>
        <w:t xml:space="preserve"> 3,5 </w:t>
      </w:r>
      <w:r>
        <w:rPr>
          <w:rStyle w:val="Hyperlink0"/>
          <w:rFonts w:cs="Arial Unicode MS"/>
        </w:rPr>
        <w:t>л/мин×м кв., ОПСС менее 1000 или более 2000 дин×с×см</w:t>
      </w:r>
      <w:r>
        <w:rPr>
          <w:rStyle w:val="afffffffffff8"/>
          <w:vertAlign w:val="superscript"/>
        </w:rPr>
        <w:t>-5</w:t>
      </w:r>
      <w:r>
        <w:rPr>
          <w:rStyle w:val="Hyperlink0"/>
          <w:rFonts w:cs="Arial Unicode MS"/>
        </w:rPr>
        <w:t>) соответствуют три пациента (8,8%) подгруппы № 1а; нормокинетический тип гемодинамики (СИ 3–3,5 л/мин×м кв., ОПСС 1000–2000 дин×с×см</w:t>
      </w:r>
      <w:r>
        <w:rPr>
          <w:rStyle w:val="afffffffffff8"/>
          <w:vertAlign w:val="superscript"/>
        </w:rPr>
        <w:t>-5</w:t>
      </w:r>
      <w:r>
        <w:rPr>
          <w:rStyle w:val="Hyperlink0"/>
          <w:rFonts w:cs="Arial Unicode MS"/>
        </w:rPr>
        <w:t>) в основной группе № 1а не зарегистрирован; гипокинетический застойный тип гемодинамики (СИ менее 3 л/мин×м кв., ОПСС более 2000 дин×с×см</w:t>
      </w:r>
      <w:r>
        <w:rPr>
          <w:rStyle w:val="afffffffffff8"/>
          <w:vertAlign w:val="superscript"/>
        </w:rPr>
        <w:t>-5</w:t>
      </w:r>
      <w:r>
        <w:rPr>
          <w:rStyle w:val="Hyperlink0"/>
          <w:rFonts w:cs="Arial Unicode MS"/>
        </w:rPr>
        <w:t xml:space="preserve">) определяется у 25 пациентов (73,5%). Еще шесть пациентов (17,7%) подгруппы № 1а по значениям СИ и ОПСС, используемым для оценки профиля </w:t>
      </w:r>
      <w:r>
        <w:rPr>
          <w:rStyle w:val="Hyperlink0"/>
          <w:rFonts w:cs="Arial Unicode MS"/>
        </w:rPr>
        <w:lastRenderedPageBreak/>
        <w:t>кровообращения, ни одному из используемых типов гемодинамического профиля не соответствуют.</w:t>
      </w:r>
    </w:p>
    <w:p w:rsidR="00C55ECF" w:rsidRDefault="00286780" w:rsidP="003A7142">
      <w:pPr>
        <w:pStyle w:val="af6"/>
        <w:spacing w:line="360" w:lineRule="auto"/>
        <w:ind w:firstLine="709"/>
        <w:rPr>
          <w:rStyle w:val="Hyperlink0"/>
          <w:rFonts w:cs="Arial Unicode MS"/>
        </w:rPr>
      </w:pPr>
      <w:r>
        <w:rPr>
          <w:rStyle w:val="Hyperlink0"/>
          <w:rFonts w:cs="Arial Unicode MS"/>
        </w:rPr>
        <w:t>Таким образом, у пациентов с МФОИ и хронической патологией сердечно-сосудистой системы преобладает гипокинетический застойный тип гемодинамики, реже встречается гиперкинетический, в частности, гипе</w:t>
      </w:r>
      <w:r w:rsidR="00C55ECF">
        <w:rPr>
          <w:rStyle w:val="Hyperlink0"/>
          <w:rFonts w:cs="Arial Unicode MS"/>
        </w:rPr>
        <w:t>ркинетический спастический тип.</w:t>
      </w:r>
    </w:p>
    <w:p w:rsidR="00286780" w:rsidRDefault="00286780" w:rsidP="003A7142">
      <w:pPr>
        <w:pStyle w:val="af6"/>
        <w:spacing w:line="360" w:lineRule="auto"/>
        <w:ind w:firstLine="709"/>
        <w:rPr>
          <w:rStyle w:val="Hyperlink0"/>
          <w:rFonts w:cs="Arial Unicode MS"/>
        </w:rPr>
      </w:pPr>
      <w:r>
        <w:rPr>
          <w:rStyle w:val="Hyperlink0"/>
          <w:rFonts w:cs="Arial Unicode MS"/>
        </w:rPr>
        <w:t>Результаты исследования характера распределения типов гемодинамического профиля могут отражать влияние гемодинамических особенностей хронической патологии сердечно-сосудистой системы, наблюдаемой у больных подгруппы № 1а, в частности, артериальной гипертонии.</w:t>
      </w:r>
    </w:p>
    <w:p w:rsidR="00286780" w:rsidRDefault="00286780" w:rsidP="003A7142">
      <w:pPr>
        <w:pStyle w:val="af6"/>
        <w:spacing w:line="360" w:lineRule="auto"/>
        <w:ind w:firstLine="709"/>
        <w:rPr>
          <w:rStyle w:val="Hyperlink0"/>
          <w:rFonts w:cs="Arial Unicode MS"/>
        </w:rPr>
      </w:pPr>
      <w:r>
        <w:rPr>
          <w:rStyle w:val="Hyperlink0"/>
          <w:rFonts w:cs="Arial Unicode MS"/>
        </w:rPr>
        <w:t>Установлено, что гемодинамические параметры пациентов с артериальной гипертонией могут соответствовать как гиперкинетическому (в начальном периоде заболевания), так и гипокинетическому (в последующем) типам кровообращения. Пациенты с МФОИ и артериальной гипертонией поступают также с различной продолжительностью течения артериальной гипертонии, что обуславливает разнообразие значений исследуемых гемодинамических характеристик. В целом можно сделать вывод об определяющем влиянии хронической патологии сердечно-сосудистой системы (в частности, артериальной гипертонии) на тип гемодинамического профиля у пациентов с МФОИ.</w:t>
      </w:r>
    </w:p>
    <w:p w:rsidR="00286780" w:rsidRDefault="00286780" w:rsidP="006239CF">
      <w:pPr>
        <w:pStyle w:val="af6"/>
        <w:spacing w:line="360" w:lineRule="auto"/>
        <w:ind w:firstLine="709"/>
        <w:rPr>
          <w:rStyle w:val="Hyperlink0"/>
          <w:rFonts w:cs="Arial Unicode MS"/>
        </w:rPr>
      </w:pPr>
      <w:r>
        <w:rPr>
          <w:rStyle w:val="Hyperlink0"/>
          <w:rFonts w:cs="Arial Unicode MS"/>
        </w:rPr>
        <w:t>В отдельных случаях (один пациент, 2,9%), при поступлении в стационар выявлены избыточные гипертензивные реакции и явления гипертонического криза: клинической симптоматикой в виде головной боли, головокружения, шума в ушах, резким повышением систолического АД более 180 мм рт. ст., что требовало экстренной медикаментозной коррекции (бета-адреноблокаторы, ингибиторы ангиотензин-превращающего фермента, диуретики) в соответствии с назначениями профильного специалиста (кардиолога или терапевта).</w:t>
      </w:r>
      <w:r w:rsidR="00C55ECF">
        <w:rPr>
          <w:rStyle w:val="Hyperlink0"/>
          <w:rFonts w:cs="Arial Unicode MS"/>
        </w:rPr>
        <w:t xml:space="preserve"> Показания к назначению консультации профильного специалиста определяет дежурный челюстно-лицевой хирург (лечащий врач).</w:t>
      </w:r>
    </w:p>
    <w:p w:rsidR="00286780" w:rsidRDefault="00286780" w:rsidP="00C55ECF">
      <w:pPr>
        <w:pStyle w:val="af6"/>
        <w:spacing w:line="360" w:lineRule="auto"/>
        <w:ind w:firstLine="709"/>
        <w:rPr>
          <w:rStyle w:val="Hyperlink0"/>
          <w:rFonts w:cs="Arial Unicode MS"/>
        </w:rPr>
      </w:pPr>
      <w:r>
        <w:rPr>
          <w:rStyle w:val="Hyperlink0"/>
          <w:rFonts w:cs="Arial Unicode MS"/>
        </w:rPr>
        <w:t>Средние значения показателей гомеостаза пациентов с МФОИ указаны в Таблице 28.</w:t>
      </w:r>
    </w:p>
    <w:p w:rsidR="00286780" w:rsidRDefault="00286780" w:rsidP="006239CF">
      <w:pPr>
        <w:pStyle w:val="af6"/>
        <w:spacing w:after="120"/>
        <w:rPr>
          <w:rStyle w:val="Hyperlink0"/>
          <w:rFonts w:cs="Arial Unicode MS"/>
        </w:rPr>
      </w:pPr>
      <w:r>
        <w:rPr>
          <w:rStyle w:val="afffffffffff8"/>
          <w:b/>
          <w:bCs/>
        </w:rPr>
        <w:lastRenderedPageBreak/>
        <w:t>Таблица 28</w:t>
      </w:r>
      <w:r>
        <w:rPr>
          <w:rStyle w:val="Hyperlink0"/>
          <w:rFonts w:cs="Arial Unicode MS"/>
        </w:rPr>
        <w:t xml:space="preserve"> – Сравнительная характеристика показателей гомеостаза пациентов с МФОИ и хроническими заболеваниями сердечно-сосудистой системы, пациентов с патологией сердечно-сосудистой системы без МФОИ, больных с МФОИ без ХП </w:t>
      </w:r>
    </w:p>
    <w:tbl>
      <w:tblPr>
        <w:tblW w:w="99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3372"/>
        <w:gridCol w:w="2600"/>
        <w:gridCol w:w="1853"/>
        <w:gridCol w:w="2098"/>
      </w:tblGrid>
      <w:tr w:rsidR="00286780" w:rsidRPr="006239CF" w:rsidTr="001E7A7A">
        <w:trPr>
          <w:trHeight w:val="752"/>
        </w:trPr>
        <w:tc>
          <w:tcPr>
            <w:tcW w:w="3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sz w:val="24"/>
                <w:szCs w:val="24"/>
              </w:rPr>
            </w:pPr>
            <w:r w:rsidRPr="006239CF">
              <w:rPr>
                <w:rStyle w:val="afffffffffff8"/>
                <w:i/>
                <w:iCs/>
                <w:sz w:val="24"/>
                <w:szCs w:val="24"/>
              </w:rPr>
              <w:t>Признак</w:t>
            </w:r>
          </w:p>
        </w:tc>
        <w:tc>
          <w:tcPr>
            <w:tcW w:w="26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sz w:val="24"/>
                <w:szCs w:val="24"/>
              </w:rPr>
            </w:pPr>
            <w:r>
              <w:rPr>
                <w:rStyle w:val="afffffffffff8"/>
                <w:i/>
                <w:iCs/>
                <w:sz w:val="24"/>
                <w:szCs w:val="24"/>
              </w:rPr>
              <w:t>Под</w:t>
            </w:r>
            <w:r w:rsidRPr="006239CF">
              <w:rPr>
                <w:rStyle w:val="afffffffffff8"/>
                <w:i/>
                <w:iCs/>
                <w:sz w:val="24"/>
                <w:szCs w:val="24"/>
              </w:rPr>
              <w:t>группа</w:t>
            </w:r>
            <w:r w:rsidRPr="006239CF">
              <w:rPr>
                <w:rStyle w:val="afffffffffff8"/>
                <w:i/>
                <w:iCs/>
                <w:sz w:val="24"/>
                <w:szCs w:val="24"/>
              </w:rPr>
              <w:br/>
              <w:t>№ 1 (</w:t>
            </w:r>
            <w:r w:rsidRPr="006239CF">
              <w:rPr>
                <w:rStyle w:val="afffffffffff8"/>
                <w:i/>
                <w:iCs/>
                <w:sz w:val="24"/>
                <w:szCs w:val="24"/>
                <w:lang w:val="en-US"/>
              </w:rPr>
              <w:t>n</w:t>
            </w:r>
            <w:r>
              <w:rPr>
                <w:rStyle w:val="afffffffffff8"/>
                <w:i/>
                <w:iCs/>
                <w:sz w:val="24"/>
                <w:szCs w:val="24"/>
              </w:rPr>
              <w:t>=</w:t>
            </w:r>
            <w:r w:rsidRPr="006239CF">
              <w:rPr>
                <w:rStyle w:val="afffffffffff8"/>
                <w:i/>
                <w:iCs/>
                <w:sz w:val="24"/>
                <w:szCs w:val="24"/>
              </w:rPr>
              <w:t>35)</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sz w:val="24"/>
                <w:szCs w:val="24"/>
              </w:rPr>
            </w:pPr>
            <w:r w:rsidRPr="006239CF">
              <w:rPr>
                <w:rStyle w:val="afffffffffff8"/>
                <w:i/>
                <w:iCs/>
                <w:sz w:val="24"/>
                <w:szCs w:val="24"/>
              </w:rPr>
              <w:t>Контрольная</w:t>
            </w:r>
            <w:r w:rsidRPr="006239CF">
              <w:rPr>
                <w:rStyle w:val="afffffffffff8"/>
                <w:i/>
                <w:iCs/>
                <w:sz w:val="24"/>
                <w:szCs w:val="24"/>
              </w:rPr>
              <w:br/>
            </w:r>
            <w:r>
              <w:rPr>
                <w:rStyle w:val="afffffffffff8"/>
                <w:i/>
                <w:iCs/>
                <w:sz w:val="24"/>
                <w:szCs w:val="24"/>
              </w:rPr>
              <w:t>под</w:t>
            </w:r>
            <w:r w:rsidRPr="006239CF">
              <w:rPr>
                <w:rStyle w:val="afffffffffff8"/>
                <w:i/>
                <w:iCs/>
                <w:sz w:val="24"/>
                <w:szCs w:val="24"/>
              </w:rPr>
              <w:t>группа № 1 (</w:t>
            </w:r>
            <w:r w:rsidRPr="006239CF">
              <w:rPr>
                <w:rStyle w:val="afffffffffff8"/>
                <w:i/>
                <w:iCs/>
                <w:sz w:val="24"/>
                <w:szCs w:val="24"/>
                <w:lang w:val="en-US"/>
              </w:rPr>
              <w:t>n</w:t>
            </w:r>
            <w:r>
              <w:rPr>
                <w:rStyle w:val="afffffffffff8"/>
                <w:i/>
                <w:iCs/>
                <w:sz w:val="24"/>
                <w:szCs w:val="24"/>
              </w:rPr>
              <w:t>=</w:t>
            </w:r>
            <w:r w:rsidRPr="006239CF">
              <w:rPr>
                <w:rStyle w:val="afffffffffff8"/>
                <w:i/>
                <w:iCs/>
                <w:sz w:val="24"/>
                <w:szCs w:val="24"/>
              </w:rPr>
              <w:t>32)</w:t>
            </w:r>
          </w:p>
        </w:tc>
        <w:tc>
          <w:tcPr>
            <w:tcW w:w="20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sz w:val="24"/>
                <w:szCs w:val="24"/>
              </w:rPr>
            </w:pPr>
            <w:r w:rsidRPr="006239CF">
              <w:rPr>
                <w:rStyle w:val="afffffffffff8"/>
                <w:i/>
                <w:iCs/>
                <w:sz w:val="24"/>
                <w:szCs w:val="24"/>
              </w:rPr>
              <w:t>Контрольная</w:t>
            </w:r>
            <w:r w:rsidRPr="006239CF">
              <w:rPr>
                <w:rStyle w:val="afffffffffff8"/>
                <w:i/>
                <w:iCs/>
                <w:sz w:val="24"/>
                <w:szCs w:val="24"/>
              </w:rPr>
              <w:br/>
            </w:r>
            <w:r>
              <w:rPr>
                <w:rStyle w:val="afffffffffff8"/>
                <w:i/>
                <w:iCs/>
                <w:sz w:val="24"/>
                <w:szCs w:val="24"/>
              </w:rPr>
              <w:t>под</w:t>
            </w:r>
            <w:r w:rsidRPr="006239CF">
              <w:rPr>
                <w:rStyle w:val="afffffffffff8"/>
                <w:i/>
                <w:iCs/>
                <w:sz w:val="24"/>
                <w:szCs w:val="24"/>
              </w:rPr>
              <w:t>группа № 4 (</w:t>
            </w:r>
            <w:r w:rsidRPr="006239CF">
              <w:rPr>
                <w:rStyle w:val="afffffffffff8"/>
                <w:i/>
                <w:iCs/>
                <w:sz w:val="24"/>
                <w:szCs w:val="24"/>
                <w:lang w:val="en-US"/>
              </w:rPr>
              <w:t>n</w:t>
            </w:r>
            <w:r>
              <w:rPr>
                <w:rStyle w:val="afffffffffff8"/>
                <w:i/>
                <w:iCs/>
                <w:sz w:val="24"/>
                <w:szCs w:val="24"/>
              </w:rPr>
              <w:t>=</w:t>
            </w:r>
            <w:r w:rsidRPr="006239CF">
              <w:rPr>
                <w:rStyle w:val="afffffffffff8"/>
                <w:i/>
                <w:iCs/>
                <w:sz w:val="24"/>
                <w:szCs w:val="24"/>
              </w:rPr>
              <w:t>28)</w:t>
            </w:r>
          </w:p>
        </w:tc>
      </w:tr>
      <w:tr w:rsidR="00286780" w:rsidRPr="006239CF" w:rsidTr="00171853">
        <w:trPr>
          <w:trHeight w:val="597"/>
        </w:trPr>
        <w:tc>
          <w:tcPr>
            <w:tcW w:w="3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rPr>
                <w:sz w:val="24"/>
                <w:szCs w:val="24"/>
              </w:rPr>
            </w:pPr>
            <w:r w:rsidRPr="006239CF">
              <w:rPr>
                <w:rStyle w:val="afffffffffff8"/>
                <w:sz w:val="24"/>
                <w:szCs w:val="24"/>
              </w:rPr>
              <w:t>Частота дыхательных движений (в 1 мин.)</w:t>
            </w:r>
          </w:p>
        </w:tc>
        <w:tc>
          <w:tcPr>
            <w:tcW w:w="26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sz w:val="24"/>
                <w:szCs w:val="24"/>
              </w:rPr>
            </w:pPr>
            <w:r>
              <w:rPr>
                <w:rStyle w:val="afffffffffff8"/>
                <w:sz w:val="24"/>
                <w:szCs w:val="24"/>
              </w:rPr>
              <w:t>16,5[15,0;</w:t>
            </w:r>
            <w:r w:rsidRPr="006239CF">
              <w:rPr>
                <w:rStyle w:val="afffffffffff8"/>
                <w:sz w:val="24"/>
                <w:szCs w:val="24"/>
              </w:rPr>
              <w:t>18,0]</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sz w:val="24"/>
                <w:szCs w:val="24"/>
              </w:rPr>
            </w:pPr>
            <w:r>
              <w:rPr>
                <w:rStyle w:val="afffffffffff8"/>
                <w:sz w:val="24"/>
                <w:szCs w:val="24"/>
              </w:rPr>
              <w:t>18[16;</w:t>
            </w:r>
            <w:r w:rsidRPr="006239CF">
              <w:rPr>
                <w:rStyle w:val="afffffffffff8"/>
                <w:sz w:val="24"/>
                <w:szCs w:val="24"/>
              </w:rPr>
              <w:t>18]</w:t>
            </w:r>
          </w:p>
        </w:tc>
        <w:tc>
          <w:tcPr>
            <w:tcW w:w="20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sz w:val="24"/>
                <w:szCs w:val="24"/>
              </w:rPr>
            </w:pPr>
            <w:r>
              <w:rPr>
                <w:rStyle w:val="afffffffffff8"/>
                <w:sz w:val="24"/>
                <w:szCs w:val="24"/>
              </w:rPr>
              <w:t>18[17;</w:t>
            </w:r>
            <w:r w:rsidRPr="006239CF">
              <w:rPr>
                <w:rStyle w:val="afffffffffff8"/>
                <w:sz w:val="24"/>
                <w:szCs w:val="24"/>
              </w:rPr>
              <w:t>18]</w:t>
            </w:r>
          </w:p>
        </w:tc>
      </w:tr>
      <w:tr w:rsidR="00286780" w:rsidRPr="006239CF" w:rsidTr="00171853">
        <w:trPr>
          <w:trHeight w:val="253"/>
        </w:trPr>
        <w:tc>
          <w:tcPr>
            <w:tcW w:w="3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rPr>
                <w:sz w:val="24"/>
                <w:szCs w:val="24"/>
              </w:rPr>
            </w:pPr>
            <w:r w:rsidRPr="006239CF">
              <w:rPr>
                <w:rStyle w:val="afffffffffff8"/>
                <w:sz w:val="24"/>
                <w:szCs w:val="24"/>
              </w:rPr>
              <w:t>АД систолическое (мм рт. ст.)</w:t>
            </w:r>
          </w:p>
        </w:tc>
        <w:tc>
          <w:tcPr>
            <w:tcW w:w="26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sz w:val="24"/>
                <w:szCs w:val="24"/>
              </w:rPr>
            </w:pPr>
            <w:r>
              <w:rPr>
                <w:rStyle w:val="afffffffffff8"/>
                <w:sz w:val="24"/>
                <w:szCs w:val="24"/>
              </w:rPr>
              <w:t>150,0[135,0;</w:t>
            </w:r>
            <w:r w:rsidRPr="006239CF">
              <w:rPr>
                <w:rStyle w:val="afffffffffff8"/>
                <w:sz w:val="24"/>
                <w:szCs w:val="24"/>
              </w:rPr>
              <w:t>160,0</w:t>
            </w:r>
            <w:r w:rsidRPr="006239CF">
              <w:rPr>
                <w:rStyle w:val="afffffffffff8"/>
                <w:sz w:val="24"/>
                <w:szCs w:val="24"/>
                <w:lang w:val="en-US"/>
              </w:rPr>
              <w:t>]</w:t>
            </w:r>
            <w:r w:rsidRPr="006239CF">
              <w:rPr>
                <w:rStyle w:val="afffffffffff8"/>
                <w:sz w:val="24"/>
                <w:szCs w:val="24"/>
              </w:rPr>
              <w:t>**</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sz w:val="24"/>
                <w:szCs w:val="24"/>
              </w:rPr>
            </w:pPr>
            <w:r>
              <w:rPr>
                <w:rStyle w:val="afffffffffff8"/>
                <w:sz w:val="24"/>
                <w:szCs w:val="24"/>
              </w:rPr>
              <w:t>145[140;</w:t>
            </w:r>
            <w:r w:rsidRPr="006239CF">
              <w:rPr>
                <w:rStyle w:val="afffffffffff8"/>
                <w:sz w:val="24"/>
                <w:szCs w:val="24"/>
              </w:rPr>
              <w:t>150]</w:t>
            </w:r>
          </w:p>
        </w:tc>
        <w:tc>
          <w:tcPr>
            <w:tcW w:w="20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sz w:val="24"/>
                <w:szCs w:val="24"/>
              </w:rPr>
            </w:pPr>
            <w:r>
              <w:rPr>
                <w:rStyle w:val="afffffffffff8"/>
                <w:sz w:val="24"/>
                <w:szCs w:val="24"/>
              </w:rPr>
              <w:t>130</w:t>
            </w:r>
            <w:r w:rsidRPr="006239CF">
              <w:rPr>
                <w:rStyle w:val="afffffffffff8"/>
                <w:sz w:val="24"/>
                <w:szCs w:val="24"/>
                <w:lang w:val="en-US"/>
              </w:rPr>
              <w:t>[</w:t>
            </w:r>
            <w:r>
              <w:rPr>
                <w:rStyle w:val="afffffffffff8"/>
                <w:sz w:val="24"/>
                <w:szCs w:val="24"/>
              </w:rPr>
              <w:t>120;</w:t>
            </w:r>
            <w:r w:rsidRPr="006239CF">
              <w:rPr>
                <w:rStyle w:val="afffffffffff8"/>
                <w:sz w:val="24"/>
                <w:szCs w:val="24"/>
              </w:rPr>
              <w:t>140</w:t>
            </w:r>
            <w:r w:rsidRPr="006239CF">
              <w:rPr>
                <w:rStyle w:val="afffffffffff8"/>
                <w:sz w:val="24"/>
                <w:szCs w:val="24"/>
                <w:lang w:val="en-US"/>
              </w:rPr>
              <w:t>]</w:t>
            </w:r>
          </w:p>
        </w:tc>
      </w:tr>
      <w:tr w:rsidR="00286780" w:rsidRPr="006239CF" w:rsidTr="00171853">
        <w:trPr>
          <w:trHeight w:val="231"/>
        </w:trPr>
        <w:tc>
          <w:tcPr>
            <w:tcW w:w="3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rPr>
                <w:sz w:val="24"/>
                <w:szCs w:val="24"/>
              </w:rPr>
            </w:pPr>
            <w:r w:rsidRPr="006239CF">
              <w:rPr>
                <w:rStyle w:val="afffffffffff8"/>
                <w:sz w:val="24"/>
                <w:szCs w:val="24"/>
              </w:rPr>
              <w:t>АД диастолическое (мм рт. ст.)</w:t>
            </w:r>
          </w:p>
        </w:tc>
        <w:tc>
          <w:tcPr>
            <w:tcW w:w="26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sz w:val="24"/>
                <w:szCs w:val="24"/>
              </w:rPr>
            </w:pPr>
            <w:r>
              <w:rPr>
                <w:rStyle w:val="afffffffffff8"/>
                <w:sz w:val="24"/>
                <w:szCs w:val="24"/>
              </w:rPr>
              <w:t>90,0</w:t>
            </w:r>
            <w:r w:rsidRPr="006239CF">
              <w:rPr>
                <w:rStyle w:val="afffffffffff8"/>
                <w:sz w:val="24"/>
                <w:szCs w:val="24"/>
                <w:lang w:val="en-US"/>
              </w:rPr>
              <w:t>[</w:t>
            </w:r>
            <w:r>
              <w:rPr>
                <w:rStyle w:val="afffffffffff8"/>
                <w:sz w:val="24"/>
                <w:szCs w:val="24"/>
              </w:rPr>
              <w:t>80,0;</w:t>
            </w:r>
            <w:r w:rsidRPr="006239CF">
              <w:rPr>
                <w:rStyle w:val="afffffffffff8"/>
                <w:sz w:val="24"/>
                <w:szCs w:val="24"/>
              </w:rPr>
              <w:t>100,0</w:t>
            </w:r>
            <w:r w:rsidRPr="006239CF">
              <w:rPr>
                <w:rStyle w:val="afffffffffff8"/>
                <w:sz w:val="24"/>
                <w:szCs w:val="24"/>
                <w:lang w:val="en-US"/>
              </w:rPr>
              <w:t>]</w:t>
            </w:r>
            <w:r w:rsidRPr="006239CF">
              <w:rPr>
                <w:rStyle w:val="afffffffffff8"/>
                <w:sz w:val="24"/>
                <w:szCs w:val="24"/>
              </w:rPr>
              <w:t>**</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sz w:val="24"/>
                <w:szCs w:val="24"/>
              </w:rPr>
            </w:pPr>
            <w:r>
              <w:rPr>
                <w:rStyle w:val="afffffffffff8"/>
                <w:sz w:val="24"/>
                <w:szCs w:val="24"/>
              </w:rPr>
              <w:t>90[90;</w:t>
            </w:r>
            <w:r w:rsidRPr="006239CF">
              <w:rPr>
                <w:rStyle w:val="afffffffffff8"/>
                <w:sz w:val="24"/>
                <w:szCs w:val="24"/>
              </w:rPr>
              <w:t>100</w:t>
            </w:r>
            <w:r w:rsidRPr="006239CF">
              <w:rPr>
                <w:rStyle w:val="afffffffffff8"/>
                <w:sz w:val="24"/>
                <w:szCs w:val="24"/>
                <w:lang w:val="en-US"/>
              </w:rPr>
              <w:t>]</w:t>
            </w:r>
          </w:p>
        </w:tc>
        <w:tc>
          <w:tcPr>
            <w:tcW w:w="20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sz w:val="24"/>
                <w:szCs w:val="24"/>
              </w:rPr>
            </w:pPr>
            <w:r>
              <w:rPr>
                <w:rStyle w:val="afffffffffff8"/>
                <w:sz w:val="24"/>
                <w:szCs w:val="24"/>
              </w:rPr>
              <w:t>80[80;</w:t>
            </w:r>
            <w:r w:rsidRPr="006239CF">
              <w:rPr>
                <w:rStyle w:val="afffffffffff8"/>
                <w:sz w:val="24"/>
                <w:szCs w:val="24"/>
              </w:rPr>
              <w:t>90]</w:t>
            </w:r>
          </w:p>
        </w:tc>
      </w:tr>
      <w:tr w:rsidR="00286780" w:rsidRPr="006239CF" w:rsidTr="001E7A7A">
        <w:trPr>
          <w:trHeight w:val="304"/>
        </w:trPr>
        <w:tc>
          <w:tcPr>
            <w:tcW w:w="3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rPr>
                <w:sz w:val="24"/>
                <w:szCs w:val="24"/>
              </w:rPr>
            </w:pPr>
            <w:r w:rsidRPr="006239CF">
              <w:rPr>
                <w:rStyle w:val="afffffffffff8"/>
                <w:sz w:val="24"/>
                <w:szCs w:val="24"/>
              </w:rPr>
              <w:t>ЧСС (в 1 мин.)</w:t>
            </w:r>
          </w:p>
        </w:tc>
        <w:tc>
          <w:tcPr>
            <w:tcW w:w="26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sz w:val="24"/>
                <w:szCs w:val="24"/>
              </w:rPr>
            </w:pPr>
            <w:r>
              <w:rPr>
                <w:rStyle w:val="afffffffffff8"/>
                <w:sz w:val="24"/>
                <w:szCs w:val="24"/>
              </w:rPr>
              <w:t>80,0</w:t>
            </w:r>
            <w:r w:rsidRPr="006239CF">
              <w:rPr>
                <w:rStyle w:val="afffffffffff8"/>
                <w:sz w:val="24"/>
                <w:szCs w:val="24"/>
                <w:lang w:val="en-US"/>
              </w:rPr>
              <w:t>[</w:t>
            </w:r>
            <w:r>
              <w:rPr>
                <w:rStyle w:val="afffffffffff8"/>
                <w:sz w:val="24"/>
                <w:szCs w:val="24"/>
              </w:rPr>
              <w:t>76,0;</w:t>
            </w:r>
            <w:r w:rsidRPr="006239CF">
              <w:rPr>
                <w:rStyle w:val="afffffffffff8"/>
                <w:sz w:val="24"/>
                <w:szCs w:val="24"/>
              </w:rPr>
              <w:t>87,0</w:t>
            </w:r>
            <w:r w:rsidRPr="006239CF">
              <w:rPr>
                <w:rStyle w:val="afffffffffff8"/>
                <w:sz w:val="24"/>
                <w:szCs w:val="24"/>
                <w:lang w:val="en-US"/>
              </w:rPr>
              <w:t>]</w:t>
            </w:r>
            <w:r w:rsidRPr="006239CF">
              <w:rPr>
                <w:rStyle w:val="afffffffffff8"/>
                <w:sz w:val="24"/>
                <w:szCs w:val="24"/>
              </w:rPr>
              <w:t>*</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sz w:val="24"/>
                <w:szCs w:val="24"/>
              </w:rPr>
            </w:pPr>
            <w:r>
              <w:rPr>
                <w:rStyle w:val="afffffffffff8"/>
                <w:sz w:val="24"/>
                <w:szCs w:val="24"/>
              </w:rPr>
              <w:t>72</w:t>
            </w:r>
            <w:r w:rsidRPr="006239CF">
              <w:rPr>
                <w:rStyle w:val="afffffffffff8"/>
                <w:sz w:val="24"/>
                <w:szCs w:val="24"/>
                <w:lang w:val="en-US"/>
              </w:rPr>
              <w:t>[69</w:t>
            </w:r>
            <w:r>
              <w:rPr>
                <w:rStyle w:val="afffffffffff8"/>
                <w:sz w:val="24"/>
                <w:szCs w:val="24"/>
              </w:rPr>
              <w:t>;</w:t>
            </w:r>
            <w:r w:rsidRPr="006239CF">
              <w:rPr>
                <w:rStyle w:val="afffffffffff8"/>
                <w:sz w:val="24"/>
                <w:szCs w:val="24"/>
              </w:rPr>
              <w:t>80</w:t>
            </w:r>
            <w:r w:rsidRPr="006239CF">
              <w:rPr>
                <w:rStyle w:val="afffffffffff8"/>
                <w:sz w:val="24"/>
                <w:szCs w:val="24"/>
                <w:lang w:val="en-US"/>
              </w:rPr>
              <w:t>]</w:t>
            </w:r>
          </w:p>
        </w:tc>
        <w:tc>
          <w:tcPr>
            <w:tcW w:w="20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sz w:val="24"/>
                <w:szCs w:val="24"/>
              </w:rPr>
            </w:pPr>
            <w:r>
              <w:rPr>
                <w:rStyle w:val="afffffffffff8"/>
                <w:sz w:val="24"/>
                <w:szCs w:val="24"/>
              </w:rPr>
              <w:t>78[72;</w:t>
            </w:r>
            <w:r w:rsidRPr="006239CF">
              <w:rPr>
                <w:rStyle w:val="afffffffffff8"/>
                <w:sz w:val="24"/>
                <w:szCs w:val="24"/>
              </w:rPr>
              <w:t>80]</w:t>
            </w:r>
          </w:p>
        </w:tc>
      </w:tr>
      <w:tr w:rsidR="00286780" w:rsidRPr="006239CF" w:rsidTr="001E7A7A">
        <w:trPr>
          <w:trHeight w:val="304"/>
        </w:trPr>
        <w:tc>
          <w:tcPr>
            <w:tcW w:w="3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rPr>
                <w:sz w:val="24"/>
                <w:szCs w:val="24"/>
              </w:rPr>
            </w:pPr>
            <w:r w:rsidRPr="006239CF">
              <w:rPr>
                <w:rStyle w:val="afffffffffff8"/>
                <w:sz w:val="24"/>
                <w:szCs w:val="24"/>
              </w:rPr>
              <w:t>Эритроциты (×10</w:t>
            </w:r>
            <w:r w:rsidRPr="006239CF">
              <w:rPr>
                <w:rStyle w:val="afffffffffff8"/>
                <w:sz w:val="24"/>
                <w:szCs w:val="24"/>
                <w:vertAlign w:val="superscript"/>
              </w:rPr>
              <w:t>12</w:t>
            </w:r>
            <w:r w:rsidRPr="006239CF">
              <w:rPr>
                <w:rStyle w:val="afffffffffff8"/>
                <w:sz w:val="24"/>
                <w:szCs w:val="24"/>
              </w:rPr>
              <w:t>/л)</w:t>
            </w:r>
          </w:p>
        </w:tc>
        <w:tc>
          <w:tcPr>
            <w:tcW w:w="26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sz w:val="24"/>
                <w:szCs w:val="24"/>
              </w:rPr>
            </w:pPr>
            <w:r w:rsidRPr="006239CF">
              <w:rPr>
                <w:rStyle w:val="afffffffffff8"/>
                <w:sz w:val="24"/>
                <w:szCs w:val="24"/>
              </w:rPr>
              <w:t>4,73±0,09*</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sz w:val="24"/>
                <w:szCs w:val="24"/>
              </w:rPr>
            </w:pPr>
            <w:r w:rsidRPr="006239CF">
              <w:rPr>
                <w:rStyle w:val="afffffffffff8"/>
                <w:sz w:val="24"/>
                <w:szCs w:val="24"/>
              </w:rPr>
              <w:t>5,00±0,08</w:t>
            </w:r>
          </w:p>
        </w:tc>
        <w:tc>
          <w:tcPr>
            <w:tcW w:w="20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sz w:val="24"/>
                <w:szCs w:val="24"/>
              </w:rPr>
            </w:pPr>
            <w:r w:rsidRPr="006239CF">
              <w:rPr>
                <w:rStyle w:val="afffffffffff8"/>
                <w:sz w:val="24"/>
                <w:szCs w:val="24"/>
              </w:rPr>
              <w:t>4,6±0,08</w:t>
            </w:r>
          </w:p>
        </w:tc>
      </w:tr>
      <w:tr w:rsidR="00286780" w:rsidRPr="006239CF" w:rsidTr="001E7A7A">
        <w:trPr>
          <w:trHeight w:val="304"/>
        </w:trPr>
        <w:tc>
          <w:tcPr>
            <w:tcW w:w="3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rPr>
                <w:sz w:val="24"/>
                <w:szCs w:val="24"/>
              </w:rPr>
            </w:pPr>
            <w:r w:rsidRPr="006239CF">
              <w:rPr>
                <w:rStyle w:val="afffffffffff8"/>
                <w:sz w:val="24"/>
                <w:szCs w:val="24"/>
              </w:rPr>
              <w:t>Гемоглобин (г/л)</w:t>
            </w:r>
          </w:p>
        </w:tc>
        <w:tc>
          <w:tcPr>
            <w:tcW w:w="26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sz w:val="24"/>
                <w:szCs w:val="24"/>
              </w:rPr>
            </w:pPr>
            <w:r w:rsidRPr="006239CF">
              <w:rPr>
                <w:rStyle w:val="afffffffffff8"/>
                <w:sz w:val="24"/>
                <w:szCs w:val="24"/>
              </w:rPr>
              <w:t>143,9±1,2</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sz w:val="24"/>
                <w:szCs w:val="24"/>
              </w:rPr>
            </w:pPr>
            <w:r w:rsidRPr="006239CF">
              <w:rPr>
                <w:rStyle w:val="afffffffffff8"/>
                <w:sz w:val="24"/>
                <w:szCs w:val="24"/>
              </w:rPr>
              <w:t>147,9±2,78</w:t>
            </w:r>
          </w:p>
        </w:tc>
        <w:tc>
          <w:tcPr>
            <w:tcW w:w="20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sz w:val="24"/>
                <w:szCs w:val="24"/>
              </w:rPr>
            </w:pPr>
            <w:r w:rsidRPr="006239CF">
              <w:rPr>
                <w:rStyle w:val="afffffffffff8"/>
                <w:sz w:val="24"/>
                <w:szCs w:val="24"/>
              </w:rPr>
              <w:t>140,5±2,59</w:t>
            </w:r>
          </w:p>
        </w:tc>
      </w:tr>
      <w:tr w:rsidR="00286780" w:rsidRPr="006239CF" w:rsidTr="001E7A7A">
        <w:trPr>
          <w:trHeight w:val="304"/>
        </w:trPr>
        <w:tc>
          <w:tcPr>
            <w:tcW w:w="3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rPr>
                <w:sz w:val="24"/>
                <w:szCs w:val="24"/>
              </w:rPr>
            </w:pPr>
            <w:r w:rsidRPr="006239CF">
              <w:rPr>
                <w:rStyle w:val="afffffffffff8"/>
                <w:sz w:val="24"/>
                <w:szCs w:val="24"/>
              </w:rPr>
              <w:t>Лейкоциты (×10</w:t>
            </w:r>
            <w:r w:rsidRPr="006239CF">
              <w:rPr>
                <w:rStyle w:val="afffffffffff8"/>
                <w:sz w:val="24"/>
                <w:szCs w:val="24"/>
                <w:vertAlign w:val="superscript"/>
              </w:rPr>
              <w:t>9</w:t>
            </w:r>
            <w:r w:rsidRPr="006239CF">
              <w:rPr>
                <w:rStyle w:val="afffffffffff8"/>
                <w:sz w:val="24"/>
                <w:szCs w:val="24"/>
              </w:rPr>
              <w:t>/л)</w:t>
            </w:r>
          </w:p>
        </w:tc>
        <w:tc>
          <w:tcPr>
            <w:tcW w:w="26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sz w:val="24"/>
                <w:szCs w:val="24"/>
              </w:rPr>
            </w:pPr>
            <w:r w:rsidRPr="006239CF">
              <w:rPr>
                <w:rStyle w:val="afffffffffff8"/>
                <w:sz w:val="24"/>
                <w:szCs w:val="24"/>
              </w:rPr>
              <w:t>14,5±1,45*</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sz w:val="24"/>
                <w:szCs w:val="24"/>
              </w:rPr>
            </w:pPr>
            <w:r w:rsidRPr="006239CF">
              <w:rPr>
                <w:rStyle w:val="afffffffffff8"/>
                <w:sz w:val="24"/>
                <w:szCs w:val="24"/>
              </w:rPr>
              <w:t>6,79±0,32</w:t>
            </w:r>
          </w:p>
        </w:tc>
        <w:tc>
          <w:tcPr>
            <w:tcW w:w="20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sz w:val="24"/>
                <w:szCs w:val="24"/>
              </w:rPr>
            </w:pPr>
            <w:r w:rsidRPr="006239CF">
              <w:rPr>
                <w:rStyle w:val="afffffffffff8"/>
                <w:sz w:val="24"/>
                <w:szCs w:val="24"/>
              </w:rPr>
              <w:t>14,5±0,75</w:t>
            </w:r>
          </w:p>
        </w:tc>
      </w:tr>
      <w:tr w:rsidR="00286780" w:rsidRPr="006239CF" w:rsidTr="001E7A7A">
        <w:trPr>
          <w:trHeight w:val="304"/>
        </w:trPr>
        <w:tc>
          <w:tcPr>
            <w:tcW w:w="3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rPr>
                <w:sz w:val="24"/>
                <w:szCs w:val="24"/>
              </w:rPr>
            </w:pPr>
            <w:r w:rsidRPr="006239CF">
              <w:rPr>
                <w:rStyle w:val="afffffffffff8"/>
                <w:sz w:val="24"/>
                <w:szCs w:val="24"/>
              </w:rPr>
              <w:t>Лимфоциты (абс. в 1 мкл.)</w:t>
            </w:r>
          </w:p>
        </w:tc>
        <w:tc>
          <w:tcPr>
            <w:tcW w:w="26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sz w:val="24"/>
                <w:szCs w:val="24"/>
              </w:rPr>
            </w:pPr>
            <w:r w:rsidRPr="006239CF">
              <w:rPr>
                <w:rStyle w:val="afffffffffff8"/>
                <w:sz w:val="24"/>
                <w:szCs w:val="24"/>
              </w:rPr>
              <w:t>3265,3±491,3</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sz w:val="24"/>
                <w:szCs w:val="24"/>
              </w:rPr>
            </w:pPr>
            <w:r w:rsidRPr="006239CF">
              <w:rPr>
                <w:rStyle w:val="afffffffffff8"/>
                <w:sz w:val="24"/>
                <w:szCs w:val="24"/>
              </w:rPr>
              <w:t>2135,7±117,5</w:t>
            </w:r>
          </w:p>
        </w:tc>
        <w:tc>
          <w:tcPr>
            <w:tcW w:w="20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sz w:val="24"/>
                <w:szCs w:val="24"/>
              </w:rPr>
            </w:pPr>
            <w:r w:rsidRPr="006239CF">
              <w:rPr>
                <w:rStyle w:val="afffffffffff8"/>
                <w:sz w:val="24"/>
                <w:szCs w:val="24"/>
              </w:rPr>
              <w:t>1765,4±140,0</w:t>
            </w:r>
          </w:p>
        </w:tc>
      </w:tr>
      <w:tr w:rsidR="00286780" w:rsidRPr="006239CF" w:rsidTr="001E7A7A">
        <w:trPr>
          <w:trHeight w:val="304"/>
        </w:trPr>
        <w:tc>
          <w:tcPr>
            <w:tcW w:w="3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rPr>
                <w:rStyle w:val="afffffffffff8"/>
                <w:sz w:val="24"/>
                <w:szCs w:val="24"/>
              </w:rPr>
            </w:pPr>
            <w:r>
              <w:rPr>
                <w:rStyle w:val="afffffffffff8"/>
                <w:sz w:val="24"/>
                <w:szCs w:val="24"/>
              </w:rPr>
              <w:t>ЛИИ (усл. ед.)</w:t>
            </w:r>
          </w:p>
        </w:tc>
        <w:tc>
          <w:tcPr>
            <w:tcW w:w="26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rStyle w:val="afffffffffff8"/>
                <w:sz w:val="24"/>
                <w:szCs w:val="24"/>
              </w:rPr>
            </w:pPr>
            <w:r>
              <w:rPr>
                <w:rStyle w:val="afffffffffff8"/>
                <w:sz w:val="24"/>
                <w:szCs w:val="24"/>
              </w:rPr>
              <w:t>2,55±0,47</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rStyle w:val="afffffffffff8"/>
                <w:sz w:val="24"/>
                <w:szCs w:val="24"/>
              </w:rPr>
            </w:pPr>
            <w:r>
              <w:rPr>
                <w:rStyle w:val="afffffffffff8"/>
                <w:sz w:val="24"/>
                <w:szCs w:val="24"/>
              </w:rPr>
              <w:t>1,81±0,26</w:t>
            </w:r>
          </w:p>
        </w:tc>
        <w:tc>
          <w:tcPr>
            <w:tcW w:w="20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jc w:val="center"/>
              <w:rPr>
                <w:rStyle w:val="afffffffffff8"/>
                <w:sz w:val="24"/>
                <w:szCs w:val="24"/>
              </w:rPr>
            </w:pPr>
            <w:r>
              <w:rPr>
                <w:rStyle w:val="afffffffffff8"/>
                <w:sz w:val="24"/>
                <w:szCs w:val="24"/>
              </w:rPr>
              <w:t>3,6±0,77</w:t>
            </w:r>
          </w:p>
        </w:tc>
      </w:tr>
      <w:tr w:rsidR="00286780" w:rsidRPr="006239CF" w:rsidTr="001E7A7A">
        <w:trPr>
          <w:trHeight w:val="304"/>
        </w:trPr>
        <w:tc>
          <w:tcPr>
            <w:tcW w:w="3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rPr>
                <w:sz w:val="24"/>
                <w:szCs w:val="24"/>
              </w:rPr>
            </w:pPr>
            <w:r w:rsidRPr="006239CF">
              <w:rPr>
                <w:rStyle w:val="afffffffffff8"/>
                <w:sz w:val="24"/>
                <w:szCs w:val="24"/>
              </w:rPr>
              <w:t>Фагоцитоз (%)</w:t>
            </w:r>
          </w:p>
        </w:tc>
        <w:tc>
          <w:tcPr>
            <w:tcW w:w="26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Pr>
                <w:rStyle w:val="afffffffffff8"/>
                <w:sz w:val="24"/>
                <w:szCs w:val="24"/>
              </w:rPr>
              <w:t>63</w:t>
            </w:r>
            <w:r w:rsidRPr="006239CF">
              <w:rPr>
                <w:rStyle w:val="afffffffffff8"/>
                <w:sz w:val="24"/>
                <w:szCs w:val="24"/>
                <w:lang w:val="en-US"/>
              </w:rPr>
              <w:t>[</w:t>
            </w:r>
            <w:r>
              <w:rPr>
                <w:rStyle w:val="afffffffffff8"/>
                <w:sz w:val="24"/>
                <w:szCs w:val="24"/>
              </w:rPr>
              <w:t>57;</w:t>
            </w:r>
            <w:r w:rsidRPr="006239CF">
              <w:rPr>
                <w:rStyle w:val="afffffffffff8"/>
                <w:sz w:val="24"/>
                <w:szCs w:val="24"/>
              </w:rPr>
              <w:t>72</w:t>
            </w:r>
            <w:r w:rsidRPr="006239CF">
              <w:rPr>
                <w:rStyle w:val="afffffffffff8"/>
                <w:sz w:val="24"/>
                <w:szCs w:val="24"/>
                <w:lang w:val="en-US"/>
              </w:rPr>
              <w:t>]</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Pr>
                <w:rStyle w:val="afffffffffff8"/>
                <w:sz w:val="24"/>
                <w:szCs w:val="24"/>
              </w:rPr>
              <w:t>63</w:t>
            </w:r>
            <w:r w:rsidRPr="006239CF">
              <w:rPr>
                <w:rStyle w:val="afffffffffff8"/>
                <w:sz w:val="24"/>
                <w:szCs w:val="24"/>
                <w:lang w:val="en-US"/>
              </w:rPr>
              <w:t>[</w:t>
            </w:r>
            <w:r>
              <w:rPr>
                <w:rStyle w:val="afffffffffff8"/>
                <w:sz w:val="24"/>
                <w:szCs w:val="24"/>
              </w:rPr>
              <w:t>46;</w:t>
            </w:r>
            <w:r w:rsidRPr="006239CF">
              <w:rPr>
                <w:rStyle w:val="afffffffffff8"/>
                <w:sz w:val="24"/>
                <w:szCs w:val="24"/>
              </w:rPr>
              <w:t>72</w:t>
            </w:r>
            <w:r w:rsidRPr="006239CF">
              <w:rPr>
                <w:rStyle w:val="afffffffffff8"/>
                <w:sz w:val="24"/>
                <w:szCs w:val="24"/>
                <w:lang w:val="en-US"/>
              </w:rPr>
              <w:t>]</w:t>
            </w:r>
          </w:p>
        </w:tc>
        <w:tc>
          <w:tcPr>
            <w:tcW w:w="20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Pr>
                <w:rStyle w:val="afffffffffff8"/>
                <w:sz w:val="24"/>
                <w:szCs w:val="24"/>
              </w:rPr>
              <w:t>63</w:t>
            </w:r>
            <w:r w:rsidRPr="006239CF">
              <w:rPr>
                <w:rStyle w:val="afffffffffff8"/>
                <w:sz w:val="24"/>
                <w:szCs w:val="24"/>
                <w:lang w:val="en-US"/>
              </w:rPr>
              <w:t>[</w:t>
            </w:r>
            <w:r>
              <w:rPr>
                <w:rStyle w:val="afffffffffff8"/>
                <w:sz w:val="24"/>
                <w:szCs w:val="24"/>
              </w:rPr>
              <w:t>46;</w:t>
            </w:r>
            <w:r w:rsidRPr="006239CF">
              <w:rPr>
                <w:rStyle w:val="afffffffffff8"/>
                <w:sz w:val="24"/>
                <w:szCs w:val="24"/>
              </w:rPr>
              <w:t>75</w:t>
            </w:r>
            <w:r w:rsidRPr="006239CF">
              <w:rPr>
                <w:rStyle w:val="afffffffffff8"/>
                <w:sz w:val="24"/>
                <w:szCs w:val="24"/>
                <w:lang w:val="en-US"/>
              </w:rPr>
              <w:t>]</w:t>
            </w:r>
          </w:p>
        </w:tc>
      </w:tr>
      <w:tr w:rsidR="00286780" w:rsidRPr="006239CF" w:rsidTr="001E7A7A">
        <w:trPr>
          <w:trHeight w:val="304"/>
        </w:trPr>
        <w:tc>
          <w:tcPr>
            <w:tcW w:w="3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rPr>
                <w:sz w:val="24"/>
                <w:szCs w:val="24"/>
              </w:rPr>
            </w:pPr>
            <w:r w:rsidRPr="006239CF">
              <w:rPr>
                <w:rStyle w:val="afffffffffff8"/>
                <w:sz w:val="24"/>
                <w:szCs w:val="24"/>
              </w:rPr>
              <w:t>Тромбоциты (в 1 мкл.)</w:t>
            </w:r>
          </w:p>
        </w:tc>
        <w:tc>
          <w:tcPr>
            <w:tcW w:w="26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Pr>
                <w:rStyle w:val="afffffffffff8"/>
                <w:sz w:val="24"/>
                <w:szCs w:val="24"/>
              </w:rPr>
              <w:t>299[230;</w:t>
            </w:r>
            <w:r w:rsidRPr="006239CF">
              <w:rPr>
                <w:rStyle w:val="afffffffffff8"/>
                <w:sz w:val="24"/>
                <w:szCs w:val="24"/>
              </w:rPr>
              <w:t>310,0]</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Pr>
                <w:rStyle w:val="afffffffffff8"/>
                <w:sz w:val="24"/>
                <w:szCs w:val="24"/>
              </w:rPr>
              <w:t>296</w:t>
            </w:r>
            <w:r w:rsidRPr="006239CF">
              <w:rPr>
                <w:rStyle w:val="afffffffffff8"/>
                <w:sz w:val="24"/>
                <w:szCs w:val="24"/>
                <w:lang w:val="en-US"/>
              </w:rPr>
              <w:t>[</w:t>
            </w:r>
            <w:r>
              <w:rPr>
                <w:rStyle w:val="afffffffffff8"/>
                <w:sz w:val="24"/>
                <w:szCs w:val="24"/>
              </w:rPr>
              <w:t>270;</w:t>
            </w:r>
            <w:r w:rsidRPr="006239CF">
              <w:rPr>
                <w:rStyle w:val="afffffffffff8"/>
                <w:sz w:val="24"/>
                <w:szCs w:val="24"/>
              </w:rPr>
              <w:t>342</w:t>
            </w:r>
            <w:r w:rsidRPr="006239CF">
              <w:rPr>
                <w:rStyle w:val="afffffffffff8"/>
                <w:sz w:val="24"/>
                <w:szCs w:val="24"/>
                <w:lang w:val="en-US"/>
              </w:rPr>
              <w:t>]</w:t>
            </w:r>
          </w:p>
        </w:tc>
        <w:tc>
          <w:tcPr>
            <w:tcW w:w="20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Pr>
                <w:rStyle w:val="afffffffffff8"/>
                <w:sz w:val="24"/>
                <w:szCs w:val="24"/>
              </w:rPr>
              <w:t>239,5</w:t>
            </w:r>
            <w:r w:rsidRPr="006239CF">
              <w:rPr>
                <w:rStyle w:val="afffffffffff8"/>
                <w:sz w:val="24"/>
                <w:szCs w:val="24"/>
                <w:lang w:val="en-US"/>
              </w:rPr>
              <w:t>[</w:t>
            </w:r>
            <w:r w:rsidRPr="006239CF">
              <w:rPr>
                <w:rStyle w:val="afffffffffff8"/>
                <w:sz w:val="24"/>
                <w:szCs w:val="24"/>
              </w:rPr>
              <w:t>22</w:t>
            </w:r>
            <w:r>
              <w:rPr>
                <w:rStyle w:val="afffffffffff8"/>
                <w:sz w:val="24"/>
                <w:szCs w:val="24"/>
              </w:rPr>
              <w:t>2;</w:t>
            </w:r>
            <w:r w:rsidRPr="006239CF">
              <w:rPr>
                <w:rStyle w:val="afffffffffff8"/>
                <w:sz w:val="24"/>
                <w:szCs w:val="24"/>
              </w:rPr>
              <w:t>288</w:t>
            </w:r>
            <w:r w:rsidRPr="006239CF">
              <w:rPr>
                <w:rStyle w:val="afffffffffff8"/>
                <w:sz w:val="24"/>
                <w:szCs w:val="24"/>
                <w:lang w:val="en-US"/>
              </w:rPr>
              <w:t>]</w:t>
            </w:r>
          </w:p>
        </w:tc>
      </w:tr>
      <w:tr w:rsidR="00286780" w:rsidRPr="006239CF" w:rsidTr="001E7A7A">
        <w:trPr>
          <w:trHeight w:val="183"/>
        </w:trPr>
        <w:tc>
          <w:tcPr>
            <w:tcW w:w="3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rPr>
                <w:sz w:val="24"/>
                <w:szCs w:val="24"/>
              </w:rPr>
            </w:pPr>
            <w:r w:rsidRPr="006239CF">
              <w:rPr>
                <w:rStyle w:val="afffffffffff8"/>
                <w:sz w:val="24"/>
                <w:szCs w:val="24"/>
              </w:rPr>
              <w:t>СОЭ (мм/ч)</w:t>
            </w:r>
          </w:p>
        </w:tc>
        <w:tc>
          <w:tcPr>
            <w:tcW w:w="26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Pr>
                <w:rStyle w:val="afffffffffff8"/>
                <w:sz w:val="24"/>
                <w:szCs w:val="24"/>
              </w:rPr>
              <w:t>15,5[8,0;</w:t>
            </w:r>
            <w:r w:rsidRPr="006239CF">
              <w:rPr>
                <w:rStyle w:val="afffffffffff8"/>
                <w:sz w:val="24"/>
                <w:szCs w:val="24"/>
              </w:rPr>
              <w:t>27,0]*</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Pr>
                <w:rStyle w:val="afffffffffff8"/>
                <w:sz w:val="24"/>
                <w:szCs w:val="24"/>
              </w:rPr>
              <w:t>6,5</w:t>
            </w:r>
            <w:r w:rsidRPr="006239CF">
              <w:rPr>
                <w:rStyle w:val="afffffffffff8"/>
                <w:sz w:val="24"/>
                <w:szCs w:val="24"/>
                <w:lang w:val="en-US"/>
              </w:rPr>
              <w:t>[</w:t>
            </w:r>
            <w:r>
              <w:rPr>
                <w:rStyle w:val="afffffffffff8"/>
                <w:sz w:val="24"/>
                <w:szCs w:val="24"/>
              </w:rPr>
              <w:t>5,0;</w:t>
            </w:r>
            <w:r w:rsidRPr="006239CF">
              <w:rPr>
                <w:rStyle w:val="afffffffffff8"/>
                <w:sz w:val="24"/>
                <w:szCs w:val="24"/>
              </w:rPr>
              <w:t>15,0</w:t>
            </w:r>
            <w:r w:rsidRPr="006239CF">
              <w:rPr>
                <w:rStyle w:val="afffffffffff8"/>
                <w:sz w:val="24"/>
                <w:szCs w:val="24"/>
                <w:lang w:val="en-US"/>
              </w:rPr>
              <w:t>]</w:t>
            </w:r>
          </w:p>
        </w:tc>
        <w:tc>
          <w:tcPr>
            <w:tcW w:w="20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sidRPr="006239CF">
              <w:rPr>
                <w:rStyle w:val="afffffffffff8"/>
                <w:sz w:val="24"/>
                <w:szCs w:val="24"/>
              </w:rPr>
              <w:t xml:space="preserve">17,5 </w:t>
            </w:r>
            <w:r w:rsidRPr="006239CF">
              <w:rPr>
                <w:rStyle w:val="afffffffffff8"/>
                <w:sz w:val="24"/>
                <w:szCs w:val="24"/>
                <w:lang w:val="en-US"/>
              </w:rPr>
              <w:t>[9</w:t>
            </w:r>
            <w:r w:rsidRPr="006239CF">
              <w:rPr>
                <w:rStyle w:val="afffffffffff8"/>
                <w:sz w:val="24"/>
                <w:szCs w:val="24"/>
              </w:rPr>
              <w:t xml:space="preserve">; </w:t>
            </w:r>
            <w:r w:rsidRPr="006239CF">
              <w:rPr>
                <w:rStyle w:val="afffffffffff8"/>
                <w:sz w:val="24"/>
                <w:szCs w:val="24"/>
                <w:lang w:val="en-US"/>
              </w:rPr>
              <w:t>26]</w:t>
            </w:r>
          </w:p>
        </w:tc>
      </w:tr>
      <w:tr w:rsidR="00286780" w:rsidRPr="006239CF" w:rsidTr="001E7A7A">
        <w:trPr>
          <w:trHeight w:val="304"/>
        </w:trPr>
        <w:tc>
          <w:tcPr>
            <w:tcW w:w="3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rPr>
                <w:sz w:val="24"/>
                <w:szCs w:val="24"/>
              </w:rPr>
            </w:pPr>
            <w:r w:rsidRPr="006239CF">
              <w:rPr>
                <w:rStyle w:val="afffffffffff8"/>
                <w:sz w:val="24"/>
                <w:szCs w:val="24"/>
              </w:rPr>
              <w:t>Общий белок (г/л)</w:t>
            </w:r>
          </w:p>
        </w:tc>
        <w:tc>
          <w:tcPr>
            <w:tcW w:w="26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sidRPr="006239CF">
              <w:rPr>
                <w:rStyle w:val="afffffffffff8"/>
                <w:sz w:val="24"/>
                <w:szCs w:val="24"/>
              </w:rPr>
              <w:t>76,8±2,99</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sidRPr="006239CF">
              <w:rPr>
                <w:rStyle w:val="afffffffffff8"/>
                <w:sz w:val="24"/>
                <w:szCs w:val="24"/>
              </w:rPr>
              <w:t>73,1±1,1</w:t>
            </w:r>
          </w:p>
        </w:tc>
        <w:tc>
          <w:tcPr>
            <w:tcW w:w="20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sidRPr="006239CF">
              <w:rPr>
                <w:rStyle w:val="afffffffffff8"/>
                <w:sz w:val="24"/>
                <w:szCs w:val="24"/>
              </w:rPr>
              <w:t>76,3±2,39</w:t>
            </w:r>
          </w:p>
        </w:tc>
      </w:tr>
      <w:tr w:rsidR="00286780" w:rsidRPr="006239CF" w:rsidTr="001E7A7A">
        <w:trPr>
          <w:trHeight w:val="304"/>
        </w:trPr>
        <w:tc>
          <w:tcPr>
            <w:tcW w:w="3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rPr>
                <w:sz w:val="24"/>
                <w:szCs w:val="24"/>
              </w:rPr>
            </w:pPr>
            <w:r w:rsidRPr="006239CF">
              <w:rPr>
                <w:rStyle w:val="afffffffffff8"/>
                <w:sz w:val="24"/>
                <w:szCs w:val="24"/>
              </w:rPr>
              <w:t>Билирубин общий (мкмоль/л)</w:t>
            </w:r>
          </w:p>
        </w:tc>
        <w:tc>
          <w:tcPr>
            <w:tcW w:w="26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Pr>
                <w:rStyle w:val="afffffffffff8"/>
                <w:sz w:val="24"/>
                <w:szCs w:val="24"/>
              </w:rPr>
              <w:t>19,78</w:t>
            </w:r>
            <w:r w:rsidRPr="006239CF">
              <w:rPr>
                <w:rStyle w:val="afffffffffff8"/>
                <w:sz w:val="24"/>
                <w:szCs w:val="24"/>
                <w:lang w:val="en-US"/>
              </w:rPr>
              <w:t>[</w:t>
            </w:r>
            <w:r>
              <w:rPr>
                <w:rStyle w:val="afffffffffff8"/>
                <w:sz w:val="24"/>
                <w:szCs w:val="24"/>
              </w:rPr>
              <w:t>14,95;</w:t>
            </w:r>
            <w:r w:rsidRPr="006239CF">
              <w:rPr>
                <w:rStyle w:val="afffffffffff8"/>
                <w:sz w:val="24"/>
                <w:szCs w:val="24"/>
              </w:rPr>
              <w:t>24,3</w:t>
            </w:r>
            <w:r w:rsidRPr="006239CF">
              <w:rPr>
                <w:rStyle w:val="afffffffffff8"/>
                <w:sz w:val="24"/>
                <w:szCs w:val="24"/>
                <w:lang w:val="en-US"/>
              </w:rPr>
              <w:t>]</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Pr>
                <w:rStyle w:val="afffffffffff8"/>
                <w:sz w:val="24"/>
                <w:szCs w:val="24"/>
              </w:rPr>
              <w:t>17,7</w:t>
            </w:r>
            <w:r w:rsidRPr="006239CF">
              <w:rPr>
                <w:rStyle w:val="afffffffffff8"/>
                <w:sz w:val="24"/>
                <w:szCs w:val="24"/>
                <w:lang w:val="en-US"/>
              </w:rPr>
              <w:t>[</w:t>
            </w:r>
            <w:r>
              <w:rPr>
                <w:rStyle w:val="afffffffffff8"/>
                <w:sz w:val="24"/>
                <w:szCs w:val="24"/>
              </w:rPr>
              <w:t>14,8;</w:t>
            </w:r>
            <w:r w:rsidRPr="006239CF">
              <w:rPr>
                <w:rStyle w:val="afffffffffff8"/>
                <w:sz w:val="24"/>
                <w:szCs w:val="24"/>
              </w:rPr>
              <w:t>18,7</w:t>
            </w:r>
            <w:r w:rsidRPr="006239CF">
              <w:rPr>
                <w:rStyle w:val="afffffffffff8"/>
                <w:sz w:val="24"/>
                <w:szCs w:val="24"/>
                <w:lang w:val="en-US"/>
              </w:rPr>
              <w:t>]</w:t>
            </w:r>
          </w:p>
        </w:tc>
        <w:tc>
          <w:tcPr>
            <w:tcW w:w="20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Pr>
                <w:rStyle w:val="afffffffffff8"/>
                <w:sz w:val="24"/>
                <w:szCs w:val="24"/>
              </w:rPr>
              <w:t>16,1</w:t>
            </w:r>
            <w:r w:rsidRPr="006239CF">
              <w:rPr>
                <w:rStyle w:val="afffffffffff8"/>
                <w:sz w:val="24"/>
                <w:szCs w:val="24"/>
                <w:lang w:val="en-US"/>
              </w:rPr>
              <w:t>[</w:t>
            </w:r>
            <w:r>
              <w:rPr>
                <w:rStyle w:val="afffffffffff8"/>
                <w:sz w:val="24"/>
                <w:szCs w:val="24"/>
              </w:rPr>
              <w:t>16,1;</w:t>
            </w:r>
            <w:r w:rsidRPr="006239CF">
              <w:rPr>
                <w:rStyle w:val="afffffffffff8"/>
                <w:sz w:val="24"/>
                <w:szCs w:val="24"/>
              </w:rPr>
              <w:t>27,3</w:t>
            </w:r>
            <w:r w:rsidRPr="006239CF">
              <w:rPr>
                <w:rStyle w:val="afffffffffff8"/>
                <w:sz w:val="24"/>
                <w:szCs w:val="24"/>
                <w:lang w:val="en-US"/>
              </w:rPr>
              <w:t>]</w:t>
            </w:r>
          </w:p>
        </w:tc>
      </w:tr>
      <w:tr w:rsidR="00286780" w:rsidRPr="006239CF" w:rsidTr="001E7A7A">
        <w:trPr>
          <w:trHeight w:val="304"/>
        </w:trPr>
        <w:tc>
          <w:tcPr>
            <w:tcW w:w="3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rPr>
                <w:sz w:val="24"/>
                <w:szCs w:val="24"/>
              </w:rPr>
            </w:pPr>
            <w:r w:rsidRPr="006239CF">
              <w:rPr>
                <w:rStyle w:val="afffffffffff8"/>
                <w:sz w:val="24"/>
                <w:szCs w:val="24"/>
              </w:rPr>
              <w:t>Натрий (ммоль/л)</w:t>
            </w:r>
          </w:p>
        </w:tc>
        <w:tc>
          <w:tcPr>
            <w:tcW w:w="26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sidRPr="006239CF">
              <w:rPr>
                <w:rStyle w:val="afffffffffff8"/>
                <w:sz w:val="24"/>
                <w:szCs w:val="24"/>
              </w:rPr>
              <w:t>139,57±1,13</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sidRPr="006239CF">
              <w:rPr>
                <w:rStyle w:val="afffffffffff8"/>
                <w:sz w:val="24"/>
                <w:szCs w:val="24"/>
              </w:rPr>
              <w:t>141,9±0,68</w:t>
            </w:r>
          </w:p>
        </w:tc>
        <w:tc>
          <w:tcPr>
            <w:tcW w:w="20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sidRPr="006239CF">
              <w:rPr>
                <w:rStyle w:val="afffffffffff8"/>
                <w:sz w:val="24"/>
                <w:szCs w:val="24"/>
              </w:rPr>
              <w:t>–</w:t>
            </w:r>
          </w:p>
        </w:tc>
      </w:tr>
      <w:tr w:rsidR="00286780" w:rsidRPr="006239CF" w:rsidTr="001E7A7A">
        <w:trPr>
          <w:trHeight w:val="304"/>
        </w:trPr>
        <w:tc>
          <w:tcPr>
            <w:tcW w:w="3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rPr>
                <w:sz w:val="24"/>
                <w:szCs w:val="24"/>
              </w:rPr>
            </w:pPr>
            <w:r w:rsidRPr="006239CF">
              <w:rPr>
                <w:rStyle w:val="afffffffffff8"/>
                <w:sz w:val="24"/>
                <w:szCs w:val="24"/>
              </w:rPr>
              <w:t>Калий (ммоль/л)</w:t>
            </w:r>
          </w:p>
        </w:tc>
        <w:tc>
          <w:tcPr>
            <w:tcW w:w="26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sidRPr="006239CF">
              <w:rPr>
                <w:rStyle w:val="afffffffffff8"/>
                <w:sz w:val="24"/>
                <w:szCs w:val="24"/>
              </w:rPr>
              <w:t>4,21±0,25</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sidRPr="006239CF">
              <w:rPr>
                <w:rStyle w:val="afffffffffff8"/>
                <w:sz w:val="24"/>
                <w:szCs w:val="24"/>
              </w:rPr>
              <w:t>4,47±0,11</w:t>
            </w:r>
          </w:p>
        </w:tc>
        <w:tc>
          <w:tcPr>
            <w:tcW w:w="20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sidRPr="006239CF">
              <w:rPr>
                <w:rStyle w:val="afffffffffff8"/>
                <w:sz w:val="24"/>
                <w:szCs w:val="24"/>
              </w:rPr>
              <w:t>–</w:t>
            </w:r>
          </w:p>
        </w:tc>
      </w:tr>
      <w:tr w:rsidR="00286780" w:rsidRPr="006239CF" w:rsidTr="001E7A7A">
        <w:trPr>
          <w:trHeight w:val="304"/>
        </w:trPr>
        <w:tc>
          <w:tcPr>
            <w:tcW w:w="3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rPr>
                <w:sz w:val="24"/>
                <w:szCs w:val="24"/>
              </w:rPr>
            </w:pPr>
            <w:r w:rsidRPr="006239CF">
              <w:rPr>
                <w:rStyle w:val="afffffffffff8"/>
                <w:sz w:val="24"/>
                <w:szCs w:val="24"/>
              </w:rPr>
              <w:t>Хлор (ммоль/л)</w:t>
            </w:r>
          </w:p>
        </w:tc>
        <w:tc>
          <w:tcPr>
            <w:tcW w:w="26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sidRPr="006239CF">
              <w:rPr>
                <w:rStyle w:val="afffffffffff8"/>
                <w:sz w:val="24"/>
                <w:szCs w:val="24"/>
              </w:rPr>
              <w:t>103,57±0,95</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sidRPr="006239CF">
              <w:rPr>
                <w:rStyle w:val="afffffffffff8"/>
                <w:sz w:val="24"/>
                <w:szCs w:val="24"/>
              </w:rPr>
              <w:t>106,6±0,8</w:t>
            </w:r>
          </w:p>
        </w:tc>
        <w:tc>
          <w:tcPr>
            <w:tcW w:w="20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sidRPr="006239CF">
              <w:rPr>
                <w:rStyle w:val="afffffffffff8"/>
                <w:sz w:val="24"/>
                <w:szCs w:val="24"/>
              </w:rPr>
              <w:t>–</w:t>
            </w:r>
          </w:p>
        </w:tc>
      </w:tr>
      <w:tr w:rsidR="00286780" w:rsidRPr="006239CF" w:rsidTr="001E7A7A">
        <w:trPr>
          <w:trHeight w:val="217"/>
        </w:trPr>
        <w:tc>
          <w:tcPr>
            <w:tcW w:w="3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rPr>
                <w:sz w:val="24"/>
                <w:szCs w:val="24"/>
              </w:rPr>
            </w:pPr>
            <w:r w:rsidRPr="006239CF">
              <w:rPr>
                <w:rStyle w:val="afffffffffff8"/>
                <w:sz w:val="24"/>
                <w:szCs w:val="24"/>
              </w:rPr>
              <w:t>Мочевина (ммоль/л)</w:t>
            </w:r>
          </w:p>
        </w:tc>
        <w:tc>
          <w:tcPr>
            <w:tcW w:w="26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sidRPr="006239CF">
              <w:rPr>
                <w:rStyle w:val="afffffffffff8"/>
                <w:sz w:val="24"/>
                <w:szCs w:val="24"/>
              </w:rPr>
              <w:t>9,73±2,42</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sidRPr="006239CF">
              <w:rPr>
                <w:rStyle w:val="afffffffffff8"/>
                <w:sz w:val="24"/>
                <w:szCs w:val="24"/>
              </w:rPr>
              <w:t>17,8±0,7</w:t>
            </w:r>
          </w:p>
        </w:tc>
        <w:tc>
          <w:tcPr>
            <w:tcW w:w="20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sidRPr="006239CF">
              <w:rPr>
                <w:rStyle w:val="afffffffffff8"/>
                <w:sz w:val="24"/>
                <w:szCs w:val="24"/>
              </w:rPr>
              <w:t>7,49</w:t>
            </w:r>
            <w:r w:rsidRPr="006239CF">
              <w:rPr>
                <w:rStyle w:val="afffffffffff8"/>
                <w:sz w:val="24"/>
                <w:szCs w:val="24"/>
                <w:lang w:val="en-US"/>
              </w:rPr>
              <w:t>±</w:t>
            </w:r>
            <w:r w:rsidRPr="006239CF">
              <w:rPr>
                <w:rStyle w:val="afffffffffff8"/>
                <w:sz w:val="24"/>
                <w:szCs w:val="24"/>
              </w:rPr>
              <w:t>1,16</w:t>
            </w:r>
          </w:p>
        </w:tc>
      </w:tr>
      <w:tr w:rsidR="00286780" w:rsidRPr="006239CF" w:rsidTr="001E7A7A">
        <w:trPr>
          <w:trHeight w:val="337"/>
        </w:trPr>
        <w:tc>
          <w:tcPr>
            <w:tcW w:w="3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rPr>
                <w:sz w:val="24"/>
                <w:szCs w:val="24"/>
              </w:rPr>
            </w:pPr>
            <w:r w:rsidRPr="006239CF">
              <w:rPr>
                <w:rStyle w:val="afffffffffff8"/>
                <w:sz w:val="24"/>
                <w:szCs w:val="24"/>
              </w:rPr>
              <w:t xml:space="preserve">Аспартатаминотрансфераза </w:t>
            </w:r>
          </w:p>
        </w:tc>
        <w:tc>
          <w:tcPr>
            <w:tcW w:w="26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sidRPr="006239CF">
              <w:rPr>
                <w:rStyle w:val="afffffffffff8"/>
                <w:sz w:val="24"/>
                <w:szCs w:val="24"/>
              </w:rPr>
              <w:t>30,0±1,77</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sidRPr="006239CF">
              <w:rPr>
                <w:rStyle w:val="afffffffffff8"/>
                <w:sz w:val="24"/>
                <w:szCs w:val="24"/>
              </w:rPr>
              <w:t>25,7±1,57</w:t>
            </w:r>
          </w:p>
        </w:tc>
        <w:tc>
          <w:tcPr>
            <w:tcW w:w="20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sidRPr="006239CF">
              <w:rPr>
                <w:rStyle w:val="afffffffffff8"/>
                <w:sz w:val="24"/>
                <w:szCs w:val="24"/>
              </w:rPr>
              <w:t>–</w:t>
            </w:r>
          </w:p>
        </w:tc>
      </w:tr>
      <w:tr w:rsidR="00286780" w:rsidRPr="006239CF" w:rsidTr="001E7A7A">
        <w:trPr>
          <w:trHeight w:val="273"/>
        </w:trPr>
        <w:tc>
          <w:tcPr>
            <w:tcW w:w="3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rPr>
                <w:sz w:val="24"/>
                <w:szCs w:val="24"/>
              </w:rPr>
            </w:pPr>
            <w:r w:rsidRPr="006239CF">
              <w:rPr>
                <w:rStyle w:val="afffffffffff8"/>
                <w:sz w:val="24"/>
                <w:szCs w:val="24"/>
              </w:rPr>
              <w:t>Аланинаминотрансфераза</w:t>
            </w:r>
          </w:p>
        </w:tc>
        <w:tc>
          <w:tcPr>
            <w:tcW w:w="26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sidRPr="006239CF">
              <w:rPr>
                <w:rStyle w:val="afffffffffff8"/>
                <w:sz w:val="24"/>
                <w:szCs w:val="24"/>
              </w:rPr>
              <w:t>27,8±3,07</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sidRPr="006239CF">
              <w:rPr>
                <w:rStyle w:val="afffffffffff8"/>
                <w:sz w:val="24"/>
                <w:szCs w:val="24"/>
              </w:rPr>
              <w:t>27,5±2,5</w:t>
            </w:r>
          </w:p>
        </w:tc>
        <w:tc>
          <w:tcPr>
            <w:tcW w:w="20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sidRPr="006239CF">
              <w:rPr>
                <w:rStyle w:val="afffffffffff8"/>
                <w:sz w:val="24"/>
                <w:szCs w:val="24"/>
              </w:rPr>
              <w:t>–</w:t>
            </w:r>
          </w:p>
        </w:tc>
      </w:tr>
      <w:tr w:rsidR="00286780" w:rsidRPr="006239CF" w:rsidTr="001E7A7A">
        <w:trPr>
          <w:trHeight w:val="188"/>
        </w:trPr>
        <w:tc>
          <w:tcPr>
            <w:tcW w:w="3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rPr>
                <w:sz w:val="24"/>
                <w:szCs w:val="24"/>
              </w:rPr>
            </w:pPr>
            <w:r w:rsidRPr="006239CF">
              <w:rPr>
                <w:rStyle w:val="afffffffffff8"/>
                <w:sz w:val="24"/>
                <w:szCs w:val="24"/>
              </w:rPr>
              <w:t>Коэффициент де Ритиса</w:t>
            </w:r>
          </w:p>
        </w:tc>
        <w:tc>
          <w:tcPr>
            <w:tcW w:w="26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sidRPr="006239CF">
              <w:rPr>
                <w:rStyle w:val="afffffffffff8"/>
                <w:sz w:val="24"/>
                <w:szCs w:val="24"/>
              </w:rPr>
              <w:t>1,12±0,09</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sidRPr="006239CF">
              <w:rPr>
                <w:rStyle w:val="afffffffffff8"/>
                <w:sz w:val="24"/>
                <w:szCs w:val="24"/>
              </w:rPr>
              <w:t>0,99±0,08</w:t>
            </w:r>
          </w:p>
        </w:tc>
        <w:tc>
          <w:tcPr>
            <w:tcW w:w="20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sidRPr="006239CF">
              <w:rPr>
                <w:rStyle w:val="afffffffffff8"/>
                <w:sz w:val="24"/>
                <w:szCs w:val="24"/>
              </w:rPr>
              <w:t>–</w:t>
            </w:r>
          </w:p>
        </w:tc>
      </w:tr>
      <w:tr w:rsidR="00286780" w:rsidRPr="006239CF" w:rsidTr="001E7A7A">
        <w:trPr>
          <w:trHeight w:val="322"/>
        </w:trPr>
        <w:tc>
          <w:tcPr>
            <w:tcW w:w="3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rPr>
                <w:sz w:val="24"/>
                <w:szCs w:val="24"/>
              </w:rPr>
            </w:pPr>
            <w:r w:rsidRPr="006239CF">
              <w:rPr>
                <w:rStyle w:val="afffffffffff8"/>
                <w:sz w:val="24"/>
                <w:szCs w:val="24"/>
              </w:rPr>
              <w:t xml:space="preserve">Креатинин (мкмоль/л) </w:t>
            </w:r>
          </w:p>
        </w:tc>
        <w:tc>
          <w:tcPr>
            <w:tcW w:w="26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Pr>
                <w:rStyle w:val="afffffffffff8"/>
                <w:sz w:val="24"/>
                <w:szCs w:val="24"/>
              </w:rPr>
              <w:t>112</w:t>
            </w:r>
            <w:r w:rsidRPr="006239CF">
              <w:rPr>
                <w:rStyle w:val="afffffffffff8"/>
                <w:sz w:val="24"/>
                <w:szCs w:val="24"/>
                <w:lang w:val="en-US"/>
              </w:rPr>
              <w:t>[</w:t>
            </w:r>
            <w:r>
              <w:rPr>
                <w:rStyle w:val="afffffffffff8"/>
                <w:sz w:val="24"/>
                <w:szCs w:val="24"/>
              </w:rPr>
              <w:t>95,1;</w:t>
            </w:r>
            <w:r w:rsidRPr="006239CF">
              <w:rPr>
                <w:rStyle w:val="afffffffffff8"/>
                <w:sz w:val="24"/>
                <w:szCs w:val="24"/>
              </w:rPr>
              <w:t>136,1</w:t>
            </w:r>
            <w:r w:rsidRPr="006239CF">
              <w:rPr>
                <w:rStyle w:val="afffffffffff8"/>
                <w:sz w:val="24"/>
                <w:szCs w:val="24"/>
                <w:lang w:val="en-US"/>
              </w:rPr>
              <w:t>]</w:t>
            </w:r>
            <w:r w:rsidRPr="006239CF">
              <w:rPr>
                <w:rStyle w:val="afffffffffff8"/>
                <w:sz w:val="24"/>
                <w:szCs w:val="24"/>
              </w:rPr>
              <w:t>***</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Pr>
                <w:rStyle w:val="afffffffffff8"/>
                <w:sz w:val="24"/>
                <w:szCs w:val="24"/>
              </w:rPr>
              <w:t>91,4</w:t>
            </w:r>
            <w:r w:rsidRPr="006239CF">
              <w:rPr>
                <w:rStyle w:val="afffffffffff8"/>
                <w:sz w:val="24"/>
                <w:szCs w:val="24"/>
                <w:lang w:val="en-US"/>
              </w:rPr>
              <w:t>[</w:t>
            </w:r>
            <w:r>
              <w:rPr>
                <w:rStyle w:val="afffffffffff8"/>
                <w:sz w:val="24"/>
                <w:szCs w:val="24"/>
              </w:rPr>
              <w:t>86,7;</w:t>
            </w:r>
            <w:r w:rsidRPr="006239CF">
              <w:rPr>
                <w:rStyle w:val="afffffffffff8"/>
                <w:sz w:val="24"/>
                <w:szCs w:val="24"/>
              </w:rPr>
              <w:t>97,3</w:t>
            </w:r>
            <w:r w:rsidRPr="006239CF">
              <w:rPr>
                <w:rStyle w:val="afffffffffff8"/>
                <w:sz w:val="24"/>
                <w:szCs w:val="24"/>
                <w:lang w:val="en-US"/>
              </w:rPr>
              <w:t>]</w:t>
            </w:r>
          </w:p>
        </w:tc>
        <w:tc>
          <w:tcPr>
            <w:tcW w:w="20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sidRPr="006239CF">
              <w:rPr>
                <w:rStyle w:val="afffffffffff8"/>
                <w:sz w:val="24"/>
                <w:szCs w:val="24"/>
              </w:rPr>
              <w:t>87,7</w:t>
            </w:r>
            <w:r w:rsidRPr="006239CF">
              <w:rPr>
                <w:rStyle w:val="afffffffffff8"/>
                <w:sz w:val="24"/>
                <w:szCs w:val="24"/>
                <w:lang w:val="en-US"/>
              </w:rPr>
              <w:t>[</w:t>
            </w:r>
            <w:r>
              <w:rPr>
                <w:rStyle w:val="afffffffffff8"/>
                <w:sz w:val="24"/>
                <w:szCs w:val="24"/>
              </w:rPr>
              <w:t>81,3;</w:t>
            </w:r>
            <w:r w:rsidRPr="006239CF">
              <w:rPr>
                <w:rStyle w:val="afffffffffff8"/>
                <w:sz w:val="24"/>
                <w:szCs w:val="24"/>
              </w:rPr>
              <w:t>101,8</w:t>
            </w:r>
            <w:r w:rsidRPr="006239CF">
              <w:rPr>
                <w:rStyle w:val="afffffffffff8"/>
                <w:sz w:val="24"/>
                <w:szCs w:val="24"/>
                <w:lang w:val="en-US"/>
              </w:rPr>
              <w:t>]</w:t>
            </w:r>
          </w:p>
        </w:tc>
      </w:tr>
      <w:tr w:rsidR="00286780" w:rsidRPr="006239CF" w:rsidTr="001E7A7A">
        <w:trPr>
          <w:trHeight w:val="257"/>
        </w:trPr>
        <w:tc>
          <w:tcPr>
            <w:tcW w:w="3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rPr>
                <w:sz w:val="24"/>
                <w:szCs w:val="24"/>
              </w:rPr>
            </w:pPr>
            <w:r w:rsidRPr="006239CF">
              <w:rPr>
                <w:rStyle w:val="afffffffffff8"/>
                <w:sz w:val="24"/>
                <w:szCs w:val="24"/>
              </w:rPr>
              <w:t>Глюкоза (ммоль/л)</w:t>
            </w:r>
          </w:p>
        </w:tc>
        <w:tc>
          <w:tcPr>
            <w:tcW w:w="26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Pr>
                <w:rStyle w:val="afffffffffff8"/>
                <w:sz w:val="24"/>
                <w:szCs w:val="24"/>
              </w:rPr>
              <w:t>5,4</w:t>
            </w:r>
            <w:r w:rsidRPr="006239CF">
              <w:rPr>
                <w:rStyle w:val="afffffffffff8"/>
                <w:sz w:val="24"/>
                <w:szCs w:val="24"/>
                <w:lang w:val="en-US"/>
              </w:rPr>
              <w:t>[</w:t>
            </w:r>
            <w:r>
              <w:rPr>
                <w:rStyle w:val="afffffffffff8"/>
                <w:sz w:val="24"/>
                <w:szCs w:val="24"/>
              </w:rPr>
              <w:t>4,62;</w:t>
            </w:r>
            <w:r w:rsidRPr="006239CF">
              <w:rPr>
                <w:rStyle w:val="afffffffffff8"/>
                <w:sz w:val="24"/>
                <w:szCs w:val="24"/>
              </w:rPr>
              <w:t>6,6</w:t>
            </w:r>
            <w:r w:rsidRPr="006239CF">
              <w:rPr>
                <w:rStyle w:val="afffffffffff8"/>
                <w:sz w:val="24"/>
                <w:szCs w:val="24"/>
                <w:lang w:val="en-US"/>
              </w:rPr>
              <w:t>]</w:t>
            </w:r>
            <w:r w:rsidRPr="006239CF">
              <w:rPr>
                <w:rStyle w:val="afffffffffff8"/>
                <w:sz w:val="24"/>
                <w:szCs w:val="24"/>
              </w:rPr>
              <w:t>***</w:t>
            </w:r>
          </w:p>
        </w:tc>
        <w:tc>
          <w:tcPr>
            <w:tcW w:w="1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Pr>
                <w:rStyle w:val="afffffffffff8"/>
                <w:sz w:val="24"/>
                <w:szCs w:val="24"/>
              </w:rPr>
              <w:t>5</w:t>
            </w:r>
            <w:r w:rsidRPr="006239CF">
              <w:rPr>
                <w:rStyle w:val="afffffffffff8"/>
                <w:sz w:val="24"/>
                <w:szCs w:val="24"/>
                <w:lang w:val="en-US"/>
              </w:rPr>
              <w:t>[</w:t>
            </w:r>
            <w:r>
              <w:rPr>
                <w:rStyle w:val="afffffffffff8"/>
                <w:sz w:val="24"/>
                <w:szCs w:val="24"/>
              </w:rPr>
              <w:t>4,72;</w:t>
            </w:r>
            <w:r w:rsidRPr="006239CF">
              <w:rPr>
                <w:rStyle w:val="afffffffffff8"/>
                <w:sz w:val="24"/>
                <w:szCs w:val="24"/>
              </w:rPr>
              <w:t>5,12</w:t>
            </w:r>
            <w:r w:rsidRPr="006239CF">
              <w:rPr>
                <w:rStyle w:val="afffffffffff8"/>
                <w:sz w:val="24"/>
                <w:szCs w:val="24"/>
                <w:lang w:val="en-US"/>
              </w:rPr>
              <w:t>]</w:t>
            </w:r>
          </w:p>
        </w:tc>
        <w:tc>
          <w:tcPr>
            <w:tcW w:w="20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jc w:val="center"/>
              <w:rPr>
                <w:sz w:val="24"/>
                <w:szCs w:val="24"/>
              </w:rPr>
            </w:pPr>
            <w:r>
              <w:rPr>
                <w:rStyle w:val="afffffffffff8"/>
                <w:sz w:val="24"/>
                <w:szCs w:val="24"/>
              </w:rPr>
              <w:t>5,0[4,6;</w:t>
            </w:r>
            <w:r w:rsidRPr="006239CF">
              <w:rPr>
                <w:rStyle w:val="afffffffffff8"/>
                <w:sz w:val="24"/>
                <w:szCs w:val="24"/>
              </w:rPr>
              <w:t>5,2]</w:t>
            </w:r>
          </w:p>
        </w:tc>
      </w:tr>
      <w:tr w:rsidR="00286780" w:rsidRPr="006239CF" w:rsidTr="006239CF">
        <w:trPr>
          <w:trHeight w:val="600"/>
        </w:trPr>
        <w:tc>
          <w:tcPr>
            <w:tcW w:w="9923"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Pr="006239CF" w:rsidRDefault="00286780" w:rsidP="00685907">
            <w:pPr>
              <w:pStyle w:val="af6"/>
              <w:ind w:firstLine="5"/>
              <w:rPr>
                <w:sz w:val="24"/>
                <w:szCs w:val="24"/>
              </w:rPr>
            </w:pPr>
            <w:r w:rsidRPr="006239CF">
              <w:rPr>
                <w:rStyle w:val="afffffffffff8"/>
                <w:sz w:val="24"/>
                <w:szCs w:val="24"/>
              </w:rPr>
              <w:t>Примечание. Ра</w:t>
            </w:r>
            <w:r>
              <w:rPr>
                <w:rStyle w:val="afffffffffff8"/>
                <w:sz w:val="24"/>
                <w:szCs w:val="24"/>
              </w:rPr>
              <w:t>зличия статистически значимы (р&lt;</w:t>
            </w:r>
            <w:r w:rsidRPr="006239CF">
              <w:rPr>
                <w:rStyle w:val="afffffffffff8"/>
                <w:sz w:val="24"/>
                <w:szCs w:val="24"/>
              </w:rPr>
              <w:t xml:space="preserve">0,05) по сравнению с показателями: </w:t>
            </w:r>
            <w:r w:rsidRPr="006239CF">
              <w:rPr>
                <w:rStyle w:val="afffffffffff8"/>
                <w:sz w:val="24"/>
                <w:szCs w:val="24"/>
              </w:rPr>
              <w:br/>
              <w:t xml:space="preserve">* – контрольной </w:t>
            </w:r>
            <w:r>
              <w:rPr>
                <w:rStyle w:val="afffffffffff8"/>
                <w:sz w:val="24"/>
                <w:szCs w:val="24"/>
              </w:rPr>
              <w:t>под</w:t>
            </w:r>
            <w:r w:rsidRPr="006239CF">
              <w:rPr>
                <w:rStyle w:val="afffffffffff8"/>
                <w:sz w:val="24"/>
                <w:szCs w:val="24"/>
              </w:rPr>
              <w:t xml:space="preserve">группы № 1, ** – контрольной </w:t>
            </w:r>
            <w:r>
              <w:rPr>
                <w:rStyle w:val="afffffffffff8"/>
                <w:sz w:val="24"/>
                <w:szCs w:val="24"/>
              </w:rPr>
              <w:t>под</w:t>
            </w:r>
            <w:r w:rsidRPr="006239CF">
              <w:rPr>
                <w:rStyle w:val="afffffffffff8"/>
                <w:sz w:val="24"/>
                <w:szCs w:val="24"/>
              </w:rPr>
              <w:t>группы № 4</w:t>
            </w:r>
          </w:p>
        </w:tc>
      </w:tr>
    </w:tbl>
    <w:p w:rsidR="00286780" w:rsidRDefault="00286780" w:rsidP="006239CF">
      <w:pPr>
        <w:pStyle w:val="af6"/>
        <w:widowControl w:val="0"/>
        <w:spacing w:after="120"/>
        <w:rPr>
          <w:rStyle w:val="Hyperlink0"/>
          <w:rFonts w:cs="Arial Unicode MS"/>
        </w:rPr>
      </w:pPr>
    </w:p>
    <w:p w:rsidR="00286780" w:rsidRDefault="00286780" w:rsidP="006239CF">
      <w:pPr>
        <w:pStyle w:val="af6"/>
        <w:spacing w:line="360" w:lineRule="auto"/>
        <w:ind w:firstLine="709"/>
        <w:rPr>
          <w:rStyle w:val="Hyperlink0"/>
          <w:rFonts w:cs="Arial Unicode MS"/>
        </w:rPr>
      </w:pPr>
      <w:r>
        <w:rPr>
          <w:rStyle w:val="Hyperlink0"/>
          <w:rFonts w:cs="Arial Unicode MS"/>
        </w:rPr>
        <w:lastRenderedPageBreak/>
        <w:t xml:space="preserve">Статистически значимые различия (р&lt;0,05) гемодинамики, клеточного и биохимического составов крови подгрупп пациентов с МФОИ и хронической патологией сердечно-сосудистой системы (основная </w:t>
      </w:r>
      <w:r w:rsidR="00EE1FD6">
        <w:rPr>
          <w:rStyle w:val="Hyperlink0"/>
          <w:rFonts w:cs="Arial Unicode MS"/>
        </w:rPr>
        <w:t>под</w:t>
      </w:r>
      <w:r>
        <w:rPr>
          <w:rStyle w:val="Hyperlink0"/>
          <w:rFonts w:cs="Arial Unicode MS"/>
        </w:rPr>
        <w:t>группа № 1) и пациентов с хроническими заболеваниями сердечно-сосудистой системы без МФОИ (контрольная подгруппа № 1) наблюдаются по показателям частоты сердечных сокращений, абсолютному количеству эритроцитов, лейкоцитов, эозинофилов и моноцитов, величине СОЭ, концентрации креатинина и глюкозы.</w:t>
      </w:r>
    </w:p>
    <w:p w:rsidR="00286780" w:rsidRDefault="00286780" w:rsidP="006239CF">
      <w:pPr>
        <w:pStyle w:val="af6"/>
        <w:spacing w:line="360" w:lineRule="auto"/>
        <w:ind w:firstLine="709"/>
        <w:rPr>
          <w:rStyle w:val="Hyperlink0"/>
          <w:rFonts w:cs="Arial Unicode MS"/>
        </w:rPr>
      </w:pPr>
      <w:r>
        <w:rPr>
          <w:rStyle w:val="Hyperlink0"/>
          <w:rFonts w:cs="Arial Unicode MS"/>
        </w:rPr>
        <w:t xml:space="preserve">Кластерный анализ показателей ЛИИ в исследуемых </w:t>
      </w:r>
      <w:r w:rsidR="00EE1FD6">
        <w:rPr>
          <w:rStyle w:val="Hyperlink0"/>
          <w:rFonts w:cs="Arial Unicode MS"/>
        </w:rPr>
        <w:t>под</w:t>
      </w:r>
      <w:r>
        <w:rPr>
          <w:rStyle w:val="Hyperlink0"/>
          <w:rFonts w:cs="Arial Unicode MS"/>
        </w:rPr>
        <w:t>группах указывает на наличие двух кластеров: кластер значений ЛИИ пациентов с патологией сердечно-сосудистой системы, кластер значений ЛИИ у пациентов с МФОИ без хронической патологии, что указывает на признаки влияния ХП на состояние гомеостатических функций организма (Рисунок 5).</w:t>
      </w:r>
    </w:p>
    <w:p w:rsidR="00286780" w:rsidRDefault="00286780" w:rsidP="006239CF">
      <w:pPr>
        <w:pStyle w:val="af6"/>
        <w:spacing w:line="360" w:lineRule="auto"/>
        <w:ind w:firstLine="709"/>
        <w:rPr>
          <w:rStyle w:val="comma"/>
        </w:rPr>
      </w:pPr>
    </w:p>
    <w:p w:rsidR="00286780" w:rsidRDefault="00286780" w:rsidP="001E7A7A">
      <w:pPr>
        <w:pStyle w:val="af6"/>
        <w:spacing w:line="360" w:lineRule="auto"/>
      </w:pPr>
      <w:r>
        <w:object w:dxaOrig="9361" w:dyaOrig="7021">
          <v:shape id="_x0000_i1034" type="#_x0000_t75" style="width:468pt;height:345.6pt" o:ole="">
            <v:imagedata r:id="rId16" o:title=""/>
          </v:shape>
          <o:OLEObject Type="Embed" ProgID="STATISTICA.Graph" ShapeID="_x0000_i1034" DrawAspect="Content" ObjectID="_1693230461" r:id="rId17">
            <o:FieldCodes>\s</o:FieldCodes>
          </o:OLEObject>
        </w:object>
      </w:r>
    </w:p>
    <w:p w:rsidR="00286780" w:rsidRPr="00BB35D7" w:rsidRDefault="00286780" w:rsidP="00BB35D7">
      <w:pPr>
        <w:pStyle w:val="af6"/>
        <w:spacing w:line="360" w:lineRule="auto"/>
        <w:rPr>
          <w:rStyle w:val="Hyperlink0"/>
        </w:rPr>
      </w:pPr>
      <w:r w:rsidRPr="004114C0">
        <w:rPr>
          <w:b/>
        </w:rPr>
        <w:t>Рисунок 5</w:t>
      </w:r>
      <w:r>
        <w:t xml:space="preserve"> – Кластерный анализ показателей ЛИИ</w:t>
      </w:r>
    </w:p>
    <w:p w:rsidR="00286780" w:rsidRDefault="00286780" w:rsidP="002A2154">
      <w:pPr>
        <w:pStyle w:val="af6"/>
        <w:spacing w:line="360" w:lineRule="auto"/>
        <w:ind w:firstLine="709"/>
        <w:rPr>
          <w:rStyle w:val="Hyperlink0"/>
          <w:rFonts w:cs="Arial Unicode MS"/>
        </w:rPr>
      </w:pPr>
      <w:r>
        <w:rPr>
          <w:rStyle w:val="Hyperlink0"/>
          <w:rFonts w:cs="Arial Unicode MS"/>
        </w:rPr>
        <w:lastRenderedPageBreak/>
        <w:t>Статистически значимые различия (р&lt;0,05) гемодинамики, клеточного и биохимического составов крови подгрупп пациентов с МФОИ и хронической патологией сердечно-сосудистой системы (подгруппа № 1) и больных с МФОИ без коморбидной патологии (контрольная подгруппа № 4) наблюдаются по показателям артериального давления (систолического и диастолического), уровню лейкоцитоза и концентрации креатинина крови. Наличие хронических заболеваний сердечно-сосудистой системы, в частности гипертонической болезни, обуславливает повышение артериального давления в подгруппе № 1. В то же время, более выраженный лейкоцитоз имеет место у больных без коморбидного фона, что также может указывать на некоторый дефицит функциональных резервов организма при наличии хронической патологии внутренних органов.</w:t>
      </w:r>
    </w:p>
    <w:p w:rsidR="00286780" w:rsidRDefault="00286780" w:rsidP="002A2154">
      <w:pPr>
        <w:pStyle w:val="af6"/>
        <w:spacing w:line="360" w:lineRule="auto"/>
        <w:ind w:firstLine="709"/>
        <w:rPr>
          <w:rStyle w:val="Hyperlink0"/>
          <w:rFonts w:cs="Arial Unicode MS"/>
        </w:rPr>
      </w:pPr>
      <w:r>
        <w:rPr>
          <w:rStyle w:val="Hyperlink0"/>
          <w:rFonts w:cs="Arial Unicode MS"/>
        </w:rPr>
        <w:t>Как следует из Таблицы 28, показатели центральной гемодинамики подгрупп пациентов с МФОИ и заболеваниями сердечно сосудистой системы, и пациентов с патологией сердечно-сосудистой системы без МФОИ, все же имеют статистически достоверные различия по уровню ЧСС.</w:t>
      </w:r>
    </w:p>
    <w:p w:rsidR="00286780" w:rsidRDefault="00286780" w:rsidP="002A2154">
      <w:pPr>
        <w:pStyle w:val="af6"/>
        <w:spacing w:line="360" w:lineRule="auto"/>
        <w:ind w:firstLine="709"/>
        <w:rPr>
          <w:rStyle w:val="Hyperlink0"/>
          <w:rFonts w:cs="Arial Unicode MS"/>
        </w:rPr>
      </w:pPr>
      <w:r>
        <w:rPr>
          <w:rStyle w:val="Hyperlink0"/>
          <w:rFonts w:cs="Arial Unicode MS"/>
        </w:rPr>
        <w:t>Развитие МФОИ на фоне патологии сердечно-сосудистой системы характеризуется уменьшением абсолютного количества эритроцитов, гиперкреатининемией, гипергликемией (</w:t>
      </w:r>
      <w:r>
        <w:rPr>
          <w:rStyle w:val="afffffffffff8"/>
          <w:lang w:val="en-US"/>
        </w:rPr>
        <w:t>p</w:t>
      </w:r>
      <w:r>
        <w:rPr>
          <w:rStyle w:val="Hyperlink0"/>
          <w:rFonts w:cs="Arial Unicode MS"/>
        </w:rPr>
        <w:t>&lt;0,05). Однако существенной анемии при этом не диагностировано: содержание эритроцитов определяется в пределах 3,4–5,2×10</w:t>
      </w:r>
      <w:r>
        <w:rPr>
          <w:rStyle w:val="afffffffffff8"/>
          <w:vertAlign w:val="superscript"/>
        </w:rPr>
        <w:t>9</w:t>
      </w:r>
      <w:r>
        <w:rPr>
          <w:rStyle w:val="Hyperlink0"/>
          <w:rFonts w:cs="Arial Unicode MS"/>
        </w:rPr>
        <w:t xml:space="preserve">/л, значения данного показателя не выходят за пределы референсных величин. Наблюдаемая гиперкреатининемия и гипергликемия может быть ассоциирована с активацией гликогенолиза, глюконеогенеза, повышенным образованием азотистых соединений, усилением распада молекул белка, что является результатом действия медиаторов воспаления и биологически активных веществ (интерлейкины и др.), влиянием интоксикации. В частности, гипергликемия натощак более 5,5 ммоль/л диагностирована у 8 пациентов подгруппы № 1 (22,9%;), у двух пациентов контрольной подгруппы № 1 (6,3%), </w:t>
      </w:r>
      <w:r>
        <w:rPr>
          <w:rStyle w:val="afffffffffff8"/>
          <w:lang w:val="en-US"/>
        </w:rPr>
        <w:t>p</w:t>
      </w:r>
      <w:r>
        <w:rPr>
          <w:rStyle w:val="Hyperlink0"/>
          <w:rFonts w:cs="Arial Unicode MS"/>
        </w:rPr>
        <w:t>&lt;0,05. Выраженной гипергликемии, в целом, в подгруппе № 1 не наблюдается (в среднем</w:t>
      </w:r>
      <w:r w:rsidRPr="00B23A72">
        <w:rPr>
          <w:rStyle w:val="Hyperlink0"/>
          <w:rFonts w:cs="Arial Unicode MS"/>
        </w:rPr>
        <w:t xml:space="preserve">, </w:t>
      </w:r>
      <w:r>
        <w:rPr>
          <w:rStyle w:val="afffffffffff8"/>
        </w:rPr>
        <w:t>5,4[4,62;</w:t>
      </w:r>
      <w:r w:rsidRPr="002136EC">
        <w:rPr>
          <w:rStyle w:val="afffffffffff8"/>
        </w:rPr>
        <w:t>6,6]</w:t>
      </w:r>
      <w:r>
        <w:rPr>
          <w:rStyle w:val="afffffffffff8"/>
        </w:rPr>
        <w:t xml:space="preserve"> </w:t>
      </w:r>
      <w:r>
        <w:rPr>
          <w:rStyle w:val="Hyperlink0"/>
          <w:rFonts w:cs="Arial Unicode MS"/>
        </w:rPr>
        <w:t xml:space="preserve">ммоль/л), а гиперкреатининемия не превышает 110–135 мкмоль/л. Отсутствует значимая депрессия клеточного иммунитета, показатели электролитного баланса (калий, </w:t>
      </w:r>
      <w:r>
        <w:rPr>
          <w:rStyle w:val="Hyperlink0"/>
          <w:rFonts w:cs="Arial Unicode MS"/>
        </w:rPr>
        <w:lastRenderedPageBreak/>
        <w:t>натрий, хлор) также статистически значимо не изменяются. Лейкоцитоз и ускорение СОЭ объясняются развитием локального одонтогенного воспалительного процесса (МФОИ). В отдельных случаях у пациентов с одонтогенными абсцессами или флегмонами лейкоцитоз достигает значений 16–28×10</w:t>
      </w:r>
      <w:r>
        <w:rPr>
          <w:rStyle w:val="afffffffffff8"/>
          <w:vertAlign w:val="superscript"/>
        </w:rPr>
        <w:t>9</w:t>
      </w:r>
      <w:r>
        <w:rPr>
          <w:rStyle w:val="Hyperlink0"/>
          <w:rFonts w:cs="Arial Unicode MS"/>
        </w:rPr>
        <w:t xml:space="preserve">/л </w:t>
      </w:r>
      <w:r w:rsidRPr="00DD6C1D">
        <w:rPr>
          <w:rStyle w:val="Hyperlink0"/>
          <w:rFonts w:cs="Arial Unicode MS"/>
        </w:rPr>
        <w:t>(</w:t>
      </w:r>
      <w:r>
        <w:rPr>
          <w:rStyle w:val="Hyperlink0"/>
          <w:rFonts w:cs="Arial Unicode MS"/>
        </w:rPr>
        <w:t>8,6%</w:t>
      </w:r>
      <w:r w:rsidRPr="00DD6C1D">
        <w:rPr>
          <w:rStyle w:val="Hyperlink0"/>
          <w:rFonts w:cs="Arial Unicode MS"/>
        </w:rPr>
        <w:t>)</w:t>
      </w:r>
      <w:r>
        <w:rPr>
          <w:rStyle w:val="Hyperlink0"/>
          <w:rFonts w:cs="Arial Unicode MS"/>
        </w:rPr>
        <w:t>. В случае наличия флегмоны наблюдается существенный палочкоядерный сдвиг лейкоцитарной формулы до 15–27% палочкоядерных нейтрофилов без появления юных форм (метамиелоцитов и миелоцитов).</w:t>
      </w:r>
    </w:p>
    <w:p w:rsidR="00286780" w:rsidRDefault="00286780" w:rsidP="006239CF">
      <w:pPr>
        <w:pStyle w:val="af6"/>
        <w:spacing w:line="360" w:lineRule="auto"/>
        <w:ind w:firstLine="709"/>
        <w:rPr>
          <w:rStyle w:val="afffffffffff8"/>
          <w:spacing w:val="-2"/>
        </w:rPr>
      </w:pPr>
      <w:r>
        <w:rPr>
          <w:rStyle w:val="afffffffffff8"/>
          <w:spacing w:val="-2"/>
        </w:rPr>
        <w:t>Средняя продолжительность стационарного лечения больных исследуемой подгруппы составила 9[7;10</w:t>
      </w:r>
      <w:r w:rsidRPr="00B23A72">
        <w:rPr>
          <w:rStyle w:val="afffffffffff8"/>
          <w:spacing w:val="-2"/>
        </w:rPr>
        <w:t xml:space="preserve">] </w:t>
      </w:r>
      <w:r>
        <w:rPr>
          <w:rStyle w:val="afffffffffff8"/>
          <w:spacing w:val="-2"/>
        </w:rPr>
        <w:t>койко-дней. Гнойные осложнения (развитие флегмон, распространение гнойно-воспалительного процесса) диагностированы в 11,4% случаев (4 пациента). Летальности пациентов с МФОИ и заболеваниями сердечно-сосудистой системы не зарегистрировано. Сравнение вышеобозначенных показателей с аналогичными показателями пациентов с МФОИ без фоновых заболеваний (контрольная подгруппа № 4), статистически значимых различий по количеству гнойно-воспалительных осложнений не выявило (</w:t>
      </w:r>
      <w:r>
        <w:rPr>
          <w:rStyle w:val="afffffffffff8"/>
          <w:spacing w:val="-2"/>
          <w:lang w:val="en-US"/>
        </w:rPr>
        <w:t>p</w:t>
      </w:r>
      <w:r>
        <w:rPr>
          <w:rStyle w:val="afffffffffff8"/>
          <w:spacing w:val="-2"/>
        </w:rPr>
        <w:t>&gt;0,05).</w:t>
      </w:r>
    </w:p>
    <w:p w:rsidR="00286780" w:rsidRDefault="00286780" w:rsidP="006239CF">
      <w:pPr>
        <w:pStyle w:val="af6"/>
        <w:spacing w:line="360" w:lineRule="auto"/>
        <w:ind w:firstLine="709"/>
        <w:rPr>
          <w:rStyle w:val="Hyperlink0"/>
          <w:rFonts w:cs="Arial Unicode MS"/>
        </w:rPr>
      </w:pPr>
      <w:r>
        <w:rPr>
          <w:rStyle w:val="Hyperlink0"/>
          <w:rFonts w:cs="Arial Unicode MS"/>
        </w:rPr>
        <w:t>Таким образом, пациенты с МФОИ и хронической патологией сердечно-сосудистой системы – это пациенты с одонтогенными абсцессами или флегмонами в пределах 1–3 клетчаточных пространств без признаков органной недостаточности, в сочетании, как правило, с артериальной гипертонией (более 90%), реже – с ишемической болезнью сердца. Возможно наличие хронической сердечной недостаточности (65,7%). Коморбидные заболевания сердечно-сосудистой системы (сочетание артериальной гипертонии и ишемической болезни сердца) наблюдаются в 2,85%. Показатели гомеостаза характеризуются высокими значениями систолического и диастолического артериального давления (более 140 мм рт. ст., более 90 мм рт. ст. соответственно), умеренным лейкоцитозом в пределах 10–12*10</w:t>
      </w:r>
      <w:r>
        <w:rPr>
          <w:rStyle w:val="afffffffffff8"/>
          <w:vertAlign w:val="superscript"/>
        </w:rPr>
        <w:t>9</w:t>
      </w:r>
      <w:r>
        <w:rPr>
          <w:rStyle w:val="Hyperlink0"/>
          <w:rFonts w:cs="Arial Unicode MS"/>
        </w:rPr>
        <w:t>/л. Для флегмон характерен палочкоядерный сдвиг лейкоцитарной формулы без появления юных форм (метамиелоцитов и миелоцитов), ускорение СОЭ более 20мм/ч, умеренные гиперкреатининемия и гипергликемия. В отдельных случаях возможен выраженный лейкоцитоз до 27–28*10</w:t>
      </w:r>
      <w:r>
        <w:rPr>
          <w:rStyle w:val="afffffffffff8"/>
          <w:vertAlign w:val="superscript"/>
        </w:rPr>
        <w:t>9</w:t>
      </w:r>
      <w:r>
        <w:rPr>
          <w:rStyle w:val="Hyperlink0"/>
          <w:rFonts w:cs="Arial Unicode MS"/>
        </w:rPr>
        <w:t xml:space="preserve">/л. Хроническая сердечная недостаточность, в основном, </w:t>
      </w:r>
      <w:r>
        <w:rPr>
          <w:rStyle w:val="afffffffffff8"/>
          <w:lang w:val="en-US"/>
        </w:rPr>
        <w:t>I</w:t>
      </w:r>
      <w:r>
        <w:rPr>
          <w:rStyle w:val="Hyperlink0"/>
          <w:rFonts w:cs="Arial Unicode MS"/>
        </w:rPr>
        <w:t>-</w:t>
      </w:r>
      <w:r>
        <w:rPr>
          <w:rStyle w:val="afffffffffff8"/>
          <w:lang w:val="en-US"/>
        </w:rPr>
        <w:t>II</w:t>
      </w:r>
      <w:r>
        <w:rPr>
          <w:rStyle w:val="Hyperlink0"/>
          <w:rFonts w:cs="Arial Unicode MS"/>
        </w:rPr>
        <w:t xml:space="preserve"> функциональных классов, наблюдается бо</w:t>
      </w:r>
      <w:r>
        <w:rPr>
          <w:rStyle w:val="Hyperlink0"/>
          <w:rFonts w:cs="Arial Unicode MS"/>
        </w:rPr>
        <w:lastRenderedPageBreak/>
        <w:t>лее чем в 50% случаев, декомпенсированной сердечной недостаточности не диагностировано. При поступлении в стационар возможны избыточные гипертензивные реакции или явления гипертонического криза (2,9%), требующие консультации кардиолога/терапевта/реаниматолога и экстренной медикаментозной коррекции.</w:t>
      </w:r>
    </w:p>
    <w:p w:rsidR="00286780" w:rsidRDefault="00286780" w:rsidP="006239CF">
      <w:pPr>
        <w:pStyle w:val="af6"/>
        <w:spacing w:line="360" w:lineRule="auto"/>
        <w:ind w:firstLine="709"/>
        <w:rPr>
          <w:rStyle w:val="Hyperlink0"/>
          <w:rFonts w:cs="Arial Unicode MS"/>
        </w:rPr>
      </w:pPr>
      <w:r>
        <w:rPr>
          <w:rStyle w:val="Hyperlink0"/>
          <w:rFonts w:cs="Arial Unicode MS"/>
        </w:rPr>
        <w:t>Рассмотрим влияние хронической сердечной недостаточности (ХСН) на значение основного показателя эффективности стационарного лечения пациентов с МФОИ (развитие гнойно-воспалительных осложнений) в сравнении с подгруппой пациентов с МФОИ без ХП (Таблица 29).</w:t>
      </w:r>
    </w:p>
    <w:p w:rsidR="00286780" w:rsidRDefault="00286780" w:rsidP="006239CF">
      <w:pPr>
        <w:pStyle w:val="af6"/>
        <w:rPr>
          <w:rStyle w:val="comma"/>
        </w:rPr>
      </w:pPr>
    </w:p>
    <w:p w:rsidR="00286780" w:rsidRDefault="00286780" w:rsidP="006239CF">
      <w:pPr>
        <w:pStyle w:val="af6"/>
        <w:spacing w:after="120"/>
        <w:rPr>
          <w:rStyle w:val="Hyperlink0"/>
          <w:rFonts w:cs="Arial Unicode MS"/>
        </w:rPr>
      </w:pPr>
      <w:r>
        <w:rPr>
          <w:rStyle w:val="afffffffffff8"/>
          <w:b/>
          <w:bCs/>
        </w:rPr>
        <w:t>Таблица 29</w:t>
      </w:r>
      <w:r>
        <w:rPr>
          <w:rStyle w:val="Hyperlink0"/>
          <w:rFonts w:cs="Arial Unicode MS"/>
        </w:rPr>
        <w:t xml:space="preserve"> – Оценка влияния ХСН (по </w:t>
      </w:r>
      <w:r>
        <w:rPr>
          <w:rStyle w:val="Hyperlink0"/>
          <w:rFonts w:cs="Arial Unicode MS"/>
          <w:lang w:val="en-US"/>
        </w:rPr>
        <w:t>NYHA</w:t>
      </w:r>
      <w:r w:rsidRPr="00B23A72">
        <w:rPr>
          <w:rStyle w:val="Hyperlink0"/>
          <w:rFonts w:cs="Arial Unicode MS"/>
        </w:rPr>
        <w:t xml:space="preserve">, 1964 </w:t>
      </w:r>
      <w:r>
        <w:rPr>
          <w:rStyle w:val="Hyperlink0"/>
          <w:rFonts w:cs="Arial Unicode MS"/>
        </w:rPr>
        <w:t>г.) на развитие гнойно-воспалительных осложнений и раневые характеристики у пациентов с МФОИ (сравнение с подгруппой пациентов без ХП)</w:t>
      </w:r>
    </w:p>
    <w:tbl>
      <w:tblPr>
        <w:tblW w:w="959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3537"/>
        <w:gridCol w:w="2445"/>
        <w:gridCol w:w="1650"/>
        <w:gridCol w:w="1960"/>
      </w:tblGrid>
      <w:tr w:rsidR="00286780" w:rsidTr="006239CF">
        <w:trPr>
          <w:trHeight w:val="1200"/>
          <w:jc w:val="center"/>
        </w:trPr>
        <w:tc>
          <w:tcPr>
            <w:tcW w:w="35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i/>
                <w:iCs/>
                <w:sz w:val="24"/>
                <w:szCs w:val="24"/>
              </w:rPr>
              <w:t>Функциональный класс ХСН у пациентов с МФОИ (кол-во пациентов)</w:t>
            </w:r>
          </w:p>
        </w:tc>
        <w:tc>
          <w:tcPr>
            <w:tcW w:w="24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i/>
                <w:iCs/>
                <w:sz w:val="24"/>
                <w:szCs w:val="24"/>
              </w:rPr>
              <w:t>Количество осложнений (распространение воспалительного процесса, %)</w:t>
            </w:r>
          </w:p>
        </w:tc>
        <w:tc>
          <w:tcPr>
            <w:tcW w:w="1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i/>
                <w:iCs/>
                <w:sz w:val="24"/>
                <w:szCs w:val="24"/>
              </w:rPr>
              <w:t>Сроки очищения раны (сутки)</w:t>
            </w:r>
          </w:p>
        </w:tc>
        <w:tc>
          <w:tcPr>
            <w:tcW w:w="19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i/>
                <w:iCs/>
                <w:sz w:val="24"/>
                <w:szCs w:val="24"/>
              </w:rPr>
              <w:t>Появление грануляций (сутки)</w:t>
            </w:r>
          </w:p>
        </w:tc>
      </w:tr>
      <w:tr w:rsidR="00286780" w:rsidTr="006239CF">
        <w:trPr>
          <w:trHeight w:val="304"/>
          <w:jc w:val="center"/>
        </w:trPr>
        <w:tc>
          <w:tcPr>
            <w:tcW w:w="35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pPr>
            <w:r>
              <w:rPr>
                <w:rStyle w:val="afffffffffff8"/>
                <w:sz w:val="24"/>
                <w:szCs w:val="24"/>
              </w:rPr>
              <w:t>ХСН отсутствует (</w:t>
            </w:r>
            <w:r>
              <w:rPr>
                <w:rStyle w:val="afffffffffff8"/>
                <w:sz w:val="24"/>
                <w:szCs w:val="24"/>
                <w:lang w:val="en-US"/>
              </w:rPr>
              <w:t>n=</w:t>
            </w:r>
            <w:r>
              <w:rPr>
                <w:rStyle w:val="afffffffffff8"/>
                <w:sz w:val="24"/>
                <w:szCs w:val="24"/>
              </w:rPr>
              <w:t>23</w:t>
            </w:r>
            <w:r>
              <w:rPr>
                <w:rStyle w:val="afffffffffff8"/>
                <w:sz w:val="24"/>
                <w:szCs w:val="24"/>
                <w:lang w:val="en-US"/>
              </w:rPr>
              <w:t>)</w:t>
            </w:r>
          </w:p>
        </w:tc>
        <w:tc>
          <w:tcPr>
            <w:tcW w:w="24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0</w:t>
            </w:r>
          </w:p>
        </w:tc>
        <w:tc>
          <w:tcPr>
            <w:tcW w:w="1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4[4;5]</w:t>
            </w:r>
          </w:p>
        </w:tc>
        <w:tc>
          <w:tcPr>
            <w:tcW w:w="19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6[6;6]</w:t>
            </w:r>
          </w:p>
        </w:tc>
      </w:tr>
      <w:tr w:rsidR="00286780" w:rsidTr="00551F6E">
        <w:trPr>
          <w:trHeight w:val="315"/>
          <w:jc w:val="center"/>
        </w:trPr>
        <w:tc>
          <w:tcPr>
            <w:tcW w:w="35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pPr>
            <w:r>
              <w:rPr>
                <w:rStyle w:val="afffffffffff8"/>
                <w:sz w:val="24"/>
                <w:szCs w:val="24"/>
                <w:lang w:val="en-US"/>
              </w:rPr>
              <w:t>I</w:t>
            </w:r>
            <w:r>
              <w:rPr>
                <w:rStyle w:val="afffffffffff8"/>
                <w:sz w:val="24"/>
                <w:szCs w:val="24"/>
              </w:rPr>
              <w:t xml:space="preserve"> ФК (</w:t>
            </w:r>
            <w:r>
              <w:rPr>
                <w:rStyle w:val="afffffffffff8"/>
                <w:sz w:val="24"/>
                <w:szCs w:val="24"/>
                <w:lang w:val="en-US"/>
              </w:rPr>
              <w:t>n</w:t>
            </w:r>
            <w:r>
              <w:rPr>
                <w:rStyle w:val="afffffffffff8"/>
                <w:sz w:val="24"/>
                <w:szCs w:val="24"/>
              </w:rPr>
              <w:t>=3)</w:t>
            </w:r>
          </w:p>
        </w:tc>
        <w:tc>
          <w:tcPr>
            <w:tcW w:w="24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0</w:t>
            </w:r>
          </w:p>
        </w:tc>
        <w:tc>
          <w:tcPr>
            <w:tcW w:w="1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5[4;6]</w:t>
            </w:r>
          </w:p>
        </w:tc>
        <w:tc>
          <w:tcPr>
            <w:tcW w:w="19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6[5;7]</w:t>
            </w:r>
          </w:p>
        </w:tc>
      </w:tr>
      <w:tr w:rsidR="00286780" w:rsidTr="00551F6E">
        <w:trPr>
          <w:trHeight w:val="252"/>
          <w:jc w:val="center"/>
        </w:trPr>
        <w:tc>
          <w:tcPr>
            <w:tcW w:w="35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pPr>
            <w:r>
              <w:rPr>
                <w:rStyle w:val="afffffffffff8"/>
                <w:sz w:val="24"/>
                <w:szCs w:val="24"/>
                <w:lang w:val="en-US"/>
              </w:rPr>
              <w:t>II</w:t>
            </w:r>
            <w:r>
              <w:rPr>
                <w:rStyle w:val="afffffffffff8"/>
                <w:sz w:val="24"/>
                <w:szCs w:val="24"/>
              </w:rPr>
              <w:t xml:space="preserve"> ФК (</w:t>
            </w:r>
            <w:r>
              <w:rPr>
                <w:rStyle w:val="afffffffffff8"/>
                <w:sz w:val="24"/>
                <w:szCs w:val="24"/>
                <w:lang w:val="en-US"/>
              </w:rPr>
              <w:t>n=</w:t>
            </w:r>
            <w:r>
              <w:rPr>
                <w:rStyle w:val="afffffffffff8"/>
                <w:sz w:val="24"/>
                <w:szCs w:val="24"/>
              </w:rPr>
              <w:t>5</w:t>
            </w:r>
            <w:r>
              <w:rPr>
                <w:rStyle w:val="afffffffffff8"/>
                <w:sz w:val="24"/>
                <w:szCs w:val="24"/>
                <w:lang w:val="en-US"/>
              </w:rPr>
              <w:t>)</w:t>
            </w:r>
          </w:p>
        </w:tc>
        <w:tc>
          <w:tcPr>
            <w:tcW w:w="24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0</w:t>
            </w:r>
          </w:p>
        </w:tc>
        <w:tc>
          <w:tcPr>
            <w:tcW w:w="1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5[5;5]</w:t>
            </w:r>
          </w:p>
        </w:tc>
        <w:tc>
          <w:tcPr>
            <w:tcW w:w="19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6[6;7]</w:t>
            </w:r>
          </w:p>
        </w:tc>
      </w:tr>
      <w:tr w:rsidR="00286780" w:rsidTr="006239CF">
        <w:trPr>
          <w:trHeight w:val="304"/>
          <w:jc w:val="center"/>
        </w:trPr>
        <w:tc>
          <w:tcPr>
            <w:tcW w:w="35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pPr>
            <w:r>
              <w:rPr>
                <w:rStyle w:val="afffffffffff8"/>
                <w:sz w:val="24"/>
                <w:szCs w:val="24"/>
                <w:lang w:val="en-US"/>
              </w:rPr>
              <w:t>III</w:t>
            </w:r>
            <w:r>
              <w:rPr>
                <w:rStyle w:val="afffffffffff8"/>
                <w:sz w:val="24"/>
                <w:szCs w:val="24"/>
              </w:rPr>
              <w:t xml:space="preserve"> ФК(</w:t>
            </w:r>
            <w:r>
              <w:rPr>
                <w:rStyle w:val="afffffffffff8"/>
                <w:sz w:val="24"/>
                <w:szCs w:val="24"/>
                <w:lang w:val="en-US"/>
              </w:rPr>
              <w:t>n=</w:t>
            </w:r>
            <w:r>
              <w:rPr>
                <w:rStyle w:val="afffffffffff8"/>
                <w:sz w:val="24"/>
                <w:szCs w:val="24"/>
              </w:rPr>
              <w:t>4</w:t>
            </w:r>
            <w:r>
              <w:rPr>
                <w:rStyle w:val="afffffffffff8"/>
                <w:sz w:val="24"/>
                <w:szCs w:val="24"/>
                <w:lang w:val="en-US"/>
              </w:rPr>
              <w:t>)</w:t>
            </w:r>
          </w:p>
        </w:tc>
        <w:tc>
          <w:tcPr>
            <w:tcW w:w="24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i/>
                <w:iCs/>
                <w:sz w:val="24"/>
                <w:szCs w:val="24"/>
              </w:rPr>
              <w:t>75*</w:t>
            </w:r>
          </w:p>
        </w:tc>
        <w:tc>
          <w:tcPr>
            <w:tcW w:w="1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i/>
                <w:iCs/>
                <w:sz w:val="24"/>
                <w:szCs w:val="24"/>
              </w:rPr>
              <w:t>8</w:t>
            </w:r>
            <w:r>
              <w:rPr>
                <w:rStyle w:val="afffffffffff8"/>
                <w:i/>
                <w:iCs/>
                <w:sz w:val="24"/>
                <w:szCs w:val="24"/>
                <w:lang w:val="en-US"/>
              </w:rPr>
              <w:t>[</w:t>
            </w:r>
            <w:r>
              <w:rPr>
                <w:rStyle w:val="afffffffffff8"/>
                <w:i/>
                <w:iCs/>
                <w:sz w:val="24"/>
                <w:szCs w:val="24"/>
              </w:rPr>
              <w:t>7,5;8,5</w:t>
            </w:r>
            <w:r>
              <w:rPr>
                <w:rStyle w:val="afffffffffff8"/>
                <w:i/>
                <w:iCs/>
                <w:sz w:val="24"/>
                <w:szCs w:val="24"/>
                <w:lang w:val="en-US"/>
              </w:rPr>
              <w:t>]</w:t>
            </w:r>
            <w:r>
              <w:rPr>
                <w:rStyle w:val="afffffffffff8"/>
                <w:i/>
                <w:iCs/>
                <w:sz w:val="24"/>
                <w:szCs w:val="24"/>
              </w:rPr>
              <w:t>*</w:t>
            </w:r>
          </w:p>
        </w:tc>
        <w:tc>
          <w:tcPr>
            <w:tcW w:w="19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i/>
                <w:iCs/>
                <w:sz w:val="24"/>
                <w:szCs w:val="24"/>
              </w:rPr>
              <w:t>7,5</w:t>
            </w:r>
            <w:r>
              <w:rPr>
                <w:rStyle w:val="afffffffffff8"/>
                <w:i/>
                <w:iCs/>
                <w:sz w:val="24"/>
                <w:szCs w:val="24"/>
                <w:lang w:val="en-US"/>
              </w:rPr>
              <w:t>[</w:t>
            </w:r>
            <w:r>
              <w:rPr>
                <w:rStyle w:val="afffffffffff8"/>
                <w:i/>
                <w:iCs/>
                <w:sz w:val="24"/>
                <w:szCs w:val="24"/>
              </w:rPr>
              <w:t>6,5;8,5</w:t>
            </w:r>
            <w:r>
              <w:rPr>
                <w:rStyle w:val="afffffffffff8"/>
                <w:i/>
                <w:iCs/>
                <w:sz w:val="24"/>
                <w:szCs w:val="24"/>
                <w:lang w:val="en-US"/>
              </w:rPr>
              <w:t>]</w:t>
            </w:r>
            <w:r>
              <w:rPr>
                <w:rStyle w:val="afffffffffff8"/>
                <w:i/>
                <w:iCs/>
                <w:sz w:val="24"/>
                <w:szCs w:val="24"/>
              </w:rPr>
              <w:t>*</w:t>
            </w:r>
          </w:p>
        </w:tc>
      </w:tr>
      <w:tr w:rsidR="00286780" w:rsidTr="00A12698">
        <w:trPr>
          <w:trHeight w:val="477"/>
          <w:jc w:val="center"/>
        </w:trPr>
        <w:tc>
          <w:tcPr>
            <w:tcW w:w="35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pPr>
            <w:r>
              <w:rPr>
                <w:rStyle w:val="afffffffffff8"/>
                <w:sz w:val="24"/>
                <w:szCs w:val="24"/>
              </w:rPr>
              <w:t>Контрольная подгруппа (</w:t>
            </w:r>
            <w:r>
              <w:rPr>
                <w:rStyle w:val="afffffffffff8"/>
                <w:sz w:val="24"/>
                <w:szCs w:val="24"/>
                <w:lang w:val="en-US"/>
              </w:rPr>
              <w:t>n</w:t>
            </w:r>
            <w:r>
              <w:rPr>
                <w:rStyle w:val="afffffffffff8"/>
                <w:sz w:val="24"/>
                <w:szCs w:val="24"/>
              </w:rPr>
              <w:t>=28)</w:t>
            </w:r>
          </w:p>
        </w:tc>
        <w:tc>
          <w:tcPr>
            <w:tcW w:w="24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3,6</w:t>
            </w:r>
          </w:p>
        </w:tc>
        <w:tc>
          <w:tcPr>
            <w:tcW w:w="1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 xml:space="preserve">5[4;5] </w:t>
            </w:r>
          </w:p>
        </w:tc>
        <w:tc>
          <w:tcPr>
            <w:tcW w:w="19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jc w:val="center"/>
            </w:pPr>
            <w:r>
              <w:rPr>
                <w:rStyle w:val="afffffffffff8"/>
                <w:sz w:val="24"/>
                <w:szCs w:val="24"/>
              </w:rPr>
              <w:t>6[5;6]</w:t>
            </w:r>
          </w:p>
        </w:tc>
      </w:tr>
      <w:tr w:rsidR="00286780" w:rsidRPr="00B23A72" w:rsidTr="006239CF">
        <w:trPr>
          <w:trHeight w:val="600"/>
          <w:jc w:val="center"/>
        </w:trPr>
        <w:tc>
          <w:tcPr>
            <w:tcW w:w="9592"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6780" w:rsidRDefault="00286780" w:rsidP="006239CF">
            <w:pPr>
              <w:pStyle w:val="af6"/>
            </w:pPr>
            <w:r>
              <w:rPr>
                <w:rStyle w:val="afffffffffff8"/>
                <w:i/>
                <w:iCs/>
                <w:sz w:val="24"/>
                <w:szCs w:val="24"/>
              </w:rPr>
              <w:t>Примечание</w:t>
            </w:r>
            <w:r>
              <w:rPr>
                <w:rStyle w:val="afffffffffff8"/>
                <w:sz w:val="24"/>
                <w:szCs w:val="24"/>
              </w:rPr>
              <w:t xml:space="preserve">. * – различия статистически значимы в сравнении с группой контроля (р&lt;0,05), </w:t>
            </w:r>
            <w:r>
              <w:rPr>
                <w:rStyle w:val="afffffffffff8"/>
                <w:sz w:val="24"/>
                <w:szCs w:val="24"/>
                <w:lang w:val="en-US"/>
              </w:rPr>
              <w:t>NYHA</w:t>
            </w:r>
            <w:r>
              <w:rPr>
                <w:rStyle w:val="afffffffffff8"/>
                <w:sz w:val="24"/>
                <w:szCs w:val="24"/>
              </w:rPr>
              <w:t xml:space="preserve"> – Нью-Йоркская кардиологическая ассоциация</w:t>
            </w:r>
          </w:p>
        </w:tc>
      </w:tr>
    </w:tbl>
    <w:p w:rsidR="00286780" w:rsidRDefault="00286780" w:rsidP="006239CF">
      <w:pPr>
        <w:pStyle w:val="af6"/>
        <w:rPr>
          <w:rStyle w:val="comma"/>
        </w:rPr>
      </w:pPr>
    </w:p>
    <w:p w:rsidR="00286780" w:rsidRDefault="00286780" w:rsidP="006239CF">
      <w:pPr>
        <w:pStyle w:val="af6"/>
        <w:tabs>
          <w:tab w:val="left" w:pos="1760"/>
        </w:tabs>
        <w:spacing w:line="360" w:lineRule="auto"/>
        <w:ind w:firstLine="709"/>
        <w:rPr>
          <w:rStyle w:val="Hyperlink0"/>
          <w:rFonts w:cs="Arial Unicode MS"/>
        </w:rPr>
      </w:pPr>
      <w:r>
        <w:rPr>
          <w:rStyle w:val="Hyperlink0"/>
          <w:rFonts w:cs="Arial Unicode MS"/>
        </w:rPr>
        <w:t xml:space="preserve">Из Таблицы 29 следует, что ХП сердечно-сосудистой системы при наличии ХСН </w:t>
      </w:r>
      <w:r>
        <w:rPr>
          <w:rStyle w:val="afffffffffff8"/>
          <w:lang w:val="en-US"/>
        </w:rPr>
        <w:t>III</w:t>
      </w:r>
      <w:r>
        <w:rPr>
          <w:rStyle w:val="Hyperlink0"/>
          <w:rFonts w:cs="Arial Unicode MS"/>
        </w:rPr>
        <w:t xml:space="preserve"> функционального класса оказывает статистически значимое влияние на течение основного патологического процесса – МФОИ, так как определяет высокую частоту развития гнойно-воспалительного осложнения – распространения флегмонозного процесса на соседние клетчаточные пространства, сроки очищения раны и появление грануляций.</w:t>
      </w:r>
    </w:p>
    <w:p w:rsidR="00286780" w:rsidRDefault="00286780" w:rsidP="006239CF">
      <w:pPr>
        <w:pStyle w:val="af6"/>
        <w:spacing w:line="360" w:lineRule="auto"/>
        <w:ind w:firstLine="709"/>
        <w:rPr>
          <w:rStyle w:val="Hyperlink0"/>
          <w:rFonts w:cs="Arial Unicode MS"/>
        </w:rPr>
      </w:pPr>
      <w:r>
        <w:rPr>
          <w:rStyle w:val="Hyperlink0"/>
          <w:rFonts w:cs="Arial Unicode MS"/>
        </w:rPr>
        <w:t xml:space="preserve">Таким образом, течение МФОИ в сочетании с ХП сердечно-сосудистой системы и ХСН </w:t>
      </w:r>
      <w:r>
        <w:rPr>
          <w:rStyle w:val="afffffffffff8"/>
          <w:lang w:val="en-US"/>
        </w:rPr>
        <w:t>III</w:t>
      </w:r>
      <w:r>
        <w:rPr>
          <w:rStyle w:val="Hyperlink0"/>
          <w:rFonts w:cs="Arial Unicode MS"/>
        </w:rPr>
        <w:t xml:space="preserve"> функционального класса характеризуется склонностью к распро</w:t>
      </w:r>
      <w:r>
        <w:rPr>
          <w:rStyle w:val="Hyperlink0"/>
          <w:rFonts w:cs="Arial Unicode MS"/>
        </w:rPr>
        <w:lastRenderedPageBreak/>
        <w:t>странению флегмонозного процесса на прилежащие клетчаточные пространства, что определяет необходимость разработки соответствующих лечебных алгоритмов, учитывающих вышеобозначенный фактор.</w:t>
      </w:r>
    </w:p>
    <w:p w:rsidR="00286780" w:rsidRDefault="00286780" w:rsidP="004A0CF0">
      <w:pPr>
        <w:jc w:val="both"/>
        <w:rPr>
          <w:sz w:val="28"/>
          <w:szCs w:val="28"/>
          <w:lang w:eastAsia="en-US"/>
        </w:rPr>
      </w:pPr>
    </w:p>
    <w:p w:rsidR="00286780" w:rsidRDefault="00286780" w:rsidP="00457501">
      <w:pPr>
        <w:pStyle w:val="31"/>
        <w:spacing w:line="360" w:lineRule="auto"/>
        <w:jc w:val="both"/>
      </w:pPr>
      <w:bookmarkStart w:id="16" w:name="_Toc67905698"/>
      <w:r w:rsidRPr="00920C24">
        <w:t>Клинико-лабораторная характеристика местной формы одонтогенной</w:t>
      </w:r>
      <w:r>
        <w:br/>
      </w:r>
      <w:r w:rsidRPr="00920C24">
        <w:t>инфекции на фоне патологии дыхательной системы</w:t>
      </w:r>
      <w:bookmarkEnd w:id="16"/>
    </w:p>
    <w:p w:rsidR="00286780" w:rsidRDefault="00286780" w:rsidP="00457501">
      <w:pPr>
        <w:spacing w:line="360" w:lineRule="auto"/>
        <w:ind w:firstLine="709"/>
        <w:jc w:val="both"/>
        <w:rPr>
          <w:rFonts w:cs="Calibri"/>
          <w:sz w:val="28"/>
          <w:szCs w:val="28"/>
          <w:lang w:eastAsia="ar-SA"/>
        </w:rPr>
      </w:pPr>
      <w:r w:rsidRPr="00920C24">
        <w:rPr>
          <w:rFonts w:cs="Calibri"/>
          <w:sz w:val="28"/>
          <w:szCs w:val="28"/>
          <w:lang w:eastAsia="ar-SA"/>
        </w:rPr>
        <w:t>Всего обследовано 34 пациента с МФОИ и хроническими заболеваниями органов дыхания (2012–2017 гг.). МФОИ представлена одонтогенными абсцессами челюстно-лицевой области (крылочелюстного, окологлоточного, поджевательного клетчаточных пространств, челюстно-язычного желобка, щечной, околоушно-жевательной, подподбородочной и подчелюстной областей, периоститами и ретромалярными абсцессами) – 15 пациентов (44,1%); одонтогенными флегмонами с вовлечением 1</w:t>
      </w:r>
      <w:r>
        <w:rPr>
          <w:rFonts w:cs="Calibri"/>
          <w:sz w:val="28"/>
          <w:szCs w:val="28"/>
          <w:lang w:eastAsia="ar-SA"/>
        </w:rPr>
        <w:t>–</w:t>
      </w:r>
      <w:r w:rsidRPr="00920C24">
        <w:rPr>
          <w:rFonts w:cs="Calibri"/>
          <w:sz w:val="28"/>
          <w:szCs w:val="28"/>
          <w:lang w:eastAsia="ar-SA"/>
        </w:rPr>
        <w:t>3 клетчаточных пространств – 19 больных (55,9%).</w:t>
      </w:r>
      <w:r>
        <w:rPr>
          <w:rFonts w:cs="Calibri"/>
          <w:sz w:val="28"/>
          <w:szCs w:val="28"/>
          <w:lang w:eastAsia="ar-SA"/>
        </w:rPr>
        <w:t xml:space="preserve"> </w:t>
      </w:r>
      <w:r w:rsidRPr="00920C24">
        <w:rPr>
          <w:rFonts w:cs="Calibri"/>
          <w:sz w:val="28"/>
          <w:szCs w:val="28"/>
          <w:lang w:eastAsia="ar-SA"/>
        </w:rPr>
        <w:t>Характер хронической патологии дыхател</w:t>
      </w:r>
      <w:r>
        <w:rPr>
          <w:rFonts w:cs="Calibri"/>
          <w:sz w:val="28"/>
          <w:szCs w:val="28"/>
          <w:lang w:eastAsia="ar-SA"/>
        </w:rPr>
        <w:t>ьной системы указан в Таблице 30</w:t>
      </w:r>
      <w:r w:rsidRPr="00920C24">
        <w:rPr>
          <w:rFonts w:cs="Calibri"/>
          <w:sz w:val="28"/>
          <w:szCs w:val="28"/>
          <w:lang w:eastAsia="ar-SA"/>
        </w:rPr>
        <w:t>.</w:t>
      </w:r>
    </w:p>
    <w:p w:rsidR="00286780" w:rsidRPr="00920C24" w:rsidRDefault="00286780" w:rsidP="000E5420">
      <w:pPr>
        <w:spacing w:line="360" w:lineRule="auto"/>
        <w:ind w:firstLine="709"/>
        <w:jc w:val="both"/>
        <w:rPr>
          <w:rFonts w:cs="Calibri"/>
          <w:sz w:val="28"/>
          <w:szCs w:val="28"/>
          <w:lang w:eastAsia="ar-SA"/>
        </w:rPr>
      </w:pPr>
      <w:r w:rsidRPr="000E5420">
        <w:rPr>
          <w:rFonts w:cs="Calibri"/>
          <w:sz w:val="28"/>
          <w:szCs w:val="28"/>
          <w:lang w:eastAsia="ar-SA"/>
        </w:rPr>
        <w:t xml:space="preserve">Чаще всего у пациентов с МФОИ наблюдается </w:t>
      </w:r>
      <w:r>
        <w:rPr>
          <w:rFonts w:cs="Calibri"/>
          <w:sz w:val="28"/>
          <w:szCs w:val="28"/>
          <w:lang w:eastAsia="ar-SA"/>
        </w:rPr>
        <w:t>хроническая обструктивная болезнь легких (88,3</w:t>
      </w:r>
      <w:r w:rsidRPr="000E5420">
        <w:rPr>
          <w:rFonts w:cs="Calibri"/>
          <w:sz w:val="28"/>
          <w:szCs w:val="28"/>
          <w:lang w:eastAsia="ar-SA"/>
        </w:rPr>
        <w:t>%</w:t>
      </w:r>
      <w:r>
        <w:rPr>
          <w:rFonts w:cs="Calibri"/>
          <w:sz w:val="28"/>
          <w:szCs w:val="28"/>
          <w:lang w:eastAsia="ar-SA"/>
        </w:rPr>
        <w:t>)</w:t>
      </w:r>
      <w:r w:rsidRPr="000E5420">
        <w:rPr>
          <w:rFonts w:cs="Calibri"/>
          <w:sz w:val="28"/>
          <w:szCs w:val="28"/>
          <w:lang w:eastAsia="ar-SA"/>
        </w:rPr>
        <w:t>; несколько реже выявлены бронхиальная астма (8,8%) и другие интерстициальные болезни легких с упоминанием о фиброзе (5,9%).</w:t>
      </w:r>
    </w:p>
    <w:p w:rsidR="00286780" w:rsidRPr="00920C24" w:rsidRDefault="00286780" w:rsidP="00920C24">
      <w:pPr>
        <w:jc w:val="both"/>
        <w:rPr>
          <w:rFonts w:cs="Calibri"/>
          <w:sz w:val="28"/>
          <w:szCs w:val="28"/>
          <w:lang w:eastAsia="ar-SA"/>
        </w:rPr>
      </w:pPr>
    </w:p>
    <w:p w:rsidR="00286780" w:rsidRPr="00920C24" w:rsidRDefault="00286780" w:rsidP="00920C24">
      <w:pPr>
        <w:spacing w:after="120"/>
        <w:jc w:val="both"/>
        <w:rPr>
          <w:sz w:val="28"/>
          <w:szCs w:val="28"/>
        </w:rPr>
      </w:pPr>
      <w:r w:rsidRPr="00920C24">
        <w:rPr>
          <w:b/>
          <w:sz w:val="28"/>
          <w:szCs w:val="28"/>
        </w:rPr>
        <w:t xml:space="preserve">Таблица </w:t>
      </w:r>
      <w:r>
        <w:rPr>
          <w:b/>
          <w:sz w:val="28"/>
          <w:szCs w:val="28"/>
        </w:rPr>
        <w:t>30</w:t>
      </w:r>
      <w:r>
        <w:rPr>
          <w:sz w:val="28"/>
          <w:szCs w:val="28"/>
        </w:rPr>
        <w:t xml:space="preserve"> – </w:t>
      </w:r>
      <w:r w:rsidRPr="00920C24">
        <w:rPr>
          <w:sz w:val="28"/>
          <w:szCs w:val="28"/>
        </w:rPr>
        <w:t>Нозологические формы заболеваний органов дыхания у пациентов с МФОИ</w:t>
      </w:r>
    </w:p>
    <w:tbl>
      <w:tblPr>
        <w:tblW w:w="9923" w:type="dxa"/>
        <w:jc w:val="center"/>
        <w:tblLayout w:type="fixed"/>
        <w:tblLook w:val="0000" w:firstRow="0" w:lastRow="0" w:firstColumn="0" w:lastColumn="0" w:noHBand="0" w:noVBand="0"/>
      </w:tblPr>
      <w:tblGrid>
        <w:gridCol w:w="4326"/>
        <w:gridCol w:w="2741"/>
        <w:gridCol w:w="2856"/>
      </w:tblGrid>
      <w:tr w:rsidR="00286780" w:rsidRPr="00920C24" w:rsidTr="00920C24">
        <w:trPr>
          <w:trHeight w:val="375"/>
          <w:jc w:val="center"/>
        </w:trPr>
        <w:tc>
          <w:tcPr>
            <w:tcW w:w="4326" w:type="dxa"/>
            <w:vMerge w:val="restart"/>
            <w:tcBorders>
              <w:top w:val="single" w:sz="4" w:space="0" w:color="000000"/>
              <w:left w:val="single" w:sz="4" w:space="0" w:color="000000"/>
              <w:bottom w:val="single" w:sz="4" w:space="0" w:color="000000"/>
            </w:tcBorders>
            <w:vAlign w:val="center"/>
          </w:tcPr>
          <w:p w:rsidR="00286780" w:rsidRPr="00920C24" w:rsidRDefault="00286780" w:rsidP="00920C24">
            <w:pPr>
              <w:snapToGrid w:val="0"/>
              <w:jc w:val="center"/>
              <w:rPr>
                <w:rFonts w:cs="Calibri"/>
                <w:i/>
                <w:sz w:val="24"/>
                <w:szCs w:val="24"/>
                <w:lang w:eastAsia="ar-SA"/>
              </w:rPr>
            </w:pPr>
            <w:r w:rsidRPr="00920C24">
              <w:rPr>
                <w:rFonts w:cs="Calibri"/>
                <w:i/>
                <w:sz w:val="24"/>
                <w:szCs w:val="24"/>
                <w:lang w:eastAsia="ar-SA"/>
              </w:rPr>
              <w:t>Заболевание</w:t>
            </w:r>
          </w:p>
        </w:tc>
        <w:tc>
          <w:tcPr>
            <w:tcW w:w="5597" w:type="dxa"/>
            <w:gridSpan w:val="2"/>
            <w:tcBorders>
              <w:top w:val="single" w:sz="4" w:space="0" w:color="000000"/>
              <w:left w:val="single" w:sz="4" w:space="0" w:color="000000"/>
              <w:bottom w:val="single" w:sz="4" w:space="0" w:color="000000"/>
              <w:right w:val="single" w:sz="4" w:space="0" w:color="000000"/>
            </w:tcBorders>
            <w:vAlign w:val="center"/>
          </w:tcPr>
          <w:p w:rsidR="00286780" w:rsidRPr="00920C24" w:rsidRDefault="00286780" w:rsidP="00920C24">
            <w:pPr>
              <w:snapToGrid w:val="0"/>
              <w:jc w:val="center"/>
              <w:rPr>
                <w:rFonts w:cs="Calibri"/>
                <w:i/>
                <w:sz w:val="24"/>
                <w:szCs w:val="24"/>
                <w:lang w:eastAsia="ar-SA"/>
              </w:rPr>
            </w:pPr>
            <w:r w:rsidRPr="00920C24">
              <w:rPr>
                <w:rFonts w:cs="Calibri"/>
                <w:i/>
                <w:sz w:val="24"/>
                <w:szCs w:val="24"/>
                <w:lang w:eastAsia="ar-SA"/>
              </w:rPr>
              <w:t>Количество пациентов</w:t>
            </w:r>
          </w:p>
        </w:tc>
      </w:tr>
      <w:tr w:rsidR="00286780" w:rsidRPr="00920C24" w:rsidTr="00920C24">
        <w:trPr>
          <w:trHeight w:val="270"/>
          <w:jc w:val="center"/>
        </w:trPr>
        <w:tc>
          <w:tcPr>
            <w:tcW w:w="4326" w:type="dxa"/>
            <w:vMerge/>
            <w:tcBorders>
              <w:top w:val="single" w:sz="4" w:space="0" w:color="000000"/>
              <w:left w:val="single" w:sz="4" w:space="0" w:color="000000"/>
              <w:bottom w:val="single" w:sz="4" w:space="0" w:color="000000"/>
            </w:tcBorders>
          </w:tcPr>
          <w:p w:rsidR="00286780" w:rsidRPr="00920C24" w:rsidRDefault="00286780" w:rsidP="00920C24">
            <w:pPr>
              <w:snapToGrid w:val="0"/>
              <w:jc w:val="center"/>
              <w:rPr>
                <w:rFonts w:cs="Calibri"/>
                <w:sz w:val="24"/>
                <w:szCs w:val="24"/>
                <w:lang w:eastAsia="ar-SA"/>
              </w:rPr>
            </w:pPr>
          </w:p>
        </w:tc>
        <w:tc>
          <w:tcPr>
            <w:tcW w:w="2741" w:type="dxa"/>
            <w:tcBorders>
              <w:top w:val="single" w:sz="4" w:space="0" w:color="000000"/>
              <w:left w:val="single" w:sz="4" w:space="0" w:color="000000"/>
              <w:bottom w:val="single" w:sz="4" w:space="0" w:color="000000"/>
            </w:tcBorders>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абсолютное значение</w:t>
            </w:r>
          </w:p>
        </w:tc>
        <w:tc>
          <w:tcPr>
            <w:tcW w:w="2856" w:type="dxa"/>
            <w:tcBorders>
              <w:top w:val="single" w:sz="4" w:space="0" w:color="000000"/>
              <w:left w:val="single" w:sz="4" w:space="0" w:color="000000"/>
              <w:bottom w:val="single" w:sz="4" w:space="0" w:color="000000"/>
              <w:right w:val="single" w:sz="4" w:space="0" w:color="000000"/>
            </w:tcBorders>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w:t>
            </w:r>
          </w:p>
        </w:tc>
      </w:tr>
      <w:tr w:rsidR="00286780" w:rsidRPr="00920C24" w:rsidTr="00920C24">
        <w:trPr>
          <w:trHeight w:val="454"/>
          <w:jc w:val="center"/>
        </w:trPr>
        <w:tc>
          <w:tcPr>
            <w:tcW w:w="4326" w:type="dxa"/>
            <w:tcBorders>
              <w:top w:val="single" w:sz="4" w:space="0" w:color="000000"/>
              <w:left w:val="single" w:sz="4" w:space="0" w:color="000000"/>
              <w:bottom w:val="single" w:sz="4" w:space="0" w:color="000000"/>
            </w:tcBorders>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ХОБЛ</w:t>
            </w:r>
          </w:p>
        </w:tc>
        <w:tc>
          <w:tcPr>
            <w:tcW w:w="2741" w:type="dxa"/>
            <w:tcBorders>
              <w:top w:val="single" w:sz="4" w:space="0" w:color="000000"/>
              <w:left w:val="single" w:sz="4" w:space="0" w:color="000000"/>
              <w:bottom w:val="single" w:sz="4" w:space="0" w:color="000000"/>
            </w:tcBorders>
            <w:vAlign w:val="center"/>
          </w:tcPr>
          <w:p w:rsidR="00286780" w:rsidRPr="00920C24" w:rsidRDefault="00286780" w:rsidP="00920C24">
            <w:pPr>
              <w:snapToGrid w:val="0"/>
              <w:jc w:val="center"/>
              <w:rPr>
                <w:rFonts w:cs="Calibri"/>
                <w:sz w:val="24"/>
                <w:szCs w:val="24"/>
                <w:lang w:eastAsia="ar-SA"/>
              </w:rPr>
            </w:pPr>
            <w:r>
              <w:rPr>
                <w:rFonts w:cs="Calibri"/>
                <w:sz w:val="24"/>
                <w:szCs w:val="24"/>
                <w:lang w:eastAsia="ar-SA"/>
              </w:rPr>
              <w:t>29</w:t>
            </w:r>
          </w:p>
        </w:tc>
        <w:tc>
          <w:tcPr>
            <w:tcW w:w="2856" w:type="dxa"/>
            <w:tcBorders>
              <w:top w:val="single" w:sz="4" w:space="0" w:color="000000"/>
              <w:left w:val="single" w:sz="4" w:space="0" w:color="000000"/>
              <w:bottom w:val="single" w:sz="4" w:space="0" w:color="000000"/>
              <w:right w:val="single" w:sz="4" w:space="0" w:color="000000"/>
            </w:tcBorders>
            <w:vAlign w:val="center"/>
          </w:tcPr>
          <w:p w:rsidR="00286780" w:rsidRPr="00920C24" w:rsidRDefault="00286780" w:rsidP="00920C24">
            <w:pPr>
              <w:snapToGrid w:val="0"/>
              <w:jc w:val="center"/>
              <w:rPr>
                <w:rFonts w:cs="Calibri"/>
                <w:sz w:val="24"/>
                <w:szCs w:val="24"/>
                <w:lang w:eastAsia="ar-SA"/>
              </w:rPr>
            </w:pPr>
            <w:r>
              <w:rPr>
                <w:rFonts w:cs="Calibri"/>
                <w:sz w:val="24"/>
                <w:szCs w:val="24"/>
                <w:lang w:eastAsia="ar-SA"/>
              </w:rPr>
              <w:t>88</w:t>
            </w:r>
            <w:r w:rsidRPr="00920C24">
              <w:rPr>
                <w:rFonts w:cs="Calibri"/>
                <w:sz w:val="24"/>
                <w:szCs w:val="24"/>
                <w:lang w:eastAsia="ar-SA"/>
              </w:rPr>
              <w:t>,</w:t>
            </w:r>
            <w:r>
              <w:rPr>
                <w:rFonts w:cs="Calibri"/>
                <w:sz w:val="24"/>
                <w:szCs w:val="24"/>
                <w:lang w:eastAsia="ar-SA"/>
              </w:rPr>
              <w:t>3</w:t>
            </w:r>
          </w:p>
        </w:tc>
      </w:tr>
      <w:tr w:rsidR="00286780" w:rsidRPr="00920C24" w:rsidTr="00920C24">
        <w:trPr>
          <w:trHeight w:val="454"/>
          <w:jc w:val="center"/>
        </w:trPr>
        <w:tc>
          <w:tcPr>
            <w:tcW w:w="4326" w:type="dxa"/>
            <w:tcBorders>
              <w:top w:val="single" w:sz="4" w:space="0" w:color="000000"/>
              <w:left w:val="single" w:sz="4" w:space="0" w:color="000000"/>
              <w:bottom w:val="single" w:sz="4" w:space="0" w:color="000000"/>
            </w:tcBorders>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Бронхиальная астма</w:t>
            </w:r>
          </w:p>
        </w:tc>
        <w:tc>
          <w:tcPr>
            <w:tcW w:w="2741" w:type="dxa"/>
            <w:tcBorders>
              <w:top w:val="single" w:sz="4" w:space="0" w:color="000000"/>
              <w:left w:val="single" w:sz="4" w:space="0" w:color="000000"/>
              <w:bottom w:val="single" w:sz="4" w:space="0" w:color="000000"/>
            </w:tcBorders>
            <w:vAlign w:val="center"/>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3</w:t>
            </w:r>
          </w:p>
        </w:tc>
        <w:tc>
          <w:tcPr>
            <w:tcW w:w="2856" w:type="dxa"/>
            <w:tcBorders>
              <w:top w:val="single" w:sz="4" w:space="0" w:color="000000"/>
              <w:left w:val="single" w:sz="4" w:space="0" w:color="000000"/>
              <w:bottom w:val="single" w:sz="4" w:space="0" w:color="000000"/>
              <w:right w:val="single" w:sz="4" w:space="0" w:color="000000"/>
            </w:tcBorders>
            <w:vAlign w:val="center"/>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8,8</w:t>
            </w:r>
          </w:p>
        </w:tc>
      </w:tr>
      <w:tr w:rsidR="00286780" w:rsidRPr="00920C24" w:rsidTr="00920C24">
        <w:trPr>
          <w:trHeight w:val="454"/>
          <w:jc w:val="center"/>
        </w:trPr>
        <w:tc>
          <w:tcPr>
            <w:tcW w:w="4326" w:type="dxa"/>
            <w:tcBorders>
              <w:top w:val="single" w:sz="4" w:space="0" w:color="000000"/>
              <w:left w:val="single" w:sz="4" w:space="0" w:color="000000"/>
              <w:bottom w:val="single" w:sz="4" w:space="0" w:color="000000"/>
            </w:tcBorders>
            <w:vAlign w:val="center"/>
          </w:tcPr>
          <w:p w:rsidR="00286780" w:rsidRPr="00A63032" w:rsidRDefault="00286780" w:rsidP="00920C24">
            <w:pPr>
              <w:snapToGrid w:val="0"/>
              <w:rPr>
                <w:rFonts w:cs="Calibri"/>
                <w:sz w:val="24"/>
                <w:szCs w:val="24"/>
                <w:lang w:eastAsia="ar-SA"/>
              </w:rPr>
            </w:pPr>
            <w:r>
              <w:rPr>
                <w:sz w:val="24"/>
                <w:szCs w:val="24"/>
                <w:lang w:eastAsia="ar-SA"/>
              </w:rPr>
              <w:t>Другие</w:t>
            </w:r>
            <w:r w:rsidRPr="00A63032">
              <w:rPr>
                <w:sz w:val="24"/>
                <w:szCs w:val="24"/>
                <w:lang w:eastAsia="ar-SA"/>
              </w:rPr>
              <w:t xml:space="preserve"> интерсти</w:t>
            </w:r>
            <w:r>
              <w:rPr>
                <w:sz w:val="24"/>
                <w:szCs w:val="24"/>
                <w:lang w:eastAsia="ar-SA"/>
              </w:rPr>
              <w:t>циальные</w:t>
            </w:r>
            <w:r w:rsidRPr="00A63032">
              <w:rPr>
                <w:sz w:val="24"/>
                <w:szCs w:val="24"/>
                <w:lang w:eastAsia="ar-SA"/>
              </w:rPr>
              <w:t xml:space="preserve"> болезн</w:t>
            </w:r>
            <w:r>
              <w:rPr>
                <w:sz w:val="24"/>
                <w:szCs w:val="24"/>
                <w:lang w:eastAsia="ar-SA"/>
              </w:rPr>
              <w:t>и</w:t>
            </w:r>
            <w:r w:rsidRPr="00A63032">
              <w:rPr>
                <w:sz w:val="24"/>
                <w:szCs w:val="24"/>
                <w:lang w:eastAsia="ar-SA"/>
              </w:rPr>
              <w:t xml:space="preserve"> легких с упоминанием о фиброзе</w:t>
            </w:r>
          </w:p>
        </w:tc>
        <w:tc>
          <w:tcPr>
            <w:tcW w:w="2741" w:type="dxa"/>
            <w:tcBorders>
              <w:top w:val="single" w:sz="4" w:space="0" w:color="000000"/>
              <w:left w:val="single" w:sz="4" w:space="0" w:color="000000"/>
              <w:bottom w:val="single" w:sz="4" w:space="0" w:color="000000"/>
            </w:tcBorders>
            <w:vAlign w:val="center"/>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2</w:t>
            </w:r>
          </w:p>
        </w:tc>
        <w:tc>
          <w:tcPr>
            <w:tcW w:w="2856" w:type="dxa"/>
            <w:tcBorders>
              <w:top w:val="single" w:sz="4" w:space="0" w:color="000000"/>
              <w:left w:val="single" w:sz="4" w:space="0" w:color="000000"/>
              <w:bottom w:val="single" w:sz="4" w:space="0" w:color="000000"/>
              <w:right w:val="single" w:sz="4" w:space="0" w:color="000000"/>
            </w:tcBorders>
            <w:vAlign w:val="center"/>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5,9</w:t>
            </w:r>
          </w:p>
        </w:tc>
      </w:tr>
      <w:tr w:rsidR="00286780" w:rsidRPr="00920C24" w:rsidTr="00920C24">
        <w:trPr>
          <w:trHeight w:val="454"/>
          <w:jc w:val="center"/>
        </w:trPr>
        <w:tc>
          <w:tcPr>
            <w:tcW w:w="4326" w:type="dxa"/>
            <w:tcBorders>
              <w:top w:val="single" w:sz="4" w:space="0" w:color="000000"/>
              <w:left w:val="single" w:sz="4" w:space="0" w:color="000000"/>
              <w:bottom w:val="single" w:sz="4" w:space="0" w:color="000000"/>
            </w:tcBorders>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Итого</w:t>
            </w:r>
          </w:p>
        </w:tc>
        <w:tc>
          <w:tcPr>
            <w:tcW w:w="2741" w:type="dxa"/>
            <w:tcBorders>
              <w:top w:val="single" w:sz="4" w:space="0" w:color="000000"/>
              <w:left w:val="single" w:sz="4" w:space="0" w:color="000000"/>
              <w:bottom w:val="single" w:sz="4" w:space="0" w:color="000000"/>
            </w:tcBorders>
            <w:vAlign w:val="center"/>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34</w:t>
            </w:r>
          </w:p>
        </w:tc>
        <w:tc>
          <w:tcPr>
            <w:tcW w:w="2856" w:type="dxa"/>
            <w:tcBorders>
              <w:top w:val="single" w:sz="4" w:space="0" w:color="000000"/>
              <w:left w:val="single" w:sz="4" w:space="0" w:color="000000"/>
              <w:bottom w:val="single" w:sz="4" w:space="0" w:color="000000"/>
              <w:right w:val="single" w:sz="4" w:space="0" w:color="000000"/>
            </w:tcBorders>
            <w:vAlign w:val="center"/>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100</w:t>
            </w:r>
          </w:p>
        </w:tc>
      </w:tr>
    </w:tbl>
    <w:p w:rsidR="00286780" w:rsidRPr="00920C24" w:rsidRDefault="00286780" w:rsidP="00920C24">
      <w:pPr>
        <w:jc w:val="both"/>
        <w:rPr>
          <w:rFonts w:cs="Calibri"/>
          <w:sz w:val="24"/>
          <w:szCs w:val="24"/>
          <w:lang w:eastAsia="ar-SA"/>
        </w:rPr>
      </w:pP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 xml:space="preserve">Чаще всего определяется ХОБЛ </w:t>
      </w:r>
      <w:r w:rsidRPr="00920C24">
        <w:rPr>
          <w:rFonts w:cs="Calibri"/>
          <w:sz w:val="28"/>
          <w:szCs w:val="28"/>
          <w:lang w:val="en-US" w:eastAsia="ar-SA"/>
        </w:rPr>
        <w:t>II</w:t>
      </w:r>
      <w:r w:rsidRPr="00920C24">
        <w:rPr>
          <w:rFonts w:cs="Calibri"/>
          <w:sz w:val="28"/>
          <w:szCs w:val="28"/>
          <w:lang w:eastAsia="ar-SA"/>
        </w:rPr>
        <w:t>-</w:t>
      </w:r>
      <w:r w:rsidRPr="00920C24">
        <w:rPr>
          <w:rFonts w:cs="Calibri"/>
          <w:sz w:val="28"/>
          <w:szCs w:val="28"/>
          <w:lang w:val="en-US" w:eastAsia="ar-SA"/>
        </w:rPr>
        <w:t>III</w:t>
      </w:r>
      <w:r w:rsidRPr="00920C24">
        <w:rPr>
          <w:rFonts w:cs="Calibri"/>
          <w:sz w:val="28"/>
          <w:szCs w:val="28"/>
          <w:lang w:eastAsia="ar-SA"/>
        </w:rPr>
        <w:t xml:space="preserve"> стадии (12 пациентов), несколько реже – ХОБЛ </w:t>
      </w:r>
      <w:r w:rsidRPr="00920C24">
        <w:rPr>
          <w:rFonts w:cs="Calibri"/>
          <w:sz w:val="28"/>
          <w:szCs w:val="28"/>
          <w:lang w:val="en-US" w:eastAsia="ar-SA"/>
        </w:rPr>
        <w:t>I</w:t>
      </w:r>
      <w:r w:rsidRPr="00920C24">
        <w:rPr>
          <w:rFonts w:cs="Calibri"/>
          <w:sz w:val="28"/>
          <w:szCs w:val="28"/>
          <w:lang w:eastAsia="ar-SA"/>
        </w:rPr>
        <w:t xml:space="preserve"> стадии (три пациента). Хроническая обструктивная болезнь легких </w:t>
      </w:r>
      <w:r w:rsidRPr="00920C24">
        <w:rPr>
          <w:rFonts w:cs="Calibri"/>
          <w:sz w:val="28"/>
          <w:szCs w:val="28"/>
          <w:lang w:val="en-US" w:eastAsia="ar-SA"/>
        </w:rPr>
        <w:t>IV</w:t>
      </w:r>
      <w:r w:rsidRPr="00920C24">
        <w:rPr>
          <w:rFonts w:cs="Calibri"/>
          <w:sz w:val="28"/>
          <w:szCs w:val="28"/>
          <w:lang w:eastAsia="ar-SA"/>
        </w:rPr>
        <w:t xml:space="preserve"> стадии (крайне тяжелое течение) в исследуемой группе больных с МФОИ не встречалась. Бронхиальная астма в стадии обострения диагностирована в одном случае, два пациента с бронхиальной астмой и МФОИ госпитализированы без </w:t>
      </w:r>
      <w:r w:rsidRPr="00920C24">
        <w:rPr>
          <w:rFonts w:cs="Calibri"/>
          <w:sz w:val="28"/>
          <w:szCs w:val="28"/>
          <w:lang w:eastAsia="ar-SA"/>
        </w:rPr>
        <w:lastRenderedPageBreak/>
        <w:t xml:space="preserve">признаков декомпенсированных дыхательных расстройств. Больные с пневмосклерозом (5,9%) </w:t>
      </w:r>
      <w:r>
        <w:rPr>
          <w:rFonts w:cs="Calibri"/>
          <w:sz w:val="28"/>
          <w:szCs w:val="28"/>
          <w:lang w:eastAsia="ar-SA"/>
        </w:rPr>
        <w:t>также</w:t>
      </w:r>
      <w:r w:rsidRPr="00920C24">
        <w:rPr>
          <w:rFonts w:cs="Calibri"/>
          <w:sz w:val="28"/>
          <w:szCs w:val="28"/>
          <w:lang w:eastAsia="ar-SA"/>
        </w:rPr>
        <w:t xml:space="preserve"> не имели выраженных дыхательных нарушений, соответствующий диагноз установлен в результате рентгенологического исследования органов грудной клетки и данных анамнеза (туберкулез).</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 xml:space="preserve">Дыхательная недостаточность (ДН) </w:t>
      </w:r>
      <w:r w:rsidRPr="00920C24">
        <w:rPr>
          <w:rFonts w:cs="Calibri"/>
          <w:sz w:val="28"/>
          <w:szCs w:val="28"/>
          <w:lang w:val="en-US" w:eastAsia="ar-SA"/>
        </w:rPr>
        <w:t>I</w:t>
      </w:r>
      <w:r w:rsidRPr="00920C24">
        <w:rPr>
          <w:rFonts w:cs="Calibri"/>
          <w:sz w:val="28"/>
          <w:szCs w:val="28"/>
          <w:lang w:eastAsia="ar-SA"/>
        </w:rPr>
        <w:t>-</w:t>
      </w:r>
      <w:r w:rsidRPr="00920C24">
        <w:rPr>
          <w:rFonts w:cs="Calibri"/>
          <w:sz w:val="28"/>
          <w:szCs w:val="28"/>
          <w:lang w:val="en-US" w:eastAsia="ar-SA"/>
        </w:rPr>
        <w:t>II</w:t>
      </w:r>
      <w:r w:rsidRPr="00920C24">
        <w:rPr>
          <w:rFonts w:cs="Calibri"/>
          <w:sz w:val="28"/>
          <w:szCs w:val="28"/>
          <w:lang w:eastAsia="ar-SA"/>
        </w:rPr>
        <w:t xml:space="preserve"> степени диагностирована у 15 больных исследуемой </w:t>
      </w:r>
      <w:r w:rsidR="00EE1FD6">
        <w:rPr>
          <w:rFonts w:cs="Calibri"/>
          <w:sz w:val="28"/>
          <w:szCs w:val="28"/>
          <w:lang w:eastAsia="ar-SA"/>
        </w:rPr>
        <w:t>под</w:t>
      </w:r>
      <w:r w:rsidRPr="00920C24">
        <w:rPr>
          <w:rFonts w:cs="Calibri"/>
          <w:sz w:val="28"/>
          <w:szCs w:val="28"/>
          <w:lang w:eastAsia="ar-SA"/>
        </w:rPr>
        <w:t>группы (44,1%). Декомпенсированной ДН вне обострения легочной патологии не наблюдалось.</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У шести пациентов с МФОИ и хронической патологией органов дыхания диагностированы коморбидные заболевания сердечно-сосудистой системы (17,6%): артериальная гипертония – три пациента, ишемическая болезнь сердца (стабильная стенокардия напряжения, фибрилляция предсердий) – три пациента.</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 xml:space="preserve">Полиорганная полиморбидная патология диагностирована у 10 больных исследуемой </w:t>
      </w:r>
      <w:r w:rsidR="00EE1FD6">
        <w:rPr>
          <w:rFonts w:cs="Calibri"/>
          <w:sz w:val="28"/>
          <w:szCs w:val="28"/>
          <w:lang w:eastAsia="ar-SA"/>
        </w:rPr>
        <w:t>под</w:t>
      </w:r>
      <w:r w:rsidRPr="00920C24">
        <w:rPr>
          <w:rFonts w:cs="Calibri"/>
          <w:sz w:val="28"/>
          <w:szCs w:val="28"/>
          <w:lang w:eastAsia="ar-SA"/>
        </w:rPr>
        <w:t>группы (29,4%).</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Все пациенты с МФОИ и хронической патологией дыхательной системы предъявляли жалобы, обусловленные наличием локального воспалительного процесса: боли различной степени выраженности, локализующиеся в области воспалительного инфильтрата, боли при глотании, затруднение глотания, затруднение открывания рта. Менее выражены жалобы, связанные с синдромом эндогенной интоксикации: слабость, боли в мышцах, повышение температуры тела, озноб, головные боли, снижение аппетита. Имели место жалобы, связанные с наличием ХОБЛ: в основном, одышка при физической нагрузке. ХОБЛ, как правило, наблюдалась в стадии ремиссии; в одном случае (2,9%) диагностировано обострение ХОБЛ (определялась одышка), что потребовало применения ингаляционных бронходилататоров и глюкокортикостероидов. Бронхиальная астма наблюдалась, в основном, в стадии ремиссии, пациенты активных жалоб не предъявляли. В одном случае (2,9%) бронхиальная астма диагностирована в стадии обострения (определялись жалобы на одышку и удушье), что потребовало экстренной медикаментозной коррекции (бронходилататоры, стероидная терапия, ипратропиума бромид) в условиях профильного отделения.</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lastRenderedPageBreak/>
        <w:t xml:space="preserve">Продолжительность догоспитального периода составляла от 1 до 7 суток, в среднем 4,63±0,33 суток. Детализированные данные о продолжительности основного заболевания от появления первых признаков заболевания до поступления </w:t>
      </w:r>
      <w:r>
        <w:rPr>
          <w:rFonts w:cs="Calibri"/>
          <w:sz w:val="28"/>
          <w:szCs w:val="28"/>
          <w:lang w:eastAsia="ar-SA"/>
        </w:rPr>
        <w:t>в стационар указаны в Таблице 31</w:t>
      </w:r>
      <w:r w:rsidRPr="00920C24">
        <w:rPr>
          <w:rFonts w:cs="Calibri"/>
          <w:sz w:val="28"/>
          <w:szCs w:val="28"/>
          <w:lang w:eastAsia="ar-SA"/>
        </w:rPr>
        <w:t>.</w:t>
      </w:r>
    </w:p>
    <w:p w:rsidR="00286780" w:rsidRPr="00920C24" w:rsidRDefault="00286780" w:rsidP="00920C24">
      <w:pPr>
        <w:jc w:val="both"/>
        <w:rPr>
          <w:rFonts w:cs="Calibri"/>
          <w:sz w:val="28"/>
          <w:szCs w:val="28"/>
          <w:lang w:eastAsia="ar-SA"/>
        </w:rPr>
      </w:pPr>
    </w:p>
    <w:p w:rsidR="00286780" w:rsidRPr="00920C24" w:rsidRDefault="00286780" w:rsidP="00920C24">
      <w:pPr>
        <w:spacing w:after="120"/>
        <w:jc w:val="both"/>
        <w:rPr>
          <w:sz w:val="28"/>
          <w:szCs w:val="28"/>
        </w:rPr>
      </w:pPr>
      <w:r w:rsidRPr="00920C24">
        <w:rPr>
          <w:b/>
          <w:sz w:val="28"/>
          <w:szCs w:val="28"/>
        </w:rPr>
        <w:t>Таблица 3</w:t>
      </w:r>
      <w:r>
        <w:rPr>
          <w:b/>
          <w:sz w:val="28"/>
          <w:szCs w:val="28"/>
        </w:rPr>
        <w:t>1</w:t>
      </w:r>
      <w:r w:rsidRPr="00920C24">
        <w:rPr>
          <w:sz w:val="28"/>
          <w:szCs w:val="28"/>
        </w:rPr>
        <w:t xml:space="preserve"> – Сроки поступления пациентов с МФОИ и патологией дыхательной системы в стационар</w:t>
      </w:r>
    </w:p>
    <w:tbl>
      <w:tblPr>
        <w:tblW w:w="0" w:type="auto"/>
        <w:jc w:val="center"/>
        <w:tblLayout w:type="fixed"/>
        <w:tblLook w:val="0000" w:firstRow="0" w:lastRow="0" w:firstColumn="0" w:lastColumn="0" w:noHBand="0" w:noVBand="0"/>
      </w:tblPr>
      <w:tblGrid>
        <w:gridCol w:w="3941"/>
        <w:gridCol w:w="3402"/>
        <w:gridCol w:w="2414"/>
      </w:tblGrid>
      <w:tr w:rsidR="00286780" w:rsidRPr="00920C24" w:rsidTr="00920C24">
        <w:trPr>
          <w:trHeight w:val="300"/>
          <w:jc w:val="center"/>
        </w:trPr>
        <w:tc>
          <w:tcPr>
            <w:tcW w:w="3941" w:type="dxa"/>
            <w:vMerge w:val="restart"/>
            <w:tcBorders>
              <w:top w:val="single" w:sz="4" w:space="0" w:color="000000"/>
              <w:left w:val="single" w:sz="4" w:space="0" w:color="000000"/>
              <w:bottom w:val="single" w:sz="4" w:space="0" w:color="000000"/>
            </w:tcBorders>
            <w:vAlign w:val="center"/>
          </w:tcPr>
          <w:p w:rsidR="00286780" w:rsidRPr="00920C24" w:rsidRDefault="00286780" w:rsidP="00920C24">
            <w:pPr>
              <w:snapToGrid w:val="0"/>
              <w:jc w:val="center"/>
              <w:rPr>
                <w:rFonts w:cs="Calibri"/>
                <w:i/>
                <w:sz w:val="24"/>
                <w:szCs w:val="24"/>
                <w:lang w:eastAsia="ar-SA"/>
              </w:rPr>
            </w:pPr>
            <w:r w:rsidRPr="00920C24">
              <w:rPr>
                <w:rFonts w:cs="Calibri"/>
                <w:i/>
                <w:sz w:val="24"/>
                <w:szCs w:val="24"/>
                <w:lang w:eastAsia="ar-SA"/>
              </w:rPr>
              <w:t>Догоспитальный период</w:t>
            </w:r>
          </w:p>
        </w:tc>
        <w:tc>
          <w:tcPr>
            <w:tcW w:w="5816" w:type="dxa"/>
            <w:gridSpan w:val="2"/>
            <w:tcBorders>
              <w:top w:val="single" w:sz="4" w:space="0" w:color="000000"/>
              <w:left w:val="single" w:sz="4" w:space="0" w:color="000000"/>
              <w:bottom w:val="single" w:sz="4" w:space="0" w:color="000000"/>
              <w:right w:val="single" w:sz="4" w:space="0" w:color="000000"/>
            </w:tcBorders>
            <w:vAlign w:val="center"/>
          </w:tcPr>
          <w:p w:rsidR="00286780" w:rsidRPr="00920C24" w:rsidRDefault="00286780" w:rsidP="00920C24">
            <w:pPr>
              <w:snapToGrid w:val="0"/>
              <w:jc w:val="center"/>
              <w:rPr>
                <w:rFonts w:cs="Calibri"/>
                <w:i/>
                <w:sz w:val="24"/>
                <w:szCs w:val="24"/>
                <w:lang w:eastAsia="ar-SA"/>
              </w:rPr>
            </w:pPr>
            <w:r w:rsidRPr="00920C24">
              <w:rPr>
                <w:rFonts w:cs="Calibri"/>
                <w:i/>
                <w:sz w:val="24"/>
                <w:szCs w:val="24"/>
                <w:lang w:eastAsia="ar-SA"/>
              </w:rPr>
              <w:t>Количество пациентов</w:t>
            </w:r>
          </w:p>
        </w:tc>
      </w:tr>
      <w:tr w:rsidR="00286780" w:rsidRPr="00920C24" w:rsidTr="00920C24">
        <w:trPr>
          <w:trHeight w:val="180"/>
          <w:jc w:val="center"/>
        </w:trPr>
        <w:tc>
          <w:tcPr>
            <w:tcW w:w="3941" w:type="dxa"/>
            <w:vMerge/>
            <w:tcBorders>
              <w:top w:val="single" w:sz="4" w:space="0" w:color="000000"/>
              <w:left w:val="single" w:sz="4" w:space="0" w:color="000000"/>
              <w:bottom w:val="single" w:sz="4" w:space="0" w:color="000000"/>
            </w:tcBorders>
          </w:tcPr>
          <w:p w:rsidR="00286780" w:rsidRPr="00920C24" w:rsidRDefault="00286780" w:rsidP="00920C24">
            <w:pPr>
              <w:snapToGrid w:val="0"/>
              <w:jc w:val="center"/>
              <w:rPr>
                <w:rFonts w:cs="Calibri"/>
                <w:sz w:val="24"/>
                <w:szCs w:val="24"/>
                <w:lang w:eastAsia="ar-SA"/>
              </w:rPr>
            </w:pPr>
          </w:p>
        </w:tc>
        <w:tc>
          <w:tcPr>
            <w:tcW w:w="3402" w:type="dxa"/>
            <w:tcBorders>
              <w:top w:val="single" w:sz="4" w:space="0" w:color="000000"/>
              <w:left w:val="single" w:sz="4" w:space="0" w:color="000000"/>
              <w:bottom w:val="single" w:sz="4" w:space="0" w:color="000000"/>
            </w:tcBorders>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абсолютное значение</w:t>
            </w:r>
          </w:p>
        </w:tc>
        <w:tc>
          <w:tcPr>
            <w:tcW w:w="2414" w:type="dxa"/>
            <w:tcBorders>
              <w:top w:val="single" w:sz="4" w:space="0" w:color="000000"/>
              <w:left w:val="single" w:sz="4" w:space="0" w:color="000000"/>
              <w:bottom w:val="single" w:sz="4" w:space="0" w:color="000000"/>
              <w:right w:val="single" w:sz="4" w:space="0" w:color="000000"/>
            </w:tcBorders>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w:t>
            </w:r>
          </w:p>
        </w:tc>
      </w:tr>
      <w:tr w:rsidR="00286780" w:rsidRPr="00920C24" w:rsidTr="00920C24">
        <w:trPr>
          <w:trHeight w:val="454"/>
          <w:jc w:val="center"/>
        </w:trPr>
        <w:tc>
          <w:tcPr>
            <w:tcW w:w="3941" w:type="dxa"/>
            <w:tcBorders>
              <w:top w:val="single" w:sz="4" w:space="0" w:color="000000"/>
              <w:left w:val="single" w:sz="4" w:space="0" w:color="000000"/>
              <w:bottom w:val="single" w:sz="4" w:space="0" w:color="000000"/>
            </w:tcBorders>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До 4 суток</w:t>
            </w:r>
          </w:p>
        </w:tc>
        <w:tc>
          <w:tcPr>
            <w:tcW w:w="3402" w:type="dxa"/>
            <w:tcBorders>
              <w:top w:val="single" w:sz="4" w:space="0" w:color="000000"/>
              <w:left w:val="single" w:sz="4" w:space="0" w:color="000000"/>
              <w:bottom w:val="single" w:sz="4" w:space="0" w:color="000000"/>
            </w:tcBorders>
            <w:vAlign w:val="center"/>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11</w:t>
            </w:r>
          </w:p>
        </w:tc>
        <w:tc>
          <w:tcPr>
            <w:tcW w:w="2414" w:type="dxa"/>
            <w:tcBorders>
              <w:top w:val="single" w:sz="4" w:space="0" w:color="000000"/>
              <w:left w:val="single" w:sz="4" w:space="0" w:color="000000"/>
              <w:bottom w:val="single" w:sz="4" w:space="0" w:color="000000"/>
              <w:right w:val="single" w:sz="4" w:space="0" w:color="000000"/>
            </w:tcBorders>
            <w:vAlign w:val="center"/>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32,4</w:t>
            </w:r>
          </w:p>
        </w:tc>
      </w:tr>
      <w:tr w:rsidR="00286780" w:rsidRPr="00920C24" w:rsidTr="00920C24">
        <w:trPr>
          <w:trHeight w:val="454"/>
          <w:jc w:val="center"/>
        </w:trPr>
        <w:tc>
          <w:tcPr>
            <w:tcW w:w="3941" w:type="dxa"/>
            <w:tcBorders>
              <w:top w:val="single" w:sz="4" w:space="0" w:color="000000"/>
              <w:left w:val="single" w:sz="4" w:space="0" w:color="000000"/>
              <w:bottom w:val="single" w:sz="4" w:space="0" w:color="000000"/>
            </w:tcBorders>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4–7 суток</w:t>
            </w:r>
          </w:p>
        </w:tc>
        <w:tc>
          <w:tcPr>
            <w:tcW w:w="3402" w:type="dxa"/>
            <w:tcBorders>
              <w:top w:val="single" w:sz="4" w:space="0" w:color="000000"/>
              <w:left w:val="single" w:sz="4" w:space="0" w:color="000000"/>
              <w:bottom w:val="single" w:sz="4" w:space="0" w:color="000000"/>
            </w:tcBorders>
            <w:vAlign w:val="center"/>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23</w:t>
            </w:r>
          </w:p>
        </w:tc>
        <w:tc>
          <w:tcPr>
            <w:tcW w:w="2414" w:type="dxa"/>
            <w:tcBorders>
              <w:top w:val="single" w:sz="4" w:space="0" w:color="000000"/>
              <w:left w:val="single" w:sz="4" w:space="0" w:color="000000"/>
              <w:bottom w:val="single" w:sz="4" w:space="0" w:color="000000"/>
              <w:right w:val="single" w:sz="4" w:space="0" w:color="000000"/>
            </w:tcBorders>
            <w:vAlign w:val="center"/>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67,6</w:t>
            </w:r>
          </w:p>
        </w:tc>
      </w:tr>
      <w:tr w:rsidR="00286780" w:rsidRPr="00920C24" w:rsidTr="00920C24">
        <w:trPr>
          <w:trHeight w:val="454"/>
          <w:jc w:val="center"/>
        </w:trPr>
        <w:tc>
          <w:tcPr>
            <w:tcW w:w="3941" w:type="dxa"/>
            <w:tcBorders>
              <w:top w:val="single" w:sz="4" w:space="0" w:color="000000"/>
              <w:left w:val="single" w:sz="4" w:space="0" w:color="000000"/>
              <w:bottom w:val="single" w:sz="4" w:space="0" w:color="000000"/>
            </w:tcBorders>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Более 7 суток</w:t>
            </w:r>
          </w:p>
        </w:tc>
        <w:tc>
          <w:tcPr>
            <w:tcW w:w="3402" w:type="dxa"/>
            <w:tcBorders>
              <w:top w:val="single" w:sz="4" w:space="0" w:color="000000"/>
              <w:left w:val="single" w:sz="4" w:space="0" w:color="000000"/>
              <w:bottom w:val="single" w:sz="4" w:space="0" w:color="000000"/>
            </w:tcBorders>
            <w:vAlign w:val="center"/>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0</w:t>
            </w:r>
          </w:p>
        </w:tc>
        <w:tc>
          <w:tcPr>
            <w:tcW w:w="2414" w:type="dxa"/>
            <w:tcBorders>
              <w:top w:val="single" w:sz="4" w:space="0" w:color="000000"/>
              <w:left w:val="single" w:sz="4" w:space="0" w:color="000000"/>
              <w:bottom w:val="single" w:sz="4" w:space="0" w:color="000000"/>
              <w:right w:val="single" w:sz="4" w:space="0" w:color="000000"/>
            </w:tcBorders>
            <w:vAlign w:val="center"/>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0,0</w:t>
            </w:r>
          </w:p>
        </w:tc>
      </w:tr>
      <w:tr w:rsidR="00286780" w:rsidRPr="00920C24" w:rsidTr="00920C24">
        <w:trPr>
          <w:trHeight w:val="454"/>
          <w:jc w:val="center"/>
        </w:trPr>
        <w:tc>
          <w:tcPr>
            <w:tcW w:w="3941" w:type="dxa"/>
            <w:tcBorders>
              <w:top w:val="single" w:sz="4" w:space="0" w:color="000000"/>
              <w:left w:val="single" w:sz="4" w:space="0" w:color="000000"/>
              <w:bottom w:val="single" w:sz="4" w:space="0" w:color="000000"/>
            </w:tcBorders>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Всего</w:t>
            </w:r>
          </w:p>
        </w:tc>
        <w:tc>
          <w:tcPr>
            <w:tcW w:w="3402" w:type="dxa"/>
            <w:tcBorders>
              <w:top w:val="single" w:sz="4" w:space="0" w:color="000000"/>
              <w:left w:val="single" w:sz="4" w:space="0" w:color="000000"/>
              <w:bottom w:val="single" w:sz="4" w:space="0" w:color="000000"/>
            </w:tcBorders>
            <w:vAlign w:val="center"/>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34</w:t>
            </w:r>
          </w:p>
        </w:tc>
        <w:tc>
          <w:tcPr>
            <w:tcW w:w="2414" w:type="dxa"/>
            <w:tcBorders>
              <w:top w:val="single" w:sz="4" w:space="0" w:color="000000"/>
              <w:left w:val="single" w:sz="4" w:space="0" w:color="000000"/>
              <w:bottom w:val="single" w:sz="4" w:space="0" w:color="000000"/>
              <w:right w:val="single" w:sz="4" w:space="0" w:color="000000"/>
            </w:tcBorders>
            <w:vAlign w:val="center"/>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100</w:t>
            </w:r>
          </w:p>
        </w:tc>
      </w:tr>
    </w:tbl>
    <w:p w:rsidR="00286780" w:rsidRPr="00920C24" w:rsidRDefault="00286780" w:rsidP="00920C24">
      <w:pPr>
        <w:jc w:val="both"/>
        <w:rPr>
          <w:rFonts w:cs="Calibri"/>
          <w:sz w:val="24"/>
          <w:szCs w:val="24"/>
          <w:lang w:eastAsia="ar-SA"/>
        </w:rPr>
      </w:pP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Чаще всего больные с МФОИ и болезнями органов дыхания поступали в сроки от 4 до 7 суток от начала заболевания, реже – до 4 суток.</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Амбулаторно у врача-стоматолога по месту жительства лечилось 15 пациентов (44,1%), 17 больных за медицинской помощью не обращались (50%), самолечением занимались два пациента (5,9%). По сравнению с аналогичными показателями догоспитального периода у пациентов с МФОИ и патологией сердечно-сосудистой системы, принципиальных различий течения догоспитального периода не обнаружено.</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 xml:space="preserve">Общее состояние пациентов с МФОИ и хронической патологией дыхательной системы расценивалось как удовлетворительное или средней тяжести (в случае наличия флегмоны или в случае обострения дыхательной патологии). </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 xml:space="preserve">Средние значения основных показателей центральной и периферической гемодинамики пациентов с МФОИ и хронической патологией органов дыхания </w:t>
      </w:r>
      <w:r w:rsidR="00917CDA">
        <w:rPr>
          <w:rFonts w:cs="Calibri"/>
          <w:sz w:val="28"/>
          <w:szCs w:val="28"/>
          <w:lang w:eastAsia="ar-SA"/>
        </w:rPr>
        <w:t>(под</w:t>
      </w:r>
      <w:r w:rsidRPr="00920C24">
        <w:rPr>
          <w:rFonts w:cs="Calibri"/>
          <w:sz w:val="28"/>
          <w:szCs w:val="28"/>
          <w:lang w:eastAsia="ar-SA"/>
        </w:rPr>
        <w:t xml:space="preserve">группа № 2), их сравнительная характеристика в отношении контрольной </w:t>
      </w:r>
      <w:r w:rsidR="00917CDA">
        <w:rPr>
          <w:rFonts w:cs="Calibri"/>
          <w:sz w:val="28"/>
          <w:szCs w:val="28"/>
          <w:lang w:eastAsia="ar-SA"/>
        </w:rPr>
        <w:t>под</w:t>
      </w:r>
      <w:r w:rsidRPr="00920C24">
        <w:rPr>
          <w:rFonts w:cs="Calibri"/>
          <w:sz w:val="28"/>
          <w:szCs w:val="28"/>
          <w:lang w:eastAsia="ar-SA"/>
        </w:rPr>
        <w:t xml:space="preserve">группы № 4 (МФОИ без фоновой патологии, подгруппа сопоставима с </w:t>
      </w:r>
      <w:r w:rsidR="00917CDA">
        <w:rPr>
          <w:rFonts w:cs="Calibri"/>
          <w:sz w:val="28"/>
          <w:szCs w:val="28"/>
          <w:lang w:eastAsia="ar-SA"/>
        </w:rPr>
        <w:t>под</w:t>
      </w:r>
      <w:r w:rsidRPr="00920C24">
        <w:rPr>
          <w:rFonts w:cs="Calibri"/>
          <w:sz w:val="28"/>
          <w:szCs w:val="28"/>
          <w:lang w:eastAsia="ar-SA"/>
        </w:rPr>
        <w:t>группой пациентов с МФОИ и заболеваниями органов дыхания по возрастно-половому составу), указаны в Табл</w:t>
      </w:r>
      <w:r>
        <w:rPr>
          <w:rFonts w:cs="Calibri"/>
          <w:sz w:val="28"/>
          <w:szCs w:val="28"/>
          <w:lang w:eastAsia="ar-SA"/>
        </w:rPr>
        <w:t>ице 32</w:t>
      </w:r>
      <w:r w:rsidRPr="00920C24">
        <w:rPr>
          <w:rFonts w:cs="Calibri"/>
          <w:sz w:val="28"/>
          <w:szCs w:val="28"/>
          <w:lang w:eastAsia="ar-SA"/>
        </w:rPr>
        <w:t>.</w:t>
      </w:r>
    </w:p>
    <w:p w:rsidR="00286780" w:rsidRPr="00920C24" w:rsidRDefault="00286780" w:rsidP="00920C24">
      <w:pPr>
        <w:jc w:val="both"/>
        <w:rPr>
          <w:rFonts w:cs="Calibri"/>
          <w:sz w:val="28"/>
          <w:szCs w:val="28"/>
          <w:lang w:eastAsia="ar-SA"/>
        </w:rPr>
      </w:pPr>
    </w:p>
    <w:p w:rsidR="00286780" w:rsidRPr="00920C24" w:rsidRDefault="00286780" w:rsidP="00920C24">
      <w:pPr>
        <w:spacing w:after="120"/>
        <w:jc w:val="both"/>
        <w:rPr>
          <w:sz w:val="28"/>
          <w:szCs w:val="28"/>
        </w:rPr>
      </w:pPr>
      <w:r w:rsidRPr="00920C24">
        <w:rPr>
          <w:b/>
          <w:sz w:val="28"/>
          <w:szCs w:val="28"/>
        </w:rPr>
        <w:lastRenderedPageBreak/>
        <w:t>Таблица 3</w:t>
      </w:r>
      <w:r>
        <w:rPr>
          <w:b/>
          <w:sz w:val="28"/>
          <w:szCs w:val="28"/>
        </w:rPr>
        <w:t>2</w:t>
      </w:r>
      <w:r w:rsidRPr="00920C24">
        <w:rPr>
          <w:sz w:val="28"/>
          <w:szCs w:val="28"/>
        </w:rPr>
        <w:t xml:space="preserve"> – Сравнительная характеристика показателей гемодинамики пациентов с МФОИ и патологие</w:t>
      </w:r>
      <w:r w:rsidR="00917CDA">
        <w:rPr>
          <w:sz w:val="28"/>
          <w:szCs w:val="28"/>
        </w:rPr>
        <w:t>й дыхательной системы (под</w:t>
      </w:r>
      <w:r w:rsidRPr="00920C24">
        <w:rPr>
          <w:sz w:val="28"/>
          <w:szCs w:val="28"/>
        </w:rPr>
        <w:t xml:space="preserve">группа № 2), с МФОИ без фоновых заболеваний (контрольная </w:t>
      </w:r>
      <w:r w:rsidR="00917CDA">
        <w:rPr>
          <w:sz w:val="28"/>
          <w:szCs w:val="28"/>
        </w:rPr>
        <w:t>под</w:t>
      </w:r>
      <w:r w:rsidRPr="00920C24">
        <w:rPr>
          <w:sz w:val="28"/>
          <w:szCs w:val="28"/>
        </w:rPr>
        <w:t>группа № 4)</w:t>
      </w:r>
    </w:p>
    <w:tbl>
      <w:tblPr>
        <w:tblW w:w="9923" w:type="dxa"/>
        <w:jc w:val="center"/>
        <w:tblLayout w:type="fixed"/>
        <w:tblLook w:val="0000" w:firstRow="0" w:lastRow="0" w:firstColumn="0" w:lastColumn="0" w:noHBand="0" w:noVBand="0"/>
      </w:tblPr>
      <w:tblGrid>
        <w:gridCol w:w="3289"/>
        <w:gridCol w:w="3118"/>
        <w:gridCol w:w="3516"/>
      </w:tblGrid>
      <w:tr w:rsidR="00286780" w:rsidRPr="00920C24" w:rsidTr="00920C24">
        <w:trPr>
          <w:trHeight w:val="454"/>
          <w:jc w:val="center"/>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i/>
                <w:sz w:val="24"/>
                <w:szCs w:val="24"/>
                <w:lang w:eastAsia="ar-SA"/>
              </w:rPr>
            </w:pPr>
            <w:r w:rsidRPr="00920C24">
              <w:rPr>
                <w:rFonts w:cs="Calibri"/>
                <w:i/>
                <w:sz w:val="24"/>
                <w:szCs w:val="24"/>
                <w:lang w:eastAsia="ar-SA"/>
              </w:rPr>
              <w:t>Признак</w:t>
            </w:r>
          </w:p>
        </w:tc>
        <w:tc>
          <w:tcPr>
            <w:tcW w:w="3118"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917CDA" w:rsidP="00920C24">
            <w:pPr>
              <w:snapToGrid w:val="0"/>
              <w:jc w:val="center"/>
              <w:rPr>
                <w:rFonts w:cs="Calibri"/>
                <w:i/>
                <w:sz w:val="24"/>
                <w:szCs w:val="24"/>
                <w:lang w:val="en-US" w:eastAsia="ar-SA"/>
              </w:rPr>
            </w:pPr>
            <w:r>
              <w:rPr>
                <w:rFonts w:cs="Calibri"/>
                <w:i/>
                <w:sz w:val="24"/>
                <w:szCs w:val="24"/>
                <w:lang w:eastAsia="ar-SA"/>
              </w:rPr>
              <w:t>Подг</w:t>
            </w:r>
            <w:r w:rsidR="00286780" w:rsidRPr="00920C24">
              <w:rPr>
                <w:rFonts w:cs="Calibri"/>
                <w:i/>
                <w:sz w:val="24"/>
                <w:szCs w:val="24"/>
                <w:lang w:eastAsia="ar-SA"/>
              </w:rPr>
              <w:t>руппа № 2</w:t>
            </w:r>
            <w:r w:rsidR="00286780" w:rsidRPr="00920C24">
              <w:rPr>
                <w:rFonts w:cs="Calibri"/>
                <w:i/>
                <w:sz w:val="24"/>
                <w:szCs w:val="24"/>
                <w:lang w:val="en-US" w:eastAsia="ar-SA"/>
              </w:rPr>
              <w:t xml:space="preserve"> (n=34)</w:t>
            </w:r>
          </w:p>
        </w:tc>
        <w:tc>
          <w:tcPr>
            <w:tcW w:w="35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i/>
                <w:sz w:val="24"/>
                <w:szCs w:val="24"/>
                <w:lang w:val="en-US" w:eastAsia="ar-SA"/>
              </w:rPr>
            </w:pPr>
            <w:r w:rsidRPr="00920C24">
              <w:rPr>
                <w:rFonts w:cs="Calibri"/>
                <w:i/>
                <w:sz w:val="24"/>
                <w:szCs w:val="24"/>
                <w:lang w:eastAsia="ar-SA"/>
              </w:rPr>
              <w:t xml:space="preserve">Контрольная </w:t>
            </w:r>
            <w:r w:rsidR="00917CDA">
              <w:rPr>
                <w:rFonts w:cs="Calibri"/>
                <w:i/>
                <w:sz w:val="24"/>
                <w:szCs w:val="24"/>
                <w:lang w:eastAsia="ar-SA"/>
              </w:rPr>
              <w:t>под</w:t>
            </w:r>
            <w:r w:rsidRPr="00920C24">
              <w:rPr>
                <w:rFonts w:cs="Calibri"/>
                <w:i/>
                <w:sz w:val="24"/>
                <w:szCs w:val="24"/>
                <w:lang w:eastAsia="ar-SA"/>
              </w:rPr>
              <w:t>группа № 4</w:t>
            </w:r>
            <w:r w:rsidRPr="00920C24">
              <w:rPr>
                <w:rFonts w:cs="Calibri"/>
                <w:i/>
                <w:sz w:val="24"/>
                <w:szCs w:val="24"/>
                <w:lang w:val="en-US" w:eastAsia="ar-SA"/>
              </w:rPr>
              <w:t xml:space="preserve"> (n=28)</w:t>
            </w:r>
          </w:p>
        </w:tc>
      </w:tr>
      <w:tr w:rsidR="00286780" w:rsidRPr="00920C24" w:rsidTr="00920C24">
        <w:trPr>
          <w:trHeight w:val="454"/>
          <w:jc w:val="center"/>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АД систолическое (мм рт. ст.)</w:t>
            </w:r>
          </w:p>
        </w:tc>
        <w:tc>
          <w:tcPr>
            <w:tcW w:w="3118"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bCs/>
                <w:sz w:val="24"/>
                <w:szCs w:val="24"/>
                <w:lang w:val="en-US" w:eastAsia="ar-SA"/>
              </w:rPr>
            </w:pPr>
            <w:r>
              <w:rPr>
                <w:rFonts w:cs="Calibri"/>
                <w:bCs/>
                <w:sz w:val="24"/>
                <w:szCs w:val="24"/>
                <w:lang w:eastAsia="ar-SA"/>
              </w:rPr>
              <w:t>130</w:t>
            </w:r>
            <w:r w:rsidRPr="00920C24">
              <w:rPr>
                <w:rFonts w:cs="Calibri"/>
                <w:bCs/>
                <w:sz w:val="24"/>
                <w:szCs w:val="24"/>
                <w:lang w:val="en-US" w:eastAsia="ar-SA"/>
              </w:rPr>
              <w:t>[125</w:t>
            </w:r>
            <w:r>
              <w:rPr>
                <w:rFonts w:cs="Calibri"/>
                <w:bCs/>
                <w:sz w:val="24"/>
                <w:szCs w:val="24"/>
                <w:lang w:eastAsia="ar-SA"/>
              </w:rPr>
              <w:t>;</w:t>
            </w:r>
            <w:r w:rsidRPr="00920C24">
              <w:rPr>
                <w:rFonts w:cs="Calibri"/>
                <w:bCs/>
                <w:sz w:val="24"/>
                <w:szCs w:val="24"/>
                <w:lang w:eastAsia="ar-SA"/>
              </w:rPr>
              <w:t>140</w:t>
            </w:r>
            <w:r w:rsidRPr="00920C24">
              <w:rPr>
                <w:rFonts w:cs="Calibri"/>
                <w:bCs/>
                <w:sz w:val="24"/>
                <w:szCs w:val="24"/>
                <w:lang w:val="en-US" w:eastAsia="ar-SA"/>
              </w:rPr>
              <w:t>]</w:t>
            </w:r>
          </w:p>
        </w:tc>
        <w:tc>
          <w:tcPr>
            <w:tcW w:w="35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eastAsia="ar-SA"/>
              </w:rPr>
            </w:pPr>
            <w:r>
              <w:rPr>
                <w:rFonts w:cs="Calibri"/>
                <w:sz w:val="24"/>
                <w:szCs w:val="24"/>
                <w:lang w:eastAsia="ar-SA"/>
              </w:rPr>
              <w:t>130</w:t>
            </w:r>
            <w:r w:rsidRPr="00920C24">
              <w:rPr>
                <w:rFonts w:cs="Calibri"/>
                <w:sz w:val="24"/>
                <w:szCs w:val="24"/>
                <w:lang w:val="en-US" w:eastAsia="ar-SA"/>
              </w:rPr>
              <w:t>[</w:t>
            </w:r>
            <w:r>
              <w:rPr>
                <w:rFonts w:cs="Calibri"/>
                <w:sz w:val="24"/>
                <w:szCs w:val="24"/>
                <w:lang w:eastAsia="ar-SA"/>
              </w:rPr>
              <w:t>120;</w:t>
            </w:r>
            <w:r w:rsidRPr="00920C24">
              <w:rPr>
                <w:rFonts w:cs="Calibri"/>
                <w:sz w:val="24"/>
                <w:szCs w:val="24"/>
                <w:lang w:eastAsia="ar-SA"/>
              </w:rPr>
              <w:t>140</w:t>
            </w:r>
            <w:r w:rsidRPr="00920C24">
              <w:rPr>
                <w:rFonts w:cs="Calibri"/>
                <w:sz w:val="24"/>
                <w:szCs w:val="24"/>
                <w:lang w:val="en-US" w:eastAsia="ar-SA"/>
              </w:rPr>
              <w:t>]</w:t>
            </w:r>
          </w:p>
        </w:tc>
      </w:tr>
      <w:tr w:rsidR="00286780" w:rsidRPr="00920C24" w:rsidTr="00920C24">
        <w:trPr>
          <w:trHeight w:val="454"/>
          <w:jc w:val="center"/>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АД диастолическое (мм рт. ст.)</w:t>
            </w:r>
          </w:p>
        </w:tc>
        <w:tc>
          <w:tcPr>
            <w:tcW w:w="3118"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eastAsia="ar-SA"/>
              </w:rPr>
            </w:pPr>
            <w:r>
              <w:rPr>
                <w:rFonts w:cs="Calibri"/>
                <w:sz w:val="24"/>
                <w:szCs w:val="24"/>
                <w:lang w:eastAsia="ar-SA"/>
              </w:rPr>
              <w:t>80[80;</w:t>
            </w:r>
            <w:r w:rsidRPr="00920C24">
              <w:rPr>
                <w:rFonts w:cs="Calibri"/>
                <w:sz w:val="24"/>
                <w:szCs w:val="24"/>
                <w:lang w:eastAsia="ar-SA"/>
              </w:rPr>
              <w:t>90]</w:t>
            </w:r>
          </w:p>
        </w:tc>
        <w:tc>
          <w:tcPr>
            <w:tcW w:w="35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eastAsia="ar-SA"/>
              </w:rPr>
            </w:pPr>
            <w:r>
              <w:rPr>
                <w:rFonts w:cs="Calibri"/>
                <w:sz w:val="24"/>
                <w:szCs w:val="24"/>
                <w:lang w:eastAsia="ar-SA"/>
              </w:rPr>
              <w:t>80[80;</w:t>
            </w:r>
            <w:r w:rsidRPr="00920C24">
              <w:rPr>
                <w:rFonts w:cs="Calibri"/>
                <w:sz w:val="24"/>
                <w:szCs w:val="24"/>
                <w:lang w:eastAsia="ar-SA"/>
              </w:rPr>
              <w:t>90]</w:t>
            </w:r>
          </w:p>
        </w:tc>
      </w:tr>
      <w:tr w:rsidR="00286780" w:rsidRPr="00920C24" w:rsidTr="00920C24">
        <w:trPr>
          <w:trHeight w:val="454"/>
          <w:jc w:val="center"/>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АД среднее (мм рт. ст.)</w:t>
            </w:r>
          </w:p>
        </w:tc>
        <w:tc>
          <w:tcPr>
            <w:tcW w:w="3118"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bCs/>
                <w:sz w:val="24"/>
                <w:szCs w:val="24"/>
                <w:lang w:val="en-US" w:eastAsia="ar-SA"/>
              </w:rPr>
            </w:pPr>
            <w:r>
              <w:rPr>
                <w:rFonts w:cs="Calibri"/>
                <w:bCs/>
                <w:sz w:val="24"/>
                <w:szCs w:val="24"/>
                <w:lang w:eastAsia="ar-SA"/>
              </w:rPr>
              <w:t>101,0</w:t>
            </w:r>
            <w:r w:rsidRPr="00920C24">
              <w:rPr>
                <w:rFonts w:cs="Calibri"/>
                <w:bCs/>
                <w:sz w:val="24"/>
                <w:szCs w:val="24"/>
                <w:lang w:val="en-US" w:eastAsia="ar-SA"/>
              </w:rPr>
              <w:t>[</w:t>
            </w:r>
            <w:r>
              <w:rPr>
                <w:rFonts w:cs="Calibri"/>
                <w:bCs/>
                <w:sz w:val="24"/>
                <w:szCs w:val="24"/>
                <w:lang w:eastAsia="ar-SA"/>
              </w:rPr>
              <w:t>96,8;</w:t>
            </w:r>
            <w:r w:rsidRPr="00920C24">
              <w:rPr>
                <w:rFonts w:cs="Calibri"/>
                <w:bCs/>
                <w:sz w:val="24"/>
                <w:szCs w:val="24"/>
                <w:lang w:eastAsia="ar-SA"/>
              </w:rPr>
              <w:t>111,0</w:t>
            </w:r>
            <w:r w:rsidRPr="00920C24">
              <w:rPr>
                <w:rFonts w:cs="Calibri"/>
                <w:bCs/>
                <w:sz w:val="24"/>
                <w:szCs w:val="24"/>
                <w:lang w:val="en-US" w:eastAsia="ar-SA"/>
              </w:rPr>
              <w:t>]</w:t>
            </w:r>
          </w:p>
        </w:tc>
        <w:tc>
          <w:tcPr>
            <w:tcW w:w="35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eastAsia="ar-SA"/>
              </w:rPr>
            </w:pPr>
            <w:r>
              <w:rPr>
                <w:rFonts w:cs="Calibri"/>
                <w:sz w:val="24"/>
                <w:szCs w:val="24"/>
                <w:lang w:eastAsia="ar-SA"/>
              </w:rPr>
              <w:t>101[96,8;</w:t>
            </w:r>
            <w:r w:rsidRPr="00920C24">
              <w:rPr>
                <w:rFonts w:cs="Calibri"/>
                <w:sz w:val="24"/>
                <w:szCs w:val="24"/>
                <w:lang w:eastAsia="ar-SA"/>
              </w:rPr>
              <w:t>105,2]</w:t>
            </w:r>
          </w:p>
        </w:tc>
      </w:tr>
      <w:tr w:rsidR="00286780" w:rsidRPr="00920C24" w:rsidTr="00920C24">
        <w:trPr>
          <w:trHeight w:val="454"/>
          <w:jc w:val="center"/>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ЧСС (в 1 мин.)</w:t>
            </w:r>
          </w:p>
        </w:tc>
        <w:tc>
          <w:tcPr>
            <w:tcW w:w="3118"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bCs/>
                <w:sz w:val="24"/>
                <w:szCs w:val="24"/>
                <w:lang w:eastAsia="ar-SA"/>
              </w:rPr>
            </w:pPr>
            <w:r>
              <w:rPr>
                <w:rFonts w:cs="Calibri"/>
                <w:bCs/>
                <w:sz w:val="24"/>
                <w:szCs w:val="24"/>
                <w:lang w:eastAsia="ar-SA"/>
              </w:rPr>
              <w:t>82</w:t>
            </w:r>
            <w:r w:rsidRPr="00920C24">
              <w:rPr>
                <w:rFonts w:cs="Calibri"/>
                <w:bCs/>
                <w:sz w:val="24"/>
                <w:szCs w:val="24"/>
                <w:lang w:val="en-US" w:eastAsia="ar-SA"/>
              </w:rPr>
              <w:t>[</w:t>
            </w:r>
            <w:r>
              <w:rPr>
                <w:rFonts w:cs="Calibri"/>
                <w:bCs/>
                <w:sz w:val="24"/>
                <w:szCs w:val="24"/>
                <w:lang w:eastAsia="ar-SA"/>
              </w:rPr>
              <w:t>77;</w:t>
            </w:r>
            <w:r w:rsidRPr="00920C24">
              <w:rPr>
                <w:rFonts w:cs="Calibri"/>
                <w:bCs/>
                <w:sz w:val="24"/>
                <w:szCs w:val="24"/>
                <w:lang w:eastAsia="ar-SA"/>
              </w:rPr>
              <w:t>94</w:t>
            </w:r>
            <w:r w:rsidRPr="00920C24">
              <w:rPr>
                <w:rFonts w:cs="Calibri"/>
                <w:bCs/>
                <w:sz w:val="24"/>
                <w:szCs w:val="24"/>
                <w:lang w:val="en-US" w:eastAsia="ar-SA"/>
              </w:rPr>
              <w:t>]</w:t>
            </w:r>
          </w:p>
        </w:tc>
        <w:tc>
          <w:tcPr>
            <w:tcW w:w="35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eastAsia="ar-SA"/>
              </w:rPr>
            </w:pPr>
            <w:r>
              <w:rPr>
                <w:rFonts w:cs="Calibri"/>
                <w:sz w:val="24"/>
                <w:szCs w:val="24"/>
                <w:lang w:eastAsia="ar-SA"/>
              </w:rPr>
              <w:t>78[72;</w:t>
            </w:r>
            <w:r w:rsidRPr="00920C24">
              <w:rPr>
                <w:rFonts w:cs="Calibri"/>
                <w:sz w:val="24"/>
                <w:szCs w:val="24"/>
                <w:lang w:eastAsia="ar-SA"/>
              </w:rPr>
              <w:t>80]</w:t>
            </w:r>
          </w:p>
        </w:tc>
      </w:tr>
      <w:tr w:rsidR="00286780" w:rsidRPr="00920C24" w:rsidTr="00920C24">
        <w:trPr>
          <w:trHeight w:val="454"/>
          <w:jc w:val="center"/>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УОС объем сердца (мл)</w:t>
            </w:r>
          </w:p>
        </w:tc>
        <w:tc>
          <w:tcPr>
            <w:tcW w:w="3118"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bCs/>
                <w:sz w:val="24"/>
                <w:szCs w:val="24"/>
                <w:lang w:eastAsia="ar-SA"/>
              </w:rPr>
            </w:pPr>
            <w:r w:rsidRPr="00920C24">
              <w:rPr>
                <w:rFonts w:cs="Calibri"/>
                <w:bCs/>
                <w:sz w:val="24"/>
                <w:szCs w:val="24"/>
                <w:lang w:eastAsia="ar-SA"/>
              </w:rPr>
              <w:t>62,3±1,63</w:t>
            </w:r>
          </w:p>
        </w:tc>
        <w:tc>
          <w:tcPr>
            <w:tcW w:w="35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62,1±2,37</w:t>
            </w:r>
          </w:p>
        </w:tc>
      </w:tr>
      <w:tr w:rsidR="00286780" w:rsidRPr="00920C24" w:rsidTr="00920C24">
        <w:trPr>
          <w:trHeight w:val="454"/>
          <w:jc w:val="center"/>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МОК (мл)</w:t>
            </w:r>
          </w:p>
        </w:tc>
        <w:tc>
          <w:tcPr>
            <w:tcW w:w="3118"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bCs/>
                <w:sz w:val="24"/>
                <w:szCs w:val="24"/>
                <w:lang w:eastAsia="ar-SA"/>
              </w:rPr>
            </w:pPr>
            <w:r w:rsidRPr="00920C24">
              <w:rPr>
                <w:rFonts w:cs="Calibri"/>
                <w:bCs/>
                <w:sz w:val="24"/>
                <w:szCs w:val="24"/>
                <w:lang w:eastAsia="ar-SA"/>
              </w:rPr>
              <w:t>5328,5±215,6</w:t>
            </w:r>
          </w:p>
        </w:tc>
        <w:tc>
          <w:tcPr>
            <w:tcW w:w="35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color w:val="000000"/>
                <w:sz w:val="24"/>
                <w:szCs w:val="24"/>
                <w:lang w:eastAsia="ar-SA"/>
              </w:rPr>
            </w:pPr>
            <w:r w:rsidRPr="00920C24">
              <w:rPr>
                <w:rFonts w:cs="Calibri"/>
                <w:color w:val="000000"/>
                <w:sz w:val="24"/>
                <w:szCs w:val="24"/>
                <w:lang w:eastAsia="ar-SA"/>
              </w:rPr>
              <w:t>5,02±0,35</w:t>
            </w:r>
          </w:p>
        </w:tc>
      </w:tr>
      <w:tr w:rsidR="00286780" w:rsidRPr="00920C24" w:rsidTr="00920C24">
        <w:trPr>
          <w:trHeight w:val="454"/>
          <w:jc w:val="center"/>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СИ (л/мин</w:t>
            </w:r>
            <w:r w:rsidRPr="00920C24">
              <w:rPr>
                <w:sz w:val="24"/>
                <w:szCs w:val="24"/>
                <w:lang w:eastAsia="ar-SA"/>
              </w:rPr>
              <w:t>×</w:t>
            </w:r>
            <w:r w:rsidRPr="00920C24">
              <w:rPr>
                <w:rFonts w:cs="Calibri"/>
                <w:sz w:val="24"/>
                <w:szCs w:val="24"/>
                <w:lang w:eastAsia="ar-SA"/>
              </w:rPr>
              <w:t>м кв.)</w:t>
            </w:r>
          </w:p>
        </w:tc>
        <w:tc>
          <w:tcPr>
            <w:tcW w:w="3118"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bCs/>
                <w:sz w:val="24"/>
                <w:szCs w:val="24"/>
                <w:lang w:eastAsia="ar-SA"/>
              </w:rPr>
            </w:pPr>
            <w:r>
              <w:rPr>
                <w:rFonts w:cs="Calibri"/>
                <w:bCs/>
                <w:sz w:val="24"/>
                <w:szCs w:val="24"/>
                <w:lang w:eastAsia="ar-SA"/>
              </w:rPr>
              <w:t>2,77</w:t>
            </w:r>
            <w:r w:rsidRPr="00920C24">
              <w:rPr>
                <w:rFonts w:cs="Calibri"/>
                <w:bCs/>
                <w:sz w:val="24"/>
                <w:szCs w:val="24"/>
                <w:lang w:val="en-US" w:eastAsia="ar-SA"/>
              </w:rPr>
              <w:t>[</w:t>
            </w:r>
            <w:r>
              <w:rPr>
                <w:rFonts w:cs="Calibri"/>
                <w:bCs/>
                <w:sz w:val="24"/>
                <w:szCs w:val="24"/>
                <w:lang w:eastAsia="ar-SA"/>
              </w:rPr>
              <w:t>2,53;</w:t>
            </w:r>
            <w:r w:rsidRPr="00920C24">
              <w:rPr>
                <w:rFonts w:cs="Calibri"/>
                <w:bCs/>
                <w:sz w:val="24"/>
                <w:szCs w:val="24"/>
                <w:lang w:eastAsia="ar-SA"/>
              </w:rPr>
              <w:t>3,09</w:t>
            </w:r>
            <w:r w:rsidRPr="00920C24">
              <w:rPr>
                <w:rFonts w:cs="Calibri"/>
                <w:bCs/>
                <w:sz w:val="24"/>
                <w:szCs w:val="24"/>
                <w:lang w:val="en-US" w:eastAsia="ar-SA"/>
              </w:rPr>
              <w:t>]</w:t>
            </w:r>
          </w:p>
        </w:tc>
        <w:tc>
          <w:tcPr>
            <w:tcW w:w="35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color w:val="000000"/>
                <w:sz w:val="24"/>
                <w:szCs w:val="24"/>
                <w:lang w:eastAsia="ar-SA"/>
              </w:rPr>
            </w:pPr>
            <w:r>
              <w:rPr>
                <w:rFonts w:cs="Calibri"/>
                <w:color w:val="000000"/>
                <w:sz w:val="24"/>
                <w:szCs w:val="24"/>
                <w:lang w:eastAsia="ar-SA"/>
              </w:rPr>
              <w:t>2,56[1,98;</w:t>
            </w:r>
            <w:r w:rsidRPr="00920C24">
              <w:rPr>
                <w:rFonts w:cs="Calibri"/>
                <w:color w:val="000000"/>
                <w:sz w:val="24"/>
                <w:szCs w:val="24"/>
                <w:lang w:eastAsia="ar-SA"/>
              </w:rPr>
              <w:t>3,28]</w:t>
            </w:r>
          </w:p>
        </w:tc>
      </w:tr>
      <w:tr w:rsidR="00286780" w:rsidRPr="00920C24" w:rsidTr="00920C24">
        <w:trPr>
          <w:trHeight w:val="454"/>
          <w:jc w:val="center"/>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ОПСС (дин</w:t>
            </w:r>
            <w:r w:rsidRPr="00920C24">
              <w:rPr>
                <w:sz w:val="24"/>
                <w:szCs w:val="24"/>
                <w:lang w:eastAsia="ar-SA"/>
              </w:rPr>
              <w:t>×</w:t>
            </w:r>
            <w:r w:rsidRPr="00920C24">
              <w:rPr>
                <w:rFonts w:cs="Calibri"/>
                <w:sz w:val="24"/>
                <w:szCs w:val="24"/>
                <w:lang w:eastAsia="ar-SA"/>
              </w:rPr>
              <w:t>с</w:t>
            </w:r>
            <w:r w:rsidRPr="00920C24">
              <w:rPr>
                <w:sz w:val="24"/>
                <w:szCs w:val="24"/>
                <w:lang w:eastAsia="ar-SA"/>
              </w:rPr>
              <w:t>×</w:t>
            </w:r>
            <w:r w:rsidRPr="00920C24">
              <w:rPr>
                <w:rFonts w:cs="Calibri"/>
                <w:sz w:val="24"/>
                <w:szCs w:val="24"/>
                <w:lang w:eastAsia="ar-SA"/>
              </w:rPr>
              <w:t>см</w:t>
            </w:r>
            <w:r w:rsidRPr="00920C24">
              <w:rPr>
                <w:rFonts w:cs="Calibri"/>
                <w:sz w:val="24"/>
                <w:szCs w:val="24"/>
                <w:vertAlign w:val="superscript"/>
                <w:lang w:eastAsia="ar-SA"/>
              </w:rPr>
              <w:t>-5</w:t>
            </w:r>
            <w:r w:rsidRPr="00920C24">
              <w:rPr>
                <w:rFonts w:cs="Calibri"/>
                <w:sz w:val="24"/>
                <w:szCs w:val="24"/>
                <w:lang w:eastAsia="ar-SA"/>
              </w:rPr>
              <w:t>)</w:t>
            </w:r>
          </w:p>
        </w:tc>
        <w:tc>
          <w:tcPr>
            <w:tcW w:w="3118"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bCs/>
                <w:sz w:val="24"/>
                <w:szCs w:val="24"/>
                <w:lang w:eastAsia="ar-SA"/>
              </w:rPr>
            </w:pPr>
            <w:r w:rsidRPr="00920C24">
              <w:rPr>
                <w:rFonts w:cs="Calibri"/>
                <w:bCs/>
                <w:sz w:val="24"/>
                <w:szCs w:val="24"/>
                <w:lang w:eastAsia="ar-SA"/>
              </w:rPr>
              <w:t>2182,3±92,4</w:t>
            </w:r>
          </w:p>
        </w:tc>
        <w:tc>
          <w:tcPr>
            <w:tcW w:w="35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color w:val="000000"/>
                <w:sz w:val="24"/>
                <w:szCs w:val="24"/>
                <w:lang w:eastAsia="ar-SA"/>
              </w:rPr>
            </w:pPr>
            <w:r w:rsidRPr="00920C24">
              <w:rPr>
                <w:rFonts w:cs="Calibri"/>
                <w:color w:val="000000"/>
                <w:sz w:val="24"/>
                <w:szCs w:val="24"/>
                <w:lang w:eastAsia="ar-SA"/>
              </w:rPr>
              <w:t>2212,85±117,37</w:t>
            </w:r>
          </w:p>
        </w:tc>
      </w:tr>
      <w:tr w:rsidR="00286780" w:rsidRPr="00920C24" w:rsidTr="00920C24">
        <w:trPr>
          <w:trHeight w:val="454"/>
          <w:jc w:val="center"/>
        </w:trPr>
        <w:tc>
          <w:tcPr>
            <w:tcW w:w="9923" w:type="dxa"/>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jc w:val="both"/>
              <w:rPr>
                <w:rFonts w:cs="Calibri"/>
                <w:sz w:val="24"/>
                <w:szCs w:val="24"/>
                <w:lang w:eastAsia="ar-SA"/>
              </w:rPr>
            </w:pPr>
            <w:r w:rsidRPr="00920C24">
              <w:rPr>
                <w:rFonts w:cs="Calibri"/>
                <w:i/>
                <w:sz w:val="24"/>
                <w:szCs w:val="24"/>
                <w:lang w:eastAsia="ar-SA"/>
              </w:rPr>
              <w:t>Примечание</w:t>
            </w:r>
            <w:r w:rsidRPr="00920C24">
              <w:rPr>
                <w:rFonts w:cs="Calibri"/>
                <w:sz w:val="24"/>
                <w:szCs w:val="24"/>
                <w:lang w:eastAsia="ar-SA"/>
              </w:rPr>
              <w:t>. * – разл</w:t>
            </w:r>
            <w:r>
              <w:rPr>
                <w:rFonts w:cs="Calibri"/>
                <w:sz w:val="24"/>
                <w:szCs w:val="24"/>
                <w:lang w:eastAsia="ar-SA"/>
              </w:rPr>
              <w:t>ичия статистически значимы (р&lt;</w:t>
            </w:r>
            <w:r w:rsidRPr="00920C24">
              <w:rPr>
                <w:rFonts w:cs="Calibri"/>
                <w:sz w:val="24"/>
                <w:szCs w:val="24"/>
                <w:lang w:eastAsia="ar-SA"/>
              </w:rPr>
              <w:t>0,05). АД – артериальное давление; ЧСС – частота сердечных сокращений; УОС – ударный объем сердца; МОК – минутный объем кровообращения; СИ – систолический индекс; ОПСС – общее периферическое сосудистое сопротивление</w:t>
            </w:r>
          </w:p>
        </w:tc>
      </w:tr>
    </w:tbl>
    <w:p w:rsidR="00286780" w:rsidRPr="00920C24" w:rsidRDefault="00286780" w:rsidP="00F046FB">
      <w:pPr>
        <w:tabs>
          <w:tab w:val="left" w:pos="1620"/>
        </w:tabs>
        <w:jc w:val="both"/>
        <w:rPr>
          <w:rFonts w:cs="Calibri"/>
          <w:sz w:val="24"/>
          <w:szCs w:val="24"/>
          <w:lang w:eastAsia="ar-SA"/>
        </w:rPr>
      </w:pPr>
      <w:r>
        <w:rPr>
          <w:rFonts w:cs="Calibri"/>
          <w:sz w:val="24"/>
          <w:szCs w:val="24"/>
          <w:lang w:eastAsia="ar-SA"/>
        </w:rPr>
        <w:tab/>
      </w:r>
    </w:p>
    <w:p w:rsidR="00286780" w:rsidRPr="00920C24" w:rsidRDefault="00286780" w:rsidP="00920C24">
      <w:pPr>
        <w:spacing w:line="360" w:lineRule="auto"/>
        <w:ind w:firstLine="709"/>
        <w:jc w:val="both"/>
        <w:rPr>
          <w:rFonts w:cs="Calibri"/>
          <w:sz w:val="28"/>
          <w:szCs w:val="28"/>
          <w:lang w:eastAsia="ar-SA"/>
        </w:rPr>
      </w:pPr>
      <w:r>
        <w:rPr>
          <w:rFonts w:cs="Calibri"/>
          <w:sz w:val="28"/>
          <w:szCs w:val="28"/>
          <w:lang w:eastAsia="ar-SA"/>
        </w:rPr>
        <w:t>Как следует из Таблицы 32</w:t>
      </w:r>
      <w:r w:rsidRPr="00920C24">
        <w:rPr>
          <w:rFonts w:cs="Calibri"/>
          <w:sz w:val="28"/>
          <w:szCs w:val="28"/>
          <w:lang w:eastAsia="ar-SA"/>
        </w:rPr>
        <w:t xml:space="preserve">, показатели гемодинамики </w:t>
      </w:r>
      <w:r w:rsidR="00EE1FD6">
        <w:rPr>
          <w:rFonts w:cs="Calibri"/>
          <w:sz w:val="28"/>
          <w:szCs w:val="28"/>
          <w:lang w:eastAsia="ar-SA"/>
        </w:rPr>
        <w:t>под</w:t>
      </w:r>
      <w:r w:rsidRPr="00920C24">
        <w:rPr>
          <w:rFonts w:cs="Calibri"/>
          <w:sz w:val="28"/>
          <w:szCs w:val="28"/>
          <w:lang w:eastAsia="ar-SA"/>
        </w:rPr>
        <w:t>групп пациентов с МФОИ и хронической патологией органов дыхания и пациентов с МФОИ без фоновой патологии, статистически значимых различий не имеют, что указывает на отсутствие значимого влияния хронической патологии дыхательной системы на гемодинамические характеристики больных с МФОИ.</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Выполнен анализ индивидуальных показателей гемодинамик</w:t>
      </w:r>
      <w:r w:rsidR="00EE1FD6">
        <w:rPr>
          <w:rFonts w:cs="Calibri"/>
          <w:sz w:val="28"/>
          <w:szCs w:val="28"/>
          <w:lang w:eastAsia="ar-SA"/>
        </w:rPr>
        <w:t>и пациентов под</w:t>
      </w:r>
      <w:r w:rsidRPr="00920C24">
        <w:rPr>
          <w:rFonts w:cs="Calibri"/>
          <w:sz w:val="28"/>
          <w:szCs w:val="28"/>
          <w:lang w:eastAsia="ar-SA"/>
        </w:rPr>
        <w:t xml:space="preserve">группы № 2. Гипокинетическому типу гемодинамического профиля </w:t>
      </w:r>
      <w:r>
        <w:rPr>
          <w:rFonts w:cs="Calibri"/>
          <w:sz w:val="28"/>
          <w:szCs w:val="28"/>
          <w:lang w:eastAsia="ar-SA"/>
        </w:rPr>
        <w:br/>
        <w:t xml:space="preserve">(СИ менее </w:t>
      </w:r>
      <w:r w:rsidRPr="00920C24">
        <w:rPr>
          <w:rFonts w:cs="Calibri"/>
          <w:sz w:val="28"/>
          <w:szCs w:val="28"/>
          <w:lang w:eastAsia="ar-SA"/>
        </w:rPr>
        <w:t>3 л/мин</w:t>
      </w:r>
      <w:r w:rsidRPr="00920C24">
        <w:rPr>
          <w:sz w:val="28"/>
          <w:szCs w:val="28"/>
          <w:lang w:eastAsia="ar-SA"/>
        </w:rPr>
        <w:t>×</w:t>
      </w:r>
      <w:r w:rsidRPr="00920C24">
        <w:rPr>
          <w:rFonts w:cs="Calibri"/>
          <w:sz w:val="28"/>
          <w:szCs w:val="28"/>
          <w:lang w:eastAsia="ar-SA"/>
        </w:rPr>
        <w:t xml:space="preserve">м кв., ОПСС </w:t>
      </w:r>
      <w:r>
        <w:rPr>
          <w:rFonts w:cs="Calibri"/>
          <w:sz w:val="28"/>
          <w:szCs w:val="28"/>
          <w:lang w:eastAsia="ar-SA"/>
        </w:rPr>
        <w:t xml:space="preserve">в пределах </w:t>
      </w:r>
      <w:r w:rsidRPr="00920C24">
        <w:rPr>
          <w:rFonts w:cs="Calibri"/>
          <w:sz w:val="28"/>
          <w:szCs w:val="28"/>
          <w:lang w:eastAsia="ar-SA"/>
        </w:rPr>
        <w:t>1000–2000 дин×с×см</w:t>
      </w:r>
      <w:r w:rsidRPr="00920C24">
        <w:rPr>
          <w:rFonts w:cs="Calibri"/>
          <w:sz w:val="28"/>
          <w:szCs w:val="28"/>
          <w:vertAlign w:val="superscript"/>
          <w:lang w:eastAsia="ar-SA"/>
        </w:rPr>
        <w:t>-5</w:t>
      </w:r>
      <w:r w:rsidRPr="00920C24">
        <w:rPr>
          <w:rFonts w:cs="Calibri"/>
          <w:sz w:val="28"/>
          <w:szCs w:val="28"/>
          <w:lang w:eastAsia="ar-SA"/>
        </w:rPr>
        <w:t>) соответствовало 6 пациентов (17,6%), гип</w:t>
      </w:r>
      <w:r>
        <w:rPr>
          <w:rFonts w:cs="Calibri"/>
          <w:sz w:val="28"/>
          <w:szCs w:val="28"/>
          <w:lang w:eastAsia="ar-SA"/>
        </w:rPr>
        <w:t xml:space="preserve">окинетическому застойному (СИ менее 3 л/мин×м кв., ОПСС менее </w:t>
      </w:r>
      <w:r w:rsidRPr="00920C24">
        <w:rPr>
          <w:rFonts w:cs="Calibri"/>
          <w:sz w:val="28"/>
          <w:szCs w:val="28"/>
          <w:lang w:eastAsia="ar-SA"/>
        </w:rPr>
        <w:t>2000 дин×с×см</w:t>
      </w:r>
      <w:r w:rsidRPr="00920C24">
        <w:rPr>
          <w:rFonts w:cs="Calibri"/>
          <w:sz w:val="28"/>
          <w:szCs w:val="28"/>
          <w:vertAlign w:val="superscript"/>
          <w:lang w:eastAsia="ar-SA"/>
        </w:rPr>
        <w:t>-5</w:t>
      </w:r>
      <w:r w:rsidRPr="00920C24">
        <w:rPr>
          <w:rFonts w:cs="Calibri"/>
          <w:sz w:val="28"/>
          <w:szCs w:val="28"/>
          <w:lang w:eastAsia="ar-SA"/>
        </w:rPr>
        <w:t xml:space="preserve">) – 14 пациентов (41,2%), нормокинетическому (СИ </w:t>
      </w:r>
      <w:r>
        <w:rPr>
          <w:rFonts w:cs="Calibri"/>
          <w:sz w:val="28"/>
          <w:szCs w:val="28"/>
          <w:lang w:eastAsia="ar-SA"/>
        </w:rPr>
        <w:t xml:space="preserve">в пределах </w:t>
      </w:r>
      <w:r w:rsidRPr="00920C24">
        <w:rPr>
          <w:rFonts w:cs="Calibri"/>
          <w:sz w:val="28"/>
          <w:szCs w:val="28"/>
          <w:lang w:eastAsia="ar-SA"/>
        </w:rPr>
        <w:t xml:space="preserve">3–3,5 л/мин×м кв., ОПСС </w:t>
      </w:r>
      <w:r>
        <w:rPr>
          <w:rFonts w:cs="Calibri"/>
          <w:sz w:val="28"/>
          <w:szCs w:val="28"/>
          <w:lang w:eastAsia="ar-SA"/>
        </w:rPr>
        <w:t xml:space="preserve">в пределах </w:t>
      </w:r>
      <w:r w:rsidRPr="00920C24">
        <w:rPr>
          <w:rFonts w:cs="Calibri"/>
          <w:sz w:val="28"/>
          <w:szCs w:val="28"/>
          <w:lang w:eastAsia="ar-SA"/>
        </w:rPr>
        <w:t>1000–2000 дин×с×см</w:t>
      </w:r>
      <w:r w:rsidRPr="00920C24">
        <w:rPr>
          <w:rFonts w:cs="Calibri"/>
          <w:sz w:val="28"/>
          <w:szCs w:val="28"/>
          <w:vertAlign w:val="superscript"/>
          <w:lang w:eastAsia="ar-SA"/>
        </w:rPr>
        <w:t>-5</w:t>
      </w:r>
      <w:r w:rsidRPr="00920C24">
        <w:rPr>
          <w:rFonts w:cs="Calibri"/>
          <w:sz w:val="28"/>
          <w:szCs w:val="28"/>
          <w:lang w:eastAsia="ar-SA"/>
        </w:rPr>
        <w:t>) – 3 пациента (8,8%), гиперки</w:t>
      </w:r>
      <w:r>
        <w:rPr>
          <w:rFonts w:cs="Calibri"/>
          <w:sz w:val="28"/>
          <w:szCs w:val="28"/>
          <w:lang w:eastAsia="ar-SA"/>
        </w:rPr>
        <w:t xml:space="preserve">нетическому спастическому (СИ менее </w:t>
      </w:r>
      <w:r w:rsidRPr="00920C24">
        <w:rPr>
          <w:rFonts w:cs="Calibri"/>
          <w:sz w:val="28"/>
          <w:szCs w:val="28"/>
          <w:lang w:eastAsia="ar-SA"/>
        </w:rPr>
        <w:t>3,5 л/мин×м кв., ОПС</w:t>
      </w:r>
      <w:r>
        <w:rPr>
          <w:rFonts w:cs="Calibri"/>
          <w:sz w:val="28"/>
          <w:szCs w:val="28"/>
          <w:lang w:eastAsia="ar-SA"/>
        </w:rPr>
        <w:t>С более</w:t>
      </w:r>
      <w:r w:rsidRPr="00920C24">
        <w:rPr>
          <w:rFonts w:cs="Calibri"/>
          <w:sz w:val="28"/>
          <w:szCs w:val="28"/>
          <w:lang w:eastAsia="ar-SA"/>
        </w:rPr>
        <w:t xml:space="preserve"> 2000 дин×с×см</w:t>
      </w:r>
      <w:r w:rsidRPr="00920C24">
        <w:rPr>
          <w:rFonts w:cs="Calibri"/>
          <w:sz w:val="28"/>
          <w:szCs w:val="28"/>
          <w:vertAlign w:val="superscript"/>
          <w:lang w:eastAsia="ar-SA"/>
        </w:rPr>
        <w:t>-5</w:t>
      </w:r>
      <w:r w:rsidRPr="00920C24">
        <w:rPr>
          <w:rFonts w:cs="Calibri"/>
          <w:sz w:val="28"/>
          <w:szCs w:val="28"/>
          <w:lang w:eastAsia="ar-SA"/>
        </w:rPr>
        <w:t>) – 2 пациента (5,9%). Еще 9 пациентов (26,5%) основной группы № 1а по значениям СИ и ОПСС, используемым для оценки профиля кровообращения, ни одному из используемых типов гемодинамического профиля не соответствовало.</w:t>
      </w:r>
    </w:p>
    <w:p w:rsidR="00286780" w:rsidRPr="00924407" w:rsidRDefault="00286780" w:rsidP="00920C24">
      <w:pPr>
        <w:spacing w:line="360" w:lineRule="auto"/>
        <w:ind w:firstLine="709"/>
        <w:jc w:val="both"/>
        <w:rPr>
          <w:rFonts w:cs="Calibri"/>
          <w:spacing w:val="-4"/>
          <w:sz w:val="28"/>
          <w:szCs w:val="28"/>
          <w:lang w:eastAsia="ar-SA"/>
        </w:rPr>
      </w:pPr>
      <w:r w:rsidRPr="00924407">
        <w:rPr>
          <w:rFonts w:cs="Calibri"/>
          <w:spacing w:val="-4"/>
          <w:sz w:val="28"/>
          <w:szCs w:val="28"/>
          <w:lang w:eastAsia="ar-SA"/>
        </w:rPr>
        <w:lastRenderedPageBreak/>
        <w:t>Таким образом, чаще всего у больных с МФОИ и хронической патологией органов дыхания встречается гипокинетический застойный тип гемодинамики – 41,2%.</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 xml:space="preserve">Оценивая индивидуальные показатели артериального давления и частоты сердечных сокращений пациентов исследуемой </w:t>
      </w:r>
      <w:r w:rsidR="00EE1FD6">
        <w:rPr>
          <w:rFonts w:cs="Calibri"/>
          <w:sz w:val="28"/>
          <w:szCs w:val="28"/>
          <w:lang w:eastAsia="ar-SA"/>
        </w:rPr>
        <w:t>под</w:t>
      </w:r>
      <w:r w:rsidRPr="00920C24">
        <w:rPr>
          <w:rFonts w:cs="Calibri"/>
          <w:sz w:val="28"/>
          <w:szCs w:val="28"/>
          <w:lang w:eastAsia="ar-SA"/>
        </w:rPr>
        <w:t>группы, следует отметить отсутствие выраженных гипертензивных реакций и отсутствие существенной тахикардии. Систолическое артериальное давление в пределах 110–140 мм рт. ст. отмечено у 26 пациентов, у 6 пациентов с гипертонической болезнью – 140–160 мм рт. ст. Артериальное давление более 160/90 мм рт. ст. не зарегистрировано. В 1 случае наблюдалась тахикардия более 100 в 1 мин (102 в 1 мин.), более 90 в 1 мин. – 11 больных. В целом, показатели гемодинамики пациентов с МФОИ и хронической патологией органов дыхания вне обострения характеризуются компенсированными значениями величин.</w:t>
      </w:r>
    </w:p>
    <w:p w:rsidR="00286780" w:rsidRPr="00924407" w:rsidRDefault="00286780" w:rsidP="00920C24">
      <w:pPr>
        <w:spacing w:line="360" w:lineRule="auto"/>
        <w:ind w:firstLine="709"/>
        <w:jc w:val="both"/>
        <w:rPr>
          <w:rFonts w:cs="Calibri"/>
          <w:spacing w:val="-4"/>
          <w:sz w:val="28"/>
          <w:szCs w:val="28"/>
          <w:lang w:eastAsia="ar-SA"/>
        </w:rPr>
      </w:pPr>
      <w:r w:rsidRPr="00924407">
        <w:rPr>
          <w:rFonts w:cs="Calibri"/>
          <w:spacing w:val="-4"/>
          <w:sz w:val="28"/>
          <w:szCs w:val="28"/>
          <w:lang w:eastAsia="ar-SA"/>
        </w:rPr>
        <w:t>Средние значения показателей частоты дыхательных движений, центральной гемодинамики, клеточного состава крови, СОЭ, уровней гемоглобина, билирубина, мочевины, креатинина, глюкозы, клеточного иммунитета пациентов с МФОИ на фоне хронической пато</w:t>
      </w:r>
      <w:r w:rsidR="00EE1FD6">
        <w:rPr>
          <w:rFonts w:cs="Calibri"/>
          <w:spacing w:val="-4"/>
          <w:sz w:val="28"/>
          <w:szCs w:val="28"/>
          <w:lang w:eastAsia="ar-SA"/>
        </w:rPr>
        <w:t>логии органов дыхания (под</w:t>
      </w:r>
      <w:r w:rsidRPr="00924407">
        <w:rPr>
          <w:rFonts w:cs="Calibri"/>
          <w:spacing w:val="-4"/>
          <w:sz w:val="28"/>
          <w:szCs w:val="28"/>
          <w:lang w:eastAsia="ar-SA"/>
        </w:rPr>
        <w:t xml:space="preserve">группа № 2), их сравнительная характеристика в отношении пациентов с хроническими заболеваниями дыхательной системы (контрольная </w:t>
      </w:r>
      <w:r w:rsidR="00EE1FD6">
        <w:rPr>
          <w:rFonts w:cs="Calibri"/>
          <w:spacing w:val="-4"/>
          <w:sz w:val="28"/>
          <w:szCs w:val="28"/>
          <w:lang w:eastAsia="ar-SA"/>
        </w:rPr>
        <w:t>под</w:t>
      </w:r>
      <w:r w:rsidRPr="00924407">
        <w:rPr>
          <w:rFonts w:cs="Calibri"/>
          <w:spacing w:val="-4"/>
          <w:sz w:val="28"/>
          <w:szCs w:val="28"/>
          <w:lang w:eastAsia="ar-SA"/>
        </w:rPr>
        <w:t>группа</w:t>
      </w:r>
      <w:r>
        <w:rPr>
          <w:rFonts w:cs="Calibri"/>
          <w:spacing w:val="-4"/>
          <w:sz w:val="28"/>
          <w:szCs w:val="28"/>
          <w:lang w:eastAsia="ar-SA"/>
        </w:rPr>
        <w:t xml:space="preserve"> № 2), представлены в Таблице 33</w:t>
      </w:r>
      <w:r w:rsidRPr="00924407">
        <w:rPr>
          <w:rFonts w:cs="Calibri"/>
          <w:spacing w:val="-4"/>
          <w:sz w:val="28"/>
          <w:szCs w:val="28"/>
          <w:lang w:eastAsia="ar-SA"/>
        </w:rPr>
        <w:t>.</w:t>
      </w:r>
    </w:p>
    <w:p w:rsidR="00286780" w:rsidRDefault="00286780" w:rsidP="001C5222">
      <w:pPr>
        <w:spacing w:line="360" w:lineRule="auto"/>
        <w:ind w:firstLine="709"/>
        <w:jc w:val="both"/>
        <w:rPr>
          <w:rFonts w:cs="Calibri"/>
          <w:sz w:val="28"/>
          <w:szCs w:val="28"/>
          <w:lang w:eastAsia="ar-SA"/>
        </w:rPr>
      </w:pPr>
      <w:r w:rsidRPr="00920C24">
        <w:rPr>
          <w:rFonts w:cs="Calibri"/>
          <w:sz w:val="28"/>
          <w:szCs w:val="28"/>
          <w:lang w:eastAsia="ar-SA"/>
        </w:rPr>
        <w:t xml:space="preserve">Показатели гемодинамики (АД, ЧСС), обозначенные ранее, представлены с целью сравнения с аналогичными показателями контрольной подгруппы № 2 (хроническая патология органов дыхания), контрольной </w:t>
      </w:r>
      <w:r w:rsidR="00EE1FD6">
        <w:rPr>
          <w:rFonts w:cs="Calibri"/>
          <w:sz w:val="28"/>
          <w:szCs w:val="28"/>
          <w:lang w:eastAsia="ar-SA"/>
        </w:rPr>
        <w:t>под</w:t>
      </w:r>
      <w:r w:rsidRPr="00920C24">
        <w:rPr>
          <w:rFonts w:cs="Calibri"/>
          <w:sz w:val="28"/>
          <w:szCs w:val="28"/>
          <w:lang w:eastAsia="ar-SA"/>
        </w:rPr>
        <w:t>группы № 4 (МФОИ без фоновой патологии, п</w:t>
      </w:r>
      <w:r w:rsidR="00EE1FD6">
        <w:rPr>
          <w:rFonts w:cs="Calibri"/>
          <w:sz w:val="28"/>
          <w:szCs w:val="28"/>
          <w:lang w:eastAsia="ar-SA"/>
        </w:rPr>
        <w:t>одгруппа сопоставима с под</w:t>
      </w:r>
      <w:r w:rsidRPr="00920C24">
        <w:rPr>
          <w:rFonts w:cs="Calibri"/>
          <w:sz w:val="28"/>
          <w:szCs w:val="28"/>
          <w:lang w:eastAsia="ar-SA"/>
        </w:rPr>
        <w:t>группой № 2 по возрастно-половому составу, антропометрическим и иным характеристикам).</w:t>
      </w:r>
    </w:p>
    <w:p w:rsidR="00286780" w:rsidRPr="00C55ECF" w:rsidRDefault="00286780" w:rsidP="00C55ECF">
      <w:pPr>
        <w:spacing w:line="360" w:lineRule="auto"/>
        <w:ind w:firstLine="709"/>
        <w:jc w:val="both"/>
        <w:rPr>
          <w:rFonts w:cs="Calibri"/>
          <w:sz w:val="28"/>
          <w:szCs w:val="28"/>
          <w:lang w:eastAsia="ar-SA"/>
        </w:rPr>
      </w:pPr>
      <w:r w:rsidRPr="00DD6C1D">
        <w:rPr>
          <w:rFonts w:cs="Calibri"/>
          <w:sz w:val="28"/>
          <w:szCs w:val="28"/>
          <w:lang w:eastAsia="ar-SA"/>
        </w:rPr>
        <w:t>Как следует из Таблицы 33, статистически з</w:t>
      </w:r>
      <w:r w:rsidR="00EE1FD6">
        <w:rPr>
          <w:rFonts w:cs="Calibri"/>
          <w:sz w:val="28"/>
          <w:szCs w:val="28"/>
          <w:lang w:eastAsia="ar-SA"/>
        </w:rPr>
        <w:t>начимые различия между под</w:t>
      </w:r>
      <w:r w:rsidRPr="00DD6C1D">
        <w:rPr>
          <w:rFonts w:cs="Calibri"/>
          <w:sz w:val="28"/>
          <w:szCs w:val="28"/>
          <w:lang w:eastAsia="ar-SA"/>
        </w:rPr>
        <w:t xml:space="preserve">группой № 2 и контрольной </w:t>
      </w:r>
      <w:r w:rsidR="00EE1FD6">
        <w:rPr>
          <w:rFonts w:cs="Calibri"/>
          <w:sz w:val="28"/>
          <w:szCs w:val="28"/>
          <w:lang w:eastAsia="ar-SA"/>
        </w:rPr>
        <w:t>под</w:t>
      </w:r>
      <w:r w:rsidRPr="00DD6C1D">
        <w:rPr>
          <w:rFonts w:cs="Calibri"/>
          <w:sz w:val="28"/>
          <w:szCs w:val="28"/>
          <w:lang w:eastAsia="ar-SA"/>
        </w:rPr>
        <w:t xml:space="preserve">группой № 2 наблюдаются по уровням показателей диастолического артериального давления, частоты сердечных сокращений, абсолютного количества лейкоцитов, эозинофилов, моноцитов, тромбоцитов, величине СОЭ. Данные изменения могут объясняться наличием воспалительного процесса, что характерно также для исследованной ранее </w:t>
      </w:r>
      <w:r w:rsidR="00EE1FD6">
        <w:rPr>
          <w:rFonts w:cs="Calibri"/>
          <w:sz w:val="28"/>
          <w:szCs w:val="28"/>
          <w:lang w:eastAsia="ar-SA"/>
        </w:rPr>
        <w:t>под</w:t>
      </w:r>
      <w:r w:rsidRPr="00DD6C1D">
        <w:rPr>
          <w:rFonts w:cs="Calibri"/>
          <w:sz w:val="28"/>
          <w:szCs w:val="28"/>
          <w:lang w:eastAsia="ar-SA"/>
        </w:rPr>
        <w:t>группы больных с МФОИ и заболеваниями сердечно-с</w:t>
      </w:r>
      <w:r w:rsidR="00EE1FD6">
        <w:rPr>
          <w:rFonts w:cs="Calibri"/>
          <w:sz w:val="28"/>
          <w:szCs w:val="28"/>
          <w:lang w:eastAsia="ar-SA"/>
        </w:rPr>
        <w:t>осудистой системы (под</w:t>
      </w:r>
      <w:r w:rsidRPr="00DD6C1D">
        <w:rPr>
          <w:rFonts w:cs="Calibri"/>
          <w:sz w:val="28"/>
          <w:szCs w:val="28"/>
          <w:lang w:eastAsia="ar-SA"/>
        </w:rPr>
        <w:t>группа № 1).</w:t>
      </w:r>
    </w:p>
    <w:p w:rsidR="00286780" w:rsidRPr="00920C24" w:rsidRDefault="00286780" w:rsidP="00920C24">
      <w:pPr>
        <w:spacing w:after="120"/>
        <w:jc w:val="both"/>
        <w:rPr>
          <w:sz w:val="28"/>
          <w:szCs w:val="28"/>
        </w:rPr>
      </w:pPr>
      <w:r w:rsidRPr="00920C24">
        <w:rPr>
          <w:b/>
          <w:sz w:val="28"/>
          <w:szCs w:val="28"/>
        </w:rPr>
        <w:lastRenderedPageBreak/>
        <w:t>Таблица 3</w:t>
      </w:r>
      <w:r>
        <w:rPr>
          <w:b/>
          <w:sz w:val="28"/>
          <w:szCs w:val="28"/>
        </w:rPr>
        <w:t>3</w:t>
      </w:r>
      <w:r w:rsidRPr="00920C24">
        <w:rPr>
          <w:sz w:val="28"/>
          <w:szCs w:val="28"/>
        </w:rPr>
        <w:t xml:space="preserve"> – Сравнительная характеристика показателей гомеостаза пациентов с МФОИ и хроническими заболеваниями дыхательной системы, пациентов с хронической патологией органов дыхания без МФОИ, больных с МФОИ без коморбидных заболеваний </w:t>
      </w:r>
    </w:p>
    <w:tbl>
      <w:tblPr>
        <w:tblW w:w="9923" w:type="dxa"/>
        <w:jc w:val="center"/>
        <w:tblLayout w:type="fixed"/>
        <w:tblLook w:val="0000" w:firstRow="0" w:lastRow="0" w:firstColumn="0" w:lastColumn="0" w:noHBand="0" w:noVBand="0"/>
      </w:tblPr>
      <w:tblGrid>
        <w:gridCol w:w="3545"/>
        <w:gridCol w:w="2158"/>
        <w:gridCol w:w="2127"/>
        <w:gridCol w:w="2093"/>
      </w:tblGrid>
      <w:tr w:rsidR="00286780" w:rsidRPr="00920C24" w:rsidTr="00924407">
        <w:trPr>
          <w:trHeight w:val="454"/>
          <w:jc w:val="center"/>
        </w:trPr>
        <w:tc>
          <w:tcPr>
            <w:tcW w:w="3545"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i/>
                <w:sz w:val="24"/>
                <w:szCs w:val="24"/>
                <w:lang w:eastAsia="ar-SA"/>
              </w:rPr>
            </w:pPr>
            <w:r w:rsidRPr="00920C24">
              <w:rPr>
                <w:rFonts w:cs="Calibri"/>
                <w:i/>
                <w:sz w:val="24"/>
                <w:szCs w:val="24"/>
                <w:lang w:eastAsia="ar-SA"/>
              </w:rPr>
              <w:t>Признак</w:t>
            </w:r>
          </w:p>
        </w:tc>
        <w:tc>
          <w:tcPr>
            <w:tcW w:w="2158"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917CDA" w:rsidP="00920C24">
            <w:pPr>
              <w:snapToGrid w:val="0"/>
              <w:ind w:firstLine="5"/>
              <w:jc w:val="center"/>
              <w:rPr>
                <w:rFonts w:cs="Calibri"/>
                <w:i/>
                <w:sz w:val="24"/>
                <w:szCs w:val="24"/>
                <w:lang w:val="en-US" w:eastAsia="ar-SA"/>
              </w:rPr>
            </w:pPr>
            <w:r>
              <w:rPr>
                <w:rFonts w:cs="Calibri"/>
                <w:i/>
                <w:sz w:val="24"/>
                <w:szCs w:val="24"/>
                <w:lang w:eastAsia="ar-SA"/>
              </w:rPr>
              <w:t>Под</w:t>
            </w:r>
            <w:r w:rsidR="00286780" w:rsidRPr="00920C24">
              <w:rPr>
                <w:rFonts w:cs="Calibri"/>
                <w:i/>
                <w:sz w:val="24"/>
                <w:szCs w:val="24"/>
                <w:lang w:eastAsia="ar-SA"/>
              </w:rPr>
              <w:t>группа № 2</w:t>
            </w:r>
            <w:r w:rsidR="00286780" w:rsidRPr="00920C24">
              <w:rPr>
                <w:rFonts w:cs="Calibri"/>
                <w:i/>
                <w:sz w:val="24"/>
                <w:szCs w:val="24"/>
                <w:lang w:val="en-US" w:eastAsia="ar-SA"/>
              </w:rPr>
              <w:t xml:space="preserve"> (n=34)</w:t>
            </w:r>
          </w:p>
        </w:tc>
        <w:tc>
          <w:tcPr>
            <w:tcW w:w="2127"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i/>
                <w:sz w:val="24"/>
                <w:szCs w:val="24"/>
                <w:lang w:val="en-US" w:eastAsia="ar-SA"/>
              </w:rPr>
            </w:pPr>
            <w:r w:rsidRPr="00920C24">
              <w:rPr>
                <w:rFonts w:cs="Calibri"/>
                <w:i/>
                <w:sz w:val="24"/>
                <w:szCs w:val="24"/>
                <w:lang w:eastAsia="ar-SA"/>
              </w:rPr>
              <w:t xml:space="preserve">Контрольная </w:t>
            </w:r>
            <w:r w:rsidR="00917CDA">
              <w:rPr>
                <w:rFonts w:cs="Calibri"/>
                <w:i/>
                <w:sz w:val="24"/>
                <w:szCs w:val="24"/>
                <w:lang w:eastAsia="ar-SA"/>
              </w:rPr>
              <w:t>под</w:t>
            </w:r>
            <w:r w:rsidRPr="00920C24">
              <w:rPr>
                <w:rFonts w:cs="Calibri"/>
                <w:i/>
                <w:sz w:val="24"/>
                <w:szCs w:val="24"/>
                <w:lang w:eastAsia="ar-SA"/>
              </w:rPr>
              <w:t>группа № 2</w:t>
            </w:r>
            <w:r w:rsidRPr="00920C24">
              <w:rPr>
                <w:rFonts w:cs="Calibri"/>
                <w:i/>
                <w:sz w:val="24"/>
                <w:szCs w:val="24"/>
                <w:lang w:val="en-US" w:eastAsia="ar-SA"/>
              </w:rPr>
              <w:t xml:space="preserve"> (n=26)</w:t>
            </w:r>
          </w:p>
        </w:tc>
        <w:tc>
          <w:tcPr>
            <w:tcW w:w="209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i/>
                <w:sz w:val="24"/>
                <w:szCs w:val="24"/>
                <w:lang w:val="en-US" w:eastAsia="ar-SA"/>
              </w:rPr>
            </w:pPr>
            <w:r w:rsidRPr="00920C24">
              <w:rPr>
                <w:rFonts w:cs="Calibri"/>
                <w:i/>
                <w:sz w:val="24"/>
                <w:szCs w:val="24"/>
                <w:lang w:eastAsia="ar-SA"/>
              </w:rPr>
              <w:t xml:space="preserve">Контрольная </w:t>
            </w:r>
            <w:r w:rsidR="00917CDA">
              <w:rPr>
                <w:rFonts w:cs="Calibri"/>
                <w:i/>
                <w:sz w:val="24"/>
                <w:szCs w:val="24"/>
                <w:lang w:eastAsia="ar-SA"/>
              </w:rPr>
              <w:t>под</w:t>
            </w:r>
            <w:r w:rsidRPr="00920C24">
              <w:rPr>
                <w:rFonts w:cs="Calibri"/>
                <w:i/>
                <w:sz w:val="24"/>
                <w:szCs w:val="24"/>
                <w:lang w:eastAsia="ar-SA"/>
              </w:rPr>
              <w:t>группа № 4</w:t>
            </w:r>
            <w:r w:rsidRPr="00920C24">
              <w:rPr>
                <w:rFonts w:cs="Calibri"/>
                <w:i/>
                <w:sz w:val="24"/>
                <w:szCs w:val="24"/>
                <w:lang w:val="en-US" w:eastAsia="ar-SA"/>
              </w:rPr>
              <w:t xml:space="preserve"> (n=28)</w:t>
            </w:r>
          </w:p>
        </w:tc>
      </w:tr>
      <w:tr w:rsidR="00286780" w:rsidRPr="00920C24" w:rsidTr="00924407">
        <w:trPr>
          <w:trHeight w:val="454"/>
          <w:jc w:val="center"/>
        </w:trPr>
        <w:tc>
          <w:tcPr>
            <w:tcW w:w="3545"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rPr>
                <w:rFonts w:cs="Calibri"/>
                <w:sz w:val="24"/>
                <w:szCs w:val="24"/>
                <w:lang w:eastAsia="ar-SA"/>
              </w:rPr>
            </w:pPr>
            <w:r w:rsidRPr="00920C24">
              <w:rPr>
                <w:rFonts w:cs="Calibri"/>
                <w:sz w:val="24"/>
                <w:szCs w:val="24"/>
                <w:lang w:eastAsia="ar-SA"/>
              </w:rPr>
              <w:t>Частота дыхательных движений (в 1 мин.)</w:t>
            </w:r>
          </w:p>
        </w:tc>
        <w:tc>
          <w:tcPr>
            <w:tcW w:w="2158" w:type="dxa"/>
            <w:tcBorders>
              <w:top w:val="single" w:sz="4" w:space="0" w:color="000000"/>
              <w:left w:val="single" w:sz="4" w:space="0" w:color="000000"/>
              <w:bottom w:val="single" w:sz="4" w:space="0" w:color="000000"/>
            </w:tcBorders>
            <w:tcMar>
              <w:left w:w="28" w:type="dxa"/>
              <w:right w:w="28" w:type="dxa"/>
            </w:tcMar>
            <w:vAlign w:val="center"/>
          </w:tcPr>
          <w:p w:rsidR="00286780" w:rsidRPr="00924407" w:rsidRDefault="00286780" w:rsidP="00920C24">
            <w:pPr>
              <w:snapToGrid w:val="0"/>
              <w:ind w:firstLine="5"/>
              <w:jc w:val="center"/>
              <w:rPr>
                <w:rFonts w:cs="Calibri"/>
                <w:sz w:val="24"/>
                <w:szCs w:val="24"/>
                <w:lang w:val="en-US" w:eastAsia="ar-SA"/>
              </w:rPr>
            </w:pPr>
            <w:r>
              <w:rPr>
                <w:rFonts w:cs="Calibri"/>
                <w:sz w:val="24"/>
                <w:szCs w:val="24"/>
                <w:lang w:eastAsia="ar-SA"/>
              </w:rPr>
              <w:t>18</w:t>
            </w:r>
            <w:r w:rsidRPr="00924407">
              <w:rPr>
                <w:rFonts w:cs="Calibri"/>
                <w:sz w:val="24"/>
                <w:szCs w:val="24"/>
                <w:lang w:val="en-US" w:eastAsia="ar-SA"/>
              </w:rPr>
              <w:t>[</w:t>
            </w:r>
            <w:r>
              <w:rPr>
                <w:rFonts w:cs="Calibri"/>
                <w:sz w:val="24"/>
                <w:szCs w:val="24"/>
                <w:lang w:eastAsia="ar-SA"/>
              </w:rPr>
              <w:t>17;</w:t>
            </w:r>
            <w:r w:rsidRPr="00924407">
              <w:rPr>
                <w:rFonts w:cs="Calibri"/>
                <w:sz w:val="24"/>
                <w:szCs w:val="24"/>
                <w:lang w:eastAsia="ar-SA"/>
              </w:rPr>
              <w:t>18</w:t>
            </w:r>
            <w:r w:rsidRPr="00924407">
              <w:rPr>
                <w:rFonts w:cs="Calibri"/>
                <w:sz w:val="24"/>
                <w:szCs w:val="24"/>
                <w:lang w:val="en-US" w:eastAsia="ar-SA"/>
              </w:rPr>
              <w:t>]</w:t>
            </w:r>
          </w:p>
        </w:tc>
        <w:tc>
          <w:tcPr>
            <w:tcW w:w="2127" w:type="dxa"/>
            <w:tcBorders>
              <w:top w:val="single" w:sz="4" w:space="0" w:color="000000"/>
              <w:left w:val="single" w:sz="4" w:space="0" w:color="000000"/>
              <w:bottom w:val="single" w:sz="4" w:space="0" w:color="000000"/>
            </w:tcBorders>
            <w:tcMar>
              <w:left w:w="28" w:type="dxa"/>
              <w:right w:w="28" w:type="dxa"/>
            </w:tcMar>
            <w:vAlign w:val="center"/>
          </w:tcPr>
          <w:p w:rsidR="00286780" w:rsidRPr="00924407" w:rsidRDefault="00286780" w:rsidP="00920C24">
            <w:pPr>
              <w:snapToGrid w:val="0"/>
              <w:ind w:firstLine="5"/>
              <w:jc w:val="center"/>
              <w:rPr>
                <w:rFonts w:cs="Calibri"/>
                <w:sz w:val="24"/>
                <w:szCs w:val="24"/>
                <w:lang w:val="en-US" w:eastAsia="ar-SA"/>
              </w:rPr>
            </w:pPr>
            <w:r>
              <w:rPr>
                <w:rFonts w:cs="Calibri"/>
                <w:sz w:val="24"/>
                <w:szCs w:val="24"/>
                <w:lang w:eastAsia="ar-SA"/>
              </w:rPr>
              <w:t>18,0</w:t>
            </w:r>
            <w:r w:rsidRPr="00924407">
              <w:rPr>
                <w:rFonts w:cs="Calibri"/>
                <w:sz w:val="24"/>
                <w:szCs w:val="24"/>
                <w:lang w:val="en-US" w:eastAsia="ar-SA"/>
              </w:rPr>
              <w:t>[</w:t>
            </w:r>
            <w:r>
              <w:rPr>
                <w:rFonts w:cs="Calibri"/>
                <w:sz w:val="24"/>
                <w:szCs w:val="24"/>
                <w:lang w:eastAsia="ar-SA"/>
              </w:rPr>
              <w:t>17,0;</w:t>
            </w:r>
            <w:r w:rsidRPr="00924407">
              <w:rPr>
                <w:rFonts w:cs="Calibri"/>
                <w:sz w:val="24"/>
                <w:szCs w:val="24"/>
                <w:lang w:eastAsia="ar-SA"/>
              </w:rPr>
              <w:t>20,0</w:t>
            </w:r>
            <w:r w:rsidRPr="00924407">
              <w:rPr>
                <w:rFonts w:cs="Calibri"/>
                <w:sz w:val="24"/>
                <w:szCs w:val="24"/>
                <w:lang w:val="en-US" w:eastAsia="ar-SA"/>
              </w:rPr>
              <w:t>]</w:t>
            </w:r>
          </w:p>
        </w:tc>
        <w:tc>
          <w:tcPr>
            <w:tcW w:w="209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bCs/>
                <w:sz w:val="24"/>
                <w:szCs w:val="24"/>
                <w:lang w:val="en-US" w:eastAsia="ar-SA"/>
              </w:rPr>
            </w:pPr>
            <w:r>
              <w:rPr>
                <w:rFonts w:cs="Calibri"/>
                <w:bCs/>
                <w:sz w:val="24"/>
                <w:szCs w:val="24"/>
                <w:lang w:eastAsia="ar-SA"/>
              </w:rPr>
              <w:t>18</w:t>
            </w:r>
            <w:r w:rsidRPr="00920C24">
              <w:rPr>
                <w:rFonts w:cs="Calibri"/>
                <w:bCs/>
                <w:sz w:val="24"/>
                <w:szCs w:val="24"/>
                <w:lang w:val="en-US" w:eastAsia="ar-SA"/>
              </w:rPr>
              <w:t>[17</w:t>
            </w:r>
            <w:r>
              <w:rPr>
                <w:rFonts w:cs="Calibri"/>
                <w:bCs/>
                <w:sz w:val="24"/>
                <w:szCs w:val="24"/>
                <w:lang w:eastAsia="ar-SA"/>
              </w:rPr>
              <w:t>;</w:t>
            </w:r>
            <w:r w:rsidRPr="00920C24">
              <w:rPr>
                <w:rFonts w:cs="Calibri"/>
                <w:bCs/>
                <w:sz w:val="24"/>
                <w:szCs w:val="24"/>
                <w:lang w:val="en-US" w:eastAsia="ar-SA"/>
              </w:rPr>
              <w:t>18]</w:t>
            </w:r>
          </w:p>
        </w:tc>
      </w:tr>
      <w:tr w:rsidR="00286780" w:rsidRPr="00920C24" w:rsidTr="00924407">
        <w:trPr>
          <w:trHeight w:val="454"/>
          <w:jc w:val="center"/>
        </w:trPr>
        <w:tc>
          <w:tcPr>
            <w:tcW w:w="3545"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rPr>
                <w:rFonts w:cs="Calibri"/>
                <w:sz w:val="24"/>
                <w:szCs w:val="24"/>
                <w:lang w:eastAsia="ar-SA"/>
              </w:rPr>
            </w:pPr>
            <w:r w:rsidRPr="00920C24">
              <w:rPr>
                <w:rFonts w:cs="Calibri"/>
                <w:sz w:val="24"/>
                <w:szCs w:val="24"/>
                <w:lang w:eastAsia="ar-SA"/>
              </w:rPr>
              <w:t>АД систолическое (мм рт. ст.)</w:t>
            </w:r>
          </w:p>
        </w:tc>
        <w:tc>
          <w:tcPr>
            <w:tcW w:w="2158" w:type="dxa"/>
            <w:tcBorders>
              <w:top w:val="single" w:sz="4" w:space="0" w:color="000000"/>
              <w:left w:val="single" w:sz="4" w:space="0" w:color="000000"/>
              <w:bottom w:val="single" w:sz="4" w:space="0" w:color="000000"/>
            </w:tcBorders>
            <w:tcMar>
              <w:left w:w="28" w:type="dxa"/>
              <w:right w:w="28" w:type="dxa"/>
            </w:tcMar>
            <w:vAlign w:val="center"/>
          </w:tcPr>
          <w:p w:rsidR="00286780" w:rsidRPr="00924407" w:rsidRDefault="00286780" w:rsidP="00920C24">
            <w:pPr>
              <w:snapToGrid w:val="0"/>
              <w:ind w:firstLine="5"/>
              <w:jc w:val="center"/>
              <w:rPr>
                <w:rFonts w:cs="Calibri"/>
                <w:bCs/>
                <w:sz w:val="24"/>
                <w:szCs w:val="24"/>
                <w:lang w:eastAsia="ar-SA"/>
              </w:rPr>
            </w:pPr>
            <w:r>
              <w:rPr>
                <w:rFonts w:cs="Calibri"/>
                <w:bCs/>
                <w:sz w:val="24"/>
                <w:szCs w:val="24"/>
                <w:lang w:eastAsia="ar-SA"/>
              </w:rPr>
              <w:t>130</w:t>
            </w:r>
            <w:r w:rsidRPr="00924407">
              <w:rPr>
                <w:rFonts w:cs="Calibri"/>
                <w:bCs/>
                <w:sz w:val="24"/>
                <w:szCs w:val="24"/>
                <w:lang w:val="en-US" w:eastAsia="ar-SA"/>
              </w:rPr>
              <w:t>[125</w:t>
            </w:r>
            <w:r>
              <w:rPr>
                <w:rFonts w:cs="Calibri"/>
                <w:bCs/>
                <w:sz w:val="24"/>
                <w:szCs w:val="24"/>
                <w:lang w:eastAsia="ar-SA"/>
              </w:rPr>
              <w:t>;</w:t>
            </w:r>
            <w:r w:rsidRPr="00924407">
              <w:rPr>
                <w:rFonts w:cs="Calibri"/>
                <w:bCs/>
                <w:sz w:val="24"/>
                <w:szCs w:val="24"/>
                <w:lang w:eastAsia="ar-SA"/>
              </w:rPr>
              <w:t>140</w:t>
            </w:r>
            <w:r w:rsidRPr="00924407">
              <w:rPr>
                <w:rFonts w:cs="Calibri"/>
                <w:bCs/>
                <w:sz w:val="24"/>
                <w:szCs w:val="24"/>
                <w:lang w:val="en-US" w:eastAsia="ar-SA"/>
              </w:rPr>
              <w:t>]</w:t>
            </w:r>
            <w:r w:rsidRPr="00924407">
              <w:rPr>
                <w:rFonts w:cs="Calibri"/>
                <w:bCs/>
                <w:sz w:val="24"/>
                <w:szCs w:val="24"/>
                <w:lang w:eastAsia="ar-SA"/>
              </w:rPr>
              <w:t>**</w:t>
            </w:r>
          </w:p>
        </w:tc>
        <w:tc>
          <w:tcPr>
            <w:tcW w:w="2127" w:type="dxa"/>
            <w:tcBorders>
              <w:top w:val="single" w:sz="4" w:space="0" w:color="000000"/>
              <w:left w:val="single" w:sz="4" w:space="0" w:color="000000"/>
              <w:bottom w:val="single" w:sz="4" w:space="0" w:color="000000"/>
            </w:tcBorders>
            <w:tcMar>
              <w:left w:w="28" w:type="dxa"/>
              <w:right w:w="28" w:type="dxa"/>
            </w:tcMar>
            <w:vAlign w:val="center"/>
          </w:tcPr>
          <w:p w:rsidR="00286780" w:rsidRPr="00924407" w:rsidRDefault="00286780" w:rsidP="00920C24">
            <w:pPr>
              <w:snapToGrid w:val="0"/>
              <w:ind w:firstLine="5"/>
              <w:jc w:val="center"/>
              <w:rPr>
                <w:rFonts w:cs="Calibri"/>
                <w:sz w:val="24"/>
                <w:szCs w:val="24"/>
                <w:lang w:val="en-US" w:eastAsia="ar-SA"/>
              </w:rPr>
            </w:pPr>
            <w:r>
              <w:rPr>
                <w:rFonts w:cs="Calibri"/>
                <w:sz w:val="24"/>
                <w:szCs w:val="24"/>
                <w:lang w:eastAsia="ar-SA"/>
              </w:rPr>
              <w:t>130,0</w:t>
            </w:r>
            <w:r w:rsidRPr="00924407">
              <w:rPr>
                <w:rFonts w:cs="Calibri"/>
                <w:sz w:val="24"/>
                <w:szCs w:val="24"/>
                <w:lang w:val="en-US" w:eastAsia="ar-SA"/>
              </w:rPr>
              <w:t>[</w:t>
            </w:r>
            <w:r>
              <w:rPr>
                <w:rFonts w:cs="Calibri"/>
                <w:sz w:val="24"/>
                <w:szCs w:val="24"/>
                <w:lang w:eastAsia="ar-SA"/>
              </w:rPr>
              <w:t>120,0;</w:t>
            </w:r>
            <w:r w:rsidRPr="00924407">
              <w:rPr>
                <w:rFonts w:cs="Calibri"/>
                <w:sz w:val="24"/>
                <w:szCs w:val="24"/>
                <w:lang w:eastAsia="ar-SA"/>
              </w:rPr>
              <w:t>130,0</w:t>
            </w:r>
            <w:r w:rsidRPr="00924407">
              <w:rPr>
                <w:rFonts w:cs="Calibri"/>
                <w:sz w:val="24"/>
                <w:szCs w:val="24"/>
                <w:lang w:val="en-US" w:eastAsia="ar-SA"/>
              </w:rPr>
              <w:t>]</w:t>
            </w:r>
          </w:p>
        </w:tc>
        <w:tc>
          <w:tcPr>
            <w:tcW w:w="209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bCs/>
                <w:sz w:val="24"/>
                <w:szCs w:val="24"/>
                <w:highlight w:val="red"/>
                <w:lang w:eastAsia="ar-SA"/>
              </w:rPr>
            </w:pPr>
            <w:r>
              <w:rPr>
                <w:rFonts w:cs="Calibri"/>
                <w:sz w:val="24"/>
                <w:szCs w:val="24"/>
                <w:lang w:eastAsia="ar-SA"/>
              </w:rPr>
              <w:t>130</w:t>
            </w:r>
            <w:r w:rsidRPr="00920C24">
              <w:rPr>
                <w:rFonts w:cs="Calibri"/>
                <w:sz w:val="24"/>
                <w:szCs w:val="24"/>
                <w:lang w:val="en-US" w:eastAsia="ar-SA"/>
              </w:rPr>
              <w:t>[</w:t>
            </w:r>
            <w:r>
              <w:rPr>
                <w:rFonts w:cs="Calibri"/>
                <w:sz w:val="24"/>
                <w:szCs w:val="24"/>
                <w:lang w:eastAsia="ar-SA"/>
              </w:rPr>
              <w:t>120;</w:t>
            </w:r>
            <w:r w:rsidRPr="00920C24">
              <w:rPr>
                <w:rFonts w:cs="Calibri"/>
                <w:sz w:val="24"/>
                <w:szCs w:val="24"/>
                <w:lang w:eastAsia="ar-SA"/>
              </w:rPr>
              <w:t>140</w:t>
            </w:r>
            <w:r w:rsidRPr="00920C24">
              <w:rPr>
                <w:rFonts w:cs="Calibri"/>
                <w:sz w:val="24"/>
                <w:szCs w:val="24"/>
                <w:lang w:val="en-US" w:eastAsia="ar-SA"/>
              </w:rPr>
              <w:t>]</w:t>
            </w:r>
          </w:p>
        </w:tc>
      </w:tr>
      <w:tr w:rsidR="00286780" w:rsidRPr="00920C24" w:rsidTr="00924407">
        <w:trPr>
          <w:trHeight w:val="454"/>
          <w:jc w:val="center"/>
        </w:trPr>
        <w:tc>
          <w:tcPr>
            <w:tcW w:w="3545"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rPr>
                <w:rFonts w:cs="Calibri"/>
                <w:sz w:val="24"/>
                <w:szCs w:val="24"/>
                <w:lang w:eastAsia="ar-SA"/>
              </w:rPr>
            </w:pPr>
            <w:r w:rsidRPr="00920C24">
              <w:rPr>
                <w:rFonts w:cs="Calibri"/>
                <w:sz w:val="24"/>
                <w:szCs w:val="24"/>
                <w:lang w:eastAsia="ar-SA"/>
              </w:rPr>
              <w:t>АД диастолическое (мм рт. ст.)</w:t>
            </w:r>
          </w:p>
        </w:tc>
        <w:tc>
          <w:tcPr>
            <w:tcW w:w="2158" w:type="dxa"/>
            <w:tcBorders>
              <w:top w:val="single" w:sz="4" w:space="0" w:color="000000"/>
              <w:left w:val="single" w:sz="4" w:space="0" w:color="000000"/>
              <w:bottom w:val="single" w:sz="4" w:space="0" w:color="000000"/>
            </w:tcBorders>
            <w:tcMar>
              <w:left w:w="28" w:type="dxa"/>
              <w:right w:w="28" w:type="dxa"/>
            </w:tcMar>
            <w:vAlign w:val="center"/>
          </w:tcPr>
          <w:p w:rsidR="00286780" w:rsidRPr="00924407" w:rsidRDefault="00286780" w:rsidP="00920C24">
            <w:pPr>
              <w:snapToGrid w:val="0"/>
              <w:ind w:firstLine="5"/>
              <w:jc w:val="center"/>
              <w:rPr>
                <w:rFonts w:cs="Calibri"/>
                <w:sz w:val="24"/>
                <w:szCs w:val="24"/>
                <w:lang w:eastAsia="ar-SA"/>
              </w:rPr>
            </w:pPr>
            <w:r>
              <w:rPr>
                <w:rFonts w:cs="Calibri"/>
                <w:sz w:val="24"/>
                <w:szCs w:val="24"/>
                <w:lang w:eastAsia="ar-SA"/>
              </w:rPr>
              <w:t>80[80;</w:t>
            </w:r>
            <w:r w:rsidRPr="00924407">
              <w:rPr>
                <w:rFonts w:cs="Calibri"/>
                <w:sz w:val="24"/>
                <w:szCs w:val="24"/>
                <w:lang w:eastAsia="ar-SA"/>
              </w:rPr>
              <w:t>90]***</w:t>
            </w:r>
          </w:p>
        </w:tc>
        <w:tc>
          <w:tcPr>
            <w:tcW w:w="2127" w:type="dxa"/>
            <w:tcBorders>
              <w:top w:val="single" w:sz="4" w:space="0" w:color="000000"/>
              <w:left w:val="single" w:sz="4" w:space="0" w:color="000000"/>
              <w:bottom w:val="single" w:sz="4" w:space="0" w:color="000000"/>
            </w:tcBorders>
            <w:tcMar>
              <w:left w:w="28" w:type="dxa"/>
              <w:right w:w="28" w:type="dxa"/>
            </w:tcMar>
            <w:vAlign w:val="center"/>
          </w:tcPr>
          <w:p w:rsidR="00286780" w:rsidRPr="00924407" w:rsidRDefault="00286780" w:rsidP="00920C24">
            <w:pPr>
              <w:snapToGrid w:val="0"/>
              <w:ind w:firstLine="5"/>
              <w:jc w:val="center"/>
              <w:rPr>
                <w:rFonts w:cs="Calibri"/>
                <w:sz w:val="24"/>
                <w:szCs w:val="24"/>
                <w:lang w:val="en-US" w:eastAsia="ar-SA"/>
              </w:rPr>
            </w:pPr>
            <w:r>
              <w:rPr>
                <w:rFonts w:cs="Calibri"/>
                <w:sz w:val="24"/>
                <w:szCs w:val="24"/>
                <w:lang w:eastAsia="ar-SA"/>
              </w:rPr>
              <w:t>80,0</w:t>
            </w:r>
            <w:r w:rsidRPr="00924407">
              <w:rPr>
                <w:rFonts w:cs="Calibri"/>
                <w:sz w:val="24"/>
                <w:szCs w:val="24"/>
                <w:lang w:val="en-US" w:eastAsia="ar-SA"/>
              </w:rPr>
              <w:t>[</w:t>
            </w:r>
            <w:r>
              <w:rPr>
                <w:rFonts w:cs="Calibri"/>
                <w:sz w:val="24"/>
                <w:szCs w:val="24"/>
                <w:lang w:eastAsia="ar-SA"/>
              </w:rPr>
              <w:t>70,0;</w:t>
            </w:r>
            <w:r w:rsidRPr="00924407">
              <w:rPr>
                <w:rFonts w:cs="Calibri"/>
                <w:sz w:val="24"/>
                <w:szCs w:val="24"/>
                <w:lang w:eastAsia="ar-SA"/>
              </w:rPr>
              <w:t>80,0</w:t>
            </w:r>
            <w:r w:rsidRPr="00924407">
              <w:rPr>
                <w:rFonts w:cs="Calibri"/>
                <w:sz w:val="24"/>
                <w:szCs w:val="24"/>
                <w:lang w:val="en-US" w:eastAsia="ar-SA"/>
              </w:rPr>
              <w:t>]</w:t>
            </w:r>
          </w:p>
        </w:tc>
        <w:tc>
          <w:tcPr>
            <w:tcW w:w="209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bCs/>
                <w:sz w:val="24"/>
                <w:szCs w:val="24"/>
                <w:highlight w:val="red"/>
                <w:lang w:eastAsia="ar-SA"/>
              </w:rPr>
            </w:pPr>
            <w:r>
              <w:rPr>
                <w:rFonts w:cs="Calibri"/>
                <w:sz w:val="24"/>
                <w:szCs w:val="24"/>
                <w:lang w:eastAsia="ar-SA"/>
              </w:rPr>
              <w:t>80[80;</w:t>
            </w:r>
            <w:r w:rsidRPr="00920C24">
              <w:rPr>
                <w:rFonts w:cs="Calibri"/>
                <w:sz w:val="24"/>
                <w:szCs w:val="24"/>
                <w:lang w:eastAsia="ar-SA"/>
              </w:rPr>
              <w:t>90]</w:t>
            </w:r>
          </w:p>
        </w:tc>
      </w:tr>
      <w:tr w:rsidR="00286780" w:rsidRPr="00920C24" w:rsidTr="00924407">
        <w:trPr>
          <w:trHeight w:val="454"/>
          <w:jc w:val="center"/>
        </w:trPr>
        <w:tc>
          <w:tcPr>
            <w:tcW w:w="3545"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rPr>
                <w:rFonts w:cs="Calibri"/>
                <w:sz w:val="24"/>
                <w:szCs w:val="24"/>
                <w:lang w:eastAsia="ar-SA"/>
              </w:rPr>
            </w:pPr>
            <w:r w:rsidRPr="00920C24">
              <w:rPr>
                <w:rFonts w:cs="Calibri"/>
                <w:sz w:val="24"/>
                <w:szCs w:val="24"/>
                <w:lang w:eastAsia="ar-SA"/>
              </w:rPr>
              <w:t>ЧСС (в 1 мин.)</w:t>
            </w:r>
          </w:p>
        </w:tc>
        <w:tc>
          <w:tcPr>
            <w:tcW w:w="2158" w:type="dxa"/>
            <w:tcBorders>
              <w:top w:val="single" w:sz="4" w:space="0" w:color="000000"/>
              <w:left w:val="single" w:sz="4" w:space="0" w:color="000000"/>
              <w:bottom w:val="single" w:sz="4" w:space="0" w:color="000000"/>
            </w:tcBorders>
            <w:tcMar>
              <w:left w:w="28" w:type="dxa"/>
              <w:right w:w="28" w:type="dxa"/>
            </w:tcMar>
            <w:vAlign w:val="center"/>
          </w:tcPr>
          <w:p w:rsidR="00286780" w:rsidRPr="00924407" w:rsidRDefault="00286780" w:rsidP="00920C24">
            <w:pPr>
              <w:snapToGrid w:val="0"/>
              <w:ind w:firstLine="5"/>
              <w:jc w:val="center"/>
              <w:rPr>
                <w:rFonts w:cs="Calibri"/>
                <w:bCs/>
                <w:sz w:val="24"/>
                <w:szCs w:val="24"/>
                <w:lang w:eastAsia="ar-SA"/>
              </w:rPr>
            </w:pPr>
            <w:r>
              <w:rPr>
                <w:rFonts w:cs="Calibri"/>
                <w:bCs/>
                <w:sz w:val="24"/>
                <w:szCs w:val="24"/>
                <w:lang w:eastAsia="ar-SA"/>
              </w:rPr>
              <w:t>82</w:t>
            </w:r>
            <w:r w:rsidRPr="00924407">
              <w:rPr>
                <w:rFonts w:cs="Calibri"/>
                <w:bCs/>
                <w:sz w:val="24"/>
                <w:szCs w:val="24"/>
                <w:lang w:val="en-US" w:eastAsia="ar-SA"/>
              </w:rPr>
              <w:t>[</w:t>
            </w:r>
            <w:r>
              <w:rPr>
                <w:rFonts w:cs="Calibri"/>
                <w:bCs/>
                <w:sz w:val="24"/>
                <w:szCs w:val="24"/>
                <w:lang w:eastAsia="ar-SA"/>
              </w:rPr>
              <w:t>77;</w:t>
            </w:r>
            <w:r w:rsidRPr="00924407">
              <w:rPr>
                <w:rFonts w:cs="Calibri"/>
                <w:bCs/>
                <w:sz w:val="24"/>
                <w:szCs w:val="24"/>
                <w:lang w:eastAsia="ar-SA"/>
              </w:rPr>
              <w:t>94</w:t>
            </w:r>
            <w:r w:rsidRPr="00924407">
              <w:rPr>
                <w:rFonts w:cs="Calibri"/>
                <w:bCs/>
                <w:sz w:val="24"/>
                <w:szCs w:val="24"/>
                <w:lang w:val="en-US" w:eastAsia="ar-SA"/>
              </w:rPr>
              <w:t>]</w:t>
            </w:r>
            <w:r w:rsidRPr="00924407">
              <w:rPr>
                <w:rFonts w:cs="Calibri"/>
                <w:bCs/>
                <w:sz w:val="24"/>
                <w:szCs w:val="24"/>
                <w:lang w:eastAsia="ar-SA"/>
              </w:rPr>
              <w:t>*</w:t>
            </w:r>
          </w:p>
        </w:tc>
        <w:tc>
          <w:tcPr>
            <w:tcW w:w="2127" w:type="dxa"/>
            <w:tcBorders>
              <w:top w:val="single" w:sz="4" w:space="0" w:color="000000"/>
              <w:left w:val="single" w:sz="4" w:space="0" w:color="000000"/>
              <w:bottom w:val="single" w:sz="4" w:space="0" w:color="000000"/>
            </w:tcBorders>
            <w:tcMar>
              <w:left w:w="28" w:type="dxa"/>
              <w:right w:w="28" w:type="dxa"/>
            </w:tcMar>
            <w:vAlign w:val="center"/>
          </w:tcPr>
          <w:p w:rsidR="00286780" w:rsidRPr="00924407" w:rsidRDefault="00286780" w:rsidP="00920C24">
            <w:pPr>
              <w:snapToGrid w:val="0"/>
              <w:ind w:firstLine="5"/>
              <w:jc w:val="center"/>
              <w:rPr>
                <w:rFonts w:cs="Calibri"/>
                <w:sz w:val="24"/>
                <w:szCs w:val="24"/>
                <w:lang w:eastAsia="ar-SA"/>
              </w:rPr>
            </w:pPr>
            <w:r>
              <w:rPr>
                <w:rFonts w:cs="Calibri"/>
                <w:sz w:val="24"/>
                <w:szCs w:val="24"/>
                <w:lang w:eastAsia="ar-SA"/>
              </w:rPr>
              <w:t>74</w:t>
            </w:r>
            <w:r w:rsidRPr="00924407">
              <w:rPr>
                <w:rFonts w:cs="Calibri"/>
                <w:sz w:val="24"/>
                <w:szCs w:val="24"/>
                <w:lang w:val="en-US" w:eastAsia="ar-SA"/>
              </w:rPr>
              <w:t>[</w:t>
            </w:r>
            <w:r>
              <w:rPr>
                <w:rFonts w:cs="Calibri"/>
                <w:sz w:val="24"/>
                <w:szCs w:val="24"/>
                <w:lang w:eastAsia="ar-SA"/>
              </w:rPr>
              <w:t>72;</w:t>
            </w:r>
            <w:r w:rsidRPr="00924407">
              <w:rPr>
                <w:rFonts w:cs="Calibri"/>
                <w:sz w:val="24"/>
                <w:szCs w:val="24"/>
                <w:lang w:eastAsia="ar-SA"/>
              </w:rPr>
              <w:t>82</w:t>
            </w:r>
            <w:r w:rsidRPr="00924407">
              <w:rPr>
                <w:rFonts w:cs="Calibri"/>
                <w:sz w:val="24"/>
                <w:szCs w:val="24"/>
                <w:lang w:val="en-US" w:eastAsia="ar-SA"/>
              </w:rPr>
              <w:t>]</w:t>
            </w:r>
          </w:p>
        </w:tc>
        <w:tc>
          <w:tcPr>
            <w:tcW w:w="209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bCs/>
                <w:sz w:val="24"/>
                <w:szCs w:val="24"/>
                <w:lang w:eastAsia="ar-SA"/>
              </w:rPr>
            </w:pPr>
            <w:r>
              <w:rPr>
                <w:rFonts w:cs="Calibri"/>
                <w:sz w:val="24"/>
                <w:szCs w:val="24"/>
                <w:lang w:eastAsia="ar-SA"/>
              </w:rPr>
              <w:t>78[72;</w:t>
            </w:r>
            <w:r w:rsidRPr="00920C24">
              <w:rPr>
                <w:rFonts w:cs="Calibri"/>
                <w:sz w:val="24"/>
                <w:szCs w:val="24"/>
                <w:lang w:eastAsia="ar-SA"/>
              </w:rPr>
              <w:t>80]</w:t>
            </w:r>
          </w:p>
        </w:tc>
      </w:tr>
      <w:tr w:rsidR="00286780" w:rsidRPr="00920C24" w:rsidTr="00924407">
        <w:trPr>
          <w:trHeight w:val="454"/>
          <w:jc w:val="center"/>
        </w:trPr>
        <w:tc>
          <w:tcPr>
            <w:tcW w:w="3545"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rPr>
                <w:rFonts w:cs="Calibri"/>
                <w:sz w:val="24"/>
                <w:szCs w:val="24"/>
                <w:lang w:eastAsia="ar-SA"/>
              </w:rPr>
            </w:pPr>
            <w:r w:rsidRPr="00920C24">
              <w:rPr>
                <w:rFonts w:cs="Calibri"/>
                <w:sz w:val="24"/>
                <w:szCs w:val="24"/>
                <w:lang w:eastAsia="ar-SA"/>
              </w:rPr>
              <w:t>Эритроциты (×10</w:t>
            </w:r>
            <w:r w:rsidRPr="00920C24">
              <w:rPr>
                <w:rFonts w:cs="Calibri"/>
                <w:sz w:val="24"/>
                <w:szCs w:val="24"/>
                <w:vertAlign w:val="superscript"/>
                <w:lang w:eastAsia="ar-SA"/>
              </w:rPr>
              <w:t>12</w:t>
            </w:r>
            <w:r w:rsidRPr="00920C24">
              <w:rPr>
                <w:rFonts w:cs="Calibri"/>
                <w:sz w:val="24"/>
                <w:szCs w:val="24"/>
                <w:lang w:eastAsia="ar-SA"/>
              </w:rPr>
              <w:t>/л)</w:t>
            </w:r>
          </w:p>
        </w:tc>
        <w:tc>
          <w:tcPr>
            <w:tcW w:w="2158" w:type="dxa"/>
            <w:tcBorders>
              <w:top w:val="single" w:sz="4" w:space="0" w:color="000000"/>
              <w:left w:val="single" w:sz="4" w:space="0" w:color="000000"/>
              <w:bottom w:val="single" w:sz="4" w:space="0" w:color="000000"/>
            </w:tcBorders>
            <w:tcMar>
              <w:left w:w="28" w:type="dxa"/>
              <w:right w:w="28" w:type="dxa"/>
            </w:tcMar>
            <w:vAlign w:val="center"/>
          </w:tcPr>
          <w:p w:rsidR="00286780" w:rsidRPr="00924407" w:rsidRDefault="00286780" w:rsidP="00920C24">
            <w:pPr>
              <w:snapToGrid w:val="0"/>
              <w:ind w:firstLine="5"/>
              <w:jc w:val="center"/>
              <w:rPr>
                <w:rFonts w:cs="Calibri"/>
                <w:sz w:val="24"/>
                <w:szCs w:val="24"/>
                <w:lang w:eastAsia="ar-SA"/>
              </w:rPr>
            </w:pPr>
            <w:r w:rsidRPr="00924407">
              <w:rPr>
                <w:rFonts w:cs="Calibri"/>
                <w:sz w:val="24"/>
                <w:szCs w:val="24"/>
                <w:lang w:eastAsia="ar-SA"/>
              </w:rPr>
              <w:t>4,58±0,14</w:t>
            </w:r>
          </w:p>
        </w:tc>
        <w:tc>
          <w:tcPr>
            <w:tcW w:w="2127" w:type="dxa"/>
            <w:tcBorders>
              <w:top w:val="single" w:sz="4" w:space="0" w:color="000000"/>
              <w:left w:val="single" w:sz="4" w:space="0" w:color="000000"/>
              <w:bottom w:val="single" w:sz="4" w:space="0" w:color="000000"/>
            </w:tcBorders>
            <w:tcMar>
              <w:left w:w="28" w:type="dxa"/>
              <w:right w:w="28" w:type="dxa"/>
            </w:tcMar>
            <w:vAlign w:val="center"/>
          </w:tcPr>
          <w:p w:rsidR="00286780" w:rsidRPr="00924407" w:rsidRDefault="00286780" w:rsidP="00920C24">
            <w:pPr>
              <w:snapToGrid w:val="0"/>
              <w:ind w:firstLine="5"/>
              <w:jc w:val="center"/>
              <w:rPr>
                <w:rFonts w:cs="Calibri"/>
                <w:sz w:val="24"/>
                <w:szCs w:val="24"/>
                <w:lang w:eastAsia="ar-SA"/>
              </w:rPr>
            </w:pPr>
            <w:r w:rsidRPr="00924407">
              <w:rPr>
                <w:rFonts w:cs="Calibri"/>
                <w:sz w:val="24"/>
                <w:szCs w:val="24"/>
                <w:lang w:eastAsia="ar-SA"/>
              </w:rPr>
              <w:t>4,68±0,14</w:t>
            </w:r>
          </w:p>
        </w:tc>
        <w:tc>
          <w:tcPr>
            <w:tcW w:w="209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bCs/>
                <w:sz w:val="24"/>
                <w:szCs w:val="24"/>
                <w:lang w:eastAsia="ar-SA"/>
              </w:rPr>
            </w:pPr>
            <w:r w:rsidRPr="00920C24">
              <w:rPr>
                <w:rFonts w:cs="Calibri"/>
                <w:sz w:val="24"/>
                <w:szCs w:val="24"/>
                <w:lang w:eastAsia="ar-SA"/>
              </w:rPr>
              <w:t>4,6±</w:t>
            </w:r>
            <w:r w:rsidRPr="00920C24">
              <w:rPr>
                <w:rFonts w:cs="Calibri"/>
                <w:bCs/>
                <w:sz w:val="24"/>
                <w:szCs w:val="24"/>
                <w:lang w:eastAsia="ar-SA"/>
              </w:rPr>
              <w:t>0,08</w:t>
            </w:r>
          </w:p>
        </w:tc>
      </w:tr>
      <w:tr w:rsidR="00286780" w:rsidRPr="00920C24" w:rsidTr="00924407">
        <w:trPr>
          <w:trHeight w:val="454"/>
          <w:jc w:val="center"/>
        </w:trPr>
        <w:tc>
          <w:tcPr>
            <w:tcW w:w="3545"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rPr>
                <w:rFonts w:cs="Calibri"/>
                <w:sz w:val="24"/>
                <w:szCs w:val="24"/>
                <w:lang w:eastAsia="ar-SA"/>
              </w:rPr>
            </w:pPr>
            <w:r w:rsidRPr="00920C24">
              <w:rPr>
                <w:rFonts w:cs="Calibri"/>
                <w:sz w:val="24"/>
                <w:szCs w:val="24"/>
                <w:lang w:eastAsia="ar-SA"/>
              </w:rPr>
              <w:t>Гемоглобин (г/л)</w:t>
            </w:r>
          </w:p>
        </w:tc>
        <w:tc>
          <w:tcPr>
            <w:tcW w:w="2158"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sz w:val="24"/>
                <w:szCs w:val="24"/>
                <w:lang w:eastAsia="ar-SA"/>
              </w:rPr>
            </w:pPr>
            <w:r w:rsidRPr="00920C24">
              <w:rPr>
                <w:rFonts w:cs="Calibri"/>
                <w:sz w:val="24"/>
                <w:szCs w:val="24"/>
                <w:lang w:eastAsia="ar-SA"/>
              </w:rPr>
              <w:t>145,0±4,07</w:t>
            </w:r>
          </w:p>
        </w:tc>
        <w:tc>
          <w:tcPr>
            <w:tcW w:w="2127"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sz w:val="24"/>
                <w:szCs w:val="24"/>
                <w:lang w:eastAsia="ar-SA"/>
              </w:rPr>
            </w:pPr>
            <w:r w:rsidRPr="00920C24">
              <w:rPr>
                <w:rFonts w:cs="Calibri"/>
                <w:sz w:val="24"/>
                <w:szCs w:val="24"/>
                <w:lang w:eastAsia="ar-SA"/>
              </w:rPr>
              <w:t>145,2±4,31</w:t>
            </w:r>
          </w:p>
        </w:tc>
        <w:tc>
          <w:tcPr>
            <w:tcW w:w="209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bCs/>
                <w:sz w:val="24"/>
                <w:szCs w:val="24"/>
                <w:lang w:eastAsia="ar-SA"/>
              </w:rPr>
            </w:pPr>
            <w:r w:rsidRPr="00920C24">
              <w:rPr>
                <w:rFonts w:cs="Calibri"/>
                <w:sz w:val="24"/>
                <w:szCs w:val="24"/>
                <w:lang w:eastAsia="ar-SA"/>
              </w:rPr>
              <w:t>140,5±</w:t>
            </w:r>
            <w:r w:rsidRPr="00920C24">
              <w:rPr>
                <w:rFonts w:cs="Calibri"/>
                <w:bCs/>
                <w:sz w:val="24"/>
                <w:szCs w:val="24"/>
                <w:lang w:eastAsia="ar-SA"/>
              </w:rPr>
              <w:t>2,59</w:t>
            </w:r>
          </w:p>
        </w:tc>
      </w:tr>
      <w:tr w:rsidR="00286780" w:rsidRPr="00920C24" w:rsidTr="00924407">
        <w:trPr>
          <w:trHeight w:val="454"/>
          <w:jc w:val="center"/>
        </w:trPr>
        <w:tc>
          <w:tcPr>
            <w:tcW w:w="3545"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rPr>
                <w:rFonts w:cs="Calibri"/>
                <w:sz w:val="24"/>
                <w:szCs w:val="24"/>
                <w:lang w:eastAsia="ar-SA"/>
              </w:rPr>
            </w:pPr>
            <w:r w:rsidRPr="00920C24">
              <w:rPr>
                <w:rFonts w:cs="Calibri"/>
                <w:sz w:val="24"/>
                <w:szCs w:val="24"/>
                <w:lang w:eastAsia="ar-SA"/>
              </w:rPr>
              <w:t>Лейкоциты (×10</w:t>
            </w:r>
            <w:r w:rsidRPr="00920C24">
              <w:rPr>
                <w:rFonts w:cs="Calibri"/>
                <w:sz w:val="24"/>
                <w:szCs w:val="24"/>
                <w:vertAlign w:val="superscript"/>
                <w:lang w:eastAsia="ar-SA"/>
              </w:rPr>
              <w:t>9</w:t>
            </w:r>
            <w:r w:rsidRPr="00920C24">
              <w:rPr>
                <w:rFonts w:cs="Calibri"/>
                <w:sz w:val="24"/>
                <w:szCs w:val="24"/>
                <w:lang w:eastAsia="ar-SA"/>
              </w:rPr>
              <w:t>/л)</w:t>
            </w:r>
          </w:p>
        </w:tc>
        <w:tc>
          <w:tcPr>
            <w:tcW w:w="2158"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sz w:val="24"/>
                <w:szCs w:val="24"/>
                <w:lang w:eastAsia="ar-SA"/>
              </w:rPr>
            </w:pPr>
            <w:r w:rsidRPr="00920C24">
              <w:rPr>
                <w:rFonts w:cs="Calibri"/>
                <w:sz w:val="24"/>
                <w:szCs w:val="24"/>
                <w:lang w:eastAsia="ar-SA"/>
              </w:rPr>
              <w:t>12,4±0,98*</w:t>
            </w:r>
          </w:p>
        </w:tc>
        <w:tc>
          <w:tcPr>
            <w:tcW w:w="2127"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sz w:val="24"/>
                <w:szCs w:val="24"/>
                <w:lang w:eastAsia="ar-SA"/>
              </w:rPr>
            </w:pPr>
            <w:r w:rsidRPr="00920C24">
              <w:rPr>
                <w:rFonts w:cs="Calibri"/>
                <w:sz w:val="24"/>
                <w:szCs w:val="24"/>
                <w:lang w:eastAsia="ar-SA"/>
              </w:rPr>
              <w:t>8,7±0,59</w:t>
            </w:r>
          </w:p>
        </w:tc>
        <w:tc>
          <w:tcPr>
            <w:tcW w:w="209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bCs/>
                <w:sz w:val="24"/>
                <w:szCs w:val="24"/>
                <w:lang w:eastAsia="ar-SA"/>
              </w:rPr>
            </w:pPr>
            <w:r w:rsidRPr="00920C24">
              <w:rPr>
                <w:rFonts w:cs="Calibri"/>
                <w:sz w:val="24"/>
                <w:szCs w:val="24"/>
                <w:lang w:eastAsia="ar-SA"/>
              </w:rPr>
              <w:t>14,5±</w:t>
            </w:r>
            <w:r w:rsidRPr="00920C24">
              <w:rPr>
                <w:rFonts w:cs="Calibri"/>
                <w:bCs/>
                <w:sz w:val="24"/>
                <w:szCs w:val="24"/>
                <w:lang w:eastAsia="ar-SA"/>
              </w:rPr>
              <w:t>0,75</w:t>
            </w:r>
          </w:p>
        </w:tc>
      </w:tr>
      <w:tr w:rsidR="00286780" w:rsidRPr="00920C24" w:rsidTr="00924407">
        <w:trPr>
          <w:trHeight w:val="454"/>
          <w:jc w:val="center"/>
        </w:trPr>
        <w:tc>
          <w:tcPr>
            <w:tcW w:w="3545"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rPr>
                <w:rFonts w:cs="Calibri"/>
                <w:sz w:val="24"/>
                <w:szCs w:val="24"/>
                <w:lang w:eastAsia="ar-SA"/>
              </w:rPr>
            </w:pPr>
            <w:r w:rsidRPr="00920C24">
              <w:rPr>
                <w:rFonts w:cs="Calibri"/>
                <w:sz w:val="24"/>
                <w:szCs w:val="24"/>
                <w:lang w:eastAsia="ar-SA"/>
              </w:rPr>
              <w:t>Лимфоциты (абс. в 1 мкл.)</w:t>
            </w:r>
          </w:p>
        </w:tc>
        <w:tc>
          <w:tcPr>
            <w:tcW w:w="2158"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sz w:val="24"/>
                <w:szCs w:val="24"/>
                <w:lang w:eastAsia="ar-SA"/>
              </w:rPr>
            </w:pPr>
            <w:r w:rsidRPr="00920C24">
              <w:rPr>
                <w:rFonts w:cs="Calibri"/>
                <w:sz w:val="24"/>
                <w:szCs w:val="24"/>
                <w:lang w:eastAsia="ar-SA"/>
              </w:rPr>
              <w:t>2153,45±149,4</w:t>
            </w:r>
          </w:p>
        </w:tc>
        <w:tc>
          <w:tcPr>
            <w:tcW w:w="2127"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sz w:val="24"/>
                <w:szCs w:val="24"/>
                <w:lang w:eastAsia="ar-SA"/>
              </w:rPr>
            </w:pPr>
            <w:r w:rsidRPr="00920C24">
              <w:rPr>
                <w:rFonts w:cs="Calibri"/>
                <w:sz w:val="24"/>
                <w:szCs w:val="24"/>
                <w:lang w:eastAsia="ar-SA"/>
              </w:rPr>
              <w:t>2195,3±139,4</w:t>
            </w:r>
          </w:p>
        </w:tc>
        <w:tc>
          <w:tcPr>
            <w:tcW w:w="209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sz w:val="24"/>
                <w:szCs w:val="24"/>
                <w:lang w:eastAsia="ar-SA"/>
              </w:rPr>
            </w:pPr>
            <w:r w:rsidRPr="00920C24">
              <w:rPr>
                <w:rFonts w:cs="Calibri"/>
                <w:sz w:val="24"/>
                <w:szCs w:val="24"/>
                <w:lang w:eastAsia="ar-SA"/>
              </w:rPr>
              <w:t>1765,4±140,0</w:t>
            </w:r>
          </w:p>
        </w:tc>
      </w:tr>
      <w:tr w:rsidR="00286780" w:rsidRPr="00920C24" w:rsidTr="00924407">
        <w:trPr>
          <w:trHeight w:val="454"/>
          <w:jc w:val="center"/>
        </w:trPr>
        <w:tc>
          <w:tcPr>
            <w:tcW w:w="3545"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rPr>
                <w:rFonts w:cs="Calibri"/>
                <w:sz w:val="24"/>
                <w:szCs w:val="24"/>
                <w:lang w:eastAsia="ar-SA"/>
              </w:rPr>
            </w:pPr>
            <w:r w:rsidRPr="00920C24">
              <w:rPr>
                <w:rFonts w:cs="Calibri"/>
                <w:sz w:val="24"/>
                <w:szCs w:val="24"/>
                <w:lang w:eastAsia="ar-SA"/>
              </w:rPr>
              <w:t>Фагоцитоз (%)</w:t>
            </w:r>
          </w:p>
        </w:tc>
        <w:tc>
          <w:tcPr>
            <w:tcW w:w="2158"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sz w:val="24"/>
                <w:szCs w:val="24"/>
                <w:lang w:val="en-US" w:eastAsia="ar-SA"/>
              </w:rPr>
            </w:pPr>
            <w:r>
              <w:rPr>
                <w:rFonts w:cs="Calibri"/>
                <w:sz w:val="24"/>
                <w:szCs w:val="24"/>
                <w:lang w:eastAsia="ar-SA"/>
              </w:rPr>
              <w:t>65</w:t>
            </w:r>
            <w:r w:rsidRPr="00920C24">
              <w:rPr>
                <w:rFonts w:cs="Calibri"/>
                <w:sz w:val="24"/>
                <w:szCs w:val="24"/>
                <w:lang w:val="en-US" w:eastAsia="ar-SA"/>
              </w:rPr>
              <w:t>[</w:t>
            </w:r>
            <w:r>
              <w:rPr>
                <w:rFonts w:cs="Calibri"/>
                <w:sz w:val="24"/>
                <w:szCs w:val="24"/>
                <w:lang w:eastAsia="ar-SA"/>
              </w:rPr>
              <w:t>49;</w:t>
            </w:r>
            <w:r w:rsidRPr="00920C24">
              <w:rPr>
                <w:rFonts w:cs="Calibri"/>
                <w:sz w:val="24"/>
                <w:szCs w:val="24"/>
                <w:lang w:eastAsia="ar-SA"/>
              </w:rPr>
              <w:t>77</w:t>
            </w:r>
            <w:r w:rsidRPr="00920C24">
              <w:rPr>
                <w:rFonts w:cs="Calibri"/>
                <w:sz w:val="24"/>
                <w:szCs w:val="24"/>
                <w:lang w:val="en-US" w:eastAsia="ar-SA"/>
              </w:rPr>
              <w:t>]</w:t>
            </w:r>
          </w:p>
        </w:tc>
        <w:tc>
          <w:tcPr>
            <w:tcW w:w="2127"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sz w:val="24"/>
                <w:szCs w:val="24"/>
                <w:lang w:val="en-US" w:eastAsia="ar-SA"/>
              </w:rPr>
            </w:pPr>
            <w:r>
              <w:rPr>
                <w:rFonts w:cs="Calibri"/>
                <w:sz w:val="24"/>
                <w:szCs w:val="24"/>
                <w:lang w:eastAsia="ar-SA"/>
              </w:rPr>
              <w:t>65</w:t>
            </w:r>
            <w:r w:rsidRPr="00920C24">
              <w:rPr>
                <w:rFonts w:cs="Calibri"/>
                <w:sz w:val="24"/>
                <w:szCs w:val="24"/>
                <w:lang w:val="en-US" w:eastAsia="ar-SA"/>
              </w:rPr>
              <w:t>[</w:t>
            </w:r>
            <w:r>
              <w:rPr>
                <w:rFonts w:cs="Calibri"/>
                <w:sz w:val="24"/>
                <w:szCs w:val="24"/>
                <w:lang w:eastAsia="ar-SA"/>
              </w:rPr>
              <w:t>49;</w:t>
            </w:r>
            <w:r w:rsidRPr="00920C24">
              <w:rPr>
                <w:rFonts w:cs="Calibri"/>
                <w:sz w:val="24"/>
                <w:szCs w:val="24"/>
                <w:lang w:eastAsia="ar-SA"/>
              </w:rPr>
              <w:t>72</w:t>
            </w:r>
            <w:r w:rsidRPr="00920C24">
              <w:rPr>
                <w:rFonts w:cs="Calibri"/>
                <w:sz w:val="24"/>
                <w:szCs w:val="24"/>
                <w:lang w:val="en-US" w:eastAsia="ar-SA"/>
              </w:rPr>
              <w:t>]</w:t>
            </w:r>
          </w:p>
        </w:tc>
        <w:tc>
          <w:tcPr>
            <w:tcW w:w="209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sz w:val="24"/>
                <w:szCs w:val="24"/>
                <w:lang w:val="en-US" w:eastAsia="ar-SA"/>
              </w:rPr>
            </w:pPr>
            <w:r>
              <w:rPr>
                <w:rFonts w:cs="Calibri"/>
                <w:sz w:val="24"/>
                <w:szCs w:val="24"/>
                <w:lang w:eastAsia="ar-SA"/>
              </w:rPr>
              <w:t>63</w:t>
            </w:r>
            <w:r w:rsidRPr="00920C24">
              <w:rPr>
                <w:rFonts w:cs="Calibri"/>
                <w:sz w:val="24"/>
                <w:szCs w:val="24"/>
                <w:lang w:val="en-US" w:eastAsia="ar-SA"/>
              </w:rPr>
              <w:t>[</w:t>
            </w:r>
            <w:r>
              <w:rPr>
                <w:rFonts w:cs="Calibri"/>
                <w:sz w:val="24"/>
                <w:szCs w:val="24"/>
                <w:lang w:eastAsia="ar-SA"/>
              </w:rPr>
              <w:t>46;</w:t>
            </w:r>
            <w:r w:rsidRPr="00920C24">
              <w:rPr>
                <w:rFonts w:cs="Calibri"/>
                <w:sz w:val="24"/>
                <w:szCs w:val="24"/>
                <w:lang w:eastAsia="ar-SA"/>
              </w:rPr>
              <w:t>75</w:t>
            </w:r>
            <w:r w:rsidRPr="00920C24">
              <w:rPr>
                <w:rFonts w:cs="Calibri"/>
                <w:sz w:val="24"/>
                <w:szCs w:val="24"/>
                <w:lang w:val="en-US" w:eastAsia="ar-SA"/>
              </w:rPr>
              <w:t>]</w:t>
            </w:r>
          </w:p>
        </w:tc>
      </w:tr>
      <w:tr w:rsidR="00286780" w:rsidRPr="00920C24" w:rsidTr="00924407">
        <w:trPr>
          <w:trHeight w:val="454"/>
          <w:jc w:val="center"/>
        </w:trPr>
        <w:tc>
          <w:tcPr>
            <w:tcW w:w="3545"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rPr>
                <w:rFonts w:cs="Calibri"/>
                <w:sz w:val="24"/>
                <w:szCs w:val="24"/>
                <w:lang w:eastAsia="ar-SA"/>
              </w:rPr>
            </w:pPr>
            <w:r w:rsidRPr="00920C24">
              <w:rPr>
                <w:rFonts w:cs="Calibri"/>
                <w:sz w:val="24"/>
                <w:szCs w:val="24"/>
                <w:lang w:eastAsia="ar-SA"/>
              </w:rPr>
              <w:t>Эозинофилы (абс. в 1 мкл.)</w:t>
            </w:r>
          </w:p>
        </w:tc>
        <w:tc>
          <w:tcPr>
            <w:tcW w:w="2158"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sz w:val="24"/>
                <w:szCs w:val="24"/>
                <w:lang w:eastAsia="ar-SA"/>
              </w:rPr>
            </w:pPr>
            <w:r w:rsidRPr="00920C24">
              <w:rPr>
                <w:rFonts w:cs="Calibri"/>
                <w:sz w:val="24"/>
                <w:szCs w:val="24"/>
                <w:lang w:eastAsia="ar-SA"/>
              </w:rPr>
              <w:t>123,2±32,8*</w:t>
            </w:r>
          </w:p>
        </w:tc>
        <w:tc>
          <w:tcPr>
            <w:tcW w:w="2127"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sz w:val="24"/>
                <w:szCs w:val="24"/>
                <w:lang w:eastAsia="ar-SA"/>
              </w:rPr>
            </w:pPr>
            <w:r w:rsidRPr="00920C24">
              <w:rPr>
                <w:rFonts w:cs="Calibri"/>
                <w:sz w:val="24"/>
                <w:szCs w:val="24"/>
                <w:lang w:eastAsia="ar-SA"/>
              </w:rPr>
              <w:t>246,8±66,3</w:t>
            </w:r>
          </w:p>
        </w:tc>
        <w:tc>
          <w:tcPr>
            <w:tcW w:w="209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sz w:val="24"/>
                <w:szCs w:val="24"/>
                <w:lang w:eastAsia="ar-SA"/>
              </w:rPr>
            </w:pPr>
            <w:r w:rsidRPr="00920C24">
              <w:rPr>
                <w:rFonts w:cs="Calibri"/>
                <w:sz w:val="24"/>
                <w:szCs w:val="24"/>
                <w:lang w:eastAsia="ar-SA"/>
              </w:rPr>
              <w:t>174,8±43,1</w:t>
            </w:r>
          </w:p>
        </w:tc>
      </w:tr>
      <w:tr w:rsidR="00286780" w:rsidRPr="00920C24" w:rsidTr="00924407">
        <w:trPr>
          <w:trHeight w:val="454"/>
          <w:jc w:val="center"/>
        </w:trPr>
        <w:tc>
          <w:tcPr>
            <w:tcW w:w="3545"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rPr>
                <w:rFonts w:cs="Calibri"/>
                <w:sz w:val="24"/>
                <w:szCs w:val="24"/>
                <w:lang w:eastAsia="ar-SA"/>
              </w:rPr>
            </w:pPr>
            <w:r w:rsidRPr="00920C24">
              <w:rPr>
                <w:rFonts w:cs="Calibri"/>
                <w:sz w:val="24"/>
                <w:szCs w:val="24"/>
                <w:lang w:eastAsia="ar-SA"/>
              </w:rPr>
              <w:t>Моноциты (абс. в 1 мкл.)</w:t>
            </w:r>
          </w:p>
        </w:tc>
        <w:tc>
          <w:tcPr>
            <w:tcW w:w="2158"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sz w:val="24"/>
                <w:szCs w:val="24"/>
                <w:lang w:eastAsia="ar-SA"/>
              </w:rPr>
            </w:pPr>
            <w:r w:rsidRPr="00920C24">
              <w:rPr>
                <w:rFonts w:cs="Calibri"/>
                <w:sz w:val="24"/>
                <w:szCs w:val="24"/>
                <w:lang w:eastAsia="ar-SA"/>
              </w:rPr>
              <w:t>880,6±128,8*</w:t>
            </w:r>
          </w:p>
        </w:tc>
        <w:tc>
          <w:tcPr>
            <w:tcW w:w="2127"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sz w:val="24"/>
                <w:szCs w:val="24"/>
                <w:lang w:eastAsia="ar-SA"/>
              </w:rPr>
            </w:pPr>
            <w:r w:rsidRPr="00920C24">
              <w:rPr>
                <w:rFonts w:cs="Calibri"/>
                <w:sz w:val="24"/>
                <w:szCs w:val="24"/>
                <w:lang w:eastAsia="ar-SA"/>
              </w:rPr>
              <w:t>500,7±59,0</w:t>
            </w:r>
          </w:p>
        </w:tc>
        <w:tc>
          <w:tcPr>
            <w:tcW w:w="209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sz w:val="24"/>
                <w:szCs w:val="24"/>
                <w:lang w:eastAsia="ar-SA"/>
              </w:rPr>
            </w:pPr>
            <w:r w:rsidRPr="00920C24">
              <w:rPr>
                <w:rFonts w:cs="Calibri"/>
                <w:sz w:val="24"/>
                <w:szCs w:val="24"/>
                <w:lang w:eastAsia="ar-SA"/>
              </w:rPr>
              <w:t>1057,2±143,3</w:t>
            </w:r>
          </w:p>
        </w:tc>
      </w:tr>
      <w:tr w:rsidR="00286780" w:rsidRPr="00920C24" w:rsidTr="00160537">
        <w:trPr>
          <w:trHeight w:val="454"/>
          <w:jc w:val="center"/>
        </w:trPr>
        <w:tc>
          <w:tcPr>
            <w:tcW w:w="3545"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160537">
            <w:pPr>
              <w:snapToGrid w:val="0"/>
              <w:ind w:firstLine="5"/>
              <w:rPr>
                <w:rFonts w:cs="Calibri"/>
                <w:sz w:val="24"/>
                <w:szCs w:val="24"/>
                <w:lang w:eastAsia="ar-SA"/>
              </w:rPr>
            </w:pPr>
            <w:r>
              <w:rPr>
                <w:rFonts w:cs="Calibri"/>
                <w:sz w:val="24"/>
                <w:szCs w:val="24"/>
                <w:lang w:eastAsia="ar-SA"/>
              </w:rPr>
              <w:t>ЛИИ (усл. ед.)</w:t>
            </w:r>
          </w:p>
        </w:tc>
        <w:tc>
          <w:tcPr>
            <w:tcW w:w="2158"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160537">
            <w:pPr>
              <w:snapToGrid w:val="0"/>
              <w:ind w:firstLine="5"/>
              <w:jc w:val="center"/>
              <w:rPr>
                <w:rFonts w:cs="Calibri"/>
                <w:sz w:val="24"/>
                <w:szCs w:val="24"/>
                <w:lang w:eastAsia="ar-SA"/>
              </w:rPr>
            </w:pPr>
            <w:r>
              <w:rPr>
                <w:rFonts w:cs="Calibri"/>
                <w:sz w:val="24"/>
                <w:szCs w:val="24"/>
                <w:lang w:eastAsia="ar-SA"/>
              </w:rPr>
              <w:t>3,15</w:t>
            </w:r>
            <w:r>
              <w:rPr>
                <w:sz w:val="24"/>
                <w:szCs w:val="24"/>
                <w:lang w:eastAsia="ar-SA"/>
              </w:rPr>
              <w:t>±</w:t>
            </w:r>
            <w:r>
              <w:rPr>
                <w:rFonts w:cs="Calibri"/>
                <w:sz w:val="24"/>
                <w:szCs w:val="24"/>
                <w:lang w:eastAsia="ar-SA"/>
              </w:rPr>
              <w:t>0,54*</w:t>
            </w:r>
          </w:p>
        </w:tc>
        <w:tc>
          <w:tcPr>
            <w:tcW w:w="2127"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160537">
            <w:pPr>
              <w:snapToGrid w:val="0"/>
              <w:ind w:firstLine="5"/>
              <w:jc w:val="center"/>
              <w:rPr>
                <w:rFonts w:cs="Calibri"/>
                <w:sz w:val="24"/>
                <w:szCs w:val="24"/>
                <w:lang w:eastAsia="ar-SA"/>
              </w:rPr>
            </w:pPr>
            <w:r>
              <w:rPr>
                <w:rFonts w:cs="Calibri"/>
                <w:sz w:val="24"/>
                <w:szCs w:val="24"/>
                <w:lang w:eastAsia="ar-SA"/>
              </w:rPr>
              <w:t>2,43</w:t>
            </w:r>
            <w:r>
              <w:rPr>
                <w:sz w:val="24"/>
                <w:szCs w:val="24"/>
                <w:lang w:eastAsia="ar-SA"/>
              </w:rPr>
              <w:t>±</w:t>
            </w:r>
            <w:r>
              <w:rPr>
                <w:rFonts w:cs="Calibri"/>
                <w:sz w:val="24"/>
                <w:szCs w:val="24"/>
                <w:lang w:eastAsia="ar-SA"/>
              </w:rPr>
              <w:t>0,47</w:t>
            </w:r>
          </w:p>
        </w:tc>
        <w:tc>
          <w:tcPr>
            <w:tcW w:w="209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160537">
            <w:pPr>
              <w:snapToGrid w:val="0"/>
              <w:ind w:firstLine="5"/>
              <w:jc w:val="center"/>
              <w:rPr>
                <w:rFonts w:cs="Calibri"/>
                <w:sz w:val="24"/>
                <w:szCs w:val="24"/>
                <w:lang w:eastAsia="ar-SA"/>
              </w:rPr>
            </w:pPr>
            <w:r>
              <w:rPr>
                <w:rStyle w:val="afffffffffff8"/>
                <w:sz w:val="24"/>
                <w:szCs w:val="24"/>
              </w:rPr>
              <w:t>3,6±0,77</w:t>
            </w:r>
          </w:p>
        </w:tc>
      </w:tr>
      <w:tr w:rsidR="00286780" w:rsidRPr="00920C24" w:rsidTr="00924407">
        <w:trPr>
          <w:trHeight w:val="454"/>
          <w:jc w:val="center"/>
        </w:trPr>
        <w:tc>
          <w:tcPr>
            <w:tcW w:w="3545"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rPr>
                <w:rFonts w:cs="Calibri"/>
                <w:sz w:val="24"/>
                <w:szCs w:val="24"/>
                <w:lang w:eastAsia="ar-SA"/>
              </w:rPr>
            </w:pPr>
            <w:r w:rsidRPr="00920C24">
              <w:rPr>
                <w:rFonts w:cs="Calibri"/>
                <w:sz w:val="24"/>
                <w:szCs w:val="24"/>
                <w:lang w:eastAsia="ar-SA"/>
              </w:rPr>
              <w:t>Тромбоциты (в 1 мкл.)</w:t>
            </w:r>
          </w:p>
        </w:tc>
        <w:tc>
          <w:tcPr>
            <w:tcW w:w="2158"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4407">
            <w:pPr>
              <w:snapToGrid w:val="0"/>
              <w:ind w:firstLine="5"/>
              <w:jc w:val="center"/>
              <w:rPr>
                <w:rFonts w:cs="Calibri"/>
                <w:sz w:val="24"/>
                <w:szCs w:val="24"/>
                <w:lang w:eastAsia="ar-SA"/>
              </w:rPr>
            </w:pPr>
            <w:r w:rsidRPr="00920C24">
              <w:rPr>
                <w:rFonts w:cs="Calibri"/>
                <w:sz w:val="24"/>
                <w:szCs w:val="24"/>
                <w:lang w:eastAsia="ar-SA"/>
              </w:rPr>
              <w:t>315,6</w:t>
            </w:r>
            <w:r w:rsidRPr="00924407">
              <w:rPr>
                <w:rFonts w:cs="Calibri"/>
                <w:sz w:val="24"/>
                <w:szCs w:val="24"/>
                <w:lang w:eastAsia="ar-SA"/>
              </w:rPr>
              <w:t>[</w:t>
            </w:r>
            <w:r w:rsidRPr="00920C24">
              <w:rPr>
                <w:rFonts w:cs="Calibri"/>
                <w:sz w:val="24"/>
                <w:szCs w:val="24"/>
                <w:lang w:eastAsia="ar-SA"/>
              </w:rPr>
              <w:t>261,0; 344,5</w:t>
            </w:r>
            <w:r w:rsidRPr="00924407">
              <w:rPr>
                <w:rFonts w:cs="Calibri"/>
                <w:sz w:val="24"/>
                <w:szCs w:val="24"/>
                <w:lang w:eastAsia="ar-SA"/>
              </w:rPr>
              <w:t>]</w:t>
            </w:r>
            <w:r w:rsidRPr="00920C24">
              <w:rPr>
                <w:rFonts w:cs="Calibri"/>
                <w:sz w:val="24"/>
                <w:szCs w:val="24"/>
                <w:lang w:eastAsia="ar-SA"/>
              </w:rPr>
              <w:t>*</w:t>
            </w:r>
          </w:p>
        </w:tc>
        <w:tc>
          <w:tcPr>
            <w:tcW w:w="2127" w:type="dxa"/>
            <w:tcBorders>
              <w:top w:val="single" w:sz="4" w:space="0" w:color="000000"/>
              <w:left w:val="single" w:sz="4" w:space="0" w:color="000000"/>
              <w:bottom w:val="single" w:sz="4" w:space="0" w:color="000000"/>
            </w:tcBorders>
            <w:tcMar>
              <w:left w:w="28" w:type="dxa"/>
              <w:right w:w="28" w:type="dxa"/>
            </w:tcMar>
            <w:vAlign w:val="center"/>
          </w:tcPr>
          <w:p w:rsidR="00286780" w:rsidRPr="00924407" w:rsidRDefault="00286780" w:rsidP="00920C24">
            <w:pPr>
              <w:snapToGrid w:val="0"/>
              <w:ind w:firstLine="5"/>
              <w:jc w:val="center"/>
              <w:rPr>
                <w:rFonts w:cs="Calibri"/>
                <w:sz w:val="24"/>
                <w:szCs w:val="24"/>
                <w:lang w:eastAsia="ar-SA"/>
              </w:rPr>
            </w:pPr>
            <w:r w:rsidRPr="00920C24">
              <w:rPr>
                <w:rFonts w:cs="Calibri"/>
                <w:sz w:val="24"/>
                <w:szCs w:val="24"/>
                <w:lang w:eastAsia="ar-SA"/>
              </w:rPr>
              <w:t>210,5</w:t>
            </w:r>
            <w:r w:rsidRPr="00924407">
              <w:rPr>
                <w:rFonts w:cs="Calibri"/>
                <w:sz w:val="24"/>
                <w:szCs w:val="24"/>
                <w:lang w:eastAsia="ar-SA"/>
              </w:rPr>
              <w:t>[</w:t>
            </w:r>
            <w:r>
              <w:rPr>
                <w:rFonts w:cs="Calibri"/>
                <w:sz w:val="24"/>
                <w:szCs w:val="24"/>
                <w:lang w:eastAsia="ar-SA"/>
              </w:rPr>
              <w:t>189,0;</w:t>
            </w:r>
            <w:r w:rsidRPr="00920C24">
              <w:rPr>
                <w:rFonts w:cs="Calibri"/>
                <w:sz w:val="24"/>
                <w:szCs w:val="24"/>
                <w:lang w:eastAsia="ar-SA"/>
              </w:rPr>
              <w:t>230,0</w:t>
            </w:r>
            <w:r w:rsidRPr="00924407">
              <w:rPr>
                <w:rFonts w:cs="Calibri"/>
                <w:sz w:val="24"/>
                <w:szCs w:val="24"/>
                <w:lang w:eastAsia="ar-SA"/>
              </w:rPr>
              <w:t>]</w:t>
            </w:r>
          </w:p>
        </w:tc>
        <w:tc>
          <w:tcPr>
            <w:tcW w:w="209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4407" w:rsidRDefault="00286780" w:rsidP="00920C24">
            <w:pPr>
              <w:snapToGrid w:val="0"/>
              <w:ind w:firstLine="5"/>
              <w:jc w:val="center"/>
              <w:rPr>
                <w:rFonts w:cs="Calibri"/>
                <w:sz w:val="24"/>
                <w:szCs w:val="24"/>
                <w:lang w:eastAsia="ar-SA"/>
              </w:rPr>
            </w:pPr>
            <w:r w:rsidRPr="00920C24">
              <w:rPr>
                <w:rFonts w:cs="Calibri"/>
                <w:sz w:val="24"/>
                <w:szCs w:val="24"/>
                <w:lang w:eastAsia="ar-SA"/>
              </w:rPr>
              <w:t>239,5</w:t>
            </w:r>
            <w:r w:rsidRPr="00924407">
              <w:rPr>
                <w:rFonts w:cs="Calibri"/>
                <w:sz w:val="24"/>
                <w:szCs w:val="24"/>
                <w:lang w:eastAsia="ar-SA"/>
              </w:rPr>
              <w:t>[</w:t>
            </w:r>
            <w:r>
              <w:rPr>
                <w:rFonts w:cs="Calibri"/>
                <w:sz w:val="24"/>
                <w:szCs w:val="24"/>
                <w:lang w:eastAsia="ar-SA"/>
              </w:rPr>
              <w:t>222;</w:t>
            </w:r>
            <w:r w:rsidRPr="00920C24">
              <w:rPr>
                <w:rFonts w:cs="Calibri"/>
                <w:sz w:val="24"/>
                <w:szCs w:val="24"/>
                <w:lang w:eastAsia="ar-SA"/>
              </w:rPr>
              <w:t>288</w:t>
            </w:r>
            <w:r w:rsidRPr="00924407">
              <w:rPr>
                <w:rFonts w:cs="Calibri"/>
                <w:sz w:val="24"/>
                <w:szCs w:val="24"/>
                <w:lang w:eastAsia="ar-SA"/>
              </w:rPr>
              <w:t>]</w:t>
            </w:r>
          </w:p>
        </w:tc>
      </w:tr>
      <w:tr w:rsidR="00286780" w:rsidRPr="00920C24" w:rsidTr="00924407">
        <w:trPr>
          <w:trHeight w:val="454"/>
          <w:jc w:val="center"/>
        </w:trPr>
        <w:tc>
          <w:tcPr>
            <w:tcW w:w="3545"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rPr>
                <w:rFonts w:cs="Calibri"/>
                <w:sz w:val="24"/>
                <w:szCs w:val="24"/>
                <w:lang w:eastAsia="ar-SA"/>
              </w:rPr>
            </w:pPr>
            <w:r w:rsidRPr="00920C24">
              <w:rPr>
                <w:rFonts w:cs="Calibri"/>
                <w:sz w:val="24"/>
                <w:szCs w:val="24"/>
                <w:lang w:eastAsia="ar-SA"/>
              </w:rPr>
              <w:t>СОЭ (мм/ч)</w:t>
            </w:r>
          </w:p>
        </w:tc>
        <w:tc>
          <w:tcPr>
            <w:tcW w:w="2158"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sz w:val="24"/>
                <w:szCs w:val="24"/>
                <w:highlight w:val="red"/>
                <w:lang w:eastAsia="ar-SA"/>
              </w:rPr>
            </w:pPr>
            <w:r>
              <w:rPr>
                <w:rFonts w:cs="Calibri"/>
                <w:sz w:val="24"/>
                <w:szCs w:val="24"/>
                <w:lang w:eastAsia="ar-SA"/>
              </w:rPr>
              <w:t>14</w:t>
            </w:r>
            <w:r w:rsidRPr="00924407">
              <w:rPr>
                <w:rFonts w:cs="Calibri"/>
                <w:sz w:val="24"/>
                <w:szCs w:val="24"/>
                <w:lang w:eastAsia="ar-SA"/>
              </w:rPr>
              <w:t>[</w:t>
            </w:r>
            <w:r>
              <w:rPr>
                <w:rFonts w:cs="Calibri"/>
                <w:sz w:val="24"/>
                <w:szCs w:val="24"/>
                <w:lang w:eastAsia="ar-SA"/>
              </w:rPr>
              <w:t>10;</w:t>
            </w:r>
            <w:r w:rsidRPr="00920C24">
              <w:rPr>
                <w:rFonts w:cs="Calibri"/>
                <w:sz w:val="24"/>
                <w:szCs w:val="24"/>
                <w:lang w:eastAsia="ar-SA"/>
              </w:rPr>
              <w:t>29</w:t>
            </w:r>
            <w:r w:rsidRPr="00924407">
              <w:rPr>
                <w:rFonts w:cs="Calibri"/>
                <w:sz w:val="24"/>
                <w:szCs w:val="24"/>
                <w:lang w:eastAsia="ar-SA"/>
              </w:rPr>
              <w:t>]</w:t>
            </w:r>
            <w:r w:rsidRPr="00920C24">
              <w:rPr>
                <w:rFonts w:cs="Calibri"/>
                <w:sz w:val="24"/>
                <w:szCs w:val="24"/>
                <w:lang w:eastAsia="ar-SA"/>
              </w:rPr>
              <w:t>*</w:t>
            </w:r>
          </w:p>
        </w:tc>
        <w:tc>
          <w:tcPr>
            <w:tcW w:w="2127"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sz w:val="24"/>
                <w:szCs w:val="24"/>
                <w:highlight w:val="red"/>
                <w:lang w:eastAsia="ar-SA"/>
              </w:rPr>
            </w:pPr>
            <w:r>
              <w:rPr>
                <w:rFonts w:cs="Calibri"/>
                <w:sz w:val="24"/>
                <w:szCs w:val="24"/>
                <w:lang w:eastAsia="ar-SA"/>
              </w:rPr>
              <w:t>7</w:t>
            </w:r>
            <w:r w:rsidRPr="00924407">
              <w:rPr>
                <w:rFonts w:cs="Calibri"/>
                <w:sz w:val="24"/>
                <w:szCs w:val="24"/>
                <w:lang w:eastAsia="ar-SA"/>
              </w:rPr>
              <w:t>[</w:t>
            </w:r>
            <w:r>
              <w:rPr>
                <w:rFonts w:cs="Calibri"/>
                <w:sz w:val="24"/>
                <w:szCs w:val="24"/>
                <w:lang w:eastAsia="ar-SA"/>
              </w:rPr>
              <w:t>5;</w:t>
            </w:r>
            <w:r w:rsidRPr="00920C24">
              <w:rPr>
                <w:rFonts w:cs="Calibri"/>
                <w:sz w:val="24"/>
                <w:szCs w:val="24"/>
                <w:lang w:eastAsia="ar-SA"/>
              </w:rPr>
              <w:t>10</w:t>
            </w:r>
            <w:r w:rsidRPr="00924407">
              <w:rPr>
                <w:rFonts w:cs="Calibri"/>
                <w:sz w:val="24"/>
                <w:szCs w:val="24"/>
                <w:lang w:eastAsia="ar-SA"/>
              </w:rPr>
              <w:t>]</w:t>
            </w:r>
          </w:p>
        </w:tc>
        <w:tc>
          <w:tcPr>
            <w:tcW w:w="209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4407" w:rsidRDefault="00286780" w:rsidP="00920C24">
            <w:pPr>
              <w:snapToGrid w:val="0"/>
              <w:ind w:firstLine="5"/>
              <w:jc w:val="center"/>
              <w:rPr>
                <w:rFonts w:cs="Calibri"/>
                <w:sz w:val="24"/>
                <w:szCs w:val="24"/>
                <w:lang w:eastAsia="ar-SA"/>
              </w:rPr>
            </w:pPr>
            <w:r w:rsidRPr="00920C24">
              <w:rPr>
                <w:rFonts w:cs="Calibri"/>
                <w:sz w:val="24"/>
                <w:szCs w:val="24"/>
                <w:lang w:eastAsia="ar-SA"/>
              </w:rPr>
              <w:t>17,</w:t>
            </w:r>
            <w:r>
              <w:rPr>
                <w:rFonts w:cs="Calibri"/>
                <w:sz w:val="24"/>
                <w:szCs w:val="24"/>
                <w:lang w:eastAsia="ar-SA"/>
              </w:rPr>
              <w:t>5</w:t>
            </w:r>
            <w:r w:rsidRPr="00924407">
              <w:rPr>
                <w:rFonts w:cs="Calibri"/>
                <w:sz w:val="24"/>
                <w:szCs w:val="24"/>
                <w:lang w:eastAsia="ar-SA"/>
              </w:rPr>
              <w:t>[9</w:t>
            </w:r>
            <w:r>
              <w:rPr>
                <w:rFonts w:cs="Calibri"/>
                <w:sz w:val="24"/>
                <w:szCs w:val="24"/>
                <w:lang w:eastAsia="ar-SA"/>
              </w:rPr>
              <w:t>;</w:t>
            </w:r>
            <w:r w:rsidRPr="00924407">
              <w:rPr>
                <w:rFonts w:cs="Calibri"/>
                <w:sz w:val="24"/>
                <w:szCs w:val="24"/>
                <w:lang w:eastAsia="ar-SA"/>
              </w:rPr>
              <w:t>26]</w:t>
            </w:r>
          </w:p>
        </w:tc>
      </w:tr>
      <w:tr w:rsidR="00286780" w:rsidRPr="00920C24" w:rsidTr="00924407">
        <w:trPr>
          <w:trHeight w:val="454"/>
          <w:jc w:val="center"/>
        </w:trPr>
        <w:tc>
          <w:tcPr>
            <w:tcW w:w="3545"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rPr>
                <w:rFonts w:cs="Calibri"/>
                <w:sz w:val="24"/>
                <w:szCs w:val="24"/>
                <w:lang w:eastAsia="ar-SA"/>
              </w:rPr>
            </w:pPr>
            <w:r w:rsidRPr="00920C24">
              <w:rPr>
                <w:rFonts w:cs="Calibri"/>
                <w:sz w:val="24"/>
                <w:szCs w:val="24"/>
                <w:lang w:eastAsia="ar-SA"/>
              </w:rPr>
              <w:t>Общий белок (г/л)</w:t>
            </w:r>
          </w:p>
        </w:tc>
        <w:tc>
          <w:tcPr>
            <w:tcW w:w="2158"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sz w:val="24"/>
                <w:szCs w:val="24"/>
                <w:lang w:eastAsia="ar-SA"/>
              </w:rPr>
            </w:pPr>
            <w:r w:rsidRPr="00920C24">
              <w:rPr>
                <w:rFonts w:cs="Calibri"/>
                <w:sz w:val="24"/>
                <w:szCs w:val="24"/>
                <w:lang w:eastAsia="ar-SA"/>
              </w:rPr>
              <w:t>77,4±0,79</w:t>
            </w:r>
          </w:p>
        </w:tc>
        <w:tc>
          <w:tcPr>
            <w:tcW w:w="2127"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sz w:val="24"/>
                <w:szCs w:val="24"/>
                <w:lang w:eastAsia="ar-SA"/>
              </w:rPr>
            </w:pPr>
            <w:r w:rsidRPr="00920C24">
              <w:rPr>
                <w:rFonts w:cs="Calibri"/>
                <w:sz w:val="24"/>
                <w:szCs w:val="24"/>
                <w:lang w:eastAsia="ar-SA"/>
              </w:rPr>
              <w:t>73,9±1,27</w:t>
            </w:r>
          </w:p>
        </w:tc>
        <w:tc>
          <w:tcPr>
            <w:tcW w:w="209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sz w:val="24"/>
                <w:szCs w:val="24"/>
                <w:lang w:eastAsia="ar-SA"/>
              </w:rPr>
            </w:pPr>
            <w:r w:rsidRPr="00920C24">
              <w:rPr>
                <w:rFonts w:cs="Calibri"/>
                <w:sz w:val="24"/>
                <w:szCs w:val="24"/>
                <w:lang w:eastAsia="ar-SA"/>
              </w:rPr>
              <w:t>76,3±2,39</w:t>
            </w:r>
          </w:p>
        </w:tc>
      </w:tr>
      <w:tr w:rsidR="00286780" w:rsidRPr="00920C24" w:rsidTr="00924407">
        <w:trPr>
          <w:trHeight w:val="454"/>
          <w:jc w:val="center"/>
        </w:trPr>
        <w:tc>
          <w:tcPr>
            <w:tcW w:w="3545"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rPr>
                <w:rFonts w:cs="Calibri"/>
                <w:sz w:val="24"/>
                <w:szCs w:val="24"/>
                <w:lang w:eastAsia="ar-SA"/>
              </w:rPr>
            </w:pPr>
            <w:r w:rsidRPr="00920C24">
              <w:rPr>
                <w:rFonts w:cs="Calibri"/>
                <w:sz w:val="24"/>
                <w:szCs w:val="24"/>
                <w:lang w:eastAsia="ar-SA"/>
              </w:rPr>
              <w:t>Билирубин общий (мкмоль/л)</w:t>
            </w:r>
          </w:p>
        </w:tc>
        <w:tc>
          <w:tcPr>
            <w:tcW w:w="2158"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sz w:val="24"/>
                <w:szCs w:val="24"/>
                <w:lang w:val="en-US" w:eastAsia="ar-SA"/>
              </w:rPr>
            </w:pPr>
            <w:r>
              <w:rPr>
                <w:rFonts w:cs="Calibri"/>
                <w:sz w:val="24"/>
                <w:szCs w:val="24"/>
                <w:lang w:eastAsia="ar-SA"/>
              </w:rPr>
              <w:t>13,6</w:t>
            </w:r>
            <w:r w:rsidRPr="00920C24">
              <w:rPr>
                <w:rFonts w:cs="Calibri"/>
                <w:sz w:val="24"/>
                <w:szCs w:val="24"/>
                <w:lang w:val="en-US" w:eastAsia="ar-SA"/>
              </w:rPr>
              <w:t>[</w:t>
            </w:r>
            <w:r>
              <w:rPr>
                <w:rFonts w:cs="Calibri"/>
                <w:sz w:val="24"/>
                <w:szCs w:val="24"/>
                <w:lang w:eastAsia="ar-SA"/>
              </w:rPr>
              <w:t>12,7;</w:t>
            </w:r>
            <w:r w:rsidRPr="00920C24">
              <w:rPr>
                <w:rFonts w:cs="Calibri"/>
                <w:sz w:val="24"/>
                <w:szCs w:val="24"/>
                <w:lang w:eastAsia="ar-SA"/>
              </w:rPr>
              <w:t>15,6</w:t>
            </w:r>
            <w:r w:rsidRPr="00920C24">
              <w:rPr>
                <w:rFonts w:cs="Calibri"/>
                <w:sz w:val="24"/>
                <w:szCs w:val="24"/>
                <w:lang w:val="en-US" w:eastAsia="ar-SA"/>
              </w:rPr>
              <w:t>]</w:t>
            </w:r>
          </w:p>
        </w:tc>
        <w:tc>
          <w:tcPr>
            <w:tcW w:w="2127"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sz w:val="24"/>
                <w:szCs w:val="24"/>
                <w:lang w:eastAsia="ar-SA"/>
              </w:rPr>
            </w:pPr>
            <w:r>
              <w:rPr>
                <w:rFonts w:cs="Calibri"/>
                <w:sz w:val="24"/>
                <w:szCs w:val="24"/>
                <w:lang w:eastAsia="ar-SA"/>
              </w:rPr>
              <w:t>16,1</w:t>
            </w:r>
            <w:r w:rsidRPr="00920C24">
              <w:rPr>
                <w:rFonts w:cs="Calibri"/>
                <w:sz w:val="24"/>
                <w:szCs w:val="24"/>
                <w:lang w:val="en-US" w:eastAsia="ar-SA"/>
              </w:rPr>
              <w:t>[</w:t>
            </w:r>
            <w:r>
              <w:rPr>
                <w:rFonts w:cs="Calibri"/>
                <w:sz w:val="24"/>
                <w:szCs w:val="24"/>
                <w:lang w:eastAsia="ar-SA"/>
              </w:rPr>
              <w:t>12,8;</w:t>
            </w:r>
            <w:r w:rsidRPr="00920C24">
              <w:rPr>
                <w:rFonts w:cs="Calibri"/>
                <w:sz w:val="24"/>
                <w:szCs w:val="24"/>
                <w:lang w:eastAsia="ar-SA"/>
              </w:rPr>
              <w:t>19,8</w:t>
            </w:r>
            <w:r w:rsidRPr="00920C24">
              <w:rPr>
                <w:rFonts w:cs="Calibri"/>
                <w:sz w:val="24"/>
                <w:szCs w:val="24"/>
                <w:lang w:val="en-US" w:eastAsia="ar-SA"/>
              </w:rPr>
              <w:t>]</w:t>
            </w:r>
          </w:p>
        </w:tc>
        <w:tc>
          <w:tcPr>
            <w:tcW w:w="209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sz w:val="24"/>
                <w:szCs w:val="24"/>
                <w:lang w:val="en-US" w:eastAsia="ar-SA"/>
              </w:rPr>
            </w:pPr>
            <w:r>
              <w:rPr>
                <w:rFonts w:cs="Calibri"/>
                <w:sz w:val="24"/>
                <w:szCs w:val="24"/>
                <w:lang w:eastAsia="ar-SA"/>
              </w:rPr>
              <w:t>16,1</w:t>
            </w:r>
            <w:r w:rsidRPr="00920C24">
              <w:rPr>
                <w:rFonts w:cs="Calibri"/>
                <w:sz w:val="24"/>
                <w:szCs w:val="24"/>
                <w:lang w:val="en-US" w:eastAsia="ar-SA"/>
              </w:rPr>
              <w:t>[</w:t>
            </w:r>
            <w:r>
              <w:rPr>
                <w:rFonts w:cs="Calibri"/>
                <w:sz w:val="24"/>
                <w:szCs w:val="24"/>
                <w:lang w:eastAsia="ar-SA"/>
              </w:rPr>
              <w:t>16,1;</w:t>
            </w:r>
            <w:r w:rsidRPr="00920C24">
              <w:rPr>
                <w:rFonts w:cs="Calibri"/>
                <w:sz w:val="24"/>
                <w:szCs w:val="24"/>
                <w:lang w:eastAsia="ar-SA"/>
              </w:rPr>
              <w:t>27,3</w:t>
            </w:r>
            <w:r w:rsidRPr="00920C24">
              <w:rPr>
                <w:rFonts w:cs="Calibri"/>
                <w:sz w:val="24"/>
                <w:szCs w:val="24"/>
                <w:lang w:val="en-US" w:eastAsia="ar-SA"/>
              </w:rPr>
              <w:t>]</w:t>
            </w:r>
          </w:p>
        </w:tc>
      </w:tr>
      <w:tr w:rsidR="00286780" w:rsidRPr="00920C24" w:rsidTr="00924407">
        <w:trPr>
          <w:trHeight w:val="454"/>
          <w:jc w:val="center"/>
        </w:trPr>
        <w:tc>
          <w:tcPr>
            <w:tcW w:w="3545"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rPr>
                <w:rFonts w:cs="Calibri"/>
                <w:sz w:val="24"/>
                <w:szCs w:val="24"/>
                <w:lang w:eastAsia="ar-SA"/>
              </w:rPr>
            </w:pPr>
            <w:r w:rsidRPr="00920C24">
              <w:rPr>
                <w:rFonts w:cs="Calibri"/>
                <w:sz w:val="24"/>
                <w:szCs w:val="24"/>
                <w:lang w:eastAsia="ar-SA"/>
              </w:rPr>
              <w:t>Мочевина (ммоль/л)</w:t>
            </w:r>
          </w:p>
        </w:tc>
        <w:tc>
          <w:tcPr>
            <w:tcW w:w="2158"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sz w:val="24"/>
                <w:szCs w:val="24"/>
                <w:highlight w:val="red"/>
                <w:lang w:eastAsia="ar-SA"/>
              </w:rPr>
            </w:pPr>
            <w:r>
              <w:rPr>
                <w:rFonts w:cs="Calibri"/>
                <w:sz w:val="24"/>
                <w:szCs w:val="24"/>
                <w:lang w:eastAsia="ar-SA"/>
              </w:rPr>
              <w:t>6,1</w:t>
            </w:r>
            <w:r w:rsidRPr="00920C24">
              <w:rPr>
                <w:rFonts w:cs="Calibri"/>
                <w:sz w:val="24"/>
                <w:szCs w:val="24"/>
                <w:lang w:val="en-US" w:eastAsia="ar-SA"/>
              </w:rPr>
              <w:t>[</w:t>
            </w:r>
            <w:r>
              <w:rPr>
                <w:rFonts w:cs="Calibri"/>
                <w:sz w:val="24"/>
                <w:szCs w:val="24"/>
                <w:lang w:eastAsia="ar-SA"/>
              </w:rPr>
              <w:t>5,44;</w:t>
            </w:r>
            <w:r w:rsidRPr="00920C24">
              <w:rPr>
                <w:rFonts w:cs="Calibri"/>
                <w:sz w:val="24"/>
                <w:szCs w:val="24"/>
                <w:lang w:eastAsia="ar-SA"/>
              </w:rPr>
              <w:t>7,43</w:t>
            </w:r>
            <w:r w:rsidRPr="00920C24">
              <w:rPr>
                <w:rFonts w:cs="Calibri"/>
                <w:sz w:val="24"/>
                <w:szCs w:val="24"/>
                <w:lang w:val="en-US" w:eastAsia="ar-SA"/>
              </w:rPr>
              <w:t>]</w:t>
            </w:r>
          </w:p>
        </w:tc>
        <w:tc>
          <w:tcPr>
            <w:tcW w:w="2127"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sz w:val="24"/>
                <w:szCs w:val="24"/>
                <w:highlight w:val="red"/>
                <w:lang w:eastAsia="ar-SA"/>
              </w:rPr>
            </w:pPr>
            <w:r>
              <w:rPr>
                <w:rFonts w:cs="Calibri"/>
                <w:sz w:val="24"/>
                <w:szCs w:val="24"/>
                <w:lang w:eastAsia="ar-SA"/>
              </w:rPr>
              <w:t>6,05</w:t>
            </w:r>
            <w:r w:rsidRPr="00920C24">
              <w:rPr>
                <w:rFonts w:cs="Calibri"/>
                <w:sz w:val="24"/>
                <w:szCs w:val="24"/>
                <w:lang w:val="en-US" w:eastAsia="ar-SA"/>
              </w:rPr>
              <w:t>[</w:t>
            </w:r>
            <w:r>
              <w:rPr>
                <w:rFonts w:cs="Calibri"/>
                <w:sz w:val="24"/>
                <w:szCs w:val="24"/>
                <w:lang w:eastAsia="ar-SA"/>
              </w:rPr>
              <w:t>4,6;</w:t>
            </w:r>
            <w:r w:rsidRPr="00920C24">
              <w:rPr>
                <w:rFonts w:cs="Calibri"/>
                <w:sz w:val="24"/>
                <w:szCs w:val="24"/>
                <w:lang w:eastAsia="ar-SA"/>
              </w:rPr>
              <w:t>7,53</w:t>
            </w:r>
            <w:r w:rsidRPr="00920C24">
              <w:rPr>
                <w:rFonts w:cs="Calibri"/>
                <w:sz w:val="24"/>
                <w:szCs w:val="24"/>
                <w:lang w:val="en-US" w:eastAsia="ar-SA"/>
              </w:rPr>
              <w:t>]</w:t>
            </w:r>
          </w:p>
        </w:tc>
        <w:tc>
          <w:tcPr>
            <w:tcW w:w="209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sz w:val="24"/>
                <w:szCs w:val="24"/>
                <w:lang w:eastAsia="ar-SA"/>
              </w:rPr>
            </w:pPr>
            <w:r>
              <w:rPr>
                <w:rFonts w:cs="Calibri"/>
                <w:sz w:val="24"/>
                <w:szCs w:val="24"/>
                <w:lang w:eastAsia="ar-SA"/>
              </w:rPr>
              <w:t>7,29</w:t>
            </w:r>
            <w:r w:rsidRPr="00920C24">
              <w:rPr>
                <w:rFonts w:cs="Calibri"/>
                <w:sz w:val="24"/>
                <w:szCs w:val="24"/>
                <w:lang w:val="en-US" w:eastAsia="ar-SA"/>
              </w:rPr>
              <w:t>[</w:t>
            </w:r>
            <w:r>
              <w:rPr>
                <w:rFonts w:cs="Calibri"/>
                <w:sz w:val="24"/>
                <w:szCs w:val="24"/>
                <w:lang w:eastAsia="ar-SA"/>
              </w:rPr>
              <w:t>4,7;</w:t>
            </w:r>
            <w:r w:rsidRPr="00920C24">
              <w:rPr>
                <w:rFonts w:cs="Calibri"/>
                <w:sz w:val="24"/>
                <w:szCs w:val="24"/>
                <w:lang w:eastAsia="ar-SA"/>
              </w:rPr>
              <w:t>10,6</w:t>
            </w:r>
            <w:r w:rsidRPr="00920C24">
              <w:rPr>
                <w:rFonts w:cs="Calibri"/>
                <w:sz w:val="24"/>
                <w:szCs w:val="24"/>
                <w:lang w:val="en-US" w:eastAsia="ar-SA"/>
              </w:rPr>
              <w:t>]</w:t>
            </w:r>
            <w:r w:rsidRPr="00920C24">
              <w:rPr>
                <w:rFonts w:cs="Calibri"/>
                <w:sz w:val="24"/>
                <w:szCs w:val="24"/>
                <w:lang w:eastAsia="ar-SA"/>
              </w:rPr>
              <w:t>-</w:t>
            </w:r>
          </w:p>
        </w:tc>
      </w:tr>
      <w:tr w:rsidR="00286780" w:rsidRPr="00920C24" w:rsidTr="00924407">
        <w:trPr>
          <w:trHeight w:val="454"/>
          <w:jc w:val="center"/>
        </w:trPr>
        <w:tc>
          <w:tcPr>
            <w:tcW w:w="3545"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rPr>
                <w:rFonts w:cs="Calibri"/>
                <w:sz w:val="24"/>
                <w:szCs w:val="24"/>
                <w:lang w:eastAsia="ar-SA"/>
              </w:rPr>
            </w:pPr>
            <w:r w:rsidRPr="00920C24">
              <w:rPr>
                <w:rFonts w:cs="Calibri"/>
                <w:sz w:val="24"/>
                <w:szCs w:val="24"/>
                <w:lang w:eastAsia="ar-SA"/>
              </w:rPr>
              <w:t>Глюкоза (ммоль/л)</w:t>
            </w:r>
          </w:p>
        </w:tc>
        <w:tc>
          <w:tcPr>
            <w:tcW w:w="2158"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sz w:val="24"/>
                <w:szCs w:val="24"/>
                <w:highlight w:val="red"/>
                <w:lang w:eastAsia="ar-SA"/>
              </w:rPr>
            </w:pPr>
            <w:r>
              <w:rPr>
                <w:rFonts w:cs="Calibri"/>
                <w:sz w:val="24"/>
                <w:szCs w:val="24"/>
                <w:lang w:eastAsia="ar-SA"/>
              </w:rPr>
              <w:t>4,88</w:t>
            </w:r>
            <w:r w:rsidRPr="00920C24">
              <w:rPr>
                <w:rFonts w:cs="Calibri"/>
                <w:sz w:val="24"/>
                <w:szCs w:val="24"/>
                <w:lang w:val="en-US" w:eastAsia="ar-SA"/>
              </w:rPr>
              <w:t>[</w:t>
            </w:r>
            <w:r>
              <w:rPr>
                <w:rFonts w:cs="Calibri"/>
                <w:sz w:val="24"/>
                <w:szCs w:val="24"/>
                <w:lang w:eastAsia="ar-SA"/>
              </w:rPr>
              <w:t>4,7;</w:t>
            </w:r>
            <w:r w:rsidRPr="00920C24">
              <w:rPr>
                <w:rFonts w:cs="Calibri"/>
                <w:sz w:val="24"/>
                <w:szCs w:val="24"/>
                <w:lang w:eastAsia="ar-SA"/>
              </w:rPr>
              <w:t>5,02</w:t>
            </w:r>
            <w:r w:rsidRPr="00920C24">
              <w:rPr>
                <w:rFonts w:cs="Calibri"/>
                <w:sz w:val="24"/>
                <w:szCs w:val="24"/>
                <w:lang w:val="en-US" w:eastAsia="ar-SA"/>
              </w:rPr>
              <w:t>]</w:t>
            </w:r>
          </w:p>
        </w:tc>
        <w:tc>
          <w:tcPr>
            <w:tcW w:w="2127"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sz w:val="24"/>
                <w:szCs w:val="24"/>
                <w:highlight w:val="red"/>
                <w:lang w:eastAsia="ar-SA"/>
              </w:rPr>
            </w:pPr>
            <w:r>
              <w:rPr>
                <w:rFonts w:cs="Calibri"/>
                <w:sz w:val="24"/>
                <w:szCs w:val="24"/>
                <w:lang w:eastAsia="ar-SA"/>
              </w:rPr>
              <w:t>4,84</w:t>
            </w:r>
            <w:r w:rsidRPr="00920C24">
              <w:rPr>
                <w:rFonts w:cs="Calibri"/>
                <w:sz w:val="24"/>
                <w:szCs w:val="24"/>
                <w:lang w:val="en-US" w:eastAsia="ar-SA"/>
              </w:rPr>
              <w:t>[</w:t>
            </w:r>
            <w:r w:rsidRPr="00920C24">
              <w:rPr>
                <w:rFonts w:cs="Calibri"/>
                <w:sz w:val="24"/>
                <w:szCs w:val="24"/>
                <w:lang w:eastAsia="ar-SA"/>
              </w:rPr>
              <w:t>4</w:t>
            </w:r>
            <w:r>
              <w:rPr>
                <w:rFonts w:cs="Calibri"/>
                <w:sz w:val="24"/>
                <w:szCs w:val="24"/>
                <w:lang w:eastAsia="ar-SA"/>
              </w:rPr>
              <w:t>,4;</w:t>
            </w:r>
            <w:r w:rsidRPr="00920C24">
              <w:rPr>
                <w:rFonts w:cs="Calibri"/>
                <w:sz w:val="24"/>
                <w:szCs w:val="24"/>
                <w:lang w:eastAsia="ar-SA"/>
              </w:rPr>
              <w:t>5,14</w:t>
            </w:r>
            <w:r w:rsidRPr="00920C24">
              <w:rPr>
                <w:rFonts w:cs="Calibri"/>
                <w:sz w:val="24"/>
                <w:szCs w:val="24"/>
                <w:lang w:val="en-US" w:eastAsia="ar-SA"/>
              </w:rPr>
              <w:t>]</w:t>
            </w:r>
          </w:p>
        </w:tc>
        <w:tc>
          <w:tcPr>
            <w:tcW w:w="209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ind w:firstLine="5"/>
              <w:jc w:val="center"/>
              <w:rPr>
                <w:rFonts w:cs="Calibri"/>
                <w:sz w:val="24"/>
                <w:szCs w:val="24"/>
                <w:lang w:eastAsia="ar-SA"/>
              </w:rPr>
            </w:pPr>
            <w:r>
              <w:rPr>
                <w:rFonts w:cs="Calibri"/>
                <w:sz w:val="24"/>
                <w:szCs w:val="24"/>
                <w:lang w:eastAsia="ar-SA"/>
              </w:rPr>
              <w:t>5,0[4,6;</w:t>
            </w:r>
            <w:r w:rsidRPr="00920C24">
              <w:rPr>
                <w:rFonts w:cs="Calibri"/>
                <w:sz w:val="24"/>
                <w:szCs w:val="24"/>
                <w:lang w:eastAsia="ar-SA"/>
              </w:rPr>
              <w:t>5,2]-</w:t>
            </w:r>
          </w:p>
        </w:tc>
      </w:tr>
      <w:tr w:rsidR="00286780" w:rsidRPr="00920C24" w:rsidTr="00920C24">
        <w:trPr>
          <w:trHeight w:val="454"/>
          <w:jc w:val="center"/>
        </w:trPr>
        <w:tc>
          <w:tcPr>
            <w:tcW w:w="9923" w:type="dxa"/>
            <w:gridSpan w:val="4"/>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jc w:val="both"/>
              <w:rPr>
                <w:rFonts w:cs="Calibri"/>
                <w:sz w:val="24"/>
                <w:szCs w:val="24"/>
                <w:lang w:eastAsia="ar-SA"/>
              </w:rPr>
            </w:pPr>
            <w:r w:rsidRPr="00920C24">
              <w:rPr>
                <w:rFonts w:cs="Calibri"/>
                <w:i/>
                <w:sz w:val="24"/>
                <w:szCs w:val="24"/>
                <w:lang w:eastAsia="ar-SA"/>
              </w:rPr>
              <w:t>Примечание</w:t>
            </w:r>
            <w:r w:rsidRPr="00920C24">
              <w:rPr>
                <w:rFonts w:cs="Calibri"/>
                <w:sz w:val="24"/>
                <w:szCs w:val="24"/>
                <w:lang w:eastAsia="ar-SA"/>
              </w:rPr>
              <w:t>. Раз</w:t>
            </w:r>
            <w:r>
              <w:rPr>
                <w:rFonts w:cs="Calibri"/>
                <w:sz w:val="24"/>
                <w:szCs w:val="24"/>
                <w:lang w:eastAsia="ar-SA"/>
              </w:rPr>
              <w:t>личия статистически значимы (р&lt;</w:t>
            </w:r>
            <w:r w:rsidRPr="00920C24">
              <w:rPr>
                <w:rFonts w:cs="Calibri"/>
                <w:sz w:val="24"/>
                <w:szCs w:val="24"/>
                <w:lang w:eastAsia="ar-SA"/>
              </w:rPr>
              <w:t xml:space="preserve">0,05) по сравнению с показателями: </w:t>
            </w:r>
            <w:r w:rsidRPr="00920C24">
              <w:rPr>
                <w:rFonts w:cs="Calibri"/>
                <w:sz w:val="24"/>
                <w:szCs w:val="24"/>
                <w:lang w:eastAsia="ar-SA"/>
              </w:rPr>
              <w:br/>
              <w:t xml:space="preserve">* – контрольной </w:t>
            </w:r>
            <w:r w:rsidR="00917CDA">
              <w:rPr>
                <w:rFonts w:cs="Calibri"/>
                <w:sz w:val="24"/>
                <w:szCs w:val="24"/>
                <w:lang w:eastAsia="ar-SA"/>
              </w:rPr>
              <w:t>под</w:t>
            </w:r>
            <w:r w:rsidRPr="00920C24">
              <w:rPr>
                <w:rFonts w:cs="Calibri"/>
                <w:sz w:val="24"/>
                <w:szCs w:val="24"/>
                <w:lang w:eastAsia="ar-SA"/>
              </w:rPr>
              <w:t xml:space="preserve">группы № 2, ** – контрольной </w:t>
            </w:r>
            <w:r w:rsidR="00917CDA">
              <w:rPr>
                <w:rFonts w:cs="Calibri"/>
                <w:sz w:val="24"/>
                <w:szCs w:val="24"/>
                <w:lang w:eastAsia="ar-SA"/>
              </w:rPr>
              <w:t>под</w:t>
            </w:r>
            <w:r w:rsidRPr="00920C24">
              <w:rPr>
                <w:rFonts w:cs="Calibri"/>
                <w:sz w:val="24"/>
                <w:szCs w:val="24"/>
                <w:lang w:eastAsia="ar-SA"/>
              </w:rPr>
              <w:t>группы № 4</w:t>
            </w:r>
          </w:p>
        </w:tc>
      </w:tr>
    </w:tbl>
    <w:p w:rsidR="00286780" w:rsidRDefault="00286780" w:rsidP="00920C24">
      <w:pPr>
        <w:ind w:firstLine="709"/>
        <w:jc w:val="both"/>
        <w:rPr>
          <w:rFonts w:cs="Calibri"/>
          <w:sz w:val="24"/>
          <w:szCs w:val="24"/>
          <w:lang w:eastAsia="ar-SA"/>
        </w:rPr>
      </w:pP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 xml:space="preserve">Абсолютное количество лейкоцитов у пациентов с МФОИ увеличивается, содержание эозинофилов – уменьшается (не достигая статистически достоверного различия). Прирост средних значений абсолютного количества тромбоцитов у больных с МФОИ и патологией дыхательной системы </w:t>
      </w:r>
      <w:r>
        <w:rPr>
          <w:rFonts w:cs="Calibri"/>
          <w:sz w:val="28"/>
          <w:szCs w:val="28"/>
          <w:lang w:eastAsia="ar-SA"/>
        </w:rPr>
        <w:t>также</w:t>
      </w:r>
      <w:r w:rsidRPr="00920C24">
        <w:rPr>
          <w:rFonts w:cs="Calibri"/>
          <w:sz w:val="28"/>
          <w:szCs w:val="28"/>
          <w:lang w:eastAsia="ar-SA"/>
        </w:rPr>
        <w:t xml:space="preserve"> может быть связан с наличием воспаления (активацией факторов, способствующих образованию и созреванию клеток к</w:t>
      </w:r>
      <w:r w:rsidR="00EE1FD6">
        <w:rPr>
          <w:rFonts w:cs="Calibri"/>
          <w:sz w:val="28"/>
          <w:szCs w:val="28"/>
          <w:lang w:eastAsia="ar-SA"/>
        </w:rPr>
        <w:t>рови), в то же время в под</w:t>
      </w:r>
      <w:r w:rsidRPr="00920C24">
        <w:rPr>
          <w:rFonts w:cs="Calibri"/>
          <w:sz w:val="28"/>
          <w:szCs w:val="28"/>
          <w:lang w:eastAsia="ar-SA"/>
        </w:rPr>
        <w:t>группе № 1 не диагностирован.</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lastRenderedPageBreak/>
        <w:t>Статистически значимое изменение диастолического артериальн</w:t>
      </w:r>
      <w:r w:rsidR="00917CDA">
        <w:rPr>
          <w:rFonts w:cs="Calibri"/>
          <w:sz w:val="28"/>
          <w:szCs w:val="28"/>
          <w:lang w:eastAsia="ar-SA"/>
        </w:rPr>
        <w:t>ого давления у больных под</w:t>
      </w:r>
      <w:r w:rsidRPr="00920C24">
        <w:rPr>
          <w:rFonts w:cs="Calibri"/>
          <w:sz w:val="28"/>
          <w:szCs w:val="28"/>
          <w:lang w:eastAsia="ar-SA"/>
        </w:rPr>
        <w:t>группы № 2, не наблюдаемое в группах с МФОИ и патологией сердечно-сосудистой и эндокринной систем, объяснить достаточно сложно, так как сравниваемые подгруппы идентичны по распространенности патологии сердечно-сосудистой и дыхательной систем, а МФОИ, как патологический процесс, к подъему данного показателя приводить не должен, ч</w:t>
      </w:r>
      <w:r w:rsidR="00EE1FD6">
        <w:rPr>
          <w:rFonts w:cs="Calibri"/>
          <w:sz w:val="28"/>
          <w:szCs w:val="28"/>
          <w:lang w:eastAsia="ar-SA"/>
        </w:rPr>
        <w:t>его и не наблюдается в под</w:t>
      </w:r>
      <w:r w:rsidRPr="00920C24">
        <w:rPr>
          <w:rFonts w:cs="Calibri"/>
          <w:sz w:val="28"/>
          <w:szCs w:val="28"/>
          <w:lang w:eastAsia="ar-SA"/>
        </w:rPr>
        <w:t>группах № 1 и № 3.</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Статистически значимые различия</w:t>
      </w:r>
      <w:r w:rsidR="00917CDA">
        <w:rPr>
          <w:rFonts w:cs="Calibri"/>
          <w:sz w:val="28"/>
          <w:szCs w:val="28"/>
          <w:lang w:eastAsia="ar-SA"/>
        </w:rPr>
        <w:t xml:space="preserve"> между под</w:t>
      </w:r>
      <w:r w:rsidRPr="00920C24">
        <w:rPr>
          <w:rFonts w:cs="Calibri"/>
          <w:sz w:val="28"/>
          <w:szCs w:val="28"/>
          <w:lang w:eastAsia="ar-SA"/>
        </w:rPr>
        <w:t xml:space="preserve">группой № 2 и контрольной </w:t>
      </w:r>
      <w:r w:rsidR="00917CDA">
        <w:rPr>
          <w:rFonts w:cs="Calibri"/>
          <w:sz w:val="28"/>
          <w:szCs w:val="28"/>
          <w:lang w:eastAsia="ar-SA"/>
        </w:rPr>
        <w:t>под</w:t>
      </w:r>
      <w:r w:rsidRPr="00920C24">
        <w:rPr>
          <w:rFonts w:cs="Calibri"/>
          <w:sz w:val="28"/>
          <w:szCs w:val="28"/>
          <w:lang w:eastAsia="ar-SA"/>
        </w:rPr>
        <w:t xml:space="preserve">группой № 4 (МФОИ без коморбидных заболеваний) наблюдаются по уровням средних значений систолического и диастолического артериального давления, что </w:t>
      </w:r>
      <w:r w:rsidR="00EE1FD6">
        <w:rPr>
          <w:rFonts w:cs="Calibri"/>
          <w:sz w:val="28"/>
          <w:szCs w:val="28"/>
          <w:lang w:eastAsia="ar-SA"/>
        </w:rPr>
        <w:t>объясняется наличием в под</w:t>
      </w:r>
      <w:r w:rsidRPr="00920C24">
        <w:rPr>
          <w:rFonts w:cs="Calibri"/>
          <w:sz w:val="28"/>
          <w:szCs w:val="28"/>
          <w:lang w:eastAsia="ar-SA"/>
        </w:rPr>
        <w:t xml:space="preserve">группе № 2 пациентов с артериальной гипертонией. </w:t>
      </w:r>
    </w:p>
    <w:p w:rsidR="00286780" w:rsidRPr="00671AAF" w:rsidRDefault="00286780" w:rsidP="00920C24">
      <w:pPr>
        <w:spacing w:line="360" w:lineRule="auto"/>
        <w:ind w:firstLine="709"/>
        <w:jc w:val="both"/>
        <w:rPr>
          <w:rFonts w:cs="Calibri"/>
          <w:spacing w:val="-2"/>
          <w:sz w:val="28"/>
          <w:szCs w:val="28"/>
          <w:lang w:eastAsia="ar-SA"/>
        </w:rPr>
      </w:pPr>
      <w:r w:rsidRPr="00671AAF">
        <w:rPr>
          <w:rFonts w:cs="Calibri"/>
          <w:spacing w:val="-2"/>
          <w:sz w:val="28"/>
          <w:szCs w:val="28"/>
          <w:lang w:eastAsia="ar-SA"/>
        </w:rPr>
        <w:t>Существенных изменений показателей гомеостаза у пациентов с МФОИ и хроническими заболеваниями дыхательной системы (за исключением случаев обострения заболевания) при этом не обнаружено. Частота дыхательных движений составляет, как правило, от 16 до 20 в 1 мин., у двух пациентов (5,9%) с декомпенсированной хронической обструктивной болезнью легких и обострением бронхиальной астмы – более 24 в 1 мин. Значимая анемия (эритроциты 2,6×10</w:t>
      </w:r>
      <w:r w:rsidRPr="00671AAF">
        <w:rPr>
          <w:rFonts w:cs="Calibri"/>
          <w:spacing w:val="-2"/>
          <w:sz w:val="28"/>
          <w:szCs w:val="28"/>
          <w:vertAlign w:val="superscript"/>
          <w:lang w:eastAsia="ar-SA"/>
        </w:rPr>
        <w:t>12</w:t>
      </w:r>
      <w:r w:rsidRPr="00671AAF">
        <w:rPr>
          <w:rFonts w:cs="Calibri"/>
          <w:spacing w:val="-2"/>
          <w:sz w:val="28"/>
          <w:szCs w:val="28"/>
          <w:lang w:eastAsia="ar-SA"/>
        </w:rPr>
        <w:t>/л, гемоглобин 76 г/л) диагностирована только у одного больного с распространенной флегмоной дна полости рта и шеи, в остальном значения показателей "красной" крови определены в пределах референсных значений. Лейкоцитоз более 9,0×10</w:t>
      </w:r>
      <w:r w:rsidRPr="00671AAF">
        <w:rPr>
          <w:rFonts w:cs="Calibri"/>
          <w:spacing w:val="-2"/>
          <w:sz w:val="28"/>
          <w:szCs w:val="28"/>
          <w:vertAlign w:val="superscript"/>
          <w:lang w:eastAsia="ar-SA"/>
        </w:rPr>
        <w:t>9</w:t>
      </w:r>
      <w:r w:rsidRPr="00671AAF">
        <w:rPr>
          <w:rFonts w:cs="Calibri"/>
          <w:spacing w:val="-2"/>
          <w:sz w:val="28"/>
          <w:szCs w:val="28"/>
          <w:lang w:eastAsia="ar-SA"/>
        </w:rPr>
        <w:t>/л зарегистрирован у 16 пациентов (47,1), в том числе с палочкоядерным сдвигом лейкоцитарной формулы влево до 25–27% незрелых форм лейкоцитов – восемь пациентов с распространенными флегмонами. В отдельных случаях у больных, как с абсцессами, так и с флегмонами, лейкоцитоз достигает значений 16–21×10</w:t>
      </w:r>
      <w:r w:rsidRPr="00671AAF">
        <w:rPr>
          <w:rFonts w:cs="Calibri"/>
          <w:spacing w:val="-2"/>
          <w:sz w:val="28"/>
          <w:szCs w:val="28"/>
          <w:vertAlign w:val="superscript"/>
          <w:lang w:eastAsia="ar-SA"/>
        </w:rPr>
        <w:t>9</w:t>
      </w:r>
      <w:r w:rsidRPr="00671AAF">
        <w:rPr>
          <w:rFonts w:cs="Calibri"/>
          <w:spacing w:val="-2"/>
          <w:sz w:val="28"/>
          <w:szCs w:val="28"/>
          <w:lang w:eastAsia="ar-SA"/>
        </w:rPr>
        <w:t>/л (20,6%). Появление юных форм нейтрофилов не характерно. Относительная лимфопения со значениями содержания лимфоцитов менее 18% наблюдалась в пяти случаях (14,7%) у пациентов с распространенными флегмонами или (реже) абсцессами глубоких клетчаточных пространств лица. Абсолютное количество тромбоцитов определяется в пределах нормы, тромбоцитопении не обнаружено. Гипербили</w:t>
      </w:r>
      <w:r w:rsidRPr="00671AAF">
        <w:rPr>
          <w:rFonts w:cs="Calibri"/>
          <w:spacing w:val="-2"/>
          <w:sz w:val="28"/>
          <w:szCs w:val="28"/>
          <w:lang w:eastAsia="ar-SA"/>
        </w:rPr>
        <w:lastRenderedPageBreak/>
        <w:t>рубинемия более 20 мкмоль/л (25–29 ммоль/л) диагностирована у двух больных с отграниченными абсцессами челюстно-лицевой области (5,9%).</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Средняя продолжительность стационарного лечен</w:t>
      </w:r>
      <w:r w:rsidR="00917CDA">
        <w:rPr>
          <w:rFonts w:cs="Calibri"/>
          <w:sz w:val="28"/>
          <w:szCs w:val="28"/>
          <w:lang w:eastAsia="ar-SA"/>
        </w:rPr>
        <w:t>ия больных исследуемой подгруппы (под</w:t>
      </w:r>
      <w:r>
        <w:rPr>
          <w:rFonts w:cs="Calibri"/>
          <w:sz w:val="28"/>
          <w:szCs w:val="28"/>
          <w:lang w:eastAsia="ar-SA"/>
        </w:rPr>
        <w:t>группа № 2) составила 9[7;</w:t>
      </w:r>
      <w:r w:rsidRPr="00920C24">
        <w:rPr>
          <w:rFonts w:cs="Calibri"/>
          <w:sz w:val="28"/>
          <w:szCs w:val="28"/>
          <w:lang w:eastAsia="ar-SA"/>
        </w:rPr>
        <w:t xml:space="preserve">10] койко-дней. Осложнения в процессе лечения (развитие распространенных флегмон) диагностированы в 2,9% (распространение флегмонозного процесса, один пациент), летальности не зарегистрировано. </w:t>
      </w:r>
      <w:r>
        <w:rPr>
          <w:rFonts w:cs="Calibri"/>
          <w:sz w:val="28"/>
          <w:szCs w:val="28"/>
          <w:lang w:eastAsia="ar-SA"/>
        </w:rPr>
        <w:t>Сроки очищения гнойных ран – 5</w:t>
      </w:r>
      <w:r w:rsidRPr="002D1EE9">
        <w:rPr>
          <w:rFonts w:cs="Calibri"/>
          <w:sz w:val="28"/>
          <w:szCs w:val="28"/>
          <w:lang w:eastAsia="ar-SA"/>
        </w:rPr>
        <w:t>[</w:t>
      </w:r>
      <w:r>
        <w:rPr>
          <w:rFonts w:cs="Calibri"/>
          <w:sz w:val="28"/>
          <w:szCs w:val="28"/>
          <w:lang w:eastAsia="ar-SA"/>
        </w:rPr>
        <w:t>4;5</w:t>
      </w:r>
      <w:r w:rsidRPr="002D1EE9">
        <w:rPr>
          <w:rFonts w:cs="Calibri"/>
          <w:sz w:val="28"/>
          <w:szCs w:val="28"/>
          <w:lang w:eastAsia="ar-SA"/>
        </w:rPr>
        <w:t>]</w:t>
      </w:r>
      <w:r>
        <w:rPr>
          <w:rFonts w:cs="Calibri"/>
          <w:sz w:val="28"/>
          <w:szCs w:val="28"/>
          <w:lang w:eastAsia="ar-SA"/>
        </w:rPr>
        <w:t xml:space="preserve"> суток, образование грануляций – 6</w:t>
      </w:r>
      <w:r w:rsidRPr="002D1EE9">
        <w:rPr>
          <w:rFonts w:cs="Calibri"/>
          <w:sz w:val="28"/>
          <w:szCs w:val="28"/>
          <w:lang w:eastAsia="ar-SA"/>
        </w:rPr>
        <w:t>[</w:t>
      </w:r>
      <w:r>
        <w:rPr>
          <w:rFonts w:cs="Calibri"/>
          <w:sz w:val="28"/>
          <w:szCs w:val="28"/>
          <w:lang w:eastAsia="ar-SA"/>
        </w:rPr>
        <w:t>5;6</w:t>
      </w:r>
      <w:r w:rsidRPr="002D1EE9">
        <w:rPr>
          <w:rFonts w:cs="Calibri"/>
          <w:sz w:val="28"/>
          <w:szCs w:val="28"/>
          <w:lang w:eastAsia="ar-SA"/>
        </w:rPr>
        <w:t>]</w:t>
      </w:r>
      <w:r>
        <w:rPr>
          <w:rFonts w:cs="Calibri"/>
          <w:sz w:val="28"/>
          <w:szCs w:val="28"/>
          <w:lang w:eastAsia="ar-SA"/>
        </w:rPr>
        <w:t xml:space="preserve"> суток. </w:t>
      </w:r>
      <w:r w:rsidRPr="00920C24">
        <w:rPr>
          <w:rFonts w:cs="Calibri"/>
          <w:sz w:val="28"/>
          <w:szCs w:val="28"/>
          <w:lang w:eastAsia="ar-SA"/>
        </w:rPr>
        <w:t xml:space="preserve">Сравнение вышеобозначенных показателей с аналогичными показателями пациентов с МФОИ без фоновых заболеваний (контрольная </w:t>
      </w:r>
      <w:r w:rsidR="00917CDA">
        <w:rPr>
          <w:rFonts w:cs="Calibri"/>
          <w:sz w:val="28"/>
          <w:szCs w:val="28"/>
          <w:lang w:eastAsia="ar-SA"/>
        </w:rPr>
        <w:t>под</w:t>
      </w:r>
      <w:r w:rsidRPr="00920C24">
        <w:rPr>
          <w:rFonts w:cs="Calibri"/>
          <w:sz w:val="28"/>
          <w:szCs w:val="28"/>
          <w:lang w:eastAsia="ar-SA"/>
        </w:rPr>
        <w:t xml:space="preserve">группа № 4), статистически значимых различий не выявило </w:t>
      </w:r>
      <w:r w:rsidRPr="00920C24">
        <w:rPr>
          <w:sz w:val="28"/>
          <w:szCs w:val="28"/>
          <w:lang w:eastAsia="ar-SA"/>
        </w:rPr>
        <w:t>(</w:t>
      </w:r>
      <w:r w:rsidRPr="00920C24">
        <w:rPr>
          <w:sz w:val="28"/>
          <w:szCs w:val="28"/>
          <w:lang w:val="en-US" w:eastAsia="ar-SA"/>
        </w:rPr>
        <w:t>p</w:t>
      </w:r>
      <w:r w:rsidRPr="00920C24">
        <w:rPr>
          <w:sz w:val="28"/>
          <w:szCs w:val="28"/>
          <w:lang w:eastAsia="ar-SA"/>
        </w:rPr>
        <w:t>&gt; 0,05)</w:t>
      </w:r>
      <w:r w:rsidRPr="00920C24">
        <w:rPr>
          <w:rFonts w:cs="Calibri"/>
          <w:sz w:val="28"/>
          <w:szCs w:val="28"/>
          <w:lang w:eastAsia="ar-SA"/>
        </w:rPr>
        <w:t>.</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 xml:space="preserve">Таким образом, пациенты с МФОИ и хронической патологией органов дыхания – это пациенты с одонтогенными абсцессами или флегмонами в пределах не более 3 клетчаточных пространств без признаков органной недостаточности, развивающимися на фоне хронического обструктивного бронхита, хронической обструктивной болезни легких, бронхиальной астмы или пневмосклероза. Возможно наличие хронической дыхательной недостаточности </w:t>
      </w:r>
      <w:r w:rsidRPr="00920C24">
        <w:rPr>
          <w:rFonts w:cs="Calibri"/>
          <w:sz w:val="28"/>
          <w:szCs w:val="28"/>
          <w:lang w:val="en-US" w:eastAsia="ar-SA"/>
        </w:rPr>
        <w:t>I</w:t>
      </w:r>
      <w:r w:rsidRPr="00920C24">
        <w:rPr>
          <w:rFonts w:cs="Calibri"/>
          <w:sz w:val="28"/>
          <w:szCs w:val="28"/>
          <w:lang w:eastAsia="ar-SA"/>
        </w:rPr>
        <w:t>-</w:t>
      </w:r>
      <w:r w:rsidRPr="00920C24">
        <w:rPr>
          <w:rFonts w:cs="Calibri"/>
          <w:sz w:val="28"/>
          <w:szCs w:val="28"/>
          <w:lang w:val="en-US" w:eastAsia="ar-SA"/>
        </w:rPr>
        <w:t>II</w:t>
      </w:r>
      <w:r w:rsidRPr="00920C24">
        <w:rPr>
          <w:rFonts w:cs="Calibri"/>
          <w:sz w:val="28"/>
          <w:szCs w:val="28"/>
          <w:lang w:eastAsia="ar-SA"/>
        </w:rPr>
        <w:t xml:space="preserve"> степени, а </w:t>
      </w:r>
      <w:r>
        <w:rPr>
          <w:rFonts w:cs="Calibri"/>
          <w:sz w:val="28"/>
          <w:szCs w:val="28"/>
          <w:lang w:eastAsia="ar-SA"/>
        </w:rPr>
        <w:t>также</w:t>
      </w:r>
      <w:r w:rsidRPr="00920C24">
        <w:rPr>
          <w:rFonts w:cs="Calibri"/>
          <w:sz w:val="28"/>
          <w:szCs w:val="28"/>
          <w:lang w:eastAsia="ar-SA"/>
        </w:rPr>
        <w:t xml:space="preserve"> коморбидной патологии сердечно-сосудистой системы (артериальная гипертония, ишемическая болезнь сердца). Показатели гомеостаза характеризуются в целом компенсированными значениями величин, в отдельных случаях диагностированы умеренное повышение артериального давления, тахикардия, одышка, анемия, относительная лимфопения, гипербилирубинемия. Характерны лейкоцитоз и ускорение СОЭ, при наличии флегмоны – сдвиг лейкоцитарной формулы в сторону незрелых нейтрофилов без появления метамиелоцитов и миелоцитов. В случае обострения хронической патологии дыхательной системы (5,9%) наблюдаются признаки декомпенсированной дыхательной недостаточности, требующей интенсивных мероприятий и экстренной медикаментозной коррекции (бронходилататоры, стероидная терапия) с привлечением пульмонолога/терапевта/реаниматолога.</w:t>
      </w:r>
    </w:p>
    <w:p w:rsidR="00286780" w:rsidRDefault="00286780" w:rsidP="00920C24">
      <w:pPr>
        <w:spacing w:line="360" w:lineRule="auto"/>
        <w:ind w:firstLine="709"/>
        <w:jc w:val="both"/>
        <w:rPr>
          <w:rFonts w:cs="Calibri"/>
          <w:sz w:val="28"/>
          <w:szCs w:val="28"/>
          <w:lang w:eastAsia="ar-SA"/>
        </w:rPr>
      </w:pPr>
      <w:r w:rsidRPr="00920C24">
        <w:rPr>
          <w:rFonts w:cs="Calibri"/>
          <w:b/>
          <w:sz w:val="28"/>
          <w:szCs w:val="28"/>
          <w:lang w:eastAsia="ar-SA"/>
        </w:rPr>
        <w:t>Резюме</w:t>
      </w:r>
      <w:r w:rsidRPr="00920C24">
        <w:rPr>
          <w:rFonts w:cs="Calibri"/>
          <w:sz w:val="28"/>
          <w:szCs w:val="28"/>
          <w:lang w:eastAsia="ar-SA"/>
        </w:rPr>
        <w:t xml:space="preserve">. МФОИ, развивающаяся на фоне хронической патологии дыхательной системы, чаще всего представлена флегмонами с вовлечением 1–3 клетчаточных пространств (55,9%), реже – абсцессами челюстно-лицевой области (44,1%), </w:t>
      </w:r>
      <w:r w:rsidRPr="00920C24">
        <w:rPr>
          <w:rFonts w:cs="Calibri"/>
          <w:sz w:val="28"/>
          <w:szCs w:val="28"/>
          <w:lang w:eastAsia="ar-SA"/>
        </w:rPr>
        <w:lastRenderedPageBreak/>
        <w:t xml:space="preserve">характерны относительно отграниченные, непрогрессирующие формы инфекционного процесса. В структуре хронических заболеваний органов дыхания у пациентов с МФОИ преобладают хронический обструктивный бронхит и ХОБЛ (в целом более 88%), реже диагностированы бронхиальная астма и пневмосклероз. Дыхательная недостаточность </w:t>
      </w:r>
      <w:r w:rsidRPr="00920C24">
        <w:rPr>
          <w:rFonts w:cs="Calibri"/>
          <w:sz w:val="28"/>
          <w:szCs w:val="28"/>
          <w:lang w:val="en-US" w:eastAsia="ar-SA"/>
        </w:rPr>
        <w:t>I</w:t>
      </w:r>
      <w:r w:rsidRPr="00920C24">
        <w:rPr>
          <w:rFonts w:cs="Calibri"/>
          <w:sz w:val="28"/>
          <w:szCs w:val="28"/>
          <w:lang w:eastAsia="ar-SA"/>
        </w:rPr>
        <w:t>-</w:t>
      </w:r>
      <w:r w:rsidRPr="00920C24">
        <w:rPr>
          <w:rFonts w:cs="Calibri"/>
          <w:sz w:val="28"/>
          <w:szCs w:val="28"/>
          <w:lang w:val="en-US" w:eastAsia="ar-SA"/>
        </w:rPr>
        <w:t>II</w:t>
      </w:r>
      <w:r w:rsidRPr="00920C24">
        <w:rPr>
          <w:rFonts w:cs="Calibri"/>
          <w:sz w:val="28"/>
          <w:szCs w:val="28"/>
          <w:lang w:eastAsia="ar-SA"/>
        </w:rPr>
        <w:t xml:space="preserve"> степени диагностирована у 44,1% больных с МФОИ и хронической патологией органов дыхания, тяжелой декомпенсированной дыхательной недостаточности не отмечено. Коморбидные заболевания сердечно-сосудистой системы (артериальная гипертония, ИБС) наблюдаются у 17,6% пациентов с МФОИ и хронической патологией органов дыхания. 44,1% госпитализированных пациентов с МФОИ и хронической патологией органов дыхания обращались к стоматологу по месту жительства, отмечено неэффективное амбулаторное лечение; 50% больных исследуемой группы за медицинской помощью не обращались и не лечились. </w:t>
      </w:r>
    </w:p>
    <w:p w:rsidR="00286780"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Жалобы пациентов с МФОИ и хроническими заболеваниями дыхательной системы отражают наличие воспалительного процесса (локальные жалобы), наличие ХОБЛ, хронического обструктивного бронхита или бронхиальной астмы, реже наблюдаются жалобы общего характера, связанные с синдромом эндогенной интоксикации. Показатели гемодинамики у пациентов с МФОИ и хронической патологией дыхательной системы характеризуются умеренным повышением уровней систолического и диастолического артериального давления (влияние коморб</w:t>
      </w:r>
      <w:r>
        <w:rPr>
          <w:rFonts w:cs="Calibri"/>
          <w:sz w:val="28"/>
          <w:szCs w:val="28"/>
          <w:lang w:eastAsia="ar-SA"/>
        </w:rPr>
        <w:t>идной артериальной гипертонии).</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Выраженных изменений показателей клеточного и биохимического составов крови (за исключением лейкоцитоза) у больных с МФОИ и хронической патологией дыхательной системы не обнаружено. В отдельных случаях в дооперационном периоде диагностировано обострение ХОБЛ или бронхиальной астмы (5,9%), требующие незамедлительной коррекции по согласованию с профильным специалистом (пульмонологом/терапевтом/реаниматологом). Распространенность полиорганной полиморбидной патологии у пациентов с МФОИ и ХП органов дыхания составляет 29,4%.</w:t>
      </w:r>
    </w:p>
    <w:p w:rsidR="00286780" w:rsidRDefault="00286780" w:rsidP="004A0CF0">
      <w:pPr>
        <w:jc w:val="both"/>
        <w:rPr>
          <w:sz w:val="28"/>
          <w:szCs w:val="28"/>
          <w:lang w:eastAsia="en-US"/>
        </w:rPr>
      </w:pPr>
    </w:p>
    <w:p w:rsidR="00286780" w:rsidRDefault="00286780" w:rsidP="00457501">
      <w:pPr>
        <w:pStyle w:val="31"/>
        <w:spacing w:line="360" w:lineRule="auto"/>
        <w:jc w:val="both"/>
      </w:pPr>
      <w:bookmarkStart w:id="17" w:name="_Toc67905699"/>
      <w:r w:rsidRPr="00920C24">
        <w:lastRenderedPageBreak/>
        <w:t>Клинико-лабораторная характеристика местной формы одонтогенной</w:t>
      </w:r>
      <w:r>
        <w:br/>
      </w:r>
      <w:r w:rsidRPr="00920C24">
        <w:t>инфекции на фоне патологии эндокринной системы (сахарный диабет)</w:t>
      </w:r>
      <w:bookmarkEnd w:id="17"/>
    </w:p>
    <w:p w:rsidR="00286780" w:rsidRPr="00920C24" w:rsidRDefault="00286780" w:rsidP="00457501">
      <w:pPr>
        <w:spacing w:line="360" w:lineRule="auto"/>
        <w:ind w:firstLine="709"/>
        <w:jc w:val="both"/>
        <w:rPr>
          <w:rFonts w:cs="Calibri"/>
          <w:sz w:val="28"/>
          <w:szCs w:val="28"/>
          <w:lang w:eastAsia="ar-SA"/>
        </w:rPr>
      </w:pPr>
      <w:r w:rsidRPr="00920C24">
        <w:rPr>
          <w:rFonts w:cs="Calibri"/>
          <w:sz w:val="28"/>
          <w:szCs w:val="28"/>
          <w:lang w:eastAsia="ar-SA"/>
        </w:rPr>
        <w:t>Обследовано 42 пациента с МФОИ и сахарным диабетом (2012–2017 гг.). МФОИ представлена одонтогенными абсцессами челюстно-лицевой области (крылочелюстного, окологлоточного, субмассетериального клетчаточных пространств, челюстно-язычного желобка, щечной, околоушно-жевательной областей, периоститом) – 21 пациент (50%); одонтогенными флегмонами с вовлечением 1-3 клетчаточных пространств – 12 больных (28,5%), острыми и хроническими (в стадии обострения) одонтогенными остеомиелитами верхней и нижней челюсти – семь пациентов (16,7%), острым одонтогенным гайморитом – один пациент (2,4%), обострением хронического периодонтита – один пациент (2,4%). Локальные (абсцесс, периодонтит) и распространенные (флегмона, остеомиелит) формы гнойно-воспалительных заболеваний диагностированы примерно в равных соотношениях (около 45–50%) с незначительным преобладанием распространенных процессов.</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Хроническая патология эндокринной системы пре</w:t>
      </w:r>
      <w:r>
        <w:rPr>
          <w:rFonts w:cs="Calibri"/>
          <w:sz w:val="28"/>
          <w:szCs w:val="28"/>
          <w:lang w:eastAsia="ar-SA"/>
        </w:rPr>
        <w:t>дставлена сахарным диабетом 1</w:t>
      </w:r>
      <w:r w:rsidRPr="00920C24">
        <w:rPr>
          <w:rFonts w:cs="Calibri"/>
          <w:sz w:val="28"/>
          <w:szCs w:val="28"/>
          <w:lang w:eastAsia="ar-SA"/>
        </w:rPr>
        <w:t xml:space="preserve"> типа (4 пациент</w:t>
      </w:r>
      <w:r>
        <w:rPr>
          <w:rFonts w:cs="Calibri"/>
          <w:sz w:val="28"/>
          <w:szCs w:val="28"/>
          <w:lang w:eastAsia="ar-SA"/>
        </w:rPr>
        <w:t>а, 9,5%), сахарным диабетом 2</w:t>
      </w:r>
      <w:r w:rsidRPr="00920C24">
        <w:rPr>
          <w:rFonts w:cs="Calibri"/>
          <w:sz w:val="28"/>
          <w:szCs w:val="28"/>
          <w:lang w:eastAsia="ar-SA"/>
        </w:rPr>
        <w:t xml:space="preserve"> типа (38 пациентов, 90,5%). Характер распределения типов сахарного диабета у пациентов с МФОИ отражает аналогичные показатели, наблюдаемые в общей популяции больных с саха</w:t>
      </w:r>
      <w:r>
        <w:rPr>
          <w:rFonts w:cs="Calibri"/>
          <w:sz w:val="28"/>
          <w:szCs w:val="28"/>
          <w:lang w:eastAsia="ar-SA"/>
        </w:rPr>
        <w:t>рным диабетом (около 10% СД 1 типа, около 90% СД 2</w:t>
      </w:r>
      <w:r w:rsidRPr="00920C24">
        <w:rPr>
          <w:rFonts w:cs="Calibri"/>
          <w:sz w:val="28"/>
          <w:szCs w:val="28"/>
          <w:lang w:eastAsia="ar-SA"/>
        </w:rPr>
        <w:t xml:space="preserve"> типа).</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 xml:space="preserve">В исследуемой </w:t>
      </w:r>
      <w:r w:rsidR="00EE1FD6">
        <w:rPr>
          <w:rFonts w:cs="Calibri"/>
          <w:sz w:val="28"/>
          <w:szCs w:val="28"/>
          <w:lang w:eastAsia="ar-SA"/>
        </w:rPr>
        <w:t>под</w:t>
      </w:r>
      <w:r w:rsidRPr="00920C24">
        <w:rPr>
          <w:rFonts w:cs="Calibri"/>
          <w:sz w:val="28"/>
          <w:szCs w:val="28"/>
          <w:lang w:eastAsia="ar-SA"/>
        </w:rPr>
        <w:t>группе пациентов с местной формой одонтогенной инфекции тяжелых жизнеугрожающих осложнений сахарного диабета (диабетических ком, органной недостаточности) не выявлено.</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Как правило, сахарный диабет диагностирован в сочетании с заболеваниями сердечно-сосудистой системы (24 пациента, 57,1%): артериальная гипертония – 16 больных (38,1%), ишемическая болезнь сердца (стабильная стенокардия напряжения, фибрилляция предсердий) – один пациент (2,4%), сочетание артериальной гипертонии и ишемической болезни сердца – семь пациентов (16,6%). В целом, артериальная гипертония диагностирована у 54,7% пациентов.</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lastRenderedPageBreak/>
        <w:t xml:space="preserve">Хроническая сердечная недостаточность (в основном, </w:t>
      </w:r>
      <w:r w:rsidRPr="00920C24">
        <w:rPr>
          <w:rFonts w:cs="Calibri"/>
          <w:sz w:val="28"/>
          <w:szCs w:val="28"/>
          <w:lang w:val="en-US" w:eastAsia="ar-SA"/>
        </w:rPr>
        <w:t>I</w:t>
      </w:r>
      <w:r w:rsidRPr="00920C24">
        <w:rPr>
          <w:rFonts w:cs="Calibri"/>
          <w:sz w:val="28"/>
          <w:szCs w:val="28"/>
          <w:lang w:eastAsia="ar-SA"/>
        </w:rPr>
        <w:t xml:space="preserve"> и </w:t>
      </w:r>
      <w:r w:rsidRPr="00920C24">
        <w:rPr>
          <w:rFonts w:cs="Calibri"/>
          <w:sz w:val="28"/>
          <w:szCs w:val="28"/>
          <w:lang w:val="en-US" w:eastAsia="ar-SA"/>
        </w:rPr>
        <w:t>II</w:t>
      </w:r>
      <w:r w:rsidRPr="00920C24">
        <w:rPr>
          <w:rFonts w:cs="Calibri"/>
          <w:sz w:val="28"/>
          <w:szCs w:val="28"/>
          <w:lang w:eastAsia="ar-SA"/>
        </w:rPr>
        <w:t xml:space="preserve"> функционального классов) наблюдалась у 10 пациентов с патологией сердечно-сосудистой системы и сахарным диабетом (23,8%), осложнения в виде микро- и макроангиопатии (ретинопатия, нефропатия и др.) – четыре пациента (9,5%).</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Полиорганная полиморбидная патология диагностирована у 24 больных с МФОИ и сахарным диабетом (57,1%).</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Все пациенты с МФОИ и сахарным диабетом предъявляли жалобы, обусловленные наличием локального воспалительного процесса: боли в области воспалительного инфильтрата, затруднение глотания и открывания рта. Менее выражены жалобы общего характера: повышение температуры тела, озноб, головные боли, снижение аппетита. Жалобы, связанные с наличием сахарного диабета, наблюдались в стадии декомпенсации данной патологии: сухость во рту, жажда, общая слабость.</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Продолжительность догоспитального периода составляла от 1 до 7 суток, в среднем 5,75±0,89 суток. Больные с МФОИ и болезнями эндокринной системы поступали в сроки от 1 до 14 суток от начала заболевания. Около 50% пациентов исследуемой группы за медицинской помощью не обращалось. Амбулаторно, по месту жительства у стоматолога, лечение получали около 45% больных с МФОИ и сахарным диабетом, 5% занимались самолечением. Следует отметить значительное количество пациентов с МФОИ (с различными формами хронической патологии), получающих неэффективное лечение у стоматолога в поликлинике по месту жительства.</w:t>
      </w:r>
    </w:p>
    <w:p w:rsidR="00286780" w:rsidRDefault="00286780" w:rsidP="001C5222">
      <w:pPr>
        <w:spacing w:line="360" w:lineRule="auto"/>
        <w:ind w:firstLine="709"/>
        <w:jc w:val="both"/>
        <w:rPr>
          <w:sz w:val="28"/>
          <w:szCs w:val="28"/>
          <w:lang w:eastAsia="ar-SA"/>
        </w:rPr>
      </w:pPr>
      <w:r w:rsidRPr="00920C24">
        <w:rPr>
          <w:sz w:val="28"/>
          <w:szCs w:val="28"/>
          <w:lang w:eastAsia="ar-SA"/>
        </w:rPr>
        <w:t xml:space="preserve">Показатели гемодинамики пациентов исследуемых </w:t>
      </w:r>
      <w:r w:rsidR="00917CDA">
        <w:rPr>
          <w:sz w:val="28"/>
          <w:szCs w:val="28"/>
          <w:lang w:eastAsia="ar-SA"/>
        </w:rPr>
        <w:t>под</w:t>
      </w:r>
      <w:r w:rsidRPr="00920C24">
        <w:rPr>
          <w:sz w:val="28"/>
          <w:szCs w:val="28"/>
          <w:lang w:eastAsia="ar-SA"/>
        </w:rPr>
        <w:t>групп и их сравнительная характери</w:t>
      </w:r>
      <w:r>
        <w:rPr>
          <w:sz w:val="28"/>
          <w:szCs w:val="28"/>
          <w:lang w:eastAsia="ar-SA"/>
        </w:rPr>
        <w:t>стика, представлены в Таблице 34</w:t>
      </w:r>
      <w:r w:rsidRPr="00920C24">
        <w:rPr>
          <w:sz w:val="28"/>
          <w:szCs w:val="28"/>
          <w:lang w:eastAsia="ar-SA"/>
        </w:rPr>
        <w:t>.</w:t>
      </w:r>
    </w:p>
    <w:p w:rsidR="00286780" w:rsidRPr="00920C24" w:rsidRDefault="00286780" w:rsidP="001C5222">
      <w:pPr>
        <w:spacing w:line="360" w:lineRule="auto"/>
        <w:ind w:firstLine="709"/>
        <w:jc w:val="both"/>
        <w:rPr>
          <w:rFonts w:cs="Calibri"/>
          <w:sz w:val="28"/>
          <w:szCs w:val="28"/>
          <w:lang w:eastAsia="ar-SA"/>
        </w:rPr>
      </w:pPr>
      <w:r>
        <w:rPr>
          <w:rFonts w:cs="Calibri"/>
          <w:sz w:val="28"/>
          <w:szCs w:val="28"/>
          <w:lang w:eastAsia="ar-SA"/>
        </w:rPr>
        <w:t>Как следует из Таблицы 34</w:t>
      </w:r>
      <w:r w:rsidRPr="00920C24">
        <w:rPr>
          <w:rFonts w:cs="Calibri"/>
          <w:sz w:val="28"/>
          <w:szCs w:val="28"/>
          <w:lang w:eastAsia="ar-SA"/>
        </w:rPr>
        <w:t xml:space="preserve">, между исследуемыми </w:t>
      </w:r>
      <w:r w:rsidR="00917CDA">
        <w:rPr>
          <w:rFonts w:cs="Calibri"/>
          <w:sz w:val="28"/>
          <w:szCs w:val="28"/>
          <w:lang w:eastAsia="ar-SA"/>
        </w:rPr>
        <w:t>под</w:t>
      </w:r>
      <w:r w:rsidRPr="00920C24">
        <w:rPr>
          <w:rFonts w:cs="Calibri"/>
          <w:sz w:val="28"/>
          <w:szCs w:val="28"/>
          <w:lang w:eastAsia="ar-SA"/>
        </w:rPr>
        <w:t xml:space="preserve">группами наблюдаются существенные различия по систолическому артериальному давлению и частоте сердечных сокращений, что может быть объяснено наличием коморбидной патологии сердечно-сосудистой системы (артериальная гипертония), а </w:t>
      </w:r>
      <w:r>
        <w:rPr>
          <w:rFonts w:cs="Calibri"/>
          <w:sz w:val="28"/>
          <w:szCs w:val="28"/>
          <w:lang w:eastAsia="ar-SA"/>
        </w:rPr>
        <w:t>также</w:t>
      </w:r>
      <w:r w:rsidRPr="00920C24">
        <w:rPr>
          <w:rFonts w:cs="Calibri"/>
          <w:sz w:val="28"/>
          <w:szCs w:val="28"/>
          <w:lang w:eastAsia="ar-SA"/>
        </w:rPr>
        <w:t xml:space="preserve"> активацией симпатоадреналовой системы и задержкой натрия в организме, наблюдаемыми при сахарном диабете. </w:t>
      </w:r>
    </w:p>
    <w:p w:rsidR="00286780" w:rsidRPr="00920C24" w:rsidRDefault="00286780" w:rsidP="00920C24">
      <w:pPr>
        <w:jc w:val="both"/>
        <w:rPr>
          <w:rFonts w:cs="Calibri"/>
          <w:sz w:val="28"/>
          <w:szCs w:val="28"/>
          <w:lang w:eastAsia="ar-SA"/>
        </w:rPr>
      </w:pPr>
    </w:p>
    <w:p w:rsidR="00286780" w:rsidRPr="00920C24" w:rsidRDefault="00286780" w:rsidP="00920C24">
      <w:pPr>
        <w:spacing w:after="120"/>
        <w:jc w:val="both"/>
        <w:rPr>
          <w:sz w:val="28"/>
          <w:szCs w:val="28"/>
        </w:rPr>
      </w:pPr>
      <w:r w:rsidRPr="00920C24">
        <w:rPr>
          <w:b/>
          <w:sz w:val="28"/>
          <w:szCs w:val="28"/>
        </w:rPr>
        <w:t>Таблица 3</w:t>
      </w:r>
      <w:r>
        <w:rPr>
          <w:b/>
          <w:sz w:val="28"/>
          <w:szCs w:val="28"/>
        </w:rPr>
        <w:t>4</w:t>
      </w:r>
      <w:r w:rsidRPr="00920C24">
        <w:rPr>
          <w:sz w:val="28"/>
          <w:szCs w:val="28"/>
        </w:rPr>
        <w:t xml:space="preserve"> – Сравнительная характеристика показателей гемодинамики пациентов с МФО</w:t>
      </w:r>
      <w:r w:rsidR="00917CDA">
        <w:rPr>
          <w:sz w:val="28"/>
          <w:szCs w:val="28"/>
        </w:rPr>
        <w:t>И и сахарным диабетом (под</w:t>
      </w:r>
      <w:r w:rsidRPr="00920C24">
        <w:rPr>
          <w:sz w:val="28"/>
          <w:szCs w:val="28"/>
        </w:rPr>
        <w:t xml:space="preserve">группа № 3), пациентов с МФОИ без фоновой патологии (контрольная </w:t>
      </w:r>
      <w:r w:rsidR="00917CDA">
        <w:rPr>
          <w:sz w:val="28"/>
          <w:szCs w:val="28"/>
        </w:rPr>
        <w:t>под</w:t>
      </w:r>
      <w:r w:rsidRPr="00920C24">
        <w:rPr>
          <w:sz w:val="28"/>
          <w:szCs w:val="28"/>
        </w:rPr>
        <w:t>группа № 4)</w:t>
      </w:r>
    </w:p>
    <w:tbl>
      <w:tblPr>
        <w:tblW w:w="9923" w:type="dxa"/>
        <w:tblLayout w:type="fixed"/>
        <w:tblLook w:val="0000" w:firstRow="0" w:lastRow="0" w:firstColumn="0" w:lastColumn="0" w:noHBand="0" w:noVBand="0"/>
      </w:tblPr>
      <w:tblGrid>
        <w:gridCol w:w="3147"/>
        <w:gridCol w:w="3133"/>
        <w:gridCol w:w="3643"/>
      </w:tblGrid>
      <w:tr w:rsidR="00286780" w:rsidRPr="00920C24" w:rsidTr="00920C24">
        <w:trPr>
          <w:trHeight w:val="454"/>
        </w:trPr>
        <w:tc>
          <w:tcPr>
            <w:tcW w:w="3147"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i/>
                <w:spacing w:val="-8"/>
                <w:sz w:val="24"/>
                <w:szCs w:val="24"/>
                <w:lang w:eastAsia="ar-SA"/>
              </w:rPr>
            </w:pPr>
            <w:r w:rsidRPr="00920C24">
              <w:rPr>
                <w:rFonts w:cs="Calibri"/>
                <w:i/>
                <w:spacing w:val="-8"/>
                <w:sz w:val="24"/>
                <w:szCs w:val="24"/>
                <w:lang w:eastAsia="ar-SA"/>
              </w:rPr>
              <w:t>Признак</w:t>
            </w:r>
          </w:p>
        </w:tc>
        <w:tc>
          <w:tcPr>
            <w:tcW w:w="3133"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917CDA" w:rsidP="00920C24">
            <w:pPr>
              <w:snapToGrid w:val="0"/>
              <w:jc w:val="center"/>
              <w:rPr>
                <w:rFonts w:cs="Calibri"/>
                <w:i/>
                <w:spacing w:val="-8"/>
                <w:sz w:val="24"/>
                <w:szCs w:val="24"/>
                <w:lang w:val="en-US" w:eastAsia="ar-SA"/>
              </w:rPr>
            </w:pPr>
            <w:r>
              <w:rPr>
                <w:rFonts w:cs="Calibri"/>
                <w:i/>
                <w:spacing w:val="-8"/>
                <w:sz w:val="24"/>
                <w:szCs w:val="24"/>
                <w:lang w:eastAsia="ar-SA"/>
              </w:rPr>
              <w:t>Под</w:t>
            </w:r>
            <w:r w:rsidR="00286780" w:rsidRPr="00920C24">
              <w:rPr>
                <w:rFonts w:cs="Calibri"/>
                <w:i/>
                <w:spacing w:val="-8"/>
                <w:sz w:val="24"/>
                <w:szCs w:val="24"/>
                <w:lang w:eastAsia="ar-SA"/>
              </w:rPr>
              <w:t>группа № </w:t>
            </w:r>
            <w:r w:rsidR="00286780" w:rsidRPr="00920C24">
              <w:rPr>
                <w:rFonts w:cs="Calibri"/>
                <w:i/>
                <w:spacing w:val="-8"/>
                <w:sz w:val="24"/>
                <w:szCs w:val="24"/>
                <w:lang w:val="en-US" w:eastAsia="ar-SA"/>
              </w:rPr>
              <w:t>3 (n=42)</w:t>
            </w:r>
          </w:p>
        </w:tc>
        <w:tc>
          <w:tcPr>
            <w:tcW w:w="36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i/>
                <w:spacing w:val="-8"/>
                <w:sz w:val="24"/>
                <w:szCs w:val="24"/>
                <w:lang w:val="en-US" w:eastAsia="ar-SA"/>
              </w:rPr>
            </w:pPr>
            <w:r w:rsidRPr="00920C24">
              <w:rPr>
                <w:rFonts w:cs="Calibri"/>
                <w:i/>
                <w:spacing w:val="-8"/>
                <w:sz w:val="24"/>
                <w:szCs w:val="24"/>
                <w:lang w:eastAsia="ar-SA"/>
              </w:rPr>
              <w:t xml:space="preserve">Контрольная </w:t>
            </w:r>
            <w:r w:rsidR="00917CDA">
              <w:rPr>
                <w:rFonts w:cs="Calibri"/>
                <w:i/>
                <w:spacing w:val="-8"/>
                <w:sz w:val="24"/>
                <w:szCs w:val="24"/>
                <w:lang w:eastAsia="ar-SA"/>
              </w:rPr>
              <w:t>под</w:t>
            </w:r>
            <w:r w:rsidRPr="00920C24">
              <w:rPr>
                <w:rFonts w:cs="Calibri"/>
                <w:i/>
                <w:spacing w:val="-8"/>
                <w:sz w:val="24"/>
                <w:szCs w:val="24"/>
                <w:lang w:eastAsia="ar-SA"/>
              </w:rPr>
              <w:t>группа № 4</w:t>
            </w:r>
            <w:r w:rsidRPr="00920C24">
              <w:rPr>
                <w:rFonts w:cs="Calibri"/>
                <w:i/>
                <w:spacing w:val="-8"/>
                <w:sz w:val="24"/>
                <w:szCs w:val="24"/>
                <w:lang w:val="en-US" w:eastAsia="ar-SA"/>
              </w:rPr>
              <w:t xml:space="preserve"> (n=28)</w:t>
            </w:r>
          </w:p>
        </w:tc>
      </w:tr>
      <w:tr w:rsidR="00286780" w:rsidRPr="00920C24" w:rsidTr="00920C24">
        <w:trPr>
          <w:trHeight w:val="454"/>
        </w:trPr>
        <w:tc>
          <w:tcPr>
            <w:tcW w:w="3147"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pacing w:val="-8"/>
                <w:sz w:val="24"/>
                <w:szCs w:val="24"/>
                <w:lang w:eastAsia="ar-SA"/>
              </w:rPr>
            </w:pPr>
            <w:r w:rsidRPr="00920C24">
              <w:rPr>
                <w:rFonts w:cs="Calibri"/>
                <w:spacing w:val="-8"/>
                <w:sz w:val="24"/>
                <w:szCs w:val="24"/>
                <w:lang w:eastAsia="ar-SA"/>
              </w:rPr>
              <w:t>АД систолическое (мм рт. ст.)</w:t>
            </w:r>
          </w:p>
        </w:tc>
        <w:tc>
          <w:tcPr>
            <w:tcW w:w="3133"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pacing w:val="-8"/>
                <w:sz w:val="24"/>
                <w:szCs w:val="24"/>
                <w:highlight w:val="red"/>
                <w:lang w:eastAsia="ar-SA"/>
              </w:rPr>
            </w:pPr>
            <w:r>
              <w:rPr>
                <w:rFonts w:cs="Calibri"/>
                <w:spacing w:val="-8"/>
                <w:sz w:val="24"/>
                <w:szCs w:val="24"/>
                <w:lang w:eastAsia="ar-SA"/>
              </w:rPr>
              <w:t>140</w:t>
            </w:r>
            <w:r w:rsidRPr="00920C24">
              <w:rPr>
                <w:rFonts w:cs="Calibri"/>
                <w:spacing w:val="-8"/>
                <w:sz w:val="24"/>
                <w:szCs w:val="24"/>
                <w:lang w:val="en-US" w:eastAsia="ar-SA"/>
              </w:rPr>
              <w:t>[</w:t>
            </w:r>
            <w:r>
              <w:rPr>
                <w:rFonts w:cs="Calibri"/>
                <w:spacing w:val="-8"/>
                <w:sz w:val="24"/>
                <w:szCs w:val="24"/>
                <w:lang w:eastAsia="ar-SA"/>
              </w:rPr>
              <w:t>120;</w:t>
            </w:r>
            <w:r w:rsidRPr="00920C24">
              <w:rPr>
                <w:rFonts w:cs="Calibri"/>
                <w:spacing w:val="-8"/>
                <w:sz w:val="24"/>
                <w:szCs w:val="24"/>
                <w:lang w:eastAsia="ar-SA"/>
              </w:rPr>
              <w:t>155</w:t>
            </w:r>
            <w:r w:rsidRPr="00920C24">
              <w:rPr>
                <w:rFonts w:cs="Calibri"/>
                <w:spacing w:val="-8"/>
                <w:sz w:val="24"/>
                <w:szCs w:val="24"/>
                <w:lang w:val="en-US" w:eastAsia="ar-SA"/>
              </w:rPr>
              <w:t>]</w:t>
            </w:r>
            <w:r w:rsidRPr="00920C24">
              <w:rPr>
                <w:rFonts w:cs="Calibri"/>
                <w:spacing w:val="-8"/>
                <w:sz w:val="24"/>
                <w:szCs w:val="24"/>
                <w:lang w:eastAsia="ar-SA"/>
              </w:rPr>
              <w:t>*</w:t>
            </w:r>
          </w:p>
        </w:tc>
        <w:tc>
          <w:tcPr>
            <w:tcW w:w="36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spacing w:val="-8"/>
                <w:sz w:val="24"/>
                <w:szCs w:val="24"/>
                <w:lang w:eastAsia="ar-SA"/>
              </w:rPr>
            </w:pPr>
            <w:r>
              <w:rPr>
                <w:rFonts w:cs="Calibri"/>
                <w:spacing w:val="-8"/>
                <w:sz w:val="24"/>
                <w:szCs w:val="24"/>
                <w:lang w:eastAsia="ar-SA"/>
              </w:rPr>
              <w:t>130</w:t>
            </w:r>
            <w:r w:rsidRPr="00920C24">
              <w:rPr>
                <w:rFonts w:cs="Calibri"/>
                <w:spacing w:val="-8"/>
                <w:sz w:val="24"/>
                <w:szCs w:val="24"/>
                <w:lang w:val="en-US" w:eastAsia="ar-SA"/>
              </w:rPr>
              <w:t>[</w:t>
            </w:r>
            <w:r>
              <w:rPr>
                <w:rFonts w:cs="Calibri"/>
                <w:spacing w:val="-8"/>
                <w:sz w:val="24"/>
                <w:szCs w:val="24"/>
                <w:lang w:eastAsia="ar-SA"/>
              </w:rPr>
              <w:t>120;</w:t>
            </w:r>
            <w:r w:rsidRPr="00920C24">
              <w:rPr>
                <w:rFonts w:cs="Calibri"/>
                <w:spacing w:val="-8"/>
                <w:sz w:val="24"/>
                <w:szCs w:val="24"/>
                <w:lang w:eastAsia="ar-SA"/>
              </w:rPr>
              <w:t>140</w:t>
            </w:r>
            <w:r w:rsidRPr="00920C24">
              <w:rPr>
                <w:rFonts w:cs="Calibri"/>
                <w:spacing w:val="-8"/>
                <w:sz w:val="24"/>
                <w:szCs w:val="24"/>
                <w:lang w:val="en-US" w:eastAsia="ar-SA"/>
              </w:rPr>
              <w:t>]</w:t>
            </w:r>
          </w:p>
        </w:tc>
      </w:tr>
      <w:tr w:rsidR="00286780" w:rsidRPr="00920C24" w:rsidTr="00920C24">
        <w:trPr>
          <w:trHeight w:val="454"/>
        </w:trPr>
        <w:tc>
          <w:tcPr>
            <w:tcW w:w="3147"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pacing w:val="-8"/>
                <w:sz w:val="24"/>
                <w:szCs w:val="24"/>
                <w:lang w:eastAsia="ar-SA"/>
              </w:rPr>
            </w:pPr>
            <w:r w:rsidRPr="00920C24">
              <w:rPr>
                <w:rFonts w:cs="Calibri"/>
                <w:spacing w:val="-8"/>
                <w:sz w:val="24"/>
                <w:szCs w:val="24"/>
                <w:lang w:eastAsia="ar-SA"/>
              </w:rPr>
              <w:t>АД диастолическое (мм рт. ст.)</w:t>
            </w:r>
          </w:p>
        </w:tc>
        <w:tc>
          <w:tcPr>
            <w:tcW w:w="3133"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pacing w:val="-8"/>
                <w:sz w:val="24"/>
                <w:szCs w:val="24"/>
                <w:highlight w:val="red"/>
                <w:lang w:eastAsia="ar-SA"/>
              </w:rPr>
            </w:pPr>
            <w:r>
              <w:rPr>
                <w:rFonts w:cs="Calibri"/>
                <w:spacing w:val="-8"/>
                <w:sz w:val="24"/>
                <w:szCs w:val="24"/>
                <w:lang w:eastAsia="ar-SA"/>
              </w:rPr>
              <w:t>80</w:t>
            </w:r>
            <w:r w:rsidRPr="00920C24">
              <w:rPr>
                <w:rFonts w:cs="Calibri"/>
                <w:spacing w:val="-8"/>
                <w:sz w:val="24"/>
                <w:szCs w:val="24"/>
                <w:lang w:val="en-US" w:eastAsia="ar-SA"/>
              </w:rPr>
              <w:t>[</w:t>
            </w:r>
            <w:r>
              <w:rPr>
                <w:rFonts w:cs="Calibri"/>
                <w:spacing w:val="-8"/>
                <w:sz w:val="24"/>
                <w:szCs w:val="24"/>
                <w:lang w:eastAsia="ar-SA"/>
              </w:rPr>
              <w:t>70;</w:t>
            </w:r>
            <w:r w:rsidRPr="00920C24">
              <w:rPr>
                <w:rFonts w:cs="Calibri"/>
                <w:spacing w:val="-8"/>
                <w:sz w:val="24"/>
                <w:szCs w:val="24"/>
                <w:lang w:eastAsia="ar-SA"/>
              </w:rPr>
              <w:t>90</w:t>
            </w:r>
            <w:r w:rsidRPr="00920C24">
              <w:rPr>
                <w:rFonts w:cs="Calibri"/>
                <w:spacing w:val="-8"/>
                <w:sz w:val="24"/>
                <w:szCs w:val="24"/>
                <w:lang w:val="en-US" w:eastAsia="ar-SA"/>
              </w:rPr>
              <w:t>]</w:t>
            </w:r>
          </w:p>
        </w:tc>
        <w:tc>
          <w:tcPr>
            <w:tcW w:w="36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spacing w:val="-8"/>
                <w:sz w:val="24"/>
                <w:szCs w:val="24"/>
                <w:lang w:eastAsia="ar-SA"/>
              </w:rPr>
            </w:pPr>
            <w:r>
              <w:rPr>
                <w:rFonts w:cs="Calibri"/>
                <w:spacing w:val="-8"/>
                <w:sz w:val="24"/>
                <w:szCs w:val="24"/>
                <w:lang w:eastAsia="ar-SA"/>
              </w:rPr>
              <w:t>80[80;</w:t>
            </w:r>
            <w:r w:rsidRPr="00920C24">
              <w:rPr>
                <w:rFonts w:cs="Calibri"/>
                <w:spacing w:val="-8"/>
                <w:sz w:val="24"/>
                <w:szCs w:val="24"/>
                <w:lang w:eastAsia="ar-SA"/>
              </w:rPr>
              <w:t>90]</w:t>
            </w:r>
          </w:p>
        </w:tc>
      </w:tr>
      <w:tr w:rsidR="00286780" w:rsidRPr="00920C24" w:rsidTr="00920C24">
        <w:trPr>
          <w:trHeight w:val="454"/>
        </w:trPr>
        <w:tc>
          <w:tcPr>
            <w:tcW w:w="3147"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pacing w:val="-8"/>
                <w:sz w:val="24"/>
                <w:szCs w:val="24"/>
                <w:lang w:eastAsia="ar-SA"/>
              </w:rPr>
            </w:pPr>
            <w:r w:rsidRPr="00920C24">
              <w:rPr>
                <w:rFonts w:cs="Calibri"/>
                <w:spacing w:val="-8"/>
                <w:sz w:val="24"/>
                <w:szCs w:val="24"/>
                <w:lang w:eastAsia="ar-SA"/>
              </w:rPr>
              <w:t>ЧСС (в 1 мин.)</w:t>
            </w:r>
          </w:p>
        </w:tc>
        <w:tc>
          <w:tcPr>
            <w:tcW w:w="3133"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pacing w:val="-8"/>
                <w:sz w:val="24"/>
                <w:szCs w:val="24"/>
                <w:lang w:eastAsia="ar-SA"/>
              </w:rPr>
            </w:pPr>
            <w:r>
              <w:rPr>
                <w:rFonts w:cs="Calibri"/>
                <w:spacing w:val="-8"/>
                <w:sz w:val="24"/>
                <w:szCs w:val="24"/>
                <w:lang w:eastAsia="ar-SA"/>
              </w:rPr>
              <w:t>80,0[77,0;</w:t>
            </w:r>
            <w:r w:rsidRPr="00920C24">
              <w:rPr>
                <w:rFonts w:cs="Calibri"/>
                <w:spacing w:val="-8"/>
                <w:sz w:val="24"/>
                <w:szCs w:val="24"/>
                <w:lang w:eastAsia="ar-SA"/>
              </w:rPr>
              <w:t>85,5]*</w:t>
            </w:r>
          </w:p>
        </w:tc>
        <w:tc>
          <w:tcPr>
            <w:tcW w:w="36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spacing w:val="-8"/>
                <w:sz w:val="24"/>
                <w:szCs w:val="24"/>
                <w:lang w:eastAsia="ar-SA"/>
              </w:rPr>
            </w:pPr>
            <w:r>
              <w:rPr>
                <w:rFonts w:cs="Calibri"/>
                <w:spacing w:val="-8"/>
                <w:sz w:val="24"/>
                <w:szCs w:val="24"/>
                <w:lang w:eastAsia="ar-SA"/>
              </w:rPr>
              <w:t>78[72;</w:t>
            </w:r>
            <w:r w:rsidRPr="00920C24">
              <w:rPr>
                <w:rFonts w:cs="Calibri"/>
                <w:spacing w:val="-8"/>
                <w:sz w:val="24"/>
                <w:szCs w:val="24"/>
                <w:lang w:eastAsia="ar-SA"/>
              </w:rPr>
              <w:t>80]</w:t>
            </w:r>
          </w:p>
        </w:tc>
      </w:tr>
      <w:tr w:rsidR="00286780" w:rsidRPr="00920C24" w:rsidTr="00920C24">
        <w:trPr>
          <w:trHeight w:val="454"/>
        </w:trPr>
        <w:tc>
          <w:tcPr>
            <w:tcW w:w="3147"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pacing w:val="-8"/>
                <w:sz w:val="24"/>
                <w:szCs w:val="24"/>
                <w:lang w:eastAsia="ar-SA"/>
              </w:rPr>
            </w:pPr>
            <w:r w:rsidRPr="00920C24">
              <w:rPr>
                <w:rFonts w:cs="Calibri"/>
                <w:spacing w:val="-8"/>
                <w:sz w:val="24"/>
                <w:szCs w:val="24"/>
                <w:lang w:eastAsia="ar-SA"/>
              </w:rPr>
              <w:t>УОС (мл)</w:t>
            </w:r>
          </w:p>
        </w:tc>
        <w:tc>
          <w:tcPr>
            <w:tcW w:w="3133"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pacing w:val="-8"/>
                <w:sz w:val="24"/>
                <w:szCs w:val="24"/>
                <w:lang w:eastAsia="ar-SA"/>
              </w:rPr>
            </w:pPr>
            <w:r w:rsidRPr="00920C24">
              <w:rPr>
                <w:rFonts w:cs="Calibri"/>
                <w:spacing w:val="-8"/>
                <w:sz w:val="24"/>
                <w:szCs w:val="24"/>
                <w:lang w:eastAsia="ar-SA"/>
              </w:rPr>
              <w:t>66,9±5,59</w:t>
            </w:r>
          </w:p>
        </w:tc>
        <w:tc>
          <w:tcPr>
            <w:tcW w:w="36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spacing w:val="-8"/>
                <w:sz w:val="24"/>
                <w:szCs w:val="24"/>
                <w:lang w:eastAsia="ar-SA"/>
              </w:rPr>
            </w:pPr>
            <w:r w:rsidRPr="00920C24">
              <w:rPr>
                <w:rFonts w:cs="Calibri"/>
                <w:spacing w:val="-8"/>
                <w:sz w:val="24"/>
                <w:szCs w:val="24"/>
                <w:lang w:eastAsia="ar-SA"/>
              </w:rPr>
              <w:t>62,1±2,37</w:t>
            </w:r>
          </w:p>
        </w:tc>
      </w:tr>
      <w:tr w:rsidR="00286780" w:rsidRPr="00920C24" w:rsidTr="00920C24">
        <w:trPr>
          <w:trHeight w:val="454"/>
        </w:trPr>
        <w:tc>
          <w:tcPr>
            <w:tcW w:w="3147"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pacing w:val="-8"/>
                <w:sz w:val="24"/>
                <w:szCs w:val="24"/>
                <w:lang w:eastAsia="ar-SA"/>
              </w:rPr>
            </w:pPr>
            <w:r w:rsidRPr="00920C24">
              <w:rPr>
                <w:rFonts w:cs="Calibri"/>
                <w:spacing w:val="-8"/>
                <w:sz w:val="24"/>
                <w:szCs w:val="24"/>
                <w:lang w:eastAsia="ar-SA"/>
              </w:rPr>
              <w:t>МОК (мл)</w:t>
            </w:r>
          </w:p>
        </w:tc>
        <w:tc>
          <w:tcPr>
            <w:tcW w:w="3133"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pacing w:val="-8"/>
                <w:sz w:val="24"/>
                <w:szCs w:val="24"/>
                <w:lang w:eastAsia="ar-SA"/>
              </w:rPr>
            </w:pPr>
            <w:r w:rsidRPr="00920C24">
              <w:rPr>
                <w:rFonts w:cs="Calibri"/>
                <w:spacing w:val="-8"/>
                <w:sz w:val="24"/>
                <w:szCs w:val="24"/>
                <w:lang w:eastAsia="ar-SA"/>
              </w:rPr>
              <w:t>4873,02±373,96</w:t>
            </w:r>
          </w:p>
        </w:tc>
        <w:tc>
          <w:tcPr>
            <w:tcW w:w="36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color w:val="000000"/>
                <w:spacing w:val="-8"/>
                <w:sz w:val="24"/>
                <w:szCs w:val="24"/>
                <w:lang w:eastAsia="ar-SA"/>
              </w:rPr>
            </w:pPr>
            <w:r w:rsidRPr="00920C24">
              <w:rPr>
                <w:rFonts w:cs="Calibri"/>
                <w:color w:val="000000"/>
                <w:spacing w:val="-8"/>
                <w:sz w:val="24"/>
                <w:szCs w:val="24"/>
                <w:lang w:eastAsia="ar-SA"/>
              </w:rPr>
              <w:t>5,02±0,35</w:t>
            </w:r>
          </w:p>
        </w:tc>
      </w:tr>
      <w:tr w:rsidR="00286780" w:rsidRPr="00920C24" w:rsidTr="00920C24">
        <w:trPr>
          <w:trHeight w:val="454"/>
        </w:trPr>
        <w:tc>
          <w:tcPr>
            <w:tcW w:w="3147"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pacing w:val="-8"/>
                <w:sz w:val="24"/>
                <w:szCs w:val="24"/>
                <w:lang w:eastAsia="ar-SA"/>
              </w:rPr>
            </w:pPr>
            <w:r w:rsidRPr="00920C24">
              <w:rPr>
                <w:rFonts w:cs="Calibri"/>
                <w:spacing w:val="-8"/>
                <w:sz w:val="24"/>
                <w:szCs w:val="24"/>
                <w:lang w:eastAsia="ar-SA"/>
              </w:rPr>
              <w:t>СИ (л/мин×м кв.)</w:t>
            </w:r>
          </w:p>
        </w:tc>
        <w:tc>
          <w:tcPr>
            <w:tcW w:w="3133"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pacing w:val="-8"/>
                <w:sz w:val="24"/>
                <w:szCs w:val="24"/>
                <w:lang w:eastAsia="ar-SA"/>
              </w:rPr>
            </w:pPr>
            <w:r>
              <w:rPr>
                <w:rFonts w:cs="Calibri"/>
                <w:spacing w:val="-8"/>
                <w:sz w:val="24"/>
                <w:szCs w:val="24"/>
                <w:lang w:eastAsia="ar-SA"/>
              </w:rPr>
              <w:t>2,72</w:t>
            </w:r>
            <w:r w:rsidRPr="00920C24">
              <w:rPr>
                <w:rFonts w:cs="Calibri"/>
                <w:spacing w:val="-8"/>
                <w:sz w:val="24"/>
                <w:szCs w:val="24"/>
                <w:lang w:val="en-US" w:eastAsia="ar-SA"/>
              </w:rPr>
              <w:t>[</w:t>
            </w:r>
            <w:r>
              <w:rPr>
                <w:rFonts w:cs="Calibri"/>
                <w:spacing w:val="-8"/>
                <w:sz w:val="24"/>
                <w:szCs w:val="24"/>
                <w:lang w:eastAsia="ar-SA"/>
              </w:rPr>
              <w:t>2,42;</w:t>
            </w:r>
            <w:r w:rsidRPr="00920C24">
              <w:rPr>
                <w:rFonts w:cs="Calibri"/>
                <w:spacing w:val="-8"/>
                <w:sz w:val="24"/>
                <w:szCs w:val="24"/>
                <w:lang w:eastAsia="ar-SA"/>
              </w:rPr>
              <w:t>3,26</w:t>
            </w:r>
            <w:r w:rsidRPr="00920C24">
              <w:rPr>
                <w:rFonts w:cs="Calibri"/>
                <w:spacing w:val="-8"/>
                <w:sz w:val="24"/>
                <w:szCs w:val="24"/>
                <w:lang w:val="en-US" w:eastAsia="ar-SA"/>
              </w:rPr>
              <w:t>]</w:t>
            </w:r>
          </w:p>
        </w:tc>
        <w:tc>
          <w:tcPr>
            <w:tcW w:w="36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color w:val="000000"/>
                <w:spacing w:val="-8"/>
                <w:sz w:val="24"/>
                <w:szCs w:val="24"/>
                <w:lang w:eastAsia="ar-SA"/>
              </w:rPr>
            </w:pPr>
            <w:r>
              <w:rPr>
                <w:rFonts w:cs="Calibri"/>
                <w:color w:val="000000"/>
                <w:spacing w:val="-8"/>
                <w:sz w:val="24"/>
                <w:szCs w:val="24"/>
                <w:lang w:eastAsia="ar-SA"/>
              </w:rPr>
              <w:t>2,56[1,98;</w:t>
            </w:r>
            <w:r w:rsidRPr="00920C24">
              <w:rPr>
                <w:rFonts w:cs="Calibri"/>
                <w:color w:val="000000"/>
                <w:spacing w:val="-8"/>
                <w:sz w:val="24"/>
                <w:szCs w:val="24"/>
                <w:lang w:eastAsia="ar-SA"/>
              </w:rPr>
              <w:t>3,28]</w:t>
            </w:r>
          </w:p>
        </w:tc>
      </w:tr>
      <w:tr w:rsidR="00286780" w:rsidRPr="00920C24" w:rsidTr="00920C24">
        <w:trPr>
          <w:trHeight w:val="454"/>
        </w:trPr>
        <w:tc>
          <w:tcPr>
            <w:tcW w:w="3147"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pacing w:val="-8"/>
                <w:sz w:val="24"/>
                <w:szCs w:val="24"/>
                <w:lang w:eastAsia="ar-SA"/>
              </w:rPr>
            </w:pPr>
            <w:r w:rsidRPr="00920C24">
              <w:rPr>
                <w:rFonts w:cs="Calibri"/>
                <w:spacing w:val="-8"/>
                <w:sz w:val="24"/>
                <w:szCs w:val="24"/>
                <w:lang w:eastAsia="ar-SA"/>
              </w:rPr>
              <w:t>ОПСС (дин×с×см</w:t>
            </w:r>
            <w:r w:rsidRPr="00920C24">
              <w:rPr>
                <w:rFonts w:cs="Calibri"/>
                <w:spacing w:val="-8"/>
                <w:sz w:val="24"/>
                <w:szCs w:val="24"/>
                <w:vertAlign w:val="superscript"/>
                <w:lang w:eastAsia="ar-SA"/>
              </w:rPr>
              <w:t>-5</w:t>
            </w:r>
            <w:r w:rsidRPr="00920C24">
              <w:rPr>
                <w:rFonts w:cs="Calibri"/>
                <w:spacing w:val="-8"/>
                <w:sz w:val="24"/>
                <w:szCs w:val="24"/>
                <w:lang w:eastAsia="ar-SA"/>
              </w:rPr>
              <w:t>)</w:t>
            </w:r>
          </w:p>
        </w:tc>
        <w:tc>
          <w:tcPr>
            <w:tcW w:w="3133"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pacing w:val="-8"/>
                <w:sz w:val="24"/>
                <w:szCs w:val="24"/>
                <w:lang w:eastAsia="ar-SA"/>
              </w:rPr>
            </w:pPr>
            <w:r w:rsidRPr="00920C24">
              <w:rPr>
                <w:rFonts w:cs="Calibri"/>
                <w:spacing w:val="-8"/>
                <w:sz w:val="24"/>
                <w:szCs w:val="24"/>
                <w:lang w:eastAsia="ar-SA"/>
              </w:rPr>
              <w:t>2175,67±252,9</w:t>
            </w:r>
          </w:p>
        </w:tc>
        <w:tc>
          <w:tcPr>
            <w:tcW w:w="36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color w:val="000000"/>
                <w:spacing w:val="-8"/>
                <w:sz w:val="24"/>
                <w:szCs w:val="24"/>
                <w:lang w:eastAsia="ar-SA"/>
              </w:rPr>
            </w:pPr>
            <w:r w:rsidRPr="00920C24">
              <w:rPr>
                <w:rFonts w:cs="Calibri"/>
                <w:color w:val="000000"/>
                <w:spacing w:val="-8"/>
                <w:sz w:val="24"/>
                <w:szCs w:val="24"/>
                <w:lang w:eastAsia="ar-SA"/>
              </w:rPr>
              <w:t>2212,85±117,37</w:t>
            </w:r>
          </w:p>
        </w:tc>
      </w:tr>
      <w:tr w:rsidR="00286780" w:rsidRPr="00920C24" w:rsidTr="00920C24">
        <w:trPr>
          <w:trHeight w:val="454"/>
        </w:trPr>
        <w:tc>
          <w:tcPr>
            <w:tcW w:w="9923" w:type="dxa"/>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jc w:val="center"/>
              <w:rPr>
                <w:rFonts w:cs="Calibri"/>
                <w:spacing w:val="-8"/>
                <w:sz w:val="24"/>
                <w:szCs w:val="24"/>
                <w:lang w:eastAsia="ar-SA"/>
              </w:rPr>
            </w:pPr>
            <w:r w:rsidRPr="00920C24">
              <w:rPr>
                <w:rFonts w:cs="Calibri"/>
                <w:i/>
                <w:spacing w:val="-8"/>
                <w:sz w:val="24"/>
                <w:szCs w:val="24"/>
                <w:lang w:eastAsia="ar-SA"/>
              </w:rPr>
              <w:t>Примечание</w:t>
            </w:r>
            <w:r w:rsidRPr="00920C24">
              <w:rPr>
                <w:rFonts w:cs="Calibri"/>
                <w:spacing w:val="-8"/>
                <w:sz w:val="24"/>
                <w:szCs w:val="24"/>
                <w:lang w:eastAsia="ar-SA"/>
              </w:rPr>
              <w:t>.* – раз</w:t>
            </w:r>
            <w:r>
              <w:rPr>
                <w:rFonts w:cs="Calibri"/>
                <w:spacing w:val="-8"/>
                <w:sz w:val="24"/>
                <w:szCs w:val="24"/>
                <w:lang w:eastAsia="ar-SA"/>
              </w:rPr>
              <w:t>личия статистически значимы (р&lt;</w:t>
            </w:r>
            <w:r w:rsidRPr="00920C24">
              <w:rPr>
                <w:rFonts w:cs="Calibri"/>
                <w:spacing w:val="-8"/>
                <w:sz w:val="24"/>
                <w:szCs w:val="24"/>
                <w:lang w:eastAsia="ar-SA"/>
              </w:rPr>
              <w:t>0,05)</w:t>
            </w:r>
          </w:p>
        </w:tc>
      </w:tr>
    </w:tbl>
    <w:p w:rsidR="00286780" w:rsidRPr="00920C24" w:rsidRDefault="00286780" w:rsidP="00920C24">
      <w:pPr>
        <w:jc w:val="both"/>
        <w:rPr>
          <w:rFonts w:cs="Calibri"/>
          <w:sz w:val="28"/>
          <w:szCs w:val="28"/>
          <w:lang w:eastAsia="ar-SA"/>
        </w:rPr>
      </w:pPr>
    </w:p>
    <w:p w:rsidR="00286780" w:rsidRDefault="00286780" w:rsidP="008C19F3">
      <w:pPr>
        <w:spacing w:line="360" w:lineRule="auto"/>
        <w:ind w:firstLine="709"/>
        <w:jc w:val="both"/>
        <w:rPr>
          <w:rFonts w:cs="Calibri"/>
          <w:sz w:val="28"/>
          <w:szCs w:val="28"/>
          <w:lang w:eastAsia="ar-SA"/>
        </w:rPr>
      </w:pPr>
      <w:r w:rsidRPr="00920C24">
        <w:rPr>
          <w:rFonts w:cs="Calibri"/>
          <w:sz w:val="28"/>
          <w:szCs w:val="28"/>
          <w:lang w:eastAsia="ar-SA"/>
        </w:rPr>
        <w:t>Оценивая индивидуальные показатели, можно выявить как нормальные значения артериального давления в отсутствии артериальной гипертонии, так и повышенные значения артериального давления (более 140 и 90 мм рт. ст.) при наличии гипертонической болезни. Средние значения основных показателей гемодинамики (ударный объем сердца, минутный объем, общее периферическое сосудистое сопротивление), в отношении контрольных значений (контрольная подгруппа № 4) при этом статистически значимо не изменяются.</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Индивидуальные показатели центральной и периферической гемодинамики пациентов с МФОИ и сахарным диабетом характеризуются систолическим индексом, как правило, менее 3 л/мин×м кв., общим периферическим сосудистым сопротивлением чаще в пределах 1000–2000 дин×с×см</w:t>
      </w:r>
      <w:r w:rsidRPr="00920C24">
        <w:rPr>
          <w:rFonts w:cs="Calibri"/>
          <w:sz w:val="28"/>
          <w:szCs w:val="28"/>
          <w:vertAlign w:val="superscript"/>
          <w:lang w:eastAsia="ar-SA"/>
        </w:rPr>
        <w:t>-5</w:t>
      </w:r>
      <w:r w:rsidRPr="00920C24">
        <w:rPr>
          <w:rFonts w:cs="Calibri"/>
          <w:sz w:val="28"/>
          <w:szCs w:val="28"/>
          <w:lang w:eastAsia="ar-SA"/>
        </w:rPr>
        <w:t>, что является характеристиками гипокинетического (при ОПСС в пределах 1000–2000 дин×с×см</w:t>
      </w:r>
      <w:r w:rsidRPr="00920C24">
        <w:rPr>
          <w:rFonts w:cs="Calibri"/>
          <w:sz w:val="28"/>
          <w:szCs w:val="28"/>
          <w:vertAlign w:val="superscript"/>
          <w:lang w:eastAsia="ar-SA"/>
        </w:rPr>
        <w:t>-5</w:t>
      </w:r>
      <w:r w:rsidRPr="00920C24">
        <w:rPr>
          <w:rFonts w:cs="Calibri"/>
          <w:sz w:val="28"/>
          <w:szCs w:val="28"/>
          <w:lang w:eastAsia="ar-SA"/>
        </w:rPr>
        <w:t>) или гипокинетического застойного (при ОПСС более 2000 дин×с×см</w:t>
      </w:r>
      <w:r w:rsidRPr="00920C24">
        <w:rPr>
          <w:rFonts w:cs="Calibri"/>
          <w:sz w:val="28"/>
          <w:szCs w:val="28"/>
          <w:vertAlign w:val="superscript"/>
          <w:lang w:eastAsia="ar-SA"/>
        </w:rPr>
        <w:t>-5</w:t>
      </w:r>
      <w:r w:rsidRPr="00920C24">
        <w:rPr>
          <w:rFonts w:cs="Calibri"/>
          <w:sz w:val="28"/>
          <w:szCs w:val="28"/>
          <w:lang w:eastAsia="ar-SA"/>
        </w:rPr>
        <w:t xml:space="preserve">) профилей кровообращения. </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 xml:space="preserve">В то же время, в пределах группы больных с сахарным диабетом (и местным воспалительным процессом), могут быть выделена подгруппа с высокими значениями общего периферического сосудистого сопротивления (более 2000 </w:t>
      </w:r>
      <w:r w:rsidRPr="00920C24">
        <w:rPr>
          <w:rFonts w:cs="Calibri"/>
          <w:sz w:val="28"/>
          <w:szCs w:val="28"/>
          <w:lang w:eastAsia="ar-SA"/>
        </w:rPr>
        <w:lastRenderedPageBreak/>
        <w:t>дин×с×см</w:t>
      </w:r>
      <w:r w:rsidRPr="00920C24">
        <w:rPr>
          <w:rFonts w:cs="Calibri"/>
          <w:sz w:val="28"/>
          <w:szCs w:val="28"/>
          <w:vertAlign w:val="superscript"/>
          <w:lang w:eastAsia="ar-SA"/>
        </w:rPr>
        <w:t>-5</w:t>
      </w:r>
      <w:r w:rsidRPr="00920C24">
        <w:rPr>
          <w:rFonts w:cs="Calibri"/>
          <w:sz w:val="28"/>
          <w:szCs w:val="28"/>
          <w:lang w:eastAsia="ar-SA"/>
        </w:rPr>
        <w:t>) и низкими значениями систолического индекса (менее 3 л/мин×м кв.) – 16 больных.</w:t>
      </w:r>
    </w:p>
    <w:p w:rsidR="00286780" w:rsidRPr="00920C24" w:rsidRDefault="00286780" w:rsidP="00920C24">
      <w:pPr>
        <w:spacing w:line="360" w:lineRule="auto"/>
        <w:ind w:firstLine="709"/>
        <w:jc w:val="both"/>
        <w:rPr>
          <w:rFonts w:cs="Calibri"/>
          <w:sz w:val="28"/>
          <w:szCs w:val="28"/>
          <w:lang w:eastAsia="ar-SA"/>
        </w:rPr>
      </w:pPr>
      <w:r>
        <w:rPr>
          <w:rFonts w:cs="Calibri"/>
          <w:sz w:val="28"/>
          <w:szCs w:val="28"/>
          <w:lang w:eastAsia="ar-SA"/>
        </w:rPr>
        <w:t>Также</w:t>
      </w:r>
      <w:r w:rsidRPr="00920C24">
        <w:rPr>
          <w:rFonts w:cs="Calibri"/>
          <w:sz w:val="28"/>
          <w:szCs w:val="28"/>
          <w:lang w:eastAsia="ar-SA"/>
        </w:rPr>
        <w:t xml:space="preserve"> определена подгруппа с общим периферическим сосудистым сопротивлением (ОПСС) в пределах 1000–2000 дин×с×см</w:t>
      </w:r>
      <w:r w:rsidRPr="00920C24">
        <w:rPr>
          <w:rFonts w:cs="Calibri"/>
          <w:sz w:val="28"/>
          <w:szCs w:val="28"/>
          <w:vertAlign w:val="superscript"/>
          <w:lang w:eastAsia="ar-SA"/>
        </w:rPr>
        <w:t>-5</w:t>
      </w:r>
      <w:r w:rsidRPr="00920C24">
        <w:rPr>
          <w:rFonts w:cs="Calibri"/>
          <w:sz w:val="28"/>
          <w:szCs w:val="28"/>
          <w:lang w:eastAsia="ar-SA"/>
        </w:rPr>
        <w:t xml:space="preserve"> и менее – 26 пациентов, систолический индекс у которых изменяется в широком диапазоне значений – от 3,0 до 4,75 дин×с×см</w:t>
      </w:r>
      <w:r w:rsidRPr="00920C24">
        <w:rPr>
          <w:rFonts w:cs="Calibri"/>
          <w:sz w:val="28"/>
          <w:szCs w:val="28"/>
          <w:vertAlign w:val="superscript"/>
          <w:lang w:eastAsia="ar-SA"/>
        </w:rPr>
        <w:t>-5</w:t>
      </w:r>
      <w:r w:rsidRPr="00920C24">
        <w:rPr>
          <w:rFonts w:cs="Calibri"/>
          <w:sz w:val="28"/>
          <w:szCs w:val="28"/>
          <w:lang w:eastAsia="ar-SA"/>
        </w:rPr>
        <w:t>, что указывает на принадлежность к нормокинетическому, а в отдельных случаях – к гиперкинетическому типу гемодинамики (высокий систолический индекс, низкое ОПСС).</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Следовательно, даже в пределах одной группы пациентов с сахарным диабетом, в том числе при наличии артериальной гипертензии и ишемической болезни сердца, могут быть выделены отдельные подгруппы, имеющие различные гемодинамические профили – от гипокинетического до гиперкинетического.</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Показатели частоты дыхательных движений, клеточного состава крови, СОЭ, уровней гемоглобина, билирубина, мочевины, креатинина, глюкозы, клеточного иммунитета больных с МФОИ и сахарным диабетом (основная группа № 3) и их сравнительная характеристика в отношении пациентов с сахарным диабетом бе</w:t>
      </w:r>
      <w:r>
        <w:rPr>
          <w:rFonts w:cs="Calibri"/>
          <w:sz w:val="28"/>
          <w:szCs w:val="28"/>
          <w:lang w:eastAsia="ar-SA"/>
        </w:rPr>
        <w:t>з МФОИ (контрольная подгруппа №</w:t>
      </w:r>
      <w:r w:rsidRPr="00920C24">
        <w:rPr>
          <w:rFonts w:cs="Calibri"/>
          <w:sz w:val="28"/>
          <w:szCs w:val="28"/>
          <w:lang w:eastAsia="ar-SA"/>
        </w:rPr>
        <w:t>3), больных с МФОИ без коморбид</w:t>
      </w:r>
      <w:r>
        <w:rPr>
          <w:rFonts w:cs="Calibri"/>
          <w:sz w:val="28"/>
          <w:szCs w:val="28"/>
          <w:lang w:eastAsia="ar-SA"/>
        </w:rPr>
        <w:t xml:space="preserve">ного фона (контрольная </w:t>
      </w:r>
      <w:r w:rsidR="00EE1FD6">
        <w:rPr>
          <w:rFonts w:cs="Calibri"/>
          <w:sz w:val="28"/>
          <w:szCs w:val="28"/>
          <w:lang w:eastAsia="ar-SA"/>
        </w:rPr>
        <w:t>под</w:t>
      </w:r>
      <w:r>
        <w:rPr>
          <w:rFonts w:cs="Calibri"/>
          <w:sz w:val="28"/>
          <w:szCs w:val="28"/>
          <w:lang w:eastAsia="ar-SA"/>
        </w:rPr>
        <w:t xml:space="preserve">группа № </w:t>
      </w:r>
      <w:r w:rsidR="00EE1FD6">
        <w:rPr>
          <w:rFonts w:cs="Calibri"/>
          <w:sz w:val="28"/>
          <w:szCs w:val="28"/>
          <w:lang w:eastAsia="ar-SA"/>
        </w:rPr>
        <w:t>4, совместимая с под</w:t>
      </w:r>
      <w:r w:rsidRPr="00920C24">
        <w:rPr>
          <w:rFonts w:cs="Calibri"/>
          <w:sz w:val="28"/>
          <w:szCs w:val="28"/>
          <w:lang w:eastAsia="ar-SA"/>
        </w:rPr>
        <w:t>группой № 3), пред</w:t>
      </w:r>
      <w:r>
        <w:rPr>
          <w:rFonts w:cs="Calibri"/>
          <w:sz w:val="28"/>
          <w:szCs w:val="28"/>
          <w:lang w:eastAsia="ar-SA"/>
        </w:rPr>
        <w:t>ставлены в Таблице 35</w:t>
      </w:r>
      <w:r w:rsidRPr="00920C24">
        <w:rPr>
          <w:rFonts w:cs="Calibri"/>
          <w:sz w:val="28"/>
          <w:szCs w:val="28"/>
          <w:lang w:eastAsia="ar-SA"/>
        </w:rPr>
        <w:t>.</w:t>
      </w:r>
    </w:p>
    <w:p w:rsidR="00286780" w:rsidRDefault="00286780" w:rsidP="00AF1F7D">
      <w:pPr>
        <w:spacing w:line="360" w:lineRule="auto"/>
        <w:ind w:firstLine="709"/>
        <w:jc w:val="both"/>
        <w:rPr>
          <w:rFonts w:cs="Calibri"/>
          <w:sz w:val="28"/>
          <w:szCs w:val="28"/>
          <w:lang w:eastAsia="ar-SA"/>
        </w:rPr>
      </w:pPr>
      <w:r w:rsidRPr="00920C24">
        <w:rPr>
          <w:rFonts w:cs="Calibri"/>
          <w:sz w:val="28"/>
          <w:szCs w:val="28"/>
          <w:lang w:eastAsia="ar-SA"/>
        </w:rPr>
        <w:t xml:space="preserve">В сравнении с показателями контрольной группы пациентов с сахарным диабетом </w:t>
      </w:r>
      <w:r w:rsidR="00917CDA">
        <w:rPr>
          <w:rFonts w:cs="Calibri"/>
          <w:sz w:val="28"/>
          <w:szCs w:val="28"/>
          <w:lang w:eastAsia="ar-SA"/>
        </w:rPr>
        <w:t>(контрольная подгруппа № 3), в под</w:t>
      </w:r>
      <w:r>
        <w:rPr>
          <w:rFonts w:cs="Calibri"/>
          <w:sz w:val="28"/>
          <w:szCs w:val="28"/>
          <w:lang w:eastAsia="ar-SA"/>
        </w:rPr>
        <w:t>группе № 3 наблюдаются статистически значимо более</w:t>
      </w:r>
      <w:r w:rsidRPr="00920C24">
        <w:rPr>
          <w:rFonts w:cs="Calibri"/>
          <w:sz w:val="28"/>
          <w:szCs w:val="28"/>
          <w:lang w:eastAsia="ar-SA"/>
        </w:rPr>
        <w:t xml:space="preserve"> выраженный лейкоцитоз и учащение количества дыхательных движений в 1 мин., связанные с развитием острого воспалительного процесса</w:t>
      </w:r>
      <w:r>
        <w:rPr>
          <w:rFonts w:cs="Calibri"/>
          <w:sz w:val="28"/>
          <w:szCs w:val="28"/>
          <w:lang w:eastAsia="ar-SA"/>
        </w:rPr>
        <w:t>, увеличение ЛИИ</w:t>
      </w:r>
      <w:r w:rsidRPr="00920C24">
        <w:rPr>
          <w:rFonts w:cs="Calibri"/>
          <w:sz w:val="28"/>
          <w:szCs w:val="28"/>
          <w:lang w:eastAsia="ar-SA"/>
        </w:rPr>
        <w:t xml:space="preserve">.В сравнении со значениями исследуемых показателей контрольной группы больных с МФОИ без коморбидных заболеваний (контрольная </w:t>
      </w:r>
      <w:r w:rsidR="00EE1FD6">
        <w:rPr>
          <w:rFonts w:cs="Calibri"/>
          <w:sz w:val="28"/>
          <w:szCs w:val="28"/>
          <w:lang w:eastAsia="ar-SA"/>
        </w:rPr>
        <w:t>под</w:t>
      </w:r>
      <w:r w:rsidRPr="00920C24">
        <w:rPr>
          <w:rFonts w:cs="Calibri"/>
          <w:sz w:val="28"/>
          <w:szCs w:val="28"/>
          <w:lang w:eastAsia="ar-SA"/>
        </w:rPr>
        <w:t>группа № 4), боль</w:t>
      </w:r>
      <w:r w:rsidR="00917CDA">
        <w:rPr>
          <w:rFonts w:cs="Calibri"/>
          <w:sz w:val="28"/>
          <w:szCs w:val="28"/>
          <w:lang w:eastAsia="ar-SA"/>
        </w:rPr>
        <w:t>ные под</w:t>
      </w:r>
      <w:r>
        <w:rPr>
          <w:rFonts w:cs="Calibri"/>
          <w:sz w:val="28"/>
          <w:szCs w:val="28"/>
          <w:lang w:eastAsia="ar-SA"/>
        </w:rPr>
        <w:t xml:space="preserve">группы № </w:t>
      </w:r>
      <w:r w:rsidRPr="00920C24">
        <w:rPr>
          <w:rFonts w:cs="Calibri"/>
          <w:sz w:val="28"/>
          <w:szCs w:val="28"/>
          <w:lang w:eastAsia="ar-SA"/>
        </w:rPr>
        <w:t>3 отличаются наличием гипергликемии.</w:t>
      </w:r>
    </w:p>
    <w:p w:rsidR="00286780" w:rsidRPr="00457501" w:rsidRDefault="00286780" w:rsidP="00457501">
      <w:pPr>
        <w:spacing w:line="360" w:lineRule="auto"/>
        <w:ind w:firstLine="709"/>
        <w:jc w:val="both"/>
        <w:rPr>
          <w:rFonts w:cs="Calibri"/>
          <w:sz w:val="28"/>
          <w:szCs w:val="28"/>
          <w:lang w:eastAsia="ar-SA"/>
        </w:rPr>
      </w:pPr>
      <w:r w:rsidRPr="00457501">
        <w:rPr>
          <w:rFonts w:cs="Calibri"/>
          <w:sz w:val="28"/>
          <w:szCs w:val="28"/>
          <w:lang w:eastAsia="ar-SA"/>
        </w:rPr>
        <w:t>Средняя продолжительность стационарного лечения больн</w:t>
      </w:r>
      <w:r w:rsidR="00917CDA">
        <w:rPr>
          <w:rFonts w:cs="Calibri"/>
          <w:sz w:val="28"/>
          <w:szCs w:val="28"/>
          <w:lang w:eastAsia="ar-SA"/>
        </w:rPr>
        <w:t>ых исследуемой подгруппы (под</w:t>
      </w:r>
      <w:r w:rsidRPr="00457501">
        <w:rPr>
          <w:rFonts w:cs="Calibri"/>
          <w:sz w:val="28"/>
          <w:szCs w:val="28"/>
          <w:lang w:eastAsia="ar-SA"/>
        </w:rPr>
        <w:t>группа №3) составила 9[7;11] койко-дней. Гнойно-воспалительные</w:t>
      </w:r>
      <w:r w:rsidR="00917CDA">
        <w:rPr>
          <w:rFonts w:cs="Calibri"/>
          <w:sz w:val="28"/>
          <w:szCs w:val="28"/>
          <w:lang w:eastAsia="ar-SA"/>
        </w:rPr>
        <w:t xml:space="preserve"> </w:t>
      </w:r>
      <w:r w:rsidRPr="00457501">
        <w:rPr>
          <w:rFonts w:cs="Calibri"/>
          <w:sz w:val="28"/>
          <w:szCs w:val="28"/>
          <w:lang w:eastAsia="ar-SA"/>
        </w:rPr>
        <w:t>осложнения (развитие распространенных флегмон) диагностированы в 19% случаев (восемь пациентов), летальность отсутствует.</w:t>
      </w:r>
    </w:p>
    <w:p w:rsidR="00286780" w:rsidRPr="00920C24" w:rsidRDefault="00286780" w:rsidP="00DD6C1D">
      <w:pPr>
        <w:spacing w:line="360" w:lineRule="auto"/>
        <w:jc w:val="both"/>
        <w:rPr>
          <w:rFonts w:cs="Calibri"/>
          <w:sz w:val="28"/>
          <w:szCs w:val="28"/>
          <w:lang w:eastAsia="ar-SA"/>
        </w:rPr>
      </w:pPr>
    </w:p>
    <w:p w:rsidR="00286780" w:rsidRPr="00920C24" w:rsidRDefault="00286780" w:rsidP="00920C24">
      <w:pPr>
        <w:spacing w:after="120"/>
        <w:jc w:val="both"/>
        <w:rPr>
          <w:sz w:val="28"/>
          <w:szCs w:val="28"/>
        </w:rPr>
      </w:pPr>
      <w:r w:rsidRPr="00920C24">
        <w:rPr>
          <w:b/>
          <w:sz w:val="28"/>
          <w:szCs w:val="28"/>
        </w:rPr>
        <w:t>Таблица 3</w:t>
      </w:r>
      <w:r>
        <w:rPr>
          <w:b/>
          <w:sz w:val="28"/>
          <w:szCs w:val="28"/>
        </w:rPr>
        <w:t>5</w:t>
      </w:r>
      <w:r w:rsidRPr="00920C24">
        <w:rPr>
          <w:sz w:val="28"/>
          <w:szCs w:val="28"/>
        </w:rPr>
        <w:t xml:space="preserve"> – Сравнительная характеристика показателей </w:t>
      </w:r>
      <w:r>
        <w:rPr>
          <w:sz w:val="28"/>
          <w:szCs w:val="28"/>
        </w:rPr>
        <w:t>гомеостаза</w:t>
      </w:r>
      <w:r w:rsidRPr="00920C24">
        <w:rPr>
          <w:sz w:val="28"/>
          <w:szCs w:val="28"/>
        </w:rPr>
        <w:t xml:space="preserve"> пациентов с МФОИ и сахарным диабетом, пациентов с сахарным диабетом без МФОИ, больных с МФОИ без хронической патологии внутренних органов</w:t>
      </w:r>
    </w:p>
    <w:tbl>
      <w:tblPr>
        <w:tblW w:w="0" w:type="auto"/>
        <w:tblInd w:w="108" w:type="dxa"/>
        <w:tblLayout w:type="fixed"/>
        <w:tblLook w:val="0000" w:firstRow="0" w:lastRow="0" w:firstColumn="0" w:lastColumn="0" w:noHBand="0" w:noVBand="0"/>
      </w:tblPr>
      <w:tblGrid>
        <w:gridCol w:w="3606"/>
        <w:gridCol w:w="1843"/>
        <w:gridCol w:w="2126"/>
        <w:gridCol w:w="2064"/>
      </w:tblGrid>
      <w:tr w:rsidR="00286780" w:rsidRPr="00920C24" w:rsidTr="00920C24">
        <w:trPr>
          <w:trHeight w:val="454"/>
        </w:trPr>
        <w:tc>
          <w:tcPr>
            <w:tcW w:w="360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i/>
                <w:sz w:val="24"/>
                <w:szCs w:val="24"/>
                <w:lang w:eastAsia="ar-SA"/>
              </w:rPr>
            </w:pPr>
            <w:r w:rsidRPr="00920C24">
              <w:rPr>
                <w:rFonts w:cs="Calibri"/>
                <w:i/>
                <w:sz w:val="24"/>
                <w:szCs w:val="24"/>
                <w:lang w:eastAsia="ar-SA"/>
              </w:rPr>
              <w:t>Признак</w:t>
            </w:r>
          </w:p>
        </w:tc>
        <w:tc>
          <w:tcPr>
            <w:tcW w:w="1843"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917CDA" w:rsidP="00920C24">
            <w:pPr>
              <w:snapToGrid w:val="0"/>
              <w:jc w:val="center"/>
              <w:rPr>
                <w:rFonts w:cs="Calibri"/>
                <w:i/>
                <w:sz w:val="24"/>
                <w:szCs w:val="24"/>
                <w:lang w:val="en-US" w:eastAsia="ar-SA"/>
              </w:rPr>
            </w:pPr>
            <w:r>
              <w:rPr>
                <w:rFonts w:cs="Calibri"/>
                <w:i/>
                <w:sz w:val="24"/>
                <w:szCs w:val="24"/>
                <w:lang w:eastAsia="ar-SA"/>
              </w:rPr>
              <w:t>Под</w:t>
            </w:r>
            <w:r w:rsidR="00286780" w:rsidRPr="00920C24">
              <w:rPr>
                <w:rFonts w:cs="Calibri"/>
                <w:i/>
                <w:sz w:val="24"/>
                <w:szCs w:val="24"/>
                <w:lang w:eastAsia="ar-SA"/>
              </w:rPr>
              <w:t>группа № 3</w:t>
            </w:r>
            <w:r w:rsidR="00286780" w:rsidRPr="00920C24">
              <w:rPr>
                <w:rFonts w:cs="Calibri"/>
                <w:i/>
                <w:sz w:val="24"/>
                <w:szCs w:val="24"/>
                <w:lang w:val="en-US" w:eastAsia="ar-SA"/>
              </w:rPr>
              <w:t xml:space="preserve"> (n=42)</w:t>
            </w:r>
          </w:p>
        </w:tc>
        <w:tc>
          <w:tcPr>
            <w:tcW w:w="212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i/>
                <w:sz w:val="24"/>
                <w:szCs w:val="24"/>
                <w:lang w:val="en-US" w:eastAsia="ar-SA"/>
              </w:rPr>
            </w:pPr>
            <w:r w:rsidRPr="00920C24">
              <w:rPr>
                <w:rFonts w:cs="Calibri"/>
                <w:i/>
                <w:sz w:val="24"/>
                <w:szCs w:val="24"/>
                <w:lang w:eastAsia="ar-SA"/>
              </w:rPr>
              <w:t xml:space="preserve">Контрольная </w:t>
            </w:r>
            <w:r w:rsidR="00917CDA">
              <w:rPr>
                <w:rFonts w:cs="Calibri"/>
                <w:i/>
                <w:sz w:val="24"/>
                <w:szCs w:val="24"/>
                <w:lang w:eastAsia="ar-SA"/>
              </w:rPr>
              <w:t>под</w:t>
            </w:r>
            <w:r w:rsidRPr="00920C24">
              <w:rPr>
                <w:rFonts w:cs="Calibri"/>
                <w:i/>
                <w:sz w:val="24"/>
                <w:szCs w:val="24"/>
                <w:lang w:eastAsia="ar-SA"/>
              </w:rPr>
              <w:t>группа № 3</w:t>
            </w:r>
            <w:r w:rsidRPr="00920C24">
              <w:rPr>
                <w:rFonts w:cs="Calibri"/>
                <w:i/>
                <w:sz w:val="24"/>
                <w:szCs w:val="24"/>
                <w:lang w:val="en-US" w:eastAsia="ar-SA"/>
              </w:rPr>
              <w:t xml:space="preserve"> (n=30)</w:t>
            </w:r>
          </w:p>
        </w:tc>
        <w:tc>
          <w:tcPr>
            <w:tcW w:w="20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i/>
                <w:sz w:val="24"/>
                <w:szCs w:val="24"/>
                <w:lang w:val="en-US" w:eastAsia="ar-SA"/>
              </w:rPr>
            </w:pPr>
            <w:r w:rsidRPr="00920C24">
              <w:rPr>
                <w:rFonts w:cs="Calibri"/>
                <w:i/>
                <w:sz w:val="24"/>
                <w:szCs w:val="24"/>
                <w:lang w:eastAsia="ar-SA"/>
              </w:rPr>
              <w:t xml:space="preserve">Контрольная </w:t>
            </w:r>
            <w:r w:rsidR="00917CDA">
              <w:rPr>
                <w:rFonts w:cs="Calibri"/>
                <w:i/>
                <w:sz w:val="24"/>
                <w:szCs w:val="24"/>
                <w:lang w:eastAsia="ar-SA"/>
              </w:rPr>
              <w:t>под</w:t>
            </w:r>
            <w:r w:rsidRPr="00920C24">
              <w:rPr>
                <w:rFonts w:cs="Calibri"/>
                <w:i/>
                <w:sz w:val="24"/>
                <w:szCs w:val="24"/>
                <w:lang w:eastAsia="ar-SA"/>
              </w:rPr>
              <w:t>группа № 4</w:t>
            </w:r>
            <w:r w:rsidRPr="00920C24">
              <w:rPr>
                <w:rFonts w:cs="Calibri"/>
                <w:i/>
                <w:sz w:val="24"/>
                <w:szCs w:val="24"/>
                <w:lang w:val="en-US" w:eastAsia="ar-SA"/>
              </w:rPr>
              <w:t xml:space="preserve"> (n=28)</w:t>
            </w:r>
          </w:p>
        </w:tc>
      </w:tr>
      <w:tr w:rsidR="00286780" w:rsidRPr="00920C24" w:rsidTr="00920C24">
        <w:trPr>
          <w:trHeight w:val="454"/>
        </w:trPr>
        <w:tc>
          <w:tcPr>
            <w:tcW w:w="360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Частота дыхательных движений (в 1 мин.)</w:t>
            </w:r>
          </w:p>
        </w:tc>
        <w:tc>
          <w:tcPr>
            <w:tcW w:w="1843"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highlight w:val="red"/>
                <w:lang w:eastAsia="ar-SA"/>
              </w:rPr>
            </w:pPr>
            <w:r>
              <w:rPr>
                <w:rFonts w:cs="Calibri"/>
                <w:sz w:val="24"/>
                <w:szCs w:val="24"/>
                <w:lang w:eastAsia="ar-SA"/>
              </w:rPr>
              <w:t>17</w:t>
            </w:r>
            <w:r w:rsidRPr="00920C24">
              <w:rPr>
                <w:rFonts w:cs="Calibri"/>
                <w:sz w:val="24"/>
                <w:szCs w:val="24"/>
                <w:lang w:val="en-US" w:eastAsia="ar-SA"/>
              </w:rPr>
              <w:t>[</w:t>
            </w:r>
            <w:r>
              <w:rPr>
                <w:rFonts w:cs="Calibri"/>
                <w:sz w:val="24"/>
                <w:szCs w:val="24"/>
                <w:lang w:eastAsia="ar-SA"/>
              </w:rPr>
              <w:t>17;</w:t>
            </w:r>
            <w:r w:rsidRPr="00920C24">
              <w:rPr>
                <w:rFonts w:cs="Calibri"/>
                <w:sz w:val="24"/>
                <w:szCs w:val="24"/>
                <w:lang w:eastAsia="ar-SA"/>
              </w:rPr>
              <w:t>18</w:t>
            </w:r>
            <w:r w:rsidRPr="00920C24">
              <w:rPr>
                <w:rFonts w:cs="Calibri"/>
                <w:sz w:val="24"/>
                <w:szCs w:val="24"/>
                <w:lang w:val="en-US" w:eastAsia="ar-SA"/>
              </w:rPr>
              <w:t>]</w:t>
            </w:r>
            <w:r w:rsidRPr="00920C24">
              <w:rPr>
                <w:rFonts w:cs="Calibri"/>
                <w:sz w:val="24"/>
                <w:szCs w:val="24"/>
                <w:lang w:eastAsia="ar-SA"/>
              </w:rPr>
              <w:t>*</w:t>
            </w:r>
          </w:p>
        </w:tc>
        <w:tc>
          <w:tcPr>
            <w:tcW w:w="212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highlight w:val="red"/>
                <w:lang w:eastAsia="ar-SA"/>
              </w:rPr>
            </w:pPr>
            <w:r>
              <w:rPr>
                <w:rFonts w:cs="Calibri"/>
                <w:sz w:val="24"/>
                <w:szCs w:val="24"/>
                <w:lang w:eastAsia="ar-SA"/>
              </w:rPr>
              <w:t>16</w:t>
            </w:r>
            <w:r w:rsidRPr="00920C24">
              <w:rPr>
                <w:rFonts w:cs="Calibri"/>
                <w:sz w:val="24"/>
                <w:szCs w:val="24"/>
                <w:lang w:val="en-US" w:eastAsia="ar-SA"/>
              </w:rPr>
              <w:t>[</w:t>
            </w:r>
            <w:r>
              <w:rPr>
                <w:rFonts w:cs="Calibri"/>
                <w:sz w:val="24"/>
                <w:szCs w:val="24"/>
                <w:lang w:eastAsia="ar-SA"/>
              </w:rPr>
              <w:t>16;</w:t>
            </w:r>
            <w:r w:rsidRPr="00920C24">
              <w:rPr>
                <w:rFonts w:cs="Calibri"/>
                <w:sz w:val="24"/>
                <w:szCs w:val="24"/>
                <w:lang w:eastAsia="ar-SA"/>
              </w:rPr>
              <w:t>16</w:t>
            </w:r>
            <w:r w:rsidRPr="00920C24">
              <w:rPr>
                <w:rFonts w:cs="Calibri"/>
                <w:sz w:val="24"/>
                <w:szCs w:val="24"/>
                <w:lang w:val="en-US" w:eastAsia="ar-SA"/>
              </w:rPr>
              <w:t>]</w:t>
            </w:r>
          </w:p>
        </w:tc>
        <w:tc>
          <w:tcPr>
            <w:tcW w:w="20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bCs/>
                <w:sz w:val="24"/>
                <w:szCs w:val="24"/>
                <w:lang w:eastAsia="ar-SA"/>
              </w:rPr>
            </w:pPr>
            <w:r>
              <w:rPr>
                <w:rFonts w:cs="Calibri"/>
                <w:bCs/>
                <w:sz w:val="24"/>
                <w:szCs w:val="24"/>
                <w:lang w:eastAsia="ar-SA"/>
              </w:rPr>
              <w:t>18</w:t>
            </w:r>
            <w:r w:rsidRPr="00920C24">
              <w:rPr>
                <w:rFonts w:cs="Calibri"/>
                <w:bCs/>
                <w:sz w:val="24"/>
                <w:szCs w:val="24"/>
                <w:lang w:val="en-US" w:eastAsia="ar-SA"/>
              </w:rPr>
              <w:t>[17</w:t>
            </w:r>
            <w:r>
              <w:rPr>
                <w:rFonts w:cs="Calibri"/>
                <w:bCs/>
                <w:sz w:val="24"/>
                <w:szCs w:val="24"/>
                <w:lang w:eastAsia="ar-SA"/>
              </w:rPr>
              <w:t>;</w:t>
            </w:r>
            <w:r w:rsidRPr="00920C24">
              <w:rPr>
                <w:rFonts w:cs="Calibri"/>
                <w:bCs/>
                <w:sz w:val="24"/>
                <w:szCs w:val="24"/>
                <w:lang w:val="en-US" w:eastAsia="ar-SA"/>
              </w:rPr>
              <w:t>18]</w:t>
            </w:r>
          </w:p>
        </w:tc>
      </w:tr>
      <w:tr w:rsidR="00286780" w:rsidRPr="00920C24" w:rsidTr="00920C24">
        <w:trPr>
          <w:trHeight w:val="454"/>
        </w:trPr>
        <w:tc>
          <w:tcPr>
            <w:tcW w:w="360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АД систолическое (мм рт. ст.)</w:t>
            </w:r>
          </w:p>
        </w:tc>
        <w:tc>
          <w:tcPr>
            <w:tcW w:w="1843"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highlight w:val="red"/>
                <w:lang w:eastAsia="ar-SA"/>
              </w:rPr>
            </w:pPr>
            <w:r>
              <w:rPr>
                <w:rFonts w:cs="Calibri"/>
                <w:sz w:val="24"/>
                <w:szCs w:val="24"/>
                <w:lang w:eastAsia="ar-SA"/>
              </w:rPr>
              <w:t>140</w:t>
            </w:r>
            <w:r w:rsidRPr="00920C24">
              <w:rPr>
                <w:rFonts w:cs="Calibri"/>
                <w:sz w:val="24"/>
                <w:szCs w:val="24"/>
                <w:lang w:val="en-US" w:eastAsia="ar-SA"/>
              </w:rPr>
              <w:t>[</w:t>
            </w:r>
            <w:r>
              <w:rPr>
                <w:rFonts w:cs="Calibri"/>
                <w:sz w:val="24"/>
                <w:szCs w:val="24"/>
                <w:lang w:eastAsia="ar-SA"/>
              </w:rPr>
              <w:t>120;</w:t>
            </w:r>
            <w:r w:rsidRPr="00920C24">
              <w:rPr>
                <w:rFonts w:cs="Calibri"/>
                <w:sz w:val="24"/>
                <w:szCs w:val="24"/>
                <w:lang w:eastAsia="ar-SA"/>
              </w:rPr>
              <w:t>155</w:t>
            </w:r>
            <w:r w:rsidRPr="00920C24">
              <w:rPr>
                <w:rFonts w:cs="Calibri"/>
                <w:sz w:val="24"/>
                <w:szCs w:val="24"/>
                <w:lang w:val="en-US" w:eastAsia="ar-SA"/>
              </w:rPr>
              <w:t>]</w:t>
            </w:r>
          </w:p>
        </w:tc>
        <w:tc>
          <w:tcPr>
            <w:tcW w:w="212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highlight w:val="red"/>
                <w:lang w:eastAsia="ar-SA"/>
              </w:rPr>
            </w:pPr>
            <w:r>
              <w:rPr>
                <w:rFonts w:cs="Calibri"/>
                <w:sz w:val="24"/>
                <w:szCs w:val="24"/>
                <w:lang w:eastAsia="ar-SA"/>
              </w:rPr>
              <w:t>130</w:t>
            </w:r>
            <w:r w:rsidRPr="00920C24">
              <w:rPr>
                <w:rFonts w:cs="Calibri"/>
                <w:sz w:val="24"/>
                <w:szCs w:val="24"/>
                <w:lang w:val="en-US" w:eastAsia="ar-SA"/>
              </w:rPr>
              <w:t>[</w:t>
            </w:r>
            <w:r>
              <w:rPr>
                <w:rFonts w:cs="Calibri"/>
                <w:sz w:val="24"/>
                <w:szCs w:val="24"/>
                <w:lang w:eastAsia="ar-SA"/>
              </w:rPr>
              <w:t>120;</w:t>
            </w:r>
            <w:r w:rsidRPr="00920C24">
              <w:rPr>
                <w:rFonts w:cs="Calibri"/>
                <w:sz w:val="24"/>
                <w:szCs w:val="24"/>
                <w:lang w:eastAsia="ar-SA"/>
              </w:rPr>
              <w:t>140</w:t>
            </w:r>
            <w:r w:rsidRPr="00920C24">
              <w:rPr>
                <w:rFonts w:cs="Calibri"/>
                <w:sz w:val="24"/>
                <w:szCs w:val="24"/>
                <w:lang w:val="en-US" w:eastAsia="ar-SA"/>
              </w:rPr>
              <w:t>]</w:t>
            </w:r>
          </w:p>
        </w:tc>
        <w:tc>
          <w:tcPr>
            <w:tcW w:w="20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bCs/>
                <w:sz w:val="24"/>
                <w:szCs w:val="24"/>
                <w:highlight w:val="red"/>
                <w:lang w:eastAsia="ar-SA"/>
              </w:rPr>
            </w:pPr>
            <w:r>
              <w:rPr>
                <w:rFonts w:cs="Calibri"/>
                <w:sz w:val="24"/>
                <w:szCs w:val="24"/>
                <w:lang w:eastAsia="ar-SA"/>
              </w:rPr>
              <w:t>130</w:t>
            </w:r>
            <w:r w:rsidRPr="00920C24">
              <w:rPr>
                <w:rFonts w:cs="Calibri"/>
                <w:sz w:val="24"/>
                <w:szCs w:val="24"/>
                <w:lang w:val="en-US" w:eastAsia="ar-SA"/>
              </w:rPr>
              <w:t>[</w:t>
            </w:r>
            <w:r>
              <w:rPr>
                <w:rFonts w:cs="Calibri"/>
                <w:sz w:val="24"/>
                <w:szCs w:val="24"/>
                <w:lang w:eastAsia="ar-SA"/>
              </w:rPr>
              <w:t>120;</w:t>
            </w:r>
            <w:r w:rsidRPr="00920C24">
              <w:rPr>
                <w:rFonts w:cs="Calibri"/>
                <w:sz w:val="24"/>
                <w:szCs w:val="24"/>
                <w:lang w:eastAsia="ar-SA"/>
              </w:rPr>
              <w:t>140</w:t>
            </w:r>
            <w:r w:rsidRPr="00920C24">
              <w:rPr>
                <w:rFonts w:cs="Calibri"/>
                <w:sz w:val="24"/>
                <w:szCs w:val="24"/>
                <w:lang w:val="en-US" w:eastAsia="ar-SA"/>
              </w:rPr>
              <w:t>]</w:t>
            </w:r>
          </w:p>
        </w:tc>
      </w:tr>
      <w:tr w:rsidR="00286780" w:rsidRPr="00920C24" w:rsidTr="00920C24">
        <w:trPr>
          <w:trHeight w:val="454"/>
        </w:trPr>
        <w:tc>
          <w:tcPr>
            <w:tcW w:w="360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АД диастолическое (мм рт. ст.)</w:t>
            </w:r>
          </w:p>
        </w:tc>
        <w:tc>
          <w:tcPr>
            <w:tcW w:w="1843"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highlight w:val="red"/>
                <w:lang w:eastAsia="ar-SA"/>
              </w:rPr>
            </w:pPr>
            <w:r>
              <w:rPr>
                <w:rFonts w:cs="Calibri"/>
                <w:sz w:val="24"/>
                <w:szCs w:val="24"/>
                <w:lang w:eastAsia="ar-SA"/>
              </w:rPr>
              <w:t>80</w:t>
            </w:r>
            <w:r w:rsidRPr="00920C24">
              <w:rPr>
                <w:rFonts w:cs="Calibri"/>
                <w:sz w:val="24"/>
                <w:szCs w:val="24"/>
                <w:lang w:val="en-US" w:eastAsia="ar-SA"/>
              </w:rPr>
              <w:t>[</w:t>
            </w:r>
            <w:r>
              <w:rPr>
                <w:rFonts w:cs="Calibri"/>
                <w:sz w:val="24"/>
                <w:szCs w:val="24"/>
                <w:lang w:eastAsia="ar-SA"/>
              </w:rPr>
              <w:t>70;</w:t>
            </w:r>
            <w:r w:rsidRPr="00920C24">
              <w:rPr>
                <w:rFonts w:cs="Calibri"/>
                <w:sz w:val="24"/>
                <w:szCs w:val="24"/>
                <w:lang w:eastAsia="ar-SA"/>
              </w:rPr>
              <w:t>90</w:t>
            </w:r>
            <w:r w:rsidRPr="00920C24">
              <w:rPr>
                <w:rFonts w:cs="Calibri"/>
                <w:sz w:val="24"/>
                <w:szCs w:val="24"/>
                <w:lang w:val="en-US" w:eastAsia="ar-SA"/>
              </w:rPr>
              <w:t>]</w:t>
            </w:r>
          </w:p>
        </w:tc>
        <w:tc>
          <w:tcPr>
            <w:tcW w:w="212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highlight w:val="red"/>
                <w:lang w:eastAsia="ar-SA"/>
              </w:rPr>
            </w:pPr>
            <w:r>
              <w:rPr>
                <w:rFonts w:cs="Calibri"/>
                <w:sz w:val="24"/>
                <w:szCs w:val="24"/>
                <w:lang w:eastAsia="ar-SA"/>
              </w:rPr>
              <w:t>80</w:t>
            </w:r>
            <w:r w:rsidRPr="00920C24">
              <w:rPr>
                <w:rFonts w:cs="Calibri"/>
                <w:sz w:val="24"/>
                <w:szCs w:val="24"/>
                <w:lang w:val="en-US" w:eastAsia="ar-SA"/>
              </w:rPr>
              <w:t>[</w:t>
            </w:r>
            <w:r>
              <w:rPr>
                <w:rFonts w:cs="Calibri"/>
                <w:sz w:val="24"/>
                <w:szCs w:val="24"/>
                <w:lang w:eastAsia="ar-SA"/>
              </w:rPr>
              <w:t>80;</w:t>
            </w:r>
            <w:r w:rsidRPr="00920C24">
              <w:rPr>
                <w:rFonts w:cs="Calibri"/>
                <w:sz w:val="24"/>
                <w:szCs w:val="24"/>
                <w:lang w:eastAsia="ar-SA"/>
              </w:rPr>
              <w:t>80</w:t>
            </w:r>
            <w:r w:rsidRPr="00920C24">
              <w:rPr>
                <w:rFonts w:cs="Calibri"/>
                <w:sz w:val="24"/>
                <w:szCs w:val="24"/>
                <w:lang w:val="en-US" w:eastAsia="ar-SA"/>
              </w:rPr>
              <w:t>]</w:t>
            </w:r>
          </w:p>
        </w:tc>
        <w:tc>
          <w:tcPr>
            <w:tcW w:w="20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bCs/>
                <w:sz w:val="24"/>
                <w:szCs w:val="24"/>
                <w:highlight w:val="red"/>
                <w:lang w:eastAsia="ar-SA"/>
              </w:rPr>
            </w:pPr>
            <w:r>
              <w:rPr>
                <w:rFonts w:cs="Calibri"/>
                <w:sz w:val="24"/>
                <w:szCs w:val="24"/>
                <w:lang w:eastAsia="ar-SA"/>
              </w:rPr>
              <w:t>80[80;</w:t>
            </w:r>
            <w:r w:rsidRPr="00920C24">
              <w:rPr>
                <w:rFonts w:cs="Calibri"/>
                <w:sz w:val="24"/>
                <w:szCs w:val="24"/>
                <w:lang w:eastAsia="ar-SA"/>
              </w:rPr>
              <w:t>90]</w:t>
            </w:r>
          </w:p>
        </w:tc>
      </w:tr>
      <w:tr w:rsidR="00286780" w:rsidRPr="00920C24" w:rsidTr="00920C24">
        <w:trPr>
          <w:trHeight w:val="454"/>
        </w:trPr>
        <w:tc>
          <w:tcPr>
            <w:tcW w:w="360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ЧСС (в 1 мин.)</w:t>
            </w:r>
          </w:p>
        </w:tc>
        <w:tc>
          <w:tcPr>
            <w:tcW w:w="1843"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eastAsia="ar-SA"/>
              </w:rPr>
            </w:pPr>
            <w:r>
              <w:rPr>
                <w:rFonts w:cs="Calibri"/>
                <w:sz w:val="24"/>
                <w:szCs w:val="24"/>
                <w:lang w:eastAsia="ar-SA"/>
              </w:rPr>
              <w:t>80</w:t>
            </w:r>
            <w:r w:rsidRPr="00920C24">
              <w:rPr>
                <w:rFonts w:cs="Calibri"/>
                <w:sz w:val="24"/>
                <w:szCs w:val="24"/>
                <w:lang w:val="en-US" w:eastAsia="ar-SA"/>
              </w:rPr>
              <w:t>[</w:t>
            </w:r>
            <w:r>
              <w:rPr>
                <w:rFonts w:cs="Calibri"/>
                <w:sz w:val="24"/>
                <w:szCs w:val="24"/>
                <w:lang w:eastAsia="ar-SA"/>
              </w:rPr>
              <w:t>77;</w:t>
            </w:r>
            <w:r w:rsidRPr="00920C24">
              <w:rPr>
                <w:rFonts w:cs="Calibri"/>
                <w:sz w:val="24"/>
                <w:szCs w:val="24"/>
                <w:lang w:eastAsia="ar-SA"/>
              </w:rPr>
              <w:t>85,5</w:t>
            </w:r>
            <w:r w:rsidRPr="00920C24">
              <w:rPr>
                <w:rFonts w:cs="Calibri"/>
                <w:sz w:val="24"/>
                <w:szCs w:val="24"/>
                <w:lang w:val="en-US" w:eastAsia="ar-SA"/>
              </w:rPr>
              <w:t>]</w:t>
            </w:r>
          </w:p>
        </w:tc>
        <w:tc>
          <w:tcPr>
            <w:tcW w:w="212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eastAsia="ar-SA"/>
              </w:rPr>
            </w:pPr>
            <w:r>
              <w:rPr>
                <w:rFonts w:cs="Calibri"/>
                <w:sz w:val="24"/>
                <w:szCs w:val="24"/>
                <w:lang w:eastAsia="ar-SA"/>
              </w:rPr>
              <w:t>79</w:t>
            </w:r>
            <w:r w:rsidRPr="00920C24">
              <w:rPr>
                <w:rFonts w:cs="Calibri"/>
                <w:sz w:val="24"/>
                <w:szCs w:val="24"/>
                <w:lang w:val="en-US" w:eastAsia="ar-SA"/>
              </w:rPr>
              <w:t>[</w:t>
            </w:r>
            <w:r>
              <w:rPr>
                <w:rFonts w:cs="Calibri"/>
                <w:sz w:val="24"/>
                <w:szCs w:val="24"/>
                <w:lang w:eastAsia="ar-SA"/>
              </w:rPr>
              <w:t>76;</w:t>
            </w:r>
            <w:r w:rsidRPr="00920C24">
              <w:rPr>
                <w:rFonts w:cs="Calibri"/>
                <w:sz w:val="24"/>
                <w:szCs w:val="24"/>
                <w:lang w:eastAsia="ar-SA"/>
              </w:rPr>
              <w:t>86</w:t>
            </w:r>
            <w:r w:rsidRPr="00920C24">
              <w:rPr>
                <w:rFonts w:cs="Calibri"/>
                <w:sz w:val="24"/>
                <w:szCs w:val="24"/>
                <w:lang w:val="en-US" w:eastAsia="ar-SA"/>
              </w:rPr>
              <w:t>]</w:t>
            </w:r>
          </w:p>
        </w:tc>
        <w:tc>
          <w:tcPr>
            <w:tcW w:w="20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bCs/>
                <w:sz w:val="24"/>
                <w:szCs w:val="24"/>
                <w:lang w:eastAsia="ar-SA"/>
              </w:rPr>
            </w:pPr>
            <w:r>
              <w:rPr>
                <w:rFonts w:cs="Calibri"/>
                <w:sz w:val="24"/>
                <w:szCs w:val="24"/>
                <w:lang w:eastAsia="ar-SA"/>
              </w:rPr>
              <w:t>78[72;</w:t>
            </w:r>
            <w:r w:rsidRPr="00920C24">
              <w:rPr>
                <w:rFonts w:cs="Calibri"/>
                <w:sz w:val="24"/>
                <w:szCs w:val="24"/>
                <w:lang w:eastAsia="ar-SA"/>
              </w:rPr>
              <w:t>80]</w:t>
            </w:r>
          </w:p>
        </w:tc>
      </w:tr>
      <w:tr w:rsidR="00286780" w:rsidRPr="00920C24" w:rsidTr="00920C24">
        <w:trPr>
          <w:trHeight w:val="454"/>
        </w:trPr>
        <w:tc>
          <w:tcPr>
            <w:tcW w:w="360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Эритроциты (×10</w:t>
            </w:r>
            <w:r w:rsidRPr="00920C24">
              <w:rPr>
                <w:rFonts w:cs="Calibri"/>
                <w:sz w:val="24"/>
                <w:szCs w:val="24"/>
                <w:vertAlign w:val="superscript"/>
                <w:lang w:eastAsia="ar-SA"/>
              </w:rPr>
              <w:t>12</w:t>
            </w:r>
            <w:r w:rsidRPr="00920C24">
              <w:rPr>
                <w:rFonts w:cs="Calibri"/>
                <w:sz w:val="24"/>
                <w:szCs w:val="24"/>
                <w:lang w:eastAsia="ar-SA"/>
              </w:rPr>
              <w:t>/л)</w:t>
            </w:r>
          </w:p>
        </w:tc>
        <w:tc>
          <w:tcPr>
            <w:tcW w:w="1843"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4,6±0,13</w:t>
            </w:r>
          </w:p>
        </w:tc>
        <w:tc>
          <w:tcPr>
            <w:tcW w:w="212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4,8±0,13</w:t>
            </w:r>
          </w:p>
        </w:tc>
        <w:tc>
          <w:tcPr>
            <w:tcW w:w="20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bCs/>
                <w:sz w:val="24"/>
                <w:szCs w:val="24"/>
                <w:lang w:eastAsia="ar-SA"/>
              </w:rPr>
            </w:pPr>
            <w:r w:rsidRPr="00920C24">
              <w:rPr>
                <w:rFonts w:cs="Calibri"/>
                <w:sz w:val="24"/>
                <w:szCs w:val="24"/>
                <w:lang w:eastAsia="ar-SA"/>
              </w:rPr>
              <w:t>4,6±</w:t>
            </w:r>
            <w:r w:rsidRPr="00920C24">
              <w:rPr>
                <w:rFonts w:cs="Calibri"/>
                <w:bCs/>
                <w:sz w:val="24"/>
                <w:szCs w:val="24"/>
                <w:lang w:eastAsia="ar-SA"/>
              </w:rPr>
              <w:t>0,08</w:t>
            </w:r>
          </w:p>
        </w:tc>
      </w:tr>
      <w:tr w:rsidR="00286780" w:rsidRPr="00920C24" w:rsidTr="00920C24">
        <w:trPr>
          <w:trHeight w:val="454"/>
        </w:trPr>
        <w:tc>
          <w:tcPr>
            <w:tcW w:w="360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Гемоглобин (г/л)</w:t>
            </w:r>
          </w:p>
        </w:tc>
        <w:tc>
          <w:tcPr>
            <w:tcW w:w="1843"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142,6±4,17</w:t>
            </w:r>
          </w:p>
        </w:tc>
        <w:tc>
          <w:tcPr>
            <w:tcW w:w="212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139,5±3,46</w:t>
            </w:r>
          </w:p>
        </w:tc>
        <w:tc>
          <w:tcPr>
            <w:tcW w:w="20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bCs/>
                <w:sz w:val="24"/>
                <w:szCs w:val="24"/>
                <w:lang w:eastAsia="ar-SA"/>
              </w:rPr>
            </w:pPr>
            <w:r w:rsidRPr="00920C24">
              <w:rPr>
                <w:rFonts w:cs="Calibri"/>
                <w:sz w:val="24"/>
                <w:szCs w:val="24"/>
                <w:lang w:eastAsia="ar-SA"/>
              </w:rPr>
              <w:t>140,5±</w:t>
            </w:r>
            <w:r w:rsidRPr="00920C24">
              <w:rPr>
                <w:rFonts w:cs="Calibri"/>
                <w:bCs/>
                <w:sz w:val="24"/>
                <w:szCs w:val="24"/>
                <w:lang w:eastAsia="ar-SA"/>
              </w:rPr>
              <w:t>2,59</w:t>
            </w:r>
          </w:p>
        </w:tc>
      </w:tr>
      <w:tr w:rsidR="00286780" w:rsidRPr="00920C24" w:rsidTr="00920C24">
        <w:trPr>
          <w:trHeight w:val="454"/>
        </w:trPr>
        <w:tc>
          <w:tcPr>
            <w:tcW w:w="360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Лейкоциты (×10</w:t>
            </w:r>
            <w:r w:rsidRPr="00920C24">
              <w:rPr>
                <w:rFonts w:cs="Calibri"/>
                <w:sz w:val="24"/>
                <w:szCs w:val="24"/>
                <w:vertAlign w:val="superscript"/>
                <w:lang w:eastAsia="ar-SA"/>
              </w:rPr>
              <w:t>9</w:t>
            </w:r>
            <w:r w:rsidRPr="00920C24">
              <w:rPr>
                <w:rFonts w:cs="Calibri"/>
                <w:sz w:val="24"/>
                <w:szCs w:val="24"/>
                <w:lang w:eastAsia="ar-SA"/>
              </w:rPr>
              <w:t>/л)</w:t>
            </w:r>
          </w:p>
        </w:tc>
        <w:tc>
          <w:tcPr>
            <w:tcW w:w="1843"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11,3±0,89*</w:t>
            </w:r>
          </w:p>
        </w:tc>
        <w:tc>
          <w:tcPr>
            <w:tcW w:w="212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7,05±0,33</w:t>
            </w:r>
          </w:p>
        </w:tc>
        <w:tc>
          <w:tcPr>
            <w:tcW w:w="20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bCs/>
                <w:sz w:val="24"/>
                <w:szCs w:val="24"/>
                <w:lang w:eastAsia="ar-SA"/>
              </w:rPr>
            </w:pPr>
            <w:r w:rsidRPr="00920C24">
              <w:rPr>
                <w:rFonts w:cs="Calibri"/>
                <w:sz w:val="24"/>
                <w:szCs w:val="24"/>
                <w:lang w:eastAsia="ar-SA"/>
              </w:rPr>
              <w:t>14,5±</w:t>
            </w:r>
            <w:r w:rsidRPr="00920C24">
              <w:rPr>
                <w:rFonts w:cs="Calibri"/>
                <w:bCs/>
                <w:sz w:val="24"/>
                <w:szCs w:val="24"/>
                <w:lang w:eastAsia="ar-SA"/>
              </w:rPr>
              <w:t>0,75</w:t>
            </w:r>
          </w:p>
        </w:tc>
      </w:tr>
      <w:tr w:rsidR="00286780" w:rsidRPr="00920C24" w:rsidTr="00920C24">
        <w:trPr>
          <w:trHeight w:val="454"/>
        </w:trPr>
        <w:tc>
          <w:tcPr>
            <w:tcW w:w="360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Лимфоциты (абс. в 1 мкл.)</w:t>
            </w:r>
          </w:p>
        </w:tc>
        <w:tc>
          <w:tcPr>
            <w:tcW w:w="1843"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2364,8±293,6</w:t>
            </w:r>
          </w:p>
        </w:tc>
        <w:tc>
          <w:tcPr>
            <w:tcW w:w="212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2314,3±274,8</w:t>
            </w:r>
          </w:p>
        </w:tc>
        <w:tc>
          <w:tcPr>
            <w:tcW w:w="20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1765,4±140,0</w:t>
            </w:r>
          </w:p>
        </w:tc>
      </w:tr>
      <w:tr w:rsidR="00286780" w:rsidRPr="00920C24" w:rsidTr="00920C24">
        <w:trPr>
          <w:trHeight w:val="454"/>
        </w:trPr>
        <w:tc>
          <w:tcPr>
            <w:tcW w:w="360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Фагоцитоз (%)</w:t>
            </w:r>
          </w:p>
        </w:tc>
        <w:tc>
          <w:tcPr>
            <w:tcW w:w="1843"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val="en-US" w:eastAsia="ar-SA"/>
              </w:rPr>
            </w:pPr>
            <w:r>
              <w:rPr>
                <w:rFonts w:cs="Calibri"/>
                <w:sz w:val="24"/>
                <w:szCs w:val="24"/>
                <w:lang w:eastAsia="ar-SA"/>
              </w:rPr>
              <w:t>63</w:t>
            </w:r>
            <w:r w:rsidRPr="00920C24">
              <w:rPr>
                <w:rFonts w:cs="Calibri"/>
                <w:sz w:val="24"/>
                <w:szCs w:val="24"/>
                <w:lang w:val="en-US" w:eastAsia="ar-SA"/>
              </w:rPr>
              <w:t>[</w:t>
            </w:r>
            <w:r>
              <w:rPr>
                <w:rFonts w:cs="Calibri"/>
                <w:sz w:val="24"/>
                <w:szCs w:val="24"/>
                <w:lang w:eastAsia="ar-SA"/>
              </w:rPr>
              <w:t>46;</w:t>
            </w:r>
            <w:r w:rsidRPr="00920C24">
              <w:rPr>
                <w:rFonts w:cs="Calibri"/>
                <w:sz w:val="24"/>
                <w:szCs w:val="24"/>
                <w:lang w:eastAsia="ar-SA"/>
              </w:rPr>
              <w:t>74,5</w:t>
            </w:r>
            <w:r w:rsidRPr="00920C24">
              <w:rPr>
                <w:rFonts w:cs="Calibri"/>
                <w:sz w:val="24"/>
                <w:szCs w:val="24"/>
                <w:lang w:val="en-US" w:eastAsia="ar-SA"/>
              </w:rPr>
              <w:t>]</w:t>
            </w:r>
          </w:p>
        </w:tc>
        <w:tc>
          <w:tcPr>
            <w:tcW w:w="212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val="en-US" w:eastAsia="ar-SA"/>
              </w:rPr>
            </w:pPr>
            <w:r>
              <w:rPr>
                <w:rFonts w:cs="Calibri"/>
                <w:sz w:val="24"/>
                <w:szCs w:val="24"/>
                <w:lang w:eastAsia="ar-SA"/>
              </w:rPr>
              <w:t>64</w:t>
            </w:r>
            <w:r w:rsidRPr="00920C24">
              <w:rPr>
                <w:rFonts w:cs="Calibri"/>
                <w:sz w:val="24"/>
                <w:szCs w:val="24"/>
                <w:lang w:val="en-US" w:eastAsia="ar-SA"/>
              </w:rPr>
              <w:t>[</w:t>
            </w:r>
            <w:r>
              <w:rPr>
                <w:rFonts w:cs="Calibri"/>
                <w:sz w:val="24"/>
                <w:szCs w:val="24"/>
                <w:lang w:eastAsia="ar-SA"/>
              </w:rPr>
              <w:t>46;</w:t>
            </w:r>
            <w:r w:rsidRPr="00920C24">
              <w:rPr>
                <w:rFonts w:cs="Calibri"/>
                <w:sz w:val="24"/>
                <w:szCs w:val="24"/>
                <w:lang w:eastAsia="ar-SA"/>
              </w:rPr>
              <w:t>78</w:t>
            </w:r>
            <w:r w:rsidRPr="00920C24">
              <w:rPr>
                <w:rFonts w:cs="Calibri"/>
                <w:sz w:val="24"/>
                <w:szCs w:val="24"/>
                <w:lang w:val="en-US" w:eastAsia="ar-SA"/>
              </w:rPr>
              <w:t>]</w:t>
            </w:r>
          </w:p>
        </w:tc>
        <w:tc>
          <w:tcPr>
            <w:tcW w:w="20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val="en-US" w:eastAsia="ar-SA"/>
              </w:rPr>
            </w:pPr>
            <w:r>
              <w:rPr>
                <w:rFonts w:cs="Calibri"/>
                <w:sz w:val="24"/>
                <w:szCs w:val="24"/>
                <w:lang w:eastAsia="ar-SA"/>
              </w:rPr>
              <w:t>63</w:t>
            </w:r>
            <w:r w:rsidRPr="00920C24">
              <w:rPr>
                <w:rFonts w:cs="Calibri"/>
                <w:sz w:val="24"/>
                <w:szCs w:val="24"/>
                <w:lang w:val="en-US" w:eastAsia="ar-SA"/>
              </w:rPr>
              <w:t>[</w:t>
            </w:r>
            <w:r>
              <w:rPr>
                <w:rFonts w:cs="Calibri"/>
                <w:sz w:val="24"/>
                <w:szCs w:val="24"/>
                <w:lang w:eastAsia="ar-SA"/>
              </w:rPr>
              <w:t>46;</w:t>
            </w:r>
            <w:r w:rsidRPr="00920C24">
              <w:rPr>
                <w:rFonts w:cs="Calibri"/>
                <w:sz w:val="24"/>
                <w:szCs w:val="24"/>
                <w:lang w:eastAsia="ar-SA"/>
              </w:rPr>
              <w:t>75</w:t>
            </w:r>
            <w:r w:rsidRPr="00920C24">
              <w:rPr>
                <w:rFonts w:cs="Calibri"/>
                <w:sz w:val="24"/>
                <w:szCs w:val="24"/>
                <w:lang w:val="en-US" w:eastAsia="ar-SA"/>
              </w:rPr>
              <w:t>]</w:t>
            </w:r>
          </w:p>
        </w:tc>
      </w:tr>
      <w:tr w:rsidR="00286780" w:rsidRPr="00920C24" w:rsidTr="00920C24">
        <w:trPr>
          <w:trHeight w:val="454"/>
        </w:trPr>
        <w:tc>
          <w:tcPr>
            <w:tcW w:w="360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z w:val="24"/>
                <w:szCs w:val="24"/>
                <w:lang w:eastAsia="ar-SA"/>
              </w:rPr>
            </w:pPr>
            <w:r>
              <w:rPr>
                <w:rFonts w:cs="Calibri"/>
                <w:sz w:val="24"/>
                <w:szCs w:val="24"/>
                <w:lang w:eastAsia="ar-SA"/>
              </w:rPr>
              <w:t>ЛИИ (усл. ед.)</w:t>
            </w:r>
          </w:p>
        </w:tc>
        <w:tc>
          <w:tcPr>
            <w:tcW w:w="1843"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eastAsia="ar-SA"/>
              </w:rPr>
            </w:pPr>
            <w:r>
              <w:rPr>
                <w:rFonts w:cs="Calibri"/>
                <w:sz w:val="24"/>
                <w:szCs w:val="24"/>
                <w:lang w:eastAsia="ar-SA"/>
              </w:rPr>
              <w:t>3,49</w:t>
            </w:r>
            <w:r>
              <w:rPr>
                <w:sz w:val="24"/>
                <w:szCs w:val="24"/>
                <w:lang w:eastAsia="ar-SA"/>
              </w:rPr>
              <w:t>±</w:t>
            </w:r>
            <w:r>
              <w:rPr>
                <w:rFonts w:cs="Calibri"/>
                <w:sz w:val="24"/>
                <w:szCs w:val="24"/>
                <w:lang w:eastAsia="ar-SA"/>
              </w:rPr>
              <w:t>0,27*</w:t>
            </w:r>
          </w:p>
        </w:tc>
        <w:tc>
          <w:tcPr>
            <w:tcW w:w="212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eastAsia="ar-SA"/>
              </w:rPr>
            </w:pPr>
            <w:r>
              <w:rPr>
                <w:rFonts w:cs="Calibri"/>
                <w:sz w:val="24"/>
                <w:szCs w:val="24"/>
                <w:lang w:eastAsia="ar-SA"/>
              </w:rPr>
              <w:t>3,1</w:t>
            </w:r>
            <w:r>
              <w:rPr>
                <w:sz w:val="24"/>
                <w:szCs w:val="24"/>
                <w:lang w:eastAsia="ar-SA"/>
              </w:rPr>
              <w:t>±</w:t>
            </w:r>
            <w:r>
              <w:rPr>
                <w:rFonts w:cs="Calibri"/>
                <w:sz w:val="24"/>
                <w:szCs w:val="24"/>
                <w:lang w:eastAsia="ar-SA"/>
              </w:rPr>
              <w:t>0,96</w:t>
            </w:r>
          </w:p>
        </w:tc>
        <w:tc>
          <w:tcPr>
            <w:tcW w:w="20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160537">
            <w:pPr>
              <w:snapToGrid w:val="0"/>
              <w:ind w:firstLine="5"/>
              <w:jc w:val="center"/>
              <w:rPr>
                <w:rFonts w:cs="Calibri"/>
                <w:sz w:val="24"/>
                <w:szCs w:val="24"/>
                <w:lang w:eastAsia="ar-SA"/>
              </w:rPr>
            </w:pPr>
            <w:r>
              <w:rPr>
                <w:rStyle w:val="afffffffffff8"/>
                <w:sz w:val="24"/>
                <w:szCs w:val="24"/>
              </w:rPr>
              <w:t>3,6±0,77</w:t>
            </w:r>
          </w:p>
        </w:tc>
      </w:tr>
      <w:tr w:rsidR="00286780" w:rsidRPr="00920C24" w:rsidTr="00920C24">
        <w:trPr>
          <w:trHeight w:val="454"/>
        </w:trPr>
        <w:tc>
          <w:tcPr>
            <w:tcW w:w="360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Тромбоциты (в 1 мкл.)</w:t>
            </w:r>
          </w:p>
        </w:tc>
        <w:tc>
          <w:tcPr>
            <w:tcW w:w="1843"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highlight w:val="red"/>
                <w:lang w:eastAsia="ar-SA"/>
              </w:rPr>
            </w:pPr>
            <w:r>
              <w:rPr>
                <w:rFonts w:cs="Calibri"/>
                <w:sz w:val="24"/>
                <w:szCs w:val="24"/>
                <w:lang w:eastAsia="ar-SA"/>
              </w:rPr>
              <w:t>266</w:t>
            </w:r>
            <w:r w:rsidRPr="00AB7AE4">
              <w:rPr>
                <w:rFonts w:cs="Calibri"/>
                <w:sz w:val="24"/>
                <w:szCs w:val="24"/>
                <w:lang w:eastAsia="ar-SA"/>
              </w:rPr>
              <w:t>[</w:t>
            </w:r>
            <w:r>
              <w:rPr>
                <w:rFonts w:cs="Calibri"/>
                <w:sz w:val="24"/>
                <w:szCs w:val="24"/>
                <w:lang w:eastAsia="ar-SA"/>
              </w:rPr>
              <w:t>277;</w:t>
            </w:r>
            <w:r w:rsidRPr="00920C24">
              <w:rPr>
                <w:rFonts w:cs="Calibri"/>
                <w:sz w:val="24"/>
                <w:szCs w:val="24"/>
                <w:lang w:eastAsia="ar-SA"/>
              </w:rPr>
              <w:t>364</w:t>
            </w:r>
            <w:r w:rsidRPr="00AB7AE4">
              <w:rPr>
                <w:rFonts w:cs="Calibri"/>
                <w:sz w:val="24"/>
                <w:szCs w:val="24"/>
                <w:lang w:eastAsia="ar-SA"/>
              </w:rPr>
              <w:t>]</w:t>
            </w:r>
          </w:p>
        </w:tc>
        <w:tc>
          <w:tcPr>
            <w:tcW w:w="212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highlight w:val="red"/>
                <w:lang w:eastAsia="ar-SA"/>
              </w:rPr>
            </w:pPr>
            <w:r>
              <w:rPr>
                <w:rFonts w:cs="Calibri"/>
                <w:sz w:val="24"/>
                <w:szCs w:val="24"/>
                <w:lang w:eastAsia="ar-SA"/>
              </w:rPr>
              <w:t>253</w:t>
            </w:r>
            <w:r w:rsidRPr="00AB7AE4">
              <w:rPr>
                <w:rFonts w:cs="Calibri"/>
                <w:sz w:val="24"/>
                <w:szCs w:val="24"/>
                <w:lang w:eastAsia="ar-SA"/>
              </w:rPr>
              <w:t>[</w:t>
            </w:r>
            <w:r>
              <w:rPr>
                <w:rFonts w:cs="Calibri"/>
                <w:sz w:val="24"/>
                <w:szCs w:val="24"/>
                <w:lang w:eastAsia="ar-SA"/>
              </w:rPr>
              <w:t>213;</w:t>
            </w:r>
            <w:r w:rsidRPr="00920C24">
              <w:rPr>
                <w:rFonts w:cs="Calibri"/>
                <w:sz w:val="24"/>
                <w:szCs w:val="24"/>
                <w:lang w:eastAsia="ar-SA"/>
              </w:rPr>
              <w:t>309</w:t>
            </w:r>
            <w:r w:rsidRPr="00AB7AE4">
              <w:rPr>
                <w:rFonts w:cs="Calibri"/>
                <w:sz w:val="24"/>
                <w:szCs w:val="24"/>
                <w:lang w:eastAsia="ar-SA"/>
              </w:rPr>
              <w:t>]</w:t>
            </w:r>
          </w:p>
        </w:tc>
        <w:tc>
          <w:tcPr>
            <w:tcW w:w="20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AB7AE4" w:rsidRDefault="00286780" w:rsidP="00920C24">
            <w:pPr>
              <w:snapToGrid w:val="0"/>
              <w:jc w:val="center"/>
              <w:rPr>
                <w:rFonts w:cs="Calibri"/>
                <w:sz w:val="24"/>
                <w:szCs w:val="24"/>
                <w:lang w:eastAsia="ar-SA"/>
              </w:rPr>
            </w:pPr>
            <w:r>
              <w:rPr>
                <w:rFonts w:cs="Calibri"/>
                <w:sz w:val="24"/>
                <w:szCs w:val="24"/>
                <w:lang w:eastAsia="ar-SA"/>
              </w:rPr>
              <w:t>239,5</w:t>
            </w:r>
            <w:r w:rsidRPr="00AB7AE4">
              <w:rPr>
                <w:rFonts w:cs="Calibri"/>
                <w:sz w:val="24"/>
                <w:szCs w:val="24"/>
                <w:lang w:eastAsia="ar-SA"/>
              </w:rPr>
              <w:t>[</w:t>
            </w:r>
            <w:r>
              <w:rPr>
                <w:rFonts w:cs="Calibri"/>
                <w:sz w:val="24"/>
                <w:szCs w:val="24"/>
                <w:lang w:eastAsia="ar-SA"/>
              </w:rPr>
              <w:t>222;</w:t>
            </w:r>
            <w:r w:rsidRPr="00920C24">
              <w:rPr>
                <w:rFonts w:cs="Calibri"/>
                <w:sz w:val="24"/>
                <w:szCs w:val="24"/>
                <w:lang w:eastAsia="ar-SA"/>
              </w:rPr>
              <w:t>288</w:t>
            </w:r>
            <w:r w:rsidRPr="00AB7AE4">
              <w:rPr>
                <w:rFonts w:cs="Calibri"/>
                <w:sz w:val="24"/>
                <w:szCs w:val="24"/>
                <w:lang w:eastAsia="ar-SA"/>
              </w:rPr>
              <w:t>]</w:t>
            </w:r>
          </w:p>
        </w:tc>
      </w:tr>
      <w:tr w:rsidR="00286780" w:rsidRPr="00920C24" w:rsidTr="00920C24">
        <w:trPr>
          <w:trHeight w:val="454"/>
        </w:trPr>
        <w:tc>
          <w:tcPr>
            <w:tcW w:w="360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СОЭ (мм/ч)</w:t>
            </w:r>
          </w:p>
        </w:tc>
        <w:tc>
          <w:tcPr>
            <w:tcW w:w="1843"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highlight w:val="red"/>
                <w:lang w:eastAsia="ar-SA"/>
              </w:rPr>
            </w:pPr>
            <w:r>
              <w:rPr>
                <w:rFonts w:cs="Calibri"/>
                <w:sz w:val="24"/>
                <w:szCs w:val="24"/>
                <w:lang w:eastAsia="ar-SA"/>
              </w:rPr>
              <w:t>14,5</w:t>
            </w:r>
            <w:r w:rsidRPr="00AB7AE4">
              <w:rPr>
                <w:rFonts w:cs="Calibri"/>
                <w:sz w:val="24"/>
                <w:szCs w:val="24"/>
                <w:lang w:eastAsia="ar-SA"/>
              </w:rPr>
              <w:t>[</w:t>
            </w:r>
            <w:r>
              <w:rPr>
                <w:rFonts w:cs="Calibri"/>
                <w:sz w:val="24"/>
                <w:szCs w:val="24"/>
                <w:lang w:eastAsia="ar-SA"/>
              </w:rPr>
              <w:t>7;</w:t>
            </w:r>
            <w:r w:rsidRPr="00920C24">
              <w:rPr>
                <w:rFonts w:cs="Calibri"/>
                <w:sz w:val="24"/>
                <w:szCs w:val="24"/>
                <w:lang w:eastAsia="ar-SA"/>
              </w:rPr>
              <w:t>31</w:t>
            </w:r>
            <w:r w:rsidRPr="00AB7AE4">
              <w:rPr>
                <w:rFonts w:cs="Calibri"/>
                <w:sz w:val="24"/>
                <w:szCs w:val="24"/>
                <w:lang w:eastAsia="ar-SA"/>
              </w:rPr>
              <w:t>]</w:t>
            </w:r>
          </w:p>
        </w:tc>
        <w:tc>
          <w:tcPr>
            <w:tcW w:w="212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highlight w:val="red"/>
                <w:lang w:eastAsia="ar-SA"/>
              </w:rPr>
            </w:pPr>
            <w:r>
              <w:rPr>
                <w:rFonts w:cs="Calibri"/>
                <w:sz w:val="24"/>
                <w:szCs w:val="24"/>
                <w:lang w:eastAsia="ar-SA"/>
              </w:rPr>
              <w:t>15</w:t>
            </w:r>
            <w:r w:rsidRPr="00AB7AE4">
              <w:rPr>
                <w:rFonts w:cs="Calibri"/>
                <w:sz w:val="24"/>
                <w:szCs w:val="24"/>
                <w:lang w:eastAsia="ar-SA"/>
              </w:rPr>
              <w:t>[</w:t>
            </w:r>
            <w:r>
              <w:rPr>
                <w:rFonts w:cs="Calibri"/>
                <w:sz w:val="24"/>
                <w:szCs w:val="24"/>
                <w:lang w:eastAsia="ar-SA"/>
              </w:rPr>
              <w:t>8;</w:t>
            </w:r>
            <w:r w:rsidRPr="00920C24">
              <w:rPr>
                <w:rFonts w:cs="Calibri"/>
                <w:sz w:val="24"/>
                <w:szCs w:val="24"/>
                <w:lang w:eastAsia="ar-SA"/>
              </w:rPr>
              <w:t>19</w:t>
            </w:r>
            <w:r w:rsidRPr="00920C24">
              <w:rPr>
                <w:rFonts w:cs="Calibri"/>
                <w:sz w:val="24"/>
                <w:szCs w:val="24"/>
                <w:lang w:val="en-US" w:eastAsia="ar-SA"/>
              </w:rPr>
              <w:t>]</w:t>
            </w:r>
          </w:p>
        </w:tc>
        <w:tc>
          <w:tcPr>
            <w:tcW w:w="20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val="en-US" w:eastAsia="ar-SA"/>
              </w:rPr>
            </w:pPr>
            <w:r>
              <w:rPr>
                <w:rFonts w:cs="Calibri"/>
                <w:sz w:val="24"/>
                <w:szCs w:val="24"/>
                <w:lang w:eastAsia="ar-SA"/>
              </w:rPr>
              <w:t>17,5</w:t>
            </w:r>
            <w:r w:rsidRPr="00920C24">
              <w:rPr>
                <w:rFonts w:cs="Calibri"/>
                <w:sz w:val="24"/>
                <w:szCs w:val="24"/>
                <w:lang w:val="en-US" w:eastAsia="ar-SA"/>
              </w:rPr>
              <w:t>[9</w:t>
            </w:r>
            <w:r>
              <w:rPr>
                <w:rFonts w:cs="Calibri"/>
                <w:sz w:val="24"/>
                <w:szCs w:val="24"/>
                <w:lang w:eastAsia="ar-SA"/>
              </w:rPr>
              <w:t>;</w:t>
            </w:r>
            <w:r w:rsidRPr="00920C24">
              <w:rPr>
                <w:rFonts w:cs="Calibri"/>
                <w:sz w:val="24"/>
                <w:szCs w:val="24"/>
                <w:lang w:val="en-US" w:eastAsia="ar-SA"/>
              </w:rPr>
              <w:t>26]</w:t>
            </w:r>
          </w:p>
        </w:tc>
      </w:tr>
      <w:tr w:rsidR="00286780" w:rsidRPr="00920C24" w:rsidTr="00920C24">
        <w:trPr>
          <w:trHeight w:val="454"/>
        </w:trPr>
        <w:tc>
          <w:tcPr>
            <w:tcW w:w="360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Общий белок (г/л)</w:t>
            </w:r>
          </w:p>
        </w:tc>
        <w:tc>
          <w:tcPr>
            <w:tcW w:w="1843"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70,8±7,1</w:t>
            </w:r>
          </w:p>
        </w:tc>
        <w:tc>
          <w:tcPr>
            <w:tcW w:w="212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70,0±2,79</w:t>
            </w:r>
          </w:p>
        </w:tc>
        <w:tc>
          <w:tcPr>
            <w:tcW w:w="20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eastAsia="ar-SA"/>
              </w:rPr>
            </w:pPr>
            <w:r w:rsidRPr="00920C24">
              <w:rPr>
                <w:rFonts w:cs="Calibri"/>
                <w:sz w:val="24"/>
                <w:szCs w:val="24"/>
                <w:lang w:eastAsia="ar-SA"/>
              </w:rPr>
              <w:t>76,3±2,39</w:t>
            </w:r>
          </w:p>
        </w:tc>
      </w:tr>
      <w:tr w:rsidR="00286780" w:rsidRPr="00920C24" w:rsidTr="00920C24">
        <w:trPr>
          <w:trHeight w:val="454"/>
        </w:trPr>
        <w:tc>
          <w:tcPr>
            <w:tcW w:w="360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Билирубин общий (мкмоль/л)</w:t>
            </w:r>
          </w:p>
        </w:tc>
        <w:tc>
          <w:tcPr>
            <w:tcW w:w="1843"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highlight w:val="red"/>
                <w:lang w:eastAsia="ar-SA"/>
              </w:rPr>
            </w:pPr>
            <w:r>
              <w:rPr>
                <w:rFonts w:cs="Calibri"/>
                <w:sz w:val="24"/>
                <w:szCs w:val="24"/>
                <w:lang w:eastAsia="ar-SA"/>
              </w:rPr>
              <w:t>12,8</w:t>
            </w:r>
            <w:r w:rsidRPr="00920C24">
              <w:rPr>
                <w:rFonts w:cs="Calibri"/>
                <w:sz w:val="24"/>
                <w:szCs w:val="24"/>
                <w:lang w:val="en-US" w:eastAsia="ar-SA"/>
              </w:rPr>
              <w:t>[</w:t>
            </w:r>
            <w:r>
              <w:rPr>
                <w:rFonts w:cs="Calibri"/>
                <w:sz w:val="24"/>
                <w:szCs w:val="24"/>
                <w:lang w:eastAsia="ar-SA"/>
              </w:rPr>
              <w:t>11,5;</w:t>
            </w:r>
            <w:r w:rsidRPr="00920C24">
              <w:rPr>
                <w:rFonts w:cs="Calibri"/>
                <w:sz w:val="24"/>
                <w:szCs w:val="24"/>
                <w:lang w:eastAsia="ar-SA"/>
              </w:rPr>
              <w:t>19,6</w:t>
            </w:r>
            <w:r w:rsidRPr="00920C24">
              <w:rPr>
                <w:rFonts w:cs="Calibri"/>
                <w:sz w:val="24"/>
                <w:szCs w:val="24"/>
                <w:lang w:val="en-US" w:eastAsia="ar-SA"/>
              </w:rPr>
              <w:t>]</w:t>
            </w:r>
          </w:p>
        </w:tc>
        <w:tc>
          <w:tcPr>
            <w:tcW w:w="212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highlight w:val="red"/>
                <w:lang w:val="en-US" w:eastAsia="ar-SA"/>
              </w:rPr>
            </w:pPr>
            <w:r>
              <w:rPr>
                <w:rFonts w:cs="Calibri"/>
                <w:sz w:val="24"/>
                <w:szCs w:val="24"/>
                <w:lang w:eastAsia="ar-SA"/>
              </w:rPr>
              <w:t>14,2</w:t>
            </w:r>
            <w:r w:rsidRPr="00920C24">
              <w:rPr>
                <w:rFonts w:cs="Calibri"/>
                <w:sz w:val="24"/>
                <w:szCs w:val="24"/>
                <w:lang w:val="en-US" w:eastAsia="ar-SA"/>
              </w:rPr>
              <w:t>[12</w:t>
            </w:r>
            <w:r>
              <w:rPr>
                <w:rFonts w:cs="Calibri"/>
                <w:sz w:val="24"/>
                <w:szCs w:val="24"/>
                <w:lang w:eastAsia="ar-SA"/>
              </w:rPr>
              <w:t>;</w:t>
            </w:r>
            <w:r w:rsidRPr="00920C24">
              <w:rPr>
                <w:rFonts w:cs="Calibri"/>
                <w:sz w:val="24"/>
                <w:szCs w:val="24"/>
                <w:lang w:eastAsia="ar-SA"/>
              </w:rPr>
              <w:t>16,95</w:t>
            </w:r>
            <w:r w:rsidRPr="00920C24">
              <w:rPr>
                <w:rFonts w:cs="Calibri"/>
                <w:sz w:val="24"/>
                <w:szCs w:val="24"/>
                <w:lang w:val="en-US" w:eastAsia="ar-SA"/>
              </w:rPr>
              <w:t>]</w:t>
            </w:r>
          </w:p>
        </w:tc>
        <w:tc>
          <w:tcPr>
            <w:tcW w:w="20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val="en-US" w:eastAsia="ar-SA"/>
              </w:rPr>
            </w:pPr>
            <w:r>
              <w:rPr>
                <w:rFonts w:cs="Calibri"/>
                <w:sz w:val="24"/>
                <w:szCs w:val="24"/>
                <w:lang w:eastAsia="ar-SA"/>
              </w:rPr>
              <w:t>16,1</w:t>
            </w:r>
            <w:r w:rsidRPr="00920C24">
              <w:rPr>
                <w:rFonts w:cs="Calibri"/>
                <w:sz w:val="24"/>
                <w:szCs w:val="24"/>
                <w:lang w:val="en-US" w:eastAsia="ar-SA"/>
              </w:rPr>
              <w:t>[</w:t>
            </w:r>
            <w:r>
              <w:rPr>
                <w:rFonts w:cs="Calibri"/>
                <w:sz w:val="24"/>
                <w:szCs w:val="24"/>
                <w:lang w:eastAsia="ar-SA"/>
              </w:rPr>
              <w:t>16,1;</w:t>
            </w:r>
            <w:r w:rsidRPr="00920C24">
              <w:rPr>
                <w:rFonts w:cs="Calibri"/>
                <w:sz w:val="24"/>
                <w:szCs w:val="24"/>
                <w:lang w:eastAsia="ar-SA"/>
              </w:rPr>
              <w:t>27,3</w:t>
            </w:r>
            <w:r w:rsidRPr="00920C24">
              <w:rPr>
                <w:rFonts w:cs="Calibri"/>
                <w:sz w:val="24"/>
                <w:szCs w:val="24"/>
                <w:lang w:val="en-US" w:eastAsia="ar-SA"/>
              </w:rPr>
              <w:t>]</w:t>
            </w:r>
          </w:p>
        </w:tc>
      </w:tr>
      <w:tr w:rsidR="00286780" w:rsidRPr="00920C24" w:rsidTr="00920C24">
        <w:trPr>
          <w:trHeight w:val="454"/>
        </w:trPr>
        <w:tc>
          <w:tcPr>
            <w:tcW w:w="360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Мочевина (ммоль/л)</w:t>
            </w:r>
          </w:p>
        </w:tc>
        <w:tc>
          <w:tcPr>
            <w:tcW w:w="1843"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highlight w:val="red"/>
                <w:lang w:eastAsia="ar-SA"/>
              </w:rPr>
            </w:pPr>
            <w:r>
              <w:rPr>
                <w:rFonts w:cs="Calibri"/>
                <w:sz w:val="24"/>
                <w:szCs w:val="24"/>
                <w:lang w:eastAsia="ar-SA"/>
              </w:rPr>
              <w:t>7,16</w:t>
            </w:r>
            <w:r w:rsidRPr="00920C24">
              <w:rPr>
                <w:rFonts w:cs="Calibri"/>
                <w:sz w:val="24"/>
                <w:szCs w:val="24"/>
                <w:lang w:val="en-US" w:eastAsia="ar-SA"/>
              </w:rPr>
              <w:t>[</w:t>
            </w:r>
            <w:r>
              <w:rPr>
                <w:rFonts w:cs="Calibri"/>
                <w:sz w:val="24"/>
                <w:szCs w:val="24"/>
                <w:lang w:eastAsia="ar-SA"/>
              </w:rPr>
              <w:t>6,48;</w:t>
            </w:r>
            <w:r w:rsidRPr="00920C24">
              <w:rPr>
                <w:rFonts w:cs="Calibri"/>
                <w:sz w:val="24"/>
                <w:szCs w:val="24"/>
                <w:lang w:eastAsia="ar-SA"/>
              </w:rPr>
              <w:t>7,97</w:t>
            </w:r>
            <w:r w:rsidRPr="00920C24">
              <w:rPr>
                <w:rFonts w:cs="Calibri"/>
                <w:sz w:val="24"/>
                <w:szCs w:val="24"/>
                <w:lang w:val="en-US" w:eastAsia="ar-SA"/>
              </w:rPr>
              <w:t>]</w:t>
            </w:r>
          </w:p>
        </w:tc>
        <w:tc>
          <w:tcPr>
            <w:tcW w:w="212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highlight w:val="red"/>
                <w:lang w:eastAsia="ar-SA"/>
              </w:rPr>
            </w:pPr>
            <w:r>
              <w:rPr>
                <w:rFonts w:cs="Calibri"/>
                <w:sz w:val="24"/>
                <w:szCs w:val="24"/>
                <w:lang w:eastAsia="ar-SA"/>
              </w:rPr>
              <w:t>6,54</w:t>
            </w:r>
            <w:r w:rsidRPr="00920C24">
              <w:rPr>
                <w:rFonts w:cs="Calibri"/>
                <w:sz w:val="24"/>
                <w:szCs w:val="24"/>
                <w:lang w:val="en-US" w:eastAsia="ar-SA"/>
              </w:rPr>
              <w:t>[</w:t>
            </w:r>
            <w:r>
              <w:rPr>
                <w:rFonts w:cs="Calibri"/>
                <w:sz w:val="24"/>
                <w:szCs w:val="24"/>
                <w:lang w:eastAsia="ar-SA"/>
              </w:rPr>
              <w:t>6,01;</w:t>
            </w:r>
            <w:r w:rsidRPr="00920C24">
              <w:rPr>
                <w:rFonts w:cs="Calibri"/>
                <w:sz w:val="24"/>
                <w:szCs w:val="24"/>
                <w:lang w:eastAsia="ar-SA"/>
              </w:rPr>
              <w:t>7,01</w:t>
            </w:r>
            <w:r w:rsidRPr="00920C24">
              <w:rPr>
                <w:rFonts w:cs="Calibri"/>
                <w:sz w:val="24"/>
                <w:szCs w:val="24"/>
                <w:lang w:val="en-US" w:eastAsia="ar-SA"/>
              </w:rPr>
              <w:t>]</w:t>
            </w:r>
          </w:p>
        </w:tc>
        <w:tc>
          <w:tcPr>
            <w:tcW w:w="20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671AAF">
            <w:pPr>
              <w:snapToGrid w:val="0"/>
              <w:jc w:val="center"/>
              <w:rPr>
                <w:rFonts w:cs="Calibri"/>
                <w:sz w:val="24"/>
                <w:szCs w:val="24"/>
                <w:lang w:eastAsia="ar-SA"/>
              </w:rPr>
            </w:pPr>
            <w:r>
              <w:rPr>
                <w:rFonts w:cs="Calibri"/>
                <w:sz w:val="24"/>
                <w:szCs w:val="24"/>
                <w:lang w:eastAsia="ar-SA"/>
              </w:rPr>
              <w:t>7,29</w:t>
            </w:r>
            <w:r w:rsidRPr="00920C24">
              <w:rPr>
                <w:rFonts w:cs="Calibri"/>
                <w:sz w:val="24"/>
                <w:szCs w:val="24"/>
                <w:lang w:val="en-US" w:eastAsia="ar-SA"/>
              </w:rPr>
              <w:t>[</w:t>
            </w:r>
            <w:r>
              <w:rPr>
                <w:rFonts w:cs="Calibri"/>
                <w:sz w:val="24"/>
                <w:szCs w:val="24"/>
                <w:lang w:eastAsia="ar-SA"/>
              </w:rPr>
              <w:t>4,7;</w:t>
            </w:r>
            <w:r w:rsidRPr="00920C24">
              <w:rPr>
                <w:rFonts w:cs="Calibri"/>
                <w:sz w:val="24"/>
                <w:szCs w:val="24"/>
                <w:lang w:eastAsia="ar-SA"/>
              </w:rPr>
              <w:t>10,6</w:t>
            </w:r>
            <w:r w:rsidRPr="00920C24">
              <w:rPr>
                <w:rFonts w:cs="Calibri"/>
                <w:sz w:val="24"/>
                <w:szCs w:val="24"/>
                <w:lang w:val="en-US" w:eastAsia="ar-SA"/>
              </w:rPr>
              <w:t>]</w:t>
            </w:r>
          </w:p>
        </w:tc>
      </w:tr>
      <w:tr w:rsidR="00286780" w:rsidRPr="00920C24" w:rsidTr="00920C24">
        <w:trPr>
          <w:trHeight w:val="454"/>
        </w:trPr>
        <w:tc>
          <w:tcPr>
            <w:tcW w:w="360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 xml:space="preserve">Креатинин (мкмоль/л) </w:t>
            </w:r>
          </w:p>
        </w:tc>
        <w:tc>
          <w:tcPr>
            <w:tcW w:w="1843"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val="en-US" w:eastAsia="ar-SA"/>
              </w:rPr>
            </w:pPr>
            <w:r>
              <w:rPr>
                <w:rFonts w:cs="Calibri"/>
                <w:sz w:val="24"/>
                <w:szCs w:val="24"/>
                <w:lang w:eastAsia="ar-SA"/>
              </w:rPr>
              <w:t>80,2</w:t>
            </w:r>
            <w:r w:rsidRPr="00920C24">
              <w:rPr>
                <w:rFonts w:cs="Calibri"/>
                <w:sz w:val="24"/>
                <w:szCs w:val="24"/>
                <w:lang w:val="en-US" w:eastAsia="ar-SA"/>
              </w:rPr>
              <w:t>[</w:t>
            </w:r>
            <w:r>
              <w:rPr>
                <w:rFonts w:cs="Calibri"/>
                <w:sz w:val="24"/>
                <w:szCs w:val="24"/>
                <w:lang w:eastAsia="ar-SA"/>
              </w:rPr>
              <w:t>67,1;</w:t>
            </w:r>
            <w:r w:rsidRPr="00920C24">
              <w:rPr>
                <w:rFonts w:cs="Calibri"/>
                <w:sz w:val="24"/>
                <w:szCs w:val="24"/>
                <w:lang w:eastAsia="ar-SA"/>
              </w:rPr>
              <w:t>93,3</w:t>
            </w:r>
            <w:r w:rsidRPr="00920C24">
              <w:rPr>
                <w:rFonts w:cs="Calibri"/>
                <w:sz w:val="24"/>
                <w:szCs w:val="24"/>
                <w:lang w:val="en-US" w:eastAsia="ar-SA"/>
              </w:rPr>
              <w:t>]</w:t>
            </w:r>
          </w:p>
        </w:tc>
        <w:tc>
          <w:tcPr>
            <w:tcW w:w="212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eastAsia="ar-SA"/>
              </w:rPr>
            </w:pPr>
            <w:r>
              <w:rPr>
                <w:rFonts w:cs="Calibri"/>
                <w:sz w:val="24"/>
                <w:szCs w:val="24"/>
                <w:lang w:eastAsia="ar-SA"/>
              </w:rPr>
              <w:t>94,2</w:t>
            </w:r>
            <w:r w:rsidRPr="00920C24">
              <w:rPr>
                <w:sz w:val="24"/>
                <w:szCs w:val="24"/>
                <w:lang w:val="en-US" w:eastAsia="ar-SA"/>
              </w:rPr>
              <w:t>[</w:t>
            </w:r>
            <w:r>
              <w:rPr>
                <w:sz w:val="24"/>
                <w:szCs w:val="24"/>
                <w:lang w:eastAsia="ar-SA"/>
              </w:rPr>
              <w:t>80,8;</w:t>
            </w:r>
            <w:r w:rsidRPr="00920C24">
              <w:rPr>
                <w:sz w:val="24"/>
                <w:szCs w:val="24"/>
                <w:lang w:eastAsia="ar-SA"/>
              </w:rPr>
              <w:t>105,9</w:t>
            </w:r>
            <w:r w:rsidRPr="00920C24">
              <w:rPr>
                <w:sz w:val="24"/>
                <w:szCs w:val="24"/>
                <w:lang w:val="en-US" w:eastAsia="ar-SA"/>
              </w:rPr>
              <w:t>]</w:t>
            </w:r>
          </w:p>
        </w:tc>
        <w:tc>
          <w:tcPr>
            <w:tcW w:w="20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val="en-US" w:eastAsia="ar-SA"/>
              </w:rPr>
            </w:pPr>
            <w:r w:rsidRPr="00920C24">
              <w:rPr>
                <w:rFonts w:cs="Calibri"/>
                <w:sz w:val="24"/>
                <w:szCs w:val="24"/>
                <w:lang w:eastAsia="ar-SA"/>
              </w:rPr>
              <w:t>87,7</w:t>
            </w:r>
            <w:r w:rsidRPr="00920C24">
              <w:rPr>
                <w:rFonts w:cs="Calibri"/>
                <w:sz w:val="24"/>
                <w:szCs w:val="24"/>
                <w:lang w:val="en-US" w:eastAsia="ar-SA"/>
              </w:rPr>
              <w:t>[</w:t>
            </w:r>
            <w:r>
              <w:rPr>
                <w:rFonts w:cs="Calibri"/>
                <w:sz w:val="24"/>
                <w:szCs w:val="24"/>
                <w:lang w:eastAsia="ar-SA"/>
              </w:rPr>
              <w:t>81,3;</w:t>
            </w:r>
            <w:r w:rsidRPr="00920C24">
              <w:rPr>
                <w:rFonts w:cs="Calibri"/>
                <w:sz w:val="24"/>
                <w:szCs w:val="24"/>
                <w:lang w:eastAsia="ar-SA"/>
              </w:rPr>
              <w:t>101,8</w:t>
            </w:r>
            <w:r w:rsidRPr="00920C24">
              <w:rPr>
                <w:rFonts w:cs="Calibri"/>
                <w:sz w:val="24"/>
                <w:szCs w:val="24"/>
                <w:lang w:val="en-US" w:eastAsia="ar-SA"/>
              </w:rPr>
              <w:t>]</w:t>
            </w:r>
          </w:p>
        </w:tc>
      </w:tr>
      <w:tr w:rsidR="00286780" w:rsidRPr="00920C24" w:rsidTr="00920C24">
        <w:trPr>
          <w:trHeight w:val="454"/>
        </w:trPr>
        <w:tc>
          <w:tcPr>
            <w:tcW w:w="360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rPr>
                <w:rFonts w:cs="Calibri"/>
                <w:sz w:val="24"/>
                <w:szCs w:val="24"/>
                <w:lang w:eastAsia="ar-SA"/>
              </w:rPr>
            </w:pPr>
            <w:r w:rsidRPr="00920C24">
              <w:rPr>
                <w:rFonts w:cs="Calibri"/>
                <w:sz w:val="24"/>
                <w:szCs w:val="24"/>
                <w:lang w:eastAsia="ar-SA"/>
              </w:rPr>
              <w:t>Глюкоза (ммоль/л)</w:t>
            </w:r>
          </w:p>
        </w:tc>
        <w:tc>
          <w:tcPr>
            <w:tcW w:w="1843"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eastAsia="ar-SA"/>
              </w:rPr>
            </w:pPr>
            <w:r>
              <w:rPr>
                <w:rFonts w:cs="Calibri"/>
                <w:sz w:val="24"/>
                <w:szCs w:val="24"/>
                <w:lang w:eastAsia="ar-SA"/>
              </w:rPr>
              <w:t>7,45</w:t>
            </w:r>
            <w:r w:rsidRPr="00920C24">
              <w:rPr>
                <w:rFonts w:cs="Calibri"/>
                <w:sz w:val="24"/>
                <w:szCs w:val="24"/>
                <w:lang w:val="en-US" w:eastAsia="ar-SA"/>
              </w:rPr>
              <w:t>[</w:t>
            </w:r>
            <w:r>
              <w:rPr>
                <w:rFonts w:cs="Calibri"/>
                <w:sz w:val="24"/>
                <w:szCs w:val="24"/>
                <w:lang w:eastAsia="ar-SA"/>
              </w:rPr>
              <w:t>5;</w:t>
            </w:r>
            <w:r w:rsidRPr="00920C24">
              <w:rPr>
                <w:rFonts w:cs="Calibri"/>
                <w:sz w:val="24"/>
                <w:szCs w:val="24"/>
                <w:lang w:eastAsia="ar-SA"/>
              </w:rPr>
              <w:t>10,3</w:t>
            </w:r>
            <w:r w:rsidRPr="00920C24">
              <w:rPr>
                <w:rFonts w:cs="Calibri"/>
                <w:sz w:val="24"/>
                <w:szCs w:val="24"/>
                <w:lang w:val="en-US" w:eastAsia="ar-SA"/>
              </w:rPr>
              <w:t>]</w:t>
            </w:r>
            <w:r w:rsidRPr="00920C24">
              <w:rPr>
                <w:rFonts w:cs="Calibri"/>
                <w:sz w:val="24"/>
                <w:szCs w:val="24"/>
                <w:lang w:eastAsia="ar-SA"/>
              </w:rPr>
              <w:t>**</w:t>
            </w:r>
          </w:p>
        </w:tc>
        <w:tc>
          <w:tcPr>
            <w:tcW w:w="2126" w:type="dxa"/>
            <w:tcBorders>
              <w:top w:val="single" w:sz="4" w:space="0" w:color="000000"/>
              <w:left w:val="single" w:sz="4" w:space="0" w:color="000000"/>
              <w:bottom w:val="single" w:sz="4" w:space="0" w:color="000000"/>
            </w:tcBorders>
            <w:tcMar>
              <w:left w:w="28" w:type="dxa"/>
              <w:right w:w="28" w:type="dxa"/>
            </w:tcMar>
            <w:vAlign w:val="center"/>
          </w:tcPr>
          <w:p w:rsidR="00286780" w:rsidRPr="00920C24" w:rsidRDefault="00286780" w:rsidP="00920C24">
            <w:pPr>
              <w:snapToGrid w:val="0"/>
              <w:jc w:val="center"/>
              <w:rPr>
                <w:rFonts w:cs="Calibri"/>
                <w:sz w:val="24"/>
                <w:szCs w:val="24"/>
                <w:lang w:val="en-US" w:eastAsia="ar-SA"/>
              </w:rPr>
            </w:pPr>
            <w:r>
              <w:rPr>
                <w:rFonts w:cs="Calibri"/>
                <w:sz w:val="24"/>
                <w:szCs w:val="24"/>
                <w:lang w:eastAsia="ar-SA"/>
              </w:rPr>
              <w:t>6,25</w:t>
            </w:r>
            <w:r w:rsidRPr="00920C24">
              <w:rPr>
                <w:rFonts w:cs="Calibri"/>
                <w:sz w:val="24"/>
                <w:szCs w:val="24"/>
                <w:lang w:val="en-US" w:eastAsia="ar-SA"/>
              </w:rPr>
              <w:t>[</w:t>
            </w:r>
            <w:r>
              <w:rPr>
                <w:rFonts w:cs="Calibri"/>
                <w:sz w:val="24"/>
                <w:szCs w:val="24"/>
                <w:lang w:eastAsia="ar-SA"/>
              </w:rPr>
              <w:t>5,13;</w:t>
            </w:r>
            <w:r w:rsidRPr="00920C24">
              <w:rPr>
                <w:rFonts w:cs="Calibri"/>
                <w:sz w:val="24"/>
                <w:szCs w:val="24"/>
                <w:lang w:eastAsia="ar-SA"/>
              </w:rPr>
              <w:t>8,9</w:t>
            </w:r>
            <w:r w:rsidRPr="00920C24">
              <w:rPr>
                <w:rFonts w:cs="Calibri"/>
                <w:sz w:val="24"/>
                <w:szCs w:val="24"/>
                <w:lang w:val="en-US" w:eastAsia="ar-SA"/>
              </w:rPr>
              <w:t>]</w:t>
            </w:r>
          </w:p>
        </w:tc>
        <w:tc>
          <w:tcPr>
            <w:tcW w:w="20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671AAF">
            <w:pPr>
              <w:snapToGrid w:val="0"/>
              <w:jc w:val="center"/>
              <w:rPr>
                <w:rFonts w:cs="Calibri"/>
                <w:sz w:val="24"/>
                <w:szCs w:val="24"/>
                <w:lang w:eastAsia="ar-SA"/>
              </w:rPr>
            </w:pPr>
            <w:r>
              <w:rPr>
                <w:rFonts w:cs="Calibri"/>
                <w:sz w:val="24"/>
                <w:szCs w:val="24"/>
                <w:lang w:eastAsia="ar-SA"/>
              </w:rPr>
              <w:t>5,0[4,6;</w:t>
            </w:r>
            <w:r w:rsidRPr="00920C24">
              <w:rPr>
                <w:rFonts w:cs="Calibri"/>
                <w:sz w:val="24"/>
                <w:szCs w:val="24"/>
                <w:lang w:eastAsia="ar-SA"/>
              </w:rPr>
              <w:t>5,2]</w:t>
            </w:r>
          </w:p>
        </w:tc>
      </w:tr>
      <w:tr w:rsidR="00286780" w:rsidRPr="00920C24" w:rsidTr="00920C24">
        <w:trPr>
          <w:trHeight w:val="454"/>
        </w:trPr>
        <w:tc>
          <w:tcPr>
            <w:tcW w:w="9639" w:type="dxa"/>
            <w:gridSpan w:val="4"/>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920C24" w:rsidRDefault="00286780" w:rsidP="00920C24">
            <w:pPr>
              <w:snapToGrid w:val="0"/>
              <w:jc w:val="both"/>
              <w:rPr>
                <w:rFonts w:cs="Calibri"/>
                <w:sz w:val="24"/>
                <w:szCs w:val="24"/>
                <w:lang w:eastAsia="ar-SA"/>
              </w:rPr>
            </w:pPr>
            <w:r w:rsidRPr="00920C24">
              <w:rPr>
                <w:rFonts w:cs="Calibri"/>
                <w:i/>
                <w:sz w:val="24"/>
                <w:szCs w:val="24"/>
                <w:lang w:eastAsia="ar-SA"/>
              </w:rPr>
              <w:t>Примечание</w:t>
            </w:r>
            <w:r w:rsidRPr="00920C24">
              <w:rPr>
                <w:rFonts w:cs="Calibri"/>
                <w:sz w:val="24"/>
                <w:szCs w:val="24"/>
                <w:lang w:eastAsia="ar-SA"/>
              </w:rPr>
              <w:t>. Раз</w:t>
            </w:r>
            <w:r>
              <w:rPr>
                <w:rFonts w:cs="Calibri"/>
                <w:sz w:val="24"/>
                <w:szCs w:val="24"/>
                <w:lang w:eastAsia="ar-SA"/>
              </w:rPr>
              <w:t>личия статистически значимы (р&lt;</w:t>
            </w:r>
            <w:r w:rsidRPr="00920C24">
              <w:rPr>
                <w:rFonts w:cs="Calibri"/>
                <w:sz w:val="24"/>
                <w:szCs w:val="24"/>
                <w:lang w:eastAsia="ar-SA"/>
              </w:rPr>
              <w:t xml:space="preserve">0,05) по сравнению с показателями: </w:t>
            </w:r>
            <w:r>
              <w:rPr>
                <w:rFonts w:cs="Calibri"/>
                <w:sz w:val="24"/>
                <w:szCs w:val="24"/>
                <w:lang w:eastAsia="ar-SA"/>
              </w:rPr>
              <w:br/>
            </w:r>
            <w:r w:rsidRPr="00920C24">
              <w:rPr>
                <w:rFonts w:cs="Calibri"/>
                <w:sz w:val="24"/>
                <w:szCs w:val="24"/>
                <w:lang w:eastAsia="ar-SA"/>
              </w:rPr>
              <w:t xml:space="preserve">* – контрольной </w:t>
            </w:r>
            <w:r w:rsidR="00EB47A5">
              <w:rPr>
                <w:rFonts w:cs="Calibri"/>
                <w:sz w:val="24"/>
                <w:szCs w:val="24"/>
                <w:lang w:eastAsia="ar-SA"/>
              </w:rPr>
              <w:t>под</w:t>
            </w:r>
            <w:r w:rsidRPr="00920C24">
              <w:rPr>
                <w:rFonts w:cs="Calibri"/>
                <w:sz w:val="24"/>
                <w:szCs w:val="24"/>
                <w:lang w:eastAsia="ar-SA"/>
              </w:rPr>
              <w:t xml:space="preserve">группы № 3, ** – контрольной </w:t>
            </w:r>
            <w:r w:rsidR="00EB47A5">
              <w:rPr>
                <w:rFonts w:cs="Calibri"/>
                <w:sz w:val="24"/>
                <w:szCs w:val="24"/>
                <w:lang w:eastAsia="ar-SA"/>
              </w:rPr>
              <w:t>под</w:t>
            </w:r>
            <w:r w:rsidRPr="00920C24">
              <w:rPr>
                <w:rFonts w:cs="Calibri"/>
                <w:sz w:val="24"/>
                <w:szCs w:val="24"/>
                <w:lang w:eastAsia="ar-SA"/>
              </w:rPr>
              <w:t>группы № 4</w:t>
            </w:r>
          </w:p>
        </w:tc>
      </w:tr>
    </w:tbl>
    <w:p w:rsidR="00286780" w:rsidRPr="00920C24" w:rsidRDefault="00286780" w:rsidP="00920C24">
      <w:pPr>
        <w:jc w:val="both"/>
        <w:rPr>
          <w:rFonts w:cs="Calibri"/>
          <w:sz w:val="24"/>
          <w:szCs w:val="24"/>
          <w:lang w:eastAsia="ar-SA"/>
        </w:rPr>
      </w:pPr>
    </w:p>
    <w:p w:rsidR="00286780" w:rsidRPr="008C19F3" w:rsidRDefault="00286780" w:rsidP="008C19F3">
      <w:pPr>
        <w:spacing w:line="360" w:lineRule="auto"/>
        <w:ind w:firstLine="709"/>
        <w:jc w:val="both"/>
        <w:rPr>
          <w:rFonts w:cs="Calibri"/>
          <w:sz w:val="28"/>
          <w:szCs w:val="28"/>
          <w:lang w:eastAsia="ar-SA"/>
        </w:rPr>
      </w:pPr>
      <w:r>
        <w:rPr>
          <w:rFonts w:cs="Calibri"/>
          <w:sz w:val="28"/>
          <w:szCs w:val="28"/>
          <w:lang w:eastAsia="ar-SA"/>
        </w:rPr>
        <w:t>Сроки очищения ран – 7</w:t>
      </w:r>
      <w:r w:rsidRPr="008C19F3">
        <w:rPr>
          <w:rFonts w:cs="Calibri"/>
          <w:sz w:val="28"/>
          <w:szCs w:val="28"/>
          <w:lang w:eastAsia="ar-SA"/>
        </w:rPr>
        <w:t>[</w:t>
      </w:r>
      <w:r>
        <w:rPr>
          <w:rFonts w:cs="Calibri"/>
          <w:sz w:val="28"/>
          <w:szCs w:val="28"/>
          <w:lang w:eastAsia="ar-SA"/>
        </w:rPr>
        <w:t>7;7</w:t>
      </w:r>
      <w:r w:rsidRPr="008C19F3">
        <w:rPr>
          <w:rFonts w:cs="Calibri"/>
          <w:sz w:val="28"/>
          <w:szCs w:val="28"/>
          <w:lang w:eastAsia="ar-SA"/>
        </w:rPr>
        <w:t>]</w:t>
      </w:r>
      <w:r>
        <w:rPr>
          <w:rFonts w:cs="Calibri"/>
          <w:sz w:val="28"/>
          <w:szCs w:val="28"/>
          <w:lang w:eastAsia="ar-SA"/>
        </w:rPr>
        <w:t xml:space="preserve"> суток; образование грануляций – 8</w:t>
      </w:r>
      <w:r w:rsidRPr="008C19F3">
        <w:rPr>
          <w:rFonts w:cs="Calibri"/>
          <w:sz w:val="28"/>
          <w:szCs w:val="28"/>
          <w:lang w:eastAsia="ar-SA"/>
        </w:rPr>
        <w:t>[</w:t>
      </w:r>
      <w:r>
        <w:rPr>
          <w:rFonts w:cs="Calibri"/>
          <w:sz w:val="28"/>
          <w:szCs w:val="28"/>
          <w:lang w:eastAsia="ar-SA"/>
        </w:rPr>
        <w:t>6;8</w:t>
      </w:r>
      <w:r w:rsidRPr="008C19F3">
        <w:rPr>
          <w:rFonts w:cs="Calibri"/>
          <w:sz w:val="28"/>
          <w:szCs w:val="28"/>
          <w:lang w:eastAsia="ar-SA"/>
        </w:rPr>
        <w:t>]</w:t>
      </w:r>
      <w:r>
        <w:rPr>
          <w:rFonts w:cs="Calibri"/>
          <w:sz w:val="28"/>
          <w:szCs w:val="28"/>
          <w:lang w:eastAsia="ar-SA"/>
        </w:rPr>
        <w:t xml:space="preserve"> суток. </w:t>
      </w:r>
      <w:r w:rsidRPr="00920C24">
        <w:rPr>
          <w:rFonts w:cs="Calibri"/>
          <w:sz w:val="28"/>
          <w:szCs w:val="28"/>
          <w:lang w:eastAsia="ar-SA"/>
        </w:rPr>
        <w:t xml:space="preserve">Сравнение вышеобозначенных показателей с аналогичными показателями контрольной </w:t>
      </w:r>
      <w:r w:rsidR="00EB47A5">
        <w:rPr>
          <w:rFonts w:cs="Calibri"/>
          <w:sz w:val="28"/>
          <w:szCs w:val="28"/>
          <w:lang w:eastAsia="ar-SA"/>
        </w:rPr>
        <w:t>под</w:t>
      </w:r>
      <w:r w:rsidRPr="00920C24">
        <w:rPr>
          <w:rFonts w:cs="Calibri"/>
          <w:sz w:val="28"/>
          <w:szCs w:val="28"/>
          <w:lang w:eastAsia="ar-SA"/>
        </w:rPr>
        <w:t>группы пациентов с МФОИ без фоновых заболеваний (контрольная группа № 4) выявило статически значимые различия по распространенности гнойно-воспалительных осложнений</w:t>
      </w:r>
      <w:r>
        <w:rPr>
          <w:rFonts w:cs="Calibri"/>
          <w:sz w:val="28"/>
          <w:szCs w:val="28"/>
          <w:lang w:eastAsia="ar-SA"/>
        </w:rPr>
        <w:t xml:space="preserve">, срокам очищения ран и росту грануляций </w:t>
      </w:r>
      <w:r w:rsidRPr="00920C24">
        <w:rPr>
          <w:sz w:val="28"/>
          <w:szCs w:val="28"/>
          <w:lang w:eastAsia="ar-SA"/>
        </w:rPr>
        <w:t>(</w:t>
      </w:r>
      <w:r w:rsidRPr="00920C24">
        <w:rPr>
          <w:sz w:val="28"/>
          <w:szCs w:val="28"/>
          <w:lang w:val="en-US" w:eastAsia="ar-SA"/>
        </w:rPr>
        <w:t>p</w:t>
      </w:r>
      <w:r w:rsidRPr="00920C24">
        <w:rPr>
          <w:sz w:val="28"/>
          <w:szCs w:val="28"/>
          <w:lang w:eastAsia="ar-SA"/>
        </w:rPr>
        <w:t>&gt;0,05)</w:t>
      </w:r>
      <w:r w:rsidRPr="00920C24">
        <w:rPr>
          <w:rFonts w:cs="Calibri"/>
          <w:sz w:val="28"/>
          <w:szCs w:val="28"/>
          <w:lang w:eastAsia="ar-SA"/>
        </w:rPr>
        <w:t>.</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lastRenderedPageBreak/>
        <w:t>Таким образом, пациенты с МФОИ и сахарным диабетом – это пациенты с одонтогенными абсцессами или флегмонами в пределах 1–3 клетчаточных пространств, реже – пациенты с одонтогенными остеомиелитами верхней или нижней челюсти, без признаков органной недостаточности. Чаще всего диагностирован сахарный диабет 2-го типа – около 90%. Возможно наличие коморбидной патологии сердечно-сосудистой системы (57,1% случаев, наблюдаются артериальная гипертония, ишемическая болезнь сердца или их сочетание). Показатели гомеостаза характеризуются как нормальными значениями артериального давления в отсутствии артериальной гипертонии, так и артериальной гипертензией (артериальное давление систолическое, диастолическое более 140 мм рт. ст., более 90 мм рт. ст. соответственно) при наличии коморбидной патологии сердечно-сосудистой системы. Определяются тахикардия, умеренный лейкоцитоз в пределах 10–12×10</w:t>
      </w:r>
      <w:r w:rsidRPr="00920C24">
        <w:rPr>
          <w:rFonts w:cs="Calibri"/>
          <w:sz w:val="28"/>
          <w:szCs w:val="28"/>
          <w:vertAlign w:val="superscript"/>
          <w:lang w:eastAsia="ar-SA"/>
        </w:rPr>
        <w:t>9</w:t>
      </w:r>
      <w:r w:rsidRPr="00920C24">
        <w:rPr>
          <w:rFonts w:cs="Calibri"/>
          <w:sz w:val="28"/>
          <w:szCs w:val="28"/>
          <w:lang w:eastAsia="ar-SA"/>
        </w:rPr>
        <w:t>/л, ускорение СОЭ. При распространенных флегмонах наблюдается палочкоядерный сдвиг лейкоцитарной формулы, появление юных форм (метамиелоцитов и миелоцитов) не характерно. В отдельных случаях возможен выраженный лейкоцитоз более 15×10</w:t>
      </w:r>
      <w:r w:rsidRPr="00920C24">
        <w:rPr>
          <w:rFonts w:cs="Calibri"/>
          <w:sz w:val="28"/>
          <w:szCs w:val="28"/>
          <w:vertAlign w:val="superscript"/>
          <w:lang w:eastAsia="ar-SA"/>
        </w:rPr>
        <w:t>9</w:t>
      </w:r>
      <w:r w:rsidRPr="00920C24">
        <w:rPr>
          <w:rFonts w:cs="Calibri"/>
          <w:sz w:val="28"/>
          <w:szCs w:val="28"/>
          <w:lang w:eastAsia="ar-SA"/>
        </w:rPr>
        <w:t>/л. Характерна гипергликемия, требующая интенсивной медикаментозной коррекции (инфузионная терапия, инсулинотерапия) с привлечением терапевта/эндокринолога/реаниматолога.</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 xml:space="preserve">Резюме. МФОИ, развивающаяся на фоне сахарного диабета, представлена абсцессами челюстно-лицевой области (50%), флегмонами с вовлечением 1–3 клетчаточных пространств (28,55%), </w:t>
      </w:r>
      <w:r>
        <w:rPr>
          <w:rFonts w:cs="Calibri"/>
          <w:sz w:val="28"/>
          <w:szCs w:val="28"/>
          <w:lang w:eastAsia="ar-SA"/>
        </w:rPr>
        <w:t>одонтогенными гайморитами, остеомиелитом, периодонтитом. Х</w:t>
      </w:r>
      <w:r w:rsidRPr="00920C24">
        <w:rPr>
          <w:rFonts w:cs="Calibri"/>
          <w:sz w:val="28"/>
          <w:szCs w:val="28"/>
          <w:lang w:eastAsia="ar-SA"/>
        </w:rPr>
        <w:t>арактерны относительно отграниченные, непрогрессирующие формы инфекционного процесса. Структуру хронических заболеваний эндокринной системы у пациентов с МФОИ</w:t>
      </w:r>
      <w:r>
        <w:rPr>
          <w:rFonts w:cs="Calibri"/>
          <w:sz w:val="28"/>
          <w:szCs w:val="28"/>
          <w:lang w:eastAsia="ar-SA"/>
        </w:rPr>
        <w:t xml:space="preserve"> составляют сахарный диабет 2</w:t>
      </w:r>
      <w:r w:rsidRPr="00920C24">
        <w:rPr>
          <w:rFonts w:cs="Calibri"/>
          <w:sz w:val="28"/>
          <w:szCs w:val="28"/>
          <w:lang w:eastAsia="ar-SA"/>
        </w:rPr>
        <w:t xml:space="preserve"> ти</w:t>
      </w:r>
      <w:r>
        <w:rPr>
          <w:rFonts w:cs="Calibri"/>
          <w:sz w:val="28"/>
          <w:szCs w:val="28"/>
          <w:lang w:eastAsia="ar-SA"/>
        </w:rPr>
        <w:t>па (90,5%), сахарный диабет 1</w:t>
      </w:r>
      <w:r w:rsidRPr="00920C24">
        <w:rPr>
          <w:rFonts w:cs="Calibri"/>
          <w:sz w:val="28"/>
          <w:szCs w:val="28"/>
          <w:lang w:eastAsia="ar-SA"/>
        </w:rPr>
        <w:t xml:space="preserve"> типа (9,5%). Коморбидные заболевания сердечно-сосудистой системы (артериальная гипертония, ИБС) наблюдаются у 57,1% пациентов с МФОИ и сахарным диабетом. 45% госпитализированных пациентов с МФОИ и хронической патологией органов дыхания обращались к стоматологу по месту жительства, отмечено неэффективное амбулаторное лечение; 50% больных исследуемой группы за медицинской помощью не обращались и не лечились. Жа</w:t>
      </w:r>
      <w:r w:rsidRPr="00920C24">
        <w:rPr>
          <w:rFonts w:cs="Calibri"/>
          <w:sz w:val="28"/>
          <w:szCs w:val="28"/>
          <w:lang w:eastAsia="ar-SA"/>
        </w:rPr>
        <w:lastRenderedPageBreak/>
        <w:t>лобы пациентов с МФОИ и хроническими заболеваниями дыхательной системы отражают наличие воспалительного процесса (локальные жалобы), наличие сахарного диабета, реже наблюдаются жалобы общего характера, связанные с синдромом эндогенной интоксикации. Показатели гемодинамики у пациентов с МФОИ и сахарным диабетом характеризуются умеренным повышением уровня систолического артериального давления (возможно, влияние коморбидной артериальной гипертонии). Выраженных изменений показателей клеточного и биохимического составов крови (за исключением гипергликемии и лейкоцитоза) у больных с МФОИ и сахарным диабетом не обнаружено. Диагностика гликемических нарушений требует коррекции по согласованию с профильными специалистами (эндокринологом/терапевтом/реаниматологом). Распространенность полиорганной полиморбидной патологии у пациентов с МФОИ и сахарным диабетом составляет 57,1%.</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 xml:space="preserve">Течение местной формы одонтогенной инфекции на фоне сахарного диабета характеризуется статистически значимо повышенной вероятностью распространения гнойно-воспалительного процесса на коллатеральные клетчаточные пространства, </w:t>
      </w:r>
      <w:r>
        <w:rPr>
          <w:rFonts w:cs="Calibri"/>
          <w:sz w:val="28"/>
          <w:szCs w:val="28"/>
          <w:lang w:eastAsia="ar-SA"/>
        </w:rPr>
        <w:t xml:space="preserve">замедлением сроков очищения ран и образования грануляций, </w:t>
      </w:r>
      <w:r w:rsidRPr="00920C24">
        <w:rPr>
          <w:rFonts w:cs="Calibri"/>
          <w:sz w:val="28"/>
          <w:szCs w:val="28"/>
          <w:lang w:eastAsia="ar-SA"/>
        </w:rPr>
        <w:t>что определяет необходимость разработки соответствующих лечебных алгоритмов (</w:t>
      </w:r>
      <w:r w:rsidRPr="00920C24">
        <w:rPr>
          <w:rFonts w:cs="Calibri"/>
          <w:sz w:val="28"/>
          <w:szCs w:val="28"/>
          <w:lang w:val="en-US" w:eastAsia="ar-SA"/>
        </w:rPr>
        <w:t>III</w:t>
      </w:r>
      <w:r w:rsidRPr="00920C24">
        <w:rPr>
          <w:rFonts w:cs="Calibri"/>
          <w:sz w:val="28"/>
          <w:szCs w:val="28"/>
          <w:lang w:eastAsia="ar-SA"/>
        </w:rPr>
        <w:t xml:space="preserve"> блок исследований).</w:t>
      </w:r>
    </w:p>
    <w:p w:rsidR="00286780" w:rsidRDefault="00286780" w:rsidP="004A0CF0">
      <w:pPr>
        <w:jc w:val="both"/>
        <w:rPr>
          <w:sz w:val="28"/>
          <w:szCs w:val="28"/>
          <w:lang w:eastAsia="en-US"/>
        </w:rPr>
      </w:pPr>
    </w:p>
    <w:p w:rsidR="00286780" w:rsidRDefault="00286780" w:rsidP="00457501">
      <w:pPr>
        <w:pStyle w:val="31"/>
        <w:spacing w:line="360" w:lineRule="auto"/>
        <w:jc w:val="both"/>
      </w:pPr>
      <w:bookmarkStart w:id="18" w:name="_Toc67905700"/>
      <w:r w:rsidRPr="00920C24">
        <w:t>Клинико-лабораторная характеристика МФОИ на фоне патологии</w:t>
      </w:r>
      <w:r>
        <w:br/>
      </w:r>
      <w:r w:rsidRPr="00920C24">
        <w:t>пищеварительной системы и печени (в том числе, при наличии хронических инфекционных заболеваний), патологии мочевыделительной системы</w:t>
      </w:r>
      <w:bookmarkEnd w:id="18"/>
    </w:p>
    <w:p w:rsidR="00286780" w:rsidRPr="00920C24" w:rsidRDefault="00286780" w:rsidP="00457501">
      <w:pPr>
        <w:spacing w:line="360" w:lineRule="auto"/>
        <w:ind w:firstLine="709"/>
        <w:jc w:val="both"/>
        <w:rPr>
          <w:rFonts w:cs="Calibri"/>
          <w:sz w:val="28"/>
          <w:szCs w:val="28"/>
          <w:lang w:eastAsia="ar-SA"/>
        </w:rPr>
      </w:pPr>
      <w:r>
        <w:rPr>
          <w:rFonts w:cs="Calibri"/>
          <w:sz w:val="28"/>
          <w:szCs w:val="28"/>
          <w:lang w:eastAsia="ar-SA"/>
        </w:rPr>
        <w:t>Р</w:t>
      </w:r>
      <w:r w:rsidRPr="00920C24">
        <w:rPr>
          <w:rFonts w:cs="Calibri"/>
          <w:sz w:val="28"/>
          <w:szCs w:val="28"/>
          <w:lang w:eastAsia="ar-SA"/>
        </w:rPr>
        <w:t xml:space="preserve">аспространенность хронических заболеваний пищеварительной и мочевыделительной систем, а </w:t>
      </w:r>
      <w:r>
        <w:rPr>
          <w:rFonts w:cs="Calibri"/>
          <w:sz w:val="28"/>
          <w:szCs w:val="28"/>
          <w:lang w:eastAsia="ar-SA"/>
        </w:rPr>
        <w:t>также</w:t>
      </w:r>
      <w:r w:rsidRPr="00920C24">
        <w:rPr>
          <w:rFonts w:cs="Calibri"/>
          <w:sz w:val="28"/>
          <w:szCs w:val="28"/>
          <w:lang w:eastAsia="ar-SA"/>
        </w:rPr>
        <w:t xml:space="preserve"> печени в общей когорте пациентов с МФОИ и ХП внутренних органов составляет 7,6%.</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Патология пищеварительной системы и печени, в том числе инфекционной этиологии, представлена болезнью оперированного желудка (один пациент), гепатитами «</w:t>
      </w:r>
      <w:r w:rsidRPr="00920C24">
        <w:rPr>
          <w:rFonts w:cs="Calibri"/>
          <w:sz w:val="28"/>
          <w:szCs w:val="28"/>
          <w:lang w:val="en-US" w:eastAsia="ar-SA"/>
        </w:rPr>
        <w:t>B</w:t>
      </w:r>
      <w:r w:rsidRPr="00920C24">
        <w:rPr>
          <w:rFonts w:cs="Calibri"/>
          <w:sz w:val="28"/>
          <w:szCs w:val="28"/>
          <w:lang w:eastAsia="ar-SA"/>
        </w:rPr>
        <w:t>» и «</w:t>
      </w:r>
      <w:r w:rsidRPr="00920C24">
        <w:rPr>
          <w:rFonts w:cs="Calibri"/>
          <w:sz w:val="28"/>
          <w:szCs w:val="28"/>
          <w:lang w:val="en-US" w:eastAsia="ar-SA"/>
        </w:rPr>
        <w:t>C</w:t>
      </w:r>
      <w:r w:rsidRPr="00920C24">
        <w:rPr>
          <w:rFonts w:cs="Calibri"/>
          <w:sz w:val="28"/>
          <w:szCs w:val="28"/>
          <w:lang w:eastAsia="ar-SA"/>
        </w:rPr>
        <w:t>» (пять пациентов), алкогольным циррозом печени (три пациента). В одном случае гепатит «</w:t>
      </w:r>
      <w:r w:rsidRPr="00920C24">
        <w:rPr>
          <w:rFonts w:cs="Calibri"/>
          <w:sz w:val="28"/>
          <w:szCs w:val="28"/>
          <w:lang w:val="en-US" w:eastAsia="ar-SA"/>
        </w:rPr>
        <w:t>C</w:t>
      </w:r>
      <w:r w:rsidRPr="00920C24">
        <w:rPr>
          <w:rFonts w:cs="Calibri"/>
          <w:sz w:val="28"/>
          <w:szCs w:val="28"/>
          <w:lang w:eastAsia="ar-SA"/>
        </w:rPr>
        <w:t xml:space="preserve">» сочетался с ВИЧ. В основном, наблюдались </w:t>
      </w:r>
      <w:r w:rsidRPr="00920C24">
        <w:rPr>
          <w:rFonts w:cs="Calibri"/>
          <w:sz w:val="28"/>
          <w:szCs w:val="28"/>
          <w:lang w:eastAsia="ar-SA"/>
        </w:rPr>
        <w:lastRenderedPageBreak/>
        <w:t>мужчины (семь пациентов) в возрасте от 29 до 46 лет, одна женщина с гепатитом «</w:t>
      </w:r>
      <w:r w:rsidRPr="00920C24">
        <w:rPr>
          <w:rFonts w:cs="Calibri"/>
          <w:sz w:val="28"/>
          <w:szCs w:val="28"/>
          <w:lang w:val="en-US" w:eastAsia="ar-SA"/>
        </w:rPr>
        <w:t>C</w:t>
      </w:r>
      <w:r w:rsidRPr="00920C24">
        <w:rPr>
          <w:rFonts w:cs="Calibri"/>
          <w:sz w:val="28"/>
          <w:szCs w:val="28"/>
          <w:lang w:eastAsia="ar-SA"/>
        </w:rPr>
        <w:t>». Полиорганная полиморбидная патология диагностирована у пяти пациентов с ХП пищеварительной системы и печени.</w:t>
      </w:r>
    </w:p>
    <w:p w:rsidR="00286780" w:rsidRPr="00920C24" w:rsidRDefault="00286780" w:rsidP="00920C24">
      <w:pPr>
        <w:spacing w:line="360" w:lineRule="auto"/>
        <w:ind w:firstLine="709"/>
        <w:jc w:val="both"/>
        <w:rPr>
          <w:rFonts w:cs="Calibri"/>
          <w:sz w:val="28"/>
          <w:szCs w:val="28"/>
          <w:lang w:eastAsia="ar-SA"/>
        </w:rPr>
      </w:pPr>
      <w:r w:rsidRPr="00920C24">
        <w:rPr>
          <w:rFonts w:cs="Calibri"/>
          <w:sz w:val="28"/>
          <w:szCs w:val="28"/>
          <w:lang w:eastAsia="ar-SA"/>
        </w:rPr>
        <w:t>Характерны одонтогенные флегмоны в пределах 1-2 клетчаточных пространств без явлений выраженного распространения гнойно-воспалительного процесса и генерализации инфекции (шесть пациентов), реже – одонтогенные абсцессы (два пациента). Больные предъявляли жалобы, связанные с наличием воспалительного очага (боли, нарушение открывания рта, наличие инфильтрата, затруднение глотания), общеинфекционным синдромом (головные боли, слабость, повышение температуры тела до фебрильных величин). Пациент с болезнью оперированного желудка предъявлял жалобы на боли в эпигастральной области, явления диспепсии. Больные с гепатитами и циррозом печени жаловались на ощущение тяжести или боли в правом подреберье, диспепсию, общую слабость.</w:t>
      </w:r>
    </w:p>
    <w:p w:rsidR="00286780" w:rsidRPr="00920C24" w:rsidRDefault="00286780" w:rsidP="00AF1F7D">
      <w:pPr>
        <w:spacing w:line="360" w:lineRule="auto"/>
        <w:ind w:firstLine="709"/>
        <w:jc w:val="both"/>
        <w:rPr>
          <w:rFonts w:cs="Calibri"/>
          <w:sz w:val="28"/>
          <w:szCs w:val="28"/>
          <w:lang w:eastAsia="ar-SA"/>
        </w:rPr>
      </w:pPr>
      <w:r w:rsidRPr="00920C24">
        <w:rPr>
          <w:rFonts w:cs="Calibri"/>
          <w:sz w:val="28"/>
          <w:szCs w:val="28"/>
          <w:lang w:eastAsia="ar-SA"/>
        </w:rPr>
        <w:t>Продолжительность догоспитального периода варьировала от 3 до 14 суток. Значительная часть пациентов данной группы (пять человек) лечились амбулаторно у стоматолога по месту жительства (внутриротовое вскрытие абсцессов, антибиотикотерапия), а также в условиях хирургического стационара ЦРБ (один пациент). Самолечением занимались два пациента.</w:t>
      </w:r>
      <w:r>
        <w:rPr>
          <w:rFonts w:cs="Calibri"/>
          <w:sz w:val="28"/>
          <w:szCs w:val="28"/>
          <w:lang w:eastAsia="ar-SA"/>
        </w:rPr>
        <w:t xml:space="preserve"> </w:t>
      </w:r>
      <w:r w:rsidRPr="00920C24">
        <w:rPr>
          <w:rFonts w:cs="Calibri"/>
          <w:sz w:val="28"/>
          <w:szCs w:val="28"/>
          <w:lang w:eastAsia="ar-SA"/>
        </w:rPr>
        <w:t>Общее состояние больных с МФОИ и заболеваниями органов пищеварения/печени расценивалось как удовлетворительное, реже – средней тяжести. Артериальное давление определялось в пределах нормы, или, при наличии артериальной гипертонии (три пациента), отмечалась склонность к гипертензии до 150–160 мм.рт. ст. Характерна тахикардия 90–110 в 1 мин. Одышки не наблюдалось.</w:t>
      </w:r>
      <w:r>
        <w:rPr>
          <w:rFonts w:cs="Calibri"/>
          <w:sz w:val="28"/>
          <w:szCs w:val="28"/>
          <w:lang w:eastAsia="ar-SA"/>
        </w:rPr>
        <w:t xml:space="preserve"> </w:t>
      </w:r>
      <w:r w:rsidRPr="00920C24">
        <w:rPr>
          <w:rFonts w:cs="Calibri"/>
          <w:sz w:val="28"/>
          <w:szCs w:val="28"/>
          <w:lang w:eastAsia="ar-SA"/>
        </w:rPr>
        <w:t>Показатели клеточного и биохимического состава крови характеризовались отсутствием значимой анемии, существенным лейкоцитозом до 18–19×10</w:t>
      </w:r>
      <w:r w:rsidRPr="00920C24">
        <w:rPr>
          <w:rFonts w:cs="Calibri"/>
          <w:sz w:val="28"/>
          <w:szCs w:val="28"/>
          <w:vertAlign w:val="superscript"/>
          <w:lang w:eastAsia="ar-SA"/>
        </w:rPr>
        <w:t>9</w:t>
      </w:r>
      <w:r w:rsidRPr="00920C24">
        <w:rPr>
          <w:rFonts w:cs="Calibri"/>
          <w:sz w:val="28"/>
          <w:szCs w:val="28"/>
          <w:lang w:eastAsia="ar-SA"/>
        </w:rPr>
        <w:t>/л без выраженного сдвига лейкоцитарной формулы «влево», ускорением СОЭ, гипербилирубинемией до 22 мкмоль/л. В одном случае у больного с гепатитом «</w:t>
      </w:r>
      <w:r w:rsidRPr="00920C24">
        <w:rPr>
          <w:rFonts w:cs="Calibri"/>
          <w:sz w:val="28"/>
          <w:szCs w:val="28"/>
          <w:lang w:val="en-US" w:eastAsia="ar-SA"/>
        </w:rPr>
        <w:t>C</w:t>
      </w:r>
      <w:r w:rsidRPr="00920C24">
        <w:rPr>
          <w:rFonts w:cs="Calibri"/>
          <w:sz w:val="28"/>
          <w:szCs w:val="28"/>
          <w:lang w:eastAsia="ar-SA"/>
        </w:rPr>
        <w:t>» наблюдалась лимфопения.</w:t>
      </w:r>
    </w:p>
    <w:p w:rsidR="00286780" w:rsidRDefault="00286780" w:rsidP="00AF1F7D">
      <w:pPr>
        <w:spacing w:line="360" w:lineRule="auto"/>
        <w:ind w:firstLine="709"/>
        <w:jc w:val="both"/>
        <w:rPr>
          <w:rFonts w:cs="Calibri"/>
          <w:sz w:val="28"/>
          <w:szCs w:val="28"/>
          <w:lang w:eastAsia="ar-SA"/>
        </w:rPr>
      </w:pPr>
      <w:r w:rsidRPr="00920C24">
        <w:rPr>
          <w:rFonts w:cs="Calibri"/>
          <w:sz w:val="28"/>
          <w:szCs w:val="28"/>
          <w:lang w:eastAsia="ar-SA"/>
        </w:rPr>
        <w:t>В целом, для МФОИ, наблюдаемой на фоне патологии пищеварительной системы/печени, в том числе при наличии хронической инфекционной патологии (гепатиты, ВИЧ), характерны компенсированные изменения показателей гомео</w:t>
      </w:r>
      <w:r w:rsidRPr="00920C24">
        <w:rPr>
          <w:rFonts w:cs="Calibri"/>
          <w:sz w:val="28"/>
          <w:szCs w:val="28"/>
          <w:lang w:eastAsia="ar-SA"/>
        </w:rPr>
        <w:lastRenderedPageBreak/>
        <w:t>стаза. Осложнений, развивающихся в процессе стационарного лечения в условиях специализированного челюстно-лицевого отделения, не диагностировано. Летальность отсутствовала.</w:t>
      </w:r>
    </w:p>
    <w:p w:rsidR="00286780" w:rsidRPr="00920C24" w:rsidRDefault="00286780" w:rsidP="00AF1F7D">
      <w:pPr>
        <w:spacing w:line="360" w:lineRule="auto"/>
        <w:ind w:firstLine="709"/>
        <w:jc w:val="both"/>
        <w:rPr>
          <w:rFonts w:cs="Calibri"/>
          <w:sz w:val="28"/>
          <w:szCs w:val="28"/>
          <w:lang w:eastAsia="ar-SA"/>
        </w:rPr>
      </w:pPr>
      <w:r>
        <w:rPr>
          <w:rFonts w:cs="Calibri"/>
          <w:sz w:val="28"/>
          <w:szCs w:val="28"/>
          <w:lang w:eastAsia="ar-SA"/>
        </w:rPr>
        <w:t>Также</w:t>
      </w:r>
      <w:r w:rsidRPr="00920C24">
        <w:rPr>
          <w:rFonts w:cs="Calibri"/>
          <w:sz w:val="28"/>
          <w:szCs w:val="28"/>
          <w:lang w:eastAsia="ar-SA"/>
        </w:rPr>
        <w:t xml:space="preserve"> наблюдались два пациента с МФОИ и заболеваниями почек – хроническими пиелонефритом/гломерулонефритом, хронической почечной недостаточностью. МФОИ представлена одонтогенным абсцессом и одонтогенной флегмоной дна полости рта в пределах трех клетчаточных пространств. У пациента с одонтогенной флегмоной (и хроническим пиелонефритом, ХПН) диагностированы анемия, выраженный лейкоцитоз. Отмечено повышение концентрации мочевины (до 10–12 ммоль/л) и креатинина крови (110–120 мкмоль/л). Незначительный объем выборки пациентов с МФОИ и патологией мочевыделительной системы не позволяет сделать сколь-нибудь значимые выводы о характере изменений показателей гомеостаза и клиническом течении заболевания.</w:t>
      </w:r>
    </w:p>
    <w:p w:rsidR="00286780" w:rsidRPr="00920C24" w:rsidRDefault="00286780" w:rsidP="00920C24">
      <w:pPr>
        <w:spacing w:line="360" w:lineRule="auto"/>
        <w:ind w:firstLine="709"/>
        <w:jc w:val="both"/>
        <w:rPr>
          <w:rFonts w:cs="Calibri"/>
          <w:i/>
          <w:sz w:val="28"/>
          <w:szCs w:val="28"/>
          <w:lang w:eastAsia="ar-SA"/>
        </w:rPr>
      </w:pPr>
      <w:r w:rsidRPr="00920C24">
        <w:rPr>
          <w:rFonts w:cs="Calibri"/>
          <w:sz w:val="28"/>
          <w:szCs w:val="28"/>
          <w:lang w:eastAsia="ar-SA"/>
        </w:rPr>
        <w:t xml:space="preserve">Таким образом, достаточных оснований, позволяющих причислить заболевания пищеварительной системы, печени и мочевыделительной системы у пациентов с МФОИ к фоновой патологии, </w:t>
      </w:r>
      <w:r w:rsidRPr="00920C24">
        <w:rPr>
          <w:rFonts w:cs="Calibri"/>
          <w:i/>
          <w:sz w:val="28"/>
          <w:szCs w:val="28"/>
          <w:lang w:eastAsia="ar-SA"/>
        </w:rPr>
        <w:t>не получено.</w:t>
      </w:r>
    </w:p>
    <w:p w:rsidR="00286780" w:rsidRDefault="00286780" w:rsidP="004A0CF0">
      <w:pPr>
        <w:jc w:val="both"/>
        <w:rPr>
          <w:sz w:val="28"/>
          <w:szCs w:val="28"/>
          <w:lang w:eastAsia="en-US"/>
        </w:rPr>
      </w:pPr>
    </w:p>
    <w:p w:rsidR="00286780" w:rsidRDefault="00286780" w:rsidP="00457501">
      <w:pPr>
        <w:pStyle w:val="31"/>
        <w:spacing w:line="360" w:lineRule="auto"/>
        <w:jc w:val="both"/>
      </w:pPr>
      <w:bookmarkStart w:id="19" w:name="_Toc67905701"/>
      <w:r w:rsidRPr="00920C24">
        <w:t>Иммунологическая характеристика местной формы одонтогенной инфекции с учетом хронической патологии внутренних органов</w:t>
      </w:r>
      <w:bookmarkEnd w:id="19"/>
    </w:p>
    <w:p w:rsidR="008D4644" w:rsidRDefault="00286780" w:rsidP="00457501">
      <w:pPr>
        <w:spacing w:line="360" w:lineRule="auto"/>
        <w:ind w:firstLine="709"/>
        <w:jc w:val="both"/>
        <w:rPr>
          <w:rFonts w:cs="Calibri"/>
          <w:sz w:val="28"/>
          <w:szCs w:val="28"/>
          <w:lang w:eastAsia="ar-SA"/>
        </w:rPr>
      </w:pPr>
      <w:r w:rsidRPr="00920C24">
        <w:rPr>
          <w:rFonts w:cs="Calibri"/>
          <w:sz w:val="28"/>
          <w:szCs w:val="28"/>
          <w:lang w:eastAsia="ar-SA"/>
        </w:rPr>
        <w:t>Следует отметить, что детализированная сравнительная характеристика клеточного иммунитета (абсолютное количество лимфоцитов в 1 мкл, фагоцитоз) больных с МФОИ представлена выше (текст параграфа № 2). Результаты исследования гуморального иммунитета (</w:t>
      </w:r>
      <w:r w:rsidRPr="00920C24">
        <w:rPr>
          <w:rFonts w:cs="Calibri"/>
          <w:sz w:val="28"/>
          <w:szCs w:val="28"/>
          <w:lang w:val="en-US" w:eastAsia="ar-SA"/>
        </w:rPr>
        <w:t>IgA</w:t>
      </w:r>
      <w:r w:rsidRPr="00920C24">
        <w:rPr>
          <w:rFonts w:cs="Calibri"/>
          <w:sz w:val="28"/>
          <w:szCs w:val="28"/>
          <w:lang w:eastAsia="ar-SA"/>
        </w:rPr>
        <w:t xml:space="preserve">, </w:t>
      </w:r>
      <w:r w:rsidRPr="00920C24">
        <w:rPr>
          <w:rFonts w:cs="Calibri"/>
          <w:sz w:val="28"/>
          <w:szCs w:val="28"/>
          <w:lang w:val="en-US" w:eastAsia="ar-SA"/>
        </w:rPr>
        <w:t>IgM</w:t>
      </w:r>
      <w:r w:rsidRPr="00920C24">
        <w:rPr>
          <w:rFonts w:cs="Calibri"/>
          <w:sz w:val="28"/>
          <w:szCs w:val="28"/>
          <w:lang w:eastAsia="ar-SA"/>
        </w:rPr>
        <w:t xml:space="preserve">, </w:t>
      </w:r>
      <w:r w:rsidRPr="00920C24">
        <w:rPr>
          <w:rFonts w:cs="Calibri"/>
          <w:sz w:val="28"/>
          <w:szCs w:val="28"/>
          <w:lang w:val="en-US" w:eastAsia="ar-SA"/>
        </w:rPr>
        <w:t>IgG</w:t>
      </w:r>
      <w:r w:rsidRPr="00920C24">
        <w:rPr>
          <w:rFonts w:cs="Calibri"/>
          <w:sz w:val="28"/>
          <w:szCs w:val="28"/>
          <w:lang w:eastAsia="ar-SA"/>
        </w:rPr>
        <w:t xml:space="preserve">), про- и противовоспалительных интерлейкинов (ИЛ-1ß, ИЛ-4, ИЛ-6, ИЛ-10, ФНО-α) сыворотки крови у пациентов с МФОИ при наличии хронической патологии, в отсутствии заболеваний внутренних органов, их сравнительная межгрупповая характеристика, а </w:t>
      </w:r>
      <w:r>
        <w:rPr>
          <w:rFonts w:cs="Calibri"/>
          <w:sz w:val="28"/>
          <w:szCs w:val="28"/>
          <w:lang w:eastAsia="ar-SA"/>
        </w:rPr>
        <w:t>также</w:t>
      </w:r>
      <w:r w:rsidRPr="00920C24">
        <w:rPr>
          <w:rFonts w:cs="Calibri"/>
          <w:sz w:val="28"/>
          <w:szCs w:val="28"/>
          <w:lang w:eastAsia="ar-SA"/>
        </w:rPr>
        <w:t xml:space="preserve"> сравнительная характеристика в отношении аналогичных показателей контрольной </w:t>
      </w:r>
      <w:r w:rsidR="00EB47A5">
        <w:rPr>
          <w:rFonts w:cs="Calibri"/>
          <w:sz w:val="28"/>
          <w:szCs w:val="28"/>
          <w:lang w:eastAsia="ar-SA"/>
        </w:rPr>
        <w:t>под</w:t>
      </w:r>
      <w:r w:rsidRPr="00920C24">
        <w:rPr>
          <w:rFonts w:cs="Calibri"/>
          <w:sz w:val="28"/>
          <w:szCs w:val="28"/>
          <w:lang w:eastAsia="ar-SA"/>
        </w:rPr>
        <w:t xml:space="preserve">группы относительно здоровых индивидуумов (студенты, медицинский персонал), представлены в Таблице 35. </w:t>
      </w:r>
      <w:r w:rsidR="00EB47A5">
        <w:rPr>
          <w:rFonts w:cs="Calibri"/>
          <w:sz w:val="28"/>
          <w:szCs w:val="28"/>
          <w:lang w:eastAsia="ar-SA"/>
        </w:rPr>
        <w:t>Подг</w:t>
      </w:r>
      <w:r w:rsidRPr="00920C24">
        <w:rPr>
          <w:rFonts w:cs="Calibri"/>
          <w:sz w:val="28"/>
          <w:szCs w:val="28"/>
          <w:lang w:eastAsia="ar-SA"/>
        </w:rPr>
        <w:t>руппы сопоставимы по возрастно-</w:t>
      </w:r>
      <w:r w:rsidRPr="00920C24">
        <w:rPr>
          <w:rFonts w:cs="Calibri"/>
          <w:sz w:val="28"/>
          <w:szCs w:val="28"/>
          <w:lang w:eastAsia="ar-SA"/>
        </w:rPr>
        <w:lastRenderedPageBreak/>
        <w:t>половым и антропометрическим характеристикам, степени тяжести воспалительного процесса, нозологической структуре заболеваний, методам лечения.</w:t>
      </w:r>
    </w:p>
    <w:p w:rsidR="00286780" w:rsidRPr="00920C24" w:rsidRDefault="00286780" w:rsidP="00457501">
      <w:pPr>
        <w:spacing w:line="360" w:lineRule="auto"/>
        <w:ind w:firstLine="709"/>
        <w:jc w:val="both"/>
        <w:rPr>
          <w:rFonts w:cs="Calibri"/>
          <w:sz w:val="28"/>
          <w:szCs w:val="28"/>
          <w:lang w:eastAsia="ar-SA"/>
        </w:rPr>
      </w:pPr>
      <w:r w:rsidRPr="00920C24">
        <w:rPr>
          <w:rFonts w:cs="Calibri"/>
          <w:sz w:val="28"/>
          <w:szCs w:val="28"/>
          <w:lang w:eastAsia="ar-SA"/>
        </w:rPr>
        <w:t xml:space="preserve">Статистически значимых </w:t>
      </w:r>
      <w:r w:rsidR="00286D28">
        <w:rPr>
          <w:rFonts w:cs="Calibri"/>
          <w:sz w:val="28"/>
          <w:szCs w:val="28"/>
          <w:lang w:eastAsia="ar-SA"/>
        </w:rPr>
        <w:t>межгрупповых различий,</w:t>
      </w:r>
      <w:r w:rsidRPr="00920C24">
        <w:rPr>
          <w:rFonts w:cs="Calibri"/>
          <w:sz w:val="28"/>
          <w:szCs w:val="28"/>
          <w:lang w:eastAsia="ar-SA"/>
        </w:rPr>
        <w:t xml:space="preserve"> представленных </w:t>
      </w:r>
      <w:r>
        <w:rPr>
          <w:rFonts w:cs="Calibri"/>
          <w:sz w:val="28"/>
          <w:szCs w:val="28"/>
          <w:lang w:eastAsia="ar-SA"/>
        </w:rPr>
        <w:t>в Таблице 36</w:t>
      </w:r>
      <w:r w:rsidRPr="00920C24">
        <w:rPr>
          <w:rFonts w:cs="Calibri"/>
          <w:sz w:val="28"/>
          <w:szCs w:val="28"/>
          <w:lang w:eastAsia="ar-SA"/>
        </w:rPr>
        <w:t xml:space="preserve"> интерлейкинов и иммуноглобулинов у пациентов с МФОИ без хронических заболеваний, и больных с МФОИ при наличии патологии сердечно-сосудистой, дыхательной, эндокринной систем и печени, не обнаружено.</w:t>
      </w:r>
    </w:p>
    <w:p w:rsidR="00286780" w:rsidRPr="00920C24" w:rsidRDefault="00286780" w:rsidP="001C5222">
      <w:pPr>
        <w:spacing w:line="360" w:lineRule="auto"/>
        <w:ind w:firstLine="709"/>
        <w:jc w:val="both"/>
        <w:rPr>
          <w:rFonts w:cs="Calibri"/>
          <w:sz w:val="28"/>
          <w:szCs w:val="28"/>
          <w:lang w:eastAsia="ar-SA"/>
        </w:rPr>
      </w:pPr>
    </w:p>
    <w:p w:rsidR="00286780" w:rsidRPr="00920C24" w:rsidRDefault="00286780" w:rsidP="00920C24">
      <w:pPr>
        <w:spacing w:after="120"/>
        <w:jc w:val="both"/>
        <w:rPr>
          <w:sz w:val="28"/>
          <w:szCs w:val="28"/>
        </w:rPr>
      </w:pPr>
      <w:r>
        <w:rPr>
          <w:b/>
          <w:sz w:val="28"/>
          <w:szCs w:val="28"/>
        </w:rPr>
        <w:t>Таблица 36</w:t>
      </w:r>
      <w:r w:rsidRPr="00920C24">
        <w:rPr>
          <w:sz w:val="28"/>
          <w:szCs w:val="28"/>
        </w:rPr>
        <w:t>– Иммунологические показатели пациентов с МФОИ</w:t>
      </w:r>
    </w:p>
    <w:tbl>
      <w:tblPr>
        <w:tblW w:w="9923" w:type="dxa"/>
        <w:tblLayout w:type="fixed"/>
        <w:tblLook w:val="0000" w:firstRow="0" w:lastRow="0" w:firstColumn="0" w:lastColumn="0" w:noHBand="0" w:noVBand="0"/>
      </w:tblPr>
      <w:tblGrid>
        <w:gridCol w:w="1729"/>
        <w:gridCol w:w="2524"/>
        <w:gridCol w:w="2675"/>
        <w:gridCol w:w="2995"/>
      </w:tblGrid>
      <w:tr w:rsidR="00286780" w:rsidRPr="00457501" w:rsidTr="00920C24">
        <w:trPr>
          <w:trHeight w:val="227"/>
        </w:trPr>
        <w:tc>
          <w:tcPr>
            <w:tcW w:w="1729" w:type="dxa"/>
            <w:vMerge w:val="restart"/>
            <w:tcBorders>
              <w:top w:val="single" w:sz="4" w:space="0" w:color="000000"/>
              <w:left w:val="single" w:sz="4" w:space="0" w:color="000000"/>
              <w:bottom w:val="single" w:sz="4" w:space="0" w:color="000000"/>
            </w:tcBorders>
            <w:tcMar>
              <w:left w:w="28" w:type="dxa"/>
              <w:right w:w="28" w:type="dxa"/>
            </w:tcMar>
            <w:vAlign w:val="center"/>
          </w:tcPr>
          <w:p w:rsidR="00286780" w:rsidRPr="00457501" w:rsidRDefault="00286780" w:rsidP="00920C24">
            <w:pPr>
              <w:snapToGrid w:val="0"/>
              <w:jc w:val="center"/>
              <w:rPr>
                <w:rFonts w:cs="Calibri"/>
                <w:i/>
                <w:spacing w:val="-8"/>
                <w:sz w:val="26"/>
                <w:szCs w:val="26"/>
                <w:lang w:eastAsia="ar-SA"/>
              </w:rPr>
            </w:pPr>
            <w:r w:rsidRPr="00457501">
              <w:rPr>
                <w:rFonts w:cs="Calibri"/>
                <w:i/>
                <w:spacing w:val="-8"/>
                <w:sz w:val="26"/>
                <w:szCs w:val="26"/>
                <w:lang w:eastAsia="ar-SA"/>
              </w:rPr>
              <w:t>Показатели</w:t>
            </w:r>
          </w:p>
        </w:tc>
        <w:tc>
          <w:tcPr>
            <w:tcW w:w="8194" w:type="dxa"/>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457501" w:rsidRDefault="00EB47A5" w:rsidP="00920C24">
            <w:pPr>
              <w:snapToGrid w:val="0"/>
              <w:jc w:val="center"/>
              <w:rPr>
                <w:rFonts w:cs="Calibri"/>
                <w:i/>
                <w:spacing w:val="-8"/>
                <w:sz w:val="26"/>
                <w:szCs w:val="26"/>
                <w:lang w:eastAsia="ar-SA"/>
              </w:rPr>
            </w:pPr>
            <w:r>
              <w:rPr>
                <w:rFonts w:cs="Calibri"/>
                <w:i/>
                <w:spacing w:val="-8"/>
                <w:sz w:val="26"/>
                <w:szCs w:val="26"/>
                <w:lang w:eastAsia="ar-SA"/>
              </w:rPr>
              <w:t>Подг</w:t>
            </w:r>
            <w:r w:rsidR="00286780" w:rsidRPr="00457501">
              <w:rPr>
                <w:rFonts w:cs="Calibri"/>
                <w:i/>
                <w:spacing w:val="-8"/>
                <w:sz w:val="26"/>
                <w:szCs w:val="26"/>
                <w:lang w:eastAsia="ar-SA"/>
              </w:rPr>
              <w:t>руппы сравнения</w:t>
            </w:r>
          </w:p>
        </w:tc>
      </w:tr>
      <w:tr w:rsidR="00286780" w:rsidRPr="00457501" w:rsidTr="008F2C38">
        <w:trPr>
          <w:trHeight w:val="227"/>
        </w:trPr>
        <w:tc>
          <w:tcPr>
            <w:tcW w:w="1729" w:type="dxa"/>
            <w:vMerge/>
            <w:tcBorders>
              <w:top w:val="single" w:sz="4" w:space="0" w:color="000000"/>
              <w:left w:val="single" w:sz="4" w:space="0" w:color="000000"/>
              <w:bottom w:val="single" w:sz="4" w:space="0" w:color="000000"/>
            </w:tcBorders>
            <w:tcMar>
              <w:left w:w="28" w:type="dxa"/>
              <w:right w:w="28" w:type="dxa"/>
            </w:tcMar>
            <w:vAlign w:val="center"/>
          </w:tcPr>
          <w:p w:rsidR="00286780" w:rsidRPr="00457501" w:rsidRDefault="00286780" w:rsidP="00920C24">
            <w:pPr>
              <w:snapToGrid w:val="0"/>
              <w:rPr>
                <w:rFonts w:cs="Calibri"/>
                <w:spacing w:val="-8"/>
                <w:sz w:val="26"/>
                <w:szCs w:val="26"/>
                <w:lang w:eastAsia="ar-SA"/>
              </w:rPr>
            </w:pPr>
          </w:p>
        </w:tc>
        <w:tc>
          <w:tcPr>
            <w:tcW w:w="2524" w:type="dxa"/>
            <w:tcBorders>
              <w:top w:val="single" w:sz="4" w:space="0" w:color="000000"/>
              <w:left w:val="single" w:sz="4" w:space="0" w:color="000000"/>
              <w:bottom w:val="single" w:sz="4" w:space="0" w:color="000000"/>
            </w:tcBorders>
            <w:tcMar>
              <w:left w:w="28" w:type="dxa"/>
              <w:right w:w="28" w:type="dxa"/>
            </w:tcMar>
            <w:vAlign w:val="center"/>
          </w:tcPr>
          <w:p w:rsidR="00286780" w:rsidRPr="00457501" w:rsidRDefault="00286780" w:rsidP="00920C24">
            <w:pPr>
              <w:snapToGrid w:val="0"/>
              <w:jc w:val="center"/>
              <w:rPr>
                <w:rFonts w:cs="Calibri"/>
                <w:spacing w:val="-8"/>
                <w:sz w:val="26"/>
                <w:szCs w:val="26"/>
                <w:lang w:eastAsia="ar-SA"/>
              </w:rPr>
            </w:pPr>
            <w:r w:rsidRPr="00457501">
              <w:rPr>
                <w:rFonts w:cs="Calibri"/>
                <w:spacing w:val="-8"/>
                <w:sz w:val="26"/>
                <w:szCs w:val="26"/>
                <w:lang w:eastAsia="ar-SA"/>
              </w:rPr>
              <w:t>МФОИ (при наличии хронической патологии)</w:t>
            </w:r>
          </w:p>
        </w:tc>
        <w:tc>
          <w:tcPr>
            <w:tcW w:w="2675" w:type="dxa"/>
            <w:tcBorders>
              <w:top w:val="single" w:sz="4" w:space="0" w:color="000000"/>
              <w:left w:val="single" w:sz="4" w:space="0" w:color="000000"/>
              <w:bottom w:val="single" w:sz="4" w:space="0" w:color="000000"/>
            </w:tcBorders>
            <w:tcMar>
              <w:left w:w="28" w:type="dxa"/>
              <w:right w:w="28" w:type="dxa"/>
            </w:tcMar>
            <w:vAlign w:val="center"/>
          </w:tcPr>
          <w:p w:rsidR="00286780" w:rsidRPr="005B5AF5" w:rsidRDefault="00286780" w:rsidP="00920C24">
            <w:pPr>
              <w:snapToGrid w:val="0"/>
              <w:jc w:val="center"/>
              <w:rPr>
                <w:rFonts w:cs="Calibri"/>
                <w:spacing w:val="-8"/>
                <w:sz w:val="26"/>
                <w:szCs w:val="26"/>
                <w:lang w:eastAsia="ar-SA"/>
              </w:rPr>
            </w:pPr>
            <w:r w:rsidRPr="00457501">
              <w:rPr>
                <w:rFonts w:cs="Calibri"/>
                <w:spacing w:val="-8"/>
                <w:sz w:val="26"/>
                <w:szCs w:val="26"/>
                <w:lang w:eastAsia="ar-SA"/>
              </w:rPr>
              <w:t>МФОИ без хронической патологии</w:t>
            </w:r>
            <w:r w:rsidR="005B5AF5" w:rsidRPr="005B5AF5">
              <w:rPr>
                <w:rFonts w:cs="Calibri"/>
                <w:spacing w:val="-8"/>
                <w:sz w:val="26"/>
                <w:szCs w:val="26"/>
                <w:lang w:eastAsia="ar-SA"/>
              </w:rPr>
              <w:t xml:space="preserve"> (</w:t>
            </w:r>
            <w:r w:rsidR="005B5AF5">
              <w:rPr>
                <w:rFonts w:cs="Calibri"/>
                <w:spacing w:val="-8"/>
                <w:sz w:val="26"/>
                <w:szCs w:val="26"/>
                <w:lang w:val="en-US" w:eastAsia="ar-SA"/>
              </w:rPr>
              <w:t>n</w:t>
            </w:r>
            <w:r w:rsidR="005B5AF5" w:rsidRPr="005B5AF5">
              <w:rPr>
                <w:rFonts w:cs="Calibri"/>
                <w:spacing w:val="-8"/>
                <w:sz w:val="26"/>
                <w:szCs w:val="26"/>
                <w:lang w:eastAsia="ar-SA"/>
              </w:rPr>
              <w:t>=28)</w:t>
            </w:r>
          </w:p>
        </w:tc>
        <w:tc>
          <w:tcPr>
            <w:tcW w:w="299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5B5AF5" w:rsidRDefault="00286780" w:rsidP="00920C24">
            <w:pPr>
              <w:snapToGrid w:val="0"/>
              <w:jc w:val="center"/>
              <w:rPr>
                <w:rFonts w:cs="Calibri"/>
                <w:spacing w:val="-8"/>
                <w:sz w:val="26"/>
                <w:szCs w:val="26"/>
                <w:lang w:eastAsia="ar-SA"/>
              </w:rPr>
            </w:pPr>
            <w:r w:rsidRPr="00457501">
              <w:rPr>
                <w:rFonts w:cs="Calibri"/>
                <w:spacing w:val="-8"/>
                <w:sz w:val="26"/>
                <w:szCs w:val="26"/>
                <w:lang w:eastAsia="ar-SA"/>
              </w:rPr>
              <w:t xml:space="preserve">Контрольная </w:t>
            </w:r>
            <w:r w:rsidR="00EE1FD6">
              <w:rPr>
                <w:rFonts w:cs="Calibri"/>
                <w:spacing w:val="-8"/>
                <w:sz w:val="26"/>
                <w:szCs w:val="26"/>
                <w:lang w:eastAsia="ar-SA"/>
              </w:rPr>
              <w:t>под</w:t>
            </w:r>
            <w:r w:rsidRPr="00457501">
              <w:rPr>
                <w:rFonts w:cs="Calibri"/>
                <w:spacing w:val="-8"/>
                <w:sz w:val="26"/>
                <w:szCs w:val="26"/>
                <w:lang w:eastAsia="ar-SA"/>
              </w:rPr>
              <w:t xml:space="preserve">группа относительно здоровых индивидуумов </w:t>
            </w:r>
            <w:r w:rsidR="005B5AF5" w:rsidRPr="005B5AF5">
              <w:rPr>
                <w:rFonts w:cs="Calibri"/>
                <w:spacing w:val="-8"/>
                <w:sz w:val="26"/>
                <w:szCs w:val="26"/>
                <w:lang w:eastAsia="ar-SA"/>
              </w:rPr>
              <w:t>(</w:t>
            </w:r>
            <w:r w:rsidR="005B5AF5">
              <w:rPr>
                <w:rFonts w:cs="Calibri"/>
                <w:spacing w:val="-8"/>
                <w:sz w:val="26"/>
                <w:szCs w:val="26"/>
                <w:lang w:val="en-US" w:eastAsia="ar-SA"/>
              </w:rPr>
              <w:t>n</w:t>
            </w:r>
            <w:r w:rsidR="005B5AF5" w:rsidRPr="005B5AF5">
              <w:rPr>
                <w:rFonts w:cs="Calibri"/>
                <w:spacing w:val="-8"/>
                <w:sz w:val="26"/>
                <w:szCs w:val="26"/>
                <w:lang w:eastAsia="ar-SA"/>
              </w:rPr>
              <w:t>=32)</w:t>
            </w:r>
          </w:p>
        </w:tc>
      </w:tr>
      <w:tr w:rsidR="00286780" w:rsidRPr="00457501" w:rsidTr="00457501">
        <w:trPr>
          <w:trHeight w:val="313"/>
        </w:trPr>
        <w:tc>
          <w:tcPr>
            <w:tcW w:w="1729" w:type="dxa"/>
            <w:tcBorders>
              <w:top w:val="single" w:sz="4" w:space="0" w:color="000000"/>
              <w:left w:val="single" w:sz="4" w:space="0" w:color="000000"/>
              <w:bottom w:val="single" w:sz="4" w:space="0" w:color="000000"/>
            </w:tcBorders>
            <w:tcMar>
              <w:left w:w="28" w:type="dxa"/>
              <w:right w:w="28" w:type="dxa"/>
            </w:tcMar>
            <w:vAlign w:val="center"/>
          </w:tcPr>
          <w:p w:rsidR="00286780" w:rsidRPr="00457501" w:rsidRDefault="00286780" w:rsidP="00920C24">
            <w:pPr>
              <w:snapToGrid w:val="0"/>
              <w:rPr>
                <w:rFonts w:cs="Calibri"/>
                <w:spacing w:val="-8"/>
                <w:sz w:val="26"/>
                <w:szCs w:val="26"/>
                <w:lang w:val="en-US" w:eastAsia="ar-SA"/>
              </w:rPr>
            </w:pPr>
            <w:r w:rsidRPr="00457501">
              <w:rPr>
                <w:rFonts w:cs="Calibri"/>
                <w:spacing w:val="-8"/>
                <w:sz w:val="26"/>
                <w:szCs w:val="26"/>
                <w:lang w:val="en-US" w:eastAsia="ar-SA"/>
              </w:rPr>
              <w:t>IgA</w:t>
            </w:r>
          </w:p>
        </w:tc>
        <w:tc>
          <w:tcPr>
            <w:tcW w:w="2524" w:type="dxa"/>
            <w:tcBorders>
              <w:top w:val="single" w:sz="4" w:space="0" w:color="000000"/>
              <w:left w:val="single" w:sz="4" w:space="0" w:color="000000"/>
              <w:bottom w:val="single" w:sz="4" w:space="0" w:color="000000"/>
            </w:tcBorders>
            <w:tcMar>
              <w:left w:w="28" w:type="dxa"/>
              <w:right w:w="28" w:type="dxa"/>
            </w:tcMar>
            <w:vAlign w:val="center"/>
          </w:tcPr>
          <w:p w:rsidR="00286780" w:rsidRPr="00457501" w:rsidRDefault="00286780" w:rsidP="00920C24">
            <w:pPr>
              <w:snapToGrid w:val="0"/>
              <w:jc w:val="center"/>
              <w:rPr>
                <w:rFonts w:cs="Calibri"/>
                <w:spacing w:val="-8"/>
                <w:sz w:val="26"/>
                <w:szCs w:val="26"/>
                <w:lang w:eastAsia="ar-SA"/>
              </w:rPr>
            </w:pPr>
            <w:r w:rsidRPr="00457501">
              <w:rPr>
                <w:rFonts w:cs="Calibri"/>
                <w:spacing w:val="-8"/>
                <w:sz w:val="26"/>
                <w:szCs w:val="26"/>
                <w:lang w:eastAsia="ar-SA"/>
              </w:rPr>
              <w:t>188,4±33,5*</w:t>
            </w:r>
          </w:p>
        </w:tc>
        <w:tc>
          <w:tcPr>
            <w:tcW w:w="2675" w:type="dxa"/>
            <w:tcBorders>
              <w:top w:val="single" w:sz="4" w:space="0" w:color="000000"/>
              <w:left w:val="single" w:sz="4" w:space="0" w:color="000000"/>
              <w:bottom w:val="single" w:sz="4" w:space="0" w:color="000000"/>
            </w:tcBorders>
            <w:tcMar>
              <w:left w:w="28" w:type="dxa"/>
              <w:right w:w="28" w:type="dxa"/>
            </w:tcMar>
            <w:vAlign w:val="center"/>
          </w:tcPr>
          <w:p w:rsidR="00286780" w:rsidRPr="00457501" w:rsidRDefault="00286780" w:rsidP="00920C24">
            <w:pPr>
              <w:snapToGrid w:val="0"/>
              <w:jc w:val="center"/>
              <w:rPr>
                <w:rFonts w:cs="Calibri"/>
                <w:spacing w:val="-8"/>
                <w:sz w:val="26"/>
                <w:szCs w:val="26"/>
                <w:lang w:eastAsia="ar-SA"/>
              </w:rPr>
            </w:pPr>
            <w:r w:rsidRPr="00457501">
              <w:rPr>
                <w:rFonts w:cs="Calibri"/>
                <w:spacing w:val="-8"/>
                <w:sz w:val="26"/>
                <w:szCs w:val="26"/>
                <w:lang w:eastAsia="ar-SA"/>
              </w:rPr>
              <w:t>177,2±18,2*</w:t>
            </w:r>
          </w:p>
        </w:tc>
        <w:tc>
          <w:tcPr>
            <w:tcW w:w="299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457501" w:rsidRDefault="00286780" w:rsidP="00920C24">
            <w:pPr>
              <w:snapToGrid w:val="0"/>
              <w:jc w:val="center"/>
              <w:rPr>
                <w:rFonts w:cs="Calibri"/>
                <w:spacing w:val="-8"/>
                <w:sz w:val="26"/>
                <w:szCs w:val="26"/>
                <w:lang w:eastAsia="ar-SA"/>
              </w:rPr>
            </w:pPr>
            <w:r w:rsidRPr="00457501">
              <w:rPr>
                <w:rFonts w:cs="Calibri"/>
                <w:spacing w:val="-8"/>
                <w:sz w:val="26"/>
                <w:szCs w:val="26"/>
                <w:lang w:eastAsia="ar-SA"/>
              </w:rPr>
              <w:t>108,7±3,71</w:t>
            </w:r>
          </w:p>
        </w:tc>
      </w:tr>
      <w:tr w:rsidR="00286780" w:rsidRPr="00457501" w:rsidTr="00457501">
        <w:trPr>
          <w:trHeight w:val="276"/>
        </w:trPr>
        <w:tc>
          <w:tcPr>
            <w:tcW w:w="1729" w:type="dxa"/>
            <w:tcBorders>
              <w:top w:val="single" w:sz="4" w:space="0" w:color="000000"/>
              <w:left w:val="single" w:sz="4" w:space="0" w:color="000000"/>
              <w:bottom w:val="single" w:sz="4" w:space="0" w:color="000000"/>
            </w:tcBorders>
            <w:tcMar>
              <w:left w:w="28" w:type="dxa"/>
              <w:right w:w="28" w:type="dxa"/>
            </w:tcMar>
            <w:vAlign w:val="center"/>
          </w:tcPr>
          <w:p w:rsidR="00286780" w:rsidRPr="00457501" w:rsidRDefault="00286780" w:rsidP="00920C24">
            <w:pPr>
              <w:snapToGrid w:val="0"/>
              <w:rPr>
                <w:rFonts w:cs="Calibri"/>
                <w:spacing w:val="-8"/>
                <w:sz w:val="26"/>
                <w:szCs w:val="26"/>
                <w:lang w:val="en-US" w:eastAsia="ar-SA"/>
              </w:rPr>
            </w:pPr>
            <w:r w:rsidRPr="00457501">
              <w:rPr>
                <w:rFonts w:cs="Calibri"/>
                <w:spacing w:val="-8"/>
                <w:sz w:val="26"/>
                <w:szCs w:val="26"/>
                <w:lang w:val="en-US" w:eastAsia="ar-SA"/>
              </w:rPr>
              <w:t>IgM</w:t>
            </w:r>
          </w:p>
        </w:tc>
        <w:tc>
          <w:tcPr>
            <w:tcW w:w="2524" w:type="dxa"/>
            <w:tcBorders>
              <w:top w:val="single" w:sz="4" w:space="0" w:color="000000"/>
              <w:left w:val="single" w:sz="4" w:space="0" w:color="000000"/>
              <w:bottom w:val="single" w:sz="4" w:space="0" w:color="000000"/>
            </w:tcBorders>
            <w:tcMar>
              <w:left w:w="28" w:type="dxa"/>
              <w:right w:w="28" w:type="dxa"/>
            </w:tcMar>
            <w:vAlign w:val="center"/>
          </w:tcPr>
          <w:p w:rsidR="00286780" w:rsidRPr="00457501" w:rsidRDefault="00286780" w:rsidP="00920C24">
            <w:pPr>
              <w:snapToGrid w:val="0"/>
              <w:jc w:val="center"/>
              <w:rPr>
                <w:rFonts w:cs="Calibri"/>
                <w:spacing w:val="-8"/>
                <w:sz w:val="26"/>
                <w:szCs w:val="26"/>
                <w:lang w:eastAsia="ar-SA"/>
              </w:rPr>
            </w:pPr>
            <w:r w:rsidRPr="00457501">
              <w:rPr>
                <w:rFonts w:cs="Calibri"/>
                <w:spacing w:val="-8"/>
                <w:sz w:val="26"/>
                <w:szCs w:val="26"/>
                <w:lang w:eastAsia="ar-SA"/>
              </w:rPr>
              <w:t>189,7±48,5*</w:t>
            </w:r>
          </w:p>
        </w:tc>
        <w:tc>
          <w:tcPr>
            <w:tcW w:w="2675" w:type="dxa"/>
            <w:tcBorders>
              <w:top w:val="single" w:sz="4" w:space="0" w:color="000000"/>
              <w:left w:val="single" w:sz="4" w:space="0" w:color="000000"/>
              <w:bottom w:val="single" w:sz="4" w:space="0" w:color="000000"/>
            </w:tcBorders>
            <w:tcMar>
              <w:left w:w="28" w:type="dxa"/>
              <w:right w:w="28" w:type="dxa"/>
            </w:tcMar>
            <w:vAlign w:val="center"/>
          </w:tcPr>
          <w:p w:rsidR="00286780" w:rsidRPr="00457501" w:rsidRDefault="00286780" w:rsidP="00920C24">
            <w:pPr>
              <w:snapToGrid w:val="0"/>
              <w:jc w:val="center"/>
              <w:rPr>
                <w:rFonts w:cs="Calibri"/>
                <w:spacing w:val="-8"/>
                <w:sz w:val="26"/>
                <w:szCs w:val="26"/>
                <w:lang w:eastAsia="ar-SA"/>
              </w:rPr>
            </w:pPr>
            <w:r w:rsidRPr="00457501">
              <w:rPr>
                <w:rFonts w:cs="Calibri"/>
                <w:spacing w:val="-8"/>
                <w:sz w:val="26"/>
                <w:szCs w:val="26"/>
                <w:lang w:eastAsia="ar-SA"/>
              </w:rPr>
              <w:t>180,36±28,4*</w:t>
            </w:r>
          </w:p>
        </w:tc>
        <w:tc>
          <w:tcPr>
            <w:tcW w:w="299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457501" w:rsidRDefault="00286780" w:rsidP="00920C24">
            <w:pPr>
              <w:snapToGrid w:val="0"/>
              <w:jc w:val="center"/>
              <w:rPr>
                <w:rFonts w:cs="Calibri"/>
                <w:spacing w:val="-8"/>
                <w:sz w:val="26"/>
                <w:szCs w:val="26"/>
                <w:lang w:eastAsia="ar-SA"/>
              </w:rPr>
            </w:pPr>
            <w:r w:rsidRPr="00457501">
              <w:rPr>
                <w:rFonts w:cs="Calibri"/>
                <w:spacing w:val="-8"/>
                <w:sz w:val="26"/>
                <w:szCs w:val="26"/>
                <w:lang w:eastAsia="ar-SA"/>
              </w:rPr>
              <w:t>106,1±11,3</w:t>
            </w:r>
          </w:p>
        </w:tc>
      </w:tr>
      <w:tr w:rsidR="00286780" w:rsidRPr="00457501" w:rsidTr="00457501">
        <w:trPr>
          <w:trHeight w:val="265"/>
        </w:trPr>
        <w:tc>
          <w:tcPr>
            <w:tcW w:w="1729" w:type="dxa"/>
            <w:tcBorders>
              <w:top w:val="single" w:sz="4" w:space="0" w:color="000000"/>
              <w:left w:val="single" w:sz="4" w:space="0" w:color="000000"/>
              <w:bottom w:val="single" w:sz="4" w:space="0" w:color="000000"/>
            </w:tcBorders>
            <w:tcMar>
              <w:left w:w="28" w:type="dxa"/>
              <w:right w:w="28" w:type="dxa"/>
            </w:tcMar>
            <w:vAlign w:val="center"/>
          </w:tcPr>
          <w:p w:rsidR="00286780" w:rsidRPr="00457501" w:rsidRDefault="00286780" w:rsidP="00920C24">
            <w:pPr>
              <w:snapToGrid w:val="0"/>
              <w:rPr>
                <w:rFonts w:cs="Calibri"/>
                <w:spacing w:val="-8"/>
                <w:sz w:val="26"/>
                <w:szCs w:val="26"/>
                <w:lang w:val="en-US" w:eastAsia="ar-SA"/>
              </w:rPr>
            </w:pPr>
            <w:r w:rsidRPr="00457501">
              <w:rPr>
                <w:rFonts w:cs="Calibri"/>
                <w:spacing w:val="-8"/>
                <w:sz w:val="26"/>
                <w:szCs w:val="26"/>
                <w:lang w:val="en-US" w:eastAsia="ar-SA"/>
              </w:rPr>
              <w:t>IgG</w:t>
            </w:r>
          </w:p>
        </w:tc>
        <w:tc>
          <w:tcPr>
            <w:tcW w:w="2524" w:type="dxa"/>
            <w:tcBorders>
              <w:top w:val="single" w:sz="4" w:space="0" w:color="000000"/>
              <w:left w:val="single" w:sz="4" w:space="0" w:color="000000"/>
              <w:bottom w:val="single" w:sz="4" w:space="0" w:color="000000"/>
            </w:tcBorders>
            <w:tcMar>
              <w:left w:w="28" w:type="dxa"/>
              <w:right w:w="28" w:type="dxa"/>
            </w:tcMar>
            <w:vAlign w:val="center"/>
          </w:tcPr>
          <w:p w:rsidR="00286780" w:rsidRPr="00457501" w:rsidRDefault="00286780" w:rsidP="00920C24">
            <w:pPr>
              <w:snapToGrid w:val="0"/>
              <w:jc w:val="center"/>
              <w:rPr>
                <w:rFonts w:cs="Calibri"/>
                <w:spacing w:val="-8"/>
                <w:sz w:val="26"/>
                <w:szCs w:val="26"/>
                <w:lang w:eastAsia="ar-SA"/>
              </w:rPr>
            </w:pPr>
            <w:r w:rsidRPr="00457501">
              <w:rPr>
                <w:rFonts w:cs="Calibri"/>
                <w:spacing w:val="-8"/>
                <w:sz w:val="26"/>
                <w:szCs w:val="26"/>
                <w:lang w:eastAsia="ar-SA"/>
              </w:rPr>
              <w:t>1291,86±39,7*</w:t>
            </w:r>
          </w:p>
        </w:tc>
        <w:tc>
          <w:tcPr>
            <w:tcW w:w="2675" w:type="dxa"/>
            <w:tcBorders>
              <w:top w:val="single" w:sz="4" w:space="0" w:color="000000"/>
              <w:left w:val="single" w:sz="4" w:space="0" w:color="000000"/>
              <w:bottom w:val="single" w:sz="4" w:space="0" w:color="000000"/>
            </w:tcBorders>
            <w:tcMar>
              <w:left w:w="28" w:type="dxa"/>
              <w:right w:w="28" w:type="dxa"/>
            </w:tcMar>
            <w:vAlign w:val="center"/>
          </w:tcPr>
          <w:p w:rsidR="00286780" w:rsidRPr="00457501" w:rsidRDefault="00286780" w:rsidP="00920C24">
            <w:pPr>
              <w:snapToGrid w:val="0"/>
              <w:jc w:val="center"/>
              <w:rPr>
                <w:rFonts w:cs="Calibri"/>
                <w:spacing w:val="-8"/>
                <w:sz w:val="26"/>
                <w:szCs w:val="26"/>
                <w:lang w:eastAsia="ar-SA"/>
              </w:rPr>
            </w:pPr>
            <w:r w:rsidRPr="00457501">
              <w:rPr>
                <w:rFonts w:cs="Calibri"/>
                <w:spacing w:val="-8"/>
                <w:sz w:val="26"/>
                <w:szCs w:val="26"/>
                <w:lang w:eastAsia="ar-SA"/>
              </w:rPr>
              <w:t>1165,07±38,5</w:t>
            </w:r>
          </w:p>
        </w:tc>
        <w:tc>
          <w:tcPr>
            <w:tcW w:w="299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457501" w:rsidRDefault="00286780" w:rsidP="00920C24">
            <w:pPr>
              <w:snapToGrid w:val="0"/>
              <w:jc w:val="center"/>
              <w:rPr>
                <w:rFonts w:cs="Calibri"/>
                <w:spacing w:val="-8"/>
                <w:sz w:val="26"/>
                <w:szCs w:val="26"/>
                <w:lang w:eastAsia="ar-SA"/>
              </w:rPr>
            </w:pPr>
            <w:r w:rsidRPr="00457501">
              <w:rPr>
                <w:rFonts w:cs="Calibri"/>
                <w:spacing w:val="-8"/>
                <w:sz w:val="26"/>
                <w:szCs w:val="26"/>
                <w:lang w:eastAsia="ar-SA"/>
              </w:rPr>
              <w:t>1135,7±18,9</w:t>
            </w:r>
          </w:p>
        </w:tc>
      </w:tr>
      <w:tr w:rsidR="00286780" w:rsidRPr="00457501" w:rsidTr="00457501">
        <w:trPr>
          <w:trHeight w:val="272"/>
        </w:trPr>
        <w:tc>
          <w:tcPr>
            <w:tcW w:w="1729" w:type="dxa"/>
            <w:tcBorders>
              <w:top w:val="single" w:sz="4" w:space="0" w:color="000000"/>
              <w:left w:val="single" w:sz="4" w:space="0" w:color="000000"/>
              <w:bottom w:val="single" w:sz="4" w:space="0" w:color="000000"/>
            </w:tcBorders>
            <w:tcMar>
              <w:left w:w="28" w:type="dxa"/>
              <w:right w:w="28" w:type="dxa"/>
            </w:tcMar>
            <w:vAlign w:val="center"/>
          </w:tcPr>
          <w:p w:rsidR="00286780" w:rsidRPr="00457501" w:rsidRDefault="00286780" w:rsidP="00920C24">
            <w:pPr>
              <w:snapToGrid w:val="0"/>
              <w:rPr>
                <w:rFonts w:cs="Calibri"/>
                <w:spacing w:val="-8"/>
                <w:sz w:val="26"/>
                <w:szCs w:val="26"/>
                <w:lang w:eastAsia="ar-SA"/>
              </w:rPr>
            </w:pPr>
            <w:r w:rsidRPr="00457501">
              <w:rPr>
                <w:rFonts w:cs="Calibri"/>
                <w:spacing w:val="-8"/>
                <w:sz w:val="26"/>
                <w:szCs w:val="26"/>
                <w:lang w:eastAsia="ar-SA"/>
              </w:rPr>
              <w:t>ИЛ-1ß (пг/мл)</w:t>
            </w:r>
          </w:p>
        </w:tc>
        <w:tc>
          <w:tcPr>
            <w:tcW w:w="2524" w:type="dxa"/>
            <w:tcBorders>
              <w:top w:val="single" w:sz="4" w:space="0" w:color="000000"/>
              <w:left w:val="single" w:sz="4" w:space="0" w:color="000000"/>
              <w:bottom w:val="single" w:sz="4" w:space="0" w:color="000000"/>
            </w:tcBorders>
            <w:tcMar>
              <w:left w:w="28" w:type="dxa"/>
              <w:right w:w="28" w:type="dxa"/>
            </w:tcMar>
            <w:vAlign w:val="center"/>
          </w:tcPr>
          <w:p w:rsidR="00286780" w:rsidRPr="00457501" w:rsidRDefault="00286780" w:rsidP="00920C24">
            <w:pPr>
              <w:snapToGrid w:val="0"/>
              <w:jc w:val="center"/>
              <w:rPr>
                <w:rFonts w:cs="Calibri"/>
                <w:spacing w:val="-8"/>
                <w:sz w:val="26"/>
                <w:szCs w:val="26"/>
                <w:lang w:eastAsia="ar-SA"/>
              </w:rPr>
            </w:pPr>
            <w:r w:rsidRPr="00457501">
              <w:rPr>
                <w:rFonts w:cs="Calibri"/>
                <w:spacing w:val="-8"/>
                <w:sz w:val="26"/>
                <w:szCs w:val="26"/>
                <w:lang w:eastAsia="ar-SA"/>
              </w:rPr>
              <w:t>4,66±0,26*</w:t>
            </w:r>
          </w:p>
        </w:tc>
        <w:tc>
          <w:tcPr>
            <w:tcW w:w="2675" w:type="dxa"/>
            <w:tcBorders>
              <w:top w:val="single" w:sz="4" w:space="0" w:color="000000"/>
              <w:left w:val="single" w:sz="4" w:space="0" w:color="000000"/>
              <w:bottom w:val="single" w:sz="4" w:space="0" w:color="000000"/>
            </w:tcBorders>
            <w:tcMar>
              <w:left w:w="28" w:type="dxa"/>
              <w:right w:w="28" w:type="dxa"/>
            </w:tcMar>
            <w:vAlign w:val="center"/>
          </w:tcPr>
          <w:p w:rsidR="00286780" w:rsidRPr="00457501" w:rsidRDefault="00286780" w:rsidP="00920C24">
            <w:pPr>
              <w:snapToGrid w:val="0"/>
              <w:jc w:val="center"/>
              <w:rPr>
                <w:rFonts w:cs="Calibri"/>
                <w:spacing w:val="-8"/>
                <w:sz w:val="26"/>
                <w:szCs w:val="26"/>
                <w:lang w:val="en-US" w:eastAsia="ar-SA"/>
              </w:rPr>
            </w:pPr>
            <w:r w:rsidRPr="00457501">
              <w:rPr>
                <w:rFonts w:cs="Calibri"/>
                <w:spacing w:val="-8"/>
                <w:sz w:val="26"/>
                <w:szCs w:val="26"/>
                <w:lang w:eastAsia="ar-SA"/>
              </w:rPr>
              <w:t>4,67±0,24</w:t>
            </w:r>
            <w:r w:rsidRPr="00457501">
              <w:rPr>
                <w:rFonts w:cs="Calibri"/>
                <w:spacing w:val="-8"/>
                <w:sz w:val="26"/>
                <w:szCs w:val="26"/>
                <w:lang w:val="en-US" w:eastAsia="ar-SA"/>
              </w:rPr>
              <w:t>*</w:t>
            </w:r>
          </w:p>
        </w:tc>
        <w:tc>
          <w:tcPr>
            <w:tcW w:w="299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457501" w:rsidRDefault="00286780" w:rsidP="00920C24">
            <w:pPr>
              <w:snapToGrid w:val="0"/>
              <w:jc w:val="center"/>
              <w:rPr>
                <w:rFonts w:cs="Calibri"/>
                <w:spacing w:val="-8"/>
                <w:sz w:val="26"/>
                <w:szCs w:val="26"/>
                <w:lang w:eastAsia="ar-SA"/>
              </w:rPr>
            </w:pPr>
            <w:r w:rsidRPr="00457501">
              <w:rPr>
                <w:rFonts w:cs="Calibri"/>
                <w:spacing w:val="-8"/>
                <w:sz w:val="26"/>
                <w:szCs w:val="26"/>
                <w:lang w:eastAsia="ar-SA"/>
              </w:rPr>
              <w:t>5,77±0,2</w:t>
            </w:r>
          </w:p>
        </w:tc>
      </w:tr>
      <w:tr w:rsidR="00286780" w:rsidRPr="00457501" w:rsidTr="00457501">
        <w:trPr>
          <w:trHeight w:val="247"/>
        </w:trPr>
        <w:tc>
          <w:tcPr>
            <w:tcW w:w="1729" w:type="dxa"/>
            <w:tcBorders>
              <w:top w:val="single" w:sz="4" w:space="0" w:color="000000"/>
              <w:left w:val="single" w:sz="4" w:space="0" w:color="000000"/>
              <w:bottom w:val="single" w:sz="4" w:space="0" w:color="000000"/>
            </w:tcBorders>
            <w:tcMar>
              <w:left w:w="28" w:type="dxa"/>
              <w:right w:w="28" w:type="dxa"/>
            </w:tcMar>
            <w:vAlign w:val="center"/>
          </w:tcPr>
          <w:p w:rsidR="00286780" w:rsidRPr="00457501" w:rsidRDefault="00286780" w:rsidP="00920C24">
            <w:pPr>
              <w:snapToGrid w:val="0"/>
              <w:rPr>
                <w:rFonts w:cs="Calibri"/>
                <w:spacing w:val="-8"/>
                <w:sz w:val="26"/>
                <w:szCs w:val="26"/>
                <w:lang w:eastAsia="ar-SA"/>
              </w:rPr>
            </w:pPr>
            <w:r w:rsidRPr="00457501">
              <w:rPr>
                <w:rFonts w:cs="Calibri"/>
                <w:spacing w:val="-8"/>
                <w:sz w:val="26"/>
                <w:szCs w:val="26"/>
                <w:lang w:eastAsia="ar-SA"/>
              </w:rPr>
              <w:t>ИЛ-4 (пг/мл)</w:t>
            </w:r>
          </w:p>
        </w:tc>
        <w:tc>
          <w:tcPr>
            <w:tcW w:w="2524" w:type="dxa"/>
            <w:tcBorders>
              <w:top w:val="single" w:sz="4" w:space="0" w:color="000000"/>
              <w:left w:val="single" w:sz="4" w:space="0" w:color="000000"/>
              <w:bottom w:val="single" w:sz="4" w:space="0" w:color="000000"/>
            </w:tcBorders>
            <w:tcMar>
              <w:left w:w="28" w:type="dxa"/>
              <w:right w:w="28" w:type="dxa"/>
            </w:tcMar>
            <w:vAlign w:val="center"/>
          </w:tcPr>
          <w:p w:rsidR="00286780" w:rsidRPr="00457501" w:rsidRDefault="00286780" w:rsidP="00920C24">
            <w:pPr>
              <w:snapToGrid w:val="0"/>
              <w:jc w:val="center"/>
              <w:rPr>
                <w:rFonts w:cs="Calibri"/>
                <w:spacing w:val="-8"/>
                <w:sz w:val="26"/>
                <w:szCs w:val="26"/>
                <w:lang w:eastAsia="ar-SA"/>
              </w:rPr>
            </w:pPr>
            <w:r w:rsidRPr="00457501">
              <w:rPr>
                <w:rFonts w:cs="Calibri"/>
                <w:spacing w:val="-8"/>
                <w:sz w:val="26"/>
                <w:szCs w:val="26"/>
                <w:lang w:eastAsia="ar-SA"/>
              </w:rPr>
              <w:t>1,86±0,19</w:t>
            </w:r>
          </w:p>
        </w:tc>
        <w:tc>
          <w:tcPr>
            <w:tcW w:w="2675" w:type="dxa"/>
            <w:tcBorders>
              <w:top w:val="single" w:sz="4" w:space="0" w:color="000000"/>
              <w:left w:val="single" w:sz="4" w:space="0" w:color="000000"/>
              <w:bottom w:val="single" w:sz="4" w:space="0" w:color="000000"/>
            </w:tcBorders>
            <w:tcMar>
              <w:left w:w="28" w:type="dxa"/>
              <w:right w:w="28" w:type="dxa"/>
            </w:tcMar>
            <w:vAlign w:val="center"/>
          </w:tcPr>
          <w:p w:rsidR="00286780" w:rsidRPr="00457501" w:rsidRDefault="00286780" w:rsidP="00920C24">
            <w:pPr>
              <w:snapToGrid w:val="0"/>
              <w:jc w:val="center"/>
              <w:rPr>
                <w:rFonts w:cs="Calibri"/>
                <w:spacing w:val="-8"/>
                <w:sz w:val="26"/>
                <w:szCs w:val="26"/>
                <w:lang w:eastAsia="ar-SA"/>
              </w:rPr>
            </w:pPr>
            <w:r w:rsidRPr="00457501">
              <w:rPr>
                <w:rFonts w:cs="Calibri"/>
                <w:spacing w:val="-8"/>
                <w:sz w:val="26"/>
                <w:szCs w:val="26"/>
                <w:lang w:eastAsia="ar-SA"/>
              </w:rPr>
              <w:t>2,74±0,29</w:t>
            </w:r>
          </w:p>
        </w:tc>
        <w:tc>
          <w:tcPr>
            <w:tcW w:w="299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457501" w:rsidRDefault="00286780" w:rsidP="00920C24">
            <w:pPr>
              <w:snapToGrid w:val="0"/>
              <w:jc w:val="center"/>
              <w:rPr>
                <w:rFonts w:cs="Calibri"/>
                <w:spacing w:val="-8"/>
                <w:sz w:val="26"/>
                <w:szCs w:val="26"/>
                <w:lang w:eastAsia="ar-SA"/>
              </w:rPr>
            </w:pPr>
            <w:r w:rsidRPr="00457501">
              <w:rPr>
                <w:rFonts w:cs="Calibri"/>
                <w:spacing w:val="-8"/>
                <w:sz w:val="26"/>
                <w:szCs w:val="26"/>
                <w:lang w:eastAsia="ar-SA"/>
              </w:rPr>
              <w:t>2,28±0,14</w:t>
            </w:r>
          </w:p>
        </w:tc>
      </w:tr>
      <w:tr w:rsidR="00286780" w:rsidRPr="00457501" w:rsidTr="00457501">
        <w:trPr>
          <w:trHeight w:val="366"/>
        </w:trPr>
        <w:tc>
          <w:tcPr>
            <w:tcW w:w="1729" w:type="dxa"/>
            <w:tcBorders>
              <w:top w:val="single" w:sz="4" w:space="0" w:color="000000"/>
              <w:left w:val="single" w:sz="4" w:space="0" w:color="000000"/>
              <w:bottom w:val="single" w:sz="4" w:space="0" w:color="000000"/>
            </w:tcBorders>
            <w:tcMar>
              <w:left w:w="28" w:type="dxa"/>
              <w:right w:w="28" w:type="dxa"/>
            </w:tcMar>
            <w:vAlign w:val="center"/>
          </w:tcPr>
          <w:p w:rsidR="00286780" w:rsidRPr="00457501" w:rsidRDefault="00286780" w:rsidP="00920C24">
            <w:pPr>
              <w:snapToGrid w:val="0"/>
              <w:rPr>
                <w:rFonts w:cs="Calibri"/>
                <w:spacing w:val="-8"/>
                <w:sz w:val="26"/>
                <w:szCs w:val="26"/>
                <w:lang w:eastAsia="ar-SA"/>
              </w:rPr>
            </w:pPr>
            <w:r w:rsidRPr="00457501">
              <w:rPr>
                <w:rFonts w:cs="Calibri"/>
                <w:spacing w:val="-8"/>
                <w:sz w:val="26"/>
                <w:szCs w:val="26"/>
                <w:lang w:eastAsia="ar-SA"/>
              </w:rPr>
              <w:t>ИЛ-6 (пг/мл)</w:t>
            </w:r>
          </w:p>
        </w:tc>
        <w:tc>
          <w:tcPr>
            <w:tcW w:w="2524" w:type="dxa"/>
            <w:tcBorders>
              <w:top w:val="single" w:sz="4" w:space="0" w:color="000000"/>
              <w:left w:val="single" w:sz="4" w:space="0" w:color="000000"/>
              <w:bottom w:val="single" w:sz="4" w:space="0" w:color="000000"/>
            </w:tcBorders>
            <w:tcMar>
              <w:left w:w="28" w:type="dxa"/>
              <w:right w:w="28" w:type="dxa"/>
            </w:tcMar>
            <w:vAlign w:val="center"/>
          </w:tcPr>
          <w:p w:rsidR="00286780" w:rsidRPr="00457501" w:rsidRDefault="00286780" w:rsidP="00920C24">
            <w:pPr>
              <w:snapToGrid w:val="0"/>
              <w:jc w:val="center"/>
              <w:rPr>
                <w:rFonts w:cs="Calibri"/>
                <w:spacing w:val="-8"/>
                <w:sz w:val="26"/>
                <w:szCs w:val="26"/>
                <w:lang w:eastAsia="ar-SA"/>
              </w:rPr>
            </w:pPr>
            <w:r w:rsidRPr="00457501">
              <w:rPr>
                <w:rFonts w:cs="Calibri"/>
                <w:spacing w:val="-8"/>
                <w:sz w:val="26"/>
                <w:szCs w:val="26"/>
                <w:lang w:eastAsia="ar-SA"/>
              </w:rPr>
              <w:t>6,81±1,04</w:t>
            </w:r>
          </w:p>
        </w:tc>
        <w:tc>
          <w:tcPr>
            <w:tcW w:w="2675" w:type="dxa"/>
            <w:tcBorders>
              <w:top w:val="single" w:sz="4" w:space="0" w:color="000000"/>
              <w:left w:val="single" w:sz="4" w:space="0" w:color="000000"/>
              <w:bottom w:val="single" w:sz="4" w:space="0" w:color="000000"/>
            </w:tcBorders>
            <w:tcMar>
              <w:left w:w="28" w:type="dxa"/>
              <w:right w:w="28" w:type="dxa"/>
            </w:tcMar>
            <w:vAlign w:val="center"/>
          </w:tcPr>
          <w:p w:rsidR="00286780" w:rsidRPr="00457501" w:rsidRDefault="00286780" w:rsidP="00920C24">
            <w:pPr>
              <w:snapToGrid w:val="0"/>
              <w:jc w:val="center"/>
              <w:rPr>
                <w:rFonts w:cs="Calibri"/>
                <w:spacing w:val="-8"/>
                <w:sz w:val="26"/>
                <w:szCs w:val="26"/>
                <w:lang w:eastAsia="ar-SA"/>
              </w:rPr>
            </w:pPr>
            <w:r w:rsidRPr="00457501">
              <w:rPr>
                <w:rFonts w:cs="Calibri"/>
                <w:spacing w:val="-8"/>
                <w:sz w:val="26"/>
                <w:szCs w:val="26"/>
                <w:lang w:eastAsia="ar-SA"/>
              </w:rPr>
              <w:t>7,03±0,54</w:t>
            </w:r>
          </w:p>
        </w:tc>
        <w:tc>
          <w:tcPr>
            <w:tcW w:w="299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457501" w:rsidRDefault="00286780" w:rsidP="00920C24">
            <w:pPr>
              <w:snapToGrid w:val="0"/>
              <w:jc w:val="center"/>
              <w:rPr>
                <w:rFonts w:cs="Calibri"/>
                <w:spacing w:val="-8"/>
                <w:sz w:val="26"/>
                <w:szCs w:val="26"/>
                <w:lang w:eastAsia="ar-SA"/>
              </w:rPr>
            </w:pPr>
            <w:r w:rsidRPr="00457501">
              <w:rPr>
                <w:rFonts w:cs="Calibri"/>
                <w:spacing w:val="-8"/>
                <w:sz w:val="26"/>
                <w:szCs w:val="26"/>
                <w:lang w:eastAsia="ar-SA"/>
              </w:rPr>
              <w:t>8,82±0,78</w:t>
            </w:r>
          </w:p>
        </w:tc>
      </w:tr>
      <w:tr w:rsidR="00286780" w:rsidRPr="00457501" w:rsidTr="00457501">
        <w:trPr>
          <w:trHeight w:val="400"/>
        </w:trPr>
        <w:tc>
          <w:tcPr>
            <w:tcW w:w="1729" w:type="dxa"/>
            <w:tcBorders>
              <w:top w:val="single" w:sz="4" w:space="0" w:color="000000"/>
              <w:left w:val="single" w:sz="4" w:space="0" w:color="000000"/>
              <w:bottom w:val="single" w:sz="4" w:space="0" w:color="000000"/>
            </w:tcBorders>
            <w:tcMar>
              <w:left w:w="28" w:type="dxa"/>
              <w:right w:w="28" w:type="dxa"/>
            </w:tcMar>
            <w:vAlign w:val="center"/>
          </w:tcPr>
          <w:p w:rsidR="00286780" w:rsidRPr="00457501" w:rsidRDefault="00286780" w:rsidP="00920C24">
            <w:pPr>
              <w:snapToGrid w:val="0"/>
              <w:rPr>
                <w:rFonts w:cs="Calibri"/>
                <w:spacing w:val="-8"/>
                <w:sz w:val="26"/>
                <w:szCs w:val="26"/>
                <w:lang w:eastAsia="ar-SA"/>
              </w:rPr>
            </w:pPr>
            <w:r w:rsidRPr="00457501">
              <w:rPr>
                <w:rFonts w:cs="Calibri"/>
                <w:spacing w:val="-8"/>
                <w:sz w:val="26"/>
                <w:szCs w:val="26"/>
                <w:lang w:eastAsia="ar-SA"/>
              </w:rPr>
              <w:t>ИЛ-10 (пг/мл)</w:t>
            </w:r>
          </w:p>
        </w:tc>
        <w:tc>
          <w:tcPr>
            <w:tcW w:w="2524" w:type="dxa"/>
            <w:tcBorders>
              <w:top w:val="single" w:sz="4" w:space="0" w:color="000000"/>
              <w:left w:val="single" w:sz="4" w:space="0" w:color="000000"/>
              <w:bottom w:val="single" w:sz="4" w:space="0" w:color="000000"/>
            </w:tcBorders>
            <w:tcMar>
              <w:left w:w="28" w:type="dxa"/>
              <w:right w:w="28" w:type="dxa"/>
            </w:tcMar>
            <w:vAlign w:val="center"/>
          </w:tcPr>
          <w:p w:rsidR="00286780" w:rsidRPr="00457501" w:rsidRDefault="00286780" w:rsidP="00920C24">
            <w:pPr>
              <w:snapToGrid w:val="0"/>
              <w:jc w:val="center"/>
              <w:rPr>
                <w:rFonts w:cs="Calibri"/>
                <w:spacing w:val="-8"/>
                <w:sz w:val="26"/>
                <w:szCs w:val="26"/>
                <w:lang w:eastAsia="ar-SA"/>
              </w:rPr>
            </w:pPr>
            <w:r w:rsidRPr="00457501">
              <w:rPr>
                <w:rFonts w:cs="Calibri"/>
                <w:spacing w:val="-8"/>
                <w:sz w:val="26"/>
                <w:szCs w:val="26"/>
                <w:lang w:eastAsia="ar-SA"/>
              </w:rPr>
              <w:t>8,05±0,47*</w:t>
            </w:r>
          </w:p>
        </w:tc>
        <w:tc>
          <w:tcPr>
            <w:tcW w:w="2675" w:type="dxa"/>
            <w:tcBorders>
              <w:top w:val="single" w:sz="4" w:space="0" w:color="000000"/>
              <w:left w:val="single" w:sz="4" w:space="0" w:color="000000"/>
              <w:bottom w:val="single" w:sz="4" w:space="0" w:color="000000"/>
            </w:tcBorders>
            <w:tcMar>
              <w:left w:w="28" w:type="dxa"/>
              <w:right w:w="28" w:type="dxa"/>
            </w:tcMar>
            <w:vAlign w:val="center"/>
          </w:tcPr>
          <w:p w:rsidR="00286780" w:rsidRPr="00457501" w:rsidRDefault="00286780" w:rsidP="00920C24">
            <w:pPr>
              <w:snapToGrid w:val="0"/>
              <w:jc w:val="center"/>
              <w:rPr>
                <w:rFonts w:cs="Calibri"/>
                <w:spacing w:val="-8"/>
                <w:sz w:val="26"/>
                <w:szCs w:val="26"/>
                <w:lang w:val="en-US" w:eastAsia="ar-SA"/>
              </w:rPr>
            </w:pPr>
            <w:r w:rsidRPr="00457501">
              <w:rPr>
                <w:rFonts w:cs="Calibri"/>
                <w:spacing w:val="-8"/>
                <w:sz w:val="26"/>
                <w:szCs w:val="26"/>
                <w:lang w:eastAsia="ar-SA"/>
              </w:rPr>
              <w:t>8,1±0,38</w:t>
            </w:r>
            <w:r w:rsidRPr="00457501">
              <w:rPr>
                <w:rFonts w:cs="Calibri"/>
                <w:spacing w:val="-8"/>
                <w:sz w:val="26"/>
                <w:szCs w:val="26"/>
                <w:lang w:val="en-US" w:eastAsia="ar-SA"/>
              </w:rPr>
              <w:t>*</w:t>
            </w:r>
          </w:p>
        </w:tc>
        <w:tc>
          <w:tcPr>
            <w:tcW w:w="299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457501" w:rsidRDefault="00286780" w:rsidP="00920C24">
            <w:pPr>
              <w:snapToGrid w:val="0"/>
              <w:jc w:val="center"/>
              <w:rPr>
                <w:rFonts w:cs="Calibri"/>
                <w:spacing w:val="-8"/>
                <w:sz w:val="26"/>
                <w:szCs w:val="26"/>
                <w:lang w:eastAsia="ar-SA"/>
              </w:rPr>
            </w:pPr>
            <w:r w:rsidRPr="00457501">
              <w:rPr>
                <w:rFonts w:cs="Calibri"/>
                <w:spacing w:val="-8"/>
                <w:sz w:val="26"/>
                <w:szCs w:val="26"/>
                <w:lang w:eastAsia="ar-SA"/>
              </w:rPr>
              <w:t>6,68±0,11</w:t>
            </w:r>
          </w:p>
        </w:tc>
      </w:tr>
      <w:tr w:rsidR="00286780" w:rsidRPr="00457501" w:rsidTr="00457501">
        <w:trPr>
          <w:trHeight w:val="277"/>
        </w:trPr>
        <w:tc>
          <w:tcPr>
            <w:tcW w:w="1729" w:type="dxa"/>
            <w:tcBorders>
              <w:top w:val="single" w:sz="4" w:space="0" w:color="000000"/>
              <w:left w:val="single" w:sz="4" w:space="0" w:color="000000"/>
              <w:bottom w:val="single" w:sz="4" w:space="0" w:color="000000"/>
            </w:tcBorders>
            <w:tcMar>
              <w:left w:w="28" w:type="dxa"/>
              <w:right w:w="28" w:type="dxa"/>
            </w:tcMar>
            <w:vAlign w:val="center"/>
          </w:tcPr>
          <w:p w:rsidR="00286780" w:rsidRPr="00457501" w:rsidRDefault="00286780" w:rsidP="00920C24">
            <w:pPr>
              <w:snapToGrid w:val="0"/>
              <w:rPr>
                <w:rFonts w:cs="Calibri"/>
                <w:spacing w:val="-8"/>
                <w:sz w:val="26"/>
                <w:szCs w:val="26"/>
                <w:lang w:eastAsia="ar-SA"/>
              </w:rPr>
            </w:pPr>
            <w:r w:rsidRPr="00457501">
              <w:rPr>
                <w:rFonts w:cs="Calibri"/>
                <w:spacing w:val="-8"/>
                <w:sz w:val="26"/>
                <w:szCs w:val="26"/>
                <w:lang w:eastAsia="ar-SA"/>
              </w:rPr>
              <w:t>ФНО-α (пг/мл)</w:t>
            </w:r>
          </w:p>
        </w:tc>
        <w:tc>
          <w:tcPr>
            <w:tcW w:w="2524" w:type="dxa"/>
            <w:tcBorders>
              <w:top w:val="single" w:sz="4" w:space="0" w:color="000000"/>
              <w:left w:val="single" w:sz="4" w:space="0" w:color="000000"/>
              <w:bottom w:val="single" w:sz="4" w:space="0" w:color="000000"/>
            </w:tcBorders>
            <w:tcMar>
              <w:left w:w="28" w:type="dxa"/>
              <w:right w:w="28" w:type="dxa"/>
            </w:tcMar>
            <w:vAlign w:val="center"/>
          </w:tcPr>
          <w:p w:rsidR="00286780" w:rsidRPr="00457501" w:rsidRDefault="00286780" w:rsidP="00920C24">
            <w:pPr>
              <w:snapToGrid w:val="0"/>
              <w:jc w:val="center"/>
              <w:rPr>
                <w:rFonts w:cs="Calibri"/>
                <w:spacing w:val="-8"/>
                <w:sz w:val="26"/>
                <w:szCs w:val="26"/>
                <w:lang w:eastAsia="ar-SA"/>
              </w:rPr>
            </w:pPr>
            <w:r w:rsidRPr="00457501">
              <w:rPr>
                <w:rFonts w:cs="Calibri"/>
                <w:spacing w:val="-8"/>
                <w:sz w:val="26"/>
                <w:szCs w:val="26"/>
                <w:lang w:eastAsia="ar-SA"/>
              </w:rPr>
              <w:t>7,25±1,26</w:t>
            </w:r>
          </w:p>
        </w:tc>
        <w:tc>
          <w:tcPr>
            <w:tcW w:w="2675" w:type="dxa"/>
            <w:tcBorders>
              <w:top w:val="single" w:sz="4" w:space="0" w:color="000000"/>
              <w:left w:val="single" w:sz="4" w:space="0" w:color="000000"/>
              <w:bottom w:val="single" w:sz="4" w:space="0" w:color="000000"/>
            </w:tcBorders>
            <w:tcMar>
              <w:left w:w="28" w:type="dxa"/>
              <w:right w:w="28" w:type="dxa"/>
            </w:tcMar>
            <w:vAlign w:val="center"/>
          </w:tcPr>
          <w:p w:rsidR="00286780" w:rsidRPr="00457501" w:rsidRDefault="00286780" w:rsidP="00920C24">
            <w:pPr>
              <w:snapToGrid w:val="0"/>
              <w:jc w:val="center"/>
              <w:rPr>
                <w:rFonts w:cs="Calibri"/>
                <w:spacing w:val="-8"/>
                <w:sz w:val="26"/>
                <w:szCs w:val="26"/>
                <w:lang w:eastAsia="ar-SA"/>
              </w:rPr>
            </w:pPr>
            <w:r w:rsidRPr="00457501">
              <w:rPr>
                <w:rFonts w:cs="Calibri"/>
                <w:spacing w:val="-8"/>
                <w:sz w:val="26"/>
                <w:szCs w:val="26"/>
                <w:lang w:eastAsia="ar-SA"/>
              </w:rPr>
              <w:t>7,27±0,6</w:t>
            </w:r>
          </w:p>
        </w:tc>
        <w:tc>
          <w:tcPr>
            <w:tcW w:w="299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457501" w:rsidRDefault="00286780" w:rsidP="00920C24">
            <w:pPr>
              <w:snapToGrid w:val="0"/>
              <w:jc w:val="center"/>
              <w:rPr>
                <w:rFonts w:cs="Calibri"/>
                <w:spacing w:val="-8"/>
                <w:sz w:val="26"/>
                <w:szCs w:val="26"/>
                <w:lang w:eastAsia="ar-SA"/>
              </w:rPr>
            </w:pPr>
            <w:r w:rsidRPr="00457501">
              <w:rPr>
                <w:rFonts w:cs="Calibri"/>
                <w:spacing w:val="-8"/>
                <w:sz w:val="26"/>
                <w:szCs w:val="26"/>
                <w:lang w:eastAsia="ar-SA"/>
              </w:rPr>
              <w:t>7,95±0,76</w:t>
            </w:r>
          </w:p>
        </w:tc>
      </w:tr>
      <w:tr w:rsidR="00286780" w:rsidRPr="00457501" w:rsidTr="00920C24">
        <w:trPr>
          <w:trHeight w:val="227"/>
        </w:trPr>
        <w:tc>
          <w:tcPr>
            <w:tcW w:w="9923" w:type="dxa"/>
            <w:gridSpan w:val="4"/>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457501" w:rsidRDefault="00286780" w:rsidP="00920C24">
            <w:pPr>
              <w:snapToGrid w:val="0"/>
              <w:jc w:val="both"/>
              <w:rPr>
                <w:rFonts w:cs="Calibri"/>
                <w:spacing w:val="-8"/>
                <w:sz w:val="26"/>
                <w:szCs w:val="26"/>
                <w:lang w:eastAsia="ar-SA"/>
              </w:rPr>
            </w:pPr>
            <w:r w:rsidRPr="00457501">
              <w:rPr>
                <w:rFonts w:cs="Calibri"/>
                <w:i/>
                <w:spacing w:val="-8"/>
                <w:sz w:val="26"/>
                <w:szCs w:val="26"/>
                <w:lang w:eastAsia="ar-SA"/>
              </w:rPr>
              <w:t>Примечание</w:t>
            </w:r>
            <w:r w:rsidRPr="00457501">
              <w:rPr>
                <w:rFonts w:cs="Calibri"/>
                <w:spacing w:val="-8"/>
                <w:sz w:val="26"/>
                <w:szCs w:val="26"/>
                <w:lang w:eastAsia="ar-SA"/>
              </w:rPr>
              <w:t xml:space="preserve">. Различия статистически значимы (р&lt;0,05) по сравнению с показателями: 1 – </w:t>
            </w:r>
            <w:r w:rsidR="00EB47A5">
              <w:rPr>
                <w:rFonts w:cs="Calibri"/>
                <w:spacing w:val="-8"/>
                <w:sz w:val="26"/>
                <w:szCs w:val="26"/>
                <w:lang w:eastAsia="ar-SA"/>
              </w:rPr>
              <w:t>под</w:t>
            </w:r>
            <w:r w:rsidRPr="00457501">
              <w:rPr>
                <w:rFonts w:cs="Calibri"/>
                <w:spacing w:val="-8"/>
                <w:sz w:val="26"/>
                <w:szCs w:val="26"/>
                <w:lang w:eastAsia="ar-SA"/>
              </w:rPr>
              <w:t xml:space="preserve">группы с МФОИ без хронической патологии, * – контрольной </w:t>
            </w:r>
            <w:r w:rsidR="00EB47A5">
              <w:rPr>
                <w:rFonts w:cs="Calibri"/>
                <w:spacing w:val="-8"/>
                <w:sz w:val="26"/>
                <w:szCs w:val="26"/>
                <w:lang w:eastAsia="ar-SA"/>
              </w:rPr>
              <w:t>под</w:t>
            </w:r>
            <w:r w:rsidRPr="00457501">
              <w:rPr>
                <w:rFonts w:cs="Calibri"/>
                <w:spacing w:val="-8"/>
                <w:sz w:val="26"/>
                <w:szCs w:val="26"/>
                <w:lang w:eastAsia="ar-SA"/>
              </w:rPr>
              <w:t>группы относительно здоровых людей</w:t>
            </w:r>
          </w:p>
        </w:tc>
      </w:tr>
    </w:tbl>
    <w:p w:rsidR="00286780" w:rsidRPr="00920C24" w:rsidRDefault="00286780" w:rsidP="00920C24">
      <w:pPr>
        <w:jc w:val="both"/>
        <w:rPr>
          <w:rFonts w:cs="Calibri"/>
          <w:spacing w:val="-8"/>
          <w:sz w:val="24"/>
          <w:szCs w:val="24"/>
          <w:lang w:eastAsia="ar-SA"/>
        </w:rPr>
      </w:pPr>
    </w:p>
    <w:p w:rsidR="00286780" w:rsidRPr="00920C24" w:rsidRDefault="00286780" w:rsidP="00457501">
      <w:pPr>
        <w:spacing w:line="360" w:lineRule="auto"/>
        <w:ind w:firstLine="709"/>
        <w:jc w:val="both"/>
        <w:rPr>
          <w:rFonts w:cs="Calibri"/>
          <w:sz w:val="28"/>
          <w:szCs w:val="28"/>
          <w:lang w:eastAsia="ar-SA"/>
        </w:rPr>
      </w:pPr>
      <w:r w:rsidRPr="00920C24">
        <w:rPr>
          <w:rFonts w:cs="Calibri"/>
          <w:sz w:val="28"/>
          <w:szCs w:val="28"/>
          <w:lang w:eastAsia="ar-SA"/>
        </w:rPr>
        <w:t xml:space="preserve">В сравнении с </w:t>
      </w:r>
      <w:r w:rsidR="00EB47A5">
        <w:rPr>
          <w:rFonts w:cs="Calibri"/>
          <w:sz w:val="28"/>
          <w:szCs w:val="28"/>
          <w:lang w:eastAsia="ar-SA"/>
        </w:rPr>
        <w:t>под</w:t>
      </w:r>
      <w:r w:rsidRPr="00920C24">
        <w:rPr>
          <w:rFonts w:cs="Calibri"/>
          <w:sz w:val="28"/>
          <w:szCs w:val="28"/>
          <w:lang w:eastAsia="ar-SA"/>
        </w:rPr>
        <w:t>группой относительно здоровых людей, изменения гуморального иммунитета у пациентов с МФОИ характеризуются активацией синтеза иммуноглобулинов (</w:t>
      </w:r>
      <w:r w:rsidRPr="00920C24">
        <w:rPr>
          <w:rFonts w:cs="Calibri"/>
          <w:sz w:val="28"/>
          <w:szCs w:val="28"/>
          <w:lang w:val="en-US" w:eastAsia="ar-SA"/>
        </w:rPr>
        <w:t>IgG</w:t>
      </w:r>
      <w:r w:rsidRPr="00920C24">
        <w:rPr>
          <w:rFonts w:cs="Calibri"/>
          <w:sz w:val="28"/>
          <w:szCs w:val="28"/>
          <w:lang w:eastAsia="ar-SA"/>
        </w:rPr>
        <w:t xml:space="preserve">, </w:t>
      </w:r>
      <w:r w:rsidRPr="00920C24">
        <w:rPr>
          <w:rFonts w:cs="Calibri"/>
          <w:sz w:val="28"/>
          <w:szCs w:val="28"/>
          <w:lang w:val="en-US" w:eastAsia="ar-SA"/>
        </w:rPr>
        <w:t>IgA</w:t>
      </w:r>
      <w:r w:rsidRPr="00920C24">
        <w:rPr>
          <w:rFonts w:cs="Calibri"/>
          <w:sz w:val="28"/>
          <w:szCs w:val="28"/>
          <w:lang w:eastAsia="ar-SA"/>
        </w:rPr>
        <w:t xml:space="preserve">, </w:t>
      </w:r>
      <w:r w:rsidRPr="00920C24">
        <w:rPr>
          <w:rFonts w:cs="Calibri"/>
          <w:sz w:val="28"/>
          <w:szCs w:val="28"/>
          <w:lang w:val="en-US" w:eastAsia="ar-SA"/>
        </w:rPr>
        <w:t>IgM</w:t>
      </w:r>
      <w:r w:rsidRPr="00920C24">
        <w:rPr>
          <w:rFonts w:cs="Calibri"/>
          <w:sz w:val="28"/>
          <w:szCs w:val="28"/>
          <w:lang w:eastAsia="ar-SA"/>
        </w:rPr>
        <w:t>), что является нормальной реакцией иммунной системы на бактериальную инвазию, причем наличие хронической патологии внутренних органов сопровождается более выраженным синтезом IgG. Угнетение выработки провоспалительного интерлейкина ИЛ-1ß, который, по данным литер</w:t>
      </w:r>
      <w:r>
        <w:rPr>
          <w:rFonts w:cs="Calibri"/>
          <w:sz w:val="28"/>
          <w:szCs w:val="28"/>
          <w:lang w:eastAsia="ar-SA"/>
        </w:rPr>
        <w:t xml:space="preserve">атуры </w:t>
      </w:r>
      <w:r w:rsidRPr="003A7142">
        <w:rPr>
          <w:rFonts w:cs="Calibri"/>
          <w:sz w:val="28"/>
          <w:szCs w:val="28"/>
          <w:lang w:eastAsia="ar-SA"/>
        </w:rPr>
        <w:t>(</w:t>
      </w:r>
      <w:r>
        <w:rPr>
          <w:rFonts w:cs="Calibri"/>
          <w:sz w:val="28"/>
          <w:szCs w:val="28"/>
          <w:lang w:eastAsia="ar-SA"/>
        </w:rPr>
        <w:t>Завада Н. В. и др., 2003</w:t>
      </w:r>
      <w:r w:rsidRPr="003A7142">
        <w:rPr>
          <w:rFonts w:cs="Calibri"/>
          <w:sz w:val="28"/>
          <w:szCs w:val="28"/>
          <w:lang w:eastAsia="ar-SA"/>
        </w:rPr>
        <w:t>)</w:t>
      </w:r>
      <w:r w:rsidRPr="00920C24">
        <w:rPr>
          <w:rFonts w:cs="Calibri"/>
          <w:sz w:val="28"/>
          <w:szCs w:val="28"/>
          <w:lang w:eastAsia="ar-SA"/>
        </w:rPr>
        <w:t xml:space="preserve">, активирует Т- и В-лимфоциты, продукцию белков острой фазы воспаления и провоспалительных интерлейкинов, стимулирует гемопоэз, фактор активации тромбоцитов, обуславливает повышение температуры тела, может быть объяснено компенсаторной активацией противовоспалительного ИЛ-10, тормозящего синтез провоспалительных интерлейкинов и обуславливающего образование </w:t>
      </w:r>
      <w:r w:rsidRPr="00920C24">
        <w:rPr>
          <w:rFonts w:cs="Calibri"/>
          <w:sz w:val="28"/>
          <w:szCs w:val="28"/>
          <w:lang w:val="en-US" w:eastAsia="ar-SA"/>
        </w:rPr>
        <w:t>IgA</w:t>
      </w:r>
      <w:r w:rsidRPr="00920C24">
        <w:rPr>
          <w:rFonts w:cs="Calibri"/>
          <w:sz w:val="28"/>
          <w:szCs w:val="28"/>
          <w:lang w:eastAsia="ar-SA"/>
        </w:rPr>
        <w:t xml:space="preserve"> и </w:t>
      </w:r>
      <w:r w:rsidRPr="00920C24">
        <w:rPr>
          <w:rFonts w:cs="Calibri"/>
          <w:sz w:val="28"/>
          <w:szCs w:val="28"/>
          <w:lang w:val="en-US" w:eastAsia="ar-SA"/>
        </w:rPr>
        <w:t>IgM</w:t>
      </w:r>
      <w:r w:rsidRPr="00920C24">
        <w:rPr>
          <w:rFonts w:cs="Calibri"/>
          <w:sz w:val="28"/>
          <w:szCs w:val="28"/>
          <w:lang w:eastAsia="ar-SA"/>
        </w:rPr>
        <w:t>, что и отмечено в данном эксперименте. Являет</w:t>
      </w:r>
      <w:r w:rsidRPr="00920C24">
        <w:rPr>
          <w:rFonts w:cs="Calibri"/>
          <w:sz w:val="28"/>
          <w:szCs w:val="28"/>
          <w:lang w:eastAsia="ar-SA"/>
        </w:rPr>
        <w:lastRenderedPageBreak/>
        <w:t>ся значимым тот факт, что взятие крови пациентов на анализ осуществлялось в стационаре через несколько суток (от 1 до 14 суток) от начала ос</w:t>
      </w:r>
      <w:r>
        <w:rPr>
          <w:rFonts w:cs="Calibri"/>
          <w:sz w:val="28"/>
          <w:szCs w:val="28"/>
          <w:lang w:eastAsia="ar-SA"/>
        </w:rPr>
        <w:t xml:space="preserve">трого воспалительного процесса. </w:t>
      </w:r>
      <w:r w:rsidRPr="00920C24">
        <w:rPr>
          <w:rFonts w:cs="Calibri"/>
          <w:sz w:val="28"/>
          <w:szCs w:val="28"/>
          <w:lang w:eastAsia="ar-SA"/>
        </w:rPr>
        <w:t>Возможно, пик концентрации провоспалительных интерлейкинов имеет место на догоспитальном этапе, в связи с чем не диагностирован в настоящем исследовании.</w:t>
      </w:r>
      <w:r>
        <w:rPr>
          <w:rFonts w:cs="Calibri"/>
          <w:sz w:val="28"/>
          <w:szCs w:val="28"/>
          <w:lang w:eastAsia="ar-SA"/>
        </w:rPr>
        <w:t xml:space="preserve"> </w:t>
      </w:r>
      <w:r w:rsidRPr="00920C24">
        <w:rPr>
          <w:rFonts w:cs="Calibri"/>
          <w:sz w:val="28"/>
          <w:szCs w:val="28"/>
          <w:lang w:eastAsia="ar-SA"/>
        </w:rPr>
        <w:t>В то же время, значительных изменений выработки ИЛ-6 и ФНО-α у больных с МФОИ не наблюдается, что может быть обусловлено отсутствием генерализации воспаления.</w:t>
      </w:r>
    </w:p>
    <w:p w:rsidR="00EB47A5" w:rsidRDefault="00286780" w:rsidP="00457501">
      <w:pPr>
        <w:spacing w:line="360" w:lineRule="auto"/>
        <w:ind w:firstLine="709"/>
        <w:jc w:val="both"/>
        <w:rPr>
          <w:rFonts w:cs="Calibri"/>
          <w:sz w:val="28"/>
          <w:szCs w:val="28"/>
          <w:lang w:eastAsia="ar-SA"/>
        </w:rPr>
      </w:pPr>
      <w:r w:rsidRPr="00AF1F7D">
        <w:rPr>
          <w:rFonts w:cs="Calibri"/>
          <w:sz w:val="28"/>
          <w:szCs w:val="28"/>
          <w:lang w:eastAsia="ar-SA"/>
        </w:rPr>
        <w:t>Резюме.</w:t>
      </w:r>
      <w:r w:rsidRPr="00920C24">
        <w:rPr>
          <w:rFonts w:cs="Calibri"/>
          <w:sz w:val="28"/>
          <w:szCs w:val="28"/>
          <w:lang w:eastAsia="ar-SA"/>
        </w:rPr>
        <w:t xml:space="preserve"> Развитие МФОИ на фоне хронических заболеваний внутренних органов сопровождается выраженной активацией образования </w:t>
      </w:r>
      <w:r w:rsidRPr="00920C24">
        <w:rPr>
          <w:rFonts w:cs="Calibri"/>
          <w:sz w:val="28"/>
          <w:szCs w:val="28"/>
          <w:lang w:val="en-US" w:eastAsia="ar-SA"/>
        </w:rPr>
        <w:t>IgG</w:t>
      </w:r>
      <w:r w:rsidRPr="00920C24">
        <w:rPr>
          <w:rFonts w:cs="Calibri"/>
          <w:sz w:val="28"/>
          <w:szCs w:val="28"/>
          <w:lang w:eastAsia="ar-SA"/>
        </w:rPr>
        <w:t xml:space="preserve">. Независимо от наличия хронической патологии внутренних органов, развитие МФОИ сопровождается увеличением синтеза </w:t>
      </w:r>
      <w:r w:rsidRPr="00920C24">
        <w:rPr>
          <w:rFonts w:cs="Calibri"/>
          <w:sz w:val="28"/>
          <w:szCs w:val="28"/>
          <w:lang w:val="en-US" w:eastAsia="ar-SA"/>
        </w:rPr>
        <w:t>IgA</w:t>
      </w:r>
      <w:r w:rsidRPr="00920C24">
        <w:rPr>
          <w:rFonts w:cs="Calibri"/>
          <w:sz w:val="28"/>
          <w:szCs w:val="28"/>
          <w:lang w:eastAsia="ar-SA"/>
        </w:rPr>
        <w:t xml:space="preserve">, </w:t>
      </w:r>
      <w:r w:rsidRPr="00920C24">
        <w:rPr>
          <w:rFonts w:cs="Calibri"/>
          <w:sz w:val="28"/>
          <w:szCs w:val="28"/>
          <w:lang w:val="en-US" w:eastAsia="ar-SA"/>
        </w:rPr>
        <w:t>IgM</w:t>
      </w:r>
      <w:r w:rsidRPr="00920C24">
        <w:rPr>
          <w:rFonts w:cs="Calibri"/>
          <w:sz w:val="28"/>
          <w:szCs w:val="28"/>
          <w:lang w:eastAsia="ar-SA"/>
        </w:rPr>
        <w:t>, что отражает активацию гуморального иммунитета в ответ на бактериальную инвазию. Вне зависимости от наличия хронической патологии внутренних органов, развитие МФОИ, сопровождается увеличением синтеза противовоспалительного ИЛ-10 и снижением синтеза провоспалительного ИЛ-1ß, отражающих особенности изменений цитокинового фона в динамике развития инфекционного процесса (преобладание противовоспалительных эффектов над провоспалительными).</w:t>
      </w:r>
    </w:p>
    <w:p w:rsidR="00286780" w:rsidRPr="00920C24" w:rsidRDefault="00286780" w:rsidP="00457501">
      <w:pPr>
        <w:spacing w:line="360" w:lineRule="auto"/>
        <w:ind w:firstLine="709"/>
        <w:jc w:val="both"/>
        <w:rPr>
          <w:rFonts w:cs="Calibri"/>
          <w:sz w:val="28"/>
          <w:szCs w:val="28"/>
          <w:lang w:eastAsia="ar-SA"/>
        </w:rPr>
      </w:pPr>
      <w:r w:rsidRPr="00920C24">
        <w:rPr>
          <w:rFonts w:cs="Calibri"/>
          <w:sz w:val="28"/>
          <w:szCs w:val="28"/>
          <w:lang w:eastAsia="ar-SA"/>
        </w:rPr>
        <w:t>В целом, полученные данные не позволяют обозначить хроническую патологию внутренних органов как фактор, оказывающий существенное и статистически значимое влияние на исследуемые показатели гуморального иммунитета (</w:t>
      </w:r>
      <w:r w:rsidRPr="00920C24">
        <w:rPr>
          <w:rFonts w:cs="Calibri"/>
          <w:sz w:val="28"/>
          <w:szCs w:val="28"/>
          <w:lang w:val="en-US" w:eastAsia="ar-SA"/>
        </w:rPr>
        <w:t>IgA</w:t>
      </w:r>
      <w:r w:rsidRPr="00920C24">
        <w:rPr>
          <w:rFonts w:cs="Calibri"/>
          <w:sz w:val="28"/>
          <w:szCs w:val="28"/>
          <w:lang w:eastAsia="ar-SA"/>
        </w:rPr>
        <w:t xml:space="preserve">, </w:t>
      </w:r>
      <w:r w:rsidRPr="00920C24">
        <w:rPr>
          <w:rFonts w:cs="Calibri"/>
          <w:sz w:val="28"/>
          <w:szCs w:val="28"/>
          <w:lang w:val="en-US" w:eastAsia="ar-SA"/>
        </w:rPr>
        <w:t>IgM</w:t>
      </w:r>
      <w:r w:rsidRPr="00920C24">
        <w:rPr>
          <w:rFonts w:cs="Calibri"/>
          <w:sz w:val="28"/>
          <w:szCs w:val="28"/>
          <w:lang w:eastAsia="ar-SA"/>
        </w:rPr>
        <w:t xml:space="preserve">, </w:t>
      </w:r>
      <w:r w:rsidRPr="00920C24">
        <w:rPr>
          <w:rFonts w:cs="Calibri"/>
          <w:sz w:val="28"/>
          <w:szCs w:val="28"/>
          <w:lang w:val="en-US" w:eastAsia="ar-SA"/>
        </w:rPr>
        <w:t>IgG</w:t>
      </w:r>
      <w:r w:rsidRPr="00920C24">
        <w:rPr>
          <w:rFonts w:cs="Calibri"/>
          <w:sz w:val="28"/>
          <w:szCs w:val="28"/>
          <w:lang w:eastAsia="ar-SA"/>
        </w:rPr>
        <w:t>) и уровни про- и противовоспалительных интерлейкинов (ИЛ-1ß, ИЛ-4, ИЛ-6, ИЛ-10, ФНО-α) у пациентов с МФОИ.</w:t>
      </w:r>
    </w:p>
    <w:p w:rsidR="00286780" w:rsidRDefault="00286780" w:rsidP="004A0CF0">
      <w:pPr>
        <w:jc w:val="both"/>
        <w:rPr>
          <w:sz w:val="28"/>
          <w:szCs w:val="28"/>
          <w:lang w:eastAsia="en-US"/>
        </w:rPr>
      </w:pPr>
    </w:p>
    <w:p w:rsidR="00286780" w:rsidRDefault="00286780" w:rsidP="00457501">
      <w:pPr>
        <w:pStyle w:val="31"/>
        <w:spacing w:line="360" w:lineRule="auto"/>
        <w:jc w:val="both"/>
      </w:pPr>
      <w:bookmarkStart w:id="20" w:name="_Toc67905702"/>
      <w:r w:rsidRPr="00920C24">
        <w:t>Местная форма одонтогенной инфекции при наличии хронической</w:t>
      </w:r>
      <w:r>
        <w:br/>
      </w:r>
      <w:r w:rsidRPr="00920C24">
        <w:t>соматической патологии. Резюме</w:t>
      </w:r>
      <w:bookmarkEnd w:id="20"/>
    </w:p>
    <w:p w:rsidR="00286780" w:rsidRDefault="00286780" w:rsidP="00457501">
      <w:pPr>
        <w:spacing w:line="360" w:lineRule="auto"/>
        <w:ind w:firstLine="709"/>
        <w:jc w:val="both"/>
        <w:rPr>
          <w:rFonts w:cs="Calibri"/>
          <w:sz w:val="28"/>
          <w:szCs w:val="28"/>
          <w:lang w:eastAsia="ar-SA"/>
        </w:rPr>
      </w:pPr>
      <w:r w:rsidRPr="00124D89">
        <w:rPr>
          <w:rFonts w:cs="Calibri"/>
          <w:sz w:val="28"/>
          <w:szCs w:val="28"/>
          <w:lang w:eastAsia="ar-SA"/>
        </w:rPr>
        <w:t xml:space="preserve">Таким образом, хроническая патология внутренних органов диагностирована у 29,6% больных с МФОИ. Чаще всего встречаются артериальная гипертония, ишемическая болезнь сердца (стабильная стенокардия напряжения, фибрилляция предсердий), ХОБЛ, бронхиальная астма, сахарный диабет, реже – гепатиты «В» </w:t>
      </w:r>
      <w:r w:rsidRPr="00124D89">
        <w:rPr>
          <w:rFonts w:cs="Calibri"/>
          <w:sz w:val="28"/>
          <w:szCs w:val="28"/>
          <w:lang w:eastAsia="ar-SA"/>
        </w:rPr>
        <w:lastRenderedPageBreak/>
        <w:t>и «С», цирроз печени. В единичных случаях диагностированы ВИЧ, заболевания почек, сопро</w:t>
      </w:r>
      <w:r>
        <w:rPr>
          <w:rFonts w:cs="Calibri"/>
          <w:sz w:val="28"/>
          <w:szCs w:val="28"/>
          <w:lang w:eastAsia="ar-SA"/>
        </w:rPr>
        <w:t>вождающиеся ХПН, пневмосклероз.</w:t>
      </w:r>
    </w:p>
    <w:p w:rsidR="00286780" w:rsidRDefault="00286780" w:rsidP="00124D89">
      <w:pPr>
        <w:spacing w:line="360" w:lineRule="auto"/>
        <w:ind w:firstLine="709"/>
        <w:jc w:val="both"/>
        <w:rPr>
          <w:rFonts w:cs="Calibri"/>
          <w:sz w:val="28"/>
          <w:szCs w:val="28"/>
          <w:lang w:eastAsia="ar-SA"/>
        </w:rPr>
      </w:pPr>
      <w:r>
        <w:rPr>
          <w:rFonts w:cs="Calibri"/>
          <w:sz w:val="28"/>
          <w:szCs w:val="28"/>
          <w:lang w:eastAsia="ar-SA"/>
        </w:rPr>
        <w:t>Полиорганная фоновая патология - 36,8% случаев</w:t>
      </w:r>
      <w:r w:rsidR="00277CF2">
        <w:rPr>
          <w:rFonts w:cs="Calibri"/>
          <w:sz w:val="28"/>
          <w:szCs w:val="28"/>
          <w:lang w:eastAsia="ar-SA"/>
        </w:rPr>
        <w:t xml:space="preserve"> ХП</w:t>
      </w:r>
      <w:r>
        <w:rPr>
          <w:rFonts w:cs="Calibri"/>
          <w:sz w:val="28"/>
          <w:szCs w:val="28"/>
          <w:lang w:eastAsia="ar-SA"/>
        </w:rPr>
        <w:t xml:space="preserve">. </w:t>
      </w:r>
      <w:r w:rsidRPr="00124D89">
        <w:rPr>
          <w:rFonts w:cs="Calibri"/>
          <w:sz w:val="28"/>
          <w:szCs w:val="28"/>
          <w:lang w:eastAsia="ar-SA"/>
        </w:rPr>
        <w:t>Характерны разнонаправленные, и, как правило, компенсированные изменения показателей гомеостаза, отражающие наличие заболеваний сердечно-сосудистой, дыхательной, эндокринной и других систем: артериальная гипертензия при наличии фоновой гипертонической болезни, тахикардия, лейкоцитоз со сдвигом лейкоцитарной формулы «влево», ускорение СОЭ. умеренные гипербилирубинемия, гиперкреатининемия, умеренная гипергликемия, а при наличии сахарного диаб</w:t>
      </w:r>
      <w:r>
        <w:rPr>
          <w:rFonts w:cs="Calibri"/>
          <w:sz w:val="28"/>
          <w:szCs w:val="28"/>
          <w:lang w:eastAsia="ar-SA"/>
        </w:rPr>
        <w:t>ета – выраженная гипергликемия.</w:t>
      </w: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 xml:space="preserve">Обнаружено статистически значимое влияние наличия хронической патологии сердечно-сосудистой системы (артериальная гипертония, ИБС) в сочетании с ХСН </w:t>
      </w:r>
      <w:r w:rsidRPr="00124D89">
        <w:rPr>
          <w:rFonts w:cs="Calibri"/>
          <w:sz w:val="28"/>
          <w:szCs w:val="28"/>
          <w:lang w:val="en-US" w:eastAsia="ar-SA"/>
        </w:rPr>
        <w:t>III</w:t>
      </w:r>
      <w:r w:rsidRPr="00124D89">
        <w:rPr>
          <w:rFonts w:cs="Calibri"/>
          <w:sz w:val="28"/>
          <w:szCs w:val="28"/>
          <w:lang w:eastAsia="ar-SA"/>
        </w:rPr>
        <w:t xml:space="preserve"> функционального класса, а </w:t>
      </w:r>
      <w:r>
        <w:rPr>
          <w:rFonts w:cs="Calibri"/>
          <w:sz w:val="28"/>
          <w:szCs w:val="28"/>
          <w:lang w:eastAsia="ar-SA"/>
        </w:rPr>
        <w:t>также</w:t>
      </w:r>
      <w:r w:rsidRPr="00124D89">
        <w:rPr>
          <w:rFonts w:cs="Calibri"/>
          <w:sz w:val="28"/>
          <w:szCs w:val="28"/>
          <w:lang w:eastAsia="ar-SA"/>
        </w:rPr>
        <w:t xml:space="preserve"> сахарного диабета, на процесс распространения гнойно-воспалительного процесса на коллатеральные клетчаточные пространства – увеличение вероятности развития распростран</w:t>
      </w:r>
      <w:r>
        <w:rPr>
          <w:rFonts w:cs="Calibri"/>
          <w:sz w:val="28"/>
          <w:szCs w:val="28"/>
          <w:lang w:eastAsia="ar-SA"/>
        </w:rPr>
        <w:t>енной одонтогенной флегмоны (р&lt;</w:t>
      </w:r>
      <w:r w:rsidRPr="00124D89">
        <w:rPr>
          <w:rFonts w:cs="Calibri"/>
          <w:sz w:val="28"/>
          <w:szCs w:val="28"/>
          <w:lang w:eastAsia="ar-SA"/>
        </w:rPr>
        <w:t>0,05), что определяет необходимость разработки соответствующих алгоритмов лечения, учитывающих данный фактор.</w:t>
      </w:r>
    </w:p>
    <w:p w:rsidR="00EB47A5" w:rsidRDefault="00EB47A5" w:rsidP="00457501">
      <w:pPr>
        <w:pStyle w:val="20"/>
        <w:spacing w:line="360" w:lineRule="auto"/>
        <w:jc w:val="both"/>
      </w:pPr>
      <w:bookmarkStart w:id="21" w:name="_Toc67905703"/>
    </w:p>
    <w:p w:rsidR="00EB47A5" w:rsidRPr="00EB47A5" w:rsidRDefault="00286780" w:rsidP="00EB47A5">
      <w:pPr>
        <w:pStyle w:val="20"/>
        <w:spacing w:line="360" w:lineRule="auto"/>
        <w:jc w:val="both"/>
      </w:pPr>
      <w:r>
        <w:t>3.</w:t>
      </w:r>
      <w:r w:rsidRPr="00124D89">
        <w:t>3. Клинико-лабораторная характеристика одонтогенного сепсиса</w:t>
      </w:r>
      <w:r>
        <w:t>,</w:t>
      </w:r>
      <w:r w:rsidRPr="00124D89">
        <w:t xml:space="preserve"> развивающегося на фоне хронической патологии внутренних органов</w:t>
      </w:r>
      <w:bookmarkEnd w:id="21"/>
    </w:p>
    <w:p w:rsidR="00286780" w:rsidRDefault="00286780" w:rsidP="00457501">
      <w:pPr>
        <w:spacing w:line="360" w:lineRule="auto"/>
        <w:ind w:firstLine="709"/>
        <w:jc w:val="both"/>
        <w:rPr>
          <w:rFonts w:cs="Calibri"/>
          <w:sz w:val="28"/>
          <w:szCs w:val="28"/>
          <w:lang w:eastAsia="ar-SA"/>
        </w:rPr>
      </w:pPr>
      <w:r>
        <w:rPr>
          <w:rFonts w:cs="Calibri"/>
          <w:sz w:val="28"/>
          <w:szCs w:val="28"/>
          <w:lang w:eastAsia="ar-SA"/>
        </w:rPr>
        <w:t xml:space="preserve">В </w:t>
      </w:r>
      <w:r w:rsidRPr="00124D89">
        <w:rPr>
          <w:rFonts w:cs="Calibri"/>
          <w:sz w:val="28"/>
          <w:szCs w:val="28"/>
          <w:lang w:eastAsia="ar-SA"/>
        </w:rPr>
        <w:t>рамках данного исследования выполнен анализ клинико-лабораторных данных 66 пациентов с одонтогенным сепсисом (2000–2010 гг., Курск; 2012–2019 гг., Курск, 2016–2019 гг., Воронеж): 30 больных с сепсисом без хронических заболеваний (45,5%), 36 пациентов с сепсисом и хронической патологией внутренних органов (54,5%).</w:t>
      </w:r>
    </w:p>
    <w:p w:rsidR="00286780" w:rsidRDefault="00286780" w:rsidP="002D1EE9">
      <w:pPr>
        <w:spacing w:line="360" w:lineRule="auto"/>
        <w:ind w:firstLine="709"/>
        <w:jc w:val="both"/>
        <w:rPr>
          <w:rFonts w:cs="Calibri"/>
          <w:spacing w:val="-4"/>
          <w:sz w:val="28"/>
          <w:szCs w:val="28"/>
          <w:lang w:eastAsia="ar-SA"/>
        </w:rPr>
      </w:pPr>
      <w:r w:rsidRPr="00671AAF">
        <w:rPr>
          <w:rFonts w:cs="Calibri"/>
          <w:spacing w:val="-4"/>
          <w:sz w:val="28"/>
          <w:szCs w:val="28"/>
          <w:lang w:eastAsia="ar-SA"/>
        </w:rPr>
        <w:t>Воспалительные процессы, на фоне которых развивается одонтогенный сепсис, в исследуемой группе представлены распростране</w:t>
      </w:r>
      <w:r>
        <w:rPr>
          <w:rFonts w:cs="Calibri"/>
          <w:spacing w:val="-4"/>
          <w:sz w:val="28"/>
          <w:szCs w:val="28"/>
          <w:lang w:eastAsia="ar-SA"/>
        </w:rPr>
        <w:t>нными одонтогенными флегмонами.</w:t>
      </w:r>
    </w:p>
    <w:p w:rsidR="00286780" w:rsidRPr="002D1EE9" w:rsidRDefault="00286780" w:rsidP="002D1EE9">
      <w:pPr>
        <w:spacing w:line="360" w:lineRule="auto"/>
        <w:ind w:firstLine="709"/>
        <w:jc w:val="both"/>
        <w:rPr>
          <w:rFonts w:cs="Calibri"/>
          <w:sz w:val="28"/>
          <w:szCs w:val="28"/>
          <w:lang w:eastAsia="ar-SA"/>
        </w:rPr>
      </w:pPr>
      <w:r w:rsidRPr="00671AAF">
        <w:rPr>
          <w:rFonts w:cs="Calibri"/>
          <w:spacing w:val="-4"/>
          <w:sz w:val="28"/>
          <w:szCs w:val="28"/>
          <w:lang w:eastAsia="ar-SA"/>
        </w:rPr>
        <w:lastRenderedPageBreak/>
        <w:t>Детализированная характеристика количества вовлеченных в воспалительный процесс клетчаточных пространств у пациентов с одонтогенным сепсисом, в т. ч. при наличии заболеваний внутренних органов, представлена в Т</w:t>
      </w:r>
      <w:r>
        <w:rPr>
          <w:rFonts w:cs="Calibri"/>
          <w:spacing w:val="-4"/>
          <w:sz w:val="28"/>
          <w:szCs w:val="28"/>
          <w:lang w:eastAsia="ar-SA"/>
        </w:rPr>
        <w:t>аблице 37</w:t>
      </w:r>
      <w:r w:rsidRPr="00671AAF">
        <w:rPr>
          <w:rFonts w:cs="Calibri"/>
          <w:spacing w:val="-4"/>
          <w:sz w:val="28"/>
          <w:szCs w:val="28"/>
          <w:lang w:eastAsia="ar-SA"/>
        </w:rPr>
        <w:t>.</w:t>
      </w:r>
    </w:p>
    <w:p w:rsidR="00286780" w:rsidRPr="00124D89" w:rsidRDefault="00286780" w:rsidP="00124D89">
      <w:pPr>
        <w:jc w:val="both"/>
        <w:rPr>
          <w:rFonts w:cs="Calibri"/>
          <w:sz w:val="28"/>
          <w:szCs w:val="28"/>
          <w:lang w:eastAsia="ar-SA"/>
        </w:rPr>
      </w:pPr>
    </w:p>
    <w:p w:rsidR="00286780" w:rsidRPr="00124D89" w:rsidRDefault="00286780" w:rsidP="00124D89">
      <w:pPr>
        <w:spacing w:after="120"/>
        <w:jc w:val="both"/>
        <w:rPr>
          <w:sz w:val="28"/>
          <w:szCs w:val="28"/>
        </w:rPr>
      </w:pPr>
      <w:r w:rsidRPr="00124D89">
        <w:rPr>
          <w:b/>
          <w:sz w:val="28"/>
          <w:szCs w:val="28"/>
        </w:rPr>
        <w:t>Таблица 3</w:t>
      </w:r>
      <w:r>
        <w:rPr>
          <w:b/>
          <w:sz w:val="28"/>
          <w:szCs w:val="28"/>
        </w:rPr>
        <w:t>7</w:t>
      </w:r>
      <w:r w:rsidRPr="00124D89">
        <w:rPr>
          <w:sz w:val="28"/>
          <w:szCs w:val="28"/>
        </w:rPr>
        <w:t xml:space="preserve"> – Сравнительная характеристика распространенности одонтогенных флегмон, осложненных сепсисом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5"/>
        <w:gridCol w:w="2104"/>
        <w:gridCol w:w="2922"/>
        <w:gridCol w:w="1066"/>
      </w:tblGrid>
      <w:tr w:rsidR="00286780" w:rsidRPr="008C19F3" w:rsidTr="00D15BFE">
        <w:trPr>
          <w:trHeight w:val="227"/>
        </w:trPr>
        <w:tc>
          <w:tcPr>
            <w:tcW w:w="3961" w:type="dxa"/>
            <w:vMerge w:val="restart"/>
            <w:tcMar>
              <w:left w:w="28" w:type="dxa"/>
              <w:right w:w="28" w:type="dxa"/>
            </w:tcMar>
            <w:vAlign w:val="center"/>
          </w:tcPr>
          <w:p w:rsidR="00286780" w:rsidRPr="008C19F3" w:rsidRDefault="00286780" w:rsidP="00D15BFE">
            <w:pPr>
              <w:jc w:val="center"/>
              <w:rPr>
                <w:i/>
                <w:spacing w:val="-8"/>
                <w:sz w:val="24"/>
                <w:szCs w:val="24"/>
              </w:rPr>
            </w:pPr>
            <w:r w:rsidRPr="008C19F3">
              <w:rPr>
                <w:i/>
                <w:spacing w:val="-8"/>
                <w:sz w:val="24"/>
                <w:szCs w:val="24"/>
              </w:rPr>
              <w:t xml:space="preserve">Количество вовлеченных топографо-анатомических областей и клетчаточных пространств: </w:t>
            </w:r>
            <w:r w:rsidRPr="008C19F3">
              <w:rPr>
                <w:i/>
                <w:spacing w:val="-8"/>
                <w:sz w:val="24"/>
                <w:szCs w:val="24"/>
              </w:rPr>
              <w:br/>
              <w:t>абсолютное значение</w:t>
            </w:r>
          </w:p>
        </w:tc>
        <w:tc>
          <w:tcPr>
            <w:tcW w:w="5103" w:type="dxa"/>
            <w:gridSpan w:val="2"/>
            <w:tcMar>
              <w:left w:w="28" w:type="dxa"/>
              <w:right w:w="28" w:type="dxa"/>
            </w:tcMar>
            <w:vAlign w:val="center"/>
          </w:tcPr>
          <w:p w:rsidR="00286780" w:rsidRPr="008C19F3" w:rsidRDefault="00286780" w:rsidP="00D15BFE">
            <w:pPr>
              <w:jc w:val="center"/>
              <w:rPr>
                <w:i/>
                <w:spacing w:val="-8"/>
                <w:sz w:val="24"/>
                <w:szCs w:val="24"/>
              </w:rPr>
            </w:pPr>
            <w:r w:rsidRPr="008C19F3">
              <w:rPr>
                <w:i/>
                <w:spacing w:val="-8"/>
                <w:sz w:val="24"/>
                <w:szCs w:val="24"/>
              </w:rPr>
              <w:t>Хроническая патология внутренних органов (абсолютное количество больных)</w:t>
            </w:r>
          </w:p>
        </w:tc>
        <w:tc>
          <w:tcPr>
            <w:tcW w:w="1073" w:type="dxa"/>
            <w:vMerge w:val="restart"/>
            <w:tcMar>
              <w:left w:w="28" w:type="dxa"/>
              <w:right w:w="28" w:type="dxa"/>
            </w:tcMar>
            <w:vAlign w:val="center"/>
          </w:tcPr>
          <w:p w:rsidR="00286780" w:rsidRPr="008C19F3" w:rsidRDefault="00286780" w:rsidP="00D15BFE">
            <w:pPr>
              <w:jc w:val="center"/>
              <w:rPr>
                <w:i/>
                <w:spacing w:val="-8"/>
                <w:sz w:val="24"/>
                <w:szCs w:val="24"/>
              </w:rPr>
            </w:pPr>
            <w:r w:rsidRPr="008C19F3">
              <w:rPr>
                <w:i/>
                <w:spacing w:val="-8"/>
                <w:sz w:val="24"/>
                <w:szCs w:val="24"/>
              </w:rPr>
              <w:t>Итого больных</w:t>
            </w:r>
          </w:p>
        </w:tc>
      </w:tr>
      <w:tr w:rsidR="00286780" w:rsidRPr="008C19F3" w:rsidTr="00D15BFE">
        <w:trPr>
          <w:trHeight w:val="227"/>
        </w:trPr>
        <w:tc>
          <w:tcPr>
            <w:tcW w:w="3961" w:type="dxa"/>
            <w:vMerge/>
            <w:tcMar>
              <w:left w:w="28" w:type="dxa"/>
              <w:right w:w="28" w:type="dxa"/>
            </w:tcMar>
          </w:tcPr>
          <w:p w:rsidR="00286780" w:rsidRPr="008C19F3" w:rsidRDefault="00286780" w:rsidP="00D15BFE">
            <w:pPr>
              <w:jc w:val="both"/>
              <w:rPr>
                <w:spacing w:val="-8"/>
                <w:sz w:val="24"/>
                <w:szCs w:val="24"/>
              </w:rPr>
            </w:pPr>
          </w:p>
        </w:tc>
        <w:tc>
          <w:tcPr>
            <w:tcW w:w="2127" w:type="dxa"/>
            <w:tcMar>
              <w:left w:w="28" w:type="dxa"/>
              <w:right w:w="28" w:type="dxa"/>
            </w:tcMar>
            <w:vAlign w:val="center"/>
          </w:tcPr>
          <w:p w:rsidR="00286780" w:rsidRPr="008C19F3" w:rsidRDefault="00286780" w:rsidP="00D15BFE">
            <w:pPr>
              <w:snapToGrid w:val="0"/>
              <w:jc w:val="center"/>
              <w:rPr>
                <w:spacing w:val="-8"/>
                <w:sz w:val="24"/>
                <w:szCs w:val="24"/>
              </w:rPr>
            </w:pPr>
            <w:r w:rsidRPr="008C19F3">
              <w:rPr>
                <w:spacing w:val="-8"/>
                <w:sz w:val="24"/>
                <w:szCs w:val="24"/>
              </w:rPr>
              <w:t>Определяется</w:t>
            </w:r>
          </w:p>
        </w:tc>
        <w:tc>
          <w:tcPr>
            <w:tcW w:w="2976" w:type="dxa"/>
            <w:tcMar>
              <w:left w:w="28" w:type="dxa"/>
              <w:right w:w="28" w:type="dxa"/>
            </w:tcMar>
            <w:vAlign w:val="center"/>
          </w:tcPr>
          <w:p w:rsidR="00286780" w:rsidRPr="008C19F3" w:rsidRDefault="00286780" w:rsidP="00D15BFE">
            <w:pPr>
              <w:snapToGrid w:val="0"/>
              <w:jc w:val="center"/>
              <w:rPr>
                <w:spacing w:val="-8"/>
                <w:sz w:val="24"/>
                <w:szCs w:val="24"/>
              </w:rPr>
            </w:pPr>
            <w:r w:rsidRPr="008C19F3">
              <w:rPr>
                <w:spacing w:val="-8"/>
                <w:sz w:val="24"/>
                <w:szCs w:val="24"/>
              </w:rPr>
              <w:t>Отсутствует</w:t>
            </w:r>
          </w:p>
        </w:tc>
        <w:tc>
          <w:tcPr>
            <w:tcW w:w="1073" w:type="dxa"/>
            <w:vMerge/>
            <w:tcMar>
              <w:left w:w="28" w:type="dxa"/>
              <w:right w:w="28" w:type="dxa"/>
            </w:tcMar>
          </w:tcPr>
          <w:p w:rsidR="00286780" w:rsidRPr="008C19F3" w:rsidRDefault="00286780" w:rsidP="00D15BFE">
            <w:pPr>
              <w:jc w:val="center"/>
              <w:rPr>
                <w:spacing w:val="-8"/>
                <w:sz w:val="24"/>
                <w:szCs w:val="24"/>
              </w:rPr>
            </w:pPr>
          </w:p>
        </w:tc>
      </w:tr>
      <w:tr w:rsidR="00286780" w:rsidRPr="008C19F3" w:rsidTr="00D15BFE">
        <w:trPr>
          <w:trHeight w:val="454"/>
        </w:trPr>
        <w:tc>
          <w:tcPr>
            <w:tcW w:w="3961" w:type="dxa"/>
            <w:tcMar>
              <w:left w:w="28" w:type="dxa"/>
              <w:right w:w="28" w:type="dxa"/>
            </w:tcMar>
            <w:vAlign w:val="center"/>
          </w:tcPr>
          <w:p w:rsidR="00286780" w:rsidRPr="008C19F3" w:rsidRDefault="00286780" w:rsidP="00C55ECF">
            <w:pPr>
              <w:snapToGrid w:val="0"/>
              <w:ind w:firstLine="284"/>
              <w:rPr>
                <w:spacing w:val="-8"/>
                <w:sz w:val="24"/>
                <w:szCs w:val="24"/>
              </w:rPr>
            </w:pPr>
            <w:r>
              <w:rPr>
                <w:spacing w:val="-8"/>
                <w:sz w:val="24"/>
                <w:szCs w:val="24"/>
              </w:rPr>
              <w:t>Менее 4</w:t>
            </w:r>
          </w:p>
        </w:tc>
        <w:tc>
          <w:tcPr>
            <w:tcW w:w="2127" w:type="dxa"/>
            <w:tcMar>
              <w:left w:w="28" w:type="dxa"/>
              <w:right w:w="28" w:type="dxa"/>
            </w:tcMar>
            <w:vAlign w:val="center"/>
          </w:tcPr>
          <w:p w:rsidR="00286780" w:rsidRPr="008C19F3" w:rsidRDefault="00286780" w:rsidP="00D15BFE">
            <w:pPr>
              <w:snapToGrid w:val="0"/>
              <w:jc w:val="center"/>
              <w:rPr>
                <w:spacing w:val="-8"/>
                <w:sz w:val="24"/>
                <w:szCs w:val="24"/>
              </w:rPr>
            </w:pPr>
            <w:r w:rsidRPr="008C19F3">
              <w:rPr>
                <w:spacing w:val="-8"/>
                <w:sz w:val="24"/>
                <w:szCs w:val="24"/>
              </w:rPr>
              <w:t>3</w:t>
            </w:r>
          </w:p>
        </w:tc>
        <w:tc>
          <w:tcPr>
            <w:tcW w:w="2976" w:type="dxa"/>
            <w:tcMar>
              <w:left w:w="28" w:type="dxa"/>
              <w:right w:w="28" w:type="dxa"/>
            </w:tcMar>
            <w:vAlign w:val="center"/>
          </w:tcPr>
          <w:p w:rsidR="00286780" w:rsidRPr="008C19F3" w:rsidRDefault="00286780" w:rsidP="00D15BFE">
            <w:pPr>
              <w:snapToGrid w:val="0"/>
              <w:jc w:val="center"/>
              <w:rPr>
                <w:spacing w:val="-8"/>
                <w:sz w:val="24"/>
                <w:szCs w:val="24"/>
              </w:rPr>
            </w:pPr>
            <w:r w:rsidRPr="008C19F3">
              <w:rPr>
                <w:spacing w:val="-8"/>
                <w:sz w:val="24"/>
                <w:szCs w:val="24"/>
              </w:rPr>
              <w:t>2</w:t>
            </w:r>
          </w:p>
        </w:tc>
        <w:tc>
          <w:tcPr>
            <w:tcW w:w="1073" w:type="dxa"/>
            <w:tcMar>
              <w:left w:w="28" w:type="dxa"/>
              <w:right w:w="28" w:type="dxa"/>
            </w:tcMar>
            <w:vAlign w:val="center"/>
          </w:tcPr>
          <w:p w:rsidR="00286780" w:rsidRPr="008C19F3" w:rsidRDefault="00286780" w:rsidP="00D15BFE">
            <w:pPr>
              <w:snapToGrid w:val="0"/>
              <w:jc w:val="center"/>
              <w:rPr>
                <w:spacing w:val="-8"/>
                <w:sz w:val="24"/>
                <w:szCs w:val="24"/>
              </w:rPr>
            </w:pPr>
            <w:r w:rsidRPr="008C19F3">
              <w:rPr>
                <w:spacing w:val="-8"/>
                <w:sz w:val="24"/>
                <w:szCs w:val="24"/>
              </w:rPr>
              <w:t>5</w:t>
            </w:r>
          </w:p>
        </w:tc>
      </w:tr>
      <w:tr w:rsidR="00286780" w:rsidRPr="008C19F3" w:rsidTr="00D15BFE">
        <w:trPr>
          <w:trHeight w:val="454"/>
        </w:trPr>
        <w:tc>
          <w:tcPr>
            <w:tcW w:w="3961" w:type="dxa"/>
            <w:tcMar>
              <w:left w:w="28" w:type="dxa"/>
              <w:right w:w="28" w:type="dxa"/>
            </w:tcMar>
            <w:vAlign w:val="center"/>
          </w:tcPr>
          <w:p w:rsidR="00286780" w:rsidRPr="008C19F3" w:rsidRDefault="00286780" w:rsidP="00C55ECF">
            <w:pPr>
              <w:snapToGrid w:val="0"/>
              <w:ind w:firstLine="284"/>
              <w:rPr>
                <w:spacing w:val="-8"/>
                <w:sz w:val="24"/>
                <w:szCs w:val="24"/>
              </w:rPr>
            </w:pPr>
            <w:r>
              <w:rPr>
                <w:spacing w:val="-8"/>
                <w:sz w:val="24"/>
                <w:szCs w:val="24"/>
              </w:rPr>
              <w:t xml:space="preserve">От 4 до </w:t>
            </w:r>
            <w:r w:rsidRPr="008C19F3">
              <w:rPr>
                <w:spacing w:val="-8"/>
                <w:sz w:val="24"/>
                <w:szCs w:val="24"/>
              </w:rPr>
              <w:t>6</w:t>
            </w:r>
          </w:p>
        </w:tc>
        <w:tc>
          <w:tcPr>
            <w:tcW w:w="2127" w:type="dxa"/>
            <w:tcMar>
              <w:left w:w="28" w:type="dxa"/>
              <w:right w:w="28" w:type="dxa"/>
            </w:tcMar>
            <w:vAlign w:val="center"/>
          </w:tcPr>
          <w:p w:rsidR="00286780" w:rsidRPr="008C19F3" w:rsidRDefault="00286780" w:rsidP="00D15BFE">
            <w:pPr>
              <w:snapToGrid w:val="0"/>
              <w:jc w:val="center"/>
              <w:rPr>
                <w:spacing w:val="-8"/>
                <w:sz w:val="24"/>
                <w:szCs w:val="24"/>
              </w:rPr>
            </w:pPr>
            <w:r w:rsidRPr="008C19F3">
              <w:rPr>
                <w:spacing w:val="-8"/>
                <w:sz w:val="24"/>
                <w:szCs w:val="24"/>
              </w:rPr>
              <w:t>21</w:t>
            </w:r>
          </w:p>
        </w:tc>
        <w:tc>
          <w:tcPr>
            <w:tcW w:w="2976" w:type="dxa"/>
            <w:tcMar>
              <w:left w:w="28" w:type="dxa"/>
              <w:right w:w="28" w:type="dxa"/>
            </w:tcMar>
            <w:vAlign w:val="center"/>
          </w:tcPr>
          <w:p w:rsidR="00286780" w:rsidRPr="008C19F3" w:rsidRDefault="00286780" w:rsidP="00D15BFE">
            <w:pPr>
              <w:snapToGrid w:val="0"/>
              <w:jc w:val="center"/>
              <w:rPr>
                <w:spacing w:val="-8"/>
                <w:sz w:val="24"/>
                <w:szCs w:val="24"/>
              </w:rPr>
            </w:pPr>
            <w:r w:rsidRPr="008C19F3">
              <w:rPr>
                <w:spacing w:val="-8"/>
                <w:sz w:val="24"/>
                <w:szCs w:val="24"/>
              </w:rPr>
              <w:t>20</w:t>
            </w:r>
          </w:p>
        </w:tc>
        <w:tc>
          <w:tcPr>
            <w:tcW w:w="1073" w:type="dxa"/>
            <w:tcMar>
              <w:left w:w="28" w:type="dxa"/>
              <w:right w:w="28" w:type="dxa"/>
            </w:tcMar>
            <w:vAlign w:val="center"/>
          </w:tcPr>
          <w:p w:rsidR="00286780" w:rsidRPr="008C19F3" w:rsidRDefault="00286780" w:rsidP="00D15BFE">
            <w:pPr>
              <w:snapToGrid w:val="0"/>
              <w:jc w:val="center"/>
              <w:rPr>
                <w:spacing w:val="-8"/>
                <w:sz w:val="24"/>
                <w:szCs w:val="24"/>
              </w:rPr>
            </w:pPr>
            <w:r w:rsidRPr="008C19F3">
              <w:rPr>
                <w:spacing w:val="-8"/>
                <w:sz w:val="24"/>
                <w:szCs w:val="24"/>
              </w:rPr>
              <w:t>41</w:t>
            </w:r>
          </w:p>
        </w:tc>
      </w:tr>
      <w:tr w:rsidR="00286780" w:rsidRPr="008C19F3" w:rsidTr="00D15BFE">
        <w:trPr>
          <w:trHeight w:val="454"/>
        </w:trPr>
        <w:tc>
          <w:tcPr>
            <w:tcW w:w="3961" w:type="dxa"/>
            <w:tcMar>
              <w:left w:w="28" w:type="dxa"/>
              <w:right w:w="28" w:type="dxa"/>
            </w:tcMar>
            <w:vAlign w:val="center"/>
          </w:tcPr>
          <w:p w:rsidR="00286780" w:rsidRPr="008C19F3" w:rsidRDefault="00286780" w:rsidP="00C55ECF">
            <w:pPr>
              <w:snapToGrid w:val="0"/>
              <w:ind w:firstLine="284"/>
              <w:rPr>
                <w:spacing w:val="-8"/>
                <w:sz w:val="24"/>
                <w:szCs w:val="24"/>
              </w:rPr>
            </w:pPr>
            <w:r>
              <w:rPr>
                <w:spacing w:val="-8"/>
                <w:sz w:val="24"/>
                <w:szCs w:val="24"/>
              </w:rPr>
              <w:t xml:space="preserve">От 7 до </w:t>
            </w:r>
            <w:r w:rsidRPr="008C19F3">
              <w:rPr>
                <w:spacing w:val="-8"/>
                <w:sz w:val="24"/>
                <w:szCs w:val="24"/>
              </w:rPr>
              <w:t>9</w:t>
            </w:r>
          </w:p>
        </w:tc>
        <w:tc>
          <w:tcPr>
            <w:tcW w:w="2127" w:type="dxa"/>
            <w:tcMar>
              <w:left w:w="28" w:type="dxa"/>
              <w:right w:w="28" w:type="dxa"/>
            </w:tcMar>
            <w:vAlign w:val="center"/>
          </w:tcPr>
          <w:p w:rsidR="00286780" w:rsidRPr="008C19F3" w:rsidRDefault="00286780" w:rsidP="00D15BFE">
            <w:pPr>
              <w:snapToGrid w:val="0"/>
              <w:jc w:val="center"/>
              <w:rPr>
                <w:spacing w:val="-8"/>
                <w:sz w:val="24"/>
                <w:szCs w:val="24"/>
              </w:rPr>
            </w:pPr>
            <w:r w:rsidRPr="008C19F3">
              <w:rPr>
                <w:spacing w:val="-8"/>
                <w:sz w:val="24"/>
                <w:szCs w:val="24"/>
              </w:rPr>
              <w:t>9</w:t>
            </w:r>
          </w:p>
        </w:tc>
        <w:tc>
          <w:tcPr>
            <w:tcW w:w="2976" w:type="dxa"/>
            <w:tcMar>
              <w:left w:w="28" w:type="dxa"/>
              <w:right w:w="28" w:type="dxa"/>
            </w:tcMar>
            <w:vAlign w:val="center"/>
          </w:tcPr>
          <w:p w:rsidR="00286780" w:rsidRPr="008C19F3" w:rsidRDefault="00286780" w:rsidP="00D15BFE">
            <w:pPr>
              <w:snapToGrid w:val="0"/>
              <w:jc w:val="center"/>
              <w:rPr>
                <w:spacing w:val="-8"/>
                <w:sz w:val="24"/>
                <w:szCs w:val="24"/>
              </w:rPr>
            </w:pPr>
            <w:r w:rsidRPr="008C19F3">
              <w:rPr>
                <w:spacing w:val="-8"/>
                <w:sz w:val="24"/>
                <w:szCs w:val="24"/>
              </w:rPr>
              <w:t>4</w:t>
            </w:r>
          </w:p>
        </w:tc>
        <w:tc>
          <w:tcPr>
            <w:tcW w:w="1073" w:type="dxa"/>
            <w:tcMar>
              <w:left w:w="28" w:type="dxa"/>
              <w:right w:w="28" w:type="dxa"/>
            </w:tcMar>
            <w:vAlign w:val="center"/>
          </w:tcPr>
          <w:p w:rsidR="00286780" w:rsidRPr="008C19F3" w:rsidRDefault="00286780" w:rsidP="00D15BFE">
            <w:pPr>
              <w:snapToGrid w:val="0"/>
              <w:jc w:val="center"/>
              <w:rPr>
                <w:spacing w:val="-8"/>
                <w:sz w:val="24"/>
                <w:szCs w:val="24"/>
              </w:rPr>
            </w:pPr>
            <w:r w:rsidRPr="008C19F3">
              <w:rPr>
                <w:spacing w:val="-8"/>
                <w:sz w:val="24"/>
                <w:szCs w:val="24"/>
              </w:rPr>
              <w:t>13</w:t>
            </w:r>
          </w:p>
        </w:tc>
      </w:tr>
      <w:tr w:rsidR="00286780" w:rsidRPr="008C19F3" w:rsidTr="00D15BFE">
        <w:trPr>
          <w:trHeight w:val="454"/>
        </w:trPr>
        <w:tc>
          <w:tcPr>
            <w:tcW w:w="3961" w:type="dxa"/>
            <w:tcMar>
              <w:left w:w="28" w:type="dxa"/>
              <w:right w:w="28" w:type="dxa"/>
            </w:tcMar>
            <w:vAlign w:val="center"/>
          </w:tcPr>
          <w:p w:rsidR="00286780" w:rsidRPr="008C19F3" w:rsidRDefault="00286780" w:rsidP="00C55ECF">
            <w:pPr>
              <w:snapToGrid w:val="0"/>
              <w:ind w:firstLine="284"/>
              <w:rPr>
                <w:spacing w:val="-8"/>
                <w:sz w:val="24"/>
                <w:szCs w:val="24"/>
              </w:rPr>
            </w:pPr>
            <w:r>
              <w:rPr>
                <w:spacing w:val="-8"/>
                <w:sz w:val="24"/>
                <w:szCs w:val="24"/>
              </w:rPr>
              <w:t xml:space="preserve">От </w:t>
            </w:r>
            <w:r w:rsidRPr="008C19F3">
              <w:rPr>
                <w:spacing w:val="-8"/>
                <w:sz w:val="24"/>
                <w:szCs w:val="24"/>
              </w:rPr>
              <w:t>10 и более</w:t>
            </w:r>
          </w:p>
        </w:tc>
        <w:tc>
          <w:tcPr>
            <w:tcW w:w="2127" w:type="dxa"/>
            <w:tcMar>
              <w:left w:w="28" w:type="dxa"/>
              <w:right w:w="28" w:type="dxa"/>
            </w:tcMar>
            <w:vAlign w:val="center"/>
          </w:tcPr>
          <w:p w:rsidR="00286780" w:rsidRPr="008C19F3" w:rsidRDefault="00286780" w:rsidP="00D15BFE">
            <w:pPr>
              <w:snapToGrid w:val="0"/>
              <w:jc w:val="center"/>
              <w:rPr>
                <w:spacing w:val="-8"/>
                <w:sz w:val="24"/>
                <w:szCs w:val="24"/>
              </w:rPr>
            </w:pPr>
            <w:r w:rsidRPr="008C19F3">
              <w:rPr>
                <w:spacing w:val="-8"/>
                <w:sz w:val="24"/>
                <w:szCs w:val="24"/>
              </w:rPr>
              <w:t>3</w:t>
            </w:r>
          </w:p>
        </w:tc>
        <w:tc>
          <w:tcPr>
            <w:tcW w:w="2976" w:type="dxa"/>
            <w:tcMar>
              <w:left w:w="28" w:type="dxa"/>
              <w:right w:w="28" w:type="dxa"/>
            </w:tcMar>
            <w:vAlign w:val="center"/>
          </w:tcPr>
          <w:p w:rsidR="00286780" w:rsidRPr="008C19F3" w:rsidRDefault="00286780" w:rsidP="00D15BFE">
            <w:pPr>
              <w:snapToGrid w:val="0"/>
              <w:jc w:val="center"/>
              <w:rPr>
                <w:spacing w:val="-8"/>
                <w:sz w:val="24"/>
                <w:szCs w:val="24"/>
              </w:rPr>
            </w:pPr>
            <w:r w:rsidRPr="008C19F3">
              <w:rPr>
                <w:spacing w:val="-8"/>
                <w:sz w:val="24"/>
                <w:szCs w:val="24"/>
              </w:rPr>
              <w:t>4</w:t>
            </w:r>
          </w:p>
        </w:tc>
        <w:tc>
          <w:tcPr>
            <w:tcW w:w="1073" w:type="dxa"/>
            <w:tcMar>
              <w:left w:w="28" w:type="dxa"/>
              <w:right w:w="28" w:type="dxa"/>
            </w:tcMar>
            <w:vAlign w:val="center"/>
          </w:tcPr>
          <w:p w:rsidR="00286780" w:rsidRPr="008C19F3" w:rsidRDefault="00286780" w:rsidP="00D15BFE">
            <w:pPr>
              <w:snapToGrid w:val="0"/>
              <w:jc w:val="center"/>
              <w:rPr>
                <w:spacing w:val="-8"/>
                <w:sz w:val="24"/>
                <w:szCs w:val="24"/>
              </w:rPr>
            </w:pPr>
            <w:r w:rsidRPr="008C19F3">
              <w:rPr>
                <w:spacing w:val="-8"/>
                <w:sz w:val="24"/>
                <w:szCs w:val="24"/>
              </w:rPr>
              <w:t>7</w:t>
            </w:r>
          </w:p>
        </w:tc>
      </w:tr>
      <w:tr w:rsidR="00286780" w:rsidRPr="008C19F3" w:rsidTr="00D15BFE">
        <w:trPr>
          <w:trHeight w:val="454"/>
        </w:trPr>
        <w:tc>
          <w:tcPr>
            <w:tcW w:w="3961" w:type="dxa"/>
            <w:tcMar>
              <w:left w:w="28" w:type="dxa"/>
              <w:right w:w="28" w:type="dxa"/>
            </w:tcMar>
            <w:vAlign w:val="center"/>
          </w:tcPr>
          <w:p w:rsidR="00286780" w:rsidRPr="008C19F3" w:rsidRDefault="00286780" w:rsidP="00C55ECF">
            <w:pPr>
              <w:snapToGrid w:val="0"/>
              <w:ind w:firstLine="284"/>
              <w:rPr>
                <w:spacing w:val="-8"/>
                <w:sz w:val="24"/>
                <w:szCs w:val="24"/>
              </w:rPr>
            </w:pPr>
            <w:r w:rsidRPr="008C19F3">
              <w:rPr>
                <w:spacing w:val="-8"/>
                <w:sz w:val="24"/>
                <w:szCs w:val="24"/>
              </w:rPr>
              <w:t>Всего</w:t>
            </w:r>
          </w:p>
        </w:tc>
        <w:tc>
          <w:tcPr>
            <w:tcW w:w="2127" w:type="dxa"/>
            <w:tcMar>
              <w:left w:w="28" w:type="dxa"/>
              <w:right w:w="28" w:type="dxa"/>
            </w:tcMar>
            <w:vAlign w:val="center"/>
          </w:tcPr>
          <w:p w:rsidR="00286780" w:rsidRPr="008C19F3" w:rsidRDefault="00286780" w:rsidP="00D15BFE">
            <w:pPr>
              <w:snapToGrid w:val="0"/>
              <w:jc w:val="center"/>
              <w:rPr>
                <w:spacing w:val="-8"/>
                <w:sz w:val="24"/>
                <w:szCs w:val="24"/>
              </w:rPr>
            </w:pPr>
            <w:r w:rsidRPr="008C19F3">
              <w:rPr>
                <w:spacing w:val="-8"/>
                <w:sz w:val="24"/>
                <w:szCs w:val="24"/>
              </w:rPr>
              <w:t>36</w:t>
            </w:r>
          </w:p>
        </w:tc>
        <w:tc>
          <w:tcPr>
            <w:tcW w:w="2976" w:type="dxa"/>
            <w:tcMar>
              <w:left w:w="28" w:type="dxa"/>
              <w:right w:w="28" w:type="dxa"/>
            </w:tcMar>
            <w:vAlign w:val="center"/>
          </w:tcPr>
          <w:p w:rsidR="00286780" w:rsidRPr="008C19F3" w:rsidRDefault="00286780" w:rsidP="00D15BFE">
            <w:pPr>
              <w:snapToGrid w:val="0"/>
              <w:jc w:val="center"/>
              <w:rPr>
                <w:spacing w:val="-8"/>
                <w:sz w:val="24"/>
                <w:szCs w:val="24"/>
              </w:rPr>
            </w:pPr>
            <w:r w:rsidRPr="008C19F3">
              <w:rPr>
                <w:spacing w:val="-8"/>
                <w:sz w:val="24"/>
                <w:szCs w:val="24"/>
              </w:rPr>
              <w:t>30</w:t>
            </w:r>
          </w:p>
        </w:tc>
        <w:tc>
          <w:tcPr>
            <w:tcW w:w="1073" w:type="dxa"/>
            <w:tcMar>
              <w:left w:w="28" w:type="dxa"/>
              <w:right w:w="28" w:type="dxa"/>
            </w:tcMar>
            <w:vAlign w:val="center"/>
          </w:tcPr>
          <w:p w:rsidR="00286780" w:rsidRPr="008C19F3" w:rsidRDefault="00286780" w:rsidP="00D15BFE">
            <w:pPr>
              <w:snapToGrid w:val="0"/>
              <w:jc w:val="center"/>
              <w:rPr>
                <w:spacing w:val="-8"/>
                <w:sz w:val="24"/>
                <w:szCs w:val="24"/>
              </w:rPr>
            </w:pPr>
            <w:r w:rsidRPr="008C19F3">
              <w:rPr>
                <w:spacing w:val="-8"/>
                <w:sz w:val="24"/>
                <w:szCs w:val="24"/>
              </w:rPr>
              <w:t>66</w:t>
            </w:r>
          </w:p>
        </w:tc>
      </w:tr>
      <w:tr w:rsidR="00286780" w:rsidRPr="008C19F3" w:rsidTr="00D15BFE">
        <w:trPr>
          <w:trHeight w:val="454"/>
        </w:trPr>
        <w:tc>
          <w:tcPr>
            <w:tcW w:w="10137" w:type="dxa"/>
            <w:gridSpan w:val="4"/>
            <w:tcMar>
              <w:left w:w="28" w:type="dxa"/>
              <w:right w:w="28" w:type="dxa"/>
            </w:tcMar>
            <w:vAlign w:val="center"/>
          </w:tcPr>
          <w:p w:rsidR="00286780" w:rsidRPr="008C19F3" w:rsidRDefault="00286780" w:rsidP="00D15BFE">
            <w:pPr>
              <w:snapToGrid w:val="0"/>
              <w:jc w:val="center"/>
              <w:rPr>
                <w:spacing w:val="-8"/>
                <w:sz w:val="24"/>
                <w:szCs w:val="24"/>
              </w:rPr>
            </w:pPr>
            <w:r w:rsidRPr="008C19F3">
              <w:rPr>
                <w:i/>
                <w:spacing w:val="-8"/>
                <w:sz w:val="24"/>
                <w:szCs w:val="24"/>
              </w:rPr>
              <w:t>Примечание</w:t>
            </w:r>
            <w:r w:rsidRPr="008C19F3">
              <w:rPr>
                <w:spacing w:val="-8"/>
                <w:sz w:val="24"/>
                <w:szCs w:val="24"/>
              </w:rPr>
              <w:t>. * - разл</w:t>
            </w:r>
            <w:r>
              <w:rPr>
                <w:spacing w:val="-8"/>
                <w:sz w:val="24"/>
                <w:szCs w:val="24"/>
              </w:rPr>
              <w:t>ичия статистически значимы (р&lt;</w:t>
            </w:r>
            <w:r w:rsidRPr="008C19F3">
              <w:rPr>
                <w:spacing w:val="-8"/>
                <w:sz w:val="24"/>
                <w:szCs w:val="24"/>
              </w:rPr>
              <w:t>0,05)</w:t>
            </w:r>
          </w:p>
        </w:tc>
      </w:tr>
    </w:tbl>
    <w:p w:rsidR="00286780" w:rsidRDefault="00286780" w:rsidP="00124D89">
      <w:pPr>
        <w:jc w:val="both"/>
        <w:rPr>
          <w:spacing w:val="-8"/>
          <w:sz w:val="28"/>
          <w:szCs w:val="28"/>
        </w:rPr>
      </w:pPr>
    </w:p>
    <w:p w:rsidR="00286780" w:rsidRDefault="00286780" w:rsidP="00333EB6">
      <w:pPr>
        <w:spacing w:line="360" w:lineRule="auto"/>
        <w:ind w:firstLine="709"/>
        <w:jc w:val="both"/>
        <w:rPr>
          <w:rFonts w:cs="Calibri"/>
          <w:sz w:val="28"/>
          <w:szCs w:val="28"/>
          <w:lang w:eastAsia="ar-SA"/>
        </w:rPr>
      </w:pPr>
      <w:r>
        <w:rPr>
          <w:rFonts w:cs="Calibri"/>
          <w:sz w:val="28"/>
          <w:szCs w:val="28"/>
          <w:lang w:eastAsia="ar-SA"/>
        </w:rPr>
        <w:t>Из Таблицы 37</w:t>
      </w:r>
      <w:r w:rsidRPr="00124D89">
        <w:rPr>
          <w:rFonts w:cs="Calibri"/>
          <w:sz w:val="28"/>
          <w:szCs w:val="28"/>
          <w:lang w:eastAsia="ar-SA"/>
        </w:rPr>
        <w:t xml:space="preserve"> следует, что статистических различий по количеству вовлеченных в гнойно-воспалительный процесс топографо-анатомических областей и клетчаточных пространств между сравниваемыми группами пациентов с одонтогенным сепсисом, сочетающимся с хронической патологией внутренних органов и одонтогенным сепси</w:t>
      </w:r>
      <w:r>
        <w:rPr>
          <w:rFonts w:cs="Calibri"/>
          <w:sz w:val="28"/>
          <w:szCs w:val="28"/>
          <w:lang w:eastAsia="ar-SA"/>
        </w:rPr>
        <w:t>сом без таковой, не обнаружено.</w:t>
      </w:r>
    </w:p>
    <w:p w:rsidR="00286780" w:rsidRPr="00333EB6" w:rsidRDefault="00286780" w:rsidP="00333EB6">
      <w:pPr>
        <w:spacing w:line="360" w:lineRule="auto"/>
        <w:ind w:firstLine="709"/>
        <w:jc w:val="both"/>
        <w:rPr>
          <w:rFonts w:cs="Calibri"/>
          <w:sz w:val="28"/>
          <w:szCs w:val="28"/>
          <w:lang w:eastAsia="ar-SA"/>
        </w:rPr>
      </w:pPr>
      <w:r w:rsidRPr="00124D89">
        <w:rPr>
          <w:rFonts w:cs="Calibri"/>
          <w:sz w:val="28"/>
          <w:szCs w:val="28"/>
          <w:lang w:eastAsia="ar-SA"/>
        </w:rPr>
        <w:t>Характерно поражение 4–9 клетчаточных пространств (54 больных; 81,8%).</w:t>
      </w:r>
    </w:p>
    <w:p w:rsidR="00286780" w:rsidRDefault="00286780" w:rsidP="00671AAF">
      <w:pPr>
        <w:spacing w:line="360" w:lineRule="auto"/>
        <w:ind w:firstLine="709"/>
        <w:jc w:val="both"/>
        <w:rPr>
          <w:rFonts w:cs="Calibri"/>
          <w:sz w:val="28"/>
          <w:szCs w:val="28"/>
          <w:lang w:eastAsia="ar-SA"/>
        </w:rPr>
      </w:pPr>
      <w:r>
        <w:rPr>
          <w:rFonts w:cs="Calibri"/>
          <w:sz w:val="28"/>
          <w:szCs w:val="28"/>
          <w:lang w:eastAsia="ar-SA"/>
        </w:rPr>
        <w:t>Таблица 38</w:t>
      </w:r>
      <w:r w:rsidRPr="00124D89">
        <w:rPr>
          <w:rFonts w:cs="Calibri"/>
          <w:sz w:val="28"/>
          <w:szCs w:val="28"/>
          <w:lang w:eastAsia="ar-SA"/>
        </w:rPr>
        <w:t xml:space="preserve"> характеризует распространенность контактного одонтогенного медиастинита (КОМ) в </w:t>
      </w:r>
      <w:r w:rsidR="00F55796">
        <w:rPr>
          <w:rFonts w:cs="Calibri"/>
          <w:sz w:val="28"/>
          <w:szCs w:val="28"/>
          <w:lang w:eastAsia="ar-SA"/>
        </w:rPr>
        <w:t>под</w:t>
      </w:r>
      <w:r w:rsidRPr="00124D89">
        <w:rPr>
          <w:rFonts w:cs="Calibri"/>
          <w:sz w:val="28"/>
          <w:szCs w:val="28"/>
          <w:lang w:eastAsia="ar-SA"/>
        </w:rPr>
        <w:t>группе пациентов с одонтогенным сепсисом. Всего КОМ диагностирован у 21 пациента с одонтогенным сепсисом (31,8%)</w:t>
      </w:r>
      <w:r>
        <w:rPr>
          <w:rFonts w:cs="Calibri"/>
          <w:sz w:val="28"/>
          <w:szCs w:val="28"/>
          <w:lang w:eastAsia="ar-SA"/>
        </w:rPr>
        <w:t>, у 27,8% пациентов с КОМ и ХП</w:t>
      </w:r>
      <w:r w:rsidRPr="00124D89">
        <w:rPr>
          <w:rFonts w:cs="Calibri"/>
          <w:sz w:val="28"/>
          <w:szCs w:val="28"/>
          <w:lang w:eastAsia="ar-SA"/>
        </w:rPr>
        <w:t>.</w:t>
      </w:r>
    </w:p>
    <w:p w:rsidR="00286780" w:rsidRDefault="00286780" w:rsidP="008D4644">
      <w:pPr>
        <w:spacing w:line="360" w:lineRule="auto"/>
        <w:ind w:firstLine="709"/>
        <w:jc w:val="both"/>
        <w:rPr>
          <w:rFonts w:cs="Calibri"/>
          <w:sz w:val="28"/>
          <w:szCs w:val="28"/>
          <w:lang w:eastAsia="ar-SA"/>
        </w:rPr>
      </w:pPr>
      <w:r w:rsidRPr="00DD6C1D">
        <w:rPr>
          <w:rFonts w:cs="Calibri"/>
          <w:sz w:val="28"/>
          <w:szCs w:val="28"/>
          <w:lang w:eastAsia="ar-SA"/>
        </w:rPr>
        <w:t>Результирующие значения, приведенные в Таблице 38, позволяют сделать вывод, что развитие КОМ у пациентов с одонтогенным сепсисом не находится в статистически значимой зависимости от наличия хронических заболеваний внутренних органов.</w:t>
      </w:r>
      <w:r w:rsidR="008D4644">
        <w:rPr>
          <w:rFonts w:cs="Calibri"/>
          <w:sz w:val="28"/>
          <w:szCs w:val="28"/>
          <w:lang w:eastAsia="ar-SA"/>
        </w:rPr>
        <w:t xml:space="preserve"> </w:t>
      </w:r>
      <w:r w:rsidRPr="00124D89">
        <w:rPr>
          <w:rFonts w:cs="Calibri"/>
          <w:sz w:val="28"/>
          <w:szCs w:val="28"/>
          <w:lang w:eastAsia="ar-SA"/>
        </w:rPr>
        <w:t>Полиорганная полиморбидная патология диагностирована у 23 пациентов с ОС и ХП внутренних органов (63,9%).</w:t>
      </w:r>
    </w:p>
    <w:p w:rsidR="00286780" w:rsidRPr="00124D89" w:rsidRDefault="00286780" w:rsidP="00124D89">
      <w:pPr>
        <w:jc w:val="both"/>
        <w:rPr>
          <w:rFonts w:cs="Calibri"/>
          <w:sz w:val="28"/>
          <w:szCs w:val="28"/>
          <w:lang w:eastAsia="ar-SA"/>
        </w:rPr>
      </w:pPr>
    </w:p>
    <w:p w:rsidR="00286780" w:rsidRPr="00124D89" w:rsidRDefault="00286780" w:rsidP="00124D89">
      <w:pPr>
        <w:spacing w:after="120"/>
        <w:jc w:val="both"/>
        <w:rPr>
          <w:rFonts w:cs="Calibri"/>
          <w:sz w:val="28"/>
          <w:szCs w:val="28"/>
          <w:lang w:eastAsia="ar-SA"/>
        </w:rPr>
      </w:pPr>
      <w:r w:rsidRPr="00124D89">
        <w:rPr>
          <w:rFonts w:cs="Calibri"/>
          <w:b/>
          <w:sz w:val="28"/>
          <w:szCs w:val="28"/>
          <w:lang w:eastAsia="ar-SA"/>
        </w:rPr>
        <w:lastRenderedPageBreak/>
        <w:t>Таблица 3</w:t>
      </w:r>
      <w:r>
        <w:rPr>
          <w:rFonts w:cs="Calibri"/>
          <w:b/>
          <w:sz w:val="28"/>
          <w:szCs w:val="28"/>
          <w:lang w:eastAsia="ar-SA"/>
        </w:rPr>
        <w:t>8</w:t>
      </w:r>
      <w:r w:rsidRPr="00124D89">
        <w:rPr>
          <w:rFonts w:cs="Calibri"/>
          <w:sz w:val="28"/>
          <w:szCs w:val="28"/>
          <w:lang w:eastAsia="ar-SA"/>
        </w:rPr>
        <w:t xml:space="preserve"> – Распространенность контактного одонтогенного медиастинита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4"/>
        <w:gridCol w:w="2534"/>
        <w:gridCol w:w="2534"/>
        <w:gridCol w:w="2535"/>
      </w:tblGrid>
      <w:tr w:rsidR="00286780" w:rsidRPr="00124D89" w:rsidTr="00D15BFE">
        <w:tc>
          <w:tcPr>
            <w:tcW w:w="2534" w:type="dxa"/>
            <w:vMerge w:val="restart"/>
          </w:tcPr>
          <w:p w:rsidR="00286780" w:rsidRPr="00D15BFE" w:rsidRDefault="00286780" w:rsidP="00D15BFE">
            <w:pPr>
              <w:jc w:val="center"/>
              <w:rPr>
                <w:rFonts w:cs="Calibri"/>
                <w:i/>
                <w:sz w:val="24"/>
                <w:szCs w:val="24"/>
                <w:lang w:eastAsia="ar-SA"/>
              </w:rPr>
            </w:pPr>
            <w:r w:rsidRPr="00D15BFE">
              <w:rPr>
                <w:rFonts w:cs="Calibri"/>
                <w:i/>
                <w:sz w:val="24"/>
                <w:szCs w:val="24"/>
                <w:lang w:eastAsia="ar-SA"/>
              </w:rPr>
              <w:t>Контактный</w:t>
            </w:r>
            <w:r w:rsidRPr="00D15BFE">
              <w:rPr>
                <w:rFonts w:cs="Calibri"/>
                <w:i/>
                <w:sz w:val="24"/>
                <w:szCs w:val="24"/>
                <w:lang w:eastAsia="ar-SA"/>
              </w:rPr>
              <w:br/>
              <w:t>одонтогенный</w:t>
            </w:r>
            <w:r w:rsidRPr="00D15BFE">
              <w:rPr>
                <w:rFonts w:cs="Calibri"/>
                <w:i/>
                <w:sz w:val="24"/>
                <w:szCs w:val="24"/>
                <w:lang w:eastAsia="ar-SA"/>
              </w:rPr>
              <w:br/>
              <w:t>медиастинит</w:t>
            </w:r>
          </w:p>
        </w:tc>
        <w:tc>
          <w:tcPr>
            <w:tcW w:w="5068" w:type="dxa"/>
            <w:gridSpan w:val="2"/>
          </w:tcPr>
          <w:p w:rsidR="00286780" w:rsidRPr="00D15BFE" w:rsidRDefault="00286780" w:rsidP="00D15BFE">
            <w:pPr>
              <w:jc w:val="center"/>
              <w:rPr>
                <w:rFonts w:cs="Calibri"/>
                <w:i/>
                <w:sz w:val="24"/>
                <w:szCs w:val="24"/>
                <w:lang w:eastAsia="ar-SA"/>
              </w:rPr>
            </w:pPr>
            <w:r w:rsidRPr="00D15BFE">
              <w:rPr>
                <w:rFonts w:cs="Calibri"/>
                <w:i/>
                <w:sz w:val="24"/>
                <w:szCs w:val="24"/>
                <w:lang w:eastAsia="ar-SA"/>
              </w:rPr>
              <w:t>Хроническая патология внутренних органов (абсолютное количество больных)</w:t>
            </w:r>
          </w:p>
        </w:tc>
        <w:tc>
          <w:tcPr>
            <w:tcW w:w="2535" w:type="dxa"/>
            <w:vMerge w:val="restart"/>
            <w:vAlign w:val="center"/>
          </w:tcPr>
          <w:p w:rsidR="00286780" w:rsidRPr="00D15BFE" w:rsidRDefault="00286780" w:rsidP="00D15BFE">
            <w:pPr>
              <w:jc w:val="center"/>
              <w:rPr>
                <w:rFonts w:cs="Calibri"/>
                <w:i/>
                <w:sz w:val="24"/>
                <w:szCs w:val="24"/>
                <w:lang w:eastAsia="ar-SA"/>
              </w:rPr>
            </w:pPr>
            <w:r w:rsidRPr="00D15BFE">
              <w:rPr>
                <w:rFonts w:cs="Calibri"/>
                <w:i/>
                <w:sz w:val="24"/>
                <w:szCs w:val="24"/>
                <w:lang w:eastAsia="ar-SA"/>
              </w:rPr>
              <w:t>Итого</w:t>
            </w:r>
          </w:p>
        </w:tc>
      </w:tr>
      <w:tr w:rsidR="00286780" w:rsidRPr="00124D89" w:rsidTr="00D15BFE">
        <w:tc>
          <w:tcPr>
            <w:tcW w:w="2534" w:type="dxa"/>
            <w:vMerge/>
          </w:tcPr>
          <w:p w:rsidR="00286780" w:rsidRPr="00D15BFE" w:rsidRDefault="00286780" w:rsidP="00D15BFE">
            <w:pPr>
              <w:jc w:val="both"/>
              <w:rPr>
                <w:rFonts w:cs="Calibri"/>
                <w:sz w:val="24"/>
                <w:szCs w:val="24"/>
                <w:lang w:eastAsia="ar-SA"/>
              </w:rPr>
            </w:pPr>
          </w:p>
        </w:tc>
        <w:tc>
          <w:tcPr>
            <w:tcW w:w="2534" w:type="dxa"/>
            <w:vAlign w:val="center"/>
          </w:tcPr>
          <w:p w:rsidR="00286780" w:rsidRPr="00D15BFE" w:rsidRDefault="00286780" w:rsidP="00D15BFE">
            <w:pPr>
              <w:snapToGrid w:val="0"/>
              <w:jc w:val="center"/>
              <w:rPr>
                <w:sz w:val="24"/>
                <w:szCs w:val="24"/>
              </w:rPr>
            </w:pPr>
            <w:r w:rsidRPr="00D15BFE">
              <w:rPr>
                <w:sz w:val="24"/>
                <w:szCs w:val="24"/>
              </w:rPr>
              <w:t>Определяется</w:t>
            </w:r>
          </w:p>
        </w:tc>
        <w:tc>
          <w:tcPr>
            <w:tcW w:w="2534" w:type="dxa"/>
            <w:vAlign w:val="center"/>
          </w:tcPr>
          <w:p w:rsidR="00286780" w:rsidRPr="00D15BFE" w:rsidRDefault="00286780" w:rsidP="00D15BFE">
            <w:pPr>
              <w:tabs>
                <w:tab w:val="left" w:pos="2292"/>
              </w:tabs>
              <w:snapToGrid w:val="0"/>
              <w:jc w:val="center"/>
              <w:rPr>
                <w:sz w:val="24"/>
                <w:szCs w:val="24"/>
              </w:rPr>
            </w:pPr>
            <w:r w:rsidRPr="00D15BFE">
              <w:rPr>
                <w:sz w:val="24"/>
                <w:szCs w:val="24"/>
              </w:rPr>
              <w:t>Отсутствует</w:t>
            </w:r>
          </w:p>
        </w:tc>
        <w:tc>
          <w:tcPr>
            <w:tcW w:w="2535" w:type="dxa"/>
            <w:vMerge/>
          </w:tcPr>
          <w:p w:rsidR="00286780" w:rsidRPr="00D15BFE" w:rsidRDefault="00286780" w:rsidP="00D15BFE">
            <w:pPr>
              <w:jc w:val="both"/>
              <w:rPr>
                <w:rFonts w:cs="Calibri"/>
                <w:sz w:val="24"/>
                <w:szCs w:val="24"/>
                <w:lang w:eastAsia="ar-SA"/>
              </w:rPr>
            </w:pPr>
          </w:p>
        </w:tc>
      </w:tr>
      <w:tr w:rsidR="00286780" w:rsidRPr="00124D89" w:rsidTr="00D15BFE">
        <w:trPr>
          <w:trHeight w:val="454"/>
        </w:trPr>
        <w:tc>
          <w:tcPr>
            <w:tcW w:w="2534" w:type="dxa"/>
            <w:vAlign w:val="center"/>
          </w:tcPr>
          <w:p w:rsidR="00286780" w:rsidRPr="00D15BFE" w:rsidRDefault="00286780" w:rsidP="00D15BFE">
            <w:pPr>
              <w:snapToGrid w:val="0"/>
              <w:rPr>
                <w:sz w:val="24"/>
                <w:szCs w:val="24"/>
              </w:rPr>
            </w:pPr>
            <w:r w:rsidRPr="00D15BFE">
              <w:rPr>
                <w:sz w:val="24"/>
                <w:szCs w:val="24"/>
              </w:rPr>
              <w:t>Определяется</w:t>
            </w:r>
          </w:p>
        </w:tc>
        <w:tc>
          <w:tcPr>
            <w:tcW w:w="2534" w:type="dxa"/>
            <w:vAlign w:val="center"/>
          </w:tcPr>
          <w:p w:rsidR="00286780" w:rsidRPr="00D15BFE" w:rsidRDefault="00286780" w:rsidP="00D15BFE">
            <w:pPr>
              <w:snapToGrid w:val="0"/>
              <w:jc w:val="center"/>
              <w:rPr>
                <w:sz w:val="24"/>
                <w:szCs w:val="24"/>
              </w:rPr>
            </w:pPr>
            <w:r w:rsidRPr="00D15BFE">
              <w:rPr>
                <w:sz w:val="24"/>
                <w:szCs w:val="24"/>
              </w:rPr>
              <w:t>10</w:t>
            </w:r>
          </w:p>
        </w:tc>
        <w:tc>
          <w:tcPr>
            <w:tcW w:w="2534" w:type="dxa"/>
            <w:vAlign w:val="center"/>
          </w:tcPr>
          <w:p w:rsidR="00286780" w:rsidRPr="00D15BFE" w:rsidRDefault="00286780" w:rsidP="00D15BFE">
            <w:pPr>
              <w:snapToGrid w:val="0"/>
              <w:jc w:val="center"/>
              <w:rPr>
                <w:sz w:val="24"/>
                <w:szCs w:val="24"/>
              </w:rPr>
            </w:pPr>
            <w:r w:rsidRPr="00D15BFE">
              <w:rPr>
                <w:sz w:val="24"/>
                <w:szCs w:val="24"/>
              </w:rPr>
              <w:t>8</w:t>
            </w:r>
          </w:p>
        </w:tc>
        <w:tc>
          <w:tcPr>
            <w:tcW w:w="2535" w:type="dxa"/>
            <w:vAlign w:val="center"/>
          </w:tcPr>
          <w:p w:rsidR="00286780" w:rsidRPr="00D15BFE" w:rsidRDefault="00286780" w:rsidP="00D15BFE">
            <w:pPr>
              <w:snapToGrid w:val="0"/>
              <w:jc w:val="center"/>
              <w:rPr>
                <w:sz w:val="24"/>
                <w:szCs w:val="24"/>
              </w:rPr>
            </w:pPr>
            <w:r w:rsidRPr="00D15BFE">
              <w:rPr>
                <w:sz w:val="24"/>
                <w:szCs w:val="24"/>
              </w:rPr>
              <w:t>18</w:t>
            </w:r>
          </w:p>
        </w:tc>
      </w:tr>
      <w:tr w:rsidR="00286780" w:rsidRPr="00124D89" w:rsidTr="00D15BFE">
        <w:trPr>
          <w:trHeight w:val="454"/>
        </w:trPr>
        <w:tc>
          <w:tcPr>
            <w:tcW w:w="2534" w:type="dxa"/>
            <w:vAlign w:val="center"/>
          </w:tcPr>
          <w:p w:rsidR="00286780" w:rsidRPr="00D15BFE" w:rsidRDefault="00286780" w:rsidP="00D15BFE">
            <w:pPr>
              <w:snapToGrid w:val="0"/>
              <w:rPr>
                <w:sz w:val="24"/>
                <w:szCs w:val="24"/>
              </w:rPr>
            </w:pPr>
            <w:r w:rsidRPr="00D15BFE">
              <w:rPr>
                <w:sz w:val="24"/>
                <w:szCs w:val="24"/>
              </w:rPr>
              <w:t>Отсутствует</w:t>
            </w:r>
          </w:p>
        </w:tc>
        <w:tc>
          <w:tcPr>
            <w:tcW w:w="2534" w:type="dxa"/>
            <w:vAlign w:val="center"/>
          </w:tcPr>
          <w:p w:rsidR="00286780" w:rsidRPr="00D15BFE" w:rsidRDefault="00286780" w:rsidP="00D15BFE">
            <w:pPr>
              <w:snapToGrid w:val="0"/>
              <w:jc w:val="center"/>
              <w:rPr>
                <w:sz w:val="24"/>
                <w:szCs w:val="24"/>
              </w:rPr>
            </w:pPr>
            <w:r w:rsidRPr="00D15BFE">
              <w:rPr>
                <w:sz w:val="24"/>
                <w:szCs w:val="24"/>
              </w:rPr>
              <w:t>26</w:t>
            </w:r>
          </w:p>
        </w:tc>
        <w:tc>
          <w:tcPr>
            <w:tcW w:w="2534" w:type="dxa"/>
            <w:vAlign w:val="center"/>
          </w:tcPr>
          <w:p w:rsidR="00286780" w:rsidRPr="00D15BFE" w:rsidRDefault="00286780" w:rsidP="00D15BFE">
            <w:pPr>
              <w:snapToGrid w:val="0"/>
              <w:jc w:val="center"/>
              <w:rPr>
                <w:sz w:val="24"/>
                <w:szCs w:val="24"/>
              </w:rPr>
            </w:pPr>
            <w:r w:rsidRPr="00D15BFE">
              <w:rPr>
                <w:sz w:val="24"/>
                <w:szCs w:val="24"/>
              </w:rPr>
              <w:t>22</w:t>
            </w:r>
          </w:p>
        </w:tc>
        <w:tc>
          <w:tcPr>
            <w:tcW w:w="2535" w:type="dxa"/>
            <w:vAlign w:val="center"/>
          </w:tcPr>
          <w:p w:rsidR="00286780" w:rsidRPr="00D15BFE" w:rsidRDefault="00286780" w:rsidP="00D15BFE">
            <w:pPr>
              <w:snapToGrid w:val="0"/>
              <w:jc w:val="center"/>
              <w:rPr>
                <w:sz w:val="24"/>
                <w:szCs w:val="24"/>
              </w:rPr>
            </w:pPr>
            <w:r w:rsidRPr="00D15BFE">
              <w:rPr>
                <w:sz w:val="24"/>
                <w:szCs w:val="24"/>
              </w:rPr>
              <w:t>48</w:t>
            </w:r>
          </w:p>
        </w:tc>
      </w:tr>
      <w:tr w:rsidR="00286780" w:rsidRPr="00124D89" w:rsidTr="00D15BFE">
        <w:trPr>
          <w:trHeight w:val="454"/>
        </w:trPr>
        <w:tc>
          <w:tcPr>
            <w:tcW w:w="2534" w:type="dxa"/>
            <w:vAlign w:val="center"/>
          </w:tcPr>
          <w:p w:rsidR="00286780" w:rsidRPr="00D15BFE" w:rsidRDefault="00286780" w:rsidP="00D15BFE">
            <w:pPr>
              <w:snapToGrid w:val="0"/>
              <w:rPr>
                <w:sz w:val="24"/>
                <w:szCs w:val="24"/>
              </w:rPr>
            </w:pPr>
            <w:r w:rsidRPr="00D15BFE">
              <w:rPr>
                <w:sz w:val="24"/>
                <w:szCs w:val="24"/>
              </w:rPr>
              <w:t>Всего</w:t>
            </w:r>
          </w:p>
        </w:tc>
        <w:tc>
          <w:tcPr>
            <w:tcW w:w="2534" w:type="dxa"/>
            <w:vAlign w:val="center"/>
          </w:tcPr>
          <w:p w:rsidR="00286780" w:rsidRPr="00D15BFE" w:rsidRDefault="00286780" w:rsidP="00D15BFE">
            <w:pPr>
              <w:snapToGrid w:val="0"/>
              <w:jc w:val="center"/>
              <w:rPr>
                <w:sz w:val="24"/>
                <w:szCs w:val="24"/>
              </w:rPr>
            </w:pPr>
            <w:r w:rsidRPr="00D15BFE">
              <w:rPr>
                <w:sz w:val="24"/>
                <w:szCs w:val="24"/>
              </w:rPr>
              <w:t>36</w:t>
            </w:r>
          </w:p>
        </w:tc>
        <w:tc>
          <w:tcPr>
            <w:tcW w:w="2534" w:type="dxa"/>
            <w:vAlign w:val="center"/>
          </w:tcPr>
          <w:p w:rsidR="00286780" w:rsidRPr="00D15BFE" w:rsidRDefault="00286780" w:rsidP="00D15BFE">
            <w:pPr>
              <w:snapToGrid w:val="0"/>
              <w:jc w:val="center"/>
              <w:rPr>
                <w:sz w:val="24"/>
                <w:szCs w:val="24"/>
              </w:rPr>
            </w:pPr>
            <w:r w:rsidRPr="00D15BFE">
              <w:rPr>
                <w:sz w:val="24"/>
                <w:szCs w:val="24"/>
              </w:rPr>
              <w:t>30</w:t>
            </w:r>
          </w:p>
        </w:tc>
        <w:tc>
          <w:tcPr>
            <w:tcW w:w="2535" w:type="dxa"/>
            <w:vAlign w:val="center"/>
          </w:tcPr>
          <w:p w:rsidR="00286780" w:rsidRPr="00D15BFE" w:rsidRDefault="00286780" w:rsidP="00D15BFE">
            <w:pPr>
              <w:snapToGrid w:val="0"/>
              <w:jc w:val="center"/>
              <w:rPr>
                <w:sz w:val="24"/>
                <w:szCs w:val="24"/>
              </w:rPr>
            </w:pPr>
            <w:r w:rsidRPr="00D15BFE">
              <w:rPr>
                <w:sz w:val="24"/>
                <w:szCs w:val="24"/>
              </w:rPr>
              <w:t>66</w:t>
            </w:r>
          </w:p>
        </w:tc>
      </w:tr>
      <w:tr w:rsidR="00286780" w:rsidRPr="00124D89" w:rsidTr="00D15BFE">
        <w:trPr>
          <w:trHeight w:val="454"/>
        </w:trPr>
        <w:tc>
          <w:tcPr>
            <w:tcW w:w="10137" w:type="dxa"/>
            <w:gridSpan w:val="4"/>
            <w:vAlign w:val="center"/>
          </w:tcPr>
          <w:p w:rsidR="00286780" w:rsidRPr="00D15BFE" w:rsidRDefault="00286780" w:rsidP="00D15BFE">
            <w:pPr>
              <w:jc w:val="center"/>
              <w:rPr>
                <w:rFonts w:cs="Calibri"/>
                <w:sz w:val="24"/>
                <w:szCs w:val="24"/>
                <w:lang w:eastAsia="ar-SA"/>
              </w:rPr>
            </w:pPr>
            <w:r w:rsidRPr="00D15BFE">
              <w:rPr>
                <w:i/>
                <w:sz w:val="24"/>
                <w:szCs w:val="24"/>
              </w:rPr>
              <w:t>Примечание</w:t>
            </w:r>
            <w:r w:rsidRPr="00D15BFE">
              <w:rPr>
                <w:sz w:val="24"/>
                <w:szCs w:val="24"/>
              </w:rPr>
              <w:t>. * – разл</w:t>
            </w:r>
            <w:r>
              <w:rPr>
                <w:sz w:val="24"/>
                <w:szCs w:val="24"/>
              </w:rPr>
              <w:t>ичия статистически значимы (р&lt;</w:t>
            </w:r>
            <w:r w:rsidRPr="00D15BFE">
              <w:rPr>
                <w:sz w:val="24"/>
                <w:szCs w:val="24"/>
              </w:rPr>
              <w:t>0,05)</w:t>
            </w:r>
          </w:p>
        </w:tc>
      </w:tr>
    </w:tbl>
    <w:p w:rsidR="00286780" w:rsidRPr="00171853" w:rsidRDefault="00286780" w:rsidP="00124D89">
      <w:pPr>
        <w:jc w:val="both"/>
        <w:rPr>
          <w:rFonts w:cs="Calibri"/>
          <w:sz w:val="28"/>
          <w:szCs w:val="28"/>
          <w:lang w:eastAsia="ar-SA"/>
        </w:rPr>
      </w:pPr>
    </w:p>
    <w:p w:rsidR="00EB47A5" w:rsidRDefault="00286780" w:rsidP="002D1EE9">
      <w:pPr>
        <w:spacing w:line="360" w:lineRule="auto"/>
        <w:ind w:firstLine="709"/>
        <w:jc w:val="both"/>
        <w:rPr>
          <w:rFonts w:cs="Calibri"/>
          <w:sz w:val="28"/>
          <w:szCs w:val="28"/>
          <w:lang w:eastAsia="ar-SA"/>
        </w:rPr>
      </w:pPr>
      <w:r w:rsidRPr="00124D89">
        <w:rPr>
          <w:rFonts w:cs="Calibri"/>
          <w:sz w:val="28"/>
          <w:szCs w:val="28"/>
          <w:lang w:eastAsia="ar-SA"/>
        </w:rPr>
        <w:t xml:space="preserve">Пациенты с одонтогенным сепсисом предъявляли жалобы общего характера (резкая слабость, головокружение, повышение температуры тела, озноб); реже имели место жалобы, связанные с наличием воспалительного инфильтрата (локальные боли, нарушение открывания рта и глотания, в отдельных случаях – затруднение дыхания, одышка, связанные с развитием отека в области корня </w:t>
      </w:r>
      <w:r w:rsidR="00EB47A5">
        <w:rPr>
          <w:rFonts w:cs="Calibri"/>
          <w:sz w:val="28"/>
          <w:szCs w:val="28"/>
          <w:lang w:eastAsia="ar-SA"/>
        </w:rPr>
        <w:t>языка и гортани).</w:t>
      </w:r>
    </w:p>
    <w:p w:rsidR="00286780" w:rsidRDefault="00286780" w:rsidP="002D1EE9">
      <w:pPr>
        <w:spacing w:line="360" w:lineRule="auto"/>
        <w:ind w:firstLine="709"/>
        <w:jc w:val="both"/>
        <w:rPr>
          <w:rFonts w:cs="Calibri"/>
          <w:sz w:val="28"/>
          <w:szCs w:val="28"/>
          <w:lang w:eastAsia="ar-SA"/>
        </w:rPr>
      </w:pPr>
      <w:r w:rsidRPr="00124D89">
        <w:rPr>
          <w:rFonts w:cs="Calibri"/>
          <w:sz w:val="28"/>
          <w:szCs w:val="28"/>
          <w:lang w:eastAsia="ar-SA"/>
        </w:rPr>
        <w:t>Жалобы на сухость во рту и значительные головные боли определялись у большинства больных с сепсисом, связаны не только с наличием сахарного диабета и артериальной гипертонией, но и с общей дегидратацие</w:t>
      </w:r>
      <w:r>
        <w:rPr>
          <w:rFonts w:cs="Calibri"/>
          <w:sz w:val="28"/>
          <w:szCs w:val="28"/>
          <w:lang w:eastAsia="ar-SA"/>
        </w:rPr>
        <w:t>й, гиповолемией, интоксикацией.</w:t>
      </w:r>
    </w:p>
    <w:p w:rsidR="00286780" w:rsidRDefault="00286780" w:rsidP="002D1EE9">
      <w:pPr>
        <w:spacing w:line="360" w:lineRule="auto"/>
        <w:ind w:firstLine="709"/>
        <w:jc w:val="both"/>
        <w:rPr>
          <w:rFonts w:cs="Calibri"/>
          <w:sz w:val="28"/>
          <w:szCs w:val="28"/>
          <w:lang w:eastAsia="ar-SA"/>
        </w:rPr>
      </w:pPr>
      <w:r w:rsidRPr="00124D89">
        <w:rPr>
          <w:rFonts w:cs="Calibri"/>
          <w:sz w:val="28"/>
          <w:szCs w:val="28"/>
          <w:lang w:eastAsia="ar-SA"/>
        </w:rPr>
        <w:t>В целом, преобладали жалобы общего характера.</w:t>
      </w:r>
      <w:r>
        <w:rPr>
          <w:rFonts w:cs="Calibri"/>
          <w:sz w:val="28"/>
          <w:szCs w:val="28"/>
          <w:lang w:eastAsia="ar-SA"/>
        </w:rPr>
        <w:t xml:space="preserve"> </w:t>
      </w:r>
      <w:r w:rsidRPr="00124D89">
        <w:rPr>
          <w:rFonts w:cs="Calibri"/>
          <w:sz w:val="28"/>
          <w:szCs w:val="28"/>
          <w:lang w:eastAsia="ar-SA"/>
        </w:rPr>
        <w:t>Продолжительность заболевания до поступления в стационар варьировала от 1 до 14 суток, в среднем у пациентов с одонтогенным сепсисом без хронических заболеваний внутренних органов – 4,4±0,46 сут., при наличии хронической</w:t>
      </w:r>
      <w:r>
        <w:rPr>
          <w:rFonts w:cs="Calibri"/>
          <w:sz w:val="28"/>
          <w:szCs w:val="28"/>
          <w:lang w:eastAsia="ar-SA"/>
        </w:rPr>
        <w:t xml:space="preserve"> патологии – 5,03±0,45 суток(р&gt;</w:t>
      </w:r>
      <w:r w:rsidRPr="00124D89">
        <w:rPr>
          <w:rFonts w:cs="Calibri"/>
          <w:sz w:val="28"/>
          <w:szCs w:val="28"/>
          <w:lang w:eastAsia="ar-SA"/>
        </w:rPr>
        <w:t>0,05).</w:t>
      </w:r>
    </w:p>
    <w:p w:rsidR="00286780" w:rsidRDefault="00286780" w:rsidP="002D1EE9">
      <w:pPr>
        <w:spacing w:line="360" w:lineRule="auto"/>
        <w:ind w:firstLine="709"/>
        <w:jc w:val="both"/>
        <w:rPr>
          <w:rFonts w:cs="Calibri"/>
          <w:sz w:val="28"/>
          <w:szCs w:val="28"/>
          <w:lang w:eastAsia="ar-SA"/>
        </w:rPr>
      </w:pPr>
      <w:r w:rsidRPr="00124D89">
        <w:rPr>
          <w:rFonts w:cs="Calibri"/>
          <w:sz w:val="28"/>
          <w:szCs w:val="28"/>
          <w:lang w:eastAsia="ar-SA"/>
        </w:rPr>
        <w:t>Характеристика догоспитального периода у пациентов с хронической патологией внутренних органов: 13 больных не обращались за медицинской помощью (36,1%); 20 пациентов лечился амбулаторно у стоматолога (55,6%); 3 занимались самолечением (8,3%). Аналогичные показатели группы пациентов с сепсисом без хронических заболеваний – 33,3%</w:t>
      </w:r>
      <w:r>
        <w:rPr>
          <w:rFonts w:cs="Calibri"/>
          <w:sz w:val="28"/>
          <w:szCs w:val="28"/>
          <w:lang w:eastAsia="ar-SA"/>
        </w:rPr>
        <w:t>; 56,7%; 10% соответственно (р&gt;</w:t>
      </w:r>
      <w:r w:rsidRPr="00124D89">
        <w:rPr>
          <w:rFonts w:cs="Calibri"/>
          <w:sz w:val="28"/>
          <w:szCs w:val="28"/>
          <w:lang w:eastAsia="ar-SA"/>
        </w:rPr>
        <w:t>0,05).</w:t>
      </w:r>
    </w:p>
    <w:p w:rsidR="00EB47A5" w:rsidRDefault="00286780" w:rsidP="00171853">
      <w:pPr>
        <w:spacing w:line="360" w:lineRule="auto"/>
        <w:ind w:firstLine="709"/>
        <w:jc w:val="both"/>
        <w:rPr>
          <w:rFonts w:cs="Calibri"/>
          <w:sz w:val="28"/>
          <w:szCs w:val="28"/>
          <w:lang w:eastAsia="ar-SA"/>
        </w:rPr>
      </w:pPr>
      <w:r w:rsidRPr="00124D89">
        <w:rPr>
          <w:rFonts w:cs="Calibri"/>
          <w:sz w:val="28"/>
          <w:szCs w:val="28"/>
          <w:lang w:eastAsia="ar-SA"/>
        </w:rPr>
        <w:t xml:space="preserve">Общее состояние больных расценивалось как тяжелое или крайне тяжелое. Кожные покровы – бледные с «мраморным» оттенком. Одышка более 20 дыхательных движений в 1 мин. наблюдалась у 16 пациентов (44,4%) с одонтогенным </w:t>
      </w:r>
      <w:r w:rsidRPr="00124D89">
        <w:rPr>
          <w:rFonts w:cs="Calibri"/>
          <w:sz w:val="28"/>
          <w:szCs w:val="28"/>
          <w:lang w:eastAsia="ar-SA"/>
        </w:rPr>
        <w:lastRenderedPageBreak/>
        <w:t>сепсисом и хронической патологией; в группе сравнения – се</w:t>
      </w:r>
      <w:r>
        <w:rPr>
          <w:rFonts w:cs="Calibri"/>
          <w:sz w:val="28"/>
          <w:szCs w:val="28"/>
          <w:lang w:eastAsia="ar-SA"/>
        </w:rPr>
        <w:t>мь больных с одышкой (23,3%; р&gt;</w:t>
      </w:r>
      <w:r w:rsidR="00EB47A5">
        <w:rPr>
          <w:rFonts w:cs="Calibri"/>
          <w:sz w:val="28"/>
          <w:szCs w:val="28"/>
          <w:lang w:eastAsia="ar-SA"/>
        </w:rPr>
        <w:t>0,05).</w:t>
      </w:r>
    </w:p>
    <w:p w:rsidR="00286780" w:rsidRPr="00171853" w:rsidRDefault="00286780" w:rsidP="00171853">
      <w:pPr>
        <w:spacing w:line="360" w:lineRule="auto"/>
        <w:ind w:firstLine="709"/>
        <w:jc w:val="both"/>
        <w:rPr>
          <w:rFonts w:cs="Calibri"/>
          <w:sz w:val="28"/>
          <w:szCs w:val="28"/>
          <w:lang w:eastAsia="ar-SA"/>
        </w:rPr>
      </w:pPr>
      <w:r w:rsidRPr="00124D89">
        <w:rPr>
          <w:rFonts w:cs="Calibri"/>
          <w:sz w:val="28"/>
          <w:szCs w:val="28"/>
          <w:lang w:eastAsia="ar-SA"/>
        </w:rPr>
        <w:t>Артериальная гипотензия, требующая введения вазопрессоров (септический шок), диагностирована у 12 пациентов (33,3%) основной группы,</w:t>
      </w:r>
      <w:r>
        <w:rPr>
          <w:rFonts w:cs="Calibri"/>
          <w:sz w:val="28"/>
          <w:szCs w:val="28"/>
          <w:lang w:eastAsia="ar-SA"/>
        </w:rPr>
        <w:t xml:space="preserve"> 10,0% – в группе сравнения (р&lt;</w:t>
      </w:r>
      <w:r w:rsidRPr="00124D89">
        <w:rPr>
          <w:rFonts w:cs="Calibri"/>
          <w:sz w:val="28"/>
          <w:szCs w:val="28"/>
          <w:lang w:eastAsia="ar-SA"/>
        </w:rPr>
        <w:t xml:space="preserve">0,05), различия статистически значимы. </w:t>
      </w:r>
      <w:r>
        <w:rPr>
          <w:rFonts w:cs="Calibri"/>
          <w:sz w:val="28"/>
          <w:szCs w:val="28"/>
          <w:lang w:eastAsia="ar-SA"/>
        </w:rPr>
        <w:t>Х</w:t>
      </w:r>
      <w:r w:rsidRPr="00124D89">
        <w:rPr>
          <w:rFonts w:cs="Calibri"/>
          <w:sz w:val="28"/>
          <w:szCs w:val="28"/>
          <w:lang w:eastAsia="ar-SA"/>
        </w:rPr>
        <w:t>роническая органная патология оказывает существенное влияние на течение основного патологич</w:t>
      </w:r>
      <w:r>
        <w:rPr>
          <w:rFonts w:cs="Calibri"/>
          <w:sz w:val="28"/>
          <w:szCs w:val="28"/>
          <w:lang w:eastAsia="ar-SA"/>
        </w:rPr>
        <w:t>еского процесса, отягощая его,</w:t>
      </w:r>
      <w:r w:rsidRPr="00124D89">
        <w:rPr>
          <w:rFonts w:cs="Calibri"/>
          <w:sz w:val="28"/>
          <w:szCs w:val="28"/>
          <w:lang w:eastAsia="ar-SA"/>
        </w:rPr>
        <w:t xml:space="preserve"> является </w:t>
      </w:r>
      <w:r w:rsidRPr="00124D89">
        <w:rPr>
          <w:rFonts w:cs="Calibri"/>
          <w:i/>
          <w:sz w:val="28"/>
          <w:szCs w:val="28"/>
          <w:lang w:eastAsia="ar-SA"/>
        </w:rPr>
        <w:t>фоновой.</w:t>
      </w:r>
    </w:p>
    <w:p w:rsidR="00286780" w:rsidRDefault="00286780" w:rsidP="002D1EE9">
      <w:pPr>
        <w:spacing w:line="360" w:lineRule="auto"/>
        <w:ind w:firstLine="709"/>
        <w:jc w:val="both"/>
        <w:rPr>
          <w:rFonts w:cs="Calibri"/>
          <w:spacing w:val="-2"/>
          <w:sz w:val="28"/>
          <w:szCs w:val="28"/>
          <w:lang w:eastAsia="ar-SA"/>
        </w:rPr>
      </w:pPr>
      <w:r w:rsidRPr="00671AAF">
        <w:rPr>
          <w:rFonts w:cs="Calibri"/>
          <w:spacing w:val="-2"/>
          <w:sz w:val="28"/>
          <w:szCs w:val="28"/>
          <w:lang w:eastAsia="ar-SA"/>
        </w:rPr>
        <w:t>Средние значения показателей частоты дыхательных движений, гемодинамики, клеточного и биохимического составов крови у больных с одонтогенным сепсисом и хронической патологи</w:t>
      </w:r>
      <w:r w:rsidR="00EB47A5">
        <w:rPr>
          <w:rFonts w:cs="Calibri"/>
          <w:spacing w:val="-2"/>
          <w:sz w:val="28"/>
          <w:szCs w:val="28"/>
          <w:lang w:eastAsia="ar-SA"/>
        </w:rPr>
        <w:t>ей внутренних органов</w:t>
      </w:r>
      <w:r w:rsidRPr="00671AAF">
        <w:rPr>
          <w:rFonts w:cs="Calibri"/>
          <w:spacing w:val="-2"/>
          <w:sz w:val="28"/>
          <w:szCs w:val="28"/>
          <w:lang w:eastAsia="ar-SA"/>
        </w:rPr>
        <w:t xml:space="preserve">, их сравнительная характеристика в отношении </w:t>
      </w:r>
      <w:r w:rsidR="00EB47A5">
        <w:rPr>
          <w:rFonts w:cs="Calibri"/>
          <w:spacing w:val="-2"/>
          <w:sz w:val="28"/>
          <w:szCs w:val="28"/>
          <w:lang w:eastAsia="ar-SA"/>
        </w:rPr>
        <w:t>под</w:t>
      </w:r>
      <w:r w:rsidRPr="00671AAF">
        <w:rPr>
          <w:rFonts w:cs="Calibri"/>
          <w:spacing w:val="-2"/>
          <w:sz w:val="28"/>
          <w:szCs w:val="28"/>
          <w:lang w:eastAsia="ar-SA"/>
        </w:rPr>
        <w:t xml:space="preserve">группы больных с сепсисом без хронических заболеваний (контрольная группа пациентов с одонтогенным сепсисом), в отношении </w:t>
      </w:r>
      <w:r w:rsidR="00EB47A5">
        <w:rPr>
          <w:rFonts w:cs="Calibri"/>
          <w:spacing w:val="-2"/>
          <w:sz w:val="28"/>
          <w:szCs w:val="28"/>
          <w:lang w:eastAsia="ar-SA"/>
        </w:rPr>
        <w:t>под</w:t>
      </w:r>
      <w:r w:rsidRPr="00671AAF">
        <w:rPr>
          <w:rFonts w:cs="Calibri"/>
          <w:spacing w:val="-2"/>
          <w:sz w:val="28"/>
          <w:szCs w:val="28"/>
          <w:lang w:eastAsia="ar-SA"/>
        </w:rPr>
        <w:t xml:space="preserve">группы пациентов с МФОИ без хронической патологии (контрольная </w:t>
      </w:r>
      <w:r w:rsidR="00EB47A5">
        <w:rPr>
          <w:rFonts w:cs="Calibri"/>
          <w:spacing w:val="-2"/>
          <w:sz w:val="28"/>
          <w:szCs w:val="28"/>
          <w:lang w:eastAsia="ar-SA"/>
        </w:rPr>
        <w:t>под</w:t>
      </w:r>
      <w:r w:rsidRPr="00671AAF">
        <w:rPr>
          <w:rFonts w:cs="Calibri"/>
          <w:spacing w:val="-2"/>
          <w:sz w:val="28"/>
          <w:szCs w:val="28"/>
          <w:lang w:eastAsia="ar-SA"/>
        </w:rPr>
        <w:t>группа</w:t>
      </w:r>
      <w:r>
        <w:rPr>
          <w:rFonts w:cs="Calibri"/>
          <w:spacing w:val="-2"/>
          <w:sz w:val="28"/>
          <w:szCs w:val="28"/>
          <w:lang w:eastAsia="ar-SA"/>
        </w:rPr>
        <w:t xml:space="preserve"> № 4), представлены в Таблице 39</w:t>
      </w:r>
      <w:r w:rsidRPr="00671AAF">
        <w:rPr>
          <w:rFonts w:cs="Calibri"/>
          <w:spacing w:val="-2"/>
          <w:sz w:val="28"/>
          <w:szCs w:val="28"/>
          <w:lang w:eastAsia="ar-SA"/>
        </w:rPr>
        <w:t>.</w:t>
      </w:r>
    </w:p>
    <w:p w:rsidR="00286780" w:rsidRDefault="00286780" w:rsidP="002D1EE9">
      <w:pPr>
        <w:spacing w:line="360" w:lineRule="auto"/>
        <w:ind w:firstLine="709"/>
        <w:jc w:val="both"/>
        <w:rPr>
          <w:rFonts w:cs="Calibri"/>
          <w:sz w:val="28"/>
          <w:szCs w:val="28"/>
          <w:lang w:eastAsia="ar-SA"/>
        </w:rPr>
      </w:pPr>
      <w:r w:rsidRPr="00124D89">
        <w:rPr>
          <w:rFonts w:cs="Calibri"/>
          <w:sz w:val="28"/>
          <w:szCs w:val="28"/>
          <w:lang w:eastAsia="ar-SA"/>
        </w:rPr>
        <w:t>Средние значения показателей гомеостаза у пациентов с одонтогенным сепсисом характеризуются наличием тахипноэ, артериальной гипотензией, тахикардией, анемией, выраженным лейкоцитозом более 20×10</w:t>
      </w:r>
      <w:r w:rsidRPr="00124D89">
        <w:rPr>
          <w:rFonts w:cs="Calibri"/>
          <w:sz w:val="28"/>
          <w:szCs w:val="28"/>
          <w:vertAlign w:val="superscript"/>
          <w:lang w:eastAsia="ar-SA"/>
        </w:rPr>
        <w:t>9</w:t>
      </w:r>
      <w:r w:rsidRPr="00124D89">
        <w:rPr>
          <w:rFonts w:cs="Calibri"/>
          <w:sz w:val="28"/>
          <w:szCs w:val="28"/>
          <w:lang w:eastAsia="ar-SA"/>
        </w:rPr>
        <w:t xml:space="preserve">/л, ускорением СОЭ более 25 мм/ч, гипопротеинемией, повышенной концентрацией мочевины, гиперкреатининемией, гипергликемией и гиперлактатемией, что является следствием генерализованного воспаления, гиперметаболического синдрома и нарушения доставки кислорода к тканям (сравнение с контрольной </w:t>
      </w:r>
      <w:r w:rsidR="00EB47A5">
        <w:rPr>
          <w:rFonts w:cs="Calibri"/>
          <w:sz w:val="28"/>
          <w:szCs w:val="28"/>
          <w:lang w:eastAsia="ar-SA"/>
        </w:rPr>
        <w:t>под</w:t>
      </w:r>
      <w:r w:rsidRPr="00124D89">
        <w:rPr>
          <w:rFonts w:cs="Calibri"/>
          <w:sz w:val="28"/>
          <w:szCs w:val="28"/>
          <w:lang w:eastAsia="ar-SA"/>
        </w:rPr>
        <w:t>группой пациентов с МФОИ без ХП)</w:t>
      </w:r>
      <w:r>
        <w:rPr>
          <w:rFonts w:cs="Calibri"/>
          <w:sz w:val="28"/>
          <w:szCs w:val="28"/>
          <w:lang w:eastAsia="ar-SA"/>
        </w:rPr>
        <w:t>.</w:t>
      </w:r>
    </w:p>
    <w:p w:rsidR="00286780" w:rsidRDefault="00286780" w:rsidP="008D4644">
      <w:pPr>
        <w:spacing w:line="360" w:lineRule="auto"/>
        <w:ind w:firstLine="709"/>
        <w:jc w:val="both"/>
        <w:rPr>
          <w:rFonts w:cs="Calibri"/>
          <w:sz w:val="28"/>
          <w:szCs w:val="28"/>
          <w:lang w:eastAsia="ar-SA"/>
        </w:rPr>
      </w:pPr>
      <w:r w:rsidRPr="00124D89">
        <w:rPr>
          <w:rFonts w:cs="Calibri"/>
          <w:sz w:val="28"/>
          <w:szCs w:val="28"/>
          <w:lang w:eastAsia="ar-SA"/>
        </w:rPr>
        <w:t>Статистически значимой лимфопении (в абсолютных значениях) у пациентов с ОС и ХП внутренних органов в сравнении с группой больных с МФОИ не наблюдается, т. е. ни одонтогенный сепсис, ни ХП внутренних органов (сочетание неблагоприятных факторов) выраженной депрессии количества лимфоцитов, как показателя клеточного иммунитета, не вызывают.</w:t>
      </w:r>
      <w:r w:rsidR="008D4644">
        <w:rPr>
          <w:rFonts w:cs="Calibri"/>
          <w:sz w:val="28"/>
          <w:szCs w:val="28"/>
          <w:lang w:eastAsia="ar-SA"/>
        </w:rPr>
        <w:t xml:space="preserve"> </w:t>
      </w:r>
      <w:r w:rsidRPr="00171853">
        <w:rPr>
          <w:rFonts w:cs="Calibri"/>
          <w:sz w:val="28"/>
          <w:szCs w:val="28"/>
          <w:lang w:eastAsia="ar-SA"/>
        </w:rPr>
        <w:t>В сравнении с показателями гомеостаза пациентов с сепсисом без ХП, статистически значимые различия (р&lt;0,05) наблюдаются по средним значениям содержания эритроцитов, концентрации гемоглобина, мочевины, ЛИИ, а также рН капиллярной крови.</w:t>
      </w:r>
    </w:p>
    <w:p w:rsidR="00286780" w:rsidRPr="00124D89" w:rsidRDefault="00286780" w:rsidP="00124D89">
      <w:pPr>
        <w:spacing w:after="120"/>
        <w:jc w:val="both"/>
        <w:rPr>
          <w:sz w:val="28"/>
          <w:szCs w:val="28"/>
        </w:rPr>
      </w:pPr>
      <w:r w:rsidRPr="00124D89">
        <w:rPr>
          <w:b/>
          <w:sz w:val="28"/>
          <w:szCs w:val="28"/>
        </w:rPr>
        <w:lastRenderedPageBreak/>
        <w:t>Таблица 3</w:t>
      </w:r>
      <w:r>
        <w:rPr>
          <w:b/>
          <w:sz w:val="28"/>
          <w:szCs w:val="28"/>
        </w:rPr>
        <w:t>9</w:t>
      </w:r>
      <w:r w:rsidRPr="00124D89">
        <w:rPr>
          <w:sz w:val="28"/>
          <w:szCs w:val="28"/>
        </w:rPr>
        <w:t xml:space="preserve"> – Сравнительная характеристика показателей гомеостаза пациент</w:t>
      </w:r>
      <w:r w:rsidR="004360E0">
        <w:rPr>
          <w:sz w:val="28"/>
          <w:szCs w:val="28"/>
        </w:rPr>
        <w:t>ов с ОС и ХП внутренних органов</w:t>
      </w:r>
      <w:r w:rsidRPr="00124D89">
        <w:rPr>
          <w:sz w:val="28"/>
          <w:szCs w:val="28"/>
        </w:rPr>
        <w:t xml:space="preserve"> с ОС без ХП, с МФОИ без ХП</w:t>
      </w:r>
    </w:p>
    <w:tbl>
      <w:tblPr>
        <w:tblW w:w="9526" w:type="dxa"/>
        <w:tblInd w:w="-5" w:type="dxa"/>
        <w:tblLayout w:type="fixed"/>
        <w:tblLook w:val="0000" w:firstRow="0" w:lastRow="0" w:firstColumn="0" w:lastColumn="0" w:noHBand="0" w:noVBand="0"/>
      </w:tblPr>
      <w:tblGrid>
        <w:gridCol w:w="3291"/>
        <w:gridCol w:w="2026"/>
        <w:gridCol w:w="2393"/>
        <w:gridCol w:w="1816"/>
      </w:tblGrid>
      <w:tr w:rsidR="00286780" w:rsidRPr="00124D89" w:rsidTr="005552BE">
        <w:trPr>
          <w:trHeight w:val="397"/>
        </w:trPr>
        <w:tc>
          <w:tcPr>
            <w:tcW w:w="3291"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i/>
                <w:spacing w:val="-8"/>
                <w:sz w:val="24"/>
                <w:szCs w:val="24"/>
                <w:lang w:eastAsia="ar-SA"/>
              </w:rPr>
            </w:pPr>
            <w:r w:rsidRPr="00124D89">
              <w:rPr>
                <w:rFonts w:cs="Calibri"/>
                <w:i/>
                <w:spacing w:val="-8"/>
                <w:sz w:val="24"/>
                <w:szCs w:val="24"/>
                <w:lang w:eastAsia="ar-SA"/>
              </w:rPr>
              <w:t>Признак</w:t>
            </w:r>
          </w:p>
        </w:tc>
        <w:tc>
          <w:tcPr>
            <w:tcW w:w="202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i/>
                <w:spacing w:val="-8"/>
                <w:sz w:val="24"/>
                <w:szCs w:val="24"/>
                <w:lang w:eastAsia="ar-SA"/>
              </w:rPr>
            </w:pPr>
            <w:r>
              <w:rPr>
                <w:rFonts w:cs="Calibri"/>
                <w:i/>
                <w:spacing w:val="-8"/>
                <w:sz w:val="24"/>
                <w:szCs w:val="24"/>
                <w:lang w:eastAsia="ar-SA"/>
              </w:rPr>
              <w:t>Под</w:t>
            </w:r>
            <w:r w:rsidRPr="00124D89">
              <w:rPr>
                <w:rFonts w:cs="Calibri"/>
                <w:i/>
                <w:spacing w:val="-8"/>
                <w:sz w:val="24"/>
                <w:szCs w:val="24"/>
                <w:lang w:eastAsia="ar-SA"/>
              </w:rPr>
              <w:t xml:space="preserve">группа пациентов с одонтогенным сепсисом </w:t>
            </w:r>
            <w:r w:rsidR="008D4644">
              <w:rPr>
                <w:rFonts w:cs="Calibri"/>
                <w:i/>
                <w:spacing w:val="-8"/>
                <w:sz w:val="24"/>
                <w:szCs w:val="24"/>
                <w:lang w:eastAsia="ar-SA"/>
              </w:rPr>
              <w:t xml:space="preserve">и ХП </w:t>
            </w:r>
            <w:r w:rsidRPr="00124D89">
              <w:rPr>
                <w:rFonts w:cs="Calibri"/>
                <w:i/>
                <w:spacing w:val="-8"/>
                <w:sz w:val="24"/>
                <w:szCs w:val="24"/>
                <w:lang w:eastAsia="ar-SA"/>
              </w:rPr>
              <w:t>(</w:t>
            </w:r>
            <w:r w:rsidRPr="00124D89">
              <w:rPr>
                <w:rFonts w:cs="Calibri"/>
                <w:i/>
                <w:spacing w:val="-8"/>
                <w:sz w:val="24"/>
                <w:szCs w:val="24"/>
                <w:lang w:val="en-US" w:eastAsia="ar-SA"/>
              </w:rPr>
              <w:t>n</w:t>
            </w:r>
            <w:r w:rsidRPr="00124D89">
              <w:rPr>
                <w:rFonts w:cs="Calibri"/>
                <w:i/>
                <w:spacing w:val="-8"/>
                <w:sz w:val="24"/>
                <w:szCs w:val="24"/>
                <w:lang w:eastAsia="ar-SA"/>
              </w:rPr>
              <w:t xml:space="preserve"> = 36)</w:t>
            </w:r>
          </w:p>
        </w:tc>
        <w:tc>
          <w:tcPr>
            <w:tcW w:w="2393"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i/>
                <w:spacing w:val="-8"/>
                <w:sz w:val="24"/>
                <w:szCs w:val="24"/>
                <w:lang w:eastAsia="ar-SA"/>
              </w:rPr>
            </w:pPr>
            <w:r w:rsidRPr="00124D89">
              <w:rPr>
                <w:rFonts w:cs="Calibri"/>
                <w:i/>
                <w:spacing w:val="-8"/>
                <w:sz w:val="24"/>
                <w:szCs w:val="24"/>
                <w:lang w:eastAsia="ar-SA"/>
              </w:rPr>
              <w:t xml:space="preserve">Контрольная </w:t>
            </w:r>
            <w:r>
              <w:rPr>
                <w:rFonts w:cs="Calibri"/>
                <w:i/>
                <w:spacing w:val="-8"/>
                <w:sz w:val="24"/>
                <w:szCs w:val="24"/>
                <w:lang w:eastAsia="ar-SA"/>
              </w:rPr>
              <w:t>под</w:t>
            </w:r>
            <w:r w:rsidRPr="00124D89">
              <w:rPr>
                <w:rFonts w:cs="Calibri"/>
                <w:i/>
                <w:spacing w:val="-8"/>
                <w:sz w:val="24"/>
                <w:szCs w:val="24"/>
                <w:lang w:eastAsia="ar-SA"/>
              </w:rPr>
              <w:t>группа пациентов с одонтогенным сепсисом (</w:t>
            </w:r>
            <w:r w:rsidRPr="00124D89">
              <w:rPr>
                <w:rFonts w:cs="Calibri"/>
                <w:i/>
                <w:spacing w:val="-8"/>
                <w:sz w:val="24"/>
                <w:szCs w:val="24"/>
                <w:lang w:val="en-US" w:eastAsia="ar-SA"/>
              </w:rPr>
              <w:t>n</w:t>
            </w:r>
            <w:r w:rsidRPr="00124D89">
              <w:rPr>
                <w:rFonts w:cs="Calibri"/>
                <w:i/>
                <w:spacing w:val="-8"/>
                <w:sz w:val="24"/>
                <w:szCs w:val="24"/>
                <w:lang w:eastAsia="ar-SA"/>
              </w:rPr>
              <w:t xml:space="preserve"> = 30)</w:t>
            </w:r>
          </w:p>
        </w:tc>
        <w:tc>
          <w:tcPr>
            <w:tcW w:w="1816" w:type="dxa"/>
            <w:tcBorders>
              <w:top w:val="single" w:sz="4" w:space="0" w:color="000000"/>
              <w:left w:val="single" w:sz="4" w:space="0" w:color="auto"/>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i/>
                <w:spacing w:val="-8"/>
                <w:sz w:val="24"/>
                <w:szCs w:val="24"/>
                <w:lang w:eastAsia="ar-SA"/>
              </w:rPr>
            </w:pPr>
            <w:r w:rsidRPr="00124D89">
              <w:rPr>
                <w:rFonts w:cs="Calibri"/>
                <w:i/>
                <w:spacing w:val="-8"/>
                <w:sz w:val="24"/>
                <w:szCs w:val="24"/>
                <w:lang w:eastAsia="ar-SA"/>
              </w:rPr>
              <w:t xml:space="preserve">Контрольная </w:t>
            </w:r>
            <w:r>
              <w:rPr>
                <w:rFonts w:cs="Calibri"/>
                <w:i/>
                <w:spacing w:val="-8"/>
                <w:sz w:val="24"/>
                <w:szCs w:val="24"/>
                <w:lang w:eastAsia="ar-SA"/>
              </w:rPr>
              <w:t>под</w:t>
            </w:r>
            <w:r w:rsidRPr="00124D89">
              <w:rPr>
                <w:rFonts w:cs="Calibri"/>
                <w:i/>
                <w:spacing w:val="-8"/>
                <w:sz w:val="24"/>
                <w:szCs w:val="24"/>
                <w:lang w:eastAsia="ar-SA"/>
              </w:rPr>
              <w:t>группа № 4</w:t>
            </w:r>
            <w:r w:rsidRPr="00124D89">
              <w:rPr>
                <w:rFonts w:cs="Calibri"/>
                <w:i/>
                <w:spacing w:val="-8"/>
                <w:sz w:val="24"/>
                <w:szCs w:val="24"/>
                <w:lang w:val="en-US" w:eastAsia="ar-SA"/>
              </w:rPr>
              <w:t xml:space="preserve"> (n=28)</w:t>
            </w:r>
          </w:p>
        </w:tc>
      </w:tr>
      <w:tr w:rsidR="00286780" w:rsidRPr="00124D89" w:rsidTr="005552BE">
        <w:trPr>
          <w:trHeight w:val="397"/>
        </w:trPr>
        <w:tc>
          <w:tcPr>
            <w:tcW w:w="3291"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4"/>
                <w:szCs w:val="24"/>
                <w:lang w:eastAsia="ar-SA"/>
              </w:rPr>
            </w:pPr>
            <w:r w:rsidRPr="00124D89">
              <w:rPr>
                <w:rFonts w:cs="Calibri"/>
                <w:spacing w:val="-8"/>
                <w:sz w:val="24"/>
                <w:szCs w:val="24"/>
                <w:lang w:eastAsia="ar-SA"/>
              </w:rPr>
              <w:t>Частота дыхательных движений (в 1 мин.)</w:t>
            </w:r>
          </w:p>
        </w:tc>
        <w:tc>
          <w:tcPr>
            <w:tcW w:w="2026" w:type="dxa"/>
            <w:tcBorders>
              <w:top w:val="single" w:sz="4" w:space="0" w:color="000000"/>
              <w:left w:val="single" w:sz="4" w:space="0" w:color="000000"/>
              <w:bottom w:val="single" w:sz="4" w:space="0" w:color="000000"/>
            </w:tcBorders>
            <w:tcMar>
              <w:left w:w="28" w:type="dxa"/>
              <w:right w:w="28" w:type="dxa"/>
            </w:tcMar>
            <w:vAlign w:val="center"/>
          </w:tcPr>
          <w:p w:rsidR="00286780" w:rsidRPr="00671AAF" w:rsidRDefault="00286780" w:rsidP="00124D89">
            <w:pPr>
              <w:snapToGrid w:val="0"/>
              <w:jc w:val="center"/>
              <w:rPr>
                <w:rFonts w:cs="Calibri"/>
                <w:spacing w:val="-8"/>
                <w:sz w:val="24"/>
                <w:szCs w:val="24"/>
                <w:lang w:eastAsia="ar-SA"/>
              </w:rPr>
            </w:pPr>
            <w:r>
              <w:rPr>
                <w:rFonts w:cs="Calibri"/>
                <w:spacing w:val="-8"/>
                <w:sz w:val="24"/>
                <w:szCs w:val="24"/>
                <w:lang w:eastAsia="ar-SA"/>
              </w:rPr>
              <w:t>22</w:t>
            </w:r>
            <w:r w:rsidRPr="00671AAF">
              <w:rPr>
                <w:rFonts w:cs="Calibri"/>
                <w:spacing w:val="-8"/>
                <w:sz w:val="24"/>
                <w:szCs w:val="24"/>
                <w:lang w:val="en-US" w:eastAsia="ar-SA"/>
              </w:rPr>
              <w:t>[</w:t>
            </w:r>
            <w:r w:rsidRPr="00671AAF">
              <w:rPr>
                <w:rFonts w:cs="Calibri"/>
                <w:spacing w:val="-8"/>
                <w:sz w:val="24"/>
                <w:szCs w:val="24"/>
                <w:lang w:eastAsia="ar-SA"/>
              </w:rPr>
              <w:t>18; 28</w:t>
            </w:r>
            <w:r w:rsidRPr="00671AAF">
              <w:rPr>
                <w:rFonts w:cs="Calibri"/>
                <w:spacing w:val="-8"/>
                <w:sz w:val="24"/>
                <w:szCs w:val="24"/>
                <w:lang w:val="en-US" w:eastAsia="ar-SA"/>
              </w:rPr>
              <w:t>]</w:t>
            </w:r>
            <w:r w:rsidRPr="00671AAF">
              <w:rPr>
                <w:rFonts w:cs="Calibri"/>
                <w:spacing w:val="-8"/>
                <w:sz w:val="24"/>
                <w:szCs w:val="24"/>
                <w:lang w:eastAsia="ar-SA"/>
              </w:rPr>
              <w:t>**</w:t>
            </w:r>
          </w:p>
        </w:tc>
        <w:tc>
          <w:tcPr>
            <w:tcW w:w="2393"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4"/>
                <w:szCs w:val="24"/>
                <w:lang w:val="en-US" w:eastAsia="ar-SA"/>
              </w:rPr>
            </w:pPr>
            <w:r>
              <w:rPr>
                <w:rFonts w:cs="Calibri"/>
                <w:spacing w:val="-8"/>
                <w:sz w:val="24"/>
                <w:szCs w:val="24"/>
                <w:lang w:eastAsia="ar-SA"/>
              </w:rPr>
              <w:t>19</w:t>
            </w:r>
            <w:r w:rsidRPr="00124D89">
              <w:rPr>
                <w:rFonts w:cs="Calibri"/>
                <w:spacing w:val="-8"/>
                <w:sz w:val="24"/>
                <w:szCs w:val="24"/>
                <w:lang w:val="en-US" w:eastAsia="ar-SA"/>
              </w:rPr>
              <w:t>[</w:t>
            </w:r>
            <w:r w:rsidRPr="00124D89">
              <w:rPr>
                <w:rFonts w:cs="Calibri"/>
                <w:spacing w:val="-8"/>
                <w:sz w:val="24"/>
                <w:szCs w:val="24"/>
                <w:lang w:eastAsia="ar-SA"/>
              </w:rPr>
              <w:t>18; 22</w:t>
            </w:r>
            <w:r w:rsidRPr="00124D89">
              <w:rPr>
                <w:rFonts w:cs="Calibri"/>
                <w:spacing w:val="-8"/>
                <w:sz w:val="24"/>
                <w:szCs w:val="24"/>
                <w:lang w:val="en-US" w:eastAsia="ar-SA"/>
              </w:rPr>
              <w:t>]</w:t>
            </w:r>
          </w:p>
        </w:tc>
        <w:tc>
          <w:tcPr>
            <w:tcW w:w="1816" w:type="dxa"/>
            <w:tcBorders>
              <w:top w:val="single" w:sz="4" w:space="0" w:color="000000"/>
              <w:left w:val="single" w:sz="4" w:space="0" w:color="auto"/>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bCs/>
                <w:spacing w:val="-8"/>
                <w:sz w:val="24"/>
                <w:szCs w:val="24"/>
                <w:lang w:eastAsia="ar-SA"/>
              </w:rPr>
            </w:pPr>
            <w:r w:rsidRPr="00124D89">
              <w:rPr>
                <w:rFonts w:cs="Calibri"/>
                <w:bCs/>
                <w:spacing w:val="-8"/>
                <w:sz w:val="24"/>
                <w:szCs w:val="24"/>
                <w:lang w:eastAsia="ar-SA"/>
              </w:rPr>
              <w:t>1</w:t>
            </w:r>
            <w:r>
              <w:rPr>
                <w:rFonts w:cs="Calibri"/>
                <w:bCs/>
                <w:spacing w:val="-8"/>
                <w:sz w:val="24"/>
                <w:szCs w:val="24"/>
                <w:lang w:eastAsia="ar-SA"/>
              </w:rPr>
              <w:t>8</w:t>
            </w:r>
            <w:r w:rsidRPr="00124D89">
              <w:rPr>
                <w:rFonts w:cs="Calibri"/>
                <w:bCs/>
                <w:spacing w:val="-8"/>
                <w:sz w:val="24"/>
                <w:szCs w:val="24"/>
                <w:lang w:val="en-US" w:eastAsia="ar-SA"/>
              </w:rPr>
              <w:t>[17</w:t>
            </w:r>
            <w:r w:rsidRPr="00124D89">
              <w:rPr>
                <w:rFonts w:cs="Calibri"/>
                <w:bCs/>
                <w:spacing w:val="-8"/>
                <w:sz w:val="24"/>
                <w:szCs w:val="24"/>
                <w:lang w:eastAsia="ar-SA"/>
              </w:rPr>
              <w:t xml:space="preserve">; </w:t>
            </w:r>
            <w:r w:rsidRPr="00124D89">
              <w:rPr>
                <w:rFonts w:cs="Calibri"/>
                <w:bCs/>
                <w:spacing w:val="-8"/>
                <w:sz w:val="24"/>
                <w:szCs w:val="24"/>
                <w:lang w:val="en-US" w:eastAsia="ar-SA"/>
              </w:rPr>
              <w:t>18]</w:t>
            </w:r>
          </w:p>
        </w:tc>
      </w:tr>
      <w:tr w:rsidR="00286780" w:rsidRPr="00124D89" w:rsidTr="005552BE">
        <w:trPr>
          <w:trHeight w:val="397"/>
        </w:trPr>
        <w:tc>
          <w:tcPr>
            <w:tcW w:w="3291"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4"/>
                <w:szCs w:val="24"/>
                <w:lang w:eastAsia="ar-SA"/>
              </w:rPr>
            </w:pPr>
            <w:r w:rsidRPr="00124D89">
              <w:rPr>
                <w:rFonts w:cs="Calibri"/>
                <w:spacing w:val="-8"/>
                <w:sz w:val="24"/>
                <w:szCs w:val="24"/>
                <w:lang w:eastAsia="ar-SA"/>
              </w:rPr>
              <w:t>АД систолическое (мм рт.ст.)</w:t>
            </w:r>
          </w:p>
        </w:tc>
        <w:tc>
          <w:tcPr>
            <w:tcW w:w="2026" w:type="dxa"/>
            <w:tcBorders>
              <w:top w:val="single" w:sz="4" w:space="0" w:color="000000"/>
              <w:left w:val="single" w:sz="4" w:space="0" w:color="000000"/>
              <w:bottom w:val="single" w:sz="4" w:space="0" w:color="000000"/>
            </w:tcBorders>
            <w:tcMar>
              <w:left w:w="28" w:type="dxa"/>
              <w:right w:w="28" w:type="dxa"/>
            </w:tcMar>
            <w:vAlign w:val="center"/>
          </w:tcPr>
          <w:p w:rsidR="00286780" w:rsidRPr="00671AAF" w:rsidRDefault="00286780" w:rsidP="00124D89">
            <w:pPr>
              <w:snapToGrid w:val="0"/>
              <w:jc w:val="center"/>
              <w:rPr>
                <w:rFonts w:cs="Calibri"/>
                <w:spacing w:val="-8"/>
                <w:sz w:val="24"/>
                <w:szCs w:val="24"/>
                <w:lang w:eastAsia="ar-SA"/>
              </w:rPr>
            </w:pPr>
            <w:r>
              <w:rPr>
                <w:rFonts w:cs="Calibri"/>
                <w:spacing w:val="-8"/>
                <w:sz w:val="24"/>
                <w:szCs w:val="24"/>
                <w:lang w:eastAsia="ar-SA"/>
              </w:rPr>
              <w:t>110</w:t>
            </w:r>
            <w:r w:rsidRPr="00671AAF">
              <w:rPr>
                <w:rFonts w:cs="Calibri"/>
                <w:spacing w:val="-8"/>
                <w:sz w:val="24"/>
                <w:szCs w:val="24"/>
                <w:lang w:val="en-US" w:eastAsia="ar-SA"/>
              </w:rPr>
              <w:t>[</w:t>
            </w:r>
            <w:r w:rsidRPr="00671AAF">
              <w:rPr>
                <w:rFonts w:cs="Calibri"/>
                <w:spacing w:val="-8"/>
                <w:sz w:val="24"/>
                <w:szCs w:val="24"/>
                <w:lang w:eastAsia="ar-SA"/>
              </w:rPr>
              <w:t>85; 130</w:t>
            </w:r>
            <w:r w:rsidRPr="00671AAF">
              <w:rPr>
                <w:rFonts w:cs="Calibri"/>
                <w:spacing w:val="-8"/>
                <w:sz w:val="24"/>
                <w:szCs w:val="24"/>
                <w:lang w:val="en-US" w:eastAsia="ar-SA"/>
              </w:rPr>
              <w:t>]</w:t>
            </w:r>
            <w:r w:rsidRPr="00671AAF">
              <w:rPr>
                <w:rFonts w:cs="Calibri"/>
                <w:spacing w:val="-8"/>
                <w:sz w:val="24"/>
                <w:szCs w:val="24"/>
                <w:lang w:eastAsia="ar-SA"/>
              </w:rPr>
              <w:t>**</w:t>
            </w:r>
          </w:p>
        </w:tc>
        <w:tc>
          <w:tcPr>
            <w:tcW w:w="2393"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4"/>
                <w:szCs w:val="24"/>
                <w:lang w:val="en-US" w:eastAsia="ar-SA"/>
              </w:rPr>
            </w:pPr>
            <w:r>
              <w:rPr>
                <w:rFonts w:cs="Calibri"/>
                <w:spacing w:val="-8"/>
                <w:sz w:val="24"/>
                <w:szCs w:val="24"/>
                <w:lang w:eastAsia="ar-SA"/>
              </w:rPr>
              <w:t>125</w:t>
            </w:r>
            <w:r w:rsidRPr="00124D89">
              <w:rPr>
                <w:rFonts w:cs="Calibri"/>
                <w:spacing w:val="-8"/>
                <w:sz w:val="24"/>
                <w:szCs w:val="24"/>
                <w:lang w:val="en-US" w:eastAsia="ar-SA"/>
              </w:rPr>
              <w:t>[120</w:t>
            </w:r>
            <w:r w:rsidRPr="00124D89">
              <w:rPr>
                <w:rFonts w:cs="Calibri"/>
                <w:spacing w:val="-8"/>
                <w:sz w:val="24"/>
                <w:szCs w:val="24"/>
                <w:lang w:eastAsia="ar-SA"/>
              </w:rPr>
              <w:t>; 130</w:t>
            </w:r>
            <w:r w:rsidRPr="00124D89">
              <w:rPr>
                <w:rFonts w:cs="Calibri"/>
                <w:spacing w:val="-8"/>
                <w:sz w:val="24"/>
                <w:szCs w:val="24"/>
                <w:lang w:val="en-US" w:eastAsia="ar-SA"/>
              </w:rPr>
              <w:t>]</w:t>
            </w:r>
          </w:p>
        </w:tc>
        <w:tc>
          <w:tcPr>
            <w:tcW w:w="1816" w:type="dxa"/>
            <w:tcBorders>
              <w:top w:val="single" w:sz="4" w:space="0" w:color="000000"/>
              <w:left w:val="single" w:sz="4" w:space="0" w:color="auto"/>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bCs/>
                <w:spacing w:val="-8"/>
                <w:sz w:val="24"/>
                <w:szCs w:val="24"/>
                <w:highlight w:val="red"/>
                <w:lang w:eastAsia="ar-SA"/>
              </w:rPr>
            </w:pPr>
            <w:r>
              <w:rPr>
                <w:rFonts w:cs="Calibri"/>
                <w:spacing w:val="-8"/>
                <w:sz w:val="24"/>
                <w:szCs w:val="24"/>
                <w:lang w:eastAsia="ar-SA"/>
              </w:rPr>
              <w:t>130</w:t>
            </w:r>
            <w:r w:rsidRPr="00124D89">
              <w:rPr>
                <w:rFonts w:cs="Calibri"/>
                <w:spacing w:val="-8"/>
                <w:sz w:val="24"/>
                <w:szCs w:val="24"/>
                <w:lang w:val="en-US" w:eastAsia="ar-SA"/>
              </w:rPr>
              <w:t>[</w:t>
            </w:r>
            <w:r w:rsidRPr="00124D89">
              <w:rPr>
                <w:rFonts w:cs="Calibri"/>
                <w:spacing w:val="-8"/>
                <w:sz w:val="24"/>
                <w:szCs w:val="24"/>
                <w:lang w:eastAsia="ar-SA"/>
              </w:rPr>
              <w:t>120; 140</w:t>
            </w:r>
            <w:r w:rsidRPr="00124D89">
              <w:rPr>
                <w:rFonts w:cs="Calibri"/>
                <w:spacing w:val="-8"/>
                <w:sz w:val="24"/>
                <w:szCs w:val="24"/>
                <w:lang w:val="en-US" w:eastAsia="ar-SA"/>
              </w:rPr>
              <w:t>]</w:t>
            </w:r>
          </w:p>
        </w:tc>
      </w:tr>
      <w:tr w:rsidR="00286780" w:rsidRPr="00124D89" w:rsidTr="005552BE">
        <w:trPr>
          <w:trHeight w:val="397"/>
        </w:trPr>
        <w:tc>
          <w:tcPr>
            <w:tcW w:w="3291"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4"/>
                <w:szCs w:val="24"/>
                <w:lang w:eastAsia="ar-SA"/>
              </w:rPr>
            </w:pPr>
            <w:r w:rsidRPr="00124D89">
              <w:rPr>
                <w:rFonts w:cs="Calibri"/>
                <w:spacing w:val="-8"/>
                <w:sz w:val="24"/>
                <w:szCs w:val="24"/>
                <w:lang w:eastAsia="ar-SA"/>
              </w:rPr>
              <w:t>АД диастолическое (мм рт.ст.)</w:t>
            </w:r>
          </w:p>
        </w:tc>
        <w:tc>
          <w:tcPr>
            <w:tcW w:w="2026" w:type="dxa"/>
            <w:tcBorders>
              <w:top w:val="single" w:sz="4" w:space="0" w:color="000000"/>
              <w:left w:val="single" w:sz="4" w:space="0" w:color="000000"/>
              <w:bottom w:val="single" w:sz="4" w:space="0" w:color="000000"/>
            </w:tcBorders>
            <w:tcMar>
              <w:left w:w="28" w:type="dxa"/>
              <w:right w:w="28" w:type="dxa"/>
            </w:tcMar>
            <w:vAlign w:val="center"/>
          </w:tcPr>
          <w:p w:rsidR="00286780" w:rsidRPr="00671AAF" w:rsidRDefault="00286780" w:rsidP="00124D89">
            <w:pPr>
              <w:snapToGrid w:val="0"/>
              <w:jc w:val="center"/>
              <w:rPr>
                <w:rFonts w:cs="Calibri"/>
                <w:spacing w:val="-8"/>
                <w:sz w:val="24"/>
                <w:szCs w:val="24"/>
                <w:lang w:eastAsia="ar-SA"/>
              </w:rPr>
            </w:pPr>
            <w:r>
              <w:rPr>
                <w:rFonts w:cs="Calibri"/>
                <w:spacing w:val="-8"/>
                <w:sz w:val="24"/>
                <w:szCs w:val="24"/>
                <w:lang w:eastAsia="ar-SA"/>
              </w:rPr>
              <w:t>70</w:t>
            </w:r>
            <w:r w:rsidRPr="00671AAF">
              <w:rPr>
                <w:rFonts w:cs="Calibri"/>
                <w:spacing w:val="-8"/>
                <w:sz w:val="24"/>
                <w:szCs w:val="24"/>
                <w:lang w:val="en-US" w:eastAsia="ar-SA"/>
              </w:rPr>
              <w:t>[</w:t>
            </w:r>
            <w:r w:rsidRPr="00671AAF">
              <w:rPr>
                <w:rFonts w:cs="Calibri"/>
                <w:spacing w:val="-8"/>
                <w:sz w:val="24"/>
                <w:szCs w:val="24"/>
                <w:lang w:eastAsia="ar-SA"/>
              </w:rPr>
              <w:t>60; 85</w:t>
            </w:r>
            <w:r w:rsidRPr="00671AAF">
              <w:rPr>
                <w:rFonts w:cs="Calibri"/>
                <w:spacing w:val="-8"/>
                <w:sz w:val="24"/>
                <w:szCs w:val="24"/>
                <w:lang w:val="en-US" w:eastAsia="ar-SA"/>
              </w:rPr>
              <w:t>]</w:t>
            </w:r>
            <w:r w:rsidRPr="00671AAF">
              <w:rPr>
                <w:rFonts w:cs="Calibri"/>
                <w:spacing w:val="-8"/>
                <w:sz w:val="24"/>
                <w:szCs w:val="24"/>
                <w:lang w:eastAsia="ar-SA"/>
              </w:rPr>
              <w:t>**</w:t>
            </w:r>
          </w:p>
        </w:tc>
        <w:tc>
          <w:tcPr>
            <w:tcW w:w="2393"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4"/>
                <w:szCs w:val="24"/>
                <w:lang w:val="en-US" w:eastAsia="ar-SA"/>
              </w:rPr>
            </w:pPr>
            <w:r>
              <w:rPr>
                <w:rFonts w:cs="Calibri"/>
                <w:spacing w:val="-8"/>
                <w:sz w:val="24"/>
                <w:szCs w:val="24"/>
                <w:lang w:eastAsia="ar-SA"/>
              </w:rPr>
              <w:t>80</w:t>
            </w:r>
            <w:r w:rsidRPr="00124D89">
              <w:rPr>
                <w:rFonts w:cs="Calibri"/>
                <w:spacing w:val="-8"/>
                <w:sz w:val="24"/>
                <w:szCs w:val="24"/>
                <w:lang w:val="en-US" w:eastAsia="ar-SA"/>
              </w:rPr>
              <w:t>[</w:t>
            </w:r>
            <w:r w:rsidRPr="00124D89">
              <w:rPr>
                <w:rFonts w:cs="Calibri"/>
                <w:spacing w:val="-8"/>
                <w:sz w:val="24"/>
                <w:szCs w:val="24"/>
                <w:lang w:eastAsia="ar-SA"/>
              </w:rPr>
              <w:t>70; 80</w:t>
            </w:r>
            <w:r w:rsidRPr="00124D89">
              <w:rPr>
                <w:rFonts w:cs="Calibri"/>
                <w:spacing w:val="-8"/>
                <w:sz w:val="24"/>
                <w:szCs w:val="24"/>
                <w:lang w:val="en-US" w:eastAsia="ar-SA"/>
              </w:rPr>
              <w:t>]</w:t>
            </w:r>
          </w:p>
        </w:tc>
        <w:tc>
          <w:tcPr>
            <w:tcW w:w="1816" w:type="dxa"/>
            <w:tcBorders>
              <w:top w:val="single" w:sz="4" w:space="0" w:color="000000"/>
              <w:left w:val="single" w:sz="4" w:space="0" w:color="auto"/>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bCs/>
                <w:spacing w:val="-8"/>
                <w:sz w:val="24"/>
                <w:szCs w:val="24"/>
                <w:highlight w:val="red"/>
                <w:lang w:eastAsia="ar-SA"/>
              </w:rPr>
            </w:pPr>
            <w:r>
              <w:rPr>
                <w:rFonts w:cs="Calibri"/>
                <w:spacing w:val="-8"/>
                <w:sz w:val="24"/>
                <w:szCs w:val="24"/>
                <w:lang w:eastAsia="ar-SA"/>
              </w:rPr>
              <w:t>80</w:t>
            </w:r>
            <w:r w:rsidRPr="00124D89">
              <w:rPr>
                <w:rFonts w:cs="Calibri"/>
                <w:spacing w:val="-8"/>
                <w:sz w:val="24"/>
                <w:szCs w:val="24"/>
                <w:lang w:eastAsia="ar-SA"/>
              </w:rPr>
              <w:t>[80; 90]</w:t>
            </w:r>
          </w:p>
        </w:tc>
      </w:tr>
      <w:tr w:rsidR="00286780" w:rsidRPr="00124D89" w:rsidTr="005552BE">
        <w:trPr>
          <w:trHeight w:val="397"/>
        </w:trPr>
        <w:tc>
          <w:tcPr>
            <w:tcW w:w="3291"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4"/>
                <w:szCs w:val="24"/>
                <w:lang w:eastAsia="ar-SA"/>
              </w:rPr>
            </w:pPr>
            <w:r w:rsidRPr="00124D89">
              <w:rPr>
                <w:rFonts w:cs="Calibri"/>
                <w:spacing w:val="-8"/>
                <w:sz w:val="24"/>
                <w:szCs w:val="24"/>
                <w:lang w:eastAsia="ar-SA"/>
              </w:rPr>
              <w:t>ЧСС (в 1 мин.)</w:t>
            </w:r>
          </w:p>
        </w:tc>
        <w:tc>
          <w:tcPr>
            <w:tcW w:w="2026" w:type="dxa"/>
            <w:tcBorders>
              <w:top w:val="single" w:sz="4" w:space="0" w:color="000000"/>
              <w:left w:val="single" w:sz="4" w:space="0" w:color="000000"/>
              <w:bottom w:val="single" w:sz="4" w:space="0" w:color="000000"/>
            </w:tcBorders>
            <w:tcMar>
              <w:left w:w="28" w:type="dxa"/>
              <w:right w:w="28" w:type="dxa"/>
            </w:tcMar>
            <w:vAlign w:val="center"/>
          </w:tcPr>
          <w:p w:rsidR="00286780" w:rsidRPr="00671AAF" w:rsidRDefault="00286780" w:rsidP="00124D89">
            <w:pPr>
              <w:snapToGrid w:val="0"/>
              <w:jc w:val="center"/>
              <w:rPr>
                <w:rFonts w:cs="Calibri"/>
                <w:spacing w:val="-8"/>
                <w:sz w:val="24"/>
                <w:szCs w:val="24"/>
                <w:lang w:eastAsia="ar-SA"/>
              </w:rPr>
            </w:pPr>
            <w:r>
              <w:rPr>
                <w:rFonts w:cs="Calibri"/>
                <w:spacing w:val="-8"/>
                <w:sz w:val="24"/>
                <w:szCs w:val="24"/>
                <w:lang w:eastAsia="ar-SA"/>
              </w:rPr>
              <w:t>105</w:t>
            </w:r>
            <w:r w:rsidRPr="00671AAF">
              <w:rPr>
                <w:rFonts w:cs="Calibri"/>
                <w:spacing w:val="-8"/>
                <w:sz w:val="24"/>
                <w:szCs w:val="24"/>
                <w:lang w:val="en-US" w:eastAsia="ar-SA"/>
              </w:rPr>
              <w:t>[</w:t>
            </w:r>
            <w:r w:rsidRPr="00671AAF">
              <w:rPr>
                <w:rFonts w:cs="Calibri"/>
                <w:spacing w:val="-8"/>
                <w:sz w:val="24"/>
                <w:szCs w:val="24"/>
                <w:lang w:eastAsia="ar-SA"/>
              </w:rPr>
              <w:t>92; 120</w:t>
            </w:r>
            <w:r w:rsidRPr="00671AAF">
              <w:rPr>
                <w:rFonts w:cs="Calibri"/>
                <w:spacing w:val="-8"/>
                <w:sz w:val="24"/>
                <w:szCs w:val="24"/>
                <w:lang w:val="en-US" w:eastAsia="ar-SA"/>
              </w:rPr>
              <w:t>]</w:t>
            </w:r>
            <w:r w:rsidRPr="00671AAF">
              <w:rPr>
                <w:rFonts w:cs="Calibri"/>
                <w:spacing w:val="-8"/>
                <w:sz w:val="24"/>
                <w:szCs w:val="24"/>
                <w:lang w:eastAsia="ar-SA"/>
              </w:rPr>
              <w:t>**</w:t>
            </w:r>
          </w:p>
        </w:tc>
        <w:tc>
          <w:tcPr>
            <w:tcW w:w="2393"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4"/>
                <w:szCs w:val="24"/>
                <w:lang w:eastAsia="ar-SA"/>
              </w:rPr>
            </w:pPr>
            <w:r>
              <w:rPr>
                <w:rFonts w:cs="Calibri"/>
                <w:spacing w:val="-8"/>
                <w:sz w:val="24"/>
                <w:szCs w:val="24"/>
                <w:lang w:eastAsia="ar-SA"/>
              </w:rPr>
              <w:t>102,5</w:t>
            </w:r>
            <w:r w:rsidRPr="00124D89">
              <w:rPr>
                <w:rFonts w:cs="Calibri"/>
                <w:spacing w:val="-8"/>
                <w:sz w:val="24"/>
                <w:szCs w:val="24"/>
                <w:lang w:val="en-US" w:eastAsia="ar-SA"/>
              </w:rPr>
              <w:t>[</w:t>
            </w:r>
            <w:r w:rsidRPr="00124D89">
              <w:rPr>
                <w:rFonts w:cs="Calibri"/>
                <w:spacing w:val="-8"/>
                <w:sz w:val="24"/>
                <w:szCs w:val="24"/>
                <w:lang w:eastAsia="ar-SA"/>
              </w:rPr>
              <w:t>90; 128</w:t>
            </w:r>
            <w:r w:rsidRPr="00124D89">
              <w:rPr>
                <w:rFonts w:cs="Calibri"/>
                <w:spacing w:val="-8"/>
                <w:sz w:val="24"/>
                <w:szCs w:val="24"/>
                <w:lang w:val="en-US" w:eastAsia="ar-SA"/>
              </w:rPr>
              <w:t>]</w:t>
            </w:r>
            <w:r w:rsidR="00C938AB">
              <w:rPr>
                <w:rFonts w:cs="Calibri"/>
                <w:spacing w:val="-8"/>
                <w:sz w:val="24"/>
                <w:szCs w:val="24"/>
                <w:lang w:val="en-US" w:eastAsia="ar-SA"/>
              </w:rPr>
              <w:t>**</w:t>
            </w:r>
          </w:p>
        </w:tc>
        <w:tc>
          <w:tcPr>
            <w:tcW w:w="1816" w:type="dxa"/>
            <w:tcBorders>
              <w:top w:val="single" w:sz="4" w:space="0" w:color="000000"/>
              <w:left w:val="single" w:sz="4" w:space="0" w:color="auto"/>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bCs/>
                <w:spacing w:val="-8"/>
                <w:sz w:val="24"/>
                <w:szCs w:val="24"/>
                <w:lang w:eastAsia="ar-SA"/>
              </w:rPr>
            </w:pPr>
            <w:r>
              <w:rPr>
                <w:rFonts w:cs="Calibri"/>
                <w:spacing w:val="-8"/>
                <w:sz w:val="24"/>
                <w:szCs w:val="24"/>
                <w:lang w:eastAsia="ar-SA"/>
              </w:rPr>
              <w:t>78</w:t>
            </w:r>
            <w:r w:rsidRPr="00124D89">
              <w:rPr>
                <w:rFonts w:cs="Calibri"/>
                <w:spacing w:val="-8"/>
                <w:sz w:val="24"/>
                <w:szCs w:val="24"/>
                <w:lang w:eastAsia="ar-SA"/>
              </w:rPr>
              <w:t>[72; 80]</w:t>
            </w:r>
          </w:p>
        </w:tc>
      </w:tr>
      <w:tr w:rsidR="00286780" w:rsidRPr="00124D89" w:rsidTr="005552BE">
        <w:trPr>
          <w:trHeight w:val="397"/>
        </w:trPr>
        <w:tc>
          <w:tcPr>
            <w:tcW w:w="3291"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4"/>
                <w:szCs w:val="24"/>
                <w:lang w:eastAsia="ar-SA"/>
              </w:rPr>
            </w:pPr>
            <w:r w:rsidRPr="00124D89">
              <w:rPr>
                <w:rFonts w:cs="Calibri"/>
                <w:spacing w:val="-8"/>
                <w:sz w:val="24"/>
                <w:szCs w:val="24"/>
                <w:lang w:eastAsia="ar-SA"/>
              </w:rPr>
              <w:t>Эритроциты (×10</w:t>
            </w:r>
            <w:r w:rsidRPr="00124D89">
              <w:rPr>
                <w:rFonts w:cs="Calibri"/>
                <w:spacing w:val="-8"/>
                <w:sz w:val="24"/>
                <w:szCs w:val="24"/>
                <w:vertAlign w:val="superscript"/>
                <w:lang w:eastAsia="ar-SA"/>
              </w:rPr>
              <w:t>12</w:t>
            </w:r>
            <w:r w:rsidRPr="00124D89">
              <w:rPr>
                <w:rFonts w:cs="Calibri"/>
                <w:spacing w:val="-8"/>
                <w:sz w:val="24"/>
                <w:szCs w:val="24"/>
                <w:lang w:eastAsia="ar-SA"/>
              </w:rPr>
              <w:t>/л)</w:t>
            </w:r>
          </w:p>
        </w:tc>
        <w:tc>
          <w:tcPr>
            <w:tcW w:w="2026" w:type="dxa"/>
            <w:tcBorders>
              <w:top w:val="single" w:sz="4" w:space="0" w:color="000000"/>
              <w:left w:val="single" w:sz="4" w:space="0" w:color="000000"/>
              <w:bottom w:val="single" w:sz="4" w:space="0" w:color="000000"/>
            </w:tcBorders>
            <w:tcMar>
              <w:left w:w="28" w:type="dxa"/>
              <w:right w:w="28" w:type="dxa"/>
            </w:tcMar>
            <w:vAlign w:val="center"/>
          </w:tcPr>
          <w:p w:rsidR="00286780" w:rsidRPr="00671AAF" w:rsidRDefault="00286780" w:rsidP="00124D89">
            <w:pPr>
              <w:snapToGrid w:val="0"/>
              <w:jc w:val="center"/>
              <w:rPr>
                <w:rFonts w:cs="Calibri"/>
                <w:spacing w:val="-8"/>
                <w:sz w:val="24"/>
                <w:szCs w:val="24"/>
                <w:lang w:eastAsia="ar-SA"/>
              </w:rPr>
            </w:pPr>
            <w:r w:rsidRPr="00671AAF">
              <w:rPr>
                <w:rFonts w:cs="Calibri"/>
                <w:spacing w:val="-8"/>
                <w:sz w:val="24"/>
                <w:szCs w:val="24"/>
                <w:lang w:eastAsia="ar-SA"/>
              </w:rPr>
              <w:t>3,23±0,15***</w:t>
            </w:r>
          </w:p>
        </w:tc>
        <w:tc>
          <w:tcPr>
            <w:tcW w:w="2393"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C938AB" w:rsidRDefault="00286780" w:rsidP="00124D89">
            <w:pPr>
              <w:snapToGrid w:val="0"/>
              <w:jc w:val="center"/>
              <w:rPr>
                <w:rFonts w:cs="Calibri"/>
                <w:spacing w:val="-8"/>
                <w:sz w:val="24"/>
                <w:szCs w:val="24"/>
                <w:lang w:val="en-US" w:eastAsia="ar-SA"/>
              </w:rPr>
            </w:pPr>
            <w:r w:rsidRPr="00124D89">
              <w:rPr>
                <w:rFonts w:cs="Calibri"/>
                <w:spacing w:val="-8"/>
                <w:sz w:val="24"/>
                <w:szCs w:val="24"/>
                <w:lang w:eastAsia="ar-SA"/>
              </w:rPr>
              <w:t>3,75±0,13</w:t>
            </w:r>
            <w:r w:rsidR="00C938AB">
              <w:rPr>
                <w:rFonts w:cs="Calibri"/>
                <w:spacing w:val="-8"/>
                <w:sz w:val="24"/>
                <w:szCs w:val="24"/>
                <w:lang w:val="en-US" w:eastAsia="ar-SA"/>
              </w:rPr>
              <w:t>**</w:t>
            </w:r>
          </w:p>
        </w:tc>
        <w:tc>
          <w:tcPr>
            <w:tcW w:w="1816" w:type="dxa"/>
            <w:tcBorders>
              <w:top w:val="single" w:sz="4" w:space="0" w:color="000000"/>
              <w:left w:val="single" w:sz="4" w:space="0" w:color="auto"/>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bCs/>
                <w:spacing w:val="-8"/>
                <w:sz w:val="24"/>
                <w:szCs w:val="24"/>
                <w:lang w:eastAsia="ar-SA"/>
              </w:rPr>
            </w:pPr>
            <w:r w:rsidRPr="00124D89">
              <w:rPr>
                <w:rFonts w:cs="Calibri"/>
                <w:spacing w:val="-8"/>
                <w:sz w:val="24"/>
                <w:szCs w:val="24"/>
                <w:lang w:eastAsia="ar-SA"/>
              </w:rPr>
              <w:t>4,6±</w:t>
            </w:r>
            <w:r w:rsidRPr="00124D89">
              <w:rPr>
                <w:rFonts w:cs="Calibri"/>
                <w:bCs/>
                <w:spacing w:val="-8"/>
                <w:sz w:val="24"/>
                <w:szCs w:val="24"/>
                <w:lang w:eastAsia="ar-SA"/>
              </w:rPr>
              <w:t>0,08</w:t>
            </w:r>
          </w:p>
        </w:tc>
      </w:tr>
      <w:tr w:rsidR="00286780" w:rsidRPr="00124D89" w:rsidTr="005552BE">
        <w:trPr>
          <w:trHeight w:val="397"/>
        </w:trPr>
        <w:tc>
          <w:tcPr>
            <w:tcW w:w="3291"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4"/>
                <w:szCs w:val="24"/>
                <w:lang w:eastAsia="ar-SA"/>
              </w:rPr>
            </w:pPr>
            <w:r w:rsidRPr="00124D89">
              <w:rPr>
                <w:rFonts w:cs="Calibri"/>
                <w:spacing w:val="-8"/>
                <w:sz w:val="24"/>
                <w:szCs w:val="24"/>
                <w:lang w:eastAsia="ar-SA"/>
              </w:rPr>
              <w:t>Гемоглобин (г/л)</w:t>
            </w:r>
          </w:p>
        </w:tc>
        <w:tc>
          <w:tcPr>
            <w:tcW w:w="2026" w:type="dxa"/>
            <w:tcBorders>
              <w:top w:val="single" w:sz="4" w:space="0" w:color="000000"/>
              <w:left w:val="single" w:sz="4" w:space="0" w:color="000000"/>
              <w:bottom w:val="single" w:sz="4" w:space="0" w:color="000000"/>
            </w:tcBorders>
            <w:tcMar>
              <w:left w:w="28" w:type="dxa"/>
              <w:right w:w="28" w:type="dxa"/>
            </w:tcMar>
            <w:vAlign w:val="center"/>
          </w:tcPr>
          <w:p w:rsidR="00286780" w:rsidRPr="00671AAF" w:rsidRDefault="00286780" w:rsidP="00124D89">
            <w:pPr>
              <w:snapToGrid w:val="0"/>
              <w:jc w:val="center"/>
              <w:rPr>
                <w:rFonts w:cs="Calibri"/>
                <w:spacing w:val="-8"/>
                <w:sz w:val="24"/>
                <w:szCs w:val="24"/>
                <w:lang w:eastAsia="ar-SA"/>
              </w:rPr>
            </w:pPr>
            <w:r w:rsidRPr="00671AAF">
              <w:rPr>
                <w:rFonts w:cs="Calibri"/>
                <w:spacing w:val="-8"/>
                <w:sz w:val="24"/>
                <w:szCs w:val="24"/>
                <w:lang w:eastAsia="ar-SA"/>
              </w:rPr>
              <w:t>103,3±4,59***</w:t>
            </w:r>
          </w:p>
        </w:tc>
        <w:tc>
          <w:tcPr>
            <w:tcW w:w="2393"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C938AB" w:rsidRDefault="00286780" w:rsidP="00124D89">
            <w:pPr>
              <w:snapToGrid w:val="0"/>
              <w:jc w:val="center"/>
              <w:rPr>
                <w:rFonts w:cs="Calibri"/>
                <w:spacing w:val="-8"/>
                <w:sz w:val="24"/>
                <w:szCs w:val="24"/>
                <w:lang w:val="en-US" w:eastAsia="ar-SA"/>
              </w:rPr>
            </w:pPr>
            <w:r w:rsidRPr="00124D89">
              <w:rPr>
                <w:rFonts w:cs="Calibri"/>
                <w:spacing w:val="-8"/>
                <w:sz w:val="24"/>
                <w:szCs w:val="24"/>
                <w:lang w:eastAsia="ar-SA"/>
              </w:rPr>
              <w:t>116,5±4,1</w:t>
            </w:r>
            <w:r w:rsidR="00C938AB">
              <w:rPr>
                <w:rFonts w:cs="Calibri"/>
                <w:spacing w:val="-8"/>
                <w:sz w:val="24"/>
                <w:szCs w:val="24"/>
                <w:lang w:val="en-US" w:eastAsia="ar-SA"/>
              </w:rPr>
              <w:t>**</w:t>
            </w:r>
          </w:p>
        </w:tc>
        <w:tc>
          <w:tcPr>
            <w:tcW w:w="1816" w:type="dxa"/>
            <w:tcBorders>
              <w:top w:val="single" w:sz="4" w:space="0" w:color="000000"/>
              <w:left w:val="single" w:sz="4" w:space="0" w:color="auto"/>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bCs/>
                <w:spacing w:val="-8"/>
                <w:sz w:val="24"/>
                <w:szCs w:val="24"/>
                <w:lang w:eastAsia="ar-SA"/>
              </w:rPr>
            </w:pPr>
            <w:r w:rsidRPr="00124D89">
              <w:rPr>
                <w:rFonts w:cs="Calibri"/>
                <w:spacing w:val="-8"/>
                <w:sz w:val="24"/>
                <w:szCs w:val="24"/>
                <w:lang w:eastAsia="ar-SA"/>
              </w:rPr>
              <w:t>140,5±</w:t>
            </w:r>
            <w:r w:rsidRPr="00124D89">
              <w:rPr>
                <w:rFonts w:cs="Calibri"/>
                <w:bCs/>
                <w:spacing w:val="-8"/>
                <w:sz w:val="24"/>
                <w:szCs w:val="24"/>
                <w:lang w:eastAsia="ar-SA"/>
              </w:rPr>
              <w:t>2,59</w:t>
            </w:r>
          </w:p>
        </w:tc>
      </w:tr>
      <w:tr w:rsidR="00286780" w:rsidRPr="00124D89" w:rsidTr="005552BE">
        <w:trPr>
          <w:trHeight w:val="397"/>
        </w:trPr>
        <w:tc>
          <w:tcPr>
            <w:tcW w:w="3291"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4"/>
                <w:szCs w:val="24"/>
                <w:lang w:eastAsia="ar-SA"/>
              </w:rPr>
            </w:pPr>
            <w:r w:rsidRPr="00124D89">
              <w:rPr>
                <w:rFonts w:cs="Calibri"/>
                <w:spacing w:val="-8"/>
                <w:sz w:val="24"/>
                <w:szCs w:val="24"/>
                <w:lang w:eastAsia="ar-SA"/>
              </w:rPr>
              <w:t>Лейкоциты (×10</w:t>
            </w:r>
            <w:r w:rsidRPr="00124D89">
              <w:rPr>
                <w:rFonts w:cs="Calibri"/>
                <w:spacing w:val="-8"/>
                <w:sz w:val="24"/>
                <w:szCs w:val="24"/>
                <w:vertAlign w:val="superscript"/>
                <w:lang w:eastAsia="ar-SA"/>
              </w:rPr>
              <w:t>9</w:t>
            </w:r>
            <w:r w:rsidRPr="00124D89">
              <w:rPr>
                <w:rFonts w:cs="Calibri"/>
                <w:spacing w:val="-8"/>
                <w:sz w:val="24"/>
                <w:szCs w:val="24"/>
                <w:lang w:eastAsia="ar-SA"/>
              </w:rPr>
              <w:t>/л)</w:t>
            </w:r>
          </w:p>
        </w:tc>
        <w:tc>
          <w:tcPr>
            <w:tcW w:w="2026" w:type="dxa"/>
            <w:tcBorders>
              <w:top w:val="single" w:sz="4" w:space="0" w:color="000000"/>
              <w:left w:val="single" w:sz="4" w:space="0" w:color="000000"/>
              <w:bottom w:val="single" w:sz="4" w:space="0" w:color="000000"/>
            </w:tcBorders>
            <w:tcMar>
              <w:left w:w="28" w:type="dxa"/>
              <w:right w:w="28" w:type="dxa"/>
            </w:tcMar>
            <w:vAlign w:val="center"/>
          </w:tcPr>
          <w:p w:rsidR="00286780" w:rsidRPr="00671AAF" w:rsidRDefault="00286780" w:rsidP="00124D89">
            <w:pPr>
              <w:snapToGrid w:val="0"/>
              <w:jc w:val="center"/>
              <w:rPr>
                <w:rFonts w:cs="Calibri"/>
                <w:spacing w:val="-8"/>
                <w:sz w:val="24"/>
                <w:szCs w:val="24"/>
                <w:lang w:eastAsia="ar-SA"/>
              </w:rPr>
            </w:pPr>
            <w:r w:rsidRPr="00671AAF">
              <w:rPr>
                <w:rFonts w:cs="Calibri"/>
                <w:spacing w:val="-8"/>
                <w:sz w:val="24"/>
                <w:szCs w:val="24"/>
                <w:lang w:eastAsia="ar-SA"/>
              </w:rPr>
              <w:t>22,8±2,1**</w:t>
            </w:r>
          </w:p>
        </w:tc>
        <w:tc>
          <w:tcPr>
            <w:tcW w:w="2393"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4"/>
                <w:szCs w:val="24"/>
                <w:lang w:eastAsia="ar-SA"/>
              </w:rPr>
            </w:pPr>
            <w:r w:rsidRPr="00124D89">
              <w:rPr>
                <w:rFonts w:cs="Calibri"/>
                <w:spacing w:val="-8"/>
                <w:sz w:val="24"/>
                <w:szCs w:val="24"/>
                <w:lang w:eastAsia="ar-SA"/>
              </w:rPr>
              <w:t>17,9±1,8</w:t>
            </w:r>
          </w:p>
        </w:tc>
        <w:tc>
          <w:tcPr>
            <w:tcW w:w="1816" w:type="dxa"/>
            <w:tcBorders>
              <w:top w:val="single" w:sz="4" w:space="0" w:color="000000"/>
              <w:left w:val="single" w:sz="4" w:space="0" w:color="auto"/>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bCs/>
                <w:spacing w:val="-8"/>
                <w:sz w:val="24"/>
                <w:szCs w:val="24"/>
                <w:lang w:eastAsia="ar-SA"/>
              </w:rPr>
            </w:pPr>
            <w:r w:rsidRPr="00124D89">
              <w:rPr>
                <w:rFonts w:cs="Calibri"/>
                <w:spacing w:val="-8"/>
                <w:sz w:val="24"/>
                <w:szCs w:val="24"/>
                <w:lang w:eastAsia="ar-SA"/>
              </w:rPr>
              <w:t>14,5±</w:t>
            </w:r>
            <w:r w:rsidRPr="00124D89">
              <w:rPr>
                <w:rFonts w:cs="Calibri"/>
                <w:bCs/>
                <w:spacing w:val="-8"/>
                <w:sz w:val="24"/>
                <w:szCs w:val="24"/>
                <w:lang w:eastAsia="ar-SA"/>
              </w:rPr>
              <w:t>0,75</w:t>
            </w:r>
          </w:p>
        </w:tc>
      </w:tr>
      <w:tr w:rsidR="00286780" w:rsidRPr="00124D89" w:rsidTr="005552BE">
        <w:trPr>
          <w:trHeight w:val="397"/>
        </w:trPr>
        <w:tc>
          <w:tcPr>
            <w:tcW w:w="3291"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4"/>
                <w:szCs w:val="24"/>
                <w:lang w:eastAsia="ar-SA"/>
              </w:rPr>
            </w:pPr>
            <w:r w:rsidRPr="00124D89">
              <w:rPr>
                <w:rFonts w:cs="Calibri"/>
                <w:spacing w:val="-8"/>
                <w:sz w:val="24"/>
                <w:szCs w:val="24"/>
                <w:lang w:eastAsia="ar-SA"/>
              </w:rPr>
              <w:t>Лимфоциты (абс. в 1 мкл.)</w:t>
            </w:r>
          </w:p>
        </w:tc>
        <w:tc>
          <w:tcPr>
            <w:tcW w:w="202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4"/>
                <w:szCs w:val="24"/>
                <w:lang w:val="en-US" w:eastAsia="ar-SA"/>
              </w:rPr>
            </w:pPr>
            <w:r>
              <w:rPr>
                <w:rFonts w:cs="Calibri"/>
                <w:spacing w:val="-8"/>
                <w:sz w:val="24"/>
                <w:szCs w:val="24"/>
                <w:lang w:eastAsia="ar-SA"/>
              </w:rPr>
              <w:t>1460</w:t>
            </w:r>
            <w:r w:rsidRPr="00124D89">
              <w:rPr>
                <w:rFonts w:cs="Calibri"/>
                <w:spacing w:val="-8"/>
                <w:sz w:val="24"/>
                <w:szCs w:val="24"/>
                <w:lang w:val="en-US" w:eastAsia="ar-SA"/>
              </w:rPr>
              <w:t>[1012</w:t>
            </w:r>
            <w:r w:rsidRPr="00124D89">
              <w:rPr>
                <w:rFonts w:cs="Calibri"/>
                <w:spacing w:val="-8"/>
                <w:sz w:val="24"/>
                <w:szCs w:val="24"/>
                <w:lang w:eastAsia="ar-SA"/>
              </w:rPr>
              <w:t xml:space="preserve">; </w:t>
            </w:r>
            <w:r w:rsidRPr="00124D89">
              <w:rPr>
                <w:rFonts w:cs="Calibri"/>
                <w:spacing w:val="-8"/>
                <w:sz w:val="24"/>
                <w:szCs w:val="24"/>
                <w:lang w:val="en-US" w:eastAsia="ar-SA"/>
              </w:rPr>
              <w:t>2070]</w:t>
            </w:r>
          </w:p>
        </w:tc>
        <w:tc>
          <w:tcPr>
            <w:tcW w:w="2393"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4"/>
                <w:szCs w:val="24"/>
                <w:lang w:val="en-US" w:eastAsia="ar-SA"/>
              </w:rPr>
            </w:pPr>
            <w:r>
              <w:rPr>
                <w:rFonts w:cs="Calibri"/>
                <w:spacing w:val="-8"/>
                <w:sz w:val="24"/>
                <w:szCs w:val="24"/>
                <w:lang w:eastAsia="ar-SA"/>
              </w:rPr>
              <w:t>1119</w:t>
            </w:r>
            <w:r w:rsidRPr="00124D89">
              <w:rPr>
                <w:rFonts w:cs="Calibri"/>
                <w:spacing w:val="-8"/>
                <w:sz w:val="24"/>
                <w:szCs w:val="24"/>
                <w:lang w:val="en-US" w:eastAsia="ar-SA"/>
              </w:rPr>
              <w:t>[</w:t>
            </w:r>
            <w:r w:rsidRPr="00124D89">
              <w:rPr>
                <w:rFonts w:cs="Calibri"/>
                <w:spacing w:val="-8"/>
                <w:sz w:val="24"/>
                <w:szCs w:val="24"/>
                <w:lang w:eastAsia="ar-SA"/>
              </w:rPr>
              <w:t>877,5; 2469</w:t>
            </w:r>
            <w:r w:rsidRPr="00124D89">
              <w:rPr>
                <w:rFonts w:cs="Calibri"/>
                <w:spacing w:val="-8"/>
                <w:sz w:val="24"/>
                <w:szCs w:val="24"/>
                <w:lang w:val="en-US" w:eastAsia="ar-SA"/>
              </w:rPr>
              <w:t>]</w:t>
            </w:r>
          </w:p>
        </w:tc>
        <w:tc>
          <w:tcPr>
            <w:tcW w:w="1816" w:type="dxa"/>
            <w:tcBorders>
              <w:top w:val="single" w:sz="4" w:space="0" w:color="000000"/>
              <w:left w:val="single" w:sz="4" w:space="0" w:color="auto"/>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4"/>
                <w:szCs w:val="24"/>
                <w:lang w:eastAsia="ar-SA"/>
              </w:rPr>
            </w:pPr>
            <w:r w:rsidRPr="00124D89">
              <w:rPr>
                <w:rFonts w:cs="Calibri"/>
                <w:spacing w:val="-8"/>
                <w:sz w:val="24"/>
                <w:szCs w:val="24"/>
                <w:lang w:eastAsia="ar-SA"/>
              </w:rPr>
              <w:t>189</w:t>
            </w:r>
            <w:r>
              <w:rPr>
                <w:rFonts w:cs="Calibri"/>
                <w:spacing w:val="-8"/>
                <w:sz w:val="24"/>
                <w:szCs w:val="24"/>
                <w:lang w:eastAsia="ar-SA"/>
              </w:rPr>
              <w:t>0</w:t>
            </w:r>
            <w:r w:rsidRPr="00124D89">
              <w:rPr>
                <w:rFonts w:cs="Calibri"/>
                <w:spacing w:val="-8"/>
                <w:sz w:val="24"/>
                <w:szCs w:val="24"/>
                <w:lang w:val="en-US" w:eastAsia="ar-SA"/>
              </w:rPr>
              <w:t>[</w:t>
            </w:r>
            <w:r w:rsidRPr="00124D89">
              <w:rPr>
                <w:rFonts w:cs="Calibri"/>
                <w:spacing w:val="-8"/>
                <w:sz w:val="24"/>
                <w:szCs w:val="24"/>
                <w:lang w:eastAsia="ar-SA"/>
              </w:rPr>
              <w:t>1302; 2340</w:t>
            </w:r>
            <w:r w:rsidRPr="00124D89">
              <w:rPr>
                <w:rFonts w:cs="Calibri"/>
                <w:spacing w:val="-8"/>
                <w:sz w:val="24"/>
                <w:szCs w:val="24"/>
                <w:lang w:val="en-US" w:eastAsia="ar-SA"/>
              </w:rPr>
              <w:t>]</w:t>
            </w:r>
          </w:p>
        </w:tc>
      </w:tr>
      <w:tr w:rsidR="00286780" w:rsidRPr="00124D89" w:rsidTr="005552BE">
        <w:trPr>
          <w:trHeight w:val="397"/>
        </w:trPr>
        <w:tc>
          <w:tcPr>
            <w:tcW w:w="3291"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4"/>
                <w:szCs w:val="24"/>
                <w:lang w:eastAsia="ar-SA"/>
              </w:rPr>
            </w:pPr>
            <w:r>
              <w:rPr>
                <w:rFonts w:cs="Calibri"/>
                <w:spacing w:val="-8"/>
                <w:sz w:val="24"/>
                <w:szCs w:val="24"/>
                <w:lang w:eastAsia="ar-SA"/>
              </w:rPr>
              <w:t xml:space="preserve">ЛИИ </w:t>
            </w:r>
            <w:r>
              <w:rPr>
                <w:rFonts w:cs="Calibri"/>
                <w:sz w:val="24"/>
                <w:szCs w:val="24"/>
                <w:lang w:eastAsia="ar-SA"/>
              </w:rPr>
              <w:t>(усл. ед.)</w:t>
            </w:r>
          </w:p>
        </w:tc>
        <w:tc>
          <w:tcPr>
            <w:tcW w:w="2026" w:type="dxa"/>
            <w:tcBorders>
              <w:top w:val="single" w:sz="4" w:space="0" w:color="000000"/>
              <w:left w:val="single" w:sz="4" w:space="0" w:color="000000"/>
              <w:bottom w:val="single" w:sz="4" w:space="0" w:color="000000"/>
            </w:tcBorders>
            <w:tcMar>
              <w:left w:w="28" w:type="dxa"/>
              <w:right w:w="28" w:type="dxa"/>
            </w:tcMar>
            <w:vAlign w:val="center"/>
          </w:tcPr>
          <w:p w:rsidR="00286780" w:rsidRDefault="00286780" w:rsidP="00124D89">
            <w:pPr>
              <w:snapToGrid w:val="0"/>
              <w:jc w:val="center"/>
              <w:rPr>
                <w:rFonts w:cs="Calibri"/>
                <w:spacing w:val="-8"/>
                <w:sz w:val="24"/>
                <w:szCs w:val="24"/>
                <w:lang w:eastAsia="ar-SA"/>
              </w:rPr>
            </w:pPr>
            <w:r>
              <w:rPr>
                <w:rFonts w:cs="Calibri"/>
                <w:spacing w:val="-8"/>
                <w:sz w:val="24"/>
                <w:szCs w:val="24"/>
                <w:lang w:eastAsia="ar-SA"/>
              </w:rPr>
              <w:t>11,6</w:t>
            </w:r>
            <w:r>
              <w:rPr>
                <w:spacing w:val="-8"/>
                <w:sz w:val="24"/>
                <w:szCs w:val="24"/>
                <w:lang w:eastAsia="ar-SA"/>
              </w:rPr>
              <w:t>±</w:t>
            </w:r>
            <w:r>
              <w:rPr>
                <w:rFonts w:cs="Calibri"/>
                <w:spacing w:val="-8"/>
                <w:sz w:val="24"/>
                <w:szCs w:val="24"/>
                <w:lang w:eastAsia="ar-SA"/>
              </w:rPr>
              <w:t>1,91***</w:t>
            </w:r>
          </w:p>
        </w:tc>
        <w:tc>
          <w:tcPr>
            <w:tcW w:w="2393"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C938AB" w:rsidRDefault="00286780" w:rsidP="00124D89">
            <w:pPr>
              <w:snapToGrid w:val="0"/>
              <w:jc w:val="center"/>
              <w:rPr>
                <w:rFonts w:cs="Calibri"/>
                <w:spacing w:val="-8"/>
                <w:sz w:val="24"/>
                <w:szCs w:val="24"/>
                <w:lang w:val="en-US" w:eastAsia="ar-SA"/>
              </w:rPr>
            </w:pPr>
            <w:r>
              <w:rPr>
                <w:rFonts w:cs="Calibri"/>
                <w:spacing w:val="-8"/>
                <w:sz w:val="24"/>
                <w:szCs w:val="24"/>
                <w:lang w:eastAsia="ar-SA"/>
              </w:rPr>
              <w:t>6,66</w:t>
            </w:r>
            <w:r>
              <w:rPr>
                <w:spacing w:val="-8"/>
                <w:sz w:val="24"/>
                <w:szCs w:val="24"/>
                <w:lang w:eastAsia="ar-SA"/>
              </w:rPr>
              <w:t>±</w:t>
            </w:r>
            <w:r>
              <w:rPr>
                <w:rFonts w:cs="Calibri"/>
                <w:spacing w:val="-8"/>
                <w:sz w:val="24"/>
                <w:szCs w:val="24"/>
                <w:lang w:eastAsia="ar-SA"/>
              </w:rPr>
              <w:t>0,61</w:t>
            </w:r>
            <w:r w:rsidR="00C938AB">
              <w:rPr>
                <w:rFonts w:cs="Calibri"/>
                <w:spacing w:val="-8"/>
                <w:sz w:val="24"/>
                <w:szCs w:val="24"/>
                <w:lang w:val="en-US" w:eastAsia="ar-SA"/>
              </w:rPr>
              <w:t>**</w:t>
            </w:r>
          </w:p>
        </w:tc>
        <w:tc>
          <w:tcPr>
            <w:tcW w:w="1816" w:type="dxa"/>
            <w:tcBorders>
              <w:top w:val="single" w:sz="4" w:space="0" w:color="000000"/>
              <w:left w:val="single" w:sz="4" w:space="0" w:color="auto"/>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4"/>
                <w:szCs w:val="24"/>
                <w:lang w:eastAsia="ar-SA"/>
              </w:rPr>
            </w:pPr>
            <w:r>
              <w:rPr>
                <w:rStyle w:val="afffffffffff8"/>
                <w:sz w:val="24"/>
                <w:szCs w:val="24"/>
              </w:rPr>
              <w:t>3,6±0,77</w:t>
            </w:r>
          </w:p>
        </w:tc>
      </w:tr>
      <w:tr w:rsidR="00286780" w:rsidRPr="00124D89" w:rsidTr="005552BE">
        <w:trPr>
          <w:trHeight w:val="397"/>
        </w:trPr>
        <w:tc>
          <w:tcPr>
            <w:tcW w:w="3291"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4"/>
                <w:szCs w:val="24"/>
                <w:lang w:eastAsia="ar-SA"/>
              </w:rPr>
            </w:pPr>
            <w:r w:rsidRPr="00124D89">
              <w:rPr>
                <w:rFonts w:cs="Calibri"/>
                <w:spacing w:val="-8"/>
                <w:sz w:val="24"/>
                <w:szCs w:val="24"/>
                <w:lang w:eastAsia="ar-SA"/>
              </w:rPr>
              <w:t>Тромбоциты (в 1 мкл.)</w:t>
            </w:r>
          </w:p>
        </w:tc>
        <w:tc>
          <w:tcPr>
            <w:tcW w:w="202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i/>
                <w:spacing w:val="-8"/>
                <w:sz w:val="24"/>
                <w:szCs w:val="24"/>
                <w:lang w:eastAsia="ar-SA"/>
              </w:rPr>
            </w:pPr>
            <w:r w:rsidRPr="00124D89">
              <w:rPr>
                <w:rFonts w:cs="Calibri"/>
                <w:i/>
                <w:spacing w:val="-8"/>
                <w:sz w:val="24"/>
                <w:szCs w:val="24"/>
                <w:lang w:val="en-US" w:eastAsia="ar-SA"/>
              </w:rPr>
              <w:t>188[</w:t>
            </w:r>
            <w:r w:rsidRPr="00124D89">
              <w:rPr>
                <w:rFonts w:cs="Calibri"/>
                <w:i/>
                <w:spacing w:val="-8"/>
                <w:sz w:val="24"/>
                <w:szCs w:val="24"/>
                <w:lang w:eastAsia="ar-SA"/>
              </w:rPr>
              <w:t>164; 246</w:t>
            </w:r>
            <w:r w:rsidRPr="00124D89">
              <w:rPr>
                <w:rFonts w:cs="Calibri"/>
                <w:i/>
                <w:spacing w:val="-8"/>
                <w:sz w:val="24"/>
                <w:szCs w:val="24"/>
                <w:lang w:val="en-US" w:eastAsia="ar-SA"/>
              </w:rPr>
              <w:t>]</w:t>
            </w:r>
            <w:r w:rsidRPr="00124D89">
              <w:rPr>
                <w:rFonts w:cs="Calibri"/>
                <w:i/>
                <w:spacing w:val="-8"/>
                <w:sz w:val="24"/>
                <w:szCs w:val="24"/>
                <w:lang w:eastAsia="ar-SA"/>
              </w:rPr>
              <w:t>**</w:t>
            </w:r>
          </w:p>
        </w:tc>
        <w:tc>
          <w:tcPr>
            <w:tcW w:w="2393"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4"/>
                <w:szCs w:val="24"/>
                <w:lang w:val="en-US" w:eastAsia="ar-SA"/>
              </w:rPr>
            </w:pPr>
            <w:r>
              <w:rPr>
                <w:rFonts w:cs="Calibri"/>
                <w:spacing w:val="-8"/>
                <w:sz w:val="24"/>
                <w:szCs w:val="24"/>
                <w:lang w:eastAsia="ar-SA"/>
              </w:rPr>
              <w:t>202</w:t>
            </w:r>
            <w:r w:rsidRPr="00124D89">
              <w:rPr>
                <w:rFonts w:cs="Calibri"/>
                <w:spacing w:val="-8"/>
                <w:sz w:val="24"/>
                <w:szCs w:val="24"/>
                <w:lang w:val="en-US" w:eastAsia="ar-SA"/>
              </w:rPr>
              <w:t>[</w:t>
            </w:r>
            <w:r w:rsidRPr="00124D89">
              <w:rPr>
                <w:rFonts w:cs="Calibri"/>
                <w:spacing w:val="-8"/>
                <w:sz w:val="24"/>
                <w:szCs w:val="24"/>
                <w:lang w:eastAsia="ar-SA"/>
              </w:rPr>
              <w:t>165; 265,5</w:t>
            </w:r>
            <w:r w:rsidRPr="00124D89">
              <w:rPr>
                <w:rFonts w:cs="Calibri"/>
                <w:spacing w:val="-8"/>
                <w:sz w:val="24"/>
                <w:szCs w:val="24"/>
                <w:lang w:val="en-US" w:eastAsia="ar-SA"/>
              </w:rPr>
              <w:t>]</w:t>
            </w:r>
          </w:p>
        </w:tc>
        <w:tc>
          <w:tcPr>
            <w:tcW w:w="1816" w:type="dxa"/>
            <w:tcBorders>
              <w:top w:val="single" w:sz="4" w:space="0" w:color="000000"/>
              <w:left w:val="single" w:sz="4" w:space="0" w:color="auto"/>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4"/>
                <w:szCs w:val="24"/>
                <w:lang w:val="en-US" w:eastAsia="ar-SA"/>
              </w:rPr>
            </w:pPr>
            <w:r>
              <w:rPr>
                <w:rFonts w:cs="Calibri"/>
                <w:spacing w:val="-8"/>
                <w:sz w:val="24"/>
                <w:szCs w:val="24"/>
                <w:lang w:eastAsia="ar-SA"/>
              </w:rPr>
              <w:t>239,5</w:t>
            </w:r>
            <w:r w:rsidRPr="00124D89">
              <w:rPr>
                <w:rFonts w:cs="Calibri"/>
                <w:spacing w:val="-8"/>
                <w:sz w:val="24"/>
                <w:szCs w:val="24"/>
                <w:lang w:val="en-US" w:eastAsia="ar-SA"/>
              </w:rPr>
              <w:t>[</w:t>
            </w:r>
            <w:r w:rsidRPr="00124D89">
              <w:rPr>
                <w:rFonts w:cs="Calibri"/>
                <w:spacing w:val="-8"/>
                <w:sz w:val="24"/>
                <w:szCs w:val="24"/>
                <w:lang w:eastAsia="ar-SA"/>
              </w:rPr>
              <w:t>222; 288</w:t>
            </w:r>
            <w:r w:rsidRPr="00124D89">
              <w:rPr>
                <w:rFonts w:cs="Calibri"/>
                <w:spacing w:val="-8"/>
                <w:sz w:val="24"/>
                <w:szCs w:val="24"/>
                <w:lang w:val="en-US" w:eastAsia="ar-SA"/>
              </w:rPr>
              <w:t>]</w:t>
            </w:r>
          </w:p>
        </w:tc>
      </w:tr>
      <w:tr w:rsidR="00286780" w:rsidRPr="00124D89" w:rsidTr="005552BE">
        <w:trPr>
          <w:trHeight w:val="397"/>
        </w:trPr>
        <w:tc>
          <w:tcPr>
            <w:tcW w:w="3291"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4"/>
                <w:szCs w:val="24"/>
                <w:lang w:eastAsia="ar-SA"/>
              </w:rPr>
            </w:pPr>
            <w:r w:rsidRPr="00124D89">
              <w:rPr>
                <w:rFonts w:cs="Calibri"/>
                <w:spacing w:val="-8"/>
                <w:sz w:val="24"/>
                <w:szCs w:val="24"/>
                <w:lang w:eastAsia="ar-SA"/>
              </w:rPr>
              <w:t>СОЭ (мм/ч)</w:t>
            </w:r>
          </w:p>
        </w:tc>
        <w:tc>
          <w:tcPr>
            <w:tcW w:w="2026" w:type="dxa"/>
            <w:tcBorders>
              <w:top w:val="single" w:sz="4" w:space="0" w:color="000000"/>
              <w:left w:val="single" w:sz="4" w:space="0" w:color="000000"/>
              <w:bottom w:val="single" w:sz="4" w:space="0" w:color="000000"/>
            </w:tcBorders>
            <w:tcMar>
              <w:left w:w="28" w:type="dxa"/>
              <w:right w:w="28" w:type="dxa"/>
            </w:tcMar>
            <w:vAlign w:val="center"/>
          </w:tcPr>
          <w:p w:rsidR="00286780" w:rsidRPr="00671AAF" w:rsidRDefault="00286780" w:rsidP="00124D89">
            <w:pPr>
              <w:snapToGrid w:val="0"/>
              <w:jc w:val="center"/>
              <w:rPr>
                <w:rFonts w:cs="Calibri"/>
                <w:spacing w:val="-8"/>
                <w:sz w:val="24"/>
                <w:szCs w:val="24"/>
                <w:lang w:eastAsia="ar-SA"/>
              </w:rPr>
            </w:pPr>
            <w:r w:rsidRPr="00671AAF">
              <w:rPr>
                <w:rFonts w:cs="Calibri"/>
                <w:spacing w:val="-8"/>
                <w:sz w:val="24"/>
                <w:szCs w:val="24"/>
                <w:lang w:eastAsia="ar-SA"/>
              </w:rPr>
              <w:t>30,6±3,62**</w:t>
            </w:r>
          </w:p>
        </w:tc>
        <w:tc>
          <w:tcPr>
            <w:tcW w:w="2393"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C938AB" w:rsidRDefault="00286780" w:rsidP="00124D89">
            <w:pPr>
              <w:snapToGrid w:val="0"/>
              <w:jc w:val="center"/>
              <w:rPr>
                <w:rFonts w:cs="Calibri"/>
                <w:spacing w:val="-8"/>
                <w:sz w:val="24"/>
                <w:szCs w:val="24"/>
                <w:lang w:val="en-US" w:eastAsia="ar-SA"/>
              </w:rPr>
            </w:pPr>
            <w:r w:rsidRPr="00124D89">
              <w:rPr>
                <w:rFonts w:cs="Calibri"/>
                <w:spacing w:val="-8"/>
                <w:sz w:val="24"/>
                <w:szCs w:val="24"/>
                <w:lang w:eastAsia="ar-SA"/>
              </w:rPr>
              <w:t>37,3±3,34</w:t>
            </w:r>
            <w:r w:rsidR="00C938AB">
              <w:rPr>
                <w:rFonts w:cs="Calibri"/>
                <w:spacing w:val="-8"/>
                <w:sz w:val="24"/>
                <w:szCs w:val="24"/>
                <w:lang w:val="en-US" w:eastAsia="ar-SA"/>
              </w:rPr>
              <w:t>**</w:t>
            </w:r>
          </w:p>
        </w:tc>
        <w:tc>
          <w:tcPr>
            <w:tcW w:w="1816" w:type="dxa"/>
            <w:tcBorders>
              <w:top w:val="single" w:sz="4" w:space="0" w:color="000000"/>
              <w:left w:val="single" w:sz="4" w:space="0" w:color="auto"/>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4"/>
                <w:szCs w:val="24"/>
                <w:lang w:val="en-US" w:eastAsia="ar-SA"/>
              </w:rPr>
            </w:pPr>
            <w:r>
              <w:rPr>
                <w:rFonts w:cs="Calibri"/>
                <w:spacing w:val="-8"/>
                <w:sz w:val="24"/>
                <w:szCs w:val="24"/>
                <w:lang w:eastAsia="ar-SA"/>
              </w:rPr>
              <w:t>17,5</w:t>
            </w:r>
            <w:r w:rsidRPr="00124D89">
              <w:rPr>
                <w:rFonts w:cs="Calibri"/>
                <w:spacing w:val="-8"/>
                <w:sz w:val="24"/>
                <w:szCs w:val="24"/>
                <w:lang w:val="en-US" w:eastAsia="ar-SA"/>
              </w:rPr>
              <w:t>[9</w:t>
            </w:r>
            <w:r w:rsidRPr="00124D89">
              <w:rPr>
                <w:rFonts w:cs="Calibri"/>
                <w:spacing w:val="-8"/>
                <w:sz w:val="24"/>
                <w:szCs w:val="24"/>
                <w:lang w:eastAsia="ar-SA"/>
              </w:rPr>
              <w:t xml:space="preserve">; </w:t>
            </w:r>
            <w:r w:rsidRPr="00124D89">
              <w:rPr>
                <w:rFonts w:cs="Calibri"/>
                <w:spacing w:val="-8"/>
                <w:sz w:val="24"/>
                <w:szCs w:val="24"/>
                <w:lang w:val="en-US" w:eastAsia="ar-SA"/>
              </w:rPr>
              <w:t>26]</w:t>
            </w:r>
          </w:p>
        </w:tc>
      </w:tr>
      <w:tr w:rsidR="00286780" w:rsidRPr="00124D89" w:rsidTr="005552BE">
        <w:trPr>
          <w:trHeight w:val="397"/>
        </w:trPr>
        <w:tc>
          <w:tcPr>
            <w:tcW w:w="3291"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4"/>
                <w:szCs w:val="24"/>
                <w:lang w:eastAsia="ar-SA"/>
              </w:rPr>
            </w:pPr>
            <w:r w:rsidRPr="00124D89">
              <w:rPr>
                <w:rFonts w:cs="Calibri"/>
                <w:spacing w:val="-8"/>
                <w:sz w:val="24"/>
                <w:szCs w:val="24"/>
                <w:lang w:eastAsia="ar-SA"/>
              </w:rPr>
              <w:t>Общий белок (г/л)</w:t>
            </w:r>
          </w:p>
        </w:tc>
        <w:tc>
          <w:tcPr>
            <w:tcW w:w="2026" w:type="dxa"/>
            <w:tcBorders>
              <w:top w:val="single" w:sz="4" w:space="0" w:color="000000"/>
              <w:left w:val="single" w:sz="4" w:space="0" w:color="000000"/>
              <w:bottom w:val="single" w:sz="4" w:space="0" w:color="000000"/>
            </w:tcBorders>
            <w:tcMar>
              <w:left w:w="28" w:type="dxa"/>
              <w:right w:w="28" w:type="dxa"/>
            </w:tcMar>
            <w:vAlign w:val="center"/>
          </w:tcPr>
          <w:p w:rsidR="00286780" w:rsidRPr="00671AAF" w:rsidRDefault="00286780" w:rsidP="00124D89">
            <w:pPr>
              <w:snapToGrid w:val="0"/>
              <w:jc w:val="center"/>
              <w:rPr>
                <w:rFonts w:cs="Calibri"/>
                <w:spacing w:val="-8"/>
                <w:sz w:val="24"/>
                <w:szCs w:val="24"/>
                <w:lang w:eastAsia="ar-SA"/>
              </w:rPr>
            </w:pPr>
            <w:r>
              <w:rPr>
                <w:rFonts w:cs="Calibri"/>
                <w:spacing w:val="-8"/>
                <w:sz w:val="24"/>
                <w:szCs w:val="24"/>
                <w:lang w:eastAsia="ar-SA"/>
              </w:rPr>
              <w:t>59,4</w:t>
            </w:r>
            <w:r w:rsidRPr="00671AAF">
              <w:rPr>
                <w:rFonts w:cs="Calibri"/>
                <w:spacing w:val="-8"/>
                <w:sz w:val="24"/>
                <w:szCs w:val="24"/>
                <w:lang w:val="en-US" w:eastAsia="ar-SA"/>
              </w:rPr>
              <w:t>[</w:t>
            </w:r>
            <w:r w:rsidRPr="00671AAF">
              <w:rPr>
                <w:rFonts w:cs="Calibri"/>
                <w:spacing w:val="-8"/>
                <w:sz w:val="24"/>
                <w:szCs w:val="24"/>
                <w:lang w:eastAsia="ar-SA"/>
              </w:rPr>
              <w:t>54; 66</w:t>
            </w:r>
            <w:r w:rsidRPr="00671AAF">
              <w:rPr>
                <w:rFonts w:cs="Calibri"/>
                <w:spacing w:val="-8"/>
                <w:sz w:val="24"/>
                <w:szCs w:val="24"/>
                <w:lang w:val="en-US" w:eastAsia="ar-SA"/>
              </w:rPr>
              <w:t>]</w:t>
            </w:r>
            <w:r w:rsidRPr="00671AAF">
              <w:rPr>
                <w:rFonts w:cs="Calibri"/>
                <w:spacing w:val="-8"/>
                <w:sz w:val="24"/>
                <w:szCs w:val="24"/>
                <w:lang w:eastAsia="ar-SA"/>
              </w:rPr>
              <w:t>**</w:t>
            </w:r>
          </w:p>
        </w:tc>
        <w:tc>
          <w:tcPr>
            <w:tcW w:w="2393"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4"/>
                <w:szCs w:val="24"/>
                <w:lang w:val="en-US" w:eastAsia="ar-SA"/>
              </w:rPr>
            </w:pPr>
            <w:r>
              <w:rPr>
                <w:rFonts w:cs="Calibri"/>
                <w:spacing w:val="-8"/>
                <w:sz w:val="24"/>
                <w:szCs w:val="24"/>
                <w:lang w:eastAsia="ar-SA"/>
              </w:rPr>
              <w:t>55,8</w:t>
            </w:r>
            <w:r w:rsidRPr="00124D89">
              <w:rPr>
                <w:rFonts w:cs="Calibri"/>
                <w:spacing w:val="-8"/>
                <w:sz w:val="24"/>
                <w:szCs w:val="24"/>
                <w:lang w:val="en-US" w:eastAsia="ar-SA"/>
              </w:rPr>
              <w:t>[</w:t>
            </w:r>
            <w:r w:rsidRPr="00124D89">
              <w:rPr>
                <w:rFonts w:cs="Calibri"/>
                <w:spacing w:val="-8"/>
                <w:sz w:val="24"/>
                <w:szCs w:val="24"/>
                <w:lang w:eastAsia="ar-SA"/>
              </w:rPr>
              <w:t>52,1; 63,1</w:t>
            </w:r>
            <w:r w:rsidRPr="00124D89">
              <w:rPr>
                <w:rFonts w:cs="Calibri"/>
                <w:spacing w:val="-8"/>
                <w:sz w:val="24"/>
                <w:szCs w:val="24"/>
                <w:lang w:val="en-US" w:eastAsia="ar-SA"/>
              </w:rPr>
              <w:t>]</w:t>
            </w:r>
            <w:r w:rsidR="00C938AB">
              <w:rPr>
                <w:rFonts w:cs="Calibri"/>
                <w:spacing w:val="-8"/>
                <w:sz w:val="24"/>
                <w:szCs w:val="24"/>
                <w:lang w:val="en-US" w:eastAsia="ar-SA"/>
              </w:rPr>
              <w:t>**</w:t>
            </w:r>
          </w:p>
        </w:tc>
        <w:tc>
          <w:tcPr>
            <w:tcW w:w="1816" w:type="dxa"/>
            <w:tcBorders>
              <w:top w:val="single" w:sz="4" w:space="0" w:color="000000"/>
              <w:left w:val="single" w:sz="4" w:space="0" w:color="auto"/>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4"/>
                <w:szCs w:val="24"/>
                <w:lang w:eastAsia="ar-SA"/>
              </w:rPr>
            </w:pPr>
            <w:r w:rsidRPr="00124D89">
              <w:rPr>
                <w:rFonts w:cs="Calibri"/>
                <w:spacing w:val="-8"/>
                <w:sz w:val="24"/>
                <w:szCs w:val="24"/>
                <w:lang w:eastAsia="ar-SA"/>
              </w:rPr>
              <w:t>76,3±2,39</w:t>
            </w:r>
          </w:p>
        </w:tc>
      </w:tr>
      <w:tr w:rsidR="00286780" w:rsidRPr="00124D89" w:rsidTr="005552BE">
        <w:trPr>
          <w:trHeight w:val="397"/>
        </w:trPr>
        <w:tc>
          <w:tcPr>
            <w:tcW w:w="3291"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4"/>
                <w:szCs w:val="24"/>
                <w:lang w:eastAsia="ar-SA"/>
              </w:rPr>
            </w:pPr>
            <w:r w:rsidRPr="00124D89">
              <w:rPr>
                <w:rFonts w:cs="Calibri"/>
                <w:spacing w:val="-8"/>
                <w:sz w:val="24"/>
                <w:szCs w:val="24"/>
                <w:lang w:eastAsia="ar-SA"/>
              </w:rPr>
              <w:t>Билирубин общий (мкмоль/л)</w:t>
            </w:r>
          </w:p>
        </w:tc>
        <w:tc>
          <w:tcPr>
            <w:tcW w:w="2026" w:type="dxa"/>
            <w:tcBorders>
              <w:top w:val="single" w:sz="4" w:space="0" w:color="000000"/>
              <w:left w:val="single" w:sz="4" w:space="0" w:color="000000"/>
              <w:bottom w:val="single" w:sz="4" w:space="0" w:color="000000"/>
            </w:tcBorders>
            <w:tcMar>
              <w:left w:w="28" w:type="dxa"/>
              <w:right w:w="28" w:type="dxa"/>
            </w:tcMar>
            <w:vAlign w:val="center"/>
          </w:tcPr>
          <w:p w:rsidR="00286780" w:rsidRPr="00671AAF" w:rsidRDefault="00286780" w:rsidP="00124D89">
            <w:pPr>
              <w:snapToGrid w:val="0"/>
              <w:jc w:val="center"/>
              <w:rPr>
                <w:rFonts w:cs="Calibri"/>
                <w:spacing w:val="-8"/>
                <w:sz w:val="24"/>
                <w:szCs w:val="24"/>
                <w:lang w:val="en-US" w:eastAsia="ar-SA"/>
              </w:rPr>
            </w:pPr>
            <w:r>
              <w:rPr>
                <w:rFonts w:cs="Calibri"/>
                <w:spacing w:val="-8"/>
                <w:sz w:val="24"/>
                <w:szCs w:val="24"/>
                <w:lang w:eastAsia="ar-SA"/>
              </w:rPr>
              <w:t>16,7</w:t>
            </w:r>
            <w:r w:rsidRPr="00671AAF">
              <w:rPr>
                <w:rFonts w:cs="Calibri"/>
                <w:spacing w:val="-8"/>
                <w:sz w:val="24"/>
                <w:szCs w:val="24"/>
                <w:lang w:val="en-US" w:eastAsia="ar-SA"/>
              </w:rPr>
              <w:t>[</w:t>
            </w:r>
            <w:r w:rsidRPr="00671AAF">
              <w:rPr>
                <w:rFonts w:cs="Calibri"/>
                <w:spacing w:val="-8"/>
                <w:sz w:val="24"/>
                <w:szCs w:val="24"/>
                <w:lang w:eastAsia="ar-SA"/>
              </w:rPr>
              <w:t>11,9; 24,2</w:t>
            </w:r>
            <w:r w:rsidRPr="00671AAF">
              <w:rPr>
                <w:rFonts w:cs="Calibri"/>
                <w:spacing w:val="-8"/>
                <w:sz w:val="24"/>
                <w:szCs w:val="24"/>
                <w:lang w:val="en-US" w:eastAsia="ar-SA"/>
              </w:rPr>
              <w:t>]</w:t>
            </w:r>
          </w:p>
        </w:tc>
        <w:tc>
          <w:tcPr>
            <w:tcW w:w="2393"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4"/>
                <w:szCs w:val="24"/>
                <w:lang w:val="en-US" w:eastAsia="ar-SA"/>
              </w:rPr>
            </w:pPr>
            <w:r w:rsidRPr="00124D89">
              <w:rPr>
                <w:rFonts w:cs="Calibri"/>
                <w:spacing w:val="-8"/>
                <w:sz w:val="24"/>
                <w:szCs w:val="24"/>
                <w:lang w:eastAsia="ar-SA"/>
              </w:rPr>
              <w:t xml:space="preserve">23 </w:t>
            </w:r>
            <w:r w:rsidRPr="00124D89">
              <w:rPr>
                <w:rFonts w:cs="Calibri"/>
                <w:spacing w:val="-8"/>
                <w:sz w:val="24"/>
                <w:szCs w:val="24"/>
                <w:lang w:val="en-US" w:eastAsia="ar-SA"/>
              </w:rPr>
              <w:t>[</w:t>
            </w:r>
            <w:r w:rsidRPr="00124D89">
              <w:rPr>
                <w:rFonts w:cs="Calibri"/>
                <w:spacing w:val="-8"/>
                <w:sz w:val="24"/>
                <w:szCs w:val="24"/>
                <w:lang w:eastAsia="ar-SA"/>
              </w:rPr>
              <w:t>11; 33,5</w:t>
            </w:r>
            <w:r w:rsidRPr="00124D89">
              <w:rPr>
                <w:rFonts w:cs="Calibri"/>
                <w:spacing w:val="-8"/>
                <w:sz w:val="24"/>
                <w:szCs w:val="24"/>
                <w:lang w:val="en-US" w:eastAsia="ar-SA"/>
              </w:rPr>
              <w:t>]</w:t>
            </w:r>
          </w:p>
        </w:tc>
        <w:tc>
          <w:tcPr>
            <w:tcW w:w="1816" w:type="dxa"/>
            <w:tcBorders>
              <w:top w:val="single" w:sz="4" w:space="0" w:color="000000"/>
              <w:left w:val="single" w:sz="4" w:space="0" w:color="auto"/>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4"/>
                <w:szCs w:val="24"/>
                <w:lang w:val="en-US" w:eastAsia="ar-SA"/>
              </w:rPr>
            </w:pPr>
            <w:r>
              <w:rPr>
                <w:rFonts w:cs="Calibri"/>
                <w:spacing w:val="-8"/>
                <w:sz w:val="24"/>
                <w:szCs w:val="24"/>
                <w:lang w:eastAsia="ar-SA"/>
              </w:rPr>
              <w:t>16,1</w:t>
            </w:r>
            <w:r w:rsidRPr="00124D89">
              <w:rPr>
                <w:rFonts w:cs="Calibri"/>
                <w:spacing w:val="-8"/>
                <w:sz w:val="24"/>
                <w:szCs w:val="24"/>
                <w:lang w:val="en-US" w:eastAsia="ar-SA"/>
              </w:rPr>
              <w:t>[</w:t>
            </w:r>
            <w:r w:rsidRPr="00124D89">
              <w:rPr>
                <w:rFonts w:cs="Calibri"/>
                <w:spacing w:val="-8"/>
                <w:sz w:val="24"/>
                <w:szCs w:val="24"/>
                <w:lang w:eastAsia="ar-SA"/>
              </w:rPr>
              <w:t>16,1; 27,3</w:t>
            </w:r>
            <w:r w:rsidRPr="00124D89">
              <w:rPr>
                <w:rFonts w:cs="Calibri"/>
                <w:spacing w:val="-8"/>
                <w:sz w:val="24"/>
                <w:szCs w:val="24"/>
                <w:lang w:val="en-US" w:eastAsia="ar-SA"/>
              </w:rPr>
              <w:t>]</w:t>
            </w:r>
          </w:p>
        </w:tc>
      </w:tr>
      <w:tr w:rsidR="00286780" w:rsidRPr="00124D89" w:rsidTr="005552BE">
        <w:trPr>
          <w:trHeight w:val="397"/>
        </w:trPr>
        <w:tc>
          <w:tcPr>
            <w:tcW w:w="3291"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4"/>
                <w:szCs w:val="24"/>
                <w:lang w:eastAsia="ar-SA"/>
              </w:rPr>
            </w:pPr>
            <w:r w:rsidRPr="00124D89">
              <w:rPr>
                <w:rFonts w:cs="Calibri"/>
                <w:spacing w:val="-8"/>
                <w:sz w:val="24"/>
                <w:szCs w:val="24"/>
                <w:lang w:eastAsia="ar-SA"/>
              </w:rPr>
              <w:t>Натрий (ммоль/л)</w:t>
            </w:r>
          </w:p>
        </w:tc>
        <w:tc>
          <w:tcPr>
            <w:tcW w:w="2026" w:type="dxa"/>
            <w:tcBorders>
              <w:top w:val="single" w:sz="4" w:space="0" w:color="000000"/>
              <w:left w:val="single" w:sz="4" w:space="0" w:color="000000"/>
              <w:bottom w:val="single" w:sz="4" w:space="0" w:color="000000"/>
            </w:tcBorders>
            <w:tcMar>
              <w:left w:w="28" w:type="dxa"/>
              <w:right w:w="28" w:type="dxa"/>
            </w:tcMar>
            <w:vAlign w:val="center"/>
          </w:tcPr>
          <w:p w:rsidR="00286780" w:rsidRPr="00671AAF" w:rsidRDefault="00286780" w:rsidP="00124D89">
            <w:pPr>
              <w:snapToGrid w:val="0"/>
              <w:jc w:val="center"/>
              <w:rPr>
                <w:rFonts w:cs="Calibri"/>
                <w:spacing w:val="-8"/>
                <w:sz w:val="24"/>
                <w:szCs w:val="24"/>
                <w:lang w:eastAsia="ar-SA"/>
              </w:rPr>
            </w:pPr>
            <w:r w:rsidRPr="00671AAF">
              <w:rPr>
                <w:rFonts w:cs="Calibri"/>
                <w:spacing w:val="-8"/>
                <w:sz w:val="24"/>
                <w:szCs w:val="24"/>
                <w:lang w:eastAsia="ar-SA"/>
              </w:rPr>
              <w:t>137,1±1,51</w:t>
            </w:r>
          </w:p>
        </w:tc>
        <w:tc>
          <w:tcPr>
            <w:tcW w:w="2393"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4"/>
                <w:szCs w:val="24"/>
                <w:lang w:eastAsia="ar-SA"/>
              </w:rPr>
            </w:pPr>
            <w:r w:rsidRPr="00124D89">
              <w:rPr>
                <w:rFonts w:cs="Calibri"/>
                <w:spacing w:val="-8"/>
                <w:sz w:val="24"/>
                <w:szCs w:val="24"/>
                <w:lang w:eastAsia="ar-SA"/>
              </w:rPr>
              <w:t>138,3±1,22</w:t>
            </w:r>
          </w:p>
        </w:tc>
        <w:tc>
          <w:tcPr>
            <w:tcW w:w="1816" w:type="dxa"/>
            <w:tcBorders>
              <w:top w:val="single" w:sz="4" w:space="0" w:color="000000"/>
              <w:left w:val="single" w:sz="4" w:space="0" w:color="auto"/>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4"/>
                <w:szCs w:val="24"/>
                <w:lang w:eastAsia="ar-SA"/>
              </w:rPr>
            </w:pPr>
            <w:r w:rsidRPr="00124D89">
              <w:rPr>
                <w:rFonts w:cs="Calibri"/>
                <w:spacing w:val="-8"/>
                <w:sz w:val="24"/>
                <w:szCs w:val="24"/>
                <w:lang w:eastAsia="ar-SA"/>
              </w:rPr>
              <w:t>–</w:t>
            </w:r>
          </w:p>
        </w:tc>
      </w:tr>
      <w:tr w:rsidR="00286780" w:rsidRPr="00124D89" w:rsidTr="005552BE">
        <w:trPr>
          <w:trHeight w:val="397"/>
        </w:trPr>
        <w:tc>
          <w:tcPr>
            <w:tcW w:w="3291"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4"/>
                <w:szCs w:val="24"/>
                <w:lang w:eastAsia="ar-SA"/>
              </w:rPr>
            </w:pPr>
            <w:r w:rsidRPr="00124D89">
              <w:rPr>
                <w:rFonts w:cs="Calibri"/>
                <w:spacing w:val="-8"/>
                <w:sz w:val="24"/>
                <w:szCs w:val="24"/>
                <w:lang w:eastAsia="ar-SA"/>
              </w:rPr>
              <w:t>Калий (ммоль/л)</w:t>
            </w:r>
          </w:p>
        </w:tc>
        <w:tc>
          <w:tcPr>
            <w:tcW w:w="202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4"/>
                <w:szCs w:val="24"/>
                <w:lang w:eastAsia="ar-SA"/>
              </w:rPr>
            </w:pPr>
            <w:r w:rsidRPr="00124D89">
              <w:rPr>
                <w:rFonts w:cs="Calibri"/>
                <w:spacing w:val="-8"/>
                <w:sz w:val="24"/>
                <w:szCs w:val="24"/>
                <w:lang w:eastAsia="ar-SA"/>
              </w:rPr>
              <w:t>4,18±0,21</w:t>
            </w:r>
          </w:p>
        </w:tc>
        <w:tc>
          <w:tcPr>
            <w:tcW w:w="2393"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4"/>
                <w:szCs w:val="24"/>
                <w:lang w:eastAsia="ar-SA"/>
              </w:rPr>
            </w:pPr>
            <w:r w:rsidRPr="00124D89">
              <w:rPr>
                <w:rFonts w:cs="Calibri"/>
                <w:spacing w:val="-8"/>
                <w:sz w:val="24"/>
                <w:szCs w:val="24"/>
                <w:lang w:eastAsia="ar-SA"/>
              </w:rPr>
              <w:t>4,19±0,12</w:t>
            </w:r>
          </w:p>
        </w:tc>
        <w:tc>
          <w:tcPr>
            <w:tcW w:w="1816" w:type="dxa"/>
            <w:tcBorders>
              <w:top w:val="single" w:sz="4" w:space="0" w:color="000000"/>
              <w:left w:val="single" w:sz="4" w:space="0" w:color="auto"/>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4"/>
                <w:szCs w:val="24"/>
                <w:lang w:eastAsia="ar-SA"/>
              </w:rPr>
            </w:pPr>
            <w:r w:rsidRPr="00124D89">
              <w:rPr>
                <w:rFonts w:cs="Calibri"/>
                <w:spacing w:val="-8"/>
                <w:sz w:val="24"/>
                <w:szCs w:val="24"/>
                <w:lang w:eastAsia="ar-SA"/>
              </w:rPr>
              <w:t>–</w:t>
            </w:r>
          </w:p>
        </w:tc>
      </w:tr>
      <w:tr w:rsidR="00286780" w:rsidRPr="00124D89" w:rsidTr="005552BE">
        <w:trPr>
          <w:trHeight w:val="397"/>
        </w:trPr>
        <w:tc>
          <w:tcPr>
            <w:tcW w:w="3291"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4"/>
                <w:szCs w:val="24"/>
                <w:lang w:eastAsia="ar-SA"/>
              </w:rPr>
            </w:pPr>
            <w:r w:rsidRPr="00124D89">
              <w:rPr>
                <w:rFonts w:cs="Calibri"/>
                <w:spacing w:val="-8"/>
                <w:sz w:val="24"/>
                <w:szCs w:val="24"/>
                <w:lang w:eastAsia="ar-SA"/>
              </w:rPr>
              <w:t>Хлор (ммоль/л)</w:t>
            </w:r>
          </w:p>
        </w:tc>
        <w:tc>
          <w:tcPr>
            <w:tcW w:w="202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4"/>
                <w:szCs w:val="24"/>
                <w:lang w:eastAsia="ar-SA"/>
              </w:rPr>
            </w:pPr>
            <w:r w:rsidRPr="00124D89">
              <w:rPr>
                <w:rFonts w:cs="Calibri"/>
                <w:spacing w:val="-8"/>
                <w:sz w:val="24"/>
                <w:szCs w:val="24"/>
                <w:lang w:eastAsia="ar-SA"/>
              </w:rPr>
              <w:t>101,4±1,39</w:t>
            </w:r>
          </w:p>
        </w:tc>
        <w:tc>
          <w:tcPr>
            <w:tcW w:w="2393"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4"/>
                <w:szCs w:val="24"/>
                <w:lang w:eastAsia="ar-SA"/>
              </w:rPr>
            </w:pPr>
            <w:r w:rsidRPr="00124D89">
              <w:rPr>
                <w:rFonts w:cs="Calibri"/>
                <w:spacing w:val="-8"/>
                <w:sz w:val="24"/>
                <w:szCs w:val="24"/>
                <w:lang w:eastAsia="ar-SA"/>
              </w:rPr>
              <w:t>104,2±1,28</w:t>
            </w:r>
          </w:p>
        </w:tc>
        <w:tc>
          <w:tcPr>
            <w:tcW w:w="1816" w:type="dxa"/>
            <w:tcBorders>
              <w:top w:val="single" w:sz="4" w:space="0" w:color="000000"/>
              <w:left w:val="single" w:sz="4" w:space="0" w:color="auto"/>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4"/>
                <w:szCs w:val="24"/>
                <w:lang w:eastAsia="ar-SA"/>
              </w:rPr>
            </w:pPr>
            <w:r w:rsidRPr="00124D89">
              <w:rPr>
                <w:rFonts w:cs="Calibri"/>
                <w:spacing w:val="-8"/>
                <w:sz w:val="24"/>
                <w:szCs w:val="24"/>
                <w:lang w:eastAsia="ar-SA"/>
              </w:rPr>
              <w:t>–</w:t>
            </w:r>
          </w:p>
        </w:tc>
      </w:tr>
      <w:tr w:rsidR="00286780" w:rsidRPr="00124D89" w:rsidTr="005552BE">
        <w:trPr>
          <w:trHeight w:val="397"/>
        </w:trPr>
        <w:tc>
          <w:tcPr>
            <w:tcW w:w="3291"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4"/>
                <w:szCs w:val="24"/>
                <w:lang w:eastAsia="ar-SA"/>
              </w:rPr>
            </w:pPr>
            <w:r w:rsidRPr="00124D89">
              <w:rPr>
                <w:rFonts w:cs="Calibri"/>
                <w:spacing w:val="-8"/>
                <w:sz w:val="24"/>
                <w:szCs w:val="24"/>
                <w:lang w:eastAsia="ar-SA"/>
              </w:rPr>
              <w:t>Мочевина (ммоль/л)</w:t>
            </w:r>
          </w:p>
        </w:tc>
        <w:tc>
          <w:tcPr>
            <w:tcW w:w="2026" w:type="dxa"/>
            <w:tcBorders>
              <w:top w:val="single" w:sz="4" w:space="0" w:color="000000"/>
              <w:left w:val="single" w:sz="4" w:space="0" w:color="000000"/>
              <w:bottom w:val="single" w:sz="4" w:space="0" w:color="000000"/>
            </w:tcBorders>
            <w:tcMar>
              <w:left w:w="28" w:type="dxa"/>
              <w:right w:w="28" w:type="dxa"/>
            </w:tcMar>
            <w:vAlign w:val="center"/>
          </w:tcPr>
          <w:p w:rsidR="00286780" w:rsidRPr="00671AAF" w:rsidRDefault="00286780" w:rsidP="00124D89">
            <w:pPr>
              <w:snapToGrid w:val="0"/>
              <w:jc w:val="center"/>
              <w:rPr>
                <w:rFonts w:cs="Calibri"/>
                <w:spacing w:val="-8"/>
                <w:sz w:val="24"/>
                <w:szCs w:val="24"/>
                <w:lang w:eastAsia="ar-SA"/>
              </w:rPr>
            </w:pPr>
            <w:r w:rsidRPr="00671AAF">
              <w:rPr>
                <w:rFonts w:cs="Calibri"/>
                <w:spacing w:val="-8"/>
                <w:sz w:val="24"/>
                <w:szCs w:val="24"/>
                <w:lang w:eastAsia="ar-SA"/>
              </w:rPr>
              <w:t>13</w:t>
            </w:r>
            <w:r w:rsidRPr="00671AAF">
              <w:rPr>
                <w:rFonts w:cs="Calibri"/>
                <w:spacing w:val="-8"/>
                <w:sz w:val="24"/>
                <w:szCs w:val="24"/>
                <w:lang w:val="en-US" w:eastAsia="ar-SA"/>
              </w:rPr>
              <w:t>[</w:t>
            </w:r>
            <w:r w:rsidRPr="00671AAF">
              <w:rPr>
                <w:rFonts w:cs="Calibri"/>
                <w:spacing w:val="-8"/>
                <w:sz w:val="24"/>
                <w:szCs w:val="24"/>
                <w:lang w:eastAsia="ar-SA"/>
              </w:rPr>
              <w:t>6,07;25,6</w:t>
            </w:r>
            <w:r w:rsidRPr="00671AAF">
              <w:rPr>
                <w:rFonts w:cs="Calibri"/>
                <w:spacing w:val="-8"/>
                <w:sz w:val="24"/>
                <w:szCs w:val="24"/>
                <w:lang w:val="en-US" w:eastAsia="ar-SA"/>
              </w:rPr>
              <w:t>]</w:t>
            </w:r>
            <w:r w:rsidRPr="00671AAF">
              <w:rPr>
                <w:rFonts w:cs="Calibri"/>
                <w:spacing w:val="-8"/>
                <w:sz w:val="24"/>
                <w:szCs w:val="24"/>
                <w:lang w:eastAsia="ar-SA"/>
              </w:rPr>
              <w:t>***</w:t>
            </w:r>
          </w:p>
        </w:tc>
        <w:tc>
          <w:tcPr>
            <w:tcW w:w="2393"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4"/>
                <w:szCs w:val="24"/>
                <w:lang w:val="en-US" w:eastAsia="ar-SA"/>
              </w:rPr>
            </w:pPr>
            <w:r w:rsidRPr="00124D89">
              <w:rPr>
                <w:rFonts w:cs="Calibri"/>
                <w:spacing w:val="-8"/>
                <w:sz w:val="24"/>
                <w:szCs w:val="24"/>
                <w:lang w:eastAsia="ar-SA"/>
              </w:rPr>
              <w:t>6,7</w:t>
            </w:r>
            <w:r w:rsidRPr="00124D89">
              <w:rPr>
                <w:rFonts w:cs="Calibri"/>
                <w:spacing w:val="-8"/>
                <w:sz w:val="24"/>
                <w:szCs w:val="24"/>
                <w:lang w:val="en-US" w:eastAsia="ar-SA"/>
              </w:rPr>
              <w:t>[</w:t>
            </w:r>
            <w:r w:rsidRPr="00124D89">
              <w:rPr>
                <w:rFonts w:cs="Calibri"/>
                <w:spacing w:val="-8"/>
                <w:sz w:val="24"/>
                <w:szCs w:val="24"/>
                <w:lang w:eastAsia="ar-SA"/>
              </w:rPr>
              <w:t>5,3;10</w:t>
            </w:r>
            <w:r w:rsidRPr="00124D89">
              <w:rPr>
                <w:rFonts w:cs="Calibri"/>
                <w:spacing w:val="-8"/>
                <w:sz w:val="24"/>
                <w:szCs w:val="24"/>
                <w:lang w:val="en-US" w:eastAsia="ar-SA"/>
              </w:rPr>
              <w:t>]</w:t>
            </w:r>
          </w:p>
        </w:tc>
        <w:tc>
          <w:tcPr>
            <w:tcW w:w="1816" w:type="dxa"/>
            <w:tcBorders>
              <w:top w:val="single" w:sz="4" w:space="0" w:color="000000"/>
              <w:left w:val="single" w:sz="4" w:space="0" w:color="auto"/>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4"/>
                <w:szCs w:val="24"/>
                <w:lang w:val="en-US" w:eastAsia="ar-SA"/>
              </w:rPr>
            </w:pPr>
            <w:r w:rsidRPr="00124D89">
              <w:rPr>
                <w:rFonts w:cs="Calibri"/>
                <w:spacing w:val="-8"/>
                <w:sz w:val="24"/>
                <w:szCs w:val="24"/>
                <w:lang w:eastAsia="ar-SA"/>
              </w:rPr>
              <w:t>7,29</w:t>
            </w:r>
            <w:r w:rsidRPr="00124D89">
              <w:rPr>
                <w:rFonts w:cs="Calibri"/>
                <w:spacing w:val="-8"/>
                <w:sz w:val="24"/>
                <w:szCs w:val="24"/>
                <w:lang w:val="en-US" w:eastAsia="ar-SA"/>
              </w:rPr>
              <w:t>[</w:t>
            </w:r>
            <w:r w:rsidRPr="00124D89">
              <w:rPr>
                <w:rFonts w:cs="Calibri"/>
                <w:spacing w:val="-8"/>
                <w:sz w:val="24"/>
                <w:szCs w:val="24"/>
                <w:lang w:eastAsia="ar-SA"/>
              </w:rPr>
              <w:t>4,7;10,6</w:t>
            </w:r>
            <w:r w:rsidRPr="00124D89">
              <w:rPr>
                <w:rFonts w:cs="Calibri"/>
                <w:spacing w:val="-8"/>
                <w:sz w:val="24"/>
                <w:szCs w:val="24"/>
                <w:lang w:val="en-US" w:eastAsia="ar-SA"/>
              </w:rPr>
              <w:t>]</w:t>
            </w:r>
            <w:r w:rsidRPr="00124D89">
              <w:rPr>
                <w:rFonts w:cs="Calibri"/>
                <w:spacing w:val="-8"/>
                <w:sz w:val="24"/>
                <w:szCs w:val="24"/>
                <w:lang w:eastAsia="ar-SA"/>
              </w:rPr>
              <w:t>-</w:t>
            </w:r>
          </w:p>
        </w:tc>
      </w:tr>
      <w:tr w:rsidR="00286780" w:rsidRPr="00124D89" w:rsidTr="005552BE">
        <w:trPr>
          <w:trHeight w:val="397"/>
        </w:trPr>
        <w:tc>
          <w:tcPr>
            <w:tcW w:w="3291"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4"/>
                <w:szCs w:val="24"/>
                <w:lang w:eastAsia="ar-SA"/>
              </w:rPr>
            </w:pPr>
            <w:r w:rsidRPr="00124D89">
              <w:rPr>
                <w:rFonts w:cs="Calibri"/>
                <w:spacing w:val="-8"/>
                <w:sz w:val="24"/>
                <w:szCs w:val="24"/>
                <w:lang w:eastAsia="ar-SA"/>
              </w:rPr>
              <w:t>Аспартатаминотрансфераза (МЕ/л)</w:t>
            </w:r>
          </w:p>
        </w:tc>
        <w:tc>
          <w:tcPr>
            <w:tcW w:w="2026" w:type="dxa"/>
            <w:tcBorders>
              <w:top w:val="single" w:sz="4" w:space="0" w:color="000000"/>
              <w:left w:val="single" w:sz="4" w:space="0" w:color="000000"/>
              <w:bottom w:val="single" w:sz="4" w:space="0" w:color="000000"/>
            </w:tcBorders>
            <w:tcMar>
              <w:left w:w="28" w:type="dxa"/>
              <w:right w:w="28" w:type="dxa"/>
            </w:tcMar>
            <w:vAlign w:val="center"/>
          </w:tcPr>
          <w:p w:rsidR="00286780" w:rsidRPr="00671AAF" w:rsidRDefault="00286780" w:rsidP="00124D89">
            <w:pPr>
              <w:snapToGrid w:val="0"/>
              <w:jc w:val="center"/>
              <w:rPr>
                <w:rFonts w:cs="Calibri"/>
                <w:spacing w:val="-8"/>
                <w:sz w:val="24"/>
                <w:szCs w:val="24"/>
                <w:lang w:val="en-US" w:eastAsia="ar-SA"/>
              </w:rPr>
            </w:pPr>
            <w:r>
              <w:rPr>
                <w:rFonts w:cs="Calibri"/>
                <w:spacing w:val="-8"/>
                <w:sz w:val="24"/>
                <w:szCs w:val="24"/>
                <w:lang w:eastAsia="ar-SA"/>
              </w:rPr>
              <w:t>35,8</w:t>
            </w:r>
            <w:r w:rsidRPr="00671AAF">
              <w:rPr>
                <w:rFonts w:cs="Calibri"/>
                <w:spacing w:val="-8"/>
                <w:sz w:val="24"/>
                <w:szCs w:val="24"/>
                <w:lang w:val="en-US" w:eastAsia="ar-SA"/>
              </w:rPr>
              <w:t>[</w:t>
            </w:r>
            <w:r w:rsidRPr="00671AAF">
              <w:rPr>
                <w:rFonts w:cs="Calibri"/>
                <w:spacing w:val="-8"/>
                <w:sz w:val="24"/>
                <w:szCs w:val="24"/>
                <w:lang w:eastAsia="ar-SA"/>
              </w:rPr>
              <w:t>26,5; 77</w:t>
            </w:r>
            <w:r w:rsidRPr="00671AAF">
              <w:rPr>
                <w:rFonts w:cs="Calibri"/>
                <w:spacing w:val="-8"/>
                <w:sz w:val="24"/>
                <w:szCs w:val="24"/>
                <w:lang w:val="en-US" w:eastAsia="ar-SA"/>
              </w:rPr>
              <w:t>]</w:t>
            </w:r>
          </w:p>
        </w:tc>
        <w:tc>
          <w:tcPr>
            <w:tcW w:w="2393"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4"/>
                <w:szCs w:val="24"/>
                <w:lang w:eastAsia="ar-SA"/>
              </w:rPr>
            </w:pPr>
            <w:r w:rsidRPr="00124D89">
              <w:rPr>
                <w:rFonts w:cs="Calibri"/>
                <w:spacing w:val="-8"/>
                <w:sz w:val="24"/>
                <w:szCs w:val="24"/>
                <w:lang w:eastAsia="ar-SA"/>
              </w:rPr>
              <w:t>3</w:t>
            </w:r>
            <w:r>
              <w:rPr>
                <w:rFonts w:cs="Calibri"/>
                <w:spacing w:val="-8"/>
                <w:sz w:val="24"/>
                <w:szCs w:val="24"/>
                <w:lang w:eastAsia="ar-SA"/>
              </w:rPr>
              <w:t>8,6</w:t>
            </w:r>
            <w:r w:rsidRPr="00124D89">
              <w:rPr>
                <w:rFonts w:cs="Calibri"/>
                <w:spacing w:val="-8"/>
                <w:sz w:val="24"/>
                <w:szCs w:val="24"/>
                <w:lang w:eastAsia="ar-SA"/>
              </w:rPr>
              <w:t>[31,1; 56,2]</w:t>
            </w:r>
          </w:p>
        </w:tc>
        <w:tc>
          <w:tcPr>
            <w:tcW w:w="1816" w:type="dxa"/>
            <w:tcBorders>
              <w:top w:val="single" w:sz="4" w:space="0" w:color="000000"/>
              <w:left w:val="single" w:sz="4" w:space="0" w:color="auto"/>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4"/>
                <w:szCs w:val="24"/>
                <w:lang w:eastAsia="ar-SA"/>
              </w:rPr>
            </w:pPr>
          </w:p>
        </w:tc>
      </w:tr>
      <w:tr w:rsidR="00286780" w:rsidRPr="00124D89" w:rsidTr="005552BE">
        <w:trPr>
          <w:trHeight w:val="397"/>
        </w:trPr>
        <w:tc>
          <w:tcPr>
            <w:tcW w:w="3291"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4"/>
                <w:szCs w:val="24"/>
                <w:lang w:eastAsia="ar-SA"/>
              </w:rPr>
            </w:pPr>
            <w:r w:rsidRPr="00124D89">
              <w:rPr>
                <w:rFonts w:cs="Calibri"/>
                <w:spacing w:val="-8"/>
                <w:sz w:val="24"/>
                <w:szCs w:val="24"/>
                <w:lang w:eastAsia="ar-SA"/>
              </w:rPr>
              <w:t>Аланинаминотрансфераза (МЕ/л)</w:t>
            </w:r>
          </w:p>
        </w:tc>
        <w:tc>
          <w:tcPr>
            <w:tcW w:w="2026" w:type="dxa"/>
            <w:tcBorders>
              <w:top w:val="single" w:sz="4" w:space="0" w:color="000000"/>
              <w:left w:val="single" w:sz="4" w:space="0" w:color="000000"/>
              <w:bottom w:val="single" w:sz="4" w:space="0" w:color="000000"/>
            </w:tcBorders>
            <w:tcMar>
              <w:left w:w="28" w:type="dxa"/>
              <w:right w:w="28" w:type="dxa"/>
            </w:tcMar>
            <w:vAlign w:val="center"/>
          </w:tcPr>
          <w:p w:rsidR="00286780" w:rsidRPr="00671AAF" w:rsidRDefault="00286780" w:rsidP="00124D89">
            <w:pPr>
              <w:snapToGrid w:val="0"/>
              <w:jc w:val="center"/>
              <w:rPr>
                <w:rFonts w:cs="Calibri"/>
                <w:spacing w:val="-8"/>
                <w:sz w:val="24"/>
                <w:szCs w:val="24"/>
                <w:lang w:val="en-US" w:eastAsia="ar-SA"/>
              </w:rPr>
            </w:pPr>
            <w:r>
              <w:rPr>
                <w:rFonts w:cs="Calibri"/>
                <w:spacing w:val="-8"/>
                <w:sz w:val="24"/>
                <w:szCs w:val="24"/>
                <w:lang w:eastAsia="ar-SA"/>
              </w:rPr>
              <w:t>26,8</w:t>
            </w:r>
            <w:r w:rsidRPr="00671AAF">
              <w:rPr>
                <w:rFonts w:cs="Calibri"/>
                <w:spacing w:val="-8"/>
                <w:sz w:val="24"/>
                <w:szCs w:val="24"/>
                <w:lang w:val="en-US" w:eastAsia="ar-SA"/>
              </w:rPr>
              <w:t>[</w:t>
            </w:r>
            <w:r w:rsidRPr="00671AAF">
              <w:rPr>
                <w:rFonts w:cs="Calibri"/>
                <w:spacing w:val="-8"/>
                <w:sz w:val="24"/>
                <w:szCs w:val="24"/>
                <w:lang w:eastAsia="ar-SA"/>
              </w:rPr>
              <w:t>18,4; 48,5</w:t>
            </w:r>
            <w:r w:rsidRPr="00671AAF">
              <w:rPr>
                <w:rFonts w:cs="Calibri"/>
                <w:spacing w:val="-8"/>
                <w:sz w:val="24"/>
                <w:szCs w:val="24"/>
                <w:lang w:val="en-US" w:eastAsia="ar-SA"/>
              </w:rPr>
              <w:t>]</w:t>
            </w:r>
          </w:p>
        </w:tc>
        <w:tc>
          <w:tcPr>
            <w:tcW w:w="2393"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4"/>
                <w:szCs w:val="24"/>
                <w:lang w:val="en-US" w:eastAsia="ar-SA"/>
              </w:rPr>
            </w:pPr>
            <w:r>
              <w:rPr>
                <w:rFonts w:cs="Calibri"/>
                <w:spacing w:val="-8"/>
                <w:sz w:val="24"/>
                <w:szCs w:val="24"/>
                <w:lang w:eastAsia="ar-SA"/>
              </w:rPr>
              <w:t>27,2</w:t>
            </w:r>
            <w:r w:rsidRPr="00124D89">
              <w:rPr>
                <w:rFonts w:cs="Calibri"/>
                <w:spacing w:val="-8"/>
                <w:sz w:val="24"/>
                <w:szCs w:val="24"/>
                <w:lang w:val="en-US" w:eastAsia="ar-SA"/>
              </w:rPr>
              <w:t>[</w:t>
            </w:r>
            <w:r w:rsidRPr="00124D89">
              <w:rPr>
                <w:rFonts w:cs="Calibri"/>
                <w:spacing w:val="-8"/>
                <w:sz w:val="24"/>
                <w:szCs w:val="24"/>
                <w:lang w:eastAsia="ar-SA"/>
              </w:rPr>
              <w:t>15,5; 38,6</w:t>
            </w:r>
            <w:r w:rsidRPr="00124D89">
              <w:rPr>
                <w:rFonts w:cs="Calibri"/>
                <w:spacing w:val="-8"/>
                <w:sz w:val="24"/>
                <w:szCs w:val="24"/>
                <w:lang w:val="en-US" w:eastAsia="ar-SA"/>
              </w:rPr>
              <w:t>]</w:t>
            </w:r>
          </w:p>
        </w:tc>
        <w:tc>
          <w:tcPr>
            <w:tcW w:w="1816" w:type="dxa"/>
            <w:tcBorders>
              <w:top w:val="single" w:sz="4" w:space="0" w:color="000000"/>
              <w:left w:val="single" w:sz="4" w:space="0" w:color="auto"/>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4"/>
                <w:szCs w:val="24"/>
                <w:lang w:val="en-US" w:eastAsia="ar-SA"/>
              </w:rPr>
            </w:pPr>
          </w:p>
        </w:tc>
      </w:tr>
      <w:tr w:rsidR="00286780" w:rsidRPr="00124D89" w:rsidTr="005552BE">
        <w:trPr>
          <w:trHeight w:val="397"/>
        </w:trPr>
        <w:tc>
          <w:tcPr>
            <w:tcW w:w="3291"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4"/>
                <w:szCs w:val="24"/>
                <w:lang w:eastAsia="ar-SA"/>
              </w:rPr>
            </w:pPr>
            <w:r>
              <w:rPr>
                <w:rFonts w:cs="Calibri"/>
                <w:spacing w:val="-8"/>
                <w:sz w:val="24"/>
                <w:szCs w:val="24"/>
                <w:lang w:eastAsia="ar-SA"/>
              </w:rPr>
              <w:t>Коэффициент де Ритиса</w:t>
            </w:r>
          </w:p>
        </w:tc>
        <w:tc>
          <w:tcPr>
            <w:tcW w:w="2026" w:type="dxa"/>
            <w:tcBorders>
              <w:top w:val="single" w:sz="4" w:space="0" w:color="000000"/>
              <w:left w:val="single" w:sz="4" w:space="0" w:color="000000"/>
              <w:bottom w:val="single" w:sz="4" w:space="0" w:color="000000"/>
            </w:tcBorders>
            <w:tcMar>
              <w:left w:w="28" w:type="dxa"/>
              <w:right w:w="28" w:type="dxa"/>
            </w:tcMar>
            <w:vAlign w:val="center"/>
          </w:tcPr>
          <w:p w:rsidR="00286780" w:rsidRPr="00671AAF" w:rsidRDefault="00286780" w:rsidP="00124D89">
            <w:pPr>
              <w:snapToGrid w:val="0"/>
              <w:jc w:val="center"/>
              <w:rPr>
                <w:rFonts w:cs="Calibri"/>
                <w:spacing w:val="-8"/>
                <w:sz w:val="24"/>
                <w:szCs w:val="24"/>
                <w:lang w:val="en-US" w:eastAsia="ar-SA"/>
              </w:rPr>
            </w:pPr>
            <w:r>
              <w:rPr>
                <w:rFonts w:cs="Calibri"/>
                <w:spacing w:val="-8"/>
                <w:sz w:val="24"/>
                <w:szCs w:val="24"/>
                <w:lang w:eastAsia="ar-SA"/>
              </w:rPr>
              <w:t>1,5</w:t>
            </w:r>
            <w:r w:rsidRPr="00671AAF">
              <w:rPr>
                <w:rFonts w:cs="Calibri"/>
                <w:spacing w:val="-8"/>
                <w:sz w:val="24"/>
                <w:szCs w:val="24"/>
                <w:lang w:val="en-US" w:eastAsia="ar-SA"/>
              </w:rPr>
              <w:t>[</w:t>
            </w:r>
            <w:r w:rsidRPr="00671AAF">
              <w:rPr>
                <w:rFonts w:cs="Calibri"/>
                <w:spacing w:val="-8"/>
                <w:sz w:val="24"/>
                <w:szCs w:val="24"/>
                <w:lang w:eastAsia="ar-SA"/>
              </w:rPr>
              <w:t>1,14; 2,1</w:t>
            </w:r>
            <w:r w:rsidRPr="00671AAF">
              <w:rPr>
                <w:rFonts w:cs="Calibri"/>
                <w:spacing w:val="-8"/>
                <w:sz w:val="24"/>
                <w:szCs w:val="24"/>
                <w:lang w:val="en-US" w:eastAsia="ar-SA"/>
              </w:rPr>
              <w:t>]</w:t>
            </w:r>
          </w:p>
        </w:tc>
        <w:tc>
          <w:tcPr>
            <w:tcW w:w="2393"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4"/>
                <w:szCs w:val="24"/>
                <w:lang w:val="en-US" w:eastAsia="ar-SA"/>
              </w:rPr>
            </w:pPr>
            <w:r>
              <w:rPr>
                <w:rFonts w:cs="Calibri"/>
                <w:spacing w:val="-8"/>
                <w:sz w:val="24"/>
                <w:szCs w:val="24"/>
                <w:lang w:eastAsia="ar-SA"/>
              </w:rPr>
              <w:t>1,5</w:t>
            </w:r>
            <w:r w:rsidRPr="00124D89">
              <w:rPr>
                <w:rFonts w:cs="Calibri"/>
                <w:spacing w:val="-8"/>
                <w:sz w:val="24"/>
                <w:szCs w:val="24"/>
                <w:lang w:val="en-US" w:eastAsia="ar-SA"/>
              </w:rPr>
              <w:t>[</w:t>
            </w:r>
            <w:r w:rsidRPr="00124D89">
              <w:rPr>
                <w:rFonts w:cs="Calibri"/>
                <w:spacing w:val="-8"/>
                <w:sz w:val="24"/>
                <w:szCs w:val="24"/>
                <w:lang w:eastAsia="ar-SA"/>
              </w:rPr>
              <w:t>1,18; 2,34</w:t>
            </w:r>
            <w:r w:rsidRPr="00124D89">
              <w:rPr>
                <w:rFonts w:cs="Calibri"/>
                <w:spacing w:val="-8"/>
                <w:sz w:val="24"/>
                <w:szCs w:val="24"/>
                <w:lang w:val="en-US" w:eastAsia="ar-SA"/>
              </w:rPr>
              <w:t>]</w:t>
            </w:r>
          </w:p>
        </w:tc>
        <w:tc>
          <w:tcPr>
            <w:tcW w:w="1816" w:type="dxa"/>
            <w:tcBorders>
              <w:top w:val="single" w:sz="4" w:space="0" w:color="000000"/>
              <w:left w:val="single" w:sz="4" w:space="0" w:color="auto"/>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4"/>
                <w:szCs w:val="24"/>
                <w:lang w:eastAsia="ar-SA"/>
              </w:rPr>
            </w:pPr>
            <w:r w:rsidRPr="00124D89">
              <w:rPr>
                <w:rFonts w:cs="Calibri"/>
                <w:spacing w:val="-8"/>
                <w:sz w:val="24"/>
                <w:szCs w:val="24"/>
                <w:lang w:eastAsia="ar-SA"/>
              </w:rPr>
              <w:t>–</w:t>
            </w:r>
          </w:p>
        </w:tc>
      </w:tr>
      <w:tr w:rsidR="00286780" w:rsidRPr="00124D89" w:rsidTr="005552BE">
        <w:trPr>
          <w:trHeight w:val="397"/>
        </w:trPr>
        <w:tc>
          <w:tcPr>
            <w:tcW w:w="3291"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4"/>
                <w:szCs w:val="24"/>
                <w:lang w:eastAsia="ar-SA"/>
              </w:rPr>
            </w:pPr>
            <w:r w:rsidRPr="00124D89">
              <w:rPr>
                <w:rFonts w:cs="Calibri"/>
                <w:spacing w:val="-8"/>
                <w:sz w:val="24"/>
                <w:szCs w:val="24"/>
                <w:lang w:eastAsia="ar-SA"/>
              </w:rPr>
              <w:t>α-амилаза (Ед/л)</w:t>
            </w:r>
          </w:p>
        </w:tc>
        <w:tc>
          <w:tcPr>
            <w:tcW w:w="2026" w:type="dxa"/>
            <w:tcBorders>
              <w:top w:val="single" w:sz="4" w:space="0" w:color="000000"/>
              <w:left w:val="single" w:sz="4" w:space="0" w:color="000000"/>
              <w:bottom w:val="single" w:sz="4" w:space="0" w:color="000000"/>
            </w:tcBorders>
            <w:tcMar>
              <w:left w:w="28" w:type="dxa"/>
              <w:right w:w="28" w:type="dxa"/>
            </w:tcMar>
            <w:vAlign w:val="center"/>
          </w:tcPr>
          <w:p w:rsidR="00286780" w:rsidRPr="00671AAF" w:rsidRDefault="00286780" w:rsidP="00124D89">
            <w:pPr>
              <w:snapToGrid w:val="0"/>
              <w:jc w:val="center"/>
              <w:rPr>
                <w:rFonts w:cs="Calibri"/>
                <w:spacing w:val="-8"/>
                <w:sz w:val="24"/>
                <w:szCs w:val="24"/>
                <w:lang w:eastAsia="ar-SA"/>
              </w:rPr>
            </w:pPr>
            <w:r w:rsidRPr="00671AAF">
              <w:rPr>
                <w:rFonts w:cs="Calibri"/>
                <w:spacing w:val="-8"/>
                <w:sz w:val="24"/>
                <w:szCs w:val="24"/>
                <w:lang w:eastAsia="ar-SA"/>
              </w:rPr>
              <w:t>94[46,5; 213]</w:t>
            </w:r>
          </w:p>
        </w:tc>
        <w:tc>
          <w:tcPr>
            <w:tcW w:w="2393"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4"/>
                <w:szCs w:val="24"/>
                <w:lang w:eastAsia="ar-SA"/>
              </w:rPr>
            </w:pPr>
            <w:r>
              <w:rPr>
                <w:rFonts w:cs="Calibri"/>
                <w:spacing w:val="-8"/>
                <w:sz w:val="24"/>
                <w:szCs w:val="24"/>
                <w:lang w:eastAsia="ar-SA"/>
              </w:rPr>
              <w:t>95</w:t>
            </w:r>
            <w:r w:rsidRPr="00124D89">
              <w:rPr>
                <w:rFonts w:cs="Calibri"/>
                <w:spacing w:val="-8"/>
                <w:sz w:val="24"/>
                <w:szCs w:val="24"/>
                <w:lang w:eastAsia="ar-SA"/>
              </w:rPr>
              <w:t>[54; 128]</w:t>
            </w:r>
          </w:p>
        </w:tc>
        <w:tc>
          <w:tcPr>
            <w:tcW w:w="1816" w:type="dxa"/>
            <w:tcBorders>
              <w:top w:val="single" w:sz="4" w:space="0" w:color="000000"/>
              <w:left w:val="single" w:sz="4" w:space="0" w:color="auto"/>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4"/>
                <w:szCs w:val="24"/>
                <w:lang w:eastAsia="ar-SA"/>
              </w:rPr>
            </w:pPr>
            <w:r w:rsidRPr="00124D89">
              <w:rPr>
                <w:rFonts w:cs="Calibri"/>
                <w:spacing w:val="-8"/>
                <w:sz w:val="24"/>
                <w:szCs w:val="24"/>
                <w:lang w:eastAsia="ar-SA"/>
              </w:rPr>
              <w:t>–</w:t>
            </w:r>
          </w:p>
        </w:tc>
      </w:tr>
      <w:tr w:rsidR="00286780" w:rsidRPr="00124D89" w:rsidTr="005552BE">
        <w:trPr>
          <w:trHeight w:val="397"/>
        </w:trPr>
        <w:tc>
          <w:tcPr>
            <w:tcW w:w="3291"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4"/>
                <w:szCs w:val="24"/>
                <w:lang w:eastAsia="ar-SA"/>
              </w:rPr>
            </w:pPr>
            <w:r w:rsidRPr="00124D89">
              <w:rPr>
                <w:rFonts w:cs="Calibri"/>
                <w:spacing w:val="-8"/>
                <w:sz w:val="24"/>
                <w:szCs w:val="24"/>
                <w:lang w:eastAsia="ar-SA"/>
              </w:rPr>
              <w:t xml:space="preserve">Креатинин (мкмоль/л) </w:t>
            </w:r>
          </w:p>
        </w:tc>
        <w:tc>
          <w:tcPr>
            <w:tcW w:w="2026" w:type="dxa"/>
            <w:tcBorders>
              <w:top w:val="single" w:sz="4" w:space="0" w:color="000000"/>
              <w:left w:val="single" w:sz="4" w:space="0" w:color="000000"/>
              <w:bottom w:val="single" w:sz="4" w:space="0" w:color="000000"/>
            </w:tcBorders>
            <w:tcMar>
              <w:left w:w="28" w:type="dxa"/>
              <w:right w:w="28" w:type="dxa"/>
            </w:tcMar>
            <w:vAlign w:val="center"/>
          </w:tcPr>
          <w:p w:rsidR="00286780" w:rsidRPr="00671AAF" w:rsidRDefault="00286780" w:rsidP="00124D89">
            <w:pPr>
              <w:snapToGrid w:val="0"/>
              <w:jc w:val="center"/>
              <w:rPr>
                <w:rFonts w:cs="Calibri"/>
                <w:spacing w:val="-8"/>
                <w:sz w:val="24"/>
                <w:szCs w:val="24"/>
                <w:lang w:eastAsia="ar-SA"/>
              </w:rPr>
            </w:pPr>
            <w:r>
              <w:rPr>
                <w:rFonts w:cs="Calibri"/>
                <w:spacing w:val="-8"/>
                <w:sz w:val="24"/>
                <w:szCs w:val="24"/>
                <w:lang w:eastAsia="ar-SA"/>
              </w:rPr>
              <w:t>128</w:t>
            </w:r>
            <w:r w:rsidRPr="00671AAF">
              <w:rPr>
                <w:rFonts w:cs="Calibri"/>
                <w:spacing w:val="-8"/>
                <w:sz w:val="24"/>
                <w:szCs w:val="24"/>
                <w:lang w:val="en-US" w:eastAsia="ar-SA"/>
              </w:rPr>
              <w:t>[</w:t>
            </w:r>
            <w:r w:rsidRPr="00671AAF">
              <w:rPr>
                <w:rFonts w:cs="Calibri"/>
                <w:spacing w:val="-8"/>
                <w:sz w:val="24"/>
                <w:szCs w:val="24"/>
                <w:lang w:eastAsia="ar-SA"/>
              </w:rPr>
              <w:t>98,5; 230,6</w:t>
            </w:r>
            <w:r w:rsidRPr="00671AAF">
              <w:rPr>
                <w:rFonts w:cs="Calibri"/>
                <w:spacing w:val="-8"/>
                <w:sz w:val="24"/>
                <w:szCs w:val="24"/>
                <w:lang w:val="en-US" w:eastAsia="ar-SA"/>
              </w:rPr>
              <w:t>]</w:t>
            </w:r>
            <w:r w:rsidRPr="00671AAF">
              <w:rPr>
                <w:rFonts w:cs="Calibri"/>
                <w:spacing w:val="-8"/>
                <w:sz w:val="24"/>
                <w:szCs w:val="24"/>
                <w:lang w:eastAsia="ar-SA"/>
              </w:rPr>
              <w:t>**</w:t>
            </w:r>
          </w:p>
        </w:tc>
        <w:tc>
          <w:tcPr>
            <w:tcW w:w="2393"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4"/>
                <w:szCs w:val="24"/>
                <w:lang w:val="en-US" w:eastAsia="ar-SA"/>
              </w:rPr>
            </w:pPr>
            <w:r>
              <w:rPr>
                <w:rFonts w:cs="Calibri"/>
                <w:spacing w:val="-8"/>
                <w:sz w:val="24"/>
                <w:szCs w:val="24"/>
                <w:lang w:eastAsia="ar-SA"/>
              </w:rPr>
              <w:t>98,7</w:t>
            </w:r>
            <w:r w:rsidRPr="00124D89">
              <w:rPr>
                <w:rFonts w:cs="Calibri"/>
                <w:spacing w:val="-8"/>
                <w:sz w:val="24"/>
                <w:szCs w:val="24"/>
                <w:lang w:val="en-US" w:eastAsia="ar-SA"/>
              </w:rPr>
              <w:t>[</w:t>
            </w:r>
            <w:r w:rsidRPr="00124D89">
              <w:rPr>
                <w:rFonts w:cs="Calibri"/>
                <w:spacing w:val="-8"/>
                <w:sz w:val="24"/>
                <w:szCs w:val="24"/>
                <w:lang w:eastAsia="ar-SA"/>
              </w:rPr>
              <w:t>81,9; 130,6</w:t>
            </w:r>
            <w:r w:rsidRPr="00124D89">
              <w:rPr>
                <w:rFonts w:cs="Calibri"/>
                <w:spacing w:val="-8"/>
                <w:sz w:val="24"/>
                <w:szCs w:val="24"/>
                <w:lang w:val="en-US" w:eastAsia="ar-SA"/>
              </w:rPr>
              <w:t>]</w:t>
            </w:r>
          </w:p>
        </w:tc>
        <w:tc>
          <w:tcPr>
            <w:tcW w:w="1816" w:type="dxa"/>
            <w:tcBorders>
              <w:top w:val="single" w:sz="4" w:space="0" w:color="000000"/>
              <w:left w:val="single" w:sz="4" w:space="0" w:color="auto"/>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4"/>
                <w:szCs w:val="24"/>
                <w:lang w:val="en-US" w:eastAsia="ar-SA"/>
              </w:rPr>
            </w:pPr>
            <w:r>
              <w:rPr>
                <w:rFonts w:cs="Calibri"/>
                <w:spacing w:val="-8"/>
                <w:sz w:val="24"/>
                <w:szCs w:val="24"/>
                <w:lang w:eastAsia="ar-SA"/>
              </w:rPr>
              <w:t>87,7</w:t>
            </w:r>
            <w:r w:rsidRPr="00124D89">
              <w:rPr>
                <w:rFonts w:cs="Calibri"/>
                <w:spacing w:val="-8"/>
                <w:sz w:val="24"/>
                <w:szCs w:val="24"/>
                <w:lang w:val="en-US" w:eastAsia="ar-SA"/>
              </w:rPr>
              <w:t>[</w:t>
            </w:r>
            <w:r w:rsidRPr="00124D89">
              <w:rPr>
                <w:rFonts w:cs="Calibri"/>
                <w:spacing w:val="-8"/>
                <w:sz w:val="24"/>
                <w:szCs w:val="24"/>
                <w:lang w:eastAsia="ar-SA"/>
              </w:rPr>
              <w:t>81,3; 101,8</w:t>
            </w:r>
            <w:r w:rsidRPr="00124D89">
              <w:rPr>
                <w:rFonts w:cs="Calibri"/>
                <w:spacing w:val="-8"/>
                <w:sz w:val="24"/>
                <w:szCs w:val="24"/>
                <w:lang w:val="en-US" w:eastAsia="ar-SA"/>
              </w:rPr>
              <w:t>]</w:t>
            </w:r>
          </w:p>
        </w:tc>
      </w:tr>
      <w:tr w:rsidR="00286780" w:rsidRPr="00124D89" w:rsidTr="005552BE">
        <w:trPr>
          <w:trHeight w:val="397"/>
        </w:trPr>
        <w:tc>
          <w:tcPr>
            <w:tcW w:w="3291"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4"/>
                <w:szCs w:val="24"/>
                <w:lang w:eastAsia="ar-SA"/>
              </w:rPr>
            </w:pPr>
            <w:r w:rsidRPr="00124D89">
              <w:rPr>
                <w:rFonts w:cs="Calibri"/>
                <w:spacing w:val="-8"/>
                <w:sz w:val="24"/>
                <w:szCs w:val="24"/>
                <w:lang w:eastAsia="ar-SA"/>
              </w:rPr>
              <w:t>Глюкоза (ммоль/л)</w:t>
            </w:r>
          </w:p>
        </w:tc>
        <w:tc>
          <w:tcPr>
            <w:tcW w:w="2026" w:type="dxa"/>
            <w:tcBorders>
              <w:top w:val="single" w:sz="4" w:space="0" w:color="000000"/>
              <w:left w:val="single" w:sz="4" w:space="0" w:color="000000"/>
              <w:bottom w:val="single" w:sz="4" w:space="0" w:color="000000"/>
            </w:tcBorders>
            <w:tcMar>
              <w:left w:w="28" w:type="dxa"/>
              <w:right w:w="28" w:type="dxa"/>
            </w:tcMar>
            <w:vAlign w:val="center"/>
          </w:tcPr>
          <w:p w:rsidR="00286780" w:rsidRPr="00671AAF" w:rsidRDefault="00286780" w:rsidP="00124D89">
            <w:pPr>
              <w:snapToGrid w:val="0"/>
              <w:jc w:val="center"/>
              <w:rPr>
                <w:rFonts w:cs="Calibri"/>
                <w:spacing w:val="-8"/>
                <w:sz w:val="24"/>
                <w:szCs w:val="24"/>
                <w:lang w:eastAsia="ar-SA"/>
              </w:rPr>
            </w:pPr>
            <w:r>
              <w:rPr>
                <w:rFonts w:cs="Calibri"/>
                <w:spacing w:val="-8"/>
                <w:sz w:val="24"/>
                <w:szCs w:val="24"/>
                <w:lang w:eastAsia="ar-SA"/>
              </w:rPr>
              <w:t>7,29</w:t>
            </w:r>
            <w:r w:rsidRPr="00671AAF">
              <w:rPr>
                <w:rFonts w:cs="Calibri"/>
                <w:spacing w:val="-8"/>
                <w:sz w:val="24"/>
                <w:szCs w:val="24"/>
                <w:lang w:val="en-US" w:eastAsia="ar-SA"/>
              </w:rPr>
              <w:t>[</w:t>
            </w:r>
            <w:r w:rsidRPr="00671AAF">
              <w:rPr>
                <w:rFonts w:cs="Calibri"/>
                <w:spacing w:val="-8"/>
                <w:sz w:val="24"/>
                <w:szCs w:val="24"/>
                <w:lang w:eastAsia="ar-SA"/>
              </w:rPr>
              <w:t>5,5; 10,6</w:t>
            </w:r>
            <w:r w:rsidRPr="00671AAF">
              <w:rPr>
                <w:rFonts w:cs="Calibri"/>
                <w:spacing w:val="-8"/>
                <w:sz w:val="24"/>
                <w:szCs w:val="24"/>
                <w:lang w:val="en-US" w:eastAsia="ar-SA"/>
              </w:rPr>
              <w:t>]</w:t>
            </w:r>
            <w:r w:rsidRPr="00671AAF">
              <w:rPr>
                <w:rFonts w:cs="Calibri"/>
                <w:spacing w:val="-8"/>
                <w:sz w:val="24"/>
                <w:szCs w:val="24"/>
                <w:lang w:eastAsia="ar-SA"/>
              </w:rPr>
              <w:t>**</w:t>
            </w:r>
          </w:p>
        </w:tc>
        <w:tc>
          <w:tcPr>
            <w:tcW w:w="2393"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4"/>
                <w:szCs w:val="24"/>
                <w:lang w:val="en-US" w:eastAsia="ar-SA"/>
              </w:rPr>
            </w:pPr>
            <w:r>
              <w:rPr>
                <w:rFonts w:cs="Calibri"/>
                <w:spacing w:val="-8"/>
                <w:sz w:val="24"/>
                <w:szCs w:val="24"/>
                <w:lang w:eastAsia="ar-SA"/>
              </w:rPr>
              <w:t>6,4</w:t>
            </w:r>
            <w:r w:rsidRPr="00124D89">
              <w:rPr>
                <w:rFonts w:cs="Calibri"/>
                <w:spacing w:val="-8"/>
                <w:sz w:val="24"/>
                <w:szCs w:val="24"/>
                <w:lang w:val="en-US" w:eastAsia="ar-SA"/>
              </w:rPr>
              <w:t>[</w:t>
            </w:r>
            <w:r w:rsidRPr="00124D89">
              <w:rPr>
                <w:rFonts w:cs="Calibri"/>
                <w:spacing w:val="-8"/>
                <w:sz w:val="24"/>
                <w:szCs w:val="24"/>
                <w:lang w:eastAsia="ar-SA"/>
              </w:rPr>
              <w:t>5,2; 6,96</w:t>
            </w:r>
            <w:r w:rsidRPr="00124D89">
              <w:rPr>
                <w:rFonts w:cs="Calibri"/>
                <w:spacing w:val="-8"/>
                <w:sz w:val="24"/>
                <w:szCs w:val="24"/>
                <w:lang w:val="en-US" w:eastAsia="ar-SA"/>
              </w:rPr>
              <w:t>]</w:t>
            </w:r>
          </w:p>
        </w:tc>
        <w:tc>
          <w:tcPr>
            <w:tcW w:w="1816" w:type="dxa"/>
            <w:tcBorders>
              <w:top w:val="single" w:sz="4" w:space="0" w:color="000000"/>
              <w:left w:val="single" w:sz="4" w:space="0" w:color="auto"/>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4"/>
                <w:szCs w:val="24"/>
                <w:lang w:val="en-US" w:eastAsia="ar-SA"/>
              </w:rPr>
            </w:pPr>
            <w:r>
              <w:rPr>
                <w:rFonts w:cs="Calibri"/>
                <w:spacing w:val="-8"/>
                <w:sz w:val="24"/>
                <w:szCs w:val="24"/>
                <w:lang w:eastAsia="ar-SA"/>
              </w:rPr>
              <w:t>5,0</w:t>
            </w:r>
            <w:r w:rsidRPr="00124D89">
              <w:rPr>
                <w:rFonts w:cs="Calibri"/>
                <w:spacing w:val="-8"/>
                <w:sz w:val="24"/>
                <w:szCs w:val="24"/>
                <w:lang w:eastAsia="ar-SA"/>
              </w:rPr>
              <w:t>[4,6; 5,2]-</w:t>
            </w:r>
          </w:p>
        </w:tc>
      </w:tr>
      <w:tr w:rsidR="00286780" w:rsidRPr="00124D89" w:rsidTr="005552BE">
        <w:trPr>
          <w:trHeight w:val="397"/>
        </w:trPr>
        <w:tc>
          <w:tcPr>
            <w:tcW w:w="3291"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4"/>
                <w:szCs w:val="24"/>
                <w:lang w:eastAsia="ar-SA"/>
              </w:rPr>
            </w:pPr>
            <w:r w:rsidRPr="00124D89">
              <w:rPr>
                <w:rFonts w:cs="Calibri"/>
                <w:spacing w:val="-8"/>
                <w:sz w:val="24"/>
                <w:szCs w:val="24"/>
                <w:lang w:eastAsia="ar-SA"/>
              </w:rPr>
              <w:t>Лактат (ммоль/л)</w:t>
            </w:r>
          </w:p>
        </w:tc>
        <w:tc>
          <w:tcPr>
            <w:tcW w:w="202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4"/>
                <w:szCs w:val="24"/>
                <w:lang w:eastAsia="ar-SA"/>
              </w:rPr>
            </w:pPr>
            <w:r w:rsidRPr="00124D89">
              <w:rPr>
                <w:rFonts w:cs="Calibri"/>
                <w:spacing w:val="-8"/>
                <w:sz w:val="24"/>
                <w:szCs w:val="24"/>
                <w:lang w:eastAsia="ar-SA"/>
              </w:rPr>
              <w:t>4,35±1,77</w:t>
            </w:r>
          </w:p>
        </w:tc>
        <w:tc>
          <w:tcPr>
            <w:tcW w:w="2393"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4"/>
                <w:szCs w:val="24"/>
                <w:lang w:eastAsia="ar-SA"/>
              </w:rPr>
            </w:pPr>
            <w:r w:rsidRPr="00124D89">
              <w:rPr>
                <w:rFonts w:cs="Calibri"/>
                <w:spacing w:val="-8"/>
                <w:sz w:val="24"/>
                <w:szCs w:val="24"/>
                <w:lang w:eastAsia="ar-SA"/>
              </w:rPr>
              <w:t>2,68±0,79</w:t>
            </w:r>
          </w:p>
        </w:tc>
        <w:tc>
          <w:tcPr>
            <w:tcW w:w="1816" w:type="dxa"/>
            <w:tcBorders>
              <w:top w:val="single" w:sz="4" w:space="0" w:color="000000"/>
              <w:left w:val="single" w:sz="4" w:space="0" w:color="auto"/>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4"/>
                <w:szCs w:val="24"/>
                <w:lang w:eastAsia="ar-SA"/>
              </w:rPr>
            </w:pPr>
            <w:r w:rsidRPr="00124D89">
              <w:rPr>
                <w:rFonts w:cs="Calibri"/>
                <w:spacing w:val="-8"/>
                <w:sz w:val="24"/>
                <w:szCs w:val="24"/>
                <w:lang w:eastAsia="ar-SA"/>
              </w:rPr>
              <w:t>–</w:t>
            </w:r>
          </w:p>
        </w:tc>
      </w:tr>
      <w:tr w:rsidR="00286780" w:rsidRPr="00124D89" w:rsidTr="00171853">
        <w:trPr>
          <w:trHeight w:val="307"/>
        </w:trPr>
        <w:tc>
          <w:tcPr>
            <w:tcW w:w="3291"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4"/>
                <w:szCs w:val="24"/>
                <w:lang w:val="en-US" w:eastAsia="ar-SA"/>
              </w:rPr>
            </w:pPr>
            <w:r w:rsidRPr="00124D89">
              <w:rPr>
                <w:rFonts w:cs="Calibri"/>
                <w:spacing w:val="-8"/>
                <w:sz w:val="24"/>
                <w:szCs w:val="24"/>
                <w:lang w:val="en-US" w:eastAsia="ar-SA"/>
              </w:rPr>
              <w:t>pH</w:t>
            </w:r>
          </w:p>
        </w:tc>
        <w:tc>
          <w:tcPr>
            <w:tcW w:w="2026" w:type="dxa"/>
            <w:tcBorders>
              <w:top w:val="single" w:sz="4" w:space="0" w:color="000000"/>
              <w:left w:val="single" w:sz="4" w:space="0" w:color="000000"/>
              <w:bottom w:val="single" w:sz="4" w:space="0" w:color="000000"/>
            </w:tcBorders>
            <w:tcMar>
              <w:left w:w="28" w:type="dxa"/>
              <w:right w:w="28" w:type="dxa"/>
            </w:tcMar>
            <w:vAlign w:val="center"/>
          </w:tcPr>
          <w:p w:rsidR="00286780" w:rsidRPr="00671AAF" w:rsidRDefault="00286780" w:rsidP="00124D89">
            <w:pPr>
              <w:snapToGrid w:val="0"/>
              <w:jc w:val="center"/>
              <w:rPr>
                <w:rFonts w:cs="Calibri"/>
                <w:spacing w:val="-8"/>
                <w:sz w:val="24"/>
                <w:szCs w:val="24"/>
                <w:lang w:eastAsia="ar-SA"/>
              </w:rPr>
            </w:pPr>
            <w:r>
              <w:rPr>
                <w:rFonts w:cs="Calibri"/>
                <w:spacing w:val="-8"/>
                <w:sz w:val="24"/>
                <w:szCs w:val="24"/>
                <w:lang w:eastAsia="ar-SA"/>
              </w:rPr>
              <w:t>7,42</w:t>
            </w:r>
            <w:r w:rsidRPr="00671AAF">
              <w:rPr>
                <w:rFonts w:cs="Calibri"/>
                <w:spacing w:val="-8"/>
                <w:sz w:val="24"/>
                <w:szCs w:val="24"/>
                <w:lang w:val="en-US" w:eastAsia="ar-SA"/>
              </w:rPr>
              <w:t>[</w:t>
            </w:r>
            <w:r w:rsidRPr="00671AAF">
              <w:rPr>
                <w:rFonts w:cs="Calibri"/>
                <w:spacing w:val="-8"/>
                <w:sz w:val="24"/>
                <w:szCs w:val="24"/>
                <w:lang w:eastAsia="ar-SA"/>
              </w:rPr>
              <w:t>7,39; 7,45</w:t>
            </w:r>
            <w:r w:rsidRPr="00671AAF">
              <w:rPr>
                <w:rFonts w:cs="Calibri"/>
                <w:spacing w:val="-8"/>
                <w:sz w:val="24"/>
                <w:szCs w:val="24"/>
                <w:lang w:val="en-US" w:eastAsia="ar-SA"/>
              </w:rPr>
              <w:t>]</w:t>
            </w:r>
            <w:r w:rsidRPr="00671AAF">
              <w:rPr>
                <w:rFonts w:cs="Calibri"/>
                <w:spacing w:val="-8"/>
                <w:sz w:val="24"/>
                <w:szCs w:val="24"/>
                <w:lang w:eastAsia="ar-SA"/>
              </w:rPr>
              <w:t>*</w:t>
            </w:r>
          </w:p>
        </w:tc>
        <w:tc>
          <w:tcPr>
            <w:tcW w:w="2393"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4"/>
                <w:szCs w:val="24"/>
                <w:lang w:val="en-US" w:eastAsia="ar-SA"/>
              </w:rPr>
            </w:pPr>
            <w:r>
              <w:rPr>
                <w:rFonts w:cs="Calibri"/>
                <w:spacing w:val="-8"/>
                <w:sz w:val="24"/>
                <w:szCs w:val="24"/>
                <w:lang w:eastAsia="ar-SA"/>
              </w:rPr>
              <w:t>7,37</w:t>
            </w:r>
            <w:r w:rsidRPr="00124D89">
              <w:rPr>
                <w:rFonts w:cs="Calibri"/>
                <w:spacing w:val="-8"/>
                <w:sz w:val="24"/>
                <w:szCs w:val="24"/>
                <w:lang w:val="en-US" w:eastAsia="ar-SA"/>
              </w:rPr>
              <w:t>[</w:t>
            </w:r>
            <w:r w:rsidRPr="00124D89">
              <w:rPr>
                <w:rFonts w:cs="Calibri"/>
                <w:spacing w:val="-8"/>
                <w:sz w:val="24"/>
                <w:szCs w:val="24"/>
                <w:lang w:eastAsia="ar-SA"/>
              </w:rPr>
              <w:t>7,34; 7,42</w:t>
            </w:r>
            <w:r w:rsidRPr="00124D89">
              <w:rPr>
                <w:rFonts w:cs="Calibri"/>
                <w:spacing w:val="-8"/>
                <w:sz w:val="24"/>
                <w:szCs w:val="24"/>
                <w:lang w:val="en-US" w:eastAsia="ar-SA"/>
              </w:rPr>
              <w:t>]</w:t>
            </w:r>
          </w:p>
        </w:tc>
        <w:tc>
          <w:tcPr>
            <w:tcW w:w="1816" w:type="dxa"/>
            <w:tcBorders>
              <w:top w:val="single" w:sz="4" w:space="0" w:color="000000"/>
              <w:left w:val="single" w:sz="4" w:space="0" w:color="auto"/>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4"/>
                <w:szCs w:val="24"/>
                <w:lang w:eastAsia="ar-SA"/>
              </w:rPr>
            </w:pPr>
            <w:r w:rsidRPr="00124D89">
              <w:rPr>
                <w:rFonts w:cs="Calibri"/>
                <w:spacing w:val="-8"/>
                <w:sz w:val="24"/>
                <w:szCs w:val="24"/>
                <w:lang w:eastAsia="ar-SA"/>
              </w:rPr>
              <w:t>–</w:t>
            </w:r>
          </w:p>
        </w:tc>
      </w:tr>
      <w:tr w:rsidR="00286780" w:rsidRPr="00124D89" w:rsidTr="00171853">
        <w:trPr>
          <w:trHeight w:val="270"/>
        </w:trPr>
        <w:tc>
          <w:tcPr>
            <w:tcW w:w="3291"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4"/>
                <w:szCs w:val="24"/>
                <w:lang w:eastAsia="ar-SA"/>
              </w:rPr>
            </w:pPr>
            <w:r w:rsidRPr="00124D89">
              <w:rPr>
                <w:rFonts w:cs="Calibri"/>
                <w:spacing w:val="-8"/>
                <w:sz w:val="24"/>
                <w:szCs w:val="24"/>
                <w:lang w:val="en-US" w:eastAsia="ar-SA"/>
              </w:rPr>
              <w:t>pO</w:t>
            </w:r>
            <w:r w:rsidRPr="00124D89">
              <w:rPr>
                <w:rFonts w:cs="Calibri"/>
                <w:spacing w:val="-8"/>
                <w:sz w:val="24"/>
                <w:szCs w:val="24"/>
                <w:lang w:eastAsia="ar-SA"/>
              </w:rPr>
              <w:t>2 (мм рт. ст.)</w:t>
            </w:r>
          </w:p>
        </w:tc>
        <w:tc>
          <w:tcPr>
            <w:tcW w:w="202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4"/>
                <w:szCs w:val="24"/>
                <w:lang w:val="en-US" w:eastAsia="ar-SA"/>
              </w:rPr>
            </w:pPr>
            <w:r>
              <w:rPr>
                <w:rFonts w:cs="Calibri"/>
                <w:spacing w:val="-8"/>
                <w:sz w:val="24"/>
                <w:szCs w:val="24"/>
                <w:lang w:eastAsia="ar-SA"/>
              </w:rPr>
              <w:t>64,1</w:t>
            </w:r>
            <w:r w:rsidRPr="00124D89">
              <w:rPr>
                <w:rFonts w:cs="Calibri"/>
                <w:spacing w:val="-8"/>
                <w:sz w:val="24"/>
                <w:szCs w:val="24"/>
                <w:lang w:val="en-US" w:eastAsia="ar-SA"/>
              </w:rPr>
              <w:t>[</w:t>
            </w:r>
            <w:r w:rsidRPr="00124D89">
              <w:rPr>
                <w:rFonts w:cs="Calibri"/>
                <w:spacing w:val="-8"/>
                <w:sz w:val="24"/>
                <w:szCs w:val="24"/>
                <w:lang w:eastAsia="ar-SA"/>
              </w:rPr>
              <w:t>51,0; 88,6</w:t>
            </w:r>
            <w:r w:rsidRPr="00124D89">
              <w:rPr>
                <w:rFonts w:cs="Calibri"/>
                <w:spacing w:val="-8"/>
                <w:sz w:val="24"/>
                <w:szCs w:val="24"/>
                <w:lang w:val="en-US" w:eastAsia="ar-SA"/>
              </w:rPr>
              <w:t>]</w:t>
            </w:r>
          </w:p>
        </w:tc>
        <w:tc>
          <w:tcPr>
            <w:tcW w:w="2393"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4"/>
                <w:szCs w:val="24"/>
                <w:lang w:val="en-US" w:eastAsia="ar-SA"/>
              </w:rPr>
            </w:pPr>
            <w:r>
              <w:rPr>
                <w:rFonts w:cs="Calibri"/>
                <w:spacing w:val="-8"/>
                <w:sz w:val="24"/>
                <w:szCs w:val="24"/>
                <w:lang w:eastAsia="ar-SA"/>
              </w:rPr>
              <w:t>64,3</w:t>
            </w:r>
            <w:r w:rsidRPr="00124D89">
              <w:rPr>
                <w:rFonts w:cs="Calibri"/>
                <w:spacing w:val="-8"/>
                <w:sz w:val="24"/>
                <w:szCs w:val="24"/>
                <w:lang w:val="en-US" w:eastAsia="ar-SA"/>
              </w:rPr>
              <w:t>[</w:t>
            </w:r>
            <w:r w:rsidRPr="00124D89">
              <w:rPr>
                <w:rFonts w:cs="Calibri"/>
                <w:spacing w:val="-8"/>
                <w:sz w:val="24"/>
                <w:szCs w:val="24"/>
                <w:lang w:eastAsia="ar-SA"/>
              </w:rPr>
              <w:t>52,7; 80,2</w:t>
            </w:r>
            <w:r w:rsidRPr="00124D89">
              <w:rPr>
                <w:rFonts w:cs="Calibri"/>
                <w:spacing w:val="-8"/>
                <w:sz w:val="24"/>
                <w:szCs w:val="24"/>
                <w:lang w:val="en-US" w:eastAsia="ar-SA"/>
              </w:rPr>
              <w:t>]</w:t>
            </w:r>
          </w:p>
        </w:tc>
        <w:tc>
          <w:tcPr>
            <w:tcW w:w="1816" w:type="dxa"/>
            <w:tcBorders>
              <w:top w:val="single" w:sz="4" w:space="0" w:color="000000"/>
              <w:left w:val="single" w:sz="4" w:space="0" w:color="auto"/>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4"/>
                <w:szCs w:val="24"/>
                <w:lang w:eastAsia="ar-SA"/>
              </w:rPr>
            </w:pPr>
            <w:r w:rsidRPr="00124D89">
              <w:rPr>
                <w:rFonts w:cs="Calibri"/>
                <w:spacing w:val="-8"/>
                <w:sz w:val="24"/>
                <w:szCs w:val="24"/>
                <w:lang w:eastAsia="ar-SA"/>
              </w:rPr>
              <w:t>–</w:t>
            </w:r>
          </w:p>
        </w:tc>
      </w:tr>
      <w:tr w:rsidR="00286780" w:rsidRPr="00124D89" w:rsidTr="005552BE">
        <w:trPr>
          <w:trHeight w:val="397"/>
        </w:trPr>
        <w:tc>
          <w:tcPr>
            <w:tcW w:w="3291"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4"/>
                <w:szCs w:val="24"/>
                <w:lang w:eastAsia="ar-SA"/>
              </w:rPr>
            </w:pPr>
            <w:r w:rsidRPr="00124D89">
              <w:rPr>
                <w:rFonts w:cs="Calibri"/>
                <w:spacing w:val="-8"/>
                <w:sz w:val="24"/>
                <w:szCs w:val="24"/>
                <w:lang w:val="en-US" w:eastAsia="ar-SA"/>
              </w:rPr>
              <w:t>pCO</w:t>
            </w:r>
            <w:r w:rsidRPr="00124D89">
              <w:rPr>
                <w:rFonts w:cs="Calibri"/>
                <w:spacing w:val="-8"/>
                <w:sz w:val="24"/>
                <w:szCs w:val="24"/>
                <w:lang w:eastAsia="ar-SA"/>
              </w:rPr>
              <w:t>2 (мм рт. ст.)</w:t>
            </w:r>
          </w:p>
        </w:tc>
        <w:tc>
          <w:tcPr>
            <w:tcW w:w="202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4"/>
                <w:szCs w:val="24"/>
                <w:lang w:val="en-US" w:eastAsia="ar-SA"/>
              </w:rPr>
            </w:pPr>
            <w:r w:rsidRPr="00124D89">
              <w:rPr>
                <w:rFonts w:cs="Calibri"/>
                <w:spacing w:val="-8"/>
                <w:sz w:val="24"/>
                <w:szCs w:val="24"/>
                <w:lang w:eastAsia="ar-SA"/>
              </w:rPr>
              <w:t>3</w:t>
            </w:r>
            <w:r>
              <w:rPr>
                <w:rFonts w:cs="Calibri"/>
                <w:spacing w:val="-8"/>
                <w:sz w:val="24"/>
                <w:szCs w:val="24"/>
                <w:lang w:eastAsia="ar-SA"/>
              </w:rPr>
              <w:t>6,7</w:t>
            </w:r>
            <w:r w:rsidRPr="00124D89">
              <w:rPr>
                <w:rFonts w:cs="Calibri"/>
                <w:spacing w:val="-8"/>
                <w:sz w:val="24"/>
                <w:szCs w:val="24"/>
                <w:lang w:val="en-US" w:eastAsia="ar-SA"/>
              </w:rPr>
              <w:t>[</w:t>
            </w:r>
            <w:r w:rsidRPr="00124D89">
              <w:rPr>
                <w:rFonts w:cs="Calibri"/>
                <w:spacing w:val="-8"/>
                <w:sz w:val="24"/>
                <w:szCs w:val="24"/>
                <w:lang w:eastAsia="ar-SA"/>
              </w:rPr>
              <w:t>30,5; 39,4</w:t>
            </w:r>
            <w:r w:rsidRPr="00124D89">
              <w:rPr>
                <w:rFonts w:cs="Calibri"/>
                <w:spacing w:val="-8"/>
                <w:sz w:val="24"/>
                <w:szCs w:val="24"/>
                <w:lang w:val="en-US" w:eastAsia="ar-SA"/>
              </w:rPr>
              <w:t>]</w:t>
            </w:r>
          </w:p>
        </w:tc>
        <w:tc>
          <w:tcPr>
            <w:tcW w:w="2393"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4"/>
                <w:szCs w:val="24"/>
                <w:lang w:eastAsia="ar-SA"/>
              </w:rPr>
            </w:pPr>
            <w:r>
              <w:rPr>
                <w:rFonts w:cs="Calibri"/>
                <w:spacing w:val="-8"/>
                <w:sz w:val="24"/>
                <w:szCs w:val="24"/>
                <w:lang w:eastAsia="ar-SA"/>
              </w:rPr>
              <w:t>37,1</w:t>
            </w:r>
            <w:r w:rsidRPr="00124D89">
              <w:rPr>
                <w:rFonts w:cs="Calibri"/>
                <w:spacing w:val="-8"/>
                <w:sz w:val="24"/>
                <w:szCs w:val="24"/>
                <w:lang w:eastAsia="ar-SA"/>
              </w:rPr>
              <w:t>[33,7; 42,7]</w:t>
            </w:r>
          </w:p>
        </w:tc>
        <w:tc>
          <w:tcPr>
            <w:tcW w:w="1816" w:type="dxa"/>
            <w:tcBorders>
              <w:top w:val="single" w:sz="4" w:space="0" w:color="000000"/>
              <w:left w:val="single" w:sz="4" w:space="0" w:color="auto"/>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4"/>
                <w:szCs w:val="24"/>
                <w:lang w:eastAsia="ar-SA"/>
              </w:rPr>
            </w:pPr>
            <w:r w:rsidRPr="00124D89">
              <w:rPr>
                <w:rFonts w:cs="Calibri"/>
                <w:spacing w:val="-8"/>
                <w:sz w:val="24"/>
                <w:szCs w:val="24"/>
                <w:lang w:eastAsia="ar-SA"/>
              </w:rPr>
              <w:t>–</w:t>
            </w:r>
          </w:p>
        </w:tc>
      </w:tr>
      <w:tr w:rsidR="00286780" w:rsidRPr="00124D89" w:rsidTr="00171853">
        <w:trPr>
          <w:trHeight w:val="293"/>
        </w:trPr>
        <w:tc>
          <w:tcPr>
            <w:tcW w:w="3291"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4"/>
                <w:szCs w:val="24"/>
                <w:lang w:eastAsia="ar-SA"/>
              </w:rPr>
            </w:pPr>
            <w:r w:rsidRPr="00124D89">
              <w:rPr>
                <w:rFonts w:cs="Calibri"/>
                <w:spacing w:val="-8"/>
                <w:sz w:val="24"/>
                <w:szCs w:val="24"/>
                <w:lang w:val="en-US" w:eastAsia="ar-SA"/>
              </w:rPr>
              <w:t>BE</w:t>
            </w:r>
          </w:p>
        </w:tc>
        <w:tc>
          <w:tcPr>
            <w:tcW w:w="202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4"/>
                <w:szCs w:val="24"/>
                <w:lang w:val="en-US" w:eastAsia="ar-SA"/>
              </w:rPr>
            </w:pPr>
            <w:r>
              <w:rPr>
                <w:rFonts w:cs="Calibri"/>
                <w:spacing w:val="-8"/>
                <w:sz w:val="24"/>
                <w:szCs w:val="24"/>
                <w:lang w:eastAsia="ar-SA"/>
              </w:rPr>
              <w:t>-2,2</w:t>
            </w:r>
            <w:r w:rsidRPr="00124D89">
              <w:rPr>
                <w:rFonts w:cs="Calibri"/>
                <w:spacing w:val="-8"/>
                <w:sz w:val="24"/>
                <w:szCs w:val="24"/>
                <w:lang w:val="en-US" w:eastAsia="ar-SA"/>
              </w:rPr>
              <w:t>[</w:t>
            </w:r>
            <w:r w:rsidRPr="00124D89">
              <w:rPr>
                <w:rFonts w:cs="Calibri"/>
                <w:spacing w:val="-8"/>
                <w:sz w:val="24"/>
                <w:szCs w:val="24"/>
                <w:lang w:eastAsia="ar-SA"/>
              </w:rPr>
              <w:t>-5,85; 2,0</w:t>
            </w:r>
            <w:r w:rsidRPr="00124D89">
              <w:rPr>
                <w:rFonts w:cs="Calibri"/>
                <w:spacing w:val="-8"/>
                <w:sz w:val="24"/>
                <w:szCs w:val="24"/>
                <w:lang w:val="en-US" w:eastAsia="ar-SA"/>
              </w:rPr>
              <w:t>]</w:t>
            </w:r>
          </w:p>
        </w:tc>
        <w:tc>
          <w:tcPr>
            <w:tcW w:w="2393"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4"/>
                <w:szCs w:val="24"/>
                <w:lang w:val="en-US" w:eastAsia="ar-SA"/>
              </w:rPr>
            </w:pPr>
            <w:r>
              <w:rPr>
                <w:rFonts w:cs="Calibri"/>
                <w:spacing w:val="-8"/>
                <w:sz w:val="24"/>
                <w:szCs w:val="24"/>
                <w:lang w:eastAsia="ar-SA"/>
              </w:rPr>
              <w:t>-4,2</w:t>
            </w:r>
            <w:r w:rsidRPr="00124D89">
              <w:rPr>
                <w:rFonts w:cs="Calibri"/>
                <w:spacing w:val="-8"/>
                <w:sz w:val="24"/>
                <w:szCs w:val="24"/>
                <w:lang w:val="en-US" w:eastAsia="ar-SA"/>
              </w:rPr>
              <w:t>[</w:t>
            </w:r>
            <w:r w:rsidRPr="00124D89">
              <w:rPr>
                <w:rFonts w:cs="Calibri"/>
                <w:spacing w:val="-8"/>
                <w:sz w:val="24"/>
                <w:szCs w:val="24"/>
                <w:lang w:eastAsia="ar-SA"/>
              </w:rPr>
              <w:t>-6; -0,5</w:t>
            </w:r>
            <w:r w:rsidRPr="00124D89">
              <w:rPr>
                <w:rFonts w:cs="Calibri"/>
                <w:spacing w:val="-8"/>
                <w:sz w:val="24"/>
                <w:szCs w:val="24"/>
                <w:lang w:val="en-US" w:eastAsia="ar-SA"/>
              </w:rPr>
              <w:t>]</w:t>
            </w:r>
          </w:p>
        </w:tc>
        <w:tc>
          <w:tcPr>
            <w:tcW w:w="1816" w:type="dxa"/>
            <w:tcBorders>
              <w:top w:val="single" w:sz="4" w:space="0" w:color="000000"/>
              <w:left w:val="single" w:sz="4" w:space="0" w:color="auto"/>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4"/>
                <w:szCs w:val="24"/>
                <w:lang w:eastAsia="ar-SA"/>
              </w:rPr>
            </w:pPr>
            <w:r w:rsidRPr="00124D89">
              <w:rPr>
                <w:rFonts w:cs="Calibri"/>
                <w:spacing w:val="-8"/>
                <w:sz w:val="24"/>
                <w:szCs w:val="24"/>
                <w:lang w:eastAsia="ar-SA"/>
              </w:rPr>
              <w:t>–</w:t>
            </w:r>
          </w:p>
        </w:tc>
      </w:tr>
      <w:tr w:rsidR="00286780" w:rsidRPr="00124D89" w:rsidTr="005552BE">
        <w:trPr>
          <w:trHeight w:val="397"/>
        </w:trPr>
        <w:tc>
          <w:tcPr>
            <w:tcW w:w="9526" w:type="dxa"/>
            <w:gridSpan w:val="4"/>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both"/>
              <w:rPr>
                <w:rFonts w:cs="Calibri"/>
                <w:spacing w:val="-8"/>
                <w:sz w:val="24"/>
                <w:szCs w:val="24"/>
                <w:lang w:eastAsia="ar-SA"/>
              </w:rPr>
            </w:pPr>
            <w:r w:rsidRPr="00124D89">
              <w:rPr>
                <w:rFonts w:cs="Calibri"/>
                <w:i/>
                <w:spacing w:val="-8"/>
                <w:sz w:val="24"/>
                <w:szCs w:val="24"/>
                <w:lang w:eastAsia="ar-SA"/>
              </w:rPr>
              <w:t>Примечание</w:t>
            </w:r>
            <w:r w:rsidRPr="00124D89">
              <w:rPr>
                <w:rFonts w:cs="Calibri"/>
                <w:spacing w:val="-8"/>
                <w:sz w:val="24"/>
                <w:szCs w:val="24"/>
                <w:lang w:eastAsia="ar-SA"/>
              </w:rPr>
              <w:t xml:space="preserve">. Различия статистически значимы (р&lt;0,05) по сравнению с показателями: * – контрольной </w:t>
            </w:r>
            <w:r>
              <w:rPr>
                <w:rFonts w:cs="Calibri"/>
                <w:spacing w:val="-8"/>
                <w:sz w:val="24"/>
                <w:szCs w:val="24"/>
                <w:lang w:eastAsia="ar-SA"/>
              </w:rPr>
              <w:t>под</w:t>
            </w:r>
            <w:r w:rsidRPr="00124D89">
              <w:rPr>
                <w:rFonts w:cs="Calibri"/>
                <w:spacing w:val="-8"/>
                <w:sz w:val="24"/>
                <w:szCs w:val="24"/>
                <w:lang w:eastAsia="ar-SA"/>
              </w:rPr>
              <w:t xml:space="preserve">группы пациентов с ОС, ** – контрольной </w:t>
            </w:r>
            <w:r>
              <w:rPr>
                <w:rFonts w:cs="Calibri"/>
                <w:spacing w:val="-8"/>
                <w:sz w:val="24"/>
                <w:szCs w:val="24"/>
                <w:lang w:eastAsia="ar-SA"/>
              </w:rPr>
              <w:t>под</w:t>
            </w:r>
            <w:r w:rsidRPr="00124D89">
              <w:rPr>
                <w:rFonts w:cs="Calibri"/>
                <w:spacing w:val="-8"/>
                <w:sz w:val="24"/>
                <w:szCs w:val="24"/>
                <w:lang w:eastAsia="ar-SA"/>
              </w:rPr>
              <w:t>группы № 4</w:t>
            </w:r>
          </w:p>
        </w:tc>
      </w:tr>
    </w:tbl>
    <w:p w:rsidR="00286780" w:rsidRDefault="00286780" w:rsidP="008E4B46">
      <w:pPr>
        <w:spacing w:line="360" w:lineRule="auto"/>
        <w:jc w:val="both"/>
        <w:rPr>
          <w:rFonts w:cs="Calibri"/>
          <w:sz w:val="28"/>
          <w:szCs w:val="28"/>
          <w:lang w:eastAsia="ar-SA"/>
        </w:rPr>
      </w:pPr>
    </w:p>
    <w:p w:rsidR="00286780" w:rsidRDefault="00F55796" w:rsidP="008E4B46">
      <w:pPr>
        <w:spacing w:line="360" w:lineRule="auto"/>
        <w:ind w:firstLine="709"/>
        <w:jc w:val="both"/>
        <w:rPr>
          <w:rFonts w:cs="Calibri"/>
          <w:sz w:val="28"/>
          <w:szCs w:val="28"/>
          <w:lang w:eastAsia="ar-SA"/>
        </w:rPr>
      </w:pPr>
      <w:r>
        <w:rPr>
          <w:rFonts w:cs="Calibri"/>
          <w:sz w:val="28"/>
          <w:szCs w:val="28"/>
          <w:lang w:eastAsia="ar-SA"/>
        </w:rPr>
        <w:lastRenderedPageBreak/>
        <w:t xml:space="preserve">Показатели </w:t>
      </w:r>
      <w:r w:rsidR="00EB47A5">
        <w:rPr>
          <w:rFonts w:cs="Calibri"/>
          <w:sz w:val="28"/>
          <w:szCs w:val="28"/>
          <w:lang w:eastAsia="ar-SA"/>
        </w:rPr>
        <w:t>под</w:t>
      </w:r>
      <w:r w:rsidR="00286780" w:rsidRPr="00124D89">
        <w:rPr>
          <w:rFonts w:cs="Calibri"/>
          <w:sz w:val="28"/>
          <w:szCs w:val="28"/>
          <w:lang w:eastAsia="ar-SA"/>
        </w:rPr>
        <w:t>группы больных с одонтогенным сепсисом</w:t>
      </w:r>
      <w:r>
        <w:rPr>
          <w:rFonts w:cs="Calibri"/>
          <w:sz w:val="28"/>
          <w:szCs w:val="28"/>
          <w:lang w:eastAsia="ar-SA"/>
        </w:rPr>
        <w:t xml:space="preserve"> и ХП</w:t>
      </w:r>
      <w:r w:rsidR="00286780" w:rsidRPr="00124D89">
        <w:rPr>
          <w:rFonts w:cs="Calibri"/>
          <w:sz w:val="28"/>
          <w:szCs w:val="28"/>
          <w:lang w:eastAsia="ar-SA"/>
        </w:rPr>
        <w:t xml:space="preserve"> характеризуются анемией, выраженным повышением концентрации мочевины, увеличением средних значений рН</w:t>
      </w:r>
      <w:r w:rsidR="00286780">
        <w:rPr>
          <w:rFonts w:cs="Calibri"/>
          <w:sz w:val="28"/>
          <w:szCs w:val="28"/>
          <w:lang w:eastAsia="ar-SA"/>
        </w:rPr>
        <w:t xml:space="preserve"> и ЛИИ</w:t>
      </w:r>
      <w:r w:rsidR="00286780" w:rsidRPr="00124D89">
        <w:rPr>
          <w:rFonts w:cs="Calibri"/>
          <w:sz w:val="28"/>
          <w:szCs w:val="28"/>
          <w:lang w:eastAsia="ar-SA"/>
        </w:rPr>
        <w:t>, что отражает наличие глубоких изменений метаболических процессов на фоне генерализации инфекции у пациентов с исходными терапевтическими заболеваниями внутренних органов.</w:t>
      </w:r>
    </w:p>
    <w:p w:rsidR="00286780" w:rsidRPr="00124D89" w:rsidRDefault="00286780" w:rsidP="00B724C4">
      <w:pPr>
        <w:spacing w:line="360" w:lineRule="auto"/>
        <w:ind w:firstLine="709"/>
        <w:jc w:val="both"/>
        <w:rPr>
          <w:rFonts w:cs="Calibri"/>
          <w:sz w:val="28"/>
          <w:szCs w:val="28"/>
          <w:lang w:eastAsia="ar-SA"/>
        </w:rPr>
      </w:pPr>
      <w:r w:rsidRPr="00124D89">
        <w:rPr>
          <w:rFonts w:cs="Calibri"/>
          <w:sz w:val="28"/>
          <w:szCs w:val="28"/>
          <w:lang w:eastAsia="ar-SA"/>
        </w:rPr>
        <w:t>Следует отметить, что критические нарушения показателей гемодинамики, клеточного и биохимического составов крови наблюдаются у больных с одонтогенным септическим шоком – выраженное снижение систолического и диастолического артериального давления (менее 80 и 40 мм рт. ст. соответственно), тахикардия более 135 в 1 мин., анемия, изменения электролитного, кислотно-основного и газового составов крови (в отдельных случаях – декомпенсированные ацидоз, алкалоз, гипернатриемия, гиперкалиемия, гипоксемия, гиперкапния, дефицит оснований.</w:t>
      </w:r>
    </w:p>
    <w:p w:rsidR="00286780" w:rsidRPr="00124D89" w:rsidRDefault="00286780" w:rsidP="00124D89">
      <w:pPr>
        <w:jc w:val="both"/>
        <w:rPr>
          <w:rFonts w:cs="Calibri"/>
          <w:sz w:val="28"/>
          <w:szCs w:val="28"/>
          <w:lang w:eastAsia="ar-SA"/>
        </w:rPr>
      </w:pPr>
    </w:p>
    <w:p w:rsidR="00286780" w:rsidRPr="00671AAF" w:rsidRDefault="00286780" w:rsidP="00124D89">
      <w:pPr>
        <w:spacing w:after="120"/>
        <w:jc w:val="both"/>
        <w:rPr>
          <w:spacing w:val="-4"/>
          <w:sz w:val="28"/>
          <w:szCs w:val="28"/>
        </w:rPr>
      </w:pPr>
      <w:r w:rsidRPr="00671AAF">
        <w:rPr>
          <w:b/>
          <w:spacing w:val="-4"/>
          <w:sz w:val="28"/>
          <w:szCs w:val="28"/>
        </w:rPr>
        <w:t xml:space="preserve">Таблица </w:t>
      </w:r>
      <w:r>
        <w:rPr>
          <w:b/>
          <w:spacing w:val="-4"/>
          <w:sz w:val="28"/>
          <w:szCs w:val="28"/>
        </w:rPr>
        <w:t>40</w:t>
      </w:r>
      <w:r w:rsidRPr="00671AAF">
        <w:rPr>
          <w:spacing w:val="-4"/>
          <w:sz w:val="28"/>
          <w:szCs w:val="28"/>
        </w:rPr>
        <w:t xml:space="preserve"> – Иммунологические показатели па</w:t>
      </w:r>
      <w:r>
        <w:rPr>
          <w:spacing w:val="-4"/>
          <w:sz w:val="28"/>
          <w:szCs w:val="28"/>
        </w:rPr>
        <w:t>циентов с одонтогенным сепсисом</w:t>
      </w:r>
    </w:p>
    <w:tbl>
      <w:tblPr>
        <w:tblW w:w="9923" w:type="dxa"/>
        <w:jc w:val="center"/>
        <w:tblLayout w:type="fixed"/>
        <w:tblLook w:val="0000" w:firstRow="0" w:lastRow="0" w:firstColumn="0" w:lastColumn="0" w:noHBand="0" w:noVBand="0"/>
      </w:tblPr>
      <w:tblGrid>
        <w:gridCol w:w="1809"/>
        <w:gridCol w:w="2694"/>
        <w:gridCol w:w="2512"/>
        <w:gridCol w:w="2908"/>
      </w:tblGrid>
      <w:tr w:rsidR="00286780" w:rsidRPr="00124D89" w:rsidTr="00874414">
        <w:trPr>
          <w:trHeight w:val="227"/>
          <w:jc w:val="center"/>
        </w:trPr>
        <w:tc>
          <w:tcPr>
            <w:tcW w:w="1809" w:type="dxa"/>
            <w:vMerge w:val="restart"/>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i/>
                <w:sz w:val="24"/>
                <w:szCs w:val="24"/>
                <w:lang w:eastAsia="ar-SA"/>
              </w:rPr>
            </w:pPr>
            <w:r w:rsidRPr="00124D89">
              <w:rPr>
                <w:rFonts w:cs="Calibri"/>
                <w:i/>
                <w:sz w:val="24"/>
                <w:szCs w:val="24"/>
                <w:lang w:eastAsia="ar-SA"/>
              </w:rPr>
              <w:t>Показатели</w:t>
            </w:r>
          </w:p>
        </w:tc>
        <w:tc>
          <w:tcPr>
            <w:tcW w:w="8114" w:type="dxa"/>
            <w:gridSpan w:val="3"/>
            <w:tcBorders>
              <w:top w:val="single" w:sz="4" w:space="0" w:color="000000"/>
              <w:left w:val="single" w:sz="4" w:space="0" w:color="000000"/>
              <w:bottom w:val="single" w:sz="4" w:space="0" w:color="000000"/>
              <w:right w:val="single" w:sz="4" w:space="0" w:color="000000"/>
            </w:tcBorders>
            <w:vAlign w:val="center"/>
          </w:tcPr>
          <w:p w:rsidR="00286780" w:rsidRPr="00124D89" w:rsidRDefault="00286780" w:rsidP="00124D89">
            <w:pPr>
              <w:snapToGrid w:val="0"/>
              <w:jc w:val="center"/>
              <w:rPr>
                <w:rFonts w:cs="Calibri"/>
                <w:i/>
                <w:sz w:val="24"/>
                <w:szCs w:val="24"/>
                <w:lang w:eastAsia="ar-SA"/>
              </w:rPr>
            </w:pPr>
            <w:r>
              <w:rPr>
                <w:rFonts w:cs="Calibri"/>
                <w:i/>
                <w:sz w:val="24"/>
                <w:szCs w:val="24"/>
                <w:lang w:eastAsia="ar-SA"/>
              </w:rPr>
              <w:t>Подг</w:t>
            </w:r>
            <w:r w:rsidRPr="00124D89">
              <w:rPr>
                <w:rFonts w:cs="Calibri"/>
                <w:i/>
                <w:sz w:val="24"/>
                <w:szCs w:val="24"/>
                <w:lang w:eastAsia="ar-SA"/>
              </w:rPr>
              <w:t>руппы сравнения</w:t>
            </w:r>
          </w:p>
        </w:tc>
      </w:tr>
      <w:tr w:rsidR="00286780" w:rsidRPr="00124D89" w:rsidTr="00874414">
        <w:trPr>
          <w:trHeight w:val="227"/>
          <w:jc w:val="center"/>
        </w:trPr>
        <w:tc>
          <w:tcPr>
            <w:tcW w:w="1809" w:type="dxa"/>
            <w:vMerge/>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p>
        </w:tc>
        <w:tc>
          <w:tcPr>
            <w:tcW w:w="2694"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Одонтогенный сепсис (при наличии хронической патологии</w:t>
            </w:r>
            <w:r w:rsidR="005E11A7">
              <w:rPr>
                <w:rFonts w:cs="Calibri"/>
                <w:sz w:val="24"/>
                <w:szCs w:val="24"/>
                <w:lang w:eastAsia="ar-SA"/>
              </w:rPr>
              <w:t xml:space="preserve">, </w:t>
            </w:r>
            <w:r w:rsidR="005E11A7">
              <w:rPr>
                <w:rFonts w:cs="Calibri"/>
                <w:sz w:val="24"/>
                <w:szCs w:val="24"/>
                <w:lang w:val="en-US" w:eastAsia="ar-SA"/>
              </w:rPr>
              <w:t>n</w:t>
            </w:r>
            <w:r w:rsidR="005E11A7" w:rsidRPr="005E11A7">
              <w:rPr>
                <w:rFonts w:cs="Calibri"/>
                <w:sz w:val="24"/>
                <w:szCs w:val="24"/>
                <w:lang w:eastAsia="ar-SA"/>
              </w:rPr>
              <w:t>=36</w:t>
            </w:r>
            <w:r w:rsidRPr="00124D89">
              <w:rPr>
                <w:rFonts w:cs="Calibri"/>
                <w:sz w:val="24"/>
                <w:szCs w:val="24"/>
                <w:lang w:eastAsia="ar-SA"/>
              </w:rPr>
              <w:t>)</w:t>
            </w:r>
          </w:p>
        </w:tc>
        <w:tc>
          <w:tcPr>
            <w:tcW w:w="2512" w:type="dxa"/>
            <w:tcBorders>
              <w:top w:val="single" w:sz="4" w:space="0" w:color="000000"/>
              <w:left w:val="single" w:sz="4" w:space="0" w:color="000000"/>
              <w:bottom w:val="single" w:sz="4" w:space="0" w:color="000000"/>
            </w:tcBorders>
            <w:vAlign w:val="center"/>
          </w:tcPr>
          <w:p w:rsidR="00286780" w:rsidRPr="005E11A7" w:rsidRDefault="00286780" w:rsidP="00671AAF">
            <w:pPr>
              <w:snapToGrid w:val="0"/>
              <w:jc w:val="center"/>
              <w:rPr>
                <w:rFonts w:cs="Calibri"/>
                <w:sz w:val="24"/>
                <w:szCs w:val="24"/>
                <w:lang w:eastAsia="ar-SA"/>
              </w:rPr>
            </w:pPr>
            <w:r w:rsidRPr="00124D89">
              <w:rPr>
                <w:rFonts w:cs="Calibri"/>
                <w:sz w:val="24"/>
                <w:szCs w:val="24"/>
                <w:lang w:eastAsia="ar-SA"/>
              </w:rPr>
              <w:t>Одонтогенный сепсис без хронической</w:t>
            </w:r>
            <w:r>
              <w:rPr>
                <w:rFonts w:cs="Calibri"/>
                <w:sz w:val="24"/>
                <w:szCs w:val="24"/>
                <w:lang w:eastAsia="ar-SA"/>
              </w:rPr>
              <w:br/>
            </w:r>
            <w:r w:rsidRPr="00124D89">
              <w:rPr>
                <w:rFonts w:cs="Calibri"/>
                <w:sz w:val="24"/>
                <w:szCs w:val="24"/>
                <w:lang w:eastAsia="ar-SA"/>
              </w:rPr>
              <w:t>патологии</w:t>
            </w:r>
            <w:r w:rsidR="005E11A7" w:rsidRPr="005E11A7">
              <w:rPr>
                <w:rFonts w:cs="Calibri"/>
                <w:sz w:val="24"/>
                <w:szCs w:val="24"/>
                <w:lang w:eastAsia="ar-SA"/>
              </w:rPr>
              <w:t xml:space="preserve"> (</w:t>
            </w:r>
            <w:r w:rsidR="005E11A7">
              <w:rPr>
                <w:rFonts w:cs="Calibri"/>
                <w:sz w:val="24"/>
                <w:szCs w:val="24"/>
                <w:lang w:val="en-US" w:eastAsia="ar-SA"/>
              </w:rPr>
              <w:t>n</w:t>
            </w:r>
            <w:r w:rsidR="005E11A7" w:rsidRPr="005E11A7">
              <w:rPr>
                <w:rFonts w:cs="Calibri"/>
                <w:sz w:val="24"/>
                <w:szCs w:val="24"/>
                <w:lang w:eastAsia="ar-SA"/>
              </w:rPr>
              <w:t>=30)</w:t>
            </w:r>
          </w:p>
        </w:tc>
        <w:tc>
          <w:tcPr>
            <w:tcW w:w="2908" w:type="dxa"/>
            <w:tcBorders>
              <w:top w:val="single" w:sz="4" w:space="0" w:color="000000"/>
              <w:left w:val="single" w:sz="4" w:space="0" w:color="000000"/>
              <w:bottom w:val="single" w:sz="4" w:space="0" w:color="000000"/>
              <w:right w:val="single" w:sz="4" w:space="0" w:color="000000"/>
            </w:tcBorders>
            <w:vAlign w:val="center"/>
          </w:tcPr>
          <w:p w:rsidR="00286780" w:rsidRPr="00E833B9" w:rsidRDefault="00286780" w:rsidP="00671AAF">
            <w:pPr>
              <w:snapToGrid w:val="0"/>
              <w:jc w:val="center"/>
              <w:rPr>
                <w:rFonts w:cs="Calibri"/>
                <w:sz w:val="24"/>
                <w:szCs w:val="24"/>
                <w:lang w:eastAsia="ar-SA"/>
              </w:rPr>
            </w:pPr>
            <w:r w:rsidRPr="00E833B9">
              <w:rPr>
                <w:rFonts w:cs="Calibri"/>
                <w:sz w:val="24"/>
                <w:szCs w:val="24"/>
                <w:lang w:eastAsia="ar-SA"/>
              </w:rPr>
              <w:t xml:space="preserve">Контрольная </w:t>
            </w:r>
            <w:r w:rsidR="00EB47A5" w:rsidRPr="00E833B9">
              <w:rPr>
                <w:rFonts w:cs="Calibri"/>
                <w:sz w:val="24"/>
                <w:szCs w:val="24"/>
                <w:lang w:eastAsia="ar-SA"/>
              </w:rPr>
              <w:t>под</w:t>
            </w:r>
            <w:r w:rsidRPr="00E833B9">
              <w:rPr>
                <w:rFonts w:cs="Calibri"/>
                <w:sz w:val="24"/>
                <w:szCs w:val="24"/>
                <w:lang w:eastAsia="ar-SA"/>
              </w:rPr>
              <w:t>группа</w:t>
            </w:r>
            <w:r w:rsidRPr="00E833B9">
              <w:rPr>
                <w:rFonts w:cs="Calibri"/>
                <w:sz w:val="24"/>
                <w:szCs w:val="24"/>
                <w:lang w:eastAsia="ar-SA"/>
              </w:rPr>
              <w:br/>
              <w:t xml:space="preserve">относительно здоровых индивидуумов </w:t>
            </w:r>
            <w:r w:rsidR="005E11A7" w:rsidRPr="00E833B9">
              <w:rPr>
                <w:rFonts w:cs="Calibri"/>
                <w:sz w:val="24"/>
                <w:szCs w:val="24"/>
                <w:lang w:eastAsia="ar-SA"/>
              </w:rPr>
              <w:t>(</w:t>
            </w:r>
            <w:r w:rsidR="005E11A7" w:rsidRPr="00E833B9">
              <w:rPr>
                <w:rFonts w:cs="Calibri"/>
                <w:sz w:val="24"/>
                <w:szCs w:val="24"/>
                <w:lang w:val="en-US" w:eastAsia="ar-SA"/>
              </w:rPr>
              <w:t>n</w:t>
            </w:r>
            <w:r w:rsidR="005E11A7" w:rsidRPr="00E833B9">
              <w:rPr>
                <w:rFonts w:cs="Calibri"/>
                <w:sz w:val="24"/>
                <w:szCs w:val="24"/>
                <w:lang w:eastAsia="ar-SA"/>
              </w:rPr>
              <w:t>=32)</w:t>
            </w:r>
          </w:p>
        </w:tc>
      </w:tr>
      <w:tr w:rsidR="00286780" w:rsidRPr="00124D89" w:rsidTr="000A09BC">
        <w:trPr>
          <w:trHeight w:val="397"/>
          <w:jc w:val="center"/>
        </w:trPr>
        <w:tc>
          <w:tcPr>
            <w:tcW w:w="1809" w:type="dxa"/>
            <w:tcBorders>
              <w:top w:val="single" w:sz="4" w:space="0" w:color="000000"/>
              <w:left w:val="single" w:sz="4" w:space="0" w:color="000000"/>
              <w:bottom w:val="single" w:sz="4" w:space="0" w:color="000000"/>
            </w:tcBorders>
            <w:vAlign w:val="center"/>
          </w:tcPr>
          <w:p w:rsidR="00286780" w:rsidRPr="005E11A7" w:rsidRDefault="00286780" w:rsidP="00124D89">
            <w:pPr>
              <w:snapToGrid w:val="0"/>
              <w:rPr>
                <w:rFonts w:cs="Calibri"/>
                <w:sz w:val="24"/>
                <w:szCs w:val="24"/>
                <w:lang w:eastAsia="ar-SA"/>
              </w:rPr>
            </w:pPr>
            <w:r w:rsidRPr="00124D89">
              <w:rPr>
                <w:rFonts w:cs="Calibri"/>
                <w:sz w:val="24"/>
                <w:szCs w:val="24"/>
                <w:lang w:val="en-US" w:eastAsia="ar-SA"/>
              </w:rPr>
              <w:t>IgA</w:t>
            </w:r>
          </w:p>
        </w:tc>
        <w:tc>
          <w:tcPr>
            <w:tcW w:w="2694" w:type="dxa"/>
            <w:tcBorders>
              <w:top w:val="single" w:sz="4" w:space="0" w:color="000000"/>
              <w:left w:val="single" w:sz="4" w:space="0" w:color="000000"/>
              <w:bottom w:val="single" w:sz="4" w:space="0" w:color="000000"/>
            </w:tcBorders>
            <w:vAlign w:val="center"/>
          </w:tcPr>
          <w:p w:rsidR="00286780" w:rsidRPr="00671AAF" w:rsidRDefault="00286780" w:rsidP="00124D89">
            <w:pPr>
              <w:snapToGrid w:val="0"/>
              <w:jc w:val="center"/>
              <w:rPr>
                <w:rFonts w:cs="Calibri"/>
                <w:sz w:val="24"/>
                <w:szCs w:val="24"/>
                <w:lang w:eastAsia="ar-SA"/>
              </w:rPr>
            </w:pPr>
            <w:r w:rsidRPr="00671AAF">
              <w:rPr>
                <w:rFonts w:cs="Calibri"/>
                <w:sz w:val="24"/>
                <w:szCs w:val="24"/>
                <w:lang w:eastAsia="ar-SA"/>
              </w:rPr>
              <w:t>220,0±21,9</w:t>
            </w:r>
          </w:p>
        </w:tc>
        <w:tc>
          <w:tcPr>
            <w:tcW w:w="2512" w:type="dxa"/>
            <w:tcBorders>
              <w:top w:val="single" w:sz="4" w:space="0" w:color="000000"/>
              <w:left w:val="single" w:sz="4" w:space="0" w:color="000000"/>
              <w:bottom w:val="single" w:sz="4" w:space="0" w:color="000000"/>
            </w:tcBorders>
            <w:vAlign w:val="center"/>
          </w:tcPr>
          <w:p w:rsidR="00286780" w:rsidRPr="00671AAF" w:rsidRDefault="00286780" w:rsidP="00124D89">
            <w:pPr>
              <w:snapToGrid w:val="0"/>
              <w:jc w:val="center"/>
              <w:rPr>
                <w:rFonts w:cs="Calibri"/>
                <w:sz w:val="24"/>
                <w:szCs w:val="24"/>
                <w:lang w:eastAsia="ar-SA"/>
              </w:rPr>
            </w:pPr>
            <w:r w:rsidRPr="00671AAF">
              <w:rPr>
                <w:rFonts w:cs="Calibri"/>
                <w:sz w:val="24"/>
                <w:szCs w:val="24"/>
                <w:lang w:eastAsia="ar-SA"/>
              </w:rPr>
              <w:t>198,5±21,8*</w:t>
            </w:r>
          </w:p>
        </w:tc>
        <w:tc>
          <w:tcPr>
            <w:tcW w:w="2908" w:type="dxa"/>
            <w:tcBorders>
              <w:top w:val="single" w:sz="4" w:space="0" w:color="000000"/>
              <w:left w:val="single" w:sz="4" w:space="0" w:color="000000"/>
              <w:bottom w:val="single" w:sz="4" w:space="0" w:color="000000"/>
              <w:right w:val="single" w:sz="4" w:space="0" w:color="000000"/>
            </w:tcBorders>
            <w:vAlign w:val="center"/>
          </w:tcPr>
          <w:p w:rsidR="00286780" w:rsidRPr="00E833B9" w:rsidRDefault="00286780" w:rsidP="00124D89">
            <w:pPr>
              <w:snapToGrid w:val="0"/>
              <w:jc w:val="center"/>
              <w:rPr>
                <w:rFonts w:cs="Calibri"/>
                <w:sz w:val="24"/>
                <w:szCs w:val="24"/>
                <w:lang w:eastAsia="ar-SA"/>
              </w:rPr>
            </w:pPr>
            <w:r w:rsidRPr="00E833B9">
              <w:rPr>
                <w:rFonts w:cs="Calibri"/>
                <w:sz w:val="24"/>
                <w:szCs w:val="24"/>
                <w:lang w:eastAsia="ar-SA"/>
              </w:rPr>
              <w:t>108,7±3,71</w:t>
            </w:r>
          </w:p>
        </w:tc>
      </w:tr>
      <w:tr w:rsidR="00286780" w:rsidRPr="00124D89" w:rsidTr="000A09BC">
        <w:trPr>
          <w:trHeight w:val="397"/>
          <w:jc w:val="center"/>
        </w:trPr>
        <w:tc>
          <w:tcPr>
            <w:tcW w:w="1809"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rPr>
                <w:rFonts w:cs="Calibri"/>
                <w:sz w:val="24"/>
                <w:szCs w:val="24"/>
                <w:lang w:val="en-US" w:eastAsia="ar-SA"/>
              </w:rPr>
            </w:pPr>
            <w:r w:rsidRPr="00124D89">
              <w:rPr>
                <w:rFonts w:cs="Calibri"/>
                <w:sz w:val="24"/>
                <w:szCs w:val="24"/>
                <w:lang w:val="en-US" w:eastAsia="ar-SA"/>
              </w:rPr>
              <w:t>IgM</w:t>
            </w:r>
          </w:p>
        </w:tc>
        <w:tc>
          <w:tcPr>
            <w:tcW w:w="2694" w:type="dxa"/>
            <w:tcBorders>
              <w:top w:val="single" w:sz="4" w:space="0" w:color="000000"/>
              <w:left w:val="single" w:sz="4" w:space="0" w:color="000000"/>
              <w:bottom w:val="single" w:sz="4" w:space="0" w:color="000000"/>
            </w:tcBorders>
            <w:vAlign w:val="center"/>
          </w:tcPr>
          <w:p w:rsidR="00286780" w:rsidRPr="00671AAF" w:rsidRDefault="00286780" w:rsidP="00124D89">
            <w:pPr>
              <w:snapToGrid w:val="0"/>
              <w:jc w:val="center"/>
              <w:rPr>
                <w:rFonts w:cs="Calibri"/>
                <w:sz w:val="24"/>
                <w:szCs w:val="24"/>
                <w:lang w:eastAsia="ar-SA"/>
              </w:rPr>
            </w:pPr>
            <w:r w:rsidRPr="00671AAF">
              <w:rPr>
                <w:rFonts w:cs="Calibri"/>
                <w:sz w:val="24"/>
                <w:szCs w:val="24"/>
                <w:lang w:eastAsia="ar-SA"/>
              </w:rPr>
              <w:t>142,4±21,3*</w:t>
            </w:r>
          </w:p>
        </w:tc>
        <w:tc>
          <w:tcPr>
            <w:tcW w:w="2512" w:type="dxa"/>
            <w:tcBorders>
              <w:top w:val="single" w:sz="4" w:space="0" w:color="000000"/>
              <w:left w:val="single" w:sz="4" w:space="0" w:color="000000"/>
              <w:bottom w:val="single" w:sz="4" w:space="0" w:color="000000"/>
            </w:tcBorders>
            <w:vAlign w:val="center"/>
          </w:tcPr>
          <w:p w:rsidR="00286780" w:rsidRPr="00671AAF" w:rsidRDefault="00286780" w:rsidP="00124D89">
            <w:pPr>
              <w:snapToGrid w:val="0"/>
              <w:jc w:val="center"/>
              <w:rPr>
                <w:rFonts w:cs="Calibri"/>
                <w:sz w:val="24"/>
                <w:szCs w:val="24"/>
                <w:lang w:eastAsia="ar-SA"/>
              </w:rPr>
            </w:pPr>
            <w:r w:rsidRPr="00671AAF">
              <w:rPr>
                <w:rFonts w:cs="Calibri"/>
                <w:sz w:val="24"/>
                <w:szCs w:val="24"/>
                <w:lang w:eastAsia="ar-SA"/>
              </w:rPr>
              <w:t>112,1±17,3</w:t>
            </w:r>
          </w:p>
        </w:tc>
        <w:tc>
          <w:tcPr>
            <w:tcW w:w="2908" w:type="dxa"/>
            <w:tcBorders>
              <w:top w:val="single" w:sz="4" w:space="0" w:color="000000"/>
              <w:left w:val="single" w:sz="4" w:space="0" w:color="000000"/>
              <w:bottom w:val="single" w:sz="4" w:space="0" w:color="000000"/>
              <w:right w:val="single" w:sz="4" w:space="0" w:color="000000"/>
            </w:tcBorders>
            <w:vAlign w:val="center"/>
          </w:tcPr>
          <w:p w:rsidR="00286780" w:rsidRPr="00E833B9" w:rsidRDefault="00286780" w:rsidP="00124D89">
            <w:pPr>
              <w:snapToGrid w:val="0"/>
              <w:jc w:val="center"/>
              <w:rPr>
                <w:rFonts w:cs="Calibri"/>
                <w:sz w:val="24"/>
                <w:szCs w:val="24"/>
                <w:lang w:eastAsia="ar-SA"/>
              </w:rPr>
            </w:pPr>
            <w:r w:rsidRPr="00E833B9">
              <w:rPr>
                <w:rFonts w:cs="Calibri"/>
                <w:sz w:val="24"/>
                <w:szCs w:val="24"/>
                <w:lang w:eastAsia="ar-SA"/>
              </w:rPr>
              <w:t>106,1±11,3</w:t>
            </w:r>
          </w:p>
        </w:tc>
      </w:tr>
      <w:tr w:rsidR="00286780" w:rsidRPr="00124D89" w:rsidTr="000A09BC">
        <w:trPr>
          <w:trHeight w:val="397"/>
          <w:jc w:val="center"/>
        </w:trPr>
        <w:tc>
          <w:tcPr>
            <w:tcW w:w="1809"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rPr>
                <w:rFonts w:cs="Calibri"/>
                <w:sz w:val="24"/>
                <w:szCs w:val="24"/>
                <w:lang w:val="en-US" w:eastAsia="ar-SA"/>
              </w:rPr>
            </w:pPr>
            <w:r w:rsidRPr="00124D89">
              <w:rPr>
                <w:rFonts w:cs="Calibri"/>
                <w:sz w:val="24"/>
                <w:szCs w:val="24"/>
                <w:lang w:val="en-US" w:eastAsia="ar-SA"/>
              </w:rPr>
              <w:t>IgG</w:t>
            </w:r>
          </w:p>
        </w:tc>
        <w:tc>
          <w:tcPr>
            <w:tcW w:w="2694" w:type="dxa"/>
            <w:tcBorders>
              <w:top w:val="single" w:sz="4" w:space="0" w:color="000000"/>
              <w:left w:val="single" w:sz="4" w:space="0" w:color="000000"/>
              <w:bottom w:val="single" w:sz="4" w:space="0" w:color="000000"/>
            </w:tcBorders>
            <w:vAlign w:val="center"/>
          </w:tcPr>
          <w:p w:rsidR="00286780" w:rsidRPr="00671AAF" w:rsidRDefault="00286780" w:rsidP="00124D89">
            <w:pPr>
              <w:snapToGrid w:val="0"/>
              <w:jc w:val="center"/>
              <w:rPr>
                <w:rFonts w:cs="Calibri"/>
                <w:sz w:val="24"/>
                <w:szCs w:val="24"/>
                <w:lang w:eastAsia="ar-SA"/>
              </w:rPr>
            </w:pPr>
            <w:r w:rsidRPr="00671AAF">
              <w:rPr>
                <w:rFonts w:cs="Calibri"/>
                <w:sz w:val="24"/>
                <w:szCs w:val="24"/>
                <w:lang w:eastAsia="ar-SA"/>
              </w:rPr>
              <w:t>707,1±91,4*</w:t>
            </w:r>
          </w:p>
        </w:tc>
        <w:tc>
          <w:tcPr>
            <w:tcW w:w="2512" w:type="dxa"/>
            <w:tcBorders>
              <w:top w:val="single" w:sz="4" w:space="0" w:color="000000"/>
              <w:left w:val="single" w:sz="4" w:space="0" w:color="000000"/>
              <w:bottom w:val="single" w:sz="4" w:space="0" w:color="000000"/>
            </w:tcBorders>
            <w:vAlign w:val="center"/>
          </w:tcPr>
          <w:p w:rsidR="00286780" w:rsidRPr="00671AAF" w:rsidRDefault="00286780" w:rsidP="00124D89">
            <w:pPr>
              <w:snapToGrid w:val="0"/>
              <w:jc w:val="center"/>
              <w:rPr>
                <w:rFonts w:cs="Calibri"/>
                <w:sz w:val="24"/>
                <w:szCs w:val="24"/>
                <w:lang w:eastAsia="ar-SA"/>
              </w:rPr>
            </w:pPr>
            <w:r w:rsidRPr="00671AAF">
              <w:rPr>
                <w:rFonts w:cs="Calibri"/>
                <w:sz w:val="24"/>
                <w:szCs w:val="24"/>
                <w:lang w:eastAsia="ar-SA"/>
              </w:rPr>
              <w:t>901,4±82,0*</w:t>
            </w:r>
          </w:p>
        </w:tc>
        <w:tc>
          <w:tcPr>
            <w:tcW w:w="2908" w:type="dxa"/>
            <w:tcBorders>
              <w:top w:val="single" w:sz="4" w:space="0" w:color="000000"/>
              <w:left w:val="single" w:sz="4" w:space="0" w:color="000000"/>
              <w:bottom w:val="single" w:sz="4" w:space="0" w:color="000000"/>
              <w:right w:val="single" w:sz="4" w:space="0" w:color="000000"/>
            </w:tcBorders>
            <w:vAlign w:val="center"/>
          </w:tcPr>
          <w:p w:rsidR="00286780" w:rsidRPr="00E833B9" w:rsidRDefault="00286780" w:rsidP="00124D89">
            <w:pPr>
              <w:snapToGrid w:val="0"/>
              <w:jc w:val="center"/>
              <w:rPr>
                <w:rFonts w:cs="Calibri"/>
                <w:sz w:val="24"/>
                <w:szCs w:val="24"/>
                <w:lang w:eastAsia="ar-SA"/>
              </w:rPr>
            </w:pPr>
            <w:r w:rsidRPr="00E833B9">
              <w:rPr>
                <w:rFonts w:cs="Calibri"/>
                <w:sz w:val="24"/>
                <w:szCs w:val="24"/>
                <w:lang w:eastAsia="ar-SA"/>
              </w:rPr>
              <w:t>1135,7±18,9</w:t>
            </w:r>
          </w:p>
        </w:tc>
      </w:tr>
      <w:tr w:rsidR="00286780" w:rsidRPr="00124D89" w:rsidTr="000A09BC">
        <w:trPr>
          <w:trHeight w:val="397"/>
          <w:jc w:val="center"/>
        </w:trPr>
        <w:tc>
          <w:tcPr>
            <w:tcW w:w="1809"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rPr>
                <w:rFonts w:cs="Calibri"/>
                <w:sz w:val="24"/>
                <w:szCs w:val="24"/>
                <w:lang w:eastAsia="ar-SA"/>
              </w:rPr>
            </w:pPr>
            <w:r w:rsidRPr="00124D89">
              <w:rPr>
                <w:rFonts w:cs="Calibri"/>
                <w:sz w:val="24"/>
                <w:szCs w:val="24"/>
                <w:lang w:eastAsia="ar-SA"/>
              </w:rPr>
              <w:t>ИЛ-1ß (пг/мл)</w:t>
            </w:r>
          </w:p>
        </w:tc>
        <w:tc>
          <w:tcPr>
            <w:tcW w:w="2694" w:type="dxa"/>
            <w:tcBorders>
              <w:top w:val="single" w:sz="4" w:space="0" w:color="000000"/>
              <w:left w:val="single" w:sz="4" w:space="0" w:color="000000"/>
              <w:bottom w:val="single" w:sz="4" w:space="0" w:color="000000"/>
            </w:tcBorders>
            <w:vAlign w:val="center"/>
          </w:tcPr>
          <w:p w:rsidR="00286780" w:rsidRPr="00671AAF" w:rsidRDefault="00286780" w:rsidP="00124D89">
            <w:pPr>
              <w:snapToGrid w:val="0"/>
              <w:jc w:val="center"/>
              <w:rPr>
                <w:rFonts w:cs="Calibri"/>
                <w:sz w:val="24"/>
                <w:szCs w:val="24"/>
                <w:lang w:eastAsia="ar-SA"/>
              </w:rPr>
            </w:pPr>
            <w:r w:rsidRPr="00671AAF">
              <w:rPr>
                <w:rFonts w:cs="Calibri"/>
                <w:sz w:val="24"/>
                <w:szCs w:val="24"/>
                <w:lang w:eastAsia="ar-SA"/>
              </w:rPr>
              <w:t>4,47±0,25*</w:t>
            </w:r>
          </w:p>
        </w:tc>
        <w:tc>
          <w:tcPr>
            <w:tcW w:w="2512" w:type="dxa"/>
            <w:tcBorders>
              <w:top w:val="single" w:sz="4" w:space="0" w:color="000000"/>
              <w:left w:val="single" w:sz="4" w:space="0" w:color="000000"/>
              <w:bottom w:val="single" w:sz="4" w:space="0" w:color="000000"/>
            </w:tcBorders>
            <w:vAlign w:val="center"/>
          </w:tcPr>
          <w:p w:rsidR="00286780" w:rsidRPr="00671AAF" w:rsidRDefault="00286780" w:rsidP="00124D89">
            <w:pPr>
              <w:snapToGrid w:val="0"/>
              <w:jc w:val="center"/>
              <w:rPr>
                <w:rFonts w:cs="Calibri"/>
                <w:sz w:val="24"/>
                <w:szCs w:val="24"/>
                <w:lang w:eastAsia="ar-SA"/>
              </w:rPr>
            </w:pPr>
            <w:r w:rsidRPr="00671AAF">
              <w:rPr>
                <w:rFonts w:cs="Calibri"/>
                <w:sz w:val="24"/>
                <w:szCs w:val="24"/>
                <w:lang w:eastAsia="ar-SA"/>
              </w:rPr>
              <w:t>4,4±0,39*</w:t>
            </w:r>
          </w:p>
        </w:tc>
        <w:tc>
          <w:tcPr>
            <w:tcW w:w="2908" w:type="dxa"/>
            <w:tcBorders>
              <w:top w:val="single" w:sz="4" w:space="0" w:color="000000"/>
              <w:left w:val="single" w:sz="4" w:space="0" w:color="000000"/>
              <w:bottom w:val="single" w:sz="4" w:space="0" w:color="000000"/>
              <w:right w:val="single" w:sz="4" w:space="0" w:color="000000"/>
            </w:tcBorders>
            <w:vAlign w:val="center"/>
          </w:tcPr>
          <w:p w:rsidR="00286780" w:rsidRPr="00E833B9" w:rsidRDefault="00286780" w:rsidP="00124D89">
            <w:pPr>
              <w:snapToGrid w:val="0"/>
              <w:jc w:val="center"/>
              <w:rPr>
                <w:rFonts w:cs="Calibri"/>
                <w:sz w:val="24"/>
                <w:szCs w:val="24"/>
                <w:lang w:eastAsia="ar-SA"/>
              </w:rPr>
            </w:pPr>
            <w:r w:rsidRPr="00E833B9">
              <w:rPr>
                <w:rFonts w:cs="Calibri"/>
                <w:sz w:val="24"/>
                <w:szCs w:val="24"/>
                <w:lang w:eastAsia="ar-SA"/>
              </w:rPr>
              <w:t>5,77±0,2</w:t>
            </w:r>
          </w:p>
        </w:tc>
      </w:tr>
      <w:tr w:rsidR="00286780" w:rsidRPr="00124D89" w:rsidTr="000A09BC">
        <w:trPr>
          <w:trHeight w:val="397"/>
          <w:jc w:val="center"/>
        </w:trPr>
        <w:tc>
          <w:tcPr>
            <w:tcW w:w="1809"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rPr>
                <w:rFonts w:cs="Calibri"/>
                <w:sz w:val="24"/>
                <w:szCs w:val="24"/>
                <w:lang w:eastAsia="ar-SA"/>
              </w:rPr>
            </w:pPr>
            <w:r w:rsidRPr="00124D89">
              <w:rPr>
                <w:rFonts w:cs="Calibri"/>
                <w:sz w:val="24"/>
                <w:szCs w:val="24"/>
                <w:lang w:eastAsia="ar-SA"/>
              </w:rPr>
              <w:t>ИЛ-4 (пг/мл)</w:t>
            </w:r>
          </w:p>
        </w:tc>
        <w:tc>
          <w:tcPr>
            <w:tcW w:w="2694" w:type="dxa"/>
            <w:tcBorders>
              <w:top w:val="single" w:sz="4" w:space="0" w:color="000000"/>
              <w:left w:val="single" w:sz="4" w:space="0" w:color="000000"/>
              <w:bottom w:val="single" w:sz="4" w:space="0" w:color="000000"/>
            </w:tcBorders>
            <w:vAlign w:val="center"/>
          </w:tcPr>
          <w:p w:rsidR="00286780" w:rsidRPr="00671AAF" w:rsidRDefault="00286780" w:rsidP="00124D89">
            <w:pPr>
              <w:snapToGrid w:val="0"/>
              <w:jc w:val="center"/>
              <w:rPr>
                <w:rFonts w:cs="Calibri"/>
                <w:sz w:val="24"/>
                <w:szCs w:val="24"/>
                <w:lang w:eastAsia="ar-SA"/>
              </w:rPr>
            </w:pPr>
            <w:r w:rsidRPr="00671AAF">
              <w:rPr>
                <w:rFonts w:cs="Calibri"/>
                <w:sz w:val="24"/>
                <w:szCs w:val="24"/>
                <w:lang w:eastAsia="ar-SA"/>
              </w:rPr>
              <w:t>2,75±0,36</w:t>
            </w:r>
          </w:p>
        </w:tc>
        <w:tc>
          <w:tcPr>
            <w:tcW w:w="2512" w:type="dxa"/>
            <w:tcBorders>
              <w:top w:val="single" w:sz="4" w:space="0" w:color="000000"/>
              <w:left w:val="single" w:sz="4" w:space="0" w:color="000000"/>
              <w:bottom w:val="single" w:sz="4" w:space="0" w:color="000000"/>
            </w:tcBorders>
            <w:vAlign w:val="center"/>
          </w:tcPr>
          <w:p w:rsidR="00286780" w:rsidRPr="00671AAF" w:rsidRDefault="00286780" w:rsidP="00124D89">
            <w:pPr>
              <w:snapToGrid w:val="0"/>
              <w:jc w:val="center"/>
              <w:rPr>
                <w:rFonts w:cs="Calibri"/>
                <w:sz w:val="24"/>
                <w:szCs w:val="24"/>
                <w:lang w:eastAsia="ar-SA"/>
              </w:rPr>
            </w:pPr>
            <w:r w:rsidRPr="00671AAF">
              <w:rPr>
                <w:rFonts w:cs="Calibri"/>
                <w:sz w:val="24"/>
                <w:szCs w:val="24"/>
                <w:lang w:eastAsia="ar-SA"/>
              </w:rPr>
              <w:t>2,85±0,39</w:t>
            </w:r>
          </w:p>
        </w:tc>
        <w:tc>
          <w:tcPr>
            <w:tcW w:w="2908" w:type="dxa"/>
            <w:tcBorders>
              <w:top w:val="single" w:sz="4" w:space="0" w:color="000000"/>
              <w:left w:val="single" w:sz="4" w:space="0" w:color="000000"/>
              <w:bottom w:val="single" w:sz="4" w:space="0" w:color="000000"/>
              <w:right w:val="single" w:sz="4" w:space="0" w:color="000000"/>
            </w:tcBorders>
            <w:vAlign w:val="center"/>
          </w:tcPr>
          <w:p w:rsidR="00286780" w:rsidRPr="00E833B9" w:rsidRDefault="00286780" w:rsidP="00124D89">
            <w:pPr>
              <w:snapToGrid w:val="0"/>
              <w:jc w:val="center"/>
              <w:rPr>
                <w:rFonts w:cs="Calibri"/>
                <w:sz w:val="24"/>
                <w:szCs w:val="24"/>
                <w:lang w:eastAsia="ar-SA"/>
              </w:rPr>
            </w:pPr>
            <w:r w:rsidRPr="00E833B9">
              <w:rPr>
                <w:rFonts w:cs="Calibri"/>
                <w:sz w:val="24"/>
                <w:szCs w:val="24"/>
                <w:lang w:eastAsia="ar-SA"/>
              </w:rPr>
              <w:t>2,28±0,14</w:t>
            </w:r>
          </w:p>
        </w:tc>
      </w:tr>
      <w:tr w:rsidR="00286780" w:rsidRPr="00124D89" w:rsidTr="000A09BC">
        <w:trPr>
          <w:trHeight w:val="397"/>
          <w:jc w:val="center"/>
        </w:trPr>
        <w:tc>
          <w:tcPr>
            <w:tcW w:w="1809"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rPr>
                <w:rFonts w:cs="Calibri"/>
                <w:sz w:val="24"/>
                <w:szCs w:val="24"/>
                <w:lang w:eastAsia="ar-SA"/>
              </w:rPr>
            </w:pPr>
            <w:r w:rsidRPr="00124D89">
              <w:rPr>
                <w:rFonts w:cs="Calibri"/>
                <w:sz w:val="24"/>
                <w:szCs w:val="24"/>
                <w:lang w:eastAsia="ar-SA"/>
              </w:rPr>
              <w:t>ИЛ-6 (пг/мл)</w:t>
            </w:r>
          </w:p>
        </w:tc>
        <w:tc>
          <w:tcPr>
            <w:tcW w:w="2694" w:type="dxa"/>
            <w:tcBorders>
              <w:top w:val="single" w:sz="4" w:space="0" w:color="000000"/>
              <w:left w:val="single" w:sz="4" w:space="0" w:color="000000"/>
              <w:bottom w:val="single" w:sz="4" w:space="0" w:color="000000"/>
            </w:tcBorders>
            <w:vAlign w:val="center"/>
          </w:tcPr>
          <w:p w:rsidR="00286780" w:rsidRPr="00671AAF" w:rsidRDefault="00286780" w:rsidP="00124D89">
            <w:pPr>
              <w:snapToGrid w:val="0"/>
              <w:jc w:val="center"/>
              <w:rPr>
                <w:rFonts w:cs="Calibri"/>
                <w:sz w:val="24"/>
                <w:szCs w:val="24"/>
                <w:lang w:eastAsia="ar-SA"/>
              </w:rPr>
            </w:pPr>
            <w:r w:rsidRPr="00671AAF">
              <w:rPr>
                <w:rFonts w:cs="Calibri"/>
                <w:sz w:val="24"/>
                <w:szCs w:val="24"/>
                <w:lang w:eastAsia="ar-SA"/>
              </w:rPr>
              <w:t>8,87±1,17</w:t>
            </w:r>
          </w:p>
        </w:tc>
        <w:tc>
          <w:tcPr>
            <w:tcW w:w="2512" w:type="dxa"/>
            <w:tcBorders>
              <w:top w:val="single" w:sz="4" w:space="0" w:color="000000"/>
              <w:left w:val="single" w:sz="4" w:space="0" w:color="000000"/>
              <w:bottom w:val="single" w:sz="4" w:space="0" w:color="000000"/>
            </w:tcBorders>
            <w:vAlign w:val="center"/>
          </w:tcPr>
          <w:p w:rsidR="00286780" w:rsidRPr="00671AAF" w:rsidRDefault="00286780" w:rsidP="00124D89">
            <w:pPr>
              <w:snapToGrid w:val="0"/>
              <w:jc w:val="center"/>
              <w:rPr>
                <w:rFonts w:cs="Calibri"/>
                <w:sz w:val="24"/>
                <w:szCs w:val="24"/>
                <w:lang w:eastAsia="ar-SA"/>
              </w:rPr>
            </w:pPr>
            <w:r w:rsidRPr="00671AAF">
              <w:rPr>
                <w:rFonts w:cs="Calibri"/>
                <w:sz w:val="24"/>
                <w:szCs w:val="24"/>
                <w:lang w:eastAsia="ar-SA"/>
              </w:rPr>
              <w:t>7,55±0,82</w:t>
            </w:r>
          </w:p>
        </w:tc>
        <w:tc>
          <w:tcPr>
            <w:tcW w:w="2908" w:type="dxa"/>
            <w:tcBorders>
              <w:top w:val="single" w:sz="4" w:space="0" w:color="000000"/>
              <w:left w:val="single" w:sz="4" w:space="0" w:color="000000"/>
              <w:bottom w:val="single" w:sz="4" w:space="0" w:color="000000"/>
              <w:right w:val="single" w:sz="4" w:space="0" w:color="000000"/>
            </w:tcBorders>
            <w:vAlign w:val="center"/>
          </w:tcPr>
          <w:p w:rsidR="00286780" w:rsidRPr="00E833B9" w:rsidRDefault="00286780" w:rsidP="00124D89">
            <w:pPr>
              <w:snapToGrid w:val="0"/>
              <w:jc w:val="center"/>
              <w:rPr>
                <w:rFonts w:cs="Calibri"/>
                <w:sz w:val="24"/>
                <w:szCs w:val="24"/>
                <w:lang w:eastAsia="ar-SA"/>
              </w:rPr>
            </w:pPr>
            <w:r w:rsidRPr="00E833B9">
              <w:rPr>
                <w:rFonts w:cs="Calibri"/>
                <w:sz w:val="24"/>
                <w:szCs w:val="24"/>
                <w:lang w:eastAsia="ar-SA"/>
              </w:rPr>
              <w:t>8,82±0,78</w:t>
            </w:r>
          </w:p>
        </w:tc>
      </w:tr>
      <w:tr w:rsidR="00286780" w:rsidRPr="00124D89" w:rsidTr="000A09BC">
        <w:trPr>
          <w:trHeight w:val="397"/>
          <w:jc w:val="center"/>
        </w:trPr>
        <w:tc>
          <w:tcPr>
            <w:tcW w:w="1809"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rPr>
                <w:rFonts w:cs="Calibri"/>
                <w:sz w:val="24"/>
                <w:szCs w:val="24"/>
                <w:lang w:eastAsia="ar-SA"/>
              </w:rPr>
            </w:pPr>
            <w:r w:rsidRPr="00124D89">
              <w:rPr>
                <w:rFonts w:cs="Calibri"/>
                <w:sz w:val="24"/>
                <w:szCs w:val="24"/>
                <w:lang w:eastAsia="ar-SA"/>
              </w:rPr>
              <w:t>ИЛ-10 (пг/мл)</w:t>
            </w:r>
          </w:p>
        </w:tc>
        <w:tc>
          <w:tcPr>
            <w:tcW w:w="2694" w:type="dxa"/>
            <w:tcBorders>
              <w:top w:val="single" w:sz="4" w:space="0" w:color="000000"/>
              <w:left w:val="single" w:sz="4" w:space="0" w:color="000000"/>
              <w:bottom w:val="single" w:sz="4" w:space="0" w:color="000000"/>
            </w:tcBorders>
            <w:vAlign w:val="center"/>
          </w:tcPr>
          <w:p w:rsidR="00286780" w:rsidRPr="00671AAF" w:rsidRDefault="00286780" w:rsidP="00124D89">
            <w:pPr>
              <w:snapToGrid w:val="0"/>
              <w:jc w:val="center"/>
              <w:rPr>
                <w:rFonts w:cs="Calibri"/>
                <w:sz w:val="24"/>
                <w:szCs w:val="24"/>
                <w:lang w:eastAsia="ar-SA"/>
              </w:rPr>
            </w:pPr>
            <w:r w:rsidRPr="00671AAF">
              <w:rPr>
                <w:rFonts w:cs="Calibri"/>
                <w:sz w:val="24"/>
                <w:szCs w:val="24"/>
                <w:lang w:eastAsia="ar-SA"/>
              </w:rPr>
              <w:t>9,12±0,71*</w:t>
            </w:r>
          </w:p>
        </w:tc>
        <w:tc>
          <w:tcPr>
            <w:tcW w:w="2512" w:type="dxa"/>
            <w:tcBorders>
              <w:top w:val="single" w:sz="4" w:space="0" w:color="000000"/>
              <w:left w:val="single" w:sz="4" w:space="0" w:color="000000"/>
              <w:bottom w:val="single" w:sz="4" w:space="0" w:color="000000"/>
            </w:tcBorders>
            <w:vAlign w:val="center"/>
          </w:tcPr>
          <w:p w:rsidR="00286780" w:rsidRPr="00671AAF" w:rsidRDefault="00286780" w:rsidP="00124D89">
            <w:pPr>
              <w:snapToGrid w:val="0"/>
              <w:jc w:val="center"/>
              <w:rPr>
                <w:rFonts w:cs="Calibri"/>
                <w:sz w:val="24"/>
                <w:szCs w:val="24"/>
                <w:lang w:eastAsia="ar-SA"/>
              </w:rPr>
            </w:pPr>
            <w:r w:rsidRPr="00671AAF">
              <w:rPr>
                <w:rFonts w:cs="Calibri"/>
                <w:sz w:val="24"/>
                <w:szCs w:val="24"/>
                <w:lang w:eastAsia="ar-SA"/>
              </w:rPr>
              <w:t>8,72±0,51*</w:t>
            </w:r>
          </w:p>
        </w:tc>
        <w:tc>
          <w:tcPr>
            <w:tcW w:w="2908" w:type="dxa"/>
            <w:tcBorders>
              <w:top w:val="single" w:sz="4" w:space="0" w:color="000000"/>
              <w:left w:val="single" w:sz="4" w:space="0" w:color="000000"/>
              <w:bottom w:val="single" w:sz="4" w:space="0" w:color="000000"/>
              <w:right w:val="single" w:sz="4" w:space="0" w:color="000000"/>
            </w:tcBorders>
            <w:vAlign w:val="center"/>
          </w:tcPr>
          <w:p w:rsidR="00286780" w:rsidRPr="00E833B9" w:rsidRDefault="00286780" w:rsidP="00124D89">
            <w:pPr>
              <w:snapToGrid w:val="0"/>
              <w:jc w:val="center"/>
              <w:rPr>
                <w:rFonts w:cs="Calibri"/>
                <w:sz w:val="24"/>
                <w:szCs w:val="24"/>
                <w:lang w:eastAsia="ar-SA"/>
              </w:rPr>
            </w:pPr>
            <w:r w:rsidRPr="00E833B9">
              <w:rPr>
                <w:rFonts w:cs="Calibri"/>
                <w:sz w:val="24"/>
                <w:szCs w:val="24"/>
                <w:lang w:eastAsia="ar-SA"/>
              </w:rPr>
              <w:t>6,68±0,11</w:t>
            </w:r>
          </w:p>
        </w:tc>
      </w:tr>
      <w:tr w:rsidR="00286780" w:rsidRPr="00124D89" w:rsidTr="000A09BC">
        <w:trPr>
          <w:trHeight w:val="397"/>
          <w:jc w:val="center"/>
        </w:trPr>
        <w:tc>
          <w:tcPr>
            <w:tcW w:w="1809"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rPr>
                <w:rFonts w:cs="Calibri"/>
                <w:sz w:val="24"/>
                <w:szCs w:val="24"/>
                <w:lang w:eastAsia="ar-SA"/>
              </w:rPr>
            </w:pPr>
            <w:r w:rsidRPr="00124D89">
              <w:rPr>
                <w:rFonts w:cs="Calibri"/>
                <w:sz w:val="24"/>
                <w:szCs w:val="24"/>
                <w:lang w:eastAsia="ar-SA"/>
              </w:rPr>
              <w:t>ФНО-α (пг/мл)</w:t>
            </w:r>
          </w:p>
        </w:tc>
        <w:tc>
          <w:tcPr>
            <w:tcW w:w="2694"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8,81±1,1</w:t>
            </w:r>
          </w:p>
        </w:tc>
        <w:tc>
          <w:tcPr>
            <w:tcW w:w="2512"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9,33±1,14</w:t>
            </w:r>
          </w:p>
        </w:tc>
        <w:tc>
          <w:tcPr>
            <w:tcW w:w="2908" w:type="dxa"/>
            <w:tcBorders>
              <w:top w:val="single" w:sz="4" w:space="0" w:color="000000"/>
              <w:left w:val="single" w:sz="4" w:space="0" w:color="000000"/>
              <w:bottom w:val="single" w:sz="4" w:space="0" w:color="000000"/>
              <w:right w:val="single" w:sz="4" w:space="0" w:color="000000"/>
            </w:tcBorders>
            <w:vAlign w:val="center"/>
          </w:tcPr>
          <w:p w:rsidR="00286780" w:rsidRPr="00E833B9" w:rsidRDefault="00286780" w:rsidP="00124D89">
            <w:pPr>
              <w:snapToGrid w:val="0"/>
              <w:jc w:val="center"/>
              <w:rPr>
                <w:rFonts w:cs="Calibri"/>
                <w:sz w:val="24"/>
                <w:szCs w:val="24"/>
                <w:lang w:eastAsia="ar-SA"/>
              </w:rPr>
            </w:pPr>
            <w:r w:rsidRPr="00E833B9">
              <w:rPr>
                <w:rFonts w:cs="Calibri"/>
                <w:sz w:val="24"/>
                <w:szCs w:val="24"/>
                <w:lang w:eastAsia="ar-SA"/>
              </w:rPr>
              <w:t>7,95±0,76</w:t>
            </w:r>
          </w:p>
        </w:tc>
      </w:tr>
      <w:tr w:rsidR="00286780" w:rsidRPr="00124D89" w:rsidTr="00874414">
        <w:trPr>
          <w:trHeight w:val="454"/>
          <w:jc w:val="center"/>
        </w:trPr>
        <w:tc>
          <w:tcPr>
            <w:tcW w:w="9923" w:type="dxa"/>
            <w:gridSpan w:val="4"/>
            <w:tcBorders>
              <w:top w:val="single" w:sz="4" w:space="0" w:color="000000"/>
              <w:left w:val="single" w:sz="4" w:space="0" w:color="000000"/>
              <w:bottom w:val="single" w:sz="4" w:space="0" w:color="000000"/>
              <w:right w:val="single" w:sz="4" w:space="0" w:color="000000"/>
            </w:tcBorders>
            <w:vAlign w:val="center"/>
          </w:tcPr>
          <w:p w:rsidR="00286780" w:rsidRPr="00124D89" w:rsidRDefault="00286780" w:rsidP="00671AAF">
            <w:pPr>
              <w:snapToGrid w:val="0"/>
              <w:jc w:val="both"/>
              <w:rPr>
                <w:rFonts w:cs="Calibri"/>
                <w:sz w:val="24"/>
                <w:szCs w:val="24"/>
                <w:lang w:eastAsia="ar-SA"/>
              </w:rPr>
            </w:pPr>
            <w:r w:rsidRPr="00124D89">
              <w:rPr>
                <w:rFonts w:cs="Calibri"/>
                <w:i/>
                <w:sz w:val="24"/>
                <w:szCs w:val="24"/>
                <w:lang w:eastAsia="ar-SA"/>
              </w:rPr>
              <w:t>Примечание</w:t>
            </w:r>
            <w:r w:rsidRPr="00124D89">
              <w:rPr>
                <w:rFonts w:cs="Calibri"/>
                <w:sz w:val="24"/>
                <w:szCs w:val="24"/>
                <w:lang w:eastAsia="ar-SA"/>
              </w:rPr>
              <w:t>. Раз</w:t>
            </w:r>
            <w:r>
              <w:rPr>
                <w:rFonts w:cs="Calibri"/>
                <w:sz w:val="24"/>
                <w:szCs w:val="24"/>
                <w:lang w:eastAsia="ar-SA"/>
              </w:rPr>
              <w:t>личия статистически значимы (р&lt;</w:t>
            </w:r>
            <w:r w:rsidRPr="00124D89">
              <w:rPr>
                <w:rFonts w:cs="Calibri"/>
                <w:sz w:val="24"/>
                <w:szCs w:val="24"/>
                <w:lang w:eastAsia="ar-SA"/>
              </w:rPr>
              <w:t xml:space="preserve">0,05) по сравнению с показателями: </w:t>
            </w:r>
            <w:r>
              <w:rPr>
                <w:rFonts w:cs="Calibri"/>
                <w:sz w:val="24"/>
                <w:szCs w:val="24"/>
                <w:lang w:eastAsia="ar-SA"/>
              </w:rPr>
              <w:br/>
            </w:r>
            <w:r w:rsidRPr="00124D89">
              <w:rPr>
                <w:rFonts w:cs="Calibri"/>
                <w:sz w:val="24"/>
                <w:szCs w:val="24"/>
                <w:lang w:eastAsia="ar-SA"/>
              </w:rPr>
              <w:t xml:space="preserve">1 – </w:t>
            </w:r>
            <w:r w:rsidR="00660266">
              <w:rPr>
                <w:rFonts w:cs="Calibri"/>
                <w:sz w:val="24"/>
                <w:szCs w:val="24"/>
                <w:lang w:eastAsia="ar-SA"/>
              </w:rPr>
              <w:t>под</w:t>
            </w:r>
            <w:r w:rsidRPr="00124D89">
              <w:rPr>
                <w:rFonts w:cs="Calibri"/>
                <w:sz w:val="24"/>
                <w:szCs w:val="24"/>
                <w:lang w:eastAsia="ar-SA"/>
              </w:rPr>
              <w:t xml:space="preserve">группы с одонтогенным сепсисом без хронической патологии, * – контрольной </w:t>
            </w:r>
            <w:r w:rsidR="00EB47A5">
              <w:rPr>
                <w:rFonts w:cs="Calibri"/>
                <w:sz w:val="24"/>
                <w:szCs w:val="24"/>
                <w:lang w:eastAsia="ar-SA"/>
              </w:rPr>
              <w:t>под</w:t>
            </w:r>
            <w:r w:rsidRPr="00124D89">
              <w:rPr>
                <w:rFonts w:cs="Calibri"/>
                <w:sz w:val="24"/>
                <w:szCs w:val="24"/>
                <w:lang w:eastAsia="ar-SA"/>
              </w:rPr>
              <w:t>группы относительно здоровых людей</w:t>
            </w:r>
          </w:p>
        </w:tc>
      </w:tr>
    </w:tbl>
    <w:p w:rsidR="00286780" w:rsidRDefault="00286780" w:rsidP="00124D89">
      <w:pPr>
        <w:jc w:val="both"/>
        <w:rPr>
          <w:rFonts w:cs="Calibri"/>
          <w:sz w:val="28"/>
          <w:szCs w:val="28"/>
          <w:lang w:eastAsia="ar-SA"/>
        </w:rPr>
      </w:pPr>
    </w:p>
    <w:p w:rsidR="00286780" w:rsidRPr="006417DE" w:rsidRDefault="00286780" w:rsidP="006417DE">
      <w:pPr>
        <w:spacing w:line="360" w:lineRule="auto"/>
        <w:ind w:firstLine="709"/>
        <w:jc w:val="both"/>
        <w:rPr>
          <w:rFonts w:cs="Calibri"/>
          <w:spacing w:val="-4"/>
          <w:sz w:val="28"/>
          <w:szCs w:val="28"/>
          <w:lang w:eastAsia="ar-SA"/>
        </w:rPr>
      </w:pPr>
      <w:r w:rsidRPr="000A09BC">
        <w:rPr>
          <w:rFonts w:cs="Calibri"/>
          <w:spacing w:val="-4"/>
          <w:sz w:val="28"/>
          <w:szCs w:val="28"/>
          <w:lang w:eastAsia="ar-SA"/>
        </w:rPr>
        <w:t>Результаты исследования гуморального иммунитета (</w:t>
      </w:r>
      <w:r w:rsidRPr="000A09BC">
        <w:rPr>
          <w:rFonts w:cs="Calibri"/>
          <w:spacing w:val="-4"/>
          <w:sz w:val="28"/>
          <w:szCs w:val="28"/>
          <w:lang w:val="en-US" w:eastAsia="ar-SA"/>
        </w:rPr>
        <w:t>IgA</w:t>
      </w:r>
      <w:r w:rsidRPr="000A09BC">
        <w:rPr>
          <w:rFonts w:cs="Calibri"/>
          <w:spacing w:val="-4"/>
          <w:sz w:val="28"/>
          <w:szCs w:val="28"/>
          <w:lang w:eastAsia="ar-SA"/>
        </w:rPr>
        <w:t xml:space="preserve">, </w:t>
      </w:r>
      <w:r w:rsidRPr="000A09BC">
        <w:rPr>
          <w:rFonts w:cs="Calibri"/>
          <w:spacing w:val="-4"/>
          <w:sz w:val="28"/>
          <w:szCs w:val="28"/>
          <w:lang w:val="en-US" w:eastAsia="ar-SA"/>
        </w:rPr>
        <w:t>IgM</w:t>
      </w:r>
      <w:r w:rsidRPr="000A09BC">
        <w:rPr>
          <w:rFonts w:cs="Calibri"/>
          <w:spacing w:val="-4"/>
          <w:sz w:val="28"/>
          <w:szCs w:val="28"/>
          <w:lang w:eastAsia="ar-SA"/>
        </w:rPr>
        <w:t xml:space="preserve">, </w:t>
      </w:r>
      <w:r w:rsidRPr="000A09BC">
        <w:rPr>
          <w:rFonts w:cs="Calibri"/>
          <w:spacing w:val="-4"/>
          <w:sz w:val="28"/>
          <w:szCs w:val="28"/>
          <w:lang w:val="en-US" w:eastAsia="ar-SA"/>
        </w:rPr>
        <w:t>IgG</w:t>
      </w:r>
      <w:r w:rsidRPr="000A09BC">
        <w:rPr>
          <w:rFonts w:cs="Calibri"/>
          <w:spacing w:val="-4"/>
          <w:sz w:val="28"/>
          <w:szCs w:val="28"/>
          <w:lang w:eastAsia="ar-SA"/>
        </w:rPr>
        <w:t>), про- и противовоспалительных интерлейкинов (ИЛ-1ß, ИЛ-4, ИЛ-6, ИЛ-10, ФНО-α) сыворотки крови у пациентов с одонтогенным сепсисом при наличии хронической патологии, в отсутствии заболеваний внутренних органов, их сравнительная межгруппо</w:t>
      </w:r>
      <w:r w:rsidRPr="000A09BC">
        <w:rPr>
          <w:rFonts w:cs="Calibri"/>
          <w:spacing w:val="-4"/>
          <w:sz w:val="28"/>
          <w:szCs w:val="28"/>
          <w:lang w:eastAsia="ar-SA"/>
        </w:rPr>
        <w:lastRenderedPageBreak/>
        <w:t xml:space="preserve">вая характеристика, а также сравнительная характеристика в отношении аналогичных показателей контрольной </w:t>
      </w:r>
      <w:r w:rsidR="00EB47A5">
        <w:rPr>
          <w:rFonts w:cs="Calibri"/>
          <w:spacing w:val="-4"/>
          <w:sz w:val="28"/>
          <w:szCs w:val="28"/>
          <w:lang w:eastAsia="ar-SA"/>
        </w:rPr>
        <w:t>под</w:t>
      </w:r>
      <w:r w:rsidRPr="000A09BC">
        <w:rPr>
          <w:rFonts w:cs="Calibri"/>
          <w:spacing w:val="-4"/>
          <w:sz w:val="28"/>
          <w:szCs w:val="28"/>
          <w:lang w:eastAsia="ar-SA"/>
        </w:rPr>
        <w:t>группы относительно здоровых индивидуумов (студенты, медицинский перс</w:t>
      </w:r>
      <w:r>
        <w:rPr>
          <w:rFonts w:cs="Calibri"/>
          <w:spacing w:val="-4"/>
          <w:sz w:val="28"/>
          <w:szCs w:val="28"/>
          <w:lang w:eastAsia="ar-SA"/>
        </w:rPr>
        <w:t>онал), представлены в Таблице 40</w:t>
      </w:r>
      <w:r w:rsidR="00EB47A5">
        <w:rPr>
          <w:rFonts w:cs="Calibri"/>
          <w:spacing w:val="-4"/>
          <w:sz w:val="28"/>
          <w:szCs w:val="28"/>
          <w:lang w:eastAsia="ar-SA"/>
        </w:rPr>
        <w:t>. Подг</w:t>
      </w:r>
      <w:r w:rsidRPr="000A09BC">
        <w:rPr>
          <w:rFonts w:cs="Calibri"/>
          <w:spacing w:val="-4"/>
          <w:sz w:val="28"/>
          <w:szCs w:val="28"/>
          <w:lang w:eastAsia="ar-SA"/>
        </w:rPr>
        <w:t>руппы сопоставимы по возрастно-половым и антропометрическим характеристикам, степени тяжести воспалительного процесса, нозологической структуре заболеваний, методам лечения.</w:t>
      </w:r>
    </w:p>
    <w:p w:rsidR="00286780" w:rsidRPr="00124D89" w:rsidRDefault="00286780" w:rsidP="007348A0">
      <w:pPr>
        <w:spacing w:line="360" w:lineRule="auto"/>
        <w:ind w:firstLine="709"/>
        <w:jc w:val="both"/>
        <w:rPr>
          <w:rFonts w:cs="Calibri"/>
          <w:sz w:val="28"/>
          <w:szCs w:val="28"/>
          <w:lang w:eastAsia="ar-SA"/>
        </w:rPr>
      </w:pPr>
      <w:r>
        <w:rPr>
          <w:rFonts w:cs="Calibri"/>
          <w:sz w:val="28"/>
          <w:szCs w:val="28"/>
          <w:lang w:eastAsia="ar-SA"/>
        </w:rPr>
        <w:t>Из Таблицы 40</w:t>
      </w:r>
      <w:r w:rsidRPr="00124D89">
        <w:rPr>
          <w:rFonts w:cs="Calibri"/>
          <w:sz w:val="28"/>
          <w:szCs w:val="28"/>
          <w:lang w:eastAsia="ar-SA"/>
        </w:rPr>
        <w:t xml:space="preserve"> следует, что средние значения показателей гуморального иммунитета (</w:t>
      </w:r>
      <w:r w:rsidRPr="00124D89">
        <w:rPr>
          <w:rFonts w:cs="Calibri"/>
          <w:sz w:val="28"/>
          <w:szCs w:val="28"/>
          <w:lang w:val="en-US" w:eastAsia="ar-SA"/>
        </w:rPr>
        <w:t>IgA</w:t>
      </w:r>
      <w:r w:rsidRPr="00124D89">
        <w:rPr>
          <w:rFonts w:cs="Calibri"/>
          <w:sz w:val="28"/>
          <w:szCs w:val="28"/>
          <w:lang w:eastAsia="ar-SA"/>
        </w:rPr>
        <w:t xml:space="preserve">, </w:t>
      </w:r>
      <w:r w:rsidRPr="00124D89">
        <w:rPr>
          <w:rFonts w:cs="Calibri"/>
          <w:sz w:val="28"/>
          <w:szCs w:val="28"/>
          <w:lang w:val="en-US" w:eastAsia="ar-SA"/>
        </w:rPr>
        <w:t>IgM</w:t>
      </w:r>
      <w:r w:rsidRPr="00124D89">
        <w:rPr>
          <w:rFonts w:cs="Calibri"/>
          <w:sz w:val="28"/>
          <w:szCs w:val="28"/>
          <w:lang w:eastAsia="ar-SA"/>
        </w:rPr>
        <w:t xml:space="preserve">, </w:t>
      </w:r>
      <w:r w:rsidRPr="00124D89">
        <w:rPr>
          <w:rFonts w:cs="Calibri"/>
          <w:sz w:val="28"/>
          <w:szCs w:val="28"/>
          <w:lang w:val="en-US" w:eastAsia="ar-SA"/>
        </w:rPr>
        <w:t>IgG</w:t>
      </w:r>
      <w:r w:rsidRPr="00124D89">
        <w:rPr>
          <w:rFonts w:cs="Calibri"/>
          <w:sz w:val="28"/>
          <w:szCs w:val="28"/>
          <w:lang w:eastAsia="ar-SA"/>
        </w:rPr>
        <w:t xml:space="preserve">), про- и противовоспалительных интерлейкинов (ИЛ-1ß, ИЛ-4, ИЛ-6, ИЛ-10, ФНО-α) сыворотки крови у пациентов с одонтогенным сепсисом при наличии хронической патологии, а </w:t>
      </w:r>
      <w:r>
        <w:rPr>
          <w:rFonts w:cs="Calibri"/>
          <w:sz w:val="28"/>
          <w:szCs w:val="28"/>
          <w:lang w:eastAsia="ar-SA"/>
        </w:rPr>
        <w:t>также</w:t>
      </w:r>
      <w:r w:rsidRPr="00124D89">
        <w:rPr>
          <w:rFonts w:cs="Calibri"/>
          <w:sz w:val="28"/>
          <w:szCs w:val="28"/>
          <w:lang w:eastAsia="ar-SA"/>
        </w:rPr>
        <w:t xml:space="preserve"> в отсутствии заболеваний внутренних органов, статисти</w:t>
      </w:r>
      <w:r>
        <w:rPr>
          <w:rFonts w:cs="Calibri"/>
          <w:sz w:val="28"/>
          <w:szCs w:val="28"/>
          <w:lang w:eastAsia="ar-SA"/>
        </w:rPr>
        <w:t>чески значимо не различаются (р&gt;</w:t>
      </w:r>
      <w:r w:rsidRPr="00124D89">
        <w:rPr>
          <w:rFonts w:cs="Calibri"/>
          <w:sz w:val="28"/>
          <w:szCs w:val="28"/>
          <w:lang w:eastAsia="ar-SA"/>
        </w:rPr>
        <w:t>0,05). Фоновая патология не оказывает сколь-нибудь значимого влияния на средние величины данных характеристик.</w:t>
      </w: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 xml:space="preserve">В сравнении со средними значениями показателей гуморального иммунитета и интерлейкинов </w:t>
      </w:r>
      <w:r w:rsidR="00EB47A5">
        <w:rPr>
          <w:rFonts w:cs="Calibri"/>
          <w:sz w:val="28"/>
          <w:szCs w:val="28"/>
          <w:lang w:eastAsia="ar-SA"/>
        </w:rPr>
        <w:t>под</w:t>
      </w:r>
      <w:r w:rsidRPr="00124D89">
        <w:rPr>
          <w:rFonts w:cs="Calibri"/>
          <w:sz w:val="28"/>
          <w:szCs w:val="28"/>
          <w:lang w:eastAsia="ar-SA"/>
        </w:rPr>
        <w:t xml:space="preserve">группы относительно здоровых индивидов у пациентов с одонтогенным сепсисом наблюдается активация выработки </w:t>
      </w:r>
      <w:r w:rsidRPr="00124D89">
        <w:rPr>
          <w:rFonts w:cs="Calibri"/>
          <w:sz w:val="28"/>
          <w:szCs w:val="28"/>
          <w:lang w:val="en-US" w:eastAsia="ar-SA"/>
        </w:rPr>
        <w:t>IgA</w:t>
      </w:r>
      <w:r w:rsidRPr="00124D89">
        <w:rPr>
          <w:rFonts w:cs="Calibri"/>
          <w:sz w:val="28"/>
          <w:szCs w:val="28"/>
          <w:lang w:eastAsia="ar-SA"/>
        </w:rPr>
        <w:t xml:space="preserve">, максимально выраженная при отсутствии фоновых заболеваний, увеличение концентрации </w:t>
      </w:r>
      <w:r w:rsidRPr="00124D89">
        <w:rPr>
          <w:rFonts w:cs="Calibri"/>
          <w:sz w:val="28"/>
          <w:szCs w:val="28"/>
          <w:lang w:val="en-US" w:eastAsia="ar-SA"/>
        </w:rPr>
        <w:t>IgM</w:t>
      </w:r>
      <w:r w:rsidRPr="00124D89">
        <w:rPr>
          <w:rFonts w:cs="Calibri"/>
          <w:sz w:val="28"/>
          <w:szCs w:val="28"/>
          <w:lang w:eastAsia="ar-SA"/>
        </w:rPr>
        <w:t xml:space="preserve">, наиболее существенное при наличии ХП. Наблюдается депрессия </w:t>
      </w:r>
      <w:r w:rsidRPr="00124D89">
        <w:rPr>
          <w:rFonts w:cs="Calibri"/>
          <w:sz w:val="28"/>
          <w:szCs w:val="28"/>
          <w:lang w:val="en-US" w:eastAsia="ar-SA"/>
        </w:rPr>
        <w:t>IgG</w:t>
      </w:r>
      <w:r w:rsidRPr="00124D89">
        <w:rPr>
          <w:rFonts w:cs="Calibri"/>
          <w:sz w:val="28"/>
          <w:szCs w:val="28"/>
          <w:lang w:eastAsia="ar-SA"/>
        </w:rPr>
        <w:t>, встречающаяся в основной и контрольной группах пациентов с ОС.</w:t>
      </w: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 xml:space="preserve">В целом, показатели гуморального иммунитета больных с одонтогенным сепсисом характеризуются разнонаправленным изменением показателей: угнетением выработки </w:t>
      </w:r>
      <w:r w:rsidRPr="00124D89">
        <w:rPr>
          <w:rFonts w:cs="Calibri"/>
          <w:sz w:val="28"/>
          <w:szCs w:val="28"/>
          <w:lang w:val="en-US" w:eastAsia="ar-SA"/>
        </w:rPr>
        <w:t>IgG</w:t>
      </w:r>
      <w:r w:rsidRPr="00124D89">
        <w:rPr>
          <w:rFonts w:cs="Calibri"/>
          <w:sz w:val="28"/>
          <w:szCs w:val="28"/>
          <w:lang w:eastAsia="ar-SA"/>
        </w:rPr>
        <w:t xml:space="preserve">, активацией синтеза </w:t>
      </w:r>
      <w:r w:rsidRPr="00124D89">
        <w:rPr>
          <w:rFonts w:cs="Calibri"/>
          <w:sz w:val="28"/>
          <w:szCs w:val="28"/>
          <w:lang w:val="en-US" w:eastAsia="ar-SA"/>
        </w:rPr>
        <w:t>IgA</w:t>
      </w:r>
      <w:r w:rsidRPr="00124D89">
        <w:rPr>
          <w:rFonts w:cs="Calibri"/>
          <w:sz w:val="28"/>
          <w:szCs w:val="28"/>
          <w:lang w:eastAsia="ar-SA"/>
        </w:rPr>
        <w:t xml:space="preserve"> и </w:t>
      </w:r>
      <w:r w:rsidRPr="00124D89">
        <w:rPr>
          <w:rFonts w:cs="Calibri"/>
          <w:sz w:val="28"/>
          <w:szCs w:val="28"/>
          <w:lang w:val="en-US" w:eastAsia="ar-SA"/>
        </w:rPr>
        <w:t>IgM</w:t>
      </w:r>
      <w:r w:rsidRPr="00124D89">
        <w:rPr>
          <w:rFonts w:cs="Calibri"/>
          <w:sz w:val="28"/>
          <w:szCs w:val="28"/>
          <w:lang w:eastAsia="ar-SA"/>
        </w:rPr>
        <w:t>.</w:t>
      </w: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 xml:space="preserve">Средние значения показателей концентрации про- и противовоспалительных интерлейкинов у пациентов с одонтогенным сепсисом </w:t>
      </w:r>
      <w:r w:rsidR="00660266">
        <w:rPr>
          <w:rFonts w:cs="Calibri"/>
          <w:sz w:val="28"/>
          <w:szCs w:val="28"/>
          <w:lang w:eastAsia="ar-SA"/>
        </w:rPr>
        <w:t>исследуемых подг</w:t>
      </w:r>
      <w:r w:rsidRPr="00124D89">
        <w:rPr>
          <w:rFonts w:cs="Calibri"/>
          <w:sz w:val="28"/>
          <w:szCs w:val="28"/>
          <w:lang w:eastAsia="ar-SA"/>
        </w:rPr>
        <w:t xml:space="preserve">рупп </w:t>
      </w:r>
      <w:r>
        <w:rPr>
          <w:rFonts w:cs="Calibri"/>
          <w:sz w:val="28"/>
          <w:szCs w:val="28"/>
          <w:lang w:eastAsia="ar-SA"/>
        </w:rPr>
        <w:t>также</w:t>
      </w:r>
      <w:r w:rsidRPr="00124D89">
        <w:rPr>
          <w:rFonts w:cs="Calibri"/>
          <w:sz w:val="28"/>
          <w:szCs w:val="28"/>
          <w:lang w:eastAsia="ar-SA"/>
        </w:rPr>
        <w:t xml:space="preserve"> не различаются. По сравнению с аналогичными показателями </w:t>
      </w:r>
      <w:r w:rsidR="00660266">
        <w:rPr>
          <w:rFonts w:cs="Calibri"/>
          <w:sz w:val="28"/>
          <w:szCs w:val="28"/>
          <w:lang w:eastAsia="ar-SA"/>
        </w:rPr>
        <w:t>под</w:t>
      </w:r>
      <w:r w:rsidRPr="00124D89">
        <w:rPr>
          <w:rFonts w:cs="Calibri"/>
          <w:sz w:val="28"/>
          <w:szCs w:val="28"/>
          <w:lang w:eastAsia="ar-SA"/>
        </w:rPr>
        <w:t>группы относительно здоровых индивидов, прослеживаются парадоксальные на первый взгляд изменения – прирост значений концентрации противовоспалительного ИЛ-10, уменьшение содержания провоспалительного ИЛ-1ß.</w:t>
      </w: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Данные изменения можно объяснить наличием у пациентов с одонтогенным сепсисом определенного догоспитального периода различной длительности, в те</w:t>
      </w:r>
      <w:r w:rsidRPr="00124D89">
        <w:rPr>
          <w:rFonts w:cs="Calibri"/>
          <w:sz w:val="28"/>
          <w:szCs w:val="28"/>
          <w:lang w:eastAsia="ar-SA"/>
        </w:rPr>
        <w:lastRenderedPageBreak/>
        <w:t>чение которого провоспалительные эффекты генерации сепсиса последовательно изменяются на противовоспалительные. Таким образом, пациенты с одонтогенным сепсисом (как это ни парадоксально!) поступают в стационар с более существенными противовоспалительными влияниями интерлейкинов, не зависящими от наличия фоновой патологии.</w:t>
      </w: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Рассмотрим показатели стационарного лечения пациентов с одонтогенным сепсисом. Детализированная характеристика эффективности стационарного лече</w:t>
      </w:r>
      <w:r>
        <w:rPr>
          <w:rFonts w:cs="Calibri"/>
          <w:sz w:val="28"/>
          <w:szCs w:val="28"/>
          <w:lang w:eastAsia="ar-SA"/>
        </w:rPr>
        <w:t>ния представлена в Таблице 41</w:t>
      </w:r>
      <w:r w:rsidRPr="00124D89">
        <w:rPr>
          <w:rFonts w:cs="Calibri"/>
          <w:sz w:val="28"/>
          <w:szCs w:val="28"/>
          <w:lang w:eastAsia="ar-SA"/>
        </w:rPr>
        <w:t>.</w:t>
      </w:r>
    </w:p>
    <w:p w:rsidR="00286780" w:rsidRPr="00124D89" w:rsidRDefault="00286780" w:rsidP="00124D89">
      <w:pPr>
        <w:jc w:val="both"/>
        <w:rPr>
          <w:rFonts w:cs="Calibri"/>
          <w:sz w:val="28"/>
          <w:szCs w:val="28"/>
          <w:lang w:eastAsia="ar-SA"/>
        </w:rPr>
      </w:pPr>
    </w:p>
    <w:p w:rsidR="00286780" w:rsidRPr="00124D89" w:rsidRDefault="00286780" w:rsidP="00124D89">
      <w:pPr>
        <w:spacing w:after="120"/>
        <w:jc w:val="both"/>
        <w:rPr>
          <w:sz w:val="28"/>
          <w:szCs w:val="28"/>
        </w:rPr>
      </w:pPr>
      <w:r w:rsidRPr="00124D89">
        <w:rPr>
          <w:b/>
          <w:sz w:val="28"/>
          <w:szCs w:val="28"/>
        </w:rPr>
        <w:t>Таблица 4</w:t>
      </w:r>
      <w:r>
        <w:rPr>
          <w:b/>
          <w:sz w:val="28"/>
          <w:szCs w:val="28"/>
        </w:rPr>
        <w:t>1</w:t>
      </w:r>
      <w:r w:rsidRPr="00124D89">
        <w:rPr>
          <w:sz w:val="28"/>
          <w:szCs w:val="28"/>
        </w:rPr>
        <w:t xml:space="preserve"> – Эффективность лечения пациентов с одонтогенным сепсисом</w:t>
      </w:r>
    </w:p>
    <w:tbl>
      <w:tblPr>
        <w:tblW w:w="9897" w:type="dxa"/>
        <w:tblInd w:w="108" w:type="dxa"/>
        <w:tblLayout w:type="fixed"/>
        <w:tblLook w:val="0000" w:firstRow="0" w:lastRow="0" w:firstColumn="0" w:lastColumn="0" w:noHBand="0" w:noVBand="0"/>
      </w:tblPr>
      <w:tblGrid>
        <w:gridCol w:w="3374"/>
        <w:gridCol w:w="3543"/>
        <w:gridCol w:w="2980"/>
      </w:tblGrid>
      <w:tr w:rsidR="00286780" w:rsidRPr="00124D89" w:rsidTr="00874414">
        <w:trPr>
          <w:trHeight w:val="227"/>
        </w:trPr>
        <w:tc>
          <w:tcPr>
            <w:tcW w:w="3374" w:type="dxa"/>
            <w:vMerge w:val="restart"/>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i/>
                <w:sz w:val="24"/>
                <w:szCs w:val="24"/>
                <w:lang w:eastAsia="ar-SA"/>
              </w:rPr>
            </w:pPr>
            <w:r w:rsidRPr="00124D89">
              <w:rPr>
                <w:rFonts w:cs="Calibri"/>
                <w:i/>
                <w:sz w:val="24"/>
                <w:szCs w:val="24"/>
                <w:lang w:eastAsia="ar-SA"/>
              </w:rPr>
              <w:t>Параметры</w:t>
            </w:r>
          </w:p>
        </w:tc>
        <w:tc>
          <w:tcPr>
            <w:tcW w:w="6523" w:type="dxa"/>
            <w:gridSpan w:val="2"/>
            <w:tcBorders>
              <w:top w:val="single" w:sz="4" w:space="0" w:color="000000"/>
              <w:left w:val="single" w:sz="4" w:space="0" w:color="000000"/>
              <w:bottom w:val="single" w:sz="4" w:space="0" w:color="000000"/>
              <w:right w:val="single" w:sz="4" w:space="0" w:color="000000"/>
            </w:tcBorders>
            <w:vAlign w:val="center"/>
          </w:tcPr>
          <w:p w:rsidR="00286780" w:rsidRPr="00124D89" w:rsidRDefault="00EB47A5" w:rsidP="00124D89">
            <w:pPr>
              <w:snapToGrid w:val="0"/>
              <w:jc w:val="center"/>
              <w:rPr>
                <w:rFonts w:cs="Calibri"/>
                <w:i/>
                <w:sz w:val="24"/>
                <w:szCs w:val="24"/>
                <w:lang w:eastAsia="ar-SA"/>
              </w:rPr>
            </w:pPr>
            <w:r>
              <w:rPr>
                <w:rFonts w:cs="Calibri"/>
                <w:i/>
                <w:sz w:val="24"/>
                <w:szCs w:val="24"/>
                <w:lang w:eastAsia="ar-SA"/>
              </w:rPr>
              <w:t>Под</w:t>
            </w:r>
            <w:r w:rsidR="00286780" w:rsidRPr="00124D89">
              <w:rPr>
                <w:rFonts w:cs="Calibri"/>
                <w:i/>
                <w:sz w:val="24"/>
                <w:szCs w:val="24"/>
                <w:lang w:eastAsia="ar-SA"/>
              </w:rPr>
              <w:t>руппы пациентов с одонтогенным сепсисом</w:t>
            </w:r>
          </w:p>
        </w:tc>
      </w:tr>
      <w:tr w:rsidR="00286780" w:rsidRPr="00124D89" w:rsidTr="00874414">
        <w:trPr>
          <w:trHeight w:val="227"/>
        </w:trPr>
        <w:tc>
          <w:tcPr>
            <w:tcW w:w="3374" w:type="dxa"/>
            <w:vMerge/>
            <w:tcBorders>
              <w:top w:val="single" w:sz="4" w:space="0" w:color="000000"/>
              <w:left w:val="single" w:sz="4" w:space="0" w:color="000000"/>
              <w:bottom w:val="single" w:sz="4" w:space="0" w:color="000000"/>
            </w:tcBorders>
          </w:tcPr>
          <w:p w:rsidR="00286780" w:rsidRPr="00124D89" w:rsidRDefault="00286780" w:rsidP="00124D89">
            <w:pPr>
              <w:snapToGrid w:val="0"/>
              <w:rPr>
                <w:rFonts w:cs="Calibri"/>
                <w:sz w:val="24"/>
                <w:szCs w:val="24"/>
                <w:lang w:eastAsia="ar-SA"/>
              </w:rPr>
            </w:pPr>
          </w:p>
        </w:tc>
        <w:tc>
          <w:tcPr>
            <w:tcW w:w="3543" w:type="dxa"/>
            <w:tcBorders>
              <w:top w:val="single" w:sz="4" w:space="0" w:color="000000"/>
              <w:left w:val="single" w:sz="4" w:space="0" w:color="000000"/>
              <w:bottom w:val="single" w:sz="4" w:space="0" w:color="000000"/>
            </w:tcBorders>
          </w:tcPr>
          <w:p w:rsidR="00286780" w:rsidRPr="00124D89" w:rsidRDefault="00EB47A5" w:rsidP="00124D89">
            <w:pPr>
              <w:snapToGrid w:val="0"/>
              <w:jc w:val="center"/>
              <w:rPr>
                <w:rFonts w:cs="Calibri"/>
                <w:sz w:val="24"/>
                <w:szCs w:val="24"/>
                <w:lang w:val="en-US" w:eastAsia="ar-SA"/>
              </w:rPr>
            </w:pPr>
            <w:r>
              <w:rPr>
                <w:rFonts w:cs="Calibri"/>
                <w:sz w:val="24"/>
                <w:szCs w:val="24"/>
                <w:lang w:eastAsia="ar-SA"/>
              </w:rPr>
              <w:t>Наличие ХП</w:t>
            </w:r>
            <w:r w:rsidR="00286780" w:rsidRPr="00124D89">
              <w:rPr>
                <w:rFonts w:cs="Calibri"/>
                <w:sz w:val="24"/>
                <w:szCs w:val="24"/>
                <w:lang w:val="en-US" w:eastAsia="ar-SA"/>
              </w:rPr>
              <w:t xml:space="preserve"> (n=36)</w:t>
            </w:r>
          </w:p>
        </w:tc>
        <w:tc>
          <w:tcPr>
            <w:tcW w:w="2980" w:type="dxa"/>
            <w:tcBorders>
              <w:top w:val="single" w:sz="4" w:space="0" w:color="000000"/>
              <w:left w:val="single" w:sz="4" w:space="0" w:color="000000"/>
              <w:bottom w:val="single" w:sz="4" w:space="0" w:color="000000"/>
              <w:right w:val="single" w:sz="4" w:space="0" w:color="000000"/>
            </w:tcBorders>
          </w:tcPr>
          <w:p w:rsidR="00286780" w:rsidRPr="00124D89" w:rsidRDefault="00EB47A5" w:rsidP="00124D89">
            <w:pPr>
              <w:snapToGrid w:val="0"/>
              <w:jc w:val="center"/>
              <w:rPr>
                <w:rFonts w:cs="Calibri"/>
                <w:sz w:val="24"/>
                <w:szCs w:val="24"/>
                <w:lang w:val="en-US" w:eastAsia="ar-SA"/>
              </w:rPr>
            </w:pPr>
            <w:r>
              <w:rPr>
                <w:rFonts w:cs="Calibri"/>
                <w:sz w:val="24"/>
                <w:szCs w:val="24"/>
                <w:lang w:eastAsia="ar-SA"/>
              </w:rPr>
              <w:t>Отсутствие ХП</w:t>
            </w:r>
            <w:r w:rsidR="00286780" w:rsidRPr="00124D89">
              <w:rPr>
                <w:rFonts w:cs="Calibri"/>
                <w:sz w:val="24"/>
                <w:szCs w:val="24"/>
                <w:lang w:val="en-US" w:eastAsia="ar-SA"/>
              </w:rPr>
              <w:t xml:space="preserve"> (n=30)</w:t>
            </w:r>
          </w:p>
        </w:tc>
      </w:tr>
      <w:tr w:rsidR="00286780" w:rsidRPr="00124D89" w:rsidTr="00874414">
        <w:trPr>
          <w:trHeight w:val="454"/>
        </w:trPr>
        <w:tc>
          <w:tcPr>
            <w:tcW w:w="3374"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rPr>
                <w:rFonts w:cs="Calibri"/>
                <w:sz w:val="24"/>
                <w:szCs w:val="24"/>
                <w:lang w:eastAsia="ar-SA"/>
              </w:rPr>
            </w:pPr>
            <w:r w:rsidRPr="00124D89">
              <w:rPr>
                <w:rFonts w:cs="Calibri"/>
                <w:sz w:val="24"/>
                <w:szCs w:val="24"/>
                <w:lang w:eastAsia="ar-SA"/>
              </w:rPr>
              <w:t xml:space="preserve">Средний койко-день </w:t>
            </w:r>
          </w:p>
        </w:tc>
        <w:tc>
          <w:tcPr>
            <w:tcW w:w="3543"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val="en-US" w:eastAsia="ar-SA"/>
              </w:rPr>
            </w:pPr>
            <w:r>
              <w:rPr>
                <w:rFonts w:cs="Calibri"/>
                <w:sz w:val="24"/>
                <w:szCs w:val="24"/>
                <w:lang w:eastAsia="ar-SA"/>
              </w:rPr>
              <w:t>20</w:t>
            </w:r>
            <w:r w:rsidRPr="00124D89">
              <w:rPr>
                <w:rFonts w:cs="Calibri"/>
                <w:sz w:val="24"/>
                <w:szCs w:val="24"/>
                <w:lang w:val="en-US" w:eastAsia="ar-SA"/>
              </w:rPr>
              <w:t>[</w:t>
            </w:r>
            <w:r>
              <w:rPr>
                <w:rFonts w:cs="Calibri"/>
                <w:sz w:val="24"/>
                <w:szCs w:val="24"/>
                <w:lang w:eastAsia="ar-SA"/>
              </w:rPr>
              <w:t>15;</w:t>
            </w:r>
            <w:r w:rsidRPr="00124D89">
              <w:rPr>
                <w:rFonts w:cs="Calibri"/>
                <w:sz w:val="24"/>
                <w:szCs w:val="24"/>
                <w:lang w:eastAsia="ar-SA"/>
              </w:rPr>
              <w:t>20</w:t>
            </w:r>
            <w:r w:rsidRPr="00124D89">
              <w:rPr>
                <w:rFonts w:cs="Calibri"/>
                <w:sz w:val="24"/>
                <w:szCs w:val="24"/>
                <w:lang w:val="en-US" w:eastAsia="ar-SA"/>
              </w:rPr>
              <w:t>]</w:t>
            </w:r>
          </w:p>
        </w:tc>
        <w:tc>
          <w:tcPr>
            <w:tcW w:w="2980" w:type="dxa"/>
            <w:tcBorders>
              <w:top w:val="single" w:sz="4" w:space="0" w:color="000000"/>
              <w:left w:val="single" w:sz="4" w:space="0" w:color="000000"/>
              <w:bottom w:val="single" w:sz="4" w:space="0" w:color="000000"/>
              <w:right w:val="single" w:sz="4" w:space="0" w:color="000000"/>
            </w:tcBorders>
            <w:vAlign w:val="center"/>
          </w:tcPr>
          <w:p w:rsidR="00286780" w:rsidRPr="00124D89" w:rsidRDefault="00286780" w:rsidP="00124D89">
            <w:pPr>
              <w:snapToGrid w:val="0"/>
              <w:jc w:val="center"/>
              <w:rPr>
                <w:rFonts w:cs="Calibri"/>
                <w:sz w:val="24"/>
                <w:szCs w:val="24"/>
                <w:lang w:val="en-US" w:eastAsia="ar-SA"/>
              </w:rPr>
            </w:pPr>
            <w:r>
              <w:rPr>
                <w:rFonts w:cs="Calibri"/>
                <w:sz w:val="24"/>
                <w:szCs w:val="24"/>
                <w:lang w:eastAsia="ar-SA"/>
              </w:rPr>
              <w:t>22</w:t>
            </w:r>
            <w:r w:rsidRPr="00124D89">
              <w:rPr>
                <w:rFonts w:cs="Calibri"/>
                <w:sz w:val="24"/>
                <w:szCs w:val="24"/>
                <w:lang w:val="en-US" w:eastAsia="ar-SA"/>
              </w:rPr>
              <w:t>[</w:t>
            </w:r>
            <w:r>
              <w:rPr>
                <w:rFonts w:cs="Calibri"/>
                <w:sz w:val="24"/>
                <w:szCs w:val="24"/>
                <w:lang w:eastAsia="ar-SA"/>
              </w:rPr>
              <w:t>14;</w:t>
            </w:r>
            <w:r w:rsidRPr="00124D89">
              <w:rPr>
                <w:rFonts w:cs="Calibri"/>
                <w:sz w:val="24"/>
                <w:szCs w:val="24"/>
                <w:lang w:eastAsia="ar-SA"/>
              </w:rPr>
              <w:t>25</w:t>
            </w:r>
            <w:r w:rsidRPr="00124D89">
              <w:rPr>
                <w:rFonts w:cs="Calibri"/>
                <w:sz w:val="24"/>
                <w:szCs w:val="24"/>
                <w:lang w:val="en-US" w:eastAsia="ar-SA"/>
              </w:rPr>
              <w:t>]</w:t>
            </w:r>
          </w:p>
        </w:tc>
      </w:tr>
      <w:tr w:rsidR="00286780" w:rsidRPr="00124D89" w:rsidTr="00874414">
        <w:trPr>
          <w:trHeight w:val="454"/>
        </w:trPr>
        <w:tc>
          <w:tcPr>
            <w:tcW w:w="3374"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rPr>
                <w:rFonts w:cs="Calibri"/>
                <w:sz w:val="24"/>
                <w:szCs w:val="24"/>
                <w:lang w:eastAsia="ar-SA"/>
              </w:rPr>
            </w:pPr>
            <w:r w:rsidRPr="00124D89">
              <w:rPr>
                <w:rFonts w:cs="Calibri"/>
                <w:sz w:val="24"/>
                <w:szCs w:val="24"/>
                <w:lang w:eastAsia="ar-SA"/>
              </w:rPr>
              <w:t>Осложнения (%)</w:t>
            </w:r>
          </w:p>
        </w:tc>
        <w:tc>
          <w:tcPr>
            <w:tcW w:w="3543"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i/>
                <w:sz w:val="24"/>
                <w:szCs w:val="24"/>
                <w:lang w:eastAsia="ar-SA"/>
              </w:rPr>
            </w:pPr>
            <w:r w:rsidRPr="00124D89">
              <w:rPr>
                <w:rFonts w:cs="Calibri"/>
                <w:i/>
                <w:sz w:val="24"/>
                <w:szCs w:val="24"/>
                <w:lang w:eastAsia="ar-SA"/>
              </w:rPr>
              <w:t>72,2*</w:t>
            </w:r>
          </w:p>
        </w:tc>
        <w:tc>
          <w:tcPr>
            <w:tcW w:w="2980" w:type="dxa"/>
            <w:tcBorders>
              <w:top w:val="single" w:sz="4" w:space="0" w:color="000000"/>
              <w:left w:val="single" w:sz="4" w:space="0" w:color="000000"/>
              <w:bottom w:val="single" w:sz="4" w:space="0" w:color="000000"/>
              <w:right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46,7</w:t>
            </w:r>
          </w:p>
        </w:tc>
      </w:tr>
      <w:tr w:rsidR="00286780" w:rsidRPr="00124D89" w:rsidTr="00874414">
        <w:trPr>
          <w:trHeight w:val="454"/>
        </w:trPr>
        <w:tc>
          <w:tcPr>
            <w:tcW w:w="3374"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rPr>
                <w:rFonts w:cs="Calibri"/>
                <w:sz w:val="24"/>
                <w:szCs w:val="24"/>
                <w:lang w:eastAsia="ar-SA"/>
              </w:rPr>
            </w:pPr>
            <w:r w:rsidRPr="00124D89">
              <w:rPr>
                <w:rFonts w:cs="Calibri"/>
                <w:sz w:val="24"/>
                <w:szCs w:val="24"/>
                <w:lang w:eastAsia="ar-SA"/>
              </w:rPr>
              <w:t>Летальность (%)</w:t>
            </w:r>
          </w:p>
        </w:tc>
        <w:tc>
          <w:tcPr>
            <w:tcW w:w="3543"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i/>
                <w:sz w:val="24"/>
                <w:szCs w:val="24"/>
                <w:lang w:eastAsia="ar-SA"/>
              </w:rPr>
            </w:pPr>
            <w:r w:rsidRPr="00124D89">
              <w:rPr>
                <w:rFonts w:cs="Calibri"/>
                <w:i/>
                <w:sz w:val="24"/>
                <w:szCs w:val="24"/>
                <w:lang w:eastAsia="ar-SA"/>
              </w:rPr>
              <w:t>38,9*</w:t>
            </w:r>
          </w:p>
        </w:tc>
        <w:tc>
          <w:tcPr>
            <w:tcW w:w="2980" w:type="dxa"/>
            <w:tcBorders>
              <w:top w:val="single" w:sz="4" w:space="0" w:color="000000"/>
              <w:left w:val="single" w:sz="4" w:space="0" w:color="000000"/>
              <w:bottom w:val="single" w:sz="4" w:space="0" w:color="000000"/>
              <w:right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6,7</w:t>
            </w:r>
          </w:p>
        </w:tc>
      </w:tr>
      <w:tr w:rsidR="00286780" w:rsidRPr="00124D89" w:rsidTr="00874414">
        <w:trPr>
          <w:trHeight w:val="454"/>
        </w:trPr>
        <w:tc>
          <w:tcPr>
            <w:tcW w:w="9897" w:type="dxa"/>
            <w:gridSpan w:val="3"/>
            <w:tcBorders>
              <w:top w:val="single" w:sz="4" w:space="0" w:color="000000"/>
              <w:left w:val="single" w:sz="4" w:space="0" w:color="000000"/>
              <w:bottom w:val="single" w:sz="4" w:space="0" w:color="000000"/>
              <w:right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i/>
                <w:sz w:val="24"/>
                <w:szCs w:val="24"/>
                <w:lang w:eastAsia="ar-SA"/>
              </w:rPr>
              <w:t>Примечание</w:t>
            </w:r>
            <w:r w:rsidRPr="00124D89">
              <w:rPr>
                <w:rFonts w:cs="Calibri"/>
                <w:sz w:val="24"/>
                <w:szCs w:val="24"/>
                <w:lang w:eastAsia="ar-SA"/>
              </w:rPr>
              <w:t>. * – различия статистически достоверны (</w:t>
            </w:r>
            <w:r w:rsidRPr="00124D89">
              <w:rPr>
                <w:rFonts w:cs="Calibri"/>
                <w:sz w:val="24"/>
                <w:szCs w:val="24"/>
                <w:lang w:val="en-US" w:eastAsia="ar-SA"/>
              </w:rPr>
              <w:t>p</w:t>
            </w:r>
            <w:r>
              <w:rPr>
                <w:rFonts w:cs="Calibri"/>
                <w:sz w:val="24"/>
                <w:szCs w:val="24"/>
                <w:lang w:eastAsia="ar-SA"/>
              </w:rPr>
              <w:t>&lt;</w:t>
            </w:r>
            <w:r w:rsidRPr="00124D89">
              <w:rPr>
                <w:rFonts w:cs="Calibri"/>
                <w:sz w:val="24"/>
                <w:szCs w:val="24"/>
                <w:lang w:eastAsia="ar-SA"/>
              </w:rPr>
              <w:t>0,05)</w:t>
            </w:r>
          </w:p>
        </w:tc>
      </w:tr>
    </w:tbl>
    <w:p w:rsidR="00286780" w:rsidRPr="00124D89" w:rsidRDefault="00286780" w:rsidP="00124D89">
      <w:pPr>
        <w:jc w:val="both"/>
        <w:rPr>
          <w:rFonts w:cs="Calibri"/>
          <w:sz w:val="28"/>
          <w:szCs w:val="28"/>
          <w:lang w:eastAsia="ar-SA"/>
        </w:rPr>
      </w:pP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 xml:space="preserve">Средний койко-день у </w:t>
      </w:r>
      <w:r w:rsidR="00EB47A5">
        <w:rPr>
          <w:rFonts w:cs="Calibri"/>
          <w:sz w:val="28"/>
          <w:szCs w:val="28"/>
          <w:lang w:eastAsia="ar-SA"/>
        </w:rPr>
        <w:t>пациентов исследуемых</w:t>
      </w:r>
      <w:r w:rsidRPr="00124D89">
        <w:rPr>
          <w:rFonts w:cs="Calibri"/>
          <w:sz w:val="28"/>
          <w:szCs w:val="28"/>
          <w:lang w:eastAsia="ar-SA"/>
        </w:rPr>
        <w:t xml:space="preserve"> </w:t>
      </w:r>
      <w:r w:rsidR="00EB47A5">
        <w:rPr>
          <w:rFonts w:cs="Calibri"/>
          <w:sz w:val="28"/>
          <w:szCs w:val="28"/>
          <w:lang w:eastAsia="ar-SA"/>
        </w:rPr>
        <w:t>под</w:t>
      </w:r>
      <w:r w:rsidRPr="00124D89">
        <w:rPr>
          <w:rFonts w:cs="Calibri"/>
          <w:sz w:val="28"/>
          <w:szCs w:val="28"/>
          <w:lang w:eastAsia="ar-SA"/>
        </w:rPr>
        <w:t>групп статистич</w:t>
      </w:r>
      <w:r>
        <w:rPr>
          <w:rFonts w:cs="Calibri"/>
          <w:sz w:val="28"/>
          <w:szCs w:val="28"/>
          <w:lang w:eastAsia="ar-SA"/>
        </w:rPr>
        <w:t>ески значимо не различается (р&gt;</w:t>
      </w:r>
      <w:r w:rsidRPr="00124D89">
        <w:rPr>
          <w:rFonts w:cs="Calibri"/>
          <w:sz w:val="28"/>
          <w:szCs w:val="28"/>
          <w:lang w:eastAsia="ar-SA"/>
        </w:rPr>
        <w:t>0,05).</w:t>
      </w:r>
    </w:p>
    <w:p w:rsidR="00286780" w:rsidRPr="00671AAF" w:rsidRDefault="00286780" w:rsidP="00124D89">
      <w:pPr>
        <w:spacing w:line="360" w:lineRule="auto"/>
        <w:ind w:firstLine="709"/>
        <w:jc w:val="both"/>
        <w:rPr>
          <w:rFonts w:cs="Calibri"/>
          <w:spacing w:val="-6"/>
          <w:sz w:val="28"/>
          <w:szCs w:val="28"/>
          <w:lang w:eastAsia="ar-SA"/>
        </w:rPr>
      </w:pPr>
      <w:r w:rsidRPr="00671AAF">
        <w:rPr>
          <w:rFonts w:cs="Calibri"/>
          <w:spacing w:val="-6"/>
          <w:sz w:val="28"/>
          <w:szCs w:val="28"/>
          <w:lang w:eastAsia="ar-SA"/>
        </w:rPr>
        <w:t xml:space="preserve">Существенные различия наблюдаются по показателям количества гнойно-воспалительных осложнений (распространение одонтогенного воспалительного процесса, развитие сепсиса, медиастинита, острой дыхательной недостаточности, аррозивного кровотечения, полиорганной недостаточности, отека легких и головного мозга) и летальности больных, </w:t>
      </w:r>
      <w:r w:rsidR="00EB47A5">
        <w:rPr>
          <w:rFonts w:cs="Calibri"/>
          <w:spacing w:val="-6"/>
          <w:sz w:val="28"/>
          <w:szCs w:val="28"/>
          <w:lang w:eastAsia="ar-SA"/>
        </w:rPr>
        <w:t>которые значимо выше в под</w:t>
      </w:r>
      <w:r w:rsidRPr="00671AAF">
        <w:rPr>
          <w:rFonts w:cs="Calibri"/>
          <w:spacing w:val="-6"/>
          <w:sz w:val="28"/>
          <w:szCs w:val="28"/>
          <w:lang w:eastAsia="ar-SA"/>
        </w:rPr>
        <w:t xml:space="preserve">группе </w:t>
      </w:r>
      <w:r w:rsidR="00EB47A5">
        <w:rPr>
          <w:rFonts w:cs="Calibri"/>
          <w:spacing w:val="-6"/>
          <w:sz w:val="28"/>
          <w:szCs w:val="28"/>
          <w:lang w:eastAsia="ar-SA"/>
        </w:rPr>
        <w:t xml:space="preserve">с ХП </w:t>
      </w:r>
      <w:r w:rsidRPr="00671AAF">
        <w:rPr>
          <w:rFonts w:cs="Calibri"/>
          <w:spacing w:val="-6"/>
          <w:sz w:val="28"/>
          <w:szCs w:val="28"/>
          <w:lang w:eastAsia="ar-SA"/>
        </w:rPr>
        <w:t>(</w:t>
      </w:r>
      <w:r w:rsidRPr="00671AAF">
        <w:rPr>
          <w:rFonts w:cs="Calibri"/>
          <w:spacing w:val="-6"/>
          <w:sz w:val="28"/>
          <w:szCs w:val="28"/>
          <w:lang w:val="en-US" w:eastAsia="ar-SA"/>
        </w:rPr>
        <w:t>p</w:t>
      </w:r>
      <w:r>
        <w:rPr>
          <w:rFonts w:cs="Calibri"/>
          <w:spacing w:val="-6"/>
          <w:sz w:val="28"/>
          <w:szCs w:val="28"/>
          <w:lang w:eastAsia="ar-SA"/>
        </w:rPr>
        <w:t>&lt;</w:t>
      </w:r>
      <w:r w:rsidRPr="00671AAF">
        <w:rPr>
          <w:rFonts w:cs="Calibri"/>
          <w:spacing w:val="-6"/>
          <w:sz w:val="28"/>
          <w:szCs w:val="28"/>
          <w:lang w:eastAsia="ar-SA"/>
        </w:rPr>
        <w:t>0,05), что иллюстрирует влияние хронической терапевтической патологии внутренних органов на течение основного патологического процесса – одонтогенного сепсиса.</w:t>
      </w: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Кро</w:t>
      </w:r>
      <w:r w:rsidR="00EB47A5">
        <w:rPr>
          <w:rFonts w:cs="Calibri"/>
          <w:sz w:val="28"/>
          <w:szCs w:val="28"/>
          <w:lang w:eastAsia="ar-SA"/>
        </w:rPr>
        <w:t>ме того, в</w:t>
      </w:r>
      <w:r w:rsidRPr="00124D89">
        <w:rPr>
          <w:rFonts w:cs="Calibri"/>
          <w:sz w:val="28"/>
          <w:szCs w:val="28"/>
          <w:lang w:eastAsia="ar-SA"/>
        </w:rPr>
        <w:t xml:space="preserve"> </w:t>
      </w:r>
      <w:r w:rsidR="00EB47A5">
        <w:rPr>
          <w:rFonts w:cs="Calibri"/>
          <w:sz w:val="28"/>
          <w:szCs w:val="28"/>
          <w:lang w:eastAsia="ar-SA"/>
        </w:rPr>
        <w:t>под</w:t>
      </w:r>
      <w:r w:rsidRPr="00124D89">
        <w:rPr>
          <w:rFonts w:cs="Calibri"/>
          <w:sz w:val="28"/>
          <w:szCs w:val="28"/>
          <w:lang w:eastAsia="ar-SA"/>
        </w:rPr>
        <w:t>группах пациентов с одонтогенным сепсисом следует выделить отдельную когорту больных, которые поступали в стационар с местной формой одонтогенной инфекции (МФОИ), но в процессе лечения развилось значимое жизнеугрожающее осложнение – сепсис, и в последующем данные пациенты рассматривались как септические. В контрольной группе выявлено 10 больных с сепсисом, развившимся в стационаре (33,3%), в основной группе – восемь паци</w:t>
      </w:r>
      <w:r w:rsidRPr="00124D89">
        <w:rPr>
          <w:rFonts w:cs="Calibri"/>
          <w:sz w:val="28"/>
          <w:szCs w:val="28"/>
          <w:lang w:eastAsia="ar-SA"/>
        </w:rPr>
        <w:lastRenderedPageBreak/>
        <w:t>ентов (22,2%), что указывает на отсутствие статистически значимых раз</w:t>
      </w:r>
      <w:r>
        <w:rPr>
          <w:rFonts w:cs="Calibri"/>
          <w:sz w:val="28"/>
          <w:szCs w:val="28"/>
          <w:lang w:eastAsia="ar-SA"/>
        </w:rPr>
        <w:t>личий по данному показателю (р&gt;</w:t>
      </w:r>
      <w:r w:rsidRPr="00124D89">
        <w:rPr>
          <w:rFonts w:cs="Calibri"/>
          <w:sz w:val="28"/>
          <w:szCs w:val="28"/>
          <w:lang w:eastAsia="ar-SA"/>
        </w:rPr>
        <w:t>0,05), то есть наличие хронической патологии не оказывает существенного влияния на процесс генерализации одонтогенной инфекции.</w:t>
      </w:r>
    </w:p>
    <w:p w:rsidR="00286780" w:rsidRPr="00124D89" w:rsidRDefault="00286780" w:rsidP="00124D89">
      <w:pPr>
        <w:spacing w:line="360" w:lineRule="auto"/>
        <w:ind w:firstLine="709"/>
        <w:jc w:val="both"/>
        <w:rPr>
          <w:rFonts w:cs="Calibri"/>
          <w:sz w:val="28"/>
          <w:szCs w:val="28"/>
          <w:lang w:eastAsia="ar-SA"/>
        </w:rPr>
      </w:pPr>
      <w:r w:rsidRPr="00124D89">
        <w:rPr>
          <w:rFonts w:cs="Calibri"/>
          <w:b/>
          <w:sz w:val="28"/>
          <w:szCs w:val="28"/>
          <w:lang w:eastAsia="ar-SA"/>
        </w:rPr>
        <w:t>Резюме</w:t>
      </w:r>
      <w:r w:rsidRPr="00124D89">
        <w:rPr>
          <w:rFonts w:cs="Calibri"/>
          <w:sz w:val="28"/>
          <w:szCs w:val="28"/>
          <w:lang w:eastAsia="ar-SA"/>
        </w:rPr>
        <w:t>. У пациентов с одонтогенным сепсисом хроническая патология внутренних органов диагностирована в 54,5% случаев. Характерно вовлечение в острый воспалительный процесс 4–9 клетчаточных пространств челюстно-лицевой области (81,8%), причем данная величина не зависит от наличия или отсутствия хронической п</w:t>
      </w:r>
      <w:r>
        <w:rPr>
          <w:rFonts w:cs="Calibri"/>
          <w:sz w:val="28"/>
          <w:szCs w:val="28"/>
          <w:lang w:eastAsia="ar-SA"/>
        </w:rPr>
        <w:t>атологии внутренних органов (р&gt;</w:t>
      </w:r>
      <w:r w:rsidRPr="00124D89">
        <w:rPr>
          <w:rFonts w:cs="Calibri"/>
          <w:sz w:val="28"/>
          <w:szCs w:val="28"/>
          <w:lang w:eastAsia="ar-SA"/>
        </w:rPr>
        <w:t xml:space="preserve">0,05). Показатели догоспитального периода (продолжительность периода от появления первых признаков воспалительного процесса до поступления в стационар, проводимое лечение гнойно-воспалительного процесса) у больных с одонтогенным сепсисом не находятся в зависимости от наличия хронических заболеваний (р&gt; 0,05), в целом характерно неэффективное амбулаторное лечение у стоматолога по месту жительства с последующим развитием сепсиса (более 50% пациентов). Септический шок развивается у пациентов с хроническими заболеваниями внутренних органов значительно чаще, чем при отсутствии хронической патологии </w:t>
      </w:r>
      <w:r>
        <w:rPr>
          <w:rFonts w:cs="Calibri"/>
          <w:sz w:val="28"/>
          <w:szCs w:val="28"/>
          <w:lang w:eastAsia="ar-SA"/>
        </w:rPr>
        <w:t>(33,3% и 10% соответственно, р&lt;</w:t>
      </w:r>
      <w:r w:rsidRPr="00124D89">
        <w:rPr>
          <w:rFonts w:cs="Calibri"/>
          <w:sz w:val="28"/>
          <w:szCs w:val="28"/>
          <w:lang w:eastAsia="ar-SA"/>
        </w:rPr>
        <w:t xml:space="preserve">0,05), в связи с чем можно констатировать существенное влияние хронической терапевтической патологии на течение основного патологического процесса – одонтогенного сепсиса, что позволяет обозначить наблюдаемые нозологические единицы как </w:t>
      </w:r>
      <w:r w:rsidRPr="00124D89">
        <w:rPr>
          <w:rFonts w:cs="Calibri"/>
          <w:i/>
          <w:sz w:val="28"/>
          <w:szCs w:val="28"/>
          <w:lang w:eastAsia="ar-SA"/>
        </w:rPr>
        <w:t>фоновые</w:t>
      </w:r>
      <w:r w:rsidRPr="00124D89">
        <w:rPr>
          <w:rFonts w:cs="Calibri"/>
          <w:sz w:val="28"/>
          <w:szCs w:val="28"/>
          <w:lang w:eastAsia="ar-SA"/>
        </w:rPr>
        <w:t>. Контактный одонтогенный медиастинит (КОМ) диагностирован у 31,8% пациентов с одонтогенным сепсисом, развивается одинаково часто как при наличии фоновых заболеван</w:t>
      </w:r>
      <w:r>
        <w:rPr>
          <w:rFonts w:cs="Calibri"/>
          <w:sz w:val="28"/>
          <w:szCs w:val="28"/>
          <w:lang w:eastAsia="ar-SA"/>
        </w:rPr>
        <w:t>ий, так и при их отсутствии (р&gt;</w:t>
      </w:r>
      <w:r w:rsidRPr="00124D89">
        <w:rPr>
          <w:rFonts w:cs="Calibri"/>
          <w:sz w:val="28"/>
          <w:szCs w:val="28"/>
          <w:lang w:eastAsia="ar-SA"/>
        </w:rPr>
        <w:t>0,05). Средние значения показателей гемодинамики, клеточного и биохимического состава крови у пациентов с одонтогенным сепсисом характеризуются понижением артериального давления, тахикардией, тахипноэ, анемией, существенным лейкоцитозом более 20×10</w:t>
      </w:r>
      <w:r w:rsidRPr="00124D89">
        <w:rPr>
          <w:rFonts w:cs="Calibri"/>
          <w:sz w:val="28"/>
          <w:szCs w:val="28"/>
          <w:vertAlign w:val="superscript"/>
          <w:lang w:eastAsia="ar-SA"/>
        </w:rPr>
        <w:t>9</w:t>
      </w:r>
      <w:r w:rsidRPr="00124D89">
        <w:rPr>
          <w:rFonts w:cs="Calibri"/>
          <w:sz w:val="28"/>
          <w:szCs w:val="28"/>
          <w:lang w:eastAsia="ar-SA"/>
        </w:rPr>
        <w:t>/л, гипопротеинемией, увеличением концентрации азотистых оснований (мочевины, креатинина), гипергликемией и гиперлактатемией. У пациентов с одонтогенным сепсисом и фоновой патологией наблюдаются более глубокие и существенные изменения показателей гомеостаза, чем в отсутствии фоновых заболеваний – выраженная анемия, повышение концентра</w:t>
      </w:r>
      <w:r w:rsidRPr="00124D89">
        <w:rPr>
          <w:rFonts w:cs="Calibri"/>
          <w:sz w:val="28"/>
          <w:szCs w:val="28"/>
          <w:lang w:eastAsia="ar-SA"/>
        </w:rPr>
        <w:lastRenderedPageBreak/>
        <w:t>ции мочевины, статисти</w:t>
      </w:r>
      <w:r>
        <w:rPr>
          <w:rFonts w:cs="Calibri"/>
          <w:sz w:val="28"/>
          <w:szCs w:val="28"/>
          <w:lang w:eastAsia="ar-SA"/>
        </w:rPr>
        <w:t>чески значимые изменения рН (р&lt;</w:t>
      </w:r>
      <w:r w:rsidRPr="00124D89">
        <w:rPr>
          <w:rFonts w:cs="Calibri"/>
          <w:sz w:val="28"/>
          <w:szCs w:val="28"/>
          <w:lang w:eastAsia="ar-SA"/>
        </w:rPr>
        <w:t>0,05). В группе больных с одонтогенным сепсисом и фоновыми заболеваниями наблюда</w:t>
      </w:r>
      <w:r>
        <w:rPr>
          <w:rFonts w:cs="Calibri"/>
          <w:sz w:val="28"/>
          <w:szCs w:val="28"/>
          <w:lang w:eastAsia="ar-SA"/>
        </w:rPr>
        <w:t>ется статистически значимое (р&lt;</w:t>
      </w:r>
      <w:r w:rsidRPr="00124D89">
        <w:rPr>
          <w:rFonts w:cs="Calibri"/>
          <w:sz w:val="28"/>
          <w:szCs w:val="28"/>
          <w:lang w:eastAsia="ar-SA"/>
        </w:rPr>
        <w:t>0,05) повышение уровня летальности (38,9%) и прирост распространенности осложнений гнойно-воспалительного процесса (69,4%). Наличие фоновой патологии не оказывает существенного влияния на процесс генерализации инфекции (развитие сепсиса) (р&gt; 0,05). Наличие фоновой патологии не оказывает статистически значимого влияния на показатели клеточного (абсолютное содержание лимфоцитов в 1 мкл. крови) и гуморального (</w:t>
      </w:r>
      <w:r w:rsidRPr="00124D89">
        <w:rPr>
          <w:rFonts w:cs="Calibri"/>
          <w:sz w:val="28"/>
          <w:szCs w:val="28"/>
          <w:lang w:val="en-US" w:eastAsia="ar-SA"/>
        </w:rPr>
        <w:t>IgA</w:t>
      </w:r>
      <w:r w:rsidRPr="00124D89">
        <w:rPr>
          <w:rFonts w:cs="Calibri"/>
          <w:sz w:val="28"/>
          <w:szCs w:val="28"/>
          <w:lang w:eastAsia="ar-SA"/>
        </w:rPr>
        <w:t xml:space="preserve">, </w:t>
      </w:r>
      <w:r w:rsidRPr="00124D89">
        <w:rPr>
          <w:rFonts w:cs="Calibri"/>
          <w:sz w:val="28"/>
          <w:szCs w:val="28"/>
          <w:lang w:val="en-US" w:eastAsia="ar-SA"/>
        </w:rPr>
        <w:t>IgM</w:t>
      </w:r>
      <w:r w:rsidRPr="00124D89">
        <w:rPr>
          <w:rFonts w:cs="Calibri"/>
          <w:sz w:val="28"/>
          <w:szCs w:val="28"/>
          <w:lang w:eastAsia="ar-SA"/>
        </w:rPr>
        <w:t xml:space="preserve">, </w:t>
      </w:r>
      <w:r w:rsidRPr="00124D89">
        <w:rPr>
          <w:rFonts w:cs="Calibri"/>
          <w:sz w:val="28"/>
          <w:szCs w:val="28"/>
          <w:lang w:val="en-US" w:eastAsia="ar-SA"/>
        </w:rPr>
        <w:t>IgG</w:t>
      </w:r>
      <w:r w:rsidRPr="00124D89">
        <w:rPr>
          <w:rFonts w:cs="Calibri"/>
          <w:sz w:val="28"/>
          <w:szCs w:val="28"/>
          <w:lang w:eastAsia="ar-SA"/>
        </w:rPr>
        <w:t>) иммунитета, концентрацию интерлейкинов (ИЛ-1ß, ИЛ-4, ИЛ-6, ИЛ-10, ФНО-α) у пациент</w:t>
      </w:r>
      <w:r>
        <w:rPr>
          <w:rFonts w:cs="Calibri"/>
          <w:sz w:val="28"/>
          <w:szCs w:val="28"/>
          <w:lang w:eastAsia="ar-SA"/>
        </w:rPr>
        <w:t>ов с одонтогенным сепсисом (р&gt;</w:t>
      </w:r>
      <w:r w:rsidRPr="00124D89">
        <w:rPr>
          <w:rFonts w:cs="Calibri"/>
          <w:sz w:val="28"/>
          <w:szCs w:val="28"/>
          <w:lang w:eastAsia="ar-SA"/>
        </w:rPr>
        <w:t xml:space="preserve">0,05). Полиорганная полиморбидная </w:t>
      </w:r>
      <w:r w:rsidR="00277CF2">
        <w:rPr>
          <w:rFonts w:cs="Calibri"/>
          <w:sz w:val="28"/>
          <w:szCs w:val="28"/>
          <w:lang w:eastAsia="ar-SA"/>
        </w:rPr>
        <w:t xml:space="preserve">фоновая </w:t>
      </w:r>
      <w:r w:rsidRPr="00124D89">
        <w:rPr>
          <w:rFonts w:cs="Calibri"/>
          <w:sz w:val="28"/>
          <w:szCs w:val="28"/>
          <w:lang w:eastAsia="ar-SA"/>
        </w:rPr>
        <w:t>патология диагностирована у 63,9% больных с ОС и ХП внутренних органов</w:t>
      </w:r>
      <w:r w:rsidR="007175A4">
        <w:rPr>
          <w:rFonts w:cs="Calibri"/>
          <w:sz w:val="28"/>
          <w:szCs w:val="28"/>
          <w:lang w:eastAsia="ar-SA"/>
        </w:rPr>
        <w:t xml:space="preserve">, </w:t>
      </w:r>
      <w:r w:rsidR="00385C2B">
        <w:rPr>
          <w:rFonts w:cs="Calibri"/>
          <w:sz w:val="28"/>
          <w:szCs w:val="28"/>
          <w:lang w:eastAsia="ar-SA"/>
        </w:rPr>
        <w:t xml:space="preserve">то есть </w:t>
      </w:r>
      <w:r w:rsidR="007175A4">
        <w:rPr>
          <w:rFonts w:cs="Calibri"/>
          <w:sz w:val="28"/>
          <w:szCs w:val="28"/>
          <w:lang w:eastAsia="ar-SA"/>
        </w:rPr>
        <w:t>сепсис с полиорганной фоновой ХП встречается статистически значимо чаще, чем сепсис с ХП, не являющейся полиорганной (</w:t>
      </w:r>
      <w:r w:rsidR="007175A4" w:rsidRPr="007175A4">
        <w:rPr>
          <w:rFonts w:cs="Calibri"/>
          <w:sz w:val="28"/>
          <w:szCs w:val="28"/>
          <w:lang w:eastAsia="ar-SA"/>
        </w:rPr>
        <w:t>р&lt;</w:t>
      </w:r>
      <w:r w:rsidR="007175A4">
        <w:rPr>
          <w:rFonts w:cs="Calibri"/>
          <w:sz w:val="28"/>
          <w:szCs w:val="28"/>
          <w:lang w:eastAsia="ar-SA"/>
        </w:rPr>
        <w:t>0,05)</w:t>
      </w:r>
      <w:r w:rsidR="00385C2B">
        <w:rPr>
          <w:rFonts w:cs="Calibri"/>
          <w:sz w:val="28"/>
          <w:szCs w:val="28"/>
          <w:lang w:eastAsia="ar-SA"/>
        </w:rPr>
        <w:t xml:space="preserve">, и наблюдается статистически значимо чаще, чем полиорганная фоновая ХП у пациентов с МФОИ </w:t>
      </w:r>
      <w:r w:rsidR="00385C2B" w:rsidRPr="00385C2B">
        <w:rPr>
          <w:rFonts w:cs="Calibri"/>
          <w:sz w:val="28"/>
          <w:szCs w:val="28"/>
          <w:lang w:eastAsia="ar-SA"/>
        </w:rPr>
        <w:t>(р&lt;0,05)</w:t>
      </w:r>
      <w:r w:rsidRPr="00124D89">
        <w:rPr>
          <w:rFonts w:cs="Calibri"/>
          <w:sz w:val="28"/>
          <w:szCs w:val="28"/>
          <w:lang w:eastAsia="ar-SA"/>
        </w:rPr>
        <w:t>.</w:t>
      </w:r>
    </w:p>
    <w:p w:rsidR="00286780" w:rsidRDefault="00286780">
      <w:pPr>
        <w:rPr>
          <w:sz w:val="28"/>
          <w:szCs w:val="28"/>
          <w:lang w:eastAsia="en-US"/>
        </w:rPr>
      </w:pPr>
      <w:r>
        <w:rPr>
          <w:sz w:val="28"/>
          <w:szCs w:val="28"/>
          <w:lang w:eastAsia="en-US"/>
        </w:rPr>
        <w:br w:type="page"/>
      </w:r>
    </w:p>
    <w:p w:rsidR="00286780" w:rsidRDefault="00286780" w:rsidP="00124D89">
      <w:pPr>
        <w:pStyle w:val="10"/>
      </w:pPr>
      <w:bookmarkStart w:id="22" w:name="_Toc67905704"/>
      <w:r w:rsidRPr="00124D89">
        <w:t>Глава 4. В</w:t>
      </w:r>
      <w:r>
        <w:t>ТОРОЙ БЛОК ИССЛЕДОВАНИЙ</w:t>
      </w:r>
      <w:bookmarkEnd w:id="22"/>
    </w:p>
    <w:p w:rsidR="00286780" w:rsidRPr="00124D89" w:rsidRDefault="00286780" w:rsidP="00124D89">
      <w:pPr>
        <w:jc w:val="both"/>
        <w:rPr>
          <w:sz w:val="28"/>
          <w:szCs w:val="28"/>
          <w:lang w:eastAsia="en-US"/>
        </w:rPr>
      </w:pPr>
    </w:p>
    <w:p w:rsidR="00286780" w:rsidRPr="00457501" w:rsidRDefault="00286780" w:rsidP="00457501">
      <w:pPr>
        <w:pStyle w:val="20"/>
        <w:spacing w:line="360" w:lineRule="auto"/>
        <w:jc w:val="both"/>
      </w:pPr>
      <w:bookmarkStart w:id="23" w:name="_Toc67905705"/>
      <w:r w:rsidRPr="00124D89">
        <w:t>4.1. Характеристика местной формы одонтогенной инфекции, развивающейся на фоне хронической полиморбидной полиорганной патологии. Фоновые заболевания и синдром взаимного отягощения</w:t>
      </w:r>
      <w:bookmarkEnd w:id="23"/>
    </w:p>
    <w:p w:rsidR="00286780" w:rsidRPr="00124D89" w:rsidRDefault="00286780" w:rsidP="00457501">
      <w:pPr>
        <w:spacing w:line="360" w:lineRule="auto"/>
        <w:ind w:firstLine="709"/>
        <w:jc w:val="both"/>
        <w:rPr>
          <w:rFonts w:cs="Calibri"/>
          <w:sz w:val="28"/>
          <w:szCs w:val="28"/>
          <w:lang w:eastAsia="ar-SA"/>
        </w:rPr>
      </w:pPr>
      <w:r w:rsidRPr="00124D89">
        <w:rPr>
          <w:rFonts w:cs="Calibri"/>
          <w:sz w:val="28"/>
          <w:szCs w:val="28"/>
          <w:lang w:eastAsia="ar-SA"/>
        </w:rPr>
        <w:t>Обследован 81 пациент с МФОИ и полиморбидными полиорганными (полисистемными и моносистемными) заболеваниями сердечно-сосудистой, дыхательной, эндокринной, мочевыделительной систем, пищеварительной системы и печени, злокачественными новообразованиями, ВИЧ, гепатитами «В» и «С».</w:t>
      </w: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Местная форма одонтогенной инфекции представлена абсцессами челюстно-лицевой области (41 пациент; 50,6%), флегмонами в пределах 1–3 клетчаточных пространств (35 больных; 43,2%), острым одонтогенным остеомиелитом, обострением хронического одонтогенного остеомиелита (пять пациентов; 6,2%).</w:t>
      </w:r>
    </w:p>
    <w:p w:rsidR="00286780"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Нозологическая характеристика полиморбидной полиорганно</w:t>
      </w:r>
      <w:r>
        <w:rPr>
          <w:rFonts w:cs="Calibri"/>
          <w:sz w:val="28"/>
          <w:szCs w:val="28"/>
          <w:lang w:eastAsia="ar-SA"/>
        </w:rPr>
        <w:t>й патологии указана в Таблице 42</w:t>
      </w:r>
      <w:r w:rsidRPr="00124D89">
        <w:rPr>
          <w:rFonts w:cs="Calibri"/>
          <w:sz w:val="28"/>
          <w:szCs w:val="28"/>
          <w:lang w:eastAsia="ar-SA"/>
        </w:rPr>
        <w:t xml:space="preserve">. </w:t>
      </w:r>
    </w:p>
    <w:p w:rsidR="00286780"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 xml:space="preserve">Больные с МФОИ сгруппированы в соответствии с характером превалирующей хронической патологии (заболевания сердечно-сосудистой системы, сахарный диабет, заболевания органов дыхания, болезни печени, ВИЧ). При подсчете индекса полиморбидности учитывались </w:t>
      </w:r>
      <w:r>
        <w:rPr>
          <w:rFonts w:cs="Calibri"/>
          <w:sz w:val="28"/>
          <w:szCs w:val="28"/>
          <w:lang w:eastAsia="ar-SA"/>
        </w:rPr>
        <w:t>также</w:t>
      </w:r>
      <w:r w:rsidRPr="00124D89">
        <w:rPr>
          <w:rFonts w:cs="Calibri"/>
          <w:sz w:val="28"/>
          <w:szCs w:val="28"/>
          <w:lang w:eastAsia="ar-SA"/>
        </w:rPr>
        <w:t xml:space="preserve"> сопутствующие заболевания (хронический необструктивный бронхит (</w:t>
      </w:r>
      <w:r w:rsidRPr="00124D89">
        <w:rPr>
          <w:rFonts w:cs="Calibri"/>
          <w:sz w:val="28"/>
          <w:szCs w:val="28"/>
          <w:lang w:val="en-US" w:eastAsia="ar-SA"/>
        </w:rPr>
        <w:t>J</w:t>
      </w:r>
      <w:r w:rsidRPr="00124D89">
        <w:rPr>
          <w:rFonts w:cs="Calibri"/>
          <w:sz w:val="28"/>
          <w:szCs w:val="28"/>
          <w:lang w:eastAsia="ar-SA"/>
        </w:rPr>
        <w:t>42), хронический гастрит (</w:t>
      </w:r>
      <w:r w:rsidRPr="00124D89">
        <w:rPr>
          <w:rFonts w:cs="Calibri"/>
          <w:sz w:val="28"/>
          <w:szCs w:val="28"/>
          <w:lang w:val="en-US" w:eastAsia="ar-SA"/>
        </w:rPr>
        <w:t>K</w:t>
      </w:r>
      <w:r w:rsidRPr="00124D89">
        <w:rPr>
          <w:rFonts w:cs="Calibri"/>
          <w:sz w:val="28"/>
          <w:szCs w:val="28"/>
          <w:lang w:eastAsia="ar-SA"/>
        </w:rPr>
        <w:t>29), остеоартроз (</w:t>
      </w:r>
      <w:r w:rsidRPr="00124D89">
        <w:rPr>
          <w:rFonts w:cs="Calibri"/>
          <w:sz w:val="28"/>
          <w:szCs w:val="28"/>
          <w:lang w:val="en-US" w:eastAsia="ar-SA"/>
        </w:rPr>
        <w:t>M</w:t>
      </w:r>
      <w:r w:rsidRPr="00124D89">
        <w:rPr>
          <w:rFonts w:cs="Calibri"/>
          <w:sz w:val="28"/>
          <w:szCs w:val="28"/>
          <w:lang w:eastAsia="ar-SA"/>
        </w:rPr>
        <w:t>15-</w:t>
      </w:r>
      <w:r w:rsidRPr="00124D89">
        <w:rPr>
          <w:rFonts w:cs="Calibri"/>
          <w:sz w:val="28"/>
          <w:szCs w:val="28"/>
          <w:lang w:val="en-US" w:eastAsia="ar-SA"/>
        </w:rPr>
        <w:t>M</w:t>
      </w:r>
      <w:r w:rsidRPr="00124D89">
        <w:rPr>
          <w:rFonts w:cs="Calibri"/>
          <w:sz w:val="28"/>
          <w:szCs w:val="28"/>
          <w:lang w:eastAsia="ar-SA"/>
        </w:rPr>
        <w:t xml:space="preserve">19), </w:t>
      </w:r>
      <w:r w:rsidR="00C55ECF">
        <w:rPr>
          <w:sz w:val="28"/>
          <w:szCs w:val="28"/>
          <w:lang w:eastAsia="ar-SA"/>
        </w:rPr>
        <w:t>мочекаменная болезнь или</w:t>
      </w:r>
      <w:r w:rsidRPr="00124D89">
        <w:rPr>
          <w:sz w:val="28"/>
          <w:szCs w:val="28"/>
          <w:lang w:eastAsia="ar-SA"/>
        </w:rPr>
        <w:t xml:space="preserve"> хронический пиелонефрит (</w:t>
      </w:r>
      <w:r w:rsidRPr="00124D89">
        <w:rPr>
          <w:sz w:val="28"/>
          <w:szCs w:val="28"/>
          <w:lang w:val="en-US" w:eastAsia="ar-SA"/>
        </w:rPr>
        <w:t>N</w:t>
      </w:r>
      <w:r w:rsidRPr="00124D89">
        <w:rPr>
          <w:sz w:val="28"/>
          <w:szCs w:val="28"/>
          <w:lang w:eastAsia="ar-SA"/>
        </w:rPr>
        <w:t>20-</w:t>
      </w:r>
      <w:r w:rsidRPr="00124D89">
        <w:rPr>
          <w:sz w:val="28"/>
          <w:szCs w:val="28"/>
          <w:lang w:val="en-US" w:eastAsia="ar-SA"/>
        </w:rPr>
        <w:t>N</w:t>
      </w:r>
      <w:r w:rsidRPr="00124D89">
        <w:rPr>
          <w:sz w:val="28"/>
          <w:szCs w:val="28"/>
          <w:lang w:eastAsia="ar-SA"/>
        </w:rPr>
        <w:t xml:space="preserve">23, </w:t>
      </w:r>
      <w:r w:rsidRPr="00124D89">
        <w:rPr>
          <w:sz w:val="28"/>
          <w:szCs w:val="28"/>
          <w:lang w:val="en-US" w:eastAsia="ar-SA"/>
        </w:rPr>
        <w:t>N</w:t>
      </w:r>
      <w:r w:rsidRPr="00124D89">
        <w:rPr>
          <w:sz w:val="28"/>
          <w:szCs w:val="28"/>
          <w:lang w:eastAsia="ar-SA"/>
        </w:rPr>
        <w:t>11) без явлений почечной недостаточности</w:t>
      </w:r>
      <w:r w:rsidRPr="00124D89">
        <w:rPr>
          <w:rFonts w:cs="Calibri"/>
          <w:sz w:val="28"/>
          <w:szCs w:val="28"/>
          <w:lang w:eastAsia="ar-SA"/>
        </w:rPr>
        <w:t>). МФОИ в структуру терапевтической полиморбидности не входит, так как является острым хирургическим заболеванием.</w:t>
      </w:r>
    </w:p>
    <w:p w:rsidR="00286780" w:rsidRPr="002F2A16" w:rsidRDefault="00286780" w:rsidP="002F2A16">
      <w:pPr>
        <w:spacing w:line="360" w:lineRule="auto"/>
        <w:ind w:firstLine="709"/>
        <w:jc w:val="both"/>
        <w:rPr>
          <w:rFonts w:cs="Calibri"/>
          <w:sz w:val="28"/>
          <w:szCs w:val="28"/>
          <w:lang w:eastAsia="ar-SA"/>
        </w:rPr>
      </w:pPr>
      <w:r w:rsidRPr="00124D89">
        <w:rPr>
          <w:rFonts w:cs="Calibri"/>
          <w:sz w:val="28"/>
          <w:szCs w:val="28"/>
          <w:lang w:eastAsia="ar-SA"/>
        </w:rPr>
        <w:t>Чаще всего у пациентов с МФОИ диагностирована полиморбидная патология сердечно-сосудистой системы, в том числе в сочетании с ожирением (50,6%). Несколько реже наблюдается сахарный диабет (2-й тип) и заболевания сердечно-сосудистой системы (артериальная гипертония, различные формы ИБС) – 30,9%. Иные формы полиморбидной патологии отмечены еще реже – менее 20% в совокупности.</w:t>
      </w:r>
    </w:p>
    <w:p w:rsidR="00286780" w:rsidRPr="00F70F8F" w:rsidRDefault="00286780" w:rsidP="00124D89">
      <w:pPr>
        <w:spacing w:after="120"/>
        <w:jc w:val="both"/>
        <w:rPr>
          <w:spacing w:val="-2"/>
          <w:sz w:val="28"/>
          <w:szCs w:val="28"/>
        </w:rPr>
      </w:pPr>
      <w:r w:rsidRPr="00124D89">
        <w:rPr>
          <w:b/>
          <w:sz w:val="28"/>
          <w:szCs w:val="28"/>
        </w:rPr>
        <w:lastRenderedPageBreak/>
        <w:t>Таблица 4</w:t>
      </w:r>
      <w:r>
        <w:rPr>
          <w:b/>
          <w:sz w:val="28"/>
          <w:szCs w:val="28"/>
        </w:rPr>
        <w:t>2</w:t>
      </w:r>
      <w:r w:rsidRPr="00124D89">
        <w:rPr>
          <w:sz w:val="28"/>
          <w:szCs w:val="28"/>
        </w:rPr>
        <w:t xml:space="preserve"> – Общая характеристика полиорганной полиморбидной хронической патологии у пациентов с МФОИ</w:t>
      </w:r>
    </w:p>
    <w:tbl>
      <w:tblPr>
        <w:tblW w:w="9923" w:type="dxa"/>
        <w:tblInd w:w="108" w:type="dxa"/>
        <w:tblLayout w:type="fixed"/>
        <w:tblLook w:val="0000" w:firstRow="0" w:lastRow="0" w:firstColumn="0" w:lastColumn="0" w:noHBand="0" w:noVBand="0"/>
      </w:tblPr>
      <w:tblGrid>
        <w:gridCol w:w="5165"/>
        <w:gridCol w:w="1418"/>
        <w:gridCol w:w="992"/>
        <w:gridCol w:w="2348"/>
      </w:tblGrid>
      <w:tr w:rsidR="00286780" w:rsidRPr="00F70F8F" w:rsidTr="00874414">
        <w:trPr>
          <w:trHeight w:val="375"/>
        </w:trPr>
        <w:tc>
          <w:tcPr>
            <w:tcW w:w="5165" w:type="dxa"/>
            <w:vMerge w:val="restart"/>
            <w:tcBorders>
              <w:top w:val="single" w:sz="4" w:space="0" w:color="000000"/>
              <w:left w:val="single" w:sz="4" w:space="0" w:color="000000"/>
              <w:bottom w:val="single" w:sz="4" w:space="0" w:color="000000"/>
            </w:tcBorders>
            <w:tcMar>
              <w:left w:w="28" w:type="dxa"/>
              <w:right w:w="28" w:type="dxa"/>
            </w:tcMar>
            <w:vAlign w:val="center"/>
          </w:tcPr>
          <w:p w:rsidR="00286780" w:rsidRPr="00F70F8F" w:rsidRDefault="00286780" w:rsidP="00124D89">
            <w:pPr>
              <w:snapToGrid w:val="0"/>
              <w:jc w:val="center"/>
              <w:rPr>
                <w:i/>
                <w:spacing w:val="-2"/>
                <w:sz w:val="24"/>
                <w:szCs w:val="24"/>
                <w:lang w:eastAsia="ar-SA"/>
              </w:rPr>
            </w:pPr>
            <w:r w:rsidRPr="00F70F8F">
              <w:rPr>
                <w:i/>
                <w:spacing w:val="-2"/>
                <w:sz w:val="24"/>
                <w:szCs w:val="24"/>
                <w:lang w:eastAsia="ar-SA"/>
              </w:rPr>
              <w:t>Нозологические формы хронических заболеваний (МКБ-10)</w:t>
            </w:r>
          </w:p>
        </w:tc>
        <w:tc>
          <w:tcPr>
            <w:tcW w:w="2410" w:type="dxa"/>
            <w:gridSpan w:val="2"/>
            <w:tcBorders>
              <w:top w:val="single" w:sz="4" w:space="0" w:color="000000"/>
              <w:left w:val="single" w:sz="4" w:space="0" w:color="000000"/>
              <w:bottom w:val="single" w:sz="4" w:space="0" w:color="000000"/>
            </w:tcBorders>
            <w:tcMar>
              <w:left w:w="28" w:type="dxa"/>
              <w:right w:w="28" w:type="dxa"/>
            </w:tcMar>
            <w:vAlign w:val="center"/>
          </w:tcPr>
          <w:p w:rsidR="00286780" w:rsidRPr="00F70F8F" w:rsidRDefault="00286780" w:rsidP="00124D89">
            <w:pPr>
              <w:snapToGrid w:val="0"/>
              <w:jc w:val="center"/>
              <w:rPr>
                <w:i/>
                <w:spacing w:val="-2"/>
                <w:sz w:val="24"/>
                <w:szCs w:val="24"/>
                <w:lang w:eastAsia="ar-SA"/>
              </w:rPr>
            </w:pPr>
            <w:r w:rsidRPr="00F70F8F">
              <w:rPr>
                <w:i/>
                <w:spacing w:val="-2"/>
                <w:sz w:val="24"/>
                <w:szCs w:val="24"/>
                <w:lang w:eastAsia="ar-SA"/>
              </w:rPr>
              <w:t>Количество больных</w:t>
            </w:r>
          </w:p>
        </w:tc>
        <w:tc>
          <w:tcPr>
            <w:tcW w:w="2348"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F70F8F" w:rsidRDefault="00286780" w:rsidP="00124D89">
            <w:pPr>
              <w:snapToGrid w:val="0"/>
              <w:jc w:val="center"/>
              <w:rPr>
                <w:i/>
                <w:spacing w:val="-2"/>
                <w:sz w:val="24"/>
                <w:szCs w:val="24"/>
                <w:lang w:eastAsia="ar-SA"/>
              </w:rPr>
            </w:pPr>
            <w:r w:rsidRPr="00F70F8F">
              <w:rPr>
                <w:i/>
                <w:spacing w:val="-2"/>
                <w:sz w:val="24"/>
                <w:szCs w:val="24"/>
                <w:lang w:eastAsia="ar-SA"/>
              </w:rPr>
              <w:t xml:space="preserve">Индекс полиморбидности </w:t>
            </w:r>
            <w:r w:rsidRPr="00F70F8F">
              <w:rPr>
                <w:rFonts w:cs="Calibri"/>
                <w:i/>
                <w:spacing w:val="-2"/>
                <w:sz w:val="24"/>
                <w:szCs w:val="24"/>
                <w:lang w:eastAsia="ar-SA"/>
              </w:rPr>
              <w:t>Л.Б.</w:t>
            </w:r>
            <w:r w:rsidRPr="00F70F8F">
              <w:rPr>
                <w:i/>
                <w:spacing w:val="-2"/>
                <w:sz w:val="24"/>
                <w:szCs w:val="24"/>
                <w:lang w:eastAsia="ar-SA"/>
              </w:rPr>
              <w:t>Лазебника (среднее значение)</w:t>
            </w:r>
          </w:p>
        </w:tc>
      </w:tr>
      <w:tr w:rsidR="00286780" w:rsidRPr="00F70F8F" w:rsidTr="00874414">
        <w:trPr>
          <w:trHeight w:val="255"/>
        </w:trPr>
        <w:tc>
          <w:tcPr>
            <w:tcW w:w="5165" w:type="dxa"/>
            <w:vMerge/>
            <w:tcBorders>
              <w:top w:val="single" w:sz="4" w:space="0" w:color="000000"/>
              <w:left w:val="single" w:sz="4" w:space="0" w:color="000000"/>
              <w:bottom w:val="single" w:sz="4" w:space="0" w:color="000000"/>
            </w:tcBorders>
            <w:tcMar>
              <w:left w:w="28" w:type="dxa"/>
              <w:right w:w="28" w:type="dxa"/>
            </w:tcMar>
          </w:tcPr>
          <w:p w:rsidR="00286780" w:rsidRPr="00F70F8F" w:rsidRDefault="00286780" w:rsidP="00124D89">
            <w:pPr>
              <w:snapToGrid w:val="0"/>
              <w:jc w:val="both"/>
              <w:rPr>
                <w:rFonts w:ascii="Calibri" w:hAnsi="Calibri" w:cs="Calibri"/>
                <w:spacing w:val="-2"/>
                <w:sz w:val="22"/>
                <w:szCs w:val="22"/>
                <w:lang w:eastAsia="ar-SA"/>
              </w:rPr>
            </w:pPr>
          </w:p>
        </w:tc>
        <w:tc>
          <w:tcPr>
            <w:tcW w:w="1418" w:type="dxa"/>
            <w:tcBorders>
              <w:top w:val="single" w:sz="4" w:space="0" w:color="000000"/>
              <w:left w:val="single" w:sz="4" w:space="0" w:color="000000"/>
              <w:bottom w:val="single" w:sz="4" w:space="0" w:color="000000"/>
            </w:tcBorders>
            <w:tcMar>
              <w:left w:w="28" w:type="dxa"/>
              <w:right w:w="28" w:type="dxa"/>
            </w:tcMar>
            <w:vAlign w:val="center"/>
          </w:tcPr>
          <w:p w:rsidR="00286780" w:rsidRPr="00F70F8F" w:rsidRDefault="00286780" w:rsidP="00124D89">
            <w:pPr>
              <w:snapToGrid w:val="0"/>
              <w:jc w:val="center"/>
              <w:rPr>
                <w:spacing w:val="-2"/>
                <w:sz w:val="24"/>
                <w:szCs w:val="24"/>
                <w:lang w:eastAsia="ar-SA"/>
              </w:rPr>
            </w:pPr>
            <w:r w:rsidRPr="00F70F8F">
              <w:rPr>
                <w:spacing w:val="-2"/>
                <w:sz w:val="24"/>
                <w:szCs w:val="24"/>
                <w:lang w:eastAsia="ar-SA"/>
              </w:rPr>
              <w:t>абсолютное</w:t>
            </w:r>
          </w:p>
          <w:p w:rsidR="00286780" w:rsidRPr="00F70F8F" w:rsidRDefault="00286780" w:rsidP="00124D89">
            <w:pPr>
              <w:jc w:val="center"/>
              <w:rPr>
                <w:spacing w:val="-2"/>
                <w:sz w:val="24"/>
                <w:szCs w:val="24"/>
                <w:lang w:eastAsia="ar-SA"/>
              </w:rPr>
            </w:pPr>
            <w:r w:rsidRPr="00F70F8F">
              <w:rPr>
                <w:spacing w:val="-2"/>
                <w:sz w:val="24"/>
                <w:szCs w:val="24"/>
                <w:lang w:eastAsia="ar-SA"/>
              </w:rPr>
              <w:t>значение</w:t>
            </w:r>
          </w:p>
        </w:tc>
        <w:tc>
          <w:tcPr>
            <w:tcW w:w="992" w:type="dxa"/>
            <w:tcBorders>
              <w:top w:val="single" w:sz="4" w:space="0" w:color="000000"/>
              <w:left w:val="single" w:sz="4" w:space="0" w:color="000000"/>
              <w:bottom w:val="single" w:sz="4" w:space="0" w:color="000000"/>
            </w:tcBorders>
            <w:tcMar>
              <w:left w:w="28" w:type="dxa"/>
              <w:right w:w="28" w:type="dxa"/>
            </w:tcMar>
            <w:vAlign w:val="center"/>
          </w:tcPr>
          <w:p w:rsidR="00286780" w:rsidRPr="00F70F8F" w:rsidRDefault="00286780" w:rsidP="00124D89">
            <w:pPr>
              <w:snapToGrid w:val="0"/>
              <w:jc w:val="center"/>
              <w:rPr>
                <w:spacing w:val="-2"/>
                <w:sz w:val="24"/>
                <w:szCs w:val="24"/>
                <w:lang w:eastAsia="ar-SA"/>
              </w:rPr>
            </w:pPr>
            <w:r w:rsidRPr="00F70F8F">
              <w:rPr>
                <w:spacing w:val="-2"/>
                <w:sz w:val="24"/>
                <w:szCs w:val="24"/>
                <w:lang w:eastAsia="ar-SA"/>
              </w:rPr>
              <w:t>%</w:t>
            </w:r>
          </w:p>
        </w:tc>
        <w:tc>
          <w:tcPr>
            <w:tcW w:w="2348"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F70F8F" w:rsidRDefault="00286780" w:rsidP="00124D89">
            <w:pPr>
              <w:snapToGrid w:val="0"/>
              <w:jc w:val="center"/>
              <w:rPr>
                <w:rFonts w:ascii="Calibri" w:hAnsi="Calibri" w:cs="Calibri"/>
                <w:spacing w:val="-2"/>
                <w:sz w:val="22"/>
                <w:szCs w:val="22"/>
                <w:lang w:eastAsia="ar-SA"/>
              </w:rPr>
            </w:pPr>
          </w:p>
        </w:tc>
      </w:tr>
      <w:tr w:rsidR="00286780" w:rsidRPr="00F70F8F" w:rsidTr="00874414">
        <w:trPr>
          <w:trHeight w:val="454"/>
        </w:trPr>
        <w:tc>
          <w:tcPr>
            <w:tcW w:w="5165" w:type="dxa"/>
            <w:tcBorders>
              <w:top w:val="single" w:sz="4" w:space="0" w:color="000000"/>
              <w:left w:val="single" w:sz="4" w:space="0" w:color="000000"/>
              <w:bottom w:val="single" w:sz="4" w:space="0" w:color="000000"/>
            </w:tcBorders>
            <w:tcMar>
              <w:left w:w="28" w:type="dxa"/>
              <w:right w:w="28" w:type="dxa"/>
            </w:tcMar>
            <w:vAlign w:val="center"/>
          </w:tcPr>
          <w:p w:rsidR="00286780" w:rsidRPr="00F70F8F" w:rsidRDefault="00286780" w:rsidP="00124D89">
            <w:pPr>
              <w:snapToGrid w:val="0"/>
              <w:rPr>
                <w:spacing w:val="-2"/>
                <w:sz w:val="24"/>
                <w:szCs w:val="24"/>
                <w:lang w:eastAsia="ar-SA"/>
              </w:rPr>
            </w:pPr>
            <w:r w:rsidRPr="00F70F8F">
              <w:rPr>
                <w:spacing w:val="-2"/>
                <w:sz w:val="24"/>
                <w:szCs w:val="24"/>
                <w:lang w:eastAsia="ar-SA"/>
              </w:rPr>
              <w:t>АГ (</w:t>
            </w:r>
            <w:r w:rsidRPr="00F70F8F">
              <w:rPr>
                <w:spacing w:val="-2"/>
                <w:sz w:val="24"/>
                <w:szCs w:val="24"/>
                <w:lang w:val="en-US" w:eastAsia="ar-SA"/>
              </w:rPr>
              <w:t>I</w:t>
            </w:r>
            <w:r w:rsidRPr="00F70F8F">
              <w:rPr>
                <w:spacing w:val="-2"/>
                <w:sz w:val="24"/>
                <w:szCs w:val="24"/>
                <w:lang w:eastAsia="ar-SA"/>
              </w:rPr>
              <w:t>10-</w:t>
            </w:r>
            <w:r w:rsidRPr="00F70F8F">
              <w:rPr>
                <w:spacing w:val="-2"/>
                <w:sz w:val="24"/>
                <w:szCs w:val="24"/>
                <w:lang w:val="en-US" w:eastAsia="ar-SA"/>
              </w:rPr>
              <w:t>I</w:t>
            </w:r>
            <w:r w:rsidRPr="00F70F8F">
              <w:rPr>
                <w:spacing w:val="-2"/>
                <w:sz w:val="24"/>
                <w:szCs w:val="24"/>
                <w:lang w:eastAsia="ar-SA"/>
              </w:rPr>
              <w:t>13) и/или ИБС (стабильная стенокардия напряжения, атеросклероз аорты, постинфарктный кардиосклероз, фибрилляция предсердий (</w:t>
            </w:r>
            <w:r w:rsidRPr="00F70F8F">
              <w:rPr>
                <w:spacing w:val="-2"/>
                <w:sz w:val="24"/>
                <w:szCs w:val="24"/>
                <w:lang w:val="en-US" w:eastAsia="ar-SA"/>
              </w:rPr>
              <w:t>I</w:t>
            </w:r>
            <w:r w:rsidRPr="00F70F8F">
              <w:rPr>
                <w:spacing w:val="-2"/>
                <w:sz w:val="24"/>
                <w:szCs w:val="24"/>
                <w:lang w:eastAsia="ar-SA"/>
              </w:rPr>
              <w:t xml:space="preserve">20, </w:t>
            </w:r>
            <w:r w:rsidRPr="00F70F8F">
              <w:rPr>
                <w:spacing w:val="-2"/>
                <w:sz w:val="24"/>
                <w:szCs w:val="24"/>
                <w:lang w:val="en-US" w:eastAsia="ar-SA"/>
              </w:rPr>
              <w:t>I</w:t>
            </w:r>
            <w:r w:rsidRPr="00F70F8F">
              <w:rPr>
                <w:spacing w:val="-2"/>
                <w:sz w:val="24"/>
                <w:szCs w:val="24"/>
                <w:lang w:eastAsia="ar-SA"/>
              </w:rPr>
              <w:t xml:space="preserve">25, </w:t>
            </w:r>
            <w:r w:rsidRPr="00F70F8F">
              <w:rPr>
                <w:spacing w:val="-2"/>
                <w:sz w:val="24"/>
                <w:szCs w:val="24"/>
                <w:lang w:val="en-US" w:eastAsia="ar-SA"/>
              </w:rPr>
              <w:t>I</w:t>
            </w:r>
            <w:r w:rsidRPr="00F70F8F">
              <w:rPr>
                <w:spacing w:val="-2"/>
                <w:sz w:val="24"/>
                <w:szCs w:val="24"/>
                <w:lang w:eastAsia="ar-SA"/>
              </w:rPr>
              <w:t xml:space="preserve">25.2, </w:t>
            </w:r>
            <w:r w:rsidRPr="00F70F8F">
              <w:rPr>
                <w:spacing w:val="-2"/>
                <w:sz w:val="24"/>
                <w:szCs w:val="24"/>
                <w:lang w:val="en-US" w:eastAsia="ar-SA"/>
              </w:rPr>
              <w:t>I</w:t>
            </w:r>
            <w:r w:rsidRPr="00F70F8F">
              <w:rPr>
                <w:spacing w:val="-2"/>
                <w:sz w:val="24"/>
                <w:szCs w:val="24"/>
                <w:lang w:eastAsia="ar-SA"/>
              </w:rPr>
              <w:t>48)), ревматическая болезнь сердца (</w:t>
            </w:r>
            <w:r w:rsidRPr="00F70F8F">
              <w:rPr>
                <w:spacing w:val="-2"/>
                <w:sz w:val="24"/>
                <w:szCs w:val="24"/>
                <w:lang w:val="en-US" w:eastAsia="ar-SA"/>
              </w:rPr>
              <w:t>I</w:t>
            </w:r>
            <w:r w:rsidRPr="00F70F8F">
              <w:rPr>
                <w:spacing w:val="-2"/>
                <w:sz w:val="24"/>
                <w:szCs w:val="24"/>
                <w:lang w:eastAsia="ar-SA"/>
              </w:rPr>
              <w:t>05–</w:t>
            </w:r>
            <w:r w:rsidRPr="00F70F8F">
              <w:rPr>
                <w:spacing w:val="-2"/>
                <w:sz w:val="24"/>
                <w:szCs w:val="24"/>
                <w:lang w:val="en-US" w:eastAsia="ar-SA"/>
              </w:rPr>
              <w:t>I</w:t>
            </w:r>
            <w:r w:rsidRPr="00F70F8F">
              <w:rPr>
                <w:spacing w:val="-2"/>
                <w:sz w:val="24"/>
                <w:szCs w:val="24"/>
                <w:lang w:eastAsia="ar-SA"/>
              </w:rPr>
              <w:t>09), в том числе в сочетании с ожирением (</w:t>
            </w:r>
            <w:r w:rsidRPr="00F70F8F">
              <w:rPr>
                <w:spacing w:val="-2"/>
                <w:sz w:val="24"/>
                <w:szCs w:val="24"/>
                <w:lang w:val="en-US" w:eastAsia="ar-SA"/>
              </w:rPr>
              <w:t>E</w:t>
            </w:r>
            <w:r w:rsidRPr="00F70F8F">
              <w:rPr>
                <w:spacing w:val="-2"/>
                <w:sz w:val="24"/>
                <w:szCs w:val="24"/>
                <w:lang w:eastAsia="ar-SA"/>
              </w:rPr>
              <w:t>66), мочекаменной болезнью и/или хроническим пиелонефритом (</w:t>
            </w:r>
            <w:r w:rsidRPr="00F70F8F">
              <w:rPr>
                <w:spacing w:val="-2"/>
                <w:sz w:val="24"/>
                <w:szCs w:val="24"/>
                <w:lang w:val="en-US" w:eastAsia="ar-SA"/>
              </w:rPr>
              <w:t>N</w:t>
            </w:r>
            <w:r w:rsidRPr="00F70F8F">
              <w:rPr>
                <w:spacing w:val="-2"/>
                <w:sz w:val="24"/>
                <w:szCs w:val="24"/>
                <w:lang w:eastAsia="ar-SA"/>
              </w:rPr>
              <w:t>20–</w:t>
            </w:r>
            <w:r w:rsidRPr="00F70F8F">
              <w:rPr>
                <w:spacing w:val="-2"/>
                <w:sz w:val="24"/>
                <w:szCs w:val="24"/>
                <w:lang w:val="en-US" w:eastAsia="ar-SA"/>
              </w:rPr>
              <w:t>N</w:t>
            </w:r>
            <w:r w:rsidRPr="00F70F8F">
              <w:rPr>
                <w:spacing w:val="-2"/>
                <w:sz w:val="24"/>
                <w:szCs w:val="24"/>
                <w:lang w:eastAsia="ar-SA"/>
              </w:rPr>
              <w:t xml:space="preserve">23, </w:t>
            </w:r>
            <w:r w:rsidRPr="00F70F8F">
              <w:rPr>
                <w:spacing w:val="-2"/>
                <w:sz w:val="24"/>
                <w:szCs w:val="24"/>
                <w:lang w:val="en-US" w:eastAsia="ar-SA"/>
              </w:rPr>
              <w:t>N</w:t>
            </w:r>
            <w:r w:rsidRPr="00F70F8F">
              <w:rPr>
                <w:spacing w:val="-2"/>
                <w:sz w:val="24"/>
                <w:szCs w:val="24"/>
                <w:lang w:eastAsia="ar-SA"/>
              </w:rPr>
              <w:t>11))</w:t>
            </w:r>
          </w:p>
        </w:tc>
        <w:tc>
          <w:tcPr>
            <w:tcW w:w="1418" w:type="dxa"/>
            <w:tcBorders>
              <w:top w:val="single" w:sz="4" w:space="0" w:color="000000"/>
              <w:left w:val="single" w:sz="4" w:space="0" w:color="000000"/>
              <w:bottom w:val="single" w:sz="4" w:space="0" w:color="000000"/>
            </w:tcBorders>
            <w:tcMar>
              <w:left w:w="28" w:type="dxa"/>
              <w:right w:w="28" w:type="dxa"/>
            </w:tcMar>
            <w:vAlign w:val="center"/>
          </w:tcPr>
          <w:p w:rsidR="00286780" w:rsidRPr="00F70F8F" w:rsidRDefault="00286780" w:rsidP="00124D89">
            <w:pPr>
              <w:snapToGrid w:val="0"/>
              <w:jc w:val="center"/>
              <w:rPr>
                <w:spacing w:val="-2"/>
                <w:sz w:val="24"/>
                <w:szCs w:val="24"/>
                <w:lang w:eastAsia="ar-SA"/>
              </w:rPr>
            </w:pPr>
            <w:r w:rsidRPr="00F70F8F">
              <w:rPr>
                <w:spacing w:val="-2"/>
                <w:sz w:val="24"/>
                <w:szCs w:val="24"/>
                <w:lang w:eastAsia="ar-SA"/>
              </w:rPr>
              <w:t>41</w:t>
            </w:r>
          </w:p>
        </w:tc>
        <w:tc>
          <w:tcPr>
            <w:tcW w:w="992" w:type="dxa"/>
            <w:tcBorders>
              <w:top w:val="single" w:sz="4" w:space="0" w:color="000000"/>
              <w:left w:val="single" w:sz="4" w:space="0" w:color="000000"/>
              <w:bottom w:val="single" w:sz="4" w:space="0" w:color="000000"/>
            </w:tcBorders>
            <w:tcMar>
              <w:left w:w="28" w:type="dxa"/>
              <w:right w:w="28" w:type="dxa"/>
            </w:tcMar>
            <w:vAlign w:val="center"/>
          </w:tcPr>
          <w:p w:rsidR="00286780" w:rsidRPr="00F70F8F" w:rsidRDefault="00286780" w:rsidP="00124D89">
            <w:pPr>
              <w:snapToGrid w:val="0"/>
              <w:jc w:val="center"/>
              <w:rPr>
                <w:spacing w:val="-2"/>
                <w:sz w:val="24"/>
                <w:szCs w:val="24"/>
                <w:lang w:eastAsia="ar-SA"/>
              </w:rPr>
            </w:pPr>
            <w:r w:rsidRPr="00F70F8F">
              <w:rPr>
                <w:spacing w:val="-2"/>
                <w:sz w:val="24"/>
                <w:szCs w:val="24"/>
                <w:lang w:eastAsia="ar-SA"/>
              </w:rPr>
              <w:t>50,6</w:t>
            </w:r>
          </w:p>
        </w:tc>
        <w:tc>
          <w:tcPr>
            <w:tcW w:w="234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F70F8F" w:rsidRDefault="00286780" w:rsidP="00124D89">
            <w:pPr>
              <w:snapToGrid w:val="0"/>
              <w:jc w:val="center"/>
              <w:rPr>
                <w:rFonts w:ascii="Calibri" w:hAnsi="Calibri" w:cs="Calibri"/>
                <w:spacing w:val="-2"/>
                <w:sz w:val="22"/>
                <w:szCs w:val="22"/>
                <w:lang w:eastAsia="ar-SA"/>
              </w:rPr>
            </w:pPr>
            <w:r>
              <w:rPr>
                <w:rFonts w:ascii="Calibri" w:hAnsi="Calibri" w:cs="Calibri"/>
                <w:spacing w:val="-2"/>
                <w:sz w:val="22"/>
                <w:szCs w:val="22"/>
                <w:lang w:eastAsia="ar-SA"/>
              </w:rPr>
              <w:t>2,2</w:t>
            </w:r>
          </w:p>
        </w:tc>
      </w:tr>
      <w:tr w:rsidR="00286780" w:rsidRPr="00F70F8F" w:rsidTr="00874414">
        <w:trPr>
          <w:trHeight w:val="454"/>
        </w:trPr>
        <w:tc>
          <w:tcPr>
            <w:tcW w:w="5165" w:type="dxa"/>
            <w:tcBorders>
              <w:top w:val="single" w:sz="4" w:space="0" w:color="000000"/>
              <w:left w:val="single" w:sz="4" w:space="0" w:color="000000"/>
              <w:bottom w:val="single" w:sz="4" w:space="0" w:color="000000"/>
            </w:tcBorders>
            <w:tcMar>
              <w:left w:w="28" w:type="dxa"/>
              <w:right w:w="28" w:type="dxa"/>
            </w:tcMar>
            <w:vAlign w:val="center"/>
          </w:tcPr>
          <w:p w:rsidR="00286780" w:rsidRPr="00F70F8F" w:rsidRDefault="00286780" w:rsidP="00124D89">
            <w:pPr>
              <w:snapToGrid w:val="0"/>
              <w:rPr>
                <w:spacing w:val="-2"/>
                <w:sz w:val="24"/>
                <w:szCs w:val="24"/>
                <w:lang w:eastAsia="ar-SA"/>
              </w:rPr>
            </w:pPr>
            <w:r w:rsidRPr="00F70F8F">
              <w:rPr>
                <w:spacing w:val="-2"/>
                <w:sz w:val="24"/>
                <w:szCs w:val="24"/>
                <w:lang w:eastAsia="ar-SA"/>
              </w:rPr>
              <w:t xml:space="preserve">Сахарный диабет (тип 2-й, </w:t>
            </w:r>
            <w:r w:rsidRPr="00F70F8F">
              <w:rPr>
                <w:spacing w:val="-2"/>
                <w:sz w:val="24"/>
                <w:szCs w:val="24"/>
                <w:lang w:val="en-US" w:eastAsia="ar-SA"/>
              </w:rPr>
              <w:t>E</w:t>
            </w:r>
            <w:r w:rsidRPr="00F70F8F">
              <w:rPr>
                <w:spacing w:val="-2"/>
                <w:sz w:val="24"/>
                <w:szCs w:val="24"/>
                <w:lang w:eastAsia="ar-SA"/>
              </w:rPr>
              <w:t>11) и АГ (</w:t>
            </w:r>
            <w:r w:rsidRPr="00F70F8F">
              <w:rPr>
                <w:spacing w:val="-2"/>
                <w:sz w:val="24"/>
                <w:szCs w:val="24"/>
                <w:lang w:val="en-US" w:eastAsia="ar-SA"/>
              </w:rPr>
              <w:t>I</w:t>
            </w:r>
            <w:r w:rsidRPr="00F70F8F">
              <w:rPr>
                <w:spacing w:val="-2"/>
                <w:sz w:val="24"/>
                <w:szCs w:val="24"/>
                <w:lang w:eastAsia="ar-SA"/>
              </w:rPr>
              <w:t>10-</w:t>
            </w:r>
            <w:r w:rsidRPr="00F70F8F">
              <w:rPr>
                <w:spacing w:val="-2"/>
                <w:sz w:val="24"/>
                <w:szCs w:val="24"/>
                <w:lang w:val="en-US" w:eastAsia="ar-SA"/>
              </w:rPr>
              <w:t>I</w:t>
            </w:r>
            <w:r w:rsidRPr="00F70F8F">
              <w:rPr>
                <w:spacing w:val="-2"/>
                <w:sz w:val="24"/>
                <w:szCs w:val="24"/>
                <w:lang w:eastAsia="ar-SA"/>
              </w:rPr>
              <w:t>13) и/или ИБС (</w:t>
            </w:r>
            <w:r w:rsidRPr="00F70F8F">
              <w:rPr>
                <w:spacing w:val="-2"/>
                <w:sz w:val="24"/>
                <w:szCs w:val="24"/>
                <w:lang w:val="en-US" w:eastAsia="ar-SA"/>
              </w:rPr>
              <w:t>I</w:t>
            </w:r>
            <w:r w:rsidRPr="00F70F8F">
              <w:rPr>
                <w:spacing w:val="-2"/>
                <w:sz w:val="24"/>
                <w:szCs w:val="24"/>
                <w:lang w:eastAsia="ar-SA"/>
              </w:rPr>
              <w:t xml:space="preserve">20, </w:t>
            </w:r>
            <w:r w:rsidRPr="00F70F8F">
              <w:rPr>
                <w:spacing w:val="-2"/>
                <w:sz w:val="24"/>
                <w:szCs w:val="24"/>
                <w:lang w:val="en-US" w:eastAsia="ar-SA"/>
              </w:rPr>
              <w:t>I</w:t>
            </w:r>
            <w:r w:rsidRPr="00F70F8F">
              <w:rPr>
                <w:spacing w:val="-2"/>
                <w:sz w:val="24"/>
                <w:szCs w:val="24"/>
                <w:lang w:eastAsia="ar-SA"/>
              </w:rPr>
              <w:t xml:space="preserve">25, </w:t>
            </w:r>
            <w:r w:rsidRPr="00F70F8F">
              <w:rPr>
                <w:spacing w:val="-2"/>
                <w:sz w:val="24"/>
                <w:szCs w:val="24"/>
                <w:lang w:val="en-US" w:eastAsia="ar-SA"/>
              </w:rPr>
              <w:t>I</w:t>
            </w:r>
            <w:r w:rsidRPr="00F70F8F">
              <w:rPr>
                <w:spacing w:val="-2"/>
                <w:sz w:val="24"/>
                <w:szCs w:val="24"/>
                <w:lang w:eastAsia="ar-SA"/>
              </w:rPr>
              <w:t>25.2), в том числе в сочетании с ожирением (</w:t>
            </w:r>
            <w:r w:rsidRPr="00F70F8F">
              <w:rPr>
                <w:spacing w:val="-2"/>
                <w:sz w:val="24"/>
                <w:szCs w:val="24"/>
                <w:lang w:val="en-US" w:eastAsia="ar-SA"/>
              </w:rPr>
              <w:t>E</w:t>
            </w:r>
            <w:r w:rsidRPr="00F70F8F">
              <w:rPr>
                <w:spacing w:val="-2"/>
                <w:sz w:val="24"/>
                <w:szCs w:val="24"/>
                <w:lang w:eastAsia="ar-SA"/>
              </w:rPr>
              <w:t>66)</w:t>
            </w:r>
          </w:p>
        </w:tc>
        <w:tc>
          <w:tcPr>
            <w:tcW w:w="1418" w:type="dxa"/>
            <w:tcBorders>
              <w:top w:val="single" w:sz="4" w:space="0" w:color="000000"/>
              <w:left w:val="single" w:sz="4" w:space="0" w:color="000000"/>
              <w:bottom w:val="single" w:sz="4" w:space="0" w:color="000000"/>
            </w:tcBorders>
            <w:tcMar>
              <w:left w:w="28" w:type="dxa"/>
              <w:right w:w="28" w:type="dxa"/>
            </w:tcMar>
            <w:vAlign w:val="center"/>
          </w:tcPr>
          <w:p w:rsidR="00286780" w:rsidRPr="00F70F8F" w:rsidRDefault="00286780" w:rsidP="00124D89">
            <w:pPr>
              <w:snapToGrid w:val="0"/>
              <w:jc w:val="center"/>
              <w:rPr>
                <w:spacing w:val="-2"/>
                <w:sz w:val="24"/>
                <w:szCs w:val="24"/>
                <w:lang w:eastAsia="ar-SA"/>
              </w:rPr>
            </w:pPr>
            <w:r w:rsidRPr="00F70F8F">
              <w:rPr>
                <w:spacing w:val="-2"/>
                <w:sz w:val="24"/>
                <w:szCs w:val="24"/>
                <w:lang w:eastAsia="ar-SA"/>
              </w:rPr>
              <w:t>25</w:t>
            </w:r>
          </w:p>
        </w:tc>
        <w:tc>
          <w:tcPr>
            <w:tcW w:w="992" w:type="dxa"/>
            <w:tcBorders>
              <w:top w:val="single" w:sz="4" w:space="0" w:color="000000"/>
              <w:left w:val="single" w:sz="4" w:space="0" w:color="000000"/>
              <w:bottom w:val="single" w:sz="4" w:space="0" w:color="000000"/>
            </w:tcBorders>
            <w:tcMar>
              <w:left w:w="28" w:type="dxa"/>
              <w:right w:w="28" w:type="dxa"/>
            </w:tcMar>
            <w:vAlign w:val="center"/>
          </w:tcPr>
          <w:p w:rsidR="00286780" w:rsidRPr="00F70F8F" w:rsidRDefault="00286780" w:rsidP="00124D89">
            <w:pPr>
              <w:snapToGrid w:val="0"/>
              <w:jc w:val="center"/>
              <w:rPr>
                <w:spacing w:val="-2"/>
                <w:sz w:val="24"/>
                <w:szCs w:val="24"/>
                <w:lang w:val="en-US" w:eastAsia="ar-SA"/>
              </w:rPr>
            </w:pPr>
            <w:r w:rsidRPr="00F70F8F">
              <w:rPr>
                <w:spacing w:val="-2"/>
                <w:sz w:val="24"/>
                <w:szCs w:val="24"/>
                <w:lang w:val="en-US" w:eastAsia="ar-SA"/>
              </w:rPr>
              <w:t>30,9</w:t>
            </w:r>
          </w:p>
        </w:tc>
        <w:tc>
          <w:tcPr>
            <w:tcW w:w="234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F70F8F" w:rsidRDefault="00286780" w:rsidP="00124D89">
            <w:pPr>
              <w:snapToGrid w:val="0"/>
              <w:jc w:val="center"/>
              <w:rPr>
                <w:spacing w:val="-2"/>
                <w:sz w:val="24"/>
                <w:szCs w:val="24"/>
                <w:lang w:eastAsia="ar-SA"/>
              </w:rPr>
            </w:pPr>
            <w:r w:rsidRPr="00F70F8F">
              <w:rPr>
                <w:spacing w:val="-2"/>
                <w:sz w:val="24"/>
                <w:szCs w:val="24"/>
                <w:lang w:eastAsia="ar-SA"/>
              </w:rPr>
              <w:t>2,6</w:t>
            </w:r>
          </w:p>
        </w:tc>
      </w:tr>
      <w:tr w:rsidR="00286780" w:rsidRPr="00F70F8F" w:rsidTr="00874414">
        <w:trPr>
          <w:trHeight w:val="454"/>
        </w:trPr>
        <w:tc>
          <w:tcPr>
            <w:tcW w:w="5165" w:type="dxa"/>
            <w:tcBorders>
              <w:top w:val="single" w:sz="4" w:space="0" w:color="000000"/>
              <w:left w:val="single" w:sz="4" w:space="0" w:color="000000"/>
              <w:bottom w:val="single" w:sz="4" w:space="0" w:color="000000"/>
            </w:tcBorders>
            <w:tcMar>
              <w:left w:w="28" w:type="dxa"/>
              <w:right w:w="28" w:type="dxa"/>
            </w:tcMar>
            <w:vAlign w:val="center"/>
          </w:tcPr>
          <w:p w:rsidR="00286780" w:rsidRPr="00F70F8F" w:rsidRDefault="00C55ECF" w:rsidP="00124D89">
            <w:pPr>
              <w:snapToGrid w:val="0"/>
              <w:rPr>
                <w:spacing w:val="-2"/>
                <w:sz w:val="24"/>
                <w:szCs w:val="24"/>
                <w:lang w:eastAsia="ar-SA"/>
              </w:rPr>
            </w:pPr>
            <w:r>
              <w:rPr>
                <w:spacing w:val="-2"/>
                <w:sz w:val="24"/>
                <w:szCs w:val="24"/>
                <w:lang w:eastAsia="ar-SA"/>
              </w:rPr>
              <w:t xml:space="preserve">ХОБЛ/Бронхиальная астма или </w:t>
            </w:r>
            <w:r w:rsidR="00286780" w:rsidRPr="00F70F8F">
              <w:rPr>
                <w:spacing w:val="-2"/>
                <w:sz w:val="24"/>
                <w:szCs w:val="24"/>
                <w:lang w:eastAsia="ar-SA"/>
              </w:rPr>
              <w:t>пневмосклероз (</w:t>
            </w:r>
            <w:r w:rsidR="00286780" w:rsidRPr="00F70F8F">
              <w:rPr>
                <w:spacing w:val="-2"/>
                <w:sz w:val="24"/>
                <w:szCs w:val="24"/>
                <w:lang w:val="en-US" w:eastAsia="ar-SA"/>
              </w:rPr>
              <w:t>J</w:t>
            </w:r>
            <w:r w:rsidR="00286780" w:rsidRPr="00F70F8F">
              <w:rPr>
                <w:spacing w:val="-2"/>
                <w:sz w:val="24"/>
                <w:szCs w:val="24"/>
                <w:lang w:eastAsia="ar-SA"/>
              </w:rPr>
              <w:t xml:space="preserve">44, </w:t>
            </w:r>
            <w:r w:rsidR="00286780" w:rsidRPr="00F70F8F">
              <w:rPr>
                <w:spacing w:val="-2"/>
                <w:sz w:val="24"/>
                <w:szCs w:val="24"/>
                <w:lang w:val="en-US" w:eastAsia="ar-SA"/>
              </w:rPr>
              <w:t>J</w:t>
            </w:r>
            <w:r w:rsidR="00286780" w:rsidRPr="00F70F8F">
              <w:rPr>
                <w:spacing w:val="-2"/>
                <w:sz w:val="24"/>
                <w:szCs w:val="24"/>
                <w:lang w:eastAsia="ar-SA"/>
              </w:rPr>
              <w:t xml:space="preserve">45, </w:t>
            </w:r>
            <w:r w:rsidR="00286780" w:rsidRPr="00F70F8F">
              <w:rPr>
                <w:spacing w:val="-2"/>
                <w:sz w:val="24"/>
                <w:szCs w:val="24"/>
                <w:lang w:val="en-US" w:eastAsia="ar-SA"/>
              </w:rPr>
              <w:t>J</w:t>
            </w:r>
            <w:r w:rsidR="00286780" w:rsidRPr="00F70F8F">
              <w:rPr>
                <w:spacing w:val="-2"/>
                <w:sz w:val="24"/>
                <w:szCs w:val="24"/>
                <w:lang w:eastAsia="ar-SA"/>
              </w:rPr>
              <w:t>84) и АГ (</w:t>
            </w:r>
            <w:r w:rsidR="00286780" w:rsidRPr="00F70F8F">
              <w:rPr>
                <w:spacing w:val="-2"/>
                <w:sz w:val="24"/>
                <w:szCs w:val="24"/>
                <w:lang w:val="en-US" w:eastAsia="ar-SA"/>
              </w:rPr>
              <w:t>I</w:t>
            </w:r>
            <w:r w:rsidR="00286780" w:rsidRPr="00F70F8F">
              <w:rPr>
                <w:spacing w:val="-2"/>
                <w:sz w:val="24"/>
                <w:szCs w:val="24"/>
                <w:lang w:eastAsia="ar-SA"/>
              </w:rPr>
              <w:t>10-</w:t>
            </w:r>
            <w:r w:rsidR="00286780" w:rsidRPr="00F70F8F">
              <w:rPr>
                <w:spacing w:val="-2"/>
                <w:sz w:val="24"/>
                <w:szCs w:val="24"/>
                <w:lang w:val="en-US" w:eastAsia="ar-SA"/>
              </w:rPr>
              <w:t>I</w:t>
            </w:r>
            <w:r w:rsidR="00286780" w:rsidRPr="00F70F8F">
              <w:rPr>
                <w:spacing w:val="-2"/>
                <w:sz w:val="24"/>
                <w:szCs w:val="24"/>
                <w:lang w:eastAsia="ar-SA"/>
              </w:rPr>
              <w:t>13), и/или ИБС (</w:t>
            </w:r>
            <w:r w:rsidR="00286780" w:rsidRPr="00F70F8F">
              <w:rPr>
                <w:spacing w:val="-2"/>
                <w:sz w:val="24"/>
                <w:szCs w:val="24"/>
                <w:lang w:val="en-US" w:eastAsia="ar-SA"/>
              </w:rPr>
              <w:t>I</w:t>
            </w:r>
            <w:r w:rsidR="00286780" w:rsidRPr="00F70F8F">
              <w:rPr>
                <w:spacing w:val="-2"/>
                <w:sz w:val="24"/>
                <w:szCs w:val="24"/>
                <w:lang w:eastAsia="ar-SA"/>
              </w:rPr>
              <w:t xml:space="preserve">20, </w:t>
            </w:r>
            <w:r w:rsidR="00286780" w:rsidRPr="00F70F8F">
              <w:rPr>
                <w:spacing w:val="-2"/>
                <w:sz w:val="24"/>
                <w:szCs w:val="24"/>
                <w:lang w:val="en-US" w:eastAsia="ar-SA"/>
              </w:rPr>
              <w:t>I</w:t>
            </w:r>
            <w:r w:rsidR="00286780" w:rsidRPr="00F70F8F">
              <w:rPr>
                <w:spacing w:val="-2"/>
                <w:sz w:val="24"/>
                <w:szCs w:val="24"/>
                <w:lang w:eastAsia="ar-SA"/>
              </w:rPr>
              <w:t xml:space="preserve">25, </w:t>
            </w:r>
            <w:r w:rsidR="00286780" w:rsidRPr="00F70F8F">
              <w:rPr>
                <w:spacing w:val="-2"/>
                <w:sz w:val="24"/>
                <w:szCs w:val="24"/>
                <w:lang w:val="en-US" w:eastAsia="ar-SA"/>
              </w:rPr>
              <w:t>I</w:t>
            </w:r>
            <w:r w:rsidR="00286780" w:rsidRPr="00F70F8F">
              <w:rPr>
                <w:spacing w:val="-2"/>
                <w:sz w:val="24"/>
                <w:szCs w:val="24"/>
                <w:lang w:eastAsia="ar-SA"/>
              </w:rPr>
              <w:t xml:space="preserve">25.2, </w:t>
            </w:r>
            <w:r w:rsidR="00286780" w:rsidRPr="00F70F8F">
              <w:rPr>
                <w:spacing w:val="-2"/>
                <w:sz w:val="24"/>
                <w:szCs w:val="24"/>
                <w:lang w:val="en-US" w:eastAsia="ar-SA"/>
              </w:rPr>
              <w:t>I</w:t>
            </w:r>
            <w:r w:rsidR="00286780" w:rsidRPr="00F70F8F">
              <w:rPr>
                <w:spacing w:val="-2"/>
                <w:sz w:val="24"/>
                <w:szCs w:val="24"/>
                <w:lang w:eastAsia="ar-SA"/>
              </w:rPr>
              <w:t>48)</w:t>
            </w:r>
          </w:p>
        </w:tc>
        <w:tc>
          <w:tcPr>
            <w:tcW w:w="1418" w:type="dxa"/>
            <w:tcBorders>
              <w:top w:val="single" w:sz="4" w:space="0" w:color="000000"/>
              <w:left w:val="single" w:sz="4" w:space="0" w:color="000000"/>
              <w:bottom w:val="single" w:sz="4" w:space="0" w:color="000000"/>
            </w:tcBorders>
            <w:tcMar>
              <w:left w:w="28" w:type="dxa"/>
              <w:right w:w="28" w:type="dxa"/>
            </w:tcMar>
            <w:vAlign w:val="center"/>
          </w:tcPr>
          <w:p w:rsidR="00286780" w:rsidRPr="00F70F8F" w:rsidRDefault="00286780" w:rsidP="00124D89">
            <w:pPr>
              <w:snapToGrid w:val="0"/>
              <w:jc w:val="center"/>
              <w:rPr>
                <w:spacing w:val="-2"/>
                <w:sz w:val="24"/>
                <w:szCs w:val="24"/>
                <w:lang w:val="en-US" w:eastAsia="ar-SA"/>
              </w:rPr>
            </w:pPr>
            <w:r w:rsidRPr="00F70F8F">
              <w:rPr>
                <w:spacing w:val="-2"/>
                <w:sz w:val="24"/>
                <w:szCs w:val="24"/>
                <w:lang w:val="en-US" w:eastAsia="ar-SA"/>
              </w:rPr>
              <w:t>10</w:t>
            </w:r>
          </w:p>
        </w:tc>
        <w:tc>
          <w:tcPr>
            <w:tcW w:w="992" w:type="dxa"/>
            <w:tcBorders>
              <w:top w:val="single" w:sz="4" w:space="0" w:color="000000"/>
              <w:left w:val="single" w:sz="4" w:space="0" w:color="000000"/>
              <w:bottom w:val="single" w:sz="4" w:space="0" w:color="000000"/>
            </w:tcBorders>
            <w:tcMar>
              <w:left w:w="28" w:type="dxa"/>
              <w:right w:w="28" w:type="dxa"/>
            </w:tcMar>
            <w:vAlign w:val="center"/>
          </w:tcPr>
          <w:p w:rsidR="00286780" w:rsidRPr="00F70F8F" w:rsidRDefault="00286780" w:rsidP="00124D89">
            <w:pPr>
              <w:snapToGrid w:val="0"/>
              <w:jc w:val="center"/>
              <w:rPr>
                <w:spacing w:val="-2"/>
                <w:sz w:val="24"/>
                <w:szCs w:val="24"/>
                <w:lang w:eastAsia="ar-SA"/>
              </w:rPr>
            </w:pPr>
            <w:r w:rsidRPr="00F70F8F">
              <w:rPr>
                <w:spacing w:val="-2"/>
                <w:sz w:val="24"/>
                <w:szCs w:val="24"/>
                <w:lang w:eastAsia="ar-SA"/>
              </w:rPr>
              <w:t>12</w:t>
            </w:r>
            <w:r w:rsidRPr="00F70F8F">
              <w:rPr>
                <w:spacing w:val="-2"/>
                <w:sz w:val="24"/>
                <w:szCs w:val="24"/>
                <w:lang w:val="en-US" w:eastAsia="ar-SA"/>
              </w:rPr>
              <w:t>,</w:t>
            </w:r>
            <w:r w:rsidRPr="00F70F8F">
              <w:rPr>
                <w:spacing w:val="-2"/>
                <w:sz w:val="24"/>
                <w:szCs w:val="24"/>
                <w:lang w:eastAsia="ar-SA"/>
              </w:rPr>
              <w:t>3</w:t>
            </w:r>
          </w:p>
        </w:tc>
        <w:tc>
          <w:tcPr>
            <w:tcW w:w="234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F70F8F" w:rsidRDefault="00286780" w:rsidP="00124D89">
            <w:pPr>
              <w:snapToGrid w:val="0"/>
              <w:jc w:val="center"/>
              <w:rPr>
                <w:spacing w:val="-2"/>
                <w:sz w:val="24"/>
                <w:szCs w:val="24"/>
                <w:lang w:eastAsia="ar-SA"/>
              </w:rPr>
            </w:pPr>
            <w:r w:rsidRPr="00F70F8F">
              <w:rPr>
                <w:spacing w:val="-2"/>
                <w:sz w:val="24"/>
                <w:szCs w:val="24"/>
                <w:lang w:eastAsia="ar-SA"/>
              </w:rPr>
              <w:t>2,8</w:t>
            </w:r>
          </w:p>
        </w:tc>
      </w:tr>
      <w:tr w:rsidR="00286780" w:rsidRPr="00F70F8F" w:rsidTr="00874414">
        <w:trPr>
          <w:trHeight w:val="454"/>
        </w:trPr>
        <w:tc>
          <w:tcPr>
            <w:tcW w:w="5165" w:type="dxa"/>
            <w:tcBorders>
              <w:top w:val="single" w:sz="4" w:space="0" w:color="000000"/>
              <w:left w:val="single" w:sz="4" w:space="0" w:color="000000"/>
              <w:bottom w:val="single" w:sz="4" w:space="0" w:color="000000"/>
            </w:tcBorders>
            <w:tcMar>
              <w:left w:w="28" w:type="dxa"/>
              <w:right w:w="28" w:type="dxa"/>
            </w:tcMar>
            <w:vAlign w:val="center"/>
          </w:tcPr>
          <w:p w:rsidR="00286780" w:rsidRPr="00F70F8F" w:rsidRDefault="00286780" w:rsidP="00124D89">
            <w:pPr>
              <w:snapToGrid w:val="0"/>
              <w:rPr>
                <w:spacing w:val="-2"/>
                <w:sz w:val="24"/>
                <w:szCs w:val="24"/>
                <w:lang w:eastAsia="ar-SA"/>
              </w:rPr>
            </w:pPr>
            <w:r w:rsidRPr="00F70F8F">
              <w:rPr>
                <w:spacing w:val="-2"/>
                <w:sz w:val="24"/>
                <w:szCs w:val="24"/>
                <w:lang w:eastAsia="ar-SA"/>
              </w:rPr>
              <w:t>Гепатит «С» («В») (</w:t>
            </w:r>
            <w:r w:rsidRPr="00F70F8F">
              <w:rPr>
                <w:spacing w:val="-2"/>
                <w:sz w:val="24"/>
                <w:szCs w:val="24"/>
                <w:lang w:val="en-US" w:eastAsia="ar-SA"/>
              </w:rPr>
              <w:t>B</w:t>
            </w:r>
            <w:r w:rsidRPr="00F70F8F">
              <w:rPr>
                <w:spacing w:val="-2"/>
                <w:sz w:val="24"/>
                <w:szCs w:val="24"/>
                <w:lang w:eastAsia="ar-SA"/>
              </w:rPr>
              <w:t>18) и/или цирроз печени (</w:t>
            </w:r>
            <w:r w:rsidRPr="00F70F8F">
              <w:rPr>
                <w:spacing w:val="-2"/>
                <w:sz w:val="24"/>
                <w:szCs w:val="24"/>
                <w:lang w:val="en-US" w:eastAsia="ar-SA"/>
              </w:rPr>
              <w:t>K</w:t>
            </w:r>
            <w:r w:rsidRPr="00F70F8F">
              <w:rPr>
                <w:spacing w:val="-2"/>
                <w:sz w:val="24"/>
                <w:szCs w:val="24"/>
                <w:lang w:eastAsia="ar-SA"/>
              </w:rPr>
              <w:t>74), в том числе в сочетании с ВИЧ (</w:t>
            </w:r>
            <w:r w:rsidRPr="00F70F8F">
              <w:rPr>
                <w:spacing w:val="-2"/>
                <w:sz w:val="24"/>
                <w:szCs w:val="24"/>
                <w:lang w:val="en-US" w:eastAsia="ar-SA"/>
              </w:rPr>
              <w:t>B</w:t>
            </w:r>
            <w:r w:rsidRPr="00F70F8F">
              <w:rPr>
                <w:spacing w:val="-2"/>
                <w:sz w:val="24"/>
                <w:szCs w:val="24"/>
                <w:lang w:eastAsia="ar-SA"/>
              </w:rPr>
              <w:t>20–</w:t>
            </w:r>
            <w:r w:rsidRPr="00F70F8F">
              <w:rPr>
                <w:spacing w:val="-2"/>
                <w:sz w:val="24"/>
                <w:szCs w:val="24"/>
                <w:lang w:val="en-US" w:eastAsia="ar-SA"/>
              </w:rPr>
              <w:t>B</w:t>
            </w:r>
            <w:r w:rsidRPr="00F70F8F">
              <w:rPr>
                <w:spacing w:val="-2"/>
                <w:sz w:val="24"/>
                <w:szCs w:val="24"/>
                <w:lang w:eastAsia="ar-SA"/>
              </w:rPr>
              <w:t>24) и/или АГ (</w:t>
            </w:r>
            <w:r w:rsidRPr="00F70F8F">
              <w:rPr>
                <w:spacing w:val="-2"/>
                <w:sz w:val="24"/>
                <w:szCs w:val="24"/>
                <w:lang w:val="en-US" w:eastAsia="ar-SA"/>
              </w:rPr>
              <w:t>I</w:t>
            </w:r>
            <w:r w:rsidRPr="00F70F8F">
              <w:rPr>
                <w:spacing w:val="-2"/>
                <w:sz w:val="24"/>
                <w:szCs w:val="24"/>
                <w:lang w:eastAsia="ar-SA"/>
              </w:rPr>
              <w:t>10–</w:t>
            </w:r>
            <w:r w:rsidRPr="00F70F8F">
              <w:rPr>
                <w:spacing w:val="-2"/>
                <w:sz w:val="24"/>
                <w:szCs w:val="24"/>
                <w:lang w:val="en-US" w:eastAsia="ar-SA"/>
              </w:rPr>
              <w:t>I</w:t>
            </w:r>
            <w:r w:rsidRPr="00F70F8F">
              <w:rPr>
                <w:spacing w:val="-2"/>
                <w:sz w:val="24"/>
                <w:szCs w:val="24"/>
                <w:lang w:eastAsia="ar-SA"/>
              </w:rPr>
              <w:t>13)</w:t>
            </w:r>
          </w:p>
        </w:tc>
        <w:tc>
          <w:tcPr>
            <w:tcW w:w="1418" w:type="dxa"/>
            <w:tcBorders>
              <w:top w:val="single" w:sz="4" w:space="0" w:color="000000"/>
              <w:left w:val="single" w:sz="4" w:space="0" w:color="000000"/>
              <w:bottom w:val="single" w:sz="4" w:space="0" w:color="000000"/>
            </w:tcBorders>
            <w:tcMar>
              <w:left w:w="28" w:type="dxa"/>
              <w:right w:w="28" w:type="dxa"/>
            </w:tcMar>
            <w:vAlign w:val="center"/>
          </w:tcPr>
          <w:p w:rsidR="00286780" w:rsidRPr="00F70F8F" w:rsidRDefault="00286780" w:rsidP="00124D89">
            <w:pPr>
              <w:snapToGrid w:val="0"/>
              <w:jc w:val="center"/>
              <w:rPr>
                <w:spacing w:val="-2"/>
                <w:sz w:val="24"/>
                <w:szCs w:val="24"/>
                <w:lang w:val="en-US" w:eastAsia="ar-SA"/>
              </w:rPr>
            </w:pPr>
            <w:r w:rsidRPr="00F70F8F">
              <w:rPr>
                <w:spacing w:val="-2"/>
                <w:sz w:val="24"/>
                <w:szCs w:val="24"/>
                <w:lang w:val="en-US" w:eastAsia="ar-SA"/>
              </w:rPr>
              <w:t>5</w:t>
            </w:r>
          </w:p>
        </w:tc>
        <w:tc>
          <w:tcPr>
            <w:tcW w:w="992" w:type="dxa"/>
            <w:tcBorders>
              <w:top w:val="single" w:sz="4" w:space="0" w:color="000000"/>
              <w:left w:val="single" w:sz="4" w:space="0" w:color="000000"/>
              <w:bottom w:val="single" w:sz="4" w:space="0" w:color="000000"/>
            </w:tcBorders>
            <w:tcMar>
              <w:left w:w="28" w:type="dxa"/>
              <w:right w:w="28" w:type="dxa"/>
            </w:tcMar>
            <w:vAlign w:val="center"/>
          </w:tcPr>
          <w:p w:rsidR="00286780" w:rsidRPr="00F70F8F" w:rsidRDefault="00286780" w:rsidP="00124D89">
            <w:pPr>
              <w:snapToGrid w:val="0"/>
              <w:jc w:val="center"/>
              <w:rPr>
                <w:spacing w:val="-2"/>
                <w:sz w:val="24"/>
                <w:szCs w:val="24"/>
                <w:lang w:eastAsia="ar-SA"/>
              </w:rPr>
            </w:pPr>
            <w:r w:rsidRPr="00F70F8F">
              <w:rPr>
                <w:spacing w:val="-2"/>
                <w:sz w:val="24"/>
                <w:szCs w:val="24"/>
                <w:lang w:eastAsia="ar-SA"/>
              </w:rPr>
              <w:t>6</w:t>
            </w:r>
            <w:r w:rsidRPr="00F70F8F">
              <w:rPr>
                <w:spacing w:val="-2"/>
                <w:sz w:val="24"/>
                <w:szCs w:val="24"/>
                <w:lang w:val="en-US" w:eastAsia="ar-SA"/>
              </w:rPr>
              <w:t>,</w:t>
            </w:r>
            <w:r w:rsidRPr="00F70F8F">
              <w:rPr>
                <w:spacing w:val="-2"/>
                <w:sz w:val="24"/>
                <w:szCs w:val="24"/>
                <w:lang w:eastAsia="ar-SA"/>
              </w:rPr>
              <w:t>2</w:t>
            </w:r>
          </w:p>
        </w:tc>
        <w:tc>
          <w:tcPr>
            <w:tcW w:w="234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F70F8F" w:rsidRDefault="00286780" w:rsidP="00124D89">
            <w:pPr>
              <w:snapToGrid w:val="0"/>
              <w:jc w:val="center"/>
              <w:rPr>
                <w:spacing w:val="-2"/>
                <w:sz w:val="24"/>
                <w:szCs w:val="24"/>
                <w:lang w:eastAsia="ar-SA"/>
              </w:rPr>
            </w:pPr>
            <w:r w:rsidRPr="00F70F8F">
              <w:rPr>
                <w:spacing w:val="-2"/>
                <w:sz w:val="24"/>
                <w:szCs w:val="24"/>
                <w:lang w:eastAsia="ar-SA"/>
              </w:rPr>
              <w:t>2,2</w:t>
            </w:r>
          </w:p>
        </w:tc>
      </w:tr>
      <w:tr w:rsidR="00286780" w:rsidRPr="00F70F8F" w:rsidTr="00874414">
        <w:trPr>
          <w:trHeight w:val="454"/>
        </w:trPr>
        <w:tc>
          <w:tcPr>
            <w:tcW w:w="5165" w:type="dxa"/>
            <w:tcBorders>
              <w:top w:val="single" w:sz="4" w:space="0" w:color="000000"/>
              <w:left w:val="single" w:sz="4" w:space="0" w:color="000000"/>
              <w:bottom w:val="single" w:sz="4" w:space="0" w:color="000000"/>
            </w:tcBorders>
            <w:tcMar>
              <w:left w:w="28" w:type="dxa"/>
              <w:right w:w="28" w:type="dxa"/>
            </w:tcMar>
            <w:vAlign w:val="center"/>
          </w:tcPr>
          <w:p w:rsidR="00286780" w:rsidRPr="00F70F8F" w:rsidRDefault="00286780" w:rsidP="00124D89">
            <w:pPr>
              <w:snapToGrid w:val="0"/>
              <w:jc w:val="both"/>
              <w:rPr>
                <w:spacing w:val="-2"/>
                <w:sz w:val="24"/>
                <w:szCs w:val="24"/>
                <w:lang w:eastAsia="ar-SA"/>
              </w:rPr>
            </w:pPr>
            <w:r w:rsidRPr="00F70F8F">
              <w:rPr>
                <w:spacing w:val="-2"/>
                <w:sz w:val="24"/>
                <w:szCs w:val="24"/>
                <w:lang w:eastAsia="ar-SA"/>
              </w:rPr>
              <w:t>Всего</w:t>
            </w:r>
          </w:p>
        </w:tc>
        <w:tc>
          <w:tcPr>
            <w:tcW w:w="1418" w:type="dxa"/>
            <w:tcBorders>
              <w:top w:val="single" w:sz="4" w:space="0" w:color="000000"/>
              <w:left w:val="single" w:sz="4" w:space="0" w:color="000000"/>
              <w:bottom w:val="single" w:sz="4" w:space="0" w:color="000000"/>
            </w:tcBorders>
            <w:tcMar>
              <w:left w:w="28" w:type="dxa"/>
              <w:right w:w="28" w:type="dxa"/>
            </w:tcMar>
            <w:vAlign w:val="center"/>
          </w:tcPr>
          <w:p w:rsidR="00286780" w:rsidRPr="00F70F8F" w:rsidRDefault="00286780" w:rsidP="00124D89">
            <w:pPr>
              <w:snapToGrid w:val="0"/>
              <w:jc w:val="center"/>
              <w:rPr>
                <w:spacing w:val="-2"/>
                <w:sz w:val="24"/>
                <w:szCs w:val="24"/>
                <w:lang w:eastAsia="ar-SA"/>
              </w:rPr>
            </w:pPr>
            <w:r w:rsidRPr="00F70F8F">
              <w:rPr>
                <w:spacing w:val="-2"/>
                <w:sz w:val="24"/>
                <w:szCs w:val="24"/>
                <w:lang w:eastAsia="ar-SA"/>
              </w:rPr>
              <w:t>81</w:t>
            </w:r>
          </w:p>
        </w:tc>
        <w:tc>
          <w:tcPr>
            <w:tcW w:w="992" w:type="dxa"/>
            <w:tcBorders>
              <w:top w:val="single" w:sz="4" w:space="0" w:color="000000"/>
              <w:left w:val="single" w:sz="4" w:space="0" w:color="000000"/>
              <w:bottom w:val="single" w:sz="4" w:space="0" w:color="000000"/>
            </w:tcBorders>
            <w:tcMar>
              <w:left w:w="28" w:type="dxa"/>
              <w:right w:w="28" w:type="dxa"/>
            </w:tcMar>
            <w:vAlign w:val="center"/>
          </w:tcPr>
          <w:p w:rsidR="00286780" w:rsidRPr="00F70F8F" w:rsidRDefault="00286780" w:rsidP="00124D89">
            <w:pPr>
              <w:snapToGrid w:val="0"/>
              <w:jc w:val="center"/>
              <w:rPr>
                <w:spacing w:val="-2"/>
                <w:sz w:val="24"/>
                <w:szCs w:val="24"/>
                <w:lang w:eastAsia="ar-SA"/>
              </w:rPr>
            </w:pPr>
            <w:r w:rsidRPr="00F70F8F">
              <w:rPr>
                <w:spacing w:val="-2"/>
                <w:sz w:val="24"/>
                <w:szCs w:val="24"/>
                <w:lang w:eastAsia="ar-SA"/>
              </w:rPr>
              <w:t>100</w:t>
            </w:r>
          </w:p>
        </w:tc>
        <w:tc>
          <w:tcPr>
            <w:tcW w:w="234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F70F8F" w:rsidRDefault="00286780" w:rsidP="00124D89">
            <w:pPr>
              <w:snapToGrid w:val="0"/>
              <w:jc w:val="center"/>
              <w:rPr>
                <w:spacing w:val="-2"/>
                <w:sz w:val="24"/>
                <w:szCs w:val="24"/>
                <w:lang w:eastAsia="ar-SA"/>
              </w:rPr>
            </w:pPr>
            <w:r w:rsidRPr="00F70F8F">
              <w:rPr>
                <w:spacing w:val="-2"/>
                <w:sz w:val="24"/>
                <w:szCs w:val="24"/>
                <w:lang w:eastAsia="ar-SA"/>
              </w:rPr>
              <w:t>–</w:t>
            </w:r>
          </w:p>
        </w:tc>
      </w:tr>
      <w:tr w:rsidR="00286780" w:rsidRPr="00F70F8F" w:rsidTr="00874414">
        <w:tc>
          <w:tcPr>
            <w:tcW w:w="9923" w:type="dxa"/>
            <w:gridSpan w:val="4"/>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F70F8F" w:rsidRDefault="00286780" w:rsidP="00124D89">
            <w:pPr>
              <w:snapToGrid w:val="0"/>
              <w:jc w:val="both"/>
              <w:rPr>
                <w:spacing w:val="-2"/>
                <w:sz w:val="24"/>
                <w:szCs w:val="24"/>
                <w:lang w:eastAsia="ar-SA"/>
              </w:rPr>
            </w:pPr>
            <w:r w:rsidRPr="00F70F8F">
              <w:rPr>
                <w:rFonts w:cs="Calibri"/>
                <w:i/>
                <w:spacing w:val="-2"/>
                <w:sz w:val="24"/>
                <w:szCs w:val="24"/>
                <w:lang w:eastAsia="ar-SA"/>
              </w:rPr>
              <w:t>Примечание</w:t>
            </w:r>
            <w:r w:rsidRPr="00F70F8F">
              <w:rPr>
                <w:rFonts w:cs="Calibri"/>
                <w:spacing w:val="-2"/>
                <w:sz w:val="24"/>
                <w:szCs w:val="24"/>
                <w:lang w:eastAsia="ar-SA"/>
              </w:rPr>
              <w:t>. АГ – артериальная гипертония; ИБС – ишемическая болезнь сердца; ХОБЛ – хроническая обструктивная болезнь легких; индекс полиморбидности Л. Б. Лазебника – отношение количества нозологических форм, выявленных в когорте исследуемых пациентов, к общему количеству пациентов в когорте; в круглых скобках представлен код заболевания по МКБ-10</w:t>
            </w:r>
          </w:p>
        </w:tc>
      </w:tr>
    </w:tbl>
    <w:p w:rsidR="00286780" w:rsidRPr="00F70F8F" w:rsidRDefault="00286780" w:rsidP="00124D89">
      <w:pPr>
        <w:jc w:val="both"/>
        <w:rPr>
          <w:rFonts w:cs="Calibri"/>
          <w:spacing w:val="-2"/>
          <w:sz w:val="28"/>
          <w:szCs w:val="28"/>
          <w:lang w:eastAsia="ar-SA"/>
        </w:rPr>
      </w:pP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 xml:space="preserve">В целом, в исследуемой группе у 81 пациентов количество эпизодов диагностики различных форм хронической патологии составило 172.Диагноз «артериальная гипертония» установлен в 69 эпизодах, ИБС – 36, сахарный диабет – 25, ХОБЛ – в семи, бронхиальная астма – в одном, пневмосклероз – в двух, ожирение – 10, </w:t>
      </w:r>
      <w:r w:rsidRPr="00124D89">
        <w:rPr>
          <w:sz w:val="28"/>
          <w:szCs w:val="28"/>
          <w:lang w:eastAsia="ar-SA"/>
        </w:rPr>
        <w:t>гепатит «С» («В») – в трех, цирроз печени – в двух, ВИЧ – в двух, мочекаменная болезнь – в одном, хронический пиелонефрит – в пяти, злокачественные новообразования – в четырех</w:t>
      </w:r>
      <w:r w:rsidRPr="00124D89">
        <w:rPr>
          <w:rFonts w:cs="Calibri"/>
          <w:sz w:val="28"/>
          <w:szCs w:val="28"/>
          <w:lang w:eastAsia="ar-SA"/>
        </w:rPr>
        <w:t>.</w:t>
      </w:r>
    </w:p>
    <w:p w:rsidR="00286780" w:rsidRPr="002351FD" w:rsidRDefault="00286780" w:rsidP="00124D89">
      <w:pPr>
        <w:spacing w:line="360" w:lineRule="auto"/>
        <w:ind w:firstLine="709"/>
        <w:jc w:val="both"/>
        <w:rPr>
          <w:rFonts w:cs="Calibri"/>
          <w:spacing w:val="-6"/>
          <w:sz w:val="28"/>
          <w:szCs w:val="28"/>
          <w:lang w:eastAsia="ar-SA"/>
        </w:rPr>
      </w:pPr>
      <w:r w:rsidRPr="00124D89">
        <w:rPr>
          <w:rFonts w:cs="Calibri"/>
          <w:sz w:val="28"/>
          <w:szCs w:val="28"/>
          <w:lang w:eastAsia="ar-SA"/>
        </w:rPr>
        <w:t xml:space="preserve">Соответственно, выявлено 69 пациентов с артериальной гипертонией (85,2%), 35 пациентов с ИБС (43,2%), 25 пациентов с сахарным диабетом (30,9%). </w:t>
      </w:r>
      <w:r w:rsidRPr="002351FD">
        <w:rPr>
          <w:rFonts w:cs="Calibri"/>
          <w:spacing w:val="-6"/>
          <w:sz w:val="28"/>
          <w:szCs w:val="28"/>
          <w:lang w:eastAsia="ar-SA"/>
        </w:rPr>
        <w:t>Индекс полиморбидности Л.Б. Лазебника изменяется от 2,2 у пациентов с артериальной гипертонией и ИБС до 2,8 у больных с заболеваниями органов дыхания (в целом от 2 до 4 нозологических форм у одного больного в абсолютных значениях).</w:t>
      </w: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lastRenderedPageBreak/>
        <w:t>В целом, терапевтическая полиморбидность у пациентов с МФОИ легкая (2–4 заболевания у одного человека), полиорганная полисистемная (из разных органов нескольких систем), или полиорганная моносистемная (в пределах одной системы), приобретенная, постнатальная.</w:t>
      </w: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 xml:space="preserve">Рассмотрим влияние различных форм полиорганной полиморбидной ХП внутренних органов на развитие гнойно-воспалительных осложнений у пациентов с МФОИ в сравнении с </w:t>
      </w:r>
      <w:r w:rsidR="00A423F7">
        <w:rPr>
          <w:rFonts w:cs="Calibri"/>
          <w:sz w:val="28"/>
          <w:szCs w:val="28"/>
          <w:lang w:eastAsia="ar-SA"/>
        </w:rPr>
        <w:t>под</w:t>
      </w:r>
      <w:r w:rsidRPr="00124D89">
        <w:rPr>
          <w:rFonts w:cs="Calibri"/>
          <w:sz w:val="28"/>
          <w:szCs w:val="28"/>
          <w:lang w:eastAsia="ar-SA"/>
        </w:rPr>
        <w:t>группой пациентов с МФОИ без ХП (Таблица</w:t>
      </w:r>
      <w:r>
        <w:rPr>
          <w:rFonts w:cs="Calibri"/>
          <w:sz w:val="28"/>
          <w:szCs w:val="28"/>
          <w:lang w:eastAsia="ar-SA"/>
        </w:rPr>
        <w:t xml:space="preserve"> 43</w:t>
      </w:r>
      <w:r w:rsidRPr="00124D89">
        <w:rPr>
          <w:rFonts w:cs="Calibri"/>
          <w:sz w:val="28"/>
          <w:szCs w:val="28"/>
          <w:lang w:eastAsia="ar-SA"/>
        </w:rPr>
        <w:t>).</w:t>
      </w:r>
    </w:p>
    <w:p w:rsidR="00286780" w:rsidRPr="002351FD" w:rsidRDefault="00286780" w:rsidP="00124D89">
      <w:pPr>
        <w:rPr>
          <w:sz w:val="16"/>
          <w:szCs w:val="16"/>
        </w:rPr>
      </w:pPr>
    </w:p>
    <w:p w:rsidR="00286780" w:rsidRPr="00230E05" w:rsidRDefault="00286780" w:rsidP="00124D89">
      <w:pPr>
        <w:spacing w:after="120"/>
        <w:jc w:val="both"/>
        <w:rPr>
          <w:spacing w:val="-12"/>
          <w:sz w:val="28"/>
          <w:szCs w:val="28"/>
        </w:rPr>
      </w:pPr>
      <w:r w:rsidRPr="00124D89">
        <w:rPr>
          <w:b/>
          <w:sz w:val="28"/>
          <w:szCs w:val="28"/>
        </w:rPr>
        <w:t>Таблица 4</w:t>
      </w:r>
      <w:r>
        <w:rPr>
          <w:b/>
          <w:sz w:val="28"/>
          <w:szCs w:val="28"/>
        </w:rPr>
        <w:t>3</w:t>
      </w:r>
      <w:r w:rsidRPr="00124D89">
        <w:rPr>
          <w:sz w:val="28"/>
          <w:szCs w:val="28"/>
        </w:rPr>
        <w:t xml:space="preserve"> – Оценка влияния различных нозологических форм полиморбидной ХП на развитие гнойно-воспалительных осложнений у пациентов с МФОИ (сравнение с </w:t>
      </w:r>
      <w:r w:rsidR="00A423F7">
        <w:rPr>
          <w:sz w:val="28"/>
          <w:szCs w:val="28"/>
        </w:rPr>
        <w:t>под</w:t>
      </w:r>
      <w:r w:rsidRPr="00124D89">
        <w:rPr>
          <w:sz w:val="28"/>
          <w:szCs w:val="28"/>
        </w:rPr>
        <w:t>группой пациентов без ХП)</w:t>
      </w:r>
    </w:p>
    <w:tbl>
      <w:tblPr>
        <w:tblW w:w="9923" w:type="dxa"/>
        <w:tblLayout w:type="fixed"/>
        <w:tblLook w:val="0000" w:firstRow="0" w:lastRow="0" w:firstColumn="0" w:lastColumn="0" w:noHBand="0" w:noVBand="0"/>
      </w:tblPr>
      <w:tblGrid>
        <w:gridCol w:w="5557"/>
        <w:gridCol w:w="2409"/>
        <w:gridCol w:w="1957"/>
      </w:tblGrid>
      <w:tr w:rsidR="00286780" w:rsidRPr="00230E05" w:rsidTr="00230E05">
        <w:trPr>
          <w:trHeight w:val="227"/>
        </w:trPr>
        <w:tc>
          <w:tcPr>
            <w:tcW w:w="5557" w:type="dxa"/>
            <w:vMerge w:val="restart"/>
            <w:tcBorders>
              <w:top w:val="single" w:sz="4" w:space="0" w:color="000000"/>
              <w:left w:val="single" w:sz="4" w:space="0" w:color="000000"/>
            </w:tcBorders>
            <w:tcMar>
              <w:left w:w="28" w:type="dxa"/>
              <w:right w:w="28" w:type="dxa"/>
            </w:tcMar>
            <w:vAlign w:val="center"/>
          </w:tcPr>
          <w:p w:rsidR="00286780" w:rsidRPr="00230E05" w:rsidRDefault="00286780" w:rsidP="00124D89">
            <w:pPr>
              <w:snapToGrid w:val="0"/>
              <w:jc w:val="center"/>
              <w:rPr>
                <w:rFonts w:cs="Calibri"/>
                <w:i/>
                <w:spacing w:val="-12"/>
                <w:sz w:val="24"/>
                <w:szCs w:val="24"/>
                <w:lang w:eastAsia="ar-SA"/>
              </w:rPr>
            </w:pPr>
            <w:r w:rsidRPr="00230E05">
              <w:rPr>
                <w:rFonts w:cs="Calibri"/>
                <w:i/>
                <w:spacing w:val="-12"/>
                <w:sz w:val="24"/>
                <w:szCs w:val="24"/>
                <w:lang w:eastAsia="ar-SA"/>
              </w:rPr>
              <w:t xml:space="preserve">Полиорганная полиморбидная патология, </w:t>
            </w:r>
          </w:p>
          <w:p w:rsidR="00286780" w:rsidRPr="00230E05" w:rsidRDefault="00286780" w:rsidP="00124D89">
            <w:pPr>
              <w:snapToGrid w:val="0"/>
              <w:jc w:val="center"/>
              <w:rPr>
                <w:rFonts w:cs="Calibri"/>
                <w:i/>
                <w:spacing w:val="-12"/>
                <w:sz w:val="24"/>
                <w:szCs w:val="24"/>
                <w:lang w:eastAsia="ar-SA"/>
              </w:rPr>
            </w:pPr>
            <w:r w:rsidRPr="00230E05">
              <w:rPr>
                <w:rFonts w:cs="Calibri"/>
                <w:i/>
                <w:spacing w:val="-12"/>
                <w:sz w:val="24"/>
                <w:szCs w:val="24"/>
                <w:lang w:eastAsia="ar-SA"/>
              </w:rPr>
              <w:t>кол-во больных</w:t>
            </w:r>
          </w:p>
        </w:tc>
        <w:tc>
          <w:tcPr>
            <w:tcW w:w="4366" w:type="dxa"/>
            <w:gridSpan w:val="2"/>
            <w:tcBorders>
              <w:top w:val="single" w:sz="4" w:space="0" w:color="000000"/>
              <w:left w:val="single" w:sz="4" w:space="0" w:color="000000"/>
              <w:right w:val="single" w:sz="4" w:space="0" w:color="000000"/>
            </w:tcBorders>
            <w:tcMar>
              <w:left w:w="28" w:type="dxa"/>
              <w:right w:w="28" w:type="dxa"/>
            </w:tcMar>
            <w:vAlign w:val="center"/>
          </w:tcPr>
          <w:p w:rsidR="00286780" w:rsidRPr="00230E05" w:rsidRDefault="00286780" w:rsidP="00124D89">
            <w:pPr>
              <w:snapToGrid w:val="0"/>
              <w:jc w:val="center"/>
              <w:rPr>
                <w:rFonts w:cs="Calibri"/>
                <w:i/>
                <w:spacing w:val="-12"/>
                <w:sz w:val="24"/>
                <w:szCs w:val="24"/>
                <w:lang w:eastAsia="ar-SA"/>
              </w:rPr>
            </w:pPr>
            <w:r w:rsidRPr="00230E05">
              <w:rPr>
                <w:rFonts w:cs="Calibri"/>
                <w:i/>
                <w:spacing w:val="-12"/>
                <w:sz w:val="24"/>
                <w:szCs w:val="24"/>
                <w:lang w:eastAsia="ar-SA"/>
              </w:rPr>
              <w:t>Осложнения (развитие флегмон, распространение гнойно-воспалительного процесса)</w:t>
            </w:r>
          </w:p>
        </w:tc>
      </w:tr>
      <w:tr w:rsidR="00286780" w:rsidRPr="00230E05" w:rsidTr="00230E05">
        <w:trPr>
          <w:trHeight w:val="227"/>
        </w:trPr>
        <w:tc>
          <w:tcPr>
            <w:tcW w:w="5557" w:type="dxa"/>
            <w:vMerge/>
            <w:tcBorders>
              <w:left w:val="single" w:sz="4" w:space="0" w:color="000000"/>
            </w:tcBorders>
            <w:tcMar>
              <w:left w:w="28" w:type="dxa"/>
              <w:right w:w="28" w:type="dxa"/>
            </w:tcMar>
            <w:vAlign w:val="center"/>
          </w:tcPr>
          <w:p w:rsidR="00286780" w:rsidRPr="00230E05" w:rsidRDefault="00286780" w:rsidP="00124D89">
            <w:pPr>
              <w:snapToGrid w:val="0"/>
              <w:jc w:val="center"/>
              <w:rPr>
                <w:rFonts w:cs="Calibri"/>
                <w:spacing w:val="-12"/>
                <w:sz w:val="24"/>
                <w:szCs w:val="24"/>
                <w:lang w:eastAsia="ar-SA"/>
              </w:rPr>
            </w:pPr>
          </w:p>
        </w:tc>
        <w:tc>
          <w:tcPr>
            <w:tcW w:w="2409" w:type="dxa"/>
            <w:tcBorders>
              <w:top w:val="single" w:sz="4" w:space="0" w:color="000000"/>
              <w:left w:val="single" w:sz="4" w:space="0" w:color="000000"/>
            </w:tcBorders>
            <w:tcMar>
              <w:left w:w="28" w:type="dxa"/>
              <w:right w:w="28" w:type="dxa"/>
            </w:tcMar>
            <w:vAlign w:val="center"/>
          </w:tcPr>
          <w:p w:rsidR="00286780" w:rsidRPr="00230E05" w:rsidRDefault="00286780" w:rsidP="00124D89">
            <w:pPr>
              <w:snapToGrid w:val="0"/>
              <w:jc w:val="center"/>
              <w:rPr>
                <w:rFonts w:cs="Calibri"/>
                <w:spacing w:val="-12"/>
                <w:sz w:val="24"/>
                <w:szCs w:val="24"/>
                <w:lang w:eastAsia="ar-SA"/>
              </w:rPr>
            </w:pPr>
            <w:r w:rsidRPr="00230E05">
              <w:rPr>
                <w:rFonts w:cs="Calibri"/>
                <w:spacing w:val="-12"/>
                <w:sz w:val="24"/>
                <w:szCs w:val="24"/>
                <w:lang w:eastAsia="ar-SA"/>
              </w:rPr>
              <w:t>Кол-во пациентов (%)</w:t>
            </w:r>
          </w:p>
        </w:tc>
        <w:tc>
          <w:tcPr>
            <w:tcW w:w="1957" w:type="dxa"/>
            <w:tcBorders>
              <w:top w:val="single" w:sz="4" w:space="0" w:color="000000"/>
              <w:left w:val="single" w:sz="4" w:space="0" w:color="000000"/>
              <w:right w:val="single" w:sz="4" w:space="0" w:color="000000"/>
            </w:tcBorders>
            <w:tcMar>
              <w:left w:w="28" w:type="dxa"/>
              <w:right w:w="28" w:type="dxa"/>
            </w:tcMar>
            <w:vAlign w:val="center"/>
          </w:tcPr>
          <w:p w:rsidR="00286780" w:rsidRPr="00230E05" w:rsidRDefault="00286780" w:rsidP="00124D89">
            <w:pPr>
              <w:snapToGrid w:val="0"/>
              <w:jc w:val="center"/>
              <w:rPr>
                <w:rFonts w:cs="Calibri"/>
                <w:spacing w:val="-12"/>
                <w:sz w:val="24"/>
                <w:szCs w:val="24"/>
                <w:lang w:val="en-US" w:eastAsia="ar-SA"/>
              </w:rPr>
            </w:pPr>
            <w:r w:rsidRPr="00230E05">
              <w:rPr>
                <w:rFonts w:cs="Calibri"/>
                <w:spacing w:val="-12"/>
                <w:sz w:val="24"/>
                <w:szCs w:val="24"/>
                <w:lang w:eastAsia="ar-SA"/>
              </w:rPr>
              <w:t xml:space="preserve">Значение </w:t>
            </w:r>
            <w:r w:rsidRPr="00230E05">
              <w:rPr>
                <w:rFonts w:cs="Calibri"/>
                <w:spacing w:val="-12"/>
                <w:sz w:val="24"/>
                <w:szCs w:val="24"/>
                <w:lang w:val="en-US" w:eastAsia="ar-SA"/>
              </w:rPr>
              <w:t>p</w:t>
            </w:r>
          </w:p>
        </w:tc>
      </w:tr>
      <w:tr w:rsidR="00286780" w:rsidRPr="00230E05" w:rsidTr="00230E05">
        <w:trPr>
          <w:trHeight w:val="454"/>
        </w:trPr>
        <w:tc>
          <w:tcPr>
            <w:tcW w:w="5557" w:type="dxa"/>
            <w:tcBorders>
              <w:top w:val="single" w:sz="4" w:space="0" w:color="000000"/>
              <w:left w:val="single" w:sz="4" w:space="0" w:color="000000"/>
              <w:bottom w:val="single" w:sz="4" w:space="0" w:color="000000"/>
            </w:tcBorders>
            <w:tcMar>
              <w:left w:w="28" w:type="dxa"/>
              <w:right w:w="28" w:type="dxa"/>
            </w:tcMar>
          </w:tcPr>
          <w:p w:rsidR="00286780" w:rsidRPr="00230E05" w:rsidRDefault="00286780" w:rsidP="00124D89">
            <w:pPr>
              <w:snapToGrid w:val="0"/>
              <w:jc w:val="both"/>
              <w:rPr>
                <w:spacing w:val="-12"/>
                <w:sz w:val="24"/>
                <w:szCs w:val="24"/>
                <w:lang w:eastAsia="ar-SA"/>
              </w:rPr>
            </w:pPr>
            <w:r w:rsidRPr="00230E05">
              <w:rPr>
                <w:spacing w:val="-12"/>
                <w:sz w:val="24"/>
                <w:szCs w:val="24"/>
                <w:lang w:eastAsia="ar-SA"/>
              </w:rPr>
              <w:t>АГ (</w:t>
            </w:r>
            <w:r w:rsidRPr="00230E05">
              <w:rPr>
                <w:spacing w:val="-12"/>
                <w:sz w:val="24"/>
                <w:szCs w:val="24"/>
                <w:lang w:val="en-US" w:eastAsia="ar-SA"/>
              </w:rPr>
              <w:t>I</w:t>
            </w:r>
            <w:r w:rsidRPr="00230E05">
              <w:rPr>
                <w:spacing w:val="-12"/>
                <w:sz w:val="24"/>
                <w:szCs w:val="24"/>
                <w:lang w:eastAsia="ar-SA"/>
              </w:rPr>
              <w:t>10-</w:t>
            </w:r>
            <w:r w:rsidRPr="00230E05">
              <w:rPr>
                <w:spacing w:val="-12"/>
                <w:sz w:val="24"/>
                <w:szCs w:val="24"/>
                <w:lang w:val="en-US" w:eastAsia="ar-SA"/>
              </w:rPr>
              <w:t>I</w:t>
            </w:r>
            <w:r w:rsidRPr="00230E05">
              <w:rPr>
                <w:spacing w:val="-12"/>
                <w:sz w:val="24"/>
                <w:szCs w:val="24"/>
                <w:lang w:eastAsia="ar-SA"/>
              </w:rPr>
              <w:t>13) и/или ИБС (стабильная стенокардия напряжения, атеросклероз аорты, постинфарктный кардиосклероз, фибрилляция предсердий (</w:t>
            </w:r>
            <w:r w:rsidRPr="00230E05">
              <w:rPr>
                <w:spacing w:val="-12"/>
                <w:sz w:val="24"/>
                <w:szCs w:val="24"/>
                <w:lang w:val="en-US" w:eastAsia="ar-SA"/>
              </w:rPr>
              <w:t>I</w:t>
            </w:r>
            <w:r w:rsidRPr="00230E05">
              <w:rPr>
                <w:spacing w:val="-12"/>
                <w:sz w:val="24"/>
                <w:szCs w:val="24"/>
                <w:lang w:eastAsia="ar-SA"/>
              </w:rPr>
              <w:t xml:space="preserve">20, </w:t>
            </w:r>
            <w:r w:rsidRPr="00230E05">
              <w:rPr>
                <w:spacing w:val="-12"/>
                <w:sz w:val="24"/>
                <w:szCs w:val="24"/>
                <w:lang w:val="en-US" w:eastAsia="ar-SA"/>
              </w:rPr>
              <w:t>I</w:t>
            </w:r>
            <w:r w:rsidRPr="00230E05">
              <w:rPr>
                <w:spacing w:val="-12"/>
                <w:sz w:val="24"/>
                <w:szCs w:val="24"/>
                <w:lang w:eastAsia="ar-SA"/>
              </w:rPr>
              <w:t xml:space="preserve">25, </w:t>
            </w:r>
            <w:r w:rsidRPr="00230E05">
              <w:rPr>
                <w:spacing w:val="-12"/>
                <w:sz w:val="24"/>
                <w:szCs w:val="24"/>
                <w:lang w:val="en-US" w:eastAsia="ar-SA"/>
              </w:rPr>
              <w:t>I</w:t>
            </w:r>
            <w:r w:rsidRPr="00230E05">
              <w:rPr>
                <w:spacing w:val="-12"/>
                <w:sz w:val="24"/>
                <w:szCs w:val="24"/>
                <w:lang w:eastAsia="ar-SA"/>
              </w:rPr>
              <w:t xml:space="preserve">25.2, </w:t>
            </w:r>
            <w:r w:rsidRPr="00230E05">
              <w:rPr>
                <w:spacing w:val="-12"/>
                <w:sz w:val="24"/>
                <w:szCs w:val="24"/>
                <w:lang w:val="en-US" w:eastAsia="ar-SA"/>
              </w:rPr>
              <w:t>I</w:t>
            </w:r>
            <w:r w:rsidRPr="00230E05">
              <w:rPr>
                <w:spacing w:val="-12"/>
                <w:sz w:val="24"/>
                <w:szCs w:val="24"/>
                <w:lang w:eastAsia="ar-SA"/>
              </w:rPr>
              <w:t>48)), ревматическая болезнь сердца (</w:t>
            </w:r>
            <w:r w:rsidRPr="00230E05">
              <w:rPr>
                <w:spacing w:val="-12"/>
                <w:sz w:val="24"/>
                <w:szCs w:val="24"/>
                <w:lang w:val="en-US" w:eastAsia="ar-SA"/>
              </w:rPr>
              <w:t>I</w:t>
            </w:r>
            <w:r w:rsidRPr="00230E05">
              <w:rPr>
                <w:spacing w:val="-12"/>
                <w:sz w:val="24"/>
                <w:szCs w:val="24"/>
                <w:lang w:eastAsia="ar-SA"/>
              </w:rPr>
              <w:t>05–</w:t>
            </w:r>
            <w:r w:rsidRPr="00230E05">
              <w:rPr>
                <w:spacing w:val="-12"/>
                <w:sz w:val="24"/>
                <w:szCs w:val="24"/>
                <w:lang w:val="en-US" w:eastAsia="ar-SA"/>
              </w:rPr>
              <w:t>I</w:t>
            </w:r>
            <w:r w:rsidRPr="00230E05">
              <w:rPr>
                <w:spacing w:val="-12"/>
                <w:sz w:val="24"/>
                <w:szCs w:val="24"/>
                <w:lang w:eastAsia="ar-SA"/>
              </w:rPr>
              <w:t>09), в том числе в сочетании с ожирением (</w:t>
            </w:r>
            <w:r w:rsidRPr="00230E05">
              <w:rPr>
                <w:spacing w:val="-12"/>
                <w:sz w:val="24"/>
                <w:szCs w:val="24"/>
                <w:lang w:val="en-US" w:eastAsia="ar-SA"/>
              </w:rPr>
              <w:t>E</w:t>
            </w:r>
            <w:r w:rsidRPr="00230E05">
              <w:rPr>
                <w:spacing w:val="-12"/>
                <w:sz w:val="24"/>
                <w:szCs w:val="24"/>
                <w:lang w:eastAsia="ar-SA"/>
              </w:rPr>
              <w:t>66); мочекаменной болезнью или хроническим пиелонефритом (</w:t>
            </w:r>
            <w:r w:rsidRPr="00230E05">
              <w:rPr>
                <w:spacing w:val="-12"/>
                <w:sz w:val="24"/>
                <w:szCs w:val="24"/>
                <w:lang w:val="en-US" w:eastAsia="ar-SA"/>
              </w:rPr>
              <w:t>N</w:t>
            </w:r>
            <w:r w:rsidRPr="00230E05">
              <w:rPr>
                <w:spacing w:val="-12"/>
                <w:sz w:val="24"/>
                <w:szCs w:val="24"/>
                <w:lang w:eastAsia="ar-SA"/>
              </w:rPr>
              <w:t>20–</w:t>
            </w:r>
            <w:r w:rsidRPr="00230E05">
              <w:rPr>
                <w:spacing w:val="-12"/>
                <w:sz w:val="24"/>
                <w:szCs w:val="24"/>
                <w:lang w:val="en-US" w:eastAsia="ar-SA"/>
              </w:rPr>
              <w:t>N</w:t>
            </w:r>
            <w:r w:rsidRPr="00230E05">
              <w:rPr>
                <w:spacing w:val="-12"/>
                <w:sz w:val="24"/>
                <w:szCs w:val="24"/>
                <w:lang w:eastAsia="ar-SA"/>
              </w:rPr>
              <w:t xml:space="preserve">23, </w:t>
            </w:r>
            <w:r w:rsidRPr="00230E05">
              <w:rPr>
                <w:spacing w:val="-12"/>
                <w:sz w:val="24"/>
                <w:szCs w:val="24"/>
                <w:lang w:val="en-US" w:eastAsia="ar-SA"/>
              </w:rPr>
              <w:t>N</w:t>
            </w:r>
            <w:r w:rsidRPr="00230E05">
              <w:rPr>
                <w:spacing w:val="-12"/>
                <w:sz w:val="24"/>
                <w:szCs w:val="24"/>
                <w:lang w:eastAsia="ar-SA"/>
              </w:rPr>
              <w:t xml:space="preserve">11), </w:t>
            </w:r>
            <w:r w:rsidRPr="00230E05">
              <w:rPr>
                <w:spacing w:val="-12"/>
                <w:sz w:val="24"/>
                <w:szCs w:val="24"/>
                <w:lang w:val="en-US" w:eastAsia="ar-SA"/>
              </w:rPr>
              <w:t>n</w:t>
            </w:r>
            <w:r>
              <w:rPr>
                <w:spacing w:val="-12"/>
                <w:sz w:val="24"/>
                <w:szCs w:val="24"/>
                <w:lang w:eastAsia="ar-SA"/>
              </w:rPr>
              <w:t>=</w:t>
            </w:r>
            <w:r w:rsidRPr="00230E05">
              <w:rPr>
                <w:spacing w:val="-12"/>
                <w:sz w:val="24"/>
                <w:szCs w:val="24"/>
                <w:lang w:eastAsia="ar-SA"/>
              </w:rPr>
              <w:t>41</w:t>
            </w:r>
          </w:p>
        </w:tc>
        <w:tc>
          <w:tcPr>
            <w:tcW w:w="2409" w:type="dxa"/>
            <w:tcBorders>
              <w:top w:val="single" w:sz="4" w:space="0" w:color="000000"/>
              <w:left w:val="single" w:sz="4" w:space="0" w:color="000000"/>
              <w:bottom w:val="single" w:sz="4" w:space="0" w:color="000000"/>
            </w:tcBorders>
            <w:tcMar>
              <w:left w:w="28" w:type="dxa"/>
              <w:right w:w="28" w:type="dxa"/>
            </w:tcMar>
            <w:vAlign w:val="center"/>
          </w:tcPr>
          <w:p w:rsidR="00286780" w:rsidRPr="00230E05" w:rsidRDefault="00286780" w:rsidP="00124D89">
            <w:pPr>
              <w:snapToGrid w:val="0"/>
              <w:jc w:val="center"/>
              <w:rPr>
                <w:rFonts w:cs="Calibri"/>
                <w:iCs/>
                <w:spacing w:val="-12"/>
                <w:sz w:val="24"/>
                <w:szCs w:val="24"/>
                <w:lang w:eastAsia="ar-SA"/>
              </w:rPr>
            </w:pPr>
            <w:r w:rsidRPr="00230E05">
              <w:rPr>
                <w:rFonts w:cs="Calibri"/>
                <w:iCs/>
                <w:spacing w:val="-12"/>
                <w:sz w:val="24"/>
                <w:szCs w:val="24"/>
                <w:lang w:eastAsia="ar-SA"/>
              </w:rPr>
              <w:t>8 (19,5)*</w:t>
            </w:r>
          </w:p>
        </w:tc>
        <w:tc>
          <w:tcPr>
            <w:tcW w:w="195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230E05" w:rsidRDefault="00286780" w:rsidP="00124D89">
            <w:pPr>
              <w:snapToGrid w:val="0"/>
              <w:jc w:val="center"/>
              <w:rPr>
                <w:rFonts w:cs="Calibri"/>
                <w:i/>
                <w:iCs/>
                <w:spacing w:val="-12"/>
                <w:sz w:val="24"/>
                <w:szCs w:val="24"/>
                <w:lang w:eastAsia="ar-SA"/>
              </w:rPr>
            </w:pPr>
            <w:r w:rsidRPr="00230E05">
              <w:rPr>
                <w:rFonts w:cs="Calibri"/>
                <w:i/>
                <w:iCs/>
                <w:spacing w:val="-12"/>
                <w:sz w:val="24"/>
                <w:szCs w:val="24"/>
                <w:lang w:eastAsia="ar-SA"/>
              </w:rPr>
              <w:t>&lt; 0,05</w:t>
            </w:r>
          </w:p>
        </w:tc>
      </w:tr>
      <w:tr w:rsidR="00286780" w:rsidRPr="00230E05" w:rsidTr="00230E05">
        <w:trPr>
          <w:trHeight w:val="454"/>
        </w:trPr>
        <w:tc>
          <w:tcPr>
            <w:tcW w:w="5557" w:type="dxa"/>
            <w:tcBorders>
              <w:top w:val="single" w:sz="4" w:space="0" w:color="000000"/>
              <w:left w:val="single" w:sz="4" w:space="0" w:color="000000"/>
              <w:bottom w:val="single" w:sz="4" w:space="0" w:color="000000"/>
            </w:tcBorders>
            <w:tcMar>
              <w:left w:w="28" w:type="dxa"/>
              <w:right w:w="28" w:type="dxa"/>
            </w:tcMar>
          </w:tcPr>
          <w:p w:rsidR="00286780" w:rsidRPr="00230E05" w:rsidRDefault="00286780" w:rsidP="00124D89">
            <w:pPr>
              <w:snapToGrid w:val="0"/>
              <w:jc w:val="both"/>
              <w:rPr>
                <w:spacing w:val="-12"/>
                <w:sz w:val="24"/>
                <w:szCs w:val="24"/>
                <w:lang w:eastAsia="ar-SA"/>
              </w:rPr>
            </w:pPr>
            <w:r w:rsidRPr="00230E05">
              <w:rPr>
                <w:spacing w:val="-12"/>
                <w:sz w:val="24"/>
                <w:szCs w:val="24"/>
                <w:lang w:eastAsia="ar-SA"/>
              </w:rPr>
              <w:t xml:space="preserve">Сахарный диабет (тип 2-й, </w:t>
            </w:r>
            <w:r w:rsidRPr="00230E05">
              <w:rPr>
                <w:spacing w:val="-12"/>
                <w:sz w:val="24"/>
                <w:szCs w:val="24"/>
                <w:lang w:val="en-US" w:eastAsia="ar-SA"/>
              </w:rPr>
              <w:t>E</w:t>
            </w:r>
            <w:r w:rsidRPr="00230E05">
              <w:rPr>
                <w:spacing w:val="-12"/>
                <w:sz w:val="24"/>
                <w:szCs w:val="24"/>
                <w:lang w:eastAsia="ar-SA"/>
              </w:rPr>
              <w:t>11) и АГ (</w:t>
            </w:r>
            <w:r w:rsidRPr="00230E05">
              <w:rPr>
                <w:spacing w:val="-12"/>
                <w:sz w:val="24"/>
                <w:szCs w:val="24"/>
                <w:lang w:val="en-US" w:eastAsia="ar-SA"/>
              </w:rPr>
              <w:t>I</w:t>
            </w:r>
            <w:r w:rsidRPr="00230E05">
              <w:rPr>
                <w:spacing w:val="-12"/>
                <w:sz w:val="24"/>
                <w:szCs w:val="24"/>
                <w:lang w:eastAsia="ar-SA"/>
              </w:rPr>
              <w:t>10–</w:t>
            </w:r>
            <w:r w:rsidRPr="00230E05">
              <w:rPr>
                <w:spacing w:val="-12"/>
                <w:sz w:val="24"/>
                <w:szCs w:val="24"/>
                <w:lang w:val="en-US" w:eastAsia="ar-SA"/>
              </w:rPr>
              <w:t>I</w:t>
            </w:r>
            <w:r w:rsidRPr="00230E05">
              <w:rPr>
                <w:spacing w:val="-12"/>
                <w:sz w:val="24"/>
                <w:szCs w:val="24"/>
                <w:lang w:eastAsia="ar-SA"/>
              </w:rPr>
              <w:t>13)/ИБС (</w:t>
            </w:r>
            <w:r w:rsidRPr="00230E05">
              <w:rPr>
                <w:spacing w:val="-12"/>
                <w:sz w:val="24"/>
                <w:szCs w:val="24"/>
                <w:lang w:val="en-US" w:eastAsia="ar-SA"/>
              </w:rPr>
              <w:t>I</w:t>
            </w:r>
            <w:r w:rsidRPr="00230E05">
              <w:rPr>
                <w:spacing w:val="-12"/>
                <w:sz w:val="24"/>
                <w:szCs w:val="24"/>
                <w:lang w:eastAsia="ar-SA"/>
              </w:rPr>
              <w:t xml:space="preserve">20, </w:t>
            </w:r>
            <w:r w:rsidRPr="00230E05">
              <w:rPr>
                <w:spacing w:val="-12"/>
                <w:sz w:val="24"/>
                <w:szCs w:val="24"/>
                <w:lang w:val="en-US" w:eastAsia="ar-SA"/>
              </w:rPr>
              <w:t>I</w:t>
            </w:r>
            <w:r w:rsidRPr="00230E05">
              <w:rPr>
                <w:spacing w:val="-12"/>
                <w:sz w:val="24"/>
                <w:szCs w:val="24"/>
                <w:lang w:eastAsia="ar-SA"/>
              </w:rPr>
              <w:t xml:space="preserve">25, </w:t>
            </w:r>
            <w:r w:rsidRPr="00230E05">
              <w:rPr>
                <w:spacing w:val="-12"/>
                <w:sz w:val="24"/>
                <w:szCs w:val="24"/>
                <w:lang w:val="en-US" w:eastAsia="ar-SA"/>
              </w:rPr>
              <w:t>I</w:t>
            </w:r>
            <w:r w:rsidRPr="00230E05">
              <w:rPr>
                <w:spacing w:val="-12"/>
                <w:sz w:val="24"/>
                <w:szCs w:val="24"/>
                <w:lang w:eastAsia="ar-SA"/>
              </w:rPr>
              <w:t>25.2), в том числе в сочетании с ожирением (</w:t>
            </w:r>
            <w:r w:rsidRPr="00230E05">
              <w:rPr>
                <w:spacing w:val="-12"/>
                <w:sz w:val="24"/>
                <w:szCs w:val="24"/>
                <w:lang w:val="en-US" w:eastAsia="ar-SA"/>
              </w:rPr>
              <w:t>E</w:t>
            </w:r>
            <w:r w:rsidRPr="00230E05">
              <w:rPr>
                <w:spacing w:val="-12"/>
                <w:sz w:val="24"/>
                <w:szCs w:val="24"/>
                <w:lang w:eastAsia="ar-SA"/>
              </w:rPr>
              <w:t xml:space="preserve">66), </w:t>
            </w:r>
            <w:r>
              <w:rPr>
                <w:spacing w:val="-12"/>
                <w:sz w:val="24"/>
                <w:szCs w:val="24"/>
                <w:lang w:eastAsia="ar-SA"/>
              </w:rPr>
              <w:br/>
            </w:r>
            <w:r w:rsidRPr="00230E05">
              <w:rPr>
                <w:spacing w:val="-12"/>
                <w:sz w:val="24"/>
                <w:szCs w:val="24"/>
                <w:lang w:val="en-US" w:eastAsia="ar-SA"/>
              </w:rPr>
              <w:t>n</w:t>
            </w:r>
            <w:r w:rsidRPr="00230E05">
              <w:rPr>
                <w:spacing w:val="-12"/>
                <w:sz w:val="24"/>
                <w:szCs w:val="24"/>
                <w:lang w:eastAsia="ar-SA"/>
              </w:rPr>
              <w:t xml:space="preserve"> = 25</w:t>
            </w:r>
          </w:p>
        </w:tc>
        <w:tc>
          <w:tcPr>
            <w:tcW w:w="2409" w:type="dxa"/>
            <w:tcBorders>
              <w:top w:val="single" w:sz="4" w:space="0" w:color="000000"/>
              <w:left w:val="single" w:sz="4" w:space="0" w:color="000000"/>
              <w:bottom w:val="single" w:sz="4" w:space="0" w:color="000000"/>
            </w:tcBorders>
            <w:tcMar>
              <w:left w:w="28" w:type="dxa"/>
              <w:right w:w="28" w:type="dxa"/>
            </w:tcMar>
            <w:vAlign w:val="center"/>
          </w:tcPr>
          <w:p w:rsidR="00286780" w:rsidRPr="00230E05" w:rsidRDefault="00286780" w:rsidP="00124D89">
            <w:pPr>
              <w:snapToGrid w:val="0"/>
              <w:jc w:val="center"/>
              <w:rPr>
                <w:rFonts w:cs="Calibri"/>
                <w:spacing w:val="-12"/>
                <w:sz w:val="24"/>
                <w:szCs w:val="24"/>
                <w:lang w:eastAsia="ar-SA"/>
              </w:rPr>
            </w:pPr>
            <w:r w:rsidRPr="00230E05">
              <w:rPr>
                <w:rFonts w:cs="Calibri"/>
                <w:spacing w:val="-12"/>
                <w:sz w:val="24"/>
                <w:szCs w:val="24"/>
                <w:lang w:eastAsia="ar-SA"/>
              </w:rPr>
              <w:t>6 (24)*</w:t>
            </w:r>
          </w:p>
        </w:tc>
        <w:tc>
          <w:tcPr>
            <w:tcW w:w="195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230E05" w:rsidRDefault="00286780" w:rsidP="00124D89">
            <w:pPr>
              <w:snapToGrid w:val="0"/>
              <w:jc w:val="center"/>
              <w:rPr>
                <w:rFonts w:cs="Calibri"/>
                <w:i/>
                <w:iCs/>
                <w:spacing w:val="-12"/>
                <w:sz w:val="24"/>
                <w:szCs w:val="24"/>
                <w:lang w:eastAsia="ar-SA"/>
              </w:rPr>
            </w:pPr>
            <w:r w:rsidRPr="00230E05">
              <w:rPr>
                <w:rFonts w:cs="Calibri"/>
                <w:i/>
                <w:iCs/>
                <w:spacing w:val="-12"/>
                <w:sz w:val="24"/>
                <w:szCs w:val="24"/>
                <w:lang w:eastAsia="ar-SA"/>
              </w:rPr>
              <w:t>&lt; 0,05</w:t>
            </w:r>
          </w:p>
        </w:tc>
      </w:tr>
      <w:tr w:rsidR="00286780" w:rsidRPr="00230E05" w:rsidTr="00230E05">
        <w:trPr>
          <w:trHeight w:val="454"/>
        </w:trPr>
        <w:tc>
          <w:tcPr>
            <w:tcW w:w="5557" w:type="dxa"/>
            <w:tcBorders>
              <w:top w:val="single" w:sz="4" w:space="0" w:color="000000"/>
              <w:left w:val="single" w:sz="4" w:space="0" w:color="000000"/>
              <w:bottom w:val="single" w:sz="4" w:space="0" w:color="000000"/>
            </w:tcBorders>
            <w:tcMar>
              <w:left w:w="28" w:type="dxa"/>
              <w:right w:w="28" w:type="dxa"/>
            </w:tcMar>
          </w:tcPr>
          <w:p w:rsidR="00286780" w:rsidRPr="00230E05" w:rsidRDefault="00C55ECF" w:rsidP="00124D89">
            <w:pPr>
              <w:snapToGrid w:val="0"/>
              <w:jc w:val="both"/>
              <w:rPr>
                <w:spacing w:val="-12"/>
                <w:sz w:val="24"/>
                <w:szCs w:val="24"/>
                <w:lang w:eastAsia="ar-SA"/>
              </w:rPr>
            </w:pPr>
            <w:r>
              <w:rPr>
                <w:spacing w:val="-12"/>
                <w:sz w:val="24"/>
                <w:szCs w:val="24"/>
                <w:lang w:eastAsia="ar-SA"/>
              </w:rPr>
              <w:t xml:space="preserve">ХОБЛ/Бронхиальная астма или </w:t>
            </w:r>
            <w:r w:rsidR="00286780" w:rsidRPr="00230E05">
              <w:rPr>
                <w:spacing w:val="-12"/>
                <w:sz w:val="24"/>
                <w:szCs w:val="24"/>
                <w:lang w:eastAsia="ar-SA"/>
              </w:rPr>
              <w:t>пневмосклероз (</w:t>
            </w:r>
            <w:r w:rsidR="00286780" w:rsidRPr="00230E05">
              <w:rPr>
                <w:spacing w:val="-12"/>
                <w:sz w:val="24"/>
                <w:szCs w:val="24"/>
                <w:lang w:val="en-US" w:eastAsia="ar-SA"/>
              </w:rPr>
              <w:t>J</w:t>
            </w:r>
            <w:r w:rsidR="00286780" w:rsidRPr="00230E05">
              <w:rPr>
                <w:spacing w:val="-12"/>
                <w:sz w:val="24"/>
                <w:szCs w:val="24"/>
                <w:lang w:eastAsia="ar-SA"/>
              </w:rPr>
              <w:t xml:space="preserve">44, </w:t>
            </w:r>
            <w:r w:rsidR="00286780" w:rsidRPr="00230E05">
              <w:rPr>
                <w:spacing w:val="-12"/>
                <w:sz w:val="24"/>
                <w:szCs w:val="24"/>
                <w:lang w:val="en-US" w:eastAsia="ar-SA"/>
              </w:rPr>
              <w:t>J</w:t>
            </w:r>
            <w:r w:rsidR="00286780" w:rsidRPr="00230E05">
              <w:rPr>
                <w:spacing w:val="-12"/>
                <w:sz w:val="24"/>
                <w:szCs w:val="24"/>
                <w:lang w:eastAsia="ar-SA"/>
              </w:rPr>
              <w:t xml:space="preserve">45, </w:t>
            </w:r>
            <w:r w:rsidR="00286780" w:rsidRPr="00230E05">
              <w:rPr>
                <w:spacing w:val="-12"/>
                <w:sz w:val="24"/>
                <w:szCs w:val="24"/>
                <w:lang w:val="en-US" w:eastAsia="ar-SA"/>
              </w:rPr>
              <w:t>J</w:t>
            </w:r>
            <w:r w:rsidR="00286780" w:rsidRPr="00230E05">
              <w:rPr>
                <w:spacing w:val="-12"/>
                <w:sz w:val="24"/>
                <w:szCs w:val="24"/>
                <w:lang w:eastAsia="ar-SA"/>
              </w:rPr>
              <w:t>84) и АГ (</w:t>
            </w:r>
            <w:r w:rsidR="00286780" w:rsidRPr="00230E05">
              <w:rPr>
                <w:spacing w:val="-12"/>
                <w:sz w:val="24"/>
                <w:szCs w:val="24"/>
                <w:lang w:val="en-US" w:eastAsia="ar-SA"/>
              </w:rPr>
              <w:t>I</w:t>
            </w:r>
            <w:r w:rsidR="00286780" w:rsidRPr="00230E05">
              <w:rPr>
                <w:spacing w:val="-12"/>
                <w:sz w:val="24"/>
                <w:szCs w:val="24"/>
                <w:lang w:eastAsia="ar-SA"/>
              </w:rPr>
              <w:t>10–</w:t>
            </w:r>
            <w:r w:rsidR="00286780" w:rsidRPr="00230E05">
              <w:rPr>
                <w:spacing w:val="-12"/>
                <w:sz w:val="24"/>
                <w:szCs w:val="24"/>
                <w:lang w:val="en-US" w:eastAsia="ar-SA"/>
              </w:rPr>
              <w:t>I</w:t>
            </w:r>
            <w:r w:rsidR="00286780" w:rsidRPr="00230E05">
              <w:rPr>
                <w:spacing w:val="-12"/>
                <w:sz w:val="24"/>
                <w:szCs w:val="24"/>
                <w:lang w:eastAsia="ar-SA"/>
              </w:rPr>
              <w:t>13) и/или ИБС (</w:t>
            </w:r>
            <w:r w:rsidR="00286780" w:rsidRPr="00230E05">
              <w:rPr>
                <w:spacing w:val="-12"/>
                <w:sz w:val="24"/>
                <w:szCs w:val="24"/>
                <w:lang w:val="en-US" w:eastAsia="ar-SA"/>
              </w:rPr>
              <w:t>I</w:t>
            </w:r>
            <w:r w:rsidR="00286780" w:rsidRPr="00230E05">
              <w:rPr>
                <w:spacing w:val="-12"/>
                <w:sz w:val="24"/>
                <w:szCs w:val="24"/>
                <w:lang w:eastAsia="ar-SA"/>
              </w:rPr>
              <w:t xml:space="preserve">20, </w:t>
            </w:r>
            <w:r w:rsidR="00286780" w:rsidRPr="00230E05">
              <w:rPr>
                <w:spacing w:val="-12"/>
                <w:sz w:val="24"/>
                <w:szCs w:val="24"/>
                <w:lang w:val="en-US" w:eastAsia="ar-SA"/>
              </w:rPr>
              <w:t>I</w:t>
            </w:r>
            <w:r w:rsidR="00286780" w:rsidRPr="00230E05">
              <w:rPr>
                <w:spacing w:val="-12"/>
                <w:sz w:val="24"/>
                <w:szCs w:val="24"/>
                <w:lang w:eastAsia="ar-SA"/>
              </w:rPr>
              <w:t xml:space="preserve">25, </w:t>
            </w:r>
            <w:r w:rsidR="00286780" w:rsidRPr="00230E05">
              <w:rPr>
                <w:spacing w:val="-12"/>
                <w:sz w:val="24"/>
                <w:szCs w:val="24"/>
                <w:lang w:val="en-US" w:eastAsia="ar-SA"/>
              </w:rPr>
              <w:t>I</w:t>
            </w:r>
            <w:r w:rsidR="00286780" w:rsidRPr="00230E05">
              <w:rPr>
                <w:spacing w:val="-12"/>
                <w:sz w:val="24"/>
                <w:szCs w:val="24"/>
                <w:lang w:eastAsia="ar-SA"/>
              </w:rPr>
              <w:t xml:space="preserve">25.2, </w:t>
            </w:r>
            <w:r w:rsidR="00286780" w:rsidRPr="00230E05">
              <w:rPr>
                <w:spacing w:val="-12"/>
                <w:sz w:val="24"/>
                <w:szCs w:val="24"/>
                <w:lang w:val="en-US" w:eastAsia="ar-SA"/>
              </w:rPr>
              <w:t>I</w:t>
            </w:r>
            <w:r w:rsidR="00286780" w:rsidRPr="00230E05">
              <w:rPr>
                <w:spacing w:val="-12"/>
                <w:sz w:val="24"/>
                <w:szCs w:val="24"/>
                <w:lang w:eastAsia="ar-SA"/>
              </w:rPr>
              <w:t xml:space="preserve">48), </w:t>
            </w:r>
            <w:r w:rsidR="00286780" w:rsidRPr="00230E05">
              <w:rPr>
                <w:spacing w:val="-12"/>
                <w:sz w:val="24"/>
                <w:szCs w:val="24"/>
                <w:lang w:val="en-US" w:eastAsia="ar-SA"/>
              </w:rPr>
              <w:t>n</w:t>
            </w:r>
            <w:r w:rsidR="00286780">
              <w:rPr>
                <w:spacing w:val="-12"/>
                <w:sz w:val="24"/>
                <w:szCs w:val="24"/>
                <w:lang w:eastAsia="ar-SA"/>
              </w:rPr>
              <w:t>=</w:t>
            </w:r>
            <w:r w:rsidR="00286780" w:rsidRPr="00230E05">
              <w:rPr>
                <w:spacing w:val="-12"/>
                <w:sz w:val="24"/>
                <w:szCs w:val="24"/>
                <w:lang w:eastAsia="ar-SA"/>
              </w:rPr>
              <w:t>10</w:t>
            </w:r>
          </w:p>
        </w:tc>
        <w:tc>
          <w:tcPr>
            <w:tcW w:w="2409" w:type="dxa"/>
            <w:tcBorders>
              <w:top w:val="single" w:sz="4" w:space="0" w:color="000000"/>
              <w:left w:val="single" w:sz="4" w:space="0" w:color="000000"/>
              <w:bottom w:val="single" w:sz="4" w:space="0" w:color="000000"/>
            </w:tcBorders>
            <w:tcMar>
              <w:left w:w="28" w:type="dxa"/>
              <w:right w:w="28" w:type="dxa"/>
            </w:tcMar>
            <w:vAlign w:val="center"/>
          </w:tcPr>
          <w:p w:rsidR="00286780" w:rsidRPr="00230E05" w:rsidRDefault="00286780" w:rsidP="00124D89">
            <w:pPr>
              <w:snapToGrid w:val="0"/>
              <w:jc w:val="center"/>
              <w:rPr>
                <w:rFonts w:cs="Calibri"/>
                <w:spacing w:val="-12"/>
                <w:sz w:val="24"/>
                <w:szCs w:val="24"/>
                <w:lang w:eastAsia="ar-SA"/>
              </w:rPr>
            </w:pPr>
            <w:r w:rsidRPr="00230E05">
              <w:rPr>
                <w:rFonts w:cs="Calibri"/>
                <w:spacing w:val="-12"/>
                <w:sz w:val="24"/>
                <w:szCs w:val="24"/>
                <w:lang w:eastAsia="ar-SA"/>
              </w:rPr>
              <w:t>0</w:t>
            </w:r>
          </w:p>
        </w:tc>
        <w:tc>
          <w:tcPr>
            <w:tcW w:w="195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230E05" w:rsidRDefault="00286780" w:rsidP="00124D89">
            <w:pPr>
              <w:snapToGrid w:val="0"/>
              <w:jc w:val="center"/>
              <w:rPr>
                <w:rFonts w:cs="Calibri"/>
                <w:spacing w:val="-12"/>
                <w:sz w:val="24"/>
                <w:szCs w:val="24"/>
                <w:lang w:eastAsia="ar-SA"/>
              </w:rPr>
            </w:pPr>
            <w:r w:rsidRPr="00230E05">
              <w:rPr>
                <w:rFonts w:cs="Calibri"/>
                <w:spacing w:val="-12"/>
                <w:sz w:val="24"/>
                <w:szCs w:val="24"/>
                <w:lang w:eastAsia="ar-SA"/>
              </w:rPr>
              <w:t>&gt; 0,05</w:t>
            </w:r>
          </w:p>
        </w:tc>
      </w:tr>
      <w:tr w:rsidR="00286780" w:rsidRPr="00230E05" w:rsidTr="00230E05">
        <w:trPr>
          <w:trHeight w:val="454"/>
        </w:trPr>
        <w:tc>
          <w:tcPr>
            <w:tcW w:w="5557" w:type="dxa"/>
            <w:tcBorders>
              <w:top w:val="single" w:sz="4" w:space="0" w:color="000000"/>
              <w:left w:val="single" w:sz="4" w:space="0" w:color="000000"/>
              <w:bottom w:val="single" w:sz="4" w:space="0" w:color="000000"/>
            </w:tcBorders>
            <w:tcMar>
              <w:left w:w="28" w:type="dxa"/>
              <w:right w:w="28" w:type="dxa"/>
            </w:tcMar>
          </w:tcPr>
          <w:p w:rsidR="00286780" w:rsidRPr="00230E05" w:rsidRDefault="00286780" w:rsidP="00124D89">
            <w:pPr>
              <w:snapToGrid w:val="0"/>
              <w:jc w:val="both"/>
              <w:rPr>
                <w:spacing w:val="-12"/>
                <w:sz w:val="24"/>
                <w:szCs w:val="24"/>
                <w:lang w:eastAsia="ar-SA"/>
              </w:rPr>
            </w:pPr>
            <w:r w:rsidRPr="00230E05">
              <w:rPr>
                <w:spacing w:val="-12"/>
                <w:sz w:val="24"/>
                <w:szCs w:val="24"/>
                <w:lang w:eastAsia="ar-SA"/>
              </w:rPr>
              <w:t>Гепатит «С» («В») (</w:t>
            </w:r>
            <w:r w:rsidRPr="00230E05">
              <w:rPr>
                <w:spacing w:val="-12"/>
                <w:sz w:val="24"/>
                <w:szCs w:val="24"/>
                <w:lang w:val="en-US" w:eastAsia="ar-SA"/>
              </w:rPr>
              <w:t>B</w:t>
            </w:r>
            <w:r w:rsidRPr="00230E05">
              <w:rPr>
                <w:spacing w:val="-12"/>
                <w:sz w:val="24"/>
                <w:szCs w:val="24"/>
                <w:lang w:eastAsia="ar-SA"/>
              </w:rPr>
              <w:t>18) и/или цирроз печени (</w:t>
            </w:r>
            <w:r w:rsidRPr="00230E05">
              <w:rPr>
                <w:spacing w:val="-12"/>
                <w:sz w:val="24"/>
                <w:szCs w:val="24"/>
                <w:lang w:val="en-US" w:eastAsia="ar-SA"/>
              </w:rPr>
              <w:t>K</w:t>
            </w:r>
            <w:r w:rsidRPr="00230E05">
              <w:rPr>
                <w:spacing w:val="-12"/>
                <w:sz w:val="24"/>
                <w:szCs w:val="24"/>
                <w:lang w:eastAsia="ar-SA"/>
              </w:rPr>
              <w:t>74), в том числе в сочетании с ВИЧ (</w:t>
            </w:r>
            <w:r w:rsidRPr="00230E05">
              <w:rPr>
                <w:spacing w:val="-12"/>
                <w:sz w:val="24"/>
                <w:szCs w:val="24"/>
                <w:lang w:val="en-US" w:eastAsia="ar-SA"/>
              </w:rPr>
              <w:t>B</w:t>
            </w:r>
            <w:r w:rsidRPr="00230E05">
              <w:rPr>
                <w:spacing w:val="-12"/>
                <w:sz w:val="24"/>
                <w:szCs w:val="24"/>
                <w:lang w:eastAsia="ar-SA"/>
              </w:rPr>
              <w:t>20–</w:t>
            </w:r>
            <w:r w:rsidRPr="00230E05">
              <w:rPr>
                <w:spacing w:val="-12"/>
                <w:sz w:val="24"/>
                <w:szCs w:val="24"/>
                <w:lang w:val="en-US" w:eastAsia="ar-SA"/>
              </w:rPr>
              <w:t>B</w:t>
            </w:r>
            <w:r w:rsidRPr="00230E05">
              <w:rPr>
                <w:spacing w:val="-12"/>
                <w:sz w:val="24"/>
                <w:szCs w:val="24"/>
                <w:lang w:eastAsia="ar-SA"/>
              </w:rPr>
              <w:t>24) и/или с АГ (</w:t>
            </w:r>
            <w:r w:rsidRPr="00230E05">
              <w:rPr>
                <w:spacing w:val="-12"/>
                <w:sz w:val="24"/>
                <w:szCs w:val="24"/>
                <w:lang w:val="en-US" w:eastAsia="ar-SA"/>
              </w:rPr>
              <w:t>I</w:t>
            </w:r>
            <w:r w:rsidRPr="00230E05">
              <w:rPr>
                <w:spacing w:val="-12"/>
                <w:sz w:val="24"/>
                <w:szCs w:val="24"/>
                <w:lang w:eastAsia="ar-SA"/>
              </w:rPr>
              <w:t>10–</w:t>
            </w:r>
            <w:r w:rsidRPr="00230E05">
              <w:rPr>
                <w:spacing w:val="-12"/>
                <w:sz w:val="24"/>
                <w:szCs w:val="24"/>
                <w:lang w:val="en-US" w:eastAsia="ar-SA"/>
              </w:rPr>
              <w:t>I</w:t>
            </w:r>
            <w:r w:rsidRPr="00230E05">
              <w:rPr>
                <w:spacing w:val="-12"/>
                <w:sz w:val="24"/>
                <w:szCs w:val="24"/>
                <w:lang w:eastAsia="ar-SA"/>
              </w:rPr>
              <w:t xml:space="preserve">13), </w:t>
            </w:r>
            <w:r>
              <w:rPr>
                <w:spacing w:val="-12"/>
                <w:sz w:val="24"/>
                <w:szCs w:val="24"/>
                <w:lang w:eastAsia="ar-SA"/>
              </w:rPr>
              <w:br/>
            </w:r>
            <w:r w:rsidRPr="00230E05">
              <w:rPr>
                <w:spacing w:val="-12"/>
                <w:sz w:val="24"/>
                <w:szCs w:val="24"/>
                <w:lang w:val="en-US" w:eastAsia="ar-SA"/>
              </w:rPr>
              <w:t>n</w:t>
            </w:r>
            <w:r>
              <w:rPr>
                <w:spacing w:val="-12"/>
                <w:sz w:val="24"/>
                <w:szCs w:val="24"/>
                <w:lang w:eastAsia="ar-SA"/>
              </w:rPr>
              <w:t>=</w:t>
            </w:r>
            <w:r w:rsidRPr="00230E05">
              <w:rPr>
                <w:spacing w:val="-12"/>
                <w:sz w:val="24"/>
                <w:szCs w:val="24"/>
                <w:lang w:eastAsia="ar-SA"/>
              </w:rPr>
              <w:t>5</w:t>
            </w:r>
          </w:p>
        </w:tc>
        <w:tc>
          <w:tcPr>
            <w:tcW w:w="2409" w:type="dxa"/>
            <w:tcBorders>
              <w:top w:val="single" w:sz="4" w:space="0" w:color="000000"/>
              <w:left w:val="single" w:sz="4" w:space="0" w:color="000000"/>
              <w:bottom w:val="single" w:sz="4" w:space="0" w:color="000000"/>
            </w:tcBorders>
            <w:tcMar>
              <w:left w:w="28" w:type="dxa"/>
              <w:right w:w="28" w:type="dxa"/>
            </w:tcMar>
            <w:vAlign w:val="center"/>
          </w:tcPr>
          <w:p w:rsidR="00286780" w:rsidRPr="00230E05" w:rsidRDefault="00286780" w:rsidP="00124D89">
            <w:pPr>
              <w:snapToGrid w:val="0"/>
              <w:jc w:val="center"/>
              <w:rPr>
                <w:rFonts w:cs="Calibri"/>
                <w:spacing w:val="-12"/>
                <w:sz w:val="24"/>
                <w:szCs w:val="24"/>
                <w:lang w:eastAsia="ar-SA"/>
              </w:rPr>
            </w:pPr>
            <w:r w:rsidRPr="00230E05">
              <w:rPr>
                <w:rFonts w:cs="Calibri"/>
                <w:spacing w:val="-12"/>
                <w:sz w:val="24"/>
                <w:szCs w:val="24"/>
                <w:lang w:eastAsia="ar-SA"/>
              </w:rPr>
              <w:t>0</w:t>
            </w:r>
          </w:p>
        </w:tc>
        <w:tc>
          <w:tcPr>
            <w:tcW w:w="195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230E05" w:rsidRDefault="00286780" w:rsidP="00124D89">
            <w:pPr>
              <w:snapToGrid w:val="0"/>
              <w:jc w:val="center"/>
              <w:rPr>
                <w:rFonts w:cs="Calibri"/>
                <w:spacing w:val="-12"/>
                <w:sz w:val="24"/>
                <w:szCs w:val="24"/>
                <w:lang w:eastAsia="ar-SA"/>
              </w:rPr>
            </w:pPr>
            <w:r w:rsidRPr="00230E05">
              <w:rPr>
                <w:rFonts w:cs="Calibri"/>
                <w:spacing w:val="-12"/>
                <w:sz w:val="24"/>
                <w:szCs w:val="24"/>
                <w:lang w:eastAsia="ar-SA"/>
              </w:rPr>
              <w:t>&gt; 0,05</w:t>
            </w:r>
          </w:p>
        </w:tc>
      </w:tr>
      <w:tr w:rsidR="00286780" w:rsidRPr="00230E05" w:rsidTr="00230E05">
        <w:trPr>
          <w:trHeight w:val="454"/>
        </w:trPr>
        <w:tc>
          <w:tcPr>
            <w:tcW w:w="5557" w:type="dxa"/>
            <w:tcBorders>
              <w:top w:val="single" w:sz="4" w:space="0" w:color="000000"/>
              <w:left w:val="single" w:sz="4" w:space="0" w:color="000000"/>
              <w:bottom w:val="single" w:sz="4" w:space="0" w:color="000000"/>
            </w:tcBorders>
            <w:tcMar>
              <w:left w:w="28" w:type="dxa"/>
              <w:right w:w="28" w:type="dxa"/>
            </w:tcMar>
            <w:vAlign w:val="center"/>
          </w:tcPr>
          <w:p w:rsidR="00286780" w:rsidRPr="00230E05" w:rsidRDefault="00286780" w:rsidP="00124D89">
            <w:pPr>
              <w:snapToGrid w:val="0"/>
              <w:jc w:val="both"/>
              <w:rPr>
                <w:spacing w:val="-12"/>
                <w:sz w:val="24"/>
                <w:szCs w:val="24"/>
                <w:lang w:eastAsia="ar-SA"/>
              </w:rPr>
            </w:pPr>
            <w:r w:rsidRPr="00230E05">
              <w:rPr>
                <w:spacing w:val="-12"/>
                <w:sz w:val="24"/>
                <w:szCs w:val="24"/>
                <w:lang w:eastAsia="ar-SA"/>
              </w:rPr>
              <w:t xml:space="preserve">Контрольная </w:t>
            </w:r>
            <w:r w:rsidR="00A423F7">
              <w:rPr>
                <w:spacing w:val="-12"/>
                <w:sz w:val="24"/>
                <w:szCs w:val="24"/>
                <w:lang w:eastAsia="ar-SA"/>
              </w:rPr>
              <w:t>под</w:t>
            </w:r>
            <w:r w:rsidRPr="00230E05">
              <w:rPr>
                <w:spacing w:val="-12"/>
                <w:sz w:val="24"/>
                <w:szCs w:val="24"/>
                <w:lang w:eastAsia="ar-SA"/>
              </w:rPr>
              <w:t>группа пациентов с МФОИ без ХП (</w:t>
            </w:r>
            <w:r w:rsidRPr="00230E05">
              <w:rPr>
                <w:spacing w:val="-12"/>
                <w:sz w:val="24"/>
                <w:szCs w:val="24"/>
                <w:lang w:val="en-US" w:eastAsia="ar-SA"/>
              </w:rPr>
              <w:t>n</w:t>
            </w:r>
            <w:r>
              <w:rPr>
                <w:spacing w:val="-12"/>
                <w:sz w:val="24"/>
                <w:szCs w:val="24"/>
                <w:lang w:eastAsia="ar-SA"/>
              </w:rPr>
              <w:t>=</w:t>
            </w:r>
            <w:r w:rsidRPr="00230E05">
              <w:rPr>
                <w:spacing w:val="-12"/>
                <w:sz w:val="24"/>
                <w:szCs w:val="24"/>
                <w:lang w:eastAsia="ar-SA"/>
              </w:rPr>
              <w:t>28)</w:t>
            </w:r>
          </w:p>
        </w:tc>
        <w:tc>
          <w:tcPr>
            <w:tcW w:w="2409" w:type="dxa"/>
            <w:tcBorders>
              <w:top w:val="single" w:sz="4" w:space="0" w:color="000000"/>
              <w:left w:val="single" w:sz="4" w:space="0" w:color="000000"/>
              <w:bottom w:val="single" w:sz="4" w:space="0" w:color="000000"/>
            </w:tcBorders>
            <w:tcMar>
              <w:left w:w="28" w:type="dxa"/>
              <w:right w:w="28" w:type="dxa"/>
            </w:tcMar>
            <w:vAlign w:val="center"/>
          </w:tcPr>
          <w:p w:rsidR="00286780" w:rsidRPr="00230E05" w:rsidRDefault="00286780" w:rsidP="00124D89">
            <w:pPr>
              <w:snapToGrid w:val="0"/>
              <w:jc w:val="center"/>
              <w:rPr>
                <w:rFonts w:cs="Calibri"/>
                <w:spacing w:val="-12"/>
                <w:sz w:val="24"/>
                <w:szCs w:val="24"/>
                <w:lang w:eastAsia="ar-SA"/>
              </w:rPr>
            </w:pPr>
            <w:r w:rsidRPr="00230E05">
              <w:rPr>
                <w:rFonts w:cs="Calibri"/>
                <w:spacing w:val="-12"/>
                <w:sz w:val="24"/>
                <w:szCs w:val="24"/>
                <w:lang w:eastAsia="ar-SA"/>
              </w:rPr>
              <w:t>1 (3,6)</w:t>
            </w:r>
          </w:p>
        </w:tc>
        <w:tc>
          <w:tcPr>
            <w:tcW w:w="195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230E05" w:rsidRDefault="00286780" w:rsidP="00124D89">
            <w:pPr>
              <w:snapToGrid w:val="0"/>
              <w:jc w:val="center"/>
              <w:rPr>
                <w:rFonts w:cs="Calibri"/>
                <w:spacing w:val="-12"/>
                <w:sz w:val="24"/>
                <w:szCs w:val="24"/>
                <w:lang w:eastAsia="ar-SA"/>
              </w:rPr>
            </w:pPr>
            <w:r w:rsidRPr="00230E05">
              <w:rPr>
                <w:rFonts w:cs="Calibri"/>
                <w:spacing w:val="-12"/>
                <w:sz w:val="24"/>
                <w:szCs w:val="24"/>
                <w:lang w:eastAsia="ar-SA"/>
              </w:rPr>
              <w:t>–</w:t>
            </w:r>
          </w:p>
        </w:tc>
      </w:tr>
      <w:tr w:rsidR="00286780" w:rsidRPr="00230E05" w:rsidTr="00874414">
        <w:trPr>
          <w:trHeight w:val="454"/>
        </w:trPr>
        <w:tc>
          <w:tcPr>
            <w:tcW w:w="9923" w:type="dxa"/>
            <w:gridSpan w:val="3"/>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230E05" w:rsidRDefault="00286780" w:rsidP="00124D89">
            <w:pPr>
              <w:jc w:val="both"/>
              <w:rPr>
                <w:rFonts w:cs="Calibri"/>
                <w:spacing w:val="-12"/>
                <w:sz w:val="24"/>
                <w:szCs w:val="24"/>
                <w:lang w:eastAsia="ar-SA"/>
              </w:rPr>
            </w:pPr>
            <w:r w:rsidRPr="00230E05">
              <w:rPr>
                <w:rFonts w:cs="Calibri"/>
                <w:i/>
                <w:spacing w:val="-12"/>
                <w:sz w:val="24"/>
                <w:szCs w:val="24"/>
                <w:lang w:eastAsia="ar-SA"/>
              </w:rPr>
              <w:t>Примечание</w:t>
            </w:r>
            <w:r w:rsidRPr="00230E05">
              <w:rPr>
                <w:rFonts w:cs="Calibri"/>
                <w:spacing w:val="-12"/>
                <w:sz w:val="24"/>
                <w:szCs w:val="24"/>
                <w:lang w:eastAsia="ar-SA"/>
              </w:rPr>
              <w:t>. * – различия статистически значимы в сра</w:t>
            </w:r>
            <w:r>
              <w:rPr>
                <w:rFonts w:cs="Calibri"/>
                <w:spacing w:val="-12"/>
                <w:sz w:val="24"/>
                <w:szCs w:val="24"/>
                <w:lang w:eastAsia="ar-SA"/>
              </w:rPr>
              <w:t>внении с контрольной группой (р &lt;</w:t>
            </w:r>
            <w:r w:rsidRPr="00230E05">
              <w:rPr>
                <w:rFonts w:cs="Calibri"/>
                <w:spacing w:val="-12"/>
                <w:sz w:val="24"/>
                <w:szCs w:val="24"/>
                <w:lang w:eastAsia="ar-SA"/>
              </w:rPr>
              <w:t>0,05); в круглых скобках представлен код заболевания по МКБ-10</w:t>
            </w:r>
          </w:p>
        </w:tc>
      </w:tr>
    </w:tbl>
    <w:p w:rsidR="00286780" w:rsidRPr="00230E05" w:rsidRDefault="00286780" w:rsidP="00124D89">
      <w:pPr>
        <w:jc w:val="both"/>
        <w:rPr>
          <w:rFonts w:cs="Calibri"/>
          <w:spacing w:val="-12"/>
          <w:sz w:val="24"/>
          <w:szCs w:val="24"/>
          <w:lang w:eastAsia="ar-SA"/>
        </w:rPr>
      </w:pPr>
    </w:p>
    <w:p w:rsidR="00286780" w:rsidRPr="00230E05" w:rsidRDefault="00286780" w:rsidP="00124D89">
      <w:pPr>
        <w:tabs>
          <w:tab w:val="left" w:pos="1760"/>
        </w:tabs>
        <w:spacing w:line="360" w:lineRule="auto"/>
        <w:ind w:firstLine="709"/>
        <w:jc w:val="both"/>
        <w:rPr>
          <w:rFonts w:cs="Calibri"/>
          <w:spacing w:val="-2"/>
          <w:sz w:val="28"/>
          <w:szCs w:val="28"/>
          <w:lang w:eastAsia="ar-SA"/>
        </w:rPr>
      </w:pPr>
      <w:r>
        <w:rPr>
          <w:rFonts w:cs="Calibri"/>
          <w:spacing w:val="-2"/>
          <w:sz w:val="28"/>
          <w:szCs w:val="28"/>
          <w:lang w:eastAsia="ar-SA"/>
        </w:rPr>
        <w:t>Из Таблицы 43</w:t>
      </w:r>
      <w:r w:rsidRPr="00230E05">
        <w:rPr>
          <w:rFonts w:cs="Calibri"/>
          <w:spacing w:val="-2"/>
          <w:sz w:val="28"/>
          <w:szCs w:val="28"/>
          <w:lang w:eastAsia="ar-SA"/>
        </w:rPr>
        <w:t xml:space="preserve"> следует, что полиморбидные сочетания ХП сердечно-сосудистой системы, </w:t>
      </w:r>
      <w:r w:rsidRPr="00230E05">
        <w:rPr>
          <w:spacing w:val="-2"/>
          <w:sz w:val="28"/>
          <w:szCs w:val="28"/>
          <w:lang w:eastAsia="ar-SA"/>
        </w:rPr>
        <w:t>сахарного диабета и АГ/ИБС</w:t>
      </w:r>
      <w:r w:rsidRPr="00230E05">
        <w:rPr>
          <w:rFonts w:cs="Calibri"/>
          <w:spacing w:val="-2"/>
          <w:sz w:val="28"/>
          <w:szCs w:val="28"/>
          <w:lang w:eastAsia="ar-SA"/>
        </w:rPr>
        <w:t xml:space="preserve"> оказывают статистически значимое влияние на течение основного патологического процесса – МФОИ, так как определяют высокую частоту развития гнойно-воспалительного осложнения – распространения флегмонозного процесса на соседние клетчаточные пространства. </w:t>
      </w: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Следовательно, по отношению к локальному одонтогенному воспалительному процессу отдельные формы полиорганной полиморбидной хронической патологии внутренних органов (ХП сердечно-сосудистой системы, сахарный диа</w:t>
      </w:r>
      <w:r w:rsidRPr="00124D89">
        <w:rPr>
          <w:rFonts w:cs="Calibri"/>
          <w:sz w:val="28"/>
          <w:szCs w:val="28"/>
          <w:lang w:eastAsia="ar-SA"/>
        </w:rPr>
        <w:lastRenderedPageBreak/>
        <w:t xml:space="preserve">бет) </w:t>
      </w:r>
      <w:r w:rsidRPr="00124D89">
        <w:rPr>
          <w:rFonts w:cs="Calibri"/>
          <w:i/>
          <w:iCs/>
          <w:sz w:val="28"/>
          <w:szCs w:val="28"/>
          <w:lang w:eastAsia="ar-SA"/>
        </w:rPr>
        <w:t>являются</w:t>
      </w:r>
      <w:r w:rsidRPr="00124D89">
        <w:rPr>
          <w:rFonts w:cs="Calibri"/>
          <w:i/>
          <w:sz w:val="28"/>
          <w:szCs w:val="28"/>
          <w:lang w:eastAsia="ar-SA"/>
        </w:rPr>
        <w:t>фоновыми</w:t>
      </w:r>
      <w:r w:rsidRPr="00124D89">
        <w:rPr>
          <w:rFonts w:cs="Calibri"/>
          <w:sz w:val="28"/>
          <w:szCs w:val="28"/>
          <w:lang w:eastAsia="ar-SA"/>
        </w:rPr>
        <w:t>, так как оказывают существенное и статистически значимое влияние на течение основного заболевания.</w:t>
      </w: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 xml:space="preserve">Полиорганная полиморбидная ХП органов дыхания, хроническая патология печени, в т. ч. при наличии ВИЧ, у пациентов с МФОИ </w:t>
      </w:r>
      <w:r w:rsidRPr="00124D89">
        <w:rPr>
          <w:rFonts w:cs="Calibri"/>
          <w:i/>
          <w:iCs/>
          <w:sz w:val="28"/>
          <w:szCs w:val="28"/>
          <w:lang w:eastAsia="ar-SA"/>
        </w:rPr>
        <w:t>фоновой не является</w:t>
      </w:r>
      <w:r w:rsidRPr="00124D89">
        <w:rPr>
          <w:rFonts w:cs="Calibri"/>
          <w:sz w:val="28"/>
          <w:szCs w:val="28"/>
          <w:lang w:eastAsia="ar-SA"/>
        </w:rPr>
        <w:t>.</w:t>
      </w: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 xml:space="preserve">Средние значения показателей частоты дыхательных движений, гемодинамики, клеточного и биохимического составов крови у больных с МФОИ и </w:t>
      </w:r>
      <w:r w:rsidRPr="00124D89">
        <w:rPr>
          <w:rFonts w:cs="Calibri"/>
          <w:i/>
          <w:iCs/>
          <w:sz w:val="28"/>
          <w:szCs w:val="28"/>
          <w:lang w:eastAsia="ar-SA"/>
        </w:rPr>
        <w:t>фоновой</w:t>
      </w:r>
      <w:r w:rsidRPr="00124D89">
        <w:rPr>
          <w:rFonts w:cs="Calibri"/>
          <w:sz w:val="28"/>
          <w:szCs w:val="28"/>
          <w:lang w:eastAsia="ar-SA"/>
        </w:rPr>
        <w:t xml:space="preserve"> полиморбидной полиорганной патологией, их сравнительная характеристика в отношении группы больных с МФОИ без хронических заболеваний (контрольная группа</w:t>
      </w:r>
      <w:r>
        <w:rPr>
          <w:rFonts w:cs="Calibri"/>
          <w:sz w:val="28"/>
          <w:szCs w:val="28"/>
          <w:lang w:eastAsia="ar-SA"/>
        </w:rPr>
        <w:t xml:space="preserve"> № 4), представлены в Таблице 44</w:t>
      </w:r>
      <w:r w:rsidRPr="00124D89">
        <w:rPr>
          <w:rFonts w:cs="Calibri"/>
          <w:sz w:val="28"/>
          <w:szCs w:val="28"/>
          <w:lang w:eastAsia="ar-SA"/>
        </w:rPr>
        <w:t>.</w:t>
      </w:r>
    </w:p>
    <w:p w:rsidR="00286780" w:rsidRPr="002351FD" w:rsidRDefault="00286780" w:rsidP="00124D89">
      <w:pPr>
        <w:rPr>
          <w:sz w:val="16"/>
          <w:szCs w:val="16"/>
        </w:rPr>
      </w:pPr>
    </w:p>
    <w:p w:rsidR="00286780" w:rsidRPr="00124D89" w:rsidRDefault="00286780" w:rsidP="00124D89">
      <w:pPr>
        <w:spacing w:after="120"/>
        <w:jc w:val="both"/>
        <w:rPr>
          <w:sz w:val="28"/>
          <w:szCs w:val="28"/>
        </w:rPr>
      </w:pPr>
      <w:r w:rsidRPr="00124D89">
        <w:rPr>
          <w:b/>
          <w:sz w:val="28"/>
          <w:szCs w:val="28"/>
        </w:rPr>
        <w:t>Таблица 4</w:t>
      </w:r>
      <w:r>
        <w:rPr>
          <w:b/>
          <w:sz w:val="28"/>
          <w:szCs w:val="28"/>
        </w:rPr>
        <w:t>4</w:t>
      </w:r>
      <w:r w:rsidRPr="00124D89">
        <w:rPr>
          <w:sz w:val="28"/>
          <w:szCs w:val="28"/>
        </w:rPr>
        <w:t xml:space="preserve"> – Клинико-лабораторная характеристика пациентов с МФОИ и фоновой полиорганной полиморбидностью</w:t>
      </w:r>
    </w:p>
    <w:tbl>
      <w:tblPr>
        <w:tblW w:w="9923" w:type="dxa"/>
        <w:jc w:val="center"/>
        <w:tblLayout w:type="fixed"/>
        <w:tblLook w:val="0000" w:firstRow="0" w:lastRow="0" w:firstColumn="0" w:lastColumn="0" w:noHBand="0" w:noVBand="0"/>
      </w:tblPr>
      <w:tblGrid>
        <w:gridCol w:w="4564"/>
        <w:gridCol w:w="2694"/>
        <w:gridCol w:w="2665"/>
      </w:tblGrid>
      <w:tr w:rsidR="00286780" w:rsidRPr="00124D89" w:rsidTr="00874414">
        <w:trPr>
          <w:trHeight w:val="227"/>
          <w:jc w:val="center"/>
        </w:trPr>
        <w:tc>
          <w:tcPr>
            <w:tcW w:w="4564" w:type="dxa"/>
            <w:vMerge w:val="restart"/>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i/>
                <w:sz w:val="24"/>
                <w:szCs w:val="24"/>
                <w:lang w:eastAsia="ar-SA"/>
              </w:rPr>
            </w:pPr>
            <w:r w:rsidRPr="00124D89">
              <w:rPr>
                <w:rFonts w:cs="Calibri"/>
                <w:i/>
                <w:sz w:val="24"/>
                <w:szCs w:val="24"/>
                <w:lang w:eastAsia="ar-SA"/>
              </w:rPr>
              <w:t>Признак</w:t>
            </w:r>
          </w:p>
        </w:tc>
        <w:tc>
          <w:tcPr>
            <w:tcW w:w="5359"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i/>
                <w:sz w:val="24"/>
                <w:szCs w:val="24"/>
                <w:lang w:eastAsia="ar-SA"/>
              </w:rPr>
            </w:pPr>
            <w:r w:rsidRPr="00124D89">
              <w:rPr>
                <w:rFonts w:cs="Calibri"/>
                <w:i/>
                <w:sz w:val="24"/>
                <w:szCs w:val="24"/>
                <w:lang w:eastAsia="ar-SA"/>
              </w:rPr>
              <w:t>Полиорганная полиморбидность</w:t>
            </w:r>
          </w:p>
        </w:tc>
      </w:tr>
      <w:tr w:rsidR="00286780" w:rsidRPr="00124D89" w:rsidTr="00874414">
        <w:trPr>
          <w:trHeight w:val="227"/>
          <w:jc w:val="center"/>
        </w:trPr>
        <w:tc>
          <w:tcPr>
            <w:tcW w:w="4564" w:type="dxa"/>
            <w:vMerge/>
            <w:tcBorders>
              <w:top w:val="single" w:sz="4" w:space="0" w:color="000000"/>
              <w:left w:val="single" w:sz="4" w:space="0" w:color="000000"/>
              <w:bottom w:val="single" w:sz="4" w:space="0" w:color="000000"/>
            </w:tcBorders>
            <w:tcMar>
              <w:left w:w="28" w:type="dxa"/>
              <w:right w:w="28" w:type="dxa"/>
            </w:tcMar>
          </w:tcPr>
          <w:p w:rsidR="00286780" w:rsidRPr="00124D89" w:rsidRDefault="00286780" w:rsidP="00124D89">
            <w:pPr>
              <w:snapToGrid w:val="0"/>
              <w:rPr>
                <w:rFonts w:cs="Calibri"/>
                <w:sz w:val="24"/>
                <w:szCs w:val="24"/>
                <w:lang w:eastAsia="ar-SA"/>
              </w:rPr>
            </w:pPr>
          </w:p>
        </w:tc>
        <w:tc>
          <w:tcPr>
            <w:tcW w:w="2694" w:type="dxa"/>
            <w:tcBorders>
              <w:top w:val="single" w:sz="4" w:space="0" w:color="000000"/>
              <w:left w:val="single" w:sz="4" w:space="0" w:color="000000"/>
              <w:bottom w:val="single" w:sz="4" w:space="0" w:color="000000"/>
            </w:tcBorders>
            <w:tcMar>
              <w:left w:w="28" w:type="dxa"/>
              <w:right w:w="28" w:type="dxa"/>
            </w:tcMar>
          </w:tcPr>
          <w:p w:rsidR="00286780" w:rsidRPr="00124D89" w:rsidRDefault="00286780" w:rsidP="00124D89">
            <w:pPr>
              <w:snapToGrid w:val="0"/>
              <w:jc w:val="center"/>
              <w:rPr>
                <w:rFonts w:cs="Calibri"/>
                <w:sz w:val="24"/>
                <w:szCs w:val="24"/>
                <w:lang w:val="en-US" w:eastAsia="ar-SA"/>
              </w:rPr>
            </w:pPr>
            <w:r w:rsidRPr="00124D89">
              <w:rPr>
                <w:rFonts w:cs="Calibri"/>
                <w:sz w:val="24"/>
                <w:szCs w:val="24"/>
                <w:lang w:eastAsia="ar-SA"/>
              </w:rPr>
              <w:t>определяется</w:t>
            </w:r>
            <w:r w:rsidRPr="00124D89">
              <w:rPr>
                <w:rFonts w:cs="Calibri"/>
                <w:sz w:val="24"/>
                <w:szCs w:val="24"/>
                <w:lang w:val="en-US" w:eastAsia="ar-SA"/>
              </w:rPr>
              <w:t xml:space="preserve"> (n=</w:t>
            </w:r>
            <w:r w:rsidRPr="00124D89">
              <w:rPr>
                <w:rFonts w:cs="Calibri"/>
                <w:sz w:val="24"/>
                <w:szCs w:val="24"/>
                <w:lang w:eastAsia="ar-SA"/>
              </w:rPr>
              <w:t>66</w:t>
            </w:r>
            <w:r w:rsidRPr="00124D89">
              <w:rPr>
                <w:rFonts w:cs="Calibri"/>
                <w:sz w:val="24"/>
                <w:szCs w:val="24"/>
                <w:lang w:val="en-US" w:eastAsia="ar-SA"/>
              </w:rPr>
              <w:t>)</w:t>
            </w:r>
          </w:p>
        </w:tc>
        <w:tc>
          <w:tcPr>
            <w:tcW w:w="2665" w:type="dxa"/>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124D89" w:rsidRDefault="00286780" w:rsidP="00124D89">
            <w:pPr>
              <w:snapToGrid w:val="0"/>
              <w:jc w:val="center"/>
              <w:rPr>
                <w:rFonts w:cs="Calibri"/>
                <w:sz w:val="24"/>
                <w:szCs w:val="24"/>
                <w:lang w:val="en-US" w:eastAsia="ar-SA"/>
              </w:rPr>
            </w:pPr>
            <w:r w:rsidRPr="00124D89">
              <w:rPr>
                <w:rFonts w:cs="Calibri"/>
                <w:sz w:val="24"/>
                <w:szCs w:val="24"/>
                <w:lang w:eastAsia="ar-SA"/>
              </w:rPr>
              <w:t>отсутствует</w:t>
            </w:r>
            <w:r w:rsidRPr="00124D89">
              <w:rPr>
                <w:rFonts w:cs="Calibri"/>
                <w:sz w:val="24"/>
                <w:szCs w:val="24"/>
                <w:lang w:val="en-US" w:eastAsia="ar-SA"/>
              </w:rPr>
              <w:t xml:space="preserve"> (n=28)</w:t>
            </w:r>
          </w:p>
        </w:tc>
      </w:tr>
      <w:tr w:rsidR="00286780" w:rsidRPr="00124D89" w:rsidTr="002351FD">
        <w:trPr>
          <w:trHeight w:val="397"/>
          <w:jc w:val="center"/>
        </w:trPr>
        <w:tc>
          <w:tcPr>
            <w:tcW w:w="4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4"/>
                <w:szCs w:val="24"/>
                <w:lang w:eastAsia="ar-SA"/>
              </w:rPr>
            </w:pPr>
            <w:r w:rsidRPr="00124D89">
              <w:rPr>
                <w:rFonts w:cs="Calibri"/>
                <w:sz w:val="24"/>
                <w:szCs w:val="24"/>
                <w:lang w:eastAsia="ar-SA"/>
              </w:rPr>
              <w:t>Частота дыхательных движений (в 1 мин.)</w:t>
            </w:r>
          </w:p>
        </w:tc>
        <w:tc>
          <w:tcPr>
            <w:tcW w:w="269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Pr>
                <w:rFonts w:cs="Calibri"/>
                <w:sz w:val="24"/>
                <w:szCs w:val="24"/>
                <w:lang w:eastAsia="ar-SA"/>
              </w:rPr>
              <w:t>17</w:t>
            </w:r>
            <w:r w:rsidRPr="00124D89">
              <w:rPr>
                <w:rFonts w:cs="Calibri"/>
                <w:sz w:val="24"/>
                <w:szCs w:val="24"/>
                <w:lang w:val="en-US" w:eastAsia="ar-SA"/>
              </w:rPr>
              <w:t>[</w:t>
            </w:r>
            <w:r>
              <w:rPr>
                <w:rFonts w:cs="Calibri"/>
                <w:sz w:val="24"/>
                <w:szCs w:val="24"/>
                <w:lang w:eastAsia="ar-SA"/>
              </w:rPr>
              <w:t>17;</w:t>
            </w:r>
            <w:r w:rsidRPr="00124D89">
              <w:rPr>
                <w:rFonts w:cs="Calibri"/>
                <w:sz w:val="24"/>
                <w:szCs w:val="24"/>
                <w:lang w:eastAsia="ar-SA"/>
              </w:rPr>
              <w:t>18</w:t>
            </w:r>
            <w:r w:rsidRPr="00124D89">
              <w:rPr>
                <w:rFonts w:cs="Calibri"/>
                <w:sz w:val="24"/>
                <w:szCs w:val="24"/>
                <w:lang w:val="en-US" w:eastAsia="ar-SA"/>
              </w:rPr>
              <w:t>]</w:t>
            </w:r>
          </w:p>
        </w:tc>
        <w:tc>
          <w:tcPr>
            <w:tcW w:w="266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bCs/>
                <w:sz w:val="24"/>
                <w:szCs w:val="24"/>
                <w:lang w:eastAsia="ar-SA"/>
              </w:rPr>
            </w:pPr>
            <w:r w:rsidRPr="00124D89">
              <w:rPr>
                <w:rFonts w:cs="Calibri"/>
                <w:bCs/>
                <w:sz w:val="24"/>
                <w:szCs w:val="24"/>
                <w:lang w:eastAsia="ar-SA"/>
              </w:rPr>
              <w:t>18</w:t>
            </w:r>
            <w:r w:rsidRPr="00124D89">
              <w:rPr>
                <w:rFonts w:cs="Calibri"/>
                <w:bCs/>
                <w:sz w:val="24"/>
                <w:szCs w:val="24"/>
                <w:lang w:val="en-US" w:eastAsia="ar-SA"/>
              </w:rPr>
              <w:t>[17</w:t>
            </w:r>
            <w:r>
              <w:rPr>
                <w:rFonts w:cs="Calibri"/>
                <w:bCs/>
                <w:sz w:val="24"/>
                <w:szCs w:val="24"/>
                <w:lang w:eastAsia="ar-SA"/>
              </w:rPr>
              <w:t>;</w:t>
            </w:r>
            <w:r w:rsidRPr="00124D89">
              <w:rPr>
                <w:rFonts w:cs="Calibri"/>
                <w:bCs/>
                <w:sz w:val="24"/>
                <w:szCs w:val="24"/>
                <w:lang w:val="en-US" w:eastAsia="ar-SA"/>
              </w:rPr>
              <w:t>18]</w:t>
            </w:r>
          </w:p>
        </w:tc>
      </w:tr>
      <w:tr w:rsidR="00286780" w:rsidRPr="00124D89" w:rsidTr="002351FD">
        <w:trPr>
          <w:trHeight w:val="397"/>
          <w:jc w:val="center"/>
        </w:trPr>
        <w:tc>
          <w:tcPr>
            <w:tcW w:w="4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4"/>
                <w:szCs w:val="24"/>
                <w:lang w:eastAsia="ar-SA"/>
              </w:rPr>
            </w:pPr>
            <w:r w:rsidRPr="00124D89">
              <w:rPr>
                <w:rFonts w:cs="Calibri"/>
                <w:sz w:val="24"/>
                <w:szCs w:val="24"/>
                <w:lang w:eastAsia="ar-SA"/>
              </w:rPr>
              <w:t>АД систолическое (мм рт.ст.)</w:t>
            </w:r>
          </w:p>
        </w:tc>
        <w:tc>
          <w:tcPr>
            <w:tcW w:w="269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i/>
                <w:sz w:val="24"/>
                <w:szCs w:val="24"/>
                <w:lang w:eastAsia="ar-SA"/>
              </w:rPr>
            </w:pPr>
            <w:r>
              <w:rPr>
                <w:rFonts w:cs="Calibri"/>
                <w:i/>
                <w:sz w:val="24"/>
                <w:szCs w:val="24"/>
                <w:lang w:eastAsia="ar-SA"/>
              </w:rPr>
              <w:t>140</w:t>
            </w:r>
            <w:r w:rsidRPr="00124D89">
              <w:rPr>
                <w:rFonts w:cs="Calibri"/>
                <w:i/>
                <w:sz w:val="24"/>
                <w:szCs w:val="24"/>
                <w:lang w:val="en-US" w:eastAsia="ar-SA"/>
              </w:rPr>
              <w:t>[</w:t>
            </w:r>
            <w:r>
              <w:rPr>
                <w:rFonts w:cs="Calibri"/>
                <w:i/>
                <w:sz w:val="24"/>
                <w:szCs w:val="24"/>
                <w:lang w:eastAsia="ar-SA"/>
              </w:rPr>
              <w:t>130;</w:t>
            </w:r>
            <w:r w:rsidRPr="00124D89">
              <w:rPr>
                <w:rFonts w:cs="Calibri"/>
                <w:i/>
                <w:sz w:val="24"/>
                <w:szCs w:val="24"/>
                <w:lang w:eastAsia="ar-SA"/>
              </w:rPr>
              <w:t>160</w:t>
            </w:r>
            <w:r w:rsidRPr="00124D89">
              <w:rPr>
                <w:rFonts w:cs="Calibri"/>
                <w:i/>
                <w:sz w:val="24"/>
                <w:szCs w:val="24"/>
                <w:lang w:val="en-US" w:eastAsia="ar-SA"/>
              </w:rPr>
              <w:t>]</w:t>
            </w:r>
            <w:r w:rsidRPr="00124D89">
              <w:rPr>
                <w:i/>
                <w:sz w:val="24"/>
                <w:szCs w:val="24"/>
                <w:lang w:eastAsia="ar-SA"/>
              </w:rPr>
              <w:t>*</w:t>
            </w:r>
          </w:p>
        </w:tc>
        <w:tc>
          <w:tcPr>
            <w:tcW w:w="266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bCs/>
                <w:sz w:val="24"/>
                <w:szCs w:val="24"/>
                <w:lang w:eastAsia="ar-SA"/>
              </w:rPr>
            </w:pPr>
            <w:r>
              <w:rPr>
                <w:rFonts w:cs="Calibri"/>
                <w:sz w:val="24"/>
                <w:szCs w:val="24"/>
                <w:lang w:eastAsia="ar-SA"/>
              </w:rPr>
              <w:t>130</w:t>
            </w:r>
            <w:r w:rsidRPr="00124D89">
              <w:rPr>
                <w:rFonts w:cs="Calibri"/>
                <w:sz w:val="24"/>
                <w:szCs w:val="24"/>
                <w:lang w:val="en-US" w:eastAsia="ar-SA"/>
              </w:rPr>
              <w:t>[</w:t>
            </w:r>
            <w:r>
              <w:rPr>
                <w:rFonts w:cs="Calibri"/>
                <w:sz w:val="24"/>
                <w:szCs w:val="24"/>
                <w:lang w:eastAsia="ar-SA"/>
              </w:rPr>
              <w:t>120;</w:t>
            </w:r>
            <w:r w:rsidRPr="00124D89">
              <w:rPr>
                <w:rFonts w:cs="Calibri"/>
                <w:sz w:val="24"/>
                <w:szCs w:val="24"/>
                <w:lang w:eastAsia="ar-SA"/>
              </w:rPr>
              <w:t>140</w:t>
            </w:r>
            <w:r w:rsidRPr="00124D89">
              <w:rPr>
                <w:rFonts w:cs="Calibri"/>
                <w:sz w:val="24"/>
                <w:szCs w:val="24"/>
                <w:lang w:val="en-US" w:eastAsia="ar-SA"/>
              </w:rPr>
              <w:t>]</w:t>
            </w:r>
          </w:p>
        </w:tc>
      </w:tr>
      <w:tr w:rsidR="00286780" w:rsidRPr="00124D89" w:rsidTr="002351FD">
        <w:trPr>
          <w:trHeight w:val="397"/>
          <w:jc w:val="center"/>
        </w:trPr>
        <w:tc>
          <w:tcPr>
            <w:tcW w:w="4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4"/>
                <w:szCs w:val="24"/>
                <w:lang w:eastAsia="ar-SA"/>
              </w:rPr>
            </w:pPr>
            <w:r w:rsidRPr="00124D89">
              <w:rPr>
                <w:rFonts w:cs="Calibri"/>
                <w:sz w:val="24"/>
                <w:szCs w:val="24"/>
                <w:lang w:eastAsia="ar-SA"/>
              </w:rPr>
              <w:t>АД диастолическое (мм рт.ст.)</w:t>
            </w:r>
          </w:p>
        </w:tc>
        <w:tc>
          <w:tcPr>
            <w:tcW w:w="269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i/>
                <w:sz w:val="24"/>
                <w:szCs w:val="24"/>
                <w:lang w:eastAsia="ar-SA"/>
              </w:rPr>
            </w:pPr>
            <w:r>
              <w:rPr>
                <w:rFonts w:cs="Calibri"/>
                <w:sz w:val="24"/>
                <w:szCs w:val="24"/>
                <w:lang w:eastAsia="ar-SA"/>
              </w:rPr>
              <w:t>80[80;</w:t>
            </w:r>
            <w:r w:rsidRPr="00124D89">
              <w:rPr>
                <w:rFonts w:cs="Calibri"/>
                <w:sz w:val="24"/>
                <w:szCs w:val="24"/>
                <w:lang w:eastAsia="ar-SA"/>
              </w:rPr>
              <w:t>90]</w:t>
            </w:r>
            <w:r w:rsidRPr="00124D89">
              <w:rPr>
                <w:i/>
                <w:sz w:val="24"/>
                <w:szCs w:val="24"/>
                <w:lang w:eastAsia="ar-SA"/>
              </w:rPr>
              <w:t>*</w:t>
            </w:r>
          </w:p>
        </w:tc>
        <w:tc>
          <w:tcPr>
            <w:tcW w:w="266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bCs/>
                <w:sz w:val="24"/>
                <w:szCs w:val="24"/>
                <w:lang w:eastAsia="ar-SA"/>
              </w:rPr>
            </w:pPr>
            <w:r>
              <w:rPr>
                <w:rFonts w:cs="Calibri"/>
                <w:sz w:val="24"/>
                <w:szCs w:val="24"/>
                <w:lang w:eastAsia="ar-SA"/>
              </w:rPr>
              <w:t>80[80;</w:t>
            </w:r>
            <w:r w:rsidRPr="00124D89">
              <w:rPr>
                <w:rFonts w:cs="Calibri"/>
                <w:sz w:val="24"/>
                <w:szCs w:val="24"/>
                <w:lang w:eastAsia="ar-SA"/>
              </w:rPr>
              <w:t>90]</w:t>
            </w:r>
          </w:p>
        </w:tc>
      </w:tr>
      <w:tr w:rsidR="00286780" w:rsidRPr="00124D89" w:rsidTr="002351FD">
        <w:trPr>
          <w:trHeight w:val="397"/>
          <w:jc w:val="center"/>
        </w:trPr>
        <w:tc>
          <w:tcPr>
            <w:tcW w:w="4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4"/>
                <w:szCs w:val="24"/>
                <w:lang w:eastAsia="ar-SA"/>
              </w:rPr>
            </w:pPr>
            <w:r w:rsidRPr="00124D89">
              <w:rPr>
                <w:rFonts w:cs="Calibri"/>
                <w:sz w:val="24"/>
                <w:szCs w:val="24"/>
                <w:lang w:eastAsia="ar-SA"/>
              </w:rPr>
              <w:t>ЧСС (в 1 мин.)</w:t>
            </w:r>
          </w:p>
        </w:tc>
        <w:tc>
          <w:tcPr>
            <w:tcW w:w="269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Pr>
                <w:rFonts w:cs="Calibri"/>
                <w:sz w:val="24"/>
                <w:szCs w:val="24"/>
                <w:lang w:eastAsia="ar-SA"/>
              </w:rPr>
              <w:t>80[77;</w:t>
            </w:r>
            <w:r w:rsidRPr="00124D89">
              <w:rPr>
                <w:rFonts w:cs="Calibri"/>
                <w:sz w:val="24"/>
                <w:szCs w:val="24"/>
                <w:lang w:eastAsia="ar-SA"/>
              </w:rPr>
              <w:t>90]</w:t>
            </w:r>
          </w:p>
        </w:tc>
        <w:tc>
          <w:tcPr>
            <w:tcW w:w="266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bCs/>
                <w:sz w:val="24"/>
                <w:szCs w:val="24"/>
                <w:lang w:eastAsia="ar-SA"/>
              </w:rPr>
            </w:pPr>
            <w:r>
              <w:rPr>
                <w:rFonts w:cs="Calibri"/>
                <w:sz w:val="24"/>
                <w:szCs w:val="24"/>
                <w:lang w:eastAsia="ar-SA"/>
              </w:rPr>
              <w:t>78[72;</w:t>
            </w:r>
            <w:r w:rsidRPr="00124D89">
              <w:rPr>
                <w:rFonts w:cs="Calibri"/>
                <w:sz w:val="24"/>
                <w:szCs w:val="24"/>
                <w:lang w:eastAsia="ar-SA"/>
              </w:rPr>
              <w:t>80]</w:t>
            </w:r>
          </w:p>
        </w:tc>
      </w:tr>
      <w:tr w:rsidR="00286780" w:rsidRPr="00124D89" w:rsidTr="002351FD">
        <w:trPr>
          <w:trHeight w:val="397"/>
          <w:jc w:val="center"/>
        </w:trPr>
        <w:tc>
          <w:tcPr>
            <w:tcW w:w="4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4"/>
                <w:szCs w:val="24"/>
                <w:lang w:eastAsia="ar-SA"/>
              </w:rPr>
            </w:pPr>
            <w:r w:rsidRPr="00124D89">
              <w:rPr>
                <w:rFonts w:cs="Calibri"/>
                <w:sz w:val="24"/>
                <w:szCs w:val="24"/>
                <w:lang w:eastAsia="ar-SA"/>
              </w:rPr>
              <w:t>Эритроциты (×10</w:t>
            </w:r>
            <w:r w:rsidRPr="00124D89">
              <w:rPr>
                <w:rFonts w:cs="Calibri"/>
                <w:sz w:val="24"/>
                <w:szCs w:val="24"/>
                <w:vertAlign w:val="superscript"/>
                <w:lang w:eastAsia="ar-SA"/>
              </w:rPr>
              <w:t>12</w:t>
            </w:r>
            <w:r w:rsidRPr="00124D89">
              <w:rPr>
                <w:rFonts w:cs="Calibri"/>
                <w:sz w:val="24"/>
                <w:szCs w:val="24"/>
                <w:lang w:eastAsia="ar-SA"/>
              </w:rPr>
              <w:t>/л)</w:t>
            </w:r>
          </w:p>
        </w:tc>
        <w:tc>
          <w:tcPr>
            <w:tcW w:w="269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4,46±0,11</w:t>
            </w:r>
          </w:p>
        </w:tc>
        <w:tc>
          <w:tcPr>
            <w:tcW w:w="266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bCs/>
                <w:sz w:val="24"/>
                <w:szCs w:val="24"/>
                <w:lang w:eastAsia="ar-SA"/>
              </w:rPr>
            </w:pPr>
            <w:r w:rsidRPr="00124D89">
              <w:rPr>
                <w:rFonts w:cs="Calibri"/>
                <w:sz w:val="24"/>
                <w:szCs w:val="24"/>
                <w:lang w:eastAsia="ar-SA"/>
              </w:rPr>
              <w:t>4,6±</w:t>
            </w:r>
            <w:r w:rsidRPr="00124D89">
              <w:rPr>
                <w:rFonts w:cs="Calibri"/>
                <w:bCs/>
                <w:sz w:val="24"/>
                <w:szCs w:val="24"/>
                <w:lang w:eastAsia="ar-SA"/>
              </w:rPr>
              <w:t>0,08</w:t>
            </w:r>
          </w:p>
        </w:tc>
      </w:tr>
      <w:tr w:rsidR="00286780" w:rsidRPr="00124D89" w:rsidTr="002351FD">
        <w:trPr>
          <w:trHeight w:val="397"/>
          <w:jc w:val="center"/>
        </w:trPr>
        <w:tc>
          <w:tcPr>
            <w:tcW w:w="4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4"/>
                <w:szCs w:val="24"/>
                <w:lang w:eastAsia="ar-SA"/>
              </w:rPr>
            </w:pPr>
            <w:r w:rsidRPr="00124D89">
              <w:rPr>
                <w:rFonts w:cs="Calibri"/>
                <w:sz w:val="24"/>
                <w:szCs w:val="24"/>
                <w:lang w:eastAsia="ar-SA"/>
              </w:rPr>
              <w:t>Гемоглобин (г/л)</w:t>
            </w:r>
          </w:p>
        </w:tc>
        <w:tc>
          <w:tcPr>
            <w:tcW w:w="269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136,1±3,66</w:t>
            </w:r>
          </w:p>
        </w:tc>
        <w:tc>
          <w:tcPr>
            <w:tcW w:w="266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bCs/>
                <w:sz w:val="24"/>
                <w:szCs w:val="24"/>
                <w:lang w:eastAsia="ar-SA"/>
              </w:rPr>
            </w:pPr>
            <w:r w:rsidRPr="00124D89">
              <w:rPr>
                <w:rFonts w:cs="Calibri"/>
                <w:sz w:val="24"/>
                <w:szCs w:val="24"/>
                <w:lang w:eastAsia="ar-SA"/>
              </w:rPr>
              <w:t>140,5±</w:t>
            </w:r>
            <w:r w:rsidRPr="00124D89">
              <w:rPr>
                <w:rFonts w:cs="Calibri"/>
                <w:bCs/>
                <w:sz w:val="24"/>
                <w:szCs w:val="24"/>
                <w:lang w:eastAsia="ar-SA"/>
              </w:rPr>
              <w:t>2,59</w:t>
            </w:r>
          </w:p>
        </w:tc>
      </w:tr>
      <w:tr w:rsidR="00286780" w:rsidRPr="00124D89" w:rsidTr="002351FD">
        <w:trPr>
          <w:trHeight w:val="397"/>
          <w:jc w:val="center"/>
        </w:trPr>
        <w:tc>
          <w:tcPr>
            <w:tcW w:w="4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4"/>
                <w:szCs w:val="24"/>
                <w:lang w:eastAsia="ar-SA"/>
              </w:rPr>
            </w:pPr>
            <w:r w:rsidRPr="00124D89">
              <w:rPr>
                <w:rFonts w:cs="Calibri"/>
                <w:sz w:val="24"/>
                <w:szCs w:val="24"/>
                <w:lang w:eastAsia="ar-SA"/>
              </w:rPr>
              <w:t>Лейкоциты (×10</w:t>
            </w:r>
            <w:r w:rsidRPr="00124D89">
              <w:rPr>
                <w:rFonts w:cs="Calibri"/>
                <w:sz w:val="24"/>
                <w:szCs w:val="24"/>
                <w:vertAlign w:val="superscript"/>
                <w:lang w:eastAsia="ar-SA"/>
              </w:rPr>
              <w:t>9</w:t>
            </w:r>
            <w:r w:rsidRPr="00124D89">
              <w:rPr>
                <w:rFonts w:cs="Calibri"/>
                <w:sz w:val="24"/>
                <w:szCs w:val="24"/>
                <w:lang w:eastAsia="ar-SA"/>
              </w:rPr>
              <w:t>/л)</w:t>
            </w:r>
          </w:p>
        </w:tc>
        <w:tc>
          <w:tcPr>
            <w:tcW w:w="269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i/>
                <w:sz w:val="24"/>
                <w:szCs w:val="24"/>
                <w:lang w:eastAsia="ar-SA"/>
              </w:rPr>
            </w:pPr>
            <w:r w:rsidRPr="00124D89">
              <w:rPr>
                <w:i/>
                <w:sz w:val="24"/>
                <w:szCs w:val="24"/>
                <w:lang w:eastAsia="ar-SA"/>
              </w:rPr>
              <w:t>11,9±0,81*</w:t>
            </w:r>
          </w:p>
        </w:tc>
        <w:tc>
          <w:tcPr>
            <w:tcW w:w="266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bCs/>
                <w:sz w:val="24"/>
                <w:szCs w:val="24"/>
                <w:lang w:eastAsia="ar-SA"/>
              </w:rPr>
            </w:pPr>
            <w:r w:rsidRPr="00124D89">
              <w:rPr>
                <w:rFonts w:cs="Calibri"/>
                <w:sz w:val="24"/>
                <w:szCs w:val="24"/>
                <w:lang w:eastAsia="ar-SA"/>
              </w:rPr>
              <w:t>14,5±</w:t>
            </w:r>
            <w:r w:rsidRPr="00124D89">
              <w:rPr>
                <w:rFonts w:cs="Calibri"/>
                <w:bCs/>
                <w:sz w:val="24"/>
                <w:szCs w:val="24"/>
                <w:lang w:eastAsia="ar-SA"/>
              </w:rPr>
              <w:t>0,75</w:t>
            </w:r>
          </w:p>
        </w:tc>
      </w:tr>
      <w:tr w:rsidR="00286780" w:rsidRPr="00124D89" w:rsidTr="002351FD">
        <w:trPr>
          <w:trHeight w:val="397"/>
          <w:jc w:val="center"/>
        </w:trPr>
        <w:tc>
          <w:tcPr>
            <w:tcW w:w="4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4"/>
                <w:szCs w:val="24"/>
                <w:lang w:eastAsia="ar-SA"/>
              </w:rPr>
            </w:pPr>
            <w:r w:rsidRPr="00124D89">
              <w:rPr>
                <w:rFonts w:cs="Calibri"/>
                <w:sz w:val="24"/>
                <w:szCs w:val="24"/>
                <w:lang w:eastAsia="ar-SA"/>
              </w:rPr>
              <w:t>Лимфоциты (абс. в 1 мкл.)</w:t>
            </w:r>
          </w:p>
        </w:tc>
        <w:tc>
          <w:tcPr>
            <w:tcW w:w="269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2216,6±167,9</w:t>
            </w:r>
          </w:p>
        </w:tc>
        <w:tc>
          <w:tcPr>
            <w:tcW w:w="266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1765,4±140,0</w:t>
            </w:r>
          </w:p>
        </w:tc>
      </w:tr>
      <w:tr w:rsidR="00286780" w:rsidRPr="00124D89" w:rsidTr="002351FD">
        <w:trPr>
          <w:trHeight w:val="397"/>
          <w:jc w:val="center"/>
        </w:trPr>
        <w:tc>
          <w:tcPr>
            <w:tcW w:w="4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4"/>
                <w:szCs w:val="24"/>
                <w:lang w:eastAsia="ar-SA"/>
              </w:rPr>
            </w:pPr>
            <w:r>
              <w:rPr>
                <w:rFonts w:cs="Calibri"/>
                <w:sz w:val="24"/>
                <w:szCs w:val="24"/>
                <w:lang w:eastAsia="ar-SA"/>
              </w:rPr>
              <w:t>ЛИИ (усл. ед.)</w:t>
            </w:r>
          </w:p>
        </w:tc>
        <w:tc>
          <w:tcPr>
            <w:tcW w:w="269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Pr>
                <w:rFonts w:cs="Calibri"/>
                <w:sz w:val="24"/>
                <w:szCs w:val="24"/>
                <w:lang w:eastAsia="ar-SA"/>
              </w:rPr>
              <w:t>3,82</w:t>
            </w:r>
            <w:r>
              <w:rPr>
                <w:sz w:val="24"/>
                <w:szCs w:val="24"/>
                <w:lang w:eastAsia="ar-SA"/>
              </w:rPr>
              <w:t>±</w:t>
            </w:r>
            <w:r>
              <w:rPr>
                <w:rFonts w:cs="Calibri"/>
                <w:sz w:val="24"/>
                <w:szCs w:val="24"/>
                <w:lang w:eastAsia="ar-SA"/>
              </w:rPr>
              <w:t>0,24</w:t>
            </w:r>
          </w:p>
        </w:tc>
        <w:tc>
          <w:tcPr>
            <w:tcW w:w="266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Pr>
                <w:rStyle w:val="afffffffffff8"/>
                <w:sz w:val="24"/>
                <w:szCs w:val="24"/>
              </w:rPr>
              <w:t>3,6±0,77</w:t>
            </w:r>
          </w:p>
        </w:tc>
      </w:tr>
      <w:tr w:rsidR="00286780" w:rsidRPr="00124D89" w:rsidTr="002351FD">
        <w:trPr>
          <w:trHeight w:val="397"/>
          <w:jc w:val="center"/>
        </w:trPr>
        <w:tc>
          <w:tcPr>
            <w:tcW w:w="4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4"/>
                <w:szCs w:val="24"/>
                <w:lang w:eastAsia="ar-SA"/>
              </w:rPr>
            </w:pPr>
            <w:r w:rsidRPr="00124D89">
              <w:rPr>
                <w:rFonts w:cs="Calibri"/>
                <w:sz w:val="24"/>
                <w:szCs w:val="24"/>
                <w:lang w:eastAsia="ar-SA"/>
              </w:rPr>
              <w:t>Тромбоциты (в 1 мкл.)</w:t>
            </w:r>
          </w:p>
        </w:tc>
        <w:tc>
          <w:tcPr>
            <w:tcW w:w="269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sz w:val="24"/>
                <w:szCs w:val="24"/>
                <w:lang w:eastAsia="ar-SA"/>
              </w:rPr>
            </w:pPr>
            <w:r>
              <w:rPr>
                <w:sz w:val="24"/>
                <w:szCs w:val="24"/>
                <w:lang w:eastAsia="ar-SA"/>
              </w:rPr>
              <w:t>294</w:t>
            </w:r>
            <w:r w:rsidRPr="0050767F">
              <w:rPr>
                <w:sz w:val="24"/>
                <w:szCs w:val="24"/>
                <w:lang w:eastAsia="ar-SA"/>
              </w:rPr>
              <w:t>[</w:t>
            </w:r>
            <w:r>
              <w:rPr>
                <w:sz w:val="24"/>
                <w:szCs w:val="24"/>
                <w:lang w:eastAsia="ar-SA"/>
              </w:rPr>
              <w:t>254;</w:t>
            </w:r>
            <w:r w:rsidRPr="00124D89">
              <w:rPr>
                <w:sz w:val="24"/>
                <w:szCs w:val="24"/>
                <w:lang w:eastAsia="ar-SA"/>
              </w:rPr>
              <w:t>410</w:t>
            </w:r>
            <w:r w:rsidRPr="0050767F">
              <w:rPr>
                <w:sz w:val="24"/>
                <w:szCs w:val="24"/>
                <w:lang w:eastAsia="ar-SA"/>
              </w:rPr>
              <w:t>]</w:t>
            </w:r>
          </w:p>
        </w:tc>
        <w:tc>
          <w:tcPr>
            <w:tcW w:w="266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50767F" w:rsidRDefault="00286780" w:rsidP="00124D89">
            <w:pPr>
              <w:snapToGrid w:val="0"/>
              <w:jc w:val="center"/>
              <w:rPr>
                <w:rFonts w:cs="Calibri"/>
                <w:sz w:val="24"/>
                <w:szCs w:val="24"/>
                <w:lang w:eastAsia="ar-SA"/>
              </w:rPr>
            </w:pPr>
            <w:r>
              <w:rPr>
                <w:rFonts w:cs="Calibri"/>
                <w:sz w:val="24"/>
                <w:szCs w:val="24"/>
                <w:lang w:eastAsia="ar-SA"/>
              </w:rPr>
              <w:t>239,5</w:t>
            </w:r>
            <w:r w:rsidRPr="0050767F">
              <w:rPr>
                <w:rFonts w:cs="Calibri"/>
                <w:sz w:val="24"/>
                <w:szCs w:val="24"/>
                <w:lang w:eastAsia="ar-SA"/>
              </w:rPr>
              <w:t>[</w:t>
            </w:r>
            <w:r>
              <w:rPr>
                <w:rFonts w:cs="Calibri"/>
                <w:sz w:val="24"/>
                <w:szCs w:val="24"/>
                <w:lang w:eastAsia="ar-SA"/>
              </w:rPr>
              <w:t>222;</w:t>
            </w:r>
            <w:r w:rsidRPr="00124D89">
              <w:rPr>
                <w:rFonts w:cs="Calibri"/>
                <w:sz w:val="24"/>
                <w:szCs w:val="24"/>
                <w:lang w:eastAsia="ar-SA"/>
              </w:rPr>
              <w:t>288</w:t>
            </w:r>
            <w:r w:rsidRPr="0050767F">
              <w:rPr>
                <w:rFonts w:cs="Calibri"/>
                <w:sz w:val="24"/>
                <w:szCs w:val="24"/>
                <w:lang w:eastAsia="ar-SA"/>
              </w:rPr>
              <w:t>]</w:t>
            </w:r>
          </w:p>
        </w:tc>
      </w:tr>
      <w:tr w:rsidR="00286780" w:rsidRPr="00124D89" w:rsidTr="002351FD">
        <w:trPr>
          <w:trHeight w:val="397"/>
          <w:jc w:val="center"/>
        </w:trPr>
        <w:tc>
          <w:tcPr>
            <w:tcW w:w="4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4"/>
                <w:szCs w:val="24"/>
                <w:lang w:eastAsia="ar-SA"/>
              </w:rPr>
            </w:pPr>
            <w:r w:rsidRPr="00124D89">
              <w:rPr>
                <w:rFonts w:cs="Calibri"/>
                <w:sz w:val="24"/>
                <w:szCs w:val="24"/>
                <w:lang w:eastAsia="ar-SA"/>
              </w:rPr>
              <w:t>СОЭ (мм/ч)</w:t>
            </w:r>
          </w:p>
        </w:tc>
        <w:tc>
          <w:tcPr>
            <w:tcW w:w="2694" w:type="dxa"/>
            <w:tcBorders>
              <w:top w:val="single" w:sz="4" w:space="0" w:color="000000"/>
              <w:left w:val="single" w:sz="4" w:space="0" w:color="000000"/>
              <w:bottom w:val="single" w:sz="4" w:space="0" w:color="000000"/>
            </w:tcBorders>
            <w:tcMar>
              <w:left w:w="28" w:type="dxa"/>
              <w:right w:w="28" w:type="dxa"/>
            </w:tcMar>
            <w:vAlign w:val="center"/>
          </w:tcPr>
          <w:p w:rsidR="00286780" w:rsidRPr="0050767F" w:rsidRDefault="00286780" w:rsidP="00124D89">
            <w:pPr>
              <w:snapToGrid w:val="0"/>
              <w:jc w:val="center"/>
              <w:rPr>
                <w:rFonts w:cs="Calibri"/>
                <w:sz w:val="24"/>
                <w:szCs w:val="24"/>
                <w:lang w:eastAsia="ar-SA"/>
              </w:rPr>
            </w:pPr>
            <w:r>
              <w:rPr>
                <w:rFonts w:cs="Calibri"/>
                <w:sz w:val="24"/>
                <w:szCs w:val="24"/>
                <w:lang w:eastAsia="ar-SA"/>
              </w:rPr>
              <w:t>28,5</w:t>
            </w:r>
            <w:r w:rsidRPr="0050767F">
              <w:rPr>
                <w:rFonts w:cs="Calibri"/>
                <w:sz w:val="24"/>
                <w:szCs w:val="24"/>
                <w:lang w:eastAsia="ar-SA"/>
              </w:rPr>
              <w:t>[8</w:t>
            </w:r>
            <w:r>
              <w:rPr>
                <w:rFonts w:cs="Calibri"/>
                <w:sz w:val="24"/>
                <w:szCs w:val="24"/>
                <w:lang w:eastAsia="ar-SA"/>
              </w:rPr>
              <w:t>;</w:t>
            </w:r>
            <w:r w:rsidRPr="0050767F">
              <w:rPr>
                <w:rFonts w:cs="Calibri"/>
                <w:sz w:val="24"/>
                <w:szCs w:val="24"/>
                <w:lang w:eastAsia="ar-SA"/>
              </w:rPr>
              <w:t>40]</w:t>
            </w:r>
          </w:p>
        </w:tc>
        <w:tc>
          <w:tcPr>
            <w:tcW w:w="266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50767F" w:rsidRDefault="00286780" w:rsidP="00124D89">
            <w:pPr>
              <w:snapToGrid w:val="0"/>
              <w:jc w:val="center"/>
              <w:rPr>
                <w:rFonts w:cs="Calibri"/>
                <w:sz w:val="24"/>
                <w:szCs w:val="24"/>
                <w:lang w:eastAsia="ar-SA"/>
              </w:rPr>
            </w:pPr>
            <w:r>
              <w:rPr>
                <w:rFonts w:cs="Calibri"/>
                <w:sz w:val="24"/>
                <w:szCs w:val="24"/>
                <w:lang w:eastAsia="ar-SA"/>
              </w:rPr>
              <w:t>17,5</w:t>
            </w:r>
            <w:r w:rsidRPr="0050767F">
              <w:rPr>
                <w:rFonts w:cs="Calibri"/>
                <w:sz w:val="24"/>
                <w:szCs w:val="24"/>
                <w:lang w:eastAsia="ar-SA"/>
              </w:rPr>
              <w:t>[9</w:t>
            </w:r>
            <w:r>
              <w:rPr>
                <w:rFonts w:cs="Calibri"/>
                <w:sz w:val="24"/>
                <w:szCs w:val="24"/>
                <w:lang w:eastAsia="ar-SA"/>
              </w:rPr>
              <w:t>;</w:t>
            </w:r>
            <w:r w:rsidRPr="0050767F">
              <w:rPr>
                <w:rFonts w:cs="Calibri"/>
                <w:sz w:val="24"/>
                <w:szCs w:val="24"/>
                <w:lang w:eastAsia="ar-SA"/>
              </w:rPr>
              <w:t>26]</w:t>
            </w:r>
          </w:p>
        </w:tc>
      </w:tr>
      <w:tr w:rsidR="00286780" w:rsidRPr="00124D89" w:rsidTr="002351FD">
        <w:trPr>
          <w:trHeight w:val="397"/>
          <w:jc w:val="center"/>
        </w:trPr>
        <w:tc>
          <w:tcPr>
            <w:tcW w:w="4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4"/>
                <w:szCs w:val="24"/>
                <w:lang w:eastAsia="ar-SA"/>
              </w:rPr>
            </w:pPr>
            <w:r w:rsidRPr="00124D89">
              <w:rPr>
                <w:rFonts w:cs="Calibri"/>
                <w:sz w:val="24"/>
                <w:szCs w:val="24"/>
                <w:lang w:eastAsia="ar-SA"/>
              </w:rPr>
              <w:t>Общий белок (г/л)</w:t>
            </w:r>
          </w:p>
        </w:tc>
        <w:tc>
          <w:tcPr>
            <w:tcW w:w="269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76,8±1,21</w:t>
            </w:r>
          </w:p>
        </w:tc>
        <w:tc>
          <w:tcPr>
            <w:tcW w:w="266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76,3±2,39</w:t>
            </w:r>
          </w:p>
        </w:tc>
      </w:tr>
      <w:tr w:rsidR="00286780" w:rsidRPr="00124D89" w:rsidTr="002351FD">
        <w:trPr>
          <w:trHeight w:val="397"/>
          <w:jc w:val="center"/>
        </w:trPr>
        <w:tc>
          <w:tcPr>
            <w:tcW w:w="4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4"/>
                <w:szCs w:val="24"/>
                <w:lang w:eastAsia="ar-SA"/>
              </w:rPr>
            </w:pPr>
            <w:r w:rsidRPr="00124D89">
              <w:rPr>
                <w:rFonts w:cs="Calibri"/>
                <w:sz w:val="24"/>
                <w:szCs w:val="24"/>
                <w:lang w:eastAsia="ar-SA"/>
              </w:rPr>
              <w:t>Билирубин общий (мкмоль/л)</w:t>
            </w:r>
          </w:p>
        </w:tc>
        <w:tc>
          <w:tcPr>
            <w:tcW w:w="269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Pr>
                <w:rFonts w:cs="Calibri"/>
                <w:sz w:val="24"/>
                <w:szCs w:val="24"/>
                <w:lang w:eastAsia="ar-SA"/>
              </w:rPr>
              <w:t>15,2</w:t>
            </w:r>
            <w:r w:rsidRPr="00124D89">
              <w:rPr>
                <w:rFonts w:cs="Calibri"/>
                <w:sz w:val="24"/>
                <w:szCs w:val="24"/>
                <w:lang w:val="en-US" w:eastAsia="ar-SA"/>
              </w:rPr>
              <w:t>[</w:t>
            </w:r>
            <w:r>
              <w:rPr>
                <w:rFonts w:cs="Calibri"/>
                <w:sz w:val="24"/>
                <w:szCs w:val="24"/>
                <w:lang w:eastAsia="ar-SA"/>
              </w:rPr>
              <w:t>13,1;</w:t>
            </w:r>
            <w:r w:rsidRPr="00124D89">
              <w:rPr>
                <w:rFonts w:cs="Calibri"/>
                <w:sz w:val="24"/>
                <w:szCs w:val="24"/>
                <w:lang w:eastAsia="ar-SA"/>
              </w:rPr>
              <w:t>17,6</w:t>
            </w:r>
            <w:r w:rsidRPr="00124D89">
              <w:rPr>
                <w:rFonts w:cs="Calibri"/>
                <w:sz w:val="24"/>
                <w:szCs w:val="24"/>
                <w:lang w:val="en-US" w:eastAsia="ar-SA"/>
              </w:rPr>
              <w:t>]</w:t>
            </w:r>
          </w:p>
        </w:tc>
        <w:tc>
          <w:tcPr>
            <w:tcW w:w="266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val="en-US" w:eastAsia="ar-SA"/>
              </w:rPr>
            </w:pPr>
            <w:r>
              <w:rPr>
                <w:rFonts w:cs="Calibri"/>
                <w:sz w:val="24"/>
                <w:szCs w:val="24"/>
                <w:lang w:eastAsia="ar-SA"/>
              </w:rPr>
              <w:t>16,1</w:t>
            </w:r>
            <w:r w:rsidRPr="00124D89">
              <w:rPr>
                <w:rFonts w:cs="Calibri"/>
                <w:sz w:val="24"/>
                <w:szCs w:val="24"/>
                <w:lang w:val="en-US" w:eastAsia="ar-SA"/>
              </w:rPr>
              <w:t>[</w:t>
            </w:r>
            <w:r>
              <w:rPr>
                <w:rFonts w:cs="Calibri"/>
                <w:sz w:val="24"/>
                <w:szCs w:val="24"/>
                <w:lang w:eastAsia="ar-SA"/>
              </w:rPr>
              <w:t>16,1;</w:t>
            </w:r>
            <w:r w:rsidRPr="00124D89">
              <w:rPr>
                <w:rFonts w:cs="Calibri"/>
                <w:sz w:val="24"/>
                <w:szCs w:val="24"/>
                <w:lang w:eastAsia="ar-SA"/>
              </w:rPr>
              <w:t>27,3</w:t>
            </w:r>
            <w:r w:rsidRPr="00124D89">
              <w:rPr>
                <w:rFonts w:cs="Calibri"/>
                <w:sz w:val="24"/>
                <w:szCs w:val="24"/>
                <w:lang w:val="en-US" w:eastAsia="ar-SA"/>
              </w:rPr>
              <w:t>]</w:t>
            </w:r>
          </w:p>
        </w:tc>
      </w:tr>
      <w:tr w:rsidR="00286780" w:rsidRPr="00124D89" w:rsidTr="002351FD">
        <w:trPr>
          <w:trHeight w:val="397"/>
          <w:jc w:val="center"/>
        </w:trPr>
        <w:tc>
          <w:tcPr>
            <w:tcW w:w="4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4"/>
                <w:szCs w:val="24"/>
                <w:lang w:eastAsia="ar-SA"/>
              </w:rPr>
            </w:pPr>
            <w:r w:rsidRPr="00124D89">
              <w:rPr>
                <w:rFonts w:cs="Calibri"/>
                <w:sz w:val="24"/>
                <w:szCs w:val="24"/>
                <w:lang w:eastAsia="ar-SA"/>
              </w:rPr>
              <w:t>Мочевина (ммоль/л)</w:t>
            </w:r>
          </w:p>
        </w:tc>
        <w:tc>
          <w:tcPr>
            <w:tcW w:w="269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Pr>
                <w:rFonts w:cs="Calibri"/>
                <w:sz w:val="24"/>
                <w:szCs w:val="24"/>
                <w:lang w:eastAsia="ar-SA"/>
              </w:rPr>
              <w:t>7,05</w:t>
            </w:r>
            <w:r w:rsidRPr="00124D89">
              <w:rPr>
                <w:rFonts w:cs="Calibri"/>
                <w:sz w:val="24"/>
                <w:szCs w:val="24"/>
                <w:lang w:val="en-US" w:eastAsia="ar-SA"/>
              </w:rPr>
              <w:t>[</w:t>
            </w:r>
            <w:r>
              <w:rPr>
                <w:rFonts w:cs="Calibri"/>
                <w:sz w:val="24"/>
                <w:szCs w:val="24"/>
                <w:lang w:eastAsia="ar-SA"/>
              </w:rPr>
              <w:t>5,88;</w:t>
            </w:r>
            <w:r w:rsidRPr="00124D89">
              <w:rPr>
                <w:rFonts w:cs="Calibri"/>
                <w:sz w:val="24"/>
                <w:szCs w:val="24"/>
                <w:lang w:eastAsia="ar-SA"/>
              </w:rPr>
              <w:t>7,8</w:t>
            </w:r>
            <w:r w:rsidRPr="00124D89">
              <w:rPr>
                <w:rFonts w:cs="Calibri"/>
                <w:sz w:val="24"/>
                <w:szCs w:val="24"/>
                <w:lang w:val="en-US" w:eastAsia="ar-SA"/>
              </w:rPr>
              <w:t>]</w:t>
            </w:r>
          </w:p>
        </w:tc>
        <w:tc>
          <w:tcPr>
            <w:tcW w:w="266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Pr>
                <w:rFonts w:cs="Calibri"/>
                <w:sz w:val="24"/>
                <w:szCs w:val="24"/>
                <w:lang w:eastAsia="ar-SA"/>
              </w:rPr>
              <w:t>7,29</w:t>
            </w:r>
            <w:r w:rsidRPr="00124D89">
              <w:rPr>
                <w:rFonts w:cs="Calibri"/>
                <w:sz w:val="24"/>
                <w:szCs w:val="24"/>
                <w:lang w:val="en-US" w:eastAsia="ar-SA"/>
              </w:rPr>
              <w:t>[</w:t>
            </w:r>
            <w:r>
              <w:rPr>
                <w:rFonts w:cs="Calibri"/>
                <w:sz w:val="24"/>
                <w:szCs w:val="24"/>
                <w:lang w:eastAsia="ar-SA"/>
              </w:rPr>
              <w:t>4,7;</w:t>
            </w:r>
            <w:r w:rsidRPr="00124D89">
              <w:rPr>
                <w:rFonts w:cs="Calibri"/>
                <w:sz w:val="24"/>
                <w:szCs w:val="24"/>
                <w:lang w:eastAsia="ar-SA"/>
              </w:rPr>
              <w:t>10,6</w:t>
            </w:r>
            <w:r w:rsidRPr="00124D89">
              <w:rPr>
                <w:rFonts w:cs="Calibri"/>
                <w:sz w:val="24"/>
                <w:szCs w:val="24"/>
                <w:lang w:val="en-US" w:eastAsia="ar-SA"/>
              </w:rPr>
              <w:t>]</w:t>
            </w:r>
            <w:r w:rsidRPr="00124D89">
              <w:rPr>
                <w:rFonts w:cs="Calibri"/>
                <w:sz w:val="24"/>
                <w:szCs w:val="24"/>
                <w:lang w:eastAsia="ar-SA"/>
              </w:rPr>
              <w:t>-</w:t>
            </w:r>
          </w:p>
        </w:tc>
      </w:tr>
      <w:tr w:rsidR="00286780" w:rsidRPr="00124D89" w:rsidTr="002351FD">
        <w:trPr>
          <w:trHeight w:val="397"/>
          <w:jc w:val="center"/>
        </w:trPr>
        <w:tc>
          <w:tcPr>
            <w:tcW w:w="4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4"/>
                <w:szCs w:val="24"/>
                <w:lang w:eastAsia="ar-SA"/>
              </w:rPr>
            </w:pPr>
            <w:r w:rsidRPr="00124D89">
              <w:rPr>
                <w:rFonts w:cs="Calibri"/>
                <w:sz w:val="24"/>
                <w:szCs w:val="24"/>
                <w:lang w:eastAsia="ar-SA"/>
              </w:rPr>
              <w:t xml:space="preserve">Креатинин (мкмоль/л) </w:t>
            </w:r>
          </w:p>
        </w:tc>
        <w:tc>
          <w:tcPr>
            <w:tcW w:w="269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sz w:val="24"/>
                <w:szCs w:val="24"/>
                <w:lang w:eastAsia="ar-SA"/>
              </w:rPr>
            </w:pPr>
            <w:r>
              <w:rPr>
                <w:sz w:val="24"/>
                <w:szCs w:val="24"/>
                <w:lang w:eastAsia="ar-SA"/>
              </w:rPr>
              <w:t>112,5</w:t>
            </w:r>
            <w:r w:rsidRPr="00124D89">
              <w:rPr>
                <w:sz w:val="24"/>
                <w:szCs w:val="24"/>
                <w:lang w:val="en-US" w:eastAsia="ar-SA"/>
              </w:rPr>
              <w:t>[</w:t>
            </w:r>
            <w:r>
              <w:rPr>
                <w:sz w:val="24"/>
                <w:szCs w:val="24"/>
                <w:lang w:eastAsia="ar-SA"/>
              </w:rPr>
              <w:t>100,3;</w:t>
            </w:r>
            <w:r w:rsidRPr="00124D89">
              <w:rPr>
                <w:sz w:val="24"/>
                <w:szCs w:val="24"/>
                <w:lang w:eastAsia="ar-SA"/>
              </w:rPr>
              <w:t>120,8</w:t>
            </w:r>
            <w:r w:rsidRPr="00124D89">
              <w:rPr>
                <w:sz w:val="24"/>
                <w:szCs w:val="24"/>
                <w:lang w:val="en-US" w:eastAsia="ar-SA"/>
              </w:rPr>
              <w:t>]</w:t>
            </w:r>
          </w:p>
        </w:tc>
        <w:tc>
          <w:tcPr>
            <w:tcW w:w="266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val="en-US" w:eastAsia="ar-SA"/>
              </w:rPr>
            </w:pPr>
            <w:r>
              <w:rPr>
                <w:rFonts w:cs="Calibri"/>
                <w:sz w:val="24"/>
                <w:szCs w:val="24"/>
                <w:lang w:eastAsia="ar-SA"/>
              </w:rPr>
              <w:t>87,7</w:t>
            </w:r>
            <w:r w:rsidRPr="00124D89">
              <w:rPr>
                <w:rFonts w:cs="Calibri"/>
                <w:sz w:val="24"/>
                <w:szCs w:val="24"/>
                <w:lang w:val="en-US" w:eastAsia="ar-SA"/>
              </w:rPr>
              <w:t>[</w:t>
            </w:r>
            <w:r>
              <w:rPr>
                <w:rFonts w:cs="Calibri"/>
                <w:sz w:val="24"/>
                <w:szCs w:val="24"/>
                <w:lang w:eastAsia="ar-SA"/>
              </w:rPr>
              <w:t>81,3;</w:t>
            </w:r>
            <w:r w:rsidRPr="00124D89">
              <w:rPr>
                <w:rFonts w:cs="Calibri"/>
                <w:sz w:val="24"/>
                <w:szCs w:val="24"/>
                <w:lang w:eastAsia="ar-SA"/>
              </w:rPr>
              <w:t>101,8</w:t>
            </w:r>
            <w:r w:rsidRPr="00124D89">
              <w:rPr>
                <w:rFonts w:cs="Calibri"/>
                <w:sz w:val="24"/>
                <w:szCs w:val="24"/>
                <w:lang w:val="en-US" w:eastAsia="ar-SA"/>
              </w:rPr>
              <w:t>]</w:t>
            </w:r>
          </w:p>
        </w:tc>
      </w:tr>
      <w:tr w:rsidR="00286780" w:rsidRPr="00124D89" w:rsidTr="002351FD">
        <w:trPr>
          <w:trHeight w:val="397"/>
          <w:jc w:val="center"/>
        </w:trPr>
        <w:tc>
          <w:tcPr>
            <w:tcW w:w="4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4"/>
                <w:szCs w:val="24"/>
                <w:lang w:eastAsia="ar-SA"/>
              </w:rPr>
            </w:pPr>
            <w:r w:rsidRPr="00124D89">
              <w:rPr>
                <w:rFonts w:cs="Calibri"/>
                <w:sz w:val="24"/>
                <w:szCs w:val="24"/>
                <w:lang w:eastAsia="ar-SA"/>
              </w:rPr>
              <w:t>Глюкоза (ммоль/л)</w:t>
            </w:r>
          </w:p>
        </w:tc>
        <w:tc>
          <w:tcPr>
            <w:tcW w:w="269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sz w:val="24"/>
                <w:szCs w:val="24"/>
                <w:lang w:eastAsia="ar-SA"/>
              </w:rPr>
            </w:pPr>
            <w:r>
              <w:rPr>
                <w:sz w:val="24"/>
                <w:szCs w:val="24"/>
                <w:lang w:eastAsia="ar-SA"/>
              </w:rPr>
              <w:t>5,23[4,71;</w:t>
            </w:r>
            <w:r w:rsidRPr="00124D89">
              <w:rPr>
                <w:sz w:val="24"/>
                <w:szCs w:val="24"/>
                <w:lang w:eastAsia="ar-SA"/>
              </w:rPr>
              <w:t>6</w:t>
            </w:r>
            <w:r w:rsidRPr="00124D89">
              <w:rPr>
                <w:sz w:val="24"/>
                <w:szCs w:val="24"/>
                <w:lang w:val="en-US" w:eastAsia="ar-SA"/>
              </w:rPr>
              <w:t>,</w:t>
            </w:r>
            <w:r w:rsidRPr="00124D89">
              <w:rPr>
                <w:sz w:val="24"/>
                <w:szCs w:val="24"/>
                <w:lang w:eastAsia="ar-SA"/>
              </w:rPr>
              <w:t>5</w:t>
            </w:r>
            <w:r w:rsidRPr="00124D89">
              <w:rPr>
                <w:sz w:val="24"/>
                <w:szCs w:val="24"/>
                <w:lang w:val="en-US" w:eastAsia="ar-SA"/>
              </w:rPr>
              <w:t>5</w:t>
            </w:r>
            <w:r w:rsidRPr="00124D89">
              <w:rPr>
                <w:sz w:val="24"/>
                <w:szCs w:val="24"/>
                <w:lang w:eastAsia="ar-SA"/>
              </w:rPr>
              <w:t>]</w:t>
            </w:r>
          </w:p>
        </w:tc>
        <w:tc>
          <w:tcPr>
            <w:tcW w:w="266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Pr>
                <w:rFonts w:cs="Calibri"/>
                <w:sz w:val="24"/>
                <w:szCs w:val="24"/>
                <w:lang w:eastAsia="ar-SA"/>
              </w:rPr>
              <w:t>5,0[4,6;</w:t>
            </w:r>
            <w:r w:rsidRPr="00124D89">
              <w:rPr>
                <w:rFonts w:cs="Calibri"/>
                <w:sz w:val="24"/>
                <w:szCs w:val="24"/>
                <w:lang w:eastAsia="ar-SA"/>
              </w:rPr>
              <w:t>5,2]-</w:t>
            </w:r>
          </w:p>
        </w:tc>
      </w:tr>
      <w:tr w:rsidR="00286780" w:rsidRPr="00124D89" w:rsidTr="002351FD">
        <w:trPr>
          <w:trHeight w:val="397"/>
          <w:jc w:val="center"/>
        </w:trPr>
        <w:tc>
          <w:tcPr>
            <w:tcW w:w="9923" w:type="dxa"/>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i/>
                <w:sz w:val="24"/>
                <w:szCs w:val="24"/>
                <w:lang w:eastAsia="ar-SA"/>
              </w:rPr>
              <w:t>Примечание</w:t>
            </w:r>
            <w:r w:rsidRPr="00124D89">
              <w:rPr>
                <w:rFonts w:cs="Calibri"/>
                <w:sz w:val="24"/>
                <w:szCs w:val="24"/>
                <w:lang w:eastAsia="ar-SA"/>
              </w:rPr>
              <w:t>. * – различи</w:t>
            </w:r>
            <w:r>
              <w:rPr>
                <w:rFonts w:cs="Calibri"/>
                <w:sz w:val="24"/>
                <w:szCs w:val="24"/>
                <w:lang w:eastAsia="ar-SA"/>
              </w:rPr>
              <w:t>я статистически значимы (р&lt;</w:t>
            </w:r>
            <w:r w:rsidRPr="00124D89">
              <w:rPr>
                <w:rFonts w:cs="Calibri"/>
                <w:sz w:val="24"/>
                <w:szCs w:val="24"/>
                <w:lang w:eastAsia="ar-SA"/>
              </w:rPr>
              <w:t>0,05)</w:t>
            </w:r>
          </w:p>
        </w:tc>
      </w:tr>
    </w:tbl>
    <w:p w:rsidR="00286780" w:rsidRPr="00124D89" w:rsidRDefault="00286780" w:rsidP="00124D89">
      <w:pPr>
        <w:jc w:val="both"/>
        <w:rPr>
          <w:rFonts w:cs="Calibri"/>
          <w:sz w:val="28"/>
          <w:szCs w:val="28"/>
          <w:lang w:eastAsia="ar-SA"/>
        </w:rPr>
      </w:pPr>
    </w:p>
    <w:p w:rsidR="00286780" w:rsidRDefault="00286780" w:rsidP="00124D89">
      <w:pPr>
        <w:spacing w:line="360" w:lineRule="auto"/>
        <w:ind w:firstLine="709"/>
        <w:jc w:val="both"/>
        <w:rPr>
          <w:rFonts w:cs="Calibri"/>
          <w:spacing w:val="-4"/>
          <w:sz w:val="28"/>
          <w:szCs w:val="28"/>
          <w:lang w:eastAsia="ar-SA"/>
        </w:rPr>
      </w:pPr>
      <w:r>
        <w:rPr>
          <w:rFonts w:cs="Calibri"/>
          <w:spacing w:val="-4"/>
          <w:sz w:val="28"/>
          <w:szCs w:val="28"/>
          <w:lang w:eastAsia="ar-SA"/>
        </w:rPr>
        <w:t>Из Таблицы 44</w:t>
      </w:r>
      <w:r w:rsidRPr="00D3604F">
        <w:rPr>
          <w:rFonts w:cs="Calibri"/>
          <w:spacing w:val="-4"/>
          <w:sz w:val="28"/>
          <w:szCs w:val="28"/>
          <w:lang w:eastAsia="ar-SA"/>
        </w:rPr>
        <w:t xml:space="preserve"> следует, что показатели гомеостаза у пациентов с МФОИ и фоновой полиорганной полиморбидной патологией характеризуются повышенным уровнем систолического и диастолического артериального давления, ассоциируемо</w:t>
      </w:r>
      <w:r w:rsidRPr="00D3604F">
        <w:rPr>
          <w:rFonts w:cs="Calibri"/>
          <w:spacing w:val="-4"/>
          <w:sz w:val="28"/>
          <w:szCs w:val="28"/>
          <w:lang w:eastAsia="ar-SA"/>
        </w:rPr>
        <w:lastRenderedPageBreak/>
        <w:t>го с наличием сопутствующей артериальной гипертонии, менее выраженным в сравнении с контрольной группой лейкоцитозом, гиперкреатининемией. Статистически значимые изменения содержания лейкоцитов капиллярной крови в условиях идентичности исследуемых групп по степени тяжести и распространенности основного патологического процесса, а также проводимому лечению, можно объяснить депрессивным влиянием совокупности полиморбидных заболеваний, снижающих функциональные резервы организма в целом. Гиперкреатининемия, возможно, связана с наличием в структуре полиморбидного фона заболеваний почек, в том числе вторичного генеза на фоне сахарного диабета и артериальной гипертонии, а также патологии печени, участвующей в метаболизме креатина. В то же время, показатели концентрации билирубина и мочевины достоверно не различаются, что указывает на сохранение достаточной функциональности вышеобозначенных органов и систем. У пациентов с сахарным диабетом наблюдается гипергликемия.</w:t>
      </w:r>
    </w:p>
    <w:p w:rsidR="00286780" w:rsidRPr="002329D6" w:rsidRDefault="00286780" w:rsidP="002329D6">
      <w:pPr>
        <w:spacing w:line="360" w:lineRule="auto"/>
        <w:ind w:firstLine="709"/>
        <w:jc w:val="both"/>
        <w:rPr>
          <w:rFonts w:cs="Calibri"/>
          <w:spacing w:val="-4"/>
          <w:sz w:val="28"/>
          <w:szCs w:val="28"/>
          <w:lang w:eastAsia="ar-SA"/>
        </w:rPr>
      </w:pPr>
      <w:r w:rsidRPr="00D442CA">
        <w:rPr>
          <w:rFonts w:cs="Calibri"/>
          <w:sz w:val="28"/>
          <w:szCs w:val="28"/>
          <w:lang w:eastAsia="ar-SA"/>
        </w:rPr>
        <w:t>Обострение (декомпенсация, тяжелое течение) фоновой полиорганной па</w:t>
      </w:r>
      <w:r>
        <w:rPr>
          <w:rFonts w:cs="Calibri"/>
          <w:sz w:val="28"/>
          <w:szCs w:val="28"/>
          <w:lang w:eastAsia="ar-SA"/>
        </w:rPr>
        <w:t>тологии наблюдалось в 16 случаях (24</w:t>
      </w:r>
      <w:r w:rsidRPr="00D442CA">
        <w:rPr>
          <w:rFonts w:cs="Calibri"/>
          <w:sz w:val="28"/>
          <w:szCs w:val="28"/>
          <w:lang w:eastAsia="ar-SA"/>
        </w:rPr>
        <w:t>,</w:t>
      </w:r>
      <w:r>
        <w:rPr>
          <w:rFonts w:cs="Calibri"/>
          <w:sz w:val="28"/>
          <w:szCs w:val="28"/>
          <w:lang w:eastAsia="ar-SA"/>
        </w:rPr>
        <w:t>2</w:t>
      </w:r>
      <w:r w:rsidRPr="00D442CA">
        <w:rPr>
          <w:rFonts w:cs="Calibri"/>
          <w:sz w:val="28"/>
          <w:szCs w:val="28"/>
          <w:lang w:eastAsia="ar-SA"/>
        </w:rPr>
        <w:t>%)</w:t>
      </w:r>
      <w:r>
        <w:rPr>
          <w:rFonts w:cs="Calibri"/>
          <w:sz w:val="28"/>
          <w:szCs w:val="28"/>
          <w:lang w:eastAsia="ar-SA"/>
        </w:rPr>
        <w:t xml:space="preserve">, что составляет статистически значимое различие с группой сравнения (6,7%; </w:t>
      </w:r>
      <w:r>
        <w:rPr>
          <w:rFonts w:cs="Calibri"/>
          <w:sz w:val="28"/>
          <w:szCs w:val="28"/>
          <w:lang w:val="en-US" w:eastAsia="ar-SA"/>
        </w:rPr>
        <w:t>p</w:t>
      </w:r>
      <w:r>
        <w:rPr>
          <w:sz w:val="28"/>
          <w:szCs w:val="28"/>
          <w:lang w:eastAsia="ar-SA"/>
        </w:rPr>
        <w:t>&lt;</w:t>
      </w:r>
      <w:r>
        <w:rPr>
          <w:rFonts w:cs="Calibri"/>
          <w:sz w:val="28"/>
          <w:szCs w:val="28"/>
          <w:lang w:eastAsia="ar-SA"/>
        </w:rPr>
        <w:t>0</w:t>
      </w:r>
      <w:r w:rsidRPr="003F32AB">
        <w:rPr>
          <w:rFonts w:cs="Calibri"/>
          <w:sz w:val="28"/>
          <w:szCs w:val="28"/>
          <w:lang w:eastAsia="ar-SA"/>
        </w:rPr>
        <w:t>,05</w:t>
      </w:r>
      <w:r>
        <w:rPr>
          <w:rFonts w:cs="Calibri"/>
          <w:sz w:val="28"/>
          <w:szCs w:val="28"/>
          <w:lang w:eastAsia="ar-SA"/>
        </w:rPr>
        <w:t>), присутствует синдром взаимного отягощения.</w:t>
      </w:r>
      <w:r w:rsidRPr="00124D89">
        <w:rPr>
          <w:rFonts w:cs="Calibri"/>
          <w:sz w:val="28"/>
          <w:szCs w:val="28"/>
          <w:lang w:eastAsia="ar-SA"/>
        </w:rPr>
        <w:t>Состав микрофлоры, определяемой в гнойном экссудате воспалительных очагов пациентов с МФОИ и полиорганной полиморбидной патологией внутренних о</w:t>
      </w:r>
      <w:r>
        <w:rPr>
          <w:rFonts w:cs="Calibri"/>
          <w:sz w:val="28"/>
          <w:szCs w:val="28"/>
          <w:lang w:eastAsia="ar-SA"/>
        </w:rPr>
        <w:t>рганов, представлен в Таблице 45</w:t>
      </w:r>
      <w:r w:rsidRPr="00124D89">
        <w:rPr>
          <w:rFonts w:cs="Calibri"/>
          <w:sz w:val="28"/>
          <w:szCs w:val="28"/>
          <w:lang w:eastAsia="ar-SA"/>
        </w:rPr>
        <w:t>.</w:t>
      </w:r>
    </w:p>
    <w:p w:rsidR="00286780" w:rsidRPr="00124D89" w:rsidRDefault="00286780" w:rsidP="00124D89">
      <w:pPr>
        <w:rPr>
          <w:sz w:val="28"/>
          <w:szCs w:val="28"/>
        </w:rPr>
      </w:pPr>
    </w:p>
    <w:p w:rsidR="00286780" w:rsidRPr="00124D89" w:rsidRDefault="00286780" w:rsidP="00124D89">
      <w:pPr>
        <w:spacing w:after="120"/>
        <w:jc w:val="both"/>
        <w:rPr>
          <w:sz w:val="28"/>
          <w:szCs w:val="28"/>
        </w:rPr>
      </w:pPr>
      <w:r w:rsidRPr="00124D89">
        <w:rPr>
          <w:b/>
          <w:sz w:val="28"/>
          <w:szCs w:val="28"/>
        </w:rPr>
        <w:t>Таблица 4</w:t>
      </w:r>
      <w:r>
        <w:rPr>
          <w:b/>
          <w:sz w:val="28"/>
          <w:szCs w:val="28"/>
        </w:rPr>
        <w:t>5</w:t>
      </w:r>
      <w:r w:rsidRPr="00124D89">
        <w:rPr>
          <w:sz w:val="28"/>
          <w:szCs w:val="28"/>
        </w:rPr>
        <w:t xml:space="preserve"> – Микробиологическая характеристика гнойного отделяемого у пациентов с МФОИ и полиорганными </w:t>
      </w:r>
      <w:r>
        <w:rPr>
          <w:sz w:val="28"/>
          <w:szCs w:val="28"/>
        </w:rPr>
        <w:t>полиморбидными заболеваниями (n=</w:t>
      </w:r>
      <w:r w:rsidRPr="00124D89">
        <w:rPr>
          <w:sz w:val="28"/>
          <w:szCs w:val="28"/>
        </w:rPr>
        <w:t>66)</w:t>
      </w:r>
    </w:p>
    <w:tbl>
      <w:tblPr>
        <w:tblW w:w="9923" w:type="dxa"/>
        <w:jc w:val="center"/>
        <w:tblLayout w:type="fixed"/>
        <w:tblLook w:val="0000" w:firstRow="0" w:lastRow="0" w:firstColumn="0" w:lastColumn="0" w:noHBand="0" w:noVBand="0"/>
      </w:tblPr>
      <w:tblGrid>
        <w:gridCol w:w="4747"/>
        <w:gridCol w:w="2415"/>
        <w:gridCol w:w="2761"/>
      </w:tblGrid>
      <w:tr w:rsidR="00286780" w:rsidRPr="00124D89" w:rsidTr="00874414">
        <w:trPr>
          <w:trHeight w:val="227"/>
          <w:jc w:val="center"/>
        </w:trPr>
        <w:tc>
          <w:tcPr>
            <w:tcW w:w="4747" w:type="dxa"/>
            <w:vMerge w:val="restart"/>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i/>
                <w:sz w:val="24"/>
                <w:szCs w:val="24"/>
                <w:lang w:eastAsia="ar-SA"/>
              </w:rPr>
            </w:pPr>
            <w:r w:rsidRPr="00124D89">
              <w:rPr>
                <w:rFonts w:cs="Calibri"/>
                <w:i/>
                <w:sz w:val="24"/>
                <w:szCs w:val="24"/>
                <w:lang w:eastAsia="ar-SA"/>
              </w:rPr>
              <w:t>Микрофлора</w:t>
            </w:r>
          </w:p>
        </w:tc>
        <w:tc>
          <w:tcPr>
            <w:tcW w:w="5176" w:type="dxa"/>
            <w:gridSpan w:val="2"/>
            <w:tcBorders>
              <w:top w:val="single" w:sz="4" w:space="0" w:color="000000"/>
              <w:left w:val="single" w:sz="4" w:space="0" w:color="000000"/>
              <w:bottom w:val="single" w:sz="4" w:space="0" w:color="000000"/>
              <w:right w:val="single" w:sz="4" w:space="0" w:color="000000"/>
            </w:tcBorders>
            <w:vAlign w:val="center"/>
          </w:tcPr>
          <w:p w:rsidR="00286780" w:rsidRPr="00124D89" w:rsidRDefault="00286780" w:rsidP="00124D89">
            <w:pPr>
              <w:snapToGrid w:val="0"/>
              <w:jc w:val="center"/>
              <w:rPr>
                <w:rFonts w:cs="Calibri"/>
                <w:i/>
                <w:sz w:val="24"/>
                <w:szCs w:val="24"/>
                <w:lang w:eastAsia="ar-SA"/>
              </w:rPr>
            </w:pPr>
            <w:r w:rsidRPr="00124D89">
              <w:rPr>
                <w:rFonts w:cs="Calibri"/>
                <w:i/>
                <w:sz w:val="24"/>
                <w:szCs w:val="24"/>
                <w:lang w:eastAsia="ar-SA"/>
              </w:rPr>
              <w:t>Количество пациентов</w:t>
            </w:r>
          </w:p>
        </w:tc>
      </w:tr>
      <w:tr w:rsidR="00286780" w:rsidRPr="00124D89" w:rsidTr="00874414">
        <w:trPr>
          <w:trHeight w:val="227"/>
          <w:jc w:val="center"/>
        </w:trPr>
        <w:tc>
          <w:tcPr>
            <w:tcW w:w="4747" w:type="dxa"/>
            <w:vMerge/>
            <w:tcBorders>
              <w:top w:val="single" w:sz="4" w:space="0" w:color="000000"/>
              <w:left w:val="single" w:sz="4" w:space="0" w:color="000000"/>
              <w:bottom w:val="single" w:sz="4" w:space="0" w:color="000000"/>
            </w:tcBorders>
          </w:tcPr>
          <w:p w:rsidR="00286780" w:rsidRPr="00124D89" w:rsidRDefault="00286780" w:rsidP="00124D89">
            <w:pPr>
              <w:snapToGrid w:val="0"/>
              <w:jc w:val="both"/>
              <w:rPr>
                <w:rFonts w:cs="Calibri"/>
                <w:sz w:val="24"/>
                <w:szCs w:val="24"/>
                <w:lang w:eastAsia="ar-SA"/>
              </w:rPr>
            </w:pPr>
          </w:p>
        </w:tc>
        <w:tc>
          <w:tcPr>
            <w:tcW w:w="2415" w:type="dxa"/>
            <w:tcBorders>
              <w:top w:val="single" w:sz="4" w:space="0" w:color="000000"/>
              <w:left w:val="single" w:sz="4" w:space="0" w:color="000000"/>
              <w:bottom w:val="single" w:sz="4" w:space="0" w:color="000000"/>
            </w:tcBorders>
          </w:tcPr>
          <w:p w:rsidR="00286780" w:rsidRPr="00124D89" w:rsidRDefault="00041A10" w:rsidP="00124D89">
            <w:pPr>
              <w:snapToGrid w:val="0"/>
              <w:jc w:val="center"/>
              <w:rPr>
                <w:rFonts w:cs="Calibri"/>
                <w:sz w:val="24"/>
                <w:szCs w:val="24"/>
                <w:lang w:eastAsia="ar-SA"/>
              </w:rPr>
            </w:pPr>
            <w:r w:rsidRPr="00124D89">
              <w:rPr>
                <w:rFonts w:cs="Calibri"/>
                <w:sz w:val="24"/>
                <w:szCs w:val="24"/>
                <w:lang w:eastAsia="ar-SA"/>
              </w:rPr>
              <w:t>А</w:t>
            </w:r>
            <w:r w:rsidR="00286780" w:rsidRPr="00124D89">
              <w:rPr>
                <w:rFonts w:cs="Calibri"/>
                <w:sz w:val="24"/>
                <w:szCs w:val="24"/>
                <w:lang w:eastAsia="ar-SA"/>
              </w:rPr>
              <w:t>бсолютное</w:t>
            </w:r>
          </w:p>
        </w:tc>
        <w:tc>
          <w:tcPr>
            <w:tcW w:w="2761" w:type="dxa"/>
            <w:tcBorders>
              <w:top w:val="single" w:sz="4" w:space="0" w:color="000000"/>
              <w:left w:val="single" w:sz="4" w:space="0" w:color="000000"/>
              <w:bottom w:val="single" w:sz="4" w:space="0" w:color="000000"/>
              <w:right w:val="single" w:sz="4" w:space="0" w:color="000000"/>
            </w:tcBorders>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r>
      <w:tr w:rsidR="00286780" w:rsidRPr="00124D89" w:rsidTr="00874414">
        <w:trPr>
          <w:trHeight w:val="454"/>
          <w:jc w:val="center"/>
        </w:trPr>
        <w:tc>
          <w:tcPr>
            <w:tcW w:w="4747"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both"/>
              <w:rPr>
                <w:rFonts w:cs="Calibri"/>
                <w:sz w:val="24"/>
                <w:szCs w:val="24"/>
                <w:lang w:val="en-US" w:eastAsia="ar-SA"/>
              </w:rPr>
            </w:pPr>
            <w:r w:rsidRPr="00124D89">
              <w:rPr>
                <w:rFonts w:cs="Calibri"/>
                <w:sz w:val="24"/>
                <w:szCs w:val="24"/>
                <w:lang w:val="en-US" w:eastAsia="ar-SA"/>
              </w:rPr>
              <w:t>S</w:t>
            </w:r>
            <w:r w:rsidRPr="00124D89">
              <w:rPr>
                <w:rFonts w:cs="Calibri"/>
                <w:sz w:val="24"/>
                <w:szCs w:val="24"/>
                <w:lang w:eastAsia="ar-SA"/>
              </w:rPr>
              <w:t xml:space="preserve">. </w:t>
            </w:r>
            <w:r w:rsidRPr="00124D89">
              <w:rPr>
                <w:rFonts w:cs="Calibri"/>
                <w:sz w:val="24"/>
                <w:szCs w:val="24"/>
                <w:lang w:val="en-US" w:eastAsia="ar-SA"/>
              </w:rPr>
              <w:t>epidermidis</w:t>
            </w:r>
          </w:p>
        </w:tc>
        <w:tc>
          <w:tcPr>
            <w:tcW w:w="2415"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val="en-US" w:eastAsia="ar-SA"/>
              </w:rPr>
              <w:t>2</w:t>
            </w:r>
            <w:r w:rsidRPr="00124D89">
              <w:rPr>
                <w:rFonts w:cs="Calibri"/>
                <w:sz w:val="24"/>
                <w:szCs w:val="24"/>
                <w:lang w:eastAsia="ar-SA"/>
              </w:rPr>
              <w:t>3</w:t>
            </w:r>
          </w:p>
        </w:tc>
        <w:tc>
          <w:tcPr>
            <w:tcW w:w="2761" w:type="dxa"/>
            <w:tcBorders>
              <w:top w:val="single" w:sz="4" w:space="0" w:color="000000"/>
              <w:left w:val="single" w:sz="4" w:space="0" w:color="000000"/>
              <w:bottom w:val="single" w:sz="4" w:space="0" w:color="000000"/>
              <w:right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val="en-US" w:eastAsia="ar-SA"/>
              </w:rPr>
              <w:t>3</w:t>
            </w:r>
            <w:r w:rsidRPr="00124D89">
              <w:rPr>
                <w:rFonts w:cs="Calibri"/>
                <w:sz w:val="24"/>
                <w:szCs w:val="24"/>
                <w:lang w:eastAsia="ar-SA"/>
              </w:rPr>
              <w:t>4</w:t>
            </w:r>
            <w:r w:rsidRPr="00124D89">
              <w:rPr>
                <w:rFonts w:cs="Calibri"/>
                <w:sz w:val="24"/>
                <w:szCs w:val="24"/>
                <w:lang w:val="en-US" w:eastAsia="ar-SA"/>
              </w:rPr>
              <w:t>,</w:t>
            </w:r>
            <w:r w:rsidRPr="00124D89">
              <w:rPr>
                <w:rFonts w:cs="Calibri"/>
                <w:sz w:val="24"/>
                <w:szCs w:val="24"/>
                <w:lang w:eastAsia="ar-SA"/>
              </w:rPr>
              <w:t>8</w:t>
            </w:r>
          </w:p>
        </w:tc>
      </w:tr>
      <w:tr w:rsidR="00286780" w:rsidRPr="00124D89" w:rsidTr="00874414">
        <w:trPr>
          <w:trHeight w:val="454"/>
          <w:jc w:val="center"/>
        </w:trPr>
        <w:tc>
          <w:tcPr>
            <w:tcW w:w="4747"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both"/>
              <w:rPr>
                <w:rFonts w:cs="Calibri"/>
                <w:sz w:val="24"/>
                <w:szCs w:val="24"/>
                <w:lang w:val="en-US" w:eastAsia="ar-SA"/>
              </w:rPr>
            </w:pPr>
            <w:r w:rsidRPr="00124D89">
              <w:rPr>
                <w:rFonts w:cs="Calibri"/>
                <w:sz w:val="24"/>
                <w:szCs w:val="24"/>
                <w:lang w:val="en-US" w:eastAsia="ar-SA"/>
              </w:rPr>
              <w:t>S</w:t>
            </w:r>
            <w:r w:rsidRPr="00124D89">
              <w:rPr>
                <w:rFonts w:cs="Calibri"/>
                <w:sz w:val="24"/>
                <w:szCs w:val="24"/>
                <w:lang w:eastAsia="ar-SA"/>
              </w:rPr>
              <w:t xml:space="preserve">. </w:t>
            </w:r>
            <w:r w:rsidRPr="00124D89">
              <w:rPr>
                <w:rFonts w:cs="Calibri"/>
                <w:sz w:val="24"/>
                <w:szCs w:val="24"/>
                <w:lang w:val="en-US" w:eastAsia="ar-SA"/>
              </w:rPr>
              <w:t>haemoliticus</w:t>
            </w:r>
          </w:p>
        </w:tc>
        <w:tc>
          <w:tcPr>
            <w:tcW w:w="2415"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val="en-US" w:eastAsia="ar-SA"/>
              </w:rPr>
              <w:t>1</w:t>
            </w:r>
            <w:r w:rsidRPr="00124D89">
              <w:rPr>
                <w:rFonts w:cs="Calibri"/>
                <w:sz w:val="24"/>
                <w:szCs w:val="24"/>
                <w:lang w:eastAsia="ar-SA"/>
              </w:rPr>
              <w:t>0</w:t>
            </w:r>
          </w:p>
        </w:tc>
        <w:tc>
          <w:tcPr>
            <w:tcW w:w="2761" w:type="dxa"/>
            <w:tcBorders>
              <w:top w:val="single" w:sz="4" w:space="0" w:color="000000"/>
              <w:left w:val="single" w:sz="4" w:space="0" w:color="000000"/>
              <w:bottom w:val="single" w:sz="4" w:space="0" w:color="000000"/>
              <w:right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val="en-US" w:eastAsia="ar-SA"/>
              </w:rPr>
              <w:t>1</w:t>
            </w:r>
            <w:r w:rsidRPr="00124D89">
              <w:rPr>
                <w:rFonts w:cs="Calibri"/>
                <w:sz w:val="24"/>
                <w:szCs w:val="24"/>
                <w:lang w:eastAsia="ar-SA"/>
              </w:rPr>
              <w:t>5</w:t>
            </w:r>
            <w:r w:rsidRPr="00124D89">
              <w:rPr>
                <w:rFonts w:cs="Calibri"/>
                <w:sz w:val="24"/>
                <w:szCs w:val="24"/>
                <w:lang w:val="en-US" w:eastAsia="ar-SA"/>
              </w:rPr>
              <w:t>,</w:t>
            </w:r>
            <w:r w:rsidRPr="00124D89">
              <w:rPr>
                <w:rFonts w:cs="Calibri"/>
                <w:sz w:val="24"/>
                <w:szCs w:val="24"/>
                <w:lang w:eastAsia="ar-SA"/>
              </w:rPr>
              <w:t>15</w:t>
            </w:r>
          </w:p>
        </w:tc>
      </w:tr>
      <w:tr w:rsidR="00286780" w:rsidRPr="00124D89" w:rsidTr="00874414">
        <w:trPr>
          <w:trHeight w:val="454"/>
          <w:jc w:val="center"/>
        </w:trPr>
        <w:tc>
          <w:tcPr>
            <w:tcW w:w="4747"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both"/>
              <w:rPr>
                <w:rFonts w:cs="Calibri"/>
                <w:sz w:val="24"/>
                <w:szCs w:val="24"/>
                <w:lang w:val="en-US" w:eastAsia="ar-SA"/>
              </w:rPr>
            </w:pPr>
            <w:r w:rsidRPr="00124D89">
              <w:rPr>
                <w:rFonts w:cs="Calibri"/>
                <w:sz w:val="24"/>
                <w:szCs w:val="24"/>
                <w:lang w:val="en-US" w:eastAsia="ar-SA"/>
              </w:rPr>
              <w:t>S</w:t>
            </w:r>
            <w:r w:rsidRPr="00124D89">
              <w:rPr>
                <w:rFonts w:cs="Calibri"/>
                <w:sz w:val="24"/>
                <w:szCs w:val="24"/>
                <w:lang w:eastAsia="ar-SA"/>
              </w:rPr>
              <w:t xml:space="preserve">. </w:t>
            </w:r>
            <w:r w:rsidRPr="00124D89">
              <w:rPr>
                <w:rFonts w:cs="Calibri"/>
                <w:sz w:val="24"/>
                <w:szCs w:val="24"/>
                <w:lang w:val="en-US" w:eastAsia="ar-SA"/>
              </w:rPr>
              <w:t>aureus</w:t>
            </w:r>
          </w:p>
        </w:tc>
        <w:tc>
          <w:tcPr>
            <w:tcW w:w="2415"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4</w:t>
            </w:r>
          </w:p>
        </w:tc>
        <w:tc>
          <w:tcPr>
            <w:tcW w:w="2761" w:type="dxa"/>
            <w:tcBorders>
              <w:top w:val="single" w:sz="4" w:space="0" w:color="000000"/>
              <w:left w:val="single" w:sz="4" w:space="0" w:color="000000"/>
              <w:bottom w:val="single" w:sz="4" w:space="0" w:color="000000"/>
              <w:right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6,1</w:t>
            </w:r>
          </w:p>
        </w:tc>
      </w:tr>
      <w:tr w:rsidR="00286780" w:rsidRPr="00124D89" w:rsidTr="00874414">
        <w:trPr>
          <w:trHeight w:val="454"/>
          <w:jc w:val="center"/>
        </w:trPr>
        <w:tc>
          <w:tcPr>
            <w:tcW w:w="4747"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both"/>
              <w:rPr>
                <w:rFonts w:cs="Calibri"/>
                <w:sz w:val="24"/>
                <w:szCs w:val="24"/>
                <w:lang w:val="en-US" w:eastAsia="ar-SA"/>
              </w:rPr>
            </w:pPr>
            <w:r w:rsidRPr="00124D89">
              <w:rPr>
                <w:rFonts w:cs="Calibri"/>
                <w:sz w:val="24"/>
                <w:szCs w:val="24"/>
                <w:lang w:val="en-US" w:eastAsia="ar-SA"/>
              </w:rPr>
              <w:t>Str. Pyogenes</w:t>
            </w:r>
          </w:p>
        </w:tc>
        <w:tc>
          <w:tcPr>
            <w:tcW w:w="2415"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5</w:t>
            </w:r>
          </w:p>
        </w:tc>
        <w:tc>
          <w:tcPr>
            <w:tcW w:w="2761" w:type="dxa"/>
            <w:tcBorders>
              <w:top w:val="single" w:sz="4" w:space="0" w:color="000000"/>
              <w:left w:val="single" w:sz="4" w:space="0" w:color="000000"/>
              <w:bottom w:val="single" w:sz="4" w:space="0" w:color="000000"/>
              <w:right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7</w:t>
            </w:r>
            <w:r w:rsidRPr="00124D89">
              <w:rPr>
                <w:rFonts w:cs="Calibri"/>
                <w:sz w:val="24"/>
                <w:szCs w:val="24"/>
                <w:lang w:val="en-US" w:eastAsia="ar-SA"/>
              </w:rPr>
              <w:t>,</w:t>
            </w:r>
            <w:r w:rsidRPr="00124D89">
              <w:rPr>
                <w:rFonts w:cs="Calibri"/>
                <w:sz w:val="24"/>
                <w:szCs w:val="24"/>
                <w:lang w:eastAsia="ar-SA"/>
              </w:rPr>
              <w:t>6</w:t>
            </w:r>
          </w:p>
        </w:tc>
      </w:tr>
      <w:tr w:rsidR="00286780" w:rsidRPr="00124D89" w:rsidTr="00874414">
        <w:trPr>
          <w:trHeight w:val="454"/>
          <w:jc w:val="center"/>
        </w:trPr>
        <w:tc>
          <w:tcPr>
            <w:tcW w:w="4747"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both"/>
              <w:rPr>
                <w:rFonts w:cs="Calibri"/>
                <w:sz w:val="24"/>
                <w:szCs w:val="24"/>
                <w:lang w:eastAsia="ar-SA"/>
              </w:rPr>
            </w:pPr>
            <w:r w:rsidRPr="00124D89">
              <w:rPr>
                <w:rFonts w:cs="Calibri"/>
                <w:sz w:val="24"/>
                <w:szCs w:val="24"/>
                <w:lang w:eastAsia="ar-SA"/>
              </w:rPr>
              <w:t>Нет роста</w:t>
            </w:r>
          </w:p>
        </w:tc>
        <w:tc>
          <w:tcPr>
            <w:tcW w:w="2415"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24</w:t>
            </w:r>
          </w:p>
        </w:tc>
        <w:tc>
          <w:tcPr>
            <w:tcW w:w="2761" w:type="dxa"/>
            <w:tcBorders>
              <w:top w:val="single" w:sz="4" w:space="0" w:color="000000"/>
              <w:left w:val="single" w:sz="4" w:space="0" w:color="000000"/>
              <w:bottom w:val="single" w:sz="4" w:space="0" w:color="000000"/>
              <w:right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36,35</w:t>
            </w:r>
          </w:p>
        </w:tc>
      </w:tr>
      <w:tr w:rsidR="00286780" w:rsidRPr="00124D89" w:rsidTr="00874414">
        <w:trPr>
          <w:trHeight w:val="454"/>
          <w:jc w:val="center"/>
        </w:trPr>
        <w:tc>
          <w:tcPr>
            <w:tcW w:w="4747"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both"/>
              <w:rPr>
                <w:rFonts w:cs="Calibri"/>
                <w:sz w:val="24"/>
                <w:szCs w:val="24"/>
                <w:lang w:eastAsia="ar-SA"/>
              </w:rPr>
            </w:pPr>
            <w:r w:rsidRPr="00124D89">
              <w:rPr>
                <w:rFonts w:cs="Calibri"/>
                <w:sz w:val="24"/>
                <w:szCs w:val="24"/>
                <w:lang w:eastAsia="ar-SA"/>
              </w:rPr>
              <w:t>Всего</w:t>
            </w:r>
          </w:p>
        </w:tc>
        <w:tc>
          <w:tcPr>
            <w:tcW w:w="2415"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66</w:t>
            </w:r>
          </w:p>
        </w:tc>
        <w:tc>
          <w:tcPr>
            <w:tcW w:w="2761" w:type="dxa"/>
            <w:tcBorders>
              <w:top w:val="single" w:sz="4" w:space="0" w:color="000000"/>
              <w:left w:val="single" w:sz="4" w:space="0" w:color="000000"/>
              <w:bottom w:val="single" w:sz="4" w:space="0" w:color="000000"/>
              <w:right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100</w:t>
            </w:r>
          </w:p>
        </w:tc>
      </w:tr>
      <w:tr w:rsidR="00286780" w:rsidRPr="00AE516C" w:rsidTr="00874414">
        <w:trPr>
          <w:trHeight w:val="454"/>
          <w:jc w:val="center"/>
        </w:trPr>
        <w:tc>
          <w:tcPr>
            <w:tcW w:w="9923" w:type="dxa"/>
            <w:gridSpan w:val="3"/>
            <w:tcBorders>
              <w:top w:val="single" w:sz="4" w:space="0" w:color="000000"/>
              <w:left w:val="single" w:sz="4" w:space="0" w:color="000000"/>
              <w:bottom w:val="single" w:sz="4" w:space="0" w:color="000000"/>
              <w:right w:val="single" w:sz="4" w:space="0" w:color="000000"/>
            </w:tcBorders>
            <w:vAlign w:val="center"/>
          </w:tcPr>
          <w:p w:rsidR="00286780" w:rsidRPr="000F3A55" w:rsidRDefault="00286780" w:rsidP="00124D89">
            <w:pPr>
              <w:snapToGrid w:val="0"/>
              <w:jc w:val="center"/>
              <w:rPr>
                <w:rFonts w:cs="Calibri"/>
                <w:sz w:val="24"/>
                <w:szCs w:val="24"/>
                <w:lang w:val="en-US" w:eastAsia="ar-SA"/>
              </w:rPr>
            </w:pPr>
            <w:r w:rsidRPr="00124D89">
              <w:rPr>
                <w:rFonts w:cs="Calibri"/>
                <w:i/>
                <w:sz w:val="24"/>
                <w:szCs w:val="24"/>
                <w:lang w:eastAsia="ar-SA"/>
              </w:rPr>
              <w:t>Примечание</w:t>
            </w:r>
            <w:r w:rsidRPr="000F3A55">
              <w:rPr>
                <w:rFonts w:cs="Calibri"/>
                <w:sz w:val="24"/>
                <w:szCs w:val="24"/>
                <w:lang w:val="en-US" w:eastAsia="ar-SA"/>
              </w:rPr>
              <w:t xml:space="preserve">: </w:t>
            </w:r>
            <w:r w:rsidRPr="00124D89">
              <w:rPr>
                <w:rFonts w:cs="Calibri"/>
                <w:sz w:val="24"/>
                <w:szCs w:val="24"/>
                <w:lang w:val="en-US" w:eastAsia="ar-SA"/>
              </w:rPr>
              <w:t>S</w:t>
            </w:r>
            <w:r w:rsidRPr="000F3A55">
              <w:rPr>
                <w:rFonts w:cs="Calibri"/>
                <w:sz w:val="24"/>
                <w:szCs w:val="24"/>
                <w:lang w:val="en-US" w:eastAsia="ar-SA"/>
              </w:rPr>
              <w:t xml:space="preserve">. – </w:t>
            </w:r>
            <w:r w:rsidRPr="00124D89">
              <w:rPr>
                <w:rFonts w:cs="Calibri"/>
                <w:sz w:val="24"/>
                <w:szCs w:val="24"/>
                <w:lang w:val="en-US" w:eastAsia="ar-SA"/>
              </w:rPr>
              <w:t>staphylococcus</w:t>
            </w:r>
            <w:r w:rsidRPr="000F3A55">
              <w:rPr>
                <w:rFonts w:cs="Calibri"/>
                <w:sz w:val="24"/>
                <w:szCs w:val="24"/>
                <w:lang w:val="en-US" w:eastAsia="ar-SA"/>
              </w:rPr>
              <w:t xml:space="preserve">, </w:t>
            </w:r>
            <w:r w:rsidRPr="00124D89">
              <w:rPr>
                <w:rFonts w:cs="Calibri"/>
                <w:sz w:val="24"/>
                <w:szCs w:val="24"/>
                <w:lang w:val="en-US" w:eastAsia="ar-SA"/>
              </w:rPr>
              <w:t>Str</w:t>
            </w:r>
            <w:r w:rsidRPr="000F3A55">
              <w:rPr>
                <w:rFonts w:cs="Calibri"/>
                <w:sz w:val="24"/>
                <w:szCs w:val="24"/>
                <w:lang w:val="en-US" w:eastAsia="ar-SA"/>
              </w:rPr>
              <w:t xml:space="preserve">. – </w:t>
            </w:r>
            <w:r w:rsidRPr="00124D89">
              <w:rPr>
                <w:rFonts w:cs="Calibri"/>
                <w:sz w:val="24"/>
                <w:szCs w:val="24"/>
                <w:lang w:val="en-US" w:eastAsia="ar-SA"/>
              </w:rPr>
              <w:t>streptococcus</w:t>
            </w:r>
          </w:p>
        </w:tc>
      </w:tr>
    </w:tbl>
    <w:p w:rsidR="00286780" w:rsidRPr="000F3A55" w:rsidRDefault="00286780" w:rsidP="00124D89">
      <w:pPr>
        <w:jc w:val="both"/>
        <w:rPr>
          <w:rFonts w:cs="Calibri"/>
          <w:sz w:val="24"/>
          <w:szCs w:val="24"/>
          <w:lang w:val="en-US" w:eastAsia="ar-SA"/>
        </w:rPr>
      </w:pPr>
    </w:p>
    <w:p w:rsidR="00286780" w:rsidRPr="00D3604F" w:rsidRDefault="00286780" w:rsidP="00124D89">
      <w:pPr>
        <w:spacing w:line="360" w:lineRule="auto"/>
        <w:ind w:firstLine="709"/>
        <w:jc w:val="both"/>
        <w:rPr>
          <w:rFonts w:cs="Calibri"/>
          <w:spacing w:val="-6"/>
          <w:sz w:val="28"/>
          <w:szCs w:val="28"/>
          <w:lang w:eastAsia="ar-SA"/>
        </w:rPr>
      </w:pPr>
      <w:r w:rsidRPr="00D3604F">
        <w:rPr>
          <w:rFonts w:cs="Calibri"/>
          <w:spacing w:val="-6"/>
          <w:sz w:val="28"/>
          <w:szCs w:val="28"/>
          <w:lang w:eastAsia="ar-SA"/>
        </w:rPr>
        <w:lastRenderedPageBreak/>
        <w:t>Чаще всего в гнойном отделяемом у пациентов с местной формой гнойной инфекции и полиорганной полиморбидной патологией определяются стафилококки (</w:t>
      </w:r>
      <w:r w:rsidRPr="00D3604F">
        <w:rPr>
          <w:rFonts w:cs="Calibri"/>
          <w:spacing w:val="-6"/>
          <w:sz w:val="28"/>
          <w:szCs w:val="28"/>
          <w:lang w:val="en-US" w:eastAsia="ar-SA"/>
        </w:rPr>
        <w:t>S</w:t>
      </w:r>
      <w:r w:rsidRPr="00D3604F">
        <w:rPr>
          <w:rFonts w:cs="Calibri"/>
          <w:spacing w:val="-6"/>
          <w:sz w:val="28"/>
          <w:szCs w:val="28"/>
          <w:lang w:eastAsia="ar-SA"/>
        </w:rPr>
        <w:t xml:space="preserve">. </w:t>
      </w:r>
      <w:r w:rsidRPr="00D3604F">
        <w:rPr>
          <w:rFonts w:cs="Calibri"/>
          <w:spacing w:val="-6"/>
          <w:sz w:val="28"/>
          <w:szCs w:val="28"/>
          <w:lang w:val="en-US" w:eastAsia="ar-SA"/>
        </w:rPr>
        <w:t>epidermidis</w:t>
      </w:r>
      <w:r w:rsidRPr="00D3604F">
        <w:rPr>
          <w:rFonts w:cs="Calibri"/>
          <w:spacing w:val="-6"/>
          <w:sz w:val="28"/>
          <w:szCs w:val="28"/>
          <w:lang w:eastAsia="ar-SA"/>
        </w:rPr>
        <w:t xml:space="preserve">, </w:t>
      </w:r>
      <w:r w:rsidRPr="00D3604F">
        <w:rPr>
          <w:rFonts w:cs="Calibri"/>
          <w:spacing w:val="-6"/>
          <w:sz w:val="28"/>
          <w:szCs w:val="28"/>
          <w:lang w:val="en-US" w:eastAsia="ar-SA"/>
        </w:rPr>
        <w:t>S</w:t>
      </w:r>
      <w:r w:rsidRPr="00D3604F">
        <w:rPr>
          <w:rFonts w:cs="Calibri"/>
          <w:spacing w:val="-6"/>
          <w:sz w:val="28"/>
          <w:szCs w:val="28"/>
          <w:lang w:eastAsia="ar-SA"/>
        </w:rPr>
        <w:t xml:space="preserve">. </w:t>
      </w:r>
      <w:r w:rsidRPr="00D3604F">
        <w:rPr>
          <w:rFonts w:cs="Calibri"/>
          <w:spacing w:val="-6"/>
          <w:sz w:val="28"/>
          <w:szCs w:val="28"/>
          <w:lang w:val="en-US" w:eastAsia="ar-SA"/>
        </w:rPr>
        <w:t>haemoliticus</w:t>
      </w:r>
      <w:r w:rsidRPr="00D3604F">
        <w:rPr>
          <w:rFonts w:cs="Calibri"/>
          <w:spacing w:val="-6"/>
          <w:sz w:val="28"/>
          <w:szCs w:val="28"/>
          <w:lang w:eastAsia="ar-SA"/>
        </w:rPr>
        <w:t xml:space="preserve"> и </w:t>
      </w:r>
      <w:r w:rsidRPr="00D3604F">
        <w:rPr>
          <w:rFonts w:cs="Calibri"/>
          <w:spacing w:val="-6"/>
          <w:sz w:val="28"/>
          <w:szCs w:val="28"/>
          <w:lang w:val="en-US" w:eastAsia="ar-SA"/>
        </w:rPr>
        <w:t>S</w:t>
      </w:r>
      <w:r w:rsidRPr="00D3604F">
        <w:rPr>
          <w:rFonts w:cs="Calibri"/>
          <w:spacing w:val="-6"/>
          <w:sz w:val="28"/>
          <w:szCs w:val="28"/>
          <w:lang w:eastAsia="ar-SA"/>
        </w:rPr>
        <w:t xml:space="preserve">. </w:t>
      </w:r>
      <w:r w:rsidRPr="00D3604F">
        <w:rPr>
          <w:rFonts w:cs="Calibri"/>
          <w:spacing w:val="-6"/>
          <w:sz w:val="28"/>
          <w:szCs w:val="28"/>
          <w:lang w:val="en-US" w:eastAsia="ar-SA"/>
        </w:rPr>
        <w:t>aureus</w:t>
      </w:r>
      <w:r w:rsidRPr="00D3604F">
        <w:rPr>
          <w:rFonts w:cs="Calibri"/>
          <w:spacing w:val="-6"/>
          <w:sz w:val="28"/>
          <w:szCs w:val="28"/>
          <w:lang w:eastAsia="ar-SA"/>
        </w:rPr>
        <w:t xml:space="preserve">) – всего у 56% больных, причем </w:t>
      </w:r>
      <w:r w:rsidRPr="00D3604F">
        <w:rPr>
          <w:rFonts w:cs="Calibri"/>
          <w:spacing w:val="-6"/>
          <w:sz w:val="28"/>
          <w:szCs w:val="28"/>
          <w:lang w:val="en-US" w:eastAsia="ar-SA"/>
        </w:rPr>
        <w:t>S</w:t>
      </w:r>
      <w:r w:rsidRPr="00D3604F">
        <w:rPr>
          <w:rFonts w:cs="Calibri"/>
          <w:spacing w:val="-6"/>
          <w:sz w:val="28"/>
          <w:szCs w:val="28"/>
          <w:lang w:eastAsia="ar-SA"/>
        </w:rPr>
        <w:t xml:space="preserve">. </w:t>
      </w:r>
      <w:r w:rsidRPr="00D3604F">
        <w:rPr>
          <w:rFonts w:cs="Calibri"/>
          <w:spacing w:val="-6"/>
          <w:sz w:val="28"/>
          <w:szCs w:val="28"/>
          <w:lang w:val="en-US" w:eastAsia="ar-SA"/>
        </w:rPr>
        <w:t>epidermidis</w:t>
      </w:r>
      <w:r w:rsidRPr="00D3604F">
        <w:rPr>
          <w:rFonts w:cs="Calibri"/>
          <w:spacing w:val="-6"/>
          <w:sz w:val="28"/>
          <w:szCs w:val="28"/>
          <w:lang w:eastAsia="ar-SA"/>
        </w:rPr>
        <w:t xml:space="preserve"> – в 34,8% случаев. Стрептококки (</w:t>
      </w:r>
      <w:r w:rsidRPr="00D3604F">
        <w:rPr>
          <w:rFonts w:cs="Calibri"/>
          <w:spacing w:val="-6"/>
          <w:sz w:val="28"/>
          <w:szCs w:val="28"/>
          <w:lang w:val="en-US" w:eastAsia="ar-SA"/>
        </w:rPr>
        <w:t>Str</w:t>
      </w:r>
      <w:r w:rsidRPr="00D3604F">
        <w:rPr>
          <w:rFonts w:cs="Calibri"/>
          <w:spacing w:val="-6"/>
          <w:sz w:val="28"/>
          <w:szCs w:val="28"/>
          <w:lang w:eastAsia="ar-SA"/>
        </w:rPr>
        <w:t xml:space="preserve">. </w:t>
      </w:r>
      <w:r w:rsidRPr="00D3604F">
        <w:rPr>
          <w:rFonts w:cs="Calibri"/>
          <w:spacing w:val="-6"/>
          <w:sz w:val="28"/>
          <w:szCs w:val="28"/>
          <w:lang w:val="en-US" w:eastAsia="ar-SA"/>
        </w:rPr>
        <w:t>pyogenes</w:t>
      </w:r>
      <w:r w:rsidRPr="00D3604F">
        <w:rPr>
          <w:rFonts w:cs="Calibri"/>
          <w:spacing w:val="-6"/>
          <w:sz w:val="28"/>
          <w:szCs w:val="28"/>
          <w:lang w:eastAsia="ar-SA"/>
        </w:rPr>
        <w:t>) диагностированы у 7,6% больных.</w:t>
      </w: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 xml:space="preserve">Следует отметить, что </w:t>
      </w:r>
      <w:r w:rsidRPr="00124D89">
        <w:rPr>
          <w:rFonts w:cs="Calibri"/>
          <w:sz w:val="28"/>
          <w:szCs w:val="28"/>
          <w:lang w:val="en-US" w:eastAsia="ar-SA"/>
        </w:rPr>
        <w:t>S</w:t>
      </w:r>
      <w:r w:rsidRPr="00124D89">
        <w:rPr>
          <w:rFonts w:cs="Calibri"/>
          <w:sz w:val="28"/>
          <w:szCs w:val="28"/>
          <w:lang w:eastAsia="ar-SA"/>
        </w:rPr>
        <w:t xml:space="preserve">. </w:t>
      </w:r>
      <w:r w:rsidRPr="00124D89">
        <w:rPr>
          <w:rFonts w:cs="Calibri"/>
          <w:sz w:val="28"/>
          <w:szCs w:val="28"/>
          <w:lang w:val="en-US" w:eastAsia="ar-SA"/>
        </w:rPr>
        <w:t>epidermidis</w:t>
      </w:r>
      <w:r w:rsidRPr="00124D89">
        <w:rPr>
          <w:rFonts w:cs="Calibri"/>
          <w:sz w:val="28"/>
          <w:szCs w:val="28"/>
          <w:lang w:eastAsia="ar-SA"/>
        </w:rPr>
        <w:t xml:space="preserve"> не является типичным патогеном и может входить в состав контам</w:t>
      </w:r>
      <w:r>
        <w:rPr>
          <w:rFonts w:cs="Calibri"/>
          <w:sz w:val="28"/>
          <w:szCs w:val="28"/>
          <w:lang w:eastAsia="ar-SA"/>
        </w:rPr>
        <w:t xml:space="preserve">инирующей микрофлоры </w:t>
      </w:r>
      <w:r w:rsidRPr="003A7142">
        <w:rPr>
          <w:rFonts w:cs="Calibri"/>
          <w:sz w:val="28"/>
          <w:szCs w:val="28"/>
          <w:lang w:eastAsia="ar-SA"/>
        </w:rPr>
        <w:t>(</w:t>
      </w:r>
      <w:r>
        <w:rPr>
          <w:rFonts w:cs="Calibri"/>
          <w:sz w:val="28"/>
          <w:szCs w:val="28"/>
          <w:lang w:eastAsia="ar-SA"/>
        </w:rPr>
        <w:t>Ерюхин И.А. и др., 2006</w:t>
      </w:r>
      <w:r w:rsidRPr="003A7142">
        <w:rPr>
          <w:rFonts w:cs="Calibri"/>
          <w:sz w:val="28"/>
          <w:szCs w:val="28"/>
          <w:lang w:eastAsia="ar-SA"/>
        </w:rPr>
        <w:t>)</w:t>
      </w:r>
      <w:r w:rsidRPr="00124D89">
        <w:rPr>
          <w:rFonts w:cs="Calibri"/>
          <w:sz w:val="28"/>
          <w:szCs w:val="28"/>
          <w:lang w:eastAsia="ar-SA"/>
        </w:rPr>
        <w:t>. Поэтому необходимо учитывать, что основное заболевание (абсцесс или флегмона) у пациентов в настоящем исследовании могло быть вызвано иными микроорганизмами, в том числе неклостридиальными анаэробами (или их ассоциациями), частота определения которых по данным литературных источник</w:t>
      </w:r>
      <w:r>
        <w:rPr>
          <w:rFonts w:cs="Calibri"/>
          <w:sz w:val="28"/>
          <w:szCs w:val="28"/>
          <w:lang w:eastAsia="ar-SA"/>
        </w:rPr>
        <w:t xml:space="preserve">ов достигает 65–79% </w:t>
      </w:r>
      <w:r w:rsidRPr="003A7142">
        <w:rPr>
          <w:rFonts w:cs="Calibri"/>
          <w:sz w:val="28"/>
          <w:szCs w:val="28"/>
          <w:lang w:eastAsia="ar-SA"/>
        </w:rPr>
        <w:t>(</w:t>
      </w:r>
      <w:r>
        <w:rPr>
          <w:rFonts w:cs="Calibri"/>
          <w:sz w:val="28"/>
          <w:szCs w:val="28"/>
          <w:lang w:eastAsia="ar-SA"/>
        </w:rPr>
        <w:t>Бычкова Н.П., 2014</w:t>
      </w:r>
      <w:r w:rsidRPr="003A7142">
        <w:rPr>
          <w:rFonts w:cs="Calibri"/>
          <w:sz w:val="28"/>
          <w:szCs w:val="28"/>
          <w:lang w:eastAsia="ar-SA"/>
        </w:rPr>
        <w:t>)</w:t>
      </w:r>
      <w:r w:rsidRPr="00124D89">
        <w:rPr>
          <w:rFonts w:cs="Calibri"/>
          <w:sz w:val="28"/>
          <w:szCs w:val="28"/>
          <w:lang w:eastAsia="ar-SA"/>
        </w:rPr>
        <w:t>.</w:t>
      </w: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В целом, видовой состав возбудителей гнойной инфекции (за исключением неклостридиальных анаэробов) у пациентов с МФОИ и полиорганной полиморбидностью соответству</w:t>
      </w:r>
      <w:r>
        <w:rPr>
          <w:rFonts w:cs="Calibri"/>
          <w:sz w:val="28"/>
          <w:szCs w:val="28"/>
          <w:lang w:eastAsia="ar-SA"/>
        </w:rPr>
        <w:t xml:space="preserve">ет данным литературы </w:t>
      </w:r>
      <w:r w:rsidRPr="003A7142">
        <w:rPr>
          <w:rFonts w:cs="Calibri"/>
          <w:sz w:val="28"/>
          <w:szCs w:val="28"/>
          <w:lang w:eastAsia="ar-SA"/>
        </w:rPr>
        <w:t>(</w:t>
      </w:r>
      <w:r>
        <w:rPr>
          <w:rFonts w:cs="Calibri"/>
          <w:sz w:val="28"/>
          <w:szCs w:val="28"/>
          <w:lang w:eastAsia="ar-SA"/>
        </w:rPr>
        <w:t>Ушаков Р.В., Царев В.Н., 2006</w:t>
      </w:r>
      <w:r w:rsidRPr="003A7142">
        <w:rPr>
          <w:rFonts w:cs="Calibri"/>
          <w:sz w:val="28"/>
          <w:szCs w:val="28"/>
          <w:lang w:eastAsia="ar-SA"/>
        </w:rPr>
        <w:t>)</w:t>
      </w:r>
      <w:r w:rsidRPr="00124D89">
        <w:rPr>
          <w:rFonts w:cs="Calibri"/>
          <w:sz w:val="28"/>
          <w:szCs w:val="28"/>
          <w:lang w:eastAsia="ar-SA"/>
        </w:rPr>
        <w:t>.</w:t>
      </w: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Чувствительность идентифицированных микроорганизмов к различным антибактериальным</w:t>
      </w:r>
      <w:r>
        <w:rPr>
          <w:rFonts w:cs="Calibri"/>
          <w:sz w:val="28"/>
          <w:szCs w:val="28"/>
          <w:lang w:eastAsia="ar-SA"/>
        </w:rPr>
        <w:t xml:space="preserve"> препаратам указана в Таблице 46</w:t>
      </w:r>
      <w:r w:rsidRPr="00124D89">
        <w:rPr>
          <w:rFonts w:cs="Calibri"/>
          <w:sz w:val="28"/>
          <w:szCs w:val="28"/>
          <w:lang w:eastAsia="ar-SA"/>
        </w:rPr>
        <w:t>.</w:t>
      </w:r>
    </w:p>
    <w:p w:rsidR="00286780" w:rsidRPr="00124D89" w:rsidRDefault="00286780" w:rsidP="00124D89">
      <w:pPr>
        <w:rPr>
          <w:sz w:val="28"/>
          <w:szCs w:val="28"/>
        </w:rPr>
      </w:pPr>
    </w:p>
    <w:p w:rsidR="00286780" w:rsidRPr="00124D89" w:rsidRDefault="00286780" w:rsidP="00124D89">
      <w:pPr>
        <w:spacing w:after="120"/>
        <w:jc w:val="both"/>
        <w:rPr>
          <w:sz w:val="28"/>
          <w:szCs w:val="28"/>
        </w:rPr>
      </w:pPr>
      <w:r w:rsidRPr="00124D89">
        <w:rPr>
          <w:b/>
          <w:sz w:val="28"/>
          <w:szCs w:val="28"/>
        </w:rPr>
        <w:t>Таблица 4</w:t>
      </w:r>
      <w:r>
        <w:rPr>
          <w:b/>
          <w:sz w:val="28"/>
          <w:szCs w:val="28"/>
        </w:rPr>
        <w:t>6</w:t>
      </w:r>
      <w:r w:rsidRPr="00124D89">
        <w:rPr>
          <w:sz w:val="28"/>
          <w:szCs w:val="28"/>
        </w:rPr>
        <w:t xml:space="preserve"> – Активность антибиотиков у пациентов с МФОИ и полиорганными полиморбидными заболеваниями</w:t>
      </w:r>
    </w:p>
    <w:tbl>
      <w:tblPr>
        <w:tblW w:w="9923" w:type="dxa"/>
        <w:jc w:val="center"/>
        <w:tblLayout w:type="fixed"/>
        <w:tblLook w:val="0000" w:firstRow="0" w:lastRow="0" w:firstColumn="0" w:lastColumn="0" w:noHBand="0" w:noVBand="0"/>
      </w:tblPr>
      <w:tblGrid>
        <w:gridCol w:w="2240"/>
        <w:gridCol w:w="1134"/>
        <w:gridCol w:w="1320"/>
        <w:gridCol w:w="770"/>
        <w:gridCol w:w="880"/>
        <w:gridCol w:w="857"/>
        <w:gridCol w:w="850"/>
        <w:gridCol w:w="1004"/>
        <w:gridCol w:w="868"/>
      </w:tblGrid>
      <w:tr w:rsidR="00286780" w:rsidRPr="00124D89" w:rsidTr="00874414">
        <w:trPr>
          <w:trHeight w:val="360"/>
          <w:jc w:val="center"/>
        </w:trPr>
        <w:tc>
          <w:tcPr>
            <w:tcW w:w="2240" w:type="dxa"/>
            <w:vMerge w:val="restart"/>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i/>
                <w:sz w:val="24"/>
                <w:szCs w:val="24"/>
                <w:lang w:eastAsia="ar-SA"/>
              </w:rPr>
            </w:pPr>
            <w:r w:rsidRPr="00124D89">
              <w:rPr>
                <w:rFonts w:cs="Calibri"/>
                <w:i/>
                <w:sz w:val="24"/>
                <w:szCs w:val="24"/>
                <w:lang w:eastAsia="ar-SA"/>
              </w:rPr>
              <w:t>Микроорганизм</w:t>
            </w:r>
          </w:p>
        </w:tc>
        <w:tc>
          <w:tcPr>
            <w:tcW w:w="7683" w:type="dxa"/>
            <w:gridSpan w:val="8"/>
            <w:tcBorders>
              <w:top w:val="single" w:sz="4" w:space="0" w:color="000000"/>
              <w:left w:val="single" w:sz="4" w:space="0" w:color="000000"/>
              <w:bottom w:val="single" w:sz="4" w:space="0" w:color="000000"/>
              <w:right w:val="single" w:sz="4" w:space="0" w:color="000000"/>
            </w:tcBorders>
            <w:vAlign w:val="center"/>
          </w:tcPr>
          <w:p w:rsidR="00286780" w:rsidRPr="00124D89" w:rsidRDefault="00286780" w:rsidP="00124D89">
            <w:pPr>
              <w:snapToGrid w:val="0"/>
              <w:jc w:val="center"/>
              <w:rPr>
                <w:rFonts w:cs="Calibri"/>
                <w:i/>
                <w:sz w:val="24"/>
                <w:szCs w:val="24"/>
                <w:lang w:eastAsia="ar-SA"/>
              </w:rPr>
            </w:pPr>
            <w:r w:rsidRPr="00124D89">
              <w:rPr>
                <w:rFonts w:cs="Calibri"/>
                <w:i/>
                <w:sz w:val="24"/>
                <w:szCs w:val="24"/>
                <w:lang w:eastAsia="ar-SA"/>
              </w:rPr>
              <w:t>Частота выявления чувствительных штаммов, %</w:t>
            </w:r>
          </w:p>
        </w:tc>
      </w:tr>
      <w:tr w:rsidR="00286780" w:rsidRPr="00124D89" w:rsidTr="00874414">
        <w:trPr>
          <w:trHeight w:val="520"/>
          <w:jc w:val="center"/>
        </w:trPr>
        <w:tc>
          <w:tcPr>
            <w:tcW w:w="2240" w:type="dxa"/>
            <w:vMerge/>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p>
        </w:tc>
        <w:tc>
          <w:tcPr>
            <w:tcW w:w="2454" w:type="dxa"/>
            <w:gridSpan w:val="2"/>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Пенициллины</w:t>
            </w:r>
          </w:p>
        </w:tc>
        <w:tc>
          <w:tcPr>
            <w:tcW w:w="770" w:type="dxa"/>
            <w:vMerge w:val="restart"/>
            <w:tcBorders>
              <w:top w:val="single" w:sz="4" w:space="0" w:color="000000"/>
              <w:left w:val="single" w:sz="4" w:space="0" w:color="000000"/>
              <w:bottom w:val="single" w:sz="4" w:space="0" w:color="000000"/>
            </w:tcBorders>
            <w:textDirection w:val="btL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Ципрофлоксацин</w:t>
            </w:r>
          </w:p>
        </w:tc>
        <w:tc>
          <w:tcPr>
            <w:tcW w:w="880" w:type="dxa"/>
            <w:vMerge w:val="restart"/>
            <w:tcBorders>
              <w:top w:val="single" w:sz="4" w:space="0" w:color="000000"/>
              <w:left w:val="single" w:sz="4" w:space="0" w:color="000000"/>
              <w:bottom w:val="single" w:sz="4" w:space="0" w:color="000000"/>
            </w:tcBorders>
            <w:textDirection w:val="btL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Эритромицин</w:t>
            </w:r>
          </w:p>
        </w:tc>
        <w:tc>
          <w:tcPr>
            <w:tcW w:w="857" w:type="dxa"/>
            <w:vMerge w:val="restart"/>
            <w:tcBorders>
              <w:top w:val="single" w:sz="4" w:space="0" w:color="000000"/>
              <w:left w:val="single" w:sz="4" w:space="0" w:color="000000"/>
            </w:tcBorders>
            <w:textDirection w:val="btL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Ванкомицин</w:t>
            </w:r>
          </w:p>
        </w:tc>
        <w:tc>
          <w:tcPr>
            <w:tcW w:w="850" w:type="dxa"/>
            <w:vMerge w:val="restart"/>
            <w:tcBorders>
              <w:top w:val="single" w:sz="4" w:space="0" w:color="000000"/>
              <w:left w:val="single" w:sz="4" w:space="0" w:color="000000"/>
            </w:tcBorders>
            <w:textDirection w:val="btL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Линезолид</w:t>
            </w:r>
          </w:p>
        </w:tc>
        <w:tc>
          <w:tcPr>
            <w:tcW w:w="1004" w:type="dxa"/>
            <w:vMerge w:val="restart"/>
            <w:tcBorders>
              <w:top w:val="single" w:sz="4" w:space="0" w:color="000000"/>
              <w:left w:val="single" w:sz="4" w:space="0" w:color="000000"/>
            </w:tcBorders>
            <w:textDirection w:val="btL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Гентамицин</w:t>
            </w:r>
          </w:p>
        </w:tc>
        <w:tc>
          <w:tcPr>
            <w:tcW w:w="868" w:type="dxa"/>
            <w:vMerge w:val="restart"/>
            <w:tcBorders>
              <w:top w:val="single" w:sz="4" w:space="0" w:color="000000"/>
              <w:left w:val="single" w:sz="4" w:space="0" w:color="000000"/>
              <w:right w:val="single" w:sz="4" w:space="0" w:color="000000"/>
            </w:tcBorders>
            <w:textDirection w:val="btL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Клиндамицин</w:t>
            </w:r>
          </w:p>
        </w:tc>
      </w:tr>
      <w:tr w:rsidR="00286780" w:rsidRPr="00124D89" w:rsidTr="00143663">
        <w:trPr>
          <w:cantSplit/>
          <w:trHeight w:val="1757"/>
          <w:jc w:val="center"/>
        </w:trPr>
        <w:tc>
          <w:tcPr>
            <w:tcW w:w="2240" w:type="dxa"/>
            <w:vMerge/>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both"/>
              <w:rPr>
                <w:rFonts w:cs="Calibri"/>
                <w:sz w:val="24"/>
                <w:szCs w:val="24"/>
                <w:lang w:eastAsia="ar-SA"/>
              </w:rPr>
            </w:pPr>
          </w:p>
        </w:tc>
        <w:tc>
          <w:tcPr>
            <w:tcW w:w="1134" w:type="dxa"/>
            <w:tcBorders>
              <w:top w:val="single" w:sz="4" w:space="0" w:color="000000"/>
              <w:left w:val="single" w:sz="4" w:space="0" w:color="000000"/>
              <w:bottom w:val="single" w:sz="4" w:space="0" w:color="000000"/>
            </w:tcBorders>
            <w:textDirection w:val="btL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Природные</w:t>
            </w:r>
          </w:p>
        </w:tc>
        <w:tc>
          <w:tcPr>
            <w:tcW w:w="1320" w:type="dxa"/>
            <w:tcBorders>
              <w:top w:val="single" w:sz="4" w:space="0" w:color="000000"/>
              <w:left w:val="single" w:sz="4" w:space="0" w:color="000000"/>
              <w:bottom w:val="single" w:sz="4" w:space="0" w:color="000000"/>
            </w:tcBorders>
            <w:textDirection w:val="btL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Антистафилококковые</w:t>
            </w:r>
          </w:p>
        </w:tc>
        <w:tc>
          <w:tcPr>
            <w:tcW w:w="770" w:type="dxa"/>
            <w:vMerge/>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both"/>
              <w:rPr>
                <w:rFonts w:cs="Calibri"/>
                <w:sz w:val="24"/>
                <w:szCs w:val="24"/>
                <w:lang w:eastAsia="ar-SA"/>
              </w:rPr>
            </w:pPr>
          </w:p>
        </w:tc>
        <w:tc>
          <w:tcPr>
            <w:tcW w:w="880" w:type="dxa"/>
            <w:vMerge/>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both"/>
              <w:rPr>
                <w:rFonts w:cs="Calibri"/>
                <w:sz w:val="24"/>
                <w:szCs w:val="24"/>
                <w:lang w:eastAsia="ar-SA"/>
              </w:rPr>
            </w:pPr>
          </w:p>
        </w:tc>
        <w:tc>
          <w:tcPr>
            <w:tcW w:w="857" w:type="dxa"/>
            <w:vMerge/>
            <w:tcBorders>
              <w:left w:val="single" w:sz="4" w:space="0" w:color="000000"/>
              <w:bottom w:val="single" w:sz="4" w:space="0" w:color="000000"/>
            </w:tcBorders>
            <w:textDirection w:val="tbRl"/>
            <w:vAlign w:val="center"/>
          </w:tcPr>
          <w:p w:rsidR="00286780" w:rsidRPr="00124D89" w:rsidRDefault="00286780" w:rsidP="00124D89">
            <w:pPr>
              <w:snapToGrid w:val="0"/>
              <w:jc w:val="both"/>
              <w:rPr>
                <w:rFonts w:cs="Calibri"/>
                <w:sz w:val="24"/>
                <w:szCs w:val="24"/>
                <w:lang w:eastAsia="ar-SA"/>
              </w:rPr>
            </w:pPr>
          </w:p>
        </w:tc>
        <w:tc>
          <w:tcPr>
            <w:tcW w:w="850" w:type="dxa"/>
            <w:vMerge/>
            <w:tcBorders>
              <w:left w:val="single" w:sz="4" w:space="0" w:color="000000"/>
              <w:bottom w:val="single" w:sz="4" w:space="0" w:color="000000"/>
            </w:tcBorders>
            <w:textDirection w:val="tbRl"/>
            <w:vAlign w:val="center"/>
          </w:tcPr>
          <w:p w:rsidR="00286780" w:rsidRPr="00124D89" w:rsidRDefault="00286780" w:rsidP="00124D89">
            <w:pPr>
              <w:snapToGrid w:val="0"/>
              <w:jc w:val="both"/>
              <w:rPr>
                <w:rFonts w:cs="Calibri"/>
                <w:sz w:val="24"/>
                <w:szCs w:val="24"/>
                <w:lang w:eastAsia="ar-SA"/>
              </w:rPr>
            </w:pPr>
          </w:p>
        </w:tc>
        <w:tc>
          <w:tcPr>
            <w:tcW w:w="1004" w:type="dxa"/>
            <w:vMerge/>
            <w:tcBorders>
              <w:left w:val="single" w:sz="4" w:space="0" w:color="000000"/>
              <w:bottom w:val="single" w:sz="4" w:space="0" w:color="000000"/>
            </w:tcBorders>
            <w:textDirection w:val="tbRl"/>
            <w:vAlign w:val="center"/>
          </w:tcPr>
          <w:p w:rsidR="00286780" w:rsidRPr="00124D89" w:rsidRDefault="00286780" w:rsidP="00124D89">
            <w:pPr>
              <w:snapToGrid w:val="0"/>
              <w:jc w:val="both"/>
              <w:rPr>
                <w:rFonts w:cs="Calibri"/>
                <w:sz w:val="24"/>
                <w:szCs w:val="24"/>
                <w:lang w:eastAsia="ar-SA"/>
              </w:rPr>
            </w:pPr>
          </w:p>
        </w:tc>
        <w:tc>
          <w:tcPr>
            <w:tcW w:w="868" w:type="dxa"/>
            <w:vMerge/>
            <w:tcBorders>
              <w:left w:val="single" w:sz="4" w:space="0" w:color="000000"/>
              <w:bottom w:val="single" w:sz="4" w:space="0" w:color="000000"/>
              <w:right w:val="single" w:sz="4" w:space="0" w:color="000000"/>
            </w:tcBorders>
            <w:textDirection w:val="tbRl"/>
            <w:vAlign w:val="center"/>
          </w:tcPr>
          <w:p w:rsidR="00286780" w:rsidRPr="00124D89" w:rsidRDefault="00286780" w:rsidP="00124D89">
            <w:pPr>
              <w:snapToGrid w:val="0"/>
              <w:jc w:val="both"/>
              <w:rPr>
                <w:rFonts w:cs="Calibri"/>
                <w:sz w:val="24"/>
                <w:szCs w:val="24"/>
                <w:lang w:eastAsia="ar-SA"/>
              </w:rPr>
            </w:pPr>
          </w:p>
        </w:tc>
      </w:tr>
      <w:tr w:rsidR="00286780" w:rsidRPr="00124D89" w:rsidTr="00874414">
        <w:trPr>
          <w:trHeight w:val="454"/>
          <w:jc w:val="center"/>
        </w:trPr>
        <w:tc>
          <w:tcPr>
            <w:tcW w:w="2240"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both"/>
              <w:rPr>
                <w:rFonts w:cs="Calibri"/>
                <w:sz w:val="24"/>
                <w:szCs w:val="24"/>
                <w:lang w:val="en-US" w:eastAsia="ar-SA"/>
              </w:rPr>
            </w:pPr>
            <w:r w:rsidRPr="00124D89">
              <w:rPr>
                <w:rFonts w:cs="Calibri"/>
                <w:sz w:val="24"/>
                <w:szCs w:val="24"/>
                <w:lang w:val="en-US" w:eastAsia="ar-SA"/>
              </w:rPr>
              <w:t>S</w:t>
            </w:r>
            <w:r w:rsidRPr="00124D89">
              <w:rPr>
                <w:rFonts w:cs="Calibri"/>
                <w:sz w:val="24"/>
                <w:szCs w:val="24"/>
                <w:lang w:eastAsia="ar-SA"/>
              </w:rPr>
              <w:t xml:space="preserve">. </w:t>
            </w:r>
            <w:r w:rsidRPr="00124D89">
              <w:rPr>
                <w:rFonts w:cs="Calibri"/>
                <w:sz w:val="24"/>
                <w:szCs w:val="24"/>
                <w:lang w:val="en-US" w:eastAsia="ar-SA"/>
              </w:rPr>
              <w:t>epidermidis</w:t>
            </w:r>
          </w:p>
        </w:tc>
        <w:tc>
          <w:tcPr>
            <w:tcW w:w="1134"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w:t>
            </w:r>
          </w:p>
        </w:tc>
        <w:tc>
          <w:tcPr>
            <w:tcW w:w="1320"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62,5</w:t>
            </w:r>
          </w:p>
        </w:tc>
        <w:tc>
          <w:tcPr>
            <w:tcW w:w="770"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100</w:t>
            </w:r>
          </w:p>
        </w:tc>
        <w:tc>
          <w:tcPr>
            <w:tcW w:w="880"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75</w:t>
            </w:r>
          </w:p>
        </w:tc>
        <w:tc>
          <w:tcPr>
            <w:tcW w:w="857"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100</w:t>
            </w:r>
          </w:p>
        </w:tc>
        <w:tc>
          <w:tcPr>
            <w:tcW w:w="850"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100</w:t>
            </w:r>
          </w:p>
        </w:tc>
        <w:tc>
          <w:tcPr>
            <w:tcW w:w="1004"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100</w:t>
            </w:r>
          </w:p>
        </w:tc>
        <w:tc>
          <w:tcPr>
            <w:tcW w:w="868" w:type="dxa"/>
            <w:tcBorders>
              <w:top w:val="single" w:sz="4" w:space="0" w:color="000000"/>
              <w:left w:val="single" w:sz="4" w:space="0" w:color="000000"/>
              <w:bottom w:val="single" w:sz="4" w:space="0" w:color="000000"/>
              <w:right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100</w:t>
            </w:r>
          </w:p>
        </w:tc>
      </w:tr>
      <w:tr w:rsidR="00286780" w:rsidRPr="00124D89" w:rsidTr="00874414">
        <w:trPr>
          <w:trHeight w:val="454"/>
          <w:jc w:val="center"/>
        </w:trPr>
        <w:tc>
          <w:tcPr>
            <w:tcW w:w="2240"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both"/>
              <w:rPr>
                <w:rFonts w:cs="Calibri"/>
                <w:sz w:val="24"/>
                <w:szCs w:val="24"/>
                <w:lang w:val="en-US" w:eastAsia="ar-SA"/>
              </w:rPr>
            </w:pPr>
            <w:r w:rsidRPr="00124D89">
              <w:rPr>
                <w:rFonts w:cs="Calibri"/>
                <w:sz w:val="24"/>
                <w:szCs w:val="24"/>
                <w:lang w:val="en-US" w:eastAsia="ar-SA"/>
              </w:rPr>
              <w:t>S</w:t>
            </w:r>
            <w:r w:rsidRPr="00124D89">
              <w:rPr>
                <w:rFonts w:cs="Calibri"/>
                <w:sz w:val="24"/>
                <w:szCs w:val="24"/>
                <w:lang w:eastAsia="ar-SA"/>
              </w:rPr>
              <w:t xml:space="preserve">. </w:t>
            </w:r>
            <w:r w:rsidRPr="00124D89">
              <w:rPr>
                <w:rFonts w:cs="Calibri"/>
                <w:sz w:val="24"/>
                <w:szCs w:val="24"/>
                <w:lang w:val="en-US" w:eastAsia="ar-SA"/>
              </w:rPr>
              <w:t>haemoliticus</w:t>
            </w:r>
          </w:p>
        </w:tc>
        <w:tc>
          <w:tcPr>
            <w:tcW w:w="1134"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100</w:t>
            </w:r>
          </w:p>
        </w:tc>
        <w:tc>
          <w:tcPr>
            <w:tcW w:w="1320"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80</w:t>
            </w:r>
          </w:p>
        </w:tc>
        <w:tc>
          <w:tcPr>
            <w:tcW w:w="770"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80</w:t>
            </w:r>
          </w:p>
        </w:tc>
        <w:tc>
          <w:tcPr>
            <w:tcW w:w="880"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60</w:t>
            </w:r>
          </w:p>
        </w:tc>
        <w:tc>
          <w:tcPr>
            <w:tcW w:w="857"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100</w:t>
            </w:r>
          </w:p>
        </w:tc>
        <w:tc>
          <w:tcPr>
            <w:tcW w:w="850"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100</w:t>
            </w:r>
          </w:p>
        </w:tc>
        <w:tc>
          <w:tcPr>
            <w:tcW w:w="1004"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868" w:type="dxa"/>
            <w:tcBorders>
              <w:top w:val="single" w:sz="4" w:space="0" w:color="000000"/>
              <w:left w:val="single" w:sz="4" w:space="0" w:color="000000"/>
              <w:bottom w:val="single" w:sz="4" w:space="0" w:color="000000"/>
              <w:right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100</w:t>
            </w:r>
          </w:p>
        </w:tc>
      </w:tr>
      <w:tr w:rsidR="00286780" w:rsidRPr="00124D89" w:rsidTr="00874414">
        <w:trPr>
          <w:trHeight w:val="454"/>
          <w:jc w:val="center"/>
        </w:trPr>
        <w:tc>
          <w:tcPr>
            <w:tcW w:w="2240"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both"/>
              <w:rPr>
                <w:rFonts w:cs="Calibri"/>
                <w:sz w:val="24"/>
                <w:szCs w:val="24"/>
                <w:lang w:val="en-US" w:eastAsia="ar-SA"/>
              </w:rPr>
            </w:pPr>
            <w:r w:rsidRPr="00124D89">
              <w:rPr>
                <w:rFonts w:cs="Calibri"/>
                <w:sz w:val="24"/>
                <w:szCs w:val="24"/>
                <w:lang w:val="en-US" w:eastAsia="ar-SA"/>
              </w:rPr>
              <w:t>S</w:t>
            </w:r>
            <w:r w:rsidRPr="00124D89">
              <w:rPr>
                <w:rFonts w:cs="Calibri"/>
                <w:sz w:val="24"/>
                <w:szCs w:val="24"/>
                <w:lang w:eastAsia="ar-SA"/>
              </w:rPr>
              <w:t xml:space="preserve">. </w:t>
            </w:r>
            <w:r w:rsidRPr="00124D89">
              <w:rPr>
                <w:rFonts w:cs="Calibri"/>
                <w:sz w:val="24"/>
                <w:szCs w:val="24"/>
                <w:lang w:val="en-US" w:eastAsia="ar-SA"/>
              </w:rPr>
              <w:t>aureus</w:t>
            </w:r>
          </w:p>
        </w:tc>
        <w:tc>
          <w:tcPr>
            <w:tcW w:w="1134"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1320"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100</w:t>
            </w:r>
          </w:p>
        </w:tc>
        <w:tc>
          <w:tcPr>
            <w:tcW w:w="770"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100</w:t>
            </w:r>
          </w:p>
        </w:tc>
        <w:tc>
          <w:tcPr>
            <w:tcW w:w="880"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100</w:t>
            </w:r>
          </w:p>
        </w:tc>
        <w:tc>
          <w:tcPr>
            <w:tcW w:w="857"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100</w:t>
            </w:r>
          </w:p>
        </w:tc>
        <w:tc>
          <w:tcPr>
            <w:tcW w:w="850"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1004"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100</w:t>
            </w:r>
          </w:p>
        </w:tc>
        <w:tc>
          <w:tcPr>
            <w:tcW w:w="868" w:type="dxa"/>
            <w:tcBorders>
              <w:top w:val="single" w:sz="4" w:space="0" w:color="000000"/>
              <w:left w:val="single" w:sz="4" w:space="0" w:color="000000"/>
              <w:bottom w:val="single" w:sz="4" w:space="0" w:color="000000"/>
              <w:right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100</w:t>
            </w:r>
          </w:p>
        </w:tc>
      </w:tr>
      <w:tr w:rsidR="00286780" w:rsidRPr="00124D89" w:rsidTr="00874414">
        <w:trPr>
          <w:trHeight w:val="454"/>
          <w:jc w:val="center"/>
        </w:trPr>
        <w:tc>
          <w:tcPr>
            <w:tcW w:w="2240"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both"/>
              <w:rPr>
                <w:rFonts w:cs="Calibri"/>
                <w:sz w:val="24"/>
                <w:szCs w:val="24"/>
                <w:lang w:val="en-US" w:eastAsia="ar-SA"/>
              </w:rPr>
            </w:pPr>
            <w:r w:rsidRPr="00124D89">
              <w:rPr>
                <w:rFonts w:cs="Calibri"/>
                <w:sz w:val="24"/>
                <w:szCs w:val="24"/>
                <w:lang w:val="en-US" w:eastAsia="ar-SA"/>
              </w:rPr>
              <w:t>Str. Pyogenes</w:t>
            </w:r>
          </w:p>
        </w:tc>
        <w:tc>
          <w:tcPr>
            <w:tcW w:w="1134"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1320"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770"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100</w:t>
            </w:r>
          </w:p>
        </w:tc>
        <w:tc>
          <w:tcPr>
            <w:tcW w:w="880"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100</w:t>
            </w:r>
          </w:p>
        </w:tc>
        <w:tc>
          <w:tcPr>
            <w:tcW w:w="857"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100</w:t>
            </w:r>
          </w:p>
        </w:tc>
        <w:tc>
          <w:tcPr>
            <w:tcW w:w="850"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100</w:t>
            </w:r>
          </w:p>
        </w:tc>
        <w:tc>
          <w:tcPr>
            <w:tcW w:w="1004"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868" w:type="dxa"/>
            <w:tcBorders>
              <w:top w:val="single" w:sz="4" w:space="0" w:color="000000"/>
              <w:left w:val="single" w:sz="4" w:space="0" w:color="000000"/>
              <w:bottom w:val="single" w:sz="4" w:space="0" w:color="000000"/>
              <w:right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100</w:t>
            </w:r>
          </w:p>
        </w:tc>
      </w:tr>
    </w:tbl>
    <w:p w:rsidR="00286780" w:rsidRPr="00124D89" w:rsidRDefault="00286780" w:rsidP="00124D89">
      <w:pPr>
        <w:jc w:val="both"/>
        <w:rPr>
          <w:rFonts w:cs="Calibri"/>
          <w:sz w:val="28"/>
          <w:szCs w:val="28"/>
          <w:lang w:eastAsia="ar-SA"/>
        </w:rPr>
      </w:pPr>
    </w:p>
    <w:p w:rsidR="00286780" w:rsidRPr="00124D89" w:rsidRDefault="00286780" w:rsidP="00124D89">
      <w:pPr>
        <w:spacing w:line="360" w:lineRule="auto"/>
        <w:ind w:firstLine="709"/>
        <w:jc w:val="both"/>
        <w:rPr>
          <w:rFonts w:cs="Calibri"/>
          <w:sz w:val="28"/>
          <w:szCs w:val="28"/>
          <w:lang w:eastAsia="ar-SA"/>
        </w:rPr>
      </w:pPr>
      <w:r>
        <w:rPr>
          <w:rFonts w:cs="Calibri"/>
          <w:sz w:val="28"/>
          <w:szCs w:val="28"/>
          <w:lang w:eastAsia="ar-SA"/>
        </w:rPr>
        <w:t>Из Таблицы 46</w:t>
      </w:r>
      <w:r w:rsidRPr="00124D89">
        <w:rPr>
          <w:rFonts w:cs="Calibri"/>
          <w:sz w:val="28"/>
          <w:szCs w:val="28"/>
          <w:lang w:eastAsia="ar-SA"/>
        </w:rPr>
        <w:t xml:space="preserve"> следует, что все стафилококки обладают 100% чувствительностью к ванкомицину, линезолиду и клиндамицину. Чувствительность стафило</w:t>
      </w:r>
      <w:r w:rsidRPr="00124D89">
        <w:rPr>
          <w:rFonts w:cs="Calibri"/>
          <w:sz w:val="28"/>
          <w:szCs w:val="28"/>
          <w:lang w:eastAsia="ar-SA"/>
        </w:rPr>
        <w:lastRenderedPageBreak/>
        <w:t xml:space="preserve">кокков к ципрофлоксацину и эритромицину находится в пределах 60–100% в зависимости от вида микроорганизма. Антистафилококковый пенициллин оксациллин обладает 100% активностью только при наличии </w:t>
      </w:r>
      <w:r w:rsidRPr="00124D89">
        <w:rPr>
          <w:rFonts w:cs="Calibri"/>
          <w:sz w:val="28"/>
          <w:szCs w:val="28"/>
          <w:lang w:val="en-US" w:eastAsia="ar-SA"/>
        </w:rPr>
        <w:t>S</w:t>
      </w:r>
      <w:r w:rsidRPr="00124D89">
        <w:rPr>
          <w:rFonts w:cs="Calibri"/>
          <w:sz w:val="28"/>
          <w:szCs w:val="28"/>
          <w:lang w:eastAsia="ar-SA"/>
        </w:rPr>
        <w:t xml:space="preserve">. </w:t>
      </w:r>
      <w:r w:rsidRPr="00124D89">
        <w:rPr>
          <w:rFonts w:cs="Calibri"/>
          <w:sz w:val="28"/>
          <w:szCs w:val="28"/>
          <w:lang w:val="en-US" w:eastAsia="ar-SA"/>
        </w:rPr>
        <w:t>aureus</w:t>
      </w:r>
      <w:r w:rsidRPr="00124D89">
        <w:rPr>
          <w:rFonts w:cs="Calibri"/>
          <w:sz w:val="28"/>
          <w:szCs w:val="28"/>
          <w:lang w:eastAsia="ar-SA"/>
        </w:rPr>
        <w:t xml:space="preserve">, иные формы стафилококков чувствительны к оксациллину в 62,5–80% случаев. </w:t>
      </w: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Во всех случаях обнаружения стрептококков чувствительность к макролидам, фторхинолонам, ванкомицину, линезолиду и линкозамидам составляет 100%.</w:t>
      </w: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Таким образом, определяемые в гнойном экссудате воспалительных очагов у пациентов с МФОИ и полиорганной патологией грамположительные кокки во всех случаях чувствительны к ванкомицину, линезолиду и клиндамицину.</w:t>
      </w: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Так как ванкомицин и линезолид являются препаратами для борьбы</w:t>
      </w:r>
      <w:r>
        <w:rPr>
          <w:rFonts w:cs="Calibri"/>
          <w:sz w:val="28"/>
          <w:szCs w:val="28"/>
          <w:lang w:eastAsia="ar-SA"/>
        </w:rPr>
        <w:t>,</w:t>
      </w:r>
      <w:r w:rsidRPr="00124D89">
        <w:rPr>
          <w:rFonts w:cs="Calibri"/>
          <w:sz w:val="28"/>
          <w:szCs w:val="28"/>
          <w:lang w:eastAsia="ar-SA"/>
        </w:rPr>
        <w:t xml:space="preserve"> прежде всего</w:t>
      </w:r>
      <w:r>
        <w:rPr>
          <w:rFonts w:cs="Calibri"/>
          <w:sz w:val="28"/>
          <w:szCs w:val="28"/>
          <w:lang w:eastAsia="ar-SA"/>
        </w:rPr>
        <w:t>,</w:t>
      </w:r>
      <w:r w:rsidRPr="00124D89">
        <w:rPr>
          <w:rFonts w:cs="Calibri"/>
          <w:sz w:val="28"/>
          <w:szCs w:val="28"/>
          <w:lang w:eastAsia="ar-SA"/>
        </w:rPr>
        <w:t xml:space="preserve"> с метициллинрезистентными стафилококками, и их не следует использовать рутинно при любой форме одонтогенного инфекционного процесса, в клинической практике возможно активное применение клиндамицина (по данным настоящего исследования).</w:t>
      </w: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 xml:space="preserve">Необходимо </w:t>
      </w:r>
      <w:r>
        <w:rPr>
          <w:rFonts w:cs="Calibri"/>
          <w:sz w:val="28"/>
          <w:szCs w:val="28"/>
          <w:lang w:eastAsia="ar-SA"/>
        </w:rPr>
        <w:t>также</w:t>
      </w:r>
      <w:r w:rsidRPr="00124D89">
        <w:rPr>
          <w:rFonts w:cs="Calibri"/>
          <w:sz w:val="28"/>
          <w:szCs w:val="28"/>
          <w:lang w:eastAsia="ar-SA"/>
        </w:rPr>
        <w:t xml:space="preserve"> учитывать вероятное ассоциативное наличие неклостридиальной анаэробной микрофлоры (пептострептококки, бактероиды, фузобактерии), высокочувствительной по данным литературы к линкозамидам (клиндамицину) и препаратам 5-нитроимидазола (мет</w:t>
      </w:r>
      <w:r>
        <w:rPr>
          <w:rFonts w:cs="Calibri"/>
          <w:sz w:val="28"/>
          <w:szCs w:val="28"/>
          <w:lang w:eastAsia="ar-SA"/>
        </w:rPr>
        <w:t xml:space="preserve">ронидазол) </w:t>
      </w:r>
      <w:r w:rsidRPr="003A7142">
        <w:rPr>
          <w:rFonts w:cs="Calibri"/>
          <w:sz w:val="28"/>
          <w:szCs w:val="28"/>
          <w:lang w:eastAsia="ar-SA"/>
        </w:rPr>
        <w:t>(</w:t>
      </w:r>
      <w:r>
        <w:rPr>
          <w:rFonts w:cs="Calibri"/>
          <w:sz w:val="28"/>
          <w:szCs w:val="28"/>
          <w:lang w:eastAsia="ar-SA"/>
        </w:rPr>
        <w:t>Бычкова Н. П., 2014</w:t>
      </w:r>
      <w:r w:rsidRPr="003A7142">
        <w:rPr>
          <w:rFonts w:cs="Calibri"/>
          <w:sz w:val="28"/>
          <w:szCs w:val="28"/>
          <w:lang w:eastAsia="ar-SA"/>
        </w:rPr>
        <w:t>)</w:t>
      </w:r>
      <w:r w:rsidRPr="00124D89">
        <w:rPr>
          <w:rFonts w:cs="Calibri"/>
          <w:sz w:val="28"/>
          <w:szCs w:val="28"/>
          <w:lang w:eastAsia="ar-SA"/>
        </w:rPr>
        <w:t>.</w:t>
      </w: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Следовательно, у пациентов с МФОИ и полиорганной фоновой патологией возможно применение клиндамицина в виде монотерапии.</w:t>
      </w:r>
    </w:p>
    <w:p w:rsidR="00EB7721" w:rsidRDefault="00286780" w:rsidP="00C55ECF">
      <w:pPr>
        <w:spacing w:line="360" w:lineRule="auto"/>
        <w:ind w:firstLine="709"/>
        <w:jc w:val="both"/>
        <w:rPr>
          <w:rFonts w:cs="Calibri"/>
          <w:sz w:val="28"/>
          <w:szCs w:val="28"/>
          <w:lang w:eastAsia="ar-SA"/>
        </w:rPr>
      </w:pPr>
      <w:r w:rsidRPr="00B53F77">
        <w:rPr>
          <w:rFonts w:cs="Calibri"/>
          <w:b/>
          <w:sz w:val="28"/>
          <w:szCs w:val="28"/>
          <w:lang w:eastAsia="ar-SA"/>
        </w:rPr>
        <w:t>Резюме</w:t>
      </w:r>
      <w:r w:rsidR="00EB7721">
        <w:rPr>
          <w:rFonts w:cs="Calibri"/>
          <w:sz w:val="28"/>
          <w:szCs w:val="28"/>
          <w:lang w:eastAsia="ar-SA"/>
        </w:rPr>
        <w:t>.</w:t>
      </w:r>
    </w:p>
    <w:p w:rsidR="00C55ECF" w:rsidRPr="00C43025" w:rsidRDefault="00286780" w:rsidP="00EB7721">
      <w:pPr>
        <w:spacing w:line="360" w:lineRule="auto"/>
        <w:ind w:firstLine="709"/>
        <w:jc w:val="both"/>
        <w:rPr>
          <w:rFonts w:cs="Calibri"/>
          <w:sz w:val="28"/>
          <w:szCs w:val="28"/>
          <w:lang w:eastAsia="ar-SA"/>
        </w:rPr>
      </w:pPr>
      <w:r w:rsidRPr="00124D89">
        <w:rPr>
          <w:rFonts w:cs="Calibri"/>
          <w:sz w:val="28"/>
          <w:szCs w:val="28"/>
          <w:lang w:eastAsia="ar-SA"/>
        </w:rPr>
        <w:t>Течение МФОИ в сочетании с полиморбидной полиорганной ХП сердечно-сосудистой системы и/или сахарным диабетом, характеризуется склонностью к распространению флегмонозного процесса на прилежащие клетчаточные пространства, гнойно-воспалительные осложнения развиваются статистически значимо чаще (17,3%), чем в контрольной группе без ХП (3,6%), что определяет необходимость разработки соответствующих лечебных алгоритмов, учитывающий данный фактор.</w:t>
      </w:r>
      <w:r>
        <w:rPr>
          <w:rFonts w:cs="Calibri"/>
          <w:sz w:val="28"/>
          <w:szCs w:val="28"/>
          <w:lang w:eastAsia="ar-SA"/>
        </w:rPr>
        <w:t xml:space="preserve"> Наблюдается синдром взаимного отягощения.</w:t>
      </w:r>
    </w:p>
    <w:p w:rsidR="00286780" w:rsidRPr="00457501" w:rsidRDefault="00286780" w:rsidP="00457501">
      <w:pPr>
        <w:pStyle w:val="20"/>
        <w:spacing w:line="360" w:lineRule="auto"/>
        <w:jc w:val="both"/>
      </w:pPr>
      <w:bookmarkStart w:id="24" w:name="_Toc67905706"/>
      <w:r>
        <w:lastRenderedPageBreak/>
        <w:t>4.2</w:t>
      </w:r>
      <w:r w:rsidRPr="00124D89">
        <w:t>. Клинико-лабораторная характеристика одонтогенного сепсиса, развивающегося на фоне хронической полиморбидной полиорганной патологии. Фоновые заболевания и синдром взаимного отягощения</w:t>
      </w:r>
      <w:bookmarkEnd w:id="24"/>
    </w:p>
    <w:p w:rsidR="00286780" w:rsidRPr="00124D89" w:rsidRDefault="00286780" w:rsidP="00457501">
      <w:pPr>
        <w:spacing w:line="360" w:lineRule="auto"/>
        <w:ind w:firstLine="709"/>
        <w:jc w:val="both"/>
        <w:rPr>
          <w:rFonts w:cs="Calibri"/>
          <w:sz w:val="28"/>
          <w:szCs w:val="28"/>
          <w:lang w:eastAsia="ar-SA"/>
        </w:rPr>
      </w:pPr>
      <w:r w:rsidRPr="00124D89">
        <w:rPr>
          <w:rFonts w:cs="Calibri"/>
          <w:sz w:val="28"/>
          <w:szCs w:val="28"/>
          <w:lang w:eastAsia="ar-SA"/>
        </w:rPr>
        <w:t xml:space="preserve">Обследовано 28 пациентов с одонтогенным сепсисом (ОС) и полиморбидными полиорганными (полисистемными и моносистемными) заболеваниями сердечно-сосудистой, дыхательной, эндокринной, мочевыделительной систем, пищеварительной системы и печени, гепатитами «В» и «С», синдромом алкогольной зависимости, что составляет 39,4% от общего количества обследованных в рамках </w:t>
      </w:r>
      <w:r w:rsidRPr="00124D89">
        <w:rPr>
          <w:rFonts w:cs="Calibri"/>
          <w:sz w:val="28"/>
          <w:szCs w:val="28"/>
          <w:lang w:val="en-US" w:eastAsia="ar-SA"/>
        </w:rPr>
        <w:t>I</w:t>
      </w:r>
      <w:r w:rsidRPr="00124D89">
        <w:rPr>
          <w:rFonts w:cs="Calibri"/>
          <w:sz w:val="28"/>
          <w:szCs w:val="28"/>
          <w:lang w:eastAsia="ar-SA"/>
        </w:rPr>
        <w:t xml:space="preserve"> и </w:t>
      </w:r>
      <w:r w:rsidRPr="00124D89">
        <w:rPr>
          <w:rFonts w:cs="Calibri"/>
          <w:sz w:val="28"/>
          <w:szCs w:val="28"/>
          <w:lang w:val="en-US" w:eastAsia="ar-SA"/>
        </w:rPr>
        <w:t>II</w:t>
      </w:r>
      <w:r w:rsidRPr="00124D89">
        <w:rPr>
          <w:rFonts w:cs="Calibri"/>
          <w:sz w:val="28"/>
          <w:szCs w:val="28"/>
          <w:lang w:eastAsia="ar-SA"/>
        </w:rPr>
        <w:t xml:space="preserve"> блока исследований пациентов с сепсисом (71). Возрастно-половые характеристики когорты: мужчин – 20 (71,4%), женщин – 8 (28,6%),</w:t>
      </w:r>
      <w:r>
        <w:rPr>
          <w:rFonts w:cs="Calibri"/>
          <w:sz w:val="28"/>
          <w:szCs w:val="28"/>
          <w:lang w:eastAsia="ar-SA"/>
        </w:rPr>
        <w:t xml:space="preserve"> </w:t>
      </w:r>
      <w:r w:rsidRPr="00124D89">
        <w:rPr>
          <w:rFonts w:cs="Calibri"/>
          <w:sz w:val="28"/>
          <w:szCs w:val="28"/>
          <w:lang w:eastAsia="ar-SA"/>
        </w:rPr>
        <w:t>средний возраст – 48,9±2,61 года.</w:t>
      </w: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 xml:space="preserve">Одонтогенный сепсис на фоне полиморбидной полиорганной патологии чаще всего развивается при наличии распространенной флегмоны чаще в пределах 4–6 клетчаточных пространств – 12 больных (42,9%); в пределах 7–9 клетчаточных пространств – 11 больных (39,3%), реже в пределах до трех клетчаточных пространств – четыре пациента (14,3%), в пределах 10 клетчаточных пространств и более – один пациент (3,5%), в чем наблюдаются статистически значимые различия </w:t>
      </w:r>
      <w:r>
        <w:rPr>
          <w:rFonts w:cs="Calibri"/>
          <w:sz w:val="28"/>
          <w:szCs w:val="28"/>
          <w:lang w:eastAsia="ar-SA"/>
        </w:rPr>
        <w:t xml:space="preserve">по </w:t>
      </w:r>
      <w:r w:rsidRPr="00124D89">
        <w:rPr>
          <w:rFonts w:cs="Calibri"/>
          <w:sz w:val="28"/>
          <w:szCs w:val="28"/>
          <w:lang w:eastAsia="ar-SA"/>
        </w:rPr>
        <w:t>сравнению с группой больных с МФОИ и полиморбидной полиорганной патологией, развивающейся, как правило, на фоне абсцесса или флегмоны в пределах 1–3 клетчаточных про</w:t>
      </w:r>
      <w:r>
        <w:rPr>
          <w:rFonts w:cs="Calibri"/>
          <w:sz w:val="28"/>
          <w:szCs w:val="28"/>
          <w:lang w:eastAsia="ar-SA"/>
        </w:rPr>
        <w:t>странств (93,8%;р&lt;</w:t>
      </w:r>
      <w:r w:rsidRPr="00124D89">
        <w:rPr>
          <w:rFonts w:cs="Calibri"/>
          <w:sz w:val="28"/>
          <w:szCs w:val="28"/>
          <w:lang w:eastAsia="ar-SA"/>
        </w:rPr>
        <w:t xml:space="preserve">0,05). </w:t>
      </w: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 xml:space="preserve">Контактный одонтогенный медиастинит диагностирован у 10 пациентов с одонтогенным сепсисом и полиморбидной полиорганной патологией (35,7%), что не составляет статистически значимой разницы </w:t>
      </w:r>
      <w:r>
        <w:rPr>
          <w:rFonts w:cs="Calibri"/>
          <w:sz w:val="28"/>
          <w:szCs w:val="28"/>
          <w:lang w:eastAsia="ar-SA"/>
        </w:rPr>
        <w:t xml:space="preserve">по </w:t>
      </w:r>
      <w:r w:rsidRPr="00124D89">
        <w:rPr>
          <w:rFonts w:cs="Calibri"/>
          <w:sz w:val="28"/>
          <w:szCs w:val="28"/>
          <w:lang w:eastAsia="ar-SA"/>
        </w:rPr>
        <w:t>сравнению с контрольной группой больных с одонтогенным сепси</w:t>
      </w:r>
      <w:r>
        <w:rPr>
          <w:rFonts w:cs="Calibri"/>
          <w:sz w:val="28"/>
          <w:szCs w:val="28"/>
          <w:lang w:eastAsia="ar-SA"/>
        </w:rPr>
        <w:t>сом без фоновых заболеваний (р&gt;</w:t>
      </w:r>
      <w:r w:rsidRPr="00124D89">
        <w:rPr>
          <w:rFonts w:cs="Calibri"/>
          <w:sz w:val="28"/>
          <w:szCs w:val="28"/>
          <w:lang w:eastAsia="ar-SA"/>
        </w:rPr>
        <w:t>0,05).</w:t>
      </w:r>
    </w:p>
    <w:p w:rsidR="00286780" w:rsidRPr="00B53F77" w:rsidRDefault="00286780" w:rsidP="00124D89">
      <w:pPr>
        <w:spacing w:line="360" w:lineRule="auto"/>
        <w:ind w:firstLine="709"/>
        <w:jc w:val="both"/>
        <w:rPr>
          <w:rFonts w:cs="Calibri"/>
          <w:spacing w:val="-4"/>
          <w:sz w:val="28"/>
          <w:szCs w:val="28"/>
          <w:lang w:eastAsia="ar-SA"/>
        </w:rPr>
      </w:pPr>
      <w:r w:rsidRPr="00B53F77">
        <w:rPr>
          <w:rFonts w:cs="Calibri"/>
          <w:spacing w:val="-4"/>
          <w:sz w:val="28"/>
          <w:szCs w:val="28"/>
          <w:lang w:eastAsia="ar-SA"/>
        </w:rPr>
        <w:t>Артериальная гипотензия, требующая введения вазопрессоров (септический шок), диагностирована у 16 пациентов (57,1%) основной группы,</w:t>
      </w:r>
      <w:r>
        <w:rPr>
          <w:rFonts w:cs="Calibri"/>
          <w:spacing w:val="-4"/>
          <w:sz w:val="28"/>
          <w:szCs w:val="28"/>
          <w:lang w:eastAsia="ar-SA"/>
        </w:rPr>
        <w:t xml:space="preserve"> 10,0% – в группе сравнения (р&lt;</w:t>
      </w:r>
      <w:r w:rsidRPr="00B53F77">
        <w:rPr>
          <w:rFonts w:cs="Calibri"/>
          <w:spacing w:val="-4"/>
          <w:sz w:val="28"/>
          <w:szCs w:val="28"/>
          <w:lang w:eastAsia="ar-SA"/>
        </w:rPr>
        <w:t>0,05), различия статистически значимы. У пациентов с одонтогенным сепсисом, развивающимся на фоне полиорганной полиморбидной патологии внутренних органов, септический шок развивается чаще, чем в контрольной группе.</w:t>
      </w: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lastRenderedPageBreak/>
        <w:t>Нозологическая характеристика полиморбидной полиорганно</w:t>
      </w:r>
      <w:r>
        <w:rPr>
          <w:rFonts w:cs="Calibri"/>
          <w:sz w:val="28"/>
          <w:szCs w:val="28"/>
          <w:lang w:eastAsia="ar-SA"/>
        </w:rPr>
        <w:t>й патологии указана в Таблице 47</w:t>
      </w:r>
      <w:r w:rsidRPr="00124D89">
        <w:rPr>
          <w:rFonts w:cs="Calibri"/>
          <w:sz w:val="28"/>
          <w:szCs w:val="28"/>
          <w:lang w:eastAsia="ar-SA"/>
        </w:rPr>
        <w:t xml:space="preserve">. Больные с одонтогенным сепсисом сгруппированы в соответствии с характером превалирующей хронической фоновой патологии (заболевания сердечно-сосудистой системы, сахарный диабет, заболевания органов дыхания, мочевыделительной системы, болезни печени, алкоголизм). При подсчете индекса полиморбидности учитывались </w:t>
      </w:r>
      <w:r>
        <w:rPr>
          <w:rFonts w:cs="Calibri"/>
          <w:sz w:val="28"/>
          <w:szCs w:val="28"/>
          <w:lang w:eastAsia="ar-SA"/>
        </w:rPr>
        <w:t>также</w:t>
      </w:r>
      <w:r w:rsidRPr="00124D89">
        <w:rPr>
          <w:rFonts w:cs="Calibri"/>
          <w:sz w:val="28"/>
          <w:szCs w:val="28"/>
          <w:lang w:eastAsia="ar-SA"/>
        </w:rPr>
        <w:t xml:space="preserve"> сопутствующие заболевания (хронический необструктивный бронхит (</w:t>
      </w:r>
      <w:r w:rsidRPr="00124D89">
        <w:rPr>
          <w:rFonts w:cs="Calibri"/>
          <w:sz w:val="28"/>
          <w:szCs w:val="28"/>
          <w:lang w:val="en-US" w:eastAsia="ar-SA"/>
        </w:rPr>
        <w:t>J</w:t>
      </w:r>
      <w:r w:rsidRPr="00124D89">
        <w:rPr>
          <w:rFonts w:cs="Calibri"/>
          <w:sz w:val="28"/>
          <w:szCs w:val="28"/>
          <w:lang w:eastAsia="ar-SA"/>
        </w:rPr>
        <w:t>42), хронический гастрит (</w:t>
      </w:r>
      <w:r w:rsidRPr="00124D89">
        <w:rPr>
          <w:rFonts w:cs="Calibri"/>
          <w:sz w:val="28"/>
          <w:szCs w:val="28"/>
          <w:lang w:val="en-US" w:eastAsia="ar-SA"/>
        </w:rPr>
        <w:t>K</w:t>
      </w:r>
      <w:r w:rsidRPr="00124D89">
        <w:rPr>
          <w:rFonts w:cs="Calibri"/>
          <w:sz w:val="28"/>
          <w:szCs w:val="28"/>
          <w:lang w:eastAsia="ar-SA"/>
        </w:rPr>
        <w:t>29), остеоартроз (</w:t>
      </w:r>
      <w:r w:rsidRPr="00124D89">
        <w:rPr>
          <w:rFonts w:cs="Calibri"/>
          <w:sz w:val="28"/>
          <w:szCs w:val="28"/>
          <w:lang w:val="en-US" w:eastAsia="ar-SA"/>
        </w:rPr>
        <w:t>M</w:t>
      </w:r>
      <w:r w:rsidRPr="00124D89">
        <w:rPr>
          <w:rFonts w:cs="Calibri"/>
          <w:sz w:val="28"/>
          <w:szCs w:val="28"/>
          <w:lang w:eastAsia="ar-SA"/>
        </w:rPr>
        <w:t>15–</w:t>
      </w:r>
      <w:r w:rsidRPr="00124D89">
        <w:rPr>
          <w:rFonts w:cs="Calibri"/>
          <w:sz w:val="28"/>
          <w:szCs w:val="28"/>
          <w:lang w:val="en-US" w:eastAsia="ar-SA"/>
        </w:rPr>
        <w:t>M</w:t>
      </w:r>
      <w:r w:rsidRPr="00124D89">
        <w:rPr>
          <w:rFonts w:cs="Calibri"/>
          <w:sz w:val="28"/>
          <w:szCs w:val="28"/>
          <w:lang w:eastAsia="ar-SA"/>
        </w:rPr>
        <w:t>19)). Одонтогенный сепсис в структуру терапевтической полиморбидности не входит, так как является острым хирургическим заболеванием.</w:t>
      </w:r>
    </w:p>
    <w:p w:rsidR="00286780" w:rsidRPr="00124D89" w:rsidRDefault="00286780" w:rsidP="00124D89">
      <w:pPr>
        <w:rPr>
          <w:sz w:val="28"/>
          <w:szCs w:val="28"/>
        </w:rPr>
      </w:pPr>
    </w:p>
    <w:p w:rsidR="00286780" w:rsidRPr="00B53F77" w:rsidRDefault="00286780" w:rsidP="00124D89">
      <w:pPr>
        <w:spacing w:after="120"/>
        <w:rPr>
          <w:spacing w:val="-8"/>
          <w:sz w:val="28"/>
          <w:szCs w:val="28"/>
        </w:rPr>
      </w:pPr>
      <w:r w:rsidRPr="00124D89">
        <w:rPr>
          <w:rFonts w:cs="Calibri"/>
          <w:b/>
          <w:sz w:val="28"/>
          <w:szCs w:val="28"/>
          <w:lang w:eastAsia="ar-SA"/>
        </w:rPr>
        <w:t>Т</w:t>
      </w:r>
      <w:r w:rsidRPr="00124D89">
        <w:rPr>
          <w:b/>
          <w:sz w:val="28"/>
          <w:szCs w:val="28"/>
        </w:rPr>
        <w:t>аблица 4</w:t>
      </w:r>
      <w:r>
        <w:rPr>
          <w:b/>
          <w:sz w:val="28"/>
          <w:szCs w:val="28"/>
        </w:rPr>
        <w:t>7</w:t>
      </w:r>
      <w:r w:rsidRPr="00124D89">
        <w:rPr>
          <w:sz w:val="28"/>
          <w:szCs w:val="28"/>
        </w:rPr>
        <w:t xml:space="preserve"> – Общая характеристика полиорганной полиморбидной хронической патологии у пациентов с одонтогенным сепсисом</w:t>
      </w:r>
    </w:p>
    <w:tbl>
      <w:tblPr>
        <w:tblW w:w="9923" w:type="dxa"/>
        <w:tblLayout w:type="fixed"/>
        <w:tblLook w:val="0000" w:firstRow="0" w:lastRow="0" w:firstColumn="0" w:lastColumn="0" w:noHBand="0" w:noVBand="0"/>
      </w:tblPr>
      <w:tblGrid>
        <w:gridCol w:w="5557"/>
        <w:gridCol w:w="1275"/>
        <w:gridCol w:w="851"/>
        <w:gridCol w:w="2240"/>
      </w:tblGrid>
      <w:tr w:rsidR="00286780" w:rsidRPr="00B53F77" w:rsidTr="00B53F77">
        <w:trPr>
          <w:trHeight w:val="227"/>
        </w:trPr>
        <w:tc>
          <w:tcPr>
            <w:tcW w:w="5557" w:type="dxa"/>
            <w:vMerge w:val="restart"/>
            <w:tcBorders>
              <w:top w:val="single" w:sz="4" w:space="0" w:color="000000"/>
              <w:left w:val="single" w:sz="4" w:space="0" w:color="000000"/>
              <w:bottom w:val="single" w:sz="4" w:space="0" w:color="000000"/>
            </w:tcBorders>
            <w:tcMar>
              <w:left w:w="28" w:type="dxa"/>
              <w:right w:w="28" w:type="dxa"/>
            </w:tcMar>
            <w:vAlign w:val="center"/>
          </w:tcPr>
          <w:p w:rsidR="00286780" w:rsidRPr="00B53F77" w:rsidRDefault="00286780" w:rsidP="00124D89">
            <w:pPr>
              <w:snapToGrid w:val="0"/>
              <w:jc w:val="center"/>
              <w:rPr>
                <w:i/>
                <w:spacing w:val="-8"/>
                <w:sz w:val="24"/>
                <w:szCs w:val="24"/>
                <w:lang w:eastAsia="ar-SA"/>
              </w:rPr>
            </w:pPr>
            <w:r w:rsidRPr="00B53F77">
              <w:rPr>
                <w:i/>
                <w:spacing w:val="-8"/>
                <w:sz w:val="24"/>
                <w:szCs w:val="24"/>
                <w:lang w:eastAsia="ar-SA"/>
              </w:rPr>
              <w:t>Нозологические формы хронических</w:t>
            </w:r>
            <w:r w:rsidRPr="00B53F77">
              <w:rPr>
                <w:i/>
                <w:spacing w:val="-8"/>
                <w:sz w:val="24"/>
                <w:szCs w:val="24"/>
                <w:lang w:eastAsia="ar-SA"/>
              </w:rPr>
              <w:br/>
              <w:t xml:space="preserve"> заболеваний (МКБ-10)</w:t>
            </w:r>
          </w:p>
        </w:tc>
        <w:tc>
          <w:tcPr>
            <w:tcW w:w="2126" w:type="dxa"/>
            <w:gridSpan w:val="2"/>
            <w:tcBorders>
              <w:top w:val="single" w:sz="4" w:space="0" w:color="000000"/>
              <w:left w:val="single" w:sz="4" w:space="0" w:color="000000"/>
              <w:bottom w:val="single" w:sz="4" w:space="0" w:color="000000"/>
            </w:tcBorders>
            <w:tcMar>
              <w:left w:w="28" w:type="dxa"/>
              <w:right w:w="28" w:type="dxa"/>
            </w:tcMar>
            <w:vAlign w:val="center"/>
          </w:tcPr>
          <w:p w:rsidR="00286780" w:rsidRPr="00B53F77" w:rsidRDefault="00286780" w:rsidP="00124D89">
            <w:pPr>
              <w:snapToGrid w:val="0"/>
              <w:jc w:val="center"/>
              <w:rPr>
                <w:i/>
                <w:spacing w:val="-8"/>
                <w:sz w:val="24"/>
                <w:szCs w:val="24"/>
                <w:lang w:eastAsia="ar-SA"/>
              </w:rPr>
            </w:pPr>
            <w:r w:rsidRPr="00B53F77">
              <w:rPr>
                <w:i/>
                <w:spacing w:val="-8"/>
                <w:sz w:val="24"/>
                <w:szCs w:val="24"/>
                <w:lang w:eastAsia="ar-SA"/>
              </w:rPr>
              <w:t>Количество больных</w:t>
            </w:r>
          </w:p>
        </w:tc>
        <w:tc>
          <w:tcPr>
            <w:tcW w:w="2240"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B53F77" w:rsidRDefault="00286780" w:rsidP="00124D89">
            <w:pPr>
              <w:snapToGrid w:val="0"/>
              <w:jc w:val="center"/>
              <w:rPr>
                <w:i/>
                <w:spacing w:val="-8"/>
                <w:sz w:val="24"/>
                <w:szCs w:val="24"/>
                <w:lang w:eastAsia="ar-SA"/>
              </w:rPr>
            </w:pPr>
            <w:r w:rsidRPr="00B53F77">
              <w:rPr>
                <w:i/>
                <w:spacing w:val="-8"/>
                <w:sz w:val="24"/>
                <w:szCs w:val="24"/>
                <w:lang w:eastAsia="ar-SA"/>
              </w:rPr>
              <w:t xml:space="preserve">Индекс полиморбидности </w:t>
            </w:r>
            <w:r w:rsidRPr="00B53F77">
              <w:rPr>
                <w:rFonts w:cs="Calibri"/>
                <w:i/>
                <w:spacing w:val="-8"/>
                <w:sz w:val="24"/>
                <w:szCs w:val="24"/>
                <w:lang w:eastAsia="ar-SA"/>
              </w:rPr>
              <w:t>Л.Б.</w:t>
            </w:r>
            <w:r w:rsidRPr="00B53F77">
              <w:rPr>
                <w:i/>
                <w:spacing w:val="-8"/>
                <w:sz w:val="24"/>
                <w:szCs w:val="24"/>
                <w:lang w:eastAsia="ar-SA"/>
              </w:rPr>
              <w:t>Лазебника (среднее значение)</w:t>
            </w:r>
          </w:p>
        </w:tc>
      </w:tr>
      <w:tr w:rsidR="00286780" w:rsidRPr="00B53F77" w:rsidTr="00B53F77">
        <w:trPr>
          <w:trHeight w:val="227"/>
        </w:trPr>
        <w:tc>
          <w:tcPr>
            <w:tcW w:w="5557" w:type="dxa"/>
            <w:vMerge/>
            <w:tcBorders>
              <w:top w:val="single" w:sz="4" w:space="0" w:color="000000"/>
              <w:left w:val="single" w:sz="4" w:space="0" w:color="000000"/>
              <w:bottom w:val="single" w:sz="4" w:space="0" w:color="000000"/>
            </w:tcBorders>
            <w:tcMar>
              <w:left w:w="28" w:type="dxa"/>
              <w:right w:w="28" w:type="dxa"/>
            </w:tcMar>
          </w:tcPr>
          <w:p w:rsidR="00286780" w:rsidRPr="00B53F77" w:rsidRDefault="00286780" w:rsidP="00124D89">
            <w:pPr>
              <w:snapToGrid w:val="0"/>
              <w:jc w:val="both"/>
              <w:rPr>
                <w:rFonts w:ascii="Calibri" w:hAnsi="Calibri" w:cs="Calibri"/>
                <w:spacing w:val="-8"/>
                <w:sz w:val="22"/>
                <w:szCs w:val="22"/>
                <w:lang w:eastAsia="ar-SA"/>
              </w:rPr>
            </w:pPr>
          </w:p>
        </w:tc>
        <w:tc>
          <w:tcPr>
            <w:tcW w:w="1275" w:type="dxa"/>
            <w:tcBorders>
              <w:top w:val="single" w:sz="4" w:space="0" w:color="000000"/>
              <w:left w:val="single" w:sz="4" w:space="0" w:color="000000"/>
              <w:bottom w:val="single" w:sz="4" w:space="0" w:color="000000"/>
            </w:tcBorders>
            <w:tcMar>
              <w:left w:w="28" w:type="dxa"/>
              <w:right w:w="28" w:type="dxa"/>
            </w:tcMar>
            <w:vAlign w:val="center"/>
          </w:tcPr>
          <w:p w:rsidR="00286780" w:rsidRPr="00B53F77" w:rsidRDefault="00286780" w:rsidP="00124D89">
            <w:pPr>
              <w:snapToGrid w:val="0"/>
              <w:jc w:val="center"/>
              <w:rPr>
                <w:spacing w:val="-8"/>
                <w:sz w:val="24"/>
                <w:szCs w:val="24"/>
                <w:lang w:eastAsia="ar-SA"/>
              </w:rPr>
            </w:pPr>
            <w:r w:rsidRPr="00B53F77">
              <w:rPr>
                <w:spacing w:val="-8"/>
                <w:sz w:val="24"/>
                <w:szCs w:val="24"/>
                <w:lang w:eastAsia="ar-SA"/>
              </w:rPr>
              <w:t>абсолютное</w:t>
            </w:r>
          </w:p>
          <w:p w:rsidR="00286780" w:rsidRPr="00B53F77" w:rsidRDefault="00286780" w:rsidP="00124D89">
            <w:pPr>
              <w:jc w:val="center"/>
              <w:rPr>
                <w:spacing w:val="-8"/>
                <w:sz w:val="24"/>
                <w:szCs w:val="24"/>
                <w:lang w:eastAsia="ar-SA"/>
              </w:rPr>
            </w:pPr>
            <w:r w:rsidRPr="00B53F77">
              <w:rPr>
                <w:spacing w:val="-8"/>
                <w:sz w:val="24"/>
                <w:szCs w:val="24"/>
                <w:lang w:eastAsia="ar-SA"/>
              </w:rPr>
              <w:t>значение</w:t>
            </w:r>
          </w:p>
        </w:tc>
        <w:tc>
          <w:tcPr>
            <w:tcW w:w="851" w:type="dxa"/>
            <w:tcBorders>
              <w:top w:val="single" w:sz="4" w:space="0" w:color="000000"/>
              <w:left w:val="single" w:sz="4" w:space="0" w:color="000000"/>
              <w:bottom w:val="single" w:sz="4" w:space="0" w:color="000000"/>
            </w:tcBorders>
            <w:tcMar>
              <w:left w:w="28" w:type="dxa"/>
              <w:right w:w="28" w:type="dxa"/>
            </w:tcMar>
            <w:vAlign w:val="center"/>
          </w:tcPr>
          <w:p w:rsidR="00286780" w:rsidRPr="00B53F77" w:rsidRDefault="00286780" w:rsidP="00124D89">
            <w:pPr>
              <w:snapToGrid w:val="0"/>
              <w:jc w:val="center"/>
              <w:rPr>
                <w:spacing w:val="-8"/>
                <w:sz w:val="24"/>
                <w:szCs w:val="24"/>
                <w:lang w:eastAsia="ar-SA"/>
              </w:rPr>
            </w:pPr>
            <w:r w:rsidRPr="00B53F77">
              <w:rPr>
                <w:spacing w:val="-8"/>
                <w:sz w:val="24"/>
                <w:szCs w:val="24"/>
                <w:lang w:eastAsia="ar-SA"/>
              </w:rPr>
              <w:t>%</w:t>
            </w:r>
          </w:p>
        </w:tc>
        <w:tc>
          <w:tcPr>
            <w:tcW w:w="2240"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B53F77" w:rsidRDefault="00286780" w:rsidP="00124D89">
            <w:pPr>
              <w:snapToGrid w:val="0"/>
              <w:jc w:val="center"/>
              <w:rPr>
                <w:rFonts w:ascii="Calibri" w:hAnsi="Calibri" w:cs="Calibri"/>
                <w:spacing w:val="-8"/>
                <w:sz w:val="22"/>
                <w:szCs w:val="22"/>
                <w:lang w:eastAsia="ar-SA"/>
              </w:rPr>
            </w:pPr>
          </w:p>
        </w:tc>
      </w:tr>
      <w:tr w:rsidR="00286780" w:rsidRPr="00B53F77" w:rsidTr="00B53F77">
        <w:trPr>
          <w:trHeight w:val="454"/>
        </w:trPr>
        <w:tc>
          <w:tcPr>
            <w:tcW w:w="5557" w:type="dxa"/>
            <w:tcBorders>
              <w:top w:val="single" w:sz="4" w:space="0" w:color="000000"/>
              <w:left w:val="single" w:sz="4" w:space="0" w:color="000000"/>
              <w:bottom w:val="single" w:sz="4" w:space="0" w:color="000000"/>
            </w:tcBorders>
            <w:tcMar>
              <w:left w:w="28" w:type="dxa"/>
              <w:right w:w="28" w:type="dxa"/>
            </w:tcMar>
          </w:tcPr>
          <w:p w:rsidR="00286780" w:rsidRPr="00B53F77" w:rsidRDefault="00286780" w:rsidP="00124D89">
            <w:pPr>
              <w:snapToGrid w:val="0"/>
              <w:jc w:val="both"/>
              <w:rPr>
                <w:spacing w:val="-8"/>
                <w:sz w:val="24"/>
                <w:szCs w:val="24"/>
                <w:lang w:eastAsia="ar-SA"/>
              </w:rPr>
            </w:pPr>
            <w:r w:rsidRPr="00B53F77">
              <w:rPr>
                <w:spacing w:val="-8"/>
                <w:sz w:val="24"/>
                <w:szCs w:val="24"/>
                <w:lang w:eastAsia="ar-SA"/>
              </w:rPr>
              <w:t>АГ (</w:t>
            </w:r>
            <w:r w:rsidRPr="00B53F77">
              <w:rPr>
                <w:spacing w:val="-8"/>
                <w:sz w:val="24"/>
                <w:szCs w:val="24"/>
                <w:lang w:val="en-US" w:eastAsia="ar-SA"/>
              </w:rPr>
              <w:t>I</w:t>
            </w:r>
            <w:r w:rsidRPr="00B53F77">
              <w:rPr>
                <w:spacing w:val="-8"/>
                <w:sz w:val="24"/>
                <w:szCs w:val="24"/>
                <w:lang w:eastAsia="ar-SA"/>
              </w:rPr>
              <w:t>10–</w:t>
            </w:r>
            <w:r w:rsidRPr="00B53F77">
              <w:rPr>
                <w:spacing w:val="-8"/>
                <w:sz w:val="24"/>
                <w:szCs w:val="24"/>
                <w:lang w:val="en-US" w:eastAsia="ar-SA"/>
              </w:rPr>
              <w:t>I</w:t>
            </w:r>
            <w:r w:rsidRPr="00B53F77">
              <w:rPr>
                <w:spacing w:val="-8"/>
                <w:sz w:val="24"/>
                <w:szCs w:val="24"/>
                <w:lang w:eastAsia="ar-SA"/>
              </w:rPr>
              <w:t>13) и/или ИБС (стабильная стенокардия напряжения, атеросклероз аорты, постинфарктный кардиосклероз, фибрилляция предсердий (</w:t>
            </w:r>
            <w:r w:rsidRPr="00B53F77">
              <w:rPr>
                <w:spacing w:val="-8"/>
                <w:sz w:val="24"/>
                <w:szCs w:val="24"/>
                <w:lang w:val="en-US" w:eastAsia="ar-SA"/>
              </w:rPr>
              <w:t>I</w:t>
            </w:r>
            <w:r w:rsidRPr="00B53F77">
              <w:rPr>
                <w:spacing w:val="-8"/>
                <w:sz w:val="24"/>
                <w:szCs w:val="24"/>
                <w:lang w:eastAsia="ar-SA"/>
              </w:rPr>
              <w:t xml:space="preserve">20, </w:t>
            </w:r>
            <w:r w:rsidRPr="00B53F77">
              <w:rPr>
                <w:spacing w:val="-8"/>
                <w:sz w:val="24"/>
                <w:szCs w:val="24"/>
                <w:lang w:val="en-US" w:eastAsia="ar-SA"/>
              </w:rPr>
              <w:t>I</w:t>
            </w:r>
            <w:r w:rsidRPr="00B53F77">
              <w:rPr>
                <w:spacing w:val="-8"/>
                <w:sz w:val="24"/>
                <w:szCs w:val="24"/>
                <w:lang w:eastAsia="ar-SA"/>
              </w:rPr>
              <w:t xml:space="preserve">25, </w:t>
            </w:r>
            <w:r w:rsidRPr="00B53F77">
              <w:rPr>
                <w:spacing w:val="-8"/>
                <w:sz w:val="24"/>
                <w:szCs w:val="24"/>
                <w:lang w:val="en-US" w:eastAsia="ar-SA"/>
              </w:rPr>
              <w:t>I</w:t>
            </w:r>
            <w:r w:rsidRPr="00B53F77">
              <w:rPr>
                <w:spacing w:val="-8"/>
                <w:sz w:val="24"/>
                <w:szCs w:val="24"/>
                <w:lang w:eastAsia="ar-SA"/>
              </w:rPr>
              <w:t xml:space="preserve">25.2, </w:t>
            </w:r>
            <w:r w:rsidRPr="00B53F77">
              <w:rPr>
                <w:spacing w:val="-8"/>
                <w:sz w:val="24"/>
                <w:szCs w:val="24"/>
                <w:lang w:val="en-US" w:eastAsia="ar-SA"/>
              </w:rPr>
              <w:t>I</w:t>
            </w:r>
            <w:r w:rsidRPr="00B53F77">
              <w:rPr>
                <w:spacing w:val="-8"/>
                <w:sz w:val="24"/>
                <w:szCs w:val="24"/>
                <w:lang w:eastAsia="ar-SA"/>
              </w:rPr>
              <w:t>48), в том числе в сочетании с ожирением (</w:t>
            </w:r>
            <w:r w:rsidRPr="00B53F77">
              <w:rPr>
                <w:spacing w:val="-8"/>
                <w:sz w:val="24"/>
                <w:szCs w:val="24"/>
                <w:lang w:val="en-US" w:eastAsia="ar-SA"/>
              </w:rPr>
              <w:t>E</w:t>
            </w:r>
            <w:r w:rsidRPr="00B53F77">
              <w:rPr>
                <w:spacing w:val="-8"/>
                <w:sz w:val="24"/>
                <w:szCs w:val="24"/>
                <w:lang w:eastAsia="ar-SA"/>
              </w:rPr>
              <w:t>66)</w:t>
            </w:r>
          </w:p>
        </w:tc>
        <w:tc>
          <w:tcPr>
            <w:tcW w:w="1275" w:type="dxa"/>
            <w:tcBorders>
              <w:top w:val="single" w:sz="4" w:space="0" w:color="000000"/>
              <w:left w:val="single" w:sz="4" w:space="0" w:color="000000"/>
              <w:bottom w:val="single" w:sz="4" w:space="0" w:color="000000"/>
            </w:tcBorders>
            <w:tcMar>
              <w:left w:w="28" w:type="dxa"/>
              <w:right w:w="28" w:type="dxa"/>
            </w:tcMar>
            <w:vAlign w:val="center"/>
          </w:tcPr>
          <w:p w:rsidR="00286780" w:rsidRPr="00B53F77" w:rsidRDefault="00286780" w:rsidP="00124D89">
            <w:pPr>
              <w:snapToGrid w:val="0"/>
              <w:jc w:val="center"/>
              <w:rPr>
                <w:spacing w:val="-8"/>
                <w:sz w:val="24"/>
                <w:szCs w:val="24"/>
                <w:lang w:eastAsia="ar-SA"/>
              </w:rPr>
            </w:pPr>
            <w:r w:rsidRPr="00B53F77">
              <w:rPr>
                <w:spacing w:val="-8"/>
                <w:sz w:val="24"/>
                <w:szCs w:val="24"/>
                <w:lang w:eastAsia="ar-SA"/>
              </w:rPr>
              <w:t>4</w:t>
            </w:r>
          </w:p>
        </w:tc>
        <w:tc>
          <w:tcPr>
            <w:tcW w:w="851" w:type="dxa"/>
            <w:tcBorders>
              <w:top w:val="single" w:sz="4" w:space="0" w:color="000000"/>
              <w:left w:val="single" w:sz="4" w:space="0" w:color="000000"/>
              <w:bottom w:val="single" w:sz="4" w:space="0" w:color="000000"/>
            </w:tcBorders>
            <w:tcMar>
              <w:left w:w="28" w:type="dxa"/>
              <w:right w:w="28" w:type="dxa"/>
            </w:tcMar>
            <w:vAlign w:val="center"/>
          </w:tcPr>
          <w:p w:rsidR="00286780" w:rsidRPr="00B53F77" w:rsidRDefault="00286780" w:rsidP="00124D89">
            <w:pPr>
              <w:snapToGrid w:val="0"/>
              <w:jc w:val="center"/>
              <w:rPr>
                <w:spacing w:val="-8"/>
                <w:sz w:val="24"/>
                <w:szCs w:val="24"/>
                <w:lang w:eastAsia="ar-SA"/>
              </w:rPr>
            </w:pPr>
            <w:r w:rsidRPr="00B53F77">
              <w:rPr>
                <w:spacing w:val="-8"/>
                <w:sz w:val="24"/>
                <w:szCs w:val="24"/>
                <w:lang w:eastAsia="ar-SA"/>
              </w:rPr>
              <w:t>14,3</w:t>
            </w:r>
          </w:p>
        </w:tc>
        <w:tc>
          <w:tcPr>
            <w:tcW w:w="22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B53F77" w:rsidRDefault="00286780" w:rsidP="00124D89">
            <w:pPr>
              <w:snapToGrid w:val="0"/>
              <w:jc w:val="center"/>
              <w:rPr>
                <w:spacing w:val="-8"/>
                <w:sz w:val="24"/>
                <w:szCs w:val="24"/>
                <w:lang w:eastAsia="ar-SA"/>
              </w:rPr>
            </w:pPr>
            <w:r w:rsidRPr="00B53F77">
              <w:rPr>
                <w:spacing w:val="-8"/>
                <w:sz w:val="24"/>
                <w:szCs w:val="24"/>
                <w:lang w:eastAsia="ar-SA"/>
              </w:rPr>
              <w:t>2,5</w:t>
            </w:r>
          </w:p>
        </w:tc>
      </w:tr>
      <w:tr w:rsidR="00286780" w:rsidRPr="00B53F77" w:rsidTr="00B53F77">
        <w:trPr>
          <w:trHeight w:val="454"/>
        </w:trPr>
        <w:tc>
          <w:tcPr>
            <w:tcW w:w="5557" w:type="dxa"/>
            <w:tcBorders>
              <w:top w:val="single" w:sz="4" w:space="0" w:color="000000"/>
              <w:left w:val="single" w:sz="4" w:space="0" w:color="000000"/>
              <w:bottom w:val="single" w:sz="4" w:space="0" w:color="000000"/>
            </w:tcBorders>
            <w:tcMar>
              <w:left w:w="28" w:type="dxa"/>
              <w:right w:w="28" w:type="dxa"/>
            </w:tcMar>
          </w:tcPr>
          <w:p w:rsidR="00286780" w:rsidRPr="00B53F77" w:rsidRDefault="00286780" w:rsidP="00124D89">
            <w:pPr>
              <w:snapToGrid w:val="0"/>
              <w:jc w:val="both"/>
              <w:rPr>
                <w:spacing w:val="-8"/>
                <w:sz w:val="24"/>
                <w:szCs w:val="24"/>
                <w:lang w:eastAsia="ar-SA"/>
              </w:rPr>
            </w:pPr>
            <w:r w:rsidRPr="00B53F77">
              <w:rPr>
                <w:spacing w:val="-8"/>
                <w:sz w:val="24"/>
                <w:szCs w:val="24"/>
                <w:lang w:eastAsia="ar-SA"/>
              </w:rPr>
              <w:t xml:space="preserve">Сахарный диабет (тип 2-й, </w:t>
            </w:r>
            <w:r w:rsidRPr="00B53F77">
              <w:rPr>
                <w:spacing w:val="-8"/>
                <w:sz w:val="24"/>
                <w:szCs w:val="24"/>
                <w:lang w:val="en-US" w:eastAsia="ar-SA"/>
              </w:rPr>
              <w:t>E</w:t>
            </w:r>
            <w:r w:rsidRPr="00B53F77">
              <w:rPr>
                <w:spacing w:val="-8"/>
                <w:sz w:val="24"/>
                <w:szCs w:val="24"/>
                <w:lang w:eastAsia="ar-SA"/>
              </w:rPr>
              <w:t>11) и АГ (</w:t>
            </w:r>
            <w:r w:rsidRPr="00B53F77">
              <w:rPr>
                <w:spacing w:val="-8"/>
                <w:sz w:val="24"/>
                <w:szCs w:val="24"/>
                <w:lang w:val="en-US" w:eastAsia="ar-SA"/>
              </w:rPr>
              <w:t>I</w:t>
            </w:r>
            <w:r w:rsidRPr="00B53F77">
              <w:rPr>
                <w:spacing w:val="-8"/>
                <w:sz w:val="24"/>
                <w:szCs w:val="24"/>
                <w:lang w:eastAsia="ar-SA"/>
              </w:rPr>
              <w:t>10–</w:t>
            </w:r>
            <w:r w:rsidRPr="00B53F77">
              <w:rPr>
                <w:spacing w:val="-8"/>
                <w:sz w:val="24"/>
                <w:szCs w:val="24"/>
                <w:lang w:val="en-US" w:eastAsia="ar-SA"/>
              </w:rPr>
              <w:t>I</w:t>
            </w:r>
            <w:r w:rsidRPr="00B53F77">
              <w:rPr>
                <w:spacing w:val="-8"/>
                <w:sz w:val="24"/>
                <w:szCs w:val="24"/>
                <w:lang w:eastAsia="ar-SA"/>
              </w:rPr>
              <w:t>13) и/или ИБС (</w:t>
            </w:r>
            <w:r w:rsidRPr="00B53F77">
              <w:rPr>
                <w:spacing w:val="-8"/>
                <w:sz w:val="24"/>
                <w:szCs w:val="24"/>
                <w:lang w:val="en-US" w:eastAsia="ar-SA"/>
              </w:rPr>
              <w:t>I</w:t>
            </w:r>
            <w:r w:rsidRPr="00B53F77">
              <w:rPr>
                <w:spacing w:val="-8"/>
                <w:sz w:val="24"/>
                <w:szCs w:val="24"/>
                <w:lang w:eastAsia="ar-SA"/>
              </w:rPr>
              <w:t xml:space="preserve">20, </w:t>
            </w:r>
            <w:r w:rsidRPr="00B53F77">
              <w:rPr>
                <w:spacing w:val="-8"/>
                <w:sz w:val="24"/>
                <w:szCs w:val="24"/>
                <w:lang w:val="en-US" w:eastAsia="ar-SA"/>
              </w:rPr>
              <w:t>I</w:t>
            </w:r>
            <w:r w:rsidRPr="00B53F77">
              <w:rPr>
                <w:spacing w:val="-8"/>
                <w:sz w:val="24"/>
                <w:szCs w:val="24"/>
                <w:lang w:eastAsia="ar-SA"/>
              </w:rPr>
              <w:t xml:space="preserve">25, </w:t>
            </w:r>
            <w:r w:rsidRPr="00B53F77">
              <w:rPr>
                <w:spacing w:val="-8"/>
                <w:sz w:val="24"/>
                <w:szCs w:val="24"/>
                <w:lang w:val="en-US" w:eastAsia="ar-SA"/>
              </w:rPr>
              <w:t>I</w:t>
            </w:r>
            <w:r w:rsidRPr="00B53F77">
              <w:rPr>
                <w:spacing w:val="-8"/>
                <w:sz w:val="24"/>
                <w:szCs w:val="24"/>
                <w:lang w:eastAsia="ar-SA"/>
              </w:rPr>
              <w:t>25.2), в том числе в сочетании с ожирением (</w:t>
            </w:r>
            <w:r w:rsidRPr="00B53F77">
              <w:rPr>
                <w:spacing w:val="-8"/>
                <w:sz w:val="24"/>
                <w:szCs w:val="24"/>
                <w:lang w:val="en-US" w:eastAsia="ar-SA"/>
              </w:rPr>
              <w:t>E</w:t>
            </w:r>
            <w:r w:rsidRPr="00B53F77">
              <w:rPr>
                <w:spacing w:val="-8"/>
                <w:sz w:val="24"/>
                <w:szCs w:val="24"/>
                <w:lang w:eastAsia="ar-SA"/>
              </w:rPr>
              <w:t>66)</w:t>
            </w:r>
          </w:p>
        </w:tc>
        <w:tc>
          <w:tcPr>
            <w:tcW w:w="1275" w:type="dxa"/>
            <w:tcBorders>
              <w:top w:val="single" w:sz="4" w:space="0" w:color="000000"/>
              <w:left w:val="single" w:sz="4" w:space="0" w:color="000000"/>
              <w:bottom w:val="single" w:sz="4" w:space="0" w:color="000000"/>
            </w:tcBorders>
            <w:tcMar>
              <w:left w:w="28" w:type="dxa"/>
              <w:right w:w="28" w:type="dxa"/>
            </w:tcMar>
            <w:vAlign w:val="center"/>
          </w:tcPr>
          <w:p w:rsidR="00286780" w:rsidRPr="00B53F77" w:rsidRDefault="00286780" w:rsidP="00124D89">
            <w:pPr>
              <w:snapToGrid w:val="0"/>
              <w:jc w:val="center"/>
              <w:rPr>
                <w:spacing w:val="-8"/>
                <w:sz w:val="24"/>
                <w:szCs w:val="24"/>
                <w:lang w:eastAsia="ar-SA"/>
              </w:rPr>
            </w:pPr>
            <w:r w:rsidRPr="00B53F77">
              <w:rPr>
                <w:spacing w:val="-8"/>
                <w:sz w:val="24"/>
                <w:szCs w:val="24"/>
                <w:lang w:eastAsia="ar-SA"/>
              </w:rPr>
              <w:t>7</w:t>
            </w:r>
          </w:p>
        </w:tc>
        <w:tc>
          <w:tcPr>
            <w:tcW w:w="851" w:type="dxa"/>
            <w:tcBorders>
              <w:top w:val="single" w:sz="4" w:space="0" w:color="000000"/>
              <w:left w:val="single" w:sz="4" w:space="0" w:color="000000"/>
              <w:bottom w:val="single" w:sz="4" w:space="0" w:color="000000"/>
            </w:tcBorders>
            <w:tcMar>
              <w:left w:w="28" w:type="dxa"/>
              <w:right w:w="28" w:type="dxa"/>
            </w:tcMar>
            <w:vAlign w:val="center"/>
          </w:tcPr>
          <w:p w:rsidR="00286780" w:rsidRPr="00B53F77" w:rsidRDefault="00286780" w:rsidP="00124D89">
            <w:pPr>
              <w:snapToGrid w:val="0"/>
              <w:jc w:val="center"/>
              <w:rPr>
                <w:spacing w:val="-8"/>
                <w:sz w:val="24"/>
                <w:szCs w:val="24"/>
                <w:lang w:eastAsia="ar-SA"/>
              </w:rPr>
            </w:pPr>
            <w:r w:rsidRPr="00B53F77">
              <w:rPr>
                <w:spacing w:val="-8"/>
                <w:sz w:val="24"/>
                <w:szCs w:val="24"/>
                <w:lang w:eastAsia="ar-SA"/>
              </w:rPr>
              <w:t>25</w:t>
            </w:r>
          </w:p>
        </w:tc>
        <w:tc>
          <w:tcPr>
            <w:tcW w:w="22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B53F77" w:rsidRDefault="00286780" w:rsidP="00124D89">
            <w:pPr>
              <w:snapToGrid w:val="0"/>
              <w:jc w:val="center"/>
              <w:rPr>
                <w:spacing w:val="-8"/>
                <w:sz w:val="24"/>
                <w:szCs w:val="24"/>
                <w:lang w:eastAsia="ar-SA"/>
              </w:rPr>
            </w:pPr>
            <w:r w:rsidRPr="00B53F77">
              <w:rPr>
                <w:spacing w:val="-8"/>
                <w:sz w:val="24"/>
                <w:szCs w:val="24"/>
                <w:lang w:eastAsia="ar-SA"/>
              </w:rPr>
              <w:t>3,4</w:t>
            </w:r>
          </w:p>
        </w:tc>
      </w:tr>
      <w:tr w:rsidR="00286780" w:rsidRPr="00B53F77" w:rsidTr="00B53F77">
        <w:trPr>
          <w:trHeight w:val="454"/>
        </w:trPr>
        <w:tc>
          <w:tcPr>
            <w:tcW w:w="5557" w:type="dxa"/>
            <w:tcBorders>
              <w:top w:val="single" w:sz="4" w:space="0" w:color="000000"/>
              <w:left w:val="single" w:sz="4" w:space="0" w:color="000000"/>
              <w:bottom w:val="single" w:sz="4" w:space="0" w:color="000000"/>
            </w:tcBorders>
            <w:tcMar>
              <w:left w:w="28" w:type="dxa"/>
              <w:right w:w="28" w:type="dxa"/>
            </w:tcMar>
          </w:tcPr>
          <w:p w:rsidR="00286780" w:rsidRPr="00B53F77" w:rsidRDefault="00286780" w:rsidP="00124D89">
            <w:pPr>
              <w:snapToGrid w:val="0"/>
              <w:jc w:val="both"/>
              <w:rPr>
                <w:spacing w:val="-8"/>
                <w:sz w:val="24"/>
                <w:szCs w:val="24"/>
                <w:lang w:eastAsia="ar-SA"/>
              </w:rPr>
            </w:pPr>
            <w:r w:rsidRPr="00B53F77">
              <w:rPr>
                <w:spacing w:val="-8"/>
                <w:sz w:val="24"/>
                <w:szCs w:val="24"/>
                <w:lang w:eastAsia="ar-SA"/>
              </w:rPr>
              <w:t>ХОБЛ и/или бронхиальная астма и/или пневмосклероз (</w:t>
            </w:r>
            <w:r w:rsidRPr="00B53F77">
              <w:rPr>
                <w:spacing w:val="-8"/>
                <w:sz w:val="24"/>
                <w:szCs w:val="24"/>
                <w:lang w:val="en-US" w:eastAsia="ar-SA"/>
              </w:rPr>
              <w:t>J</w:t>
            </w:r>
            <w:r w:rsidRPr="00B53F77">
              <w:rPr>
                <w:spacing w:val="-8"/>
                <w:sz w:val="24"/>
                <w:szCs w:val="24"/>
                <w:lang w:eastAsia="ar-SA"/>
              </w:rPr>
              <w:t xml:space="preserve">44, </w:t>
            </w:r>
            <w:r w:rsidRPr="00B53F77">
              <w:rPr>
                <w:spacing w:val="-8"/>
                <w:sz w:val="24"/>
                <w:szCs w:val="24"/>
                <w:lang w:val="en-US" w:eastAsia="ar-SA"/>
              </w:rPr>
              <w:t>J</w:t>
            </w:r>
            <w:r w:rsidRPr="00B53F77">
              <w:rPr>
                <w:spacing w:val="-8"/>
                <w:sz w:val="24"/>
                <w:szCs w:val="24"/>
                <w:lang w:eastAsia="ar-SA"/>
              </w:rPr>
              <w:t xml:space="preserve">45, </w:t>
            </w:r>
            <w:r w:rsidRPr="00B53F77">
              <w:rPr>
                <w:spacing w:val="-8"/>
                <w:sz w:val="24"/>
                <w:szCs w:val="24"/>
                <w:lang w:val="en-US" w:eastAsia="ar-SA"/>
              </w:rPr>
              <w:t>J</w:t>
            </w:r>
            <w:r w:rsidRPr="00B53F77">
              <w:rPr>
                <w:spacing w:val="-8"/>
                <w:sz w:val="24"/>
                <w:szCs w:val="24"/>
                <w:lang w:eastAsia="ar-SA"/>
              </w:rPr>
              <w:t>84) и/или туберкулез легких (</w:t>
            </w:r>
            <w:r w:rsidRPr="00B53F77">
              <w:rPr>
                <w:spacing w:val="-8"/>
                <w:sz w:val="24"/>
                <w:szCs w:val="24"/>
                <w:lang w:val="en-US" w:eastAsia="ar-SA"/>
              </w:rPr>
              <w:t>A</w:t>
            </w:r>
            <w:r w:rsidRPr="00B53F77">
              <w:rPr>
                <w:spacing w:val="-8"/>
                <w:sz w:val="24"/>
                <w:szCs w:val="24"/>
                <w:lang w:eastAsia="ar-SA"/>
              </w:rPr>
              <w:t>15,</w:t>
            </w:r>
            <w:r w:rsidRPr="00B53F77">
              <w:rPr>
                <w:spacing w:val="-8"/>
                <w:sz w:val="24"/>
                <w:szCs w:val="24"/>
                <w:lang w:val="en-US" w:eastAsia="ar-SA"/>
              </w:rPr>
              <w:t>A</w:t>
            </w:r>
            <w:r w:rsidRPr="00B53F77">
              <w:rPr>
                <w:spacing w:val="-8"/>
                <w:sz w:val="24"/>
                <w:szCs w:val="24"/>
                <w:lang w:eastAsia="ar-SA"/>
              </w:rPr>
              <w:t>16), в том числе в сочетании с циррозом печени (</w:t>
            </w:r>
            <w:r w:rsidRPr="00B53F77">
              <w:rPr>
                <w:spacing w:val="-8"/>
                <w:sz w:val="24"/>
                <w:szCs w:val="24"/>
                <w:lang w:val="en-US" w:eastAsia="ar-SA"/>
              </w:rPr>
              <w:t>K</w:t>
            </w:r>
            <w:r w:rsidRPr="00B53F77">
              <w:rPr>
                <w:spacing w:val="-8"/>
                <w:sz w:val="24"/>
                <w:szCs w:val="24"/>
                <w:lang w:eastAsia="ar-SA"/>
              </w:rPr>
              <w:t>74) и/или синдромом алкогольной зависимости (</w:t>
            </w:r>
            <w:r w:rsidRPr="00B53F77">
              <w:rPr>
                <w:spacing w:val="-8"/>
                <w:sz w:val="24"/>
                <w:szCs w:val="24"/>
                <w:lang w:val="en-US" w:eastAsia="ar-SA"/>
              </w:rPr>
              <w:t>F</w:t>
            </w:r>
            <w:r w:rsidRPr="00B53F77">
              <w:rPr>
                <w:spacing w:val="-8"/>
                <w:sz w:val="24"/>
                <w:szCs w:val="24"/>
                <w:lang w:eastAsia="ar-SA"/>
              </w:rPr>
              <w:t>10.2)</w:t>
            </w:r>
          </w:p>
        </w:tc>
        <w:tc>
          <w:tcPr>
            <w:tcW w:w="1275" w:type="dxa"/>
            <w:tcBorders>
              <w:top w:val="single" w:sz="4" w:space="0" w:color="000000"/>
              <w:left w:val="single" w:sz="4" w:space="0" w:color="000000"/>
              <w:bottom w:val="single" w:sz="4" w:space="0" w:color="000000"/>
            </w:tcBorders>
            <w:tcMar>
              <w:left w:w="28" w:type="dxa"/>
              <w:right w:w="28" w:type="dxa"/>
            </w:tcMar>
            <w:vAlign w:val="center"/>
          </w:tcPr>
          <w:p w:rsidR="00286780" w:rsidRPr="00B53F77" w:rsidRDefault="00286780" w:rsidP="00124D89">
            <w:pPr>
              <w:snapToGrid w:val="0"/>
              <w:jc w:val="center"/>
              <w:rPr>
                <w:spacing w:val="-8"/>
                <w:sz w:val="24"/>
                <w:szCs w:val="24"/>
                <w:lang w:val="en-US" w:eastAsia="ar-SA"/>
              </w:rPr>
            </w:pPr>
            <w:r w:rsidRPr="00B53F77">
              <w:rPr>
                <w:spacing w:val="-8"/>
                <w:sz w:val="24"/>
                <w:szCs w:val="24"/>
                <w:lang w:val="en-US" w:eastAsia="ar-SA"/>
              </w:rPr>
              <w:t>4</w:t>
            </w:r>
          </w:p>
        </w:tc>
        <w:tc>
          <w:tcPr>
            <w:tcW w:w="851" w:type="dxa"/>
            <w:tcBorders>
              <w:top w:val="single" w:sz="4" w:space="0" w:color="000000"/>
              <w:left w:val="single" w:sz="4" w:space="0" w:color="000000"/>
              <w:bottom w:val="single" w:sz="4" w:space="0" w:color="000000"/>
            </w:tcBorders>
            <w:tcMar>
              <w:left w:w="28" w:type="dxa"/>
              <w:right w:w="28" w:type="dxa"/>
            </w:tcMar>
            <w:vAlign w:val="center"/>
          </w:tcPr>
          <w:p w:rsidR="00286780" w:rsidRPr="00B53F77" w:rsidRDefault="00286780" w:rsidP="00124D89">
            <w:pPr>
              <w:snapToGrid w:val="0"/>
              <w:jc w:val="center"/>
              <w:rPr>
                <w:spacing w:val="-8"/>
                <w:sz w:val="24"/>
                <w:szCs w:val="24"/>
                <w:lang w:eastAsia="ar-SA"/>
              </w:rPr>
            </w:pPr>
            <w:r w:rsidRPr="00B53F77">
              <w:rPr>
                <w:spacing w:val="-8"/>
                <w:sz w:val="24"/>
                <w:szCs w:val="24"/>
                <w:lang w:eastAsia="ar-SA"/>
              </w:rPr>
              <w:t>14</w:t>
            </w:r>
            <w:r w:rsidRPr="00B53F77">
              <w:rPr>
                <w:spacing w:val="-8"/>
                <w:sz w:val="24"/>
                <w:szCs w:val="24"/>
                <w:lang w:val="en-US" w:eastAsia="ar-SA"/>
              </w:rPr>
              <w:t>,</w:t>
            </w:r>
            <w:r w:rsidRPr="00B53F77">
              <w:rPr>
                <w:spacing w:val="-8"/>
                <w:sz w:val="24"/>
                <w:szCs w:val="24"/>
                <w:lang w:eastAsia="ar-SA"/>
              </w:rPr>
              <w:t>3</w:t>
            </w:r>
          </w:p>
        </w:tc>
        <w:tc>
          <w:tcPr>
            <w:tcW w:w="22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B53F77" w:rsidRDefault="00286780" w:rsidP="00124D89">
            <w:pPr>
              <w:snapToGrid w:val="0"/>
              <w:jc w:val="center"/>
              <w:rPr>
                <w:spacing w:val="-8"/>
                <w:sz w:val="24"/>
                <w:szCs w:val="24"/>
                <w:lang w:eastAsia="ar-SA"/>
              </w:rPr>
            </w:pPr>
            <w:r w:rsidRPr="00B53F77">
              <w:rPr>
                <w:spacing w:val="-8"/>
                <w:sz w:val="24"/>
                <w:szCs w:val="24"/>
                <w:lang w:eastAsia="ar-SA"/>
              </w:rPr>
              <w:t>3,0</w:t>
            </w:r>
          </w:p>
        </w:tc>
      </w:tr>
      <w:tr w:rsidR="00286780" w:rsidRPr="00B53F77" w:rsidTr="00B53F77">
        <w:trPr>
          <w:trHeight w:val="454"/>
        </w:trPr>
        <w:tc>
          <w:tcPr>
            <w:tcW w:w="5557" w:type="dxa"/>
            <w:tcBorders>
              <w:top w:val="single" w:sz="4" w:space="0" w:color="000000"/>
              <w:left w:val="single" w:sz="4" w:space="0" w:color="000000"/>
              <w:bottom w:val="single" w:sz="4" w:space="0" w:color="000000"/>
            </w:tcBorders>
            <w:tcMar>
              <w:left w:w="28" w:type="dxa"/>
              <w:right w:w="28" w:type="dxa"/>
            </w:tcMar>
          </w:tcPr>
          <w:p w:rsidR="00286780" w:rsidRPr="00B53F77" w:rsidRDefault="00286780" w:rsidP="00124D89">
            <w:pPr>
              <w:snapToGrid w:val="0"/>
              <w:jc w:val="both"/>
              <w:rPr>
                <w:spacing w:val="-8"/>
                <w:sz w:val="24"/>
                <w:szCs w:val="24"/>
                <w:lang w:eastAsia="ar-SA"/>
              </w:rPr>
            </w:pPr>
            <w:r w:rsidRPr="00B53F77">
              <w:rPr>
                <w:spacing w:val="-8"/>
                <w:sz w:val="24"/>
                <w:szCs w:val="24"/>
                <w:lang w:eastAsia="ar-SA"/>
              </w:rPr>
              <w:t>Гепатит «С» («В») (</w:t>
            </w:r>
            <w:r w:rsidRPr="00B53F77">
              <w:rPr>
                <w:spacing w:val="-8"/>
                <w:sz w:val="24"/>
                <w:szCs w:val="24"/>
                <w:lang w:val="en-US" w:eastAsia="ar-SA"/>
              </w:rPr>
              <w:t>B</w:t>
            </w:r>
            <w:r w:rsidRPr="00B53F77">
              <w:rPr>
                <w:spacing w:val="-8"/>
                <w:sz w:val="24"/>
                <w:szCs w:val="24"/>
                <w:lang w:eastAsia="ar-SA"/>
              </w:rPr>
              <w:t>18) и/или цирроз печени (</w:t>
            </w:r>
            <w:r w:rsidRPr="00B53F77">
              <w:rPr>
                <w:spacing w:val="-8"/>
                <w:sz w:val="24"/>
                <w:szCs w:val="24"/>
                <w:lang w:val="en-US" w:eastAsia="ar-SA"/>
              </w:rPr>
              <w:t>K</w:t>
            </w:r>
            <w:r w:rsidRPr="00B53F77">
              <w:rPr>
                <w:spacing w:val="-8"/>
                <w:sz w:val="24"/>
                <w:szCs w:val="24"/>
                <w:lang w:eastAsia="ar-SA"/>
              </w:rPr>
              <w:t>74) и/или синдром алкогольной зависимости (</w:t>
            </w:r>
            <w:r w:rsidRPr="00B53F77">
              <w:rPr>
                <w:spacing w:val="-8"/>
                <w:sz w:val="24"/>
                <w:szCs w:val="24"/>
                <w:lang w:val="en-US" w:eastAsia="ar-SA"/>
              </w:rPr>
              <w:t>F</w:t>
            </w:r>
            <w:r w:rsidRPr="00B53F77">
              <w:rPr>
                <w:spacing w:val="-8"/>
                <w:sz w:val="24"/>
                <w:szCs w:val="24"/>
                <w:lang w:eastAsia="ar-SA"/>
              </w:rPr>
              <w:t>10.2)</w:t>
            </w:r>
          </w:p>
        </w:tc>
        <w:tc>
          <w:tcPr>
            <w:tcW w:w="1275" w:type="dxa"/>
            <w:tcBorders>
              <w:top w:val="single" w:sz="4" w:space="0" w:color="000000"/>
              <w:left w:val="single" w:sz="4" w:space="0" w:color="000000"/>
              <w:bottom w:val="single" w:sz="4" w:space="0" w:color="000000"/>
            </w:tcBorders>
            <w:tcMar>
              <w:left w:w="28" w:type="dxa"/>
              <w:right w:w="28" w:type="dxa"/>
            </w:tcMar>
            <w:vAlign w:val="center"/>
          </w:tcPr>
          <w:p w:rsidR="00286780" w:rsidRPr="00B53F77" w:rsidRDefault="00286780" w:rsidP="00124D89">
            <w:pPr>
              <w:snapToGrid w:val="0"/>
              <w:jc w:val="center"/>
              <w:rPr>
                <w:spacing w:val="-8"/>
                <w:sz w:val="24"/>
                <w:szCs w:val="24"/>
                <w:lang w:eastAsia="ar-SA"/>
              </w:rPr>
            </w:pPr>
            <w:r w:rsidRPr="00B53F77">
              <w:rPr>
                <w:spacing w:val="-8"/>
                <w:sz w:val="24"/>
                <w:szCs w:val="24"/>
                <w:lang w:eastAsia="ar-SA"/>
              </w:rPr>
              <w:t>11</w:t>
            </w:r>
          </w:p>
        </w:tc>
        <w:tc>
          <w:tcPr>
            <w:tcW w:w="851" w:type="dxa"/>
            <w:tcBorders>
              <w:top w:val="single" w:sz="4" w:space="0" w:color="000000"/>
              <w:left w:val="single" w:sz="4" w:space="0" w:color="000000"/>
              <w:bottom w:val="single" w:sz="4" w:space="0" w:color="000000"/>
            </w:tcBorders>
            <w:tcMar>
              <w:left w:w="28" w:type="dxa"/>
              <w:right w:w="28" w:type="dxa"/>
            </w:tcMar>
            <w:vAlign w:val="center"/>
          </w:tcPr>
          <w:p w:rsidR="00286780" w:rsidRPr="00B53F77" w:rsidRDefault="00286780" w:rsidP="00124D89">
            <w:pPr>
              <w:snapToGrid w:val="0"/>
              <w:jc w:val="center"/>
              <w:rPr>
                <w:spacing w:val="-8"/>
                <w:sz w:val="24"/>
                <w:szCs w:val="24"/>
                <w:lang w:eastAsia="ar-SA"/>
              </w:rPr>
            </w:pPr>
            <w:r w:rsidRPr="00B53F77">
              <w:rPr>
                <w:spacing w:val="-8"/>
                <w:sz w:val="24"/>
                <w:szCs w:val="24"/>
                <w:lang w:eastAsia="ar-SA"/>
              </w:rPr>
              <w:t>39,3</w:t>
            </w:r>
          </w:p>
        </w:tc>
        <w:tc>
          <w:tcPr>
            <w:tcW w:w="22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B53F77" w:rsidRDefault="00286780" w:rsidP="00124D89">
            <w:pPr>
              <w:snapToGrid w:val="0"/>
              <w:jc w:val="center"/>
              <w:rPr>
                <w:spacing w:val="-8"/>
                <w:sz w:val="24"/>
                <w:szCs w:val="24"/>
                <w:lang w:eastAsia="ar-SA"/>
              </w:rPr>
            </w:pPr>
            <w:r w:rsidRPr="00B53F77">
              <w:rPr>
                <w:spacing w:val="-8"/>
                <w:sz w:val="24"/>
                <w:szCs w:val="24"/>
                <w:lang w:eastAsia="ar-SA"/>
              </w:rPr>
              <w:t>2,8</w:t>
            </w:r>
          </w:p>
        </w:tc>
      </w:tr>
      <w:tr w:rsidR="00286780" w:rsidRPr="00B53F77" w:rsidTr="00B53F77">
        <w:trPr>
          <w:trHeight w:val="454"/>
        </w:trPr>
        <w:tc>
          <w:tcPr>
            <w:tcW w:w="5557" w:type="dxa"/>
            <w:tcBorders>
              <w:top w:val="single" w:sz="4" w:space="0" w:color="000000"/>
              <w:left w:val="single" w:sz="4" w:space="0" w:color="000000"/>
              <w:bottom w:val="single" w:sz="4" w:space="0" w:color="000000"/>
            </w:tcBorders>
            <w:tcMar>
              <w:left w:w="28" w:type="dxa"/>
              <w:right w:w="28" w:type="dxa"/>
            </w:tcMar>
          </w:tcPr>
          <w:p w:rsidR="00286780" w:rsidRPr="00B53F77" w:rsidRDefault="00286780" w:rsidP="00124D89">
            <w:pPr>
              <w:snapToGrid w:val="0"/>
              <w:jc w:val="both"/>
              <w:rPr>
                <w:spacing w:val="-8"/>
                <w:sz w:val="24"/>
                <w:szCs w:val="24"/>
                <w:lang w:eastAsia="ar-SA"/>
              </w:rPr>
            </w:pPr>
            <w:r w:rsidRPr="00B53F77">
              <w:rPr>
                <w:spacing w:val="-8"/>
                <w:sz w:val="24"/>
                <w:szCs w:val="24"/>
                <w:lang w:eastAsia="ar-SA"/>
              </w:rPr>
              <w:t>Кистозная болезнь почек/хронический гломерулонефрит (</w:t>
            </w:r>
            <w:r w:rsidRPr="00B53F77">
              <w:rPr>
                <w:spacing w:val="-8"/>
                <w:sz w:val="24"/>
                <w:szCs w:val="24"/>
                <w:lang w:val="en-US" w:eastAsia="ar-SA"/>
              </w:rPr>
              <w:t>Q</w:t>
            </w:r>
            <w:r w:rsidRPr="00B53F77">
              <w:rPr>
                <w:spacing w:val="-8"/>
                <w:sz w:val="24"/>
                <w:szCs w:val="24"/>
                <w:lang w:eastAsia="ar-SA"/>
              </w:rPr>
              <w:t xml:space="preserve">61, </w:t>
            </w:r>
            <w:r w:rsidRPr="00B53F77">
              <w:rPr>
                <w:spacing w:val="-8"/>
                <w:sz w:val="24"/>
                <w:szCs w:val="24"/>
                <w:lang w:val="en-US" w:eastAsia="ar-SA"/>
              </w:rPr>
              <w:t>N</w:t>
            </w:r>
            <w:r w:rsidRPr="00B53F77">
              <w:rPr>
                <w:spacing w:val="-8"/>
                <w:sz w:val="24"/>
                <w:szCs w:val="24"/>
                <w:lang w:eastAsia="ar-SA"/>
              </w:rPr>
              <w:t>00–</w:t>
            </w:r>
            <w:r w:rsidRPr="00B53F77">
              <w:rPr>
                <w:spacing w:val="-8"/>
                <w:sz w:val="24"/>
                <w:szCs w:val="24"/>
                <w:lang w:val="en-US" w:eastAsia="ar-SA"/>
              </w:rPr>
              <w:t>N</w:t>
            </w:r>
            <w:r w:rsidRPr="00B53F77">
              <w:rPr>
                <w:spacing w:val="-8"/>
                <w:sz w:val="24"/>
                <w:szCs w:val="24"/>
                <w:lang w:eastAsia="ar-SA"/>
              </w:rPr>
              <w:t>07), в том числе в сочетаниии с хронической почечной недостаточностью (</w:t>
            </w:r>
            <w:r w:rsidRPr="00B53F77">
              <w:rPr>
                <w:spacing w:val="-8"/>
                <w:sz w:val="24"/>
                <w:szCs w:val="24"/>
                <w:lang w:val="en-US" w:eastAsia="ar-SA"/>
              </w:rPr>
              <w:t>N</w:t>
            </w:r>
            <w:r w:rsidRPr="00B53F77">
              <w:rPr>
                <w:spacing w:val="-8"/>
                <w:sz w:val="24"/>
                <w:szCs w:val="24"/>
                <w:lang w:eastAsia="ar-SA"/>
              </w:rPr>
              <w:t>18) и/или АГ (</w:t>
            </w:r>
            <w:r w:rsidRPr="00B53F77">
              <w:rPr>
                <w:spacing w:val="-8"/>
                <w:sz w:val="24"/>
                <w:szCs w:val="24"/>
                <w:lang w:val="en-US" w:eastAsia="ar-SA"/>
              </w:rPr>
              <w:t>I</w:t>
            </w:r>
            <w:r w:rsidRPr="00B53F77">
              <w:rPr>
                <w:spacing w:val="-8"/>
                <w:sz w:val="24"/>
                <w:szCs w:val="24"/>
                <w:lang w:eastAsia="ar-SA"/>
              </w:rPr>
              <w:t>10–</w:t>
            </w:r>
            <w:r w:rsidRPr="00B53F77">
              <w:rPr>
                <w:spacing w:val="-8"/>
                <w:sz w:val="24"/>
                <w:szCs w:val="24"/>
                <w:lang w:val="en-US" w:eastAsia="ar-SA"/>
              </w:rPr>
              <w:t>I</w:t>
            </w:r>
            <w:r w:rsidRPr="00B53F77">
              <w:rPr>
                <w:spacing w:val="-8"/>
                <w:sz w:val="24"/>
                <w:szCs w:val="24"/>
                <w:lang w:eastAsia="ar-SA"/>
              </w:rPr>
              <w:t>13)</w:t>
            </w:r>
          </w:p>
        </w:tc>
        <w:tc>
          <w:tcPr>
            <w:tcW w:w="1275" w:type="dxa"/>
            <w:tcBorders>
              <w:top w:val="single" w:sz="4" w:space="0" w:color="000000"/>
              <w:left w:val="single" w:sz="4" w:space="0" w:color="000000"/>
              <w:bottom w:val="single" w:sz="4" w:space="0" w:color="000000"/>
            </w:tcBorders>
            <w:tcMar>
              <w:left w:w="28" w:type="dxa"/>
              <w:right w:w="28" w:type="dxa"/>
            </w:tcMar>
            <w:vAlign w:val="center"/>
          </w:tcPr>
          <w:p w:rsidR="00286780" w:rsidRPr="00B53F77" w:rsidRDefault="00286780" w:rsidP="00124D89">
            <w:pPr>
              <w:snapToGrid w:val="0"/>
              <w:jc w:val="center"/>
              <w:rPr>
                <w:spacing w:val="-8"/>
                <w:sz w:val="24"/>
                <w:szCs w:val="24"/>
                <w:lang w:eastAsia="ar-SA"/>
              </w:rPr>
            </w:pPr>
            <w:r w:rsidRPr="00B53F77">
              <w:rPr>
                <w:spacing w:val="-8"/>
                <w:sz w:val="24"/>
                <w:szCs w:val="24"/>
                <w:lang w:eastAsia="ar-SA"/>
              </w:rPr>
              <w:t>2</w:t>
            </w:r>
          </w:p>
        </w:tc>
        <w:tc>
          <w:tcPr>
            <w:tcW w:w="851" w:type="dxa"/>
            <w:tcBorders>
              <w:top w:val="single" w:sz="4" w:space="0" w:color="000000"/>
              <w:left w:val="single" w:sz="4" w:space="0" w:color="000000"/>
              <w:bottom w:val="single" w:sz="4" w:space="0" w:color="000000"/>
            </w:tcBorders>
            <w:tcMar>
              <w:left w:w="28" w:type="dxa"/>
              <w:right w:w="28" w:type="dxa"/>
            </w:tcMar>
            <w:vAlign w:val="center"/>
          </w:tcPr>
          <w:p w:rsidR="00286780" w:rsidRPr="00B53F77" w:rsidRDefault="00286780" w:rsidP="00124D89">
            <w:pPr>
              <w:snapToGrid w:val="0"/>
              <w:jc w:val="center"/>
              <w:rPr>
                <w:spacing w:val="-8"/>
                <w:sz w:val="24"/>
                <w:szCs w:val="24"/>
                <w:lang w:eastAsia="ar-SA"/>
              </w:rPr>
            </w:pPr>
            <w:r w:rsidRPr="00B53F77">
              <w:rPr>
                <w:spacing w:val="-8"/>
                <w:sz w:val="24"/>
                <w:szCs w:val="24"/>
                <w:lang w:eastAsia="ar-SA"/>
              </w:rPr>
              <w:t>7,1</w:t>
            </w:r>
          </w:p>
        </w:tc>
        <w:tc>
          <w:tcPr>
            <w:tcW w:w="22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B53F77" w:rsidRDefault="00286780" w:rsidP="00124D89">
            <w:pPr>
              <w:snapToGrid w:val="0"/>
              <w:jc w:val="center"/>
              <w:rPr>
                <w:spacing w:val="-8"/>
                <w:sz w:val="24"/>
                <w:szCs w:val="24"/>
                <w:lang w:eastAsia="ar-SA"/>
              </w:rPr>
            </w:pPr>
            <w:r w:rsidRPr="00B53F77">
              <w:rPr>
                <w:spacing w:val="-8"/>
                <w:sz w:val="24"/>
                <w:szCs w:val="24"/>
                <w:lang w:eastAsia="ar-SA"/>
              </w:rPr>
              <w:t>2,0</w:t>
            </w:r>
          </w:p>
        </w:tc>
      </w:tr>
      <w:tr w:rsidR="00286780" w:rsidRPr="00B53F77" w:rsidTr="00B53F77">
        <w:trPr>
          <w:trHeight w:val="454"/>
        </w:trPr>
        <w:tc>
          <w:tcPr>
            <w:tcW w:w="5557" w:type="dxa"/>
            <w:tcBorders>
              <w:top w:val="single" w:sz="4" w:space="0" w:color="000000"/>
              <w:left w:val="single" w:sz="4" w:space="0" w:color="000000"/>
              <w:bottom w:val="single" w:sz="4" w:space="0" w:color="000000"/>
            </w:tcBorders>
            <w:tcMar>
              <w:left w:w="28" w:type="dxa"/>
              <w:right w:w="28" w:type="dxa"/>
            </w:tcMar>
            <w:vAlign w:val="center"/>
          </w:tcPr>
          <w:p w:rsidR="00286780" w:rsidRPr="00B53F77" w:rsidRDefault="00286780" w:rsidP="00124D89">
            <w:pPr>
              <w:snapToGrid w:val="0"/>
              <w:jc w:val="both"/>
              <w:rPr>
                <w:spacing w:val="-8"/>
                <w:sz w:val="24"/>
                <w:szCs w:val="24"/>
                <w:lang w:eastAsia="ar-SA"/>
              </w:rPr>
            </w:pPr>
            <w:r w:rsidRPr="00B53F77">
              <w:rPr>
                <w:spacing w:val="-8"/>
                <w:sz w:val="24"/>
                <w:szCs w:val="24"/>
                <w:lang w:eastAsia="ar-SA"/>
              </w:rPr>
              <w:t>Всего</w:t>
            </w:r>
          </w:p>
        </w:tc>
        <w:tc>
          <w:tcPr>
            <w:tcW w:w="1275" w:type="dxa"/>
            <w:tcBorders>
              <w:top w:val="single" w:sz="4" w:space="0" w:color="000000"/>
              <w:left w:val="single" w:sz="4" w:space="0" w:color="000000"/>
              <w:bottom w:val="single" w:sz="4" w:space="0" w:color="000000"/>
            </w:tcBorders>
            <w:tcMar>
              <w:left w:w="28" w:type="dxa"/>
              <w:right w:w="28" w:type="dxa"/>
            </w:tcMar>
            <w:vAlign w:val="center"/>
          </w:tcPr>
          <w:p w:rsidR="00286780" w:rsidRPr="00B53F77" w:rsidRDefault="00286780" w:rsidP="00124D89">
            <w:pPr>
              <w:snapToGrid w:val="0"/>
              <w:jc w:val="center"/>
              <w:rPr>
                <w:spacing w:val="-8"/>
                <w:sz w:val="24"/>
                <w:szCs w:val="24"/>
                <w:lang w:eastAsia="ar-SA"/>
              </w:rPr>
            </w:pPr>
            <w:r w:rsidRPr="00B53F77">
              <w:rPr>
                <w:spacing w:val="-8"/>
                <w:sz w:val="24"/>
                <w:szCs w:val="24"/>
                <w:lang w:eastAsia="ar-SA"/>
              </w:rPr>
              <w:t>28</w:t>
            </w:r>
          </w:p>
        </w:tc>
        <w:tc>
          <w:tcPr>
            <w:tcW w:w="851" w:type="dxa"/>
            <w:tcBorders>
              <w:top w:val="single" w:sz="4" w:space="0" w:color="000000"/>
              <w:left w:val="single" w:sz="4" w:space="0" w:color="000000"/>
              <w:bottom w:val="single" w:sz="4" w:space="0" w:color="000000"/>
            </w:tcBorders>
            <w:tcMar>
              <w:left w:w="28" w:type="dxa"/>
              <w:right w:w="28" w:type="dxa"/>
            </w:tcMar>
            <w:vAlign w:val="center"/>
          </w:tcPr>
          <w:p w:rsidR="00286780" w:rsidRPr="00B53F77" w:rsidRDefault="00286780" w:rsidP="00124D89">
            <w:pPr>
              <w:snapToGrid w:val="0"/>
              <w:jc w:val="center"/>
              <w:rPr>
                <w:spacing w:val="-8"/>
                <w:sz w:val="24"/>
                <w:szCs w:val="24"/>
                <w:lang w:eastAsia="ar-SA"/>
              </w:rPr>
            </w:pPr>
            <w:r w:rsidRPr="00B53F77">
              <w:rPr>
                <w:spacing w:val="-8"/>
                <w:sz w:val="24"/>
                <w:szCs w:val="24"/>
                <w:lang w:eastAsia="ar-SA"/>
              </w:rPr>
              <w:t>100</w:t>
            </w:r>
          </w:p>
        </w:tc>
        <w:tc>
          <w:tcPr>
            <w:tcW w:w="22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B53F77" w:rsidRDefault="00286780" w:rsidP="00124D89">
            <w:pPr>
              <w:snapToGrid w:val="0"/>
              <w:jc w:val="center"/>
              <w:rPr>
                <w:spacing w:val="-8"/>
                <w:sz w:val="24"/>
                <w:szCs w:val="24"/>
                <w:lang w:eastAsia="ar-SA"/>
              </w:rPr>
            </w:pPr>
            <w:r w:rsidRPr="00B53F77">
              <w:rPr>
                <w:spacing w:val="-8"/>
                <w:sz w:val="24"/>
                <w:szCs w:val="24"/>
                <w:lang w:eastAsia="ar-SA"/>
              </w:rPr>
              <w:t>–</w:t>
            </w:r>
          </w:p>
        </w:tc>
      </w:tr>
      <w:tr w:rsidR="00286780" w:rsidRPr="00B53F77" w:rsidTr="00B53F77">
        <w:trPr>
          <w:trHeight w:val="454"/>
        </w:trPr>
        <w:tc>
          <w:tcPr>
            <w:tcW w:w="9923" w:type="dxa"/>
            <w:gridSpan w:val="4"/>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B53F77" w:rsidRDefault="00286780" w:rsidP="00124D89">
            <w:pPr>
              <w:snapToGrid w:val="0"/>
              <w:jc w:val="both"/>
              <w:rPr>
                <w:spacing w:val="-8"/>
                <w:sz w:val="24"/>
                <w:szCs w:val="24"/>
                <w:lang w:eastAsia="ar-SA"/>
              </w:rPr>
            </w:pPr>
            <w:r w:rsidRPr="00B53F77">
              <w:rPr>
                <w:rFonts w:cs="Calibri"/>
                <w:i/>
                <w:spacing w:val="-8"/>
                <w:sz w:val="24"/>
                <w:szCs w:val="24"/>
                <w:lang w:eastAsia="ar-SA"/>
              </w:rPr>
              <w:t>Примечание</w:t>
            </w:r>
            <w:r w:rsidRPr="00B53F77">
              <w:rPr>
                <w:rFonts w:cs="Calibri"/>
                <w:spacing w:val="-8"/>
                <w:sz w:val="24"/>
                <w:szCs w:val="24"/>
                <w:lang w:eastAsia="ar-SA"/>
              </w:rPr>
              <w:t>. АГ – артериальная гипертония; ИБС – ишемическая болезнь сердца; ХОБЛ – хроническая обструктивная болезнь легких; индекс полиморбидности Л.Б. Лазебника – отношение количества нозологических форм, выявленных в когорте исследуемых пациентов, к общему количеству пациентов в когорте</w:t>
            </w:r>
          </w:p>
        </w:tc>
      </w:tr>
    </w:tbl>
    <w:p w:rsidR="00286780" w:rsidRPr="00B53F77" w:rsidRDefault="00286780" w:rsidP="00124D89">
      <w:pPr>
        <w:jc w:val="both"/>
        <w:rPr>
          <w:rFonts w:cs="Calibri"/>
          <w:spacing w:val="-8"/>
          <w:sz w:val="24"/>
          <w:szCs w:val="24"/>
          <w:lang w:eastAsia="ar-SA"/>
        </w:rPr>
      </w:pP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Чаще всего у пациентов с одонтогенным сепсисом диагностировано вирусное или алкогольное поражение печени, хронический алкоголизм (39,3%), сахарный диабет 2-го типа в полиморбидном сочетании с патологией сердечно-сосудистой системы, ожирением (25%), реже наблюдаются хронические поли</w:t>
      </w:r>
      <w:r w:rsidRPr="00124D89">
        <w:rPr>
          <w:rFonts w:cs="Calibri"/>
          <w:sz w:val="28"/>
          <w:szCs w:val="28"/>
          <w:lang w:eastAsia="ar-SA"/>
        </w:rPr>
        <w:lastRenderedPageBreak/>
        <w:t>морбидные заболевания сердечно-сосудистой и дыхательной систем (14,3%). Заболевания почек, сопровождающиеся почечной недостаточностью, диагностированы в единичных случаях (7,1%). Средние знач</w:t>
      </w:r>
      <w:r>
        <w:rPr>
          <w:rFonts w:cs="Calibri"/>
          <w:sz w:val="28"/>
          <w:szCs w:val="28"/>
          <w:lang w:eastAsia="ar-SA"/>
        </w:rPr>
        <w:t>ения индекса полиморбидности Л.</w:t>
      </w:r>
      <w:r w:rsidRPr="00124D89">
        <w:rPr>
          <w:rFonts w:cs="Calibri"/>
          <w:sz w:val="28"/>
          <w:szCs w:val="28"/>
          <w:lang w:eastAsia="ar-SA"/>
        </w:rPr>
        <w:t>Б. Лазебника изменяются от 3,4 у пациентов с сахарным диабетом до 3,0 у больных с поражением мочевыделительной системы.</w:t>
      </w:r>
    </w:p>
    <w:p w:rsidR="00286780" w:rsidRPr="00D445CD" w:rsidRDefault="00286780" w:rsidP="00124D89">
      <w:pPr>
        <w:spacing w:line="360" w:lineRule="auto"/>
        <w:ind w:firstLine="709"/>
        <w:jc w:val="both"/>
        <w:rPr>
          <w:rFonts w:cs="Calibri"/>
          <w:spacing w:val="-4"/>
          <w:sz w:val="28"/>
          <w:szCs w:val="28"/>
          <w:lang w:eastAsia="ar-SA"/>
        </w:rPr>
      </w:pPr>
      <w:r w:rsidRPr="00D445CD">
        <w:rPr>
          <w:rFonts w:cs="Calibri"/>
          <w:spacing w:val="-4"/>
          <w:sz w:val="28"/>
          <w:szCs w:val="28"/>
          <w:lang w:eastAsia="ar-SA"/>
        </w:rPr>
        <w:t xml:space="preserve">По сравнению с аналогичными данными у пациентов с МФОИ, одонтогенный сепсис значительно чаще развивается на фоне вирусного и/или алкогольного поражения печени, а моносистемная сердечно-сосудистая патология наблюдается существенно реже </w:t>
      </w:r>
      <w:r w:rsidRPr="00D445CD">
        <w:rPr>
          <w:spacing w:val="-4"/>
          <w:sz w:val="28"/>
          <w:szCs w:val="28"/>
          <w:lang w:eastAsia="ar-SA"/>
        </w:rPr>
        <w:t>(</w:t>
      </w:r>
      <w:r w:rsidRPr="00D445CD">
        <w:rPr>
          <w:spacing w:val="-4"/>
          <w:sz w:val="28"/>
          <w:szCs w:val="28"/>
          <w:lang w:val="en-US" w:eastAsia="ar-SA"/>
        </w:rPr>
        <w:t>p</w:t>
      </w:r>
      <w:r>
        <w:rPr>
          <w:spacing w:val="-4"/>
          <w:sz w:val="28"/>
          <w:szCs w:val="28"/>
          <w:lang w:eastAsia="ar-SA"/>
        </w:rPr>
        <w:t>&lt;</w:t>
      </w:r>
      <w:r w:rsidRPr="00D445CD">
        <w:rPr>
          <w:spacing w:val="-4"/>
          <w:sz w:val="28"/>
          <w:szCs w:val="28"/>
          <w:lang w:eastAsia="ar-SA"/>
        </w:rPr>
        <w:t>0,05)</w:t>
      </w:r>
      <w:r w:rsidRPr="00D445CD">
        <w:rPr>
          <w:rFonts w:cs="Calibri"/>
          <w:spacing w:val="-4"/>
          <w:sz w:val="28"/>
          <w:szCs w:val="28"/>
          <w:lang w:eastAsia="ar-SA"/>
        </w:rPr>
        <w:t>. Сахарный диабет, полиморбидные болезни органов дыхания и почек у больных с сепсисом и МФОИ встречаются одинаково часто (</w:t>
      </w:r>
      <w:r w:rsidRPr="00D445CD">
        <w:rPr>
          <w:rFonts w:cs="Calibri"/>
          <w:spacing w:val="-4"/>
          <w:sz w:val="28"/>
          <w:szCs w:val="28"/>
          <w:lang w:val="en-US" w:eastAsia="ar-SA"/>
        </w:rPr>
        <w:t>p</w:t>
      </w:r>
      <w:r>
        <w:rPr>
          <w:rFonts w:cs="Calibri"/>
          <w:spacing w:val="-4"/>
          <w:sz w:val="28"/>
          <w:szCs w:val="28"/>
          <w:lang w:eastAsia="ar-SA"/>
        </w:rPr>
        <w:t>&gt;</w:t>
      </w:r>
      <w:r w:rsidRPr="00D445CD">
        <w:rPr>
          <w:rFonts w:cs="Calibri"/>
          <w:spacing w:val="-4"/>
          <w:sz w:val="28"/>
          <w:szCs w:val="28"/>
          <w:lang w:eastAsia="ar-SA"/>
        </w:rPr>
        <w:t>0,05).</w:t>
      </w:r>
    </w:p>
    <w:p w:rsidR="00286780" w:rsidRDefault="00286780" w:rsidP="002329D6">
      <w:pPr>
        <w:spacing w:line="360" w:lineRule="auto"/>
        <w:ind w:firstLine="709"/>
        <w:jc w:val="both"/>
        <w:rPr>
          <w:rFonts w:cs="Calibri"/>
          <w:sz w:val="28"/>
          <w:szCs w:val="28"/>
          <w:lang w:eastAsia="ar-SA"/>
        </w:rPr>
      </w:pPr>
      <w:r w:rsidRPr="00124D89">
        <w:rPr>
          <w:rFonts w:cs="Calibri"/>
          <w:sz w:val="28"/>
          <w:szCs w:val="28"/>
          <w:lang w:eastAsia="ar-SA"/>
        </w:rPr>
        <w:t xml:space="preserve">В целом, в исследуемой </w:t>
      </w:r>
      <w:r w:rsidR="00A423F7">
        <w:rPr>
          <w:rFonts w:cs="Calibri"/>
          <w:sz w:val="28"/>
          <w:szCs w:val="28"/>
          <w:lang w:eastAsia="ar-SA"/>
        </w:rPr>
        <w:t>под</w:t>
      </w:r>
      <w:r w:rsidRPr="00124D89">
        <w:rPr>
          <w:rFonts w:cs="Calibri"/>
          <w:sz w:val="28"/>
          <w:szCs w:val="28"/>
          <w:lang w:eastAsia="ar-SA"/>
        </w:rPr>
        <w:t>группе у 28 пациентов количество эпизодов диагностики различных форм хронической патологии составило 75. Диагноз «артериальная гипертония» установлен в 13 эпизодах,ИБС – шесть,сахарный диабет – восемь,ХОБЛ – один, бронхиальная астма – один,пневмосклероз – один,ожирение – три,</w:t>
      </w:r>
      <w:r w:rsidRPr="00124D89">
        <w:rPr>
          <w:sz w:val="28"/>
          <w:szCs w:val="28"/>
          <w:lang w:eastAsia="ar-SA"/>
        </w:rPr>
        <w:t xml:space="preserve">гепатит – семь,цирроз печени – шесть,хронический гломерулонефрит – </w:t>
      </w:r>
      <w:r w:rsidRPr="00124D89">
        <w:rPr>
          <w:rFonts w:cs="Calibri"/>
          <w:sz w:val="28"/>
          <w:szCs w:val="28"/>
          <w:lang w:eastAsia="ar-SA"/>
        </w:rPr>
        <w:t>один</w:t>
      </w:r>
      <w:r w:rsidRPr="00124D89">
        <w:rPr>
          <w:sz w:val="28"/>
          <w:szCs w:val="28"/>
          <w:lang w:eastAsia="ar-SA"/>
        </w:rPr>
        <w:t xml:space="preserve">, кистозная болезнь почек – </w:t>
      </w:r>
      <w:r w:rsidRPr="00124D89">
        <w:rPr>
          <w:rFonts w:cs="Calibri"/>
          <w:sz w:val="28"/>
          <w:szCs w:val="28"/>
          <w:lang w:eastAsia="ar-SA"/>
        </w:rPr>
        <w:t>один</w:t>
      </w:r>
      <w:r w:rsidRPr="00124D89">
        <w:rPr>
          <w:sz w:val="28"/>
          <w:szCs w:val="28"/>
          <w:lang w:eastAsia="ar-SA"/>
        </w:rPr>
        <w:t xml:space="preserve">,хроническая почечная недостаточность – три, туберкулез легких – три, эмфизема легких – </w:t>
      </w:r>
      <w:r w:rsidRPr="00124D89">
        <w:rPr>
          <w:rFonts w:cs="Calibri"/>
          <w:sz w:val="28"/>
          <w:szCs w:val="28"/>
          <w:lang w:eastAsia="ar-SA"/>
        </w:rPr>
        <w:t>один</w:t>
      </w:r>
      <w:r w:rsidRPr="00124D89">
        <w:rPr>
          <w:sz w:val="28"/>
          <w:szCs w:val="28"/>
          <w:lang w:eastAsia="ar-SA"/>
        </w:rPr>
        <w:t>, синдром алкогольной зависимости – шесть, хронический бронхит – пять, хронический холецистит – один, хронический гастрит – два, эзофагит – один, желчнокаменная болезнь – один, хронический пиелонефрит – один, болезнь Бехтерева – один, заболевания ЦНС – два</w:t>
      </w:r>
      <w:r w:rsidRPr="00124D89">
        <w:rPr>
          <w:rFonts w:cs="Calibri"/>
          <w:sz w:val="28"/>
          <w:szCs w:val="28"/>
          <w:lang w:eastAsia="ar-SA"/>
        </w:rPr>
        <w:t>.В целом, терапевтическая полиморбидность у пациентов с одонтогенным сепсисом легкая (2–4 заболевания у одного человека), полиорганная полисистемная (из разных органов нескольких систем), или полиорганная моносистемная (в пределах одной системы)</w:t>
      </w:r>
      <w:r>
        <w:rPr>
          <w:rFonts w:cs="Calibri"/>
          <w:sz w:val="28"/>
          <w:szCs w:val="28"/>
          <w:lang w:eastAsia="ar-SA"/>
        </w:rPr>
        <w:t>, приобретенная, постнатальная.</w:t>
      </w:r>
    </w:p>
    <w:p w:rsidR="00286780" w:rsidRDefault="00286780" w:rsidP="002329D6">
      <w:pPr>
        <w:spacing w:line="360" w:lineRule="auto"/>
        <w:ind w:firstLine="709"/>
        <w:jc w:val="both"/>
        <w:rPr>
          <w:rFonts w:cs="Calibri"/>
          <w:sz w:val="28"/>
          <w:szCs w:val="28"/>
          <w:lang w:eastAsia="ar-SA"/>
        </w:rPr>
      </w:pPr>
      <w:r w:rsidRPr="00124D89">
        <w:rPr>
          <w:rFonts w:cs="Calibri"/>
          <w:sz w:val="28"/>
          <w:szCs w:val="28"/>
          <w:lang w:eastAsia="ar-SA"/>
        </w:rPr>
        <w:t>В процессе развития одонтогенного сепсиса немаловажное значение имеют вирусные или токсические заболевания печени (гепатит, цирроз) в сочетании с синдромом зависимости от алкоголя (39,3%).</w:t>
      </w:r>
      <w:r>
        <w:rPr>
          <w:rFonts w:cs="Calibri"/>
          <w:sz w:val="28"/>
          <w:szCs w:val="28"/>
          <w:lang w:eastAsia="ar-SA"/>
        </w:rPr>
        <w:t xml:space="preserve"> </w:t>
      </w:r>
      <w:r w:rsidRPr="00D442CA">
        <w:rPr>
          <w:rFonts w:cs="Calibri"/>
          <w:sz w:val="28"/>
          <w:szCs w:val="28"/>
          <w:lang w:eastAsia="ar-SA"/>
        </w:rPr>
        <w:t>Обострение (декомпенсация, тяжелое течение) фоновой полиорганной патологии наблюдалось в 16 случаях (57,14%)</w:t>
      </w:r>
      <w:r>
        <w:rPr>
          <w:rFonts w:cs="Calibri"/>
          <w:sz w:val="28"/>
          <w:szCs w:val="28"/>
          <w:lang w:eastAsia="ar-SA"/>
        </w:rPr>
        <w:t xml:space="preserve">, что составляет статистически значимое различие с группой сравнения (7,7%; </w:t>
      </w:r>
      <w:r>
        <w:rPr>
          <w:rFonts w:cs="Calibri"/>
          <w:sz w:val="28"/>
          <w:szCs w:val="28"/>
          <w:lang w:val="en-US" w:eastAsia="ar-SA"/>
        </w:rPr>
        <w:t>p</w:t>
      </w:r>
      <w:r>
        <w:rPr>
          <w:sz w:val="28"/>
          <w:szCs w:val="28"/>
          <w:lang w:eastAsia="ar-SA"/>
        </w:rPr>
        <w:t>&lt;</w:t>
      </w:r>
      <w:r>
        <w:rPr>
          <w:rFonts w:cs="Calibri"/>
          <w:sz w:val="28"/>
          <w:szCs w:val="28"/>
          <w:lang w:eastAsia="ar-SA"/>
        </w:rPr>
        <w:t>0</w:t>
      </w:r>
      <w:r w:rsidRPr="003F32AB">
        <w:rPr>
          <w:rFonts w:cs="Calibri"/>
          <w:sz w:val="28"/>
          <w:szCs w:val="28"/>
          <w:lang w:eastAsia="ar-SA"/>
        </w:rPr>
        <w:t>,05</w:t>
      </w:r>
      <w:r>
        <w:rPr>
          <w:rFonts w:cs="Calibri"/>
          <w:sz w:val="28"/>
          <w:szCs w:val="28"/>
          <w:lang w:eastAsia="ar-SA"/>
        </w:rPr>
        <w:t>), присутствует синдром взаимного отягощения.</w:t>
      </w: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lastRenderedPageBreak/>
        <w:t>Рассмотрим влияние различных форм полиорганной полиморбидной ХП внутренних органов на развитие гнойно-воспалительных осложнений пациентов с ОС в сравнении с группой п</w:t>
      </w:r>
      <w:r>
        <w:rPr>
          <w:rFonts w:cs="Calibri"/>
          <w:sz w:val="28"/>
          <w:szCs w:val="28"/>
          <w:lang w:eastAsia="ar-SA"/>
        </w:rPr>
        <w:t>ациентов с ОС без ХП (Таблица 48</w:t>
      </w:r>
      <w:r w:rsidRPr="00124D89">
        <w:rPr>
          <w:rFonts w:cs="Calibri"/>
          <w:sz w:val="28"/>
          <w:szCs w:val="28"/>
          <w:lang w:eastAsia="ar-SA"/>
        </w:rPr>
        <w:t>).</w:t>
      </w:r>
    </w:p>
    <w:p w:rsidR="00286780" w:rsidRPr="00124D89" w:rsidRDefault="00286780" w:rsidP="00124D89">
      <w:pPr>
        <w:rPr>
          <w:sz w:val="28"/>
          <w:szCs w:val="28"/>
        </w:rPr>
      </w:pPr>
    </w:p>
    <w:p w:rsidR="00286780" w:rsidRPr="00E054CC" w:rsidRDefault="00286780" w:rsidP="00124D89">
      <w:pPr>
        <w:spacing w:after="120"/>
        <w:jc w:val="both"/>
        <w:rPr>
          <w:spacing w:val="-8"/>
          <w:sz w:val="28"/>
          <w:szCs w:val="28"/>
        </w:rPr>
      </w:pPr>
      <w:r w:rsidRPr="00124D89">
        <w:rPr>
          <w:b/>
          <w:sz w:val="28"/>
          <w:szCs w:val="28"/>
        </w:rPr>
        <w:t>Таблица 4</w:t>
      </w:r>
      <w:r>
        <w:rPr>
          <w:b/>
          <w:sz w:val="28"/>
          <w:szCs w:val="28"/>
        </w:rPr>
        <w:t>8</w:t>
      </w:r>
      <w:r w:rsidRPr="00124D89">
        <w:rPr>
          <w:sz w:val="28"/>
          <w:szCs w:val="28"/>
        </w:rPr>
        <w:t xml:space="preserve"> – Оценка влияния различных нозологических форм полиморбидной ХП на развитие гнойно-воспалительных осложнений у пациентов с ОС (сравнение с </w:t>
      </w:r>
      <w:r w:rsidR="00A423F7">
        <w:rPr>
          <w:sz w:val="28"/>
          <w:szCs w:val="28"/>
        </w:rPr>
        <w:t>под</w:t>
      </w:r>
      <w:r w:rsidRPr="00124D89">
        <w:rPr>
          <w:sz w:val="28"/>
          <w:szCs w:val="28"/>
        </w:rPr>
        <w:t>группой пациентов без ХП)</w:t>
      </w:r>
    </w:p>
    <w:tbl>
      <w:tblPr>
        <w:tblW w:w="9923" w:type="dxa"/>
        <w:tblLayout w:type="fixed"/>
        <w:tblLook w:val="0000" w:firstRow="0" w:lastRow="0" w:firstColumn="0" w:lastColumn="0" w:noHBand="0" w:noVBand="0"/>
      </w:tblPr>
      <w:tblGrid>
        <w:gridCol w:w="5698"/>
        <w:gridCol w:w="1276"/>
        <w:gridCol w:w="851"/>
        <w:gridCol w:w="1275"/>
        <w:gridCol w:w="823"/>
      </w:tblGrid>
      <w:tr w:rsidR="00286780" w:rsidRPr="00E054CC" w:rsidTr="00E054CC">
        <w:trPr>
          <w:trHeight w:val="227"/>
        </w:trPr>
        <w:tc>
          <w:tcPr>
            <w:tcW w:w="5698" w:type="dxa"/>
            <w:vMerge w:val="restart"/>
            <w:tcBorders>
              <w:top w:val="single" w:sz="4" w:space="0" w:color="000000"/>
              <w:left w:val="single" w:sz="4" w:space="0" w:color="000000"/>
            </w:tcBorders>
            <w:tcMar>
              <w:left w:w="28" w:type="dxa"/>
              <w:right w:w="28" w:type="dxa"/>
            </w:tcMar>
            <w:vAlign w:val="center"/>
          </w:tcPr>
          <w:p w:rsidR="00286780" w:rsidRPr="00E054CC" w:rsidRDefault="00286780" w:rsidP="00124D89">
            <w:pPr>
              <w:snapToGrid w:val="0"/>
              <w:jc w:val="center"/>
              <w:rPr>
                <w:rFonts w:cs="Calibri"/>
                <w:i/>
                <w:spacing w:val="-8"/>
                <w:sz w:val="24"/>
                <w:szCs w:val="24"/>
                <w:lang w:eastAsia="ar-SA"/>
              </w:rPr>
            </w:pPr>
            <w:r w:rsidRPr="00E054CC">
              <w:rPr>
                <w:rFonts w:cs="Calibri"/>
                <w:i/>
                <w:spacing w:val="-8"/>
                <w:sz w:val="24"/>
                <w:szCs w:val="24"/>
                <w:lang w:eastAsia="ar-SA"/>
              </w:rPr>
              <w:t xml:space="preserve">Полиорганная полиморбидная патология, </w:t>
            </w:r>
            <w:r w:rsidRPr="00E054CC">
              <w:rPr>
                <w:rFonts w:cs="Calibri"/>
                <w:i/>
                <w:spacing w:val="-8"/>
                <w:sz w:val="24"/>
                <w:szCs w:val="24"/>
                <w:lang w:eastAsia="ar-SA"/>
              </w:rPr>
              <w:br/>
              <w:t>кол-во больных</w:t>
            </w:r>
          </w:p>
        </w:tc>
        <w:tc>
          <w:tcPr>
            <w:tcW w:w="4225" w:type="dxa"/>
            <w:gridSpan w:val="4"/>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E054CC" w:rsidRDefault="00286780" w:rsidP="00124D89">
            <w:pPr>
              <w:snapToGrid w:val="0"/>
              <w:jc w:val="center"/>
              <w:rPr>
                <w:rFonts w:cs="Calibri"/>
                <w:i/>
                <w:spacing w:val="-8"/>
                <w:sz w:val="24"/>
                <w:szCs w:val="24"/>
                <w:lang w:eastAsia="ar-SA"/>
              </w:rPr>
            </w:pPr>
            <w:r w:rsidRPr="00E054CC">
              <w:rPr>
                <w:rFonts w:cs="Calibri"/>
                <w:i/>
                <w:spacing w:val="-8"/>
                <w:sz w:val="24"/>
                <w:szCs w:val="24"/>
                <w:lang w:eastAsia="ar-SA"/>
              </w:rPr>
              <w:t>Показатели</w:t>
            </w:r>
          </w:p>
        </w:tc>
      </w:tr>
      <w:tr w:rsidR="00286780" w:rsidRPr="00E054CC" w:rsidTr="00E054CC">
        <w:trPr>
          <w:trHeight w:val="227"/>
        </w:trPr>
        <w:tc>
          <w:tcPr>
            <w:tcW w:w="5698" w:type="dxa"/>
            <w:vMerge/>
            <w:tcBorders>
              <w:left w:val="single" w:sz="4" w:space="0" w:color="000000"/>
            </w:tcBorders>
            <w:tcMar>
              <w:left w:w="28" w:type="dxa"/>
              <w:right w:w="28" w:type="dxa"/>
            </w:tcMar>
            <w:vAlign w:val="center"/>
          </w:tcPr>
          <w:p w:rsidR="00286780" w:rsidRPr="00E054CC" w:rsidRDefault="00286780" w:rsidP="00124D89">
            <w:pPr>
              <w:snapToGrid w:val="0"/>
              <w:jc w:val="center"/>
              <w:rPr>
                <w:rFonts w:cs="Calibri"/>
                <w:spacing w:val="-8"/>
                <w:sz w:val="24"/>
                <w:szCs w:val="24"/>
                <w:lang w:eastAsia="ar-SA"/>
              </w:rPr>
            </w:pPr>
          </w:p>
        </w:tc>
        <w:tc>
          <w:tcPr>
            <w:tcW w:w="2127" w:type="dxa"/>
            <w:gridSpan w:val="2"/>
            <w:tcBorders>
              <w:top w:val="single" w:sz="4" w:space="0" w:color="000000"/>
              <w:left w:val="single" w:sz="4" w:space="0" w:color="000000"/>
              <w:bottom w:val="single" w:sz="4" w:space="0" w:color="000000"/>
            </w:tcBorders>
            <w:tcMar>
              <w:left w:w="28" w:type="dxa"/>
              <w:right w:w="28" w:type="dxa"/>
            </w:tcMar>
            <w:vAlign w:val="center"/>
          </w:tcPr>
          <w:p w:rsidR="00286780" w:rsidRPr="00E054CC" w:rsidRDefault="00286780" w:rsidP="00124D89">
            <w:pPr>
              <w:snapToGrid w:val="0"/>
              <w:jc w:val="center"/>
              <w:rPr>
                <w:rFonts w:cs="Calibri"/>
                <w:spacing w:val="-8"/>
                <w:sz w:val="24"/>
                <w:szCs w:val="24"/>
                <w:lang w:eastAsia="ar-SA"/>
              </w:rPr>
            </w:pPr>
            <w:r w:rsidRPr="00E054CC">
              <w:rPr>
                <w:rFonts w:cs="Calibri"/>
                <w:spacing w:val="-8"/>
                <w:sz w:val="24"/>
                <w:szCs w:val="24"/>
                <w:lang w:eastAsia="ar-SA"/>
              </w:rPr>
              <w:t>Осложнения**</w:t>
            </w:r>
          </w:p>
        </w:tc>
        <w:tc>
          <w:tcPr>
            <w:tcW w:w="2098"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E054CC" w:rsidRDefault="00286780" w:rsidP="00124D89">
            <w:pPr>
              <w:snapToGrid w:val="0"/>
              <w:jc w:val="center"/>
              <w:rPr>
                <w:rFonts w:cs="Calibri"/>
                <w:spacing w:val="-8"/>
                <w:sz w:val="24"/>
                <w:szCs w:val="24"/>
                <w:lang w:eastAsia="ar-SA"/>
              </w:rPr>
            </w:pPr>
            <w:r w:rsidRPr="00E054CC">
              <w:rPr>
                <w:rFonts w:cs="Calibri"/>
                <w:spacing w:val="-8"/>
                <w:sz w:val="24"/>
                <w:szCs w:val="24"/>
                <w:lang w:eastAsia="ar-SA"/>
              </w:rPr>
              <w:t>Летальность</w:t>
            </w:r>
          </w:p>
        </w:tc>
      </w:tr>
      <w:tr w:rsidR="00286780" w:rsidRPr="00E054CC" w:rsidTr="00E054CC">
        <w:trPr>
          <w:trHeight w:val="227"/>
        </w:trPr>
        <w:tc>
          <w:tcPr>
            <w:tcW w:w="5698" w:type="dxa"/>
            <w:vMerge/>
            <w:tcBorders>
              <w:left w:val="single" w:sz="4" w:space="0" w:color="000000"/>
            </w:tcBorders>
            <w:tcMar>
              <w:left w:w="28" w:type="dxa"/>
              <w:right w:w="28" w:type="dxa"/>
            </w:tcMar>
            <w:vAlign w:val="center"/>
          </w:tcPr>
          <w:p w:rsidR="00286780" w:rsidRPr="00E054CC" w:rsidRDefault="00286780" w:rsidP="00124D89">
            <w:pPr>
              <w:snapToGrid w:val="0"/>
              <w:jc w:val="center"/>
              <w:rPr>
                <w:rFonts w:cs="Calibri"/>
                <w:spacing w:val="-8"/>
                <w:sz w:val="24"/>
                <w:szCs w:val="24"/>
                <w:lang w:eastAsia="ar-SA"/>
              </w:rPr>
            </w:pPr>
          </w:p>
        </w:tc>
        <w:tc>
          <w:tcPr>
            <w:tcW w:w="1276" w:type="dxa"/>
            <w:tcBorders>
              <w:top w:val="single" w:sz="4" w:space="0" w:color="000000"/>
              <w:left w:val="single" w:sz="4" w:space="0" w:color="000000"/>
            </w:tcBorders>
            <w:tcMar>
              <w:left w:w="28" w:type="dxa"/>
              <w:right w:w="28" w:type="dxa"/>
            </w:tcMar>
            <w:vAlign w:val="center"/>
          </w:tcPr>
          <w:p w:rsidR="00286780" w:rsidRPr="00E054CC" w:rsidRDefault="00286780" w:rsidP="00124D89">
            <w:pPr>
              <w:snapToGrid w:val="0"/>
              <w:jc w:val="center"/>
              <w:rPr>
                <w:rFonts w:cs="Calibri"/>
                <w:spacing w:val="-8"/>
                <w:sz w:val="24"/>
                <w:szCs w:val="24"/>
                <w:lang w:eastAsia="ar-SA"/>
              </w:rPr>
            </w:pPr>
            <w:r w:rsidRPr="00E054CC">
              <w:rPr>
                <w:rFonts w:cs="Calibri"/>
                <w:spacing w:val="-8"/>
                <w:sz w:val="24"/>
                <w:szCs w:val="24"/>
                <w:lang w:eastAsia="ar-SA"/>
              </w:rPr>
              <w:t>Кол-во пациентов (%)</w:t>
            </w:r>
          </w:p>
        </w:tc>
        <w:tc>
          <w:tcPr>
            <w:tcW w:w="851" w:type="dxa"/>
            <w:tcBorders>
              <w:top w:val="single" w:sz="4" w:space="0" w:color="000000"/>
              <w:left w:val="single" w:sz="4" w:space="0" w:color="000000"/>
            </w:tcBorders>
            <w:tcMar>
              <w:left w:w="28" w:type="dxa"/>
              <w:right w:w="28" w:type="dxa"/>
            </w:tcMar>
            <w:vAlign w:val="center"/>
          </w:tcPr>
          <w:p w:rsidR="00286780" w:rsidRPr="00E054CC" w:rsidRDefault="00286780" w:rsidP="00124D89">
            <w:pPr>
              <w:snapToGrid w:val="0"/>
              <w:jc w:val="center"/>
              <w:rPr>
                <w:rFonts w:cs="Calibri"/>
                <w:spacing w:val="-8"/>
                <w:sz w:val="24"/>
                <w:szCs w:val="24"/>
                <w:lang w:eastAsia="ar-SA"/>
              </w:rPr>
            </w:pPr>
            <w:r w:rsidRPr="00E054CC">
              <w:rPr>
                <w:rFonts w:cs="Calibri"/>
                <w:spacing w:val="-8"/>
                <w:sz w:val="24"/>
                <w:szCs w:val="24"/>
                <w:lang w:eastAsia="ar-SA"/>
              </w:rPr>
              <w:t xml:space="preserve">Значение </w:t>
            </w:r>
            <w:r w:rsidRPr="00E054CC">
              <w:rPr>
                <w:rFonts w:cs="Calibri"/>
                <w:spacing w:val="-8"/>
                <w:sz w:val="24"/>
                <w:szCs w:val="24"/>
                <w:lang w:val="en-US" w:eastAsia="ar-SA"/>
              </w:rPr>
              <w:t>p</w:t>
            </w:r>
          </w:p>
        </w:tc>
        <w:tc>
          <w:tcPr>
            <w:tcW w:w="1275" w:type="dxa"/>
            <w:tcBorders>
              <w:top w:val="single" w:sz="4" w:space="0" w:color="000000"/>
              <w:left w:val="single" w:sz="4" w:space="0" w:color="000000"/>
            </w:tcBorders>
            <w:tcMar>
              <w:left w:w="28" w:type="dxa"/>
              <w:right w:w="28" w:type="dxa"/>
            </w:tcMar>
            <w:vAlign w:val="center"/>
          </w:tcPr>
          <w:p w:rsidR="00286780" w:rsidRPr="00E054CC" w:rsidRDefault="00286780" w:rsidP="00124D89">
            <w:pPr>
              <w:snapToGrid w:val="0"/>
              <w:jc w:val="center"/>
              <w:rPr>
                <w:rFonts w:cs="Calibri"/>
                <w:spacing w:val="-8"/>
                <w:sz w:val="24"/>
                <w:szCs w:val="24"/>
                <w:lang w:eastAsia="ar-SA"/>
              </w:rPr>
            </w:pPr>
            <w:r w:rsidRPr="00E054CC">
              <w:rPr>
                <w:rFonts w:cs="Calibri"/>
                <w:spacing w:val="-8"/>
                <w:sz w:val="24"/>
                <w:szCs w:val="24"/>
                <w:lang w:eastAsia="ar-SA"/>
              </w:rPr>
              <w:t>Кол-во пациентов (%)</w:t>
            </w:r>
          </w:p>
        </w:tc>
        <w:tc>
          <w:tcPr>
            <w:tcW w:w="823" w:type="dxa"/>
            <w:tcBorders>
              <w:top w:val="single" w:sz="4" w:space="0" w:color="000000"/>
              <w:left w:val="single" w:sz="4" w:space="0" w:color="000000"/>
              <w:right w:val="single" w:sz="4" w:space="0" w:color="000000"/>
            </w:tcBorders>
            <w:tcMar>
              <w:left w:w="28" w:type="dxa"/>
              <w:right w:w="28" w:type="dxa"/>
            </w:tcMar>
            <w:vAlign w:val="center"/>
          </w:tcPr>
          <w:p w:rsidR="00286780" w:rsidRPr="00E054CC" w:rsidRDefault="00286780" w:rsidP="00124D89">
            <w:pPr>
              <w:snapToGrid w:val="0"/>
              <w:jc w:val="center"/>
              <w:rPr>
                <w:rFonts w:cs="Calibri"/>
                <w:spacing w:val="-8"/>
                <w:sz w:val="24"/>
                <w:szCs w:val="24"/>
                <w:lang w:eastAsia="ar-SA"/>
              </w:rPr>
            </w:pPr>
            <w:r w:rsidRPr="00E054CC">
              <w:rPr>
                <w:rFonts w:cs="Calibri"/>
                <w:spacing w:val="-8"/>
                <w:sz w:val="24"/>
                <w:szCs w:val="24"/>
                <w:lang w:eastAsia="ar-SA"/>
              </w:rPr>
              <w:t xml:space="preserve">Значение </w:t>
            </w:r>
            <w:r w:rsidRPr="00E054CC">
              <w:rPr>
                <w:rFonts w:cs="Calibri"/>
                <w:spacing w:val="-8"/>
                <w:sz w:val="24"/>
                <w:szCs w:val="24"/>
                <w:lang w:val="en-US" w:eastAsia="ar-SA"/>
              </w:rPr>
              <w:t>p</w:t>
            </w:r>
          </w:p>
        </w:tc>
      </w:tr>
      <w:tr w:rsidR="00286780" w:rsidRPr="00E054CC" w:rsidTr="00E054CC">
        <w:trPr>
          <w:trHeight w:val="227"/>
        </w:trPr>
        <w:tc>
          <w:tcPr>
            <w:tcW w:w="5698" w:type="dxa"/>
            <w:tcBorders>
              <w:top w:val="single" w:sz="4" w:space="0" w:color="000000"/>
              <w:left w:val="single" w:sz="4" w:space="0" w:color="000000"/>
              <w:bottom w:val="single" w:sz="4" w:space="0" w:color="000000"/>
            </w:tcBorders>
            <w:tcMar>
              <w:left w:w="28" w:type="dxa"/>
              <w:right w:w="28" w:type="dxa"/>
            </w:tcMar>
          </w:tcPr>
          <w:p w:rsidR="00286780" w:rsidRPr="00E054CC" w:rsidRDefault="00286780" w:rsidP="00124D89">
            <w:pPr>
              <w:snapToGrid w:val="0"/>
              <w:jc w:val="both"/>
              <w:rPr>
                <w:spacing w:val="-8"/>
                <w:sz w:val="24"/>
                <w:szCs w:val="24"/>
                <w:lang w:eastAsia="ar-SA"/>
              </w:rPr>
            </w:pPr>
            <w:r w:rsidRPr="00E054CC">
              <w:rPr>
                <w:spacing w:val="-8"/>
                <w:sz w:val="24"/>
                <w:szCs w:val="24"/>
                <w:lang w:eastAsia="ar-SA"/>
              </w:rPr>
              <w:t>АГ (</w:t>
            </w:r>
            <w:r w:rsidRPr="00E054CC">
              <w:rPr>
                <w:spacing w:val="-8"/>
                <w:sz w:val="24"/>
                <w:szCs w:val="24"/>
                <w:lang w:val="en-US" w:eastAsia="ar-SA"/>
              </w:rPr>
              <w:t>I</w:t>
            </w:r>
            <w:r w:rsidRPr="00E054CC">
              <w:rPr>
                <w:spacing w:val="-8"/>
                <w:sz w:val="24"/>
                <w:szCs w:val="24"/>
                <w:lang w:eastAsia="ar-SA"/>
              </w:rPr>
              <w:t>10–</w:t>
            </w:r>
            <w:r w:rsidRPr="00E054CC">
              <w:rPr>
                <w:spacing w:val="-8"/>
                <w:sz w:val="24"/>
                <w:szCs w:val="24"/>
                <w:lang w:val="en-US" w:eastAsia="ar-SA"/>
              </w:rPr>
              <w:t>I</w:t>
            </w:r>
            <w:r w:rsidRPr="00E054CC">
              <w:rPr>
                <w:spacing w:val="-8"/>
                <w:sz w:val="24"/>
                <w:szCs w:val="24"/>
                <w:lang w:eastAsia="ar-SA"/>
              </w:rPr>
              <w:t>13) и/или ИБС (стабильная стенокардия напряжения, атеросклероз аорты, постинфарктный кардиосклероз, фибрилляция предсердий (</w:t>
            </w:r>
            <w:r w:rsidRPr="00E054CC">
              <w:rPr>
                <w:spacing w:val="-8"/>
                <w:sz w:val="24"/>
                <w:szCs w:val="24"/>
                <w:lang w:val="en-US" w:eastAsia="ar-SA"/>
              </w:rPr>
              <w:t>I</w:t>
            </w:r>
            <w:r w:rsidRPr="00E054CC">
              <w:rPr>
                <w:spacing w:val="-8"/>
                <w:sz w:val="24"/>
                <w:szCs w:val="24"/>
                <w:lang w:eastAsia="ar-SA"/>
              </w:rPr>
              <w:t xml:space="preserve">20, </w:t>
            </w:r>
            <w:r w:rsidRPr="00E054CC">
              <w:rPr>
                <w:spacing w:val="-8"/>
                <w:sz w:val="24"/>
                <w:szCs w:val="24"/>
                <w:lang w:val="en-US" w:eastAsia="ar-SA"/>
              </w:rPr>
              <w:t>I</w:t>
            </w:r>
            <w:r w:rsidRPr="00E054CC">
              <w:rPr>
                <w:spacing w:val="-8"/>
                <w:sz w:val="24"/>
                <w:szCs w:val="24"/>
                <w:lang w:eastAsia="ar-SA"/>
              </w:rPr>
              <w:t xml:space="preserve">25, </w:t>
            </w:r>
            <w:r w:rsidRPr="00E054CC">
              <w:rPr>
                <w:spacing w:val="-8"/>
                <w:sz w:val="24"/>
                <w:szCs w:val="24"/>
                <w:lang w:val="en-US" w:eastAsia="ar-SA"/>
              </w:rPr>
              <w:t>I</w:t>
            </w:r>
            <w:r w:rsidRPr="00E054CC">
              <w:rPr>
                <w:spacing w:val="-8"/>
                <w:sz w:val="24"/>
                <w:szCs w:val="24"/>
                <w:lang w:eastAsia="ar-SA"/>
              </w:rPr>
              <w:t xml:space="preserve">25.2, </w:t>
            </w:r>
            <w:r w:rsidRPr="00E054CC">
              <w:rPr>
                <w:spacing w:val="-8"/>
                <w:sz w:val="24"/>
                <w:szCs w:val="24"/>
                <w:lang w:val="en-US" w:eastAsia="ar-SA"/>
              </w:rPr>
              <w:t>I</w:t>
            </w:r>
            <w:r w:rsidRPr="00E054CC">
              <w:rPr>
                <w:spacing w:val="-8"/>
                <w:sz w:val="24"/>
                <w:szCs w:val="24"/>
                <w:lang w:eastAsia="ar-SA"/>
              </w:rPr>
              <w:t>48), в том числе в сочетании с ожирением (</w:t>
            </w:r>
            <w:r w:rsidRPr="00E054CC">
              <w:rPr>
                <w:spacing w:val="-8"/>
                <w:sz w:val="24"/>
                <w:szCs w:val="24"/>
                <w:lang w:val="en-US" w:eastAsia="ar-SA"/>
              </w:rPr>
              <w:t>E</w:t>
            </w:r>
            <w:r w:rsidRPr="00E054CC">
              <w:rPr>
                <w:spacing w:val="-8"/>
                <w:sz w:val="24"/>
                <w:szCs w:val="24"/>
                <w:lang w:eastAsia="ar-SA"/>
              </w:rPr>
              <w:t xml:space="preserve">66), </w:t>
            </w:r>
            <w:r w:rsidRPr="00E054CC">
              <w:rPr>
                <w:spacing w:val="-8"/>
                <w:sz w:val="24"/>
                <w:szCs w:val="24"/>
                <w:lang w:val="en-US" w:eastAsia="ar-SA"/>
              </w:rPr>
              <w:t>n</w:t>
            </w:r>
            <w:r w:rsidRPr="00E054CC">
              <w:rPr>
                <w:spacing w:val="-8"/>
                <w:sz w:val="24"/>
                <w:szCs w:val="24"/>
                <w:lang w:eastAsia="ar-SA"/>
              </w:rPr>
              <w:t xml:space="preserve"> = 4</w:t>
            </w:r>
          </w:p>
        </w:tc>
        <w:tc>
          <w:tcPr>
            <w:tcW w:w="1276" w:type="dxa"/>
            <w:tcBorders>
              <w:top w:val="single" w:sz="4" w:space="0" w:color="000000"/>
              <w:left w:val="single" w:sz="4" w:space="0" w:color="000000"/>
              <w:bottom w:val="single" w:sz="4" w:space="0" w:color="000000"/>
            </w:tcBorders>
            <w:tcMar>
              <w:left w:w="28" w:type="dxa"/>
              <w:right w:w="28" w:type="dxa"/>
            </w:tcMar>
            <w:vAlign w:val="center"/>
          </w:tcPr>
          <w:p w:rsidR="00286780" w:rsidRPr="00E054CC" w:rsidRDefault="00286780" w:rsidP="00124D89">
            <w:pPr>
              <w:snapToGrid w:val="0"/>
              <w:jc w:val="center"/>
              <w:rPr>
                <w:rFonts w:cs="Calibri"/>
                <w:bCs/>
                <w:i/>
                <w:iCs/>
                <w:spacing w:val="-8"/>
                <w:sz w:val="24"/>
                <w:szCs w:val="24"/>
                <w:lang w:eastAsia="ar-SA"/>
              </w:rPr>
            </w:pPr>
            <w:r w:rsidRPr="00E054CC">
              <w:rPr>
                <w:rFonts w:cs="Calibri"/>
                <w:bCs/>
                <w:i/>
                <w:iCs/>
                <w:spacing w:val="-8"/>
                <w:sz w:val="24"/>
                <w:szCs w:val="24"/>
                <w:lang w:eastAsia="ar-SA"/>
              </w:rPr>
              <w:t>4</w:t>
            </w:r>
            <w:r w:rsidRPr="00E054CC">
              <w:rPr>
                <w:rFonts w:cs="Calibri"/>
                <w:bCs/>
                <w:i/>
                <w:iCs/>
                <w:spacing w:val="-8"/>
                <w:sz w:val="24"/>
                <w:szCs w:val="24"/>
                <w:lang w:val="en-US" w:eastAsia="ar-SA"/>
              </w:rPr>
              <w:t xml:space="preserve"> (100)</w:t>
            </w:r>
            <w:r w:rsidRPr="00E054CC">
              <w:rPr>
                <w:rFonts w:cs="Calibri"/>
                <w:bCs/>
                <w:i/>
                <w:iCs/>
                <w:spacing w:val="-8"/>
                <w:sz w:val="24"/>
                <w:szCs w:val="24"/>
                <w:lang w:eastAsia="ar-SA"/>
              </w:rPr>
              <w:t>*</w:t>
            </w:r>
          </w:p>
        </w:tc>
        <w:tc>
          <w:tcPr>
            <w:tcW w:w="851" w:type="dxa"/>
            <w:tcBorders>
              <w:top w:val="single" w:sz="4" w:space="0" w:color="000000"/>
              <w:left w:val="single" w:sz="4" w:space="0" w:color="000000"/>
              <w:bottom w:val="single" w:sz="4" w:space="0" w:color="000000"/>
            </w:tcBorders>
            <w:tcMar>
              <w:left w:w="28" w:type="dxa"/>
              <w:right w:w="28" w:type="dxa"/>
            </w:tcMar>
            <w:vAlign w:val="center"/>
          </w:tcPr>
          <w:p w:rsidR="00286780" w:rsidRPr="00E054CC" w:rsidRDefault="00286780" w:rsidP="00124D89">
            <w:pPr>
              <w:snapToGrid w:val="0"/>
              <w:jc w:val="center"/>
              <w:rPr>
                <w:rFonts w:cs="Calibri"/>
                <w:i/>
                <w:iCs/>
                <w:spacing w:val="-8"/>
                <w:sz w:val="24"/>
                <w:szCs w:val="24"/>
                <w:lang w:eastAsia="ar-SA"/>
              </w:rPr>
            </w:pPr>
            <w:r>
              <w:rPr>
                <w:rFonts w:cs="Calibri"/>
                <w:i/>
                <w:iCs/>
                <w:spacing w:val="-8"/>
                <w:sz w:val="24"/>
                <w:szCs w:val="24"/>
                <w:lang w:eastAsia="ar-SA"/>
              </w:rPr>
              <w:t>&lt;</w:t>
            </w:r>
            <w:r w:rsidRPr="00E054CC">
              <w:rPr>
                <w:rFonts w:cs="Calibri"/>
                <w:i/>
                <w:iCs/>
                <w:spacing w:val="-8"/>
                <w:sz w:val="24"/>
                <w:szCs w:val="24"/>
                <w:lang w:eastAsia="ar-SA"/>
              </w:rPr>
              <w:t>0,05</w:t>
            </w:r>
          </w:p>
        </w:tc>
        <w:tc>
          <w:tcPr>
            <w:tcW w:w="1275" w:type="dxa"/>
            <w:tcBorders>
              <w:top w:val="single" w:sz="4" w:space="0" w:color="000000"/>
              <w:left w:val="single" w:sz="4" w:space="0" w:color="000000"/>
              <w:bottom w:val="single" w:sz="4" w:space="0" w:color="000000"/>
            </w:tcBorders>
            <w:tcMar>
              <w:left w:w="28" w:type="dxa"/>
              <w:right w:w="28" w:type="dxa"/>
            </w:tcMar>
            <w:vAlign w:val="center"/>
          </w:tcPr>
          <w:p w:rsidR="00286780" w:rsidRPr="00E054CC" w:rsidRDefault="00286780" w:rsidP="00124D89">
            <w:pPr>
              <w:snapToGrid w:val="0"/>
              <w:jc w:val="center"/>
              <w:rPr>
                <w:rFonts w:cs="Calibri"/>
                <w:spacing w:val="-8"/>
                <w:sz w:val="24"/>
                <w:szCs w:val="24"/>
                <w:lang w:val="en-US" w:eastAsia="ar-SA"/>
              </w:rPr>
            </w:pPr>
            <w:r w:rsidRPr="00E054CC">
              <w:rPr>
                <w:rFonts w:cs="Calibri"/>
                <w:spacing w:val="-8"/>
                <w:sz w:val="24"/>
                <w:szCs w:val="24"/>
                <w:lang w:eastAsia="ar-SA"/>
              </w:rPr>
              <w:t>1</w:t>
            </w:r>
            <w:r w:rsidRPr="00E054CC">
              <w:rPr>
                <w:rFonts w:cs="Calibri"/>
                <w:spacing w:val="-8"/>
                <w:sz w:val="24"/>
                <w:szCs w:val="24"/>
                <w:lang w:val="en-US" w:eastAsia="ar-SA"/>
              </w:rPr>
              <w:t xml:space="preserve"> (25)</w:t>
            </w:r>
          </w:p>
        </w:tc>
        <w:tc>
          <w:tcPr>
            <w:tcW w:w="8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E054CC" w:rsidRDefault="00286780" w:rsidP="00124D89">
            <w:pPr>
              <w:snapToGrid w:val="0"/>
              <w:jc w:val="center"/>
              <w:rPr>
                <w:rFonts w:cs="Calibri"/>
                <w:spacing w:val="-8"/>
                <w:sz w:val="24"/>
                <w:szCs w:val="24"/>
                <w:lang w:eastAsia="ar-SA"/>
              </w:rPr>
            </w:pPr>
            <w:r>
              <w:rPr>
                <w:rFonts w:cs="Calibri"/>
                <w:spacing w:val="-8"/>
                <w:sz w:val="24"/>
                <w:szCs w:val="24"/>
                <w:lang w:eastAsia="ar-SA"/>
              </w:rPr>
              <w:t>&gt;</w:t>
            </w:r>
            <w:r w:rsidRPr="00E054CC">
              <w:rPr>
                <w:rFonts w:cs="Calibri"/>
                <w:spacing w:val="-8"/>
                <w:sz w:val="24"/>
                <w:szCs w:val="24"/>
                <w:lang w:eastAsia="ar-SA"/>
              </w:rPr>
              <w:t>0,05</w:t>
            </w:r>
          </w:p>
        </w:tc>
      </w:tr>
      <w:tr w:rsidR="00286780" w:rsidRPr="00E054CC" w:rsidTr="00E054CC">
        <w:trPr>
          <w:trHeight w:val="227"/>
        </w:trPr>
        <w:tc>
          <w:tcPr>
            <w:tcW w:w="5698" w:type="dxa"/>
            <w:tcBorders>
              <w:top w:val="single" w:sz="4" w:space="0" w:color="000000"/>
              <w:left w:val="single" w:sz="4" w:space="0" w:color="000000"/>
              <w:bottom w:val="single" w:sz="4" w:space="0" w:color="000000"/>
            </w:tcBorders>
            <w:tcMar>
              <w:left w:w="28" w:type="dxa"/>
              <w:right w:w="28" w:type="dxa"/>
            </w:tcMar>
          </w:tcPr>
          <w:p w:rsidR="00286780" w:rsidRPr="00E054CC" w:rsidRDefault="00286780" w:rsidP="00124D89">
            <w:pPr>
              <w:snapToGrid w:val="0"/>
              <w:jc w:val="both"/>
              <w:rPr>
                <w:spacing w:val="-8"/>
                <w:sz w:val="24"/>
                <w:szCs w:val="24"/>
                <w:lang w:eastAsia="ar-SA"/>
              </w:rPr>
            </w:pPr>
            <w:r w:rsidRPr="00E054CC">
              <w:rPr>
                <w:spacing w:val="-8"/>
                <w:sz w:val="24"/>
                <w:szCs w:val="24"/>
                <w:lang w:eastAsia="ar-SA"/>
              </w:rPr>
              <w:t xml:space="preserve">Сахарный диабет (тип 2, </w:t>
            </w:r>
            <w:r w:rsidRPr="00E054CC">
              <w:rPr>
                <w:spacing w:val="-8"/>
                <w:sz w:val="24"/>
                <w:szCs w:val="24"/>
                <w:lang w:val="en-US" w:eastAsia="ar-SA"/>
              </w:rPr>
              <w:t>E</w:t>
            </w:r>
            <w:r w:rsidRPr="00E054CC">
              <w:rPr>
                <w:spacing w:val="-8"/>
                <w:sz w:val="24"/>
                <w:szCs w:val="24"/>
                <w:lang w:eastAsia="ar-SA"/>
              </w:rPr>
              <w:t>11) и АГ (</w:t>
            </w:r>
            <w:r w:rsidRPr="00E054CC">
              <w:rPr>
                <w:spacing w:val="-8"/>
                <w:sz w:val="24"/>
                <w:szCs w:val="24"/>
                <w:lang w:val="en-US" w:eastAsia="ar-SA"/>
              </w:rPr>
              <w:t>I</w:t>
            </w:r>
            <w:r w:rsidRPr="00E054CC">
              <w:rPr>
                <w:spacing w:val="-8"/>
                <w:sz w:val="24"/>
                <w:szCs w:val="24"/>
                <w:lang w:eastAsia="ar-SA"/>
              </w:rPr>
              <w:t>10–</w:t>
            </w:r>
            <w:r w:rsidRPr="00E054CC">
              <w:rPr>
                <w:spacing w:val="-8"/>
                <w:sz w:val="24"/>
                <w:szCs w:val="24"/>
                <w:lang w:val="en-US" w:eastAsia="ar-SA"/>
              </w:rPr>
              <w:t>I</w:t>
            </w:r>
            <w:r w:rsidRPr="00E054CC">
              <w:rPr>
                <w:spacing w:val="-8"/>
                <w:sz w:val="24"/>
                <w:szCs w:val="24"/>
                <w:lang w:eastAsia="ar-SA"/>
              </w:rPr>
              <w:t>13) и/или ИБС (</w:t>
            </w:r>
            <w:r w:rsidRPr="00E054CC">
              <w:rPr>
                <w:spacing w:val="-8"/>
                <w:sz w:val="24"/>
                <w:szCs w:val="24"/>
                <w:lang w:val="en-US" w:eastAsia="ar-SA"/>
              </w:rPr>
              <w:t>I</w:t>
            </w:r>
            <w:r w:rsidRPr="00E054CC">
              <w:rPr>
                <w:spacing w:val="-8"/>
                <w:sz w:val="24"/>
                <w:szCs w:val="24"/>
                <w:lang w:eastAsia="ar-SA"/>
              </w:rPr>
              <w:t xml:space="preserve">20, </w:t>
            </w:r>
            <w:r w:rsidRPr="00E054CC">
              <w:rPr>
                <w:spacing w:val="-8"/>
                <w:sz w:val="24"/>
                <w:szCs w:val="24"/>
                <w:lang w:val="en-US" w:eastAsia="ar-SA"/>
              </w:rPr>
              <w:t>I</w:t>
            </w:r>
            <w:r w:rsidRPr="00E054CC">
              <w:rPr>
                <w:spacing w:val="-8"/>
                <w:sz w:val="24"/>
                <w:szCs w:val="24"/>
                <w:lang w:eastAsia="ar-SA"/>
              </w:rPr>
              <w:t xml:space="preserve">25, </w:t>
            </w:r>
            <w:r w:rsidRPr="00E054CC">
              <w:rPr>
                <w:spacing w:val="-8"/>
                <w:sz w:val="24"/>
                <w:szCs w:val="24"/>
                <w:lang w:val="en-US" w:eastAsia="ar-SA"/>
              </w:rPr>
              <w:t>I</w:t>
            </w:r>
            <w:r w:rsidRPr="00E054CC">
              <w:rPr>
                <w:spacing w:val="-8"/>
                <w:sz w:val="24"/>
                <w:szCs w:val="24"/>
                <w:lang w:eastAsia="ar-SA"/>
              </w:rPr>
              <w:t>25.2), в том числе в сочетании с ожирением (</w:t>
            </w:r>
            <w:r w:rsidRPr="00E054CC">
              <w:rPr>
                <w:spacing w:val="-8"/>
                <w:sz w:val="24"/>
                <w:szCs w:val="24"/>
                <w:lang w:val="en-US" w:eastAsia="ar-SA"/>
              </w:rPr>
              <w:t>E</w:t>
            </w:r>
            <w:r w:rsidRPr="00E054CC">
              <w:rPr>
                <w:spacing w:val="-8"/>
                <w:sz w:val="24"/>
                <w:szCs w:val="24"/>
                <w:lang w:eastAsia="ar-SA"/>
              </w:rPr>
              <w:t xml:space="preserve">66), </w:t>
            </w:r>
            <w:r w:rsidRPr="00E054CC">
              <w:rPr>
                <w:spacing w:val="-8"/>
                <w:sz w:val="24"/>
                <w:szCs w:val="24"/>
                <w:lang w:val="en-US" w:eastAsia="ar-SA"/>
              </w:rPr>
              <w:t>n</w:t>
            </w:r>
            <w:r w:rsidRPr="00E054CC">
              <w:rPr>
                <w:spacing w:val="-8"/>
                <w:sz w:val="24"/>
                <w:szCs w:val="24"/>
                <w:lang w:eastAsia="ar-SA"/>
              </w:rPr>
              <w:t xml:space="preserve"> = 7</w:t>
            </w:r>
          </w:p>
        </w:tc>
        <w:tc>
          <w:tcPr>
            <w:tcW w:w="1276" w:type="dxa"/>
            <w:tcBorders>
              <w:top w:val="single" w:sz="4" w:space="0" w:color="000000"/>
              <w:left w:val="single" w:sz="4" w:space="0" w:color="000000"/>
              <w:bottom w:val="single" w:sz="4" w:space="0" w:color="000000"/>
            </w:tcBorders>
            <w:tcMar>
              <w:left w:w="28" w:type="dxa"/>
              <w:right w:w="28" w:type="dxa"/>
            </w:tcMar>
            <w:vAlign w:val="center"/>
          </w:tcPr>
          <w:p w:rsidR="00286780" w:rsidRPr="00E054CC" w:rsidRDefault="00286780" w:rsidP="00124D89">
            <w:pPr>
              <w:snapToGrid w:val="0"/>
              <w:jc w:val="center"/>
              <w:rPr>
                <w:rFonts w:cs="Calibri"/>
                <w:i/>
                <w:iCs/>
                <w:spacing w:val="-8"/>
                <w:sz w:val="24"/>
                <w:szCs w:val="24"/>
                <w:lang w:val="en-US" w:eastAsia="ar-SA"/>
              </w:rPr>
            </w:pPr>
            <w:r w:rsidRPr="00E054CC">
              <w:rPr>
                <w:rFonts w:cs="Calibri"/>
                <w:i/>
                <w:iCs/>
                <w:spacing w:val="-8"/>
                <w:sz w:val="24"/>
                <w:szCs w:val="24"/>
                <w:lang w:val="en-US" w:eastAsia="ar-SA"/>
              </w:rPr>
              <w:t>6 (85,7)*</w:t>
            </w:r>
          </w:p>
        </w:tc>
        <w:tc>
          <w:tcPr>
            <w:tcW w:w="851" w:type="dxa"/>
            <w:tcBorders>
              <w:top w:val="single" w:sz="4" w:space="0" w:color="000000"/>
              <w:left w:val="single" w:sz="4" w:space="0" w:color="000000"/>
              <w:bottom w:val="single" w:sz="4" w:space="0" w:color="000000"/>
            </w:tcBorders>
            <w:tcMar>
              <w:left w:w="28" w:type="dxa"/>
              <w:right w:w="28" w:type="dxa"/>
            </w:tcMar>
            <w:vAlign w:val="center"/>
          </w:tcPr>
          <w:p w:rsidR="00286780" w:rsidRPr="00E054CC" w:rsidRDefault="00286780" w:rsidP="00124D89">
            <w:pPr>
              <w:snapToGrid w:val="0"/>
              <w:jc w:val="center"/>
              <w:rPr>
                <w:rFonts w:cs="Calibri"/>
                <w:i/>
                <w:iCs/>
                <w:spacing w:val="-8"/>
                <w:sz w:val="24"/>
                <w:szCs w:val="24"/>
                <w:lang w:eastAsia="ar-SA"/>
              </w:rPr>
            </w:pPr>
            <w:r>
              <w:rPr>
                <w:rFonts w:cs="Calibri"/>
                <w:i/>
                <w:iCs/>
                <w:spacing w:val="-8"/>
                <w:sz w:val="24"/>
                <w:szCs w:val="24"/>
                <w:lang w:eastAsia="ar-SA"/>
              </w:rPr>
              <w:t>&lt;</w:t>
            </w:r>
            <w:r w:rsidRPr="00E054CC">
              <w:rPr>
                <w:rFonts w:cs="Calibri"/>
                <w:i/>
                <w:iCs/>
                <w:spacing w:val="-8"/>
                <w:sz w:val="24"/>
                <w:szCs w:val="24"/>
                <w:lang w:eastAsia="ar-SA"/>
              </w:rPr>
              <w:t>0,05</w:t>
            </w:r>
          </w:p>
        </w:tc>
        <w:tc>
          <w:tcPr>
            <w:tcW w:w="1275" w:type="dxa"/>
            <w:tcBorders>
              <w:top w:val="single" w:sz="4" w:space="0" w:color="000000"/>
              <w:left w:val="single" w:sz="4" w:space="0" w:color="000000"/>
              <w:bottom w:val="single" w:sz="4" w:space="0" w:color="000000"/>
            </w:tcBorders>
            <w:tcMar>
              <w:left w:w="28" w:type="dxa"/>
              <w:right w:w="28" w:type="dxa"/>
            </w:tcMar>
            <w:vAlign w:val="center"/>
          </w:tcPr>
          <w:p w:rsidR="00286780" w:rsidRPr="00E054CC" w:rsidRDefault="00286780" w:rsidP="00124D89">
            <w:pPr>
              <w:snapToGrid w:val="0"/>
              <w:jc w:val="center"/>
              <w:rPr>
                <w:rFonts w:cs="Calibri"/>
                <w:spacing w:val="-8"/>
                <w:sz w:val="24"/>
                <w:szCs w:val="24"/>
                <w:lang w:val="en-US" w:eastAsia="ar-SA"/>
              </w:rPr>
            </w:pPr>
            <w:r w:rsidRPr="00E054CC">
              <w:rPr>
                <w:rFonts w:cs="Calibri"/>
                <w:spacing w:val="-8"/>
                <w:sz w:val="24"/>
                <w:szCs w:val="24"/>
                <w:lang w:val="en-US" w:eastAsia="ar-SA"/>
              </w:rPr>
              <w:t>3 (42,9)</w:t>
            </w:r>
          </w:p>
        </w:tc>
        <w:tc>
          <w:tcPr>
            <w:tcW w:w="8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E054CC" w:rsidRDefault="00286780" w:rsidP="00124D89">
            <w:pPr>
              <w:snapToGrid w:val="0"/>
              <w:jc w:val="center"/>
              <w:rPr>
                <w:rFonts w:cs="Calibri"/>
                <w:spacing w:val="-8"/>
                <w:sz w:val="24"/>
                <w:szCs w:val="24"/>
                <w:lang w:eastAsia="ar-SA"/>
              </w:rPr>
            </w:pPr>
            <w:r>
              <w:rPr>
                <w:rFonts w:cs="Calibri"/>
                <w:spacing w:val="-8"/>
                <w:sz w:val="24"/>
                <w:szCs w:val="24"/>
                <w:lang w:eastAsia="ar-SA"/>
              </w:rPr>
              <w:t>&gt;</w:t>
            </w:r>
            <w:r w:rsidRPr="00E054CC">
              <w:rPr>
                <w:rFonts w:cs="Calibri"/>
                <w:spacing w:val="-8"/>
                <w:sz w:val="24"/>
                <w:szCs w:val="24"/>
                <w:lang w:eastAsia="ar-SA"/>
              </w:rPr>
              <w:t>0,05</w:t>
            </w:r>
          </w:p>
        </w:tc>
      </w:tr>
      <w:tr w:rsidR="00286780" w:rsidRPr="00E054CC" w:rsidTr="00E054CC">
        <w:trPr>
          <w:trHeight w:val="227"/>
        </w:trPr>
        <w:tc>
          <w:tcPr>
            <w:tcW w:w="5698" w:type="dxa"/>
            <w:tcBorders>
              <w:top w:val="single" w:sz="4" w:space="0" w:color="000000"/>
              <w:left w:val="single" w:sz="4" w:space="0" w:color="000000"/>
              <w:bottom w:val="single" w:sz="4" w:space="0" w:color="000000"/>
            </w:tcBorders>
            <w:tcMar>
              <w:left w:w="28" w:type="dxa"/>
              <w:right w:w="28" w:type="dxa"/>
            </w:tcMar>
          </w:tcPr>
          <w:p w:rsidR="00286780" w:rsidRPr="00E054CC" w:rsidRDefault="00286780" w:rsidP="00124D89">
            <w:pPr>
              <w:snapToGrid w:val="0"/>
              <w:jc w:val="both"/>
              <w:rPr>
                <w:spacing w:val="-8"/>
                <w:sz w:val="24"/>
                <w:szCs w:val="24"/>
                <w:lang w:eastAsia="ar-SA"/>
              </w:rPr>
            </w:pPr>
            <w:r w:rsidRPr="00E054CC">
              <w:rPr>
                <w:spacing w:val="-8"/>
                <w:sz w:val="24"/>
                <w:szCs w:val="24"/>
                <w:lang w:eastAsia="ar-SA"/>
              </w:rPr>
              <w:t>ХОБЛ и/или бронхиальная астма и/или пневмосклероз (</w:t>
            </w:r>
            <w:r w:rsidRPr="00E054CC">
              <w:rPr>
                <w:spacing w:val="-8"/>
                <w:sz w:val="24"/>
                <w:szCs w:val="24"/>
                <w:lang w:val="en-US" w:eastAsia="ar-SA"/>
              </w:rPr>
              <w:t>J</w:t>
            </w:r>
            <w:r w:rsidRPr="00E054CC">
              <w:rPr>
                <w:spacing w:val="-8"/>
                <w:sz w:val="24"/>
                <w:szCs w:val="24"/>
                <w:lang w:eastAsia="ar-SA"/>
              </w:rPr>
              <w:t xml:space="preserve">44, </w:t>
            </w:r>
            <w:r w:rsidRPr="00E054CC">
              <w:rPr>
                <w:spacing w:val="-8"/>
                <w:sz w:val="24"/>
                <w:szCs w:val="24"/>
                <w:lang w:val="en-US" w:eastAsia="ar-SA"/>
              </w:rPr>
              <w:t>J</w:t>
            </w:r>
            <w:r w:rsidRPr="00E054CC">
              <w:rPr>
                <w:spacing w:val="-8"/>
                <w:sz w:val="24"/>
                <w:szCs w:val="24"/>
                <w:lang w:eastAsia="ar-SA"/>
              </w:rPr>
              <w:t xml:space="preserve">45, </w:t>
            </w:r>
            <w:r w:rsidRPr="00E054CC">
              <w:rPr>
                <w:spacing w:val="-8"/>
                <w:sz w:val="24"/>
                <w:szCs w:val="24"/>
                <w:lang w:val="en-US" w:eastAsia="ar-SA"/>
              </w:rPr>
              <w:t>J</w:t>
            </w:r>
            <w:r w:rsidRPr="00E054CC">
              <w:rPr>
                <w:spacing w:val="-8"/>
                <w:sz w:val="24"/>
                <w:szCs w:val="24"/>
                <w:lang w:eastAsia="ar-SA"/>
              </w:rPr>
              <w:t>84) и/или туберкулез легких (</w:t>
            </w:r>
            <w:r w:rsidRPr="00E054CC">
              <w:rPr>
                <w:spacing w:val="-8"/>
                <w:sz w:val="24"/>
                <w:szCs w:val="24"/>
                <w:lang w:val="en-US" w:eastAsia="ar-SA"/>
              </w:rPr>
              <w:t>A</w:t>
            </w:r>
            <w:r w:rsidRPr="00E054CC">
              <w:rPr>
                <w:spacing w:val="-8"/>
                <w:sz w:val="24"/>
                <w:szCs w:val="24"/>
                <w:lang w:eastAsia="ar-SA"/>
              </w:rPr>
              <w:t>15,</w:t>
            </w:r>
            <w:r w:rsidRPr="00E054CC">
              <w:rPr>
                <w:spacing w:val="-8"/>
                <w:sz w:val="24"/>
                <w:szCs w:val="24"/>
                <w:lang w:val="en-US" w:eastAsia="ar-SA"/>
              </w:rPr>
              <w:t>A</w:t>
            </w:r>
            <w:r w:rsidRPr="00E054CC">
              <w:rPr>
                <w:spacing w:val="-8"/>
                <w:sz w:val="24"/>
                <w:szCs w:val="24"/>
                <w:lang w:eastAsia="ar-SA"/>
              </w:rPr>
              <w:t>16), в том числе в сочетании с циррозом печени (</w:t>
            </w:r>
            <w:r w:rsidRPr="00E054CC">
              <w:rPr>
                <w:spacing w:val="-8"/>
                <w:sz w:val="24"/>
                <w:szCs w:val="24"/>
                <w:lang w:val="en-US" w:eastAsia="ar-SA"/>
              </w:rPr>
              <w:t>K</w:t>
            </w:r>
            <w:r w:rsidRPr="00E054CC">
              <w:rPr>
                <w:spacing w:val="-8"/>
                <w:sz w:val="24"/>
                <w:szCs w:val="24"/>
                <w:lang w:eastAsia="ar-SA"/>
              </w:rPr>
              <w:t>74) и/или синдромом алкогольной зависимости (</w:t>
            </w:r>
            <w:r w:rsidRPr="00E054CC">
              <w:rPr>
                <w:spacing w:val="-8"/>
                <w:sz w:val="24"/>
                <w:szCs w:val="24"/>
                <w:lang w:val="en-US" w:eastAsia="ar-SA"/>
              </w:rPr>
              <w:t>F</w:t>
            </w:r>
            <w:r w:rsidRPr="00E054CC">
              <w:rPr>
                <w:spacing w:val="-8"/>
                <w:sz w:val="24"/>
                <w:szCs w:val="24"/>
                <w:lang w:eastAsia="ar-SA"/>
              </w:rPr>
              <w:t xml:space="preserve">10.2), </w:t>
            </w:r>
            <w:r w:rsidRPr="00E054CC">
              <w:rPr>
                <w:spacing w:val="-8"/>
                <w:sz w:val="24"/>
                <w:szCs w:val="24"/>
                <w:lang w:val="en-US" w:eastAsia="ar-SA"/>
              </w:rPr>
              <w:t>n</w:t>
            </w:r>
            <w:r w:rsidRPr="00E054CC">
              <w:rPr>
                <w:spacing w:val="-8"/>
                <w:sz w:val="24"/>
                <w:szCs w:val="24"/>
                <w:lang w:eastAsia="ar-SA"/>
              </w:rPr>
              <w:t xml:space="preserve"> = 4</w:t>
            </w:r>
          </w:p>
        </w:tc>
        <w:tc>
          <w:tcPr>
            <w:tcW w:w="1276" w:type="dxa"/>
            <w:tcBorders>
              <w:top w:val="single" w:sz="4" w:space="0" w:color="000000"/>
              <w:left w:val="single" w:sz="4" w:space="0" w:color="000000"/>
              <w:bottom w:val="single" w:sz="4" w:space="0" w:color="000000"/>
            </w:tcBorders>
            <w:tcMar>
              <w:left w:w="28" w:type="dxa"/>
              <w:right w:w="28" w:type="dxa"/>
            </w:tcMar>
            <w:vAlign w:val="center"/>
          </w:tcPr>
          <w:p w:rsidR="00286780" w:rsidRPr="00E054CC" w:rsidRDefault="00286780" w:rsidP="00124D89">
            <w:pPr>
              <w:snapToGrid w:val="0"/>
              <w:jc w:val="center"/>
              <w:rPr>
                <w:rFonts w:cs="Calibri"/>
                <w:i/>
                <w:spacing w:val="-8"/>
                <w:sz w:val="24"/>
                <w:szCs w:val="24"/>
                <w:lang w:val="en-US" w:eastAsia="ar-SA"/>
              </w:rPr>
            </w:pPr>
            <w:r w:rsidRPr="00E054CC">
              <w:rPr>
                <w:rFonts w:cs="Calibri"/>
                <w:i/>
                <w:spacing w:val="-8"/>
                <w:sz w:val="24"/>
                <w:szCs w:val="24"/>
                <w:lang w:val="en-US" w:eastAsia="ar-SA"/>
              </w:rPr>
              <w:t>4 (100)*</w:t>
            </w:r>
          </w:p>
        </w:tc>
        <w:tc>
          <w:tcPr>
            <w:tcW w:w="851" w:type="dxa"/>
            <w:tcBorders>
              <w:top w:val="single" w:sz="4" w:space="0" w:color="000000"/>
              <w:left w:val="single" w:sz="4" w:space="0" w:color="000000"/>
              <w:bottom w:val="single" w:sz="4" w:space="0" w:color="000000"/>
            </w:tcBorders>
            <w:tcMar>
              <w:left w:w="28" w:type="dxa"/>
              <w:right w:w="28" w:type="dxa"/>
            </w:tcMar>
            <w:vAlign w:val="center"/>
          </w:tcPr>
          <w:p w:rsidR="00286780" w:rsidRPr="00E054CC" w:rsidRDefault="00286780" w:rsidP="00124D89">
            <w:pPr>
              <w:snapToGrid w:val="0"/>
              <w:jc w:val="center"/>
              <w:rPr>
                <w:rFonts w:cs="Calibri"/>
                <w:i/>
                <w:iCs/>
                <w:spacing w:val="-8"/>
                <w:sz w:val="24"/>
                <w:szCs w:val="24"/>
                <w:lang w:eastAsia="ar-SA"/>
              </w:rPr>
            </w:pPr>
            <w:r>
              <w:rPr>
                <w:rFonts w:cs="Calibri"/>
                <w:i/>
                <w:iCs/>
                <w:spacing w:val="-8"/>
                <w:sz w:val="24"/>
                <w:szCs w:val="24"/>
                <w:lang w:eastAsia="ar-SA"/>
              </w:rPr>
              <w:t>&lt;</w:t>
            </w:r>
            <w:r w:rsidRPr="00E054CC">
              <w:rPr>
                <w:rFonts w:cs="Calibri"/>
                <w:i/>
                <w:iCs/>
                <w:spacing w:val="-8"/>
                <w:sz w:val="24"/>
                <w:szCs w:val="24"/>
                <w:lang w:eastAsia="ar-SA"/>
              </w:rPr>
              <w:t>0,05</w:t>
            </w:r>
          </w:p>
        </w:tc>
        <w:tc>
          <w:tcPr>
            <w:tcW w:w="1275" w:type="dxa"/>
            <w:tcBorders>
              <w:top w:val="single" w:sz="4" w:space="0" w:color="000000"/>
              <w:left w:val="single" w:sz="4" w:space="0" w:color="000000"/>
              <w:bottom w:val="single" w:sz="4" w:space="0" w:color="000000"/>
            </w:tcBorders>
            <w:tcMar>
              <w:left w:w="28" w:type="dxa"/>
              <w:right w:w="28" w:type="dxa"/>
            </w:tcMar>
            <w:vAlign w:val="center"/>
          </w:tcPr>
          <w:p w:rsidR="00286780" w:rsidRPr="00E054CC" w:rsidRDefault="00286780" w:rsidP="00124D89">
            <w:pPr>
              <w:snapToGrid w:val="0"/>
              <w:jc w:val="center"/>
              <w:rPr>
                <w:rFonts w:cs="Calibri"/>
                <w:spacing w:val="-8"/>
                <w:sz w:val="24"/>
                <w:szCs w:val="24"/>
                <w:lang w:val="en-US" w:eastAsia="ar-SA"/>
              </w:rPr>
            </w:pPr>
            <w:r w:rsidRPr="00E054CC">
              <w:rPr>
                <w:rFonts w:cs="Calibri"/>
                <w:spacing w:val="-8"/>
                <w:sz w:val="24"/>
                <w:szCs w:val="24"/>
                <w:lang w:val="en-US" w:eastAsia="ar-SA"/>
              </w:rPr>
              <w:t>2 (50)</w:t>
            </w:r>
          </w:p>
        </w:tc>
        <w:tc>
          <w:tcPr>
            <w:tcW w:w="8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E054CC" w:rsidRDefault="00286780" w:rsidP="00124D89">
            <w:pPr>
              <w:snapToGrid w:val="0"/>
              <w:jc w:val="center"/>
              <w:rPr>
                <w:rFonts w:cs="Calibri"/>
                <w:spacing w:val="-8"/>
                <w:sz w:val="24"/>
                <w:szCs w:val="24"/>
                <w:lang w:eastAsia="ar-SA"/>
              </w:rPr>
            </w:pPr>
            <w:r>
              <w:rPr>
                <w:rFonts w:cs="Calibri"/>
                <w:spacing w:val="-8"/>
                <w:sz w:val="24"/>
                <w:szCs w:val="24"/>
                <w:lang w:eastAsia="ar-SA"/>
              </w:rPr>
              <w:t>&gt;</w:t>
            </w:r>
            <w:r w:rsidRPr="00E054CC">
              <w:rPr>
                <w:rFonts w:cs="Calibri"/>
                <w:spacing w:val="-8"/>
                <w:sz w:val="24"/>
                <w:szCs w:val="24"/>
                <w:lang w:eastAsia="ar-SA"/>
              </w:rPr>
              <w:t>0,05</w:t>
            </w:r>
          </w:p>
        </w:tc>
      </w:tr>
      <w:tr w:rsidR="00286780" w:rsidRPr="00E054CC" w:rsidTr="00E054CC">
        <w:trPr>
          <w:trHeight w:val="227"/>
        </w:trPr>
        <w:tc>
          <w:tcPr>
            <w:tcW w:w="5698" w:type="dxa"/>
            <w:tcBorders>
              <w:top w:val="single" w:sz="4" w:space="0" w:color="000000"/>
              <w:left w:val="single" w:sz="4" w:space="0" w:color="000000"/>
              <w:bottom w:val="single" w:sz="4" w:space="0" w:color="000000"/>
            </w:tcBorders>
            <w:tcMar>
              <w:left w:w="28" w:type="dxa"/>
              <w:right w:w="28" w:type="dxa"/>
            </w:tcMar>
          </w:tcPr>
          <w:p w:rsidR="00286780" w:rsidRPr="00E054CC" w:rsidRDefault="00286780" w:rsidP="00124D89">
            <w:pPr>
              <w:snapToGrid w:val="0"/>
              <w:jc w:val="both"/>
              <w:rPr>
                <w:spacing w:val="-8"/>
                <w:sz w:val="24"/>
                <w:szCs w:val="24"/>
                <w:lang w:eastAsia="ar-SA"/>
              </w:rPr>
            </w:pPr>
            <w:r w:rsidRPr="00E054CC">
              <w:rPr>
                <w:spacing w:val="-8"/>
                <w:sz w:val="24"/>
                <w:szCs w:val="24"/>
                <w:lang w:eastAsia="ar-SA"/>
              </w:rPr>
              <w:t>Гепатит «С» («В») (</w:t>
            </w:r>
            <w:r w:rsidRPr="00E054CC">
              <w:rPr>
                <w:spacing w:val="-8"/>
                <w:sz w:val="24"/>
                <w:szCs w:val="24"/>
                <w:lang w:val="en-US" w:eastAsia="ar-SA"/>
              </w:rPr>
              <w:t>B</w:t>
            </w:r>
            <w:r w:rsidRPr="00E054CC">
              <w:rPr>
                <w:spacing w:val="-8"/>
                <w:sz w:val="24"/>
                <w:szCs w:val="24"/>
                <w:lang w:eastAsia="ar-SA"/>
              </w:rPr>
              <w:t>18) и/или цирроз печени (</w:t>
            </w:r>
            <w:r w:rsidRPr="00E054CC">
              <w:rPr>
                <w:spacing w:val="-8"/>
                <w:sz w:val="24"/>
                <w:szCs w:val="24"/>
                <w:lang w:val="en-US" w:eastAsia="ar-SA"/>
              </w:rPr>
              <w:t>K</w:t>
            </w:r>
            <w:r w:rsidRPr="00E054CC">
              <w:rPr>
                <w:spacing w:val="-8"/>
                <w:sz w:val="24"/>
                <w:szCs w:val="24"/>
                <w:lang w:eastAsia="ar-SA"/>
              </w:rPr>
              <w:t>74) и/или синдром алкогольной зависимости (</w:t>
            </w:r>
            <w:r w:rsidRPr="00E054CC">
              <w:rPr>
                <w:spacing w:val="-8"/>
                <w:sz w:val="24"/>
                <w:szCs w:val="24"/>
                <w:lang w:val="en-US" w:eastAsia="ar-SA"/>
              </w:rPr>
              <w:t>F</w:t>
            </w:r>
            <w:r w:rsidRPr="00E054CC">
              <w:rPr>
                <w:spacing w:val="-8"/>
                <w:sz w:val="24"/>
                <w:szCs w:val="24"/>
                <w:lang w:eastAsia="ar-SA"/>
              </w:rPr>
              <w:t xml:space="preserve">10.2), </w:t>
            </w:r>
            <w:r w:rsidRPr="00E054CC">
              <w:rPr>
                <w:spacing w:val="-8"/>
                <w:sz w:val="24"/>
                <w:szCs w:val="24"/>
                <w:lang w:val="en-US" w:eastAsia="ar-SA"/>
              </w:rPr>
              <w:t>n</w:t>
            </w:r>
            <w:r w:rsidRPr="00E054CC">
              <w:rPr>
                <w:spacing w:val="-8"/>
                <w:sz w:val="24"/>
                <w:szCs w:val="24"/>
                <w:lang w:eastAsia="ar-SA"/>
              </w:rPr>
              <w:t xml:space="preserve"> = 11</w:t>
            </w:r>
          </w:p>
        </w:tc>
        <w:tc>
          <w:tcPr>
            <w:tcW w:w="1276" w:type="dxa"/>
            <w:tcBorders>
              <w:top w:val="single" w:sz="4" w:space="0" w:color="000000"/>
              <w:left w:val="single" w:sz="4" w:space="0" w:color="000000"/>
              <w:bottom w:val="single" w:sz="4" w:space="0" w:color="000000"/>
            </w:tcBorders>
            <w:tcMar>
              <w:left w:w="28" w:type="dxa"/>
              <w:right w:w="28" w:type="dxa"/>
            </w:tcMar>
            <w:vAlign w:val="center"/>
          </w:tcPr>
          <w:p w:rsidR="00286780" w:rsidRPr="00E054CC" w:rsidRDefault="00286780" w:rsidP="00124D89">
            <w:pPr>
              <w:snapToGrid w:val="0"/>
              <w:jc w:val="center"/>
              <w:rPr>
                <w:rFonts w:cs="Calibri"/>
                <w:spacing w:val="-8"/>
                <w:sz w:val="24"/>
                <w:szCs w:val="24"/>
                <w:lang w:val="en-US" w:eastAsia="ar-SA"/>
              </w:rPr>
            </w:pPr>
            <w:r w:rsidRPr="00E054CC">
              <w:rPr>
                <w:rFonts w:cs="Calibri"/>
                <w:spacing w:val="-8"/>
                <w:sz w:val="24"/>
                <w:szCs w:val="24"/>
                <w:lang w:eastAsia="ar-SA"/>
              </w:rPr>
              <w:t>8 (72</w:t>
            </w:r>
            <w:r w:rsidRPr="00E054CC">
              <w:rPr>
                <w:rFonts w:cs="Calibri"/>
                <w:spacing w:val="-8"/>
                <w:sz w:val="24"/>
                <w:szCs w:val="24"/>
                <w:lang w:val="en-US" w:eastAsia="ar-SA"/>
              </w:rPr>
              <w:t>,</w:t>
            </w:r>
            <w:r w:rsidRPr="00E054CC">
              <w:rPr>
                <w:rFonts w:cs="Calibri"/>
                <w:spacing w:val="-8"/>
                <w:sz w:val="24"/>
                <w:szCs w:val="24"/>
                <w:lang w:eastAsia="ar-SA"/>
              </w:rPr>
              <w:t>7</w:t>
            </w:r>
            <w:r w:rsidRPr="00E054CC">
              <w:rPr>
                <w:rFonts w:cs="Calibri"/>
                <w:spacing w:val="-8"/>
                <w:sz w:val="24"/>
                <w:szCs w:val="24"/>
                <w:lang w:val="en-US" w:eastAsia="ar-SA"/>
              </w:rPr>
              <w:t>)</w:t>
            </w:r>
          </w:p>
        </w:tc>
        <w:tc>
          <w:tcPr>
            <w:tcW w:w="851" w:type="dxa"/>
            <w:tcBorders>
              <w:top w:val="single" w:sz="4" w:space="0" w:color="000000"/>
              <w:left w:val="single" w:sz="4" w:space="0" w:color="000000"/>
              <w:bottom w:val="single" w:sz="4" w:space="0" w:color="000000"/>
            </w:tcBorders>
            <w:tcMar>
              <w:left w:w="28" w:type="dxa"/>
              <w:right w:w="28" w:type="dxa"/>
            </w:tcMar>
            <w:vAlign w:val="center"/>
          </w:tcPr>
          <w:p w:rsidR="00286780" w:rsidRPr="00E054CC" w:rsidRDefault="00286780" w:rsidP="00124D89">
            <w:pPr>
              <w:snapToGrid w:val="0"/>
              <w:jc w:val="center"/>
              <w:rPr>
                <w:rFonts w:cs="Calibri"/>
                <w:spacing w:val="-8"/>
                <w:sz w:val="24"/>
                <w:szCs w:val="24"/>
                <w:lang w:eastAsia="ar-SA"/>
              </w:rPr>
            </w:pPr>
            <w:r>
              <w:rPr>
                <w:rFonts w:cs="Calibri"/>
                <w:spacing w:val="-8"/>
                <w:sz w:val="24"/>
                <w:szCs w:val="24"/>
                <w:lang w:eastAsia="ar-SA"/>
              </w:rPr>
              <w:t>&gt;</w:t>
            </w:r>
            <w:r w:rsidRPr="00E054CC">
              <w:rPr>
                <w:rFonts w:cs="Calibri"/>
                <w:spacing w:val="-8"/>
                <w:sz w:val="24"/>
                <w:szCs w:val="24"/>
                <w:lang w:eastAsia="ar-SA"/>
              </w:rPr>
              <w:t>0,05</w:t>
            </w:r>
          </w:p>
        </w:tc>
        <w:tc>
          <w:tcPr>
            <w:tcW w:w="1275" w:type="dxa"/>
            <w:tcBorders>
              <w:top w:val="single" w:sz="4" w:space="0" w:color="000000"/>
              <w:left w:val="single" w:sz="4" w:space="0" w:color="000000"/>
              <w:bottom w:val="single" w:sz="4" w:space="0" w:color="000000"/>
            </w:tcBorders>
            <w:tcMar>
              <w:left w:w="28" w:type="dxa"/>
              <w:right w:w="28" w:type="dxa"/>
            </w:tcMar>
            <w:vAlign w:val="center"/>
          </w:tcPr>
          <w:p w:rsidR="00286780" w:rsidRPr="00E054CC" w:rsidRDefault="00286780" w:rsidP="00124D89">
            <w:pPr>
              <w:snapToGrid w:val="0"/>
              <w:jc w:val="center"/>
              <w:rPr>
                <w:rFonts w:cs="Calibri"/>
                <w:i/>
                <w:spacing w:val="-8"/>
                <w:sz w:val="24"/>
                <w:szCs w:val="24"/>
                <w:lang w:eastAsia="ar-SA"/>
              </w:rPr>
            </w:pPr>
            <w:r w:rsidRPr="00E054CC">
              <w:rPr>
                <w:rFonts w:cs="Calibri"/>
                <w:i/>
                <w:spacing w:val="-8"/>
                <w:sz w:val="24"/>
                <w:szCs w:val="24"/>
                <w:lang w:eastAsia="ar-SA"/>
              </w:rPr>
              <w:t>6</w:t>
            </w:r>
            <w:r w:rsidRPr="00E054CC">
              <w:rPr>
                <w:rFonts w:cs="Calibri"/>
                <w:i/>
                <w:spacing w:val="-8"/>
                <w:sz w:val="24"/>
                <w:szCs w:val="24"/>
                <w:lang w:val="en-US" w:eastAsia="ar-SA"/>
              </w:rPr>
              <w:t xml:space="preserve"> (54,5)</w:t>
            </w:r>
            <w:r w:rsidRPr="00E054CC">
              <w:rPr>
                <w:rFonts w:cs="Calibri"/>
                <w:i/>
                <w:spacing w:val="-8"/>
                <w:sz w:val="24"/>
                <w:szCs w:val="24"/>
                <w:lang w:eastAsia="ar-SA"/>
              </w:rPr>
              <w:t>*</w:t>
            </w:r>
          </w:p>
        </w:tc>
        <w:tc>
          <w:tcPr>
            <w:tcW w:w="8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E054CC" w:rsidRDefault="00286780" w:rsidP="00124D89">
            <w:pPr>
              <w:snapToGrid w:val="0"/>
              <w:jc w:val="center"/>
              <w:rPr>
                <w:rFonts w:cs="Calibri"/>
                <w:i/>
                <w:iCs/>
                <w:spacing w:val="-8"/>
                <w:sz w:val="24"/>
                <w:szCs w:val="24"/>
                <w:lang w:eastAsia="ar-SA"/>
              </w:rPr>
            </w:pPr>
            <w:r>
              <w:rPr>
                <w:rFonts w:cs="Calibri"/>
                <w:i/>
                <w:iCs/>
                <w:spacing w:val="-8"/>
                <w:sz w:val="24"/>
                <w:szCs w:val="24"/>
                <w:lang w:eastAsia="ar-SA"/>
              </w:rPr>
              <w:t>&lt;</w:t>
            </w:r>
            <w:r w:rsidRPr="00E054CC">
              <w:rPr>
                <w:rFonts w:cs="Calibri"/>
                <w:i/>
                <w:iCs/>
                <w:spacing w:val="-8"/>
                <w:sz w:val="24"/>
                <w:szCs w:val="24"/>
                <w:lang w:eastAsia="ar-SA"/>
              </w:rPr>
              <w:t>0,051</w:t>
            </w:r>
          </w:p>
        </w:tc>
      </w:tr>
      <w:tr w:rsidR="00286780" w:rsidRPr="00E054CC" w:rsidTr="00E054CC">
        <w:trPr>
          <w:trHeight w:val="227"/>
        </w:trPr>
        <w:tc>
          <w:tcPr>
            <w:tcW w:w="5698" w:type="dxa"/>
            <w:tcBorders>
              <w:top w:val="single" w:sz="4" w:space="0" w:color="000000"/>
              <w:left w:val="single" w:sz="4" w:space="0" w:color="000000"/>
              <w:bottom w:val="single" w:sz="4" w:space="0" w:color="000000"/>
            </w:tcBorders>
            <w:tcMar>
              <w:left w:w="28" w:type="dxa"/>
              <w:right w:w="28" w:type="dxa"/>
            </w:tcMar>
          </w:tcPr>
          <w:p w:rsidR="00286780" w:rsidRPr="00E054CC" w:rsidRDefault="00C55ECF" w:rsidP="00124D89">
            <w:pPr>
              <w:snapToGrid w:val="0"/>
              <w:jc w:val="both"/>
              <w:rPr>
                <w:spacing w:val="-8"/>
                <w:sz w:val="24"/>
                <w:szCs w:val="24"/>
                <w:lang w:eastAsia="ar-SA"/>
              </w:rPr>
            </w:pPr>
            <w:r>
              <w:rPr>
                <w:spacing w:val="-8"/>
                <w:sz w:val="24"/>
                <w:szCs w:val="24"/>
                <w:lang w:eastAsia="ar-SA"/>
              </w:rPr>
              <w:t xml:space="preserve">Кистозная болезнь почек или </w:t>
            </w:r>
            <w:r w:rsidR="00286780" w:rsidRPr="00E054CC">
              <w:rPr>
                <w:spacing w:val="-8"/>
                <w:sz w:val="24"/>
                <w:szCs w:val="24"/>
                <w:lang w:eastAsia="ar-SA"/>
              </w:rPr>
              <w:t>хронический гломерулонефрит (</w:t>
            </w:r>
            <w:r w:rsidR="00286780" w:rsidRPr="00E054CC">
              <w:rPr>
                <w:spacing w:val="-8"/>
                <w:sz w:val="24"/>
                <w:szCs w:val="24"/>
                <w:lang w:val="en-US" w:eastAsia="ar-SA"/>
              </w:rPr>
              <w:t>Q</w:t>
            </w:r>
            <w:r w:rsidR="00286780" w:rsidRPr="00E054CC">
              <w:rPr>
                <w:spacing w:val="-8"/>
                <w:sz w:val="24"/>
                <w:szCs w:val="24"/>
                <w:lang w:eastAsia="ar-SA"/>
              </w:rPr>
              <w:t xml:space="preserve">61, </w:t>
            </w:r>
            <w:r w:rsidR="00286780" w:rsidRPr="00E054CC">
              <w:rPr>
                <w:spacing w:val="-8"/>
                <w:sz w:val="24"/>
                <w:szCs w:val="24"/>
                <w:lang w:val="en-US" w:eastAsia="ar-SA"/>
              </w:rPr>
              <w:t>N</w:t>
            </w:r>
            <w:r w:rsidR="00286780" w:rsidRPr="00E054CC">
              <w:rPr>
                <w:spacing w:val="-8"/>
                <w:sz w:val="24"/>
                <w:szCs w:val="24"/>
                <w:lang w:eastAsia="ar-SA"/>
              </w:rPr>
              <w:t>00–</w:t>
            </w:r>
            <w:r w:rsidR="00286780" w:rsidRPr="00E054CC">
              <w:rPr>
                <w:spacing w:val="-8"/>
                <w:sz w:val="24"/>
                <w:szCs w:val="24"/>
                <w:lang w:val="en-US" w:eastAsia="ar-SA"/>
              </w:rPr>
              <w:t>N</w:t>
            </w:r>
            <w:r w:rsidR="00286780" w:rsidRPr="00E054CC">
              <w:rPr>
                <w:spacing w:val="-8"/>
                <w:sz w:val="24"/>
                <w:szCs w:val="24"/>
                <w:lang w:eastAsia="ar-SA"/>
              </w:rPr>
              <w:t>07), в том числе в сочетании с хронической почечной недостаточностью (</w:t>
            </w:r>
            <w:r w:rsidR="00286780" w:rsidRPr="00E054CC">
              <w:rPr>
                <w:spacing w:val="-8"/>
                <w:sz w:val="24"/>
                <w:szCs w:val="24"/>
                <w:lang w:val="en-US" w:eastAsia="ar-SA"/>
              </w:rPr>
              <w:t>N</w:t>
            </w:r>
            <w:r w:rsidR="00286780" w:rsidRPr="00E054CC">
              <w:rPr>
                <w:spacing w:val="-8"/>
                <w:sz w:val="24"/>
                <w:szCs w:val="24"/>
                <w:lang w:eastAsia="ar-SA"/>
              </w:rPr>
              <w:t>18) и АГ (</w:t>
            </w:r>
            <w:r w:rsidR="00286780" w:rsidRPr="00E054CC">
              <w:rPr>
                <w:spacing w:val="-8"/>
                <w:sz w:val="24"/>
                <w:szCs w:val="24"/>
                <w:lang w:val="en-US" w:eastAsia="ar-SA"/>
              </w:rPr>
              <w:t>I</w:t>
            </w:r>
            <w:r w:rsidR="00286780" w:rsidRPr="00E054CC">
              <w:rPr>
                <w:spacing w:val="-8"/>
                <w:sz w:val="24"/>
                <w:szCs w:val="24"/>
                <w:lang w:eastAsia="ar-SA"/>
              </w:rPr>
              <w:t>10–</w:t>
            </w:r>
            <w:r w:rsidR="00286780" w:rsidRPr="00E054CC">
              <w:rPr>
                <w:spacing w:val="-8"/>
                <w:sz w:val="24"/>
                <w:szCs w:val="24"/>
                <w:lang w:val="en-US" w:eastAsia="ar-SA"/>
              </w:rPr>
              <w:t>I</w:t>
            </w:r>
            <w:r w:rsidR="00286780" w:rsidRPr="00E054CC">
              <w:rPr>
                <w:spacing w:val="-8"/>
                <w:sz w:val="24"/>
                <w:szCs w:val="24"/>
                <w:lang w:eastAsia="ar-SA"/>
              </w:rPr>
              <w:t xml:space="preserve">13), </w:t>
            </w:r>
            <w:r w:rsidR="00286780" w:rsidRPr="00E054CC">
              <w:rPr>
                <w:spacing w:val="-8"/>
                <w:sz w:val="24"/>
                <w:szCs w:val="24"/>
                <w:lang w:val="en-US" w:eastAsia="ar-SA"/>
              </w:rPr>
              <w:t>n</w:t>
            </w:r>
            <w:r w:rsidR="00286780" w:rsidRPr="00E054CC">
              <w:rPr>
                <w:spacing w:val="-8"/>
                <w:sz w:val="24"/>
                <w:szCs w:val="24"/>
                <w:lang w:eastAsia="ar-SA"/>
              </w:rPr>
              <w:t xml:space="preserve"> = 2</w:t>
            </w:r>
          </w:p>
        </w:tc>
        <w:tc>
          <w:tcPr>
            <w:tcW w:w="1276" w:type="dxa"/>
            <w:tcBorders>
              <w:top w:val="single" w:sz="4" w:space="0" w:color="000000"/>
              <w:left w:val="single" w:sz="4" w:space="0" w:color="000000"/>
              <w:bottom w:val="single" w:sz="4" w:space="0" w:color="000000"/>
            </w:tcBorders>
            <w:tcMar>
              <w:left w:w="28" w:type="dxa"/>
              <w:right w:w="28" w:type="dxa"/>
            </w:tcMar>
            <w:vAlign w:val="center"/>
          </w:tcPr>
          <w:p w:rsidR="00286780" w:rsidRPr="00E054CC" w:rsidRDefault="00286780" w:rsidP="00124D89">
            <w:pPr>
              <w:snapToGrid w:val="0"/>
              <w:jc w:val="center"/>
              <w:rPr>
                <w:rFonts w:cs="Calibri"/>
                <w:i/>
                <w:spacing w:val="-8"/>
                <w:sz w:val="24"/>
                <w:szCs w:val="24"/>
                <w:lang w:val="en-US" w:eastAsia="ar-SA"/>
              </w:rPr>
            </w:pPr>
            <w:r w:rsidRPr="00E054CC">
              <w:rPr>
                <w:rFonts w:cs="Calibri"/>
                <w:i/>
                <w:spacing w:val="-8"/>
                <w:sz w:val="24"/>
                <w:szCs w:val="24"/>
                <w:lang w:eastAsia="ar-SA"/>
              </w:rPr>
              <w:t>2</w:t>
            </w:r>
            <w:r w:rsidRPr="00E054CC">
              <w:rPr>
                <w:rFonts w:cs="Calibri"/>
                <w:i/>
                <w:spacing w:val="-8"/>
                <w:sz w:val="24"/>
                <w:szCs w:val="24"/>
                <w:lang w:val="en-US" w:eastAsia="ar-SA"/>
              </w:rPr>
              <w:t xml:space="preserve"> (100)*</w:t>
            </w:r>
          </w:p>
        </w:tc>
        <w:tc>
          <w:tcPr>
            <w:tcW w:w="851" w:type="dxa"/>
            <w:tcBorders>
              <w:top w:val="single" w:sz="4" w:space="0" w:color="000000"/>
              <w:left w:val="single" w:sz="4" w:space="0" w:color="000000"/>
              <w:bottom w:val="single" w:sz="4" w:space="0" w:color="000000"/>
            </w:tcBorders>
            <w:tcMar>
              <w:left w:w="28" w:type="dxa"/>
              <w:right w:w="28" w:type="dxa"/>
            </w:tcMar>
            <w:vAlign w:val="center"/>
          </w:tcPr>
          <w:p w:rsidR="00286780" w:rsidRPr="00E054CC" w:rsidRDefault="00286780" w:rsidP="00124D89">
            <w:pPr>
              <w:snapToGrid w:val="0"/>
              <w:jc w:val="center"/>
              <w:rPr>
                <w:rFonts w:cs="Calibri"/>
                <w:i/>
                <w:iCs/>
                <w:spacing w:val="-8"/>
                <w:sz w:val="24"/>
                <w:szCs w:val="24"/>
                <w:lang w:eastAsia="ar-SA"/>
              </w:rPr>
            </w:pPr>
            <w:r>
              <w:rPr>
                <w:rFonts w:cs="Calibri"/>
                <w:i/>
                <w:iCs/>
                <w:spacing w:val="-8"/>
                <w:sz w:val="24"/>
                <w:szCs w:val="24"/>
                <w:lang w:eastAsia="ar-SA"/>
              </w:rPr>
              <w:t>&lt;</w:t>
            </w:r>
            <w:r w:rsidRPr="00E054CC">
              <w:rPr>
                <w:rFonts w:cs="Calibri"/>
                <w:i/>
                <w:iCs/>
                <w:spacing w:val="-8"/>
                <w:sz w:val="24"/>
                <w:szCs w:val="24"/>
                <w:lang w:eastAsia="ar-SA"/>
              </w:rPr>
              <w:t>0,05</w:t>
            </w:r>
          </w:p>
        </w:tc>
        <w:tc>
          <w:tcPr>
            <w:tcW w:w="1275" w:type="dxa"/>
            <w:tcBorders>
              <w:top w:val="single" w:sz="4" w:space="0" w:color="000000"/>
              <w:left w:val="single" w:sz="4" w:space="0" w:color="000000"/>
              <w:bottom w:val="single" w:sz="4" w:space="0" w:color="000000"/>
            </w:tcBorders>
            <w:tcMar>
              <w:left w:w="28" w:type="dxa"/>
              <w:right w:w="28" w:type="dxa"/>
            </w:tcMar>
            <w:vAlign w:val="center"/>
          </w:tcPr>
          <w:p w:rsidR="00286780" w:rsidRPr="00E054CC" w:rsidRDefault="00286780" w:rsidP="00124D89">
            <w:pPr>
              <w:snapToGrid w:val="0"/>
              <w:jc w:val="center"/>
              <w:rPr>
                <w:rFonts w:cs="Calibri"/>
                <w:i/>
                <w:spacing w:val="-8"/>
                <w:sz w:val="24"/>
                <w:szCs w:val="24"/>
                <w:lang w:val="en-US" w:eastAsia="ar-SA"/>
              </w:rPr>
            </w:pPr>
            <w:r w:rsidRPr="00E054CC">
              <w:rPr>
                <w:rFonts w:cs="Calibri"/>
                <w:i/>
                <w:spacing w:val="-8"/>
                <w:sz w:val="24"/>
                <w:szCs w:val="24"/>
                <w:lang w:eastAsia="ar-SA"/>
              </w:rPr>
              <w:t>2</w:t>
            </w:r>
            <w:r w:rsidRPr="00E054CC">
              <w:rPr>
                <w:rFonts w:cs="Calibri"/>
                <w:i/>
                <w:spacing w:val="-8"/>
                <w:sz w:val="24"/>
                <w:szCs w:val="24"/>
                <w:lang w:val="en-US" w:eastAsia="ar-SA"/>
              </w:rPr>
              <w:t xml:space="preserve"> (100)*</w:t>
            </w:r>
          </w:p>
        </w:tc>
        <w:tc>
          <w:tcPr>
            <w:tcW w:w="8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E054CC" w:rsidRDefault="00286780" w:rsidP="00124D89">
            <w:pPr>
              <w:snapToGrid w:val="0"/>
              <w:jc w:val="center"/>
              <w:rPr>
                <w:rFonts w:cs="Calibri"/>
                <w:i/>
                <w:iCs/>
                <w:spacing w:val="-8"/>
                <w:sz w:val="24"/>
                <w:szCs w:val="24"/>
                <w:lang w:eastAsia="ar-SA"/>
              </w:rPr>
            </w:pPr>
            <w:r>
              <w:rPr>
                <w:rFonts w:cs="Calibri"/>
                <w:i/>
                <w:iCs/>
                <w:spacing w:val="-8"/>
                <w:sz w:val="24"/>
                <w:szCs w:val="24"/>
                <w:lang w:eastAsia="ar-SA"/>
              </w:rPr>
              <w:t>&lt;</w:t>
            </w:r>
            <w:r w:rsidRPr="00E054CC">
              <w:rPr>
                <w:rFonts w:cs="Calibri"/>
                <w:i/>
                <w:iCs/>
                <w:spacing w:val="-8"/>
                <w:sz w:val="24"/>
                <w:szCs w:val="24"/>
                <w:lang w:eastAsia="ar-SA"/>
              </w:rPr>
              <w:t>0,05</w:t>
            </w:r>
          </w:p>
        </w:tc>
      </w:tr>
      <w:tr w:rsidR="00286780" w:rsidRPr="00E054CC" w:rsidTr="00E054CC">
        <w:trPr>
          <w:trHeight w:val="454"/>
        </w:trPr>
        <w:tc>
          <w:tcPr>
            <w:tcW w:w="5698" w:type="dxa"/>
            <w:tcBorders>
              <w:top w:val="single" w:sz="4" w:space="0" w:color="000000"/>
              <w:left w:val="single" w:sz="4" w:space="0" w:color="000000"/>
              <w:bottom w:val="single" w:sz="4" w:space="0" w:color="000000"/>
            </w:tcBorders>
            <w:tcMar>
              <w:left w:w="28" w:type="dxa"/>
              <w:right w:w="28" w:type="dxa"/>
            </w:tcMar>
            <w:vAlign w:val="center"/>
          </w:tcPr>
          <w:p w:rsidR="00286780" w:rsidRPr="00E054CC" w:rsidRDefault="00286780" w:rsidP="00124D89">
            <w:pPr>
              <w:snapToGrid w:val="0"/>
              <w:jc w:val="both"/>
              <w:rPr>
                <w:spacing w:val="-8"/>
                <w:sz w:val="24"/>
                <w:szCs w:val="24"/>
                <w:lang w:eastAsia="ar-SA"/>
              </w:rPr>
            </w:pPr>
            <w:r w:rsidRPr="00E054CC">
              <w:rPr>
                <w:spacing w:val="-8"/>
                <w:sz w:val="24"/>
                <w:szCs w:val="24"/>
                <w:lang w:eastAsia="ar-SA"/>
              </w:rPr>
              <w:t xml:space="preserve">Контрольная </w:t>
            </w:r>
            <w:r w:rsidR="00A423F7">
              <w:rPr>
                <w:spacing w:val="-8"/>
                <w:sz w:val="24"/>
                <w:szCs w:val="24"/>
                <w:lang w:eastAsia="ar-SA"/>
              </w:rPr>
              <w:t>под</w:t>
            </w:r>
            <w:r w:rsidRPr="00E054CC">
              <w:rPr>
                <w:spacing w:val="-8"/>
                <w:sz w:val="24"/>
                <w:szCs w:val="24"/>
                <w:lang w:eastAsia="ar-SA"/>
              </w:rPr>
              <w:t>группа пациентов с ОС без ХП (</w:t>
            </w:r>
            <w:r w:rsidRPr="00E054CC">
              <w:rPr>
                <w:spacing w:val="-8"/>
                <w:sz w:val="24"/>
                <w:szCs w:val="24"/>
                <w:lang w:val="en-US" w:eastAsia="ar-SA"/>
              </w:rPr>
              <w:t>n</w:t>
            </w:r>
            <w:r w:rsidRPr="00E054CC">
              <w:rPr>
                <w:spacing w:val="-8"/>
                <w:sz w:val="24"/>
                <w:szCs w:val="24"/>
                <w:lang w:eastAsia="ar-SA"/>
              </w:rPr>
              <w:t xml:space="preserve"> = 30)</w:t>
            </w:r>
          </w:p>
        </w:tc>
        <w:tc>
          <w:tcPr>
            <w:tcW w:w="1276" w:type="dxa"/>
            <w:tcBorders>
              <w:top w:val="single" w:sz="4" w:space="0" w:color="000000"/>
              <w:left w:val="single" w:sz="4" w:space="0" w:color="000000"/>
              <w:bottom w:val="single" w:sz="4" w:space="0" w:color="000000"/>
            </w:tcBorders>
            <w:tcMar>
              <w:left w:w="28" w:type="dxa"/>
              <w:right w:w="28" w:type="dxa"/>
            </w:tcMar>
            <w:vAlign w:val="center"/>
          </w:tcPr>
          <w:p w:rsidR="00286780" w:rsidRPr="00E054CC" w:rsidRDefault="00286780" w:rsidP="00124D89">
            <w:pPr>
              <w:snapToGrid w:val="0"/>
              <w:jc w:val="center"/>
              <w:rPr>
                <w:rFonts w:cs="Calibri"/>
                <w:spacing w:val="-8"/>
                <w:sz w:val="24"/>
                <w:szCs w:val="24"/>
                <w:lang w:val="en-US" w:eastAsia="ar-SA"/>
              </w:rPr>
            </w:pPr>
            <w:r w:rsidRPr="00E054CC">
              <w:rPr>
                <w:rFonts w:cs="Calibri"/>
                <w:spacing w:val="-8"/>
                <w:sz w:val="24"/>
                <w:szCs w:val="24"/>
                <w:lang w:val="en-US" w:eastAsia="ar-SA"/>
              </w:rPr>
              <w:t>14 (46,7)</w:t>
            </w:r>
          </w:p>
        </w:tc>
        <w:tc>
          <w:tcPr>
            <w:tcW w:w="851" w:type="dxa"/>
            <w:tcBorders>
              <w:top w:val="single" w:sz="4" w:space="0" w:color="000000"/>
              <w:left w:val="single" w:sz="4" w:space="0" w:color="000000"/>
              <w:bottom w:val="single" w:sz="4" w:space="0" w:color="000000"/>
            </w:tcBorders>
            <w:tcMar>
              <w:left w:w="28" w:type="dxa"/>
              <w:right w:w="28" w:type="dxa"/>
            </w:tcMar>
            <w:vAlign w:val="center"/>
          </w:tcPr>
          <w:p w:rsidR="00286780" w:rsidRPr="00E054CC" w:rsidRDefault="00286780" w:rsidP="00124D89">
            <w:pPr>
              <w:snapToGrid w:val="0"/>
              <w:jc w:val="center"/>
              <w:rPr>
                <w:rFonts w:cs="Calibri"/>
                <w:iCs/>
                <w:spacing w:val="-8"/>
                <w:sz w:val="24"/>
                <w:szCs w:val="24"/>
                <w:lang w:val="en-US" w:eastAsia="ar-SA"/>
              </w:rPr>
            </w:pPr>
            <w:r w:rsidRPr="00E054CC">
              <w:rPr>
                <w:rFonts w:cs="Calibri"/>
                <w:iCs/>
                <w:spacing w:val="-8"/>
                <w:sz w:val="24"/>
                <w:szCs w:val="24"/>
                <w:lang w:val="en-US" w:eastAsia="ar-SA"/>
              </w:rPr>
              <w:t>–</w:t>
            </w:r>
          </w:p>
        </w:tc>
        <w:tc>
          <w:tcPr>
            <w:tcW w:w="1275" w:type="dxa"/>
            <w:tcBorders>
              <w:top w:val="single" w:sz="4" w:space="0" w:color="000000"/>
              <w:left w:val="single" w:sz="4" w:space="0" w:color="000000"/>
              <w:bottom w:val="single" w:sz="4" w:space="0" w:color="000000"/>
            </w:tcBorders>
            <w:tcMar>
              <w:left w:w="28" w:type="dxa"/>
              <w:right w:w="28" w:type="dxa"/>
            </w:tcMar>
            <w:vAlign w:val="center"/>
          </w:tcPr>
          <w:p w:rsidR="00286780" w:rsidRPr="00E054CC" w:rsidRDefault="00286780" w:rsidP="00124D89">
            <w:pPr>
              <w:snapToGrid w:val="0"/>
              <w:jc w:val="center"/>
              <w:rPr>
                <w:rFonts w:cs="Calibri"/>
                <w:spacing w:val="-8"/>
                <w:sz w:val="24"/>
                <w:szCs w:val="24"/>
                <w:lang w:val="en-US" w:eastAsia="ar-SA"/>
              </w:rPr>
            </w:pPr>
            <w:r w:rsidRPr="00E054CC">
              <w:rPr>
                <w:rFonts w:cs="Calibri"/>
                <w:spacing w:val="-8"/>
                <w:sz w:val="24"/>
                <w:szCs w:val="24"/>
                <w:lang w:val="en-US" w:eastAsia="ar-SA"/>
              </w:rPr>
              <w:t>2 (6,7)</w:t>
            </w:r>
          </w:p>
        </w:tc>
        <w:tc>
          <w:tcPr>
            <w:tcW w:w="8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E054CC" w:rsidRDefault="00286780" w:rsidP="00124D89">
            <w:pPr>
              <w:snapToGrid w:val="0"/>
              <w:jc w:val="center"/>
              <w:rPr>
                <w:rFonts w:cs="Calibri"/>
                <w:iCs/>
                <w:spacing w:val="-8"/>
                <w:sz w:val="24"/>
                <w:szCs w:val="24"/>
                <w:lang w:val="en-US" w:eastAsia="ar-SA"/>
              </w:rPr>
            </w:pPr>
            <w:r w:rsidRPr="00E054CC">
              <w:rPr>
                <w:rFonts w:cs="Calibri"/>
                <w:iCs/>
                <w:spacing w:val="-8"/>
                <w:sz w:val="24"/>
                <w:szCs w:val="24"/>
                <w:lang w:val="en-US" w:eastAsia="ar-SA"/>
              </w:rPr>
              <w:t>–</w:t>
            </w:r>
          </w:p>
        </w:tc>
      </w:tr>
      <w:tr w:rsidR="00286780" w:rsidRPr="00E054CC" w:rsidTr="00874414">
        <w:trPr>
          <w:trHeight w:val="227"/>
        </w:trPr>
        <w:tc>
          <w:tcPr>
            <w:tcW w:w="9923" w:type="dxa"/>
            <w:gridSpan w:val="5"/>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E054CC" w:rsidRDefault="00286780" w:rsidP="00124D89">
            <w:pPr>
              <w:snapToGrid w:val="0"/>
              <w:jc w:val="both"/>
              <w:rPr>
                <w:rFonts w:cs="Calibri"/>
                <w:i/>
                <w:iCs/>
                <w:spacing w:val="-8"/>
                <w:sz w:val="24"/>
                <w:szCs w:val="24"/>
                <w:lang w:eastAsia="ar-SA"/>
              </w:rPr>
            </w:pPr>
            <w:r w:rsidRPr="00E054CC">
              <w:rPr>
                <w:rFonts w:cs="Calibri"/>
                <w:i/>
                <w:spacing w:val="-8"/>
                <w:sz w:val="24"/>
                <w:szCs w:val="24"/>
                <w:lang w:eastAsia="ar-SA"/>
              </w:rPr>
              <w:t>Примечание</w:t>
            </w:r>
            <w:r w:rsidRPr="00E054CC">
              <w:rPr>
                <w:rFonts w:cs="Calibri"/>
                <w:spacing w:val="-8"/>
                <w:sz w:val="24"/>
                <w:szCs w:val="24"/>
                <w:lang w:eastAsia="ar-SA"/>
              </w:rPr>
              <w:t>: * – раз</w:t>
            </w:r>
            <w:r>
              <w:rPr>
                <w:rFonts w:cs="Calibri"/>
                <w:spacing w:val="-8"/>
                <w:sz w:val="24"/>
                <w:szCs w:val="24"/>
                <w:lang w:eastAsia="ar-SA"/>
              </w:rPr>
              <w:t>личия статистически значимы (р&lt;</w:t>
            </w:r>
            <w:r w:rsidRPr="00E054CC">
              <w:rPr>
                <w:rFonts w:cs="Calibri"/>
                <w:spacing w:val="-8"/>
                <w:sz w:val="24"/>
                <w:szCs w:val="24"/>
                <w:lang w:eastAsia="ar-SA"/>
              </w:rPr>
              <w:t xml:space="preserve">0,05); ** – </w:t>
            </w:r>
            <w:r w:rsidRPr="00E054CC">
              <w:rPr>
                <w:spacing w:val="-8"/>
                <w:sz w:val="22"/>
                <w:szCs w:val="22"/>
                <w:lang w:eastAsia="ar-SA"/>
              </w:rPr>
              <w:t>распространение воспалительного процесса; развитие сепсиса, септического шока, медиастинита, аррозивного кровотечения, отека легких и головного мозга, острой дыхательной недостаточности</w:t>
            </w:r>
          </w:p>
        </w:tc>
      </w:tr>
    </w:tbl>
    <w:p w:rsidR="00286780" w:rsidRPr="00E054CC" w:rsidRDefault="00286780" w:rsidP="00124D89">
      <w:pPr>
        <w:jc w:val="both"/>
        <w:rPr>
          <w:rFonts w:cs="Calibri"/>
          <w:spacing w:val="-8"/>
          <w:sz w:val="24"/>
          <w:szCs w:val="24"/>
          <w:lang w:eastAsia="ar-SA"/>
        </w:rPr>
      </w:pPr>
    </w:p>
    <w:p w:rsidR="00286780" w:rsidRPr="00EB7721" w:rsidRDefault="00286780" w:rsidP="00EB7721">
      <w:pPr>
        <w:spacing w:line="360" w:lineRule="auto"/>
        <w:ind w:firstLine="709"/>
        <w:jc w:val="both"/>
        <w:rPr>
          <w:rFonts w:cs="Calibri"/>
          <w:sz w:val="28"/>
          <w:szCs w:val="28"/>
          <w:lang w:eastAsia="ar-SA"/>
        </w:rPr>
      </w:pPr>
      <w:r w:rsidRPr="00124D89">
        <w:rPr>
          <w:rFonts w:cs="Calibri"/>
          <w:sz w:val="28"/>
          <w:szCs w:val="28"/>
          <w:lang w:eastAsia="ar-SA"/>
        </w:rPr>
        <w:t>Таким образом, полиморбидная полиорга</w:t>
      </w:r>
      <w:r>
        <w:rPr>
          <w:rFonts w:cs="Calibri"/>
          <w:sz w:val="28"/>
          <w:szCs w:val="28"/>
          <w:lang w:eastAsia="ar-SA"/>
        </w:rPr>
        <w:t>нная ХП внутренних органов у па</w:t>
      </w:r>
      <w:r w:rsidRPr="00124D89">
        <w:rPr>
          <w:rFonts w:cs="Calibri"/>
          <w:sz w:val="28"/>
          <w:szCs w:val="28"/>
          <w:lang w:eastAsia="ar-SA"/>
        </w:rPr>
        <w:t xml:space="preserve">циентов с одонтогенным сепсисом является </w:t>
      </w:r>
      <w:r w:rsidRPr="00124D89">
        <w:rPr>
          <w:rFonts w:cs="Calibri"/>
          <w:i/>
          <w:iCs/>
          <w:sz w:val="28"/>
          <w:szCs w:val="28"/>
          <w:lang w:eastAsia="ar-SA"/>
        </w:rPr>
        <w:t xml:space="preserve">фоновой </w:t>
      </w:r>
      <w:r w:rsidRPr="00124D89">
        <w:rPr>
          <w:rFonts w:cs="Calibri"/>
          <w:sz w:val="28"/>
          <w:szCs w:val="28"/>
          <w:lang w:eastAsia="ar-SA"/>
        </w:rPr>
        <w:t>вне зависимости от нозологических характеристик</w:t>
      </w:r>
      <w:r w:rsidRPr="00124D89">
        <w:rPr>
          <w:rFonts w:cs="Calibri"/>
          <w:i/>
          <w:iCs/>
          <w:sz w:val="28"/>
          <w:szCs w:val="28"/>
          <w:lang w:eastAsia="ar-SA"/>
        </w:rPr>
        <w:t>.</w:t>
      </w:r>
      <w:r w:rsidRPr="00124D89">
        <w:rPr>
          <w:rFonts w:cs="Calibri"/>
          <w:sz w:val="28"/>
          <w:szCs w:val="28"/>
          <w:lang w:eastAsia="ar-SA"/>
        </w:rPr>
        <w:t xml:space="preserve">Средние значения показателей частоты дыхательных движений, гемодинамики, клеточного и биохимического составов крови у больных с одонтогенным сепсисом и фоновой полиморбидной полиорганной патологией (основная группа), их сравнительная характеристика в отношении </w:t>
      </w:r>
      <w:r>
        <w:rPr>
          <w:rFonts w:cs="Calibri"/>
          <w:sz w:val="28"/>
          <w:szCs w:val="28"/>
          <w:lang w:eastAsia="ar-SA"/>
        </w:rPr>
        <w:t>под</w:t>
      </w:r>
      <w:r w:rsidRPr="00124D89">
        <w:rPr>
          <w:rFonts w:cs="Calibri"/>
          <w:sz w:val="28"/>
          <w:szCs w:val="28"/>
          <w:lang w:eastAsia="ar-SA"/>
        </w:rPr>
        <w:t xml:space="preserve">группы больных с одонтогенным сепсисом без хронических заболеваний (контрольная подгруппа), а </w:t>
      </w:r>
      <w:r>
        <w:rPr>
          <w:rFonts w:cs="Calibri"/>
          <w:sz w:val="28"/>
          <w:szCs w:val="28"/>
          <w:lang w:eastAsia="ar-SA"/>
        </w:rPr>
        <w:t>такжепод</w:t>
      </w:r>
      <w:r w:rsidRPr="00124D89">
        <w:rPr>
          <w:rFonts w:cs="Calibri"/>
          <w:sz w:val="28"/>
          <w:szCs w:val="28"/>
          <w:lang w:eastAsia="ar-SA"/>
        </w:rPr>
        <w:t>группы пациентов с МФОИ в сочетании с фоновой полиорганной полиморбидной патол</w:t>
      </w:r>
      <w:r>
        <w:rPr>
          <w:rFonts w:cs="Calibri"/>
          <w:sz w:val="28"/>
          <w:szCs w:val="28"/>
          <w:lang w:eastAsia="ar-SA"/>
        </w:rPr>
        <w:t>огией, представлены в Таблице 49</w:t>
      </w:r>
      <w:r w:rsidRPr="00124D89">
        <w:rPr>
          <w:rFonts w:cs="Calibri"/>
          <w:sz w:val="28"/>
          <w:szCs w:val="28"/>
          <w:lang w:eastAsia="ar-SA"/>
        </w:rPr>
        <w:t>.</w:t>
      </w:r>
    </w:p>
    <w:p w:rsidR="00286780" w:rsidRPr="00124D89" w:rsidRDefault="00286780" w:rsidP="00124D89">
      <w:pPr>
        <w:spacing w:after="120"/>
        <w:jc w:val="both"/>
        <w:rPr>
          <w:sz w:val="28"/>
          <w:szCs w:val="28"/>
        </w:rPr>
      </w:pPr>
      <w:r w:rsidRPr="00124D89">
        <w:rPr>
          <w:b/>
          <w:sz w:val="28"/>
          <w:szCs w:val="28"/>
        </w:rPr>
        <w:lastRenderedPageBreak/>
        <w:t>Таблица 4</w:t>
      </w:r>
      <w:r>
        <w:rPr>
          <w:b/>
          <w:sz w:val="28"/>
          <w:szCs w:val="28"/>
        </w:rPr>
        <w:t>9</w:t>
      </w:r>
      <w:r w:rsidRPr="00124D89">
        <w:rPr>
          <w:sz w:val="28"/>
          <w:szCs w:val="28"/>
        </w:rPr>
        <w:t xml:space="preserve"> – Сравнительная клинико-лабораторная характеристика пациентов с одонтогенным сепсисом и полиорганной полиморбидностью</w:t>
      </w:r>
    </w:p>
    <w:tbl>
      <w:tblPr>
        <w:tblW w:w="9923" w:type="dxa"/>
        <w:tblLayout w:type="fixed"/>
        <w:tblLook w:val="0000" w:firstRow="0" w:lastRow="0" w:firstColumn="0" w:lastColumn="0" w:noHBand="0" w:noVBand="0"/>
      </w:tblPr>
      <w:tblGrid>
        <w:gridCol w:w="3289"/>
        <w:gridCol w:w="1984"/>
        <w:gridCol w:w="1985"/>
        <w:gridCol w:w="2665"/>
      </w:tblGrid>
      <w:tr w:rsidR="00286780" w:rsidRPr="00124D89" w:rsidTr="00E054CC">
        <w:trPr>
          <w:trHeight w:val="227"/>
        </w:trPr>
        <w:tc>
          <w:tcPr>
            <w:tcW w:w="3289" w:type="dxa"/>
            <w:vMerge w:val="restart"/>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i/>
                <w:spacing w:val="-8"/>
                <w:sz w:val="22"/>
                <w:szCs w:val="22"/>
                <w:lang w:eastAsia="ar-SA"/>
              </w:rPr>
            </w:pPr>
            <w:r w:rsidRPr="00124D89">
              <w:rPr>
                <w:rFonts w:cs="Calibri"/>
                <w:i/>
                <w:spacing w:val="-8"/>
                <w:sz w:val="22"/>
                <w:szCs w:val="22"/>
                <w:lang w:eastAsia="ar-SA"/>
              </w:rPr>
              <w:t>Признак</w:t>
            </w:r>
          </w:p>
        </w:tc>
        <w:tc>
          <w:tcPr>
            <w:tcW w:w="3969" w:type="dxa"/>
            <w:gridSpan w:val="2"/>
            <w:tcBorders>
              <w:top w:val="single" w:sz="4" w:space="0" w:color="000000"/>
              <w:left w:val="single" w:sz="4" w:space="0" w:color="000000"/>
            </w:tcBorders>
            <w:tcMar>
              <w:left w:w="28" w:type="dxa"/>
              <w:right w:w="28" w:type="dxa"/>
            </w:tcMar>
            <w:vAlign w:val="center"/>
          </w:tcPr>
          <w:p w:rsidR="00286780" w:rsidRPr="00124D89" w:rsidRDefault="00286780" w:rsidP="00124D89">
            <w:pPr>
              <w:snapToGrid w:val="0"/>
              <w:jc w:val="center"/>
              <w:rPr>
                <w:rFonts w:cs="Calibri"/>
                <w:i/>
                <w:spacing w:val="-8"/>
                <w:sz w:val="22"/>
                <w:szCs w:val="22"/>
                <w:lang w:eastAsia="ar-SA"/>
              </w:rPr>
            </w:pPr>
            <w:r w:rsidRPr="00124D89">
              <w:rPr>
                <w:rFonts w:cs="Calibri"/>
                <w:i/>
                <w:spacing w:val="-8"/>
                <w:sz w:val="22"/>
                <w:szCs w:val="22"/>
                <w:lang w:eastAsia="ar-SA"/>
              </w:rPr>
              <w:t>Полиорганная полиморбидность</w:t>
            </w:r>
          </w:p>
        </w:tc>
        <w:tc>
          <w:tcPr>
            <w:tcW w:w="2665" w:type="dxa"/>
            <w:vMerge w:val="restart"/>
            <w:tcBorders>
              <w:top w:val="single" w:sz="4" w:space="0" w:color="000000"/>
              <w:left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i/>
                <w:spacing w:val="-8"/>
                <w:sz w:val="22"/>
                <w:szCs w:val="22"/>
                <w:lang w:eastAsia="ar-SA"/>
              </w:rPr>
            </w:pPr>
            <w:r w:rsidRPr="00124D89">
              <w:rPr>
                <w:rFonts w:cs="Calibri"/>
                <w:i/>
                <w:spacing w:val="-8"/>
                <w:sz w:val="22"/>
                <w:szCs w:val="22"/>
                <w:lang w:eastAsia="ar-SA"/>
              </w:rPr>
              <w:t>МФОИ в сочетании с фоновой полиорганной полиморбидной патологией (</w:t>
            </w:r>
            <w:r w:rsidRPr="00124D89">
              <w:rPr>
                <w:rFonts w:cs="Calibri"/>
                <w:i/>
                <w:spacing w:val="-8"/>
                <w:sz w:val="22"/>
                <w:szCs w:val="22"/>
                <w:lang w:val="en-US" w:eastAsia="ar-SA"/>
              </w:rPr>
              <w:t>n</w:t>
            </w:r>
            <w:r w:rsidRPr="00124D89">
              <w:rPr>
                <w:rFonts w:cs="Calibri"/>
                <w:i/>
                <w:spacing w:val="-8"/>
                <w:sz w:val="22"/>
                <w:szCs w:val="22"/>
                <w:lang w:eastAsia="ar-SA"/>
              </w:rPr>
              <w:t xml:space="preserve"> = 66)</w:t>
            </w:r>
          </w:p>
        </w:tc>
      </w:tr>
      <w:tr w:rsidR="00286780" w:rsidRPr="00124D89" w:rsidTr="00E054CC">
        <w:trPr>
          <w:trHeight w:val="227"/>
        </w:trPr>
        <w:tc>
          <w:tcPr>
            <w:tcW w:w="3289" w:type="dxa"/>
            <w:vMerge/>
            <w:tcBorders>
              <w:top w:val="single" w:sz="4" w:space="0" w:color="000000"/>
              <w:left w:val="single" w:sz="4" w:space="0" w:color="000000"/>
              <w:bottom w:val="single" w:sz="4" w:space="0" w:color="000000"/>
            </w:tcBorders>
            <w:tcMar>
              <w:left w:w="28" w:type="dxa"/>
              <w:right w:w="28" w:type="dxa"/>
            </w:tcMar>
          </w:tcPr>
          <w:p w:rsidR="00286780" w:rsidRPr="00124D89" w:rsidRDefault="00286780" w:rsidP="00124D89">
            <w:pPr>
              <w:snapToGrid w:val="0"/>
              <w:rPr>
                <w:rFonts w:cs="Calibri"/>
                <w:spacing w:val="-8"/>
                <w:sz w:val="22"/>
                <w:szCs w:val="22"/>
                <w:lang w:eastAsia="ar-SA"/>
              </w:rPr>
            </w:pPr>
          </w:p>
        </w:tc>
        <w:tc>
          <w:tcPr>
            <w:tcW w:w="198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2"/>
                <w:szCs w:val="22"/>
                <w:lang w:eastAsia="ar-SA"/>
              </w:rPr>
            </w:pPr>
            <w:r w:rsidRPr="00124D89">
              <w:rPr>
                <w:rFonts w:cs="Calibri"/>
                <w:spacing w:val="-8"/>
                <w:sz w:val="22"/>
                <w:szCs w:val="22"/>
                <w:lang w:eastAsia="ar-SA"/>
              </w:rPr>
              <w:t>определяется (</w:t>
            </w:r>
            <w:r w:rsidRPr="00124D89">
              <w:rPr>
                <w:rFonts w:cs="Calibri"/>
                <w:spacing w:val="-8"/>
                <w:sz w:val="22"/>
                <w:szCs w:val="22"/>
                <w:lang w:val="en-US" w:eastAsia="ar-SA"/>
              </w:rPr>
              <w:t>n=28</w:t>
            </w:r>
            <w:r w:rsidRPr="00124D89">
              <w:rPr>
                <w:rFonts w:cs="Calibri"/>
                <w:spacing w:val="-8"/>
                <w:sz w:val="22"/>
                <w:szCs w:val="22"/>
                <w:lang w:eastAsia="ar-SA"/>
              </w:rPr>
              <w:t>)</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2"/>
                <w:szCs w:val="22"/>
                <w:lang w:eastAsia="ar-SA"/>
              </w:rPr>
            </w:pPr>
            <w:r w:rsidRPr="00124D89">
              <w:rPr>
                <w:rFonts w:cs="Calibri"/>
                <w:spacing w:val="-8"/>
                <w:sz w:val="22"/>
                <w:szCs w:val="22"/>
                <w:lang w:eastAsia="ar-SA"/>
              </w:rPr>
              <w:t>отсутствует (</w:t>
            </w:r>
            <w:r w:rsidRPr="00124D89">
              <w:rPr>
                <w:rFonts w:cs="Calibri"/>
                <w:spacing w:val="-8"/>
                <w:sz w:val="22"/>
                <w:szCs w:val="22"/>
                <w:lang w:val="en-US" w:eastAsia="ar-SA"/>
              </w:rPr>
              <w:t>n=30</w:t>
            </w:r>
            <w:r w:rsidRPr="00124D89">
              <w:rPr>
                <w:rFonts w:cs="Calibri"/>
                <w:spacing w:val="-8"/>
                <w:sz w:val="22"/>
                <w:szCs w:val="22"/>
                <w:lang w:eastAsia="ar-SA"/>
              </w:rPr>
              <w:t>)</w:t>
            </w:r>
          </w:p>
        </w:tc>
        <w:tc>
          <w:tcPr>
            <w:tcW w:w="2665" w:type="dxa"/>
            <w:vMerge/>
            <w:tcBorders>
              <w:left w:val="single" w:sz="4" w:space="0" w:color="000000"/>
              <w:bottom w:val="single" w:sz="4" w:space="0" w:color="000000"/>
              <w:right w:val="single" w:sz="4" w:space="0" w:color="000000"/>
            </w:tcBorders>
            <w:tcMar>
              <w:left w:w="28" w:type="dxa"/>
              <w:right w:w="28" w:type="dxa"/>
            </w:tcMar>
          </w:tcPr>
          <w:p w:rsidR="00286780" w:rsidRPr="00124D89" w:rsidRDefault="00286780" w:rsidP="00124D89">
            <w:pPr>
              <w:snapToGrid w:val="0"/>
              <w:jc w:val="center"/>
              <w:rPr>
                <w:rFonts w:cs="Calibri"/>
                <w:spacing w:val="-8"/>
                <w:sz w:val="22"/>
                <w:szCs w:val="22"/>
                <w:lang w:eastAsia="ar-SA"/>
              </w:rPr>
            </w:pPr>
          </w:p>
        </w:tc>
      </w:tr>
      <w:tr w:rsidR="00286780" w:rsidRPr="00124D89" w:rsidTr="00E054CC">
        <w:trPr>
          <w:trHeight w:val="397"/>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2"/>
                <w:szCs w:val="22"/>
                <w:lang w:eastAsia="ar-SA"/>
              </w:rPr>
            </w:pPr>
            <w:r w:rsidRPr="00124D89">
              <w:rPr>
                <w:rFonts w:cs="Calibri"/>
                <w:spacing w:val="-8"/>
                <w:sz w:val="22"/>
                <w:szCs w:val="22"/>
                <w:lang w:eastAsia="ar-SA"/>
              </w:rPr>
              <w:t>Частота дыхательных движений (в 1 мин.)</w:t>
            </w:r>
          </w:p>
        </w:tc>
        <w:tc>
          <w:tcPr>
            <w:tcW w:w="198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2"/>
                <w:szCs w:val="22"/>
                <w:lang w:eastAsia="ar-SA"/>
              </w:rPr>
            </w:pPr>
            <w:r>
              <w:rPr>
                <w:rFonts w:cs="Calibri"/>
                <w:spacing w:val="-8"/>
                <w:sz w:val="22"/>
                <w:szCs w:val="22"/>
                <w:lang w:eastAsia="ar-SA"/>
              </w:rPr>
              <w:t>24</w:t>
            </w:r>
            <w:r w:rsidRPr="00124D89">
              <w:rPr>
                <w:rFonts w:cs="Calibri"/>
                <w:spacing w:val="-8"/>
                <w:sz w:val="22"/>
                <w:szCs w:val="22"/>
                <w:lang w:val="en-US" w:eastAsia="ar-SA"/>
              </w:rPr>
              <w:t>[19</w:t>
            </w:r>
            <w:r>
              <w:rPr>
                <w:rFonts w:cs="Calibri"/>
                <w:spacing w:val="-8"/>
                <w:sz w:val="22"/>
                <w:szCs w:val="22"/>
                <w:lang w:eastAsia="ar-SA"/>
              </w:rPr>
              <w:t>;</w:t>
            </w:r>
            <w:r w:rsidRPr="00124D89">
              <w:rPr>
                <w:rFonts w:cs="Calibri"/>
                <w:spacing w:val="-8"/>
                <w:sz w:val="22"/>
                <w:szCs w:val="22"/>
                <w:lang w:val="en-US" w:eastAsia="ar-SA"/>
              </w:rPr>
              <w:t>32]</w:t>
            </w:r>
            <w:r w:rsidRPr="00124D89">
              <w:rPr>
                <w:rFonts w:cs="Calibri"/>
                <w:spacing w:val="-8"/>
                <w:sz w:val="22"/>
                <w:szCs w:val="22"/>
                <w:lang w:eastAsia="ar-SA"/>
              </w:rPr>
              <w:t>**</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2"/>
                <w:szCs w:val="22"/>
                <w:lang w:eastAsia="ar-SA"/>
              </w:rPr>
            </w:pPr>
            <w:r>
              <w:rPr>
                <w:rFonts w:cs="Calibri"/>
                <w:spacing w:val="-8"/>
                <w:sz w:val="22"/>
                <w:szCs w:val="22"/>
                <w:lang w:eastAsia="ar-SA"/>
              </w:rPr>
              <w:t>19[18;</w:t>
            </w:r>
            <w:r w:rsidRPr="00124D89">
              <w:rPr>
                <w:rFonts w:cs="Calibri"/>
                <w:spacing w:val="-8"/>
                <w:sz w:val="22"/>
                <w:szCs w:val="22"/>
                <w:lang w:eastAsia="ar-SA"/>
              </w:rPr>
              <w:t>22]</w:t>
            </w:r>
          </w:p>
        </w:tc>
        <w:tc>
          <w:tcPr>
            <w:tcW w:w="2665"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2"/>
                <w:szCs w:val="22"/>
                <w:lang w:eastAsia="ar-SA"/>
              </w:rPr>
            </w:pPr>
            <w:r>
              <w:rPr>
                <w:rFonts w:cs="Calibri"/>
                <w:spacing w:val="-8"/>
                <w:sz w:val="22"/>
                <w:szCs w:val="22"/>
                <w:lang w:eastAsia="ar-SA"/>
              </w:rPr>
              <w:t>17</w:t>
            </w:r>
            <w:r w:rsidRPr="00124D89">
              <w:rPr>
                <w:rFonts w:cs="Calibri"/>
                <w:spacing w:val="-8"/>
                <w:sz w:val="22"/>
                <w:szCs w:val="22"/>
                <w:lang w:val="en-US" w:eastAsia="ar-SA"/>
              </w:rPr>
              <w:t>[</w:t>
            </w:r>
            <w:r>
              <w:rPr>
                <w:rFonts w:cs="Calibri"/>
                <w:spacing w:val="-8"/>
                <w:sz w:val="22"/>
                <w:szCs w:val="22"/>
                <w:lang w:eastAsia="ar-SA"/>
              </w:rPr>
              <w:t>17;</w:t>
            </w:r>
            <w:r w:rsidRPr="00124D89">
              <w:rPr>
                <w:rFonts w:cs="Calibri"/>
                <w:spacing w:val="-8"/>
                <w:sz w:val="22"/>
                <w:szCs w:val="22"/>
                <w:lang w:eastAsia="ar-SA"/>
              </w:rPr>
              <w:t>18</w:t>
            </w:r>
            <w:r w:rsidRPr="00124D89">
              <w:rPr>
                <w:rFonts w:cs="Calibri"/>
                <w:spacing w:val="-8"/>
                <w:sz w:val="22"/>
                <w:szCs w:val="22"/>
                <w:lang w:val="en-US" w:eastAsia="ar-SA"/>
              </w:rPr>
              <w:t>]</w:t>
            </w:r>
          </w:p>
        </w:tc>
      </w:tr>
      <w:tr w:rsidR="00286780" w:rsidRPr="00124D89" w:rsidTr="00E054CC">
        <w:trPr>
          <w:trHeight w:val="397"/>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2"/>
                <w:szCs w:val="22"/>
                <w:lang w:eastAsia="ar-SA"/>
              </w:rPr>
            </w:pPr>
            <w:r w:rsidRPr="00124D89">
              <w:rPr>
                <w:rFonts w:cs="Calibri"/>
                <w:spacing w:val="-8"/>
                <w:sz w:val="22"/>
                <w:szCs w:val="22"/>
                <w:lang w:eastAsia="ar-SA"/>
              </w:rPr>
              <w:t>АД систолическое (мм рт.ст.)</w:t>
            </w:r>
          </w:p>
        </w:tc>
        <w:tc>
          <w:tcPr>
            <w:tcW w:w="198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2"/>
                <w:szCs w:val="22"/>
                <w:highlight w:val="red"/>
                <w:lang w:eastAsia="ar-SA"/>
              </w:rPr>
            </w:pPr>
            <w:r>
              <w:rPr>
                <w:rFonts w:cs="Calibri"/>
                <w:spacing w:val="-8"/>
                <w:sz w:val="22"/>
                <w:szCs w:val="22"/>
                <w:lang w:eastAsia="ar-SA"/>
              </w:rPr>
              <w:t>100</w:t>
            </w:r>
            <w:r w:rsidRPr="00124D89">
              <w:rPr>
                <w:rFonts w:cs="Calibri"/>
                <w:spacing w:val="-8"/>
                <w:sz w:val="22"/>
                <w:szCs w:val="22"/>
                <w:lang w:val="en-US" w:eastAsia="ar-SA"/>
              </w:rPr>
              <w:t>[</w:t>
            </w:r>
            <w:r>
              <w:rPr>
                <w:rFonts w:cs="Calibri"/>
                <w:spacing w:val="-8"/>
                <w:sz w:val="22"/>
                <w:szCs w:val="22"/>
                <w:lang w:eastAsia="ar-SA"/>
              </w:rPr>
              <w:t>75;</w:t>
            </w:r>
            <w:r w:rsidRPr="00124D89">
              <w:rPr>
                <w:rFonts w:cs="Calibri"/>
                <w:spacing w:val="-8"/>
                <w:sz w:val="22"/>
                <w:szCs w:val="22"/>
                <w:lang w:eastAsia="ar-SA"/>
              </w:rPr>
              <w:t>122,5</w:t>
            </w:r>
            <w:r w:rsidRPr="00124D89">
              <w:rPr>
                <w:rFonts w:cs="Calibri"/>
                <w:spacing w:val="-8"/>
                <w:sz w:val="22"/>
                <w:szCs w:val="22"/>
                <w:lang w:val="en-US" w:eastAsia="ar-SA"/>
              </w:rPr>
              <w:t>]</w:t>
            </w:r>
            <w:r w:rsidRPr="00124D89">
              <w:rPr>
                <w:rFonts w:cs="Calibri"/>
                <w:spacing w:val="-8"/>
                <w:sz w:val="22"/>
                <w:szCs w:val="22"/>
                <w:lang w:eastAsia="ar-SA"/>
              </w:rPr>
              <w:t>***</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2"/>
                <w:szCs w:val="22"/>
                <w:lang w:val="en-US" w:eastAsia="ar-SA"/>
              </w:rPr>
            </w:pPr>
            <w:r>
              <w:rPr>
                <w:rFonts w:cs="Calibri"/>
                <w:spacing w:val="-8"/>
                <w:sz w:val="22"/>
                <w:szCs w:val="22"/>
                <w:lang w:eastAsia="ar-SA"/>
              </w:rPr>
              <w:t>125</w:t>
            </w:r>
            <w:r w:rsidRPr="00124D89">
              <w:rPr>
                <w:rFonts w:cs="Calibri"/>
                <w:spacing w:val="-8"/>
                <w:sz w:val="22"/>
                <w:szCs w:val="22"/>
                <w:lang w:val="en-US" w:eastAsia="ar-SA"/>
              </w:rPr>
              <w:t>[120</w:t>
            </w:r>
            <w:r>
              <w:rPr>
                <w:rFonts w:cs="Calibri"/>
                <w:spacing w:val="-8"/>
                <w:sz w:val="22"/>
                <w:szCs w:val="22"/>
                <w:lang w:eastAsia="ar-SA"/>
              </w:rPr>
              <w:t>;</w:t>
            </w:r>
            <w:r w:rsidRPr="00124D89">
              <w:rPr>
                <w:rFonts w:cs="Calibri"/>
                <w:spacing w:val="-8"/>
                <w:sz w:val="22"/>
                <w:szCs w:val="22"/>
                <w:lang w:eastAsia="ar-SA"/>
              </w:rPr>
              <w:t>130</w:t>
            </w:r>
            <w:r w:rsidRPr="00124D89">
              <w:rPr>
                <w:rFonts w:cs="Calibri"/>
                <w:spacing w:val="-8"/>
                <w:sz w:val="22"/>
                <w:szCs w:val="22"/>
                <w:lang w:val="en-US" w:eastAsia="ar-SA"/>
              </w:rPr>
              <w:t>]</w:t>
            </w:r>
            <w:r w:rsidR="00041A10">
              <w:rPr>
                <w:rFonts w:cs="Calibri"/>
                <w:spacing w:val="-8"/>
                <w:sz w:val="22"/>
                <w:szCs w:val="22"/>
                <w:lang w:val="en-US" w:eastAsia="ar-SA"/>
              </w:rPr>
              <w:t>**</w:t>
            </w:r>
          </w:p>
        </w:tc>
        <w:tc>
          <w:tcPr>
            <w:tcW w:w="2665"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spacing w:val="-8"/>
                <w:sz w:val="22"/>
                <w:szCs w:val="22"/>
                <w:lang w:eastAsia="ar-SA"/>
              </w:rPr>
            </w:pPr>
            <w:r>
              <w:rPr>
                <w:rFonts w:cs="Calibri"/>
                <w:spacing w:val="-8"/>
                <w:sz w:val="22"/>
                <w:szCs w:val="22"/>
                <w:lang w:eastAsia="ar-SA"/>
              </w:rPr>
              <w:t>140</w:t>
            </w:r>
            <w:r w:rsidRPr="00124D89">
              <w:rPr>
                <w:rFonts w:cs="Calibri"/>
                <w:spacing w:val="-8"/>
                <w:sz w:val="22"/>
                <w:szCs w:val="22"/>
                <w:lang w:val="en-US" w:eastAsia="ar-SA"/>
              </w:rPr>
              <w:t>[</w:t>
            </w:r>
            <w:r>
              <w:rPr>
                <w:rFonts w:cs="Calibri"/>
                <w:spacing w:val="-8"/>
                <w:sz w:val="22"/>
                <w:szCs w:val="22"/>
                <w:lang w:eastAsia="ar-SA"/>
              </w:rPr>
              <w:t>130;</w:t>
            </w:r>
            <w:r w:rsidRPr="00124D89">
              <w:rPr>
                <w:rFonts w:cs="Calibri"/>
                <w:spacing w:val="-8"/>
                <w:sz w:val="22"/>
                <w:szCs w:val="22"/>
                <w:lang w:eastAsia="ar-SA"/>
              </w:rPr>
              <w:t>160</w:t>
            </w:r>
            <w:r w:rsidRPr="00124D89">
              <w:rPr>
                <w:rFonts w:cs="Calibri"/>
                <w:spacing w:val="-8"/>
                <w:sz w:val="22"/>
                <w:szCs w:val="22"/>
                <w:lang w:val="en-US" w:eastAsia="ar-SA"/>
              </w:rPr>
              <w:t>]</w:t>
            </w:r>
          </w:p>
        </w:tc>
      </w:tr>
      <w:tr w:rsidR="00286780" w:rsidRPr="00124D89" w:rsidTr="00E054CC">
        <w:trPr>
          <w:trHeight w:val="397"/>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E054CC">
            <w:pPr>
              <w:snapToGrid w:val="0"/>
              <w:rPr>
                <w:rFonts w:cs="Calibri"/>
                <w:spacing w:val="-8"/>
                <w:sz w:val="22"/>
                <w:szCs w:val="22"/>
                <w:lang w:eastAsia="ar-SA"/>
              </w:rPr>
            </w:pPr>
            <w:r w:rsidRPr="00124D89">
              <w:rPr>
                <w:rFonts w:cs="Calibri"/>
                <w:spacing w:val="-8"/>
                <w:sz w:val="22"/>
                <w:szCs w:val="22"/>
                <w:lang w:eastAsia="ar-SA"/>
              </w:rPr>
              <w:t>АД диастолическое (мм рт.ст.)</w:t>
            </w:r>
          </w:p>
        </w:tc>
        <w:tc>
          <w:tcPr>
            <w:tcW w:w="198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2"/>
                <w:szCs w:val="22"/>
                <w:highlight w:val="red"/>
                <w:lang w:eastAsia="ar-SA"/>
              </w:rPr>
            </w:pPr>
            <w:r>
              <w:rPr>
                <w:rFonts w:cs="Calibri"/>
                <w:spacing w:val="-8"/>
                <w:sz w:val="22"/>
                <w:szCs w:val="22"/>
                <w:lang w:eastAsia="ar-SA"/>
              </w:rPr>
              <w:t>70</w:t>
            </w:r>
            <w:r w:rsidRPr="00E054CC">
              <w:rPr>
                <w:rFonts w:cs="Calibri"/>
                <w:spacing w:val="-8"/>
                <w:sz w:val="22"/>
                <w:szCs w:val="22"/>
                <w:lang w:eastAsia="ar-SA"/>
              </w:rPr>
              <w:t>[</w:t>
            </w:r>
            <w:r w:rsidRPr="00124D89">
              <w:rPr>
                <w:rFonts w:cs="Calibri"/>
                <w:spacing w:val="-8"/>
                <w:sz w:val="22"/>
                <w:szCs w:val="22"/>
                <w:lang w:eastAsia="ar-SA"/>
              </w:rPr>
              <w:t>40; 80</w:t>
            </w:r>
            <w:r w:rsidRPr="00E054CC">
              <w:rPr>
                <w:rFonts w:cs="Calibri"/>
                <w:spacing w:val="-8"/>
                <w:sz w:val="22"/>
                <w:szCs w:val="22"/>
                <w:lang w:eastAsia="ar-SA"/>
              </w:rPr>
              <w:t>]</w:t>
            </w:r>
            <w:r w:rsidRPr="00124D89">
              <w:rPr>
                <w:rFonts w:cs="Calibri"/>
                <w:spacing w:val="-8"/>
                <w:sz w:val="22"/>
                <w:szCs w:val="22"/>
                <w:lang w:eastAsia="ar-SA"/>
              </w:rPr>
              <w:t>***</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E054CC" w:rsidRDefault="00286780" w:rsidP="00124D89">
            <w:pPr>
              <w:snapToGrid w:val="0"/>
              <w:jc w:val="center"/>
              <w:rPr>
                <w:rFonts w:cs="Calibri"/>
                <w:spacing w:val="-8"/>
                <w:sz w:val="22"/>
                <w:szCs w:val="22"/>
                <w:lang w:eastAsia="ar-SA"/>
              </w:rPr>
            </w:pPr>
            <w:r>
              <w:rPr>
                <w:rFonts w:cs="Calibri"/>
                <w:spacing w:val="-8"/>
                <w:sz w:val="22"/>
                <w:szCs w:val="22"/>
                <w:lang w:eastAsia="ar-SA"/>
              </w:rPr>
              <w:t>80</w:t>
            </w:r>
            <w:r w:rsidRPr="00E054CC">
              <w:rPr>
                <w:rFonts w:cs="Calibri"/>
                <w:spacing w:val="-8"/>
                <w:sz w:val="22"/>
                <w:szCs w:val="22"/>
                <w:lang w:eastAsia="ar-SA"/>
              </w:rPr>
              <w:t>[</w:t>
            </w:r>
            <w:r>
              <w:rPr>
                <w:rFonts w:cs="Calibri"/>
                <w:spacing w:val="-8"/>
                <w:sz w:val="22"/>
                <w:szCs w:val="22"/>
                <w:lang w:eastAsia="ar-SA"/>
              </w:rPr>
              <w:t>70;</w:t>
            </w:r>
            <w:r w:rsidRPr="00124D89">
              <w:rPr>
                <w:rFonts w:cs="Calibri"/>
                <w:spacing w:val="-8"/>
                <w:sz w:val="22"/>
                <w:szCs w:val="22"/>
                <w:lang w:eastAsia="ar-SA"/>
              </w:rPr>
              <w:t>80</w:t>
            </w:r>
            <w:r w:rsidRPr="00E054CC">
              <w:rPr>
                <w:rFonts w:cs="Calibri"/>
                <w:spacing w:val="-8"/>
                <w:sz w:val="22"/>
                <w:szCs w:val="22"/>
                <w:lang w:eastAsia="ar-SA"/>
              </w:rPr>
              <w:t>]</w:t>
            </w:r>
          </w:p>
        </w:tc>
        <w:tc>
          <w:tcPr>
            <w:tcW w:w="2665"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i/>
                <w:spacing w:val="-8"/>
                <w:sz w:val="22"/>
                <w:szCs w:val="22"/>
                <w:lang w:eastAsia="ar-SA"/>
              </w:rPr>
            </w:pPr>
            <w:r>
              <w:rPr>
                <w:rFonts w:cs="Calibri"/>
                <w:spacing w:val="-8"/>
                <w:sz w:val="22"/>
                <w:szCs w:val="22"/>
                <w:lang w:eastAsia="ar-SA"/>
              </w:rPr>
              <w:t>80[80;</w:t>
            </w:r>
            <w:r w:rsidRPr="00124D89">
              <w:rPr>
                <w:rFonts w:cs="Calibri"/>
                <w:spacing w:val="-8"/>
                <w:sz w:val="22"/>
                <w:szCs w:val="22"/>
                <w:lang w:eastAsia="ar-SA"/>
              </w:rPr>
              <w:t>90]</w:t>
            </w:r>
          </w:p>
        </w:tc>
      </w:tr>
      <w:tr w:rsidR="00286780" w:rsidRPr="00124D89" w:rsidTr="00E054CC">
        <w:trPr>
          <w:trHeight w:val="397"/>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2"/>
                <w:szCs w:val="22"/>
                <w:lang w:eastAsia="ar-SA"/>
              </w:rPr>
            </w:pPr>
            <w:r w:rsidRPr="00124D89">
              <w:rPr>
                <w:rFonts w:cs="Calibri"/>
                <w:spacing w:val="-8"/>
                <w:sz w:val="22"/>
                <w:szCs w:val="22"/>
                <w:lang w:eastAsia="ar-SA"/>
              </w:rPr>
              <w:t>ЧСС (в 1 мин.)</w:t>
            </w:r>
          </w:p>
        </w:tc>
        <w:tc>
          <w:tcPr>
            <w:tcW w:w="198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2"/>
                <w:szCs w:val="22"/>
                <w:lang w:eastAsia="ar-SA"/>
              </w:rPr>
            </w:pPr>
            <w:r w:rsidRPr="00124D89">
              <w:rPr>
                <w:rFonts w:cs="Calibri"/>
                <w:spacing w:val="-8"/>
                <w:sz w:val="22"/>
                <w:szCs w:val="22"/>
                <w:lang w:eastAsia="ar-SA"/>
              </w:rPr>
              <w:t>109,4±3,31**</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2"/>
                <w:szCs w:val="22"/>
                <w:lang w:eastAsia="ar-SA"/>
              </w:rPr>
            </w:pPr>
            <w:r w:rsidRPr="00124D89">
              <w:rPr>
                <w:rFonts w:cs="Calibri"/>
                <w:spacing w:val="-8"/>
                <w:sz w:val="22"/>
                <w:szCs w:val="22"/>
                <w:lang w:eastAsia="ar-SA"/>
              </w:rPr>
              <w:t>107,6±4,52</w:t>
            </w:r>
          </w:p>
        </w:tc>
        <w:tc>
          <w:tcPr>
            <w:tcW w:w="2665"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2"/>
                <w:szCs w:val="22"/>
                <w:lang w:eastAsia="ar-SA"/>
              </w:rPr>
            </w:pPr>
            <w:r>
              <w:rPr>
                <w:rFonts w:cs="Calibri"/>
                <w:spacing w:val="-8"/>
                <w:sz w:val="22"/>
                <w:szCs w:val="22"/>
                <w:lang w:eastAsia="ar-SA"/>
              </w:rPr>
              <w:t>80[77;</w:t>
            </w:r>
            <w:r w:rsidRPr="00124D89">
              <w:rPr>
                <w:rFonts w:cs="Calibri"/>
                <w:spacing w:val="-8"/>
                <w:sz w:val="22"/>
                <w:szCs w:val="22"/>
                <w:lang w:eastAsia="ar-SA"/>
              </w:rPr>
              <w:t>90]</w:t>
            </w:r>
          </w:p>
        </w:tc>
      </w:tr>
      <w:tr w:rsidR="00286780" w:rsidRPr="00124D89" w:rsidTr="00E054CC">
        <w:trPr>
          <w:trHeight w:val="397"/>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2"/>
                <w:szCs w:val="22"/>
                <w:lang w:eastAsia="ar-SA"/>
              </w:rPr>
            </w:pPr>
            <w:r w:rsidRPr="00124D89">
              <w:rPr>
                <w:rFonts w:cs="Calibri"/>
                <w:spacing w:val="-8"/>
                <w:sz w:val="22"/>
                <w:szCs w:val="22"/>
                <w:lang w:eastAsia="ar-SA"/>
              </w:rPr>
              <w:t>Эритроциты (×10</w:t>
            </w:r>
            <w:r w:rsidRPr="00124D89">
              <w:rPr>
                <w:rFonts w:cs="Calibri"/>
                <w:spacing w:val="-8"/>
                <w:sz w:val="22"/>
                <w:szCs w:val="22"/>
                <w:vertAlign w:val="superscript"/>
                <w:lang w:eastAsia="ar-SA"/>
              </w:rPr>
              <w:t>12</w:t>
            </w:r>
            <w:r w:rsidRPr="00124D89">
              <w:rPr>
                <w:rFonts w:cs="Calibri"/>
                <w:spacing w:val="-8"/>
                <w:sz w:val="22"/>
                <w:szCs w:val="22"/>
                <w:lang w:eastAsia="ar-SA"/>
              </w:rPr>
              <w:t>/л)</w:t>
            </w:r>
          </w:p>
        </w:tc>
        <w:tc>
          <w:tcPr>
            <w:tcW w:w="198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2"/>
                <w:szCs w:val="22"/>
                <w:lang w:eastAsia="ar-SA"/>
              </w:rPr>
            </w:pPr>
            <w:r w:rsidRPr="00124D89">
              <w:rPr>
                <w:rFonts w:cs="Calibri"/>
                <w:spacing w:val="-8"/>
                <w:sz w:val="22"/>
                <w:szCs w:val="22"/>
                <w:lang w:eastAsia="ar-SA"/>
              </w:rPr>
              <w:t>3,21±0,17***</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041A10" w:rsidRDefault="00286780" w:rsidP="00124D89">
            <w:pPr>
              <w:snapToGrid w:val="0"/>
              <w:jc w:val="center"/>
              <w:rPr>
                <w:rFonts w:cs="Calibri"/>
                <w:spacing w:val="-8"/>
                <w:sz w:val="22"/>
                <w:szCs w:val="22"/>
                <w:lang w:val="en-US" w:eastAsia="ar-SA"/>
              </w:rPr>
            </w:pPr>
            <w:r w:rsidRPr="00124D89">
              <w:rPr>
                <w:rFonts w:cs="Calibri"/>
                <w:spacing w:val="-8"/>
                <w:sz w:val="22"/>
                <w:szCs w:val="22"/>
                <w:lang w:eastAsia="ar-SA"/>
              </w:rPr>
              <w:t>3,75±0,13</w:t>
            </w:r>
            <w:r w:rsidR="00041A10">
              <w:rPr>
                <w:rFonts w:cs="Calibri"/>
                <w:spacing w:val="-8"/>
                <w:sz w:val="22"/>
                <w:szCs w:val="22"/>
                <w:lang w:val="en-US" w:eastAsia="ar-SA"/>
              </w:rPr>
              <w:t>**</w:t>
            </w:r>
          </w:p>
        </w:tc>
        <w:tc>
          <w:tcPr>
            <w:tcW w:w="2665"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2"/>
                <w:szCs w:val="22"/>
                <w:lang w:eastAsia="ar-SA"/>
              </w:rPr>
            </w:pPr>
            <w:r w:rsidRPr="00124D89">
              <w:rPr>
                <w:rFonts w:cs="Calibri"/>
                <w:spacing w:val="-8"/>
                <w:sz w:val="22"/>
                <w:szCs w:val="22"/>
                <w:lang w:eastAsia="ar-SA"/>
              </w:rPr>
              <w:t>4,46±0,11</w:t>
            </w:r>
          </w:p>
        </w:tc>
      </w:tr>
      <w:tr w:rsidR="00286780" w:rsidRPr="00124D89" w:rsidTr="00E054CC">
        <w:trPr>
          <w:trHeight w:val="397"/>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2"/>
                <w:szCs w:val="22"/>
                <w:lang w:eastAsia="ar-SA"/>
              </w:rPr>
            </w:pPr>
            <w:r w:rsidRPr="00124D89">
              <w:rPr>
                <w:rFonts w:cs="Calibri"/>
                <w:spacing w:val="-8"/>
                <w:sz w:val="22"/>
                <w:szCs w:val="22"/>
                <w:lang w:eastAsia="ar-SA"/>
              </w:rPr>
              <w:t>Гемоглобин (г/л)</w:t>
            </w:r>
          </w:p>
        </w:tc>
        <w:tc>
          <w:tcPr>
            <w:tcW w:w="198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2"/>
                <w:szCs w:val="22"/>
                <w:lang w:eastAsia="ar-SA"/>
              </w:rPr>
            </w:pPr>
            <w:r w:rsidRPr="00124D89">
              <w:rPr>
                <w:rFonts w:cs="Calibri"/>
                <w:spacing w:val="-8"/>
                <w:sz w:val="22"/>
                <w:szCs w:val="22"/>
                <w:lang w:eastAsia="ar-SA"/>
              </w:rPr>
              <w:t>100,3±5,43***</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041A10" w:rsidRDefault="00286780" w:rsidP="00124D89">
            <w:pPr>
              <w:snapToGrid w:val="0"/>
              <w:jc w:val="center"/>
              <w:rPr>
                <w:rFonts w:cs="Calibri"/>
                <w:spacing w:val="-8"/>
                <w:sz w:val="22"/>
                <w:szCs w:val="22"/>
                <w:lang w:val="en-US" w:eastAsia="ar-SA"/>
              </w:rPr>
            </w:pPr>
            <w:r w:rsidRPr="00124D89">
              <w:rPr>
                <w:rFonts w:cs="Calibri"/>
                <w:spacing w:val="-8"/>
                <w:sz w:val="22"/>
                <w:szCs w:val="22"/>
                <w:lang w:eastAsia="ar-SA"/>
              </w:rPr>
              <w:t>116,5±4,1</w:t>
            </w:r>
            <w:r w:rsidR="00041A10">
              <w:rPr>
                <w:rFonts w:cs="Calibri"/>
                <w:spacing w:val="-8"/>
                <w:sz w:val="22"/>
                <w:szCs w:val="22"/>
                <w:lang w:val="en-US" w:eastAsia="ar-SA"/>
              </w:rPr>
              <w:t>**</w:t>
            </w:r>
          </w:p>
        </w:tc>
        <w:tc>
          <w:tcPr>
            <w:tcW w:w="2665"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2"/>
                <w:szCs w:val="22"/>
                <w:lang w:eastAsia="ar-SA"/>
              </w:rPr>
            </w:pPr>
            <w:r w:rsidRPr="00124D89">
              <w:rPr>
                <w:rFonts w:cs="Calibri"/>
                <w:spacing w:val="-8"/>
                <w:sz w:val="22"/>
                <w:szCs w:val="22"/>
                <w:lang w:eastAsia="ar-SA"/>
              </w:rPr>
              <w:t>136,1±3,66</w:t>
            </w:r>
          </w:p>
        </w:tc>
      </w:tr>
      <w:tr w:rsidR="00286780" w:rsidRPr="00124D89" w:rsidTr="00E054CC">
        <w:trPr>
          <w:trHeight w:val="397"/>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2"/>
                <w:szCs w:val="22"/>
                <w:lang w:eastAsia="ar-SA"/>
              </w:rPr>
            </w:pPr>
            <w:r w:rsidRPr="00124D89">
              <w:rPr>
                <w:rFonts w:cs="Calibri"/>
                <w:spacing w:val="-8"/>
                <w:sz w:val="22"/>
                <w:szCs w:val="22"/>
                <w:lang w:eastAsia="ar-SA"/>
              </w:rPr>
              <w:t>Лейкоциты (×10</w:t>
            </w:r>
            <w:r w:rsidRPr="00124D89">
              <w:rPr>
                <w:rFonts w:cs="Calibri"/>
                <w:spacing w:val="-8"/>
                <w:sz w:val="22"/>
                <w:szCs w:val="22"/>
                <w:vertAlign w:val="superscript"/>
                <w:lang w:eastAsia="ar-SA"/>
              </w:rPr>
              <w:t>9</w:t>
            </w:r>
            <w:r w:rsidRPr="00124D89">
              <w:rPr>
                <w:rFonts w:cs="Calibri"/>
                <w:spacing w:val="-8"/>
                <w:sz w:val="22"/>
                <w:szCs w:val="22"/>
                <w:lang w:eastAsia="ar-SA"/>
              </w:rPr>
              <w:t>/л)</w:t>
            </w:r>
          </w:p>
        </w:tc>
        <w:tc>
          <w:tcPr>
            <w:tcW w:w="198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2"/>
                <w:szCs w:val="22"/>
                <w:lang w:eastAsia="ar-SA"/>
              </w:rPr>
            </w:pPr>
            <w:r w:rsidRPr="00124D89">
              <w:rPr>
                <w:rFonts w:cs="Calibri"/>
                <w:spacing w:val="-8"/>
                <w:sz w:val="22"/>
                <w:szCs w:val="22"/>
                <w:lang w:eastAsia="ar-SA"/>
              </w:rPr>
              <w:t>19,7±1,8**</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041A10" w:rsidRDefault="00286780" w:rsidP="00124D89">
            <w:pPr>
              <w:snapToGrid w:val="0"/>
              <w:jc w:val="center"/>
              <w:rPr>
                <w:rFonts w:cs="Calibri"/>
                <w:spacing w:val="-8"/>
                <w:sz w:val="22"/>
                <w:szCs w:val="22"/>
                <w:lang w:val="en-US" w:eastAsia="ar-SA"/>
              </w:rPr>
            </w:pPr>
            <w:r w:rsidRPr="00124D89">
              <w:rPr>
                <w:rFonts w:cs="Calibri"/>
                <w:spacing w:val="-8"/>
                <w:sz w:val="22"/>
                <w:szCs w:val="22"/>
                <w:lang w:eastAsia="ar-SA"/>
              </w:rPr>
              <w:t>17,9±1,8</w:t>
            </w:r>
            <w:r w:rsidR="00041A10">
              <w:rPr>
                <w:rFonts w:cs="Calibri"/>
                <w:spacing w:val="-8"/>
                <w:sz w:val="22"/>
                <w:szCs w:val="22"/>
                <w:lang w:val="en-US" w:eastAsia="ar-SA"/>
              </w:rPr>
              <w:t>**</w:t>
            </w:r>
          </w:p>
        </w:tc>
        <w:tc>
          <w:tcPr>
            <w:tcW w:w="2665"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spacing w:val="-8"/>
                <w:sz w:val="22"/>
                <w:szCs w:val="22"/>
                <w:lang w:eastAsia="ar-SA"/>
              </w:rPr>
            </w:pPr>
            <w:r w:rsidRPr="00124D89">
              <w:rPr>
                <w:spacing w:val="-8"/>
                <w:sz w:val="22"/>
                <w:szCs w:val="22"/>
                <w:lang w:eastAsia="ar-SA"/>
              </w:rPr>
              <w:t>11,9±0,81</w:t>
            </w:r>
          </w:p>
        </w:tc>
      </w:tr>
      <w:tr w:rsidR="00286780" w:rsidRPr="00124D89" w:rsidTr="00E054CC">
        <w:trPr>
          <w:trHeight w:val="397"/>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2"/>
                <w:szCs w:val="22"/>
                <w:lang w:eastAsia="ar-SA"/>
              </w:rPr>
            </w:pPr>
            <w:r w:rsidRPr="00124D89">
              <w:rPr>
                <w:rFonts w:cs="Calibri"/>
                <w:spacing w:val="-8"/>
                <w:sz w:val="22"/>
                <w:szCs w:val="22"/>
                <w:lang w:eastAsia="ar-SA"/>
              </w:rPr>
              <w:t>Лимфоциты (абс. в 1 мкл.)</w:t>
            </w:r>
          </w:p>
        </w:tc>
        <w:tc>
          <w:tcPr>
            <w:tcW w:w="198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2"/>
                <w:szCs w:val="22"/>
                <w:lang w:eastAsia="ar-SA"/>
              </w:rPr>
            </w:pPr>
            <w:r>
              <w:rPr>
                <w:rFonts w:cs="Calibri"/>
                <w:spacing w:val="-8"/>
                <w:sz w:val="22"/>
                <w:szCs w:val="22"/>
                <w:lang w:eastAsia="ar-SA"/>
              </w:rPr>
              <w:t>1417</w:t>
            </w:r>
            <w:r w:rsidRPr="00124D89">
              <w:rPr>
                <w:rFonts w:cs="Calibri"/>
                <w:spacing w:val="-8"/>
                <w:sz w:val="22"/>
                <w:szCs w:val="22"/>
                <w:lang w:val="en-US" w:eastAsia="ar-SA"/>
              </w:rPr>
              <w:t>[</w:t>
            </w:r>
            <w:r>
              <w:rPr>
                <w:rFonts w:cs="Calibri"/>
                <w:spacing w:val="-8"/>
                <w:sz w:val="22"/>
                <w:szCs w:val="22"/>
                <w:lang w:eastAsia="ar-SA"/>
              </w:rPr>
              <w:t>1040;</w:t>
            </w:r>
            <w:r w:rsidRPr="00124D89">
              <w:rPr>
                <w:rFonts w:cs="Calibri"/>
                <w:spacing w:val="-8"/>
                <w:sz w:val="22"/>
                <w:szCs w:val="22"/>
                <w:lang w:eastAsia="ar-SA"/>
              </w:rPr>
              <w:t>1936</w:t>
            </w:r>
            <w:r w:rsidRPr="00124D89">
              <w:rPr>
                <w:rFonts w:cs="Calibri"/>
                <w:spacing w:val="-8"/>
                <w:sz w:val="22"/>
                <w:szCs w:val="22"/>
                <w:lang w:val="en-US" w:eastAsia="ar-SA"/>
              </w:rPr>
              <w:t>]</w:t>
            </w:r>
            <w:r w:rsidRPr="00124D89">
              <w:rPr>
                <w:rFonts w:cs="Calibri"/>
                <w:spacing w:val="-8"/>
                <w:sz w:val="22"/>
                <w:szCs w:val="22"/>
                <w:lang w:eastAsia="ar-SA"/>
              </w:rPr>
              <w:t>**</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2"/>
                <w:szCs w:val="22"/>
                <w:lang w:val="en-US" w:eastAsia="ar-SA"/>
              </w:rPr>
            </w:pPr>
            <w:r>
              <w:rPr>
                <w:rFonts w:cs="Calibri"/>
                <w:spacing w:val="-8"/>
                <w:sz w:val="22"/>
                <w:szCs w:val="22"/>
                <w:lang w:eastAsia="ar-SA"/>
              </w:rPr>
              <w:t>1119</w:t>
            </w:r>
            <w:r w:rsidRPr="00124D89">
              <w:rPr>
                <w:rFonts w:cs="Calibri"/>
                <w:spacing w:val="-8"/>
                <w:sz w:val="22"/>
                <w:szCs w:val="22"/>
                <w:lang w:val="en-US" w:eastAsia="ar-SA"/>
              </w:rPr>
              <w:t>[</w:t>
            </w:r>
            <w:r>
              <w:rPr>
                <w:rFonts w:cs="Calibri"/>
                <w:spacing w:val="-8"/>
                <w:sz w:val="22"/>
                <w:szCs w:val="22"/>
                <w:lang w:eastAsia="ar-SA"/>
              </w:rPr>
              <w:t>877,5;</w:t>
            </w:r>
            <w:r w:rsidRPr="00124D89">
              <w:rPr>
                <w:rFonts w:cs="Calibri"/>
                <w:spacing w:val="-8"/>
                <w:sz w:val="22"/>
                <w:szCs w:val="22"/>
                <w:lang w:eastAsia="ar-SA"/>
              </w:rPr>
              <w:t>2469</w:t>
            </w:r>
            <w:r w:rsidRPr="00124D89">
              <w:rPr>
                <w:rFonts w:cs="Calibri"/>
                <w:spacing w:val="-8"/>
                <w:sz w:val="22"/>
                <w:szCs w:val="22"/>
                <w:lang w:val="en-US" w:eastAsia="ar-SA"/>
              </w:rPr>
              <w:t>]</w:t>
            </w:r>
            <w:r w:rsidR="00041A10">
              <w:rPr>
                <w:rFonts w:cs="Calibri"/>
                <w:spacing w:val="-8"/>
                <w:sz w:val="22"/>
                <w:szCs w:val="22"/>
                <w:lang w:val="en-US" w:eastAsia="ar-SA"/>
              </w:rPr>
              <w:t>**</w:t>
            </w:r>
          </w:p>
        </w:tc>
        <w:tc>
          <w:tcPr>
            <w:tcW w:w="2665"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2"/>
                <w:szCs w:val="22"/>
                <w:lang w:eastAsia="ar-SA"/>
              </w:rPr>
            </w:pPr>
            <w:r w:rsidRPr="00124D89">
              <w:rPr>
                <w:rFonts w:cs="Calibri"/>
                <w:spacing w:val="-8"/>
                <w:sz w:val="22"/>
                <w:szCs w:val="22"/>
                <w:lang w:eastAsia="ar-SA"/>
              </w:rPr>
              <w:t>2216,6±167,9</w:t>
            </w:r>
          </w:p>
        </w:tc>
      </w:tr>
      <w:tr w:rsidR="00286780" w:rsidRPr="00124D89" w:rsidTr="00E054CC">
        <w:trPr>
          <w:trHeight w:val="397"/>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6E3B88">
            <w:pPr>
              <w:snapToGrid w:val="0"/>
              <w:rPr>
                <w:rFonts w:cs="Calibri"/>
                <w:spacing w:val="-8"/>
                <w:sz w:val="24"/>
                <w:szCs w:val="24"/>
                <w:lang w:eastAsia="ar-SA"/>
              </w:rPr>
            </w:pPr>
            <w:r>
              <w:rPr>
                <w:rFonts w:cs="Calibri"/>
                <w:spacing w:val="-8"/>
                <w:sz w:val="24"/>
                <w:szCs w:val="24"/>
                <w:lang w:eastAsia="ar-SA"/>
              </w:rPr>
              <w:t xml:space="preserve">ЛИИ </w:t>
            </w:r>
            <w:r>
              <w:rPr>
                <w:rFonts w:cs="Calibri"/>
                <w:sz w:val="24"/>
                <w:szCs w:val="24"/>
                <w:lang w:eastAsia="ar-SA"/>
              </w:rPr>
              <w:t>(усл. ед.)</w:t>
            </w:r>
          </w:p>
        </w:tc>
        <w:tc>
          <w:tcPr>
            <w:tcW w:w="1984" w:type="dxa"/>
            <w:tcBorders>
              <w:top w:val="single" w:sz="4" w:space="0" w:color="000000"/>
              <w:left w:val="single" w:sz="4" w:space="0" w:color="000000"/>
              <w:bottom w:val="single" w:sz="4" w:space="0" w:color="000000"/>
            </w:tcBorders>
            <w:tcMar>
              <w:left w:w="28" w:type="dxa"/>
              <w:right w:w="28" w:type="dxa"/>
            </w:tcMar>
            <w:vAlign w:val="center"/>
          </w:tcPr>
          <w:p w:rsidR="00286780" w:rsidRDefault="00286780" w:rsidP="006E3B88">
            <w:pPr>
              <w:snapToGrid w:val="0"/>
              <w:jc w:val="center"/>
              <w:rPr>
                <w:rFonts w:cs="Calibri"/>
                <w:spacing w:val="-8"/>
                <w:sz w:val="24"/>
                <w:szCs w:val="24"/>
                <w:lang w:eastAsia="ar-SA"/>
              </w:rPr>
            </w:pPr>
            <w:r>
              <w:rPr>
                <w:rFonts w:cs="Calibri"/>
                <w:spacing w:val="-8"/>
                <w:sz w:val="24"/>
                <w:szCs w:val="24"/>
                <w:lang w:eastAsia="ar-SA"/>
              </w:rPr>
              <w:t>6,6</w:t>
            </w:r>
            <w:r>
              <w:rPr>
                <w:spacing w:val="-8"/>
                <w:sz w:val="24"/>
                <w:szCs w:val="24"/>
                <w:lang w:eastAsia="ar-SA"/>
              </w:rPr>
              <w:t>±</w:t>
            </w:r>
            <w:r>
              <w:rPr>
                <w:rFonts w:cs="Calibri"/>
                <w:spacing w:val="-8"/>
                <w:sz w:val="24"/>
                <w:szCs w:val="24"/>
                <w:lang w:eastAsia="ar-SA"/>
              </w:rPr>
              <w:t>0,99</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041A10" w:rsidRDefault="00286780" w:rsidP="006E3B88">
            <w:pPr>
              <w:snapToGrid w:val="0"/>
              <w:jc w:val="center"/>
              <w:rPr>
                <w:rFonts w:cs="Calibri"/>
                <w:spacing w:val="-8"/>
                <w:sz w:val="24"/>
                <w:szCs w:val="24"/>
                <w:lang w:val="en-US" w:eastAsia="ar-SA"/>
              </w:rPr>
            </w:pPr>
            <w:r>
              <w:rPr>
                <w:rFonts w:cs="Calibri"/>
                <w:spacing w:val="-8"/>
                <w:sz w:val="24"/>
                <w:szCs w:val="24"/>
                <w:lang w:eastAsia="ar-SA"/>
              </w:rPr>
              <w:t>6,66</w:t>
            </w:r>
            <w:r>
              <w:rPr>
                <w:spacing w:val="-8"/>
                <w:sz w:val="24"/>
                <w:szCs w:val="24"/>
                <w:lang w:eastAsia="ar-SA"/>
              </w:rPr>
              <w:t>±</w:t>
            </w:r>
            <w:r>
              <w:rPr>
                <w:rFonts w:cs="Calibri"/>
                <w:spacing w:val="-8"/>
                <w:sz w:val="24"/>
                <w:szCs w:val="24"/>
                <w:lang w:eastAsia="ar-SA"/>
              </w:rPr>
              <w:t>0,61</w:t>
            </w:r>
            <w:r w:rsidR="00041A10">
              <w:rPr>
                <w:rFonts w:cs="Calibri"/>
                <w:spacing w:val="-8"/>
                <w:sz w:val="24"/>
                <w:szCs w:val="24"/>
                <w:lang w:val="en-US" w:eastAsia="ar-SA"/>
              </w:rPr>
              <w:t>**</w:t>
            </w:r>
          </w:p>
        </w:tc>
        <w:tc>
          <w:tcPr>
            <w:tcW w:w="2665"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6E3B88">
            <w:pPr>
              <w:snapToGrid w:val="0"/>
              <w:jc w:val="center"/>
              <w:rPr>
                <w:rFonts w:cs="Calibri"/>
                <w:spacing w:val="-8"/>
                <w:sz w:val="24"/>
                <w:szCs w:val="24"/>
                <w:lang w:eastAsia="ar-SA"/>
              </w:rPr>
            </w:pPr>
            <w:r>
              <w:rPr>
                <w:rStyle w:val="afffffffffff8"/>
                <w:sz w:val="24"/>
                <w:szCs w:val="24"/>
              </w:rPr>
              <w:t>3,6±0,77</w:t>
            </w:r>
          </w:p>
        </w:tc>
      </w:tr>
      <w:tr w:rsidR="00286780" w:rsidRPr="00124D89" w:rsidTr="00E054CC">
        <w:trPr>
          <w:trHeight w:val="397"/>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2"/>
                <w:szCs w:val="22"/>
                <w:lang w:eastAsia="ar-SA"/>
              </w:rPr>
            </w:pPr>
            <w:r w:rsidRPr="00124D89">
              <w:rPr>
                <w:rFonts w:cs="Calibri"/>
                <w:spacing w:val="-8"/>
                <w:sz w:val="22"/>
                <w:szCs w:val="22"/>
                <w:lang w:eastAsia="ar-SA"/>
              </w:rPr>
              <w:t>Тромбоциты (в 1 мкл.)</w:t>
            </w:r>
          </w:p>
        </w:tc>
        <w:tc>
          <w:tcPr>
            <w:tcW w:w="198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2"/>
                <w:szCs w:val="22"/>
                <w:lang w:eastAsia="ar-SA"/>
              </w:rPr>
            </w:pPr>
            <w:r w:rsidRPr="00124D89">
              <w:rPr>
                <w:rFonts w:cs="Calibri"/>
                <w:spacing w:val="-8"/>
                <w:sz w:val="22"/>
                <w:szCs w:val="22"/>
                <w:lang w:eastAsia="ar-SA"/>
              </w:rPr>
              <w:t>186</w:t>
            </w:r>
            <w:r>
              <w:rPr>
                <w:rFonts w:cs="Calibri"/>
                <w:spacing w:val="-8"/>
                <w:sz w:val="22"/>
                <w:szCs w:val="22"/>
                <w:lang w:val="en-US" w:eastAsia="ar-SA"/>
              </w:rPr>
              <w:t>[166</w:t>
            </w:r>
            <w:r>
              <w:rPr>
                <w:rFonts w:cs="Calibri"/>
                <w:spacing w:val="-8"/>
                <w:sz w:val="22"/>
                <w:szCs w:val="22"/>
                <w:lang w:eastAsia="ar-SA"/>
              </w:rPr>
              <w:t>;</w:t>
            </w:r>
            <w:r w:rsidRPr="00124D89">
              <w:rPr>
                <w:rFonts w:cs="Calibri"/>
                <w:spacing w:val="-8"/>
                <w:sz w:val="22"/>
                <w:szCs w:val="22"/>
                <w:lang w:val="en-US" w:eastAsia="ar-SA"/>
              </w:rPr>
              <w:t>242]</w:t>
            </w:r>
            <w:r w:rsidRPr="00124D89">
              <w:rPr>
                <w:rFonts w:cs="Calibri"/>
                <w:spacing w:val="-8"/>
                <w:sz w:val="22"/>
                <w:szCs w:val="22"/>
                <w:lang w:eastAsia="ar-SA"/>
              </w:rPr>
              <w:t>**</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2"/>
                <w:szCs w:val="22"/>
                <w:lang w:val="en-US" w:eastAsia="ar-SA"/>
              </w:rPr>
            </w:pPr>
            <w:r>
              <w:rPr>
                <w:rFonts w:cs="Calibri"/>
                <w:spacing w:val="-8"/>
                <w:sz w:val="22"/>
                <w:szCs w:val="22"/>
                <w:lang w:eastAsia="ar-SA"/>
              </w:rPr>
              <w:t>202</w:t>
            </w:r>
            <w:r w:rsidRPr="00124D89">
              <w:rPr>
                <w:rFonts w:cs="Calibri"/>
                <w:spacing w:val="-8"/>
                <w:sz w:val="22"/>
                <w:szCs w:val="22"/>
                <w:lang w:val="en-US" w:eastAsia="ar-SA"/>
              </w:rPr>
              <w:t>[</w:t>
            </w:r>
            <w:r>
              <w:rPr>
                <w:rFonts w:cs="Calibri"/>
                <w:spacing w:val="-8"/>
                <w:sz w:val="22"/>
                <w:szCs w:val="22"/>
                <w:lang w:eastAsia="ar-SA"/>
              </w:rPr>
              <w:t>165;</w:t>
            </w:r>
            <w:r w:rsidRPr="00124D89">
              <w:rPr>
                <w:rFonts w:cs="Calibri"/>
                <w:spacing w:val="-8"/>
                <w:sz w:val="22"/>
                <w:szCs w:val="22"/>
                <w:lang w:eastAsia="ar-SA"/>
              </w:rPr>
              <w:t>265,5</w:t>
            </w:r>
            <w:r w:rsidRPr="00124D89">
              <w:rPr>
                <w:rFonts w:cs="Calibri"/>
                <w:spacing w:val="-8"/>
                <w:sz w:val="22"/>
                <w:szCs w:val="22"/>
                <w:lang w:val="en-US" w:eastAsia="ar-SA"/>
              </w:rPr>
              <w:t>]</w:t>
            </w:r>
            <w:r w:rsidR="00041A10">
              <w:rPr>
                <w:rFonts w:cs="Calibri"/>
                <w:spacing w:val="-8"/>
                <w:sz w:val="22"/>
                <w:szCs w:val="22"/>
                <w:lang w:val="en-US" w:eastAsia="ar-SA"/>
              </w:rPr>
              <w:t>**</w:t>
            </w:r>
          </w:p>
        </w:tc>
        <w:tc>
          <w:tcPr>
            <w:tcW w:w="2665"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spacing w:val="-8"/>
                <w:sz w:val="22"/>
                <w:szCs w:val="22"/>
                <w:lang w:eastAsia="ar-SA"/>
              </w:rPr>
            </w:pPr>
            <w:r>
              <w:rPr>
                <w:spacing w:val="-8"/>
                <w:sz w:val="22"/>
                <w:szCs w:val="22"/>
                <w:lang w:eastAsia="ar-SA"/>
              </w:rPr>
              <w:t>294</w:t>
            </w:r>
            <w:r w:rsidRPr="00124D89">
              <w:rPr>
                <w:spacing w:val="-8"/>
                <w:sz w:val="22"/>
                <w:szCs w:val="22"/>
                <w:lang w:val="en-US" w:eastAsia="ar-SA"/>
              </w:rPr>
              <w:t>[</w:t>
            </w:r>
            <w:r>
              <w:rPr>
                <w:spacing w:val="-8"/>
                <w:sz w:val="22"/>
                <w:szCs w:val="22"/>
                <w:lang w:eastAsia="ar-SA"/>
              </w:rPr>
              <w:t>254;</w:t>
            </w:r>
            <w:r w:rsidRPr="00124D89">
              <w:rPr>
                <w:spacing w:val="-8"/>
                <w:sz w:val="22"/>
                <w:szCs w:val="22"/>
                <w:lang w:eastAsia="ar-SA"/>
              </w:rPr>
              <w:t>410</w:t>
            </w:r>
            <w:r w:rsidRPr="00124D89">
              <w:rPr>
                <w:spacing w:val="-8"/>
                <w:sz w:val="22"/>
                <w:szCs w:val="22"/>
                <w:lang w:val="en-US" w:eastAsia="ar-SA"/>
              </w:rPr>
              <w:t>]</w:t>
            </w:r>
          </w:p>
        </w:tc>
      </w:tr>
      <w:tr w:rsidR="00286780" w:rsidRPr="00124D89" w:rsidTr="00E054CC">
        <w:trPr>
          <w:trHeight w:val="397"/>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2"/>
                <w:szCs w:val="22"/>
                <w:lang w:eastAsia="ar-SA"/>
              </w:rPr>
            </w:pPr>
            <w:r w:rsidRPr="00124D89">
              <w:rPr>
                <w:rFonts w:cs="Calibri"/>
                <w:spacing w:val="-8"/>
                <w:sz w:val="22"/>
                <w:szCs w:val="22"/>
                <w:lang w:eastAsia="ar-SA"/>
              </w:rPr>
              <w:t>СОЭ (мм/ч)</w:t>
            </w:r>
          </w:p>
        </w:tc>
        <w:tc>
          <w:tcPr>
            <w:tcW w:w="198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2"/>
                <w:szCs w:val="22"/>
                <w:lang w:eastAsia="ar-SA"/>
              </w:rPr>
            </w:pPr>
            <w:r w:rsidRPr="00124D89">
              <w:rPr>
                <w:rFonts w:cs="Calibri"/>
                <w:spacing w:val="-8"/>
                <w:sz w:val="22"/>
                <w:szCs w:val="22"/>
                <w:lang w:val="en-US" w:eastAsia="ar-SA"/>
              </w:rPr>
              <w:t>40[20</w:t>
            </w:r>
            <w:r>
              <w:rPr>
                <w:rFonts w:cs="Calibri"/>
                <w:spacing w:val="-8"/>
                <w:sz w:val="22"/>
                <w:szCs w:val="22"/>
                <w:lang w:eastAsia="ar-SA"/>
              </w:rPr>
              <w:t>;</w:t>
            </w:r>
            <w:r w:rsidRPr="00124D89">
              <w:rPr>
                <w:rFonts w:cs="Calibri"/>
                <w:spacing w:val="-8"/>
                <w:sz w:val="22"/>
                <w:szCs w:val="22"/>
                <w:lang w:val="en-US" w:eastAsia="ar-SA"/>
              </w:rPr>
              <w:t>59]</w:t>
            </w:r>
            <w:r w:rsidRPr="00124D89">
              <w:rPr>
                <w:rFonts w:cs="Calibri"/>
                <w:spacing w:val="-8"/>
                <w:sz w:val="22"/>
                <w:szCs w:val="22"/>
                <w:lang w:eastAsia="ar-SA"/>
              </w:rPr>
              <w:t>**</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2"/>
                <w:szCs w:val="22"/>
                <w:lang w:eastAsia="ar-SA"/>
              </w:rPr>
            </w:pPr>
            <w:r>
              <w:rPr>
                <w:rFonts w:cs="Calibri"/>
                <w:spacing w:val="-8"/>
                <w:sz w:val="22"/>
                <w:szCs w:val="22"/>
                <w:lang w:eastAsia="ar-SA"/>
              </w:rPr>
              <w:t>37</w:t>
            </w:r>
            <w:r w:rsidRPr="00124D89">
              <w:rPr>
                <w:rFonts w:cs="Calibri"/>
                <w:spacing w:val="-8"/>
                <w:sz w:val="22"/>
                <w:szCs w:val="22"/>
                <w:lang w:val="en-US" w:eastAsia="ar-SA"/>
              </w:rPr>
              <w:t>[</w:t>
            </w:r>
            <w:r>
              <w:rPr>
                <w:rFonts w:cs="Calibri"/>
                <w:spacing w:val="-8"/>
                <w:sz w:val="22"/>
                <w:szCs w:val="22"/>
                <w:lang w:eastAsia="ar-SA"/>
              </w:rPr>
              <w:t>26;</w:t>
            </w:r>
            <w:r w:rsidRPr="00124D89">
              <w:rPr>
                <w:rFonts w:cs="Calibri"/>
                <w:spacing w:val="-8"/>
                <w:sz w:val="22"/>
                <w:szCs w:val="22"/>
                <w:lang w:eastAsia="ar-SA"/>
              </w:rPr>
              <w:t>48</w:t>
            </w:r>
            <w:r w:rsidRPr="00124D89">
              <w:rPr>
                <w:rFonts w:cs="Calibri"/>
                <w:spacing w:val="-8"/>
                <w:sz w:val="22"/>
                <w:szCs w:val="22"/>
                <w:lang w:val="en-US" w:eastAsia="ar-SA"/>
              </w:rPr>
              <w:t>]</w:t>
            </w:r>
            <w:r w:rsidR="00041A10">
              <w:rPr>
                <w:rFonts w:cs="Calibri"/>
                <w:spacing w:val="-8"/>
                <w:sz w:val="22"/>
                <w:szCs w:val="22"/>
                <w:lang w:val="en-US" w:eastAsia="ar-SA"/>
              </w:rPr>
              <w:t>**</w:t>
            </w:r>
          </w:p>
        </w:tc>
        <w:tc>
          <w:tcPr>
            <w:tcW w:w="2665"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2"/>
                <w:szCs w:val="22"/>
                <w:lang w:eastAsia="ar-SA"/>
              </w:rPr>
            </w:pPr>
            <w:r>
              <w:rPr>
                <w:rFonts w:cs="Calibri"/>
                <w:spacing w:val="-8"/>
                <w:sz w:val="22"/>
                <w:szCs w:val="22"/>
                <w:lang w:eastAsia="ar-SA"/>
              </w:rPr>
              <w:t>28,5</w:t>
            </w:r>
            <w:r w:rsidRPr="00124D89">
              <w:rPr>
                <w:rFonts w:cs="Calibri"/>
                <w:spacing w:val="-8"/>
                <w:sz w:val="22"/>
                <w:szCs w:val="22"/>
                <w:lang w:val="en-US" w:eastAsia="ar-SA"/>
              </w:rPr>
              <w:t>[8</w:t>
            </w:r>
            <w:r>
              <w:rPr>
                <w:rFonts w:cs="Calibri"/>
                <w:spacing w:val="-8"/>
                <w:sz w:val="22"/>
                <w:szCs w:val="22"/>
                <w:lang w:eastAsia="ar-SA"/>
              </w:rPr>
              <w:t>;</w:t>
            </w:r>
            <w:r w:rsidRPr="00124D89">
              <w:rPr>
                <w:rFonts w:cs="Calibri"/>
                <w:spacing w:val="-8"/>
                <w:sz w:val="22"/>
                <w:szCs w:val="22"/>
                <w:lang w:val="en-US" w:eastAsia="ar-SA"/>
              </w:rPr>
              <w:t>40]</w:t>
            </w:r>
          </w:p>
        </w:tc>
      </w:tr>
      <w:tr w:rsidR="00286780" w:rsidRPr="00124D89" w:rsidTr="00E054CC">
        <w:trPr>
          <w:trHeight w:val="397"/>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pacing w:val="-8"/>
                <w:sz w:val="22"/>
                <w:szCs w:val="22"/>
                <w:lang w:eastAsia="ar-SA"/>
              </w:rPr>
            </w:pPr>
            <w:r w:rsidRPr="00124D89">
              <w:rPr>
                <w:rFonts w:cs="Calibri"/>
                <w:spacing w:val="-8"/>
                <w:sz w:val="22"/>
                <w:szCs w:val="22"/>
                <w:lang w:eastAsia="ar-SA"/>
              </w:rPr>
              <w:t>Общий белок (г/л)</w:t>
            </w:r>
          </w:p>
        </w:tc>
        <w:tc>
          <w:tcPr>
            <w:tcW w:w="198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2"/>
                <w:szCs w:val="22"/>
                <w:lang w:eastAsia="ar-SA"/>
              </w:rPr>
            </w:pPr>
            <w:r>
              <w:rPr>
                <w:rFonts w:cs="Calibri"/>
                <w:spacing w:val="-8"/>
                <w:sz w:val="22"/>
                <w:szCs w:val="22"/>
                <w:lang w:eastAsia="ar-SA"/>
              </w:rPr>
              <w:t>54</w:t>
            </w:r>
            <w:r w:rsidRPr="00124D89">
              <w:rPr>
                <w:rFonts w:cs="Calibri"/>
                <w:spacing w:val="-8"/>
                <w:sz w:val="22"/>
                <w:szCs w:val="22"/>
                <w:lang w:val="en-US" w:eastAsia="ar-SA"/>
              </w:rPr>
              <w:t>[</w:t>
            </w:r>
            <w:r>
              <w:rPr>
                <w:rFonts w:cs="Calibri"/>
                <w:spacing w:val="-8"/>
                <w:sz w:val="22"/>
                <w:szCs w:val="22"/>
                <w:lang w:eastAsia="ar-SA"/>
              </w:rPr>
              <w:t>46,8;</w:t>
            </w:r>
            <w:r w:rsidRPr="00124D89">
              <w:rPr>
                <w:rFonts w:cs="Calibri"/>
                <w:spacing w:val="-8"/>
                <w:sz w:val="22"/>
                <w:szCs w:val="22"/>
                <w:lang w:eastAsia="ar-SA"/>
              </w:rPr>
              <w:t>64,3</w:t>
            </w:r>
            <w:r w:rsidRPr="00124D89">
              <w:rPr>
                <w:rFonts w:cs="Calibri"/>
                <w:spacing w:val="-8"/>
                <w:sz w:val="22"/>
                <w:szCs w:val="22"/>
                <w:lang w:val="en-US" w:eastAsia="ar-SA"/>
              </w:rPr>
              <w:t>]</w:t>
            </w:r>
            <w:r w:rsidRPr="00124D89">
              <w:rPr>
                <w:rFonts w:cs="Calibri"/>
                <w:spacing w:val="-8"/>
                <w:sz w:val="22"/>
                <w:szCs w:val="22"/>
                <w:lang w:eastAsia="ar-SA"/>
              </w:rPr>
              <w:t>**</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pacing w:val="-8"/>
                <w:sz w:val="22"/>
                <w:szCs w:val="22"/>
                <w:lang w:val="en-US" w:eastAsia="ar-SA"/>
              </w:rPr>
            </w:pPr>
            <w:r>
              <w:rPr>
                <w:rFonts w:cs="Calibri"/>
                <w:spacing w:val="-8"/>
                <w:sz w:val="22"/>
                <w:szCs w:val="22"/>
                <w:lang w:eastAsia="ar-SA"/>
              </w:rPr>
              <w:t>55,8</w:t>
            </w:r>
            <w:r w:rsidRPr="00124D89">
              <w:rPr>
                <w:rFonts w:cs="Calibri"/>
                <w:spacing w:val="-8"/>
                <w:sz w:val="22"/>
                <w:szCs w:val="22"/>
                <w:lang w:val="en-US" w:eastAsia="ar-SA"/>
              </w:rPr>
              <w:t>[</w:t>
            </w:r>
            <w:r>
              <w:rPr>
                <w:rFonts w:cs="Calibri"/>
                <w:spacing w:val="-8"/>
                <w:sz w:val="22"/>
                <w:szCs w:val="22"/>
                <w:lang w:eastAsia="ar-SA"/>
              </w:rPr>
              <w:t>52,1;</w:t>
            </w:r>
            <w:r w:rsidRPr="00124D89">
              <w:rPr>
                <w:rFonts w:cs="Calibri"/>
                <w:spacing w:val="-8"/>
                <w:sz w:val="22"/>
                <w:szCs w:val="22"/>
                <w:lang w:eastAsia="ar-SA"/>
              </w:rPr>
              <w:t>63,1</w:t>
            </w:r>
            <w:r w:rsidRPr="00124D89">
              <w:rPr>
                <w:rFonts w:cs="Calibri"/>
                <w:spacing w:val="-8"/>
                <w:sz w:val="22"/>
                <w:szCs w:val="22"/>
                <w:lang w:val="en-US" w:eastAsia="ar-SA"/>
              </w:rPr>
              <w:t>]</w:t>
            </w:r>
            <w:r w:rsidR="00041A10">
              <w:rPr>
                <w:rFonts w:cs="Calibri"/>
                <w:spacing w:val="-8"/>
                <w:sz w:val="22"/>
                <w:szCs w:val="22"/>
                <w:lang w:val="en-US" w:eastAsia="ar-SA"/>
              </w:rPr>
              <w:t>**</w:t>
            </w:r>
          </w:p>
        </w:tc>
        <w:tc>
          <w:tcPr>
            <w:tcW w:w="2665"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pacing w:val="-8"/>
                <w:sz w:val="22"/>
                <w:szCs w:val="22"/>
                <w:lang w:eastAsia="ar-SA"/>
              </w:rPr>
            </w:pPr>
            <w:r>
              <w:rPr>
                <w:rFonts w:cs="Calibri"/>
                <w:spacing w:val="-8"/>
                <w:sz w:val="22"/>
                <w:szCs w:val="22"/>
                <w:lang w:eastAsia="ar-SA"/>
              </w:rPr>
              <w:t>76,4</w:t>
            </w:r>
            <w:r w:rsidRPr="00124D89">
              <w:rPr>
                <w:rFonts w:cs="Calibri"/>
                <w:spacing w:val="-8"/>
                <w:sz w:val="22"/>
                <w:szCs w:val="22"/>
                <w:lang w:val="en-US" w:eastAsia="ar-SA"/>
              </w:rPr>
              <w:t>[</w:t>
            </w:r>
            <w:r>
              <w:rPr>
                <w:rFonts w:cs="Calibri"/>
                <w:spacing w:val="-8"/>
                <w:sz w:val="22"/>
                <w:szCs w:val="22"/>
                <w:lang w:eastAsia="ar-SA"/>
              </w:rPr>
              <w:t>72,2;</w:t>
            </w:r>
            <w:r w:rsidRPr="00124D89">
              <w:rPr>
                <w:rFonts w:cs="Calibri"/>
                <w:spacing w:val="-8"/>
                <w:sz w:val="22"/>
                <w:szCs w:val="22"/>
                <w:lang w:eastAsia="ar-SA"/>
              </w:rPr>
              <w:t>78,9</w:t>
            </w:r>
            <w:r w:rsidRPr="00124D89">
              <w:rPr>
                <w:rFonts w:cs="Calibri"/>
                <w:spacing w:val="-8"/>
                <w:sz w:val="22"/>
                <w:szCs w:val="22"/>
                <w:lang w:val="en-US" w:eastAsia="ar-SA"/>
              </w:rPr>
              <w:t>]</w:t>
            </w:r>
          </w:p>
        </w:tc>
      </w:tr>
      <w:tr w:rsidR="00286780" w:rsidRPr="00124D89" w:rsidTr="00E054CC">
        <w:trPr>
          <w:trHeight w:val="397"/>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2"/>
                <w:szCs w:val="22"/>
                <w:lang w:eastAsia="ar-SA"/>
              </w:rPr>
            </w:pPr>
            <w:r w:rsidRPr="00124D89">
              <w:rPr>
                <w:rFonts w:cs="Calibri"/>
                <w:sz w:val="22"/>
                <w:szCs w:val="22"/>
                <w:lang w:eastAsia="ar-SA"/>
              </w:rPr>
              <w:t>Билирубин общий (мкмоль/л)</w:t>
            </w:r>
          </w:p>
        </w:tc>
        <w:tc>
          <w:tcPr>
            <w:tcW w:w="198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2"/>
                <w:szCs w:val="22"/>
                <w:lang w:eastAsia="ar-SA"/>
              </w:rPr>
            </w:pPr>
            <w:r>
              <w:rPr>
                <w:rFonts w:cs="Calibri"/>
                <w:sz w:val="22"/>
                <w:szCs w:val="22"/>
                <w:lang w:eastAsia="ar-SA"/>
              </w:rPr>
              <w:t>20,7</w:t>
            </w:r>
            <w:r w:rsidRPr="00124D89">
              <w:rPr>
                <w:rFonts w:cs="Calibri"/>
                <w:sz w:val="22"/>
                <w:szCs w:val="22"/>
                <w:lang w:val="en-US" w:eastAsia="ar-SA"/>
              </w:rPr>
              <w:t>[</w:t>
            </w:r>
            <w:r>
              <w:rPr>
                <w:rFonts w:cs="Calibri"/>
                <w:sz w:val="22"/>
                <w:szCs w:val="22"/>
                <w:lang w:eastAsia="ar-SA"/>
              </w:rPr>
              <w:t>15,6;</w:t>
            </w:r>
            <w:r w:rsidRPr="00124D89">
              <w:rPr>
                <w:rFonts w:cs="Calibri"/>
                <w:sz w:val="22"/>
                <w:szCs w:val="22"/>
                <w:lang w:eastAsia="ar-SA"/>
              </w:rPr>
              <w:t>34,9</w:t>
            </w:r>
            <w:r w:rsidRPr="00124D89">
              <w:rPr>
                <w:rFonts w:cs="Calibri"/>
                <w:sz w:val="22"/>
                <w:szCs w:val="22"/>
                <w:lang w:val="en-US" w:eastAsia="ar-SA"/>
              </w:rPr>
              <w:t>]</w:t>
            </w:r>
            <w:r w:rsidRPr="00124D89">
              <w:rPr>
                <w:rFonts w:cs="Calibri"/>
                <w:sz w:val="22"/>
                <w:szCs w:val="22"/>
                <w:lang w:eastAsia="ar-SA"/>
              </w:rPr>
              <w:t>**</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2"/>
                <w:szCs w:val="22"/>
                <w:lang w:val="en-US" w:eastAsia="ar-SA"/>
              </w:rPr>
            </w:pPr>
            <w:r>
              <w:rPr>
                <w:rFonts w:cs="Calibri"/>
                <w:sz w:val="22"/>
                <w:szCs w:val="22"/>
                <w:lang w:eastAsia="ar-SA"/>
              </w:rPr>
              <w:t>23</w:t>
            </w:r>
            <w:r w:rsidRPr="00124D89">
              <w:rPr>
                <w:rFonts w:cs="Calibri"/>
                <w:sz w:val="22"/>
                <w:szCs w:val="22"/>
                <w:lang w:val="en-US" w:eastAsia="ar-SA"/>
              </w:rPr>
              <w:t>[</w:t>
            </w:r>
            <w:r>
              <w:rPr>
                <w:rFonts w:cs="Calibri"/>
                <w:sz w:val="22"/>
                <w:szCs w:val="22"/>
                <w:lang w:eastAsia="ar-SA"/>
              </w:rPr>
              <w:t>11;</w:t>
            </w:r>
            <w:r w:rsidRPr="00124D89">
              <w:rPr>
                <w:rFonts w:cs="Calibri"/>
                <w:sz w:val="22"/>
                <w:szCs w:val="22"/>
                <w:lang w:eastAsia="ar-SA"/>
              </w:rPr>
              <w:t>33,5</w:t>
            </w:r>
            <w:r w:rsidRPr="00124D89">
              <w:rPr>
                <w:rFonts w:cs="Calibri"/>
                <w:sz w:val="22"/>
                <w:szCs w:val="22"/>
                <w:lang w:val="en-US" w:eastAsia="ar-SA"/>
              </w:rPr>
              <w:t>]</w:t>
            </w:r>
            <w:r w:rsidR="00041A10">
              <w:rPr>
                <w:rFonts w:cs="Calibri"/>
                <w:sz w:val="22"/>
                <w:szCs w:val="22"/>
                <w:lang w:val="en-US" w:eastAsia="ar-SA"/>
              </w:rPr>
              <w:t>**</w:t>
            </w:r>
          </w:p>
        </w:tc>
        <w:tc>
          <w:tcPr>
            <w:tcW w:w="2665"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z w:val="22"/>
                <w:szCs w:val="22"/>
                <w:lang w:eastAsia="ar-SA"/>
              </w:rPr>
            </w:pPr>
            <w:r>
              <w:rPr>
                <w:rFonts w:cs="Calibri"/>
                <w:sz w:val="22"/>
                <w:szCs w:val="22"/>
                <w:lang w:eastAsia="ar-SA"/>
              </w:rPr>
              <w:t>15,2</w:t>
            </w:r>
            <w:r w:rsidRPr="00124D89">
              <w:rPr>
                <w:rFonts w:cs="Calibri"/>
                <w:sz w:val="22"/>
                <w:szCs w:val="22"/>
                <w:lang w:val="en-US" w:eastAsia="ar-SA"/>
              </w:rPr>
              <w:t>[</w:t>
            </w:r>
            <w:r>
              <w:rPr>
                <w:rFonts w:cs="Calibri"/>
                <w:sz w:val="22"/>
                <w:szCs w:val="22"/>
                <w:lang w:eastAsia="ar-SA"/>
              </w:rPr>
              <w:t>13,1;</w:t>
            </w:r>
            <w:r w:rsidRPr="00124D89">
              <w:rPr>
                <w:rFonts w:cs="Calibri"/>
                <w:sz w:val="22"/>
                <w:szCs w:val="22"/>
                <w:lang w:eastAsia="ar-SA"/>
              </w:rPr>
              <w:t>17,6</w:t>
            </w:r>
            <w:r w:rsidRPr="00124D89">
              <w:rPr>
                <w:rFonts w:cs="Calibri"/>
                <w:sz w:val="22"/>
                <w:szCs w:val="22"/>
                <w:lang w:val="en-US" w:eastAsia="ar-SA"/>
              </w:rPr>
              <w:t>]</w:t>
            </w:r>
          </w:p>
        </w:tc>
      </w:tr>
      <w:tr w:rsidR="00286780" w:rsidRPr="00124D89" w:rsidTr="00E054CC">
        <w:trPr>
          <w:trHeight w:val="397"/>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2"/>
                <w:szCs w:val="22"/>
                <w:lang w:eastAsia="ar-SA"/>
              </w:rPr>
            </w:pPr>
            <w:r w:rsidRPr="00124D89">
              <w:rPr>
                <w:rFonts w:cs="Calibri"/>
                <w:sz w:val="22"/>
                <w:szCs w:val="22"/>
                <w:lang w:eastAsia="ar-SA"/>
              </w:rPr>
              <w:t>Натрий (ммоль/л)</w:t>
            </w:r>
          </w:p>
        </w:tc>
        <w:tc>
          <w:tcPr>
            <w:tcW w:w="198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2"/>
                <w:szCs w:val="22"/>
                <w:lang w:eastAsia="ar-SA"/>
              </w:rPr>
            </w:pPr>
            <w:r w:rsidRPr="00124D89">
              <w:rPr>
                <w:rFonts w:cs="Calibri"/>
                <w:sz w:val="22"/>
                <w:szCs w:val="22"/>
                <w:lang w:eastAsia="ar-SA"/>
              </w:rPr>
              <w:t>136,9±1,96</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2"/>
                <w:szCs w:val="22"/>
                <w:lang w:eastAsia="ar-SA"/>
              </w:rPr>
            </w:pPr>
            <w:r w:rsidRPr="00124D89">
              <w:rPr>
                <w:rFonts w:cs="Calibri"/>
                <w:sz w:val="22"/>
                <w:szCs w:val="22"/>
                <w:lang w:eastAsia="ar-SA"/>
              </w:rPr>
              <w:t>138,3±1,22</w:t>
            </w:r>
          </w:p>
        </w:tc>
        <w:tc>
          <w:tcPr>
            <w:tcW w:w="2665"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z w:val="22"/>
                <w:szCs w:val="22"/>
                <w:lang w:eastAsia="ar-SA"/>
              </w:rPr>
            </w:pPr>
            <w:r w:rsidRPr="00124D89">
              <w:rPr>
                <w:rFonts w:cs="Calibri"/>
                <w:sz w:val="22"/>
                <w:szCs w:val="22"/>
                <w:lang w:eastAsia="ar-SA"/>
              </w:rPr>
              <w:t>–</w:t>
            </w:r>
          </w:p>
        </w:tc>
      </w:tr>
      <w:tr w:rsidR="00286780" w:rsidRPr="00124D89" w:rsidTr="00E054CC">
        <w:trPr>
          <w:trHeight w:val="397"/>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2"/>
                <w:szCs w:val="22"/>
                <w:lang w:eastAsia="ar-SA"/>
              </w:rPr>
            </w:pPr>
            <w:r w:rsidRPr="00124D89">
              <w:rPr>
                <w:rFonts w:cs="Calibri"/>
                <w:sz w:val="22"/>
                <w:szCs w:val="22"/>
                <w:lang w:eastAsia="ar-SA"/>
              </w:rPr>
              <w:t>Калий (ммоль/л)</w:t>
            </w:r>
          </w:p>
        </w:tc>
        <w:tc>
          <w:tcPr>
            <w:tcW w:w="198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2"/>
                <w:szCs w:val="22"/>
                <w:lang w:eastAsia="ar-SA"/>
              </w:rPr>
            </w:pPr>
            <w:r w:rsidRPr="00124D89">
              <w:rPr>
                <w:rFonts w:cs="Calibri"/>
                <w:sz w:val="22"/>
                <w:szCs w:val="22"/>
                <w:lang w:eastAsia="ar-SA"/>
              </w:rPr>
              <w:t>4,18±0,33</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2"/>
                <w:szCs w:val="22"/>
                <w:lang w:eastAsia="ar-SA"/>
              </w:rPr>
            </w:pPr>
            <w:r w:rsidRPr="00124D89">
              <w:rPr>
                <w:rFonts w:cs="Calibri"/>
                <w:sz w:val="22"/>
                <w:szCs w:val="22"/>
                <w:lang w:eastAsia="ar-SA"/>
              </w:rPr>
              <w:t>4,19±0,12</w:t>
            </w:r>
          </w:p>
        </w:tc>
        <w:tc>
          <w:tcPr>
            <w:tcW w:w="2665"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sz w:val="22"/>
                <w:szCs w:val="22"/>
                <w:lang w:eastAsia="ar-SA"/>
              </w:rPr>
            </w:pPr>
            <w:r w:rsidRPr="00124D89">
              <w:rPr>
                <w:sz w:val="22"/>
                <w:szCs w:val="22"/>
                <w:lang w:eastAsia="ar-SA"/>
              </w:rPr>
              <w:t>–</w:t>
            </w:r>
          </w:p>
        </w:tc>
      </w:tr>
      <w:tr w:rsidR="00286780" w:rsidRPr="00124D89" w:rsidTr="00E054CC">
        <w:trPr>
          <w:trHeight w:val="397"/>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2"/>
                <w:szCs w:val="22"/>
                <w:lang w:eastAsia="ar-SA"/>
              </w:rPr>
            </w:pPr>
            <w:r w:rsidRPr="00124D89">
              <w:rPr>
                <w:rFonts w:cs="Calibri"/>
                <w:sz w:val="22"/>
                <w:szCs w:val="22"/>
                <w:lang w:eastAsia="ar-SA"/>
              </w:rPr>
              <w:t>Хлор (ммоль/л)</w:t>
            </w:r>
          </w:p>
        </w:tc>
        <w:tc>
          <w:tcPr>
            <w:tcW w:w="198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2"/>
                <w:szCs w:val="22"/>
                <w:lang w:eastAsia="ar-SA"/>
              </w:rPr>
            </w:pPr>
            <w:r w:rsidRPr="00124D89">
              <w:rPr>
                <w:rFonts w:cs="Calibri"/>
                <w:sz w:val="22"/>
                <w:szCs w:val="22"/>
                <w:lang w:eastAsia="ar-SA"/>
              </w:rPr>
              <w:t>100,4±2,08</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2"/>
                <w:szCs w:val="22"/>
                <w:lang w:eastAsia="ar-SA"/>
              </w:rPr>
            </w:pPr>
            <w:r w:rsidRPr="00124D89">
              <w:rPr>
                <w:rFonts w:cs="Calibri"/>
                <w:sz w:val="22"/>
                <w:szCs w:val="22"/>
                <w:lang w:eastAsia="ar-SA"/>
              </w:rPr>
              <w:t>104,2±1,28</w:t>
            </w:r>
          </w:p>
        </w:tc>
        <w:tc>
          <w:tcPr>
            <w:tcW w:w="2665"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sz w:val="22"/>
                <w:szCs w:val="22"/>
                <w:lang w:eastAsia="ar-SA"/>
              </w:rPr>
            </w:pPr>
            <w:r w:rsidRPr="00124D89">
              <w:rPr>
                <w:sz w:val="22"/>
                <w:szCs w:val="22"/>
                <w:lang w:eastAsia="ar-SA"/>
              </w:rPr>
              <w:t>–</w:t>
            </w:r>
          </w:p>
        </w:tc>
      </w:tr>
      <w:tr w:rsidR="00286780" w:rsidRPr="00124D89" w:rsidTr="00E054CC">
        <w:trPr>
          <w:trHeight w:val="397"/>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2"/>
                <w:szCs w:val="22"/>
                <w:lang w:eastAsia="ar-SA"/>
              </w:rPr>
            </w:pPr>
            <w:r w:rsidRPr="00124D89">
              <w:rPr>
                <w:rFonts w:cs="Calibri"/>
                <w:sz w:val="22"/>
                <w:szCs w:val="22"/>
                <w:lang w:eastAsia="ar-SA"/>
              </w:rPr>
              <w:t>Мочевина (ммоль/л)</w:t>
            </w:r>
          </w:p>
        </w:tc>
        <w:tc>
          <w:tcPr>
            <w:tcW w:w="198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2"/>
                <w:szCs w:val="22"/>
                <w:lang w:eastAsia="ar-SA"/>
              </w:rPr>
            </w:pPr>
            <w:r>
              <w:rPr>
                <w:rFonts w:cs="Calibri"/>
                <w:sz w:val="22"/>
                <w:szCs w:val="22"/>
                <w:lang w:eastAsia="ar-SA"/>
              </w:rPr>
              <w:t>11,4</w:t>
            </w:r>
            <w:r w:rsidRPr="00124D89">
              <w:rPr>
                <w:rFonts w:cs="Calibri"/>
                <w:sz w:val="22"/>
                <w:szCs w:val="22"/>
                <w:lang w:val="en-US" w:eastAsia="ar-SA"/>
              </w:rPr>
              <w:t>[</w:t>
            </w:r>
            <w:r w:rsidRPr="00124D89">
              <w:rPr>
                <w:rFonts w:cs="Calibri"/>
                <w:sz w:val="22"/>
                <w:szCs w:val="22"/>
                <w:lang w:eastAsia="ar-SA"/>
              </w:rPr>
              <w:t>8,21; 25,6</w:t>
            </w:r>
            <w:r w:rsidRPr="00124D89">
              <w:rPr>
                <w:rFonts w:cs="Calibri"/>
                <w:sz w:val="22"/>
                <w:szCs w:val="22"/>
                <w:lang w:val="en-US" w:eastAsia="ar-SA"/>
              </w:rPr>
              <w:t>]</w:t>
            </w:r>
            <w:r w:rsidRPr="00124D89">
              <w:rPr>
                <w:rFonts w:cs="Calibri"/>
                <w:sz w:val="22"/>
                <w:szCs w:val="22"/>
                <w:lang w:eastAsia="ar-SA"/>
              </w:rPr>
              <w:t>***</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2"/>
                <w:szCs w:val="22"/>
                <w:lang w:val="en-US" w:eastAsia="ar-SA"/>
              </w:rPr>
            </w:pPr>
            <w:r>
              <w:rPr>
                <w:rFonts w:cs="Calibri"/>
                <w:sz w:val="22"/>
                <w:szCs w:val="22"/>
                <w:lang w:eastAsia="ar-SA"/>
              </w:rPr>
              <w:t>6,7</w:t>
            </w:r>
            <w:r w:rsidRPr="00124D89">
              <w:rPr>
                <w:rFonts w:cs="Calibri"/>
                <w:sz w:val="22"/>
                <w:szCs w:val="22"/>
                <w:lang w:val="en-US" w:eastAsia="ar-SA"/>
              </w:rPr>
              <w:t>[</w:t>
            </w:r>
            <w:r>
              <w:rPr>
                <w:rFonts w:cs="Calibri"/>
                <w:sz w:val="22"/>
                <w:szCs w:val="22"/>
                <w:lang w:eastAsia="ar-SA"/>
              </w:rPr>
              <w:t>5,3;</w:t>
            </w:r>
            <w:r w:rsidRPr="00124D89">
              <w:rPr>
                <w:rFonts w:cs="Calibri"/>
                <w:sz w:val="22"/>
                <w:szCs w:val="22"/>
                <w:lang w:eastAsia="ar-SA"/>
              </w:rPr>
              <w:t>10</w:t>
            </w:r>
            <w:r w:rsidRPr="00124D89">
              <w:rPr>
                <w:rFonts w:cs="Calibri"/>
                <w:sz w:val="22"/>
                <w:szCs w:val="22"/>
                <w:lang w:val="en-US" w:eastAsia="ar-SA"/>
              </w:rPr>
              <w:t>]</w:t>
            </w:r>
          </w:p>
        </w:tc>
        <w:tc>
          <w:tcPr>
            <w:tcW w:w="2665"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z w:val="22"/>
                <w:szCs w:val="22"/>
                <w:lang w:eastAsia="ar-SA"/>
              </w:rPr>
            </w:pPr>
            <w:r>
              <w:rPr>
                <w:rFonts w:cs="Calibri"/>
                <w:sz w:val="22"/>
                <w:szCs w:val="22"/>
                <w:lang w:eastAsia="ar-SA"/>
              </w:rPr>
              <w:t>7,05</w:t>
            </w:r>
            <w:r w:rsidRPr="00124D89">
              <w:rPr>
                <w:rFonts w:cs="Calibri"/>
                <w:sz w:val="22"/>
                <w:szCs w:val="22"/>
                <w:lang w:val="en-US" w:eastAsia="ar-SA"/>
              </w:rPr>
              <w:t>[</w:t>
            </w:r>
            <w:r>
              <w:rPr>
                <w:rFonts w:cs="Calibri"/>
                <w:sz w:val="22"/>
                <w:szCs w:val="22"/>
                <w:lang w:eastAsia="ar-SA"/>
              </w:rPr>
              <w:t>5,88;</w:t>
            </w:r>
            <w:r w:rsidRPr="00124D89">
              <w:rPr>
                <w:rFonts w:cs="Calibri"/>
                <w:sz w:val="22"/>
                <w:szCs w:val="22"/>
                <w:lang w:eastAsia="ar-SA"/>
              </w:rPr>
              <w:t>7,8</w:t>
            </w:r>
            <w:r w:rsidRPr="00124D89">
              <w:rPr>
                <w:rFonts w:cs="Calibri"/>
                <w:sz w:val="22"/>
                <w:szCs w:val="22"/>
                <w:lang w:val="en-US" w:eastAsia="ar-SA"/>
              </w:rPr>
              <w:t>]</w:t>
            </w:r>
          </w:p>
        </w:tc>
      </w:tr>
      <w:tr w:rsidR="00286780" w:rsidRPr="00124D89" w:rsidTr="00E054CC">
        <w:trPr>
          <w:trHeight w:val="397"/>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2"/>
                <w:szCs w:val="22"/>
                <w:lang w:eastAsia="ar-SA"/>
              </w:rPr>
            </w:pPr>
            <w:r w:rsidRPr="00124D89">
              <w:rPr>
                <w:rFonts w:cs="Calibri"/>
                <w:sz w:val="22"/>
                <w:szCs w:val="22"/>
                <w:lang w:eastAsia="ar-SA"/>
              </w:rPr>
              <w:t>Аспартатаминотрансфераза (МЕ/л)</w:t>
            </w:r>
          </w:p>
        </w:tc>
        <w:tc>
          <w:tcPr>
            <w:tcW w:w="198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2"/>
                <w:szCs w:val="22"/>
                <w:lang w:val="en-US" w:eastAsia="ar-SA"/>
              </w:rPr>
            </w:pPr>
            <w:r w:rsidRPr="00124D89">
              <w:rPr>
                <w:rFonts w:cs="Calibri"/>
                <w:sz w:val="22"/>
                <w:szCs w:val="22"/>
                <w:lang w:eastAsia="ar-SA"/>
              </w:rPr>
              <w:t>40,9</w:t>
            </w:r>
            <w:r w:rsidRPr="00124D89">
              <w:rPr>
                <w:rFonts w:cs="Calibri"/>
                <w:sz w:val="22"/>
                <w:szCs w:val="22"/>
                <w:lang w:val="en-US" w:eastAsia="ar-SA"/>
              </w:rPr>
              <w:t>[</w:t>
            </w:r>
            <w:r w:rsidRPr="00124D89">
              <w:rPr>
                <w:rFonts w:cs="Calibri"/>
                <w:sz w:val="22"/>
                <w:szCs w:val="22"/>
                <w:lang w:eastAsia="ar-SA"/>
              </w:rPr>
              <w:t>29,7;88,4</w:t>
            </w:r>
            <w:r w:rsidRPr="00124D89">
              <w:rPr>
                <w:rFonts w:cs="Calibri"/>
                <w:sz w:val="22"/>
                <w:szCs w:val="22"/>
                <w:lang w:val="en-US" w:eastAsia="ar-SA"/>
              </w:rPr>
              <w:t>]</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2"/>
                <w:szCs w:val="22"/>
                <w:lang w:eastAsia="ar-SA"/>
              </w:rPr>
            </w:pPr>
            <w:r w:rsidRPr="00124D89">
              <w:rPr>
                <w:rFonts w:cs="Calibri"/>
                <w:sz w:val="22"/>
                <w:szCs w:val="22"/>
                <w:lang w:eastAsia="ar-SA"/>
              </w:rPr>
              <w:t>38,6[31,1;56,2]</w:t>
            </w:r>
          </w:p>
        </w:tc>
        <w:tc>
          <w:tcPr>
            <w:tcW w:w="2665"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z w:val="22"/>
                <w:szCs w:val="22"/>
                <w:lang w:eastAsia="ar-SA"/>
              </w:rPr>
            </w:pPr>
            <w:r w:rsidRPr="00124D89">
              <w:rPr>
                <w:rFonts w:cs="Calibri"/>
                <w:sz w:val="22"/>
                <w:szCs w:val="22"/>
                <w:lang w:eastAsia="ar-SA"/>
              </w:rPr>
              <w:t>–</w:t>
            </w:r>
          </w:p>
        </w:tc>
      </w:tr>
      <w:tr w:rsidR="00286780" w:rsidRPr="00124D89" w:rsidTr="00E054CC">
        <w:trPr>
          <w:trHeight w:val="397"/>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2"/>
                <w:szCs w:val="22"/>
                <w:lang w:eastAsia="ar-SA"/>
              </w:rPr>
            </w:pPr>
            <w:r w:rsidRPr="00124D89">
              <w:rPr>
                <w:rFonts w:cs="Calibri"/>
                <w:sz w:val="22"/>
                <w:szCs w:val="22"/>
                <w:lang w:eastAsia="ar-SA"/>
              </w:rPr>
              <w:t>Аланинаминотрансфераза (МЕ/л)</w:t>
            </w:r>
          </w:p>
        </w:tc>
        <w:tc>
          <w:tcPr>
            <w:tcW w:w="198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2"/>
                <w:szCs w:val="22"/>
                <w:lang w:val="en-US" w:eastAsia="ar-SA"/>
              </w:rPr>
            </w:pPr>
            <w:r>
              <w:rPr>
                <w:rFonts w:cs="Calibri"/>
                <w:sz w:val="22"/>
                <w:szCs w:val="22"/>
                <w:lang w:eastAsia="ar-SA"/>
              </w:rPr>
              <w:t>28</w:t>
            </w:r>
            <w:r w:rsidRPr="00124D89">
              <w:rPr>
                <w:rFonts w:cs="Calibri"/>
                <w:sz w:val="22"/>
                <w:szCs w:val="22"/>
                <w:lang w:val="en-US" w:eastAsia="ar-SA"/>
              </w:rPr>
              <w:t>[</w:t>
            </w:r>
            <w:r w:rsidRPr="00124D89">
              <w:rPr>
                <w:rFonts w:cs="Calibri"/>
                <w:sz w:val="22"/>
                <w:szCs w:val="22"/>
                <w:lang w:eastAsia="ar-SA"/>
              </w:rPr>
              <w:t>20;58,5</w:t>
            </w:r>
            <w:r w:rsidRPr="00124D89">
              <w:rPr>
                <w:rFonts w:cs="Calibri"/>
                <w:sz w:val="22"/>
                <w:szCs w:val="22"/>
                <w:lang w:val="en-US" w:eastAsia="ar-SA"/>
              </w:rPr>
              <w:t>]</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2"/>
                <w:szCs w:val="22"/>
                <w:lang w:val="en-US" w:eastAsia="ar-SA"/>
              </w:rPr>
            </w:pPr>
            <w:r>
              <w:rPr>
                <w:rFonts w:cs="Calibri"/>
                <w:sz w:val="22"/>
                <w:szCs w:val="22"/>
                <w:lang w:eastAsia="ar-SA"/>
              </w:rPr>
              <w:t>27,2</w:t>
            </w:r>
            <w:r w:rsidRPr="00124D89">
              <w:rPr>
                <w:rFonts w:cs="Calibri"/>
                <w:sz w:val="22"/>
                <w:szCs w:val="22"/>
                <w:lang w:val="en-US" w:eastAsia="ar-SA"/>
              </w:rPr>
              <w:t>[</w:t>
            </w:r>
            <w:r>
              <w:rPr>
                <w:rFonts w:cs="Calibri"/>
                <w:sz w:val="22"/>
                <w:szCs w:val="22"/>
                <w:lang w:eastAsia="ar-SA"/>
              </w:rPr>
              <w:t>15,5;</w:t>
            </w:r>
            <w:r w:rsidRPr="00124D89">
              <w:rPr>
                <w:rFonts w:cs="Calibri"/>
                <w:sz w:val="22"/>
                <w:szCs w:val="22"/>
                <w:lang w:eastAsia="ar-SA"/>
              </w:rPr>
              <w:t>38,6</w:t>
            </w:r>
            <w:r w:rsidRPr="00124D89">
              <w:rPr>
                <w:rFonts w:cs="Calibri"/>
                <w:sz w:val="22"/>
                <w:szCs w:val="22"/>
                <w:lang w:val="en-US" w:eastAsia="ar-SA"/>
              </w:rPr>
              <w:t>]</w:t>
            </w:r>
          </w:p>
        </w:tc>
        <w:tc>
          <w:tcPr>
            <w:tcW w:w="2665"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z w:val="22"/>
                <w:szCs w:val="22"/>
                <w:lang w:eastAsia="ar-SA"/>
              </w:rPr>
            </w:pPr>
            <w:r w:rsidRPr="00124D89">
              <w:rPr>
                <w:rFonts w:cs="Calibri"/>
                <w:sz w:val="22"/>
                <w:szCs w:val="22"/>
                <w:lang w:eastAsia="ar-SA"/>
              </w:rPr>
              <w:t>–</w:t>
            </w:r>
          </w:p>
        </w:tc>
      </w:tr>
      <w:tr w:rsidR="00286780" w:rsidRPr="00124D89" w:rsidTr="00E054CC">
        <w:trPr>
          <w:trHeight w:val="397"/>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2"/>
                <w:szCs w:val="22"/>
                <w:lang w:eastAsia="ar-SA"/>
              </w:rPr>
            </w:pPr>
            <w:r w:rsidRPr="00124D89">
              <w:rPr>
                <w:rFonts w:cs="Calibri"/>
                <w:sz w:val="22"/>
                <w:szCs w:val="22"/>
                <w:lang w:eastAsia="ar-SA"/>
              </w:rPr>
              <w:t>Коэффициент де Ритиса (АСТ/АЛТ)</w:t>
            </w:r>
          </w:p>
        </w:tc>
        <w:tc>
          <w:tcPr>
            <w:tcW w:w="198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2"/>
                <w:szCs w:val="22"/>
                <w:lang w:val="en-US" w:eastAsia="ar-SA"/>
              </w:rPr>
            </w:pPr>
            <w:r>
              <w:rPr>
                <w:rFonts w:cs="Calibri"/>
                <w:sz w:val="22"/>
                <w:szCs w:val="22"/>
                <w:lang w:eastAsia="ar-SA"/>
              </w:rPr>
              <w:t>1,48</w:t>
            </w:r>
            <w:r w:rsidRPr="00124D89">
              <w:rPr>
                <w:rFonts w:cs="Calibri"/>
                <w:sz w:val="22"/>
                <w:szCs w:val="22"/>
                <w:lang w:val="en-US" w:eastAsia="ar-SA"/>
              </w:rPr>
              <w:t>[</w:t>
            </w:r>
            <w:r w:rsidRPr="00124D89">
              <w:rPr>
                <w:rFonts w:cs="Calibri"/>
                <w:sz w:val="22"/>
                <w:szCs w:val="22"/>
                <w:lang w:eastAsia="ar-SA"/>
              </w:rPr>
              <w:t>1,04;1,81</w:t>
            </w:r>
            <w:r w:rsidRPr="00124D89">
              <w:rPr>
                <w:rFonts w:cs="Calibri"/>
                <w:sz w:val="22"/>
                <w:szCs w:val="22"/>
                <w:lang w:val="en-US" w:eastAsia="ar-SA"/>
              </w:rPr>
              <w:t>]</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2"/>
                <w:szCs w:val="22"/>
                <w:lang w:val="en-US" w:eastAsia="ar-SA"/>
              </w:rPr>
            </w:pPr>
            <w:r>
              <w:rPr>
                <w:rFonts w:cs="Calibri"/>
                <w:sz w:val="22"/>
                <w:szCs w:val="22"/>
                <w:lang w:eastAsia="ar-SA"/>
              </w:rPr>
              <w:t>1,5</w:t>
            </w:r>
            <w:r w:rsidRPr="00124D89">
              <w:rPr>
                <w:rFonts w:cs="Calibri"/>
                <w:sz w:val="22"/>
                <w:szCs w:val="22"/>
                <w:lang w:val="en-US" w:eastAsia="ar-SA"/>
              </w:rPr>
              <w:t>[</w:t>
            </w:r>
            <w:r>
              <w:rPr>
                <w:rFonts w:cs="Calibri"/>
                <w:sz w:val="22"/>
                <w:szCs w:val="22"/>
                <w:lang w:eastAsia="ar-SA"/>
              </w:rPr>
              <w:t>1,18;</w:t>
            </w:r>
            <w:r w:rsidRPr="00124D89">
              <w:rPr>
                <w:rFonts w:cs="Calibri"/>
                <w:sz w:val="22"/>
                <w:szCs w:val="22"/>
                <w:lang w:eastAsia="ar-SA"/>
              </w:rPr>
              <w:t>2,34</w:t>
            </w:r>
            <w:r w:rsidRPr="00124D89">
              <w:rPr>
                <w:rFonts w:cs="Calibri"/>
                <w:sz w:val="22"/>
                <w:szCs w:val="22"/>
                <w:lang w:val="en-US" w:eastAsia="ar-SA"/>
              </w:rPr>
              <w:t>]</w:t>
            </w:r>
          </w:p>
        </w:tc>
        <w:tc>
          <w:tcPr>
            <w:tcW w:w="2665"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z w:val="22"/>
                <w:szCs w:val="22"/>
                <w:lang w:eastAsia="ar-SA"/>
              </w:rPr>
            </w:pPr>
            <w:r w:rsidRPr="00124D89">
              <w:rPr>
                <w:rFonts w:cs="Calibri"/>
                <w:sz w:val="22"/>
                <w:szCs w:val="22"/>
                <w:lang w:eastAsia="ar-SA"/>
              </w:rPr>
              <w:t>–</w:t>
            </w:r>
          </w:p>
        </w:tc>
      </w:tr>
      <w:tr w:rsidR="00286780" w:rsidRPr="00124D89" w:rsidTr="00E054CC">
        <w:trPr>
          <w:trHeight w:val="397"/>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2"/>
                <w:szCs w:val="22"/>
                <w:lang w:eastAsia="ar-SA"/>
              </w:rPr>
            </w:pPr>
            <w:r w:rsidRPr="00124D89">
              <w:rPr>
                <w:rFonts w:cs="Calibri"/>
                <w:sz w:val="22"/>
                <w:szCs w:val="22"/>
                <w:lang w:eastAsia="ar-SA"/>
              </w:rPr>
              <w:t>α-амилаза (Ед/л)</w:t>
            </w:r>
          </w:p>
        </w:tc>
        <w:tc>
          <w:tcPr>
            <w:tcW w:w="198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2"/>
                <w:szCs w:val="22"/>
                <w:lang w:val="en-US" w:eastAsia="ar-SA"/>
              </w:rPr>
            </w:pPr>
            <w:r>
              <w:rPr>
                <w:rFonts w:cs="Calibri"/>
                <w:sz w:val="22"/>
                <w:szCs w:val="22"/>
                <w:lang w:eastAsia="ar-SA"/>
              </w:rPr>
              <w:t>77</w:t>
            </w:r>
            <w:r w:rsidRPr="00124D89">
              <w:rPr>
                <w:rFonts w:cs="Calibri"/>
                <w:sz w:val="22"/>
                <w:szCs w:val="22"/>
                <w:lang w:val="en-US" w:eastAsia="ar-SA"/>
              </w:rPr>
              <w:t>[</w:t>
            </w:r>
            <w:r>
              <w:rPr>
                <w:rFonts w:cs="Calibri"/>
                <w:sz w:val="22"/>
                <w:szCs w:val="22"/>
                <w:lang w:eastAsia="ar-SA"/>
              </w:rPr>
              <w:t>36;</w:t>
            </w:r>
            <w:r w:rsidRPr="00124D89">
              <w:rPr>
                <w:rFonts w:cs="Calibri"/>
                <w:sz w:val="22"/>
                <w:szCs w:val="22"/>
                <w:lang w:eastAsia="ar-SA"/>
              </w:rPr>
              <w:t>158</w:t>
            </w:r>
            <w:r w:rsidRPr="00124D89">
              <w:rPr>
                <w:rFonts w:cs="Calibri"/>
                <w:sz w:val="22"/>
                <w:szCs w:val="22"/>
                <w:lang w:val="en-US" w:eastAsia="ar-SA"/>
              </w:rPr>
              <w:t>]</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2"/>
                <w:szCs w:val="22"/>
                <w:lang w:eastAsia="ar-SA"/>
              </w:rPr>
            </w:pPr>
            <w:r>
              <w:rPr>
                <w:rFonts w:cs="Calibri"/>
                <w:sz w:val="22"/>
                <w:szCs w:val="22"/>
                <w:lang w:eastAsia="ar-SA"/>
              </w:rPr>
              <w:t>95[54;</w:t>
            </w:r>
            <w:r w:rsidRPr="00124D89">
              <w:rPr>
                <w:rFonts w:cs="Calibri"/>
                <w:sz w:val="22"/>
                <w:szCs w:val="22"/>
                <w:lang w:eastAsia="ar-SA"/>
              </w:rPr>
              <w:t>128]</w:t>
            </w:r>
          </w:p>
        </w:tc>
        <w:tc>
          <w:tcPr>
            <w:tcW w:w="2665"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z w:val="22"/>
                <w:szCs w:val="22"/>
                <w:lang w:eastAsia="ar-SA"/>
              </w:rPr>
            </w:pPr>
            <w:r w:rsidRPr="00124D89">
              <w:rPr>
                <w:rFonts w:cs="Calibri"/>
                <w:sz w:val="22"/>
                <w:szCs w:val="22"/>
                <w:lang w:eastAsia="ar-SA"/>
              </w:rPr>
              <w:t>–</w:t>
            </w:r>
          </w:p>
        </w:tc>
      </w:tr>
      <w:tr w:rsidR="00286780" w:rsidRPr="00124D89" w:rsidTr="00E054CC">
        <w:trPr>
          <w:trHeight w:val="397"/>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2"/>
                <w:szCs w:val="22"/>
                <w:lang w:eastAsia="ar-SA"/>
              </w:rPr>
            </w:pPr>
            <w:r w:rsidRPr="00124D89">
              <w:rPr>
                <w:rFonts w:cs="Calibri"/>
                <w:sz w:val="22"/>
                <w:szCs w:val="22"/>
                <w:lang w:eastAsia="ar-SA"/>
              </w:rPr>
              <w:t xml:space="preserve">Креатинин (мкмоль/л) </w:t>
            </w:r>
          </w:p>
        </w:tc>
        <w:tc>
          <w:tcPr>
            <w:tcW w:w="1984" w:type="dxa"/>
            <w:tcBorders>
              <w:top w:val="single" w:sz="4" w:space="0" w:color="000000"/>
              <w:left w:val="single" w:sz="4" w:space="0" w:color="000000"/>
              <w:bottom w:val="single" w:sz="4" w:space="0" w:color="000000"/>
            </w:tcBorders>
            <w:tcMar>
              <w:left w:w="28" w:type="dxa"/>
              <w:right w:w="28" w:type="dxa"/>
            </w:tcMar>
            <w:vAlign w:val="center"/>
          </w:tcPr>
          <w:p w:rsidR="00286780" w:rsidRPr="00E054CC" w:rsidRDefault="00286780" w:rsidP="00124D89">
            <w:pPr>
              <w:snapToGrid w:val="0"/>
              <w:jc w:val="center"/>
              <w:rPr>
                <w:rFonts w:cs="Calibri"/>
                <w:sz w:val="22"/>
                <w:szCs w:val="22"/>
                <w:lang w:eastAsia="ar-SA"/>
              </w:rPr>
            </w:pPr>
            <w:r>
              <w:rPr>
                <w:rFonts w:cs="Calibri"/>
                <w:sz w:val="22"/>
                <w:szCs w:val="22"/>
                <w:lang w:eastAsia="ar-SA"/>
              </w:rPr>
              <w:t>133,2</w:t>
            </w:r>
            <w:r w:rsidRPr="00E054CC">
              <w:rPr>
                <w:rFonts w:cs="Calibri"/>
                <w:sz w:val="22"/>
                <w:szCs w:val="22"/>
                <w:lang w:val="en-US" w:eastAsia="ar-SA"/>
              </w:rPr>
              <w:t>[</w:t>
            </w:r>
            <w:r>
              <w:rPr>
                <w:rFonts w:cs="Calibri"/>
                <w:sz w:val="22"/>
                <w:szCs w:val="22"/>
                <w:lang w:eastAsia="ar-SA"/>
              </w:rPr>
              <w:t>109;</w:t>
            </w:r>
            <w:r w:rsidRPr="00E054CC">
              <w:rPr>
                <w:rFonts w:cs="Calibri"/>
                <w:sz w:val="22"/>
                <w:szCs w:val="22"/>
                <w:lang w:eastAsia="ar-SA"/>
              </w:rPr>
              <w:t>259,4</w:t>
            </w:r>
            <w:r w:rsidRPr="00E054CC">
              <w:rPr>
                <w:rFonts w:cs="Calibri"/>
                <w:sz w:val="22"/>
                <w:szCs w:val="22"/>
                <w:lang w:val="en-US" w:eastAsia="ar-SA"/>
              </w:rPr>
              <w:t>]</w:t>
            </w:r>
            <w:r w:rsidRPr="00E054CC">
              <w:rPr>
                <w:rFonts w:cs="Calibri"/>
                <w:sz w:val="22"/>
                <w:szCs w:val="22"/>
                <w:lang w:eastAsia="ar-SA"/>
              </w:rPr>
              <w:t>**</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2"/>
                <w:szCs w:val="22"/>
                <w:lang w:val="en-US" w:eastAsia="ar-SA"/>
              </w:rPr>
            </w:pPr>
            <w:r>
              <w:rPr>
                <w:rFonts w:cs="Calibri"/>
                <w:sz w:val="22"/>
                <w:szCs w:val="22"/>
                <w:lang w:eastAsia="ar-SA"/>
              </w:rPr>
              <w:t>98,7</w:t>
            </w:r>
            <w:r w:rsidRPr="00124D89">
              <w:rPr>
                <w:rFonts w:cs="Calibri"/>
                <w:sz w:val="22"/>
                <w:szCs w:val="22"/>
                <w:lang w:val="en-US" w:eastAsia="ar-SA"/>
              </w:rPr>
              <w:t>[</w:t>
            </w:r>
            <w:r>
              <w:rPr>
                <w:rFonts w:cs="Calibri"/>
                <w:sz w:val="22"/>
                <w:szCs w:val="22"/>
                <w:lang w:eastAsia="ar-SA"/>
              </w:rPr>
              <w:t>81,9;</w:t>
            </w:r>
            <w:r w:rsidRPr="00124D89">
              <w:rPr>
                <w:rFonts w:cs="Calibri"/>
                <w:sz w:val="22"/>
                <w:szCs w:val="22"/>
                <w:lang w:eastAsia="ar-SA"/>
              </w:rPr>
              <w:t>130,6</w:t>
            </w:r>
            <w:r w:rsidRPr="00124D89">
              <w:rPr>
                <w:rFonts w:cs="Calibri"/>
                <w:sz w:val="22"/>
                <w:szCs w:val="22"/>
                <w:lang w:val="en-US" w:eastAsia="ar-SA"/>
              </w:rPr>
              <w:t>]</w:t>
            </w:r>
          </w:p>
        </w:tc>
        <w:tc>
          <w:tcPr>
            <w:tcW w:w="2665"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sz w:val="22"/>
                <w:szCs w:val="22"/>
                <w:lang w:eastAsia="ar-SA"/>
              </w:rPr>
            </w:pPr>
            <w:r>
              <w:rPr>
                <w:sz w:val="22"/>
                <w:szCs w:val="22"/>
                <w:lang w:eastAsia="ar-SA"/>
              </w:rPr>
              <w:t>112,5</w:t>
            </w:r>
            <w:r w:rsidRPr="00124D89">
              <w:rPr>
                <w:sz w:val="22"/>
                <w:szCs w:val="22"/>
                <w:lang w:val="en-US" w:eastAsia="ar-SA"/>
              </w:rPr>
              <w:t>[</w:t>
            </w:r>
            <w:r>
              <w:rPr>
                <w:sz w:val="22"/>
                <w:szCs w:val="22"/>
                <w:lang w:eastAsia="ar-SA"/>
              </w:rPr>
              <w:t>100,3;</w:t>
            </w:r>
            <w:r w:rsidRPr="00124D89">
              <w:rPr>
                <w:sz w:val="22"/>
                <w:szCs w:val="22"/>
                <w:lang w:eastAsia="ar-SA"/>
              </w:rPr>
              <w:t>120,8</w:t>
            </w:r>
            <w:r w:rsidRPr="00124D89">
              <w:rPr>
                <w:sz w:val="22"/>
                <w:szCs w:val="22"/>
                <w:lang w:val="en-US" w:eastAsia="ar-SA"/>
              </w:rPr>
              <w:t>]</w:t>
            </w:r>
          </w:p>
        </w:tc>
      </w:tr>
      <w:tr w:rsidR="00286780" w:rsidRPr="00124D89" w:rsidTr="00E054CC">
        <w:trPr>
          <w:trHeight w:val="397"/>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2"/>
                <w:szCs w:val="22"/>
                <w:lang w:eastAsia="ar-SA"/>
              </w:rPr>
            </w:pPr>
            <w:r w:rsidRPr="00124D89">
              <w:rPr>
                <w:rFonts w:cs="Calibri"/>
                <w:sz w:val="22"/>
                <w:szCs w:val="22"/>
                <w:lang w:eastAsia="ar-SA"/>
              </w:rPr>
              <w:t>Глюкоза (ммоль/л)</w:t>
            </w:r>
          </w:p>
        </w:tc>
        <w:tc>
          <w:tcPr>
            <w:tcW w:w="1984" w:type="dxa"/>
            <w:tcBorders>
              <w:top w:val="single" w:sz="4" w:space="0" w:color="000000"/>
              <w:left w:val="single" w:sz="4" w:space="0" w:color="000000"/>
              <w:bottom w:val="single" w:sz="4" w:space="0" w:color="000000"/>
            </w:tcBorders>
            <w:tcMar>
              <w:left w:w="28" w:type="dxa"/>
              <w:right w:w="28" w:type="dxa"/>
            </w:tcMar>
            <w:vAlign w:val="center"/>
          </w:tcPr>
          <w:p w:rsidR="00286780" w:rsidRPr="00E054CC" w:rsidRDefault="00286780" w:rsidP="00124D89">
            <w:pPr>
              <w:snapToGrid w:val="0"/>
              <w:jc w:val="center"/>
              <w:rPr>
                <w:rFonts w:cs="Calibri"/>
                <w:sz w:val="22"/>
                <w:szCs w:val="22"/>
                <w:lang w:eastAsia="ar-SA"/>
              </w:rPr>
            </w:pPr>
            <w:r>
              <w:rPr>
                <w:rFonts w:cs="Calibri"/>
                <w:sz w:val="22"/>
                <w:szCs w:val="22"/>
                <w:lang w:eastAsia="ar-SA"/>
              </w:rPr>
              <w:t>8,4</w:t>
            </w:r>
            <w:r w:rsidRPr="00E054CC">
              <w:rPr>
                <w:rFonts w:cs="Calibri"/>
                <w:sz w:val="22"/>
                <w:szCs w:val="22"/>
                <w:lang w:eastAsia="ar-SA"/>
              </w:rPr>
              <w:t>[6</w:t>
            </w:r>
            <w:r w:rsidRPr="00E054CC">
              <w:rPr>
                <w:rFonts w:cs="Calibri"/>
                <w:sz w:val="22"/>
                <w:szCs w:val="22"/>
                <w:lang w:val="en-US" w:eastAsia="ar-SA"/>
              </w:rPr>
              <w:t>,</w:t>
            </w:r>
            <w:r>
              <w:rPr>
                <w:rFonts w:cs="Calibri"/>
                <w:sz w:val="22"/>
                <w:szCs w:val="22"/>
                <w:lang w:eastAsia="ar-SA"/>
              </w:rPr>
              <w:t>7;</w:t>
            </w:r>
            <w:r w:rsidRPr="00E054CC">
              <w:rPr>
                <w:rFonts w:cs="Calibri"/>
                <w:sz w:val="22"/>
                <w:szCs w:val="22"/>
                <w:lang w:eastAsia="ar-SA"/>
              </w:rPr>
              <w:t>11,4]***</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2"/>
                <w:szCs w:val="22"/>
                <w:lang w:eastAsia="ar-SA"/>
              </w:rPr>
            </w:pPr>
            <w:r>
              <w:rPr>
                <w:rFonts w:cs="Calibri"/>
                <w:sz w:val="22"/>
                <w:szCs w:val="22"/>
                <w:lang w:eastAsia="ar-SA"/>
              </w:rPr>
              <w:t>6,4[5,2;</w:t>
            </w:r>
            <w:r w:rsidRPr="00124D89">
              <w:rPr>
                <w:rFonts w:cs="Calibri"/>
                <w:sz w:val="22"/>
                <w:szCs w:val="22"/>
                <w:lang w:eastAsia="ar-SA"/>
              </w:rPr>
              <w:t>6,96]</w:t>
            </w:r>
          </w:p>
        </w:tc>
        <w:tc>
          <w:tcPr>
            <w:tcW w:w="2665"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sz w:val="22"/>
                <w:szCs w:val="22"/>
                <w:lang w:eastAsia="ar-SA"/>
              </w:rPr>
            </w:pPr>
            <w:r>
              <w:rPr>
                <w:sz w:val="22"/>
                <w:szCs w:val="22"/>
                <w:lang w:eastAsia="ar-SA"/>
              </w:rPr>
              <w:t>5,23[4,71;</w:t>
            </w:r>
            <w:r w:rsidRPr="00124D89">
              <w:rPr>
                <w:sz w:val="22"/>
                <w:szCs w:val="22"/>
                <w:lang w:eastAsia="ar-SA"/>
              </w:rPr>
              <w:t>6</w:t>
            </w:r>
            <w:r w:rsidRPr="00124D89">
              <w:rPr>
                <w:sz w:val="22"/>
                <w:szCs w:val="22"/>
                <w:lang w:val="en-US" w:eastAsia="ar-SA"/>
              </w:rPr>
              <w:t>,</w:t>
            </w:r>
            <w:r w:rsidRPr="00124D89">
              <w:rPr>
                <w:sz w:val="22"/>
                <w:szCs w:val="22"/>
                <w:lang w:eastAsia="ar-SA"/>
              </w:rPr>
              <w:t>5</w:t>
            </w:r>
            <w:r w:rsidRPr="00124D89">
              <w:rPr>
                <w:sz w:val="22"/>
                <w:szCs w:val="22"/>
                <w:lang w:val="en-US" w:eastAsia="ar-SA"/>
              </w:rPr>
              <w:t>5</w:t>
            </w:r>
            <w:r w:rsidRPr="00124D89">
              <w:rPr>
                <w:sz w:val="22"/>
                <w:szCs w:val="22"/>
                <w:lang w:eastAsia="ar-SA"/>
              </w:rPr>
              <w:t>]</w:t>
            </w:r>
          </w:p>
        </w:tc>
      </w:tr>
      <w:tr w:rsidR="00286780" w:rsidRPr="00124D89" w:rsidTr="00E054CC">
        <w:trPr>
          <w:trHeight w:val="397"/>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2"/>
                <w:szCs w:val="22"/>
                <w:lang w:val="en-US" w:eastAsia="ar-SA"/>
              </w:rPr>
            </w:pPr>
            <w:r w:rsidRPr="00124D89">
              <w:rPr>
                <w:rFonts w:cs="Calibri"/>
                <w:sz w:val="22"/>
                <w:szCs w:val="22"/>
                <w:lang w:val="en-US" w:eastAsia="ar-SA"/>
              </w:rPr>
              <w:t>pH</w:t>
            </w:r>
          </w:p>
        </w:tc>
        <w:tc>
          <w:tcPr>
            <w:tcW w:w="198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2"/>
                <w:szCs w:val="22"/>
                <w:lang w:val="en-US" w:eastAsia="ar-SA"/>
              </w:rPr>
            </w:pPr>
            <w:r>
              <w:rPr>
                <w:rFonts w:cs="Calibri"/>
                <w:sz w:val="22"/>
                <w:szCs w:val="22"/>
                <w:lang w:eastAsia="ar-SA"/>
              </w:rPr>
              <w:t>7,41</w:t>
            </w:r>
            <w:r w:rsidRPr="00124D89">
              <w:rPr>
                <w:rFonts w:cs="Calibri"/>
                <w:sz w:val="22"/>
                <w:szCs w:val="22"/>
                <w:lang w:val="en-US" w:eastAsia="ar-SA"/>
              </w:rPr>
              <w:t>[</w:t>
            </w:r>
            <w:r>
              <w:rPr>
                <w:rFonts w:cs="Calibri"/>
                <w:sz w:val="22"/>
                <w:szCs w:val="22"/>
                <w:lang w:eastAsia="ar-SA"/>
              </w:rPr>
              <w:t>7,36;</w:t>
            </w:r>
            <w:r w:rsidRPr="00124D89">
              <w:rPr>
                <w:rFonts w:cs="Calibri"/>
                <w:sz w:val="22"/>
                <w:szCs w:val="22"/>
                <w:lang w:eastAsia="ar-SA"/>
              </w:rPr>
              <w:t>7,43</w:t>
            </w:r>
            <w:r w:rsidRPr="00124D89">
              <w:rPr>
                <w:rFonts w:cs="Calibri"/>
                <w:sz w:val="22"/>
                <w:szCs w:val="22"/>
                <w:lang w:val="en-US" w:eastAsia="ar-SA"/>
              </w:rPr>
              <w:t>]</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2"/>
                <w:szCs w:val="22"/>
                <w:lang w:eastAsia="ar-SA"/>
              </w:rPr>
            </w:pPr>
            <w:r>
              <w:rPr>
                <w:rFonts w:cs="Calibri"/>
                <w:sz w:val="22"/>
                <w:szCs w:val="22"/>
                <w:lang w:eastAsia="ar-SA"/>
              </w:rPr>
              <w:t>7,37</w:t>
            </w:r>
            <w:r w:rsidRPr="00124D89">
              <w:rPr>
                <w:rFonts w:cs="Calibri"/>
                <w:sz w:val="22"/>
                <w:szCs w:val="22"/>
                <w:lang w:eastAsia="ar-SA"/>
              </w:rPr>
              <w:t>[</w:t>
            </w:r>
            <w:r>
              <w:rPr>
                <w:rFonts w:cs="Calibri"/>
                <w:sz w:val="22"/>
                <w:szCs w:val="22"/>
                <w:lang w:eastAsia="ar-SA"/>
              </w:rPr>
              <w:t>7,34;</w:t>
            </w:r>
            <w:r w:rsidRPr="00124D89">
              <w:rPr>
                <w:rFonts w:cs="Calibri"/>
                <w:sz w:val="22"/>
                <w:szCs w:val="22"/>
                <w:lang w:eastAsia="ar-SA"/>
              </w:rPr>
              <w:t>7,42]</w:t>
            </w:r>
          </w:p>
        </w:tc>
        <w:tc>
          <w:tcPr>
            <w:tcW w:w="2665"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z w:val="22"/>
                <w:szCs w:val="22"/>
                <w:lang w:eastAsia="ar-SA"/>
              </w:rPr>
            </w:pPr>
            <w:r w:rsidRPr="00124D89">
              <w:rPr>
                <w:rFonts w:cs="Calibri"/>
                <w:sz w:val="22"/>
                <w:szCs w:val="22"/>
                <w:lang w:eastAsia="ar-SA"/>
              </w:rPr>
              <w:t>–</w:t>
            </w:r>
          </w:p>
        </w:tc>
      </w:tr>
      <w:tr w:rsidR="00286780" w:rsidRPr="00124D89" w:rsidTr="00E054CC">
        <w:trPr>
          <w:trHeight w:val="397"/>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2"/>
                <w:szCs w:val="22"/>
                <w:lang w:eastAsia="ar-SA"/>
              </w:rPr>
            </w:pPr>
            <w:r w:rsidRPr="00124D89">
              <w:rPr>
                <w:rFonts w:cs="Calibri"/>
                <w:sz w:val="22"/>
                <w:szCs w:val="22"/>
                <w:lang w:val="en-US" w:eastAsia="ar-SA"/>
              </w:rPr>
              <w:t>pO</w:t>
            </w:r>
            <w:r w:rsidRPr="00124D89">
              <w:rPr>
                <w:rFonts w:cs="Calibri"/>
                <w:sz w:val="22"/>
                <w:szCs w:val="22"/>
                <w:lang w:eastAsia="ar-SA"/>
              </w:rPr>
              <w:t>2 (мм рт. ст.)</w:t>
            </w:r>
          </w:p>
        </w:tc>
        <w:tc>
          <w:tcPr>
            <w:tcW w:w="198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2"/>
                <w:szCs w:val="22"/>
                <w:lang w:val="en-US" w:eastAsia="ar-SA"/>
              </w:rPr>
            </w:pPr>
            <w:r>
              <w:rPr>
                <w:rFonts w:cs="Calibri"/>
                <w:sz w:val="22"/>
                <w:szCs w:val="22"/>
                <w:lang w:eastAsia="ar-SA"/>
              </w:rPr>
              <w:t>59,2</w:t>
            </w:r>
            <w:r w:rsidRPr="00124D89">
              <w:rPr>
                <w:rFonts w:cs="Calibri"/>
                <w:sz w:val="22"/>
                <w:szCs w:val="22"/>
                <w:lang w:val="en-US" w:eastAsia="ar-SA"/>
              </w:rPr>
              <w:t>[</w:t>
            </w:r>
            <w:r>
              <w:rPr>
                <w:rFonts w:cs="Calibri"/>
                <w:sz w:val="22"/>
                <w:szCs w:val="22"/>
                <w:lang w:eastAsia="ar-SA"/>
              </w:rPr>
              <w:t>50,95;</w:t>
            </w:r>
            <w:r w:rsidRPr="00124D89">
              <w:rPr>
                <w:rFonts w:cs="Calibri"/>
                <w:sz w:val="22"/>
                <w:szCs w:val="22"/>
                <w:lang w:eastAsia="ar-SA"/>
              </w:rPr>
              <w:t>71,8</w:t>
            </w:r>
            <w:r w:rsidRPr="00124D89">
              <w:rPr>
                <w:rFonts w:cs="Calibri"/>
                <w:sz w:val="22"/>
                <w:szCs w:val="22"/>
                <w:lang w:val="en-US" w:eastAsia="ar-SA"/>
              </w:rPr>
              <w:t>]</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2"/>
                <w:szCs w:val="22"/>
                <w:lang w:eastAsia="ar-SA"/>
              </w:rPr>
            </w:pPr>
            <w:r>
              <w:rPr>
                <w:rFonts w:cs="Calibri"/>
                <w:sz w:val="22"/>
                <w:szCs w:val="22"/>
                <w:lang w:eastAsia="ar-SA"/>
              </w:rPr>
              <w:t>64,3[52,7;</w:t>
            </w:r>
            <w:r w:rsidRPr="00124D89">
              <w:rPr>
                <w:rFonts w:cs="Calibri"/>
                <w:sz w:val="22"/>
                <w:szCs w:val="22"/>
                <w:lang w:eastAsia="ar-SA"/>
              </w:rPr>
              <w:t>80,2]</w:t>
            </w:r>
          </w:p>
        </w:tc>
        <w:tc>
          <w:tcPr>
            <w:tcW w:w="2665"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z w:val="22"/>
                <w:szCs w:val="22"/>
                <w:lang w:eastAsia="ar-SA"/>
              </w:rPr>
            </w:pPr>
            <w:r w:rsidRPr="00124D89">
              <w:rPr>
                <w:rFonts w:cs="Calibri"/>
                <w:sz w:val="22"/>
                <w:szCs w:val="22"/>
                <w:lang w:eastAsia="ar-SA"/>
              </w:rPr>
              <w:t>–</w:t>
            </w:r>
          </w:p>
        </w:tc>
      </w:tr>
      <w:tr w:rsidR="00286780" w:rsidRPr="00124D89" w:rsidTr="00E054CC">
        <w:trPr>
          <w:trHeight w:val="397"/>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2"/>
                <w:szCs w:val="22"/>
                <w:lang w:eastAsia="ar-SA"/>
              </w:rPr>
            </w:pPr>
            <w:r w:rsidRPr="00124D89">
              <w:rPr>
                <w:rFonts w:cs="Calibri"/>
                <w:sz w:val="22"/>
                <w:szCs w:val="22"/>
                <w:lang w:val="en-US" w:eastAsia="ar-SA"/>
              </w:rPr>
              <w:t>pCO</w:t>
            </w:r>
            <w:r w:rsidRPr="00124D89">
              <w:rPr>
                <w:rFonts w:cs="Calibri"/>
                <w:sz w:val="22"/>
                <w:szCs w:val="22"/>
                <w:lang w:eastAsia="ar-SA"/>
              </w:rPr>
              <w:t>2 (мм рт. ст.)</w:t>
            </w:r>
          </w:p>
        </w:tc>
        <w:tc>
          <w:tcPr>
            <w:tcW w:w="198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2"/>
                <w:szCs w:val="22"/>
                <w:lang w:val="en-US" w:eastAsia="ar-SA"/>
              </w:rPr>
            </w:pPr>
            <w:r>
              <w:rPr>
                <w:rFonts w:cs="Calibri"/>
                <w:sz w:val="22"/>
                <w:szCs w:val="22"/>
                <w:lang w:eastAsia="ar-SA"/>
              </w:rPr>
              <w:t>38,6</w:t>
            </w:r>
            <w:r w:rsidRPr="00124D89">
              <w:rPr>
                <w:rFonts w:cs="Calibri"/>
                <w:sz w:val="22"/>
                <w:szCs w:val="22"/>
                <w:lang w:val="en-US" w:eastAsia="ar-SA"/>
              </w:rPr>
              <w:t>[</w:t>
            </w:r>
            <w:r>
              <w:rPr>
                <w:rFonts w:cs="Calibri"/>
                <w:sz w:val="22"/>
                <w:szCs w:val="22"/>
                <w:lang w:eastAsia="ar-SA"/>
              </w:rPr>
              <w:t>32,9;</w:t>
            </w:r>
            <w:r w:rsidRPr="00124D89">
              <w:rPr>
                <w:rFonts w:cs="Calibri"/>
                <w:sz w:val="22"/>
                <w:szCs w:val="22"/>
                <w:lang w:eastAsia="ar-SA"/>
              </w:rPr>
              <w:t>41,2</w:t>
            </w:r>
            <w:r w:rsidRPr="00124D89">
              <w:rPr>
                <w:rFonts w:cs="Calibri"/>
                <w:sz w:val="22"/>
                <w:szCs w:val="22"/>
                <w:lang w:val="en-US" w:eastAsia="ar-SA"/>
              </w:rPr>
              <w:t>]</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2"/>
                <w:szCs w:val="22"/>
                <w:lang w:eastAsia="ar-SA"/>
              </w:rPr>
            </w:pPr>
            <w:r>
              <w:rPr>
                <w:rFonts w:cs="Calibri"/>
                <w:sz w:val="22"/>
                <w:szCs w:val="22"/>
                <w:lang w:eastAsia="ar-SA"/>
              </w:rPr>
              <w:t>37,1[33,7;</w:t>
            </w:r>
            <w:r w:rsidRPr="00124D89">
              <w:rPr>
                <w:rFonts w:cs="Calibri"/>
                <w:sz w:val="22"/>
                <w:szCs w:val="22"/>
                <w:lang w:eastAsia="ar-SA"/>
              </w:rPr>
              <w:t>42,7]</w:t>
            </w:r>
          </w:p>
        </w:tc>
        <w:tc>
          <w:tcPr>
            <w:tcW w:w="2665"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z w:val="22"/>
                <w:szCs w:val="22"/>
                <w:lang w:eastAsia="ar-SA"/>
              </w:rPr>
            </w:pPr>
            <w:r w:rsidRPr="00124D89">
              <w:rPr>
                <w:rFonts w:cs="Calibri"/>
                <w:sz w:val="22"/>
                <w:szCs w:val="22"/>
                <w:lang w:eastAsia="ar-SA"/>
              </w:rPr>
              <w:t>–</w:t>
            </w:r>
          </w:p>
        </w:tc>
      </w:tr>
      <w:tr w:rsidR="00286780" w:rsidRPr="00124D89" w:rsidTr="00E054CC">
        <w:trPr>
          <w:trHeight w:val="397"/>
        </w:trPr>
        <w:tc>
          <w:tcPr>
            <w:tcW w:w="3289"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2"/>
                <w:szCs w:val="22"/>
                <w:lang w:eastAsia="ar-SA"/>
              </w:rPr>
            </w:pPr>
            <w:r w:rsidRPr="00124D89">
              <w:rPr>
                <w:rFonts w:cs="Calibri"/>
                <w:sz w:val="22"/>
                <w:szCs w:val="22"/>
                <w:lang w:val="en-US" w:eastAsia="ar-SA"/>
              </w:rPr>
              <w:t>BE</w:t>
            </w:r>
            <w:r w:rsidRPr="00124D89">
              <w:rPr>
                <w:rFonts w:cs="Calibri"/>
                <w:sz w:val="22"/>
                <w:szCs w:val="22"/>
                <w:lang w:eastAsia="ar-SA"/>
              </w:rPr>
              <w:t xml:space="preserve"> (избыток или дефицит оснований)</w:t>
            </w:r>
          </w:p>
        </w:tc>
        <w:tc>
          <w:tcPr>
            <w:tcW w:w="198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2"/>
                <w:szCs w:val="22"/>
                <w:lang w:val="en-US" w:eastAsia="ar-SA"/>
              </w:rPr>
            </w:pPr>
            <w:r>
              <w:rPr>
                <w:rFonts w:cs="Calibri"/>
                <w:sz w:val="22"/>
                <w:szCs w:val="22"/>
                <w:lang w:eastAsia="ar-SA"/>
              </w:rPr>
              <w:t>-2,8</w:t>
            </w:r>
            <w:r w:rsidRPr="00124D89">
              <w:rPr>
                <w:rFonts w:cs="Calibri"/>
                <w:sz w:val="22"/>
                <w:szCs w:val="22"/>
                <w:lang w:val="en-US" w:eastAsia="ar-SA"/>
              </w:rPr>
              <w:t>[</w:t>
            </w:r>
            <w:r>
              <w:rPr>
                <w:rFonts w:cs="Calibri"/>
                <w:sz w:val="22"/>
                <w:szCs w:val="22"/>
                <w:lang w:eastAsia="ar-SA"/>
              </w:rPr>
              <w:t>-5,85;</w:t>
            </w:r>
            <w:r w:rsidRPr="00124D89">
              <w:rPr>
                <w:rFonts w:cs="Calibri"/>
                <w:sz w:val="22"/>
                <w:szCs w:val="22"/>
                <w:lang w:eastAsia="ar-SA"/>
              </w:rPr>
              <w:t>2,05</w:t>
            </w:r>
            <w:r w:rsidRPr="00124D89">
              <w:rPr>
                <w:rFonts w:cs="Calibri"/>
                <w:sz w:val="22"/>
                <w:szCs w:val="22"/>
                <w:lang w:val="en-US" w:eastAsia="ar-SA"/>
              </w:rPr>
              <w:t>]</w:t>
            </w:r>
          </w:p>
        </w:tc>
        <w:tc>
          <w:tcPr>
            <w:tcW w:w="198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2"/>
                <w:szCs w:val="22"/>
                <w:lang w:val="en-US" w:eastAsia="ar-SA"/>
              </w:rPr>
            </w:pPr>
            <w:r>
              <w:rPr>
                <w:rFonts w:cs="Calibri"/>
                <w:sz w:val="22"/>
                <w:szCs w:val="22"/>
                <w:lang w:eastAsia="ar-SA"/>
              </w:rPr>
              <w:t>-4,2</w:t>
            </w:r>
            <w:r w:rsidRPr="00124D89">
              <w:rPr>
                <w:rFonts w:cs="Calibri"/>
                <w:sz w:val="22"/>
                <w:szCs w:val="22"/>
                <w:lang w:val="en-US" w:eastAsia="ar-SA"/>
              </w:rPr>
              <w:t>[</w:t>
            </w:r>
            <w:r>
              <w:rPr>
                <w:rFonts w:cs="Calibri"/>
                <w:sz w:val="22"/>
                <w:szCs w:val="22"/>
                <w:lang w:eastAsia="ar-SA"/>
              </w:rPr>
              <w:t>-6;</w:t>
            </w:r>
            <w:r w:rsidRPr="00124D89">
              <w:rPr>
                <w:rFonts w:cs="Calibri"/>
                <w:sz w:val="22"/>
                <w:szCs w:val="22"/>
                <w:lang w:eastAsia="ar-SA"/>
              </w:rPr>
              <w:t>-0,5</w:t>
            </w:r>
            <w:r w:rsidRPr="00124D89">
              <w:rPr>
                <w:rFonts w:cs="Calibri"/>
                <w:sz w:val="22"/>
                <w:szCs w:val="22"/>
                <w:lang w:val="en-US" w:eastAsia="ar-SA"/>
              </w:rPr>
              <w:t>]</w:t>
            </w:r>
          </w:p>
        </w:tc>
        <w:tc>
          <w:tcPr>
            <w:tcW w:w="2665"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z w:val="22"/>
                <w:szCs w:val="22"/>
                <w:lang w:eastAsia="ar-SA"/>
              </w:rPr>
            </w:pPr>
            <w:r w:rsidRPr="00124D89">
              <w:rPr>
                <w:rFonts w:cs="Calibri"/>
                <w:sz w:val="22"/>
                <w:szCs w:val="22"/>
                <w:lang w:eastAsia="ar-SA"/>
              </w:rPr>
              <w:t>–</w:t>
            </w:r>
          </w:p>
        </w:tc>
      </w:tr>
      <w:tr w:rsidR="00286780" w:rsidRPr="00124D89" w:rsidTr="00874414">
        <w:trPr>
          <w:trHeight w:val="397"/>
        </w:trPr>
        <w:tc>
          <w:tcPr>
            <w:tcW w:w="9923" w:type="dxa"/>
            <w:gridSpan w:val="4"/>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2329D6" w:rsidRDefault="00286780" w:rsidP="00653D3A">
            <w:pPr>
              <w:snapToGrid w:val="0"/>
              <w:jc w:val="both"/>
              <w:rPr>
                <w:rFonts w:cs="Calibri"/>
                <w:sz w:val="24"/>
                <w:szCs w:val="24"/>
                <w:lang w:eastAsia="ar-SA"/>
              </w:rPr>
            </w:pPr>
            <w:r w:rsidRPr="002329D6">
              <w:rPr>
                <w:rFonts w:cs="Calibri"/>
                <w:i/>
                <w:sz w:val="24"/>
                <w:szCs w:val="24"/>
                <w:lang w:eastAsia="ar-SA"/>
              </w:rPr>
              <w:t>Примечание</w:t>
            </w:r>
            <w:r w:rsidRPr="002329D6">
              <w:rPr>
                <w:rFonts w:cs="Calibri"/>
                <w:sz w:val="24"/>
                <w:szCs w:val="24"/>
                <w:lang w:eastAsia="ar-SA"/>
              </w:rPr>
              <w:t>. Ра</w:t>
            </w:r>
            <w:r>
              <w:rPr>
                <w:rFonts w:cs="Calibri"/>
                <w:sz w:val="24"/>
                <w:szCs w:val="24"/>
                <w:lang w:eastAsia="ar-SA"/>
              </w:rPr>
              <w:t>зличия статистически значимы (р&lt;</w:t>
            </w:r>
            <w:r w:rsidRPr="002329D6">
              <w:rPr>
                <w:rFonts w:cs="Calibri"/>
                <w:sz w:val="24"/>
                <w:szCs w:val="24"/>
                <w:lang w:eastAsia="ar-SA"/>
              </w:rPr>
              <w:t xml:space="preserve">0,05) по сравнению с показателями: * – контрольной </w:t>
            </w:r>
            <w:r>
              <w:rPr>
                <w:rFonts w:cs="Calibri"/>
                <w:sz w:val="24"/>
                <w:szCs w:val="24"/>
                <w:lang w:eastAsia="ar-SA"/>
              </w:rPr>
              <w:t>под</w:t>
            </w:r>
            <w:r w:rsidRPr="002329D6">
              <w:rPr>
                <w:rFonts w:cs="Calibri"/>
                <w:sz w:val="24"/>
                <w:szCs w:val="24"/>
                <w:lang w:eastAsia="ar-SA"/>
              </w:rPr>
              <w:t xml:space="preserve">группы пациентов с сепсисом, ** </w:t>
            </w:r>
            <w:r>
              <w:rPr>
                <w:rFonts w:cs="Calibri"/>
                <w:sz w:val="24"/>
                <w:szCs w:val="24"/>
                <w:lang w:eastAsia="ar-SA"/>
              </w:rPr>
              <w:t xml:space="preserve">подгруппы </w:t>
            </w:r>
            <w:r w:rsidRPr="002329D6">
              <w:rPr>
                <w:rFonts w:cs="Calibri"/>
                <w:sz w:val="24"/>
                <w:szCs w:val="24"/>
                <w:lang w:eastAsia="ar-SA"/>
              </w:rPr>
              <w:t>пациентов с МФОИ в сочетании с фоновой полиорганной полиморбидной патологией</w:t>
            </w:r>
          </w:p>
        </w:tc>
      </w:tr>
    </w:tbl>
    <w:p w:rsidR="00286780" w:rsidRPr="00E054CC" w:rsidRDefault="00286780" w:rsidP="00124D89">
      <w:pPr>
        <w:spacing w:line="360" w:lineRule="auto"/>
        <w:ind w:firstLine="709"/>
        <w:jc w:val="both"/>
        <w:rPr>
          <w:rFonts w:cs="Calibri"/>
          <w:spacing w:val="-4"/>
          <w:sz w:val="28"/>
          <w:szCs w:val="28"/>
          <w:lang w:eastAsia="ar-SA"/>
        </w:rPr>
      </w:pPr>
      <w:r>
        <w:rPr>
          <w:rFonts w:cs="Calibri"/>
          <w:spacing w:val="-4"/>
          <w:sz w:val="28"/>
          <w:szCs w:val="28"/>
          <w:lang w:eastAsia="ar-SA"/>
        </w:rPr>
        <w:lastRenderedPageBreak/>
        <w:t>Из Таблицы 49</w:t>
      </w:r>
      <w:r w:rsidRPr="00E054CC">
        <w:rPr>
          <w:rFonts w:cs="Calibri"/>
          <w:spacing w:val="-4"/>
          <w:sz w:val="28"/>
          <w:szCs w:val="28"/>
          <w:lang w:eastAsia="ar-SA"/>
        </w:rPr>
        <w:t xml:space="preserve"> следует, что одонтогенный сепсис, развивающийся при наличии фоновой полиорганной хронической патологии, характеризуется низкими значениями систолического и диастолического артериального давления (в связи с высокой частотой септического шока – более 50%), выраженной анемией, существенной гипергликемией, обусловленной фоновым сахарным диабетом, повышением концентрации мочевины, связанной как с наличием хронических заболеваний почек, так и с явлениями ускорения к</w:t>
      </w:r>
      <w:r>
        <w:rPr>
          <w:rFonts w:cs="Calibri"/>
          <w:spacing w:val="-4"/>
          <w:sz w:val="28"/>
          <w:szCs w:val="28"/>
          <w:lang w:eastAsia="ar-SA"/>
        </w:rPr>
        <w:t>атаболизма белка на фоне ОС (р&lt;</w:t>
      </w:r>
      <w:r w:rsidRPr="00E054CC">
        <w:rPr>
          <w:rFonts w:cs="Calibri"/>
          <w:spacing w:val="-4"/>
          <w:sz w:val="28"/>
          <w:szCs w:val="28"/>
          <w:lang w:eastAsia="ar-SA"/>
        </w:rPr>
        <w:t>0,05).</w:t>
      </w:r>
    </w:p>
    <w:p w:rsidR="00286780" w:rsidRDefault="00286780" w:rsidP="00D442CA">
      <w:pPr>
        <w:spacing w:line="360" w:lineRule="auto"/>
        <w:ind w:firstLine="709"/>
        <w:jc w:val="both"/>
        <w:rPr>
          <w:rFonts w:cs="Calibri"/>
          <w:sz w:val="28"/>
          <w:szCs w:val="28"/>
          <w:lang w:eastAsia="ar-SA"/>
        </w:rPr>
      </w:pPr>
      <w:r w:rsidRPr="00124D89">
        <w:rPr>
          <w:rFonts w:cs="Calibri"/>
          <w:sz w:val="28"/>
          <w:szCs w:val="28"/>
          <w:lang w:eastAsia="ar-SA"/>
        </w:rPr>
        <w:t>Сравнение с показателями контрольной группы пациентов с МФОИ и полиорганной полиморбидной патологией указывает на наличие статистически значимых различий по всем исследуемым показателям. Для сепсиса</w:t>
      </w:r>
      <w:r>
        <w:rPr>
          <w:rFonts w:cs="Calibri"/>
          <w:sz w:val="28"/>
          <w:szCs w:val="28"/>
          <w:lang w:eastAsia="ar-SA"/>
        </w:rPr>
        <w:t xml:space="preserve"> в целом </w:t>
      </w:r>
      <w:r w:rsidRPr="00124D89">
        <w:rPr>
          <w:rFonts w:cs="Calibri"/>
          <w:sz w:val="28"/>
          <w:szCs w:val="28"/>
          <w:lang w:eastAsia="ar-SA"/>
        </w:rPr>
        <w:t>характерны учащение ЧДД, понижение систолического и диастолического артериального давления, тахикардия, анемия, лейкоцитоз, лимфопения, ускорение СОЭ, тромбоцитопения, гипербилирубинемия, гиперкреатининемия, увеличение концентрации мочевины.</w:t>
      </w:r>
    </w:p>
    <w:p w:rsidR="00286780" w:rsidRPr="008C0BBC" w:rsidRDefault="00286780" w:rsidP="00124D89">
      <w:pPr>
        <w:spacing w:line="360" w:lineRule="auto"/>
        <w:ind w:firstLine="709"/>
        <w:jc w:val="both"/>
        <w:rPr>
          <w:sz w:val="28"/>
          <w:szCs w:val="28"/>
          <w:lang w:eastAsia="ar-SA"/>
        </w:rPr>
      </w:pPr>
      <w:r w:rsidRPr="0098087B">
        <w:rPr>
          <w:sz w:val="28"/>
          <w:szCs w:val="28"/>
          <w:lang w:eastAsia="ar-SA"/>
        </w:rPr>
        <w:t xml:space="preserve">Кроме того, анализируя средние значения отдельных показателей гомеостаза, обращает внимание наличие </w:t>
      </w:r>
      <w:r>
        <w:rPr>
          <w:sz w:val="28"/>
          <w:szCs w:val="28"/>
          <w:lang w:eastAsia="ar-SA"/>
        </w:rPr>
        <w:t xml:space="preserve">выраженных гипотензии, </w:t>
      </w:r>
      <w:r w:rsidRPr="0098087B">
        <w:rPr>
          <w:sz w:val="28"/>
          <w:szCs w:val="28"/>
          <w:lang w:eastAsia="ar-SA"/>
        </w:rPr>
        <w:t>тах</w:t>
      </w:r>
      <w:r>
        <w:rPr>
          <w:sz w:val="28"/>
          <w:szCs w:val="28"/>
          <w:lang w:eastAsia="ar-SA"/>
        </w:rPr>
        <w:t>ипноэ, тахикардии, гипопротеинемии, гипопротеинемии, гипербилирубинемии, гиперкреатининемии</w:t>
      </w:r>
      <w:r w:rsidRPr="0098087B">
        <w:rPr>
          <w:sz w:val="28"/>
          <w:szCs w:val="28"/>
          <w:lang w:eastAsia="ar-SA"/>
        </w:rPr>
        <w:t>.</w:t>
      </w: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Состав микрофлоры, определяемой в гнойном экссудате воспалительных очагов у пациентов с ОС и полиорганной полиморбидной патологией внутренних о</w:t>
      </w:r>
      <w:r>
        <w:rPr>
          <w:rFonts w:cs="Calibri"/>
          <w:sz w:val="28"/>
          <w:szCs w:val="28"/>
          <w:lang w:eastAsia="ar-SA"/>
        </w:rPr>
        <w:t>рганов, представлен в Таблице 50</w:t>
      </w:r>
      <w:r w:rsidRPr="00124D89">
        <w:rPr>
          <w:rFonts w:cs="Calibri"/>
          <w:sz w:val="28"/>
          <w:szCs w:val="28"/>
          <w:lang w:eastAsia="ar-SA"/>
        </w:rPr>
        <w:t>.</w:t>
      </w:r>
    </w:p>
    <w:p w:rsidR="00286780" w:rsidRPr="00124D89" w:rsidRDefault="00286780" w:rsidP="00BF4BF3">
      <w:pPr>
        <w:spacing w:line="360" w:lineRule="auto"/>
        <w:ind w:firstLine="709"/>
        <w:jc w:val="both"/>
        <w:rPr>
          <w:rFonts w:cs="Calibri"/>
          <w:sz w:val="28"/>
          <w:szCs w:val="28"/>
          <w:lang w:eastAsia="ar-SA"/>
        </w:rPr>
      </w:pPr>
      <w:r w:rsidRPr="00124D89">
        <w:rPr>
          <w:rFonts w:cs="Calibri"/>
          <w:sz w:val="28"/>
          <w:szCs w:val="28"/>
          <w:lang w:eastAsia="ar-SA"/>
        </w:rPr>
        <w:t>В гнойном отделяемом первичных воспалительных очагов у пациентов с ОС и фоновой полиорганной патологией преобладают стрептококки (42,9%) и стафилококки (28,6%). В целом, грамположительная микрофлора обнаружена в 71,5% случаев. Реже наблюдается грамотрицательная микрофлора (</w:t>
      </w:r>
      <w:r w:rsidRPr="00124D89">
        <w:rPr>
          <w:rFonts w:cs="Calibri"/>
          <w:sz w:val="28"/>
          <w:szCs w:val="28"/>
          <w:lang w:val="en-US" w:eastAsia="ar-SA"/>
        </w:rPr>
        <w:t>Klebsiellapneumonia</w:t>
      </w:r>
      <w:r w:rsidRPr="00124D89">
        <w:rPr>
          <w:rFonts w:cs="Calibri"/>
          <w:sz w:val="28"/>
          <w:szCs w:val="28"/>
          <w:lang w:eastAsia="ar-SA"/>
        </w:rPr>
        <w:t xml:space="preserve">, </w:t>
      </w:r>
      <w:r w:rsidRPr="00124D89">
        <w:rPr>
          <w:rFonts w:cs="Calibri"/>
          <w:sz w:val="28"/>
          <w:szCs w:val="28"/>
          <w:lang w:val="en-US" w:eastAsia="ar-SA"/>
        </w:rPr>
        <w:t>Proteusvulgaris</w:t>
      </w:r>
      <w:r w:rsidRPr="00124D89">
        <w:rPr>
          <w:rFonts w:cs="Calibri"/>
          <w:sz w:val="28"/>
          <w:szCs w:val="28"/>
          <w:lang w:eastAsia="ar-SA"/>
        </w:rPr>
        <w:t xml:space="preserve">, </w:t>
      </w:r>
      <w:r w:rsidRPr="00124D89">
        <w:rPr>
          <w:rFonts w:cs="Calibri"/>
          <w:sz w:val="28"/>
          <w:szCs w:val="28"/>
          <w:lang w:val="en-US" w:eastAsia="ar-SA"/>
        </w:rPr>
        <w:t>Citrobacterkoseri</w:t>
      </w:r>
      <w:r w:rsidRPr="00124D89">
        <w:rPr>
          <w:rFonts w:cs="Calibri"/>
          <w:sz w:val="28"/>
          <w:szCs w:val="28"/>
          <w:lang w:eastAsia="ar-SA"/>
        </w:rPr>
        <w:t>) – 28,5%. Бактериальных ассоциаций в первичных воспалительных очагах не обнаружено.</w:t>
      </w:r>
    </w:p>
    <w:p w:rsidR="00286780" w:rsidRPr="00124D89" w:rsidRDefault="00286780" w:rsidP="00BF4BF3">
      <w:pPr>
        <w:spacing w:line="360" w:lineRule="auto"/>
        <w:ind w:firstLine="709"/>
        <w:jc w:val="both"/>
        <w:rPr>
          <w:rFonts w:cs="Calibri"/>
          <w:sz w:val="28"/>
          <w:szCs w:val="28"/>
          <w:lang w:eastAsia="ar-SA"/>
        </w:rPr>
      </w:pPr>
      <w:r w:rsidRPr="00124D89">
        <w:rPr>
          <w:rFonts w:cs="Calibri"/>
          <w:sz w:val="28"/>
          <w:szCs w:val="28"/>
          <w:lang w:eastAsia="ar-SA"/>
        </w:rPr>
        <w:t>Следует учитывать вероятное наличие неклостридиальной анаэробной микрофлоры, не выделенной в данном исследовании, возможно, вследствие низкой эффективности применяемых диагностических методов. По данным литературы, неклостридиальные анаэробные микроорганизмы в гнойном отделяемом воспали</w:t>
      </w:r>
      <w:r w:rsidRPr="00124D89">
        <w:rPr>
          <w:rFonts w:cs="Calibri"/>
          <w:sz w:val="28"/>
          <w:szCs w:val="28"/>
          <w:lang w:eastAsia="ar-SA"/>
        </w:rPr>
        <w:lastRenderedPageBreak/>
        <w:t>тельных очагов у пациентов с одонтогенным сепсисом определяются в 85% сл</w:t>
      </w:r>
      <w:r>
        <w:rPr>
          <w:rFonts w:cs="Calibri"/>
          <w:sz w:val="28"/>
          <w:szCs w:val="28"/>
          <w:lang w:eastAsia="ar-SA"/>
        </w:rPr>
        <w:t xml:space="preserve">учаев </w:t>
      </w:r>
      <w:r w:rsidRPr="003A7142">
        <w:rPr>
          <w:rFonts w:cs="Calibri"/>
          <w:sz w:val="28"/>
          <w:szCs w:val="28"/>
          <w:lang w:eastAsia="ar-SA"/>
        </w:rPr>
        <w:t>(</w:t>
      </w:r>
      <w:r>
        <w:rPr>
          <w:rFonts w:cs="Calibri"/>
          <w:sz w:val="28"/>
          <w:szCs w:val="28"/>
          <w:lang w:eastAsia="ar-SA"/>
        </w:rPr>
        <w:t>Шаргородский А. Г., 2001</w:t>
      </w:r>
      <w:r w:rsidRPr="003A7142">
        <w:rPr>
          <w:rFonts w:cs="Calibri"/>
          <w:sz w:val="28"/>
          <w:szCs w:val="28"/>
          <w:lang w:eastAsia="ar-SA"/>
        </w:rPr>
        <w:t>)</w:t>
      </w:r>
      <w:r w:rsidRPr="00124D89">
        <w:rPr>
          <w:rFonts w:cs="Calibri"/>
          <w:sz w:val="28"/>
          <w:szCs w:val="28"/>
          <w:lang w:eastAsia="ar-SA"/>
        </w:rPr>
        <w:t>.</w:t>
      </w:r>
    </w:p>
    <w:p w:rsidR="00286780" w:rsidRPr="00124D89" w:rsidRDefault="00286780" w:rsidP="00124D89">
      <w:pPr>
        <w:rPr>
          <w:sz w:val="28"/>
          <w:szCs w:val="28"/>
        </w:rPr>
      </w:pPr>
    </w:p>
    <w:p w:rsidR="00286780" w:rsidRPr="00124D89" w:rsidRDefault="00286780" w:rsidP="00124D89">
      <w:pPr>
        <w:spacing w:after="120"/>
        <w:jc w:val="both"/>
        <w:rPr>
          <w:sz w:val="28"/>
          <w:szCs w:val="28"/>
        </w:rPr>
      </w:pPr>
      <w:r w:rsidRPr="00124D89">
        <w:rPr>
          <w:b/>
          <w:sz w:val="28"/>
          <w:szCs w:val="28"/>
        </w:rPr>
        <w:t xml:space="preserve">Таблица </w:t>
      </w:r>
      <w:r>
        <w:rPr>
          <w:b/>
          <w:sz w:val="28"/>
          <w:szCs w:val="28"/>
        </w:rPr>
        <w:t>50</w:t>
      </w:r>
      <w:r w:rsidRPr="00124D89">
        <w:rPr>
          <w:sz w:val="28"/>
          <w:szCs w:val="28"/>
        </w:rPr>
        <w:t xml:space="preserve"> – Микробиологическая характеристика гнойного отделяемого у пациентов с ОС и полиорганными по</w:t>
      </w:r>
      <w:r>
        <w:rPr>
          <w:sz w:val="28"/>
          <w:szCs w:val="28"/>
        </w:rPr>
        <w:t>лиморбидными заболеваниями (n=</w:t>
      </w:r>
      <w:r w:rsidRPr="00124D89">
        <w:rPr>
          <w:sz w:val="28"/>
          <w:szCs w:val="28"/>
        </w:rPr>
        <w:t>28)</w:t>
      </w:r>
    </w:p>
    <w:tbl>
      <w:tblPr>
        <w:tblW w:w="9923" w:type="dxa"/>
        <w:tblLayout w:type="fixed"/>
        <w:tblLook w:val="0000" w:firstRow="0" w:lastRow="0" w:firstColumn="0" w:lastColumn="0" w:noHBand="0" w:noVBand="0"/>
      </w:tblPr>
      <w:tblGrid>
        <w:gridCol w:w="3941"/>
        <w:gridCol w:w="3211"/>
        <w:gridCol w:w="2771"/>
      </w:tblGrid>
      <w:tr w:rsidR="00286780" w:rsidRPr="00142F56" w:rsidTr="00874414">
        <w:trPr>
          <w:trHeight w:val="227"/>
        </w:trPr>
        <w:tc>
          <w:tcPr>
            <w:tcW w:w="3941" w:type="dxa"/>
            <w:vMerge w:val="restart"/>
            <w:tcBorders>
              <w:top w:val="single" w:sz="4" w:space="0" w:color="000000"/>
              <w:left w:val="single" w:sz="4" w:space="0" w:color="000000"/>
              <w:bottom w:val="single" w:sz="4" w:space="0" w:color="000000"/>
            </w:tcBorders>
            <w:vAlign w:val="center"/>
          </w:tcPr>
          <w:p w:rsidR="00286780" w:rsidRPr="00142F56" w:rsidRDefault="00286780" w:rsidP="00124D89">
            <w:pPr>
              <w:snapToGrid w:val="0"/>
              <w:jc w:val="center"/>
              <w:rPr>
                <w:rFonts w:cs="Calibri"/>
                <w:i/>
                <w:sz w:val="28"/>
                <w:szCs w:val="28"/>
                <w:lang w:eastAsia="ar-SA"/>
              </w:rPr>
            </w:pPr>
            <w:r w:rsidRPr="00142F56">
              <w:rPr>
                <w:rFonts w:cs="Calibri"/>
                <w:i/>
                <w:sz w:val="28"/>
                <w:szCs w:val="28"/>
                <w:lang w:eastAsia="ar-SA"/>
              </w:rPr>
              <w:t>Микрофлора</w:t>
            </w:r>
          </w:p>
        </w:tc>
        <w:tc>
          <w:tcPr>
            <w:tcW w:w="5982" w:type="dxa"/>
            <w:gridSpan w:val="2"/>
            <w:tcBorders>
              <w:top w:val="single" w:sz="4" w:space="0" w:color="000000"/>
              <w:left w:val="single" w:sz="4" w:space="0" w:color="000000"/>
              <w:bottom w:val="single" w:sz="4" w:space="0" w:color="000000"/>
              <w:right w:val="single" w:sz="4" w:space="0" w:color="000000"/>
            </w:tcBorders>
            <w:vAlign w:val="center"/>
          </w:tcPr>
          <w:p w:rsidR="00286780" w:rsidRPr="00142F56" w:rsidRDefault="00286780" w:rsidP="00124D89">
            <w:pPr>
              <w:snapToGrid w:val="0"/>
              <w:jc w:val="center"/>
              <w:rPr>
                <w:rFonts w:cs="Calibri"/>
                <w:i/>
                <w:sz w:val="28"/>
                <w:szCs w:val="28"/>
                <w:lang w:eastAsia="ar-SA"/>
              </w:rPr>
            </w:pPr>
            <w:r w:rsidRPr="00142F56">
              <w:rPr>
                <w:rFonts w:cs="Calibri"/>
                <w:i/>
                <w:sz w:val="28"/>
                <w:szCs w:val="28"/>
                <w:lang w:eastAsia="ar-SA"/>
              </w:rPr>
              <w:t>Количество пациентов</w:t>
            </w:r>
          </w:p>
        </w:tc>
      </w:tr>
      <w:tr w:rsidR="00286780" w:rsidRPr="00142F56" w:rsidTr="00874414">
        <w:trPr>
          <w:trHeight w:val="227"/>
        </w:trPr>
        <w:tc>
          <w:tcPr>
            <w:tcW w:w="3941" w:type="dxa"/>
            <w:vMerge/>
            <w:tcBorders>
              <w:top w:val="single" w:sz="4" w:space="0" w:color="000000"/>
              <w:left w:val="single" w:sz="4" w:space="0" w:color="000000"/>
              <w:bottom w:val="single" w:sz="4" w:space="0" w:color="000000"/>
            </w:tcBorders>
            <w:vAlign w:val="center"/>
          </w:tcPr>
          <w:p w:rsidR="00286780" w:rsidRPr="00142F56" w:rsidRDefault="00286780" w:rsidP="00124D89">
            <w:pPr>
              <w:snapToGrid w:val="0"/>
              <w:jc w:val="both"/>
              <w:rPr>
                <w:rFonts w:cs="Calibri"/>
                <w:sz w:val="28"/>
                <w:szCs w:val="28"/>
                <w:lang w:eastAsia="ar-SA"/>
              </w:rPr>
            </w:pPr>
          </w:p>
        </w:tc>
        <w:tc>
          <w:tcPr>
            <w:tcW w:w="3211" w:type="dxa"/>
            <w:tcBorders>
              <w:top w:val="single" w:sz="4" w:space="0" w:color="000000"/>
              <w:left w:val="single" w:sz="4" w:space="0" w:color="000000"/>
              <w:bottom w:val="single" w:sz="4" w:space="0" w:color="000000"/>
            </w:tcBorders>
            <w:vAlign w:val="center"/>
          </w:tcPr>
          <w:p w:rsidR="00286780" w:rsidRPr="00142F56" w:rsidRDefault="005B5AF5" w:rsidP="00124D89">
            <w:pPr>
              <w:snapToGrid w:val="0"/>
              <w:jc w:val="center"/>
              <w:rPr>
                <w:rFonts w:cs="Calibri"/>
                <w:sz w:val="28"/>
                <w:szCs w:val="28"/>
                <w:lang w:eastAsia="ar-SA"/>
              </w:rPr>
            </w:pPr>
            <w:r w:rsidRPr="00142F56">
              <w:rPr>
                <w:rFonts w:cs="Calibri"/>
                <w:sz w:val="28"/>
                <w:szCs w:val="28"/>
                <w:lang w:eastAsia="ar-SA"/>
              </w:rPr>
              <w:t>А</w:t>
            </w:r>
            <w:r w:rsidR="00286780" w:rsidRPr="00142F56">
              <w:rPr>
                <w:rFonts w:cs="Calibri"/>
                <w:sz w:val="28"/>
                <w:szCs w:val="28"/>
                <w:lang w:eastAsia="ar-SA"/>
              </w:rPr>
              <w:t>бсолютное</w:t>
            </w:r>
          </w:p>
        </w:tc>
        <w:tc>
          <w:tcPr>
            <w:tcW w:w="2771" w:type="dxa"/>
            <w:tcBorders>
              <w:top w:val="single" w:sz="4" w:space="0" w:color="000000"/>
              <w:left w:val="single" w:sz="4" w:space="0" w:color="000000"/>
              <w:bottom w:val="single" w:sz="4" w:space="0" w:color="000000"/>
              <w:right w:val="single" w:sz="4" w:space="0" w:color="000000"/>
            </w:tcBorders>
            <w:vAlign w:val="center"/>
          </w:tcPr>
          <w:p w:rsidR="00286780" w:rsidRPr="00142F56" w:rsidRDefault="00286780" w:rsidP="00124D89">
            <w:pPr>
              <w:snapToGrid w:val="0"/>
              <w:jc w:val="center"/>
              <w:rPr>
                <w:rFonts w:cs="Calibri"/>
                <w:sz w:val="28"/>
                <w:szCs w:val="28"/>
                <w:lang w:eastAsia="ar-SA"/>
              </w:rPr>
            </w:pPr>
            <w:r w:rsidRPr="00142F56">
              <w:rPr>
                <w:rFonts w:cs="Calibri"/>
                <w:sz w:val="28"/>
                <w:szCs w:val="28"/>
                <w:lang w:eastAsia="ar-SA"/>
              </w:rPr>
              <w:t>%</w:t>
            </w:r>
          </w:p>
        </w:tc>
      </w:tr>
      <w:tr w:rsidR="00286780" w:rsidRPr="00142F56" w:rsidTr="00874414">
        <w:trPr>
          <w:trHeight w:val="454"/>
        </w:trPr>
        <w:tc>
          <w:tcPr>
            <w:tcW w:w="3941" w:type="dxa"/>
            <w:tcBorders>
              <w:top w:val="single" w:sz="4" w:space="0" w:color="000000"/>
              <w:left w:val="single" w:sz="4" w:space="0" w:color="000000"/>
              <w:bottom w:val="single" w:sz="4" w:space="0" w:color="000000"/>
            </w:tcBorders>
            <w:vAlign w:val="center"/>
          </w:tcPr>
          <w:p w:rsidR="00286780" w:rsidRPr="00142F56" w:rsidRDefault="00286780" w:rsidP="00124D89">
            <w:pPr>
              <w:snapToGrid w:val="0"/>
              <w:jc w:val="both"/>
              <w:rPr>
                <w:rFonts w:cs="Calibri"/>
                <w:sz w:val="28"/>
                <w:szCs w:val="28"/>
                <w:lang w:val="en-US" w:eastAsia="ar-SA"/>
              </w:rPr>
            </w:pPr>
            <w:r w:rsidRPr="00142F56">
              <w:rPr>
                <w:rFonts w:cs="Calibri"/>
                <w:sz w:val="28"/>
                <w:szCs w:val="28"/>
                <w:lang w:val="en-US" w:eastAsia="ar-SA"/>
              </w:rPr>
              <w:t>S</w:t>
            </w:r>
            <w:r w:rsidRPr="00142F56">
              <w:rPr>
                <w:rFonts w:cs="Calibri"/>
                <w:sz w:val="28"/>
                <w:szCs w:val="28"/>
                <w:lang w:eastAsia="ar-SA"/>
              </w:rPr>
              <w:t xml:space="preserve">. </w:t>
            </w:r>
            <w:r w:rsidRPr="00142F56">
              <w:rPr>
                <w:rFonts w:cs="Calibri"/>
                <w:sz w:val="28"/>
                <w:szCs w:val="28"/>
                <w:lang w:val="en-US" w:eastAsia="ar-SA"/>
              </w:rPr>
              <w:t>epidermidis</w:t>
            </w:r>
          </w:p>
        </w:tc>
        <w:tc>
          <w:tcPr>
            <w:tcW w:w="3211" w:type="dxa"/>
            <w:tcBorders>
              <w:top w:val="single" w:sz="4" w:space="0" w:color="000000"/>
              <w:left w:val="single" w:sz="4" w:space="0" w:color="000000"/>
              <w:bottom w:val="single" w:sz="4" w:space="0" w:color="000000"/>
            </w:tcBorders>
            <w:vAlign w:val="center"/>
          </w:tcPr>
          <w:p w:rsidR="00286780" w:rsidRPr="00142F56" w:rsidRDefault="00286780" w:rsidP="00124D89">
            <w:pPr>
              <w:snapToGrid w:val="0"/>
              <w:jc w:val="center"/>
              <w:rPr>
                <w:rFonts w:cs="Calibri"/>
                <w:sz w:val="28"/>
                <w:szCs w:val="28"/>
                <w:lang w:eastAsia="ar-SA"/>
              </w:rPr>
            </w:pPr>
            <w:r w:rsidRPr="00142F56">
              <w:rPr>
                <w:rFonts w:cs="Calibri"/>
                <w:sz w:val="28"/>
                <w:szCs w:val="28"/>
                <w:lang w:eastAsia="ar-SA"/>
              </w:rPr>
              <w:t>4</w:t>
            </w:r>
          </w:p>
        </w:tc>
        <w:tc>
          <w:tcPr>
            <w:tcW w:w="2771" w:type="dxa"/>
            <w:tcBorders>
              <w:top w:val="single" w:sz="4" w:space="0" w:color="000000"/>
              <w:left w:val="single" w:sz="4" w:space="0" w:color="000000"/>
              <w:bottom w:val="single" w:sz="4" w:space="0" w:color="000000"/>
              <w:right w:val="single" w:sz="4" w:space="0" w:color="000000"/>
            </w:tcBorders>
            <w:vAlign w:val="center"/>
          </w:tcPr>
          <w:p w:rsidR="00286780" w:rsidRPr="00142F56" w:rsidRDefault="00286780" w:rsidP="00124D89">
            <w:pPr>
              <w:snapToGrid w:val="0"/>
              <w:jc w:val="center"/>
              <w:rPr>
                <w:rFonts w:cs="Calibri"/>
                <w:sz w:val="28"/>
                <w:szCs w:val="28"/>
                <w:lang w:val="en-US" w:eastAsia="ar-SA"/>
              </w:rPr>
            </w:pPr>
            <w:r w:rsidRPr="00142F56">
              <w:rPr>
                <w:rFonts w:cs="Calibri"/>
                <w:sz w:val="28"/>
                <w:szCs w:val="28"/>
                <w:lang w:eastAsia="ar-SA"/>
              </w:rPr>
              <w:t>14</w:t>
            </w:r>
            <w:r w:rsidRPr="00142F56">
              <w:rPr>
                <w:rFonts w:cs="Calibri"/>
                <w:sz w:val="28"/>
                <w:szCs w:val="28"/>
                <w:lang w:val="en-US" w:eastAsia="ar-SA"/>
              </w:rPr>
              <w:t>,3</w:t>
            </w:r>
          </w:p>
        </w:tc>
      </w:tr>
      <w:tr w:rsidR="00286780" w:rsidRPr="00142F56" w:rsidTr="00874414">
        <w:trPr>
          <w:trHeight w:val="454"/>
        </w:trPr>
        <w:tc>
          <w:tcPr>
            <w:tcW w:w="3941" w:type="dxa"/>
            <w:tcBorders>
              <w:top w:val="single" w:sz="4" w:space="0" w:color="000000"/>
              <w:left w:val="single" w:sz="4" w:space="0" w:color="000000"/>
              <w:bottom w:val="single" w:sz="4" w:space="0" w:color="000000"/>
            </w:tcBorders>
            <w:vAlign w:val="center"/>
          </w:tcPr>
          <w:p w:rsidR="00286780" w:rsidRPr="00142F56" w:rsidRDefault="00286780" w:rsidP="00124D89">
            <w:pPr>
              <w:snapToGrid w:val="0"/>
              <w:jc w:val="both"/>
              <w:rPr>
                <w:rFonts w:cs="Calibri"/>
                <w:sz w:val="28"/>
                <w:szCs w:val="28"/>
                <w:lang w:val="en-US" w:eastAsia="ar-SA"/>
              </w:rPr>
            </w:pPr>
            <w:r w:rsidRPr="00142F56">
              <w:rPr>
                <w:rFonts w:cs="Calibri"/>
                <w:sz w:val="28"/>
                <w:szCs w:val="28"/>
                <w:lang w:val="en-US" w:eastAsia="ar-SA"/>
              </w:rPr>
              <w:t>S</w:t>
            </w:r>
            <w:r w:rsidRPr="00142F56">
              <w:rPr>
                <w:rFonts w:cs="Calibri"/>
                <w:sz w:val="28"/>
                <w:szCs w:val="28"/>
                <w:lang w:eastAsia="ar-SA"/>
              </w:rPr>
              <w:t xml:space="preserve">. </w:t>
            </w:r>
            <w:r w:rsidRPr="00142F56">
              <w:rPr>
                <w:rFonts w:cs="Calibri"/>
                <w:sz w:val="28"/>
                <w:szCs w:val="28"/>
                <w:lang w:val="en-US" w:eastAsia="ar-SA"/>
              </w:rPr>
              <w:t>haemoliticus</w:t>
            </w:r>
          </w:p>
        </w:tc>
        <w:tc>
          <w:tcPr>
            <w:tcW w:w="3211" w:type="dxa"/>
            <w:tcBorders>
              <w:top w:val="single" w:sz="4" w:space="0" w:color="000000"/>
              <w:left w:val="single" w:sz="4" w:space="0" w:color="000000"/>
              <w:bottom w:val="single" w:sz="4" w:space="0" w:color="000000"/>
            </w:tcBorders>
            <w:vAlign w:val="center"/>
          </w:tcPr>
          <w:p w:rsidR="00286780" w:rsidRPr="00142F56" w:rsidRDefault="00286780" w:rsidP="00124D89">
            <w:pPr>
              <w:snapToGrid w:val="0"/>
              <w:jc w:val="center"/>
              <w:rPr>
                <w:rFonts w:cs="Calibri"/>
                <w:sz w:val="28"/>
                <w:szCs w:val="28"/>
                <w:lang w:eastAsia="ar-SA"/>
              </w:rPr>
            </w:pPr>
            <w:r w:rsidRPr="00142F56">
              <w:rPr>
                <w:rFonts w:cs="Calibri"/>
                <w:sz w:val="28"/>
                <w:szCs w:val="28"/>
                <w:lang w:eastAsia="ar-SA"/>
              </w:rPr>
              <w:t>4</w:t>
            </w:r>
          </w:p>
        </w:tc>
        <w:tc>
          <w:tcPr>
            <w:tcW w:w="2771" w:type="dxa"/>
            <w:tcBorders>
              <w:top w:val="single" w:sz="4" w:space="0" w:color="000000"/>
              <w:left w:val="single" w:sz="4" w:space="0" w:color="000000"/>
              <w:bottom w:val="single" w:sz="4" w:space="0" w:color="000000"/>
              <w:right w:val="single" w:sz="4" w:space="0" w:color="000000"/>
            </w:tcBorders>
            <w:vAlign w:val="center"/>
          </w:tcPr>
          <w:p w:rsidR="00286780" w:rsidRPr="00142F56" w:rsidRDefault="00286780" w:rsidP="00124D89">
            <w:pPr>
              <w:snapToGrid w:val="0"/>
              <w:jc w:val="center"/>
              <w:rPr>
                <w:rFonts w:cs="Calibri"/>
                <w:sz w:val="28"/>
                <w:szCs w:val="28"/>
                <w:lang w:val="en-US" w:eastAsia="ar-SA"/>
              </w:rPr>
            </w:pPr>
            <w:r w:rsidRPr="00142F56">
              <w:rPr>
                <w:rFonts w:cs="Calibri"/>
                <w:sz w:val="28"/>
                <w:szCs w:val="28"/>
                <w:lang w:val="en-US" w:eastAsia="ar-SA"/>
              </w:rPr>
              <w:t>1</w:t>
            </w:r>
            <w:r w:rsidRPr="00142F56">
              <w:rPr>
                <w:rFonts w:cs="Calibri"/>
                <w:sz w:val="28"/>
                <w:szCs w:val="28"/>
                <w:lang w:eastAsia="ar-SA"/>
              </w:rPr>
              <w:t>4</w:t>
            </w:r>
            <w:r w:rsidRPr="00142F56">
              <w:rPr>
                <w:rFonts w:cs="Calibri"/>
                <w:sz w:val="28"/>
                <w:szCs w:val="28"/>
                <w:lang w:val="en-US" w:eastAsia="ar-SA"/>
              </w:rPr>
              <w:t>,3</w:t>
            </w:r>
          </w:p>
        </w:tc>
      </w:tr>
      <w:tr w:rsidR="00286780" w:rsidRPr="00142F56" w:rsidTr="00874414">
        <w:trPr>
          <w:trHeight w:val="454"/>
        </w:trPr>
        <w:tc>
          <w:tcPr>
            <w:tcW w:w="3941" w:type="dxa"/>
            <w:tcBorders>
              <w:top w:val="single" w:sz="4" w:space="0" w:color="000000"/>
              <w:left w:val="single" w:sz="4" w:space="0" w:color="000000"/>
              <w:bottom w:val="single" w:sz="4" w:space="0" w:color="000000"/>
            </w:tcBorders>
            <w:vAlign w:val="center"/>
          </w:tcPr>
          <w:p w:rsidR="00286780" w:rsidRPr="00142F56" w:rsidRDefault="00286780" w:rsidP="00124D89">
            <w:pPr>
              <w:snapToGrid w:val="0"/>
              <w:jc w:val="both"/>
              <w:rPr>
                <w:rFonts w:cs="Calibri"/>
                <w:sz w:val="28"/>
                <w:szCs w:val="28"/>
                <w:lang w:val="en-US" w:eastAsia="ar-SA"/>
              </w:rPr>
            </w:pPr>
            <w:r w:rsidRPr="00142F56">
              <w:rPr>
                <w:rFonts w:cs="Calibri"/>
                <w:sz w:val="28"/>
                <w:szCs w:val="28"/>
                <w:lang w:val="en-US" w:eastAsia="ar-SA"/>
              </w:rPr>
              <w:t xml:space="preserve">Str. </w:t>
            </w:r>
            <w:r w:rsidR="008D4644" w:rsidRPr="00142F56">
              <w:rPr>
                <w:rFonts w:cs="Calibri"/>
                <w:sz w:val="28"/>
                <w:szCs w:val="28"/>
                <w:lang w:val="en-US" w:eastAsia="ar-SA"/>
              </w:rPr>
              <w:t>P</w:t>
            </w:r>
            <w:r w:rsidRPr="00142F56">
              <w:rPr>
                <w:rFonts w:cs="Calibri"/>
                <w:sz w:val="28"/>
                <w:szCs w:val="28"/>
                <w:lang w:val="en-US" w:eastAsia="ar-SA"/>
              </w:rPr>
              <w:t>yogenes</w:t>
            </w:r>
          </w:p>
        </w:tc>
        <w:tc>
          <w:tcPr>
            <w:tcW w:w="3211" w:type="dxa"/>
            <w:tcBorders>
              <w:top w:val="single" w:sz="4" w:space="0" w:color="000000"/>
              <w:left w:val="single" w:sz="4" w:space="0" w:color="000000"/>
              <w:bottom w:val="single" w:sz="4" w:space="0" w:color="000000"/>
            </w:tcBorders>
            <w:vAlign w:val="center"/>
          </w:tcPr>
          <w:p w:rsidR="00286780" w:rsidRPr="00142F56" w:rsidRDefault="00286780" w:rsidP="00124D89">
            <w:pPr>
              <w:snapToGrid w:val="0"/>
              <w:jc w:val="center"/>
              <w:rPr>
                <w:rFonts w:cs="Calibri"/>
                <w:sz w:val="28"/>
                <w:szCs w:val="28"/>
                <w:lang w:eastAsia="ar-SA"/>
              </w:rPr>
            </w:pPr>
            <w:r w:rsidRPr="00142F56">
              <w:rPr>
                <w:rFonts w:cs="Calibri"/>
                <w:sz w:val="28"/>
                <w:szCs w:val="28"/>
                <w:lang w:eastAsia="ar-SA"/>
              </w:rPr>
              <w:t>4</w:t>
            </w:r>
          </w:p>
        </w:tc>
        <w:tc>
          <w:tcPr>
            <w:tcW w:w="2771" w:type="dxa"/>
            <w:tcBorders>
              <w:top w:val="single" w:sz="4" w:space="0" w:color="000000"/>
              <w:left w:val="single" w:sz="4" w:space="0" w:color="000000"/>
              <w:bottom w:val="single" w:sz="4" w:space="0" w:color="000000"/>
              <w:right w:val="single" w:sz="4" w:space="0" w:color="000000"/>
            </w:tcBorders>
            <w:vAlign w:val="center"/>
          </w:tcPr>
          <w:p w:rsidR="00286780" w:rsidRPr="00142F56" w:rsidRDefault="00286780" w:rsidP="00124D89">
            <w:pPr>
              <w:snapToGrid w:val="0"/>
              <w:jc w:val="center"/>
              <w:rPr>
                <w:rFonts w:cs="Calibri"/>
                <w:sz w:val="28"/>
                <w:szCs w:val="28"/>
                <w:lang w:eastAsia="ar-SA"/>
              </w:rPr>
            </w:pPr>
            <w:r w:rsidRPr="00142F56">
              <w:rPr>
                <w:rFonts w:cs="Calibri"/>
                <w:sz w:val="28"/>
                <w:szCs w:val="28"/>
                <w:lang w:eastAsia="ar-SA"/>
              </w:rPr>
              <w:t>14</w:t>
            </w:r>
            <w:r w:rsidRPr="00142F56">
              <w:rPr>
                <w:rFonts w:cs="Calibri"/>
                <w:sz w:val="28"/>
                <w:szCs w:val="28"/>
                <w:lang w:val="en-US" w:eastAsia="ar-SA"/>
              </w:rPr>
              <w:t>,</w:t>
            </w:r>
            <w:r w:rsidRPr="00142F56">
              <w:rPr>
                <w:rFonts w:cs="Calibri"/>
                <w:sz w:val="28"/>
                <w:szCs w:val="28"/>
                <w:lang w:eastAsia="ar-SA"/>
              </w:rPr>
              <w:t>3</w:t>
            </w:r>
          </w:p>
        </w:tc>
      </w:tr>
      <w:tr w:rsidR="00286780" w:rsidRPr="00142F56" w:rsidTr="00874414">
        <w:trPr>
          <w:trHeight w:val="454"/>
        </w:trPr>
        <w:tc>
          <w:tcPr>
            <w:tcW w:w="3941" w:type="dxa"/>
            <w:tcBorders>
              <w:top w:val="single" w:sz="4" w:space="0" w:color="000000"/>
              <w:left w:val="single" w:sz="4" w:space="0" w:color="000000"/>
              <w:bottom w:val="single" w:sz="4" w:space="0" w:color="000000"/>
            </w:tcBorders>
            <w:vAlign w:val="center"/>
          </w:tcPr>
          <w:p w:rsidR="00286780" w:rsidRPr="00142F56" w:rsidRDefault="00286780" w:rsidP="00124D89">
            <w:pPr>
              <w:snapToGrid w:val="0"/>
              <w:jc w:val="both"/>
              <w:rPr>
                <w:rFonts w:cs="Calibri"/>
                <w:sz w:val="28"/>
                <w:szCs w:val="28"/>
                <w:lang w:val="en-US" w:eastAsia="ar-SA"/>
              </w:rPr>
            </w:pPr>
            <w:r w:rsidRPr="00142F56">
              <w:rPr>
                <w:rFonts w:cs="Calibri"/>
                <w:sz w:val="28"/>
                <w:szCs w:val="28"/>
                <w:lang w:val="en-US" w:eastAsia="ar-SA"/>
              </w:rPr>
              <w:t>Str.equi</w:t>
            </w:r>
          </w:p>
        </w:tc>
        <w:tc>
          <w:tcPr>
            <w:tcW w:w="3211" w:type="dxa"/>
            <w:tcBorders>
              <w:top w:val="single" w:sz="4" w:space="0" w:color="000000"/>
              <w:left w:val="single" w:sz="4" w:space="0" w:color="000000"/>
              <w:bottom w:val="single" w:sz="4" w:space="0" w:color="000000"/>
            </w:tcBorders>
            <w:vAlign w:val="center"/>
          </w:tcPr>
          <w:p w:rsidR="00286780" w:rsidRPr="00142F56" w:rsidRDefault="00286780" w:rsidP="00124D89">
            <w:pPr>
              <w:snapToGrid w:val="0"/>
              <w:jc w:val="center"/>
              <w:rPr>
                <w:rFonts w:cs="Calibri"/>
                <w:sz w:val="28"/>
                <w:szCs w:val="28"/>
                <w:lang w:val="en-US" w:eastAsia="ar-SA"/>
              </w:rPr>
            </w:pPr>
            <w:r w:rsidRPr="00142F56">
              <w:rPr>
                <w:rFonts w:cs="Calibri"/>
                <w:sz w:val="28"/>
                <w:szCs w:val="28"/>
                <w:lang w:val="en-US" w:eastAsia="ar-SA"/>
              </w:rPr>
              <w:t>8</w:t>
            </w:r>
          </w:p>
        </w:tc>
        <w:tc>
          <w:tcPr>
            <w:tcW w:w="2771" w:type="dxa"/>
            <w:tcBorders>
              <w:top w:val="single" w:sz="4" w:space="0" w:color="000000"/>
              <w:left w:val="single" w:sz="4" w:space="0" w:color="000000"/>
              <w:bottom w:val="single" w:sz="4" w:space="0" w:color="000000"/>
              <w:right w:val="single" w:sz="4" w:space="0" w:color="000000"/>
            </w:tcBorders>
            <w:vAlign w:val="center"/>
          </w:tcPr>
          <w:p w:rsidR="00286780" w:rsidRPr="00142F56" w:rsidRDefault="00286780" w:rsidP="00124D89">
            <w:pPr>
              <w:snapToGrid w:val="0"/>
              <w:jc w:val="center"/>
              <w:rPr>
                <w:rFonts w:cs="Calibri"/>
                <w:sz w:val="28"/>
                <w:szCs w:val="28"/>
                <w:lang w:val="en-US" w:eastAsia="ar-SA"/>
              </w:rPr>
            </w:pPr>
            <w:r w:rsidRPr="00142F56">
              <w:rPr>
                <w:rFonts w:cs="Calibri"/>
                <w:sz w:val="28"/>
                <w:szCs w:val="28"/>
                <w:lang w:val="en-US" w:eastAsia="ar-SA"/>
              </w:rPr>
              <w:t>28,6</w:t>
            </w:r>
          </w:p>
        </w:tc>
      </w:tr>
      <w:tr w:rsidR="00286780" w:rsidRPr="00142F56" w:rsidTr="00874414">
        <w:trPr>
          <w:trHeight w:val="454"/>
        </w:trPr>
        <w:tc>
          <w:tcPr>
            <w:tcW w:w="3941" w:type="dxa"/>
            <w:tcBorders>
              <w:top w:val="single" w:sz="4" w:space="0" w:color="000000"/>
              <w:left w:val="single" w:sz="4" w:space="0" w:color="000000"/>
              <w:bottom w:val="single" w:sz="4" w:space="0" w:color="000000"/>
            </w:tcBorders>
            <w:vAlign w:val="center"/>
          </w:tcPr>
          <w:p w:rsidR="00286780" w:rsidRPr="00142F56" w:rsidRDefault="00286780" w:rsidP="00124D89">
            <w:pPr>
              <w:snapToGrid w:val="0"/>
              <w:jc w:val="both"/>
              <w:rPr>
                <w:rFonts w:cs="Calibri"/>
                <w:sz w:val="28"/>
                <w:szCs w:val="28"/>
                <w:lang w:eastAsia="ar-SA"/>
              </w:rPr>
            </w:pPr>
            <w:r w:rsidRPr="00142F56">
              <w:rPr>
                <w:rFonts w:cs="Calibri"/>
                <w:sz w:val="28"/>
                <w:szCs w:val="28"/>
                <w:lang w:val="en-US" w:eastAsia="ar-SA"/>
              </w:rPr>
              <w:t>Klebsiella pneumonia</w:t>
            </w:r>
            <w:r w:rsidRPr="00142F56">
              <w:rPr>
                <w:rFonts w:cs="Calibri"/>
                <w:sz w:val="28"/>
                <w:szCs w:val="28"/>
                <w:lang w:eastAsia="ar-SA"/>
              </w:rPr>
              <w:t>*</w:t>
            </w:r>
          </w:p>
        </w:tc>
        <w:tc>
          <w:tcPr>
            <w:tcW w:w="3211" w:type="dxa"/>
            <w:tcBorders>
              <w:top w:val="single" w:sz="4" w:space="0" w:color="000000"/>
              <w:left w:val="single" w:sz="4" w:space="0" w:color="000000"/>
              <w:bottom w:val="single" w:sz="4" w:space="0" w:color="000000"/>
            </w:tcBorders>
            <w:vAlign w:val="center"/>
          </w:tcPr>
          <w:p w:rsidR="00286780" w:rsidRPr="00142F56" w:rsidRDefault="00286780" w:rsidP="00124D89">
            <w:pPr>
              <w:snapToGrid w:val="0"/>
              <w:jc w:val="center"/>
              <w:rPr>
                <w:rFonts w:cs="Calibri"/>
                <w:sz w:val="28"/>
                <w:szCs w:val="28"/>
                <w:lang w:val="en-US" w:eastAsia="ar-SA"/>
              </w:rPr>
            </w:pPr>
            <w:r w:rsidRPr="00142F56">
              <w:rPr>
                <w:rFonts w:cs="Calibri"/>
                <w:sz w:val="28"/>
                <w:szCs w:val="28"/>
                <w:lang w:val="en-US" w:eastAsia="ar-SA"/>
              </w:rPr>
              <w:t>3</w:t>
            </w:r>
          </w:p>
        </w:tc>
        <w:tc>
          <w:tcPr>
            <w:tcW w:w="2771" w:type="dxa"/>
            <w:tcBorders>
              <w:top w:val="single" w:sz="4" w:space="0" w:color="000000"/>
              <w:left w:val="single" w:sz="4" w:space="0" w:color="000000"/>
              <w:bottom w:val="single" w:sz="4" w:space="0" w:color="000000"/>
              <w:right w:val="single" w:sz="4" w:space="0" w:color="000000"/>
            </w:tcBorders>
            <w:vAlign w:val="center"/>
          </w:tcPr>
          <w:p w:rsidR="00286780" w:rsidRPr="00142F56" w:rsidRDefault="00286780" w:rsidP="00124D89">
            <w:pPr>
              <w:snapToGrid w:val="0"/>
              <w:jc w:val="center"/>
              <w:rPr>
                <w:rFonts w:cs="Calibri"/>
                <w:sz w:val="28"/>
                <w:szCs w:val="28"/>
                <w:lang w:eastAsia="ar-SA"/>
              </w:rPr>
            </w:pPr>
            <w:r w:rsidRPr="00142F56">
              <w:rPr>
                <w:rFonts w:cs="Calibri"/>
                <w:sz w:val="28"/>
                <w:szCs w:val="28"/>
                <w:lang w:eastAsia="ar-SA"/>
              </w:rPr>
              <w:t>10</w:t>
            </w:r>
            <w:r w:rsidRPr="00142F56">
              <w:rPr>
                <w:rFonts w:cs="Calibri"/>
                <w:sz w:val="28"/>
                <w:szCs w:val="28"/>
                <w:lang w:val="en-US" w:eastAsia="ar-SA"/>
              </w:rPr>
              <w:t>,</w:t>
            </w:r>
            <w:r w:rsidRPr="00142F56">
              <w:rPr>
                <w:rFonts w:cs="Calibri"/>
                <w:sz w:val="28"/>
                <w:szCs w:val="28"/>
                <w:lang w:eastAsia="ar-SA"/>
              </w:rPr>
              <w:t>7</w:t>
            </w:r>
          </w:p>
        </w:tc>
      </w:tr>
      <w:tr w:rsidR="00286780" w:rsidRPr="00142F56" w:rsidTr="00874414">
        <w:trPr>
          <w:trHeight w:val="454"/>
        </w:trPr>
        <w:tc>
          <w:tcPr>
            <w:tcW w:w="3941" w:type="dxa"/>
            <w:tcBorders>
              <w:top w:val="single" w:sz="4" w:space="0" w:color="000000"/>
              <w:left w:val="single" w:sz="4" w:space="0" w:color="000000"/>
              <w:bottom w:val="single" w:sz="4" w:space="0" w:color="000000"/>
            </w:tcBorders>
            <w:vAlign w:val="center"/>
          </w:tcPr>
          <w:p w:rsidR="00286780" w:rsidRPr="00142F56" w:rsidRDefault="00286780" w:rsidP="00124D89">
            <w:pPr>
              <w:snapToGrid w:val="0"/>
              <w:jc w:val="both"/>
              <w:rPr>
                <w:rFonts w:cs="Calibri"/>
                <w:sz w:val="28"/>
                <w:szCs w:val="28"/>
                <w:lang w:eastAsia="ar-SA"/>
              </w:rPr>
            </w:pPr>
            <w:r w:rsidRPr="00142F56">
              <w:rPr>
                <w:rFonts w:cs="Calibri"/>
                <w:sz w:val="28"/>
                <w:szCs w:val="28"/>
                <w:lang w:val="en-US" w:eastAsia="ar-SA"/>
              </w:rPr>
              <w:t>Proteus vulgaris</w:t>
            </w:r>
            <w:r w:rsidRPr="00142F56">
              <w:rPr>
                <w:rFonts w:cs="Calibri"/>
                <w:sz w:val="28"/>
                <w:szCs w:val="28"/>
                <w:lang w:eastAsia="ar-SA"/>
              </w:rPr>
              <w:t>*</w:t>
            </w:r>
          </w:p>
        </w:tc>
        <w:tc>
          <w:tcPr>
            <w:tcW w:w="3211" w:type="dxa"/>
            <w:tcBorders>
              <w:top w:val="single" w:sz="4" w:space="0" w:color="000000"/>
              <w:left w:val="single" w:sz="4" w:space="0" w:color="000000"/>
              <w:bottom w:val="single" w:sz="4" w:space="0" w:color="000000"/>
            </w:tcBorders>
            <w:vAlign w:val="center"/>
          </w:tcPr>
          <w:p w:rsidR="00286780" w:rsidRPr="00142F56" w:rsidRDefault="00286780" w:rsidP="00124D89">
            <w:pPr>
              <w:snapToGrid w:val="0"/>
              <w:jc w:val="center"/>
              <w:rPr>
                <w:rFonts w:cs="Calibri"/>
                <w:sz w:val="28"/>
                <w:szCs w:val="28"/>
                <w:lang w:val="en-US" w:eastAsia="ar-SA"/>
              </w:rPr>
            </w:pPr>
            <w:r w:rsidRPr="00142F56">
              <w:rPr>
                <w:rFonts w:cs="Calibri"/>
                <w:sz w:val="28"/>
                <w:szCs w:val="28"/>
                <w:lang w:val="en-US" w:eastAsia="ar-SA"/>
              </w:rPr>
              <w:t>3</w:t>
            </w:r>
          </w:p>
        </w:tc>
        <w:tc>
          <w:tcPr>
            <w:tcW w:w="2771" w:type="dxa"/>
            <w:tcBorders>
              <w:top w:val="single" w:sz="4" w:space="0" w:color="000000"/>
              <w:left w:val="single" w:sz="4" w:space="0" w:color="000000"/>
              <w:bottom w:val="single" w:sz="4" w:space="0" w:color="000000"/>
              <w:right w:val="single" w:sz="4" w:space="0" w:color="000000"/>
            </w:tcBorders>
            <w:vAlign w:val="center"/>
          </w:tcPr>
          <w:p w:rsidR="00286780" w:rsidRPr="00142F56" w:rsidRDefault="00286780" w:rsidP="00124D89">
            <w:pPr>
              <w:snapToGrid w:val="0"/>
              <w:jc w:val="center"/>
              <w:rPr>
                <w:rFonts w:cs="Calibri"/>
                <w:sz w:val="28"/>
                <w:szCs w:val="28"/>
                <w:lang w:eastAsia="ar-SA"/>
              </w:rPr>
            </w:pPr>
            <w:r w:rsidRPr="00142F56">
              <w:rPr>
                <w:rFonts w:cs="Calibri"/>
                <w:sz w:val="28"/>
                <w:szCs w:val="28"/>
                <w:lang w:eastAsia="ar-SA"/>
              </w:rPr>
              <w:t>10</w:t>
            </w:r>
            <w:r w:rsidRPr="00142F56">
              <w:rPr>
                <w:rFonts w:cs="Calibri"/>
                <w:sz w:val="28"/>
                <w:szCs w:val="28"/>
                <w:lang w:val="en-US" w:eastAsia="ar-SA"/>
              </w:rPr>
              <w:t>,</w:t>
            </w:r>
            <w:r w:rsidRPr="00142F56">
              <w:rPr>
                <w:rFonts w:cs="Calibri"/>
                <w:sz w:val="28"/>
                <w:szCs w:val="28"/>
                <w:lang w:eastAsia="ar-SA"/>
              </w:rPr>
              <w:t>7</w:t>
            </w:r>
          </w:p>
        </w:tc>
      </w:tr>
      <w:tr w:rsidR="00286780" w:rsidRPr="00142F56" w:rsidTr="00874414">
        <w:trPr>
          <w:trHeight w:val="454"/>
        </w:trPr>
        <w:tc>
          <w:tcPr>
            <w:tcW w:w="3941" w:type="dxa"/>
            <w:tcBorders>
              <w:top w:val="single" w:sz="4" w:space="0" w:color="000000"/>
              <w:left w:val="single" w:sz="4" w:space="0" w:color="000000"/>
              <w:bottom w:val="single" w:sz="4" w:space="0" w:color="000000"/>
            </w:tcBorders>
            <w:vAlign w:val="center"/>
          </w:tcPr>
          <w:p w:rsidR="00286780" w:rsidRPr="00142F56" w:rsidRDefault="00286780" w:rsidP="00124D89">
            <w:pPr>
              <w:snapToGrid w:val="0"/>
              <w:jc w:val="both"/>
              <w:rPr>
                <w:rFonts w:cs="Calibri"/>
                <w:sz w:val="28"/>
                <w:szCs w:val="28"/>
                <w:lang w:eastAsia="ar-SA"/>
              </w:rPr>
            </w:pPr>
            <w:r w:rsidRPr="00142F56">
              <w:rPr>
                <w:rFonts w:cs="Calibri"/>
                <w:sz w:val="28"/>
                <w:szCs w:val="28"/>
                <w:lang w:val="en-US" w:eastAsia="ar-SA"/>
              </w:rPr>
              <w:t>Citrobacter koseri</w:t>
            </w:r>
            <w:r w:rsidRPr="00142F56">
              <w:rPr>
                <w:rFonts w:cs="Calibri"/>
                <w:sz w:val="28"/>
                <w:szCs w:val="28"/>
                <w:lang w:eastAsia="ar-SA"/>
              </w:rPr>
              <w:t>*</w:t>
            </w:r>
          </w:p>
        </w:tc>
        <w:tc>
          <w:tcPr>
            <w:tcW w:w="3211" w:type="dxa"/>
            <w:tcBorders>
              <w:top w:val="single" w:sz="4" w:space="0" w:color="000000"/>
              <w:left w:val="single" w:sz="4" w:space="0" w:color="000000"/>
              <w:bottom w:val="single" w:sz="4" w:space="0" w:color="000000"/>
            </w:tcBorders>
            <w:vAlign w:val="center"/>
          </w:tcPr>
          <w:p w:rsidR="00286780" w:rsidRPr="00142F56" w:rsidRDefault="00286780" w:rsidP="00124D89">
            <w:pPr>
              <w:snapToGrid w:val="0"/>
              <w:jc w:val="center"/>
              <w:rPr>
                <w:rFonts w:cs="Calibri"/>
                <w:sz w:val="28"/>
                <w:szCs w:val="28"/>
                <w:lang w:val="en-US" w:eastAsia="ar-SA"/>
              </w:rPr>
            </w:pPr>
            <w:r w:rsidRPr="00142F56">
              <w:rPr>
                <w:rFonts w:cs="Calibri"/>
                <w:sz w:val="28"/>
                <w:szCs w:val="28"/>
                <w:lang w:val="en-US" w:eastAsia="ar-SA"/>
              </w:rPr>
              <w:t>2</w:t>
            </w:r>
          </w:p>
        </w:tc>
        <w:tc>
          <w:tcPr>
            <w:tcW w:w="2771" w:type="dxa"/>
            <w:tcBorders>
              <w:top w:val="single" w:sz="4" w:space="0" w:color="000000"/>
              <w:left w:val="single" w:sz="4" w:space="0" w:color="000000"/>
              <w:bottom w:val="single" w:sz="4" w:space="0" w:color="000000"/>
              <w:right w:val="single" w:sz="4" w:space="0" w:color="000000"/>
            </w:tcBorders>
            <w:vAlign w:val="center"/>
          </w:tcPr>
          <w:p w:rsidR="00286780" w:rsidRPr="00142F56" w:rsidRDefault="00286780" w:rsidP="00124D89">
            <w:pPr>
              <w:snapToGrid w:val="0"/>
              <w:jc w:val="center"/>
              <w:rPr>
                <w:rFonts w:cs="Calibri"/>
                <w:sz w:val="28"/>
                <w:szCs w:val="28"/>
                <w:lang w:eastAsia="ar-SA"/>
              </w:rPr>
            </w:pPr>
            <w:r w:rsidRPr="00142F56">
              <w:rPr>
                <w:rFonts w:cs="Calibri"/>
                <w:sz w:val="28"/>
                <w:szCs w:val="28"/>
                <w:lang w:eastAsia="ar-SA"/>
              </w:rPr>
              <w:t>7</w:t>
            </w:r>
            <w:r w:rsidRPr="00142F56">
              <w:rPr>
                <w:rFonts w:cs="Calibri"/>
                <w:sz w:val="28"/>
                <w:szCs w:val="28"/>
                <w:lang w:val="en-US" w:eastAsia="ar-SA"/>
              </w:rPr>
              <w:t>,</w:t>
            </w:r>
            <w:r w:rsidRPr="00142F56">
              <w:rPr>
                <w:rFonts w:cs="Calibri"/>
                <w:sz w:val="28"/>
                <w:szCs w:val="28"/>
                <w:lang w:eastAsia="ar-SA"/>
              </w:rPr>
              <w:t>1</w:t>
            </w:r>
          </w:p>
        </w:tc>
      </w:tr>
      <w:tr w:rsidR="00286780" w:rsidRPr="00142F56" w:rsidTr="00874414">
        <w:trPr>
          <w:trHeight w:val="454"/>
        </w:trPr>
        <w:tc>
          <w:tcPr>
            <w:tcW w:w="3941" w:type="dxa"/>
            <w:tcBorders>
              <w:top w:val="single" w:sz="4" w:space="0" w:color="000000"/>
              <w:left w:val="single" w:sz="4" w:space="0" w:color="000000"/>
              <w:bottom w:val="single" w:sz="4" w:space="0" w:color="000000"/>
            </w:tcBorders>
            <w:vAlign w:val="center"/>
          </w:tcPr>
          <w:p w:rsidR="00286780" w:rsidRPr="00142F56" w:rsidRDefault="00286780" w:rsidP="00124D89">
            <w:pPr>
              <w:snapToGrid w:val="0"/>
              <w:jc w:val="both"/>
              <w:rPr>
                <w:rFonts w:cs="Calibri"/>
                <w:sz w:val="28"/>
                <w:szCs w:val="28"/>
                <w:lang w:eastAsia="ar-SA"/>
              </w:rPr>
            </w:pPr>
            <w:r w:rsidRPr="00142F56">
              <w:rPr>
                <w:rFonts w:cs="Calibri"/>
                <w:sz w:val="28"/>
                <w:szCs w:val="28"/>
                <w:lang w:eastAsia="ar-SA"/>
              </w:rPr>
              <w:t>Всего</w:t>
            </w:r>
          </w:p>
        </w:tc>
        <w:tc>
          <w:tcPr>
            <w:tcW w:w="3211" w:type="dxa"/>
            <w:tcBorders>
              <w:top w:val="single" w:sz="4" w:space="0" w:color="000000"/>
              <w:left w:val="single" w:sz="4" w:space="0" w:color="000000"/>
              <w:bottom w:val="single" w:sz="4" w:space="0" w:color="000000"/>
            </w:tcBorders>
            <w:vAlign w:val="center"/>
          </w:tcPr>
          <w:p w:rsidR="00286780" w:rsidRPr="00142F56" w:rsidRDefault="00286780" w:rsidP="00124D89">
            <w:pPr>
              <w:snapToGrid w:val="0"/>
              <w:jc w:val="center"/>
              <w:rPr>
                <w:rFonts w:cs="Calibri"/>
                <w:sz w:val="28"/>
                <w:szCs w:val="28"/>
                <w:lang w:eastAsia="ar-SA"/>
              </w:rPr>
            </w:pPr>
            <w:r w:rsidRPr="00142F56">
              <w:rPr>
                <w:rFonts w:cs="Calibri"/>
                <w:sz w:val="28"/>
                <w:szCs w:val="28"/>
                <w:lang w:eastAsia="ar-SA"/>
              </w:rPr>
              <w:t>28</w:t>
            </w:r>
          </w:p>
        </w:tc>
        <w:tc>
          <w:tcPr>
            <w:tcW w:w="2771" w:type="dxa"/>
            <w:tcBorders>
              <w:top w:val="single" w:sz="4" w:space="0" w:color="000000"/>
              <w:left w:val="single" w:sz="4" w:space="0" w:color="000000"/>
              <w:bottom w:val="single" w:sz="4" w:space="0" w:color="000000"/>
              <w:right w:val="single" w:sz="4" w:space="0" w:color="000000"/>
            </w:tcBorders>
            <w:vAlign w:val="center"/>
          </w:tcPr>
          <w:p w:rsidR="00286780" w:rsidRPr="00142F56" w:rsidRDefault="00286780" w:rsidP="00124D89">
            <w:pPr>
              <w:snapToGrid w:val="0"/>
              <w:jc w:val="center"/>
              <w:rPr>
                <w:rFonts w:cs="Calibri"/>
                <w:sz w:val="28"/>
                <w:szCs w:val="28"/>
                <w:lang w:eastAsia="ar-SA"/>
              </w:rPr>
            </w:pPr>
            <w:r w:rsidRPr="00142F56">
              <w:rPr>
                <w:rFonts w:cs="Calibri"/>
                <w:sz w:val="28"/>
                <w:szCs w:val="28"/>
                <w:lang w:eastAsia="ar-SA"/>
              </w:rPr>
              <w:t>100</w:t>
            </w:r>
          </w:p>
        </w:tc>
      </w:tr>
      <w:tr w:rsidR="00286780" w:rsidRPr="00142F56" w:rsidTr="00874414">
        <w:trPr>
          <w:trHeight w:val="454"/>
        </w:trPr>
        <w:tc>
          <w:tcPr>
            <w:tcW w:w="9923" w:type="dxa"/>
            <w:gridSpan w:val="3"/>
            <w:tcBorders>
              <w:top w:val="single" w:sz="4" w:space="0" w:color="000000"/>
              <w:left w:val="single" w:sz="4" w:space="0" w:color="000000"/>
              <w:bottom w:val="single" w:sz="4" w:space="0" w:color="000000"/>
              <w:right w:val="single" w:sz="4" w:space="0" w:color="000000"/>
            </w:tcBorders>
            <w:vAlign w:val="center"/>
          </w:tcPr>
          <w:p w:rsidR="00286780" w:rsidRPr="00142F56" w:rsidRDefault="00286780" w:rsidP="00124D89">
            <w:pPr>
              <w:jc w:val="both"/>
              <w:rPr>
                <w:rFonts w:cs="Calibri"/>
                <w:sz w:val="28"/>
                <w:szCs w:val="28"/>
                <w:lang w:eastAsia="ar-SA"/>
              </w:rPr>
            </w:pPr>
            <w:r w:rsidRPr="00142F56">
              <w:rPr>
                <w:rFonts w:cs="Calibri"/>
                <w:i/>
                <w:sz w:val="28"/>
                <w:szCs w:val="28"/>
                <w:lang w:eastAsia="ar-SA"/>
              </w:rPr>
              <w:t>Примечание</w:t>
            </w:r>
            <w:r w:rsidRPr="00142F56">
              <w:rPr>
                <w:rFonts w:cs="Calibri"/>
                <w:sz w:val="28"/>
                <w:szCs w:val="28"/>
                <w:lang w:eastAsia="ar-SA"/>
              </w:rPr>
              <w:t xml:space="preserve">. </w:t>
            </w:r>
            <w:r w:rsidRPr="00142F56">
              <w:rPr>
                <w:rFonts w:cs="Calibri"/>
                <w:sz w:val="28"/>
                <w:szCs w:val="28"/>
                <w:lang w:val="en-US" w:eastAsia="ar-SA"/>
              </w:rPr>
              <w:t>S</w:t>
            </w:r>
            <w:r w:rsidRPr="00142F56">
              <w:rPr>
                <w:rFonts w:cs="Calibri"/>
                <w:sz w:val="28"/>
                <w:szCs w:val="28"/>
                <w:lang w:eastAsia="ar-SA"/>
              </w:rPr>
              <w:t xml:space="preserve">. – </w:t>
            </w:r>
            <w:r w:rsidRPr="00142F56">
              <w:rPr>
                <w:rFonts w:cs="Calibri"/>
                <w:sz w:val="28"/>
                <w:szCs w:val="28"/>
                <w:lang w:val="en-US" w:eastAsia="ar-SA"/>
              </w:rPr>
              <w:t>staphylococcus</w:t>
            </w:r>
            <w:r w:rsidRPr="00142F56">
              <w:rPr>
                <w:rFonts w:cs="Calibri"/>
                <w:sz w:val="28"/>
                <w:szCs w:val="28"/>
                <w:lang w:eastAsia="ar-SA"/>
              </w:rPr>
              <w:t xml:space="preserve">, </w:t>
            </w:r>
            <w:r w:rsidRPr="00142F56">
              <w:rPr>
                <w:rFonts w:cs="Calibri"/>
                <w:sz w:val="28"/>
                <w:szCs w:val="28"/>
                <w:lang w:val="en-US" w:eastAsia="ar-SA"/>
              </w:rPr>
              <w:t>Str</w:t>
            </w:r>
            <w:r w:rsidRPr="00142F56">
              <w:rPr>
                <w:rFonts w:cs="Calibri"/>
                <w:sz w:val="28"/>
                <w:szCs w:val="28"/>
                <w:lang w:eastAsia="ar-SA"/>
              </w:rPr>
              <w:t xml:space="preserve">. – </w:t>
            </w:r>
            <w:r w:rsidRPr="00142F56">
              <w:rPr>
                <w:rFonts w:cs="Calibri"/>
                <w:sz w:val="28"/>
                <w:szCs w:val="28"/>
                <w:lang w:val="en-US" w:eastAsia="ar-SA"/>
              </w:rPr>
              <w:t>streptococcus</w:t>
            </w:r>
            <w:r w:rsidRPr="00142F56">
              <w:rPr>
                <w:rFonts w:cs="Calibri"/>
                <w:sz w:val="28"/>
                <w:szCs w:val="28"/>
                <w:lang w:eastAsia="ar-SA"/>
              </w:rPr>
              <w:t>; * – определяются через 7–10 суток от начала лечения</w:t>
            </w:r>
          </w:p>
        </w:tc>
      </w:tr>
    </w:tbl>
    <w:p w:rsidR="00286780" w:rsidRPr="00142F56" w:rsidRDefault="00286780" w:rsidP="00124D89">
      <w:pPr>
        <w:jc w:val="both"/>
        <w:rPr>
          <w:rFonts w:cs="Calibri"/>
          <w:sz w:val="28"/>
          <w:szCs w:val="28"/>
          <w:lang w:eastAsia="ar-SA"/>
        </w:rPr>
      </w:pP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 xml:space="preserve">Кроме того, в отличие от аналогичных результатов у больных с МФОИ, где в 36,35% случаев рост микроорганизмов из отделяемого воспалительных очагов не определялся, у пациентов с ОС грамположительные или грамотрицательные бактерии выявлены во всех случаях забора биологического материала. Обращает внимание отсутствие в гнойном отделяемом </w:t>
      </w:r>
      <w:r w:rsidRPr="00124D89">
        <w:rPr>
          <w:rFonts w:cs="Calibri"/>
          <w:sz w:val="28"/>
          <w:szCs w:val="28"/>
          <w:lang w:val="en-US" w:eastAsia="ar-SA"/>
        </w:rPr>
        <w:t>S</w:t>
      </w:r>
      <w:r w:rsidRPr="00124D89">
        <w:rPr>
          <w:rFonts w:cs="Calibri"/>
          <w:sz w:val="28"/>
          <w:szCs w:val="28"/>
          <w:lang w:eastAsia="ar-SA"/>
        </w:rPr>
        <w:t xml:space="preserve">. </w:t>
      </w:r>
      <w:r w:rsidRPr="00124D89">
        <w:rPr>
          <w:rFonts w:cs="Calibri"/>
          <w:sz w:val="28"/>
          <w:szCs w:val="28"/>
          <w:lang w:val="en-US" w:eastAsia="ar-SA"/>
        </w:rPr>
        <w:t>aureus</w:t>
      </w:r>
      <w:r w:rsidRPr="00124D89">
        <w:rPr>
          <w:rFonts w:cs="Calibri"/>
          <w:sz w:val="28"/>
          <w:szCs w:val="28"/>
          <w:lang w:eastAsia="ar-SA"/>
        </w:rPr>
        <w:t>.</w:t>
      </w: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Чувствительность идентифицированных микроорганизмов первичных гнойных очагов к различным антиби</w:t>
      </w:r>
      <w:r>
        <w:rPr>
          <w:rFonts w:cs="Calibri"/>
          <w:sz w:val="28"/>
          <w:szCs w:val="28"/>
          <w:lang w:eastAsia="ar-SA"/>
        </w:rPr>
        <w:t>отикам представлена в Таблице 51</w:t>
      </w:r>
      <w:r w:rsidRPr="00124D89">
        <w:rPr>
          <w:rFonts w:cs="Calibri"/>
          <w:sz w:val="28"/>
          <w:szCs w:val="28"/>
          <w:lang w:eastAsia="ar-SA"/>
        </w:rPr>
        <w:t>.</w:t>
      </w:r>
    </w:p>
    <w:p w:rsidR="00286780" w:rsidRDefault="00286780" w:rsidP="00C55ECF">
      <w:pPr>
        <w:spacing w:line="360" w:lineRule="auto"/>
        <w:ind w:firstLine="709"/>
        <w:jc w:val="both"/>
        <w:rPr>
          <w:rFonts w:cs="Calibri"/>
          <w:sz w:val="28"/>
          <w:szCs w:val="28"/>
          <w:lang w:eastAsia="ar-SA"/>
        </w:rPr>
      </w:pPr>
      <w:r>
        <w:rPr>
          <w:rFonts w:cs="Calibri"/>
          <w:sz w:val="28"/>
          <w:szCs w:val="28"/>
          <w:lang w:eastAsia="ar-SA"/>
        </w:rPr>
        <w:t>Из Таблицы 51</w:t>
      </w:r>
      <w:r w:rsidRPr="00124D89">
        <w:rPr>
          <w:rFonts w:cs="Calibri"/>
          <w:sz w:val="28"/>
          <w:szCs w:val="28"/>
          <w:lang w:eastAsia="ar-SA"/>
        </w:rPr>
        <w:t xml:space="preserve"> следует, что выделенные </w:t>
      </w:r>
      <w:r w:rsidRPr="00124D89">
        <w:rPr>
          <w:rFonts w:cs="Calibri"/>
          <w:sz w:val="28"/>
          <w:szCs w:val="28"/>
          <w:lang w:val="en-US" w:eastAsia="ar-SA"/>
        </w:rPr>
        <w:t>S</w:t>
      </w:r>
      <w:r w:rsidRPr="00124D89">
        <w:rPr>
          <w:rFonts w:cs="Calibri"/>
          <w:sz w:val="28"/>
          <w:szCs w:val="28"/>
          <w:lang w:eastAsia="ar-SA"/>
        </w:rPr>
        <w:t xml:space="preserve">. </w:t>
      </w:r>
      <w:r w:rsidRPr="00124D89">
        <w:rPr>
          <w:rFonts w:cs="Calibri"/>
          <w:sz w:val="28"/>
          <w:szCs w:val="28"/>
          <w:lang w:val="en-US" w:eastAsia="ar-SA"/>
        </w:rPr>
        <w:t>haemoliticus</w:t>
      </w:r>
      <w:r w:rsidRPr="00124D89">
        <w:rPr>
          <w:rFonts w:cs="Calibri"/>
          <w:sz w:val="28"/>
          <w:szCs w:val="28"/>
          <w:lang w:eastAsia="ar-SA"/>
        </w:rPr>
        <w:t xml:space="preserve"> характеризуются устойчивостью к антистафилококковому пенициллину оксациллину и фторхинолону ципрофлоксацину, стрептококки чувствительны к эритромицину и клиндамицину, а грамотрицательная флора обладает устойчивостью к большинству антибактериальных препаратов, сохраняя чувствительность к меропенему, и, в некоторых случаях, к цефотаксиму.</w:t>
      </w:r>
    </w:p>
    <w:p w:rsidR="00C55ECF" w:rsidRPr="00C55ECF" w:rsidRDefault="00C55ECF" w:rsidP="00C55ECF">
      <w:pPr>
        <w:spacing w:line="360" w:lineRule="auto"/>
        <w:ind w:firstLine="709"/>
        <w:jc w:val="both"/>
        <w:rPr>
          <w:rFonts w:cs="Calibri"/>
          <w:sz w:val="28"/>
          <w:szCs w:val="28"/>
          <w:lang w:eastAsia="ar-SA"/>
        </w:rPr>
      </w:pPr>
    </w:p>
    <w:p w:rsidR="00286780" w:rsidRPr="00E054CC" w:rsidRDefault="00286780" w:rsidP="00124D89">
      <w:pPr>
        <w:spacing w:after="120"/>
        <w:jc w:val="both"/>
        <w:rPr>
          <w:spacing w:val="-2"/>
          <w:sz w:val="28"/>
          <w:szCs w:val="28"/>
        </w:rPr>
      </w:pPr>
      <w:r w:rsidRPr="00E054CC">
        <w:rPr>
          <w:b/>
          <w:spacing w:val="-2"/>
          <w:sz w:val="28"/>
          <w:szCs w:val="28"/>
        </w:rPr>
        <w:lastRenderedPageBreak/>
        <w:t>Таблица 5</w:t>
      </w:r>
      <w:r>
        <w:rPr>
          <w:b/>
          <w:spacing w:val="-2"/>
          <w:sz w:val="28"/>
          <w:szCs w:val="28"/>
        </w:rPr>
        <w:t>1</w:t>
      </w:r>
      <w:r w:rsidRPr="00E054CC">
        <w:rPr>
          <w:spacing w:val="-2"/>
          <w:sz w:val="28"/>
          <w:szCs w:val="28"/>
        </w:rPr>
        <w:t xml:space="preserve"> – Активность антибактериальных препаратов у пациентов с ОС и полиорганными полиморбидными заболеваниями (первичные воспалительные очаги)</w:t>
      </w:r>
    </w:p>
    <w:tbl>
      <w:tblPr>
        <w:tblW w:w="9923" w:type="dxa"/>
        <w:tblLayout w:type="fixed"/>
        <w:tblLook w:val="0000" w:firstRow="0" w:lastRow="0" w:firstColumn="0" w:lastColumn="0" w:noHBand="0" w:noVBand="0"/>
      </w:tblPr>
      <w:tblGrid>
        <w:gridCol w:w="2027"/>
        <w:gridCol w:w="564"/>
        <w:gridCol w:w="564"/>
        <w:gridCol w:w="564"/>
        <w:gridCol w:w="564"/>
        <w:gridCol w:w="564"/>
        <w:gridCol w:w="564"/>
        <w:gridCol w:w="564"/>
        <w:gridCol w:w="564"/>
        <w:gridCol w:w="564"/>
        <w:gridCol w:w="564"/>
        <w:gridCol w:w="564"/>
        <w:gridCol w:w="564"/>
        <w:gridCol w:w="564"/>
        <w:gridCol w:w="564"/>
      </w:tblGrid>
      <w:tr w:rsidR="00286780" w:rsidRPr="00124D89" w:rsidTr="00874414">
        <w:trPr>
          <w:trHeight w:val="360"/>
        </w:trPr>
        <w:tc>
          <w:tcPr>
            <w:tcW w:w="2027" w:type="dxa"/>
            <w:vMerge w:val="restart"/>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i/>
                <w:sz w:val="24"/>
                <w:szCs w:val="24"/>
                <w:lang w:eastAsia="ar-SA"/>
              </w:rPr>
            </w:pPr>
            <w:r w:rsidRPr="00124D89">
              <w:rPr>
                <w:rFonts w:cs="Calibri"/>
                <w:i/>
                <w:sz w:val="24"/>
                <w:szCs w:val="24"/>
                <w:lang w:eastAsia="ar-SA"/>
              </w:rPr>
              <w:t>Микроорганизм (всего штаммов)</w:t>
            </w:r>
          </w:p>
        </w:tc>
        <w:tc>
          <w:tcPr>
            <w:tcW w:w="7896" w:type="dxa"/>
            <w:gridSpan w:val="14"/>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i/>
                <w:sz w:val="24"/>
                <w:szCs w:val="24"/>
                <w:lang w:eastAsia="ar-SA"/>
              </w:rPr>
            </w:pPr>
            <w:r w:rsidRPr="00124D89">
              <w:rPr>
                <w:rFonts w:cs="Calibri"/>
                <w:i/>
                <w:sz w:val="24"/>
                <w:szCs w:val="24"/>
                <w:lang w:eastAsia="ar-SA"/>
              </w:rPr>
              <w:t xml:space="preserve">Количество чувствительных штаммов </w:t>
            </w:r>
          </w:p>
        </w:tc>
      </w:tr>
      <w:tr w:rsidR="00286780" w:rsidRPr="00124D89" w:rsidTr="00874414">
        <w:trPr>
          <w:trHeight w:val="520"/>
        </w:trPr>
        <w:tc>
          <w:tcPr>
            <w:tcW w:w="2027" w:type="dxa"/>
            <w:vMerge/>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p>
        </w:tc>
        <w:tc>
          <w:tcPr>
            <w:tcW w:w="2256" w:type="dxa"/>
            <w:gridSpan w:val="4"/>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Пенициллины</w:t>
            </w:r>
          </w:p>
        </w:tc>
        <w:tc>
          <w:tcPr>
            <w:tcW w:w="564" w:type="dxa"/>
            <w:vMerge w:val="restart"/>
            <w:tcBorders>
              <w:top w:val="single" w:sz="4" w:space="0" w:color="000000"/>
              <w:left w:val="single" w:sz="4" w:space="0" w:color="000000"/>
              <w:bottom w:val="single" w:sz="4" w:space="0" w:color="000000"/>
            </w:tcBorders>
            <w:tcMar>
              <w:left w:w="28" w:type="dxa"/>
              <w:right w:w="28" w:type="dxa"/>
            </w:tcMar>
            <w:textDirection w:val="btL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Ципрофлоксацин</w:t>
            </w:r>
          </w:p>
        </w:tc>
        <w:tc>
          <w:tcPr>
            <w:tcW w:w="564" w:type="dxa"/>
            <w:vMerge w:val="restart"/>
            <w:tcBorders>
              <w:top w:val="single" w:sz="4" w:space="0" w:color="000000"/>
              <w:left w:val="single" w:sz="4" w:space="0" w:color="000000"/>
              <w:bottom w:val="single" w:sz="4" w:space="0" w:color="000000"/>
            </w:tcBorders>
            <w:tcMar>
              <w:left w:w="28" w:type="dxa"/>
              <w:right w:w="28" w:type="dxa"/>
            </w:tcMar>
            <w:textDirection w:val="btL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Офлоксацин</w:t>
            </w:r>
          </w:p>
        </w:tc>
        <w:tc>
          <w:tcPr>
            <w:tcW w:w="564" w:type="dxa"/>
            <w:vMerge w:val="restart"/>
            <w:tcBorders>
              <w:top w:val="single" w:sz="4" w:space="0" w:color="000000"/>
              <w:left w:val="single" w:sz="4" w:space="0" w:color="000000"/>
              <w:bottom w:val="single" w:sz="4" w:space="0" w:color="000000"/>
            </w:tcBorders>
            <w:tcMar>
              <w:left w:w="28" w:type="dxa"/>
              <w:right w:w="28" w:type="dxa"/>
            </w:tcMar>
            <w:textDirection w:val="btL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Цефотаксим</w:t>
            </w:r>
          </w:p>
        </w:tc>
        <w:tc>
          <w:tcPr>
            <w:tcW w:w="564" w:type="dxa"/>
            <w:vMerge w:val="restart"/>
            <w:tcBorders>
              <w:top w:val="single" w:sz="4" w:space="0" w:color="000000"/>
              <w:left w:val="single" w:sz="4" w:space="0" w:color="000000"/>
              <w:bottom w:val="single" w:sz="4" w:space="0" w:color="000000"/>
            </w:tcBorders>
            <w:tcMar>
              <w:left w:w="28" w:type="dxa"/>
              <w:right w:w="28" w:type="dxa"/>
            </w:tcMar>
            <w:textDirection w:val="btL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Эритромицин</w:t>
            </w:r>
          </w:p>
        </w:tc>
        <w:tc>
          <w:tcPr>
            <w:tcW w:w="564" w:type="dxa"/>
            <w:tcBorders>
              <w:top w:val="single" w:sz="4" w:space="0" w:color="000000"/>
              <w:left w:val="single" w:sz="4" w:space="0" w:color="000000"/>
            </w:tcBorders>
            <w:tcMar>
              <w:left w:w="28" w:type="dxa"/>
              <w:right w:w="28" w:type="dxa"/>
            </w:tcMar>
            <w:textDirection w:val="btLr"/>
            <w:vAlign w:val="center"/>
          </w:tcPr>
          <w:p w:rsidR="00286780" w:rsidRPr="00124D89" w:rsidRDefault="00286780" w:rsidP="00124D89">
            <w:pPr>
              <w:snapToGrid w:val="0"/>
              <w:jc w:val="center"/>
              <w:rPr>
                <w:rFonts w:cs="Calibri"/>
                <w:sz w:val="24"/>
                <w:szCs w:val="24"/>
                <w:lang w:eastAsia="ar-SA"/>
              </w:rPr>
            </w:pPr>
          </w:p>
        </w:tc>
        <w:tc>
          <w:tcPr>
            <w:tcW w:w="564" w:type="dxa"/>
            <w:tcBorders>
              <w:top w:val="single" w:sz="4" w:space="0" w:color="000000"/>
              <w:left w:val="single" w:sz="4" w:space="0" w:color="000000"/>
            </w:tcBorders>
            <w:tcMar>
              <w:left w:w="28" w:type="dxa"/>
              <w:right w:w="28" w:type="dxa"/>
            </w:tcMar>
            <w:textDirection w:val="btLr"/>
            <w:vAlign w:val="center"/>
          </w:tcPr>
          <w:p w:rsidR="00286780" w:rsidRPr="00124D89" w:rsidRDefault="00286780" w:rsidP="00124D89">
            <w:pPr>
              <w:snapToGrid w:val="0"/>
              <w:jc w:val="center"/>
              <w:rPr>
                <w:rFonts w:cs="Calibri"/>
                <w:sz w:val="24"/>
                <w:szCs w:val="24"/>
                <w:lang w:eastAsia="ar-SA"/>
              </w:rPr>
            </w:pPr>
          </w:p>
        </w:tc>
        <w:tc>
          <w:tcPr>
            <w:tcW w:w="564" w:type="dxa"/>
            <w:tcBorders>
              <w:top w:val="single" w:sz="4" w:space="0" w:color="000000"/>
              <w:left w:val="single" w:sz="4" w:space="0" w:color="000000"/>
            </w:tcBorders>
            <w:tcMar>
              <w:left w:w="28" w:type="dxa"/>
              <w:right w:w="28" w:type="dxa"/>
            </w:tcMar>
            <w:textDirection w:val="btLr"/>
            <w:vAlign w:val="center"/>
          </w:tcPr>
          <w:p w:rsidR="00286780" w:rsidRPr="00124D89" w:rsidRDefault="00286780" w:rsidP="00124D89">
            <w:pPr>
              <w:snapToGrid w:val="0"/>
              <w:jc w:val="center"/>
              <w:rPr>
                <w:rFonts w:cs="Calibri"/>
                <w:sz w:val="24"/>
                <w:szCs w:val="24"/>
                <w:lang w:eastAsia="ar-SA"/>
              </w:rPr>
            </w:pPr>
          </w:p>
        </w:tc>
        <w:tc>
          <w:tcPr>
            <w:tcW w:w="564" w:type="dxa"/>
            <w:tcBorders>
              <w:top w:val="single" w:sz="4" w:space="0" w:color="000000"/>
              <w:left w:val="single" w:sz="4" w:space="0" w:color="000000"/>
            </w:tcBorders>
            <w:tcMar>
              <w:left w:w="28" w:type="dxa"/>
              <w:right w:w="28" w:type="dxa"/>
            </w:tcMar>
            <w:textDirection w:val="btLr"/>
            <w:vAlign w:val="center"/>
          </w:tcPr>
          <w:p w:rsidR="00286780" w:rsidRPr="00124D89" w:rsidRDefault="00286780" w:rsidP="00124D89">
            <w:pPr>
              <w:snapToGrid w:val="0"/>
              <w:jc w:val="center"/>
              <w:rPr>
                <w:rFonts w:cs="Calibri"/>
                <w:sz w:val="24"/>
                <w:szCs w:val="24"/>
                <w:lang w:eastAsia="ar-SA"/>
              </w:rPr>
            </w:pPr>
          </w:p>
        </w:tc>
        <w:tc>
          <w:tcPr>
            <w:tcW w:w="564" w:type="dxa"/>
            <w:tcBorders>
              <w:top w:val="single" w:sz="4" w:space="0" w:color="000000"/>
              <w:left w:val="single" w:sz="4" w:space="0" w:color="000000"/>
            </w:tcBorders>
            <w:tcMar>
              <w:left w:w="28" w:type="dxa"/>
              <w:right w:w="28" w:type="dxa"/>
            </w:tcMar>
            <w:textDirection w:val="btLr"/>
            <w:vAlign w:val="center"/>
          </w:tcPr>
          <w:p w:rsidR="00286780" w:rsidRPr="00124D89" w:rsidRDefault="00286780" w:rsidP="00124D89">
            <w:pPr>
              <w:snapToGrid w:val="0"/>
              <w:jc w:val="center"/>
              <w:rPr>
                <w:rFonts w:cs="Calibri"/>
                <w:sz w:val="24"/>
                <w:szCs w:val="24"/>
                <w:lang w:eastAsia="ar-SA"/>
              </w:rPr>
            </w:pPr>
          </w:p>
        </w:tc>
        <w:tc>
          <w:tcPr>
            <w:tcW w:w="564" w:type="dxa"/>
            <w:tcBorders>
              <w:top w:val="single" w:sz="4" w:space="0" w:color="000000"/>
              <w:left w:val="single" w:sz="4" w:space="0" w:color="000000"/>
              <w:right w:val="single" w:sz="4" w:space="0" w:color="000000"/>
            </w:tcBorders>
            <w:tcMar>
              <w:left w:w="28" w:type="dxa"/>
              <w:right w:w="28" w:type="dxa"/>
            </w:tcMar>
            <w:textDirection w:val="btLr"/>
            <w:vAlign w:val="center"/>
          </w:tcPr>
          <w:p w:rsidR="00286780" w:rsidRPr="00124D89" w:rsidRDefault="00286780" w:rsidP="00124D89">
            <w:pPr>
              <w:snapToGrid w:val="0"/>
              <w:jc w:val="center"/>
              <w:rPr>
                <w:rFonts w:cs="Calibri"/>
                <w:sz w:val="24"/>
                <w:szCs w:val="24"/>
                <w:lang w:eastAsia="ar-SA"/>
              </w:rPr>
            </w:pPr>
          </w:p>
        </w:tc>
      </w:tr>
      <w:tr w:rsidR="00286780" w:rsidRPr="00124D89" w:rsidTr="00874414">
        <w:trPr>
          <w:cantSplit/>
          <w:trHeight w:val="2682"/>
        </w:trPr>
        <w:tc>
          <w:tcPr>
            <w:tcW w:w="2027" w:type="dxa"/>
            <w:vMerge/>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both"/>
              <w:rPr>
                <w:rFonts w:cs="Calibri"/>
                <w:sz w:val="24"/>
                <w:szCs w:val="24"/>
                <w:lang w:eastAsia="ar-SA"/>
              </w:rPr>
            </w:pPr>
          </w:p>
        </w:tc>
        <w:tc>
          <w:tcPr>
            <w:tcW w:w="564" w:type="dxa"/>
            <w:tcBorders>
              <w:top w:val="single" w:sz="4" w:space="0" w:color="000000"/>
              <w:left w:val="single" w:sz="4" w:space="0" w:color="000000"/>
              <w:bottom w:val="single" w:sz="4" w:space="0" w:color="000000"/>
            </w:tcBorders>
            <w:tcMar>
              <w:left w:w="28" w:type="dxa"/>
              <w:right w:w="28" w:type="dxa"/>
            </w:tcMar>
            <w:textDirection w:val="btLr"/>
            <w:vAlign w:val="center"/>
          </w:tcPr>
          <w:p w:rsidR="00286780" w:rsidRPr="00124D89" w:rsidRDefault="00286780" w:rsidP="00124D89">
            <w:pPr>
              <w:snapToGrid w:val="0"/>
              <w:jc w:val="both"/>
              <w:rPr>
                <w:rFonts w:cs="Calibri"/>
                <w:sz w:val="24"/>
                <w:szCs w:val="24"/>
                <w:lang w:eastAsia="ar-SA"/>
              </w:rPr>
            </w:pPr>
            <w:r w:rsidRPr="00124D89">
              <w:rPr>
                <w:rFonts w:cs="Calibri"/>
                <w:sz w:val="24"/>
                <w:szCs w:val="24"/>
                <w:lang w:eastAsia="ar-SA"/>
              </w:rPr>
              <w:t>Природные</w:t>
            </w:r>
          </w:p>
        </w:tc>
        <w:tc>
          <w:tcPr>
            <w:tcW w:w="564" w:type="dxa"/>
            <w:tcBorders>
              <w:top w:val="single" w:sz="4" w:space="0" w:color="000000"/>
              <w:left w:val="single" w:sz="4" w:space="0" w:color="000000"/>
              <w:bottom w:val="single" w:sz="4" w:space="0" w:color="000000"/>
            </w:tcBorders>
            <w:tcMar>
              <w:left w:w="28" w:type="dxa"/>
              <w:right w:w="28" w:type="dxa"/>
            </w:tcMar>
            <w:textDirection w:val="btLr"/>
            <w:vAlign w:val="center"/>
          </w:tcPr>
          <w:p w:rsidR="00286780" w:rsidRPr="00124D89" w:rsidRDefault="00286780" w:rsidP="00124D89">
            <w:pPr>
              <w:snapToGrid w:val="0"/>
              <w:jc w:val="both"/>
              <w:rPr>
                <w:rFonts w:cs="Calibri"/>
                <w:sz w:val="24"/>
                <w:szCs w:val="24"/>
                <w:lang w:eastAsia="ar-SA"/>
              </w:rPr>
            </w:pPr>
            <w:r w:rsidRPr="00124D89">
              <w:rPr>
                <w:rFonts w:cs="Calibri"/>
                <w:sz w:val="24"/>
                <w:szCs w:val="24"/>
                <w:lang w:eastAsia="ar-SA"/>
              </w:rPr>
              <w:t>Антистафилококковые</w:t>
            </w:r>
          </w:p>
        </w:tc>
        <w:tc>
          <w:tcPr>
            <w:tcW w:w="564" w:type="dxa"/>
            <w:tcBorders>
              <w:top w:val="single" w:sz="4" w:space="0" w:color="000000"/>
              <w:left w:val="single" w:sz="4" w:space="0" w:color="000000"/>
              <w:bottom w:val="single" w:sz="4" w:space="0" w:color="000000"/>
            </w:tcBorders>
            <w:tcMar>
              <w:left w:w="28" w:type="dxa"/>
              <w:right w:w="28" w:type="dxa"/>
            </w:tcMar>
            <w:textDirection w:val="btLr"/>
            <w:vAlign w:val="center"/>
          </w:tcPr>
          <w:p w:rsidR="00286780" w:rsidRPr="00124D89" w:rsidRDefault="00286780" w:rsidP="00124D89">
            <w:pPr>
              <w:snapToGrid w:val="0"/>
              <w:jc w:val="both"/>
              <w:rPr>
                <w:rFonts w:cs="Calibri"/>
                <w:sz w:val="24"/>
                <w:szCs w:val="24"/>
                <w:lang w:eastAsia="ar-SA"/>
              </w:rPr>
            </w:pPr>
            <w:r w:rsidRPr="00124D89">
              <w:rPr>
                <w:rFonts w:cs="Calibri"/>
                <w:sz w:val="24"/>
                <w:szCs w:val="24"/>
                <w:lang w:eastAsia="ar-SA"/>
              </w:rPr>
              <w:t>Расширенного спектра</w:t>
            </w:r>
          </w:p>
        </w:tc>
        <w:tc>
          <w:tcPr>
            <w:tcW w:w="564" w:type="dxa"/>
            <w:tcBorders>
              <w:top w:val="single" w:sz="4" w:space="0" w:color="000000"/>
              <w:left w:val="single" w:sz="4" w:space="0" w:color="000000"/>
              <w:bottom w:val="single" w:sz="4" w:space="0" w:color="000000"/>
            </w:tcBorders>
            <w:tcMar>
              <w:left w:w="28" w:type="dxa"/>
              <w:right w:w="28" w:type="dxa"/>
            </w:tcMar>
            <w:textDirection w:val="btLr"/>
            <w:vAlign w:val="center"/>
          </w:tcPr>
          <w:p w:rsidR="00286780" w:rsidRPr="00124D89" w:rsidRDefault="00286780" w:rsidP="00124D89">
            <w:pPr>
              <w:snapToGrid w:val="0"/>
              <w:jc w:val="both"/>
              <w:rPr>
                <w:rFonts w:cs="Calibri"/>
                <w:sz w:val="24"/>
                <w:szCs w:val="24"/>
                <w:lang w:eastAsia="ar-SA"/>
              </w:rPr>
            </w:pPr>
            <w:r w:rsidRPr="00124D89">
              <w:rPr>
                <w:rFonts w:cs="Calibri"/>
                <w:sz w:val="24"/>
                <w:szCs w:val="24"/>
                <w:lang w:eastAsia="ar-SA"/>
              </w:rPr>
              <w:t>Ингибиторзащищенные</w:t>
            </w:r>
          </w:p>
        </w:tc>
        <w:tc>
          <w:tcPr>
            <w:tcW w:w="564" w:type="dxa"/>
            <w:vMerge/>
            <w:tcBorders>
              <w:top w:val="single" w:sz="4" w:space="0" w:color="000000"/>
              <w:left w:val="single" w:sz="4" w:space="0" w:color="000000"/>
              <w:bottom w:val="single" w:sz="4" w:space="0" w:color="000000"/>
            </w:tcBorders>
            <w:tcMar>
              <w:left w:w="28" w:type="dxa"/>
              <w:right w:w="28" w:type="dxa"/>
            </w:tcMar>
            <w:textDirection w:val="btLr"/>
            <w:vAlign w:val="center"/>
          </w:tcPr>
          <w:p w:rsidR="00286780" w:rsidRPr="00124D89" w:rsidRDefault="00286780" w:rsidP="00124D89">
            <w:pPr>
              <w:snapToGrid w:val="0"/>
              <w:jc w:val="center"/>
              <w:rPr>
                <w:rFonts w:cs="Calibri"/>
                <w:sz w:val="24"/>
                <w:szCs w:val="24"/>
                <w:lang w:eastAsia="ar-SA"/>
              </w:rPr>
            </w:pPr>
          </w:p>
        </w:tc>
        <w:tc>
          <w:tcPr>
            <w:tcW w:w="564" w:type="dxa"/>
            <w:vMerge/>
            <w:tcBorders>
              <w:top w:val="single" w:sz="4" w:space="0" w:color="000000"/>
              <w:left w:val="single" w:sz="4" w:space="0" w:color="000000"/>
              <w:bottom w:val="single" w:sz="4" w:space="0" w:color="000000"/>
            </w:tcBorders>
            <w:tcMar>
              <w:left w:w="28" w:type="dxa"/>
              <w:right w:w="28" w:type="dxa"/>
            </w:tcMar>
            <w:textDirection w:val="btLr"/>
            <w:vAlign w:val="center"/>
          </w:tcPr>
          <w:p w:rsidR="00286780" w:rsidRPr="00124D89" w:rsidRDefault="00286780" w:rsidP="00124D89">
            <w:pPr>
              <w:snapToGrid w:val="0"/>
              <w:jc w:val="center"/>
              <w:rPr>
                <w:rFonts w:cs="Calibri"/>
                <w:sz w:val="24"/>
                <w:szCs w:val="24"/>
                <w:lang w:eastAsia="ar-SA"/>
              </w:rPr>
            </w:pPr>
          </w:p>
        </w:tc>
        <w:tc>
          <w:tcPr>
            <w:tcW w:w="564" w:type="dxa"/>
            <w:vMerge/>
            <w:tcBorders>
              <w:top w:val="single" w:sz="4" w:space="0" w:color="000000"/>
              <w:left w:val="single" w:sz="4" w:space="0" w:color="000000"/>
              <w:bottom w:val="single" w:sz="4" w:space="0" w:color="000000"/>
            </w:tcBorders>
            <w:tcMar>
              <w:left w:w="28" w:type="dxa"/>
              <w:right w:w="28" w:type="dxa"/>
            </w:tcMar>
            <w:textDirection w:val="btLr"/>
            <w:vAlign w:val="center"/>
          </w:tcPr>
          <w:p w:rsidR="00286780" w:rsidRPr="00124D89" w:rsidRDefault="00286780" w:rsidP="00124D89">
            <w:pPr>
              <w:snapToGrid w:val="0"/>
              <w:jc w:val="center"/>
              <w:rPr>
                <w:rFonts w:cs="Calibri"/>
                <w:sz w:val="24"/>
                <w:szCs w:val="24"/>
                <w:lang w:eastAsia="ar-SA"/>
              </w:rPr>
            </w:pPr>
          </w:p>
        </w:tc>
        <w:tc>
          <w:tcPr>
            <w:tcW w:w="564" w:type="dxa"/>
            <w:vMerge/>
            <w:tcBorders>
              <w:top w:val="single" w:sz="4" w:space="0" w:color="000000"/>
              <w:left w:val="single" w:sz="4" w:space="0" w:color="000000"/>
              <w:bottom w:val="single" w:sz="4" w:space="0" w:color="000000"/>
            </w:tcBorders>
            <w:tcMar>
              <w:left w:w="28" w:type="dxa"/>
              <w:right w:w="28" w:type="dxa"/>
            </w:tcMar>
            <w:textDirection w:val="btLr"/>
            <w:vAlign w:val="center"/>
          </w:tcPr>
          <w:p w:rsidR="00286780" w:rsidRPr="00124D89" w:rsidRDefault="00286780" w:rsidP="00124D89">
            <w:pPr>
              <w:snapToGrid w:val="0"/>
              <w:jc w:val="center"/>
              <w:rPr>
                <w:rFonts w:cs="Calibri"/>
                <w:sz w:val="24"/>
                <w:szCs w:val="24"/>
                <w:lang w:eastAsia="ar-SA"/>
              </w:rPr>
            </w:pPr>
          </w:p>
        </w:tc>
        <w:tc>
          <w:tcPr>
            <w:tcW w:w="564" w:type="dxa"/>
            <w:tcBorders>
              <w:left w:val="single" w:sz="4" w:space="0" w:color="000000"/>
              <w:bottom w:val="single" w:sz="4" w:space="0" w:color="000000"/>
            </w:tcBorders>
            <w:tcMar>
              <w:left w:w="28" w:type="dxa"/>
              <w:right w:w="28" w:type="dxa"/>
            </w:tcMar>
            <w:textDirection w:val="btL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Ванкомицин</w:t>
            </w:r>
          </w:p>
        </w:tc>
        <w:tc>
          <w:tcPr>
            <w:tcW w:w="564" w:type="dxa"/>
            <w:tcBorders>
              <w:left w:val="single" w:sz="4" w:space="0" w:color="000000"/>
              <w:bottom w:val="single" w:sz="4" w:space="0" w:color="000000"/>
            </w:tcBorders>
            <w:tcMar>
              <w:left w:w="28" w:type="dxa"/>
              <w:right w:w="28" w:type="dxa"/>
            </w:tcMar>
            <w:textDirection w:val="btL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Линезолид</w:t>
            </w:r>
          </w:p>
        </w:tc>
        <w:tc>
          <w:tcPr>
            <w:tcW w:w="564" w:type="dxa"/>
            <w:tcBorders>
              <w:left w:val="single" w:sz="4" w:space="0" w:color="000000"/>
              <w:bottom w:val="single" w:sz="4" w:space="0" w:color="000000"/>
            </w:tcBorders>
            <w:tcMar>
              <w:left w:w="28" w:type="dxa"/>
              <w:right w:w="28" w:type="dxa"/>
            </w:tcMar>
            <w:textDirection w:val="btL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Гентамицин</w:t>
            </w:r>
          </w:p>
        </w:tc>
        <w:tc>
          <w:tcPr>
            <w:tcW w:w="564" w:type="dxa"/>
            <w:tcBorders>
              <w:left w:val="single" w:sz="4" w:space="0" w:color="000000"/>
              <w:bottom w:val="single" w:sz="4" w:space="0" w:color="000000"/>
            </w:tcBorders>
            <w:tcMar>
              <w:left w:w="28" w:type="dxa"/>
              <w:right w:w="28" w:type="dxa"/>
            </w:tcMar>
            <w:textDirection w:val="btL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Амикацин</w:t>
            </w:r>
          </w:p>
        </w:tc>
        <w:tc>
          <w:tcPr>
            <w:tcW w:w="564" w:type="dxa"/>
            <w:tcBorders>
              <w:left w:val="single" w:sz="4" w:space="0" w:color="000000"/>
              <w:bottom w:val="single" w:sz="4" w:space="0" w:color="000000"/>
            </w:tcBorders>
            <w:tcMar>
              <w:left w:w="28" w:type="dxa"/>
              <w:right w:w="28" w:type="dxa"/>
            </w:tcMar>
            <w:textDirection w:val="btL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Клиндамицин</w:t>
            </w:r>
          </w:p>
        </w:tc>
        <w:tc>
          <w:tcPr>
            <w:tcW w:w="564" w:type="dxa"/>
            <w:tcBorders>
              <w:left w:val="single" w:sz="4" w:space="0" w:color="000000"/>
              <w:bottom w:val="single" w:sz="4" w:space="0" w:color="000000"/>
              <w:right w:val="single" w:sz="4" w:space="0" w:color="000000"/>
            </w:tcBorders>
            <w:tcMar>
              <w:left w:w="28" w:type="dxa"/>
              <w:right w:w="28" w:type="dxa"/>
            </w:tcMar>
            <w:textDirection w:val="btL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Меропенем</w:t>
            </w:r>
          </w:p>
        </w:tc>
      </w:tr>
      <w:tr w:rsidR="00286780" w:rsidRPr="00124D89" w:rsidTr="00BF4BF3">
        <w:trPr>
          <w:trHeight w:val="397"/>
        </w:trPr>
        <w:tc>
          <w:tcPr>
            <w:tcW w:w="2027"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4"/>
                <w:szCs w:val="24"/>
                <w:lang w:eastAsia="ar-SA"/>
              </w:rPr>
            </w:pPr>
            <w:r w:rsidRPr="00124D89">
              <w:rPr>
                <w:rFonts w:cs="Calibri"/>
                <w:sz w:val="24"/>
                <w:szCs w:val="24"/>
                <w:lang w:val="en-US" w:eastAsia="ar-SA"/>
              </w:rPr>
              <w:t>S</w:t>
            </w:r>
            <w:r w:rsidRPr="00124D89">
              <w:rPr>
                <w:rFonts w:cs="Calibri"/>
                <w:sz w:val="24"/>
                <w:szCs w:val="24"/>
                <w:lang w:eastAsia="ar-SA"/>
              </w:rPr>
              <w:t xml:space="preserve">. </w:t>
            </w:r>
            <w:r w:rsidRPr="00124D89">
              <w:rPr>
                <w:rFonts w:cs="Calibri"/>
                <w:sz w:val="24"/>
                <w:szCs w:val="24"/>
                <w:lang w:val="en-US" w:eastAsia="ar-SA"/>
              </w:rPr>
              <w:t>epidermidis</w:t>
            </w:r>
            <w:r w:rsidRPr="00124D89">
              <w:rPr>
                <w:rFonts w:cs="Calibri"/>
                <w:sz w:val="24"/>
                <w:szCs w:val="24"/>
                <w:lang w:eastAsia="ar-SA"/>
              </w:rPr>
              <w:t xml:space="preserve"> (4)</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4</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4</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4</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4</w:t>
            </w:r>
          </w:p>
        </w:tc>
      </w:tr>
      <w:tr w:rsidR="00286780" w:rsidRPr="00124D89" w:rsidTr="00BF4BF3">
        <w:trPr>
          <w:trHeight w:val="397"/>
        </w:trPr>
        <w:tc>
          <w:tcPr>
            <w:tcW w:w="2027"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4"/>
                <w:szCs w:val="24"/>
                <w:lang w:eastAsia="ar-SA"/>
              </w:rPr>
            </w:pPr>
            <w:r w:rsidRPr="00124D89">
              <w:rPr>
                <w:rFonts w:cs="Calibri"/>
                <w:sz w:val="24"/>
                <w:szCs w:val="24"/>
                <w:lang w:val="en-US" w:eastAsia="ar-SA"/>
              </w:rPr>
              <w:t>S</w:t>
            </w:r>
            <w:r w:rsidRPr="00124D89">
              <w:rPr>
                <w:rFonts w:cs="Calibri"/>
                <w:sz w:val="24"/>
                <w:szCs w:val="24"/>
                <w:lang w:eastAsia="ar-SA"/>
              </w:rPr>
              <w:t xml:space="preserve">. </w:t>
            </w:r>
            <w:r w:rsidRPr="00124D89">
              <w:rPr>
                <w:rFonts w:cs="Calibri"/>
                <w:sz w:val="24"/>
                <w:szCs w:val="24"/>
                <w:lang w:val="en-US" w:eastAsia="ar-SA"/>
              </w:rPr>
              <w:t>haemoliticus</w:t>
            </w:r>
            <w:r w:rsidRPr="00124D89">
              <w:rPr>
                <w:rFonts w:cs="Calibri"/>
                <w:sz w:val="24"/>
                <w:szCs w:val="24"/>
                <w:lang w:eastAsia="ar-SA"/>
              </w:rPr>
              <w:t xml:space="preserve"> (4)</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4</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4</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4</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4</w:t>
            </w:r>
          </w:p>
        </w:tc>
        <w:tc>
          <w:tcPr>
            <w:tcW w:w="5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r>
      <w:tr w:rsidR="00286780" w:rsidRPr="00124D89" w:rsidTr="00BF4BF3">
        <w:trPr>
          <w:trHeight w:val="397"/>
        </w:trPr>
        <w:tc>
          <w:tcPr>
            <w:tcW w:w="2027"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4"/>
                <w:szCs w:val="24"/>
                <w:lang w:eastAsia="ar-SA"/>
              </w:rPr>
            </w:pPr>
            <w:r w:rsidRPr="00124D89">
              <w:rPr>
                <w:rFonts w:cs="Calibri"/>
                <w:sz w:val="24"/>
                <w:szCs w:val="24"/>
                <w:lang w:val="en-US" w:eastAsia="ar-SA"/>
              </w:rPr>
              <w:t>Str. pyogenes</w:t>
            </w:r>
            <w:r w:rsidRPr="00124D89">
              <w:rPr>
                <w:rFonts w:cs="Calibri"/>
                <w:sz w:val="24"/>
                <w:szCs w:val="24"/>
                <w:lang w:eastAsia="ar-SA"/>
              </w:rPr>
              <w:t xml:space="preserve"> (4)</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4</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4</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4</w:t>
            </w:r>
          </w:p>
        </w:tc>
        <w:tc>
          <w:tcPr>
            <w:tcW w:w="5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r>
      <w:tr w:rsidR="00286780" w:rsidRPr="00124D89" w:rsidTr="00BF4BF3">
        <w:trPr>
          <w:trHeight w:val="397"/>
        </w:trPr>
        <w:tc>
          <w:tcPr>
            <w:tcW w:w="2027"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4"/>
                <w:szCs w:val="24"/>
                <w:lang w:eastAsia="ar-SA"/>
              </w:rPr>
            </w:pPr>
            <w:r w:rsidRPr="00124D89">
              <w:rPr>
                <w:rFonts w:cs="Calibri"/>
                <w:sz w:val="24"/>
                <w:szCs w:val="24"/>
                <w:lang w:val="en-US" w:eastAsia="ar-SA"/>
              </w:rPr>
              <w:t>Str.equi</w:t>
            </w:r>
            <w:r w:rsidRPr="00124D89">
              <w:rPr>
                <w:rFonts w:cs="Calibri"/>
                <w:sz w:val="24"/>
                <w:szCs w:val="24"/>
                <w:lang w:eastAsia="ar-SA"/>
              </w:rPr>
              <w:t xml:space="preserve"> (8)</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8</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8</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8</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8</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8</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8</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8</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8</w:t>
            </w:r>
          </w:p>
        </w:tc>
        <w:tc>
          <w:tcPr>
            <w:tcW w:w="5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r>
      <w:tr w:rsidR="00286780" w:rsidRPr="00124D89" w:rsidTr="00BF4BF3">
        <w:trPr>
          <w:trHeight w:val="397"/>
        </w:trPr>
        <w:tc>
          <w:tcPr>
            <w:tcW w:w="2027"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4"/>
                <w:szCs w:val="24"/>
                <w:lang w:eastAsia="ar-SA"/>
              </w:rPr>
            </w:pPr>
            <w:r w:rsidRPr="00124D89">
              <w:rPr>
                <w:rFonts w:cs="Calibri"/>
                <w:sz w:val="24"/>
                <w:szCs w:val="24"/>
                <w:lang w:val="en-US" w:eastAsia="ar-SA"/>
              </w:rPr>
              <w:t>Klebsiella pneumonia</w:t>
            </w:r>
            <w:r w:rsidRPr="00124D89">
              <w:rPr>
                <w:rFonts w:cs="Calibri"/>
                <w:sz w:val="24"/>
                <w:szCs w:val="24"/>
                <w:lang w:eastAsia="ar-SA"/>
              </w:rPr>
              <w:t xml:space="preserve"> (3)</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3</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r>
      <w:tr w:rsidR="00286780" w:rsidRPr="00124D89" w:rsidTr="00BF4BF3">
        <w:trPr>
          <w:trHeight w:val="397"/>
        </w:trPr>
        <w:tc>
          <w:tcPr>
            <w:tcW w:w="2027"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4"/>
                <w:szCs w:val="24"/>
                <w:lang w:eastAsia="ar-SA"/>
              </w:rPr>
            </w:pPr>
            <w:r w:rsidRPr="00124D89">
              <w:rPr>
                <w:rFonts w:cs="Calibri"/>
                <w:sz w:val="24"/>
                <w:szCs w:val="24"/>
                <w:lang w:val="en-US" w:eastAsia="ar-SA"/>
              </w:rPr>
              <w:t>Proteus vulgaris</w:t>
            </w:r>
            <w:r w:rsidRPr="00124D89">
              <w:rPr>
                <w:rFonts w:cs="Calibri"/>
                <w:sz w:val="24"/>
                <w:szCs w:val="24"/>
                <w:lang w:eastAsia="ar-SA"/>
              </w:rPr>
              <w:t xml:space="preserve"> (3)</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3</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3</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3</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3</w:t>
            </w:r>
          </w:p>
        </w:tc>
      </w:tr>
      <w:tr w:rsidR="00286780" w:rsidRPr="00124D89" w:rsidTr="00BF4BF3">
        <w:trPr>
          <w:trHeight w:val="397"/>
        </w:trPr>
        <w:tc>
          <w:tcPr>
            <w:tcW w:w="2027"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4"/>
                <w:szCs w:val="24"/>
                <w:lang w:eastAsia="ar-SA"/>
              </w:rPr>
            </w:pPr>
            <w:r w:rsidRPr="00124D89">
              <w:rPr>
                <w:rFonts w:cs="Calibri"/>
                <w:sz w:val="24"/>
                <w:szCs w:val="24"/>
                <w:lang w:val="en-US" w:eastAsia="ar-SA"/>
              </w:rPr>
              <w:t>Citrobacter koseri</w:t>
            </w:r>
            <w:r w:rsidRPr="00124D89">
              <w:rPr>
                <w:rFonts w:cs="Calibri"/>
                <w:sz w:val="24"/>
                <w:szCs w:val="24"/>
                <w:lang w:eastAsia="ar-SA"/>
              </w:rPr>
              <w:t xml:space="preserve"> (2)</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w:t>
            </w:r>
          </w:p>
        </w:tc>
        <w:tc>
          <w:tcPr>
            <w:tcW w:w="564"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2</w:t>
            </w:r>
          </w:p>
        </w:tc>
      </w:tr>
    </w:tbl>
    <w:p w:rsidR="00286780" w:rsidRPr="00124D89" w:rsidRDefault="00286780" w:rsidP="00124D89">
      <w:pPr>
        <w:jc w:val="both"/>
        <w:rPr>
          <w:rFonts w:cs="Calibri"/>
          <w:sz w:val="24"/>
          <w:szCs w:val="24"/>
          <w:lang w:eastAsia="ar-SA"/>
        </w:rPr>
      </w:pP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Микрофлора посевов крови пациентов с ОС и полиорганной полиморбидной патологией внутренних о</w:t>
      </w:r>
      <w:r>
        <w:rPr>
          <w:rFonts w:cs="Calibri"/>
          <w:sz w:val="28"/>
          <w:szCs w:val="28"/>
          <w:lang w:eastAsia="ar-SA"/>
        </w:rPr>
        <w:t>рганов представлена в Таблице 52</w:t>
      </w:r>
      <w:r w:rsidRPr="00124D89">
        <w:rPr>
          <w:rFonts w:cs="Calibri"/>
          <w:sz w:val="28"/>
          <w:szCs w:val="28"/>
          <w:lang w:eastAsia="ar-SA"/>
        </w:rPr>
        <w:t>.</w:t>
      </w:r>
    </w:p>
    <w:p w:rsidR="00286780" w:rsidRPr="00124D89" w:rsidRDefault="00286780" w:rsidP="00124D89">
      <w:pPr>
        <w:rPr>
          <w:sz w:val="28"/>
          <w:szCs w:val="28"/>
        </w:rPr>
      </w:pPr>
    </w:p>
    <w:p w:rsidR="00286780" w:rsidRPr="00124D89" w:rsidRDefault="00286780" w:rsidP="00124D89">
      <w:pPr>
        <w:spacing w:after="120"/>
        <w:jc w:val="both"/>
        <w:rPr>
          <w:sz w:val="28"/>
          <w:szCs w:val="28"/>
        </w:rPr>
      </w:pPr>
      <w:r w:rsidRPr="00124D89">
        <w:rPr>
          <w:b/>
          <w:sz w:val="28"/>
          <w:szCs w:val="28"/>
        </w:rPr>
        <w:t>Таблица 5</w:t>
      </w:r>
      <w:r>
        <w:rPr>
          <w:b/>
          <w:sz w:val="28"/>
          <w:szCs w:val="28"/>
        </w:rPr>
        <w:t>2</w:t>
      </w:r>
      <w:r w:rsidRPr="00124D89">
        <w:rPr>
          <w:sz w:val="28"/>
          <w:szCs w:val="28"/>
        </w:rPr>
        <w:t xml:space="preserve"> – Микробиологическая характеристика гемокультур у пациентов с ОС и полиорганными поли</w:t>
      </w:r>
      <w:r>
        <w:rPr>
          <w:sz w:val="28"/>
          <w:szCs w:val="28"/>
        </w:rPr>
        <w:t>морбидными заболеваниями (n=</w:t>
      </w:r>
      <w:r w:rsidRPr="00124D89">
        <w:rPr>
          <w:sz w:val="28"/>
          <w:szCs w:val="28"/>
        </w:rPr>
        <w:t>28)</w:t>
      </w:r>
    </w:p>
    <w:tbl>
      <w:tblPr>
        <w:tblW w:w="9923" w:type="dxa"/>
        <w:jc w:val="center"/>
        <w:tblLayout w:type="fixed"/>
        <w:tblLook w:val="0000" w:firstRow="0" w:lastRow="0" w:firstColumn="0" w:lastColumn="0" w:noHBand="0" w:noVBand="0"/>
      </w:tblPr>
      <w:tblGrid>
        <w:gridCol w:w="4536"/>
        <w:gridCol w:w="2552"/>
        <w:gridCol w:w="2835"/>
      </w:tblGrid>
      <w:tr w:rsidR="00286780" w:rsidRPr="00124D89" w:rsidTr="00874414">
        <w:trPr>
          <w:trHeight w:val="227"/>
          <w:jc w:val="center"/>
        </w:trPr>
        <w:tc>
          <w:tcPr>
            <w:tcW w:w="4536" w:type="dxa"/>
            <w:vMerge w:val="restart"/>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both"/>
              <w:rPr>
                <w:rFonts w:cs="Calibri"/>
                <w:i/>
                <w:sz w:val="24"/>
                <w:szCs w:val="24"/>
                <w:lang w:eastAsia="ar-SA"/>
              </w:rPr>
            </w:pPr>
            <w:r w:rsidRPr="00124D89">
              <w:rPr>
                <w:rFonts w:cs="Calibri"/>
                <w:i/>
                <w:sz w:val="24"/>
                <w:szCs w:val="24"/>
                <w:lang w:eastAsia="ar-SA"/>
              </w:rPr>
              <w:t>Микрофлора</w:t>
            </w:r>
          </w:p>
        </w:tc>
        <w:tc>
          <w:tcPr>
            <w:tcW w:w="5387" w:type="dxa"/>
            <w:gridSpan w:val="2"/>
            <w:tcBorders>
              <w:top w:val="single" w:sz="4" w:space="0" w:color="000000"/>
              <w:left w:val="single" w:sz="4" w:space="0" w:color="000000"/>
              <w:bottom w:val="single" w:sz="4" w:space="0" w:color="000000"/>
              <w:right w:val="single" w:sz="4" w:space="0" w:color="000000"/>
            </w:tcBorders>
            <w:vAlign w:val="center"/>
          </w:tcPr>
          <w:p w:rsidR="00286780" w:rsidRPr="00124D89" w:rsidRDefault="00286780" w:rsidP="00124D89">
            <w:pPr>
              <w:snapToGrid w:val="0"/>
              <w:jc w:val="center"/>
              <w:rPr>
                <w:rFonts w:cs="Calibri"/>
                <w:i/>
                <w:sz w:val="24"/>
                <w:szCs w:val="24"/>
                <w:lang w:eastAsia="ar-SA"/>
              </w:rPr>
            </w:pPr>
            <w:r w:rsidRPr="00124D89">
              <w:rPr>
                <w:rFonts w:cs="Calibri"/>
                <w:i/>
                <w:sz w:val="24"/>
                <w:szCs w:val="24"/>
                <w:lang w:eastAsia="ar-SA"/>
              </w:rPr>
              <w:t xml:space="preserve">Количество пациентов </w:t>
            </w:r>
          </w:p>
        </w:tc>
      </w:tr>
      <w:tr w:rsidR="00286780" w:rsidRPr="00124D89" w:rsidTr="00874414">
        <w:trPr>
          <w:trHeight w:val="227"/>
          <w:jc w:val="center"/>
        </w:trPr>
        <w:tc>
          <w:tcPr>
            <w:tcW w:w="4536" w:type="dxa"/>
            <w:vMerge/>
            <w:tcBorders>
              <w:top w:val="single" w:sz="4" w:space="0" w:color="000000"/>
              <w:left w:val="single" w:sz="4" w:space="0" w:color="000000"/>
              <w:bottom w:val="single" w:sz="4" w:space="0" w:color="000000"/>
            </w:tcBorders>
          </w:tcPr>
          <w:p w:rsidR="00286780" w:rsidRPr="00124D89" w:rsidRDefault="00286780" w:rsidP="00124D89">
            <w:pPr>
              <w:snapToGrid w:val="0"/>
              <w:jc w:val="both"/>
              <w:rPr>
                <w:rFonts w:cs="Calibri"/>
                <w:sz w:val="24"/>
                <w:szCs w:val="24"/>
                <w:lang w:eastAsia="ar-SA"/>
              </w:rPr>
            </w:pPr>
          </w:p>
        </w:tc>
        <w:tc>
          <w:tcPr>
            <w:tcW w:w="2552" w:type="dxa"/>
            <w:tcBorders>
              <w:top w:val="single" w:sz="4" w:space="0" w:color="000000"/>
              <w:left w:val="single" w:sz="4" w:space="0" w:color="000000"/>
              <w:bottom w:val="single" w:sz="4" w:space="0" w:color="000000"/>
            </w:tcBorders>
          </w:tcPr>
          <w:p w:rsidR="00286780" w:rsidRPr="00124D89" w:rsidRDefault="005B5AF5" w:rsidP="00124D89">
            <w:pPr>
              <w:snapToGrid w:val="0"/>
              <w:jc w:val="center"/>
              <w:rPr>
                <w:rFonts w:cs="Calibri"/>
                <w:sz w:val="24"/>
                <w:szCs w:val="24"/>
                <w:lang w:eastAsia="ar-SA"/>
              </w:rPr>
            </w:pPr>
            <w:r w:rsidRPr="00124D89">
              <w:rPr>
                <w:rFonts w:cs="Calibri"/>
                <w:sz w:val="24"/>
                <w:szCs w:val="24"/>
                <w:lang w:eastAsia="ar-SA"/>
              </w:rPr>
              <w:t>А</w:t>
            </w:r>
            <w:r w:rsidR="00286780" w:rsidRPr="00124D89">
              <w:rPr>
                <w:rFonts w:cs="Calibri"/>
                <w:sz w:val="24"/>
                <w:szCs w:val="24"/>
                <w:lang w:eastAsia="ar-SA"/>
              </w:rPr>
              <w:t>бсолютное</w:t>
            </w:r>
          </w:p>
        </w:tc>
        <w:tc>
          <w:tcPr>
            <w:tcW w:w="2835" w:type="dxa"/>
            <w:tcBorders>
              <w:top w:val="single" w:sz="4" w:space="0" w:color="000000"/>
              <w:left w:val="single" w:sz="4" w:space="0" w:color="000000"/>
              <w:bottom w:val="single" w:sz="4" w:space="0" w:color="000000"/>
              <w:right w:val="single" w:sz="4" w:space="0" w:color="000000"/>
            </w:tcBorders>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r>
      <w:tr w:rsidR="00286780" w:rsidRPr="00124D89" w:rsidTr="00BF4BF3">
        <w:trPr>
          <w:trHeight w:val="397"/>
          <w:jc w:val="center"/>
        </w:trPr>
        <w:tc>
          <w:tcPr>
            <w:tcW w:w="4536"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both"/>
              <w:rPr>
                <w:rFonts w:cs="Calibri"/>
                <w:sz w:val="24"/>
                <w:szCs w:val="24"/>
                <w:lang w:val="en-US" w:eastAsia="ar-SA"/>
              </w:rPr>
            </w:pPr>
            <w:r w:rsidRPr="00124D89">
              <w:rPr>
                <w:rFonts w:cs="Calibri"/>
                <w:sz w:val="24"/>
                <w:szCs w:val="24"/>
                <w:lang w:val="en-US" w:eastAsia="ar-SA"/>
              </w:rPr>
              <w:t>S</w:t>
            </w:r>
            <w:r w:rsidRPr="00124D89">
              <w:rPr>
                <w:rFonts w:cs="Calibri"/>
                <w:sz w:val="24"/>
                <w:szCs w:val="24"/>
                <w:lang w:eastAsia="ar-SA"/>
              </w:rPr>
              <w:t xml:space="preserve">. </w:t>
            </w:r>
            <w:r w:rsidRPr="00124D89">
              <w:rPr>
                <w:rFonts w:cs="Calibri"/>
                <w:sz w:val="24"/>
                <w:szCs w:val="24"/>
                <w:lang w:val="en-US" w:eastAsia="ar-SA"/>
              </w:rPr>
              <w:t>epidermidis</w:t>
            </w:r>
          </w:p>
        </w:tc>
        <w:tc>
          <w:tcPr>
            <w:tcW w:w="2552"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val="en-US" w:eastAsia="ar-SA"/>
              </w:rPr>
            </w:pPr>
            <w:r w:rsidRPr="00124D89">
              <w:rPr>
                <w:rFonts w:cs="Calibri"/>
                <w:sz w:val="24"/>
                <w:szCs w:val="24"/>
                <w:lang w:val="en-US" w:eastAsia="ar-SA"/>
              </w:rPr>
              <w:t>8</w:t>
            </w:r>
          </w:p>
        </w:tc>
        <w:tc>
          <w:tcPr>
            <w:tcW w:w="2835" w:type="dxa"/>
            <w:tcBorders>
              <w:top w:val="single" w:sz="4" w:space="0" w:color="000000"/>
              <w:left w:val="single" w:sz="4" w:space="0" w:color="000000"/>
              <w:bottom w:val="single" w:sz="4" w:space="0" w:color="000000"/>
              <w:right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28,6</w:t>
            </w:r>
          </w:p>
        </w:tc>
      </w:tr>
      <w:tr w:rsidR="00286780" w:rsidRPr="00124D89" w:rsidTr="00BF4BF3">
        <w:trPr>
          <w:trHeight w:val="397"/>
          <w:jc w:val="center"/>
        </w:trPr>
        <w:tc>
          <w:tcPr>
            <w:tcW w:w="4536"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both"/>
              <w:rPr>
                <w:rFonts w:cs="Calibri"/>
                <w:sz w:val="24"/>
                <w:szCs w:val="24"/>
                <w:lang w:val="en-US" w:eastAsia="ar-SA"/>
              </w:rPr>
            </w:pPr>
            <w:r w:rsidRPr="00124D89">
              <w:rPr>
                <w:rFonts w:cs="Calibri"/>
                <w:sz w:val="24"/>
                <w:szCs w:val="24"/>
                <w:lang w:val="en-US" w:eastAsia="ar-SA"/>
              </w:rPr>
              <w:t xml:space="preserve">Str. </w:t>
            </w:r>
            <w:r w:rsidR="008D4644" w:rsidRPr="00124D89">
              <w:rPr>
                <w:rFonts w:cs="Calibri"/>
                <w:sz w:val="24"/>
                <w:szCs w:val="24"/>
                <w:lang w:val="en-US" w:eastAsia="ar-SA"/>
              </w:rPr>
              <w:t>P</w:t>
            </w:r>
            <w:r w:rsidRPr="00124D89">
              <w:rPr>
                <w:rFonts w:cs="Calibri"/>
                <w:sz w:val="24"/>
                <w:szCs w:val="24"/>
                <w:lang w:val="en-US" w:eastAsia="ar-SA"/>
              </w:rPr>
              <w:t>yogenes</w:t>
            </w:r>
          </w:p>
        </w:tc>
        <w:tc>
          <w:tcPr>
            <w:tcW w:w="2552"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4</w:t>
            </w:r>
          </w:p>
        </w:tc>
        <w:tc>
          <w:tcPr>
            <w:tcW w:w="2835" w:type="dxa"/>
            <w:tcBorders>
              <w:top w:val="single" w:sz="4" w:space="0" w:color="000000"/>
              <w:left w:val="single" w:sz="4" w:space="0" w:color="000000"/>
              <w:bottom w:val="single" w:sz="4" w:space="0" w:color="000000"/>
              <w:right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14,3</w:t>
            </w:r>
          </w:p>
        </w:tc>
      </w:tr>
      <w:tr w:rsidR="00286780" w:rsidRPr="00124D89" w:rsidTr="00BF4BF3">
        <w:trPr>
          <w:trHeight w:val="397"/>
          <w:jc w:val="center"/>
        </w:trPr>
        <w:tc>
          <w:tcPr>
            <w:tcW w:w="4536"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both"/>
              <w:rPr>
                <w:rFonts w:cs="Calibri"/>
                <w:sz w:val="24"/>
                <w:szCs w:val="24"/>
                <w:lang w:eastAsia="ar-SA"/>
              </w:rPr>
            </w:pPr>
            <w:r w:rsidRPr="00124D89">
              <w:rPr>
                <w:rFonts w:cs="Calibri"/>
                <w:sz w:val="24"/>
                <w:szCs w:val="24"/>
                <w:lang w:val="en-US" w:eastAsia="ar-SA"/>
              </w:rPr>
              <w:t>Ps</w:t>
            </w:r>
            <w:r w:rsidRPr="00124D89">
              <w:rPr>
                <w:rFonts w:cs="Calibri"/>
                <w:sz w:val="24"/>
                <w:szCs w:val="24"/>
                <w:lang w:eastAsia="ar-SA"/>
              </w:rPr>
              <w:t xml:space="preserve">. </w:t>
            </w:r>
            <w:r w:rsidRPr="00124D89">
              <w:rPr>
                <w:rFonts w:cs="Calibri"/>
                <w:sz w:val="24"/>
                <w:szCs w:val="24"/>
                <w:lang w:val="en-US" w:eastAsia="ar-SA"/>
              </w:rPr>
              <w:t>aeryginosae</w:t>
            </w:r>
            <w:r w:rsidRPr="00124D89">
              <w:rPr>
                <w:rFonts w:cs="Calibri"/>
                <w:sz w:val="24"/>
                <w:szCs w:val="24"/>
                <w:lang w:eastAsia="ar-SA"/>
              </w:rPr>
              <w:t>*</w:t>
            </w:r>
          </w:p>
        </w:tc>
        <w:tc>
          <w:tcPr>
            <w:tcW w:w="2552"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val="en-US" w:eastAsia="ar-SA"/>
              </w:rPr>
            </w:pPr>
            <w:r w:rsidRPr="00124D89">
              <w:rPr>
                <w:rFonts w:cs="Calibri"/>
                <w:sz w:val="24"/>
                <w:szCs w:val="24"/>
                <w:lang w:val="en-US" w:eastAsia="ar-SA"/>
              </w:rPr>
              <w:t>4</w:t>
            </w:r>
          </w:p>
        </w:tc>
        <w:tc>
          <w:tcPr>
            <w:tcW w:w="2835" w:type="dxa"/>
            <w:tcBorders>
              <w:top w:val="single" w:sz="4" w:space="0" w:color="000000"/>
              <w:left w:val="single" w:sz="4" w:space="0" w:color="000000"/>
              <w:bottom w:val="single" w:sz="4" w:space="0" w:color="000000"/>
              <w:right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14,3</w:t>
            </w:r>
          </w:p>
        </w:tc>
      </w:tr>
      <w:tr w:rsidR="00286780" w:rsidRPr="00124D89" w:rsidTr="00BF4BF3">
        <w:trPr>
          <w:trHeight w:val="397"/>
          <w:jc w:val="center"/>
        </w:trPr>
        <w:tc>
          <w:tcPr>
            <w:tcW w:w="4536"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both"/>
              <w:rPr>
                <w:rFonts w:cs="Calibri"/>
                <w:sz w:val="24"/>
                <w:szCs w:val="24"/>
                <w:lang w:eastAsia="ar-SA"/>
              </w:rPr>
            </w:pPr>
            <w:r w:rsidRPr="00124D89">
              <w:rPr>
                <w:rFonts w:cs="Calibri"/>
                <w:sz w:val="24"/>
                <w:szCs w:val="24"/>
                <w:lang w:eastAsia="ar-SA"/>
              </w:rPr>
              <w:t>Нет роста</w:t>
            </w:r>
          </w:p>
        </w:tc>
        <w:tc>
          <w:tcPr>
            <w:tcW w:w="2552"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12</w:t>
            </w:r>
          </w:p>
        </w:tc>
        <w:tc>
          <w:tcPr>
            <w:tcW w:w="2835" w:type="dxa"/>
            <w:tcBorders>
              <w:top w:val="single" w:sz="4" w:space="0" w:color="000000"/>
              <w:left w:val="single" w:sz="4" w:space="0" w:color="000000"/>
              <w:bottom w:val="single" w:sz="4" w:space="0" w:color="000000"/>
              <w:right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42,8</w:t>
            </w:r>
          </w:p>
        </w:tc>
      </w:tr>
      <w:tr w:rsidR="00286780" w:rsidRPr="00124D89" w:rsidTr="00BF4BF3">
        <w:trPr>
          <w:trHeight w:val="397"/>
          <w:jc w:val="center"/>
        </w:trPr>
        <w:tc>
          <w:tcPr>
            <w:tcW w:w="4536"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both"/>
              <w:rPr>
                <w:rFonts w:cs="Calibri"/>
                <w:sz w:val="24"/>
                <w:szCs w:val="24"/>
                <w:lang w:eastAsia="ar-SA"/>
              </w:rPr>
            </w:pPr>
            <w:r w:rsidRPr="00124D89">
              <w:rPr>
                <w:rFonts w:cs="Calibri"/>
                <w:sz w:val="24"/>
                <w:szCs w:val="24"/>
                <w:lang w:eastAsia="ar-SA"/>
              </w:rPr>
              <w:t>Всего</w:t>
            </w:r>
          </w:p>
        </w:tc>
        <w:tc>
          <w:tcPr>
            <w:tcW w:w="2552" w:type="dxa"/>
            <w:tcBorders>
              <w:top w:val="single" w:sz="4" w:space="0" w:color="000000"/>
              <w:left w:val="single" w:sz="4" w:space="0" w:color="000000"/>
              <w:bottom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28</w:t>
            </w:r>
          </w:p>
        </w:tc>
        <w:tc>
          <w:tcPr>
            <w:tcW w:w="2835" w:type="dxa"/>
            <w:tcBorders>
              <w:top w:val="single" w:sz="4" w:space="0" w:color="000000"/>
              <w:left w:val="single" w:sz="4" w:space="0" w:color="000000"/>
              <w:bottom w:val="single" w:sz="4" w:space="0" w:color="000000"/>
              <w:right w:val="single" w:sz="4" w:space="0" w:color="000000"/>
            </w:tcBorders>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100</w:t>
            </w:r>
          </w:p>
        </w:tc>
      </w:tr>
      <w:tr w:rsidR="00286780" w:rsidRPr="00124D89" w:rsidTr="00BF4BF3">
        <w:trPr>
          <w:trHeight w:val="454"/>
          <w:jc w:val="center"/>
        </w:trPr>
        <w:tc>
          <w:tcPr>
            <w:tcW w:w="9923" w:type="dxa"/>
            <w:gridSpan w:val="3"/>
            <w:tcBorders>
              <w:top w:val="single" w:sz="4" w:space="0" w:color="000000"/>
              <w:left w:val="single" w:sz="4" w:space="0" w:color="000000"/>
              <w:bottom w:val="single" w:sz="4" w:space="0" w:color="000000"/>
              <w:right w:val="single" w:sz="4" w:space="0" w:color="000000"/>
            </w:tcBorders>
          </w:tcPr>
          <w:p w:rsidR="00286780" w:rsidRPr="00124D89" w:rsidRDefault="00286780" w:rsidP="00124D89">
            <w:pPr>
              <w:jc w:val="both"/>
              <w:rPr>
                <w:rFonts w:cs="Calibri"/>
                <w:sz w:val="24"/>
                <w:szCs w:val="24"/>
                <w:lang w:eastAsia="ar-SA"/>
              </w:rPr>
            </w:pPr>
            <w:r w:rsidRPr="00124D89">
              <w:rPr>
                <w:rFonts w:cs="Calibri"/>
                <w:i/>
                <w:sz w:val="24"/>
                <w:szCs w:val="24"/>
                <w:lang w:eastAsia="ar-SA"/>
              </w:rPr>
              <w:t>Примечание</w:t>
            </w:r>
            <w:r w:rsidRPr="00124D89">
              <w:rPr>
                <w:rFonts w:cs="Calibri"/>
                <w:sz w:val="24"/>
                <w:szCs w:val="24"/>
                <w:lang w:eastAsia="ar-SA"/>
              </w:rPr>
              <w:t xml:space="preserve">: </w:t>
            </w:r>
            <w:r w:rsidRPr="00124D89">
              <w:rPr>
                <w:rFonts w:cs="Calibri"/>
                <w:sz w:val="24"/>
                <w:szCs w:val="24"/>
                <w:lang w:val="en-US" w:eastAsia="ar-SA"/>
              </w:rPr>
              <w:t>S</w:t>
            </w:r>
            <w:r w:rsidRPr="00124D89">
              <w:rPr>
                <w:rFonts w:cs="Calibri"/>
                <w:sz w:val="24"/>
                <w:szCs w:val="24"/>
                <w:lang w:eastAsia="ar-SA"/>
              </w:rPr>
              <w:t xml:space="preserve">. – </w:t>
            </w:r>
            <w:r w:rsidRPr="00124D89">
              <w:rPr>
                <w:rFonts w:cs="Calibri"/>
                <w:sz w:val="24"/>
                <w:szCs w:val="24"/>
                <w:lang w:val="en-US" w:eastAsia="ar-SA"/>
              </w:rPr>
              <w:t>staphylococcus</w:t>
            </w:r>
            <w:r w:rsidRPr="00124D89">
              <w:rPr>
                <w:rFonts w:cs="Calibri"/>
                <w:sz w:val="24"/>
                <w:szCs w:val="24"/>
                <w:lang w:eastAsia="ar-SA"/>
              </w:rPr>
              <w:t xml:space="preserve">, </w:t>
            </w:r>
            <w:r w:rsidRPr="00124D89">
              <w:rPr>
                <w:rFonts w:cs="Calibri"/>
                <w:sz w:val="24"/>
                <w:szCs w:val="24"/>
                <w:lang w:val="en-US" w:eastAsia="ar-SA"/>
              </w:rPr>
              <w:t>Str</w:t>
            </w:r>
            <w:r w:rsidRPr="00124D89">
              <w:rPr>
                <w:rFonts w:cs="Calibri"/>
                <w:sz w:val="24"/>
                <w:szCs w:val="24"/>
                <w:lang w:eastAsia="ar-SA"/>
              </w:rPr>
              <w:t xml:space="preserve">. – </w:t>
            </w:r>
            <w:r w:rsidRPr="00124D89">
              <w:rPr>
                <w:rFonts w:cs="Calibri"/>
                <w:sz w:val="24"/>
                <w:szCs w:val="24"/>
                <w:lang w:val="en-US" w:eastAsia="ar-SA"/>
              </w:rPr>
              <w:t>streptococcus</w:t>
            </w:r>
            <w:r w:rsidRPr="00124D89">
              <w:rPr>
                <w:rFonts w:cs="Calibri"/>
                <w:sz w:val="24"/>
                <w:szCs w:val="24"/>
                <w:lang w:eastAsia="ar-SA"/>
              </w:rPr>
              <w:t>; * – определяется через 7–10 суток от начала лечения</w:t>
            </w:r>
          </w:p>
        </w:tc>
      </w:tr>
    </w:tbl>
    <w:p w:rsidR="00286780" w:rsidRDefault="00286780" w:rsidP="00124D89">
      <w:pPr>
        <w:spacing w:line="360" w:lineRule="auto"/>
        <w:ind w:firstLine="709"/>
        <w:jc w:val="both"/>
        <w:rPr>
          <w:rFonts w:cs="Calibri"/>
          <w:spacing w:val="-4"/>
          <w:sz w:val="28"/>
          <w:szCs w:val="28"/>
          <w:lang w:eastAsia="ar-SA"/>
        </w:rPr>
      </w:pPr>
    </w:p>
    <w:p w:rsidR="00286780" w:rsidRDefault="00286780" w:rsidP="003A7142">
      <w:pPr>
        <w:spacing w:line="360" w:lineRule="auto"/>
        <w:ind w:firstLine="709"/>
        <w:jc w:val="both"/>
        <w:rPr>
          <w:rFonts w:cs="Calibri"/>
          <w:spacing w:val="-4"/>
          <w:sz w:val="28"/>
          <w:szCs w:val="28"/>
          <w:lang w:eastAsia="ar-SA"/>
        </w:rPr>
      </w:pPr>
      <w:r w:rsidRPr="003A7142">
        <w:rPr>
          <w:rFonts w:cs="Calibri"/>
          <w:spacing w:val="-4"/>
          <w:sz w:val="28"/>
          <w:szCs w:val="28"/>
          <w:lang w:eastAsia="ar-SA"/>
        </w:rPr>
        <w:t>В целом, чувствительность микроорганизмов первичных гнойных очагов у пациентов с ОС и полиорганной фоновой патологией в настоящем исследовании соот</w:t>
      </w:r>
      <w:r w:rsidRPr="003A7142">
        <w:rPr>
          <w:rFonts w:cs="Calibri"/>
          <w:spacing w:val="-4"/>
          <w:sz w:val="28"/>
          <w:szCs w:val="28"/>
          <w:lang w:eastAsia="ar-SA"/>
        </w:rPr>
        <w:lastRenderedPageBreak/>
        <w:t>ветствует данным литературы об аналогичных показателях у больных с одонтогенным сепсисом в целом.</w:t>
      </w:r>
    </w:p>
    <w:p w:rsidR="00286780" w:rsidRPr="00124D89" w:rsidRDefault="00286780" w:rsidP="00124D89">
      <w:pPr>
        <w:spacing w:line="360" w:lineRule="auto"/>
        <w:ind w:firstLine="709"/>
        <w:jc w:val="both"/>
        <w:rPr>
          <w:rFonts w:cs="Calibri"/>
          <w:sz w:val="28"/>
          <w:szCs w:val="28"/>
          <w:lang w:eastAsia="ar-SA"/>
        </w:rPr>
      </w:pPr>
      <w:r w:rsidRPr="00BF4BF3">
        <w:rPr>
          <w:rFonts w:cs="Calibri"/>
          <w:sz w:val="28"/>
          <w:szCs w:val="28"/>
          <w:lang w:eastAsia="ar-SA"/>
        </w:rPr>
        <w:t>Чувствительность идентифицированных микроорганизмов гемокультур к различным антибиотикам пред</w:t>
      </w:r>
      <w:r>
        <w:rPr>
          <w:rFonts w:cs="Calibri"/>
          <w:sz w:val="28"/>
          <w:szCs w:val="28"/>
          <w:lang w:eastAsia="ar-SA"/>
        </w:rPr>
        <w:t>ставлена в Таблице 53</w:t>
      </w:r>
      <w:r w:rsidRPr="00BF4BF3">
        <w:rPr>
          <w:rFonts w:cs="Calibri"/>
          <w:sz w:val="28"/>
          <w:szCs w:val="28"/>
          <w:lang w:eastAsia="ar-SA"/>
        </w:rPr>
        <w:t>.</w:t>
      </w:r>
    </w:p>
    <w:p w:rsidR="00286780" w:rsidRPr="00124D89" w:rsidRDefault="00286780" w:rsidP="00124D89">
      <w:pPr>
        <w:rPr>
          <w:b/>
          <w:sz w:val="28"/>
          <w:szCs w:val="28"/>
        </w:rPr>
      </w:pPr>
    </w:p>
    <w:p w:rsidR="00286780" w:rsidRPr="00124D89" w:rsidRDefault="00286780" w:rsidP="00124D89">
      <w:pPr>
        <w:spacing w:after="120"/>
        <w:jc w:val="both"/>
        <w:rPr>
          <w:sz w:val="28"/>
          <w:szCs w:val="28"/>
        </w:rPr>
      </w:pPr>
      <w:r w:rsidRPr="00124D89">
        <w:rPr>
          <w:b/>
          <w:sz w:val="28"/>
          <w:szCs w:val="28"/>
        </w:rPr>
        <w:t>Таблица 5</w:t>
      </w:r>
      <w:r>
        <w:rPr>
          <w:b/>
          <w:sz w:val="28"/>
          <w:szCs w:val="28"/>
        </w:rPr>
        <w:t>3</w:t>
      </w:r>
      <w:r w:rsidRPr="00124D89">
        <w:rPr>
          <w:sz w:val="28"/>
          <w:szCs w:val="28"/>
        </w:rPr>
        <w:t xml:space="preserve"> – Активность антибактериальных препаратов у пациентов с ОС и полиорганными полиморбидными заболеваниями (гемокультуры)</w:t>
      </w:r>
    </w:p>
    <w:tbl>
      <w:tblPr>
        <w:tblW w:w="9923" w:type="dxa"/>
        <w:tblLayout w:type="fixed"/>
        <w:tblLook w:val="0000" w:firstRow="0" w:lastRow="0" w:firstColumn="0" w:lastColumn="0" w:noHBand="0" w:noVBand="0"/>
      </w:tblPr>
      <w:tblGrid>
        <w:gridCol w:w="2282"/>
        <w:gridCol w:w="545"/>
        <w:gridCol w:w="545"/>
        <w:gridCol w:w="545"/>
        <w:gridCol w:w="546"/>
        <w:gridCol w:w="546"/>
        <w:gridCol w:w="546"/>
        <w:gridCol w:w="546"/>
        <w:gridCol w:w="546"/>
        <w:gridCol w:w="546"/>
        <w:gridCol w:w="546"/>
        <w:gridCol w:w="546"/>
        <w:gridCol w:w="546"/>
        <w:gridCol w:w="546"/>
        <w:gridCol w:w="546"/>
      </w:tblGrid>
      <w:tr w:rsidR="00286780" w:rsidRPr="00124D89" w:rsidTr="00874414">
        <w:trPr>
          <w:trHeight w:val="360"/>
        </w:trPr>
        <w:tc>
          <w:tcPr>
            <w:tcW w:w="2282" w:type="dxa"/>
            <w:vMerge w:val="restart"/>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E054CC">
            <w:pPr>
              <w:snapToGrid w:val="0"/>
              <w:jc w:val="center"/>
              <w:rPr>
                <w:rFonts w:cs="Calibri"/>
                <w:i/>
                <w:sz w:val="24"/>
                <w:szCs w:val="24"/>
                <w:lang w:eastAsia="ar-SA"/>
              </w:rPr>
            </w:pPr>
            <w:r w:rsidRPr="00124D89">
              <w:rPr>
                <w:rFonts w:cs="Calibri"/>
                <w:i/>
                <w:sz w:val="24"/>
                <w:szCs w:val="24"/>
                <w:lang w:eastAsia="ar-SA"/>
              </w:rPr>
              <w:t>Микроорганизм</w:t>
            </w:r>
            <w:r>
              <w:rPr>
                <w:rFonts w:cs="Calibri"/>
                <w:i/>
                <w:sz w:val="24"/>
                <w:szCs w:val="24"/>
                <w:lang w:eastAsia="ar-SA"/>
              </w:rPr>
              <w:br/>
            </w:r>
            <w:r w:rsidRPr="00124D89">
              <w:rPr>
                <w:rFonts w:cs="Calibri"/>
                <w:i/>
                <w:sz w:val="24"/>
                <w:szCs w:val="24"/>
                <w:lang w:eastAsia="ar-SA"/>
              </w:rPr>
              <w:t>(всего штаммов)</w:t>
            </w:r>
          </w:p>
        </w:tc>
        <w:tc>
          <w:tcPr>
            <w:tcW w:w="7641" w:type="dxa"/>
            <w:gridSpan w:val="14"/>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i/>
                <w:sz w:val="24"/>
                <w:szCs w:val="24"/>
                <w:lang w:eastAsia="ar-SA"/>
              </w:rPr>
            </w:pPr>
            <w:r w:rsidRPr="00124D89">
              <w:rPr>
                <w:rFonts w:cs="Calibri"/>
                <w:i/>
                <w:sz w:val="24"/>
                <w:szCs w:val="24"/>
                <w:lang w:eastAsia="ar-SA"/>
              </w:rPr>
              <w:t xml:space="preserve">Количество чувствительных штаммов </w:t>
            </w:r>
          </w:p>
        </w:tc>
      </w:tr>
      <w:tr w:rsidR="00286780" w:rsidRPr="00124D89" w:rsidTr="00874414">
        <w:trPr>
          <w:trHeight w:val="520"/>
        </w:trPr>
        <w:tc>
          <w:tcPr>
            <w:tcW w:w="2282" w:type="dxa"/>
            <w:vMerge/>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p>
        </w:tc>
        <w:tc>
          <w:tcPr>
            <w:tcW w:w="2181" w:type="dxa"/>
            <w:gridSpan w:val="4"/>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Пенициллины</w:t>
            </w:r>
          </w:p>
        </w:tc>
        <w:tc>
          <w:tcPr>
            <w:tcW w:w="546" w:type="dxa"/>
            <w:vMerge w:val="restart"/>
            <w:tcBorders>
              <w:top w:val="single" w:sz="4" w:space="0" w:color="000000"/>
              <w:left w:val="single" w:sz="4" w:space="0" w:color="000000"/>
              <w:bottom w:val="single" w:sz="4" w:space="0" w:color="000000"/>
            </w:tcBorders>
            <w:tcMar>
              <w:left w:w="28" w:type="dxa"/>
              <w:right w:w="28" w:type="dxa"/>
            </w:tcMar>
            <w:textDirection w:val="btLr"/>
            <w:vAlign w:val="center"/>
          </w:tcPr>
          <w:p w:rsidR="00286780" w:rsidRPr="00124D89" w:rsidRDefault="00286780" w:rsidP="00124D89">
            <w:pPr>
              <w:snapToGrid w:val="0"/>
              <w:ind w:left="113" w:right="113"/>
              <w:rPr>
                <w:rFonts w:cs="Calibri"/>
                <w:sz w:val="24"/>
                <w:szCs w:val="24"/>
                <w:lang w:eastAsia="ar-SA"/>
              </w:rPr>
            </w:pPr>
            <w:r w:rsidRPr="00124D89">
              <w:rPr>
                <w:rFonts w:cs="Calibri"/>
                <w:sz w:val="24"/>
                <w:szCs w:val="24"/>
                <w:lang w:eastAsia="ar-SA"/>
              </w:rPr>
              <w:t>Ципрофлоксацин</w:t>
            </w:r>
          </w:p>
        </w:tc>
        <w:tc>
          <w:tcPr>
            <w:tcW w:w="546" w:type="dxa"/>
            <w:vMerge w:val="restart"/>
            <w:tcBorders>
              <w:top w:val="single" w:sz="4" w:space="0" w:color="000000"/>
              <w:left w:val="single" w:sz="4" w:space="0" w:color="000000"/>
              <w:bottom w:val="single" w:sz="4" w:space="0" w:color="000000"/>
            </w:tcBorders>
            <w:tcMar>
              <w:left w:w="28" w:type="dxa"/>
              <w:right w:w="28" w:type="dxa"/>
            </w:tcMar>
            <w:textDirection w:val="btLr"/>
            <w:vAlign w:val="center"/>
          </w:tcPr>
          <w:p w:rsidR="00286780" w:rsidRPr="00124D89" w:rsidRDefault="00286780" w:rsidP="00124D89">
            <w:pPr>
              <w:snapToGrid w:val="0"/>
              <w:ind w:left="113" w:right="113"/>
              <w:rPr>
                <w:rFonts w:cs="Calibri"/>
                <w:sz w:val="24"/>
                <w:szCs w:val="24"/>
                <w:lang w:eastAsia="ar-SA"/>
              </w:rPr>
            </w:pPr>
            <w:r w:rsidRPr="00124D89">
              <w:rPr>
                <w:rFonts w:cs="Calibri"/>
                <w:sz w:val="24"/>
                <w:szCs w:val="24"/>
                <w:lang w:eastAsia="ar-SA"/>
              </w:rPr>
              <w:t>Офлоксацин</w:t>
            </w:r>
          </w:p>
        </w:tc>
        <w:tc>
          <w:tcPr>
            <w:tcW w:w="546" w:type="dxa"/>
            <w:vMerge w:val="restart"/>
            <w:tcBorders>
              <w:top w:val="single" w:sz="4" w:space="0" w:color="000000"/>
              <w:left w:val="single" w:sz="4" w:space="0" w:color="000000"/>
              <w:bottom w:val="single" w:sz="4" w:space="0" w:color="000000"/>
            </w:tcBorders>
            <w:tcMar>
              <w:left w:w="28" w:type="dxa"/>
              <w:right w:w="28" w:type="dxa"/>
            </w:tcMar>
            <w:textDirection w:val="btLr"/>
            <w:vAlign w:val="center"/>
          </w:tcPr>
          <w:p w:rsidR="00286780" w:rsidRPr="00124D89" w:rsidRDefault="00286780" w:rsidP="00124D89">
            <w:pPr>
              <w:snapToGrid w:val="0"/>
              <w:ind w:left="113" w:right="113"/>
              <w:rPr>
                <w:rFonts w:cs="Calibri"/>
                <w:sz w:val="24"/>
                <w:szCs w:val="24"/>
                <w:lang w:eastAsia="ar-SA"/>
              </w:rPr>
            </w:pPr>
            <w:r w:rsidRPr="00124D89">
              <w:rPr>
                <w:rFonts w:cs="Calibri"/>
                <w:sz w:val="24"/>
                <w:szCs w:val="24"/>
                <w:lang w:eastAsia="ar-SA"/>
              </w:rPr>
              <w:t>Цефотаксим</w:t>
            </w:r>
          </w:p>
        </w:tc>
        <w:tc>
          <w:tcPr>
            <w:tcW w:w="546" w:type="dxa"/>
            <w:vMerge w:val="restart"/>
            <w:tcBorders>
              <w:top w:val="single" w:sz="4" w:space="0" w:color="000000"/>
              <w:left w:val="single" w:sz="4" w:space="0" w:color="000000"/>
              <w:bottom w:val="single" w:sz="4" w:space="0" w:color="000000"/>
            </w:tcBorders>
            <w:tcMar>
              <w:left w:w="28" w:type="dxa"/>
              <w:right w:w="28" w:type="dxa"/>
            </w:tcMar>
            <w:textDirection w:val="btLr"/>
            <w:vAlign w:val="center"/>
          </w:tcPr>
          <w:p w:rsidR="00286780" w:rsidRPr="00124D89" w:rsidRDefault="00286780" w:rsidP="00124D89">
            <w:pPr>
              <w:snapToGrid w:val="0"/>
              <w:ind w:left="113" w:right="113"/>
              <w:rPr>
                <w:rFonts w:cs="Calibri"/>
                <w:sz w:val="24"/>
                <w:szCs w:val="24"/>
                <w:lang w:eastAsia="ar-SA"/>
              </w:rPr>
            </w:pPr>
            <w:r w:rsidRPr="00124D89">
              <w:rPr>
                <w:rFonts w:cs="Calibri"/>
                <w:sz w:val="24"/>
                <w:szCs w:val="24"/>
                <w:lang w:eastAsia="ar-SA"/>
              </w:rPr>
              <w:t>Эритромицин</w:t>
            </w:r>
          </w:p>
        </w:tc>
        <w:tc>
          <w:tcPr>
            <w:tcW w:w="546" w:type="dxa"/>
            <w:vMerge w:val="restart"/>
            <w:tcBorders>
              <w:top w:val="single" w:sz="4" w:space="0" w:color="000000"/>
              <w:left w:val="single" w:sz="4" w:space="0" w:color="000000"/>
            </w:tcBorders>
            <w:tcMar>
              <w:left w:w="28" w:type="dxa"/>
              <w:right w:w="28" w:type="dxa"/>
            </w:tcMar>
            <w:textDirection w:val="btLr"/>
            <w:vAlign w:val="center"/>
          </w:tcPr>
          <w:p w:rsidR="00286780" w:rsidRPr="00124D89" w:rsidRDefault="00286780" w:rsidP="00124D89">
            <w:pPr>
              <w:snapToGrid w:val="0"/>
              <w:ind w:left="113" w:right="113"/>
              <w:rPr>
                <w:rFonts w:cs="Calibri"/>
                <w:sz w:val="24"/>
                <w:szCs w:val="24"/>
                <w:lang w:eastAsia="ar-SA"/>
              </w:rPr>
            </w:pPr>
            <w:r w:rsidRPr="00124D89">
              <w:rPr>
                <w:rFonts w:cs="Calibri"/>
                <w:sz w:val="24"/>
                <w:szCs w:val="24"/>
                <w:lang w:eastAsia="ar-SA"/>
              </w:rPr>
              <w:t>Ванкомицин</w:t>
            </w:r>
          </w:p>
        </w:tc>
        <w:tc>
          <w:tcPr>
            <w:tcW w:w="546" w:type="dxa"/>
            <w:vMerge w:val="restart"/>
            <w:tcBorders>
              <w:top w:val="single" w:sz="4" w:space="0" w:color="000000"/>
              <w:left w:val="single" w:sz="4" w:space="0" w:color="000000"/>
            </w:tcBorders>
            <w:tcMar>
              <w:left w:w="28" w:type="dxa"/>
              <w:right w:w="28" w:type="dxa"/>
            </w:tcMar>
            <w:textDirection w:val="btLr"/>
            <w:vAlign w:val="center"/>
          </w:tcPr>
          <w:p w:rsidR="00286780" w:rsidRPr="00124D89" w:rsidRDefault="00286780" w:rsidP="00124D89">
            <w:pPr>
              <w:snapToGrid w:val="0"/>
              <w:ind w:left="113" w:right="113"/>
              <w:rPr>
                <w:rFonts w:cs="Calibri"/>
                <w:sz w:val="24"/>
                <w:szCs w:val="24"/>
                <w:lang w:eastAsia="ar-SA"/>
              </w:rPr>
            </w:pPr>
            <w:r w:rsidRPr="00124D89">
              <w:rPr>
                <w:rFonts w:cs="Calibri"/>
                <w:sz w:val="24"/>
                <w:szCs w:val="24"/>
                <w:lang w:eastAsia="ar-SA"/>
              </w:rPr>
              <w:t>Линезолид</w:t>
            </w:r>
          </w:p>
        </w:tc>
        <w:tc>
          <w:tcPr>
            <w:tcW w:w="546" w:type="dxa"/>
            <w:vMerge w:val="restart"/>
            <w:tcBorders>
              <w:top w:val="single" w:sz="4" w:space="0" w:color="000000"/>
              <w:left w:val="single" w:sz="4" w:space="0" w:color="000000"/>
            </w:tcBorders>
            <w:tcMar>
              <w:left w:w="28" w:type="dxa"/>
              <w:right w:w="28" w:type="dxa"/>
            </w:tcMar>
            <w:textDirection w:val="btLr"/>
            <w:vAlign w:val="center"/>
          </w:tcPr>
          <w:p w:rsidR="00286780" w:rsidRPr="00124D89" w:rsidRDefault="00286780" w:rsidP="00124D89">
            <w:pPr>
              <w:snapToGrid w:val="0"/>
              <w:ind w:left="113" w:right="113"/>
              <w:rPr>
                <w:rFonts w:cs="Calibri"/>
                <w:sz w:val="24"/>
                <w:szCs w:val="24"/>
                <w:lang w:eastAsia="ar-SA"/>
              </w:rPr>
            </w:pPr>
            <w:r w:rsidRPr="00124D89">
              <w:rPr>
                <w:rFonts w:cs="Calibri"/>
                <w:sz w:val="24"/>
                <w:szCs w:val="24"/>
                <w:lang w:eastAsia="ar-SA"/>
              </w:rPr>
              <w:t>Гентамицин</w:t>
            </w:r>
          </w:p>
        </w:tc>
        <w:tc>
          <w:tcPr>
            <w:tcW w:w="546" w:type="dxa"/>
            <w:vMerge w:val="restart"/>
            <w:tcBorders>
              <w:top w:val="single" w:sz="4" w:space="0" w:color="000000"/>
              <w:left w:val="single" w:sz="4" w:space="0" w:color="000000"/>
            </w:tcBorders>
            <w:tcMar>
              <w:left w:w="28" w:type="dxa"/>
              <w:right w:w="28" w:type="dxa"/>
            </w:tcMar>
            <w:textDirection w:val="btLr"/>
            <w:vAlign w:val="center"/>
          </w:tcPr>
          <w:p w:rsidR="00286780" w:rsidRPr="00124D89" w:rsidRDefault="00286780" w:rsidP="00124D89">
            <w:pPr>
              <w:snapToGrid w:val="0"/>
              <w:ind w:left="113" w:right="113"/>
              <w:rPr>
                <w:rFonts w:cs="Calibri"/>
                <w:sz w:val="24"/>
                <w:szCs w:val="24"/>
                <w:lang w:eastAsia="ar-SA"/>
              </w:rPr>
            </w:pPr>
            <w:r w:rsidRPr="00124D89">
              <w:rPr>
                <w:rFonts w:cs="Calibri"/>
                <w:sz w:val="24"/>
                <w:szCs w:val="24"/>
                <w:lang w:eastAsia="ar-SA"/>
              </w:rPr>
              <w:t>Амикацин</w:t>
            </w:r>
          </w:p>
        </w:tc>
        <w:tc>
          <w:tcPr>
            <w:tcW w:w="546" w:type="dxa"/>
            <w:vMerge w:val="restart"/>
            <w:tcBorders>
              <w:top w:val="single" w:sz="4" w:space="0" w:color="000000"/>
              <w:left w:val="single" w:sz="4" w:space="0" w:color="000000"/>
            </w:tcBorders>
            <w:tcMar>
              <w:left w:w="28" w:type="dxa"/>
              <w:right w:w="28" w:type="dxa"/>
            </w:tcMar>
            <w:textDirection w:val="btLr"/>
            <w:vAlign w:val="center"/>
          </w:tcPr>
          <w:p w:rsidR="00286780" w:rsidRPr="00124D89" w:rsidRDefault="00286780" w:rsidP="00124D89">
            <w:pPr>
              <w:snapToGrid w:val="0"/>
              <w:ind w:left="113" w:right="113"/>
              <w:rPr>
                <w:rFonts w:cs="Calibri"/>
                <w:sz w:val="24"/>
                <w:szCs w:val="24"/>
                <w:lang w:eastAsia="ar-SA"/>
              </w:rPr>
            </w:pPr>
            <w:r w:rsidRPr="00124D89">
              <w:rPr>
                <w:rFonts w:cs="Calibri"/>
                <w:sz w:val="24"/>
                <w:szCs w:val="24"/>
                <w:lang w:eastAsia="ar-SA"/>
              </w:rPr>
              <w:t>Цефоперазон/цефтазидим</w:t>
            </w:r>
          </w:p>
        </w:tc>
        <w:tc>
          <w:tcPr>
            <w:tcW w:w="546" w:type="dxa"/>
            <w:vMerge w:val="restart"/>
            <w:tcBorders>
              <w:top w:val="single" w:sz="4" w:space="0" w:color="000000"/>
              <w:left w:val="single" w:sz="4" w:space="0" w:color="000000"/>
              <w:right w:val="single" w:sz="4" w:space="0" w:color="auto"/>
            </w:tcBorders>
            <w:tcMar>
              <w:left w:w="28" w:type="dxa"/>
              <w:right w:w="28" w:type="dxa"/>
            </w:tcMar>
            <w:textDirection w:val="btLr"/>
            <w:vAlign w:val="center"/>
          </w:tcPr>
          <w:p w:rsidR="00286780" w:rsidRPr="00124D89" w:rsidRDefault="00286780" w:rsidP="00124D89">
            <w:pPr>
              <w:snapToGrid w:val="0"/>
              <w:ind w:left="113" w:right="113"/>
              <w:rPr>
                <w:rFonts w:cs="Calibri"/>
                <w:sz w:val="24"/>
                <w:szCs w:val="24"/>
                <w:lang w:eastAsia="ar-SA"/>
              </w:rPr>
            </w:pPr>
            <w:r w:rsidRPr="00124D89">
              <w:rPr>
                <w:rFonts w:cs="Calibri"/>
                <w:sz w:val="24"/>
                <w:szCs w:val="24"/>
                <w:lang w:eastAsia="ar-SA"/>
              </w:rPr>
              <w:t>Меропенем</w:t>
            </w:r>
          </w:p>
        </w:tc>
      </w:tr>
      <w:tr w:rsidR="00286780" w:rsidRPr="00124D89" w:rsidTr="00E054CC">
        <w:trPr>
          <w:cantSplit/>
          <w:trHeight w:val="2713"/>
        </w:trPr>
        <w:tc>
          <w:tcPr>
            <w:tcW w:w="2282" w:type="dxa"/>
            <w:vMerge/>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both"/>
              <w:rPr>
                <w:rFonts w:cs="Calibri"/>
                <w:sz w:val="24"/>
                <w:szCs w:val="24"/>
                <w:lang w:eastAsia="ar-SA"/>
              </w:rPr>
            </w:pPr>
          </w:p>
        </w:tc>
        <w:tc>
          <w:tcPr>
            <w:tcW w:w="545" w:type="dxa"/>
            <w:tcBorders>
              <w:top w:val="single" w:sz="4" w:space="0" w:color="000000"/>
              <w:left w:val="single" w:sz="4" w:space="0" w:color="000000"/>
              <w:bottom w:val="single" w:sz="4" w:space="0" w:color="000000"/>
            </w:tcBorders>
            <w:tcMar>
              <w:left w:w="28" w:type="dxa"/>
              <w:right w:w="28" w:type="dxa"/>
            </w:tcMar>
            <w:textDirection w:val="btLr"/>
            <w:vAlign w:val="center"/>
          </w:tcPr>
          <w:p w:rsidR="00286780" w:rsidRPr="00124D89" w:rsidRDefault="00286780" w:rsidP="00124D89">
            <w:pPr>
              <w:snapToGrid w:val="0"/>
              <w:ind w:left="113" w:right="113"/>
              <w:jc w:val="both"/>
              <w:rPr>
                <w:rFonts w:cs="Calibri"/>
                <w:sz w:val="24"/>
                <w:szCs w:val="24"/>
                <w:lang w:eastAsia="ar-SA"/>
              </w:rPr>
            </w:pPr>
            <w:r w:rsidRPr="00124D89">
              <w:rPr>
                <w:rFonts w:cs="Calibri"/>
                <w:sz w:val="24"/>
                <w:szCs w:val="24"/>
                <w:lang w:eastAsia="ar-SA"/>
              </w:rPr>
              <w:t>Природные</w:t>
            </w:r>
          </w:p>
        </w:tc>
        <w:tc>
          <w:tcPr>
            <w:tcW w:w="545" w:type="dxa"/>
            <w:tcBorders>
              <w:top w:val="single" w:sz="4" w:space="0" w:color="000000"/>
              <w:left w:val="single" w:sz="4" w:space="0" w:color="000000"/>
              <w:bottom w:val="single" w:sz="4" w:space="0" w:color="000000"/>
            </w:tcBorders>
            <w:tcMar>
              <w:left w:w="28" w:type="dxa"/>
              <w:right w:w="28" w:type="dxa"/>
            </w:tcMar>
            <w:textDirection w:val="btLr"/>
            <w:vAlign w:val="center"/>
          </w:tcPr>
          <w:p w:rsidR="00286780" w:rsidRPr="00124D89" w:rsidRDefault="00286780" w:rsidP="00124D89">
            <w:pPr>
              <w:snapToGrid w:val="0"/>
              <w:ind w:left="113" w:right="113"/>
              <w:jc w:val="both"/>
              <w:rPr>
                <w:rFonts w:cs="Calibri"/>
                <w:sz w:val="24"/>
                <w:szCs w:val="24"/>
                <w:lang w:eastAsia="ar-SA"/>
              </w:rPr>
            </w:pPr>
            <w:r w:rsidRPr="00124D89">
              <w:rPr>
                <w:rFonts w:cs="Calibri"/>
                <w:sz w:val="24"/>
                <w:szCs w:val="24"/>
                <w:lang w:eastAsia="ar-SA"/>
              </w:rPr>
              <w:t>Антистафилококковые</w:t>
            </w:r>
          </w:p>
        </w:tc>
        <w:tc>
          <w:tcPr>
            <w:tcW w:w="545" w:type="dxa"/>
            <w:tcBorders>
              <w:top w:val="single" w:sz="4" w:space="0" w:color="000000"/>
              <w:left w:val="single" w:sz="4" w:space="0" w:color="000000"/>
              <w:bottom w:val="single" w:sz="4" w:space="0" w:color="000000"/>
            </w:tcBorders>
            <w:tcMar>
              <w:left w:w="28" w:type="dxa"/>
              <w:right w:w="28" w:type="dxa"/>
            </w:tcMar>
            <w:textDirection w:val="btLr"/>
            <w:vAlign w:val="center"/>
          </w:tcPr>
          <w:p w:rsidR="00286780" w:rsidRPr="00124D89" w:rsidRDefault="00286780" w:rsidP="00124D89">
            <w:pPr>
              <w:snapToGrid w:val="0"/>
              <w:ind w:left="113" w:right="113"/>
              <w:jc w:val="both"/>
              <w:rPr>
                <w:rFonts w:cs="Calibri"/>
                <w:sz w:val="24"/>
                <w:szCs w:val="24"/>
                <w:lang w:eastAsia="ar-SA"/>
              </w:rPr>
            </w:pPr>
            <w:r w:rsidRPr="00124D89">
              <w:rPr>
                <w:rFonts w:cs="Calibri"/>
                <w:sz w:val="24"/>
                <w:szCs w:val="24"/>
                <w:lang w:eastAsia="ar-SA"/>
              </w:rPr>
              <w:t>Расширенного спектра</w:t>
            </w:r>
          </w:p>
        </w:tc>
        <w:tc>
          <w:tcPr>
            <w:tcW w:w="546" w:type="dxa"/>
            <w:tcBorders>
              <w:top w:val="single" w:sz="4" w:space="0" w:color="000000"/>
              <w:left w:val="single" w:sz="4" w:space="0" w:color="000000"/>
              <w:bottom w:val="single" w:sz="4" w:space="0" w:color="000000"/>
            </w:tcBorders>
            <w:tcMar>
              <w:left w:w="28" w:type="dxa"/>
              <w:right w:w="28" w:type="dxa"/>
            </w:tcMar>
            <w:textDirection w:val="btLr"/>
            <w:vAlign w:val="center"/>
          </w:tcPr>
          <w:p w:rsidR="00286780" w:rsidRPr="00124D89" w:rsidRDefault="00286780" w:rsidP="00124D89">
            <w:pPr>
              <w:snapToGrid w:val="0"/>
              <w:ind w:left="113" w:right="113"/>
              <w:jc w:val="both"/>
              <w:rPr>
                <w:rFonts w:cs="Calibri"/>
                <w:sz w:val="24"/>
                <w:szCs w:val="24"/>
                <w:lang w:eastAsia="ar-SA"/>
              </w:rPr>
            </w:pPr>
            <w:r w:rsidRPr="00124D89">
              <w:rPr>
                <w:rFonts w:cs="Calibri"/>
                <w:sz w:val="24"/>
                <w:szCs w:val="24"/>
                <w:lang w:eastAsia="ar-SA"/>
              </w:rPr>
              <w:t>Ингибиторзащищенные</w:t>
            </w:r>
          </w:p>
        </w:tc>
        <w:tc>
          <w:tcPr>
            <w:tcW w:w="546" w:type="dxa"/>
            <w:vMerge/>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p>
        </w:tc>
        <w:tc>
          <w:tcPr>
            <w:tcW w:w="546" w:type="dxa"/>
            <w:vMerge/>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p>
        </w:tc>
        <w:tc>
          <w:tcPr>
            <w:tcW w:w="546" w:type="dxa"/>
            <w:vMerge/>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p>
        </w:tc>
        <w:tc>
          <w:tcPr>
            <w:tcW w:w="546" w:type="dxa"/>
            <w:vMerge/>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p>
        </w:tc>
        <w:tc>
          <w:tcPr>
            <w:tcW w:w="546" w:type="dxa"/>
            <w:vMerge/>
            <w:tcBorders>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p>
        </w:tc>
        <w:tc>
          <w:tcPr>
            <w:tcW w:w="546" w:type="dxa"/>
            <w:vMerge/>
            <w:tcBorders>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p>
        </w:tc>
        <w:tc>
          <w:tcPr>
            <w:tcW w:w="546" w:type="dxa"/>
            <w:vMerge/>
            <w:tcBorders>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p>
        </w:tc>
        <w:tc>
          <w:tcPr>
            <w:tcW w:w="546" w:type="dxa"/>
            <w:vMerge/>
            <w:tcBorders>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p>
        </w:tc>
        <w:tc>
          <w:tcPr>
            <w:tcW w:w="546" w:type="dxa"/>
            <w:vMerge/>
            <w:tcBorders>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p>
        </w:tc>
        <w:tc>
          <w:tcPr>
            <w:tcW w:w="546" w:type="dxa"/>
            <w:vMerge/>
            <w:tcBorders>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p>
        </w:tc>
      </w:tr>
      <w:tr w:rsidR="00286780" w:rsidRPr="00124D89" w:rsidTr="00874414">
        <w:trPr>
          <w:trHeight w:val="454"/>
        </w:trPr>
        <w:tc>
          <w:tcPr>
            <w:tcW w:w="2282"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both"/>
              <w:rPr>
                <w:rFonts w:cs="Calibri"/>
                <w:sz w:val="24"/>
                <w:szCs w:val="24"/>
                <w:lang w:eastAsia="ar-SA"/>
              </w:rPr>
            </w:pPr>
            <w:r w:rsidRPr="00124D89">
              <w:rPr>
                <w:rFonts w:cs="Calibri"/>
                <w:sz w:val="24"/>
                <w:szCs w:val="24"/>
                <w:lang w:val="en-US" w:eastAsia="ar-SA"/>
              </w:rPr>
              <w:t>S</w:t>
            </w:r>
            <w:r w:rsidRPr="00124D89">
              <w:rPr>
                <w:rFonts w:cs="Calibri"/>
                <w:sz w:val="24"/>
                <w:szCs w:val="24"/>
                <w:lang w:eastAsia="ar-SA"/>
              </w:rPr>
              <w:t xml:space="preserve">. </w:t>
            </w:r>
            <w:r w:rsidRPr="00124D89">
              <w:rPr>
                <w:rFonts w:cs="Calibri"/>
                <w:sz w:val="24"/>
                <w:szCs w:val="24"/>
                <w:lang w:val="en-US" w:eastAsia="ar-SA"/>
              </w:rPr>
              <w:t>epidermidis</w:t>
            </w:r>
            <w:r w:rsidRPr="00124D89">
              <w:rPr>
                <w:rFonts w:cs="Calibri"/>
                <w:sz w:val="24"/>
                <w:szCs w:val="24"/>
                <w:lang w:eastAsia="ar-SA"/>
              </w:rPr>
              <w:t xml:space="preserve"> (8)</w:t>
            </w:r>
          </w:p>
        </w:tc>
        <w:tc>
          <w:tcPr>
            <w:tcW w:w="54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w:t>
            </w:r>
          </w:p>
        </w:tc>
        <w:tc>
          <w:tcPr>
            <w:tcW w:w="54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w:t>
            </w:r>
          </w:p>
        </w:tc>
        <w:tc>
          <w:tcPr>
            <w:tcW w:w="54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4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4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w:t>
            </w:r>
          </w:p>
        </w:tc>
        <w:tc>
          <w:tcPr>
            <w:tcW w:w="54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w:t>
            </w:r>
          </w:p>
        </w:tc>
        <w:tc>
          <w:tcPr>
            <w:tcW w:w="54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4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w:t>
            </w:r>
          </w:p>
        </w:tc>
        <w:tc>
          <w:tcPr>
            <w:tcW w:w="54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8</w:t>
            </w:r>
          </w:p>
        </w:tc>
        <w:tc>
          <w:tcPr>
            <w:tcW w:w="54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8</w:t>
            </w:r>
          </w:p>
        </w:tc>
        <w:tc>
          <w:tcPr>
            <w:tcW w:w="54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w:t>
            </w:r>
          </w:p>
        </w:tc>
        <w:tc>
          <w:tcPr>
            <w:tcW w:w="54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4</w:t>
            </w:r>
          </w:p>
        </w:tc>
        <w:tc>
          <w:tcPr>
            <w:tcW w:w="54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8</w:t>
            </w:r>
          </w:p>
        </w:tc>
      </w:tr>
      <w:tr w:rsidR="00286780" w:rsidRPr="00124D89" w:rsidTr="00874414">
        <w:trPr>
          <w:trHeight w:val="454"/>
        </w:trPr>
        <w:tc>
          <w:tcPr>
            <w:tcW w:w="2282"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both"/>
              <w:rPr>
                <w:rFonts w:cs="Calibri"/>
                <w:sz w:val="24"/>
                <w:szCs w:val="24"/>
                <w:lang w:eastAsia="ar-SA"/>
              </w:rPr>
            </w:pPr>
            <w:r w:rsidRPr="00124D89">
              <w:rPr>
                <w:rFonts w:cs="Calibri"/>
                <w:sz w:val="24"/>
                <w:szCs w:val="24"/>
                <w:lang w:val="en-US" w:eastAsia="ar-SA"/>
              </w:rPr>
              <w:t>Str. pyogenes</w:t>
            </w:r>
            <w:r w:rsidRPr="00124D89">
              <w:rPr>
                <w:rFonts w:cs="Calibri"/>
                <w:sz w:val="24"/>
                <w:szCs w:val="24"/>
                <w:lang w:eastAsia="ar-SA"/>
              </w:rPr>
              <w:t xml:space="preserve"> (4)</w:t>
            </w:r>
          </w:p>
        </w:tc>
        <w:tc>
          <w:tcPr>
            <w:tcW w:w="54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4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w:t>
            </w:r>
          </w:p>
        </w:tc>
        <w:tc>
          <w:tcPr>
            <w:tcW w:w="54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4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4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w:t>
            </w:r>
          </w:p>
        </w:tc>
        <w:tc>
          <w:tcPr>
            <w:tcW w:w="54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4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w:t>
            </w:r>
          </w:p>
        </w:tc>
        <w:tc>
          <w:tcPr>
            <w:tcW w:w="54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4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w:t>
            </w:r>
          </w:p>
        </w:tc>
        <w:tc>
          <w:tcPr>
            <w:tcW w:w="54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4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4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w:t>
            </w:r>
          </w:p>
        </w:tc>
        <w:tc>
          <w:tcPr>
            <w:tcW w:w="54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4</w:t>
            </w:r>
          </w:p>
        </w:tc>
      </w:tr>
      <w:tr w:rsidR="00286780" w:rsidRPr="00124D89" w:rsidTr="00874414">
        <w:trPr>
          <w:trHeight w:val="454"/>
        </w:trPr>
        <w:tc>
          <w:tcPr>
            <w:tcW w:w="2282"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both"/>
              <w:rPr>
                <w:rFonts w:cs="Calibri"/>
                <w:sz w:val="24"/>
                <w:szCs w:val="24"/>
                <w:lang w:eastAsia="ar-SA"/>
              </w:rPr>
            </w:pPr>
            <w:r w:rsidRPr="00124D89">
              <w:rPr>
                <w:rFonts w:cs="Calibri"/>
                <w:sz w:val="24"/>
                <w:szCs w:val="24"/>
                <w:lang w:val="en-US" w:eastAsia="ar-SA"/>
              </w:rPr>
              <w:t>Ps</w:t>
            </w:r>
            <w:r w:rsidRPr="00124D89">
              <w:rPr>
                <w:rFonts w:cs="Calibri"/>
                <w:sz w:val="24"/>
                <w:szCs w:val="24"/>
                <w:lang w:eastAsia="ar-SA"/>
              </w:rPr>
              <w:t xml:space="preserve">. </w:t>
            </w:r>
            <w:r w:rsidRPr="00124D89">
              <w:rPr>
                <w:rFonts w:cs="Calibri"/>
                <w:sz w:val="24"/>
                <w:szCs w:val="24"/>
                <w:lang w:val="en-US" w:eastAsia="ar-SA"/>
              </w:rPr>
              <w:t>aeryginosae</w:t>
            </w:r>
            <w:r w:rsidRPr="00124D89">
              <w:rPr>
                <w:rFonts w:cs="Calibri"/>
                <w:sz w:val="24"/>
                <w:szCs w:val="24"/>
                <w:lang w:eastAsia="ar-SA"/>
              </w:rPr>
              <w:t xml:space="preserve"> (4)</w:t>
            </w:r>
          </w:p>
        </w:tc>
        <w:tc>
          <w:tcPr>
            <w:tcW w:w="54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4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4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w:t>
            </w:r>
          </w:p>
        </w:tc>
        <w:tc>
          <w:tcPr>
            <w:tcW w:w="54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w:t>
            </w:r>
          </w:p>
        </w:tc>
        <w:tc>
          <w:tcPr>
            <w:tcW w:w="54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4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w:t>
            </w:r>
          </w:p>
        </w:tc>
        <w:tc>
          <w:tcPr>
            <w:tcW w:w="54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4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4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4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w:t>
            </w:r>
          </w:p>
        </w:tc>
        <w:tc>
          <w:tcPr>
            <w:tcW w:w="54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w:t>
            </w:r>
          </w:p>
        </w:tc>
        <w:tc>
          <w:tcPr>
            <w:tcW w:w="54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w:t>
            </w:r>
          </w:p>
        </w:tc>
        <w:tc>
          <w:tcPr>
            <w:tcW w:w="546"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0/0</w:t>
            </w:r>
          </w:p>
        </w:tc>
        <w:tc>
          <w:tcPr>
            <w:tcW w:w="5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2</w:t>
            </w:r>
          </w:p>
        </w:tc>
      </w:tr>
    </w:tbl>
    <w:p w:rsidR="00286780" w:rsidRPr="00124D89" w:rsidRDefault="00286780" w:rsidP="00124D89">
      <w:pPr>
        <w:jc w:val="both"/>
        <w:rPr>
          <w:rFonts w:cs="Calibri"/>
          <w:sz w:val="24"/>
          <w:szCs w:val="24"/>
          <w:lang w:eastAsia="ar-SA"/>
        </w:rPr>
      </w:pPr>
    </w:p>
    <w:p w:rsidR="00286780" w:rsidRDefault="00286780" w:rsidP="00142F56">
      <w:pPr>
        <w:spacing w:line="360" w:lineRule="auto"/>
        <w:ind w:firstLine="709"/>
        <w:jc w:val="both"/>
        <w:rPr>
          <w:rFonts w:cs="Calibri"/>
          <w:sz w:val="28"/>
          <w:szCs w:val="28"/>
          <w:lang w:eastAsia="ar-SA"/>
        </w:rPr>
      </w:pPr>
      <w:r w:rsidRPr="00124D89">
        <w:rPr>
          <w:rFonts w:cs="Calibri"/>
          <w:sz w:val="28"/>
          <w:szCs w:val="28"/>
          <w:lang w:eastAsia="ar-SA"/>
        </w:rPr>
        <w:t xml:space="preserve">В гемокультурах преобладают стафилококки (28,6%), чувствительные к меропенему, ванкомицину и линезолиду, но устойчивые к оксациллину. Одинаково часто наблюдаются стрептококки и синегнойная палочка (по 14,3%). Стрептококки чувствительны только к меропенему, а синегнойная палочка – к полимиксину </w:t>
      </w:r>
      <w:r w:rsidRPr="00124D89">
        <w:rPr>
          <w:rFonts w:cs="Calibri"/>
          <w:sz w:val="28"/>
          <w:szCs w:val="28"/>
          <w:lang w:val="en-US" w:eastAsia="ar-SA"/>
        </w:rPr>
        <w:t>B</w:t>
      </w:r>
      <w:r w:rsidRPr="00124D89">
        <w:rPr>
          <w:rFonts w:cs="Calibri"/>
          <w:sz w:val="28"/>
          <w:szCs w:val="28"/>
          <w:lang w:eastAsia="ar-SA"/>
        </w:rPr>
        <w:t>.</w:t>
      </w:r>
    </w:p>
    <w:p w:rsidR="00286780" w:rsidRPr="00142F56" w:rsidRDefault="00286780" w:rsidP="00142F56">
      <w:pPr>
        <w:spacing w:line="360" w:lineRule="auto"/>
        <w:ind w:firstLine="709"/>
        <w:jc w:val="both"/>
        <w:rPr>
          <w:rFonts w:cs="Calibri"/>
          <w:sz w:val="28"/>
          <w:szCs w:val="28"/>
          <w:lang w:eastAsia="ar-SA"/>
        </w:rPr>
      </w:pPr>
      <w:r w:rsidRPr="00142F56">
        <w:rPr>
          <w:rFonts w:cs="Calibri"/>
          <w:sz w:val="28"/>
          <w:szCs w:val="28"/>
          <w:lang w:eastAsia="ar-SA"/>
        </w:rPr>
        <w:t>Из Таблиц 52-53 следует, что в крови у пациентов с ОС и полиорганной полиморбидной патологией определяются грамположительные и грамотрицательные микроорганизмы, обладающие множественной устойчивостью к антибиотикам.</w:t>
      </w: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Рассмотрим характеристики эффективности стационарного лечения пациентов с одонтогенным сепсисом и полиорганно</w:t>
      </w:r>
      <w:r>
        <w:rPr>
          <w:rFonts w:cs="Calibri"/>
          <w:sz w:val="28"/>
          <w:szCs w:val="28"/>
          <w:lang w:eastAsia="ar-SA"/>
        </w:rPr>
        <w:t>й фоновой патологией (Таблица 54</w:t>
      </w:r>
      <w:r w:rsidRPr="00124D89">
        <w:rPr>
          <w:rFonts w:cs="Calibri"/>
          <w:sz w:val="28"/>
          <w:szCs w:val="28"/>
          <w:lang w:eastAsia="ar-SA"/>
        </w:rPr>
        <w:t>).</w:t>
      </w:r>
    </w:p>
    <w:p w:rsidR="00286780" w:rsidRPr="00E054CC" w:rsidRDefault="00286780" w:rsidP="00124D89">
      <w:pPr>
        <w:spacing w:line="360" w:lineRule="auto"/>
        <w:ind w:firstLine="709"/>
        <w:jc w:val="both"/>
        <w:rPr>
          <w:rFonts w:cs="Calibri"/>
          <w:spacing w:val="-4"/>
          <w:sz w:val="28"/>
          <w:szCs w:val="28"/>
          <w:lang w:eastAsia="ar-SA"/>
        </w:rPr>
      </w:pPr>
      <w:r w:rsidRPr="00E054CC">
        <w:rPr>
          <w:rFonts w:cs="Calibri"/>
          <w:spacing w:val="-4"/>
          <w:sz w:val="28"/>
          <w:szCs w:val="28"/>
          <w:lang w:eastAsia="ar-SA"/>
        </w:rPr>
        <w:t>Средний койко-день у п</w:t>
      </w:r>
      <w:r w:rsidR="00747CF1">
        <w:rPr>
          <w:rFonts w:cs="Calibri"/>
          <w:spacing w:val="-4"/>
          <w:sz w:val="28"/>
          <w:szCs w:val="28"/>
          <w:lang w:eastAsia="ar-SA"/>
        </w:rPr>
        <w:t>ациентов исследуемых под</w:t>
      </w:r>
      <w:r w:rsidRPr="00E054CC">
        <w:rPr>
          <w:rFonts w:cs="Calibri"/>
          <w:spacing w:val="-4"/>
          <w:sz w:val="28"/>
          <w:szCs w:val="28"/>
          <w:lang w:eastAsia="ar-SA"/>
        </w:rPr>
        <w:t>групп статистич</w:t>
      </w:r>
      <w:r>
        <w:rPr>
          <w:rFonts w:cs="Calibri"/>
          <w:spacing w:val="-4"/>
          <w:sz w:val="28"/>
          <w:szCs w:val="28"/>
          <w:lang w:eastAsia="ar-SA"/>
        </w:rPr>
        <w:t>ески значимо не различается (р&gt;</w:t>
      </w:r>
      <w:r w:rsidRPr="00E054CC">
        <w:rPr>
          <w:rFonts w:cs="Calibri"/>
          <w:spacing w:val="-4"/>
          <w:sz w:val="28"/>
          <w:szCs w:val="28"/>
          <w:lang w:eastAsia="ar-SA"/>
        </w:rPr>
        <w:t>0,05). При поступлении пациента с распространенным гной</w:t>
      </w:r>
      <w:r w:rsidRPr="00E054CC">
        <w:rPr>
          <w:rFonts w:cs="Calibri"/>
          <w:spacing w:val="-4"/>
          <w:sz w:val="28"/>
          <w:szCs w:val="28"/>
          <w:lang w:eastAsia="ar-SA"/>
        </w:rPr>
        <w:lastRenderedPageBreak/>
        <w:t>но-воспалительным процессом и явлениями органной недостаточности в стационар, диагноз одонтогенного сепсиса установлен только у 40% больных контрольной группы, 28,5% – в основной группе, что является существенным недостатком ранней диагностики ОС, не позволяющим назначить корректное лечение.</w:t>
      </w:r>
    </w:p>
    <w:p w:rsidR="00286780" w:rsidRPr="00124D89" w:rsidRDefault="00286780" w:rsidP="00124D89">
      <w:pPr>
        <w:rPr>
          <w:sz w:val="28"/>
          <w:szCs w:val="28"/>
        </w:rPr>
      </w:pPr>
    </w:p>
    <w:p w:rsidR="00286780" w:rsidRPr="00124D89" w:rsidRDefault="00286780" w:rsidP="00124D89">
      <w:pPr>
        <w:spacing w:after="120"/>
        <w:jc w:val="both"/>
        <w:rPr>
          <w:rFonts w:cs="Calibri"/>
          <w:sz w:val="28"/>
          <w:szCs w:val="28"/>
          <w:lang w:eastAsia="ar-SA"/>
        </w:rPr>
      </w:pPr>
      <w:r w:rsidRPr="00124D89">
        <w:rPr>
          <w:rFonts w:cs="Calibri"/>
          <w:b/>
          <w:sz w:val="28"/>
          <w:szCs w:val="28"/>
          <w:lang w:eastAsia="ar-SA"/>
        </w:rPr>
        <w:t>Таблица 5</w:t>
      </w:r>
      <w:r>
        <w:rPr>
          <w:rFonts w:cs="Calibri"/>
          <w:b/>
          <w:sz w:val="28"/>
          <w:szCs w:val="28"/>
          <w:lang w:eastAsia="ar-SA"/>
        </w:rPr>
        <w:t>4</w:t>
      </w:r>
      <w:r w:rsidRPr="00124D89">
        <w:rPr>
          <w:rFonts w:cs="Calibri"/>
          <w:sz w:val="28"/>
          <w:szCs w:val="28"/>
          <w:lang w:eastAsia="ar-SA"/>
        </w:rPr>
        <w:t xml:space="preserve"> – Эффективность лечения пациентов с одонтогенным сепсисом и фоновой полиорганной патологией</w:t>
      </w:r>
    </w:p>
    <w:tbl>
      <w:tblPr>
        <w:tblW w:w="9923" w:type="dxa"/>
        <w:tblLayout w:type="fixed"/>
        <w:tblLook w:val="0000" w:firstRow="0" w:lastRow="0" w:firstColumn="0" w:lastColumn="0" w:noHBand="0" w:noVBand="0"/>
      </w:tblPr>
      <w:tblGrid>
        <w:gridCol w:w="5415"/>
        <w:gridCol w:w="2268"/>
        <w:gridCol w:w="2240"/>
      </w:tblGrid>
      <w:tr w:rsidR="00286780" w:rsidRPr="00124D89" w:rsidTr="00874414">
        <w:trPr>
          <w:trHeight w:val="227"/>
        </w:trPr>
        <w:tc>
          <w:tcPr>
            <w:tcW w:w="5415" w:type="dxa"/>
            <w:vMerge w:val="restart"/>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i/>
                <w:sz w:val="24"/>
                <w:szCs w:val="24"/>
                <w:lang w:eastAsia="ar-SA"/>
              </w:rPr>
            </w:pPr>
            <w:r w:rsidRPr="00124D89">
              <w:rPr>
                <w:rFonts w:cs="Calibri"/>
                <w:i/>
                <w:sz w:val="24"/>
                <w:szCs w:val="24"/>
                <w:lang w:eastAsia="ar-SA"/>
              </w:rPr>
              <w:t>Параметры</w:t>
            </w:r>
          </w:p>
        </w:tc>
        <w:tc>
          <w:tcPr>
            <w:tcW w:w="4508"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i/>
                <w:sz w:val="24"/>
                <w:szCs w:val="24"/>
                <w:lang w:eastAsia="ar-SA"/>
              </w:rPr>
            </w:pPr>
            <w:r w:rsidRPr="00124D89">
              <w:rPr>
                <w:rFonts w:cs="Calibri"/>
                <w:i/>
                <w:sz w:val="24"/>
                <w:szCs w:val="24"/>
                <w:lang w:eastAsia="ar-SA"/>
              </w:rPr>
              <w:t>Полиорганная полиморбидность</w:t>
            </w:r>
          </w:p>
        </w:tc>
      </w:tr>
      <w:tr w:rsidR="00286780" w:rsidRPr="00124D89" w:rsidTr="00874414">
        <w:trPr>
          <w:trHeight w:val="227"/>
        </w:trPr>
        <w:tc>
          <w:tcPr>
            <w:tcW w:w="5415" w:type="dxa"/>
            <w:vMerge/>
            <w:tcBorders>
              <w:top w:val="single" w:sz="4" w:space="0" w:color="000000"/>
              <w:left w:val="single" w:sz="4" w:space="0" w:color="000000"/>
              <w:bottom w:val="single" w:sz="4" w:space="0" w:color="000000"/>
            </w:tcBorders>
            <w:tcMar>
              <w:left w:w="28" w:type="dxa"/>
              <w:right w:w="28" w:type="dxa"/>
            </w:tcMar>
          </w:tcPr>
          <w:p w:rsidR="00286780" w:rsidRPr="00124D89" w:rsidRDefault="00286780" w:rsidP="00124D89">
            <w:pPr>
              <w:snapToGrid w:val="0"/>
              <w:rPr>
                <w:rFonts w:cs="Calibri"/>
                <w:sz w:val="24"/>
                <w:szCs w:val="24"/>
                <w:lang w:eastAsia="ar-SA"/>
              </w:rPr>
            </w:pPr>
          </w:p>
        </w:tc>
        <w:tc>
          <w:tcPr>
            <w:tcW w:w="2268" w:type="dxa"/>
            <w:tcBorders>
              <w:top w:val="single" w:sz="4" w:space="0" w:color="000000"/>
              <w:left w:val="single" w:sz="4" w:space="0" w:color="000000"/>
              <w:bottom w:val="single" w:sz="4" w:space="0" w:color="000000"/>
            </w:tcBorders>
            <w:tcMar>
              <w:left w:w="28" w:type="dxa"/>
              <w:right w:w="28" w:type="dxa"/>
            </w:tcMar>
          </w:tcPr>
          <w:p w:rsidR="00286780" w:rsidRPr="00124D89" w:rsidRDefault="00286780" w:rsidP="00124D89">
            <w:pPr>
              <w:snapToGrid w:val="0"/>
              <w:jc w:val="center"/>
              <w:rPr>
                <w:rFonts w:cs="Calibri"/>
                <w:sz w:val="24"/>
                <w:szCs w:val="24"/>
                <w:lang w:val="en-US" w:eastAsia="ar-SA"/>
              </w:rPr>
            </w:pPr>
            <w:r w:rsidRPr="00124D89">
              <w:rPr>
                <w:rFonts w:cs="Calibri"/>
                <w:sz w:val="24"/>
                <w:szCs w:val="24"/>
                <w:lang w:eastAsia="ar-SA"/>
              </w:rPr>
              <w:t>определяется (</w:t>
            </w:r>
            <w:r w:rsidRPr="00124D89">
              <w:rPr>
                <w:rFonts w:cs="Calibri"/>
                <w:sz w:val="24"/>
                <w:szCs w:val="24"/>
                <w:lang w:val="en-US" w:eastAsia="ar-SA"/>
              </w:rPr>
              <w:t>n=28)</w:t>
            </w:r>
          </w:p>
        </w:tc>
        <w:tc>
          <w:tcPr>
            <w:tcW w:w="2240" w:type="dxa"/>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124D89" w:rsidRDefault="00286780" w:rsidP="00124D89">
            <w:pPr>
              <w:snapToGrid w:val="0"/>
              <w:jc w:val="center"/>
              <w:rPr>
                <w:rFonts w:cs="Calibri"/>
                <w:sz w:val="24"/>
                <w:szCs w:val="24"/>
                <w:lang w:val="en-US" w:eastAsia="ar-SA"/>
              </w:rPr>
            </w:pPr>
            <w:r w:rsidRPr="00124D89">
              <w:rPr>
                <w:rFonts w:cs="Calibri"/>
                <w:sz w:val="24"/>
                <w:szCs w:val="24"/>
                <w:lang w:eastAsia="ar-SA"/>
              </w:rPr>
              <w:t>отсутствует</w:t>
            </w:r>
            <w:r w:rsidRPr="00124D89">
              <w:rPr>
                <w:rFonts w:cs="Calibri"/>
                <w:sz w:val="24"/>
                <w:szCs w:val="24"/>
                <w:lang w:val="en-US" w:eastAsia="ar-SA"/>
              </w:rPr>
              <w:t xml:space="preserve"> (n=30)</w:t>
            </w:r>
          </w:p>
        </w:tc>
      </w:tr>
      <w:tr w:rsidR="00286780" w:rsidRPr="00124D89" w:rsidTr="00874414">
        <w:trPr>
          <w:trHeight w:val="454"/>
        </w:trPr>
        <w:tc>
          <w:tcPr>
            <w:tcW w:w="541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4"/>
                <w:szCs w:val="24"/>
                <w:lang w:eastAsia="ar-SA"/>
              </w:rPr>
            </w:pPr>
            <w:r w:rsidRPr="00124D89">
              <w:rPr>
                <w:rFonts w:cs="Calibri"/>
                <w:sz w:val="24"/>
                <w:szCs w:val="24"/>
                <w:lang w:eastAsia="ar-SA"/>
              </w:rPr>
              <w:t xml:space="preserve">Средний койко-день </w:t>
            </w:r>
          </w:p>
        </w:tc>
        <w:tc>
          <w:tcPr>
            <w:tcW w:w="2268"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val="en-US" w:eastAsia="ar-SA"/>
              </w:rPr>
            </w:pPr>
            <w:r>
              <w:rPr>
                <w:rFonts w:cs="Calibri"/>
                <w:sz w:val="24"/>
                <w:szCs w:val="24"/>
                <w:lang w:eastAsia="ar-SA"/>
              </w:rPr>
              <w:t>19</w:t>
            </w:r>
            <w:r w:rsidRPr="00124D89">
              <w:rPr>
                <w:rFonts w:cs="Calibri"/>
                <w:sz w:val="24"/>
                <w:szCs w:val="24"/>
                <w:lang w:val="en-US" w:eastAsia="ar-SA"/>
              </w:rPr>
              <w:t>[7</w:t>
            </w:r>
            <w:r>
              <w:rPr>
                <w:rFonts w:cs="Calibri"/>
                <w:sz w:val="24"/>
                <w:szCs w:val="24"/>
                <w:lang w:eastAsia="ar-SA"/>
              </w:rPr>
              <w:t>;</w:t>
            </w:r>
            <w:r w:rsidRPr="00124D89">
              <w:rPr>
                <w:rFonts w:cs="Calibri"/>
                <w:sz w:val="24"/>
                <w:szCs w:val="24"/>
                <w:lang w:eastAsia="ar-SA"/>
              </w:rPr>
              <w:t>43</w:t>
            </w:r>
            <w:r w:rsidRPr="00124D89">
              <w:rPr>
                <w:rFonts w:cs="Calibri"/>
                <w:sz w:val="24"/>
                <w:szCs w:val="24"/>
                <w:lang w:val="en-US" w:eastAsia="ar-SA"/>
              </w:rPr>
              <w:t>]</w:t>
            </w:r>
          </w:p>
        </w:tc>
        <w:tc>
          <w:tcPr>
            <w:tcW w:w="22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val="en-US" w:eastAsia="ar-SA"/>
              </w:rPr>
            </w:pPr>
            <w:r>
              <w:rPr>
                <w:rFonts w:cs="Calibri"/>
                <w:sz w:val="24"/>
                <w:szCs w:val="24"/>
                <w:lang w:eastAsia="ar-SA"/>
              </w:rPr>
              <w:t>22</w:t>
            </w:r>
            <w:r w:rsidRPr="00124D89">
              <w:rPr>
                <w:rFonts w:cs="Calibri"/>
                <w:sz w:val="24"/>
                <w:szCs w:val="24"/>
                <w:lang w:val="en-US" w:eastAsia="ar-SA"/>
              </w:rPr>
              <w:t>[</w:t>
            </w:r>
            <w:r>
              <w:rPr>
                <w:rFonts w:cs="Calibri"/>
                <w:sz w:val="24"/>
                <w:szCs w:val="24"/>
                <w:lang w:eastAsia="ar-SA"/>
              </w:rPr>
              <w:t>14;</w:t>
            </w:r>
            <w:r w:rsidRPr="00124D89">
              <w:rPr>
                <w:rFonts w:cs="Calibri"/>
                <w:sz w:val="24"/>
                <w:szCs w:val="24"/>
                <w:lang w:eastAsia="ar-SA"/>
              </w:rPr>
              <w:t>25</w:t>
            </w:r>
            <w:r w:rsidRPr="00124D89">
              <w:rPr>
                <w:rFonts w:cs="Calibri"/>
                <w:sz w:val="24"/>
                <w:szCs w:val="24"/>
                <w:lang w:val="en-US" w:eastAsia="ar-SA"/>
              </w:rPr>
              <w:t>]</w:t>
            </w:r>
          </w:p>
        </w:tc>
      </w:tr>
      <w:tr w:rsidR="00286780" w:rsidRPr="00124D89" w:rsidTr="00874414">
        <w:trPr>
          <w:trHeight w:val="454"/>
        </w:trPr>
        <w:tc>
          <w:tcPr>
            <w:tcW w:w="541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4"/>
                <w:szCs w:val="24"/>
                <w:lang w:eastAsia="ar-SA"/>
              </w:rPr>
            </w:pPr>
            <w:r w:rsidRPr="00124D89">
              <w:rPr>
                <w:rFonts w:cs="Calibri"/>
                <w:sz w:val="24"/>
                <w:szCs w:val="24"/>
                <w:lang w:eastAsia="ar-SA"/>
              </w:rPr>
              <w:t>Диагностика ОС при поступлении в стационар (%)</w:t>
            </w:r>
          </w:p>
        </w:tc>
        <w:tc>
          <w:tcPr>
            <w:tcW w:w="2268"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28,5</w:t>
            </w:r>
          </w:p>
        </w:tc>
        <w:tc>
          <w:tcPr>
            <w:tcW w:w="22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40</w:t>
            </w:r>
          </w:p>
        </w:tc>
      </w:tr>
      <w:tr w:rsidR="00286780" w:rsidRPr="00124D89" w:rsidTr="00874414">
        <w:trPr>
          <w:trHeight w:val="454"/>
        </w:trPr>
        <w:tc>
          <w:tcPr>
            <w:tcW w:w="541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4"/>
                <w:szCs w:val="24"/>
                <w:lang w:eastAsia="ar-SA"/>
              </w:rPr>
            </w:pPr>
            <w:r w:rsidRPr="00124D89">
              <w:rPr>
                <w:rFonts w:cs="Calibri"/>
                <w:sz w:val="24"/>
                <w:szCs w:val="24"/>
                <w:lang w:eastAsia="ar-SA"/>
              </w:rPr>
              <w:t>Осложнения (%)</w:t>
            </w:r>
          </w:p>
        </w:tc>
        <w:tc>
          <w:tcPr>
            <w:tcW w:w="2268"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85,7*</w:t>
            </w:r>
          </w:p>
        </w:tc>
        <w:tc>
          <w:tcPr>
            <w:tcW w:w="22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46,7</w:t>
            </w:r>
          </w:p>
        </w:tc>
      </w:tr>
      <w:tr w:rsidR="00286780" w:rsidRPr="00124D89" w:rsidTr="00874414">
        <w:trPr>
          <w:trHeight w:val="454"/>
        </w:trPr>
        <w:tc>
          <w:tcPr>
            <w:tcW w:w="541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rPr>
                <w:rFonts w:cs="Calibri"/>
                <w:sz w:val="24"/>
                <w:szCs w:val="24"/>
                <w:lang w:eastAsia="ar-SA"/>
              </w:rPr>
            </w:pPr>
            <w:r w:rsidRPr="00124D89">
              <w:rPr>
                <w:rFonts w:cs="Calibri"/>
                <w:sz w:val="24"/>
                <w:szCs w:val="24"/>
                <w:lang w:eastAsia="ar-SA"/>
              </w:rPr>
              <w:t>Летальность (%)</w:t>
            </w:r>
          </w:p>
        </w:tc>
        <w:tc>
          <w:tcPr>
            <w:tcW w:w="2268"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124D89">
            <w:pPr>
              <w:snapToGrid w:val="0"/>
              <w:jc w:val="center"/>
              <w:rPr>
                <w:rFonts w:cs="Calibri"/>
                <w:i/>
                <w:sz w:val="24"/>
                <w:szCs w:val="24"/>
                <w:lang w:eastAsia="ar-SA"/>
              </w:rPr>
            </w:pPr>
            <w:r w:rsidRPr="00124D89">
              <w:rPr>
                <w:rFonts w:cs="Calibri"/>
                <w:i/>
                <w:sz w:val="24"/>
                <w:szCs w:val="24"/>
                <w:lang w:eastAsia="ar-SA"/>
              </w:rPr>
              <w:t>53,6*</w:t>
            </w:r>
          </w:p>
        </w:tc>
        <w:tc>
          <w:tcPr>
            <w:tcW w:w="22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snapToGrid w:val="0"/>
              <w:jc w:val="center"/>
              <w:rPr>
                <w:rFonts w:cs="Calibri"/>
                <w:sz w:val="24"/>
                <w:szCs w:val="24"/>
                <w:lang w:eastAsia="ar-SA"/>
              </w:rPr>
            </w:pPr>
            <w:r w:rsidRPr="00124D89">
              <w:rPr>
                <w:rFonts w:cs="Calibri"/>
                <w:sz w:val="24"/>
                <w:szCs w:val="24"/>
                <w:lang w:eastAsia="ar-SA"/>
              </w:rPr>
              <w:t>6,7</w:t>
            </w:r>
          </w:p>
        </w:tc>
      </w:tr>
      <w:tr w:rsidR="00286780" w:rsidRPr="00124D89" w:rsidTr="00874414">
        <w:trPr>
          <w:trHeight w:val="454"/>
        </w:trPr>
        <w:tc>
          <w:tcPr>
            <w:tcW w:w="9923" w:type="dxa"/>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124D89">
            <w:pPr>
              <w:tabs>
                <w:tab w:val="left" w:pos="142"/>
              </w:tabs>
              <w:jc w:val="center"/>
              <w:rPr>
                <w:rFonts w:cs="Calibri"/>
                <w:sz w:val="24"/>
                <w:szCs w:val="24"/>
                <w:lang w:eastAsia="ar-SA"/>
              </w:rPr>
            </w:pPr>
            <w:r w:rsidRPr="00124D89">
              <w:rPr>
                <w:rFonts w:cs="Calibri"/>
                <w:i/>
                <w:sz w:val="24"/>
                <w:szCs w:val="24"/>
                <w:lang w:eastAsia="ar-SA"/>
              </w:rPr>
              <w:t>Примечание</w:t>
            </w:r>
            <w:r w:rsidRPr="00124D89">
              <w:rPr>
                <w:rFonts w:cs="Calibri"/>
                <w:sz w:val="24"/>
                <w:szCs w:val="24"/>
                <w:lang w:eastAsia="ar-SA"/>
              </w:rPr>
              <w:t>. * – различия статистически достоверны (</w:t>
            </w:r>
            <w:r w:rsidRPr="00124D89">
              <w:rPr>
                <w:rFonts w:cs="Calibri"/>
                <w:sz w:val="24"/>
                <w:szCs w:val="24"/>
                <w:lang w:val="en-US" w:eastAsia="ar-SA"/>
              </w:rPr>
              <w:t>p</w:t>
            </w:r>
            <w:r>
              <w:rPr>
                <w:rFonts w:cs="Calibri"/>
                <w:sz w:val="24"/>
                <w:szCs w:val="24"/>
                <w:lang w:eastAsia="ar-SA"/>
              </w:rPr>
              <w:t>&lt;</w:t>
            </w:r>
            <w:r w:rsidRPr="00124D89">
              <w:rPr>
                <w:rFonts w:cs="Calibri"/>
                <w:sz w:val="24"/>
                <w:szCs w:val="24"/>
                <w:lang w:eastAsia="ar-SA"/>
              </w:rPr>
              <w:t>0,05)</w:t>
            </w:r>
          </w:p>
        </w:tc>
      </w:tr>
    </w:tbl>
    <w:p w:rsidR="00286780" w:rsidRPr="00124D89" w:rsidRDefault="00286780" w:rsidP="00124D89">
      <w:pPr>
        <w:tabs>
          <w:tab w:val="left" w:pos="142"/>
        </w:tabs>
        <w:rPr>
          <w:rFonts w:cs="Calibri"/>
          <w:sz w:val="24"/>
          <w:szCs w:val="24"/>
          <w:lang w:eastAsia="ar-SA"/>
        </w:rPr>
      </w:pPr>
    </w:p>
    <w:p w:rsidR="00286780" w:rsidRPr="00124D89"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Существенные различия наблюдаются по показателям количества гнойно-воспалительных осложнений (распространение одонтогенного воспалительного процесса, развитие сепсиса, септического шока, медиастинита, острой дыхательной недостаточности, аррозивного кровотечения, полиорганной недостаточности, отека легких и головного мозга) и летальности больных, которые значимо выше в основной группе (</w:t>
      </w:r>
      <w:r w:rsidRPr="00124D89">
        <w:rPr>
          <w:rFonts w:cs="Calibri"/>
          <w:sz w:val="28"/>
          <w:szCs w:val="28"/>
          <w:lang w:val="en-US" w:eastAsia="ar-SA"/>
        </w:rPr>
        <w:t>p</w:t>
      </w:r>
      <w:r>
        <w:rPr>
          <w:rFonts w:cs="Calibri"/>
          <w:sz w:val="28"/>
          <w:szCs w:val="28"/>
          <w:lang w:eastAsia="ar-SA"/>
        </w:rPr>
        <w:t>&lt;</w:t>
      </w:r>
      <w:r w:rsidRPr="00124D89">
        <w:rPr>
          <w:rFonts w:cs="Calibri"/>
          <w:sz w:val="28"/>
          <w:szCs w:val="28"/>
          <w:lang w:eastAsia="ar-SA"/>
        </w:rPr>
        <w:t>0,05), что обусловлено влиянием полиорганной патологии внутренних органов на течение основного патологического процесса – одонтогенного сепсиса.</w:t>
      </w:r>
    </w:p>
    <w:p w:rsidR="00286780" w:rsidRPr="00124D89" w:rsidRDefault="00286780" w:rsidP="00992079">
      <w:pPr>
        <w:spacing w:line="360" w:lineRule="auto"/>
        <w:ind w:firstLine="709"/>
        <w:jc w:val="both"/>
        <w:rPr>
          <w:rFonts w:cs="Calibri"/>
          <w:sz w:val="28"/>
          <w:szCs w:val="28"/>
          <w:lang w:eastAsia="ar-SA"/>
        </w:rPr>
      </w:pPr>
      <w:r w:rsidRPr="00124D89">
        <w:rPr>
          <w:rFonts w:cs="Calibri"/>
          <w:b/>
          <w:sz w:val="28"/>
          <w:szCs w:val="28"/>
          <w:lang w:eastAsia="ar-SA"/>
        </w:rPr>
        <w:t>Резюме</w:t>
      </w:r>
      <w:r w:rsidRPr="00124D89">
        <w:rPr>
          <w:rFonts w:cs="Calibri"/>
          <w:sz w:val="28"/>
          <w:szCs w:val="28"/>
          <w:lang w:eastAsia="ar-SA"/>
        </w:rPr>
        <w:t xml:space="preserve">. Хроническая полиморбидная патология у пациентов с ОС является </w:t>
      </w:r>
      <w:r w:rsidRPr="00124D89">
        <w:rPr>
          <w:rFonts w:cs="Calibri"/>
          <w:i/>
          <w:sz w:val="28"/>
          <w:szCs w:val="28"/>
          <w:lang w:eastAsia="ar-SA"/>
        </w:rPr>
        <w:t xml:space="preserve">фоновой, </w:t>
      </w:r>
      <w:r w:rsidRPr="00124D89">
        <w:rPr>
          <w:rFonts w:cs="Calibri"/>
          <w:sz w:val="28"/>
          <w:szCs w:val="28"/>
          <w:lang w:eastAsia="ar-SA"/>
        </w:rPr>
        <w:t xml:space="preserve">так как наличие полиморбидных заболеваний обуславливает статистически значимый прирост частоты септического шока, иных осложнений гнойно-воспалительного процесса (ТЭЛА, ОДН и др.), летальности (Таблица 53), что отвечает критериям </w:t>
      </w:r>
      <w:r w:rsidRPr="00124D89">
        <w:rPr>
          <w:rFonts w:cs="Calibri"/>
          <w:i/>
          <w:sz w:val="28"/>
          <w:szCs w:val="28"/>
          <w:lang w:eastAsia="ar-SA"/>
        </w:rPr>
        <w:t>фоновых</w:t>
      </w:r>
      <w:r w:rsidRPr="00124D89">
        <w:rPr>
          <w:rFonts w:cs="Calibri"/>
          <w:sz w:val="28"/>
          <w:szCs w:val="28"/>
          <w:lang w:eastAsia="ar-SA"/>
        </w:rPr>
        <w:t xml:space="preserve"> заболеваний.</w:t>
      </w:r>
      <w:r>
        <w:rPr>
          <w:rFonts w:cs="Calibri"/>
          <w:sz w:val="28"/>
          <w:szCs w:val="28"/>
          <w:lang w:eastAsia="ar-SA"/>
        </w:rPr>
        <w:t xml:space="preserve"> Наблюдается синдром взаимного отягощения.</w:t>
      </w:r>
    </w:p>
    <w:p w:rsidR="00286780" w:rsidRDefault="00286780" w:rsidP="00124D89">
      <w:pPr>
        <w:spacing w:line="360" w:lineRule="auto"/>
        <w:ind w:firstLine="709"/>
        <w:jc w:val="both"/>
        <w:rPr>
          <w:rFonts w:cs="Calibri"/>
          <w:sz w:val="28"/>
          <w:szCs w:val="28"/>
          <w:lang w:eastAsia="ar-SA"/>
        </w:rPr>
      </w:pPr>
      <w:r w:rsidRPr="00124D89">
        <w:rPr>
          <w:rFonts w:cs="Calibri"/>
          <w:sz w:val="28"/>
          <w:szCs w:val="28"/>
          <w:lang w:eastAsia="ar-SA"/>
        </w:rPr>
        <w:t xml:space="preserve">Высокий уровень летальности и частоты развития тяжелых осложнений у пациентов с ОС при наличии фоновой полиорганной патологии, недостаточная эффективность ранней диагностики ОС, определяют необходимость разработки </w:t>
      </w:r>
      <w:r w:rsidRPr="00124D89">
        <w:rPr>
          <w:rFonts w:cs="Calibri"/>
          <w:sz w:val="28"/>
          <w:szCs w:val="28"/>
          <w:lang w:eastAsia="ar-SA"/>
        </w:rPr>
        <w:lastRenderedPageBreak/>
        <w:t>соответствующего алгоритма диагностики и программы комплексного многокомпонентного лечения, позволяющих диагностировать одонтогенный сепсис непосредственно при поступлении пациента в хирургический стационар многопрофильного лечебного учреждения, выполнить корректное хирургической пособие и назначить соответствующую интенсивную медикаментозную терапию (</w:t>
      </w:r>
      <w:r w:rsidRPr="00124D89">
        <w:rPr>
          <w:rFonts w:cs="Calibri"/>
          <w:sz w:val="28"/>
          <w:szCs w:val="28"/>
          <w:lang w:val="en-US" w:eastAsia="ar-SA"/>
        </w:rPr>
        <w:t>III</w:t>
      </w:r>
      <w:r w:rsidRPr="00124D89">
        <w:rPr>
          <w:rFonts w:cs="Calibri"/>
          <w:sz w:val="28"/>
          <w:szCs w:val="28"/>
          <w:lang w:eastAsia="ar-SA"/>
        </w:rPr>
        <w:t xml:space="preserve"> блок исследований).</w:t>
      </w:r>
    </w:p>
    <w:p w:rsidR="00286780" w:rsidRDefault="00286780" w:rsidP="00124D89">
      <w:pPr>
        <w:spacing w:line="360" w:lineRule="auto"/>
        <w:ind w:firstLine="709"/>
        <w:jc w:val="both"/>
        <w:rPr>
          <w:rFonts w:cs="Calibri"/>
          <w:sz w:val="28"/>
          <w:szCs w:val="28"/>
          <w:lang w:eastAsia="ar-SA"/>
        </w:rPr>
      </w:pPr>
    </w:p>
    <w:p w:rsidR="00286780" w:rsidRPr="003B5E58" w:rsidRDefault="00286780" w:rsidP="00457501">
      <w:pPr>
        <w:spacing w:line="360" w:lineRule="auto"/>
        <w:ind w:firstLine="709"/>
        <w:jc w:val="both"/>
        <w:rPr>
          <w:rFonts w:cs="Calibri"/>
          <w:b/>
          <w:sz w:val="28"/>
          <w:szCs w:val="28"/>
          <w:lang w:eastAsia="ar-SA"/>
        </w:rPr>
      </w:pPr>
      <w:r w:rsidRPr="00F87CA4">
        <w:rPr>
          <w:rFonts w:cs="Calibri"/>
          <w:b/>
          <w:sz w:val="28"/>
          <w:szCs w:val="28"/>
          <w:lang w:eastAsia="ar-SA"/>
        </w:rPr>
        <w:t xml:space="preserve">4.3 </w:t>
      </w:r>
      <w:r>
        <w:rPr>
          <w:rFonts w:cs="Calibri"/>
          <w:b/>
          <w:sz w:val="28"/>
          <w:szCs w:val="28"/>
          <w:lang w:eastAsia="ar-SA"/>
        </w:rPr>
        <w:t>Контактные одонтогенные медиастиниты</w:t>
      </w:r>
      <w:r w:rsidRPr="00F87CA4">
        <w:rPr>
          <w:rFonts w:cs="Calibri"/>
          <w:b/>
          <w:sz w:val="28"/>
          <w:szCs w:val="28"/>
          <w:lang w:eastAsia="ar-SA"/>
        </w:rPr>
        <w:t xml:space="preserve"> при наличии полиорганной фоновой патологии и синдрома взаимного отягощения</w:t>
      </w:r>
    </w:p>
    <w:p w:rsidR="00286780" w:rsidRDefault="00286780" w:rsidP="00124D89">
      <w:pPr>
        <w:spacing w:line="360" w:lineRule="auto"/>
        <w:ind w:firstLine="709"/>
        <w:jc w:val="both"/>
        <w:rPr>
          <w:rFonts w:cs="Calibri"/>
          <w:sz w:val="28"/>
          <w:szCs w:val="28"/>
          <w:lang w:eastAsia="ar-SA"/>
        </w:rPr>
      </w:pPr>
      <w:r>
        <w:rPr>
          <w:rFonts w:cs="Calibri"/>
          <w:sz w:val="28"/>
          <w:szCs w:val="28"/>
          <w:lang w:eastAsia="ar-SA"/>
        </w:rPr>
        <w:t>Контакные одонтогенные медиаст</w:t>
      </w:r>
      <w:r w:rsidR="009A2BC1">
        <w:rPr>
          <w:rFonts w:cs="Calibri"/>
          <w:sz w:val="28"/>
          <w:szCs w:val="28"/>
          <w:lang w:eastAsia="ar-SA"/>
        </w:rPr>
        <w:t>иниты (КОМ) диагностированы у 13</w:t>
      </w:r>
      <w:r>
        <w:rPr>
          <w:rFonts w:cs="Calibri"/>
          <w:sz w:val="28"/>
          <w:szCs w:val="28"/>
          <w:lang w:eastAsia="ar-SA"/>
        </w:rPr>
        <w:t xml:space="preserve"> пациентов в подгруппе с одонтогенным сепсисом и пол</w:t>
      </w:r>
      <w:r w:rsidR="009A2BC1">
        <w:rPr>
          <w:rFonts w:cs="Calibri"/>
          <w:sz w:val="28"/>
          <w:szCs w:val="28"/>
          <w:lang w:eastAsia="ar-SA"/>
        </w:rPr>
        <w:t>иорганной фоновой патологией (46,4</w:t>
      </w:r>
      <w:r>
        <w:rPr>
          <w:rFonts w:cs="Calibri"/>
          <w:sz w:val="28"/>
          <w:szCs w:val="28"/>
          <w:lang w:eastAsia="ar-SA"/>
        </w:rPr>
        <w:t xml:space="preserve">%). В контрольной подгруппе пациентов с одонтогенным сепсисом в отсутствии полиорганной фоновой патологии (30 больных) КОМ отмечены в семи случаях (23,3%). Статистически значимых различий по распространенности КОМ в рассматриваемых подгруппах не </w:t>
      </w:r>
      <w:r w:rsidRPr="006E2844">
        <w:rPr>
          <w:rFonts w:cs="Calibri"/>
          <w:sz w:val="28"/>
          <w:szCs w:val="28"/>
          <w:lang w:eastAsia="ar-SA"/>
        </w:rPr>
        <w:t>обнаружено (</w:t>
      </w:r>
      <w:r w:rsidRPr="006E2844">
        <w:rPr>
          <w:rFonts w:cs="Calibri"/>
          <w:sz w:val="28"/>
          <w:szCs w:val="28"/>
          <w:lang w:val="en-US" w:eastAsia="ar-SA"/>
        </w:rPr>
        <w:t>p</w:t>
      </w:r>
      <w:r>
        <w:rPr>
          <w:sz w:val="28"/>
          <w:szCs w:val="28"/>
          <w:lang w:eastAsia="ar-SA"/>
        </w:rPr>
        <w:t>&gt;</w:t>
      </w:r>
      <w:r w:rsidRPr="006E2844">
        <w:rPr>
          <w:rFonts w:cs="Calibri"/>
          <w:sz w:val="28"/>
          <w:szCs w:val="28"/>
          <w:lang w:eastAsia="ar-SA"/>
        </w:rPr>
        <w:t>0,05).</w:t>
      </w:r>
    </w:p>
    <w:p w:rsidR="00286780" w:rsidRDefault="00286780" w:rsidP="00124D89">
      <w:pPr>
        <w:spacing w:line="360" w:lineRule="auto"/>
        <w:ind w:firstLine="709"/>
        <w:jc w:val="both"/>
        <w:rPr>
          <w:rFonts w:cs="Calibri"/>
          <w:sz w:val="28"/>
          <w:szCs w:val="28"/>
          <w:lang w:eastAsia="ar-SA"/>
        </w:rPr>
      </w:pPr>
      <w:r>
        <w:rPr>
          <w:rFonts w:cs="Calibri"/>
          <w:sz w:val="28"/>
          <w:szCs w:val="28"/>
          <w:lang w:eastAsia="ar-SA"/>
        </w:rPr>
        <w:t>Следовательно, наличие или отсутствие полиорганной фоновой патологии на развитие КОМ статистически значимого влияния не оказывает.</w:t>
      </w:r>
    </w:p>
    <w:p w:rsidR="00286780" w:rsidRDefault="00286780" w:rsidP="00124D89">
      <w:pPr>
        <w:spacing w:line="360" w:lineRule="auto"/>
        <w:ind w:firstLine="709"/>
        <w:jc w:val="both"/>
        <w:rPr>
          <w:rFonts w:cs="Calibri"/>
          <w:sz w:val="28"/>
          <w:szCs w:val="28"/>
          <w:lang w:eastAsia="ar-SA"/>
        </w:rPr>
      </w:pPr>
      <w:r>
        <w:rPr>
          <w:rFonts w:cs="Calibri"/>
          <w:sz w:val="28"/>
          <w:szCs w:val="28"/>
          <w:lang w:eastAsia="ar-SA"/>
        </w:rPr>
        <w:t>В подгруппах пациентов с МФОИ контактные одонтогенные медиастиниты не диагностированы (как при наличии, так и в отсутствии полиорганной фоновой патологии), то есть КОМ развивается исключительно на фоне одонтогенного сепсиса.</w:t>
      </w:r>
    </w:p>
    <w:p w:rsidR="00286780" w:rsidRDefault="00286780" w:rsidP="00124D89">
      <w:pPr>
        <w:spacing w:line="360" w:lineRule="auto"/>
        <w:ind w:firstLine="709"/>
        <w:jc w:val="both"/>
        <w:rPr>
          <w:sz w:val="28"/>
          <w:szCs w:val="28"/>
        </w:rPr>
      </w:pPr>
      <w:r>
        <w:rPr>
          <w:rFonts w:cs="Calibri"/>
          <w:sz w:val="28"/>
          <w:szCs w:val="28"/>
          <w:lang w:eastAsia="ar-SA"/>
        </w:rPr>
        <w:t xml:space="preserve">Распределение КОМ при наличии полиорганной фоновой патологии по локализации в соответствии с классификацией </w:t>
      </w:r>
      <w:r>
        <w:rPr>
          <w:sz w:val="28"/>
          <w:szCs w:val="28"/>
        </w:rPr>
        <w:t xml:space="preserve">А.Я. Иванова (1959 г.) представлено на Рисунке 6. Тотальные медиастиниты диагностированы у 53,8% пациентов, задние (верхние и всего заднего отдела средостения) - 15,4%; передние (верхние) - 30,8%. Статистически значимых различий с группой пациентов с КОМ без ХП по локализации процесса не обнаружено </w:t>
      </w:r>
      <w:r w:rsidRPr="009A7A04">
        <w:rPr>
          <w:sz w:val="28"/>
          <w:szCs w:val="28"/>
        </w:rPr>
        <w:t>(</w:t>
      </w:r>
      <w:r w:rsidRPr="006E2844">
        <w:rPr>
          <w:rFonts w:cs="Calibri"/>
          <w:sz w:val="28"/>
          <w:szCs w:val="28"/>
          <w:lang w:val="en-US" w:eastAsia="ar-SA"/>
        </w:rPr>
        <w:t>p</w:t>
      </w:r>
      <w:r>
        <w:rPr>
          <w:sz w:val="28"/>
          <w:szCs w:val="28"/>
          <w:lang w:eastAsia="ar-SA"/>
        </w:rPr>
        <w:t>&gt;</w:t>
      </w:r>
      <w:r w:rsidRPr="006E2844">
        <w:rPr>
          <w:rFonts w:cs="Calibri"/>
          <w:sz w:val="28"/>
          <w:szCs w:val="28"/>
          <w:lang w:eastAsia="ar-SA"/>
        </w:rPr>
        <w:t>0,05</w:t>
      </w:r>
      <w:r w:rsidRPr="009A7A04">
        <w:rPr>
          <w:sz w:val="28"/>
          <w:szCs w:val="28"/>
        </w:rPr>
        <w:t>)</w:t>
      </w:r>
      <w:r>
        <w:rPr>
          <w:sz w:val="28"/>
          <w:szCs w:val="28"/>
        </w:rPr>
        <w:t>. Все наблюдаемые в рамках данного исследования медиастиниты являются вторичными, контактными, одонтогенными, бактериальными.</w:t>
      </w:r>
    </w:p>
    <w:p w:rsidR="00286780" w:rsidRDefault="00286780" w:rsidP="00124D89">
      <w:pPr>
        <w:spacing w:line="360" w:lineRule="auto"/>
        <w:ind w:firstLine="709"/>
        <w:jc w:val="both"/>
        <w:rPr>
          <w:sz w:val="28"/>
          <w:szCs w:val="28"/>
        </w:rPr>
      </w:pPr>
      <w:r>
        <w:rPr>
          <w:sz w:val="28"/>
          <w:szCs w:val="28"/>
        </w:rPr>
        <w:lastRenderedPageBreak/>
        <w:t>Характерно вовлечение верхних отделов переднего и заднего средостения (38,5%), или тотальное поражение - 53,8%.</w:t>
      </w:r>
    </w:p>
    <w:p w:rsidR="00286780" w:rsidRDefault="00807D20" w:rsidP="005278B3">
      <w:pPr>
        <w:spacing w:line="360" w:lineRule="auto"/>
        <w:jc w:val="both"/>
        <w:rPr>
          <w:sz w:val="28"/>
          <w:szCs w:val="28"/>
        </w:rPr>
      </w:pPr>
      <w:r>
        <w:rPr>
          <w:noProof/>
          <w:sz w:val="28"/>
          <w:szCs w:val="28"/>
        </w:rPr>
        <w:pict>
          <v:shape id="_x0000_i1035" type="#_x0000_t75" style="width:489.6pt;height:302.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W4L1J3QAAAAUBAAAPAAAAZHJzL2Rvd25y&#10;ZXYueG1sTI9BS8NAEIXvgv9hmYI3u2lWjMRsiggierOtqLdpdpqkzc6G7LaN/fVdvehl4PEe731T&#10;zEfbiQMNvnWsYTZNQBBXzrRca1gtn67vQPiAbLBzTBq+ycO8vLwoMDfuyG90WIRaxBL2OWpoQuhz&#10;KX3VkEU/dT1x9DZusBiiHGppBjzGctvJNElupcWW40KDPT02VO0We6she9lRP/t8f01PtP1abfHZ&#10;fEil9dVkfLgHEWgMf2H4wY/oUEamtduz8aLTEB8Jvzd6WaoUiLWGG6UykGUh/9OXZ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">
            <v:imagedata r:id="rId18" o:title=""/>
            <o:lock v:ext="edit" aspectratio="f"/>
          </v:shape>
        </w:pict>
      </w:r>
    </w:p>
    <w:p w:rsidR="00286780" w:rsidRDefault="00286780" w:rsidP="00EB7721">
      <w:pPr>
        <w:spacing w:line="360" w:lineRule="auto"/>
        <w:jc w:val="center"/>
        <w:rPr>
          <w:sz w:val="28"/>
          <w:szCs w:val="28"/>
        </w:rPr>
      </w:pPr>
      <w:r w:rsidRPr="00371212">
        <w:rPr>
          <w:b/>
          <w:sz w:val="28"/>
          <w:szCs w:val="28"/>
        </w:rPr>
        <w:t>Рисунок 6</w:t>
      </w:r>
      <w:r>
        <w:rPr>
          <w:sz w:val="28"/>
          <w:szCs w:val="28"/>
        </w:rPr>
        <w:t xml:space="preserve"> - Локализация КОМ при наличии полиорганной фоновой патологии и синдрома взаимного отягощения</w:t>
      </w:r>
    </w:p>
    <w:p w:rsidR="00286780" w:rsidRDefault="00286780" w:rsidP="00EB7721">
      <w:pPr>
        <w:spacing w:line="360" w:lineRule="auto"/>
        <w:jc w:val="center"/>
        <w:rPr>
          <w:sz w:val="28"/>
          <w:szCs w:val="28"/>
        </w:rPr>
      </w:pPr>
    </w:p>
    <w:p w:rsidR="00286780" w:rsidRDefault="00286780" w:rsidP="00BD612A">
      <w:pPr>
        <w:spacing w:line="360" w:lineRule="auto"/>
        <w:ind w:firstLine="709"/>
        <w:jc w:val="both"/>
        <w:rPr>
          <w:sz w:val="28"/>
          <w:szCs w:val="28"/>
        </w:rPr>
      </w:pPr>
      <w:r>
        <w:rPr>
          <w:sz w:val="28"/>
          <w:szCs w:val="28"/>
        </w:rPr>
        <w:t>Продолжительность догоспитального периода варьирует от 4 до 10 суток. Пять пациентов с КОМ и полиорганной фоновой патологией не обращались за медицинской помощью и самостоятельно не лечились; четверо - лечились амбулаторно у стоматолога по месту жительства (удаление "причинного" зуба, антибиотикотерапия пероральными препаратами). Четыре пациента занимались самолечением.</w:t>
      </w:r>
    </w:p>
    <w:p w:rsidR="00286780" w:rsidRDefault="00286780" w:rsidP="00C401CA">
      <w:pPr>
        <w:spacing w:line="360" w:lineRule="auto"/>
        <w:ind w:firstLine="709"/>
        <w:jc w:val="both"/>
        <w:rPr>
          <w:sz w:val="28"/>
          <w:szCs w:val="28"/>
        </w:rPr>
      </w:pPr>
      <w:r>
        <w:rPr>
          <w:sz w:val="28"/>
          <w:szCs w:val="28"/>
        </w:rPr>
        <w:t xml:space="preserve">При поступлении пациенты с КОМ предъявляли жалобы на общую слабость 10), боли в области шеи и за грудиной (10), ощущение нехватки воздуха (5), удушье (3). Пять пациентов (38,5%) доставлено в состоянии септического шока с выраженной артериальной гипотензией, трое из них - в состоянии комы (23,1%). В подгруппе пациентов с КОМ без ХП септический шок при поступлении в стационар диагностирован в одном случае (14,3%, </w:t>
      </w:r>
      <w:r w:rsidRPr="006E2844">
        <w:rPr>
          <w:rFonts w:cs="Calibri"/>
          <w:sz w:val="28"/>
          <w:szCs w:val="28"/>
          <w:lang w:val="en-US" w:eastAsia="ar-SA"/>
        </w:rPr>
        <w:t>p</w:t>
      </w:r>
      <w:r>
        <w:rPr>
          <w:sz w:val="28"/>
          <w:szCs w:val="28"/>
          <w:lang w:eastAsia="ar-SA"/>
        </w:rPr>
        <w:t>&gt;</w:t>
      </w:r>
      <w:r w:rsidRPr="006E2844">
        <w:rPr>
          <w:rFonts w:cs="Calibri"/>
          <w:sz w:val="28"/>
          <w:szCs w:val="28"/>
          <w:lang w:eastAsia="ar-SA"/>
        </w:rPr>
        <w:t>0,05</w:t>
      </w:r>
      <w:r w:rsidRPr="009A7A04">
        <w:rPr>
          <w:sz w:val="28"/>
          <w:szCs w:val="28"/>
        </w:rPr>
        <w:t>)</w:t>
      </w:r>
      <w:r>
        <w:rPr>
          <w:sz w:val="28"/>
          <w:szCs w:val="28"/>
        </w:rPr>
        <w:t>. Основные клинико-</w:t>
      </w:r>
      <w:r>
        <w:rPr>
          <w:sz w:val="28"/>
          <w:szCs w:val="28"/>
        </w:rPr>
        <w:lastRenderedPageBreak/>
        <w:t>лабораторные показатели пациентов с КОМ, фоновой полиорганной патологией и синдромом взаимного отягощения, в сравнении с показателями пациентов с КОМ без хронической патологии внутренних органов, представлены в Таблице 55.</w:t>
      </w:r>
    </w:p>
    <w:p w:rsidR="00286780" w:rsidRDefault="00286780" w:rsidP="00371212">
      <w:pPr>
        <w:spacing w:line="360" w:lineRule="auto"/>
        <w:ind w:firstLine="709"/>
        <w:jc w:val="both"/>
        <w:rPr>
          <w:sz w:val="28"/>
          <w:szCs w:val="28"/>
        </w:rPr>
      </w:pPr>
    </w:p>
    <w:p w:rsidR="00286780" w:rsidRDefault="00286780" w:rsidP="00371212">
      <w:pPr>
        <w:spacing w:line="360" w:lineRule="auto"/>
        <w:jc w:val="both"/>
        <w:rPr>
          <w:sz w:val="28"/>
          <w:szCs w:val="28"/>
        </w:rPr>
      </w:pPr>
      <w:r w:rsidRPr="00371212">
        <w:rPr>
          <w:b/>
          <w:sz w:val="28"/>
          <w:szCs w:val="28"/>
        </w:rPr>
        <w:t>Таблица 55</w:t>
      </w:r>
      <w:r>
        <w:rPr>
          <w:sz w:val="28"/>
          <w:szCs w:val="28"/>
        </w:rPr>
        <w:t xml:space="preserve"> - К</w:t>
      </w:r>
      <w:r w:rsidRPr="00124D89">
        <w:rPr>
          <w:sz w:val="28"/>
          <w:szCs w:val="28"/>
        </w:rPr>
        <w:t xml:space="preserve">линико-лабораторная характеристика пациентов с </w:t>
      </w:r>
      <w:r>
        <w:rPr>
          <w:sz w:val="28"/>
          <w:szCs w:val="28"/>
        </w:rPr>
        <w:t>КОМ</w:t>
      </w:r>
    </w:p>
    <w:tbl>
      <w:tblPr>
        <w:tblW w:w="9956" w:type="dxa"/>
        <w:tblInd w:w="-5" w:type="dxa"/>
        <w:tblLayout w:type="fixed"/>
        <w:tblLook w:val="0000" w:firstRow="0" w:lastRow="0" w:firstColumn="0" w:lastColumn="0" w:noHBand="0" w:noVBand="0"/>
      </w:tblPr>
      <w:tblGrid>
        <w:gridCol w:w="3577"/>
        <w:gridCol w:w="3260"/>
        <w:gridCol w:w="3119"/>
      </w:tblGrid>
      <w:tr w:rsidR="00286780" w:rsidRPr="00124D89" w:rsidTr="00653D3A">
        <w:trPr>
          <w:trHeight w:val="397"/>
        </w:trPr>
        <w:tc>
          <w:tcPr>
            <w:tcW w:w="3577"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DA2103">
            <w:pPr>
              <w:snapToGrid w:val="0"/>
              <w:jc w:val="center"/>
              <w:rPr>
                <w:rFonts w:cs="Calibri"/>
                <w:i/>
                <w:spacing w:val="-8"/>
                <w:sz w:val="24"/>
                <w:szCs w:val="24"/>
                <w:lang w:eastAsia="ar-SA"/>
              </w:rPr>
            </w:pPr>
            <w:r w:rsidRPr="00124D89">
              <w:rPr>
                <w:rFonts w:cs="Calibri"/>
                <w:i/>
                <w:spacing w:val="-8"/>
                <w:sz w:val="24"/>
                <w:szCs w:val="24"/>
                <w:lang w:eastAsia="ar-SA"/>
              </w:rPr>
              <w:t>Признак</w:t>
            </w:r>
          </w:p>
        </w:tc>
        <w:tc>
          <w:tcPr>
            <w:tcW w:w="3260"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3E5D71">
            <w:pPr>
              <w:snapToGrid w:val="0"/>
              <w:jc w:val="center"/>
              <w:rPr>
                <w:rFonts w:cs="Calibri"/>
                <w:i/>
                <w:spacing w:val="-8"/>
                <w:sz w:val="24"/>
                <w:szCs w:val="24"/>
                <w:lang w:eastAsia="ar-SA"/>
              </w:rPr>
            </w:pPr>
            <w:r>
              <w:rPr>
                <w:rFonts w:cs="Calibri"/>
                <w:i/>
                <w:spacing w:val="-8"/>
                <w:sz w:val="24"/>
                <w:szCs w:val="24"/>
                <w:lang w:eastAsia="ar-SA"/>
              </w:rPr>
              <w:t>Под</w:t>
            </w:r>
            <w:r w:rsidRPr="00124D89">
              <w:rPr>
                <w:rFonts w:cs="Calibri"/>
                <w:i/>
                <w:spacing w:val="-8"/>
                <w:sz w:val="24"/>
                <w:szCs w:val="24"/>
                <w:lang w:eastAsia="ar-SA"/>
              </w:rPr>
              <w:t xml:space="preserve">группа пациентов с </w:t>
            </w:r>
            <w:r>
              <w:rPr>
                <w:rFonts w:cs="Calibri"/>
                <w:i/>
                <w:spacing w:val="-8"/>
                <w:sz w:val="24"/>
                <w:szCs w:val="24"/>
                <w:lang w:eastAsia="ar-SA"/>
              </w:rPr>
              <w:t>КОМ и фоновой полиорганной патологией</w:t>
            </w:r>
            <w:r w:rsidRPr="00124D89">
              <w:rPr>
                <w:rFonts w:cs="Calibri"/>
                <w:i/>
                <w:spacing w:val="-8"/>
                <w:sz w:val="24"/>
                <w:szCs w:val="24"/>
                <w:lang w:eastAsia="ar-SA"/>
              </w:rPr>
              <w:t xml:space="preserve"> (</w:t>
            </w:r>
            <w:r w:rsidRPr="00124D89">
              <w:rPr>
                <w:rFonts w:cs="Calibri"/>
                <w:i/>
                <w:spacing w:val="-8"/>
                <w:sz w:val="24"/>
                <w:szCs w:val="24"/>
                <w:lang w:val="en-US" w:eastAsia="ar-SA"/>
              </w:rPr>
              <w:t>n</w:t>
            </w:r>
            <w:r>
              <w:rPr>
                <w:rFonts w:cs="Calibri"/>
                <w:i/>
                <w:spacing w:val="-8"/>
                <w:sz w:val="24"/>
                <w:szCs w:val="24"/>
                <w:lang w:eastAsia="ar-SA"/>
              </w:rPr>
              <w:t>=13</w:t>
            </w:r>
            <w:r w:rsidRPr="00124D89">
              <w:rPr>
                <w:rFonts w:cs="Calibri"/>
                <w:i/>
                <w:spacing w:val="-8"/>
                <w:sz w:val="24"/>
                <w:szCs w:val="24"/>
                <w:lang w:eastAsia="ar-SA"/>
              </w:rPr>
              <w:t>)</w:t>
            </w:r>
          </w:p>
        </w:tc>
        <w:tc>
          <w:tcPr>
            <w:tcW w:w="3119"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3E5D71">
            <w:pPr>
              <w:snapToGrid w:val="0"/>
              <w:jc w:val="center"/>
              <w:rPr>
                <w:rFonts w:cs="Calibri"/>
                <w:i/>
                <w:spacing w:val="-8"/>
                <w:sz w:val="24"/>
                <w:szCs w:val="24"/>
                <w:lang w:eastAsia="ar-SA"/>
              </w:rPr>
            </w:pPr>
            <w:r w:rsidRPr="00124D89">
              <w:rPr>
                <w:rFonts w:cs="Calibri"/>
                <w:i/>
                <w:spacing w:val="-8"/>
                <w:sz w:val="24"/>
                <w:szCs w:val="24"/>
                <w:lang w:eastAsia="ar-SA"/>
              </w:rPr>
              <w:t xml:space="preserve">Контрольная </w:t>
            </w:r>
            <w:r>
              <w:rPr>
                <w:rFonts w:cs="Calibri"/>
                <w:i/>
                <w:spacing w:val="-8"/>
                <w:sz w:val="24"/>
                <w:szCs w:val="24"/>
                <w:lang w:eastAsia="ar-SA"/>
              </w:rPr>
              <w:t>под</w:t>
            </w:r>
            <w:r w:rsidRPr="00124D89">
              <w:rPr>
                <w:rFonts w:cs="Calibri"/>
                <w:i/>
                <w:spacing w:val="-8"/>
                <w:sz w:val="24"/>
                <w:szCs w:val="24"/>
                <w:lang w:eastAsia="ar-SA"/>
              </w:rPr>
              <w:t xml:space="preserve">группа пациентов с </w:t>
            </w:r>
            <w:r>
              <w:rPr>
                <w:rFonts w:cs="Calibri"/>
                <w:i/>
                <w:spacing w:val="-8"/>
                <w:sz w:val="24"/>
                <w:szCs w:val="24"/>
                <w:lang w:eastAsia="ar-SA"/>
              </w:rPr>
              <w:t>КОМ без ХП</w:t>
            </w:r>
            <w:r w:rsidRPr="00124D89">
              <w:rPr>
                <w:rFonts w:cs="Calibri"/>
                <w:i/>
                <w:spacing w:val="-8"/>
                <w:sz w:val="24"/>
                <w:szCs w:val="24"/>
                <w:lang w:eastAsia="ar-SA"/>
              </w:rPr>
              <w:t xml:space="preserve"> (</w:t>
            </w:r>
            <w:r w:rsidRPr="00124D89">
              <w:rPr>
                <w:rFonts w:cs="Calibri"/>
                <w:i/>
                <w:spacing w:val="-8"/>
                <w:sz w:val="24"/>
                <w:szCs w:val="24"/>
                <w:lang w:val="en-US" w:eastAsia="ar-SA"/>
              </w:rPr>
              <w:t>n</w:t>
            </w:r>
            <w:r>
              <w:rPr>
                <w:rFonts w:cs="Calibri"/>
                <w:i/>
                <w:spacing w:val="-8"/>
                <w:sz w:val="24"/>
                <w:szCs w:val="24"/>
                <w:lang w:eastAsia="ar-SA"/>
              </w:rPr>
              <w:t>=7</w:t>
            </w:r>
            <w:r w:rsidRPr="00124D89">
              <w:rPr>
                <w:rFonts w:cs="Calibri"/>
                <w:i/>
                <w:spacing w:val="-8"/>
                <w:sz w:val="24"/>
                <w:szCs w:val="24"/>
                <w:lang w:eastAsia="ar-SA"/>
              </w:rPr>
              <w:t>)</w:t>
            </w:r>
          </w:p>
        </w:tc>
      </w:tr>
      <w:tr w:rsidR="00286780" w:rsidRPr="00124D89" w:rsidTr="00653D3A">
        <w:trPr>
          <w:trHeight w:val="397"/>
        </w:trPr>
        <w:tc>
          <w:tcPr>
            <w:tcW w:w="3577"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DA2103">
            <w:pPr>
              <w:snapToGrid w:val="0"/>
              <w:rPr>
                <w:rFonts w:cs="Calibri"/>
                <w:spacing w:val="-8"/>
                <w:sz w:val="24"/>
                <w:szCs w:val="24"/>
                <w:lang w:eastAsia="ar-SA"/>
              </w:rPr>
            </w:pPr>
            <w:r w:rsidRPr="00124D89">
              <w:rPr>
                <w:rFonts w:cs="Calibri"/>
                <w:spacing w:val="-8"/>
                <w:sz w:val="24"/>
                <w:szCs w:val="24"/>
                <w:lang w:eastAsia="ar-SA"/>
              </w:rPr>
              <w:t>Частота дыхательных движений (в 1 мин.)</w:t>
            </w:r>
          </w:p>
        </w:tc>
        <w:tc>
          <w:tcPr>
            <w:tcW w:w="3260" w:type="dxa"/>
            <w:tcBorders>
              <w:top w:val="single" w:sz="4" w:space="0" w:color="000000"/>
              <w:left w:val="single" w:sz="4" w:space="0" w:color="000000"/>
              <w:bottom w:val="single" w:sz="4" w:space="0" w:color="000000"/>
            </w:tcBorders>
            <w:tcMar>
              <w:left w:w="28" w:type="dxa"/>
              <w:right w:w="28" w:type="dxa"/>
            </w:tcMar>
            <w:vAlign w:val="center"/>
          </w:tcPr>
          <w:p w:rsidR="00286780" w:rsidRPr="002139CE" w:rsidRDefault="00286780" w:rsidP="00DA2103">
            <w:pPr>
              <w:snapToGrid w:val="0"/>
              <w:jc w:val="center"/>
              <w:rPr>
                <w:rFonts w:cs="Calibri"/>
                <w:i/>
                <w:spacing w:val="-8"/>
                <w:sz w:val="24"/>
                <w:szCs w:val="24"/>
                <w:lang w:eastAsia="ar-SA"/>
              </w:rPr>
            </w:pPr>
            <w:r w:rsidRPr="002139CE">
              <w:rPr>
                <w:rFonts w:cs="Calibri"/>
                <w:i/>
                <w:spacing w:val="-8"/>
                <w:sz w:val="24"/>
                <w:szCs w:val="24"/>
                <w:lang w:eastAsia="ar-SA"/>
              </w:rPr>
              <w:t>33</w:t>
            </w:r>
            <w:r w:rsidRPr="002139CE">
              <w:rPr>
                <w:rFonts w:cs="Calibri"/>
                <w:i/>
                <w:spacing w:val="-8"/>
                <w:sz w:val="24"/>
                <w:szCs w:val="24"/>
                <w:lang w:val="en-US" w:eastAsia="ar-SA"/>
              </w:rPr>
              <w:t>[</w:t>
            </w:r>
            <w:r>
              <w:rPr>
                <w:rFonts w:cs="Calibri"/>
                <w:i/>
                <w:spacing w:val="-8"/>
                <w:sz w:val="24"/>
                <w:szCs w:val="24"/>
                <w:lang w:eastAsia="ar-SA"/>
              </w:rPr>
              <w:t>24;</w:t>
            </w:r>
            <w:r w:rsidRPr="002139CE">
              <w:rPr>
                <w:rFonts w:cs="Calibri"/>
                <w:i/>
                <w:spacing w:val="-8"/>
                <w:sz w:val="24"/>
                <w:szCs w:val="24"/>
                <w:lang w:eastAsia="ar-SA"/>
              </w:rPr>
              <w:t>36</w:t>
            </w:r>
            <w:r w:rsidRPr="002139CE">
              <w:rPr>
                <w:rFonts w:cs="Calibri"/>
                <w:i/>
                <w:spacing w:val="-8"/>
                <w:sz w:val="24"/>
                <w:szCs w:val="24"/>
                <w:lang w:val="en-US" w:eastAsia="ar-SA"/>
              </w:rPr>
              <w:t>]</w:t>
            </w:r>
            <w:r w:rsidRPr="002139CE">
              <w:rPr>
                <w:rFonts w:cs="Calibri"/>
                <w:i/>
                <w:spacing w:val="-8"/>
                <w:sz w:val="24"/>
                <w:szCs w:val="24"/>
                <w:lang w:eastAsia="ar-SA"/>
              </w:rPr>
              <w:t>*</w:t>
            </w:r>
          </w:p>
        </w:tc>
        <w:tc>
          <w:tcPr>
            <w:tcW w:w="3119"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2139CE" w:rsidRDefault="00286780" w:rsidP="00DA2103">
            <w:pPr>
              <w:snapToGrid w:val="0"/>
              <w:jc w:val="center"/>
              <w:rPr>
                <w:rFonts w:cs="Calibri"/>
                <w:spacing w:val="-8"/>
                <w:sz w:val="24"/>
                <w:szCs w:val="24"/>
                <w:lang w:val="en-US" w:eastAsia="ar-SA"/>
              </w:rPr>
            </w:pPr>
            <w:r>
              <w:rPr>
                <w:rFonts w:cs="Calibri"/>
                <w:spacing w:val="-8"/>
                <w:sz w:val="24"/>
                <w:szCs w:val="24"/>
                <w:lang w:eastAsia="ar-SA"/>
              </w:rPr>
              <w:t>20</w:t>
            </w:r>
            <w:r>
              <w:rPr>
                <w:rFonts w:cs="Calibri"/>
                <w:spacing w:val="-8"/>
                <w:sz w:val="24"/>
                <w:szCs w:val="24"/>
                <w:lang w:val="en-US" w:eastAsia="ar-SA"/>
              </w:rPr>
              <w:t>[18</w:t>
            </w:r>
            <w:r>
              <w:rPr>
                <w:rFonts w:cs="Calibri"/>
                <w:spacing w:val="-8"/>
                <w:sz w:val="24"/>
                <w:szCs w:val="24"/>
                <w:lang w:eastAsia="ar-SA"/>
              </w:rPr>
              <w:t>;</w:t>
            </w:r>
            <w:r>
              <w:rPr>
                <w:rFonts w:cs="Calibri"/>
                <w:spacing w:val="-8"/>
                <w:sz w:val="24"/>
                <w:szCs w:val="24"/>
                <w:lang w:val="en-US" w:eastAsia="ar-SA"/>
              </w:rPr>
              <w:t>24]</w:t>
            </w:r>
          </w:p>
        </w:tc>
      </w:tr>
      <w:tr w:rsidR="00286780" w:rsidRPr="00124D89" w:rsidTr="00653D3A">
        <w:trPr>
          <w:trHeight w:val="397"/>
        </w:trPr>
        <w:tc>
          <w:tcPr>
            <w:tcW w:w="3577"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DA2103">
            <w:pPr>
              <w:snapToGrid w:val="0"/>
              <w:rPr>
                <w:rFonts w:cs="Calibri"/>
                <w:spacing w:val="-8"/>
                <w:sz w:val="24"/>
                <w:szCs w:val="24"/>
                <w:lang w:eastAsia="ar-SA"/>
              </w:rPr>
            </w:pPr>
            <w:r w:rsidRPr="00124D89">
              <w:rPr>
                <w:rFonts w:cs="Calibri"/>
                <w:spacing w:val="-8"/>
                <w:sz w:val="24"/>
                <w:szCs w:val="24"/>
                <w:lang w:eastAsia="ar-SA"/>
              </w:rPr>
              <w:t>АД систолическое (мм рт.ст.)</w:t>
            </w:r>
          </w:p>
        </w:tc>
        <w:tc>
          <w:tcPr>
            <w:tcW w:w="3260" w:type="dxa"/>
            <w:tcBorders>
              <w:top w:val="single" w:sz="4" w:space="0" w:color="000000"/>
              <w:left w:val="single" w:sz="4" w:space="0" w:color="000000"/>
              <w:bottom w:val="single" w:sz="4" w:space="0" w:color="000000"/>
            </w:tcBorders>
            <w:tcMar>
              <w:left w:w="28" w:type="dxa"/>
              <w:right w:w="28" w:type="dxa"/>
            </w:tcMar>
            <w:vAlign w:val="center"/>
          </w:tcPr>
          <w:p w:rsidR="00286780" w:rsidRPr="002139CE" w:rsidRDefault="00286780" w:rsidP="00DA2103">
            <w:pPr>
              <w:snapToGrid w:val="0"/>
              <w:jc w:val="center"/>
              <w:rPr>
                <w:rFonts w:cs="Calibri"/>
                <w:i/>
                <w:spacing w:val="-8"/>
                <w:sz w:val="24"/>
                <w:szCs w:val="24"/>
                <w:lang w:eastAsia="ar-SA"/>
              </w:rPr>
            </w:pPr>
            <w:r w:rsidRPr="002139CE">
              <w:rPr>
                <w:rFonts w:cs="Calibri"/>
                <w:i/>
                <w:spacing w:val="-8"/>
                <w:sz w:val="24"/>
                <w:szCs w:val="24"/>
                <w:lang w:eastAsia="ar-SA"/>
              </w:rPr>
              <w:t>80</w:t>
            </w:r>
            <w:r w:rsidRPr="002139CE">
              <w:rPr>
                <w:rFonts w:cs="Calibri"/>
                <w:i/>
                <w:spacing w:val="-8"/>
                <w:sz w:val="24"/>
                <w:szCs w:val="24"/>
                <w:lang w:val="en-US" w:eastAsia="ar-SA"/>
              </w:rPr>
              <w:t>[</w:t>
            </w:r>
            <w:r w:rsidRPr="002139CE">
              <w:rPr>
                <w:rFonts w:cs="Calibri"/>
                <w:i/>
                <w:spacing w:val="-8"/>
                <w:sz w:val="24"/>
                <w:szCs w:val="24"/>
                <w:lang w:eastAsia="ar-SA"/>
              </w:rPr>
              <w:t>70; 100</w:t>
            </w:r>
            <w:r w:rsidRPr="002139CE">
              <w:rPr>
                <w:rFonts w:cs="Calibri"/>
                <w:i/>
                <w:spacing w:val="-8"/>
                <w:sz w:val="24"/>
                <w:szCs w:val="24"/>
                <w:lang w:val="en-US" w:eastAsia="ar-SA"/>
              </w:rPr>
              <w:t>]</w:t>
            </w:r>
            <w:r w:rsidRPr="002139CE">
              <w:rPr>
                <w:rFonts w:cs="Calibri"/>
                <w:i/>
                <w:spacing w:val="-8"/>
                <w:sz w:val="24"/>
                <w:szCs w:val="24"/>
                <w:lang w:eastAsia="ar-SA"/>
              </w:rPr>
              <w:t>*</w:t>
            </w:r>
          </w:p>
        </w:tc>
        <w:tc>
          <w:tcPr>
            <w:tcW w:w="3119"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752940" w:rsidRDefault="00286780" w:rsidP="00DA2103">
            <w:pPr>
              <w:snapToGrid w:val="0"/>
              <w:jc w:val="center"/>
              <w:rPr>
                <w:rFonts w:cs="Calibri"/>
                <w:spacing w:val="-8"/>
                <w:sz w:val="24"/>
                <w:szCs w:val="24"/>
                <w:lang w:eastAsia="ar-SA"/>
              </w:rPr>
            </w:pPr>
            <w:r>
              <w:rPr>
                <w:rFonts w:cs="Calibri"/>
                <w:spacing w:val="-8"/>
                <w:sz w:val="24"/>
                <w:szCs w:val="24"/>
                <w:lang w:eastAsia="ar-SA"/>
              </w:rPr>
              <w:t>110</w:t>
            </w:r>
            <w:r>
              <w:rPr>
                <w:rFonts w:cs="Calibri"/>
                <w:spacing w:val="-8"/>
                <w:sz w:val="24"/>
                <w:szCs w:val="24"/>
                <w:lang w:val="en-US" w:eastAsia="ar-SA"/>
              </w:rPr>
              <w:t>[</w:t>
            </w:r>
            <w:r>
              <w:rPr>
                <w:rFonts w:cs="Calibri"/>
                <w:spacing w:val="-8"/>
                <w:sz w:val="24"/>
                <w:szCs w:val="24"/>
                <w:lang w:eastAsia="ar-SA"/>
              </w:rPr>
              <w:t>100;120</w:t>
            </w:r>
            <w:r>
              <w:rPr>
                <w:rFonts w:cs="Calibri"/>
                <w:spacing w:val="-8"/>
                <w:sz w:val="24"/>
                <w:szCs w:val="24"/>
                <w:lang w:val="en-US" w:eastAsia="ar-SA"/>
              </w:rPr>
              <w:t>]</w:t>
            </w:r>
          </w:p>
        </w:tc>
      </w:tr>
      <w:tr w:rsidR="00286780" w:rsidRPr="00124D89" w:rsidTr="00653D3A">
        <w:trPr>
          <w:trHeight w:val="397"/>
        </w:trPr>
        <w:tc>
          <w:tcPr>
            <w:tcW w:w="3577"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DA2103">
            <w:pPr>
              <w:snapToGrid w:val="0"/>
              <w:rPr>
                <w:rFonts w:cs="Calibri"/>
                <w:spacing w:val="-8"/>
                <w:sz w:val="24"/>
                <w:szCs w:val="24"/>
                <w:lang w:eastAsia="ar-SA"/>
              </w:rPr>
            </w:pPr>
            <w:r w:rsidRPr="00124D89">
              <w:rPr>
                <w:rFonts w:cs="Calibri"/>
                <w:spacing w:val="-8"/>
                <w:sz w:val="24"/>
                <w:szCs w:val="24"/>
                <w:lang w:eastAsia="ar-SA"/>
              </w:rPr>
              <w:t>АД диастолическое (мм рт.ст.)</w:t>
            </w:r>
          </w:p>
        </w:tc>
        <w:tc>
          <w:tcPr>
            <w:tcW w:w="3260" w:type="dxa"/>
            <w:tcBorders>
              <w:top w:val="single" w:sz="4" w:space="0" w:color="000000"/>
              <w:left w:val="single" w:sz="4" w:space="0" w:color="000000"/>
              <w:bottom w:val="single" w:sz="4" w:space="0" w:color="000000"/>
            </w:tcBorders>
            <w:tcMar>
              <w:left w:w="28" w:type="dxa"/>
              <w:right w:w="28" w:type="dxa"/>
            </w:tcMar>
            <w:vAlign w:val="center"/>
          </w:tcPr>
          <w:p w:rsidR="00286780" w:rsidRPr="00671AAF" w:rsidRDefault="00286780" w:rsidP="00DA2103">
            <w:pPr>
              <w:snapToGrid w:val="0"/>
              <w:jc w:val="center"/>
              <w:rPr>
                <w:rFonts w:cs="Calibri"/>
                <w:spacing w:val="-8"/>
                <w:sz w:val="24"/>
                <w:szCs w:val="24"/>
                <w:lang w:eastAsia="ar-SA"/>
              </w:rPr>
            </w:pPr>
            <w:r>
              <w:rPr>
                <w:rFonts w:cs="Calibri"/>
                <w:spacing w:val="-8"/>
                <w:sz w:val="24"/>
                <w:szCs w:val="24"/>
                <w:lang w:eastAsia="ar-SA"/>
              </w:rPr>
              <w:t>50</w:t>
            </w:r>
            <w:r w:rsidRPr="00671AAF">
              <w:rPr>
                <w:rFonts w:cs="Calibri"/>
                <w:spacing w:val="-8"/>
                <w:sz w:val="24"/>
                <w:szCs w:val="24"/>
                <w:lang w:val="en-US" w:eastAsia="ar-SA"/>
              </w:rPr>
              <w:t>[</w:t>
            </w:r>
            <w:r>
              <w:rPr>
                <w:rFonts w:cs="Calibri"/>
                <w:spacing w:val="-8"/>
                <w:sz w:val="24"/>
                <w:szCs w:val="24"/>
                <w:lang w:eastAsia="ar-SA"/>
              </w:rPr>
              <w:t>40; 60</w:t>
            </w:r>
            <w:r w:rsidRPr="00671AAF">
              <w:rPr>
                <w:rFonts w:cs="Calibri"/>
                <w:spacing w:val="-8"/>
                <w:sz w:val="24"/>
                <w:szCs w:val="24"/>
                <w:lang w:val="en-US" w:eastAsia="ar-SA"/>
              </w:rPr>
              <w:t>]</w:t>
            </w:r>
          </w:p>
        </w:tc>
        <w:tc>
          <w:tcPr>
            <w:tcW w:w="3119"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752940" w:rsidRDefault="00286780" w:rsidP="00DA2103">
            <w:pPr>
              <w:snapToGrid w:val="0"/>
              <w:jc w:val="center"/>
              <w:rPr>
                <w:rFonts w:cs="Calibri"/>
                <w:spacing w:val="-8"/>
                <w:sz w:val="24"/>
                <w:szCs w:val="24"/>
                <w:lang w:eastAsia="ar-SA"/>
              </w:rPr>
            </w:pPr>
            <w:r>
              <w:rPr>
                <w:rFonts w:cs="Calibri"/>
                <w:spacing w:val="-8"/>
                <w:sz w:val="24"/>
                <w:szCs w:val="24"/>
                <w:lang w:eastAsia="ar-SA"/>
              </w:rPr>
              <w:t>70</w:t>
            </w:r>
            <w:r>
              <w:rPr>
                <w:rFonts w:cs="Calibri"/>
                <w:spacing w:val="-8"/>
                <w:sz w:val="24"/>
                <w:szCs w:val="24"/>
                <w:lang w:val="en-US" w:eastAsia="ar-SA"/>
              </w:rPr>
              <w:t>[</w:t>
            </w:r>
            <w:r>
              <w:rPr>
                <w:rFonts w:cs="Calibri"/>
                <w:spacing w:val="-8"/>
                <w:sz w:val="24"/>
                <w:szCs w:val="24"/>
                <w:lang w:eastAsia="ar-SA"/>
              </w:rPr>
              <w:t>60;70</w:t>
            </w:r>
            <w:r>
              <w:rPr>
                <w:rFonts w:cs="Calibri"/>
                <w:spacing w:val="-8"/>
                <w:sz w:val="24"/>
                <w:szCs w:val="24"/>
                <w:lang w:val="en-US" w:eastAsia="ar-SA"/>
              </w:rPr>
              <w:t>]</w:t>
            </w:r>
          </w:p>
        </w:tc>
      </w:tr>
      <w:tr w:rsidR="00286780" w:rsidRPr="00124D89" w:rsidTr="00653D3A">
        <w:trPr>
          <w:trHeight w:val="397"/>
        </w:trPr>
        <w:tc>
          <w:tcPr>
            <w:tcW w:w="3577"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DA2103">
            <w:pPr>
              <w:snapToGrid w:val="0"/>
              <w:rPr>
                <w:rFonts w:cs="Calibri"/>
                <w:spacing w:val="-8"/>
                <w:sz w:val="24"/>
                <w:szCs w:val="24"/>
                <w:lang w:eastAsia="ar-SA"/>
              </w:rPr>
            </w:pPr>
            <w:r w:rsidRPr="00124D89">
              <w:rPr>
                <w:rFonts w:cs="Calibri"/>
                <w:spacing w:val="-8"/>
                <w:sz w:val="24"/>
                <w:szCs w:val="24"/>
                <w:lang w:eastAsia="ar-SA"/>
              </w:rPr>
              <w:t>ЧСС (в 1 мин.)</w:t>
            </w:r>
          </w:p>
        </w:tc>
        <w:tc>
          <w:tcPr>
            <w:tcW w:w="3260" w:type="dxa"/>
            <w:tcBorders>
              <w:top w:val="single" w:sz="4" w:space="0" w:color="000000"/>
              <w:left w:val="single" w:sz="4" w:space="0" w:color="000000"/>
              <w:bottom w:val="single" w:sz="4" w:space="0" w:color="000000"/>
            </w:tcBorders>
            <w:tcMar>
              <w:left w:w="28" w:type="dxa"/>
              <w:right w:w="28" w:type="dxa"/>
            </w:tcMar>
            <w:vAlign w:val="center"/>
          </w:tcPr>
          <w:p w:rsidR="00286780" w:rsidRPr="00C90C96" w:rsidRDefault="00286780" w:rsidP="00DA2103">
            <w:pPr>
              <w:snapToGrid w:val="0"/>
              <w:jc w:val="center"/>
              <w:rPr>
                <w:rFonts w:cs="Calibri"/>
                <w:spacing w:val="-8"/>
                <w:sz w:val="24"/>
                <w:szCs w:val="24"/>
                <w:lang w:eastAsia="ar-SA"/>
              </w:rPr>
            </w:pPr>
            <w:r>
              <w:rPr>
                <w:rFonts w:cs="Calibri"/>
                <w:spacing w:val="-8"/>
                <w:sz w:val="24"/>
                <w:szCs w:val="24"/>
                <w:lang w:eastAsia="ar-SA"/>
              </w:rPr>
              <w:t>112</w:t>
            </w:r>
            <w:r>
              <w:rPr>
                <w:rFonts w:cs="Calibri"/>
                <w:spacing w:val="-8"/>
                <w:sz w:val="24"/>
                <w:szCs w:val="24"/>
                <w:lang w:val="en-US" w:eastAsia="ar-SA"/>
              </w:rPr>
              <w:t>[</w:t>
            </w:r>
            <w:r>
              <w:rPr>
                <w:rFonts w:cs="Calibri"/>
                <w:spacing w:val="-8"/>
                <w:sz w:val="24"/>
                <w:szCs w:val="24"/>
                <w:lang w:eastAsia="ar-SA"/>
              </w:rPr>
              <w:t>108;130</w:t>
            </w:r>
            <w:r>
              <w:rPr>
                <w:rFonts w:cs="Calibri"/>
                <w:spacing w:val="-8"/>
                <w:sz w:val="24"/>
                <w:szCs w:val="24"/>
                <w:lang w:val="en-US" w:eastAsia="ar-SA"/>
              </w:rPr>
              <w:t>]</w:t>
            </w:r>
          </w:p>
        </w:tc>
        <w:tc>
          <w:tcPr>
            <w:tcW w:w="3119"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752940" w:rsidRDefault="00286780" w:rsidP="00DA2103">
            <w:pPr>
              <w:snapToGrid w:val="0"/>
              <w:jc w:val="center"/>
              <w:rPr>
                <w:rFonts w:cs="Calibri"/>
                <w:spacing w:val="-8"/>
                <w:sz w:val="24"/>
                <w:szCs w:val="24"/>
                <w:lang w:eastAsia="ar-SA"/>
              </w:rPr>
            </w:pPr>
            <w:r>
              <w:rPr>
                <w:rFonts w:cs="Calibri"/>
                <w:spacing w:val="-8"/>
                <w:sz w:val="24"/>
                <w:szCs w:val="24"/>
                <w:lang w:eastAsia="ar-SA"/>
              </w:rPr>
              <w:t>98</w:t>
            </w:r>
            <w:r>
              <w:rPr>
                <w:rFonts w:cs="Calibri"/>
                <w:spacing w:val="-8"/>
                <w:sz w:val="24"/>
                <w:szCs w:val="24"/>
                <w:lang w:val="en-US" w:eastAsia="ar-SA"/>
              </w:rPr>
              <w:t>[</w:t>
            </w:r>
            <w:r>
              <w:rPr>
                <w:rFonts w:cs="Calibri"/>
                <w:spacing w:val="-8"/>
                <w:sz w:val="24"/>
                <w:szCs w:val="24"/>
                <w:lang w:eastAsia="ar-SA"/>
              </w:rPr>
              <w:t>94;136</w:t>
            </w:r>
            <w:r>
              <w:rPr>
                <w:rFonts w:cs="Calibri"/>
                <w:spacing w:val="-8"/>
                <w:sz w:val="24"/>
                <w:szCs w:val="24"/>
                <w:lang w:val="en-US" w:eastAsia="ar-SA"/>
              </w:rPr>
              <w:t>]</w:t>
            </w:r>
          </w:p>
        </w:tc>
      </w:tr>
      <w:tr w:rsidR="00286780" w:rsidRPr="00124D89" w:rsidTr="00653D3A">
        <w:trPr>
          <w:trHeight w:val="397"/>
        </w:trPr>
        <w:tc>
          <w:tcPr>
            <w:tcW w:w="3577"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DA2103">
            <w:pPr>
              <w:snapToGrid w:val="0"/>
              <w:rPr>
                <w:rFonts w:cs="Calibri"/>
                <w:spacing w:val="-8"/>
                <w:sz w:val="24"/>
                <w:szCs w:val="24"/>
                <w:lang w:eastAsia="ar-SA"/>
              </w:rPr>
            </w:pPr>
            <w:r w:rsidRPr="00124D89">
              <w:rPr>
                <w:rFonts w:cs="Calibri"/>
                <w:spacing w:val="-8"/>
                <w:sz w:val="24"/>
                <w:szCs w:val="24"/>
                <w:lang w:eastAsia="ar-SA"/>
              </w:rPr>
              <w:t>Эритроциты (×10</w:t>
            </w:r>
            <w:r w:rsidRPr="00124D89">
              <w:rPr>
                <w:rFonts w:cs="Calibri"/>
                <w:spacing w:val="-8"/>
                <w:sz w:val="24"/>
                <w:szCs w:val="24"/>
                <w:vertAlign w:val="superscript"/>
                <w:lang w:eastAsia="ar-SA"/>
              </w:rPr>
              <w:t>12</w:t>
            </w:r>
            <w:r w:rsidRPr="00124D89">
              <w:rPr>
                <w:rFonts w:cs="Calibri"/>
                <w:spacing w:val="-8"/>
                <w:sz w:val="24"/>
                <w:szCs w:val="24"/>
                <w:lang w:eastAsia="ar-SA"/>
              </w:rPr>
              <w:t>/л)</w:t>
            </w:r>
          </w:p>
        </w:tc>
        <w:tc>
          <w:tcPr>
            <w:tcW w:w="3260" w:type="dxa"/>
            <w:tcBorders>
              <w:top w:val="single" w:sz="4" w:space="0" w:color="000000"/>
              <w:left w:val="single" w:sz="4" w:space="0" w:color="000000"/>
              <w:bottom w:val="single" w:sz="4" w:space="0" w:color="000000"/>
            </w:tcBorders>
            <w:tcMar>
              <w:left w:w="28" w:type="dxa"/>
              <w:right w:w="28" w:type="dxa"/>
            </w:tcMar>
            <w:vAlign w:val="center"/>
          </w:tcPr>
          <w:p w:rsidR="00286780" w:rsidRPr="00EA0B32" w:rsidRDefault="00286780" w:rsidP="00DA2103">
            <w:pPr>
              <w:snapToGrid w:val="0"/>
              <w:jc w:val="center"/>
              <w:rPr>
                <w:rFonts w:cs="Calibri"/>
                <w:spacing w:val="-8"/>
                <w:sz w:val="24"/>
                <w:szCs w:val="24"/>
                <w:lang w:eastAsia="ar-SA"/>
              </w:rPr>
            </w:pPr>
            <w:r>
              <w:rPr>
                <w:rFonts w:cs="Calibri"/>
                <w:spacing w:val="-8"/>
                <w:sz w:val="24"/>
                <w:szCs w:val="24"/>
                <w:lang w:eastAsia="ar-SA"/>
              </w:rPr>
              <w:t>3,15</w:t>
            </w:r>
            <w:r>
              <w:rPr>
                <w:rFonts w:cs="Calibri"/>
                <w:spacing w:val="-8"/>
                <w:sz w:val="24"/>
                <w:szCs w:val="24"/>
                <w:lang w:val="en-US" w:eastAsia="ar-SA"/>
              </w:rPr>
              <w:t>[</w:t>
            </w:r>
            <w:r>
              <w:rPr>
                <w:rFonts w:cs="Calibri"/>
                <w:spacing w:val="-8"/>
                <w:sz w:val="24"/>
                <w:szCs w:val="24"/>
                <w:lang w:eastAsia="ar-SA"/>
              </w:rPr>
              <w:t>2,9;3,37</w:t>
            </w:r>
            <w:r>
              <w:rPr>
                <w:rFonts w:cs="Calibri"/>
                <w:spacing w:val="-8"/>
                <w:sz w:val="24"/>
                <w:szCs w:val="24"/>
                <w:lang w:val="en-US" w:eastAsia="ar-SA"/>
              </w:rPr>
              <w:t>]</w:t>
            </w:r>
          </w:p>
        </w:tc>
        <w:tc>
          <w:tcPr>
            <w:tcW w:w="3119"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EA0B32" w:rsidRDefault="00286780" w:rsidP="00DA2103">
            <w:pPr>
              <w:snapToGrid w:val="0"/>
              <w:jc w:val="center"/>
              <w:rPr>
                <w:rFonts w:cs="Calibri"/>
                <w:spacing w:val="-8"/>
                <w:sz w:val="24"/>
                <w:szCs w:val="24"/>
                <w:lang w:eastAsia="ar-SA"/>
              </w:rPr>
            </w:pPr>
            <w:r>
              <w:rPr>
                <w:rFonts w:cs="Calibri"/>
                <w:spacing w:val="-8"/>
                <w:sz w:val="24"/>
                <w:szCs w:val="24"/>
                <w:lang w:eastAsia="ar-SA"/>
              </w:rPr>
              <w:t>3,3</w:t>
            </w:r>
            <w:r>
              <w:rPr>
                <w:rFonts w:cs="Calibri"/>
                <w:spacing w:val="-8"/>
                <w:sz w:val="24"/>
                <w:szCs w:val="24"/>
                <w:lang w:val="en-US" w:eastAsia="ar-SA"/>
              </w:rPr>
              <w:t>[</w:t>
            </w:r>
            <w:r>
              <w:rPr>
                <w:rFonts w:cs="Calibri"/>
                <w:spacing w:val="-8"/>
                <w:sz w:val="24"/>
                <w:szCs w:val="24"/>
                <w:lang w:eastAsia="ar-SA"/>
              </w:rPr>
              <w:t>3,1;3,4</w:t>
            </w:r>
            <w:r>
              <w:rPr>
                <w:rFonts w:cs="Calibri"/>
                <w:spacing w:val="-8"/>
                <w:sz w:val="24"/>
                <w:szCs w:val="24"/>
                <w:lang w:val="en-US" w:eastAsia="ar-SA"/>
              </w:rPr>
              <w:t>]</w:t>
            </w:r>
          </w:p>
        </w:tc>
      </w:tr>
      <w:tr w:rsidR="00286780" w:rsidRPr="00124D89" w:rsidTr="00653D3A">
        <w:trPr>
          <w:trHeight w:val="397"/>
        </w:trPr>
        <w:tc>
          <w:tcPr>
            <w:tcW w:w="3577"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DA2103">
            <w:pPr>
              <w:snapToGrid w:val="0"/>
              <w:rPr>
                <w:rFonts w:cs="Calibri"/>
                <w:spacing w:val="-8"/>
                <w:sz w:val="24"/>
                <w:szCs w:val="24"/>
                <w:lang w:eastAsia="ar-SA"/>
              </w:rPr>
            </w:pPr>
            <w:r w:rsidRPr="00124D89">
              <w:rPr>
                <w:rFonts w:cs="Calibri"/>
                <w:spacing w:val="-8"/>
                <w:sz w:val="24"/>
                <w:szCs w:val="24"/>
                <w:lang w:eastAsia="ar-SA"/>
              </w:rPr>
              <w:t>Гемоглобин (г/л)</w:t>
            </w:r>
          </w:p>
        </w:tc>
        <w:tc>
          <w:tcPr>
            <w:tcW w:w="3260" w:type="dxa"/>
            <w:tcBorders>
              <w:top w:val="single" w:sz="4" w:space="0" w:color="000000"/>
              <w:left w:val="single" w:sz="4" w:space="0" w:color="000000"/>
              <w:bottom w:val="single" w:sz="4" w:space="0" w:color="000000"/>
            </w:tcBorders>
            <w:tcMar>
              <w:left w:w="28" w:type="dxa"/>
              <w:right w:w="28" w:type="dxa"/>
            </w:tcMar>
            <w:vAlign w:val="center"/>
          </w:tcPr>
          <w:p w:rsidR="00286780" w:rsidRPr="00B26C70" w:rsidRDefault="00286780" w:rsidP="00DA2103">
            <w:pPr>
              <w:snapToGrid w:val="0"/>
              <w:jc w:val="center"/>
              <w:rPr>
                <w:rFonts w:cs="Calibri"/>
                <w:spacing w:val="-8"/>
                <w:sz w:val="24"/>
                <w:szCs w:val="24"/>
                <w:lang w:eastAsia="ar-SA"/>
              </w:rPr>
            </w:pPr>
            <w:r>
              <w:rPr>
                <w:rFonts w:cs="Calibri"/>
                <w:spacing w:val="-8"/>
                <w:sz w:val="24"/>
                <w:szCs w:val="24"/>
                <w:lang w:eastAsia="ar-SA"/>
              </w:rPr>
              <w:t>101,5</w:t>
            </w:r>
            <w:r>
              <w:rPr>
                <w:rFonts w:cs="Calibri"/>
                <w:spacing w:val="-8"/>
                <w:sz w:val="24"/>
                <w:szCs w:val="24"/>
                <w:lang w:val="en-US" w:eastAsia="ar-SA"/>
              </w:rPr>
              <w:t>[</w:t>
            </w:r>
            <w:r>
              <w:rPr>
                <w:rFonts w:cs="Calibri"/>
                <w:spacing w:val="-8"/>
                <w:sz w:val="24"/>
                <w:szCs w:val="24"/>
                <w:lang w:eastAsia="ar-SA"/>
              </w:rPr>
              <w:t>89;108,5</w:t>
            </w:r>
            <w:r>
              <w:rPr>
                <w:rFonts w:cs="Calibri"/>
                <w:spacing w:val="-8"/>
                <w:sz w:val="24"/>
                <w:szCs w:val="24"/>
                <w:lang w:val="en-US" w:eastAsia="ar-SA"/>
              </w:rPr>
              <w:t>]</w:t>
            </w:r>
          </w:p>
        </w:tc>
        <w:tc>
          <w:tcPr>
            <w:tcW w:w="3119"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B26C70" w:rsidRDefault="00286780" w:rsidP="00DA2103">
            <w:pPr>
              <w:snapToGrid w:val="0"/>
              <w:jc w:val="center"/>
              <w:rPr>
                <w:rFonts w:cs="Calibri"/>
                <w:spacing w:val="-8"/>
                <w:sz w:val="24"/>
                <w:szCs w:val="24"/>
                <w:lang w:eastAsia="ar-SA"/>
              </w:rPr>
            </w:pPr>
            <w:r>
              <w:rPr>
                <w:rFonts w:cs="Calibri"/>
                <w:spacing w:val="-8"/>
                <w:sz w:val="24"/>
                <w:szCs w:val="24"/>
                <w:lang w:eastAsia="ar-SA"/>
              </w:rPr>
              <w:t>106</w:t>
            </w:r>
            <w:r>
              <w:rPr>
                <w:rFonts w:cs="Calibri"/>
                <w:spacing w:val="-8"/>
                <w:sz w:val="24"/>
                <w:szCs w:val="24"/>
                <w:lang w:val="en-US" w:eastAsia="ar-SA"/>
              </w:rPr>
              <w:t>[</w:t>
            </w:r>
            <w:r>
              <w:rPr>
                <w:rFonts w:cs="Calibri"/>
                <w:spacing w:val="-8"/>
                <w:sz w:val="24"/>
                <w:szCs w:val="24"/>
                <w:lang w:eastAsia="ar-SA"/>
              </w:rPr>
              <w:t>98;109</w:t>
            </w:r>
            <w:r>
              <w:rPr>
                <w:rFonts w:cs="Calibri"/>
                <w:spacing w:val="-8"/>
                <w:sz w:val="24"/>
                <w:szCs w:val="24"/>
                <w:lang w:val="en-US" w:eastAsia="ar-SA"/>
              </w:rPr>
              <w:t>]</w:t>
            </w:r>
          </w:p>
        </w:tc>
      </w:tr>
      <w:tr w:rsidR="00286780" w:rsidRPr="00124D89" w:rsidTr="00653D3A">
        <w:trPr>
          <w:trHeight w:val="397"/>
        </w:trPr>
        <w:tc>
          <w:tcPr>
            <w:tcW w:w="3577"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DA2103">
            <w:pPr>
              <w:snapToGrid w:val="0"/>
              <w:rPr>
                <w:rFonts w:cs="Calibri"/>
                <w:spacing w:val="-8"/>
                <w:sz w:val="24"/>
                <w:szCs w:val="24"/>
                <w:lang w:eastAsia="ar-SA"/>
              </w:rPr>
            </w:pPr>
            <w:r w:rsidRPr="00124D89">
              <w:rPr>
                <w:rFonts w:cs="Calibri"/>
                <w:spacing w:val="-8"/>
                <w:sz w:val="24"/>
                <w:szCs w:val="24"/>
                <w:lang w:eastAsia="ar-SA"/>
              </w:rPr>
              <w:t>Лейкоциты (×10</w:t>
            </w:r>
            <w:r w:rsidRPr="00124D89">
              <w:rPr>
                <w:rFonts w:cs="Calibri"/>
                <w:spacing w:val="-8"/>
                <w:sz w:val="24"/>
                <w:szCs w:val="24"/>
                <w:vertAlign w:val="superscript"/>
                <w:lang w:eastAsia="ar-SA"/>
              </w:rPr>
              <w:t>9</w:t>
            </w:r>
            <w:r w:rsidRPr="00124D89">
              <w:rPr>
                <w:rFonts w:cs="Calibri"/>
                <w:spacing w:val="-8"/>
                <w:sz w:val="24"/>
                <w:szCs w:val="24"/>
                <w:lang w:eastAsia="ar-SA"/>
              </w:rPr>
              <w:t>/л)</w:t>
            </w:r>
          </w:p>
        </w:tc>
        <w:tc>
          <w:tcPr>
            <w:tcW w:w="3260" w:type="dxa"/>
            <w:tcBorders>
              <w:top w:val="single" w:sz="4" w:space="0" w:color="000000"/>
              <w:left w:val="single" w:sz="4" w:space="0" w:color="000000"/>
              <w:bottom w:val="single" w:sz="4" w:space="0" w:color="000000"/>
            </w:tcBorders>
            <w:tcMar>
              <w:left w:w="28" w:type="dxa"/>
              <w:right w:w="28" w:type="dxa"/>
            </w:tcMar>
            <w:vAlign w:val="center"/>
          </w:tcPr>
          <w:p w:rsidR="00286780" w:rsidRPr="00B26C70" w:rsidRDefault="00286780" w:rsidP="00DA2103">
            <w:pPr>
              <w:snapToGrid w:val="0"/>
              <w:jc w:val="center"/>
              <w:rPr>
                <w:rFonts w:cs="Calibri"/>
                <w:spacing w:val="-8"/>
                <w:sz w:val="24"/>
                <w:szCs w:val="24"/>
                <w:lang w:eastAsia="ar-SA"/>
              </w:rPr>
            </w:pPr>
            <w:r>
              <w:rPr>
                <w:rFonts w:cs="Calibri"/>
                <w:spacing w:val="-8"/>
                <w:sz w:val="24"/>
                <w:szCs w:val="24"/>
                <w:lang w:eastAsia="ar-SA"/>
              </w:rPr>
              <w:t>17,8</w:t>
            </w:r>
            <w:r w:rsidRPr="00B26C70">
              <w:rPr>
                <w:rFonts w:cs="Calibri"/>
                <w:spacing w:val="-8"/>
                <w:sz w:val="24"/>
                <w:szCs w:val="24"/>
                <w:lang w:eastAsia="ar-SA"/>
              </w:rPr>
              <w:t>[</w:t>
            </w:r>
            <w:r>
              <w:rPr>
                <w:rFonts w:cs="Calibri"/>
                <w:spacing w:val="-8"/>
                <w:sz w:val="24"/>
                <w:szCs w:val="24"/>
                <w:lang w:eastAsia="ar-SA"/>
              </w:rPr>
              <w:t>12,</w:t>
            </w:r>
            <w:r w:rsidRPr="00B26C70">
              <w:rPr>
                <w:rFonts w:cs="Calibri"/>
                <w:spacing w:val="-8"/>
                <w:sz w:val="24"/>
                <w:szCs w:val="24"/>
                <w:lang w:eastAsia="ar-SA"/>
              </w:rPr>
              <w:t>1</w:t>
            </w:r>
            <w:r>
              <w:rPr>
                <w:rFonts w:cs="Calibri"/>
                <w:spacing w:val="-8"/>
                <w:sz w:val="24"/>
                <w:szCs w:val="24"/>
                <w:lang w:eastAsia="ar-SA"/>
              </w:rPr>
              <w:t>;25,</w:t>
            </w:r>
            <w:r w:rsidRPr="00B26C70">
              <w:rPr>
                <w:rFonts w:cs="Calibri"/>
                <w:spacing w:val="-8"/>
                <w:sz w:val="24"/>
                <w:szCs w:val="24"/>
                <w:lang w:eastAsia="ar-SA"/>
              </w:rPr>
              <w:t>9]</w:t>
            </w:r>
          </w:p>
        </w:tc>
        <w:tc>
          <w:tcPr>
            <w:tcW w:w="3119"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B26C70" w:rsidRDefault="00286780" w:rsidP="00DA2103">
            <w:pPr>
              <w:snapToGrid w:val="0"/>
              <w:jc w:val="center"/>
              <w:rPr>
                <w:rFonts w:cs="Calibri"/>
                <w:spacing w:val="-8"/>
                <w:sz w:val="24"/>
                <w:szCs w:val="24"/>
                <w:lang w:eastAsia="ar-SA"/>
              </w:rPr>
            </w:pPr>
            <w:r>
              <w:rPr>
                <w:rFonts w:cs="Calibri"/>
                <w:spacing w:val="-8"/>
                <w:sz w:val="24"/>
                <w:szCs w:val="24"/>
                <w:lang w:eastAsia="ar-SA"/>
              </w:rPr>
              <w:t>18,1</w:t>
            </w:r>
            <w:r w:rsidRPr="00B26C70">
              <w:rPr>
                <w:rFonts w:cs="Calibri"/>
                <w:spacing w:val="-8"/>
                <w:sz w:val="24"/>
                <w:szCs w:val="24"/>
                <w:lang w:eastAsia="ar-SA"/>
              </w:rPr>
              <w:t>[</w:t>
            </w:r>
            <w:r>
              <w:rPr>
                <w:rFonts w:cs="Calibri"/>
                <w:spacing w:val="-8"/>
                <w:sz w:val="24"/>
                <w:szCs w:val="24"/>
                <w:lang w:eastAsia="ar-SA"/>
              </w:rPr>
              <w:t>15,</w:t>
            </w:r>
            <w:r w:rsidRPr="00B26C70">
              <w:rPr>
                <w:rFonts w:cs="Calibri"/>
                <w:spacing w:val="-8"/>
                <w:sz w:val="24"/>
                <w:szCs w:val="24"/>
                <w:lang w:eastAsia="ar-SA"/>
              </w:rPr>
              <w:t>1</w:t>
            </w:r>
            <w:r>
              <w:rPr>
                <w:rFonts w:cs="Calibri"/>
                <w:spacing w:val="-8"/>
                <w:sz w:val="24"/>
                <w:szCs w:val="24"/>
                <w:lang w:eastAsia="ar-SA"/>
              </w:rPr>
              <w:t>;</w:t>
            </w:r>
            <w:r w:rsidRPr="00B26C70">
              <w:rPr>
                <w:rFonts w:cs="Calibri"/>
                <w:spacing w:val="-8"/>
                <w:sz w:val="24"/>
                <w:szCs w:val="24"/>
                <w:lang w:eastAsia="ar-SA"/>
              </w:rPr>
              <w:t>19</w:t>
            </w:r>
            <w:r>
              <w:rPr>
                <w:rFonts w:cs="Calibri"/>
                <w:spacing w:val="-8"/>
                <w:sz w:val="24"/>
                <w:szCs w:val="24"/>
                <w:lang w:eastAsia="ar-SA"/>
              </w:rPr>
              <w:t>,</w:t>
            </w:r>
            <w:r w:rsidRPr="00B26C70">
              <w:rPr>
                <w:rFonts w:cs="Calibri"/>
                <w:spacing w:val="-8"/>
                <w:sz w:val="24"/>
                <w:szCs w:val="24"/>
                <w:lang w:eastAsia="ar-SA"/>
              </w:rPr>
              <w:t>8]</w:t>
            </w:r>
          </w:p>
        </w:tc>
      </w:tr>
      <w:tr w:rsidR="00286780" w:rsidRPr="00124D89" w:rsidTr="00653D3A">
        <w:trPr>
          <w:trHeight w:val="397"/>
        </w:trPr>
        <w:tc>
          <w:tcPr>
            <w:tcW w:w="3577"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DA2103">
            <w:pPr>
              <w:snapToGrid w:val="0"/>
              <w:rPr>
                <w:rFonts w:cs="Calibri"/>
                <w:spacing w:val="-8"/>
                <w:sz w:val="24"/>
                <w:szCs w:val="24"/>
                <w:lang w:eastAsia="ar-SA"/>
              </w:rPr>
            </w:pPr>
            <w:r w:rsidRPr="00124D89">
              <w:rPr>
                <w:rFonts w:cs="Calibri"/>
                <w:spacing w:val="-8"/>
                <w:sz w:val="24"/>
                <w:szCs w:val="24"/>
                <w:lang w:eastAsia="ar-SA"/>
              </w:rPr>
              <w:t>Лимфоциты (абс. в 1 мкл.)</w:t>
            </w:r>
          </w:p>
        </w:tc>
        <w:tc>
          <w:tcPr>
            <w:tcW w:w="3260" w:type="dxa"/>
            <w:tcBorders>
              <w:top w:val="single" w:sz="4" w:space="0" w:color="000000"/>
              <w:left w:val="single" w:sz="4" w:space="0" w:color="000000"/>
              <w:bottom w:val="single" w:sz="4" w:space="0" w:color="000000"/>
            </w:tcBorders>
            <w:tcMar>
              <w:left w:w="28" w:type="dxa"/>
              <w:right w:w="28" w:type="dxa"/>
            </w:tcMar>
            <w:vAlign w:val="center"/>
          </w:tcPr>
          <w:p w:rsidR="00286780" w:rsidRPr="00F86807" w:rsidRDefault="00286780" w:rsidP="00DA2103">
            <w:pPr>
              <w:snapToGrid w:val="0"/>
              <w:jc w:val="center"/>
              <w:rPr>
                <w:rFonts w:cs="Calibri"/>
                <w:spacing w:val="-8"/>
                <w:sz w:val="24"/>
                <w:szCs w:val="24"/>
                <w:lang w:eastAsia="ar-SA"/>
              </w:rPr>
            </w:pPr>
            <w:r>
              <w:rPr>
                <w:rFonts w:cs="Calibri"/>
                <w:spacing w:val="-8"/>
                <w:sz w:val="24"/>
                <w:szCs w:val="24"/>
                <w:lang w:eastAsia="ar-SA"/>
              </w:rPr>
              <w:t>1104</w:t>
            </w:r>
            <w:r>
              <w:rPr>
                <w:rFonts w:cs="Calibri"/>
                <w:spacing w:val="-8"/>
                <w:sz w:val="24"/>
                <w:szCs w:val="24"/>
                <w:lang w:val="en-US" w:eastAsia="ar-SA"/>
              </w:rPr>
              <w:t>[</w:t>
            </w:r>
            <w:r>
              <w:rPr>
                <w:rFonts w:cs="Calibri"/>
                <w:spacing w:val="-8"/>
                <w:sz w:val="24"/>
                <w:szCs w:val="24"/>
                <w:lang w:eastAsia="ar-SA"/>
              </w:rPr>
              <w:t>910;1862</w:t>
            </w:r>
            <w:r>
              <w:rPr>
                <w:rFonts w:cs="Calibri"/>
                <w:spacing w:val="-8"/>
                <w:sz w:val="24"/>
                <w:szCs w:val="24"/>
                <w:lang w:val="en-US" w:eastAsia="ar-SA"/>
              </w:rPr>
              <w:t>]</w:t>
            </w:r>
          </w:p>
        </w:tc>
        <w:tc>
          <w:tcPr>
            <w:tcW w:w="3119"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F86807" w:rsidRDefault="00286780" w:rsidP="00DA2103">
            <w:pPr>
              <w:snapToGrid w:val="0"/>
              <w:jc w:val="center"/>
              <w:rPr>
                <w:rFonts w:cs="Calibri"/>
                <w:spacing w:val="-8"/>
                <w:sz w:val="24"/>
                <w:szCs w:val="24"/>
                <w:lang w:eastAsia="ar-SA"/>
              </w:rPr>
            </w:pPr>
            <w:r>
              <w:rPr>
                <w:rFonts w:cs="Calibri"/>
                <w:spacing w:val="-8"/>
                <w:sz w:val="24"/>
                <w:szCs w:val="24"/>
                <w:lang w:eastAsia="ar-SA"/>
              </w:rPr>
              <w:t>1057</w:t>
            </w:r>
            <w:r>
              <w:rPr>
                <w:rFonts w:cs="Calibri"/>
                <w:spacing w:val="-8"/>
                <w:sz w:val="24"/>
                <w:szCs w:val="24"/>
                <w:lang w:val="en-US" w:eastAsia="ar-SA"/>
              </w:rPr>
              <w:t>[</w:t>
            </w:r>
            <w:r>
              <w:rPr>
                <w:rFonts w:cs="Calibri"/>
                <w:spacing w:val="-8"/>
                <w:sz w:val="24"/>
                <w:szCs w:val="24"/>
                <w:lang w:eastAsia="ar-SA"/>
              </w:rPr>
              <w:t>910;2178</w:t>
            </w:r>
            <w:r>
              <w:rPr>
                <w:rFonts w:cs="Calibri"/>
                <w:spacing w:val="-8"/>
                <w:sz w:val="24"/>
                <w:szCs w:val="24"/>
                <w:lang w:val="en-US" w:eastAsia="ar-SA"/>
              </w:rPr>
              <w:t>]</w:t>
            </w:r>
          </w:p>
        </w:tc>
      </w:tr>
      <w:tr w:rsidR="00286780" w:rsidRPr="00124D89" w:rsidTr="00653D3A">
        <w:trPr>
          <w:trHeight w:val="397"/>
        </w:trPr>
        <w:tc>
          <w:tcPr>
            <w:tcW w:w="3577"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DA2103">
            <w:pPr>
              <w:snapToGrid w:val="0"/>
              <w:rPr>
                <w:rFonts w:cs="Calibri"/>
                <w:spacing w:val="-8"/>
                <w:sz w:val="24"/>
                <w:szCs w:val="24"/>
                <w:lang w:eastAsia="ar-SA"/>
              </w:rPr>
            </w:pPr>
            <w:r>
              <w:rPr>
                <w:rFonts w:cs="Calibri"/>
                <w:spacing w:val="-8"/>
                <w:sz w:val="24"/>
                <w:szCs w:val="24"/>
                <w:lang w:eastAsia="ar-SA"/>
              </w:rPr>
              <w:t xml:space="preserve">ЛИИ </w:t>
            </w:r>
            <w:r>
              <w:rPr>
                <w:rFonts w:cs="Calibri"/>
                <w:sz w:val="24"/>
                <w:szCs w:val="24"/>
                <w:lang w:eastAsia="ar-SA"/>
              </w:rPr>
              <w:t>(усл. ед.)</w:t>
            </w:r>
          </w:p>
        </w:tc>
        <w:tc>
          <w:tcPr>
            <w:tcW w:w="3260" w:type="dxa"/>
            <w:tcBorders>
              <w:top w:val="single" w:sz="4" w:space="0" w:color="000000"/>
              <w:left w:val="single" w:sz="4" w:space="0" w:color="000000"/>
              <w:bottom w:val="single" w:sz="4" w:space="0" w:color="000000"/>
            </w:tcBorders>
            <w:tcMar>
              <w:left w:w="28" w:type="dxa"/>
              <w:right w:w="28" w:type="dxa"/>
            </w:tcMar>
            <w:vAlign w:val="center"/>
          </w:tcPr>
          <w:p w:rsidR="00286780" w:rsidRPr="00B26C70" w:rsidRDefault="00286780" w:rsidP="00DA2103">
            <w:pPr>
              <w:snapToGrid w:val="0"/>
              <w:jc w:val="center"/>
              <w:rPr>
                <w:rFonts w:cs="Calibri"/>
                <w:spacing w:val="-8"/>
                <w:sz w:val="24"/>
                <w:szCs w:val="24"/>
                <w:lang w:eastAsia="ar-SA"/>
              </w:rPr>
            </w:pPr>
            <w:r>
              <w:rPr>
                <w:rFonts w:cs="Calibri"/>
                <w:spacing w:val="-8"/>
                <w:sz w:val="24"/>
                <w:szCs w:val="24"/>
                <w:lang w:eastAsia="ar-SA"/>
              </w:rPr>
              <w:t>5,1</w:t>
            </w:r>
            <w:r w:rsidRPr="00B26C70">
              <w:rPr>
                <w:rFonts w:cs="Calibri"/>
                <w:spacing w:val="-8"/>
                <w:sz w:val="24"/>
                <w:szCs w:val="24"/>
                <w:lang w:eastAsia="ar-SA"/>
              </w:rPr>
              <w:t>[</w:t>
            </w:r>
            <w:r>
              <w:rPr>
                <w:rFonts w:cs="Calibri"/>
                <w:spacing w:val="-8"/>
                <w:sz w:val="24"/>
                <w:szCs w:val="24"/>
                <w:lang w:eastAsia="ar-SA"/>
              </w:rPr>
              <w:t>4,3;9</w:t>
            </w:r>
            <w:r w:rsidRPr="00B26C70">
              <w:rPr>
                <w:rFonts w:cs="Calibri"/>
                <w:spacing w:val="-8"/>
                <w:sz w:val="24"/>
                <w:szCs w:val="24"/>
                <w:lang w:eastAsia="ar-SA"/>
              </w:rPr>
              <w:t>]</w:t>
            </w:r>
          </w:p>
        </w:tc>
        <w:tc>
          <w:tcPr>
            <w:tcW w:w="3119"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B26C70" w:rsidRDefault="00286780" w:rsidP="00DA2103">
            <w:pPr>
              <w:snapToGrid w:val="0"/>
              <w:jc w:val="center"/>
              <w:rPr>
                <w:rFonts w:cs="Calibri"/>
                <w:spacing w:val="-8"/>
                <w:sz w:val="24"/>
                <w:szCs w:val="24"/>
                <w:lang w:eastAsia="ar-SA"/>
              </w:rPr>
            </w:pPr>
            <w:r>
              <w:rPr>
                <w:rFonts w:cs="Calibri"/>
                <w:spacing w:val="-8"/>
                <w:sz w:val="24"/>
                <w:szCs w:val="24"/>
                <w:lang w:eastAsia="ar-SA"/>
              </w:rPr>
              <w:t>5,25</w:t>
            </w:r>
            <w:r w:rsidRPr="00B26C70">
              <w:rPr>
                <w:rFonts w:cs="Calibri"/>
                <w:spacing w:val="-8"/>
                <w:sz w:val="24"/>
                <w:szCs w:val="24"/>
                <w:lang w:eastAsia="ar-SA"/>
              </w:rPr>
              <w:t>[</w:t>
            </w:r>
            <w:r>
              <w:rPr>
                <w:rFonts w:cs="Calibri"/>
                <w:spacing w:val="-8"/>
                <w:sz w:val="24"/>
                <w:szCs w:val="24"/>
                <w:lang w:eastAsia="ar-SA"/>
              </w:rPr>
              <w:t>4,6;9</w:t>
            </w:r>
            <w:r w:rsidRPr="00B26C70">
              <w:rPr>
                <w:rFonts w:cs="Calibri"/>
                <w:spacing w:val="-8"/>
                <w:sz w:val="24"/>
                <w:szCs w:val="24"/>
                <w:lang w:eastAsia="ar-SA"/>
              </w:rPr>
              <w:t>]</w:t>
            </w:r>
          </w:p>
        </w:tc>
      </w:tr>
      <w:tr w:rsidR="00286780" w:rsidRPr="00124D89" w:rsidTr="00653D3A">
        <w:trPr>
          <w:trHeight w:val="397"/>
        </w:trPr>
        <w:tc>
          <w:tcPr>
            <w:tcW w:w="3577"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DA2103">
            <w:pPr>
              <w:snapToGrid w:val="0"/>
              <w:rPr>
                <w:rFonts w:cs="Calibri"/>
                <w:spacing w:val="-8"/>
                <w:sz w:val="24"/>
                <w:szCs w:val="24"/>
                <w:lang w:eastAsia="ar-SA"/>
              </w:rPr>
            </w:pPr>
            <w:r w:rsidRPr="00124D89">
              <w:rPr>
                <w:rFonts w:cs="Calibri"/>
                <w:spacing w:val="-8"/>
                <w:sz w:val="24"/>
                <w:szCs w:val="24"/>
                <w:lang w:eastAsia="ar-SA"/>
              </w:rPr>
              <w:t>Тромбоциты (в 1 мкл.)</w:t>
            </w:r>
          </w:p>
        </w:tc>
        <w:tc>
          <w:tcPr>
            <w:tcW w:w="3260" w:type="dxa"/>
            <w:tcBorders>
              <w:top w:val="single" w:sz="4" w:space="0" w:color="000000"/>
              <w:left w:val="single" w:sz="4" w:space="0" w:color="000000"/>
              <w:bottom w:val="single" w:sz="4" w:space="0" w:color="000000"/>
            </w:tcBorders>
            <w:tcMar>
              <w:left w:w="28" w:type="dxa"/>
              <w:right w:w="28" w:type="dxa"/>
            </w:tcMar>
            <w:vAlign w:val="center"/>
          </w:tcPr>
          <w:p w:rsidR="00286780" w:rsidRPr="00F86807" w:rsidRDefault="00286780" w:rsidP="00DA2103">
            <w:pPr>
              <w:snapToGrid w:val="0"/>
              <w:jc w:val="center"/>
              <w:rPr>
                <w:rFonts w:cs="Calibri"/>
                <w:spacing w:val="-8"/>
                <w:sz w:val="24"/>
                <w:szCs w:val="24"/>
                <w:lang w:eastAsia="ar-SA"/>
              </w:rPr>
            </w:pPr>
            <w:r>
              <w:rPr>
                <w:rFonts w:cs="Calibri"/>
                <w:spacing w:val="-8"/>
                <w:sz w:val="24"/>
                <w:szCs w:val="24"/>
                <w:lang w:eastAsia="ar-SA"/>
              </w:rPr>
              <w:t>198,5</w:t>
            </w:r>
            <w:r>
              <w:rPr>
                <w:rFonts w:cs="Calibri"/>
                <w:spacing w:val="-8"/>
                <w:sz w:val="24"/>
                <w:szCs w:val="24"/>
                <w:lang w:val="en-US" w:eastAsia="ar-SA"/>
              </w:rPr>
              <w:t>[</w:t>
            </w:r>
            <w:r>
              <w:rPr>
                <w:rFonts w:cs="Calibri"/>
                <w:spacing w:val="-8"/>
                <w:sz w:val="24"/>
                <w:szCs w:val="24"/>
                <w:lang w:eastAsia="ar-SA"/>
              </w:rPr>
              <w:t>149;274</w:t>
            </w:r>
            <w:r>
              <w:rPr>
                <w:rFonts w:cs="Calibri"/>
                <w:spacing w:val="-8"/>
                <w:sz w:val="24"/>
                <w:szCs w:val="24"/>
                <w:lang w:val="en-US" w:eastAsia="ar-SA"/>
              </w:rPr>
              <w:t>]</w:t>
            </w:r>
          </w:p>
        </w:tc>
        <w:tc>
          <w:tcPr>
            <w:tcW w:w="3119"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F86807" w:rsidRDefault="00286780" w:rsidP="00DA2103">
            <w:pPr>
              <w:snapToGrid w:val="0"/>
              <w:jc w:val="center"/>
              <w:rPr>
                <w:rFonts w:cs="Calibri"/>
                <w:spacing w:val="-8"/>
                <w:sz w:val="24"/>
                <w:szCs w:val="24"/>
                <w:lang w:eastAsia="ar-SA"/>
              </w:rPr>
            </w:pPr>
            <w:r>
              <w:rPr>
                <w:rFonts w:cs="Calibri"/>
                <w:spacing w:val="-8"/>
                <w:sz w:val="24"/>
                <w:szCs w:val="24"/>
                <w:lang w:eastAsia="ar-SA"/>
              </w:rPr>
              <w:t>200,9</w:t>
            </w:r>
            <w:r>
              <w:rPr>
                <w:rFonts w:cs="Calibri"/>
                <w:spacing w:val="-8"/>
                <w:sz w:val="24"/>
                <w:szCs w:val="24"/>
                <w:lang w:val="en-US" w:eastAsia="ar-SA"/>
              </w:rPr>
              <w:t>[</w:t>
            </w:r>
            <w:r>
              <w:rPr>
                <w:rFonts w:cs="Calibri"/>
                <w:spacing w:val="-8"/>
                <w:sz w:val="24"/>
                <w:szCs w:val="24"/>
                <w:lang w:eastAsia="ar-SA"/>
              </w:rPr>
              <w:t>130;261</w:t>
            </w:r>
            <w:r>
              <w:rPr>
                <w:rFonts w:cs="Calibri"/>
                <w:spacing w:val="-8"/>
                <w:sz w:val="24"/>
                <w:szCs w:val="24"/>
                <w:lang w:val="en-US" w:eastAsia="ar-SA"/>
              </w:rPr>
              <w:t>]</w:t>
            </w:r>
          </w:p>
        </w:tc>
      </w:tr>
      <w:tr w:rsidR="00286780" w:rsidRPr="00124D89" w:rsidTr="00653D3A">
        <w:trPr>
          <w:trHeight w:val="397"/>
        </w:trPr>
        <w:tc>
          <w:tcPr>
            <w:tcW w:w="3577"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DA2103">
            <w:pPr>
              <w:snapToGrid w:val="0"/>
              <w:rPr>
                <w:rFonts w:cs="Calibri"/>
                <w:spacing w:val="-8"/>
                <w:sz w:val="24"/>
                <w:szCs w:val="24"/>
                <w:lang w:eastAsia="ar-SA"/>
              </w:rPr>
            </w:pPr>
            <w:r w:rsidRPr="00124D89">
              <w:rPr>
                <w:rFonts w:cs="Calibri"/>
                <w:spacing w:val="-8"/>
                <w:sz w:val="24"/>
                <w:szCs w:val="24"/>
                <w:lang w:eastAsia="ar-SA"/>
              </w:rPr>
              <w:t>СОЭ (мм/ч)</w:t>
            </w:r>
          </w:p>
        </w:tc>
        <w:tc>
          <w:tcPr>
            <w:tcW w:w="3260" w:type="dxa"/>
            <w:tcBorders>
              <w:top w:val="single" w:sz="4" w:space="0" w:color="000000"/>
              <w:left w:val="single" w:sz="4" w:space="0" w:color="000000"/>
              <w:bottom w:val="single" w:sz="4" w:space="0" w:color="000000"/>
            </w:tcBorders>
            <w:tcMar>
              <w:left w:w="28" w:type="dxa"/>
              <w:right w:w="28" w:type="dxa"/>
            </w:tcMar>
            <w:vAlign w:val="center"/>
          </w:tcPr>
          <w:p w:rsidR="00286780" w:rsidRPr="00F86807" w:rsidRDefault="00286780" w:rsidP="00F86807">
            <w:pPr>
              <w:snapToGrid w:val="0"/>
              <w:jc w:val="center"/>
              <w:rPr>
                <w:rFonts w:cs="Calibri"/>
                <w:spacing w:val="-8"/>
                <w:sz w:val="24"/>
                <w:szCs w:val="24"/>
                <w:lang w:eastAsia="ar-SA"/>
              </w:rPr>
            </w:pPr>
            <w:r>
              <w:rPr>
                <w:rFonts w:cs="Calibri"/>
                <w:spacing w:val="-8"/>
                <w:sz w:val="24"/>
                <w:szCs w:val="24"/>
                <w:lang w:eastAsia="ar-SA"/>
              </w:rPr>
              <w:t>38</w:t>
            </w:r>
            <w:r>
              <w:rPr>
                <w:rFonts w:cs="Calibri"/>
                <w:spacing w:val="-8"/>
                <w:sz w:val="24"/>
                <w:szCs w:val="24"/>
                <w:lang w:val="en-US" w:eastAsia="ar-SA"/>
              </w:rPr>
              <w:t>[</w:t>
            </w:r>
            <w:r>
              <w:rPr>
                <w:rFonts w:cs="Calibri"/>
                <w:spacing w:val="-8"/>
                <w:sz w:val="24"/>
                <w:szCs w:val="24"/>
                <w:lang w:eastAsia="ar-SA"/>
              </w:rPr>
              <w:t>23;56</w:t>
            </w:r>
            <w:r>
              <w:rPr>
                <w:rFonts w:cs="Calibri"/>
                <w:spacing w:val="-8"/>
                <w:sz w:val="24"/>
                <w:szCs w:val="24"/>
                <w:lang w:val="en-US" w:eastAsia="ar-SA"/>
              </w:rPr>
              <w:t>]</w:t>
            </w:r>
          </w:p>
        </w:tc>
        <w:tc>
          <w:tcPr>
            <w:tcW w:w="3119"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F86807" w:rsidRDefault="00286780" w:rsidP="00DA2103">
            <w:pPr>
              <w:snapToGrid w:val="0"/>
              <w:jc w:val="center"/>
              <w:rPr>
                <w:rFonts w:cs="Calibri"/>
                <w:spacing w:val="-8"/>
                <w:sz w:val="24"/>
                <w:szCs w:val="24"/>
                <w:lang w:eastAsia="ar-SA"/>
              </w:rPr>
            </w:pPr>
            <w:r>
              <w:rPr>
                <w:rFonts w:cs="Calibri"/>
                <w:spacing w:val="-8"/>
                <w:sz w:val="24"/>
                <w:szCs w:val="24"/>
                <w:lang w:eastAsia="ar-SA"/>
              </w:rPr>
              <w:t>44</w:t>
            </w:r>
            <w:r>
              <w:rPr>
                <w:rFonts w:cs="Calibri"/>
                <w:spacing w:val="-8"/>
                <w:sz w:val="24"/>
                <w:szCs w:val="24"/>
                <w:lang w:val="en-US" w:eastAsia="ar-SA"/>
              </w:rPr>
              <w:t>[</w:t>
            </w:r>
            <w:r>
              <w:rPr>
                <w:rFonts w:cs="Calibri"/>
                <w:spacing w:val="-8"/>
                <w:sz w:val="24"/>
                <w:szCs w:val="24"/>
                <w:lang w:eastAsia="ar-SA"/>
              </w:rPr>
              <w:t>34;60</w:t>
            </w:r>
            <w:r>
              <w:rPr>
                <w:rFonts w:cs="Calibri"/>
                <w:spacing w:val="-8"/>
                <w:sz w:val="24"/>
                <w:szCs w:val="24"/>
                <w:lang w:val="en-US" w:eastAsia="ar-SA"/>
              </w:rPr>
              <w:t>]</w:t>
            </w:r>
          </w:p>
        </w:tc>
      </w:tr>
      <w:tr w:rsidR="00286780" w:rsidRPr="00124D89" w:rsidTr="00653D3A">
        <w:trPr>
          <w:trHeight w:val="397"/>
        </w:trPr>
        <w:tc>
          <w:tcPr>
            <w:tcW w:w="3577"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DA2103">
            <w:pPr>
              <w:snapToGrid w:val="0"/>
              <w:rPr>
                <w:rFonts w:cs="Calibri"/>
                <w:spacing w:val="-8"/>
                <w:sz w:val="24"/>
                <w:szCs w:val="24"/>
                <w:lang w:eastAsia="ar-SA"/>
              </w:rPr>
            </w:pPr>
            <w:r w:rsidRPr="00124D89">
              <w:rPr>
                <w:rFonts w:cs="Calibri"/>
                <w:spacing w:val="-8"/>
                <w:sz w:val="24"/>
                <w:szCs w:val="24"/>
                <w:lang w:eastAsia="ar-SA"/>
              </w:rPr>
              <w:t>Общий белок (г/л)</w:t>
            </w:r>
          </w:p>
        </w:tc>
        <w:tc>
          <w:tcPr>
            <w:tcW w:w="3260" w:type="dxa"/>
            <w:tcBorders>
              <w:top w:val="single" w:sz="4" w:space="0" w:color="000000"/>
              <w:left w:val="single" w:sz="4" w:space="0" w:color="000000"/>
              <w:bottom w:val="single" w:sz="4" w:space="0" w:color="000000"/>
            </w:tcBorders>
            <w:tcMar>
              <w:left w:w="28" w:type="dxa"/>
              <w:right w:w="28" w:type="dxa"/>
            </w:tcMar>
            <w:vAlign w:val="center"/>
          </w:tcPr>
          <w:p w:rsidR="00286780" w:rsidRPr="00F1306C" w:rsidRDefault="00286780" w:rsidP="00DA2103">
            <w:pPr>
              <w:snapToGrid w:val="0"/>
              <w:jc w:val="center"/>
              <w:rPr>
                <w:rFonts w:cs="Calibri"/>
                <w:spacing w:val="-8"/>
                <w:sz w:val="24"/>
                <w:szCs w:val="24"/>
                <w:lang w:eastAsia="ar-SA"/>
              </w:rPr>
            </w:pPr>
            <w:r>
              <w:rPr>
                <w:rFonts w:cs="Calibri"/>
                <w:spacing w:val="-8"/>
                <w:sz w:val="24"/>
                <w:szCs w:val="24"/>
                <w:lang w:eastAsia="ar-SA"/>
              </w:rPr>
              <w:t>52</w:t>
            </w:r>
            <w:r>
              <w:rPr>
                <w:rFonts w:cs="Calibri"/>
                <w:spacing w:val="-8"/>
                <w:sz w:val="24"/>
                <w:szCs w:val="24"/>
                <w:lang w:val="en-US" w:eastAsia="ar-SA"/>
              </w:rPr>
              <w:t>[</w:t>
            </w:r>
            <w:r>
              <w:rPr>
                <w:rFonts w:cs="Calibri"/>
                <w:spacing w:val="-8"/>
                <w:sz w:val="24"/>
                <w:szCs w:val="24"/>
                <w:lang w:eastAsia="ar-SA"/>
              </w:rPr>
              <w:t>46,8;62,2</w:t>
            </w:r>
            <w:r>
              <w:rPr>
                <w:rFonts w:cs="Calibri"/>
                <w:spacing w:val="-8"/>
                <w:sz w:val="24"/>
                <w:szCs w:val="24"/>
                <w:lang w:val="en-US" w:eastAsia="ar-SA"/>
              </w:rPr>
              <w:t>]</w:t>
            </w:r>
          </w:p>
        </w:tc>
        <w:tc>
          <w:tcPr>
            <w:tcW w:w="3119"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F86807" w:rsidRDefault="00286780" w:rsidP="00DA2103">
            <w:pPr>
              <w:snapToGrid w:val="0"/>
              <w:jc w:val="center"/>
              <w:rPr>
                <w:rFonts w:cs="Calibri"/>
                <w:spacing w:val="-8"/>
                <w:sz w:val="24"/>
                <w:szCs w:val="24"/>
                <w:lang w:eastAsia="ar-SA"/>
              </w:rPr>
            </w:pPr>
            <w:r>
              <w:rPr>
                <w:rFonts w:cs="Calibri"/>
                <w:spacing w:val="-8"/>
                <w:sz w:val="24"/>
                <w:szCs w:val="24"/>
                <w:lang w:eastAsia="ar-SA"/>
              </w:rPr>
              <w:t>59,6</w:t>
            </w:r>
            <w:r>
              <w:rPr>
                <w:rFonts w:cs="Calibri"/>
                <w:spacing w:val="-8"/>
                <w:sz w:val="24"/>
                <w:szCs w:val="24"/>
                <w:lang w:val="en-US" w:eastAsia="ar-SA"/>
              </w:rPr>
              <w:t>[</w:t>
            </w:r>
            <w:r>
              <w:rPr>
                <w:rFonts w:cs="Calibri"/>
                <w:spacing w:val="-8"/>
                <w:sz w:val="24"/>
                <w:szCs w:val="24"/>
                <w:lang w:eastAsia="ar-SA"/>
              </w:rPr>
              <w:t>46,8;67,5</w:t>
            </w:r>
            <w:r>
              <w:rPr>
                <w:rFonts w:cs="Calibri"/>
                <w:spacing w:val="-8"/>
                <w:sz w:val="24"/>
                <w:szCs w:val="24"/>
                <w:lang w:val="en-US" w:eastAsia="ar-SA"/>
              </w:rPr>
              <w:t>]</w:t>
            </w:r>
          </w:p>
        </w:tc>
      </w:tr>
      <w:tr w:rsidR="00286780" w:rsidRPr="00124D89" w:rsidTr="00653D3A">
        <w:trPr>
          <w:trHeight w:val="397"/>
        </w:trPr>
        <w:tc>
          <w:tcPr>
            <w:tcW w:w="3577"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DA2103">
            <w:pPr>
              <w:snapToGrid w:val="0"/>
              <w:rPr>
                <w:rFonts w:cs="Calibri"/>
                <w:spacing w:val="-8"/>
                <w:sz w:val="24"/>
                <w:szCs w:val="24"/>
                <w:lang w:eastAsia="ar-SA"/>
              </w:rPr>
            </w:pPr>
            <w:r w:rsidRPr="00124D89">
              <w:rPr>
                <w:rFonts w:cs="Calibri"/>
                <w:spacing w:val="-8"/>
                <w:sz w:val="24"/>
                <w:szCs w:val="24"/>
                <w:lang w:eastAsia="ar-SA"/>
              </w:rPr>
              <w:t>Билирубин общий (мкмоль/л)</w:t>
            </w:r>
          </w:p>
        </w:tc>
        <w:tc>
          <w:tcPr>
            <w:tcW w:w="3260" w:type="dxa"/>
            <w:tcBorders>
              <w:top w:val="single" w:sz="4" w:space="0" w:color="000000"/>
              <w:left w:val="single" w:sz="4" w:space="0" w:color="000000"/>
              <w:bottom w:val="single" w:sz="4" w:space="0" w:color="000000"/>
            </w:tcBorders>
            <w:tcMar>
              <w:left w:w="28" w:type="dxa"/>
              <w:right w:w="28" w:type="dxa"/>
            </w:tcMar>
            <w:vAlign w:val="center"/>
          </w:tcPr>
          <w:p w:rsidR="00286780" w:rsidRPr="00F1306C" w:rsidRDefault="00286780" w:rsidP="00DA2103">
            <w:pPr>
              <w:snapToGrid w:val="0"/>
              <w:jc w:val="center"/>
              <w:rPr>
                <w:rFonts w:cs="Calibri"/>
                <w:spacing w:val="-8"/>
                <w:sz w:val="24"/>
                <w:szCs w:val="24"/>
                <w:lang w:eastAsia="ar-SA"/>
              </w:rPr>
            </w:pPr>
            <w:r>
              <w:rPr>
                <w:rFonts w:cs="Calibri"/>
                <w:spacing w:val="-8"/>
                <w:sz w:val="24"/>
                <w:szCs w:val="24"/>
                <w:lang w:eastAsia="ar-SA"/>
              </w:rPr>
              <w:t>20,7</w:t>
            </w:r>
            <w:r>
              <w:rPr>
                <w:rFonts w:cs="Calibri"/>
                <w:spacing w:val="-8"/>
                <w:sz w:val="24"/>
                <w:szCs w:val="24"/>
                <w:lang w:val="en-US" w:eastAsia="ar-SA"/>
              </w:rPr>
              <w:t>[</w:t>
            </w:r>
            <w:r>
              <w:rPr>
                <w:rFonts w:cs="Calibri"/>
                <w:spacing w:val="-8"/>
                <w:sz w:val="24"/>
                <w:szCs w:val="24"/>
                <w:lang w:eastAsia="ar-SA"/>
              </w:rPr>
              <w:t>16;26,2</w:t>
            </w:r>
            <w:r>
              <w:rPr>
                <w:rFonts w:cs="Calibri"/>
                <w:spacing w:val="-8"/>
                <w:sz w:val="24"/>
                <w:szCs w:val="24"/>
                <w:lang w:val="en-US" w:eastAsia="ar-SA"/>
              </w:rPr>
              <w:t>]</w:t>
            </w:r>
          </w:p>
        </w:tc>
        <w:tc>
          <w:tcPr>
            <w:tcW w:w="3119"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F86807" w:rsidRDefault="00286780" w:rsidP="00DA2103">
            <w:pPr>
              <w:snapToGrid w:val="0"/>
              <w:jc w:val="center"/>
              <w:rPr>
                <w:rFonts w:cs="Calibri"/>
                <w:spacing w:val="-8"/>
                <w:sz w:val="24"/>
                <w:szCs w:val="24"/>
                <w:lang w:eastAsia="ar-SA"/>
              </w:rPr>
            </w:pPr>
            <w:r>
              <w:rPr>
                <w:rFonts w:cs="Calibri"/>
                <w:spacing w:val="-8"/>
                <w:sz w:val="24"/>
                <w:szCs w:val="24"/>
                <w:lang w:eastAsia="ar-SA"/>
              </w:rPr>
              <w:t>22,3</w:t>
            </w:r>
            <w:r>
              <w:rPr>
                <w:rFonts w:cs="Calibri"/>
                <w:spacing w:val="-8"/>
                <w:sz w:val="24"/>
                <w:szCs w:val="24"/>
                <w:lang w:val="en-US" w:eastAsia="ar-SA"/>
              </w:rPr>
              <w:t>[</w:t>
            </w:r>
            <w:r>
              <w:rPr>
                <w:rFonts w:cs="Calibri"/>
                <w:spacing w:val="-8"/>
                <w:sz w:val="24"/>
                <w:szCs w:val="24"/>
                <w:lang w:eastAsia="ar-SA"/>
              </w:rPr>
              <w:t>14;31,5</w:t>
            </w:r>
            <w:r>
              <w:rPr>
                <w:rFonts w:cs="Calibri"/>
                <w:spacing w:val="-8"/>
                <w:sz w:val="24"/>
                <w:szCs w:val="24"/>
                <w:lang w:val="en-US" w:eastAsia="ar-SA"/>
              </w:rPr>
              <w:t>]</w:t>
            </w:r>
          </w:p>
        </w:tc>
      </w:tr>
      <w:tr w:rsidR="00286780" w:rsidRPr="00124D89" w:rsidTr="00653D3A">
        <w:trPr>
          <w:trHeight w:val="397"/>
        </w:trPr>
        <w:tc>
          <w:tcPr>
            <w:tcW w:w="3577"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DA2103">
            <w:pPr>
              <w:snapToGrid w:val="0"/>
              <w:rPr>
                <w:rFonts w:cs="Calibri"/>
                <w:spacing w:val="-8"/>
                <w:sz w:val="24"/>
                <w:szCs w:val="24"/>
                <w:lang w:eastAsia="ar-SA"/>
              </w:rPr>
            </w:pPr>
            <w:r w:rsidRPr="00124D89">
              <w:rPr>
                <w:rFonts w:cs="Calibri"/>
                <w:spacing w:val="-8"/>
                <w:sz w:val="24"/>
                <w:szCs w:val="24"/>
                <w:lang w:eastAsia="ar-SA"/>
              </w:rPr>
              <w:t>Натрий (ммоль/л)</w:t>
            </w:r>
          </w:p>
        </w:tc>
        <w:tc>
          <w:tcPr>
            <w:tcW w:w="3260" w:type="dxa"/>
            <w:tcBorders>
              <w:top w:val="single" w:sz="4" w:space="0" w:color="000000"/>
              <w:left w:val="single" w:sz="4" w:space="0" w:color="000000"/>
              <w:bottom w:val="single" w:sz="4" w:space="0" w:color="000000"/>
            </w:tcBorders>
            <w:tcMar>
              <w:left w:w="28" w:type="dxa"/>
              <w:right w:w="28" w:type="dxa"/>
            </w:tcMar>
            <w:vAlign w:val="center"/>
          </w:tcPr>
          <w:p w:rsidR="00286780" w:rsidRPr="009353D3" w:rsidRDefault="00286780" w:rsidP="00DA2103">
            <w:pPr>
              <w:snapToGrid w:val="0"/>
              <w:jc w:val="center"/>
              <w:rPr>
                <w:rFonts w:cs="Calibri"/>
                <w:spacing w:val="-8"/>
                <w:sz w:val="24"/>
                <w:szCs w:val="24"/>
                <w:lang w:eastAsia="ar-SA"/>
              </w:rPr>
            </w:pPr>
            <w:r>
              <w:rPr>
                <w:rFonts w:cs="Calibri"/>
                <w:spacing w:val="-8"/>
                <w:sz w:val="24"/>
                <w:szCs w:val="24"/>
                <w:lang w:eastAsia="ar-SA"/>
              </w:rPr>
              <w:t>134</w:t>
            </w:r>
            <w:r>
              <w:rPr>
                <w:rFonts w:cs="Calibri"/>
                <w:spacing w:val="-8"/>
                <w:sz w:val="24"/>
                <w:szCs w:val="24"/>
                <w:lang w:val="en-US" w:eastAsia="ar-SA"/>
              </w:rPr>
              <w:t>[</w:t>
            </w:r>
            <w:r>
              <w:rPr>
                <w:rFonts w:cs="Calibri"/>
                <w:spacing w:val="-8"/>
                <w:sz w:val="24"/>
                <w:szCs w:val="24"/>
                <w:lang w:eastAsia="ar-SA"/>
              </w:rPr>
              <w:t>132;143</w:t>
            </w:r>
            <w:r>
              <w:rPr>
                <w:rFonts w:cs="Calibri"/>
                <w:spacing w:val="-8"/>
                <w:sz w:val="24"/>
                <w:szCs w:val="24"/>
                <w:lang w:val="en-US" w:eastAsia="ar-SA"/>
              </w:rPr>
              <w:t>]</w:t>
            </w:r>
          </w:p>
        </w:tc>
        <w:tc>
          <w:tcPr>
            <w:tcW w:w="3119"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9353D3" w:rsidRDefault="00286780" w:rsidP="00DA2103">
            <w:pPr>
              <w:snapToGrid w:val="0"/>
              <w:jc w:val="center"/>
              <w:rPr>
                <w:rFonts w:cs="Calibri"/>
                <w:spacing w:val="-8"/>
                <w:sz w:val="24"/>
                <w:szCs w:val="24"/>
                <w:lang w:eastAsia="ar-SA"/>
              </w:rPr>
            </w:pPr>
            <w:r>
              <w:rPr>
                <w:rFonts w:cs="Calibri"/>
                <w:spacing w:val="-8"/>
                <w:sz w:val="24"/>
                <w:szCs w:val="24"/>
                <w:lang w:eastAsia="ar-SA"/>
              </w:rPr>
              <w:t>139</w:t>
            </w:r>
            <w:r>
              <w:rPr>
                <w:rFonts w:cs="Calibri"/>
                <w:spacing w:val="-8"/>
                <w:sz w:val="24"/>
                <w:szCs w:val="24"/>
                <w:lang w:val="en-US" w:eastAsia="ar-SA"/>
              </w:rPr>
              <w:t>[</w:t>
            </w:r>
            <w:r>
              <w:rPr>
                <w:rFonts w:cs="Calibri"/>
                <w:spacing w:val="-8"/>
                <w:sz w:val="24"/>
                <w:szCs w:val="24"/>
                <w:lang w:eastAsia="ar-SA"/>
              </w:rPr>
              <w:t>133;149</w:t>
            </w:r>
            <w:r>
              <w:rPr>
                <w:rFonts w:cs="Calibri"/>
                <w:spacing w:val="-8"/>
                <w:sz w:val="24"/>
                <w:szCs w:val="24"/>
                <w:lang w:val="en-US" w:eastAsia="ar-SA"/>
              </w:rPr>
              <w:t>]</w:t>
            </w:r>
          </w:p>
        </w:tc>
      </w:tr>
      <w:tr w:rsidR="00286780" w:rsidRPr="00124D89" w:rsidTr="00653D3A">
        <w:trPr>
          <w:trHeight w:val="397"/>
        </w:trPr>
        <w:tc>
          <w:tcPr>
            <w:tcW w:w="3577"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DA2103">
            <w:pPr>
              <w:snapToGrid w:val="0"/>
              <w:rPr>
                <w:rFonts w:cs="Calibri"/>
                <w:spacing w:val="-8"/>
                <w:sz w:val="24"/>
                <w:szCs w:val="24"/>
                <w:lang w:eastAsia="ar-SA"/>
              </w:rPr>
            </w:pPr>
            <w:r w:rsidRPr="00124D89">
              <w:rPr>
                <w:rFonts w:cs="Calibri"/>
                <w:spacing w:val="-8"/>
                <w:sz w:val="24"/>
                <w:szCs w:val="24"/>
                <w:lang w:eastAsia="ar-SA"/>
              </w:rPr>
              <w:t>Калий (ммоль/л)</w:t>
            </w:r>
          </w:p>
        </w:tc>
        <w:tc>
          <w:tcPr>
            <w:tcW w:w="3260" w:type="dxa"/>
            <w:tcBorders>
              <w:top w:val="single" w:sz="4" w:space="0" w:color="000000"/>
              <w:left w:val="single" w:sz="4" w:space="0" w:color="000000"/>
              <w:bottom w:val="single" w:sz="4" w:space="0" w:color="000000"/>
            </w:tcBorders>
            <w:tcMar>
              <w:left w:w="28" w:type="dxa"/>
              <w:right w:w="28" w:type="dxa"/>
            </w:tcMar>
            <w:vAlign w:val="center"/>
          </w:tcPr>
          <w:p w:rsidR="00286780" w:rsidRPr="009353D3" w:rsidRDefault="00286780" w:rsidP="00DA2103">
            <w:pPr>
              <w:snapToGrid w:val="0"/>
              <w:jc w:val="center"/>
              <w:rPr>
                <w:rFonts w:cs="Calibri"/>
                <w:spacing w:val="-8"/>
                <w:sz w:val="24"/>
                <w:szCs w:val="24"/>
                <w:lang w:eastAsia="ar-SA"/>
              </w:rPr>
            </w:pPr>
            <w:r>
              <w:rPr>
                <w:rFonts w:cs="Calibri"/>
                <w:spacing w:val="-8"/>
                <w:sz w:val="24"/>
                <w:szCs w:val="24"/>
                <w:lang w:eastAsia="ar-SA"/>
              </w:rPr>
              <w:t>3,7</w:t>
            </w:r>
            <w:r>
              <w:rPr>
                <w:rFonts w:cs="Calibri"/>
                <w:spacing w:val="-8"/>
                <w:sz w:val="24"/>
                <w:szCs w:val="24"/>
                <w:lang w:val="en-US" w:eastAsia="ar-SA"/>
              </w:rPr>
              <w:t>[</w:t>
            </w:r>
            <w:r>
              <w:rPr>
                <w:rFonts w:cs="Calibri"/>
                <w:spacing w:val="-8"/>
                <w:sz w:val="24"/>
                <w:szCs w:val="24"/>
                <w:lang w:eastAsia="ar-SA"/>
              </w:rPr>
              <w:t>3,5;4,1</w:t>
            </w:r>
            <w:r>
              <w:rPr>
                <w:rFonts w:cs="Calibri"/>
                <w:spacing w:val="-8"/>
                <w:sz w:val="24"/>
                <w:szCs w:val="24"/>
                <w:lang w:val="en-US" w:eastAsia="ar-SA"/>
              </w:rPr>
              <w:t>]</w:t>
            </w:r>
          </w:p>
        </w:tc>
        <w:tc>
          <w:tcPr>
            <w:tcW w:w="3119"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9353D3" w:rsidRDefault="00286780" w:rsidP="00DA2103">
            <w:pPr>
              <w:snapToGrid w:val="0"/>
              <w:jc w:val="center"/>
              <w:rPr>
                <w:rFonts w:cs="Calibri"/>
                <w:spacing w:val="-8"/>
                <w:sz w:val="24"/>
                <w:szCs w:val="24"/>
                <w:lang w:eastAsia="ar-SA"/>
              </w:rPr>
            </w:pPr>
            <w:r>
              <w:rPr>
                <w:rFonts w:cs="Calibri"/>
                <w:spacing w:val="-8"/>
                <w:sz w:val="24"/>
                <w:szCs w:val="24"/>
                <w:lang w:eastAsia="ar-SA"/>
              </w:rPr>
              <w:t>4,5</w:t>
            </w:r>
            <w:r>
              <w:rPr>
                <w:rFonts w:cs="Calibri"/>
                <w:spacing w:val="-8"/>
                <w:sz w:val="24"/>
                <w:szCs w:val="24"/>
                <w:lang w:val="en-US" w:eastAsia="ar-SA"/>
              </w:rPr>
              <w:t>[</w:t>
            </w:r>
            <w:r>
              <w:rPr>
                <w:rFonts w:cs="Calibri"/>
                <w:spacing w:val="-8"/>
                <w:sz w:val="24"/>
                <w:szCs w:val="24"/>
                <w:lang w:eastAsia="ar-SA"/>
              </w:rPr>
              <w:t>3,9;4,9</w:t>
            </w:r>
            <w:r>
              <w:rPr>
                <w:rFonts w:cs="Calibri"/>
                <w:spacing w:val="-8"/>
                <w:sz w:val="24"/>
                <w:szCs w:val="24"/>
                <w:lang w:val="en-US" w:eastAsia="ar-SA"/>
              </w:rPr>
              <w:t>]</w:t>
            </w:r>
          </w:p>
        </w:tc>
      </w:tr>
      <w:tr w:rsidR="00286780" w:rsidRPr="00124D89" w:rsidTr="00653D3A">
        <w:trPr>
          <w:trHeight w:val="397"/>
        </w:trPr>
        <w:tc>
          <w:tcPr>
            <w:tcW w:w="3577"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DA2103">
            <w:pPr>
              <w:snapToGrid w:val="0"/>
              <w:rPr>
                <w:rFonts w:cs="Calibri"/>
                <w:spacing w:val="-8"/>
                <w:sz w:val="24"/>
                <w:szCs w:val="24"/>
                <w:lang w:eastAsia="ar-SA"/>
              </w:rPr>
            </w:pPr>
            <w:r w:rsidRPr="00124D89">
              <w:rPr>
                <w:rFonts w:cs="Calibri"/>
                <w:spacing w:val="-8"/>
                <w:sz w:val="24"/>
                <w:szCs w:val="24"/>
                <w:lang w:eastAsia="ar-SA"/>
              </w:rPr>
              <w:t>Хлор (ммоль/л)</w:t>
            </w:r>
          </w:p>
        </w:tc>
        <w:tc>
          <w:tcPr>
            <w:tcW w:w="3260" w:type="dxa"/>
            <w:tcBorders>
              <w:top w:val="single" w:sz="4" w:space="0" w:color="000000"/>
              <w:left w:val="single" w:sz="4" w:space="0" w:color="000000"/>
              <w:bottom w:val="single" w:sz="4" w:space="0" w:color="000000"/>
            </w:tcBorders>
            <w:tcMar>
              <w:left w:w="28" w:type="dxa"/>
              <w:right w:w="28" w:type="dxa"/>
            </w:tcMar>
            <w:vAlign w:val="center"/>
          </w:tcPr>
          <w:p w:rsidR="00286780" w:rsidRPr="009353D3" w:rsidRDefault="00286780" w:rsidP="00DA2103">
            <w:pPr>
              <w:snapToGrid w:val="0"/>
              <w:jc w:val="center"/>
              <w:rPr>
                <w:rFonts w:cs="Calibri"/>
                <w:spacing w:val="-8"/>
                <w:sz w:val="24"/>
                <w:szCs w:val="24"/>
                <w:lang w:eastAsia="ar-SA"/>
              </w:rPr>
            </w:pPr>
            <w:r>
              <w:rPr>
                <w:rFonts w:cs="Calibri"/>
                <w:spacing w:val="-8"/>
                <w:sz w:val="24"/>
                <w:szCs w:val="24"/>
                <w:lang w:eastAsia="ar-SA"/>
              </w:rPr>
              <w:t>98,5</w:t>
            </w:r>
            <w:r>
              <w:rPr>
                <w:rFonts w:cs="Calibri"/>
                <w:spacing w:val="-8"/>
                <w:sz w:val="24"/>
                <w:szCs w:val="24"/>
                <w:lang w:val="en-US" w:eastAsia="ar-SA"/>
              </w:rPr>
              <w:t>[</w:t>
            </w:r>
            <w:r>
              <w:rPr>
                <w:rFonts w:cs="Calibri"/>
                <w:spacing w:val="-8"/>
                <w:sz w:val="24"/>
                <w:szCs w:val="24"/>
                <w:lang w:eastAsia="ar-SA"/>
              </w:rPr>
              <w:t>96,5;111,5</w:t>
            </w:r>
            <w:r>
              <w:rPr>
                <w:rFonts w:cs="Calibri"/>
                <w:spacing w:val="-8"/>
                <w:sz w:val="24"/>
                <w:szCs w:val="24"/>
                <w:lang w:val="en-US" w:eastAsia="ar-SA"/>
              </w:rPr>
              <w:t>]</w:t>
            </w:r>
          </w:p>
        </w:tc>
        <w:tc>
          <w:tcPr>
            <w:tcW w:w="3119"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9353D3" w:rsidRDefault="00286780" w:rsidP="00DA2103">
            <w:pPr>
              <w:snapToGrid w:val="0"/>
              <w:jc w:val="center"/>
              <w:rPr>
                <w:rFonts w:cs="Calibri"/>
                <w:spacing w:val="-8"/>
                <w:sz w:val="24"/>
                <w:szCs w:val="24"/>
                <w:lang w:eastAsia="ar-SA"/>
              </w:rPr>
            </w:pPr>
            <w:r>
              <w:rPr>
                <w:rFonts w:cs="Calibri"/>
                <w:spacing w:val="-8"/>
                <w:sz w:val="24"/>
                <w:szCs w:val="24"/>
                <w:lang w:eastAsia="ar-SA"/>
              </w:rPr>
              <w:t>104</w:t>
            </w:r>
            <w:r>
              <w:rPr>
                <w:rFonts w:cs="Calibri"/>
                <w:spacing w:val="-8"/>
                <w:sz w:val="24"/>
                <w:szCs w:val="24"/>
                <w:lang w:val="en-US" w:eastAsia="ar-SA"/>
              </w:rPr>
              <w:t>[</w:t>
            </w:r>
            <w:r>
              <w:rPr>
                <w:rFonts w:cs="Calibri"/>
                <w:spacing w:val="-8"/>
                <w:sz w:val="24"/>
                <w:szCs w:val="24"/>
                <w:lang w:eastAsia="ar-SA"/>
              </w:rPr>
              <w:t>102;105</w:t>
            </w:r>
            <w:r>
              <w:rPr>
                <w:rFonts w:cs="Calibri"/>
                <w:spacing w:val="-8"/>
                <w:sz w:val="24"/>
                <w:szCs w:val="24"/>
                <w:lang w:val="en-US" w:eastAsia="ar-SA"/>
              </w:rPr>
              <w:t>]</w:t>
            </w:r>
          </w:p>
        </w:tc>
      </w:tr>
      <w:tr w:rsidR="00286780" w:rsidRPr="00124D89" w:rsidTr="00653D3A">
        <w:trPr>
          <w:trHeight w:val="397"/>
        </w:trPr>
        <w:tc>
          <w:tcPr>
            <w:tcW w:w="3577"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DA2103">
            <w:pPr>
              <w:snapToGrid w:val="0"/>
              <w:rPr>
                <w:rFonts w:cs="Calibri"/>
                <w:spacing w:val="-8"/>
                <w:sz w:val="24"/>
                <w:szCs w:val="24"/>
                <w:lang w:eastAsia="ar-SA"/>
              </w:rPr>
            </w:pPr>
            <w:r w:rsidRPr="00124D89">
              <w:rPr>
                <w:rFonts w:cs="Calibri"/>
                <w:spacing w:val="-8"/>
                <w:sz w:val="24"/>
                <w:szCs w:val="24"/>
                <w:lang w:eastAsia="ar-SA"/>
              </w:rPr>
              <w:t>Мочевина (ммоль/л)</w:t>
            </w:r>
          </w:p>
        </w:tc>
        <w:tc>
          <w:tcPr>
            <w:tcW w:w="3260" w:type="dxa"/>
            <w:tcBorders>
              <w:top w:val="single" w:sz="4" w:space="0" w:color="000000"/>
              <w:left w:val="single" w:sz="4" w:space="0" w:color="000000"/>
              <w:bottom w:val="single" w:sz="4" w:space="0" w:color="000000"/>
            </w:tcBorders>
            <w:tcMar>
              <w:left w:w="28" w:type="dxa"/>
              <w:right w:w="28" w:type="dxa"/>
            </w:tcMar>
            <w:vAlign w:val="center"/>
          </w:tcPr>
          <w:p w:rsidR="00286780" w:rsidRPr="00F1306C" w:rsidRDefault="00286780" w:rsidP="00DA2103">
            <w:pPr>
              <w:snapToGrid w:val="0"/>
              <w:jc w:val="center"/>
              <w:rPr>
                <w:rFonts w:cs="Calibri"/>
                <w:spacing w:val="-8"/>
                <w:sz w:val="24"/>
                <w:szCs w:val="24"/>
                <w:lang w:eastAsia="ar-SA"/>
              </w:rPr>
            </w:pPr>
            <w:r>
              <w:rPr>
                <w:rFonts w:cs="Calibri"/>
                <w:spacing w:val="-8"/>
                <w:sz w:val="24"/>
                <w:szCs w:val="24"/>
                <w:lang w:eastAsia="ar-SA"/>
              </w:rPr>
              <w:t>16,3</w:t>
            </w:r>
            <w:r>
              <w:rPr>
                <w:rFonts w:cs="Calibri"/>
                <w:spacing w:val="-8"/>
                <w:sz w:val="24"/>
                <w:szCs w:val="24"/>
                <w:lang w:val="en-US" w:eastAsia="ar-SA"/>
              </w:rPr>
              <w:t>[</w:t>
            </w:r>
            <w:r>
              <w:rPr>
                <w:rFonts w:cs="Calibri"/>
                <w:spacing w:val="-8"/>
                <w:sz w:val="24"/>
                <w:szCs w:val="24"/>
                <w:lang w:eastAsia="ar-SA"/>
              </w:rPr>
              <w:t>6,3;24,6</w:t>
            </w:r>
            <w:r>
              <w:rPr>
                <w:rFonts w:cs="Calibri"/>
                <w:spacing w:val="-8"/>
                <w:sz w:val="24"/>
                <w:szCs w:val="24"/>
                <w:lang w:val="en-US" w:eastAsia="ar-SA"/>
              </w:rPr>
              <w:t>]</w:t>
            </w:r>
          </w:p>
        </w:tc>
        <w:tc>
          <w:tcPr>
            <w:tcW w:w="3119"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124D89" w:rsidRDefault="00286780" w:rsidP="00DA2103">
            <w:pPr>
              <w:snapToGrid w:val="0"/>
              <w:jc w:val="center"/>
              <w:rPr>
                <w:rFonts w:cs="Calibri"/>
                <w:spacing w:val="-8"/>
                <w:sz w:val="24"/>
                <w:szCs w:val="24"/>
                <w:lang w:val="en-US" w:eastAsia="ar-SA"/>
              </w:rPr>
            </w:pPr>
            <w:r>
              <w:rPr>
                <w:rFonts w:cs="Calibri"/>
                <w:spacing w:val="-8"/>
                <w:sz w:val="24"/>
                <w:szCs w:val="24"/>
                <w:lang w:eastAsia="ar-SA"/>
              </w:rPr>
              <w:t>13,3</w:t>
            </w:r>
            <w:r>
              <w:rPr>
                <w:rFonts w:cs="Calibri"/>
                <w:spacing w:val="-8"/>
                <w:sz w:val="24"/>
                <w:szCs w:val="24"/>
                <w:lang w:val="en-US" w:eastAsia="ar-SA"/>
              </w:rPr>
              <w:t>[</w:t>
            </w:r>
            <w:r>
              <w:rPr>
                <w:rFonts w:cs="Calibri"/>
                <w:spacing w:val="-8"/>
                <w:sz w:val="24"/>
                <w:szCs w:val="24"/>
                <w:lang w:eastAsia="ar-SA"/>
              </w:rPr>
              <w:t>4,9;18,1</w:t>
            </w:r>
            <w:r>
              <w:rPr>
                <w:rFonts w:cs="Calibri"/>
                <w:spacing w:val="-8"/>
                <w:sz w:val="24"/>
                <w:szCs w:val="24"/>
                <w:lang w:val="en-US" w:eastAsia="ar-SA"/>
              </w:rPr>
              <w:t>]</w:t>
            </w:r>
          </w:p>
        </w:tc>
      </w:tr>
      <w:tr w:rsidR="00286780" w:rsidRPr="00124D89" w:rsidTr="00653D3A">
        <w:trPr>
          <w:trHeight w:val="397"/>
        </w:trPr>
        <w:tc>
          <w:tcPr>
            <w:tcW w:w="3577"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DA2103">
            <w:pPr>
              <w:snapToGrid w:val="0"/>
              <w:rPr>
                <w:rFonts w:cs="Calibri"/>
                <w:spacing w:val="-8"/>
                <w:sz w:val="24"/>
                <w:szCs w:val="24"/>
                <w:lang w:eastAsia="ar-SA"/>
              </w:rPr>
            </w:pPr>
            <w:r w:rsidRPr="00124D89">
              <w:rPr>
                <w:rFonts w:cs="Calibri"/>
                <w:spacing w:val="-8"/>
                <w:sz w:val="24"/>
                <w:szCs w:val="24"/>
                <w:lang w:eastAsia="ar-SA"/>
              </w:rPr>
              <w:t>Аспартатаминотрансфераза (МЕ/л)</w:t>
            </w:r>
          </w:p>
        </w:tc>
        <w:tc>
          <w:tcPr>
            <w:tcW w:w="3260" w:type="dxa"/>
            <w:tcBorders>
              <w:top w:val="single" w:sz="4" w:space="0" w:color="000000"/>
              <w:left w:val="single" w:sz="4" w:space="0" w:color="000000"/>
              <w:bottom w:val="single" w:sz="4" w:space="0" w:color="000000"/>
            </w:tcBorders>
            <w:tcMar>
              <w:left w:w="28" w:type="dxa"/>
              <w:right w:w="28" w:type="dxa"/>
            </w:tcMar>
            <w:vAlign w:val="center"/>
          </w:tcPr>
          <w:p w:rsidR="00286780" w:rsidRPr="00E53EB8" w:rsidRDefault="00286780" w:rsidP="00DA2103">
            <w:pPr>
              <w:snapToGrid w:val="0"/>
              <w:jc w:val="center"/>
              <w:rPr>
                <w:rFonts w:cs="Calibri"/>
                <w:spacing w:val="-8"/>
                <w:sz w:val="24"/>
                <w:szCs w:val="24"/>
                <w:lang w:eastAsia="ar-SA"/>
              </w:rPr>
            </w:pPr>
            <w:r>
              <w:rPr>
                <w:rFonts w:cs="Calibri"/>
                <w:spacing w:val="-8"/>
                <w:sz w:val="24"/>
                <w:szCs w:val="24"/>
                <w:lang w:eastAsia="ar-SA"/>
              </w:rPr>
              <w:t>38,6</w:t>
            </w:r>
            <w:r>
              <w:rPr>
                <w:rFonts w:cs="Calibri"/>
                <w:spacing w:val="-8"/>
                <w:sz w:val="24"/>
                <w:szCs w:val="24"/>
                <w:lang w:val="en-US" w:eastAsia="ar-SA"/>
              </w:rPr>
              <w:t>[</w:t>
            </w:r>
            <w:r>
              <w:rPr>
                <w:rFonts w:cs="Calibri"/>
                <w:spacing w:val="-8"/>
                <w:sz w:val="24"/>
                <w:szCs w:val="24"/>
                <w:lang w:eastAsia="ar-SA"/>
              </w:rPr>
              <w:t>29,9;59,1</w:t>
            </w:r>
            <w:r>
              <w:rPr>
                <w:rFonts w:cs="Calibri"/>
                <w:spacing w:val="-8"/>
                <w:sz w:val="24"/>
                <w:szCs w:val="24"/>
                <w:lang w:val="en-US" w:eastAsia="ar-SA"/>
              </w:rPr>
              <w:t>]</w:t>
            </w:r>
          </w:p>
        </w:tc>
        <w:tc>
          <w:tcPr>
            <w:tcW w:w="3119"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9353D3" w:rsidRDefault="00286780" w:rsidP="00DA2103">
            <w:pPr>
              <w:snapToGrid w:val="0"/>
              <w:jc w:val="center"/>
              <w:rPr>
                <w:rFonts w:cs="Calibri"/>
                <w:spacing w:val="-8"/>
                <w:sz w:val="24"/>
                <w:szCs w:val="24"/>
                <w:lang w:eastAsia="ar-SA"/>
              </w:rPr>
            </w:pPr>
            <w:r>
              <w:rPr>
                <w:rFonts w:cs="Calibri"/>
                <w:spacing w:val="-8"/>
                <w:sz w:val="24"/>
                <w:szCs w:val="24"/>
                <w:lang w:eastAsia="ar-SA"/>
              </w:rPr>
              <w:t>43,3</w:t>
            </w:r>
            <w:r>
              <w:rPr>
                <w:rFonts w:cs="Calibri"/>
                <w:spacing w:val="-8"/>
                <w:sz w:val="24"/>
                <w:szCs w:val="24"/>
                <w:lang w:val="en-US" w:eastAsia="ar-SA"/>
              </w:rPr>
              <w:t>[</w:t>
            </w:r>
            <w:r>
              <w:rPr>
                <w:rFonts w:cs="Calibri"/>
                <w:spacing w:val="-8"/>
                <w:sz w:val="24"/>
                <w:szCs w:val="24"/>
                <w:lang w:eastAsia="ar-SA"/>
              </w:rPr>
              <w:t>31,4;73,8</w:t>
            </w:r>
            <w:r>
              <w:rPr>
                <w:rFonts w:cs="Calibri"/>
                <w:spacing w:val="-8"/>
                <w:sz w:val="24"/>
                <w:szCs w:val="24"/>
                <w:lang w:val="en-US" w:eastAsia="ar-SA"/>
              </w:rPr>
              <w:t>]</w:t>
            </w:r>
          </w:p>
        </w:tc>
      </w:tr>
      <w:tr w:rsidR="00286780" w:rsidRPr="00124D89" w:rsidTr="00653D3A">
        <w:trPr>
          <w:trHeight w:val="397"/>
        </w:trPr>
        <w:tc>
          <w:tcPr>
            <w:tcW w:w="3577"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DA2103">
            <w:pPr>
              <w:snapToGrid w:val="0"/>
              <w:rPr>
                <w:rFonts w:cs="Calibri"/>
                <w:spacing w:val="-8"/>
                <w:sz w:val="24"/>
                <w:szCs w:val="24"/>
                <w:lang w:eastAsia="ar-SA"/>
              </w:rPr>
            </w:pPr>
            <w:r w:rsidRPr="00124D89">
              <w:rPr>
                <w:rFonts w:cs="Calibri"/>
                <w:spacing w:val="-8"/>
                <w:sz w:val="24"/>
                <w:szCs w:val="24"/>
                <w:lang w:eastAsia="ar-SA"/>
              </w:rPr>
              <w:t>Аланинаминотрансфераза (МЕ/л)</w:t>
            </w:r>
          </w:p>
        </w:tc>
        <w:tc>
          <w:tcPr>
            <w:tcW w:w="3260" w:type="dxa"/>
            <w:tcBorders>
              <w:top w:val="single" w:sz="4" w:space="0" w:color="000000"/>
              <w:left w:val="single" w:sz="4" w:space="0" w:color="000000"/>
              <w:bottom w:val="single" w:sz="4" w:space="0" w:color="000000"/>
            </w:tcBorders>
            <w:tcMar>
              <w:left w:w="28" w:type="dxa"/>
              <w:right w:w="28" w:type="dxa"/>
            </w:tcMar>
            <w:vAlign w:val="center"/>
          </w:tcPr>
          <w:p w:rsidR="00286780" w:rsidRPr="00E53EB8" w:rsidRDefault="00286780" w:rsidP="00DA2103">
            <w:pPr>
              <w:snapToGrid w:val="0"/>
              <w:jc w:val="center"/>
              <w:rPr>
                <w:rFonts w:cs="Calibri"/>
                <w:spacing w:val="-8"/>
                <w:sz w:val="24"/>
                <w:szCs w:val="24"/>
                <w:lang w:eastAsia="ar-SA"/>
              </w:rPr>
            </w:pPr>
            <w:r>
              <w:rPr>
                <w:rFonts w:cs="Calibri"/>
                <w:spacing w:val="-8"/>
                <w:sz w:val="24"/>
                <w:szCs w:val="24"/>
                <w:lang w:eastAsia="ar-SA"/>
              </w:rPr>
              <w:t>29</w:t>
            </w:r>
            <w:r>
              <w:rPr>
                <w:rFonts w:cs="Calibri"/>
                <w:spacing w:val="-8"/>
                <w:sz w:val="24"/>
                <w:szCs w:val="24"/>
                <w:lang w:val="en-US" w:eastAsia="ar-SA"/>
              </w:rPr>
              <w:t>[</w:t>
            </w:r>
            <w:r>
              <w:rPr>
                <w:rFonts w:cs="Calibri"/>
                <w:spacing w:val="-8"/>
                <w:sz w:val="24"/>
                <w:szCs w:val="24"/>
                <w:lang w:eastAsia="ar-SA"/>
              </w:rPr>
              <w:t>14,9;31,9</w:t>
            </w:r>
            <w:r>
              <w:rPr>
                <w:rFonts w:cs="Calibri"/>
                <w:spacing w:val="-8"/>
                <w:sz w:val="24"/>
                <w:szCs w:val="24"/>
                <w:lang w:val="en-US" w:eastAsia="ar-SA"/>
              </w:rPr>
              <w:t>]</w:t>
            </w:r>
          </w:p>
        </w:tc>
        <w:tc>
          <w:tcPr>
            <w:tcW w:w="3119"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9353D3" w:rsidRDefault="00286780" w:rsidP="00DA2103">
            <w:pPr>
              <w:snapToGrid w:val="0"/>
              <w:jc w:val="center"/>
              <w:rPr>
                <w:rFonts w:cs="Calibri"/>
                <w:spacing w:val="-8"/>
                <w:sz w:val="24"/>
                <w:szCs w:val="24"/>
                <w:lang w:eastAsia="ar-SA"/>
              </w:rPr>
            </w:pPr>
            <w:r>
              <w:rPr>
                <w:rFonts w:cs="Calibri"/>
                <w:spacing w:val="-8"/>
                <w:sz w:val="24"/>
                <w:szCs w:val="24"/>
                <w:lang w:eastAsia="ar-SA"/>
              </w:rPr>
              <w:t>31,9</w:t>
            </w:r>
            <w:r>
              <w:rPr>
                <w:rFonts w:cs="Calibri"/>
                <w:spacing w:val="-8"/>
                <w:sz w:val="24"/>
                <w:szCs w:val="24"/>
                <w:lang w:val="en-US" w:eastAsia="ar-SA"/>
              </w:rPr>
              <w:t>[</w:t>
            </w:r>
            <w:r>
              <w:rPr>
                <w:rFonts w:cs="Calibri"/>
                <w:spacing w:val="-8"/>
                <w:sz w:val="24"/>
                <w:szCs w:val="24"/>
                <w:lang w:eastAsia="ar-SA"/>
              </w:rPr>
              <w:t>29,3;54,5</w:t>
            </w:r>
            <w:r>
              <w:rPr>
                <w:rFonts w:cs="Calibri"/>
                <w:spacing w:val="-8"/>
                <w:sz w:val="24"/>
                <w:szCs w:val="24"/>
                <w:lang w:val="en-US" w:eastAsia="ar-SA"/>
              </w:rPr>
              <w:t>]</w:t>
            </w:r>
          </w:p>
        </w:tc>
      </w:tr>
      <w:tr w:rsidR="00286780" w:rsidRPr="009353D3" w:rsidTr="00653D3A">
        <w:trPr>
          <w:trHeight w:val="397"/>
        </w:trPr>
        <w:tc>
          <w:tcPr>
            <w:tcW w:w="3577"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DA2103">
            <w:pPr>
              <w:snapToGrid w:val="0"/>
              <w:rPr>
                <w:rFonts w:cs="Calibri"/>
                <w:spacing w:val="-8"/>
                <w:sz w:val="24"/>
                <w:szCs w:val="24"/>
                <w:lang w:eastAsia="ar-SA"/>
              </w:rPr>
            </w:pPr>
            <w:r>
              <w:rPr>
                <w:rFonts w:cs="Calibri"/>
                <w:spacing w:val="-8"/>
                <w:sz w:val="24"/>
                <w:szCs w:val="24"/>
                <w:lang w:eastAsia="ar-SA"/>
              </w:rPr>
              <w:t>Коэффициент де Ритиса</w:t>
            </w:r>
          </w:p>
        </w:tc>
        <w:tc>
          <w:tcPr>
            <w:tcW w:w="3260" w:type="dxa"/>
            <w:tcBorders>
              <w:top w:val="single" w:sz="4" w:space="0" w:color="000000"/>
              <w:left w:val="single" w:sz="4" w:space="0" w:color="000000"/>
              <w:bottom w:val="single" w:sz="4" w:space="0" w:color="000000"/>
            </w:tcBorders>
            <w:tcMar>
              <w:left w:w="28" w:type="dxa"/>
              <w:right w:w="28" w:type="dxa"/>
            </w:tcMar>
            <w:vAlign w:val="center"/>
          </w:tcPr>
          <w:p w:rsidR="00286780" w:rsidRPr="00E53EB8" w:rsidRDefault="00286780" w:rsidP="00DA2103">
            <w:pPr>
              <w:snapToGrid w:val="0"/>
              <w:jc w:val="center"/>
              <w:rPr>
                <w:rFonts w:cs="Calibri"/>
                <w:spacing w:val="-8"/>
                <w:sz w:val="24"/>
                <w:szCs w:val="24"/>
                <w:lang w:eastAsia="ar-SA"/>
              </w:rPr>
            </w:pPr>
            <w:r>
              <w:rPr>
                <w:rFonts w:cs="Calibri"/>
                <w:spacing w:val="-8"/>
                <w:sz w:val="24"/>
                <w:szCs w:val="24"/>
                <w:lang w:eastAsia="ar-SA"/>
              </w:rPr>
              <w:t>1,81</w:t>
            </w:r>
            <w:r>
              <w:rPr>
                <w:rFonts w:cs="Calibri"/>
                <w:spacing w:val="-8"/>
                <w:sz w:val="24"/>
                <w:szCs w:val="24"/>
                <w:lang w:val="en-US" w:eastAsia="ar-SA"/>
              </w:rPr>
              <w:t>[</w:t>
            </w:r>
            <w:r>
              <w:rPr>
                <w:rFonts w:cs="Calibri"/>
                <w:spacing w:val="-8"/>
                <w:sz w:val="24"/>
                <w:szCs w:val="24"/>
                <w:lang w:eastAsia="ar-SA"/>
              </w:rPr>
              <w:t>1,35;3,23</w:t>
            </w:r>
            <w:r>
              <w:rPr>
                <w:rFonts w:cs="Calibri"/>
                <w:spacing w:val="-8"/>
                <w:sz w:val="24"/>
                <w:szCs w:val="24"/>
                <w:lang w:val="en-US" w:eastAsia="ar-SA"/>
              </w:rPr>
              <w:t>]</w:t>
            </w:r>
          </w:p>
        </w:tc>
        <w:tc>
          <w:tcPr>
            <w:tcW w:w="3119"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9353D3" w:rsidRDefault="00286780" w:rsidP="00DA2103">
            <w:pPr>
              <w:snapToGrid w:val="0"/>
              <w:jc w:val="center"/>
              <w:rPr>
                <w:rFonts w:cs="Calibri"/>
                <w:spacing w:val="-8"/>
                <w:sz w:val="24"/>
                <w:szCs w:val="24"/>
                <w:lang w:val="en-US" w:eastAsia="ar-SA"/>
              </w:rPr>
            </w:pPr>
            <w:r w:rsidRPr="009353D3">
              <w:rPr>
                <w:rFonts w:cs="Calibri"/>
                <w:spacing w:val="-8"/>
                <w:sz w:val="24"/>
                <w:szCs w:val="24"/>
                <w:lang w:val="en-US" w:eastAsia="ar-SA"/>
              </w:rPr>
              <w:t>1,36</w:t>
            </w:r>
            <w:r>
              <w:rPr>
                <w:rFonts w:cs="Calibri"/>
                <w:spacing w:val="-8"/>
                <w:sz w:val="24"/>
                <w:szCs w:val="24"/>
                <w:lang w:val="en-US" w:eastAsia="ar-SA"/>
              </w:rPr>
              <w:t>[1</w:t>
            </w:r>
            <w:r>
              <w:rPr>
                <w:rFonts w:cs="Calibri"/>
                <w:spacing w:val="-8"/>
                <w:sz w:val="24"/>
                <w:szCs w:val="24"/>
                <w:lang w:eastAsia="ar-SA"/>
              </w:rPr>
              <w:t>,35;1,63</w:t>
            </w:r>
            <w:r>
              <w:rPr>
                <w:rFonts w:cs="Calibri"/>
                <w:spacing w:val="-8"/>
                <w:sz w:val="24"/>
                <w:szCs w:val="24"/>
                <w:lang w:val="en-US" w:eastAsia="ar-SA"/>
              </w:rPr>
              <w:t>]</w:t>
            </w:r>
          </w:p>
        </w:tc>
      </w:tr>
      <w:tr w:rsidR="00286780" w:rsidRPr="009353D3" w:rsidTr="00653D3A">
        <w:trPr>
          <w:trHeight w:val="397"/>
        </w:trPr>
        <w:tc>
          <w:tcPr>
            <w:tcW w:w="3577" w:type="dxa"/>
            <w:tcBorders>
              <w:top w:val="single" w:sz="4" w:space="0" w:color="000000"/>
              <w:left w:val="single" w:sz="4" w:space="0" w:color="000000"/>
              <w:bottom w:val="single" w:sz="4" w:space="0" w:color="000000"/>
            </w:tcBorders>
            <w:tcMar>
              <w:left w:w="28" w:type="dxa"/>
              <w:right w:w="28" w:type="dxa"/>
            </w:tcMar>
            <w:vAlign w:val="center"/>
          </w:tcPr>
          <w:p w:rsidR="00286780" w:rsidRPr="009353D3" w:rsidRDefault="00286780" w:rsidP="00DA2103">
            <w:pPr>
              <w:snapToGrid w:val="0"/>
              <w:rPr>
                <w:rFonts w:cs="Calibri"/>
                <w:spacing w:val="-8"/>
                <w:sz w:val="24"/>
                <w:szCs w:val="24"/>
                <w:lang w:val="en-US" w:eastAsia="ar-SA"/>
              </w:rPr>
            </w:pPr>
            <w:r w:rsidRPr="00124D89">
              <w:rPr>
                <w:rFonts w:cs="Calibri"/>
                <w:spacing w:val="-8"/>
                <w:sz w:val="24"/>
                <w:szCs w:val="24"/>
                <w:lang w:eastAsia="ar-SA"/>
              </w:rPr>
              <w:t>Креатинин</w:t>
            </w:r>
            <w:r w:rsidRPr="009353D3">
              <w:rPr>
                <w:rFonts w:cs="Calibri"/>
                <w:spacing w:val="-8"/>
                <w:sz w:val="24"/>
                <w:szCs w:val="24"/>
                <w:lang w:val="en-US" w:eastAsia="ar-SA"/>
              </w:rPr>
              <w:t xml:space="preserve"> (</w:t>
            </w:r>
            <w:r w:rsidRPr="00124D89">
              <w:rPr>
                <w:rFonts w:cs="Calibri"/>
                <w:spacing w:val="-8"/>
                <w:sz w:val="24"/>
                <w:szCs w:val="24"/>
                <w:lang w:eastAsia="ar-SA"/>
              </w:rPr>
              <w:t>мкмоль</w:t>
            </w:r>
            <w:r w:rsidRPr="009353D3">
              <w:rPr>
                <w:rFonts w:cs="Calibri"/>
                <w:spacing w:val="-8"/>
                <w:sz w:val="24"/>
                <w:szCs w:val="24"/>
                <w:lang w:val="en-US" w:eastAsia="ar-SA"/>
              </w:rPr>
              <w:t>/</w:t>
            </w:r>
            <w:r w:rsidRPr="00124D89">
              <w:rPr>
                <w:rFonts w:cs="Calibri"/>
                <w:spacing w:val="-8"/>
                <w:sz w:val="24"/>
                <w:szCs w:val="24"/>
                <w:lang w:eastAsia="ar-SA"/>
              </w:rPr>
              <w:t>л</w:t>
            </w:r>
            <w:r w:rsidRPr="009353D3">
              <w:rPr>
                <w:rFonts w:cs="Calibri"/>
                <w:spacing w:val="-8"/>
                <w:sz w:val="24"/>
                <w:szCs w:val="24"/>
                <w:lang w:val="en-US" w:eastAsia="ar-SA"/>
              </w:rPr>
              <w:t xml:space="preserve">) </w:t>
            </w:r>
          </w:p>
        </w:tc>
        <w:tc>
          <w:tcPr>
            <w:tcW w:w="3260" w:type="dxa"/>
            <w:tcBorders>
              <w:top w:val="single" w:sz="4" w:space="0" w:color="000000"/>
              <w:left w:val="single" w:sz="4" w:space="0" w:color="000000"/>
              <w:bottom w:val="single" w:sz="4" w:space="0" w:color="000000"/>
            </w:tcBorders>
            <w:tcMar>
              <w:left w:w="28" w:type="dxa"/>
              <w:right w:w="28" w:type="dxa"/>
            </w:tcMar>
            <w:vAlign w:val="center"/>
          </w:tcPr>
          <w:p w:rsidR="00286780" w:rsidRPr="00031FB9" w:rsidRDefault="00286780" w:rsidP="00DA2103">
            <w:pPr>
              <w:snapToGrid w:val="0"/>
              <w:jc w:val="center"/>
              <w:rPr>
                <w:rFonts w:cs="Calibri"/>
                <w:spacing w:val="-8"/>
                <w:sz w:val="24"/>
                <w:szCs w:val="24"/>
                <w:lang w:eastAsia="ar-SA"/>
              </w:rPr>
            </w:pPr>
            <w:r>
              <w:rPr>
                <w:rFonts w:cs="Calibri"/>
                <w:spacing w:val="-8"/>
                <w:sz w:val="24"/>
                <w:szCs w:val="24"/>
                <w:lang w:eastAsia="ar-SA"/>
              </w:rPr>
              <w:t>180,7</w:t>
            </w:r>
            <w:r>
              <w:rPr>
                <w:rFonts w:cs="Calibri"/>
                <w:spacing w:val="-8"/>
                <w:sz w:val="24"/>
                <w:szCs w:val="24"/>
                <w:lang w:val="en-US" w:eastAsia="ar-SA"/>
              </w:rPr>
              <w:t>[</w:t>
            </w:r>
            <w:r>
              <w:rPr>
                <w:rFonts w:cs="Calibri"/>
                <w:spacing w:val="-8"/>
                <w:sz w:val="24"/>
                <w:szCs w:val="24"/>
                <w:lang w:eastAsia="ar-SA"/>
              </w:rPr>
              <w:t>93,2;336</w:t>
            </w:r>
            <w:r>
              <w:rPr>
                <w:rFonts w:cs="Calibri"/>
                <w:spacing w:val="-8"/>
                <w:sz w:val="24"/>
                <w:szCs w:val="24"/>
                <w:lang w:val="en-US" w:eastAsia="ar-SA"/>
              </w:rPr>
              <w:t>]</w:t>
            </w:r>
          </w:p>
        </w:tc>
        <w:tc>
          <w:tcPr>
            <w:tcW w:w="3119"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031FB9" w:rsidRDefault="00286780" w:rsidP="00DA2103">
            <w:pPr>
              <w:snapToGrid w:val="0"/>
              <w:jc w:val="center"/>
              <w:rPr>
                <w:rFonts w:cs="Calibri"/>
                <w:spacing w:val="-8"/>
                <w:sz w:val="24"/>
                <w:szCs w:val="24"/>
                <w:lang w:eastAsia="ar-SA"/>
              </w:rPr>
            </w:pPr>
            <w:r>
              <w:rPr>
                <w:rFonts w:cs="Calibri"/>
                <w:spacing w:val="-8"/>
                <w:sz w:val="24"/>
                <w:szCs w:val="24"/>
                <w:lang w:eastAsia="ar-SA"/>
              </w:rPr>
              <w:t>96,2</w:t>
            </w:r>
            <w:r>
              <w:rPr>
                <w:rFonts w:cs="Calibri"/>
                <w:spacing w:val="-8"/>
                <w:sz w:val="24"/>
                <w:szCs w:val="24"/>
                <w:lang w:val="en-US" w:eastAsia="ar-SA"/>
              </w:rPr>
              <w:t>[</w:t>
            </w:r>
            <w:r>
              <w:rPr>
                <w:rFonts w:cs="Calibri"/>
                <w:spacing w:val="-8"/>
                <w:sz w:val="24"/>
                <w:szCs w:val="24"/>
                <w:lang w:eastAsia="ar-SA"/>
              </w:rPr>
              <w:t>93,2;180,7</w:t>
            </w:r>
            <w:r>
              <w:rPr>
                <w:rFonts w:cs="Calibri"/>
                <w:spacing w:val="-8"/>
                <w:sz w:val="24"/>
                <w:szCs w:val="24"/>
                <w:lang w:val="en-US" w:eastAsia="ar-SA"/>
              </w:rPr>
              <w:t>]</w:t>
            </w:r>
          </w:p>
        </w:tc>
      </w:tr>
      <w:tr w:rsidR="00286780" w:rsidRPr="009353D3" w:rsidTr="00FD18C9">
        <w:trPr>
          <w:trHeight w:val="230"/>
        </w:trPr>
        <w:tc>
          <w:tcPr>
            <w:tcW w:w="3577" w:type="dxa"/>
            <w:tcBorders>
              <w:top w:val="single" w:sz="4" w:space="0" w:color="000000"/>
              <w:left w:val="single" w:sz="4" w:space="0" w:color="000000"/>
              <w:bottom w:val="single" w:sz="4" w:space="0" w:color="000000"/>
            </w:tcBorders>
            <w:tcMar>
              <w:left w:w="28" w:type="dxa"/>
              <w:right w:w="28" w:type="dxa"/>
            </w:tcMar>
            <w:vAlign w:val="center"/>
          </w:tcPr>
          <w:p w:rsidR="00286780" w:rsidRPr="009353D3" w:rsidRDefault="00286780" w:rsidP="00DA2103">
            <w:pPr>
              <w:snapToGrid w:val="0"/>
              <w:rPr>
                <w:rFonts w:cs="Calibri"/>
                <w:spacing w:val="-8"/>
                <w:sz w:val="24"/>
                <w:szCs w:val="24"/>
                <w:lang w:val="en-US" w:eastAsia="ar-SA"/>
              </w:rPr>
            </w:pPr>
            <w:r w:rsidRPr="00124D89">
              <w:rPr>
                <w:rFonts w:cs="Calibri"/>
                <w:spacing w:val="-8"/>
                <w:sz w:val="24"/>
                <w:szCs w:val="24"/>
                <w:lang w:eastAsia="ar-SA"/>
              </w:rPr>
              <w:t>Глюкоза</w:t>
            </w:r>
            <w:r w:rsidRPr="009353D3">
              <w:rPr>
                <w:rFonts w:cs="Calibri"/>
                <w:spacing w:val="-8"/>
                <w:sz w:val="24"/>
                <w:szCs w:val="24"/>
                <w:lang w:val="en-US" w:eastAsia="ar-SA"/>
              </w:rPr>
              <w:t xml:space="preserve"> (</w:t>
            </w:r>
            <w:r w:rsidRPr="00124D89">
              <w:rPr>
                <w:rFonts w:cs="Calibri"/>
                <w:spacing w:val="-8"/>
                <w:sz w:val="24"/>
                <w:szCs w:val="24"/>
                <w:lang w:eastAsia="ar-SA"/>
              </w:rPr>
              <w:t>ммоль</w:t>
            </w:r>
            <w:r w:rsidRPr="009353D3">
              <w:rPr>
                <w:rFonts w:cs="Calibri"/>
                <w:spacing w:val="-8"/>
                <w:sz w:val="24"/>
                <w:szCs w:val="24"/>
                <w:lang w:val="en-US" w:eastAsia="ar-SA"/>
              </w:rPr>
              <w:t>/</w:t>
            </w:r>
            <w:r w:rsidRPr="00124D89">
              <w:rPr>
                <w:rFonts w:cs="Calibri"/>
                <w:spacing w:val="-8"/>
                <w:sz w:val="24"/>
                <w:szCs w:val="24"/>
                <w:lang w:eastAsia="ar-SA"/>
              </w:rPr>
              <w:t>л</w:t>
            </w:r>
            <w:r w:rsidRPr="009353D3">
              <w:rPr>
                <w:rFonts w:cs="Calibri"/>
                <w:spacing w:val="-8"/>
                <w:sz w:val="24"/>
                <w:szCs w:val="24"/>
                <w:lang w:val="en-US" w:eastAsia="ar-SA"/>
              </w:rPr>
              <w:t>)</w:t>
            </w:r>
          </w:p>
        </w:tc>
        <w:tc>
          <w:tcPr>
            <w:tcW w:w="3260" w:type="dxa"/>
            <w:tcBorders>
              <w:top w:val="single" w:sz="4" w:space="0" w:color="000000"/>
              <w:left w:val="single" w:sz="4" w:space="0" w:color="000000"/>
              <w:bottom w:val="single" w:sz="4" w:space="0" w:color="000000"/>
            </w:tcBorders>
            <w:tcMar>
              <w:left w:w="28" w:type="dxa"/>
              <w:right w:w="28" w:type="dxa"/>
            </w:tcMar>
            <w:vAlign w:val="center"/>
          </w:tcPr>
          <w:p w:rsidR="00286780" w:rsidRPr="00E53EB8" w:rsidRDefault="00286780" w:rsidP="00DA2103">
            <w:pPr>
              <w:snapToGrid w:val="0"/>
              <w:jc w:val="center"/>
              <w:rPr>
                <w:rFonts w:cs="Calibri"/>
                <w:spacing w:val="-8"/>
                <w:sz w:val="24"/>
                <w:szCs w:val="24"/>
                <w:lang w:eastAsia="ar-SA"/>
              </w:rPr>
            </w:pPr>
            <w:r>
              <w:rPr>
                <w:rFonts w:cs="Calibri"/>
                <w:spacing w:val="-8"/>
                <w:sz w:val="24"/>
                <w:szCs w:val="24"/>
                <w:lang w:eastAsia="ar-SA"/>
              </w:rPr>
              <w:t>6,48</w:t>
            </w:r>
            <w:r>
              <w:rPr>
                <w:rFonts w:cs="Calibri"/>
                <w:spacing w:val="-8"/>
                <w:sz w:val="24"/>
                <w:szCs w:val="24"/>
                <w:lang w:val="en-US" w:eastAsia="ar-SA"/>
              </w:rPr>
              <w:t>[</w:t>
            </w:r>
            <w:r>
              <w:rPr>
                <w:rFonts w:cs="Calibri"/>
                <w:spacing w:val="-8"/>
                <w:sz w:val="24"/>
                <w:szCs w:val="24"/>
                <w:lang w:eastAsia="ar-SA"/>
              </w:rPr>
              <w:t>5,45;8,67</w:t>
            </w:r>
            <w:r>
              <w:rPr>
                <w:rFonts w:cs="Calibri"/>
                <w:spacing w:val="-8"/>
                <w:sz w:val="24"/>
                <w:szCs w:val="24"/>
                <w:lang w:val="en-US" w:eastAsia="ar-SA"/>
              </w:rPr>
              <w:t>]</w:t>
            </w:r>
          </w:p>
        </w:tc>
        <w:tc>
          <w:tcPr>
            <w:tcW w:w="3119"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9353D3" w:rsidRDefault="00286780" w:rsidP="00DA2103">
            <w:pPr>
              <w:snapToGrid w:val="0"/>
              <w:jc w:val="center"/>
              <w:rPr>
                <w:rFonts w:cs="Calibri"/>
                <w:spacing w:val="-8"/>
                <w:sz w:val="24"/>
                <w:szCs w:val="24"/>
                <w:lang w:eastAsia="ar-SA"/>
              </w:rPr>
            </w:pPr>
            <w:r>
              <w:rPr>
                <w:rFonts w:cs="Calibri"/>
                <w:spacing w:val="-8"/>
                <w:sz w:val="24"/>
                <w:szCs w:val="24"/>
                <w:lang w:eastAsia="ar-SA"/>
              </w:rPr>
              <w:t>6,26</w:t>
            </w:r>
            <w:r>
              <w:rPr>
                <w:rFonts w:cs="Calibri"/>
                <w:spacing w:val="-8"/>
                <w:sz w:val="24"/>
                <w:szCs w:val="24"/>
                <w:lang w:val="en-US" w:eastAsia="ar-SA"/>
              </w:rPr>
              <w:t>[</w:t>
            </w:r>
            <w:r>
              <w:rPr>
                <w:rFonts w:cs="Calibri"/>
                <w:spacing w:val="-8"/>
                <w:sz w:val="24"/>
                <w:szCs w:val="24"/>
                <w:lang w:eastAsia="ar-SA"/>
              </w:rPr>
              <w:t>5,4;8,31</w:t>
            </w:r>
            <w:r>
              <w:rPr>
                <w:rFonts w:cs="Calibri"/>
                <w:spacing w:val="-8"/>
                <w:sz w:val="24"/>
                <w:szCs w:val="24"/>
                <w:lang w:val="en-US" w:eastAsia="ar-SA"/>
              </w:rPr>
              <w:t>]</w:t>
            </w:r>
          </w:p>
        </w:tc>
      </w:tr>
      <w:tr w:rsidR="00286780" w:rsidRPr="009353D3" w:rsidTr="00653D3A">
        <w:trPr>
          <w:trHeight w:val="397"/>
        </w:trPr>
        <w:tc>
          <w:tcPr>
            <w:tcW w:w="3577"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DA2103">
            <w:pPr>
              <w:snapToGrid w:val="0"/>
              <w:rPr>
                <w:rFonts w:cs="Calibri"/>
                <w:spacing w:val="-8"/>
                <w:sz w:val="24"/>
                <w:szCs w:val="24"/>
                <w:lang w:val="en-US" w:eastAsia="ar-SA"/>
              </w:rPr>
            </w:pPr>
            <w:r w:rsidRPr="00124D89">
              <w:rPr>
                <w:rFonts w:cs="Calibri"/>
                <w:spacing w:val="-8"/>
                <w:sz w:val="24"/>
                <w:szCs w:val="24"/>
                <w:lang w:val="en-US" w:eastAsia="ar-SA"/>
              </w:rPr>
              <w:t>pH</w:t>
            </w:r>
          </w:p>
        </w:tc>
        <w:tc>
          <w:tcPr>
            <w:tcW w:w="3260" w:type="dxa"/>
            <w:tcBorders>
              <w:top w:val="single" w:sz="4" w:space="0" w:color="000000"/>
              <w:left w:val="single" w:sz="4" w:space="0" w:color="000000"/>
              <w:bottom w:val="single" w:sz="4" w:space="0" w:color="000000"/>
            </w:tcBorders>
            <w:tcMar>
              <w:left w:w="28" w:type="dxa"/>
              <w:right w:w="28" w:type="dxa"/>
            </w:tcMar>
            <w:vAlign w:val="center"/>
          </w:tcPr>
          <w:p w:rsidR="00286780" w:rsidRPr="009C67A8" w:rsidRDefault="00286780" w:rsidP="00DA2103">
            <w:pPr>
              <w:snapToGrid w:val="0"/>
              <w:jc w:val="center"/>
              <w:rPr>
                <w:rFonts w:cs="Calibri"/>
                <w:spacing w:val="-8"/>
                <w:sz w:val="24"/>
                <w:szCs w:val="24"/>
                <w:lang w:eastAsia="ar-SA"/>
              </w:rPr>
            </w:pPr>
            <w:r>
              <w:rPr>
                <w:rFonts w:cs="Calibri"/>
                <w:spacing w:val="-8"/>
                <w:sz w:val="24"/>
                <w:szCs w:val="24"/>
                <w:lang w:eastAsia="ar-SA"/>
              </w:rPr>
              <w:t>7,37</w:t>
            </w:r>
            <w:r>
              <w:rPr>
                <w:rFonts w:cs="Calibri"/>
                <w:spacing w:val="-8"/>
                <w:sz w:val="24"/>
                <w:szCs w:val="24"/>
                <w:lang w:val="en-US" w:eastAsia="ar-SA"/>
              </w:rPr>
              <w:t>[</w:t>
            </w:r>
            <w:r>
              <w:rPr>
                <w:rFonts w:cs="Calibri"/>
                <w:spacing w:val="-8"/>
                <w:sz w:val="24"/>
                <w:szCs w:val="24"/>
                <w:lang w:eastAsia="ar-SA"/>
              </w:rPr>
              <w:t>7,14;7,46</w:t>
            </w:r>
            <w:r>
              <w:rPr>
                <w:rFonts w:cs="Calibri"/>
                <w:spacing w:val="-8"/>
                <w:sz w:val="24"/>
                <w:szCs w:val="24"/>
                <w:lang w:val="en-US" w:eastAsia="ar-SA"/>
              </w:rPr>
              <w:t>]</w:t>
            </w:r>
          </w:p>
        </w:tc>
        <w:tc>
          <w:tcPr>
            <w:tcW w:w="3119"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031FB9" w:rsidRDefault="00286780" w:rsidP="00DA2103">
            <w:pPr>
              <w:snapToGrid w:val="0"/>
              <w:jc w:val="center"/>
              <w:rPr>
                <w:rFonts w:cs="Calibri"/>
                <w:spacing w:val="-8"/>
                <w:sz w:val="24"/>
                <w:szCs w:val="24"/>
                <w:lang w:eastAsia="ar-SA"/>
              </w:rPr>
            </w:pPr>
            <w:r>
              <w:rPr>
                <w:rFonts w:cs="Calibri"/>
                <w:spacing w:val="-8"/>
                <w:sz w:val="24"/>
                <w:szCs w:val="24"/>
                <w:lang w:eastAsia="ar-SA"/>
              </w:rPr>
              <w:t>7,42</w:t>
            </w:r>
            <w:r>
              <w:rPr>
                <w:rFonts w:cs="Calibri"/>
                <w:spacing w:val="-8"/>
                <w:sz w:val="24"/>
                <w:szCs w:val="24"/>
                <w:lang w:val="en-US" w:eastAsia="ar-SA"/>
              </w:rPr>
              <w:t>[</w:t>
            </w:r>
            <w:r>
              <w:rPr>
                <w:rFonts w:cs="Calibri"/>
                <w:spacing w:val="-8"/>
                <w:sz w:val="24"/>
                <w:szCs w:val="24"/>
                <w:lang w:eastAsia="ar-SA"/>
              </w:rPr>
              <w:t>7,09;7,43</w:t>
            </w:r>
            <w:r>
              <w:rPr>
                <w:rFonts w:cs="Calibri"/>
                <w:spacing w:val="-8"/>
                <w:sz w:val="24"/>
                <w:szCs w:val="24"/>
                <w:lang w:val="en-US" w:eastAsia="ar-SA"/>
              </w:rPr>
              <w:t>]</w:t>
            </w:r>
          </w:p>
        </w:tc>
      </w:tr>
      <w:tr w:rsidR="00286780" w:rsidRPr="009353D3" w:rsidTr="00653D3A">
        <w:trPr>
          <w:trHeight w:val="397"/>
        </w:trPr>
        <w:tc>
          <w:tcPr>
            <w:tcW w:w="3577" w:type="dxa"/>
            <w:tcBorders>
              <w:top w:val="single" w:sz="4" w:space="0" w:color="000000"/>
              <w:left w:val="single" w:sz="4" w:space="0" w:color="000000"/>
              <w:bottom w:val="single" w:sz="4" w:space="0" w:color="000000"/>
            </w:tcBorders>
            <w:tcMar>
              <w:left w:w="28" w:type="dxa"/>
              <w:right w:w="28" w:type="dxa"/>
            </w:tcMar>
            <w:vAlign w:val="center"/>
          </w:tcPr>
          <w:p w:rsidR="00286780" w:rsidRPr="009353D3" w:rsidRDefault="00286780" w:rsidP="00DA2103">
            <w:pPr>
              <w:snapToGrid w:val="0"/>
              <w:rPr>
                <w:rFonts w:cs="Calibri"/>
                <w:spacing w:val="-8"/>
                <w:sz w:val="24"/>
                <w:szCs w:val="24"/>
                <w:lang w:val="en-US" w:eastAsia="ar-SA"/>
              </w:rPr>
            </w:pPr>
            <w:r w:rsidRPr="00124D89">
              <w:rPr>
                <w:rFonts w:cs="Calibri"/>
                <w:spacing w:val="-8"/>
                <w:sz w:val="24"/>
                <w:szCs w:val="24"/>
                <w:lang w:val="en-US" w:eastAsia="ar-SA"/>
              </w:rPr>
              <w:t>pO</w:t>
            </w:r>
            <w:r w:rsidRPr="009353D3">
              <w:rPr>
                <w:rFonts w:cs="Calibri"/>
                <w:spacing w:val="-8"/>
                <w:sz w:val="24"/>
                <w:szCs w:val="24"/>
                <w:lang w:val="en-US" w:eastAsia="ar-SA"/>
              </w:rPr>
              <w:t>2 (</w:t>
            </w:r>
            <w:r w:rsidRPr="00124D89">
              <w:rPr>
                <w:rFonts w:cs="Calibri"/>
                <w:spacing w:val="-8"/>
                <w:sz w:val="24"/>
                <w:szCs w:val="24"/>
                <w:lang w:eastAsia="ar-SA"/>
              </w:rPr>
              <w:t>ммрт</w:t>
            </w:r>
            <w:r w:rsidRPr="009353D3">
              <w:rPr>
                <w:rFonts w:cs="Calibri"/>
                <w:spacing w:val="-8"/>
                <w:sz w:val="24"/>
                <w:szCs w:val="24"/>
                <w:lang w:val="en-US" w:eastAsia="ar-SA"/>
              </w:rPr>
              <w:t xml:space="preserve">. </w:t>
            </w:r>
            <w:r w:rsidRPr="00124D89">
              <w:rPr>
                <w:rFonts w:cs="Calibri"/>
                <w:spacing w:val="-8"/>
                <w:sz w:val="24"/>
                <w:szCs w:val="24"/>
                <w:lang w:eastAsia="ar-SA"/>
              </w:rPr>
              <w:t>ст</w:t>
            </w:r>
            <w:r w:rsidRPr="009353D3">
              <w:rPr>
                <w:rFonts w:cs="Calibri"/>
                <w:spacing w:val="-8"/>
                <w:sz w:val="24"/>
                <w:szCs w:val="24"/>
                <w:lang w:val="en-US" w:eastAsia="ar-SA"/>
              </w:rPr>
              <w:t>.)</w:t>
            </w:r>
          </w:p>
        </w:tc>
        <w:tc>
          <w:tcPr>
            <w:tcW w:w="3260" w:type="dxa"/>
            <w:tcBorders>
              <w:top w:val="single" w:sz="4" w:space="0" w:color="000000"/>
              <w:left w:val="single" w:sz="4" w:space="0" w:color="000000"/>
              <w:bottom w:val="single" w:sz="4" w:space="0" w:color="000000"/>
            </w:tcBorders>
            <w:tcMar>
              <w:left w:w="28" w:type="dxa"/>
              <w:right w:w="28" w:type="dxa"/>
            </w:tcMar>
            <w:vAlign w:val="center"/>
          </w:tcPr>
          <w:p w:rsidR="00286780" w:rsidRPr="009C67A8" w:rsidRDefault="00286780" w:rsidP="00DA2103">
            <w:pPr>
              <w:snapToGrid w:val="0"/>
              <w:jc w:val="center"/>
              <w:rPr>
                <w:rFonts w:cs="Calibri"/>
                <w:spacing w:val="-8"/>
                <w:sz w:val="24"/>
                <w:szCs w:val="24"/>
                <w:lang w:eastAsia="ar-SA"/>
              </w:rPr>
            </w:pPr>
            <w:r>
              <w:rPr>
                <w:rFonts w:cs="Calibri"/>
                <w:spacing w:val="-8"/>
                <w:sz w:val="24"/>
                <w:szCs w:val="24"/>
                <w:lang w:eastAsia="ar-SA"/>
              </w:rPr>
              <w:t>57,9</w:t>
            </w:r>
            <w:r>
              <w:rPr>
                <w:rFonts w:cs="Calibri"/>
                <w:spacing w:val="-8"/>
                <w:sz w:val="24"/>
                <w:szCs w:val="24"/>
                <w:lang w:val="en-US" w:eastAsia="ar-SA"/>
              </w:rPr>
              <w:t>[</w:t>
            </w:r>
            <w:r>
              <w:rPr>
                <w:rFonts w:cs="Calibri"/>
                <w:spacing w:val="-8"/>
                <w:sz w:val="24"/>
                <w:szCs w:val="24"/>
                <w:lang w:eastAsia="ar-SA"/>
              </w:rPr>
              <w:t>44,2;78,8</w:t>
            </w:r>
            <w:r>
              <w:rPr>
                <w:rFonts w:cs="Calibri"/>
                <w:spacing w:val="-8"/>
                <w:sz w:val="24"/>
                <w:szCs w:val="24"/>
                <w:lang w:val="en-US" w:eastAsia="ar-SA"/>
              </w:rPr>
              <w:t>]</w:t>
            </w:r>
          </w:p>
        </w:tc>
        <w:tc>
          <w:tcPr>
            <w:tcW w:w="3119"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9C67A8" w:rsidRDefault="00286780" w:rsidP="00DA2103">
            <w:pPr>
              <w:snapToGrid w:val="0"/>
              <w:jc w:val="center"/>
              <w:rPr>
                <w:rFonts w:cs="Calibri"/>
                <w:spacing w:val="-8"/>
                <w:sz w:val="24"/>
                <w:szCs w:val="24"/>
                <w:lang w:eastAsia="ar-SA"/>
              </w:rPr>
            </w:pPr>
            <w:r>
              <w:rPr>
                <w:rFonts w:cs="Calibri"/>
                <w:spacing w:val="-8"/>
                <w:sz w:val="24"/>
                <w:szCs w:val="24"/>
                <w:lang w:eastAsia="ar-SA"/>
              </w:rPr>
              <w:t>80,2</w:t>
            </w:r>
            <w:r>
              <w:rPr>
                <w:rFonts w:cs="Calibri"/>
                <w:spacing w:val="-8"/>
                <w:sz w:val="24"/>
                <w:szCs w:val="24"/>
                <w:lang w:val="en-US" w:eastAsia="ar-SA"/>
              </w:rPr>
              <w:t>[</w:t>
            </w:r>
            <w:r>
              <w:rPr>
                <w:rFonts w:cs="Calibri"/>
                <w:spacing w:val="-8"/>
                <w:sz w:val="24"/>
                <w:szCs w:val="24"/>
                <w:lang w:eastAsia="ar-SA"/>
              </w:rPr>
              <w:t>58;141,1</w:t>
            </w:r>
            <w:r>
              <w:rPr>
                <w:rFonts w:cs="Calibri"/>
                <w:spacing w:val="-8"/>
                <w:sz w:val="24"/>
                <w:szCs w:val="24"/>
                <w:lang w:val="en-US" w:eastAsia="ar-SA"/>
              </w:rPr>
              <w:t>]</w:t>
            </w:r>
          </w:p>
        </w:tc>
      </w:tr>
      <w:tr w:rsidR="00286780" w:rsidRPr="009353D3" w:rsidTr="00653D3A">
        <w:trPr>
          <w:trHeight w:val="397"/>
        </w:trPr>
        <w:tc>
          <w:tcPr>
            <w:tcW w:w="3577" w:type="dxa"/>
            <w:tcBorders>
              <w:top w:val="single" w:sz="4" w:space="0" w:color="000000"/>
              <w:left w:val="single" w:sz="4" w:space="0" w:color="000000"/>
              <w:bottom w:val="single" w:sz="4" w:space="0" w:color="000000"/>
            </w:tcBorders>
            <w:tcMar>
              <w:left w:w="28" w:type="dxa"/>
              <w:right w:w="28" w:type="dxa"/>
            </w:tcMar>
            <w:vAlign w:val="center"/>
          </w:tcPr>
          <w:p w:rsidR="00286780" w:rsidRPr="009353D3" w:rsidRDefault="00286780" w:rsidP="00DA2103">
            <w:pPr>
              <w:snapToGrid w:val="0"/>
              <w:rPr>
                <w:rFonts w:cs="Calibri"/>
                <w:spacing w:val="-8"/>
                <w:sz w:val="24"/>
                <w:szCs w:val="24"/>
                <w:lang w:val="en-US" w:eastAsia="ar-SA"/>
              </w:rPr>
            </w:pPr>
            <w:r w:rsidRPr="00124D89">
              <w:rPr>
                <w:rFonts w:cs="Calibri"/>
                <w:spacing w:val="-8"/>
                <w:sz w:val="24"/>
                <w:szCs w:val="24"/>
                <w:lang w:val="en-US" w:eastAsia="ar-SA"/>
              </w:rPr>
              <w:t>pCO</w:t>
            </w:r>
            <w:r w:rsidRPr="009353D3">
              <w:rPr>
                <w:rFonts w:cs="Calibri"/>
                <w:spacing w:val="-8"/>
                <w:sz w:val="24"/>
                <w:szCs w:val="24"/>
                <w:lang w:val="en-US" w:eastAsia="ar-SA"/>
              </w:rPr>
              <w:t>2 (</w:t>
            </w:r>
            <w:r w:rsidRPr="00124D89">
              <w:rPr>
                <w:rFonts w:cs="Calibri"/>
                <w:spacing w:val="-8"/>
                <w:sz w:val="24"/>
                <w:szCs w:val="24"/>
                <w:lang w:eastAsia="ar-SA"/>
              </w:rPr>
              <w:t>ммрт</w:t>
            </w:r>
            <w:r w:rsidRPr="009353D3">
              <w:rPr>
                <w:rFonts w:cs="Calibri"/>
                <w:spacing w:val="-8"/>
                <w:sz w:val="24"/>
                <w:szCs w:val="24"/>
                <w:lang w:val="en-US" w:eastAsia="ar-SA"/>
              </w:rPr>
              <w:t xml:space="preserve">. </w:t>
            </w:r>
            <w:r w:rsidRPr="00124D89">
              <w:rPr>
                <w:rFonts w:cs="Calibri"/>
                <w:spacing w:val="-8"/>
                <w:sz w:val="24"/>
                <w:szCs w:val="24"/>
                <w:lang w:eastAsia="ar-SA"/>
              </w:rPr>
              <w:t>ст</w:t>
            </w:r>
            <w:r w:rsidRPr="009353D3">
              <w:rPr>
                <w:rFonts w:cs="Calibri"/>
                <w:spacing w:val="-8"/>
                <w:sz w:val="24"/>
                <w:szCs w:val="24"/>
                <w:lang w:val="en-US" w:eastAsia="ar-SA"/>
              </w:rPr>
              <w:t>.)</w:t>
            </w:r>
          </w:p>
        </w:tc>
        <w:tc>
          <w:tcPr>
            <w:tcW w:w="3260" w:type="dxa"/>
            <w:tcBorders>
              <w:top w:val="single" w:sz="4" w:space="0" w:color="000000"/>
              <w:left w:val="single" w:sz="4" w:space="0" w:color="000000"/>
              <w:bottom w:val="single" w:sz="4" w:space="0" w:color="000000"/>
            </w:tcBorders>
            <w:tcMar>
              <w:left w:w="28" w:type="dxa"/>
              <w:right w:w="28" w:type="dxa"/>
            </w:tcMar>
            <w:vAlign w:val="center"/>
          </w:tcPr>
          <w:p w:rsidR="00286780" w:rsidRPr="009C67A8" w:rsidRDefault="00286780" w:rsidP="00DA2103">
            <w:pPr>
              <w:snapToGrid w:val="0"/>
              <w:jc w:val="center"/>
              <w:rPr>
                <w:rFonts w:cs="Calibri"/>
                <w:spacing w:val="-8"/>
                <w:sz w:val="24"/>
                <w:szCs w:val="24"/>
                <w:lang w:eastAsia="ar-SA"/>
              </w:rPr>
            </w:pPr>
            <w:r>
              <w:rPr>
                <w:rFonts w:cs="Calibri"/>
                <w:spacing w:val="-8"/>
                <w:sz w:val="24"/>
                <w:szCs w:val="24"/>
                <w:lang w:eastAsia="ar-SA"/>
              </w:rPr>
              <w:t>39,2</w:t>
            </w:r>
            <w:r>
              <w:rPr>
                <w:rFonts w:cs="Calibri"/>
                <w:spacing w:val="-8"/>
                <w:sz w:val="24"/>
                <w:szCs w:val="24"/>
                <w:lang w:val="en-US" w:eastAsia="ar-SA"/>
              </w:rPr>
              <w:t>[</w:t>
            </w:r>
            <w:r>
              <w:rPr>
                <w:rFonts w:cs="Calibri"/>
                <w:spacing w:val="-8"/>
                <w:sz w:val="24"/>
                <w:szCs w:val="24"/>
                <w:lang w:eastAsia="ar-SA"/>
              </w:rPr>
              <w:t>33,2;43,6</w:t>
            </w:r>
            <w:r>
              <w:rPr>
                <w:rFonts w:cs="Calibri"/>
                <w:spacing w:val="-8"/>
                <w:sz w:val="24"/>
                <w:szCs w:val="24"/>
                <w:lang w:val="en-US" w:eastAsia="ar-SA"/>
              </w:rPr>
              <w:t>]</w:t>
            </w:r>
          </w:p>
        </w:tc>
        <w:tc>
          <w:tcPr>
            <w:tcW w:w="3119"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031FB9" w:rsidRDefault="00286780" w:rsidP="00DA2103">
            <w:pPr>
              <w:snapToGrid w:val="0"/>
              <w:jc w:val="center"/>
              <w:rPr>
                <w:rFonts w:cs="Calibri"/>
                <w:spacing w:val="-8"/>
                <w:sz w:val="24"/>
                <w:szCs w:val="24"/>
                <w:lang w:eastAsia="ar-SA"/>
              </w:rPr>
            </w:pPr>
            <w:r>
              <w:rPr>
                <w:rFonts w:cs="Calibri"/>
                <w:spacing w:val="-8"/>
                <w:sz w:val="24"/>
                <w:szCs w:val="24"/>
                <w:lang w:eastAsia="ar-SA"/>
              </w:rPr>
              <w:t>42,7</w:t>
            </w:r>
            <w:r>
              <w:rPr>
                <w:rFonts w:cs="Calibri"/>
                <w:spacing w:val="-8"/>
                <w:sz w:val="24"/>
                <w:szCs w:val="24"/>
                <w:lang w:val="en-US" w:eastAsia="ar-SA"/>
              </w:rPr>
              <w:t>[</w:t>
            </w:r>
            <w:r>
              <w:rPr>
                <w:rFonts w:cs="Calibri"/>
                <w:spacing w:val="-8"/>
                <w:sz w:val="24"/>
                <w:szCs w:val="24"/>
                <w:lang w:eastAsia="ar-SA"/>
              </w:rPr>
              <w:t>31,2;50</w:t>
            </w:r>
            <w:r>
              <w:rPr>
                <w:rFonts w:cs="Calibri"/>
                <w:spacing w:val="-8"/>
                <w:sz w:val="24"/>
                <w:szCs w:val="24"/>
                <w:lang w:val="en-US" w:eastAsia="ar-SA"/>
              </w:rPr>
              <w:t>]</w:t>
            </w:r>
          </w:p>
        </w:tc>
      </w:tr>
      <w:tr w:rsidR="00286780" w:rsidRPr="009353D3" w:rsidTr="00653D3A">
        <w:trPr>
          <w:trHeight w:val="397"/>
        </w:trPr>
        <w:tc>
          <w:tcPr>
            <w:tcW w:w="3577" w:type="dxa"/>
            <w:tcBorders>
              <w:top w:val="single" w:sz="4" w:space="0" w:color="000000"/>
              <w:left w:val="single" w:sz="4" w:space="0" w:color="000000"/>
              <w:bottom w:val="single" w:sz="4" w:space="0" w:color="000000"/>
            </w:tcBorders>
            <w:tcMar>
              <w:left w:w="28" w:type="dxa"/>
              <w:right w:w="28" w:type="dxa"/>
            </w:tcMar>
            <w:vAlign w:val="center"/>
          </w:tcPr>
          <w:p w:rsidR="00286780" w:rsidRPr="009353D3" w:rsidRDefault="00286780" w:rsidP="00DA2103">
            <w:pPr>
              <w:snapToGrid w:val="0"/>
              <w:rPr>
                <w:rFonts w:cs="Calibri"/>
                <w:spacing w:val="-8"/>
                <w:sz w:val="24"/>
                <w:szCs w:val="24"/>
                <w:lang w:val="en-US" w:eastAsia="ar-SA"/>
              </w:rPr>
            </w:pPr>
            <w:r w:rsidRPr="00124D89">
              <w:rPr>
                <w:rFonts w:cs="Calibri"/>
                <w:spacing w:val="-8"/>
                <w:sz w:val="24"/>
                <w:szCs w:val="24"/>
                <w:lang w:val="en-US" w:eastAsia="ar-SA"/>
              </w:rPr>
              <w:t>BE</w:t>
            </w:r>
          </w:p>
        </w:tc>
        <w:tc>
          <w:tcPr>
            <w:tcW w:w="3260" w:type="dxa"/>
            <w:tcBorders>
              <w:top w:val="single" w:sz="4" w:space="0" w:color="000000"/>
              <w:left w:val="single" w:sz="4" w:space="0" w:color="000000"/>
              <w:bottom w:val="single" w:sz="4" w:space="0" w:color="000000"/>
            </w:tcBorders>
            <w:tcMar>
              <w:left w:w="28" w:type="dxa"/>
              <w:right w:w="28" w:type="dxa"/>
            </w:tcMar>
            <w:vAlign w:val="center"/>
          </w:tcPr>
          <w:p w:rsidR="00286780" w:rsidRPr="009C67A8" w:rsidRDefault="00286780" w:rsidP="00DA2103">
            <w:pPr>
              <w:snapToGrid w:val="0"/>
              <w:jc w:val="center"/>
              <w:rPr>
                <w:rFonts w:cs="Calibri"/>
                <w:spacing w:val="-8"/>
                <w:sz w:val="24"/>
                <w:szCs w:val="24"/>
                <w:lang w:eastAsia="ar-SA"/>
              </w:rPr>
            </w:pPr>
            <w:r>
              <w:rPr>
                <w:rFonts w:cs="Calibri"/>
                <w:spacing w:val="-8"/>
                <w:sz w:val="24"/>
                <w:szCs w:val="24"/>
                <w:lang w:eastAsia="ar-SA"/>
              </w:rPr>
              <w:t>-4,45</w:t>
            </w:r>
            <w:r>
              <w:rPr>
                <w:rFonts w:cs="Calibri"/>
                <w:spacing w:val="-8"/>
                <w:sz w:val="24"/>
                <w:szCs w:val="24"/>
                <w:lang w:val="en-US" w:eastAsia="ar-SA"/>
              </w:rPr>
              <w:t>[</w:t>
            </w:r>
            <w:r>
              <w:rPr>
                <w:rFonts w:cs="Calibri"/>
                <w:spacing w:val="-8"/>
                <w:sz w:val="24"/>
                <w:szCs w:val="24"/>
                <w:lang w:eastAsia="ar-SA"/>
              </w:rPr>
              <w:t>-12,95;0,75</w:t>
            </w:r>
            <w:r>
              <w:rPr>
                <w:rFonts w:cs="Calibri"/>
                <w:spacing w:val="-8"/>
                <w:sz w:val="24"/>
                <w:szCs w:val="24"/>
                <w:lang w:val="en-US" w:eastAsia="ar-SA"/>
              </w:rPr>
              <w:t>]</w:t>
            </w:r>
          </w:p>
        </w:tc>
        <w:tc>
          <w:tcPr>
            <w:tcW w:w="3119"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286780" w:rsidRPr="009C67A8" w:rsidRDefault="00286780" w:rsidP="00DA2103">
            <w:pPr>
              <w:snapToGrid w:val="0"/>
              <w:jc w:val="center"/>
              <w:rPr>
                <w:rFonts w:cs="Calibri"/>
                <w:spacing w:val="-8"/>
                <w:sz w:val="24"/>
                <w:szCs w:val="24"/>
                <w:lang w:eastAsia="ar-SA"/>
              </w:rPr>
            </w:pPr>
            <w:r>
              <w:rPr>
                <w:rFonts w:cs="Calibri"/>
                <w:spacing w:val="-8"/>
                <w:sz w:val="24"/>
                <w:szCs w:val="24"/>
                <w:lang w:eastAsia="ar-SA"/>
              </w:rPr>
              <w:t>-2,6</w:t>
            </w:r>
            <w:r>
              <w:rPr>
                <w:rFonts w:cs="Calibri"/>
                <w:spacing w:val="-8"/>
                <w:sz w:val="24"/>
                <w:szCs w:val="24"/>
                <w:lang w:val="en-US" w:eastAsia="ar-SA"/>
              </w:rPr>
              <w:t>[</w:t>
            </w:r>
            <w:r>
              <w:rPr>
                <w:rFonts w:cs="Calibri"/>
                <w:spacing w:val="-8"/>
                <w:sz w:val="24"/>
                <w:szCs w:val="24"/>
                <w:lang w:eastAsia="ar-SA"/>
              </w:rPr>
              <w:t>-14,92;1</w:t>
            </w:r>
            <w:r>
              <w:rPr>
                <w:rFonts w:cs="Calibri"/>
                <w:spacing w:val="-8"/>
                <w:sz w:val="24"/>
                <w:szCs w:val="24"/>
                <w:lang w:val="en-US" w:eastAsia="ar-SA"/>
              </w:rPr>
              <w:t>]</w:t>
            </w:r>
          </w:p>
        </w:tc>
      </w:tr>
      <w:tr w:rsidR="00286780" w:rsidRPr="00124D89" w:rsidTr="00776486">
        <w:trPr>
          <w:trHeight w:val="397"/>
        </w:trPr>
        <w:tc>
          <w:tcPr>
            <w:tcW w:w="9956" w:type="dxa"/>
            <w:gridSpan w:val="3"/>
            <w:tcBorders>
              <w:top w:val="single" w:sz="4" w:space="0" w:color="000000"/>
              <w:left w:val="single" w:sz="4" w:space="0" w:color="000000"/>
              <w:bottom w:val="single" w:sz="4" w:space="0" w:color="000000"/>
              <w:right w:val="single" w:sz="4" w:space="0" w:color="auto"/>
            </w:tcBorders>
            <w:tcMar>
              <w:left w:w="28" w:type="dxa"/>
              <w:right w:w="28" w:type="dxa"/>
            </w:tcMar>
          </w:tcPr>
          <w:p w:rsidR="00286780" w:rsidRDefault="00286780" w:rsidP="00653D3A">
            <w:r w:rsidRPr="00CE3E63">
              <w:rPr>
                <w:rFonts w:cs="Calibri"/>
                <w:i/>
                <w:sz w:val="24"/>
                <w:szCs w:val="24"/>
                <w:lang w:eastAsia="ar-SA"/>
              </w:rPr>
              <w:t>Примечание</w:t>
            </w:r>
            <w:r w:rsidRPr="00CE3E63">
              <w:rPr>
                <w:rFonts w:cs="Calibri"/>
                <w:sz w:val="24"/>
                <w:szCs w:val="24"/>
                <w:lang w:eastAsia="ar-SA"/>
              </w:rPr>
              <w:t>. Различия статистически з</w:t>
            </w:r>
            <w:r>
              <w:rPr>
                <w:rFonts w:cs="Calibri"/>
                <w:sz w:val="24"/>
                <w:szCs w:val="24"/>
                <w:lang w:eastAsia="ar-SA"/>
              </w:rPr>
              <w:t>начимы (р&lt;</w:t>
            </w:r>
            <w:r w:rsidRPr="00CE3E63">
              <w:rPr>
                <w:rFonts w:cs="Calibri"/>
                <w:sz w:val="24"/>
                <w:szCs w:val="24"/>
                <w:lang w:eastAsia="ar-SA"/>
              </w:rPr>
              <w:t xml:space="preserve">0,05) по сравнению с показателями: * – </w:t>
            </w:r>
            <w:r>
              <w:rPr>
                <w:rFonts w:cs="Calibri"/>
                <w:sz w:val="24"/>
                <w:szCs w:val="24"/>
                <w:lang w:eastAsia="ar-SA"/>
              </w:rPr>
              <w:t>под</w:t>
            </w:r>
            <w:r w:rsidRPr="00CE3E63">
              <w:rPr>
                <w:rFonts w:cs="Calibri"/>
                <w:sz w:val="24"/>
                <w:szCs w:val="24"/>
                <w:lang w:eastAsia="ar-SA"/>
              </w:rPr>
              <w:t>группы пациентов с сепсисом</w:t>
            </w:r>
            <w:r>
              <w:rPr>
                <w:rFonts w:cs="Calibri"/>
                <w:sz w:val="24"/>
                <w:szCs w:val="24"/>
                <w:lang w:eastAsia="ar-SA"/>
              </w:rPr>
              <w:t xml:space="preserve"> без ХП</w:t>
            </w:r>
          </w:p>
        </w:tc>
      </w:tr>
    </w:tbl>
    <w:p w:rsidR="00286780" w:rsidRDefault="00286780" w:rsidP="00406287">
      <w:pPr>
        <w:spacing w:line="360" w:lineRule="auto"/>
        <w:ind w:firstLine="709"/>
        <w:jc w:val="both"/>
        <w:rPr>
          <w:sz w:val="28"/>
          <w:szCs w:val="28"/>
        </w:rPr>
      </w:pPr>
      <w:r>
        <w:rPr>
          <w:sz w:val="28"/>
          <w:szCs w:val="28"/>
        </w:rPr>
        <w:lastRenderedPageBreak/>
        <w:t>Общее состояние оценивалось как тяжелое, у пациентов с септическим шоком - крайне тяжелое. Кожные покровы бледные. Одышка - 10 пациентов (76,9%). Характерно вынужденное положение тела – невозможность принять горизонтальное положение ввиду усиления болей и одышки, за исключением состояния комы (3 пациента). Обострение или декомпенсация фоновой полиорганной патологии диагностированы в 66,7% случаев, присутствует синдром взаимного отягощения.</w:t>
      </w:r>
    </w:p>
    <w:p w:rsidR="00286780" w:rsidRDefault="00286780" w:rsidP="00406287">
      <w:pPr>
        <w:spacing w:line="360" w:lineRule="auto"/>
        <w:ind w:firstLine="709"/>
        <w:jc w:val="both"/>
        <w:rPr>
          <w:sz w:val="28"/>
          <w:szCs w:val="28"/>
        </w:rPr>
      </w:pPr>
      <w:r>
        <w:rPr>
          <w:sz w:val="28"/>
          <w:szCs w:val="28"/>
        </w:rPr>
        <w:t xml:space="preserve">Наблюдаются декомпенсированные изменения клинико-лабораторных показателей: артериальная гипотензия, тахипноэ, анемия, лейкоцитоз, повышение ЛИИ более 5, гипопротеинемия, гипербилирубинемия, гиперкреатининемия, гипергликемия (в том числе при отсутствии сахарного диабета), артериальная гипоксемия, изменения </w:t>
      </w:r>
      <w:r>
        <w:rPr>
          <w:sz w:val="28"/>
          <w:szCs w:val="28"/>
          <w:lang w:val="en-US"/>
        </w:rPr>
        <w:t>BE</w:t>
      </w:r>
      <w:r>
        <w:rPr>
          <w:sz w:val="28"/>
          <w:szCs w:val="28"/>
        </w:rPr>
        <w:t>. Клинико-лабораторные показатели пациентов с КОМ в сочетании с фоновой полиорганной патологией и синдромом взаимного отягощения ст</w:t>
      </w:r>
      <w:r w:rsidR="005A61D5">
        <w:rPr>
          <w:sz w:val="28"/>
          <w:szCs w:val="28"/>
        </w:rPr>
        <w:t>атистически значимо отличаются</w:t>
      </w:r>
      <w:r>
        <w:rPr>
          <w:sz w:val="28"/>
          <w:szCs w:val="28"/>
        </w:rPr>
        <w:t xml:space="preserve"> от контрольной подгруппы пациентов с КОМ без ХП по величинам систолического артериального давления и частоты дыхательных </w:t>
      </w:r>
      <w:r w:rsidRPr="00952869">
        <w:rPr>
          <w:sz w:val="28"/>
          <w:szCs w:val="28"/>
        </w:rPr>
        <w:t xml:space="preserve">движений </w:t>
      </w:r>
      <w:r>
        <w:rPr>
          <w:rFonts w:cs="Calibri"/>
          <w:sz w:val="28"/>
          <w:szCs w:val="28"/>
          <w:lang w:eastAsia="ar-SA"/>
        </w:rPr>
        <w:t>(р&lt;</w:t>
      </w:r>
      <w:r w:rsidRPr="00952869">
        <w:rPr>
          <w:rFonts w:cs="Calibri"/>
          <w:sz w:val="28"/>
          <w:szCs w:val="28"/>
          <w:lang w:eastAsia="ar-SA"/>
        </w:rPr>
        <w:t>0,05)</w:t>
      </w:r>
      <w:r w:rsidRPr="00952869">
        <w:rPr>
          <w:sz w:val="28"/>
          <w:szCs w:val="28"/>
        </w:rPr>
        <w:t>.</w:t>
      </w:r>
    </w:p>
    <w:p w:rsidR="00286780" w:rsidRDefault="00286780" w:rsidP="00406287">
      <w:pPr>
        <w:spacing w:line="360" w:lineRule="auto"/>
        <w:ind w:firstLine="709"/>
        <w:jc w:val="both"/>
        <w:rPr>
          <w:sz w:val="28"/>
          <w:szCs w:val="28"/>
        </w:rPr>
      </w:pPr>
      <w:r>
        <w:rPr>
          <w:sz w:val="28"/>
          <w:szCs w:val="28"/>
        </w:rPr>
        <w:t xml:space="preserve">Корреляционный анализ отдельных клинико-лабораторных показателей (имеющих статистически значимые различия, Таблица 55) в зависимости от наличия фоновой полиорганной патологии представлен </w:t>
      </w:r>
      <w:r w:rsidRPr="002E2D06">
        <w:rPr>
          <w:sz w:val="28"/>
          <w:szCs w:val="28"/>
        </w:rPr>
        <w:t>на Рисунках</w:t>
      </w:r>
      <w:r>
        <w:rPr>
          <w:sz w:val="28"/>
          <w:szCs w:val="28"/>
        </w:rPr>
        <w:t xml:space="preserve"> 7-9</w:t>
      </w:r>
      <w:r w:rsidRPr="002E2D06">
        <w:rPr>
          <w:sz w:val="28"/>
          <w:szCs w:val="28"/>
        </w:rPr>
        <w:t>.</w:t>
      </w:r>
    </w:p>
    <w:p w:rsidR="00286780" w:rsidRDefault="00286780" w:rsidP="00406287">
      <w:pPr>
        <w:spacing w:line="360" w:lineRule="auto"/>
        <w:ind w:firstLine="709"/>
        <w:jc w:val="both"/>
        <w:rPr>
          <w:sz w:val="28"/>
          <w:szCs w:val="28"/>
        </w:rPr>
      </w:pPr>
    </w:p>
    <w:p w:rsidR="00286780" w:rsidRDefault="00286780" w:rsidP="00344FF5">
      <w:pPr>
        <w:spacing w:line="360" w:lineRule="auto"/>
        <w:jc w:val="both"/>
      </w:pPr>
      <w:r>
        <w:object w:dxaOrig="9896" w:dyaOrig="3031">
          <v:shape id="_x0000_i1036" type="#_x0000_t75" style="width:496.8pt;height:151.2pt" o:ole="">
            <v:imagedata r:id="rId19" o:title=""/>
          </v:shape>
          <o:OLEObject Type="Embed" ProgID="STATISTICA.Graph" ShapeID="_x0000_i1036" DrawAspect="Content" ObjectID="_1693230462" r:id="rId20">
            <o:FieldCodes>\s</o:FieldCodes>
          </o:OLEObject>
        </w:object>
      </w:r>
    </w:p>
    <w:p w:rsidR="00286780" w:rsidRDefault="00286780" w:rsidP="0090279A">
      <w:pPr>
        <w:ind w:firstLine="709"/>
        <w:jc w:val="both"/>
        <w:rPr>
          <w:sz w:val="28"/>
          <w:szCs w:val="28"/>
        </w:rPr>
      </w:pPr>
      <w:r w:rsidRPr="00371212">
        <w:rPr>
          <w:b/>
          <w:sz w:val="28"/>
          <w:szCs w:val="28"/>
        </w:rPr>
        <w:t>Рисунок 7</w:t>
      </w:r>
      <w:r>
        <w:rPr>
          <w:sz w:val="28"/>
          <w:szCs w:val="28"/>
        </w:rPr>
        <w:t>– Корреляция между частотой дыхательных движений (ЧДД) и наличием фоновой полиорганной ХП</w:t>
      </w:r>
    </w:p>
    <w:p w:rsidR="00286780" w:rsidRDefault="00286780" w:rsidP="00406287">
      <w:pPr>
        <w:spacing w:line="360" w:lineRule="auto"/>
        <w:ind w:firstLine="709"/>
        <w:jc w:val="both"/>
        <w:rPr>
          <w:sz w:val="28"/>
          <w:szCs w:val="28"/>
        </w:rPr>
      </w:pPr>
    </w:p>
    <w:p w:rsidR="00286780" w:rsidRDefault="00286780" w:rsidP="00406287">
      <w:pPr>
        <w:spacing w:line="360" w:lineRule="auto"/>
        <w:ind w:firstLine="709"/>
        <w:jc w:val="both"/>
        <w:rPr>
          <w:sz w:val="28"/>
          <w:szCs w:val="28"/>
        </w:rPr>
      </w:pPr>
      <w:r>
        <w:rPr>
          <w:sz w:val="28"/>
          <w:szCs w:val="28"/>
        </w:rPr>
        <w:t xml:space="preserve">Определяется слабая (по шкале Чеддока) корреляция между наличием фоновой полиорганной ХП и ЧДД; </w:t>
      </w:r>
      <w:r>
        <w:rPr>
          <w:sz w:val="28"/>
          <w:szCs w:val="28"/>
          <w:lang w:val="en-US"/>
        </w:rPr>
        <w:t>r</w:t>
      </w:r>
      <w:r>
        <w:rPr>
          <w:sz w:val="28"/>
          <w:szCs w:val="28"/>
        </w:rPr>
        <w:t>=0</w:t>
      </w:r>
      <w:r w:rsidRPr="00344FF5">
        <w:rPr>
          <w:sz w:val="28"/>
          <w:szCs w:val="28"/>
        </w:rPr>
        <w:t>,47</w:t>
      </w:r>
      <w:r>
        <w:rPr>
          <w:sz w:val="28"/>
          <w:szCs w:val="28"/>
        </w:rPr>
        <w:t>.</w:t>
      </w:r>
    </w:p>
    <w:p w:rsidR="00286780" w:rsidRDefault="00286780" w:rsidP="00406287">
      <w:pPr>
        <w:spacing w:line="360" w:lineRule="auto"/>
        <w:ind w:firstLine="709"/>
        <w:jc w:val="both"/>
        <w:rPr>
          <w:sz w:val="28"/>
          <w:szCs w:val="28"/>
        </w:rPr>
      </w:pPr>
    </w:p>
    <w:p w:rsidR="00286780" w:rsidRDefault="00286780" w:rsidP="00344FF5">
      <w:pPr>
        <w:spacing w:line="360" w:lineRule="auto"/>
        <w:jc w:val="both"/>
        <w:rPr>
          <w:sz w:val="28"/>
          <w:szCs w:val="28"/>
        </w:rPr>
      </w:pPr>
      <w:r>
        <w:object w:dxaOrig="9896" w:dyaOrig="5292">
          <v:shape id="_x0000_i1037" type="#_x0000_t75" style="width:496.8pt;height:266.4pt" o:ole="">
            <v:imagedata r:id="rId21" o:title=""/>
          </v:shape>
          <o:OLEObject Type="Embed" ProgID="STATISTICA.Graph" ShapeID="_x0000_i1037" DrawAspect="Content" ObjectID="_1693230463" r:id="rId22">
            <o:FieldCodes>\s</o:FieldCodes>
          </o:OLEObject>
        </w:object>
      </w:r>
    </w:p>
    <w:p w:rsidR="00286780" w:rsidRDefault="00286780" w:rsidP="00371212">
      <w:pPr>
        <w:spacing w:line="360" w:lineRule="auto"/>
        <w:jc w:val="both"/>
        <w:rPr>
          <w:sz w:val="28"/>
          <w:szCs w:val="28"/>
        </w:rPr>
      </w:pPr>
      <w:r w:rsidRPr="00371212">
        <w:rPr>
          <w:b/>
          <w:sz w:val="28"/>
          <w:szCs w:val="28"/>
        </w:rPr>
        <w:t xml:space="preserve">Рисунок 8 </w:t>
      </w:r>
      <w:r>
        <w:rPr>
          <w:sz w:val="28"/>
          <w:szCs w:val="28"/>
        </w:rPr>
        <w:t>– Корреляция между систолическим артериальным давлением (АДс) и наличием фоновой полиорганной ХП</w:t>
      </w:r>
    </w:p>
    <w:p w:rsidR="00286780" w:rsidRDefault="00286780" w:rsidP="00406287">
      <w:pPr>
        <w:spacing w:line="360" w:lineRule="auto"/>
        <w:ind w:firstLine="709"/>
        <w:jc w:val="both"/>
        <w:rPr>
          <w:sz w:val="28"/>
          <w:szCs w:val="28"/>
        </w:rPr>
      </w:pPr>
    </w:p>
    <w:p w:rsidR="00286780" w:rsidRDefault="00286780" w:rsidP="00406287">
      <w:pPr>
        <w:spacing w:line="360" w:lineRule="auto"/>
        <w:ind w:firstLine="709"/>
        <w:jc w:val="both"/>
        <w:rPr>
          <w:sz w:val="28"/>
          <w:szCs w:val="28"/>
        </w:rPr>
      </w:pPr>
      <w:r>
        <w:rPr>
          <w:sz w:val="28"/>
          <w:szCs w:val="28"/>
        </w:rPr>
        <w:t xml:space="preserve">Определяется отрицательная слабая (по шкале Чеддока) корреляция между наличием фоновой полиорганной ХП и АДс; </w:t>
      </w:r>
      <w:r>
        <w:rPr>
          <w:sz w:val="28"/>
          <w:szCs w:val="28"/>
          <w:lang w:val="en-US"/>
        </w:rPr>
        <w:t>r</w:t>
      </w:r>
      <w:r>
        <w:rPr>
          <w:sz w:val="28"/>
          <w:szCs w:val="28"/>
        </w:rPr>
        <w:t>=0</w:t>
      </w:r>
      <w:r w:rsidRPr="00344FF5">
        <w:rPr>
          <w:sz w:val="28"/>
          <w:szCs w:val="28"/>
        </w:rPr>
        <w:t>,4</w:t>
      </w:r>
      <w:r>
        <w:rPr>
          <w:sz w:val="28"/>
          <w:szCs w:val="28"/>
        </w:rPr>
        <w:t>9.</w:t>
      </w:r>
    </w:p>
    <w:p w:rsidR="00286780" w:rsidRDefault="00286780" w:rsidP="00406287">
      <w:pPr>
        <w:spacing w:line="360" w:lineRule="auto"/>
        <w:ind w:firstLine="709"/>
        <w:jc w:val="both"/>
        <w:rPr>
          <w:sz w:val="28"/>
          <w:szCs w:val="28"/>
        </w:rPr>
      </w:pPr>
      <w:r>
        <w:rPr>
          <w:sz w:val="28"/>
          <w:szCs w:val="28"/>
        </w:rPr>
        <w:t xml:space="preserve">Корреляции между показателями, не имеющими статистически значимых межгрупповых различий по </w:t>
      </w:r>
      <w:r w:rsidRPr="002E2D06">
        <w:rPr>
          <w:sz w:val="28"/>
          <w:szCs w:val="28"/>
        </w:rPr>
        <w:t>данным Таблицы 55 менее</w:t>
      </w:r>
      <w:r>
        <w:rPr>
          <w:sz w:val="28"/>
          <w:szCs w:val="28"/>
        </w:rPr>
        <w:t xml:space="preserve"> значимы.</w:t>
      </w:r>
    </w:p>
    <w:p w:rsidR="00286780" w:rsidRDefault="00286780" w:rsidP="00406287">
      <w:pPr>
        <w:spacing w:line="360" w:lineRule="auto"/>
        <w:ind w:firstLine="709"/>
        <w:jc w:val="both"/>
        <w:rPr>
          <w:sz w:val="28"/>
          <w:szCs w:val="28"/>
        </w:rPr>
      </w:pPr>
    </w:p>
    <w:p w:rsidR="00286780" w:rsidRPr="00344FF5" w:rsidRDefault="00286780" w:rsidP="0090279A">
      <w:pPr>
        <w:spacing w:line="360" w:lineRule="auto"/>
        <w:jc w:val="both"/>
        <w:rPr>
          <w:sz w:val="28"/>
          <w:szCs w:val="28"/>
        </w:rPr>
      </w:pPr>
      <w:r>
        <w:object w:dxaOrig="9896" w:dyaOrig="3667">
          <v:shape id="_x0000_i1038" type="#_x0000_t75" style="width:496.8pt;height:180pt" o:ole="">
            <v:imagedata r:id="rId23" o:title=""/>
          </v:shape>
          <o:OLEObject Type="Embed" ProgID="STATISTICA.Graph" ShapeID="_x0000_i1038" DrawAspect="Content" ObjectID="_1693230464" r:id="rId24">
            <o:FieldCodes>\s</o:FieldCodes>
          </o:OLEObject>
        </w:object>
      </w:r>
    </w:p>
    <w:p w:rsidR="00286780" w:rsidRDefault="00286780" w:rsidP="0090279A">
      <w:pPr>
        <w:ind w:firstLine="709"/>
        <w:jc w:val="both"/>
        <w:rPr>
          <w:sz w:val="28"/>
          <w:szCs w:val="28"/>
        </w:rPr>
      </w:pPr>
      <w:r w:rsidRPr="00371212">
        <w:rPr>
          <w:b/>
          <w:sz w:val="28"/>
          <w:szCs w:val="28"/>
        </w:rPr>
        <w:t>Рисунок 9</w:t>
      </w:r>
      <w:r w:rsidRPr="002E2D06">
        <w:rPr>
          <w:sz w:val="28"/>
          <w:szCs w:val="28"/>
        </w:rPr>
        <w:t>–</w:t>
      </w:r>
      <w:r>
        <w:rPr>
          <w:sz w:val="28"/>
          <w:szCs w:val="28"/>
        </w:rPr>
        <w:t xml:space="preserve"> Корреляция между содержанием эритроцитов венозной крови и наличием фоновой полиорганной ХП</w:t>
      </w:r>
    </w:p>
    <w:p w:rsidR="00286780" w:rsidRDefault="00286780" w:rsidP="00C55ECF">
      <w:pPr>
        <w:jc w:val="both"/>
        <w:rPr>
          <w:rFonts w:cs="Calibri"/>
          <w:sz w:val="28"/>
          <w:szCs w:val="28"/>
          <w:lang w:eastAsia="ar-SA"/>
        </w:rPr>
      </w:pPr>
    </w:p>
    <w:p w:rsidR="00286780" w:rsidRDefault="00286780" w:rsidP="005278B3">
      <w:pPr>
        <w:spacing w:line="360" w:lineRule="auto"/>
        <w:ind w:firstLine="709"/>
        <w:jc w:val="both"/>
        <w:rPr>
          <w:rFonts w:cs="Calibri"/>
          <w:sz w:val="28"/>
          <w:szCs w:val="28"/>
          <w:lang w:eastAsia="ar-SA"/>
        </w:rPr>
      </w:pPr>
      <w:r>
        <w:rPr>
          <w:rFonts w:cs="Calibri"/>
          <w:sz w:val="28"/>
          <w:szCs w:val="28"/>
          <w:lang w:eastAsia="ar-SA"/>
        </w:rPr>
        <w:t>В частности, корреляционная связь между содержанием эритроцитов в 1 литре венозной крови и наличием фоновой полиорганной ХП определяется как очень слабая по шкале Чеддока (</w:t>
      </w:r>
      <w:r>
        <w:rPr>
          <w:rFonts w:cs="Calibri"/>
          <w:sz w:val="28"/>
          <w:szCs w:val="28"/>
          <w:lang w:val="en-US" w:eastAsia="ar-SA"/>
        </w:rPr>
        <w:t>r</w:t>
      </w:r>
      <w:r>
        <w:rPr>
          <w:rFonts w:cs="Calibri"/>
          <w:sz w:val="28"/>
          <w:szCs w:val="28"/>
          <w:lang w:eastAsia="ar-SA"/>
        </w:rPr>
        <w:t>=1,5).</w:t>
      </w:r>
    </w:p>
    <w:p w:rsidR="00286780" w:rsidRDefault="00286780" w:rsidP="005278B3">
      <w:pPr>
        <w:spacing w:line="360" w:lineRule="auto"/>
        <w:ind w:firstLine="709"/>
        <w:jc w:val="both"/>
        <w:rPr>
          <w:rFonts w:cs="Calibri"/>
          <w:sz w:val="28"/>
          <w:szCs w:val="28"/>
          <w:lang w:eastAsia="ar-SA"/>
        </w:rPr>
      </w:pPr>
      <w:r>
        <w:rPr>
          <w:rFonts w:cs="Calibri"/>
          <w:sz w:val="28"/>
          <w:szCs w:val="28"/>
          <w:lang w:eastAsia="ar-SA"/>
        </w:rPr>
        <w:t>Обозначенные данные подтверждают отличительные признаки клинико-лабораторных показателей пациентов с КОМ, фоновой полиорганной патологией и синдромом взаимного отягощения: значимые тахипноэ и артериальная гипотензия, ассоциируемые с высокой частотой септического шока (38,5%).</w:t>
      </w:r>
    </w:p>
    <w:p w:rsidR="00286780" w:rsidRDefault="00286780" w:rsidP="005278B3">
      <w:pPr>
        <w:spacing w:line="360" w:lineRule="auto"/>
        <w:ind w:firstLine="709"/>
        <w:jc w:val="both"/>
        <w:rPr>
          <w:rFonts w:cs="Calibri"/>
          <w:sz w:val="28"/>
          <w:szCs w:val="28"/>
          <w:lang w:eastAsia="ar-SA"/>
        </w:rPr>
      </w:pPr>
      <w:r>
        <w:rPr>
          <w:rFonts w:cs="Calibri"/>
          <w:sz w:val="28"/>
          <w:szCs w:val="28"/>
          <w:lang w:eastAsia="ar-SA"/>
        </w:rPr>
        <w:t xml:space="preserve">Нозологические характеристики фоновой полиорганной патологии у пациентов с КОМ представлены </w:t>
      </w:r>
      <w:r w:rsidRPr="002E2D06">
        <w:rPr>
          <w:rFonts w:cs="Calibri"/>
          <w:sz w:val="28"/>
          <w:szCs w:val="28"/>
          <w:lang w:eastAsia="ar-SA"/>
        </w:rPr>
        <w:t xml:space="preserve">на Рисунке </w:t>
      </w:r>
      <w:r>
        <w:rPr>
          <w:rFonts w:cs="Calibri"/>
          <w:sz w:val="28"/>
          <w:szCs w:val="28"/>
          <w:lang w:eastAsia="ar-SA"/>
        </w:rPr>
        <w:t>10</w:t>
      </w:r>
      <w:r w:rsidRPr="002E2D06">
        <w:rPr>
          <w:rFonts w:cs="Calibri"/>
          <w:sz w:val="28"/>
          <w:szCs w:val="28"/>
          <w:lang w:eastAsia="ar-SA"/>
        </w:rPr>
        <w:t>.</w:t>
      </w:r>
    </w:p>
    <w:p w:rsidR="00286780" w:rsidRDefault="00286780" w:rsidP="005278B3">
      <w:pPr>
        <w:spacing w:line="360" w:lineRule="auto"/>
        <w:ind w:firstLine="709"/>
        <w:jc w:val="both"/>
        <w:rPr>
          <w:rFonts w:cs="Calibri"/>
          <w:sz w:val="28"/>
          <w:szCs w:val="28"/>
          <w:lang w:eastAsia="ar-SA"/>
        </w:rPr>
      </w:pPr>
    </w:p>
    <w:p w:rsidR="00286780" w:rsidRDefault="00807D20" w:rsidP="0043600C">
      <w:pPr>
        <w:spacing w:line="360" w:lineRule="auto"/>
        <w:jc w:val="both"/>
        <w:rPr>
          <w:rFonts w:cs="Calibri"/>
          <w:noProof/>
          <w:sz w:val="28"/>
          <w:szCs w:val="28"/>
        </w:rPr>
      </w:pPr>
      <w:r>
        <w:rPr>
          <w:rFonts w:cs="Calibri"/>
          <w:noProof/>
          <w:sz w:val="28"/>
          <w:szCs w:val="28"/>
        </w:rPr>
        <w:pict>
          <v:shape id="_x0000_i1039" type="#_x0000_t75" style="width:489.6pt;height:439.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">
            <v:imagedata r:id="rId25" o:title="" cropbottom="-20f"/>
            <o:lock v:ext="edit" aspectratio="f"/>
          </v:shape>
        </w:pict>
      </w:r>
    </w:p>
    <w:p w:rsidR="00286780" w:rsidRDefault="00286780" w:rsidP="0043600C">
      <w:pPr>
        <w:spacing w:line="360" w:lineRule="auto"/>
        <w:jc w:val="both"/>
        <w:rPr>
          <w:rFonts w:cs="Calibri"/>
          <w:sz w:val="28"/>
          <w:szCs w:val="28"/>
          <w:lang w:eastAsia="ar-SA"/>
        </w:rPr>
      </w:pPr>
      <w:r w:rsidRPr="00371212">
        <w:rPr>
          <w:rFonts w:cs="Calibri"/>
          <w:b/>
          <w:sz w:val="28"/>
          <w:szCs w:val="28"/>
          <w:lang w:eastAsia="ar-SA"/>
        </w:rPr>
        <w:t>Рисунок 10</w:t>
      </w:r>
      <w:r>
        <w:rPr>
          <w:rFonts w:cs="Calibri"/>
          <w:sz w:val="28"/>
          <w:szCs w:val="28"/>
          <w:lang w:eastAsia="ar-SA"/>
        </w:rPr>
        <w:t xml:space="preserve"> - Структура фоновой полиорганной ХП у пациентов с КОМ</w:t>
      </w:r>
    </w:p>
    <w:p w:rsidR="00286780" w:rsidRDefault="00286780" w:rsidP="003023E4">
      <w:pPr>
        <w:spacing w:line="360" w:lineRule="auto"/>
        <w:ind w:firstLine="709"/>
        <w:jc w:val="both"/>
        <w:rPr>
          <w:rFonts w:cs="Calibri"/>
          <w:sz w:val="28"/>
          <w:szCs w:val="28"/>
          <w:lang w:eastAsia="ar-SA"/>
        </w:rPr>
      </w:pPr>
      <w:r>
        <w:rPr>
          <w:rFonts w:cs="Calibri"/>
          <w:sz w:val="28"/>
          <w:szCs w:val="28"/>
          <w:lang w:eastAsia="ar-SA"/>
        </w:rPr>
        <w:lastRenderedPageBreak/>
        <w:t>В нозологической структуре фоновой полиорганной хронической патологии у пациентов с КОМ полиорганные заболевания сердечно-сосудистой системы наблюдаются у 53,8% пациентов; синдром зависимости от алкоголя, вирусное или алкогольное поражение печени - 23,1%; в единичных случаях диагностированы сахарный диабет, патология почек и органов дыхания.</w:t>
      </w:r>
    </w:p>
    <w:p w:rsidR="00286780" w:rsidRDefault="00286780" w:rsidP="0043600C">
      <w:pPr>
        <w:spacing w:line="360" w:lineRule="auto"/>
        <w:jc w:val="both"/>
        <w:rPr>
          <w:sz w:val="28"/>
          <w:szCs w:val="28"/>
        </w:rPr>
      </w:pPr>
      <w:r>
        <w:rPr>
          <w:rFonts w:cs="Calibri"/>
          <w:sz w:val="28"/>
          <w:szCs w:val="28"/>
          <w:lang w:eastAsia="ar-SA"/>
        </w:rPr>
        <w:t>Следует отметить, что хронические соматические заболевания сердечно-сосудистой системы (артериальная гипертония, ИБС) у пациентов с КОМ наблюдаются статистически значимо чаще, чем в общей подгруппе пациентов с одонтогенным сепсисом, где преобладают синдром зависимости от алкоголя и патология печени (р&lt;</w:t>
      </w:r>
      <w:r w:rsidRPr="00952869">
        <w:rPr>
          <w:rFonts w:cs="Calibri"/>
          <w:sz w:val="28"/>
          <w:szCs w:val="28"/>
          <w:lang w:eastAsia="ar-SA"/>
        </w:rPr>
        <w:t>0,05)</w:t>
      </w:r>
      <w:r>
        <w:rPr>
          <w:sz w:val="28"/>
          <w:szCs w:val="28"/>
        </w:rPr>
        <w:t>.</w:t>
      </w:r>
    </w:p>
    <w:p w:rsidR="00286780" w:rsidRDefault="00286780" w:rsidP="0043600C">
      <w:pPr>
        <w:spacing w:line="360" w:lineRule="auto"/>
        <w:jc w:val="both"/>
        <w:rPr>
          <w:sz w:val="28"/>
          <w:szCs w:val="28"/>
        </w:rPr>
      </w:pPr>
      <w:r>
        <w:rPr>
          <w:sz w:val="28"/>
          <w:szCs w:val="28"/>
        </w:rPr>
        <w:t xml:space="preserve">Показатели эффективности стационарного лечения пациентов с КОМ представлены в </w:t>
      </w:r>
      <w:r w:rsidRPr="002E2D06">
        <w:rPr>
          <w:sz w:val="28"/>
          <w:szCs w:val="28"/>
        </w:rPr>
        <w:t>Таблице 56.</w:t>
      </w:r>
    </w:p>
    <w:p w:rsidR="00286780" w:rsidRDefault="00286780" w:rsidP="0043600C">
      <w:pPr>
        <w:spacing w:line="360" w:lineRule="auto"/>
        <w:jc w:val="both"/>
        <w:rPr>
          <w:sz w:val="28"/>
          <w:szCs w:val="28"/>
        </w:rPr>
      </w:pPr>
    </w:p>
    <w:p w:rsidR="00286780" w:rsidRPr="00124D89" w:rsidRDefault="00286780" w:rsidP="005305D7">
      <w:pPr>
        <w:spacing w:after="120"/>
        <w:jc w:val="both"/>
        <w:rPr>
          <w:rFonts w:cs="Calibri"/>
          <w:sz w:val="28"/>
          <w:szCs w:val="28"/>
          <w:lang w:eastAsia="ar-SA"/>
        </w:rPr>
      </w:pPr>
      <w:r w:rsidRPr="00124D89">
        <w:rPr>
          <w:rFonts w:cs="Calibri"/>
          <w:b/>
          <w:sz w:val="28"/>
          <w:szCs w:val="28"/>
          <w:lang w:eastAsia="ar-SA"/>
        </w:rPr>
        <w:t>Таблица 5</w:t>
      </w:r>
      <w:r>
        <w:rPr>
          <w:rFonts w:cs="Calibri"/>
          <w:b/>
          <w:sz w:val="28"/>
          <w:szCs w:val="28"/>
          <w:lang w:eastAsia="ar-SA"/>
        </w:rPr>
        <w:t>6</w:t>
      </w:r>
      <w:r w:rsidRPr="00124D89">
        <w:rPr>
          <w:rFonts w:cs="Calibri"/>
          <w:sz w:val="28"/>
          <w:szCs w:val="28"/>
          <w:lang w:eastAsia="ar-SA"/>
        </w:rPr>
        <w:t xml:space="preserve"> – Эффективность лечения пациентов с </w:t>
      </w:r>
      <w:r>
        <w:rPr>
          <w:rFonts w:cs="Calibri"/>
          <w:sz w:val="28"/>
          <w:szCs w:val="28"/>
          <w:lang w:eastAsia="ar-SA"/>
        </w:rPr>
        <w:t>КОМ</w:t>
      </w:r>
      <w:r w:rsidRPr="00124D89">
        <w:rPr>
          <w:rFonts w:cs="Calibri"/>
          <w:sz w:val="28"/>
          <w:szCs w:val="28"/>
          <w:lang w:eastAsia="ar-SA"/>
        </w:rPr>
        <w:t xml:space="preserve"> и фоновой полиорганной патологией</w:t>
      </w:r>
    </w:p>
    <w:tbl>
      <w:tblPr>
        <w:tblW w:w="9923" w:type="dxa"/>
        <w:tblLayout w:type="fixed"/>
        <w:tblLook w:val="0000" w:firstRow="0" w:lastRow="0" w:firstColumn="0" w:lastColumn="0" w:noHBand="0" w:noVBand="0"/>
      </w:tblPr>
      <w:tblGrid>
        <w:gridCol w:w="5415"/>
        <w:gridCol w:w="2268"/>
        <w:gridCol w:w="2240"/>
      </w:tblGrid>
      <w:tr w:rsidR="00286780" w:rsidRPr="00124D89" w:rsidTr="002244B8">
        <w:trPr>
          <w:trHeight w:val="227"/>
        </w:trPr>
        <w:tc>
          <w:tcPr>
            <w:tcW w:w="5415" w:type="dxa"/>
            <w:vMerge w:val="restart"/>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2244B8">
            <w:pPr>
              <w:snapToGrid w:val="0"/>
              <w:jc w:val="center"/>
              <w:rPr>
                <w:rFonts w:cs="Calibri"/>
                <w:i/>
                <w:sz w:val="24"/>
                <w:szCs w:val="24"/>
                <w:lang w:eastAsia="ar-SA"/>
              </w:rPr>
            </w:pPr>
            <w:r w:rsidRPr="00124D89">
              <w:rPr>
                <w:rFonts w:cs="Calibri"/>
                <w:i/>
                <w:sz w:val="24"/>
                <w:szCs w:val="24"/>
                <w:lang w:eastAsia="ar-SA"/>
              </w:rPr>
              <w:t>Параметры</w:t>
            </w:r>
          </w:p>
        </w:tc>
        <w:tc>
          <w:tcPr>
            <w:tcW w:w="4508"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2244B8">
            <w:pPr>
              <w:snapToGrid w:val="0"/>
              <w:jc w:val="center"/>
              <w:rPr>
                <w:rFonts w:cs="Calibri"/>
                <w:i/>
                <w:sz w:val="24"/>
                <w:szCs w:val="24"/>
                <w:lang w:eastAsia="ar-SA"/>
              </w:rPr>
            </w:pPr>
            <w:r w:rsidRPr="00124D89">
              <w:rPr>
                <w:rFonts w:cs="Calibri"/>
                <w:i/>
                <w:sz w:val="24"/>
                <w:szCs w:val="24"/>
                <w:lang w:eastAsia="ar-SA"/>
              </w:rPr>
              <w:t>Полиорганная полиморбидность</w:t>
            </w:r>
          </w:p>
        </w:tc>
      </w:tr>
      <w:tr w:rsidR="00286780" w:rsidRPr="00124D89" w:rsidTr="002244B8">
        <w:trPr>
          <w:trHeight w:val="227"/>
        </w:trPr>
        <w:tc>
          <w:tcPr>
            <w:tcW w:w="5415" w:type="dxa"/>
            <w:vMerge/>
            <w:tcBorders>
              <w:top w:val="single" w:sz="4" w:space="0" w:color="000000"/>
              <w:left w:val="single" w:sz="4" w:space="0" w:color="000000"/>
              <w:bottom w:val="single" w:sz="4" w:space="0" w:color="000000"/>
            </w:tcBorders>
            <w:tcMar>
              <w:left w:w="28" w:type="dxa"/>
              <w:right w:w="28" w:type="dxa"/>
            </w:tcMar>
          </w:tcPr>
          <w:p w:rsidR="00286780" w:rsidRPr="00124D89" w:rsidRDefault="00286780" w:rsidP="002244B8">
            <w:pPr>
              <w:snapToGrid w:val="0"/>
              <w:rPr>
                <w:rFonts w:cs="Calibri"/>
                <w:sz w:val="24"/>
                <w:szCs w:val="24"/>
                <w:lang w:eastAsia="ar-SA"/>
              </w:rPr>
            </w:pPr>
          </w:p>
        </w:tc>
        <w:tc>
          <w:tcPr>
            <w:tcW w:w="2268" w:type="dxa"/>
            <w:tcBorders>
              <w:top w:val="single" w:sz="4" w:space="0" w:color="000000"/>
              <w:left w:val="single" w:sz="4" w:space="0" w:color="000000"/>
              <w:bottom w:val="single" w:sz="4" w:space="0" w:color="000000"/>
            </w:tcBorders>
            <w:tcMar>
              <w:left w:w="28" w:type="dxa"/>
              <w:right w:w="28" w:type="dxa"/>
            </w:tcMar>
          </w:tcPr>
          <w:p w:rsidR="00286780" w:rsidRPr="00124D89" w:rsidRDefault="00286780" w:rsidP="002244B8">
            <w:pPr>
              <w:snapToGrid w:val="0"/>
              <w:jc w:val="center"/>
              <w:rPr>
                <w:rFonts w:cs="Calibri"/>
                <w:sz w:val="24"/>
                <w:szCs w:val="24"/>
                <w:lang w:val="en-US" w:eastAsia="ar-SA"/>
              </w:rPr>
            </w:pPr>
            <w:r w:rsidRPr="00124D89">
              <w:rPr>
                <w:rFonts w:cs="Calibri"/>
                <w:sz w:val="24"/>
                <w:szCs w:val="24"/>
                <w:lang w:eastAsia="ar-SA"/>
              </w:rPr>
              <w:t>определяется (</w:t>
            </w:r>
            <w:r w:rsidRPr="00124D89">
              <w:rPr>
                <w:rFonts w:cs="Calibri"/>
                <w:sz w:val="24"/>
                <w:szCs w:val="24"/>
                <w:lang w:val="en-US" w:eastAsia="ar-SA"/>
              </w:rPr>
              <w:t>n=</w:t>
            </w:r>
            <w:r>
              <w:rPr>
                <w:rFonts w:cs="Calibri"/>
                <w:sz w:val="24"/>
                <w:szCs w:val="24"/>
                <w:lang w:eastAsia="ar-SA"/>
              </w:rPr>
              <w:t>13</w:t>
            </w:r>
            <w:r w:rsidRPr="00124D89">
              <w:rPr>
                <w:rFonts w:cs="Calibri"/>
                <w:sz w:val="24"/>
                <w:szCs w:val="24"/>
                <w:lang w:val="en-US" w:eastAsia="ar-SA"/>
              </w:rPr>
              <w:t>)</w:t>
            </w:r>
          </w:p>
        </w:tc>
        <w:tc>
          <w:tcPr>
            <w:tcW w:w="2240" w:type="dxa"/>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124D89" w:rsidRDefault="00286780" w:rsidP="002244B8">
            <w:pPr>
              <w:snapToGrid w:val="0"/>
              <w:jc w:val="center"/>
              <w:rPr>
                <w:rFonts w:cs="Calibri"/>
                <w:sz w:val="24"/>
                <w:szCs w:val="24"/>
                <w:lang w:val="en-US" w:eastAsia="ar-SA"/>
              </w:rPr>
            </w:pPr>
            <w:r w:rsidRPr="00124D89">
              <w:rPr>
                <w:rFonts w:cs="Calibri"/>
                <w:sz w:val="24"/>
                <w:szCs w:val="24"/>
                <w:lang w:eastAsia="ar-SA"/>
              </w:rPr>
              <w:t>отсутствует</w:t>
            </w:r>
            <w:r w:rsidRPr="00124D89">
              <w:rPr>
                <w:rFonts w:cs="Calibri"/>
                <w:sz w:val="24"/>
                <w:szCs w:val="24"/>
                <w:lang w:val="en-US" w:eastAsia="ar-SA"/>
              </w:rPr>
              <w:t xml:space="preserve"> (n=</w:t>
            </w:r>
            <w:r>
              <w:rPr>
                <w:rFonts w:cs="Calibri"/>
                <w:sz w:val="24"/>
                <w:szCs w:val="24"/>
                <w:lang w:eastAsia="ar-SA"/>
              </w:rPr>
              <w:t>7</w:t>
            </w:r>
            <w:r w:rsidRPr="00124D89">
              <w:rPr>
                <w:rFonts w:cs="Calibri"/>
                <w:sz w:val="24"/>
                <w:szCs w:val="24"/>
                <w:lang w:val="en-US" w:eastAsia="ar-SA"/>
              </w:rPr>
              <w:t>)</w:t>
            </w:r>
          </w:p>
        </w:tc>
      </w:tr>
      <w:tr w:rsidR="00286780" w:rsidRPr="00124D89" w:rsidTr="002244B8">
        <w:trPr>
          <w:trHeight w:val="454"/>
        </w:trPr>
        <w:tc>
          <w:tcPr>
            <w:tcW w:w="541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2244B8">
            <w:pPr>
              <w:snapToGrid w:val="0"/>
              <w:rPr>
                <w:rFonts w:cs="Calibri"/>
                <w:sz w:val="24"/>
                <w:szCs w:val="24"/>
                <w:lang w:eastAsia="ar-SA"/>
              </w:rPr>
            </w:pPr>
            <w:r w:rsidRPr="00124D89">
              <w:rPr>
                <w:rFonts w:cs="Calibri"/>
                <w:sz w:val="24"/>
                <w:szCs w:val="24"/>
                <w:lang w:eastAsia="ar-SA"/>
              </w:rPr>
              <w:t xml:space="preserve">Средний койко-день </w:t>
            </w:r>
          </w:p>
        </w:tc>
        <w:tc>
          <w:tcPr>
            <w:tcW w:w="2268"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2244B8">
            <w:pPr>
              <w:snapToGrid w:val="0"/>
              <w:jc w:val="center"/>
              <w:rPr>
                <w:rFonts w:cs="Calibri"/>
                <w:sz w:val="24"/>
                <w:szCs w:val="24"/>
                <w:lang w:val="en-US" w:eastAsia="ar-SA"/>
              </w:rPr>
            </w:pPr>
            <w:r>
              <w:rPr>
                <w:rFonts w:cs="Calibri"/>
                <w:sz w:val="24"/>
                <w:szCs w:val="24"/>
                <w:lang w:eastAsia="ar-SA"/>
              </w:rPr>
              <w:t>23</w:t>
            </w:r>
            <w:r>
              <w:rPr>
                <w:rFonts w:cs="Calibri"/>
                <w:sz w:val="24"/>
                <w:szCs w:val="24"/>
                <w:lang w:val="en-US" w:eastAsia="ar-SA"/>
              </w:rPr>
              <w:t>[</w:t>
            </w:r>
            <w:r>
              <w:rPr>
                <w:rFonts w:cs="Calibri"/>
                <w:sz w:val="24"/>
                <w:szCs w:val="24"/>
                <w:lang w:eastAsia="ar-SA"/>
              </w:rPr>
              <w:t>20;32</w:t>
            </w:r>
            <w:r w:rsidRPr="00124D89">
              <w:rPr>
                <w:rFonts w:cs="Calibri"/>
                <w:sz w:val="24"/>
                <w:szCs w:val="24"/>
                <w:lang w:val="en-US" w:eastAsia="ar-SA"/>
              </w:rPr>
              <w:t>]</w:t>
            </w:r>
          </w:p>
        </w:tc>
        <w:tc>
          <w:tcPr>
            <w:tcW w:w="22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2244B8">
            <w:pPr>
              <w:snapToGrid w:val="0"/>
              <w:jc w:val="center"/>
              <w:rPr>
                <w:rFonts w:cs="Calibri"/>
                <w:sz w:val="24"/>
                <w:szCs w:val="24"/>
                <w:lang w:val="en-US" w:eastAsia="ar-SA"/>
              </w:rPr>
            </w:pPr>
            <w:r>
              <w:rPr>
                <w:rFonts w:cs="Calibri"/>
                <w:sz w:val="24"/>
                <w:szCs w:val="24"/>
                <w:lang w:eastAsia="ar-SA"/>
              </w:rPr>
              <w:t>23</w:t>
            </w:r>
            <w:r w:rsidRPr="00124D89">
              <w:rPr>
                <w:rFonts w:cs="Calibri"/>
                <w:sz w:val="24"/>
                <w:szCs w:val="24"/>
                <w:lang w:val="en-US" w:eastAsia="ar-SA"/>
              </w:rPr>
              <w:t>[</w:t>
            </w:r>
            <w:r>
              <w:rPr>
                <w:rFonts w:cs="Calibri"/>
                <w:sz w:val="24"/>
                <w:szCs w:val="24"/>
                <w:lang w:eastAsia="ar-SA"/>
              </w:rPr>
              <w:t>11;29</w:t>
            </w:r>
            <w:r w:rsidRPr="00124D89">
              <w:rPr>
                <w:rFonts w:cs="Calibri"/>
                <w:sz w:val="24"/>
                <w:szCs w:val="24"/>
                <w:lang w:val="en-US" w:eastAsia="ar-SA"/>
              </w:rPr>
              <w:t>]</w:t>
            </w:r>
          </w:p>
        </w:tc>
      </w:tr>
      <w:tr w:rsidR="00286780" w:rsidRPr="00124D89" w:rsidTr="002244B8">
        <w:trPr>
          <w:trHeight w:val="454"/>
        </w:trPr>
        <w:tc>
          <w:tcPr>
            <w:tcW w:w="541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2244B8">
            <w:pPr>
              <w:snapToGrid w:val="0"/>
              <w:rPr>
                <w:rFonts w:cs="Calibri"/>
                <w:sz w:val="24"/>
                <w:szCs w:val="24"/>
                <w:lang w:eastAsia="ar-SA"/>
              </w:rPr>
            </w:pPr>
            <w:r>
              <w:rPr>
                <w:rFonts w:cs="Calibri"/>
                <w:sz w:val="24"/>
                <w:szCs w:val="24"/>
                <w:lang w:eastAsia="ar-SA"/>
              </w:rPr>
              <w:t>Диагностика КОМ</w:t>
            </w:r>
            <w:r w:rsidRPr="00124D89">
              <w:rPr>
                <w:rFonts w:cs="Calibri"/>
                <w:sz w:val="24"/>
                <w:szCs w:val="24"/>
                <w:lang w:eastAsia="ar-SA"/>
              </w:rPr>
              <w:t xml:space="preserve"> при поступлении в стационар (%)</w:t>
            </w:r>
          </w:p>
        </w:tc>
        <w:tc>
          <w:tcPr>
            <w:tcW w:w="2268"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2244B8">
            <w:pPr>
              <w:snapToGrid w:val="0"/>
              <w:jc w:val="center"/>
              <w:rPr>
                <w:rFonts w:cs="Calibri"/>
                <w:sz w:val="24"/>
                <w:szCs w:val="24"/>
                <w:lang w:eastAsia="ar-SA"/>
              </w:rPr>
            </w:pPr>
            <w:r>
              <w:rPr>
                <w:rFonts w:cs="Calibri"/>
                <w:sz w:val="24"/>
                <w:szCs w:val="24"/>
                <w:lang w:eastAsia="ar-SA"/>
              </w:rPr>
              <w:t>23,1</w:t>
            </w:r>
          </w:p>
        </w:tc>
        <w:tc>
          <w:tcPr>
            <w:tcW w:w="22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2244B8">
            <w:pPr>
              <w:snapToGrid w:val="0"/>
              <w:jc w:val="center"/>
              <w:rPr>
                <w:rFonts w:cs="Calibri"/>
                <w:sz w:val="24"/>
                <w:szCs w:val="24"/>
                <w:lang w:eastAsia="ar-SA"/>
              </w:rPr>
            </w:pPr>
            <w:r>
              <w:rPr>
                <w:rFonts w:cs="Calibri"/>
                <w:sz w:val="24"/>
                <w:szCs w:val="24"/>
                <w:lang w:eastAsia="ar-SA"/>
              </w:rPr>
              <w:t>28,6</w:t>
            </w:r>
          </w:p>
        </w:tc>
      </w:tr>
      <w:tr w:rsidR="00286780" w:rsidRPr="00124D89" w:rsidTr="002244B8">
        <w:trPr>
          <w:trHeight w:val="454"/>
        </w:trPr>
        <w:tc>
          <w:tcPr>
            <w:tcW w:w="541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2244B8">
            <w:pPr>
              <w:snapToGrid w:val="0"/>
              <w:rPr>
                <w:rFonts w:cs="Calibri"/>
                <w:sz w:val="24"/>
                <w:szCs w:val="24"/>
                <w:lang w:eastAsia="ar-SA"/>
              </w:rPr>
            </w:pPr>
            <w:r w:rsidRPr="00124D89">
              <w:rPr>
                <w:rFonts w:cs="Calibri"/>
                <w:sz w:val="24"/>
                <w:szCs w:val="24"/>
                <w:lang w:eastAsia="ar-SA"/>
              </w:rPr>
              <w:t>Осложнения (%)</w:t>
            </w:r>
          </w:p>
        </w:tc>
        <w:tc>
          <w:tcPr>
            <w:tcW w:w="2268"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2244B8">
            <w:pPr>
              <w:snapToGrid w:val="0"/>
              <w:jc w:val="center"/>
              <w:rPr>
                <w:rFonts w:cs="Calibri"/>
                <w:sz w:val="24"/>
                <w:szCs w:val="24"/>
                <w:lang w:eastAsia="ar-SA"/>
              </w:rPr>
            </w:pPr>
            <w:r>
              <w:rPr>
                <w:rFonts w:cs="Calibri"/>
                <w:sz w:val="24"/>
                <w:szCs w:val="24"/>
                <w:lang w:eastAsia="ar-SA"/>
              </w:rPr>
              <w:t>92,3</w:t>
            </w:r>
          </w:p>
        </w:tc>
        <w:tc>
          <w:tcPr>
            <w:tcW w:w="22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2244B8">
            <w:pPr>
              <w:snapToGrid w:val="0"/>
              <w:jc w:val="center"/>
              <w:rPr>
                <w:rFonts w:cs="Calibri"/>
                <w:sz w:val="24"/>
                <w:szCs w:val="24"/>
                <w:lang w:eastAsia="ar-SA"/>
              </w:rPr>
            </w:pPr>
            <w:r>
              <w:rPr>
                <w:rFonts w:cs="Calibri"/>
                <w:sz w:val="24"/>
                <w:szCs w:val="24"/>
                <w:lang w:eastAsia="ar-SA"/>
              </w:rPr>
              <w:t>71,4</w:t>
            </w:r>
          </w:p>
        </w:tc>
      </w:tr>
      <w:tr w:rsidR="00286780" w:rsidRPr="00124D89" w:rsidTr="002244B8">
        <w:trPr>
          <w:trHeight w:val="454"/>
        </w:trPr>
        <w:tc>
          <w:tcPr>
            <w:tcW w:w="5415" w:type="dxa"/>
            <w:tcBorders>
              <w:top w:val="single" w:sz="4" w:space="0" w:color="000000"/>
              <w:left w:val="single" w:sz="4" w:space="0" w:color="000000"/>
              <w:bottom w:val="single" w:sz="4" w:space="0" w:color="000000"/>
            </w:tcBorders>
            <w:tcMar>
              <w:left w:w="28" w:type="dxa"/>
              <w:right w:w="28" w:type="dxa"/>
            </w:tcMar>
            <w:vAlign w:val="center"/>
          </w:tcPr>
          <w:p w:rsidR="00286780" w:rsidRPr="00124D89" w:rsidRDefault="00286780" w:rsidP="002244B8">
            <w:pPr>
              <w:snapToGrid w:val="0"/>
              <w:rPr>
                <w:rFonts w:cs="Calibri"/>
                <w:sz w:val="24"/>
                <w:szCs w:val="24"/>
                <w:lang w:eastAsia="ar-SA"/>
              </w:rPr>
            </w:pPr>
            <w:r w:rsidRPr="00124D89">
              <w:rPr>
                <w:rFonts w:cs="Calibri"/>
                <w:sz w:val="24"/>
                <w:szCs w:val="24"/>
                <w:lang w:eastAsia="ar-SA"/>
              </w:rPr>
              <w:t>Летальность (%)</w:t>
            </w:r>
          </w:p>
        </w:tc>
        <w:tc>
          <w:tcPr>
            <w:tcW w:w="2268" w:type="dxa"/>
            <w:tcBorders>
              <w:top w:val="single" w:sz="4" w:space="0" w:color="000000"/>
              <w:left w:val="single" w:sz="4" w:space="0" w:color="000000"/>
              <w:bottom w:val="single" w:sz="4" w:space="0" w:color="000000"/>
            </w:tcBorders>
            <w:tcMar>
              <w:left w:w="28" w:type="dxa"/>
              <w:right w:w="28" w:type="dxa"/>
            </w:tcMar>
            <w:vAlign w:val="center"/>
          </w:tcPr>
          <w:p w:rsidR="00286780" w:rsidRPr="000E610C" w:rsidRDefault="00286780" w:rsidP="002244B8">
            <w:pPr>
              <w:snapToGrid w:val="0"/>
              <w:jc w:val="center"/>
              <w:rPr>
                <w:rFonts w:cs="Calibri"/>
                <w:i/>
                <w:sz w:val="24"/>
                <w:szCs w:val="24"/>
                <w:lang w:eastAsia="ar-SA"/>
              </w:rPr>
            </w:pPr>
            <w:r w:rsidRPr="000E610C">
              <w:rPr>
                <w:rFonts w:cs="Calibri"/>
                <w:i/>
                <w:sz w:val="24"/>
                <w:szCs w:val="24"/>
                <w:lang w:eastAsia="ar-SA"/>
              </w:rPr>
              <w:t>76,9*</w:t>
            </w:r>
          </w:p>
        </w:tc>
        <w:tc>
          <w:tcPr>
            <w:tcW w:w="22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2244B8">
            <w:pPr>
              <w:snapToGrid w:val="0"/>
              <w:jc w:val="center"/>
              <w:rPr>
                <w:rFonts w:cs="Calibri"/>
                <w:sz w:val="24"/>
                <w:szCs w:val="24"/>
                <w:lang w:eastAsia="ar-SA"/>
              </w:rPr>
            </w:pPr>
            <w:r>
              <w:rPr>
                <w:rFonts w:cs="Calibri"/>
                <w:sz w:val="24"/>
                <w:szCs w:val="24"/>
                <w:lang w:eastAsia="ar-SA"/>
              </w:rPr>
              <w:t>28,6</w:t>
            </w:r>
          </w:p>
        </w:tc>
      </w:tr>
      <w:tr w:rsidR="00286780" w:rsidRPr="00124D89" w:rsidTr="002244B8">
        <w:trPr>
          <w:trHeight w:val="454"/>
        </w:trPr>
        <w:tc>
          <w:tcPr>
            <w:tcW w:w="9923" w:type="dxa"/>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124D89" w:rsidRDefault="00286780" w:rsidP="002244B8">
            <w:pPr>
              <w:tabs>
                <w:tab w:val="left" w:pos="142"/>
              </w:tabs>
              <w:jc w:val="center"/>
              <w:rPr>
                <w:rFonts w:cs="Calibri"/>
                <w:sz w:val="24"/>
                <w:szCs w:val="24"/>
                <w:lang w:eastAsia="ar-SA"/>
              </w:rPr>
            </w:pPr>
            <w:r w:rsidRPr="00124D89">
              <w:rPr>
                <w:rFonts w:cs="Calibri"/>
                <w:i/>
                <w:sz w:val="24"/>
                <w:szCs w:val="24"/>
                <w:lang w:eastAsia="ar-SA"/>
              </w:rPr>
              <w:t>Примечание</w:t>
            </w:r>
            <w:r w:rsidRPr="00124D89">
              <w:rPr>
                <w:rFonts w:cs="Calibri"/>
                <w:sz w:val="24"/>
                <w:szCs w:val="24"/>
                <w:lang w:eastAsia="ar-SA"/>
              </w:rPr>
              <w:t>. * – различия статистически достоверны (</w:t>
            </w:r>
            <w:r w:rsidRPr="00124D89">
              <w:rPr>
                <w:rFonts w:cs="Calibri"/>
                <w:sz w:val="24"/>
                <w:szCs w:val="24"/>
                <w:lang w:val="en-US" w:eastAsia="ar-SA"/>
              </w:rPr>
              <w:t>p</w:t>
            </w:r>
            <w:r w:rsidRPr="00124D89">
              <w:rPr>
                <w:rFonts w:cs="Calibri"/>
                <w:sz w:val="24"/>
                <w:szCs w:val="24"/>
                <w:lang w:eastAsia="ar-SA"/>
              </w:rPr>
              <w:t>&lt; 0,05)</w:t>
            </w:r>
          </w:p>
        </w:tc>
      </w:tr>
    </w:tbl>
    <w:p w:rsidR="00286780" w:rsidRPr="00124D89" w:rsidRDefault="00286780" w:rsidP="005305D7">
      <w:pPr>
        <w:tabs>
          <w:tab w:val="left" w:pos="142"/>
        </w:tabs>
        <w:rPr>
          <w:rFonts w:cs="Calibri"/>
          <w:sz w:val="24"/>
          <w:szCs w:val="24"/>
          <w:lang w:eastAsia="ar-SA"/>
        </w:rPr>
      </w:pPr>
    </w:p>
    <w:p w:rsidR="00286780" w:rsidRDefault="00286780" w:rsidP="00E225A2">
      <w:pPr>
        <w:spacing w:line="360" w:lineRule="auto"/>
        <w:ind w:firstLine="709"/>
        <w:jc w:val="both"/>
        <w:rPr>
          <w:rFonts w:cs="Calibri"/>
          <w:sz w:val="28"/>
          <w:szCs w:val="28"/>
          <w:lang w:eastAsia="ar-SA"/>
        </w:rPr>
      </w:pPr>
      <w:r>
        <w:rPr>
          <w:rFonts w:cs="Calibri"/>
          <w:sz w:val="28"/>
          <w:szCs w:val="28"/>
          <w:lang w:eastAsia="ar-SA"/>
        </w:rPr>
        <w:t>Наблюдается высокая летальность пациентов с КОМ, фоновой полиорганной патологией и синдромом взаимного отягощения – 76,9%. Осложнения в исследуемой подгруппе рассмотрены на Рисунке 11.</w:t>
      </w:r>
    </w:p>
    <w:p w:rsidR="00286780" w:rsidRDefault="00E225A2" w:rsidP="00E225A2">
      <w:pPr>
        <w:spacing w:line="360" w:lineRule="auto"/>
        <w:ind w:firstLine="709"/>
        <w:jc w:val="both"/>
        <w:rPr>
          <w:rFonts w:cs="Calibri"/>
          <w:sz w:val="28"/>
          <w:szCs w:val="28"/>
          <w:lang w:eastAsia="ar-SA"/>
        </w:rPr>
      </w:pPr>
      <w:r>
        <w:rPr>
          <w:rFonts w:cs="Calibri"/>
          <w:sz w:val="28"/>
          <w:szCs w:val="28"/>
          <w:lang w:eastAsia="ar-SA"/>
        </w:rPr>
        <w:t>Наиболее распространенным гнойно-воспалительным осложнением у пациентов с КОМ, фоновой полиорганной патологией и синдромом взаимного отягощения является септический шок– 38,4%.</w:t>
      </w:r>
    </w:p>
    <w:p w:rsidR="00286780" w:rsidRPr="000E610C" w:rsidRDefault="00807D20" w:rsidP="0043600C">
      <w:pPr>
        <w:spacing w:line="360" w:lineRule="auto"/>
        <w:jc w:val="both"/>
        <w:rPr>
          <w:rFonts w:cs="Calibri"/>
          <w:sz w:val="28"/>
          <w:szCs w:val="28"/>
          <w:lang w:eastAsia="ar-SA"/>
        </w:rPr>
      </w:pPr>
      <w:r>
        <w:rPr>
          <w:rFonts w:cs="Calibri"/>
          <w:noProof/>
          <w:sz w:val="28"/>
          <w:szCs w:val="28"/>
        </w:rPr>
        <w:lastRenderedPageBreak/>
        <w:pict>
          <v:shape id="_x0000_i1040" type="#_x0000_t75" style="width:489.6pt;height:295.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">
            <v:imagedata r:id="rId26" o:title=""/>
            <o:lock v:ext="edit" aspectratio="f"/>
          </v:shape>
        </w:pict>
      </w:r>
    </w:p>
    <w:p w:rsidR="00286780" w:rsidRDefault="00286780" w:rsidP="004D1143">
      <w:pPr>
        <w:spacing w:line="360" w:lineRule="auto"/>
        <w:jc w:val="both"/>
        <w:rPr>
          <w:rFonts w:cs="Calibri"/>
          <w:sz w:val="28"/>
          <w:szCs w:val="28"/>
          <w:lang w:eastAsia="ar-SA"/>
        </w:rPr>
      </w:pPr>
      <w:r w:rsidRPr="00371212">
        <w:rPr>
          <w:rFonts w:cs="Calibri"/>
          <w:b/>
          <w:sz w:val="28"/>
          <w:szCs w:val="28"/>
          <w:lang w:eastAsia="ar-SA"/>
        </w:rPr>
        <w:t>Рисунок 11</w:t>
      </w:r>
      <w:r>
        <w:rPr>
          <w:rFonts w:cs="Calibri"/>
          <w:sz w:val="28"/>
          <w:szCs w:val="28"/>
          <w:lang w:eastAsia="ar-SA"/>
        </w:rPr>
        <w:t xml:space="preserve"> – Воспалительные осложнения у пациентов с КОМ, фоновой полиорганной патологией и синдромом взаимного отягощения</w:t>
      </w:r>
    </w:p>
    <w:p w:rsidR="00286780" w:rsidRDefault="00286780" w:rsidP="005278B3">
      <w:pPr>
        <w:spacing w:line="360" w:lineRule="auto"/>
        <w:ind w:firstLine="709"/>
        <w:jc w:val="both"/>
        <w:rPr>
          <w:rFonts w:cs="Calibri"/>
          <w:sz w:val="28"/>
          <w:szCs w:val="28"/>
          <w:lang w:eastAsia="ar-SA"/>
        </w:rPr>
      </w:pPr>
    </w:p>
    <w:p w:rsidR="00286780" w:rsidRPr="00C97EDB" w:rsidRDefault="00286780" w:rsidP="00C97EDB">
      <w:pPr>
        <w:spacing w:line="360" w:lineRule="auto"/>
        <w:ind w:firstLine="709"/>
        <w:jc w:val="both"/>
        <w:rPr>
          <w:sz w:val="28"/>
          <w:szCs w:val="28"/>
        </w:rPr>
      </w:pPr>
      <w:r>
        <w:rPr>
          <w:rFonts w:cs="Calibri"/>
          <w:sz w:val="28"/>
          <w:szCs w:val="28"/>
          <w:lang w:eastAsia="ar-SA"/>
        </w:rPr>
        <w:t>Резюме. Наличие полиорганной фоновой патологии не оказывает статистически значимого влияния на развитие КОМ</w:t>
      </w:r>
      <w:r w:rsidRPr="009A7A04">
        <w:rPr>
          <w:sz w:val="28"/>
          <w:szCs w:val="28"/>
        </w:rPr>
        <w:t>(</w:t>
      </w:r>
      <w:r w:rsidRPr="006E2844">
        <w:rPr>
          <w:rFonts w:cs="Calibri"/>
          <w:sz w:val="28"/>
          <w:szCs w:val="28"/>
          <w:lang w:val="en-US" w:eastAsia="ar-SA"/>
        </w:rPr>
        <w:t>p</w:t>
      </w:r>
      <w:r>
        <w:rPr>
          <w:sz w:val="28"/>
          <w:szCs w:val="28"/>
          <w:lang w:eastAsia="ar-SA"/>
        </w:rPr>
        <w:t>&gt;</w:t>
      </w:r>
      <w:r w:rsidRPr="006E2844">
        <w:rPr>
          <w:rFonts w:cs="Calibri"/>
          <w:sz w:val="28"/>
          <w:szCs w:val="28"/>
          <w:lang w:eastAsia="ar-SA"/>
        </w:rPr>
        <w:t>0,05</w:t>
      </w:r>
      <w:r w:rsidRPr="009A7A04">
        <w:rPr>
          <w:sz w:val="28"/>
          <w:szCs w:val="28"/>
        </w:rPr>
        <w:t>)</w:t>
      </w:r>
      <w:r>
        <w:rPr>
          <w:rFonts w:cs="Calibri"/>
          <w:sz w:val="28"/>
          <w:szCs w:val="28"/>
          <w:lang w:eastAsia="ar-SA"/>
        </w:rPr>
        <w:t xml:space="preserve">. </w:t>
      </w:r>
      <w:r>
        <w:rPr>
          <w:sz w:val="28"/>
          <w:szCs w:val="28"/>
        </w:rPr>
        <w:t xml:space="preserve">Характерно вовлечение верхних отделов переднего и заднего средостения (38,5%), или тотальное поражение средостения - 53,8%. </w:t>
      </w:r>
      <w:r>
        <w:rPr>
          <w:rFonts w:cs="Calibri"/>
          <w:sz w:val="28"/>
          <w:szCs w:val="28"/>
          <w:lang w:eastAsia="ar-SA"/>
        </w:rPr>
        <w:t xml:space="preserve">В нозологической структуре фоновой полиорганной хронической патологии заболевания сердечно-сосудистой системы диагностированы у 53,8% пациентов; синдром зависимости от алкоголя, вирусное или алкогольное поражение печени - 23,1%. </w:t>
      </w:r>
      <w:r>
        <w:rPr>
          <w:sz w:val="28"/>
          <w:szCs w:val="28"/>
        </w:rPr>
        <w:t>Наблюдаются декомпенсированные изменения клинико-лабораторных показателей, отражающие наличие синдрома полиорганной недостаточности с преобладанием недостаточности по сердечно-сосудистой системе. Значимым клиническим признаком является высокая частота развития септического шока- 38,4%, летальность – 76,9%.</w:t>
      </w:r>
    </w:p>
    <w:p w:rsidR="00286780" w:rsidRPr="009364EE" w:rsidRDefault="00286780" w:rsidP="00C97EDB">
      <w:pPr>
        <w:spacing w:line="360" w:lineRule="auto"/>
        <w:jc w:val="both"/>
        <w:rPr>
          <w:rFonts w:cs="Calibri"/>
          <w:sz w:val="28"/>
          <w:szCs w:val="28"/>
          <w:lang w:eastAsia="ar-SA"/>
        </w:rPr>
      </w:pPr>
      <w:r w:rsidRPr="002E6CD9">
        <w:rPr>
          <w:rFonts w:cs="Calibri"/>
          <w:sz w:val="28"/>
          <w:szCs w:val="28"/>
          <w:lang w:eastAsia="ar-SA"/>
        </w:rPr>
        <w:br w:type="page"/>
      </w:r>
    </w:p>
    <w:p w:rsidR="00286780" w:rsidRPr="00835CC4" w:rsidRDefault="00286780" w:rsidP="00835CC4">
      <w:pPr>
        <w:pStyle w:val="10"/>
      </w:pPr>
      <w:bookmarkStart w:id="25" w:name="_Toc67905707"/>
      <w:r w:rsidRPr="00835CC4">
        <w:t>Глава 5. ТРЕТИЙ БЛОК ИССЛЕДОВАНИЙ</w:t>
      </w:r>
      <w:bookmarkEnd w:id="25"/>
    </w:p>
    <w:p w:rsidR="00286780" w:rsidRPr="00835CC4" w:rsidRDefault="00286780" w:rsidP="00835CC4">
      <w:pPr>
        <w:jc w:val="both"/>
        <w:rPr>
          <w:sz w:val="28"/>
          <w:szCs w:val="28"/>
          <w:lang w:eastAsia="en-US"/>
        </w:rPr>
      </w:pPr>
    </w:p>
    <w:p w:rsidR="00286780" w:rsidRPr="00FD18C9" w:rsidRDefault="00286780" w:rsidP="00FD18C9">
      <w:pPr>
        <w:pStyle w:val="20"/>
        <w:spacing w:line="360" w:lineRule="auto"/>
        <w:jc w:val="both"/>
      </w:pPr>
      <w:bookmarkStart w:id="26" w:name="_Toc67905708"/>
      <w:r w:rsidRPr="00835CC4">
        <w:t>5.1. Диагностика хирургических осложнений одонтогенной инфекции у больных с полиорганной фоновой патологией и синдромом взаимного отягощения</w:t>
      </w:r>
      <w:bookmarkEnd w:id="26"/>
    </w:p>
    <w:p w:rsidR="00286780" w:rsidRPr="00835CC4" w:rsidRDefault="00286780" w:rsidP="00FD18C9">
      <w:pPr>
        <w:spacing w:line="360" w:lineRule="auto"/>
        <w:ind w:firstLine="709"/>
        <w:jc w:val="both"/>
        <w:rPr>
          <w:rFonts w:cs="Calibri"/>
          <w:sz w:val="28"/>
          <w:szCs w:val="28"/>
          <w:lang w:eastAsia="ar-SA"/>
        </w:rPr>
      </w:pPr>
      <w:r w:rsidRPr="00835CC4">
        <w:rPr>
          <w:rFonts w:cs="Calibri"/>
          <w:sz w:val="28"/>
          <w:szCs w:val="28"/>
          <w:lang w:eastAsia="ar-SA"/>
        </w:rPr>
        <w:t xml:space="preserve">Своевременная диагностика хирургических осложнений острой одонтогенной инфекции (абсцессов и флегмон челюстно-лицевой области, одонтогенного сепсиса, контактных одонтогенных медиастинитов, вторичных внутричерепных осложнений) при поступлении пациента в стационар заключается в определении наличия или отсутствия признаков декомпенсации основных систем жизнедеятельности, диагностике признаков органной недостаточности и одонтогенного сепсиса, корректного установления топографо-анатомической локализации и распространенности гнойно-воспалительного процесса, определения </w:t>
      </w:r>
      <w:r w:rsidRPr="00835CC4">
        <w:rPr>
          <w:rFonts w:cs="Calibri"/>
          <w:i/>
          <w:sz w:val="28"/>
          <w:szCs w:val="28"/>
          <w:lang w:eastAsia="ar-SA"/>
        </w:rPr>
        <w:t xml:space="preserve">вероятности </w:t>
      </w:r>
      <w:r w:rsidRPr="00835CC4">
        <w:rPr>
          <w:rFonts w:cs="Calibri"/>
          <w:sz w:val="28"/>
          <w:szCs w:val="28"/>
          <w:lang w:eastAsia="ar-SA"/>
        </w:rPr>
        <w:t>дальнейшего прогрессирования заболевания с развитием или отягощением органной недостаточности, тщательной оценке функционирования отдельных органных систем, диагностическом поиске фоновых заболеваний, в том числе полиорганных полиморбидных.</w:t>
      </w:r>
    </w:p>
    <w:p w:rsidR="00286780" w:rsidRPr="00835CC4" w:rsidRDefault="00286780" w:rsidP="00835CC4">
      <w:pPr>
        <w:spacing w:line="360" w:lineRule="auto"/>
        <w:ind w:firstLine="709"/>
        <w:jc w:val="both"/>
        <w:rPr>
          <w:rFonts w:cs="Calibri"/>
          <w:sz w:val="28"/>
          <w:szCs w:val="28"/>
          <w:lang w:eastAsia="ar-SA"/>
        </w:rPr>
      </w:pPr>
      <w:r w:rsidRPr="00835CC4">
        <w:rPr>
          <w:rFonts w:cs="Calibri"/>
          <w:sz w:val="28"/>
          <w:szCs w:val="28"/>
          <w:lang w:eastAsia="ar-SA"/>
        </w:rPr>
        <w:t xml:space="preserve">Неудовлетворенность существующими методами диагностики гнойно-воспалительных процессов челюстно-лицевой области и шеи, не позволяющими в полной мере охарактеризовать состояние пациента и определить тактику последующего комплексного лечения с учетом современных методов диагностики сепсиса и органной недостаточности, а </w:t>
      </w:r>
      <w:r>
        <w:rPr>
          <w:rFonts w:cs="Calibri"/>
          <w:sz w:val="28"/>
          <w:szCs w:val="28"/>
          <w:lang w:eastAsia="ar-SA"/>
        </w:rPr>
        <w:t>также</w:t>
      </w:r>
      <w:r w:rsidRPr="00835CC4">
        <w:rPr>
          <w:rFonts w:cs="Calibri"/>
          <w:sz w:val="28"/>
          <w:szCs w:val="28"/>
          <w:lang w:eastAsia="ar-SA"/>
        </w:rPr>
        <w:t xml:space="preserve"> не позволяющих в должной степени оценить наличие и степень влияния полиорганной фоновой патологии, мотивирует к разработке соответствующего алгоритма, отвечающего современным требованиям и учитывающего все вышеобозначенные условия.</w:t>
      </w:r>
    </w:p>
    <w:p w:rsidR="00286780" w:rsidRDefault="00286780" w:rsidP="004A0CF0">
      <w:pPr>
        <w:jc w:val="both"/>
        <w:rPr>
          <w:sz w:val="28"/>
          <w:szCs w:val="28"/>
          <w:lang w:eastAsia="en-US"/>
        </w:rPr>
      </w:pPr>
    </w:p>
    <w:p w:rsidR="00286780" w:rsidRPr="00C32D91" w:rsidRDefault="00286780" w:rsidP="00FD18C9">
      <w:pPr>
        <w:pStyle w:val="20"/>
        <w:spacing w:line="360" w:lineRule="auto"/>
        <w:jc w:val="both"/>
      </w:pPr>
      <w:bookmarkStart w:id="27" w:name="_Toc67905709"/>
      <w:r w:rsidRPr="00835CC4">
        <w:t>5.2. Оценка эффективности общепринятых методов диагностики тяжелых форм одонтогенных воспалительных пр</w:t>
      </w:r>
      <w:r>
        <w:t>оцессов и одонтогенного сепсиса</w:t>
      </w:r>
      <w:bookmarkEnd w:id="27"/>
    </w:p>
    <w:p w:rsidR="00286780" w:rsidRPr="00835CC4" w:rsidRDefault="00286780" w:rsidP="00FD18C9">
      <w:pPr>
        <w:spacing w:line="360" w:lineRule="auto"/>
        <w:ind w:firstLine="709"/>
        <w:jc w:val="both"/>
        <w:rPr>
          <w:rFonts w:cs="Calibri"/>
          <w:sz w:val="28"/>
          <w:szCs w:val="28"/>
          <w:lang w:eastAsia="ar-SA"/>
        </w:rPr>
      </w:pPr>
      <w:r w:rsidRPr="00835CC4">
        <w:rPr>
          <w:rFonts w:cs="Calibri"/>
          <w:sz w:val="28"/>
          <w:szCs w:val="28"/>
          <w:lang w:eastAsia="ar-SA"/>
        </w:rPr>
        <w:t>Одним из наиболее распространенных алгоритмов диагностики одонтогенного сепсиса являются критерии Американского колледжа пульмонологов и Об</w:t>
      </w:r>
      <w:r w:rsidRPr="00835CC4">
        <w:rPr>
          <w:rFonts w:cs="Calibri"/>
          <w:sz w:val="28"/>
          <w:szCs w:val="28"/>
          <w:lang w:eastAsia="ar-SA"/>
        </w:rPr>
        <w:lastRenderedPageBreak/>
        <w:t xml:space="preserve">щества специалистов критической медицины </w:t>
      </w:r>
      <w:r w:rsidRPr="00835CC4">
        <w:rPr>
          <w:rFonts w:cs="Calibri"/>
          <w:sz w:val="28"/>
          <w:szCs w:val="28"/>
          <w:lang w:val="en-US" w:eastAsia="ar-SA"/>
        </w:rPr>
        <w:t>ACCP</w:t>
      </w:r>
      <w:r>
        <w:rPr>
          <w:rFonts w:cs="Calibri"/>
          <w:sz w:val="28"/>
          <w:szCs w:val="28"/>
          <w:lang w:eastAsia="ar-SA"/>
        </w:rPr>
        <w:t xml:space="preserve">/SCCM, 1992 г. </w:t>
      </w:r>
      <w:r w:rsidRPr="002F4D23">
        <w:rPr>
          <w:rFonts w:cs="Calibri"/>
          <w:sz w:val="28"/>
          <w:szCs w:val="28"/>
          <w:lang w:eastAsia="ar-SA"/>
        </w:rPr>
        <w:t>(</w:t>
      </w:r>
      <w:r>
        <w:rPr>
          <w:rFonts w:cs="Calibri"/>
          <w:sz w:val="28"/>
          <w:szCs w:val="28"/>
          <w:lang w:eastAsia="ar-SA"/>
        </w:rPr>
        <w:t>Громов А.</w:t>
      </w:r>
      <w:r w:rsidRPr="00835CC4">
        <w:rPr>
          <w:rFonts w:cs="Calibri"/>
          <w:sz w:val="28"/>
          <w:szCs w:val="28"/>
          <w:lang w:eastAsia="ar-SA"/>
        </w:rPr>
        <w:t>Л., 2011; Харит</w:t>
      </w:r>
      <w:r>
        <w:rPr>
          <w:rFonts w:cs="Calibri"/>
          <w:sz w:val="28"/>
          <w:szCs w:val="28"/>
          <w:lang w:eastAsia="ar-SA"/>
        </w:rPr>
        <w:t>онов Ю.М., 2011; Bone R.C., 1992</w:t>
      </w:r>
      <w:r w:rsidRPr="002F4D23">
        <w:rPr>
          <w:rFonts w:cs="Calibri"/>
          <w:sz w:val="28"/>
          <w:szCs w:val="28"/>
          <w:lang w:eastAsia="ar-SA"/>
        </w:rPr>
        <w:t>)</w:t>
      </w:r>
      <w:r w:rsidRPr="00835CC4">
        <w:rPr>
          <w:rFonts w:cs="Calibri"/>
          <w:sz w:val="28"/>
          <w:szCs w:val="28"/>
          <w:lang w:eastAsia="ar-SA"/>
        </w:rPr>
        <w:t>, или критерии «Сепсис-1», основанные на определении синдрома системной воспалительной реакции (ССВР/</w:t>
      </w:r>
      <w:r w:rsidRPr="00835CC4">
        <w:rPr>
          <w:rFonts w:cs="Calibri"/>
          <w:sz w:val="28"/>
          <w:szCs w:val="28"/>
          <w:lang w:val="en-US" w:eastAsia="ar-SA"/>
        </w:rPr>
        <w:t>SIRS</w:t>
      </w:r>
      <w:r w:rsidRPr="00835CC4">
        <w:rPr>
          <w:rFonts w:cs="Calibri"/>
          <w:sz w:val="28"/>
          <w:szCs w:val="28"/>
          <w:lang w:eastAsia="ar-SA"/>
        </w:rPr>
        <w:t>). Сепсису соответствуют два или более положительных критерия ССВР, определяемых при наличии воспалительного очага.</w:t>
      </w:r>
    </w:p>
    <w:p w:rsidR="00286780" w:rsidRPr="00835CC4" w:rsidRDefault="00286780" w:rsidP="00835CC4">
      <w:pPr>
        <w:spacing w:line="360" w:lineRule="auto"/>
        <w:ind w:firstLine="709"/>
        <w:jc w:val="both"/>
        <w:rPr>
          <w:rFonts w:cs="Calibri"/>
          <w:sz w:val="28"/>
          <w:szCs w:val="28"/>
          <w:lang w:eastAsia="ar-SA"/>
        </w:rPr>
      </w:pPr>
      <w:r w:rsidRPr="00835CC4">
        <w:rPr>
          <w:rFonts w:cs="Calibri"/>
          <w:sz w:val="28"/>
          <w:szCs w:val="28"/>
          <w:lang w:eastAsia="ar-SA"/>
        </w:rPr>
        <w:t>В 2014 г. рабочая группа Европейского общества медицины критических состояний и Общества медицины критических состояний (</w:t>
      </w:r>
      <w:r w:rsidRPr="00835CC4">
        <w:rPr>
          <w:rFonts w:cs="Calibri"/>
          <w:sz w:val="28"/>
          <w:szCs w:val="28"/>
          <w:lang w:val="en-US" w:eastAsia="ar-SA"/>
        </w:rPr>
        <w:t>SCCM</w:t>
      </w:r>
      <w:r w:rsidRPr="00835CC4">
        <w:rPr>
          <w:rFonts w:cs="Calibri"/>
          <w:sz w:val="28"/>
          <w:szCs w:val="28"/>
          <w:lang w:eastAsia="ar-SA"/>
        </w:rPr>
        <w:t>/</w:t>
      </w:r>
      <w:r w:rsidRPr="00835CC4">
        <w:rPr>
          <w:rFonts w:cs="Calibri"/>
          <w:sz w:val="28"/>
          <w:szCs w:val="28"/>
          <w:lang w:val="en-US" w:eastAsia="ar-SA"/>
        </w:rPr>
        <w:t>ESICM</w:t>
      </w:r>
      <w:r w:rsidRPr="00835CC4">
        <w:rPr>
          <w:rFonts w:cs="Calibri"/>
          <w:sz w:val="28"/>
          <w:szCs w:val="28"/>
          <w:lang w:eastAsia="ar-SA"/>
        </w:rPr>
        <w:t xml:space="preserve">) разработала принципиально иной алгоритм диагностики сепсиса («Сепсис-3»), основанный на использовании системы оценки тяжести полиорганной недостаточности </w:t>
      </w:r>
      <w:r w:rsidRPr="00835CC4">
        <w:rPr>
          <w:rFonts w:cs="Calibri"/>
          <w:sz w:val="28"/>
          <w:szCs w:val="28"/>
          <w:lang w:val="en-US" w:eastAsia="ar-SA"/>
        </w:rPr>
        <w:t>SOFA</w:t>
      </w:r>
      <w:r w:rsidRPr="00835CC4">
        <w:rPr>
          <w:rFonts w:cs="Calibri"/>
          <w:sz w:val="28"/>
          <w:szCs w:val="28"/>
          <w:lang w:eastAsia="ar-SA"/>
        </w:rPr>
        <w:t xml:space="preserve">, и включающий применение дифференциально-диагностической шкалы </w:t>
      </w:r>
      <w:r w:rsidRPr="00835CC4">
        <w:rPr>
          <w:rFonts w:cs="Calibri"/>
          <w:sz w:val="28"/>
          <w:szCs w:val="28"/>
          <w:lang w:val="en-US" w:eastAsia="ar-SA"/>
        </w:rPr>
        <w:t>qSOFA</w:t>
      </w:r>
      <w:r w:rsidRPr="00835CC4">
        <w:rPr>
          <w:rFonts w:cs="Calibri"/>
          <w:sz w:val="28"/>
          <w:szCs w:val="28"/>
          <w:lang w:eastAsia="ar-SA"/>
        </w:rPr>
        <w:t xml:space="preserve"> в качестве </w:t>
      </w:r>
      <w:r>
        <w:rPr>
          <w:rFonts w:cs="Calibri"/>
          <w:sz w:val="28"/>
          <w:szCs w:val="28"/>
          <w:lang w:eastAsia="ar-SA"/>
        </w:rPr>
        <w:t xml:space="preserve">скринингового метода </w:t>
      </w:r>
      <w:r w:rsidRPr="002F4D23">
        <w:rPr>
          <w:rFonts w:cs="Calibri"/>
          <w:sz w:val="28"/>
          <w:szCs w:val="28"/>
          <w:lang w:eastAsia="ar-SA"/>
        </w:rPr>
        <w:t>(</w:t>
      </w:r>
      <w:r w:rsidRPr="00835CC4">
        <w:rPr>
          <w:sz w:val="28"/>
          <w:szCs w:val="28"/>
          <w:lang w:val="en-US" w:eastAsia="ar-SA"/>
        </w:rPr>
        <w:t>Singer</w:t>
      </w:r>
      <w:r>
        <w:rPr>
          <w:sz w:val="28"/>
          <w:szCs w:val="28"/>
          <w:lang w:eastAsia="ar-SA"/>
        </w:rPr>
        <w:t xml:space="preserve"> </w:t>
      </w:r>
      <w:r w:rsidRPr="00835CC4">
        <w:rPr>
          <w:sz w:val="28"/>
          <w:szCs w:val="28"/>
          <w:lang w:val="en-US" w:eastAsia="ar-SA"/>
        </w:rPr>
        <w:t>M</w:t>
      </w:r>
      <w:r w:rsidRPr="00835CC4">
        <w:rPr>
          <w:sz w:val="28"/>
          <w:szCs w:val="28"/>
          <w:lang w:eastAsia="ar-SA"/>
        </w:rPr>
        <w:t xml:space="preserve">. </w:t>
      </w:r>
      <w:r w:rsidRPr="00835CC4">
        <w:rPr>
          <w:sz w:val="28"/>
          <w:szCs w:val="28"/>
          <w:lang w:val="en-US" w:eastAsia="ar-SA"/>
        </w:rPr>
        <w:t>et</w:t>
      </w:r>
      <w:r>
        <w:rPr>
          <w:sz w:val="28"/>
          <w:szCs w:val="28"/>
          <w:lang w:eastAsia="ar-SA"/>
        </w:rPr>
        <w:t xml:space="preserve"> </w:t>
      </w:r>
      <w:r w:rsidRPr="00835CC4">
        <w:rPr>
          <w:sz w:val="28"/>
          <w:szCs w:val="28"/>
          <w:lang w:val="en-US" w:eastAsia="ar-SA"/>
        </w:rPr>
        <w:t>al</w:t>
      </w:r>
      <w:r w:rsidRPr="00835CC4">
        <w:rPr>
          <w:sz w:val="28"/>
          <w:szCs w:val="28"/>
          <w:lang w:eastAsia="ar-SA"/>
        </w:rPr>
        <w:t>., 2016</w:t>
      </w:r>
      <w:r w:rsidRPr="002F4D23">
        <w:rPr>
          <w:rFonts w:cs="Calibri"/>
          <w:sz w:val="28"/>
          <w:szCs w:val="28"/>
          <w:lang w:eastAsia="ar-SA"/>
        </w:rPr>
        <w:t>)</w:t>
      </w:r>
      <w:r w:rsidRPr="00835CC4">
        <w:rPr>
          <w:rFonts w:cs="Calibri"/>
          <w:sz w:val="28"/>
          <w:szCs w:val="28"/>
          <w:lang w:eastAsia="ar-SA"/>
        </w:rPr>
        <w:t xml:space="preserve">. Согласно данному алгоритму, сепсис может быть установлен при наличии двух или более баллов </w:t>
      </w:r>
      <w:r w:rsidRPr="00835CC4">
        <w:rPr>
          <w:rFonts w:cs="Calibri"/>
          <w:sz w:val="28"/>
          <w:szCs w:val="28"/>
          <w:lang w:val="en-US" w:eastAsia="ar-SA"/>
        </w:rPr>
        <w:t>SOFA</w:t>
      </w:r>
      <w:r w:rsidRPr="00835CC4">
        <w:rPr>
          <w:rFonts w:cs="Calibri"/>
          <w:sz w:val="28"/>
          <w:szCs w:val="28"/>
          <w:lang w:eastAsia="ar-SA"/>
        </w:rPr>
        <w:t xml:space="preserve">. Показаниями к использованию </w:t>
      </w:r>
      <w:r w:rsidRPr="00835CC4">
        <w:rPr>
          <w:rFonts w:cs="Calibri"/>
          <w:sz w:val="28"/>
          <w:szCs w:val="28"/>
          <w:lang w:val="en-US" w:eastAsia="ar-SA"/>
        </w:rPr>
        <w:t>SOFA</w:t>
      </w:r>
      <w:r w:rsidRPr="00835CC4">
        <w:rPr>
          <w:rFonts w:cs="Calibri"/>
          <w:sz w:val="28"/>
          <w:szCs w:val="28"/>
          <w:lang w:eastAsia="ar-SA"/>
        </w:rPr>
        <w:t xml:space="preserve"> у каждого конкретного пациента может быть диагностика высокой вероятности развития сепсиса, определяемое как два и более балла по шкале qSOFA, или сохранение «подозрения на сепсис» при нал</w:t>
      </w:r>
      <w:r>
        <w:rPr>
          <w:rFonts w:cs="Calibri"/>
          <w:sz w:val="28"/>
          <w:szCs w:val="28"/>
          <w:lang w:eastAsia="ar-SA"/>
        </w:rPr>
        <w:t xml:space="preserve">ичии количества баллов менее 2 </w:t>
      </w:r>
      <w:r w:rsidRPr="00142F56">
        <w:rPr>
          <w:rFonts w:cs="Calibri"/>
          <w:sz w:val="28"/>
          <w:szCs w:val="28"/>
          <w:lang w:eastAsia="ar-SA"/>
        </w:rPr>
        <w:t>(</w:t>
      </w:r>
      <w:r w:rsidRPr="00835CC4">
        <w:rPr>
          <w:rFonts w:cs="Calibri"/>
          <w:sz w:val="28"/>
          <w:szCs w:val="28"/>
          <w:lang w:eastAsia="ar-SA"/>
        </w:rPr>
        <w:t>Р</w:t>
      </w:r>
      <w:r>
        <w:rPr>
          <w:rFonts w:cs="Calibri"/>
          <w:sz w:val="28"/>
          <w:szCs w:val="28"/>
          <w:lang w:eastAsia="ar-SA"/>
        </w:rPr>
        <w:t>уднов В.А. и др., 2016</w:t>
      </w:r>
      <w:r w:rsidRPr="00142F56">
        <w:rPr>
          <w:rFonts w:cs="Calibri"/>
          <w:sz w:val="28"/>
          <w:szCs w:val="28"/>
          <w:lang w:eastAsia="ar-SA"/>
        </w:rPr>
        <w:t>)</w:t>
      </w:r>
      <w:r w:rsidRPr="00835CC4">
        <w:rPr>
          <w:rFonts w:cs="Calibri"/>
          <w:sz w:val="28"/>
          <w:szCs w:val="28"/>
          <w:lang w:eastAsia="ar-SA"/>
        </w:rPr>
        <w:t>.</w:t>
      </w:r>
    </w:p>
    <w:p w:rsidR="00286780" w:rsidRPr="00835CC4" w:rsidRDefault="00286780" w:rsidP="00835CC4">
      <w:pPr>
        <w:spacing w:line="360" w:lineRule="auto"/>
        <w:ind w:firstLine="709"/>
        <w:jc w:val="both"/>
        <w:rPr>
          <w:rFonts w:cs="Calibri"/>
          <w:sz w:val="28"/>
          <w:szCs w:val="28"/>
          <w:lang w:eastAsia="ar-SA"/>
        </w:rPr>
      </w:pPr>
      <w:r w:rsidRPr="00835CC4">
        <w:rPr>
          <w:rFonts w:cs="Calibri"/>
          <w:sz w:val="28"/>
          <w:szCs w:val="28"/>
          <w:lang w:eastAsia="ar-SA"/>
        </w:rPr>
        <w:t xml:space="preserve">Таким образом, сохранение «подозрения» на наличие сепсиса может являться показанием к дальнейшей оценки состояния органных систем пациента с тяжелым инфекционным процессом, в том числе при отсутствии достаточного количества баллов </w:t>
      </w:r>
      <w:r w:rsidRPr="00835CC4">
        <w:rPr>
          <w:rFonts w:cs="Calibri"/>
          <w:sz w:val="28"/>
          <w:szCs w:val="28"/>
          <w:lang w:val="en-US" w:eastAsia="ar-SA"/>
        </w:rPr>
        <w:t>qSOFA</w:t>
      </w:r>
      <w:r w:rsidRPr="00835CC4">
        <w:rPr>
          <w:rFonts w:cs="Calibri"/>
          <w:sz w:val="28"/>
          <w:szCs w:val="28"/>
          <w:lang w:eastAsia="ar-SA"/>
        </w:rPr>
        <w:t>. В то же время не разъясняется значение формулировки сохранение «подозрения» на сепсис, используемой в алгоритме «Сепсис-3», что может являться источником неоднозначных трактовок.</w:t>
      </w:r>
    </w:p>
    <w:p w:rsidR="00286780" w:rsidRPr="00835CC4" w:rsidRDefault="00286780" w:rsidP="00835CC4">
      <w:pPr>
        <w:spacing w:line="360" w:lineRule="auto"/>
        <w:ind w:firstLine="709"/>
        <w:jc w:val="both"/>
        <w:rPr>
          <w:rFonts w:cs="Calibri"/>
          <w:sz w:val="28"/>
          <w:szCs w:val="28"/>
          <w:lang w:eastAsia="ar-SA"/>
        </w:rPr>
      </w:pPr>
      <w:r w:rsidRPr="00835CC4">
        <w:rPr>
          <w:rFonts w:cs="Calibri"/>
          <w:sz w:val="28"/>
          <w:szCs w:val="28"/>
          <w:lang w:eastAsia="ar-SA"/>
        </w:rPr>
        <w:t xml:space="preserve">В доступной литературе также имеет место отечественный алгоритм диагностики одонтогенного сепсиса, не связанный с критериями «Сепсис-1» и «Сепсис-3», а основанный на определении ранних, промежуточных и поздних признаках острого </w:t>
      </w:r>
      <w:r>
        <w:rPr>
          <w:rFonts w:cs="Calibri"/>
          <w:sz w:val="28"/>
          <w:szCs w:val="28"/>
          <w:lang w:eastAsia="ar-SA"/>
        </w:rPr>
        <w:t xml:space="preserve">одонтогенного сепсиса </w:t>
      </w:r>
      <w:r w:rsidRPr="002F4D23">
        <w:rPr>
          <w:rFonts w:cs="Calibri"/>
          <w:sz w:val="28"/>
          <w:szCs w:val="28"/>
          <w:lang w:eastAsia="ar-SA"/>
        </w:rPr>
        <w:t>(</w:t>
      </w:r>
      <w:r>
        <w:rPr>
          <w:rFonts w:cs="Calibri"/>
          <w:sz w:val="28"/>
          <w:szCs w:val="28"/>
          <w:lang w:eastAsia="ar-SA"/>
        </w:rPr>
        <w:t>Губин М.А., 2003</w:t>
      </w:r>
      <w:r w:rsidRPr="002F4D23">
        <w:rPr>
          <w:rFonts w:cs="Calibri"/>
          <w:sz w:val="28"/>
          <w:szCs w:val="28"/>
          <w:lang w:eastAsia="ar-SA"/>
        </w:rPr>
        <w:t>)</w:t>
      </w:r>
      <w:r w:rsidRPr="00835CC4">
        <w:rPr>
          <w:rFonts w:cs="Calibri"/>
          <w:sz w:val="28"/>
          <w:szCs w:val="28"/>
          <w:lang w:eastAsia="ar-SA"/>
        </w:rPr>
        <w:t>. В частности, к ранним признакам одонтогенного сепсиса авторы относят фебрильную лихорадку в течение 3 суток, нарушение функции ЦНС (угнетение), наличие первичного гнойного очага, развитие септического шока, декомпенсированные нарушения гемокоагу</w:t>
      </w:r>
      <w:r w:rsidRPr="00835CC4">
        <w:rPr>
          <w:rFonts w:cs="Calibri"/>
          <w:sz w:val="28"/>
          <w:szCs w:val="28"/>
          <w:lang w:eastAsia="ar-SA"/>
        </w:rPr>
        <w:lastRenderedPageBreak/>
        <w:t>ляции, геморрагический синдром, некроз кожи и слизистых оболочек, ан</w:t>
      </w:r>
      <w:r>
        <w:rPr>
          <w:rFonts w:cs="Calibri"/>
          <w:sz w:val="28"/>
          <w:szCs w:val="28"/>
          <w:lang w:eastAsia="ar-SA"/>
        </w:rPr>
        <w:t xml:space="preserve">емию </w:t>
      </w:r>
      <w:r w:rsidRPr="00C82F8D">
        <w:rPr>
          <w:rFonts w:cs="Calibri"/>
          <w:sz w:val="28"/>
          <w:szCs w:val="28"/>
          <w:lang w:eastAsia="ar-SA"/>
        </w:rPr>
        <w:t>(</w:t>
      </w:r>
      <w:r>
        <w:rPr>
          <w:rFonts w:cs="Calibri"/>
          <w:sz w:val="28"/>
          <w:szCs w:val="28"/>
          <w:lang w:eastAsia="ar-SA"/>
        </w:rPr>
        <w:t>Губин М.А., Харитонов Ю.М., 2006</w:t>
      </w:r>
      <w:r w:rsidRPr="00C82F8D">
        <w:rPr>
          <w:rFonts w:cs="Calibri"/>
          <w:sz w:val="28"/>
          <w:szCs w:val="28"/>
          <w:lang w:eastAsia="ar-SA"/>
        </w:rPr>
        <w:t>)</w:t>
      </w:r>
      <w:r w:rsidRPr="00835CC4">
        <w:rPr>
          <w:rFonts w:cs="Calibri"/>
          <w:sz w:val="28"/>
          <w:szCs w:val="28"/>
          <w:lang w:eastAsia="ar-SA"/>
        </w:rPr>
        <w:t>.</w:t>
      </w:r>
    </w:p>
    <w:p w:rsidR="00286780" w:rsidRPr="00835CC4" w:rsidRDefault="00286780" w:rsidP="00835CC4">
      <w:pPr>
        <w:spacing w:line="360" w:lineRule="auto"/>
        <w:ind w:firstLine="709"/>
        <w:jc w:val="both"/>
        <w:rPr>
          <w:rFonts w:cs="Calibri"/>
          <w:sz w:val="28"/>
          <w:szCs w:val="28"/>
          <w:lang w:eastAsia="ar-SA"/>
        </w:rPr>
      </w:pPr>
      <w:r w:rsidRPr="00835CC4">
        <w:rPr>
          <w:rFonts w:cs="Calibri"/>
          <w:sz w:val="28"/>
          <w:szCs w:val="28"/>
          <w:lang w:eastAsia="ar-SA"/>
        </w:rPr>
        <w:t xml:space="preserve">В полном виде вышеобозначенные алгоритмы диагностики сепсиса, а </w:t>
      </w:r>
      <w:r>
        <w:rPr>
          <w:rFonts w:cs="Calibri"/>
          <w:sz w:val="28"/>
          <w:szCs w:val="28"/>
          <w:lang w:eastAsia="ar-SA"/>
        </w:rPr>
        <w:t>также</w:t>
      </w:r>
      <w:r w:rsidRPr="00835CC4">
        <w:rPr>
          <w:rFonts w:cs="Calibri"/>
          <w:sz w:val="28"/>
          <w:szCs w:val="28"/>
          <w:lang w:eastAsia="ar-SA"/>
        </w:rPr>
        <w:t xml:space="preserve"> возрастно-половые характеристики исследуемых групп, критерии включения и исключения, приведены в разделе «Материалы и методы» настоящего диссертационного исследования.</w:t>
      </w:r>
    </w:p>
    <w:p w:rsidR="00286780" w:rsidRPr="0088078B" w:rsidRDefault="00286780" w:rsidP="00835CC4">
      <w:pPr>
        <w:spacing w:line="360" w:lineRule="auto"/>
        <w:ind w:firstLine="709"/>
        <w:jc w:val="both"/>
        <w:rPr>
          <w:rFonts w:cs="Calibri"/>
          <w:spacing w:val="-4"/>
          <w:sz w:val="28"/>
          <w:szCs w:val="28"/>
          <w:lang w:eastAsia="ar-SA"/>
        </w:rPr>
      </w:pPr>
      <w:r w:rsidRPr="0088078B">
        <w:rPr>
          <w:rFonts w:cs="Calibri"/>
          <w:spacing w:val="-4"/>
          <w:sz w:val="28"/>
          <w:szCs w:val="28"/>
          <w:lang w:eastAsia="ar-SA"/>
        </w:rPr>
        <w:t>Характеристики показателей гомеостаза, наличие некротизирующего фасциита, целюллита, количество вовлеченных в острый воспалительный процесс клетчаточных пространств у пациентов исследуемых</w:t>
      </w:r>
      <w:r>
        <w:rPr>
          <w:rFonts w:cs="Calibri"/>
          <w:spacing w:val="-4"/>
          <w:sz w:val="28"/>
          <w:szCs w:val="28"/>
          <w:lang w:eastAsia="ar-SA"/>
        </w:rPr>
        <w:t xml:space="preserve"> групп представлены в Таблице 57</w:t>
      </w:r>
      <w:r w:rsidRPr="0088078B">
        <w:rPr>
          <w:rFonts w:cs="Calibri"/>
          <w:spacing w:val="-4"/>
          <w:sz w:val="28"/>
          <w:szCs w:val="28"/>
          <w:lang w:eastAsia="ar-SA"/>
        </w:rPr>
        <w:t>.</w:t>
      </w:r>
    </w:p>
    <w:p w:rsidR="00286780" w:rsidRPr="00835CC4" w:rsidRDefault="00286780" w:rsidP="00835CC4">
      <w:pPr>
        <w:jc w:val="both"/>
        <w:rPr>
          <w:rFonts w:cs="Calibri"/>
          <w:sz w:val="28"/>
          <w:szCs w:val="28"/>
          <w:lang w:eastAsia="ar-SA"/>
        </w:rPr>
      </w:pPr>
    </w:p>
    <w:p w:rsidR="00286780" w:rsidRPr="00835CC4" w:rsidRDefault="00286780" w:rsidP="00835CC4">
      <w:pPr>
        <w:spacing w:after="120"/>
        <w:jc w:val="both"/>
        <w:rPr>
          <w:sz w:val="28"/>
          <w:szCs w:val="28"/>
        </w:rPr>
      </w:pPr>
      <w:r w:rsidRPr="00835CC4">
        <w:rPr>
          <w:b/>
          <w:sz w:val="28"/>
          <w:szCs w:val="28"/>
        </w:rPr>
        <w:t>Таблица 5</w:t>
      </w:r>
      <w:r>
        <w:rPr>
          <w:b/>
          <w:sz w:val="28"/>
          <w:szCs w:val="28"/>
        </w:rPr>
        <w:t>7</w:t>
      </w:r>
      <w:r w:rsidRPr="00835CC4">
        <w:rPr>
          <w:sz w:val="28"/>
          <w:szCs w:val="28"/>
        </w:rPr>
        <w:t xml:space="preserve"> – Исходные характеристики исследуемых показателей</w:t>
      </w:r>
    </w:p>
    <w:tbl>
      <w:tblPr>
        <w:tblW w:w="9923" w:type="dxa"/>
        <w:tblLayout w:type="fixed"/>
        <w:tblLook w:val="0000" w:firstRow="0" w:lastRow="0" w:firstColumn="0" w:lastColumn="0" w:noHBand="0" w:noVBand="0"/>
      </w:tblPr>
      <w:tblGrid>
        <w:gridCol w:w="4139"/>
        <w:gridCol w:w="2410"/>
        <w:gridCol w:w="2268"/>
        <w:gridCol w:w="1106"/>
      </w:tblGrid>
      <w:tr w:rsidR="00286780" w:rsidRPr="00835CC4" w:rsidTr="00874414">
        <w:trPr>
          <w:trHeight w:val="454"/>
        </w:trPr>
        <w:tc>
          <w:tcPr>
            <w:tcW w:w="4139"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jc w:val="center"/>
              <w:rPr>
                <w:rFonts w:cs="Calibri"/>
                <w:i/>
                <w:sz w:val="24"/>
                <w:szCs w:val="24"/>
                <w:lang w:eastAsia="ar-SA"/>
              </w:rPr>
            </w:pPr>
            <w:r w:rsidRPr="00835CC4">
              <w:rPr>
                <w:rFonts w:cs="Calibri"/>
                <w:i/>
                <w:sz w:val="24"/>
                <w:szCs w:val="24"/>
                <w:lang w:eastAsia="ar-SA"/>
              </w:rPr>
              <w:t>Показатель</w:t>
            </w:r>
          </w:p>
        </w:tc>
        <w:tc>
          <w:tcPr>
            <w:tcW w:w="2410"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jc w:val="center"/>
              <w:rPr>
                <w:rFonts w:cs="Calibri"/>
                <w:i/>
                <w:sz w:val="24"/>
                <w:szCs w:val="24"/>
                <w:lang w:eastAsia="ar-SA"/>
              </w:rPr>
            </w:pPr>
            <w:r w:rsidRPr="00835CC4">
              <w:rPr>
                <w:rFonts w:cs="Calibri"/>
                <w:i/>
                <w:sz w:val="24"/>
                <w:szCs w:val="24"/>
                <w:lang w:eastAsia="ar-SA"/>
              </w:rPr>
              <w:t>Пациенты с ОС</w:t>
            </w:r>
            <w:r w:rsidRPr="00835CC4">
              <w:rPr>
                <w:rFonts w:cs="Calibri"/>
                <w:i/>
                <w:sz w:val="24"/>
                <w:szCs w:val="24"/>
                <w:lang w:eastAsia="ar-SA"/>
              </w:rPr>
              <w:br/>
              <w:t>(</w:t>
            </w:r>
            <w:r w:rsidRPr="00835CC4">
              <w:rPr>
                <w:rFonts w:cs="Calibri"/>
                <w:i/>
                <w:sz w:val="24"/>
                <w:szCs w:val="24"/>
                <w:lang w:val="en-US" w:eastAsia="ar-SA"/>
              </w:rPr>
              <w:t>n</w:t>
            </w:r>
            <w:r>
              <w:rPr>
                <w:rFonts w:cs="Calibri"/>
                <w:i/>
                <w:sz w:val="24"/>
                <w:szCs w:val="24"/>
                <w:lang w:eastAsia="ar-SA"/>
              </w:rPr>
              <w:t>=</w:t>
            </w:r>
            <w:r w:rsidRPr="00835CC4">
              <w:rPr>
                <w:rFonts w:cs="Calibri"/>
                <w:i/>
                <w:sz w:val="24"/>
                <w:szCs w:val="24"/>
                <w:lang w:eastAsia="ar-SA"/>
              </w:rPr>
              <w:t>40)</w:t>
            </w:r>
          </w:p>
        </w:tc>
        <w:tc>
          <w:tcPr>
            <w:tcW w:w="2268"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jc w:val="center"/>
              <w:rPr>
                <w:rFonts w:cs="Calibri"/>
                <w:i/>
                <w:sz w:val="24"/>
                <w:szCs w:val="24"/>
                <w:lang w:eastAsia="ar-SA"/>
              </w:rPr>
            </w:pPr>
            <w:r w:rsidRPr="00835CC4">
              <w:rPr>
                <w:rFonts w:cs="Calibri"/>
                <w:i/>
                <w:sz w:val="24"/>
                <w:szCs w:val="24"/>
                <w:lang w:eastAsia="ar-SA"/>
              </w:rPr>
              <w:t>Пациенты с МФОИ</w:t>
            </w:r>
            <w:r w:rsidRPr="00835CC4">
              <w:rPr>
                <w:rFonts w:cs="Calibri"/>
                <w:i/>
                <w:sz w:val="24"/>
                <w:szCs w:val="24"/>
                <w:lang w:eastAsia="ar-SA"/>
              </w:rPr>
              <w:br/>
              <w:t>(</w:t>
            </w:r>
            <w:r w:rsidRPr="00835CC4">
              <w:rPr>
                <w:rFonts w:cs="Calibri"/>
                <w:i/>
                <w:sz w:val="24"/>
                <w:szCs w:val="24"/>
                <w:lang w:val="en-US" w:eastAsia="ar-SA"/>
              </w:rPr>
              <w:t>n</w:t>
            </w:r>
            <w:r w:rsidRPr="00835CC4">
              <w:rPr>
                <w:rFonts w:cs="Calibri"/>
                <w:i/>
                <w:sz w:val="24"/>
                <w:szCs w:val="24"/>
                <w:lang w:eastAsia="ar-SA"/>
              </w:rPr>
              <w:t xml:space="preserve"> = 45)</w:t>
            </w:r>
          </w:p>
        </w:tc>
        <w:tc>
          <w:tcPr>
            <w:tcW w:w="110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35CC4" w:rsidRDefault="00B15368" w:rsidP="00835CC4">
            <w:pPr>
              <w:snapToGrid w:val="0"/>
              <w:jc w:val="center"/>
              <w:rPr>
                <w:rFonts w:cs="Calibri"/>
                <w:i/>
                <w:sz w:val="24"/>
                <w:szCs w:val="24"/>
                <w:lang w:eastAsia="ar-SA"/>
              </w:rPr>
            </w:pPr>
            <w:r w:rsidRPr="00835CC4">
              <w:rPr>
                <w:rFonts w:cs="Calibri"/>
                <w:i/>
                <w:sz w:val="24"/>
                <w:szCs w:val="24"/>
                <w:lang w:val="en-US" w:eastAsia="ar-SA"/>
              </w:rPr>
              <w:t>P</w:t>
            </w:r>
          </w:p>
        </w:tc>
      </w:tr>
      <w:tr w:rsidR="00286780" w:rsidRPr="00835CC4" w:rsidTr="00874414">
        <w:trPr>
          <w:trHeight w:val="454"/>
        </w:trPr>
        <w:tc>
          <w:tcPr>
            <w:tcW w:w="4139"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rPr>
                <w:rFonts w:cs="Calibri"/>
                <w:sz w:val="24"/>
                <w:szCs w:val="24"/>
                <w:lang w:eastAsia="ar-SA"/>
              </w:rPr>
            </w:pPr>
            <w:r w:rsidRPr="00835CC4">
              <w:rPr>
                <w:rFonts w:cs="Calibri"/>
                <w:sz w:val="24"/>
                <w:szCs w:val="24"/>
                <w:lang w:eastAsia="ar-SA"/>
              </w:rPr>
              <w:t xml:space="preserve">Количество вовлеченных клетчаточных пространств, </w:t>
            </w:r>
            <w:r w:rsidRPr="00835CC4">
              <w:rPr>
                <w:rFonts w:cs="Calibri"/>
                <w:sz w:val="24"/>
                <w:szCs w:val="24"/>
                <w:lang w:val="en-US" w:eastAsia="ar-SA"/>
              </w:rPr>
              <w:t>Me</w:t>
            </w:r>
            <w:r w:rsidRPr="00835CC4">
              <w:rPr>
                <w:rFonts w:cs="Calibri"/>
                <w:sz w:val="24"/>
                <w:szCs w:val="24"/>
                <w:lang w:eastAsia="ar-SA"/>
              </w:rPr>
              <w:t xml:space="preserve"> [</w:t>
            </w:r>
            <w:r w:rsidRPr="00835CC4">
              <w:rPr>
                <w:rFonts w:cs="Calibri"/>
                <w:sz w:val="24"/>
                <w:szCs w:val="24"/>
                <w:lang w:val="en-US" w:eastAsia="ar-SA"/>
              </w:rPr>
              <w:t>IQR</w:t>
            </w:r>
            <w:r w:rsidRPr="00835CC4">
              <w:rPr>
                <w:rFonts w:cs="Calibri"/>
                <w:sz w:val="24"/>
                <w:szCs w:val="24"/>
                <w:lang w:eastAsia="ar-SA"/>
              </w:rPr>
              <w:t>]</w:t>
            </w:r>
          </w:p>
        </w:tc>
        <w:tc>
          <w:tcPr>
            <w:tcW w:w="2410"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eastAsia="ar-SA"/>
              </w:rPr>
            </w:pPr>
            <w:r>
              <w:rPr>
                <w:rFonts w:cs="Calibri"/>
                <w:sz w:val="24"/>
                <w:szCs w:val="24"/>
                <w:lang w:eastAsia="ar-SA"/>
              </w:rPr>
              <w:t>5[4;</w:t>
            </w:r>
            <w:r w:rsidRPr="00835CC4">
              <w:rPr>
                <w:rFonts w:cs="Calibri"/>
                <w:sz w:val="24"/>
                <w:szCs w:val="24"/>
                <w:lang w:eastAsia="ar-SA"/>
              </w:rPr>
              <w:t>5,5]*</w:t>
            </w:r>
          </w:p>
        </w:tc>
        <w:tc>
          <w:tcPr>
            <w:tcW w:w="2268"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eastAsia="ar-SA"/>
              </w:rPr>
            </w:pPr>
            <w:r>
              <w:rPr>
                <w:rFonts w:cs="Calibri"/>
                <w:sz w:val="24"/>
                <w:szCs w:val="24"/>
                <w:lang w:eastAsia="ar-SA"/>
              </w:rPr>
              <w:t>1</w:t>
            </w:r>
            <w:r w:rsidRPr="00835CC4">
              <w:rPr>
                <w:rFonts w:cs="Calibri"/>
                <w:sz w:val="24"/>
                <w:szCs w:val="24"/>
                <w:lang w:eastAsia="ar-SA"/>
              </w:rPr>
              <w:t>[1; 2,5]</w:t>
            </w:r>
          </w:p>
        </w:tc>
        <w:tc>
          <w:tcPr>
            <w:tcW w:w="110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35CC4" w:rsidRDefault="00286780" w:rsidP="00835CC4">
            <w:pPr>
              <w:snapToGrid w:val="0"/>
              <w:jc w:val="center"/>
              <w:rPr>
                <w:rFonts w:cs="Calibri"/>
                <w:color w:val="000000"/>
                <w:sz w:val="24"/>
                <w:szCs w:val="24"/>
                <w:lang w:eastAsia="ar-SA"/>
              </w:rPr>
            </w:pPr>
            <w:r>
              <w:rPr>
                <w:rFonts w:cs="Calibri"/>
                <w:color w:val="000000"/>
                <w:sz w:val="24"/>
                <w:szCs w:val="24"/>
                <w:lang w:eastAsia="ar-SA"/>
              </w:rPr>
              <w:t>p&lt;</w:t>
            </w:r>
            <w:r w:rsidRPr="00835CC4">
              <w:rPr>
                <w:rFonts w:cs="Calibri"/>
                <w:color w:val="000000"/>
                <w:sz w:val="24"/>
                <w:szCs w:val="24"/>
                <w:lang w:eastAsia="ar-SA"/>
              </w:rPr>
              <w:t>0,001</w:t>
            </w:r>
          </w:p>
        </w:tc>
      </w:tr>
      <w:tr w:rsidR="00286780" w:rsidRPr="00835CC4" w:rsidTr="00874414">
        <w:trPr>
          <w:trHeight w:val="454"/>
        </w:trPr>
        <w:tc>
          <w:tcPr>
            <w:tcW w:w="4139"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rPr>
                <w:rFonts w:cs="Calibri"/>
                <w:sz w:val="24"/>
                <w:szCs w:val="24"/>
                <w:lang w:eastAsia="ar-SA"/>
              </w:rPr>
            </w:pPr>
            <w:r w:rsidRPr="00835CC4">
              <w:rPr>
                <w:rFonts w:cs="Calibri"/>
                <w:sz w:val="24"/>
                <w:szCs w:val="24"/>
                <w:lang w:eastAsia="ar-SA"/>
              </w:rPr>
              <w:t>Наличие некротизирующего компонента</w:t>
            </w:r>
            <w:r w:rsidRPr="00835CC4">
              <w:rPr>
                <w:rFonts w:cs="Calibri"/>
                <w:sz w:val="24"/>
                <w:szCs w:val="24"/>
                <w:lang w:val="en-US" w:eastAsia="ar-SA"/>
              </w:rPr>
              <w:t>,n(</w:t>
            </w:r>
            <w:r w:rsidRPr="00835CC4">
              <w:rPr>
                <w:rFonts w:cs="Calibri"/>
                <w:sz w:val="24"/>
                <w:szCs w:val="24"/>
                <w:lang w:eastAsia="ar-SA"/>
              </w:rPr>
              <w:t>%)</w:t>
            </w:r>
          </w:p>
        </w:tc>
        <w:tc>
          <w:tcPr>
            <w:tcW w:w="2410"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val="en-US" w:eastAsia="ar-SA"/>
              </w:rPr>
            </w:pPr>
            <w:r w:rsidRPr="00835CC4">
              <w:rPr>
                <w:rFonts w:cs="Calibri"/>
                <w:sz w:val="24"/>
                <w:szCs w:val="24"/>
                <w:lang w:val="en-US" w:eastAsia="ar-SA"/>
              </w:rPr>
              <w:t>35(87,5)*</w:t>
            </w:r>
          </w:p>
        </w:tc>
        <w:tc>
          <w:tcPr>
            <w:tcW w:w="2268"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val="en-US" w:eastAsia="ar-SA"/>
              </w:rPr>
            </w:pPr>
            <w:r>
              <w:rPr>
                <w:rFonts w:cs="Calibri"/>
                <w:sz w:val="24"/>
                <w:szCs w:val="24"/>
                <w:lang w:eastAsia="ar-SA"/>
              </w:rPr>
              <w:t>6</w:t>
            </w:r>
            <w:r w:rsidRPr="00835CC4">
              <w:rPr>
                <w:rFonts w:cs="Calibri"/>
                <w:sz w:val="24"/>
                <w:szCs w:val="24"/>
                <w:lang w:val="en-US" w:eastAsia="ar-SA"/>
              </w:rPr>
              <w:t>(13,3%)</w:t>
            </w:r>
          </w:p>
        </w:tc>
        <w:tc>
          <w:tcPr>
            <w:tcW w:w="110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val="en-US" w:eastAsia="ar-SA"/>
              </w:rPr>
            </w:pPr>
            <w:r w:rsidRPr="00835CC4">
              <w:rPr>
                <w:rFonts w:cs="Calibri"/>
                <w:sz w:val="24"/>
                <w:szCs w:val="24"/>
                <w:lang w:val="en-US" w:eastAsia="ar-SA"/>
              </w:rPr>
              <w:t>p</w:t>
            </w:r>
            <w:r>
              <w:rPr>
                <w:rFonts w:cs="Calibri"/>
                <w:sz w:val="24"/>
                <w:szCs w:val="24"/>
                <w:lang w:eastAsia="ar-SA"/>
              </w:rPr>
              <w:t>&lt;</w:t>
            </w:r>
            <w:r w:rsidRPr="00835CC4">
              <w:rPr>
                <w:rFonts w:cs="Calibri"/>
                <w:sz w:val="24"/>
                <w:szCs w:val="24"/>
                <w:lang w:eastAsia="ar-SA"/>
              </w:rPr>
              <w:t>0,0</w:t>
            </w:r>
            <w:r w:rsidRPr="00835CC4">
              <w:rPr>
                <w:rFonts w:cs="Calibri"/>
                <w:sz w:val="24"/>
                <w:szCs w:val="24"/>
                <w:lang w:val="en-US" w:eastAsia="ar-SA"/>
              </w:rPr>
              <w:t>5</w:t>
            </w:r>
          </w:p>
        </w:tc>
      </w:tr>
      <w:tr w:rsidR="00286780" w:rsidRPr="00835CC4" w:rsidTr="00874414">
        <w:trPr>
          <w:trHeight w:val="454"/>
        </w:trPr>
        <w:tc>
          <w:tcPr>
            <w:tcW w:w="4139"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rPr>
                <w:rFonts w:cs="Calibri"/>
                <w:sz w:val="24"/>
                <w:szCs w:val="24"/>
                <w:lang w:eastAsia="ar-SA"/>
              </w:rPr>
            </w:pPr>
            <w:r w:rsidRPr="00835CC4">
              <w:rPr>
                <w:rFonts w:cs="Calibri"/>
                <w:sz w:val="24"/>
                <w:szCs w:val="24"/>
                <w:lang w:eastAsia="ar-SA"/>
              </w:rPr>
              <w:t xml:space="preserve">Систолическое АД, мм рт. ст., </w:t>
            </w:r>
            <w:r w:rsidRPr="00835CC4">
              <w:rPr>
                <w:rFonts w:cs="Calibri"/>
                <w:sz w:val="24"/>
                <w:szCs w:val="24"/>
                <w:lang w:val="en-US" w:eastAsia="ar-SA"/>
              </w:rPr>
              <w:t>Me</w:t>
            </w:r>
            <w:r w:rsidRPr="00835CC4">
              <w:rPr>
                <w:rFonts w:cs="Calibri"/>
                <w:sz w:val="24"/>
                <w:szCs w:val="24"/>
                <w:lang w:eastAsia="ar-SA"/>
              </w:rPr>
              <w:t xml:space="preserve"> [</w:t>
            </w:r>
            <w:r w:rsidRPr="00835CC4">
              <w:rPr>
                <w:rFonts w:cs="Calibri"/>
                <w:sz w:val="24"/>
                <w:szCs w:val="24"/>
                <w:lang w:val="en-US" w:eastAsia="ar-SA"/>
              </w:rPr>
              <w:t>IQR</w:t>
            </w:r>
            <w:r w:rsidRPr="00835CC4">
              <w:rPr>
                <w:rFonts w:cs="Calibri"/>
                <w:sz w:val="24"/>
                <w:szCs w:val="24"/>
                <w:lang w:eastAsia="ar-SA"/>
              </w:rPr>
              <w:t>]</w:t>
            </w:r>
          </w:p>
        </w:tc>
        <w:tc>
          <w:tcPr>
            <w:tcW w:w="2410"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eastAsia="ar-SA"/>
              </w:rPr>
            </w:pPr>
            <w:r>
              <w:rPr>
                <w:rFonts w:cs="Calibri"/>
                <w:sz w:val="24"/>
                <w:szCs w:val="24"/>
                <w:lang w:eastAsia="ar-SA"/>
              </w:rPr>
              <w:t>120[90;</w:t>
            </w:r>
            <w:r w:rsidRPr="00835CC4">
              <w:rPr>
                <w:rFonts w:cs="Calibri"/>
                <w:sz w:val="24"/>
                <w:szCs w:val="24"/>
                <w:lang w:eastAsia="ar-SA"/>
              </w:rPr>
              <w:t>130]*</w:t>
            </w:r>
          </w:p>
        </w:tc>
        <w:tc>
          <w:tcPr>
            <w:tcW w:w="2268"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eastAsia="ar-SA"/>
              </w:rPr>
            </w:pPr>
            <w:r>
              <w:rPr>
                <w:rFonts w:cs="Calibri"/>
                <w:sz w:val="24"/>
                <w:szCs w:val="24"/>
                <w:lang w:eastAsia="ar-SA"/>
              </w:rPr>
              <w:t>130</w:t>
            </w:r>
            <w:r w:rsidRPr="00835CC4">
              <w:rPr>
                <w:rFonts w:cs="Calibri"/>
                <w:sz w:val="24"/>
                <w:szCs w:val="24"/>
                <w:lang w:eastAsia="ar-SA"/>
              </w:rPr>
              <w:t>[117,5; 147,5]</w:t>
            </w:r>
          </w:p>
        </w:tc>
        <w:tc>
          <w:tcPr>
            <w:tcW w:w="110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eastAsia="ar-SA"/>
              </w:rPr>
            </w:pPr>
            <w:r w:rsidRPr="00835CC4">
              <w:rPr>
                <w:rFonts w:cs="Calibri"/>
                <w:sz w:val="24"/>
                <w:szCs w:val="24"/>
                <w:lang w:val="en-US" w:eastAsia="ar-SA"/>
              </w:rPr>
              <w:t>p</w:t>
            </w:r>
            <w:r>
              <w:rPr>
                <w:rFonts w:cs="Calibri"/>
                <w:sz w:val="24"/>
                <w:szCs w:val="24"/>
                <w:lang w:eastAsia="ar-SA"/>
              </w:rPr>
              <w:t>&lt;</w:t>
            </w:r>
            <w:r w:rsidRPr="00835CC4">
              <w:rPr>
                <w:rFonts w:cs="Calibri"/>
                <w:sz w:val="24"/>
                <w:szCs w:val="24"/>
                <w:lang w:eastAsia="ar-SA"/>
              </w:rPr>
              <w:t>0,025</w:t>
            </w:r>
          </w:p>
        </w:tc>
      </w:tr>
      <w:tr w:rsidR="00286780" w:rsidRPr="00835CC4" w:rsidTr="00874414">
        <w:trPr>
          <w:trHeight w:val="454"/>
        </w:trPr>
        <w:tc>
          <w:tcPr>
            <w:tcW w:w="4139"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rPr>
                <w:rFonts w:cs="Calibri"/>
                <w:sz w:val="24"/>
                <w:szCs w:val="24"/>
                <w:lang w:eastAsia="ar-SA"/>
              </w:rPr>
            </w:pPr>
            <w:r w:rsidRPr="00835CC4">
              <w:rPr>
                <w:rFonts w:cs="Calibri"/>
                <w:sz w:val="24"/>
                <w:szCs w:val="24"/>
                <w:lang w:eastAsia="ar-SA"/>
              </w:rPr>
              <w:t xml:space="preserve">Среднее АД, мм рт. ст., </w:t>
            </w:r>
            <w:r w:rsidRPr="00835CC4">
              <w:rPr>
                <w:rFonts w:cs="Calibri"/>
                <w:sz w:val="24"/>
                <w:szCs w:val="24"/>
                <w:lang w:val="en-US" w:eastAsia="ar-SA"/>
              </w:rPr>
              <w:t>Me</w:t>
            </w:r>
            <w:r w:rsidRPr="00835CC4">
              <w:rPr>
                <w:rFonts w:cs="Calibri"/>
                <w:sz w:val="24"/>
                <w:szCs w:val="24"/>
                <w:lang w:eastAsia="ar-SA"/>
              </w:rPr>
              <w:t xml:space="preserve"> [</w:t>
            </w:r>
            <w:r w:rsidRPr="00835CC4">
              <w:rPr>
                <w:rFonts w:cs="Calibri"/>
                <w:sz w:val="24"/>
                <w:szCs w:val="24"/>
                <w:lang w:val="en-US" w:eastAsia="ar-SA"/>
              </w:rPr>
              <w:t>IQR</w:t>
            </w:r>
            <w:r w:rsidRPr="00835CC4">
              <w:rPr>
                <w:rFonts w:cs="Calibri"/>
                <w:sz w:val="24"/>
                <w:szCs w:val="24"/>
                <w:lang w:eastAsia="ar-SA"/>
              </w:rPr>
              <w:t>]</w:t>
            </w:r>
          </w:p>
        </w:tc>
        <w:tc>
          <w:tcPr>
            <w:tcW w:w="2410"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val="en-US" w:eastAsia="ar-SA"/>
              </w:rPr>
            </w:pPr>
            <w:r>
              <w:rPr>
                <w:rFonts w:cs="Calibri"/>
                <w:sz w:val="24"/>
                <w:szCs w:val="24"/>
                <w:lang w:eastAsia="ar-SA"/>
              </w:rPr>
              <w:t>96,8[74,7;</w:t>
            </w:r>
            <w:r w:rsidRPr="00835CC4">
              <w:rPr>
                <w:rFonts w:cs="Calibri"/>
                <w:sz w:val="24"/>
                <w:szCs w:val="24"/>
                <w:lang w:eastAsia="ar-SA"/>
              </w:rPr>
              <w:t>10</w:t>
            </w:r>
            <w:r w:rsidRPr="00835CC4">
              <w:rPr>
                <w:rFonts w:cs="Calibri"/>
                <w:sz w:val="24"/>
                <w:szCs w:val="24"/>
                <w:lang w:val="en-US" w:eastAsia="ar-SA"/>
              </w:rPr>
              <w:t>3,1]</w:t>
            </w:r>
          </w:p>
        </w:tc>
        <w:tc>
          <w:tcPr>
            <w:tcW w:w="2268"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val="en-US" w:eastAsia="ar-SA"/>
              </w:rPr>
            </w:pPr>
            <w:r>
              <w:rPr>
                <w:rFonts w:cs="Calibri"/>
                <w:sz w:val="24"/>
                <w:szCs w:val="24"/>
                <w:lang w:eastAsia="ar-SA"/>
              </w:rPr>
              <w:t>101</w:t>
            </w:r>
            <w:r w:rsidRPr="00835CC4">
              <w:rPr>
                <w:rFonts w:cs="Calibri"/>
                <w:sz w:val="24"/>
                <w:szCs w:val="24"/>
                <w:lang w:val="en-US" w:eastAsia="ar-SA"/>
              </w:rPr>
              <w:t>[96,8;111]</w:t>
            </w:r>
          </w:p>
        </w:tc>
        <w:tc>
          <w:tcPr>
            <w:tcW w:w="110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35CC4" w:rsidRDefault="00286780" w:rsidP="00835CC4">
            <w:pPr>
              <w:snapToGrid w:val="0"/>
              <w:jc w:val="center"/>
              <w:rPr>
                <w:rFonts w:cs="Calibri"/>
                <w:color w:val="000000"/>
                <w:sz w:val="24"/>
                <w:szCs w:val="24"/>
                <w:lang w:eastAsia="ar-SA"/>
              </w:rPr>
            </w:pPr>
            <w:r w:rsidRPr="00835CC4">
              <w:rPr>
                <w:rFonts w:cs="Calibri"/>
                <w:color w:val="000000"/>
                <w:sz w:val="24"/>
                <w:szCs w:val="24"/>
                <w:lang w:eastAsia="ar-SA"/>
              </w:rPr>
              <w:t>p</w:t>
            </w:r>
            <w:r>
              <w:rPr>
                <w:rFonts w:cs="Calibri"/>
                <w:color w:val="000000"/>
                <w:sz w:val="24"/>
                <w:szCs w:val="24"/>
                <w:lang w:eastAsia="ar-SA"/>
              </w:rPr>
              <w:t>&lt;</w:t>
            </w:r>
            <w:r w:rsidRPr="00835CC4">
              <w:rPr>
                <w:rFonts w:cs="Calibri"/>
                <w:color w:val="000000"/>
                <w:sz w:val="24"/>
                <w:szCs w:val="24"/>
                <w:lang w:eastAsia="ar-SA"/>
              </w:rPr>
              <w:t>0,10</w:t>
            </w:r>
          </w:p>
        </w:tc>
      </w:tr>
      <w:tr w:rsidR="00286780" w:rsidRPr="00835CC4" w:rsidTr="00874414">
        <w:trPr>
          <w:trHeight w:val="454"/>
        </w:trPr>
        <w:tc>
          <w:tcPr>
            <w:tcW w:w="4139"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rPr>
                <w:rFonts w:cs="Calibri"/>
                <w:sz w:val="24"/>
                <w:szCs w:val="24"/>
                <w:lang w:eastAsia="ar-SA"/>
              </w:rPr>
            </w:pPr>
            <w:r w:rsidRPr="00835CC4">
              <w:rPr>
                <w:rFonts w:cs="Calibri"/>
                <w:sz w:val="24"/>
                <w:szCs w:val="24"/>
                <w:lang w:eastAsia="ar-SA"/>
              </w:rPr>
              <w:t xml:space="preserve">ЧДД, в 1 мин., </w:t>
            </w:r>
            <w:r w:rsidRPr="00835CC4">
              <w:rPr>
                <w:rFonts w:cs="Calibri"/>
                <w:sz w:val="24"/>
                <w:szCs w:val="24"/>
                <w:lang w:val="en-US" w:eastAsia="ar-SA"/>
              </w:rPr>
              <w:t>Me</w:t>
            </w:r>
            <w:r w:rsidRPr="00835CC4">
              <w:rPr>
                <w:rFonts w:cs="Calibri"/>
                <w:sz w:val="24"/>
                <w:szCs w:val="24"/>
                <w:lang w:eastAsia="ar-SA"/>
              </w:rPr>
              <w:t xml:space="preserve"> [</w:t>
            </w:r>
            <w:r w:rsidRPr="00835CC4">
              <w:rPr>
                <w:rFonts w:cs="Calibri"/>
                <w:sz w:val="24"/>
                <w:szCs w:val="24"/>
                <w:lang w:val="en-US" w:eastAsia="ar-SA"/>
              </w:rPr>
              <w:t>IQR</w:t>
            </w:r>
            <w:r w:rsidRPr="00835CC4">
              <w:rPr>
                <w:rFonts w:cs="Calibri"/>
                <w:sz w:val="24"/>
                <w:szCs w:val="24"/>
                <w:lang w:eastAsia="ar-SA"/>
              </w:rPr>
              <w:t>]</w:t>
            </w:r>
          </w:p>
        </w:tc>
        <w:tc>
          <w:tcPr>
            <w:tcW w:w="2410"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val="en-US" w:eastAsia="ar-SA"/>
              </w:rPr>
            </w:pPr>
            <w:r w:rsidRPr="00835CC4">
              <w:rPr>
                <w:rFonts w:cs="Calibri"/>
                <w:sz w:val="24"/>
                <w:szCs w:val="24"/>
                <w:lang w:val="en-US" w:eastAsia="ar-SA"/>
              </w:rPr>
              <w:t>18[17;24]</w:t>
            </w:r>
          </w:p>
        </w:tc>
        <w:tc>
          <w:tcPr>
            <w:tcW w:w="2268"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val="en-US" w:eastAsia="ar-SA"/>
              </w:rPr>
            </w:pPr>
            <w:r w:rsidRPr="00835CC4">
              <w:rPr>
                <w:rFonts w:cs="Calibri"/>
                <w:sz w:val="24"/>
                <w:szCs w:val="24"/>
                <w:lang w:val="en-US" w:eastAsia="ar-SA"/>
              </w:rPr>
              <w:t>18[17;18]</w:t>
            </w:r>
          </w:p>
        </w:tc>
        <w:tc>
          <w:tcPr>
            <w:tcW w:w="110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val="en-US" w:eastAsia="ar-SA"/>
              </w:rPr>
            </w:pPr>
            <w:r w:rsidRPr="00835CC4">
              <w:rPr>
                <w:rFonts w:cs="Calibri"/>
                <w:sz w:val="24"/>
                <w:szCs w:val="24"/>
                <w:lang w:val="en-US" w:eastAsia="ar-SA"/>
              </w:rPr>
              <w:t>p=</w:t>
            </w:r>
            <w:r w:rsidRPr="00835CC4">
              <w:rPr>
                <w:rFonts w:cs="Calibri"/>
                <w:sz w:val="24"/>
                <w:szCs w:val="24"/>
                <w:lang w:eastAsia="ar-SA"/>
              </w:rPr>
              <w:t>0,</w:t>
            </w:r>
            <w:r w:rsidRPr="00835CC4">
              <w:rPr>
                <w:rFonts w:cs="Calibri"/>
                <w:sz w:val="24"/>
                <w:szCs w:val="24"/>
                <w:lang w:val="en-US" w:eastAsia="ar-SA"/>
              </w:rPr>
              <w:t>134</w:t>
            </w:r>
          </w:p>
        </w:tc>
      </w:tr>
      <w:tr w:rsidR="00286780" w:rsidRPr="00835CC4" w:rsidTr="00874414">
        <w:trPr>
          <w:trHeight w:val="454"/>
        </w:trPr>
        <w:tc>
          <w:tcPr>
            <w:tcW w:w="4139"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rPr>
                <w:rFonts w:cs="Calibri"/>
                <w:sz w:val="24"/>
                <w:szCs w:val="24"/>
                <w:lang w:eastAsia="ar-SA"/>
              </w:rPr>
            </w:pPr>
            <w:r w:rsidRPr="00835CC4">
              <w:rPr>
                <w:rFonts w:cs="Calibri"/>
                <w:sz w:val="24"/>
                <w:szCs w:val="24"/>
                <w:lang w:eastAsia="ar-SA"/>
              </w:rPr>
              <w:t xml:space="preserve">ЧСС, в 1 мин., </w:t>
            </w:r>
            <w:r w:rsidRPr="00835CC4">
              <w:rPr>
                <w:rFonts w:cs="Calibri"/>
                <w:sz w:val="24"/>
                <w:szCs w:val="24"/>
                <w:lang w:val="en-US" w:eastAsia="ar-SA"/>
              </w:rPr>
              <w:t>Me</w:t>
            </w:r>
            <w:r w:rsidRPr="00835CC4">
              <w:rPr>
                <w:rFonts w:cs="Calibri"/>
                <w:sz w:val="24"/>
                <w:szCs w:val="24"/>
                <w:lang w:eastAsia="ar-SA"/>
              </w:rPr>
              <w:t xml:space="preserve"> [</w:t>
            </w:r>
            <w:r w:rsidRPr="00835CC4">
              <w:rPr>
                <w:rFonts w:cs="Calibri"/>
                <w:sz w:val="24"/>
                <w:szCs w:val="24"/>
                <w:lang w:val="en-US" w:eastAsia="ar-SA"/>
              </w:rPr>
              <w:t>IQR</w:t>
            </w:r>
            <w:r w:rsidRPr="00835CC4">
              <w:rPr>
                <w:rFonts w:cs="Calibri"/>
                <w:sz w:val="24"/>
                <w:szCs w:val="24"/>
                <w:lang w:eastAsia="ar-SA"/>
              </w:rPr>
              <w:t>]</w:t>
            </w:r>
          </w:p>
        </w:tc>
        <w:tc>
          <w:tcPr>
            <w:tcW w:w="2410"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val="en-US" w:eastAsia="ar-SA"/>
              </w:rPr>
            </w:pPr>
            <w:r w:rsidRPr="00835CC4">
              <w:rPr>
                <w:rFonts w:cs="Calibri"/>
                <w:sz w:val="24"/>
                <w:szCs w:val="24"/>
                <w:lang w:val="en-US" w:eastAsia="ar-SA"/>
              </w:rPr>
              <w:t>105[96;120]*</w:t>
            </w:r>
          </w:p>
        </w:tc>
        <w:tc>
          <w:tcPr>
            <w:tcW w:w="2268"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val="en-US" w:eastAsia="ar-SA"/>
              </w:rPr>
            </w:pPr>
            <w:r w:rsidRPr="00835CC4">
              <w:rPr>
                <w:rFonts w:cs="Calibri"/>
                <w:sz w:val="24"/>
                <w:szCs w:val="24"/>
                <w:lang w:val="en-US" w:eastAsia="ar-SA"/>
              </w:rPr>
              <w:t>80[76;90]</w:t>
            </w:r>
          </w:p>
        </w:tc>
        <w:tc>
          <w:tcPr>
            <w:tcW w:w="110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val="en-US" w:eastAsia="ar-SA"/>
              </w:rPr>
            </w:pPr>
            <w:r w:rsidRPr="00835CC4">
              <w:rPr>
                <w:rFonts w:cs="Calibri"/>
                <w:sz w:val="24"/>
                <w:szCs w:val="24"/>
                <w:lang w:val="en-US" w:eastAsia="ar-SA"/>
              </w:rPr>
              <w:t>p&lt;</w:t>
            </w:r>
            <w:r w:rsidRPr="00835CC4">
              <w:rPr>
                <w:rFonts w:cs="Calibri"/>
                <w:sz w:val="24"/>
                <w:szCs w:val="24"/>
                <w:lang w:eastAsia="ar-SA"/>
              </w:rPr>
              <w:t>0,</w:t>
            </w:r>
            <w:r w:rsidRPr="00835CC4">
              <w:rPr>
                <w:rFonts w:cs="Calibri"/>
                <w:sz w:val="24"/>
                <w:szCs w:val="24"/>
                <w:lang w:val="en-US" w:eastAsia="ar-SA"/>
              </w:rPr>
              <w:t>001</w:t>
            </w:r>
          </w:p>
        </w:tc>
      </w:tr>
      <w:tr w:rsidR="00286780" w:rsidRPr="00835CC4" w:rsidTr="00874414">
        <w:trPr>
          <w:trHeight w:val="454"/>
        </w:trPr>
        <w:tc>
          <w:tcPr>
            <w:tcW w:w="4139"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rPr>
                <w:rFonts w:cs="Calibri"/>
                <w:sz w:val="24"/>
                <w:szCs w:val="24"/>
                <w:lang w:eastAsia="ar-SA"/>
              </w:rPr>
            </w:pPr>
            <w:r w:rsidRPr="00835CC4">
              <w:rPr>
                <w:rFonts w:cs="Calibri"/>
                <w:sz w:val="24"/>
                <w:szCs w:val="24"/>
                <w:lang w:eastAsia="ar-SA"/>
              </w:rPr>
              <w:t xml:space="preserve">Температура тела (ºС), </w:t>
            </w:r>
            <w:r w:rsidRPr="00835CC4">
              <w:rPr>
                <w:rFonts w:cs="Calibri"/>
                <w:sz w:val="24"/>
                <w:szCs w:val="24"/>
                <w:lang w:val="en-US" w:eastAsia="ar-SA"/>
              </w:rPr>
              <w:t>Me</w:t>
            </w:r>
            <w:r w:rsidRPr="00835CC4">
              <w:rPr>
                <w:rFonts w:cs="Calibri"/>
                <w:sz w:val="24"/>
                <w:szCs w:val="24"/>
                <w:lang w:eastAsia="ar-SA"/>
              </w:rPr>
              <w:t xml:space="preserve"> [</w:t>
            </w:r>
            <w:r w:rsidRPr="00835CC4">
              <w:rPr>
                <w:rFonts w:cs="Calibri"/>
                <w:sz w:val="24"/>
                <w:szCs w:val="24"/>
                <w:lang w:val="en-US" w:eastAsia="ar-SA"/>
              </w:rPr>
              <w:t>IQR</w:t>
            </w:r>
            <w:r w:rsidRPr="00835CC4">
              <w:rPr>
                <w:rFonts w:cs="Calibri"/>
                <w:sz w:val="24"/>
                <w:szCs w:val="24"/>
                <w:lang w:eastAsia="ar-SA"/>
              </w:rPr>
              <w:t>]</w:t>
            </w:r>
          </w:p>
        </w:tc>
        <w:tc>
          <w:tcPr>
            <w:tcW w:w="2410"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val="en-US" w:eastAsia="ar-SA"/>
              </w:rPr>
            </w:pPr>
            <w:r>
              <w:rPr>
                <w:rFonts w:cs="Calibri"/>
                <w:sz w:val="24"/>
                <w:szCs w:val="24"/>
                <w:lang w:eastAsia="ar-SA"/>
              </w:rPr>
              <w:t>37,6</w:t>
            </w:r>
            <w:r w:rsidRPr="00835CC4">
              <w:rPr>
                <w:rFonts w:cs="Calibri"/>
                <w:sz w:val="24"/>
                <w:szCs w:val="24"/>
                <w:lang w:val="en-US" w:eastAsia="ar-SA"/>
              </w:rPr>
              <w:t>[</w:t>
            </w:r>
            <w:r>
              <w:rPr>
                <w:rFonts w:cs="Calibri"/>
                <w:sz w:val="24"/>
                <w:szCs w:val="24"/>
                <w:lang w:eastAsia="ar-SA"/>
              </w:rPr>
              <w:t>36,9;</w:t>
            </w:r>
            <w:r w:rsidRPr="00835CC4">
              <w:rPr>
                <w:rFonts w:cs="Calibri"/>
                <w:sz w:val="24"/>
                <w:szCs w:val="24"/>
                <w:lang w:eastAsia="ar-SA"/>
              </w:rPr>
              <w:t>38,3</w:t>
            </w:r>
            <w:r w:rsidRPr="00835CC4">
              <w:rPr>
                <w:rFonts w:cs="Calibri"/>
                <w:sz w:val="24"/>
                <w:szCs w:val="24"/>
                <w:lang w:val="en-US" w:eastAsia="ar-SA"/>
              </w:rPr>
              <w:t>]</w:t>
            </w:r>
          </w:p>
        </w:tc>
        <w:tc>
          <w:tcPr>
            <w:tcW w:w="2268"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eastAsia="ar-SA"/>
              </w:rPr>
            </w:pPr>
            <w:r>
              <w:rPr>
                <w:rFonts w:cs="Calibri"/>
                <w:sz w:val="24"/>
                <w:szCs w:val="24"/>
                <w:lang w:eastAsia="ar-SA"/>
              </w:rPr>
              <w:t>37,4</w:t>
            </w:r>
            <w:r w:rsidRPr="00835CC4">
              <w:rPr>
                <w:rFonts w:cs="Calibri"/>
                <w:sz w:val="24"/>
                <w:szCs w:val="24"/>
                <w:lang w:eastAsia="ar-SA"/>
              </w:rPr>
              <w:t>[36,8; 37,8]</w:t>
            </w:r>
          </w:p>
        </w:tc>
        <w:tc>
          <w:tcPr>
            <w:tcW w:w="110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35CC4" w:rsidRDefault="00286780" w:rsidP="00835CC4">
            <w:pPr>
              <w:snapToGrid w:val="0"/>
              <w:jc w:val="center"/>
              <w:rPr>
                <w:rFonts w:cs="Calibri"/>
                <w:color w:val="000000"/>
                <w:sz w:val="24"/>
                <w:szCs w:val="24"/>
                <w:lang w:eastAsia="ar-SA"/>
              </w:rPr>
            </w:pPr>
            <w:r>
              <w:rPr>
                <w:rFonts w:cs="Calibri"/>
                <w:color w:val="000000"/>
                <w:sz w:val="24"/>
                <w:szCs w:val="24"/>
                <w:lang w:eastAsia="ar-SA"/>
              </w:rPr>
              <w:t>p&gt;</w:t>
            </w:r>
            <w:r w:rsidRPr="00835CC4">
              <w:rPr>
                <w:rFonts w:cs="Calibri"/>
                <w:color w:val="000000"/>
                <w:sz w:val="24"/>
                <w:szCs w:val="24"/>
                <w:lang w:eastAsia="ar-SA"/>
              </w:rPr>
              <w:t>0,05</w:t>
            </w:r>
          </w:p>
        </w:tc>
      </w:tr>
      <w:tr w:rsidR="00286780" w:rsidRPr="00835CC4" w:rsidTr="00874414">
        <w:trPr>
          <w:trHeight w:val="454"/>
        </w:trPr>
        <w:tc>
          <w:tcPr>
            <w:tcW w:w="4139"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rPr>
                <w:rFonts w:cs="Calibri"/>
                <w:sz w:val="24"/>
                <w:szCs w:val="24"/>
                <w:lang w:eastAsia="ar-SA"/>
              </w:rPr>
            </w:pPr>
            <w:r w:rsidRPr="00835CC4">
              <w:rPr>
                <w:rFonts w:cs="Calibri"/>
                <w:sz w:val="24"/>
                <w:szCs w:val="24"/>
                <w:lang w:eastAsia="ar-SA"/>
              </w:rPr>
              <w:t xml:space="preserve">Количество баллов по ШКГ &lt; 15, </w:t>
            </w:r>
            <w:r w:rsidRPr="00835CC4">
              <w:rPr>
                <w:rFonts w:cs="Calibri"/>
                <w:sz w:val="24"/>
                <w:szCs w:val="24"/>
                <w:lang w:val="en-US" w:eastAsia="ar-SA"/>
              </w:rPr>
              <w:t>n</w:t>
            </w:r>
            <w:r w:rsidRPr="00835CC4">
              <w:rPr>
                <w:rFonts w:cs="Calibri"/>
                <w:sz w:val="24"/>
                <w:szCs w:val="24"/>
                <w:lang w:eastAsia="ar-SA"/>
              </w:rPr>
              <w:t xml:space="preserve"> (%)</w:t>
            </w:r>
          </w:p>
        </w:tc>
        <w:tc>
          <w:tcPr>
            <w:tcW w:w="2410"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val="en-US" w:eastAsia="ar-SA"/>
              </w:rPr>
            </w:pPr>
            <w:r w:rsidRPr="00835CC4">
              <w:rPr>
                <w:rFonts w:cs="Calibri"/>
                <w:sz w:val="24"/>
                <w:szCs w:val="24"/>
                <w:lang w:val="en-US" w:eastAsia="ar-SA"/>
              </w:rPr>
              <w:t>1(2,5%)</w:t>
            </w:r>
          </w:p>
        </w:tc>
        <w:tc>
          <w:tcPr>
            <w:tcW w:w="2268"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eastAsia="ar-SA"/>
              </w:rPr>
            </w:pPr>
            <w:r w:rsidRPr="00835CC4">
              <w:rPr>
                <w:rFonts w:cs="Calibri"/>
                <w:sz w:val="24"/>
                <w:szCs w:val="24"/>
                <w:lang w:eastAsia="ar-SA"/>
              </w:rPr>
              <w:t>0 (0%)</w:t>
            </w:r>
          </w:p>
        </w:tc>
        <w:tc>
          <w:tcPr>
            <w:tcW w:w="110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35CC4" w:rsidRDefault="00286780" w:rsidP="00835CC4">
            <w:pPr>
              <w:snapToGrid w:val="0"/>
              <w:jc w:val="center"/>
              <w:rPr>
                <w:rFonts w:cs="Calibri"/>
                <w:color w:val="000000"/>
                <w:sz w:val="24"/>
                <w:szCs w:val="24"/>
                <w:lang w:eastAsia="ar-SA"/>
              </w:rPr>
            </w:pPr>
            <w:r>
              <w:rPr>
                <w:rFonts w:cs="Calibri"/>
                <w:color w:val="000000"/>
                <w:sz w:val="24"/>
                <w:szCs w:val="24"/>
                <w:lang w:eastAsia="ar-SA"/>
              </w:rPr>
              <w:t>p&gt;</w:t>
            </w:r>
            <w:r w:rsidRPr="00835CC4">
              <w:rPr>
                <w:rFonts w:cs="Calibri"/>
                <w:color w:val="000000"/>
                <w:sz w:val="24"/>
                <w:szCs w:val="24"/>
                <w:lang w:eastAsia="ar-SA"/>
              </w:rPr>
              <w:t>0,05</w:t>
            </w:r>
          </w:p>
        </w:tc>
      </w:tr>
      <w:tr w:rsidR="00286780" w:rsidRPr="00835CC4" w:rsidTr="00874414">
        <w:trPr>
          <w:trHeight w:val="454"/>
        </w:trPr>
        <w:tc>
          <w:tcPr>
            <w:tcW w:w="4139"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rPr>
                <w:rFonts w:cs="Calibri"/>
                <w:sz w:val="24"/>
                <w:szCs w:val="24"/>
                <w:lang w:eastAsia="ar-SA"/>
              </w:rPr>
            </w:pPr>
            <w:r w:rsidRPr="00835CC4">
              <w:rPr>
                <w:rFonts w:cs="Calibri"/>
                <w:sz w:val="24"/>
                <w:szCs w:val="24"/>
                <w:lang w:eastAsia="ar-SA"/>
              </w:rPr>
              <w:t>Количество лейкоцитов крови, ×10</w:t>
            </w:r>
            <w:r w:rsidRPr="00835CC4">
              <w:rPr>
                <w:rFonts w:cs="Calibri"/>
                <w:sz w:val="24"/>
                <w:szCs w:val="24"/>
                <w:vertAlign w:val="superscript"/>
                <w:lang w:eastAsia="ar-SA"/>
              </w:rPr>
              <w:t>12</w:t>
            </w:r>
            <w:r w:rsidRPr="00835CC4">
              <w:rPr>
                <w:rFonts w:cs="Calibri"/>
                <w:sz w:val="24"/>
                <w:szCs w:val="24"/>
                <w:lang w:eastAsia="ar-SA"/>
              </w:rPr>
              <w:t xml:space="preserve">/л, </w:t>
            </w:r>
            <w:r w:rsidRPr="00835CC4">
              <w:rPr>
                <w:rFonts w:cs="Calibri"/>
                <w:sz w:val="24"/>
                <w:szCs w:val="24"/>
                <w:lang w:val="en-US" w:eastAsia="ar-SA"/>
              </w:rPr>
              <w:t>Me</w:t>
            </w:r>
            <w:r w:rsidRPr="00835CC4">
              <w:rPr>
                <w:rFonts w:cs="Calibri"/>
                <w:sz w:val="24"/>
                <w:szCs w:val="24"/>
                <w:lang w:eastAsia="ar-SA"/>
              </w:rPr>
              <w:t xml:space="preserve"> [</w:t>
            </w:r>
            <w:r w:rsidRPr="00835CC4">
              <w:rPr>
                <w:rFonts w:cs="Calibri"/>
                <w:sz w:val="24"/>
                <w:szCs w:val="24"/>
                <w:lang w:val="en-US" w:eastAsia="ar-SA"/>
              </w:rPr>
              <w:t>IQR</w:t>
            </w:r>
            <w:r w:rsidRPr="00835CC4">
              <w:rPr>
                <w:rFonts w:cs="Calibri"/>
                <w:sz w:val="24"/>
                <w:szCs w:val="24"/>
                <w:lang w:eastAsia="ar-SA"/>
              </w:rPr>
              <w:t>]</w:t>
            </w:r>
          </w:p>
        </w:tc>
        <w:tc>
          <w:tcPr>
            <w:tcW w:w="2410"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eastAsia="ar-SA"/>
              </w:rPr>
            </w:pPr>
            <w:r>
              <w:rPr>
                <w:rFonts w:cs="Calibri"/>
                <w:sz w:val="24"/>
                <w:szCs w:val="24"/>
                <w:lang w:eastAsia="ar-SA"/>
              </w:rPr>
              <w:t>18,2[13,1;</w:t>
            </w:r>
            <w:r w:rsidRPr="00835CC4">
              <w:rPr>
                <w:rFonts w:cs="Calibri"/>
                <w:sz w:val="24"/>
                <w:szCs w:val="24"/>
                <w:lang w:eastAsia="ar-SA"/>
              </w:rPr>
              <w:t>27,</w:t>
            </w:r>
            <w:r w:rsidRPr="00835CC4">
              <w:rPr>
                <w:rFonts w:cs="Calibri"/>
                <w:sz w:val="24"/>
                <w:szCs w:val="24"/>
                <w:lang w:val="en-US" w:eastAsia="ar-SA"/>
              </w:rPr>
              <w:t>6]</w:t>
            </w:r>
            <w:r w:rsidRPr="00835CC4">
              <w:rPr>
                <w:rFonts w:cs="Calibri"/>
                <w:sz w:val="24"/>
                <w:szCs w:val="24"/>
                <w:lang w:eastAsia="ar-SA"/>
              </w:rPr>
              <w:t>*</w:t>
            </w:r>
          </w:p>
        </w:tc>
        <w:tc>
          <w:tcPr>
            <w:tcW w:w="2268"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val="en-US" w:eastAsia="ar-SA"/>
              </w:rPr>
            </w:pPr>
            <w:r w:rsidRPr="00835CC4">
              <w:rPr>
                <w:rFonts w:cs="Calibri"/>
                <w:sz w:val="24"/>
                <w:szCs w:val="24"/>
                <w:lang w:val="en-US" w:eastAsia="ar-SA"/>
              </w:rPr>
              <w:t>11,5[8,4;14,6]</w:t>
            </w:r>
          </w:p>
        </w:tc>
        <w:tc>
          <w:tcPr>
            <w:tcW w:w="110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val="en-US" w:eastAsia="ar-SA"/>
              </w:rPr>
            </w:pPr>
            <w:r w:rsidRPr="00835CC4">
              <w:rPr>
                <w:rFonts w:cs="Calibri"/>
                <w:sz w:val="24"/>
                <w:szCs w:val="24"/>
                <w:lang w:val="en-US" w:eastAsia="ar-SA"/>
              </w:rPr>
              <w:t>p&lt;</w:t>
            </w:r>
            <w:r w:rsidRPr="00835CC4">
              <w:rPr>
                <w:rFonts w:cs="Calibri"/>
                <w:sz w:val="24"/>
                <w:szCs w:val="24"/>
                <w:lang w:eastAsia="ar-SA"/>
              </w:rPr>
              <w:t>0,</w:t>
            </w:r>
            <w:r w:rsidRPr="00835CC4">
              <w:rPr>
                <w:rFonts w:cs="Calibri"/>
                <w:sz w:val="24"/>
                <w:szCs w:val="24"/>
                <w:lang w:val="en-US" w:eastAsia="ar-SA"/>
              </w:rPr>
              <w:t>001</w:t>
            </w:r>
          </w:p>
        </w:tc>
      </w:tr>
      <w:tr w:rsidR="00286780" w:rsidRPr="00835CC4" w:rsidTr="00874414">
        <w:trPr>
          <w:trHeight w:val="454"/>
        </w:trPr>
        <w:tc>
          <w:tcPr>
            <w:tcW w:w="4139"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rPr>
                <w:rFonts w:cs="Calibri"/>
                <w:sz w:val="24"/>
                <w:szCs w:val="24"/>
                <w:lang w:eastAsia="ar-SA"/>
              </w:rPr>
            </w:pPr>
            <w:r w:rsidRPr="00835CC4">
              <w:rPr>
                <w:rFonts w:cs="Calibri"/>
                <w:sz w:val="24"/>
                <w:szCs w:val="24"/>
                <w:lang w:val="en-US" w:eastAsia="ar-SA"/>
              </w:rPr>
              <w:t>PaO</w:t>
            </w:r>
            <w:r w:rsidRPr="00835CC4">
              <w:rPr>
                <w:rFonts w:cs="Calibri"/>
                <w:sz w:val="24"/>
                <w:szCs w:val="24"/>
                <w:vertAlign w:val="subscript"/>
                <w:lang w:val="en-US" w:eastAsia="ar-SA"/>
              </w:rPr>
              <w:t>2</w:t>
            </w:r>
            <w:r w:rsidRPr="00835CC4">
              <w:rPr>
                <w:rFonts w:cs="Calibri"/>
                <w:sz w:val="24"/>
                <w:szCs w:val="24"/>
                <w:lang w:val="en-US" w:eastAsia="ar-SA"/>
              </w:rPr>
              <w:t>/FiO</w:t>
            </w:r>
            <w:r w:rsidRPr="00835CC4">
              <w:rPr>
                <w:rFonts w:cs="Calibri"/>
                <w:sz w:val="24"/>
                <w:szCs w:val="24"/>
                <w:vertAlign w:val="subscript"/>
                <w:lang w:val="en-US" w:eastAsia="ar-SA"/>
              </w:rPr>
              <w:t>2</w:t>
            </w:r>
            <w:r w:rsidRPr="00835CC4">
              <w:rPr>
                <w:rFonts w:cs="Calibri"/>
                <w:sz w:val="24"/>
                <w:szCs w:val="24"/>
                <w:lang w:val="en-US" w:eastAsia="ar-SA"/>
              </w:rPr>
              <w:t>, Me</w:t>
            </w:r>
            <w:r w:rsidRPr="00835CC4">
              <w:rPr>
                <w:rFonts w:cs="Calibri"/>
                <w:sz w:val="24"/>
                <w:szCs w:val="24"/>
                <w:lang w:eastAsia="ar-SA"/>
              </w:rPr>
              <w:t xml:space="preserve"> [</w:t>
            </w:r>
            <w:r w:rsidRPr="00835CC4">
              <w:rPr>
                <w:rFonts w:cs="Calibri"/>
                <w:sz w:val="24"/>
                <w:szCs w:val="24"/>
                <w:lang w:val="en-US" w:eastAsia="ar-SA"/>
              </w:rPr>
              <w:t>IQR</w:t>
            </w:r>
            <w:r w:rsidRPr="00835CC4">
              <w:rPr>
                <w:rFonts w:cs="Calibri"/>
                <w:sz w:val="24"/>
                <w:szCs w:val="24"/>
                <w:lang w:eastAsia="ar-SA"/>
              </w:rPr>
              <w:t>]</w:t>
            </w:r>
          </w:p>
        </w:tc>
        <w:tc>
          <w:tcPr>
            <w:tcW w:w="2410"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eastAsia="ar-SA"/>
              </w:rPr>
            </w:pPr>
            <w:r>
              <w:rPr>
                <w:rFonts w:cs="Calibri"/>
                <w:sz w:val="24"/>
                <w:szCs w:val="24"/>
                <w:lang w:eastAsia="ar-SA"/>
              </w:rPr>
              <w:t>187,1</w:t>
            </w:r>
            <w:r w:rsidRPr="00835CC4">
              <w:rPr>
                <w:rFonts w:cs="Calibri"/>
                <w:sz w:val="24"/>
                <w:szCs w:val="24"/>
                <w:lang w:val="en-US" w:eastAsia="ar-SA"/>
              </w:rPr>
              <w:t>[</w:t>
            </w:r>
            <w:r>
              <w:rPr>
                <w:rFonts w:cs="Calibri"/>
                <w:sz w:val="24"/>
                <w:szCs w:val="24"/>
                <w:lang w:eastAsia="ar-SA"/>
              </w:rPr>
              <w:t>144,3;</w:t>
            </w:r>
            <w:r w:rsidRPr="00835CC4">
              <w:rPr>
                <w:rFonts w:cs="Calibri"/>
                <w:sz w:val="24"/>
                <w:szCs w:val="24"/>
                <w:lang w:eastAsia="ar-SA"/>
              </w:rPr>
              <w:t>285,3</w:t>
            </w:r>
            <w:r w:rsidRPr="00835CC4">
              <w:rPr>
                <w:rFonts w:cs="Calibri"/>
                <w:sz w:val="24"/>
                <w:szCs w:val="24"/>
                <w:lang w:val="en-US" w:eastAsia="ar-SA"/>
              </w:rPr>
              <w:t>]</w:t>
            </w:r>
            <w:r w:rsidRPr="00835CC4">
              <w:rPr>
                <w:rFonts w:cs="Calibri"/>
                <w:sz w:val="24"/>
                <w:szCs w:val="24"/>
                <w:lang w:eastAsia="ar-SA"/>
              </w:rPr>
              <w:t>*</w:t>
            </w:r>
          </w:p>
        </w:tc>
        <w:tc>
          <w:tcPr>
            <w:tcW w:w="2268"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val="en-US" w:eastAsia="ar-SA"/>
              </w:rPr>
            </w:pPr>
            <w:r>
              <w:rPr>
                <w:rFonts w:cs="Calibri"/>
                <w:sz w:val="24"/>
                <w:szCs w:val="24"/>
                <w:lang w:eastAsia="ar-SA"/>
              </w:rPr>
              <w:t>461,9</w:t>
            </w:r>
            <w:r w:rsidRPr="00835CC4">
              <w:rPr>
                <w:rFonts w:cs="Calibri"/>
                <w:sz w:val="24"/>
                <w:szCs w:val="24"/>
                <w:lang w:val="en-US" w:eastAsia="ar-SA"/>
              </w:rPr>
              <w:t>[41</w:t>
            </w:r>
            <w:r w:rsidRPr="00835CC4">
              <w:rPr>
                <w:rFonts w:cs="Calibri"/>
                <w:sz w:val="24"/>
                <w:szCs w:val="24"/>
                <w:lang w:eastAsia="ar-SA"/>
              </w:rPr>
              <w:t>4,3</w:t>
            </w:r>
            <w:r w:rsidRPr="00835CC4">
              <w:rPr>
                <w:rFonts w:cs="Calibri"/>
                <w:sz w:val="24"/>
                <w:szCs w:val="24"/>
                <w:lang w:val="en-US" w:eastAsia="ar-SA"/>
              </w:rPr>
              <w:t>;523,8]</w:t>
            </w:r>
          </w:p>
        </w:tc>
        <w:tc>
          <w:tcPr>
            <w:tcW w:w="110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35CC4" w:rsidRDefault="00286780" w:rsidP="00835CC4">
            <w:pPr>
              <w:snapToGrid w:val="0"/>
              <w:jc w:val="center"/>
              <w:rPr>
                <w:rFonts w:cs="Calibri"/>
                <w:color w:val="000000"/>
                <w:sz w:val="24"/>
                <w:szCs w:val="24"/>
                <w:lang w:eastAsia="ar-SA"/>
              </w:rPr>
            </w:pPr>
            <w:r>
              <w:rPr>
                <w:rFonts w:cs="Calibri"/>
                <w:color w:val="000000"/>
                <w:sz w:val="24"/>
                <w:szCs w:val="24"/>
                <w:lang w:eastAsia="ar-SA"/>
              </w:rPr>
              <w:t>p&lt;</w:t>
            </w:r>
            <w:r w:rsidRPr="00835CC4">
              <w:rPr>
                <w:rFonts w:cs="Calibri"/>
                <w:color w:val="000000"/>
                <w:sz w:val="24"/>
                <w:szCs w:val="24"/>
                <w:lang w:eastAsia="ar-SA"/>
              </w:rPr>
              <w:t>0,001</w:t>
            </w:r>
          </w:p>
        </w:tc>
      </w:tr>
      <w:tr w:rsidR="00286780" w:rsidRPr="00835CC4" w:rsidTr="00874414">
        <w:trPr>
          <w:trHeight w:val="454"/>
        </w:trPr>
        <w:tc>
          <w:tcPr>
            <w:tcW w:w="4139"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rPr>
                <w:rFonts w:cs="Calibri"/>
                <w:sz w:val="24"/>
                <w:szCs w:val="24"/>
                <w:lang w:eastAsia="ar-SA"/>
              </w:rPr>
            </w:pPr>
            <w:r w:rsidRPr="00835CC4">
              <w:rPr>
                <w:rFonts w:cs="Calibri"/>
                <w:sz w:val="24"/>
                <w:szCs w:val="24"/>
                <w:lang w:eastAsia="ar-SA"/>
              </w:rPr>
              <w:t>Количество тромбоцитов крови, ×10</w:t>
            </w:r>
            <w:r w:rsidRPr="00835CC4">
              <w:rPr>
                <w:rFonts w:cs="Calibri"/>
                <w:sz w:val="24"/>
                <w:szCs w:val="24"/>
                <w:vertAlign w:val="superscript"/>
                <w:lang w:eastAsia="ar-SA"/>
              </w:rPr>
              <w:t>12</w:t>
            </w:r>
            <w:r w:rsidRPr="00835CC4">
              <w:rPr>
                <w:rFonts w:cs="Calibri"/>
                <w:sz w:val="24"/>
                <w:szCs w:val="24"/>
                <w:lang w:eastAsia="ar-SA"/>
              </w:rPr>
              <w:t xml:space="preserve">/л, </w:t>
            </w:r>
            <w:r w:rsidRPr="00835CC4">
              <w:rPr>
                <w:rFonts w:cs="Calibri"/>
                <w:sz w:val="24"/>
                <w:szCs w:val="24"/>
                <w:lang w:val="en-US" w:eastAsia="ar-SA"/>
              </w:rPr>
              <w:t>Me</w:t>
            </w:r>
            <w:r w:rsidRPr="00835CC4">
              <w:rPr>
                <w:rFonts w:cs="Calibri"/>
                <w:sz w:val="24"/>
                <w:szCs w:val="24"/>
                <w:lang w:eastAsia="ar-SA"/>
              </w:rPr>
              <w:t xml:space="preserve"> [</w:t>
            </w:r>
            <w:r w:rsidRPr="00835CC4">
              <w:rPr>
                <w:rFonts w:cs="Calibri"/>
                <w:sz w:val="24"/>
                <w:szCs w:val="24"/>
                <w:lang w:val="en-US" w:eastAsia="ar-SA"/>
              </w:rPr>
              <w:t>IQR</w:t>
            </w:r>
            <w:r w:rsidRPr="00835CC4">
              <w:rPr>
                <w:rFonts w:cs="Calibri"/>
                <w:sz w:val="24"/>
                <w:szCs w:val="24"/>
                <w:lang w:eastAsia="ar-SA"/>
              </w:rPr>
              <w:t>]</w:t>
            </w:r>
          </w:p>
        </w:tc>
        <w:tc>
          <w:tcPr>
            <w:tcW w:w="2410"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eastAsia="ar-SA"/>
              </w:rPr>
            </w:pPr>
            <w:r>
              <w:rPr>
                <w:rFonts w:cs="Calibri"/>
                <w:sz w:val="24"/>
                <w:szCs w:val="24"/>
                <w:lang w:eastAsia="ar-SA"/>
              </w:rPr>
              <w:t>19[166;</w:t>
            </w:r>
            <w:r w:rsidRPr="00835CC4">
              <w:rPr>
                <w:rFonts w:cs="Calibri"/>
                <w:sz w:val="24"/>
                <w:szCs w:val="24"/>
                <w:lang w:eastAsia="ar-SA"/>
              </w:rPr>
              <w:t>249]*</w:t>
            </w:r>
          </w:p>
        </w:tc>
        <w:tc>
          <w:tcPr>
            <w:tcW w:w="2268"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eastAsia="ar-SA"/>
              </w:rPr>
            </w:pPr>
            <w:r>
              <w:rPr>
                <w:rFonts w:cs="Calibri"/>
                <w:sz w:val="24"/>
                <w:szCs w:val="24"/>
                <w:lang w:eastAsia="ar-SA"/>
              </w:rPr>
              <w:t>280[226;</w:t>
            </w:r>
            <w:r w:rsidRPr="00835CC4">
              <w:rPr>
                <w:rFonts w:cs="Calibri"/>
                <w:sz w:val="24"/>
                <w:szCs w:val="24"/>
                <w:lang w:eastAsia="ar-SA"/>
              </w:rPr>
              <w:t>305]</w:t>
            </w:r>
          </w:p>
        </w:tc>
        <w:tc>
          <w:tcPr>
            <w:tcW w:w="110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35CC4" w:rsidRDefault="00286780" w:rsidP="00835CC4">
            <w:pPr>
              <w:snapToGrid w:val="0"/>
              <w:jc w:val="center"/>
              <w:rPr>
                <w:rFonts w:cs="Calibri"/>
                <w:color w:val="000000"/>
                <w:sz w:val="24"/>
                <w:szCs w:val="24"/>
                <w:lang w:eastAsia="ar-SA"/>
              </w:rPr>
            </w:pPr>
            <w:r>
              <w:rPr>
                <w:rFonts w:cs="Calibri"/>
                <w:color w:val="000000"/>
                <w:sz w:val="24"/>
                <w:szCs w:val="24"/>
                <w:lang w:eastAsia="ar-SA"/>
              </w:rPr>
              <w:t>p&lt;</w:t>
            </w:r>
            <w:r w:rsidRPr="00835CC4">
              <w:rPr>
                <w:rFonts w:cs="Calibri"/>
                <w:color w:val="000000"/>
                <w:sz w:val="24"/>
                <w:szCs w:val="24"/>
                <w:lang w:eastAsia="ar-SA"/>
              </w:rPr>
              <w:t>0,005</w:t>
            </w:r>
          </w:p>
        </w:tc>
      </w:tr>
      <w:tr w:rsidR="00286780" w:rsidRPr="00835CC4" w:rsidTr="00874414">
        <w:trPr>
          <w:trHeight w:val="454"/>
        </w:trPr>
        <w:tc>
          <w:tcPr>
            <w:tcW w:w="4139"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rPr>
                <w:rFonts w:cs="Calibri"/>
                <w:sz w:val="24"/>
                <w:szCs w:val="24"/>
                <w:lang w:eastAsia="ar-SA"/>
              </w:rPr>
            </w:pPr>
            <w:r w:rsidRPr="00835CC4">
              <w:rPr>
                <w:rFonts w:cs="Calibri"/>
                <w:sz w:val="24"/>
                <w:szCs w:val="24"/>
                <w:lang w:eastAsia="ar-SA"/>
              </w:rPr>
              <w:t xml:space="preserve">Креатинин крови, мкмоль/л, </w:t>
            </w:r>
            <w:r w:rsidRPr="00835CC4">
              <w:rPr>
                <w:rFonts w:cs="Calibri"/>
                <w:sz w:val="24"/>
                <w:szCs w:val="24"/>
                <w:lang w:val="en-US" w:eastAsia="ar-SA"/>
              </w:rPr>
              <w:t>Me</w:t>
            </w:r>
            <w:r w:rsidRPr="00835CC4">
              <w:rPr>
                <w:rFonts w:cs="Calibri"/>
                <w:sz w:val="24"/>
                <w:szCs w:val="24"/>
                <w:lang w:eastAsia="ar-SA"/>
              </w:rPr>
              <w:t xml:space="preserve"> [</w:t>
            </w:r>
            <w:r w:rsidRPr="00835CC4">
              <w:rPr>
                <w:rFonts w:cs="Calibri"/>
                <w:sz w:val="24"/>
                <w:szCs w:val="24"/>
                <w:lang w:val="en-US" w:eastAsia="ar-SA"/>
              </w:rPr>
              <w:t>IQR</w:t>
            </w:r>
            <w:r w:rsidRPr="00835CC4">
              <w:rPr>
                <w:rFonts w:cs="Calibri"/>
                <w:sz w:val="24"/>
                <w:szCs w:val="24"/>
                <w:lang w:eastAsia="ar-SA"/>
              </w:rPr>
              <w:t>]</w:t>
            </w:r>
          </w:p>
        </w:tc>
        <w:tc>
          <w:tcPr>
            <w:tcW w:w="2410"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val="en-US" w:eastAsia="ar-SA"/>
              </w:rPr>
            </w:pPr>
            <w:r w:rsidRPr="00835CC4">
              <w:rPr>
                <w:rFonts w:cs="Calibri"/>
                <w:sz w:val="24"/>
                <w:szCs w:val="24"/>
                <w:lang w:eastAsia="ar-SA"/>
              </w:rPr>
              <w:t>105</w:t>
            </w:r>
            <w:r w:rsidRPr="00835CC4">
              <w:rPr>
                <w:rFonts w:cs="Calibri"/>
                <w:sz w:val="24"/>
                <w:szCs w:val="24"/>
                <w:lang w:val="en-US" w:eastAsia="ar-SA"/>
              </w:rPr>
              <w:t>,95[81,5;151,45]*</w:t>
            </w:r>
          </w:p>
        </w:tc>
        <w:tc>
          <w:tcPr>
            <w:tcW w:w="2268"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eastAsia="ar-SA"/>
              </w:rPr>
            </w:pPr>
            <w:r>
              <w:rPr>
                <w:rFonts w:cs="Calibri"/>
                <w:sz w:val="24"/>
                <w:szCs w:val="24"/>
                <w:lang w:eastAsia="ar-SA"/>
              </w:rPr>
              <w:t>88,05[80,38;</w:t>
            </w:r>
            <w:r w:rsidRPr="00835CC4">
              <w:rPr>
                <w:rFonts w:cs="Calibri"/>
                <w:sz w:val="24"/>
                <w:szCs w:val="24"/>
                <w:lang w:eastAsia="ar-SA"/>
              </w:rPr>
              <w:t>108]</w:t>
            </w:r>
          </w:p>
        </w:tc>
        <w:tc>
          <w:tcPr>
            <w:tcW w:w="110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35CC4" w:rsidRDefault="00286780" w:rsidP="00835CC4">
            <w:pPr>
              <w:snapToGrid w:val="0"/>
              <w:jc w:val="center"/>
              <w:rPr>
                <w:rFonts w:cs="Calibri"/>
                <w:color w:val="000000"/>
                <w:sz w:val="24"/>
                <w:szCs w:val="24"/>
                <w:lang w:eastAsia="ar-SA"/>
              </w:rPr>
            </w:pPr>
            <w:r>
              <w:rPr>
                <w:rFonts w:cs="Calibri"/>
                <w:color w:val="000000"/>
                <w:sz w:val="24"/>
                <w:szCs w:val="24"/>
                <w:lang w:eastAsia="ar-SA"/>
              </w:rPr>
              <w:t>p&lt;</w:t>
            </w:r>
            <w:r w:rsidRPr="00835CC4">
              <w:rPr>
                <w:rFonts w:cs="Calibri"/>
                <w:color w:val="000000"/>
                <w:sz w:val="24"/>
                <w:szCs w:val="24"/>
                <w:lang w:eastAsia="ar-SA"/>
              </w:rPr>
              <w:t>0,05</w:t>
            </w:r>
          </w:p>
        </w:tc>
      </w:tr>
      <w:tr w:rsidR="00286780" w:rsidRPr="00835CC4" w:rsidTr="00874414">
        <w:trPr>
          <w:trHeight w:val="454"/>
        </w:trPr>
        <w:tc>
          <w:tcPr>
            <w:tcW w:w="4139"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rPr>
                <w:rFonts w:cs="Calibri"/>
                <w:sz w:val="24"/>
                <w:szCs w:val="24"/>
                <w:lang w:eastAsia="ar-SA"/>
              </w:rPr>
            </w:pPr>
            <w:r w:rsidRPr="00835CC4">
              <w:rPr>
                <w:rFonts w:cs="Calibri"/>
                <w:sz w:val="24"/>
                <w:szCs w:val="24"/>
                <w:lang w:eastAsia="ar-SA"/>
              </w:rPr>
              <w:t xml:space="preserve">Билирубин крови, ммоль/л, </w:t>
            </w:r>
            <w:r w:rsidRPr="00835CC4">
              <w:rPr>
                <w:rFonts w:cs="Calibri"/>
                <w:sz w:val="24"/>
                <w:szCs w:val="24"/>
                <w:lang w:val="en-US" w:eastAsia="ar-SA"/>
              </w:rPr>
              <w:t>Me</w:t>
            </w:r>
            <w:r w:rsidRPr="00835CC4">
              <w:rPr>
                <w:rFonts w:cs="Calibri"/>
                <w:sz w:val="24"/>
                <w:szCs w:val="24"/>
                <w:lang w:eastAsia="ar-SA"/>
              </w:rPr>
              <w:t xml:space="preserve"> [</w:t>
            </w:r>
            <w:r w:rsidRPr="00835CC4">
              <w:rPr>
                <w:rFonts w:cs="Calibri"/>
                <w:sz w:val="24"/>
                <w:szCs w:val="24"/>
                <w:lang w:val="en-US" w:eastAsia="ar-SA"/>
              </w:rPr>
              <w:t>IQR</w:t>
            </w:r>
            <w:r w:rsidRPr="00835CC4">
              <w:rPr>
                <w:rFonts w:cs="Calibri"/>
                <w:sz w:val="24"/>
                <w:szCs w:val="24"/>
                <w:lang w:eastAsia="ar-SA"/>
              </w:rPr>
              <w:t>]</w:t>
            </w:r>
          </w:p>
        </w:tc>
        <w:tc>
          <w:tcPr>
            <w:tcW w:w="2410"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val="en-US" w:eastAsia="ar-SA"/>
              </w:rPr>
            </w:pPr>
            <w:r w:rsidRPr="00835CC4">
              <w:rPr>
                <w:rFonts w:cs="Calibri"/>
                <w:sz w:val="24"/>
                <w:szCs w:val="24"/>
                <w:lang w:val="en-US" w:eastAsia="ar-SA"/>
              </w:rPr>
              <w:t>21,6[13,8;31,5]</w:t>
            </w:r>
          </w:p>
        </w:tc>
        <w:tc>
          <w:tcPr>
            <w:tcW w:w="2268"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jc w:val="center"/>
              <w:rPr>
                <w:rFonts w:cs="Calibri"/>
                <w:sz w:val="24"/>
                <w:szCs w:val="24"/>
                <w:lang w:val="en-US" w:eastAsia="ar-SA"/>
              </w:rPr>
            </w:pPr>
            <w:r w:rsidRPr="00835CC4">
              <w:rPr>
                <w:rFonts w:cs="Calibri"/>
                <w:sz w:val="24"/>
                <w:szCs w:val="24"/>
                <w:lang w:val="en-US" w:eastAsia="ar-SA"/>
              </w:rPr>
              <w:t>16,1[11,5;21,6]</w:t>
            </w:r>
          </w:p>
        </w:tc>
        <w:tc>
          <w:tcPr>
            <w:tcW w:w="110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35CC4" w:rsidRDefault="00286780" w:rsidP="00835CC4">
            <w:pPr>
              <w:snapToGrid w:val="0"/>
              <w:jc w:val="center"/>
              <w:rPr>
                <w:rFonts w:cs="Calibri"/>
                <w:color w:val="000000"/>
                <w:sz w:val="24"/>
                <w:szCs w:val="24"/>
                <w:lang w:eastAsia="ar-SA"/>
              </w:rPr>
            </w:pPr>
            <w:r>
              <w:rPr>
                <w:rFonts w:cs="Calibri"/>
                <w:color w:val="000000"/>
                <w:sz w:val="24"/>
                <w:szCs w:val="24"/>
                <w:lang w:eastAsia="ar-SA"/>
              </w:rPr>
              <w:t>p&gt;</w:t>
            </w:r>
            <w:r w:rsidRPr="00835CC4">
              <w:rPr>
                <w:rFonts w:cs="Calibri"/>
                <w:color w:val="000000"/>
                <w:sz w:val="24"/>
                <w:szCs w:val="24"/>
                <w:lang w:eastAsia="ar-SA"/>
              </w:rPr>
              <w:t>0,1</w:t>
            </w:r>
          </w:p>
        </w:tc>
      </w:tr>
      <w:tr w:rsidR="00286780" w:rsidRPr="00835CC4" w:rsidTr="00874414">
        <w:trPr>
          <w:trHeight w:val="454"/>
        </w:trPr>
        <w:tc>
          <w:tcPr>
            <w:tcW w:w="9923" w:type="dxa"/>
            <w:gridSpan w:val="4"/>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35CC4" w:rsidRDefault="00286780" w:rsidP="0088078B">
            <w:pPr>
              <w:jc w:val="both"/>
              <w:rPr>
                <w:rFonts w:cs="Calibri"/>
                <w:sz w:val="24"/>
                <w:szCs w:val="24"/>
                <w:lang w:eastAsia="ar-SA"/>
              </w:rPr>
            </w:pPr>
            <w:r w:rsidRPr="00835CC4">
              <w:rPr>
                <w:rFonts w:cs="Calibri"/>
                <w:sz w:val="24"/>
                <w:szCs w:val="24"/>
                <w:lang w:eastAsia="ar-SA"/>
              </w:rPr>
              <w:t>Примечание. ОС – одонтогенный сепсис, МФОИ – местная форма одонтогенной инфекции</w:t>
            </w:r>
            <w:r>
              <w:rPr>
                <w:rFonts w:cs="Calibri"/>
                <w:sz w:val="24"/>
                <w:szCs w:val="24"/>
                <w:lang w:eastAsia="ar-SA"/>
              </w:rPr>
              <w:t xml:space="preserve">, </w:t>
            </w:r>
            <w:r w:rsidRPr="00835CC4">
              <w:rPr>
                <w:rFonts w:cs="Calibri"/>
                <w:sz w:val="24"/>
                <w:szCs w:val="24"/>
                <w:lang w:val="en-US" w:eastAsia="ar-SA"/>
              </w:rPr>
              <w:t>Me</w:t>
            </w:r>
            <w:r w:rsidRPr="00835CC4">
              <w:rPr>
                <w:rFonts w:cs="Calibri"/>
                <w:sz w:val="24"/>
                <w:szCs w:val="24"/>
                <w:lang w:eastAsia="ar-SA"/>
              </w:rPr>
              <w:t xml:space="preserve"> – медиана, </w:t>
            </w:r>
            <w:r w:rsidRPr="00835CC4">
              <w:rPr>
                <w:rFonts w:cs="Calibri"/>
                <w:sz w:val="24"/>
                <w:szCs w:val="24"/>
                <w:lang w:val="en-US" w:eastAsia="ar-SA"/>
              </w:rPr>
              <w:t>IQR</w:t>
            </w:r>
            <w:r w:rsidRPr="00835CC4">
              <w:rPr>
                <w:rFonts w:cs="Calibri"/>
                <w:sz w:val="24"/>
                <w:szCs w:val="24"/>
                <w:lang w:eastAsia="ar-SA"/>
              </w:rPr>
              <w:t xml:space="preserve"> – 50%</w:t>
            </w:r>
            <w:r>
              <w:rPr>
                <w:rFonts w:cs="Calibri"/>
                <w:sz w:val="24"/>
                <w:szCs w:val="24"/>
                <w:lang w:eastAsia="ar-SA"/>
              </w:rPr>
              <w:t>-й</w:t>
            </w:r>
            <w:r w:rsidRPr="00835CC4">
              <w:rPr>
                <w:rFonts w:cs="Calibri"/>
                <w:sz w:val="24"/>
                <w:szCs w:val="24"/>
                <w:lang w:eastAsia="ar-SA"/>
              </w:rPr>
              <w:t xml:space="preserve"> межквартильный интервал (средний). АД – артериальное давление, ЧДД – частота дыхательных движений, ШКГ – шкала ком Глазго, </w:t>
            </w:r>
            <w:r w:rsidRPr="00835CC4">
              <w:rPr>
                <w:rFonts w:cs="Calibri"/>
                <w:sz w:val="24"/>
                <w:szCs w:val="24"/>
                <w:lang w:val="en-US" w:eastAsia="ar-SA"/>
              </w:rPr>
              <w:t>PaO</w:t>
            </w:r>
            <w:r w:rsidRPr="00835CC4">
              <w:rPr>
                <w:rFonts w:cs="Calibri"/>
                <w:sz w:val="24"/>
                <w:szCs w:val="24"/>
                <w:vertAlign w:val="subscript"/>
                <w:lang w:eastAsia="ar-SA"/>
              </w:rPr>
              <w:t>2</w:t>
            </w:r>
            <w:r w:rsidRPr="00835CC4">
              <w:rPr>
                <w:rFonts w:cs="Calibri"/>
                <w:sz w:val="24"/>
                <w:szCs w:val="24"/>
                <w:lang w:eastAsia="ar-SA"/>
              </w:rPr>
              <w:t xml:space="preserve"> – парциальное давление кислорода артериальной крови, мм рт. ст., </w:t>
            </w:r>
            <w:r w:rsidRPr="00835CC4">
              <w:rPr>
                <w:rFonts w:cs="Calibri"/>
                <w:sz w:val="24"/>
                <w:szCs w:val="24"/>
                <w:lang w:val="en-US" w:eastAsia="ar-SA"/>
              </w:rPr>
              <w:t>FiO</w:t>
            </w:r>
            <w:r w:rsidRPr="00835CC4">
              <w:rPr>
                <w:rFonts w:cs="Calibri"/>
                <w:sz w:val="24"/>
                <w:szCs w:val="24"/>
                <w:vertAlign w:val="subscript"/>
                <w:lang w:eastAsia="ar-SA"/>
              </w:rPr>
              <w:t>2</w:t>
            </w:r>
            <w:r w:rsidRPr="00835CC4">
              <w:rPr>
                <w:rFonts w:cs="Calibri"/>
                <w:sz w:val="24"/>
                <w:szCs w:val="24"/>
                <w:lang w:eastAsia="ar-SA"/>
              </w:rPr>
              <w:t xml:space="preserve"> – парциальное давление кислорода в используемой для дыхания газовой смеси, ДИ – доверительный интервал 95%-й; * – различия между группами статистически достоверны (с указанием </w:t>
            </w:r>
            <w:r w:rsidRPr="00835CC4">
              <w:rPr>
                <w:rFonts w:cs="Calibri"/>
                <w:sz w:val="24"/>
                <w:szCs w:val="24"/>
                <w:lang w:val="en-US" w:eastAsia="ar-SA"/>
              </w:rPr>
              <w:t>p</w:t>
            </w:r>
            <w:r w:rsidRPr="00835CC4">
              <w:rPr>
                <w:rFonts w:cs="Calibri"/>
                <w:sz w:val="24"/>
                <w:szCs w:val="24"/>
                <w:lang w:eastAsia="ar-SA"/>
              </w:rPr>
              <w:t>)</w:t>
            </w:r>
          </w:p>
        </w:tc>
      </w:tr>
    </w:tbl>
    <w:p w:rsidR="00286780" w:rsidRPr="00835CC4" w:rsidRDefault="00286780" w:rsidP="00835CC4">
      <w:pPr>
        <w:jc w:val="both"/>
        <w:rPr>
          <w:rFonts w:cs="Calibri"/>
          <w:sz w:val="28"/>
          <w:szCs w:val="28"/>
          <w:lang w:eastAsia="ar-SA"/>
        </w:rPr>
      </w:pPr>
    </w:p>
    <w:p w:rsidR="00286780" w:rsidRPr="00835CC4" w:rsidRDefault="00286780" w:rsidP="00835CC4">
      <w:pPr>
        <w:spacing w:line="360" w:lineRule="auto"/>
        <w:ind w:firstLine="709"/>
        <w:jc w:val="both"/>
        <w:rPr>
          <w:rFonts w:cs="Calibri"/>
          <w:sz w:val="28"/>
          <w:szCs w:val="28"/>
          <w:lang w:eastAsia="ar-SA"/>
        </w:rPr>
      </w:pPr>
      <w:r w:rsidRPr="00835CC4">
        <w:rPr>
          <w:rFonts w:cs="Calibri"/>
          <w:sz w:val="28"/>
          <w:szCs w:val="28"/>
          <w:lang w:eastAsia="ar-SA"/>
        </w:rPr>
        <w:lastRenderedPageBreak/>
        <w:t xml:space="preserve">Статистически значимые различия между сравниваемыми группами наблюдаются по средним значениям показателей систолического артериального давления, ЧСС, количеству лейкоцитов и тромбоцитов, концентрации креатинина крови, значению респираторного индекса. Следовательно, максимальной эффективностью определения генерализованной одонтогенной инфекции могут обладать дифференциально-диагностические алгоритмы, опирающиеся на вышеобозначенные параметры (например, </w:t>
      </w:r>
      <w:r w:rsidRPr="00835CC4">
        <w:rPr>
          <w:rFonts w:cs="Calibri"/>
          <w:sz w:val="28"/>
          <w:szCs w:val="28"/>
          <w:lang w:val="en-US" w:eastAsia="ar-SA"/>
        </w:rPr>
        <w:t>SOFA</w:t>
      </w:r>
      <w:r w:rsidRPr="00835CC4">
        <w:rPr>
          <w:rFonts w:cs="Calibri"/>
          <w:sz w:val="28"/>
          <w:szCs w:val="28"/>
          <w:lang w:eastAsia="ar-SA"/>
        </w:rPr>
        <w:t>).</w:t>
      </w:r>
    </w:p>
    <w:p w:rsidR="00286780" w:rsidRPr="00835CC4" w:rsidRDefault="00286780" w:rsidP="00FD18C9">
      <w:pPr>
        <w:spacing w:line="360" w:lineRule="auto"/>
        <w:ind w:firstLine="709"/>
        <w:jc w:val="both"/>
        <w:rPr>
          <w:rFonts w:cs="Calibri"/>
          <w:sz w:val="28"/>
          <w:szCs w:val="28"/>
          <w:lang w:eastAsia="ar-SA"/>
        </w:rPr>
      </w:pPr>
      <w:r w:rsidRPr="00835CC4">
        <w:rPr>
          <w:rFonts w:cs="Calibri"/>
          <w:sz w:val="28"/>
          <w:szCs w:val="28"/>
          <w:lang w:eastAsia="ar-SA"/>
        </w:rPr>
        <w:t>Кроме того, ни в одной из существующих дифференциально-диагностических систем не встречается критерий распространенности острого воспалительного процесса и критерий наличия некротизирующего фасциита (целлюлита). Как следует из табл. 54, МФОИ характеризуется поражением</w:t>
      </w:r>
      <w:r>
        <w:rPr>
          <w:rFonts w:cs="Calibri"/>
          <w:sz w:val="28"/>
          <w:szCs w:val="28"/>
          <w:lang w:eastAsia="ar-SA"/>
        </w:rPr>
        <w:t>,</w:t>
      </w:r>
      <w:r w:rsidRPr="00835CC4">
        <w:rPr>
          <w:rFonts w:cs="Calibri"/>
          <w:sz w:val="28"/>
          <w:szCs w:val="28"/>
          <w:lang w:eastAsia="ar-SA"/>
        </w:rPr>
        <w:t xml:space="preserve"> как правило</w:t>
      </w:r>
      <w:r>
        <w:rPr>
          <w:rFonts w:cs="Calibri"/>
          <w:sz w:val="28"/>
          <w:szCs w:val="28"/>
          <w:lang w:eastAsia="ar-SA"/>
        </w:rPr>
        <w:t>,</w:t>
      </w:r>
      <w:r w:rsidRPr="00835CC4">
        <w:rPr>
          <w:rFonts w:cs="Calibri"/>
          <w:sz w:val="28"/>
          <w:szCs w:val="28"/>
          <w:lang w:eastAsia="ar-SA"/>
        </w:rPr>
        <w:t xml:space="preserve"> 1–3 клетчаточных пространств челюстно-лицевой области, а ОС – более 4 клетчаточных пространств (</w:t>
      </w:r>
      <w:r>
        <w:rPr>
          <w:rFonts w:cs="Calibri"/>
          <w:color w:val="000000"/>
          <w:sz w:val="28"/>
          <w:szCs w:val="28"/>
          <w:lang w:eastAsia="ar-SA"/>
        </w:rPr>
        <w:t>p&lt;</w:t>
      </w:r>
      <w:r w:rsidRPr="00835CC4">
        <w:rPr>
          <w:rFonts w:cs="Calibri"/>
          <w:color w:val="000000"/>
          <w:sz w:val="28"/>
          <w:szCs w:val="28"/>
          <w:lang w:eastAsia="ar-SA"/>
        </w:rPr>
        <w:t>0,001). Некротизирующий компонент значительно чаще определяется у пациентов с ОС, чем у пациентов с МФОИ (</w:t>
      </w:r>
      <w:r w:rsidRPr="00835CC4">
        <w:rPr>
          <w:rFonts w:cs="Calibri"/>
          <w:sz w:val="28"/>
          <w:szCs w:val="28"/>
          <w:lang w:val="en-US" w:eastAsia="ar-SA"/>
        </w:rPr>
        <w:t>p</w:t>
      </w:r>
      <w:r>
        <w:rPr>
          <w:rFonts w:cs="Calibri"/>
          <w:sz w:val="28"/>
          <w:szCs w:val="28"/>
          <w:lang w:eastAsia="ar-SA"/>
        </w:rPr>
        <w:t>&lt;</w:t>
      </w:r>
      <w:r w:rsidRPr="00835CC4">
        <w:rPr>
          <w:rFonts w:cs="Calibri"/>
          <w:sz w:val="28"/>
          <w:szCs w:val="28"/>
          <w:lang w:eastAsia="ar-SA"/>
        </w:rPr>
        <w:t>0,05).</w:t>
      </w:r>
      <w:r>
        <w:rPr>
          <w:rFonts w:cs="Calibri"/>
          <w:sz w:val="28"/>
          <w:szCs w:val="28"/>
          <w:lang w:eastAsia="ar-SA"/>
        </w:rPr>
        <w:t xml:space="preserve"> </w:t>
      </w:r>
      <w:r w:rsidRPr="00835CC4">
        <w:rPr>
          <w:rFonts w:cs="Calibri"/>
          <w:sz w:val="28"/>
          <w:szCs w:val="28"/>
          <w:lang w:eastAsia="ar-SA"/>
        </w:rPr>
        <w:t xml:space="preserve">Следует отметить отсутствие статистически значимых различий величин уровней ЧДД и количества баллов шкалы ком Глазго, что позволяет предварительно охарактеризовать низкую прогностическую значимость </w:t>
      </w:r>
      <w:r w:rsidRPr="00835CC4">
        <w:rPr>
          <w:rFonts w:cs="Calibri"/>
          <w:sz w:val="28"/>
          <w:szCs w:val="28"/>
          <w:lang w:val="en-US" w:eastAsia="ar-SA"/>
        </w:rPr>
        <w:t>qSOFA</w:t>
      </w:r>
      <w:r w:rsidRPr="00835CC4">
        <w:rPr>
          <w:rFonts w:cs="Calibri"/>
          <w:sz w:val="28"/>
          <w:szCs w:val="28"/>
          <w:lang w:eastAsia="ar-SA"/>
        </w:rPr>
        <w:t>.</w:t>
      </w:r>
    </w:p>
    <w:p w:rsidR="00286780" w:rsidRPr="00835CC4" w:rsidRDefault="00286780" w:rsidP="00835CC4">
      <w:pPr>
        <w:spacing w:line="360" w:lineRule="auto"/>
        <w:ind w:firstLine="709"/>
        <w:jc w:val="both"/>
        <w:rPr>
          <w:rFonts w:cs="Calibri"/>
          <w:sz w:val="28"/>
          <w:szCs w:val="28"/>
          <w:lang w:eastAsia="ar-SA"/>
        </w:rPr>
      </w:pPr>
      <w:r w:rsidRPr="00835CC4">
        <w:rPr>
          <w:rFonts w:cs="Calibri"/>
          <w:sz w:val="28"/>
          <w:szCs w:val="28"/>
          <w:lang w:eastAsia="ar-SA"/>
        </w:rPr>
        <w:t>Выполним сравнительную оценку эффективности диагностики сепсиса с использованием дифференциально-диагностических шкал qSOFA, SOFA, критериев ССВР (SIRS) с различным количеством признаков (2-4), унифицированной программы ранней диагностики одонтогенного с</w:t>
      </w:r>
      <w:r>
        <w:rPr>
          <w:rFonts w:cs="Calibri"/>
          <w:sz w:val="28"/>
          <w:szCs w:val="28"/>
          <w:lang w:eastAsia="ar-SA"/>
        </w:rPr>
        <w:t xml:space="preserve">епсиса </w:t>
      </w:r>
      <w:r w:rsidRPr="002F4D23">
        <w:rPr>
          <w:rFonts w:cs="Calibri"/>
          <w:sz w:val="28"/>
          <w:szCs w:val="28"/>
          <w:lang w:eastAsia="ar-SA"/>
        </w:rPr>
        <w:t>(</w:t>
      </w:r>
      <w:r>
        <w:rPr>
          <w:rFonts w:cs="Calibri"/>
          <w:sz w:val="28"/>
          <w:szCs w:val="28"/>
          <w:lang w:eastAsia="ar-SA"/>
        </w:rPr>
        <w:t>Губин М.А. и др., 2003</w:t>
      </w:r>
      <w:r w:rsidRPr="002F4D23">
        <w:rPr>
          <w:rFonts w:cs="Calibri"/>
          <w:sz w:val="28"/>
          <w:szCs w:val="28"/>
          <w:lang w:eastAsia="ar-SA"/>
        </w:rPr>
        <w:t>)</w:t>
      </w:r>
      <w:r w:rsidRPr="00835CC4">
        <w:rPr>
          <w:rFonts w:cs="Calibri"/>
          <w:sz w:val="28"/>
          <w:szCs w:val="28"/>
          <w:lang w:eastAsia="ar-SA"/>
        </w:rPr>
        <w:t>, по отношению к пациентам с одонтогенными воспалительными процессами. Критериями оценки являются чувствительность, специфичность, точность, прогностичность положительного и отрицательного результатов (</w:t>
      </w:r>
      <w:r w:rsidRPr="00835CC4">
        <w:rPr>
          <w:rFonts w:cs="Calibri"/>
          <w:sz w:val="28"/>
          <w:szCs w:val="28"/>
          <w:lang w:val="en-US" w:eastAsia="ar-SA"/>
        </w:rPr>
        <w:t>Se</w:t>
      </w:r>
      <w:r w:rsidRPr="00835CC4">
        <w:rPr>
          <w:rFonts w:cs="Calibri"/>
          <w:sz w:val="28"/>
          <w:szCs w:val="28"/>
          <w:lang w:eastAsia="ar-SA"/>
        </w:rPr>
        <w:t xml:space="preserve">, </w:t>
      </w:r>
      <w:r w:rsidRPr="00835CC4">
        <w:rPr>
          <w:rFonts w:cs="Calibri"/>
          <w:sz w:val="28"/>
          <w:szCs w:val="28"/>
          <w:lang w:val="en-US" w:eastAsia="ar-SA"/>
        </w:rPr>
        <w:t>Sp</w:t>
      </w:r>
      <w:r w:rsidRPr="00835CC4">
        <w:rPr>
          <w:rFonts w:cs="Calibri"/>
          <w:sz w:val="28"/>
          <w:szCs w:val="28"/>
          <w:lang w:eastAsia="ar-SA"/>
        </w:rPr>
        <w:t xml:space="preserve">, </w:t>
      </w:r>
      <w:r w:rsidRPr="00835CC4">
        <w:rPr>
          <w:rFonts w:cs="Calibri"/>
          <w:sz w:val="28"/>
          <w:szCs w:val="28"/>
          <w:lang w:val="en-US" w:eastAsia="ar-SA"/>
        </w:rPr>
        <w:t>Ac</w:t>
      </w:r>
      <w:r w:rsidRPr="00835CC4">
        <w:rPr>
          <w:rFonts w:cs="Calibri"/>
          <w:sz w:val="28"/>
          <w:szCs w:val="28"/>
          <w:lang w:eastAsia="ar-SA"/>
        </w:rPr>
        <w:t xml:space="preserve">, </w:t>
      </w:r>
      <w:r w:rsidRPr="00835CC4">
        <w:rPr>
          <w:rFonts w:cs="Calibri"/>
          <w:sz w:val="28"/>
          <w:szCs w:val="28"/>
          <w:lang w:val="en-US" w:eastAsia="ar-SA"/>
        </w:rPr>
        <w:t>PPV</w:t>
      </w:r>
      <w:r w:rsidRPr="00835CC4">
        <w:rPr>
          <w:rFonts w:cs="Calibri"/>
          <w:sz w:val="28"/>
          <w:szCs w:val="28"/>
          <w:lang w:eastAsia="ar-SA"/>
        </w:rPr>
        <w:t xml:space="preserve">, </w:t>
      </w:r>
      <w:r w:rsidRPr="00835CC4">
        <w:rPr>
          <w:rFonts w:cs="Calibri"/>
          <w:sz w:val="28"/>
          <w:szCs w:val="28"/>
          <w:lang w:val="en-US" w:eastAsia="ar-SA"/>
        </w:rPr>
        <w:t>NPV</w:t>
      </w:r>
      <w:r w:rsidRPr="00835CC4">
        <w:rPr>
          <w:rFonts w:cs="Calibri"/>
          <w:sz w:val="28"/>
          <w:szCs w:val="28"/>
          <w:lang w:eastAsia="ar-SA"/>
        </w:rPr>
        <w:t>).</w:t>
      </w:r>
    </w:p>
    <w:p w:rsidR="00627A12" w:rsidRDefault="00286780" w:rsidP="00BA0CF5">
      <w:pPr>
        <w:spacing w:line="360" w:lineRule="auto"/>
        <w:ind w:firstLine="709"/>
        <w:jc w:val="both"/>
        <w:rPr>
          <w:rFonts w:cs="Calibri"/>
          <w:sz w:val="28"/>
          <w:szCs w:val="28"/>
          <w:lang w:eastAsia="ar-SA"/>
        </w:rPr>
      </w:pPr>
      <w:r w:rsidRPr="00835CC4">
        <w:rPr>
          <w:rFonts w:cs="Calibri"/>
          <w:sz w:val="28"/>
          <w:szCs w:val="28"/>
          <w:lang w:eastAsia="ar-SA"/>
        </w:rPr>
        <w:t>Результаты исслед</w:t>
      </w:r>
      <w:r>
        <w:rPr>
          <w:rFonts w:cs="Calibri"/>
          <w:sz w:val="28"/>
          <w:szCs w:val="28"/>
          <w:lang w:eastAsia="ar-SA"/>
        </w:rPr>
        <w:t>ования представлены в Таблице 58</w:t>
      </w:r>
      <w:r w:rsidRPr="00835CC4">
        <w:rPr>
          <w:rFonts w:cs="Calibri"/>
          <w:sz w:val="28"/>
          <w:szCs w:val="28"/>
          <w:lang w:eastAsia="ar-SA"/>
        </w:rPr>
        <w:t>.</w:t>
      </w:r>
      <w:r>
        <w:rPr>
          <w:rFonts w:cs="Calibri"/>
          <w:sz w:val="28"/>
          <w:szCs w:val="28"/>
          <w:lang w:eastAsia="ar-SA"/>
        </w:rPr>
        <w:t xml:space="preserve"> Из Таблицы 58</w:t>
      </w:r>
      <w:r w:rsidRPr="00835CC4">
        <w:rPr>
          <w:rFonts w:cs="Calibri"/>
          <w:sz w:val="28"/>
          <w:szCs w:val="28"/>
          <w:lang w:eastAsia="ar-SA"/>
        </w:rPr>
        <w:t xml:space="preserve"> следует, что скрининговая шкала </w:t>
      </w:r>
      <w:r w:rsidRPr="00835CC4">
        <w:rPr>
          <w:rFonts w:cs="Calibri"/>
          <w:sz w:val="28"/>
          <w:szCs w:val="28"/>
          <w:lang w:val="en-US" w:eastAsia="ar-SA"/>
        </w:rPr>
        <w:t>qSOFA</w:t>
      </w:r>
      <w:r w:rsidRPr="00835CC4">
        <w:rPr>
          <w:rFonts w:cs="Calibri"/>
          <w:sz w:val="28"/>
          <w:szCs w:val="28"/>
          <w:lang w:eastAsia="ar-SA"/>
        </w:rPr>
        <w:t xml:space="preserve"> характеризуется крайне низкой чувствительностью (5%) по отношению к признакам одонтогенного сепсиса при поступлении пациентов с прогрессирующими воспалительными процессами челюстно-лицевой области в стационар, что не позволяет определить высокий уровень вероятности развития одонтогенного сепсиса на ранних этапах диагностики.</w:t>
      </w:r>
    </w:p>
    <w:p w:rsidR="00286780" w:rsidRPr="00835CC4" w:rsidRDefault="00286780" w:rsidP="00BA0CF5">
      <w:pPr>
        <w:spacing w:line="360" w:lineRule="auto"/>
        <w:ind w:firstLine="709"/>
        <w:jc w:val="both"/>
        <w:rPr>
          <w:rFonts w:cs="Calibri"/>
          <w:sz w:val="28"/>
          <w:szCs w:val="28"/>
          <w:lang w:eastAsia="ar-SA"/>
        </w:rPr>
      </w:pPr>
      <w:r w:rsidRPr="00835CC4">
        <w:rPr>
          <w:rFonts w:cs="Calibri"/>
          <w:sz w:val="28"/>
          <w:szCs w:val="28"/>
          <w:lang w:eastAsia="ar-SA"/>
        </w:rPr>
        <w:lastRenderedPageBreak/>
        <w:t xml:space="preserve">Следовательно, несмотря на высокую специфичность (97,8%), шкала </w:t>
      </w:r>
      <w:r w:rsidRPr="00835CC4">
        <w:rPr>
          <w:rFonts w:cs="Calibri"/>
          <w:sz w:val="28"/>
          <w:szCs w:val="28"/>
          <w:lang w:val="en-US" w:eastAsia="ar-SA"/>
        </w:rPr>
        <w:t>qSOFA</w:t>
      </w:r>
      <w:r w:rsidRPr="00835CC4">
        <w:rPr>
          <w:rFonts w:cs="Calibri"/>
          <w:sz w:val="28"/>
          <w:szCs w:val="28"/>
          <w:lang w:eastAsia="ar-SA"/>
        </w:rPr>
        <w:t xml:space="preserve"> не может быть рекомендована к практическому применению в условиях отделения челюстно-лицевой хирургии.</w:t>
      </w:r>
    </w:p>
    <w:p w:rsidR="00286780" w:rsidRPr="00835CC4" w:rsidRDefault="00286780" w:rsidP="00835CC4">
      <w:pPr>
        <w:jc w:val="both"/>
        <w:rPr>
          <w:rFonts w:cs="Calibri"/>
          <w:sz w:val="28"/>
          <w:szCs w:val="28"/>
          <w:lang w:eastAsia="ar-SA"/>
        </w:rPr>
      </w:pPr>
    </w:p>
    <w:p w:rsidR="00286780" w:rsidRDefault="00286780" w:rsidP="00835CC4">
      <w:pPr>
        <w:spacing w:after="120"/>
        <w:jc w:val="both"/>
        <w:rPr>
          <w:sz w:val="28"/>
          <w:szCs w:val="28"/>
        </w:rPr>
      </w:pPr>
      <w:r w:rsidRPr="00835CC4">
        <w:rPr>
          <w:b/>
          <w:sz w:val="28"/>
          <w:szCs w:val="28"/>
        </w:rPr>
        <w:t>Таблица 5</w:t>
      </w:r>
      <w:r>
        <w:rPr>
          <w:b/>
          <w:sz w:val="28"/>
          <w:szCs w:val="28"/>
        </w:rPr>
        <w:t>8</w:t>
      </w:r>
      <w:r w:rsidRPr="00835CC4">
        <w:rPr>
          <w:sz w:val="28"/>
          <w:szCs w:val="28"/>
        </w:rPr>
        <w:t xml:space="preserve"> – Характеристики критериев qSOFA, SOFA, SIRS и алгоритма по Губину М.А. и др. (2003 г.) у пациентов с МФОИ и ОС</w:t>
      </w:r>
    </w:p>
    <w:tbl>
      <w:tblPr>
        <w:tblW w:w="9923" w:type="dxa"/>
        <w:tblInd w:w="-57" w:type="dxa"/>
        <w:tblLayout w:type="fixed"/>
        <w:tblLook w:val="0000" w:firstRow="0" w:lastRow="0" w:firstColumn="0" w:lastColumn="0" w:noHBand="0" w:noVBand="0"/>
      </w:tblPr>
      <w:tblGrid>
        <w:gridCol w:w="2353"/>
        <w:gridCol w:w="1418"/>
        <w:gridCol w:w="1417"/>
        <w:gridCol w:w="1560"/>
        <w:gridCol w:w="1559"/>
        <w:gridCol w:w="1616"/>
      </w:tblGrid>
      <w:tr w:rsidR="00286780" w:rsidRPr="00835CC4" w:rsidTr="00B478FF">
        <w:trPr>
          <w:trHeight w:val="270"/>
        </w:trPr>
        <w:tc>
          <w:tcPr>
            <w:tcW w:w="2353" w:type="dxa"/>
            <w:vMerge w:val="restart"/>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rPr>
                <w:i/>
                <w:spacing w:val="-8"/>
                <w:sz w:val="24"/>
                <w:szCs w:val="24"/>
                <w:lang w:eastAsia="ar-SA"/>
              </w:rPr>
            </w:pPr>
            <w:r w:rsidRPr="00835CC4">
              <w:rPr>
                <w:i/>
                <w:spacing w:val="-8"/>
                <w:sz w:val="24"/>
                <w:szCs w:val="24"/>
                <w:lang w:eastAsia="ar-SA"/>
              </w:rPr>
              <w:t>Шкала/критерии</w:t>
            </w:r>
          </w:p>
        </w:tc>
        <w:tc>
          <w:tcPr>
            <w:tcW w:w="7570"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35CC4" w:rsidRDefault="00286780" w:rsidP="00835CC4">
            <w:pPr>
              <w:snapToGrid w:val="0"/>
              <w:jc w:val="center"/>
              <w:rPr>
                <w:i/>
                <w:spacing w:val="-8"/>
                <w:sz w:val="24"/>
                <w:szCs w:val="24"/>
                <w:lang w:eastAsia="ar-SA"/>
              </w:rPr>
            </w:pPr>
            <w:r w:rsidRPr="00835CC4">
              <w:rPr>
                <w:i/>
                <w:spacing w:val="-8"/>
                <w:sz w:val="24"/>
                <w:szCs w:val="24"/>
                <w:lang w:eastAsia="ar-SA"/>
              </w:rPr>
              <w:t>Критерии оценки</w:t>
            </w:r>
          </w:p>
        </w:tc>
      </w:tr>
      <w:tr w:rsidR="00286780" w:rsidRPr="00835CC4" w:rsidTr="00B478FF">
        <w:trPr>
          <w:trHeight w:val="461"/>
        </w:trPr>
        <w:tc>
          <w:tcPr>
            <w:tcW w:w="2353" w:type="dxa"/>
            <w:vMerge/>
            <w:tcBorders>
              <w:top w:val="single" w:sz="4" w:space="0" w:color="000000"/>
              <w:left w:val="single" w:sz="4" w:space="0" w:color="000000"/>
              <w:bottom w:val="single" w:sz="4" w:space="0" w:color="000000"/>
            </w:tcBorders>
            <w:tcMar>
              <w:left w:w="28" w:type="dxa"/>
              <w:right w:w="28" w:type="dxa"/>
            </w:tcMar>
          </w:tcPr>
          <w:p w:rsidR="00286780" w:rsidRPr="00835CC4" w:rsidRDefault="00286780" w:rsidP="00835CC4">
            <w:pPr>
              <w:snapToGrid w:val="0"/>
              <w:rPr>
                <w:spacing w:val="-8"/>
                <w:sz w:val="24"/>
                <w:szCs w:val="24"/>
                <w:lang w:eastAsia="ar-SA"/>
              </w:rPr>
            </w:pPr>
          </w:p>
        </w:tc>
        <w:tc>
          <w:tcPr>
            <w:tcW w:w="1418"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B478FF">
            <w:pPr>
              <w:snapToGrid w:val="0"/>
              <w:jc w:val="center"/>
              <w:rPr>
                <w:spacing w:val="-8"/>
                <w:sz w:val="24"/>
                <w:szCs w:val="24"/>
                <w:lang w:eastAsia="ar-SA"/>
              </w:rPr>
            </w:pPr>
            <w:r w:rsidRPr="00835CC4">
              <w:rPr>
                <w:spacing w:val="-8"/>
                <w:sz w:val="24"/>
                <w:szCs w:val="24"/>
                <w:lang w:val="en-US" w:eastAsia="ar-SA"/>
              </w:rPr>
              <w:t>Se[</w:t>
            </w:r>
            <w:r w:rsidRPr="00835CC4">
              <w:rPr>
                <w:spacing w:val="-8"/>
                <w:sz w:val="24"/>
                <w:szCs w:val="24"/>
                <w:lang w:eastAsia="ar-SA"/>
              </w:rPr>
              <w:t>95% ДИ</w:t>
            </w:r>
            <w:r w:rsidRPr="00835CC4">
              <w:rPr>
                <w:spacing w:val="-8"/>
                <w:sz w:val="24"/>
                <w:szCs w:val="24"/>
                <w:lang w:val="en-US" w:eastAsia="ar-SA"/>
              </w:rPr>
              <w:t>]</w:t>
            </w:r>
            <w:r w:rsidRPr="00835CC4">
              <w:rPr>
                <w:spacing w:val="-8"/>
                <w:sz w:val="24"/>
                <w:szCs w:val="24"/>
                <w:lang w:eastAsia="ar-SA"/>
              </w:rPr>
              <w:t xml:space="preserve"> (%)</w:t>
            </w:r>
          </w:p>
        </w:tc>
        <w:tc>
          <w:tcPr>
            <w:tcW w:w="1417"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B478FF">
            <w:pPr>
              <w:snapToGrid w:val="0"/>
              <w:jc w:val="center"/>
              <w:rPr>
                <w:spacing w:val="-8"/>
                <w:sz w:val="24"/>
                <w:szCs w:val="24"/>
                <w:lang w:eastAsia="ar-SA"/>
              </w:rPr>
            </w:pPr>
            <w:r w:rsidRPr="00835CC4">
              <w:rPr>
                <w:spacing w:val="-8"/>
                <w:sz w:val="24"/>
                <w:szCs w:val="24"/>
                <w:lang w:val="en-US" w:eastAsia="ar-SA"/>
              </w:rPr>
              <w:t>Sp[</w:t>
            </w:r>
            <w:r w:rsidRPr="00835CC4">
              <w:rPr>
                <w:spacing w:val="-8"/>
                <w:sz w:val="24"/>
                <w:szCs w:val="24"/>
                <w:lang w:eastAsia="ar-SA"/>
              </w:rPr>
              <w:t>95% ДИ</w:t>
            </w:r>
            <w:r w:rsidRPr="00835CC4">
              <w:rPr>
                <w:spacing w:val="-8"/>
                <w:sz w:val="24"/>
                <w:szCs w:val="24"/>
                <w:lang w:val="en-US" w:eastAsia="ar-SA"/>
              </w:rPr>
              <w:t>]</w:t>
            </w:r>
            <w:r w:rsidRPr="00835CC4">
              <w:rPr>
                <w:spacing w:val="-8"/>
                <w:sz w:val="24"/>
                <w:szCs w:val="24"/>
                <w:lang w:eastAsia="ar-SA"/>
              </w:rPr>
              <w:t xml:space="preserve"> (%)</w:t>
            </w:r>
          </w:p>
        </w:tc>
        <w:tc>
          <w:tcPr>
            <w:tcW w:w="1560"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B478FF">
            <w:pPr>
              <w:snapToGrid w:val="0"/>
              <w:jc w:val="center"/>
              <w:rPr>
                <w:spacing w:val="-8"/>
                <w:sz w:val="24"/>
                <w:szCs w:val="24"/>
                <w:lang w:eastAsia="ar-SA"/>
              </w:rPr>
            </w:pPr>
            <w:r w:rsidRPr="00835CC4">
              <w:rPr>
                <w:spacing w:val="-8"/>
                <w:sz w:val="24"/>
                <w:szCs w:val="24"/>
                <w:lang w:val="en-US" w:eastAsia="ar-SA"/>
              </w:rPr>
              <w:t>Ac[</w:t>
            </w:r>
            <w:r w:rsidRPr="00835CC4">
              <w:rPr>
                <w:spacing w:val="-8"/>
                <w:sz w:val="24"/>
                <w:szCs w:val="24"/>
                <w:lang w:eastAsia="ar-SA"/>
              </w:rPr>
              <w:t>95% ДИ</w:t>
            </w:r>
            <w:r w:rsidRPr="00835CC4">
              <w:rPr>
                <w:spacing w:val="-8"/>
                <w:sz w:val="24"/>
                <w:szCs w:val="24"/>
                <w:lang w:val="en-US" w:eastAsia="ar-SA"/>
              </w:rPr>
              <w:t>]</w:t>
            </w:r>
            <w:r w:rsidRPr="00835CC4">
              <w:rPr>
                <w:spacing w:val="-8"/>
                <w:sz w:val="24"/>
                <w:szCs w:val="24"/>
                <w:lang w:eastAsia="ar-SA"/>
              </w:rPr>
              <w:t xml:space="preserve"> (%)</w:t>
            </w:r>
          </w:p>
        </w:tc>
        <w:tc>
          <w:tcPr>
            <w:tcW w:w="1559"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B478FF">
            <w:pPr>
              <w:snapToGrid w:val="0"/>
              <w:jc w:val="center"/>
              <w:rPr>
                <w:spacing w:val="-8"/>
                <w:sz w:val="24"/>
                <w:szCs w:val="24"/>
                <w:lang w:eastAsia="ar-SA"/>
              </w:rPr>
            </w:pPr>
            <w:r w:rsidRPr="00835CC4">
              <w:rPr>
                <w:spacing w:val="-8"/>
                <w:sz w:val="24"/>
                <w:szCs w:val="24"/>
                <w:lang w:val="en-US" w:eastAsia="ar-SA"/>
              </w:rPr>
              <w:t>PPV[</w:t>
            </w:r>
            <w:r w:rsidRPr="00835CC4">
              <w:rPr>
                <w:spacing w:val="-8"/>
                <w:sz w:val="24"/>
                <w:szCs w:val="24"/>
                <w:lang w:eastAsia="ar-SA"/>
              </w:rPr>
              <w:t>95% ДИ</w:t>
            </w:r>
            <w:r w:rsidRPr="00835CC4">
              <w:rPr>
                <w:spacing w:val="-8"/>
                <w:sz w:val="24"/>
                <w:szCs w:val="24"/>
                <w:lang w:val="en-US" w:eastAsia="ar-SA"/>
              </w:rPr>
              <w:t>]</w:t>
            </w:r>
            <w:r w:rsidRPr="00835CC4">
              <w:rPr>
                <w:spacing w:val="-8"/>
                <w:sz w:val="24"/>
                <w:szCs w:val="24"/>
                <w:lang w:eastAsia="ar-SA"/>
              </w:rPr>
              <w:t xml:space="preserve"> (%)</w:t>
            </w:r>
          </w:p>
        </w:tc>
        <w:tc>
          <w:tcPr>
            <w:tcW w:w="16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35CC4" w:rsidRDefault="00286780" w:rsidP="00B478FF">
            <w:pPr>
              <w:snapToGrid w:val="0"/>
              <w:jc w:val="center"/>
              <w:rPr>
                <w:spacing w:val="-8"/>
                <w:sz w:val="24"/>
                <w:szCs w:val="24"/>
                <w:lang w:eastAsia="ar-SA"/>
              </w:rPr>
            </w:pPr>
            <w:r w:rsidRPr="00835CC4">
              <w:rPr>
                <w:spacing w:val="-8"/>
                <w:sz w:val="24"/>
                <w:szCs w:val="24"/>
                <w:lang w:val="en-US" w:eastAsia="ar-SA"/>
              </w:rPr>
              <w:t>NPV[</w:t>
            </w:r>
            <w:r w:rsidRPr="00835CC4">
              <w:rPr>
                <w:spacing w:val="-8"/>
                <w:sz w:val="24"/>
                <w:szCs w:val="24"/>
                <w:lang w:eastAsia="ar-SA"/>
              </w:rPr>
              <w:t>95% ДИ</w:t>
            </w:r>
            <w:r w:rsidRPr="00835CC4">
              <w:rPr>
                <w:spacing w:val="-8"/>
                <w:sz w:val="24"/>
                <w:szCs w:val="24"/>
                <w:lang w:val="en-US" w:eastAsia="ar-SA"/>
              </w:rPr>
              <w:t>]</w:t>
            </w:r>
            <w:r w:rsidRPr="00835CC4">
              <w:rPr>
                <w:spacing w:val="-8"/>
                <w:sz w:val="24"/>
                <w:szCs w:val="24"/>
                <w:lang w:eastAsia="ar-SA"/>
              </w:rPr>
              <w:t xml:space="preserve"> (%)</w:t>
            </w:r>
          </w:p>
        </w:tc>
      </w:tr>
      <w:tr w:rsidR="00286780" w:rsidRPr="00835CC4" w:rsidTr="00B478FF">
        <w:trPr>
          <w:trHeight w:val="600"/>
        </w:trPr>
        <w:tc>
          <w:tcPr>
            <w:tcW w:w="2353"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rPr>
                <w:spacing w:val="-8"/>
                <w:sz w:val="24"/>
                <w:szCs w:val="24"/>
                <w:lang w:eastAsia="ar-SA"/>
              </w:rPr>
            </w:pPr>
            <w:r w:rsidRPr="00835CC4">
              <w:rPr>
                <w:spacing w:val="-8"/>
                <w:sz w:val="24"/>
                <w:szCs w:val="24"/>
                <w:lang w:val="en-US" w:eastAsia="ar-SA"/>
              </w:rPr>
              <w:t>qSOFA</w:t>
            </w:r>
          </w:p>
        </w:tc>
        <w:tc>
          <w:tcPr>
            <w:tcW w:w="1418"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B478FF">
            <w:pPr>
              <w:snapToGrid w:val="0"/>
              <w:jc w:val="center"/>
              <w:rPr>
                <w:spacing w:val="-8"/>
                <w:sz w:val="24"/>
                <w:szCs w:val="24"/>
                <w:lang w:eastAsia="ar-SA"/>
              </w:rPr>
            </w:pPr>
            <w:r w:rsidRPr="00835CC4">
              <w:rPr>
                <w:spacing w:val="-8"/>
                <w:sz w:val="24"/>
                <w:szCs w:val="24"/>
                <w:lang w:eastAsia="ar-SA"/>
              </w:rPr>
              <w:t xml:space="preserve">5 </w:t>
            </w:r>
            <w:r w:rsidRPr="00835CC4">
              <w:rPr>
                <w:spacing w:val="-8"/>
                <w:sz w:val="24"/>
                <w:szCs w:val="24"/>
                <w:lang w:val="en-US" w:eastAsia="ar-SA"/>
              </w:rPr>
              <w:t>[</w:t>
            </w:r>
            <w:r w:rsidRPr="00835CC4">
              <w:rPr>
                <w:spacing w:val="-8"/>
                <w:sz w:val="24"/>
                <w:szCs w:val="24"/>
                <w:lang w:eastAsia="ar-SA"/>
              </w:rPr>
              <w:t>0,61; 16,92</w:t>
            </w:r>
            <w:r w:rsidRPr="00835CC4">
              <w:rPr>
                <w:spacing w:val="-8"/>
                <w:sz w:val="24"/>
                <w:szCs w:val="24"/>
                <w:lang w:val="en-US" w:eastAsia="ar-SA"/>
              </w:rPr>
              <w:t xml:space="preserve">] </w:t>
            </w:r>
            <w:r w:rsidRPr="00835CC4">
              <w:rPr>
                <w:spacing w:val="-8"/>
                <w:sz w:val="24"/>
                <w:szCs w:val="24"/>
                <w:lang w:eastAsia="ar-SA"/>
              </w:rPr>
              <w:t>(!)</w:t>
            </w:r>
          </w:p>
        </w:tc>
        <w:tc>
          <w:tcPr>
            <w:tcW w:w="1417"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B478FF">
            <w:pPr>
              <w:snapToGrid w:val="0"/>
              <w:jc w:val="center"/>
              <w:rPr>
                <w:spacing w:val="-8"/>
                <w:sz w:val="24"/>
                <w:szCs w:val="24"/>
                <w:lang w:eastAsia="ar-SA"/>
              </w:rPr>
            </w:pPr>
            <w:r w:rsidRPr="00835CC4">
              <w:rPr>
                <w:spacing w:val="-8"/>
                <w:sz w:val="24"/>
                <w:szCs w:val="24"/>
                <w:lang w:eastAsia="ar-SA"/>
              </w:rPr>
              <w:t>97,78</w:t>
            </w:r>
            <w:r w:rsidRPr="00B478FF">
              <w:rPr>
                <w:spacing w:val="-8"/>
                <w:sz w:val="24"/>
                <w:szCs w:val="24"/>
                <w:lang w:eastAsia="ar-SA"/>
              </w:rPr>
              <w:br/>
            </w:r>
            <w:r w:rsidRPr="00835CC4">
              <w:rPr>
                <w:spacing w:val="-8"/>
                <w:sz w:val="24"/>
                <w:szCs w:val="24"/>
                <w:lang w:eastAsia="ar-SA"/>
              </w:rPr>
              <w:t>[88,23; 99,94]</w:t>
            </w:r>
          </w:p>
        </w:tc>
        <w:tc>
          <w:tcPr>
            <w:tcW w:w="1560"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B478FF">
            <w:pPr>
              <w:snapToGrid w:val="0"/>
              <w:jc w:val="center"/>
              <w:rPr>
                <w:spacing w:val="-8"/>
                <w:sz w:val="24"/>
                <w:szCs w:val="24"/>
                <w:lang w:val="en-US" w:eastAsia="ar-SA"/>
              </w:rPr>
            </w:pPr>
            <w:r w:rsidRPr="00835CC4">
              <w:rPr>
                <w:spacing w:val="-8"/>
                <w:sz w:val="24"/>
                <w:szCs w:val="24"/>
                <w:lang w:val="en-US" w:eastAsia="ar-SA"/>
              </w:rPr>
              <w:t>54,12</w:t>
            </w:r>
            <w:r>
              <w:rPr>
                <w:spacing w:val="-8"/>
                <w:sz w:val="24"/>
                <w:szCs w:val="24"/>
                <w:lang w:eastAsia="ar-SA"/>
              </w:rPr>
              <w:br/>
            </w:r>
            <w:r w:rsidRPr="00835CC4">
              <w:rPr>
                <w:spacing w:val="-8"/>
                <w:sz w:val="24"/>
                <w:szCs w:val="24"/>
                <w:lang w:val="en-US" w:eastAsia="ar-SA"/>
              </w:rPr>
              <w:t>[42,96;64,98]</w:t>
            </w:r>
          </w:p>
        </w:tc>
        <w:tc>
          <w:tcPr>
            <w:tcW w:w="1559"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B478FF">
            <w:pPr>
              <w:snapToGrid w:val="0"/>
              <w:jc w:val="center"/>
              <w:rPr>
                <w:spacing w:val="-8"/>
                <w:sz w:val="24"/>
                <w:szCs w:val="24"/>
                <w:lang w:val="en-US" w:eastAsia="ar-SA"/>
              </w:rPr>
            </w:pPr>
            <w:r w:rsidRPr="00835CC4">
              <w:rPr>
                <w:spacing w:val="-8"/>
                <w:sz w:val="24"/>
                <w:szCs w:val="24"/>
                <w:lang w:val="en-US" w:eastAsia="ar-SA"/>
              </w:rPr>
              <w:t>66,67</w:t>
            </w:r>
            <w:r>
              <w:rPr>
                <w:spacing w:val="-8"/>
                <w:sz w:val="24"/>
                <w:szCs w:val="24"/>
                <w:lang w:eastAsia="ar-SA"/>
              </w:rPr>
              <w:br/>
            </w:r>
            <w:r w:rsidRPr="00835CC4">
              <w:rPr>
                <w:spacing w:val="-8"/>
                <w:sz w:val="24"/>
                <w:szCs w:val="24"/>
                <w:lang w:val="en-US" w:eastAsia="ar-SA"/>
              </w:rPr>
              <w:t>[15,85;95,5]</w:t>
            </w:r>
          </w:p>
        </w:tc>
        <w:tc>
          <w:tcPr>
            <w:tcW w:w="16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Default="00286780" w:rsidP="00B478FF">
            <w:pPr>
              <w:snapToGrid w:val="0"/>
              <w:jc w:val="center"/>
              <w:rPr>
                <w:spacing w:val="-8"/>
                <w:sz w:val="24"/>
                <w:szCs w:val="24"/>
                <w:lang w:eastAsia="ar-SA"/>
              </w:rPr>
            </w:pPr>
            <w:r w:rsidRPr="00835CC4">
              <w:rPr>
                <w:spacing w:val="-8"/>
                <w:sz w:val="24"/>
                <w:szCs w:val="24"/>
                <w:lang w:val="en-US" w:eastAsia="ar-SA"/>
              </w:rPr>
              <w:t>53,66</w:t>
            </w:r>
          </w:p>
          <w:p w:rsidR="00286780" w:rsidRPr="00835CC4" w:rsidRDefault="00286780" w:rsidP="00B478FF">
            <w:pPr>
              <w:snapToGrid w:val="0"/>
              <w:jc w:val="center"/>
              <w:rPr>
                <w:spacing w:val="-8"/>
                <w:sz w:val="24"/>
                <w:szCs w:val="24"/>
                <w:lang w:val="en-US" w:eastAsia="ar-SA"/>
              </w:rPr>
            </w:pPr>
            <w:r w:rsidRPr="00835CC4">
              <w:rPr>
                <w:spacing w:val="-8"/>
                <w:sz w:val="24"/>
                <w:szCs w:val="24"/>
                <w:lang w:val="en-US" w:eastAsia="ar-SA"/>
              </w:rPr>
              <w:t>[42,96;64,98]</w:t>
            </w:r>
          </w:p>
        </w:tc>
      </w:tr>
      <w:tr w:rsidR="00286780" w:rsidRPr="00835CC4" w:rsidTr="00B478FF">
        <w:trPr>
          <w:trHeight w:val="615"/>
        </w:trPr>
        <w:tc>
          <w:tcPr>
            <w:tcW w:w="2353"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rPr>
                <w:spacing w:val="-8"/>
                <w:sz w:val="24"/>
                <w:szCs w:val="24"/>
                <w:lang w:val="en-US" w:eastAsia="ar-SA"/>
              </w:rPr>
            </w:pPr>
            <w:r w:rsidRPr="00835CC4">
              <w:rPr>
                <w:spacing w:val="-8"/>
                <w:sz w:val="24"/>
                <w:szCs w:val="24"/>
                <w:lang w:val="en-US" w:eastAsia="ar-SA"/>
              </w:rPr>
              <w:t>SOFA</w:t>
            </w:r>
          </w:p>
        </w:tc>
        <w:tc>
          <w:tcPr>
            <w:tcW w:w="1418"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B478FF">
            <w:pPr>
              <w:snapToGrid w:val="0"/>
              <w:jc w:val="center"/>
              <w:rPr>
                <w:spacing w:val="-8"/>
                <w:sz w:val="24"/>
                <w:szCs w:val="24"/>
                <w:lang w:eastAsia="ar-SA"/>
              </w:rPr>
            </w:pPr>
            <w:r w:rsidRPr="00835CC4">
              <w:rPr>
                <w:spacing w:val="-8"/>
                <w:sz w:val="24"/>
                <w:szCs w:val="24"/>
                <w:lang w:eastAsia="ar-SA"/>
              </w:rPr>
              <w:t>100</w:t>
            </w:r>
            <w:r>
              <w:rPr>
                <w:spacing w:val="-8"/>
                <w:sz w:val="24"/>
                <w:szCs w:val="24"/>
                <w:lang w:eastAsia="ar-SA"/>
              </w:rPr>
              <w:br/>
            </w:r>
            <w:r w:rsidRPr="00835CC4">
              <w:rPr>
                <w:spacing w:val="-8"/>
                <w:sz w:val="24"/>
                <w:szCs w:val="24"/>
                <w:lang w:val="en-US" w:eastAsia="ar-SA"/>
              </w:rPr>
              <w:t xml:space="preserve">[91,19;100] </w:t>
            </w:r>
            <w:r w:rsidRPr="00835CC4">
              <w:rPr>
                <w:spacing w:val="-8"/>
                <w:sz w:val="24"/>
                <w:szCs w:val="24"/>
                <w:lang w:eastAsia="ar-SA"/>
              </w:rPr>
              <w:t>(!)</w:t>
            </w:r>
          </w:p>
        </w:tc>
        <w:tc>
          <w:tcPr>
            <w:tcW w:w="1417"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B478FF">
            <w:pPr>
              <w:snapToGrid w:val="0"/>
              <w:jc w:val="center"/>
              <w:rPr>
                <w:spacing w:val="-8"/>
                <w:sz w:val="24"/>
                <w:szCs w:val="24"/>
                <w:lang w:val="en-US" w:eastAsia="ar-SA"/>
              </w:rPr>
            </w:pPr>
            <w:r w:rsidRPr="00835CC4">
              <w:rPr>
                <w:spacing w:val="-8"/>
                <w:sz w:val="24"/>
                <w:szCs w:val="24"/>
                <w:lang w:val="en-US" w:eastAsia="ar-SA"/>
              </w:rPr>
              <w:t>86,67</w:t>
            </w:r>
            <w:r>
              <w:rPr>
                <w:spacing w:val="-8"/>
                <w:sz w:val="24"/>
                <w:szCs w:val="24"/>
                <w:lang w:eastAsia="ar-SA"/>
              </w:rPr>
              <w:br/>
            </w:r>
            <w:r w:rsidRPr="00835CC4">
              <w:rPr>
                <w:spacing w:val="-8"/>
                <w:sz w:val="24"/>
                <w:szCs w:val="24"/>
                <w:lang w:val="en-US" w:eastAsia="ar-SA"/>
              </w:rPr>
              <w:t>[73,21;94,95]</w:t>
            </w:r>
          </w:p>
        </w:tc>
        <w:tc>
          <w:tcPr>
            <w:tcW w:w="1560"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B478FF">
            <w:pPr>
              <w:snapToGrid w:val="0"/>
              <w:jc w:val="center"/>
              <w:rPr>
                <w:spacing w:val="-8"/>
                <w:sz w:val="24"/>
                <w:szCs w:val="24"/>
                <w:lang w:val="en-US" w:eastAsia="ar-SA"/>
              </w:rPr>
            </w:pPr>
            <w:r w:rsidRPr="00835CC4">
              <w:rPr>
                <w:spacing w:val="-8"/>
                <w:sz w:val="24"/>
                <w:szCs w:val="24"/>
                <w:lang w:val="en-US" w:eastAsia="ar-SA"/>
              </w:rPr>
              <w:t>92,94</w:t>
            </w:r>
            <w:r>
              <w:rPr>
                <w:spacing w:val="-8"/>
                <w:sz w:val="24"/>
                <w:szCs w:val="24"/>
                <w:lang w:eastAsia="ar-SA"/>
              </w:rPr>
              <w:br/>
            </w:r>
            <w:r w:rsidRPr="00835CC4">
              <w:rPr>
                <w:spacing w:val="-8"/>
                <w:sz w:val="24"/>
                <w:szCs w:val="24"/>
                <w:lang w:val="en-US" w:eastAsia="ar-SA"/>
              </w:rPr>
              <w:t>[85,27;97,37]</w:t>
            </w:r>
          </w:p>
        </w:tc>
        <w:tc>
          <w:tcPr>
            <w:tcW w:w="1559" w:type="dxa"/>
            <w:tcBorders>
              <w:top w:val="single" w:sz="4" w:space="0" w:color="000000"/>
              <w:left w:val="single" w:sz="4" w:space="0" w:color="000000"/>
              <w:bottom w:val="single" w:sz="4" w:space="0" w:color="000000"/>
            </w:tcBorders>
            <w:tcMar>
              <w:left w:w="28" w:type="dxa"/>
              <w:right w:w="28" w:type="dxa"/>
            </w:tcMar>
            <w:vAlign w:val="center"/>
          </w:tcPr>
          <w:p w:rsidR="00286780" w:rsidRDefault="00286780" w:rsidP="00B478FF">
            <w:pPr>
              <w:snapToGrid w:val="0"/>
              <w:jc w:val="center"/>
              <w:rPr>
                <w:spacing w:val="-8"/>
                <w:sz w:val="24"/>
                <w:szCs w:val="24"/>
                <w:lang w:eastAsia="ar-SA"/>
              </w:rPr>
            </w:pPr>
            <w:r w:rsidRPr="00835CC4">
              <w:rPr>
                <w:spacing w:val="-8"/>
                <w:sz w:val="24"/>
                <w:szCs w:val="24"/>
                <w:lang w:val="en-US" w:eastAsia="ar-SA"/>
              </w:rPr>
              <w:t>86,96</w:t>
            </w:r>
          </w:p>
          <w:p w:rsidR="00286780" w:rsidRPr="00835CC4" w:rsidRDefault="00286780" w:rsidP="00B478FF">
            <w:pPr>
              <w:snapToGrid w:val="0"/>
              <w:jc w:val="center"/>
              <w:rPr>
                <w:spacing w:val="-8"/>
                <w:sz w:val="24"/>
                <w:szCs w:val="24"/>
                <w:lang w:val="en-US" w:eastAsia="ar-SA"/>
              </w:rPr>
            </w:pPr>
            <w:r w:rsidRPr="00835CC4">
              <w:rPr>
                <w:spacing w:val="-8"/>
                <w:sz w:val="24"/>
                <w:szCs w:val="24"/>
                <w:lang w:val="en-US" w:eastAsia="ar-SA"/>
              </w:rPr>
              <w:t>[75,99;93,35]</w:t>
            </w:r>
          </w:p>
        </w:tc>
        <w:tc>
          <w:tcPr>
            <w:tcW w:w="16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35CC4" w:rsidRDefault="00286780" w:rsidP="00B478FF">
            <w:pPr>
              <w:snapToGrid w:val="0"/>
              <w:jc w:val="center"/>
              <w:rPr>
                <w:spacing w:val="-8"/>
                <w:sz w:val="24"/>
                <w:szCs w:val="24"/>
                <w:lang w:eastAsia="ar-SA"/>
              </w:rPr>
            </w:pPr>
            <w:r w:rsidRPr="00835CC4">
              <w:rPr>
                <w:spacing w:val="-8"/>
                <w:sz w:val="24"/>
                <w:szCs w:val="24"/>
                <w:lang w:val="en-US" w:eastAsia="ar-SA"/>
              </w:rPr>
              <w:t xml:space="preserve">100 </w:t>
            </w:r>
            <w:r w:rsidRPr="00835CC4">
              <w:rPr>
                <w:spacing w:val="-8"/>
                <w:sz w:val="24"/>
                <w:szCs w:val="24"/>
                <w:lang w:eastAsia="ar-SA"/>
              </w:rPr>
              <w:t>(!)</w:t>
            </w:r>
          </w:p>
        </w:tc>
      </w:tr>
      <w:tr w:rsidR="00286780" w:rsidRPr="00835CC4" w:rsidTr="00B478FF">
        <w:trPr>
          <w:trHeight w:val="510"/>
        </w:trPr>
        <w:tc>
          <w:tcPr>
            <w:tcW w:w="2353"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rPr>
                <w:spacing w:val="-8"/>
                <w:sz w:val="24"/>
                <w:szCs w:val="24"/>
                <w:lang w:eastAsia="ar-SA"/>
              </w:rPr>
            </w:pPr>
            <w:r w:rsidRPr="00835CC4">
              <w:rPr>
                <w:spacing w:val="-8"/>
                <w:sz w:val="24"/>
                <w:szCs w:val="24"/>
                <w:lang w:val="en-US" w:eastAsia="ar-SA"/>
              </w:rPr>
              <w:t>SIRS</w:t>
            </w:r>
            <w:r w:rsidRPr="00835CC4">
              <w:rPr>
                <w:spacing w:val="-8"/>
                <w:sz w:val="24"/>
                <w:szCs w:val="24"/>
                <w:lang w:eastAsia="ar-SA"/>
              </w:rPr>
              <w:t>2</w:t>
            </w:r>
          </w:p>
        </w:tc>
        <w:tc>
          <w:tcPr>
            <w:tcW w:w="1418" w:type="dxa"/>
            <w:tcBorders>
              <w:top w:val="single" w:sz="4" w:space="0" w:color="000000"/>
              <w:left w:val="single" w:sz="4" w:space="0" w:color="000000"/>
              <w:bottom w:val="single" w:sz="4" w:space="0" w:color="000000"/>
            </w:tcBorders>
            <w:tcMar>
              <w:left w:w="28" w:type="dxa"/>
              <w:right w:w="28" w:type="dxa"/>
            </w:tcMar>
            <w:vAlign w:val="center"/>
          </w:tcPr>
          <w:p w:rsidR="00286780" w:rsidRDefault="00286780" w:rsidP="00B478FF">
            <w:pPr>
              <w:snapToGrid w:val="0"/>
              <w:jc w:val="center"/>
              <w:rPr>
                <w:spacing w:val="-8"/>
                <w:sz w:val="24"/>
                <w:szCs w:val="24"/>
                <w:lang w:eastAsia="ar-SA"/>
              </w:rPr>
            </w:pPr>
            <w:r w:rsidRPr="00835CC4">
              <w:rPr>
                <w:spacing w:val="-8"/>
                <w:sz w:val="24"/>
                <w:szCs w:val="24"/>
                <w:lang w:val="en-US" w:eastAsia="ar-SA"/>
              </w:rPr>
              <w:t>97,5</w:t>
            </w:r>
          </w:p>
          <w:p w:rsidR="00286780" w:rsidRPr="00835CC4" w:rsidRDefault="00286780" w:rsidP="00B478FF">
            <w:pPr>
              <w:snapToGrid w:val="0"/>
              <w:jc w:val="center"/>
              <w:rPr>
                <w:spacing w:val="-8"/>
                <w:sz w:val="24"/>
                <w:szCs w:val="24"/>
                <w:lang w:val="en-US" w:eastAsia="ar-SA"/>
              </w:rPr>
            </w:pPr>
            <w:r w:rsidRPr="00835CC4">
              <w:rPr>
                <w:spacing w:val="-8"/>
                <w:sz w:val="24"/>
                <w:szCs w:val="24"/>
                <w:lang w:val="en-US" w:eastAsia="ar-SA"/>
              </w:rPr>
              <w:t>[86,84;99,94]</w:t>
            </w:r>
          </w:p>
        </w:tc>
        <w:tc>
          <w:tcPr>
            <w:tcW w:w="1417" w:type="dxa"/>
            <w:tcBorders>
              <w:top w:val="single" w:sz="4" w:space="0" w:color="000000"/>
              <w:left w:val="single" w:sz="4" w:space="0" w:color="000000"/>
              <w:bottom w:val="single" w:sz="4" w:space="0" w:color="000000"/>
            </w:tcBorders>
            <w:tcMar>
              <w:left w:w="28" w:type="dxa"/>
              <w:right w:w="28" w:type="dxa"/>
            </w:tcMar>
            <w:vAlign w:val="center"/>
          </w:tcPr>
          <w:p w:rsidR="00286780" w:rsidRDefault="00286780" w:rsidP="00B478FF">
            <w:pPr>
              <w:snapToGrid w:val="0"/>
              <w:jc w:val="center"/>
              <w:rPr>
                <w:spacing w:val="-8"/>
                <w:sz w:val="24"/>
                <w:szCs w:val="24"/>
                <w:lang w:eastAsia="ar-SA"/>
              </w:rPr>
            </w:pPr>
            <w:r w:rsidRPr="00835CC4">
              <w:rPr>
                <w:spacing w:val="-8"/>
                <w:sz w:val="24"/>
                <w:szCs w:val="24"/>
                <w:lang w:val="en-US" w:eastAsia="ar-SA"/>
              </w:rPr>
              <w:t>77,78</w:t>
            </w:r>
          </w:p>
          <w:p w:rsidR="00286780" w:rsidRPr="00835CC4" w:rsidRDefault="00286780" w:rsidP="00B478FF">
            <w:pPr>
              <w:snapToGrid w:val="0"/>
              <w:jc w:val="center"/>
              <w:rPr>
                <w:spacing w:val="-8"/>
                <w:sz w:val="24"/>
                <w:szCs w:val="24"/>
                <w:lang w:val="en-US" w:eastAsia="ar-SA"/>
              </w:rPr>
            </w:pPr>
            <w:r w:rsidRPr="00835CC4">
              <w:rPr>
                <w:spacing w:val="-8"/>
                <w:sz w:val="24"/>
                <w:szCs w:val="24"/>
                <w:lang w:val="en-US" w:eastAsia="ar-SA"/>
              </w:rPr>
              <w:t>[62,91;88,8]</w:t>
            </w:r>
          </w:p>
        </w:tc>
        <w:tc>
          <w:tcPr>
            <w:tcW w:w="1560" w:type="dxa"/>
            <w:tcBorders>
              <w:top w:val="single" w:sz="4" w:space="0" w:color="000000"/>
              <w:left w:val="single" w:sz="4" w:space="0" w:color="000000"/>
              <w:bottom w:val="single" w:sz="4" w:space="0" w:color="000000"/>
            </w:tcBorders>
            <w:tcMar>
              <w:left w:w="28" w:type="dxa"/>
              <w:right w:w="28" w:type="dxa"/>
            </w:tcMar>
            <w:vAlign w:val="center"/>
          </w:tcPr>
          <w:p w:rsidR="00286780" w:rsidRDefault="00286780" w:rsidP="00B478FF">
            <w:pPr>
              <w:snapToGrid w:val="0"/>
              <w:jc w:val="center"/>
              <w:rPr>
                <w:spacing w:val="-8"/>
                <w:sz w:val="24"/>
                <w:szCs w:val="24"/>
                <w:lang w:eastAsia="ar-SA"/>
              </w:rPr>
            </w:pPr>
            <w:r w:rsidRPr="00835CC4">
              <w:rPr>
                <w:spacing w:val="-8"/>
                <w:sz w:val="24"/>
                <w:szCs w:val="24"/>
                <w:lang w:val="en-US" w:eastAsia="ar-SA"/>
              </w:rPr>
              <w:t>87,06</w:t>
            </w:r>
          </w:p>
          <w:p w:rsidR="00286780" w:rsidRPr="00835CC4" w:rsidRDefault="00286780" w:rsidP="00B478FF">
            <w:pPr>
              <w:snapToGrid w:val="0"/>
              <w:jc w:val="center"/>
              <w:rPr>
                <w:spacing w:val="-8"/>
                <w:sz w:val="24"/>
                <w:szCs w:val="24"/>
                <w:lang w:val="en-US" w:eastAsia="ar-SA"/>
              </w:rPr>
            </w:pPr>
            <w:r w:rsidRPr="00835CC4">
              <w:rPr>
                <w:spacing w:val="-8"/>
                <w:sz w:val="24"/>
                <w:szCs w:val="24"/>
                <w:lang w:val="en-US" w:eastAsia="ar-SA"/>
              </w:rPr>
              <w:t>[78,02;93,36]</w:t>
            </w:r>
          </w:p>
        </w:tc>
        <w:tc>
          <w:tcPr>
            <w:tcW w:w="1559" w:type="dxa"/>
            <w:tcBorders>
              <w:top w:val="single" w:sz="4" w:space="0" w:color="000000"/>
              <w:left w:val="single" w:sz="4" w:space="0" w:color="000000"/>
              <w:bottom w:val="single" w:sz="4" w:space="0" w:color="000000"/>
            </w:tcBorders>
            <w:tcMar>
              <w:left w:w="28" w:type="dxa"/>
              <w:right w:w="28" w:type="dxa"/>
            </w:tcMar>
            <w:vAlign w:val="center"/>
          </w:tcPr>
          <w:p w:rsidR="00286780" w:rsidRDefault="00286780" w:rsidP="00B478FF">
            <w:pPr>
              <w:snapToGrid w:val="0"/>
              <w:jc w:val="center"/>
              <w:rPr>
                <w:spacing w:val="-8"/>
                <w:sz w:val="24"/>
                <w:szCs w:val="24"/>
                <w:lang w:eastAsia="ar-SA"/>
              </w:rPr>
            </w:pPr>
            <w:r w:rsidRPr="00835CC4">
              <w:rPr>
                <w:spacing w:val="-8"/>
                <w:sz w:val="24"/>
                <w:szCs w:val="24"/>
                <w:lang w:val="en-US" w:eastAsia="ar-SA"/>
              </w:rPr>
              <w:t>79,59</w:t>
            </w:r>
          </w:p>
          <w:p w:rsidR="00286780" w:rsidRPr="00835CC4" w:rsidRDefault="00286780" w:rsidP="00B478FF">
            <w:pPr>
              <w:snapToGrid w:val="0"/>
              <w:jc w:val="center"/>
              <w:rPr>
                <w:spacing w:val="-8"/>
                <w:sz w:val="24"/>
                <w:szCs w:val="24"/>
                <w:lang w:val="en-US" w:eastAsia="ar-SA"/>
              </w:rPr>
            </w:pPr>
            <w:r w:rsidRPr="00835CC4">
              <w:rPr>
                <w:spacing w:val="-8"/>
                <w:sz w:val="24"/>
                <w:szCs w:val="24"/>
                <w:lang w:val="en-US" w:eastAsia="ar-SA"/>
              </w:rPr>
              <w:t>[69,26;87,1]</w:t>
            </w:r>
          </w:p>
        </w:tc>
        <w:tc>
          <w:tcPr>
            <w:tcW w:w="16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Default="00286780" w:rsidP="00B478FF">
            <w:pPr>
              <w:snapToGrid w:val="0"/>
              <w:jc w:val="center"/>
              <w:rPr>
                <w:spacing w:val="-8"/>
                <w:sz w:val="24"/>
                <w:szCs w:val="24"/>
                <w:lang w:eastAsia="ar-SA"/>
              </w:rPr>
            </w:pPr>
            <w:r w:rsidRPr="00835CC4">
              <w:rPr>
                <w:spacing w:val="-8"/>
                <w:sz w:val="24"/>
                <w:szCs w:val="24"/>
                <w:lang w:val="en-US" w:eastAsia="ar-SA"/>
              </w:rPr>
              <w:t>97,22</w:t>
            </w:r>
          </w:p>
          <w:p w:rsidR="00286780" w:rsidRPr="00835CC4" w:rsidRDefault="00286780" w:rsidP="00B478FF">
            <w:pPr>
              <w:snapToGrid w:val="0"/>
              <w:jc w:val="center"/>
              <w:rPr>
                <w:spacing w:val="-8"/>
                <w:sz w:val="24"/>
                <w:szCs w:val="24"/>
                <w:lang w:val="en-US" w:eastAsia="ar-SA"/>
              </w:rPr>
            </w:pPr>
            <w:r w:rsidRPr="00835CC4">
              <w:rPr>
                <w:spacing w:val="-8"/>
                <w:sz w:val="24"/>
                <w:szCs w:val="24"/>
                <w:lang w:val="en-US" w:eastAsia="ar-SA"/>
              </w:rPr>
              <w:t>[83,39;99,59]</w:t>
            </w:r>
          </w:p>
        </w:tc>
      </w:tr>
      <w:tr w:rsidR="00286780" w:rsidRPr="00835CC4" w:rsidTr="00B478FF">
        <w:trPr>
          <w:trHeight w:val="510"/>
        </w:trPr>
        <w:tc>
          <w:tcPr>
            <w:tcW w:w="2353"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rPr>
                <w:spacing w:val="-8"/>
                <w:sz w:val="24"/>
                <w:szCs w:val="24"/>
                <w:lang w:eastAsia="ar-SA"/>
              </w:rPr>
            </w:pPr>
            <w:r w:rsidRPr="00835CC4">
              <w:rPr>
                <w:spacing w:val="-8"/>
                <w:sz w:val="24"/>
                <w:szCs w:val="24"/>
                <w:lang w:val="en-US" w:eastAsia="ar-SA"/>
              </w:rPr>
              <w:t>SIRS</w:t>
            </w:r>
            <w:r w:rsidRPr="00835CC4">
              <w:rPr>
                <w:spacing w:val="-8"/>
                <w:sz w:val="24"/>
                <w:szCs w:val="24"/>
                <w:lang w:eastAsia="ar-SA"/>
              </w:rPr>
              <w:t>3</w:t>
            </w:r>
          </w:p>
        </w:tc>
        <w:tc>
          <w:tcPr>
            <w:tcW w:w="1418" w:type="dxa"/>
            <w:tcBorders>
              <w:top w:val="single" w:sz="4" w:space="0" w:color="000000"/>
              <w:left w:val="single" w:sz="4" w:space="0" w:color="000000"/>
              <w:bottom w:val="single" w:sz="4" w:space="0" w:color="000000"/>
            </w:tcBorders>
            <w:tcMar>
              <w:left w:w="28" w:type="dxa"/>
              <w:right w:w="28" w:type="dxa"/>
            </w:tcMar>
            <w:vAlign w:val="center"/>
          </w:tcPr>
          <w:p w:rsidR="00286780" w:rsidRDefault="00286780" w:rsidP="00B478FF">
            <w:pPr>
              <w:snapToGrid w:val="0"/>
              <w:jc w:val="center"/>
              <w:rPr>
                <w:spacing w:val="-8"/>
                <w:sz w:val="24"/>
                <w:szCs w:val="24"/>
                <w:lang w:eastAsia="ar-SA"/>
              </w:rPr>
            </w:pPr>
            <w:r w:rsidRPr="00835CC4">
              <w:rPr>
                <w:spacing w:val="-8"/>
                <w:sz w:val="24"/>
                <w:szCs w:val="24"/>
                <w:lang w:eastAsia="ar-SA"/>
              </w:rPr>
              <w:t>47,5</w:t>
            </w:r>
          </w:p>
          <w:p w:rsidR="00286780" w:rsidRPr="00835CC4" w:rsidRDefault="00286780" w:rsidP="00B478FF">
            <w:pPr>
              <w:snapToGrid w:val="0"/>
              <w:jc w:val="center"/>
              <w:rPr>
                <w:spacing w:val="-8"/>
                <w:sz w:val="24"/>
                <w:szCs w:val="24"/>
                <w:lang w:val="en-US" w:eastAsia="ar-SA"/>
              </w:rPr>
            </w:pPr>
            <w:r w:rsidRPr="00835CC4">
              <w:rPr>
                <w:spacing w:val="-8"/>
                <w:sz w:val="24"/>
                <w:szCs w:val="24"/>
                <w:lang w:val="en-US" w:eastAsia="ar-SA"/>
              </w:rPr>
              <w:t>[31,51;63,87]</w:t>
            </w:r>
          </w:p>
        </w:tc>
        <w:tc>
          <w:tcPr>
            <w:tcW w:w="1417" w:type="dxa"/>
            <w:tcBorders>
              <w:top w:val="single" w:sz="4" w:space="0" w:color="000000"/>
              <w:left w:val="single" w:sz="4" w:space="0" w:color="000000"/>
              <w:bottom w:val="single" w:sz="4" w:space="0" w:color="000000"/>
            </w:tcBorders>
            <w:tcMar>
              <w:left w:w="28" w:type="dxa"/>
              <w:right w:w="28" w:type="dxa"/>
            </w:tcMar>
            <w:vAlign w:val="center"/>
          </w:tcPr>
          <w:p w:rsidR="00286780" w:rsidRDefault="00286780" w:rsidP="00B478FF">
            <w:pPr>
              <w:snapToGrid w:val="0"/>
              <w:jc w:val="center"/>
              <w:rPr>
                <w:spacing w:val="-8"/>
                <w:sz w:val="24"/>
                <w:szCs w:val="24"/>
                <w:lang w:eastAsia="ar-SA"/>
              </w:rPr>
            </w:pPr>
            <w:r w:rsidRPr="00835CC4">
              <w:rPr>
                <w:spacing w:val="-8"/>
                <w:sz w:val="24"/>
                <w:szCs w:val="24"/>
                <w:lang w:val="en-US" w:eastAsia="ar-SA"/>
              </w:rPr>
              <w:t>93,48</w:t>
            </w:r>
          </w:p>
          <w:p w:rsidR="00286780" w:rsidRPr="00835CC4" w:rsidRDefault="00286780" w:rsidP="00B478FF">
            <w:pPr>
              <w:snapToGrid w:val="0"/>
              <w:jc w:val="center"/>
              <w:rPr>
                <w:spacing w:val="-8"/>
                <w:sz w:val="24"/>
                <w:szCs w:val="24"/>
                <w:lang w:val="en-US" w:eastAsia="ar-SA"/>
              </w:rPr>
            </w:pPr>
            <w:r w:rsidRPr="00835CC4">
              <w:rPr>
                <w:spacing w:val="-8"/>
                <w:sz w:val="24"/>
                <w:szCs w:val="24"/>
                <w:lang w:val="en-US" w:eastAsia="ar-SA"/>
              </w:rPr>
              <w:t>[82,1;98,63]</w:t>
            </w:r>
          </w:p>
        </w:tc>
        <w:tc>
          <w:tcPr>
            <w:tcW w:w="1560" w:type="dxa"/>
            <w:tcBorders>
              <w:top w:val="single" w:sz="4" w:space="0" w:color="000000"/>
              <w:left w:val="single" w:sz="4" w:space="0" w:color="000000"/>
              <w:bottom w:val="single" w:sz="4" w:space="0" w:color="000000"/>
            </w:tcBorders>
            <w:tcMar>
              <w:left w:w="28" w:type="dxa"/>
              <w:right w:w="28" w:type="dxa"/>
            </w:tcMar>
            <w:vAlign w:val="center"/>
          </w:tcPr>
          <w:p w:rsidR="00286780" w:rsidRDefault="00286780" w:rsidP="00B478FF">
            <w:pPr>
              <w:snapToGrid w:val="0"/>
              <w:jc w:val="center"/>
              <w:rPr>
                <w:spacing w:val="-8"/>
                <w:sz w:val="24"/>
                <w:szCs w:val="24"/>
                <w:lang w:eastAsia="ar-SA"/>
              </w:rPr>
            </w:pPr>
            <w:r w:rsidRPr="00835CC4">
              <w:rPr>
                <w:spacing w:val="-8"/>
                <w:sz w:val="24"/>
                <w:szCs w:val="24"/>
                <w:lang w:val="en-US" w:eastAsia="ar-SA"/>
              </w:rPr>
              <w:t>72,09</w:t>
            </w:r>
          </w:p>
          <w:p w:rsidR="00286780" w:rsidRPr="00835CC4" w:rsidRDefault="00286780" w:rsidP="00B478FF">
            <w:pPr>
              <w:snapToGrid w:val="0"/>
              <w:jc w:val="center"/>
              <w:rPr>
                <w:spacing w:val="-8"/>
                <w:sz w:val="24"/>
                <w:szCs w:val="24"/>
                <w:lang w:val="en-US" w:eastAsia="ar-SA"/>
              </w:rPr>
            </w:pPr>
            <w:r w:rsidRPr="00835CC4">
              <w:rPr>
                <w:spacing w:val="-8"/>
                <w:sz w:val="24"/>
                <w:szCs w:val="24"/>
                <w:lang w:val="en-US" w:eastAsia="ar-SA"/>
              </w:rPr>
              <w:t>[61,38;81,23]</w:t>
            </w:r>
          </w:p>
        </w:tc>
        <w:tc>
          <w:tcPr>
            <w:tcW w:w="1559" w:type="dxa"/>
            <w:tcBorders>
              <w:top w:val="single" w:sz="4" w:space="0" w:color="000000"/>
              <w:left w:val="single" w:sz="4" w:space="0" w:color="000000"/>
              <w:bottom w:val="single" w:sz="4" w:space="0" w:color="000000"/>
            </w:tcBorders>
            <w:tcMar>
              <w:left w:w="28" w:type="dxa"/>
              <w:right w:w="28" w:type="dxa"/>
            </w:tcMar>
            <w:vAlign w:val="center"/>
          </w:tcPr>
          <w:p w:rsidR="00286780" w:rsidRDefault="00286780" w:rsidP="00B478FF">
            <w:pPr>
              <w:snapToGrid w:val="0"/>
              <w:jc w:val="center"/>
              <w:rPr>
                <w:spacing w:val="-8"/>
                <w:sz w:val="24"/>
                <w:szCs w:val="24"/>
                <w:lang w:eastAsia="ar-SA"/>
              </w:rPr>
            </w:pPr>
            <w:r w:rsidRPr="00835CC4">
              <w:rPr>
                <w:spacing w:val="-8"/>
                <w:sz w:val="24"/>
                <w:szCs w:val="24"/>
                <w:lang w:val="en-US" w:eastAsia="ar-SA"/>
              </w:rPr>
              <w:t>86,36</w:t>
            </w:r>
          </w:p>
          <w:p w:rsidR="00286780" w:rsidRPr="00835CC4" w:rsidRDefault="00286780" w:rsidP="00B478FF">
            <w:pPr>
              <w:snapToGrid w:val="0"/>
              <w:jc w:val="center"/>
              <w:rPr>
                <w:spacing w:val="-8"/>
                <w:sz w:val="24"/>
                <w:szCs w:val="24"/>
                <w:lang w:val="en-US" w:eastAsia="ar-SA"/>
              </w:rPr>
            </w:pPr>
            <w:r w:rsidRPr="00835CC4">
              <w:rPr>
                <w:spacing w:val="-8"/>
                <w:sz w:val="24"/>
                <w:szCs w:val="24"/>
                <w:lang w:val="en-US" w:eastAsia="ar-SA"/>
              </w:rPr>
              <w:t>[66,91;95,2]</w:t>
            </w:r>
          </w:p>
        </w:tc>
        <w:tc>
          <w:tcPr>
            <w:tcW w:w="16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Default="00286780" w:rsidP="00B478FF">
            <w:pPr>
              <w:snapToGrid w:val="0"/>
              <w:jc w:val="center"/>
              <w:rPr>
                <w:spacing w:val="-8"/>
                <w:sz w:val="24"/>
                <w:szCs w:val="24"/>
                <w:lang w:eastAsia="ar-SA"/>
              </w:rPr>
            </w:pPr>
            <w:r w:rsidRPr="00835CC4">
              <w:rPr>
                <w:spacing w:val="-8"/>
                <w:sz w:val="24"/>
                <w:szCs w:val="24"/>
                <w:lang w:val="en-US" w:eastAsia="ar-SA"/>
              </w:rPr>
              <w:t>67,19</w:t>
            </w:r>
          </w:p>
          <w:p w:rsidR="00286780" w:rsidRPr="00835CC4" w:rsidRDefault="00286780" w:rsidP="00B478FF">
            <w:pPr>
              <w:snapToGrid w:val="0"/>
              <w:jc w:val="center"/>
              <w:rPr>
                <w:spacing w:val="-8"/>
                <w:sz w:val="24"/>
                <w:szCs w:val="24"/>
                <w:lang w:val="en-US" w:eastAsia="ar-SA"/>
              </w:rPr>
            </w:pPr>
            <w:r w:rsidRPr="00835CC4">
              <w:rPr>
                <w:spacing w:val="-8"/>
                <w:sz w:val="24"/>
                <w:szCs w:val="24"/>
                <w:lang w:val="en-US" w:eastAsia="ar-SA"/>
              </w:rPr>
              <w:t>[60,16;73,52]</w:t>
            </w:r>
          </w:p>
        </w:tc>
      </w:tr>
      <w:tr w:rsidR="00286780" w:rsidRPr="00835CC4" w:rsidTr="00B478FF">
        <w:trPr>
          <w:trHeight w:val="510"/>
        </w:trPr>
        <w:tc>
          <w:tcPr>
            <w:tcW w:w="2353"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835CC4">
            <w:pPr>
              <w:snapToGrid w:val="0"/>
              <w:rPr>
                <w:spacing w:val="-8"/>
                <w:sz w:val="24"/>
                <w:szCs w:val="24"/>
                <w:lang w:eastAsia="ar-SA"/>
              </w:rPr>
            </w:pPr>
            <w:r w:rsidRPr="00835CC4">
              <w:rPr>
                <w:spacing w:val="-8"/>
                <w:sz w:val="24"/>
                <w:szCs w:val="24"/>
                <w:lang w:val="en-US" w:eastAsia="ar-SA"/>
              </w:rPr>
              <w:t>SIRS</w:t>
            </w:r>
            <w:r w:rsidRPr="00835CC4">
              <w:rPr>
                <w:spacing w:val="-8"/>
                <w:sz w:val="24"/>
                <w:szCs w:val="24"/>
                <w:lang w:eastAsia="ar-SA"/>
              </w:rPr>
              <w:t>4</w:t>
            </w:r>
          </w:p>
        </w:tc>
        <w:tc>
          <w:tcPr>
            <w:tcW w:w="1418" w:type="dxa"/>
            <w:tcBorders>
              <w:top w:val="single" w:sz="4" w:space="0" w:color="000000"/>
              <w:left w:val="single" w:sz="4" w:space="0" w:color="000000"/>
              <w:bottom w:val="single" w:sz="4" w:space="0" w:color="000000"/>
            </w:tcBorders>
            <w:tcMar>
              <w:left w:w="28" w:type="dxa"/>
              <w:right w:w="28" w:type="dxa"/>
            </w:tcMar>
            <w:vAlign w:val="center"/>
          </w:tcPr>
          <w:p w:rsidR="00286780" w:rsidRDefault="00286780" w:rsidP="00B478FF">
            <w:pPr>
              <w:snapToGrid w:val="0"/>
              <w:jc w:val="center"/>
              <w:rPr>
                <w:spacing w:val="-8"/>
                <w:sz w:val="24"/>
                <w:szCs w:val="24"/>
                <w:lang w:eastAsia="ar-SA"/>
              </w:rPr>
            </w:pPr>
            <w:r w:rsidRPr="00835CC4">
              <w:rPr>
                <w:spacing w:val="-8"/>
                <w:sz w:val="24"/>
                <w:szCs w:val="24"/>
                <w:lang w:eastAsia="ar-SA"/>
              </w:rPr>
              <w:t>7</w:t>
            </w:r>
            <w:r w:rsidRPr="00835CC4">
              <w:rPr>
                <w:spacing w:val="-8"/>
                <w:sz w:val="24"/>
                <w:szCs w:val="24"/>
                <w:lang w:val="en-US" w:eastAsia="ar-SA"/>
              </w:rPr>
              <w:t>,5</w:t>
            </w:r>
          </w:p>
          <w:p w:rsidR="00286780" w:rsidRPr="00835CC4" w:rsidRDefault="00286780" w:rsidP="00B478FF">
            <w:pPr>
              <w:snapToGrid w:val="0"/>
              <w:jc w:val="center"/>
              <w:rPr>
                <w:spacing w:val="-8"/>
                <w:sz w:val="24"/>
                <w:szCs w:val="24"/>
                <w:lang w:val="en-US" w:eastAsia="ar-SA"/>
              </w:rPr>
            </w:pPr>
            <w:r w:rsidRPr="00835CC4">
              <w:rPr>
                <w:spacing w:val="-8"/>
                <w:sz w:val="24"/>
                <w:szCs w:val="24"/>
                <w:lang w:val="en-US" w:eastAsia="ar-SA"/>
              </w:rPr>
              <w:t>[1,57;20,39]</w:t>
            </w:r>
          </w:p>
        </w:tc>
        <w:tc>
          <w:tcPr>
            <w:tcW w:w="1417" w:type="dxa"/>
            <w:tcBorders>
              <w:top w:val="single" w:sz="4" w:space="0" w:color="000000"/>
              <w:left w:val="single" w:sz="4" w:space="0" w:color="000000"/>
              <w:bottom w:val="single" w:sz="4" w:space="0" w:color="000000"/>
            </w:tcBorders>
            <w:tcMar>
              <w:left w:w="28" w:type="dxa"/>
              <w:right w:w="28" w:type="dxa"/>
            </w:tcMar>
            <w:vAlign w:val="center"/>
          </w:tcPr>
          <w:p w:rsidR="00286780" w:rsidRDefault="00286780" w:rsidP="00B478FF">
            <w:pPr>
              <w:snapToGrid w:val="0"/>
              <w:jc w:val="center"/>
              <w:rPr>
                <w:spacing w:val="-8"/>
                <w:sz w:val="24"/>
                <w:szCs w:val="24"/>
                <w:lang w:eastAsia="ar-SA"/>
              </w:rPr>
            </w:pPr>
            <w:r w:rsidRPr="00835CC4">
              <w:rPr>
                <w:spacing w:val="-8"/>
                <w:sz w:val="24"/>
                <w:szCs w:val="24"/>
                <w:lang w:val="en-US" w:eastAsia="ar-SA"/>
              </w:rPr>
              <w:t>100</w:t>
            </w:r>
          </w:p>
          <w:p w:rsidR="00286780" w:rsidRPr="00835CC4" w:rsidRDefault="00286780" w:rsidP="00B478FF">
            <w:pPr>
              <w:snapToGrid w:val="0"/>
              <w:jc w:val="center"/>
              <w:rPr>
                <w:spacing w:val="-8"/>
                <w:sz w:val="24"/>
                <w:szCs w:val="24"/>
                <w:lang w:val="en-US" w:eastAsia="ar-SA"/>
              </w:rPr>
            </w:pPr>
            <w:r w:rsidRPr="00835CC4">
              <w:rPr>
                <w:spacing w:val="-8"/>
                <w:sz w:val="24"/>
                <w:szCs w:val="24"/>
                <w:lang w:val="en-US" w:eastAsia="ar-SA"/>
              </w:rPr>
              <w:t>[92,13;100]</w:t>
            </w:r>
          </w:p>
        </w:tc>
        <w:tc>
          <w:tcPr>
            <w:tcW w:w="1560" w:type="dxa"/>
            <w:tcBorders>
              <w:top w:val="single" w:sz="4" w:space="0" w:color="000000"/>
              <w:left w:val="single" w:sz="4" w:space="0" w:color="000000"/>
              <w:bottom w:val="single" w:sz="4" w:space="0" w:color="000000"/>
            </w:tcBorders>
            <w:tcMar>
              <w:left w:w="28" w:type="dxa"/>
              <w:right w:w="28" w:type="dxa"/>
            </w:tcMar>
            <w:vAlign w:val="center"/>
          </w:tcPr>
          <w:p w:rsidR="00286780" w:rsidRDefault="00286780" w:rsidP="00B478FF">
            <w:pPr>
              <w:snapToGrid w:val="0"/>
              <w:jc w:val="center"/>
              <w:rPr>
                <w:spacing w:val="-8"/>
                <w:sz w:val="24"/>
                <w:szCs w:val="24"/>
                <w:lang w:eastAsia="ar-SA"/>
              </w:rPr>
            </w:pPr>
            <w:r w:rsidRPr="00835CC4">
              <w:rPr>
                <w:spacing w:val="-8"/>
                <w:sz w:val="24"/>
                <w:szCs w:val="24"/>
                <w:lang w:val="en-US" w:eastAsia="ar-SA"/>
              </w:rPr>
              <w:t>56,47</w:t>
            </w:r>
          </w:p>
          <w:p w:rsidR="00286780" w:rsidRPr="00835CC4" w:rsidRDefault="00286780" w:rsidP="00B478FF">
            <w:pPr>
              <w:snapToGrid w:val="0"/>
              <w:jc w:val="center"/>
              <w:rPr>
                <w:spacing w:val="-8"/>
                <w:sz w:val="24"/>
                <w:szCs w:val="24"/>
                <w:lang w:val="en-US" w:eastAsia="ar-SA"/>
              </w:rPr>
            </w:pPr>
            <w:r w:rsidRPr="00835CC4">
              <w:rPr>
                <w:spacing w:val="-8"/>
                <w:sz w:val="24"/>
                <w:szCs w:val="24"/>
                <w:lang w:val="en-US" w:eastAsia="ar-SA"/>
              </w:rPr>
              <w:t>[45,28;67,2]</w:t>
            </w:r>
          </w:p>
        </w:tc>
        <w:tc>
          <w:tcPr>
            <w:tcW w:w="1559" w:type="dxa"/>
            <w:tcBorders>
              <w:top w:val="single" w:sz="4" w:space="0" w:color="000000"/>
              <w:left w:val="single" w:sz="4" w:space="0" w:color="000000"/>
              <w:bottom w:val="single" w:sz="4" w:space="0" w:color="000000"/>
            </w:tcBorders>
            <w:tcMar>
              <w:left w:w="28" w:type="dxa"/>
              <w:right w:w="28" w:type="dxa"/>
            </w:tcMar>
            <w:vAlign w:val="center"/>
          </w:tcPr>
          <w:p w:rsidR="00286780" w:rsidRPr="00835CC4" w:rsidRDefault="00286780" w:rsidP="00B478FF">
            <w:pPr>
              <w:snapToGrid w:val="0"/>
              <w:jc w:val="center"/>
              <w:rPr>
                <w:spacing w:val="-8"/>
                <w:sz w:val="24"/>
                <w:szCs w:val="24"/>
                <w:lang w:val="en-US" w:eastAsia="ar-SA"/>
              </w:rPr>
            </w:pPr>
            <w:r w:rsidRPr="00835CC4">
              <w:rPr>
                <w:spacing w:val="-8"/>
                <w:sz w:val="24"/>
                <w:szCs w:val="24"/>
                <w:lang w:val="en-US" w:eastAsia="ar-SA"/>
              </w:rPr>
              <w:t>100</w:t>
            </w:r>
          </w:p>
        </w:tc>
        <w:tc>
          <w:tcPr>
            <w:tcW w:w="16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Default="00286780" w:rsidP="00B478FF">
            <w:pPr>
              <w:snapToGrid w:val="0"/>
              <w:jc w:val="center"/>
              <w:rPr>
                <w:spacing w:val="-8"/>
                <w:sz w:val="24"/>
                <w:szCs w:val="24"/>
                <w:lang w:eastAsia="ar-SA"/>
              </w:rPr>
            </w:pPr>
            <w:r w:rsidRPr="00835CC4">
              <w:rPr>
                <w:spacing w:val="-8"/>
                <w:sz w:val="24"/>
                <w:szCs w:val="24"/>
                <w:lang w:val="en-US" w:eastAsia="ar-SA"/>
              </w:rPr>
              <w:t>54,88</w:t>
            </w:r>
          </w:p>
          <w:p w:rsidR="00286780" w:rsidRPr="00835CC4" w:rsidRDefault="00286780" w:rsidP="00B478FF">
            <w:pPr>
              <w:snapToGrid w:val="0"/>
              <w:jc w:val="center"/>
              <w:rPr>
                <w:spacing w:val="-8"/>
                <w:sz w:val="24"/>
                <w:szCs w:val="24"/>
                <w:lang w:val="en-US" w:eastAsia="ar-SA"/>
              </w:rPr>
            </w:pPr>
            <w:r w:rsidRPr="00835CC4">
              <w:rPr>
                <w:spacing w:val="-8"/>
                <w:sz w:val="24"/>
                <w:szCs w:val="24"/>
                <w:lang w:val="en-US" w:eastAsia="ar-SA"/>
              </w:rPr>
              <w:t>[52,68;57,05]</w:t>
            </w:r>
          </w:p>
        </w:tc>
      </w:tr>
      <w:tr w:rsidR="00286780" w:rsidRPr="00835CC4" w:rsidTr="00B478FF">
        <w:trPr>
          <w:trHeight w:val="510"/>
        </w:trPr>
        <w:tc>
          <w:tcPr>
            <w:tcW w:w="2353" w:type="dxa"/>
            <w:tcBorders>
              <w:top w:val="single" w:sz="4" w:space="0" w:color="000000"/>
              <w:left w:val="single" w:sz="4" w:space="0" w:color="000000"/>
              <w:bottom w:val="single" w:sz="4" w:space="0" w:color="000000"/>
            </w:tcBorders>
            <w:tcMar>
              <w:left w:w="28" w:type="dxa"/>
              <w:right w:w="28" w:type="dxa"/>
            </w:tcMar>
          </w:tcPr>
          <w:p w:rsidR="00286780" w:rsidRPr="00835CC4" w:rsidRDefault="00286780" w:rsidP="00835CC4">
            <w:pPr>
              <w:snapToGrid w:val="0"/>
              <w:rPr>
                <w:spacing w:val="-8"/>
                <w:sz w:val="24"/>
                <w:szCs w:val="24"/>
                <w:lang w:eastAsia="ar-SA"/>
              </w:rPr>
            </w:pPr>
            <w:r w:rsidRPr="00835CC4">
              <w:rPr>
                <w:spacing w:val="-8"/>
                <w:sz w:val="24"/>
                <w:szCs w:val="24"/>
                <w:lang w:eastAsia="ar-SA"/>
              </w:rPr>
              <w:t>Унифицированная программа ранней диагностики одонтогенного сепсиса по [Губин М. А. и др., 2003]</w:t>
            </w:r>
          </w:p>
        </w:tc>
        <w:tc>
          <w:tcPr>
            <w:tcW w:w="1418" w:type="dxa"/>
            <w:tcBorders>
              <w:top w:val="single" w:sz="4" w:space="0" w:color="000000"/>
              <w:left w:val="single" w:sz="4" w:space="0" w:color="000000"/>
              <w:bottom w:val="single" w:sz="4" w:space="0" w:color="000000"/>
            </w:tcBorders>
            <w:tcMar>
              <w:left w:w="28" w:type="dxa"/>
              <w:right w:w="28" w:type="dxa"/>
            </w:tcMar>
            <w:vAlign w:val="center"/>
          </w:tcPr>
          <w:p w:rsidR="00286780" w:rsidRDefault="00286780" w:rsidP="00B478FF">
            <w:pPr>
              <w:snapToGrid w:val="0"/>
              <w:jc w:val="center"/>
              <w:rPr>
                <w:spacing w:val="-8"/>
                <w:sz w:val="24"/>
                <w:szCs w:val="24"/>
                <w:lang w:eastAsia="ar-SA"/>
              </w:rPr>
            </w:pPr>
            <w:r w:rsidRPr="00835CC4">
              <w:rPr>
                <w:spacing w:val="-8"/>
                <w:sz w:val="24"/>
                <w:szCs w:val="24"/>
                <w:lang w:val="en-US" w:eastAsia="ar-SA"/>
              </w:rPr>
              <w:t>42,5</w:t>
            </w:r>
          </w:p>
          <w:p w:rsidR="00286780" w:rsidRPr="00835CC4" w:rsidRDefault="00286780" w:rsidP="00B478FF">
            <w:pPr>
              <w:snapToGrid w:val="0"/>
              <w:jc w:val="center"/>
              <w:rPr>
                <w:spacing w:val="-8"/>
                <w:sz w:val="24"/>
                <w:szCs w:val="24"/>
                <w:lang w:val="en-US" w:eastAsia="ar-SA"/>
              </w:rPr>
            </w:pPr>
            <w:r w:rsidRPr="00835CC4">
              <w:rPr>
                <w:spacing w:val="-8"/>
                <w:sz w:val="24"/>
                <w:szCs w:val="24"/>
                <w:lang w:val="en-US" w:eastAsia="ar-SA"/>
              </w:rPr>
              <w:t>[27,04;59,11]</w:t>
            </w:r>
          </w:p>
        </w:tc>
        <w:tc>
          <w:tcPr>
            <w:tcW w:w="1417" w:type="dxa"/>
            <w:tcBorders>
              <w:top w:val="single" w:sz="4" w:space="0" w:color="000000"/>
              <w:left w:val="single" w:sz="4" w:space="0" w:color="000000"/>
              <w:bottom w:val="single" w:sz="4" w:space="0" w:color="000000"/>
            </w:tcBorders>
            <w:tcMar>
              <w:left w:w="28" w:type="dxa"/>
              <w:right w:w="28" w:type="dxa"/>
            </w:tcMar>
            <w:vAlign w:val="center"/>
          </w:tcPr>
          <w:p w:rsidR="00286780" w:rsidRDefault="00286780" w:rsidP="00B478FF">
            <w:pPr>
              <w:snapToGrid w:val="0"/>
              <w:jc w:val="center"/>
              <w:rPr>
                <w:spacing w:val="-8"/>
                <w:sz w:val="24"/>
                <w:szCs w:val="24"/>
                <w:lang w:eastAsia="ar-SA"/>
              </w:rPr>
            </w:pPr>
            <w:r w:rsidRPr="00835CC4">
              <w:rPr>
                <w:spacing w:val="-8"/>
                <w:sz w:val="24"/>
                <w:szCs w:val="24"/>
                <w:lang w:val="en-US" w:eastAsia="ar-SA"/>
              </w:rPr>
              <w:t>97,78</w:t>
            </w:r>
          </w:p>
          <w:p w:rsidR="00286780" w:rsidRPr="00835CC4" w:rsidRDefault="00286780" w:rsidP="00B478FF">
            <w:pPr>
              <w:snapToGrid w:val="0"/>
              <w:jc w:val="center"/>
              <w:rPr>
                <w:spacing w:val="-8"/>
                <w:sz w:val="24"/>
                <w:szCs w:val="24"/>
                <w:lang w:val="en-US" w:eastAsia="ar-SA"/>
              </w:rPr>
            </w:pPr>
            <w:r w:rsidRPr="00835CC4">
              <w:rPr>
                <w:spacing w:val="-8"/>
                <w:sz w:val="24"/>
                <w:szCs w:val="24"/>
                <w:lang w:val="en-US" w:eastAsia="ar-SA"/>
              </w:rPr>
              <w:t>[88,23;99,94]</w:t>
            </w:r>
          </w:p>
        </w:tc>
        <w:tc>
          <w:tcPr>
            <w:tcW w:w="1560" w:type="dxa"/>
            <w:tcBorders>
              <w:top w:val="single" w:sz="4" w:space="0" w:color="000000"/>
              <w:left w:val="single" w:sz="4" w:space="0" w:color="000000"/>
              <w:bottom w:val="single" w:sz="4" w:space="0" w:color="000000"/>
            </w:tcBorders>
            <w:tcMar>
              <w:left w:w="28" w:type="dxa"/>
              <w:right w:w="28" w:type="dxa"/>
            </w:tcMar>
            <w:vAlign w:val="center"/>
          </w:tcPr>
          <w:p w:rsidR="00286780" w:rsidRDefault="00286780" w:rsidP="00B478FF">
            <w:pPr>
              <w:snapToGrid w:val="0"/>
              <w:jc w:val="center"/>
              <w:rPr>
                <w:spacing w:val="-8"/>
                <w:sz w:val="24"/>
                <w:szCs w:val="24"/>
                <w:lang w:eastAsia="ar-SA"/>
              </w:rPr>
            </w:pPr>
            <w:r w:rsidRPr="00835CC4">
              <w:rPr>
                <w:spacing w:val="-8"/>
                <w:sz w:val="24"/>
                <w:szCs w:val="24"/>
                <w:lang w:val="en-US" w:eastAsia="ar-SA"/>
              </w:rPr>
              <w:t>71,76</w:t>
            </w:r>
          </w:p>
          <w:p w:rsidR="00286780" w:rsidRPr="00835CC4" w:rsidRDefault="00286780" w:rsidP="00B478FF">
            <w:pPr>
              <w:snapToGrid w:val="0"/>
              <w:jc w:val="center"/>
              <w:rPr>
                <w:spacing w:val="-8"/>
                <w:sz w:val="24"/>
                <w:szCs w:val="24"/>
                <w:lang w:val="en-US" w:eastAsia="ar-SA"/>
              </w:rPr>
            </w:pPr>
            <w:r w:rsidRPr="00835CC4">
              <w:rPr>
                <w:spacing w:val="-8"/>
                <w:sz w:val="24"/>
                <w:szCs w:val="24"/>
                <w:lang w:val="en-US" w:eastAsia="ar-SA"/>
              </w:rPr>
              <w:t>[60,96;81]</w:t>
            </w:r>
          </w:p>
        </w:tc>
        <w:tc>
          <w:tcPr>
            <w:tcW w:w="1559" w:type="dxa"/>
            <w:tcBorders>
              <w:top w:val="single" w:sz="4" w:space="0" w:color="000000"/>
              <w:left w:val="single" w:sz="4" w:space="0" w:color="000000"/>
              <w:bottom w:val="single" w:sz="4" w:space="0" w:color="000000"/>
            </w:tcBorders>
            <w:tcMar>
              <w:left w:w="28" w:type="dxa"/>
              <w:right w:w="28" w:type="dxa"/>
            </w:tcMar>
            <w:vAlign w:val="center"/>
          </w:tcPr>
          <w:p w:rsidR="00286780" w:rsidRDefault="00286780" w:rsidP="00B478FF">
            <w:pPr>
              <w:snapToGrid w:val="0"/>
              <w:jc w:val="center"/>
              <w:rPr>
                <w:spacing w:val="-8"/>
                <w:sz w:val="24"/>
                <w:szCs w:val="24"/>
                <w:lang w:eastAsia="ar-SA"/>
              </w:rPr>
            </w:pPr>
            <w:r w:rsidRPr="00835CC4">
              <w:rPr>
                <w:spacing w:val="-8"/>
                <w:sz w:val="24"/>
                <w:szCs w:val="24"/>
                <w:lang w:val="en-US" w:eastAsia="ar-SA"/>
              </w:rPr>
              <w:t>94,44</w:t>
            </w:r>
          </w:p>
          <w:p w:rsidR="00286780" w:rsidRPr="00835CC4" w:rsidRDefault="00286780" w:rsidP="00B478FF">
            <w:pPr>
              <w:snapToGrid w:val="0"/>
              <w:jc w:val="center"/>
              <w:rPr>
                <w:spacing w:val="-8"/>
                <w:sz w:val="24"/>
                <w:szCs w:val="24"/>
                <w:lang w:val="en-US" w:eastAsia="ar-SA"/>
              </w:rPr>
            </w:pPr>
            <w:r w:rsidRPr="00835CC4">
              <w:rPr>
                <w:spacing w:val="-8"/>
                <w:sz w:val="24"/>
                <w:szCs w:val="24"/>
                <w:lang w:val="en-US" w:eastAsia="ar-SA"/>
              </w:rPr>
              <w:t>[70,31;99,19]</w:t>
            </w:r>
          </w:p>
        </w:tc>
        <w:tc>
          <w:tcPr>
            <w:tcW w:w="16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Default="00286780" w:rsidP="00B478FF">
            <w:pPr>
              <w:snapToGrid w:val="0"/>
              <w:jc w:val="center"/>
              <w:rPr>
                <w:spacing w:val="-8"/>
                <w:sz w:val="24"/>
                <w:szCs w:val="24"/>
                <w:lang w:eastAsia="ar-SA"/>
              </w:rPr>
            </w:pPr>
            <w:r w:rsidRPr="00835CC4">
              <w:rPr>
                <w:spacing w:val="-8"/>
                <w:sz w:val="24"/>
                <w:szCs w:val="24"/>
                <w:lang w:val="en-US" w:eastAsia="ar-SA"/>
              </w:rPr>
              <w:t>65,67</w:t>
            </w:r>
          </w:p>
          <w:p w:rsidR="00286780" w:rsidRPr="00835CC4" w:rsidRDefault="00286780" w:rsidP="00B478FF">
            <w:pPr>
              <w:snapToGrid w:val="0"/>
              <w:jc w:val="center"/>
              <w:rPr>
                <w:spacing w:val="-8"/>
                <w:sz w:val="24"/>
                <w:szCs w:val="24"/>
                <w:lang w:val="en-US" w:eastAsia="ar-SA"/>
              </w:rPr>
            </w:pPr>
            <w:r w:rsidRPr="00835CC4">
              <w:rPr>
                <w:spacing w:val="-8"/>
                <w:sz w:val="24"/>
                <w:szCs w:val="24"/>
                <w:lang w:val="en-US" w:eastAsia="ar-SA"/>
              </w:rPr>
              <w:t>[59,35;71,48]</w:t>
            </w:r>
          </w:p>
        </w:tc>
      </w:tr>
      <w:tr w:rsidR="00286780" w:rsidRPr="00835CC4" w:rsidTr="00874414">
        <w:trPr>
          <w:trHeight w:val="510"/>
        </w:trPr>
        <w:tc>
          <w:tcPr>
            <w:tcW w:w="9923" w:type="dxa"/>
            <w:gridSpan w:val="6"/>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835CC4" w:rsidRDefault="00286780" w:rsidP="00835CC4">
            <w:pPr>
              <w:jc w:val="both"/>
              <w:rPr>
                <w:rFonts w:cs="Calibri"/>
                <w:spacing w:val="-8"/>
                <w:sz w:val="24"/>
                <w:szCs w:val="24"/>
                <w:lang w:eastAsia="ar-SA"/>
              </w:rPr>
            </w:pPr>
            <w:r w:rsidRPr="00835CC4">
              <w:rPr>
                <w:rFonts w:cs="Calibri"/>
                <w:i/>
                <w:spacing w:val="-8"/>
                <w:sz w:val="24"/>
                <w:szCs w:val="24"/>
                <w:lang w:eastAsia="ar-SA"/>
              </w:rPr>
              <w:t>Примечание</w:t>
            </w:r>
            <w:r w:rsidRPr="00835CC4">
              <w:rPr>
                <w:rFonts w:cs="Calibri"/>
                <w:spacing w:val="-8"/>
                <w:sz w:val="24"/>
                <w:szCs w:val="24"/>
                <w:lang w:eastAsia="ar-SA"/>
              </w:rPr>
              <w:t xml:space="preserve">. </w:t>
            </w:r>
            <w:r w:rsidRPr="00835CC4">
              <w:rPr>
                <w:rFonts w:cs="Calibri"/>
                <w:spacing w:val="-8"/>
                <w:sz w:val="24"/>
                <w:szCs w:val="24"/>
                <w:lang w:val="en-US" w:eastAsia="ar-SA"/>
              </w:rPr>
              <w:t>Se</w:t>
            </w:r>
            <w:r w:rsidRPr="00835CC4">
              <w:rPr>
                <w:rFonts w:cs="Calibri"/>
                <w:spacing w:val="-8"/>
                <w:sz w:val="24"/>
                <w:szCs w:val="24"/>
                <w:lang w:eastAsia="ar-SA"/>
              </w:rPr>
              <w:t xml:space="preserve"> – чувствительность, </w:t>
            </w:r>
            <w:r w:rsidRPr="00835CC4">
              <w:rPr>
                <w:rFonts w:cs="Calibri"/>
                <w:spacing w:val="-8"/>
                <w:sz w:val="24"/>
                <w:szCs w:val="24"/>
                <w:lang w:val="en-US" w:eastAsia="ar-SA"/>
              </w:rPr>
              <w:t>Sp</w:t>
            </w:r>
            <w:r w:rsidRPr="00835CC4">
              <w:rPr>
                <w:rFonts w:cs="Calibri"/>
                <w:spacing w:val="-8"/>
                <w:sz w:val="24"/>
                <w:szCs w:val="24"/>
                <w:lang w:eastAsia="ar-SA"/>
              </w:rPr>
              <w:t xml:space="preserve"> – специфичность, Ас – точность, </w:t>
            </w:r>
            <w:r w:rsidRPr="00835CC4">
              <w:rPr>
                <w:rFonts w:cs="Calibri"/>
                <w:spacing w:val="-8"/>
                <w:sz w:val="24"/>
                <w:szCs w:val="24"/>
                <w:lang w:val="en-US" w:eastAsia="ar-SA"/>
              </w:rPr>
              <w:t>PPV</w:t>
            </w:r>
            <w:r w:rsidRPr="00835CC4">
              <w:rPr>
                <w:rFonts w:cs="Calibri"/>
                <w:spacing w:val="-8"/>
                <w:sz w:val="24"/>
                <w:szCs w:val="24"/>
                <w:lang w:eastAsia="ar-SA"/>
              </w:rPr>
              <w:t xml:space="preserve"> – прогностичность положительного результата, </w:t>
            </w:r>
            <w:r w:rsidRPr="00835CC4">
              <w:rPr>
                <w:rFonts w:cs="Calibri"/>
                <w:spacing w:val="-8"/>
                <w:sz w:val="24"/>
                <w:szCs w:val="24"/>
                <w:lang w:val="en-US" w:eastAsia="ar-SA"/>
              </w:rPr>
              <w:t>NPV</w:t>
            </w:r>
            <w:r w:rsidRPr="00835CC4">
              <w:rPr>
                <w:rFonts w:cs="Calibri"/>
                <w:spacing w:val="-8"/>
                <w:sz w:val="24"/>
                <w:szCs w:val="24"/>
                <w:lang w:eastAsia="ar-SA"/>
              </w:rPr>
              <w:t xml:space="preserve"> – прогностичность отрицательного результата; [95% ДИ] – 95%-й доверительный интервал</w:t>
            </w:r>
          </w:p>
        </w:tc>
      </w:tr>
    </w:tbl>
    <w:p w:rsidR="00286780" w:rsidRPr="00835CC4" w:rsidRDefault="00286780" w:rsidP="00835CC4">
      <w:pPr>
        <w:jc w:val="both"/>
        <w:rPr>
          <w:rFonts w:cs="Calibri"/>
          <w:spacing w:val="-8"/>
          <w:sz w:val="24"/>
          <w:szCs w:val="24"/>
          <w:lang w:eastAsia="ar-SA"/>
        </w:rPr>
      </w:pPr>
    </w:p>
    <w:p w:rsidR="00286780" w:rsidRPr="00835CC4" w:rsidRDefault="00286780" w:rsidP="00835CC4">
      <w:pPr>
        <w:spacing w:line="360" w:lineRule="auto"/>
        <w:ind w:firstLine="709"/>
        <w:jc w:val="both"/>
        <w:rPr>
          <w:rFonts w:cs="Calibri"/>
          <w:sz w:val="28"/>
          <w:szCs w:val="28"/>
          <w:lang w:eastAsia="ar-SA"/>
        </w:rPr>
      </w:pPr>
      <w:r w:rsidRPr="00835CC4">
        <w:rPr>
          <w:rFonts w:cs="Calibri"/>
          <w:sz w:val="28"/>
          <w:szCs w:val="28"/>
          <w:lang w:eastAsia="ar-SA"/>
        </w:rPr>
        <w:t xml:space="preserve">Достаточно высокой чувствительностью к признакам одонтогенного сепсиса обладают критерии синдрома системной воспалительной реакции – до 97,5%, причем чувствительность прогрессивно снижается от </w:t>
      </w:r>
      <w:r w:rsidRPr="00835CC4">
        <w:rPr>
          <w:rFonts w:cs="Calibri"/>
          <w:sz w:val="28"/>
          <w:szCs w:val="28"/>
          <w:lang w:val="en-US" w:eastAsia="ar-SA"/>
        </w:rPr>
        <w:t>SIRS</w:t>
      </w:r>
      <w:r w:rsidRPr="00835CC4">
        <w:rPr>
          <w:rFonts w:cs="Calibri"/>
          <w:sz w:val="28"/>
          <w:szCs w:val="28"/>
          <w:lang w:eastAsia="ar-SA"/>
        </w:rPr>
        <w:t xml:space="preserve">2 к </w:t>
      </w:r>
      <w:r w:rsidRPr="00835CC4">
        <w:rPr>
          <w:rFonts w:cs="Calibri"/>
          <w:sz w:val="28"/>
          <w:szCs w:val="28"/>
          <w:lang w:val="en-US" w:eastAsia="ar-SA"/>
        </w:rPr>
        <w:t>SIRS</w:t>
      </w:r>
      <w:r w:rsidRPr="00835CC4">
        <w:rPr>
          <w:rFonts w:cs="Calibri"/>
          <w:sz w:val="28"/>
          <w:szCs w:val="28"/>
          <w:lang w:eastAsia="ar-SA"/>
        </w:rPr>
        <w:t>4 одновременно с ростом специфичности.</w:t>
      </w:r>
    </w:p>
    <w:p w:rsidR="00286780" w:rsidRPr="00835CC4" w:rsidRDefault="00286780" w:rsidP="00835CC4">
      <w:pPr>
        <w:spacing w:line="360" w:lineRule="auto"/>
        <w:ind w:firstLine="709"/>
        <w:jc w:val="both"/>
        <w:rPr>
          <w:rFonts w:cs="Calibri"/>
          <w:sz w:val="28"/>
          <w:szCs w:val="28"/>
          <w:lang w:eastAsia="ar-SA"/>
        </w:rPr>
      </w:pPr>
      <w:r w:rsidRPr="00835CC4">
        <w:rPr>
          <w:rFonts w:cs="Calibri"/>
          <w:sz w:val="28"/>
          <w:szCs w:val="28"/>
          <w:lang w:eastAsia="ar-SA"/>
        </w:rPr>
        <w:t xml:space="preserve">В частности, критерии </w:t>
      </w:r>
      <w:r w:rsidRPr="00835CC4">
        <w:rPr>
          <w:rFonts w:cs="Calibri"/>
          <w:sz w:val="28"/>
          <w:szCs w:val="28"/>
          <w:lang w:val="en-US" w:eastAsia="ar-SA"/>
        </w:rPr>
        <w:t>SIRS</w:t>
      </w:r>
      <w:r w:rsidRPr="00835CC4">
        <w:rPr>
          <w:rFonts w:cs="Calibri"/>
          <w:sz w:val="28"/>
          <w:szCs w:val="28"/>
          <w:lang w:eastAsia="ar-SA"/>
        </w:rPr>
        <w:t xml:space="preserve">2, то есть наличие двух признаков ССВР из четырех, характеризуются высокой чувствительностью 97,5% и умеренной специфичностью – около 77%. </w:t>
      </w:r>
    </w:p>
    <w:p w:rsidR="00286780" w:rsidRPr="00D76C67" w:rsidRDefault="00286780" w:rsidP="00835CC4">
      <w:pPr>
        <w:spacing w:line="360" w:lineRule="auto"/>
        <w:ind w:firstLine="709"/>
        <w:jc w:val="both"/>
        <w:rPr>
          <w:rFonts w:cs="Calibri"/>
          <w:spacing w:val="-4"/>
          <w:sz w:val="28"/>
          <w:szCs w:val="28"/>
          <w:lang w:eastAsia="ar-SA"/>
        </w:rPr>
      </w:pPr>
      <w:r w:rsidRPr="00D76C67">
        <w:rPr>
          <w:rFonts w:cs="Calibri"/>
          <w:spacing w:val="-4"/>
          <w:sz w:val="28"/>
          <w:szCs w:val="28"/>
          <w:lang w:val="en-US" w:eastAsia="ar-SA"/>
        </w:rPr>
        <w:t>SIRS</w:t>
      </w:r>
      <w:r w:rsidRPr="00D76C67">
        <w:rPr>
          <w:rFonts w:cs="Calibri"/>
          <w:spacing w:val="-4"/>
          <w:sz w:val="28"/>
          <w:szCs w:val="28"/>
          <w:lang w:eastAsia="ar-SA"/>
        </w:rPr>
        <w:t xml:space="preserve">3 характеризуется промежуточными значениями исследуемых характеристик, а </w:t>
      </w:r>
      <w:r w:rsidRPr="00D76C67">
        <w:rPr>
          <w:rFonts w:cs="Calibri"/>
          <w:spacing w:val="-4"/>
          <w:sz w:val="28"/>
          <w:szCs w:val="28"/>
          <w:lang w:val="en-US" w:eastAsia="ar-SA"/>
        </w:rPr>
        <w:t>SIRS</w:t>
      </w:r>
      <w:r w:rsidRPr="00D76C67">
        <w:rPr>
          <w:rFonts w:cs="Calibri"/>
          <w:spacing w:val="-4"/>
          <w:sz w:val="28"/>
          <w:szCs w:val="28"/>
          <w:lang w:eastAsia="ar-SA"/>
        </w:rPr>
        <w:t>4 – минимальной чувствительностью (7,5%) при специфичности 100%.</w:t>
      </w:r>
    </w:p>
    <w:p w:rsidR="00286780" w:rsidRPr="00835CC4" w:rsidRDefault="00286780" w:rsidP="00835CC4">
      <w:pPr>
        <w:spacing w:line="360" w:lineRule="auto"/>
        <w:ind w:firstLine="709"/>
        <w:jc w:val="both"/>
        <w:rPr>
          <w:rFonts w:cs="Calibri"/>
          <w:sz w:val="28"/>
          <w:szCs w:val="28"/>
          <w:lang w:eastAsia="ar-SA"/>
        </w:rPr>
      </w:pPr>
      <w:r w:rsidRPr="00835CC4">
        <w:rPr>
          <w:rFonts w:cs="Calibri"/>
          <w:sz w:val="28"/>
          <w:szCs w:val="28"/>
          <w:lang w:eastAsia="ar-SA"/>
        </w:rPr>
        <w:t xml:space="preserve">Следует пояснить, что положительные критерии </w:t>
      </w:r>
      <w:r w:rsidRPr="00835CC4">
        <w:rPr>
          <w:rFonts w:cs="Calibri"/>
          <w:sz w:val="28"/>
          <w:szCs w:val="28"/>
          <w:lang w:val="en-US" w:eastAsia="ar-SA"/>
        </w:rPr>
        <w:t>SIRS</w:t>
      </w:r>
      <w:r w:rsidRPr="00835CC4">
        <w:rPr>
          <w:rFonts w:cs="Calibri"/>
          <w:sz w:val="28"/>
          <w:szCs w:val="28"/>
          <w:lang w:eastAsia="ar-SA"/>
        </w:rPr>
        <w:t>2 диагностированы у 10 пациентов с МФОИ (22,2% всех больных с МФОИ в данном исследовании), и у 38 пациентов с одонтогенным сепсисом (95% всех больных с ОС в данном иссле</w:t>
      </w:r>
      <w:r w:rsidRPr="00835CC4">
        <w:rPr>
          <w:rFonts w:cs="Calibri"/>
          <w:sz w:val="28"/>
          <w:szCs w:val="28"/>
          <w:lang w:eastAsia="ar-SA"/>
        </w:rPr>
        <w:lastRenderedPageBreak/>
        <w:t>довании), что обуславливает достаточно высокую чувствительность (97,5%), но умеренную специфичность (77%).</w:t>
      </w:r>
    </w:p>
    <w:p w:rsidR="00286780" w:rsidRPr="00835CC4" w:rsidRDefault="00286780" w:rsidP="00835CC4">
      <w:pPr>
        <w:spacing w:line="360" w:lineRule="auto"/>
        <w:ind w:firstLine="709"/>
        <w:jc w:val="both"/>
        <w:rPr>
          <w:rFonts w:cs="Calibri"/>
          <w:sz w:val="28"/>
          <w:szCs w:val="28"/>
          <w:lang w:eastAsia="ar-SA"/>
        </w:rPr>
      </w:pPr>
      <w:r w:rsidRPr="00835CC4">
        <w:rPr>
          <w:rFonts w:cs="Calibri"/>
          <w:sz w:val="28"/>
          <w:szCs w:val="28"/>
          <w:lang w:eastAsia="ar-SA"/>
        </w:rPr>
        <w:t xml:space="preserve">То есть критерии </w:t>
      </w:r>
      <w:r w:rsidRPr="00835CC4">
        <w:rPr>
          <w:rFonts w:cs="Calibri"/>
          <w:sz w:val="28"/>
          <w:szCs w:val="28"/>
          <w:lang w:val="en-US" w:eastAsia="ar-SA"/>
        </w:rPr>
        <w:t>SIRS</w:t>
      </w:r>
      <w:r w:rsidRPr="00835CC4">
        <w:rPr>
          <w:rFonts w:cs="Calibri"/>
          <w:sz w:val="28"/>
          <w:szCs w:val="28"/>
          <w:lang w:eastAsia="ar-SA"/>
        </w:rPr>
        <w:t xml:space="preserve">2 положительны почти у всех пациентов с ОС, что обуславливает высокую чувствительность к одонтогенному сепсису, при этом критерии </w:t>
      </w:r>
      <w:r w:rsidRPr="00835CC4">
        <w:rPr>
          <w:rFonts w:cs="Calibri"/>
          <w:sz w:val="28"/>
          <w:szCs w:val="28"/>
          <w:lang w:val="en-US" w:eastAsia="ar-SA"/>
        </w:rPr>
        <w:t>SIRS</w:t>
      </w:r>
      <w:r w:rsidRPr="00835CC4">
        <w:rPr>
          <w:rFonts w:cs="Calibri"/>
          <w:sz w:val="28"/>
          <w:szCs w:val="28"/>
          <w:lang w:eastAsia="ar-SA"/>
        </w:rPr>
        <w:t>2 положительны как в группе пациентов с ОС (95%), так и в группе с МФОИ (22,2%), поэтому специфичность составляет невысокое значение 77%.</w:t>
      </w:r>
    </w:p>
    <w:p w:rsidR="00286780" w:rsidRPr="00835CC4" w:rsidRDefault="00286780" w:rsidP="00835CC4">
      <w:pPr>
        <w:spacing w:line="360" w:lineRule="auto"/>
        <w:ind w:firstLine="709"/>
        <w:jc w:val="both"/>
        <w:rPr>
          <w:rFonts w:cs="Calibri"/>
          <w:sz w:val="28"/>
          <w:szCs w:val="28"/>
          <w:lang w:eastAsia="ar-SA"/>
        </w:rPr>
      </w:pPr>
      <w:r w:rsidRPr="00835CC4">
        <w:rPr>
          <w:rFonts w:cs="Calibri"/>
          <w:sz w:val="28"/>
          <w:szCs w:val="28"/>
          <w:lang w:eastAsia="ar-SA"/>
        </w:rPr>
        <w:t xml:space="preserve">С другой стороны, критерии </w:t>
      </w:r>
      <w:r w:rsidRPr="00835CC4">
        <w:rPr>
          <w:rFonts w:cs="Calibri"/>
          <w:sz w:val="28"/>
          <w:szCs w:val="28"/>
          <w:lang w:val="en-US" w:eastAsia="ar-SA"/>
        </w:rPr>
        <w:t>SIRS</w:t>
      </w:r>
      <w:r w:rsidRPr="00835CC4">
        <w:rPr>
          <w:rFonts w:cs="Calibri"/>
          <w:sz w:val="28"/>
          <w:szCs w:val="28"/>
          <w:lang w:eastAsia="ar-SA"/>
        </w:rPr>
        <w:t xml:space="preserve">4 положительны только у четырех больных с ОС (10% пациентов с ОС в данном исследовании), и отрицательны у всех (100%) пациентов с МФОИ. Показатель температуры тела, учитываемый как компонент </w:t>
      </w:r>
      <w:r w:rsidRPr="00835CC4">
        <w:rPr>
          <w:rFonts w:cs="Calibri"/>
          <w:sz w:val="28"/>
          <w:szCs w:val="28"/>
          <w:lang w:val="en-US" w:eastAsia="ar-SA"/>
        </w:rPr>
        <w:t>SIRS</w:t>
      </w:r>
      <w:r w:rsidRPr="00835CC4">
        <w:rPr>
          <w:rFonts w:cs="Calibri"/>
          <w:sz w:val="28"/>
          <w:szCs w:val="28"/>
          <w:lang w:eastAsia="ar-SA"/>
        </w:rPr>
        <w:t xml:space="preserve"> при значениях более 38º</w:t>
      </w:r>
      <w:r w:rsidRPr="00835CC4">
        <w:rPr>
          <w:rFonts w:cs="Calibri"/>
          <w:sz w:val="28"/>
          <w:szCs w:val="28"/>
          <w:lang w:val="en-US" w:eastAsia="ar-SA"/>
        </w:rPr>
        <w:t>C</w:t>
      </w:r>
      <w:r w:rsidRPr="00835CC4">
        <w:rPr>
          <w:rFonts w:cs="Calibri"/>
          <w:sz w:val="28"/>
          <w:szCs w:val="28"/>
          <w:lang w:eastAsia="ar-SA"/>
        </w:rPr>
        <w:t xml:space="preserve"> и менее 36</w:t>
      </w:r>
      <w:r>
        <w:rPr>
          <w:rFonts w:cs="Calibri"/>
          <w:sz w:val="28"/>
          <w:szCs w:val="28"/>
          <w:lang w:eastAsia="ar-SA"/>
        </w:rPr>
        <w:t> </w:t>
      </w:r>
      <w:r w:rsidRPr="00835CC4">
        <w:rPr>
          <w:rFonts w:cs="Calibri"/>
          <w:sz w:val="28"/>
          <w:szCs w:val="28"/>
          <w:lang w:val="en-US" w:eastAsia="ar-SA"/>
        </w:rPr>
        <w:t>C</w:t>
      </w:r>
      <w:r w:rsidRPr="00835CC4">
        <w:rPr>
          <w:rFonts w:cs="Calibri"/>
          <w:sz w:val="28"/>
          <w:szCs w:val="28"/>
          <w:lang w:eastAsia="ar-SA"/>
        </w:rPr>
        <w:t>, положителен только у 5 пациентов с ОС исследуемой группы, а средняя температура тела пациентов с ОС при поступлении в стационар составляет 37,4±0,1</w:t>
      </w:r>
      <w:r>
        <w:rPr>
          <w:rFonts w:cs="Calibri"/>
          <w:sz w:val="28"/>
          <w:szCs w:val="28"/>
          <w:lang w:eastAsia="ar-SA"/>
        </w:rPr>
        <w:t> </w:t>
      </w:r>
      <w:r w:rsidRPr="00835CC4">
        <w:rPr>
          <w:rFonts w:cs="Calibri"/>
          <w:sz w:val="28"/>
          <w:szCs w:val="28"/>
          <w:lang w:val="en-US" w:eastAsia="ar-SA"/>
        </w:rPr>
        <w:t>C</w:t>
      </w:r>
      <w:r w:rsidRPr="00835CC4">
        <w:rPr>
          <w:rFonts w:cs="Calibri"/>
          <w:sz w:val="28"/>
          <w:szCs w:val="28"/>
          <w:lang w:eastAsia="ar-SA"/>
        </w:rPr>
        <w:t xml:space="preserve">, что, возможно, связано с развитием так называемого </w:t>
      </w:r>
      <w:r w:rsidRPr="00835CC4">
        <w:rPr>
          <w:rFonts w:cs="Calibri"/>
          <w:sz w:val="28"/>
          <w:szCs w:val="28"/>
          <w:lang w:val="en-US" w:eastAsia="ar-SA"/>
        </w:rPr>
        <w:t>MARS</w:t>
      </w:r>
      <w:r w:rsidRPr="00835CC4">
        <w:rPr>
          <w:rFonts w:cs="Calibri"/>
          <w:sz w:val="28"/>
          <w:szCs w:val="28"/>
          <w:lang w:eastAsia="ar-SA"/>
        </w:rPr>
        <w:t>-синдрома (mixed antagonists response syndrome), т. е. промежуточного состояния между SIRS и CARS, когда синдром компенсаторного противовоспалительного ответа (CARS) развивается при наличии положи</w:t>
      </w:r>
      <w:r>
        <w:rPr>
          <w:rFonts w:cs="Calibri"/>
          <w:sz w:val="28"/>
          <w:szCs w:val="28"/>
          <w:lang w:eastAsia="ar-SA"/>
        </w:rPr>
        <w:t xml:space="preserve">тельных критериев SIRS </w:t>
      </w:r>
      <w:r w:rsidRPr="00D058B5">
        <w:rPr>
          <w:rFonts w:cs="Calibri"/>
          <w:sz w:val="28"/>
          <w:szCs w:val="28"/>
          <w:lang w:eastAsia="ar-SA"/>
        </w:rPr>
        <w:t>(</w:t>
      </w:r>
      <w:r>
        <w:rPr>
          <w:rFonts w:cs="Calibri"/>
          <w:sz w:val="28"/>
          <w:szCs w:val="28"/>
          <w:lang w:eastAsia="ar-SA"/>
        </w:rPr>
        <w:t>Bone R.C., 1996</w:t>
      </w:r>
      <w:r w:rsidRPr="00D058B5">
        <w:rPr>
          <w:rFonts w:cs="Calibri"/>
          <w:sz w:val="28"/>
          <w:szCs w:val="28"/>
          <w:lang w:eastAsia="ar-SA"/>
        </w:rPr>
        <w:t>)</w:t>
      </w:r>
      <w:r w:rsidRPr="00835CC4">
        <w:rPr>
          <w:rFonts w:cs="Calibri"/>
          <w:sz w:val="28"/>
          <w:szCs w:val="28"/>
          <w:lang w:eastAsia="ar-SA"/>
        </w:rPr>
        <w:t>.</w:t>
      </w:r>
    </w:p>
    <w:p w:rsidR="00286780" w:rsidRPr="00835CC4" w:rsidRDefault="00286780" w:rsidP="00835CC4">
      <w:pPr>
        <w:spacing w:line="360" w:lineRule="auto"/>
        <w:ind w:firstLine="709"/>
        <w:jc w:val="both"/>
        <w:rPr>
          <w:rFonts w:cs="Calibri"/>
          <w:sz w:val="28"/>
          <w:szCs w:val="28"/>
          <w:lang w:eastAsia="ar-SA"/>
        </w:rPr>
      </w:pPr>
      <w:r w:rsidRPr="00835CC4">
        <w:rPr>
          <w:rFonts w:cs="Calibri"/>
          <w:sz w:val="28"/>
          <w:szCs w:val="28"/>
          <w:lang w:eastAsia="ar-SA"/>
        </w:rPr>
        <w:t>Впрочем, данное утверждение является только предположением, т. к. для диагностики MARS-синдрома требуется определение дополнительных иммунологических параметров (HLA-DR моноцитов,</w:t>
      </w:r>
      <w:r>
        <w:rPr>
          <w:rFonts w:cs="Calibri"/>
          <w:sz w:val="28"/>
          <w:szCs w:val="28"/>
          <w:lang w:eastAsia="ar-SA"/>
        </w:rPr>
        <w:t xml:space="preserve"> апоптоз лимфоцитов) </w:t>
      </w:r>
      <w:r w:rsidRPr="00D058B5">
        <w:rPr>
          <w:rFonts w:cs="Calibri"/>
          <w:sz w:val="28"/>
          <w:szCs w:val="28"/>
          <w:lang w:eastAsia="ar-SA"/>
        </w:rPr>
        <w:t>(</w:t>
      </w:r>
      <w:r>
        <w:rPr>
          <w:rFonts w:cs="Calibri"/>
          <w:sz w:val="28"/>
          <w:szCs w:val="28"/>
          <w:lang w:eastAsia="ar-SA"/>
        </w:rPr>
        <w:t>Черных Е.Р. и др., 2001</w:t>
      </w:r>
      <w:r w:rsidRPr="00D058B5">
        <w:rPr>
          <w:rFonts w:cs="Calibri"/>
          <w:sz w:val="28"/>
          <w:szCs w:val="28"/>
          <w:lang w:eastAsia="ar-SA"/>
        </w:rPr>
        <w:t>)</w:t>
      </w:r>
      <w:r w:rsidRPr="00835CC4">
        <w:rPr>
          <w:rFonts w:cs="Calibri"/>
          <w:sz w:val="28"/>
          <w:szCs w:val="28"/>
          <w:lang w:eastAsia="ar-SA"/>
        </w:rPr>
        <w:t>, что не является задачей данного диссертационного исследования.</w:t>
      </w:r>
    </w:p>
    <w:p w:rsidR="00286780" w:rsidRPr="00835CC4" w:rsidRDefault="00286780" w:rsidP="00835CC4">
      <w:pPr>
        <w:spacing w:line="360" w:lineRule="auto"/>
        <w:ind w:firstLine="709"/>
        <w:jc w:val="both"/>
        <w:rPr>
          <w:rFonts w:cs="Calibri"/>
          <w:sz w:val="28"/>
          <w:szCs w:val="28"/>
          <w:lang w:eastAsia="ar-SA"/>
        </w:rPr>
      </w:pPr>
      <w:r w:rsidRPr="00835CC4">
        <w:rPr>
          <w:rFonts w:cs="Calibri"/>
          <w:sz w:val="28"/>
          <w:szCs w:val="28"/>
          <w:lang w:eastAsia="ar-SA"/>
        </w:rPr>
        <w:t xml:space="preserve">Поэтому чувствительность критериев </w:t>
      </w:r>
      <w:r w:rsidRPr="00835CC4">
        <w:rPr>
          <w:rFonts w:cs="Calibri"/>
          <w:sz w:val="28"/>
          <w:szCs w:val="28"/>
          <w:lang w:val="en-US" w:eastAsia="ar-SA"/>
        </w:rPr>
        <w:t>SIRS</w:t>
      </w:r>
      <w:r w:rsidRPr="00835CC4">
        <w:rPr>
          <w:rFonts w:cs="Calibri"/>
          <w:sz w:val="28"/>
          <w:szCs w:val="28"/>
          <w:lang w:eastAsia="ar-SA"/>
        </w:rPr>
        <w:t xml:space="preserve">4 низкая, так как </w:t>
      </w:r>
      <w:r w:rsidRPr="00835CC4">
        <w:rPr>
          <w:rFonts w:cs="Calibri"/>
          <w:sz w:val="28"/>
          <w:szCs w:val="28"/>
          <w:lang w:val="en-US" w:eastAsia="ar-SA"/>
        </w:rPr>
        <w:t>SIRS</w:t>
      </w:r>
      <w:r w:rsidRPr="00835CC4">
        <w:rPr>
          <w:rFonts w:cs="Calibri"/>
          <w:sz w:val="28"/>
          <w:szCs w:val="28"/>
          <w:lang w:eastAsia="ar-SA"/>
        </w:rPr>
        <w:t xml:space="preserve">4 включает 4 обязательных компонента, в том числе показатель температуры тела более 38 или менее 36ºС, положительный только у 12,5% пациентов с ОС. В то же время специфичность </w:t>
      </w:r>
      <w:r w:rsidRPr="00835CC4">
        <w:rPr>
          <w:rFonts w:cs="Calibri"/>
          <w:sz w:val="28"/>
          <w:szCs w:val="28"/>
          <w:lang w:val="en-US" w:eastAsia="ar-SA"/>
        </w:rPr>
        <w:t>SIRS</w:t>
      </w:r>
      <w:r w:rsidRPr="00835CC4">
        <w:rPr>
          <w:rFonts w:cs="Calibri"/>
          <w:sz w:val="28"/>
          <w:szCs w:val="28"/>
          <w:lang w:eastAsia="ar-SA"/>
        </w:rPr>
        <w:t xml:space="preserve">4 высокая (100%), так как в группе больных с МФОИ критерии </w:t>
      </w:r>
      <w:r w:rsidRPr="00835CC4">
        <w:rPr>
          <w:rFonts w:cs="Calibri"/>
          <w:sz w:val="28"/>
          <w:szCs w:val="28"/>
          <w:lang w:val="en-US" w:eastAsia="ar-SA"/>
        </w:rPr>
        <w:t>SIRS</w:t>
      </w:r>
      <w:r w:rsidRPr="00835CC4">
        <w:rPr>
          <w:rFonts w:cs="Calibri"/>
          <w:sz w:val="28"/>
          <w:szCs w:val="28"/>
          <w:lang w:eastAsia="ar-SA"/>
        </w:rPr>
        <w:t>4 не определяются ни в одном с</w:t>
      </w:r>
      <w:r>
        <w:rPr>
          <w:rFonts w:cs="Calibri"/>
          <w:sz w:val="28"/>
          <w:szCs w:val="28"/>
          <w:lang w:eastAsia="ar-SA"/>
        </w:rPr>
        <w:t>лучае</w:t>
      </w:r>
      <w:r w:rsidRPr="00835CC4">
        <w:rPr>
          <w:rFonts w:cs="Calibri"/>
          <w:sz w:val="28"/>
          <w:szCs w:val="28"/>
          <w:lang w:eastAsia="ar-SA"/>
        </w:rPr>
        <w:t>.</w:t>
      </w:r>
    </w:p>
    <w:p w:rsidR="00286780" w:rsidRPr="00835CC4" w:rsidRDefault="00286780" w:rsidP="00835CC4">
      <w:pPr>
        <w:spacing w:line="360" w:lineRule="auto"/>
        <w:ind w:firstLine="709"/>
        <w:jc w:val="both"/>
        <w:rPr>
          <w:rFonts w:cs="Calibri"/>
          <w:sz w:val="28"/>
          <w:szCs w:val="28"/>
          <w:lang w:eastAsia="ar-SA"/>
        </w:rPr>
      </w:pPr>
      <w:r w:rsidRPr="00835CC4">
        <w:rPr>
          <w:rFonts w:cs="Calibri"/>
          <w:sz w:val="28"/>
          <w:szCs w:val="28"/>
          <w:lang w:eastAsia="ar-SA"/>
        </w:rPr>
        <w:t xml:space="preserve">Унифицированная программа диагностики одонтогенного сепсиса по Губину М.А. и </w:t>
      </w:r>
      <w:r>
        <w:rPr>
          <w:rFonts w:cs="Calibri"/>
          <w:sz w:val="28"/>
          <w:szCs w:val="28"/>
          <w:lang w:eastAsia="ar-SA"/>
        </w:rPr>
        <w:t xml:space="preserve">соавт. </w:t>
      </w:r>
      <w:r w:rsidRPr="00835CC4">
        <w:rPr>
          <w:rFonts w:cs="Calibri"/>
          <w:sz w:val="28"/>
          <w:szCs w:val="28"/>
          <w:lang w:eastAsia="ar-SA"/>
        </w:rPr>
        <w:t xml:space="preserve">(2003 г.) диагностирует генерализованный воспалительный процесс, в среднем, в 42,5% случаев, причем специфичность метода высокая, практически совпадающая со специфичностью шкалы </w:t>
      </w:r>
      <w:r w:rsidRPr="00835CC4">
        <w:rPr>
          <w:rFonts w:cs="Calibri"/>
          <w:sz w:val="28"/>
          <w:szCs w:val="28"/>
          <w:lang w:val="en-US" w:eastAsia="ar-SA"/>
        </w:rPr>
        <w:t>qSOFA</w:t>
      </w:r>
      <w:r w:rsidRPr="00835CC4">
        <w:rPr>
          <w:rFonts w:cs="Calibri"/>
          <w:sz w:val="28"/>
          <w:szCs w:val="28"/>
          <w:lang w:eastAsia="ar-SA"/>
        </w:rPr>
        <w:t xml:space="preserve"> (97,8%). То есть если данный алгоритм в конкретном случае показывает положительное значение результа</w:t>
      </w:r>
      <w:r w:rsidRPr="00835CC4">
        <w:rPr>
          <w:rFonts w:cs="Calibri"/>
          <w:sz w:val="28"/>
          <w:szCs w:val="28"/>
          <w:lang w:eastAsia="ar-SA"/>
        </w:rPr>
        <w:lastRenderedPageBreak/>
        <w:t>та (сепсис), то с вероятностью 97,8% результат будет соответствовать реальной клинической картине генерализованного инфекционного процесса (ОС).</w:t>
      </w:r>
    </w:p>
    <w:p w:rsidR="00286780" w:rsidRPr="00835CC4" w:rsidRDefault="00286780" w:rsidP="00835CC4">
      <w:pPr>
        <w:spacing w:line="360" w:lineRule="auto"/>
        <w:ind w:firstLine="709"/>
        <w:jc w:val="both"/>
        <w:rPr>
          <w:rFonts w:cs="Calibri"/>
          <w:sz w:val="28"/>
          <w:szCs w:val="28"/>
          <w:lang w:eastAsia="ar-SA"/>
        </w:rPr>
      </w:pPr>
      <w:r w:rsidRPr="00835CC4">
        <w:rPr>
          <w:rFonts w:cs="Calibri"/>
          <w:sz w:val="28"/>
          <w:szCs w:val="28"/>
          <w:lang w:eastAsia="ar-SA"/>
        </w:rPr>
        <w:t xml:space="preserve">Наиболее эффективной дифференциально-диагностической шкалой для определения признаков одонтогенного сепсиса по результатам данного исследования является шкала </w:t>
      </w:r>
      <w:r w:rsidRPr="00835CC4">
        <w:rPr>
          <w:rFonts w:cs="Calibri"/>
          <w:sz w:val="28"/>
          <w:szCs w:val="28"/>
          <w:lang w:val="en-US" w:eastAsia="ar-SA"/>
        </w:rPr>
        <w:t>SOFA</w:t>
      </w:r>
      <w:r w:rsidRPr="00835CC4">
        <w:rPr>
          <w:rFonts w:cs="Calibri"/>
          <w:sz w:val="28"/>
          <w:szCs w:val="28"/>
          <w:lang w:eastAsia="ar-SA"/>
        </w:rPr>
        <w:t xml:space="preserve">. Чувствительность </w:t>
      </w:r>
      <w:r w:rsidRPr="00835CC4">
        <w:rPr>
          <w:rFonts w:cs="Calibri"/>
          <w:sz w:val="28"/>
          <w:szCs w:val="28"/>
          <w:lang w:val="en-US" w:eastAsia="ar-SA"/>
        </w:rPr>
        <w:t>SOFA</w:t>
      </w:r>
      <w:r w:rsidRPr="00835CC4">
        <w:rPr>
          <w:rFonts w:cs="Calibri"/>
          <w:sz w:val="28"/>
          <w:szCs w:val="28"/>
          <w:lang w:eastAsia="ar-SA"/>
        </w:rPr>
        <w:t xml:space="preserve"> достигает 100% при достаточно высокой специфичности (86,7%), точности, прогностичности положительного и отрицательного результатов.</w:t>
      </w:r>
    </w:p>
    <w:p w:rsidR="00286780" w:rsidRPr="00835CC4" w:rsidRDefault="00286780" w:rsidP="00FD18C9">
      <w:pPr>
        <w:spacing w:line="360" w:lineRule="auto"/>
        <w:ind w:firstLine="709"/>
        <w:jc w:val="both"/>
        <w:rPr>
          <w:rFonts w:cs="Calibri"/>
          <w:sz w:val="28"/>
          <w:szCs w:val="28"/>
          <w:lang w:eastAsia="ar-SA"/>
        </w:rPr>
      </w:pPr>
      <w:r w:rsidRPr="00835CC4">
        <w:rPr>
          <w:rFonts w:cs="Calibri"/>
          <w:sz w:val="28"/>
          <w:szCs w:val="28"/>
          <w:lang w:eastAsia="ar-SA"/>
        </w:rPr>
        <w:t xml:space="preserve">Таким образом, шкала </w:t>
      </w:r>
      <w:r w:rsidRPr="00835CC4">
        <w:rPr>
          <w:rFonts w:cs="Calibri"/>
          <w:sz w:val="28"/>
          <w:szCs w:val="28"/>
          <w:lang w:val="en-US" w:eastAsia="ar-SA"/>
        </w:rPr>
        <w:t>SOFA</w:t>
      </w:r>
      <w:r w:rsidRPr="00835CC4">
        <w:rPr>
          <w:rFonts w:cs="Calibri"/>
          <w:sz w:val="28"/>
          <w:szCs w:val="28"/>
          <w:lang w:eastAsia="ar-SA"/>
        </w:rPr>
        <w:t xml:space="preserve"> может быть рекомендована для применения у пациентов с подозрением на одонтогенный сепсис. Данная методика не может являться скрининговой ввиду сложности исполнения, связанной, в основном, с необходимостью взятия артериальной крови для определения газового состава, что осуществимо в условиях реанимационного отделения, но практически невыполнимо в приемном отделении стационара. Необходим дальнейший поиск </w:t>
      </w:r>
      <w:r>
        <w:rPr>
          <w:rFonts w:cs="Calibri"/>
          <w:sz w:val="28"/>
          <w:szCs w:val="28"/>
          <w:lang w:eastAsia="ar-SA"/>
        </w:rPr>
        <w:t>скрини</w:t>
      </w:r>
      <w:r w:rsidRPr="00835CC4">
        <w:rPr>
          <w:rFonts w:cs="Calibri"/>
          <w:sz w:val="28"/>
          <w:szCs w:val="28"/>
          <w:lang w:eastAsia="ar-SA"/>
        </w:rPr>
        <w:t>нгового метода, позволяющего быстро, малоинвазивно и без излишних материальных расходов обеспечить высокую точность и специфичность ранней диагностики одонтогенного сепсиса.</w:t>
      </w:r>
      <w:r>
        <w:rPr>
          <w:rFonts w:cs="Calibri"/>
          <w:sz w:val="28"/>
          <w:szCs w:val="28"/>
          <w:lang w:eastAsia="ar-SA"/>
        </w:rPr>
        <w:t xml:space="preserve"> </w:t>
      </w:r>
      <w:r w:rsidRPr="00835CC4">
        <w:rPr>
          <w:rFonts w:cs="Calibri"/>
          <w:sz w:val="28"/>
          <w:szCs w:val="28"/>
          <w:lang w:eastAsia="ar-SA"/>
        </w:rPr>
        <w:t xml:space="preserve">Распространенность ОС с использованием критериев диагностики </w:t>
      </w:r>
      <w:r w:rsidRPr="00835CC4">
        <w:rPr>
          <w:rFonts w:cs="Calibri"/>
          <w:sz w:val="28"/>
          <w:szCs w:val="28"/>
          <w:lang w:val="en-US" w:eastAsia="ar-SA"/>
        </w:rPr>
        <w:t>SCCM</w:t>
      </w:r>
      <w:r w:rsidRPr="00835CC4">
        <w:rPr>
          <w:rFonts w:cs="Calibri"/>
          <w:sz w:val="28"/>
          <w:szCs w:val="28"/>
          <w:lang w:eastAsia="ar-SA"/>
        </w:rPr>
        <w:t>/</w:t>
      </w:r>
      <w:r w:rsidRPr="00835CC4">
        <w:rPr>
          <w:rFonts w:cs="Calibri"/>
          <w:sz w:val="28"/>
          <w:szCs w:val="28"/>
          <w:lang w:val="en-US" w:eastAsia="ar-SA"/>
        </w:rPr>
        <w:t>ESICM</w:t>
      </w:r>
      <w:r w:rsidRPr="00835CC4">
        <w:rPr>
          <w:rFonts w:cs="Calibri"/>
          <w:sz w:val="28"/>
          <w:szCs w:val="28"/>
          <w:lang w:eastAsia="ar-SA"/>
        </w:rPr>
        <w:t xml:space="preserve">, основанных на применении </w:t>
      </w:r>
      <w:r w:rsidRPr="00835CC4">
        <w:rPr>
          <w:rFonts w:cs="Calibri"/>
          <w:sz w:val="28"/>
          <w:szCs w:val="28"/>
          <w:lang w:val="en-US" w:eastAsia="ar-SA"/>
        </w:rPr>
        <w:t>SOFA</w:t>
      </w:r>
      <w:r w:rsidRPr="00835CC4">
        <w:rPr>
          <w:rFonts w:cs="Calibri"/>
          <w:sz w:val="28"/>
          <w:szCs w:val="28"/>
          <w:lang w:eastAsia="ar-SA"/>
        </w:rPr>
        <w:t xml:space="preserve">, по результатам нашего исследования составляет 22,9% (8 пациентов с ОС основной группы). Сравнение с аналогичным показателем, полученным в результате применения критериев </w:t>
      </w:r>
      <w:r>
        <w:rPr>
          <w:rFonts w:cs="Calibri"/>
          <w:sz w:val="28"/>
          <w:szCs w:val="28"/>
          <w:lang w:eastAsia="ar-SA"/>
        </w:rPr>
        <w:br/>
        <w:t>«</w:t>
      </w:r>
      <w:r w:rsidRPr="00835CC4">
        <w:rPr>
          <w:rFonts w:cs="Calibri"/>
          <w:sz w:val="28"/>
          <w:szCs w:val="28"/>
          <w:lang w:eastAsia="ar-SA"/>
        </w:rPr>
        <w:t>Сепсис-1</w:t>
      </w:r>
      <w:r>
        <w:rPr>
          <w:rFonts w:cs="Calibri"/>
          <w:sz w:val="28"/>
          <w:szCs w:val="28"/>
          <w:lang w:eastAsia="ar-SA"/>
        </w:rPr>
        <w:t>»</w:t>
      </w:r>
      <w:r w:rsidRPr="00835CC4">
        <w:rPr>
          <w:rFonts w:cs="Calibri"/>
          <w:sz w:val="28"/>
          <w:szCs w:val="28"/>
          <w:lang w:eastAsia="ar-SA"/>
        </w:rPr>
        <w:t xml:space="preserve"> (7,5%, см. </w:t>
      </w:r>
      <w:r w:rsidRPr="00835CC4">
        <w:rPr>
          <w:rFonts w:cs="Calibri"/>
          <w:sz w:val="28"/>
          <w:szCs w:val="28"/>
          <w:lang w:val="en-US" w:eastAsia="ar-SA"/>
        </w:rPr>
        <w:t>I</w:t>
      </w:r>
      <w:r w:rsidRPr="00835CC4">
        <w:rPr>
          <w:rFonts w:cs="Calibri"/>
          <w:sz w:val="28"/>
          <w:szCs w:val="28"/>
          <w:lang w:eastAsia="ar-SA"/>
        </w:rPr>
        <w:t xml:space="preserve"> блок исследований) указывает на существенное увеличение популяции пациентов, соответствующих современным критериям диагностики генерализованной инфекции.</w:t>
      </w:r>
    </w:p>
    <w:p w:rsidR="00286780" w:rsidRDefault="00286780" w:rsidP="004A0CF0">
      <w:pPr>
        <w:jc w:val="both"/>
        <w:rPr>
          <w:sz w:val="28"/>
          <w:szCs w:val="28"/>
          <w:lang w:eastAsia="en-US"/>
        </w:rPr>
      </w:pPr>
    </w:p>
    <w:p w:rsidR="00286780" w:rsidRPr="00FD18C9" w:rsidRDefault="00286780" w:rsidP="00FD18C9">
      <w:pPr>
        <w:pStyle w:val="20"/>
        <w:spacing w:line="360" w:lineRule="auto"/>
        <w:jc w:val="both"/>
      </w:pPr>
      <w:bookmarkStart w:id="28" w:name="_Toc67905710"/>
      <w:r>
        <w:t xml:space="preserve">5.3. </w:t>
      </w:r>
      <w:r w:rsidRPr="00874414">
        <w:t>Алгоритм комплексного обследования пациентов с хирургическими осложнениями одонтогенной инфекции с учетом полиорганной фоновой патологии и синдрома взаимного отягощения</w:t>
      </w:r>
      <w:bookmarkEnd w:id="28"/>
    </w:p>
    <w:p w:rsidR="00286780" w:rsidRPr="00874414" w:rsidRDefault="00286780" w:rsidP="00FD18C9">
      <w:pPr>
        <w:spacing w:line="360" w:lineRule="auto"/>
        <w:ind w:firstLine="709"/>
        <w:jc w:val="both"/>
        <w:rPr>
          <w:rFonts w:cs="Calibri"/>
          <w:sz w:val="28"/>
          <w:szCs w:val="28"/>
          <w:lang w:eastAsia="ar-SA"/>
        </w:rPr>
      </w:pPr>
      <w:r w:rsidRPr="00874414">
        <w:rPr>
          <w:rFonts w:cs="Calibri"/>
          <w:sz w:val="28"/>
          <w:szCs w:val="28"/>
          <w:lang w:eastAsia="ar-SA"/>
        </w:rPr>
        <w:t>Диагностический алгоритм комплексного обследования пациентов с одонтогенными воспалительными процессами должен включать четыре основные составляющие:</w:t>
      </w:r>
    </w:p>
    <w:p w:rsidR="00286780" w:rsidRPr="00874414" w:rsidRDefault="00286780" w:rsidP="00874414">
      <w:pPr>
        <w:spacing w:line="360" w:lineRule="auto"/>
        <w:ind w:firstLine="709"/>
        <w:jc w:val="both"/>
        <w:rPr>
          <w:rFonts w:cs="Calibri"/>
          <w:sz w:val="28"/>
          <w:szCs w:val="28"/>
          <w:lang w:eastAsia="ar-SA"/>
        </w:rPr>
      </w:pPr>
      <w:r w:rsidRPr="00874414">
        <w:rPr>
          <w:rFonts w:cs="Calibri"/>
          <w:sz w:val="28"/>
          <w:szCs w:val="28"/>
          <w:lang w:eastAsia="ar-SA"/>
        </w:rPr>
        <w:lastRenderedPageBreak/>
        <w:t xml:space="preserve">1) общую оценку состояния органных систем и определение вероятности наличия сепсиса; </w:t>
      </w:r>
    </w:p>
    <w:p w:rsidR="00286780" w:rsidRPr="00874414" w:rsidRDefault="00286780" w:rsidP="00874414">
      <w:pPr>
        <w:spacing w:line="360" w:lineRule="auto"/>
        <w:ind w:firstLine="709"/>
        <w:jc w:val="both"/>
        <w:rPr>
          <w:rFonts w:cs="Calibri"/>
          <w:sz w:val="28"/>
          <w:szCs w:val="28"/>
          <w:lang w:eastAsia="ar-SA"/>
        </w:rPr>
      </w:pPr>
      <w:r w:rsidRPr="00874414">
        <w:rPr>
          <w:rFonts w:cs="Calibri"/>
          <w:sz w:val="28"/>
          <w:szCs w:val="28"/>
          <w:lang w:eastAsia="ar-SA"/>
        </w:rPr>
        <w:t xml:space="preserve">2) определение топографо-анатомической локализации, распространенности и характера одонтогенного воспалительного процесса; </w:t>
      </w:r>
    </w:p>
    <w:p w:rsidR="00286780" w:rsidRPr="00874414" w:rsidRDefault="00286780" w:rsidP="00874414">
      <w:pPr>
        <w:spacing w:line="360" w:lineRule="auto"/>
        <w:ind w:firstLine="709"/>
        <w:jc w:val="both"/>
        <w:rPr>
          <w:rFonts w:cs="Calibri"/>
          <w:sz w:val="28"/>
          <w:szCs w:val="28"/>
          <w:lang w:eastAsia="ar-SA"/>
        </w:rPr>
      </w:pPr>
      <w:r w:rsidRPr="00874414">
        <w:rPr>
          <w:rFonts w:cs="Calibri"/>
          <w:sz w:val="28"/>
          <w:szCs w:val="28"/>
          <w:lang w:eastAsia="ar-SA"/>
        </w:rPr>
        <w:t>3) детализированную оценку состояния органных систем по показаниям с последующим установлением сепсиса;</w:t>
      </w:r>
    </w:p>
    <w:p w:rsidR="00286780" w:rsidRPr="00874414" w:rsidRDefault="00286780" w:rsidP="00874414">
      <w:pPr>
        <w:spacing w:line="360" w:lineRule="auto"/>
        <w:ind w:firstLine="709"/>
        <w:jc w:val="both"/>
        <w:rPr>
          <w:rFonts w:cs="Calibri"/>
          <w:sz w:val="28"/>
          <w:szCs w:val="28"/>
          <w:lang w:eastAsia="ar-SA"/>
        </w:rPr>
      </w:pPr>
      <w:r w:rsidRPr="00874414">
        <w:rPr>
          <w:rFonts w:cs="Calibri"/>
          <w:sz w:val="28"/>
          <w:szCs w:val="28"/>
          <w:lang w:eastAsia="ar-SA"/>
        </w:rPr>
        <w:t>4) диагностику и определение степени компенсации хронической патологии (ХП) с оценкой влияния на течение и исход основного заболевания.</w:t>
      </w:r>
    </w:p>
    <w:p w:rsidR="00286780" w:rsidRPr="00874414" w:rsidRDefault="00286780" w:rsidP="00874414">
      <w:pPr>
        <w:spacing w:line="360" w:lineRule="auto"/>
        <w:ind w:firstLine="709"/>
        <w:jc w:val="both"/>
        <w:rPr>
          <w:rFonts w:cs="Calibri"/>
          <w:sz w:val="28"/>
          <w:szCs w:val="28"/>
          <w:lang w:eastAsia="ar-SA"/>
        </w:rPr>
      </w:pPr>
      <w:r w:rsidRPr="00874414">
        <w:rPr>
          <w:rFonts w:cs="Calibri"/>
          <w:sz w:val="28"/>
          <w:szCs w:val="28"/>
          <w:lang w:eastAsia="ar-SA"/>
        </w:rPr>
        <w:t xml:space="preserve">Пп. 1 и 2, а </w:t>
      </w:r>
      <w:r>
        <w:rPr>
          <w:rFonts w:cs="Calibri"/>
          <w:sz w:val="28"/>
          <w:szCs w:val="28"/>
          <w:lang w:eastAsia="ar-SA"/>
        </w:rPr>
        <w:t>также</w:t>
      </w:r>
      <w:r w:rsidRPr="00874414">
        <w:rPr>
          <w:rFonts w:cs="Calibri"/>
          <w:sz w:val="28"/>
          <w:szCs w:val="28"/>
          <w:lang w:eastAsia="ar-SA"/>
        </w:rPr>
        <w:t xml:space="preserve"> п. 4 необходимо оценивать непосредственно при поступлении пациента в стационар, в приемном отделении, в предоперационном периоде, у всех поступивших пациентов.</w:t>
      </w:r>
    </w:p>
    <w:p w:rsidR="00286780" w:rsidRPr="00874414" w:rsidRDefault="00286780" w:rsidP="00874414">
      <w:pPr>
        <w:spacing w:line="360" w:lineRule="auto"/>
        <w:ind w:firstLine="709"/>
        <w:jc w:val="both"/>
        <w:rPr>
          <w:rFonts w:cs="Calibri"/>
          <w:sz w:val="28"/>
          <w:szCs w:val="28"/>
          <w:lang w:eastAsia="ar-SA"/>
        </w:rPr>
      </w:pPr>
      <w:r w:rsidRPr="00874414">
        <w:rPr>
          <w:rFonts w:cs="Calibri"/>
          <w:sz w:val="28"/>
          <w:szCs w:val="28"/>
          <w:lang w:eastAsia="ar-SA"/>
        </w:rPr>
        <w:t>П. 3 включает расширенную, детализированную оценку состояния органных систем в условиях ОРИТ с применением развернутых методов обследования при установлении высокой вероятности сепсиса.</w:t>
      </w:r>
    </w:p>
    <w:p w:rsidR="00286780" w:rsidRPr="00874414" w:rsidRDefault="00286780" w:rsidP="00874414">
      <w:pPr>
        <w:spacing w:line="360" w:lineRule="auto"/>
        <w:ind w:firstLine="709"/>
        <w:jc w:val="both"/>
        <w:rPr>
          <w:rFonts w:cs="Calibri"/>
          <w:sz w:val="28"/>
          <w:szCs w:val="28"/>
          <w:lang w:eastAsia="ar-SA"/>
        </w:rPr>
      </w:pPr>
      <w:r w:rsidRPr="00874414">
        <w:rPr>
          <w:rFonts w:cs="Calibri"/>
          <w:sz w:val="28"/>
          <w:szCs w:val="28"/>
          <w:lang w:eastAsia="ar-SA"/>
        </w:rPr>
        <w:t xml:space="preserve">Ориентируясь на результаты исследования, изложенного в параграфе </w:t>
      </w:r>
      <w:r>
        <w:rPr>
          <w:rFonts w:cs="Calibri"/>
          <w:sz w:val="28"/>
          <w:szCs w:val="28"/>
          <w:lang w:eastAsia="ar-SA"/>
        </w:rPr>
        <w:t>5.</w:t>
      </w:r>
      <w:r w:rsidRPr="00874414">
        <w:rPr>
          <w:rFonts w:cs="Calibri"/>
          <w:sz w:val="28"/>
          <w:szCs w:val="28"/>
          <w:lang w:eastAsia="ar-SA"/>
        </w:rPr>
        <w:t xml:space="preserve">2, решено скрининговую шкалу </w:t>
      </w:r>
      <w:r w:rsidRPr="00874414">
        <w:rPr>
          <w:rFonts w:cs="Calibri"/>
          <w:sz w:val="28"/>
          <w:szCs w:val="28"/>
          <w:lang w:val="en-US" w:eastAsia="ar-SA"/>
        </w:rPr>
        <w:t>qSOFA</w:t>
      </w:r>
      <w:r w:rsidRPr="00874414">
        <w:rPr>
          <w:rFonts w:cs="Calibri"/>
          <w:sz w:val="28"/>
          <w:szCs w:val="28"/>
          <w:lang w:eastAsia="ar-SA"/>
        </w:rPr>
        <w:t xml:space="preserve"> для диагностики ОС не использовать, а в качестве метода раннего определения признаков одонтогенного сепсиса применить набор критериев дифференциально-диагностической шкалы </w:t>
      </w:r>
      <w:r w:rsidRPr="00874414">
        <w:rPr>
          <w:rFonts w:cs="Calibri"/>
          <w:sz w:val="28"/>
          <w:szCs w:val="28"/>
          <w:lang w:val="en-US" w:eastAsia="ar-SA"/>
        </w:rPr>
        <w:t>SOFA</w:t>
      </w:r>
      <w:r w:rsidRPr="00874414">
        <w:rPr>
          <w:rFonts w:cs="Calibri"/>
          <w:sz w:val="28"/>
          <w:szCs w:val="28"/>
          <w:lang w:eastAsia="ar-SA"/>
        </w:rPr>
        <w:t>, из которых предлагается исключить определение газового состава артериальной крови в связи с существенной инвазивностью и трудоемкостью пункции артериального русла, набора материала и дальнейшего определения показателя в специализирован</w:t>
      </w:r>
      <w:r>
        <w:rPr>
          <w:rFonts w:cs="Calibri"/>
          <w:sz w:val="28"/>
          <w:szCs w:val="28"/>
          <w:lang w:eastAsia="ar-SA"/>
        </w:rPr>
        <w:t>ной лаборатории (Таблица 59</w:t>
      </w:r>
      <w:r w:rsidRPr="00874414">
        <w:rPr>
          <w:rFonts w:cs="Calibri"/>
          <w:sz w:val="28"/>
          <w:szCs w:val="28"/>
          <w:lang w:eastAsia="ar-SA"/>
        </w:rPr>
        <w:t>).</w:t>
      </w:r>
    </w:p>
    <w:p w:rsidR="00286780" w:rsidRPr="00874414" w:rsidRDefault="00286780" w:rsidP="00F45DB1">
      <w:pPr>
        <w:spacing w:line="360" w:lineRule="auto"/>
        <w:ind w:firstLine="709"/>
        <w:jc w:val="both"/>
        <w:rPr>
          <w:rFonts w:cs="Calibri"/>
          <w:sz w:val="28"/>
          <w:szCs w:val="28"/>
          <w:lang w:eastAsia="ar-SA"/>
        </w:rPr>
      </w:pPr>
      <w:r w:rsidRPr="00874414">
        <w:rPr>
          <w:rFonts w:cs="Calibri"/>
          <w:sz w:val="28"/>
          <w:szCs w:val="28"/>
          <w:lang w:eastAsia="ar-SA"/>
        </w:rPr>
        <w:t>Чувствительность, специфичность, точность, прогностичность положительного и отрицательного результатов (</w:t>
      </w:r>
      <w:r w:rsidRPr="00874414">
        <w:rPr>
          <w:rFonts w:cs="Calibri"/>
          <w:sz w:val="28"/>
          <w:szCs w:val="28"/>
          <w:lang w:val="en-US" w:eastAsia="ar-SA"/>
        </w:rPr>
        <w:t>Se</w:t>
      </w:r>
      <w:r w:rsidRPr="00874414">
        <w:rPr>
          <w:rFonts w:cs="Calibri"/>
          <w:sz w:val="28"/>
          <w:szCs w:val="28"/>
          <w:lang w:eastAsia="ar-SA"/>
        </w:rPr>
        <w:t>,</w:t>
      </w:r>
      <w:r>
        <w:rPr>
          <w:rFonts w:cs="Calibri"/>
          <w:sz w:val="28"/>
          <w:szCs w:val="28"/>
          <w:lang w:eastAsia="ar-SA"/>
        </w:rPr>
        <w:t xml:space="preserve"> </w:t>
      </w:r>
      <w:r w:rsidRPr="00874414">
        <w:rPr>
          <w:rFonts w:cs="Calibri"/>
          <w:sz w:val="28"/>
          <w:szCs w:val="28"/>
          <w:lang w:val="en-US" w:eastAsia="ar-SA"/>
        </w:rPr>
        <w:t>Sp</w:t>
      </w:r>
      <w:r w:rsidRPr="00874414">
        <w:rPr>
          <w:rFonts w:cs="Calibri"/>
          <w:sz w:val="28"/>
          <w:szCs w:val="28"/>
          <w:lang w:eastAsia="ar-SA"/>
        </w:rPr>
        <w:t>,</w:t>
      </w:r>
      <w:r>
        <w:rPr>
          <w:rFonts w:cs="Calibri"/>
          <w:sz w:val="28"/>
          <w:szCs w:val="28"/>
          <w:lang w:eastAsia="ar-SA"/>
        </w:rPr>
        <w:t xml:space="preserve"> </w:t>
      </w:r>
      <w:r w:rsidRPr="00874414">
        <w:rPr>
          <w:rFonts w:cs="Calibri"/>
          <w:sz w:val="28"/>
          <w:szCs w:val="28"/>
          <w:lang w:val="en-US" w:eastAsia="ar-SA"/>
        </w:rPr>
        <w:t>Ac</w:t>
      </w:r>
      <w:r w:rsidRPr="00874414">
        <w:rPr>
          <w:rFonts w:cs="Calibri"/>
          <w:sz w:val="28"/>
          <w:szCs w:val="28"/>
          <w:lang w:eastAsia="ar-SA"/>
        </w:rPr>
        <w:t>,</w:t>
      </w:r>
      <w:r>
        <w:rPr>
          <w:rFonts w:cs="Calibri"/>
          <w:sz w:val="28"/>
          <w:szCs w:val="28"/>
          <w:lang w:eastAsia="ar-SA"/>
        </w:rPr>
        <w:t xml:space="preserve"> </w:t>
      </w:r>
      <w:r w:rsidRPr="00874414">
        <w:rPr>
          <w:rFonts w:cs="Calibri"/>
          <w:sz w:val="28"/>
          <w:szCs w:val="28"/>
          <w:lang w:val="en-US" w:eastAsia="ar-SA"/>
        </w:rPr>
        <w:t>PPV</w:t>
      </w:r>
      <w:r w:rsidRPr="00874414">
        <w:rPr>
          <w:rFonts w:cs="Calibri"/>
          <w:sz w:val="28"/>
          <w:szCs w:val="28"/>
          <w:lang w:eastAsia="ar-SA"/>
        </w:rPr>
        <w:t>,</w:t>
      </w:r>
      <w:r>
        <w:rPr>
          <w:rFonts w:cs="Calibri"/>
          <w:sz w:val="28"/>
          <w:szCs w:val="28"/>
          <w:lang w:eastAsia="ar-SA"/>
        </w:rPr>
        <w:t xml:space="preserve"> </w:t>
      </w:r>
      <w:r w:rsidRPr="00874414">
        <w:rPr>
          <w:rFonts w:cs="Calibri"/>
          <w:sz w:val="28"/>
          <w:szCs w:val="28"/>
          <w:lang w:val="en-US" w:eastAsia="ar-SA"/>
        </w:rPr>
        <w:t>NPV</w:t>
      </w:r>
      <w:r w:rsidRPr="00874414">
        <w:rPr>
          <w:rFonts w:cs="Calibri"/>
          <w:sz w:val="28"/>
          <w:szCs w:val="28"/>
          <w:lang w:eastAsia="ar-SA"/>
        </w:rPr>
        <w:t xml:space="preserve">) применения критериев модифицированной </w:t>
      </w:r>
      <w:r w:rsidRPr="00874414">
        <w:rPr>
          <w:rFonts w:cs="Calibri"/>
          <w:sz w:val="28"/>
          <w:szCs w:val="28"/>
          <w:lang w:val="en-US" w:eastAsia="ar-SA"/>
        </w:rPr>
        <w:t>SOFA</w:t>
      </w:r>
      <w:r w:rsidRPr="00874414">
        <w:rPr>
          <w:rFonts w:cs="Calibri"/>
          <w:sz w:val="28"/>
          <w:szCs w:val="28"/>
          <w:lang w:eastAsia="ar-SA"/>
        </w:rPr>
        <w:t xml:space="preserve"> (</w:t>
      </w:r>
      <w:r w:rsidRPr="00874414">
        <w:rPr>
          <w:rFonts w:cs="Calibri"/>
          <w:sz w:val="28"/>
          <w:szCs w:val="28"/>
          <w:lang w:val="en-US" w:eastAsia="ar-SA"/>
        </w:rPr>
        <w:t>SOFA</w:t>
      </w:r>
      <w:r w:rsidRPr="00874414">
        <w:rPr>
          <w:rFonts w:cs="Calibri"/>
          <w:sz w:val="28"/>
          <w:szCs w:val="28"/>
          <w:lang w:eastAsia="ar-SA"/>
        </w:rPr>
        <w:t>, с исключением показателя газового состава крови) у пациентов с одонтогенными воспалительными процессами, представлена в Табл</w:t>
      </w:r>
      <w:r>
        <w:rPr>
          <w:rFonts w:cs="Calibri"/>
          <w:sz w:val="28"/>
          <w:szCs w:val="28"/>
          <w:lang w:eastAsia="ar-SA"/>
        </w:rPr>
        <w:t>ице 60. Как следует из Таблицы 60</w:t>
      </w:r>
      <w:r w:rsidRPr="00874414">
        <w:rPr>
          <w:rFonts w:cs="Calibri"/>
          <w:sz w:val="28"/>
          <w:szCs w:val="28"/>
          <w:lang w:eastAsia="ar-SA"/>
        </w:rPr>
        <w:t xml:space="preserve">, модифицированная шкала </w:t>
      </w:r>
      <w:r w:rsidRPr="00874414">
        <w:rPr>
          <w:rFonts w:cs="Calibri"/>
          <w:sz w:val="28"/>
          <w:szCs w:val="28"/>
          <w:lang w:val="en-US" w:eastAsia="ar-SA"/>
        </w:rPr>
        <w:t>SOFA</w:t>
      </w:r>
      <w:r w:rsidRPr="00874414">
        <w:rPr>
          <w:rFonts w:cs="Calibri"/>
          <w:sz w:val="28"/>
          <w:szCs w:val="28"/>
          <w:lang w:eastAsia="ar-SA"/>
        </w:rPr>
        <w:t xml:space="preserve"> (без определения газов крови) обладает средним уровнем чувствительности (</w:t>
      </w:r>
      <w:r w:rsidRPr="00874414">
        <w:rPr>
          <w:rFonts w:cs="Calibri"/>
          <w:sz w:val="28"/>
          <w:szCs w:val="28"/>
          <w:lang w:val="en-US" w:eastAsia="ar-SA"/>
        </w:rPr>
        <w:t>Se</w:t>
      </w:r>
      <w:r w:rsidRPr="00874414">
        <w:rPr>
          <w:rFonts w:cs="Calibri"/>
          <w:sz w:val="28"/>
          <w:szCs w:val="28"/>
          <w:lang w:eastAsia="ar-SA"/>
        </w:rPr>
        <w:t>), достаточно высокой специфичностью и точностью (</w:t>
      </w:r>
      <w:r w:rsidRPr="00874414">
        <w:rPr>
          <w:rFonts w:cs="Calibri"/>
          <w:sz w:val="28"/>
          <w:szCs w:val="28"/>
          <w:lang w:val="en-US" w:eastAsia="ar-SA"/>
        </w:rPr>
        <w:t>Sp</w:t>
      </w:r>
      <w:r w:rsidRPr="00874414">
        <w:rPr>
          <w:rFonts w:cs="Calibri"/>
          <w:sz w:val="28"/>
          <w:szCs w:val="28"/>
          <w:lang w:eastAsia="ar-SA"/>
        </w:rPr>
        <w:t>, Ас).</w:t>
      </w:r>
    </w:p>
    <w:p w:rsidR="00286780" w:rsidRPr="00874414" w:rsidRDefault="00286780" w:rsidP="00BA0CF5">
      <w:pPr>
        <w:spacing w:line="360" w:lineRule="auto"/>
        <w:ind w:firstLine="709"/>
        <w:jc w:val="both"/>
        <w:rPr>
          <w:rFonts w:cs="Calibri"/>
          <w:sz w:val="28"/>
          <w:szCs w:val="28"/>
          <w:lang w:eastAsia="ar-SA"/>
        </w:rPr>
      </w:pPr>
    </w:p>
    <w:p w:rsidR="00286780" w:rsidRPr="002F4D23" w:rsidRDefault="00286780" w:rsidP="00874414">
      <w:pPr>
        <w:spacing w:after="120"/>
        <w:jc w:val="both"/>
        <w:rPr>
          <w:spacing w:val="-8"/>
          <w:sz w:val="28"/>
          <w:szCs w:val="28"/>
        </w:rPr>
      </w:pPr>
      <w:r w:rsidRPr="00874414">
        <w:rPr>
          <w:b/>
          <w:sz w:val="28"/>
          <w:szCs w:val="28"/>
        </w:rPr>
        <w:lastRenderedPageBreak/>
        <w:t>Таблица 5</w:t>
      </w:r>
      <w:r>
        <w:rPr>
          <w:b/>
          <w:sz w:val="28"/>
          <w:szCs w:val="28"/>
        </w:rPr>
        <w:t>9</w:t>
      </w:r>
      <w:r w:rsidRPr="00874414">
        <w:rPr>
          <w:sz w:val="28"/>
          <w:szCs w:val="28"/>
        </w:rPr>
        <w:t xml:space="preserve"> – Система оценки тяжести органной н</w:t>
      </w:r>
      <w:r>
        <w:rPr>
          <w:sz w:val="28"/>
          <w:szCs w:val="28"/>
        </w:rPr>
        <w:t xml:space="preserve">едостаточности SOFA </w:t>
      </w:r>
      <w:r w:rsidRPr="002F4D23">
        <w:rPr>
          <w:sz w:val="28"/>
          <w:szCs w:val="28"/>
        </w:rPr>
        <w:t>(</w:t>
      </w:r>
      <w:r>
        <w:rPr>
          <w:sz w:val="28"/>
          <w:szCs w:val="28"/>
        </w:rPr>
        <w:t>Vincent J.</w:t>
      </w:r>
      <w:r w:rsidRPr="00874414">
        <w:rPr>
          <w:sz w:val="28"/>
          <w:szCs w:val="28"/>
        </w:rPr>
        <w:t>L. et al., 1996</w:t>
      </w:r>
      <w:r w:rsidRPr="002F4D23">
        <w:rPr>
          <w:sz w:val="28"/>
          <w:szCs w:val="28"/>
        </w:rPr>
        <w:t>)</w:t>
      </w:r>
    </w:p>
    <w:tbl>
      <w:tblPr>
        <w:tblW w:w="9923" w:type="dxa"/>
        <w:tblLayout w:type="fixed"/>
        <w:tblLook w:val="0000" w:firstRow="0" w:lastRow="0" w:firstColumn="0" w:lastColumn="0" w:noHBand="0" w:noVBand="0"/>
      </w:tblPr>
      <w:tblGrid>
        <w:gridCol w:w="2155"/>
        <w:gridCol w:w="708"/>
        <w:gridCol w:w="1134"/>
        <w:gridCol w:w="1560"/>
        <w:gridCol w:w="2227"/>
        <w:gridCol w:w="2139"/>
      </w:tblGrid>
      <w:tr w:rsidR="00286780" w:rsidRPr="00874414" w:rsidTr="00874414">
        <w:trPr>
          <w:trHeight w:val="227"/>
        </w:trPr>
        <w:tc>
          <w:tcPr>
            <w:tcW w:w="2155" w:type="dxa"/>
            <w:vMerge w:val="restart"/>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i/>
                <w:spacing w:val="-8"/>
                <w:sz w:val="24"/>
                <w:szCs w:val="24"/>
                <w:lang w:eastAsia="ar-SA"/>
              </w:rPr>
            </w:pPr>
            <w:r w:rsidRPr="00874414">
              <w:rPr>
                <w:rFonts w:cs="Calibri"/>
                <w:i/>
                <w:spacing w:val="-8"/>
                <w:sz w:val="24"/>
                <w:szCs w:val="24"/>
                <w:lang w:eastAsia="ar-SA"/>
              </w:rPr>
              <w:t>Система</w:t>
            </w:r>
          </w:p>
        </w:tc>
        <w:tc>
          <w:tcPr>
            <w:tcW w:w="7768"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74414" w:rsidRDefault="00286780" w:rsidP="00874414">
            <w:pPr>
              <w:snapToGrid w:val="0"/>
              <w:jc w:val="center"/>
              <w:rPr>
                <w:rFonts w:cs="Calibri"/>
                <w:i/>
                <w:spacing w:val="-8"/>
                <w:sz w:val="24"/>
                <w:szCs w:val="24"/>
                <w:lang w:eastAsia="ar-SA"/>
              </w:rPr>
            </w:pPr>
            <w:r w:rsidRPr="00874414">
              <w:rPr>
                <w:rFonts w:cs="Calibri"/>
                <w:i/>
                <w:spacing w:val="-8"/>
                <w:sz w:val="24"/>
                <w:szCs w:val="24"/>
                <w:lang w:eastAsia="ar-SA"/>
              </w:rPr>
              <w:t>Количество баллов</w:t>
            </w:r>
          </w:p>
        </w:tc>
      </w:tr>
      <w:tr w:rsidR="00286780" w:rsidRPr="00874414" w:rsidTr="00874414">
        <w:trPr>
          <w:trHeight w:val="227"/>
        </w:trPr>
        <w:tc>
          <w:tcPr>
            <w:tcW w:w="2155" w:type="dxa"/>
            <w:vMerge/>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8"/>
                <w:sz w:val="24"/>
                <w:szCs w:val="24"/>
                <w:lang w:eastAsia="ar-SA"/>
              </w:rPr>
            </w:pPr>
          </w:p>
        </w:tc>
        <w:tc>
          <w:tcPr>
            <w:tcW w:w="708"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8"/>
                <w:sz w:val="24"/>
                <w:szCs w:val="24"/>
                <w:lang w:eastAsia="ar-SA"/>
              </w:rPr>
            </w:pPr>
            <w:r w:rsidRPr="00874414">
              <w:rPr>
                <w:rFonts w:cs="Calibri"/>
                <w:spacing w:val="-8"/>
                <w:sz w:val="24"/>
                <w:szCs w:val="24"/>
                <w:lang w:eastAsia="ar-SA"/>
              </w:rPr>
              <w:t>0</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8"/>
                <w:sz w:val="24"/>
                <w:szCs w:val="24"/>
                <w:lang w:eastAsia="ar-SA"/>
              </w:rPr>
            </w:pPr>
            <w:r w:rsidRPr="00874414">
              <w:rPr>
                <w:rFonts w:cs="Calibri"/>
                <w:spacing w:val="-8"/>
                <w:sz w:val="24"/>
                <w:szCs w:val="24"/>
                <w:lang w:eastAsia="ar-SA"/>
              </w:rPr>
              <w:t>1</w:t>
            </w:r>
          </w:p>
        </w:tc>
        <w:tc>
          <w:tcPr>
            <w:tcW w:w="1560"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8"/>
                <w:sz w:val="24"/>
                <w:szCs w:val="24"/>
                <w:lang w:eastAsia="ar-SA"/>
              </w:rPr>
            </w:pPr>
            <w:r w:rsidRPr="00874414">
              <w:rPr>
                <w:rFonts w:cs="Calibri"/>
                <w:spacing w:val="-8"/>
                <w:sz w:val="24"/>
                <w:szCs w:val="24"/>
                <w:lang w:eastAsia="ar-SA"/>
              </w:rPr>
              <w:t>2</w:t>
            </w:r>
          </w:p>
        </w:tc>
        <w:tc>
          <w:tcPr>
            <w:tcW w:w="2227"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8"/>
                <w:sz w:val="24"/>
                <w:szCs w:val="24"/>
                <w:lang w:eastAsia="ar-SA"/>
              </w:rPr>
            </w:pPr>
            <w:r w:rsidRPr="00874414">
              <w:rPr>
                <w:rFonts w:cs="Calibri"/>
                <w:spacing w:val="-8"/>
                <w:sz w:val="24"/>
                <w:szCs w:val="24"/>
                <w:lang w:eastAsia="ar-SA"/>
              </w:rPr>
              <w:t>3</w:t>
            </w:r>
          </w:p>
        </w:tc>
        <w:tc>
          <w:tcPr>
            <w:tcW w:w="213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74414" w:rsidRDefault="00286780" w:rsidP="00874414">
            <w:pPr>
              <w:snapToGrid w:val="0"/>
              <w:jc w:val="center"/>
              <w:rPr>
                <w:rFonts w:cs="Calibri"/>
                <w:spacing w:val="-8"/>
                <w:sz w:val="24"/>
                <w:szCs w:val="24"/>
                <w:lang w:eastAsia="ar-SA"/>
              </w:rPr>
            </w:pPr>
            <w:r w:rsidRPr="00874414">
              <w:rPr>
                <w:rFonts w:cs="Calibri"/>
                <w:spacing w:val="-8"/>
                <w:sz w:val="24"/>
                <w:szCs w:val="24"/>
                <w:lang w:eastAsia="ar-SA"/>
              </w:rPr>
              <w:t>4</w:t>
            </w:r>
          </w:p>
        </w:tc>
      </w:tr>
      <w:tr w:rsidR="00286780" w:rsidRPr="00874414" w:rsidTr="00874414">
        <w:trPr>
          <w:trHeight w:val="227"/>
        </w:trPr>
        <w:tc>
          <w:tcPr>
            <w:tcW w:w="2155"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i/>
                <w:spacing w:val="-8"/>
                <w:sz w:val="24"/>
                <w:szCs w:val="24"/>
                <w:lang w:eastAsia="ar-SA"/>
              </w:rPr>
            </w:pPr>
            <w:r w:rsidRPr="00874414">
              <w:rPr>
                <w:rFonts w:cs="Calibri"/>
                <w:i/>
                <w:spacing w:val="-8"/>
                <w:sz w:val="24"/>
                <w:szCs w:val="24"/>
                <w:lang w:val="en-US" w:eastAsia="ar-SA"/>
              </w:rPr>
              <w:t>PaO</w:t>
            </w:r>
            <w:r>
              <w:rPr>
                <w:rFonts w:cs="Calibri"/>
                <w:i/>
                <w:spacing w:val="-8"/>
                <w:sz w:val="24"/>
                <w:szCs w:val="24"/>
                <w:lang w:eastAsia="ar-SA"/>
              </w:rPr>
              <w:t>2/</w:t>
            </w:r>
            <w:r w:rsidRPr="00874414">
              <w:rPr>
                <w:rFonts w:cs="Calibri"/>
                <w:i/>
                <w:spacing w:val="-8"/>
                <w:sz w:val="24"/>
                <w:szCs w:val="24"/>
                <w:lang w:val="en-US" w:eastAsia="ar-SA"/>
              </w:rPr>
              <w:t>FiO</w:t>
            </w:r>
            <w:r w:rsidRPr="00874414">
              <w:rPr>
                <w:rFonts w:cs="Calibri"/>
                <w:i/>
                <w:spacing w:val="-8"/>
                <w:sz w:val="24"/>
                <w:szCs w:val="24"/>
                <w:lang w:eastAsia="ar-SA"/>
              </w:rPr>
              <w:t>2**</w:t>
            </w:r>
          </w:p>
        </w:tc>
        <w:tc>
          <w:tcPr>
            <w:tcW w:w="708"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i/>
                <w:spacing w:val="-8"/>
                <w:sz w:val="24"/>
                <w:szCs w:val="24"/>
                <w:lang w:eastAsia="ar-SA"/>
              </w:rPr>
            </w:pPr>
            <w:r>
              <w:rPr>
                <w:rFonts w:cs="Calibri"/>
                <w:i/>
                <w:spacing w:val="-8"/>
                <w:sz w:val="24"/>
                <w:szCs w:val="24"/>
                <w:lang w:eastAsia="ar-SA"/>
              </w:rPr>
              <w:t xml:space="preserve">&gt; </w:t>
            </w:r>
            <w:r w:rsidRPr="00874414">
              <w:rPr>
                <w:rFonts w:cs="Calibri"/>
                <w:i/>
                <w:spacing w:val="-8"/>
                <w:sz w:val="24"/>
                <w:szCs w:val="24"/>
                <w:lang w:eastAsia="ar-SA"/>
              </w:rPr>
              <w:t>400</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i/>
                <w:spacing w:val="-8"/>
                <w:sz w:val="24"/>
                <w:szCs w:val="24"/>
                <w:lang w:eastAsia="ar-SA"/>
              </w:rPr>
            </w:pPr>
            <w:r>
              <w:rPr>
                <w:rFonts w:cs="Calibri"/>
                <w:i/>
                <w:spacing w:val="-8"/>
                <w:sz w:val="24"/>
                <w:szCs w:val="24"/>
                <w:lang w:eastAsia="ar-SA"/>
              </w:rPr>
              <w:t xml:space="preserve">&lt; </w:t>
            </w:r>
            <w:r w:rsidRPr="00874414">
              <w:rPr>
                <w:rFonts w:cs="Calibri"/>
                <w:i/>
                <w:spacing w:val="-8"/>
                <w:sz w:val="24"/>
                <w:szCs w:val="24"/>
                <w:lang w:eastAsia="ar-SA"/>
              </w:rPr>
              <w:t>400</w:t>
            </w:r>
          </w:p>
        </w:tc>
        <w:tc>
          <w:tcPr>
            <w:tcW w:w="1560"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i/>
                <w:spacing w:val="-8"/>
                <w:sz w:val="24"/>
                <w:szCs w:val="24"/>
                <w:lang w:eastAsia="ar-SA"/>
              </w:rPr>
            </w:pPr>
            <w:r>
              <w:rPr>
                <w:rFonts w:cs="Calibri"/>
                <w:i/>
                <w:spacing w:val="-8"/>
                <w:sz w:val="24"/>
                <w:szCs w:val="24"/>
                <w:lang w:eastAsia="ar-SA"/>
              </w:rPr>
              <w:t xml:space="preserve">&lt; </w:t>
            </w:r>
            <w:r w:rsidRPr="00874414">
              <w:rPr>
                <w:rFonts w:cs="Calibri"/>
                <w:i/>
                <w:spacing w:val="-8"/>
                <w:sz w:val="24"/>
                <w:szCs w:val="24"/>
                <w:lang w:eastAsia="ar-SA"/>
              </w:rPr>
              <w:t>300</w:t>
            </w:r>
          </w:p>
        </w:tc>
        <w:tc>
          <w:tcPr>
            <w:tcW w:w="2227"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i/>
                <w:spacing w:val="-8"/>
                <w:sz w:val="24"/>
                <w:szCs w:val="24"/>
                <w:lang w:eastAsia="ar-SA"/>
              </w:rPr>
            </w:pPr>
            <w:r>
              <w:rPr>
                <w:rFonts w:cs="Calibri"/>
                <w:i/>
                <w:spacing w:val="-8"/>
                <w:sz w:val="24"/>
                <w:szCs w:val="24"/>
                <w:lang w:eastAsia="ar-SA"/>
              </w:rPr>
              <w:t xml:space="preserve">&lt; </w:t>
            </w:r>
            <w:r w:rsidRPr="00874414">
              <w:rPr>
                <w:rFonts w:cs="Calibri"/>
                <w:i/>
                <w:spacing w:val="-8"/>
                <w:sz w:val="24"/>
                <w:szCs w:val="24"/>
                <w:lang w:eastAsia="ar-SA"/>
              </w:rPr>
              <w:t>200 с респираторной поддержкой</w:t>
            </w:r>
          </w:p>
        </w:tc>
        <w:tc>
          <w:tcPr>
            <w:tcW w:w="213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74414" w:rsidRDefault="00286780" w:rsidP="00874414">
            <w:pPr>
              <w:snapToGrid w:val="0"/>
              <w:jc w:val="center"/>
              <w:rPr>
                <w:rFonts w:cs="Calibri"/>
                <w:i/>
                <w:spacing w:val="-8"/>
                <w:sz w:val="24"/>
                <w:szCs w:val="24"/>
                <w:lang w:eastAsia="ar-SA"/>
              </w:rPr>
            </w:pPr>
            <w:r>
              <w:rPr>
                <w:rFonts w:cs="Calibri"/>
                <w:i/>
                <w:spacing w:val="-8"/>
                <w:sz w:val="24"/>
                <w:szCs w:val="24"/>
                <w:lang w:eastAsia="ar-SA"/>
              </w:rPr>
              <w:t xml:space="preserve">&lt; </w:t>
            </w:r>
            <w:r w:rsidRPr="00874414">
              <w:rPr>
                <w:rFonts w:cs="Calibri"/>
                <w:i/>
                <w:spacing w:val="-8"/>
                <w:sz w:val="24"/>
                <w:szCs w:val="24"/>
                <w:lang w:eastAsia="ar-SA"/>
              </w:rPr>
              <w:t>100 с респираторной поддержкой</w:t>
            </w:r>
          </w:p>
        </w:tc>
      </w:tr>
      <w:tr w:rsidR="00286780" w:rsidRPr="00874414" w:rsidTr="00874414">
        <w:trPr>
          <w:trHeight w:val="227"/>
        </w:trPr>
        <w:tc>
          <w:tcPr>
            <w:tcW w:w="2155"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rPr>
                <w:rFonts w:cs="Calibri"/>
                <w:spacing w:val="-8"/>
                <w:sz w:val="24"/>
                <w:szCs w:val="24"/>
                <w:lang w:eastAsia="ar-SA"/>
              </w:rPr>
            </w:pPr>
            <w:r w:rsidRPr="00874414">
              <w:rPr>
                <w:rFonts w:cs="Calibri"/>
                <w:spacing w:val="-8"/>
                <w:sz w:val="24"/>
                <w:szCs w:val="24"/>
                <w:lang w:eastAsia="ar-SA"/>
              </w:rPr>
              <w:t>Коагуляция (тромбоциты, ×10</w:t>
            </w:r>
            <w:r w:rsidRPr="00874414">
              <w:rPr>
                <w:rFonts w:cs="Calibri"/>
                <w:spacing w:val="-8"/>
                <w:sz w:val="24"/>
                <w:szCs w:val="24"/>
                <w:vertAlign w:val="superscript"/>
                <w:lang w:val="en-US" w:eastAsia="ar-SA"/>
              </w:rPr>
              <w:t>3</w:t>
            </w:r>
            <w:r w:rsidRPr="00874414">
              <w:rPr>
                <w:rFonts w:cs="Calibri"/>
                <w:spacing w:val="-8"/>
                <w:sz w:val="24"/>
                <w:szCs w:val="24"/>
                <w:lang w:eastAsia="ar-SA"/>
              </w:rPr>
              <w:t>/мкл)</w:t>
            </w:r>
          </w:p>
        </w:tc>
        <w:tc>
          <w:tcPr>
            <w:tcW w:w="708"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740A63">
            <w:pPr>
              <w:snapToGrid w:val="0"/>
              <w:jc w:val="center"/>
              <w:rPr>
                <w:rFonts w:cs="Calibri"/>
                <w:spacing w:val="-8"/>
                <w:sz w:val="24"/>
                <w:szCs w:val="24"/>
                <w:lang w:eastAsia="ar-SA"/>
              </w:rPr>
            </w:pPr>
            <w:r w:rsidRPr="00740A63">
              <w:rPr>
                <w:rFonts w:cs="Calibri"/>
                <w:spacing w:val="-8"/>
                <w:sz w:val="24"/>
                <w:szCs w:val="24"/>
                <w:lang w:eastAsia="ar-SA"/>
              </w:rPr>
              <w:t>&gt;</w:t>
            </w:r>
            <w:r>
              <w:rPr>
                <w:rFonts w:cs="Calibri"/>
                <w:spacing w:val="-8"/>
                <w:sz w:val="24"/>
                <w:szCs w:val="24"/>
                <w:lang w:eastAsia="ar-SA"/>
              </w:rPr>
              <w:t xml:space="preserve"> </w:t>
            </w:r>
            <w:r w:rsidRPr="00874414">
              <w:rPr>
                <w:rFonts w:cs="Calibri"/>
                <w:spacing w:val="-8"/>
                <w:sz w:val="24"/>
                <w:szCs w:val="24"/>
                <w:lang w:eastAsia="ar-SA"/>
              </w:rPr>
              <w:t>150</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8"/>
                <w:sz w:val="24"/>
                <w:szCs w:val="24"/>
                <w:lang w:eastAsia="ar-SA"/>
              </w:rPr>
            </w:pPr>
            <w:r>
              <w:rPr>
                <w:rFonts w:cs="Calibri"/>
                <w:spacing w:val="-8"/>
                <w:sz w:val="24"/>
                <w:szCs w:val="24"/>
                <w:lang w:eastAsia="ar-SA"/>
              </w:rPr>
              <w:t xml:space="preserve">&lt; </w:t>
            </w:r>
            <w:r w:rsidRPr="00874414">
              <w:rPr>
                <w:rFonts w:cs="Calibri"/>
                <w:spacing w:val="-8"/>
                <w:sz w:val="24"/>
                <w:szCs w:val="24"/>
                <w:lang w:eastAsia="ar-SA"/>
              </w:rPr>
              <w:t>150</w:t>
            </w:r>
          </w:p>
        </w:tc>
        <w:tc>
          <w:tcPr>
            <w:tcW w:w="1560"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8"/>
                <w:sz w:val="24"/>
                <w:szCs w:val="24"/>
                <w:lang w:eastAsia="ar-SA"/>
              </w:rPr>
            </w:pPr>
            <w:r>
              <w:rPr>
                <w:rFonts w:cs="Calibri"/>
                <w:spacing w:val="-8"/>
                <w:sz w:val="24"/>
                <w:szCs w:val="24"/>
                <w:lang w:eastAsia="ar-SA"/>
              </w:rPr>
              <w:t xml:space="preserve">&lt; </w:t>
            </w:r>
            <w:r w:rsidRPr="00874414">
              <w:rPr>
                <w:rFonts w:cs="Calibri"/>
                <w:spacing w:val="-8"/>
                <w:sz w:val="24"/>
                <w:szCs w:val="24"/>
                <w:lang w:eastAsia="ar-SA"/>
              </w:rPr>
              <w:t>100</w:t>
            </w:r>
          </w:p>
        </w:tc>
        <w:tc>
          <w:tcPr>
            <w:tcW w:w="2227"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8"/>
                <w:sz w:val="24"/>
                <w:szCs w:val="24"/>
                <w:lang w:eastAsia="ar-SA"/>
              </w:rPr>
            </w:pPr>
            <w:r>
              <w:rPr>
                <w:rFonts w:cs="Calibri"/>
                <w:spacing w:val="-8"/>
                <w:sz w:val="24"/>
                <w:szCs w:val="24"/>
                <w:lang w:eastAsia="ar-SA"/>
              </w:rPr>
              <w:t xml:space="preserve">&lt; </w:t>
            </w:r>
            <w:r w:rsidRPr="00874414">
              <w:rPr>
                <w:rFonts w:cs="Calibri"/>
                <w:spacing w:val="-8"/>
                <w:sz w:val="24"/>
                <w:szCs w:val="24"/>
                <w:lang w:eastAsia="ar-SA"/>
              </w:rPr>
              <w:t>50</w:t>
            </w:r>
          </w:p>
        </w:tc>
        <w:tc>
          <w:tcPr>
            <w:tcW w:w="213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74414" w:rsidRDefault="00286780" w:rsidP="00874414">
            <w:pPr>
              <w:snapToGrid w:val="0"/>
              <w:jc w:val="center"/>
              <w:rPr>
                <w:rFonts w:cs="Calibri"/>
                <w:spacing w:val="-8"/>
                <w:sz w:val="24"/>
                <w:szCs w:val="24"/>
                <w:lang w:eastAsia="ar-SA"/>
              </w:rPr>
            </w:pPr>
            <w:r>
              <w:rPr>
                <w:rFonts w:cs="Calibri"/>
                <w:spacing w:val="-8"/>
                <w:sz w:val="24"/>
                <w:szCs w:val="24"/>
                <w:lang w:eastAsia="ar-SA"/>
              </w:rPr>
              <w:t xml:space="preserve">&lt; </w:t>
            </w:r>
            <w:r w:rsidRPr="00874414">
              <w:rPr>
                <w:rFonts w:cs="Calibri"/>
                <w:spacing w:val="-8"/>
                <w:sz w:val="24"/>
                <w:szCs w:val="24"/>
                <w:lang w:eastAsia="ar-SA"/>
              </w:rPr>
              <w:t>20</w:t>
            </w:r>
          </w:p>
        </w:tc>
      </w:tr>
      <w:tr w:rsidR="00286780" w:rsidRPr="00874414" w:rsidTr="00874414">
        <w:trPr>
          <w:trHeight w:val="227"/>
        </w:trPr>
        <w:tc>
          <w:tcPr>
            <w:tcW w:w="2155"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rPr>
                <w:rFonts w:cs="Calibri"/>
                <w:spacing w:val="-8"/>
                <w:sz w:val="24"/>
                <w:szCs w:val="24"/>
                <w:lang w:eastAsia="ar-SA"/>
              </w:rPr>
            </w:pPr>
            <w:r w:rsidRPr="00874414">
              <w:rPr>
                <w:rFonts w:cs="Calibri"/>
                <w:spacing w:val="-8"/>
                <w:sz w:val="24"/>
                <w:szCs w:val="24"/>
                <w:lang w:eastAsia="ar-SA"/>
              </w:rPr>
              <w:t>Печень (билирубин, мкмоль/л)</w:t>
            </w:r>
          </w:p>
        </w:tc>
        <w:tc>
          <w:tcPr>
            <w:tcW w:w="708"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8"/>
                <w:sz w:val="24"/>
                <w:szCs w:val="24"/>
                <w:lang w:eastAsia="ar-SA"/>
              </w:rPr>
            </w:pPr>
            <w:r>
              <w:rPr>
                <w:rFonts w:cs="Calibri"/>
                <w:spacing w:val="-8"/>
                <w:sz w:val="24"/>
                <w:szCs w:val="24"/>
                <w:lang w:eastAsia="ar-SA"/>
              </w:rPr>
              <w:t xml:space="preserve">&lt; </w:t>
            </w:r>
            <w:r w:rsidRPr="00874414">
              <w:rPr>
                <w:rFonts w:cs="Calibri"/>
                <w:spacing w:val="-8"/>
                <w:sz w:val="24"/>
                <w:szCs w:val="24"/>
                <w:lang w:eastAsia="ar-SA"/>
              </w:rPr>
              <w:t>20</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8"/>
                <w:sz w:val="24"/>
                <w:szCs w:val="24"/>
                <w:lang w:eastAsia="ar-SA"/>
              </w:rPr>
            </w:pPr>
            <w:r w:rsidRPr="00874414">
              <w:rPr>
                <w:rFonts w:cs="Calibri"/>
                <w:spacing w:val="-8"/>
                <w:sz w:val="24"/>
                <w:szCs w:val="24"/>
                <w:lang w:eastAsia="ar-SA"/>
              </w:rPr>
              <w:t>20–32</w:t>
            </w:r>
          </w:p>
        </w:tc>
        <w:tc>
          <w:tcPr>
            <w:tcW w:w="1560"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8"/>
                <w:sz w:val="24"/>
                <w:szCs w:val="24"/>
                <w:lang w:eastAsia="ar-SA"/>
              </w:rPr>
            </w:pPr>
            <w:r w:rsidRPr="00874414">
              <w:rPr>
                <w:rFonts w:cs="Calibri"/>
                <w:spacing w:val="-8"/>
                <w:sz w:val="24"/>
                <w:szCs w:val="24"/>
                <w:lang w:eastAsia="ar-SA"/>
              </w:rPr>
              <w:t>33–101</w:t>
            </w:r>
          </w:p>
        </w:tc>
        <w:tc>
          <w:tcPr>
            <w:tcW w:w="2227"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8"/>
                <w:sz w:val="24"/>
                <w:szCs w:val="24"/>
                <w:lang w:eastAsia="ar-SA"/>
              </w:rPr>
            </w:pPr>
            <w:r w:rsidRPr="00874414">
              <w:rPr>
                <w:rFonts w:cs="Calibri"/>
                <w:spacing w:val="-8"/>
                <w:sz w:val="24"/>
                <w:szCs w:val="24"/>
                <w:lang w:eastAsia="ar-SA"/>
              </w:rPr>
              <w:t>102–204</w:t>
            </w:r>
          </w:p>
        </w:tc>
        <w:tc>
          <w:tcPr>
            <w:tcW w:w="213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74414" w:rsidRDefault="00286780" w:rsidP="00874414">
            <w:pPr>
              <w:snapToGrid w:val="0"/>
              <w:jc w:val="center"/>
              <w:rPr>
                <w:rFonts w:cs="Calibri"/>
                <w:spacing w:val="-8"/>
                <w:sz w:val="24"/>
                <w:szCs w:val="24"/>
                <w:lang w:eastAsia="ar-SA"/>
              </w:rPr>
            </w:pPr>
            <w:r w:rsidRPr="00874414">
              <w:rPr>
                <w:rFonts w:cs="Calibri"/>
                <w:spacing w:val="-8"/>
                <w:sz w:val="24"/>
                <w:szCs w:val="24"/>
                <w:lang w:eastAsia="ar-SA"/>
              </w:rPr>
              <w:t>&gt;</w:t>
            </w:r>
            <w:r>
              <w:rPr>
                <w:rFonts w:cs="Calibri"/>
                <w:spacing w:val="-8"/>
                <w:sz w:val="24"/>
                <w:szCs w:val="24"/>
                <w:lang w:eastAsia="ar-SA"/>
              </w:rPr>
              <w:t xml:space="preserve"> </w:t>
            </w:r>
            <w:r w:rsidRPr="00874414">
              <w:rPr>
                <w:rFonts w:cs="Calibri"/>
                <w:spacing w:val="-8"/>
                <w:sz w:val="24"/>
                <w:szCs w:val="24"/>
                <w:lang w:eastAsia="ar-SA"/>
              </w:rPr>
              <w:t>204</w:t>
            </w:r>
          </w:p>
        </w:tc>
      </w:tr>
      <w:tr w:rsidR="00286780" w:rsidRPr="00874414" w:rsidTr="00874414">
        <w:trPr>
          <w:trHeight w:val="227"/>
        </w:trPr>
        <w:tc>
          <w:tcPr>
            <w:tcW w:w="2155"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rPr>
                <w:rFonts w:cs="Calibri"/>
                <w:spacing w:val="-8"/>
                <w:sz w:val="24"/>
                <w:szCs w:val="24"/>
                <w:lang w:eastAsia="ar-SA"/>
              </w:rPr>
            </w:pPr>
            <w:r w:rsidRPr="00874414">
              <w:rPr>
                <w:rFonts w:cs="Calibri"/>
                <w:spacing w:val="-8"/>
                <w:sz w:val="24"/>
                <w:szCs w:val="24"/>
                <w:lang w:eastAsia="ar-SA"/>
              </w:rPr>
              <w:t>Сердечно-сосудистая система (гипотензия)</w:t>
            </w:r>
          </w:p>
        </w:tc>
        <w:tc>
          <w:tcPr>
            <w:tcW w:w="708"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8"/>
                <w:sz w:val="24"/>
                <w:szCs w:val="24"/>
                <w:lang w:eastAsia="ar-SA"/>
              </w:rPr>
            </w:pPr>
            <w:r w:rsidRPr="00874414">
              <w:rPr>
                <w:rFonts w:cs="Calibri"/>
                <w:spacing w:val="-8"/>
                <w:sz w:val="24"/>
                <w:szCs w:val="24"/>
                <w:lang w:eastAsia="ar-SA"/>
              </w:rPr>
              <w:t>нет</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8"/>
                <w:sz w:val="24"/>
                <w:szCs w:val="24"/>
                <w:lang w:eastAsia="ar-SA"/>
              </w:rPr>
            </w:pPr>
            <w:r>
              <w:rPr>
                <w:rFonts w:cs="Calibri"/>
                <w:spacing w:val="-8"/>
                <w:sz w:val="24"/>
                <w:szCs w:val="24"/>
                <w:lang w:eastAsia="ar-SA"/>
              </w:rPr>
              <w:t xml:space="preserve">Среднее АД &lt; </w:t>
            </w:r>
            <w:r w:rsidRPr="00874414">
              <w:rPr>
                <w:rFonts w:cs="Calibri"/>
                <w:spacing w:val="-8"/>
                <w:sz w:val="24"/>
                <w:szCs w:val="24"/>
                <w:lang w:eastAsia="ar-SA"/>
              </w:rPr>
              <w:t xml:space="preserve">70 мм рт. ст. </w:t>
            </w:r>
          </w:p>
        </w:tc>
        <w:tc>
          <w:tcPr>
            <w:tcW w:w="1560"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8"/>
                <w:sz w:val="24"/>
                <w:szCs w:val="24"/>
                <w:lang w:eastAsia="ar-SA"/>
              </w:rPr>
            </w:pPr>
            <w:r>
              <w:rPr>
                <w:rFonts w:cs="Calibri"/>
                <w:spacing w:val="-8"/>
                <w:sz w:val="24"/>
                <w:szCs w:val="24"/>
                <w:lang w:eastAsia="ar-SA"/>
              </w:rPr>
              <w:t>Допамин &lt;</w:t>
            </w:r>
            <w:r w:rsidRPr="00874414">
              <w:rPr>
                <w:rFonts w:cs="Calibri"/>
                <w:spacing w:val="-8"/>
                <w:sz w:val="24"/>
                <w:szCs w:val="24"/>
                <w:lang w:eastAsia="ar-SA"/>
              </w:rPr>
              <w:t>5 или добутамин в той же дозе*</w:t>
            </w:r>
          </w:p>
        </w:tc>
        <w:tc>
          <w:tcPr>
            <w:tcW w:w="2227"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8"/>
                <w:sz w:val="24"/>
                <w:szCs w:val="24"/>
                <w:lang w:eastAsia="ar-SA"/>
              </w:rPr>
            </w:pPr>
            <w:r>
              <w:rPr>
                <w:rFonts w:cs="Calibri"/>
                <w:spacing w:val="-8"/>
                <w:sz w:val="24"/>
                <w:szCs w:val="24"/>
                <w:lang w:eastAsia="ar-SA"/>
              </w:rPr>
              <w:t xml:space="preserve">Допамин менее или эпинефрин более </w:t>
            </w:r>
            <w:r w:rsidRPr="00874414">
              <w:rPr>
                <w:rFonts w:cs="Calibri"/>
                <w:spacing w:val="-8"/>
                <w:sz w:val="24"/>
                <w:szCs w:val="24"/>
                <w:lang w:eastAsia="ar-SA"/>
              </w:rPr>
              <w:t xml:space="preserve">0,1 или </w:t>
            </w:r>
            <w:r>
              <w:rPr>
                <w:rFonts w:cs="Calibri"/>
                <w:spacing w:val="-8"/>
                <w:sz w:val="24"/>
                <w:szCs w:val="24"/>
                <w:lang w:eastAsia="ar-SA"/>
              </w:rPr>
              <w:t>норэпинефрин менее 0</w:t>
            </w:r>
            <w:r w:rsidRPr="00874414">
              <w:rPr>
                <w:rFonts w:cs="Calibri"/>
                <w:spacing w:val="-8"/>
                <w:sz w:val="24"/>
                <w:szCs w:val="24"/>
                <w:lang w:eastAsia="ar-SA"/>
              </w:rPr>
              <w:t>,1</w:t>
            </w:r>
          </w:p>
        </w:tc>
        <w:tc>
          <w:tcPr>
            <w:tcW w:w="213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74414" w:rsidRDefault="00286780" w:rsidP="00740A63">
            <w:pPr>
              <w:snapToGrid w:val="0"/>
              <w:jc w:val="center"/>
              <w:rPr>
                <w:rFonts w:cs="Calibri"/>
                <w:spacing w:val="-8"/>
                <w:sz w:val="24"/>
                <w:szCs w:val="24"/>
                <w:lang w:eastAsia="ar-SA"/>
              </w:rPr>
            </w:pPr>
            <w:r w:rsidRPr="00740A63">
              <w:rPr>
                <w:rFonts w:cs="Calibri"/>
                <w:spacing w:val="-8"/>
                <w:sz w:val="24"/>
                <w:szCs w:val="24"/>
                <w:lang w:eastAsia="ar-SA"/>
              </w:rPr>
              <w:t>&gt;</w:t>
            </w:r>
            <w:r>
              <w:rPr>
                <w:rFonts w:cs="Calibri"/>
                <w:spacing w:val="-8"/>
                <w:sz w:val="24"/>
                <w:szCs w:val="24"/>
                <w:lang w:eastAsia="ar-SA"/>
              </w:rPr>
              <w:t xml:space="preserve"> </w:t>
            </w:r>
            <w:r w:rsidRPr="00874414">
              <w:rPr>
                <w:rFonts w:cs="Calibri"/>
                <w:spacing w:val="-8"/>
                <w:sz w:val="24"/>
                <w:szCs w:val="24"/>
                <w:lang w:eastAsia="ar-SA"/>
              </w:rPr>
              <w:t>0,1</w:t>
            </w:r>
          </w:p>
        </w:tc>
      </w:tr>
      <w:tr w:rsidR="00286780" w:rsidRPr="00874414" w:rsidTr="00874414">
        <w:trPr>
          <w:trHeight w:val="227"/>
        </w:trPr>
        <w:tc>
          <w:tcPr>
            <w:tcW w:w="2155"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rPr>
                <w:rFonts w:cs="Calibri"/>
                <w:spacing w:val="-8"/>
                <w:sz w:val="24"/>
                <w:szCs w:val="24"/>
                <w:lang w:eastAsia="ar-SA"/>
              </w:rPr>
            </w:pPr>
            <w:r w:rsidRPr="00874414">
              <w:rPr>
                <w:rFonts w:cs="Calibri"/>
                <w:spacing w:val="-8"/>
                <w:sz w:val="24"/>
                <w:szCs w:val="24"/>
                <w:lang w:eastAsia="ar-SA"/>
              </w:rPr>
              <w:t>ЦНС (шкала ком Глазго)</w:t>
            </w:r>
          </w:p>
        </w:tc>
        <w:tc>
          <w:tcPr>
            <w:tcW w:w="708"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8"/>
                <w:sz w:val="24"/>
                <w:szCs w:val="24"/>
                <w:lang w:eastAsia="ar-SA"/>
              </w:rPr>
            </w:pPr>
            <w:r w:rsidRPr="00874414">
              <w:rPr>
                <w:rFonts w:cs="Calibri"/>
                <w:spacing w:val="-8"/>
                <w:sz w:val="24"/>
                <w:szCs w:val="24"/>
                <w:lang w:eastAsia="ar-SA"/>
              </w:rPr>
              <w:t>15</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8"/>
                <w:sz w:val="24"/>
                <w:szCs w:val="24"/>
                <w:lang w:eastAsia="ar-SA"/>
              </w:rPr>
            </w:pPr>
            <w:r w:rsidRPr="00874414">
              <w:rPr>
                <w:rFonts w:cs="Calibri"/>
                <w:spacing w:val="-8"/>
                <w:sz w:val="24"/>
                <w:szCs w:val="24"/>
                <w:lang w:eastAsia="ar-SA"/>
              </w:rPr>
              <w:t>13–14</w:t>
            </w:r>
          </w:p>
        </w:tc>
        <w:tc>
          <w:tcPr>
            <w:tcW w:w="1560"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8"/>
                <w:sz w:val="24"/>
                <w:szCs w:val="24"/>
                <w:lang w:eastAsia="ar-SA"/>
              </w:rPr>
            </w:pPr>
            <w:r w:rsidRPr="00874414">
              <w:rPr>
                <w:rFonts w:cs="Calibri"/>
                <w:spacing w:val="-8"/>
                <w:sz w:val="24"/>
                <w:szCs w:val="24"/>
                <w:lang w:eastAsia="ar-SA"/>
              </w:rPr>
              <w:t>10–12</w:t>
            </w:r>
          </w:p>
        </w:tc>
        <w:tc>
          <w:tcPr>
            <w:tcW w:w="2227"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8"/>
                <w:sz w:val="24"/>
                <w:szCs w:val="24"/>
                <w:lang w:eastAsia="ar-SA"/>
              </w:rPr>
            </w:pPr>
            <w:r w:rsidRPr="00874414">
              <w:rPr>
                <w:rFonts w:cs="Calibri"/>
                <w:spacing w:val="-8"/>
                <w:sz w:val="24"/>
                <w:szCs w:val="24"/>
                <w:lang w:eastAsia="ar-SA"/>
              </w:rPr>
              <w:t>6–9</w:t>
            </w:r>
          </w:p>
        </w:tc>
        <w:tc>
          <w:tcPr>
            <w:tcW w:w="213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74414" w:rsidRDefault="00286780" w:rsidP="00874414">
            <w:pPr>
              <w:snapToGrid w:val="0"/>
              <w:jc w:val="center"/>
              <w:rPr>
                <w:rFonts w:cs="Calibri"/>
                <w:spacing w:val="-8"/>
                <w:sz w:val="24"/>
                <w:szCs w:val="24"/>
                <w:lang w:eastAsia="ar-SA"/>
              </w:rPr>
            </w:pPr>
            <w:r>
              <w:rPr>
                <w:rFonts w:cs="Calibri"/>
                <w:spacing w:val="-8"/>
                <w:sz w:val="24"/>
                <w:szCs w:val="24"/>
                <w:lang w:eastAsia="ar-SA"/>
              </w:rPr>
              <w:t xml:space="preserve">&lt; </w:t>
            </w:r>
            <w:r w:rsidRPr="00874414">
              <w:rPr>
                <w:rFonts w:cs="Calibri"/>
                <w:spacing w:val="-8"/>
                <w:sz w:val="24"/>
                <w:szCs w:val="24"/>
                <w:lang w:eastAsia="ar-SA"/>
              </w:rPr>
              <w:t>6</w:t>
            </w:r>
          </w:p>
        </w:tc>
      </w:tr>
      <w:tr w:rsidR="00286780" w:rsidRPr="00874414" w:rsidTr="00874414">
        <w:trPr>
          <w:trHeight w:val="227"/>
        </w:trPr>
        <w:tc>
          <w:tcPr>
            <w:tcW w:w="2155"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rPr>
                <w:rFonts w:cs="Calibri"/>
                <w:spacing w:val="-8"/>
                <w:sz w:val="24"/>
                <w:szCs w:val="24"/>
                <w:lang w:eastAsia="ar-SA"/>
              </w:rPr>
            </w:pPr>
            <w:r w:rsidRPr="00874414">
              <w:rPr>
                <w:rFonts w:cs="Calibri"/>
                <w:spacing w:val="-8"/>
                <w:sz w:val="24"/>
                <w:szCs w:val="24"/>
                <w:lang w:eastAsia="ar-SA"/>
              </w:rPr>
              <w:t>Почки (креатинин, мкмрль/л) или мочевыделение</w:t>
            </w:r>
          </w:p>
        </w:tc>
        <w:tc>
          <w:tcPr>
            <w:tcW w:w="708"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8"/>
                <w:sz w:val="24"/>
                <w:szCs w:val="24"/>
                <w:lang w:eastAsia="ar-SA"/>
              </w:rPr>
            </w:pPr>
            <w:r>
              <w:rPr>
                <w:rFonts w:cs="Calibri"/>
                <w:spacing w:val="-8"/>
                <w:sz w:val="24"/>
                <w:szCs w:val="24"/>
                <w:lang w:eastAsia="ar-SA"/>
              </w:rPr>
              <w:t xml:space="preserve">&lt; </w:t>
            </w:r>
            <w:r w:rsidRPr="00874414">
              <w:rPr>
                <w:rFonts w:cs="Calibri"/>
                <w:spacing w:val="-8"/>
                <w:sz w:val="24"/>
                <w:szCs w:val="24"/>
                <w:lang w:eastAsia="ar-SA"/>
              </w:rPr>
              <w:t>110</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8"/>
                <w:sz w:val="24"/>
                <w:szCs w:val="24"/>
                <w:lang w:eastAsia="ar-SA"/>
              </w:rPr>
            </w:pPr>
            <w:r w:rsidRPr="00874414">
              <w:rPr>
                <w:rFonts w:cs="Calibri"/>
                <w:spacing w:val="-8"/>
                <w:sz w:val="24"/>
                <w:szCs w:val="24"/>
                <w:lang w:eastAsia="ar-SA"/>
              </w:rPr>
              <w:t>110–170</w:t>
            </w:r>
          </w:p>
        </w:tc>
        <w:tc>
          <w:tcPr>
            <w:tcW w:w="1560"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8"/>
                <w:sz w:val="24"/>
                <w:szCs w:val="24"/>
                <w:lang w:eastAsia="ar-SA"/>
              </w:rPr>
            </w:pPr>
            <w:r w:rsidRPr="00874414">
              <w:rPr>
                <w:rFonts w:cs="Calibri"/>
                <w:spacing w:val="-8"/>
                <w:sz w:val="24"/>
                <w:szCs w:val="24"/>
                <w:lang w:eastAsia="ar-SA"/>
              </w:rPr>
              <w:t>171–299</w:t>
            </w:r>
          </w:p>
        </w:tc>
        <w:tc>
          <w:tcPr>
            <w:tcW w:w="2227"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8"/>
                <w:sz w:val="24"/>
                <w:szCs w:val="24"/>
                <w:lang w:eastAsia="ar-SA"/>
              </w:rPr>
            </w:pPr>
            <w:r>
              <w:rPr>
                <w:rFonts w:cs="Calibri"/>
                <w:spacing w:val="-8"/>
                <w:sz w:val="24"/>
                <w:szCs w:val="24"/>
                <w:lang w:eastAsia="ar-SA"/>
              </w:rPr>
              <w:t xml:space="preserve">300–400 (или &lt; </w:t>
            </w:r>
            <w:r w:rsidRPr="00874414">
              <w:rPr>
                <w:rFonts w:cs="Calibri"/>
                <w:spacing w:val="-8"/>
                <w:sz w:val="24"/>
                <w:szCs w:val="24"/>
                <w:lang w:eastAsia="ar-SA"/>
              </w:rPr>
              <w:t>500 мл/сут.)</w:t>
            </w:r>
          </w:p>
        </w:tc>
        <w:tc>
          <w:tcPr>
            <w:tcW w:w="213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74414" w:rsidRDefault="00286780" w:rsidP="00874414">
            <w:pPr>
              <w:snapToGrid w:val="0"/>
              <w:jc w:val="center"/>
              <w:rPr>
                <w:rFonts w:cs="Calibri"/>
                <w:spacing w:val="-8"/>
                <w:sz w:val="24"/>
                <w:szCs w:val="24"/>
                <w:lang w:eastAsia="ar-SA"/>
              </w:rPr>
            </w:pPr>
            <w:r>
              <w:rPr>
                <w:rFonts w:cs="Calibri"/>
                <w:spacing w:val="-8"/>
                <w:sz w:val="24"/>
                <w:szCs w:val="24"/>
                <w:lang w:eastAsia="ar-SA"/>
              </w:rPr>
              <w:t xml:space="preserve">&gt; 400 или &lt; </w:t>
            </w:r>
            <w:r w:rsidRPr="00874414">
              <w:rPr>
                <w:rFonts w:cs="Calibri"/>
                <w:spacing w:val="-8"/>
                <w:sz w:val="24"/>
                <w:szCs w:val="24"/>
                <w:lang w:eastAsia="ar-SA"/>
              </w:rPr>
              <w:t>200 мл/сут.</w:t>
            </w:r>
          </w:p>
        </w:tc>
      </w:tr>
      <w:tr w:rsidR="00286780" w:rsidRPr="00874414" w:rsidTr="00874414">
        <w:trPr>
          <w:trHeight w:val="227"/>
        </w:trPr>
        <w:tc>
          <w:tcPr>
            <w:tcW w:w="9923"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74414" w:rsidRDefault="00286780" w:rsidP="00874414">
            <w:pPr>
              <w:jc w:val="both"/>
              <w:rPr>
                <w:rFonts w:cs="Calibri"/>
                <w:spacing w:val="-8"/>
                <w:sz w:val="24"/>
                <w:szCs w:val="24"/>
                <w:lang w:eastAsia="ar-SA"/>
              </w:rPr>
            </w:pPr>
            <w:r w:rsidRPr="00874414">
              <w:rPr>
                <w:rFonts w:cs="Calibri"/>
                <w:i/>
                <w:spacing w:val="-8"/>
                <w:sz w:val="24"/>
                <w:szCs w:val="24"/>
                <w:lang w:eastAsia="ar-SA"/>
              </w:rPr>
              <w:t>Примечание</w:t>
            </w:r>
            <w:r w:rsidRPr="00874414">
              <w:rPr>
                <w:rFonts w:cs="Calibri"/>
                <w:spacing w:val="-8"/>
                <w:sz w:val="24"/>
                <w:szCs w:val="24"/>
                <w:lang w:eastAsia="ar-SA"/>
              </w:rPr>
              <w:t xml:space="preserve">. </w:t>
            </w:r>
            <w:r>
              <w:rPr>
                <w:rFonts w:cs="Calibri"/>
                <w:spacing w:val="-8"/>
                <w:sz w:val="24"/>
                <w:szCs w:val="24"/>
                <w:lang w:eastAsia="ar-SA"/>
              </w:rPr>
              <w:t>*</w:t>
            </w:r>
            <w:r w:rsidRPr="00874414">
              <w:rPr>
                <w:rFonts w:cs="Calibri"/>
                <w:spacing w:val="-8"/>
                <w:sz w:val="24"/>
                <w:szCs w:val="24"/>
                <w:lang w:eastAsia="ar-SA"/>
              </w:rPr>
              <w:t xml:space="preserve"> – применение симпатомиметиков по крайней мере в течение 1 часа, мкг/кг/мин; </w:t>
            </w:r>
          </w:p>
          <w:p w:rsidR="00286780" w:rsidRPr="00874414" w:rsidRDefault="00286780" w:rsidP="00874414">
            <w:pPr>
              <w:snapToGrid w:val="0"/>
              <w:jc w:val="both"/>
              <w:rPr>
                <w:rFonts w:cs="Calibri"/>
                <w:spacing w:val="-8"/>
                <w:sz w:val="24"/>
                <w:szCs w:val="24"/>
                <w:lang w:eastAsia="ar-SA"/>
              </w:rPr>
            </w:pPr>
            <w:r w:rsidRPr="00874414">
              <w:rPr>
                <w:rFonts w:cs="Calibri"/>
                <w:spacing w:val="-8"/>
                <w:sz w:val="24"/>
                <w:szCs w:val="24"/>
                <w:lang w:eastAsia="ar-SA"/>
              </w:rPr>
              <w:t>** – в настоящем исследовании критерий не используется при скрининговом применении метода</w:t>
            </w:r>
          </w:p>
        </w:tc>
      </w:tr>
    </w:tbl>
    <w:p w:rsidR="00286780" w:rsidRDefault="00286780" w:rsidP="00874414">
      <w:pPr>
        <w:jc w:val="both"/>
        <w:rPr>
          <w:rFonts w:cs="Calibri"/>
          <w:spacing w:val="-8"/>
          <w:sz w:val="24"/>
          <w:szCs w:val="24"/>
          <w:lang w:eastAsia="ar-SA"/>
        </w:rPr>
      </w:pPr>
    </w:p>
    <w:p w:rsidR="00E225A2" w:rsidRPr="00874414" w:rsidRDefault="00E225A2" w:rsidP="00E225A2">
      <w:pPr>
        <w:spacing w:line="360" w:lineRule="auto"/>
        <w:ind w:firstLine="709"/>
        <w:jc w:val="both"/>
        <w:rPr>
          <w:rFonts w:cs="Calibri"/>
          <w:sz w:val="28"/>
          <w:szCs w:val="28"/>
          <w:lang w:eastAsia="ar-SA"/>
        </w:rPr>
      </w:pPr>
      <w:r w:rsidRPr="00874414">
        <w:rPr>
          <w:rFonts w:cs="Calibri"/>
          <w:sz w:val="28"/>
          <w:szCs w:val="28"/>
          <w:lang w:eastAsia="ar-SA"/>
        </w:rPr>
        <w:t xml:space="preserve">Показатели, обозначенные в модифицированной шкале </w:t>
      </w:r>
      <w:r w:rsidRPr="00874414">
        <w:rPr>
          <w:rFonts w:cs="Calibri"/>
          <w:sz w:val="28"/>
          <w:szCs w:val="28"/>
          <w:lang w:val="en-US" w:eastAsia="ar-SA"/>
        </w:rPr>
        <w:t>SOFA</w:t>
      </w:r>
      <w:r w:rsidRPr="00874414">
        <w:rPr>
          <w:rFonts w:cs="Calibri"/>
          <w:sz w:val="28"/>
          <w:szCs w:val="28"/>
          <w:lang w:eastAsia="ar-SA"/>
        </w:rPr>
        <w:t xml:space="preserve"> (артериальное давление, креатинин, билирубин, диурез, тромбоциты, баллы по шкале ком Глазго), определяются в условиях приемного отделения стационара без каких-либо существенных материальных затрат и с минимальной инвазивностью (осуществляется взятие капиллярной и венозной крови без пункции артерии).</w:t>
      </w:r>
    </w:p>
    <w:p w:rsidR="00E225A2" w:rsidRPr="00874414" w:rsidRDefault="00E225A2" w:rsidP="00874414">
      <w:pPr>
        <w:jc w:val="both"/>
        <w:rPr>
          <w:rFonts w:cs="Calibri"/>
          <w:spacing w:val="-8"/>
          <w:sz w:val="24"/>
          <w:szCs w:val="24"/>
          <w:lang w:eastAsia="ar-SA"/>
        </w:rPr>
      </w:pPr>
    </w:p>
    <w:p w:rsidR="00286780" w:rsidRPr="00874414" w:rsidRDefault="00286780" w:rsidP="00874414">
      <w:pPr>
        <w:spacing w:after="120"/>
        <w:jc w:val="both"/>
        <w:rPr>
          <w:sz w:val="28"/>
          <w:szCs w:val="28"/>
        </w:rPr>
      </w:pPr>
      <w:r>
        <w:rPr>
          <w:b/>
          <w:sz w:val="28"/>
          <w:szCs w:val="28"/>
        </w:rPr>
        <w:t>Таблица 60</w:t>
      </w:r>
      <w:r w:rsidRPr="00874414">
        <w:rPr>
          <w:sz w:val="28"/>
          <w:szCs w:val="28"/>
        </w:rPr>
        <w:t xml:space="preserve"> – Характеристики критериев mSOFA (исключен показатель газового состава крови), у пациентов с МФОИ и ОС</w:t>
      </w:r>
    </w:p>
    <w:tbl>
      <w:tblPr>
        <w:tblW w:w="9923" w:type="dxa"/>
        <w:tblLayout w:type="fixed"/>
        <w:tblLook w:val="0000" w:firstRow="0" w:lastRow="0" w:firstColumn="0" w:lastColumn="0" w:noHBand="0" w:noVBand="0"/>
      </w:tblPr>
      <w:tblGrid>
        <w:gridCol w:w="2013"/>
        <w:gridCol w:w="1532"/>
        <w:gridCol w:w="1445"/>
        <w:gridCol w:w="1559"/>
        <w:gridCol w:w="1559"/>
        <w:gridCol w:w="1815"/>
      </w:tblGrid>
      <w:tr w:rsidR="00286780" w:rsidRPr="00874414" w:rsidTr="00874414">
        <w:trPr>
          <w:trHeight w:val="227"/>
        </w:trPr>
        <w:tc>
          <w:tcPr>
            <w:tcW w:w="2013" w:type="dxa"/>
            <w:vMerge w:val="restart"/>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i/>
                <w:sz w:val="24"/>
                <w:szCs w:val="24"/>
                <w:lang w:eastAsia="ar-SA"/>
              </w:rPr>
            </w:pPr>
            <w:r w:rsidRPr="00874414">
              <w:rPr>
                <w:rFonts w:cs="Calibri"/>
                <w:i/>
                <w:sz w:val="24"/>
                <w:szCs w:val="24"/>
                <w:lang w:eastAsia="ar-SA"/>
              </w:rPr>
              <w:t>Шкала/критерии</w:t>
            </w:r>
          </w:p>
        </w:tc>
        <w:tc>
          <w:tcPr>
            <w:tcW w:w="7910"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74414" w:rsidRDefault="00286780" w:rsidP="00874414">
            <w:pPr>
              <w:snapToGrid w:val="0"/>
              <w:jc w:val="center"/>
              <w:rPr>
                <w:rFonts w:cs="Calibri"/>
                <w:i/>
                <w:sz w:val="24"/>
                <w:szCs w:val="24"/>
                <w:lang w:eastAsia="ar-SA"/>
              </w:rPr>
            </w:pPr>
            <w:r w:rsidRPr="00874414">
              <w:rPr>
                <w:rFonts w:cs="Calibri"/>
                <w:i/>
                <w:sz w:val="24"/>
                <w:szCs w:val="24"/>
                <w:lang w:eastAsia="ar-SA"/>
              </w:rPr>
              <w:t>Критерии оценки</w:t>
            </w:r>
          </w:p>
        </w:tc>
      </w:tr>
      <w:tr w:rsidR="00286780" w:rsidRPr="00874414" w:rsidTr="00874414">
        <w:trPr>
          <w:trHeight w:val="227"/>
        </w:trPr>
        <w:tc>
          <w:tcPr>
            <w:tcW w:w="2013" w:type="dxa"/>
            <w:vMerge/>
            <w:tcBorders>
              <w:top w:val="single" w:sz="4" w:space="0" w:color="000000"/>
              <w:left w:val="single" w:sz="4" w:space="0" w:color="000000"/>
              <w:bottom w:val="single" w:sz="4" w:space="0" w:color="000000"/>
            </w:tcBorders>
            <w:tcMar>
              <w:left w:w="28" w:type="dxa"/>
              <w:right w:w="28" w:type="dxa"/>
            </w:tcMar>
          </w:tcPr>
          <w:p w:rsidR="00286780" w:rsidRPr="00874414" w:rsidRDefault="00286780" w:rsidP="00874414">
            <w:pPr>
              <w:snapToGrid w:val="0"/>
              <w:rPr>
                <w:rFonts w:cs="Calibri"/>
                <w:sz w:val="24"/>
                <w:szCs w:val="24"/>
                <w:lang w:eastAsia="ar-SA"/>
              </w:rPr>
            </w:pPr>
          </w:p>
        </w:tc>
        <w:tc>
          <w:tcPr>
            <w:tcW w:w="1532" w:type="dxa"/>
            <w:tcBorders>
              <w:top w:val="single" w:sz="4" w:space="0" w:color="000000"/>
              <w:left w:val="single" w:sz="4" w:space="0" w:color="000000"/>
              <w:bottom w:val="single" w:sz="4" w:space="0" w:color="000000"/>
            </w:tcBorders>
            <w:tcMar>
              <w:left w:w="28" w:type="dxa"/>
              <w:right w:w="28" w:type="dxa"/>
            </w:tcMar>
          </w:tcPr>
          <w:p w:rsidR="00286780" w:rsidRPr="00874414" w:rsidRDefault="00286780" w:rsidP="00874414">
            <w:pPr>
              <w:snapToGrid w:val="0"/>
              <w:jc w:val="center"/>
              <w:rPr>
                <w:rFonts w:cs="Calibri"/>
                <w:sz w:val="24"/>
                <w:szCs w:val="24"/>
                <w:lang w:eastAsia="ar-SA"/>
              </w:rPr>
            </w:pPr>
            <w:r w:rsidRPr="00874414">
              <w:rPr>
                <w:rFonts w:cs="Calibri"/>
                <w:sz w:val="24"/>
                <w:szCs w:val="24"/>
                <w:lang w:val="en-US" w:eastAsia="ar-SA"/>
              </w:rPr>
              <w:t>Se[</w:t>
            </w:r>
            <w:r w:rsidRPr="00874414">
              <w:rPr>
                <w:rFonts w:cs="Calibri"/>
                <w:sz w:val="24"/>
                <w:szCs w:val="24"/>
                <w:lang w:eastAsia="ar-SA"/>
              </w:rPr>
              <w:t>95% ДИ</w:t>
            </w:r>
            <w:r w:rsidRPr="00874414">
              <w:rPr>
                <w:rFonts w:cs="Calibri"/>
                <w:sz w:val="24"/>
                <w:szCs w:val="24"/>
                <w:lang w:val="en-US" w:eastAsia="ar-SA"/>
              </w:rPr>
              <w:t>]</w:t>
            </w:r>
            <w:r w:rsidRPr="00874414">
              <w:rPr>
                <w:rFonts w:cs="Calibri"/>
                <w:sz w:val="24"/>
                <w:szCs w:val="24"/>
                <w:lang w:eastAsia="ar-SA"/>
              </w:rPr>
              <w:t xml:space="preserve"> (%)</w:t>
            </w:r>
          </w:p>
        </w:tc>
        <w:tc>
          <w:tcPr>
            <w:tcW w:w="1445" w:type="dxa"/>
            <w:tcBorders>
              <w:top w:val="single" w:sz="4" w:space="0" w:color="000000"/>
              <w:left w:val="single" w:sz="4" w:space="0" w:color="000000"/>
              <w:bottom w:val="single" w:sz="4" w:space="0" w:color="000000"/>
            </w:tcBorders>
            <w:tcMar>
              <w:left w:w="28" w:type="dxa"/>
              <w:right w:w="28" w:type="dxa"/>
            </w:tcMar>
          </w:tcPr>
          <w:p w:rsidR="00286780" w:rsidRPr="00874414" w:rsidRDefault="00286780" w:rsidP="00874414">
            <w:pPr>
              <w:snapToGrid w:val="0"/>
              <w:jc w:val="center"/>
              <w:rPr>
                <w:rFonts w:cs="Calibri"/>
                <w:sz w:val="24"/>
                <w:szCs w:val="24"/>
                <w:lang w:eastAsia="ar-SA"/>
              </w:rPr>
            </w:pPr>
            <w:r w:rsidRPr="00874414">
              <w:rPr>
                <w:rFonts w:cs="Calibri"/>
                <w:sz w:val="24"/>
                <w:szCs w:val="24"/>
                <w:lang w:val="en-US" w:eastAsia="ar-SA"/>
              </w:rPr>
              <w:t>Sp[</w:t>
            </w:r>
            <w:r w:rsidRPr="00874414">
              <w:rPr>
                <w:rFonts w:cs="Calibri"/>
                <w:sz w:val="24"/>
                <w:szCs w:val="24"/>
                <w:lang w:eastAsia="ar-SA"/>
              </w:rPr>
              <w:t>95% ДИ</w:t>
            </w:r>
            <w:r w:rsidRPr="00874414">
              <w:rPr>
                <w:rFonts w:cs="Calibri"/>
                <w:sz w:val="24"/>
                <w:szCs w:val="24"/>
                <w:lang w:val="en-US" w:eastAsia="ar-SA"/>
              </w:rPr>
              <w:t>]</w:t>
            </w:r>
            <w:r w:rsidRPr="00874414">
              <w:rPr>
                <w:rFonts w:cs="Calibri"/>
                <w:sz w:val="24"/>
                <w:szCs w:val="24"/>
                <w:lang w:eastAsia="ar-SA"/>
              </w:rPr>
              <w:t xml:space="preserve"> (%)</w:t>
            </w:r>
          </w:p>
        </w:tc>
        <w:tc>
          <w:tcPr>
            <w:tcW w:w="1559" w:type="dxa"/>
            <w:tcBorders>
              <w:top w:val="single" w:sz="4" w:space="0" w:color="000000"/>
              <w:left w:val="single" w:sz="4" w:space="0" w:color="000000"/>
              <w:bottom w:val="single" w:sz="4" w:space="0" w:color="000000"/>
            </w:tcBorders>
            <w:tcMar>
              <w:left w:w="28" w:type="dxa"/>
              <w:right w:w="28" w:type="dxa"/>
            </w:tcMar>
          </w:tcPr>
          <w:p w:rsidR="00286780" w:rsidRPr="00874414" w:rsidRDefault="00286780" w:rsidP="00874414">
            <w:pPr>
              <w:snapToGrid w:val="0"/>
              <w:jc w:val="center"/>
              <w:rPr>
                <w:rFonts w:cs="Calibri"/>
                <w:sz w:val="24"/>
                <w:szCs w:val="24"/>
                <w:lang w:eastAsia="ar-SA"/>
              </w:rPr>
            </w:pPr>
            <w:r w:rsidRPr="00874414">
              <w:rPr>
                <w:rFonts w:cs="Calibri"/>
                <w:sz w:val="24"/>
                <w:szCs w:val="24"/>
                <w:lang w:val="en-US" w:eastAsia="ar-SA"/>
              </w:rPr>
              <w:t>Ac[</w:t>
            </w:r>
            <w:r w:rsidRPr="00874414">
              <w:rPr>
                <w:rFonts w:cs="Calibri"/>
                <w:sz w:val="24"/>
                <w:szCs w:val="24"/>
                <w:lang w:eastAsia="ar-SA"/>
              </w:rPr>
              <w:t>95% ДИ</w:t>
            </w:r>
            <w:r w:rsidRPr="00874414">
              <w:rPr>
                <w:rFonts w:cs="Calibri"/>
                <w:sz w:val="24"/>
                <w:szCs w:val="24"/>
                <w:lang w:val="en-US" w:eastAsia="ar-SA"/>
              </w:rPr>
              <w:t>]</w:t>
            </w:r>
            <w:r w:rsidRPr="00874414">
              <w:rPr>
                <w:rFonts w:cs="Calibri"/>
                <w:sz w:val="24"/>
                <w:szCs w:val="24"/>
                <w:lang w:eastAsia="ar-SA"/>
              </w:rPr>
              <w:t xml:space="preserve"> (%)</w:t>
            </w:r>
          </w:p>
        </w:tc>
        <w:tc>
          <w:tcPr>
            <w:tcW w:w="1559" w:type="dxa"/>
            <w:tcBorders>
              <w:top w:val="single" w:sz="4" w:space="0" w:color="000000"/>
              <w:left w:val="single" w:sz="4" w:space="0" w:color="000000"/>
              <w:bottom w:val="single" w:sz="4" w:space="0" w:color="000000"/>
            </w:tcBorders>
            <w:tcMar>
              <w:left w:w="28" w:type="dxa"/>
              <w:right w:w="28" w:type="dxa"/>
            </w:tcMar>
          </w:tcPr>
          <w:p w:rsidR="00286780" w:rsidRPr="00874414" w:rsidRDefault="00286780" w:rsidP="00874414">
            <w:pPr>
              <w:snapToGrid w:val="0"/>
              <w:jc w:val="center"/>
              <w:rPr>
                <w:rFonts w:cs="Calibri"/>
                <w:sz w:val="24"/>
                <w:szCs w:val="24"/>
                <w:lang w:eastAsia="ar-SA"/>
              </w:rPr>
            </w:pPr>
            <w:r w:rsidRPr="00874414">
              <w:rPr>
                <w:rFonts w:cs="Calibri"/>
                <w:sz w:val="24"/>
                <w:szCs w:val="24"/>
                <w:lang w:val="en-US" w:eastAsia="ar-SA"/>
              </w:rPr>
              <w:t>PPV[</w:t>
            </w:r>
            <w:r w:rsidRPr="00874414">
              <w:rPr>
                <w:rFonts w:cs="Calibri"/>
                <w:sz w:val="24"/>
                <w:szCs w:val="24"/>
                <w:lang w:eastAsia="ar-SA"/>
              </w:rPr>
              <w:t>95% ДИ</w:t>
            </w:r>
            <w:r w:rsidRPr="00874414">
              <w:rPr>
                <w:rFonts w:cs="Calibri"/>
                <w:sz w:val="24"/>
                <w:szCs w:val="24"/>
                <w:lang w:val="en-US" w:eastAsia="ar-SA"/>
              </w:rPr>
              <w:t>]</w:t>
            </w:r>
            <w:r w:rsidRPr="00874414">
              <w:rPr>
                <w:rFonts w:cs="Calibri"/>
                <w:sz w:val="24"/>
                <w:szCs w:val="24"/>
                <w:lang w:eastAsia="ar-SA"/>
              </w:rPr>
              <w:t xml:space="preserve"> (%)</w:t>
            </w:r>
          </w:p>
        </w:tc>
        <w:tc>
          <w:tcPr>
            <w:tcW w:w="1815" w:type="dxa"/>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874414" w:rsidRDefault="00286780" w:rsidP="00874414">
            <w:pPr>
              <w:snapToGrid w:val="0"/>
              <w:jc w:val="center"/>
              <w:rPr>
                <w:rFonts w:cs="Calibri"/>
                <w:sz w:val="24"/>
                <w:szCs w:val="24"/>
                <w:lang w:eastAsia="ar-SA"/>
              </w:rPr>
            </w:pPr>
            <w:r w:rsidRPr="00874414">
              <w:rPr>
                <w:rFonts w:cs="Calibri"/>
                <w:sz w:val="24"/>
                <w:szCs w:val="24"/>
                <w:lang w:val="en-US" w:eastAsia="ar-SA"/>
              </w:rPr>
              <w:t>NPV[</w:t>
            </w:r>
            <w:r w:rsidRPr="00874414">
              <w:rPr>
                <w:rFonts w:cs="Calibri"/>
                <w:sz w:val="24"/>
                <w:szCs w:val="24"/>
                <w:lang w:eastAsia="ar-SA"/>
              </w:rPr>
              <w:t>95% ДИ</w:t>
            </w:r>
            <w:r w:rsidRPr="00874414">
              <w:rPr>
                <w:rFonts w:cs="Calibri"/>
                <w:sz w:val="24"/>
                <w:szCs w:val="24"/>
                <w:lang w:val="en-US" w:eastAsia="ar-SA"/>
              </w:rPr>
              <w:t>]</w:t>
            </w:r>
            <w:r w:rsidRPr="00874414">
              <w:rPr>
                <w:rFonts w:cs="Calibri"/>
                <w:sz w:val="24"/>
                <w:szCs w:val="24"/>
                <w:lang w:eastAsia="ar-SA"/>
              </w:rPr>
              <w:t xml:space="preserve"> (%)</w:t>
            </w:r>
          </w:p>
        </w:tc>
      </w:tr>
      <w:tr w:rsidR="00286780" w:rsidRPr="00874414" w:rsidTr="00874414">
        <w:trPr>
          <w:trHeight w:val="227"/>
        </w:trPr>
        <w:tc>
          <w:tcPr>
            <w:tcW w:w="2013" w:type="dxa"/>
            <w:tcBorders>
              <w:top w:val="single" w:sz="4" w:space="0" w:color="000000"/>
              <w:left w:val="single" w:sz="4" w:space="0" w:color="000000"/>
              <w:bottom w:val="single" w:sz="4" w:space="0" w:color="000000"/>
            </w:tcBorders>
            <w:tcMar>
              <w:left w:w="28" w:type="dxa"/>
              <w:right w:w="28" w:type="dxa"/>
            </w:tcMar>
          </w:tcPr>
          <w:p w:rsidR="00286780" w:rsidRPr="00874414" w:rsidRDefault="00286780" w:rsidP="00874414">
            <w:pPr>
              <w:snapToGrid w:val="0"/>
              <w:rPr>
                <w:rFonts w:cs="Calibri"/>
                <w:sz w:val="24"/>
                <w:szCs w:val="24"/>
                <w:lang w:eastAsia="ar-SA"/>
              </w:rPr>
            </w:pPr>
            <w:r w:rsidRPr="00874414">
              <w:rPr>
                <w:rFonts w:cs="Calibri"/>
                <w:sz w:val="24"/>
                <w:szCs w:val="24"/>
                <w:lang w:val="en-US" w:eastAsia="ar-SA"/>
              </w:rPr>
              <w:t>SOFA</w:t>
            </w:r>
            <w:r w:rsidRPr="00874414">
              <w:rPr>
                <w:rFonts w:cs="Calibri"/>
                <w:sz w:val="24"/>
                <w:szCs w:val="24"/>
                <w:lang w:eastAsia="ar-SA"/>
              </w:rPr>
              <w:t xml:space="preserve"> (исключен </w:t>
            </w:r>
            <w:r w:rsidRPr="00874414">
              <w:rPr>
                <w:rFonts w:cs="Calibri"/>
                <w:sz w:val="24"/>
                <w:szCs w:val="24"/>
                <w:lang w:val="en-US" w:eastAsia="ar-SA"/>
              </w:rPr>
              <w:t>PaO</w:t>
            </w:r>
            <w:r w:rsidRPr="00874414">
              <w:rPr>
                <w:rFonts w:cs="Calibri"/>
                <w:sz w:val="24"/>
                <w:szCs w:val="24"/>
                <w:lang w:eastAsia="ar-SA"/>
              </w:rPr>
              <w:t>2/</w:t>
            </w:r>
            <w:r w:rsidRPr="00874414">
              <w:rPr>
                <w:rFonts w:cs="Calibri"/>
                <w:sz w:val="24"/>
                <w:szCs w:val="24"/>
                <w:lang w:val="en-US" w:eastAsia="ar-SA"/>
              </w:rPr>
              <w:t>FiO</w:t>
            </w:r>
            <w:r w:rsidRPr="00874414">
              <w:rPr>
                <w:rFonts w:cs="Calibri"/>
                <w:sz w:val="24"/>
                <w:szCs w:val="24"/>
                <w:lang w:eastAsia="ar-SA"/>
              </w:rPr>
              <w:t>2)</w:t>
            </w:r>
          </w:p>
        </w:tc>
        <w:tc>
          <w:tcPr>
            <w:tcW w:w="1532" w:type="dxa"/>
            <w:tcBorders>
              <w:top w:val="single" w:sz="4" w:space="0" w:color="000000"/>
              <w:left w:val="single" w:sz="4" w:space="0" w:color="000000"/>
              <w:bottom w:val="single" w:sz="4" w:space="0" w:color="000000"/>
            </w:tcBorders>
            <w:tcMar>
              <w:left w:w="28" w:type="dxa"/>
              <w:right w:w="28" w:type="dxa"/>
            </w:tcMar>
          </w:tcPr>
          <w:p w:rsidR="00286780" w:rsidRPr="00874414" w:rsidRDefault="00286780" w:rsidP="00874414">
            <w:pPr>
              <w:snapToGrid w:val="0"/>
              <w:jc w:val="center"/>
              <w:rPr>
                <w:rFonts w:cs="Calibri"/>
                <w:sz w:val="24"/>
                <w:szCs w:val="24"/>
                <w:lang w:val="en-US" w:eastAsia="ar-SA"/>
              </w:rPr>
            </w:pPr>
            <w:r w:rsidRPr="00874414">
              <w:rPr>
                <w:rFonts w:cs="Calibri"/>
                <w:sz w:val="24"/>
                <w:szCs w:val="24"/>
                <w:lang w:eastAsia="ar-SA"/>
              </w:rPr>
              <w:t>60</w:t>
            </w:r>
            <w:r w:rsidRPr="00874414">
              <w:rPr>
                <w:rFonts w:cs="Calibri"/>
                <w:sz w:val="24"/>
                <w:szCs w:val="24"/>
                <w:lang w:eastAsia="ar-SA"/>
              </w:rPr>
              <w:br/>
            </w:r>
            <w:r w:rsidRPr="00874414">
              <w:rPr>
                <w:rFonts w:cs="Calibri"/>
                <w:sz w:val="24"/>
                <w:szCs w:val="24"/>
                <w:lang w:val="en-US" w:eastAsia="ar-SA"/>
              </w:rPr>
              <w:t>[43,33;75;14]</w:t>
            </w:r>
          </w:p>
        </w:tc>
        <w:tc>
          <w:tcPr>
            <w:tcW w:w="1445" w:type="dxa"/>
            <w:tcBorders>
              <w:top w:val="single" w:sz="4" w:space="0" w:color="000000"/>
              <w:left w:val="single" w:sz="4" w:space="0" w:color="000000"/>
              <w:bottom w:val="single" w:sz="4" w:space="0" w:color="000000"/>
            </w:tcBorders>
            <w:tcMar>
              <w:left w:w="28" w:type="dxa"/>
              <w:right w:w="28" w:type="dxa"/>
            </w:tcMar>
          </w:tcPr>
          <w:p w:rsidR="00286780" w:rsidRPr="00874414" w:rsidRDefault="00286780" w:rsidP="00874414">
            <w:pPr>
              <w:snapToGrid w:val="0"/>
              <w:jc w:val="center"/>
              <w:rPr>
                <w:rFonts w:cs="Calibri"/>
                <w:sz w:val="24"/>
                <w:szCs w:val="24"/>
                <w:lang w:eastAsia="ar-SA"/>
              </w:rPr>
            </w:pPr>
            <w:r w:rsidRPr="00874414">
              <w:rPr>
                <w:rFonts w:cs="Calibri"/>
                <w:sz w:val="24"/>
                <w:szCs w:val="24"/>
                <w:lang w:eastAsia="ar-SA"/>
              </w:rPr>
              <w:t>84,44</w:t>
            </w:r>
            <w:r w:rsidRPr="00874414">
              <w:rPr>
                <w:rFonts w:cs="Calibri"/>
                <w:sz w:val="24"/>
                <w:szCs w:val="24"/>
                <w:lang w:eastAsia="ar-SA"/>
              </w:rPr>
              <w:br/>
              <w:t>[70,54; 93,51]</w:t>
            </w:r>
          </w:p>
        </w:tc>
        <w:tc>
          <w:tcPr>
            <w:tcW w:w="1559" w:type="dxa"/>
            <w:tcBorders>
              <w:top w:val="single" w:sz="4" w:space="0" w:color="000000"/>
              <w:left w:val="single" w:sz="4" w:space="0" w:color="000000"/>
              <w:bottom w:val="single" w:sz="4" w:space="0" w:color="000000"/>
            </w:tcBorders>
            <w:tcMar>
              <w:left w:w="28" w:type="dxa"/>
              <w:right w:w="28" w:type="dxa"/>
            </w:tcMar>
          </w:tcPr>
          <w:p w:rsidR="00286780" w:rsidRPr="00874414" w:rsidRDefault="00286780" w:rsidP="00874414">
            <w:pPr>
              <w:snapToGrid w:val="0"/>
              <w:jc w:val="center"/>
              <w:rPr>
                <w:rFonts w:cs="Calibri"/>
                <w:sz w:val="24"/>
                <w:szCs w:val="24"/>
                <w:lang w:eastAsia="ar-SA"/>
              </w:rPr>
            </w:pPr>
            <w:r w:rsidRPr="00874414">
              <w:rPr>
                <w:rFonts w:cs="Calibri"/>
                <w:sz w:val="24"/>
                <w:szCs w:val="24"/>
                <w:lang w:eastAsia="ar-SA"/>
              </w:rPr>
              <w:t>72,94</w:t>
            </w:r>
            <w:r w:rsidRPr="00874414">
              <w:rPr>
                <w:rFonts w:cs="Calibri"/>
                <w:sz w:val="24"/>
                <w:szCs w:val="24"/>
                <w:lang w:eastAsia="ar-SA"/>
              </w:rPr>
              <w:br/>
              <w:t>[62,21; 82,01]</w:t>
            </w:r>
          </w:p>
        </w:tc>
        <w:tc>
          <w:tcPr>
            <w:tcW w:w="1559" w:type="dxa"/>
            <w:tcBorders>
              <w:top w:val="single" w:sz="4" w:space="0" w:color="000000"/>
              <w:left w:val="single" w:sz="4" w:space="0" w:color="000000"/>
              <w:bottom w:val="single" w:sz="4" w:space="0" w:color="000000"/>
            </w:tcBorders>
            <w:tcMar>
              <w:left w:w="28" w:type="dxa"/>
              <w:right w:w="28" w:type="dxa"/>
            </w:tcMar>
          </w:tcPr>
          <w:p w:rsidR="00286780" w:rsidRPr="00874414" w:rsidRDefault="00286780" w:rsidP="00874414">
            <w:pPr>
              <w:snapToGrid w:val="0"/>
              <w:jc w:val="center"/>
              <w:rPr>
                <w:rFonts w:cs="Calibri"/>
                <w:sz w:val="24"/>
                <w:szCs w:val="24"/>
                <w:lang w:eastAsia="ar-SA"/>
              </w:rPr>
            </w:pPr>
            <w:r w:rsidRPr="00874414">
              <w:rPr>
                <w:rFonts w:cs="Calibri"/>
                <w:sz w:val="24"/>
                <w:szCs w:val="24"/>
                <w:lang w:eastAsia="ar-SA"/>
              </w:rPr>
              <w:t>77,42</w:t>
            </w:r>
            <w:r w:rsidRPr="00874414">
              <w:rPr>
                <w:rFonts w:cs="Calibri"/>
                <w:sz w:val="24"/>
                <w:szCs w:val="24"/>
                <w:lang w:eastAsia="ar-SA"/>
              </w:rPr>
              <w:br/>
              <w:t>[62,38; 87,64]</w:t>
            </w:r>
          </w:p>
        </w:tc>
        <w:tc>
          <w:tcPr>
            <w:tcW w:w="1815" w:type="dxa"/>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874414" w:rsidRDefault="00286780" w:rsidP="00874414">
            <w:pPr>
              <w:snapToGrid w:val="0"/>
              <w:jc w:val="center"/>
              <w:rPr>
                <w:rFonts w:cs="Calibri"/>
                <w:sz w:val="24"/>
                <w:szCs w:val="24"/>
                <w:lang w:eastAsia="ar-SA"/>
              </w:rPr>
            </w:pPr>
            <w:r w:rsidRPr="00874414">
              <w:rPr>
                <w:rFonts w:cs="Calibri"/>
                <w:sz w:val="24"/>
                <w:szCs w:val="24"/>
                <w:lang w:eastAsia="ar-SA"/>
              </w:rPr>
              <w:t>70,37</w:t>
            </w:r>
            <w:r w:rsidRPr="00874414">
              <w:rPr>
                <w:rFonts w:cs="Calibri"/>
                <w:sz w:val="24"/>
                <w:szCs w:val="24"/>
                <w:lang w:eastAsia="ar-SA"/>
              </w:rPr>
              <w:br/>
              <w:t>[61,43; 77,98]</w:t>
            </w:r>
          </w:p>
        </w:tc>
      </w:tr>
      <w:tr w:rsidR="00286780" w:rsidRPr="00874414" w:rsidTr="00874414">
        <w:trPr>
          <w:trHeight w:val="227"/>
        </w:trPr>
        <w:tc>
          <w:tcPr>
            <w:tcW w:w="9923" w:type="dxa"/>
            <w:gridSpan w:val="6"/>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874414" w:rsidRDefault="00286780" w:rsidP="00874414">
            <w:pPr>
              <w:snapToGrid w:val="0"/>
              <w:jc w:val="both"/>
              <w:rPr>
                <w:rFonts w:cs="Calibri"/>
                <w:sz w:val="24"/>
                <w:szCs w:val="24"/>
                <w:lang w:eastAsia="ar-SA"/>
              </w:rPr>
            </w:pPr>
            <w:r w:rsidRPr="00874414">
              <w:rPr>
                <w:rFonts w:cs="Calibri"/>
                <w:i/>
                <w:sz w:val="24"/>
                <w:szCs w:val="24"/>
                <w:lang w:eastAsia="ar-SA"/>
              </w:rPr>
              <w:t>Примечание</w:t>
            </w:r>
            <w:r w:rsidRPr="00874414">
              <w:rPr>
                <w:rFonts w:cs="Calibri"/>
                <w:sz w:val="24"/>
                <w:szCs w:val="24"/>
                <w:lang w:eastAsia="ar-SA"/>
              </w:rPr>
              <w:t xml:space="preserve">. </w:t>
            </w:r>
            <w:r w:rsidRPr="00874414">
              <w:rPr>
                <w:rFonts w:cs="Calibri"/>
                <w:sz w:val="24"/>
                <w:szCs w:val="24"/>
                <w:lang w:val="en-US" w:eastAsia="ar-SA"/>
              </w:rPr>
              <w:t>Se</w:t>
            </w:r>
            <w:r w:rsidRPr="00874414">
              <w:rPr>
                <w:rFonts w:cs="Calibri"/>
                <w:sz w:val="24"/>
                <w:szCs w:val="24"/>
                <w:lang w:eastAsia="ar-SA"/>
              </w:rPr>
              <w:t xml:space="preserve"> – чувствительность, </w:t>
            </w:r>
            <w:r w:rsidRPr="00874414">
              <w:rPr>
                <w:rFonts w:cs="Calibri"/>
                <w:sz w:val="24"/>
                <w:szCs w:val="24"/>
                <w:lang w:val="en-US" w:eastAsia="ar-SA"/>
              </w:rPr>
              <w:t>Sp</w:t>
            </w:r>
            <w:r w:rsidRPr="00874414">
              <w:rPr>
                <w:rFonts w:cs="Calibri"/>
                <w:sz w:val="24"/>
                <w:szCs w:val="24"/>
                <w:lang w:eastAsia="ar-SA"/>
              </w:rPr>
              <w:t xml:space="preserve"> – специфичность, Ас – точность, </w:t>
            </w:r>
            <w:r w:rsidRPr="00874414">
              <w:rPr>
                <w:rFonts w:cs="Calibri"/>
                <w:sz w:val="24"/>
                <w:szCs w:val="24"/>
                <w:lang w:val="en-US" w:eastAsia="ar-SA"/>
              </w:rPr>
              <w:t>PPV</w:t>
            </w:r>
            <w:r w:rsidRPr="00874414">
              <w:rPr>
                <w:rFonts w:cs="Calibri"/>
                <w:sz w:val="24"/>
                <w:szCs w:val="24"/>
                <w:lang w:eastAsia="ar-SA"/>
              </w:rPr>
              <w:t xml:space="preserve"> – прогностичность положительного результата, </w:t>
            </w:r>
            <w:r w:rsidRPr="00874414">
              <w:rPr>
                <w:rFonts w:cs="Calibri"/>
                <w:sz w:val="24"/>
                <w:szCs w:val="24"/>
                <w:lang w:val="en-US" w:eastAsia="ar-SA"/>
              </w:rPr>
              <w:t>NPV</w:t>
            </w:r>
            <w:r w:rsidRPr="00874414">
              <w:rPr>
                <w:rFonts w:cs="Calibri"/>
                <w:sz w:val="24"/>
                <w:szCs w:val="24"/>
                <w:lang w:eastAsia="ar-SA"/>
              </w:rPr>
              <w:t xml:space="preserve"> – прогностичность отрицательного результата; </w:t>
            </w:r>
            <w:r>
              <w:rPr>
                <w:rFonts w:cs="Calibri"/>
                <w:sz w:val="24"/>
                <w:szCs w:val="24"/>
                <w:lang w:eastAsia="ar-SA"/>
              </w:rPr>
              <w:br/>
            </w:r>
            <w:r w:rsidRPr="00874414">
              <w:rPr>
                <w:rFonts w:cs="Calibri"/>
                <w:sz w:val="24"/>
                <w:szCs w:val="24"/>
                <w:lang w:eastAsia="ar-SA"/>
              </w:rPr>
              <w:t>[95% ДИ] – 95%-й доверительный интервал</w:t>
            </w:r>
          </w:p>
        </w:tc>
      </w:tr>
    </w:tbl>
    <w:p w:rsidR="00286780" w:rsidRPr="00874414" w:rsidRDefault="00286780" w:rsidP="00874414">
      <w:pPr>
        <w:jc w:val="both"/>
        <w:rPr>
          <w:rFonts w:cs="Calibri"/>
          <w:sz w:val="24"/>
          <w:szCs w:val="24"/>
          <w:lang w:eastAsia="ar-SA"/>
        </w:rPr>
      </w:pPr>
    </w:p>
    <w:p w:rsidR="00286780" w:rsidRPr="00874414" w:rsidRDefault="00286780" w:rsidP="00874414">
      <w:pPr>
        <w:spacing w:line="360" w:lineRule="auto"/>
        <w:ind w:firstLine="709"/>
        <w:jc w:val="both"/>
        <w:rPr>
          <w:rFonts w:cs="Calibri"/>
          <w:sz w:val="28"/>
          <w:szCs w:val="28"/>
          <w:lang w:eastAsia="ar-SA"/>
        </w:rPr>
      </w:pPr>
      <w:r w:rsidRPr="00874414">
        <w:rPr>
          <w:rFonts w:cs="Calibri"/>
          <w:sz w:val="28"/>
          <w:szCs w:val="28"/>
          <w:lang w:eastAsia="ar-SA"/>
        </w:rPr>
        <w:t xml:space="preserve">С целью оптимизации показателей эффективности вышеобозначенной методики в качестве дополнения к модифицированной шкале </w:t>
      </w:r>
      <w:r w:rsidRPr="00874414">
        <w:rPr>
          <w:rFonts w:cs="Calibri"/>
          <w:sz w:val="28"/>
          <w:szCs w:val="28"/>
          <w:lang w:val="en-US" w:eastAsia="ar-SA"/>
        </w:rPr>
        <w:t>SOFA</w:t>
      </w:r>
      <w:r w:rsidRPr="00874414">
        <w:rPr>
          <w:rFonts w:cs="Calibri"/>
          <w:sz w:val="28"/>
          <w:szCs w:val="28"/>
          <w:lang w:eastAsia="ar-SA"/>
        </w:rPr>
        <w:t xml:space="preserve"> решено использовать два критерия: определение наличия некротизирующего компонента и </w:t>
      </w:r>
      <w:r w:rsidRPr="00874414">
        <w:rPr>
          <w:rFonts w:cs="Calibri"/>
          <w:sz w:val="28"/>
          <w:szCs w:val="28"/>
          <w:lang w:eastAsia="ar-SA"/>
        </w:rPr>
        <w:lastRenderedPageBreak/>
        <w:t>определение количества вовлеченных в воспалительный процесс клетчаточных пространств.</w:t>
      </w:r>
    </w:p>
    <w:p w:rsidR="00286780" w:rsidRPr="00874414" w:rsidRDefault="00286780" w:rsidP="00874414">
      <w:pPr>
        <w:spacing w:line="360" w:lineRule="auto"/>
        <w:ind w:firstLine="709"/>
        <w:jc w:val="both"/>
        <w:rPr>
          <w:rFonts w:cs="Calibri"/>
          <w:sz w:val="28"/>
          <w:szCs w:val="28"/>
          <w:lang w:eastAsia="ar-SA"/>
        </w:rPr>
      </w:pPr>
      <w:r w:rsidRPr="00874414">
        <w:rPr>
          <w:rFonts w:cs="Calibri"/>
          <w:sz w:val="28"/>
          <w:szCs w:val="28"/>
          <w:lang w:eastAsia="ar-SA"/>
        </w:rPr>
        <w:t>Некротизирующий компонент одонтогенного воспалительного процесса может быть диагностирован не только на этапе оперативного лечения, но и в течение осмотра пациента в приемном отделении стационара.</w:t>
      </w:r>
    </w:p>
    <w:p w:rsidR="00286780" w:rsidRPr="00874414" w:rsidRDefault="00286780" w:rsidP="00874414">
      <w:pPr>
        <w:spacing w:line="360" w:lineRule="auto"/>
        <w:ind w:firstLine="709"/>
        <w:jc w:val="both"/>
        <w:rPr>
          <w:rFonts w:cs="Calibri"/>
          <w:sz w:val="28"/>
          <w:szCs w:val="28"/>
          <w:lang w:eastAsia="ar-SA"/>
        </w:rPr>
      </w:pPr>
      <w:r w:rsidRPr="00874414">
        <w:rPr>
          <w:rFonts w:cs="Calibri"/>
          <w:sz w:val="28"/>
          <w:szCs w:val="28"/>
          <w:lang w:eastAsia="ar-SA"/>
        </w:rPr>
        <w:t>По данным литературы, к признакам гнилостно-некротического (некротизирующего) поражения тканей челюстно-лицевой области относятся наличие разлитого инфильтрата без четких границ, пастозность тканей, кожных покровов и наличие тромбированных вен, отсутствие гиперемии, незначительная болезненность при пальпации и исчезновение болей, ярко выраженный коллатеральный о</w:t>
      </w:r>
      <w:r>
        <w:rPr>
          <w:rFonts w:cs="Calibri"/>
          <w:sz w:val="28"/>
          <w:szCs w:val="28"/>
          <w:lang w:eastAsia="ar-SA"/>
        </w:rPr>
        <w:t xml:space="preserve">тек </w:t>
      </w:r>
      <w:r w:rsidRPr="002F4D23">
        <w:rPr>
          <w:rFonts w:cs="Calibri"/>
          <w:sz w:val="28"/>
          <w:szCs w:val="28"/>
          <w:lang w:eastAsia="ar-SA"/>
        </w:rPr>
        <w:t>(</w:t>
      </w:r>
      <w:r>
        <w:rPr>
          <w:rFonts w:cs="Calibri"/>
          <w:sz w:val="28"/>
          <w:szCs w:val="28"/>
          <w:lang w:eastAsia="ar-SA"/>
        </w:rPr>
        <w:t>Губин М.А., Харитонов Ю.М., 2006</w:t>
      </w:r>
      <w:r w:rsidRPr="002F4D23">
        <w:rPr>
          <w:rFonts w:cs="Calibri"/>
          <w:sz w:val="28"/>
          <w:szCs w:val="28"/>
          <w:lang w:eastAsia="ar-SA"/>
        </w:rPr>
        <w:t>)</w:t>
      </w:r>
      <w:r w:rsidRPr="00874414">
        <w:rPr>
          <w:rFonts w:cs="Calibri"/>
          <w:sz w:val="28"/>
          <w:szCs w:val="28"/>
          <w:lang w:eastAsia="ar-SA"/>
        </w:rPr>
        <w:t>.</w:t>
      </w:r>
    </w:p>
    <w:p w:rsidR="00286780" w:rsidRPr="00874414" w:rsidRDefault="00286780" w:rsidP="00874414">
      <w:pPr>
        <w:spacing w:line="360" w:lineRule="auto"/>
        <w:ind w:firstLine="709"/>
        <w:jc w:val="both"/>
        <w:rPr>
          <w:rFonts w:cs="Calibri"/>
          <w:sz w:val="28"/>
          <w:szCs w:val="28"/>
          <w:lang w:eastAsia="ar-SA"/>
        </w:rPr>
      </w:pPr>
      <w:r w:rsidRPr="00874414">
        <w:rPr>
          <w:rFonts w:cs="Calibri"/>
          <w:sz w:val="28"/>
          <w:szCs w:val="28"/>
          <w:lang w:eastAsia="ar-SA"/>
        </w:rPr>
        <w:t>В последующем наличие некротизирующего компонента может быть подтверждено на этапе оперативного лечения пациента. Визуальное обнаружение участков некроза фасции и клетчатки, неприятный гнилостный запах, распространенная межфасциально и межмышечно ихорозная жидкость грязно-серого или коричневого цвета, отсутствие сформированного гноя и демаркационной линии позвол</w:t>
      </w:r>
      <w:r>
        <w:rPr>
          <w:rFonts w:cs="Calibri"/>
          <w:sz w:val="28"/>
          <w:szCs w:val="28"/>
          <w:lang w:eastAsia="ar-SA"/>
        </w:rPr>
        <w:t xml:space="preserve">яют уточнить диагноз </w:t>
      </w:r>
      <w:r w:rsidRPr="002F4D23">
        <w:rPr>
          <w:rFonts w:cs="Calibri"/>
          <w:sz w:val="28"/>
          <w:szCs w:val="28"/>
          <w:lang w:eastAsia="ar-SA"/>
        </w:rPr>
        <w:t>(</w:t>
      </w:r>
      <w:r>
        <w:rPr>
          <w:rFonts w:cs="Calibri"/>
          <w:sz w:val="28"/>
          <w:szCs w:val="28"/>
          <w:lang w:eastAsia="ar-SA"/>
        </w:rPr>
        <w:t>Будаев А.П., 2001</w:t>
      </w:r>
      <w:r w:rsidRPr="002F4D23">
        <w:rPr>
          <w:rFonts w:cs="Calibri"/>
          <w:sz w:val="28"/>
          <w:szCs w:val="28"/>
          <w:lang w:eastAsia="ar-SA"/>
        </w:rPr>
        <w:t>)</w:t>
      </w:r>
      <w:r w:rsidRPr="00874414">
        <w:rPr>
          <w:rFonts w:cs="Calibri"/>
          <w:sz w:val="28"/>
          <w:szCs w:val="28"/>
          <w:lang w:eastAsia="ar-SA"/>
        </w:rPr>
        <w:t>.</w:t>
      </w:r>
    </w:p>
    <w:p w:rsidR="00286780" w:rsidRPr="00874414" w:rsidRDefault="00286780" w:rsidP="00874414">
      <w:pPr>
        <w:spacing w:line="360" w:lineRule="auto"/>
        <w:ind w:firstLine="709"/>
        <w:jc w:val="both"/>
        <w:rPr>
          <w:rFonts w:cs="Calibri"/>
          <w:sz w:val="28"/>
          <w:szCs w:val="28"/>
          <w:lang w:eastAsia="ar-SA"/>
        </w:rPr>
      </w:pPr>
      <w:r w:rsidRPr="00874414">
        <w:rPr>
          <w:rFonts w:cs="Calibri"/>
          <w:sz w:val="28"/>
          <w:szCs w:val="28"/>
          <w:lang w:eastAsia="ar-SA"/>
        </w:rPr>
        <w:t>Следует отметить, что в отечественной литературе, посвященной челюстно-лицевой хирургии и одонтогенным воспалительным осложнениям, неклостридиальный некротизирующий фасциит (целлюлит) обозначен термином «гнилостно-некротический тип острого воспалитель</w:t>
      </w:r>
      <w:r>
        <w:rPr>
          <w:rFonts w:cs="Calibri"/>
          <w:sz w:val="28"/>
          <w:szCs w:val="28"/>
          <w:lang w:eastAsia="ar-SA"/>
        </w:rPr>
        <w:t xml:space="preserve">ного процесса» </w:t>
      </w:r>
      <w:r w:rsidRPr="002F4D23">
        <w:rPr>
          <w:rFonts w:cs="Calibri"/>
          <w:sz w:val="28"/>
          <w:szCs w:val="28"/>
          <w:lang w:eastAsia="ar-SA"/>
        </w:rPr>
        <w:t>(</w:t>
      </w:r>
      <w:r>
        <w:rPr>
          <w:rFonts w:cs="Calibri"/>
          <w:sz w:val="28"/>
          <w:szCs w:val="28"/>
          <w:lang w:eastAsia="ar-SA"/>
        </w:rPr>
        <w:t>Шаргородский А.Г., 2001; Робустова Т.</w:t>
      </w:r>
      <w:r w:rsidRPr="00874414">
        <w:rPr>
          <w:rFonts w:cs="Calibri"/>
          <w:sz w:val="28"/>
          <w:szCs w:val="28"/>
          <w:lang w:eastAsia="ar-SA"/>
        </w:rPr>
        <w:t>Г. и др., 200</w:t>
      </w:r>
      <w:r>
        <w:rPr>
          <w:rFonts w:cs="Calibri"/>
          <w:sz w:val="28"/>
          <w:szCs w:val="28"/>
          <w:lang w:eastAsia="ar-SA"/>
        </w:rPr>
        <w:t>3; Губин М.</w:t>
      </w:r>
      <w:r w:rsidRPr="00874414">
        <w:rPr>
          <w:rFonts w:cs="Calibri"/>
          <w:sz w:val="28"/>
          <w:szCs w:val="28"/>
          <w:lang w:eastAsia="ar-SA"/>
        </w:rPr>
        <w:t xml:space="preserve">А., </w:t>
      </w:r>
      <w:r>
        <w:rPr>
          <w:rFonts w:cs="Calibri"/>
          <w:sz w:val="28"/>
          <w:szCs w:val="28"/>
          <w:lang w:eastAsia="ar-SA"/>
        </w:rPr>
        <w:t>Харитонов Ю.М., 2006; Губин М.А. и др., 2013</w:t>
      </w:r>
      <w:r w:rsidRPr="002F4D23">
        <w:rPr>
          <w:rFonts w:cs="Calibri"/>
          <w:sz w:val="28"/>
          <w:szCs w:val="28"/>
          <w:lang w:eastAsia="ar-SA"/>
        </w:rPr>
        <w:t>)</w:t>
      </w:r>
      <w:r w:rsidRPr="00874414">
        <w:rPr>
          <w:rFonts w:cs="Calibri"/>
          <w:sz w:val="28"/>
          <w:szCs w:val="28"/>
          <w:lang w:eastAsia="ar-SA"/>
        </w:rPr>
        <w:t>.</w:t>
      </w:r>
    </w:p>
    <w:p w:rsidR="00286780" w:rsidRPr="00874414" w:rsidRDefault="00286780" w:rsidP="00874414">
      <w:pPr>
        <w:spacing w:line="360" w:lineRule="auto"/>
        <w:ind w:firstLine="709"/>
        <w:jc w:val="both"/>
        <w:rPr>
          <w:rFonts w:cs="Calibri"/>
          <w:sz w:val="28"/>
          <w:szCs w:val="28"/>
          <w:lang w:eastAsia="ar-SA"/>
        </w:rPr>
      </w:pPr>
      <w:r w:rsidRPr="00874414">
        <w:rPr>
          <w:rFonts w:cs="Calibri"/>
          <w:sz w:val="28"/>
          <w:szCs w:val="28"/>
          <w:lang w:eastAsia="ar-SA"/>
        </w:rPr>
        <w:t>Количество вовлеченных в воспалительный процесс топографоанатомических областей может быть определено в соответствии с наличием определенной клинической симптоматики, описанной в соответствующих литературных источ</w:t>
      </w:r>
      <w:r>
        <w:rPr>
          <w:rFonts w:cs="Calibri"/>
          <w:sz w:val="28"/>
          <w:szCs w:val="28"/>
          <w:lang w:eastAsia="ar-SA"/>
        </w:rPr>
        <w:t xml:space="preserve">никах </w:t>
      </w:r>
      <w:r w:rsidRPr="002F4D23">
        <w:rPr>
          <w:rFonts w:cs="Calibri"/>
          <w:sz w:val="28"/>
          <w:szCs w:val="28"/>
          <w:lang w:eastAsia="ar-SA"/>
        </w:rPr>
        <w:t>(</w:t>
      </w:r>
      <w:r>
        <w:rPr>
          <w:rFonts w:cs="Calibri"/>
          <w:sz w:val="28"/>
          <w:szCs w:val="28"/>
          <w:lang w:eastAsia="ar-SA"/>
        </w:rPr>
        <w:t>Робустова Т.Г. и др., 2003; Соловьев М.М. и др., 2009</w:t>
      </w:r>
      <w:r w:rsidRPr="002F4D23">
        <w:rPr>
          <w:rFonts w:cs="Calibri"/>
          <w:sz w:val="28"/>
          <w:szCs w:val="28"/>
          <w:lang w:eastAsia="ar-SA"/>
        </w:rPr>
        <w:t>)</w:t>
      </w:r>
      <w:r w:rsidRPr="00874414">
        <w:rPr>
          <w:rFonts w:cs="Calibri"/>
          <w:sz w:val="28"/>
          <w:szCs w:val="28"/>
          <w:lang w:eastAsia="ar-SA"/>
        </w:rPr>
        <w:t>. Возможно использование методов компьютерной томографии, МРТ и ультразвукового исследова</w:t>
      </w:r>
      <w:r>
        <w:rPr>
          <w:rFonts w:cs="Calibri"/>
          <w:sz w:val="28"/>
          <w:szCs w:val="28"/>
          <w:lang w:eastAsia="ar-SA"/>
        </w:rPr>
        <w:t xml:space="preserve">ния </w:t>
      </w:r>
      <w:r w:rsidRPr="002F4D23">
        <w:rPr>
          <w:rFonts w:cs="Calibri"/>
          <w:sz w:val="28"/>
          <w:szCs w:val="28"/>
          <w:lang w:eastAsia="ar-SA"/>
        </w:rPr>
        <w:t>(</w:t>
      </w:r>
      <w:r>
        <w:rPr>
          <w:rFonts w:cs="Calibri"/>
          <w:sz w:val="28"/>
          <w:szCs w:val="28"/>
          <w:lang w:eastAsia="ar-SA"/>
        </w:rPr>
        <w:t>Шаргородский А.Г., 2001</w:t>
      </w:r>
      <w:r w:rsidRPr="002F4D23">
        <w:rPr>
          <w:rFonts w:cs="Calibri"/>
          <w:sz w:val="28"/>
          <w:szCs w:val="28"/>
          <w:lang w:eastAsia="ar-SA"/>
        </w:rPr>
        <w:t>)</w:t>
      </w:r>
      <w:r w:rsidRPr="00874414">
        <w:rPr>
          <w:rFonts w:cs="Calibri"/>
          <w:sz w:val="28"/>
          <w:szCs w:val="28"/>
          <w:lang w:eastAsia="ar-SA"/>
        </w:rPr>
        <w:t>.</w:t>
      </w:r>
    </w:p>
    <w:p w:rsidR="00286780" w:rsidRDefault="00286780" w:rsidP="00874414">
      <w:pPr>
        <w:spacing w:line="360" w:lineRule="auto"/>
        <w:ind w:firstLine="709"/>
        <w:jc w:val="both"/>
        <w:rPr>
          <w:rFonts w:cs="Calibri"/>
          <w:spacing w:val="-4"/>
          <w:sz w:val="28"/>
          <w:szCs w:val="28"/>
          <w:lang w:eastAsia="ar-SA"/>
        </w:rPr>
      </w:pPr>
      <w:r w:rsidRPr="0087468B">
        <w:rPr>
          <w:rFonts w:cs="Calibri"/>
          <w:spacing w:val="-4"/>
          <w:sz w:val="28"/>
          <w:szCs w:val="28"/>
          <w:lang w:eastAsia="ar-SA"/>
        </w:rPr>
        <w:lastRenderedPageBreak/>
        <w:t xml:space="preserve">Детализированная характеристика распространенности воспалительного процесса (количество вовлеченных клетчаточных пространств) у пациентов с МФОИ и ОС, определенные в рамках </w:t>
      </w:r>
      <w:r w:rsidRPr="0087468B">
        <w:rPr>
          <w:rFonts w:cs="Calibri"/>
          <w:spacing w:val="-4"/>
          <w:sz w:val="28"/>
          <w:szCs w:val="28"/>
          <w:lang w:val="en-US" w:eastAsia="ar-SA"/>
        </w:rPr>
        <w:t>III</w:t>
      </w:r>
      <w:r w:rsidRPr="0087468B">
        <w:rPr>
          <w:rFonts w:cs="Calibri"/>
          <w:spacing w:val="-4"/>
          <w:sz w:val="28"/>
          <w:szCs w:val="28"/>
          <w:lang w:eastAsia="ar-SA"/>
        </w:rPr>
        <w:t xml:space="preserve"> блока исследо</w:t>
      </w:r>
      <w:r>
        <w:rPr>
          <w:rFonts w:cs="Calibri"/>
          <w:spacing w:val="-4"/>
          <w:sz w:val="28"/>
          <w:szCs w:val="28"/>
          <w:lang w:eastAsia="ar-SA"/>
        </w:rPr>
        <w:t>ваний, представлена в Таблице 61</w:t>
      </w:r>
      <w:r w:rsidRPr="0087468B">
        <w:rPr>
          <w:rFonts w:cs="Calibri"/>
          <w:spacing w:val="-4"/>
          <w:sz w:val="28"/>
          <w:szCs w:val="28"/>
          <w:lang w:eastAsia="ar-SA"/>
        </w:rPr>
        <w:t>.</w:t>
      </w:r>
    </w:p>
    <w:p w:rsidR="00B15368" w:rsidRPr="0087468B" w:rsidRDefault="00B15368" w:rsidP="00874414">
      <w:pPr>
        <w:spacing w:line="360" w:lineRule="auto"/>
        <w:ind w:firstLine="709"/>
        <w:jc w:val="both"/>
        <w:rPr>
          <w:rFonts w:cs="Calibri"/>
          <w:spacing w:val="-4"/>
          <w:sz w:val="28"/>
          <w:szCs w:val="28"/>
          <w:lang w:eastAsia="ar-SA"/>
        </w:rPr>
      </w:pPr>
    </w:p>
    <w:p w:rsidR="00286780" w:rsidRPr="00874414" w:rsidRDefault="00286780" w:rsidP="00874414">
      <w:pPr>
        <w:spacing w:after="120"/>
        <w:jc w:val="both"/>
        <w:rPr>
          <w:sz w:val="28"/>
          <w:szCs w:val="28"/>
        </w:rPr>
      </w:pPr>
      <w:r w:rsidRPr="00874414">
        <w:rPr>
          <w:b/>
          <w:sz w:val="28"/>
          <w:szCs w:val="28"/>
        </w:rPr>
        <w:t xml:space="preserve">Таблица </w:t>
      </w:r>
      <w:r>
        <w:rPr>
          <w:b/>
          <w:sz w:val="28"/>
          <w:szCs w:val="28"/>
        </w:rPr>
        <w:t>61</w:t>
      </w:r>
      <w:r w:rsidRPr="00874414">
        <w:rPr>
          <w:sz w:val="28"/>
          <w:szCs w:val="28"/>
        </w:rPr>
        <w:t xml:space="preserve"> – Влияние количества вовлеченных клетчаточных пространств</w:t>
      </w:r>
      <w:r>
        <w:rPr>
          <w:sz w:val="28"/>
          <w:szCs w:val="28"/>
        </w:rPr>
        <w:t xml:space="preserve"> и топографоанатомических областей</w:t>
      </w:r>
      <w:r w:rsidRPr="00874414">
        <w:rPr>
          <w:sz w:val="28"/>
          <w:szCs w:val="28"/>
        </w:rPr>
        <w:t xml:space="preserve"> на развитие одонтогенного сепсиса</w:t>
      </w:r>
    </w:p>
    <w:tbl>
      <w:tblPr>
        <w:tblW w:w="9923" w:type="dxa"/>
        <w:tblLayout w:type="fixed"/>
        <w:tblLook w:val="0000" w:firstRow="0" w:lastRow="0" w:firstColumn="0" w:lastColumn="0" w:noHBand="0" w:noVBand="0"/>
      </w:tblPr>
      <w:tblGrid>
        <w:gridCol w:w="2580"/>
        <w:gridCol w:w="2949"/>
        <w:gridCol w:w="3430"/>
        <w:gridCol w:w="964"/>
      </w:tblGrid>
      <w:tr w:rsidR="00286780" w:rsidRPr="00874414" w:rsidTr="00874414">
        <w:trPr>
          <w:trHeight w:val="227"/>
        </w:trPr>
        <w:tc>
          <w:tcPr>
            <w:tcW w:w="2580" w:type="dxa"/>
            <w:vMerge w:val="restart"/>
            <w:tcBorders>
              <w:top w:val="single" w:sz="4" w:space="0" w:color="000000"/>
              <w:left w:val="single" w:sz="4" w:space="0" w:color="000000"/>
            </w:tcBorders>
            <w:tcMar>
              <w:left w:w="28" w:type="dxa"/>
              <w:right w:w="28" w:type="dxa"/>
            </w:tcMar>
            <w:vAlign w:val="center"/>
          </w:tcPr>
          <w:p w:rsidR="00286780" w:rsidRPr="00874414" w:rsidRDefault="00286780" w:rsidP="00874414">
            <w:pPr>
              <w:snapToGrid w:val="0"/>
              <w:jc w:val="center"/>
              <w:rPr>
                <w:rFonts w:cs="Calibri"/>
                <w:sz w:val="24"/>
                <w:szCs w:val="24"/>
                <w:lang w:eastAsia="ar-SA"/>
              </w:rPr>
            </w:pPr>
            <w:r w:rsidRPr="00874414">
              <w:rPr>
                <w:rFonts w:cs="Calibri"/>
                <w:i/>
                <w:sz w:val="24"/>
                <w:szCs w:val="24"/>
                <w:lang w:eastAsia="ar-SA"/>
              </w:rPr>
              <w:t>Форма инфекционного процесса</w:t>
            </w:r>
          </w:p>
        </w:tc>
        <w:tc>
          <w:tcPr>
            <w:tcW w:w="6379" w:type="dxa"/>
            <w:gridSpan w:val="2"/>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z w:val="24"/>
                <w:szCs w:val="24"/>
                <w:lang w:eastAsia="ar-SA"/>
              </w:rPr>
            </w:pPr>
            <w:r w:rsidRPr="00874414">
              <w:rPr>
                <w:rFonts w:cs="Calibri"/>
                <w:i/>
                <w:sz w:val="24"/>
                <w:szCs w:val="24"/>
                <w:lang w:eastAsia="ar-SA"/>
              </w:rPr>
              <w:t xml:space="preserve">Количество пациентов, </w:t>
            </w:r>
            <w:r w:rsidRPr="00874414">
              <w:rPr>
                <w:rFonts w:cs="Calibri"/>
                <w:i/>
                <w:sz w:val="24"/>
                <w:szCs w:val="24"/>
                <w:lang w:val="en-US" w:eastAsia="ar-SA"/>
              </w:rPr>
              <w:t>n</w:t>
            </w:r>
            <w:r w:rsidRPr="00874414">
              <w:rPr>
                <w:rFonts w:cs="Calibri"/>
                <w:i/>
                <w:sz w:val="24"/>
                <w:szCs w:val="24"/>
                <w:lang w:eastAsia="ar-SA"/>
              </w:rPr>
              <w:t xml:space="preserve"> (%)</w:t>
            </w:r>
          </w:p>
        </w:tc>
        <w:tc>
          <w:tcPr>
            <w:tcW w:w="9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74414" w:rsidRDefault="00286780" w:rsidP="00874414">
            <w:pPr>
              <w:snapToGrid w:val="0"/>
              <w:jc w:val="center"/>
              <w:rPr>
                <w:rFonts w:cs="Calibri"/>
                <w:sz w:val="24"/>
                <w:szCs w:val="24"/>
                <w:lang w:eastAsia="ar-SA"/>
              </w:rPr>
            </w:pPr>
          </w:p>
        </w:tc>
      </w:tr>
      <w:tr w:rsidR="00286780" w:rsidRPr="00874414" w:rsidTr="00874414">
        <w:trPr>
          <w:trHeight w:val="227"/>
        </w:trPr>
        <w:tc>
          <w:tcPr>
            <w:tcW w:w="2580" w:type="dxa"/>
            <w:vMerge/>
            <w:tcBorders>
              <w:left w:val="single" w:sz="4" w:space="0" w:color="000000"/>
            </w:tcBorders>
            <w:tcMar>
              <w:left w:w="28" w:type="dxa"/>
              <w:right w:w="28" w:type="dxa"/>
            </w:tcMar>
            <w:vAlign w:val="center"/>
          </w:tcPr>
          <w:p w:rsidR="00286780" w:rsidRPr="00874414" w:rsidRDefault="00286780" w:rsidP="00874414">
            <w:pPr>
              <w:snapToGrid w:val="0"/>
              <w:jc w:val="both"/>
              <w:rPr>
                <w:rFonts w:cs="Calibri"/>
                <w:sz w:val="24"/>
                <w:szCs w:val="24"/>
                <w:lang w:eastAsia="ar-SA"/>
              </w:rPr>
            </w:pPr>
          </w:p>
        </w:tc>
        <w:tc>
          <w:tcPr>
            <w:tcW w:w="6379" w:type="dxa"/>
            <w:gridSpan w:val="2"/>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z w:val="24"/>
                <w:szCs w:val="24"/>
                <w:lang w:eastAsia="ar-SA"/>
              </w:rPr>
            </w:pPr>
            <w:r w:rsidRPr="00874414">
              <w:rPr>
                <w:rFonts w:cs="Calibri"/>
                <w:sz w:val="24"/>
                <w:szCs w:val="24"/>
                <w:lang w:eastAsia="ar-SA"/>
              </w:rPr>
              <w:t>Вовлечение топографоанатомических областей</w:t>
            </w:r>
          </w:p>
        </w:tc>
        <w:tc>
          <w:tcPr>
            <w:tcW w:w="964" w:type="dxa"/>
            <w:vMerge w:val="restart"/>
            <w:tcBorders>
              <w:top w:val="single" w:sz="4" w:space="0" w:color="000000"/>
              <w:left w:val="single" w:sz="4" w:space="0" w:color="000000"/>
              <w:right w:val="single" w:sz="4" w:space="0" w:color="000000"/>
            </w:tcBorders>
            <w:tcMar>
              <w:left w:w="28" w:type="dxa"/>
              <w:right w:w="28" w:type="dxa"/>
            </w:tcMar>
            <w:vAlign w:val="center"/>
          </w:tcPr>
          <w:p w:rsidR="00286780" w:rsidRPr="00874414" w:rsidRDefault="00286780" w:rsidP="00874414">
            <w:pPr>
              <w:snapToGrid w:val="0"/>
              <w:jc w:val="center"/>
              <w:rPr>
                <w:rFonts w:cs="Calibri"/>
                <w:sz w:val="24"/>
                <w:szCs w:val="24"/>
                <w:lang w:eastAsia="ar-SA"/>
              </w:rPr>
            </w:pPr>
            <w:r w:rsidRPr="00874414">
              <w:rPr>
                <w:rFonts w:cs="Calibri"/>
                <w:sz w:val="24"/>
                <w:szCs w:val="24"/>
                <w:lang w:eastAsia="ar-SA"/>
              </w:rPr>
              <w:t>Всего</w:t>
            </w:r>
          </w:p>
        </w:tc>
      </w:tr>
      <w:tr w:rsidR="00286780" w:rsidRPr="00874414" w:rsidTr="00874414">
        <w:trPr>
          <w:trHeight w:val="227"/>
        </w:trPr>
        <w:tc>
          <w:tcPr>
            <w:tcW w:w="2580" w:type="dxa"/>
            <w:vMerge/>
            <w:tcBorders>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both"/>
              <w:rPr>
                <w:rFonts w:cs="Calibri"/>
                <w:sz w:val="24"/>
                <w:szCs w:val="24"/>
                <w:lang w:eastAsia="ar-SA"/>
              </w:rPr>
            </w:pPr>
          </w:p>
        </w:tc>
        <w:tc>
          <w:tcPr>
            <w:tcW w:w="2949"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z w:val="24"/>
                <w:szCs w:val="24"/>
                <w:lang w:eastAsia="ar-SA"/>
              </w:rPr>
            </w:pPr>
            <w:r w:rsidRPr="00874414">
              <w:rPr>
                <w:rFonts w:cs="Calibri"/>
                <w:sz w:val="24"/>
                <w:szCs w:val="24"/>
                <w:lang w:eastAsia="ar-SA"/>
              </w:rPr>
              <w:t>менее 4</w:t>
            </w:r>
          </w:p>
        </w:tc>
        <w:tc>
          <w:tcPr>
            <w:tcW w:w="3430"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z w:val="24"/>
                <w:szCs w:val="24"/>
                <w:lang w:eastAsia="ar-SA"/>
              </w:rPr>
            </w:pPr>
            <w:r w:rsidRPr="00874414">
              <w:rPr>
                <w:rFonts w:cs="Calibri"/>
                <w:sz w:val="24"/>
                <w:szCs w:val="24"/>
                <w:lang w:eastAsia="ar-SA"/>
              </w:rPr>
              <w:t>4 и более</w:t>
            </w:r>
          </w:p>
        </w:tc>
        <w:tc>
          <w:tcPr>
            <w:tcW w:w="964" w:type="dxa"/>
            <w:vMerge/>
            <w:tcBorders>
              <w:left w:val="single" w:sz="4" w:space="0" w:color="000000"/>
              <w:bottom w:val="single" w:sz="4" w:space="0" w:color="000000"/>
              <w:right w:val="single" w:sz="4" w:space="0" w:color="000000"/>
            </w:tcBorders>
            <w:tcMar>
              <w:left w:w="28" w:type="dxa"/>
              <w:right w:w="28" w:type="dxa"/>
            </w:tcMar>
            <w:vAlign w:val="center"/>
          </w:tcPr>
          <w:p w:rsidR="00286780" w:rsidRPr="00874414" w:rsidRDefault="00286780" w:rsidP="00874414">
            <w:pPr>
              <w:snapToGrid w:val="0"/>
              <w:jc w:val="center"/>
              <w:rPr>
                <w:rFonts w:cs="Calibri"/>
                <w:sz w:val="24"/>
                <w:szCs w:val="24"/>
                <w:lang w:eastAsia="ar-SA"/>
              </w:rPr>
            </w:pPr>
          </w:p>
        </w:tc>
      </w:tr>
      <w:tr w:rsidR="00286780" w:rsidRPr="00874414" w:rsidTr="00874414">
        <w:trPr>
          <w:trHeight w:val="454"/>
        </w:trPr>
        <w:tc>
          <w:tcPr>
            <w:tcW w:w="2580"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both"/>
              <w:rPr>
                <w:rFonts w:cs="Calibri"/>
                <w:sz w:val="24"/>
                <w:szCs w:val="24"/>
                <w:lang w:eastAsia="ar-SA"/>
              </w:rPr>
            </w:pPr>
            <w:r w:rsidRPr="00874414">
              <w:rPr>
                <w:rFonts w:cs="Calibri"/>
                <w:sz w:val="24"/>
                <w:szCs w:val="24"/>
                <w:lang w:eastAsia="ar-SA"/>
              </w:rPr>
              <w:t xml:space="preserve">Местная (МФОИ), </w:t>
            </w:r>
            <w:r w:rsidRPr="00874414">
              <w:rPr>
                <w:rFonts w:cs="Calibri"/>
                <w:sz w:val="24"/>
                <w:szCs w:val="24"/>
                <w:lang w:val="en-US" w:eastAsia="ar-SA"/>
              </w:rPr>
              <w:t>n (</w:t>
            </w:r>
            <w:r w:rsidRPr="00874414">
              <w:rPr>
                <w:rFonts w:cs="Calibri"/>
                <w:sz w:val="24"/>
                <w:szCs w:val="24"/>
                <w:lang w:eastAsia="ar-SA"/>
              </w:rPr>
              <w:t>%)</w:t>
            </w:r>
          </w:p>
        </w:tc>
        <w:tc>
          <w:tcPr>
            <w:tcW w:w="2949"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z w:val="24"/>
                <w:szCs w:val="24"/>
                <w:lang w:eastAsia="ar-SA"/>
              </w:rPr>
            </w:pPr>
            <w:r w:rsidRPr="00874414">
              <w:rPr>
                <w:rFonts w:cs="Calibri"/>
                <w:sz w:val="24"/>
                <w:szCs w:val="24"/>
                <w:lang w:eastAsia="ar-SA"/>
              </w:rPr>
              <w:t>43 (95,6)*</w:t>
            </w:r>
          </w:p>
        </w:tc>
        <w:tc>
          <w:tcPr>
            <w:tcW w:w="3430"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z w:val="24"/>
                <w:szCs w:val="24"/>
                <w:lang w:eastAsia="ar-SA"/>
              </w:rPr>
            </w:pPr>
            <w:r w:rsidRPr="00874414">
              <w:rPr>
                <w:rFonts w:cs="Calibri"/>
                <w:sz w:val="24"/>
                <w:szCs w:val="24"/>
                <w:lang w:eastAsia="ar-SA"/>
              </w:rPr>
              <w:t>2 (4,4)</w:t>
            </w:r>
          </w:p>
        </w:tc>
        <w:tc>
          <w:tcPr>
            <w:tcW w:w="9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74414" w:rsidRDefault="00286780" w:rsidP="00874414">
            <w:pPr>
              <w:snapToGrid w:val="0"/>
              <w:jc w:val="center"/>
              <w:rPr>
                <w:rFonts w:cs="Calibri"/>
                <w:sz w:val="24"/>
                <w:szCs w:val="24"/>
                <w:lang w:eastAsia="ar-SA"/>
              </w:rPr>
            </w:pPr>
            <w:r w:rsidRPr="00874414">
              <w:rPr>
                <w:rFonts w:cs="Calibri"/>
                <w:sz w:val="24"/>
                <w:szCs w:val="24"/>
                <w:lang w:eastAsia="ar-SA"/>
              </w:rPr>
              <w:t>45 (100)</w:t>
            </w:r>
          </w:p>
        </w:tc>
      </w:tr>
      <w:tr w:rsidR="00286780" w:rsidRPr="00874414" w:rsidTr="00874414">
        <w:trPr>
          <w:trHeight w:val="454"/>
        </w:trPr>
        <w:tc>
          <w:tcPr>
            <w:tcW w:w="2580"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both"/>
              <w:rPr>
                <w:rFonts w:cs="Calibri"/>
                <w:sz w:val="24"/>
                <w:szCs w:val="24"/>
                <w:lang w:eastAsia="ar-SA"/>
              </w:rPr>
            </w:pPr>
            <w:r w:rsidRPr="00874414">
              <w:rPr>
                <w:rFonts w:cs="Calibri"/>
                <w:sz w:val="24"/>
                <w:szCs w:val="24"/>
                <w:lang w:eastAsia="ar-SA"/>
              </w:rPr>
              <w:t xml:space="preserve">Сепсис (ОС), </w:t>
            </w:r>
            <w:r w:rsidRPr="00874414">
              <w:rPr>
                <w:rFonts w:cs="Calibri"/>
                <w:sz w:val="24"/>
                <w:szCs w:val="24"/>
                <w:lang w:val="en-US" w:eastAsia="ar-SA"/>
              </w:rPr>
              <w:t>n (</w:t>
            </w:r>
            <w:r w:rsidRPr="00874414">
              <w:rPr>
                <w:rFonts w:cs="Calibri"/>
                <w:sz w:val="24"/>
                <w:szCs w:val="24"/>
                <w:lang w:eastAsia="ar-SA"/>
              </w:rPr>
              <w:t>%)</w:t>
            </w:r>
          </w:p>
        </w:tc>
        <w:tc>
          <w:tcPr>
            <w:tcW w:w="2949"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z w:val="24"/>
                <w:szCs w:val="24"/>
                <w:lang w:eastAsia="ar-SA"/>
              </w:rPr>
            </w:pPr>
            <w:r w:rsidRPr="00874414">
              <w:rPr>
                <w:rFonts w:cs="Calibri"/>
                <w:sz w:val="24"/>
                <w:szCs w:val="24"/>
                <w:lang w:eastAsia="ar-SA"/>
              </w:rPr>
              <w:t>2 (5)*</w:t>
            </w:r>
          </w:p>
        </w:tc>
        <w:tc>
          <w:tcPr>
            <w:tcW w:w="3430"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z w:val="24"/>
                <w:szCs w:val="24"/>
                <w:lang w:eastAsia="ar-SA"/>
              </w:rPr>
            </w:pPr>
            <w:r w:rsidRPr="00874414">
              <w:rPr>
                <w:rFonts w:cs="Calibri"/>
                <w:sz w:val="24"/>
                <w:szCs w:val="24"/>
                <w:lang w:eastAsia="ar-SA"/>
              </w:rPr>
              <w:t>38 (95)</w:t>
            </w:r>
          </w:p>
        </w:tc>
        <w:tc>
          <w:tcPr>
            <w:tcW w:w="9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74414" w:rsidRDefault="00286780" w:rsidP="00874414">
            <w:pPr>
              <w:snapToGrid w:val="0"/>
              <w:jc w:val="center"/>
              <w:rPr>
                <w:rFonts w:cs="Calibri"/>
                <w:sz w:val="24"/>
                <w:szCs w:val="24"/>
                <w:lang w:eastAsia="ar-SA"/>
              </w:rPr>
            </w:pPr>
            <w:r w:rsidRPr="00874414">
              <w:rPr>
                <w:rFonts w:cs="Calibri"/>
                <w:sz w:val="24"/>
                <w:szCs w:val="24"/>
                <w:lang w:eastAsia="ar-SA"/>
              </w:rPr>
              <w:t>40 (100)</w:t>
            </w:r>
          </w:p>
        </w:tc>
      </w:tr>
      <w:tr w:rsidR="00286780" w:rsidRPr="00874414" w:rsidTr="00874414">
        <w:trPr>
          <w:trHeight w:val="454"/>
        </w:trPr>
        <w:tc>
          <w:tcPr>
            <w:tcW w:w="9923" w:type="dxa"/>
            <w:gridSpan w:val="4"/>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874414" w:rsidRDefault="00286780" w:rsidP="00874414">
            <w:pPr>
              <w:snapToGrid w:val="0"/>
              <w:jc w:val="both"/>
              <w:rPr>
                <w:rFonts w:cs="Calibri"/>
                <w:sz w:val="24"/>
                <w:szCs w:val="24"/>
                <w:lang w:eastAsia="ar-SA"/>
              </w:rPr>
            </w:pPr>
            <w:r w:rsidRPr="00874414">
              <w:rPr>
                <w:rFonts w:cs="Calibri"/>
                <w:i/>
                <w:sz w:val="24"/>
                <w:szCs w:val="24"/>
                <w:lang w:eastAsia="ar-SA"/>
              </w:rPr>
              <w:t>Примечание</w:t>
            </w:r>
            <w:r w:rsidRPr="00874414">
              <w:rPr>
                <w:rFonts w:cs="Calibri"/>
                <w:sz w:val="24"/>
                <w:szCs w:val="24"/>
                <w:lang w:eastAsia="ar-SA"/>
              </w:rPr>
              <w:t xml:space="preserve">. * – различия между группами статистически достоверны (точный критерий Фишера, </w:t>
            </w:r>
            <w:r w:rsidRPr="00874414">
              <w:rPr>
                <w:rFonts w:cs="Calibri"/>
                <w:sz w:val="24"/>
                <w:szCs w:val="24"/>
                <w:lang w:val="en-US" w:eastAsia="ar-SA"/>
              </w:rPr>
              <w:t>p</w:t>
            </w:r>
            <w:r>
              <w:rPr>
                <w:rFonts w:cs="Calibri"/>
                <w:sz w:val="24"/>
                <w:szCs w:val="24"/>
                <w:lang w:eastAsia="ar-SA"/>
              </w:rPr>
              <w:t>&lt;</w:t>
            </w:r>
            <w:r w:rsidRPr="00874414">
              <w:rPr>
                <w:rFonts w:cs="Calibri"/>
                <w:sz w:val="24"/>
                <w:szCs w:val="24"/>
                <w:lang w:eastAsia="ar-SA"/>
              </w:rPr>
              <w:t>0,05)</w:t>
            </w:r>
          </w:p>
        </w:tc>
      </w:tr>
    </w:tbl>
    <w:p w:rsidR="00286780" w:rsidRPr="00874414" w:rsidRDefault="00286780" w:rsidP="00874414">
      <w:pPr>
        <w:jc w:val="both"/>
        <w:rPr>
          <w:rFonts w:cs="Calibri"/>
          <w:sz w:val="24"/>
          <w:szCs w:val="24"/>
          <w:lang w:eastAsia="ar-SA"/>
        </w:rPr>
      </w:pPr>
    </w:p>
    <w:p w:rsidR="00286780" w:rsidRPr="00874414" w:rsidRDefault="00286780" w:rsidP="00874414">
      <w:pPr>
        <w:spacing w:line="360" w:lineRule="auto"/>
        <w:ind w:firstLine="709"/>
        <w:jc w:val="both"/>
        <w:rPr>
          <w:rFonts w:cs="Calibri"/>
          <w:sz w:val="28"/>
          <w:szCs w:val="28"/>
          <w:lang w:eastAsia="ar-SA"/>
        </w:rPr>
      </w:pPr>
      <w:r w:rsidRPr="00874414">
        <w:rPr>
          <w:rFonts w:cs="Calibri"/>
          <w:sz w:val="28"/>
          <w:szCs w:val="28"/>
          <w:lang w:eastAsia="ar-SA"/>
        </w:rPr>
        <w:t>Для ОС характерно поражение четырех и более клетчаточных пространств, а для МФОИ – менее четырех.</w:t>
      </w:r>
    </w:p>
    <w:p w:rsidR="00286780" w:rsidRPr="00874414" w:rsidRDefault="00286780" w:rsidP="00874414">
      <w:pPr>
        <w:spacing w:line="360" w:lineRule="auto"/>
        <w:ind w:firstLine="709"/>
        <w:jc w:val="both"/>
        <w:rPr>
          <w:rFonts w:cs="Calibri"/>
          <w:sz w:val="28"/>
          <w:szCs w:val="28"/>
          <w:lang w:eastAsia="ar-SA"/>
        </w:rPr>
      </w:pPr>
      <w:r w:rsidRPr="00874414">
        <w:rPr>
          <w:rFonts w:cs="Calibri"/>
          <w:sz w:val="28"/>
          <w:szCs w:val="28"/>
          <w:lang w:eastAsia="ar-SA"/>
        </w:rPr>
        <w:t xml:space="preserve">Точный критерий Фишера (двусторонний) определяет наличие зависимости междуколичеством вовлеченных в воспалительный процесс клетчаточных пространств и развитием сепсиса, в данном случае </w:t>
      </w:r>
      <w:r>
        <w:rPr>
          <w:rFonts w:cs="Calibri"/>
          <w:color w:val="000000"/>
          <w:sz w:val="28"/>
          <w:szCs w:val="28"/>
          <w:lang w:eastAsia="ar-SA"/>
        </w:rPr>
        <w:t>p=</w:t>
      </w:r>
      <w:r w:rsidRPr="00874414">
        <w:rPr>
          <w:rFonts w:cs="Calibri"/>
          <w:color w:val="000000"/>
          <w:sz w:val="28"/>
          <w:szCs w:val="28"/>
          <w:lang w:eastAsia="ar-SA"/>
        </w:rPr>
        <w:t>0,000(0) (по материалам Таблицы 58)</w:t>
      </w:r>
      <w:r w:rsidRPr="00874414">
        <w:rPr>
          <w:rFonts w:cs="Calibri"/>
          <w:sz w:val="28"/>
          <w:szCs w:val="28"/>
          <w:lang w:eastAsia="ar-SA"/>
        </w:rPr>
        <w:t>. Между развитием ОС и количеством вовлеченных в воспалительный процесс топографоанатомических областей определяется статистически значимая взаимозависимость (</w:t>
      </w:r>
      <w:r w:rsidRPr="00874414">
        <w:rPr>
          <w:rFonts w:cs="Calibri"/>
          <w:color w:val="000000"/>
          <w:sz w:val="28"/>
          <w:szCs w:val="28"/>
          <w:lang w:eastAsia="ar-SA"/>
        </w:rPr>
        <w:t>p</w:t>
      </w:r>
      <w:r>
        <w:rPr>
          <w:rFonts w:cs="Calibri"/>
          <w:sz w:val="28"/>
          <w:szCs w:val="28"/>
          <w:lang w:eastAsia="ar-SA"/>
        </w:rPr>
        <w:t>&lt;</w:t>
      </w:r>
      <w:r w:rsidRPr="00874414">
        <w:rPr>
          <w:rFonts w:cs="Calibri"/>
          <w:sz w:val="28"/>
          <w:szCs w:val="28"/>
          <w:lang w:eastAsia="ar-SA"/>
        </w:rPr>
        <w:t>0,05), что позволяет использовать методику в оценке вероятности развития сепсиса.Значения чувствительности, специфичности, точности, прогностичности положительного и отрицательного результатов (</w:t>
      </w:r>
      <w:r w:rsidRPr="00874414">
        <w:rPr>
          <w:rFonts w:cs="Calibri"/>
          <w:sz w:val="28"/>
          <w:szCs w:val="28"/>
          <w:lang w:val="en-US" w:eastAsia="ar-SA"/>
        </w:rPr>
        <w:t>Se</w:t>
      </w:r>
      <w:r w:rsidRPr="00874414">
        <w:rPr>
          <w:rFonts w:cs="Calibri"/>
          <w:sz w:val="28"/>
          <w:szCs w:val="28"/>
          <w:lang w:eastAsia="ar-SA"/>
        </w:rPr>
        <w:t xml:space="preserve">, </w:t>
      </w:r>
      <w:r w:rsidRPr="00874414">
        <w:rPr>
          <w:rFonts w:cs="Calibri"/>
          <w:sz w:val="28"/>
          <w:szCs w:val="28"/>
          <w:lang w:val="en-US" w:eastAsia="ar-SA"/>
        </w:rPr>
        <w:t>Sp</w:t>
      </w:r>
      <w:r w:rsidRPr="00874414">
        <w:rPr>
          <w:rFonts w:cs="Calibri"/>
          <w:sz w:val="28"/>
          <w:szCs w:val="28"/>
          <w:lang w:eastAsia="ar-SA"/>
        </w:rPr>
        <w:t xml:space="preserve">, </w:t>
      </w:r>
      <w:r w:rsidRPr="00874414">
        <w:rPr>
          <w:rFonts w:cs="Calibri"/>
          <w:sz w:val="28"/>
          <w:szCs w:val="28"/>
          <w:lang w:val="en-US" w:eastAsia="ar-SA"/>
        </w:rPr>
        <w:t>Ac</w:t>
      </w:r>
      <w:r w:rsidRPr="00874414">
        <w:rPr>
          <w:rFonts w:cs="Calibri"/>
          <w:sz w:val="28"/>
          <w:szCs w:val="28"/>
          <w:lang w:eastAsia="ar-SA"/>
        </w:rPr>
        <w:t xml:space="preserve">, </w:t>
      </w:r>
      <w:r w:rsidRPr="00874414">
        <w:rPr>
          <w:rFonts w:cs="Calibri"/>
          <w:sz w:val="28"/>
          <w:szCs w:val="28"/>
          <w:lang w:val="en-US" w:eastAsia="ar-SA"/>
        </w:rPr>
        <w:t>PPV</w:t>
      </w:r>
      <w:r w:rsidRPr="00874414">
        <w:rPr>
          <w:rFonts w:cs="Calibri"/>
          <w:sz w:val="28"/>
          <w:szCs w:val="28"/>
          <w:lang w:eastAsia="ar-SA"/>
        </w:rPr>
        <w:t xml:space="preserve">, </w:t>
      </w:r>
      <w:r w:rsidRPr="00874414">
        <w:rPr>
          <w:rFonts w:cs="Calibri"/>
          <w:sz w:val="28"/>
          <w:szCs w:val="28"/>
          <w:lang w:val="en-US" w:eastAsia="ar-SA"/>
        </w:rPr>
        <w:t>NPV</w:t>
      </w:r>
      <w:r w:rsidRPr="00874414">
        <w:rPr>
          <w:rFonts w:cs="Calibri"/>
          <w:sz w:val="28"/>
          <w:szCs w:val="28"/>
          <w:lang w:eastAsia="ar-SA"/>
        </w:rPr>
        <w:t>) применения критериев определения количества вовлеченных топографоанатомических областей и наличия гнилостно-некротического (некротизирующего) воспалительного про</w:t>
      </w:r>
      <w:r>
        <w:rPr>
          <w:rFonts w:cs="Calibri"/>
          <w:sz w:val="28"/>
          <w:szCs w:val="28"/>
          <w:lang w:eastAsia="ar-SA"/>
        </w:rPr>
        <w:t>цесса, представлены в Таблице 62</w:t>
      </w:r>
      <w:r w:rsidRPr="00874414">
        <w:rPr>
          <w:rFonts w:cs="Calibri"/>
          <w:sz w:val="28"/>
          <w:szCs w:val="28"/>
          <w:lang w:eastAsia="ar-SA"/>
        </w:rPr>
        <w:t>.</w:t>
      </w:r>
    </w:p>
    <w:p w:rsidR="00E225A2" w:rsidRPr="00874414" w:rsidRDefault="00E225A2" w:rsidP="00E225A2">
      <w:pPr>
        <w:spacing w:line="360" w:lineRule="auto"/>
        <w:ind w:firstLine="709"/>
        <w:jc w:val="both"/>
        <w:rPr>
          <w:rFonts w:cs="Calibri"/>
          <w:sz w:val="28"/>
          <w:szCs w:val="28"/>
          <w:lang w:eastAsia="ar-SA"/>
        </w:rPr>
      </w:pPr>
      <w:r w:rsidRPr="00874414">
        <w:rPr>
          <w:rFonts w:cs="Calibri"/>
          <w:sz w:val="28"/>
          <w:szCs w:val="28"/>
          <w:lang w:eastAsia="ar-SA"/>
        </w:rPr>
        <w:t xml:space="preserve">Результаты исследования демонстрируют значительную эффективность критериев диагностики одонтогенного сепсиса, обозначенных в Таблице 59. Показатели </w:t>
      </w:r>
      <w:r w:rsidRPr="00874414">
        <w:rPr>
          <w:rFonts w:cs="Calibri"/>
          <w:sz w:val="28"/>
          <w:szCs w:val="28"/>
          <w:lang w:val="en-US" w:eastAsia="ar-SA"/>
        </w:rPr>
        <w:t>Se</w:t>
      </w:r>
      <w:r w:rsidRPr="00874414">
        <w:rPr>
          <w:rFonts w:cs="Calibri"/>
          <w:sz w:val="28"/>
          <w:szCs w:val="28"/>
          <w:lang w:eastAsia="ar-SA"/>
        </w:rPr>
        <w:t xml:space="preserve">, </w:t>
      </w:r>
      <w:r w:rsidRPr="00874414">
        <w:rPr>
          <w:rFonts w:cs="Calibri"/>
          <w:sz w:val="28"/>
          <w:szCs w:val="28"/>
          <w:lang w:val="en-US" w:eastAsia="ar-SA"/>
        </w:rPr>
        <w:t>Sp</w:t>
      </w:r>
      <w:r w:rsidRPr="00874414">
        <w:rPr>
          <w:rFonts w:cs="Calibri"/>
          <w:sz w:val="28"/>
          <w:szCs w:val="28"/>
          <w:lang w:eastAsia="ar-SA"/>
        </w:rPr>
        <w:t xml:space="preserve">, </w:t>
      </w:r>
      <w:r w:rsidRPr="00874414">
        <w:rPr>
          <w:rFonts w:cs="Calibri"/>
          <w:sz w:val="28"/>
          <w:szCs w:val="28"/>
          <w:lang w:val="en-US" w:eastAsia="ar-SA"/>
        </w:rPr>
        <w:t>Ac</w:t>
      </w:r>
      <w:r w:rsidRPr="00874414">
        <w:rPr>
          <w:rFonts w:cs="Calibri"/>
          <w:sz w:val="28"/>
          <w:szCs w:val="28"/>
          <w:lang w:eastAsia="ar-SA"/>
        </w:rPr>
        <w:t xml:space="preserve">, </w:t>
      </w:r>
      <w:r w:rsidRPr="00874414">
        <w:rPr>
          <w:rFonts w:cs="Calibri"/>
          <w:sz w:val="28"/>
          <w:szCs w:val="28"/>
          <w:lang w:val="en-US" w:eastAsia="ar-SA"/>
        </w:rPr>
        <w:t>PPV</w:t>
      </w:r>
      <w:r w:rsidRPr="00874414">
        <w:rPr>
          <w:rFonts w:cs="Calibri"/>
          <w:sz w:val="28"/>
          <w:szCs w:val="28"/>
          <w:lang w:eastAsia="ar-SA"/>
        </w:rPr>
        <w:t xml:space="preserve">, </w:t>
      </w:r>
      <w:r w:rsidRPr="00874414">
        <w:rPr>
          <w:rFonts w:cs="Calibri"/>
          <w:sz w:val="28"/>
          <w:szCs w:val="28"/>
          <w:lang w:val="en-US" w:eastAsia="ar-SA"/>
        </w:rPr>
        <w:t>NPV</w:t>
      </w:r>
      <w:r w:rsidRPr="00874414">
        <w:rPr>
          <w:rFonts w:cs="Calibri"/>
          <w:sz w:val="28"/>
          <w:szCs w:val="28"/>
          <w:lang w:eastAsia="ar-SA"/>
        </w:rPr>
        <w:t xml:space="preserve"> более 85%.</w:t>
      </w:r>
    </w:p>
    <w:p w:rsidR="00E225A2" w:rsidRDefault="00E225A2" w:rsidP="00E225A2">
      <w:pPr>
        <w:spacing w:line="360" w:lineRule="auto"/>
        <w:ind w:firstLine="709"/>
        <w:jc w:val="both"/>
        <w:rPr>
          <w:rFonts w:cs="Calibri"/>
          <w:sz w:val="28"/>
          <w:szCs w:val="28"/>
          <w:lang w:eastAsia="ar-SA"/>
        </w:rPr>
      </w:pPr>
      <w:r w:rsidRPr="00874414">
        <w:rPr>
          <w:rFonts w:cs="Calibri"/>
          <w:sz w:val="28"/>
          <w:szCs w:val="28"/>
          <w:lang w:eastAsia="ar-SA"/>
        </w:rPr>
        <w:t>Следует отметить, что наличие признаков некротизирующей инфекции само по себе не может являться показанием к установлению значения высокой вероятности развития сепсиса, т. к. у пациентов с МФОИ в исследуемой группе некроти</w:t>
      </w:r>
      <w:r w:rsidRPr="00874414">
        <w:rPr>
          <w:rFonts w:cs="Calibri"/>
          <w:sz w:val="28"/>
          <w:szCs w:val="28"/>
          <w:lang w:eastAsia="ar-SA"/>
        </w:rPr>
        <w:lastRenderedPageBreak/>
        <w:t xml:space="preserve">зирующий компонент наблюдался в 13,3% случаев (шесть больных) в условиях ограниченного поражения тканей без признаков полиорганной недостаточности, специфичность метода составила 86,6%. </w:t>
      </w:r>
    </w:p>
    <w:p w:rsidR="00286780" w:rsidRPr="00874414" w:rsidRDefault="00286780" w:rsidP="00874414">
      <w:pPr>
        <w:jc w:val="both"/>
        <w:rPr>
          <w:rFonts w:cs="Calibri"/>
          <w:sz w:val="28"/>
          <w:szCs w:val="28"/>
          <w:lang w:eastAsia="ar-SA"/>
        </w:rPr>
      </w:pPr>
    </w:p>
    <w:p w:rsidR="00286780" w:rsidRPr="00874414" w:rsidRDefault="00286780" w:rsidP="00874414">
      <w:pPr>
        <w:spacing w:after="120"/>
        <w:jc w:val="both"/>
        <w:rPr>
          <w:spacing w:val="-12"/>
          <w:sz w:val="28"/>
          <w:szCs w:val="28"/>
        </w:rPr>
      </w:pPr>
      <w:r w:rsidRPr="00874414">
        <w:rPr>
          <w:b/>
          <w:sz w:val="28"/>
          <w:szCs w:val="28"/>
        </w:rPr>
        <w:t xml:space="preserve">Таблица </w:t>
      </w:r>
      <w:r>
        <w:rPr>
          <w:b/>
          <w:sz w:val="28"/>
          <w:szCs w:val="28"/>
        </w:rPr>
        <w:t>62</w:t>
      </w:r>
      <w:r w:rsidRPr="00874414">
        <w:rPr>
          <w:sz w:val="28"/>
          <w:szCs w:val="28"/>
        </w:rPr>
        <w:t xml:space="preserve"> – Характеристики критериев определения одонтогенного сепсиса по типу острого воспалительного процесса и количеству топографоанатомических областей</w:t>
      </w:r>
    </w:p>
    <w:tbl>
      <w:tblPr>
        <w:tblW w:w="9923" w:type="dxa"/>
        <w:tblInd w:w="-5" w:type="dxa"/>
        <w:tblLayout w:type="fixed"/>
        <w:tblLook w:val="0000" w:firstRow="0" w:lastRow="0" w:firstColumn="0" w:lastColumn="0" w:noHBand="0" w:noVBand="0"/>
      </w:tblPr>
      <w:tblGrid>
        <w:gridCol w:w="3294"/>
        <w:gridCol w:w="1275"/>
        <w:gridCol w:w="1276"/>
        <w:gridCol w:w="1276"/>
        <w:gridCol w:w="1417"/>
        <w:gridCol w:w="1385"/>
      </w:tblGrid>
      <w:tr w:rsidR="00286780" w:rsidRPr="00874414" w:rsidTr="00874414">
        <w:trPr>
          <w:trHeight w:val="227"/>
        </w:trPr>
        <w:tc>
          <w:tcPr>
            <w:tcW w:w="3294" w:type="dxa"/>
            <w:vMerge w:val="restart"/>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i/>
                <w:spacing w:val="-12"/>
                <w:sz w:val="22"/>
                <w:szCs w:val="22"/>
                <w:lang w:eastAsia="ar-SA"/>
              </w:rPr>
            </w:pPr>
            <w:r w:rsidRPr="00874414">
              <w:rPr>
                <w:rFonts w:cs="Calibri"/>
                <w:i/>
                <w:spacing w:val="-12"/>
                <w:sz w:val="22"/>
                <w:szCs w:val="22"/>
                <w:lang w:eastAsia="ar-SA"/>
              </w:rPr>
              <w:t>Критерии</w:t>
            </w:r>
          </w:p>
        </w:tc>
        <w:tc>
          <w:tcPr>
            <w:tcW w:w="6629"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74414" w:rsidRDefault="00286780" w:rsidP="00874414">
            <w:pPr>
              <w:snapToGrid w:val="0"/>
              <w:jc w:val="center"/>
              <w:rPr>
                <w:rFonts w:cs="Calibri"/>
                <w:i/>
                <w:spacing w:val="-12"/>
                <w:sz w:val="22"/>
                <w:szCs w:val="22"/>
                <w:lang w:eastAsia="ar-SA"/>
              </w:rPr>
            </w:pPr>
            <w:r w:rsidRPr="00874414">
              <w:rPr>
                <w:rFonts w:cs="Calibri"/>
                <w:i/>
                <w:spacing w:val="-12"/>
                <w:sz w:val="22"/>
                <w:szCs w:val="22"/>
                <w:lang w:eastAsia="ar-SA"/>
              </w:rPr>
              <w:t>Критерии оценки</w:t>
            </w:r>
          </w:p>
        </w:tc>
      </w:tr>
      <w:tr w:rsidR="00286780" w:rsidRPr="00874414" w:rsidTr="00874414">
        <w:trPr>
          <w:trHeight w:val="227"/>
        </w:trPr>
        <w:tc>
          <w:tcPr>
            <w:tcW w:w="3294" w:type="dxa"/>
            <w:vMerge/>
            <w:tcBorders>
              <w:top w:val="single" w:sz="4" w:space="0" w:color="000000"/>
              <w:left w:val="single" w:sz="4" w:space="0" w:color="000000"/>
              <w:bottom w:val="single" w:sz="4" w:space="0" w:color="000000"/>
            </w:tcBorders>
            <w:tcMar>
              <w:left w:w="28" w:type="dxa"/>
              <w:right w:w="28" w:type="dxa"/>
            </w:tcMar>
          </w:tcPr>
          <w:p w:rsidR="00286780" w:rsidRPr="00874414" w:rsidRDefault="00286780" w:rsidP="00874414">
            <w:pPr>
              <w:snapToGrid w:val="0"/>
              <w:rPr>
                <w:rFonts w:cs="Calibri"/>
                <w:spacing w:val="-12"/>
                <w:sz w:val="22"/>
                <w:szCs w:val="22"/>
                <w:lang w:eastAsia="ar-SA"/>
              </w:rPr>
            </w:pPr>
          </w:p>
        </w:tc>
        <w:tc>
          <w:tcPr>
            <w:tcW w:w="1275" w:type="dxa"/>
            <w:tcBorders>
              <w:top w:val="single" w:sz="4" w:space="0" w:color="000000"/>
              <w:left w:val="single" w:sz="4" w:space="0" w:color="000000"/>
              <w:bottom w:val="single" w:sz="4" w:space="0" w:color="000000"/>
            </w:tcBorders>
            <w:tcMar>
              <w:left w:w="28" w:type="dxa"/>
              <w:right w:w="28" w:type="dxa"/>
            </w:tcMar>
          </w:tcPr>
          <w:p w:rsidR="00286780" w:rsidRPr="00874414" w:rsidRDefault="00286780" w:rsidP="00874414">
            <w:pPr>
              <w:snapToGrid w:val="0"/>
              <w:jc w:val="center"/>
              <w:rPr>
                <w:rFonts w:cs="Calibri"/>
                <w:spacing w:val="-12"/>
                <w:sz w:val="22"/>
                <w:szCs w:val="22"/>
                <w:lang w:eastAsia="ar-SA"/>
              </w:rPr>
            </w:pPr>
            <w:r w:rsidRPr="00874414">
              <w:rPr>
                <w:rFonts w:cs="Calibri"/>
                <w:spacing w:val="-12"/>
                <w:sz w:val="22"/>
                <w:szCs w:val="22"/>
                <w:lang w:val="en-US" w:eastAsia="ar-SA"/>
              </w:rPr>
              <w:t>Se</w:t>
            </w:r>
            <w:r w:rsidRPr="00874414">
              <w:rPr>
                <w:rFonts w:cs="Calibri"/>
                <w:spacing w:val="-12"/>
                <w:sz w:val="22"/>
                <w:szCs w:val="22"/>
                <w:lang w:eastAsia="ar-SA"/>
              </w:rPr>
              <w:t xml:space="preserve"> [95% ДИ]</w:t>
            </w:r>
            <w:r w:rsidRPr="00874414">
              <w:rPr>
                <w:rFonts w:cs="Calibri"/>
                <w:spacing w:val="-12"/>
                <w:sz w:val="22"/>
                <w:szCs w:val="22"/>
                <w:lang w:eastAsia="ar-SA"/>
              </w:rPr>
              <w:br/>
              <w:t xml:space="preserve"> (%)</w:t>
            </w:r>
          </w:p>
        </w:tc>
        <w:tc>
          <w:tcPr>
            <w:tcW w:w="1276" w:type="dxa"/>
            <w:tcBorders>
              <w:top w:val="single" w:sz="4" w:space="0" w:color="000000"/>
              <w:left w:val="single" w:sz="4" w:space="0" w:color="000000"/>
              <w:bottom w:val="single" w:sz="4" w:space="0" w:color="000000"/>
            </w:tcBorders>
            <w:tcMar>
              <w:left w:w="28" w:type="dxa"/>
              <w:right w:w="28" w:type="dxa"/>
            </w:tcMar>
          </w:tcPr>
          <w:p w:rsidR="00286780" w:rsidRPr="00874414" w:rsidRDefault="00286780" w:rsidP="00874414">
            <w:pPr>
              <w:snapToGrid w:val="0"/>
              <w:jc w:val="center"/>
              <w:rPr>
                <w:rFonts w:cs="Calibri"/>
                <w:spacing w:val="-12"/>
                <w:sz w:val="22"/>
                <w:szCs w:val="22"/>
                <w:lang w:eastAsia="ar-SA"/>
              </w:rPr>
            </w:pPr>
            <w:r w:rsidRPr="00874414">
              <w:rPr>
                <w:rFonts w:cs="Calibri"/>
                <w:spacing w:val="-12"/>
                <w:sz w:val="22"/>
                <w:szCs w:val="22"/>
                <w:lang w:val="en-US" w:eastAsia="ar-SA"/>
              </w:rPr>
              <w:t>Sp</w:t>
            </w:r>
            <w:r w:rsidRPr="00874414">
              <w:rPr>
                <w:rFonts w:cs="Calibri"/>
                <w:spacing w:val="-12"/>
                <w:sz w:val="22"/>
                <w:szCs w:val="22"/>
                <w:lang w:eastAsia="ar-SA"/>
              </w:rPr>
              <w:t xml:space="preserve"> [95% ДИ] (%)</w:t>
            </w:r>
          </w:p>
        </w:tc>
        <w:tc>
          <w:tcPr>
            <w:tcW w:w="1276" w:type="dxa"/>
            <w:tcBorders>
              <w:top w:val="single" w:sz="4" w:space="0" w:color="000000"/>
              <w:left w:val="single" w:sz="4" w:space="0" w:color="000000"/>
              <w:bottom w:val="single" w:sz="4" w:space="0" w:color="000000"/>
            </w:tcBorders>
            <w:tcMar>
              <w:left w:w="28" w:type="dxa"/>
              <w:right w:w="28" w:type="dxa"/>
            </w:tcMar>
          </w:tcPr>
          <w:p w:rsidR="00286780" w:rsidRPr="00874414" w:rsidRDefault="00286780" w:rsidP="00874414">
            <w:pPr>
              <w:snapToGrid w:val="0"/>
              <w:jc w:val="center"/>
              <w:rPr>
                <w:rFonts w:cs="Calibri"/>
                <w:spacing w:val="-12"/>
                <w:sz w:val="22"/>
                <w:szCs w:val="22"/>
                <w:lang w:eastAsia="ar-SA"/>
              </w:rPr>
            </w:pPr>
            <w:r w:rsidRPr="00874414">
              <w:rPr>
                <w:rFonts w:cs="Calibri"/>
                <w:spacing w:val="-12"/>
                <w:sz w:val="22"/>
                <w:szCs w:val="22"/>
                <w:lang w:val="en-US" w:eastAsia="ar-SA"/>
              </w:rPr>
              <w:t>Ac</w:t>
            </w:r>
            <w:r w:rsidRPr="00874414">
              <w:rPr>
                <w:rFonts w:cs="Calibri"/>
                <w:spacing w:val="-12"/>
                <w:sz w:val="22"/>
                <w:szCs w:val="22"/>
                <w:lang w:eastAsia="ar-SA"/>
              </w:rPr>
              <w:t xml:space="preserve"> [95% ДИ] (%)</w:t>
            </w:r>
          </w:p>
        </w:tc>
        <w:tc>
          <w:tcPr>
            <w:tcW w:w="1417" w:type="dxa"/>
            <w:tcBorders>
              <w:top w:val="single" w:sz="4" w:space="0" w:color="000000"/>
              <w:left w:val="single" w:sz="4" w:space="0" w:color="000000"/>
              <w:bottom w:val="single" w:sz="4" w:space="0" w:color="000000"/>
            </w:tcBorders>
            <w:tcMar>
              <w:left w:w="28" w:type="dxa"/>
              <w:right w:w="28" w:type="dxa"/>
            </w:tcMar>
          </w:tcPr>
          <w:p w:rsidR="00286780" w:rsidRPr="00874414" w:rsidRDefault="00286780" w:rsidP="00874414">
            <w:pPr>
              <w:snapToGrid w:val="0"/>
              <w:jc w:val="center"/>
              <w:rPr>
                <w:rFonts w:cs="Calibri"/>
                <w:spacing w:val="-12"/>
                <w:sz w:val="22"/>
                <w:szCs w:val="22"/>
                <w:lang w:eastAsia="ar-SA"/>
              </w:rPr>
            </w:pPr>
            <w:r w:rsidRPr="00874414">
              <w:rPr>
                <w:rFonts w:cs="Calibri"/>
                <w:spacing w:val="-12"/>
                <w:sz w:val="22"/>
                <w:szCs w:val="22"/>
                <w:lang w:val="en-US" w:eastAsia="ar-SA"/>
              </w:rPr>
              <w:t>PPV</w:t>
            </w:r>
            <w:r w:rsidRPr="00874414">
              <w:rPr>
                <w:rFonts w:cs="Calibri"/>
                <w:spacing w:val="-12"/>
                <w:sz w:val="22"/>
                <w:szCs w:val="22"/>
                <w:lang w:eastAsia="ar-SA"/>
              </w:rPr>
              <w:t xml:space="preserve"> [95% ДИ] (%)</w:t>
            </w:r>
          </w:p>
        </w:tc>
        <w:tc>
          <w:tcPr>
            <w:tcW w:w="1385" w:type="dxa"/>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874414" w:rsidRDefault="00286780" w:rsidP="00874414">
            <w:pPr>
              <w:tabs>
                <w:tab w:val="left" w:pos="889"/>
              </w:tabs>
              <w:snapToGrid w:val="0"/>
              <w:jc w:val="center"/>
              <w:rPr>
                <w:rFonts w:cs="Calibri"/>
                <w:spacing w:val="-12"/>
                <w:sz w:val="22"/>
                <w:szCs w:val="22"/>
                <w:lang w:eastAsia="ar-SA"/>
              </w:rPr>
            </w:pPr>
            <w:r w:rsidRPr="00874414">
              <w:rPr>
                <w:rFonts w:cs="Calibri"/>
                <w:spacing w:val="-12"/>
                <w:sz w:val="22"/>
                <w:szCs w:val="22"/>
                <w:lang w:val="en-US" w:eastAsia="ar-SA"/>
              </w:rPr>
              <w:t>NPV</w:t>
            </w:r>
            <w:r w:rsidRPr="00874414">
              <w:rPr>
                <w:rFonts w:cs="Calibri"/>
                <w:spacing w:val="-12"/>
                <w:sz w:val="22"/>
                <w:szCs w:val="22"/>
                <w:lang w:eastAsia="ar-SA"/>
              </w:rPr>
              <w:t xml:space="preserve"> [95% ДИ] (%)</w:t>
            </w:r>
          </w:p>
        </w:tc>
      </w:tr>
      <w:tr w:rsidR="00286780" w:rsidRPr="00874414" w:rsidTr="00874414">
        <w:trPr>
          <w:trHeight w:val="227"/>
        </w:trPr>
        <w:tc>
          <w:tcPr>
            <w:tcW w:w="3294" w:type="dxa"/>
            <w:tcBorders>
              <w:top w:val="single" w:sz="4" w:space="0" w:color="000000"/>
              <w:left w:val="single" w:sz="4" w:space="0" w:color="000000"/>
              <w:bottom w:val="single" w:sz="4" w:space="0" w:color="000000"/>
            </w:tcBorders>
            <w:tcMar>
              <w:left w:w="28" w:type="dxa"/>
              <w:right w:w="28" w:type="dxa"/>
            </w:tcMar>
          </w:tcPr>
          <w:p w:rsidR="00286780" w:rsidRPr="00874414" w:rsidRDefault="00286780" w:rsidP="00874414">
            <w:pPr>
              <w:snapToGrid w:val="0"/>
              <w:rPr>
                <w:rFonts w:cs="Calibri"/>
                <w:spacing w:val="-12"/>
                <w:sz w:val="22"/>
                <w:szCs w:val="22"/>
                <w:lang w:eastAsia="ar-SA"/>
              </w:rPr>
            </w:pPr>
            <w:r w:rsidRPr="00874414">
              <w:rPr>
                <w:rFonts w:cs="Calibri"/>
                <w:spacing w:val="-12"/>
                <w:sz w:val="22"/>
                <w:szCs w:val="22"/>
                <w:lang w:eastAsia="ar-SA"/>
              </w:rPr>
              <w:t>Определение признаков некротизирующего воспалительного процесса</w:t>
            </w:r>
          </w:p>
        </w:tc>
        <w:tc>
          <w:tcPr>
            <w:tcW w:w="1275"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12"/>
                <w:sz w:val="22"/>
                <w:szCs w:val="22"/>
                <w:lang w:val="en-US" w:eastAsia="ar-SA"/>
              </w:rPr>
            </w:pPr>
            <w:r w:rsidRPr="00874414">
              <w:rPr>
                <w:rFonts w:cs="Calibri"/>
                <w:spacing w:val="-12"/>
                <w:sz w:val="22"/>
                <w:szCs w:val="22"/>
                <w:lang w:eastAsia="ar-SA"/>
              </w:rPr>
              <w:t>85</w:t>
            </w:r>
            <w:r w:rsidRPr="00874414">
              <w:rPr>
                <w:rFonts w:cs="Calibri"/>
                <w:spacing w:val="-12"/>
                <w:sz w:val="22"/>
                <w:szCs w:val="22"/>
                <w:lang w:eastAsia="ar-SA"/>
              </w:rPr>
              <w:br/>
              <w:t>[70</w:t>
            </w:r>
            <w:r w:rsidRPr="00874414">
              <w:rPr>
                <w:rFonts w:cs="Calibri"/>
                <w:spacing w:val="-12"/>
                <w:sz w:val="22"/>
                <w:szCs w:val="22"/>
                <w:lang w:val="en-US" w:eastAsia="ar-SA"/>
              </w:rPr>
              <w:t>,16;94,29]</w:t>
            </w:r>
          </w:p>
        </w:tc>
        <w:tc>
          <w:tcPr>
            <w:tcW w:w="1276"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12"/>
                <w:sz w:val="22"/>
                <w:szCs w:val="22"/>
                <w:lang w:eastAsia="ar-SA"/>
              </w:rPr>
            </w:pPr>
            <w:r w:rsidRPr="00874414">
              <w:rPr>
                <w:rFonts w:cs="Calibri"/>
                <w:spacing w:val="-12"/>
                <w:sz w:val="22"/>
                <w:szCs w:val="22"/>
                <w:lang w:eastAsia="ar-SA"/>
              </w:rPr>
              <w:t>86,67</w:t>
            </w:r>
            <w:r w:rsidRPr="00874414">
              <w:rPr>
                <w:rFonts w:cs="Calibri"/>
                <w:spacing w:val="-12"/>
                <w:sz w:val="22"/>
                <w:szCs w:val="22"/>
                <w:lang w:eastAsia="ar-SA"/>
              </w:rPr>
              <w:br/>
              <w:t>[73,21; 94,95]</w:t>
            </w:r>
          </w:p>
        </w:tc>
        <w:tc>
          <w:tcPr>
            <w:tcW w:w="1276"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12"/>
                <w:sz w:val="22"/>
                <w:szCs w:val="22"/>
                <w:lang w:eastAsia="ar-SA"/>
              </w:rPr>
            </w:pPr>
            <w:r w:rsidRPr="00874414">
              <w:rPr>
                <w:rFonts w:cs="Calibri"/>
                <w:spacing w:val="-12"/>
                <w:sz w:val="22"/>
                <w:szCs w:val="22"/>
                <w:lang w:eastAsia="ar-SA"/>
              </w:rPr>
              <w:t>85,88</w:t>
            </w:r>
            <w:r w:rsidRPr="00874414">
              <w:rPr>
                <w:rFonts w:cs="Calibri"/>
                <w:spacing w:val="-12"/>
                <w:sz w:val="22"/>
                <w:szCs w:val="22"/>
                <w:lang w:eastAsia="ar-SA"/>
              </w:rPr>
              <w:br/>
              <w:t>[76,64; 92,49]</w:t>
            </w:r>
          </w:p>
        </w:tc>
        <w:tc>
          <w:tcPr>
            <w:tcW w:w="1417"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12"/>
                <w:sz w:val="22"/>
                <w:szCs w:val="22"/>
                <w:lang w:eastAsia="ar-SA"/>
              </w:rPr>
            </w:pPr>
            <w:r w:rsidRPr="00874414">
              <w:rPr>
                <w:rFonts w:cs="Calibri"/>
                <w:spacing w:val="-12"/>
                <w:sz w:val="22"/>
                <w:szCs w:val="22"/>
                <w:lang w:eastAsia="ar-SA"/>
              </w:rPr>
              <w:t>85</w:t>
            </w:r>
            <w:r w:rsidRPr="00874414">
              <w:rPr>
                <w:rFonts w:cs="Calibri"/>
                <w:spacing w:val="-12"/>
                <w:sz w:val="22"/>
                <w:szCs w:val="22"/>
                <w:lang w:eastAsia="ar-SA"/>
              </w:rPr>
              <w:br/>
              <w:t>[72,68; 92,35]</w:t>
            </w:r>
          </w:p>
        </w:tc>
        <w:tc>
          <w:tcPr>
            <w:tcW w:w="138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74414" w:rsidRDefault="00286780" w:rsidP="00874414">
            <w:pPr>
              <w:snapToGrid w:val="0"/>
              <w:jc w:val="center"/>
              <w:rPr>
                <w:rFonts w:cs="Calibri"/>
                <w:spacing w:val="-12"/>
                <w:sz w:val="22"/>
                <w:szCs w:val="22"/>
                <w:lang w:eastAsia="ar-SA"/>
              </w:rPr>
            </w:pPr>
            <w:r w:rsidRPr="00874414">
              <w:rPr>
                <w:rFonts w:cs="Calibri"/>
                <w:spacing w:val="-12"/>
                <w:sz w:val="22"/>
                <w:szCs w:val="22"/>
                <w:lang w:eastAsia="ar-SA"/>
              </w:rPr>
              <w:t>86,67</w:t>
            </w:r>
            <w:r w:rsidRPr="00874414">
              <w:rPr>
                <w:rFonts w:cs="Calibri"/>
                <w:spacing w:val="-12"/>
                <w:sz w:val="22"/>
                <w:szCs w:val="22"/>
                <w:lang w:eastAsia="ar-SA"/>
              </w:rPr>
              <w:br/>
              <w:t>[75,5; 93,2]</w:t>
            </w:r>
          </w:p>
        </w:tc>
      </w:tr>
      <w:tr w:rsidR="00286780" w:rsidRPr="00874414" w:rsidTr="00874414">
        <w:trPr>
          <w:trHeight w:val="227"/>
        </w:trPr>
        <w:tc>
          <w:tcPr>
            <w:tcW w:w="3294" w:type="dxa"/>
            <w:tcBorders>
              <w:top w:val="single" w:sz="4" w:space="0" w:color="000000"/>
              <w:left w:val="single" w:sz="4" w:space="0" w:color="000000"/>
              <w:bottom w:val="single" w:sz="4" w:space="0" w:color="000000"/>
            </w:tcBorders>
            <w:tcMar>
              <w:left w:w="28" w:type="dxa"/>
              <w:right w:w="28" w:type="dxa"/>
            </w:tcMar>
          </w:tcPr>
          <w:p w:rsidR="00286780" w:rsidRPr="00874414" w:rsidRDefault="00286780" w:rsidP="00874414">
            <w:pPr>
              <w:snapToGrid w:val="0"/>
              <w:rPr>
                <w:rFonts w:cs="Calibri"/>
                <w:spacing w:val="-12"/>
                <w:sz w:val="22"/>
                <w:szCs w:val="22"/>
                <w:lang w:eastAsia="ar-SA"/>
              </w:rPr>
            </w:pPr>
            <w:r w:rsidRPr="00874414">
              <w:rPr>
                <w:rFonts w:cs="Calibri"/>
                <w:spacing w:val="-12"/>
                <w:sz w:val="22"/>
                <w:szCs w:val="22"/>
                <w:lang w:eastAsia="ar-SA"/>
              </w:rPr>
              <w:t>Определение количества вовлеченных топографоанатомических областей</w:t>
            </w:r>
          </w:p>
        </w:tc>
        <w:tc>
          <w:tcPr>
            <w:tcW w:w="1275"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12"/>
                <w:sz w:val="22"/>
                <w:szCs w:val="22"/>
                <w:lang w:eastAsia="ar-SA"/>
              </w:rPr>
            </w:pPr>
            <w:r w:rsidRPr="00874414">
              <w:rPr>
                <w:rFonts w:cs="Calibri"/>
                <w:spacing w:val="-12"/>
                <w:sz w:val="22"/>
                <w:szCs w:val="22"/>
                <w:lang w:eastAsia="ar-SA"/>
              </w:rPr>
              <w:t>95</w:t>
            </w:r>
            <w:r w:rsidRPr="00874414">
              <w:rPr>
                <w:rFonts w:cs="Calibri"/>
                <w:spacing w:val="-12"/>
                <w:sz w:val="22"/>
                <w:szCs w:val="22"/>
                <w:lang w:eastAsia="ar-SA"/>
              </w:rPr>
              <w:br/>
              <w:t>[83,08; 99,39]</w:t>
            </w:r>
          </w:p>
        </w:tc>
        <w:tc>
          <w:tcPr>
            <w:tcW w:w="1276"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12"/>
                <w:sz w:val="22"/>
                <w:szCs w:val="22"/>
                <w:lang w:eastAsia="ar-SA"/>
              </w:rPr>
            </w:pPr>
            <w:r w:rsidRPr="00874414">
              <w:rPr>
                <w:rFonts w:cs="Calibri"/>
                <w:spacing w:val="-12"/>
                <w:sz w:val="22"/>
                <w:szCs w:val="22"/>
                <w:lang w:eastAsia="ar-SA"/>
              </w:rPr>
              <w:t>95,56</w:t>
            </w:r>
            <w:r w:rsidRPr="00874414">
              <w:rPr>
                <w:rFonts w:cs="Calibri"/>
                <w:spacing w:val="-12"/>
                <w:sz w:val="22"/>
                <w:szCs w:val="22"/>
                <w:lang w:eastAsia="ar-SA"/>
              </w:rPr>
              <w:br/>
              <w:t>[84,85; 99,46]</w:t>
            </w:r>
          </w:p>
        </w:tc>
        <w:tc>
          <w:tcPr>
            <w:tcW w:w="1276"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12"/>
                <w:sz w:val="22"/>
                <w:szCs w:val="22"/>
                <w:lang w:eastAsia="ar-SA"/>
              </w:rPr>
            </w:pPr>
            <w:r w:rsidRPr="00874414">
              <w:rPr>
                <w:rFonts w:cs="Calibri"/>
                <w:spacing w:val="-12"/>
                <w:sz w:val="22"/>
                <w:szCs w:val="22"/>
                <w:lang w:eastAsia="ar-SA"/>
              </w:rPr>
              <w:t>95,29</w:t>
            </w:r>
            <w:r w:rsidRPr="00874414">
              <w:rPr>
                <w:rFonts w:cs="Calibri"/>
                <w:spacing w:val="-12"/>
                <w:sz w:val="22"/>
                <w:szCs w:val="22"/>
                <w:lang w:eastAsia="ar-SA"/>
              </w:rPr>
              <w:br/>
              <w:t>[88,39; 98,7]</w:t>
            </w:r>
          </w:p>
        </w:tc>
        <w:tc>
          <w:tcPr>
            <w:tcW w:w="1417"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12"/>
                <w:sz w:val="22"/>
                <w:szCs w:val="22"/>
                <w:lang w:eastAsia="ar-SA"/>
              </w:rPr>
            </w:pPr>
            <w:r w:rsidRPr="00874414">
              <w:rPr>
                <w:rFonts w:cs="Calibri"/>
                <w:spacing w:val="-12"/>
                <w:sz w:val="22"/>
                <w:szCs w:val="22"/>
                <w:lang w:eastAsia="ar-SA"/>
              </w:rPr>
              <w:t>95</w:t>
            </w:r>
            <w:r w:rsidRPr="00874414">
              <w:rPr>
                <w:rFonts w:cs="Calibri"/>
                <w:spacing w:val="-12"/>
                <w:sz w:val="22"/>
                <w:szCs w:val="22"/>
                <w:lang w:eastAsia="ar-SA"/>
              </w:rPr>
              <w:br/>
              <w:t>[83,03; 98,66]</w:t>
            </w:r>
          </w:p>
        </w:tc>
        <w:tc>
          <w:tcPr>
            <w:tcW w:w="138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74414" w:rsidRDefault="00286780" w:rsidP="00874414">
            <w:pPr>
              <w:snapToGrid w:val="0"/>
              <w:jc w:val="center"/>
              <w:rPr>
                <w:rFonts w:cs="Calibri"/>
                <w:spacing w:val="-12"/>
                <w:sz w:val="22"/>
                <w:szCs w:val="22"/>
                <w:lang w:eastAsia="ar-SA"/>
              </w:rPr>
            </w:pPr>
            <w:r w:rsidRPr="00874414">
              <w:rPr>
                <w:rFonts w:cs="Calibri"/>
                <w:spacing w:val="-12"/>
                <w:sz w:val="22"/>
                <w:szCs w:val="22"/>
                <w:lang w:eastAsia="ar-SA"/>
              </w:rPr>
              <w:t>95,56</w:t>
            </w:r>
            <w:r w:rsidRPr="00874414">
              <w:rPr>
                <w:rFonts w:cs="Calibri"/>
                <w:spacing w:val="-12"/>
                <w:sz w:val="22"/>
                <w:szCs w:val="22"/>
                <w:lang w:eastAsia="ar-SA"/>
              </w:rPr>
              <w:br/>
              <w:t>[84,76; 98,81]</w:t>
            </w:r>
          </w:p>
        </w:tc>
      </w:tr>
      <w:tr w:rsidR="00286780" w:rsidRPr="00874414" w:rsidTr="00874414">
        <w:trPr>
          <w:trHeight w:val="227"/>
        </w:trPr>
        <w:tc>
          <w:tcPr>
            <w:tcW w:w="3294" w:type="dxa"/>
            <w:tcBorders>
              <w:top w:val="single" w:sz="4" w:space="0" w:color="000000"/>
              <w:left w:val="single" w:sz="4" w:space="0" w:color="000000"/>
              <w:bottom w:val="single" w:sz="4" w:space="0" w:color="000000"/>
            </w:tcBorders>
            <w:tcMar>
              <w:left w:w="28" w:type="dxa"/>
              <w:right w:w="28" w:type="dxa"/>
            </w:tcMar>
          </w:tcPr>
          <w:p w:rsidR="00286780" w:rsidRPr="00874414" w:rsidRDefault="00286780" w:rsidP="00874414">
            <w:pPr>
              <w:snapToGrid w:val="0"/>
              <w:rPr>
                <w:rFonts w:cs="Calibri"/>
                <w:spacing w:val="-12"/>
                <w:sz w:val="22"/>
                <w:szCs w:val="22"/>
                <w:lang w:eastAsia="ar-SA"/>
              </w:rPr>
            </w:pPr>
            <w:r w:rsidRPr="00874414">
              <w:rPr>
                <w:rFonts w:cs="Calibri"/>
                <w:spacing w:val="-12"/>
                <w:sz w:val="22"/>
                <w:szCs w:val="22"/>
                <w:lang w:eastAsia="ar-SA"/>
              </w:rPr>
              <w:t>Совмещение определения некротизирующего компонента и количества вовлеченных топографоанатомических областей</w:t>
            </w:r>
          </w:p>
        </w:tc>
        <w:tc>
          <w:tcPr>
            <w:tcW w:w="1275"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12"/>
                <w:sz w:val="22"/>
                <w:szCs w:val="22"/>
                <w:lang w:eastAsia="ar-SA"/>
              </w:rPr>
            </w:pPr>
            <w:r w:rsidRPr="00874414">
              <w:rPr>
                <w:rFonts w:cs="Calibri"/>
                <w:spacing w:val="-12"/>
                <w:sz w:val="22"/>
                <w:szCs w:val="22"/>
                <w:lang w:eastAsia="ar-SA"/>
              </w:rPr>
              <w:t>95</w:t>
            </w:r>
            <w:r w:rsidRPr="00874414">
              <w:rPr>
                <w:rFonts w:cs="Calibri"/>
                <w:spacing w:val="-12"/>
                <w:sz w:val="22"/>
                <w:szCs w:val="22"/>
                <w:lang w:eastAsia="ar-SA"/>
              </w:rPr>
              <w:br/>
              <w:t>[83,08; 99,39]</w:t>
            </w:r>
          </w:p>
        </w:tc>
        <w:tc>
          <w:tcPr>
            <w:tcW w:w="1276"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12"/>
                <w:sz w:val="22"/>
                <w:szCs w:val="22"/>
                <w:lang w:eastAsia="ar-SA"/>
              </w:rPr>
            </w:pPr>
            <w:r w:rsidRPr="00874414">
              <w:rPr>
                <w:rFonts w:cs="Calibri"/>
                <w:spacing w:val="-12"/>
                <w:sz w:val="22"/>
                <w:szCs w:val="22"/>
                <w:lang w:eastAsia="ar-SA"/>
              </w:rPr>
              <w:t>97,78</w:t>
            </w:r>
            <w:r w:rsidRPr="00874414">
              <w:rPr>
                <w:rFonts w:cs="Calibri"/>
                <w:spacing w:val="-12"/>
                <w:sz w:val="22"/>
                <w:szCs w:val="22"/>
                <w:lang w:eastAsia="ar-SA"/>
              </w:rPr>
              <w:br/>
              <w:t>[88,23; 99,94]</w:t>
            </w:r>
          </w:p>
        </w:tc>
        <w:tc>
          <w:tcPr>
            <w:tcW w:w="1276"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12"/>
                <w:sz w:val="22"/>
                <w:szCs w:val="22"/>
                <w:lang w:eastAsia="ar-SA"/>
              </w:rPr>
            </w:pPr>
            <w:r w:rsidRPr="00874414">
              <w:rPr>
                <w:rFonts w:cs="Calibri"/>
                <w:spacing w:val="-12"/>
                <w:sz w:val="22"/>
                <w:szCs w:val="22"/>
                <w:lang w:eastAsia="ar-SA"/>
              </w:rPr>
              <w:t>96,47</w:t>
            </w:r>
            <w:r w:rsidRPr="00874414">
              <w:rPr>
                <w:rFonts w:cs="Calibri"/>
                <w:spacing w:val="-12"/>
                <w:sz w:val="22"/>
                <w:szCs w:val="22"/>
                <w:lang w:eastAsia="ar-SA"/>
              </w:rPr>
              <w:br/>
              <w:t>[90,03; 99,27]</w:t>
            </w:r>
          </w:p>
        </w:tc>
        <w:tc>
          <w:tcPr>
            <w:tcW w:w="1417" w:type="dxa"/>
            <w:tcBorders>
              <w:top w:val="single" w:sz="4" w:space="0" w:color="000000"/>
              <w:left w:val="single" w:sz="4" w:space="0" w:color="000000"/>
              <w:bottom w:val="single" w:sz="4" w:space="0" w:color="000000"/>
            </w:tcBorders>
            <w:tcMar>
              <w:left w:w="28" w:type="dxa"/>
              <w:right w:w="28" w:type="dxa"/>
            </w:tcMar>
            <w:vAlign w:val="center"/>
          </w:tcPr>
          <w:p w:rsidR="00286780" w:rsidRPr="00874414" w:rsidRDefault="00286780" w:rsidP="00874414">
            <w:pPr>
              <w:snapToGrid w:val="0"/>
              <w:jc w:val="center"/>
              <w:rPr>
                <w:rFonts w:cs="Calibri"/>
                <w:spacing w:val="-12"/>
                <w:sz w:val="22"/>
                <w:szCs w:val="22"/>
                <w:lang w:eastAsia="ar-SA"/>
              </w:rPr>
            </w:pPr>
            <w:r w:rsidRPr="00874414">
              <w:rPr>
                <w:rFonts w:cs="Calibri"/>
                <w:spacing w:val="-12"/>
                <w:sz w:val="22"/>
                <w:szCs w:val="22"/>
                <w:lang w:eastAsia="ar-SA"/>
              </w:rPr>
              <w:t>97,44</w:t>
            </w:r>
            <w:r w:rsidRPr="00874414">
              <w:rPr>
                <w:rFonts w:cs="Calibri"/>
                <w:spacing w:val="-12"/>
                <w:sz w:val="22"/>
                <w:szCs w:val="22"/>
                <w:lang w:eastAsia="ar-SA"/>
              </w:rPr>
              <w:br/>
              <w:t>[84,53; 99,62]</w:t>
            </w:r>
          </w:p>
        </w:tc>
        <w:tc>
          <w:tcPr>
            <w:tcW w:w="138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874414" w:rsidRDefault="00286780" w:rsidP="00874414">
            <w:pPr>
              <w:snapToGrid w:val="0"/>
              <w:jc w:val="center"/>
              <w:rPr>
                <w:rFonts w:cs="Calibri"/>
                <w:spacing w:val="-12"/>
                <w:sz w:val="22"/>
                <w:szCs w:val="22"/>
                <w:lang w:eastAsia="ar-SA"/>
              </w:rPr>
            </w:pPr>
            <w:r w:rsidRPr="00874414">
              <w:rPr>
                <w:rFonts w:cs="Calibri"/>
                <w:spacing w:val="-12"/>
                <w:sz w:val="22"/>
                <w:szCs w:val="22"/>
                <w:lang w:eastAsia="ar-SA"/>
              </w:rPr>
              <w:t>95,65</w:t>
            </w:r>
            <w:r w:rsidRPr="00874414">
              <w:rPr>
                <w:rFonts w:cs="Calibri"/>
                <w:spacing w:val="-12"/>
                <w:sz w:val="22"/>
                <w:szCs w:val="22"/>
                <w:lang w:eastAsia="ar-SA"/>
              </w:rPr>
              <w:br/>
              <w:t>[85,06; 98,84]</w:t>
            </w:r>
          </w:p>
        </w:tc>
      </w:tr>
      <w:tr w:rsidR="00286780" w:rsidRPr="00874414" w:rsidTr="00874414">
        <w:trPr>
          <w:trHeight w:val="227"/>
        </w:trPr>
        <w:tc>
          <w:tcPr>
            <w:tcW w:w="9923" w:type="dxa"/>
            <w:gridSpan w:val="6"/>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874414" w:rsidRDefault="00286780" w:rsidP="00874414">
            <w:pPr>
              <w:jc w:val="both"/>
              <w:rPr>
                <w:rFonts w:cs="Calibri"/>
                <w:spacing w:val="-12"/>
                <w:sz w:val="22"/>
                <w:szCs w:val="22"/>
                <w:lang w:eastAsia="ar-SA"/>
              </w:rPr>
            </w:pPr>
            <w:r w:rsidRPr="00874414">
              <w:rPr>
                <w:rFonts w:cs="Calibri"/>
                <w:i/>
                <w:spacing w:val="-12"/>
                <w:sz w:val="22"/>
                <w:szCs w:val="22"/>
                <w:lang w:eastAsia="ar-SA"/>
              </w:rPr>
              <w:t>Примечание</w:t>
            </w:r>
            <w:r w:rsidRPr="00874414">
              <w:rPr>
                <w:rFonts w:cs="Calibri"/>
                <w:spacing w:val="-12"/>
                <w:sz w:val="22"/>
                <w:szCs w:val="22"/>
                <w:lang w:eastAsia="ar-SA"/>
              </w:rPr>
              <w:t xml:space="preserve">. </w:t>
            </w:r>
            <w:r w:rsidRPr="00874414">
              <w:rPr>
                <w:rFonts w:cs="Calibri"/>
                <w:spacing w:val="-12"/>
                <w:sz w:val="22"/>
                <w:szCs w:val="22"/>
                <w:lang w:val="en-US" w:eastAsia="ar-SA"/>
              </w:rPr>
              <w:t>Se</w:t>
            </w:r>
            <w:r w:rsidRPr="00874414">
              <w:rPr>
                <w:rFonts w:cs="Calibri"/>
                <w:spacing w:val="-12"/>
                <w:sz w:val="22"/>
                <w:szCs w:val="22"/>
                <w:lang w:eastAsia="ar-SA"/>
              </w:rPr>
              <w:t xml:space="preserve"> – чувствительность, </w:t>
            </w:r>
            <w:r w:rsidRPr="00874414">
              <w:rPr>
                <w:rFonts w:cs="Calibri"/>
                <w:spacing w:val="-12"/>
                <w:sz w:val="22"/>
                <w:szCs w:val="22"/>
                <w:lang w:val="en-US" w:eastAsia="ar-SA"/>
              </w:rPr>
              <w:t>Sp</w:t>
            </w:r>
            <w:r w:rsidRPr="00874414">
              <w:rPr>
                <w:rFonts w:cs="Calibri"/>
                <w:spacing w:val="-12"/>
                <w:sz w:val="22"/>
                <w:szCs w:val="22"/>
                <w:lang w:eastAsia="ar-SA"/>
              </w:rPr>
              <w:t xml:space="preserve">– специфичность, Ас – точность, </w:t>
            </w:r>
            <w:r w:rsidRPr="00874414">
              <w:rPr>
                <w:rFonts w:cs="Calibri"/>
                <w:spacing w:val="-12"/>
                <w:sz w:val="22"/>
                <w:szCs w:val="22"/>
                <w:lang w:val="en-US" w:eastAsia="ar-SA"/>
              </w:rPr>
              <w:t>PPV</w:t>
            </w:r>
            <w:r w:rsidRPr="00874414">
              <w:rPr>
                <w:rFonts w:cs="Calibri"/>
                <w:spacing w:val="-12"/>
                <w:sz w:val="22"/>
                <w:szCs w:val="22"/>
                <w:lang w:eastAsia="ar-SA"/>
              </w:rPr>
              <w:t xml:space="preserve"> – прогностичность положительного результата, </w:t>
            </w:r>
            <w:r w:rsidRPr="00874414">
              <w:rPr>
                <w:rFonts w:cs="Calibri"/>
                <w:spacing w:val="-12"/>
                <w:sz w:val="22"/>
                <w:szCs w:val="22"/>
                <w:lang w:val="en-US" w:eastAsia="ar-SA"/>
              </w:rPr>
              <w:t>NPV</w:t>
            </w:r>
            <w:r w:rsidRPr="00874414">
              <w:rPr>
                <w:rFonts w:cs="Calibri"/>
                <w:spacing w:val="-12"/>
                <w:sz w:val="22"/>
                <w:szCs w:val="22"/>
                <w:lang w:eastAsia="ar-SA"/>
              </w:rPr>
              <w:t xml:space="preserve"> – прогностичность отрицательного результата; [95% ДИ] – 95%-й доверительный интервал</w:t>
            </w:r>
          </w:p>
        </w:tc>
      </w:tr>
    </w:tbl>
    <w:p w:rsidR="00E225A2" w:rsidRDefault="00E225A2" w:rsidP="00874414">
      <w:pPr>
        <w:spacing w:line="360" w:lineRule="auto"/>
        <w:ind w:firstLine="709"/>
        <w:jc w:val="both"/>
        <w:rPr>
          <w:rFonts w:cs="Calibri"/>
          <w:sz w:val="28"/>
          <w:szCs w:val="28"/>
          <w:lang w:eastAsia="ar-SA"/>
        </w:rPr>
      </w:pPr>
    </w:p>
    <w:p w:rsidR="00286780" w:rsidRPr="00874414" w:rsidRDefault="00286780" w:rsidP="00874414">
      <w:pPr>
        <w:spacing w:line="360" w:lineRule="auto"/>
        <w:ind w:firstLine="709"/>
        <w:jc w:val="both"/>
        <w:rPr>
          <w:rFonts w:cs="Calibri"/>
          <w:sz w:val="28"/>
          <w:szCs w:val="28"/>
          <w:lang w:eastAsia="ar-SA"/>
        </w:rPr>
      </w:pPr>
      <w:r w:rsidRPr="00874414">
        <w:rPr>
          <w:rFonts w:cs="Calibri"/>
          <w:sz w:val="28"/>
          <w:szCs w:val="28"/>
          <w:lang w:eastAsia="ar-SA"/>
        </w:rPr>
        <w:t>В данном случае существенное значение имеет наличие большого массива некротизированных тканей, т. е. не менее четырех топографоанатомических областей челюстно-лицевой области и шеи, поэтому наличие гнилостно-некротического типа острого воспалительного процесса должен применяться только в сочетании с определением количества вовлеченных топографоанатомических областей для минимизации гипердиагностики.</w:t>
      </w:r>
    </w:p>
    <w:p w:rsidR="00286780" w:rsidRPr="00874414" w:rsidRDefault="00286780" w:rsidP="00874414">
      <w:pPr>
        <w:spacing w:line="360" w:lineRule="auto"/>
        <w:ind w:firstLine="709"/>
        <w:jc w:val="both"/>
        <w:rPr>
          <w:rFonts w:cs="Calibri"/>
          <w:sz w:val="28"/>
          <w:szCs w:val="28"/>
          <w:lang w:eastAsia="ar-SA"/>
        </w:rPr>
      </w:pPr>
      <w:r w:rsidRPr="00874414">
        <w:rPr>
          <w:rFonts w:cs="Calibri"/>
          <w:sz w:val="28"/>
          <w:szCs w:val="28"/>
          <w:lang w:eastAsia="ar-SA"/>
        </w:rPr>
        <w:t>Отсутствие некротизирующего поражения тканей может являться признаком низкой вероятности развития сепсиса в сочетании с оценкой функционального состояния органных систем (за исключением газового состава артериальной крови), определение количества вовлеченных пространств в этом случае считаем необязательным.</w:t>
      </w:r>
    </w:p>
    <w:p w:rsidR="00286780" w:rsidRPr="00874414" w:rsidRDefault="00286780" w:rsidP="00874414">
      <w:pPr>
        <w:spacing w:line="360" w:lineRule="auto"/>
        <w:ind w:firstLine="709"/>
        <w:jc w:val="both"/>
        <w:rPr>
          <w:rFonts w:cs="Calibri"/>
          <w:sz w:val="28"/>
          <w:szCs w:val="28"/>
          <w:lang w:eastAsia="ar-SA"/>
        </w:rPr>
      </w:pPr>
      <w:r w:rsidRPr="00874414">
        <w:rPr>
          <w:rFonts w:cs="Calibri"/>
          <w:sz w:val="28"/>
          <w:szCs w:val="28"/>
          <w:lang w:eastAsia="ar-SA"/>
        </w:rPr>
        <w:t xml:space="preserve">Совмещение определения некротизирующего поражения тканей с последующим подсчетом количества пораженных топографоанатомических областей (в случае наличия некротизирующего компонента) несколько увеличивает эффективность алгоритма по показателям </w:t>
      </w:r>
      <w:r w:rsidRPr="00874414">
        <w:rPr>
          <w:rFonts w:cs="Calibri"/>
          <w:sz w:val="28"/>
          <w:szCs w:val="28"/>
          <w:lang w:val="en-US" w:eastAsia="ar-SA"/>
        </w:rPr>
        <w:t>Sp</w:t>
      </w:r>
      <w:r w:rsidRPr="00874414">
        <w:rPr>
          <w:rFonts w:cs="Calibri"/>
          <w:sz w:val="28"/>
          <w:szCs w:val="28"/>
          <w:lang w:eastAsia="ar-SA"/>
        </w:rPr>
        <w:t xml:space="preserve">, Ас и </w:t>
      </w:r>
      <w:r w:rsidRPr="00874414">
        <w:rPr>
          <w:rFonts w:cs="Calibri"/>
          <w:sz w:val="28"/>
          <w:szCs w:val="28"/>
          <w:lang w:val="en-US" w:eastAsia="ar-SA"/>
        </w:rPr>
        <w:t>PPV</w:t>
      </w:r>
      <w:r>
        <w:rPr>
          <w:rFonts w:cs="Calibri"/>
          <w:sz w:val="28"/>
          <w:szCs w:val="28"/>
          <w:lang w:eastAsia="ar-SA"/>
        </w:rPr>
        <w:t xml:space="preserve"> (Таблица 63</w:t>
      </w:r>
      <w:r w:rsidRPr="00874414">
        <w:rPr>
          <w:rFonts w:cs="Calibri"/>
          <w:sz w:val="28"/>
          <w:szCs w:val="28"/>
          <w:lang w:eastAsia="ar-SA"/>
        </w:rPr>
        <w:t>).</w:t>
      </w:r>
    </w:p>
    <w:p w:rsidR="00286780" w:rsidRPr="00E225A2" w:rsidRDefault="00286780" w:rsidP="00E225A2">
      <w:pPr>
        <w:spacing w:line="360" w:lineRule="auto"/>
        <w:ind w:firstLine="709"/>
        <w:jc w:val="both"/>
        <w:rPr>
          <w:rFonts w:cs="Calibri"/>
          <w:sz w:val="28"/>
          <w:szCs w:val="28"/>
          <w:lang w:eastAsia="ar-SA"/>
        </w:rPr>
      </w:pPr>
      <w:r w:rsidRPr="00874414">
        <w:rPr>
          <w:rFonts w:cs="Calibri"/>
          <w:sz w:val="28"/>
          <w:szCs w:val="28"/>
          <w:lang w:eastAsia="ar-SA"/>
        </w:rPr>
        <w:lastRenderedPageBreak/>
        <w:t xml:space="preserve">С учетом проведенных исследований разработан алгоритм </w:t>
      </w:r>
      <w:r>
        <w:rPr>
          <w:rFonts w:cs="Calibri"/>
          <w:sz w:val="28"/>
          <w:szCs w:val="28"/>
          <w:lang w:eastAsia="ar-SA"/>
        </w:rPr>
        <w:t xml:space="preserve">ранней </w:t>
      </w:r>
      <w:r w:rsidRPr="00874414">
        <w:rPr>
          <w:rFonts w:cs="Calibri"/>
          <w:sz w:val="28"/>
          <w:szCs w:val="28"/>
          <w:lang w:eastAsia="ar-SA"/>
        </w:rPr>
        <w:t>диагностики од</w:t>
      </w:r>
      <w:r>
        <w:rPr>
          <w:rFonts w:cs="Calibri"/>
          <w:sz w:val="28"/>
          <w:szCs w:val="28"/>
          <w:lang w:eastAsia="ar-SA"/>
        </w:rPr>
        <w:t>онтогенного сепсиса (Рисунок 12</w:t>
      </w:r>
      <w:r w:rsidRPr="00874414">
        <w:rPr>
          <w:rFonts w:cs="Calibri"/>
          <w:sz w:val="28"/>
          <w:szCs w:val="28"/>
          <w:lang w:eastAsia="ar-SA"/>
        </w:rPr>
        <w:t>).</w:t>
      </w:r>
    </w:p>
    <w:p w:rsidR="00286780" w:rsidRDefault="00AE516C" w:rsidP="00CE6523">
      <w:pPr>
        <w:jc w:val="center"/>
        <w:rPr>
          <w:sz w:val="28"/>
          <w:szCs w:val="28"/>
          <w:lang w:eastAsia="en-US"/>
        </w:rPr>
      </w:pPr>
      <w:r>
        <w:rPr>
          <w:noProof/>
        </w:rPr>
        <w:pict>
          <v:shapetype id="_x0000_t202" coordsize="21600,21600" o:spt="202" path="m,l,21600r21600,l21600,xe">
            <v:stroke joinstyle="miter"/>
            <v:path gradientshapeok="t" o:connecttype="rect"/>
          </v:shapetype>
          <v:shape id="_x0000_s1029" type="#_x0000_t202" style="position:absolute;left:0;text-align:left;margin-left:0;margin-top:76.05pt;width:149.45pt;height:95.25pt;z-index:3;mso-wrap-distance-left:9.05pt;mso-wrap-distance-right:9.05pt" strokeweight=".5pt">
            <v:fill color2="black"/>
            <v:textbox style="mso-next-textbox:#_x0000_s1029" inset="7.45pt,3.85pt,7.45pt,3.85pt">
              <w:txbxContent>
                <w:p w:rsidR="00AE516C" w:rsidRDefault="00AE516C" w:rsidP="006C0279">
                  <w:pPr>
                    <w:jc w:val="center"/>
                    <w:rPr>
                      <w:sz w:val="28"/>
                      <w:szCs w:val="28"/>
                    </w:rPr>
                  </w:pPr>
                  <w:r>
                    <w:rPr>
                      <w:sz w:val="28"/>
                      <w:szCs w:val="28"/>
                    </w:rPr>
                    <w:t xml:space="preserve">Оценка по шкале </w:t>
                  </w:r>
                  <w:r>
                    <w:rPr>
                      <w:sz w:val="28"/>
                      <w:szCs w:val="28"/>
                      <w:lang w:val="en-US"/>
                    </w:rPr>
                    <w:t>SOFA</w:t>
                  </w:r>
                  <w:r>
                    <w:rPr>
                      <w:sz w:val="28"/>
                      <w:szCs w:val="28"/>
                    </w:rPr>
                    <w:t xml:space="preserve"> без определения газового состава артериальной крови, </w:t>
                  </w:r>
                  <w:r>
                    <w:rPr>
                      <w:sz w:val="28"/>
                      <w:szCs w:val="28"/>
                      <w:lang w:val="en-US"/>
                    </w:rPr>
                    <w:t>n</w:t>
                  </w:r>
                  <w:r>
                    <w:rPr>
                      <w:sz w:val="28"/>
                      <w:szCs w:val="28"/>
                    </w:rPr>
                    <w:t xml:space="preserve"> баллов</w:t>
                  </w:r>
                </w:p>
              </w:txbxContent>
            </v:textbox>
          </v:shape>
        </w:pict>
      </w:r>
      <w:r>
        <w:rPr>
          <w:sz w:val="28"/>
          <w:szCs w:val="28"/>
          <w:lang w:eastAsia="en-US"/>
        </w:rPr>
      </w:r>
      <w:r>
        <w:rPr>
          <w:sz w:val="28"/>
          <w:szCs w:val="28"/>
          <w:lang w:eastAsia="en-US"/>
        </w:rPr>
        <w:pict>
          <v:group id="_x0000_s1030" style="width:480.3pt;height:340.05pt;mso-wrap-distance-left:0;mso-wrap-distance-right:0;mso-position-horizontal-relative:char;mso-position-vertical-relative:line" coordsize="10118,7378">
            <o:lock v:ext="edit" text="t"/>
            <v:rect id="_x0000_s1031" style="position:absolute;width:10118;height:7378;mso-wrap-style:none;v-text-anchor:middle" filled="f" stroked="f">
              <v:stroke joinstyle="round"/>
            </v:rect>
            <v:shape id="_x0000_s1032" type="#_x0000_t202" style="position:absolute;left:1758;top:538;width:5830;height:898" strokeweight=".26mm">
              <v:fill color2="black"/>
              <v:textbox style="mso-next-textbox:#_x0000_s1032;mso-rotate-with-shape:t">
                <w:txbxContent>
                  <w:p w:rsidR="00AE516C" w:rsidRDefault="00AE516C" w:rsidP="006C0279">
                    <w:pPr>
                      <w:jc w:val="center"/>
                      <w:rPr>
                        <w:sz w:val="28"/>
                        <w:szCs w:val="28"/>
                      </w:rPr>
                    </w:pPr>
                    <w:r>
                      <w:rPr>
                        <w:sz w:val="28"/>
                        <w:szCs w:val="28"/>
                      </w:rPr>
                      <w:t>Пациент с одонтогенным инфекционным процессом</w:t>
                    </w:r>
                  </w:p>
                </w:txbxContent>
              </v:textbox>
            </v:shape>
            <v:line id="_x0000_s1033" style="position:absolute;flip:x" from="3078,1439" to="5276,1799" strokeweight=".26mm">
              <v:stroke endarrow="block" joinstyle="miter"/>
            </v:line>
            <v:shape id="_x0000_s1034" type="#_x0000_t202" style="position:absolute;left:5279;top:1799;width:4731;height:1079" strokeweight=".26mm">
              <v:fill color2="black"/>
              <v:textbox style="mso-next-textbox:#_x0000_s1034;mso-rotate-with-shape:t">
                <w:txbxContent>
                  <w:p w:rsidR="00AE516C" w:rsidRDefault="00AE516C" w:rsidP="006C0279">
                    <w:pPr>
                      <w:jc w:val="center"/>
                      <w:rPr>
                        <w:sz w:val="28"/>
                        <w:szCs w:val="28"/>
                      </w:rPr>
                    </w:pPr>
                    <w:r>
                      <w:rPr>
                        <w:sz w:val="28"/>
                        <w:szCs w:val="28"/>
                      </w:rPr>
                      <w:t>Гнилостно-некротический (некротизирующий) компонент</w:t>
                    </w:r>
                  </w:p>
                </w:txbxContent>
              </v:textbox>
            </v:shape>
            <v:line id="_x0000_s1035" style="position:absolute" from="5279,1439" to="7368,1797" strokeweight=".26mm">
              <v:stroke endarrow="block" joinstyle="miter"/>
            </v:line>
            <v:shape id="_x0000_s1036" type="#_x0000_t202" style="position:absolute;left:3078;top:3105;width:3848;height:1213" strokeweight=".26mm">
              <v:fill color2="black"/>
              <v:textbox style="mso-next-textbox:#_x0000_s1036;mso-rotate-with-shape:t">
                <w:txbxContent>
                  <w:p w:rsidR="00AE516C" w:rsidRDefault="00AE516C" w:rsidP="006C0279">
                    <w:pPr>
                      <w:jc w:val="center"/>
                      <w:rPr>
                        <w:sz w:val="28"/>
                        <w:szCs w:val="28"/>
                        <w:lang w:val="en-US"/>
                      </w:rPr>
                    </w:pPr>
                    <w:r>
                      <w:rPr>
                        <w:sz w:val="28"/>
                        <w:szCs w:val="28"/>
                      </w:rPr>
                      <w:t xml:space="preserve">Количество вовлеченных топографоанатомических областей, </w:t>
                    </w:r>
                    <w:r>
                      <w:rPr>
                        <w:sz w:val="28"/>
                        <w:szCs w:val="28"/>
                        <w:lang w:val="en-US"/>
                      </w:rPr>
                      <w:t>n</w:t>
                    </w:r>
                  </w:p>
                </w:txbxContent>
              </v:textbox>
            </v:shape>
            <v:line id="_x0000_s1037" style="position:absolute;flip:x" from="7919,2880" to="7919,4138" strokeweight=".26mm">
              <v:stroke endarrow="block" joinstyle="miter"/>
            </v:line>
            <v:line id="_x0000_s1038" style="position:absolute" from="7920,2880" to="9018,3238" strokeweight=".26mm">
              <v:stroke endarrow="block" joinstyle="miter"/>
            </v:line>
            <v:shape id="_x0000_s1039" type="#_x0000_t202" style="position:absolute;left:7698;top:4138;width:2088;height:538" strokeweight=".26mm">
              <v:fill color2="black"/>
              <v:textbox style="mso-next-textbox:#_x0000_s1039;mso-rotate-with-shape:t">
                <w:txbxContent>
                  <w:p w:rsidR="00AE516C" w:rsidRDefault="00AE516C" w:rsidP="006C0279">
                    <w:pPr>
                      <w:rPr>
                        <w:sz w:val="28"/>
                        <w:szCs w:val="28"/>
                      </w:rPr>
                    </w:pPr>
                    <w:r>
                      <w:rPr>
                        <w:sz w:val="28"/>
                        <w:szCs w:val="28"/>
                      </w:rPr>
                      <w:t>Присутствует</w:t>
                    </w:r>
                  </w:p>
                </w:txbxContent>
              </v:textbox>
            </v:shape>
            <v:line id="_x0000_s1040" style="position:absolute;flip:x" from="3408,4319" to="4176,4497" strokeweight=".26mm">
              <v:stroke endarrow="block" joinstyle="miter"/>
            </v:line>
            <v:shape id="_x0000_s1041" type="#_x0000_t202" style="position:absolute;left:2968;top:4498;width:768;height:538" strokeweight=".26mm">
              <v:fill color2="black"/>
              <v:textbox style="mso-next-textbox:#_x0000_s1041;mso-rotate-with-shape:t">
                <w:txbxContent>
                  <w:p w:rsidR="00AE516C" w:rsidRDefault="00AE516C" w:rsidP="006C0279">
                    <w:pPr>
                      <w:rPr>
                        <w:sz w:val="28"/>
                        <w:szCs w:val="28"/>
                      </w:rPr>
                    </w:pPr>
                    <w:r>
                      <w:rPr>
                        <w:sz w:val="28"/>
                        <w:szCs w:val="28"/>
                      </w:rPr>
                      <w:t>&lt; 4</w:t>
                    </w:r>
                  </w:p>
                </w:txbxContent>
              </v:textbox>
            </v:shape>
            <v:line id="_x0000_s1042" style="position:absolute" from="4288,4319" to="4507,4497" strokeweight=".26mm">
              <v:stroke endarrow="block" joinstyle="miter"/>
            </v:line>
            <v:shape id="_x0000_s1043" type="#_x0000_t202" style="position:absolute;left:4070;top:4498;width:877;height:538" strokeweight=".26mm">
              <v:fill color2="black"/>
              <v:textbox style="mso-next-textbox:#_x0000_s1043;mso-rotate-with-shape:t">
                <w:txbxContent>
                  <w:p w:rsidR="00AE516C" w:rsidRDefault="00AE516C" w:rsidP="006C0279">
                    <w:pPr>
                      <w:rPr>
                        <w:sz w:val="28"/>
                        <w:szCs w:val="28"/>
                      </w:rPr>
                    </w:pPr>
                    <w:r>
                      <w:rPr>
                        <w:sz w:val="28"/>
                        <w:szCs w:val="28"/>
                      </w:rPr>
                      <w:t>≥ 4</w:t>
                    </w:r>
                  </w:p>
                </w:txbxContent>
              </v:textbox>
            </v:shape>
            <v:shape id="_x0000_s1044" type="#_x0000_t202" style="position:absolute;left:110;top:4858;width:877;height:538" strokeweight=".26mm">
              <v:fill color2="black"/>
              <v:textbox style="mso-next-textbox:#_x0000_s1044;mso-rotate-with-shape:t">
                <w:txbxContent>
                  <w:p w:rsidR="00AE516C" w:rsidRDefault="00AE516C" w:rsidP="006C0279">
                    <w:pPr>
                      <w:rPr>
                        <w:sz w:val="28"/>
                        <w:szCs w:val="28"/>
                      </w:rPr>
                    </w:pPr>
                    <w:r>
                      <w:rPr>
                        <w:sz w:val="28"/>
                        <w:szCs w:val="28"/>
                      </w:rPr>
                      <w:t>&lt; 2</w:t>
                    </w:r>
                  </w:p>
                </w:txbxContent>
              </v:textbox>
            </v:shape>
            <v:shape id="_x0000_s1045" type="#_x0000_t202" style="position:absolute;left:1210;top:4858;width:1209;height:538" strokeweight=".26mm">
              <v:fill color2="black"/>
              <v:textbox style="mso-next-textbox:#_x0000_s1045;mso-rotate-with-shape:t">
                <w:txbxContent>
                  <w:p w:rsidR="00AE516C" w:rsidRDefault="00AE516C" w:rsidP="006C0279">
                    <w:pPr>
                      <w:rPr>
                        <w:sz w:val="28"/>
                        <w:szCs w:val="28"/>
                      </w:rPr>
                    </w:pPr>
                    <w:r>
                      <w:rPr>
                        <w:sz w:val="28"/>
                        <w:szCs w:val="28"/>
                      </w:rPr>
                      <w:t>2 и &gt; 2</w:t>
                    </w:r>
                  </w:p>
                </w:txbxContent>
              </v:textbox>
            </v:shape>
            <v:line id="_x0000_s1046" style="position:absolute;flip:x" from="659,3779" to="1208,4857" strokeweight=".26mm">
              <v:stroke endarrow="block" joinstyle="miter"/>
            </v:line>
            <v:line id="_x0000_s1047" style="position:absolute" from="1210,3779" to="1538,4857" strokeweight=".26mm">
              <v:stroke endarrow="block" joinstyle="miter"/>
            </v:line>
            <v:shape id="_x0000_s1048" type="#_x0000_t202" style="position:absolute;left:219;top:6120;width:4399;height:1077" strokeweight=".26mm">
              <v:fill color2="black"/>
              <v:textbox style="mso-next-textbox:#_x0000_s1048;mso-rotate-with-shape:t">
                <w:txbxContent>
                  <w:p w:rsidR="00AE516C" w:rsidRDefault="00AE516C" w:rsidP="006C0279">
                    <w:pPr>
                      <w:jc w:val="center"/>
                      <w:rPr>
                        <w:sz w:val="28"/>
                        <w:szCs w:val="28"/>
                      </w:rPr>
                    </w:pPr>
                    <w:r>
                      <w:rPr>
                        <w:sz w:val="28"/>
                        <w:szCs w:val="28"/>
                      </w:rPr>
                      <w:t>Низкая вероятность развития сепсиса</w:t>
                    </w:r>
                  </w:p>
                </w:txbxContent>
              </v:textbox>
            </v:shape>
            <v:shape id="_x0000_s1049" type="#_x0000_t202" style="position:absolute;left:4840;top:6119;width:4727;height:1078" strokeweight=".26mm">
              <v:fill color2="black"/>
              <v:textbox style="mso-next-textbox:#_x0000_s1049;mso-rotate-with-shape:t">
                <w:txbxContent>
                  <w:p w:rsidR="00AE516C" w:rsidRDefault="00AE516C" w:rsidP="006C0279">
                    <w:pPr>
                      <w:jc w:val="center"/>
                      <w:rPr>
                        <w:sz w:val="28"/>
                        <w:szCs w:val="28"/>
                      </w:rPr>
                    </w:pPr>
                    <w:r>
                      <w:rPr>
                        <w:sz w:val="28"/>
                        <w:szCs w:val="28"/>
                      </w:rPr>
                      <w:t>Высокая вероятность развития сепсиса</w:t>
                    </w:r>
                  </w:p>
                  <w:p w:rsidR="00AE516C" w:rsidRDefault="00AE516C" w:rsidP="006C0279">
                    <w:pPr>
                      <w:jc w:val="center"/>
                    </w:pPr>
                  </w:p>
                </w:txbxContent>
              </v:textbox>
            </v:shape>
            <v:line id="_x0000_s1050" style="position:absolute" from="2090,5399" to="6158,6119" strokeweight=".26mm">
              <v:stroke endarrow="block" joinstyle="miter"/>
            </v:line>
            <v:line id="_x0000_s1051" style="position:absolute" from="4619,5039" to="6156,6118" strokeweight=".26mm">
              <v:stroke endarrow="block" joinstyle="miter"/>
            </v:line>
            <v:line id="_x0000_s1052" style="position:absolute;flip:x y" from="6928,3778" to="7696,4316" strokeweight=".26mm">
              <v:stroke endarrow="block" joinstyle="miter"/>
            </v:line>
            <v:line id="_x0000_s1053" style="position:absolute;flip:x" from="2859,3419" to="8137,6118" strokeweight=".26mm">
              <v:stroke endarrow="block" joinstyle="miter"/>
            </v:line>
            <v:line id="_x0000_s1054" style="position:absolute" from="880,5399" to="2859,6119" strokeweight=".26mm">
              <v:stroke endarrow="block" joinstyle="miter"/>
            </v:line>
            <v:line id="_x0000_s1055" style="position:absolute;flip:x" from="2859,5039" to="3407,6118" strokeweight=".26mm">
              <v:stroke endarrow="block" joinstyle="miter"/>
            </v:line>
            <v:shape id="_x0000_s1056" type="#_x0000_t202" style="position:absolute;left:8139;top:3238;width:1979;height:538" strokeweight=".26mm">
              <v:fill color2="black"/>
              <v:textbox style="mso-next-textbox:#_x0000_s1056;mso-rotate-with-shape:t">
                <w:txbxContent>
                  <w:p w:rsidR="00AE516C" w:rsidRDefault="00AE516C" w:rsidP="006C0279">
                    <w:pPr>
                      <w:rPr>
                        <w:sz w:val="28"/>
                        <w:szCs w:val="28"/>
                      </w:rPr>
                    </w:pPr>
                    <w:r>
                      <w:rPr>
                        <w:sz w:val="28"/>
                        <w:szCs w:val="28"/>
                      </w:rPr>
                      <w:t>Отсутствует</w:t>
                    </w:r>
                  </w:p>
                </w:txbxContent>
              </v:textbox>
            </v:shape>
            <w10:anchorlock/>
          </v:group>
        </w:pict>
      </w:r>
    </w:p>
    <w:p w:rsidR="00286780" w:rsidRDefault="00286780" w:rsidP="00B15368">
      <w:pPr>
        <w:pStyle w:val="a3"/>
        <w:rPr>
          <w:lang w:eastAsia="en-US"/>
        </w:rPr>
      </w:pPr>
      <w:r w:rsidRPr="00CE6523">
        <w:rPr>
          <w:b/>
          <w:lang w:eastAsia="en-US"/>
        </w:rPr>
        <w:t xml:space="preserve">Рисунок </w:t>
      </w:r>
      <w:r>
        <w:rPr>
          <w:b/>
          <w:lang w:eastAsia="en-US"/>
        </w:rPr>
        <w:t>12</w:t>
      </w:r>
      <w:r w:rsidRPr="00CE6523">
        <w:rPr>
          <w:lang w:eastAsia="en-US"/>
        </w:rPr>
        <w:t xml:space="preserve"> – </w:t>
      </w:r>
      <w:r>
        <w:rPr>
          <w:lang w:eastAsia="en-US"/>
        </w:rPr>
        <w:t>Алгоритм ранней диагностики</w:t>
      </w:r>
      <w:r w:rsidRPr="00CE6523">
        <w:rPr>
          <w:lang w:eastAsia="en-US"/>
        </w:rPr>
        <w:t xml:space="preserve"> одонтогенного сепсиса</w:t>
      </w:r>
    </w:p>
    <w:p w:rsidR="00E225A2" w:rsidRDefault="00E225A2" w:rsidP="00B15368">
      <w:pPr>
        <w:spacing w:line="360" w:lineRule="auto"/>
        <w:jc w:val="both"/>
        <w:rPr>
          <w:rFonts w:cs="Calibri"/>
          <w:sz w:val="28"/>
          <w:szCs w:val="28"/>
          <w:lang w:eastAsia="ar-SA"/>
        </w:rPr>
      </w:pPr>
    </w:p>
    <w:p w:rsidR="00E225A2" w:rsidRPr="00CE6523" w:rsidRDefault="00E225A2" w:rsidP="00E225A2">
      <w:pPr>
        <w:spacing w:line="360" w:lineRule="auto"/>
        <w:ind w:firstLine="709"/>
        <w:jc w:val="both"/>
        <w:rPr>
          <w:rFonts w:cs="Calibri"/>
          <w:sz w:val="28"/>
          <w:szCs w:val="28"/>
          <w:lang w:eastAsia="ar-SA"/>
        </w:rPr>
      </w:pPr>
      <w:r w:rsidRPr="00CE6523">
        <w:rPr>
          <w:rFonts w:cs="Calibri"/>
          <w:sz w:val="28"/>
          <w:szCs w:val="28"/>
          <w:lang w:eastAsia="ar-SA"/>
        </w:rPr>
        <w:t>Оценка чувствительности, специфичности, точности, прогностичности положительного и отрицательного результатов (</w:t>
      </w:r>
      <w:r w:rsidRPr="00CE6523">
        <w:rPr>
          <w:rFonts w:cs="Calibri"/>
          <w:sz w:val="28"/>
          <w:szCs w:val="28"/>
          <w:lang w:val="en-US" w:eastAsia="ar-SA"/>
        </w:rPr>
        <w:t>Se</w:t>
      </w:r>
      <w:r w:rsidRPr="00CE6523">
        <w:rPr>
          <w:rFonts w:cs="Calibri"/>
          <w:sz w:val="28"/>
          <w:szCs w:val="28"/>
          <w:lang w:eastAsia="ar-SA"/>
        </w:rPr>
        <w:t xml:space="preserve">, </w:t>
      </w:r>
      <w:r w:rsidRPr="00CE6523">
        <w:rPr>
          <w:rFonts w:cs="Calibri"/>
          <w:sz w:val="28"/>
          <w:szCs w:val="28"/>
          <w:lang w:val="en-US" w:eastAsia="ar-SA"/>
        </w:rPr>
        <w:t>Sp</w:t>
      </w:r>
      <w:r w:rsidRPr="00CE6523">
        <w:rPr>
          <w:rFonts w:cs="Calibri"/>
          <w:sz w:val="28"/>
          <w:szCs w:val="28"/>
          <w:lang w:eastAsia="ar-SA"/>
        </w:rPr>
        <w:t xml:space="preserve">, </w:t>
      </w:r>
      <w:r w:rsidRPr="00CE6523">
        <w:rPr>
          <w:rFonts w:cs="Calibri"/>
          <w:sz w:val="28"/>
          <w:szCs w:val="28"/>
          <w:lang w:val="en-US" w:eastAsia="ar-SA"/>
        </w:rPr>
        <w:t>Ac</w:t>
      </w:r>
      <w:r w:rsidRPr="00CE6523">
        <w:rPr>
          <w:rFonts w:cs="Calibri"/>
          <w:sz w:val="28"/>
          <w:szCs w:val="28"/>
          <w:lang w:eastAsia="ar-SA"/>
        </w:rPr>
        <w:t xml:space="preserve">, </w:t>
      </w:r>
      <w:r w:rsidRPr="00CE6523">
        <w:rPr>
          <w:rFonts w:cs="Calibri"/>
          <w:sz w:val="28"/>
          <w:szCs w:val="28"/>
          <w:lang w:val="en-US" w:eastAsia="ar-SA"/>
        </w:rPr>
        <w:t>PPV</w:t>
      </w:r>
      <w:r w:rsidRPr="00CE6523">
        <w:rPr>
          <w:rFonts w:cs="Calibri"/>
          <w:sz w:val="28"/>
          <w:szCs w:val="28"/>
          <w:lang w:eastAsia="ar-SA"/>
        </w:rPr>
        <w:t xml:space="preserve">, </w:t>
      </w:r>
      <w:r w:rsidRPr="00CE6523">
        <w:rPr>
          <w:rFonts w:cs="Calibri"/>
          <w:sz w:val="28"/>
          <w:szCs w:val="28"/>
          <w:lang w:val="en-US" w:eastAsia="ar-SA"/>
        </w:rPr>
        <w:t>NPV</w:t>
      </w:r>
      <w:r w:rsidRPr="00CE6523">
        <w:rPr>
          <w:rFonts w:cs="Calibri"/>
          <w:sz w:val="28"/>
          <w:szCs w:val="28"/>
          <w:lang w:eastAsia="ar-SA"/>
        </w:rPr>
        <w:t xml:space="preserve">) применения алгоритма </w:t>
      </w:r>
      <w:r>
        <w:rPr>
          <w:rFonts w:cs="Calibri"/>
          <w:sz w:val="28"/>
          <w:szCs w:val="28"/>
          <w:lang w:eastAsia="ar-SA"/>
        </w:rPr>
        <w:t>ранней диагностики ОС представлена в Таблице 63</w:t>
      </w:r>
      <w:r w:rsidRPr="00CE6523">
        <w:rPr>
          <w:rFonts w:cs="Calibri"/>
          <w:sz w:val="28"/>
          <w:szCs w:val="28"/>
          <w:lang w:eastAsia="ar-SA"/>
        </w:rPr>
        <w:t>.</w:t>
      </w:r>
    </w:p>
    <w:p w:rsidR="00286780" w:rsidRDefault="00286780" w:rsidP="004A0CF0">
      <w:pPr>
        <w:jc w:val="both"/>
        <w:rPr>
          <w:sz w:val="28"/>
          <w:szCs w:val="28"/>
          <w:lang w:eastAsia="en-US"/>
        </w:rPr>
      </w:pPr>
    </w:p>
    <w:p w:rsidR="00286780" w:rsidRPr="00CE6523" w:rsidRDefault="00286780" w:rsidP="00CE6523">
      <w:pPr>
        <w:spacing w:after="120"/>
        <w:jc w:val="both"/>
        <w:rPr>
          <w:sz w:val="28"/>
          <w:szCs w:val="28"/>
        </w:rPr>
      </w:pPr>
      <w:r w:rsidRPr="00CE6523">
        <w:rPr>
          <w:b/>
          <w:sz w:val="28"/>
          <w:szCs w:val="28"/>
        </w:rPr>
        <w:t>Таблица 6</w:t>
      </w:r>
      <w:r>
        <w:rPr>
          <w:b/>
          <w:sz w:val="28"/>
          <w:szCs w:val="28"/>
        </w:rPr>
        <w:t>3</w:t>
      </w:r>
      <w:r w:rsidRPr="00CE6523">
        <w:rPr>
          <w:sz w:val="28"/>
          <w:szCs w:val="28"/>
        </w:rPr>
        <w:t xml:space="preserve"> – Характеристики алгоритма ранней диагностики одонтогенного сепсиса</w:t>
      </w:r>
    </w:p>
    <w:tbl>
      <w:tblPr>
        <w:tblW w:w="9923" w:type="dxa"/>
        <w:tblLayout w:type="fixed"/>
        <w:tblLook w:val="0000" w:firstRow="0" w:lastRow="0" w:firstColumn="0" w:lastColumn="0" w:noHBand="0" w:noVBand="0"/>
      </w:tblPr>
      <w:tblGrid>
        <w:gridCol w:w="2418"/>
        <w:gridCol w:w="1422"/>
        <w:gridCol w:w="1498"/>
        <w:gridCol w:w="1494"/>
        <w:gridCol w:w="1560"/>
        <w:gridCol w:w="1531"/>
      </w:tblGrid>
      <w:tr w:rsidR="00286780" w:rsidRPr="00CE6523" w:rsidTr="00894E8F">
        <w:trPr>
          <w:trHeight w:val="227"/>
        </w:trPr>
        <w:tc>
          <w:tcPr>
            <w:tcW w:w="2418" w:type="dxa"/>
            <w:vMerge w:val="restart"/>
            <w:tcBorders>
              <w:top w:val="single" w:sz="4" w:space="0" w:color="000000"/>
              <w:left w:val="single" w:sz="4" w:space="0" w:color="000000"/>
              <w:bottom w:val="single" w:sz="4" w:space="0" w:color="000000"/>
            </w:tcBorders>
            <w:tcMar>
              <w:left w:w="28" w:type="dxa"/>
              <w:right w:w="28" w:type="dxa"/>
            </w:tcMar>
            <w:vAlign w:val="center"/>
          </w:tcPr>
          <w:p w:rsidR="00286780" w:rsidRPr="00CE6523" w:rsidRDefault="00286780" w:rsidP="00CE6523">
            <w:pPr>
              <w:snapToGrid w:val="0"/>
              <w:rPr>
                <w:rFonts w:cs="Calibri"/>
                <w:i/>
                <w:sz w:val="22"/>
                <w:szCs w:val="22"/>
                <w:lang w:eastAsia="ar-SA"/>
              </w:rPr>
            </w:pPr>
            <w:r w:rsidRPr="00CE6523">
              <w:rPr>
                <w:rFonts w:cs="Calibri"/>
                <w:i/>
                <w:sz w:val="22"/>
                <w:szCs w:val="22"/>
                <w:lang w:eastAsia="ar-SA"/>
              </w:rPr>
              <w:t>Метод диагностики</w:t>
            </w:r>
          </w:p>
        </w:tc>
        <w:tc>
          <w:tcPr>
            <w:tcW w:w="7505"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E6523" w:rsidRDefault="00286780" w:rsidP="00CE6523">
            <w:pPr>
              <w:snapToGrid w:val="0"/>
              <w:jc w:val="center"/>
              <w:rPr>
                <w:rFonts w:cs="Calibri"/>
                <w:i/>
                <w:sz w:val="22"/>
                <w:szCs w:val="22"/>
                <w:lang w:eastAsia="ar-SA"/>
              </w:rPr>
            </w:pPr>
            <w:r w:rsidRPr="00CE6523">
              <w:rPr>
                <w:rFonts w:cs="Calibri"/>
                <w:i/>
                <w:sz w:val="22"/>
                <w:szCs w:val="22"/>
                <w:lang w:eastAsia="ar-SA"/>
              </w:rPr>
              <w:t>Критерии оценки</w:t>
            </w:r>
          </w:p>
        </w:tc>
      </w:tr>
      <w:tr w:rsidR="00286780" w:rsidRPr="00CE6523" w:rsidTr="00894E8F">
        <w:trPr>
          <w:trHeight w:val="227"/>
        </w:trPr>
        <w:tc>
          <w:tcPr>
            <w:tcW w:w="2418" w:type="dxa"/>
            <w:vMerge/>
            <w:tcBorders>
              <w:top w:val="single" w:sz="4" w:space="0" w:color="000000"/>
              <w:left w:val="single" w:sz="4" w:space="0" w:color="000000"/>
              <w:bottom w:val="single" w:sz="4" w:space="0" w:color="000000"/>
            </w:tcBorders>
            <w:tcMar>
              <w:left w:w="28" w:type="dxa"/>
              <w:right w:w="28" w:type="dxa"/>
            </w:tcMar>
          </w:tcPr>
          <w:p w:rsidR="00286780" w:rsidRPr="00CE6523" w:rsidRDefault="00286780" w:rsidP="00CE6523">
            <w:pPr>
              <w:snapToGrid w:val="0"/>
              <w:rPr>
                <w:rFonts w:cs="Calibri"/>
                <w:sz w:val="22"/>
                <w:szCs w:val="22"/>
                <w:lang w:eastAsia="ar-SA"/>
              </w:rPr>
            </w:pPr>
          </w:p>
        </w:tc>
        <w:tc>
          <w:tcPr>
            <w:tcW w:w="1422" w:type="dxa"/>
            <w:tcBorders>
              <w:top w:val="single" w:sz="4" w:space="0" w:color="000000"/>
              <w:left w:val="single" w:sz="4" w:space="0" w:color="000000"/>
              <w:bottom w:val="single" w:sz="4" w:space="0" w:color="000000"/>
            </w:tcBorders>
            <w:tcMar>
              <w:left w:w="28" w:type="dxa"/>
              <w:right w:w="28" w:type="dxa"/>
            </w:tcMar>
          </w:tcPr>
          <w:p w:rsidR="00286780" w:rsidRPr="00CE6523" w:rsidRDefault="00286780" w:rsidP="00CE6523">
            <w:pPr>
              <w:snapToGrid w:val="0"/>
              <w:jc w:val="center"/>
              <w:rPr>
                <w:rFonts w:cs="Calibri"/>
                <w:sz w:val="22"/>
                <w:szCs w:val="22"/>
                <w:lang w:eastAsia="ar-SA"/>
              </w:rPr>
            </w:pPr>
            <w:r w:rsidRPr="00CE6523">
              <w:rPr>
                <w:rFonts w:cs="Calibri"/>
                <w:sz w:val="22"/>
                <w:szCs w:val="22"/>
                <w:lang w:val="en-US" w:eastAsia="ar-SA"/>
              </w:rPr>
              <w:t>Se[</w:t>
            </w:r>
            <w:r w:rsidRPr="00CE6523">
              <w:rPr>
                <w:rFonts w:cs="Calibri"/>
                <w:sz w:val="22"/>
                <w:szCs w:val="22"/>
                <w:lang w:eastAsia="ar-SA"/>
              </w:rPr>
              <w:t>95% ДИ</w:t>
            </w:r>
            <w:r w:rsidRPr="00CE6523">
              <w:rPr>
                <w:rFonts w:cs="Calibri"/>
                <w:sz w:val="22"/>
                <w:szCs w:val="22"/>
                <w:lang w:val="en-US" w:eastAsia="ar-SA"/>
              </w:rPr>
              <w:t>]</w:t>
            </w:r>
            <w:r w:rsidRPr="00CE6523">
              <w:rPr>
                <w:rFonts w:cs="Calibri"/>
                <w:sz w:val="22"/>
                <w:szCs w:val="22"/>
                <w:lang w:eastAsia="ar-SA"/>
              </w:rPr>
              <w:t xml:space="preserve"> (%)</w:t>
            </w:r>
          </w:p>
        </w:tc>
        <w:tc>
          <w:tcPr>
            <w:tcW w:w="1498" w:type="dxa"/>
            <w:tcBorders>
              <w:top w:val="single" w:sz="4" w:space="0" w:color="000000"/>
              <w:left w:val="single" w:sz="4" w:space="0" w:color="000000"/>
              <w:bottom w:val="single" w:sz="4" w:space="0" w:color="000000"/>
            </w:tcBorders>
            <w:tcMar>
              <w:left w:w="28" w:type="dxa"/>
              <w:right w:w="28" w:type="dxa"/>
            </w:tcMar>
          </w:tcPr>
          <w:p w:rsidR="00286780" w:rsidRPr="00CE6523" w:rsidRDefault="00286780" w:rsidP="00CE6523">
            <w:pPr>
              <w:snapToGrid w:val="0"/>
              <w:jc w:val="center"/>
              <w:rPr>
                <w:rFonts w:cs="Calibri"/>
                <w:sz w:val="22"/>
                <w:szCs w:val="22"/>
                <w:lang w:eastAsia="ar-SA"/>
              </w:rPr>
            </w:pPr>
            <w:r w:rsidRPr="00CE6523">
              <w:rPr>
                <w:rFonts w:cs="Calibri"/>
                <w:sz w:val="22"/>
                <w:szCs w:val="22"/>
                <w:lang w:val="en-US" w:eastAsia="ar-SA"/>
              </w:rPr>
              <w:t>Sp[</w:t>
            </w:r>
            <w:r w:rsidRPr="00CE6523">
              <w:rPr>
                <w:rFonts w:cs="Calibri"/>
                <w:sz w:val="22"/>
                <w:szCs w:val="22"/>
                <w:lang w:eastAsia="ar-SA"/>
              </w:rPr>
              <w:t>95% ДИ</w:t>
            </w:r>
            <w:r w:rsidRPr="00CE6523">
              <w:rPr>
                <w:rFonts w:cs="Calibri"/>
                <w:sz w:val="22"/>
                <w:szCs w:val="22"/>
                <w:lang w:val="en-US" w:eastAsia="ar-SA"/>
              </w:rPr>
              <w:t>]</w:t>
            </w:r>
            <w:r w:rsidRPr="00CE6523">
              <w:rPr>
                <w:rFonts w:cs="Calibri"/>
                <w:sz w:val="22"/>
                <w:szCs w:val="22"/>
                <w:lang w:eastAsia="ar-SA"/>
              </w:rPr>
              <w:t xml:space="preserve"> (%)</w:t>
            </w:r>
          </w:p>
        </w:tc>
        <w:tc>
          <w:tcPr>
            <w:tcW w:w="1494" w:type="dxa"/>
            <w:tcBorders>
              <w:top w:val="single" w:sz="4" w:space="0" w:color="000000"/>
              <w:left w:val="single" w:sz="4" w:space="0" w:color="000000"/>
              <w:bottom w:val="single" w:sz="4" w:space="0" w:color="000000"/>
            </w:tcBorders>
            <w:tcMar>
              <w:left w:w="28" w:type="dxa"/>
              <w:right w:w="28" w:type="dxa"/>
            </w:tcMar>
          </w:tcPr>
          <w:p w:rsidR="00286780" w:rsidRPr="00CE6523" w:rsidRDefault="00286780" w:rsidP="00CE6523">
            <w:pPr>
              <w:snapToGrid w:val="0"/>
              <w:jc w:val="center"/>
              <w:rPr>
                <w:rFonts w:cs="Calibri"/>
                <w:sz w:val="22"/>
                <w:szCs w:val="22"/>
                <w:lang w:eastAsia="ar-SA"/>
              </w:rPr>
            </w:pPr>
            <w:r w:rsidRPr="00CE6523">
              <w:rPr>
                <w:rFonts w:cs="Calibri"/>
                <w:sz w:val="22"/>
                <w:szCs w:val="22"/>
                <w:lang w:val="en-US" w:eastAsia="ar-SA"/>
              </w:rPr>
              <w:t>Ac</w:t>
            </w:r>
            <w:r w:rsidRPr="00CE6523">
              <w:rPr>
                <w:rFonts w:cs="Calibri"/>
                <w:sz w:val="22"/>
                <w:szCs w:val="22"/>
                <w:lang w:eastAsia="ar-SA"/>
              </w:rPr>
              <w:t xml:space="preserve"> [95% ДИ]</w:t>
            </w:r>
            <w:r w:rsidRPr="00CE6523">
              <w:rPr>
                <w:rFonts w:cs="Calibri"/>
                <w:sz w:val="22"/>
                <w:szCs w:val="22"/>
                <w:lang w:eastAsia="ar-SA"/>
              </w:rPr>
              <w:br/>
              <w:t>(%)</w:t>
            </w:r>
          </w:p>
        </w:tc>
        <w:tc>
          <w:tcPr>
            <w:tcW w:w="1560" w:type="dxa"/>
            <w:tcBorders>
              <w:top w:val="single" w:sz="4" w:space="0" w:color="000000"/>
              <w:left w:val="single" w:sz="4" w:space="0" w:color="000000"/>
              <w:bottom w:val="single" w:sz="4" w:space="0" w:color="000000"/>
            </w:tcBorders>
            <w:tcMar>
              <w:left w:w="28" w:type="dxa"/>
              <w:right w:w="28" w:type="dxa"/>
            </w:tcMar>
          </w:tcPr>
          <w:p w:rsidR="00286780" w:rsidRPr="00CE6523" w:rsidRDefault="00286780" w:rsidP="00CE6523">
            <w:pPr>
              <w:snapToGrid w:val="0"/>
              <w:jc w:val="center"/>
              <w:rPr>
                <w:rFonts w:cs="Calibri"/>
                <w:sz w:val="22"/>
                <w:szCs w:val="22"/>
                <w:lang w:eastAsia="ar-SA"/>
              </w:rPr>
            </w:pPr>
            <w:r w:rsidRPr="00CE6523">
              <w:rPr>
                <w:rFonts w:cs="Calibri"/>
                <w:sz w:val="22"/>
                <w:szCs w:val="22"/>
                <w:lang w:val="en-US" w:eastAsia="ar-SA"/>
              </w:rPr>
              <w:t>PPV</w:t>
            </w:r>
            <w:r w:rsidRPr="00CE6523">
              <w:rPr>
                <w:rFonts w:cs="Calibri"/>
                <w:sz w:val="22"/>
                <w:szCs w:val="22"/>
                <w:lang w:eastAsia="ar-SA"/>
              </w:rPr>
              <w:t xml:space="preserve"> [95% ДИ] (%)</w:t>
            </w:r>
          </w:p>
        </w:tc>
        <w:tc>
          <w:tcPr>
            <w:tcW w:w="1531" w:type="dxa"/>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CE6523" w:rsidRDefault="00286780" w:rsidP="00CE6523">
            <w:pPr>
              <w:snapToGrid w:val="0"/>
              <w:jc w:val="center"/>
              <w:rPr>
                <w:rFonts w:cs="Calibri"/>
                <w:sz w:val="22"/>
                <w:szCs w:val="22"/>
                <w:lang w:eastAsia="ar-SA"/>
              </w:rPr>
            </w:pPr>
            <w:r w:rsidRPr="00CE6523">
              <w:rPr>
                <w:rFonts w:cs="Calibri"/>
                <w:sz w:val="22"/>
                <w:szCs w:val="22"/>
                <w:lang w:val="en-US" w:eastAsia="ar-SA"/>
              </w:rPr>
              <w:t>NPV</w:t>
            </w:r>
            <w:r w:rsidRPr="00CE6523">
              <w:rPr>
                <w:rFonts w:cs="Calibri"/>
                <w:sz w:val="22"/>
                <w:szCs w:val="22"/>
                <w:lang w:eastAsia="ar-SA"/>
              </w:rPr>
              <w:t xml:space="preserve"> [95% ДИ] (%)</w:t>
            </w:r>
          </w:p>
        </w:tc>
      </w:tr>
      <w:tr w:rsidR="00286780" w:rsidRPr="00CE6523" w:rsidTr="00894E8F">
        <w:trPr>
          <w:trHeight w:val="227"/>
        </w:trPr>
        <w:tc>
          <w:tcPr>
            <w:tcW w:w="2418" w:type="dxa"/>
            <w:tcBorders>
              <w:top w:val="single" w:sz="4" w:space="0" w:color="000000"/>
              <w:left w:val="single" w:sz="4" w:space="0" w:color="000000"/>
              <w:bottom w:val="single" w:sz="4" w:space="0" w:color="000000"/>
            </w:tcBorders>
            <w:tcMar>
              <w:left w:w="28" w:type="dxa"/>
              <w:right w:w="28" w:type="dxa"/>
            </w:tcMar>
          </w:tcPr>
          <w:p w:rsidR="00286780" w:rsidRPr="00CE6523" w:rsidRDefault="00286780" w:rsidP="00CE6523">
            <w:pPr>
              <w:snapToGrid w:val="0"/>
              <w:rPr>
                <w:rFonts w:cs="Calibri"/>
                <w:sz w:val="22"/>
                <w:szCs w:val="22"/>
                <w:lang w:eastAsia="ar-SA"/>
              </w:rPr>
            </w:pPr>
            <w:r>
              <w:rPr>
                <w:rFonts w:cs="Calibri"/>
                <w:sz w:val="22"/>
                <w:szCs w:val="22"/>
                <w:lang w:eastAsia="ar-SA"/>
              </w:rPr>
              <w:t>А</w:t>
            </w:r>
            <w:r w:rsidRPr="00CE6523">
              <w:rPr>
                <w:rFonts w:cs="Calibri"/>
                <w:sz w:val="22"/>
                <w:szCs w:val="22"/>
                <w:lang w:eastAsia="ar-SA"/>
              </w:rPr>
              <w:t>лгоритм</w:t>
            </w:r>
            <w:r>
              <w:rPr>
                <w:rFonts w:cs="Calibri"/>
                <w:sz w:val="22"/>
                <w:szCs w:val="22"/>
                <w:lang w:eastAsia="ar-SA"/>
              </w:rPr>
              <w:t xml:space="preserve"> ранней диагностики ОС</w:t>
            </w:r>
          </w:p>
        </w:tc>
        <w:tc>
          <w:tcPr>
            <w:tcW w:w="1422" w:type="dxa"/>
            <w:tcBorders>
              <w:top w:val="single" w:sz="4" w:space="0" w:color="000000"/>
              <w:left w:val="single" w:sz="4" w:space="0" w:color="000000"/>
              <w:bottom w:val="single" w:sz="4" w:space="0" w:color="000000"/>
            </w:tcBorders>
            <w:tcMar>
              <w:left w:w="28" w:type="dxa"/>
              <w:right w:w="28" w:type="dxa"/>
            </w:tcMar>
          </w:tcPr>
          <w:p w:rsidR="00286780" w:rsidRPr="00CE6523" w:rsidRDefault="00286780" w:rsidP="00CE6523">
            <w:pPr>
              <w:snapToGrid w:val="0"/>
              <w:jc w:val="center"/>
              <w:rPr>
                <w:rFonts w:cs="Calibri"/>
                <w:sz w:val="22"/>
                <w:szCs w:val="22"/>
                <w:lang w:eastAsia="ar-SA"/>
              </w:rPr>
            </w:pPr>
            <w:r w:rsidRPr="00CE6523">
              <w:rPr>
                <w:rFonts w:cs="Calibri"/>
                <w:sz w:val="22"/>
                <w:szCs w:val="22"/>
                <w:lang w:eastAsia="ar-SA"/>
              </w:rPr>
              <w:t>97,5</w:t>
            </w:r>
            <w:r w:rsidRPr="00CE6523">
              <w:rPr>
                <w:rFonts w:cs="Calibri"/>
                <w:sz w:val="22"/>
                <w:szCs w:val="22"/>
                <w:lang w:eastAsia="ar-SA"/>
              </w:rPr>
              <w:br/>
              <w:t>[86,84; 99,94]</w:t>
            </w:r>
          </w:p>
        </w:tc>
        <w:tc>
          <w:tcPr>
            <w:tcW w:w="1498" w:type="dxa"/>
            <w:tcBorders>
              <w:top w:val="single" w:sz="4" w:space="0" w:color="000000"/>
              <w:left w:val="single" w:sz="4" w:space="0" w:color="000000"/>
              <w:bottom w:val="single" w:sz="4" w:space="0" w:color="000000"/>
            </w:tcBorders>
            <w:tcMar>
              <w:left w:w="28" w:type="dxa"/>
              <w:right w:w="28" w:type="dxa"/>
            </w:tcMar>
          </w:tcPr>
          <w:p w:rsidR="00286780" w:rsidRPr="00CE6523" w:rsidRDefault="00286780" w:rsidP="00CE6523">
            <w:pPr>
              <w:snapToGrid w:val="0"/>
              <w:jc w:val="center"/>
              <w:rPr>
                <w:rFonts w:cs="Calibri"/>
                <w:sz w:val="22"/>
                <w:szCs w:val="22"/>
                <w:lang w:eastAsia="ar-SA"/>
              </w:rPr>
            </w:pPr>
            <w:r w:rsidRPr="00CE6523">
              <w:rPr>
                <w:rFonts w:cs="Calibri"/>
                <w:sz w:val="22"/>
                <w:szCs w:val="22"/>
                <w:lang w:eastAsia="ar-SA"/>
              </w:rPr>
              <w:t>84,44</w:t>
            </w:r>
            <w:r w:rsidRPr="00CE6523">
              <w:rPr>
                <w:rFonts w:cs="Calibri"/>
                <w:sz w:val="22"/>
                <w:szCs w:val="22"/>
                <w:lang w:eastAsia="ar-SA"/>
              </w:rPr>
              <w:br/>
              <w:t>[70,54; 93,51]</w:t>
            </w:r>
          </w:p>
        </w:tc>
        <w:tc>
          <w:tcPr>
            <w:tcW w:w="1494" w:type="dxa"/>
            <w:tcBorders>
              <w:top w:val="single" w:sz="4" w:space="0" w:color="000000"/>
              <w:left w:val="single" w:sz="4" w:space="0" w:color="000000"/>
              <w:bottom w:val="single" w:sz="4" w:space="0" w:color="000000"/>
            </w:tcBorders>
            <w:tcMar>
              <w:left w:w="28" w:type="dxa"/>
              <w:right w:w="28" w:type="dxa"/>
            </w:tcMar>
          </w:tcPr>
          <w:p w:rsidR="00286780" w:rsidRPr="00CE6523" w:rsidRDefault="00286780" w:rsidP="00CE6523">
            <w:pPr>
              <w:snapToGrid w:val="0"/>
              <w:jc w:val="center"/>
              <w:rPr>
                <w:rFonts w:cs="Calibri"/>
                <w:sz w:val="22"/>
                <w:szCs w:val="22"/>
                <w:lang w:eastAsia="ar-SA"/>
              </w:rPr>
            </w:pPr>
            <w:r w:rsidRPr="00CE6523">
              <w:rPr>
                <w:rFonts w:cs="Calibri"/>
                <w:sz w:val="22"/>
                <w:szCs w:val="22"/>
                <w:lang w:eastAsia="ar-SA"/>
              </w:rPr>
              <w:t>90,59</w:t>
            </w:r>
            <w:r w:rsidRPr="00CE6523">
              <w:rPr>
                <w:rFonts w:cs="Calibri"/>
                <w:sz w:val="22"/>
                <w:szCs w:val="22"/>
                <w:lang w:eastAsia="ar-SA"/>
              </w:rPr>
              <w:br/>
              <w:t>[82,29; 95,85]</w:t>
            </w:r>
          </w:p>
        </w:tc>
        <w:tc>
          <w:tcPr>
            <w:tcW w:w="1560" w:type="dxa"/>
            <w:tcBorders>
              <w:top w:val="single" w:sz="4" w:space="0" w:color="000000"/>
              <w:left w:val="single" w:sz="4" w:space="0" w:color="000000"/>
              <w:bottom w:val="single" w:sz="4" w:space="0" w:color="000000"/>
            </w:tcBorders>
            <w:tcMar>
              <w:left w:w="28" w:type="dxa"/>
              <w:right w:w="28" w:type="dxa"/>
            </w:tcMar>
          </w:tcPr>
          <w:p w:rsidR="00286780" w:rsidRPr="00CE6523" w:rsidRDefault="00286780" w:rsidP="00CE6523">
            <w:pPr>
              <w:snapToGrid w:val="0"/>
              <w:jc w:val="center"/>
              <w:rPr>
                <w:rFonts w:cs="Calibri"/>
                <w:sz w:val="22"/>
                <w:szCs w:val="22"/>
                <w:lang w:eastAsia="ar-SA"/>
              </w:rPr>
            </w:pPr>
            <w:r w:rsidRPr="00CE6523">
              <w:rPr>
                <w:rFonts w:cs="Calibri"/>
                <w:sz w:val="22"/>
                <w:szCs w:val="22"/>
                <w:lang w:eastAsia="ar-SA"/>
              </w:rPr>
              <w:t>84,78 [73,79;91,68]</w:t>
            </w:r>
          </w:p>
        </w:tc>
        <w:tc>
          <w:tcPr>
            <w:tcW w:w="1531" w:type="dxa"/>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CE6523" w:rsidRDefault="00286780" w:rsidP="00CE6523">
            <w:pPr>
              <w:snapToGrid w:val="0"/>
              <w:jc w:val="center"/>
              <w:rPr>
                <w:rFonts w:cs="Calibri"/>
                <w:sz w:val="22"/>
                <w:szCs w:val="22"/>
                <w:lang w:eastAsia="ar-SA"/>
              </w:rPr>
            </w:pPr>
            <w:r w:rsidRPr="00CE6523">
              <w:rPr>
                <w:rFonts w:cs="Calibri"/>
                <w:sz w:val="22"/>
                <w:szCs w:val="22"/>
                <w:lang w:eastAsia="ar-SA"/>
              </w:rPr>
              <w:t>97,44</w:t>
            </w:r>
            <w:r w:rsidRPr="00CE6523">
              <w:rPr>
                <w:rFonts w:cs="Calibri"/>
                <w:sz w:val="22"/>
                <w:szCs w:val="22"/>
                <w:lang w:eastAsia="ar-SA"/>
              </w:rPr>
              <w:br/>
              <w:t>[84,53; 99,62]</w:t>
            </w:r>
          </w:p>
        </w:tc>
      </w:tr>
      <w:tr w:rsidR="00286780" w:rsidRPr="00CE6523" w:rsidTr="00894E8F">
        <w:trPr>
          <w:trHeight w:val="227"/>
        </w:trPr>
        <w:tc>
          <w:tcPr>
            <w:tcW w:w="9923" w:type="dxa"/>
            <w:gridSpan w:val="6"/>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CE6523" w:rsidRDefault="00286780" w:rsidP="00CE6523">
            <w:pPr>
              <w:jc w:val="both"/>
              <w:rPr>
                <w:rFonts w:cs="Calibri"/>
                <w:sz w:val="22"/>
                <w:szCs w:val="22"/>
                <w:lang w:eastAsia="ar-SA"/>
              </w:rPr>
            </w:pPr>
            <w:r w:rsidRPr="00CE6523">
              <w:rPr>
                <w:rFonts w:cs="Calibri"/>
                <w:i/>
                <w:sz w:val="22"/>
                <w:szCs w:val="22"/>
                <w:lang w:eastAsia="ar-SA"/>
              </w:rPr>
              <w:t>Примечание</w:t>
            </w:r>
            <w:r w:rsidRPr="00CE6523">
              <w:rPr>
                <w:rFonts w:cs="Calibri"/>
                <w:sz w:val="22"/>
                <w:szCs w:val="22"/>
                <w:lang w:eastAsia="ar-SA"/>
              </w:rPr>
              <w:t xml:space="preserve">. </w:t>
            </w:r>
            <w:r w:rsidRPr="00CE6523">
              <w:rPr>
                <w:rFonts w:cs="Calibri"/>
                <w:sz w:val="22"/>
                <w:szCs w:val="22"/>
                <w:lang w:val="en-US" w:eastAsia="ar-SA"/>
              </w:rPr>
              <w:t>Se</w:t>
            </w:r>
            <w:r w:rsidRPr="00CE6523">
              <w:rPr>
                <w:rFonts w:cs="Calibri"/>
                <w:sz w:val="22"/>
                <w:szCs w:val="22"/>
                <w:lang w:eastAsia="ar-SA"/>
              </w:rPr>
              <w:t xml:space="preserve"> – чувствительность, </w:t>
            </w:r>
            <w:r w:rsidRPr="00CE6523">
              <w:rPr>
                <w:rFonts w:cs="Calibri"/>
                <w:sz w:val="22"/>
                <w:szCs w:val="22"/>
                <w:lang w:val="en-US" w:eastAsia="ar-SA"/>
              </w:rPr>
              <w:t>Sp</w:t>
            </w:r>
            <w:r w:rsidRPr="00CE6523">
              <w:rPr>
                <w:rFonts w:cs="Calibri"/>
                <w:sz w:val="22"/>
                <w:szCs w:val="22"/>
                <w:lang w:eastAsia="ar-SA"/>
              </w:rPr>
              <w:t xml:space="preserve"> – специфичность, Ас – точность, </w:t>
            </w:r>
            <w:r w:rsidRPr="00CE6523">
              <w:rPr>
                <w:rFonts w:cs="Calibri"/>
                <w:sz w:val="22"/>
                <w:szCs w:val="22"/>
                <w:lang w:val="en-US" w:eastAsia="ar-SA"/>
              </w:rPr>
              <w:t>PPV</w:t>
            </w:r>
            <w:r w:rsidRPr="00CE6523">
              <w:rPr>
                <w:rFonts w:cs="Calibri"/>
                <w:sz w:val="22"/>
                <w:szCs w:val="22"/>
                <w:lang w:eastAsia="ar-SA"/>
              </w:rPr>
              <w:t xml:space="preserve"> – прогностичность положительного результата, </w:t>
            </w:r>
            <w:r w:rsidRPr="00CE6523">
              <w:rPr>
                <w:rFonts w:cs="Calibri"/>
                <w:sz w:val="22"/>
                <w:szCs w:val="22"/>
                <w:lang w:val="en-US" w:eastAsia="ar-SA"/>
              </w:rPr>
              <w:t>NPV</w:t>
            </w:r>
            <w:r w:rsidRPr="00CE6523">
              <w:rPr>
                <w:rFonts w:cs="Calibri"/>
                <w:sz w:val="22"/>
                <w:szCs w:val="22"/>
                <w:lang w:eastAsia="ar-SA"/>
              </w:rPr>
              <w:t xml:space="preserve"> – прогностичность отрицательного результата; [95% ДИ] – 95% доверительный интервал</w:t>
            </w:r>
          </w:p>
        </w:tc>
      </w:tr>
    </w:tbl>
    <w:p w:rsidR="00286780" w:rsidRPr="00CE6523" w:rsidRDefault="00286780" w:rsidP="00CE6523">
      <w:pPr>
        <w:jc w:val="both"/>
        <w:rPr>
          <w:rFonts w:cs="Calibri"/>
          <w:sz w:val="28"/>
          <w:szCs w:val="28"/>
          <w:lang w:eastAsia="ar-SA"/>
        </w:rPr>
      </w:pPr>
    </w:p>
    <w:p w:rsidR="00286780" w:rsidRDefault="00286780" w:rsidP="00CE6523">
      <w:pPr>
        <w:spacing w:line="360" w:lineRule="auto"/>
        <w:ind w:firstLine="709"/>
        <w:jc w:val="both"/>
        <w:rPr>
          <w:rFonts w:cs="Calibri"/>
          <w:sz w:val="28"/>
          <w:szCs w:val="28"/>
          <w:lang w:eastAsia="ar-SA"/>
        </w:rPr>
      </w:pPr>
      <w:r w:rsidRPr="00CE6523">
        <w:rPr>
          <w:rFonts w:cs="Calibri"/>
          <w:sz w:val="28"/>
          <w:szCs w:val="28"/>
          <w:lang w:eastAsia="ar-SA"/>
        </w:rPr>
        <w:t>Чувствительность разработанного алгоритма ранней диагностики признаков одонтогенного сепсиса достигает 97,5%, а точность превышает 84%.В целом, обо</w:t>
      </w:r>
      <w:r w:rsidRPr="00CE6523">
        <w:rPr>
          <w:rFonts w:cs="Calibri"/>
          <w:sz w:val="28"/>
          <w:szCs w:val="28"/>
          <w:lang w:eastAsia="ar-SA"/>
        </w:rPr>
        <w:lastRenderedPageBreak/>
        <w:t>значенные показатели чувствительности, специфичности и точности разработанного алгоритма указывают на крайне высокую эффективность методики.</w:t>
      </w:r>
    </w:p>
    <w:p w:rsidR="00286780" w:rsidRDefault="00286780" w:rsidP="004E71B5">
      <w:pPr>
        <w:spacing w:line="360" w:lineRule="auto"/>
        <w:ind w:firstLine="709"/>
        <w:jc w:val="both"/>
        <w:rPr>
          <w:rFonts w:cs="Calibri"/>
          <w:sz w:val="28"/>
          <w:szCs w:val="28"/>
          <w:lang w:eastAsia="ar-SA"/>
        </w:rPr>
      </w:pPr>
      <w:r>
        <w:rPr>
          <w:rFonts w:cs="Calibri"/>
          <w:sz w:val="28"/>
          <w:szCs w:val="28"/>
          <w:lang w:eastAsia="ar-SA"/>
        </w:rPr>
        <w:t xml:space="preserve">Сравнительная характеристика показателей эффективности разработанного алгоритма ранней диагностики одонтогенного сепсиса и иных скриниговых алгоримов представлена в Таблице 64. Сравнение осуществлялось с учетом значений чувствительности, специфичности, точности, прогностичности положительного и отрицательного результатов. Математическим результатом сравнения является значение </w:t>
      </w:r>
      <w:r>
        <w:rPr>
          <w:rFonts w:cs="Calibri"/>
          <w:sz w:val="28"/>
          <w:szCs w:val="28"/>
          <w:lang w:val="en-US" w:eastAsia="ar-SA"/>
        </w:rPr>
        <w:t>p</w:t>
      </w:r>
      <w:r>
        <w:rPr>
          <w:rFonts w:cs="Calibri"/>
          <w:sz w:val="28"/>
          <w:szCs w:val="28"/>
          <w:lang w:eastAsia="ar-SA"/>
        </w:rPr>
        <w:t xml:space="preserve">. При </w:t>
      </w:r>
      <w:r>
        <w:rPr>
          <w:rFonts w:cs="Calibri"/>
          <w:sz w:val="28"/>
          <w:szCs w:val="28"/>
          <w:lang w:val="en-US" w:eastAsia="ar-SA"/>
        </w:rPr>
        <w:t>p</w:t>
      </w:r>
      <w:r w:rsidRPr="00102E3F">
        <w:rPr>
          <w:sz w:val="28"/>
          <w:szCs w:val="28"/>
          <w:lang w:eastAsia="ar-SA"/>
        </w:rPr>
        <w:t>&lt;</w:t>
      </w:r>
      <w:r w:rsidRPr="00102E3F">
        <w:rPr>
          <w:rFonts w:cs="Calibri"/>
          <w:sz w:val="28"/>
          <w:szCs w:val="28"/>
          <w:lang w:eastAsia="ar-SA"/>
        </w:rPr>
        <w:t xml:space="preserve">0,05 </w:t>
      </w:r>
      <w:r>
        <w:rPr>
          <w:rFonts w:cs="Calibri"/>
          <w:sz w:val="28"/>
          <w:szCs w:val="28"/>
          <w:lang w:eastAsia="ar-SA"/>
        </w:rPr>
        <w:t>различия между группами статистически достоверны.</w:t>
      </w:r>
    </w:p>
    <w:p w:rsidR="00286780" w:rsidRDefault="00286780" w:rsidP="004E71B5">
      <w:pPr>
        <w:spacing w:line="360" w:lineRule="auto"/>
        <w:ind w:firstLine="709"/>
        <w:jc w:val="both"/>
        <w:rPr>
          <w:rFonts w:cs="Calibri"/>
          <w:sz w:val="28"/>
          <w:szCs w:val="28"/>
          <w:lang w:eastAsia="ar-SA"/>
        </w:rPr>
      </w:pPr>
    </w:p>
    <w:p w:rsidR="00286780" w:rsidRDefault="00286780" w:rsidP="00A30F60">
      <w:pPr>
        <w:ind w:hanging="142"/>
        <w:jc w:val="center"/>
        <w:rPr>
          <w:rFonts w:cs="Calibri"/>
          <w:sz w:val="28"/>
          <w:szCs w:val="28"/>
          <w:lang w:eastAsia="ar-SA"/>
        </w:rPr>
      </w:pPr>
      <w:r w:rsidRPr="008D2400">
        <w:rPr>
          <w:rFonts w:cs="Calibri"/>
          <w:b/>
          <w:sz w:val="28"/>
          <w:szCs w:val="28"/>
          <w:lang w:eastAsia="ar-SA"/>
        </w:rPr>
        <w:t>Таблица 6</w:t>
      </w:r>
      <w:r>
        <w:rPr>
          <w:rFonts w:cs="Calibri"/>
          <w:b/>
          <w:sz w:val="28"/>
          <w:szCs w:val="28"/>
          <w:lang w:eastAsia="ar-SA"/>
        </w:rPr>
        <w:t>4</w:t>
      </w:r>
      <w:r>
        <w:rPr>
          <w:rFonts w:cs="Calibri"/>
          <w:sz w:val="28"/>
          <w:szCs w:val="28"/>
          <w:lang w:eastAsia="ar-SA"/>
        </w:rPr>
        <w:t xml:space="preserve"> - Сравнительная характеристика алгоритма</w:t>
      </w:r>
      <w:r w:rsidR="005A61D5">
        <w:rPr>
          <w:rFonts w:cs="Calibri"/>
          <w:sz w:val="28"/>
          <w:szCs w:val="28"/>
          <w:lang w:eastAsia="ar-SA"/>
        </w:rPr>
        <w:t xml:space="preserve"> </w:t>
      </w:r>
      <w:r>
        <w:rPr>
          <w:rFonts w:cs="Calibri"/>
          <w:sz w:val="28"/>
          <w:szCs w:val="28"/>
          <w:lang w:eastAsia="ar-SA"/>
        </w:rPr>
        <w:t xml:space="preserve">ранней </w:t>
      </w:r>
      <w:r w:rsidRPr="008D2400">
        <w:rPr>
          <w:rFonts w:cs="Calibri"/>
          <w:sz w:val="28"/>
          <w:szCs w:val="28"/>
          <w:lang w:eastAsia="ar-SA"/>
        </w:rPr>
        <w:t>диагностики одонтогенного сепсиса</w:t>
      </w:r>
      <w:r>
        <w:rPr>
          <w:rFonts w:cs="Calibri"/>
          <w:sz w:val="28"/>
          <w:szCs w:val="28"/>
          <w:lang w:eastAsia="ar-SA"/>
        </w:rPr>
        <w:t xml:space="preserve"> и иных алгоритмов</w:t>
      </w:r>
    </w:p>
    <w:tbl>
      <w:tblPr>
        <w:tblW w:w="10008" w:type="dxa"/>
        <w:tblInd w:w="-57" w:type="dxa"/>
        <w:tblLayout w:type="fixed"/>
        <w:tblLook w:val="0000" w:firstRow="0" w:lastRow="0" w:firstColumn="0" w:lastColumn="0" w:noHBand="0" w:noVBand="0"/>
      </w:tblPr>
      <w:tblGrid>
        <w:gridCol w:w="2495"/>
        <w:gridCol w:w="1418"/>
        <w:gridCol w:w="1701"/>
        <w:gridCol w:w="1417"/>
        <w:gridCol w:w="1559"/>
        <w:gridCol w:w="1418"/>
      </w:tblGrid>
      <w:tr w:rsidR="00286780" w:rsidRPr="00D058B5" w:rsidTr="00E92D4E">
        <w:trPr>
          <w:trHeight w:val="270"/>
        </w:trPr>
        <w:tc>
          <w:tcPr>
            <w:tcW w:w="2495" w:type="dxa"/>
            <w:vMerge w:val="restart"/>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D1471B">
            <w:pPr>
              <w:snapToGrid w:val="0"/>
              <w:rPr>
                <w:i/>
                <w:spacing w:val="-8"/>
                <w:sz w:val="24"/>
                <w:szCs w:val="24"/>
                <w:lang w:eastAsia="ar-SA"/>
              </w:rPr>
            </w:pPr>
            <w:r w:rsidRPr="00D058B5">
              <w:rPr>
                <w:i/>
                <w:spacing w:val="-8"/>
                <w:sz w:val="24"/>
                <w:szCs w:val="24"/>
                <w:lang w:eastAsia="ar-SA"/>
              </w:rPr>
              <w:t>Шкала/критерии</w:t>
            </w:r>
          </w:p>
        </w:tc>
        <w:tc>
          <w:tcPr>
            <w:tcW w:w="7513"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D058B5" w:rsidRDefault="00286780" w:rsidP="00D1471B">
            <w:pPr>
              <w:snapToGrid w:val="0"/>
              <w:jc w:val="center"/>
              <w:rPr>
                <w:i/>
                <w:spacing w:val="-8"/>
                <w:sz w:val="24"/>
                <w:szCs w:val="24"/>
                <w:lang w:val="en-US" w:eastAsia="ar-SA"/>
              </w:rPr>
            </w:pPr>
            <w:r w:rsidRPr="00D058B5">
              <w:rPr>
                <w:i/>
                <w:spacing w:val="-8"/>
                <w:sz w:val="24"/>
                <w:szCs w:val="24"/>
                <w:lang w:eastAsia="ar-SA"/>
              </w:rPr>
              <w:t xml:space="preserve">Критерии оценки / значение </w:t>
            </w:r>
            <w:r w:rsidRPr="00D058B5">
              <w:rPr>
                <w:i/>
                <w:spacing w:val="-8"/>
                <w:sz w:val="24"/>
                <w:szCs w:val="24"/>
                <w:lang w:val="en-US" w:eastAsia="ar-SA"/>
              </w:rPr>
              <w:t>p</w:t>
            </w:r>
          </w:p>
        </w:tc>
      </w:tr>
      <w:tr w:rsidR="00286780" w:rsidRPr="00D058B5" w:rsidTr="00E92D4E">
        <w:trPr>
          <w:trHeight w:val="461"/>
        </w:trPr>
        <w:tc>
          <w:tcPr>
            <w:tcW w:w="2495" w:type="dxa"/>
            <w:vMerge/>
            <w:tcBorders>
              <w:top w:val="single" w:sz="4" w:space="0" w:color="000000"/>
              <w:left w:val="single" w:sz="4" w:space="0" w:color="000000"/>
              <w:bottom w:val="single" w:sz="4" w:space="0" w:color="000000"/>
            </w:tcBorders>
            <w:tcMar>
              <w:left w:w="28" w:type="dxa"/>
              <w:right w:w="28" w:type="dxa"/>
            </w:tcMar>
          </w:tcPr>
          <w:p w:rsidR="00286780" w:rsidRPr="00D058B5" w:rsidRDefault="00286780" w:rsidP="00D1471B">
            <w:pPr>
              <w:snapToGrid w:val="0"/>
              <w:rPr>
                <w:spacing w:val="-8"/>
                <w:sz w:val="24"/>
                <w:szCs w:val="24"/>
                <w:lang w:eastAsia="ar-SA"/>
              </w:rPr>
            </w:pPr>
          </w:p>
        </w:tc>
        <w:tc>
          <w:tcPr>
            <w:tcW w:w="1418"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D1471B">
            <w:pPr>
              <w:snapToGrid w:val="0"/>
              <w:jc w:val="center"/>
              <w:rPr>
                <w:spacing w:val="-8"/>
                <w:sz w:val="24"/>
                <w:szCs w:val="24"/>
                <w:lang w:val="en-US" w:eastAsia="ar-SA"/>
              </w:rPr>
            </w:pPr>
            <w:r w:rsidRPr="00D058B5">
              <w:rPr>
                <w:spacing w:val="-8"/>
                <w:sz w:val="24"/>
                <w:szCs w:val="24"/>
                <w:lang w:val="en-US" w:eastAsia="ar-SA"/>
              </w:rPr>
              <w:t>Se</w:t>
            </w:r>
          </w:p>
        </w:tc>
        <w:tc>
          <w:tcPr>
            <w:tcW w:w="1701"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D1471B">
            <w:pPr>
              <w:snapToGrid w:val="0"/>
              <w:jc w:val="center"/>
              <w:rPr>
                <w:spacing w:val="-8"/>
                <w:sz w:val="24"/>
                <w:szCs w:val="24"/>
                <w:lang w:val="en-US" w:eastAsia="ar-SA"/>
              </w:rPr>
            </w:pPr>
            <w:r w:rsidRPr="00D058B5">
              <w:rPr>
                <w:spacing w:val="-8"/>
                <w:sz w:val="24"/>
                <w:szCs w:val="24"/>
                <w:lang w:val="en-US" w:eastAsia="ar-SA"/>
              </w:rPr>
              <w:t>Sp</w:t>
            </w:r>
          </w:p>
        </w:tc>
        <w:tc>
          <w:tcPr>
            <w:tcW w:w="1417"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D1471B">
            <w:pPr>
              <w:snapToGrid w:val="0"/>
              <w:jc w:val="center"/>
              <w:rPr>
                <w:spacing w:val="-8"/>
                <w:sz w:val="24"/>
                <w:szCs w:val="24"/>
                <w:lang w:eastAsia="ar-SA"/>
              </w:rPr>
            </w:pPr>
            <w:r w:rsidRPr="00D058B5">
              <w:rPr>
                <w:spacing w:val="-8"/>
                <w:sz w:val="24"/>
                <w:szCs w:val="24"/>
                <w:lang w:val="en-US" w:eastAsia="ar-SA"/>
              </w:rPr>
              <w:t>Ac</w:t>
            </w:r>
          </w:p>
        </w:tc>
        <w:tc>
          <w:tcPr>
            <w:tcW w:w="1559"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D1471B">
            <w:pPr>
              <w:snapToGrid w:val="0"/>
              <w:jc w:val="center"/>
              <w:rPr>
                <w:spacing w:val="-8"/>
                <w:sz w:val="24"/>
                <w:szCs w:val="24"/>
                <w:lang w:eastAsia="ar-SA"/>
              </w:rPr>
            </w:pPr>
            <w:r w:rsidRPr="00D058B5">
              <w:rPr>
                <w:spacing w:val="-8"/>
                <w:sz w:val="24"/>
                <w:szCs w:val="24"/>
                <w:lang w:val="en-US" w:eastAsia="ar-SA"/>
              </w:rPr>
              <w:t>PPV</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D058B5" w:rsidRDefault="00286780" w:rsidP="00D1471B">
            <w:pPr>
              <w:snapToGrid w:val="0"/>
              <w:jc w:val="center"/>
              <w:rPr>
                <w:spacing w:val="-8"/>
                <w:sz w:val="24"/>
                <w:szCs w:val="24"/>
                <w:lang w:eastAsia="ar-SA"/>
              </w:rPr>
            </w:pPr>
            <w:r w:rsidRPr="00D058B5">
              <w:rPr>
                <w:spacing w:val="-8"/>
                <w:sz w:val="24"/>
                <w:szCs w:val="24"/>
                <w:lang w:val="en-US" w:eastAsia="ar-SA"/>
              </w:rPr>
              <w:t>NPV</w:t>
            </w:r>
          </w:p>
        </w:tc>
      </w:tr>
      <w:tr w:rsidR="00286780" w:rsidRPr="00D058B5" w:rsidTr="00D1471B">
        <w:trPr>
          <w:trHeight w:val="600"/>
        </w:trPr>
        <w:tc>
          <w:tcPr>
            <w:tcW w:w="2495"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D1471B">
            <w:pPr>
              <w:snapToGrid w:val="0"/>
              <w:rPr>
                <w:spacing w:val="-8"/>
                <w:sz w:val="24"/>
                <w:szCs w:val="24"/>
                <w:lang w:eastAsia="ar-SA"/>
              </w:rPr>
            </w:pPr>
            <w:r w:rsidRPr="00D058B5">
              <w:rPr>
                <w:spacing w:val="-8"/>
                <w:sz w:val="24"/>
                <w:szCs w:val="24"/>
                <w:lang w:eastAsia="ar-SA"/>
              </w:rPr>
              <w:t>Модифицированный скрининговый  алгоритм</w:t>
            </w:r>
          </w:p>
        </w:tc>
        <w:tc>
          <w:tcPr>
            <w:tcW w:w="1418" w:type="dxa"/>
            <w:tcBorders>
              <w:top w:val="single" w:sz="4" w:space="0" w:color="000000"/>
              <w:left w:val="single" w:sz="4" w:space="0" w:color="000000"/>
              <w:bottom w:val="single" w:sz="4" w:space="0" w:color="000000"/>
            </w:tcBorders>
            <w:tcMar>
              <w:left w:w="28" w:type="dxa"/>
              <w:right w:w="28" w:type="dxa"/>
            </w:tcMar>
          </w:tcPr>
          <w:p w:rsidR="00286780" w:rsidRPr="00D058B5" w:rsidRDefault="00286780" w:rsidP="00D1471B">
            <w:pPr>
              <w:snapToGrid w:val="0"/>
              <w:jc w:val="center"/>
              <w:rPr>
                <w:rFonts w:cs="Calibri"/>
                <w:sz w:val="24"/>
                <w:szCs w:val="24"/>
                <w:lang w:eastAsia="ar-SA"/>
              </w:rPr>
            </w:pPr>
            <w:r w:rsidRPr="00D058B5">
              <w:rPr>
                <w:rFonts w:cs="Calibri"/>
                <w:sz w:val="24"/>
                <w:szCs w:val="24"/>
                <w:lang w:eastAsia="ar-SA"/>
              </w:rPr>
              <w:t>97,5</w:t>
            </w:r>
            <w:r w:rsidRPr="00D058B5">
              <w:rPr>
                <w:rFonts w:cs="Calibri"/>
                <w:sz w:val="24"/>
                <w:szCs w:val="24"/>
                <w:lang w:eastAsia="ar-SA"/>
              </w:rPr>
              <w:br/>
              <w:t>[86,84;99,94]</w:t>
            </w:r>
          </w:p>
        </w:tc>
        <w:tc>
          <w:tcPr>
            <w:tcW w:w="1701" w:type="dxa"/>
            <w:tcBorders>
              <w:top w:val="single" w:sz="4" w:space="0" w:color="000000"/>
              <w:left w:val="single" w:sz="4" w:space="0" w:color="000000"/>
              <w:bottom w:val="single" w:sz="4" w:space="0" w:color="000000"/>
            </w:tcBorders>
            <w:tcMar>
              <w:left w:w="28" w:type="dxa"/>
              <w:right w:w="28" w:type="dxa"/>
            </w:tcMar>
          </w:tcPr>
          <w:p w:rsidR="00286780" w:rsidRPr="00D058B5" w:rsidRDefault="00286780" w:rsidP="00D1471B">
            <w:pPr>
              <w:snapToGrid w:val="0"/>
              <w:jc w:val="center"/>
              <w:rPr>
                <w:rFonts w:cs="Calibri"/>
                <w:sz w:val="24"/>
                <w:szCs w:val="24"/>
                <w:lang w:eastAsia="ar-SA"/>
              </w:rPr>
            </w:pPr>
            <w:r w:rsidRPr="00D058B5">
              <w:rPr>
                <w:rFonts w:cs="Calibri"/>
                <w:sz w:val="24"/>
                <w:szCs w:val="24"/>
                <w:lang w:eastAsia="ar-SA"/>
              </w:rPr>
              <w:t>84,44</w:t>
            </w:r>
            <w:r w:rsidRPr="00D058B5">
              <w:rPr>
                <w:rFonts w:cs="Calibri"/>
                <w:sz w:val="24"/>
                <w:szCs w:val="24"/>
                <w:lang w:eastAsia="ar-SA"/>
              </w:rPr>
              <w:br/>
              <w:t>[70,54;93,51]</w:t>
            </w:r>
          </w:p>
        </w:tc>
        <w:tc>
          <w:tcPr>
            <w:tcW w:w="1417" w:type="dxa"/>
            <w:tcBorders>
              <w:top w:val="single" w:sz="4" w:space="0" w:color="000000"/>
              <w:left w:val="single" w:sz="4" w:space="0" w:color="000000"/>
              <w:bottom w:val="single" w:sz="4" w:space="0" w:color="000000"/>
            </w:tcBorders>
            <w:tcMar>
              <w:left w:w="28" w:type="dxa"/>
              <w:right w:w="28" w:type="dxa"/>
            </w:tcMar>
          </w:tcPr>
          <w:p w:rsidR="00286780" w:rsidRPr="00D058B5" w:rsidRDefault="00286780" w:rsidP="00D1471B">
            <w:pPr>
              <w:snapToGrid w:val="0"/>
              <w:jc w:val="center"/>
              <w:rPr>
                <w:rFonts w:cs="Calibri"/>
                <w:sz w:val="24"/>
                <w:szCs w:val="24"/>
                <w:lang w:eastAsia="ar-SA"/>
              </w:rPr>
            </w:pPr>
            <w:r w:rsidRPr="00D058B5">
              <w:rPr>
                <w:rFonts w:cs="Calibri"/>
                <w:sz w:val="24"/>
                <w:szCs w:val="24"/>
                <w:lang w:eastAsia="ar-SA"/>
              </w:rPr>
              <w:t>90,59</w:t>
            </w:r>
            <w:r w:rsidRPr="00D058B5">
              <w:rPr>
                <w:rFonts w:cs="Calibri"/>
                <w:sz w:val="24"/>
                <w:szCs w:val="24"/>
                <w:lang w:eastAsia="ar-SA"/>
              </w:rPr>
              <w:br/>
              <w:t>[82,29; 95,85]</w:t>
            </w:r>
          </w:p>
        </w:tc>
        <w:tc>
          <w:tcPr>
            <w:tcW w:w="1559" w:type="dxa"/>
            <w:tcBorders>
              <w:top w:val="single" w:sz="4" w:space="0" w:color="000000"/>
              <w:left w:val="single" w:sz="4" w:space="0" w:color="000000"/>
              <w:bottom w:val="single" w:sz="4" w:space="0" w:color="000000"/>
            </w:tcBorders>
            <w:tcMar>
              <w:left w:w="28" w:type="dxa"/>
              <w:right w:w="28" w:type="dxa"/>
            </w:tcMar>
          </w:tcPr>
          <w:p w:rsidR="00286780" w:rsidRPr="00D058B5" w:rsidRDefault="00286780" w:rsidP="00D1471B">
            <w:pPr>
              <w:snapToGrid w:val="0"/>
              <w:jc w:val="center"/>
              <w:rPr>
                <w:rFonts w:cs="Calibri"/>
                <w:sz w:val="24"/>
                <w:szCs w:val="24"/>
                <w:lang w:eastAsia="ar-SA"/>
              </w:rPr>
            </w:pPr>
            <w:r w:rsidRPr="00D058B5">
              <w:rPr>
                <w:rFonts w:cs="Calibri"/>
                <w:sz w:val="24"/>
                <w:szCs w:val="24"/>
                <w:lang w:eastAsia="ar-SA"/>
              </w:rPr>
              <w:t>84,78 [73,79;91,68]</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D058B5" w:rsidRDefault="00286780" w:rsidP="00D1471B">
            <w:pPr>
              <w:snapToGrid w:val="0"/>
              <w:jc w:val="center"/>
              <w:rPr>
                <w:rFonts w:cs="Calibri"/>
                <w:sz w:val="24"/>
                <w:szCs w:val="24"/>
                <w:lang w:eastAsia="ar-SA"/>
              </w:rPr>
            </w:pPr>
            <w:r w:rsidRPr="00D058B5">
              <w:rPr>
                <w:rFonts w:cs="Calibri"/>
                <w:sz w:val="24"/>
                <w:szCs w:val="24"/>
                <w:lang w:eastAsia="ar-SA"/>
              </w:rPr>
              <w:t>97,44</w:t>
            </w:r>
            <w:r w:rsidRPr="00D058B5">
              <w:rPr>
                <w:rFonts w:cs="Calibri"/>
                <w:sz w:val="24"/>
                <w:szCs w:val="24"/>
                <w:lang w:eastAsia="ar-SA"/>
              </w:rPr>
              <w:br/>
              <w:t>[84,53; 99,62]</w:t>
            </w:r>
          </w:p>
        </w:tc>
      </w:tr>
      <w:tr w:rsidR="00286780" w:rsidRPr="00D058B5" w:rsidTr="00E92D4E">
        <w:trPr>
          <w:trHeight w:val="600"/>
        </w:trPr>
        <w:tc>
          <w:tcPr>
            <w:tcW w:w="2495"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D1471B">
            <w:pPr>
              <w:snapToGrid w:val="0"/>
              <w:rPr>
                <w:spacing w:val="-8"/>
                <w:sz w:val="24"/>
                <w:szCs w:val="24"/>
                <w:lang w:eastAsia="ar-SA"/>
              </w:rPr>
            </w:pPr>
            <w:r w:rsidRPr="00D058B5">
              <w:rPr>
                <w:spacing w:val="-8"/>
                <w:sz w:val="24"/>
                <w:szCs w:val="24"/>
                <w:lang w:val="en-US" w:eastAsia="ar-SA"/>
              </w:rPr>
              <w:t>qSOFA</w:t>
            </w:r>
          </w:p>
        </w:tc>
        <w:tc>
          <w:tcPr>
            <w:tcW w:w="1418"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D1471B">
            <w:pPr>
              <w:snapToGrid w:val="0"/>
              <w:jc w:val="center"/>
              <w:rPr>
                <w:spacing w:val="-8"/>
                <w:sz w:val="24"/>
                <w:szCs w:val="24"/>
                <w:lang w:eastAsia="ar-SA"/>
              </w:rPr>
            </w:pPr>
            <w:r>
              <w:rPr>
                <w:i/>
                <w:sz w:val="24"/>
                <w:szCs w:val="24"/>
                <w:lang w:eastAsia="ar-SA"/>
              </w:rPr>
              <w:t xml:space="preserve"> </w:t>
            </w:r>
            <w:r>
              <w:rPr>
                <w:i/>
                <w:sz w:val="24"/>
                <w:szCs w:val="24"/>
                <w:lang w:val="en-US" w:eastAsia="ar-SA"/>
              </w:rPr>
              <w:t xml:space="preserve"> p </w:t>
            </w:r>
            <w:r w:rsidRPr="00D058B5">
              <w:rPr>
                <w:i/>
                <w:sz w:val="24"/>
                <w:szCs w:val="24"/>
                <w:lang w:eastAsia="ar-SA"/>
              </w:rPr>
              <w:t>&lt;</w:t>
            </w:r>
            <w:r>
              <w:rPr>
                <w:i/>
                <w:sz w:val="24"/>
                <w:szCs w:val="24"/>
                <w:lang w:eastAsia="ar-SA"/>
              </w:rPr>
              <w:t xml:space="preserve"> </w:t>
            </w:r>
            <w:r w:rsidRPr="00D058B5">
              <w:rPr>
                <w:rFonts w:cs="Calibri"/>
                <w:i/>
                <w:sz w:val="24"/>
                <w:szCs w:val="24"/>
                <w:lang w:eastAsia="ar-SA"/>
              </w:rPr>
              <w:t>0,05</w:t>
            </w:r>
          </w:p>
        </w:tc>
        <w:tc>
          <w:tcPr>
            <w:tcW w:w="1701"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D1471B">
            <w:pPr>
              <w:snapToGrid w:val="0"/>
              <w:jc w:val="center"/>
              <w:rPr>
                <w:spacing w:val="-8"/>
                <w:sz w:val="24"/>
                <w:szCs w:val="24"/>
                <w:lang w:eastAsia="ar-SA"/>
              </w:rPr>
            </w:pPr>
            <w:r w:rsidRPr="00C27E0A">
              <w:rPr>
                <w:i/>
                <w:spacing w:val="-8"/>
                <w:sz w:val="24"/>
                <w:szCs w:val="24"/>
                <w:lang w:eastAsia="ar-SA"/>
              </w:rPr>
              <w:t xml:space="preserve"> </w:t>
            </w:r>
            <w:r w:rsidRPr="00C27E0A">
              <w:rPr>
                <w:i/>
                <w:spacing w:val="-8"/>
                <w:sz w:val="24"/>
                <w:szCs w:val="24"/>
                <w:lang w:val="en-US" w:eastAsia="ar-SA"/>
              </w:rPr>
              <w:t xml:space="preserve"> p </w:t>
            </w:r>
            <w:r w:rsidRPr="00D058B5">
              <w:rPr>
                <w:spacing w:val="-8"/>
                <w:sz w:val="24"/>
                <w:szCs w:val="24"/>
                <w:lang w:eastAsia="ar-SA"/>
              </w:rPr>
              <w:t>&gt;</w:t>
            </w:r>
            <w:r>
              <w:rPr>
                <w:spacing w:val="-8"/>
                <w:sz w:val="24"/>
                <w:szCs w:val="24"/>
                <w:lang w:eastAsia="ar-SA"/>
              </w:rPr>
              <w:t xml:space="preserve"> </w:t>
            </w:r>
            <w:r w:rsidRPr="00D058B5">
              <w:rPr>
                <w:spacing w:val="-8"/>
                <w:sz w:val="24"/>
                <w:szCs w:val="24"/>
                <w:lang w:eastAsia="ar-SA"/>
              </w:rPr>
              <w:t>0,05</w:t>
            </w:r>
          </w:p>
        </w:tc>
        <w:tc>
          <w:tcPr>
            <w:tcW w:w="1417"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D1471B">
            <w:pPr>
              <w:snapToGrid w:val="0"/>
              <w:jc w:val="center"/>
              <w:rPr>
                <w:spacing w:val="-8"/>
                <w:sz w:val="24"/>
                <w:szCs w:val="24"/>
                <w:lang w:val="en-US" w:eastAsia="ar-SA"/>
              </w:rPr>
            </w:pPr>
            <w:r w:rsidRPr="00C27E0A">
              <w:rPr>
                <w:i/>
                <w:sz w:val="24"/>
                <w:szCs w:val="24"/>
                <w:lang w:eastAsia="ar-SA"/>
              </w:rPr>
              <w:t xml:space="preserve"> </w:t>
            </w:r>
            <w:r w:rsidRPr="00C27E0A">
              <w:rPr>
                <w:i/>
                <w:sz w:val="24"/>
                <w:szCs w:val="24"/>
                <w:lang w:val="en-US" w:eastAsia="ar-SA"/>
              </w:rPr>
              <w:t xml:space="preserve"> p </w:t>
            </w:r>
            <w:r w:rsidRPr="00D058B5">
              <w:rPr>
                <w:i/>
                <w:sz w:val="24"/>
                <w:szCs w:val="24"/>
                <w:lang w:eastAsia="ar-SA"/>
              </w:rPr>
              <w:t>&lt;</w:t>
            </w:r>
            <w:r>
              <w:rPr>
                <w:i/>
                <w:sz w:val="24"/>
                <w:szCs w:val="24"/>
                <w:lang w:eastAsia="ar-SA"/>
              </w:rPr>
              <w:t xml:space="preserve"> </w:t>
            </w:r>
            <w:r w:rsidRPr="00D058B5">
              <w:rPr>
                <w:rFonts w:cs="Calibri"/>
                <w:i/>
                <w:sz w:val="24"/>
                <w:szCs w:val="24"/>
                <w:lang w:eastAsia="ar-SA"/>
              </w:rPr>
              <w:t>0,05</w:t>
            </w:r>
          </w:p>
        </w:tc>
        <w:tc>
          <w:tcPr>
            <w:tcW w:w="1559"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D1471B">
            <w:pPr>
              <w:snapToGrid w:val="0"/>
              <w:jc w:val="center"/>
              <w:rPr>
                <w:spacing w:val="-8"/>
                <w:sz w:val="24"/>
                <w:szCs w:val="24"/>
                <w:lang w:val="en-US" w:eastAsia="ar-SA"/>
              </w:rPr>
            </w:pPr>
            <w:r w:rsidRPr="00C27E0A">
              <w:rPr>
                <w:i/>
                <w:spacing w:val="-8"/>
                <w:sz w:val="24"/>
                <w:szCs w:val="24"/>
                <w:lang w:eastAsia="ar-SA"/>
              </w:rPr>
              <w:t xml:space="preserve"> </w:t>
            </w:r>
            <w:r w:rsidRPr="00C27E0A">
              <w:rPr>
                <w:i/>
                <w:spacing w:val="-8"/>
                <w:sz w:val="24"/>
                <w:szCs w:val="24"/>
                <w:lang w:val="en-US" w:eastAsia="ar-SA"/>
              </w:rPr>
              <w:t xml:space="preserve"> p </w:t>
            </w:r>
            <w:r w:rsidRPr="00D058B5">
              <w:rPr>
                <w:spacing w:val="-8"/>
                <w:sz w:val="24"/>
                <w:szCs w:val="24"/>
                <w:lang w:eastAsia="ar-SA"/>
              </w:rPr>
              <w:t>&gt;</w:t>
            </w:r>
            <w:r>
              <w:rPr>
                <w:spacing w:val="-8"/>
                <w:sz w:val="24"/>
                <w:szCs w:val="24"/>
                <w:lang w:eastAsia="ar-SA"/>
              </w:rPr>
              <w:t xml:space="preserve"> </w:t>
            </w:r>
            <w:r w:rsidRPr="00D058B5">
              <w:rPr>
                <w:spacing w:val="-8"/>
                <w:sz w:val="24"/>
                <w:szCs w:val="24"/>
                <w:lang w:eastAsia="ar-SA"/>
              </w:rPr>
              <w:t>0,05</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D058B5" w:rsidRDefault="00286780" w:rsidP="00D1471B">
            <w:pPr>
              <w:snapToGrid w:val="0"/>
              <w:jc w:val="center"/>
              <w:rPr>
                <w:spacing w:val="-8"/>
                <w:sz w:val="24"/>
                <w:szCs w:val="24"/>
                <w:lang w:val="en-US" w:eastAsia="ar-SA"/>
              </w:rPr>
            </w:pPr>
            <w:r w:rsidRPr="00C27E0A">
              <w:rPr>
                <w:i/>
                <w:sz w:val="24"/>
                <w:szCs w:val="24"/>
                <w:lang w:eastAsia="ar-SA"/>
              </w:rPr>
              <w:t xml:space="preserve"> </w:t>
            </w:r>
            <w:r w:rsidRPr="00C27E0A">
              <w:rPr>
                <w:i/>
                <w:sz w:val="24"/>
                <w:szCs w:val="24"/>
                <w:lang w:val="en-US" w:eastAsia="ar-SA"/>
              </w:rPr>
              <w:t xml:space="preserve"> p </w:t>
            </w:r>
            <w:r w:rsidRPr="00D058B5">
              <w:rPr>
                <w:i/>
                <w:sz w:val="24"/>
                <w:szCs w:val="24"/>
                <w:lang w:eastAsia="ar-SA"/>
              </w:rPr>
              <w:t>&lt;</w:t>
            </w:r>
            <w:r>
              <w:rPr>
                <w:i/>
                <w:sz w:val="24"/>
                <w:szCs w:val="24"/>
                <w:lang w:eastAsia="ar-SA"/>
              </w:rPr>
              <w:t xml:space="preserve"> </w:t>
            </w:r>
            <w:r w:rsidRPr="00D058B5">
              <w:rPr>
                <w:rFonts w:cs="Calibri"/>
                <w:i/>
                <w:sz w:val="24"/>
                <w:szCs w:val="24"/>
                <w:lang w:eastAsia="ar-SA"/>
              </w:rPr>
              <w:t>0,05</w:t>
            </w:r>
          </w:p>
        </w:tc>
      </w:tr>
      <w:tr w:rsidR="00286780" w:rsidRPr="00D058B5" w:rsidTr="00E92D4E">
        <w:trPr>
          <w:trHeight w:val="600"/>
        </w:trPr>
        <w:tc>
          <w:tcPr>
            <w:tcW w:w="2495"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D1471B">
            <w:pPr>
              <w:snapToGrid w:val="0"/>
              <w:rPr>
                <w:spacing w:val="-8"/>
                <w:sz w:val="24"/>
                <w:szCs w:val="24"/>
                <w:lang w:val="en-US" w:eastAsia="ar-SA"/>
              </w:rPr>
            </w:pPr>
            <w:r w:rsidRPr="00D058B5">
              <w:rPr>
                <w:rFonts w:cs="Calibri"/>
                <w:sz w:val="24"/>
                <w:szCs w:val="24"/>
                <w:lang w:val="en-US" w:eastAsia="ar-SA"/>
              </w:rPr>
              <w:t>SOFA</w:t>
            </w:r>
            <w:r w:rsidRPr="00D058B5">
              <w:rPr>
                <w:rFonts w:cs="Calibri"/>
                <w:sz w:val="24"/>
                <w:szCs w:val="24"/>
                <w:lang w:eastAsia="ar-SA"/>
              </w:rPr>
              <w:t xml:space="preserve"> (исключен </w:t>
            </w:r>
            <w:r w:rsidRPr="00D058B5">
              <w:rPr>
                <w:rFonts w:cs="Calibri"/>
                <w:sz w:val="24"/>
                <w:szCs w:val="24"/>
                <w:lang w:val="en-US" w:eastAsia="ar-SA"/>
              </w:rPr>
              <w:t>PaO</w:t>
            </w:r>
            <w:r w:rsidRPr="00D058B5">
              <w:rPr>
                <w:rFonts w:cs="Calibri"/>
                <w:sz w:val="24"/>
                <w:szCs w:val="24"/>
                <w:lang w:eastAsia="ar-SA"/>
              </w:rPr>
              <w:t>2/</w:t>
            </w:r>
            <w:r w:rsidRPr="00D058B5">
              <w:rPr>
                <w:rFonts w:cs="Calibri"/>
                <w:sz w:val="24"/>
                <w:szCs w:val="24"/>
                <w:lang w:val="en-US" w:eastAsia="ar-SA"/>
              </w:rPr>
              <w:t>FiO</w:t>
            </w:r>
            <w:r w:rsidRPr="00D058B5">
              <w:rPr>
                <w:rFonts w:cs="Calibri"/>
                <w:sz w:val="24"/>
                <w:szCs w:val="24"/>
                <w:lang w:eastAsia="ar-SA"/>
              </w:rPr>
              <w:t>2)</w:t>
            </w:r>
          </w:p>
        </w:tc>
        <w:tc>
          <w:tcPr>
            <w:tcW w:w="1418"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E92D4E">
            <w:pPr>
              <w:snapToGrid w:val="0"/>
              <w:jc w:val="center"/>
              <w:rPr>
                <w:rFonts w:cs="Calibri"/>
                <w:sz w:val="24"/>
                <w:szCs w:val="24"/>
                <w:lang w:val="en-US" w:eastAsia="ar-SA"/>
              </w:rPr>
            </w:pPr>
            <w:r w:rsidRPr="00C27E0A">
              <w:rPr>
                <w:i/>
                <w:sz w:val="24"/>
                <w:szCs w:val="24"/>
                <w:lang w:eastAsia="ar-SA"/>
              </w:rPr>
              <w:t xml:space="preserve"> </w:t>
            </w:r>
            <w:r w:rsidRPr="00C27E0A">
              <w:rPr>
                <w:i/>
                <w:sz w:val="24"/>
                <w:szCs w:val="24"/>
                <w:lang w:val="en-US" w:eastAsia="ar-SA"/>
              </w:rPr>
              <w:t xml:space="preserve"> p </w:t>
            </w:r>
            <w:r w:rsidRPr="00D058B5">
              <w:rPr>
                <w:i/>
                <w:sz w:val="24"/>
                <w:szCs w:val="24"/>
                <w:lang w:eastAsia="ar-SA"/>
              </w:rPr>
              <w:t>&lt;</w:t>
            </w:r>
            <w:r>
              <w:rPr>
                <w:i/>
                <w:sz w:val="24"/>
                <w:szCs w:val="24"/>
                <w:lang w:eastAsia="ar-SA"/>
              </w:rPr>
              <w:t xml:space="preserve"> </w:t>
            </w:r>
            <w:r w:rsidRPr="00D058B5">
              <w:rPr>
                <w:rFonts w:cs="Calibri"/>
                <w:i/>
                <w:sz w:val="24"/>
                <w:szCs w:val="24"/>
                <w:lang w:eastAsia="ar-SA"/>
              </w:rPr>
              <w:t>0,05</w:t>
            </w:r>
          </w:p>
        </w:tc>
        <w:tc>
          <w:tcPr>
            <w:tcW w:w="1701"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071722">
            <w:pPr>
              <w:snapToGrid w:val="0"/>
              <w:jc w:val="center"/>
              <w:rPr>
                <w:rFonts w:cs="Calibri"/>
                <w:sz w:val="24"/>
                <w:szCs w:val="24"/>
                <w:lang w:eastAsia="ar-SA"/>
              </w:rPr>
            </w:pPr>
            <w:r w:rsidRPr="00C27E0A">
              <w:rPr>
                <w:i/>
                <w:spacing w:val="-8"/>
                <w:sz w:val="24"/>
                <w:szCs w:val="24"/>
                <w:lang w:eastAsia="ar-SA"/>
              </w:rPr>
              <w:t xml:space="preserve"> </w:t>
            </w:r>
            <w:r w:rsidRPr="00C27E0A">
              <w:rPr>
                <w:i/>
                <w:spacing w:val="-8"/>
                <w:sz w:val="24"/>
                <w:szCs w:val="24"/>
                <w:lang w:val="en-US" w:eastAsia="ar-SA"/>
              </w:rPr>
              <w:t xml:space="preserve"> p </w:t>
            </w:r>
            <w:r w:rsidRPr="00071722">
              <w:rPr>
                <w:spacing w:val="-8"/>
                <w:sz w:val="24"/>
                <w:szCs w:val="24"/>
                <w:lang w:eastAsia="ar-SA"/>
              </w:rPr>
              <w:t>&gt;</w:t>
            </w:r>
            <w:r>
              <w:rPr>
                <w:spacing w:val="-8"/>
                <w:sz w:val="24"/>
                <w:szCs w:val="24"/>
                <w:lang w:eastAsia="ar-SA"/>
              </w:rPr>
              <w:t xml:space="preserve"> </w:t>
            </w:r>
            <w:r w:rsidRPr="00D058B5">
              <w:rPr>
                <w:spacing w:val="-8"/>
                <w:sz w:val="24"/>
                <w:szCs w:val="24"/>
                <w:lang w:eastAsia="ar-SA"/>
              </w:rPr>
              <w:t>0,05</w:t>
            </w:r>
          </w:p>
        </w:tc>
        <w:tc>
          <w:tcPr>
            <w:tcW w:w="1417"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E92D4E">
            <w:pPr>
              <w:snapToGrid w:val="0"/>
              <w:jc w:val="center"/>
              <w:rPr>
                <w:rFonts w:cs="Calibri"/>
                <w:sz w:val="24"/>
                <w:szCs w:val="24"/>
                <w:lang w:eastAsia="ar-SA"/>
              </w:rPr>
            </w:pPr>
            <w:r w:rsidRPr="00C27E0A">
              <w:rPr>
                <w:i/>
                <w:sz w:val="24"/>
                <w:szCs w:val="24"/>
                <w:lang w:eastAsia="ar-SA"/>
              </w:rPr>
              <w:t xml:space="preserve"> </w:t>
            </w:r>
            <w:r w:rsidRPr="00C27E0A">
              <w:rPr>
                <w:i/>
                <w:sz w:val="24"/>
                <w:szCs w:val="24"/>
                <w:lang w:val="en-US" w:eastAsia="ar-SA"/>
              </w:rPr>
              <w:t xml:space="preserve"> p </w:t>
            </w:r>
            <w:r w:rsidRPr="00D058B5">
              <w:rPr>
                <w:i/>
                <w:sz w:val="24"/>
                <w:szCs w:val="24"/>
                <w:lang w:eastAsia="ar-SA"/>
              </w:rPr>
              <w:t>&lt;</w:t>
            </w:r>
            <w:r>
              <w:rPr>
                <w:i/>
                <w:sz w:val="24"/>
                <w:szCs w:val="24"/>
                <w:lang w:eastAsia="ar-SA"/>
              </w:rPr>
              <w:t xml:space="preserve"> </w:t>
            </w:r>
            <w:r w:rsidRPr="00D058B5">
              <w:rPr>
                <w:rFonts w:cs="Calibri"/>
                <w:i/>
                <w:sz w:val="24"/>
                <w:szCs w:val="24"/>
                <w:lang w:eastAsia="ar-SA"/>
              </w:rPr>
              <w:t>0,05</w:t>
            </w:r>
          </w:p>
        </w:tc>
        <w:tc>
          <w:tcPr>
            <w:tcW w:w="1559"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E92D4E">
            <w:pPr>
              <w:snapToGrid w:val="0"/>
              <w:jc w:val="center"/>
              <w:rPr>
                <w:rFonts w:cs="Calibri"/>
                <w:sz w:val="24"/>
                <w:szCs w:val="24"/>
                <w:lang w:eastAsia="ar-SA"/>
              </w:rPr>
            </w:pPr>
            <w:r w:rsidRPr="00C27E0A">
              <w:rPr>
                <w:i/>
                <w:spacing w:val="-8"/>
                <w:sz w:val="24"/>
                <w:szCs w:val="24"/>
                <w:lang w:eastAsia="ar-SA"/>
              </w:rPr>
              <w:t xml:space="preserve"> </w:t>
            </w:r>
            <w:r w:rsidRPr="00C27E0A">
              <w:rPr>
                <w:i/>
                <w:spacing w:val="-8"/>
                <w:sz w:val="24"/>
                <w:szCs w:val="24"/>
                <w:lang w:val="en-US" w:eastAsia="ar-SA"/>
              </w:rPr>
              <w:t xml:space="preserve"> p </w:t>
            </w:r>
            <w:r w:rsidRPr="00D058B5">
              <w:rPr>
                <w:spacing w:val="-8"/>
                <w:sz w:val="24"/>
                <w:szCs w:val="24"/>
                <w:lang w:eastAsia="ar-SA"/>
              </w:rPr>
              <w:t>&gt;</w:t>
            </w:r>
            <w:r>
              <w:rPr>
                <w:spacing w:val="-8"/>
                <w:sz w:val="24"/>
                <w:szCs w:val="24"/>
                <w:lang w:eastAsia="ar-SA"/>
              </w:rPr>
              <w:t xml:space="preserve"> </w:t>
            </w:r>
            <w:r w:rsidRPr="00D058B5">
              <w:rPr>
                <w:spacing w:val="-8"/>
                <w:sz w:val="24"/>
                <w:szCs w:val="24"/>
                <w:lang w:eastAsia="ar-SA"/>
              </w:rPr>
              <w:t>0,05</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D058B5" w:rsidRDefault="00286780" w:rsidP="00E92D4E">
            <w:pPr>
              <w:snapToGrid w:val="0"/>
              <w:jc w:val="center"/>
              <w:rPr>
                <w:rFonts w:cs="Calibri"/>
                <w:sz w:val="24"/>
                <w:szCs w:val="24"/>
                <w:lang w:eastAsia="ar-SA"/>
              </w:rPr>
            </w:pPr>
            <w:r w:rsidRPr="00C27E0A">
              <w:rPr>
                <w:i/>
                <w:sz w:val="24"/>
                <w:szCs w:val="24"/>
                <w:lang w:eastAsia="ar-SA"/>
              </w:rPr>
              <w:t xml:space="preserve"> </w:t>
            </w:r>
            <w:r w:rsidRPr="00C27E0A">
              <w:rPr>
                <w:i/>
                <w:sz w:val="24"/>
                <w:szCs w:val="24"/>
                <w:lang w:val="en-US" w:eastAsia="ar-SA"/>
              </w:rPr>
              <w:t xml:space="preserve"> p </w:t>
            </w:r>
            <w:r w:rsidRPr="00D058B5">
              <w:rPr>
                <w:i/>
                <w:sz w:val="24"/>
                <w:szCs w:val="24"/>
                <w:lang w:eastAsia="ar-SA"/>
              </w:rPr>
              <w:t>&lt;</w:t>
            </w:r>
            <w:r>
              <w:rPr>
                <w:i/>
                <w:sz w:val="24"/>
                <w:szCs w:val="24"/>
                <w:lang w:eastAsia="ar-SA"/>
              </w:rPr>
              <w:t xml:space="preserve"> </w:t>
            </w:r>
            <w:r w:rsidRPr="00D058B5">
              <w:rPr>
                <w:rFonts w:cs="Calibri"/>
                <w:i/>
                <w:sz w:val="24"/>
                <w:szCs w:val="24"/>
                <w:lang w:eastAsia="ar-SA"/>
              </w:rPr>
              <w:t>0,05</w:t>
            </w:r>
          </w:p>
        </w:tc>
      </w:tr>
      <w:tr w:rsidR="00286780" w:rsidRPr="00D058B5" w:rsidTr="00A644B3">
        <w:trPr>
          <w:trHeight w:val="615"/>
        </w:trPr>
        <w:tc>
          <w:tcPr>
            <w:tcW w:w="2495" w:type="dxa"/>
            <w:tcBorders>
              <w:top w:val="single" w:sz="4" w:space="0" w:color="000000"/>
              <w:left w:val="single" w:sz="4" w:space="0" w:color="000000"/>
              <w:bottom w:val="single" w:sz="4" w:space="0" w:color="000000"/>
            </w:tcBorders>
            <w:tcMar>
              <w:left w:w="28" w:type="dxa"/>
              <w:right w:w="28" w:type="dxa"/>
            </w:tcMar>
          </w:tcPr>
          <w:p w:rsidR="00286780" w:rsidRPr="00D058B5" w:rsidRDefault="00286780" w:rsidP="00D1471B">
            <w:pPr>
              <w:snapToGrid w:val="0"/>
              <w:rPr>
                <w:rFonts w:cs="Calibri"/>
                <w:spacing w:val="-12"/>
                <w:sz w:val="24"/>
                <w:szCs w:val="24"/>
                <w:lang w:eastAsia="ar-SA"/>
              </w:rPr>
            </w:pPr>
            <w:r w:rsidRPr="00D058B5">
              <w:rPr>
                <w:rFonts w:cs="Calibri"/>
                <w:spacing w:val="-12"/>
                <w:sz w:val="24"/>
                <w:szCs w:val="24"/>
                <w:lang w:eastAsia="ar-SA"/>
              </w:rPr>
              <w:t>Определение признаков некротизирующего воспалительного процесса</w:t>
            </w:r>
          </w:p>
        </w:tc>
        <w:tc>
          <w:tcPr>
            <w:tcW w:w="1418"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D1471B">
            <w:pPr>
              <w:snapToGrid w:val="0"/>
              <w:jc w:val="center"/>
              <w:rPr>
                <w:rFonts w:cs="Calibri"/>
                <w:spacing w:val="-12"/>
                <w:sz w:val="24"/>
                <w:szCs w:val="24"/>
                <w:lang w:val="en-US" w:eastAsia="ar-SA"/>
              </w:rPr>
            </w:pPr>
            <w:r w:rsidRPr="00C27E0A">
              <w:rPr>
                <w:i/>
                <w:spacing w:val="-8"/>
                <w:sz w:val="24"/>
                <w:szCs w:val="24"/>
                <w:lang w:eastAsia="ar-SA"/>
              </w:rPr>
              <w:t xml:space="preserve"> </w:t>
            </w:r>
            <w:r w:rsidRPr="00994F0A">
              <w:rPr>
                <w:i/>
                <w:spacing w:val="-8"/>
                <w:sz w:val="24"/>
                <w:szCs w:val="24"/>
                <w:lang w:eastAsia="ar-SA"/>
              </w:rPr>
              <w:t xml:space="preserve"> </w:t>
            </w:r>
            <w:r w:rsidRPr="00C27E0A">
              <w:rPr>
                <w:i/>
                <w:spacing w:val="-8"/>
                <w:sz w:val="24"/>
                <w:szCs w:val="24"/>
                <w:lang w:val="en-US" w:eastAsia="ar-SA"/>
              </w:rPr>
              <w:t xml:space="preserve">p </w:t>
            </w:r>
            <w:r w:rsidRPr="00D058B5">
              <w:rPr>
                <w:spacing w:val="-8"/>
                <w:sz w:val="24"/>
                <w:szCs w:val="24"/>
                <w:lang w:eastAsia="ar-SA"/>
              </w:rPr>
              <w:t>&gt;</w:t>
            </w:r>
            <w:r>
              <w:rPr>
                <w:spacing w:val="-8"/>
                <w:sz w:val="24"/>
                <w:szCs w:val="24"/>
                <w:lang w:eastAsia="ar-SA"/>
              </w:rPr>
              <w:t xml:space="preserve"> </w:t>
            </w:r>
            <w:r w:rsidRPr="00D058B5">
              <w:rPr>
                <w:spacing w:val="-8"/>
                <w:sz w:val="24"/>
                <w:szCs w:val="24"/>
                <w:lang w:eastAsia="ar-SA"/>
              </w:rPr>
              <w:t>0,05</w:t>
            </w:r>
          </w:p>
        </w:tc>
        <w:tc>
          <w:tcPr>
            <w:tcW w:w="1701"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D1471B">
            <w:pPr>
              <w:snapToGrid w:val="0"/>
              <w:jc w:val="center"/>
              <w:rPr>
                <w:rFonts w:cs="Calibri"/>
                <w:spacing w:val="-12"/>
                <w:sz w:val="24"/>
                <w:szCs w:val="24"/>
                <w:lang w:eastAsia="ar-SA"/>
              </w:rPr>
            </w:pPr>
            <w:r w:rsidRPr="00C27E0A">
              <w:rPr>
                <w:i/>
                <w:spacing w:val="-8"/>
                <w:sz w:val="24"/>
                <w:szCs w:val="24"/>
                <w:lang w:eastAsia="ar-SA"/>
              </w:rPr>
              <w:t xml:space="preserve"> </w:t>
            </w:r>
            <w:r w:rsidRPr="00C27E0A">
              <w:rPr>
                <w:i/>
                <w:spacing w:val="-8"/>
                <w:sz w:val="24"/>
                <w:szCs w:val="24"/>
                <w:lang w:val="en-US" w:eastAsia="ar-SA"/>
              </w:rPr>
              <w:t xml:space="preserve"> p </w:t>
            </w:r>
            <w:r w:rsidRPr="00D058B5">
              <w:rPr>
                <w:spacing w:val="-8"/>
                <w:sz w:val="24"/>
                <w:szCs w:val="24"/>
                <w:lang w:eastAsia="ar-SA"/>
              </w:rPr>
              <w:t>&gt;</w:t>
            </w:r>
            <w:r>
              <w:rPr>
                <w:spacing w:val="-8"/>
                <w:sz w:val="24"/>
                <w:szCs w:val="24"/>
                <w:lang w:eastAsia="ar-SA"/>
              </w:rPr>
              <w:t xml:space="preserve"> </w:t>
            </w:r>
            <w:r w:rsidRPr="00D058B5">
              <w:rPr>
                <w:spacing w:val="-8"/>
                <w:sz w:val="24"/>
                <w:szCs w:val="24"/>
                <w:lang w:eastAsia="ar-SA"/>
              </w:rPr>
              <w:t>0,05</w:t>
            </w:r>
          </w:p>
        </w:tc>
        <w:tc>
          <w:tcPr>
            <w:tcW w:w="1417"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D1471B">
            <w:pPr>
              <w:snapToGrid w:val="0"/>
              <w:jc w:val="center"/>
              <w:rPr>
                <w:rFonts w:cs="Calibri"/>
                <w:spacing w:val="-12"/>
                <w:sz w:val="24"/>
                <w:szCs w:val="24"/>
                <w:lang w:eastAsia="ar-SA"/>
              </w:rPr>
            </w:pPr>
            <w:r w:rsidRPr="00C27E0A">
              <w:rPr>
                <w:i/>
                <w:spacing w:val="-8"/>
                <w:sz w:val="24"/>
                <w:szCs w:val="24"/>
                <w:lang w:eastAsia="ar-SA"/>
              </w:rPr>
              <w:t xml:space="preserve"> </w:t>
            </w:r>
            <w:r w:rsidRPr="00C27E0A">
              <w:rPr>
                <w:i/>
                <w:spacing w:val="-8"/>
                <w:sz w:val="24"/>
                <w:szCs w:val="24"/>
                <w:lang w:val="en-US" w:eastAsia="ar-SA"/>
              </w:rPr>
              <w:t xml:space="preserve"> p </w:t>
            </w:r>
            <w:r w:rsidRPr="00D058B5">
              <w:rPr>
                <w:spacing w:val="-8"/>
                <w:sz w:val="24"/>
                <w:szCs w:val="24"/>
                <w:lang w:eastAsia="ar-SA"/>
              </w:rPr>
              <w:t>&gt;</w:t>
            </w:r>
            <w:r>
              <w:rPr>
                <w:spacing w:val="-8"/>
                <w:sz w:val="24"/>
                <w:szCs w:val="24"/>
                <w:lang w:eastAsia="ar-SA"/>
              </w:rPr>
              <w:t xml:space="preserve"> </w:t>
            </w:r>
            <w:r w:rsidRPr="00D058B5">
              <w:rPr>
                <w:spacing w:val="-8"/>
                <w:sz w:val="24"/>
                <w:szCs w:val="24"/>
                <w:lang w:eastAsia="ar-SA"/>
              </w:rPr>
              <w:t>0,05</w:t>
            </w:r>
          </w:p>
        </w:tc>
        <w:tc>
          <w:tcPr>
            <w:tcW w:w="1559"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D1471B">
            <w:pPr>
              <w:snapToGrid w:val="0"/>
              <w:jc w:val="center"/>
              <w:rPr>
                <w:rFonts w:cs="Calibri"/>
                <w:spacing w:val="-12"/>
                <w:sz w:val="24"/>
                <w:szCs w:val="24"/>
                <w:lang w:eastAsia="ar-SA"/>
              </w:rPr>
            </w:pPr>
            <w:r w:rsidRPr="00C27E0A">
              <w:rPr>
                <w:i/>
                <w:spacing w:val="-8"/>
                <w:sz w:val="24"/>
                <w:szCs w:val="24"/>
                <w:lang w:eastAsia="ar-SA"/>
              </w:rPr>
              <w:t xml:space="preserve"> </w:t>
            </w:r>
            <w:r w:rsidRPr="00C27E0A">
              <w:rPr>
                <w:i/>
                <w:spacing w:val="-8"/>
                <w:sz w:val="24"/>
                <w:szCs w:val="24"/>
                <w:lang w:val="en-US" w:eastAsia="ar-SA"/>
              </w:rPr>
              <w:t xml:space="preserve"> p </w:t>
            </w:r>
            <w:r w:rsidRPr="00D058B5">
              <w:rPr>
                <w:spacing w:val="-8"/>
                <w:sz w:val="24"/>
                <w:szCs w:val="24"/>
                <w:lang w:eastAsia="ar-SA"/>
              </w:rPr>
              <w:t>&gt;</w:t>
            </w:r>
            <w:r>
              <w:rPr>
                <w:spacing w:val="-8"/>
                <w:sz w:val="24"/>
                <w:szCs w:val="24"/>
                <w:lang w:eastAsia="ar-SA"/>
              </w:rPr>
              <w:t xml:space="preserve"> </w:t>
            </w:r>
            <w:r w:rsidRPr="00D058B5">
              <w:rPr>
                <w:spacing w:val="-8"/>
                <w:sz w:val="24"/>
                <w:szCs w:val="24"/>
                <w:lang w:eastAsia="ar-SA"/>
              </w:rPr>
              <w:t>0,05</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D058B5" w:rsidRDefault="00286780" w:rsidP="00A644B3">
            <w:pPr>
              <w:jc w:val="center"/>
              <w:rPr>
                <w:sz w:val="24"/>
                <w:szCs w:val="24"/>
              </w:rPr>
            </w:pPr>
            <w:r w:rsidRPr="00C27E0A">
              <w:rPr>
                <w:i/>
                <w:spacing w:val="-8"/>
                <w:sz w:val="24"/>
                <w:szCs w:val="24"/>
                <w:lang w:eastAsia="ar-SA"/>
              </w:rPr>
              <w:t xml:space="preserve"> </w:t>
            </w:r>
            <w:r w:rsidRPr="00C27E0A">
              <w:rPr>
                <w:i/>
                <w:spacing w:val="-8"/>
                <w:sz w:val="24"/>
                <w:szCs w:val="24"/>
                <w:lang w:val="en-US" w:eastAsia="ar-SA"/>
              </w:rPr>
              <w:t xml:space="preserve"> p </w:t>
            </w:r>
            <w:r w:rsidRPr="00D058B5">
              <w:rPr>
                <w:spacing w:val="-8"/>
                <w:sz w:val="24"/>
                <w:szCs w:val="24"/>
                <w:lang w:eastAsia="ar-SA"/>
              </w:rPr>
              <w:t>&gt;</w:t>
            </w:r>
            <w:r>
              <w:rPr>
                <w:spacing w:val="-8"/>
                <w:sz w:val="24"/>
                <w:szCs w:val="24"/>
                <w:lang w:eastAsia="ar-SA"/>
              </w:rPr>
              <w:t xml:space="preserve"> </w:t>
            </w:r>
            <w:r w:rsidRPr="00D058B5">
              <w:rPr>
                <w:spacing w:val="-8"/>
                <w:sz w:val="24"/>
                <w:szCs w:val="24"/>
                <w:lang w:eastAsia="ar-SA"/>
              </w:rPr>
              <w:t>0,05</w:t>
            </w:r>
          </w:p>
        </w:tc>
      </w:tr>
      <w:tr w:rsidR="00286780" w:rsidRPr="00D058B5" w:rsidTr="00A644B3">
        <w:trPr>
          <w:trHeight w:val="510"/>
        </w:trPr>
        <w:tc>
          <w:tcPr>
            <w:tcW w:w="2495" w:type="dxa"/>
            <w:tcBorders>
              <w:top w:val="single" w:sz="4" w:space="0" w:color="000000"/>
              <w:left w:val="single" w:sz="4" w:space="0" w:color="000000"/>
              <w:bottom w:val="single" w:sz="4" w:space="0" w:color="000000"/>
            </w:tcBorders>
            <w:tcMar>
              <w:left w:w="28" w:type="dxa"/>
              <w:right w:w="28" w:type="dxa"/>
            </w:tcMar>
          </w:tcPr>
          <w:p w:rsidR="00286780" w:rsidRPr="00D058B5" w:rsidRDefault="00286780" w:rsidP="00D1471B">
            <w:pPr>
              <w:snapToGrid w:val="0"/>
              <w:rPr>
                <w:rFonts w:cs="Calibri"/>
                <w:spacing w:val="-12"/>
                <w:sz w:val="24"/>
                <w:szCs w:val="24"/>
                <w:lang w:eastAsia="ar-SA"/>
              </w:rPr>
            </w:pPr>
            <w:r w:rsidRPr="00D058B5">
              <w:rPr>
                <w:rFonts w:cs="Calibri"/>
                <w:spacing w:val="-12"/>
                <w:sz w:val="24"/>
                <w:szCs w:val="24"/>
                <w:lang w:eastAsia="ar-SA"/>
              </w:rPr>
              <w:t>Определение количества вовлеченных топографоанатомических областей</w:t>
            </w:r>
          </w:p>
        </w:tc>
        <w:tc>
          <w:tcPr>
            <w:tcW w:w="1418"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D1471B">
            <w:pPr>
              <w:snapToGrid w:val="0"/>
              <w:jc w:val="center"/>
              <w:rPr>
                <w:rFonts w:cs="Calibri"/>
                <w:spacing w:val="-12"/>
                <w:sz w:val="24"/>
                <w:szCs w:val="24"/>
                <w:lang w:eastAsia="ar-SA"/>
              </w:rPr>
            </w:pPr>
            <w:r w:rsidRPr="00C27E0A">
              <w:rPr>
                <w:i/>
                <w:spacing w:val="-8"/>
                <w:sz w:val="24"/>
                <w:szCs w:val="24"/>
                <w:lang w:eastAsia="ar-SA"/>
              </w:rPr>
              <w:t xml:space="preserve"> </w:t>
            </w:r>
            <w:r w:rsidRPr="00994F0A">
              <w:rPr>
                <w:i/>
                <w:spacing w:val="-8"/>
                <w:sz w:val="24"/>
                <w:szCs w:val="24"/>
                <w:lang w:eastAsia="ar-SA"/>
              </w:rPr>
              <w:t xml:space="preserve"> </w:t>
            </w:r>
            <w:r w:rsidRPr="00C27E0A">
              <w:rPr>
                <w:i/>
                <w:spacing w:val="-8"/>
                <w:sz w:val="24"/>
                <w:szCs w:val="24"/>
                <w:lang w:val="en-US" w:eastAsia="ar-SA"/>
              </w:rPr>
              <w:t xml:space="preserve">p </w:t>
            </w:r>
            <w:r w:rsidRPr="00D058B5">
              <w:rPr>
                <w:spacing w:val="-8"/>
                <w:sz w:val="24"/>
                <w:szCs w:val="24"/>
                <w:lang w:eastAsia="ar-SA"/>
              </w:rPr>
              <w:t>&gt;</w:t>
            </w:r>
            <w:r>
              <w:rPr>
                <w:spacing w:val="-8"/>
                <w:sz w:val="24"/>
                <w:szCs w:val="24"/>
                <w:lang w:eastAsia="ar-SA"/>
              </w:rPr>
              <w:t xml:space="preserve"> </w:t>
            </w:r>
            <w:r w:rsidRPr="00D058B5">
              <w:rPr>
                <w:spacing w:val="-8"/>
                <w:sz w:val="24"/>
                <w:szCs w:val="24"/>
                <w:lang w:eastAsia="ar-SA"/>
              </w:rPr>
              <w:t>0,05</w:t>
            </w:r>
          </w:p>
        </w:tc>
        <w:tc>
          <w:tcPr>
            <w:tcW w:w="1701"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D1471B">
            <w:pPr>
              <w:snapToGrid w:val="0"/>
              <w:jc w:val="center"/>
              <w:rPr>
                <w:rFonts w:cs="Calibri"/>
                <w:spacing w:val="-12"/>
                <w:sz w:val="24"/>
                <w:szCs w:val="24"/>
                <w:lang w:eastAsia="ar-SA"/>
              </w:rPr>
            </w:pPr>
            <w:r w:rsidRPr="00C27E0A">
              <w:rPr>
                <w:i/>
                <w:spacing w:val="-8"/>
                <w:sz w:val="24"/>
                <w:szCs w:val="24"/>
                <w:lang w:eastAsia="ar-SA"/>
              </w:rPr>
              <w:t xml:space="preserve"> </w:t>
            </w:r>
            <w:r w:rsidRPr="00C27E0A">
              <w:rPr>
                <w:i/>
                <w:spacing w:val="-8"/>
                <w:sz w:val="24"/>
                <w:szCs w:val="24"/>
                <w:lang w:val="en-US" w:eastAsia="ar-SA"/>
              </w:rPr>
              <w:t xml:space="preserve"> p </w:t>
            </w:r>
            <w:r w:rsidRPr="00D058B5">
              <w:rPr>
                <w:spacing w:val="-8"/>
                <w:sz w:val="24"/>
                <w:szCs w:val="24"/>
                <w:lang w:eastAsia="ar-SA"/>
              </w:rPr>
              <w:t>&gt;</w:t>
            </w:r>
            <w:r>
              <w:rPr>
                <w:spacing w:val="-8"/>
                <w:sz w:val="24"/>
                <w:szCs w:val="24"/>
                <w:lang w:eastAsia="ar-SA"/>
              </w:rPr>
              <w:t xml:space="preserve"> </w:t>
            </w:r>
            <w:r w:rsidRPr="00D058B5">
              <w:rPr>
                <w:spacing w:val="-8"/>
                <w:sz w:val="24"/>
                <w:szCs w:val="24"/>
                <w:lang w:eastAsia="ar-SA"/>
              </w:rPr>
              <w:t>0,05</w:t>
            </w:r>
          </w:p>
        </w:tc>
        <w:tc>
          <w:tcPr>
            <w:tcW w:w="1417"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D1471B">
            <w:pPr>
              <w:snapToGrid w:val="0"/>
              <w:jc w:val="center"/>
              <w:rPr>
                <w:rFonts w:cs="Calibri"/>
                <w:spacing w:val="-12"/>
                <w:sz w:val="24"/>
                <w:szCs w:val="24"/>
                <w:lang w:eastAsia="ar-SA"/>
              </w:rPr>
            </w:pPr>
            <w:r w:rsidRPr="00C27E0A">
              <w:rPr>
                <w:i/>
                <w:spacing w:val="-8"/>
                <w:sz w:val="24"/>
                <w:szCs w:val="24"/>
                <w:lang w:eastAsia="ar-SA"/>
              </w:rPr>
              <w:t xml:space="preserve"> </w:t>
            </w:r>
            <w:r w:rsidRPr="00C27E0A">
              <w:rPr>
                <w:i/>
                <w:spacing w:val="-8"/>
                <w:sz w:val="24"/>
                <w:szCs w:val="24"/>
                <w:lang w:val="en-US" w:eastAsia="ar-SA"/>
              </w:rPr>
              <w:t xml:space="preserve"> p </w:t>
            </w:r>
            <w:r w:rsidRPr="00D058B5">
              <w:rPr>
                <w:spacing w:val="-8"/>
                <w:sz w:val="24"/>
                <w:szCs w:val="24"/>
                <w:lang w:eastAsia="ar-SA"/>
              </w:rPr>
              <w:t>&gt;</w:t>
            </w:r>
            <w:r>
              <w:rPr>
                <w:spacing w:val="-8"/>
                <w:sz w:val="24"/>
                <w:szCs w:val="24"/>
                <w:lang w:eastAsia="ar-SA"/>
              </w:rPr>
              <w:t xml:space="preserve"> </w:t>
            </w:r>
            <w:r w:rsidRPr="00D058B5">
              <w:rPr>
                <w:spacing w:val="-8"/>
                <w:sz w:val="24"/>
                <w:szCs w:val="24"/>
                <w:lang w:eastAsia="ar-SA"/>
              </w:rPr>
              <w:t>0,05</w:t>
            </w:r>
          </w:p>
        </w:tc>
        <w:tc>
          <w:tcPr>
            <w:tcW w:w="1559"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D1471B">
            <w:pPr>
              <w:snapToGrid w:val="0"/>
              <w:jc w:val="center"/>
              <w:rPr>
                <w:rFonts w:cs="Calibri"/>
                <w:spacing w:val="-12"/>
                <w:sz w:val="24"/>
                <w:szCs w:val="24"/>
                <w:lang w:eastAsia="ar-SA"/>
              </w:rPr>
            </w:pPr>
            <w:r w:rsidRPr="00C27E0A">
              <w:rPr>
                <w:i/>
                <w:spacing w:val="-8"/>
                <w:sz w:val="24"/>
                <w:szCs w:val="24"/>
                <w:lang w:eastAsia="ar-SA"/>
              </w:rPr>
              <w:t xml:space="preserve"> </w:t>
            </w:r>
            <w:r w:rsidRPr="00C27E0A">
              <w:rPr>
                <w:i/>
                <w:spacing w:val="-8"/>
                <w:sz w:val="24"/>
                <w:szCs w:val="24"/>
                <w:lang w:val="en-US" w:eastAsia="ar-SA"/>
              </w:rPr>
              <w:t xml:space="preserve"> p </w:t>
            </w:r>
            <w:r w:rsidRPr="00D058B5">
              <w:rPr>
                <w:spacing w:val="-8"/>
                <w:sz w:val="24"/>
                <w:szCs w:val="24"/>
                <w:lang w:eastAsia="ar-SA"/>
              </w:rPr>
              <w:t>&gt;</w:t>
            </w:r>
            <w:r>
              <w:rPr>
                <w:spacing w:val="-8"/>
                <w:sz w:val="24"/>
                <w:szCs w:val="24"/>
                <w:lang w:eastAsia="ar-SA"/>
              </w:rPr>
              <w:t xml:space="preserve"> </w:t>
            </w:r>
            <w:r w:rsidRPr="00D058B5">
              <w:rPr>
                <w:spacing w:val="-8"/>
                <w:sz w:val="24"/>
                <w:szCs w:val="24"/>
                <w:lang w:eastAsia="ar-SA"/>
              </w:rPr>
              <w:t>0,05</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D058B5" w:rsidRDefault="00286780" w:rsidP="00A644B3">
            <w:pPr>
              <w:jc w:val="center"/>
              <w:rPr>
                <w:sz w:val="24"/>
                <w:szCs w:val="24"/>
              </w:rPr>
            </w:pPr>
            <w:r w:rsidRPr="00C27E0A">
              <w:rPr>
                <w:i/>
                <w:spacing w:val="-8"/>
                <w:sz w:val="24"/>
                <w:szCs w:val="24"/>
                <w:lang w:eastAsia="ar-SA"/>
              </w:rPr>
              <w:t xml:space="preserve"> </w:t>
            </w:r>
            <w:r w:rsidRPr="00C27E0A">
              <w:rPr>
                <w:i/>
                <w:spacing w:val="-8"/>
                <w:sz w:val="24"/>
                <w:szCs w:val="24"/>
                <w:lang w:val="en-US" w:eastAsia="ar-SA"/>
              </w:rPr>
              <w:t xml:space="preserve"> p </w:t>
            </w:r>
            <w:r w:rsidRPr="00D058B5">
              <w:rPr>
                <w:spacing w:val="-8"/>
                <w:sz w:val="24"/>
                <w:szCs w:val="24"/>
                <w:lang w:eastAsia="ar-SA"/>
              </w:rPr>
              <w:t>&gt;</w:t>
            </w:r>
            <w:r>
              <w:rPr>
                <w:spacing w:val="-8"/>
                <w:sz w:val="24"/>
                <w:szCs w:val="24"/>
                <w:lang w:eastAsia="ar-SA"/>
              </w:rPr>
              <w:t xml:space="preserve"> </w:t>
            </w:r>
            <w:r w:rsidRPr="00D058B5">
              <w:rPr>
                <w:spacing w:val="-8"/>
                <w:sz w:val="24"/>
                <w:szCs w:val="24"/>
                <w:lang w:eastAsia="ar-SA"/>
              </w:rPr>
              <w:t>0,05</w:t>
            </w:r>
          </w:p>
        </w:tc>
      </w:tr>
      <w:tr w:rsidR="00286780" w:rsidRPr="00D058B5" w:rsidTr="00A644B3">
        <w:trPr>
          <w:trHeight w:val="510"/>
        </w:trPr>
        <w:tc>
          <w:tcPr>
            <w:tcW w:w="2495" w:type="dxa"/>
            <w:tcBorders>
              <w:top w:val="single" w:sz="4" w:space="0" w:color="000000"/>
              <w:left w:val="single" w:sz="4" w:space="0" w:color="000000"/>
              <w:bottom w:val="single" w:sz="4" w:space="0" w:color="000000"/>
            </w:tcBorders>
            <w:tcMar>
              <w:left w:w="28" w:type="dxa"/>
              <w:right w:w="28" w:type="dxa"/>
            </w:tcMar>
          </w:tcPr>
          <w:p w:rsidR="00286780" w:rsidRPr="00D058B5" w:rsidRDefault="00286780" w:rsidP="00D1471B">
            <w:pPr>
              <w:snapToGrid w:val="0"/>
              <w:rPr>
                <w:rFonts w:cs="Calibri"/>
                <w:spacing w:val="-12"/>
                <w:sz w:val="24"/>
                <w:szCs w:val="24"/>
                <w:lang w:eastAsia="ar-SA"/>
              </w:rPr>
            </w:pPr>
            <w:r w:rsidRPr="00D058B5">
              <w:rPr>
                <w:rFonts w:cs="Calibri"/>
                <w:spacing w:val="-12"/>
                <w:sz w:val="24"/>
                <w:szCs w:val="24"/>
                <w:lang w:eastAsia="ar-SA"/>
              </w:rPr>
              <w:t>Совмещение определения некротизирующего компонента и количества вовлеченных топографоанатомических областей</w:t>
            </w:r>
          </w:p>
        </w:tc>
        <w:tc>
          <w:tcPr>
            <w:tcW w:w="1418"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D1471B">
            <w:pPr>
              <w:snapToGrid w:val="0"/>
              <w:jc w:val="center"/>
              <w:rPr>
                <w:rFonts w:cs="Calibri"/>
                <w:spacing w:val="-12"/>
                <w:sz w:val="24"/>
                <w:szCs w:val="24"/>
                <w:lang w:eastAsia="ar-SA"/>
              </w:rPr>
            </w:pPr>
            <w:r w:rsidRPr="00C27E0A">
              <w:rPr>
                <w:i/>
                <w:spacing w:val="-8"/>
                <w:sz w:val="24"/>
                <w:szCs w:val="24"/>
                <w:lang w:eastAsia="ar-SA"/>
              </w:rPr>
              <w:t xml:space="preserve"> </w:t>
            </w:r>
            <w:r w:rsidRPr="00994F0A">
              <w:rPr>
                <w:i/>
                <w:spacing w:val="-8"/>
                <w:sz w:val="24"/>
                <w:szCs w:val="24"/>
                <w:lang w:eastAsia="ar-SA"/>
              </w:rPr>
              <w:t xml:space="preserve"> </w:t>
            </w:r>
            <w:r w:rsidRPr="00C27E0A">
              <w:rPr>
                <w:i/>
                <w:spacing w:val="-8"/>
                <w:sz w:val="24"/>
                <w:szCs w:val="24"/>
                <w:lang w:val="en-US" w:eastAsia="ar-SA"/>
              </w:rPr>
              <w:t xml:space="preserve">p </w:t>
            </w:r>
            <w:r w:rsidRPr="00D058B5">
              <w:rPr>
                <w:spacing w:val="-8"/>
                <w:sz w:val="24"/>
                <w:szCs w:val="24"/>
                <w:lang w:eastAsia="ar-SA"/>
              </w:rPr>
              <w:t>&gt;</w:t>
            </w:r>
            <w:r>
              <w:rPr>
                <w:spacing w:val="-8"/>
                <w:sz w:val="24"/>
                <w:szCs w:val="24"/>
                <w:lang w:eastAsia="ar-SA"/>
              </w:rPr>
              <w:t xml:space="preserve"> </w:t>
            </w:r>
            <w:r w:rsidRPr="00D058B5">
              <w:rPr>
                <w:spacing w:val="-8"/>
                <w:sz w:val="24"/>
                <w:szCs w:val="24"/>
                <w:lang w:eastAsia="ar-SA"/>
              </w:rPr>
              <w:t>0,05</w:t>
            </w:r>
          </w:p>
        </w:tc>
        <w:tc>
          <w:tcPr>
            <w:tcW w:w="1701"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D1471B">
            <w:pPr>
              <w:snapToGrid w:val="0"/>
              <w:jc w:val="center"/>
              <w:rPr>
                <w:rFonts w:cs="Calibri"/>
                <w:spacing w:val="-12"/>
                <w:sz w:val="24"/>
                <w:szCs w:val="24"/>
                <w:lang w:eastAsia="ar-SA"/>
              </w:rPr>
            </w:pPr>
            <w:r w:rsidRPr="00C27E0A">
              <w:rPr>
                <w:i/>
                <w:spacing w:val="-8"/>
                <w:sz w:val="24"/>
                <w:szCs w:val="24"/>
                <w:lang w:eastAsia="ar-SA"/>
              </w:rPr>
              <w:t xml:space="preserve"> </w:t>
            </w:r>
            <w:r w:rsidRPr="00C27E0A">
              <w:rPr>
                <w:i/>
                <w:spacing w:val="-8"/>
                <w:sz w:val="24"/>
                <w:szCs w:val="24"/>
                <w:lang w:val="en-US" w:eastAsia="ar-SA"/>
              </w:rPr>
              <w:t xml:space="preserve"> p </w:t>
            </w:r>
            <w:r w:rsidRPr="00D058B5">
              <w:rPr>
                <w:spacing w:val="-8"/>
                <w:sz w:val="24"/>
                <w:szCs w:val="24"/>
                <w:lang w:eastAsia="ar-SA"/>
              </w:rPr>
              <w:t>&gt;</w:t>
            </w:r>
            <w:r>
              <w:rPr>
                <w:spacing w:val="-8"/>
                <w:sz w:val="24"/>
                <w:szCs w:val="24"/>
                <w:lang w:eastAsia="ar-SA"/>
              </w:rPr>
              <w:t xml:space="preserve"> </w:t>
            </w:r>
            <w:r w:rsidRPr="00D058B5">
              <w:rPr>
                <w:spacing w:val="-8"/>
                <w:sz w:val="24"/>
                <w:szCs w:val="24"/>
                <w:lang w:eastAsia="ar-SA"/>
              </w:rPr>
              <w:t>0,05</w:t>
            </w:r>
          </w:p>
        </w:tc>
        <w:tc>
          <w:tcPr>
            <w:tcW w:w="1417"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D1471B">
            <w:pPr>
              <w:snapToGrid w:val="0"/>
              <w:jc w:val="center"/>
              <w:rPr>
                <w:rFonts w:cs="Calibri"/>
                <w:spacing w:val="-12"/>
                <w:sz w:val="24"/>
                <w:szCs w:val="24"/>
                <w:lang w:eastAsia="ar-SA"/>
              </w:rPr>
            </w:pPr>
            <w:r w:rsidRPr="00C27E0A">
              <w:rPr>
                <w:i/>
                <w:spacing w:val="-8"/>
                <w:sz w:val="24"/>
                <w:szCs w:val="24"/>
                <w:lang w:eastAsia="ar-SA"/>
              </w:rPr>
              <w:t xml:space="preserve"> </w:t>
            </w:r>
            <w:r w:rsidRPr="00C27E0A">
              <w:rPr>
                <w:i/>
                <w:spacing w:val="-8"/>
                <w:sz w:val="24"/>
                <w:szCs w:val="24"/>
                <w:lang w:val="en-US" w:eastAsia="ar-SA"/>
              </w:rPr>
              <w:t xml:space="preserve"> p </w:t>
            </w:r>
            <w:r w:rsidRPr="00D058B5">
              <w:rPr>
                <w:spacing w:val="-8"/>
                <w:sz w:val="24"/>
                <w:szCs w:val="24"/>
                <w:lang w:eastAsia="ar-SA"/>
              </w:rPr>
              <w:t>&gt;</w:t>
            </w:r>
            <w:r>
              <w:rPr>
                <w:spacing w:val="-8"/>
                <w:sz w:val="24"/>
                <w:szCs w:val="24"/>
                <w:lang w:eastAsia="ar-SA"/>
              </w:rPr>
              <w:t xml:space="preserve"> </w:t>
            </w:r>
            <w:r w:rsidRPr="00D058B5">
              <w:rPr>
                <w:spacing w:val="-8"/>
                <w:sz w:val="24"/>
                <w:szCs w:val="24"/>
                <w:lang w:eastAsia="ar-SA"/>
              </w:rPr>
              <w:t>0,05</w:t>
            </w:r>
          </w:p>
        </w:tc>
        <w:tc>
          <w:tcPr>
            <w:tcW w:w="1559"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D1471B">
            <w:pPr>
              <w:snapToGrid w:val="0"/>
              <w:jc w:val="center"/>
              <w:rPr>
                <w:rFonts w:cs="Calibri"/>
                <w:spacing w:val="-12"/>
                <w:sz w:val="24"/>
                <w:szCs w:val="24"/>
                <w:lang w:eastAsia="ar-SA"/>
              </w:rPr>
            </w:pPr>
            <w:r w:rsidRPr="00C27E0A">
              <w:rPr>
                <w:i/>
                <w:spacing w:val="-8"/>
                <w:sz w:val="24"/>
                <w:szCs w:val="24"/>
                <w:lang w:eastAsia="ar-SA"/>
              </w:rPr>
              <w:t xml:space="preserve"> </w:t>
            </w:r>
            <w:r w:rsidRPr="00C27E0A">
              <w:rPr>
                <w:i/>
                <w:spacing w:val="-8"/>
                <w:sz w:val="24"/>
                <w:szCs w:val="24"/>
                <w:lang w:val="en-US" w:eastAsia="ar-SA"/>
              </w:rPr>
              <w:t xml:space="preserve"> p </w:t>
            </w:r>
            <w:r w:rsidRPr="00D058B5">
              <w:rPr>
                <w:spacing w:val="-8"/>
                <w:sz w:val="24"/>
                <w:szCs w:val="24"/>
                <w:lang w:eastAsia="ar-SA"/>
              </w:rPr>
              <w:t>&gt;</w:t>
            </w:r>
            <w:r>
              <w:rPr>
                <w:spacing w:val="-8"/>
                <w:sz w:val="24"/>
                <w:szCs w:val="24"/>
                <w:lang w:eastAsia="ar-SA"/>
              </w:rPr>
              <w:t xml:space="preserve"> </w:t>
            </w:r>
            <w:r w:rsidRPr="00D058B5">
              <w:rPr>
                <w:spacing w:val="-8"/>
                <w:sz w:val="24"/>
                <w:szCs w:val="24"/>
                <w:lang w:eastAsia="ar-SA"/>
              </w:rPr>
              <w:t>0,05</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D058B5" w:rsidRDefault="00286780" w:rsidP="00A644B3">
            <w:pPr>
              <w:jc w:val="center"/>
              <w:rPr>
                <w:sz w:val="24"/>
                <w:szCs w:val="24"/>
              </w:rPr>
            </w:pPr>
            <w:r w:rsidRPr="00C27E0A">
              <w:rPr>
                <w:i/>
                <w:spacing w:val="-8"/>
                <w:sz w:val="24"/>
                <w:szCs w:val="24"/>
                <w:lang w:eastAsia="ar-SA"/>
              </w:rPr>
              <w:t xml:space="preserve"> </w:t>
            </w:r>
            <w:r w:rsidRPr="00C27E0A">
              <w:rPr>
                <w:i/>
                <w:spacing w:val="-8"/>
                <w:sz w:val="24"/>
                <w:szCs w:val="24"/>
                <w:lang w:val="en-US" w:eastAsia="ar-SA"/>
              </w:rPr>
              <w:t xml:space="preserve"> p </w:t>
            </w:r>
            <w:r w:rsidRPr="00D058B5">
              <w:rPr>
                <w:spacing w:val="-8"/>
                <w:sz w:val="24"/>
                <w:szCs w:val="24"/>
                <w:lang w:eastAsia="ar-SA"/>
              </w:rPr>
              <w:t>&gt;</w:t>
            </w:r>
            <w:r>
              <w:rPr>
                <w:spacing w:val="-8"/>
                <w:sz w:val="24"/>
                <w:szCs w:val="24"/>
                <w:lang w:eastAsia="ar-SA"/>
              </w:rPr>
              <w:t xml:space="preserve"> </w:t>
            </w:r>
            <w:r w:rsidRPr="00D058B5">
              <w:rPr>
                <w:spacing w:val="-8"/>
                <w:sz w:val="24"/>
                <w:szCs w:val="24"/>
                <w:lang w:eastAsia="ar-SA"/>
              </w:rPr>
              <w:t>0,05</w:t>
            </w:r>
          </w:p>
        </w:tc>
      </w:tr>
      <w:tr w:rsidR="00286780" w:rsidRPr="00D058B5" w:rsidTr="00E92D4E">
        <w:trPr>
          <w:trHeight w:val="510"/>
        </w:trPr>
        <w:tc>
          <w:tcPr>
            <w:tcW w:w="10008" w:type="dxa"/>
            <w:gridSpan w:val="6"/>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D058B5" w:rsidRDefault="00286780" w:rsidP="00D1471B">
            <w:pPr>
              <w:jc w:val="both"/>
              <w:rPr>
                <w:rFonts w:cs="Calibri"/>
                <w:spacing w:val="-8"/>
                <w:sz w:val="24"/>
                <w:szCs w:val="24"/>
                <w:lang w:eastAsia="ar-SA"/>
              </w:rPr>
            </w:pPr>
            <w:r w:rsidRPr="00D058B5">
              <w:rPr>
                <w:rFonts w:cs="Calibri"/>
                <w:i/>
                <w:spacing w:val="-8"/>
                <w:sz w:val="24"/>
                <w:szCs w:val="24"/>
                <w:lang w:eastAsia="ar-SA"/>
              </w:rPr>
              <w:t>Примечание</w:t>
            </w:r>
            <w:r w:rsidRPr="00D058B5">
              <w:rPr>
                <w:rFonts w:cs="Calibri"/>
                <w:spacing w:val="-8"/>
                <w:sz w:val="24"/>
                <w:szCs w:val="24"/>
                <w:lang w:eastAsia="ar-SA"/>
              </w:rPr>
              <w:t xml:space="preserve">. </w:t>
            </w:r>
            <w:r w:rsidRPr="00D058B5">
              <w:rPr>
                <w:rFonts w:cs="Calibri"/>
                <w:spacing w:val="-8"/>
                <w:sz w:val="24"/>
                <w:szCs w:val="24"/>
                <w:lang w:val="en-US" w:eastAsia="ar-SA"/>
              </w:rPr>
              <w:t>Se</w:t>
            </w:r>
            <w:r w:rsidRPr="00D058B5">
              <w:rPr>
                <w:rFonts w:cs="Calibri"/>
                <w:spacing w:val="-8"/>
                <w:sz w:val="24"/>
                <w:szCs w:val="24"/>
                <w:lang w:eastAsia="ar-SA"/>
              </w:rPr>
              <w:t xml:space="preserve"> – чувствительность, </w:t>
            </w:r>
            <w:r w:rsidRPr="00D058B5">
              <w:rPr>
                <w:rFonts w:cs="Calibri"/>
                <w:spacing w:val="-8"/>
                <w:sz w:val="24"/>
                <w:szCs w:val="24"/>
                <w:lang w:val="en-US" w:eastAsia="ar-SA"/>
              </w:rPr>
              <w:t>Sp</w:t>
            </w:r>
            <w:r w:rsidRPr="00D058B5">
              <w:rPr>
                <w:rFonts w:cs="Calibri"/>
                <w:spacing w:val="-8"/>
                <w:sz w:val="24"/>
                <w:szCs w:val="24"/>
                <w:lang w:eastAsia="ar-SA"/>
              </w:rPr>
              <w:t xml:space="preserve"> – специфичность, Ас – точность, </w:t>
            </w:r>
            <w:r w:rsidRPr="00D058B5">
              <w:rPr>
                <w:rFonts w:cs="Calibri"/>
                <w:spacing w:val="-8"/>
                <w:sz w:val="24"/>
                <w:szCs w:val="24"/>
                <w:lang w:val="en-US" w:eastAsia="ar-SA"/>
              </w:rPr>
              <w:t>PPV</w:t>
            </w:r>
            <w:r w:rsidRPr="00D058B5">
              <w:rPr>
                <w:rFonts w:cs="Calibri"/>
                <w:spacing w:val="-8"/>
                <w:sz w:val="24"/>
                <w:szCs w:val="24"/>
                <w:lang w:eastAsia="ar-SA"/>
              </w:rPr>
              <w:t xml:space="preserve"> – прогностичность положительного результата, </w:t>
            </w:r>
            <w:r w:rsidRPr="00D058B5">
              <w:rPr>
                <w:rFonts w:cs="Calibri"/>
                <w:spacing w:val="-8"/>
                <w:sz w:val="24"/>
                <w:szCs w:val="24"/>
                <w:lang w:val="en-US" w:eastAsia="ar-SA"/>
              </w:rPr>
              <w:t>NPV</w:t>
            </w:r>
            <w:r w:rsidRPr="00D058B5">
              <w:rPr>
                <w:rFonts w:cs="Calibri"/>
                <w:spacing w:val="-8"/>
                <w:sz w:val="24"/>
                <w:szCs w:val="24"/>
                <w:lang w:eastAsia="ar-SA"/>
              </w:rPr>
              <w:t xml:space="preserve"> – прогностичность отрицательного результата; </w:t>
            </w:r>
            <w:r w:rsidRPr="00D058B5">
              <w:rPr>
                <w:rFonts w:cs="Calibri"/>
                <w:sz w:val="24"/>
                <w:szCs w:val="24"/>
                <w:lang w:eastAsia="ar-SA"/>
              </w:rPr>
              <w:t xml:space="preserve">различия между группами статистически достоверны при </w:t>
            </w:r>
            <w:r w:rsidRPr="00D058B5">
              <w:rPr>
                <w:rFonts w:cs="Calibri"/>
                <w:sz w:val="24"/>
                <w:szCs w:val="24"/>
                <w:lang w:val="en-US" w:eastAsia="ar-SA"/>
              </w:rPr>
              <w:t>p</w:t>
            </w:r>
            <w:r w:rsidRPr="00D058B5">
              <w:rPr>
                <w:rFonts w:cs="Calibri"/>
                <w:sz w:val="24"/>
                <w:szCs w:val="24"/>
                <w:lang w:eastAsia="ar-SA"/>
              </w:rPr>
              <w:t>&lt;0,05</w:t>
            </w:r>
          </w:p>
        </w:tc>
      </w:tr>
    </w:tbl>
    <w:p w:rsidR="00286780" w:rsidRDefault="00286780" w:rsidP="00CE6523">
      <w:pPr>
        <w:spacing w:line="360" w:lineRule="auto"/>
        <w:ind w:firstLine="709"/>
        <w:jc w:val="both"/>
        <w:rPr>
          <w:rFonts w:cs="Calibri"/>
          <w:sz w:val="28"/>
          <w:szCs w:val="28"/>
          <w:lang w:eastAsia="ar-SA"/>
        </w:rPr>
      </w:pPr>
    </w:p>
    <w:p w:rsidR="00286780" w:rsidRDefault="00286780" w:rsidP="00CE6523">
      <w:pPr>
        <w:spacing w:line="360" w:lineRule="auto"/>
        <w:ind w:firstLine="709"/>
        <w:jc w:val="both"/>
        <w:rPr>
          <w:spacing w:val="-8"/>
          <w:sz w:val="28"/>
          <w:szCs w:val="28"/>
          <w:lang w:eastAsia="ar-SA"/>
        </w:rPr>
      </w:pPr>
      <w:r>
        <w:rPr>
          <w:rFonts w:cs="Calibri"/>
          <w:sz w:val="28"/>
          <w:szCs w:val="28"/>
          <w:lang w:eastAsia="ar-SA"/>
        </w:rPr>
        <w:t xml:space="preserve">Из Таблицы 64 следует, что разработанный алгоритм ранней диагностики одонтогенного сепсиса статистически значимо более эффективен, </w:t>
      </w:r>
      <w:r w:rsidRPr="00A644B3">
        <w:rPr>
          <w:rFonts w:cs="Calibri"/>
          <w:sz w:val="28"/>
          <w:szCs w:val="28"/>
          <w:lang w:eastAsia="ar-SA"/>
        </w:rPr>
        <w:t xml:space="preserve">чем </w:t>
      </w:r>
      <w:r w:rsidRPr="00A644B3">
        <w:rPr>
          <w:spacing w:val="-8"/>
          <w:sz w:val="28"/>
          <w:szCs w:val="28"/>
          <w:lang w:val="en-US" w:eastAsia="ar-SA"/>
        </w:rPr>
        <w:t>qSOFA</w:t>
      </w:r>
      <w:r w:rsidRPr="00A644B3">
        <w:rPr>
          <w:spacing w:val="-8"/>
          <w:sz w:val="28"/>
          <w:szCs w:val="28"/>
          <w:lang w:eastAsia="ar-SA"/>
        </w:rPr>
        <w:t xml:space="preserve"> и </w:t>
      </w:r>
      <w:r w:rsidRPr="00A644B3">
        <w:rPr>
          <w:rFonts w:cs="Calibri"/>
          <w:sz w:val="28"/>
          <w:szCs w:val="28"/>
          <w:lang w:val="en-US" w:eastAsia="ar-SA"/>
        </w:rPr>
        <w:t>SOFA</w:t>
      </w:r>
      <w:r w:rsidRPr="00A644B3">
        <w:rPr>
          <w:rFonts w:cs="Calibri"/>
          <w:sz w:val="28"/>
          <w:szCs w:val="28"/>
          <w:lang w:eastAsia="ar-SA"/>
        </w:rPr>
        <w:t xml:space="preserve"> (исключен </w:t>
      </w:r>
      <w:r w:rsidRPr="00A644B3">
        <w:rPr>
          <w:rFonts w:cs="Calibri"/>
          <w:sz w:val="28"/>
          <w:szCs w:val="28"/>
          <w:lang w:val="en-US" w:eastAsia="ar-SA"/>
        </w:rPr>
        <w:t>PaO</w:t>
      </w:r>
      <w:r w:rsidRPr="00A644B3">
        <w:rPr>
          <w:rFonts w:cs="Calibri"/>
          <w:sz w:val="28"/>
          <w:szCs w:val="28"/>
          <w:lang w:eastAsia="ar-SA"/>
        </w:rPr>
        <w:t>2/</w:t>
      </w:r>
      <w:r w:rsidRPr="00A644B3">
        <w:rPr>
          <w:rFonts w:cs="Calibri"/>
          <w:sz w:val="28"/>
          <w:szCs w:val="28"/>
          <w:lang w:val="en-US" w:eastAsia="ar-SA"/>
        </w:rPr>
        <w:t>FiO</w:t>
      </w:r>
      <w:r w:rsidRPr="00A644B3">
        <w:rPr>
          <w:rFonts w:cs="Calibri"/>
          <w:sz w:val="28"/>
          <w:szCs w:val="28"/>
          <w:lang w:eastAsia="ar-SA"/>
        </w:rPr>
        <w:t>2)</w:t>
      </w:r>
      <w:r>
        <w:rPr>
          <w:rFonts w:cs="Calibri"/>
          <w:sz w:val="28"/>
          <w:szCs w:val="28"/>
          <w:lang w:eastAsia="ar-SA"/>
        </w:rPr>
        <w:t xml:space="preserve"> по критериям </w:t>
      </w:r>
      <w:r w:rsidRPr="00A644B3">
        <w:rPr>
          <w:spacing w:val="-8"/>
          <w:sz w:val="28"/>
          <w:szCs w:val="28"/>
          <w:lang w:val="en-US" w:eastAsia="ar-SA"/>
        </w:rPr>
        <w:t>Se</w:t>
      </w:r>
      <w:r w:rsidRPr="00A644B3">
        <w:rPr>
          <w:spacing w:val="-8"/>
          <w:sz w:val="28"/>
          <w:szCs w:val="28"/>
          <w:lang w:eastAsia="ar-SA"/>
        </w:rPr>
        <w:t xml:space="preserve"> и </w:t>
      </w:r>
      <w:r w:rsidRPr="00A644B3">
        <w:rPr>
          <w:spacing w:val="-8"/>
          <w:sz w:val="28"/>
          <w:szCs w:val="28"/>
          <w:lang w:val="en-US" w:eastAsia="ar-SA"/>
        </w:rPr>
        <w:t>NPV</w:t>
      </w:r>
      <w:r w:rsidRPr="00A644B3">
        <w:rPr>
          <w:spacing w:val="-8"/>
          <w:sz w:val="28"/>
          <w:szCs w:val="28"/>
          <w:lang w:eastAsia="ar-SA"/>
        </w:rPr>
        <w:t>.</w:t>
      </w:r>
      <w:r>
        <w:rPr>
          <w:spacing w:val="-8"/>
          <w:sz w:val="28"/>
          <w:szCs w:val="28"/>
          <w:lang w:eastAsia="ar-SA"/>
        </w:rPr>
        <w:t xml:space="preserve"> Следует отметить, что эффективность применения алгоритмов определения признаков некротизирующего воспалительного процесса и количества вовлеченных топографо-анатомических областей, а так </w:t>
      </w:r>
      <w:r>
        <w:rPr>
          <w:spacing w:val="-8"/>
          <w:sz w:val="28"/>
          <w:szCs w:val="28"/>
          <w:lang w:eastAsia="ar-SA"/>
        </w:rPr>
        <w:lastRenderedPageBreak/>
        <w:t>же совмещение двух последних алгоримов, статистически значимым приростом эффективности по сравнению с модифицированным скрининговым алгоритмом, не отличается (</w:t>
      </w:r>
      <w:r>
        <w:rPr>
          <w:spacing w:val="-8"/>
          <w:sz w:val="28"/>
          <w:szCs w:val="28"/>
          <w:lang w:val="en-US" w:eastAsia="ar-SA"/>
        </w:rPr>
        <w:t>p</w:t>
      </w:r>
      <w:r w:rsidRPr="00D1471B">
        <w:rPr>
          <w:spacing w:val="-8"/>
          <w:sz w:val="28"/>
          <w:szCs w:val="28"/>
          <w:lang w:eastAsia="ar-SA"/>
        </w:rPr>
        <w:t>&gt;</w:t>
      </w:r>
      <w:r>
        <w:rPr>
          <w:spacing w:val="-8"/>
          <w:sz w:val="28"/>
          <w:szCs w:val="28"/>
          <w:lang w:eastAsia="ar-SA"/>
        </w:rPr>
        <w:t xml:space="preserve">0,05 для всех критериев сравнения). Следовательно, теоретически данные алгоритмы можно применять для определения ранних признаков одонтогенного сепсиса самостоятельно, без комбинирования, например, с </w:t>
      </w:r>
      <w:r w:rsidRPr="00583142">
        <w:rPr>
          <w:rFonts w:cs="Calibri"/>
          <w:sz w:val="28"/>
          <w:szCs w:val="28"/>
          <w:lang w:val="en-US" w:eastAsia="ar-SA"/>
        </w:rPr>
        <w:t>SOFA</w:t>
      </w:r>
      <w:r w:rsidRPr="00583142">
        <w:rPr>
          <w:spacing w:val="-8"/>
          <w:sz w:val="28"/>
          <w:szCs w:val="28"/>
          <w:lang w:eastAsia="ar-SA"/>
        </w:rPr>
        <w:t>.</w:t>
      </w:r>
    </w:p>
    <w:p w:rsidR="00286780" w:rsidRDefault="00286780" w:rsidP="00CE6523">
      <w:pPr>
        <w:spacing w:line="360" w:lineRule="auto"/>
        <w:ind w:firstLine="709"/>
        <w:jc w:val="both"/>
        <w:rPr>
          <w:spacing w:val="-8"/>
          <w:sz w:val="28"/>
          <w:szCs w:val="28"/>
          <w:lang w:eastAsia="ar-SA"/>
        </w:rPr>
      </w:pPr>
      <w:r>
        <w:rPr>
          <w:spacing w:val="-8"/>
          <w:sz w:val="28"/>
          <w:szCs w:val="28"/>
          <w:lang w:eastAsia="ar-SA"/>
        </w:rPr>
        <w:t>Однако, автор данного диссертационного исследования считает, что для правильной диагностики одонтогенного воспалительного процесса и сепсиса практическому врачу необходимо обладать максимально возможным набором информации о пациенте, в связи с чем применение данных алгоритмов "в отдельности" считаем нецелесообразным.</w:t>
      </w:r>
    </w:p>
    <w:p w:rsidR="00286780" w:rsidRPr="00CE6523" w:rsidRDefault="00286780" w:rsidP="00CE6523">
      <w:pPr>
        <w:spacing w:line="360" w:lineRule="auto"/>
        <w:ind w:firstLine="709"/>
        <w:jc w:val="both"/>
        <w:rPr>
          <w:rFonts w:cs="Calibri"/>
          <w:sz w:val="28"/>
          <w:szCs w:val="28"/>
          <w:lang w:eastAsia="ar-SA"/>
        </w:rPr>
      </w:pPr>
      <w:r w:rsidRPr="00CE6523">
        <w:rPr>
          <w:rFonts w:cs="Calibri"/>
          <w:sz w:val="28"/>
          <w:szCs w:val="28"/>
          <w:lang w:eastAsia="ar-SA"/>
        </w:rPr>
        <w:t xml:space="preserve">Получив значение высокой вероятности развития сепсиса, пациент нуждается в дальнейшем детализированном обследовании с применением дифференциально-диагностической шкалы </w:t>
      </w:r>
      <w:r w:rsidRPr="00CE6523">
        <w:rPr>
          <w:rFonts w:cs="Calibri"/>
          <w:sz w:val="28"/>
          <w:szCs w:val="28"/>
          <w:lang w:val="en-US" w:eastAsia="ar-SA"/>
        </w:rPr>
        <w:t>SOFA</w:t>
      </w:r>
      <w:r w:rsidRPr="00CE6523">
        <w:rPr>
          <w:rFonts w:cs="Calibri"/>
          <w:sz w:val="28"/>
          <w:szCs w:val="28"/>
          <w:lang w:eastAsia="ar-SA"/>
        </w:rPr>
        <w:t>.</w:t>
      </w:r>
    </w:p>
    <w:p w:rsidR="00286780" w:rsidRPr="00CE6523" w:rsidRDefault="00286780" w:rsidP="00CE6523">
      <w:pPr>
        <w:spacing w:line="360" w:lineRule="auto"/>
        <w:ind w:firstLine="709"/>
        <w:jc w:val="both"/>
        <w:rPr>
          <w:rFonts w:cs="Calibri"/>
          <w:sz w:val="28"/>
          <w:szCs w:val="28"/>
          <w:lang w:eastAsia="ar-SA"/>
        </w:rPr>
      </w:pPr>
      <w:r w:rsidRPr="00CE6523">
        <w:rPr>
          <w:rFonts w:cs="Calibri"/>
          <w:sz w:val="28"/>
          <w:szCs w:val="28"/>
          <w:lang w:eastAsia="ar-SA"/>
        </w:rPr>
        <w:t>Выполняется взятие артериальной крови и определение парциального давления кислорода (</w:t>
      </w:r>
      <w:r w:rsidRPr="00CE6523">
        <w:rPr>
          <w:rFonts w:cs="Calibri"/>
          <w:sz w:val="28"/>
          <w:szCs w:val="28"/>
          <w:lang w:val="en-US" w:eastAsia="ar-SA"/>
        </w:rPr>
        <w:t>PaO</w:t>
      </w:r>
      <w:r w:rsidRPr="00CE6523">
        <w:rPr>
          <w:rFonts w:cs="Calibri"/>
          <w:sz w:val="28"/>
          <w:szCs w:val="28"/>
          <w:vertAlign w:val="subscript"/>
          <w:lang w:eastAsia="ar-SA"/>
        </w:rPr>
        <w:t>2</w:t>
      </w:r>
      <w:r w:rsidRPr="00CE6523">
        <w:rPr>
          <w:rFonts w:cs="Calibri"/>
          <w:sz w:val="28"/>
          <w:szCs w:val="28"/>
          <w:lang w:eastAsia="ar-SA"/>
        </w:rPr>
        <w:t>), определяется респираторный индекс (</w:t>
      </w:r>
      <w:r w:rsidRPr="00CE6523">
        <w:rPr>
          <w:rFonts w:cs="Calibri"/>
          <w:sz w:val="28"/>
          <w:szCs w:val="28"/>
          <w:lang w:val="en-US" w:eastAsia="ar-SA"/>
        </w:rPr>
        <w:t>PaO</w:t>
      </w:r>
      <w:r w:rsidRPr="00CE6523">
        <w:rPr>
          <w:rFonts w:cs="Calibri"/>
          <w:sz w:val="28"/>
          <w:szCs w:val="28"/>
          <w:vertAlign w:val="subscript"/>
          <w:lang w:eastAsia="ar-SA"/>
        </w:rPr>
        <w:t>2</w:t>
      </w:r>
      <w:r w:rsidRPr="00CE6523">
        <w:rPr>
          <w:rFonts w:cs="Calibri"/>
          <w:sz w:val="28"/>
          <w:szCs w:val="28"/>
          <w:lang w:eastAsia="ar-SA"/>
        </w:rPr>
        <w:t>/</w:t>
      </w:r>
      <w:r w:rsidRPr="00CE6523">
        <w:rPr>
          <w:rFonts w:cs="Calibri"/>
          <w:sz w:val="28"/>
          <w:szCs w:val="28"/>
          <w:lang w:val="en-US" w:eastAsia="ar-SA"/>
        </w:rPr>
        <w:t>FiO</w:t>
      </w:r>
      <w:r w:rsidRPr="00CE6523">
        <w:rPr>
          <w:rFonts w:cs="Calibri"/>
          <w:sz w:val="28"/>
          <w:szCs w:val="28"/>
          <w:vertAlign w:val="subscript"/>
          <w:lang w:eastAsia="ar-SA"/>
        </w:rPr>
        <w:t>2</w:t>
      </w:r>
      <w:r w:rsidRPr="00CE6523">
        <w:rPr>
          <w:rFonts w:cs="Calibri"/>
          <w:sz w:val="28"/>
          <w:szCs w:val="28"/>
          <w:lang w:eastAsia="ar-SA"/>
        </w:rPr>
        <w:t>).</w:t>
      </w:r>
    </w:p>
    <w:p w:rsidR="00286780" w:rsidRPr="00CE6523" w:rsidRDefault="00286780" w:rsidP="00CE6523">
      <w:pPr>
        <w:spacing w:line="360" w:lineRule="auto"/>
        <w:ind w:firstLine="709"/>
        <w:jc w:val="both"/>
        <w:rPr>
          <w:rFonts w:cs="Calibri"/>
          <w:sz w:val="28"/>
          <w:szCs w:val="28"/>
          <w:lang w:eastAsia="ar-SA"/>
        </w:rPr>
      </w:pPr>
      <w:r>
        <w:rPr>
          <w:rFonts w:cs="Calibri"/>
          <w:sz w:val="28"/>
          <w:szCs w:val="28"/>
          <w:lang w:eastAsia="ar-SA"/>
        </w:rPr>
        <w:t>Также</w:t>
      </w:r>
      <w:r w:rsidRPr="00CE6523">
        <w:rPr>
          <w:rFonts w:cs="Calibri"/>
          <w:sz w:val="28"/>
          <w:szCs w:val="28"/>
          <w:lang w:eastAsia="ar-SA"/>
        </w:rPr>
        <w:t xml:space="preserve"> используются параметры среднего артериального давления, количества тромбоцитов, бальная оценка по шкале ком Глазго, концентрации креатинина и билирубина, полученные при первичном обследовании больного в приемном отделении или при обследовании в ОРИТ.</w:t>
      </w:r>
    </w:p>
    <w:p w:rsidR="00286780" w:rsidRPr="00CE6523" w:rsidRDefault="00286780" w:rsidP="00CE6523">
      <w:pPr>
        <w:spacing w:line="360" w:lineRule="auto"/>
        <w:ind w:firstLine="709"/>
        <w:jc w:val="both"/>
        <w:rPr>
          <w:rFonts w:cs="Calibri"/>
          <w:sz w:val="28"/>
          <w:szCs w:val="28"/>
          <w:lang w:eastAsia="ar-SA"/>
        </w:rPr>
      </w:pPr>
      <w:r w:rsidRPr="00CE6523">
        <w:rPr>
          <w:rFonts w:cs="Calibri"/>
          <w:sz w:val="28"/>
          <w:szCs w:val="28"/>
          <w:lang w:eastAsia="ar-SA"/>
        </w:rPr>
        <w:t xml:space="preserve">Выполнятся суммирование баллов и точное определение наличия (или отсутствия) сепсиса с использованием </w:t>
      </w:r>
      <w:r w:rsidRPr="00CE6523">
        <w:rPr>
          <w:rFonts w:cs="Calibri"/>
          <w:sz w:val="28"/>
          <w:szCs w:val="28"/>
          <w:lang w:val="en-US" w:eastAsia="ar-SA"/>
        </w:rPr>
        <w:t>SOFA</w:t>
      </w:r>
      <w:r w:rsidRPr="00CE6523">
        <w:rPr>
          <w:rFonts w:cs="Calibri"/>
          <w:sz w:val="28"/>
          <w:szCs w:val="28"/>
          <w:lang w:eastAsia="ar-SA"/>
        </w:rPr>
        <w:t xml:space="preserve"> (Рисунок 6).</w:t>
      </w:r>
    </w:p>
    <w:p w:rsidR="00286780" w:rsidRPr="00CE6523" w:rsidRDefault="00286780" w:rsidP="00CE6523">
      <w:pPr>
        <w:spacing w:line="360" w:lineRule="auto"/>
        <w:ind w:firstLine="709"/>
        <w:jc w:val="both"/>
        <w:rPr>
          <w:rFonts w:cs="Calibri"/>
          <w:sz w:val="28"/>
          <w:szCs w:val="28"/>
          <w:lang w:eastAsia="ar-SA"/>
        </w:rPr>
      </w:pPr>
      <w:r w:rsidRPr="00CE6523">
        <w:rPr>
          <w:rFonts w:cs="Calibri"/>
          <w:sz w:val="28"/>
          <w:szCs w:val="28"/>
          <w:lang w:eastAsia="ar-SA"/>
        </w:rPr>
        <w:t>Следующий этап диагностического поиска включает определение хронической патологии внутренних органов у пациентов с МФОИ и ОС и оценку степени ее возможного влияния на течение, и исход одонтогенного гнойно-воспалительного процесса.</w:t>
      </w:r>
    </w:p>
    <w:p w:rsidR="00286780" w:rsidRPr="00CE6523" w:rsidRDefault="00286780" w:rsidP="00CE6523">
      <w:pPr>
        <w:spacing w:line="360" w:lineRule="auto"/>
        <w:ind w:firstLine="709"/>
        <w:jc w:val="both"/>
        <w:rPr>
          <w:rFonts w:cs="Calibri"/>
          <w:sz w:val="28"/>
          <w:szCs w:val="28"/>
          <w:lang w:eastAsia="ar-SA"/>
        </w:rPr>
      </w:pPr>
      <w:r w:rsidRPr="00CE6523">
        <w:rPr>
          <w:rFonts w:cs="Calibri"/>
          <w:sz w:val="28"/>
          <w:szCs w:val="28"/>
          <w:lang w:eastAsia="ar-SA"/>
        </w:rPr>
        <w:t xml:space="preserve">Результаты </w:t>
      </w:r>
      <w:r w:rsidRPr="00CE6523">
        <w:rPr>
          <w:rFonts w:cs="Calibri"/>
          <w:sz w:val="28"/>
          <w:szCs w:val="28"/>
          <w:lang w:val="en-US" w:eastAsia="ar-SA"/>
        </w:rPr>
        <w:t>I</w:t>
      </w:r>
      <w:r w:rsidRPr="00CE6523">
        <w:rPr>
          <w:rFonts w:cs="Calibri"/>
          <w:sz w:val="28"/>
          <w:szCs w:val="28"/>
          <w:lang w:eastAsia="ar-SA"/>
        </w:rPr>
        <w:t xml:space="preserve"> и </w:t>
      </w:r>
      <w:r w:rsidRPr="00CE6523">
        <w:rPr>
          <w:rFonts w:cs="Calibri"/>
          <w:sz w:val="28"/>
          <w:szCs w:val="28"/>
          <w:lang w:val="en-US" w:eastAsia="ar-SA"/>
        </w:rPr>
        <w:t>II</w:t>
      </w:r>
      <w:r w:rsidRPr="00CE6523">
        <w:rPr>
          <w:rFonts w:cs="Calibri"/>
          <w:sz w:val="28"/>
          <w:szCs w:val="28"/>
          <w:lang w:eastAsia="ar-SA"/>
        </w:rPr>
        <w:t xml:space="preserve"> блоков настоящего диссертационного исследования указывают, что при наличии ОС хроническая патология (ХП) внутренних органов (за исключением некоторых форм ХП в состоянии ремиссии – гастрита, панкреатита, необструктивного бронхита и др., см раздел «Общая характеристика клинических наблюдений») является </w:t>
      </w:r>
      <w:r w:rsidRPr="00CE6523">
        <w:rPr>
          <w:rFonts w:cs="Calibri"/>
          <w:i/>
          <w:sz w:val="28"/>
          <w:szCs w:val="28"/>
          <w:lang w:eastAsia="ar-SA"/>
        </w:rPr>
        <w:t xml:space="preserve">фоновой, </w:t>
      </w:r>
      <w:r w:rsidRPr="00CE6523">
        <w:rPr>
          <w:rFonts w:cs="Calibri"/>
          <w:sz w:val="28"/>
          <w:szCs w:val="28"/>
          <w:lang w:eastAsia="ar-SA"/>
        </w:rPr>
        <w:t xml:space="preserve">то есть оказывающей </w:t>
      </w:r>
      <w:r w:rsidRPr="00CE6523">
        <w:rPr>
          <w:rFonts w:cs="Calibri"/>
          <w:i/>
          <w:sz w:val="28"/>
          <w:szCs w:val="28"/>
          <w:lang w:eastAsia="ar-SA"/>
        </w:rPr>
        <w:t>существенное</w:t>
      </w:r>
      <w:r w:rsidRPr="00CE6523">
        <w:rPr>
          <w:rFonts w:cs="Calibri"/>
          <w:sz w:val="28"/>
          <w:szCs w:val="28"/>
          <w:lang w:eastAsia="ar-SA"/>
        </w:rPr>
        <w:t xml:space="preserve"> влияние на </w:t>
      </w:r>
      <w:r w:rsidRPr="00CE6523">
        <w:rPr>
          <w:rFonts w:cs="Calibri"/>
          <w:sz w:val="28"/>
          <w:szCs w:val="28"/>
          <w:lang w:eastAsia="ar-SA"/>
        </w:rPr>
        <w:lastRenderedPageBreak/>
        <w:t xml:space="preserve">течение и исход ОС. </w:t>
      </w:r>
      <w:r>
        <w:rPr>
          <w:rFonts w:cs="Calibri"/>
          <w:sz w:val="28"/>
          <w:szCs w:val="28"/>
          <w:lang w:eastAsia="ar-SA"/>
        </w:rPr>
        <w:t>Также</w:t>
      </w:r>
      <w:r w:rsidRPr="00CE6523">
        <w:rPr>
          <w:rFonts w:cs="Calibri"/>
          <w:sz w:val="28"/>
          <w:szCs w:val="28"/>
          <w:lang w:eastAsia="ar-SA"/>
        </w:rPr>
        <w:t xml:space="preserve"> к </w:t>
      </w:r>
      <w:r w:rsidRPr="00CE6523">
        <w:rPr>
          <w:rFonts w:cs="Calibri"/>
          <w:i/>
          <w:sz w:val="28"/>
          <w:szCs w:val="28"/>
          <w:lang w:eastAsia="ar-SA"/>
        </w:rPr>
        <w:t xml:space="preserve">фоновым </w:t>
      </w:r>
      <w:r w:rsidRPr="00CE6523">
        <w:rPr>
          <w:rFonts w:cs="Calibri"/>
          <w:sz w:val="28"/>
          <w:szCs w:val="28"/>
          <w:lang w:eastAsia="ar-SA"/>
        </w:rPr>
        <w:t xml:space="preserve">заболеваниям относят ряд </w:t>
      </w:r>
      <w:r w:rsidRPr="00CE6523">
        <w:rPr>
          <w:rFonts w:cs="Calibri"/>
          <w:i/>
          <w:sz w:val="28"/>
          <w:szCs w:val="28"/>
          <w:lang w:eastAsia="ar-SA"/>
        </w:rPr>
        <w:t>полиорганных полиморбидных</w:t>
      </w:r>
      <w:r w:rsidRPr="00CE6523">
        <w:rPr>
          <w:rFonts w:cs="Calibri"/>
          <w:sz w:val="28"/>
          <w:szCs w:val="28"/>
          <w:lang w:eastAsia="ar-SA"/>
        </w:rPr>
        <w:t xml:space="preserve"> форм ХП.</w:t>
      </w:r>
    </w:p>
    <w:p w:rsidR="00286780" w:rsidRPr="00CE6523" w:rsidRDefault="00286780" w:rsidP="00CE6523">
      <w:pPr>
        <w:spacing w:line="360" w:lineRule="auto"/>
        <w:ind w:firstLine="709"/>
        <w:jc w:val="both"/>
        <w:rPr>
          <w:rFonts w:cs="Calibri"/>
          <w:sz w:val="28"/>
          <w:szCs w:val="28"/>
          <w:lang w:eastAsia="ar-SA"/>
        </w:rPr>
      </w:pPr>
      <w:r w:rsidRPr="00CE6523">
        <w:rPr>
          <w:rFonts w:cs="Calibri"/>
          <w:sz w:val="28"/>
          <w:szCs w:val="28"/>
          <w:lang w:eastAsia="ar-SA"/>
        </w:rPr>
        <w:t xml:space="preserve">При наличии МФОИ патологией, оказывающей </w:t>
      </w:r>
      <w:r w:rsidRPr="00CE6523">
        <w:rPr>
          <w:rFonts w:cs="Calibri"/>
          <w:i/>
          <w:sz w:val="28"/>
          <w:szCs w:val="28"/>
          <w:lang w:eastAsia="ar-SA"/>
        </w:rPr>
        <w:t>существенное</w:t>
      </w:r>
      <w:r w:rsidRPr="00CE6523">
        <w:rPr>
          <w:rFonts w:cs="Calibri"/>
          <w:sz w:val="28"/>
          <w:szCs w:val="28"/>
          <w:lang w:eastAsia="ar-SA"/>
        </w:rPr>
        <w:t xml:space="preserve"> влияние на течение одонтогенного гнойно-воспалительного процесса, т. е. </w:t>
      </w:r>
      <w:r w:rsidRPr="00CE6523">
        <w:rPr>
          <w:rFonts w:cs="Calibri"/>
          <w:i/>
          <w:sz w:val="28"/>
          <w:szCs w:val="28"/>
          <w:lang w:eastAsia="ar-SA"/>
        </w:rPr>
        <w:t xml:space="preserve">фоновой, </w:t>
      </w:r>
      <w:r w:rsidRPr="00CE6523">
        <w:rPr>
          <w:rFonts w:cs="Calibri"/>
          <w:sz w:val="28"/>
          <w:szCs w:val="28"/>
          <w:lang w:eastAsia="ar-SA"/>
        </w:rPr>
        <w:t xml:space="preserve">является </w:t>
      </w:r>
      <w:r w:rsidRPr="00CE6523">
        <w:rPr>
          <w:rFonts w:cs="Calibri"/>
          <w:i/>
          <w:sz w:val="28"/>
          <w:szCs w:val="28"/>
          <w:lang w:eastAsia="ar-SA"/>
        </w:rPr>
        <w:t>полиорганная полиморбидная</w:t>
      </w:r>
      <w:r w:rsidRPr="00CE6523">
        <w:rPr>
          <w:rFonts w:cs="Calibri"/>
          <w:sz w:val="28"/>
          <w:szCs w:val="28"/>
          <w:lang w:eastAsia="ar-SA"/>
        </w:rPr>
        <w:t xml:space="preserve"> ХП при наличии сахарного диабета и/или ХП сердечно-сосудистой системы, а </w:t>
      </w:r>
      <w:r>
        <w:rPr>
          <w:rFonts w:cs="Calibri"/>
          <w:sz w:val="28"/>
          <w:szCs w:val="28"/>
          <w:lang w:eastAsia="ar-SA"/>
        </w:rPr>
        <w:t xml:space="preserve">также </w:t>
      </w:r>
      <w:r w:rsidRPr="00CE6523">
        <w:rPr>
          <w:rFonts w:cs="Calibri"/>
          <w:i/>
          <w:sz w:val="28"/>
          <w:szCs w:val="28"/>
          <w:lang w:eastAsia="ar-SA"/>
        </w:rPr>
        <w:t xml:space="preserve">вне зависимости от наличия полиморбидности – </w:t>
      </w:r>
      <w:r w:rsidRPr="00CE6523">
        <w:rPr>
          <w:rFonts w:cs="Calibri"/>
          <w:sz w:val="28"/>
          <w:szCs w:val="28"/>
          <w:lang w:eastAsia="ar-SA"/>
        </w:rPr>
        <w:t xml:space="preserve">сахарный диабет и ХП сердечно-сосудистой системы в сочетании с ХСН </w:t>
      </w:r>
      <w:r w:rsidRPr="00CE6523">
        <w:rPr>
          <w:rFonts w:cs="Calibri"/>
          <w:sz w:val="28"/>
          <w:szCs w:val="28"/>
          <w:lang w:val="en-US" w:eastAsia="ar-SA"/>
        </w:rPr>
        <w:t>III</w:t>
      </w:r>
      <w:r w:rsidRPr="00CE6523">
        <w:rPr>
          <w:rFonts w:cs="Calibri"/>
          <w:sz w:val="28"/>
          <w:szCs w:val="28"/>
          <w:lang w:eastAsia="ar-SA"/>
        </w:rPr>
        <w:t xml:space="preserve"> функционального класса.</w:t>
      </w:r>
    </w:p>
    <w:p w:rsidR="00286780" w:rsidRPr="00CE6523" w:rsidRDefault="00286780" w:rsidP="00CE6523">
      <w:pPr>
        <w:spacing w:line="360" w:lineRule="auto"/>
        <w:ind w:firstLine="709"/>
        <w:jc w:val="both"/>
        <w:rPr>
          <w:rFonts w:cs="Calibri"/>
          <w:sz w:val="28"/>
          <w:szCs w:val="28"/>
          <w:lang w:eastAsia="ar-SA"/>
        </w:rPr>
      </w:pPr>
      <w:r w:rsidRPr="00CE6523">
        <w:rPr>
          <w:rFonts w:cs="Calibri"/>
          <w:sz w:val="28"/>
          <w:szCs w:val="28"/>
          <w:lang w:eastAsia="ar-SA"/>
        </w:rPr>
        <w:t xml:space="preserve">Иные мономорбидные и полиморбидные нозологические формы ХП, не являющиеся </w:t>
      </w:r>
      <w:r w:rsidRPr="00CE6523">
        <w:rPr>
          <w:rFonts w:cs="Calibri"/>
          <w:i/>
          <w:sz w:val="28"/>
          <w:szCs w:val="28"/>
          <w:lang w:eastAsia="ar-SA"/>
        </w:rPr>
        <w:t>фоновыми</w:t>
      </w:r>
      <w:r w:rsidRPr="00CE6523">
        <w:rPr>
          <w:rFonts w:cs="Calibri"/>
          <w:sz w:val="28"/>
          <w:szCs w:val="28"/>
          <w:lang w:eastAsia="ar-SA"/>
        </w:rPr>
        <w:t xml:space="preserve"> у пациентов с МФОИ (заболевания сердечно-сосудистой системы без ХСН, с ХСН </w:t>
      </w:r>
      <w:r w:rsidRPr="00CE6523">
        <w:rPr>
          <w:rFonts w:cs="Calibri"/>
          <w:sz w:val="28"/>
          <w:szCs w:val="28"/>
          <w:lang w:val="en-US" w:eastAsia="ar-SA"/>
        </w:rPr>
        <w:t>I</w:t>
      </w:r>
      <w:r w:rsidRPr="00CE6523">
        <w:rPr>
          <w:rFonts w:cs="Calibri"/>
          <w:sz w:val="28"/>
          <w:szCs w:val="28"/>
          <w:lang w:eastAsia="ar-SA"/>
        </w:rPr>
        <w:t xml:space="preserve"> и </w:t>
      </w:r>
      <w:r w:rsidRPr="00CE6523">
        <w:rPr>
          <w:rFonts w:cs="Calibri"/>
          <w:sz w:val="28"/>
          <w:szCs w:val="28"/>
          <w:lang w:val="en-US" w:eastAsia="ar-SA"/>
        </w:rPr>
        <w:t>II</w:t>
      </w:r>
      <w:r w:rsidRPr="00CE6523">
        <w:rPr>
          <w:rFonts w:cs="Calibri"/>
          <w:sz w:val="28"/>
          <w:szCs w:val="28"/>
          <w:lang w:eastAsia="ar-SA"/>
        </w:rPr>
        <w:t xml:space="preserve"> ФК, патология органов дыхания, мочевыделительной, пищеварительной систем, печени), могут быть отнесены к сопутствующей/конкурирующей ХП.</w:t>
      </w:r>
    </w:p>
    <w:p w:rsidR="00286780" w:rsidRPr="0087468B" w:rsidRDefault="00286780" w:rsidP="00CE6523">
      <w:pPr>
        <w:spacing w:line="360" w:lineRule="auto"/>
        <w:ind w:firstLine="709"/>
        <w:jc w:val="both"/>
        <w:rPr>
          <w:rFonts w:cs="Calibri"/>
          <w:spacing w:val="-6"/>
          <w:sz w:val="28"/>
          <w:szCs w:val="28"/>
          <w:lang w:eastAsia="ar-SA"/>
        </w:rPr>
      </w:pPr>
      <w:r w:rsidRPr="0087468B">
        <w:rPr>
          <w:rFonts w:cs="Calibri"/>
          <w:spacing w:val="-6"/>
          <w:sz w:val="28"/>
          <w:szCs w:val="28"/>
          <w:lang w:eastAsia="ar-SA"/>
        </w:rPr>
        <w:t>Руководствуясь вышеобозначенными положениями, одновременно с установлением формы инфекционного процесса (ОС или МФОИ), пациент, поступивший в приемное отделение стационара, осматривается профильным специалистом (терапевтом, и, далее по показаниям, определяемым терапевтом, кардиологом</w:t>
      </w:r>
      <w:r>
        <w:rPr>
          <w:rFonts w:cs="Calibri"/>
          <w:spacing w:val="-6"/>
          <w:sz w:val="28"/>
          <w:szCs w:val="28"/>
          <w:lang w:eastAsia="ar-SA"/>
        </w:rPr>
        <w:t xml:space="preserve"> </w:t>
      </w:r>
      <w:r w:rsidRPr="0087468B">
        <w:rPr>
          <w:rFonts w:cs="Calibri"/>
          <w:spacing w:val="-6"/>
          <w:sz w:val="28"/>
          <w:szCs w:val="28"/>
          <w:lang w:eastAsia="ar-SA"/>
        </w:rPr>
        <w:t>/</w:t>
      </w:r>
      <w:r>
        <w:rPr>
          <w:rFonts w:cs="Calibri"/>
          <w:spacing w:val="-6"/>
          <w:sz w:val="28"/>
          <w:szCs w:val="28"/>
          <w:lang w:eastAsia="ar-SA"/>
        </w:rPr>
        <w:t xml:space="preserve"> </w:t>
      </w:r>
      <w:r w:rsidRPr="0087468B">
        <w:rPr>
          <w:rFonts w:cs="Calibri"/>
          <w:spacing w:val="-6"/>
          <w:sz w:val="28"/>
          <w:szCs w:val="28"/>
          <w:lang w:eastAsia="ar-SA"/>
        </w:rPr>
        <w:t>эндокриноло</w:t>
      </w:r>
      <w:r>
        <w:rPr>
          <w:rFonts w:cs="Calibri"/>
          <w:spacing w:val="-6"/>
          <w:sz w:val="28"/>
          <w:szCs w:val="28"/>
          <w:lang w:eastAsia="ar-SA"/>
        </w:rPr>
        <w:t xml:space="preserve">гом </w:t>
      </w:r>
      <w:r w:rsidRPr="0087468B">
        <w:rPr>
          <w:rFonts w:cs="Calibri"/>
          <w:spacing w:val="-6"/>
          <w:sz w:val="28"/>
          <w:szCs w:val="28"/>
          <w:lang w:eastAsia="ar-SA"/>
        </w:rPr>
        <w:t>/</w:t>
      </w:r>
      <w:r>
        <w:rPr>
          <w:rFonts w:cs="Calibri"/>
          <w:spacing w:val="-6"/>
          <w:sz w:val="28"/>
          <w:szCs w:val="28"/>
          <w:lang w:eastAsia="ar-SA"/>
        </w:rPr>
        <w:t xml:space="preserve"> </w:t>
      </w:r>
      <w:r w:rsidRPr="0087468B">
        <w:rPr>
          <w:rFonts w:cs="Calibri"/>
          <w:spacing w:val="-6"/>
          <w:sz w:val="28"/>
          <w:szCs w:val="28"/>
          <w:lang w:eastAsia="ar-SA"/>
        </w:rPr>
        <w:t>пульмонологом</w:t>
      </w:r>
      <w:r>
        <w:rPr>
          <w:rFonts w:cs="Calibri"/>
          <w:spacing w:val="-6"/>
          <w:sz w:val="28"/>
          <w:szCs w:val="28"/>
          <w:lang w:eastAsia="ar-SA"/>
        </w:rPr>
        <w:t xml:space="preserve"> </w:t>
      </w:r>
      <w:r w:rsidRPr="0087468B">
        <w:rPr>
          <w:rFonts w:cs="Calibri"/>
          <w:spacing w:val="-6"/>
          <w:sz w:val="28"/>
          <w:szCs w:val="28"/>
          <w:lang w:eastAsia="ar-SA"/>
        </w:rPr>
        <w:t>/</w:t>
      </w:r>
      <w:r>
        <w:rPr>
          <w:rFonts w:cs="Calibri"/>
          <w:spacing w:val="-6"/>
          <w:sz w:val="28"/>
          <w:szCs w:val="28"/>
          <w:lang w:eastAsia="ar-SA"/>
        </w:rPr>
        <w:t xml:space="preserve"> </w:t>
      </w:r>
      <w:r w:rsidRPr="0087468B">
        <w:rPr>
          <w:rFonts w:cs="Calibri"/>
          <w:spacing w:val="-6"/>
          <w:sz w:val="28"/>
          <w:szCs w:val="28"/>
          <w:lang w:eastAsia="ar-SA"/>
        </w:rPr>
        <w:t>нефрологом и др.) с установлением соответствующего диагноза ХП и назначением рекомендаций по диагностике и лечению ХП.</w:t>
      </w:r>
    </w:p>
    <w:p w:rsidR="00286780" w:rsidRPr="00CE6523" w:rsidRDefault="00286780" w:rsidP="00CE6523">
      <w:pPr>
        <w:spacing w:line="360" w:lineRule="auto"/>
        <w:ind w:firstLine="709"/>
        <w:jc w:val="both"/>
        <w:rPr>
          <w:rFonts w:cs="Calibri"/>
          <w:sz w:val="28"/>
          <w:szCs w:val="28"/>
          <w:lang w:eastAsia="ar-SA"/>
        </w:rPr>
      </w:pPr>
      <w:r w:rsidRPr="00CE6523">
        <w:rPr>
          <w:rFonts w:cs="Calibri"/>
          <w:sz w:val="28"/>
          <w:szCs w:val="28"/>
          <w:lang w:eastAsia="ar-SA"/>
        </w:rPr>
        <w:t xml:space="preserve">Задачей челюстно-лицевого хирурга является интерпретация определяемой у конкретного больного с ОС или МФОИ нозологической формы ХП внутренних органов как заболевания </w:t>
      </w:r>
      <w:r w:rsidRPr="00CE6523">
        <w:rPr>
          <w:rFonts w:cs="Calibri"/>
          <w:i/>
          <w:sz w:val="28"/>
          <w:szCs w:val="28"/>
          <w:lang w:eastAsia="ar-SA"/>
        </w:rPr>
        <w:t xml:space="preserve">фонового </w:t>
      </w:r>
      <w:r w:rsidRPr="00CE6523">
        <w:rPr>
          <w:rFonts w:cs="Calibri"/>
          <w:sz w:val="28"/>
          <w:szCs w:val="28"/>
          <w:lang w:eastAsia="ar-SA"/>
        </w:rPr>
        <w:t>или</w:t>
      </w:r>
      <w:r w:rsidRPr="00CE6523">
        <w:rPr>
          <w:rFonts w:cs="Calibri"/>
          <w:i/>
          <w:sz w:val="28"/>
          <w:szCs w:val="28"/>
          <w:lang w:eastAsia="ar-SA"/>
        </w:rPr>
        <w:t xml:space="preserve"> не являющегося</w:t>
      </w:r>
      <w:r>
        <w:rPr>
          <w:rFonts w:cs="Calibri"/>
          <w:i/>
          <w:sz w:val="28"/>
          <w:szCs w:val="28"/>
          <w:lang w:eastAsia="ar-SA"/>
        </w:rPr>
        <w:t xml:space="preserve"> </w:t>
      </w:r>
      <w:r w:rsidRPr="00CE6523">
        <w:rPr>
          <w:rFonts w:cs="Calibri"/>
          <w:i/>
          <w:sz w:val="28"/>
          <w:szCs w:val="28"/>
          <w:lang w:eastAsia="ar-SA"/>
        </w:rPr>
        <w:t xml:space="preserve">фоновым </w:t>
      </w:r>
      <w:r w:rsidRPr="00CE6523">
        <w:rPr>
          <w:rFonts w:cs="Calibri"/>
          <w:sz w:val="28"/>
          <w:szCs w:val="28"/>
          <w:lang w:eastAsia="ar-SA"/>
        </w:rPr>
        <w:t xml:space="preserve">с соответствующей записью в истории болезни. </w:t>
      </w:r>
    </w:p>
    <w:p w:rsidR="00286780" w:rsidRPr="00CE6523" w:rsidRDefault="00286780" w:rsidP="00CE6523">
      <w:pPr>
        <w:spacing w:line="360" w:lineRule="auto"/>
        <w:ind w:firstLine="709"/>
        <w:jc w:val="both"/>
        <w:rPr>
          <w:rFonts w:cs="Calibri"/>
          <w:sz w:val="28"/>
          <w:szCs w:val="28"/>
          <w:lang w:eastAsia="ar-SA"/>
        </w:rPr>
      </w:pPr>
      <w:r w:rsidRPr="00CE6523">
        <w:rPr>
          <w:rFonts w:cs="Calibri"/>
          <w:sz w:val="28"/>
          <w:szCs w:val="28"/>
          <w:lang w:eastAsia="ar-SA"/>
        </w:rPr>
        <w:t>Результат данной интерпретации оказывает значимое влияние на комплексное лечение одонтогенного воспалительного процесса в соответствии с рекомендациями, представленными в настоящем диссертационном исследовании.</w:t>
      </w:r>
    </w:p>
    <w:p w:rsidR="00286780" w:rsidRPr="00766263" w:rsidRDefault="00286780" w:rsidP="00CE6523">
      <w:pPr>
        <w:spacing w:line="360" w:lineRule="auto"/>
        <w:ind w:firstLine="709"/>
        <w:jc w:val="both"/>
        <w:rPr>
          <w:rFonts w:cs="Calibri"/>
          <w:spacing w:val="-6"/>
          <w:sz w:val="28"/>
          <w:szCs w:val="28"/>
          <w:lang w:eastAsia="ar-SA"/>
        </w:rPr>
      </w:pPr>
      <w:r w:rsidRPr="00766263">
        <w:rPr>
          <w:rFonts w:cs="Calibri"/>
          <w:spacing w:val="-6"/>
          <w:sz w:val="28"/>
          <w:szCs w:val="28"/>
          <w:lang w:eastAsia="ar-SA"/>
        </w:rPr>
        <w:t>В полном виде разработанный алгоритм комплексного обследования пациентов с хирургическими осложнениями одонтогенной инфекции с учетом полиорганной фоновой патологии и синдрома взаимного отягощения</w:t>
      </w:r>
      <w:r>
        <w:rPr>
          <w:rFonts w:cs="Calibri"/>
          <w:spacing w:val="-6"/>
          <w:sz w:val="28"/>
          <w:szCs w:val="28"/>
          <w:lang w:eastAsia="ar-SA"/>
        </w:rPr>
        <w:t xml:space="preserve"> (1) представлен на Рисунке 13</w:t>
      </w:r>
      <w:r w:rsidRPr="00766263">
        <w:rPr>
          <w:rFonts w:cs="Calibri"/>
          <w:spacing w:val="-6"/>
          <w:sz w:val="28"/>
          <w:szCs w:val="28"/>
          <w:lang w:eastAsia="ar-SA"/>
        </w:rPr>
        <w:t>.</w:t>
      </w:r>
    </w:p>
    <w:p w:rsidR="00286780" w:rsidRPr="00CE6523" w:rsidRDefault="00286780" w:rsidP="00766263">
      <w:pPr>
        <w:spacing w:line="360" w:lineRule="auto"/>
        <w:ind w:firstLine="709"/>
        <w:jc w:val="both"/>
        <w:rPr>
          <w:rFonts w:cs="Calibri"/>
          <w:sz w:val="28"/>
          <w:szCs w:val="28"/>
          <w:lang w:eastAsia="ar-SA"/>
        </w:rPr>
      </w:pPr>
      <w:r w:rsidRPr="00CE6523">
        <w:rPr>
          <w:rFonts w:cs="Calibri"/>
          <w:sz w:val="28"/>
          <w:szCs w:val="28"/>
          <w:lang w:eastAsia="ar-SA"/>
        </w:rPr>
        <w:lastRenderedPageBreak/>
        <w:t xml:space="preserve">Результатом применения данного алгоритма является установление диагноза «Сепсис» или «Местная форма одонтогенной инфекции», а </w:t>
      </w:r>
      <w:r>
        <w:rPr>
          <w:rFonts w:cs="Calibri"/>
          <w:sz w:val="28"/>
          <w:szCs w:val="28"/>
          <w:lang w:eastAsia="ar-SA"/>
        </w:rPr>
        <w:t>также</w:t>
      </w:r>
      <w:r w:rsidRPr="00CE6523">
        <w:rPr>
          <w:rFonts w:cs="Calibri"/>
          <w:sz w:val="28"/>
          <w:szCs w:val="28"/>
          <w:lang w:eastAsia="ar-SA"/>
        </w:rPr>
        <w:t xml:space="preserve"> определение характеристик хронической патологии внутренних органов (принадлежность к </w:t>
      </w:r>
      <w:r w:rsidRPr="00CE6523">
        <w:rPr>
          <w:rFonts w:cs="Calibri"/>
          <w:i/>
          <w:sz w:val="28"/>
          <w:szCs w:val="28"/>
          <w:lang w:eastAsia="ar-SA"/>
        </w:rPr>
        <w:t xml:space="preserve">фоновым </w:t>
      </w:r>
      <w:r w:rsidRPr="00CE6523">
        <w:rPr>
          <w:rFonts w:cs="Calibri"/>
          <w:sz w:val="28"/>
          <w:szCs w:val="28"/>
          <w:lang w:eastAsia="ar-SA"/>
        </w:rPr>
        <w:t>заболеваниям), учитываемым в структуре диагноза и при назначении комплексного лечения.</w:t>
      </w:r>
    </w:p>
    <w:p w:rsidR="00286780" w:rsidRPr="00CE6523" w:rsidRDefault="00286780" w:rsidP="00766263">
      <w:pPr>
        <w:spacing w:line="360" w:lineRule="auto"/>
        <w:ind w:firstLine="709"/>
        <w:jc w:val="both"/>
        <w:rPr>
          <w:rFonts w:cs="Calibri"/>
          <w:i/>
          <w:sz w:val="28"/>
          <w:szCs w:val="28"/>
          <w:lang w:eastAsia="ar-SA"/>
        </w:rPr>
      </w:pPr>
      <w:r w:rsidRPr="00CE6523">
        <w:rPr>
          <w:rFonts w:cs="Calibri"/>
          <w:i/>
          <w:sz w:val="28"/>
          <w:szCs w:val="28"/>
          <w:lang w:eastAsia="ar-SA"/>
        </w:rPr>
        <w:t>Разработанный алгоритм комплексного обследования</w:t>
      </w:r>
      <w:r>
        <w:rPr>
          <w:rFonts w:cs="Calibri"/>
          <w:i/>
          <w:sz w:val="28"/>
          <w:szCs w:val="28"/>
          <w:lang w:eastAsia="ar-SA"/>
        </w:rPr>
        <w:t xml:space="preserve"> (1)</w:t>
      </w:r>
      <w:r w:rsidRPr="00CE6523">
        <w:rPr>
          <w:rFonts w:cs="Calibri"/>
          <w:i/>
          <w:sz w:val="28"/>
          <w:szCs w:val="28"/>
          <w:lang w:eastAsia="ar-SA"/>
        </w:rPr>
        <w:t xml:space="preserve"> осуществляется параллельно стандартному клиническому обследованию пациента (сбор жалоб, анамнеза, осмотр и т. д.), но не противопоставляется последнему.</w:t>
      </w:r>
    </w:p>
    <w:p w:rsidR="00286780" w:rsidRDefault="00286780" w:rsidP="004A0CF0">
      <w:pPr>
        <w:jc w:val="both"/>
        <w:rPr>
          <w:sz w:val="28"/>
          <w:szCs w:val="28"/>
          <w:lang w:eastAsia="en-US"/>
        </w:rPr>
      </w:pPr>
    </w:p>
    <w:p w:rsidR="00286780" w:rsidRDefault="00AE516C" w:rsidP="00CE6523">
      <w:pPr>
        <w:jc w:val="center"/>
        <w:rPr>
          <w:sz w:val="28"/>
          <w:szCs w:val="28"/>
          <w:lang w:eastAsia="en-US"/>
        </w:rPr>
      </w:pPr>
      <w:r>
        <w:rPr>
          <w:rFonts w:ascii="Calibri" w:hAnsi="Calibri" w:cs="Calibri"/>
          <w:sz w:val="22"/>
          <w:szCs w:val="22"/>
          <w:lang w:eastAsia="ar-SA"/>
        </w:rPr>
      </w:r>
      <w:r>
        <w:rPr>
          <w:rFonts w:ascii="Calibri" w:hAnsi="Calibri" w:cs="Calibri"/>
          <w:sz w:val="22"/>
          <w:szCs w:val="22"/>
          <w:lang w:eastAsia="ar-SA"/>
        </w:rPr>
        <w:pict>
          <v:group id="_x0000_s1057" style="width:485.1pt;height:472.5pt;mso-wrap-distance-left:0;mso-wrap-distance-right:0;mso-position-horizontal-relative:char;mso-position-vertical-relative:line" coordsize="10119,13858">
            <o:lock v:ext="edit" text="t"/>
            <v:rect id="_x0000_s1058" style="position:absolute;left:1;width:10118;height:13858;mso-wrap-style:none;v-text-anchor:middle" filled="f" stroked="f">
              <v:stroke joinstyle="round"/>
            </v:rect>
            <v:shape id="_x0000_s1059" type="#_x0000_t202" style="position:absolute;left:1759;top:538;width:5830;height:898" strokeweight=".26mm">
              <v:fill color2="black"/>
              <v:textbox style="mso-next-textbox:#_x0000_s1059;mso-rotate-with-shape:t">
                <w:txbxContent>
                  <w:p w:rsidR="00AE516C" w:rsidRPr="00C269E0" w:rsidRDefault="00AE516C" w:rsidP="006C0279">
                    <w:pPr>
                      <w:jc w:val="center"/>
                      <w:rPr>
                        <w:sz w:val="28"/>
                        <w:szCs w:val="28"/>
                      </w:rPr>
                    </w:pPr>
                    <w:r w:rsidRPr="00C269E0">
                      <w:rPr>
                        <w:sz w:val="28"/>
                        <w:szCs w:val="28"/>
                      </w:rPr>
                      <w:t xml:space="preserve">Пациент </w:t>
                    </w:r>
                  </w:p>
                </w:txbxContent>
              </v:textbox>
            </v:shape>
            <v:line id="_x0000_s1060" style="position:absolute;flip:x" from="3079,1439" to="5277,1799" strokeweight=".26mm">
              <v:stroke endarrow="block" joinstyle="miter"/>
            </v:line>
            <v:shape id="_x0000_s1061" type="#_x0000_t202" style="position:absolute;left:5280;top:1799;width:4731;height:1079" strokeweight=".26mm">
              <v:fill color2="black"/>
              <v:textbox style="mso-next-textbox:#_x0000_s1061;mso-rotate-with-shape:t">
                <w:txbxContent>
                  <w:p w:rsidR="00AE516C" w:rsidRPr="006C0279" w:rsidRDefault="00AE516C" w:rsidP="006C0279">
                    <w:pPr>
                      <w:jc w:val="center"/>
                      <w:rPr>
                        <w:sz w:val="24"/>
                        <w:szCs w:val="24"/>
                      </w:rPr>
                    </w:pPr>
                    <w:r w:rsidRPr="006C0279">
                      <w:rPr>
                        <w:sz w:val="24"/>
                        <w:szCs w:val="24"/>
                      </w:rPr>
                      <w:t>Гнилостно-некротический (некротизирующий) компонент</w:t>
                    </w:r>
                  </w:p>
                </w:txbxContent>
              </v:textbox>
            </v:shape>
            <v:line id="_x0000_s1062" style="position:absolute" from="5280,1439" to="7369,1797" strokeweight=".26mm">
              <v:stroke endarrow="block" joinstyle="miter"/>
            </v:line>
            <v:shape id="_x0000_s1063" type="#_x0000_t202" style="position:absolute;left:3079;top:2969;width:3848;height:1258" strokeweight=".26mm">
              <v:fill color2="black"/>
              <v:textbox style="mso-next-textbox:#_x0000_s1063;mso-rotate-with-shape:t">
                <w:txbxContent>
                  <w:p w:rsidR="00AE516C" w:rsidRPr="006C0279" w:rsidRDefault="00AE516C" w:rsidP="006C0279">
                    <w:pPr>
                      <w:jc w:val="center"/>
                      <w:rPr>
                        <w:sz w:val="24"/>
                        <w:szCs w:val="24"/>
                        <w:lang w:val="en-US"/>
                      </w:rPr>
                    </w:pPr>
                    <w:r w:rsidRPr="006C0279">
                      <w:rPr>
                        <w:sz w:val="24"/>
                        <w:szCs w:val="24"/>
                      </w:rPr>
                      <w:t xml:space="preserve">Количество вовлеченных топографоанатомических областей, </w:t>
                    </w:r>
                    <w:r w:rsidRPr="006C0279">
                      <w:rPr>
                        <w:sz w:val="24"/>
                        <w:szCs w:val="24"/>
                        <w:lang w:val="en-US"/>
                      </w:rPr>
                      <w:t>n</w:t>
                    </w:r>
                  </w:p>
                </w:txbxContent>
              </v:textbox>
            </v:shape>
            <v:line id="_x0000_s1064" style="position:absolute;flip:x" from="7920,2880" to="7920,4138" strokeweight=".26mm">
              <v:stroke endarrow="block" joinstyle="miter"/>
            </v:line>
            <v:line id="_x0000_s1065" style="position:absolute" from="7921,2880" to="9019,3238" strokeweight=".26mm">
              <v:stroke endarrow="block" joinstyle="miter"/>
            </v:line>
            <v:shape id="_x0000_s1066" type="#_x0000_t202" style="position:absolute;left:7699;top:4138;width:2088;height:538" strokeweight=".26mm">
              <v:fill color2="black"/>
              <v:textbox style="mso-next-textbox:#_x0000_s1066;mso-rotate-with-shape:t">
                <w:txbxContent>
                  <w:p w:rsidR="00AE516C" w:rsidRPr="00C269E0" w:rsidRDefault="00AE516C" w:rsidP="00C269E0">
                    <w:pPr>
                      <w:jc w:val="center"/>
                      <w:rPr>
                        <w:b/>
                        <w:sz w:val="24"/>
                        <w:szCs w:val="24"/>
                      </w:rPr>
                    </w:pPr>
                    <w:r w:rsidRPr="00C269E0">
                      <w:rPr>
                        <w:b/>
                        <w:sz w:val="24"/>
                        <w:szCs w:val="24"/>
                      </w:rPr>
                      <w:t>+</w:t>
                    </w:r>
                  </w:p>
                </w:txbxContent>
              </v:textbox>
            </v:shape>
            <v:line id="_x0000_s1067" style="position:absolute;flip:x" from="3410,4230" to="4069,4498" strokeweight=".26mm">
              <v:stroke endarrow="block" joinstyle="miter"/>
            </v:line>
            <v:shape id="_x0000_s1068" type="#_x0000_t202" style="position:absolute;left:2969;top:4498;width:768;height:538" strokeweight=".26mm">
              <v:fill color2="black"/>
              <v:textbox style="mso-next-textbox:#_x0000_s1068;mso-rotate-with-shape:t">
                <w:txbxContent>
                  <w:p w:rsidR="00AE516C" w:rsidRPr="006C0279" w:rsidRDefault="00AE516C" w:rsidP="006C0279">
                    <w:pPr>
                      <w:rPr>
                        <w:sz w:val="24"/>
                        <w:szCs w:val="24"/>
                      </w:rPr>
                    </w:pPr>
                    <w:r w:rsidRPr="006C0279">
                      <w:rPr>
                        <w:sz w:val="24"/>
                        <w:szCs w:val="24"/>
                      </w:rPr>
                      <w:t>&lt; 4</w:t>
                    </w:r>
                  </w:p>
                </w:txbxContent>
              </v:textbox>
            </v:shape>
            <v:line id="_x0000_s1069" style="position:absolute" from="4071,4230" to="4508,4498" strokeweight=".26mm">
              <v:stroke endarrow="block" joinstyle="miter"/>
            </v:line>
            <v:shape id="_x0000_s1070" type="#_x0000_t202" style="position:absolute;left:4071;top:4498;width:877;height:538" strokeweight=".26mm">
              <v:fill color2="black"/>
              <v:textbox style="mso-next-textbox:#_x0000_s1070;mso-rotate-with-shape:t">
                <w:txbxContent>
                  <w:p w:rsidR="00AE516C" w:rsidRPr="006C0279" w:rsidRDefault="00AE516C" w:rsidP="006C0279">
                    <w:pPr>
                      <w:rPr>
                        <w:sz w:val="24"/>
                        <w:szCs w:val="24"/>
                      </w:rPr>
                    </w:pPr>
                    <w:r w:rsidRPr="006C0279">
                      <w:rPr>
                        <w:sz w:val="24"/>
                        <w:szCs w:val="24"/>
                      </w:rPr>
                      <w:t>≥ 4</w:t>
                    </w:r>
                  </w:p>
                </w:txbxContent>
              </v:textbox>
            </v:shape>
            <v:shape id="_x0000_s1071" type="#_x0000_t202" style="position:absolute;left:111;top:4858;width:877;height:538" strokeweight=".26mm">
              <v:fill color2="black"/>
              <v:textbox style="mso-next-textbox:#_x0000_s1071;mso-rotate-with-shape:t">
                <w:txbxContent>
                  <w:p w:rsidR="00AE516C" w:rsidRPr="006C0279" w:rsidRDefault="00AE516C" w:rsidP="006C0279">
                    <w:pPr>
                      <w:rPr>
                        <w:sz w:val="24"/>
                        <w:szCs w:val="24"/>
                      </w:rPr>
                    </w:pPr>
                    <w:r w:rsidRPr="006C0279">
                      <w:rPr>
                        <w:sz w:val="24"/>
                        <w:szCs w:val="24"/>
                      </w:rPr>
                      <w:t>&lt; 2</w:t>
                    </w:r>
                  </w:p>
                </w:txbxContent>
              </v:textbox>
            </v:shape>
            <v:shape id="_x0000_s1072" type="#_x0000_t202" style="position:absolute;left:1211;top:4858;width:1209;height:538" strokeweight=".26mm">
              <v:fill color2="black"/>
              <v:textbox style="mso-next-textbox:#_x0000_s1072;mso-rotate-with-shape:t">
                <w:txbxContent>
                  <w:p w:rsidR="00AE516C" w:rsidRPr="006C0279" w:rsidRDefault="00AE516C" w:rsidP="006C0279">
                    <w:pPr>
                      <w:rPr>
                        <w:sz w:val="24"/>
                        <w:szCs w:val="24"/>
                      </w:rPr>
                    </w:pPr>
                    <w:r w:rsidRPr="006C0279">
                      <w:rPr>
                        <w:sz w:val="24"/>
                        <w:szCs w:val="24"/>
                      </w:rPr>
                      <w:t>2 и &gt;</w:t>
                    </w:r>
                  </w:p>
                </w:txbxContent>
              </v:textbox>
            </v:shape>
            <v:line id="_x0000_s1073" style="position:absolute;flip:x" from="660,3779" to="1209,4857" strokeweight=".26mm">
              <v:stroke endarrow="block" joinstyle="miter"/>
            </v:line>
            <v:line id="_x0000_s1074" style="position:absolute" from="1211,3779" to="1539,4857" strokeweight=".26mm">
              <v:stroke endarrow="block" joinstyle="miter"/>
            </v:line>
            <v:shape id="_x0000_s1075" type="#_x0000_t202" style="position:absolute;left:220;top:6120;width:4399;height:1077" strokeweight=".26mm">
              <v:fill color2="black"/>
              <v:textbox style="mso-next-textbox:#_x0000_s1075;mso-rotate-with-shape:t">
                <w:txbxContent>
                  <w:p w:rsidR="00AE516C" w:rsidRPr="006C0279" w:rsidRDefault="00AE516C" w:rsidP="006C0279">
                    <w:pPr>
                      <w:jc w:val="center"/>
                      <w:rPr>
                        <w:sz w:val="24"/>
                        <w:szCs w:val="24"/>
                      </w:rPr>
                    </w:pPr>
                    <w:r w:rsidRPr="006C0279">
                      <w:rPr>
                        <w:sz w:val="24"/>
                        <w:szCs w:val="24"/>
                      </w:rPr>
                      <w:t>Низкая вероятность развития сепсиса</w:t>
                    </w:r>
                  </w:p>
                </w:txbxContent>
              </v:textbox>
            </v:shape>
            <v:shape id="_x0000_s1076" type="#_x0000_t202" style="position:absolute;left:4841;top:6119;width:4727;height:1078" strokeweight=".26mm">
              <v:fill color2="black"/>
              <v:textbox style="mso-next-textbox:#_x0000_s1076;mso-rotate-with-shape:t">
                <w:txbxContent>
                  <w:p w:rsidR="00AE516C" w:rsidRPr="006C0279" w:rsidRDefault="00AE516C" w:rsidP="00C269E0">
                    <w:pPr>
                      <w:jc w:val="center"/>
                      <w:rPr>
                        <w:sz w:val="24"/>
                        <w:szCs w:val="24"/>
                      </w:rPr>
                    </w:pPr>
                    <w:r w:rsidRPr="006C0279">
                      <w:rPr>
                        <w:sz w:val="24"/>
                        <w:szCs w:val="24"/>
                      </w:rPr>
                      <w:t>Высок</w:t>
                    </w:r>
                    <w:r>
                      <w:rPr>
                        <w:sz w:val="24"/>
                        <w:szCs w:val="24"/>
                      </w:rPr>
                      <w:t>ая вероятность развития сепсиса</w:t>
                    </w:r>
                  </w:p>
                </w:txbxContent>
              </v:textbox>
            </v:shape>
            <v:line id="_x0000_s1077" style="position:absolute" from="2091,5399" to="6159,6119" strokeweight=".26mm">
              <v:stroke endarrow="block" joinstyle="miter"/>
            </v:line>
            <v:line id="_x0000_s1078" style="position:absolute" from="4620,5039" to="6157,6118" strokeweight=".26mm">
              <v:stroke endarrow="block" joinstyle="miter"/>
            </v:line>
            <v:line id="_x0000_s1079" style="position:absolute;flip:x y" from="6929,3778" to="7697,4316" strokeweight=".26mm">
              <v:stroke endarrow="block" joinstyle="miter"/>
            </v:line>
            <v:line id="_x0000_s1080" style="position:absolute;flip:x" from="2860,3419" to="8138,6118" strokeweight=".26mm">
              <v:stroke endarrow="block" joinstyle="miter"/>
            </v:line>
            <v:line id="_x0000_s1081" style="position:absolute" from="881,5399" to="2860,6119" strokeweight=".26mm">
              <v:stroke endarrow="block" joinstyle="miter"/>
            </v:line>
            <v:line id="_x0000_s1082" style="position:absolute;flip:x" from="2860,5039" to="3408,6118" strokeweight=".26mm">
              <v:stroke endarrow="block" joinstyle="miter"/>
            </v:line>
            <v:shape id="_x0000_s1083" type="#_x0000_t202" style="position:absolute;left:8140;top:3238;width:1979;height:538" strokeweight=".26mm">
              <v:fill color2="black"/>
              <v:textbox style="mso-next-textbox:#_x0000_s1083;mso-rotate-with-shape:t">
                <w:txbxContent>
                  <w:p w:rsidR="00AE516C" w:rsidRPr="00C269E0" w:rsidRDefault="00AE516C" w:rsidP="00C269E0">
                    <w:pPr>
                      <w:jc w:val="center"/>
                      <w:rPr>
                        <w:b/>
                        <w:sz w:val="28"/>
                        <w:szCs w:val="28"/>
                      </w:rPr>
                    </w:pPr>
                    <w:r w:rsidRPr="00C269E0">
                      <w:rPr>
                        <w:b/>
                        <w:sz w:val="28"/>
                        <w:szCs w:val="28"/>
                      </w:rPr>
                      <w:t>-</w:t>
                    </w:r>
                  </w:p>
                </w:txbxContent>
              </v:textbox>
            </v:shape>
            <v:shape id="_x0000_s1084" type="#_x0000_t202" style="position:absolute;top:1619;width:2968;height:2159" strokeweight=".26mm">
              <v:fill color2="black"/>
              <v:textbox style="mso-next-textbox:#_x0000_s1084;mso-rotate-with-shape:t">
                <w:txbxContent>
                  <w:p w:rsidR="00AE516C" w:rsidRPr="006C0279" w:rsidRDefault="00AE516C" w:rsidP="006C0279">
                    <w:pPr>
                      <w:jc w:val="center"/>
                      <w:rPr>
                        <w:sz w:val="24"/>
                        <w:szCs w:val="24"/>
                      </w:rPr>
                    </w:pPr>
                    <w:r w:rsidRPr="006C0279">
                      <w:rPr>
                        <w:sz w:val="24"/>
                        <w:szCs w:val="24"/>
                      </w:rPr>
                      <w:t xml:space="preserve">Оценка по шкале </w:t>
                    </w:r>
                    <w:r w:rsidRPr="006C0279">
                      <w:rPr>
                        <w:sz w:val="24"/>
                        <w:szCs w:val="24"/>
                        <w:lang w:val="en-US"/>
                      </w:rPr>
                      <w:t>SOFA</w:t>
                    </w:r>
                    <w:r>
                      <w:rPr>
                        <w:sz w:val="24"/>
                        <w:szCs w:val="24"/>
                      </w:rPr>
                      <w:t xml:space="preserve"> </w:t>
                    </w:r>
                    <w:r w:rsidRPr="006C0279">
                      <w:rPr>
                        <w:sz w:val="24"/>
                        <w:szCs w:val="24"/>
                      </w:rPr>
                      <w:t>без определения газо</w:t>
                    </w:r>
                    <w:r>
                      <w:rPr>
                        <w:sz w:val="24"/>
                        <w:szCs w:val="24"/>
                      </w:rPr>
                      <w:t>вого состава артериальной крови</w:t>
                    </w:r>
                    <w:r w:rsidRPr="006C0279">
                      <w:rPr>
                        <w:sz w:val="24"/>
                        <w:szCs w:val="24"/>
                      </w:rPr>
                      <w:t xml:space="preserve">, </w:t>
                    </w:r>
                    <w:r w:rsidRPr="006C0279">
                      <w:rPr>
                        <w:sz w:val="24"/>
                        <w:szCs w:val="24"/>
                        <w:lang w:val="en-US"/>
                      </w:rPr>
                      <w:t>n</w:t>
                    </w:r>
                    <w:r w:rsidRPr="006C0279">
                      <w:rPr>
                        <w:sz w:val="24"/>
                        <w:szCs w:val="24"/>
                      </w:rPr>
                      <w:t xml:space="preserve"> баллов</w:t>
                    </w:r>
                  </w:p>
                </w:txbxContent>
              </v:textbox>
            </v:shape>
            <v:shape id="_x0000_s1085" type="#_x0000_t202" style="position:absolute;left:4840;top:7918;width:4726;height:898" strokeweight=".26mm">
              <v:fill color2="black"/>
              <v:textbox style="mso-next-textbox:#_x0000_s1085;mso-rotate-with-shape:t">
                <w:txbxContent>
                  <w:p w:rsidR="00AE516C" w:rsidRPr="006C0279" w:rsidRDefault="00AE516C" w:rsidP="006C0279">
                    <w:pPr>
                      <w:jc w:val="center"/>
                      <w:rPr>
                        <w:sz w:val="24"/>
                        <w:szCs w:val="24"/>
                      </w:rPr>
                    </w:pPr>
                    <w:r w:rsidRPr="006C0279">
                      <w:rPr>
                        <w:sz w:val="24"/>
                        <w:szCs w:val="24"/>
                      </w:rPr>
                      <w:t xml:space="preserve">Определение </w:t>
                    </w:r>
                    <w:r w:rsidRPr="006C0279">
                      <w:rPr>
                        <w:sz w:val="24"/>
                        <w:szCs w:val="24"/>
                        <w:lang w:val="en-US"/>
                      </w:rPr>
                      <w:t xml:space="preserve">pO2 </w:t>
                    </w:r>
                    <w:r w:rsidRPr="006C0279">
                      <w:rPr>
                        <w:sz w:val="24"/>
                        <w:szCs w:val="24"/>
                      </w:rPr>
                      <w:t>артериальной крови</w:t>
                    </w:r>
                  </w:p>
                </w:txbxContent>
              </v:textbox>
            </v:shape>
            <v:line id="_x0000_s1086" style="position:absolute" from="7040,7199" to="7040,7917" strokeweight=".26mm">
              <v:stroke endarrow="block" joinstyle="miter"/>
            </v:line>
            <v:line id="_x0000_s1087" style="position:absolute" from="2640,7199" to="2640,8457" strokeweight=".26mm">
              <v:stroke endarrow="block" joinstyle="miter"/>
            </v:line>
            <v:shape id="_x0000_s1088" type="#_x0000_t202" style="position:absolute;left:4840;top:10438;width:1868;height:538" strokeweight=".26mm">
              <v:fill color2="black"/>
              <v:textbox style="mso-next-textbox:#_x0000_s1088;mso-rotate-with-shape:t">
                <w:txbxContent>
                  <w:p w:rsidR="00AE516C" w:rsidRPr="006C0279" w:rsidRDefault="00AE516C" w:rsidP="006C0279">
                    <w:pPr>
                      <w:jc w:val="center"/>
                      <w:rPr>
                        <w:sz w:val="24"/>
                        <w:szCs w:val="24"/>
                      </w:rPr>
                    </w:pPr>
                    <w:r w:rsidRPr="006C0279">
                      <w:rPr>
                        <w:sz w:val="24"/>
                        <w:szCs w:val="24"/>
                      </w:rPr>
                      <w:t>&lt; 2</w:t>
                    </w:r>
                  </w:p>
                </w:txbxContent>
              </v:textbox>
            </v:shape>
            <v:shape id="_x0000_s1089" type="#_x0000_t202" style="position:absolute;left:5500;top:9179;width:3409;height:898" strokeweight=".26mm">
              <v:fill color2="black"/>
              <v:textbox style="mso-next-textbox:#_x0000_s1089;mso-rotate-with-shape:t">
                <w:txbxContent>
                  <w:p w:rsidR="00AE516C" w:rsidRPr="006C0279" w:rsidRDefault="00AE516C" w:rsidP="006C0279">
                    <w:pPr>
                      <w:jc w:val="center"/>
                      <w:rPr>
                        <w:sz w:val="24"/>
                        <w:szCs w:val="24"/>
                      </w:rPr>
                    </w:pPr>
                    <w:r w:rsidRPr="006C0279">
                      <w:rPr>
                        <w:sz w:val="24"/>
                        <w:szCs w:val="24"/>
                      </w:rPr>
                      <w:t xml:space="preserve">Оценка по шкале </w:t>
                    </w:r>
                    <w:r w:rsidRPr="006C0279">
                      <w:rPr>
                        <w:sz w:val="24"/>
                        <w:szCs w:val="24"/>
                        <w:lang w:val="en-US"/>
                      </w:rPr>
                      <w:t>SOFA</w:t>
                    </w:r>
                  </w:p>
                </w:txbxContent>
              </v:textbox>
            </v:shape>
            <v:line id="_x0000_s1090" style="position:absolute" from="7151,8818" to="7151,9178" strokeweight=".26mm">
              <v:stroke endarrow="block" joinstyle="miter"/>
            </v:line>
            <v:shape id="_x0000_s1091" type="#_x0000_t202" style="position:absolute;left:7260;top:10438;width:1979;height:538" strokeweight=".26mm">
              <v:fill color2="black"/>
              <v:textbox style="mso-next-textbox:#_x0000_s1091;mso-rotate-with-shape:t">
                <w:txbxContent>
                  <w:p w:rsidR="00AE516C" w:rsidRPr="006C0279" w:rsidRDefault="00AE516C" w:rsidP="006C0279">
                    <w:pPr>
                      <w:jc w:val="center"/>
                      <w:rPr>
                        <w:sz w:val="24"/>
                        <w:szCs w:val="24"/>
                      </w:rPr>
                    </w:pPr>
                    <w:r w:rsidRPr="006C0279">
                      <w:rPr>
                        <w:sz w:val="24"/>
                        <w:szCs w:val="24"/>
                      </w:rPr>
                      <w:t>2 и &gt;2</w:t>
                    </w:r>
                  </w:p>
                </w:txbxContent>
              </v:textbox>
            </v:shape>
            <v:line id="_x0000_s1092" style="position:absolute;flip:x" from="5830,10079" to="7039,10437" strokeweight=".26mm">
              <v:stroke endarrow="block" joinstyle="miter"/>
            </v:line>
            <v:line id="_x0000_s1093" style="position:absolute" from="7040,10079" to="8359,10437" strokeweight=".26mm">
              <v:stroke endarrow="block" joinstyle="miter"/>
            </v:line>
            <v:line id="_x0000_s1094" style="position:absolute;flip:x y" from="3961,9179" to="5610,10437" strokeweight=".26mm">
              <v:stroke endarrow="block" joinstyle="miter"/>
            </v:line>
            <v:shape id="_x0000_s1095" type="#_x0000_t202" style="position:absolute;left:6710;top:11519;width:2750;height:898" strokeweight=".26mm">
              <v:fill color2="black"/>
              <v:textbox style="mso-next-textbox:#_x0000_s1095;mso-rotate-with-shape:t">
                <w:txbxContent>
                  <w:p w:rsidR="00AE516C" w:rsidRPr="006C0279" w:rsidRDefault="00AE516C" w:rsidP="006C0279">
                    <w:pPr>
                      <w:jc w:val="center"/>
                      <w:rPr>
                        <w:sz w:val="24"/>
                        <w:szCs w:val="24"/>
                      </w:rPr>
                    </w:pPr>
                    <w:r>
                      <w:rPr>
                        <w:sz w:val="24"/>
                        <w:szCs w:val="24"/>
                      </w:rPr>
                      <w:t xml:space="preserve">Одонтогенный сепсис </w:t>
                    </w:r>
                  </w:p>
                </w:txbxContent>
              </v:textbox>
            </v:shape>
            <v:line id="_x0000_s1096" style="position:absolute;flip:x" from="8139,10979" to="8139,11519" strokeweight=".26mm">
              <v:stroke endarrow="block" joinstyle="miter"/>
            </v:line>
            <v:line id="_x0000_s1097" style="position:absolute;flip:x" from="6929,12060" to="6929,12060" strokeweight=".26mm">
              <v:stroke endarrow="block" joinstyle="miter"/>
            </v:line>
            <v:shape id="_x0000_s1098" type="#_x0000_t202" style="position:absolute;left:1100;top:8459;width:2859;height:1261" strokeweight=".26mm">
              <v:fill color2="black"/>
              <v:textbox style="mso-next-textbox:#_x0000_s1098;mso-rotate-with-shape:t">
                <w:txbxContent>
                  <w:p w:rsidR="00AE516C" w:rsidRPr="006C0279" w:rsidRDefault="00AE516C" w:rsidP="006C0279">
                    <w:pPr>
                      <w:jc w:val="center"/>
                      <w:rPr>
                        <w:sz w:val="24"/>
                        <w:szCs w:val="24"/>
                      </w:rPr>
                    </w:pPr>
                    <w:r w:rsidRPr="006C0279">
                      <w:rPr>
                        <w:sz w:val="24"/>
                        <w:szCs w:val="24"/>
                      </w:rPr>
                      <w:t>Местная форма одонтогенной инфекции</w:t>
                    </w:r>
                  </w:p>
                </w:txbxContent>
              </v:textbox>
            </v:shape>
            <v:shape id="_x0000_s1099" type="#_x0000_t202" style="position:absolute;left:220;top:10438;width:4179;height:1618" strokeweight=".26mm">
              <v:fill color2="black"/>
              <v:textbox style="mso-next-textbox:#_x0000_s1099;mso-rotate-with-shape:t">
                <w:txbxContent>
                  <w:p w:rsidR="00AE516C" w:rsidRPr="006C0279" w:rsidRDefault="00AE516C" w:rsidP="006C0279">
                    <w:pPr>
                      <w:jc w:val="center"/>
                      <w:rPr>
                        <w:sz w:val="24"/>
                        <w:szCs w:val="24"/>
                      </w:rPr>
                    </w:pPr>
                    <w:r w:rsidRPr="006C0279">
                      <w:rPr>
                        <w:sz w:val="24"/>
                        <w:szCs w:val="24"/>
                      </w:rPr>
                      <w:t>Диагностика хроническ</w:t>
                    </w:r>
                    <w:r>
                      <w:rPr>
                        <w:sz w:val="24"/>
                        <w:szCs w:val="24"/>
                      </w:rPr>
                      <w:t>ой патологии внутренних органов</w:t>
                    </w:r>
                  </w:p>
                </w:txbxContent>
              </v:textbox>
            </v:shape>
            <v:line id="_x0000_s1100" style="position:absolute" from="2640,9719" to="2640,10437" strokeweight=".26mm">
              <v:stroke endarrow="block" joinstyle="miter"/>
            </v:line>
            <v:line id="_x0000_s1101" style="position:absolute;flip:x y" from="4400,11338" to="6708,12056" strokeweight=".26mm">
              <v:stroke endarrow="block" joinstyle="miter"/>
            </v:line>
            <v:shape id="_x0000_s1102" type="#_x0000_t202" style="position:absolute;left:660;top:12419;width:5719;height:1258" strokeweight=".26mm">
              <v:fill color2="black"/>
              <v:textbox style="mso-next-textbox:#_x0000_s1102;mso-rotate-with-shape:t">
                <w:txbxContent>
                  <w:p w:rsidR="00AE516C" w:rsidRPr="006C0279" w:rsidRDefault="00AE516C" w:rsidP="006C0279">
                    <w:pPr>
                      <w:jc w:val="center"/>
                      <w:rPr>
                        <w:sz w:val="24"/>
                        <w:szCs w:val="24"/>
                      </w:rPr>
                    </w:pPr>
                    <w:r w:rsidRPr="006C0279">
                      <w:rPr>
                        <w:sz w:val="24"/>
                        <w:szCs w:val="24"/>
                      </w:rPr>
                      <w:t>Определение фоновой патологии (оказывающей влияние на течение/исход основного заболевания)</w:t>
                    </w:r>
                  </w:p>
                </w:txbxContent>
              </v:textbox>
            </v:shape>
            <v:line id="_x0000_s1103" style="position:absolute" from="2531,12058" to="2531,12418" strokeweight=".26mm">
              <v:stroke endarrow="block" joinstyle="miter"/>
            </v:line>
            <w10:anchorlock/>
          </v:group>
        </w:pict>
      </w:r>
    </w:p>
    <w:p w:rsidR="00286780" w:rsidRDefault="00286780" w:rsidP="00105C8A">
      <w:pPr>
        <w:pStyle w:val="a3"/>
        <w:rPr>
          <w:lang w:eastAsia="en-US"/>
        </w:rPr>
      </w:pPr>
      <w:r w:rsidRPr="00CE6523">
        <w:rPr>
          <w:b/>
          <w:lang w:eastAsia="en-US"/>
        </w:rPr>
        <w:t xml:space="preserve">Рисунок </w:t>
      </w:r>
      <w:r>
        <w:rPr>
          <w:b/>
          <w:lang w:eastAsia="en-US"/>
        </w:rPr>
        <w:t>13</w:t>
      </w:r>
      <w:r>
        <w:rPr>
          <w:lang w:eastAsia="en-US"/>
        </w:rPr>
        <w:t xml:space="preserve"> – </w:t>
      </w:r>
      <w:r w:rsidRPr="00CE6523">
        <w:rPr>
          <w:lang w:eastAsia="en-US"/>
        </w:rPr>
        <w:t>Алгоритм диагностики одонтогенного сепсиса</w:t>
      </w:r>
      <w:r>
        <w:rPr>
          <w:lang w:eastAsia="en-US"/>
        </w:rPr>
        <w:t xml:space="preserve"> (1)</w:t>
      </w:r>
    </w:p>
    <w:p w:rsidR="00E225A2" w:rsidRPr="007F7AD7" w:rsidRDefault="00E225A2" w:rsidP="00105C8A">
      <w:pPr>
        <w:pStyle w:val="a3"/>
        <w:rPr>
          <w:lang w:eastAsia="en-US"/>
        </w:rPr>
      </w:pPr>
    </w:p>
    <w:p w:rsidR="00E225A2" w:rsidRPr="00CE6523" w:rsidRDefault="00E225A2" w:rsidP="00E225A2">
      <w:pPr>
        <w:spacing w:line="360" w:lineRule="auto"/>
        <w:ind w:firstLine="709"/>
        <w:jc w:val="both"/>
        <w:rPr>
          <w:rFonts w:cs="Calibri"/>
          <w:sz w:val="28"/>
          <w:szCs w:val="28"/>
          <w:lang w:eastAsia="ar-SA"/>
        </w:rPr>
      </w:pPr>
      <w:r w:rsidRPr="00CE6523">
        <w:rPr>
          <w:rFonts w:cs="Calibri"/>
          <w:sz w:val="28"/>
          <w:szCs w:val="28"/>
          <w:lang w:eastAsia="ar-SA"/>
        </w:rPr>
        <w:lastRenderedPageBreak/>
        <w:t>Оценка чувствительности, специфичности, точности, прогностичности положительного и отрицательного результатов (</w:t>
      </w:r>
      <w:r w:rsidRPr="00CE6523">
        <w:rPr>
          <w:rFonts w:cs="Calibri"/>
          <w:sz w:val="28"/>
          <w:szCs w:val="28"/>
          <w:lang w:val="en-US" w:eastAsia="ar-SA"/>
        </w:rPr>
        <w:t>Se</w:t>
      </w:r>
      <w:r w:rsidRPr="00CE6523">
        <w:rPr>
          <w:rFonts w:cs="Calibri"/>
          <w:sz w:val="28"/>
          <w:szCs w:val="28"/>
          <w:lang w:eastAsia="ar-SA"/>
        </w:rPr>
        <w:t xml:space="preserve">, </w:t>
      </w:r>
      <w:r w:rsidRPr="00CE6523">
        <w:rPr>
          <w:rFonts w:cs="Calibri"/>
          <w:sz w:val="28"/>
          <w:szCs w:val="28"/>
          <w:lang w:val="en-US" w:eastAsia="ar-SA"/>
        </w:rPr>
        <w:t>Sp</w:t>
      </w:r>
      <w:r w:rsidRPr="00CE6523">
        <w:rPr>
          <w:rFonts w:cs="Calibri"/>
          <w:sz w:val="28"/>
          <w:szCs w:val="28"/>
          <w:lang w:eastAsia="ar-SA"/>
        </w:rPr>
        <w:t xml:space="preserve">, </w:t>
      </w:r>
      <w:r w:rsidRPr="00CE6523">
        <w:rPr>
          <w:rFonts w:cs="Calibri"/>
          <w:sz w:val="28"/>
          <w:szCs w:val="28"/>
          <w:lang w:val="en-US" w:eastAsia="ar-SA"/>
        </w:rPr>
        <w:t>Ac</w:t>
      </w:r>
      <w:r w:rsidRPr="00CE6523">
        <w:rPr>
          <w:rFonts w:cs="Calibri"/>
          <w:sz w:val="28"/>
          <w:szCs w:val="28"/>
          <w:lang w:eastAsia="ar-SA"/>
        </w:rPr>
        <w:t xml:space="preserve">, </w:t>
      </w:r>
      <w:r w:rsidRPr="00CE6523">
        <w:rPr>
          <w:rFonts w:cs="Calibri"/>
          <w:sz w:val="28"/>
          <w:szCs w:val="28"/>
          <w:lang w:val="en-US" w:eastAsia="ar-SA"/>
        </w:rPr>
        <w:t>PPV</w:t>
      </w:r>
      <w:r w:rsidRPr="00CE6523">
        <w:rPr>
          <w:rFonts w:cs="Calibri"/>
          <w:sz w:val="28"/>
          <w:szCs w:val="28"/>
          <w:lang w:eastAsia="ar-SA"/>
        </w:rPr>
        <w:t xml:space="preserve">, </w:t>
      </w:r>
      <w:r w:rsidRPr="00CE6523">
        <w:rPr>
          <w:rFonts w:cs="Calibri"/>
          <w:sz w:val="28"/>
          <w:szCs w:val="28"/>
          <w:lang w:val="en-US" w:eastAsia="ar-SA"/>
        </w:rPr>
        <w:t>NPV</w:t>
      </w:r>
      <w:r w:rsidRPr="00CE6523">
        <w:rPr>
          <w:rFonts w:cs="Calibri"/>
          <w:sz w:val="28"/>
          <w:szCs w:val="28"/>
          <w:lang w:eastAsia="ar-SA"/>
        </w:rPr>
        <w:t xml:space="preserve">) применения разработанного алгоритма диагностики одонтогенного сепсиса представлена </w:t>
      </w:r>
      <w:r>
        <w:rPr>
          <w:rFonts w:cs="Calibri"/>
          <w:sz w:val="28"/>
          <w:szCs w:val="28"/>
          <w:lang w:eastAsia="ar-SA"/>
        </w:rPr>
        <w:t>в Таблице 65</w:t>
      </w:r>
      <w:r w:rsidRPr="00CE6523">
        <w:rPr>
          <w:rFonts w:cs="Calibri"/>
          <w:sz w:val="28"/>
          <w:szCs w:val="28"/>
          <w:lang w:eastAsia="ar-SA"/>
        </w:rPr>
        <w:t>.</w:t>
      </w:r>
    </w:p>
    <w:p w:rsidR="00286780" w:rsidRDefault="00286780">
      <w:pPr>
        <w:rPr>
          <w:sz w:val="28"/>
          <w:szCs w:val="28"/>
          <w:lang w:eastAsia="en-US"/>
        </w:rPr>
      </w:pPr>
    </w:p>
    <w:p w:rsidR="00286780" w:rsidRPr="00105C8A" w:rsidRDefault="00286780" w:rsidP="00105C8A">
      <w:pPr>
        <w:pStyle w:val="a3"/>
        <w:rPr>
          <w:lang w:eastAsia="en-US"/>
        </w:rPr>
      </w:pPr>
    </w:p>
    <w:p w:rsidR="00286780" w:rsidRPr="00CE6523" w:rsidRDefault="00286780" w:rsidP="00CE6523">
      <w:pPr>
        <w:spacing w:after="120"/>
        <w:jc w:val="both"/>
        <w:rPr>
          <w:sz w:val="28"/>
          <w:szCs w:val="28"/>
        </w:rPr>
      </w:pPr>
      <w:r w:rsidRPr="00CE6523">
        <w:rPr>
          <w:b/>
          <w:sz w:val="28"/>
          <w:szCs w:val="28"/>
        </w:rPr>
        <w:t>Таблица 6</w:t>
      </w:r>
      <w:r>
        <w:rPr>
          <w:b/>
          <w:sz w:val="28"/>
          <w:szCs w:val="28"/>
        </w:rPr>
        <w:t>5</w:t>
      </w:r>
      <w:r w:rsidRPr="00CE6523">
        <w:rPr>
          <w:sz w:val="28"/>
          <w:szCs w:val="28"/>
        </w:rPr>
        <w:t xml:space="preserve"> – Характеристики алгоритма диагностики одонтогенного сепсиса</w:t>
      </w:r>
      <w:r>
        <w:rPr>
          <w:sz w:val="28"/>
          <w:szCs w:val="28"/>
        </w:rPr>
        <w:t xml:space="preserve"> (1)</w:t>
      </w:r>
    </w:p>
    <w:tbl>
      <w:tblPr>
        <w:tblW w:w="9923" w:type="dxa"/>
        <w:tblLayout w:type="fixed"/>
        <w:tblLook w:val="0000" w:firstRow="0" w:lastRow="0" w:firstColumn="0" w:lastColumn="0" w:noHBand="0" w:noVBand="0"/>
      </w:tblPr>
      <w:tblGrid>
        <w:gridCol w:w="2410"/>
        <w:gridCol w:w="1587"/>
        <w:gridCol w:w="1560"/>
        <w:gridCol w:w="1559"/>
        <w:gridCol w:w="1559"/>
        <w:gridCol w:w="1248"/>
      </w:tblGrid>
      <w:tr w:rsidR="00286780" w:rsidRPr="00CE6523" w:rsidTr="00894E8F">
        <w:trPr>
          <w:trHeight w:val="227"/>
        </w:trPr>
        <w:tc>
          <w:tcPr>
            <w:tcW w:w="2410" w:type="dxa"/>
            <w:vMerge w:val="restart"/>
            <w:tcBorders>
              <w:top w:val="single" w:sz="4" w:space="0" w:color="000000"/>
              <w:left w:val="single" w:sz="4" w:space="0" w:color="000000"/>
              <w:bottom w:val="single" w:sz="4" w:space="0" w:color="000000"/>
            </w:tcBorders>
            <w:tcMar>
              <w:left w:w="28" w:type="dxa"/>
              <w:right w:w="28" w:type="dxa"/>
            </w:tcMar>
            <w:vAlign w:val="center"/>
          </w:tcPr>
          <w:p w:rsidR="00286780" w:rsidRPr="00CE6523" w:rsidRDefault="00286780" w:rsidP="00CE6523">
            <w:pPr>
              <w:snapToGrid w:val="0"/>
              <w:rPr>
                <w:rFonts w:cs="Calibri"/>
                <w:i/>
                <w:sz w:val="24"/>
                <w:szCs w:val="24"/>
                <w:lang w:eastAsia="ar-SA"/>
              </w:rPr>
            </w:pPr>
            <w:r w:rsidRPr="00CE6523">
              <w:rPr>
                <w:rFonts w:cs="Calibri"/>
                <w:i/>
                <w:sz w:val="24"/>
                <w:szCs w:val="24"/>
                <w:lang w:eastAsia="ar-SA"/>
              </w:rPr>
              <w:t>Метод диагностики</w:t>
            </w:r>
          </w:p>
        </w:tc>
        <w:tc>
          <w:tcPr>
            <w:tcW w:w="7513"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E6523" w:rsidRDefault="00286780" w:rsidP="00CE6523">
            <w:pPr>
              <w:snapToGrid w:val="0"/>
              <w:jc w:val="center"/>
              <w:rPr>
                <w:rFonts w:cs="Calibri"/>
                <w:i/>
                <w:sz w:val="24"/>
                <w:szCs w:val="24"/>
                <w:lang w:eastAsia="ar-SA"/>
              </w:rPr>
            </w:pPr>
            <w:r w:rsidRPr="00CE6523">
              <w:rPr>
                <w:rFonts w:cs="Calibri"/>
                <w:i/>
                <w:sz w:val="24"/>
                <w:szCs w:val="24"/>
                <w:lang w:eastAsia="ar-SA"/>
              </w:rPr>
              <w:t>Критерии оценки</w:t>
            </w:r>
          </w:p>
        </w:tc>
      </w:tr>
      <w:tr w:rsidR="00286780" w:rsidRPr="00CE6523" w:rsidTr="00894E8F">
        <w:trPr>
          <w:trHeight w:val="227"/>
        </w:trPr>
        <w:tc>
          <w:tcPr>
            <w:tcW w:w="2410" w:type="dxa"/>
            <w:vMerge/>
            <w:tcBorders>
              <w:top w:val="single" w:sz="4" w:space="0" w:color="000000"/>
              <w:left w:val="single" w:sz="4" w:space="0" w:color="000000"/>
              <w:bottom w:val="single" w:sz="4" w:space="0" w:color="000000"/>
            </w:tcBorders>
            <w:tcMar>
              <w:left w:w="28" w:type="dxa"/>
              <w:right w:w="28" w:type="dxa"/>
            </w:tcMar>
          </w:tcPr>
          <w:p w:rsidR="00286780" w:rsidRPr="00CE6523" w:rsidRDefault="00286780" w:rsidP="00CE6523">
            <w:pPr>
              <w:snapToGrid w:val="0"/>
              <w:rPr>
                <w:rFonts w:cs="Calibri"/>
                <w:sz w:val="24"/>
                <w:szCs w:val="24"/>
                <w:lang w:eastAsia="ar-SA"/>
              </w:rPr>
            </w:pPr>
          </w:p>
        </w:tc>
        <w:tc>
          <w:tcPr>
            <w:tcW w:w="1587" w:type="dxa"/>
            <w:tcBorders>
              <w:top w:val="single" w:sz="4" w:space="0" w:color="000000"/>
              <w:left w:val="single" w:sz="4" w:space="0" w:color="000000"/>
              <w:bottom w:val="single" w:sz="4" w:space="0" w:color="000000"/>
            </w:tcBorders>
            <w:tcMar>
              <w:left w:w="28" w:type="dxa"/>
              <w:right w:w="28" w:type="dxa"/>
            </w:tcMar>
          </w:tcPr>
          <w:p w:rsidR="00286780" w:rsidRPr="00CE6523" w:rsidRDefault="00286780" w:rsidP="00CE6523">
            <w:pPr>
              <w:snapToGrid w:val="0"/>
              <w:jc w:val="center"/>
              <w:rPr>
                <w:rFonts w:cs="Calibri"/>
                <w:sz w:val="24"/>
                <w:szCs w:val="24"/>
                <w:lang w:eastAsia="ar-SA"/>
              </w:rPr>
            </w:pPr>
            <w:r w:rsidRPr="00CE6523">
              <w:rPr>
                <w:rFonts w:cs="Calibri"/>
                <w:sz w:val="24"/>
                <w:szCs w:val="24"/>
                <w:lang w:val="en-US" w:eastAsia="ar-SA"/>
              </w:rPr>
              <w:t>Se[</w:t>
            </w:r>
            <w:r w:rsidRPr="00CE6523">
              <w:rPr>
                <w:rFonts w:cs="Calibri"/>
                <w:sz w:val="24"/>
                <w:szCs w:val="24"/>
                <w:lang w:eastAsia="ar-SA"/>
              </w:rPr>
              <w:t>95% ДИ</w:t>
            </w:r>
            <w:r w:rsidRPr="00CE6523">
              <w:rPr>
                <w:rFonts w:cs="Calibri"/>
                <w:sz w:val="24"/>
                <w:szCs w:val="24"/>
                <w:lang w:val="en-US" w:eastAsia="ar-SA"/>
              </w:rPr>
              <w:t>]</w:t>
            </w:r>
            <w:r w:rsidRPr="00CE6523">
              <w:rPr>
                <w:rFonts w:cs="Calibri"/>
                <w:sz w:val="24"/>
                <w:szCs w:val="24"/>
                <w:lang w:eastAsia="ar-SA"/>
              </w:rPr>
              <w:t xml:space="preserve"> (%)</w:t>
            </w:r>
          </w:p>
        </w:tc>
        <w:tc>
          <w:tcPr>
            <w:tcW w:w="1560" w:type="dxa"/>
            <w:tcBorders>
              <w:top w:val="single" w:sz="4" w:space="0" w:color="000000"/>
              <w:left w:val="single" w:sz="4" w:space="0" w:color="000000"/>
              <w:bottom w:val="single" w:sz="4" w:space="0" w:color="000000"/>
            </w:tcBorders>
            <w:tcMar>
              <w:left w:w="28" w:type="dxa"/>
              <w:right w:w="28" w:type="dxa"/>
            </w:tcMar>
          </w:tcPr>
          <w:p w:rsidR="00286780" w:rsidRPr="00CE6523" w:rsidRDefault="00286780" w:rsidP="00CE6523">
            <w:pPr>
              <w:snapToGrid w:val="0"/>
              <w:jc w:val="center"/>
              <w:rPr>
                <w:rFonts w:cs="Calibri"/>
                <w:sz w:val="24"/>
                <w:szCs w:val="24"/>
                <w:lang w:eastAsia="ar-SA"/>
              </w:rPr>
            </w:pPr>
            <w:r w:rsidRPr="00CE6523">
              <w:rPr>
                <w:rFonts w:cs="Calibri"/>
                <w:sz w:val="24"/>
                <w:szCs w:val="24"/>
                <w:lang w:val="en-US" w:eastAsia="ar-SA"/>
              </w:rPr>
              <w:t>Sp[</w:t>
            </w:r>
            <w:r w:rsidRPr="00CE6523">
              <w:rPr>
                <w:rFonts w:cs="Calibri"/>
                <w:sz w:val="24"/>
                <w:szCs w:val="24"/>
                <w:lang w:eastAsia="ar-SA"/>
              </w:rPr>
              <w:t>95% ДИ</w:t>
            </w:r>
            <w:r w:rsidRPr="00CE6523">
              <w:rPr>
                <w:rFonts w:cs="Calibri"/>
                <w:sz w:val="24"/>
                <w:szCs w:val="24"/>
                <w:lang w:val="en-US" w:eastAsia="ar-SA"/>
              </w:rPr>
              <w:t>]</w:t>
            </w:r>
            <w:r w:rsidRPr="00CE6523">
              <w:rPr>
                <w:rFonts w:cs="Calibri"/>
                <w:sz w:val="24"/>
                <w:szCs w:val="24"/>
                <w:lang w:eastAsia="ar-SA"/>
              </w:rPr>
              <w:t xml:space="preserve"> (%)</w:t>
            </w:r>
          </w:p>
        </w:tc>
        <w:tc>
          <w:tcPr>
            <w:tcW w:w="1559" w:type="dxa"/>
            <w:tcBorders>
              <w:top w:val="single" w:sz="4" w:space="0" w:color="000000"/>
              <w:left w:val="single" w:sz="4" w:space="0" w:color="000000"/>
              <w:bottom w:val="single" w:sz="4" w:space="0" w:color="000000"/>
            </w:tcBorders>
            <w:tcMar>
              <w:left w:w="28" w:type="dxa"/>
              <w:right w:w="28" w:type="dxa"/>
            </w:tcMar>
          </w:tcPr>
          <w:p w:rsidR="00286780" w:rsidRPr="00CE6523" w:rsidRDefault="00286780" w:rsidP="00CE6523">
            <w:pPr>
              <w:snapToGrid w:val="0"/>
              <w:jc w:val="center"/>
              <w:rPr>
                <w:rFonts w:cs="Calibri"/>
                <w:sz w:val="24"/>
                <w:szCs w:val="24"/>
                <w:lang w:eastAsia="ar-SA"/>
              </w:rPr>
            </w:pPr>
            <w:r w:rsidRPr="00CE6523">
              <w:rPr>
                <w:rFonts w:cs="Calibri"/>
                <w:sz w:val="24"/>
                <w:szCs w:val="24"/>
                <w:lang w:val="en-US" w:eastAsia="ar-SA"/>
              </w:rPr>
              <w:t>Ac[</w:t>
            </w:r>
            <w:r w:rsidRPr="00CE6523">
              <w:rPr>
                <w:rFonts w:cs="Calibri"/>
                <w:sz w:val="24"/>
                <w:szCs w:val="24"/>
                <w:lang w:eastAsia="ar-SA"/>
              </w:rPr>
              <w:t>95% ДИ</w:t>
            </w:r>
            <w:r w:rsidRPr="00CE6523">
              <w:rPr>
                <w:rFonts w:cs="Calibri"/>
                <w:sz w:val="24"/>
                <w:szCs w:val="24"/>
                <w:lang w:val="en-US" w:eastAsia="ar-SA"/>
              </w:rPr>
              <w:t>]</w:t>
            </w:r>
            <w:r w:rsidRPr="00CE6523">
              <w:rPr>
                <w:rFonts w:cs="Calibri"/>
                <w:sz w:val="24"/>
                <w:szCs w:val="24"/>
                <w:lang w:eastAsia="ar-SA"/>
              </w:rPr>
              <w:t xml:space="preserve"> (%)</w:t>
            </w:r>
          </w:p>
        </w:tc>
        <w:tc>
          <w:tcPr>
            <w:tcW w:w="1559" w:type="dxa"/>
            <w:tcBorders>
              <w:top w:val="single" w:sz="4" w:space="0" w:color="000000"/>
              <w:left w:val="single" w:sz="4" w:space="0" w:color="000000"/>
              <w:bottom w:val="single" w:sz="4" w:space="0" w:color="000000"/>
            </w:tcBorders>
            <w:tcMar>
              <w:left w:w="28" w:type="dxa"/>
              <w:right w:w="28" w:type="dxa"/>
            </w:tcMar>
          </w:tcPr>
          <w:p w:rsidR="00286780" w:rsidRPr="00CE6523" w:rsidRDefault="00286780" w:rsidP="00CE6523">
            <w:pPr>
              <w:snapToGrid w:val="0"/>
              <w:jc w:val="center"/>
              <w:rPr>
                <w:rFonts w:cs="Calibri"/>
                <w:sz w:val="24"/>
                <w:szCs w:val="24"/>
                <w:lang w:eastAsia="ar-SA"/>
              </w:rPr>
            </w:pPr>
            <w:r w:rsidRPr="00CE6523">
              <w:rPr>
                <w:rFonts w:cs="Calibri"/>
                <w:sz w:val="24"/>
                <w:szCs w:val="24"/>
                <w:lang w:val="en-US" w:eastAsia="ar-SA"/>
              </w:rPr>
              <w:t>PPV[</w:t>
            </w:r>
            <w:r w:rsidRPr="00CE6523">
              <w:rPr>
                <w:rFonts w:cs="Calibri"/>
                <w:sz w:val="24"/>
                <w:szCs w:val="24"/>
                <w:lang w:eastAsia="ar-SA"/>
              </w:rPr>
              <w:t>95% ДИ</w:t>
            </w:r>
            <w:r w:rsidRPr="00CE6523">
              <w:rPr>
                <w:rFonts w:cs="Calibri"/>
                <w:sz w:val="24"/>
                <w:szCs w:val="24"/>
                <w:lang w:val="en-US" w:eastAsia="ar-SA"/>
              </w:rPr>
              <w:t>]</w:t>
            </w:r>
            <w:r w:rsidRPr="00CE6523">
              <w:rPr>
                <w:rFonts w:cs="Calibri"/>
                <w:sz w:val="24"/>
                <w:szCs w:val="24"/>
                <w:lang w:eastAsia="ar-SA"/>
              </w:rPr>
              <w:t xml:space="preserve"> (%)</w:t>
            </w:r>
          </w:p>
        </w:tc>
        <w:tc>
          <w:tcPr>
            <w:tcW w:w="1248" w:type="dxa"/>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CE6523" w:rsidRDefault="00286780" w:rsidP="00CE6523">
            <w:pPr>
              <w:snapToGrid w:val="0"/>
              <w:jc w:val="center"/>
              <w:rPr>
                <w:rFonts w:cs="Calibri"/>
                <w:sz w:val="24"/>
                <w:szCs w:val="24"/>
                <w:lang w:eastAsia="ar-SA"/>
              </w:rPr>
            </w:pPr>
            <w:r w:rsidRPr="00CE6523">
              <w:rPr>
                <w:rFonts w:cs="Calibri"/>
                <w:sz w:val="24"/>
                <w:szCs w:val="24"/>
                <w:lang w:val="en-US" w:eastAsia="ar-SA"/>
              </w:rPr>
              <w:t>NPV[</w:t>
            </w:r>
            <w:r w:rsidRPr="00CE6523">
              <w:rPr>
                <w:rFonts w:cs="Calibri"/>
                <w:sz w:val="24"/>
                <w:szCs w:val="24"/>
                <w:lang w:eastAsia="ar-SA"/>
              </w:rPr>
              <w:t>95% ДИ</w:t>
            </w:r>
            <w:r w:rsidRPr="00CE6523">
              <w:rPr>
                <w:rFonts w:cs="Calibri"/>
                <w:sz w:val="24"/>
                <w:szCs w:val="24"/>
                <w:lang w:val="en-US" w:eastAsia="ar-SA"/>
              </w:rPr>
              <w:t>]</w:t>
            </w:r>
            <w:r w:rsidRPr="00CE6523">
              <w:rPr>
                <w:rFonts w:cs="Calibri"/>
                <w:sz w:val="24"/>
                <w:szCs w:val="24"/>
                <w:lang w:eastAsia="ar-SA"/>
              </w:rPr>
              <w:t xml:space="preserve"> (%)</w:t>
            </w:r>
          </w:p>
        </w:tc>
      </w:tr>
      <w:tr w:rsidR="00286780" w:rsidRPr="00CE6523" w:rsidTr="00894E8F">
        <w:trPr>
          <w:trHeight w:val="227"/>
        </w:trPr>
        <w:tc>
          <w:tcPr>
            <w:tcW w:w="2410" w:type="dxa"/>
            <w:tcBorders>
              <w:top w:val="single" w:sz="4" w:space="0" w:color="000000"/>
              <w:left w:val="single" w:sz="4" w:space="0" w:color="000000"/>
              <w:bottom w:val="single" w:sz="4" w:space="0" w:color="000000"/>
            </w:tcBorders>
            <w:tcMar>
              <w:left w:w="28" w:type="dxa"/>
              <w:right w:w="28" w:type="dxa"/>
            </w:tcMar>
          </w:tcPr>
          <w:p w:rsidR="00286780" w:rsidRPr="00CE6523" w:rsidRDefault="00286780" w:rsidP="00CE6523">
            <w:pPr>
              <w:snapToGrid w:val="0"/>
              <w:rPr>
                <w:rFonts w:cs="Calibri"/>
                <w:sz w:val="24"/>
                <w:szCs w:val="24"/>
                <w:lang w:eastAsia="ar-SA"/>
              </w:rPr>
            </w:pPr>
            <w:r w:rsidRPr="00CE6523">
              <w:rPr>
                <w:rFonts w:cs="Calibri"/>
                <w:sz w:val="24"/>
                <w:szCs w:val="24"/>
                <w:lang w:eastAsia="ar-SA"/>
              </w:rPr>
              <w:t>Модифицированный алгоритм</w:t>
            </w:r>
          </w:p>
        </w:tc>
        <w:tc>
          <w:tcPr>
            <w:tcW w:w="1587" w:type="dxa"/>
            <w:tcBorders>
              <w:top w:val="single" w:sz="4" w:space="0" w:color="000000"/>
              <w:left w:val="single" w:sz="4" w:space="0" w:color="000000"/>
              <w:bottom w:val="single" w:sz="4" w:space="0" w:color="000000"/>
            </w:tcBorders>
            <w:tcMar>
              <w:left w:w="28" w:type="dxa"/>
              <w:right w:w="28" w:type="dxa"/>
            </w:tcMar>
          </w:tcPr>
          <w:p w:rsidR="00286780" w:rsidRPr="00CE6523" w:rsidRDefault="00286780" w:rsidP="00CE6523">
            <w:pPr>
              <w:snapToGrid w:val="0"/>
              <w:jc w:val="center"/>
              <w:rPr>
                <w:rFonts w:cs="Calibri"/>
                <w:sz w:val="24"/>
                <w:szCs w:val="24"/>
                <w:lang w:eastAsia="ar-SA"/>
              </w:rPr>
            </w:pPr>
            <w:r w:rsidRPr="00CE6523">
              <w:rPr>
                <w:rFonts w:cs="Calibri"/>
                <w:sz w:val="24"/>
                <w:szCs w:val="24"/>
                <w:lang w:eastAsia="ar-SA"/>
              </w:rPr>
              <w:t>100</w:t>
            </w:r>
            <w:r w:rsidRPr="00CE6523">
              <w:rPr>
                <w:rFonts w:cs="Calibri"/>
                <w:sz w:val="24"/>
                <w:szCs w:val="24"/>
                <w:lang w:eastAsia="ar-SA"/>
              </w:rPr>
              <w:br/>
              <w:t>[91,19; 100] (!)</w:t>
            </w:r>
          </w:p>
        </w:tc>
        <w:tc>
          <w:tcPr>
            <w:tcW w:w="1560" w:type="dxa"/>
            <w:tcBorders>
              <w:top w:val="single" w:sz="4" w:space="0" w:color="000000"/>
              <w:left w:val="single" w:sz="4" w:space="0" w:color="000000"/>
              <w:bottom w:val="single" w:sz="4" w:space="0" w:color="000000"/>
            </w:tcBorders>
            <w:tcMar>
              <w:left w:w="28" w:type="dxa"/>
              <w:right w:w="28" w:type="dxa"/>
            </w:tcMar>
          </w:tcPr>
          <w:p w:rsidR="00286780" w:rsidRPr="00CE6523" w:rsidRDefault="00286780" w:rsidP="00CE6523">
            <w:pPr>
              <w:snapToGrid w:val="0"/>
              <w:jc w:val="center"/>
              <w:rPr>
                <w:rFonts w:cs="Calibri"/>
                <w:sz w:val="24"/>
                <w:szCs w:val="24"/>
                <w:lang w:eastAsia="ar-SA"/>
              </w:rPr>
            </w:pPr>
            <w:r w:rsidRPr="00CE6523">
              <w:rPr>
                <w:rFonts w:cs="Calibri"/>
                <w:sz w:val="24"/>
                <w:szCs w:val="24"/>
                <w:lang w:eastAsia="ar-SA"/>
              </w:rPr>
              <w:t>84,44</w:t>
            </w:r>
            <w:r w:rsidRPr="00CE6523">
              <w:rPr>
                <w:rFonts w:cs="Calibri"/>
                <w:sz w:val="24"/>
                <w:szCs w:val="24"/>
                <w:lang w:eastAsia="ar-SA"/>
              </w:rPr>
              <w:br/>
              <w:t>[70,54; 93,51]</w:t>
            </w:r>
          </w:p>
        </w:tc>
        <w:tc>
          <w:tcPr>
            <w:tcW w:w="1559" w:type="dxa"/>
            <w:tcBorders>
              <w:top w:val="single" w:sz="4" w:space="0" w:color="000000"/>
              <w:left w:val="single" w:sz="4" w:space="0" w:color="000000"/>
              <w:bottom w:val="single" w:sz="4" w:space="0" w:color="000000"/>
            </w:tcBorders>
            <w:tcMar>
              <w:left w:w="28" w:type="dxa"/>
              <w:right w:w="28" w:type="dxa"/>
            </w:tcMar>
          </w:tcPr>
          <w:p w:rsidR="00286780" w:rsidRPr="00CE6523" w:rsidRDefault="00286780" w:rsidP="00CE6523">
            <w:pPr>
              <w:snapToGrid w:val="0"/>
              <w:jc w:val="center"/>
              <w:rPr>
                <w:rFonts w:cs="Calibri"/>
                <w:sz w:val="24"/>
                <w:szCs w:val="24"/>
                <w:lang w:eastAsia="ar-SA"/>
              </w:rPr>
            </w:pPr>
            <w:r w:rsidRPr="00CE6523">
              <w:rPr>
                <w:rFonts w:cs="Calibri"/>
                <w:sz w:val="24"/>
                <w:szCs w:val="24"/>
                <w:lang w:eastAsia="ar-SA"/>
              </w:rPr>
              <w:t>91,76</w:t>
            </w:r>
            <w:r w:rsidRPr="00CE6523">
              <w:rPr>
                <w:rFonts w:cs="Calibri"/>
                <w:sz w:val="24"/>
                <w:szCs w:val="24"/>
                <w:lang w:eastAsia="ar-SA"/>
              </w:rPr>
              <w:br/>
              <w:t>[83,77; 96,62]</w:t>
            </w:r>
          </w:p>
        </w:tc>
        <w:tc>
          <w:tcPr>
            <w:tcW w:w="1559" w:type="dxa"/>
            <w:tcBorders>
              <w:top w:val="single" w:sz="4" w:space="0" w:color="000000"/>
              <w:left w:val="single" w:sz="4" w:space="0" w:color="000000"/>
              <w:bottom w:val="single" w:sz="4" w:space="0" w:color="000000"/>
            </w:tcBorders>
            <w:tcMar>
              <w:left w:w="28" w:type="dxa"/>
              <w:right w:w="28" w:type="dxa"/>
            </w:tcMar>
          </w:tcPr>
          <w:p w:rsidR="00286780" w:rsidRPr="00CE6523" w:rsidRDefault="00286780" w:rsidP="00CE6523">
            <w:pPr>
              <w:snapToGrid w:val="0"/>
              <w:jc w:val="center"/>
              <w:rPr>
                <w:rFonts w:cs="Calibri"/>
                <w:sz w:val="24"/>
                <w:szCs w:val="24"/>
                <w:lang w:eastAsia="ar-SA"/>
              </w:rPr>
            </w:pPr>
            <w:r w:rsidRPr="00CE6523">
              <w:rPr>
                <w:rFonts w:cs="Calibri"/>
                <w:sz w:val="24"/>
                <w:szCs w:val="24"/>
                <w:lang w:eastAsia="ar-SA"/>
              </w:rPr>
              <w:t>85,11</w:t>
            </w:r>
            <w:r w:rsidRPr="00CE6523">
              <w:rPr>
                <w:rFonts w:cs="Calibri"/>
                <w:sz w:val="24"/>
                <w:szCs w:val="24"/>
                <w:lang w:eastAsia="ar-SA"/>
              </w:rPr>
              <w:br/>
              <w:t>[74,31; 91,86]</w:t>
            </w:r>
          </w:p>
        </w:tc>
        <w:tc>
          <w:tcPr>
            <w:tcW w:w="1248" w:type="dxa"/>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CE6523" w:rsidRDefault="00286780" w:rsidP="00CE6523">
            <w:pPr>
              <w:snapToGrid w:val="0"/>
              <w:jc w:val="center"/>
              <w:rPr>
                <w:rFonts w:cs="Calibri"/>
                <w:sz w:val="24"/>
                <w:szCs w:val="24"/>
                <w:lang w:eastAsia="ar-SA"/>
              </w:rPr>
            </w:pPr>
            <w:r w:rsidRPr="00CE6523">
              <w:rPr>
                <w:rFonts w:cs="Calibri"/>
                <w:sz w:val="24"/>
                <w:szCs w:val="24"/>
                <w:lang w:eastAsia="ar-SA"/>
              </w:rPr>
              <w:t>100</w:t>
            </w:r>
          </w:p>
        </w:tc>
      </w:tr>
      <w:tr w:rsidR="00286780" w:rsidRPr="00CE6523" w:rsidTr="00894E8F">
        <w:trPr>
          <w:trHeight w:val="227"/>
        </w:trPr>
        <w:tc>
          <w:tcPr>
            <w:tcW w:w="9923" w:type="dxa"/>
            <w:gridSpan w:val="6"/>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CE6523" w:rsidRDefault="00286780" w:rsidP="00CE6523">
            <w:pPr>
              <w:jc w:val="both"/>
              <w:rPr>
                <w:rFonts w:cs="Calibri"/>
                <w:sz w:val="24"/>
                <w:szCs w:val="24"/>
                <w:lang w:eastAsia="ar-SA"/>
              </w:rPr>
            </w:pPr>
            <w:r w:rsidRPr="00CE6523">
              <w:rPr>
                <w:rFonts w:cs="Calibri"/>
                <w:i/>
                <w:sz w:val="24"/>
                <w:szCs w:val="24"/>
                <w:lang w:eastAsia="ar-SA"/>
              </w:rPr>
              <w:t>Примечание</w:t>
            </w:r>
            <w:r w:rsidRPr="00CE6523">
              <w:rPr>
                <w:rFonts w:cs="Calibri"/>
                <w:sz w:val="24"/>
                <w:szCs w:val="24"/>
                <w:lang w:eastAsia="ar-SA"/>
              </w:rPr>
              <w:t xml:space="preserve">. </w:t>
            </w:r>
            <w:r w:rsidRPr="00CE6523">
              <w:rPr>
                <w:rFonts w:cs="Calibri"/>
                <w:sz w:val="24"/>
                <w:szCs w:val="24"/>
                <w:lang w:val="en-US" w:eastAsia="ar-SA"/>
              </w:rPr>
              <w:t>Se</w:t>
            </w:r>
            <w:r w:rsidRPr="00CE6523">
              <w:rPr>
                <w:rFonts w:cs="Calibri"/>
                <w:sz w:val="24"/>
                <w:szCs w:val="24"/>
                <w:lang w:eastAsia="ar-SA"/>
              </w:rPr>
              <w:t xml:space="preserve"> – чувствительность, </w:t>
            </w:r>
            <w:r w:rsidRPr="00CE6523">
              <w:rPr>
                <w:rFonts w:cs="Calibri"/>
                <w:sz w:val="24"/>
                <w:szCs w:val="24"/>
                <w:lang w:val="en-US" w:eastAsia="ar-SA"/>
              </w:rPr>
              <w:t>Sp</w:t>
            </w:r>
            <w:r w:rsidRPr="00CE6523">
              <w:rPr>
                <w:rFonts w:cs="Calibri"/>
                <w:sz w:val="24"/>
                <w:szCs w:val="24"/>
                <w:lang w:eastAsia="ar-SA"/>
              </w:rPr>
              <w:t xml:space="preserve"> – специфичность, Ас – точность, </w:t>
            </w:r>
            <w:r w:rsidRPr="00CE6523">
              <w:rPr>
                <w:rFonts w:cs="Calibri"/>
                <w:sz w:val="24"/>
                <w:szCs w:val="24"/>
                <w:lang w:val="en-US" w:eastAsia="ar-SA"/>
              </w:rPr>
              <w:t>PPV</w:t>
            </w:r>
            <w:r w:rsidRPr="00CE6523">
              <w:rPr>
                <w:rFonts w:cs="Calibri"/>
                <w:sz w:val="24"/>
                <w:szCs w:val="24"/>
                <w:lang w:eastAsia="ar-SA"/>
              </w:rPr>
              <w:t xml:space="preserve"> – прогностичность положительного результата, </w:t>
            </w:r>
            <w:r w:rsidRPr="00CE6523">
              <w:rPr>
                <w:rFonts w:cs="Calibri"/>
                <w:sz w:val="24"/>
                <w:szCs w:val="24"/>
                <w:lang w:val="en-US" w:eastAsia="ar-SA"/>
              </w:rPr>
              <w:t>NPV</w:t>
            </w:r>
            <w:r w:rsidRPr="00CE6523">
              <w:rPr>
                <w:rFonts w:cs="Calibri"/>
                <w:sz w:val="24"/>
                <w:szCs w:val="24"/>
                <w:lang w:eastAsia="ar-SA"/>
              </w:rPr>
              <w:t xml:space="preserve"> – прогностичность отрицательного результата; [95% ДИ] – 95% доверительный интервал</w:t>
            </w:r>
          </w:p>
        </w:tc>
      </w:tr>
    </w:tbl>
    <w:p w:rsidR="00286780" w:rsidRPr="00CE6523" w:rsidRDefault="00286780" w:rsidP="00CE6523">
      <w:pPr>
        <w:jc w:val="both"/>
        <w:rPr>
          <w:rFonts w:cs="Calibri"/>
          <w:sz w:val="28"/>
          <w:szCs w:val="28"/>
          <w:lang w:eastAsia="ar-SA"/>
        </w:rPr>
      </w:pPr>
    </w:p>
    <w:p w:rsidR="00286780" w:rsidRDefault="00286780" w:rsidP="00B15368">
      <w:pPr>
        <w:spacing w:line="360" w:lineRule="auto"/>
        <w:ind w:firstLine="709"/>
        <w:jc w:val="both"/>
        <w:rPr>
          <w:rFonts w:cs="Calibri"/>
          <w:sz w:val="28"/>
          <w:szCs w:val="28"/>
          <w:lang w:eastAsia="ar-SA"/>
        </w:rPr>
      </w:pPr>
      <w:r w:rsidRPr="00CE6523">
        <w:rPr>
          <w:rFonts w:cs="Calibri"/>
          <w:sz w:val="28"/>
          <w:szCs w:val="28"/>
          <w:lang w:eastAsia="ar-SA"/>
        </w:rPr>
        <w:t>Чувствительность разработанного алгоритма достигает 100% при достаточно высокой специфичности (84,4%) и точности (91,8%).</w:t>
      </w:r>
      <w:r w:rsidR="00B15368">
        <w:rPr>
          <w:rFonts w:cs="Calibri"/>
          <w:sz w:val="28"/>
          <w:szCs w:val="28"/>
          <w:lang w:eastAsia="ar-SA"/>
        </w:rPr>
        <w:t xml:space="preserve"> </w:t>
      </w:r>
      <w:r>
        <w:rPr>
          <w:rFonts w:cs="Calibri"/>
          <w:sz w:val="28"/>
          <w:szCs w:val="28"/>
          <w:lang w:eastAsia="ar-SA"/>
        </w:rPr>
        <w:t>Сравнительная характеристика разработанного алгоритма диагностики одонтогенного сепсиса (1) и "классических" алгор</w:t>
      </w:r>
      <w:r w:rsidR="00E225A2">
        <w:rPr>
          <w:rFonts w:cs="Calibri"/>
          <w:sz w:val="28"/>
          <w:szCs w:val="28"/>
          <w:lang w:eastAsia="ar-SA"/>
        </w:rPr>
        <w:t>имов представлена в Таблице 66.</w:t>
      </w:r>
    </w:p>
    <w:p w:rsidR="00286780" w:rsidRDefault="00286780">
      <w:pPr>
        <w:rPr>
          <w:rFonts w:cs="Calibri"/>
          <w:sz w:val="28"/>
          <w:szCs w:val="28"/>
          <w:lang w:eastAsia="ar-SA"/>
        </w:rPr>
      </w:pPr>
    </w:p>
    <w:p w:rsidR="00286780" w:rsidRPr="008D2400" w:rsidRDefault="00286780" w:rsidP="009434E9">
      <w:pPr>
        <w:ind w:hanging="142"/>
        <w:jc w:val="center"/>
        <w:rPr>
          <w:rFonts w:cs="Calibri"/>
          <w:sz w:val="28"/>
          <w:szCs w:val="28"/>
          <w:lang w:eastAsia="ar-SA"/>
        </w:rPr>
      </w:pPr>
      <w:r w:rsidRPr="008D2400">
        <w:rPr>
          <w:rFonts w:cs="Calibri"/>
          <w:b/>
          <w:sz w:val="28"/>
          <w:szCs w:val="28"/>
          <w:lang w:eastAsia="ar-SA"/>
        </w:rPr>
        <w:t>Таблица 6</w:t>
      </w:r>
      <w:r>
        <w:rPr>
          <w:rFonts w:cs="Calibri"/>
          <w:b/>
          <w:sz w:val="28"/>
          <w:szCs w:val="28"/>
          <w:lang w:eastAsia="ar-SA"/>
        </w:rPr>
        <w:t>6</w:t>
      </w:r>
      <w:r w:rsidRPr="008D2400">
        <w:rPr>
          <w:rFonts w:cs="Calibri"/>
          <w:sz w:val="28"/>
          <w:szCs w:val="28"/>
          <w:lang w:eastAsia="ar-SA"/>
        </w:rPr>
        <w:t xml:space="preserve"> - Сравнительная характеристика </w:t>
      </w:r>
      <w:r>
        <w:rPr>
          <w:rFonts w:cs="Calibri"/>
          <w:sz w:val="28"/>
          <w:szCs w:val="28"/>
          <w:lang w:eastAsia="ar-SA"/>
        </w:rPr>
        <w:t>модифицированного алгоритма</w:t>
      </w:r>
      <w:r w:rsidRPr="008D2400">
        <w:rPr>
          <w:rFonts w:cs="Calibri"/>
          <w:sz w:val="28"/>
          <w:szCs w:val="28"/>
          <w:lang w:eastAsia="ar-SA"/>
        </w:rPr>
        <w:t xml:space="preserve"> диагностики одонтогенного сепсиса</w:t>
      </w:r>
      <w:r w:rsidR="005A61D5">
        <w:rPr>
          <w:rFonts w:cs="Calibri"/>
          <w:sz w:val="28"/>
          <w:szCs w:val="28"/>
          <w:lang w:eastAsia="ar-SA"/>
        </w:rPr>
        <w:t xml:space="preserve"> №1</w:t>
      </w:r>
      <w:r>
        <w:rPr>
          <w:rFonts w:cs="Calibri"/>
          <w:sz w:val="28"/>
          <w:szCs w:val="28"/>
          <w:lang w:eastAsia="ar-SA"/>
        </w:rPr>
        <w:t xml:space="preserve"> и "классических" алгоритмов диагностики</w:t>
      </w:r>
    </w:p>
    <w:tbl>
      <w:tblPr>
        <w:tblW w:w="10307" w:type="dxa"/>
        <w:tblInd w:w="-57" w:type="dxa"/>
        <w:tblLayout w:type="fixed"/>
        <w:tblLook w:val="0000" w:firstRow="0" w:lastRow="0" w:firstColumn="0" w:lastColumn="0" w:noHBand="0" w:noVBand="0"/>
      </w:tblPr>
      <w:tblGrid>
        <w:gridCol w:w="2085"/>
        <w:gridCol w:w="1843"/>
        <w:gridCol w:w="1701"/>
        <w:gridCol w:w="1559"/>
        <w:gridCol w:w="1418"/>
        <w:gridCol w:w="1701"/>
      </w:tblGrid>
      <w:tr w:rsidR="00286780" w:rsidRPr="00D058B5" w:rsidTr="007F7AD7">
        <w:trPr>
          <w:trHeight w:val="270"/>
        </w:trPr>
        <w:tc>
          <w:tcPr>
            <w:tcW w:w="2085" w:type="dxa"/>
            <w:vMerge w:val="restart"/>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rPr>
                <w:i/>
                <w:spacing w:val="-8"/>
                <w:sz w:val="22"/>
                <w:szCs w:val="22"/>
                <w:lang w:eastAsia="ar-SA"/>
              </w:rPr>
            </w:pPr>
            <w:r w:rsidRPr="00D058B5">
              <w:rPr>
                <w:i/>
                <w:spacing w:val="-8"/>
                <w:sz w:val="22"/>
                <w:szCs w:val="22"/>
                <w:lang w:eastAsia="ar-SA"/>
              </w:rPr>
              <w:t>Шкала/критерии</w:t>
            </w:r>
          </w:p>
        </w:tc>
        <w:tc>
          <w:tcPr>
            <w:tcW w:w="8222"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D058B5" w:rsidRDefault="00286780" w:rsidP="008D2400">
            <w:pPr>
              <w:snapToGrid w:val="0"/>
              <w:jc w:val="center"/>
              <w:rPr>
                <w:i/>
                <w:spacing w:val="-8"/>
                <w:sz w:val="22"/>
                <w:szCs w:val="22"/>
                <w:lang w:val="en-US" w:eastAsia="ar-SA"/>
              </w:rPr>
            </w:pPr>
            <w:r w:rsidRPr="00D058B5">
              <w:rPr>
                <w:i/>
                <w:spacing w:val="-8"/>
                <w:sz w:val="22"/>
                <w:szCs w:val="22"/>
                <w:lang w:eastAsia="ar-SA"/>
              </w:rPr>
              <w:t xml:space="preserve">Критерии оценки / значение </w:t>
            </w:r>
            <w:r w:rsidRPr="00D058B5">
              <w:rPr>
                <w:i/>
                <w:spacing w:val="-8"/>
                <w:sz w:val="22"/>
                <w:szCs w:val="22"/>
                <w:lang w:val="en-US" w:eastAsia="ar-SA"/>
              </w:rPr>
              <w:t>p</w:t>
            </w:r>
          </w:p>
        </w:tc>
      </w:tr>
      <w:tr w:rsidR="00286780" w:rsidRPr="00D058B5" w:rsidTr="007F7AD7">
        <w:trPr>
          <w:trHeight w:val="461"/>
        </w:trPr>
        <w:tc>
          <w:tcPr>
            <w:tcW w:w="2085" w:type="dxa"/>
            <w:vMerge/>
            <w:tcBorders>
              <w:top w:val="single" w:sz="4" w:space="0" w:color="000000"/>
              <w:left w:val="single" w:sz="4" w:space="0" w:color="000000"/>
              <w:bottom w:val="single" w:sz="4" w:space="0" w:color="000000"/>
            </w:tcBorders>
            <w:tcMar>
              <w:left w:w="28" w:type="dxa"/>
              <w:right w:w="28" w:type="dxa"/>
            </w:tcMar>
          </w:tcPr>
          <w:p w:rsidR="00286780" w:rsidRPr="00D058B5" w:rsidRDefault="00286780" w:rsidP="008D2400">
            <w:pPr>
              <w:snapToGrid w:val="0"/>
              <w:rPr>
                <w:spacing w:val="-8"/>
                <w:sz w:val="22"/>
                <w:szCs w:val="22"/>
                <w:lang w:eastAsia="ar-SA"/>
              </w:rPr>
            </w:pPr>
          </w:p>
        </w:tc>
        <w:tc>
          <w:tcPr>
            <w:tcW w:w="1843"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val="en-US" w:eastAsia="ar-SA"/>
              </w:rPr>
            </w:pPr>
            <w:r w:rsidRPr="00D058B5">
              <w:rPr>
                <w:spacing w:val="-8"/>
                <w:sz w:val="22"/>
                <w:szCs w:val="22"/>
                <w:lang w:val="en-US" w:eastAsia="ar-SA"/>
              </w:rPr>
              <w:t>Se</w:t>
            </w:r>
          </w:p>
        </w:tc>
        <w:tc>
          <w:tcPr>
            <w:tcW w:w="1701"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val="en-US" w:eastAsia="ar-SA"/>
              </w:rPr>
            </w:pPr>
            <w:r w:rsidRPr="00D058B5">
              <w:rPr>
                <w:spacing w:val="-8"/>
                <w:sz w:val="22"/>
                <w:szCs w:val="22"/>
                <w:lang w:val="en-US" w:eastAsia="ar-SA"/>
              </w:rPr>
              <w:t>Sp</w:t>
            </w:r>
          </w:p>
        </w:tc>
        <w:tc>
          <w:tcPr>
            <w:tcW w:w="1559"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eastAsia="ar-SA"/>
              </w:rPr>
            </w:pPr>
            <w:r w:rsidRPr="00D058B5">
              <w:rPr>
                <w:spacing w:val="-8"/>
                <w:sz w:val="22"/>
                <w:szCs w:val="22"/>
                <w:lang w:val="en-US" w:eastAsia="ar-SA"/>
              </w:rPr>
              <w:t>Ac</w:t>
            </w:r>
          </w:p>
        </w:tc>
        <w:tc>
          <w:tcPr>
            <w:tcW w:w="1418"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eastAsia="ar-SA"/>
              </w:rPr>
            </w:pPr>
            <w:r w:rsidRPr="00D058B5">
              <w:rPr>
                <w:spacing w:val="-8"/>
                <w:sz w:val="22"/>
                <w:szCs w:val="22"/>
                <w:lang w:val="en-US" w:eastAsia="ar-SA"/>
              </w:rPr>
              <w:t>PPV</w:t>
            </w:r>
          </w:p>
        </w:tc>
        <w:tc>
          <w:tcPr>
            <w:tcW w:w="170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eastAsia="ar-SA"/>
              </w:rPr>
            </w:pPr>
            <w:r w:rsidRPr="00D058B5">
              <w:rPr>
                <w:spacing w:val="-8"/>
                <w:sz w:val="22"/>
                <w:szCs w:val="22"/>
                <w:lang w:val="en-US" w:eastAsia="ar-SA"/>
              </w:rPr>
              <w:t>NPV</w:t>
            </w:r>
          </w:p>
        </w:tc>
      </w:tr>
      <w:tr w:rsidR="00286780" w:rsidRPr="00D058B5" w:rsidTr="007F7AD7">
        <w:trPr>
          <w:trHeight w:val="600"/>
        </w:trPr>
        <w:tc>
          <w:tcPr>
            <w:tcW w:w="2085"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rPr>
                <w:spacing w:val="-8"/>
                <w:sz w:val="22"/>
                <w:szCs w:val="22"/>
                <w:lang w:eastAsia="ar-SA"/>
              </w:rPr>
            </w:pPr>
            <w:r w:rsidRPr="00D058B5">
              <w:rPr>
                <w:spacing w:val="-8"/>
                <w:sz w:val="22"/>
                <w:szCs w:val="22"/>
                <w:lang w:eastAsia="ar-SA"/>
              </w:rPr>
              <w:t>Алгоритм диагностики одонтогенного сепсиса (1)</w:t>
            </w:r>
          </w:p>
        </w:tc>
        <w:tc>
          <w:tcPr>
            <w:tcW w:w="1843"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eastAsia="ar-SA"/>
              </w:rPr>
            </w:pPr>
            <w:r w:rsidRPr="00D058B5">
              <w:rPr>
                <w:spacing w:val="-8"/>
                <w:sz w:val="22"/>
                <w:szCs w:val="22"/>
                <w:lang w:eastAsia="ar-SA"/>
              </w:rPr>
              <w:t>-</w:t>
            </w:r>
          </w:p>
        </w:tc>
        <w:tc>
          <w:tcPr>
            <w:tcW w:w="1701"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eastAsia="ar-SA"/>
              </w:rPr>
            </w:pPr>
            <w:r w:rsidRPr="00D058B5">
              <w:rPr>
                <w:spacing w:val="-8"/>
                <w:sz w:val="22"/>
                <w:szCs w:val="22"/>
                <w:lang w:eastAsia="ar-SA"/>
              </w:rPr>
              <w:t>-</w:t>
            </w:r>
          </w:p>
        </w:tc>
        <w:tc>
          <w:tcPr>
            <w:tcW w:w="1559"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eastAsia="ar-SA"/>
              </w:rPr>
            </w:pPr>
            <w:r w:rsidRPr="00D058B5">
              <w:rPr>
                <w:spacing w:val="-8"/>
                <w:sz w:val="22"/>
                <w:szCs w:val="22"/>
                <w:lang w:eastAsia="ar-SA"/>
              </w:rPr>
              <w:t>-</w:t>
            </w:r>
          </w:p>
        </w:tc>
        <w:tc>
          <w:tcPr>
            <w:tcW w:w="1418"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eastAsia="ar-SA"/>
              </w:rPr>
            </w:pPr>
            <w:r w:rsidRPr="00D058B5">
              <w:rPr>
                <w:spacing w:val="-8"/>
                <w:sz w:val="22"/>
                <w:szCs w:val="22"/>
                <w:lang w:eastAsia="ar-SA"/>
              </w:rPr>
              <w:t>-</w:t>
            </w:r>
          </w:p>
        </w:tc>
        <w:tc>
          <w:tcPr>
            <w:tcW w:w="170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eastAsia="ar-SA"/>
              </w:rPr>
            </w:pPr>
            <w:r w:rsidRPr="00D058B5">
              <w:rPr>
                <w:spacing w:val="-8"/>
                <w:sz w:val="22"/>
                <w:szCs w:val="22"/>
                <w:lang w:eastAsia="ar-SA"/>
              </w:rPr>
              <w:t>-</w:t>
            </w:r>
          </w:p>
        </w:tc>
      </w:tr>
      <w:tr w:rsidR="00286780" w:rsidRPr="00D058B5" w:rsidTr="007F7AD7">
        <w:trPr>
          <w:trHeight w:val="600"/>
        </w:trPr>
        <w:tc>
          <w:tcPr>
            <w:tcW w:w="2085"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rPr>
                <w:spacing w:val="-8"/>
                <w:sz w:val="22"/>
                <w:szCs w:val="22"/>
                <w:lang w:eastAsia="ar-SA"/>
              </w:rPr>
            </w:pPr>
            <w:r w:rsidRPr="00D058B5">
              <w:rPr>
                <w:spacing w:val="-8"/>
                <w:sz w:val="22"/>
                <w:szCs w:val="22"/>
                <w:lang w:val="en-US" w:eastAsia="ar-SA"/>
              </w:rPr>
              <w:t>qSOFA</w:t>
            </w:r>
          </w:p>
        </w:tc>
        <w:tc>
          <w:tcPr>
            <w:tcW w:w="1843"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jc w:val="center"/>
              <w:rPr>
                <w:i/>
                <w:spacing w:val="-8"/>
                <w:sz w:val="22"/>
                <w:szCs w:val="22"/>
                <w:lang w:eastAsia="ar-SA"/>
              </w:rPr>
            </w:pPr>
            <w:r w:rsidRPr="00D058B5">
              <w:rPr>
                <w:i/>
                <w:sz w:val="22"/>
                <w:szCs w:val="22"/>
                <w:lang w:eastAsia="ar-SA"/>
              </w:rPr>
              <w:t>&lt;</w:t>
            </w:r>
            <w:r>
              <w:rPr>
                <w:i/>
                <w:sz w:val="22"/>
                <w:szCs w:val="22"/>
                <w:lang w:eastAsia="ar-SA"/>
              </w:rPr>
              <w:t xml:space="preserve"> </w:t>
            </w:r>
            <w:r w:rsidRPr="00D058B5">
              <w:rPr>
                <w:rFonts w:cs="Calibri"/>
                <w:i/>
                <w:sz w:val="22"/>
                <w:szCs w:val="22"/>
                <w:lang w:eastAsia="ar-SA"/>
              </w:rPr>
              <w:t>0,05</w:t>
            </w:r>
          </w:p>
        </w:tc>
        <w:tc>
          <w:tcPr>
            <w:tcW w:w="1701"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eastAsia="ar-SA"/>
              </w:rPr>
            </w:pPr>
            <w:r w:rsidRPr="00D058B5">
              <w:rPr>
                <w:spacing w:val="-8"/>
                <w:sz w:val="22"/>
                <w:szCs w:val="22"/>
                <w:lang w:eastAsia="ar-SA"/>
              </w:rPr>
              <w:t>&gt;</w:t>
            </w:r>
            <w:r>
              <w:rPr>
                <w:spacing w:val="-8"/>
                <w:sz w:val="22"/>
                <w:szCs w:val="22"/>
                <w:lang w:eastAsia="ar-SA"/>
              </w:rPr>
              <w:t xml:space="preserve"> </w:t>
            </w:r>
            <w:r w:rsidRPr="00D058B5">
              <w:rPr>
                <w:spacing w:val="-8"/>
                <w:sz w:val="22"/>
                <w:szCs w:val="22"/>
                <w:lang w:eastAsia="ar-SA"/>
              </w:rPr>
              <w:t>0,05</w:t>
            </w:r>
          </w:p>
        </w:tc>
        <w:tc>
          <w:tcPr>
            <w:tcW w:w="1559"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val="en-US" w:eastAsia="ar-SA"/>
              </w:rPr>
            </w:pPr>
            <w:r w:rsidRPr="00D058B5">
              <w:rPr>
                <w:i/>
                <w:sz w:val="22"/>
                <w:szCs w:val="22"/>
                <w:lang w:eastAsia="ar-SA"/>
              </w:rPr>
              <w:t>&lt;</w:t>
            </w:r>
            <w:r>
              <w:rPr>
                <w:i/>
                <w:sz w:val="22"/>
                <w:szCs w:val="22"/>
                <w:lang w:eastAsia="ar-SA"/>
              </w:rPr>
              <w:t xml:space="preserve"> </w:t>
            </w:r>
            <w:r w:rsidRPr="00D058B5">
              <w:rPr>
                <w:rFonts w:cs="Calibri"/>
                <w:i/>
                <w:sz w:val="22"/>
                <w:szCs w:val="22"/>
                <w:lang w:eastAsia="ar-SA"/>
              </w:rPr>
              <w:t>0,05</w:t>
            </w:r>
          </w:p>
        </w:tc>
        <w:tc>
          <w:tcPr>
            <w:tcW w:w="1418"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val="en-US" w:eastAsia="ar-SA"/>
              </w:rPr>
            </w:pPr>
            <w:r w:rsidRPr="00D058B5">
              <w:rPr>
                <w:spacing w:val="-8"/>
                <w:sz w:val="22"/>
                <w:szCs w:val="22"/>
                <w:lang w:eastAsia="ar-SA"/>
              </w:rPr>
              <w:t>&gt; 0,05</w:t>
            </w:r>
          </w:p>
        </w:tc>
        <w:tc>
          <w:tcPr>
            <w:tcW w:w="170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val="en-US" w:eastAsia="ar-SA"/>
              </w:rPr>
            </w:pPr>
            <w:r w:rsidRPr="00D058B5">
              <w:rPr>
                <w:i/>
                <w:sz w:val="22"/>
                <w:szCs w:val="22"/>
                <w:lang w:eastAsia="ar-SA"/>
              </w:rPr>
              <w:t>&lt;</w:t>
            </w:r>
            <w:r>
              <w:rPr>
                <w:i/>
                <w:sz w:val="22"/>
                <w:szCs w:val="22"/>
                <w:lang w:eastAsia="ar-SA"/>
              </w:rPr>
              <w:t xml:space="preserve"> </w:t>
            </w:r>
            <w:r w:rsidRPr="00D058B5">
              <w:rPr>
                <w:rFonts w:cs="Calibri"/>
                <w:i/>
                <w:sz w:val="22"/>
                <w:szCs w:val="22"/>
                <w:lang w:eastAsia="ar-SA"/>
              </w:rPr>
              <w:t>0,05</w:t>
            </w:r>
          </w:p>
        </w:tc>
      </w:tr>
      <w:tr w:rsidR="00286780" w:rsidRPr="00D058B5" w:rsidTr="007F7AD7">
        <w:trPr>
          <w:trHeight w:val="615"/>
        </w:trPr>
        <w:tc>
          <w:tcPr>
            <w:tcW w:w="2085"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rPr>
                <w:spacing w:val="-8"/>
                <w:sz w:val="22"/>
                <w:szCs w:val="22"/>
                <w:lang w:val="en-US" w:eastAsia="ar-SA"/>
              </w:rPr>
            </w:pPr>
            <w:r w:rsidRPr="00D058B5">
              <w:rPr>
                <w:spacing w:val="-8"/>
                <w:sz w:val="22"/>
                <w:szCs w:val="22"/>
                <w:lang w:val="en-US" w:eastAsia="ar-SA"/>
              </w:rPr>
              <w:t>SOFA</w:t>
            </w:r>
          </w:p>
        </w:tc>
        <w:tc>
          <w:tcPr>
            <w:tcW w:w="1843"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eastAsia="ar-SA"/>
              </w:rPr>
            </w:pPr>
            <w:r w:rsidRPr="00D058B5">
              <w:rPr>
                <w:spacing w:val="-8"/>
                <w:sz w:val="22"/>
                <w:szCs w:val="22"/>
                <w:lang w:eastAsia="ar-SA"/>
              </w:rPr>
              <w:t>&gt; 0,05</w:t>
            </w:r>
          </w:p>
        </w:tc>
        <w:tc>
          <w:tcPr>
            <w:tcW w:w="1701"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680E24">
            <w:pPr>
              <w:jc w:val="center"/>
              <w:rPr>
                <w:sz w:val="22"/>
                <w:szCs w:val="22"/>
              </w:rPr>
            </w:pPr>
            <w:r w:rsidRPr="00D058B5">
              <w:rPr>
                <w:spacing w:val="-8"/>
                <w:sz w:val="22"/>
                <w:szCs w:val="22"/>
                <w:lang w:eastAsia="ar-SA"/>
              </w:rPr>
              <w:t>&gt;</w:t>
            </w:r>
            <w:r>
              <w:rPr>
                <w:spacing w:val="-8"/>
                <w:sz w:val="22"/>
                <w:szCs w:val="22"/>
                <w:lang w:eastAsia="ar-SA"/>
              </w:rPr>
              <w:t xml:space="preserve"> </w:t>
            </w:r>
            <w:r w:rsidRPr="00D058B5">
              <w:rPr>
                <w:spacing w:val="-8"/>
                <w:sz w:val="22"/>
                <w:szCs w:val="22"/>
                <w:lang w:eastAsia="ar-SA"/>
              </w:rPr>
              <w:t>0,05</w:t>
            </w:r>
          </w:p>
        </w:tc>
        <w:tc>
          <w:tcPr>
            <w:tcW w:w="1559"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val="en-US" w:eastAsia="ar-SA"/>
              </w:rPr>
            </w:pPr>
            <w:r w:rsidRPr="00D058B5">
              <w:rPr>
                <w:spacing w:val="-8"/>
                <w:sz w:val="22"/>
                <w:szCs w:val="22"/>
                <w:lang w:eastAsia="ar-SA"/>
              </w:rPr>
              <w:t>&gt;</w:t>
            </w:r>
            <w:r>
              <w:rPr>
                <w:spacing w:val="-8"/>
                <w:sz w:val="22"/>
                <w:szCs w:val="22"/>
                <w:lang w:eastAsia="ar-SA"/>
              </w:rPr>
              <w:t xml:space="preserve"> </w:t>
            </w:r>
            <w:r w:rsidRPr="00D058B5">
              <w:rPr>
                <w:spacing w:val="-8"/>
                <w:sz w:val="22"/>
                <w:szCs w:val="22"/>
                <w:lang w:eastAsia="ar-SA"/>
              </w:rPr>
              <w:t>0,05</w:t>
            </w:r>
          </w:p>
        </w:tc>
        <w:tc>
          <w:tcPr>
            <w:tcW w:w="1418"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val="en-US" w:eastAsia="ar-SA"/>
              </w:rPr>
            </w:pPr>
            <w:r w:rsidRPr="00D058B5">
              <w:rPr>
                <w:spacing w:val="-8"/>
                <w:sz w:val="22"/>
                <w:szCs w:val="22"/>
                <w:lang w:eastAsia="ar-SA"/>
              </w:rPr>
              <w:t>&gt;</w:t>
            </w:r>
            <w:r>
              <w:rPr>
                <w:spacing w:val="-8"/>
                <w:sz w:val="22"/>
                <w:szCs w:val="22"/>
                <w:lang w:eastAsia="ar-SA"/>
              </w:rPr>
              <w:t xml:space="preserve"> </w:t>
            </w:r>
            <w:r w:rsidRPr="00D058B5">
              <w:rPr>
                <w:spacing w:val="-8"/>
                <w:sz w:val="22"/>
                <w:szCs w:val="22"/>
                <w:lang w:eastAsia="ar-SA"/>
              </w:rPr>
              <w:t>0,05</w:t>
            </w:r>
          </w:p>
        </w:tc>
        <w:tc>
          <w:tcPr>
            <w:tcW w:w="170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eastAsia="ar-SA"/>
              </w:rPr>
            </w:pPr>
            <w:r w:rsidRPr="00D058B5">
              <w:rPr>
                <w:spacing w:val="-8"/>
                <w:sz w:val="22"/>
                <w:szCs w:val="22"/>
                <w:lang w:eastAsia="ar-SA"/>
              </w:rPr>
              <w:t>&gt; 0,05</w:t>
            </w:r>
          </w:p>
        </w:tc>
      </w:tr>
      <w:tr w:rsidR="00286780" w:rsidRPr="00D058B5" w:rsidTr="007F7AD7">
        <w:trPr>
          <w:trHeight w:val="510"/>
        </w:trPr>
        <w:tc>
          <w:tcPr>
            <w:tcW w:w="2085"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rPr>
                <w:spacing w:val="-8"/>
                <w:sz w:val="22"/>
                <w:szCs w:val="22"/>
                <w:lang w:eastAsia="ar-SA"/>
              </w:rPr>
            </w:pPr>
            <w:r w:rsidRPr="00D058B5">
              <w:rPr>
                <w:spacing w:val="-8"/>
                <w:sz w:val="22"/>
                <w:szCs w:val="22"/>
                <w:lang w:val="en-US" w:eastAsia="ar-SA"/>
              </w:rPr>
              <w:t>SIRS</w:t>
            </w:r>
            <w:r w:rsidRPr="00D058B5">
              <w:rPr>
                <w:spacing w:val="-8"/>
                <w:sz w:val="22"/>
                <w:szCs w:val="22"/>
                <w:lang w:eastAsia="ar-SA"/>
              </w:rPr>
              <w:t>2</w:t>
            </w:r>
          </w:p>
        </w:tc>
        <w:tc>
          <w:tcPr>
            <w:tcW w:w="1843"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val="en-US" w:eastAsia="ar-SA"/>
              </w:rPr>
            </w:pPr>
            <w:r w:rsidRPr="00D058B5">
              <w:rPr>
                <w:spacing w:val="-8"/>
                <w:sz w:val="22"/>
                <w:szCs w:val="22"/>
                <w:lang w:eastAsia="ar-SA"/>
              </w:rPr>
              <w:t>&gt;</w:t>
            </w:r>
            <w:r>
              <w:rPr>
                <w:spacing w:val="-8"/>
                <w:sz w:val="22"/>
                <w:szCs w:val="22"/>
                <w:lang w:eastAsia="ar-SA"/>
              </w:rPr>
              <w:t xml:space="preserve"> </w:t>
            </w:r>
            <w:r w:rsidRPr="00D058B5">
              <w:rPr>
                <w:spacing w:val="-8"/>
                <w:sz w:val="22"/>
                <w:szCs w:val="22"/>
                <w:lang w:eastAsia="ar-SA"/>
              </w:rPr>
              <w:t>0,05</w:t>
            </w:r>
          </w:p>
        </w:tc>
        <w:tc>
          <w:tcPr>
            <w:tcW w:w="1701"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680E24">
            <w:pPr>
              <w:jc w:val="center"/>
              <w:rPr>
                <w:sz w:val="22"/>
                <w:szCs w:val="22"/>
              </w:rPr>
            </w:pPr>
            <w:r w:rsidRPr="00D058B5">
              <w:rPr>
                <w:spacing w:val="-8"/>
                <w:sz w:val="22"/>
                <w:szCs w:val="22"/>
                <w:lang w:eastAsia="ar-SA"/>
              </w:rPr>
              <w:t>&gt;</w:t>
            </w:r>
            <w:r>
              <w:rPr>
                <w:spacing w:val="-8"/>
                <w:sz w:val="22"/>
                <w:szCs w:val="22"/>
                <w:lang w:eastAsia="ar-SA"/>
              </w:rPr>
              <w:t xml:space="preserve"> </w:t>
            </w:r>
            <w:r w:rsidRPr="00D058B5">
              <w:rPr>
                <w:spacing w:val="-8"/>
                <w:sz w:val="22"/>
                <w:szCs w:val="22"/>
                <w:lang w:eastAsia="ar-SA"/>
              </w:rPr>
              <w:t>0,05</w:t>
            </w:r>
          </w:p>
        </w:tc>
        <w:tc>
          <w:tcPr>
            <w:tcW w:w="1559"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val="en-US" w:eastAsia="ar-SA"/>
              </w:rPr>
            </w:pPr>
            <w:r w:rsidRPr="00D058B5">
              <w:rPr>
                <w:spacing w:val="-8"/>
                <w:sz w:val="22"/>
                <w:szCs w:val="22"/>
                <w:lang w:eastAsia="ar-SA"/>
              </w:rPr>
              <w:t>&gt;</w:t>
            </w:r>
            <w:r>
              <w:rPr>
                <w:spacing w:val="-8"/>
                <w:sz w:val="22"/>
                <w:szCs w:val="22"/>
                <w:lang w:eastAsia="ar-SA"/>
              </w:rPr>
              <w:t xml:space="preserve"> </w:t>
            </w:r>
            <w:r w:rsidRPr="00D058B5">
              <w:rPr>
                <w:spacing w:val="-8"/>
                <w:sz w:val="22"/>
                <w:szCs w:val="22"/>
                <w:lang w:eastAsia="ar-SA"/>
              </w:rPr>
              <w:t>0,05</w:t>
            </w:r>
          </w:p>
        </w:tc>
        <w:tc>
          <w:tcPr>
            <w:tcW w:w="1418"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val="en-US" w:eastAsia="ar-SA"/>
              </w:rPr>
            </w:pPr>
            <w:r w:rsidRPr="00D058B5">
              <w:rPr>
                <w:spacing w:val="-8"/>
                <w:sz w:val="22"/>
                <w:szCs w:val="22"/>
                <w:lang w:eastAsia="ar-SA"/>
              </w:rPr>
              <w:t>&gt;</w:t>
            </w:r>
            <w:r>
              <w:rPr>
                <w:spacing w:val="-8"/>
                <w:sz w:val="22"/>
                <w:szCs w:val="22"/>
                <w:lang w:eastAsia="ar-SA"/>
              </w:rPr>
              <w:t xml:space="preserve"> </w:t>
            </w:r>
            <w:r w:rsidRPr="00D058B5">
              <w:rPr>
                <w:spacing w:val="-8"/>
                <w:sz w:val="22"/>
                <w:szCs w:val="22"/>
                <w:lang w:eastAsia="ar-SA"/>
              </w:rPr>
              <w:t>0,05</w:t>
            </w:r>
          </w:p>
        </w:tc>
        <w:tc>
          <w:tcPr>
            <w:tcW w:w="170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val="en-US" w:eastAsia="ar-SA"/>
              </w:rPr>
            </w:pPr>
            <w:r w:rsidRPr="00D058B5">
              <w:rPr>
                <w:i/>
                <w:sz w:val="22"/>
                <w:szCs w:val="22"/>
                <w:lang w:eastAsia="ar-SA"/>
              </w:rPr>
              <w:t>&lt;</w:t>
            </w:r>
            <w:r>
              <w:rPr>
                <w:i/>
                <w:sz w:val="22"/>
                <w:szCs w:val="22"/>
                <w:lang w:eastAsia="ar-SA"/>
              </w:rPr>
              <w:t xml:space="preserve"> </w:t>
            </w:r>
            <w:r w:rsidRPr="00D058B5">
              <w:rPr>
                <w:rFonts w:cs="Calibri"/>
                <w:i/>
                <w:sz w:val="22"/>
                <w:szCs w:val="22"/>
                <w:lang w:eastAsia="ar-SA"/>
              </w:rPr>
              <w:t>0,05</w:t>
            </w:r>
          </w:p>
        </w:tc>
      </w:tr>
      <w:tr w:rsidR="00286780" w:rsidRPr="00D058B5" w:rsidTr="007F7AD7">
        <w:trPr>
          <w:trHeight w:val="510"/>
        </w:trPr>
        <w:tc>
          <w:tcPr>
            <w:tcW w:w="2085"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rPr>
                <w:spacing w:val="-8"/>
                <w:sz w:val="22"/>
                <w:szCs w:val="22"/>
                <w:lang w:eastAsia="ar-SA"/>
              </w:rPr>
            </w:pPr>
            <w:r w:rsidRPr="00D058B5">
              <w:rPr>
                <w:spacing w:val="-8"/>
                <w:sz w:val="22"/>
                <w:szCs w:val="22"/>
                <w:lang w:val="en-US" w:eastAsia="ar-SA"/>
              </w:rPr>
              <w:t>SIRS</w:t>
            </w:r>
            <w:r w:rsidRPr="00D058B5">
              <w:rPr>
                <w:spacing w:val="-8"/>
                <w:sz w:val="22"/>
                <w:szCs w:val="22"/>
                <w:lang w:eastAsia="ar-SA"/>
              </w:rPr>
              <w:t>3</w:t>
            </w:r>
          </w:p>
        </w:tc>
        <w:tc>
          <w:tcPr>
            <w:tcW w:w="1843"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jc w:val="center"/>
              <w:rPr>
                <w:i/>
                <w:spacing w:val="-8"/>
                <w:sz w:val="22"/>
                <w:szCs w:val="22"/>
                <w:lang w:val="en-US" w:eastAsia="ar-SA"/>
              </w:rPr>
            </w:pPr>
            <w:r w:rsidRPr="00D058B5">
              <w:rPr>
                <w:i/>
                <w:sz w:val="22"/>
                <w:szCs w:val="22"/>
                <w:lang w:eastAsia="ar-SA"/>
              </w:rPr>
              <w:t>&lt;</w:t>
            </w:r>
            <w:r>
              <w:rPr>
                <w:i/>
                <w:sz w:val="22"/>
                <w:szCs w:val="22"/>
                <w:lang w:eastAsia="ar-SA"/>
              </w:rPr>
              <w:t xml:space="preserve"> </w:t>
            </w:r>
            <w:r w:rsidRPr="00D058B5">
              <w:rPr>
                <w:rFonts w:cs="Calibri"/>
                <w:i/>
                <w:sz w:val="22"/>
                <w:szCs w:val="22"/>
                <w:lang w:eastAsia="ar-SA"/>
              </w:rPr>
              <w:t>0,05</w:t>
            </w:r>
          </w:p>
        </w:tc>
        <w:tc>
          <w:tcPr>
            <w:tcW w:w="1701"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680E24">
            <w:pPr>
              <w:jc w:val="center"/>
              <w:rPr>
                <w:sz w:val="22"/>
                <w:szCs w:val="22"/>
              </w:rPr>
            </w:pPr>
            <w:r w:rsidRPr="00D058B5">
              <w:rPr>
                <w:spacing w:val="-8"/>
                <w:sz w:val="22"/>
                <w:szCs w:val="22"/>
                <w:lang w:eastAsia="ar-SA"/>
              </w:rPr>
              <w:t>&gt;</w:t>
            </w:r>
            <w:r>
              <w:rPr>
                <w:spacing w:val="-8"/>
                <w:sz w:val="22"/>
                <w:szCs w:val="22"/>
                <w:lang w:eastAsia="ar-SA"/>
              </w:rPr>
              <w:t xml:space="preserve"> </w:t>
            </w:r>
            <w:r w:rsidRPr="00D058B5">
              <w:rPr>
                <w:spacing w:val="-8"/>
                <w:sz w:val="22"/>
                <w:szCs w:val="22"/>
                <w:lang w:eastAsia="ar-SA"/>
              </w:rPr>
              <w:t>0,05</w:t>
            </w:r>
          </w:p>
        </w:tc>
        <w:tc>
          <w:tcPr>
            <w:tcW w:w="1559"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val="en-US" w:eastAsia="ar-SA"/>
              </w:rPr>
            </w:pPr>
            <w:r w:rsidRPr="00D058B5">
              <w:rPr>
                <w:i/>
                <w:sz w:val="22"/>
                <w:szCs w:val="22"/>
                <w:lang w:eastAsia="ar-SA"/>
              </w:rPr>
              <w:t>&lt;</w:t>
            </w:r>
            <w:r>
              <w:rPr>
                <w:i/>
                <w:sz w:val="22"/>
                <w:szCs w:val="22"/>
                <w:lang w:eastAsia="ar-SA"/>
              </w:rPr>
              <w:t xml:space="preserve"> </w:t>
            </w:r>
            <w:r w:rsidRPr="00D058B5">
              <w:rPr>
                <w:rFonts w:cs="Calibri"/>
                <w:i/>
                <w:sz w:val="22"/>
                <w:szCs w:val="22"/>
                <w:lang w:eastAsia="ar-SA"/>
              </w:rPr>
              <w:t>0,05</w:t>
            </w:r>
          </w:p>
        </w:tc>
        <w:tc>
          <w:tcPr>
            <w:tcW w:w="1418"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val="en-US" w:eastAsia="ar-SA"/>
              </w:rPr>
            </w:pPr>
            <w:r w:rsidRPr="00D058B5">
              <w:rPr>
                <w:spacing w:val="-8"/>
                <w:sz w:val="22"/>
                <w:szCs w:val="22"/>
                <w:lang w:eastAsia="ar-SA"/>
              </w:rPr>
              <w:t>&gt;</w:t>
            </w:r>
            <w:r>
              <w:rPr>
                <w:spacing w:val="-8"/>
                <w:sz w:val="22"/>
                <w:szCs w:val="22"/>
                <w:lang w:eastAsia="ar-SA"/>
              </w:rPr>
              <w:t xml:space="preserve"> </w:t>
            </w:r>
            <w:r w:rsidRPr="00D058B5">
              <w:rPr>
                <w:spacing w:val="-8"/>
                <w:sz w:val="22"/>
                <w:szCs w:val="22"/>
                <w:lang w:eastAsia="ar-SA"/>
              </w:rPr>
              <w:t>0,05</w:t>
            </w:r>
          </w:p>
        </w:tc>
        <w:tc>
          <w:tcPr>
            <w:tcW w:w="170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val="en-US" w:eastAsia="ar-SA"/>
              </w:rPr>
            </w:pPr>
            <w:r w:rsidRPr="00D058B5">
              <w:rPr>
                <w:i/>
                <w:sz w:val="22"/>
                <w:szCs w:val="22"/>
                <w:lang w:eastAsia="ar-SA"/>
              </w:rPr>
              <w:t>&lt;</w:t>
            </w:r>
            <w:r>
              <w:rPr>
                <w:i/>
                <w:sz w:val="22"/>
                <w:szCs w:val="22"/>
                <w:lang w:eastAsia="ar-SA"/>
              </w:rPr>
              <w:t xml:space="preserve"> </w:t>
            </w:r>
            <w:r w:rsidRPr="00D058B5">
              <w:rPr>
                <w:rFonts w:cs="Calibri"/>
                <w:i/>
                <w:sz w:val="22"/>
                <w:szCs w:val="22"/>
                <w:lang w:eastAsia="ar-SA"/>
              </w:rPr>
              <w:t>0,05</w:t>
            </w:r>
          </w:p>
        </w:tc>
      </w:tr>
      <w:tr w:rsidR="00286780" w:rsidRPr="00D058B5" w:rsidTr="007F7AD7">
        <w:trPr>
          <w:trHeight w:val="510"/>
        </w:trPr>
        <w:tc>
          <w:tcPr>
            <w:tcW w:w="2085"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rPr>
                <w:spacing w:val="-8"/>
                <w:sz w:val="22"/>
                <w:szCs w:val="22"/>
                <w:lang w:eastAsia="ar-SA"/>
              </w:rPr>
            </w:pPr>
            <w:r w:rsidRPr="00D058B5">
              <w:rPr>
                <w:spacing w:val="-8"/>
                <w:sz w:val="22"/>
                <w:szCs w:val="22"/>
                <w:lang w:val="en-US" w:eastAsia="ar-SA"/>
              </w:rPr>
              <w:t>SIRS</w:t>
            </w:r>
            <w:r w:rsidRPr="00D058B5">
              <w:rPr>
                <w:spacing w:val="-8"/>
                <w:sz w:val="22"/>
                <w:szCs w:val="22"/>
                <w:lang w:eastAsia="ar-SA"/>
              </w:rPr>
              <w:t>4</w:t>
            </w:r>
          </w:p>
        </w:tc>
        <w:tc>
          <w:tcPr>
            <w:tcW w:w="1843"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jc w:val="center"/>
              <w:rPr>
                <w:i/>
                <w:spacing w:val="-8"/>
                <w:sz w:val="22"/>
                <w:szCs w:val="22"/>
                <w:lang w:val="en-US" w:eastAsia="ar-SA"/>
              </w:rPr>
            </w:pPr>
            <w:r w:rsidRPr="00D058B5">
              <w:rPr>
                <w:i/>
                <w:sz w:val="22"/>
                <w:szCs w:val="22"/>
                <w:lang w:eastAsia="ar-SA"/>
              </w:rPr>
              <w:t>&lt;</w:t>
            </w:r>
            <w:r>
              <w:rPr>
                <w:i/>
                <w:sz w:val="22"/>
                <w:szCs w:val="22"/>
                <w:lang w:eastAsia="ar-SA"/>
              </w:rPr>
              <w:t xml:space="preserve"> </w:t>
            </w:r>
            <w:r w:rsidRPr="00D058B5">
              <w:rPr>
                <w:rFonts w:cs="Calibri"/>
                <w:i/>
                <w:sz w:val="22"/>
                <w:szCs w:val="22"/>
                <w:lang w:eastAsia="ar-SA"/>
              </w:rPr>
              <w:t>0,05</w:t>
            </w:r>
          </w:p>
        </w:tc>
        <w:tc>
          <w:tcPr>
            <w:tcW w:w="1701"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680E24">
            <w:pPr>
              <w:jc w:val="center"/>
              <w:rPr>
                <w:sz w:val="22"/>
                <w:szCs w:val="22"/>
              </w:rPr>
            </w:pPr>
            <w:r w:rsidRPr="00D058B5">
              <w:rPr>
                <w:spacing w:val="-8"/>
                <w:sz w:val="22"/>
                <w:szCs w:val="22"/>
                <w:lang w:eastAsia="ar-SA"/>
              </w:rPr>
              <w:t>&gt;</w:t>
            </w:r>
            <w:r>
              <w:rPr>
                <w:spacing w:val="-8"/>
                <w:sz w:val="22"/>
                <w:szCs w:val="22"/>
                <w:lang w:eastAsia="ar-SA"/>
              </w:rPr>
              <w:t xml:space="preserve"> </w:t>
            </w:r>
            <w:r w:rsidRPr="00D058B5">
              <w:rPr>
                <w:spacing w:val="-8"/>
                <w:sz w:val="22"/>
                <w:szCs w:val="22"/>
                <w:lang w:eastAsia="ar-SA"/>
              </w:rPr>
              <w:t>0,05</w:t>
            </w:r>
          </w:p>
        </w:tc>
        <w:tc>
          <w:tcPr>
            <w:tcW w:w="1559"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val="en-US" w:eastAsia="ar-SA"/>
              </w:rPr>
            </w:pPr>
            <w:r w:rsidRPr="00D058B5">
              <w:rPr>
                <w:i/>
                <w:sz w:val="22"/>
                <w:szCs w:val="22"/>
                <w:lang w:eastAsia="ar-SA"/>
              </w:rPr>
              <w:t>&lt;</w:t>
            </w:r>
            <w:r>
              <w:rPr>
                <w:i/>
                <w:sz w:val="22"/>
                <w:szCs w:val="22"/>
                <w:lang w:eastAsia="ar-SA"/>
              </w:rPr>
              <w:t xml:space="preserve"> </w:t>
            </w:r>
            <w:r w:rsidRPr="00D058B5">
              <w:rPr>
                <w:rFonts w:cs="Calibri"/>
                <w:i/>
                <w:sz w:val="22"/>
                <w:szCs w:val="22"/>
                <w:lang w:eastAsia="ar-SA"/>
              </w:rPr>
              <w:t>0,05</w:t>
            </w:r>
          </w:p>
        </w:tc>
        <w:tc>
          <w:tcPr>
            <w:tcW w:w="1418"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val="en-US" w:eastAsia="ar-SA"/>
              </w:rPr>
            </w:pPr>
            <w:r w:rsidRPr="00D058B5">
              <w:rPr>
                <w:i/>
                <w:sz w:val="22"/>
                <w:szCs w:val="22"/>
                <w:lang w:eastAsia="ar-SA"/>
              </w:rPr>
              <w:t>&lt;</w:t>
            </w:r>
            <w:r>
              <w:rPr>
                <w:i/>
                <w:sz w:val="22"/>
                <w:szCs w:val="22"/>
                <w:lang w:eastAsia="ar-SA"/>
              </w:rPr>
              <w:t xml:space="preserve"> </w:t>
            </w:r>
            <w:r w:rsidRPr="00D058B5">
              <w:rPr>
                <w:rFonts w:cs="Calibri"/>
                <w:i/>
                <w:sz w:val="22"/>
                <w:szCs w:val="22"/>
                <w:lang w:eastAsia="ar-SA"/>
              </w:rPr>
              <w:t>0,05</w:t>
            </w:r>
          </w:p>
        </w:tc>
        <w:tc>
          <w:tcPr>
            <w:tcW w:w="170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val="en-US" w:eastAsia="ar-SA"/>
              </w:rPr>
            </w:pPr>
            <w:r w:rsidRPr="00D058B5">
              <w:rPr>
                <w:i/>
                <w:sz w:val="22"/>
                <w:szCs w:val="22"/>
                <w:lang w:eastAsia="ar-SA"/>
              </w:rPr>
              <w:t>&lt;</w:t>
            </w:r>
            <w:r>
              <w:rPr>
                <w:i/>
                <w:sz w:val="22"/>
                <w:szCs w:val="22"/>
                <w:lang w:eastAsia="ar-SA"/>
              </w:rPr>
              <w:t xml:space="preserve"> </w:t>
            </w:r>
            <w:r w:rsidRPr="00D058B5">
              <w:rPr>
                <w:rFonts w:cs="Calibri"/>
                <w:i/>
                <w:sz w:val="22"/>
                <w:szCs w:val="22"/>
                <w:lang w:eastAsia="ar-SA"/>
              </w:rPr>
              <w:t>0,05</w:t>
            </w:r>
          </w:p>
        </w:tc>
      </w:tr>
      <w:tr w:rsidR="00286780" w:rsidRPr="00D058B5" w:rsidTr="007F7AD7">
        <w:trPr>
          <w:trHeight w:val="510"/>
        </w:trPr>
        <w:tc>
          <w:tcPr>
            <w:tcW w:w="2085" w:type="dxa"/>
            <w:tcBorders>
              <w:top w:val="single" w:sz="4" w:space="0" w:color="000000"/>
              <w:left w:val="single" w:sz="4" w:space="0" w:color="000000"/>
              <w:bottom w:val="single" w:sz="4" w:space="0" w:color="000000"/>
            </w:tcBorders>
            <w:tcMar>
              <w:left w:w="28" w:type="dxa"/>
              <w:right w:w="28" w:type="dxa"/>
            </w:tcMar>
          </w:tcPr>
          <w:p w:rsidR="00286780" w:rsidRPr="00D058B5" w:rsidRDefault="00286780" w:rsidP="00B33315">
            <w:pPr>
              <w:snapToGrid w:val="0"/>
              <w:rPr>
                <w:spacing w:val="-8"/>
                <w:sz w:val="22"/>
                <w:szCs w:val="22"/>
                <w:lang w:eastAsia="ar-SA"/>
              </w:rPr>
            </w:pPr>
            <w:r w:rsidRPr="00D058B5">
              <w:rPr>
                <w:spacing w:val="-8"/>
                <w:sz w:val="22"/>
                <w:szCs w:val="22"/>
                <w:lang w:eastAsia="ar-SA"/>
              </w:rPr>
              <w:t>Унифицированная программа... по (Губин М.А. и др., 2003)</w:t>
            </w:r>
          </w:p>
        </w:tc>
        <w:tc>
          <w:tcPr>
            <w:tcW w:w="1843"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jc w:val="center"/>
              <w:rPr>
                <w:i/>
                <w:spacing w:val="-8"/>
                <w:sz w:val="22"/>
                <w:szCs w:val="22"/>
                <w:lang w:val="en-US" w:eastAsia="ar-SA"/>
              </w:rPr>
            </w:pPr>
            <w:r w:rsidRPr="00D058B5">
              <w:rPr>
                <w:i/>
                <w:sz w:val="22"/>
                <w:szCs w:val="22"/>
                <w:lang w:eastAsia="ar-SA"/>
              </w:rPr>
              <w:t>&lt;</w:t>
            </w:r>
            <w:r>
              <w:rPr>
                <w:i/>
                <w:sz w:val="22"/>
                <w:szCs w:val="22"/>
                <w:lang w:eastAsia="ar-SA"/>
              </w:rPr>
              <w:t xml:space="preserve"> </w:t>
            </w:r>
            <w:r w:rsidRPr="00D058B5">
              <w:rPr>
                <w:rFonts w:cs="Calibri"/>
                <w:i/>
                <w:sz w:val="22"/>
                <w:szCs w:val="22"/>
                <w:lang w:eastAsia="ar-SA"/>
              </w:rPr>
              <w:t>0,05</w:t>
            </w:r>
          </w:p>
        </w:tc>
        <w:tc>
          <w:tcPr>
            <w:tcW w:w="1701"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680E24">
            <w:pPr>
              <w:jc w:val="center"/>
              <w:rPr>
                <w:sz w:val="22"/>
                <w:szCs w:val="22"/>
              </w:rPr>
            </w:pPr>
            <w:r w:rsidRPr="00D058B5">
              <w:rPr>
                <w:spacing w:val="-8"/>
                <w:sz w:val="22"/>
                <w:szCs w:val="22"/>
                <w:lang w:eastAsia="ar-SA"/>
              </w:rPr>
              <w:t>&gt;</w:t>
            </w:r>
            <w:r>
              <w:rPr>
                <w:spacing w:val="-8"/>
                <w:sz w:val="22"/>
                <w:szCs w:val="22"/>
                <w:lang w:eastAsia="ar-SA"/>
              </w:rPr>
              <w:t xml:space="preserve"> </w:t>
            </w:r>
            <w:r w:rsidRPr="00D058B5">
              <w:rPr>
                <w:spacing w:val="-8"/>
                <w:sz w:val="22"/>
                <w:szCs w:val="22"/>
                <w:lang w:eastAsia="ar-SA"/>
              </w:rPr>
              <w:t>0,05</w:t>
            </w:r>
          </w:p>
        </w:tc>
        <w:tc>
          <w:tcPr>
            <w:tcW w:w="1559"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val="en-US" w:eastAsia="ar-SA"/>
              </w:rPr>
            </w:pPr>
            <w:r w:rsidRPr="00D058B5">
              <w:rPr>
                <w:i/>
                <w:sz w:val="22"/>
                <w:szCs w:val="22"/>
                <w:lang w:eastAsia="ar-SA"/>
              </w:rPr>
              <w:t>&lt;</w:t>
            </w:r>
            <w:r>
              <w:rPr>
                <w:i/>
                <w:sz w:val="22"/>
                <w:szCs w:val="22"/>
                <w:lang w:eastAsia="ar-SA"/>
              </w:rPr>
              <w:t xml:space="preserve"> </w:t>
            </w:r>
            <w:r w:rsidRPr="00D058B5">
              <w:rPr>
                <w:rFonts w:cs="Calibri"/>
                <w:i/>
                <w:sz w:val="22"/>
                <w:szCs w:val="22"/>
                <w:lang w:eastAsia="ar-SA"/>
              </w:rPr>
              <w:t>0,05</w:t>
            </w:r>
          </w:p>
        </w:tc>
        <w:tc>
          <w:tcPr>
            <w:tcW w:w="1418" w:type="dxa"/>
            <w:tcBorders>
              <w:top w:val="single" w:sz="4" w:space="0" w:color="000000"/>
              <w:left w:val="single" w:sz="4" w:space="0" w:color="000000"/>
              <w:bottom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val="en-US" w:eastAsia="ar-SA"/>
              </w:rPr>
            </w:pPr>
            <w:r w:rsidRPr="00D058B5">
              <w:rPr>
                <w:spacing w:val="-8"/>
                <w:sz w:val="22"/>
                <w:szCs w:val="22"/>
                <w:lang w:eastAsia="ar-SA"/>
              </w:rPr>
              <w:t>&gt;</w:t>
            </w:r>
            <w:r>
              <w:rPr>
                <w:spacing w:val="-8"/>
                <w:sz w:val="22"/>
                <w:szCs w:val="22"/>
                <w:lang w:eastAsia="ar-SA"/>
              </w:rPr>
              <w:t xml:space="preserve"> </w:t>
            </w:r>
            <w:r w:rsidRPr="00D058B5">
              <w:rPr>
                <w:spacing w:val="-8"/>
                <w:sz w:val="22"/>
                <w:szCs w:val="22"/>
                <w:lang w:eastAsia="ar-SA"/>
              </w:rPr>
              <w:t>0,05</w:t>
            </w:r>
          </w:p>
        </w:tc>
        <w:tc>
          <w:tcPr>
            <w:tcW w:w="170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D058B5" w:rsidRDefault="00286780" w:rsidP="008D2400">
            <w:pPr>
              <w:snapToGrid w:val="0"/>
              <w:jc w:val="center"/>
              <w:rPr>
                <w:spacing w:val="-8"/>
                <w:sz w:val="22"/>
                <w:szCs w:val="22"/>
                <w:lang w:val="en-US" w:eastAsia="ar-SA"/>
              </w:rPr>
            </w:pPr>
            <w:r w:rsidRPr="00D058B5">
              <w:rPr>
                <w:i/>
                <w:sz w:val="22"/>
                <w:szCs w:val="22"/>
                <w:lang w:eastAsia="ar-SA"/>
              </w:rPr>
              <w:t>&lt;</w:t>
            </w:r>
            <w:r>
              <w:rPr>
                <w:i/>
                <w:sz w:val="22"/>
                <w:szCs w:val="22"/>
                <w:lang w:eastAsia="ar-SA"/>
              </w:rPr>
              <w:t xml:space="preserve"> </w:t>
            </w:r>
            <w:r w:rsidRPr="00D058B5">
              <w:rPr>
                <w:rFonts w:cs="Calibri"/>
                <w:i/>
                <w:sz w:val="22"/>
                <w:szCs w:val="22"/>
                <w:lang w:eastAsia="ar-SA"/>
              </w:rPr>
              <w:t>0,05</w:t>
            </w:r>
          </w:p>
        </w:tc>
      </w:tr>
      <w:tr w:rsidR="00286780" w:rsidRPr="00D058B5" w:rsidTr="007F7AD7">
        <w:trPr>
          <w:trHeight w:val="510"/>
        </w:trPr>
        <w:tc>
          <w:tcPr>
            <w:tcW w:w="10307" w:type="dxa"/>
            <w:gridSpan w:val="6"/>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D058B5" w:rsidRDefault="00286780" w:rsidP="008D2400">
            <w:pPr>
              <w:jc w:val="both"/>
              <w:rPr>
                <w:rFonts w:cs="Calibri"/>
                <w:spacing w:val="-8"/>
                <w:sz w:val="22"/>
                <w:szCs w:val="22"/>
                <w:lang w:eastAsia="ar-SA"/>
              </w:rPr>
            </w:pPr>
            <w:r w:rsidRPr="00D058B5">
              <w:rPr>
                <w:rFonts w:cs="Calibri"/>
                <w:i/>
                <w:spacing w:val="-8"/>
                <w:sz w:val="22"/>
                <w:szCs w:val="22"/>
                <w:lang w:eastAsia="ar-SA"/>
              </w:rPr>
              <w:t>Примечание</w:t>
            </w:r>
            <w:r w:rsidRPr="00D058B5">
              <w:rPr>
                <w:rFonts w:cs="Calibri"/>
                <w:spacing w:val="-8"/>
                <w:sz w:val="22"/>
                <w:szCs w:val="22"/>
                <w:lang w:eastAsia="ar-SA"/>
              </w:rPr>
              <w:t xml:space="preserve">. </w:t>
            </w:r>
            <w:r w:rsidRPr="00D058B5">
              <w:rPr>
                <w:rFonts w:cs="Calibri"/>
                <w:spacing w:val="-8"/>
                <w:sz w:val="22"/>
                <w:szCs w:val="22"/>
                <w:lang w:val="en-US" w:eastAsia="ar-SA"/>
              </w:rPr>
              <w:t>Se</w:t>
            </w:r>
            <w:r w:rsidRPr="00D058B5">
              <w:rPr>
                <w:rFonts w:cs="Calibri"/>
                <w:spacing w:val="-8"/>
                <w:sz w:val="22"/>
                <w:szCs w:val="22"/>
                <w:lang w:eastAsia="ar-SA"/>
              </w:rPr>
              <w:t xml:space="preserve"> – чувствительность, </w:t>
            </w:r>
            <w:r w:rsidRPr="00D058B5">
              <w:rPr>
                <w:rFonts w:cs="Calibri"/>
                <w:spacing w:val="-8"/>
                <w:sz w:val="22"/>
                <w:szCs w:val="22"/>
                <w:lang w:val="en-US" w:eastAsia="ar-SA"/>
              </w:rPr>
              <w:t>Sp</w:t>
            </w:r>
            <w:r w:rsidRPr="00D058B5">
              <w:rPr>
                <w:rFonts w:cs="Calibri"/>
                <w:spacing w:val="-8"/>
                <w:sz w:val="22"/>
                <w:szCs w:val="22"/>
                <w:lang w:eastAsia="ar-SA"/>
              </w:rPr>
              <w:t xml:space="preserve"> – специфичность, Ас – точность, </w:t>
            </w:r>
            <w:r w:rsidRPr="00D058B5">
              <w:rPr>
                <w:rFonts w:cs="Calibri"/>
                <w:spacing w:val="-8"/>
                <w:sz w:val="22"/>
                <w:szCs w:val="22"/>
                <w:lang w:val="en-US" w:eastAsia="ar-SA"/>
              </w:rPr>
              <w:t>PPV</w:t>
            </w:r>
            <w:r w:rsidRPr="00D058B5">
              <w:rPr>
                <w:rFonts w:cs="Calibri"/>
                <w:spacing w:val="-8"/>
                <w:sz w:val="22"/>
                <w:szCs w:val="22"/>
                <w:lang w:eastAsia="ar-SA"/>
              </w:rPr>
              <w:t xml:space="preserve"> – прогностичность положительного результата, </w:t>
            </w:r>
            <w:r w:rsidRPr="00D058B5">
              <w:rPr>
                <w:rFonts w:cs="Calibri"/>
                <w:spacing w:val="-8"/>
                <w:sz w:val="22"/>
                <w:szCs w:val="22"/>
                <w:lang w:val="en-US" w:eastAsia="ar-SA"/>
              </w:rPr>
              <w:t>NPV</w:t>
            </w:r>
            <w:r w:rsidRPr="00D058B5">
              <w:rPr>
                <w:rFonts w:cs="Calibri"/>
                <w:spacing w:val="-8"/>
                <w:sz w:val="22"/>
                <w:szCs w:val="22"/>
                <w:lang w:eastAsia="ar-SA"/>
              </w:rPr>
              <w:t xml:space="preserve"> – прогностичность отрицательного результата; </w:t>
            </w:r>
            <w:r w:rsidRPr="00D058B5">
              <w:rPr>
                <w:rFonts w:cs="Calibri"/>
                <w:sz w:val="22"/>
                <w:szCs w:val="22"/>
                <w:lang w:eastAsia="ar-SA"/>
              </w:rPr>
              <w:t>различия между группам</w:t>
            </w:r>
            <w:r>
              <w:rPr>
                <w:rFonts w:cs="Calibri"/>
                <w:sz w:val="22"/>
                <w:szCs w:val="22"/>
                <w:lang w:eastAsia="ar-SA"/>
              </w:rPr>
              <w:t xml:space="preserve">и статистически достоверны при </w:t>
            </w:r>
            <w:r w:rsidRPr="00D058B5">
              <w:rPr>
                <w:rFonts w:cs="Calibri"/>
                <w:sz w:val="22"/>
                <w:szCs w:val="22"/>
                <w:lang w:val="en-US" w:eastAsia="ar-SA"/>
              </w:rPr>
              <w:t>p</w:t>
            </w:r>
            <w:r w:rsidRPr="00D058B5">
              <w:rPr>
                <w:rFonts w:cs="Calibri"/>
                <w:sz w:val="22"/>
                <w:szCs w:val="22"/>
                <w:lang w:eastAsia="ar-SA"/>
              </w:rPr>
              <w:t>&lt;0,05</w:t>
            </w:r>
          </w:p>
        </w:tc>
      </w:tr>
    </w:tbl>
    <w:p w:rsidR="00E225A2" w:rsidRDefault="00E225A2" w:rsidP="00117EE0">
      <w:pPr>
        <w:spacing w:line="360" w:lineRule="auto"/>
        <w:ind w:firstLine="709"/>
        <w:jc w:val="both"/>
        <w:rPr>
          <w:rFonts w:cs="Calibri"/>
          <w:sz w:val="28"/>
          <w:szCs w:val="28"/>
          <w:lang w:eastAsia="ar-SA"/>
        </w:rPr>
      </w:pPr>
      <w:r w:rsidRPr="00E225A2">
        <w:rPr>
          <w:rFonts w:cs="Calibri"/>
          <w:sz w:val="28"/>
          <w:szCs w:val="28"/>
          <w:lang w:eastAsia="ar-SA"/>
        </w:rPr>
        <w:lastRenderedPageBreak/>
        <w:t xml:space="preserve">Сравнение осуществлялось с учетом значений чувствительности, специфичности, точности, прогностичности положительного и отрицательного результатов. Математическим результатом сравнения является значение </w:t>
      </w:r>
      <w:r w:rsidRPr="00E225A2">
        <w:rPr>
          <w:rFonts w:cs="Calibri"/>
          <w:sz w:val="28"/>
          <w:szCs w:val="28"/>
          <w:lang w:val="en-US" w:eastAsia="ar-SA"/>
        </w:rPr>
        <w:t>p</w:t>
      </w:r>
      <w:r w:rsidRPr="00E225A2">
        <w:rPr>
          <w:rFonts w:cs="Calibri"/>
          <w:sz w:val="28"/>
          <w:szCs w:val="28"/>
          <w:lang w:eastAsia="ar-SA"/>
        </w:rPr>
        <w:t xml:space="preserve">. При </w:t>
      </w:r>
      <w:r w:rsidRPr="00E225A2">
        <w:rPr>
          <w:rFonts w:cs="Calibri"/>
          <w:sz w:val="28"/>
          <w:szCs w:val="28"/>
          <w:lang w:val="en-US" w:eastAsia="ar-SA"/>
        </w:rPr>
        <w:t>p</w:t>
      </w:r>
      <w:r w:rsidRPr="00E225A2">
        <w:rPr>
          <w:rFonts w:cs="Calibri"/>
          <w:sz w:val="28"/>
          <w:szCs w:val="28"/>
          <w:lang w:eastAsia="ar-SA"/>
        </w:rPr>
        <w:t>&lt;0,05 различия между группами статистически достоверны.</w:t>
      </w:r>
    </w:p>
    <w:p w:rsidR="00286780" w:rsidRDefault="00286780" w:rsidP="00CE6523">
      <w:pPr>
        <w:spacing w:line="360" w:lineRule="auto"/>
        <w:ind w:firstLine="709"/>
        <w:jc w:val="both"/>
        <w:rPr>
          <w:spacing w:val="-8"/>
          <w:sz w:val="28"/>
          <w:szCs w:val="28"/>
          <w:lang w:eastAsia="ar-SA"/>
        </w:rPr>
      </w:pPr>
      <w:r>
        <w:rPr>
          <w:rFonts w:cs="Calibri"/>
          <w:sz w:val="28"/>
          <w:szCs w:val="28"/>
          <w:lang w:eastAsia="ar-SA"/>
        </w:rPr>
        <w:t xml:space="preserve">Из Таблицы 66 следует, что разработанный алгоритм (1) является статистически значимо более эффективным (за исключением </w:t>
      </w:r>
      <w:r w:rsidRPr="008D2400">
        <w:rPr>
          <w:spacing w:val="-8"/>
          <w:sz w:val="24"/>
          <w:szCs w:val="24"/>
          <w:lang w:val="en-US" w:eastAsia="ar-SA"/>
        </w:rPr>
        <w:t>SOFA</w:t>
      </w:r>
      <w:r>
        <w:rPr>
          <w:spacing w:val="-8"/>
          <w:sz w:val="24"/>
          <w:szCs w:val="24"/>
          <w:lang w:eastAsia="ar-SA"/>
        </w:rPr>
        <w:t>)</w:t>
      </w:r>
      <w:r>
        <w:rPr>
          <w:rFonts w:cs="Calibri"/>
          <w:sz w:val="28"/>
          <w:szCs w:val="28"/>
          <w:lang w:eastAsia="ar-SA"/>
        </w:rPr>
        <w:t xml:space="preserve"> методом диагностики одонтогенного сепсиса, чем </w:t>
      </w:r>
      <w:r w:rsidRPr="00F24DED">
        <w:rPr>
          <w:spacing w:val="-8"/>
          <w:sz w:val="28"/>
          <w:szCs w:val="28"/>
          <w:lang w:val="en-US" w:eastAsia="ar-SA"/>
        </w:rPr>
        <w:t>qSOFA</w:t>
      </w:r>
      <w:r w:rsidRPr="00F24DED">
        <w:rPr>
          <w:spacing w:val="-8"/>
          <w:sz w:val="28"/>
          <w:szCs w:val="28"/>
          <w:lang w:eastAsia="ar-SA"/>
        </w:rPr>
        <w:t xml:space="preserve">, </w:t>
      </w:r>
      <w:r w:rsidRPr="00F24DED">
        <w:rPr>
          <w:spacing w:val="-8"/>
          <w:sz w:val="28"/>
          <w:szCs w:val="28"/>
          <w:lang w:val="en-US" w:eastAsia="ar-SA"/>
        </w:rPr>
        <w:t>SIRS</w:t>
      </w:r>
      <w:r w:rsidRPr="00F24DED">
        <w:rPr>
          <w:spacing w:val="-8"/>
          <w:sz w:val="28"/>
          <w:szCs w:val="28"/>
          <w:lang w:eastAsia="ar-SA"/>
        </w:rPr>
        <w:t xml:space="preserve">2-4, </w:t>
      </w:r>
      <w:r>
        <w:rPr>
          <w:spacing w:val="-8"/>
          <w:sz w:val="28"/>
          <w:szCs w:val="28"/>
          <w:lang w:eastAsia="ar-SA"/>
        </w:rPr>
        <w:t xml:space="preserve">унифицированная программа по </w:t>
      </w:r>
      <w:r w:rsidRPr="002F4D23">
        <w:rPr>
          <w:spacing w:val="-8"/>
          <w:sz w:val="28"/>
          <w:szCs w:val="28"/>
          <w:lang w:eastAsia="ar-SA"/>
        </w:rPr>
        <w:t>(</w:t>
      </w:r>
      <w:r w:rsidRPr="00F24DED">
        <w:rPr>
          <w:spacing w:val="-8"/>
          <w:sz w:val="28"/>
          <w:szCs w:val="28"/>
          <w:lang w:eastAsia="ar-SA"/>
        </w:rPr>
        <w:t>Губ</w:t>
      </w:r>
      <w:r>
        <w:rPr>
          <w:spacing w:val="-8"/>
          <w:sz w:val="28"/>
          <w:szCs w:val="28"/>
          <w:lang w:eastAsia="ar-SA"/>
        </w:rPr>
        <w:t>ин М. А. и др., 2003</w:t>
      </w:r>
      <w:r w:rsidRPr="002F4D23">
        <w:rPr>
          <w:spacing w:val="-8"/>
          <w:sz w:val="28"/>
          <w:szCs w:val="28"/>
          <w:lang w:eastAsia="ar-SA"/>
        </w:rPr>
        <w:t>)</w:t>
      </w:r>
      <w:r>
        <w:rPr>
          <w:spacing w:val="-8"/>
          <w:sz w:val="28"/>
          <w:szCs w:val="28"/>
          <w:lang w:eastAsia="ar-SA"/>
        </w:rPr>
        <w:t xml:space="preserve"> по ряду сравниваемых показателей.</w:t>
      </w:r>
    </w:p>
    <w:p w:rsidR="00286780" w:rsidRPr="00F24DED" w:rsidRDefault="00286780" w:rsidP="00CE6523">
      <w:pPr>
        <w:spacing w:line="360" w:lineRule="auto"/>
        <w:ind w:firstLine="709"/>
        <w:jc w:val="both"/>
        <w:rPr>
          <w:rFonts w:cs="Calibri"/>
          <w:sz w:val="28"/>
          <w:szCs w:val="28"/>
          <w:lang w:eastAsia="ar-SA"/>
        </w:rPr>
      </w:pPr>
      <w:r>
        <w:rPr>
          <w:rFonts w:cs="Calibri"/>
          <w:sz w:val="28"/>
          <w:szCs w:val="28"/>
          <w:lang w:eastAsia="ar-SA"/>
        </w:rPr>
        <w:t xml:space="preserve">Необходимо отметить, что разработанный алгоритм диагностики одонтогенного сепсиса (1) имеет значения показателей чувствительности, специфичности, точности, прогрностичности положительного и отрицательного результатов, в целом, не отличающиеся статистически от аналогичных значений алгорима </w:t>
      </w:r>
      <w:r>
        <w:rPr>
          <w:rFonts w:cs="Calibri"/>
          <w:sz w:val="28"/>
          <w:szCs w:val="28"/>
          <w:lang w:val="en-US" w:eastAsia="ar-SA"/>
        </w:rPr>
        <w:t>SOFA</w:t>
      </w:r>
      <w:r>
        <w:rPr>
          <w:rFonts w:cs="Calibri"/>
          <w:sz w:val="28"/>
          <w:szCs w:val="28"/>
          <w:lang w:eastAsia="ar-SA"/>
        </w:rPr>
        <w:t xml:space="preserve">. Но, в отличие от </w:t>
      </w:r>
      <w:r>
        <w:rPr>
          <w:rFonts w:cs="Calibri"/>
          <w:sz w:val="28"/>
          <w:szCs w:val="28"/>
          <w:lang w:val="en-US" w:eastAsia="ar-SA"/>
        </w:rPr>
        <w:t>SOFA</w:t>
      </w:r>
      <w:r>
        <w:rPr>
          <w:rFonts w:cs="Calibri"/>
          <w:sz w:val="28"/>
          <w:szCs w:val="28"/>
          <w:lang w:eastAsia="ar-SA"/>
        </w:rPr>
        <w:t xml:space="preserve">, разработанный алгоритм не создает необходимости изначально определять газовый состав артериальной крови (трудоемкий, дорогостоящий, не всегда доступный процесс) </w:t>
      </w:r>
      <w:r w:rsidRPr="008E235B">
        <w:rPr>
          <w:rFonts w:cs="Calibri"/>
          <w:i/>
          <w:sz w:val="28"/>
          <w:szCs w:val="28"/>
          <w:lang w:eastAsia="ar-SA"/>
        </w:rPr>
        <w:t>всем</w:t>
      </w:r>
      <w:r>
        <w:rPr>
          <w:rFonts w:cs="Calibri"/>
          <w:sz w:val="28"/>
          <w:szCs w:val="28"/>
          <w:lang w:eastAsia="ar-SA"/>
        </w:rPr>
        <w:t xml:space="preserve"> пациентам, так как содержит скрининговый компонент, позволяющий оценить вероятность наличия сепсиса (низкую или высокую). В случае установления значения "высокой" вероятности одонтогенного сепсиса анализ происходит далее с привлечением параметров </w:t>
      </w:r>
      <w:r>
        <w:rPr>
          <w:rFonts w:cs="Calibri"/>
          <w:sz w:val="28"/>
          <w:szCs w:val="28"/>
          <w:lang w:val="en-US" w:eastAsia="ar-SA"/>
        </w:rPr>
        <w:t>SOFA</w:t>
      </w:r>
      <w:r>
        <w:rPr>
          <w:rFonts w:cs="Calibri"/>
          <w:sz w:val="28"/>
          <w:szCs w:val="28"/>
          <w:lang w:eastAsia="ar-SA"/>
        </w:rPr>
        <w:t>. При значении "низкой" вероятности развития сепсиса устанавливается диагноз МФОИ с последующим динамическим наблюдением. Кроме того, алгоритм содержит позицию необходимости диагностики хронической патологии внутренних органов.</w:t>
      </w:r>
    </w:p>
    <w:p w:rsidR="00286780" w:rsidRPr="00CE6523" w:rsidRDefault="00286780" w:rsidP="00CE6523">
      <w:pPr>
        <w:spacing w:line="360" w:lineRule="auto"/>
        <w:ind w:firstLine="709"/>
        <w:jc w:val="both"/>
        <w:rPr>
          <w:rFonts w:cs="Calibri"/>
          <w:sz w:val="28"/>
          <w:szCs w:val="28"/>
          <w:lang w:eastAsia="ar-SA"/>
        </w:rPr>
      </w:pPr>
      <w:r w:rsidRPr="00CE6523">
        <w:rPr>
          <w:rFonts w:cs="Calibri"/>
          <w:sz w:val="28"/>
          <w:szCs w:val="28"/>
          <w:lang w:eastAsia="ar-SA"/>
        </w:rPr>
        <w:t>Таким образом, разработан эффективный метод диагностики одонтогенного сепсиса, основанный на современных достижениях медицины (критерии «Сепсис-3»), учитывающий особенности одонтогенных инфекционных процессов челюстно-лицевой области (определение некротизирующего компонента и количества вовлеченных топографоанатомических областей), наличие хронической патологии внутренних органов, в том числе полиорганных фоновых заболеваний.</w:t>
      </w:r>
    </w:p>
    <w:p w:rsidR="00286780" w:rsidRDefault="00286780" w:rsidP="00086D5D">
      <w:pPr>
        <w:spacing w:line="360" w:lineRule="auto"/>
        <w:ind w:firstLine="709"/>
        <w:jc w:val="both"/>
        <w:rPr>
          <w:rFonts w:cs="Calibri"/>
          <w:sz w:val="28"/>
          <w:szCs w:val="28"/>
          <w:lang w:eastAsia="ar-SA"/>
        </w:rPr>
      </w:pPr>
      <w:r w:rsidRPr="00CE6523">
        <w:rPr>
          <w:rFonts w:cs="Calibri"/>
          <w:sz w:val="28"/>
          <w:szCs w:val="28"/>
          <w:lang w:eastAsia="ar-SA"/>
        </w:rPr>
        <w:lastRenderedPageBreak/>
        <w:t>Последующее комплексное лечение пациентов с одонтогенными гнойно-воспалительными процессами должно осуществляться с учетом результатов применения вышеобозначенного диагностического алгоритма.</w:t>
      </w:r>
    </w:p>
    <w:p w:rsidR="00286780" w:rsidRDefault="00286780" w:rsidP="00086D5D">
      <w:pPr>
        <w:spacing w:line="360" w:lineRule="auto"/>
        <w:ind w:firstLine="709"/>
        <w:jc w:val="both"/>
        <w:rPr>
          <w:rFonts w:cs="Calibri"/>
          <w:sz w:val="28"/>
          <w:szCs w:val="28"/>
          <w:lang w:eastAsia="ar-SA"/>
        </w:rPr>
      </w:pPr>
      <w:r>
        <w:rPr>
          <w:rFonts w:cs="Calibri"/>
          <w:sz w:val="28"/>
          <w:szCs w:val="28"/>
          <w:lang w:eastAsia="ar-SA"/>
        </w:rPr>
        <w:t>Следующим этапом диссертационного исследования является математический дискриминантный анализ клинико-лабораторных показателей пациентов с МФОИ и ОС, в результате которого разработан алгоритм диагностики одонтогенного сепсиса (2).</w:t>
      </w:r>
    </w:p>
    <w:p w:rsidR="00286780" w:rsidRDefault="00286780" w:rsidP="00086D5D">
      <w:pPr>
        <w:spacing w:line="360" w:lineRule="auto"/>
        <w:ind w:firstLine="709"/>
        <w:jc w:val="both"/>
        <w:rPr>
          <w:rFonts w:cs="Calibri"/>
          <w:sz w:val="28"/>
          <w:szCs w:val="28"/>
          <w:lang w:eastAsia="ar-SA"/>
        </w:rPr>
      </w:pPr>
      <w:r>
        <w:rPr>
          <w:rFonts w:cs="Calibri"/>
          <w:sz w:val="28"/>
          <w:szCs w:val="28"/>
          <w:lang w:eastAsia="ar-SA"/>
        </w:rPr>
        <w:t>Итоги дискриминантного анализа клинико-лабораторных показателей пациентов с МФОИ и ОС: определены наиболее значимые клинико-лабораторные показатели (</w:t>
      </w:r>
      <w:r>
        <w:rPr>
          <w:rFonts w:cs="Calibri"/>
          <w:sz w:val="28"/>
          <w:szCs w:val="28"/>
          <w:lang w:val="en-US" w:eastAsia="ar-SA"/>
        </w:rPr>
        <w:t>p</w:t>
      </w:r>
      <w:r>
        <w:rPr>
          <w:sz w:val="28"/>
          <w:szCs w:val="28"/>
          <w:lang w:eastAsia="ar-SA"/>
        </w:rPr>
        <w:t>&lt;</w:t>
      </w:r>
      <w:r w:rsidRPr="007F7AD7">
        <w:rPr>
          <w:rFonts w:cs="Calibri"/>
          <w:sz w:val="28"/>
          <w:szCs w:val="28"/>
          <w:lang w:eastAsia="ar-SA"/>
        </w:rPr>
        <w:t>0.05)</w:t>
      </w:r>
      <w:r>
        <w:rPr>
          <w:rFonts w:cs="Calibri"/>
          <w:sz w:val="28"/>
          <w:szCs w:val="28"/>
          <w:lang w:eastAsia="ar-SA"/>
        </w:rPr>
        <w:t>.</w:t>
      </w:r>
    </w:p>
    <w:p w:rsidR="00286780" w:rsidRDefault="00286780" w:rsidP="00086D5D">
      <w:pPr>
        <w:spacing w:line="360" w:lineRule="auto"/>
        <w:ind w:firstLine="709"/>
        <w:jc w:val="both"/>
        <w:rPr>
          <w:rFonts w:cs="Calibri"/>
          <w:sz w:val="28"/>
          <w:szCs w:val="28"/>
          <w:lang w:eastAsia="ar-SA"/>
        </w:rPr>
      </w:pPr>
      <w:r>
        <w:rPr>
          <w:rFonts w:cs="Calibri"/>
          <w:sz w:val="28"/>
          <w:szCs w:val="28"/>
          <w:lang w:eastAsia="ar-SA"/>
        </w:rPr>
        <w:t>Такими показателями являются: количество вовлеченных в воспалительный процесс топографо-анатомических областей и клетчаточных пространств (</w:t>
      </w:r>
      <w:r>
        <w:rPr>
          <w:rFonts w:cs="Calibri"/>
          <w:sz w:val="28"/>
          <w:szCs w:val="28"/>
          <w:lang w:val="en-US" w:eastAsia="ar-SA"/>
        </w:rPr>
        <w:t>n</w:t>
      </w:r>
      <w:r>
        <w:rPr>
          <w:rFonts w:cs="Calibri"/>
          <w:sz w:val="28"/>
          <w:szCs w:val="28"/>
          <w:lang w:eastAsia="ar-SA"/>
        </w:rPr>
        <w:t>), систолическое артериальное давление (мм рт. ст.), диастолическое артериальное давление (мм рт. ст.), частота сердечных сокращений (в 1 мин.), билирубин венозной крови (ммоль/л), респираторный индекс (</w:t>
      </w:r>
      <w:r>
        <w:rPr>
          <w:rFonts w:cs="Calibri"/>
          <w:sz w:val="28"/>
          <w:szCs w:val="28"/>
          <w:lang w:val="en-US" w:eastAsia="ar-SA"/>
        </w:rPr>
        <w:t>PaO</w:t>
      </w:r>
      <w:r w:rsidRPr="007F7AD7">
        <w:rPr>
          <w:rFonts w:cs="Calibri"/>
          <w:sz w:val="28"/>
          <w:szCs w:val="28"/>
          <w:lang w:eastAsia="ar-SA"/>
        </w:rPr>
        <w:t>2/</w:t>
      </w:r>
      <w:r>
        <w:rPr>
          <w:rFonts w:cs="Calibri"/>
          <w:sz w:val="28"/>
          <w:szCs w:val="28"/>
          <w:lang w:val="en-US" w:eastAsia="ar-SA"/>
        </w:rPr>
        <w:t>FiO</w:t>
      </w:r>
      <w:r w:rsidRPr="007F7AD7">
        <w:rPr>
          <w:rFonts w:cs="Calibri"/>
          <w:sz w:val="28"/>
          <w:szCs w:val="28"/>
          <w:lang w:eastAsia="ar-SA"/>
        </w:rPr>
        <w:t>2)</w:t>
      </w:r>
      <w:r w:rsidR="007D0954">
        <w:rPr>
          <w:rFonts w:cs="Calibri"/>
          <w:sz w:val="28"/>
          <w:szCs w:val="28"/>
          <w:lang w:eastAsia="ar-SA"/>
        </w:rPr>
        <w:t>, полиорганная ХП</w:t>
      </w:r>
      <w:r w:rsidRPr="007F7AD7">
        <w:rPr>
          <w:rFonts w:cs="Calibri"/>
          <w:sz w:val="28"/>
          <w:szCs w:val="28"/>
          <w:lang w:eastAsia="ar-SA"/>
        </w:rPr>
        <w:t>.</w:t>
      </w:r>
    </w:p>
    <w:p w:rsidR="00286780" w:rsidRDefault="00286780" w:rsidP="00086D5D">
      <w:pPr>
        <w:spacing w:line="360" w:lineRule="auto"/>
        <w:ind w:firstLine="709"/>
        <w:jc w:val="both"/>
        <w:rPr>
          <w:rFonts w:cs="Calibri"/>
          <w:sz w:val="28"/>
          <w:szCs w:val="28"/>
          <w:lang w:eastAsia="ar-SA"/>
        </w:rPr>
      </w:pPr>
      <w:r>
        <w:rPr>
          <w:rFonts w:cs="Calibri"/>
          <w:sz w:val="28"/>
          <w:szCs w:val="28"/>
          <w:lang w:eastAsia="ar-SA"/>
        </w:rPr>
        <w:t>Выполнена расстановка баллов для каждого показателя. В полном виде алгоритм диагностики одонтогенного сепсиса (2) представлен в Таблице 67.</w:t>
      </w:r>
    </w:p>
    <w:p w:rsidR="00286780" w:rsidRDefault="00286780" w:rsidP="00086D5D">
      <w:pPr>
        <w:spacing w:line="360" w:lineRule="auto"/>
        <w:ind w:firstLine="709"/>
        <w:jc w:val="both"/>
        <w:rPr>
          <w:rFonts w:cs="Calibri"/>
          <w:sz w:val="28"/>
          <w:szCs w:val="28"/>
          <w:lang w:eastAsia="ar-SA"/>
        </w:rPr>
      </w:pPr>
    </w:p>
    <w:p w:rsidR="00286780" w:rsidRDefault="00286780" w:rsidP="00117EE0">
      <w:pPr>
        <w:spacing w:line="360" w:lineRule="auto"/>
        <w:jc w:val="both"/>
        <w:rPr>
          <w:rFonts w:cs="Calibri"/>
          <w:sz w:val="28"/>
          <w:szCs w:val="28"/>
          <w:lang w:eastAsia="ar-SA"/>
        </w:rPr>
      </w:pPr>
      <w:r w:rsidRPr="00371212">
        <w:rPr>
          <w:rFonts w:cs="Calibri"/>
          <w:b/>
          <w:sz w:val="28"/>
          <w:szCs w:val="28"/>
          <w:lang w:eastAsia="ar-SA"/>
        </w:rPr>
        <w:t>Таблица 67</w:t>
      </w:r>
      <w:r>
        <w:rPr>
          <w:rFonts w:cs="Calibri"/>
          <w:sz w:val="28"/>
          <w:szCs w:val="28"/>
          <w:lang w:eastAsia="ar-SA"/>
        </w:rPr>
        <w:t xml:space="preserve"> – Алгорим диагностики одонтогенного сепсиса (2)</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6"/>
        <w:gridCol w:w="2693"/>
        <w:gridCol w:w="3521"/>
      </w:tblGrid>
      <w:tr w:rsidR="00286780" w:rsidRPr="002F4D23" w:rsidTr="00E225A2">
        <w:trPr>
          <w:trHeight w:val="619"/>
        </w:trPr>
        <w:tc>
          <w:tcPr>
            <w:tcW w:w="3686" w:type="dxa"/>
          </w:tcPr>
          <w:p w:rsidR="00286780" w:rsidRPr="002F4D23" w:rsidRDefault="00286780" w:rsidP="00E67EA2">
            <w:pPr>
              <w:ind w:hanging="8"/>
              <w:jc w:val="center"/>
              <w:rPr>
                <w:rFonts w:cs="Calibri"/>
                <w:b/>
                <w:sz w:val="24"/>
                <w:szCs w:val="24"/>
                <w:lang w:eastAsia="ar-SA"/>
              </w:rPr>
            </w:pPr>
            <w:r w:rsidRPr="002F4D23">
              <w:rPr>
                <w:rFonts w:cs="Calibri"/>
                <w:b/>
                <w:sz w:val="24"/>
                <w:szCs w:val="24"/>
                <w:lang w:eastAsia="ar-SA"/>
              </w:rPr>
              <w:t>Показатель</w:t>
            </w:r>
          </w:p>
        </w:tc>
        <w:tc>
          <w:tcPr>
            <w:tcW w:w="2693" w:type="dxa"/>
          </w:tcPr>
          <w:p w:rsidR="00286780" w:rsidRPr="002F4D23" w:rsidRDefault="00286780" w:rsidP="00E67EA2">
            <w:pPr>
              <w:ind w:hanging="8"/>
              <w:jc w:val="center"/>
              <w:rPr>
                <w:rFonts w:cs="Calibri"/>
                <w:b/>
                <w:sz w:val="24"/>
                <w:szCs w:val="24"/>
                <w:lang w:eastAsia="ar-SA"/>
              </w:rPr>
            </w:pPr>
            <w:r w:rsidRPr="002F4D23">
              <w:rPr>
                <w:rFonts w:cs="Calibri"/>
                <w:b/>
                <w:sz w:val="24"/>
                <w:szCs w:val="24"/>
                <w:lang w:eastAsia="ar-SA"/>
              </w:rPr>
              <w:t>МФОИ</w:t>
            </w:r>
            <w:r>
              <w:rPr>
                <w:rFonts w:cs="Calibri"/>
                <w:b/>
                <w:sz w:val="24"/>
                <w:szCs w:val="24"/>
                <w:lang w:eastAsia="ar-SA"/>
              </w:rPr>
              <w:t xml:space="preserve"> (баллы)</w:t>
            </w:r>
          </w:p>
        </w:tc>
        <w:tc>
          <w:tcPr>
            <w:tcW w:w="3521" w:type="dxa"/>
          </w:tcPr>
          <w:p w:rsidR="00286780" w:rsidRPr="002F4D23" w:rsidRDefault="00286780" w:rsidP="00E67EA2">
            <w:pPr>
              <w:ind w:firstLine="48"/>
              <w:jc w:val="center"/>
              <w:rPr>
                <w:rFonts w:cs="Calibri"/>
                <w:b/>
                <w:sz w:val="24"/>
                <w:szCs w:val="24"/>
                <w:lang w:eastAsia="ar-SA"/>
              </w:rPr>
            </w:pPr>
            <w:r w:rsidRPr="002F4D23">
              <w:rPr>
                <w:rFonts w:cs="Calibri"/>
                <w:b/>
                <w:sz w:val="24"/>
                <w:szCs w:val="24"/>
                <w:lang w:eastAsia="ar-SA"/>
              </w:rPr>
              <w:t>Одонтогенный сепсис (баллы)</w:t>
            </w:r>
          </w:p>
        </w:tc>
      </w:tr>
      <w:tr w:rsidR="00286780" w:rsidRPr="002F4D23" w:rsidTr="00E225A2">
        <w:trPr>
          <w:trHeight w:val="397"/>
        </w:trPr>
        <w:tc>
          <w:tcPr>
            <w:tcW w:w="3686" w:type="dxa"/>
          </w:tcPr>
          <w:p w:rsidR="00286780" w:rsidRPr="002F4D23" w:rsidRDefault="00286780" w:rsidP="00E67EA2">
            <w:pPr>
              <w:ind w:hanging="8"/>
              <w:rPr>
                <w:rFonts w:cs="Calibri"/>
                <w:sz w:val="24"/>
                <w:szCs w:val="24"/>
                <w:lang w:eastAsia="ar-SA"/>
              </w:rPr>
            </w:pPr>
            <w:r w:rsidRPr="002F4D23">
              <w:rPr>
                <w:rFonts w:cs="Calibri"/>
                <w:sz w:val="24"/>
                <w:szCs w:val="24"/>
                <w:lang w:eastAsia="ar-SA"/>
              </w:rPr>
              <w:t>АДс (мм рт. ст.)</w:t>
            </w:r>
          </w:p>
        </w:tc>
        <w:tc>
          <w:tcPr>
            <w:tcW w:w="2693" w:type="dxa"/>
          </w:tcPr>
          <w:p w:rsidR="00286780" w:rsidRPr="00D058B5" w:rsidRDefault="00286780" w:rsidP="00E368BC">
            <w:pPr>
              <w:ind w:hanging="8"/>
              <w:jc w:val="center"/>
              <w:rPr>
                <w:rFonts w:cs="Calibri"/>
                <w:sz w:val="24"/>
                <w:szCs w:val="24"/>
                <w:lang w:val="en-US" w:eastAsia="ar-SA"/>
              </w:rPr>
            </w:pPr>
            <w:r>
              <w:rPr>
                <w:sz w:val="24"/>
                <w:szCs w:val="24"/>
                <w:lang w:eastAsia="ar-SA"/>
              </w:rPr>
              <w:t xml:space="preserve">≥ </w:t>
            </w:r>
            <w:r w:rsidRPr="002F4D23">
              <w:rPr>
                <w:sz w:val="24"/>
                <w:szCs w:val="24"/>
                <w:lang w:eastAsia="ar-SA"/>
              </w:rPr>
              <w:t>110</w:t>
            </w:r>
            <w:r w:rsidRPr="00D058B5">
              <w:rPr>
                <w:sz w:val="24"/>
                <w:szCs w:val="24"/>
                <w:lang w:eastAsia="ar-SA"/>
              </w:rPr>
              <w:t>(</w:t>
            </w:r>
            <w:r>
              <w:rPr>
                <w:sz w:val="24"/>
                <w:szCs w:val="24"/>
                <w:lang w:eastAsia="ar-SA"/>
              </w:rPr>
              <w:t>0</w:t>
            </w:r>
            <w:r w:rsidRPr="00D058B5">
              <w:rPr>
                <w:sz w:val="24"/>
                <w:szCs w:val="24"/>
                <w:lang w:eastAsia="ar-SA"/>
              </w:rPr>
              <w:t xml:space="preserve"> балл</w:t>
            </w:r>
            <w:r>
              <w:rPr>
                <w:sz w:val="24"/>
                <w:szCs w:val="24"/>
                <w:lang w:eastAsia="ar-SA"/>
              </w:rPr>
              <w:t>ов</w:t>
            </w:r>
            <w:r w:rsidRPr="00D058B5">
              <w:rPr>
                <w:sz w:val="24"/>
                <w:szCs w:val="24"/>
                <w:lang w:eastAsia="ar-SA"/>
              </w:rPr>
              <w:t>)</w:t>
            </w:r>
          </w:p>
        </w:tc>
        <w:tc>
          <w:tcPr>
            <w:tcW w:w="3521" w:type="dxa"/>
          </w:tcPr>
          <w:p w:rsidR="00286780" w:rsidRPr="002F4D23" w:rsidRDefault="00286780" w:rsidP="00E368BC">
            <w:pPr>
              <w:ind w:hanging="8"/>
              <w:jc w:val="center"/>
              <w:rPr>
                <w:rFonts w:cs="Calibri"/>
                <w:sz w:val="24"/>
                <w:szCs w:val="24"/>
                <w:lang w:eastAsia="ar-SA"/>
              </w:rPr>
            </w:pPr>
            <w:r>
              <w:rPr>
                <w:sz w:val="24"/>
                <w:szCs w:val="24"/>
                <w:lang w:eastAsia="ar-SA"/>
              </w:rPr>
              <w:t>&lt; 110 (</w:t>
            </w:r>
            <w:r w:rsidRPr="002F4D23">
              <w:rPr>
                <w:sz w:val="24"/>
                <w:szCs w:val="24"/>
                <w:lang w:eastAsia="ar-SA"/>
              </w:rPr>
              <w:t>1 балл)</w:t>
            </w:r>
          </w:p>
        </w:tc>
      </w:tr>
      <w:tr w:rsidR="00286780" w:rsidRPr="002F4D23" w:rsidTr="00E225A2">
        <w:trPr>
          <w:trHeight w:val="435"/>
        </w:trPr>
        <w:tc>
          <w:tcPr>
            <w:tcW w:w="3686" w:type="dxa"/>
          </w:tcPr>
          <w:p w:rsidR="00286780" w:rsidRPr="002F4D23" w:rsidRDefault="00286780" w:rsidP="00E67EA2">
            <w:pPr>
              <w:ind w:hanging="8"/>
              <w:rPr>
                <w:rFonts w:cs="Calibri"/>
                <w:sz w:val="24"/>
                <w:szCs w:val="24"/>
                <w:lang w:eastAsia="ar-SA"/>
              </w:rPr>
            </w:pPr>
            <w:r w:rsidRPr="002F4D23">
              <w:rPr>
                <w:rFonts w:cs="Calibri"/>
                <w:sz w:val="24"/>
                <w:szCs w:val="24"/>
                <w:lang w:eastAsia="ar-SA"/>
              </w:rPr>
              <w:t>АДд (мм рт. ст.)</w:t>
            </w:r>
          </w:p>
        </w:tc>
        <w:tc>
          <w:tcPr>
            <w:tcW w:w="2693" w:type="dxa"/>
          </w:tcPr>
          <w:p w:rsidR="00286780" w:rsidRPr="002F4D23" w:rsidRDefault="00286780" w:rsidP="00E368BC">
            <w:pPr>
              <w:ind w:hanging="8"/>
              <w:jc w:val="center"/>
              <w:rPr>
                <w:rFonts w:cs="Calibri"/>
                <w:sz w:val="24"/>
                <w:szCs w:val="24"/>
                <w:lang w:eastAsia="ar-SA"/>
              </w:rPr>
            </w:pPr>
            <w:r>
              <w:rPr>
                <w:sz w:val="24"/>
                <w:szCs w:val="24"/>
                <w:lang w:eastAsia="ar-SA"/>
              </w:rPr>
              <w:t xml:space="preserve">≥ </w:t>
            </w:r>
            <w:r w:rsidRPr="002F4D23">
              <w:rPr>
                <w:sz w:val="24"/>
                <w:szCs w:val="24"/>
                <w:lang w:eastAsia="ar-SA"/>
              </w:rPr>
              <w:t>80</w:t>
            </w:r>
            <w:r w:rsidRPr="00D058B5">
              <w:rPr>
                <w:sz w:val="24"/>
                <w:szCs w:val="24"/>
                <w:lang w:eastAsia="ar-SA"/>
              </w:rPr>
              <w:t>(0 баллов)</w:t>
            </w:r>
          </w:p>
        </w:tc>
        <w:tc>
          <w:tcPr>
            <w:tcW w:w="3521" w:type="dxa"/>
          </w:tcPr>
          <w:p w:rsidR="00286780" w:rsidRPr="002F4D23" w:rsidRDefault="00286780" w:rsidP="00E368BC">
            <w:pPr>
              <w:ind w:hanging="8"/>
              <w:jc w:val="center"/>
              <w:rPr>
                <w:rFonts w:cs="Calibri"/>
                <w:sz w:val="24"/>
                <w:szCs w:val="24"/>
                <w:lang w:eastAsia="ar-SA"/>
              </w:rPr>
            </w:pPr>
            <w:r>
              <w:rPr>
                <w:sz w:val="24"/>
                <w:szCs w:val="24"/>
                <w:lang w:eastAsia="ar-SA"/>
              </w:rPr>
              <w:t>&lt; 80 (</w:t>
            </w:r>
            <w:r w:rsidRPr="002F4D23">
              <w:rPr>
                <w:sz w:val="24"/>
                <w:szCs w:val="24"/>
                <w:lang w:eastAsia="ar-SA"/>
              </w:rPr>
              <w:t>1 балл)</w:t>
            </w:r>
          </w:p>
        </w:tc>
      </w:tr>
      <w:tr w:rsidR="00286780" w:rsidRPr="002F4D23" w:rsidTr="00E225A2">
        <w:trPr>
          <w:trHeight w:val="435"/>
        </w:trPr>
        <w:tc>
          <w:tcPr>
            <w:tcW w:w="3686" w:type="dxa"/>
          </w:tcPr>
          <w:p w:rsidR="00286780" w:rsidRPr="002F4D23" w:rsidRDefault="00286780" w:rsidP="00E67EA2">
            <w:pPr>
              <w:ind w:hanging="8"/>
              <w:rPr>
                <w:rFonts w:cs="Calibri"/>
                <w:sz w:val="24"/>
                <w:szCs w:val="24"/>
                <w:lang w:eastAsia="ar-SA"/>
              </w:rPr>
            </w:pPr>
            <w:r w:rsidRPr="002F4D23">
              <w:rPr>
                <w:rFonts w:cs="Calibri"/>
                <w:sz w:val="24"/>
                <w:szCs w:val="24"/>
                <w:lang w:eastAsia="ar-SA"/>
              </w:rPr>
              <w:t>ЧСС (в 1 мин.)</w:t>
            </w:r>
          </w:p>
        </w:tc>
        <w:tc>
          <w:tcPr>
            <w:tcW w:w="2693" w:type="dxa"/>
          </w:tcPr>
          <w:p w:rsidR="00286780" w:rsidRPr="002F4D23" w:rsidRDefault="00286780" w:rsidP="00E368BC">
            <w:pPr>
              <w:ind w:hanging="8"/>
              <w:jc w:val="center"/>
              <w:rPr>
                <w:rFonts w:cs="Calibri"/>
                <w:sz w:val="24"/>
                <w:szCs w:val="24"/>
                <w:lang w:eastAsia="ar-SA"/>
              </w:rPr>
            </w:pPr>
            <w:r>
              <w:rPr>
                <w:sz w:val="24"/>
                <w:szCs w:val="24"/>
                <w:lang w:eastAsia="ar-SA"/>
              </w:rPr>
              <w:t xml:space="preserve">&lt; </w:t>
            </w:r>
            <w:r w:rsidRPr="002F4D23">
              <w:rPr>
                <w:sz w:val="24"/>
                <w:szCs w:val="24"/>
                <w:lang w:eastAsia="ar-SA"/>
              </w:rPr>
              <w:t>100</w:t>
            </w:r>
            <w:r w:rsidRPr="00D058B5">
              <w:rPr>
                <w:sz w:val="24"/>
                <w:szCs w:val="24"/>
                <w:lang w:eastAsia="ar-SA"/>
              </w:rPr>
              <w:t>(0 баллов)</w:t>
            </w:r>
          </w:p>
        </w:tc>
        <w:tc>
          <w:tcPr>
            <w:tcW w:w="3521" w:type="dxa"/>
          </w:tcPr>
          <w:p w:rsidR="00286780" w:rsidRPr="002F4D23" w:rsidRDefault="00286780" w:rsidP="00E368BC">
            <w:pPr>
              <w:ind w:hanging="8"/>
              <w:jc w:val="center"/>
              <w:rPr>
                <w:rFonts w:cs="Calibri"/>
                <w:sz w:val="24"/>
                <w:szCs w:val="24"/>
                <w:lang w:eastAsia="ar-SA"/>
              </w:rPr>
            </w:pPr>
            <w:r>
              <w:rPr>
                <w:sz w:val="24"/>
                <w:szCs w:val="24"/>
                <w:lang w:eastAsia="ar-SA"/>
              </w:rPr>
              <w:t>≥ 100 (</w:t>
            </w:r>
            <w:r w:rsidRPr="002F4D23">
              <w:rPr>
                <w:sz w:val="24"/>
                <w:szCs w:val="24"/>
                <w:lang w:eastAsia="ar-SA"/>
              </w:rPr>
              <w:t>1 балл)</w:t>
            </w:r>
          </w:p>
        </w:tc>
      </w:tr>
      <w:tr w:rsidR="00286780" w:rsidRPr="002F4D23" w:rsidTr="00E225A2">
        <w:trPr>
          <w:trHeight w:val="318"/>
        </w:trPr>
        <w:tc>
          <w:tcPr>
            <w:tcW w:w="3686" w:type="dxa"/>
          </w:tcPr>
          <w:p w:rsidR="00286780" w:rsidRPr="002F4D23" w:rsidRDefault="00286780" w:rsidP="00E67EA2">
            <w:pPr>
              <w:ind w:hanging="8"/>
              <w:rPr>
                <w:rFonts w:cs="Calibri"/>
                <w:sz w:val="24"/>
                <w:szCs w:val="24"/>
                <w:lang w:eastAsia="ar-SA"/>
              </w:rPr>
            </w:pPr>
            <w:r w:rsidRPr="002F4D23">
              <w:rPr>
                <w:rFonts w:cs="Calibri"/>
                <w:sz w:val="24"/>
                <w:szCs w:val="24"/>
                <w:lang w:eastAsia="ar-SA"/>
              </w:rPr>
              <w:t>Билирубин (ммоль/л)</w:t>
            </w:r>
          </w:p>
        </w:tc>
        <w:tc>
          <w:tcPr>
            <w:tcW w:w="2693" w:type="dxa"/>
          </w:tcPr>
          <w:p w:rsidR="00286780" w:rsidRPr="002F4D23" w:rsidRDefault="00286780" w:rsidP="00E368BC">
            <w:pPr>
              <w:ind w:hanging="8"/>
              <w:jc w:val="center"/>
              <w:rPr>
                <w:rFonts w:cs="Calibri"/>
                <w:sz w:val="24"/>
                <w:szCs w:val="24"/>
                <w:lang w:eastAsia="ar-SA"/>
              </w:rPr>
            </w:pPr>
            <w:r>
              <w:rPr>
                <w:sz w:val="24"/>
                <w:szCs w:val="24"/>
                <w:lang w:eastAsia="ar-SA"/>
              </w:rPr>
              <w:t xml:space="preserve">&lt; </w:t>
            </w:r>
            <w:r w:rsidRPr="002F4D23">
              <w:rPr>
                <w:sz w:val="24"/>
                <w:szCs w:val="24"/>
                <w:lang w:eastAsia="ar-SA"/>
              </w:rPr>
              <w:t>15</w:t>
            </w:r>
            <w:r w:rsidRPr="00D058B5">
              <w:rPr>
                <w:sz w:val="24"/>
                <w:szCs w:val="24"/>
                <w:lang w:eastAsia="ar-SA"/>
              </w:rPr>
              <w:t>(0 баллов)</w:t>
            </w:r>
          </w:p>
        </w:tc>
        <w:tc>
          <w:tcPr>
            <w:tcW w:w="3521" w:type="dxa"/>
          </w:tcPr>
          <w:p w:rsidR="00286780" w:rsidRPr="002F4D23" w:rsidRDefault="00286780" w:rsidP="00E368BC">
            <w:pPr>
              <w:jc w:val="center"/>
              <w:rPr>
                <w:sz w:val="24"/>
                <w:szCs w:val="24"/>
              </w:rPr>
            </w:pPr>
            <w:r>
              <w:rPr>
                <w:sz w:val="24"/>
                <w:szCs w:val="24"/>
                <w:lang w:eastAsia="ar-SA"/>
              </w:rPr>
              <w:t>≥ 15 (</w:t>
            </w:r>
            <w:r w:rsidRPr="002F4D23">
              <w:rPr>
                <w:sz w:val="24"/>
                <w:szCs w:val="24"/>
                <w:lang w:eastAsia="ar-SA"/>
              </w:rPr>
              <w:t>1 балл)</w:t>
            </w:r>
          </w:p>
        </w:tc>
      </w:tr>
      <w:tr w:rsidR="00286780" w:rsidRPr="002F4D23" w:rsidTr="00E225A2">
        <w:trPr>
          <w:trHeight w:val="318"/>
        </w:trPr>
        <w:tc>
          <w:tcPr>
            <w:tcW w:w="3686" w:type="dxa"/>
          </w:tcPr>
          <w:p w:rsidR="00286780" w:rsidRPr="002F4D23" w:rsidRDefault="00286780" w:rsidP="00E67EA2">
            <w:pPr>
              <w:ind w:hanging="8"/>
              <w:rPr>
                <w:rFonts w:cs="Calibri"/>
                <w:sz w:val="24"/>
                <w:szCs w:val="24"/>
                <w:lang w:eastAsia="ar-SA"/>
              </w:rPr>
            </w:pPr>
            <w:r w:rsidRPr="002F4D23">
              <w:rPr>
                <w:rFonts w:cs="Calibri"/>
                <w:sz w:val="24"/>
                <w:szCs w:val="24"/>
                <w:lang w:eastAsia="ar-SA"/>
              </w:rPr>
              <w:t>Респираторный индекс (усл. ед.)</w:t>
            </w:r>
          </w:p>
        </w:tc>
        <w:tc>
          <w:tcPr>
            <w:tcW w:w="2693" w:type="dxa"/>
          </w:tcPr>
          <w:p w:rsidR="00286780" w:rsidRPr="002F4D23" w:rsidRDefault="00286780" w:rsidP="00E368BC">
            <w:pPr>
              <w:ind w:hanging="8"/>
              <w:jc w:val="center"/>
              <w:rPr>
                <w:rFonts w:cs="Calibri"/>
                <w:sz w:val="24"/>
                <w:szCs w:val="24"/>
                <w:lang w:eastAsia="ar-SA"/>
              </w:rPr>
            </w:pPr>
            <w:r>
              <w:rPr>
                <w:sz w:val="24"/>
                <w:szCs w:val="24"/>
                <w:lang w:eastAsia="ar-SA"/>
              </w:rPr>
              <w:t xml:space="preserve">&lt; </w:t>
            </w:r>
            <w:r w:rsidRPr="002F4D23">
              <w:rPr>
                <w:sz w:val="24"/>
                <w:szCs w:val="24"/>
                <w:lang w:eastAsia="ar-SA"/>
              </w:rPr>
              <w:t>300</w:t>
            </w:r>
            <w:r w:rsidRPr="00D058B5">
              <w:rPr>
                <w:sz w:val="24"/>
                <w:szCs w:val="24"/>
                <w:lang w:eastAsia="ar-SA"/>
              </w:rPr>
              <w:t>(0 баллов)</w:t>
            </w:r>
          </w:p>
        </w:tc>
        <w:tc>
          <w:tcPr>
            <w:tcW w:w="3521" w:type="dxa"/>
          </w:tcPr>
          <w:p w:rsidR="00286780" w:rsidRPr="002F4D23" w:rsidRDefault="00286780" w:rsidP="00E368BC">
            <w:pPr>
              <w:jc w:val="center"/>
              <w:rPr>
                <w:sz w:val="24"/>
                <w:szCs w:val="24"/>
              </w:rPr>
            </w:pPr>
            <w:r>
              <w:rPr>
                <w:sz w:val="24"/>
                <w:szCs w:val="24"/>
                <w:lang w:eastAsia="ar-SA"/>
              </w:rPr>
              <w:t>≥ 300 (</w:t>
            </w:r>
            <w:r w:rsidRPr="002F4D23">
              <w:rPr>
                <w:sz w:val="24"/>
                <w:szCs w:val="24"/>
                <w:lang w:eastAsia="ar-SA"/>
              </w:rPr>
              <w:t>1 балл)</w:t>
            </w:r>
          </w:p>
        </w:tc>
      </w:tr>
      <w:tr w:rsidR="00286780" w:rsidRPr="002F4D23" w:rsidTr="00E225A2">
        <w:trPr>
          <w:trHeight w:val="151"/>
        </w:trPr>
        <w:tc>
          <w:tcPr>
            <w:tcW w:w="3686" w:type="dxa"/>
          </w:tcPr>
          <w:p w:rsidR="00286780" w:rsidRPr="002F4D23" w:rsidRDefault="00286780" w:rsidP="00E67EA2">
            <w:pPr>
              <w:ind w:hanging="8"/>
              <w:rPr>
                <w:rFonts w:cs="Calibri"/>
                <w:sz w:val="24"/>
                <w:szCs w:val="24"/>
                <w:lang w:eastAsia="ar-SA"/>
              </w:rPr>
            </w:pPr>
            <w:r w:rsidRPr="002F4D23">
              <w:rPr>
                <w:rFonts w:cs="Calibri"/>
                <w:sz w:val="24"/>
                <w:szCs w:val="24"/>
                <w:lang w:eastAsia="ar-SA"/>
              </w:rPr>
              <w:t>Количество топографо-анатомических областей и клетчаточных пространств</w:t>
            </w:r>
          </w:p>
        </w:tc>
        <w:tc>
          <w:tcPr>
            <w:tcW w:w="2693" w:type="dxa"/>
          </w:tcPr>
          <w:p w:rsidR="00286780" w:rsidRPr="002F4D23" w:rsidRDefault="00286780" w:rsidP="00E368BC">
            <w:pPr>
              <w:ind w:hanging="8"/>
              <w:jc w:val="center"/>
              <w:rPr>
                <w:rFonts w:cs="Calibri"/>
                <w:sz w:val="24"/>
                <w:szCs w:val="24"/>
                <w:lang w:eastAsia="ar-SA"/>
              </w:rPr>
            </w:pPr>
            <w:r>
              <w:rPr>
                <w:sz w:val="24"/>
                <w:szCs w:val="24"/>
                <w:lang w:eastAsia="ar-SA"/>
              </w:rPr>
              <w:t xml:space="preserve">&lt; </w:t>
            </w:r>
            <w:r w:rsidRPr="002F4D23">
              <w:rPr>
                <w:sz w:val="24"/>
                <w:szCs w:val="24"/>
                <w:lang w:eastAsia="ar-SA"/>
              </w:rPr>
              <w:t>4</w:t>
            </w:r>
            <w:r>
              <w:rPr>
                <w:sz w:val="24"/>
                <w:szCs w:val="24"/>
                <w:lang w:eastAsia="ar-SA"/>
              </w:rPr>
              <w:t xml:space="preserve"> </w:t>
            </w:r>
            <w:r w:rsidRPr="00D058B5">
              <w:rPr>
                <w:sz w:val="24"/>
                <w:szCs w:val="24"/>
                <w:lang w:eastAsia="ar-SA"/>
              </w:rPr>
              <w:t>(0 баллов)</w:t>
            </w:r>
          </w:p>
        </w:tc>
        <w:tc>
          <w:tcPr>
            <w:tcW w:w="3521" w:type="dxa"/>
          </w:tcPr>
          <w:p w:rsidR="00286780" w:rsidRPr="002F4D23" w:rsidRDefault="00286780" w:rsidP="00E368BC">
            <w:pPr>
              <w:jc w:val="center"/>
              <w:rPr>
                <w:sz w:val="24"/>
                <w:szCs w:val="24"/>
              </w:rPr>
            </w:pPr>
            <w:r>
              <w:rPr>
                <w:sz w:val="24"/>
                <w:szCs w:val="24"/>
                <w:lang w:eastAsia="ar-SA"/>
              </w:rPr>
              <w:t>≥ 4 (</w:t>
            </w:r>
            <w:r w:rsidRPr="002F4D23">
              <w:rPr>
                <w:sz w:val="24"/>
                <w:szCs w:val="24"/>
                <w:lang w:eastAsia="ar-SA"/>
              </w:rPr>
              <w:t>1 балл)</w:t>
            </w:r>
          </w:p>
        </w:tc>
      </w:tr>
      <w:tr w:rsidR="00286780" w:rsidRPr="008F7BBA" w:rsidTr="00E225A2">
        <w:trPr>
          <w:trHeight w:val="151"/>
        </w:trPr>
        <w:tc>
          <w:tcPr>
            <w:tcW w:w="3686" w:type="dxa"/>
          </w:tcPr>
          <w:p w:rsidR="00286780" w:rsidRPr="007C4EFA" w:rsidRDefault="00286780" w:rsidP="007C4EFA">
            <w:pPr>
              <w:ind w:hanging="8"/>
              <w:rPr>
                <w:rFonts w:cs="Calibri"/>
                <w:sz w:val="24"/>
                <w:szCs w:val="24"/>
                <w:lang w:eastAsia="ar-SA"/>
              </w:rPr>
            </w:pPr>
            <w:r w:rsidRPr="007C4EFA">
              <w:rPr>
                <w:rFonts w:cs="Calibri"/>
                <w:sz w:val="24"/>
                <w:szCs w:val="24"/>
                <w:lang w:eastAsia="ar-SA"/>
              </w:rPr>
              <w:t>Сознание (шкала ком Глазго, баллы)</w:t>
            </w:r>
          </w:p>
        </w:tc>
        <w:tc>
          <w:tcPr>
            <w:tcW w:w="2693" w:type="dxa"/>
          </w:tcPr>
          <w:p w:rsidR="00286780" w:rsidRPr="007C4EFA" w:rsidRDefault="00286780" w:rsidP="007C4EFA">
            <w:pPr>
              <w:ind w:hanging="8"/>
              <w:jc w:val="center"/>
              <w:rPr>
                <w:sz w:val="24"/>
                <w:szCs w:val="24"/>
                <w:lang w:eastAsia="ar-SA"/>
              </w:rPr>
            </w:pPr>
            <w:r w:rsidRPr="007C4EFA">
              <w:rPr>
                <w:sz w:val="24"/>
                <w:szCs w:val="24"/>
                <w:lang w:eastAsia="ar-SA"/>
              </w:rPr>
              <w:t>15 (0 баллов)</w:t>
            </w:r>
          </w:p>
        </w:tc>
        <w:tc>
          <w:tcPr>
            <w:tcW w:w="3521" w:type="dxa"/>
          </w:tcPr>
          <w:p w:rsidR="00286780" w:rsidRPr="007C4EFA" w:rsidRDefault="00286780" w:rsidP="007C4EFA">
            <w:pPr>
              <w:jc w:val="center"/>
              <w:rPr>
                <w:sz w:val="24"/>
                <w:szCs w:val="24"/>
                <w:lang w:eastAsia="ar-SA"/>
              </w:rPr>
            </w:pPr>
            <w:r w:rsidRPr="007C4EFA">
              <w:rPr>
                <w:sz w:val="24"/>
                <w:szCs w:val="24"/>
                <w:lang w:eastAsia="ar-SA"/>
              </w:rPr>
              <w:t>&lt; 15 (1 балл)</w:t>
            </w:r>
          </w:p>
        </w:tc>
      </w:tr>
      <w:tr w:rsidR="007D0954" w:rsidRPr="008F7BBA" w:rsidTr="00E225A2">
        <w:trPr>
          <w:trHeight w:val="151"/>
        </w:trPr>
        <w:tc>
          <w:tcPr>
            <w:tcW w:w="3686" w:type="dxa"/>
          </w:tcPr>
          <w:p w:rsidR="007D0954" w:rsidRPr="007C4EFA" w:rsidRDefault="007D0954" w:rsidP="007C4EFA">
            <w:pPr>
              <w:ind w:hanging="8"/>
              <w:rPr>
                <w:rFonts w:cs="Calibri"/>
                <w:sz w:val="24"/>
                <w:szCs w:val="24"/>
                <w:lang w:eastAsia="ar-SA"/>
              </w:rPr>
            </w:pPr>
            <w:r>
              <w:rPr>
                <w:rFonts w:cs="Calibri"/>
                <w:sz w:val="24"/>
                <w:szCs w:val="24"/>
                <w:lang w:eastAsia="ar-SA"/>
              </w:rPr>
              <w:t>Полиорганная фоновая патология</w:t>
            </w:r>
          </w:p>
        </w:tc>
        <w:tc>
          <w:tcPr>
            <w:tcW w:w="2693" w:type="dxa"/>
          </w:tcPr>
          <w:p w:rsidR="007D0954" w:rsidRPr="007C4EFA" w:rsidRDefault="007D0954" w:rsidP="007D0954">
            <w:pPr>
              <w:ind w:hanging="8"/>
              <w:jc w:val="center"/>
              <w:rPr>
                <w:sz w:val="24"/>
                <w:szCs w:val="24"/>
                <w:lang w:eastAsia="ar-SA"/>
              </w:rPr>
            </w:pPr>
            <w:r>
              <w:rPr>
                <w:sz w:val="24"/>
                <w:szCs w:val="24"/>
                <w:lang w:eastAsia="ar-SA"/>
              </w:rPr>
              <w:t>отсутствует (0 балллов)</w:t>
            </w:r>
          </w:p>
        </w:tc>
        <w:tc>
          <w:tcPr>
            <w:tcW w:w="3521" w:type="dxa"/>
          </w:tcPr>
          <w:p w:rsidR="007D0954" w:rsidRPr="007C4EFA" w:rsidRDefault="007D0954" w:rsidP="007C4EFA">
            <w:pPr>
              <w:jc w:val="center"/>
              <w:rPr>
                <w:sz w:val="24"/>
                <w:szCs w:val="24"/>
                <w:lang w:eastAsia="ar-SA"/>
              </w:rPr>
            </w:pPr>
            <w:r>
              <w:rPr>
                <w:sz w:val="24"/>
                <w:szCs w:val="24"/>
                <w:lang w:eastAsia="ar-SA"/>
              </w:rPr>
              <w:t>определяется (1 балл)</w:t>
            </w:r>
          </w:p>
        </w:tc>
      </w:tr>
    </w:tbl>
    <w:p w:rsidR="00286780" w:rsidRDefault="00286780" w:rsidP="00086D5D">
      <w:pPr>
        <w:spacing w:line="360" w:lineRule="auto"/>
        <w:ind w:firstLine="709"/>
        <w:jc w:val="both"/>
        <w:rPr>
          <w:rFonts w:cs="Calibri"/>
          <w:sz w:val="28"/>
          <w:szCs w:val="28"/>
          <w:lang w:eastAsia="ar-SA"/>
        </w:rPr>
      </w:pPr>
    </w:p>
    <w:p w:rsidR="00286780" w:rsidRDefault="00286780" w:rsidP="00086D5D">
      <w:pPr>
        <w:spacing w:line="360" w:lineRule="auto"/>
        <w:ind w:firstLine="709"/>
        <w:jc w:val="both"/>
        <w:rPr>
          <w:rFonts w:cs="Calibri"/>
          <w:sz w:val="28"/>
          <w:szCs w:val="28"/>
          <w:lang w:eastAsia="ar-SA"/>
        </w:rPr>
      </w:pPr>
      <w:r>
        <w:rPr>
          <w:rFonts w:cs="Calibri"/>
          <w:sz w:val="28"/>
          <w:szCs w:val="28"/>
          <w:lang w:eastAsia="ar-SA"/>
        </w:rPr>
        <w:lastRenderedPageBreak/>
        <w:t xml:space="preserve">Соответствие величины определяемого признака значениям правого столбца Таблицы 67 (одонтогенный сепсис) тождественно одному баллу оценки. В последующем баллы оценки суммируются, МФОИ соответствует диапазон значений от 0 до 2 баллов, одонтогенному сепсису – диапазон значений </w:t>
      </w:r>
      <w:r>
        <w:rPr>
          <w:sz w:val="28"/>
          <w:szCs w:val="28"/>
          <w:lang w:eastAsia="ar-SA"/>
        </w:rPr>
        <w:t>≥</w:t>
      </w:r>
      <w:r>
        <w:rPr>
          <w:rFonts w:cs="Calibri"/>
          <w:sz w:val="28"/>
          <w:szCs w:val="28"/>
          <w:lang w:eastAsia="ar-SA"/>
        </w:rPr>
        <w:t xml:space="preserve"> 3 баллов.</w:t>
      </w:r>
    </w:p>
    <w:p w:rsidR="00286780" w:rsidRDefault="00286780" w:rsidP="00086D5D">
      <w:pPr>
        <w:spacing w:line="360" w:lineRule="auto"/>
        <w:ind w:firstLine="709"/>
        <w:jc w:val="both"/>
        <w:rPr>
          <w:rFonts w:cs="Calibri"/>
          <w:sz w:val="28"/>
          <w:szCs w:val="28"/>
          <w:lang w:eastAsia="ar-SA"/>
        </w:rPr>
      </w:pPr>
      <w:r>
        <w:rPr>
          <w:rFonts w:cs="Calibri"/>
          <w:sz w:val="28"/>
          <w:szCs w:val="28"/>
          <w:lang w:eastAsia="ar-SA"/>
        </w:rPr>
        <w:t>Предлагаемый диагностический алгоритм позволяет повысить эффективность диагностики одонтогенного сепсиса (Таблица 68).</w:t>
      </w:r>
    </w:p>
    <w:p w:rsidR="00286780" w:rsidRDefault="00286780" w:rsidP="00086D5D">
      <w:pPr>
        <w:spacing w:line="360" w:lineRule="auto"/>
        <w:ind w:firstLine="709"/>
        <w:jc w:val="both"/>
        <w:rPr>
          <w:rFonts w:cs="Calibri"/>
          <w:sz w:val="28"/>
          <w:szCs w:val="28"/>
          <w:lang w:eastAsia="ar-SA"/>
        </w:rPr>
      </w:pPr>
    </w:p>
    <w:p w:rsidR="00286780" w:rsidRPr="00D12570" w:rsidRDefault="00286780" w:rsidP="00D12570">
      <w:pPr>
        <w:spacing w:after="120"/>
        <w:jc w:val="both"/>
        <w:rPr>
          <w:sz w:val="28"/>
          <w:szCs w:val="28"/>
        </w:rPr>
      </w:pPr>
      <w:r w:rsidRPr="00CE6523">
        <w:rPr>
          <w:b/>
          <w:sz w:val="28"/>
          <w:szCs w:val="28"/>
        </w:rPr>
        <w:t>Таблица 6</w:t>
      </w:r>
      <w:r>
        <w:rPr>
          <w:b/>
          <w:sz w:val="28"/>
          <w:szCs w:val="28"/>
        </w:rPr>
        <w:t>8</w:t>
      </w:r>
      <w:r w:rsidRPr="00CE6523">
        <w:rPr>
          <w:sz w:val="28"/>
          <w:szCs w:val="28"/>
        </w:rPr>
        <w:t xml:space="preserve"> –</w:t>
      </w:r>
      <w:r>
        <w:rPr>
          <w:sz w:val="28"/>
          <w:szCs w:val="28"/>
        </w:rPr>
        <w:t xml:space="preserve"> Характеристики алгоритма</w:t>
      </w:r>
      <w:r w:rsidRPr="00CE6523">
        <w:rPr>
          <w:sz w:val="28"/>
          <w:szCs w:val="28"/>
        </w:rPr>
        <w:t xml:space="preserve"> диагностики одонтогенного сепсиса</w:t>
      </w:r>
      <w:r>
        <w:rPr>
          <w:sz w:val="28"/>
          <w:szCs w:val="28"/>
        </w:rPr>
        <w:t xml:space="preserve"> (2)</w:t>
      </w:r>
    </w:p>
    <w:tbl>
      <w:tblPr>
        <w:tblW w:w="9923" w:type="dxa"/>
        <w:tblLayout w:type="fixed"/>
        <w:tblLook w:val="0000" w:firstRow="0" w:lastRow="0" w:firstColumn="0" w:lastColumn="0" w:noHBand="0" w:noVBand="0"/>
      </w:tblPr>
      <w:tblGrid>
        <w:gridCol w:w="2418"/>
        <w:gridCol w:w="1422"/>
        <w:gridCol w:w="1498"/>
        <w:gridCol w:w="1494"/>
        <w:gridCol w:w="1560"/>
        <w:gridCol w:w="1531"/>
      </w:tblGrid>
      <w:tr w:rsidR="00286780" w:rsidRPr="00CE6523" w:rsidTr="006E3B88">
        <w:trPr>
          <w:trHeight w:val="227"/>
        </w:trPr>
        <w:tc>
          <w:tcPr>
            <w:tcW w:w="2418" w:type="dxa"/>
            <w:vMerge w:val="restart"/>
            <w:tcBorders>
              <w:top w:val="single" w:sz="4" w:space="0" w:color="000000"/>
              <w:left w:val="single" w:sz="4" w:space="0" w:color="000000"/>
              <w:bottom w:val="single" w:sz="4" w:space="0" w:color="000000"/>
            </w:tcBorders>
            <w:tcMar>
              <w:left w:w="28" w:type="dxa"/>
              <w:right w:w="28" w:type="dxa"/>
            </w:tcMar>
            <w:vAlign w:val="center"/>
          </w:tcPr>
          <w:p w:rsidR="00286780" w:rsidRPr="00CE6523" w:rsidRDefault="00286780" w:rsidP="006E3B88">
            <w:pPr>
              <w:snapToGrid w:val="0"/>
              <w:rPr>
                <w:rFonts w:cs="Calibri"/>
                <w:i/>
                <w:sz w:val="22"/>
                <w:szCs w:val="22"/>
                <w:lang w:eastAsia="ar-SA"/>
              </w:rPr>
            </w:pPr>
            <w:r>
              <w:rPr>
                <w:rFonts w:cs="Calibri"/>
                <w:i/>
                <w:sz w:val="22"/>
                <w:szCs w:val="22"/>
                <w:lang w:eastAsia="ar-SA"/>
              </w:rPr>
              <w:t>Показатель</w:t>
            </w:r>
          </w:p>
        </w:tc>
        <w:tc>
          <w:tcPr>
            <w:tcW w:w="7505"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E6523" w:rsidRDefault="00286780" w:rsidP="006E3B88">
            <w:pPr>
              <w:snapToGrid w:val="0"/>
              <w:jc w:val="center"/>
              <w:rPr>
                <w:rFonts w:cs="Calibri"/>
                <w:i/>
                <w:sz w:val="22"/>
                <w:szCs w:val="22"/>
                <w:lang w:eastAsia="ar-SA"/>
              </w:rPr>
            </w:pPr>
            <w:r w:rsidRPr="00CE6523">
              <w:rPr>
                <w:rFonts w:cs="Calibri"/>
                <w:i/>
                <w:sz w:val="22"/>
                <w:szCs w:val="22"/>
                <w:lang w:eastAsia="ar-SA"/>
              </w:rPr>
              <w:t>Критерии оценки</w:t>
            </w:r>
          </w:p>
        </w:tc>
      </w:tr>
      <w:tr w:rsidR="00286780" w:rsidRPr="00CE6523" w:rsidTr="006E3B88">
        <w:trPr>
          <w:trHeight w:val="227"/>
        </w:trPr>
        <w:tc>
          <w:tcPr>
            <w:tcW w:w="2418" w:type="dxa"/>
            <w:vMerge/>
            <w:tcBorders>
              <w:top w:val="single" w:sz="4" w:space="0" w:color="000000"/>
              <w:left w:val="single" w:sz="4" w:space="0" w:color="000000"/>
              <w:bottom w:val="single" w:sz="4" w:space="0" w:color="000000"/>
            </w:tcBorders>
            <w:tcMar>
              <w:left w:w="28" w:type="dxa"/>
              <w:right w:w="28" w:type="dxa"/>
            </w:tcMar>
          </w:tcPr>
          <w:p w:rsidR="00286780" w:rsidRPr="00CE6523" w:rsidRDefault="00286780" w:rsidP="006E3B88">
            <w:pPr>
              <w:snapToGrid w:val="0"/>
              <w:rPr>
                <w:rFonts w:cs="Calibri"/>
                <w:sz w:val="22"/>
                <w:szCs w:val="22"/>
                <w:lang w:eastAsia="ar-SA"/>
              </w:rPr>
            </w:pPr>
          </w:p>
        </w:tc>
        <w:tc>
          <w:tcPr>
            <w:tcW w:w="1422" w:type="dxa"/>
            <w:tcBorders>
              <w:top w:val="single" w:sz="4" w:space="0" w:color="000000"/>
              <w:left w:val="single" w:sz="4" w:space="0" w:color="000000"/>
              <w:bottom w:val="single" w:sz="4" w:space="0" w:color="000000"/>
            </w:tcBorders>
            <w:tcMar>
              <w:left w:w="28" w:type="dxa"/>
              <w:right w:w="28" w:type="dxa"/>
            </w:tcMar>
          </w:tcPr>
          <w:p w:rsidR="00286780" w:rsidRPr="00CE6523" w:rsidRDefault="00286780" w:rsidP="006E3B88">
            <w:pPr>
              <w:snapToGrid w:val="0"/>
              <w:jc w:val="center"/>
              <w:rPr>
                <w:rFonts w:cs="Calibri"/>
                <w:sz w:val="22"/>
                <w:szCs w:val="22"/>
                <w:lang w:eastAsia="ar-SA"/>
              </w:rPr>
            </w:pPr>
            <w:r w:rsidRPr="00CE6523">
              <w:rPr>
                <w:rFonts w:cs="Calibri"/>
                <w:sz w:val="22"/>
                <w:szCs w:val="22"/>
                <w:lang w:val="en-US" w:eastAsia="ar-SA"/>
              </w:rPr>
              <w:t>Se[</w:t>
            </w:r>
            <w:r w:rsidRPr="00CE6523">
              <w:rPr>
                <w:rFonts w:cs="Calibri"/>
                <w:sz w:val="22"/>
                <w:szCs w:val="22"/>
                <w:lang w:eastAsia="ar-SA"/>
              </w:rPr>
              <w:t>95% ДИ</w:t>
            </w:r>
            <w:r w:rsidRPr="00CE6523">
              <w:rPr>
                <w:rFonts w:cs="Calibri"/>
                <w:sz w:val="22"/>
                <w:szCs w:val="22"/>
                <w:lang w:val="en-US" w:eastAsia="ar-SA"/>
              </w:rPr>
              <w:t>]</w:t>
            </w:r>
            <w:r w:rsidRPr="00CE6523">
              <w:rPr>
                <w:rFonts w:cs="Calibri"/>
                <w:sz w:val="22"/>
                <w:szCs w:val="22"/>
                <w:lang w:eastAsia="ar-SA"/>
              </w:rPr>
              <w:t xml:space="preserve"> (%)</w:t>
            </w:r>
          </w:p>
        </w:tc>
        <w:tc>
          <w:tcPr>
            <w:tcW w:w="1498" w:type="dxa"/>
            <w:tcBorders>
              <w:top w:val="single" w:sz="4" w:space="0" w:color="000000"/>
              <w:left w:val="single" w:sz="4" w:space="0" w:color="000000"/>
              <w:bottom w:val="single" w:sz="4" w:space="0" w:color="000000"/>
            </w:tcBorders>
            <w:tcMar>
              <w:left w:w="28" w:type="dxa"/>
              <w:right w:w="28" w:type="dxa"/>
            </w:tcMar>
          </w:tcPr>
          <w:p w:rsidR="00286780" w:rsidRPr="00CE6523" w:rsidRDefault="00286780" w:rsidP="006E3B88">
            <w:pPr>
              <w:snapToGrid w:val="0"/>
              <w:jc w:val="center"/>
              <w:rPr>
                <w:rFonts w:cs="Calibri"/>
                <w:sz w:val="22"/>
                <w:szCs w:val="22"/>
                <w:lang w:eastAsia="ar-SA"/>
              </w:rPr>
            </w:pPr>
            <w:r w:rsidRPr="00CE6523">
              <w:rPr>
                <w:rFonts w:cs="Calibri"/>
                <w:sz w:val="22"/>
                <w:szCs w:val="22"/>
                <w:lang w:val="en-US" w:eastAsia="ar-SA"/>
              </w:rPr>
              <w:t>Sp[</w:t>
            </w:r>
            <w:r w:rsidRPr="00CE6523">
              <w:rPr>
                <w:rFonts w:cs="Calibri"/>
                <w:sz w:val="22"/>
                <w:szCs w:val="22"/>
                <w:lang w:eastAsia="ar-SA"/>
              </w:rPr>
              <w:t>95% ДИ</w:t>
            </w:r>
            <w:r w:rsidRPr="00CE6523">
              <w:rPr>
                <w:rFonts w:cs="Calibri"/>
                <w:sz w:val="22"/>
                <w:szCs w:val="22"/>
                <w:lang w:val="en-US" w:eastAsia="ar-SA"/>
              </w:rPr>
              <w:t>]</w:t>
            </w:r>
            <w:r w:rsidRPr="00CE6523">
              <w:rPr>
                <w:rFonts w:cs="Calibri"/>
                <w:sz w:val="22"/>
                <w:szCs w:val="22"/>
                <w:lang w:eastAsia="ar-SA"/>
              </w:rPr>
              <w:t xml:space="preserve"> (%)</w:t>
            </w:r>
          </w:p>
        </w:tc>
        <w:tc>
          <w:tcPr>
            <w:tcW w:w="1494" w:type="dxa"/>
            <w:tcBorders>
              <w:top w:val="single" w:sz="4" w:space="0" w:color="000000"/>
              <w:left w:val="single" w:sz="4" w:space="0" w:color="000000"/>
              <w:bottom w:val="single" w:sz="4" w:space="0" w:color="000000"/>
            </w:tcBorders>
            <w:tcMar>
              <w:left w:w="28" w:type="dxa"/>
              <w:right w:w="28" w:type="dxa"/>
            </w:tcMar>
          </w:tcPr>
          <w:p w:rsidR="00286780" w:rsidRPr="00CE6523" w:rsidRDefault="00286780" w:rsidP="006E3B88">
            <w:pPr>
              <w:snapToGrid w:val="0"/>
              <w:jc w:val="center"/>
              <w:rPr>
                <w:rFonts w:cs="Calibri"/>
                <w:sz w:val="22"/>
                <w:szCs w:val="22"/>
                <w:lang w:eastAsia="ar-SA"/>
              </w:rPr>
            </w:pPr>
            <w:r w:rsidRPr="00CE6523">
              <w:rPr>
                <w:rFonts w:cs="Calibri"/>
                <w:sz w:val="22"/>
                <w:szCs w:val="22"/>
                <w:lang w:val="en-US" w:eastAsia="ar-SA"/>
              </w:rPr>
              <w:t>Ac</w:t>
            </w:r>
            <w:r w:rsidRPr="00CE6523">
              <w:rPr>
                <w:rFonts w:cs="Calibri"/>
                <w:sz w:val="22"/>
                <w:szCs w:val="22"/>
                <w:lang w:eastAsia="ar-SA"/>
              </w:rPr>
              <w:t xml:space="preserve"> [95% ДИ]</w:t>
            </w:r>
            <w:r w:rsidRPr="00CE6523">
              <w:rPr>
                <w:rFonts w:cs="Calibri"/>
                <w:sz w:val="22"/>
                <w:szCs w:val="22"/>
                <w:lang w:eastAsia="ar-SA"/>
              </w:rPr>
              <w:br/>
              <w:t>(%)</w:t>
            </w:r>
          </w:p>
        </w:tc>
        <w:tc>
          <w:tcPr>
            <w:tcW w:w="1560" w:type="dxa"/>
            <w:tcBorders>
              <w:top w:val="single" w:sz="4" w:space="0" w:color="000000"/>
              <w:left w:val="single" w:sz="4" w:space="0" w:color="000000"/>
              <w:bottom w:val="single" w:sz="4" w:space="0" w:color="000000"/>
            </w:tcBorders>
            <w:tcMar>
              <w:left w:w="28" w:type="dxa"/>
              <w:right w:w="28" w:type="dxa"/>
            </w:tcMar>
          </w:tcPr>
          <w:p w:rsidR="00286780" w:rsidRPr="00CE6523" w:rsidRDefault="00286780" w:rsidP="006E3B88">
            <w:pPr>
              <w:snapToGrid w:val="0"/>
              <w:jc w:val="center"/>
              <w:rPr>
                <w:rFonts w:cs="Calibri"/>
                <w:sz w:val="22"/>
                <w:szCs w:val="22"/>
                <w:lang w:eastAsia="ar-SA"/>
              </w:rPr>
            </w:pPr>
            <w:r w:rsidRPr="00CE6523">
              <w:rPr>
                <w:rFonts w:cs="Calibri"/>
                <w:sz w:val="22"/>
                <w:szCs w:val="22"/>
                <w:lang w:val="en-US" w:eastAsia="ar-SA"/>
              </w:rPr>
              <w:t>PPV</w:t>
            </w:r>
            <w:r w:rsidRPr="00CE6523">
              <w:rPr>
                <w:rFonts w:cs="Calibri"/>
                <w:sz w:val="22"/>
                <w:szCs w:val="22"/>
                <w:lang w:eastAsia="ar-SA"/>
              </w:rPr>
              <w:t xml:space="preserve"> [95% ДИ] (%)</w:t>
            </w:r>
          </w:p>
        </w:tc>
        <w:tc>
          <w:tcPr>
            <w:tcW w:w="1531" w:type="dxa"/>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CE6523" w:rsidRDefault="00286780" w:rsidP="006E3B88">
            <w:pPr>
              <w:snapToGrid w:val="0"/>
              <w:jc w:val="center"/>
              <w:rPr>
                <w:rFonts w:cs="Calibri"/>
                <w:sz w:val="22"/>
                <w:szCs w:val="22"/>
                <w:lang w:eastAsia="ar-SA"/>
              </w:rPr>
            </w:pPr>
            <w:r w:rsidRPr="00CE6523">
              <w:rPr>
                <w:rFonts w:cs="Calibri"/>
                <w:sz w:val="22"/>
                <w:szCs w:val="22"/>
                <w:lang w:val="en-US" w:eastAsia="ar-SA"/>
              </w:rPr>
              <w:t>NPV</w:t>
            </w:r>
            <w:r w:rsidRPr="00CE6523">
              <w:rPr>
                <w:rFonts w:cs="Calibri"/>
                <w:sz w:val="22"/>
                <w:szCs w:val="22"/>
                <w:lang w:eastAsia="ar-SA"/>
              </w:rPr>
              <w:t xml:space="preserve"> [95% ДИ] (%)</w:t>
            </w:r>
          </w:p>
        </w:tc>
      </w:tr>
      <w:tr w:rsidR="00286780" w:rsidRPr="00CE6523" w:rsidTr="006E3B88">
        <w:trPr>
          <w:trHeight w:val="227"/>
        </w:trPr>
        <w:tc>
          <w:tcPr>
            <w:tcW w:w="2418" w:type="dxa"/>
            <w:tcBorders>
              <w:top w:val="single" w:sz="4" w:space="0" w:color="000000"/>
              <w:left w:val="single" w:sz="4" w:space="0" w:color="000000"/>
              <w:bottom w:val="single" w:sz="4" w:space="0" w:color="000000"/>
            </w:tcBorders>
            <w:tcMar>
              <w:left w:w="28" w:type="dxa"/>
              <w:right w:w="28" w:type="dxa"/>
            </w:tcMar>
          </w:tcPr>
          <w:p w:rsidR="00286780" w:rsidRPr="00CE6523" w:rsidRDefault="00286780" w:rsidP="006E3B88">
            <w:pPr>
              <w:snapToGrid w:val="0"/>
              <w:rPr>
                <w:rFonts w:cs="Calibri"/>
                <w:sz w:val="22"/>
                <w:szCs w:val="22"/>
                <w:lang w:eastAsia="ar-SA"/>
              </w:rPr>
            </w:pPr>
            <w:r>
              <w:rPr>
                <w:rFonts w:cs="Calibri"/>
                <w:sz w:val="22"/>
                <w:szCs w:val="22"/>
                <w:lang w:eastAsia="ar-SA"/>
              </w:rPr>
              <w:t>Алгоритм диагностики одонтогенного сепсиса (2)</w:t>
            </w:r>
          </w:p>
        </w:tc>
        <w:tc>
          <w:tcPr>
            <w:tcW w:w="1422" w:type="dxa"/>
            <w:tcBorders>
              <w:top w:val="single" w:sz="4" w:space="0" w:color="000000"/>
              <w:left w:val="single" w:sz="4" w:space="0" w:color="000000"/>
              <w:bottom w:val="single" w:sz="4" w:space="0" w:color="000000"/>
            </w:tcBorders>
            <w:tcMar>
              <w:left w:w="28" w:type="dxa"/>
              <w:right w:w="28" w:type="dxa"/>
            </w:tcMar>
          </w:tcPr>
          <w:p w:rsidR="00286780" w:rsidRPr="00CE6523" w:rsidRDefault="00286780" w:rsidP="006E3B88">
            <w:pPr>
              <w:snapToGrid w:val="0"/>
              <w:jc w:val="center"/>
              <w:rPr>
                <w:rFonts w:cs="Calibri"/>
                <w:sz w:val="22"/>
                <w:szCs w:val="22"/>
                <w:lang w:eastAsia="ar-SA"/>
              </w:rPr>
            </w:pPr>
            <w:r>
              <w:rPr>
                <w:rFonts w:cs="Calibri"/>
                <w:sz w:val="22"/>
                <w:szCs w:val="22"/>
                <w:lang w:eastAsia="ar-SA"/>
              </w:rPr>
              <w:t>95</w:t>
            </w:r>
            <w:r w:rsidRPr="00CE6523">
              <w:rPr>
                <w:rFonts w:cs="Calibri"/>
                <w:sz w:val="22"/>
                <w:szCs w:val="22"/>
                <w:lang w:eastAsia="ar-SA"/>
              </w:rPr>
              <w:t>,</w:t>
            </w:r>
            <w:r>
              <w:rPr>
                <w:rFonts w:cs="Calibri"/>
                <w:sz w:val="22"/>
                <w:szCs w:val="22"/>
                <w:lang w:eastAsia="ar-SA"/>
              </w:rPr>
              <w:t>45</w:t>
            </w:r>
            <w:r>
              <w:rPr>
                <w:rFonts w:cs="Calibri"/>
                <w:sz w:val="22"/>
                <w:szCs w:val="22"/>
                <w:lang w:eastAsia="ar-SA"/>
              </w:rPr>
              <w:br/>
              <w:t>[77,16; 99,88</w:t>
            </w:r>
            <w:r w:rsidRPr="00CE6523">
              <w:rPr>
                <w:rFonts w:cs="Calibri"/>
                <w:sz w:val="22"/>
                <w:szCs w:val="22"/>
                <w:lang w:eastAsia="ar-SA"/>
              </w:rPr>
              <w:t>]</w:t>
            </w:r>
          </w:p>
        </w:tc>
        <w:tc>
          <w:tcPr>
            <w:tcW w:w="1498" w:type="dxa"/>
            <w:tcBorders>
              <w:top w:val="single" w:sz="4" w:space="0" w:color="000000"/>
              <w:left w:val="single" w:sz="4" w:space="0" w:color="000000"/>
              <w:bottom w:val="single" w:sz="4" w:space="0" w:color="000000"/>
            </w:tcBorders>
            <w:tcMar>
              <w:left w:w="28" w:type="dxa"/>
              <w:right w:w="28" w:type="dxa"/>
            </w:tcMar>
          </w:tcPr>
          <w:p w:rsidR="00286780" w:rsidRPr="00CE6523" w:rsidRDefault="00286780" w:rsidP="006E3B88">
            <w:pPr>
              <w:snapToGrid w:val="0"/>
              <w:jc w:val="center"/>
              <w:rPr>
                <w:rFonts w:cs="Calibri"/>
                <w:sz w:val="22"/>
                <w:szCs w:val="22"/>
                <w:lang w:eastAsia="ar-SA"/>
              </w:rPr>
            </w:pPr>
            <w:r>
              <w:rPr>
                <w:rFonts w:cs="Calibri"/>
                <w:sz w:val="22"/>
                <w:szCs w:val="22"/>
                <w:lang w:eastAsia="ar-SA"/>
              </w:rPr>
              <w:t>100</w:t>
            </w:r>
            <w:r>
              <w:rPr>
                <w:rFonts w:cs="Calibri"/>
                <w:sz w:val="22"/>
                <w:szCs w:val="22"/>
                <w:lang w:eastAsia="ar-SA"/>
              </w:rPr>
              <w:br/>
              <w:t>[92,13; 100</w:t>
            </w:r>
            <w:r w:rsidRPr="00CE6523">
              <w:rPr>
                <w:rFonts w:cs="Calibri"/>
                <w:sz w:val="22"/>
                <w:szCs w:val="22"/>
                <w:lang w:eastAsia="ar-SA"/>
              </w:rPr>
              <w:t>]</w:t>
            </w:r>
          </w:p>
        </w:tc>
        <w:tc>
          <w:tcPr>
            <w:tcW w:w="1494" w:type="dxa"/>
            <w:tcBorders>
              <w:top w:val="single" w:sz="4" w:space="0" w:color="000000"/>
              <w:left w:val="single" w:sz="4" w:space="0" w:color="000000"/>
              <w:bottom w:val="single" w:sz="4" w:space="0" w:color="000000"/>
            </w:tcBorders>
            <w:tcMar>
              <w:left w:w="28" w:type="dxa"/>
              <w:right w:w="28" w:type="dxa"/>
            </w:tcMar>
          </w:tcPr>
          <w:p w:rsidR="00286780" w:rsidRPr="00CE6523" w:rsidRDefault="00286780" w:rsidP="006E3B88">
            <w:pPr>
              <w:snapToGrid w:val="0"/>
              <w:jc w:val="center"/>
              <w:rPr>
                <w:rFonts w:cs="Calibri"/>
                <w:sz w:val="22"/>
                <w:szCs w:val="22"/>
                <w:lang w:eastAsia="ar-SA"/>
              </w:rPr>
            </w:pPr>
            <w:r>
              <w:rPr>
                <w:rFonts w:cs="Calibri"/>
                <w:sz w:val="22"/>
                <w:szCs w:val="22"/>
                <w:lang w:eastAsia="ar-SA"/>
              </w:rPr>
              <w:t>98,51</w:t>
            </w:r>
            <w:r>
              <w:rPr>
                <w:rFonts w:cs="Calibri"/>
                <w:sz w:val="22"/>
                <w:szCs w:val="22"/>
                <w:lang w:eastAsia="ar-SA"/>
              </w:rPr>
              <w:br/>
              <w:t>[91,96; 99,96</w:t>
            </w:r>
            <w:r w:rsidRPr="00CE6523">
              <w:rPr>
                <w:rFonts w:cs="Calibri"/>
                <w:sz w:val="22"/>
                <w:szCs w:val="22"/>
                <w:lang w:eastAsia="ar-SA"/>
              </w:rPr>
              <w:t>]</w:t>
            </w:r>
          </w:p>
        </w:tc>
        <w:tc>
          <w:tcPr>
            <w:tcW w:w="1560" w:type="dxa"/>
            <w:tcBorders>
              <w:top w:val="single" w:sz="4" w:space="0" w:color="000000"/>
              <w:left w:val="single" w:sz="4" w:space="0" w:color="000000"/>
              <w:bottom w:val="single" w:sz="4" w:space="0" w:color="000000"/>
            </w:tcBorders>
            <w:tcMar>
              <w:left w:w="28" w:type="dxa"/>
              <w:right w:w="28" w:type="dxa"/>
            </w:tcMar>
          </w:tcPr>
          <w:p w:rsidR="00286780" w:rsidRPr="00CE6523" w:rsidRDefault="00286780" w:rsidP="006E3B88">
            <w:pPr>
              <w:snapToGrid w:val="0"/>
              <w:jc w:val="center"/>
              <w:rPr>
                <w:rFonts w:cs="Calibri"/>
                <w:sz w:val="22"/>
                <w:szCs w:val="22"/>
                <w:lang w:eastAsia="ar-SA"/>
              </w:rPr>
            </w:pPr>
            <w:r>
              <w:rPr>
                <w:rFonts w:cs="Calibri"/>
                <w:sz w:val="22"/>
                <w:szCs w:val="22"/>
                <w:lang w:eastAsia="ar-SA"/>
              </w:rPr>
              <w:t>100</w:t>
            </w:r>
          </w:p>
        </w:tc>
        <w:tc>
          <w:tcPr>
            <w:tcW w:w="1531" w:type="dxa"/>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CE6523" w:rsidRDefault="00286780" w:rsidP="006E3B88">
            <w:pPr>
              <w:snapToGrid w:val="0"/>
              <w:jc w:val="center"/>
              <w:rPr>
                <w:rFonts w:cs="Calibri"/>
                <w:sz w:val="22"/>
                <w:szCs w:val="22"/>
                <w:lang w:eastAsia="ar-SA"/>
              </w:rPr>
            </w:pPr>
            <w:r>
              <w:rPr>
                <w:rFonts w:cs="Calibri"/>
                <w:sz w:val="22"/>
                <w:szCs w:val="22"/>
                <w:lang w:eastAsia="ar-SA"/>
              </w:rPr>
              <w:t>97,83</w:t>
            </w:r>
            <w:r>
              <w:rPr>
                <w:rFonts w:cs="Calibri"/>
                <w:sz w:val="22"/>
                <w:szCs w:val="22"/>
                <w:lang w:eastAsia="ar-SA"/>
              </w:rPr>
              <w:br/>
              <w:t>[91,96; 99,96</w:t>
            </w:r>
            <w:r w:rsidRPr="00CE6523">
              <w:rPr>
                <w:rFonts w:cs="Calibri"/>
                <w:sz w:val="22"/>
                <w:szCs w:val="22"/>
                <w:lang w:eastAsia="ar-SA"/>
              </w:rPr>
              <w:t>]</w:t>
            </w:r>
          </w:p>
        </w:tc>
      </w:tr>
      <w:tr w:rsidR="00286780" w:rsidRPr="00CE6523" w:rsidTr="006E3B88">
        <w:trPr>
          <w:trHeight w:val="227"/>
        </w:trPr>
        <w:tc>
          <w:tcPr>
            <w:tcW w:w="9923" w:type="dxa"/>
            <w:gridSpan w:val="6"/>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CE6523" w:rsidRDefault="00286780" w:rsidP="006E3B88">
            <w:pPr>
              <w:jc w:val="both"/>
              <w:rPr>
                <w:rFonts w:cs="Calibri"/>
                <w:sz w:val="22"/>
                <w:szCs w:val="22"/>
                <w:lang w:eastAsia="ar-SA"/>
              </w:rPr>
            </w:pPr>
            <w:r w:rsidRPr="00CE6523">
              <w:rPr>
                <w:rFonts w:cs="Calibri"/>
                <w:i/>
                <w:sz w:val="22"/>
                <w:szCs w:val="22"/>
                <w:lang w:eastAsia="ar-SA"/>
              </w:rPr>
              <w:t>Примечание</w:t>
            </w:r>
            <w:r w:rsidRPr="00CE6523">
              <w:rPr>
                <w:rFonts w:cs="Calibri"/>
                <w:sz w:val="22"/>
                <w:szCs w:val="22"/>
                <w:lang w:eastAsia="ar-SA"/>
              </w:rPr>
              <w:t xml:space="preserve">. </w:t>
            </w:r>
            <w:r w:rsidRPr="00CE6523">
              <w:rPr>
                <w:rFonts w:cs="Calibri"/>
                <w:sz w:val="22"/>
                <w:szCs w:val="22"/>
                <w:lang w:val="en-US" w:eastAsia="ar-SA"/>
              </w:rPr>
              <w:t>Se</w:t>
            </w:r>
            <w:r w:rsidRPr="00CE6523">
              <w:rPr>
                <w:rFonts w:cs="Calibri"/>
                <w:sz w:val="22"/>
                <w:szCs w:val="22"/>
                <w:lang w:eastAsia="ar-SA"/>
              </w:rPr>
              <w:t xml:space="preserve"> – чувствительность, </w:t>
            </w:r>
            <w:r w:rsidRPr="00CE6523">
              <w:rPr>
                <w:rFonts w:cs="Calibri"/>
                <w:sz w:val="22"/>
                <w:szCs w:val="22"/>
                <w:lang w:val="en-US" w:eastAsia="ar-SA"/>
              </w:rPr>
              <w:t>Sp</w:t>
            </w:r>
            <w:r w:rsidRPr="00CE6523">
              <w:rPr>
                <w:rFonts w:cs="Calibri"/>
                <w:sz w:val="22"/>
                <w:szCs w:val="22"/>
                <w:lang w:eastAsia="ar-SA"/>
              </w:rPr>
              <w:t xml:space="preserve"> – специфичность, Ас – точность, </w:t>
            </w:r>
            <w:r w:rsidRPr="00CE6523">
              <w:rPr>
                <w:rFonts w:cs="Calibri"/>
                <w:sz w:val="22"/>
                <w:szCs w:val="22"/>
                <w:lang w:val="en-US" w:eastAsia="ar-SA"/>
              </w:rPr>
              <w:t>PPV</w:t>
            </w:r>
            <w:r w:rsidRPr="00CE6523">
              <w:rPr>
                <w:rFonts w:cs="Calibri"/>
                <w:sz w:val="22"/>
                <w:szCs w:val="22"/>
                <w:lang w:eastAsia="ar-SA"/>
              </w:rPr>
              <w:t xml:space="preserve"> – прогностичность положительного результата, </w:t>
            </w:r>
            <w:r w:rsidRPr="00CE6523">
              <w:rPr>
                <w:rFonts w:cs="Calibri"/>
                <w:sz w:val="22"/>
                <w:szCs w:val="22"/>
                <w:lang w:val="en-US" w:eastAsia="ar-SA"/>
              </w:rPr>
              <w:t>NPV</w:t>
            </w:r>
            <w:r w:rsidRPr="00CE6523">
              <w:rPr>
                <w:rFonts w:cs="Calibri"/>
                <w:sz w:val="22"/>
                <w:szCs w:val="22"/>
                <w:lang w:eastAsia="ar-SA"/>
              </w:rPr>
              <w:t xml:space="preserve"> – прогностичность отрицательного результата; [95% ДИ] – 95% доверительный интервал</w:t>
            </w:r>
          </w:p>
        </w:tc>
      </w:tr>
    </w:tbl>
    <w:p w:rsidR="00286780" w:rsidRDefault="00286780" w:rsidP="00086D5D">
      <w:pPr>
        <w:spacing w:line="360" w:lineRule="auto"/>
        <w:ind w:firstLine="709"/>
        <w:jc w:val="both"/>
        <w:rPr>
          <w:rFonts w:cs="Calibri"/>
          <w:sz w:val="28"/>
          <w:szCs w:val="28"/>
          <w:lang w:eastAsia="ar-SA"/>
        </w:rPr>
      </w:pPr>
    </w:p>
    <w:p w:rsidR="00286780" w:rsidRDefault="00286780" w:rsidP="00086D5D">
      <w:pPr>
        <w:spacing w:line="360" w:lineRule="auto"/>
        <w:ind w:firstLine="709"/>
        <w:jc w:val="both"/>
        <w:rPr>
          <w:rFonts w:cs="Calibri"/>
          <w:sz w:val="28"/>
          <w:szCs w:val="28"/>
          <w:lang w:eastAsia="ar-SA"/>
        </w:rPr>
      </w:pPr>
      <w:r>
        <w:rPr>
          <w:rFonts w:cs="Calibri"/>
          <w:sz w:val="28"/>
          <w:szCs w:val="28"/>
          <w:lang w:eastAsia="ar-SA"/>
        </w:rPr>
        <w:t>Основным отличием данного алгоритма (2) от алгоритма диагностики одонтогенного сепсиса, разработанного ранее (1), является методика разработки - дискриминантный анализ.</w:t>
      </w:r>
    </w:p>
    <w:p w:rsidR="00286780" w:rsidRDefault="00286780" w:rsidP="00086D5D">
      <w:pPr>
        <w:spacing w:line="360" w:lineRule="auto"/>
        <w:ind w:firstLine="709"/>
        <w:jc w:val="both"/>
        <w:rPr>
          <w:rFonts w:cs="Calibri"/>
          <w:sz w:val="28"/>
          <w:szCs w:val="28"/>
          <w:lang w:eastAsia="ar-SA"/>
        </w:rPr>
      </w:pPr>
      <w:r>
        <w:rPr>
          <w:rFonts w:cs="Calibri"/>
          <w:sz w:val="28"/>
          <w:szCs w:val="28"/>
          <w:lang w:eastAsia="ar-SA"/>
        </w:rPr>
        <w:t>Таким образом, разработаны: алгорим ранней диагностики одонтогенного сепсиса, алгоримы диагностики одонтогенного сепсиса (1 и 2), характеризующиеся высокими значениями показателей эффективности.</w:t>
      </w:r>
    </w:p>
    <w:p w:rsidR="00286780" w:rsidRPr="00086D5D" w:rsidRDefault="00286780" w:rsidP="00086D5D">
      <w:pPr>
        <w:spacing w:line="360" w:lineRule="auto"/>
        <w:ind w:firstLine="709"/>
        <w:jc w:val="both"/>
        <w:rPr>
          <w:rFonts w:cs="Calibri"/>
          <w:sz w:val="28"/>
          <w:szCs w:val="28"/>
          <w:lang w:eastAsia="ar-SA"/>
        </w:rPr>
      </w:pPr>
    </w:p>
    <w:p w:rsidR="00286780" w:rsidRPr="00FD18C9" w:rsidRDefault="00286780" w:rsidP="00FD18C9">
      <w:pPr>
        <w:pStyle w:val="20"/>
        <w:spacing w:line="360" w:lineRule="auto"/>
        <w:jc w:val="both"/>
      </w:pPr>
      <w:bookmarkStart w:id="29" w:name="_Toc67905711"/>
      <w:r>
        <w:t>5.</w:t>
      </w:r>
      <w:r w:rsidRPr="00CE6523">
        <w:t>4. Программа комплексного многокомпонентного лечения больных с хирургическими осложнениями одонтогенной инфекции при наличии полиорганной фоновой патологии и синдрома взаимного отягощения</w:t>
      </w:r>
      <w:bookmarkEnd w:id="29"/>
    </w:p>
    <w:p w:rsidR="00286780" w:rsidRPr="00CE6523" w:rsidRDefault="00286780" w:rsidP="00FD18C9">
      <w:pPr>
        <w:spacing w:line="360" w:lineRule="auto"/>
        <w:ind w:firstLine="709"/>
        <w:jc w:val="both"/>
        <w:rPr>
          <w:rFonts w:cs="Calibri"/>
          <w:sz w:val="28"/>
          <w:szCs w:val="28"/>
          <w:lang w:eastAsia="ar-SA"/>
        </w:rPr>
      </w:pPr>
      <w:r w:rsidRPr="00CE6523">
        <w:rPr>
          <w:rFonts w:cs="Calibri"/>
          <w:sz w:val="28"/>
          <w:szCs w:val="28"/>
          <w:lang w:eastAsia="ar-SA"/>
        </w:rPr>
        <w:t>Лечение пациентов с хирургическими осложнениями острой одонтогенной инфекции, в том числе при наличии фоновых полиорганных полиморбидных заболеваний, должно основываться на достижениях современной медицины, быть многокомпонентным, комплексным, и осуществляться в кратчайшие сроки госпитализации.</w:t>
      </w:r>
    </w:p>
    <w:p w:rsidR="00286780" w:rsidRPr="00CE6523" w:rsidRDefault="00286780" w:rsidP="00CE6523">
      <w:pPr>
        <w:spacing w:line="360" w:lineRule="auto"/>
        <w:ind w:firstLine="709"/>
        <w:jc w:val="both"/>
        <w:rPr>
          <w:rFonts w:cs="Calibri"/>
          <w:sz w:val="28"/>
          <w:szCs w:val="28"/>
          <w:lang w:eastAsia="ar-SA"/>
        </w:rPr>
      </w:pPr>
      <w:r w:rsidRPr="00CE6523">
        <w:rPr>
          <w:rFonts w:cs="Calibri"/>
          <w:sz w:val="28"/>
          <w:szCs w:val="28"/>
          <w:lang w:eastAsia="ar-SA"/>
        </w:rPr>
        <w:lastRenderedPageBreak/>
        <w:t>В настоящее время разработаны новые подходы к лечению пациентов с тяжелыми формами хирургической инфекции, учитывающие принципы доказател</w:t>
      </w:r>
      <w:r>
        <w:rPr>
          <w:rFonts w:cs="Calibri"/>
          <w:sz w:val="28"/>
          <w:szCs w:val="28"/>
          <w:lang w:eastAsia="ar-SA"/>
        </w:rPr>
        <w:t xml:space="preserve">ьной медицины </w:t>
      </w:r>
      <w:r w:rsidRPr="002F4D23">
        <w:rPr>
          <w:rFonts w:cs="Calibri"/>
          <w:sz w:val="28"/>
          <w:szCs w:val="28"/>
          <w:lang w:eastAsia="ar-SA"/>
        </w:rPr>
        <w:t>(</w:t>
      </w:r>
      <w:r>
        <w:rPr>
          <w:rFonts w:cs="Calibri"/>
          <w:sz w:val="28"/>
          <w:szCs w:val="28"/>
          <w:lang w:eastAsia="ar-SA"/>
        </w:rPr>
        <w:t>Rhodes A. et al., 2017</w:t>
      </w:r>
      <w:r w:rsidRPr="002F4D23">
        <w:rPr>
          <w:rFonts w:cs="Calibri"/>
          <w:sz w:val="28"/>
          <w:szCs w:val="28"/>
          <w:lang w:eastAsia="ar-SA"/>
        </w:rPr>
        <w:t>)</w:t>
      </w:r>
      <w:r w:rsidRPr="00CE6523">
        <w:rPr>
          <w:rFonts w:cs="Calibri"/>
          <w:sz w:val="28"/>
          <w:szCs w:val="28"/>
          <w:lang w:eastAsia="ar-SA"/>
        </w:rPr>
        <w:t>. Сформулированы требования к предоперационной коррекции сахарного диабета, ишемической болезни сердца, артериальной гипертонии и ряда других фоновых заболеваний в общехирургической прак</w:t>
      </w:r>
      <w:r>
        <w:rPr>
          <w:rFonts w:cs="Calibri"/>
          <w:sz w:val="28"/>
          <w:szCs w:val="28"/>
          <w:lang w:eastAsia="ar-SA"/>
        </w:rPr>
        <w:t xml:space="preserve">тике </w:t>
      </w:r>
      <w:r w:rsidRPr="002F4D23">
        <w:rPr>
          <w:rFonts w:cs="Calibri"/>
          <w:sz w:val="28"/>
          <w:szCs w:val="28"/>
          <w:lang w:eastAsia="ar-SA"/>
        </w:rPr>
        <w:t>(</w:t>
      </w:r>
      <w:r>
        <w:rPr>
          <w:rFonts w:cs="Calibri"/>
          <w:sz w:val="28"/>
          <w:szCs w:val="28"/>
          <w:lang w:eastAsia="ar-SA"/>
        </w:rPr>
        <w:t>Заболотских И.</w:t>
      </w:r>
      <w:r w:rsidRPr="00CE6523">
        <w:rPr>
          <w:rFonts w:cs="Calibri"/>
          <w:sz w:val="28"/>
          <w:szCs w:val="28"/>
          <w:lang w:eastAsia="ar-SA"/>
        </w:rPr>
        <w:t xml:space="preserve">Б. </w:t>
      </w:r>
      <w:r>
        <w:rPr>
          <w:rFonts w:cs="Calibri"/>
          <w:sz w:val="28"/>
          <w:szCs w:val="28"/>
          <w:lang w:eastAsia="ar-SA"/>
        </w:rPr>
        <w:t>и др., 2015, 2013; Брико Н.И. и др., 2018; Дедов И.И. и др., 2019</w:t>
      </w:r>
      <w:r w:rsidRPr="002F4D23">
        <w:rPr>
          <w:rFonts w:cs="Calibri"/>
          <w:sz w:val="28"/>
          <w:szCs w:val="28"/>
          <w:lang w:eastAsia="ar-SA"/>
        </w:rPr>
        <w:t>)</w:t>
      </w:r>
      <w:r w:rsidRPr="00CE6523">
        <w:rPr>
          <w:rFonts w:cs="Calibri"/>
          <w:sz w:val="28"/>
          <w:szCs w:val="28"/>
          <w:lang w:eastAsia="ar-SA"/>
        </w:rPr>
        <w:t>.</w:t>
      </w:r>
    </w:p>
    <w:p w:rsidR="00286780" w:rsidRPr="00CE6523" w:rsidRDefault="00286780" w:rsidP="00CE6523">
      <w:pPr>
        <w:spacing w:line="360" w:lineRule="auto"/>
        <w:ind w:firstLine="709"/>
        <w:jc w:val="both"/>
        <w:rPr>
          <w:rFonts w:cs="Calibri"/>
          <w:sz w:val="28"/>
          <w:szCs w:val="28"/>
          <w:lang w:eastAsia="ar-SA"/>
        </w:rPr>
      </w:pPr>
      <w:r w:rsidRPr="00CE6523">
        <w:rPr>
          <w:rFonts w:cs="Calibri"/>
          <w:sz w:val="28"/>
          <w:szCs w:val="28"/>
          <w:lang w:eastAsia="ar-SA"/>
        </w:rPr>
        <w:t>Данные рекомендации в полной мере должны найти свое применение в условиях челюстно-лицевого стационара.</w:t>
      </w:r>
    </w:p>
    <w:p w:rsidR="00286780" w:rsidRPr="00CE6523" w:rsidRDefault="00286780" w:rsidP="00CE6523">
      <w:pPr>
        <w:spacing w:line="360" w:lineRule="auto"/>
        <w:ind w:firstLine="709"/>
        <w:jc w:val="both"/>
        <w:rPr>
          <w:rFonts w:cs="Calibri"/>
          <w:sz w:val="28"/>
          <w:szCs w:val="28"/>
          <w:lang w:eastAsia="ar-SA"/>
        </w:rPr>
      </w:pPr>
      <w:r w:rsidRPr="00CE6523">
        <w:rPr>
          <w:rFonts w:cs="Calibri"/>
          <w:sz w:val="28"/>
          <w:szCs w:val="28"/>
          <w:lang w:eastAsia="ar-SA"/>
        </w:rPr>
        <w:t>Комплексное многокомпонентное лечение пациентов с МФОИ и ОС может быть реализовано в виде программы, включающей предоперационную подготовку, оперативное лечение, рациональную антибиотикотерапию, коррекцию показателей гомеостаза, терапию фоновых заболеваний внутренних органов. Особое внимание должно уделяться коррекции полиорганной полиморбидной фоновой патологии, отягощающей течение одонтогенного воспалительного процесса.</w:t>
      </w:r>
    </w:p>
    <w:p w:rsidR="00286780" w:rsidRDefault="00286780" w:rsidP="004A0CF0">
      <w:pPr>
        <w:jc w:val="both"/>
        <w:rPr>
          <w:sz w:val="28"/>
          <w:szCs w:val="28"/>
          <w:lang w:eastAsia="en-US"/>
        </w:rPr>
      </w:pPr>
    </w:p>
    <w:p w:rsidR="00286780" w:rsidRDefault="00286780" w:rsidP="00FD18C9">
      <w:pPr>
        <w:pStyle w:val="31"/>
        <w:spacing w:line="360" w:lineRule="auto"/>
        <w:jc w:val="both"/>
      </w:pPr>
      <w:bookmarkStart w:id="30" w:name="_Toc67905712"/>
      <w:r w:rsidRPr="00CE6523">
        <w:t>Предоперационная подготовка</w:t>
      </w:r>
      <w:bookmarkEnd w:id="30"/>
    </w:p>
    <w:p w:rsidR="00286780" w:rsidRPr="00CE6523" w:rsidRDefault="00286780" w:rsidP="00FD18C9">
      <w:pPr>
        <w:spacing w:line="360" w:lineRule="auto"/>
        <w:ind w:firstLine="709"/>
        <w:jc w:val="both"/>
        <w:rPr>
          <w:rFonts w:cs="Calibri"/>
          <w:sz w:val="28"/>
          <w:szCs w:val="28"/>
          <w:lang w:eastAsia="ar-SA"/>
        </w:rPr>
      </w:pPr>
      <w:r w:rsidRPr="00CE6523">
        <w:rPr>
          <w:rFonts w:cs="Calibri"/>
          <w:sz w:val="28"/>
          <w:szCs w:val="28"/>
          <w:lang w:eastAsia="ar-SA"/>
        </w:rPr>
        <w:t>Предоперационная подготовка у пациентов с хирургическими осложнениями острой одонтогенной инфекции, в том числе при наличии фоновой полиорганной патологии и синдрома взаимного отягощения, направлена на предупреждение осложнений и стабилизацию функционирования основных систем жизнедеятельности (дыхательной, сердечно-сосудистой и т. д.) во время операции и в раннем послеоперационном периоде.</w:t>
      </w:r>
    </w:p>
    <w:p w:rsidR="00286780" w:rsidRPr="00CE6523" w:rsidRDefault="00286780" w:rsidP="00CE6523">
      <w:pPr>
        <w:spacing w:line="360" w:lineRule="auto"/>
        <w:ind w:firstLine="709"/>
        <w:jc w:val="both"/>
        <w:rPr>
          <w:rFonts w:cs="Calibri"/>
          <w:sz w:val="28"/>
          <w:szCs w:val="28"/>
          <w:lang w:eastAsia="ar-SA"/>
        </w:rPr>
      </w:pPr>
      <w:r w:rsidRPr="00CE6523">
        <w:rPr>
          <w:rFonts w:cs="Calibri"/>
          <w:sz w:val="28"/>
          <w:szCs w:val="28"/>
          <w:lang w:eastAsia="ar-SA"/>
        </w:rPr>
        <w:t>Объем предоперационной подготовки изменяется в зависимости от формы инфекционно-воспалительного процесса (местная форма одонтогенной инфекции или одонтогенный сепсис), наличия и характера органной недостаточности (дисфункция дыхательной, сердечно-сосудистой, центральной нервной или мочевыделительной систем), фактора гиповолемии и интоксикации, степени декомпенсации или наличия обострения фоновой соматической патологии.</w:t>
      </w:r>
    </w:p>
    <w:p w:rsidR="00286780" w:rsidRPr="00CE6523" w:rsidRDefault="00286780" w:rsidP="00CE6523">
      <w:pPr>
        <w:spacing w:line="360" w:lineRule="auto"/>
        <w:ind w:firstLine="709"/>
        <w:jc w:val="both"/>
        <w:rPr>
          <w:rFonts w:cs="Calibri"/>
          <w:sz w:val="28"/>
          <w:szCs w:val="28"/>
          <w:lang w:eastAsia="ar-SA"/>
        </w:rPr>
      </w:pPr>
      <w:r w:rsidRPr="00CE6523">
        <w:rPr>
          <w:rFonts w:cs="Calibri"/>
          <w:sz w:val="28"/>
          <w:szCs w:val="28"/>
          <w:lang w:eastAsia="ar-SA"/>
        </w:rPr>
        <w:lastRenderedPageBreak/>
        <w:t>Предоперационная подготовка должна быть кратковременной и осуществляется в подготовительном предоперационном периоде в течение первых 2–3 часов пребывания пациента в хирургическом стационаре.</w:t>
      </w:r>
    </w:p>
    <w:p w:rsidR="00286780" w:rsidRPr="00CE6523" w:rsidRDefault="00286780" w:rsidP="00CE6523">
      <w:pPr>
        <w:spacing w:line="360" w:lineRule="auto"/>
        <w:ind w:firstLine="709"/>
        <w:jc w:val="both"/>
        <w:rPr>
          <w:rFonts w:cs="Calibri"/>
          <w:sz w:val="28"/>
          <w:szCs w:val="28"/>
          <w:lang w:eastAsia="ar-SA"/>
        </w:rPr>
      </w:pPr>
      <w:r w:rsidRPr="00CE6523">
        <w:rPr>
          <w:rFonts w:cs="Calibri"/>
          <w:sz w:val="28"/>
          <w:szCs w:val="28"/>
          <w:lang w:eastAsia="ar-SA"/>
        </w:rPr>
        <w:t>В отдельных случаях (диабетические комы, гипертонический криз, обострение бронхиальной астмы или ХОБЛ, иные неотложные состояния) предоперационная подготовка выполняется в течение длительного периода времени (5–6 часов и более), необходимого для купирования текущего острого патологического процесса. По экстренным показаниям возможно проведение неотложной трахеостомии в связи с острой дыхательной недостаточностью, или остановка острого кровотечения.</w:t>
      </w:r>
    </w:p>
    <w:p w:rsidR="00286780" w:rsidRPr="00CE6523" w:rsidRDefault="00286780" w:rsidP="00CE6523">
      <w:pPr>
        <w:spacing w:line="360" w:lineRule="auto"/>
        <w:ind w:firstLine="709"/>
        <w:jc w:val="both"/>
        <w:rPr>
          <w:rFonts w:cs="Calibri"/>
          <w:sz w:val="28"/>
          <w:szCs w:val="28"/>
          <w:lang w:eastAsia="ar-SA"/>
        </w:rPr>
      </w:pPr>
      <w:r w:rsidRPr="00CE6523">
        <w:rPr>
          <w:rFonts w:cs="Calibri"/>
          <w:sz w:val="28"/>
          <w:szCs w:val="28"/>
          <w:lang w:eastAsia="ar-SA"/>
        </w:rPr>
        <w:t>Рассмотрим отдельные варианты предоперационной подготовки у пациентов с хирургическими осложнениями острой одонтогенной инфекции.</w:t>
      </w:r>
    </w:p>
    <w:p w:rsidR="00286780" w:rsidRPr="00CE6523" w:rsidRDefault="00286780" w:rsidP="00CE6523">
      <w:pPr>
        <w:spacing w:line="360" w:lineRule="auto"/>
        <w:ind w:firstLine="709"/>
        <w:jc w:val="both"/>
        <w:rPr>
          <w:rFonts w:cs="Calibri"/>
          <w:sz w:val="28"/>
          <w:szCs w:val="28"/>
          <w:lang w:eastAsia="ar-SA"/>
        </w:rPr>
      </w:pPr>
      <w:r w:rsidRPr="00CE6523">
        <w:rPr>
          <w:rFonts w:cs="Calibri"/>
          <w:sz w:val="28"/>
          <w:szCs w:val="28"/>
          <w:lang w:eastAsia="ar-SA"/>
        </w:rPr>
        <w:t>Предоперационная подготовка у пациентов с МФОИ (органная или полиорганная недостаточность отсутствует) и ОС (органная недостаточность определяется) включает несколько составляющих: устранение гиповолемии, анемии, электролитных нарушений по показаниям, обезболивание, проведение антибиотикотерапии, коррекция хронической соматической патологии, инотропная, вазопрессорная и респираторная поддержка при необходимости. Предоперационная подготовка пациентов с МФОИ осуществляется, как правило, в условиях профильного отделения; при наличии ОС – в условиях отделения реанимации и интенсивной терапии.</w:t>
      </w:r>
    </w:p>
    <w:p w:rsidR="00286780" w:rsidRPr="007C2959" w:rsidRDefault="00286780" w:rsidP="00CE6523">
      <w:pPr>
        <w:spacing w:line="360" w:lineRule="auto"/>
        <w:ind w:firstLine="709"/>
        <w:jc w:val="both"/>
        <w:rPr>
          <w:rFonts w:cs="Calibri"/>
          <w:spacing w:val="-2"/>
          <w:sz w:val="28"/>
          <w:szCs w:val="28"/>
          <w:lang w:eastAsia="ar-SA"/>
        </w:rPr>
      </w:pPr>
      <w:r w:rsidRPr="007C2959">
        <w:rPr>
          <w:rFonts w:cs="Calibri"/>
          <w:spacing w:val="-2"/>
          <w:sz w:val="28"/>
          <w:szCs w:val="28"/>
          <w:lang w:eastAsia="ar-SA"/>
        </w:rPr>
        <w:t xml:space="preserve">Основным методом устранения гиповолемии является проведение инфузионной терапии под контролем основных показателей гемодинамики (артериальное давление, частота сердечных сокращений, центральное венозное давление), диуреза, электрокардиограммы, </w:t>
      </w:r>
      <w:r w:rsidRPr="007C2959">
        <w:rPr>
          <w:rFonts w:cs="Calibri"/>
          <w:spacing w:val="-2"/>
          <w:sz w:val="28"/>
          <w:szCs w:val="28"/>
          <w:lang w:val="en-US" w:eastAsia="ar-SA"/>
        </w:rPr>
        <w:t>SpO</w:t>
      </w:r>
      <w:r w:rsidRPr="007C2959">
        <w:rPr>
          <w:rFonts w:cs="Calibri"/>
          <w:spacing w:val="-2"/>
          <w:sz w:val="28"/>
          <w:szCs w:val="28"/>
          <w:vertAlign w:val="subscript"/>
          <w:lang w:eastAsia="ar-SA"/>
        </w:rPr>
        <w:t>2</w:t>
      </w:r>
      <w:r w:rsidRPr="007C2959">
        <w:rPr>
          <w:rFonts w:cs="Calibri"/>
          <w:spacing w:val="-2"/>
          <w:sz w:val="28"/>
          <w:szCs w:val="28"/>
          <w:lang w:eastAsia="ar-SA"/>
        </w:rPr>
        <w:t xml:space="preserve">, уровней гемоглобина и гематокрита, содержания электролитов в сочетании с осмотром кожных покровов и слизистых оболочек, ногтевых лож, языка, наполнения периферических капилляров </w:t>
      </w:r>
      <w:r>
        <w:rPr>
          <w:rFonts w:cs="Calibri"/>
          <w:spacing w:val="-2"/>
          <w:sz w:val="28"/>
          <w:szCs w:val="28"/>
          <w:lang w:eastAsia="ar-SA"/>
        </w:rPr>
        <w:t xml:space="preserve">и вен </w:t>
      </w:r>
      <w:r w:rsidRPr="002F4D23">
        <w:rPr>
          <w:rFonts w:cs="Calibri"/>
          <w:spacing w:val="-2"/>
          <w:sz w:val="28"/>
          <w:szCs w:val="28"/>
          <w:lang w:eastAsia="ar-SA"/>
        </w:rPr>
        <w:t>(</w:t>
      </w:r>
      <w:r>
        <w:rPr>
          <w:rFonts w:cs="Calibri"/>
          <w:spacing w:val="-2"/>
          <w:sz w:val="28"/>
          <w:szCs w:val="28"/>
          <w:lang w:eastAsia="ar-SA"/>
        </w:rPr>
        <w:t>Жданов Г.Г., Зильбер А.П., 2007</w:t>
      </w:r>
      <w:r w:rsidRPr="002F4D23">
        <w:rPr>
          <w:rFonts w:cs="Calibri"/>
          <w:spacing w:val="-2"/>
          <w:sz w:val="28"/>
          <w:szCs w:val="28"/>
          <w:lang w:eastAsia="ar-SA"/>
        </w:rPr>
        <w:t>)</w:t>
      </w:r>
      <w:r w:rsidRPr="007C2959">
        <w:rPr>
          <w:rFonts w:cs="Calibri"/>
          <w:spacing w:val="-2"/>
          <w:sz w:val="28"/>
          <w:szCs w:val="28"/>
          <w:lang w:eastAsia="ar-SA"/>
        </w:rPr>
        <w:t>. При наличии МФОИ выполняется инфузия кристаллоидных растворов (изотонический, раствор Рингера, Рингера лактат, стереофундин, ионостерил и др.) как правило, в объеме около 20 мл/кг веса больного. В случае диагно</w:t>
      </w:r>
      <w:r w:rsidRPr="007C2959">
        <w:rPr>
          <w:rFonts w:cs="Calibri"/>
          <w:spacing w:val="-2"/>
          <w:sz w:val="28"/>
          <w:szCs w:val="28"/>
          <w:lang w:eastAsia="ar-SA"/>
        </w:rPr>
        <w:lastRenderedPageBreak/>
        <w:t xml:space="preserve">стики ОС лечение должно быть начато как можно раньше, но не позднее первого часа госпитализации. Объем необходимой инфузии у пациентов с ОС составляет не менее 30 мл/кг под контролем показателей гемодинамики, диуреза и др., а также с учетом наличия фоновой патологии </w:t>
      </w:r>
      <w:r w:rsidRPr="002F4D23">
        <w:rPr>
          <w:rFonts w:cs="Calibri"/>
          <w:spacing w:val="-2"/>
          <w:sz w:val="28"/>
          <w:szCs w:val="28"/>
          <w:lang w:eastAsia="ar-SA"/>
        </w:rPr>
        <w:t>(</w:t>
      </w:r>
      <w:r w:rsidRPr="007C2959">
        <w:rPr>
          <w:rFonts w:cs="Calibri"/>
          <w:spacing w:val="-2"/>
          <w:sz w:val="28"/>
          <w:szCs w:val="28"/>
          <w:shd w:val="clear" w:color="auto" w:fill="FFFFFF"/>
          <w:lang w:val="en-US" w:eastAsia="ar-SA"/>
        </w:rPr>
        <w:t>Rhodes</w:t>
      </w:r>
      <w:r>
        <w:rPr>
          <w:rFonts w:cs="Calibri"/>
          <w:spacing w:val="-2"/>
          <w:sz w:val="28"/>
          <w:szCs w:val="28"/>
          <w:shd w:val="clear" w:color="auto" w:fill="FFFFFF"/>
          <w:lang w:eastAsia="ar-SA"/>
        </w:rPr>
        <w:t xml:space="preserve"> </w:t>
      </w:r>
      <w:r w:rsidRPr="007C2959">
        <w:rPr>
          <w:rFonts w:cs="Calibri"/>
          <w:spacing w:val="-2"/>
          <w:sz w:val="28"/>
          <w:szCs w:val="28"/>
          <w:shd w:val="clear" w:color="auto" w:fill="FFFFFF"/>
          <w:lang w:val="en-US" w:eastAsia="ar-SA"/>
        </w:rPr>
        <w:t>A</w:t>
      </w:r>
      <w:r w:rsidRPr="007C2959">
        <w:rPr>
          <w:rFonts w:cs="Calibri"/>
          <w:spacing w:val="-2"/>
          <w:sz w:val="28"/>
          <w:szCs w:val="28"/>
          <w:shd w:val="clear" w:color="auto" w:fill="FFFFFF"/>
          <w:lang w:eastAsia="ar-SA"/>
        </w:rPr>
        <w:t xml:space="preserve">. </w:t>
      </w:r>
      <w:r w:rsidRPr="007C2959">
        <w:rPr>
          <w:rFonts w:cs="Calibri"/>
          <w:spacing w:val="-2"/>
          <w:sz w:val="28"/>
          <w:szCs w:val="28"/>
          <w:shd w:val="clear" w:color="auto" w:fill="FFFFFF"/>
          <w:lang w:val="en-US" w:eastAsia="ar-SA"/>
        </w:rPr>
        <w:t>et</w:t>
      </w:r>
      <w:r>
        <w:rPr>
          <w:rFonts w:cs="Calibri"/>
          <w:spacing w:val="-2"/>
          <w:sz w:val="28"/>
          <w:szCs w:val="28"/>
          <w:shd w:val="clear" w:color="auto" w:fill="FFFFFF"/>
          <w:lang w:eastAsia="ar-SA"/>
        </w:rPr>
        <w:t xml:space="preserve"> </w:t>
      </w:r>
      <w:r w:rsidRPr="007C2959">
        <w:rPr>
          <w:rFonts w:cs="Calibri"/>
          <w:spacing w:val="-2"/>
          <w:sz w:val="28"/>
          <w:szCs w:val="28"/>
          <w:shd w:val="clear" w:color="auto" w:fill="FFFFFF"/>
          <w:lang w:val="en-US" w:eastAsia="ar-SA"/>
        </w:rPr>
        <w:t>al</w:t>
      </w:r>
      <w:r w:rsidRPr="007C2959">
        <w:rPr>
          <w:rFonts w:cs="Calibri"/>
          <w:spacing w:val="-2"/>
          <w:sz w:val="28"/>
          <w:szCs w:val="28"/>
          <w:shd w:val="clear" w:color="auto" w:fill="FFFFFF"/>
          <w:lang w:eastAsia="ar-SA"/>
        </w:rPr>
        <w:t>., 2017</w:t>
      </w:r>
      <w:r w:rsidRPr="002F4D23">
        <w:rPr>
          <w:rFonts w:cs="Calibri"/>
          <w:spacing w:val="-2"/>
          <w:sz w:val="28"/>
          <w:szCs w:val="28"/>
          <w:lang w:eastAsia="ar-SA"/>
        </w:rPr>
        <w:t>)</w:t>
      </w:r>
      <w:r w:rsidRPr="007C2959">
        <w:rPr>
          <w:rFonts w:cs="Calibri"/>
          <w:spacing w:val="-2"/>
          <w:sz w:val="28"/>
          <w:szCs w:val="28"/>
          <w:lang w:eastAsia="ar-SA"/>
        </w:rPr>
        <w:t>.</w:t>
      </w:r>
    </w:p>
    <w:p w:rsidR="00286780" w:rsidRPr="00CE6523" w:rsidRDefault="00286780" w:rsidP="00CE6523">
      <w:pPr>
        <w:spacing w:line="360" w:lineRule="auto"/>
        <w:ind w:firstLine="709"/>
        <w:jc w:val="both"/>
        <w:rPr>
          <w:rFonts w:cs="Calibri"/>
          <w:sz w:val="28"/>
          <w:szCs w:val="28"/>
          <w:lang w:eastAsia="ar-SA"/>
        </w:rPr>
      </w:pPr>
      <w:r w:rsidRPr="00CE6523">
        <w:rPr>
          <w:rFonts w:cs="Calibri"/>
          <w:sz w:val="28"/>
          <w:szCs w:val="28"/>
          <w:lang w:eastAsia="ar-SA"/>
        </w:rPr>
        <w:t xml:space="preserve">Для проведения инфузионной терапии у пациентов с МФОИ, в том числе при наличии хронических соматических заболеваний, </w:t>
      </w:r>
      <w:r w:rsidRPr="00CE6523">
        <w:rPr>
          <w:rFonts w:cs="Calibri"/>
          <w:i/>
          <w:sz w:val="28"/>
          <w:szCs w:val="28"/>
          <w:lang w:eastAsia="ar-SA"/>
        </w:rPr>
        <w:t>целесообразно</w:t>
      </w:r>
      <w:r w:rsidRPr="00CE6523">
        <w:rPr>
          <w:rFonts w:cs="Calibri"/>
          <w:sz w:val="28"/>
          <w:szCs w:val="28"/>
          <w:lang w:eastAsia="ar-SA"/>
        </w:rPr>
        <w:t xml:space="preserve">, а при наличии ОС </w:t>
      </w:r>
      <w:r w:rsidRPr="00CE6523">
        <w:rPr>
          <w:rFonts w:cs="Calibri"/>
          <w:i/>
          <w:sz w:val="28"/>
          <w:szCs w:val="28"/>
          <w:lang w:eastAsia="ar-SA"/>
        </w:rPr>
        <w:t>необходимо</w:t>
      </w:r>
      <w:r w:rsidRPr="00CE6523">
        <w:rPr>
          <w:rFonts w:cs="Calibri"/>
          <w:sz w:val="28"/>
          <w:szCs w:val="28"/>
          <w:lang w:eastAsia="ar-SA"/>
        </w:rPr>
        <w:t xml:space="preserve"> привлечение в качестве консультанта анестезиолога-реаниматолога и профильных специалистов (терапевта, кардиолога, пульмонолога, нефролога, уролога и др.). По показаниям, определяемым реаниматологом, возможно использование вазопрессоров, респираторной поддержки (в том числе ИВЛ), стимуляции диуреза и иных мероприятий интенсивной терапии (коррекция анемии, плазмогемотрансфузия и др.).</w:t>
      </w:r>
    </w:p>
    <w:p w:rsidR="00286780" w:rsidRPr="00CE6523" w:rsidRDefault="00286780" w:rsidP="00CE6523">
      <w:pPr>
        <w:spacing w:line="360" w:lineRule="auto"/>
        <w:ind w:firstLine="709"/>
        <w:jc w:val="both"/>
        <w:rPr>
          <w:rFonts w:cs="Calibri"/>
          <w:sz w:val="28"/>
          <w:szCs w:val="28"/>
          <w:lang w:eastAsia="ar-SA"/>
        </w:rPr>
      </w:pPr>
      <w:r w:rsidRPr="00CE6523">
        <w:rPr>
          <w:rFonts w:cs="Calibri"/>
          <w:sz w:val="28"/>
          <w:szCs w:val="28"/>
          <w:lang w:eastAsia="ar-SA"/>
        </w:rPr>
        <w:t xml:space="preserve">В предоперационном периоде у пациентов с МФОИ осуществляется эмпирическая антибиотикотерапия комбинациями препаратов: ингибиторзащищенными пенициллинами (амоксициллин/клавуланат, ампициллин/сульбактам), цефалоспоринами </w:t>
      </w:r>
      <w:r w:rsidRPr="00CE6523">
        <w:rPr>
          <w:rFonts w:cs="Calibri"/>
          <w:sz w:val="28"/>
          <w:szCs w:val="28"/>
          <w:lang w:val="en-US" w:eastAsia="ar-SA"/>
        </w:rPr>
        <w:t>I</w:t>
      </w:r>
      <w:r w:rsidRPr="00CE6523">
        <w:rPr>
          <w:rFonts w:cs="Calibri"/>
          <w:sz w:val="28"/>
          <w:szCs w:val="28"/>
          <w:lang w:eastAsia="ar-SA"/>
        </w:rPr>
        <w:t>–</w:t>
      </w:r>
      <w:r w:rsidRPr="00CE6523">
        <w:rPr>
          <w:rFonts w:cs="Calibri"/>
          <w:sz w:val="28"/>
          <w:szCs w:val="28"/>
          <w:lang w:val="en-US" w:eastAsia="ar-SA"/>
        </w:rPr>
        <w:t>III</w:t>
      </w:r>
      <w:r w:rsidRPr="00CE6523">
        <w:rPr>
          <w:rFonts w:cs="Calibri"/>
          <w:sz w:val="28"/>
          <w:szCs w:val="28"/>
          <w:lang w:eastAsia="ar-SA"/>
        </w:rPr>
        <w:t xml:space="preserve"> поколений (в том числе цефазолином), фторхинолонами </w:t>
      </w:r>
      <w:r w:rsidRPr="00CE6523">
        <w:rPr>
          <w:rFonts w:cs="Calibri"/>
          <w:sz w:val="28"/>
          <w:szCs w:val="28"/>
          <w:lang w:val="en-US" w:eastAsia="ar-SA"/>
        </w:rPr>
        <w:t>II</w:t>
      </w:r>
      <w:r w:rsidRPr="00CE6523">
        <w:rPr>
          <w:rFonts w:cs="Calibri"/>
          <w:sz w:val="28"/>
          <w:szCs w:val="28"/>
          <w:lang w:eastAsia="ar-SA"/>
        </w:rPr>
        <w:t>-</w:t>
      </w:r>
      <w:r w:rsidRPr="00CE6523">
        <w:rPr>
          <w:rFonts w:cs="Calibri"/>
          <w:sz w:val="28"/>
          <w:szCs w:val="28"/>
          <w:lang w:val="en-US" w:eastAsia="ar-SA"/>
        </w:rPr>
        <w:t>III</w:t>
      </w:r>
      <w:r w:rsidRPr="00CE6523">
        <w:rPr>
          <w:rFonts w:cs="Calibri"/>
          <w:sz w:val="28"/>
          <w:szCs w:val="28"/>
          <w:lang w:eastAsia="ar-SA"/>
        </w:rPr>
        <w:t xml:space="preserve"> поколений (ципрофлоксацин, офлоксацин, левофлоксацин) в сочетании с метрогилом/клиндамицином. </w:t>
      </w:r>
    </w:p>
    <w:p w:rsidR="00286780" w:rsidRPr="00CE6523" w:rsidRDefault="00286780" w:rsidP="00CE6523">
      <w:pPr>
        <w:spacing w:line="360" w:lineRule="auto"/>
        <w:ind w:firstLine="709"/>
        <w:jc w:val="both"/>
        <w:rPr>
          <w:rFonts w:cs="Calibri"/>
          <w:sz w:val="28"/>
          <w:szCs w:val="28"/>
          <w:lang w:eastAsia="ar-SA"/>
        </w:rPr>
      </w:pPr>
      <w:r w:rsidRPr="00CE6523">
        <w:rPr>
          <w:rFonts w:cs="Calibri"/>
          <w:sz w:val="28"/>
          <w:szCs w:val="28"/>
          <w:lang w:eastAsia="ar-SA"/>
        </w:rPr>
        <w:t xml:space="preserve">Учитывая, как правило, внебольничный характер развития одонтогенной инфекции, предоперационная и последующая эмпирическая антибактериальная терапия у пациентов с ОС может включать ингибиторзащищенные пенициллины (амоксициллин/клавуланат, ампициллин/сульбактам и др.), цефалоспорины </w:t>
      </w:r>
      <w:r w:rsidRPr="00CE6523">
        <w:rPr>
          <w:rFonts w:cs="Calibri"/>
          <w:sz w:val="28"/>
          <w:szCs w:val="28"/>
          <w:lang w:val="en-US" w:eastAsia="ar-SA"/>
        </w:rPr>
        <w:t>III</w:t>
      </w:r>
      <w:r w:rsidRPr="00CE6523">
        <w:rPr>
          <w:rFonts w:cs="Calibri"/>
          <w:sz w:val="28"/>
          <w:szCs w:val="28"/>
          <w:lang w:eastAsia="ar-SA"/>
        </w:rPr>
        <w:t xml:space="preserve"> (антистрептококковые – цефтриаксон, цефотаксим, с антисинегнойной активностью – цефтазидим, цефоперазон, в т. ч. ингибиторзащищенные), цефалоспорины </w:t>
      </w:r>
      <w:r w:rsidRPr="00CE6523">
        <w:rPr>
          <w:rFonts w:cs="Calibri"/>
          <w:sz w:val="28"/>
          <w:szCs w:val="28"/>
          <w:lang w:val="en-US" w:eastAsia="ar-SA"/>
        </w:rPr>
        <w:t>IV</w:t>
      </w:r>
      <w:r w:rsidRPr="00CE6523">
        <w:rPr>
          <w:rFonts w:cs="Calibri"/>
          <w:sz w:val="28"/>
          <w:szCs w:val="28"/>
          <w:lang w:eastAsia="ar-SA"/>
        </w:rPr>
        <w:t xml:space="preserve"> поколения, фторхинолоны </w:t>
      </w:r>
      <w:r w:rsidRPr="00CE6523">
        <w:rPr>
          <w:rFonts w:cs="Calibri"/>
          <w:sz w:val="28"/>
          <w:szCs w:val="28"/>
          <w:lang w:val="en-US" w:eastAsia="ar-SA"/>
        </w:rPr>
        <w:t>II</w:t>
      </w:r>
      <w:r>
        <w:rPr>
          <w:rFonts w:cs="Calibri"/>
          <w:sz w:val="28"/>
          <w:szCs w:val="28"/>
          <w:lang w:eastAsia="ar-SA"/>
        </w:rPr>
        <w:t>–</w:t>
      </w:r>
      <w:r w:rsidRPr="00CE6523">
        <w:rPr>
          <w:rFonts w:cs="Calibri"/>
          <w:sz w:val="28"/>
          <w:szCs w:val="28"/>
          <w:lang w:val="en-US" w:eastAsia="ar-SA"/>
        </w:rPr>
        <w:t>IV</w:t>
      </w:r>
      <w:r w:rsidRPr="00CE6523">
        <w:rPr>
          <w:rFonts w:cs="Calibri"/>
          <w:sz w:val="28"/>
          <w:szCs w:val="28"/>
          <w:lang w:eastAsia="ar-SA"/>
        </w:rPr>
        <w:t xml:space="preserve"> поколений (ципрофлоксацин, офлоксацин, левофлоксацин, моксифлоксацин) в сочетании с метрогилом/клиндамицином. Возможно использование карбапенемов (эртапенем, меропенем), в том числе в комбинации с ванкомицином/линезолидом (при возможном наличии метициллин-резистентного </w:t>
      </w:r>
      <w:r w:rsidRPr="00CE6523">
        <w:rPr>
          <w:rFonts w:cs="Calibri"/>
          <w:sz w:val="28"/>
          <w:szCs w:val="28"/>
          <w:lang w:val="en-US" w:eastAsia="ar-SA"/>
        </w:rPr>
        <w:t>S</w:t>
      </w:r>
      <w:r w:rsidRPr="00CE6523">
        <w:rPr>
          <w:rFonts w:cs="Calibri"/>
          <w:sz w:val="28"/>
          <w:szCs w:val="28"/>
          <w:lang w:eastAsia="ar-SA"/>
        </w:rPr>
        <w:t xml:space="preserve">. </w:t>
      </w:r>
      <w:r w:rsidRPr="00CE6523">
        <w:rPr>
          <w:rFonts w:cs="Calibri"/>
          <w:sz w:val="28"/>
          <w:szCs w:val="28"/>
          <w:lang w:val="en-US" w:eastAsia="ar-SA"/>
        </w:rPr>
        <w:t>aureus</w:t>
      </w:r>
      <w:r w:rsidRPr="00CE6523">
        <w:rPr>
          <w:rFonts w:cs="Calibri"/>
          <w:sz w:val="28"/>
          <w:szCs w:val="28"/>
          <w:lang w:eastAsia="ar-SA"/>
        </w:rPr>
        <w:t xml:space="preserve">, например, при предшествующем лечении антибиотиками широкого спектра действия), тигециклина, фтрорхинолона </w:t>
      </w:r>
      <w:r w:rsidRPr="00CE6523">
        <w:rPr>
          <w:rFonts w:cs="Calibri"/>
          <w:sz w:val="28"/>
          <w:szCs w:val="28"/>
          <w:lang w:val="en-US" w:eastAsia="ar-SA"/>
        </w:rPr>
        <w:t>IV</w:t>
      </w:r>
      <w:r w:rsidRPr="00CE6523">
        <w:rPr>
          <w:rFonts w:cs="Calibri"/>
          <w:sz w:val="28"/>
          <w:szCs w:val="28"/>
          <w:lang w:eastAsia="ar-SA"/>
        </w:rPr>
        <w:t xml:space="preserve"> поколения </w:t>
      </w:r>
      <w:r w:rsidRPr="00CE6523">
        <w:rPr>
          <w:rFonts w:cs="Calibri"/>
          <w:sz w:val="28"/>
          <w:szCs w:val="28"/>
          <w:lang w:eastAsia="ar-SA"/>
        </w:rPr>
        <w:lastRenderedPageBreak/>
        <w:t>моксифлоксацина. При наличии почечно-печеночной недостаточности следует учитывать токсическое действие препаратов (линкосамиды, ванкомицин) с заменой лекарственного средства или коррекцией дозировки.</w:t>
      </w:r>
    </w:p>
    <w:p w:rsidR="00286780" w:rsidRPr="007C2959" w:rsidRDefault="00286780" w:rsidP="00CE6523">
      <w:pPr>
        <w:spacing w:line="360" w:lineRule="auto"/>
        <w:ind w:firstLine="709"/>
        <w:jc w:val="both"/>
        <w:rPr>
          <w:rFonts w:cs="Calibri"/>
          <w:spacing w:val="-4"/>
          <w:sz w:val="28"/>
          <w:szCs w:val="28"/>
          <w:lang w:eastAsia="ar-SA"/>
        </w:rPr>
      </w:pPr>
      <w:r w:rsidRPr="007C2959">
        <w:rPr>
          <w:rFonts w:cs="Calibri"/>
          <w:spacing w:val="-4"/>
          <w:sz w:val="28"/>
          <w:szCs w:val="28"/>
          <w:lang w:eastAsia="ar-SA"/>
        </w:rPr>
        <w:t>Особое внимание следует уделять контролю значений предоперационной (периоперационной) гликемии, в том числе при наличии сахарного диабета. Уровень периоперационной гликемии у пациентов с МФОИ и ОС необходимо корригировать инсулинами короткого действия в интервале 6,1–10 ммоль/л. Не следует допускать периоперационной гиперглик</w:t>
      </w:r>
      <w:r>
        <w:rPr>
          <w:rFonts w:cs="Calibri"/>
          <w:spacing w:val="-4"/>
          <w:sz w:val="28"/>
          <w:szCs w:val="28"/>
          <w:lang w:eastAsia="ar-SA"/>
        </w:rPr>
        <w:t xml:space="preserve">емии более 12 ммоль/л </w:t>
      </w:r>
      <w:r w:rsidRPr="002F4D23">
        <w:rPr>
          <w:rFonts w:cs="Calibri"/>
          <w:spacing w:val="-4"/>
          <w:sz w:val="28"/>
          <w:szCs w:val="28"/>
          <w:lang w:eastAsia="ar-SA"/>
        </w:rPr>
        <w:t>(</w:t>
      </w:r>
      <w:r>
        <w:rPr>
          <w:rFonts w:cs="Calibri"/>
          <w:spacing w:val="-4"/>
          <w:sz w:val="28"/>
          <w:szCs w:val="28"/>
          <w:lang w:eastAsia="ar-SA"/>
        </w:rPr>
        <w:t>Дедов И.И. и др., 2019</w:t>
      </w:r>
      <w:r w:rsidRPr="002F4D23">
        <w:rPr>
          <w:rFonts w:cs="Calibri"/>
          <w:spacing w:val="-4"/>
          <w:sz w:val="28"/>
          <w:szCs w:val="28"/>
          <w:lang w:eastAsia="ar-SA"/>
        </w:rPr>
        <w:t>)</w:t>
      </w:r>
      <w:r w:rsidRPr="007C2959">
        <w:rPr>
          <w:rFonts w:cs="Calibri"/>
          <w:spacing w:val="-4"/>
          <w:sz w:val="28"/>
          <w:szCs w:val="28"/>
          <w:lang w:eastAsia="ar-SA"/>
        </w:rPr>
        <w:t>.</w:t>
      </w:r>
    </w:p>
    <w:p w:rsidR="00286780" w:rsidRDefault="00286780" w:rsidP="00CE6523">
      <w:pPr>
        <w:spacing w:line="360" w:lineRule="auto"/>
        <w:ind w:firstLine="709"/>
        <w:jc w:val="both"/>
        <w:rPr>
          <w:rFonts w:cs="Calibri"/>
          <w:sz w:val="28"/>
          <w:szCs w:val="28"/>
          <w:lang w:eastAsia="ar-SA"/>
        </w:rPr>
      </w:pPr>
      <w:r w:rsidRPr="00CE6523">
        <w:rPr>
          <w:rFonts w:cs="Calibri"/>
          <w:sz w:val="28"/>
          <w:szCs w:val="28"/>
          <w:lang w:eastAsia="ar-SA"/>
        </w:rPr>
        <w:t>Варианты предоперационной подготовки пациентов с МФОИ и ОС пред</w:t>
      </w:r>
      <w:r>
        <w:rPr>
          <w:rFonts w:cs="Calibri"/>
          <w:sz w:val="28"/>
          <w:szCs w:val="28"/>
          <w:lang w:eastAsia="ar-SA"/>
        </w:rPr>
        <w:t>ставлены в Таблице 69</w:t>
      </w:r>
      <w:r w:rsidRPr="00CE6523">
        <w:rPr>
          <w:rFonts w:cs="Calibri"/>
          <w:sz w:val="28"/>
          <w:szCs w:val="28"/>
          <w:lang w:eastAsia="ar-SA"/>
        </w:rPr>
        <w:t>.</w:t>
      </w:r>
    </w:p>
    <w:p w:rsidR="00286780" w:rsidRPr="00CE6523" w:rsidRDefault="00286780" w:rsidP="00CE6523">
      <w:pPr>
        <w:jc w:val="both"/>
        <w:rPr>
          <w:rFonts w:cs="Calibri"/>
          <w:sz w:val="28"/>
          <w:szCs w:val="28"/>
          <w:lang w:eastAsia="ar-SA"/>
        </w:rPr>
      </w:pPr>
    </w:p>
    <w:p w:rsidR="00286780" w:rsidRPr="00CE6523" w:rsidRDefault="00286780" w:rsidP="00CE6523">
      <w:pPr>
        <w:spacing w:after="120"/>
        <w:jc w:val="both"/>
        <w:rPr>
          <w:sz w:val="28"/>
          <w:szCs w:val="28"/>
        </w:rPr>
      </w:pPr>
      <w:r w:rsidRPr="00CE6523">
        <w:rPr>
          <w:b/>
          <w:sz w:val="28"/>
          <w:szCs w:val="28"/>
        </w:rPr>
        <w:t>Таблица 6</w:t>
      </w:r>
      <w:r>
        <w:rPr>
          <w:b/>
          <w:sz w:val="28"/>
          <w:szCs w:val="28"/>
        </w:rPr>
        <w:t>9</w:t>
      </w:r>
      <w:r w:rsidRPr="00CE6523">
        <w:rPr>
          <w:sz w:val="28"/>
          <w:szCs w:val="28"/>
        </w:rPr>
        <w:t xml:space="preserve"> – Предоперационная подготовка пациентов с МФОИ и ОС (основная группа)</w:t>
      </w:r>
    </w:p>
    <w:tbl>
      <w:tblPr>
        <w:tblW w:w="9923" w:type="dxa"/>
        <w:tblLayout w:type="fixed"/>
        <w:tblLook w:val="0000" w:firstRow="0" w:lastRow="0" w:firstColumn="0" w:lastColumn="0" w:noHBand="0" w:noVBand="0"/>
      </w:tblPr>
      <w:tblGrid>
        <w:gridCol w:w="435"/>
        <w:gridCol w:w="6256"/>
        <w:gridCol w:w="1701"/>
        <w:gridCol w:w="1531"/>
      </w:tblGrid>
      <w:tr w:rsidR="00286780" w:rsidRPr="00CE6523" w:rsidTr="00894E8F">
        <w:trPr>
          <w:trHeight w:val="227"/>
        </w:trPr>
        <w:tc>
          <w:tcPr>
            <w:tcW w:w="6691" w:type="dxa"/>
            <w:gridSpan w:val="2"/>
            <w:vMerge w:val="restart"/>
            <w:tcBorders>
              <w:top w:val="single" w:sz="4" w:space="0" w:color="000000"/>
              <w:left w:val="single" w:sz="4" w:space="0" w:color="000000"/>
              <w:bottom w:val="single" w:sz="4" w:space="0" w:color="000000"/>
            </w:tcBorders>
            <w:tcMar>
              <w:left w:w="28" w:type="dxa"/>
              <w:right w:w="28" w:type="dxa"/>
            </w:tcMar>
            <w:vAlign w:val="center"/>
          </w:tcPr>
          <w:p w:rsidR="00286780" w:rsidRPr="00CE6523" w:rsidRDefault="00286780" w:rsidP="00CE6523">
            <w:pPr>
              <w:snapToGrid w:val="0"/>
              <w:jc w:val="center"/>
              <w:rPr>
                <w:rFonts w:cs="Calibri"/>
                <w:i/>
                <w:sz w:val="24"/>
                <w:szCs w:val="24"/>
                <w:lang w:eastAsia="ar-SA"/>
              </w:rPr>
            </w:pPr>
            <w:r w:rsidRPr="00CE6523">
              <w:rPr>
                <w:rFonts w:cs="Calibri"/>
                <w:i/>
                <w:sz w:val="24"/>
                <w:szCs w:val="24"/>
                <w:lang w:eastAsia="ar-SA"/>
              </w:rPr>
              <w:t>Компоненты предоперационной подготовки</w:t>
            </w:r>
          </w:p>
        </w:tc>
        <w:tc>
          <w:tcPr>
            <w:tcW w:w="3232"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E6523" w:rsidRDefault="00286780" w:rsidP="00CE6523">
            <w:pPr>
              <w:snapToGrid w:val="0"/>
              <w:jc w:val="center"/>
              <w:rPr>
                <w:rFonts w:cs="Calibri"/>
                <w:i/>
                <w:sz w:val="24"/>
                <w:szCs w:val="24"/>
                <w:lang w:val="en-US" w:eastAsia="ar-SA"/>
              </w:rPr>
            </w:pPr>
            <w:r w:rsidRPr="00CE6523">
              <w:rPr>
                <w:rFonts w:cs="Calibri"/>
                <w:i/>
                <w:sz w:val="24"/>
                <w:szCs w:val="24"/>
                <w:lang w:eastAsia="ar-SA"/>
              </w:rPr>
              <w:t>Основная группа (</w:t>
            </w:r>
            <w:r>
              <w:rPr>
                <w:rFonts w:cs="Calibri"/>
                <w:i/>
                <w:sz w:val="24"/>
                <w:szCs w:val="24"/>
                <w:lang w:val="en-US" w:eastAsia="ar-SA"/>
              </w:rPr>
              <w:t>n=</w:t>
            </w:r>
            <w:r>
              <w:rPr>
                <w:rFonts w:cs="Calibri"/>
                <w:i/>
                <w:sz w:val="24"/>
                <w:szCs w:val="24"/>
                <w:lang w:eastAsia="ar-SA"/>
              </w:rPr>
              <w:t>40</w:t>
            </w:r>
            <w:r w:rsidRPr="00CE6523">
              <w:rPr>
                <w:rFonts w:cs="Calibri"/>
                <w:i/>
                <w:sz w:val="24"/>
                <w:szCs w:val="24"/>
                <w:lang w:val="en-US" w:eastAsia="ar-SA"/>
              </w:rPr>
              <w:t>)</w:t>
            </w:r>
          </w:p>
        </w:tc>
      </w:tr>
      <w:tr w:rsidR="00286780" w:rsidRPr="00CE6523" w:rsidTr="00894E8F">
        <w:trPr>
          <w:trHeight w:val="227"/>
        </w:trPr>
        <w:tc>
          <w:tcPr>
            <w:tcW w:w="6691" w:type="dxa"/>
            <w:gridSpan w:val="2"/>
            <w:vMerge/>
            <w:tcBorders>
              <w:top w:val="single" w:sz="4" w:space="0" w:color="000000"/>
              <w:left w:val="single" w:sz="4" w:space="0" w:color="000000"/>
              <w:bottom w:val="single" w:sz="4" w:space="0" w:color="000000"/>
            </w:tcBorders>
            <w:tcMar>
              <w:left w:w="28" w:type="dxa"/>
              <w:right w:w="28" w:type="dxa"/>
            </w:tcMar>
          </w:tcPr>
          <w:p w:rsidR="00286780" w:rsidRPr="00CE6523" w:rsidRDefault="00286780" w:rsidP="00CE6523">
            <w:pPr>
              <w:snapToGrid w:val="0"/>
              <w:jc w:val="center"/>
              <w:rPr>
                <w:rFonts w:cs="Calibri"/>
                <w:sz w:val="24"/>
                <w:szCs w:val="24"/>
                <w:lang w:eastAsia="ar-SA"/>
              </w:rPr>
            </w:pPr>
          </w:p>
        </w:tc>
        <w:tc>
          <w:tcPr>
            <w:tcW w:w="1701" w:type="dxa"/>
            <w:tcBorders>
              <w:top w:val="single" w:sz="4" w:space="0" w:color="000000"/>
              <w:left w:val="single" w:sz="4" w:space="0" w:color="000000"/>
              <w:bottom w:val="single" w:sz="4" w:space="0" w:color="000000"/>
            </w:tcBorders>
            <w:tcMar>
              <w:left w:w="28" w:type="dxa"/>
              <w:right w:w="28" w:type="dxa"/>
            </w:tcMar>
            <w:vAlign w:val="center"/>
          </w:tcPr>
          <w:p w:rsidR="00286780" w:rsidRPr="00CE6523" w:rsidRDefault="00286780" w:rsidP="00CE6523">
            <w:pPr>
              <w:snapToGrid w:val="0"/>
              <w:jc w:val="center"/>
              <w:rPr>
                <w:rFonts w:cs="Calibri"/>
                <w:sz w:val="24"/>
                <w:szCs w:val="24"/>
                <w:lang w:eastAsia="ar-SA"/>
              </w:rPr>
            </w:pPr>
            <w:r w:rsidRPr="00CE6523">
              <w:rPr>
                <w:rFonts w:cs="Calibri"/>
                <w:sz w:val="24"/>
                <w:szCs w:val="24"/>
                <w:lang w:eastAsia="ar-SA"/>
              </w:rPr>
              <w:t>МФОИ (</w:t>
            </w:r>
            <w:r w:rsidRPr="00CE6523">
              <w:rPr>
                <w:rFonts w:cs="Calibri"/>
                <w:sz w:val="24"/>
                <w:szCs w:val="24"/>
                <w:lang w:val="en-US" w:eastAsia="ar-SA"/>
              </w:rPr>
              <w:t>n</w:t>
            </w:r>
            <w:r>
              <w:rPr>
                <w:rFonts w:cs="Calibri"/>
                <w:sz w:val="24"/>
                <w:szCs w:val="24"/>
                <w:lang w:eastAsia="ar-SA"/>
              </w:rPr>
              <w:t>=31</w:t>
            </w:r>
            <w:r w:rsidRPr="00CE6523">
              <w:rPr>
                <w:rFonts w:cs="Calibri"/>
                <w:sz w:val="24"/>
                <w:szCs w:val="24"/>
                <w:lang w:eastAsia="ar-SA"/>
              </w:rPr>
              <w:t>)</w:t>
            </w:r>
          </w:p>
          <w:p w:rsidR="00286780" w:rsidRPr="00CE6523" w:rsidRDefault="00286780" w:rsidP="00CE6523">
            <w:pPr>
              <w:jc w:val="center"/>
              <w:rPr>
                <w:rFonts w:cs="Calibri"/>
                <w:sz w:val="24"/>
                <w:szCs w:val="24"/>
                <w:lang w:eastAsia="ar-SA"/>
              </w:rPr>
            </w:pPr>
            <w:r w:rsidRPr="00CE6523">
              <w:rPr>
                <w:rFonts w:cs="Calibri"/>
                <w:sz w:val="24"/>
                <w:szCs w:val="24"/>
                <w:lang w:eastAsia="ar-SA"/>
              </w:rPr>
              <w:t>абс. значение</w:t>
            </w:r>
          </w:p>
        </w:tc>
        <w:tc>
          <w:tcPr>
            <w:tcW w:w="153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E6523" w:rsidRDefault="00286780" w:rsidP="00CE6523">
            <w:pPr>
              <w:snapToGrid w:val="0"/>
              <w:jc w:val="center"/>
              <w:rPr>
                <w:rFonts w:cs="Calibri"/>
                <w:sz w:val="24"/>
                <w:szCs w:val="24"/>
                <w:lang w:eastAsia="ar-SA"/>
              </w:rPr>
            </w:pPr>
            <w:r w:rsidRPr="00CE6523">
              <w:rPr>
                <w:rFonts w:cs="Calibri"/>
                <w:sz w:val="24"/>
                <w:szCs w:val="24"/>
                <w:lang w:eastAsia="ar-SA"/>
              </w:rPr>
              <w:t>ОС (</w:t>
            </w:r>
            <w:r w:rsidRPr="00CE6523">
              <w:rPr>
                <w:rFonts w:cs="Calibri"/>
                <w:sz w:val="24"/>
                <w:szCs w:val="24"/>
                <w:lang w:val="en-US" w:eastAsia="ar-SA"/>
              </w:rPr>
              <w:t>n</w:t>
            </w:r>
            <w:r>
              <w:rPr>
                <w:rFonts w:cs="Calibri"/>
                <w:sz w:val="24"/>
                <w:szCs w:val="24"/>
                <w:lang w:eastAsia="ar-SA"/>
              </w:rPr>
              <w:t>=9</w:t>
            </w:r>
            <w:r w:rsidRPr="00CE6523">
              <w:rPr>
                <w:rFonts w:cs="Calibri"/>
                <w:sz w:val="24"/>
                <w:szCs w:val="24"/>
                <w:lang w:eastAsia="ar-SA"/>
              </w:rPr>
              <w:t>)</w:t>
            </w:r>
          </w:p>
          <w:p w:rsidR="00286780" w:rsidRPr="00CE6523" w:rsidRDefault="00286780" w:rsidP="00CE6523">
            <w:pPr>
              <w:jc w:val="center"/>
              <w:rPr>
                <w:rFonts w:cs="Calibri"/>
                <w:sz w:val="24"/>
                <w:szCs w:val="24"/>
                <w:lang w:eastAsia="ar-SA"/>
              </w:rPr>
            </w:pPr>
            <w:r w:rsidRPr="00CE6523">
              <w:rPr>
                <w:rFonts w:cs="Calibri"/>
                <w:sz w:val="24"/>
                <w:szCs w:val="24"/>
                <w:lang w:eastAsia="ar-SA"/>
              </w:rPr>
              <w:t>абс. значение</w:t>
            </w:r>
          </w:p>
        </w:tc>
      </w:tr>
      <w:tr w:rsidR="00286780" w:rsidRPr="00CE6523" w:rsidTr="00894E8F">
        <w:trPr>
          <w:trHeight w:val="454"/>
        </w:trPr>
        <w:tc>
          <w:tcPr>
            <w:tcW w:w="9923" w:type="dxa"/>
            <w:gridSpan w:val="4"/>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E6523" w:rsidRDefault="00286780" w:rsidP="00CE6523">
            <w:pPr>
              <w:snapToGrid w:val="0"/>
              <w:rPr>
                <w:rFonts w:cs="Calibri"/>
                <w:sz w:val="24"/>
                <w:szCs w:val="24"/>
                <w:lang w:eastAsia="ar-SA"/>
              </w:rPr>
            </w:pPr>
            <w:r w:rsidRPr="00CE6523">
              <w:rPr>
                <w:rFonts w:cs="Calibri"/>
                <w:sz w:val="24"/>
                <w:szCs w:val="24"/>
                <w:lang w:eastAsia="ar-SA"/>
              </w:rPr>
              <w:t xml:space="preserve">Антибиотикотерапия </w:t>
            </w:r>
          </w:p>
        </w:tc>
      </w:tr>
      <w:tr w:rsidR="00286780" w:rsidRPr="00CE6523" w:rsidTr="00894E8F">
        <w:trPr>
          <w:trHeight w:val="454"/>
        </w:trPr>
        <w:tc>
          <w:tcPr>
            <w:tcW w:w="435" w:type="dxa"/>
            <w:vMerge w:val="restart"/>
            <w:tcBorders>
              <w:top w:val="single" w:sz="4" w:space="0" w:color="000000"/>
              <w:left w:val="single" w:sz="4" w:space="0" w:color="000000"/>
            </w:tcBorders>
            <w:tcMar>
              <w:left w:w="28" w:type="dxa"/>
              <w:right w:w="28" w:type="dxa"/>
            </w:tcMar>
            <w:vAlign w:val="center"/>
          </w:tcPr>
          <w:p w:rsidR="00286780" w:rsidRPr="00CE6523" w:rsidRDefault="00286780" w:rsidP="00CE6523">
            <w:pPr>
              <w:snapToGrid w:val="0"/>
              <w:rPr>
                <w:rFonts w:cs="Calibri"/>
                <w:sz w:val="24"/>
                <w:szCs w:val="24"/>
                <w:lang w:eastAsia="ar-SA"/>
              </w:rPr>
            </w:pPr>
          </w:p>
        </w:tc>
        <w:tc>
          <w:tcPr>
            <w:tcW w:w="6256" w:type="dxa"/>
            <w:tcBorders>
              <w:top w:val="single" w:sz="4" w:space="0" w:color="000000"/>
              <w:left w:val="single" w:sz="4" w:space="0" w:color="000000"/>
              <w:bottom w:val="single" w:sz="4" w:space="0" w:color="000000"/>
            </w:tcBorders>
            <w:tcMar>
              <w:left w:w="28" w:type="dxa"/>
              <w:right w:w="28" w:type="dxa"/>
            </w:tcMar>
            <w:vAlign w:val="center"/>
          </w:tcPr>
          <w:p w:rsidR="00286780" w:rsidRPr="00CE6523" w:rsidRDefault="00286780" w:rsidP="00CE6523">
            <w:pPr>
              <w:snapToGrid w:val="0"/>
              <w:rPr>
                <w:rFonts w:cs="Calibri"/>
                <w:sz w:val="24"/>
                <w:szCs w:val="24"/>
                <w:lang w:eastAsia="ar-SA"/>
              </w:rPr>
            </w:pPr>
            <w:r w:rsidRPr="00CE6523">
              <w:rPr>
                <w:rFonts w:cs="Calibri"/>
                <w:sz w:val="24"/>
                <w:szCs w:val="24"/>
                <w:lang w:eastAsia="ar-SA"/>
              </w:rPr>
              <w:t xml:space="preserve">цефалоспорины </w:t>
            </w:r>
            <w:r w:rsidRPr="00CE6523">
              <w:rPr>
                <w:rFonts w:cs="Calibri"/>
                <w:sz w:val="24"/>
                <w:szCs w:val="24"/>
                <w:lang w:val="en-US" w:eastAsia="ar-SA"/>
              </w:rPr>
              <w:t>III</w:t>
            </w:r>
            <w:r w:rsidRPr="00CE6523">
              <w:rPr>
                <w:rFonts w:cs="Calibri"/>
                <w:sz w:val="24"/>
                <w:szCs w:val="24"/>
                <w:lang w:eastAsia="ar-SA"/>
              </w:rPr>
              <w:t xml:space="preserve"> поколения (цефотаксим, цефтриаксон) и метронидазол (метрогил)</w:t>
            </w:r>
          </w:p>
        </w:tc>
        <w:tc>
          <w:tcPr>
            <w:tcW w:w="1701" w:type="dxa"/>
            <w:tcBorders>
              <w:top w:val="single" w:sz="4" w:space="0" w:color="000000"/>
              <w:left w:val="single" w:sz="4" w:space="0" w:color="000000"/>
              <w:bottom w:val="single" w:sz="4" w:space="0" w:color="000000"/>
            </w:tcBorders>
            <w:tcMar>
              <w:left w:w="28" w:type="dxa"/>
              <w:right w:w="28" w:type="dxa"/>
            </w:tcMar>
            <w:vAlign w:val="center"/>
          </w:tcPr>
          <w:p w:rsidR="00286780" w:rsidRPr="00CE6523" w:rsidRDefault="00286780" w:rsidP="00CE6523">
            <w:pPr>
              <w:snapToGrid w:val="0"/>
              <w:jc w:val="center"/>
              <w:rPr>
                <w:rFonts w:cs="Calibri"/>
                <w:sz w:val="24"/>
                <w:szCs w:val="24"/>
                <w:lang w:eastAsia="ar-SA"/>
              </w:rPr>
            </w:pPr>
            <w:r>
              <w:rPr>
                <w:rFonts w:cs="Calibri"/>
                <w:sz w:val="24"/>
                <w:szCs w:val="24"/>
                <w:lang w:eastAsia="ar-SA"/>
              </w:rPr>
              <w:t>19</w:t>
            </w:r>
          </w:p>
        </w:tc>
        <w:tc>
          <w:tcPr>
            <w:tcW w:w="153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E6523" w:rsidRDefault="00286780" w:rsidP="00CE6523">
            <w:pPr>
              <w:snapToGrid w:val="0"/>
              <w:jc w:val="center"/>
              <w:rPr>
                <w:rFonts w:cs="Calibri"/>
                <w:sz w:val="24"/>
                <w:szCs w:val="24"/>
                <w:lang w:eastAsia="ar-SA"/>
              </w:rPr>
            </w:pPr>
            <w:r>
              <w:rPr>
                <w:rFonts w:cs="Calibri"/>
                <w:sz w:val="24"/>
                <w:szCs w:val="24"/>
                <w:lang w:eastAsia="ar-SA"/>
              </w:rPr>
              <w:t>6</w:t>
            </w:r>
          </w:p>
        </w:tc>
      </w:tr>
      <w:tr w:rsidR="00286780" w:rsidRPr="00CE6523" w:rsidTr="00894E8F">
        <w:trPr>
          <w:trHeight w:val="454"/>
        </w:trPr>
        <w:tc>
          <w:tcPr>
            <w:tcW w:w="435" w:type="dxa"/>
            <w:vMerge/>
            <w:tcBorders>
              <w:left w:val="single" w:sz="4" w:space="0" w:color="000000"/>
            </w:tcBorders>
            <w:tcMar>
              <w:left w:w="28" w:type="dxa"/>
              <w:right w:w="28" w:type="dxa"/>
            </w:tcMar>
            <w:vAlign w:val="center"/>
          </w:tcPr>
          <w:p w:rsidR="00286780" w:rsidRPr="00CE6523" w:rsidRDefault="00286780" w:rsidP="00CE6523">
            <w:pPr>
              <w:snapToGrid w:val="0"/>
              <w:rPr>
                <w:rFonts w:cs="Calibri"/>
                <w:sz w:val="24"/>
                <w:szCs w:val="24"/>
                <w:lang w:eastAsia="ar-SA"/>
              </w:rPr>
            </w:pPr>
          </w:p>
        </w:tc>
        <w:tc>
          <w:tcPr>
            <w:tcW w:w="6256" w:type="dxa"/>
            <w:tcBorders>
              <w:top w:val="single" w:sz="4" w:space="0" w:color="000000"/>
              <w:left w:val="single" w:sz="4" w:space="0" w:color="000000"/>
              <w:bottom w:val="single" w:sz="4" w:space="0" w:color="000000"/>
            </w:tcBorders>
            <w:tcMar>
              <w:left w:w="28" w:type="dxa"/>
              <w:right w:w="28" w:type="dxa"/>
            </w:tcMar>
            <w:vAlign w:val="center"/>
          </w:tcPr>
          <w:p w:rsidR="00286780" w:rsidRPr="00CE6523" w:rsidRDefault="00286780" w:rsidP="00CE6523">
            <w:pPr>
              <w:snapToGrid w:val="0"/>
              <w:rPr>
                <w:rFonts w:cs="Calibri"/>
                <w:sz w:val="24"/>
                <w:szCs w:val="24"/>
                <w:lang w:eastAsia="ar-SA"/>
              </w:rPr>
            </w:pPr>
            <w:r w:rsidRPr="00CE6523">
              <w:rPr>
                <w:rFonts w:cs="Calibri"/>
                <w:sz w:val="24"/>
                <w:szCs w:val="24"/>
                <w:lang w:eastAsia="ar-SA"/>
              </w:rPr>
              <w:t xml:space="preserve">фторхинолоны </w:t>
            </w:r>
            <w:r w:rsidRPr="00CE6523">
              <w:rPr>
                <w:rFonts w:cs="Calibri"/>
                <w:sz w:val="24"/>
                <w:szCs w:val="24"/>
                <w:lang w:val="en-US" w:eastAsia="ar-SA"/>
              </w:rPr>
              <w:t>II</w:t>
            </w:r>
            <w:r w:rsidRPr="00CE6523">
              <w:rPr>
                <w:rFonts w:cs="Calibri"/>
                <w:sz w:val="24"/>
                <w:szCs w:val="24"/>
                <w:lang w:eastAsia="ar-SA"/>
              </w:rPr>
              <w:t xml:space="preserve"> поколения (ципрофлоксацин) и метронидазол (метрогил)</w:t>
            </w:r>
          </w:p>
        </w:tc>
        <w:tc>
          <w:tcPr>
            <w:tcW w:w="1701" w:type="dxa"/>
            <w:tcBorders>
              <w:top w:val="single" w:sz="4" w:space="0" w:color="000000"/>
              <w:left w:val="single" w:sz="4" w:space="0" w:color="000000"/>
              <w:bottom w:val="single" w:sz="4" w:space="0" w:color="000000"/>
            </w:tcBorders>
            <w:tcMar>
              <w:left w:w="28" w:type="dxa"/>
              <w:right w:w="28" w:type="dxa"/>
            </w:tcMar>
            <w:vAlign w:val="center"/>
          </w:tcPr>
          <w:p w:rsidR="00286780" w:rsidRPr="00CE6523" w:rsidRDefault="00286780" w:rsidP="00CE6523">
            <w:pPr>
              <w:snapToGrid w:val="0"/>
              <w:jc w:val="center"/>
              <w:rPr>
                <w:rFonts w:cs="Calibri"/>
                <w:sz w:val="24"/>
                <w:szCs w:val="24"/>
                <w:lang w:eastAsia="ar-SA"/>
              </w:rPr>
            </w:pPr>
            <w:r w:rsidRPr="00CE6523">
              <w:rPr>
                <w:rFonts w:cs="Calibri"/>
                <w:sz w:val="24"/>
                <w:szCs w:val="24"/>
                <w:lang w:eastAsia="ar-SA"/>
              </w:rPr>
              <w:t>8</w:t>
            </w:r>
          </w:p>
        </w:tc>
        <w:tc>
          <w:tcPr>
            <w:tcW w:w="153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E6523" w:rsidRDefault="00286780" w:rsidP="00CE6523">
            <w:pPr>
              <w:snapToGrid w:val="0"/>
              <w:jc w:val="center"/>
              <w:rPr>
                <w:rFonts w:cs="Calibri"/>
                <w:sz w:val="24"/>
                <w:szCs w:val="24"/>
                <w:lang w:eastAsia="ar-SA"/>
              </w:rPr>
            </w:pPr>
            <w:r w:rsidRPr="00CE6523">
              <w:rPr>
                <w:rFonts w:cs="Calibri"/>
                <w:sz w:val="24"/>
                <w:szCs w:val="24"/>
                <w:lang w:eastAsia="ar-SA"/>
              </w:rPr>
              <w:t>2</w:t>
            </w:r>
          </w:p>
        </w:tc>
      </w:tr>
      <w:tr w:rsidR="00286780" w:rsidRPr="00CE6523" w:rsidTr="00894E8F">
        <w:trPr>
          <w:trHeight w:val="454"/>
        </w:trPr>
        <w:tc>
          <w:tcPr>
            <w:tcW w:w="435" w:type="dxa"/>
            <w:vMerge/>
            <w:tcBorders>
              <w:left w:val="single" w:sz="4" w:space="0" w:color="000000"/>
            </w:tcBorders>
            <w:tcMar>
              <w:left w:w="28" w:type="dxa"/>
              <w:right w:w="28" w:type="dxa"/>
            </w:tcMar>
            <w:vAlign w:val="center"/>
          </w:tcPr>
          <w:p w:rsidR="00286780" w:rsidRPr="00CE6523" w:rsidRDefault="00286780" w:rsidP="00CE6523">
            <w:pPr>
              <w:snapToGrid w:val="0"/>
              <w:rPr>
                <w:rFonts w:cs="Calibri"/>
                <w:sz w:val="24"/>
                <w:szCs w:val="24"/>
                <w:lang w:eastAsia="ar-SA"/>
              </w:rPr>
            </w:pPr>
          </w:p>
        </w:tc>
        <w:tc>
          <w:tcPr>
            <w:tcW w:w="6256" w:type="dxa"/>
            <w:tcBorders>
              <w:top w:val="single" w:sz="4" w:space="0" w:color="000000"/>
              <w:left w:val="single" w:sz="4" w:space="0" w:color="000000"/>
              <w:bottom w:val="single" w:sz="4" w:space="0" w:color="000000"/>
            </w:tcBorders>
            <w:tcMar>
              <w:left w:w="28" w:type="dxa"/>
              <w:right w:w="28" w:type="dxa"/>
            </w:tcMar>
            <w:vAlign w:val="center"/>
          </w:tcPr>
          <w:p w:rsidR="00286780" w:rsidRPr="00CE6523" w:rsidRDefault="00286780" w:rsidP="00CE6523">
            <w:pPr>
              <w:snapToGrid w:val="0"/>
              <w:rPr>
                <w:rFonts w:cs="Calibri"/>
                <w:sz w:val="24"/>
                <w:szCs w:val="24"/>
                <w:lang w:eastAsia="ar-SA"/>
              </w:rPr>
            </w:pPr>
            <w:r w:rsidRPr="00CE6523">
              <w:rPr>
                <w:rFonts w:cs="Calibri"/>
                <w:sz w:val="24"/>
                <w:szCs w:val="24"/>
                <w:lang w:eastAsia="ar-SA"/>
              </w:rPr>
              <w:t>ингибиторзащищенные пенициллины и метронидазол (метрогил)</w:t>
            </w:r>
          </w:p>
        </w:tc>
        <w:tc>
          <w:tcPr>
            <w:tcW w:w="1701" w:type="dxa"/>
            <w:tcBorders>
              <w:top w:val="single" w:sz="4" w:space="0" w:color="000000"/>
              <w:left w:val="single" w:sz="4" w:space="0" w:color="000000"/>
              <w:bottom w:val="single" w:sz="4" w:space="0" w:color="000000"/>
            </w:tcBorders>
            <w:tcMar>
              <w:left w:w="28" w:type="dxa"/>
              <w:right w:w="28" w:type="dxa"/>
            </w:tcMar>
            <w:vAlign w:val="center"/>
          </w:tcPr>
          <w:p w:rsidR="00286780" w:rsidRPr="00CE6523" w:rsidRDefault="00286780" w:rsidP="00CE6523">
            <w:pPr>
              <w:snapToGrid w:val="0"/>
              <w:jc w:val="center"/>
              <w:rPr>
                <w:rFonts w:cs="Calibri"/>
                <w:sz w:val="24"/>
                <w:szCs w:val="24"/>
                <w:lang w:eastAsia="ar-SA"/>
              </w:rPr>
            </w:pPr>
            <w:r w:rsidRPr="00CE6523">
              <w:rPr>
                <w:rFonts w:cs="Calibri"/>
                <w:sz w:val="24"/>
                <w:szCs w:val="24"/>
                <w:lang w:eastAsia="ar-SA"/>
              </w:rPr>
              <w:t>4</w:t>
            </w:r>
          </w:p>
        </w:tc>
        <w:tc>
          <w:tcPr>
            <w:tcW w:w="153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E6523" w:rsidRDefault="00286780" w:rsidP="00CE6523">
            <w:pPr>
              <w:snapToGrid w:val="0"/>
              <w:jc w:val="center"/>
              <w:rPr>
                <w:rFonts w:cs="Calibri"/>
                <w:sz w:val="24"/>
                <w:szCs w:val="24"/>
                <w:lang w:eastAsia="ar-SA"/>
              </w:rPr>
            </w:pPr>
            <w:r w:rsidRPr="00CE6523">
              <w:rPr>
                <w:rFonts w:cs="Calibri"/>
                <w:sz w:val="24"/>
                <w:szCs w:val="24"/>
                <w:lang w:eastAsia="ar-SA"/>
              </w:rPr>
              <w:t>1</w:t>
            </w:r>
          </w:p>
        </w:tc>
      </w:tr>
      <w:tr w:rsidR="00286780" w:rsidRPr="00CE6523" w:rsidTr="00894E8F">
        <w:trPr>
          <w:trHeight w:val="454"/>
        </w:trPr>
        <w:tc>
          <w:tcPr>
            <w:tcW w:w="435" w:type="dxa"/>
            <w:vMerge/>
            <w:tcBorders>
              <w:left w:val="single" w:sz="4" w:space="0" w:color="000000"/>
              <w:bottom w:val="single" w:sz="4" w:space="0" w:color="000000"/>
            </w:tcBorders>
            <w:tcMar>
              <w:left w:w="28" w:type="dxa"/>
              <w:right w:w="28" w:type="dxa"/>
            </w:tcMar>
            <w:vAlign w:val="center"/>
          </w:tcPr>
          <w:p w:rsidR="00286780" w:rsidRPr="00CE6523" w:rsidRDefault="00286780" w:rsidP="00CE6523">
            <w:pPr>
              <w:snapToGrid w:val="0"/>
              <w:jc w:val="center"/>
              <w:rPr>
                <w:rFonts w:cs="Calibri"/>
                <w:sz w:val="24"/>
                <w:szCs w:val="24"/>
                <w:lang w:eastAsia="ar-SA"/>
              </w:rPr>
            </w:pPr>
          </w:p>
        </w:tc>
        <w:tc>
          <w:tcPr>
            <w:tcW w:w="6256" w:type="dxa"/>
            <w:tcBorders>
              <w:top w:val="single" w:sz="4" w:space="0" w:color="000000"/>
              <w:left w:val="single" w:sz="4" w:space="0" w:color="000000"/>
              <w:bottom w:val="single" w:sz="4" w:space="0" w:color="000000"/>
            </w:tcBorders>
            <w:tcMar>
              <w:left w:w="28" w:type="dxa"/>
              <w:right w:w="28" w:type="dxa"/>
            </w:tcMar>
            <w:vAlign w:val="center"/>
          </w:tcPr>
          <w:p w:rsidR="00286780" w:rsidRPr="00CE6523" w:rsidRDefault="00286780" w:rsidP="00CE6523">
            <w:pPr>
              <w:snapToGrid w:val="0"/>
              <w:rPr>
                <w:rFonts w:cs="Calibri"/>
                <w:sz w:val="24"/>
                <w:szCs w:val="24"/>
                <w:lang w:val="en-US" w:eastAsia="ar-SA"/>
              </w:rPr>
            </w:pPr>
            <w:r w:rsidRPr="00CE6523">
              <w:rPr>
                <w:rFonts w:cs="Calibri"/>
                <w:sz w:val="24"/>
                <w:szCs w:val="24"/>
                <w:lang w:eastAsia="ar-SA"/>
              </w:rPr>
              <w:t xml:space="preserve">меронем </w:t>
            </w:r>
            <w:r w:rsidRPr="00CE6523">
              <w:rPr>
                <w:rFonts w:cs="Calibri"/>
                <w:sz w:val="24"/>
                <w:szCs w:val="24"/>
                <w:lang w:val="en-US" w:eastAsia="ar-SA"/>
              </w:rPr>
              <w:t>[</w:t>
            </w:r>
            <w:r w:rsidRPr="00CE6523">
              <w:rPr>
                <w:rFonts w:cs="Calibri"/>
                <w:sz w:val="24"/>
                <w:szCs w:val="24"/>
                <w:lang w:eastAsia="ar-SA"/>
              </w:rPr>
              <w:t>и ванкомицин</w:t>
            </w:r>
            <w:r w:rsidRPr="00CE6523">
              <w:rPr>
                <w:rFonts w:cs="Calibri"/>
                <w:sz w:val="24"/>
                <w:szCs w:val="24"/>
                <w:lang w:val="en-US" w:eastAsia="ar-SA"/>
              </w:rPr>
              <w:t>]</w:t>
            </w:r>
          </w:p>
        </w:tc>
        <w:tc>
          <w:tcPr>
            <w:tcW w:w="1701" w:type="dxa"/>
            <w:tcBorders>
              <w:top w:val="single" w:sz="4" w:space="0" w:color="000000"/>
              <w:left w:val="single" w:sz="4" w:space="0" w:color="000000"/>
              <w:bottom w:val="single" w:sz="4" w:space="0" w:color="000000"/>
            </w:tcBorders>
            <w:tcMar>
              <w:left w:w="28" w:type="dxa"/>
              <w:right w:w="28" w:type="dxa"/>
            </w:tcMar>
            <w:vAlign w:val="center"/>
          </w:tcPr>
          <w:p w:rsidR="00286780" w:rsidRPr="00CE6523" w:rsidRDefault="00286780" w:rsidP="00CE6523">
            <w:pPr>
              <w:snapToGrid w:val="0"/>
              <w:jc w:val="center"/>
              <w:rPr>
                <w:rFonts w:cs="Calibri"/>
                <w:sz w:val="24"/>
                <w:szCs w:val="24"/>
                <w:lang w:eastAsia="ar-SA"/>
              </w:rPr>
            </w:pPr>
            <w:r w:rsidRPr="00CE6523">
              <w:rPr>
                <w:rFonts w:cs="Calibri"/>
                <w:sz w:val="24"/>
                <w:szCs w:val="24"/>
                <w:lang w:eastAsia="ar-SA"/>
              </w:rPr>
              <w:t>0</w:t>
            </w:r>
          </w:p>
        </w:tc>
        <w:tc>
          <w:tcPr>
            <w:tcW w:w="153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E6523" w:rsidRDefault="00286780" w:rsidP="00CE6523">
            <w:pPr>
              <w:snapToGrid w:val="0"/>
              <w:jc w:val="center"/>
              <w:rPr>
                <w:rFonts w:cs="Calibri"/>
                <w:sz w:val="24"/>
                <w:szCs w:val="24"/>
                <w:lang w:eastAsia="ar-SA"/>
              </w:rPr>
            </w:pPr>
            <w:r w:rsidRPr="00CE6523">
              <w:rPr>
                <w:rFonts w:cs="Calibri"/>
                <w:sz w:val="24"/>
                <w:szCs w:val="24"/>
                <w:lang w:eastAsia="ar-SA"/>
              </w:rPr>
              <w:t>0</w:t>
            </w:r>
          </w:p>
        </w:tc>
      </w:tr>
      <w:tr w:rsidR="00286780" w:rsidRPr="00CE6523" w:rsidTr="00894E8F">
        <w:trPr>
          <w:trHeight w:val="454"/>
        </w:trPr>
        <w:tc>
          <w:tcPr>
            <w:tcW w:w="6691" w:type="dxa"/>
            <w:gridSpan w:val="2"/>
            <w:tcBorders>
              <w:top w:val="single" w:sz="4" w:space="0" w:color="000000"/>
              <w:left w:val="single" w:sz="4" w:space="0" w:color="000000"/>
              <w:bottom w:val="single" w:sz="4" w:space="0" w:color="000000"/>
            </w:tcBorders>
            <w:tcMar>
              <w:left w:w="28" w:type="dxa"/>
              <w:right w:w="28" w:type="dxa"/>
            </w:tcMar>
            <w:vAlign w:val="center"/>
          </w:tcPr>
          <w:p w:rsidR="00286780" w:rsidRPr="00CE6523" w:rsidRDefault="00286780" w:rsidP="00CE6523">
            <w:pPr>
              <w:snapToGrid w:val="0"/>
              <w:rPr>
                <w:rFonts w:cs="Calibri"/>
                <w:sz w:val="24"/>
                <w:szCs w:val="24"/>
                <w:lang w:eastAsia="ar-SA"/>
              </w:rPr>
            </w:pPr>
            <w:r w:rsidRPr="00CE6523">
              <w:rPr>
                <w:rFonts w:cs="Calibri"/>
                <w:sz w:val="24"/>
                <w:szCs w:val="24"/>
                <w:lang w:eastAsia="ar-SA"/>
              </w:rPr>
              <w:t>Инфузионная терапия (кристаллоиды – физиологический раствор, 5%-й раствор глюкозы, раствор Рингера)</w:t>
            </w:r>
          </w:p>
        </w:tc>
        <w:tc>
          <w:tcPr>
            <w:tcW w:w="1701" w:type="dxa"/>
            <w:tcBorders>
              <w:top w:val="single" w:sz="4" w:space="0" w:color="000000"/>
              <w:left w:val="single" w:sz="4" w:space="0" w:color="000000"/>
              <w:bottom w:val="single" w:sz="4" w:space="0" w:color="000000"/>
            </w:tcBorders>
            <w:tcMar>
              <w:left w:w="28" w:type="dxa"/>
              <w:right w:w="28" w:type="dxa"/>
            </w:tcMar>
            <w:vAlign w:val="center"/>
          </w:tcPr>
          <w:p w:rsidR="00286780" w:rsidRPr="00CE6523" w:rsidRDefault="00286780" w:rsidP="00CE6523">
            <w:pPr>
              <w:snapToGrid w:val="0"/>
              <w:jc w:val="center"/>
              <w:rPr>
                <w:rFonts w:cs="Calibri"/>
                <w:sz w:val="24"/>
                <w:szCs w:val="24"/>
                <w:lang w:eastAsia="ar-SA"/>
              </w:rPr>
            </w:pPr>
            <w:r>
              <w:rPr>
                <w:rFonts w:cs="Calibri"/>
                <w:sz w:val="24"/>
                <w:szCs w:val="24"/>
                <w:lang w:eastAsia="ar-SA"/>
              </w:rPr>
              <w:t>4</w:t>
            </w:r>
          </w:p>
        </w:tc>
        <w:tc>
          <w:tcPr>
            <w:tcW w:w="153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E6523" w:rsidRDefault="00286780" w:rsidP="00CE6523">
            <w:pPr>
              <w:snapToGrid w:val="0"/>
              <w:jc w:val="center"/>
              <w:rPr>
                <w:rFonts w:cs="Calibri"/>
                <w:sz w:val="24"/>
                <w:szCs w:val="24"/>
                <w:lang w:eastAsia="ar-SA"/>
              </w:rPr>
            </w:pPr>
            <w:r w:rsidRPr="00CE6523">
              <w:rPr>
                <w:rFonts w:cs="Calibri"/>
                <w:sz w:val="24"/>
                <w:szCs w:val="24"/>
                <w:lang w:eastAsia="ar-SA"/>
              </w:rPr>
              <w:t>8</w:t>
            </w:r>
          </w:p>
        </w:tc>
      </w:tr>
      <w:tr w:rsidR="00286780" w:rsidRPr="00CE6523" w:rsidTr="00894E8F">
        <w:trPr>
          <w:trHeight w:val="454"/>
        </w:trPr>
        <w:tc>
          <w:tcPr>
            <w:tcW w:w="6691" w:type="dxa"/>
            <w:gridSpan w:val="2"/>
            <w:tcBorders>
              <w:top w:val="single" w:sz="4" w:space="0" w:color="000000"/>
              <w:left w:val="single" w:sz="4" w:space="0" w:color="000000"/>
              <w:bottom w:val="single" w:sz="4" w:space="0" w:color="000000"/>
            </w:tcBorders>
            <w:tcMar>
              <w:left w:w="28" w:type="dxa"/>
              <w:right w:w="28" w:type="dxa"/>
            </w:tcMar>
            <w:vAlign w:val="center"/>
          </w:tcPr>
          <w:p w:rsidR="00286780" w:rsidRPr="00CE6523" w:rsidRDefault="00286780" w:rsidP="00CE6523">
            <w:pPr>
              <w:snapToGrid w:val="0"/>
              <w:rPr>
                <w:rFonts w:cs="Calibri"/>
                <w:sz w:val="24"/>
                <w:szCs w:val="24"/>
                <w:lang w:eastAsia="ar-SA"/>
              </w:rPr>
            </w:pPr>
            <w:r w:rsidRPr="00CE6523">
              <w:rPr>
                <w:rFonts w:cs="Calibri"/>
                <w:sz w:val="24"/>
                <w:szCs w:val="24"/>
                <w:lang w:eastAsia="ar-SA"/>
              </w:rPr>
              <w:t>Инфузионная терапия (коллоиды)</w:t>
            </w:r>
          </w:p>
        </w:tc>
        <w:tc>
          <w:tcPr>
            <w:tcW w:w="1701" w:type="dxa"/>
            <w:tcBorders>
              <w:top w:val="single" w:sz="4" w:space="0" w:color="000000"/>
              <w:left w:val="single" w:sz="4" w:space="0" w:color="000000"/>
              <w:bottom w:val="single" w:sz="4" w:space="0" w:color="000000"/>
            </w:tcBorders>
            <w:tcMar>
              <w:left w:w="28" w:type="dxa"/>
              <w:right w:w="28" w:type="dxa"/>
            </w:tcMar>
            <w:vAlign w:val="center"/>
          </w:tcPr>
          <w:p w:rsidR="00286780" w:rsidRPr="00CE6523" w:rsidRDefault="00286780" w:rsidP="00CE6523">
            <w:pPr>
              <w:snapToGrid w:val="0"/>
              <w:jc w:val="center"/>
              <w:rPr>
                <w:rFonts w:cs="Calibri"/>
                <w:sz w:val="24"/>
                <w:szCs w:val="24"/>
                <w:lang w:eastAsia="ar-SA"/>
              </w:rPr>
            </w:pPr>
            <w:r w:rsidRPr="00CE6523">
              <w:rPr>
                <w:rFonts w:cs="Calibri"/>
                <w:sz w:val="24"/>
                <w:szCs w:val="24"/>
                <w:lang w:eastAsia="ar-SA"/>
              </w:rPr>
              <w:t>0</w:t>
            </w:r>
          </w:p>
        </w:tc>
        <w:tc>
          <w:tcPr>
            <w:tcW w:w="153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E6523" w:rsidRDefault="00286780" w:rsidP="00CE6523">
            <w:pPr>
              <w:snapToGrid w:val="0"/>
              <w:jc w:val="center"/>
              <w:rPr>
                <w:rFonts w:cs="Calibri"/>
                <w:sz w:val="24"/>
                <w:szCs w:val="24"/>
                <w:lang w:eastAsia="ar-SA"/>
              </w:rPr>
            </w:pPr>
            <w:r w:rsidRPr="00CE6523">
              <w:rPr>
                <w:rFonts w:cs="Calibri"/>
                <w:sz w:val="24"/>
                <w:szCs w:val="24"/>
                <w:lang w:eastAsia="ar-SA"/>
              </w:rPr>
              <w:t>0</w:t>
            </w:r>
          </w:p>
        </w:tc>
      </w:tr>
      <w:tr w:rsidR="00286780" w:rsidRPr="00CE6523" w:rsidTr="00894E8F">
        <w:trPr>
          <w:trHeight w:val="454"/>
        </w:trPr>
        <w:tc>
          <w:tcPr>
            <w:tcW w:w="6691" w:type="dxa"/>
            <w:gridSpan w:val="2"/>
            <w:tcBorders>
              <w:top w:val="single" w:sz="4" w:space="0" w:color="000000"/>
              <w:left w:val="single" w:sz="4" w:space="0" w:color="000000"/>
              <w:bottom w:val="single" w:sz="4" w:space="0" w:color="000000"/>
            </w:tcBorders>
            <w:tcMar>
              <w:left w:w="28" w:type="dxa"/>
              <w:right w:w="28" w:type="dxa"/>
            </w:tcMar>
            <w:vAlign w:val="center"/>
          </w:tcPr>
          <w:p w:rsidR="00286780" w:rsidRPr="00CE6523" w:rsidRDefault="00286780" w:rsidP="00CE6523">
            <w:pPr>
              <w:snapToGrid w:val="0"/>
              <w:rPr>
                <w:rFonts w:cs="Calibri"/>
                <w:sz w:val="24"/>
                <w:szCs w:val="24"/>
                <w:lang w:eastAsia="ar-SA"/>
              </w:rPr>
            </w:pPr>
            <w:r w:rsidRPr="00CE6523">
              <w:rPr>
                <w:rFonts w:cs="Calibri"/>
                <w:sz w:val="24"/>
                <w:szCs w:val="24"/>
                <w:lang w:eastAsia="ar-SA"/>
              </w:rPr>
              <w:t>Инсулинотерапия при наличии сахарного диабета и гипергликемии более 10 ммоль/л (МФОИ – 5 пациентов, ОС – 1 пациент; инсулины короткого действия – актрапид, хумалог)</w:t>
            </w:r>
          </w:p>
        </w:tc>
        <w:tc>
          <w:tcPr>
            <w:tcW w:w="1701" w:type="dxa"/>
            <w:tcBorders>
              <w:top w:val="single" w:sz="4" w:space="0" w:color="000000"/>
              <w:left w:val="single" w:sz="4" w:space="0" w:color="000000"/>
              <w:bottom w:val="single" w:sz="4" w:space="0" w:color="000000"/>
            </w:tcBorders>
            <w:tcMar>
              <w:left w:w="28" w:type="dxa"/>
              <w:right w:w="28" w:type="dxa"/>
            </w:tcMar>
            <w:vAlign w:val="center"/>
          </w:tcPr>
          <w:p w:rsidR="00286780" w:rsidRPr="00CE6523" w:rsidRDefault="00286780" w:rsidP="00CE6523">
            <w:pPr>
              <w:snapToGrid w:val="0"/>
              <w:jc w:val="center"/>
              <w:rPr>
                <w:rFonts w:cs="Calibri"/>
                <w:sz w:val="24"/>
                <w:szCs w:val="24"/>
                <w:lang w:eastAsia="ar-SA"/>
              </w:rPr>
            </w:pPr>
            <w:r w:rsidRPr="00CE6523">
              <w:rPr>
                <w:rFonts w:cs="Calibri"/>
                <w:sz w:val="24"/>
                <w:szCs w:val="24"/>
                <w:lang w:eastAsia="ar-SA"/>
              </w:rPr>
              <w:t>5</w:t>
            </w:r>
          </w:p>
        </w:tc>
        <w:tc>
          <w:tcPr>
            <w:tcW w:w="153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E6523" w:rsidRDefault="00286780" w:rsidP="00CE6523">
            <w:pPr>
              <w:snapToGrid w:val="0"/>
              <w:jc w:val="center"/>
              <w:rPr>
                <w:rFonts w:cs="Calibri"/>
                <w:sz w:val="24"/>
                <w:szCs w:val="24"/>
                <w:lang w:eastAsia="ar-SA"/>
              </w:rPr>
            </w:pPr>
            <w:r w:rsidRPr="00CE6523">
              <w:rPr>
                <w:rFonts w:cs="Calibri"/>
                <w:sz w:val="24"/>
                <w:szCs w:val="24"/>
                <w:lang w:eastAsia="ar-SA"/>
              </w:rPr>
              <w:t>1</w:t>
            </w:r>
          </w:p>
        </w:tc>
      </w:tr>
      <w:tr w:rsidR="00286780" w:rsidRPr="00CE6523" w:rsidTr="00894E8F">
        <w:trPr>
          <w:trHeight w:val="454"/>
        </w:trPr>
        <w:tc>
          <w:tcPr>
            <w:tcW w:w="6691" w:type="dxa"/>
            <w:gridSpan w:val="2"/>
            <w:tcBorders>
              <w:top w:val="single" w:sz="4" w:space="0" w:color="000000"/>
              <w:left w:val="single" w:sz="4" w:space="0" w:color="000000"/>
              <w:bottom w:val="single" w:sz="4" w:space="0" w:color="000000"/>
            </w:tcBorders>
            <w:tcMar>
              <w:left w:w="28" w:type="dxa"/>
              <w:right w:w="28" w:type="dxa"/>
            </w:tcMar>
            <w:vAlign w:val="center"/>
          </w:tcPr>
          <w:p w:rsidR="00286780" w:rsidRPr="00CE6523" w:rsidRDefault="00286780" w:rsidP="00CE6523">
            <w:pPr>
              <w:snapToGrid w:val="0"/>
              <w:rPr>
                <w:rFonts w:cs="Calibri"/>
                <w:sz w:val="24"/>
                <w:szCs w:val="24"/>
                <w:lang w:eastAsia="ar-SA"/>
              </w:rPr>
            </w:pPr>
            <w:r w:rsidRPr="00CE6523">
              <w:rPr>
                <w:rFonts w:cs="Calibri"/>
                <w:sz w:val="24"/>
                <w:szCs w:val="24"/>
                <w:lang w:eastAsia="ar-SA"/>
              </w:rPr>
              <w:t>Аналгетики (наркотические, ненаркотические)</w:t>
            </w:r>
          </w:p>
        </w:tc>
        <w:tc>
          <w:tcPr>
            <w:tcW w:w="1701" w:type="dxa"/>
            <w:tcBorders>
              <w:top w:val="single" w:sz="4" w:space="0" w:color="000000"/>
              <w:left w:val="single" w:sz="4" w:space="0" w:color="000000"/>
              <w:bottom w:val="single" w:sz="4" w:space="0" w:color="000000"/>
            </w:tcBorders>
            <w:tcMar>
              <w:left w:w="28" w:type="dxa"/>
              <w:right w:w="28" w:type="dxa"/>
            </w:tcMar>
            <w:vAlign w:val="center"/>
          </w:tcPr>
          <w:p w:rsidR="00286780" w:rsidRPr="00CE6523" w:rsidRDefault="00286780" w:rsidP="00CE6523">
            <w:pPr>
              <w:snapToGrid w:val="0"/>
              <w:jc w:val="center"/>
              <w:rPr>
                <w:rFonts w:cs="Calibri"/>
                <w:sz w:val="24"/>
                <w:szCs w:val="24"/>
                <w:lang w:eastAsia="ar-SA"/>
              </w:rPr>
            </w:pPr>
            <w:r>
              <w:rPr>
                <w:rFonts w:cs="Calibri"/>
                <w:sz w:val="24"/>
                <w:szCs w:val="24"/>
                <w:lang w:eastAsia="ar-SA"/>
              </w:rPr>
              <w:t>31</w:t>
            </w:r>
          </w:p>
        </w:tc>
        <w:tc>
          <w:tcPr>
            <w:tcW w:w="153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CE6523" w:rsidRDefault="00286780" w:rsidP="00CE6523">
            <w:pPr>
              <w:snapToGrid w:val="0"/>
              <w:jc w:val="center"/>
              <w:rPr>
                <w:rFonts w:cs="Calibri"/>
                <w:sz w:val="24"/>
                <w:szCs w:val="24"/>
                <w:lang w:eastAsia="ar-SA"/>
              </w:rPr>
            </w:pPr>
            <w:r>
              <w:rPr>
                <w:rFonts w:cs="Calibri"/>
                <w:sz w:val="24"/>
                <w:szCs w:val="24"/>
                <w:lang w:eastAsia="ar-SA"/>
              </w:rPr>
              <w:t>9</w:t>
            </w:r>
          </w:p>
        </w:tc>
      </w:tr>
    </w:tbl>
    <w:p w:rsidR="00286780" w:rsidRPr="00CE6523" w:rsidRDefault="00286780" w:rsidP="00CE6523">
      <w:pPr>
        <w:jc w:val="both"/>
        <w:rPr>
          <w:rFonts w:cs="Calibri"/>
          <w:sz w:val="28"/>
          <w:szCs w:val="28"/>
          <w:lang w:eastAsia="ar-SA"/>
        </w:rPr>
      </w:pPr>
    </w:p>
    <w:p w:rsidR="00286780" w:rsidRPr="00CE6523" w:rsidRDefault="00286780" w:rsidP="00892BD2">
      <w:pPr>
        <w:spacing w:line="360" w:lineRule="auto"/>
        <w:ind w:firstLine="709"/>
        <w:jc w:val="both"/>
        <w:rPr>
          <w:rFonts w:cs="Calibri"/>
          <w:sz w:val="28"/>
          <w:szCs w:val="28"/>
          <w:lang w:eastAsia="ar-SA"/>
        </w:rPr>
      </w:pPr>
      <w:r w:rsidRPr="00CE6523">
        <w:rPr>
          <w:rFonts w:cs="Calibri"/>
          <w:sz w:val="28"/>
          <w:szCs w:val="28"/>
          <w:lang w:eastAsia="ar-SA"/>
        </w:rPr>
        <w:t xml:space="preserve">Практически предоперационная подготовка пациентов основной группы (ОС и МФОИ) осуществлялась с использованием цефалоспоринов </w:t>
      </w:r>
      <w:r w:rsidRPr="00CE6523">
        <w:rPr>
          <w:rFonts w:cs="Calibri"/>
          <w:sz w:val="28"/>
          <w:szCs w:val="28"/>
          <w:lang w:val="en-US" w:eastAsia="ar-SA"/>
        </w:rPr>
        <w:t>III</w:t>
      </w:r>
      <w:r w:rsidRPr="00CE6523">
        <w:rPr>
          <w:rFonts w:cs="Calibri"/>
          <w:sz w:val="28"/>
          <w:szCs w:val="28"/>
          <w:lang w:eastAsia="ar-SA"/>
        </w:rPr>
        <w:t xml:space="preserve"> поколения (в сочетании с метранидазолом), фторхинолонов </w:t>
      </w:r>
      <w:r w:rsidRPr="00CE6523">
        <w:rPr>
          <w:rFonts w:cs="Calibri"/>
          <w:sz w:val="28"/>
          <w:szCs w:val="28"/>
          <w:lang w:val="en-US" w:eastAsia="ar-SA"/>
        </w:rPr>
        <w:t>II</w:t>
      </w:r>
      <w:r w:rsidRPr="00CE6523">
        <w:rPr>
          <w:rFonts w:cs="Calibri"/>
          <w:sz w:val="28"/>
          <w:szCs w:val="28"/>
          <w:lang w:eastAsia="ar-SA"/>
        </w:rPr>
        <w:t xml:space="preserve"> поколения (ципрофлоксацин), и ингибиторзащищенных пенициллинов (амоксициллин/клавуланат, ампицил</w:t>
      </w:r>
      <w:r w:rsidRPr="00CE6523">
        <w:rPr>
          <w:rFonts w:cs="Calibri"/>
          <w:sz w:val="28"/>
          <w:szCs w:val="28"/>
          <w:lang w:eastAsia="ar-SA"/>
        </w:rPr>
        <w:lastRenderedPageBreak/>
        <w:t>лин/сульбактам) в сочетании с метранидазолом. Меропенем в качестве компонента предоперационной подготовки не использовался.</w:t>
      </w:r>
    </w:p>
    <w:p w:rsidR="00286780" w:rsidRPr="00CE6523" w:rsidRDefault="00286780" w:rsidP="00892BD2">
      <w:pPr>
        <w:spacing w:line="360" w:lineRule="auto"/>
        <w:ind w:firstLine="709"/>
        <w:jc w:val="both"/>
        <w:rPr>
          <w:rFonts w:cs="Calibri"/>
          <w:sz w:val="28"/>
          <w:szCs w:val="28"/>
          <w:lang w:eastAsia="ar-SA"/>
        </w:rPr>
      </w:pPr>
      <w:r w:rsidRPr="00CE6523">
        <w:rPr>
          <w:rFonts w:cs="Calibri"/>
          <w:sz w:val="28"/>
          <w:szCs w:val="28"/>
          <w:lang w:eastAsia="ar-SA"/>
        </w:rPr>
        <w:t>Предоперационная инфузионная терапия у пациентов с МФОИ выполнялась по показаниям (гиповолемия, интоксикация, отсутствие диуреза). Предоперационная инфузионная терапия у пациентов с ОС проводилась в обязательном порядке в объеме около 30 мл/кг веса пациента, за исключением случаев хронической болезни почек (один пациент основной группы с хроническим пиелонефритом единственной почки, ХБП). При наличии ХБП устанавливался минимальный объем необходимой инфузионной терапии (200 мл), в назначении предоперационной подготовки участвовали реаниматолог и профильные специалисты (нефролог, уролог, терапевт).</w:t>
      </w:r>
    </w:p>
    <w:p w:rsidR="00286780" w:rsidRPr="00CE6523" w:rsidRDefault="00286780" w:rsidP="00892BD2">
      <w:pPr>
        <w:spacing w:line="360" w:lineRule="auto"/>
        <w:ind w:firstLine="709"/>
        <w:jc w:val="both"/>
        <w:rPr>
          <w:rFonts w:cs="Calibri"/>
          <w:sz w:val="28"/>
          <w:szCs w:val="28"/>
          <w:lang w:eastAsia="ar-SA"/>
        </w:rPr>
      </w:pPr>
      <w:r w:rsidRPr="00CE6523">
        <w:rPr>
          <w:rFonts w:cs="Calibri"/>
          <w:sz w:val="28"/>
          <w:szCs w:val="28"/>
          <w:lang w:eastAsia="ar-SA"/>
        </w:rPr>
        <w:t xml:space="preserve">В соответствии с современными рекомендациями по лечению сепсиса, трансфузию эритроцитарной массы у больных с сепсисом осуществляют при уровне гемоглобина менее 70 г/л </w:t>
      </w:r>
      <w:r w:rsidRPr="002F4D23">
        <w:rPr>
          <w:rFonts w:cs="Calibri"/>
          <w:sz w:val="28"/>
          <w:szCs w:val="28"/>
          <w:lang w:eastAsia="ar-SA"/>
        </w:rPr>
        <w:t>(</w:t>
      </w:r>
      <w:r w:rsidRPr="00CE6523">
        <w:rPr>
          <w:rFonts w:cs="Calibri"/>
          <w:sz w:val="28"/>
          <w:szCs w:val="28"/>
          <w:shd w:val="clear" w:color="auto" w:fill="FFFFFF"/>
          <w:lang w:val="en-US" w:eastAsia="ar-SA"/>
        </w:rPr>
        <w:t>Rhodes</w:t>
      </w:r>
      <w:r>
        <w:rPr>
          <w:rFonts w:cs="Calibri"/>
          <w:sz w:val="28"/>
          <w:szCs w:val="28"/>
          <w:shd w:val="clear" w:color="auto" w:fill="FFFFFF"/>
          <w:lang w:eastAsia="ar-SA"/>
        </w:rPr>
        <w:t xml:space="preserve"> </w:t>
      </w:r>
      <w:r w:rsidRPr="00CE6523">
        <w:rPr>
          <w:rFonts w:cs="Calibri"/>
          <w:sz w:val="28"/>
          <w:szCs w:val="28"/>
          <w:shd w:val="clear" w:color="auto" w:fill="FFFFFF"/>
          <w:lang w:val="en-US" w:eastAsia="ar-SA"/>
        </w:rPr>
        <w:t>A</w:t>
      </w:r>
      <w:r w:rsidRPr="00CE6523">
        <w:rPr>
          <w:rFonts w:cs="Calibri"/>
          <w:sz w:val="28"/>
          <w:szCs w:val="28"/>
          <w:shd w:val="clear" w:color="auto" w:fill="FFFFFF"/>
          <w:lang w:eastAsia="ar-SA"/>
        </w:rPr>
        <w:t xml:space="preserve">. </w:t>
      </w:r>
      <w:r w:rsidRPr="00CE6523">
        <w:rPr>
          <w:rFonts w:cs="Calibri"/>
          <w:sz w:val="28"/>
          <w:szCs w:val="28"/>
          <w:shd w:val="clear" w:color="auto" w:fill="FFFFFF"/>
          <w:lang w:val="en-US" w:eastAsia="ar-SA"/>
        </w:rPr>
        <w:t>et</w:t>
      </w:r>
      <w:r>
        <w:rPr>
          <w:rFonts w:cs="Calibri"/>
          <w:sz w:val="28"/>
          <w:szCs w:val="28"/>
          <w:shd w:val="clear" w:color="auto" w:fill="FFFFFF"/>
          <w:lang w:eastAsia="ar-SA"/>
        </w:rPr>
        <w:t xml:space="preserve"> </w:t>
      </w:r>
      <w:r w:rsidRPr="00CE6523">
        <w:rPr>
          <w:rFonts w:cs="Calibri"/>
          <w:sz w:val="28"/>
          <w:szCs w:val="28"/>
          <w:shd w:val="clear" w:color="auto" w:fill="FFFFFF"/>
          <w:lang w:val="en-US" w:eastAsia="ar-SA"/>
        </w:rPr>
        <w:t>al</w:t>
      </w:r>
      <w:r w:rsidRPr="00CE6523">
        <w:rPr>
          <w:rFonts w:cs="Calibri"/>
          <w:sz w:val="28"/>
          <w:szCs w:val="28"/>
          <w:shd w:val="clear" w:color="auto" w:fill="FFFFFF"/>
          <w:lang w:eastAsia="ar-SA"/>
        </w:rPr>
        <w:t>., 2017</w:t>
      </w:r>
      <w:r w:rsidRPr="002F4D23">
        <w:rPr>
          <w:rFonts w:cs="Calibri"/>
          <w:sz w:val="28"/>
          <w:szCs w:val="28"/>
          <w:lang w:eastAsia="ar-SA"/>
        </w:rPr>
        <w:t>)</w:t>
      </w:r>
      <w:r w:rsidRPr="00CE6523">
        <w:rPr>
          <w:rFonts w:cs="Calibri"/>
          <w:sz w:val="28"/>
          <w:szCs w:val="28"/>
          <w:lang w:eastAsia="ar-SA"/>
        </w:rPr>
        <w:t>. В основной группе пациентов с ОС и выраженной анемией при поступлении в стационар не выявлено, гемотрансфузий в предоперационном периоде не выполнялось.</w:t>
      </w:r>
    </w:p>
    <w:p w:rsidR="00286780" w:rsidRPr="00CE6523" w:rsidRDefault="00286780" w:rsidP="00CE6523">
      <w:pPr>
        <w:spacing w:line="360" w:lineRule="auto"/>
        <w:ind w:firstLine="709"/>
        <w:jc w:val="both"/>
        <w:rPr>
          <w:rFonts w:cs="Calibri"/>
          <w:sz w:val="28"/>
          <w:szCs w:val="28"/>
          <w:lang w:eastAsia="ar-SA"/>
        </w:rPr>
      </w:pPr>
      <w:r w:rsidRPr="00CE6523">
        <w:rPr>
          <w:rFonts w:cs="Calibri"/>
          <w:sz w:val="28"/>
          <w:szCs w:val="28"/>
          <w:lang w:eastAsia="ar-SA"/>
        </w:rPr>
        <w:t>Инсулинотерапия препаратами короткого действия (актрапид, хумалог) в предоперационном периоде выполнена у пациентов с сахарным диабетом и гипергликемией более 10 ммоль/л – всего у шести пациентов с МФОИ и ОС. При этом не допускалось развития гипогликемии. Гликемический профиль определялся каждые 15–30 минут с последующей коррекцией инфузионной и инсулинотерапии. Во всех случаях достигнуто снижение уровня гликемии менее 12 ммоль/л, после чего выполнено экстренное оперативное лечение.</w:t>
      </w:r>
    </w:p>
    <w:p w:rsidR="00286780" w:rsidRPr="00CE6523" w:rsidRDefault="00286780" w:rsidP="00CE6523">
      <w:pPr>
        <w:spacing w:line="360" w:lineRule="auto"/>
        <w:ind w:firstLine="709"/>
        <w:jc w:val="both"/>
        <w:rPr>
          <w:rFonts w:cs="Calibri"/>
          <w:sz w:val="28"/>
          <w:szCs w:val="28"/>
          <w:lang w:eastAsia="ar-SA"/>
        </w:rPr>
      </w:pPr>
      <w:r w:rsidRPr="00CE6523">
        <w:rPr>
          <w:rFonts w:cs="Calibri"/>
          <w:sz w:val="28"/>
          <w:szCs w:val="28"/>
          <w:lang w:eastAsia="ar-SA"/>
        </w:rPr>
        <w:t xml:space="preserve">Пациентам с ишемической болезнью сердца (13 больных) при отсутствии болевого синдрома и признаков острой ишемии миокарда (по данным электрокардиограммы), выраженной артериальной гипертензии или других неотложных состояний, по согласованию с профильными специалистами (кардиологом, терапевтом), а </w:t>
      </w:r>
      <w:r>
        <w:rPr>
          <w:rFonts w:cs="Calibri"/>
          <w:sz w:val="28"/>
          <w:szCs w:val="28"/>
          <w:lang w:eastAsia="ar-SA"/>
        </w:rPr>
        <w:t>также</w:t>
      </w:r>
      <w:r w:rsidRPr="00CE6523">
        <w:rPr>
          <w:rFonts w:cs="Calibri"/>
          <w:sz w:val="28"/>
          <w:szCs w:val="28"/>
          <w:lang w:eastAsia="ar-SA"/>
        </w:rPr>
        <w:t xml:space="preserve"> в соответствии с клиническими рекомендациями </w:t>
      </w:r>
      <w:r w:rsidRPr="0020266C">
        <w:rPr>
          <w:rFonts w:cs="Calibri"/>
          <w:sz w:val="28"/>
          <w:szCs w:val="28"/>
          <w:lang w:eastAsia="ar-SA"/>
        </w:rPr>
        <w:t>(</w:t>
      </w:r>
      <w:r w:rsidRPr="00CE6523">
        <w:rPr>
          <w:rFonts w:cs="Calibri"/>
          <w:sz w:val="28"/>
          <w:szCs w:val="28"/>
          <w:shd w:val="clear" w:color="auto" w:fill="FFFFFF"/>
          <w:lang w:eastAsia="ar-SA"/>
        </w:rPr>
        <w:t>Заболотских И.Б. и др., 2018; 2015</w:t>
      </w:r>
      <w:r w:rsidRPr="0020266C">
        <w:rPr>
          <w:rFonts w:cs="Calibri"/>
          <w:sz w:val="28"/>
          <w:szCs w:val="28"/>
          <w:lang w:eastAsia="ar-SA"/>
        </w:rPr>
        <w:t>)</w:t>
      </w:r>
      <w:r w:rsidRPr="00CE6523">
        <w:rPr>
          <w:rFonts w:cs="Calibri"/>
          <w:sz w:val="28"/>
          <w:szCs w:val="28"/>
          <w:lang w:eastAsia="ar-SA"/>
        </w:rPr>
        <w:t>, специфической кардиологической терапии не проводилось. После выполнения предоперационной антибиотикотерапии, введения аналь</w:t>
      </w:r>
      <w:r w:rsidRPr="00CE6523">
        <w:rPr>
          <w:rFonts w:cs="Calibri"/>
          <w:sz w:val="28"/>
          <w:szCs w:val="28"/>
          <w:lang w:eastAsia="ar-SA"/>
        </w:rPr>
        <w:lastRenderedPageBreak/>
        <w:t>гетиков, а в двух случаях при наличии гиповолемии и выраженной интоксикации – инфузионной терапии до 20 мл/кг массы пациента, больной транспортировался в операционную, где проводилось экстренное оперативное лечение. В последующем кардиотропная терапия выполнялась в соответствии с назначениями терапевта/кардиолога.</w:t>
      </w:r>
    </w:p>
    <w:p w:rsidR="00286780" w:rsidRPr="007C2959" w:rsidRDefault="00286780" w:rsidP="00CE6523">
      <w:pPr>
        <w:spacing w:line="360" w:lineRule="auto"/>
        <w:ind w:firstLine="709"/>
        <w:jc w:val="both"/>
        <w:rPr>
          <w:rFonts w:cs="Calibri"/>
          <w:spacing w:val="-4"/>
          <w:sz w:val="28"/>
          <w:szCs w:val="28"/>
          <w:lang w:eastAsia="ar-SA"/>
        </w:rPr>
      </w:pPr>
      <w:r w:rsidRPr="007C2959">
        <w:rPr>
          <w:rFonts w:cs="Calibri"/>
          <w:spacing w:val="-4"/>
          <w:sz w:val="28"/>
          <w:szCs w:val="28"/>
          <w:lang w:eastAsia="ar-SA"/>
        </w:rPr>
        <w:t xml:space="preserve">Больным с артериальной гипертонией (33 пациента) после соответствующих консультаций профильных специалистов (терапевт/кардиолог) выполнялся предоперационный контроль уровней систолического и диастолического артериального давления (АД). Оптимальным периоперационным уровнем АД можно считать уровень систолического артериального давления не более 160 мм рт. ст., диастолического артериального давления – не менее 70 мм рт. ст. и не более 100 мм рт. ст., причем не следует допускать как резкого повышения АД более 180/120 мм рт.ст., что может приводить к поражению органов-мишеней (головной мозг, сердце, почки, кровеносные сосуды и др.), или гипертоническому кризу, так и резкого значительного снижения АД среднего более чем на 20%, что может привести к ишемии миокарда и другим значимым осложнениям </w:t>
      </w:r>
      <w:r>
        <w:rPr>
          <w:rFonts w:cs="Calibri"/>
          <w:spacing w:val="-4"/>
          <w:sz w:val="28"/>
          <w:szCs w:val="28"/>
          <w:lang w:eastAsia="ar-SA"/>
        </w:rPr>
        <w:t>(</w:t>
      </w:r>
      <w:r>
        <w:rPr>
          <w:rFonts w:cs="Calibri"/>
          <w:spacing w:val="-4"/>
          <w:sz w:val="28"/>
          <w:szCs w:val="28"/>
          <w:shd w:val="clear" w:color="auto" w:fill="FFFFFF"/>
          <w:lang w:eastAsia="ar-SA"/>
        </w:rPr>
        <w:t>Заболотских И.</w:t>
      </w:r>
      <w:r w:rsidRPr="007C2959">
        <w:rPr>
          <w:rFonts w:cs="Calibri"/>
          <w:spacing w:val="-4"/>
          <w:sz w:val="28"/>
          <w:szCs w:val="28"/>
          <w:shd w:val="clear" w:color="auto" w:fill="FFFFFF"/>
          <w:lang w:eastAsia="ar-SA"/>
        </w:rPr>
        <w:t>Б. и др., 2015</w:t>
      </w:r>
      <w:r w:rsidRPr="0020266C">
        <w:rPr>
          <w:rFonts w:cs="Calibri"/>
          <w:spacing w:val="-4"/>
          <w:sz w:val="28"/>
          <w:szCs w:val="28"/>
          <w:lang w:eastAsia="ar-SA"/>
        </w:rPr>
        <w:t>)</w:t>
      </w:r>
      <w:r w:rsidRPr="007C2959">
        <w:rPr>
          <w:rFonts w:cs="Calibri"/>
          <w:spacing w:val="-4"/>
          <w:sz w:val="28"/>
          <w:szCs w:val="28"/>
          <w:lang w:eastAsia="ar-SA"/>
        </w:rPr>
        <w:t>.</w:t>
      </w:r>
    </w:p>
    <w:p w:rsidR="00286780" w:rsidRPr="00CE6523" w:rsidRDefault="00286780" w:rsidP="00CE6523">
      <w:pPr>
        <w:spacing w:line="360" w:lineRule="auto"/>
        <w:ind w:firstLine="709"/>
        <w:jc w:val="both"/>
        <w:rPr>
          <w:rFonts w:cs="Calibri"/>
          <w:sz w:val="28"/>
          <w:szCs w:val="28"/>
          <w:lang w:eastAsia="ar-SA"/>
        </w:rPr>
      </w:pPr>
      <w:r w:rsidRPr="00CE6523">
        <w:rPr>
          <w:rFonts w:cs="Calibri"/>
          <w:sz w:val="28"/>
          <w:szCs w:val="28"/>
          <w:lang w:eastAsia="ar-SA"/>
        </w:rPr>
        <w:t>В предоперационном периоде у 3 пациентов с артериальной гипертонией диагностирован уровень систолического артериального давления более 180 мм рт. ст. (190–210 мм рт. ст.), что потребовало назначения корригирующей терапии (ингибитор АПФ). Достигнуто снижение систолического АД до уровня 160 мм рт. ст., после чего выполнено экстренное оперативное лечение. В дальнейшем – гипотензивная терапия, назначенная терапевтом/кардиологом.</w:t>
      </w:r>
    </w:p>
    <w:p w:rsidR="00286780" w:rsidRPr="00CE6523" w:rsidRDefault="00286780" w:rsidP="00CE6523">
      <w:pPr>
        <w:spacing w:line="360" w:lineRule="auto"/>
        <w:ind w:firstLine="709"/>
        <w:jc w:val="both"/>
        <w:rPr>
          <w:rFonts w:cs="Calibri"/>
          <w:sz w:val="28"/>
          <w:szCs w:val="28"/>
          <w:lang w:eastAsia="ar-SA"/>
        </w:rPr>
      </w:pPr>
      <w:r w:rsidRPr="00CE6523">
        <w:rPr>
          <w:rFonts w:cs="Calibri"/>
          <w:sz w:val="28"/>
          <w:szCs w:val="28"/>
          <w:lang w:eastAsia="ar-SA"/>
        </w:rPr>
        <w:t>При наличии хронической патологии органов дыхания (бронхиальная астма, ХОБЛ) и дыхательной недостаточности требуется тщательная предоперационная оценка с целью определения тяжести заболевания и применению соответствующего лечения. При астме/ХОБЛ требуется максимальная бронходилатирующая терапия, профилактика бронхоспазма (дополнительно – кортикостероиды от 1–2 до 4 мг/кг, возможно внутривенное введение лидокаина 1,5–2 мг/кг,</w:t>
      </w:r>
      <w:r>
        <w:rPr>
          <w:rFonts w:cs="Calibri"/>
          <w:sz w:val="28"/>
          <w:szCs w:val="28"/>
          <w:lang w:eastAsia="ar-SA"/>
        </w:rPr>
        <w:t xml:space="preserve"> не использовать Н2-блокаторы) </w:t>
      </w:r>
      <w:r w:rsidRPr="0020266C">
        <w:rPr>
          <w:rFonts w:cs="Calibri"/>
          <w:sz w:val="28"/>
          <w:szCs w:val="28"/>
          <w:lang w:eastAsia="ar-SA"/>
        </w:rPr>
        <w:t>(</w:t>
      </w:r>
      <w:r w:rsidRPr="00CE6523">
        <w:rPr>
          <w:rFonts w:cs="Calibri"/>
          <w:sz w:val="28"/>
          <w:szCs w:val="28"/>
          <w:lang w:eastAsia="ar-SA"/>
        </w:rPr>
        <w:t>Заб</w:t>
      </w:r>
      <w:r>
        <w:rPr>
          <w:rFonts w:cs="Calibri"/>
          <w:sz w:val="28"/>
          <w:szCs w:val="28"/>
          <w:lang w:eastAsia="ar-SA"/>
        </w:rPr>
        <w:t>олотских И.Б. и др., 2018</w:t>
      </w:r>
      <w:r w:rsidRPr="0020266C">
        <w:rPr>
          <w:rFonts w:cs="Calibri"/>
          <w:sz w:val="28"/>
          <w:szCs w:val="28"/>
          <w:lang w:eastAsia="ar-SA"/>
        </w:rPr>
        <w:t>)</w:t>
      </w:r>
      <w:r w:rsidRPr="00CE6523">
        <w:rPr>
          <w:rFonts w:cs="Calibri"/>
          <w:sz w:val="28"/>
          <w:szCs w:val="28"/>
          <w:lang w:eastAsia="ar-SA"/>
        </w:rPr>
        <w:t>. Требуется консультация профильных специалистов (терапевт, пульмонолог, анестезиолог/реаниматолог).</w:t>
      </w:r>
    </w:p>
    <w:p w:rsidR="00286780" w:rsidRPr="0002581E" w:rsidRDefault="00286780" w:rsidP="0002581E">
      <w:pPr>
        <w:spacing w:line="360" w:lineRule="auto"/>
        <w:ind w:firstLine="709"/>
        <w:jc w:val="both"/>
        <w:rPr>
          <w:rFonts w:cs="Calibri"/>
          <w:sz w:val="28"/>
          <w:szCs w:val="28"/>
          <w:lang w:eastAsia="ar-SA"/>
        </w:rPr>
      </w:pPr>
      <w:r w:rsidRPr="00CE6523">
        <w:rPr>
          <w:rFonts w:cs="Calibri"/>
          <w:sz w:val="28"/>
          <w:szCs w:val="28"/>
          <w:lang w:eastAsia="ar-SA"/>
        </w:rPr>
        <w:lastRenderedPageBreak/>
        <w:t xml:space="preserve">В основной группе наблюдались три пациента с распространенными флегмонами и установленной анамнестически ХОБЛ вне обострения, </w:t>
      </w:r>
      <w:r>
        <w:rPr>
          <w:rFonts w:cs="Calibri"/>
          <w:sz w:val="28"/>
          <w:szCs w:val="28"/>
          <w:lang w:eastAsia="ar-SA"/>
        </w:rPr>
        <w:t>два</w:t>
      </w:r>
      <w:r w:rsidRPr="00CE6523">
        <w:rPr>
          <w:rFonts w:cs="Calibri"/>
          <w:sz w:val="28"/>
          <w:szCs w:val="28"/>
          <w:lang w:eastAsia="ar-SA"/>
        </w:rPr>
        <w:t xml:space="preserve"> пациент</w:t>
      </w:r>
      <w:r>
        <w:rPr>
          <w:rFonts w:cs="Calibri"/>
          <w:sz w:val="28"/>
          <w:szCs w:val="28"/>
          <w:lang w:eastAsia="ar-SA"/>
        </w:rPr>
        <w:t>а</w:t>
      </w:r>
      <w:r w:rsidRPr="00CE6523">
        <w:rPr>
          <w:rFonts w:cs="Calibri"/>
          <w:sz w:val="28"/>
          <w:szCs w:val="28"/>
          <w:lang w:eastAsia="ar-SA"/>
        </w:rPr>
        <w:t xml:space="preserve"> с хроническим обструктивным бронхитом вне обострения. Клинически значимой дыхательной недостаточности (ДН) при поступлении не диагностировано, специализированной предоперационной подготовки, связанной с наличием ДН, не проводилось. Выполнялась предоперационная подготовка по основному заболеванию (МФОИ и ОС).</w:t>
      </w:r>
      <w:r>
        <w:rPr>
          <w:rFonts w:cs="Calibri"/>
          <w:sz w:val="28"/>
          <w:szCs w:val="28"/>
          <w:lang w:eastAsia="ar-SA"/>
        </w:rPr>
        <w:t xml:space="preserve"> </w:t>
      </w:r>
      <w:r w:rsidRPr="00CE6523">
        <w:rPr>
          <w:rFonts w:cs="Calibri"/>
          <w:sz w:val="28"/>
          <w:szCs w:val="28"/>
          <w:lang w:eastAsia="ar-SA"/>
        </w:rPr>
        <w:t>У пациентов с хронической болезнью почек (ХБП) возможны множественные изменения гомеостаза: гиперкалиемия, задержка воды, натрия, дегидратация, гиперкреатининемия, анемия. Необходим тщательный контроль водно-электролитного баланса, исключение нефротоксичных антибиотиков (аминогликозидов, ванкомицина, амфотерицина В), коррекция применения препаратов, влияющих на обмен калия (ингибиторы АПФ, антагонисты ангиотензина, нестероидные противовоспалительные препараты, бета-адреноблокаторы, калий-содержащие растворы). Необходимо избегать избыточного введения жидкости, выполнять коррекцию водно-электролитного баланса (особенно, калия), а при наличии показаний (гиперкалиемия более 6 ммоль/л, перегрузка жидкостью, отек легких, метаболический ацидоз, уремическая интоксикация и кома) следует провести сеанс экстренного гемодиализа. После гемо</w:t>
      </w:r>
      <w:r>
        <w:rPr>
          <w:rFonts w:cs="Calibri"/>
          <w:sz w:val="28"/>
          <w:szCs w:val="28"/>
          <w:lang w:eastAsia="ar-SA"/>
        </w:rPr>
        <w:t>диализа рекомендуется выждать 4</w:t>
      </w:r>
      <w:r w:rsidRPr="00CE6523">
        <w:rPr>
          <w:rFonts w:cs="Calibri"/>
          <w:sz w:val="28"/>
          <w:szCs w:val="28"/>
          <w:lang w:eastAsia="ar-SA"/>
        </w:rPr>
        <w:t>-6 часов для уравновешивания водных секто</w:t>
      </w:r>
      <w:r>
        <w:rPr>
          <w:rFonts w:cs="Calibri"/>
          <w:sz w:val="28"/>
          <w:szCs w:val="28"/>
          <w:lang w:eastAsia="ar-SA"/>
        </w:rPr>
        <w:t xml:space="preserve">ров и устранения гепаринизации </w:t>
      </w:r>
      <w:r w:rsidRPr="0020266C">
        <w:rPr>
          <w:rFonts w:cs="Calibri"/>
          <w:sz w:val="28"/>
          <w:szCs w:val="28"/>
          <w:lang w:eastAsia="ar-SA"/>
        </w:rPr>
        <w:t>(</w:t>
      </w:r>
      <w:r w:rsidRPr="00CE6523">
        <w:rPr>
          <w:rFonts w:cs="Calibri"/>
          <w:sz w:val="28"/>
          <w:szCs w:val="28"/>
          <w:lang w:eastAsia="ar-SA"/>
        </w:rPr>
        <w:t xml:space="preserve">Заболотских </w:t>
      </w:r>
      <w:r w:rsidRPr="00CE6523">
        <w:rPr>
          <w:rFonts w:cs="Calibri"/>
          <w:sz w:val="28"/>
          <w:szCs w:val="28"/>
          <w:shd w:val="clear" w:color="auto" w:fill="FFFFFF"/>
          <w:lang w:eastAsia="ar-SA"/>
        </w:rPr>
        <w:t xml:space="preserve">И.Б. и др., 2018; </w:t>
      </w:r>
      <w:r w:rsidRPr="00CE6523">
        <w:rPr>
          <w:rFonts w:cs="Calibri"/>
          <w:sz w:val="28"/>
          <w:szCs w:val="28"/>
          <w:shd w:val="clear" w:color="auto" w:fill="FFFFFF"/>
          <w:lang w:val="en-US" w:eastAsia="ar-SA"/>
        </w:rPr>
        <w:t>Fukushima</w:t>
      </w:r>
      <w:r>
        <w:rPr>
          <w:rFonts w:cs="Calibri"/>
          <w:sz w:val="28"/>
          <w:szCs w:val="28"/>
          <w:shd w:val="clear" w:color="auto" w:fill="FFFFFF"/>
          <w:lang w:eastAsia="ar-SA"/>
        </w:rPr>
        <w:t xml:space="preserve"> </w:t>
      </w:r>
      <w:r w:rsidRPr="00CE6523">
        <w:rPr>
          <w:rFonts w:cs="Calibri"/>
          <w:sz w:val="28"/>
          <w:szCs w:val="28"/>
          <w:shd w:val="clear" w:color="auto" w:fill="FFFFFF"/>
          <w:lang w:val="en-US" w:eastAsia="ar-SA"/>
        </w:rPr>
        <w:t>S</w:t>
      </w:r>
      <w:r w:rsidRPr="00CE6523">
        <w:rPr>
          <w:rFonts w:cs="Calibri"/>
          <w:sz w:val="28"/>
          <w:szCs w:val="28"/>
          <w:shd w:val="clear" w:color="auto" w:fill="FFFFFF"/>
          <w:lang w:eastAsia="ar-SA"/>
        </w:rPr>
        <w:t xml:space="preserve">. </w:t>
      </w:r>
      <w:r w:rsidRPr="00CE6523">
        <w:rPr>
          <w:rFonts w:cs="Calibri"/>
          <w:sz w:val="28"/>
          <w:szCs w:val="28"/>
          <w:shd w:val="clear" w:color="auto" w:fill="FFFFFF"/>
          <w:lang w:val="en-US" w:eastAsia="ar-SA"/>
        </w:rPr>
        <w:t>et</w:t>
      </w:r>
      <w:r w:rsidRPr="00CE6523">
        <w:rPr>
          <w:rFonts w:cs="Calibri"/>
          <w:sz w:val="28"/>
          <w:szCs w:val="28"/>
          <w:shd w:val="clear" w:color="auto" w:fill="FFFFFF"/>
          <w:lang w:eastAsia="ar-SA"/>
        </w:rPr>
        <w:t xml:space="preserve">. </w:t>
      </w:r>
      <w:r w:rsidRPr="00CE6523">
        <w:rPr>
          <w:rFonts w:cs="Calibri"/>
          <w:sz w:val="28"/>
          <w:szCs w:val="28"/>
          <w:shd w:val="clear" w:color="auto" w:fill="FFFFFF"/>
          <w:lang w:val="en-US" w:eastAsia="ar-SA"/>
        </w:rPr>
        <w:t>al</w:t>
      </w:r>
      <w:r>
        <w:rPr>
          <w:rFonts w:cs="Calibri"/>
          <w:sz w:val="28"/>
          <w:szCs w:val="28"/>
          <w:shd w:val="clear" w:color="auto" w:fill="FFFFFF"/>
          <w:lang w:eastAsia="ar-SA"/>
        </w:rPr>
        <w:t>., 2017</w:t>
      </w:r>
      <w:r w:rsidRPr="0020266C">
        <w:rPr>
          <w:rFonts w:cs="Calibri"/>
          <w:sz w:val="28"/>
          <w:szCs w:val="28"/>
          <w:shd w:val="clear" w:color="auto" w:fill="FFFFFF"/>
          <w:lang w:eastAsia="ar-SA"/>
        </w:rPr>
        <w:t>)</w:t>
      </w:r>
      <w:r w:rsidRPr="00CE6523">
        <w:rPr>
          <w:rFonts w:cs="Calibri"/>
          <w:sz w:val="28"/>
          <w:szCs w:val="28"/>
          <w:shd w:val="clear" w:color="auto" w:fill="FFFFFF"/>
          <w:lang w:eastAsia="ar-SA"/>
        </w:rPr>
        <w:t>.</w:t>
      </w:r>
    </w:p>
    <w:p w:rsidR="00286780" w:rsidRDefault="00286780" w:rsidP="00CE6523">
      <w:pPr>
        <w:spacing w:line="360" w:lineRule="auto"/>
        <w:ind w:firstLine="709"/>
        <w:jc w:val="both"/>
        <w:rPr>
          <w:rFonts w:cs="Calibri"/>
          <w:sz w:val="28"/>
          <w:szCs w:val="28"/>
          <w:lang w:eastAsia="ar-SA"/>
        </w:rPr>
      </w:pPr>
      <w:r w:rsidRPr="00CE6523">
        <w:rPr>
          <w:rFonts w:cs="Calibri"/>
          <w:sz w:val="28"/>
          <w:szCs w:val="28"/>
          <w:lang w:eastAsia="ar-SA"/>
        </w:rPr>
        <w:t xml:space="preserve">В основной группе наблюдался </w:t>
      </w:r>
      <w:r>
        <w:rPr>
          <w:rFonts w:cs="Calibri"/>
          <w:sz w:val="28"/>
          <w:szCs w:val="28"/>
          <w:lang w:eastAsia="ar-SA"/>
        </w:rPr>
        <w:t>один</w:t>
      </w:r>
      <w:r w:rsidRPr="00CE6523">
        <w:rPr>
          <w:rFonts w:cs="Calibri"/>
          <w:sz w:val="28"/>
          <w:szCs w:val="28"/>
          <w:lang w:eastAsia="ar-SA"/>
        </w:rPr>
        <w:t xml:space="preserve"> пациент с распространенной одонтогенной флегмоной дна полости рта и шеи, сепсисом, развившимся на фоне мочекаменной болезни, хронического пиелонефрита единственной почки. ХБП, стадия терминальной хронической почечной недостаточности, симптоматической артериальной гипертензией. Гиперкалиемия, дегидратация при поступлении в стационар отсутствовали, наблюдалась выраженная гиперкреат</w:t>
      </w:r>
      <w:r>
        <w:rPr>
          <w:rFonts w:cs="Calibri"/>
          <w:sz w:val="28"/>
          <w:szCs w:val="28"/>
          <w:lang w:eastAsia="ar-SA"/>
        </w:rPr>
        <w:t>ининемия (более 1000 мкмоль/л).</w:t>
      </w:r>
    </w:p>
    <w:p w:rsidR="00286780" w:rsidRPr="00CE6523" w:rsidRDefault="00286780" w:rsidP="00CE6523">
      <w:pPr>
        <w:spacing w:line="360" w:lineRule="auto"/>
        <w:ind w:firstLine="709"/>
        <w:jc w:val="both"/>
        <w:rPr>
          <w:rFonts w:cs="Calibri"/>
          <w:sz w:val="28"/>
          <w:szCs w:val="28"/>
          <w:lang w:eastAsia="ar-SA"/>
        </w:rPr>
      </w:pPr>
      <w:r w:rsidRPr="00CE6523">
        <w:rPr>
          <w:rFonts w:cs="Calibri"/>
          <w:sz w:val="28"/>
          <w:szCs w:val="28"/>
          <w:lang w:eastAsia="ar-SA"/>
        </w:rPr>
        <w:t>Существенных изменений гемодинамики не выявлено. Выполнены консультации нефролога, уролога, терапевта, реаниматолога. Показания к проведению экстренного гемодиализа отсутствовали. В предоперационном периоде про</w:t>
      </w:r>
      <w:r w:rsidRPr="00CE6523">
        <w:rPr>
          <w:rFonts w:cs="Calibri"/>
          <w:sz w:val="28"/>
          <w:szCs w:val="28"/>
          <w:lang w:eastAsia="ar-SA"/>
        </w:rPr>
        <w:lastRenderedPageBreak/>
        <w:t xml:space="preserve">ведена инфузия физиологического раствора в объеме 200 мл, введение цефалоспорина </w:t>
      </w:r>
      <w:r w:rsidRPr="00CE6523">
        <w:rPr>
          <w:rFonts w:cs="Calibri"/>
          <w:sz w:val="28"/>
          <w:szCs w:val="28"/>
          <w:lang w:val="en-US" w:eastAsia="ar-SA"/>
        </w:rPr>
        <w:t>III</w:t>
      </w:r>
      <w:r w:rsidRPr="00CE6523">
        <w:rPr>
          <w:rFonts w:cs="Calibri"/>
          <w:sz w:val="28"/>
          <w:szCs w:val="28"/>
          <w:lang w:eastAsia="ar-SA"/>
        </w:rPr>
        <w:t xml:space="preserve"> поколения, метранидазола, после чего выполнено экстренное оперативное лечение. В дальнейшем пациент наблюдался в условиях отделения реанимации и интенсивной терапии.</w:t>
      </w:r>
    </w:p>
    <w:p w:rsidR="00286780" w:rsidRPr="00CE6523" w:rsidRDefault="00286780" w:rsidP="00CE6523">
      <w:pPr>
        <w:spacing w:line="360" w:lineRule="auto"/>
        <w:ind w:firstLine="709"/>
        <w:jc w:val="both"/>
        <w:rPr>
          <w:rFonts w:cs="Calibri"/>
          <w:sz w:val="28"/>
          <w:szCs w:val="28"/>
          <w:lang w:eastAsia="ar-SA"/>
        </w:rPr>
      </w:pPr>
      <w:r w:rsidRPr="00CE6523">
        <w:rPr>
          <w:rFonts w:cs="Calibri"/>
          <w:sz w:val="28"/>
          <w:szCs w:val="28"/>
          <w:lang w:eastAsia="ar-SA"/>
        </w:rPr>
        <w:t>Соответствующая многокомпонентная предоперационная подготовка выполнена всем пациентам основной группы. Значимых осложнений, обострения или декомпенсации фоновых полиорганных заболеваний в периоперационном периоде не выявлено.</w:t>
      </w:r>
    </w:p>
    <w:p w:rsidR="00286780" w:rsidRDefault="00286780" w:rsidP="004A0CF0">
      <w:pPr>
        <w:jc w:val="both"/>
        <w:rPr>
          <w:sz w:val="28"/>
          <w:szCs w:val="28"/>
          <w:lang w:eastAsia="en-US"/>
        </w:rPr>
      </w:pPr>
    </w:p>
    <w:p w:rsidR="00286780" w:rsidRDefault="00286780" w:rsidP="00FD18C9">
      <w:pPr>
        <w:pStyle w:val="31"/>
        <w:spacing w:line="360" w:lineRule="auto"/>
        <w:jc w:val="both"/>
      </w:pPr>
      <w:bookmarkStart w:id="31" w:name="_Toc67905713"/>
      <w:r w:rsidRPr="00DD041E">
        <w:t>Хирургическое лечение</w:t>
      </w:r>
      <w:bookmarkEnd w:id="31"/>
    </w:p>
    <w:p w:rsidR="00286780" w:rsidRPr="00DD041E" w:rsidRDefault="00286780" w:rsidP="00FD18C9">
      <w:pPr>
        <w:spacing w:line="360" w:lineRule="auto"/>
        <w:ind w:firstLine="709"/>
        <w:jc w:val="both"/>
        <w:rPr>
          <w:rFonts w:cs="Calibri"/>
          <w:sz w:val="28"/>
          <w:szCs w:val="28"/>
          <w:lang w:eastAsia="ar-SA"/>
        </w:rPr>
      </w:pPr>
      <w:r>
        <w:rPr>
          <w:rFonts w:cs="Calibri"/>
          <w:sz w:val="28"/>
          <w:szCs w:val="28"/>
          <w:lang w:eastAsia="ar-SA"/>
        </w:rPr>
        <w:t>В основной группе пациентов (40</w:t>
      </w:r>
      <w:r w:rsidRPr="00DD041E">
        <w:rPr>
          <w:rFonts w:cs="Calibri"/>
          <w:sz w:val="28"/>
          <w:szCs w:val="28"/>
          <w:lang w:eastAsia="ar-SA"/>
        </w:rPr>
        <w:t>) оперативное пособие выполнялось в соответствии с разр</w:t>
      </w:r>
      <w:r>
        <w:rPr>
          <w:rFonts w:cs="Calibri"/>
          <w:sz w:val="28"/>
          <w:szCs w:val="28"/>
          <w:lang w:eastAsia="ar-SA"/>
        </w:rPr>
        <w:t>аботанным алгоритмом (Таблица 70</w:t>
      </w:r>
      <w:r w:rsidRPr="00DD041E">
        <w:rPr>
          <w:rFonts w:cs="Calibri"/>
          <w:sz w:val="28"/>
          <w:szCs w:val="28"/>
          <w:lang w:eastAsia="ar-SA"/>
        </w:rPr>
        <w:t>). Характер и объем оперативного вмешательства определяется формой воспалительного процесса (ОС или МФОИ), типом острого воспалительного процесса (гнойное или гнилостно-некротическое воспаление).</w:t>
      </w:r>
    </w:p>
    <w:p w:rsidR="00286780" w:rsidRPr="00DD041E" w:rsidRDefault="00286780" w:rsidP="00DD041E">
      <w:pPr>
        <w:spacing w:line="360" w:lineRule="auto"/>
        <w:ind w:firstLine="709"/>
        <w:jc w:val="both"/>
        <w:rPr>
          <w:rFonts w:cs="Calibri"/>
          <w:sz w:val="28"/>
          <w:szCs w:val="28"/>
          <w:lang w:eastAsia="ar-SA"/>
        </w:rPr>
      </w:pPr>
      <w:r w:rsidRPr="00DD041E">
        <w:rPr>
          <w:rFonts w:cs="Calibri"/>
          <w:sz w:val="28"/>
          <w:szCs w:val="28"/>
          <w:lang w:eastAsia="ar-SA"/>
        </w:rPr>
        <w:t>Следует отметить, что все пациенты исследуемой группы имеют фоновую полиморбидную полиорганную патологию внутренних органов, отягощающую течение основного патологического процесса (МФОИ и ОС). Следовательно, объем оперативного вмешательства должен быть «расширен» в сравнении с традиционными методами лечения, пособие должно выполняться более радикально. Радикализация оперативного пособия при наличии распространенного воспалительного процесса может быть достигнута выполнением на стороне поражения так называемой сиалэктомии – удаления подчелюстной слюнной железы (</w:t>
      </w:r>
      <w:r w:rsidRPr="00DD041E">
        <w:rPr>
          <w:rFonts w:cs="Calibri"/>
          <w:sz w:val="28"/>
          <w:szCs w:val="28"/>
          <w:lang w:val="en-US" w:eastAsia="ar-SA"/>
        </w:rPr>
        <w:t>gl</w:t>
      </w:r>
      <w:r w:rsidRPr="00DD041E">
        <w:rPr>
          <w:rFonts w:cs="Calibri"/>
          <w:sz w:val="28"/>
          <w:szCs w:val="28"/>
          <w:lang w:eastAsia="ar-SA"/>
        </w:rPr>
        <w:t xml:space="preserve">. </w:t>
      </w:r>
      <w:r w:rsidRPr="00DD041E">
        <w:rPr>
          <w:rFonts w:cs="Calibri"/>
          <w:sz w:val="28"/>
          <w:szCs w:val="28"/>
          <w:lang w:val="en-US" w:eastAsia="ar-SA"/>
        </w:rPr>
        <w:t>submandibulare</w:t>
      </w:r>
      <w:r w:rsidRPr="00DD041E">
        <w:rPr>
          <w:rFonts w:cs="Calibri"/>
          <w:sz w:val="28"/>
          <w:szCs w:val="28"/>
          <w:lang w:eastAsia="ar-SA"/>
        </w:rPr>
        <w:t xml:space="preserve">), расположенной в подчелюстной топографо-анатомической области (справа и слева), и </w:t>
      </w:r>
      <w:r>
        <w:rPr>
          <w:rFonts w:cs="Calibri"/>
          <w:sz w:val="28"/>
          <w:szCs w:val="28"/>
          <w:lang w:eastAsia="ar-SA"/>
        </w:rPr>
        <w:t>«</w:t>
      </w:r>
      <w:r w:rsidRPr="00DD041E">
        <w:rPr>
          <w:rFonts w:cs="Calibri"/>
          <w:sz w:val="28"/>
          <w:szCs w:val="28"/>
          <w:lang w:eastAsia="ar-SA"/>
        </w:rPr>
        <w:t xml:space="preserve">затрудняющей» за счет своего объема отток гнойного отделяемого как из самой подчелюстной топографо-анатомической области, так и из «глубоких» челюстно-лицевых клетчаточных пространств (заднее окологлоточное, межкрыловидное, височно-крыловидное), пространств дна полости рта и шеи </w:t>
      </w:r>
      <w:r w:rsidRPr="0020266C">
        <w:rPr>
          <w:rFonts w:cs="Calibri"/>
          <w:sz w:val="28"/>
          <w:szCs w:val="28"/>
          <w:lang w:eastAsia="ar-SA"/>
        </w:rPr>
        <w:t>(</w:t>
      </w:r>
      <w:r w:rsidRPr="00DD041E">
        <w:rPr>
          <w:rFonts w:cs="Calibri"/>
          <w:sz w:val="28"/>
          <w:szCs w:val="28"/>
          <w:shd w:val="clear" w:color="auto" w:fill="FFFFFF"/>
          <w:lang w:eastAsia="ar-SA"/>
        </w:rPr>
        <w:t>Лойт А.А., Каюков А.В., 2006</w:t>
      </w:r>
      <w:r w:rsidRPr="00DD041E">
        <w:rPr>
          <w:rFonts w:cs="Calibri"/>
          <w:sz w:val="28"/>
          <w:szCs w:val="28"/>
          <w:lang w:eastAsia="ar-SA"/>
        </w:rPr>
        <w:t>; Р</w:t>
      </w:r>
      <w:r>
        <w:rPr>
          <w:rFonts w:cs="Calibri"/>
          <w:sz w:val="28"/>
          <w:szCs w:val="28"/>
          <w:lang w:eastAsia="ar-SA"/>
        </w:rPr>
        <w:t>обустова Т.Г. и др., 2006, 2003</w:t>
      </w:r>
      <w:r w:rsidRPr="0020266C">
        <w:rPr>
          <w:rFonts w:cs="Calibri"/>
          <w:sz w:val="28"/>
          <w:szCs w:val="28"/>
          <w:lang w:eastAsia="ar-SA"/>
        </w:rPr>
        <w:t>)</w:t>
      </w:r>
      <w:r w:rsidRPr="00DD041E">
        <w:rPr>
          <w:rFonts w:cs="Calibri"/>
          <w:sz w:val="28"/>
          <w:szCs w:val="28"/>
          <w:lang w:eastAsia="ar-SA"/>
        </w:rPr>
        <w:t>.</w:t>
      </w:r>
    </w:p>
    <w:p w:rsidR="00286780" w:rsidRPr="00DD041E" w:rsidRDefault="00286780" w:rsidP="007E1E92">
      <w:pPr>
        <w:spacing w:line="360" w:lineRule="auto"/>
        <w:ind w:firstLine="709"/>
        <w:jc w:val="both"/>
        <w:rPr>
          <w:rFonts w:cs="Calibri"/>
          <w:sz w:val="28"/>
          <w:szCs w:val="28"/>
          <w:lang w:eastAsia="ar-SA"/>
        </w:rPr>
      </w:pPr>
      <w:r w:rsidRPr="00DD041E">
        <w:rPr>
          <w:rFonts w:cs="Calibri"/>
          <w:sz w:val="28"/>
          <w:szCs w:val="28"/>
          <w:lang w:eastAsia="ar-SA"/>
        </w:rPr>
        <w:lastRenderedPageBreak/>
        <w:t>В литературе обнаружены единичные сведения об эффективности удаления подчелюстной слюнной железы (экстирпации) на стороне поражения при распространенных флегмонах челюстно-лицевой области, при этом з</w:t>
      </w:r>
      <w:r>
        <w:rPr>
          <w:rFonts w:cs="Calibri"/>
          <w:sz w:val="28"/>
          <w:szCs w:val="28"/>
          <w:lang w:eastAsia="ar-SA"/>
        </w:rPr>
        <w:t xml:space="preserve">начимых осложнений не отмечено </w:t>
      </w:r>
      <w:r w:rsidRPr="0020266C">
        <w:rPr>
          <w:rFonts w:cs="Calibri"/>
          <w:sz w:val="28"/>
          <w:szCs w:val="28"/>
          <w:lang w:eastAsia="ar-SA"/>
        </w:rPr>
        <w:t>(</w:t>
      </w:r>
      <w:r w:rsidRPr="00DD041E">
        <w:rPr>
          <w:rFonts w:cs="Calibri"/>
          <w:sz w:val="28"/>
          <w:szCs w:val="28"/>
          <w:lang w:eastAsia="ar-SA"/>
        </w:rPr>
        <w:t>Оганесян А.</w:t>
      </w:r>
      <w:r>
        <w:rPr>
          <w:rFonts w:cs="Calibri"/>
          <w:sz w:val="28"/>
          <w:szCs w:val="28"/>
          <w:lang w:eastAsia="ar-SA"/>
        </w:rPr>
        <w:t>А. и др., 2011</w:t>
      </w:r>
      <w:r w:rsidRPr="0020266C">
        <w:rPr>
          <w:rFonts w:cs="Calibri"/>
          <w:sz w:val="28"/>
          <w:szCs w:val="28"/>
          <w:lang w:eastAsia="ar-SA"/>
        </w:rPr>
        <w:t>)</w:t>
      </w:r>
      <w:r w:rsidRPr="00DD041E">
        <w:rPr>
          <w:rFonts w:cs="Calibri"/>
          <w:sz w:val="28"/>
          <w:szCs w:val="28"/>
          <w:lang w:eastAsia="ar-SA"/>
        </w:rPr>
        <w:t>. Каких-либо сведений об эффективности применения экстирпации слюнной железы (</w:t>
      </w:r>
      <w:r w:rsidRPr="00DD041E">
        <w:rPr>
          <w:rFonts w:cs="Calibri"/>
          <w:sz w:val="28"/>
          <w:szCs w:val="28"/>
          <w:lang w:val="en-US" w:eastAsia="ar-SA"/>
        </w:rPr>
        <w:t>gl</w:t>
      </w:r>
      <w:r w:rsidRPr="00DD041E">
        <w:rPr>
          <w:rFonts w:cs="Calibri"/>
          <w:sz w:val="28"/>
          <w:szCs w:val="28"/>
          <w:lang w:eastAsia="ar-SA"/>
        </w:rPr>
        <w:t xml:space="preserve">. </w:t>
      </w:r>
      <w:r w:rsidRPr="00DD041E">
        <w:rPr>
          <w:rFonts w:cs="Calibri"/>
          <w:sz w:val="28"/>
          <w:szCs w:val="28"/>
          <w:lang w:val="en-US" w:eastAsia="ar-SA"/>
        </w:rPr>
        <w:t>submandibulare</w:t>
      </w:r>
      <w:r w:rsidRPr="00DD041E">
        <w:rPr>
          <w:rFonts w:cs="Calibri"/>
          <w:sz w:val="28"/>
          <w:szCs w:val="28"/>
          <w:lang w:eastAsia="ar-SA"/>
        </w:rPr>
        <w:t>) в условиях воспалительного процесса челюстно-лицевой области при наличии фоновой полиорганной патологии не обнаружено.</w:t>
      </w:r>
      <w:r w:rsidR="007E1E92">
        <w:rPr>
          <w:rFonts w:cs="Calibri"/>
          <w:sz w:val="28"/>
          <w:szCs w:val="28"/>
          <w:lang w:eastAsia="ar-SA"/>
        </w:rPr>
        <w:t xml:space="preserve"> </w:t>
      </w:r>
      <w:r>
        <w:rPr>
          <w:rFonts w:cs="Calibri"/>
          <w:sz w:val="28"/>
          <w:szCs w:val="28"/>
          <w:lang w:eastAsia="ar-SA"/>
        </w:rPr>
        <w:t>На Рисунках 14, 15</w:t>
      </w:r>
      <w:r w:rsidRPr="00DD041E">
        <w:rPr>
          <w:rFonts w:cs="Calibri"/>
          <w:sz w:val="28"/>
          <w:szCs w:val="28"/>
          <w:lang w:eastAsia="ar-SA"/>
        </w:rPr>
        <w:t xml:space="preserve"> представлены собственные наблюдения автора, указывающие на отрицательное значение сохранения подчелюстной слюнной железы (</w:t>
      </w:r>
      <w:r w:rsidRPr="00DD041E">
        <w:rPr>
          <w:rFonts w:cs="Calibri"/>
          <w:sz w:val="28"/>
          <w:szCs w:val="28"/>
          <w:lang w:val="en-US" w:eastAsia="ar-SA"/>
        </w:rPr>
        <w:t>gl</w:t>
      </w:r>
      <w:r w:rsidRPr="00DD041E">
        <w:rPr>
          <w:rFonts w:cs="Calibri"/>
          <w:sz w:val="28"/>
          <w:szCs w:val="28"/>
          <w:lang w:eastAsia="ar-SA"/>
        </w:rPr>
        <w:t xml:space="preserve">. </w:t>
      </w:r>
      <w:r w:rsidRPr="00DD041E">
        <w:rPr>
          <w:rFonts w:cs="Calibri"/>
          <w:sz w:val="28"/>
          <w:szCs w:val="28"/>
          <w:lang w:val="en-US" w:eastAsia="ar-SA"/>
        </w:rPr>
        <w:t>submandibulare</w:t>
      </w:r>
      <w:r w:rsidRPr="00DD041E">
        <w:rPr>
          <w:rFonts w:cs="Calibri"/>
          <w:sz w:val="28"/>
          <w:szCs w:val="28"/>
          <w:lang w:eastAsia="ar-SA"/>
        </w:rPr>
        <w:t>) при наличии гнойно-воспалительного процесса дна полости рта и заднего окологлоточного пространства.</w:t>
      </w:r>
    </w:p>
    <w:p w:rsidR="00286780" w:rsidRPr="00DD041E" w:rsidRDefault="00286780" w:rsidP="00DD041E">
      <w:pPr>
        <w:jc w:val="both"/>
        <w:rPr>
          <w:rFonts w:cs="Calibri"/>
          <w:sz w:val="28"/>
          <w:szCs w:val="28"/>
          <w:lang w:eastAsia="ar-SA"/>
        </w:rPr>
      </w:pPr>
    </w:p>
    <w:p w:rsidR="00286780" w:rsidRPr="00DD041E" w:rsidRDefault="00807D20" w:rsidP="00DD041E">
      <w:pPr>
        <w:spacing w:line="360" w:lineRule="auto"/>
        <w:jc w:val="both"/>
        <w:rPr>
          <w:rFonts w:cs="Calibri"/>
          <w:sz w:val="28"/>
          <w:szCs w:val="28"/>
          <w:lang w:eastAsia="ar-SA"/>
        </w:rPr>
      </w:pPr>
      <w:r>
        <w:rPr>
          <w:rFonts w:cs="Calibri"/>
          <w:noProof/>
          <w:sz w:val="28"/>
          <w:szCs w:val="28"/>
        </w:rPr>
        <w:pict>
          <v:shape id="_x0000_i1041" type="#_x0000_t75" style="width:482.4pt;height:374.4pt;visibility:visible" filled="t">
            <v:imagedata r:id="rId27" o:title=""/>
          </v:shape>
        </w:pict>
      </w:r>
    </w:p>
    <w:p w:rsidR="00286780" w:rsidRPr="00DD041E" w:rsidRDefault="00286780" w:rsidP="00DD041E">
      <w:pPr>
        <w:jc w:val="both"/>
        <w:rPr>
          <w:rFonts w:cs="Calibri"/>
          <w:spacing w:val="-4"/>
          <w:sz w:val="24"/>
          <w:szCs w:val="24"/>
          <w:lang w:eastAsia="ar-SA"/>
        </w:rPr>
      </w:pPr>
      <w:r w:rsidRPr="00DD041E">
        <w:rPr>
          <w:rFonts w:cs="Calibri"/>
          <w:i/>
          <w:spacing w:val="-4"/>
          <w:sz w:val="24"/>
          <w:szCs w:val="24"/>
          <w:lang w:eastAsia="ar-SA"/>
        </w:rPr>
        <w:t xml:space="preserve">Примечание. </w:t>
      </w:r>
      <w:r w:rsidRPr="00DD041E">
        <w:rPr>
          <w:rFonts w:cs="Calibri"/>
          <w:spacing w:val="-4"/>
          <w:sz w:val="24"/>
          <w:szCs w:val="24"/>
          <w:lang w:eastAsia="ar-SA"/>
        </w:rPr>
        <w:t>1 – левая поднижнечелюстная слюнная железа (</w:t>
      </w:r>
      <w:r w:rsidRPr="00DD041E">
        <w:rPr>
          <w:rFonts w:cs="Calibri"/>
          <w:spacing w:val="-4"/>
          <w:sz w:val="24"/>
          <w:szCs w:val="24"/>
          <w:lang w:val="en-US" w:eastAsia="ar-SA"/>
        </w:rPr>
        <w:t>gl</w:t>
      </w:r>
      <w:r w:rsidRPr="00DD041E">
        <w:rPr>
          <w:rFonts w:cs="Calibri"/>
          <w:spacing w:val="-4"/>
          <w:sz w:val="24"/>
          <w:szCs w:val="24"/>
          <w:lang w:eastAsia="ar-SA"/>
        </w:rPr>
        <w:t xml:space="preserve">. </w:t>
      </w:r>
      <w:r w:rsidRPr="00DD041E">
        <w:rPr>
          <w:rFonts w:cs="Calibri"/>
          <w:spacing w:val="-4"/>
          <w:sz w:val="24"/>
          <w:szCs w:val="24"/>
          <w:lang w:val="en-US" w:eastAsia="ar-SA"/>
        </w:rPr>
        <w:t>submandibulare</w:t>
      </w:r>
      <w:r w:rsidRPr="00DD041E">
        <w:rPr>
          <w:rFonts w:cs="Calibri"/>
          <w:spacing w:val="-4"/>
          <w:sz w:val="24"/>
          <w:szCs w:val="24"/>
          <w:lang w:eastAsia="ar-SA"/>
        </w:rPr>
        <w:t>), покрытая грануляциями; 2 – затруднение оттока гнойного отделяемого латеральнее слюнной желез; 3 – челюстно-подъязычная мышца (</w:t>
      </w:r>
      <w:r w:rsidRPr="00DD041E">
        <w:rPr>
          <w:rFonts w:cs="Calibri"/>
          <w:spacing w:val="-4"/>
          <w:sz w:val="24"/>
          <w:szCs w:val="24"/>
          <w:lang w:val="en-US" w:eastAsia="ar-SA"/>
        </w:rPr>
        <w:t>m</w:t>
      </w:r>
      <w:r w:rsidRPr="00DD041E">
        <w:rPr>
          <w:rFonts w:cs="Calibri"/>
          <w:spacing w:val="-4"/>
          <w:sz w:val="24"/>
          <w:szCs w:val="24"/>
          <w:lang w:eastAsia="ar-SA"/>
        </w:rPr>
        <w:t xml:space="preserve">. </w:t>
      </w:r>
      <w:r w:rsidRPr="00DD041E">
        <w:rPr>
          <w:rFonts w:cs="Calibri"/>
          <w:spacing w:val="-4"/>
          <w:sz w:val="24"/>
          <w:szCs w:val="24"/>
          <w:lang w:val="en-US" w:eastAsia="ar-SA"/>
        </w:rPr>
        <w:t>mylohyoideus</w:t>
      </w:r>
      <w:r w:rsidRPr="00DD041E">
        <w:rPr>
          <w:rFonts w:cs="Calibri"/>
          <w:spacing w:val="-4"/>
          <w:sz w:val="24"/>
          <w:szCs w:val="24"/>
          <w:lang w:eastAsia="ar-SA"/>
        </w:rPr>
        <w:t>), затруднение оттока гнойного отделяемого медиальнее слюнной железы; 4 – подкожная жировая клетчатка, подкожная мышца шеи (</w:t>
      </w:r>
      <w:r w:rsidRPr="00DD041E">
        <w:rPr>
          <w:rFonts w:cs="Calibri"/>
          <w:spacing w:val="-4"/>
          <w:sz w:val="24"/>
          <w:szCs w:val="24"/>
          <w:lang w:val="en-US" w:eastAsia="ar-SA"/>
        </w:rPr>
        <w:t>m</w:t>
      </w:r>
      <w:r w:rsidRPr="00DD041E">
        <w:rPr>
          <w:rFonts w:cs="Calibri"/>
          <w:spacing w:val="-4"/>
          <w:sz w:val="24"/>
          <w:szCs w:val="24"/>
          <w:lang w:eastAsia="ar-SA"/>
        </w:rPr>
        <w:t xml:space="preserve">. </w:t>
      </w:r>
      <w:r w:rsidRPr="00DD041E">
        <w:rPr>
          <w:rFonts w:cs="Calibri"/>
          <w:spacing w:val="-4"/>
          <w:sz w:val="24"/>
          <w:szCs w:val="24"/>
          <w:lang w:val="en-US" w:eastAsia="ar-SA"/>
        </w:rPr>
        <w:t>platisma</w:t>
      </w:r>
      <w:r w:rsidRPr="00DD041E">
        <w:rPr>
          <w:rFonts w:cs="Calibri"/>
          <w:spacing w:val="-4"/>
          <w:sz w:val="24"/>
          <w:szCs w:val="24"/>
          <w:lang w:eastAsia="ar-SA"/>
        </w:rPr>
        <w:t>)</w:t>
      </w:r>
    </w:p>
    <w:p w:rsidR="00286780" w:rsidRPr="00DD041E" w:rsidRDefault="00286780" w:rsidP="00DD041E">
      <w:pPr>
        <w:jc w:val="both"/>
        <w:rPr>
          <w:rFonts w:cs="Calibri"/>
          <w:sz w:val="28"/>
          <w:szCs w:val="28"/>
          <w:lang w:eastAsia="ar-SA"/>
        </w:rPr>
      </w:pPr>
      <w:r w:rsidRPr="00DD041E">
        <w:rPr>
          <w:rFonts w:cs="Calibri"/>
          <w:b/>
          <w:sz w:val="28"/>
          <w:szCs w:val="28"/>
          <w:lang w:eastAsia="ar-SA"/>
        </w:rPr>
        <w:lastRenderedPageBreak/>
        <w:t xml:space="preserve">Рисунок </w:t>
      </w:r>
      <w:r>
        <w:rPr>
          <w:rFonts w:cs="Calibri"/>
          <w:b/>
          <w:sz w:val="28"/>
          <w:szCs w:val="28"/>
          <w:lang w:eastAsia="ar-SA"/>
        </w:rPr>
        <w:t>14</w:t>
      </w:r>
      <w:r w:rsidRPr="00DD041E">
        <w:rPr>
          <w:rFonts w:cs="Calibri"/>
          <w:sz w:val="28"/>
          <w:szCs w:val="28"/>
          <w:lang w:eastAsia="ar-SA"/>
        </w:rPr>
        <w:t xml:space="preserve"> – Стандартный доступ для вскрытия флегмон дна полости рта и окологлоточного пространства (шестые сутки после операции, гнойный тип острого воспалительного процесса)</w:t>
      </w:r>
    </w:p>
    <w:p w:rsidR="00286780" w:rsidRPr="00DD041E" w:rsidRDefault="00286780" w:rsidP="00DD041E">
      <w:pPr>
        <w:jc w:val="both"/>
        <w:rPr>
          <w:rFonts w:cs="Calibri"/>
          <w:sz w:val="28"/>
          <w:szCs w:val="28"/>
          <w:lang w:eastAsia="ar-SA"/>
        </w:rPr>
      </w:pPr>
    </w:p>
    <w:p w:rsidR="00286780" w:rsidRPr="00DD041E" w:rsidRDefault="00286780" w:rsidP="00DD041E">
      <w:pPr>
        <w:spacing w:line="360" w:lineRule="auto"/>
        <w:ind w:firstLine="709"/>
        <w:jc w:val="both"/>
        <w:rPr>
          <w:rFonts w:cs="Calibri"/>
          <w:sz w:val="28"/>
          <w:szCs w:val="28"/>
          <w:lang w:eastAsia="ar-SA"/>
        </w:rPr>
      </w:pPr>
      <w:r w:rsidRPr="00DD041E">
        <w:rPr>
          <w:rFonts w:cs="Calibri"/>
          <w:sz w:val="28"/>
          <w:szCs w:val="28"/>
          <w:lang w:eastAsia="ar-SA"/>
        </w:rPr>
        <w:t xml:space="preserve">При стандартном доступе в подчелюстную топографо-анатомическую область и клетчаточные пространства дна полости рта, расположенные над челюстно-подъязычной мышцей, а </w:t>
      </w:r>
      <w:r>
        <w:rPr>
          <w:rFonts w:cs="Calibri"/>
          <w:sz w:val="28"/>
          <w:szCs w:val="28"/>
          <w:lang w:eastAsia="ar-SA"/>
        </w:rPr>
        <w:t>также</w:t>
      </w:r>
      <w:r w:rsidRPr="00DD041E">
        <w:rPr>
          <w:rFonts w:cs="Calibri"/>
          <w:sz w:val="28"/>
          <w:szCs w:val="28"/>
          <w:lang w:eastAsia="ar-SA"/>
        </w:rPr>
        <w:t xml:space="preserve"> окологлоточное пространство, поднижечелюстная слюнная железа (</w:t>
      </w:r>
      <w:r w:rsidRPr="00DD041E">
        <w:rPr>
          <w:rFonts w:cs="Calibri"/>
          <w:sz w:val="28"/>
          <w:szCs w:val="28"/>
          <w:lang w:val="en-US" w:eastAsia="ar-SA"/>
        </w:rPr>
        <w:t>gl</w:t>
      </w:r>
      <w:r w:rsidRPr="00DD041E">
        <w:rPr>
          <w:rFonts w:cs="Calibri"/>
          <w:sz w:val="28"/>
          <w:szCs w:val="28"/>
          <w:lang w:eastAsia="ar-SA"/>
        </w:rPr>
        <w:t xml:space="preserve">. </w:t>
      </w:r>
      <w:r w:rsidRPr="00DD041E">
        <w:rPr>
          <w:rFonts w:cs="Calibri"/>
          <w:sz w:val="28"/>
          <w:szCs w:val="28"/>
          <w:lang w:val="en-US" w:eastAsia="ar-SA"/>
        </w:rPr>
        <w:t>submandibulare</w:t>
      </w:r>
      <w:r w:rsidRPr="00DD041E">
        <w:rPr>
          <w:rFonts w:cs="Calibri"/>
          <w:sz w:val="28"/>
          <w:szCs w:val="28"/>
          <w:lang w:eastAsia="ar-SA"/>
        </w:rPr>
        <w:t>) существенно затрудняет отток гнойного отделяемого, являясь механическим препятствием.</w:t>
      </w:r>
    </w:p>
    <w:p w:rsidR="00286780" w:rsidRPr="00DD041E" w:rsidRDefault="00286780" w:rsidP="00DD041E">
      <w:pPr>
        <w:jc w:val="both"/>
        <w:rPr>
          <w:rFonts w:cs="Calibri"/>
          <w:sz w:val="28"/>
          <w:szCs w:val="28"/>
          <w:lang w:eastAsia="ar-SA"/>
        </w:rPr>
      </w:pPr>
    </w:p>
    <w:p w:rsidR="00286780" w:rsidRPr="00DD041E" w:rsidRDefault="00807D20" w:rsidP="00DD041E">
      <w:pPr>
        <w:spacing w:line="360" w:lineRule="auto"/>
        <w:jc w:val="both"/>
        <w:rPr>
          <w:rFonts w:cs="Calibri"/>
          <w:sz w:val="28"/>
          <w:szCs w:val="28"/>
          <w:lang w:eastAsia="ar-SA"/>
        </w:rPr>
      </w:pPr>
      <w:r>
        <w:rPr>
          <w:rFonts w:cs="Calibri"/>
          <w:noProof/>
          <w:sz w:val="28"/>
          <w:szCs w:val="28"/>
        </w:rPr>
        <w:pict>
          <v:shape id="_x0000_i1042" type="#_x0000_t75" style="width:489.6pt;height:309.6pt;visibility:visible" filled="t">
            <v:imagedata r:id="rId28" o:title=""/>
          </v:shape>
        </w:pict>
      </w:r>
    </w:p>
    <w:p w:rsidR="00286780" w:rsidRPr="00DD041E" w:rsidRDefault="00286780" w:rsidP="00DD041E">
      <w:pPr>
        <w:jc w:val="both"/>
        <w:rPr>
          <w:rFonts w:cs="Calibri"/>
          <w:sz w:val="24"/>
          <w:szCs w:val="24"/>
          <w:lang w:eastAsia="ar-SA"/>
        </w:rPr>
      </w:pPr>
      <w:r w:rsidRPr="00DD041E">
        <w:rPr>
          <w:rFonts w:cs="Calibri"/>
          <w:i/>
          <w:sz w:val="24"/>
          <w:szCs w:val="24"/>
          <w:lang w:eastAsia="ar-SA"/>
        </w:rPr>
        <w:t>Примечание</w:t>
      </w:r>
      <w:r w:rsidRPr="00DD041E">
        <w:rPr>
          <w:rFonts w:cs="Calibri"/>
          <w:sz w:val="24"/>
          <w:szCs w:val="24"/>
          <w:lang w:eastAsia="ar-SA"/>
        </w:rPr>
        <w:t>. 1 – дренаж между нижней челюстью и поднижнечелюстной слюнной железой (</w:t>
      </w:r>
      <w:r w:rsidRPr="00DD041E">
        <w:rPr>
          <w:rFonts w:cs="Calibri"/>
          <w:sz w:val="24"/>
          <w:szCs w:val="24"/>
          <w:lang w:val="en-US" w:eastAsia="ar-SA"/>
        </w:rPr>
        <w:t>gl</w:t>
      </w:r>
      <w:r w:rsidRPr="00DD041E">
        <w:rPr>
          <w:rFonts w:cs="Calibri"/>
          <w:sz w:val="24"/>
          <w:szCs w:val="24"/>
          <w:lang w:eastAsia="ar-SA"/>
        </w:rPr>
        <w:t xml:space="preserve">. </w:t>
      </w:r>
      <w:r w:rsidRPr="00DD041E">
        <w:rPr>
          <w:rFonts w:cs="Calibri"/>
          <w:sz w:val="24"/>
          <w:szCs w:val="24"/>
          <w:lang w:val="en-US" w:eastAsia="ar-SA"/>
        </w:rPr>
        <w:t>submandibulare</w:t>
      </w:r>
      <w:r w:rsidRPr="00DD041E">
        <w:rPr>
          <w:rFonts w:cs="Calibri"/>
          <w:sz w:val="24"/>
          <w:szCs w:val="24"/>
          <w:lang w:eastAsia="ar-SA"/>
        </w:rPr>
        <w:t>); 2 – правая поднижнечелюстная слюнная железа частично мобилизована и отведена книзу, грануляции; 3 – челюстно-подъязычная мышца (</w:t>
      </w:r>
      <w:r w:rsidRPr="00DD041E">
        <w:rPr>
          <w:rFonts w:cs="Calibri"/>
          <w:sz w:val="24"/>
          <w:szCs w:val="24"/>
          <w:lang w:val="en-US" w:eastAsia="ar-SA"/>
        </w:rPr>
        <w:t>m</w:t>
      </w:r>
      <w:r w:rsidRPr="00DD041E">
        <w:rPr>
          <w:rFonts w:cs="Calibri"/>
          <w:sz w:val="24"/>
          <w:szCs w:val="24"/>
          <w:lang w:eastAsia="ar-SA"/>
        </w:rPr>
        <w:t xml:space="preserve">. </w:t>
      </w:r>
      <w:r w:rsidRPr="00DD041E">
        <w:rPr>
          <w:rFonts w:cs="Calibri"/>
          <w:sz w:val="24"/>
          <w:szCs w:val="24"/>
          <w:lang w:val="en-US" w:eastAsia="ar-SA"/>
        </w:rPr>
        <w:t>mylohyoideus</w:t>
      </w:r>
      <w:r w:rsidRPr="00DD041E">
        <w:rPr>
          <w:rFonts w:cs="Calibri"/>
          <w:sz w:val="24"/>
          <w:szCs w:val="24"/>
          <w:lang w:eastAsia="ar-SA"/>
        </w:rPr>
        <w:t>); 4 – подкожная жировая клетчатка</w:t>
      </w:r>
    </w:p>
    <w:p w:rsidR="00286780" w:rsidRPr="00DD041E" w:rsidRDefault="00286780" w:rsidP="00DD041E">
      <w:pPr>
        <w:jc w:val="center"/>
        <w:rPr>
          <w:rFonts w:cs="Calibri"/>
          <w:sz w:val="28"/>
          <w:szCs w:val="28"/>
          <w:lang w:eastAsia="ar-SA"/>
        </w:rPr>
      </w:pPr>
      <w:r w:rsidRPr="00565460">
        <w:rPr>
          <w:rFonts w:cs="Calibri"/>
          <w:b/>
          <w:sz w:val="28"/>
          <w:szCs w:val="28"/>
          <w:lang w:eastAsia="ar-SA"/>
        </w:rPr>
        <w:t xml:space="preserve">Рисунок </w:t>
      </w:r>
      <w:r>
        <w:rPr>
          <w:rFonts w:cs="Calibri"/>
          <w:b/>
          <w:sz w:val="28"/>
          <w:szCs w:val="28"/>
          <w:lang w:eastAsia="ar-SA"/>
        </w:rPr>
        <w:t>15</w:t>
      </w:r>
      <w:r w:rsidRPr="00DD041E">
        <w:rPr>
          <w:rFonts w:cs="Calibri"/>
          <w:sz w:val="28"/>
          <w:szCs w:val="28"/>
          <w:lang w:eastAsia="ar-SA"/>
        </w:rPr>
        <w:t xml:space="preserve"> – Стандартный доступ для вскрытия </w:t>
      </w:r>
      <w:r w:rsidR="00117EE0">
        <w:rPr>
          <w:rFonts w:cs="Calibri"/>
          <w:sz w:val="28"/>
          <w:szCs w:val="28"/>
          <w:lang w:eastAsia="ar-SA"/>
        </w:rPr>
        <w:t xml:space="preserve">флегмон дна полости рта, третьи </w:t>
      </w:r>
      <w:r w:rsidRPr="00DD041E">
        <w:rPr>
          <w:rFonts w:cs="Calibri"/>
          <w:sz w:val="28"/>
          <w:szCs w:val="28"/>
          <w:lang w:eastAsia="ar-SA"/>
        </w:rPr>
        <w:t>сутки после операции, гнойный тип острого воспалительного процесса)</w:t>
      </w:r>
    </w:p>
    <w:p w:rsidR="00286780" w:rsidRPr="00DD041E" w:rsidRDefault="00286780" w:rsidP="00DD041E">
      <w:pPr>
        <w:jc w:val="both"/>
        <w:rPr>
          <w:rFonts w:cs="Calibri"/>
          <w:sz w:val="28"/>
          <w:szCs w:val="28"/>
          <w:lang w:eastAsia="ar-SA"/>
        </w:rPr>
      </w:pPr>
    </w:p>
    <w:p w:rsidR="00286780" w:rsidRPr="00DD041E" w:rsidRDefault="00286780" w:rsidP="00DD041E">
      <w:pPr>
        <w:spacing w:line="360" w:lineRule="auto"/>
        <w:ind w:firstLine="709"/>
        <w:jc w:val="both"/>
        <w:rPr>
          <w:rFonts w:cs="Calibri"/>
          <w:sz w:val="28"/>
          <w:szCs w:val="28"/>
          <w:lang w:eastAsia="ar-SA"/>
        </w:rPr>
      </w:pPr>
      <w:r w:rsidRPr="00DD041E">
        <w:rPr>
          <w:rFonts w:cs="Calibri"/>
          <w:sz w:val="28"/>
          <w:szCs w:val="28"/>
          <w:lang w:eastAsia="ar-SA"/>
        </w:rPr>
        <w:t xml:space="preserve">Протокол стандартного доступа для вскрытия флегмон дна полсти рта (см. раздел «Материалы и методы» не акцентирует внимание хирурга на необходимость дренирования клетчатки, локализующейся </w:t>
      </w:r>
      <w:r w:rsidRPr="00DD041E">
        <w:rPr>
          <w:rFonts w:cs="Calibri"/>
          <w:i/>
          <w:sz w:val="28"/>
          <w:szCs w:val="28"/>
          <w:lang w:eastAsia="ar-SA"/>
        </w:rPr>
        <w:t>кзади и книзу от подчелюстной слюнной железы за пределами покрывающей ее фасции</w:t>
      </w:r>
      <w:r w:rsidRPr="00DD041E">
        <w:rPr>
          <w:rFonts w:cs="Calibri"/>
          <w:sz w:val="28"/>
          <w:szCs w:val="28"/>
          <w:lang w:eastAsia="ar-SA"/>
        </w:rPr>
        <w:t>.</w:t>
      </w:r>
    </w:p>
    <w:p w:rsidR="00286780" w:rsidRPr="00DD041E" w:rsidRDefault="00286780" w:rsidP="00DD041E">
      <w:pPr>
        <w:spacing w:line="360" w:lineRule="auto"/>
        <w:ind w:firstLine="709"/>
        <w:jc w:val="both"/>
        <w:rPr>
          <w:rFonts w:cs="Calibri"/>
          <w:sz w:val="28"/>
          <w:szCs w:val="28"/>
          <w:lang w:eastAsia="ar-SA"/>
        </w:rPr>
      </w:pPr>
      <w:r w:rsidRPr="00DD041E">
        <w:rPr>
          <w:rFonts w:cs="Calibri"/>
          <w:sz w:val="28"/>
          <w:szCs w:val="28"/>
          <w:lang w:eastAsia="ar-SA"/>
        </w:rPr>
        <w:lastRenderedPageBreak/>
        <w:t>Для оперативного лечения пациентов основной группы с одонтогенными флегмонами дна полости рта (в том числе с вовлечением окологлоточного пространства) или подчелюстной области, использованы 2 модифицированных дос</w:t>
      </w:r>
      <w:r>
        <w:rPr>
          <w:rFonts w:cs="Calibri"/>
          <w:sz w:val="28"/>
          <w:szCs w:val="28"/>
          <w:lang w:eastAsia="ar-SA"/>
        </w:rPr>
        <w:t>тупа (Рисунки 16</w:t>
      </w:r>
      <w:r w:rsidRPr="00DD041E">
        <w:rPr>
          <w:rFonts w:cs="Calibri"/>
          <w:sz w:val="28"/>
          <w:szCs w:val="28"/>
          <w:lang w:eastAsia="ar-SA"/>
        </w:rPr>
        <w:t>–</w:t>
      </w:r>
      <w:r>
        <w:rPr>
          <w:rFonts w:cs="Calibri"/>
          <w:sz w:val="28"/>
          <w:szCs w:val="28"/>
          <w:lang w:eastAsia="ar-SA"/>
        </w:rPr>
        <w:t>19</w:t>
      </w:r>
      <w:r w:rsidRPr="00DD041E">
        <w:rPr>
          <w:rFonts w:cs="Calibri"/>
          <w:sz w:val="28"/>
          <w:szCs w:val="28"/>
          <w:lang w:eastAsia="ar-SA"/>
        </w:rPr>
        <w:t>):</w:t>
      </w:r>
    </w:p>
    <w:p w:rsidR="00286780" w:rsidRPr="00DD041E" w:rsidRDefault="00286780" w:rsidP="00DD041E">
      <w:pPr>
        <w:spacing w:line="360" w:lineRule="auto"/>
        <w:ind w:firstLine="709"/>
        <w:jc w:val="both"/>
        <w:rPr>
          <w:rFonts w:cs="Calibri"/>
          <w:sz w:val="28"/>
          <w:szCs w:val="28"/>
          <w:lang w:eastAsia="ar-SA"/>
        </w:rPr>
      </w:pPr>
      <w:r w:rsidRPr="00DD041E">
        <w:rPr>
          <w:rFonts w:cs="Calibri"/>
          <w:sz w:val="28"/>
          <w:szCs w:val="28"/>
          <w:lang w:eastAsia="ar-SA"/>
        </w:rPr>
        <w:t>1) модифицированный доступ для вскрытия флегмон дна полости рта и окологлоточного пространства, включающий удаление поднижечелюстной слюнной железы на стороне поражения (в условиях общей анестезии);</w:t>
      </w:r>
    </w:p>
    <w:p w:rsidR="00286780" w:rsidRPr="00DD041E" w:rsidRDefault="00286780" w:rsidP="00DD041E">
      <w:pPr>
        <w:spacing w:line="360" w:lineRule="auto"/>
        <w:ind w:firstLine="709"/>
        <w:jc w:val="both"/>
        <w:rPr>
          <w:rFonts w:cs="Calibri"/>
          <w:sz w:val="28"/>
          <w:szCs w:val="28"/>
          <w:lang w:eastAsia="ar-SA"/>
        </w:rPr>
      </w:pPr>
      <w:r w:rsidRPr="00DD041E">
        <w:rPr>
          <w:rFonts w:cs="Calibri"/>
          <w:sz w:val="28"/>
          <w:szCs w:val="28"/>
          <w:lang w:eastAsia="ar-SA"/>
        </w:rPr>
        <w:t>2) «Способ оперативного лечения одонтогенных флегмон дна полости рта с частичным рассечением подъязычно-подчелюстного мешка», патент Российской Федерации № 2705105 (в условиях местной анестезии).</w:t>
      </w:r>
    </w:p>
    <w:p w:rsidR="00286780" w:rsidRPr="00DD041E" w:rsidRDefault="00286780" w:rsidP="00DD041E">
      <w:pPr>
        <w:spacing w:line="360" w:lineRule="auto"/>
        <w:ind w:firstLine="709"/>
        <w:jc w:val="both"/>
        <w:rPr>
          <w:rFonts w:cs="Calibri"/>
          <w:sz w:val="28"/>
          <w:szCs w:val="28"/>
          <w:lang w:eastAsia="ar-SA"/>
        </w:rPr>
      </w:pPr>
      <w:r w:rsidRPr="00DD041E">
        <w:rPr>
          <w:rFonts w:cs="Calibri"/>
          <w:sz w:val="28"/>
          <w:szCs w:val="28"/>
          <w:lang w:eastAsia="ar-SA"/>
        </w:rPr>
        <w:t>Рассмотрим данные модифицированные оперативные пособия подробно.</w:t>
      </w:r>
    </w:p>
    <w:p w:rsidR="00286780" w:rsidRPr="00DD041E" w:rsidRDefault="00286780" w:rsidP="00DD041E">
      <w:pPr>
        <w:spacing w:line="360" w:lineRule="auto"/>
        <w:ind w:firstLine="709"/>
        <w:jc w:val="both"/>
        <w:rPr>
          <w:rFonts w:cs="Calibri"/>
          <w:sz w:val="28"/>
          <w:szCs w:val="28"/>
          <w:lang w:eastAsia="ar-SA"/>
        </w:rPr>
      </w:pPr>
      <w:r w:rsidRPr="00DD041E">
        <w:rPr>
          <w:rFonts w:cs="Calibri"/>
          <w:sz w:val="28"/>
          <w:szCs w:val="28"/>
          <w:lang w:eastAsia="ar-SA"/>
        </w:rPr>
        <w:t>Модифицированный доступ для вскрытия флегмон дна полости рта и окологлоточного пространства, включающий удаление поднижечелюстной слюнной железы на стороне поражения позволяет оптимизировать дренирование воспалительного экссудата из окологлоточного клетчаточного пространства (в основном, заднего), подчелюстной топографо-анатомической области, глубоких клетчаточных пространств шеи на стороне поражения, выполняется в условиях общей ане</w:t>
      </w:r>
      <w:r>
        <w:rPr>
          <w:rFonts w:cs="Calibri"/>
          <w:sz w:val="28"/>
          <w:szCs w:val="28"/>
          <w:lang w:eastAsia="ar-SA"/>
        </w:rPr>
        <w:t>стезии (Рисунок 16</w:t>
      </w:r>
      <w:r w:rsidRPr="00DD041E">
        <w:rPr>
          <w:rFonts w:cs="Calibri"/>
          <w:sz w:val="28"/>
          <w:szCs w:val="28"/>
          <w:lang w:eastAsia="ar-SA"/>
        </w:rPr>
        <w:t>).</w:t>
      </w:r>
    </w:p>
    <w:p w:rsidR="00286780" w:rsidRPr="00DD041E" w:rsidRDefault="00286780" w:rsidP="00DD041E">
      <w:pPr>
        <w:spacing w:line="360" w:lineRule="auto"/>
        <w:ind w:firstLine="709"/>
        <w:jc w:val="both"/>
        <w:rPr>
          <w:rFonts w:cs="Calibri"/>
          <w:sz w:val="28"/>
          <w:szCs w:val="28"/>
          <w:lang w:eastAsia="ar-SA"/>
        </w:rPr>
      </w:pPr>
      <w:r w:rsidRPr="00DD041E">
        <w:rPr>
          <w:rFonts w:cs="Calibri"/>
          <w:sz w:val="28"/>
          <w:szCs w:val="28"/>
          <w:lang w:eastAsia="ar-SA"/>
        </w:rPr>
        <w:t>Показаниями к применению данного модифицированного доступа, включающего удаление подчелюстной слюнной железы на стороне поражения, являются:</w:t>
      </w:r>
    </w:p>
    <w:p w:rsidR="00286780" w:rsidRPr="00DD041E" w:rsidRDefault="00286780" w:rsidP="00DD041E">
      <w:pPr>
        <w:spacing w:line="360" w:lineRule="auto"/>
        <w:ind w:firstLine="709"/>
        <w:jc w:val="both"/>
        <w:rPr>
          <w:rFonts w:cs="Calibri"/>
          <w:sz w:val="28"/>
          <w:szCs w:val="28"/>
          <w:lang w:eastAsia="ar-SA"/>
        </w:rPr>
      </w:pPr>
      <w:r w:rsidRPr="00DD041E">
        <w:rPr>
          <w:rFonts w:cs="Calibri"/>
          <w:sz w:val="28"/>
          <w:szCs w:val="28"/>
          <w:lang w:eastAsia="ar-SA"/>
        </w:rPr>
        <w:t>1) одонтогенная флегмона дна полости рта, в том числе с вовлечением заднего окологлоточного пространства с тенденцией к прогрессированию, гнойный или гнилостно-некротический тип острого воспалительного процесса, вовлечение четырех и более клетчаточных пространств и/или топографо-анатомических областей, сепсис;</w:t>
      </w:r>
    </w:p>
    <w:p w:rsidR="00286780" w:rsidRPr="00DD041E" w:rsidRDefault="00286780" w:rsidP="00DD041E">
      <w:pPr>
        <w:spacing w:line="360" w:lineRule="auto"/>
        <w:ind w:firstLine="709"/>
        <w:jc w:val="both"/>
        <w:rPr>
          <w:rFonts w:cs="Calibri"/>
          <w:sz w:val="28"/>
          <w:szCs w:val="28"/>
          <w:lang w:eastAsia="ar-SA"/>
        </w:rPr>
      </w:pPr>
      <w:r w:rsidRPr="00DD041E">
        <w:rPr>
          <w:rFonts w:cs="Calibri"/>
          <w:sz w:val="28"/>
          <w:szCs w:val="28"/>
          <w:lang w:eastAsia="ar-SA"/>
        </w:rPr>
        <w:t>2) одонтогенная флегмона поднижечелюстного клетчаточного пространства, и/или заднего окологлоточного клетчаточного пространства с тенденцией к прогрессированию, гнойный или гнилостно-некротический тип острого воспалительного процесса, вовлечение четырех и более клетчаточных пространств и/или топографо-анатомических областей, сепсис.</w:t>
      </w:r>
    </w:p>
    <w:p w:rsidR="00286780" w:rsidRPr="00DD041E" w:rsidRDefault="00286780" w:rsidP="00DD041E">
      <w:pPr>
        <w:jc w:val="both"/>
        <w:rPr>
          <w:rFonts w:cs="Calibri"/>
          <w:sz w:val="28"/>
          <w:szCs w:val="28"/>
          <w:lang w:eastAsia="ar-SA"/>
        </w:rPr>
      </w:pPr>
    </w:p>
    <w:p w:rsidR="00286780" w:rsidRPr="00DD041E" w:rsidRDefault="00807D20" w:rsidP="00DD041E">
      <w:pPr>
        <w:spacing w:line="360" w:lineRule="auto"/>
        <w:jc w:val="both"/>
        <w:rPr>
          <w:rFonts w:cs="Calibri"/>
          <w:sz w:val="28"/>
          <w:szCs w:val="28"/>
          <w:lang w:eastAsia="ar-SA"/>
        </w:rPr>
      </w:pPr>
      <w:r>
        <w:rPr>
          <w:rFonts w:cs="Calibri"/>
          <w:noProof/>
          <w:sz w:val="28"/>
          <w:szCs w:val="28"/>
        </w:rPr>
        <w:pict>
          <v:shape id="_x0000_i1043" type="#_x0000_t75" style="width:475.2pt;height:316.8pt;visibility:visible" filled="t">
            <v:imagedata r:id="rId29" o:title=""/>
          </v:shape>
        </w:pict>
      </w:r>
    </w:p>
    <w:p w:rsidR="00286780" w:rsidRPr="00DD041E" w:rsidRDefault="00286780" w:rsidP="00DD041E">
      <w:pPr>
        <w:jc w:val="both"/>
        <w:rPr>
          <w:rFonts w:cs="Calibri"/>
          <w:sz w:val="24"/>
          <w:szCs w:val="24"/>
          <w:lang w:eastAsia="ar-SA"/>
        </w:rPr>
      </w:pPr>
      <w:r w:rsidRPr="00DD041E">
        <w:rPr>
          <w:rFonts w:cs="Calibri"/>
          <w:i/>
          <w:sz w:val="24"/>
          <w:szCs w:val="24"/>
          <w:lang w:eastAsia="ar-SA"/>
        </w:rPr>
        <w:t>Примечание</w:t>
      </w:r>
      <w:r w:rsidRPr="00DD041E">
        <w:rPr>
          <w:rFonts w:cs="Calibri"/>
          <w:sz w:val="24"/>
          <w:szCs w:val="24"/>
          <w:lang w:eastAsia="ar-SA"/>
        </w:rPr>
        <w:t xml:space="preserve">. 1 – передний край </w:t>
      </w:r>
      <w:r w:rsidRPr="00DD041E">
        <w:rPr>
          <w:rFonts w:cs="Calibri"/>
          <w:sz w:val="24"/>
          <w:szCs w:val="24"/>
          <w:lang w:val="en-US" w:eastAsia="ar-SA"/>
        </w:rPr>
        <w:t>m</w:t>
      </w:r>
      <w:r w:rsidRPr="00DD041E">
        <w:rPr>
          <w:rFonts w:cs="Calibri"/>
          <w:sz w:val="24"/>
          <w:szCs w:val="24"/>
          <w:lang w:eastAsia="ar-SA"/>
        </w:rPr>
        <w:t xml:space="preserve">. </w:t>
      </w:r>
      <w:r w:rsidRPr="00DD041E">
        <w:rPr>
          <w:rFonts w:cs="Calibri"/>
          <w:sz w:val="24"/>
          <w:szCs w:val="24"/>
          <w:lang w:val="en-US" w:eastAsia="ar-SA"/>
        </w:rPr>
        <w:t>sternocleidomastoideus</w:t>
      </w:r>
      <w:r w:rsidRPr="00DD041E">
        <w:rPr>
          <w:rFonts w:cs="Calibri"/>
          <w:sz w:val="24"/>
          <w:szCs w:val="24"/>
          <w:lang w:eastAsia="ar-SA"/>
        </w:rPr>
        <w:t>; 2 – отток гнойного отделяемого из заднего окологлоточного пространства в области ложа удаленной поднижечелюстной слюнной железы; 3 – подкожная жировая клетчатка; 4, 5 – подкожная мышца шеи (</w:t>
      </w:r>
      <w:r w:rsidRPr="00DD041E">
        <w:rPr>
          <w:rFonts w:cs="Calibri"/>
          <w:sz w:val="24"/>
          <w:szCs w:val="24"/>
          <w:lang w:val="en-US" w:eastAsia="ar-SA"/>
        </w:rPr>
        <w:t>m</w:t>
      </w:r>
      <w:r w:rsidRPr="00DD041E">
        <w:rPr>
          <w:rFonts w:cs="Calibri"/>
          <w:sz w:val="24"/>
          <w:szCs w:val="24"/>
          <w:lang w:eastAsia="ar-SA"/>
        </w:rPr>
        <w:t xml:space="preserve">. </w:t>
      </w:r>
      <w:r w:rsidRPr="00DD041E">
        <w:rPr>
          <w:rFonts w:cs="Calibri"/>
          <w:sz w:val="24"/>
          <w:szCs w:val="24"/>
          <w:lang w:val="en-US" w:eastAsia="ar-SA"/>
        </w:rPr>
        <w:t>platisma</w:t>
      </w:r>
      <w:r w:rsidRPr="00DD041E">
        <w:rPr>
          <w:rFonts w:cs="Calibri"/>
          <w:sz w:val="24"/>
          <w:szCs w:val="24"/>
          <w:lang w:eastAsia="ar-SA"/>
        </w:rPr>
        <w:t>), челюстно-подъязычная мышца (</w:t>
      </w:r>
      <w:r w:rsidRPr="00DD041E">
        <w:rPr>
          <w:rFonts w:cs="Calibri"/>
          <w:sz w:val="24"/>
          <w:szCs w:val="24"/>
          <w:lang w:val="en-US" w:eastAsia="ar-SA"/>
        </w:rPr>
        <w:t>m</w:t>
      </w:r>
      <w:r w:rsidRPr="00DD041E">
        <w:rPr>
          <w:rFonts w:cs="Calibri"/>
          <w:sz w:val="24"/>
          <w:szCs w:val="24"/>
          <w:lang w:eastAsia="ar-SA"/>
        </w:rPr>
        <w:t xml:space="preserve">. </w:t>
      </w:r>
      <w:r w:rsidRPr="00DD041E">
        <w:rPr>
          <w:rFonts w:cs="Calibri"/>
          <w:sz w:val="24"/>
          <w:szCs w:val="24"/>
          <w:lang w:val="en-US" w:eastAsia="ar-SA"/>
        </w:rPr>
        <w:t>mylohyoideus</w:t>
      </w:r>
      <w:r w:rsidRPr="00DD041E">
        <w:rPr>
          <w:rFonts w:cs="Calibri"/>
          <w:sz w:val="24"/>
          <w:szCs w:val="24"/>
          <w:lang w:eastAsia="ar-SA"/>
        </w:rPr>
        <w:t>), мышцы корня языка</w:t>
      </w:r>
    </w:p>
    <w:p w:rsidR="00286780" w:rsidRPr="00DD041E" w:rsidRDefault="00286780" w:rsidP="00DD041E">
      <w:pPr>
        <w:jc w:val="both"/>
        <w:rPr>
          <w:rFonts w:cs="Calibri"/>
          <w:sz w:val="28"/>
          <w:szCs w:val="28"/>
          <w:lang w:eastAsia="ar-SA"/>
        </w:rPr>
      </w:pPr>
      <w:r w:rsidRPr="00DD041E">
        <w:rPr>
          <w:rFonts w:cs="Calibri"/>
          <w:b/>
          <w:sz w:val="28"/>
          <w:szCs w:val="28"/>
          <w:lang w:eastAsia="ar-SA"/>
        </w:rPr>
        <w:t xml:space="preserve">Рисунок </w:t>
      </w:r>
      <w:r>
        <w:rPr>
          <w:rFonts w:cs="Calibri"/>
          <w:b/>
          <w:sz w:val="28"/>
          <w:szCs w:val="28"/>
          <w:lang w:eastAsia="ar-SA"/>
        </w:rPr>
        <w:t>16</w:t>
      </w:r>
      <w:r w:rsidRPr="00DD041E">
        <w:rPr>
          <w:rFonts w:cs="Calibri"/>
          <w:sz w:val="28"/>
          <w:szCs w:val="28"/>
          <w:lang w:eastAsia="ar-SA"/>
        </w:rPr>
        <w:t xml:space="preserve"> – Модифицированный доступ для вскрытия флегмон дна полости рта и окологлоточного пространства, включающий удаление поднижечелюстной слюнной железы на стороне поражения (3-и сутки после операции, гнойный тип острого воспалительного процесса)</w:t>
      </w:r>
    </w:p>
    <w:p w:rsidR="00286780" w:rsidRPr="00DD041E" w:rsidRDefault="00286780" w:rsidP="00DD041E">
      <w:pPr>
        <w:jc w:val="both"/>
        <w:rPr>
          <w:rFonts w:cs="Calibri"/>
          <w:sz w:val="28"/>
          <w:szCs w:val="28"/>
          <w:lang w:eastAsia="ar-SA"/>
        </w:rPr>
      </w:pPr>
    </w:p>
    <w:p w:rsidR="00286780" w:rsidRPr="00DD041E" w:rsidRDefault="00286780" w:rsidP="00DD041E">
      <w:pPr>
        <w:spacing w:line="360" w:lineRule="auto"/>
        <w:ind w:firstLine="709"/>
        <w:jc w:val="both"/>
        <w:rPr>
          <w:rFonts w:cs="Calibri"/>
          <w:sz w:val="28"/>
          <w:szCs w:val="28"/>
          <w:lang w:eastAsia="ar-SA"/>
        </w:rPr>
      </w:pPr>
      <w:r w:rsidRPr="00DD041E">
        <w:rPr>
          <w:rFonts w:cs="Calibri"/>
          <w:sz w:val="28"/>
          <w:szCs w:val="28"/>
          <w:lang w:eastAsia="ar-SA"/>
        </w:rPr>
        <w:t>Для выполнения данного модифицированного оперативного вмешательства требуется общая анестезия (интубационный наркоз).В том случае, если оперативное лечение под наркозом не показано и сепсис отсутствует, с целью улучшения условий для дренирования гнойной раны применяется разработанный «Способ оперативного лечения одонтогенных флегмон дна полости рта с частичным рассечением подъязычно-подчелюстного мешка», патент Российской</w:t>
      </w:r>
      <w:r>
        <w:rPr>
          <w:rFonts w:cs="Calibri"/>
          <w:sz w:val="28"/>
          <w:szCs w:val="28"/>
          <w:lang w:eastAsia="ar-SA"/>
        </w:rPr>
        <w:t xml:space="preserve"> Федерации № 2705105 </w:t>
      </w:r>
      <w:r w:rsidRPr="0020266C">
        <w:rPr>
          <w:rFonts w:cs="Calibri"/>
          <w:sz w:val="28"/>
          <w:szCs w:val="28"/>
          <w:lang w:eastAsia="ar-SA"/>
        </w:rPr>
        <w:t>(</w:t>
      </w:r>
      <w:r>
        <w:rPr>
          <w:rFonts w:cs="Calibri"/>
          <w:sz w:val="28"/>
          <w:szCs w:val="28"/>
          <w:lang w:eastAsia="ar-SA"/>
        </w:rPr>
        <w:t>Громов А.Л. и др., 2019</w:t>
      </w:r>
      <w:r w:rsidRPr="0020266C">
        <w:rPr>
          <w:rFonts w:cs="Calibri"/>
          <w:sz w:val="28"/>
          <w:szCs w:val="28"/>
          <w:lang w:eastAsia="ar-SA"/>
        </w:rPr>
        <w:t>)</w:t>
      </w:r>
      <w:r w:rsidRPr="00DD041E">
        <w:rPr>
          <w:rFonts w:cs="Calibri"/>
          <w:sz w:val="28"/>
          <w:szCs w:val="28"/>
          <w:lang w:eastAsia="ar-SA"/>
        </w:rPr>
        <w:t xml:space="preserve">.Разрез кожных покровов выполняется параллельно и на 3 см ниже края нижней челюсти. Послойно препарируя мягкие ткани, выполняется частичное рассечение подъязычно-подчелюстного мешка </w:t>
      </w:r>
      <w:r w:rsidRPr="00DD041E">
        <w:rPr>
          <w:rFonts w:cs="Calibri"/>
          <w:i/>
          <w:sz w:val="28"/>
          <w:szCs w:val="28"/>
          <w:lang w:eastAsia="ar-SA"/>
        </w:rPr>
        <w:t>(</w:t>
      </w:r>
      <w:r w:rsidRPr="00DD041E">
        <w:rPr>
          <w:rFonts w:cs="Calibri"/>
          <w:sz w:val="28"/>
          <w:szCs w:val="28"/>
          <w:lang w:val="en-US" w:eastAsia="ar-SA"/>
        </w:rPr>
        <w:t>saccushyomandibulare</w:t>
      </w:r>
      <w:r w:rsidRPr="00DD041E">
        <w:rPr>
          <w:rFonts w:cs="Calibri"/>
          <w:sz w:val="28"/>
          <w:szCs w:val="28"/>
          <w:lang w:eastAsia="ar-SA"/>
        </w:rPr>
        <w:t xml:space="preserve">, поверхностный листок собственной фасции шеи – </w:t>
      </w:r>
      <w:r w:rsidRPr="00DD041E">
        <w:rPr>
          <w:rFonts w:cs="Calibri"/>
          <w:sz w:val="28"/>
          <w:szCs w:val="28"/>
          <w:lang w:val="en-US" w:eastAsia="ar-SA"/>
        </w:rPr>
        <w:t>l</w:t>
      </w:r>
      <w:r w:rsidRPr="00DD041E">
        <w:rPr>
          <w:rFonts w:cs="Calibri"/>
          <w:sz w:val="28"/>
          <w:szCs w:val="28"/>
          <w:lang w:eastAsia="ar-SA"/>
        </w:rPr>
        <w:t xml:space="preserve">. </w:t>
      </w:r>
      <w:r w:rsidRPr="00DD041E">
        <w:rPr>
          <w:rFonts w:cs="Calibri"/>
          <w:sz w:val="28"/>
          <w:szCs w:val="28"/>
          <w:lang w:val="en-US" w:eastAsia="ar-SA"/>
        </w:rPr>
        <w:t>Superfi</w:t>
      </w:r>
      <w:r w:rsidRPr="00DD041E">
        <w:rPr>
          <w:rFonts w:cs="Calibri"/>
          <w:sz w:val="28"/>
          <w:szCs w:val="28"/>
          <w:lang w:val="en-US" w:eastAsia="ar-SA"/>
        </w:rPr>
        <w:lastRenderedPageBreak/>
        <w:t>cialis</w:t>
      </w:r>
      <w:r>
        <w:rPr>
          <w:rFonts w:cs="Calibri"/>
          <w:sz w:val="28"/>
          <w:szCs w:val="28"/>
          <w:lang w:eastAsia="ar-SA"/>
        </w:rPr>
        <w:t xml:space="preserve"> </w:t>
      </w:r>
      <w:r w:rsidRPr="00DD041E">
        <w:rPr>
          <w:rFonts w:cs="Calibri"/>
          <w:sz w:val="28"/>
          <w:szCs w:val="28"/>
          <w:lang w:val="en-US" w:eastAsia="ar-SA"/>
        </w:rPr>
        <w:t>fasciae</w:t>
      </w:r>
      <w:r>
        <w:rPr>
          <w:rFonts w:cs="Calibri"/>
          <w:sz w:val="28"/>
          <w:szCs w:val="28"/>
          <w:lang w:eastAsia="ar-SA"/>
        </w:rPr>
        <w:t xml:space="preserve"> </w:t>
      </w:r>
      <w:r w:rsidRPr="00DD041E">
        <w:rPr>
          <w:rFonts w:cs="Calibri"/>
          <w:sz w:val="28"/>
          <w:szCs w:val="28"/>
          <w:lang w:val="en-US" w:eastAsia="ar-SA"/>
        </w:rPr>
        <w:t>colli</w:t>
      </w:r>
      <w:r>
        <w:rPr>
          <w:rFonts w:cs="Calibri"/>
          <w:sz w:val="28"/>
          <w:szCs w:val="28"/>
          <w:lang w:eastAsia="ar-SA"/>
        </w:rPr>
        <w:t xml:space="preserve"> </w:t>
      </w:r>
      <w:r w:rsidRPr="00DD041E">
        <w:rPr>
          <w:rFonts w:cs="Calibri"/>
          <w:sz w:val="28"/>
          <w:szCs w:val="28"/>
          <w:lang w:val="en-US" w:eastAsia="ar-SA"/>
        </w:rPr>
        <w:t>propria</w:t>
      </w:r>
      <w:r w:rsidRPr="00DD041E">
        <w:rPr>
          <w:rFonts w:cs="Calibri"/>
          <w:sz w:val="28"/>
          <w:szCs w:val="28"/>
          <w:lang w:eastAsia="ar-SA"/>
        </w:rPr>
        <w:t xml:space="preserve">, или </w:t>
      </w:r>
      <w:r w:rsidRPr="00DD041E">
        <w:rPr>
          <w:rFonts w:cs="Calibri"/>
          <w:sz w:val="28"/>
          <w:szCs w:val="28"/>
          <w:lang w:val="en-US" w:eastAsia="ar-SA"/>
        </w:rPr>
        <w:t>l</w:t>
      </w:r>
      <w:r w:rsidRPr="00DD041E">
        <w:rPr>
          <w:rFonts w:cs="Calibri"/>
          <w:sz w:val="28"/>
          <w:szCs w:val="28"/>
          <w:lang w:eastAsia="ar-SA"/>
        </w:rPr>
        <w:t xml:space="preserve">. </w:t>
      </w:r>
      <w:r w:rsidRPr="00DD041E">
        <w:rPr>
          <w:rFonts w:cs="Calibri"/>
          <w:sz w:val="28"/>
          <w:szCs w:val="28"/>
          <w:lang w:val="en-US" w:eastAsia="ar-SA"/>
        </w:rPr>
        <w:t>Superficialis</w:t>
      </w:r>
      <w:r>
        <w:rPr>
          <w:rFonts w:cs="Calibri"/>
          <w:sz w:val="28"/>
          <w:szCs w:val="28"/>
          <w:lang w:eastAsia="ar-SA"/>
        </w:rPr>
        <w:t xml:space="preserve"> </w:t>
      </w:r>
      <w:r w:rsidRPr="00DD041E">
        <w:rPr>
          <w:rFonts w:cs="Calibri"/>
          <w:sz w:val="28"/>
          <w:szCs w:val="28"/>
          <w:lang w:val="en-US" w:eastAsia="ar-SA"/>
        </w:rPr>
        <w:t>fasciae</w:t>
      </w:r>
      <w:r>
        <w:rPr>
          <w:rFonts w:cs="Calibri"/>
          <w:sz w:val="28"/>
          <w:szCs w:val="28"/>
          <w:lang w:eastAsia="ar-SA"/>
        </w:rPr>
        <w:t xml:space="preserve"> </w:t>
      </w:r>
      <w:r w:rsidRPr="00DD041E">
        <w:rPr>
          <w:rFonts w:cs="Calibri"/>
          <w:sz w:val="28"/>
          <w:szCs w:val="28"/>
          <w:lang w:val="en-US" w:eastAsia="ar-SA"/>
        </w:rPr>
        <w:t>cervicalis</w:t>
      </w:r>
      <w:r w:rsidRPr="00DD041E">
        <w:rPr>
          <w:rFonts w:cs="Calibri"/>
          <w:sz w:val="28"/>
          <w:szCs w:val="28"/>
          <w:lang w:eastAsia="ar-SA"/>
        </w:rPr>
        <w:t xml:space="preserve"> по </w:t>
      </w:r>
      <w:r w:rsidRPr="00DD041E">
        <w:rPr>
          <w:rFonts w:cs="Calibri"/>
          <w:sz w:val="28"/>
          <w:szCs w:val="28"/>
          <w:lang w:val="en-US" w:eastAsia="ar-SA"/>
        </w:rPr>
        <w:t>PNA</w:t>
      </w:r>
      <w:r>
        <w:rPr>
          <w:rFonts w:cs="Calibri"/>
          <w:sz w:val="28"/>
          <w:szCs w:val="28"/>
          <w:lang w:eastAsia="ar-SA"/>
        </w:rPr>
        <w:t xml:space="preserve"> </w:t>
      </w:r>
      <w:r w:rsidRPr="0020266C">
        <w:rPr>
          <w:rFonts w:cs="Calibri"/>
          <w:sz w:val="28"/>
          <w:szCs w:val="28"/>
          <w:lang w:eastAsia="ar-SA"/>
        </w:rPr>
        <w:t>(</w:t>
      </w:r>
      <w:r>
        <w:rPr>
          <w:rFonts w:cs="Calibri"/>
          <w:sz w:val="28"/>
          <w:szCs w:val="28"/>
          <w:shd w:val="clear" w:color="auto" w:fill="FFFFFF"/>
          <w:lang w:eastAsia="ar-SA"/>
        </w:rPr>
        <w:t>Лойт А.</w:t>
      </w:r>
      <w:r w:rsidRPr="00DD041E">
        <w:rPr>
          <w:rFonts w:cs="Calibri"/>
          <w:sz w:val="28"/>
          <w:szCs w:val="28"/>
          <w:shd w:val="clear" w:color="auto" w:fill="FFFFFF"/>
          <w:lang w:eastAsia="ar-SA"/>
        </w:rPr>
        <w:t xml:space="preserve">А., Каюков </w:t>
      </w:r>
      <w:r>
        <w:rPr>
          <w:rFonts w:cs="Calibri"/>
          <w:sz w:val="28"/>
          <w:szCs w:val="28"/>
          <w:shd w:val="clear" w:color="auto" w:fill="FFFFFF"/>
          <w:lang w:eastAsia="ar-SA"/>
        </w:rPr>
        <w:t>А.</w:t>
      </w:r>
      <w:r w:rsidRPr="00DD041E">
        <w:rPr>
          <w:rFonts w:cs="Calibri"/>
          <w:sz w:val="28"/>
          <w:szCs w:val="28"/>
          <w:shd w:val="clear" w:color="auto" w:fill="FFFFFF"/>
          <w:lang w:eastAsia="ar-SA"/>
        </w:rPr>
        <w:t>В., 2006</w:t>
      </w:r>
      <w:r w:rsidRPr="0020266C">
        <w:rPr>
          <w:rFonts w:cs="Calibri"/>
          <w:sz w:val="28"/>
          <w:szCs w:val="28"/>
          <w:lang w:eastAsia="ar-SA"/>
        </w:rPr>
        <w:t>)</w:t>
      </w:r>
      <w:r w:rsidRPr="00DD041E">
        <w:rPr>
          <w:rFonts w:cs="Calibri"/>
          <w:sz w:val="28"/>
          <w:szCs w:val="28"/>
          <w:lang w:eastAsia="ar-SA"/>
        </w:rPr>
        <w:t>непосредственно в промежутке между подчелюстной слюнной железой (</w:t>
      </w:r>
      <w:r w:rsidRPr="00DD041E">
        <w:rPr>
          <w:rFonts w:cs="Calibri"/>
          <w:sz w:val="28"/>
          <w:szCs w:val="28"/>
          <w:lang w:val="en-US" w:eastAsia="ar-SA"/>
        </w:rPr>
        <w:t>gl</w:t>
      </w:r>
      <w:r w:rsidRPr="00DD041E">
        <w:rPr>
          <w:rFonts w:cs="Calibri"/>
          <w:sz w:val="28"/>
          <w:szCs w:val="28"/>
          <w:lang w:eastAsia="ar-SA"/>
        </w:rPr>
        <w:t xml:space="preserve">. </w:t>
      </w:r>
      <w:r w:rsidRPr="00DD041E">
        <w:rPr>
          <w:rFonts w:cs="Calibri"/>
          <w:sz w:val="28"/>
          <w:szCs w:val="28"/>
          <w:lang w:val="en-US" w:eastAsia="ar-SA"/>
        </w:rPr>
        <w:t>submandibulare</w:t>
      </w:r>
      <w:r w:rsidRPr="00DD041E">
        <w:rPr>
          <w:rFonts w:cs="Calibri"/>
          <w:sz w:val="28"/>
          <w:szCs w:val="28"/>
          <w:lang w:eastAsia="ar-SA"/>
        </w:rPr>
        <w:t xml:space="preserve">) и находящимся выше участком тела нижней челюсти на расстоянии, необходимом для полноценной ревизии ложа поднижнечелюстной слюнной железы, при этом сохраняют </w:t>
      </w:r>
      <w:r w:rsidRPr="00DD041E">
        <w:rPr>
          <w:rFonts w:cs="Calibri"/>
          <w:sz w:val="28"/>
          <w:szCs w:val="28"/>
          <w:lang w:val="en-US" w:eastAsia="ar-SA"/>
        </w:rPr>
        <w:t>a</w:t>
      </w:r>
      <w:r w:rsidRPr="00DD041E">
        <w:rPr>
          <w:rFonts w:cs="Calibri"/>
          <w:sz w:val="28"/>
          <w:szCs w:val="28"/>
          <w:lang w:eastAsia="ar-SA"/>
        </w:rPr>
        <w:t xml:space="preserve">. </w:t>
      </w:r>
      <w:r w:rsidRPr="00DD041E">
        <w:rPr>
          <w:rFonts w:cs="Calibri"/>
          <w:sz w:val="28"/>
          <w:szCs w:val="28"/>
          <w:lang w:val="en-US" w:eastAsia="ar-SA"/>
        </w:rPr>
        <w:t>et</w:t>
      </w:r>
      <w:r>
        <w:rPr>
          <w:rFonts w:cs="Calibri"/>
          <w:sz w:val="28"/>
          <w:szCs w:val="28"/>
          <w:lang w:eastAsia="ar-SA"/>
        </w:rPr>
        <w:t xml:space="preserve"> </w:t>
      </w:r>
      <w:r w:rsidRPr="00DD041E">
        <w:rPr>
          <w:rFonts w:cs="Calibri"/>
          <w:sz w:val="28"/>
          <w:szCs w:val="28"/>
          <w:lang w:val="en-US" w:eastAsia="ar-SA"/>
        </w:rPr>
        <w:t>v</w:t>
      </w:r>
      <w:r w:rsidRPr="00DD041E">
        <w:rPr>
          <w:rFonts w:cs="Calibri"/>
          <w:sz w:val="28"/>
          <w:szCs w:val="28"/>
          <w:lang w:eastAsia="ar-SA"/>
        </w:rPr>
        <w:t xml:space="preserve">. </w:t>
      </w:r>
      <w:r w:rsidRPr="00DD041E">
        <w:rPr>
          <w:rFonts w:cs="Calibri"/>
          <w:sz w:val="28"/>
          <w:szCs w:val="28"/>
          <w:lang w:val="en-US" w:eastAsia="ar-SA"/>
        </w:rPr>
        <w:t>facialis</w:t>
      </w:r>
      <w:r w:rsidRPr="00DD041E">
        <w:rPr>
          <w:rFonts w:cs="Calibri"/>
          <w:sz w:val="28"/>
          <w:szCs w:val="28"/>
          <w:lang w:eastAsia="ar-SA"/>
        </w:rPr>
        <w:t>. Через данный разрез раздвигают волокна челюстно-подъязычной мышцы (</w:t>
      </w:r>
      <w:r w:rsidRPr="00DD041E">
        <w:rPr>
          <w:rFonts w:cs="Calibri"/>
          <w:sz w:val="28"/>
          <w:szCs w:val="28"/>
          <w:lang w:val="en-US" w:eastAsia="ar-SA"/>
        </w:rPr>
        <w:t>m</w:t>
      </w:r>
      <w:r w:rsidRPr="00DD041E">
        <w:rPr>
          <w:rFonts w:cs="Calibri"/>
          <w:sz w:val="28"/>
          <w:szCs w:val="28"/>
          <w:lang w:eastAsia="ar-SA"/>
        </w:rPr>
        <w:t xml:space="preserve">. </w:t>
      </w:r>
      <w:r w:rsidRPr="00DD041E">
        <w:rPr>
          <w:rFonts w:cs="Calibri"/>
          <w:sz w:val="28"/>
          <w:szCs w:val="28"/>
          <w:lang w:val="en-US" w:eastAsia="ar-SA"/>
        </w:rPr>
        <w:t>mylohyoideus</w:t>
      </w:r>
      <w:r w:rsidRPr="00DD041E">
        <w:rPr>
          <w:rFonts w:cs="Calibri"/>
          <w:sz w:val="28"/>
          <w:szCs w:val="28"/>
          <w:lang w:eastAsia="ar-SA"/>
        </w:rPr>
        <w:t xml:space="preserve">), осуществляя доступ к топографо-анатомическим областям дна полости рта, а </w:t>
      </w:r>
      <w:r>
        <w:rPr>
          <w:rFonts w:cs="Calibri"/>
          <w:sz w:val="28"/>
          <w:szCs w:val="28"/>
          <w:lang w:eastAsia="ar-SA"/>
        </w:rPr>
        <w:t>также</w:t>
      </w:r>
      <w:r w:rsidRPr="00DD041E">
        <w:rPr>
          <w:rFonts w:cs="Calibri"/>
          <w:sz w:val="28"/>
          <w:szCs w:val="28"/>
          <w:lang w:eastAsia="ar-SA"/>
        </w:rPr>
        <w:t xml:space="preserve"> к клетчатке, расположенной </w:t>
      </w:r>
      <w:r w:rsidRPr="00DD041E">
        <w:rPr>
          <w:rFonts w:cs="Calibri"/>
          <w:i/>
          <w:sz w:val="28"/>
          <w:szCs w:val="28"/>
          <w:lang w:eastAsia="ar-SA"/>
        </w:rPr>
        <w:t xml:space="preserve">книзу и кзади от подчелюстной слюнной железы </w:t>
      </w:r>
      <w:r w:rsidRPr="00DD041E">
        <w:rPr>
          <w:rFonts w:cs="Calibri"/>
          <w:sz w:val="28"/>
          <w:szCs w:val="28"/>
          <w:lang w:eastAsia="ar-SA"/>
        </w:rPr>
        <w:t>и заднему окологло</w:t>
      </w:r>
      <w:r>
        <w:rPr>
          <w:rFonts w:cs="Calibri"/>
          <w:sz w:val="28"/>
          <w:szCs w:val="28"/>
          <w:lang w:eastAsia="ar-SA"/>
        </w:rPr>
        <w:t>точному пространству (Рисунки 17</w:t>
      </w:r>
      <w:r w:rsidRPr="00DD041E">
        <w:rPr>
          <w:rFonts w:cs="Calibri"/>
          <w:sz w:val="28"/>
          <w:szCs w:val="28"/>
          <w:lang w:eastAsia="ar-SA"/>
        </w:rPr>
        <w:t>–</w:t>
      </w:r>
      <w:r>
        <w:rPr>
          <w:rFonts w:cs="Calibri"/>
          <w:sz w:val="28"/>
          <w:szCs w:val="28"/>
          <w:lang w:eastAsia="ar-SA"/>
        </w:rPr>
        <w:t>19</w:t>
      </w:r>
      <w:r w:rsidRPr="00DD041E">
        <w:rPr>
          <w:rFonts w:cs="Calibri"/>
          <w:sz w:val="28"/>
          <w:szCs w:val="28"/>
          <w:lang w:eastAsia="ar-SA"/>
        </w:rPr>
        <w:t>).</w:t>
      </w:r>
    </w:p>
    <w:p w:rsidR="00286780" w:rsidRPr="00892BD2" w:rsidRDefault="00286780" w:rsidP="00DD041E">
      <w:pPr>
        <w:jc w:val="both"/>
        <w:rPr>
          <w:rFonts w:cs="Calibri"/>
          <w:sz w:val="16"/>
          <w:szCs w:val="16"/>
          <w:lang w:eastAsia="ar-SA"/>
        </w:rPr>
      </w:pPr>
    </w:p>
    <w:p w:rsidR="00286780" w:rsidRPr="00DD041E" w:rsidRDefault="00807D20" w:rsidP="00892BD2">
      <w:pPr>
        <w:jc w:val="both"/>
        <w:rPr>
          <w:rFonts w:cs="Calibri"/>
          <w:sz w:val="28"/>
          <w:szCs w:val="28"/>
          <w:lang w:eastAsia="ar-SA"/>
        </w:rPr>
      </w:pPr>
      <w:r>
        <w:rPr>
          <w:rFonts w:cs="Calibri"/>
          <w:noProof/>
          <w:sz w:val="28"/>
          <w:szCs w:val="28"/>
        </w:rPr>
        <w:pict>
          <v:shape id="_x0000_i1044" type="#_x0000_t75" style="width:468pt;height:388.8pt;visibility:visible" filled="t">
            <v:imagedata r:id="rId30" o:title=""/>
          </v:shape>
        </w:pict>
      </w:r>
    </w:p>
    <w:p w:rsidR="00286780" w:rsidRDefault="00286780" w:rsidP="00DD041E">
      <w:pPr>
        <w:jc w:val="both"/>
        <w:rPr>
          <w:rFonts w:cs="Calibri"/>
          <w:sz w:val="24"/>
          <w:szCs w:val="24"/>
          <w:lang w:eastAsia="ar-SA"/>
        </w:rPr>
      </w:pPr>
      <w:r w:rsidRPr="00DD041E">
        <w:rPr>
          <w:rFonts w:cs="Calibri"/>
          <w:i/>
          <w:sz w:val="24"/>
          <w:szCs w:val="24"/>
          <w:lang w:eastAsia="ar-SA"/>
        </w:rPr>
        <w:t>Примечание</w:t>
      </w:r>
      <w:r w:rsidRPr="00DD041E">
        <w:rPr>
          <w:rFonts w:cs="Calibri"/>
          <w:sz w:val="24"/>
          <w:szCs w:val="24"/>
          <w:lang w:eastAsia="ar-SA"/>
        </w:rPr>
        <w:t>: 1 – вскрытое подподбородочное пространство; 2 – правая поднижнечелюстная слюнная железа; 3 – кожная перемычка между поднижнечелюстным и подподбородочным пространством; 4 – трубчатый дренаж между телом нижней челюсти и правой поднижнечелюстной слюнной железой; 5 – трубчатый дренаж кзади и книзу от правой поднижнечелюстной слюнной железы; 6 – рассеченные подкожная жировая клетчатка, подкожная мышца шеи, поверхностная пластинка собственной фасции шеи</w:t>
      </w:r>
    </w:p>
    <w:p w:rsidR="00286780" w:rsidRPr="00DD041E" w:rsidRDefault="00286780" w:rsidP="00117EE0">
      <w:pPr>
        <w:rPr>
          <w:rFonts w:cs="Calibri"/>
          <w:spacing w:val="-4"/>
          <w:sz w:val="28"/>
          <w:szCs w:val="28"/>
          <w:lang w:eastAsia="ar-SA"/>
        </w:rPr>
      </w:pPr>
      <w:r w:rsidRPr="00DD041E">
        <w:rPr>
          <w:rFonts w:cs="Calibri"/>
          <w:b/>
          <w:spacing w:val="-4"/>
          <w:sz w:val="28"/>
          <w:szCs w:val="28"/>
          <w:lang w:eastAsia="ar-SA"/>
        </w:rPr>
        <w:lastRenderedPageBreak/>
        <w:t>Рисунок 1</w:t>
      </w:r>
      <w:r>
        <w:rPr>
          <w:rFonts w:cs="Calibri"/>
          <w:b/>
          <w:spacing w:val="-4"/>
          <w:sz w:val="28"/>
          <w:szCs w:val="28"/>
          <w:lang w:eastAsia="ar-SA"/>
        </w:rPr>
        <w:t>7</w:t>
      </w:r>
      <w:r w:rsidRPr="00DD041E">
        <w:rPr>
          <w:rFonts w:cs="Calibri"/>
          <w:spacing w:val="-4"/>
          <w:sz w:val="28"/>
          <w:szCs w:val="28"/>
          <w:lang w:eastAsia="ar-SA"/>
        </w:rPr>
        <w:t xml:space="preserve"> – Модифицированный доступ для вскрытия флегмон дна полости рта с частичным рассечением подъязычно-подчелюстного мешка (</w:t>
      </w:r>
      <w:r w:rsidRPr="00DD041E">
        <w:rPr>
          <w:rFonts w:cs="Calibri"/>
          <w:spacing w:val="-4"/>
          <w:sz w:val="28"/>
          <w:szCs w:val="28"/>
          <w:lang w:val="en-US" w:eastAsia="ar-SA"/>
        </w:rPr>
        <w:t>saccushyomandibulare</w:t>
      </w:r>
      <w:r w:rsidRPr="00DD041E">
        <w:rPr>
          <w:rFonts w:cs="Calibri"/>
          <w:spacing w:val="-4"/>
          <w:sz w:val="28"/>
          <w:szCs w:val="28"/>
          <w:lang w:eastAsia="ar-SA"/>
        </w:rPr>
        <w:t>)</w:t>
      </w:r>
    </w:p>
    <w:p w:rsidR="00286780" w:rsidRPr="00DD041E" w:rsidRDefault="00807D20" w:rsidP="00DD041E">
      <w:pPr>
        <w:jc w:val="center"/>
        <w:rPr>
          <w:rFonts w:cs="Calibri"/>
          <w:sz w:val="28"/>
          <w:szCs w:val="28"/>
          <w:lang w:eastAsia="ar-SA"/>
        </w:rPr>
      </w:pPr>
      <w:r>
        <w:rPr>
          <w:rFonts w:cs="Calibri"/>
          <w:noProof/>
          <w:sz w:val="28"/>
          <w:szCs w:val="28"/>
        </w:rPr>
        <w:pict>
          <v:shape id="_x0000_i1045" type="#_x0000_t75" style="width:352.8pt;height:3in;visibility:visible">
            <v:imagedata r:id="rId31" o:title=""/>
          </v:shape>
        </w:pict>
      </w:r>
    </w:p>
    <w:p w:rsidR="00117EE0" w:rsidRPr="00DD041E" w:rsidRDefault="00286780" w:rsidP="00DD041E">
      <w:pPr>
        <w:jc w:val="both"/>
        <w:rPr>
          <w:rFonts w:cs="Calibri"/>
          <w:sz w:val="24"/>
          <w:szCs w:val="24"/>
          <w:lang w:eastAsia="ar-SA"/>
        </w:rPr>
      </w:pPr>
      <w:r w:rsidRPr="00DD041E">
        <w:rPr>
          <w:rFonts w:cs="Calibri"/>
          <w:i/>
          <w:sz w:val="24"/>
          <w:szCs w:val="24"/>
          <w:lang w:eastAsia="ar-SA"/>
        </w:rPr>
        <w:t>Примечание</w:t>
      </w:r>
      <w:r w:rsidRPr="00DD041E">
        <w:rPr>
          <w:rFonts w:cs="Calibri"/>
          <w:sz w:val="24"/>
          <w:szCs w:val="24"/>
          <w:lang w:eastAsia="ar-SA"/>
        </w:rPr>
        <w:t>. 1 – кожа; 2 – подкожная жировая клетчатка; 3 – подкожная мышца шеи с поверхностной фасцией шеи; 4 – поверхностная пластинка собственной фасции шеи; 5 – челюстно-язычный желобок; 6 – подбородочное пространство; 7 – крыловидно-нижечелюстное пространство; 8 – окологлоточное пространство; 9 – челюстно-подъязычная мышца; 10 – поднижечелюстная слюнная железа; 11 – кожная перемычка между разрезами</w:t>
      </w:r>
    </w:p>
    <w:p w:rsidR="00286780" w:rsidRDefault="00286780" w:rsidP="00892BD2">
      <w:pPr>
        <w:jc w:val="center"/>
        <w:rPr>
          <w:rFonts w:cs="Calibri"/>
          <w:spacing w:val="-8"/>
          <w:sz w:val="28"/>
          <w:szCs w:val="28"/>
          <w:lang w:eastAsia="ar-SA"/>
        </w:rPr>
      </w:pPr>
      <w:r w:rsidRPr="00DD041E">
        <w:rPr>
          <w:rFonts w:cs="Calibri"/>
          <w:b/>
          <w:spacing w:val="-8"/>
          <w:sz w:val="28"/>
          <w:szCs w:val="28"/>
          <w:lang w:eastAsia="ar-SA"/>
        </w:rPr>
        <w:t>Рисунок 1</w:t>
      </w:r>
      <w:r>
        <w:rPr>
          <w:rFonts w:cs="Calibri"/>
          <w:b/>
          <w:spacing w:val="-8"/>
          <w:sz w:val="28"/>
          <w:szCs w:val="28"/>
          <w:lang w:eastAsia="ar-SA"/>
        </w:rPr>
        <w:t>8</w:t>
      </w:r>
      <w:r w:rsidRPr="00DD041E">
        <w:rPr>
          <w:rFonts w:cs="Calibri"/>
          <w:spacing w:val="-8"/>
          <w:sz w:val="28"/>
          <w:szCs w:val="28"/>
          <w:lang w:eastAsia="ar-SA"/>
        </w:rPr>
        <w:t xml:space="preserve"> – Модифицированный доступ для вскрытия флегмон дна полости рта с частичным рассечением подъязычно-подчелюстного мешка (схематичное изображение)</w:t>
      </w:r>
    </w:p>
    <w:p w:rsidR="00117EE0" w:rsidRPr="00117EE0" w:rsidRDefault="00117EE0" w:rsidP="00892BD2">
      <w:pPr>
        <w:jc w:val="center"/>
        <w:rPr>
          <w:rFonts w:cs="Calibri"/>
          <w:spacing w:val="-8"/>
          <w:sz w:val="24"/>
          <w:szCs w:val="24"/>
          <w:lang w:eastAsia="ar-SA"/>
        </w:rPr>
      </w:pPr>
    </w:p>
    <w:p w:rsidR="00117EE0" w:rsidRDefault="00117EE0" w:rsidP="00117EE0">
      <w:pPr>
        <w:spacing w:line="360" w:lineRule="auto"/>
        <w:ind w:firstLine="709"/>
        <w:jc w:val="both"/>
        <w:rPr>
          <w:rFonts w:cs="Calibri"/>
          <w:sz w:val="28"/>
          <w:szCs w:val="28"/>
          <w:lang w:eastAsia="ar-SA"/>
        </w:rPr>
      </w:pPr>
      <w:r>
        <w:rPr>
          <w:rFonts w:cs="Calibri"/>
          <w:sz w:val="28"/>
          <w:szCs w:val="28"/>
          <w:lang w:eastAsia="ar-SA"/>
        </w:rPr>
        <w:t>О</w:t>
      </w:r>
      <w:r w:rsidRPr="00DD041E">
        <w:rPr>
          <w:rFonts w:cs="Calibri"/>
          <w:sz w:val="28"/>
          <w:szCs w:val="28"/>
          <w:lang w:eastAsia="ar-SA"/>
        </w:rPr>
        <w:t xml:space="preserve">перативный доступ создает условия для доступа к клетчатке </w:t>
      </w:r>
      <w:r w:rsidRPr="00DD041E">
        <w:rPr>
          <w:rFonts w:cs="Calibri"/>
          <w:i/>
          <w:sz w:val="28"/>
          <w:szCs w:val="28"/>
          <w:lang w:eastAsia="ar-SA"/>
        </w:rPr>
        <w:t>кзади и книзу от подчелюстной слюнной железы</w:t>
      </w:r>
      <w:r>
        <w:rPr>
          <w:rFonts w:cs="Calibri"/>
          <w:sz w:val="28"/>
          <w:szCs w:val="28"/>
          <w:lang w:eastAsia="ar-SA"/>
        </w:rPr>
        <w:t>.</w:t>
      </w:r>
    </w:p>
    <w:p w:rsidR="00117EE0" w:rsidRPr="00117EE0" w:rsidRDefault="00117EE0" w:rsidP="00117EE0">
      <w:pPr>
        <w:rPr>
          <w:rFonts w:cs="Calibri"/>
          <w:spacing w:val="-8"/>
          <w:sz w:val="24"/>
          <w:szCs w:val="24"/>
          <w:lang w:eastAsia="ar-SA"/>
        </w:rPr>
      </w:pPr>
    </w:p>
    <w:p w:rsidR="00286780" w:rsidRPr="00DD041E" w:rsidRDefault="00807D20" w:rsidP="00DD041E">
      <w:pPr>
        <w:jc w:val="center"/>
        <w:rPr>
          <w:rFonts w:cs="Calibri"/>
          <w:sz w:val="28"/>
          <w:szCs w:val="28"/>
          <w:lang w:eastAsia="ar-SA"/>
        </w:rPr>
      </w:pPr>
      <w:r>
        <w:rPr>
          <w:rFonts w:cs="Calibri"/>
          <w:noProof/>
          <w:sz w:val="28"/>
          <w:szCs w:val="28"/>
        </w:rPr>
        <w:pict>
          <v:shape id="_x0000_i1046" type="#_x0000_t75" style="width:5in;height:208.8pt;visibility:visible">
            <v:imagedata r:id="rId32" o:title=""/>
          </v:shape>
        </w:pict>
      </w:r>
    </w:p>
    <w:p w:rsidR="00117EE0" w:rsidRDefault="00286780" w:rsidP="00117EE0">
      <w:pPr>
        <w:jc w:val="both"/>
        <w:rPr>
          <w:rFonts w:cs="Calibri"/>
          <w:sz w:val="28"/>
          <w:szCs w:val="28"/>
          <w:lang w:eastAsia="ar-SA"/>
        </w:rPr>
      </w:pPr>
      <w:r w:rsidRPr="00DD041E">
        <w:rPr>
          <w:rFonts w:cs="Calibri"/>
          <w:i/>
          <w:sz w:val="24"/>
          <w:szCs w:val="24"/>
          <w:lang w:eastAsia="ar-SA"/>
        </w:rPr>
        <w:t>Примечание</w:t>
      </w:r>
      <w:r w:rsidRPr="00DD041E">
        <w:rPr>
          <w:rFonts w:cs="Calibri"/>
          <w:sz w:val="24"/>
          <w:szCs w:val="24"/>
          <w:lang w:eastAsia="ar-SA"/>
        </w:rPr>
        <w:t>. 1 – проекция нижней челюсти; 2 – краевая ветвь лицевого нерва; 3 – линия разреза кожи; 4 – лицевая артерия и вена; 5 – кожная перемычка между разрезами; 6 – поднижечелюстная слюнная железа</w:t>
      </w:r>
    </w:p>
    <w:p w:rsidR="00ED67A7" w:rsidRPr="00ED67A7" w:rsidRDefault="00286780" w:rsidP="00117EE0">
      <w:pPr>
        <w:jc w:val="both"/>
        <w:rPr>
          <w:rFonts w:cs="Calibri"/>
          <w:spacing w:val="-8"/>
          <w:sz w:val="28"/>
          <w:szCs w:val="28"/>
          <w:lang w:eastAsia="ar-SA"/>
        </w:rPr>
      </w:pPr>
      <w:r w:rsidRPr="00DD041E">
        <w:rPr>
          <w:rFonts w:cs="Calibri"/>
          <w:b/>
          <w:spacing w:val="-8"/>
          <w:sz w:val="28"/>
          <w:szCs w:val="28"/>
          <w:lang w:eastAsia="ar-SA"/>
        </w:rPr>
        <w:t>Рисунок 1</w:t>
      </w:r>
      <w:r>
        <w:rPr>
          <w:rFonts w:cs="Calibri"/>
          <w:b/>
          <w:spacing w:val="-8"/>
          <w:sz w:val="28"/>
          <w:szCs w:val="28"/>
          <w:lang w:eastAsia="ar-SA"/>
        </w:rPr>
        <w:t>9</w:t>
      </w:r>
      <w:r w:rsidRPr="00DD041E">
        <w:rPr>
          <w:rFonts w:cs="Calibri"/>
          <w:spacing w:val="-8"/>
          <w:sz w:val="28"/>
          <w:szCs w:val="28"/>
          <w:lang w:eastAsia="ar-SA"/>
        </w:rPr>
        <w:t xml:space="preserve"> – Модифицированный доступ для вскрытия флегмон дна полости рта с частичным рассечением подъязычно-подчелюстного мешка (схематичное изображение)</w:t>
      </w:r>
    </w:p>
    <w:p w:rsidR="00A10726" w:rsidRDefault="00A10726" w:rsidP="0020266C">
      <w:pPr>
        <w:spacing w:line="360" w:lineRule="auto"/>
        <w:ind w:firstLine="709"/>
        <w:jc w:val="both"/>
        <w:rPr>
          <w:rFonts w:cs="Calibri"/>
          <w:sz w:val="28"/>
          <w:szCs w:val="28"/>
          <w:lang w:eastAsia="ar-SA"/>
        </w:rPr>
      </w:pPr>
    </w:p>
    <w:p w:rsidR="00286780" w:rsidRDefault="00286780" w:rsidP="0020266C">
      <w:pPr>
        <w:spacing w:line="360" w:lineRule="auto"/>
        <w:ind w:firstLine="709"/>
        <w:jc w:val="both"/>
        <w:rPr>
          <w:rFonts w:cs="Calibri"/>
          <w:sz w:val="28"/>
          <w:szCs w:val="28"/>
          <w:lang w:eastAsia="ar-SA"/>
        </w:rPr>
      </w:pPr>
      <w:r w:rsidRPr="00DD041E">
        <w:rPr>
          <w:rFonts w:cs="Calibri"/>
          <w:sz w:val="28"/>
          <w:szCs w:val="28"/>
          <w:lang w:eastAsia="ar-SA"/>
        </w:rPr>
        <w:lastRenderedPageBreak/>
        <w:t xml:space="preserve">Таким образом, оперативный доступ через подъязычно-подчелюстной мешок создает условия для доступа к клетчатке, расположенной </w:t>
      </w:r>
      <w:r w:rsidRPr="00DD041E">
        <w:rPr>
          <w:rFonts w:cs="Calibri"/>
          <w:i/>
          <w:sz w:val="28"/>
          <w:szCs w:val="28"/>
          <w:lang w:eastAsia="ar-SA"/>
        </w:rPr>
        <w:t>кзади и книзу от подчелюстной слюнной железы</w:t>
      </w:r>
      <w:r w:rsidRPr="00DD041E">
        <w:rPr>
          <w:rFonts w:cs="Calibri"/>
          <w:sz w:val="28"/>
          <w:szCs w:val="28"/>
          <w:lang w:eastAsia="ar-SA"/>
        </w:rPr>
        <w:t>. Показания к применению данного оперативного пособия в соответствии с патентом (Патент РФ № 2705105):</w:t>
      </w:r>
      <w:r>
        <w:rPr>
          <w:rFonts w:cs="Calibri"/>
          <w:sz w:val="28"/>
          <w:szCs w:val="28"/>
          <w:lang w:eastAsia="ar-SA"/>
        </w:rPr>
        <w:t xml:space="preserve"> </w:t>
      </w:r>
      <w:r w:rsidRPr="00DD041E">
        <w:rPr>
          <w:rFonts w:cs="Calibri"/>
          <w:sz w:val="28"/>
          <w:szCs w:val="28"/>
          <w:lang w:eastAsia="ar-SA"/>
        </w:rPr>
        <w:t>одонтог</w:t>
      </w:r>
      <w:r>
        <w:rPr>
          <w:rFonts w:cs="Calibri"/>
          <w:sz w:val="28"/>
          <w:szCs w:val="28"/>
          <w:lang w:eastAsia="ar-SA"/>
        </w:rPr>
        <w:t>енная флегмона дна полости рта.</w:t>
      </w:r>
    </w:p>
    <w:p w:rsidR="00286780" w:rsidRPr="0020266C" w:rsidRDefault="00286780" w:rsidP="0020266C">
      <w:pPr>
        <w:spacing w:line="360" w:lineRule="auto"/>
        <w:ind w:firstLine="700"/>
        <w:jc w:val="both"/>
        <w:rPr>
          <w:rFonts w:cs="Calibri"/>
          <w:sz w:val="28"/>
          <w:szCs w:val="28"/>
          <w:lang w:eastAsia="ar-SA"/>
        </w:rPr>
      </w:pPr>
      <w:r w:rsidRPr="00DD041E">
        <w:rPr>
          <w:rFonts w:cs="Calibri"/>
          <w:sz w:val="28"/>
          <w:szCs w:val="28"/>
          <w:lang w:eastAsia="ar-SA"/>
        </w:rPr>
        <w:t>В последующем показания к применению модифицированного оперативного доступа (Пате</w:t>
      </w:r>
      <w:r>
        <w:rPr>
          <w:rFonts w:cs="Calibri"/>
          <w:sz w:val="28"/>
          <w:szCs w:val="28"/>
          <w:lang w:eastAsia="ar-SA"/>
        </w:rPr>
        <w:t>нт РФ № 2705105) были расширены</w:t>
      </w:r>
      <w:r w:rsidRPr="0020266C">
        <w:rPr>
          <w:rFonts w:cs="Calibri"/>
          <w:sz w:val="28"/>
          <w:szCs w:val="28"/>
          <w:lang w:eastAsia="ar-SA"/>
        </w:rPr>
        <w:t>:</w:t>
      </w:r>
    </w:p>
    <w:p w:rsidR="00286780" w:rsidRPr="00DD041E" w:rsidRDefault="00286780" w:rsidP="002A3C85">
      <w:pPr>
        <w:numPr>
          <w:ilvl w:val="0"/>
          <w:numId w:val="15"/>
        </w:numPr>
        <w:spacing w:line="360" w:lineRule="auto"/>
        <w:ind w:left="0" w:firstLine="700"/>
        <w:jc w:val="both"/>
        <w:rPr>
          <w:rFonts w:cs="Calibri"/>
          <w:sz w:val="28"/>
          <w:szCs w:val="28"/>
          <w:lang w:eastAsia="ar-SA"/>
        </w:rPr>
      </w:pPr>
      <w:r w:rsidRPr="00DD041E">
        <w:rPr>
          <w:rFonts w:cs="Calibri"/>
          <w:sz w:val="28"/>
          <w:szCs w:val="28"/>
          <w:lang w:eastAsia="ar-SA"/>
        </w:rPr>
        <w:t>одонтогенная флегмона дна полости рта, гнойный тип острого воспалительного процесса, МФОИ, отсутствие поражения клетчаточных пространств шеи, вовлечение не более четырех клетчаточных пространств и/или топографо-анатомических областей;</w:t>
      </w:r>
    </w:p>
    <w:p w:rsidR="00286780" w:rsidRPr="00DD041E" w:rsidRDefault="00286780" w:rsidP="002A3C85">
      <w:pPr>
        <w:numPr>
          <w:ilvl w:val="0"/>
          <w:numId w:val="15"/>
        </w:numPr>
        <w:spacing w:line="360" w:lineRule="auto"/>
        <w:ind w:left="0" w:firstLine="700"/>
        <w:jc w:val="both"/>
        <w:rPr>
          <w:rFonts w:cs="Calibri"/>
          <w:sz w:val="28"/>
          <w:szCs w:val="28"/>
          <w:lang w:eastAsia="ar-SA"/>
        </w:rPr>
      </w:pPr>
      <w:r w:rsidRPr="00DD041E">
        <w:rPr>
          <w:rFonts w:cs="Calibri"/>
          <w:sz w:val="28"/>
          <w:szCs w:val="28"/>
          <w:lang w:eastAsia="ar-SA"/>
        </w:rPr>
        <w:t>одонтогенная флегмона поднижечелюстной области, гнойный тип острого воспалительного процесса, МФОИ, отсутствие поражения клетчаточных пространств шеи, вовлечение не более четырех клетчаточных пространств и/или топографо-анатомических областей.</w:t>
      </w:r>
    </w:p>
    <w:p w:rsidR="00286780" w:rsidRPr="00DD041E" w:rsidRDefault="00286780" w:rsidP="00892BD2">
      <w:pPr>
        <w:tabs>
          <w:tab w:val="left" w:pos="0"/>
        </w:tabs>
        <w:spacing w:line="360" w:lineRule="auto"/>
        <w:ind w:firstLine="709"/>
        <w:jc w:val="both"/>
        <w:rPr>
          <w:rFonts w:cs="Calibri"/>
          <w:sz w:val="28"/>
          <w:szCs w:val="28"/>
          <w:lang w:eastAsia="ar-SA"/>
        </w:rPr>
      </w:pPr>
      <w:r w:rsidRPr="00DD041E">
        <w:rPr>
          <w:rFonts w:cs="Calibri"/>
          <w:sz w:val="28"/>
          <w:szCs w:val="28"/>
          <w:lang w:eastAsia="ar-SA"/>
        </w:rPr>
        <w:t>Данное оперативное пособие выполняется под местной анестезией. При наличии сепсиса, распространенной одонтогенной флегмоны шеи, гнилостно-некротическом типе острого воспалительного процесса целесообразно расширенное оперативное пособие в условиях общей анестезии с выполнением сиалэкто</w:t>
      </w:r>
      <w:r>
        <w:rPr>
          <w:rFonts w:cs="Calibri"/>
          <w:sz w:val="28"/>
          <w:szCs w:val="28"/>
          <w:lang w:eastAsia="ar-SA"/>
        </w:rPr>
        <w:t>мии (Таблица 70</w:t>
      </w:r>
      <w:r w:rsidRPr="00DD041E">
        <w:rPr>
          <w:rFonts w:cs="Calibri"/>
          <w:sz w:val="28"/>
          <w:szCs w:val="28"/>
          <w:lang w:eastAsia="ar-SA"/>
        </w:rPr>
        <w:t>).</w:t>
      </w:r>
      <w:r>
        <w:rPr>
          <w:rFonts w:cs="Calibri"/>
          <w:sz w:val="28"/>
          <w:szCs w:val="28"/>
          <w:lang w:eastAsia="ar-SA"/>
        </w:rPr>
        <w:t xml:space="preserve"> Как следует из Таблицы 70</w:t>
      </w:r>
      <w:r w:rsidRPr="00DD041E">
        <w:rPr>
          <w:rFonts w:cs="Calibri"/>
          <w:sz w:val="28"/>
          <w:szCs w:val="28"/>
          <w:lang w:eastAsia="ar-SA"/>
        </w:rPr>
        <w:t>, двадцати четырем (</w:t>
      </w:r>
      <w:r>
        <w:rPr>
          <w:rFonts w:cs="Calibri"/>
          <w:sz w:val="28"/>
          <w:szCs w:val="28"/>
          <w:lang w:eastAsia="ar-SA"/>
        </w:rPr>
        <w:t>28</w:t>
      </w:r>
      <w:r w:rsidRPr="00DD041E">
        <w:rPr>
          <w:rFonts w:cs="Calibri"/>
          <w:sz w:val="28"/>
          <w:szCs w:val="28"/>
          <w:lang w:eastAsia="ar-SA"/>
        </w:rPr>
        <w:t>) пациентам с МФОИ и гнойным типом острого воспалительного процесса (установлен дооперационно по характерным признакам – наличие гиперемированного флюктуирующего инфильтрата, резкая болезненность при пальпации, ультразвуковое исследование определяет жидкостные образования) выполнено раскрытие соответствующих топографо-анатомических областей и клетчаточных пространств (</w:t>
      </w:r>
      <w:r w:rsidRPr="00DD041E">
        <w:rPr>
          <w:rFonts w:cs="Calibri"/>
          <w:sz w:val="28"/>
          <w:szCs w:val="28"/>
          <w:lang w:val="en-US" w:eastAsia="ar-SA"/>
        </w:rPr>
        <w:t>n</w:t>
      </w:r>
      <w:r>
        <w:rPr>
          <w:rFonts w:cs="Calibri"/>
          <w:sz w:val="28"/>
          <w:szCs w:val="28"/>
          <w:lang w:eastAsia="ar-SA"/>
        </w:rPr>
        <w:t>=28</w:t>
      </w:r>
      <w:r w:rsidRPr="00DD041E">
        <w:rPr>
          <w:rFonts w:cs="Calibri"/>
          <w:sz w:val="28"/>
          <w:szCs w:val="28"/>
          <w:lang w:eastAsia="ar-SA"/>
        </w:rPr>
        <w:t>), в т. ч. с использованием модифицированного оперативного пособия (Пат</w:t>
      </w:r>
      <w:r>
        <w:rPr>
          <w:rFonts w:cs="Calibri"/>
          <w:sz w:val="28"/>
          <w:szCs w:val="28"/>
          <w:lang w:eastAsia="ar-SA"/>
        </w:rPr>
        <w:t>ент</w:t>
      </w:r>
      <w:r w:rsidRPr="00DD041E">
        <w:rPr>
          <w:rFonts w:cs="Calibri"/>
          <w:sz w:val="28"/>
          <w:szCs w:val="28"/>
          <w:lang w:eastAsia="ar-SA"/>
        </w:rPr>
        <w:t xml:space="preserve"> РФ № 2705105) с частичным рассечением подъязычно-подчелюстного мешка (</w:t>
      </w:r>
      <w:r w:rsidRPr="00DD041E">
        <w:rPr>
          <w:rFonts w:cs="Calibri"/>
          <w:sz w:val="28"/>
          <w:szCs w:val="28"/>
          <w:lang w:val="en-US" w:eastAsia="ar-SA"/>
        </w:rPr>
        <w:t>n</w:t>
      </w:r>
      <w:r>
        <w:rPr>
          <w:rFonts w:cs="Calibri"/>
          <w:sz w:val="28"/>
          <w:szCs w:val="28"/>
          <w:lang w:eastAsia="ar-SA"/>
        </w:rPr>
        <w:t>= 15</w:t>
      </w:r>
      <w:r w:rsidRPr="00DD041E">
        <w:rPr>
          <w:rFonts w:cs="Calibri"/>
          <w:sz w:val="28"/>
          <w:szCs w:val="28"/>
          <w:lang w:eastAsia="ar-SA"/>
        </w:rPr>
        <w:t>), гемостаз, пальцевая ревизия полости, санация растворами антисептиков (перекись водорода 3%, хлоргексидин 0,05%), дренирование. Оперативное вме</w:t>
      </w:r>
      <w:r w:rsidRPr="00DD041E">
        <w:rPr>
          <w:rFonts w:cs="Calibri"/>
          <w:sz w:val="28"/>
          <w:szCs w:val="28"/>
          <w:lang w:eastAsia="ar-SA"/>
        </w:rPr>
        <w:lastRenderedPageBreak/>
        <w:t>шательство выполняется под местной анестезией с премедикацией (наркотический аналгетик). В дальнейшем – перевязки 1 раз в сутки.</w:t>
      </w:r>
    </w:p>
    <w:p w:rsidR="00286780" w:rsidRPr="00DD041E" w:rsidRDefault="00286780" w:rsidP="00DD041E">
      <w:pPr>
        <w:jc w:val="both"/>
        <w:rPr>
          <w:rFonts w:cs="Calibri"/>
          <w:sz w:val="28"/>
          <w:szCs w:val="28"/>
          <w:lang w:eastAsia="ar-SA"/>
        </w:rPr>
      </w:pPr>
    </w:p>
    <w:p w:rsidR="00286780" w:rsidRPr="00DD041E" w:rsidRDefault="00286780" w:rsidP="00DD041E">
      <w:pPr>
        <w:spacing w:after="120"/>
        <w:jc w:val="both"/>
        <w:rPr>
          <w:sz w:val="28"/>
          <w:szCs w:val="28"/>
        </w:rPr>
      </w:pPr>
      <w:r>
        <w:rPr>
          <w:b/>
          <w:sz w:val="28"/>
          <w:szCs w:val="28"/>
        </w:rPr>
        <w:t>Таблица 70</w:t>
      </w:r>
      <w:r w:rsidRPr="00DD041E">
        <w:rPr>
          <w:sz w:val="28"/>
          <w:szCs w:val="28"/>
        </w:rPr>
        <w:t xml:space="preserve"> – Алгоритм выбора методики оперативного вмешательства (</w:t>
      </w:r>
      <w:r>
        <w:rPr>
          <w:sz w:val="28"/>
          <w:szCs w:val="28"/>
        </w:rPr>
        <w:t>основная группа, n=40</w:t>
      </w:r>
      <w:r w:rsidRPr="00DD041E">
        <w:rPr>
          <w:sz w:val="28"/>
          <w:szCs w:val="28"/>
        </w:rPr>
        <w:t>)</w:t>
      </w:r>
    </w:p>
    <w:tbl>
      <w:tblPr>
        <w:tblW w:w="9923" w:type="dxa"/>
        <w:tblLayout w:type="fixed"/>
        <w:tblLook w:val="0000" w:firstRow="0" w:lastRow="0" w:firstColumn="0" w:lastColumn="0" w:noHBand="0" w:noVBand="0"/>
      </w:tblPr>
      <w:tblGrid>
        <w:gridCol w:w="1571"/>
        <w:gridCol w:w="4111"/>
        <w:gridCol w:w="4241"/>
      </w:tblGrid>
      <w:tr w:rsidR="00286780" w:rsidRPr="00DD041E" w:rsidTr="00894E8F">
        <w:trPr>
          <w:trHeight w:val="227"/>
        </w:trPr>
        <w:tc>
          <w:tcPr>
            <w:tcW w:w="1571" w:type="dxa"/>
            <w:vMerge w:val="restart"/>
            <w:tcBorders>
              <w:top w:val="single" w:sz="4" w:space="0" w:color="000000"/>
              <w:left w:val="single" w:sz="4" w:space="0" w:color="000000"/>
              <w:bottom w:val="single" w:sz="4" w:space="0" w:color="000000"/>
            </w:tcBorders>
            <w:tcMar>
              <w:left w:w="28" w:type="dxa"/>
              <w:right w:w="28" w:type="dxa"/>
            </w:tcMar>
          </w:tcPr>
          <w:p w:rsidR="00286780" w:rsidRPr="00DD041E" w:rsidRDefault="00286780" w:rsidP="00DD041E">
            <w:pPr>
              <w:snapToGrid w:val="0"/>
              <w:jc w:val="center"/>
              <w:rPr>
                <w:rFonts w:cs="Calibri"/>
                <w:i/>
                <w:spacing w:val="-8"/>
                <w:sz w:val="24"/>
                <w:szCs w:val="24"/>
                <w:lang w:eastAsia="ar-SA"/>
              </w:rPr>
            </w:pPr>
            <w:r w:rsidRPr="00DD041E">
              <w:rPr>
                <w:rFonts w:cs="Calibri"/>
                <w:i/>
                <w:spacing w:val="-8"/>
                <w:sz w:val="24"/>
                <w:szCs w:val="24"/>
                <w:lang w:eastAsia="ar-SA"/>
              </w:rPr>
              <w:t>Тип острого воспалительного процесса</w:t>
            </w:r>
          </w:p>
        </w:tc>
        <w:tc>
          <w:tcPr>
            <w:tcW w:w="8352" w:type="dxa"/>
            <w:gridSpan w:val="2"/>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DD041E" w:rsidRDefault="00286780" w:rsidP="00DD041E">
            <w:pPr>
              <w:snapToGrid w:val="0"/>
              <w:jc w:val="center"/>
              <w:rPr>
                <w:rFonts w:cs="Calibri"/>
                <w:i/>
                <w:spacing w:val="-8"/>
                <w:sz w:val="24"/>
                <w:szCs w:val="24"/>
                <w:lang w:eastAsia="ar-SA"/>
              </w:rPr>
            </w:pPr>
            <w:r w:rsidRPr="00DD041E">
              <w:rPr>
                <w:rFonts w:cs="Calibri"/>
                <w:i/>
                <w:spacing w:val="-8"/>
                <w:sz w:val="24"/>
                <w:szCs w:val="24"/>
                <w:lang w:eastAsia="ar-SA"/>
              </w:rPr>
              <w:t>Форма воспалительного процесса</w:t>
            </w:r>
          </w:p>
          <w:p w:rsidR="00286780" w:rsidRPr="00DD041E" w:rsidRDefault="00286780" w:rsidP="00DD041E">
            <w:pPr>
              <w:jc w:val="center"/>
              <w:rPr>
                <w:rFonts w:cs="Calibri"/>
                <w:i/>
                <w:spacing w:val="-8"/>
                <w:sz w:val="24"/>
                <w:szCs w:val="24"/>
                <w:lang w:eastAsia="ar-SA"/>
              </w:rPr>
            </w:pPr>
            <w:r w:rsidRPr="00DD041E">
              <w:rPr>
                <w:rFonts w:cs="Calibri"/>
                <w:i/>
                <w:spacing w:val="-8"/>
                <w:sz w:val="24"/>
                <w:szCs w:val="24"/>
                <w:lang w:eastAsia="ar-SA"/>
              </w:rPr>
              <w:t>Модификация оперативного вмешательства, анестезия</w:t>
            </w:r>
          </w:p>
        </w:tc>
      </w:tr>
      <w:tr w:rsidR="00286780" w:rsidRPr="00DD041E" w:rsidTr="00894E8F">
        <w:trPr>
          <w:trHeight w:val="227"/>
        </w:trPr>
        <w:tc>
          <w:tcPr>
            <w:tcW w:w="1571" w:type="dxa"/>
            <w:vMerge/>
            <w:tcBorders>
              <w:top w:val="single" w:sz="4" w:space="0" w:color="000000"/>
              <w:left w:val="single" w:sz="4" w:space="0" w:color="000000"/>
              <w:bottom w:val="single" w:sz="4" w:space="0" w:color="000000"/>
            </w:tcBorders>
            <w:tcMar>
              <w:left w:w="28" w:type="dxa"/>
              <w:right w:w="28" w:type="dxa"/>
            </w:tcMar>
          </w:tcPr>
          <w:p w:rsidR="00286780" w:rsidRPr="00DD041E" w:rsidRDefault="00286780" w:rsidP="00DD041E">
            <w:pPr>
              <w:snapToGrid w:val="0"/>
              <w:jc w:val="center"/>
              <w:rPr>
                <w:rFonts w:cs="Calibri"/>
                <w:spacing w:val="-8"/>
                <w:sz w:val="24"/>
                <w:szCs w:val="24"/>
                <w:lang w:eastAsia="ar-SA"/>
              </w:rPr>
            </w:pPr>
          </w:p>
        </w:tc>
        <w:tc>
          <w:tcPr>
            <w:tcW w:w="4111" w:type="dxa"/>
            <w:tcBorders>
              <w:top w:val="single" w:sz="4" w:space="0" w:color="000000"/>
              <w:left w:val="single" w:sz="4" w:space="0" w:color="000000"/>
              <w:bottom w:val="single" w:sz="4" w:space="0" w:color="000000"/>
            </w:tcBorders>
            <w:tcMar>
              <w:left w:w="28" w:type="dxa"/>
              <w:right w:w="28" w:type="dxa"/>
            </w:tcMar>
          </w:tcPr>
          <w:p w:rsidR="00286780" w:rsidRPr="00DD041E" w:rsidRDefault="00286780" w:rsidP="00DD041E">
            <w:pPr>
              <w:snapToGrid w:val="0"/>
              <w:jc w:val="center"/>
              <w:rPr>
                <w:rFonts w:cs="Calibri"/>
                <w:spacing w:val="-8"/>
                <w:sz w:val="24"/>
                <w:szCs w:val="24"/>
                <w:lang w:eastAsia="ar-SA"/>
              </w:rPr>
            </w:pPr>
            <w:r w:rsidRPr="00DD041E">
              <w:rPr>
                <w:rFonts w:cs="Calibri"/>
                <w:spacing w:val="-8"/>
                <w:sz w:val="24"/>
                <w:szCs w:val="24"/>
                <w:lang w:eastAsia="ar-SA"/>
              </w:rPr>
              <w:t>Местная форма одонтогенной инфекции</w:t>
            </w:r>
            <w:r w:rsidRPr="00DD041E">
              <w:rPr>
                <w:rFonts w:cs="Calibri"/>
                <w:spacing w:val="-8"/>
                <w:sz w:val="24"/>
                <w:szCs w:val="24"/>
                <w:lang w:eastAsia="ar-SA"/>
              </w:rPr>
              <w:br/>
              <w:t>(</w:t>
            </w:r>
            <w:r w:rsidRPr="00DD041E">
              <w:rPr>
                <w:rFonts w:cs="Calibri"/>
                <w:spacing w:val="-8"/>
                <w:sz w:val="24"/>
                <w:szCs w:val="24"/>
                <w:lang w:val="en-US" w:eastAsia="ar-SA"/>
              </w:rPr>
              <w:t>n</w:t>
            </w:r>
            <w:r>
              <w:rPr>
                <w:rFonts w:cs="Calibri"/>
                <w:spacing w:val="-8"/>
                <w:sz w:val="24"/>
                <w:szCs w:val="24"/>
                <w:lang w:eastAsia="ar-SA"/>
              </w:rPr>
              <w:t>=31</w:t>
            </w:r>
            <w:r w:rsidRPr="00DD041E">
              <w:rPr>
                <w:rFonts w:cs="Calibri"/>
                <w:spacing w:val="-8"/>
                <w:sz w:val="24"/>
                <w:szCs w:val="24"/>
                <w:lang w:eastAsia="ar-SA"/>
              </w:rPr>
              <w:t>)</w:t>
            </w:r>
          </w:p>
        </w:tc>
        <w:tc>
          <w:tcPr>
            <w:tcW w:w="4241" w:type="dxa"/>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DD041E" w:rsidRDefault="00286780" w:rsidP="00DD041E">
            <w:pPr>
              <w:snapToGrid w:val="0"/>
              <w:jc w:val="center"/>
              <w:rPr>
                <w:rFonts w:cs="Calibri"/>
                <w:spacing w:val="-8"/>
                <w:sz w:val="24"/>
                <w:szCs w:val="24"/>
                <w:lang w:eastAsia="ar-SA"/>
              </w:rPr>
            </w:pPr>
            <w:r w:rsidRPr="00DD041E">
              <w:rPr>
                <w:rFonts w:cs="Calibri"/>
                <w:spacing w:val="-8"/>
                <w:sz w:val="24"/>
                <w:szCs w:val="24"/>
                <w:lang w:eastAsia="ar-SA"/>
              </w:rPr>
              <w:t xml:space="preserve">Одонтогенный сепсис </w:t>
            </w:r>
            <w:r w:rsidRPr="00DD041E">
              <w:rPr>
                <w:rFonts w:cs="Calibri"/>
                <w:spacing w:val="-8"/>
                <w:sz w:val="24"/>
                <w:szCs w:val="24"/>
                <w:lang w:eastAsia="ar-SA"/>
              </w:rPr>
              <w:br/>
              <w:t>(</w:t>
            </w:r>
            <w:r w:rsidRPr="00DD041E">
              <w:rPr>
                <w:rFonts w:cs="Calibri"/>
                <w:spacing w:val="-8"/>
                <w:sz w:val="24"/>
                <w:szCs w:val="24"/>
                <w:lang w:val="en-US" w:eastAsia="ar-SA"/>
              </w:rPr>
              <w:t>n</w:t>
            </w:r>
            <w:r>
              <w:rPr>
                <w:rFonts w:cs="Calibri"/>
                <w:spacing w:val="-8"/>
                <w:sz w:val="24"/>
                <w:szCs w:val="24"/>
                <w:lang w:eastAsia="ar-SA"/>
              </w:rPr>
              <w:t>=9</w:t>
            </w:r>
            <w:r w:rsidRPr="00DD041E">
              <w:rPr>
                <w:rFonts w:cs="Calibri"/>
                <w:spacing w:val="-8"/>
                <w:sz w:val="24"/>
                <w:szCs w:val="24"/>
                <w:lang w:eastAsia="ar-SA"/>
              </w:rPr>
              <w:t>)</w:t>
            </w:r>
          </w:p>
        </w:tc>
      </w:tr>
      <w:tr w:rsidR="00286780" w:rsidRPr="00DD041E" w:rsidTr="00894E8F">
        <w:trPr>
          <w:trHeight w:val="227"/>
        </w:trPr>
        <w:tc>
          <w:tcPr>
            <w:tcW w:w="1571" w:type="dxa"/>
            <w:tcBorders>
              <w:top w:val="single" w:sz="4" w:space="0" w:color="000000"/>
              <w:left w:val="single" w:sz="4" w:space="0" w:color="000000"/>
              <w:bottom w:val="single" w:sz="4" w:space="0" w:color="000000"/>
            </w:tcBorders>
            <w:tcMar>
              <w:left w:w="28" w:type="dxa"/>
              <w:right w:w="28" w:type="dxa"/>
            </w:tcMar>
          </w:tcPr>
          <w:p w:rsidR="00286780" w:rsidRPr="00DD041E" w:rsidRDefault="00286780" w:rsidP="00DD041E">
            <w:pPr>
              <w:snapToGrid w:val="0"/>
              <w:rPr>
                <w:rFonts w:cs="Calibri"/>
                <w:spacing w:val="-8"/>
                <w:sz w:val="24"/>
                <w:szCs w:val="24"/>
                <w:lang w:eastAsia="ar-SA"/>
              </w:rPr>
            </w:pPr>
            <w:r w:rsidRPr="00DD041E">
              <w:rPr>
                <w:rFonts w:cs="Calibri"/>
                <w:spacing w:val="-8"/>
                <w:sz w:val="24"/>
                <w:szCs w:val="24"/>
                <w:lang w:eastAsia="ar-SA"/>
              </w:rPr>
              <w:t>Гнойный</w:t>
            </w:r>
            <w:r w:rsidRPr="00DD041E">
              <w:rPr>
                <w:rFonts w:cs="Calibri"/>
                <w:spacing w:val="-8"/>
                <w:sz w:val="24"/>
                <w:szCs w:val="24"/>
                <w:lang w:eastAsia="ar-SA"/>
              </w:rPr>
              <w:br/>
              <w:t>(</w:t>
            </w:r>
            <w:r w:rsidRPr="00DD041E">
              <w:rPr>
                <w:rFonts w:cs="Calibri"/>
                <w:spacing w:val="-8"/>
                <w:sz w:val="24"/>
                <w:szCs w:val="24"/>
                <w:lang w:val="en-US" w:eastAsia="ar-SA"/>
              </w:rPr>
              <w:t>n</w:t>
            </w:r>
            <w:r>
              <w:rPr>
                <w:rFonts w:cs="Calibri"/>
                <w:spacing w:val="-8"/>
                <w:sz w:val="24"/>
                <w:szCs w:val="24"/>
                <w:lang w:eastAsia="ar-SA"/>
              </w:rPr>
              <w:t>=29</w:t>
            </w:r>
            <w:r w:rsidRPr="00DD041E">
              <w:rPr>
                <w:rFonts w:cs="Calibri"/>
                <w:spacing w:val="-8"/>
                <w:sz w:val="24"/>
                <w:szCs w:val="24"/>
                <w:lang w:eastAsia="ar-SA"/>
              </w:rPr>
              <w:t>)</w:t>
            </w:r>
          </w:p>
        </w:tc>
        <w:tc>
          <w:tcPr>
            <w:tcW w:w="4111" w:type="dxa"/>
            <w:tcBorders>
              <w:top w:val="single" w:sz="4" w:space="0" w:color="000000"/>
              <w:left w:val="single" w:sz="4" w:space="0" w:color="000000"/>
              <w:bottom w:val="single" w:sz="4" w:space="0" w:color="000000"/>
            </w:tcBorders>
            <w:tcMar>
              <w:left w:w="28" w:type="dxa"/>
              <w:right w:w="28" w:type="dxa"/>
            </w:tcMar>
          </w:tcPr>
          <w:p w:rsidR="00286780" w:rsidRPr="00DD041E" w:rsidRDefault="00286780" w:rsidP="00DD041E">
            <w:pPr>
              <w:snapToGrid w:val="0"/>
              <w:rPr>
                <w:rFonts w:cs="Calibri"/>
                <w:spacing w:val="-8"/>
                <w:sz w:val="24"/>
                <w:szCs w:val="24"/>
                <w:lang w:eastAsia="ar-SA"/>
              </w:rPr>
            </w:pPr>
            <w:r w:rsidRPr="00DD041E">
              <w:rPr>
                <w:rFonts w:cs="Calibri"/>
                <w:spacing w:val="-8"/>
                <w:sz w:val="24"/>
                <w:szCs w:val="24"/>
                <w:lang w:eastAsia="ar-SA"/>
              </w:rPr>
              <w:t>Раскрытие и дренирование соответствующих топографо-анатомических областей и клетчаточных пространств (</w:t>
            </w:r>
            <w:r w:rsidRPr="00DD041E">
              <w:rPr>
                <w:rFonts w:cs="Calibri"/>
                <w:spacing w:val="-8"/>
                <w:sz w:val="24"/>
                <w:szCs w:val="24"/>
                <w:lang w:val="en-US" w:eastAsia="ar-SA"/>
              </w:rPr>
              <w:t>n</w:t>
            </w:r>
            <w:r>
              <w:rPr>
                <w:rFonts w:cs="Calibri"/>
                <w:spacing w:val="-8"/>
                <w:sz w:val="24"/>
                <w:szCs w:val="24"/>
                <w:lang w:eastAsia="ar-SA"/>
              </w:rPr>
              <w:t>=28</w:t>
            </w:r>
            <w:r w:rsidRPr="00DD041E">
              <w:rPr>
                <w:rFonts w:cs="Calibri"/>
                <w:spacing w:val="-8"/>
                <w:sz w:val="24"/>
                <w:szCs w:val="24"/>
                <w:lang w:eastAsia="ar-SA"/>
              </w:rPr>
              <w:t>), в т ч. использование модифицированного доступа с частичным рассечением подъязычно-подчелюстного мешка (Пат РФ № 2705105) с учетом расширенных показаний (</w:t>
            </w:r>
            <w:r w:rsidRPr="00DD041E">
              <w:rPr>
                <w:rFonts w:cs="Calibri"/>
                <w:spacing w:val="-8"/>
                <w:sz w:val="24"/>
                <w:szCs w:val="24"/>
                <w:lang w:val="en-US" w:eastAsia="ar-SA"/>
              </w:rPr>
              <w:t>n</w:t>
            </w:r>
            <w:r>
              <w:rPr>
                <w:rFonts w:cs="Calibri"/>
                <w:spacing w:val="-8"/>
                <w:sz w:val="24"/>
                <w:szCs w:val="24"/>
                <w:lang w:eastAsia="ar-SA"/>
              </w:rPr>
              <w:t>=15), местная анестезия</w:t>
            </w:r>
          </w:p>
        </w:tc>
        <w:tc>
          <w:tcPr>
            <w:tcW w:w="4241" w:type="dxa"/>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DD041E" w:rsidRDefault="00286780" w:rsidP="00DD041E">
            <w:pPr>
              <w:snapToGrid w:val="0"/>
              <w:rPr>
                <w:rFonts w:cs="Calibri"/>
                <w:spacing w:val="-8"/>
                <w:sz w:val="24"/>
                <w:szCs w:val="24"/>
                <w:lang w:eastAsia="ar-SA"/>
              </w:rPr>
            </w:pPr>
            <w:r w:rsidRPr="00DD041E">
              <w:rPr>
                <w:rFonts w:cs="Calibri"/>
                <w:spacing w:val="-8"/>
                <w:sz w:val="24"/>
                <w:szCs w:val="24"/>
                <w:lang w:eastAsia="ar-SA"/>
              </w:rPr>
              <w:t>Раскрытие и дренирование соответствующих топографо-анатомических областей и клетчаточных пространств, экстирпация подчелюстной слюнной железы* на стороне поражения, эндотрахеальный наркоз (</w:t>
            </w:r>
            <w:r w:rsidRPr="00DD041E">
              <w:rPr>
                <w:rFonts w:cs="Calibri"/>
                <w:spacing w:val="-8"/>
                <w:sz w:val="24"/>
                <w:szCs w:val="24"/>
                <w:lang w:val="en-US" w:eastAsia="ar-SA"/>
              </w:rPr>
              <w:t>n</w:t>
            </w:r>
            <w:r>
              <w:rPr>
                <w:rFonts w:cs="Calibri"/>
                <w:spacing w:val="-8"/>
                <w:sz w:val="24"/>
                <w:szCs w:val="24"/>
                <w:lang w:eastAsia="ar-SA"/>
              </w:rPr>
              <w:t>=1</w:t>
            </w:r>
            <w:r w:rsidRPr="00DD041E">
              <w:rPr>
                <w:rFonts w:cs="Calibri"/>
                <w:spacing w:val="-8"/>
                <w:sz w:val="24"/>
                <w:szCs w:val="24"/>
                <w:lang w:eastAsia="ar-SA"/>
              </w:rPr>
              <w:t>)</w:t>
            </w:r>
          </w:p>
        </w:tc>
      </w:tr>
      <w:tr w:rsidR="00286780" w:rsidRPr="00DD041E" w:rsidTr="00894E8F">
        <w:trPr>
          <w:trHeight w:val="227"/>
        </w:trPr>
        <w:tc>
          <w:tcPr>
            <w:tcW w:w="1571" w:type="dxa"/>
            <w:vMerge w:val="restart"/>
            <w:tcBorders>
              <w:top w:val="single" w:sz="4" w:space="0" w:color="000000"/>
              <w:left w:val="single" w:sz="4" w:space="0" w:color="000000"/>
              <w:bottom w:val="single" w:sz="4" w:space="0" w:color="000000"/>
            </w:tcBorders>
            <w:tcMar>
              <w:left w:w="28" w:type="dxa"/>
              <w:right w:w="28" w:type="dxa"/>
            </w:tcMar>
          </w:tcPr>
          <w:p w:rsidR="00286780" w:rsidRPr="00DD041E" w:rsidRDefault="00286780" w:rsidP="00DD041E">
            <w:pPr>
              <w:snapToGrid w:val="0"/>
              <w:rPr>
                <w:rFonts w:cs="Calibri"/>
                <w:spacing w:val="-8"/>
                <w:sz w:val="24"/>
                <w:szCs w:val="24"/>
                <w:lang w:val="en-US" w:eastAsia="ar-SA"/>
              </w:rPr>
            </w:pPr>
            <w:r w:rsidRPr="00DD041E">
              <w:rPr>
                <w:rFonts w:cs="Calibri"/>
                <w:spacing w:val="-8"/>
                <w:sz w:val="24"/>
                <w:szCs w:val="24"/>
                <w:lang w:eastAsia="ar-SA"/>
              </w:rPr>
              <w:t>Гнилостно-некротический (</w:t>
            </w:r>
            <w:r>
              <w:rPr>
                <w:rFonts w:cs="Calibri"/>
                <w:spacing w:val="-8"/>
                <w:sz w:val="24"/>
                <w:szCs w:val="24"/>
                <w:lang w:val="en-US" w:eastAsia="ar-SA"/>
              </w:rPr>
              <w:t>n=</w:t>
            </w:r>
            <w:r>
              <w:rPr>
                <w:rFonts w:cs="Calibri"/>
                <w:spacing w:val="-8"/>
                <w:sz w:val="24"/>
                <w:szCs w:val="24"/>
                <w:lang w:eastAsia="ar-SA"/>
              </w:rPr>
              <w:t>11</w:t>
            </w:r>
            <w:r w:rsidRPr="00DD041E">
              <w:rPr>
                <w:rFonts w:cs="Calibri"/>
                <w:spacing w:val="-8"/>
                <w:sz w:val="24"/>
                <w:szCs w:val="24"/>
                <w:lang w:val="en-US" w:eastAsia="ar-SA"/>
              </w:rPr>
              <w:t>)</w:t>
            </w:r>
          </w:p>
        </w:tc>
        <w:tc>
          <w:tcPr>
            <w:tcW w:w="4111" w:type="dxa"/>
            <w:vMerge w:val="restart"/>
            <w:tcBorders>
              <w:top w:val="single" w:sz="4" w:space="0" w:color="000000"/>
              <w:left w:val="single" w:sz="4" w:space="0" w:color="000000"/>
              <w:bottom w:val="single" w:sz="4" w:space="0" w:color="000000"/>
            </w:tcBorders>
            <w:tcMar>
              <w:left w:w="28" w:type="dxa"/>
              <w:right w:w="28" w:type="dxa"/>
            </w:tcMar>
          </w:tcPr>
          <w:p w:rsidR="00286780" w:rsidRPr="00DD041E" w:rsidRDefault="00286780" w:rsidP="00DD041E">
            <w:pPr>
              <w:snapToGrid w:val="0"/>
              <w:rPr>
                <w:rFonts w:cs="Calibri"/>
                <w:spacing w:val="-8"/>
                <w:sz w:val="24"/>
                <w:szCs w:val="24"/>
                <w:lang w:eastAsia="ar-SA"/>
              </w:rPr>
            </w:pPr>
            <w:r w:rsidRPr="00DD041E">
              <w:rPr>
                <w:rFonts w:cs="Calibri"/>
                <w:spacing w:val="-8"/>
                <w:sz w:val="24"/>
                <w:szCs w:val="24"/>
                <w:lang w:eastAsia="ar-SA"/>
              </w:rPr>
              <w:t>Раскрытие топографо-анатомических областей и клетчаточных пространств до уровня «здоровых» тканей, некрэктомия, ревизия клетчаточных пространств на путях возможного распространения, дренирование, местная анестезия с премедикацией при вовлечении 1–3 клетчаточных пространств (</w:t>
            </w:r>
            <w:r w:rsidRPr="00DD041E">
              <w:rPr>
                <w:rFonts w:cs="Calibri"/>
                <w:spacing w:val="-8"/>
                <w:sz w:val="24"/>
                <w:szCs w:val="24"/>
                <w:lang w:val="en-US" w:eastAsia="ar-SA"/>
              </w:rPr>
              <w:t>n</w:t>
            </w:r>
            <w:r>
              <w:rPr>
                <w:rFonts w:cs="Calibri"/>
                <w:spacing w:val="-8"/>
                <w:sz w:val="24"/>
                <w:szCs w:val="24"/>
                <w:lang w:eastAsia="ar-SA"/>
              </w:rPr>
              <w:t>=</w:t>
            </w:r>
            <w:r w:rsidRPr="00DD041E">
              <w:rPr>
                <w:rFonts w:cs="Calibri"/>
                <w:spacing w:val="-8"/>
                <w:sz w:val="24"/>
                <w:szCs w:val="24"/>
                <w:lang w:eastAsia="ar-SA"/>
              </w:rPr>
              <w:t>3). При вовлечении 4 и более клетчаточных пространств и топографо-анатомических областей – наркоз</w:t>
            </w:r>
          </w:p>
        </w:tc>
        <w:tc>
          <w:tcPr>
            <w:tcW w:w="4241" w:type="dxa"/>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DD041E" w:rsidRDefault="00286780" w:rsidP="00DD041E">
            <w:pPr>
              <w:snapToGrid w:val="0"/>
              <w:rPr>
                <w:rFonts w:cs="Calibri"/>
                <w:spacing w:val="-8"/>
                <w:sz w:val="24"/>
                <w:szCs w:val="24"/>
                <w:lang w:eastAsia="ar-SA"/>
              </w:rPr>
            </w:pPr>
            <w:r w:rsidRPr="00DD041E">
              <w:rPr>
                <w:rFonts w:cs="Calibri"/>
                <w:spacing w:val="-8"/>
                <w:sz w:val="24"/>
                <w:szCs w:val="24"/>
                <w:lang w:eastAsia="ar-SA"/>
              </w:rPr>
              <w:t>Раскрытие топографо-анатомических областей до уровня «здоровых» тканей, максимальная некрэктомия, ревизия клетчаточных пространств на путях возможного распространения, экстирпация подчелюстной слюнной железы* на стороне одонтогенного источника, дренирование (</w:t>
            </w:r>
            <w:r w:rsidRPr="00DD041E">
              <w:rPr>
                <w:rFonts w:cs="Calibri"/>
                <w:spacing w:val="-8"/>
                <w:sz w:val="24"/>
                <w:szCs w:val="24"/>
                <w:lang w:val="en-US" w:eastAsia="ar-SA"/>
              </w:rPr>
              <w:t>n</w:t>
            </w:r>
            <w:r>
              <w:rPr>
                <w:rFonts w:cs="Calibri"/>
                <w:spacing w:val="-8"/>
                <w:sz w:val="24"/>
                <w:szCs w:val="24"/>
                <w:lang w:eastAsia="ar-SA"/>
              </w:rPr>
              <w:t>=7</w:t>
            </w:r>
            <w:r w:rsidRPr="00DD041E">
              <w:rPr>
                <w:rFonts w:cs="Calibri"/>
                <w:spacing w:val="-8"/>
                <w:sz w:val="24"/>
                <w:szCs w:val="24"/>
                <w:lang w:eastAsia="ar-SA"/>
              </w:rPr>
              <w:t>)</w:t>
            </w:r>
          </w:p>
        </w:tc>
      </w:tr>
      <w:tr w:rsidR="00286780" w:rsidRPr="00DD041E" w:rsidTr="00894E8F">
        <w:trPr>
          <w:trHeight w:val="227"/>
        </w:trPr>
        <w:tc>
          <w:tcPr>
            <w:tcW w:w="1571" w:type="dxa"/>
            <w:vMerge/>
            <w:tcBorders>
              <w:top w:val="single" w:sz="4" w:space="0" w:color="000000"/>
              <w:left w:val="single" w:sz="4" w:space="0" w:color="000000"/>
              <w:bottom w:val="single" w:sz="4" w:space="0" w:color="000000"/>
            </w:tcBorders>
            <w:tcMar>
              <w:left w:w="28" w:type="dxa"/>
              <w:right w:w="28" w:type="dxa"/>
            </w:tcMar>
          </w:tcPr>
          <w:p w:rsidR="00286780" w:rsidRPr="00DD041E" w:rsidRDefault="00286780" w:rsidP="00DD041E">
            <w:pPr>
              <w:snapToGrid w:val="0"/>
              <w:rPr>
                <w:rFonts w:cs="Calibri"/>
                <w:spacing w:val="-8"/>
                <w:sz w:val="24"/>
                <w:szCs w:val="24"/>
                <w:lang w:eastAsia="ar-SA"/>
              </w:rPr>
            </w:pPr>
          </w:p>
        </w:tc>
        <w:tc>
          <w:tcPr>
            <w:tcW w:w="4111" w:type="dxa"/>
            <w:vMerge/>
            <w:tcBorders>
              <w:top w:val="single" w:sz="4" w:space="0" w:color="000000"/>
              <w:left w:val="single" w:sz="4" w:space="0" w:color="000000"/>
              <w:bottom w:val="single" w:sz="4" w:space="0" w:color="000000"/>
            </w:tcBorders>
            <w:tcMar>
              <w:left w:w="28" w:type="dxa"/>
              <w:right w:w="28" w:type="dxa"/>
            </w:tcMar>
          </w:tcPr>
          <w:p w:rsidR="00286780" w:rsidRPr="00DD041E" w:rsidRDefault="00286780" w:rsidP="00DD041E">
            <w:pPr>
              <w:snapToGrid w:val="0"/>
              <w:rPr>
                <w:rFonts w:cs="Calibri"/>
                <w:spacing w:val="-8"/>
                <w:sz w:val="24"/>
                <w:szCs w:val="24"/>
                <w:lang w:eastAsia="ar-SA"/>
              </w:rPr>
            </w:pPr>
          </w:p>
        </w:tc>
        <w:tc>
          <w:tcPr>
            <w:tcW w:w="4241" w:type="dxa"/>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DD041E" w:rsidRDefault="00286780" w:rsidP="00DD041E">
            <w:pPr>
              <w:snapToGrid w:val="0"/>
              <w:rPr>
                <w:rFonts w:cs="Calibri"/>
                <w:spacing w:val="-8"/>
                <w:sz w:val="24"/>
                <w:szCs w:val="24"/>
                <w:lang w:eastAsia="ar-SA"/>
              </w:rPr>
            </w:pPr>
            <w:r w:rsidRPr="00DD041E">
              <w:rPr>
                <w:rFonts w:cs="Calibri"/>
                <w:spacing w:val="-8"/>
                <w:sz w:val="24"/>
                <w:szCs w:val="24"/>
                <w:lang w:eastAsia="ar-SA"/>
              </w:rPr>
              <w:t>При отсутствии поражения клетчатки дна полости рта/подчелюстной области/окологлоточного пространства – сиалэктомия не выполняется (</w:t>
            </w:r>
            <w:r w:rsidRPr="00DD041E">
              <w:rPr>
                <w:rFonts w:cs="Calibri"/>
                <w:spacing w:val="-8"/>
                <w:sz w:val="24"/>
                <w:szCs w:val="24"/>
                <w:lang w:val="en-US" w:eastAsia="ar-SA"/>
              </w:rPr>
              <w:t>n</w:t>
            </w:r>
            <w:r>
              <w:rPr>
                <w:rFonts w:cs="Calibri"/>
                <w:spacing w:val="-8"/>
                <w:sz w:val="24"/>
                <w:szCs w:val="24"/>
                <w:lang w:eastAsia="ar-SA"/>
              </w:rPr>
              <w:t>=</w:t>
            </w:r>
            <w:r w:rsidRPr="00DD041E">
              <w:rPr>
                <w:rFonts w:cs="Calibri"/>
                <w:spacing w:val="-8"/>
                <w:sz w:val="24"/>
                <w:szCs w:val="24"/>
                <w:lang w:eastAsia="ar-SA"/>
              </w:rPr>
              <w:t>1)</w:t>
            </w:r>
          </w:p>
        </w:tc>
      </w:tr>
      <w:tr w:rsidR="00286780" w:rsidRPr="00DD041E" w:rsidTr="00894E8F">
        <w:trPr>
          <w:trHeight w:val="227"/>
        </w:trPr>
        <w:tc>
          <w:tcPr>
            <w:tcW w:w="9923" w:type="dxa"/>
            <w:gridSpan w:val="3"/>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DD041E" w:rsidRDefault="00286780" w:rsidP="00DD041E">
            <w:pPr>
              <w:jc w:val="both"/>
              <w:rPr>
                <w:rFonts w:cs="Calibri"/>
                <w:spacing w:val="-8"/>
                <w:sz w:val="24"/>
                <w:szCs w:val="24"/>
                <w:lang w:eastAsia="ar-SA"/>
              </w:rPr>
            </w:pPr>
            <w:r w:rsidRPr="00DD041E">
              <w:rPr>
                <w:rFonts w:cs="Calibri"/>
                <w:i/>
                <w:spacing w:val="-8"/>
                <w:sz w:val="24"/>
                <w:szCs w:val="24"/>
                <w:lang w:eastAsia="ar-SA"/>
              </w:rPr>
              <w:t>Примечание</w:t>
            </w:r>
            <w:r w:rsidRPr="00DD041E">
              <w:rPr>
                <w:rFonts w:cs="Calibri"/>
                <w:spacing w:val="-8"/>
                <w:sz w:val="24"/>
                <w:szCs w:val="24"/>
                <w:lang w:eastAsia="ar-SA"/>
              </w:rPr>
              <w:t>. * – удаление подчелюстной слюнной железы (подчелюстная сиалэктомия) выполняется при вовлечении клетчатки дна полости рта/окологлоточного пространства/подчелюстной области с целью создания оптимальных условий для некрэктомии и/или оттока воспалительного экссудата</w:t>
            </w:r>
          </w:p>
        </w:tc>
      </w:tr>
    </w:tbl>
    <w:p w:rsidR="00286780" w:rsidRPr="00DD041E" w:rsidRDefault="00286780" w:rsidP="00DD041E">
      <w:pPr>
        <w:jc w:val="both"/>
        <w:rPr>
          <w:rFonts w:cs="Calibri"/>
          <w:spacing w:val="-8"/>
          <w:sz w:val="28"/>
          <w:szCs w:val="28"/>
          <w:lang w:eastAsia="ar-SA"/>
        </w:rPr>
      </w:pPr>
    </w:p>
    <w:p w:rsidR="00286780" w:rsidRPr="00DD041E" w:rsidRDefault="00286780" w:rsidP="00DD041E">
      <w:pPr>
        <w:spacing w:line="360" w:lineRule="auto"/>
        <w:ind w:firstLine="709"/>
        <w:jc w:val="both"/>
        <w:rPr>
          <w:rFonts w:cs="Calibri"/>
          <w:sz w:val="28"/>
          <w:szCs w:val="28"/>
          <w:lang w:eastAsia="ar-SA"/>
        </w:rPr>
      </w:pPr>
      <w:r w:rsidRPr="00DD041E">
        <w:rPr>
          <w:rFonts w:cs="Calibri"/>
          <w:sz w:val="28"/>
          <w:szCs w:val="28"/>
          <w:lang w:eastAsia="ar-SA"/>
        </w:rPr>
        <w:t>В соответствии с данной модификацией оперативного вмешательства вы</w:t>
      </w:r>
      <w:r>
        <w:rPr>
          <w:rFonts w:cs="Calibri"/>
          <w:sz w:val="28"/>
          <w:szCs w:val="28"/>
          <w:lang w:eastAsia="ar-SA"/>
        </w:rPr>
        <w:t>полнено оперативное лечение 28</w:t>
      </w:r>
      <w:r w:rsidRPr="00DD041E">
        <w:rPr>
          <w:rFonts w:cs="Calibri"/>
          <w:sz w:val="28"/>
          <w:szCs w:val="28"/>
          <w:lang w:eastAsia="ar-SA"/>
        </w:rPr>
        <w:t xml:space="preserve"> пациентам с МФОИ, флегмонами и абсцессами челюстно-лицевой области в пределах не более четырех клетчаточных пространств и топографо-анатомических областей, не распространяющихся на клетчаточные пространства шеи.</w:t>
      </w:r>
    </w:p>
    <w:p w:rsidR="00286780" w:rsidRPr="00DD041E" w:rsidRDefault="00286780" w:rsidP="00DD041E">
      <w:pPr>
        <w:spacing w:line="360" w:lineRule="auto"/>
        <w:ind w:firstLine="709"/>
        <w:jc w:val="both"/>
        <w:rPr>
          <w:rFonts w:cs="Calibri"/>
          <w:sz w:val="28"/>
          <w:szCs w:val="28"/>
          <w:lang w:eastAsia="ar-SA"/>
        </w:rPr>
      </w:pPr>
      <w:r w:rsidRPr="00DD041E">
        <w:rPr>
          <w:rFonts w:cs="Calibri"/>
          <w:sz w:val="28"/>
          <w:szCs w:val="28"/>
          <w:lang w:eastAsia="ar-SA"/>
        </w:rPr>
        <w:t xml:space="preserve">Пациентам с ОС и гнойным типом острого воспалительного процесса (определяемым дооперационно по характерным признакам, см. выше) выполнено «расширенное» оперативное вмешательство с применением интубационного наркоза. Данные флегмоны относились к </w:t>
      </w:r>
      <w:r w:rsidRPr="00DD041E">
        <w:rPr>
          <w:rFonts w:cs="Calibri"/>
          <w:i/>
          <w:sz w:val="28"/>
          <w:szCs w:val="28"/>
          <w:lang w:eastAsia="ar-SA"/>
        </w:rPr>
        <w:t>прогрессирующим</w:t>
      </w:r>
      <w:r w:rsidRPr="00DD041E">
        <w:rPr>
          <w:rFonts w:cs="Calibri"/>
          <w:sz w:val="28"/>
          <w:szCs w:val="28"/>
          <w:lang w:eastAsia="ar-SA"/>
        </w:rPr>
        <w:t>, т. е. с тенденцией к дальнейшему р</w:t>
      </w:r>
      <w:r>
        <w:rPr>
          <w:rFonts w:cs="Calibri"/>
          <w:sz w:val="28"/>
          <w:szCs w:val="28"/>
          <w:lang w:eastAsia="ar-SA"/>
        </w:rPr>
        <w:t>аспространению (Шаргородский А.Г., 2001)</w:t>
      </w:r>
      <w:r w:rsidRPr="00DD041E">
        <w:rPr>
          <w:rFonts w:cs="Calibri"/>
          <w:sz w:val="28"/>
          <w:szCs w:val="28"/>
          <w:lang w:eastAsia="ar-SA"/>
        </w:rPr>
        <w:t>. Разрез кожных по</w:t>
      </w:r>
      <w:r w:rsidRPr="00DD041E">
        <w:rPr>
          <w:rFonts w:cs="Calibri"/>
          <w:sz w:val="28"/>
          <w:szCs w:val="28"/>
          <w:lang w:eastAsia="ar-SA"/>
        </w:rPr>
        <w:lastRenderedPageBreak/>
        <w:t xml:space="preserve">кровов и дальнейшее рассечение тканей проводится в пределах «пораженной» области, определяемой по наличию гиперемированного инфильтрата и интраоперационно. Гемостаз. Пальцевая ревизия полости, санация антисептиками (3% перекись водорода, хлоргексидин 0,05%), </w:t>
      </w:r>
      <w:r w:rsidRPr="00DD041E">
        <w:rPr>
          <w:rFonts w:cs="Calibri"/>
          <w:i/>
          <w:sz w:val="28"/>
          <w:szCs w:val="28"/>
          <w:lang w:eastAsia="ar-SA"/>
        </w:rPr>
        <w:t>сиалэктомия</w:t>
      </w:r>
      <w:r w:rsidRPr="00DD041E">
        <w:rPr>
          <w:rFonts w:cs="Calibri"/>
          <w:sz w:val="28"/>
          <w:szCs w:val="28"/>
          <w:lang w:eastAsia="ar-SA"/>
        </w:rPr>
        <w:t xml:space="preserve"> на стороне поражения с перевязкой </w:t>
      </w:r>
      <w:r w:rsidRPr="00DD041E">
        <w:rPr>
          <w:rFonts w:cs="Calibri"/>
          <w:sz w:val="28"/>
          <w:szCs w:val="28"/>
          <w:lang w:val="en-US" w:eastAsia="ar-SA"/>
        </w:rPr>
        <w:t>a</w:t>
      </w:r>
      <w:r w:rsidRPr="00DD041E">
        <w:rPr>
          <w:rFonts w:cs="Calibri"/>
          <w:sz w:val="28"/>
          <w:szCs w:val="28"/>
          <w:lang w:eastAsia="ar-SA"/>
        </w:rPr>
        <w:t xml:space="preserve">. </w:t>
      </w:r>
      <w:r w:rsidRPr="00DD041E">
        <w:rPr>
          <w:rFonts w:cs="Calibri"/>
          <w:sz w:val="28"/>
          <w:szCs w:val="28"/>
          <w:lang w:val="en-US" w:eastAsia="ar-SA"/>
        </w:rPr>
        <w:t>etv</w:t>
      </w:r>
      <w:r w:rsidRPr="00DD041E">
        <w:rPr>
          <w:rFonts w:cs="Calibri"/>
          <w:sz w:val="28"/>
          <w:szCs w:val="28"/>
          <w:lang w:eastAsia="ar-SA"/>
        </w:rPr>
        <w:t xml:space="preserve">. </w:t>
      </w:r>
      <w:r w:rsidRPr="00DD041E">
        <w:rPr>
          <w:rFonts w:cs="Calibri"/>
          <w:sz w:val="28"/>
          <w:szCs w:val="28"/>
          <w:lang w:val="en-US" w:eastAsia="ar-SA"/>
        </w:rPr>
        <w:t>facialis</w:t>
      </w:r>
      <w:r w:rsidRPr="00DD041E">
        <w:rPr>
          <w:rFonts w:cs="Calibri"/>
          <w:sz w:val="28"/>
          <w:szCs w:val="28"/>
          <w:lang w:eastAsia="ar-SA"/>
        </w:rPr>
        <w:t xml:space="preserve">, дополнительная пальцевая ревизия и санация гнойных полостей, дренирование. Перевязки 2-3 раза в сутки. В соответствии с данной модификацией оперативного вмешательства выполнено оперативное лечение </w:t>
      </w:r>
      <w:r>
        <w:rPr>
          <w:rFonts w:cs="Calibri"/>
          <w:sz w:val="28"/>
          <w:szCs w:val="28"/>
          <w:lang w:eastAsia="ar-SA"/>
        </w:rPr>
        <w:t>одному пациенту</w:t>
      </w:r>
      <w:r w:rsidRPr="00DD041E">
        <w:rPr>
          <w:rFonts w:cs="Calibri"/>
          <w:sz w:val="28"/>
          <w:szCs w:val="28"/>
          <w:lang w:eastAsia="ar-SA"/>
        </w:rPr>
        <w:t xml:space="preserve"> с распространенными флегмонами дна полости рта (вовлечение подчелюстной топографо-анатомической области и челюстно-язычного желобка) без распространения на клетчаточные пространства шеи.</w:t>
      </w:r>
    </w:p>
    <w:p w:rsidR="00286780" w:rsidRPr="00DD041E" w:rsidRDefault="00286780" w:rsidP="00DD041E">
      <w:pPr>
        <w:spacing w:line="360" w:lineRule="auto"/>
        <w:ind w:firstLine="709"/>
        <w:jc w:val="both"/>
        <w:rPr>
          <w:rFonts w:cs="Calibri"/>
          <w:sz w:val="28"/>
          <w:szCs w:val="28"/>
          <w:lang w:eastAsia="ar-SA"/>
        </w:rPr>
      </w:pPr>
      <w:r w:rsidRPr="00DD041E">
        <w:rPr>
          <w:rFonts w:cs="Calibri"/>
          <w:sz w:val="28"/>
          <w:szCs w:val="28"/>
          <w:lang w:eastAsia="ar-SA"/>
        </w:rPr>
        <w:t>Пациентам с гнилостно-некротическим типом острого воспалительного процесса (определяется дооперационно по характерным признакам – отсутствие выраженного гиперемированного инфильтрата, отсутствие резкой болезненности и флюктуации при пальпации, пастозность кожных покровов, подкожные тромбированные вены, отсутствие выраженного очага экссудации по данным ультразвукового исследования), разрез кожных покровов и оперативный доступ в целом произведен до уровня неизмененных, «здоровых» тканей, причем ширина разреза кожных покровов должна соответствовать ширине рассечения глубжележащих тканей вплоть до дренируемой зоны. Гемостаз. Пальцевая ревизия полости. Ревизия клетчаточных пространств на путях возможного распространения. При поражении небольшого количества клетчаточных пространств и топографо-анатомических областей (менее четырех) представляется возможным выполнение данного оперативного вмешательства под местной анестезией с премедикацией. Выполнение сиалэктомии в данном случае под местной анестезией представляется технически сложным и болезненным вмешательством, поэтому не рекомендуется. Перевязки 2-3 раза в сутки.</w:t>
      </w:r>
    </w:p>
    <w:p w:rsidR="00286780" w:rsidRPr="00DD041E" w:rsidRDefault="00286780" w:rsidP="00DD041E">
      <w:pPr>
        <w:spacing w:line="360" w:lineRule="auto"/>
        <w:ind w:firstLine="709"/>
        <w:jc w:val="both"/>
        <w:rPr>
          <w:rFonts w:cs="Calibri"/>
          <w:sz w:val="28"/>
          <w:szCs w:val="28"/>
          <w:lang w:eastAsia="ar-SA"/>
        </w:rPr>
      </w:pPr>
      <w:r w:rsidRPr="00DD041E">
        <w:rPr>
          <w:rFonts w:cs="Calibri"/>
          <w:sz w:val="28"/>
          <w:szCs w:val="28"/>
          <w:lang w:eastAsia="ar-SA"/>
        </w:rPr>
        <w:t xml:space="preserve">В соответствии с данной модификацией оперативного вмешательства выполнено оперативное лечение трем (3) пациентам с МФОИ, флегмонами в пределах 1–3 топографо-анатомических областей, включающих подчелюстную область, а </w:t>
      </w:r>
      <w:r>
        <w:rPr>
          <w:rFonts w:cs="Calibri"/>
          <w:sz w:val="28"/>
          <w:szCs w:val="28"/>
          <w:lang w:eastAsia="ar-SA"/>
        </w:rPr>
        <w:t>также</w:t>
      </w:r>
      <w:r w:rsidRPr="00DD041E">
        <w:rPr>
          <w:rFonts w:cs="Calibri"/>
          <w:sz w:val="28"/>
          <w:szCs w:val="28"/>
          <w:lang w:eastAsia="ar-SA"/>
        </w:rPr>
        <w:t xml:space="preserve"> подподбородочную, щечную, поджевательную. Проведение оперативного </w:t>
      </w:r>
      <w:r w:rsidRPr="00DD041E">
        <w:rPr>
          <w:rFonts w:cs="Calibri"/>
          <w:sz w:val="28"/>
          <w:szCs w:val="28"/>
          <w:lang w:eastAsia="ar-SA"/>
        </w:rPr>
        <w:lastRenderedPageBreak/>
        <w:t>лечения под местной анестезией не сопровождалось какими-либо выраженными болевыми ощущениями, однако следует отметить ограничение возможной зоны некрэктомии и ревизии полости воспалительного процесса. Оперативное лечение под общей анестезией в этом случае крайне затруднено, т. к. интубация трахеи технически сложно выполнима вследствие выраженного тризма, поэтому представляет определенную угрозу асфиксии вследствие неправильного введения интубационной трубки «вслепую», эндоскопически или после выполнения трахеостомии. Поэтому мы считаем, что местная анестезия в данном случае предпочтительнее эндотрахеального наркоза, хотя общая анестезия пациентам с МФОИ и гнилостно-некротическим поражением небольшого (менее 4) клетчаточных пространств и областей возможна при наличии опытной операционной бригады и соответствующего эндоскопического оборудования.</w:t>
      </w:r>
    </w:p>
    <w:p w:rsidR="00286780" w:rsidRPr="00DD041E" w:rsidRDefault="00286780" w:rsidP="00DD041E">
      <w:pPr>
        <w:spacing w:line="360" w:lineRule="auto"/>
        <w:ind w:firstLine="709"/>
        <w:jc w:val="both"/>
        <w:rPr>
          <w:rFonts w:cs="Calibri"/>
          <w:sz w:val="28"/>
          <w:szCs w:val="28"/>
          <w:lang w:eastAsia="ar-SA"/>
        </w:rPr>
      </w:pPr>
      <w:r w:rsidRPr="00DD041E">
        <w:rPr>
          <w:rFonts w:cs="Calibri"/>
          <w:sz w:val="28"/>
          <w:szCs w:val="28"/>
          <w:lang w:eastAsia="ar-SA"/>
        </w:rPr>
        <w:t>Пациентам с гнилостно-некротическим типом острого воспалительного процесса и одонтогенным сепсисом необходимо максимально радикальное опера</w:t>
      </w:r>
      <w:r>
        <w:rPr>
          <w:rFonts w:cs="Calibri"/>
          <w:sz w:val="28"/>
          <w:szCs w:val="28"/>
          <w:lang w:eastAsia="ar-SA"/>
        </w:rPr>
        <w:t>тивное вмешательство (Таблица 70</w:t>
      </w:r>
      <w:r w:rsidRPr="00DD041E">
        <w:rPr>
          <w:rFonts w:cs="Calibri"/>
          <w:sz w:val="28"/>
          <w:szCs w:val="28"/>
          <w:lang w:eastAsia="ar-SA"/>
        </w:rPr>
        <w:t xml:space="preserve">), в том числе </w:t>
      </w:r>
      <w:r w:rsidRPr="00DD041E">
        <w:rPr>
          <w:rFonts w:cs="Calibri"/>
          <w:i/>
          <w:sz w:val="28"/>
          <w:szCs w:val="28"/>
          <w:lang w:eastAsia="ar-SA"/>
        </w:rPr>
        <w:t>сиалэктомия</w:t>
      </w:r>
      <w:r w:rsidRPr="00DD041E">
        <w:rPr>
          <w:rFonts w:cs="Calibri"/>
          <w:sz w:val="28"/>
          <w:szCs w:val="28"/>
          <w:lang w:eastAsia="ar-SA"/>
        </w:rPr>
        <w:t xml:space="preserve"> на стороне первичного одонтогенного источника, создающая оптимальные условия для некрэктомии и оттока экссудата. Данные одонтогенные флегмоны </w:t>
      </w:r>
      <w:r>
        <w:rPr>
          <w:rFonts w:cs="Calibri"/>
          <w:sz w:val="28"/>
          <w:szCs w:val="28"/>
          <w:lang w:eastAsia="ar-SA"/>
        </w:rPr>
        <w:t>также</w:t>
      </w:r>
      <w:r w:rsidRPr="00DD041E">
        <w:rPr>
          <w:rFonts w:cs="Calibri"/>
          <w:sz w:val="28"/>
          <w:szCs w:val="28"/>
          <w:lang w:eastAsia="ar-SA"/>
        </w:rPr>
        <w:t xml:space="preserve"> являются </w:t>
      </w:r>
      <w:r w:rsidRPr="00DD041E">
        <w:rPr>
          <w:rFonts w:cs="Calibri"/>
          <w:i/>
          <w:sz w:val="28"/>
          <w:szCs w:val="28"/>
          <w:lang w:eastAsia="ar-SA"/>
        </w:rPr>
        <w:t>прогрессирующими</w:t>
      </w:r>
      <w:r w:rsidRPr="00DD041E">
        <w:rPr>
          <w:rFonts w:cs="Calibri"/>
          <w:sz w:val="28"/>
          <w:szCs w:val="28"/>
          <w:lang w:eastAsia="ar-SA"/>
        </w:rPr>
        <w:t>. Используется максимально возможная некрэктомия, ревизия путей возможного нисходящего распространения инфекции: ближайшие к воспалительному очагу отделы превисцерального и ретровисцерального клетчаточных пространств; клетчатка, окружающей внутреннюю яремную вену, окологлоточное пространство. Гемостаз. Дренирование. Выполнение оперативного вмешательства только в условиях эндотрахеального наркоза. Перевязки 3 раза в сутки.</w:t>
      </w:r>
    </w:p>
    <w:p w:rsidR="00286780" w:rsidRPr="00DD041E" w:rsidRDefault="00286780" w:rsidP="00DD041E">
      <w:pPr>
        <w:spacing w:line="360" w:lineRule="auto"/>
        <w:ind w:firstLine="709"/>
        <w:jc w:val="both"/>
        <w:rPr>
          <w:rFonts w:cs="Calibri"/>
          <w:sz w:val="28"/>
          <w:szCs w:val="28"/>
          <w:lang w:eastAsia="ar-SA"/>
        </w:rPr>
      </w:pPr>
      <w:r w:rsidRPr="00DD041E">
        <w:rPr>
          <w:rFonts w:cs="Calibri"/>
          <w:sz w:val="28"/>
          <w:szCs w:val="28"/>
          <w:lang w:eastAsia="ar-SA"/>
        </w:rPr>
        <w:t>В соответствии с данной модификацией оперативного вмешательства вы</w:t>
      </w:r>
      <w:r>
        <w:rPr>
          <w:rFonts w:cs="Calibri"/>
          <w:sz w:val="28"/>
          <w:szCs w:val="28"/>
          <w:lang w:eastAsia="ar-SA"/>
        </w:rPr>
        <w:t>пол</w:t>
      </w:r>
      <w:r w:rsidR="00AE7725">
        <w:rPr>
          <w:rFonts w:cs="Calibri"/>
          <w:sz w:val="28"/>
          <w:szCs w:val="28"/>
          <w:lang w:eastAsia="ar-SA"/>
        </w:rPr>
        <w:t>нено оперативное лечение восьми (8</w:t>
      </w:r>
      <w:r w:rsidRPr="00DD041E">
        <w:rPr>
          <w:rFonts w:cs="Calibri"/>
          <w:sz w:val="28"/>
          <w:szCs w:val="28"/>
          <w:lang w:eastAsia="ar-SA"/>
        </w:rPr>
        <w:t xml:space="preserve">) пациентам с распространенными </w:t>
      </w:r>
      <w:r w:rsidRPr="00DD041E">
        <w:rPr>
          <w:rFonts w:cs="Calibri"/>
          <w:i/>
          <w:sz w:val="28"/>
          <w:szCs w:val="28"/>
          <w:lang w:eastAsia="ar-SA"/>
        </w:rPr>
        <w:t>прогрессирующими</w:t>
      </w:r>
      <w:r w:rsidRPr="00DD041E">
        <w:rPr>
          <w:rFonts w:cs="Calibri"/>
          <w:sz w:val="28"/>
          <w:szCs w:val="28"/>
          <w:lang w:eastAsia="ar-SA"/>
        </w:rPr>
        <w:t xml:space="preserve"> гнилостно-некротическими флегмонами дна полости рта, шеи с вовлечением четырех и более клетчаточных пространств и топографо-анатомических областей, одонтогенным сепсисом. В двух случаях диагностирован контактный одонтогенный медиастинит, оперативное лечение дополнено медиастинотомией (выполняет торакальный хирург). В одном (1) случае пациенту с </w:t>
      </w:r>
      <w:r w:rsidRPr="00DD041E">
        <w:rPr>
          <w:rFonts w:cs="Calibri"/>
          <w:sz w:val="28"/>
          <w:szCs w:val="28"/>
          <w:lang w:eastAsia="ar-SA"/>
        </w:rPr>
        <w:lastRenderedPageBreak/>
        <w:t>распространенной гнилостно-некротической флегмоной подвисочной ямки, ретромаксиллярной топографо-анатомической области, щечного клетчаточного пространства и клетчатки орбиты оперативное пособие выполнено «традиционными» внеротовыми и внутриротовыми до</w:t>
      </w:r>
      <w:r>
        <w:rPr>
          <w:rFonts w:cs="Calibri"/>
          <w:sz w:val="28"/>
          <w:szCs w:val="28"/>
          <w:lang w:eastAsia="ar-SA"/>
        </w:rPr>
        <w:t>ступами (Робустова Т.Г. и др., 2003)</w:t>
      </w:r>
      <w:r w:rsidRPr="00DD041E">
        <w:rPr>
          <w:rFonts w:cs="Calibri"/>
          <w:sz w:val="28"/>
          <w:szCs w:val="28"/>
          <w:lang w:eastAsia="ar-SA"/>
        </w:rPr>
        <w:t>, до уровня неизмененных тканей, без сиалэктомии, т. к. отсутствовало вовлечение пространств дна полости рта и подчелюстной области. Некрэктомия, гемостаз, дренирование двупросветными дренажами.</w:t>
      </w:r>
    </w:p>
    <w:p w:rsidR="00286780" w:rsidRPr="00DD041E" w:rsidRDefault="00286780" w:rsidP="00DD041E">
      <w:pPr>
        <w:spacing w:line="360" w:lineRule="auto"/>
        <w:ind w:firstLine="709"/>
        <w:jc w:val="both"/>
        <w:rPr>
          <w:rFonts w:cs="Calibri"/>
          <w:sz w:val="28"/>
          <w:szCs w:val="28"/>
          <w:lang w:eastAsia="ar-SA"/>
        </w:rPr>
      </w:pPr>
      <w:r w:rsidRPr="00DD041E">
        <w:rPr>
          <w:rFonts w:cs="Calibri"/>
          <w:sz w:val="28"/>
          <w:szCs w:val="28"/>
          <w:lang w:eastAsia="ar-SA"/>
        </w:rPr>
        <w:t>Таким образом, удаление подчелюстной слюнной железы (</w:t>
      </w:r>
      <w:r w:rsidRPr="00DD041E">
        <w:rPr>
          <w:rFonts w:cs="Calibri"/>
          <w:i/>
          <w:sz w:val="28"/>
          <w:szCs w:val="28"/>
          <w:lang w:eastAsia="ar-SA"/>
        </w:rPr>
        <w:t>сиалэктомия</w:t>
      </w:r>
      <w:r w:rsidRPr="00DD041E">
        <w:rPr>
          <w:rFonts w:cs="Calibri"/>
          <w:sz w:val="28"/>
          <w:szCs w:val="28"/>
          <w:lang w:eastAsia="ar-SA"/>
        </w:rPr>
        <w:t>) в области гнойно-восп</w:t>
      </w:r>
      <w:r>
        <w:rPr>
          <w:rFonts w:cs="Calibri"/>
          <w:sz w:val="28"/>
          <w:szCs w:val="28"/>
          <w:lang w:eastAsia="ar-SA"/>
        </w:rPr>
        <w:t>алительного процесса выполнено 8</w:t>
      </w:r>
      <w:r w:rsidRPr="00DD041E">
        <w:rPr>
          <w:rFonts w:cs="Calibri"/>
          <w:sz w:val="28"/>
          <w:szCs w:val="28"/>
          <w:lang w:eastAsia="ar-SA"/>
        </w:rPr>
        <w:t xml:space="preserve"> пациентам с распространенными одонтогенными флегмонами. Каких-либо хирургических осложнений при этом не выявлено. </w:t>
      </w:r>
    </w:p>
    <w:p w:rsidR="00286780" w:rsidRPr="00DD041E" w:rsidRDefault="00286780" w:rsidP="00DD041E">
      <w:pPr>
        <w:spacing w:line="360" w:lineRule="auto"/>
        <w:ind w:firstLine="709"/>
        <w:jc w:val="both"/>
        <w:rPr>
          <w:rFonts w:cs="Calibri"/>
          <w:sz w:val="28"/>
          <w:szCs w:val="28"/>
          <w:lang w:eastAsia="ar-SA"/>
        </w:rPr>
      </w:pPr>
      <w:r w:rsidRPr="00DD041E">
        <w:rPr>
          <w:rFonts w:cs="Calibri"/>
          <w:sz w:val="28"/>
          <w:szCs w:val="28"/>
          <w:lang w:eastAsia="ar-SA"/>
        </w:rPr>
        <w:t>В целом, соответствующее разр</w:t>
      </w:r>
      <w:r>
        <w:rPr>
          <w:rFonts w:cs="Calibri"/>
          <w:sz w:val="28"/>
          <w:szCs w:val="28"/>
          <w:lang w:eastAsia="ar-SA"/>
        </w:rPr>
        <w:t>аботанному алгоритму (Таблица 70</w:t>
      </w:r>
      <w:r w:rsidRPr="00DD041E">
        <w:rPr>
          <w:rFonts w:cs="Calibri"/>
          <w:sz w:val="28"/>
          <w:szCs w:val="28"/>
          <w:lang w:eastAsia="ar-SA"/>
        </w:rPr>
        <w:t>) оперативное пособие выполнено вс</w:t>
      </w:r>
      <w:r>
        <w:rPr>
          <w:rFonts w:cs="Calibri"/>
          <w:sz w:val="28"/>
          <w:szCs w:val="28"/>
          <w:lang w:eastAsia="ar-SA"/>
        </w:rPr>
        <w:t>ем пациентам основной группы (40</w:t>
      </w:r>
      <w:r w:rsidRPr="00DD041E">
        <w:rPr>
          <w:rFonts w:cs="Calibri"/>
          <w:sz w:val="28"/>
          <w:szCs w:val="28"/>
          <w:lang w:eastAsia="ar-SA"/>
        </w:rPr>
        <w:t>). Значимых осложнений и декомпенсации фоновой патологии в интраоперационном периоде не диагностировано.</w:t>
      </w:r>
    </w:p>
    <w:p w:rsidR="00286780" w:rsidRDefault="00286780" w:rsidP="004A0CF0">
      <w:pPr>
        <w:jc w:val="both"/>
        <w:rPr>
          <w:sz w:val="28"/>
          <w:szCs w:val="28"/>
          <w:lang w:eastAsia="en-US"/>
        </w:rPr>
      </w:pPr>
    </w:p>
    <w:p w:rsidR="00286780" w:rsidRDefault="00286780" w:rsidP="00FD18C9">
      <w:pPr>
        <w:pStyle w:val="31"/>
        <w:spacing w:line="360" w:lineRule="auto"/>
        <w:jc w:val="both"/>
      </w:pPr>
      <w:bookmarkStart w:id="32" w:name="_Toc67905714"/>
      <w:r w:rsidRPr="00894E8F">
        <w:t>Антибактериальная терапия и интенсивная терапия</w:t>
      </w:r>
      <w:r>
        <w:br/>
      </w:r>
      <w:r w:rsidRPr="00894E8F">
        <w:t>одонтогенного сепсиса</w:t>
      </w:r>
      <w:bookmarkEnd w:id="32"/>
    </w:p>
    <w:p w:rsidR="00286780" w:rsidRPr="00894E8F" w:rsidRDefault="00286780" w:rsidP="00FD18C9">
      <w:pPr>
        <w:spacing w:line="360" w:lineRule="auto"/>
        <w:ind w:firstLine="709"/>
        <w:jc w:val="both"/>
        <w:rPr>
          <w:rFonts w:cs="Calibri"/>
          <w:sz w:val="28"/>
          <w:szCs w:val="28"/>
          <w:lang w:eastAsia="ar-SA"/>
        </w:rPr>
      </w:pPr>
      <w:r w:rsidRPr="00894E8F">
        <w:rPr>
          <w:rFonts w:cs="Calibri"/>
          <w:sz w:val="28"/>
          <w:szCs w:val="28"/>
          <w:lang w:eastAsia="ar-SA"/>
        </w:rPr>
        <w:t>Антибактериальная терапия является неотъемлемой частью интенсивной терапии воспалительных заболеваний челюстно-лицевой области и шеи одонтогенной этиологии, в том числе при наличии фоновой полиорганной патологии и синдрома взаимного отягощения.</w:t>
      </w:r>
    </w:p>
    <w:p w:rsidR="00286780" w:rsidRPr="00894E8F" w:rsidRDefault="00286780" w:rsidP="00894E8F">
      <w:pPr>
        <w:spacing w:line="360" w:lineRule="auto"/>
        <w:ind w:firstLine="709"/>
        <w:jc w:val="both"/>
        <w:rPr>
          <w:rFonts w:cs="Calibri"/>
          <w:sz w:val="28"/>
          <w:szCs w:val="28"/>
          <w:lang w:eastAsia="ar-SA"/>
        </w:rPr>
      </w:pPr>
      <w:r w:rsidRPr="00894E8F">
        <w:rPr>
          <w:rFonts w:cs="Calibri"/>
          <w:sz w:val="28"/>
          <w:szCs w:val="28"/>
          <w:lang w:eastAsia="ar-SA"/>
        </w:rPr>
        <w:t>Непосредственный выбор антибактериального препарата находится в зависимости от этиологии воспаления, локализации первичного воспалительного очага, условий развития воспалительного процесса (внебольничный или нозокомиальный), формы инфекционного процесса (МФОИ или ОС), функционального состояния органных систем.</w:t>
      </w:r>
    </w:p>
    <w:p w:rsidR="00286780" w:rsidRPr="00894E8F" w:rsidRDefault="00286780" w:rsidP="00894E8F">
      <w:pPr>
        <w:spacing w:line="360" w:lineRule="auto"/>
        <w:ind w:firstLine="709"/>
        <w:jc w:val="both"/>
        <w:rPr>
          <w:rFonts w:cs="Calibri"/>
          <w:sz w:val="28"/>
          <w:szCs w:val="28"/>
          <w:lang w:eastAsia="ar-SA"/>
        </w:rPr>
      </w:pPr>
      <w:r w:rsidRPr="00894E8F">
        <w:rPr>
          <w:rFonts w:cs="Calibri"/>
          <w:sz w:val="28"/>
          <w:szCs w:val="28"/>
          <w:lang w:eastAsia="ar-SA"/>
        </w:rPr>
        <w:t>В данном диссертационном исследовании рассматриваются одонтогенные воспалительные процессы, ассоциируемые по данным литературы с анаэробной неклостридиальной инфекцией (Bacteroides spp., Fusobacterium spp. и др.), анаэ</w:t>
      </w:r>
      <w:r w:rsidRPr="00894E8F">
        <w:rPr>
          <w:rFonts w:cs="Calibri"/>
          <w:sz w:val="28"/>
          <w:szCs w:val="28"/>
          <w:lang w:eastAsia="ar-SA"/>
        </w:rPr>
        <w:lastRenderedPageBreak/>
        <w:t>робными и аэробно-анаэробными ассоциациями (Staphylococcus spp., Ps. aeryginosae, Enterob</w:t>
      </w:r>
      <w:r>
        <w:rPr>
          <w:rFonts w:cs="Calibri"/>
          <w:sz w:val="28"/>
          <w:szCs w:val="28"/>
          <w:lang w:eastAsia="ar-SA"/>
        </w:rPr>
        <w:t>acter spp. и др.) (Рогинский В.</w:t>
      </w:r>
      <w:r w:rsidRPr="00894E8F">
        <w:rPr>
          <w:rFonts w:cs="Calibri"/>
          <w:sz w:val="28"/>
          <w:szCs w:val="28"/>
          <w:lang w:eastAsia="ar-SA"/>
        </w:rPr>
        <w:t>В</w:t>
      </w:r>
      <w:r>
        <w:rPr>
          <w:rFonts w:cs="Calibri"/>
          <w:sz w:val="28"/>
          <w:szCs w:val="28"/>
          <w:lang w:eastAsia="ar-SA"/>
        </w:rPr>
        <w:t>. и др., 1998; Железнова Е.</w:t>
      </w:r>
      <w:r w:rsidRPr="00894E8F">
        <w:rPr>
          <w:rFonts w:cs="Calibri"/>
          <w:sz w:val="28"/>
          <w:szCs w:val="28"/>
          <w:lang w:eastAsia="ar-SA"/>
        </w:rPr>
        <w:t>А., 2000; Шаргоро</w:t>
      </w:r>
      <w:r>
        <w:rPr>
          <w:rFonts w:cs="Calibri"/>
          <w:sz w:val="28"/>
          <w:szCs w:val="28"/>
          <w:lang w:eastAsia="ar-SA"/>
        </w:rPr>
        <w:t>дский А.Г., 2001; Артеменко К.</w:t>
      </w:r>
      <w:r w:rsidRPr="00894E8F">
        <w:rPr>
          <w:rFonts w:cs="Calibri"/>
          <w:sz w:val="28"/>
          <w:szCs w:val="28"/>
          <w:lang w:eastAsia="ar-SA"/>
        </w:rPr>
        <w:t>Л., 2007; Бернадский Ю. И., 2003, 1998; Робусто</w:t>
      </w:r>
      <w:r>
        <w:rPr>
          <w:rFonts w:cs="Calibri"/>
          <w:sz w:val="28"/>
          <w:szCs w:val="28"/>
          <w:lang w:eastAsia="ar-SA"/>
        </w:rPr>
        <w:t>ва Т.Г., 2003; Матчин А.А., 2015; Fating N.</w:t>
      </w:r>
      <w:r w:rsidRPr="00894E8F">
        <w:rPr>
          <w:rFonts w:cs="Calibri"/>
          <w:sz w:val="28"/>
          <w:szCs w:val="28"/>
          <w:lang w:eastAsia="ar-SA"/>
        </w:rPr>
        <w:t>S., Saikrishna D.</w:t>
      </w:r>
      <w:r>
        <w:rPr>
          <w:rFonts w:cs="Calibri"/>
          <w:sz w:val="28"/>
          <w:szCs w:val="28"/>
          <w:lang w:eastAsia="ar-SA"/>
        </w:rPr>
        <w:t>, 2014)</w:t>
      </w:r>
      <w:r w:rsidRPr="00894E8F">
        <w:rPr>
          <w:rFonts w:cs="Calibri"/>
          <w:sz w:val="28"/>
          <w:szCs w:val="28"/>
          <w:lang w:eastAsia="ar-SA"/>
        </w:rPr>
        <w:t xml:space="preserve">, а </w:t>
      </w:r>
      <w:r>
        <w:rPr>
          <w:rFonts w:cs="Calibri"/>
          <w:sz w:val="28"/>
          <w:szCs w:val="28"/>
          <w:lang w:eastAsia="ar-SA"/>
        </w:rPr>
        <w:t>также</w:t>
      </w:r>
      <w:r w:rsidRPr="00894E8F">
        <w:rPr>
          <w:rFonts w:cs="Calibri"/>
          <w:sz w:val="28"/>
          <w:szCs w:val="28"/>
          <w:lang w:eastAsia="ar-SA"/>
        </w:rPr>
        <w:t>, по результатам со</w:t>
      </w:r>
      <w:r w:rsidR="00E459A3">
        <w:rPr>
          <w:rFonts w:cs="Calibri"/>
          <w:sz w:val="28"/>
          <w:szCs w:val="28"/>
          <w:lang w:eastAsia="ar-SA"/>
        </w:rPr>
        <w:t>бственных исследований</w:t>
      </w:r>
      <w:r w:rsidRPr="00894E8F">
        <w:rPr>
          <w:rFonts w:cs="Calibri"/>
          <w:sz w:val="28"/>
          <w:szCs w:val="28"/>
          <w:lang w:eastAsia="ar-SA"/>
        </w:rPr>
        <w:t xml:space="preserve">, ассоциируемые с Staphylococcus spp. и Streptococcus spp. при местной форме одонтогенной инфекции, и с </w:t>
      </w:r>
      <w:r w:rsidRPr="00894E8F">
        <w:rPr>
          <w:rFonts w:cs="Calibri"/>
          <w:sz w:val="28"/>
          <w:szCs w:val="28"/>
          <w:lang w:val="en-US" w:eastAsia="ar-SA"/>
        </w:rPr>
        <w:t>Staphylococcusspp</w:t>
      </w:r>
      <w:r w:rsidRPr="00894E8F">
        <w:rPr>
          <w:rFonts w:cs="Calibri"/>
          <w:sz w:val="28"/>
          <w:szCs w:val="28"/>
          <w:lang w:eastAsia="ar-SA"/>
        </w:rPr>
        <w:t xml:space="preserve">., </w:t>
      </w:r>
      <w:r w:rsidRPr="00894E8F">
        <w:rPr>
          <w:rFonts w:cs="Calibri"/>
          <w:sz w:val="28"/>
          <w:szCs w:val="28"/>
          <w:lang w:val="en-US" w:eastAsia="ar-SA"/>
        </w:rPr>
        <w:t>Streptococcusspp</w:t>
      </w:r>
      <w:r w:rsidRPr="00894E8F">
        <w:rPr>
          <w:rFonts w:cs="Calibri"/>
          <w:sz w:val="28"/>
          <w:szCs w:val="28"/>
          <w:lang w:eastAsia="ar-SA"/>
        </w:rPr>
        <w:t xml:space="preserve">., </w:t>
      </w:r>
      <w:r w:rsidRPr="00894E8F">
        <w:rPr>
          <w:rFonts w:cs="Calibri"/>
          <w:sz w:val="28"/>
          <w:szCs w:val="28"/>
          <w:lang w:val="en-US" w:eastAsia="ar-SA"/>
        </w:rPr>
        <w:t>Klebsiellapneumonia</w:t>
      </w:r>
      <w:r w:rsidRPr="00894E8F">
        <w:rPr>
          <w:rFonts w:cs="Calibri"/>
          <w:sz w:val="28"/>
          <w:szCs w:val="28"/>
          <w:lang w:eastAsia="ar-SA"/>
        </w:rPr>
        <w:t xml:space="preserve">, </w:t>
      </w:r>
      <w:r w:rsidRPr="00894E8F">
        <w:rPr>
          <w:rFonts w:cs="Calibri"/>
          <w:sz w:val="28"/>
          <w:szCs w:val="28"/>
          <w:lang w:val="en-US" w:eastAsia="ar-SA"/>
        </w:rPr>
        <w:t>Proteusvulgaris</w:t>
      </w:r>
      <w:r w:rsidRPr="00894E8F">
        <w:rPr>
          <w:rFonts w:cs="Calibri"/>
          <w:sz w:val="28"/>
          <w:szCs w:val="28"/>
          <w:lang w:eastAsia="ar-SA"/>
        </w:rPr>
        <w:t xml:space="preserve">, </w:t>
      </w:r>
      <w:r w:rsidRPr="00894E8F">
        <w:rPr>
          <w:rFonts w:cs="Calibri"/>
          <w:sz w:val="28"/>
          <w:szCs w:val="28"/>
          <w:lang w:val="en-US" w:eastAsia="ar-SA"/>
        </w:rPr>
        <w:t>Citrobacterkoseri</w:t>
      </w:r>
      <w:r w:rsidRPr="00894E8F">
        <w:rPr>
          <w:rFonts w:cs="Calibri"/>
          <w:sz w:val="28"/>
          <w:szCs w:val="28"/>
          <w:lang w:eastAsia="ar-SA"/>
        </w:rPr>
        <w:t xml:space="preserve">, </w:t>
      </w:r>
      <w:r w:rsidRPr="00894E8F">
        <w:rPr>
          <w:rFonts w:cs="Calibri"/>
          <w:sz w:val="28"/>
          <w:szCs w:val="28"/>
          <w:lang w:val="en-US" w:eastAsia="ar-SA"/>
        </w:rPr>
        <w:t>Ps</w:t>
      </w:r>
      <w:r w:rsidRPr="00894E8F">
        <w:rPr>
          <w:rFonts w:cs="Calibri"/>
          <w:sz w:val="28"/>
          <w:szCs w:val="28"/>
          <w:lang w:eastAsia="ar-SA"/>
        </w:rPr>
        <w:t xml:space="preserve">. </w:t>
      </w:r>
      <w:r w:rsidRPr="00894E8F">
        <w:rPr>
          <w:rFonts w:cs="Calibri"/>
          <w:sz w:val="28"/>
          <w:szCs w:val="28"/>
          <w:lang w:val="en-US" w:eastAsia="ar-SA"/>
        </w:rPr>
        <w:t>aeryginosae</w:t>
      </w:r>
      <w:r w:rsidRPr="00894E8F">
        <w:rPr>
          <w:rFonts w:cs="Calibri"/>
          <w:sz w:val="28"/>
          <w:szCs w:val="28"/>
          <w:lang w:eastAsia="ar-SA"/>
        </w:rPr>
        <w:t xml:space="preserve"> при одонтогенном сепсисе.</w:t>
      </w:r>
    </w:p>
    <w:p w:rsidR="00286780" w:rsidRPr="00894E8F" w:rsidRDefault="00286780" w:rsidP="00894E8F">
      <w:pPr>
        <w:spacing w:line="360" w:lineRule="auto"/>
        <w:ind w:firstLine="709"/>
        <w:jc w:val="both"/>
        <w:rPr>
          <w:rFonts w:cs="Calibri"/>
          <w:sz w:val="28"/>
          <w:szCs w:val="28"/>
          <w:lang w:eastAsia="ar-SA"/>
        </w:rPr>
      </w:pPr>
      <w:r w:rsidRPr="00894E8F">
        <w:rPr>
          <w:rFonts w:cs="Calibri"/>
          <w:sz w:val="28"/>
          <w:szCs w:val="28"/>
          <w:lang w:eastAsia="ar-SA"/>
        </w:rPr>
        <w:t xml:space="preserve">Из Таблицы 45 следует, что определяемые в гнойном отделяемом первичных очагов у пациентов с МФОИ и полиорганными полиморбидными заболеваниями </w:t>
      </w:r>
      <w:r w:rsidRPr="00894E8F">
        <w:rPr>
          <w:rFonts w:cs="Calibri"/>
          <w:sz w:val="28"/>
          <w:szCs w:val="28"/>
          <w:lang w:val="en-US" w:eastAsia="ar-SA"/>
        </w:rPr>
        <w:t>Staphylococcusspp</w:t>
      </w:r>
      <w:r w:rsidRPr="00894E8F">
        <w:rPr>
          <w:rFonts w:cs="Calibri"/>
          <w:sz w:val="28"/>
          <w:szCs w:val="28"/>
          <w:lang w:eastAsia="ar-SA"/>
        </w:rPr>
        <w:t xml:space="preserve">. и </w:t>
      </w:r>
      <w:r w:rsidRPr="00894E8F">
        <w:rPr>
          <w:rFonts w:cs="Calibri"/>
          <w:sz w:val="28"/>
          <w:szCs w:val="28"/>
          <w:lang w:val="en-US" w:eastAsia="ar-SA"/>
        </w:rPr>
        <w:t>Streptococcusspp</w:t>
      </w:r>
      <w:r w:rsidRPr="00894E8F">
        <w:rPr>
          <w:rFonts w:cs="Calibri"/>
          <w:sz w:val="28"/>
          <w:szCs w:val="28"/>
          <w:lang w:eastAsia="ar-SA"/>
        </w:rPr>
        <w:t xml:space="preserve">. чувствительны к широкому спектру препаратов – антистафилококковому пенициллину оксациллину, ципрофлоксацину (!), клиндамицину, линезолиду, ванкомицину. При наличии ОС, </w:t>
      </w:r>
      <w:r w:rsidRPr="00894E8F">
        <w:rPr>
          <w:rFonts w:cs="Calibri"/>
          <w:sz w:val="28"/>
          <w:szCs w:val="28"/>
          <w:lang w:val="en-US" w:eastAsia="ar-SA"/>
        </w:rPr>
        <w:t>Staphylococcusspp</w:t>
      </w:r>
      <w:r w:rsidRPr="00894E8F">
        <w:rPr>
          <w:rFonts w:cs="Calibri"/>
          <w:sz w:val="28"/>
          <w:szCs w:val="28"/>
          <w:lang w:eastAsia="ar-SA"/>
        </w:rPr>
        <w:t xml:space="preserve">. и </w:t>
      </w:r>
      <w:r w:rsidRPr="00894E8F">
        <w:rPr>
          <w:rFonts w:cs="Calibri"/>
          <w:sz w:val="28"/>
          <w:szCs w:val="28"/>
          <w:lang w:val="en-US" w:eastAsia="ar-SA"/>
        </w:rPr>
        <w:t>Streptococcusspp</w:t>
      </w:r>
      <w:r w:rsidRPr="00894E8F">
        <w:rPr>
          <w:rFonts w:cs="Calibri"/>
          <w:sz w:val="28"/>
          <w:szCs w:val="28"/>
          <w:lang w:eastAsia="ar-SA"/>
        </w:rPr>
        <w:t xml:space="preserve">. чувствительны к ципрофлоксацину (!), линезолиду и меропенему (Таблицы 50, 52). Из литературных источников следует, что </w:t>
      </w:r>
      <w:r w:rsidRPr="00894E8F">
        <w:rPr>
          <w:rFonts w:cs="Calibri"/>
          <w:sz w:val="28"/>
          <w:szCs w:val="28"/>
          <w:lang w:val="en-US" w:eastAsia="ar-SA"/>
        </w:rPr>
        <w:t>Staphylococcus</w:t>
      </w:r>
      <w:r>
        <w:rPr>
          <w:rFonts w:cs="Calibri"/>
          <w:sz w:val="28"/>
          <w:szCs w:val="28"/>
          <w:lang w:eastAsia="ar-SA"/>
        </w:rPr>
        <w:t xml:space="preserve"> </w:t>
      </w:r>
      <w:r w:rsidRPr="00894E8F">
        <w:rPr>
          <w:rFonts w:cs="Calibri"/>
          <w:sz w:val="28"/>
          <w:szCs w:val="28"/>
          <w:lang w:val="en-US" w:eastAsia="ar-SA"/>
        </w:rPr>
        <w:t>spp</w:t>
      </w:r>
      <w:r w:rsidRPr="00894E8F">
        <w:rPr>
          <w:rFonts w:cs="Calibri"/>
          <w:sz w:val="28"/>
          <w:szCs w:val="28"/>
          <w:lang w:eastAsia="ar-SA"/>
        </w:rPr>
        <w:t xml:space="preserve">. и </w:t>
      </w:r>
      <w:r w:rsidRPr="00894E8F">
        <w:rPr>
          <w:rFonts w:cs="Calibri"/>
          <w:sz w:val="28"/>
          <w:szCs w:val="28"/>
          <w:lang w:val="en-US" w:eastAsia="ar-SA"/>
        </w:rPr>
        <w:t>Streptococcus</w:t>
      </w:r>
      <w:r>
        <w:rPr>
          <w:rFonts w:cs="Calibri"/>
          <w:sz w:val="28"/>
          <w:szCs w:val="28"/>
          <w:lang w:eastAsia="ar-SA"/>
        </w:rPr>
        <w:t xml:space="preserve"> </w:t>
      </w:r>
      <w:r w:rsidRPr="00894E8F">
        <w:rPr>
          <w:rFonts w:cs="Calibri"/>
          <w:sz w:val="28"/>
          <w:szCs w:val="28"/>
          <w:lang w:val="en-US" w:eastAsia="ar-SA"/>
        </w:rPr>
        <w:t>spp</w:t>
      </w:r>
      <w:r w:rsidRPr="00894E8F">
        <w:rPr>
          <w:rFonts w:cs="Calibri"/>
          <w:sz w:val="28"/>
          <w:szCs w:val="28"/>
          <w:lang w:eastAsia="ar-SA"/>
        </w:rPr>
        <w:t xml:space="preserve">., определяемые при флегмонах челюстно-лицевой области, как правило, чувствительны к ингибиторзащищенным пенициллинам (амоксициллин/клавуланат, ампициллин/сульбактам), оксациллину, цефалоспорину </w:t>
      </w:r>
      <w:r w:rsidRPr="00894E8F">
        <w:rPr>
          <w:rFonts w:cs="Calibri"/>
          <w:sz w:val="28"/>
          <w:szCs w:val="28"/>
          <w:lang w:val="en-US" w:eastAsia="ar-SA"/>
        </w:rPr>
        <w:t>I</w:t>
      </w:r>
      <w:r w:rsidRPr="00894E8F">
        <w:rPr>
          <w:rFonts w:cs="Calibri"/>
          <w:sz w:val="28"/>
          <w:szCs w:val="28"/>
          <w:lang w:eastAsia="ar-SA"/>
        </w:rPr>
        <w:t xml:space="preserve"> поколения цефазолину, цефалоспоринам </w:t>
      </w:r>
      <w:r w:rsidRPr="00894E8F">
        <w:rPr>
          <w:rFonts w:cs="Calibri"/>
          <w:sz w:val="28"/>
          <w:szCs w:val="28"/>
          <w:lang w:val="en-US" w:eastAsia="ar-SA"/>
        </w:rPr>
        <w:t>II</w:t>
      </w:r>
      <w:r w:rsidRPr="00894E8F">
        <w:rPr>
          <w:rFonts w:cs="Calibri"/>
          <w:sz w:val="28"/>
          <w:szCs w:val="28"/>
          <w:lang w:eastAsia="ar-SA"/>
        </w:rPr>
        <w:t xml:space="preserve"> и IV поколений, в меньшей степени – к цефалоспор</w:t>
      </w:r>
      <w:r>
        <w:rPr>
          <w:rFonts w:cs="Calibri"/>
          <w:sz w:val="28"/>
          <w:szCs w:val="28"/>
          <w:lang w:eastAsia="ar-SA"/>
        </w:rPr>
        <w:t>инам III поколения (Лазарева И.Б., Игонин A.</w:t>
      </w:r>
      <w:r w:rsidRPr="00894E8F">
        <w:rPr>
          <w:rFonts w:cs="Calibri"/>
          <w:sz w:val="28"/>
          <w:szCs w:val="28"/>
          <w:lang w:eastAsia="ar-SA"/>
        </w:rPr>
        <w:t>A., 2004; Падейс</w:t>
      </w:r>
      <w:r>
        <w:rPr>
          <w:rFonts w:cs="Calibri"/>
          <w:sz w:val="28"/>
          <w:szCs w:val="28"/>
          <w:lang w:eastAsia="ar-SA"/>
        </w:rPr>
        <w:t>кая E.H., 2005; Царев В.Н., Ушаков Р.В., 2006)</w:t>
      </w:r>
      <w:r w:rsidRPr="00894E8F">
        <w:rPr>
          <w:rFonts w:cs="Calibri"/>
          <w:sz w:val="28"/>
          <w:szCs w:val="28"/>
          <w:lang w:eastAsia="ar-SA"/>
        </w:rPr>
        <w:t>. Кроме того, возможно использование линкосамидов (линкомицина и клиндамицина), фторхинолонов (в том числе ципрофлоксацина), макролидов (эритромицина, кларитром</w:t>
      </w:r>
      <w:r>
        <w:rPr>
          <w:rFonts w:cs="Calibri"/>
          <w:sz w:val="28"/>
          <w:szCs w:val="28"/>
          <w:lang w:eastAsia="ar-SA"/>
        </w:rPr>
        <w:t>ицина) (Денис А.Г., Колядов Н.Ф., 2011)</w:t>
      </w:r>
      <w:r w:rsidRPr="00894E8F">
        <w:rPr>
          <w:rFonts w:cs="Calibri"/>
          <w:sz w:val="28"/>
          <w:szCs w:val="28"/>
          <w:lang w:eastAsia="ar-SA"/>
        </w:rPr>
        <w:t xml:space="preserve">, что подтверждает собственные исследования автора диссертации. Необходимо также учитывать вероятное наличие грамположительной и грамотрицательной неклостридиальной анаэробной микрофлоры, чувствительной по данным литературы </w:t>
      </w:r>
      <w:r>
        <w:rPr>
          <w:rFonts w:cs="Calibri"/>
          <w:sz w:val="28"/>
          <w:szCs w:val="28"/>
          <w:lang w:eastAsia="ar-SA"/>
        </w:rPr>
        <w:t>к метронидазолу и клиндамицину (</w:t>
      </w:r>
      <w:r w:rsidRPr="00894E8F">
        <w:rPr>
          <w:rFonts w:cs="Calibri"/>
          <w:sz w:val="28"/>
          <w:szCs w:val="28"/>
          <w:lang w:eastAsia="ar-SA"/>
        </w:rPr>
        <w:t>Ушаков</w:t>
      </w:r>
      <w:r>
        <w:rPr>
          <w:rFonts w:cs="Calibri"/>
          <w:sz w:val="28"/>
          <w:szCs w:val="28"/>
          <w:lang w:eastAsia="ar-SA"/>
        </w:rPr>
        <w:t xml:space="preserve"> Р.В., Царев В.Н., 2019)</w:t>
      </w:r>
      <w:r w:rsidRPr="00894E8F">
        <w:rPr>
          <w:rFonts w:cs="Calibri"/>
          <w:sz w:val="28"/>
          <w:szCs w:val="28"/>
          <w:lang w:eastAsia="ar-SA"/>
        </w:rPr>
        <w:t>, а при наличии одонтогенного сепсиса – возможное присоединение Klebsiella pneumonia, Proteus vulgaris, Citrobacter koseri, Ps. aeryginosae, чувствительных в ряде случаев к меропенему и цефотаксиму.</w:t>
      </w:r>
    </w:p>
    <w:p w:rsidR="00286780" w:rsidRPr="00894E8F" w:rsidRDefault="00286780" w:rsidP="00894E8F">
      <w:pPr>
        <w:spacing w:line="360" w:lineRule="auto"/>
        <w:ind w:firstLine="709"/>
        <w:jc w:val="both"/>
        <w:rPr>
          <w:rFonts w:cs="Calibri"/>
          <w:sz w:val="28"/>
          <w:szCs w:val="28"/>
          <w:lang w:eastAsia="ar-SA"/>
        </w:rPr>
      </w:pPr>
      <w:r w:rsidRPr="00894E8F">
        <w:rPr>
          <w:rFonts w:cs="Calibri"/>
          <w:sz w:val="28"/>
          <w:szCs w:val="28"/>
          <w:lang w:eastAsia="ar-SA"/>
        </w:rPr>
        <w:lastRenderedPageBreak/>
        <w:t xml:space="preserve">Следует отметить, что во всех исследуемых случаях контрольной группы одонтогенный воспалительный процесс первоначально развивался во внебольничных условиях, за исключением пациентов с ОС, у которых в процессе лечения на различных сроках определялись крайне устойчивые внутрибольничные штаммы </w:t>
      </w:r>
      <w:r w:rsidRPr="00894E8F">
        <w:rPr>
          <w:rFonts w:cs="Calibri"/>
          <w:sz w:val="28"/>
          <w:szCs w:val="28"/>
          <w:lang w:val="en-US" w:eastAsia="ar-SA"/>
        </w:rPr>
        <w:t>Klebsiella</w:t>
      </w:r>
      <w:r>
        <w:rPr>
          <w:rFonts w:cs="Calibri"/>
          <w:sz w:val="28"/>
          <w:szCs w:val="28"/>
          <w:lang w:eastAsia="ar-SA"/>
        </w:rPr>
        <w:t xml:space="preserve"> </w:t>
      </w:r>
      <w:r w:rsidRPr="00894E8F">
        <w:rPr>
          <w:rFonts w:cs="Calibri"/>
          <w:sz w:val="28"/>
          <w:szCs w:val="28"/>
          <w:lang w:val="en-US" w:eastAsia="ar-SA"/>
        </w:rPr>
        <w:t>pneumonia</w:t>
      </w:r>
      <w:r w:rsidRPr="00894E8F">
        <w:rPr>
          <w:rFonts w:cs="Calibri"/>
          <w:sz w:val="28"/>
          <w:szCs w:val="28"/>
          <w:lang w:eastAsia="ar-SA"/>
        </w:rPr>
        <w:t xml:space="preserve">, </w:t>
      </w:r>
      <w:r w:rsidRPr="00894E8F">
        <w:rPr>
          <w:rFonts w:cs="Calibri"/>
          <w:sz w:val="28"/>
          <w:szCs w:val="28"/>
          <w:lang w:val="en-US" w:eastAsia="ar-SA"/>
        </w:rPr>
        <w:t>Proteus</w:t>
      </w:r>
      <w:r>
        <w:rPr>
          <w:rFonts w:cs="Calibri"/>
          <w:sz w:val="28"/>
          <w:szCs w:val="28"/>
          <w:lang w:eastAsia="ar-SA"/>
        </w:rPr>
        <w:t xml:space="preserve"> </w:t>
      </w:r>
      <w:r w:rsidRPr="00894E8F">
        <w:rPr>
          <w:rFonts w:cs="Calibri"/>
          <w:sz w:val="28"/>
          <w:szCs w:val="28"/>
          <w:lang w:val="en-US" w:eastAsia="ar-SA"/>
        </w:rPr>
        <w:t>vulgaris</w:t>
      </w:r>
      <w:r w:rsidRPr="00894E8F">
        <w:rPr>
          <w:rFonts w:cs="Calibri"/>
          <w:sz w:val="28"/>
          <w:szCs w:val="28"/>
          <w:lang w:eastAsia="ar-SA"/>
        </w:rPr>
        <w:t xml:space="preserve">, </w:t>
      </w:r>
      <w:r w:rsidRPr="00894E8F">
        <w:rPr>
          <w:rFonts w:cs="Calibri"/>
          <w:sz w:val="28"/>
          <w:szCs w:val="28"/>
          <w:lang w:val="en-US" w:eastAsia="ar-SA"/>
        </w:rPr>
        <w:t>Citrobacter</w:t>
      </w:r>
      <w:r>
        <w:rPr>
          <w:rFonts w:cs="Calibri"/>
          <w:sz w:val="28"/>
          <w:szCs w:val="28"/>
          <w:lang w:eastAsia="ar-SA"/>
        </w:rPr>
        <w:t xml:space="preserve"> </w:t>
      </w:r>
      <w:r w:rsidRPr="00894E8F">
        <w:rPr>
          <w:rFonts w:cs="Calibri"/>
          <w:sz w:val="28"/>
          <w:szCs w:val="28"/>
          <w:lang w:val="en-US" w:eastAsia="ar-SA"/>
        </w:rPr>
        <w:t>koseri</w:t>
      </w:r>
      <w:r w:rsidRPr="00894E8F">
        <w:rPr>
          <w:rFonts w:cs="Calibri"/>
          <w:sz w:val="28"/>
          <w:szCs w:val="28"/>
          <w:lang w:eastAsia="ar-SA"/>
        </w:rPr>
        <w:t xml:space="preserve"> в гнойном отделяемом первичных очагов (</w:t>
      </w:r>
      <w:r>
        <w:rPr>
          <w:rFonts w:cs="Calibri"/>
          <w:sz w:val="28"/>
          <w:szCs w:val="28"/>
          <w:lang w:eastAsia="ar-SA"/>
        </w:rPr>
        <w:t>девять</w:t>
      </w:r>
      <w:r w:rsidRPr="00894E8F">
        <w:rPr>
          <w:rFonts w:cs="Calibri"/>
          <w:sz w:val="28"/>
          <w:szCs w:val="28"/>
          <w:lang w:eastAsia="ar-SA"/>
        </w:rPr>
        <w:t xml:space="preserve"> больных), а </w:t>
      </w:r>
      <w:r>
        <w:rPr>
          <w:rFonts w:cs="Calibri"/>
          <w:sz w:val="28"/>
          <w:szCs w:val="28"/>
          <w:lang w:eastAsia="ar-SA"/>
        </w:rPr>
        <w:t>также</w:t>
      </w:r>
      <w:r w:rsidRPr="00894E8F">
        <w:rPr>
          <w:rFonts w:cs="Calibri"/>
          <w:sz w:val="28"/>
          <w:szCs w:val="28"/>
          <w:lang w:eastAsia="ar-SA"/>
        </w:rPr>
        <w:t xml:space="preserve"> гемокультуры </w:t>
      </w:r>
      <w:r w:rsidRPr="00894E8F">
        <w:rPr>
          <w:rFonts w:cs="Calibri"/>
          <w:sz w:val="28"/>
          <w:szCs w:val="28"/>
          <w:lang w:val="en-US" w:eastAsia="ar-SA"/>
        </w:rPr>
        <w:t>Ps</w:t>
      </w:r>
      <w:r w:rsidRPr="00894E8F">
        <w:rPr>
          <w:rFonts w:cs="Calibri"/>
          <w:sz w:val="28"/>
          <w:szCs w:val="28"/>
          <w:lang w:eastAsia="ar-SA"/>
        </w:rPr>
        <w:t xml:space="preserve">. </w:t>
      </w:r>
      <w:r w:rsidRPr="00894E8F">
        <w:rPr>
          <w:rFonts w:cs="Calibri"/>
          <w:sz w:val="28"/>
          <w:szCs w:val="28"/>
          <w:lang w:val="en-US" w:eastAsia="ar-SA"/>
        </w:rPr>
        <w:t>aeryginosae</w:t>
      </w:r>
      <w:r w:rsidRPr="00894E8F">
        <w:rPr>
          <w:rFonts w:cs="Calibri"/>
          <w:sz w:val="28"/>
          <w:szCs w:val="28"/>
          <w:lang w:eastAsia="ar-SA"/>
        </w:rPr>
        <w:t xml:space="preserve"> (четыре пациента).</w:t>
      </w:r>
    </w:p>
    <w:p w:rsidR="00286780" w:rsidRPr="00894E8F" w:rsidRDefault="00286780" w:rsidP="00894E8F">
      <w:pPr>
        <w:spacing w:line="360" w:lineRule="auto"/>
        <w:ind w:firstLine="709"/>
        <w:jc w:val="both"/>
        <w:rPr>
          <w:rFonts w:cs="Calibri"/>
          <w:sz w:val="28"/>
          <w:szCs w:val="28"/>
          <w:lang w:eastAsia="ar-SA"/>
        </w:rPr>
      </w:pPr>
      <w:r w:rsidRPr="00894E8F">
        <w:rPr>
          <w:rFonts w:cs="Calibri"/>
          <w:sz w:val="28"/>
          <w:szCs w:val="28"/>
          <w:lang w:eastAsia="ar-SA"/>
        </w:rPr>
        <w:t xml:space="preserve">Полученные в настоящем исследовании данные не позволяют утверждать об обнаружении метициллин-резистентных штаммов </w:t>
      </w:r>
      <w:r w:rsidRPr="00894E8F">
        <w:rPr>
          <w:rFonts w:cs="Calibri"/>
          <w:sz w:val="28"/>
          <w:szCs w:val="28"/>
          <w:lang w:val="en-US" w:eastAsia="ar-SA"/>
        </w:rPr>
        <w:t>S</w:t>
      </w:r>
      <w:r w:rsidRPr="00894E8F">
        <w:rPr>
          <w:rFonts w:cs="Calibri"/>
          <w:sz w:val="28"/>
          <w:szCs w:val="28"/>
          <w:lang w:eastAsia="ar-SA"/>
        </w:rPr>
        <w:t xml:space="preserve">. </w:t>
      </w:r>
      <w:r w:rsidRPr="00894E8F">
        <w:rPr>
          <w:rFonts w:cs="Calibri"/>
          <w:sz w:val="28"/>
          <w:szCs w:val="28"/>
          <w:lang w:val="en-US" w:eastAsia="ar-SA"/>
        </w:rPr>
        <w:t>aureus</w:t>
      </w:r>
      <w:r w:rsidRPr="00894E8F">
        <w:rPr>
          <w:rFonts w:cs="Calibri"/>
          <w:sz w:val="28"/>
          <w:szCs w:val="28"/>
          <w:lang w:eastAsia="ar-SA"/>
        </w:rPr>
        <w:t xml:space="preserve"> (</w:t>
      </w:r>
      <w:r w:rsidRPr="00894E8F">
        <w:rPr>
          <w:rFonts w:cs="Calibri"/>
          <w:sz w:val="28"/>
          <w:szCs w:val="28"/>
          <w:lang w:val="en-US" w:eastAsia="ar-SA"/>
        </w:rPr>
        <w:t>MRSA</w:t>
      </w:r>
      <w:r w:rsidRPr="00894E8F">
        <w:rPr>
          <w:rFonts w:cs="Calibri"/>
          <w:sz w:val="28"/>
          <w:szCs w:val="28"/>
          <w:lang w:eastAsia="ar-SA"/>
        </w:rPr>
        <w:t xml:space="preserve">) и продуцентов бета-лактамаз расширенного спектра действия (БЛРС), карбапенемаз у пациентов с МФОИ и ОС, развивающимся при наличии фоновой полиорганной патологии и синдрома взаимного отягощения. </w:t>
      </w:r>
      <w:r w:rsidRPr="00894E8F">
        <w:rPr>
          <w:rFonts w:cs="Calibri"/>
          <w:sz w:val="28"/>
          <w:szCs w:val="28"/>
          <w:lang w:val="en-US" w:eastAsia="ar-SA"/>
        </w:rPr>
        <w:t>MRSA</w:t>
      </w:r>
      <w:r w:rsidRPr="00894E8F">
        <w:rPr>
          <w:rFonts w:cs="Calibri"/>
          <w:sz w:val="28"/>
          <w:szCs w:val="28"/>
          <w:lang w:eastAsia="ar-SA"/>
        </w:rPr>
        <w:t xml:space="preserve"> и продуценты БЛРС не выявлены ни у одного больного основной и контрольной групп.</w:t>
      </w:r>
    </w:p>
    <w:p w:rsidR="00286780" w:rsidRPr="00894E8F" w:rsidRDefault="00286780" w:rsidP="00894E8F">
      <w:pPr>
        <w:spacing w:line="360" w:lineRule="auto"/>
        <w:ind w:firstLine="709"/>
        <w:jc w:val="both"/>
        <w:rPr>
          <w:rFonts w:cs="Calibri"/>
          <w:sz w:val="28"/>
          <w:szCs w:val="28"/>
          <w:lang w:eastAsia="ar-SA"/>
        </w:rPr>
      </w:pPr>
      <w:r w:rsidRPr="00894E8F">
        <w:rPr>
          <w:rFonts w:cs="Calibri"/>
          <w:sz w:val="28"/>
          <w:szCs w:val="28"/>
          <w:lang w:eastAsia="ar-SA"/>
        </w:rPr>
        <w:t xml:space="preserve">Также следует учитывать, что у пациентов исследуемых групп с МФОИ и ОС определяется фоновая полиорганная патология, представленная заболеваниями сердечно-сосудистой, дыхательной, эндокринной и мочевыделительной систем, печени, отягощающая течение основного заболевания. Поэтому необходимо корректировать назначение обладающих нефротоксичностью и гепатотоксичностью антибактериальных препаратов, а </w:t>
      </w:r>
      <w:r>
        <w:rPr>
          <w:rFonts w:cs="Calibri"/>
          <w:sz w:val="28"/>
          <w:szCs w:val="28"/>
          <w:lang w:eastAsia="ar-SA"/>
        </w:rPr>
        <w:t>также</w:t>
      </w:r>
      <w:r w:rsidRPr="00894E8F">
        <w:rPr>
          <w:rFonts w:cs="Calibri"/>
          <w:sz w:val="28"/>
          <w:szCs w:val="28"/>
          <w:lang w:eastAsia="ar-SA"/>
        </w:rPr>
        <w:t xml:space="preserve"> учитывать возможное замедление выведения антибиотиков при нарушении функций печени и почек.</w:t>
      </w:r>
    </w:p>
    <w:p w:rsidR="00C166D6" w:rsidRDefault="00286780" w:rsidP="00894E8F">
      <w:pPr>
        <w:spacing w:line="360" w:lineRule="auto"/>
        <w:ind w:firstLine="709"/>
        <w:jc w:val="both"/>
        <w:rPr>
          <w:rFonts w:cs="Calibri"/>
          <w:sz w:val="28"/>
          <w:szCs w:val="28"/>
          <w:lang w:eastAsia="ar-SA"/>
        </w:rPr>
      </w:pPr>
      <w:r w:rsidRPr="00894E8F">
        <w:rPr>
          <w:rFonts w:cs="Calibri"/>
          <w:sz w:val="28"/>
          <w:szCs w:val="28"/>
          <w:lang w:eastAsia="ar-SA"/>
        </w:rPr>
        <w:t xml:space="preserve">Таким образом, спектр применяемых эмпирически антибактериальных средств должен определяться индивидуально с учетом наличия фоновой патологии, в том числе почечно-печеночной недостаточности. В целом, при МФОИ возможно использование ингибиторзащищенных пенициллинов, фторхинолонов (в том числе </w:t>
      </w:r>
      <w:r w:rsidRPr="00894E8F">
        <w:rPr>
          <w:rFonts w:cs="Calibri"/>
          <w:sz w:val="28"/>
          <w:szCs w:val="28"/>
          <w:lang w:val="en-US" w:eastAsia="ar-SA"/>
        </w:rPr>
        <w:t>II</w:t>
      </w:r>
      <w:r w:rsidRPr="00894E8F">
        <w:rPr>
          <w:rFonts w:cs="Calibri"/>
          <w:sz w:val="28"/>
          <w:szCs w:val="28"/>
          <w:lang w:eastAsia="ar-SA"/>
        </w:rPr>
        <w:t xml:space="preserve"> поколения – ципрофлоксацина, офлоксацина; </w:t>
      </w:r>
      <w:r w:rsidRPr="00894E8F">
        <w:rPr>
          <w:rFonts w:cs="Calibri"/>
          <w:sz w:val="28"/>
          <w:szCs w:val="28"/>
          <w:lang w:val="en-US" w:eastAsia="ar-SA"/>
        </w:rPr>
        <w:t>III</w:t>
      </w:r>
      <w:r w:rsidRPr="00894E8F">
        <w:rPr>
          <w:rFonts w:cs="Calibri"/>
          <w:sz w:val="28"/>
          <w:szCs w:val="28"/>
          <w:lang w:eastAsia="ar-SA"/>
        </w:rPr>
        <w:t xml:space="preserve"> поколения – левофлоксацина), макролидов, цефалоспоринов </w:t>
      </w:r>
      <w:r w:rsidRPr="00894E8F">
        <w:rPr>
          <w:rFonts w:cs="Calibri"/>
          <w:sz w:val="28"/>
          <w:szCs w:val="28"/>
          <w:lang w:val="en-US" w:eastAsia="ar-SA"/>
        </w:rPr>
        <w:t>I</w:t>
      </w:r>
      <w:r w:rsidRPr="00894E8F">
        <w:rPr>
          <w:rFonts w:cs="Calibri"/>
          <w:sz w:val="28"/>
          <w:szCs w:val="28"/>
          <w:lang w:eastAsia="ar-SA"/>
        </w:rPr>
        <w:t>–</w:t>
      </w:r>
      <w:r w:rsidRPr="00894E8F">
        <w:rPr>
          <w:rFonts w:cs="Calibri"/>
          <w:sz w:val="28"/>
          <w:szCs w:val="28"/>
          <w:lang w:val="en-US" w:eastAsia="ar-SA"/>
        </w:rPr>
        <w:t>III</w:t>
      </w:r>
      <w:r w:rsidRPr="00894E8F">
        <w:rPr>
          <w:rFonts w:cs="Calibri"/>
          <w:sz w:val="28"/>
          <w:szCs w:val="28"/>
          <w:lang w:eastAsia="ar-SA"/>
        </w:rPr>
        <w:t xml:space="preserve"> поколений в сочетании </w:t>
      </w:r>
      <w:r w:rsidR="00C166D6">
        <w:rPr>
          <w:rFonts w:cs="Calibri"/>
          <w:sz w:val="28"/>
          <w:szCs w:val="28"/>
          <w:lang w:eastAsia="ar-SA"/>
        </w:rPr>
        <w:t>с метронидазолом/клиндамицином.</w:t>
      </w:r>
    </w:p>
    <w:p w:rsidR="00286780" w:rsidRPr="00894E8F" w:rsidRDefault="00286780" w:rsidP="00894E8F">
      <w:pPr>
        <w:spacing w:line="360" w:lineRule="auto"/>
        <w:ind w:firstLine="709"/>
        <w:jc w:val="both"/>
        <w:rPr>
          <w:rFonts w:cs="Calibri"/>
          <w:sz w:val="28"/>
          <w:szCs w:val="28"/>
          <w:lang w:eastAsia="ar-SA"/>
        </w:rPr>
      </w:pPr>
      <w:r w:rsidRPr="00894E8F">
        <w:rPr>
          <w:rFonts w:cs="Calibri"/>
          <w:sz w:val="28"/>
          <w:szCs w:val="28"/>
          <w:lang w:eastAsia="ar-SA"/>
        </w:rPr>
        <w:t xml:space="preserve">При использовании антистрептококковых цефалоспоринов </w:t>
      </w:r>
      <w:r w:rsidRPr="00894E8F">
        <w:rPr>
          <w:rFonts w:cs="Calibri"/>
          <w:sz w:val="28"/>
          <w:szCs w:val="28"/>
          <w:lang w:val="en-US" w:eastAsia="ar-SA"/>
        </w:rPr>
        <w:t>III</w:t>
      </w:r>
      <w:r w:rsidRPr="00894E8F">
        <w:rPr>
          <w:rFonts w:cs="Calibri"/>
          <w:sz w:val="28"/>
          <w:szCs w:val="28"/>
          <w:lang w:eastAsia="ar-SA"/>
        </w:rPr>
        <w:t xml:space="preserve"> поколения (цефтриаксон, цефотаксим) и фторхинолонов </w:t>
      </w:r>
      <w:r w:rsidRPr="00894E8F">
        <w:rPr>
          <w:rFonts w:cs="Calibri"/>
          <w:sz w:val="28"/>
          <w:szCs w:val="28"/>
          <w:lang w:val="en-US" w:eastAsia="ar-SA"/>
        </w:rPr>
        <w:t>II</w:t>
      </w:r>
      <w:r w:rsidRPr="00894E8F">
        <w:rPr>
          <w:rFonts w:cs="Calibri"/>
          <w:sz w:val="28"/>
          <w:szCs w:val="28"/>
          <w:lang w:eastAsia="ar-SA"/>
        </w:rPr>
        <w:t>-</w:t>
      </w:r>
      <w:r w:rsidRPr="00894E8F">
        <w:rPr>
          <w:rFonts w:cs="Calibri"/>
          <w:sz w:val="28"/>
          <w:szCs w:val="28"/>
          <w:lang w:val="en-US" w:eastAsia="ar-SA"/>
        </w:rPr>
        <w:t>III</w:t>
      </w:r>
      <w:r w:rsidRPr="00894E8F">
        <w:rPr>
          <w:rFonts w:cs="Calibri"/>
          <w:sz w:val="28"/>
          <w:szCs w:val="28"/>
          <w:lang w:eastAsia="ar-SA"/>
        </w:rPr>
        <w:t xml:space="preserve"> поколений (ципрофлоксацин и </w:t>
      </w:r>
      <w:r w:rsidRPr="00894E8F">
        <w:rPr>
          <w:rFonts w:cs="Calibri"/>
          <w:sz w:val="28"/>
          <w:szCs w:val="28"/>
          <w:lang w:eastAsia="ar-SA"/>
        </w:rPr>
        <w:lastRenderedPageBreak/>
        <w:t>др.), необходимо учитывать их преимущественное влияние на грамотрицательную флору, комбинируя, например, с клиндамицином.</w:t>
      </w:r>
    </w:p>
    <w:p w:rsidR="00286780" w:rsidRPr="00894E8F" w:rsidRDefault="00286780" w:rsidP="00894E8F">
      <w:pPr>
        <w:spacing w:line="360" w:lineRule="auto"/>
        <w:ind w:firstLine="709"/>
        <w:jc w:val="both"/>
        <w:rPr>
          <w:rFonts w:cs="Calibri"/>
          <w:sz w:val="28"/>
          <w:szCs w:val="28"/>
          <w:lang w:eastAsia="ar-SA"/>
        </w:rPr>
      </w:pPr>
      <w:r w:rsidRPr="00894E8F">
        <w:rPr>
          <w:rFonts w:cs="Calibri"/>
          <w:sz w:val="28"/>
          <w:szCs w:val="28"/>
          <w:lang w:eastAsia="ar-SA"/>
        </w:rPr>
        <w:t xml:space="preserve">При одонтогенном сепсисе в качестве эмпирической терапии следует применять карбапенемы (эртапенем, меропенем), в том числе с антисинегнойной активностью (меропенем), антисинегнойные цефалоспорины </w:t>
      </w:r>
      <w:r w:rsidRPr="00894E8F">
        <w:rPr>
          <w:rFonts w:cs="Calibri"/>
          <w:sz w:val="28"/>
          <w:szCs w:val="28"/>
          <w:lang w:val="en-US" w:eastAsia="ar-SA"/>
        </w:rPr>
        <w:t>III</w:t>
      </w:r>
      <w:r w:rsidRPr="00894E8F">
        <w:rPr>
          <w:rFonts w:cs="Calibri"/>
          <w:sz w:val="28"/>
          <w:szCs w:val="28"/>
          <w:lang w:eastAsia="ar-SA"/>
        </w:rPr>
        <w:t xml:space="preserve"> поколения (цефоперазон, цефтазидим), в меньшей степени – антистрептококковые цефалоспорины (цефтриаксон, цефотаксим) в сочетании с метронидазолом/клиндамицином, а </w:t>
      </w:r>
      <w:r>
        <w:rPr>
          <w:rFonts w:cs="Calibri"/>
          <w:sz w:val="28"/>
          <w:szCs w:val="28"/>
          <w:lang w:eastAsia="ar-SA"/>
        </w:rPr>
        <w:t>также</w:t>
      </w:r>
      <w:r w:rsidRPr="00894E8F">
        <w:rPr>
          <w:rFonts w:cs="Calibri"/>
          <w:sz w:val="28"/>
          <w:szCs w:val="28"/>
          <w:lang w:eastAsia="ar-SA"/>
        </w:rPr>
        <w:t xml:space="preserve"> цефалоспорины </w:t>
      </w:r>
      <w:r w:rsidRPr="00894E8F">
        <w:rPr>
          <w:rFonts w:cs="Calibri"/>
          <w:sz w:val="28"/>
          <w:szCs w:val="28"/>
          <w:lang w:val="en-US" w:eastAsia="ar-SA"/>
        </w:rPr>
        <w:t>IV</w:t>
      </w:r>
      <w:r w:rsidRPr="00894E8F">
        <w:rPr>
          <w:rFonts w:cs="Calibri"/>
          <w:sz w:val="28"/>
          <w:szCs w:val="28"/>
          <w:lang w:eastAsia="ar-SA"/>
        </w:rPr>
        <w:t xml:space="preserve"> поколения (цефепим, цефпиром), тигециклин. Не следует использовать макролиды, т. к. они обладают бактериостатическим действием, отдавая предпочтение бактерицидным препаратам.</w:t>
      </w:r>
    </w:p>
    <w:p w:rsidR="00286780" w:rsidRPr="00894E8F" w:rsidRDefault="00286780" w:rsidP="00894E8F">
      <w:pPr>
        <w:spacing w:line="360" w:lineRule="auto"/>
        <w:ind w:firstLine="709"/>
        <w:jc w:val="both"/>
        <w:rPr>
          <w:rFonts w:cs="Calibri"/>
          <w:sz w:val="28"/>
          <w:szCs w:val="28"/>
          <w:lang w:eastAsia="ar-SA"/>
        </w:rPr>
      </w:pPr>
      <w:r w:rsidRPr="00894E8F">
        <w:rPr>
          <w:rFonts w:cs="Calibri"/>
          <w:sz w:val="28"/>
          <w:szCs w:val="28"/>
          <w:lang w:eastAsia="ar-SA"/>
        </w:rPr>
        <w:t>После получения данных микробиологического исследования антибиотикотерапия должна быть скорректирована с учетом видового состава и чувствительности выделенных микроорганизмов.</w:t>
      </w:r>
    </w:p>
    <w:p w:rsidR="00C166D6" w:rsidRDefault="00286780" w:rsidP="00894E8F">
      <w:pPr>
        <w:spacing w:line="360" w:lineRule="auto"/>
        <w:ind w:firstLine="709"/>
        <w:jc w:val="both"/>
        <w:rPr>
          <w:rFonts w:cs="Calibri"/>
          <w:sz w:val="28"/>
          <w:szCs w:val="28"/>
          <w:lang w:eastAsia="ar-SA"/>
        </w:rPr>
      </w:pPr>
      <w:r w:rsidRPr="00894E8F">
        <w:rPr>
          <w:rFonts w:cs="Calibri"/>
          <w:sz w:val="28"/>
          <w:szCs w:val="28"/>
          <w:lang w:eastAsia="ar-SA"/>
        </w:rPr>
        <w:t>В практическом исполнени</w:t>
      </w:r>
      <w:r>
        <w:rPr>
          <w:rFonts w:cs="Calibri"/>
          <w:sz w:val="28"/>
          <w:szCs w:val="28"/>
          <w:lang w:eastAsia="ar-SA"/>
        </w:rPr>
        <w:t>и эмпирическая антибактериальная</w:t>
      </w:r>
      <w:r w:rsidRPr="00894E8F">
        <w:rPr>
          <w:rFonts w:cs="Calibri"/>
          <w:sz w:val="28"/>
          <w:szCs w:val="28"/>
          <w:lang w:eastAsia="ar-SA"/>
        </w:rPr>
        <w:t xml:space="preserve"> терапия пациентов основной группы с МФОИ, фоновой полиорганной патологией и синдромом взаимного отягощения заключалась в использовании антистрептококковых цефалоспоринов </w:t>
      </w:r>
      <w:r w:rsidRPr="00894E8F">
        <w:rPr>
          <w:rFonts w:cs="Calibri"/>
          <w:sz w:val="28"/>
          <w:szCs w:val="28"/>
          <w:lang w:val="en-US" w:eastAsia="ar-SA"/>
        </w:rPr>
        <w:t>III</w:t>
      </w:r>
      <w:r w:rsidRPr="00894E8F">
        <w:rPr>
          <w:rFonts w:cs="Calibri"/>
          <w:sz w:val="28"/>
          <w:szCs w:val="28"/>
          <w:lang w:eastAsia="ar-SA"/>
        </w:rPr>
        <w:t xml:space="preserve"> поколения (цефтриаксон, цефотаксим), фторхинолона </w:t>
      </w:r>
      <w:r w:rsidRPr="00894E8F">
        <w:rPr>
          <w:rFonts w:cs="Calibri"/>
          <w:sz w:val="28"/>
          <w:szCs w:val="28"/>
          <w:lang w:val="en-US" w:eastAsia="ar-SA"/>
        </w:rPr>
        <w:t>II</w:t>
      </w:r>
      <w:r w:rsidRPr="00894E8F">
        <w:rPr>
          <w:rFonts w:cs="Calibri"/>
          <w:sz w:val="28"/>
          <w:szCs w:val="28"/>
          <w:lang w:eastAsia="ar-SA"/>
        </w:rPr>
        <w:t xml:space="preserve"> поколения ципрофлоксацина и ингибиторзащищенных пенициллинов в со</w:t>
      </w:r>
      <w:r w:rsidR="00C166D6">
        <w:rPr>
          <w:rFonts w:cs="Calibri"/>
          <w:sz w:val="28"/>
          <w:szCs w:val="28"/>
          <w:lang w:eastAsia="ar-SA"/>
        </w:rPr>
        <w:t>четании с метронидазолом.</w:t>
      </w:r>
    </w:p>
    <w:p w:rsidR="00286780" w:rsidRPr="00894E8F" w:rsidRDefault="00286780" w:rsidP="00894E8F">
      <w:pPr>
        <w:spacing w:line="360" w:lineRule="auto"/>
        <w:ind w:firstLine="709"/>
        <w:jc w:val="both"/>
        <w:rPr>
          <w:rFonts w:cs="Calibri"/>
          <w:sz w:val="28"/>
          <w:szCs w:val="28"/>
          <w:lang w:eastAsia="ar-SA"/>
        </w:rPr>
      </w:pPr>
      <w:r w:rsidRPr="00894E8F">
        <w:rPr>
          <w:rFonts w:cs="Calibri"/>
          <w:sz w:val="28"/>
          <w:szCs w:val="28"/>
          <w:lang w:eastAsia="ar-SA"/>
        </w:rPr>
        <w:t>Эмпирическая антибактериальная терапия пациентов основной группы с ОС, фоновой полиорганной патологией и синдромом взаимного отягощения (</w:t>
      </w:r>
      <w:r w:rsidRPr="00894E8F">
        <w:rPr>
          <w:rFonts w:cs="Calibri"/>
          <w:sz w:val="28"/>
          <w:szCs w:val="28"/>
          <w:lang w:val="en-US" w:eastAsia="ar-SA"/>
        </w:rPr>
        <w:t>n</w:t>
      </w:r>
      <w:r>
        <w:rPr>
          <w:rFonts w:cs="Calibri"/>
          <w:sz w:val="28"/>
          <w:szCs w:val="28"/>
          <w:lang w:eastAsia="ar-SA"/>
        </w:rPr>
        <w:t>=9</w:t>
      </w:r>
      <w:r w:rsidRPr="00894E8F">
        <w:rPr>
          <w:rFonts w:cs="Calibri"/>
          <w:sz w:val="28"/>
          <w:szCs w:val="28"/>
          <w:lang w:eastAsia="ar-SA"/>
        </w:rPr>
        <w:t>) представлена ниже:</w:t>
      </w:r>
    </w:p>
    <w:p w:rsidR="00286780" w:rsidRPr="00894E8F" w:rsidRDefault="00286780" w:rsidP="00894E8F">
      <w:pPr>
        <w:spacing w:line="360" w:lineRule="auto"/>
        <w:ind w:firstLine="709"/>
        <w:jc w:val="both"/>
        <w:rPr>
          <w:rFonts w:cs="Calibri"/>
          <w:sz w:val="28"/>
          <w:szCs w:val="28"/>
          <w:lang w:eastAsia="ar-SA"/>
        </w:rPr>
      </w:pPr>
      <w:r w:rsidRPr="00894E8F">
        <w:rPr>
          <w:rFonts w:cs="Calibri"/>
          <w:sz w:val="28"/>
          <w:szCs w:val="28"/>
          <w:lang w:eastAsia="ar-SA"/>
        </w:rPr>
        <w:t>1) меропенем (</w:t>
      </w:r>
      <w:r w:rsidRPr="00894E8F">
        <w:rPr>
          <w:rFonts w:cs="Calibri"/>
          <w:sz w:val="28"/>
          <w:szCs w:val="28"/>
          <w:lang w:val="en-US" w:eastAsia="ar-SA"/>
        </w:rPr>
        <w:t>n</w:t>
      </w:r>
      <w:r>
        <w:rPr>
          <w:rFonts w:cs="Calibri"/>
          <w:sz w:val="28"/>
          <w:szCs w:val="28"/>
          <w:lang w:eastAsia="ar-SA"/>
        </w:rPr>
        <w:t>=</w:t>
      </w:r>
      <w:r w:rsidRPr="00894E8F">
        <w:rPr>
          <w:rFonts w:cs="Calibri"/>
          <w:sz w:val="28"/>
          <w:szCs w:val="28"/>
          <w:lang w:eastAsia="ar-SA"/>
        </w:rPr>
        <w:t>3) в комбинации с ванкомицином;</w:t>
      </w:r>
    </w:p>
    <w:p w:rsidR="00286780" w:rsidRPr="00894E8F" w:rsidRDefault="00286780" w:rsidP="00894E8F">
      <w:pPr>
        <w:spacing w:line="360" w:lineRule="auto"/>
        <w:ind w:firstLine="709"/>
        <w:jc w:val="both"/>
        <w:rPr>
          <w:rFonts w:cs="Calibri"/>
          <w:sz w:val="28"/>
          <w:szCs w:val="28"/>
          <w:lang w:eastAsia="ar-SA"/>
        </w:rPr>
      </w:pPr>
      <w:r w:rsidRPr="00894E8F">
        <w:rPr>
          <w:rFonts w:cs="Calibri"/>
          <w:sz w:val="28"/>
          <w:szCs w:val="28"/>
          <w:lang w:eastAsia="ar-SA"/>
        </w:rPr>
        <w:t xml:space="preserve">2) цефалоспорин </w:t>
      </w:r>
      <w:r w:rsidRPr="00894E8F">
        <w:rPr>
          <w:rFonts w:cs="Calibri"/>
          <w:sz w:val="28"/>
          <w:szCs w:val="28"/>
          <w:lang w:val="en-US" w:eastAsia="ar-SA"/>
        </w:rPr>
        <w:t>IV</w:t>
      </w:r>
      <w:r w:rsidRPr="00894E8F">
        <w:rPr>
          <w:rFonts w:cs="Calibri"/>
          <w:sz w:val="28"/>
          <w:szCs w:val="28"/>
          <w:lang w:eastAsia="ar-SA"/>
        </w:rPr>
        <w:t xml:space="preserve"> поколения цефепим и метронидазол (</w:t>
      </w:r>
      <w:r w:rsidRPr="00894E8F">
        <w:rPr>
          <w:rFonts w:cs="Calibri"/>
          <w:sz w:val="28"/>
          <w:szCs w:val="28"/>
          <w:lang w:val="en-US" w:eastAsia="ar-SA"/>
        </w:rPr>
        <w:t>n</w:t>
      </w:r>
      <w:r>
        <w:rPr>
          <w:rFonts w:cs="Calibri"/>
          <w:sz w:val="28"/>
          <w:szCs w:val="28"/>
          <w:lang w:eastAsia="ar-SA"/>
        </w:rPr>
        <w:t>=</w:t>
      </w:r>
      <w:r w:rsidRPr="00894E8F">
        <w:rPr>
          <w:rFonts w:cs="Calibri"/>
          <w:sz w:val="28"/>
          <w:szCs w:val="28"/>
          <w:lang w:eastAsia="ar-SA"/>
        </w:rPr>
        <w:t>1);</w:t>
      </w:r>
    </w:p>
    <w:p w:rsidR="00286780" w:rsidRPr="00894E8F" w:rsidRDefault="00286780" w:rsidP="00894E8F">
      <w:pPr>
        <w:spacing w:line="360" w:lineRule="auto"/>
        <w:ind w:firstLine="709"/>
        <w:jc w:val="both"/>
        <w:rPr>
          <w:rFonts w:cs="Calibri"/>
          <w:sz w:val="28"/>
          <w:szCs w:val="28"/>
          <w:lang w:eastAsia="ar-SA"/>
        </w:rPr>
      </w:pPr>
      <w:r w:rsidRPr="00894E8F">
        <w:rPr>
          <w:rFonts w:cs="Calibri"/>
          <w:sz w:val="28"/>
          <w:szCs w:val="28"/>
          <w:lang w:eastAsia="ar-SA"/>
        </w:rPr>
        <w:t xml:space="preserve">3) цефалоспорины </w:t>
      </w:r>
      <w:r w:rsidRPr="00894E8F">
        <w:rPr>
          <w:rFonts w:cs="Calibri"/>
          <w:sz w:val="28"/>
          <w:szCs w:val="28"/>
          <w:lang w:val="en-US" w:eastAsia="ar-SA"/>
        </w:rPr>
        <w:t>III</w:t>
      </w:r>
      <w:r w:rsidRPr="00894E8F">
        <w:rPr>
          <w:rFonts w:cs="Calibri"/>
          <w:sz w:val="28"/>
          <w:szCs w:val="28"/>
          <w:lang w:eastAsia="ar-SA"/>
        </w:rPr>
        <w:t xml:space="preserve"> поколения, в т. ч. с антисинегнойной активностью (цефоперазон/сульбактам, цефтриаксон, цефотаксим) в сочетании с метронидазолом (</w:t>
      </w:r>
      <w:r w:rsidRPr="00894E8F">
        <w:rPr>
          <w:rFonts w:cs="Calibri"/>
          <w:sz w:val="28"/>
          <w:szCs w:val="28"/>
          <w:lang w:val="en-US" w:eastAsia="ar-SA"/>
        </w:rPr>
        <w:t>n</w:t>
      </w:r>
      <w:r>
        <w:rPr>
          <w:rFonts w:cs="Calibri"/>
          <w:sz w:val="28"/>
          <w:szCs w:val="28"/>
          <w:lang w:eastAsia="ar-SA"/>
        </w:rPr>
        <w:t>=4</w:t>
      </w:r>
      <w:r w:rsidRPr="00894E8F">
        <w:rPr>
          <w:rFonts w:cs="Calibri"/>
          <w:sz w:val="28"/>
          <w:szCs w:val="28"/>
          <w:lang w:eastAsia="ar-SA"/>
        </w:rPr>
        <w:t>);</w:t>
      </w:r>
    </w:p>
    <w:p w:rsidR="00286780" w:rsidRPr="00894E8F" w:rsidRDefault="00286780" w:rsidP="00894E8F">
      <w:pPr>
        <w:spacing w:line="360" w:lineRule="auto"/>
        <w:ind w:firstLine="709"/>
        <w:jc w:val="both"/>
        <w:rPr>
          <w:rFonts w:cs="Calibri"/>
          <w:sz w:val="28"/>
          <w:szCs w:val="28"/>
          <w:lang w:eastAsia="ar-SA"/>
        </w:rPr>
      </w:pPr>
      <w:r w:rsidRPr="00894E8F">
        <w:rPr>
          <w:rFonts w:cs="Calibri"/>
          <w:sz w:val="28"/>
          <w:szCs w:val="28"/>
          <w:lang w:eastAsia="ar-SA"/>
        </w:rPr>
        <w:t xml:space="preserve">4) фторхинолон </w:t>
      </w:r>
      <w:r w:rsidRPr="00894E8F">
        <w:rPr>
          <w:rFonts w:cs="Calibri"/>
          <w:sz w:val="28"/>
          <w:szCs w:val="28"/>
          <w:lang w:val="en-US" w:eastAsia="ar-SA"/>
        </w:rPr>
        <w:t>II</w:t>
      </w:r>
      <w:r w:rsidRPr="00894E8F">
        <w:rPr>
          <w:rFonts w:cs="Calibri"/>
          <w:sz w:val="28"/>
          <w:szCs w:val="28"/>
          <w:lang w:eastAsia="ar-SA"/>
        </w:rPr>
        <w:t xml:space="preserve"> (ципрофлоксацин) и метронидазол (</w:t>
      </w:r>
      <w:r w:rsidRPr="00894E8F">
        <w:rPr>
          <w:rFonts w:cs="Calibri"/>
          <w:sz w:val="28"/>
          <w:szCs w:val="28"/>
          <w:lang w:val="en-US" w:eastAsia="ar-SA"/>
        </w:rPr>
        <w:t>n</w:t>
      </w:r>
      <w:r>
        <w:rPr>
          <w:rFonts w:cs="Calibri"/>
          <w:sz w:val="28"/>
          <w:szCs w:val="28"/>
          <w:lang w:eastAsia="ar-SA"/>
        </w:rPr>
        <w:t>=</w:t>
      </w:r>
      <w:r w:rsidRPr="00894E8F">
        <w:rPr>
          <w:rFonts w:cs="Calibri"/>
          <w:sz w:val="28"/>
          <w:szCs w:val="28"/>
          <w:lang w:eastAsia="ar-SA"/>
        </w:rPr>
        <w:t>1).</w:t>
      </w:r>
    </w:p>
    <w:p w:rsidR="00286780" w:rsidRPr="00894E8F" w:rsidRDefault="00286780" w:rsidP="00894E8F">
      <w:pPr>
        <w:spacing w:line="360" w:lineRule="auto"/>
        <w:ind w:firstLine="709"/>
        <w:jc w:val="both"/>
        <w:rPr>
          <w:rFonts w:cs="Calibri"/>
          <w:sz w:val="28"/>
          <w:szCs w:val="28"/>
          <w:lang w:eastAsia="ar-SA"/>
        </w:rPr>
      </w:pPr>
      <w:r w:rsidRPr="00894E8F">
        <w:rPr>
          <w:rFonts w:cs="Calibri"/>
          <w:sz w:val="28"/>
          <w:szCs w:val="28"/>
          <w:lang w:eastAsia="ar-SA"/>
        </w:rPr>
        <w:t>Таким образом, эмпирическая антибактериальная терапия пациентов с ОС основной группы включает два класса антибиотиков, что соответствует совре</w:t>
      </w:r>
      <w:r w:rsidRPr="00894E8F">
        <w:rPr>
          <w:rFonts w:cs="Calibri"/>
          <w:sz w:val="28"/>
          <w:szCs w:val="28"/>
          <w:lang w:eastAsia="ar-SA"/>
        </w:rPr>
        <w:lastRenderedPageBreak/>
        <w:t xml:space="preserve">менным рекомендациям по лечению сепсиса </w:t>
      </w:r>
      <w:r>
        <w:rPr>
          <w:rFonts w:cs="Calibri"/>
          <w:sz w:val="28"/>
          <w:szCs w:val="28"/>
          <w:lang w:eastAsia="ar-SA"/>
        </w:rPr>
        <w:t>(</w:t>
      </w:r>
      <w:r w:rsidRPr="00894E8F">
        <w:rPr>
          <w:rFonts w:cs="Calibri"/>
          <w:sz w:val="28"/>
          <w:szCs w:val="28"/>
          <w:shd w:val="clear" w:color="auto" w:fill="FFFFFF"/>
          <w:lang w:val="en-US" w:eastAsia="ar-SA"/>
        </w:rPr>
        <w:t>Rhodes</w:t>
      </w:r>
      <w:r>
        <w:rPr>
          <w:rFonts w:cs="Calibri"/>
          <w:sz w:val="28"/>
          <w:szCs w:val="28"/>
          <w:shd w:val="clear" w:color="auto" w:fill="FFFFFF"/>
          <w:lang w:eastAsia="ar-SA"/>
        </w:rPr>
        <w:t xml:space="preserve"> </w:t>
      </w:r>
      <w:r w:rsidRPr="00894E8F">
        <w:rPr>
          <w:rFonts w:cs="Calibri"/>
          <w:sz w:val="28"/>
          <w:szCs w:val="28"/>
          <w:shd w:val="clear" w:color="auto" w:fill="FFFFFF"/>
          <w:lang w:val="en-US" w:eastAsia="ar-SA"/>
        </w:rPr>
        <w:t>A</w:t>
      </w:r>
      <w:r w:rsidRPr="00894E8F">
        <w:rPr>
          <w:rFonts w:cs="Calibri"/>
          <w:sz w:val="28"/>
          <w:szCs w:val="28"/>
          <w:shd w:val="clear" w:color="auto" w:fill="FFFFFF"/>
          <w:lang w:eastAsia="ar-SA"/>
        </w:rPr>
        <w:t xml:space="preserve">. </w:t>
      </w:r>
      <w:r w:rsidRPr="00894E8F">
        <w:rPr>
          <w:rFonts w:cs="Calibri"/>
          <w:sz w:val="28"/>
          <w:szCs w:val="28"/>
          <w:shd w:val="clear" w:color="auto" w:fill="FFFFFF"/>
          <w:lang w:val="en-US" w:eastAsia="ar-SA"/>
        </w:rPr>
        <w:t>et</w:t>
      </w:r>
      <w:r>
        <w:rPr>
          <w:rFonts w:cs="Calibri"/>
          <w:sz w:val="28"/>
          <w:szCs w:val="28"/>
          <w:shd w:val="clear" w:color="auto" w:fill="FFFFFF"/>
          <w:lang w:eastAsia="ar-SA"/>
        </w:rPr>
        <w:t xml:space="preserve"> </w:t>
      </w:r>
      <w:r w:rsidRPr="00894E8F">
        <w:rPr>
          <w:rFonts w:cs="Calibri"/>
          <w:sz w:val="28"/>
          <w:szCs w:val="28"/>
          <w:shd w:val="clear" w:color="auto" w:fill="FFFFFF"/>
          <w:lang w:val="en-US" w:eastAsia="ar-SA"/>
        </w:rPr>
        <w:t>al</w:t>
      </w:r>
      <w:r w:rsidRPr="00894E8F">
        <w:rPr>
          <w:rFonts w:cs="Calibri"/>
          <w:sz w:val="28"/>
          <w:szCs w:val="28"/>
          <w:shd w:val="clear" w:color="auto" w:fill="FFFFFF"/>
          <w:lang w:eastAsia="ar-SA"/>
        </w:rPr>
        <w:t>., 2017</w:t>
      </w:r>
      <w:r>
        <w:rPr>
          <w:rFonts w:cs="Calibri"/>
          <w:sz w:val="28"/>
          <w:szCs w:val="28"/>
          <w:lang w:eastAsia="ar-SA"/>
        </w:rPr>
        <w:t>)</w:t>
      </w:r>
      <w:r w:rsidRPr="00894E8F">
        <w:rPr>
          <w:rFonts w:cs="Calibri"/>
          <w:sz w:val="28"/>
          <w:szCs w:val="28"/>
          <w:lang w:eastAsia="ar-SA"/>
        </w:rPr>
        <w:t>. Внутривенное введение антибактериальных препаратов выполняется в течение первого часа стационарного лечения.</w:t>
      </w:r>
    </w:p>
    <w:p w:rsidR="00286780" w:rsidRPr="00894E8F" w:rsidRDefault="00286780" w:rsidP="00894E8F">
      <w:pPr>
        <w:spacing w:line="360" w:lineRule="auto"/>
        <w:ind w:firstLine="709"/>
        <w:jc w:val="both"/>
        <w:rPr>
          <w:rFonts w:cs="Calibri"/>
          <w:sz w:val="28"/>
          <w:szCs w:val="28"/>
          <w:lang w:eastAsia="ar-SA"/>
        </w:rPr>
      </w:pPr>
      <w:r w:rsidRPr="00894E8F">
        <w:rPr>
          <w:rFonts w:cs="Calibri"/>
          <w:sz w:val="28"/>
          <w:szCs w:val="28"/>
          <w:lang w:eastAsia="ar-SA"/>
        </w:rPr>
        <w:t xml:space="preserve">После получения результатов микробиологического исследования антибактериальная терапия корригировалась в соответствии с чувствительностью микроорганизмов. У двух больных с ОС в процессе лечения в условиях ОРИТ выявлены гемокультуры </w:t>
      </w:r>
      <w:r w:rsidRPr="00894E8F">
        <w:rPr>
          <w:rFonts w:cs="Calibri"/>
          <w:sz w:val="28"/>
          <w:szCs w:val="28"/>
          <w:lang w:val="en-US" w:eastAsia="ar-SA"/>
        </w:rPr>
        <w:t>Enterococcus</w:t>
      </w:r>
      <w:r>
        <w:rPr>
          <w:rFonts w:cs="Calibri"/>
          <w:sz w:val="28"/>
          <w:szCs w:val="28"/>
          <w:lang w:eastAsia="ar-SA"/>
        </w:rPr>
        <w:t xml:space="preserve"> </w:t>
      </w:r>
      <w:r w:rsidRPr="00894E8F">
        <w:rPr>
          <w:rFonts w:cs="Calibri"/>
          <w:sz w:val="28"/>
          <w:szCs w:val="28"/>
          <w:lang w:val="en-US" w:eastAsia="ar-SA"/>
        </w:rPr>
        <w:t>faecalis</w:t>
      </w:r>
      <w:r>
        <w:rPr>
          <w:rFonts w:cs="Calibri"/>
          <w:sz w:val="28"/>
          <w:szCs w:val="28"/>
          <w:lang w:eastAsia="ar-SA"/>
        </w:rPr>
        <w:t xml:space="preserve"> </w:t>
      </w:r>
      <w:r w:rsidRPr="00894E8F">
        <w:rPr>
          <w:rFonts w:cs="Calibri"/>
          <w:sz w:val="28"/>
          <w:szCs w:val="28"/>
          <w:lang w:val="en-US" w:eastAsia="ar-SA"/>
        </w:rPr>
        <w:t>et</w:t>
      </w:r>
      <w:r>
        <w:rPr>
          <w:rFonts w:cs="Calibri"/>
          <w:sz w:val="28"/>
          <w:szCs w:val="28"/>
          <w:lang w:eastAsia="ar-SA"/>
        </w:rPr>
        <w:t xml:space="preserve"> </w:t>
      </w:r>
      <w:r w:rsidRPr="00894E8F">
        <w:rPr>
          <w:rFonts w:cs="Calibri"/>
          <w:sz w:val="28"/>
          <w:szCs w:val="28"/>
          <w:lang w:val="en-US" w:eastAsia="ar-SA"/>
        </w:rPr>
        <w:t>Enterococcus</w:t>
      </w:r>
      <w:r>
        <w:rPr>
          <w:rFonts w:cs="Calibri"/>
          <w:sz w:val="28"/>
          <w:szCs w:val="28"/>
          <w:lang w:eastAsia="ar-SA"/>
        </w:rPr>
        <w:t xml:space="preserve"> </w:t>
      </w:r>
      <w:r w:rsidRPr="00894E8F">
        <w:rPr>
          <w:rFonts w:cs="Calibri"/>
          <w:sz w:val="28"/>
          <w:szCs w:val="28"/>
          <w:lang w:val="en-US" w:eastAsia="ar-SA"/>
        </w:rPr>
        <w:t>faecium</w:t>
      </w:r>
      <w:r w:rsidRPr="00894E8F">
        <w:rPr>
          <w:rFonts w:cs="Calibri"/>
          <w:sz w:val="28"/>
          <w:szCs w:val="28"/>
          <w:lang w:eastAsia="ar-SA"/>
        </w:rPr>
        <w:t xml:space="preserve">, чувствительные к ванкомицину и линезолиду, что потребовало коррекции терапии. В одном случае выделена гемокультура </w:t>
      </w:r>
      <w:r w:rsidRPr="00894E8F">
        <w:rPr>
          <w:rFonts w:cs="Calibri"/>
          <w:sz w:val="28"/>
          <w:szCs w:val="28"/>
          <w:lang w:val="en-US" w:eastAsia="ar-SA"/>
        </w:rPr>
        <w:t>S</w:t>
      </w:r>
      <w:r w:rsidRPr="00894E8F">
        <w:rPr>
          <w:rFonts w:cs="Calibri"/>
          <w:sz w:val="28"/>
          <w:szCs w:val="28"/>
          <w:lang w:eastAsia="ar-SA"/>
        </w:rPr>
        <w:t xml:space="preserve">. </w:t>
      </w:r>
      <w:r w:rsidRPr="00894E8F">
        <w:rPr>
          <w:rFonts w:cs="Calibri"/>
          <w:sz w:val="28"/>
          <w:szCs w:val="28"/>
          <w:lang w:val="en-US" w:eastAsia="ar-SA"/>
        </w:rPr>
        <w:t>epidermidis</w:t>
      </w:r>
      <w:r w:rsidRPr="00894E8F">
        <w:rPr>
          <w:rFonts w:cs="Calibri"/>
          <w:sz w:val="28"/>
          <w:szCs w:val="28"/>
          <w:lang w:eastAsia="ar-SA"/>
        </w:rPr>
        <w:t>, чувствительная к оксациллину и другим бета-лактамам.</w:t>
      </w:r>
    </w:p>
    <w:p w:rsidR="00C166D6" w:rsidRDefault="00286780" w:rsidP="00894E8F">
      <w:pPr>
        <w:spacing w:line="360" w:lineRule="auto"/>
        <w:ind w:firstLine="709"/>
        <w:jc w:val="both"/>
        <w:rPr>
          <w:rFonts w:cs="Calibri"/>
          <w:sz w:val="28"/>
          <w:szCs w:val="28"/>
          <w:lang w:eastAsia="ar-SA"/>
        </w:rPr>
      </w:pPr>
      <w:r w:rsidRPr="00894E8F">
        <w:rPr>
          <w:rFonts w:cs="Calibri"/>
          <w:sz w:val="28"/>
          <w:szCs w:val="28"/>
          <w:lang w:eastAsia="ar-SA"/>
        </w:rPr>
        <w:t xml:space="preserve">У пациентов с хронической болезнью почек (хронической почечной недостаточностью, </w:t>
      </w:r>
      <w:r w:rsidRPr="00894E8F">
        <w:rPr>
          <w:rFonts w:cs="Calibri"/>
          <w:sz w:val="28"/>
          <w:szCs w:val="28"/>
          <w:lang w:val="en-US" w:eastAsia="ar-SA"/>
        </w:rPr>
        <w:t>n</w:t>
      </w:r>
      <w:r>
        <w:rPr>
          <w:rFonts w:cs="Calibri"/>
          <w:sz w:val="28"/>
          <w:szCs w:val="28"/>
          <w:lang w:eastAsia="ar-SA"/>
        </w:rPr>
        <w:t>=</w:t>
      </w:r>
      <w:r w:rsidRPr="00894E8F">
        <w:rPr>
          <w:rFonts w:cs="Calibri"/>
          <w:sz w:val="28"/>
          <w:szCs w:val="28"/>
          <w:lang w:eastAsia="ar-SA"/>
        </w:rPr>
        <w:t>1) дозировка антибиотика рассчитывалась с учетом клиренса креатинина по общепринятой методике, препараты со значительным нефротоксическим влиянием (аминогликозиды), не использовались. В частности, в перриоперационном периоде применялся ципрофлоксацин и метронидазол с соответствующей коррекцией дозы по клиренсу креатинина (в рассматриваемом случае менее</w:t>
      </w:r>
      <w:r w:rsidR="00C166D6">
        <w:rPr>
          <w:rFonts w:cs="Calibri"/>
          <w:sz w:val="28"/>
          <w:szCs w:val="28"/>
          <w:lang w:eastAsia="ar-SA"/>
        </w:rPr>
        <w:t xml:space="preserve"> 10 мл/мин), далее – меропенем.</w:t>
      </w:r>
    </w:p>
    <w:p w:rsidR="00286780" w:rsidRPr="00894E8F" w:rsidRDefault="00286780" w:rsidP="00894E8F">
      <w:pPr>
        <w:spacing w:line="360" w:lineRule="auto"/>
        <w:ind w:firstLine="709"/>
        <w:jc w:val="both"/>
        <w:rPr>
          <w:rFonts w:cs="Calibri"/>
          <w:sz w:val="28"/>
          <w:szCs w:val="28"/>
          <w:shd w:val="clear" w:color="auto" w:fill="00FFFF"/>
          <w:lang w:eastAsia="ar-SA"/>
        </w:rPr>
      </w:pPr>
      <w:r w:rsidRPr="00894E8F">
        <w:rPr>
          <w:rFonts w:cs="Calibri"/>
          <w:sz w:val="28"/>
          <w:szCs w:val="28"/>
          <w:lang w:eastAsia="ar-SA"/>
        </w:rPr>
        <w:t>Пациентам с фоновым поражением печени (</w:t>
      </w:r>
      <w:r w:rsidRPr="00894E8F">
        <w:rPr>
          <w:rFonts w:cs="Calibri"/>
          <w:sz w:val="28"/>
          <w:szCs w:val="28"/>
          <w:lang w:val="en-US" w:eastAsia="ar-SA"/>
        </w:rPr>
        <w:t>n</w:t>
      </w:r>
      <w:r>
        <w:rPr>
          <w:rFonts w:cs="Calibri"/>
          <w:sz w:val="28"/>
          <w:szCs w:val="28"/>
          <w:lang w:eastAsia="ar-SA"/>
        </w:rPr>
        <w:t>=</w:t>
      </w:r>
      <w:r w:rsidRPr="00894E8F">
        <w:rPr>
          <w:rFonts w:cs="Calibri"/>
          <w:sz w:val="28"/>
          <w:szCs w:val="28"/>
          <w:lang w:eastAsia="ar-SA"/>
        </w:rPr>
        <w:t>1) исключены гепатотоксичные и метаболизируемые печенью антибактериальные препараты, в частности, использован меропенем, как эффективный антибиотик, разрушаемый почечной д</w:t>
      </w:r>
      <w:r>
        <w:rPr>
          <w:rFonts w:cs="Calibri"/>
          <w:sz w:val="28"/>
          <w:szCs w:val="28"/>
          <w:lang w:eastAsia="ar-SA"/>
        </w:rPr>
        <w:t>егидропептидазой-I (Царев В.Н., Ушаков Р.В., 2006)</w:t>
      </w:r>
      <w:r w:rsidRPr="00894E8F">
        <w:rPr>
          <w:rFonts w:cs="Calibri"/>
          <w:sz w:val="28"/>
          <w:szCs w:val="28"/>
          <w:lang w:eastAsia="ar-SA"/>
        </w:rPr>
        <w:t>.</w:t>
      </w:r>
    </w:p>
    <w:p w:rsidR="00286780" w:rsidRPr="00894E8F" w:rsidRDefault="00286780" w:rsidP="00894E8F">
      <w:pPr>
        <w:spacing w:line="360" w:lineRule="auto"/>
        <w:ind w:firstLine="709"/>
        <w:jc w:val="both"/>
        <w:rPr>
          <w:rFonts w:cs="Calibri"/>
          <w:sz w:val="28"/>
          <w:szCs w:val="28"/>
          <w:lang w:eastAsia="ar-SA"/>
        </w:rPr>
      </w:pPr>
      <w:r w:rsidRPr="00894E8F">
        <w:rPr>
          <w:rFonts w:cs="Calibri"/>
          <w:sz w:val="28"/>
          <w:szCs w:val="28"/>
          <w:lang w:eastAsia="ar-SA"/>
        </w:rPr>
        <w:t>Следует отметить, что в основной группе использовано максимально раннее внутривенное введение антибиотика в течение первого часа пребывания в стационаре (как компонента предоперационной подготовки), что не было использовано в контрольной группе.</w:t>
      </w:r>
    </w:p>
    <w:p w:rsidR="00286780" w:rsidRPr="00894E8F" w:rsidRDefault="00286780" w:rsidP="00894E8F">
      <w:pPr>
        <w:spacing w:line="360" w:lineRule="auto"/>
        <w:ind w:firstLine="709"/>
        <w:jc w:val="both"/>
        <w:rPr>
          <w:rFonts w:cs="Calibri"/>
          <w:sz w:val="28"/>
          <w:szCs w:val="28"/>
          <w:lang w:eastAsia="ar-SA"/>
        </w:rPr>
      </w:pPr>
      <w:r w:rsidRPr="00894E8F">
        <w:rPr>
          <w:rFonts w:cs="Calibri"/>
          <w:sz w:val="28"/>
          <w:szCs w:val="28"/>
          <w:lang w:eastAsia="ar-SA"/>
        </w:rPr>
        <w:t xml:space="preserve">В послеоперационном периоде в основной группе использовались ингибиторзащищенные пенициллины, фторхинолоны </w:t>
      </w:r>
      <w:r w:rsidRPr="00894E8F">
        <w:rPr>
          <w:rFonts w:cs="Calibri"/>
          <w:sz w:val="28"/>
          <w:szCs w:val="28"/>
          <w:lang w:val="en-US" w:eastAsia="ar-SA"/>
        </w:rPr>
        <w:t>II</w:t>
      </w:r>
      <w:r w:rsidRPr="00894E8F">
        <w:rPr>
          <w:rFonts w:cs="Calibri"/>
          <w:sz w:val="28"/>
          <w:szCs w:val="28"/>
          <w:lang w:eastAsia="ar-SA"/>
        </w:rPr>
        <w:t xml:space="preserve"> поколения (ципрофлоксацин), цефалоспорины </w:t>
      </w:r>
      <w:r w:rsidRPr="00894E8F">
        <w:rPr>
          <w:rFonts w:cs="Calibri"/>
          <w:sz w:val="28"/>
          <w:szCs w:val="28"/>
          <w:lang w:val="en-US" w:eastAsia="ar-SA"/>
        </w:rPr>
        <w:t>III</w:t>
      </w:r>
      <w:r w:rsidRPr="00894E8F">
        <w:rPr>
          <w:rFonts w:cs="Calibri"/>
          <w:sz w:val="28"/>
          <w:szCs w:val="28"/>
          <w:lang w:eastAsia="ar-SA"/>
        </w:rPr>
        <w:t xml:space="preserve"> и </w:t>
      </w:r>
      <w:r w:rsidRPr="00894E8F">
        <w:rPr>
          <w:rFonts w:cs="Calibri"/>
          <w:sz w:val="28"/>
          <w:szCs w:val="28"/>
          <w:lang w:val="en-US" w:eastAsia="ar-SA"/>
        </w:rPr>
        <w:t>IV</w:t>
      </w:r>
      <w:r w:rsidRPr="00894E8F">
        <w:rPr>
          <w:rFonts w:cs="Calibri"/>
          <w:sz w:val="28"/>
          <w:szCs w:val="28"/>
          <w:lang w:eastAsia="ar-SA"/>
        </w:rPr>
        <w:t xml:space="preserve"> поколений (антистрептококковые, с антисинегнойной активностью, в том числе ингибиторзащищенные) в сочетании с метронидазолом, а </w:t>
      </w:r>
      <w:r>
        <w:rPr>
          <w:rFonts w:cs="Calibri"/>
          <w:sz w:val="28"/>
          <w:szCs w:val="28"/>
          <w:lang w:eastAsia="ar-SA"/>
        </w:rPr>
        <w:t>также</w:t>
      </w:r>
      <w:r w:rsidRPr="00894E8F">
        <w:rPr>
          <w:rFonts w:cs="Calibri"/>
          <w:sz w:val="28"/>
          <w:szCs w:val="28"/>
          <w:lang w:eastAsia="ar-SA"/>
        </w:rPr>
        <w:t xml:space="preserve"> меропенем. Каких-либо существенных осложнений, ассоциируемых непо</w:t>
      </w:r>
      <w:r w:rsidRPr="00894E8F">
        <w:rPr>
          <w:rFonts w:cs="Calibri"/>
          <w:sz w:val="28"/>
          <w:szCs w:val="28"/>
          <w:lang w:eastAsia="ar-SA"/>
        </w:rPr>
        <w:lastRenderedPageBreak/>
        <w:t>средственно с проведением антибактериальной терапии (шоковые аллергические реакции, прямое токсическое действие), у пациентов основной группы не диагностировано. Эффективность антибактериальной терапии, оцениваемая в совокупности с эффективностью оперативного лечения и иных компонентов многокомпонентной терапии гнойно-воспалительных процессов челюстно-лицевой области, представлена в соответствующем разделе (результаты лечения).</w:t>
      </w:r>
    </w:p>
    <w:p w:rsidR="00286780" w:rsidRPr="00894E8F" w:rsidRDefault="00286780" w:rsidP="00894E8F">
      <w:pPr>
        <w:spacing w:line="360" w:lineRule="auto"/>
        <w:ind w:firstLine="709"/>
        <w:jc w:val="both"/>
        <w:rPr>
          <w:rFonts w:cs="Calibri"/>
          <w:sz w:val="28"/>
          <w:szCs w:val="28"/>
          <w:lang w:eastAsia="ar-SA"/>
        </w:rPr>
      </w:pPr>
      <w:r w:rsidRPr="00894E8F">
        <w:rPr>
          <w:rFonts w:cs="Calibri"/>
          <w:sz w:val="28"/>
          <w:szCs w:val="28"/>
          <w:lang w:eastAsia="ar-SA"/>
        </w:rPr>
        <w:t>Кроме представленной выше антибиотикотерапии, пациенты основной группы с одонтогенным сепсисом (</w:t>
      </w:r>
      <w:r w:rsidRPr="00894E8F">
        <w:rPr>
          <w:rFonts w:cs="Calibri"/>
          <w:sz w:val="28"/>
          <w:szCs w:val="28"/>
          <w:lang w:val="en-US" w:eastAsia="ar-SA"/>
        </w:rPr>
        <w:t>n</w:t>
      </w:r>
      <w:r>
        <w:rPr>
          <w:rFonts w:cs="Calibri"/>
          <w:sz w:val="28"/>
          <w:szCs w:val="28"/>
          <w:lang w:eastAsia="ar-SA"/>
        </w:rPr>
        <w:t>=9</w:t>
      </w:r>
      <w:r w:rsidRPr="00894E8F">
        <w:rPr>
          <w:rFonts w:cs="Calibri"/>
          <w:sz w:val="28"/>
          <w:szCs w:val="28"/>
          <w:lang w:eastAsia="ar-SA"/>
        </w:rPr>
        <w:t xml:space="preserve">) получали многокомпонентную интенсивную терапию, включающую инфузионную терапию, профилактику венозных тромбоэмболий (гепарин или фраксипарин в профилактических дозах), антагонисты протонной помпы (омепразол) для профилактики образования стрессовых язв, вазоактивные препараты и ИВЛ по показаниям, седацию и анальгезию, парентеральное и энтеральное питание. </w:t>
      </w:r>
    </w:p>
    <w:p w:rsidR="00ED67A7" w:rsidRDefault="00286780" w:rsidP="00894E8F">
      <w:pPr>
        <w:spacing w:line="360" w:lineRule="auto"/>
        <w:ind w:firstLine="709"/>
        <w:jc w:val="both"/>
        <w:rPr>
          <w:rFonts w:cs="Calibri"/>
          <w:sz w:val="28"/>
          <w:szCs w:val="28"/>
          <w:lang w:eastAsia="ar-SA"/>
        </w:rPr>
      </w:pPr>
      <w:r w:rsidRPr="00894E8F">
        <w:rPr>
          <w:rFonts w:cs="Calibri"/>
          <w:sz w:val="28"/>
          <w:szCs w:val="28"/>
          <w:lang w:eastAsia="ar-SA"/>
        </w:rPr>
        <w:t>Инфузионная терапия выполнялась по показаниям, определяемым анестезиологом реаниматологом, с учетом показателей гемодинамики и водно-электролитного баланса, включала кристаллоиды (физиологический раствор хлорида натрия), сбалансированные растворы электролитов (стереофундин), иные растворы электролитов по показаниям (хлорид кальция 10%-й, хлорид калия 4%-й), растворы глюкозы (5%-й, 10%-й), раст</w:t>
      </w:r>
      <w:r w:rsidR="00ED67A7">
        <w:rPr>
          <w:rFonts w:cs="Calibri"/>
          <w:sz w:val="28"/>
          <w:szCs w:val="28"/>
          <w:lang w:eastAsia="ar-SA"/>
        </w:rPr>
        <w:t>вор гидрокарбоната натрия 4%-й.</w:t>
      </w:r>
    </w:p>
    <w:p w:rsidR="00286780" w:rsidRPr="00894E8F" w:rsidRDefault="00286780" w:rsidP="00894E8F">
      <w:pPr>
        <w:spacing w:line="360" w:lineRule="auto"/>
        <w:ind w:firstLine="709"/>
        <w:jc w:val="both"/>
        <w:rPr>
          <w:rFonts w:cs="Calibri"/>
          <w:sz w:val="28"/>
          <w:szCs w:val="28"/>
          <w:lang w:eastAsia="ar-SA"/>
        </w:rPr>
      </w:pPr>
      <w:r w:rsidRPr="00894E8F">
        <w:rPr>
          <w:rFonts w:cs="Calibri"/>
          <w:sz w:val="28"/>
          <w:szCs w:val="28"/>
          <w:lang w:eastAsia="ar-SA"/>
        </w:rPr>
        <w:t>Гемотрансфузия (переливание эритроцитарной массы) выполнялась при уровне гемоглобина менее 70 г/л. Специальные иммунокорригирующие и иммунотропные препараты в основной (и контрольной) группе не использовались.</w:t>
      </w:r>
    </w:p>
    <w:p w:rsidR="00286780" w:rsidRDefault="00286780" w:rsidP="00C166D6">
      <w:pPr>
        <w:spacing w:line="360" w:lineRule="auto"/>
        <w:ind w:firstLine="709"/>
        <w:jc w:val="both"/>
        <w:rPr>
          <w:rFonts w:cs="Calibri"/>
          <w:sz w:val="28"/>
          <w:szCs w:val="28"/>
          <w:lang w:eastAsia="ar-SA"/>
        </w:rPr>
      </w:pPr>
      <w:r w:rsidRPr="00894E8F">
        <w:rPr>
          <w:rFonts w:cs="Calibri"/>
          <w:sz w:val="28"/>
          <w:szCs w:val="28"/>
          <w:lang w:eastAsia="ar-SA"/>
        </w:rPr>
        <w:t>В целом, антибактериальная терапия и интенсивная терапия (в случае ОС) выполнялась в соответствии с современными рекомендациями по лечению одонтогенной инфекции и хирургического сепсиса. Учитывалось наличие фоновых заболеваний: исключены нефротоксичные препараты при патологии почек, гепатотоксичные препараты при заболеваниях печени, у пациентов с почечной патологией выполнена коррекция дозировки анти</w:t>
      </w:r>
      <w:r w:rsidR="00ED67A7">
        <w:rPr>
          <w:rFonts w:cs="Calibri"/>
          <w:sz w:val="28"/>
          <w:szCs w:val="28"/>
          <w:lang w:eastAsia="ar-SA"/>
        </w:rPr>
        <w:t xml:space="preserve">биотика по клиренсу креатинина. </w:t>
      </w:r>
      <w:r w:rsidRPr="00894E8F">
        <w:rPr>
          <w:rFonts w:cs="Calibri"/>
          <w:sz w:val="28"/>
          <w:szCs w:val="28"/>
          <w:lang w:eastAsia="ar-SA"/>
        </w:rPr>
        <w:t>Не использовались коллоидные растворы гидроксиэтилкрахмала.</w:t>
      </w:r>
    </w:p>
    <w:p w:rsidR="00C166D6" w:rsidRPr="00C166D6" w:rsidRDefault="00C166D6" w:rsidP="00C166D6">
      <w:pPr>
        <w:spacing w:line="360" w:lineRule="auto"/>
        <w:ind w:firstLine="709"/>
        <w:jc w:val="both"/>
        <w:rPr>
          <w:rFonts w:cs="Calibri"/>
          <w:sz w:val="28"/>
          <w:szCs w:val="28"/>
          <w:lang w:eastAsia="ar-SA"/>
        </w:rPr>
      </w:pPr>
    </w:p>
    <w:p w:rsidR="00286780" w:rsidRPr="00FD18C9" w:rsidRDefault="00286780" w:rsidP="00FD18C9">
      <w:pPr>
        <w:pStyle w:val="20"/>
        <w:spacing w:line="360" w:lineRule="auto"/>
        <w:jc w:val="both"/>
      </w:pPr>
      <w:bookmarkStart w:id="33" w:name="_Toc67905715"/>
      <w:r w:rsidRPr="00FE6318">
        <w:lastRenderedPageBreak/>
        <w:t>5.5. Результаты применения разработанных алгоритма обследования и программы комплексного многокомпонентного лечения. Клинические примеры</w:t>
      </w:r>
      <w:bookmarkEnd w:id="33"/>
    </w:p>
    <w:p w:rsidR="00286780" w:rsidRPr="00FE6318" w:rsidRDefault="00286780" w:rsidP="00ED67A7">
      <w:pPr>
        <w:spacing w:line="360" w:lineRule="auto"/>
        <w:ind w:firstLine="709"/>
        <w:jc w:val="both"/>
        <w:rPr>
          <w:rFonts w:cs="Calibri"/>
          <w:sz w:val="28"/>
          <w:szCs w:val="28"/>
          <w:lang w:eastAsia="ar-SA"/>
        </w:rPr>
      </w:pPr>
      <w:r w:rsidRPr="00FE6318">
        <w:rPr>
          <w:rFonts w:cs="Calibri"/>
          <w:sz w:val="28"/>
          <w:szCs w:val="28"/>
          <w:lang w:eastAsia="ar-SA"/>
        </w:rPr>
        <w:t xml:space="preserve">Сравнительная характеристика практических результатов диагностики и лечения пациентов </w:t>
      </w:r>
      <w:r w:rsidRPr="00FE6318">
        <w:rPr>
          <w:rFonts w:cs="Calibri"/>
          <w:i/>
          <w:sz w:val="28"/>
          <w:szCs w:val="28"/>
          <w:lang w:eastAsia="ar-SA"/>
        </w:rPr>
        <w:t>основной</w:t>
      </w:r>
      <w:r w:rsidRPr="00FE6318">
        <w:rPr>
          <w:rFonts w:cs="Calibri"/>
          <w:sz w:val="28"/>
          <w:szCs w:val="28"/>
          <w:lang w:eastAsia="ar-SA"/>
        </w:rPr>
        <w:t xml:space="preserve"> и </w:t>
      </w:r>
      <w:r w:rsidRPr="00FE6318">
        <w:rPr>
          <w:rFonts w:cs="Calibri"/>
          <w:i/>
          <w:sz w:val="28"/>
          <w:szCs w:val="28"/>
          <w:lang w:eastAsia="ar-SA"/>
        </w:rPr>
        <w:t>контрольной</w:t>
      </w:r>
      <w:r>
        <w:rPr>
          <w:rFonts w:cs="Calibri"/>
          <w:sz w:val="28"/>
          <w:szCs w:val="28"/>
          <w:lang w:eastAsia="ar-SA"/>
        </w:rPr>
        <w:t xml:space="preserve"> групп представлена в Таблице 71</w:t>
      </w:r>
      <w:r w:rsidRPr="00FE6318">
        <w:rPr>
          <w:rFonts w:cs="Calibri"/>
          <w:sz w:val="28"/>
          <w:szCs w:val="28"/>
          <w:lang w:eastAsia="ar-SA"/>
        </w:rPr>
        <w:t>.</w:t>
      </w:r>
    </w:p>
    <w:p w:rsidR="00286780" w:rsidRPr="00FE6318" w:rsidRDefault="00286780" w:rsidP="00FE6318">
      <w:pPr>
        <w:spacing w:after="120"/>
        <w:jc w:val="both"/>
        <w:rPr>
          <w:sz w:val="28"/>
          <w:szCs w:val="28"/>
        </w:rPr>
      </w:pPr>
      <w:r w:rsidRPr="00FE6318">
        <w:rPr>
          <w:b/>
          <w:sz w:val="28"/>
          <w:szCs w:val="28"/>
        </w:rPr>
        <w:t xml:space="preserve">Таблица </w:t>
      </w:r>
      <w:r>
        <w:rPr>
          <w:b/>
          <w:sz w:val="28"/>
          <w:szCs w:val="28"/>
        </w:rPr>
        <w:t>71</w:t>
      </w:r>
      <w:r w:rsidRPr="00FE6318">
        <w:rPr>
          <w:sz w:val="28"/>
          <w:szCs w:val="28"/>
        </w:rPr>
        <w:t xml:space="preserve"> – Результаты диагностики и лечения</w:t>
      </w:r>
    </w:p>
    <w:tbl>
      <w:tblPr>
        <w:tblW w:w="9923" w:type="dxa"/>
        <w:tblLayout w:type="fixed"/>
        <w:tblLook w:val="0000" w:firstRow="0" w:lastRow="0" w:firstColumn="0" w:lastColumn="0" w:noHBand="0" w:noVBand="0"/>
      </w:tblPr>
      <w:tblGrid>
        <w:gridCol w:w="4848"/>
        <w:gridCol w:w="2551"/>
        <w:gridCol w:w="2524"/>
      </w:tblGrid>
      <w:tr w:rsidR="00286780" w:rsidRPr="00FE6318" w:rsidTr="00AA79AB">
        <w:trPr>
          <w:trHeight w:val="227"/>
        </w:trPr>
        <w:tc>
          <w:tcPr>
            <w:tcW w:w="4848" w:type="dxa"/>
            <w:vMerge w:val="restart"/>
            <w:tcBorders>
              <w:top w:val="single" w:sz="4" w:space="0" w:color="000000"/>
              <w:left w:val="single" w:sz="4" w:space="0" w:color="000000"/>
              <w:bottom w:val="single" w:sz="4" w:space="0" w:color="000000"/>
            </w:tcBorders>
            <w:tcMar>
              <w:left w:w="28" w:type="dxa"/>
              <w:right w:w="28" w:type="dxa"/>
            </w:tcMar>
            <w:vAlign w:val="center"/>
          </w:tcPr>
          <w:p w:rsidR="00286780" w:rsidRPr="00FE6318" w:rsidRDefault="00286780" w:rsidP="00FE6318">
            <w:pPr>
              <w:snapToGrid w:val="0"/>
              <w:jc w:val="center"/>
              <w:rPr>
                <w:rFonts w:cs="Calibri"/>
                <w:i/>
                <w:spacing w:val="-4"/>
                <w:sz w:val="24"/>
                <w:szCs w:val="24"/>
                <w:lang w:eastAsia="ar-SA"/>
              </w:rPr>
            </w:pPr>
            <w:r w:rsidRPr="00FE6318">
              <w:rPr>
                <w:rFonts w:cs="Calibri"/>
                <w:i/>
                <w:spacing w:val="-4"/>
                <w:sz w:val="24"/>
                <w:szCs w:val="24"/>
                <w:lang w:eastAsia="ar-SA"/>
              </w:rPr>
              <w:t>Показатели</w:t>
            </w:r>
          </w:p>
        </w:tc>
        <w:tc>
          <w:tcPr>
            <w:tcW w:w="5075" w:type="dxa"/>
            <w:gridSpan w:val="2"/>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FE6318" w:rsidRDefault="00286780" w:rsidP="00FE6318">
            <w:pPr>
              <w:snapToGrid w:val="0"/>
              <w:jc w:val="center"/>
              <w:rPr>
                <w:rFonts w:cs="Calibri"/>
                <w:i/>
                <w:spacing w:val="-4"/>
                <w:sz w:val="24"/>
                <w:szCs w:val="24"/>
                <w:lang w:eastAsia="ar-SA"/>
              </w:rPr>
            </w:pPr>
            <w:r w:rsidRPr="00FE6318">
              <w:rPr>
                <w:rFonts w:cs="Calibri"/>
                <w:i/>
                <w:spacing w:val="-4"/>
                <w:sz w:val="24"/>
                <w:szCs w:val="24"/>
                <w:lang w:eastAsia="ar-SA"/>
              </w:rPr>
              <w:t>Группы больных</w:t>
            </w:r>
          </w:p>
        </w:tc>
      </w:tr>
      <w:tr w:rsidR="00286780" w:rsidRPr="00FE6318" w:rsidTr="00AA79AB">
        <w:trPr>
          <w:trHeight w:val="227"/>
        </w:trPr>
        <w:tc>
          <w:tcPr>
            <w:tcW w:w="4848" w:type="dxa"/>
            <w:vMerge/>
            <w:tcBorders>
              <w:top w:val="single" w:sz="4" w:space="0" w:color="000000"/>
              <w:left w:val="single" w:sz="4" w:space="0" w:color="000000"/>
              <w:bottom w:val="single" w:sz="4" w:space="0" w:color="000000"/>
            </w:tcBorders>
            <w:tcMar>
              <w:left w:w="28" w:type="dxa"/>
              <w:right w:w="28" w:type="dxa"/>
            </w:tcMar>
          </w:tcPr>
          <w:p w:rsidR="00286780" w:rsidRPr="00FE6318" w:rsidRDefault="00286780" w:rsidP="00FE6318">
            <w:pPr>
              <w:snapToGrid w:val="0"/>
              <w:jc w:val="center"/>
              <w:rPr>
                <w:rFonts w:cs="Calibri"/>
                <w:spacing w:val="-4"/>
                <w:sz w:val="24"/>
                <w:szCs w:val="24"/>
                <w:lang w:eastAsia="ar-SA"/>
              </w:rPr>
            </w:pPr>
          </w:p>
        </w:tc>
        <w:tc>
          <w:tcPr>
            <w:tcW w:w="2551" w:type="dxa"/>
            <w:tcBorders>
              <w:top w:val="single" w:sz="4" w:space="0" w:color="000000"/>
              <w:left w:val="single" w:sz="4" w:space="0" w:color="000000"/>
              <w:bottom w:val="single" w:sz="4" w:space="0" w:color="000000"/>
            </w:tcBorders>
            <w:tcMar>
              <w:left w:w="28" w:type="dxa"/>
              <w:right w:w="28" w:type="dxa"/>
            </w:tcMar>
          </w:tcPr>
          <w:p w:rsidR="00286780" w:rsidRPr="00FE6318" w:rsidRDefault="00286780" w:rsidP="00FE6318">
            <w:pPr>
              <w:snapToGrid w:val="0"/>
              <w:jc w:val="center"/>
              <w:rPr>
                <w:rFonts w:cs="Calibri"/>
                <w:spacing w:val="-4"/>
                <w:sz w:val="24"/>
                <w:szCs w:val="24"/>
                <w:lang w:eastAsia="ar-SA"/>
              </w:rPr>
            </w:pPr>
            <w:r w:rsidRPr="00FE6318">
              <w:rPr>
                <w:rFonts w:cs="Calibri"/>
                <w:spacing w:val="-4"/>
                <w:sz w:val="24"/>
                <w:szCs w:val="24"/>
                <w:lang w:eastAsia="ar-SA"/>
              </w:rPr>
              <w:t>Основная (</w:t>
            </w:r>
            <w:r w:rsidRPr="00FE6318">
              <w:rPr>
                <w:rFonts w:cs="Calibri"/>
                <w:spacing w:val="-4"/>
                <w:sz w:val="24"/>
                <w:szCs w:val="24"/>
                <w:lang w:val="en-US" w:eastAsia="ar-SA"/>
              </w:rPr>
              <w:t>n=</w:t>
            </w:r>
            <w:r>
              <w:rPr>
                <w:rFonts w:cs="Calibri"/>
                <w:spacing w:val="-4"/>
                <w:sz w:val="24"/>
                <w:szCs w:val="24"/>
                <w:lang w:eastAsia="ar-SA"/>
              </w:rPr>
              <w:t>40</w:t>
            </w:r>
            <w:r w:rsidRPr="00FE6318">
              <w:rPr>
                <w:rFonts w:cs="Calibri"/>
                <w:spacing w:val="-4"/>
                <w:sz w:val="24"/>
                <w:szCs w:val="24"/>
                <w:lang w:eastAsia="ar-SA"/>
              </w:rPr>
              <w:t>)</w:t>
            </w:r>
          </w:p>
        </w:tc>
        <w:tc>
          <w:tcPr>
            <w:tcW w:w="2524" w:type="dxa"/>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FE6318" w:rsidRDefault="00286780" w:rsidP="00FE6318">
            <w:pPr>
              <w:snapToGrid w:val="0"/>
              <w:jc w:val="center"/>
              <w:rPr>
                <w:rFonts w:cs="Calibri"/>
                <w:spacing w:val="-4"/>
                <w:sz w:val="24"/>
                <w:szCs w:val="24"/>
                <w:lang w:val="en-US" w:eastAsia="ar-SA"/>
              </w:rPr>
            </w:pPr>
            <w:r w:rsidRPr="00FE6318">
              <w:rPr>
                <w:rFonts w:cs="Calibri"/>
                <w:spacing w:val="-4"/>
                <w:sz w:val="24"/>
                <w:szCs w:val="24"/>
                <w:lang w:eastAsia="ar-SA"/>
              </w:rPr>
              <w:t>Контрольная (</w:t>
            </w:r>
            <w:r w:rsidRPr="00FE6318">
              <w:rPr>
                <w:rFonts w:cs="Calibri"/>
                <w:spacing w:val="-4"/>
                <w:sz w:val="24"/>
                <w:szCs w:val="24"/>
                <w:lang w:val="en-US" w:eastAsia="ar-SA"/>
              </w:rPr>
              <w:t>n=</w:t>
            </w:r>
            <w:r>
              <w:rPr>
                <w:rFonts w:cs="Calibri"/>
                <w:spacing w:val="-4"/>
                <w:sz w:val="24"/>
                <w:szCs w:val="24"/>
                <w:lang w:eastAsia="ar-SA"/>
              </w:rPr>
              <w:t>42</w:t>
            </w:r>
            <w:r w:rsidRPr="00FE6318">
              <w:rPr>
                <w:rFonts w:cs="Calibri"/>
                <w:spacing w:val="-4"/>
                <w:sz w:val="24"/>
                <w:szCs w:val="24"/>
                <w:lang w:val="en-US" w:eastAsia="ar-SA"/>
              </w:rPr>
              <w:t>)</w:t>
            </w:r>
          </w:p>
        </w:tc>
      </w:tr>
      <w:tr w:rsidR="00286780" w:rsidRPr="00FE6318" w:rsidTr="00AA79AB">
        <w:trPr>
          <w:trHeight w:val="454"/>
        </w:trPr>
        <w:tc>
          <w:tcPr>
            <w:tcW w:w="4848" w:type="dxa"/>
            <w:tcBorders>
              <w:top w:val="single" w:sz="4" w:space="0" w:color="000000"/>
              <w:left w:val="single" w:sz="4" w:space="0" w:color="000000"/>
              <w:bottom w:val="single" w:sz="4" w:space="0" w:color="000000"/>
            </w:tcBorders>
            <w:tcMar>
              <w:left w:w="28" w:type="dxa"/>
              <w:right w:w="28" w:type="dxa"/>
            </w:tcMar>
            <w:vAlign w:val="center"/>
          </w:tcPr>
          <w:p w:rsidR="00286780" w:rsidRPr="00FE6318" w:rsidRDefault="00286780" w:rsidP="00FE6318">
            <w:pPr>
              <w:snapToGrid w:val="0"/>
              <w:rPr>
                <w:rFonts w:cs="Calibri"/>
                <w:spacing w:val="-4"/>
                <w:sz w:val="24"/>
                <w:szCs w:val="24"/>
                <w:lang w:eastAsia="ar-SA"/>
              </w:rPr>
            </w:pPr>
            <w:r w:rsidRPr="00FE6318">
              <w:rPr>
                <w:rFonts w:cs="Calibri"/>
                <w:spacing w:val="-4"/>
                <w:sz w:val="24"/>
                <w:szCs w:val="24"/>
                <w:lang w:eastAsia="ar-SA"/>
              </w:rPr>
              <w:t>Эффективность ранней диагностики** (%)</w:t>
            </w:r>
          </w:p>
        </w:tc>
        <w:tc>
          <w:tcPr>
            <w:tcW w:w="2551" w:type="dxa"/>
            <w:tcBorders>
              <w:top w:val="single" w:sz="4" w:space="0" w:color="000000"/>
              <w:left w:val="single" w:sz="4" w:space="0" w:color="000000"/>
              <w:bottom w:val="single" w:sz="4" w:space="0" w:color="000000"/>
            </w:tcBorders>
            <w:tcMar>
              <w:left w:w="28" w:type="dxa"/>
              <w:right w:w="28" w:type="dxa"/>
            </w:tcMar>
            <w:vAlign w:val="center"/>
          </w:tcPr>
          <w:p w:rsidR="00286780" w:rsidRPr="00FE6318" w:rsidRDefault="00286780" w:rsidP="00FE6318">
            <w:pPr>
              <w:snapToGrid w:val="0"/>
              <w:jc w:val="center"/>
              <w:rPr>
                <w:rFonts w:cs="Calibri"/>
                <w:spacing w:val="-4"/>
                <w:sz w:val="24"/>
                <w:szCs w:val="24"/>
                <w:lang w:eastAsia="ar-SA"/>
              </w:rPr>
            </w:pPr>
            <w:r>
              <w:rPr>
                <w:rFonts w:cs="Calibri"/>
                <w:spacing w:val="-4"/>
                <w:sz w:val="24"/>
                <w:szCs w:val="24"/>
                <w:lang w:eastAsia="ar-SA"/>
              </w:rPr>
              <w:t>97,5</w:t>
            </w:r>
            <w:r w:rsidRPr="00FE6318">
              <w:rPr>
                <w:rFonts w:cs="Calibri"/>
                <w:spacing w:val="-4"/>
                <w:sz w:val="24"/>
                <w:szCs w:val="24"/>
                <w:lang w:eastAsia="ar-SA"/>
              </w:rPr>
              <w:t>*</w:t>
            </w:r>
          </w:p>
        </w:tc>
        <w:tc>
          <w:tcPr>
            <w:tcW w:w="252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FE6318" w:rsidRDefault="00286780" w:rsidP="00FE6318">
            <w:pPr>
              <w:snapToGrid w:val="0"/>
              <w:jc w:val="center"/>
              <w:rPr>
                <w:rFonts w:cs="Calibri"/>
                <w:spacing w:val="-4"/>
                <w:sz w:val="24"/>
                <w:szCs w:val="24"/>
                <w:lang w:eastAsia="ar-SA"/>
              </w:rPr>
            </w:pPr>
            <w:r>
              <w:rPr>
                <w:rFonts w:cs="Calibri"/>
                <w:spacing w:val="-4"/>
                <w:sz w:val="24"/>
                <w:szCs w:val="24"/>
                <w:lang w:eastAsia="ar-SA"/>
              </w:rPr>
              <w:t>69</w:t>
            </w:r>
          </w:p>
        </w:tc>
      </w:tr>
      <w:tr w:rsidR="00286780" w:rsidRPr="00FE6318" w:rsidTr="00AA79AB">
        <w:trPr>
          <w:trHeight w:val="454"/>
        </w:trPr>
        <w:tc>
          <w:tcPr>
            <w:tcW w:w="4848" w:type="dxa"/>
            <w:tcBorders>
              <w:top w:val="single" w:sz="4" w:space="0" w:color="000000"/>
              <w:left w:val="single" w:sz="4" w:space="0" w:color="000000"/>
              <w:bottom w:val="single" w:sz="4" w:space="0" w:color="000000"/>
            </w:tcBorders>
            <w:tcMar>
              <w:left w:w="28" w:type="dxa"/>
              <w:right w:w="28" w:type="dxa"/>
            </w:tcMar>
            <w:vAlign w:val="center"/>
          </w:tcPr>
          <w:p w:rsidR="00286780" w:rsidRPr="00FE6318" w:rsidRDefault="00286780" w:rsidP="00FE6318">
            <w:pPr>
              <w:snapToGrid w:val="0"/>
              <w:rPr>
                <w:rFonts w:cs="Calibri"/>
                <w:spacing w:val="-4"/>
                <w:sz w:val="24"/>
                <w:szCs w:val="24"/>
                <w:lang w:eastAsia="ar-SA"/>
              </w:rPr>
            </w:pPr>
            <w:r w:rsidRPr="00FE6318">
              <w:rPr>
                <w:rFonts w:cs="Calibri"/>
                <w:spacing w:val="-4"/>
                <w:sz w:val="24"/>
                <w:szCs w:val="24"/>
                <w:lang w:eastAsia="ar-SA"/>
              </w:rPr>
              <w:t>Гнойно-воспалительные осложнения*** (%)</w:t>
            </w:r>
          </w:p>
        </w:tc>
        <w:tc>
          <w:tcPr>
            <w:tcW w:w="2551" w:type="dxa"/>
            <w:tcBorders>
              <w:top w:val="single" w:sz="4" w:space="0" w:color="000000"/>
              <w:left w:val="single" w:sz="4" w:space="0" w:color="000000"/>
              <w:bottom w:val="single" w:sz="4" w:space="0" w:color="000000"/>
            </w:tcBorders>
            <w:tcMar>
              <w:left w:w="28" w:type="dxa"/>
              <w:right w:w="28" w:type="dxa"/>
            </w:tcMar>
            <w:vAlign w:val="center"/>
          </w:tcPr>
          <w:p w:rsidR="00286780" w:rsidRPr="00FE6318" w:rsidRDefault="00286780" w:rsidP="00FE6318">
            <w:pPr>
              <w:snapToGrid w:val="0"/>
              <w:jc w:val="center"/>
              <w:rPr>
                <w:rFonts w:cs="Calibri"/>
                <w:spacing w:val="-4"/>
                <w:sz w:val="24"/>
                <w:szCs w:val="24"/>
                <w:lang w:eastAsia="ar-SA"/>
              </w:rPr>
            </w:pPr>
            <w:r>
              <w:rPr>
                <w:rFonts w:cs="Calibri"/>
                <w:spacing w:val="-4"/>
                <w:sz w:val="24"/>
                <w:szCs w:val="24"/>
                <w:lang w:eastAsia="ar-SA"/>
              </w:rPr>
              <w:t>7,5</w:t>
            </w:r>
            <w:r w:rsidRPr="00FE6318">
              <w:rPr>
                <w:rFonts w:cs="Calibri"/>
                <w:spacing w:val="-4"/>
                <w:sz w:val="24"/>
                <w:szCs w:val="24"/>
                <w:lang w:eastAsia="ar-SA"/>
              </w:rPr>
              <w:t>*</w:t>
            </w:r>
          </w:p>
        </w:tc>
        <w:tc>
          <w:tcPr>
            <w:tcW w:w="252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FE6318" w:rsidRDefault="00286780" w:rsidP="00FE6318">
            <w:pPr>
              <w:snapToGrid w:val="0"/>
              <w:jc w:val="center"/>
              <w:rPr>
                <w:rFonts w:cs="Calibri"/>
                <w:spacing w:val="-4"/>
                <w:sz w:val="24"/>
                <w:szCs w:val="24"/>
                <w:lang w:eastAsia="ar-SA"/>
              </w:rPr>
            </w:pPr>
            <w:r>
              <w:rPr>
                <w:rFonts w:cs="Calibri"/>
                <w:spacing w:val="-4"/>
                <w:sz w:val="24"/>
                <w:szCs w:val="24"/>
                <w:lang w:eastAsia="ar-SA"/>
              </w:rPr>
              <w:t>33,3</w:t>
            </w:r>
          </w:p>
        </w:tc>
      </w:tr>
      <w:tr w:rsidR="00286780" w:rsidRPr="00FE6318" w:rsidTr="00AA79AB">
        <w:trPr>
          <w:trHeight w:val="454"/>
        </w:trPr>
        <w:tc>
          <w:tcPr>
            <w:tcW w:w="4848" w:type="dxa"/>
            <w:tcBorders>
              <w:top w:val="single" w:sz="4" w:space="0" w:color="000000"/>
              <w:left w:val="single" w:sz="4" w:space="0" w:color="000000"/>
              <w:bottom w:val="single" w:sz="4" w:space="0" w:color="000000"/>
            </w:tcBorders>
            <w:tcMar>
              <w:left w:w="28" w:type="dxa"/>
              <w:right w:w="28" w:type="dxa"/>
            </w:tcMar>
            <w:vAlign w:val="center"/>
          </w:tcPr>
          <w:p w:rsidR="00286780" w:rsidRPr="00FE6318" w:rsidRDefault="00286780" w:rsidP="00FE6318">
            <w:pPr>
              <w:snapToGrid w:val="0"/>
              <w:rPr>
                <w:rFonts w:cs="Calibri"/>
                <w:spacing w:val="-4"/>
                <w:sz w:val="24"/>
                <w:szCs w:val="24"/>
                <w:lang w:eastAsia="ar-SA"/>
              </w:rPr>
            </w:pPr>
            <w:r w:rsidRPr="00FE6318">
              <w:rPr>
                <w:rFonts w:cs="Calibri"/>
                <w:spacing w:val="-4"/>
                <w:sz w:val="24"/>
                <w:szCs w:val="24"/>
                <w:lang w:eastAsia="ar-SA"/>
              </w:rPr>
              <w:t>Летальность (%)</w:t>
            </w:r>
          </w:p>
        </w:tc>
        <w:tc>
          <w:tcPr>
            <w:tcW w:w="2551" w:type="dxa"/>
            <w:tcBorders>
              <w:top w:val="single" w:sz="4" w:space="0" w:color="000000"/>
              <w:left w:val="single" w:sz="4" w:space="0" w:color="000000"/>
              <w:bottom w:val="single" w:sz="4" w:space="0" w:color="000000"/>
            </w:tcBorders>
            <w:tcMar>
              <w:left w:w="28" w:type="dxa"/>
              <w:right w:w="28" w:type="dxa"/>
            </w:tcMar>
            <w:vAlign w:val="center"/>
          </w:tcPr>
          <w:p w:rsidR="00286780" w:rsidRPr="00FE6318" w:rsidRDefault="00286780" w:rsidP="00FE6318">
            <w:pPr>
              <w:snapToGrid w:val="0"/>
              <w:jc w:val="center"/>
              <w:rPr>
                <w:rFonts w:cs="Calibri"/>
                <w:spacing w:val="-4"/>
                <w:sz w:val="24"/>
                <w:szCs w:val="24"/>
                <w:lang w:eastAsia="ar-SA"/>
              </w:rPr>
            </w:pPr>
            <w:r>
              <w:rPr>
                <w:rFonts w:cs="Calibri"/>
                <w:spacing w:val="-4"/>
                <w:sz w:val="24"/>
                <w:szCs w:val="24"/>
                <w:lang w:eastAsia="ar-SA"/>
              </w:rPr>
              <w:t>2,5</w:t>
            </w:r>
            <w:r w:rsidRPr="00FE6318">
              <w:rPr>
                <w:rFonts w:cs="Calibri"/>
                <w:spacing w:val="-4"/>
                <w:sz w:val="24"/>
                <w:szCs w:val="24"/>
                <w:lang w:eastAsia="ar-SA"/>
              </w:rPr>
              <w:t>*</w:t>
            </w:r>
          </w:p>
        </w:tc>
        <w:tc>
          <w:tcPr>
            <w:tcW w:w="252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286780" w:rsidRPr="00FE6318" w:rsidRDefault="00286780" w:rsidP="00FE6318">
            <w:pPr>
              <w:snapToGrid w:val="0"/>
              <w:jc w:val="center"/>
              <w:rPr>
                <w:rFonts w:cs="Calibri"/>
                <w:spacing w:val="-4"/>
                <w:sz w:val="24"/>
                <w:szCs w:val="24"/>
                <w:lang w:eastAsia="ar-SA"/>
              </w:rPr>
            </w:pPr>
            <w:r>
              <w:rPr>
                <w:rFonts w:cs="Calibri"/>
                <w:spacing w:val="-4"/>
                <w:sz w:val="24"/>
                <w:szCs w:val="24"/>
                <w:lang w:eastAsia="ar-SA"/>
              </w:rPr>
              <w:t>16,7</w:t>
            </w:r>
          </w:p>
        </w:tc>
      </w:tr>
      <w:tr w:rsidR="00286780" w:rsidRPr="00FE6318" w:rsidTr="00ED67A7">
        <w:trPr>
          <w:trHeight w:val="1234"/>
        </w:trPr>
        <w:tc>
          <w:tcPr>
            <w:tcW w:w="9923" w:type="dxa"/>
            <w:gridSpan w:val="3"/>
            <w:tcBorders>
              <w:top w:val="single" w:sz="4" w:space="0" w:color="000000"/>
              <w:left w:val="single" w:sz="4" w:space="0" w:color="000000"/>
              <w:bottom w:val="single" w:sz="4" w:space="0" w:color="000000"/>
              <w:right w:val="single" w:sz="4" w:space="0" w:color="000000"/>
            </w:tcBorders>
            <w:tcMar>
              <w:left w:w="28" w:type="dxa"/>
              <w:right w:w="28" w:type="dxa"/>
            </w:tcMar>
          </w:tcPr>
          <w:p w:rsidR="00286780" w:rsidRPr="00FE6318" w:rsidRDefault="00286780" w:rsidP="00FE6318">
            <w:pPr>
              <w:jc w:val="both"/>
              <w:rPr>
                <w:rFonts w:cs="Calibri"/>
                <w:spacing w:val="-4"/>
                <w:sz w:val="24"/>
                <w:szCs w:val="24"/>
                <w:lang w:eastAsia="ar-SA"/>
              </w:rPr>
            </w:pPr>
            <w:r w:rsidRPr="00FE6318">
              <w:rPr>
                <w:rFonts w:cs="Calibri"/>
                <w:i/>
                <w:spacing w:val="-4"/>
                <w:sz w:val="24"/>
                <w:szCs w:val="24"/>
                <w:lang w:eastAsia="ar-SA"/>
              </w:rPr>
              <w:t>Примечание</w:t>
            </w:r>
            <w:r w:rsidRPr="00FE6318">
              <w:rPr>
                <w:rFonts w:cs="Calibri"/>
                <w:spacing w:val="-4"/>
                <w:sz w:val="24"/>
                <w:szCs w:val="24"/>
                <w:lang w:eastAsia="ar-SA"/>
              </w:rPr>
              <w:t>. * – различия между группами статистически достоверны (</w:t>
            </w:r>
            <w:r w:rsidRPr="00FE6318">
              <w:rPr>
                <w:rFonts w:cs="Calibri"/>
                <w:spacing w:val="-4"/>
                <w:sz w:val="24"/>
                <w:szCs w:val="24"/>
                <w:lang w:val="en-US" w:eastAsia="ar-SA"/>
              </w:rPr>
              <w:t>p</w:t>
            </w:r>
            <w:r>
              <w:rPr>
                <w:rFonts w:cs="Calibri"/>
                <w:spacing w:val="-4"/>
                <w:sz w:val="24"/>
                <w:szCs w:val="24"/>
                <w:lang w:eastAsia="ar-SA"/>
              </w:rPr>
              <w:t>&lt;</w:t>
            </w:r>
            <w:r w:rsidRPr="00FE6318">
              <w:rPr>
                <w:rFonts w:cs="Calibri"/>
                <w:spacing w:val="-4"/>
                <w:sz w:val="24"/>
                <w:szCs w:val="24"/>
                <w:lang w:eastAsia="ar-SA"/>
              </w:rPr>
              <w:t>0,05); ** – % правильно установленных диагнозов основного заболевания при поступлении в стационар; *** –</w:t>
            </w:r>
            <w:r w:rsidRPr="00FE6318">
              <w:rPr>
                <w:spacing w:val="-4"/>
                <w:sz w:val="24"/>
                <w:szCs w:val="24"/>
                <w:lang w:eastAsia="ar-SA"/>
              </w:rPr>
              <w:t>распространение воспалительного процесса, развитие сепсиса, септического шока, медиастинита, аррозивного кровотечения, отека легких и головного мозга, острой дыхательной недостаточности</w:t>
            </w:r>
          </w:p>
        </w:tc>
      </w:tr>
    </w:tbl>
    <w:p w:rsidR="00286780" w:rsidRPr="00FE6318" w:rsidRDefault="00286780" w:rsidP="00FE6318">
      <w:pPr>
        <w:jc w:val="both"/>
        <w:rPr>
          <w:rFonts w:cs="Calibri"/>
          <w:spacing w:val="-4"/>
          <w:sz w:val="28"/>
          <w:szCs w:val="28"/>
          <w:lang w:eastAsia="ar-SA"/>
        </w:rPr>
      </w:pP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Следует отметить статистически значимый прирост эффективн</w:t>
      </w:r>
      <w:r>
        <w:rPr>
          <w:rFonts w:cs="Calibri"/>
          <w:sz w:val="28"/>
          <w:szCs w:val="28"/>
          <w:lang w:eastAsia="ar-SA"/>
        </w:rPr>
        <w:t>ости ранней диагностики (до 97,5</w:t>
      </w:r>
      <w:r w:rsidRPr="00FE6318">
        <w:rPr>
          <w:rFonts w:cs="Calibri"/>
          <w:sz w:val="28"/>
          <w:szCs w:val="28"/>
          <w:lang w:eastAsia="ar-SA"/>
        </w:rPr>
        <w:t xml:space="preserve">%), сокращение частоты гнойно-воспалительных осложнений основного заболевания (прогрессирование воспалительного процесса, развитие </w:t>
      </w:r>
      <w:r>
        <w:rPr>
          <w:rFonts w:cs="Calibri"/>
          <w:sz w:val="28"/>
          <w:szCs w:val="28"/>
          <w:lang w:eastAsia="ar-SA"/>
        </w:rPr>
        <w:t>медиастинита, распространенной флегмоны, септического шока</w:t>
      </w:r>
      <w:r w:rsidRPr="00FE6318">
        <w:rPr>
          <w:rFonts w:cs="Calibri"/>
          <w:sz w:val="28"/>
          <w:szCs w:val="28"/>
          <w:lang w:eastAsia="ar-SA"/>
        </w:rPr>
        <w:t>; до 8,6%), летально</w:t>
      </w:r>
      <w:r>
        <w:rPr>
          <w:rFonts w:cs="Calibri"/>
          <w:sz w:val="28"/>
          <w:szCs w:val="28"/>
          <w:lang w:eastAsia="ar-SA"/>
        </w:rPr>
        <w:t>сти – до 2,5</w:t>
      </w:r>
      <w:r w:rsidRPr="00FE6318">
        <w:rPr>
          <w:rFonts w:cs="Calibri"/>
          <w:sz w:val="28"/>
          <w:szCs w:val="28"/>
          <w:lang w:eastAsia="ar-SA"/>
        </w:rPr>
        <w:t>% в основной группе пациентов в сравнении с аналогичными значениями контрольной группы. Продолжительность стационарного лечения практически не изменяется (</w:t>
      </w:r>
      <w:r w:rsidRPr="00FE6318">
        <w:rPr>
          <w:rFonts w:cs="Calibri"/>
          <w:sz w:val="28"/>
          <w:szCs w:val="28"/>
          <w:lang w:val="en-US" w:eastAsia="ar-SA"/>
        </w:rPr>
        <w:t>p</w:t>
      </w:r>
      <w:r w:rsidRPr="00FE6318">
        <w:rPr>
          <w:rFonts w:cs="Calibri"/>
          <w:sz w:val="28"/>
          <w:szCs w:val="28"/>
          <w:lang w:eastAsia="ar-SA"/>
        </w:rPr>
        <w:t>&gt;0,05).</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Таким образом, можно констатировать практическую значимость разработанных </w:t>
      </w:r>
      <w:r w:rsidRPr="00FE6318">
        <w:rPr>
          <w:rFonts w:cs="Calibri"/>
          <w:i/>
          <w:sz w:val="28"/>
          <w:szCs w:val="28"/>
          <w:lang w:eastAsia="ar-SA"/>
        </w:rPr>
        <w:t xml:space="preserve">алгоритма обследования </w:t>
      </w:r>
      <w:r w:rsidRPr="00FE6318">
        <w:rPr>
          <w:rFonts w:cs="Calibri"/>
          <w:sz w:val="28"/>
          <w:szCs w:val="28"/>
          <w:lang w:eastAsia="ar-SA"/>
        </w:rPr>
        <w:t>и</w:t>
      </w:r>
      <w:r w:rsidRPr="00FE6318">
        <w:rPr>
          <w:rFonts w:cs="Calibri"/>
          <w:i/>
          <w:sz w:val="28"/>
          <w:szCs w:val="28"/>
          <w:lang w:eastAsia="ar-SA"/>
        </w:rPr>
        <w:t xml:space="preserve"> программы комплексного многокомпонентного лечения </w:t>
      </w:r>
      <w:r w:rsidRPr="00FE6318">
        <w:rPr>
          <w:rFonts w:cs="Calibri"/>
          <w:sz w:val="28"/>
          <w:szCs w:val="28"/>
          <w:lang w:eastAsia="ar-SA"/>
        </w:rPr>
        <w:t>пациентов с одонтогенными воспалительными заболеваниями челюстно-лицевой области и шеи, развивающимися при наличии фоновой полиорганной патологии и синдрома взаимного отягощения.</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Сравнительная характеристика клинико-лабораторных показателей пациентов </w:t>
      </w:r>
      <w:r w:rsidRPr="00FE6318">
        <w:rPr>
          <w:rFonts w:cs="Calibri"/>
          <w:i/>
          <w:sz w:val="28"/>
          <w:szCs w:val="28"/>
          <w:lang w:eastAsia="ar-SA"/>
        </w:rPr>
        <w:t xml:space="preserve">основной </w:t>
      </w:r>
      <w:r w:rsidRPr="00FE6318">
        <w:rPr>
          <w:rFonts w:cs="Calibri"/>
          <w:sz w:val="28"/>
          <w:szCs w:val="28"/>
          <w:lang w:eastAsia="ar-SA"/>
        </w:rPr>
        <w:t xml:space="preserve">и </w:t>
      </w:r>
      <w:r w:rsidRPr="00FE6318">
        <w:rPr>
          <w:rFonts w:cs="Calibri"/>
          <w:i/>
          <w:sz w:val="28"/>
          <w:szCs w:val="28"/>
          <w:lang w:eastAsia="ar-SA"/>
        </w:rPr>
        <w:t>контрольной</w:t>
      </w:r>
      <w:r w:rsidRPr="00FE6318">
        <w:rPr>
          <w:rFonts w:cs="Calibri"/>
          <w:sz w:val="28"/>
          <w:szCs w:val="28"/>
          <w:lang w:eastAsia="ar-SA"/>
        </w:rPr>
        <w:t xml:space="preserve"> групп при поступлении в стационар (первые сутки) и на третьи сутки госпитал</w:t>
      </w:r>
      <w:r>
        <w:rPr>
          <w:rFonts w:cs="Calibri"/>
          <w:sz w:val="28"/>
          <w:szCs w:val="28"/>
          <w:lang w:eastAsia="ar-SA"/>
        </w:rPr>
        <w:t>изации представлена в Таблице 72</w:t>
      </w:r>
      <w:r w:rsidRPr="00FE6318">
        <w:rPr>
          <w:rFonts w:cs="Calibri"/>
          <w:sz w:val="28"/>
          <w:szCs w:val="28"/>
          <w:lang w:eastAsia="ar-SA"/>
        </w:rPr>
        <w:t>.</w:t>
      </w:r>
    </w:p>
    <w:p w:rsidR="00286780" w:rsidRPr="00FE6318" w:rsidRDefault="00286780" w:rsidP="001670C1">
      <w:pPr>
        <w:spacing w:line="360" w:lineRule="auto"/>
        <w:ind w:firstLine="709"/>
        <w:jc w:val="both"/>
        <w:rPr>
          <w:rFonts w:cs="Calibri"/>
          <w:sz w:val="28"/>
          <w:szCs w:val="28"/>
          <w:lang w:eastAsia="ar-SA"/>
        </w:rPr>
      </w:pPr>
      <w:r>
        <w:rPr>
          <w:rFonts w:cs="Calibri"/>
          <w:sz w:val="28"/>
          <w:szCs w:val="28"/>
          <w:lang w:eastAsia="ar-SA"/>
        </w:rPr>
        <w:t>Из Таблицы 72</w:t>
      </w:r>
      <w:r w:rsidRPr="00FE6318">
        <w:rPr>
          <w:rFonts w:cs="Calibri"/>
          <w:sz w:val="28"/>
          <w:szCs w:val="28"/>
          <w:lang w:eastAsia="ar-SA"/>
        </w:rPr>
        <w:t xml:space="preserve"> следует, что по исследуемым клинико-лабораторным показателям пациенты основной и контрольной групп на 1-е и на 3-и сутки госпитали</w:t>
      </w:r>
      <w:r w:rsidRPr="00FE6318">
        <w:rPr>
          <w:rFonts w:cs="Calibri"/>
          <w:sz w:val="28"/>
          <w:szCs w:val="28"/>
          <w:lang w:eastAsia="ar-SA"/>
        </w:rPr>
        <w:lastRenderedPageBreak/>
        <w:t>зации статистически значимо не различаются, т. е. межгрупповых различий не определяется (</w:t>
      </w:r>
      <w:r w:rsidRPr="00FE6318">
        <w:rPr>
          <w:rFonts w:cs="Calibri"/>
          <w:sz w:val="28"/>
          <w:szCs w:val="28"/>
          <w:lang w:val="en-US" w:eastAsia="ar-SA"/>
        </w:rPr>
        <w:t>p</w:t>
      </w:r>
      <w:r>
        <w:rPr>
          <w:rFonts w:cs="Calibri"/>
          <w:sz w:val="28"/>
          <w:szCs w:val="28"/>
          <w:lang w:eastAsia="ar-SA"/>
        </w:rPr>
        <w:t>&gt;</w:t>
      </w:r>
      <w:r w:rsidRPr="00FE6318">
        <w:rPr>
          <w:rFonts w:cs="Calibri"/>
          <w:sz w:val="28"/>
          <w:szCs w:val="28"/>
          <w:lang w:eastAsia="ar-SA"/>
        </w:rPr>
        <w:t>0,05).</w:t>
      </w:r>
    </w:p>
    <w:p w:rsidR="00286780" w:rsidRPr="00FE6318" w:rsidRDefault="00286780" w:rsidP="00FE6318">
      <w:pPr>
        <w:jc w:val="both"/>
        <w:rPr>
          <w:rFonts w:cs="Calibri"/>
          <w:spacing w:val="-4"/>
          <w:sz w:val="28"/>
          <w:szCs w:val="28"/>
          <w:lang w:eastAsia="ar-SA"/>
        </w:rPr>
      </w:pPr>
    </w:p>
    <w:p w:rsidR="00286780" w:rsidRPr="00FE6318" w:rsidRDefault="00286780" w:rsidP="00FE6318">
      <w:pPr>
        <w:spacing w:after="120"/>
        <w:jc w:val="both"/>
        <w:rPr>
          <w:sz w:val="28"/>
          <w:szCs w:val="28"/>
        </w:rPr>
      </w:pPr>
      <w:r w:rsidRPr="00FE6318">
        <w:rPr>
          <w:b/>
          <w:sz w:val="28"/>
          <w:szCs w:val="28"/>
        </w:rPr>
        <w:t xml:space="preserve">Таблица </w:t>
      </w:r>
      <w:r>
        <w:rPr>
          <w:b/>
          <w:sz w:val="28"/>
          <w:szCs w:val="28"/>
        </w:rPr>
        <w:t>72</w:t>
      </w:r>
      <w:r w:rsidRPr="00FE6318">
        <w:rPr>
          <w:sz w:val="28"/>
          <w:szCs w:val="28"/>
        </w:rPr>
        <w:t xml:space="preserve"> – Клинико-лабораторные характеристики пациентов основной и контрольной групп</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6"/>
        <w:gridCol w:w="1985"/>
        <w:gridCol w:w="1843"/>
        <w:gridCol w:w="1842"/>
        <w:gridCol w:w="1957"/>
      </w:tblGrid>
      <w:tr w:rsidR="00286780" w:rsidRPr="00FE6318" w:rsidTr="00AA79AB">
        <w:trPr>
          <w:trHeight w:val="219"/>
        </w:trPr>
        <w:tc>
          <w:tcPr>
            <w:tcW w:w="2296" w:type="dxa"/>
            <w:vMerge w:val="restart"/>
            <w:tcMar>
              <w:left w:w="28" w:type="dxa"/>
              <w:right w:w="28" w:type="dxa"/>
            </w:tcMar>
            <w:vAlign w:val="center"/>
          </w:tcPr>
          <w:p w:rsidR="00286780" w:rsidRPr="00FE6318" w:rsidRDefault="00286780" w:rsidP="00FE6318">
            <w:pPr>
              <w:snapToGrid w:val="0"/>
              <w:jc w:val="center"/>
              <w:rPr>
                <w:rFonts w:cs="Calibri"/>
                <w:i/>
                <w:spacing w:val="-8"/>
                <w:sz w:val="24"/>
                <w:szCs w:val="24"/>
                <w:lang w:eastAsia="ar-SA"/>
              </w:rPr>
            </w:pPr>
            <w:r w:rsidRPr="00FE6318">
              <w:rPr>
                <w:rFonts w:cs="Calibri"/>
                <w:i/>
                <w:spacing w:val="-8"/>
                <w:sz w:val="24"/>
                <w:szCs w:val="24"/>
                <w:lang w:eastAsia="ar-SA"/>
              </w:rPr>
              <w:t>Показатели</w:t>
            </w:r>
          </w:p>
        </w:tc>
        <w:tc>
          <w:tcPr>
            <w:tcW w:w="7627" w:type="dxa"/>
            <w:gridSpan w:val="4"/>
            <w:tcMar>
              <w:left w:w="28" w:type="dxa"/>
              <w:right w:w="28" w:type="dxa"/>
            </w:tcMar>
            <w:vAlign w:val="center"/>
          </w:tcPr>
          <w:p w:rsidR="00286780" w:rsidRPr="00FE6318" w:rsidRDefault="00286780" w:rsidP="00FE6318">
            <w:pPr>
              <w:snapToGrid w:val="0"/>
              <w:jc w:val="center"/>
              <w:rPr>
                <w:rFonts w:cs="Calibri"/>
                <w:i/>
                <w:spacing w:val="-8"/>
                <w:sz w:val="24"/>
                <w:szCs w:val="24"/>
                <w:lang w:eastAsia="ar-SA"/>
              </w:rPr>
            </w:pPr>
            <w:r w:rsidRPr="00FE6318">
              <w:rPr>
                <w:rFonts w:cs="Calibri"/>
                <w:i/>
                <w:spacing w:val="-8"/>
                <w:sz w:val="24"/>
                <w:szCs w:val="24"/>
                <w:lang w:eastAsia="ar-SA"/>
              </w:rPr>
              <w:t>Группы больных</w:t>
            </w:r>
          </w:p>
        </w:tc>
      </w:tr>
      <w:tr w:rsidR="00286780" w:rsidRPr="00FE6318" w:rsidTr="00AA79AB">
        <w:trPr>
          <w:trHeight w:val="257"/>
        </w:trPr>
        <w:tc>
          <w:tcPr>
            <w:tcW w:w="2296" w:type="dxa"/>
            <w:vMerge/>
            <w:tcMar>
              <w:left w:w="28" w:type="dxa"/>
              <w:right w:w="28" w:type="dxa"/>
            </w:tcMar>
          </w:tcPr>
          <w:p w:rsidR="00286780" w:rsidRPr="00FE6318" w:rsidRDefault="00286780" w:rsidP="00FE6318">
            <w:pPr>
              <w:snapToGrid w:val="0"/>
              <w:jc w:val="center"/>
              <w:rPr>
                <w:rFonts w:cs="Calibri"/>
                <w:spacing w:val="-8"/>
                <w:sz w:val="24"/>
                <w:szCs w:val="24"/>
                <w:lang w:eastAsia="ar-SA"/>
              </w:rPr>
            </w:pPr>
          </w:p>
        </w:tc>
        <w:tc>
          <w:tcPr>
            <w:tcW w:w="3828" w:type="dxa"/>
            <w:gridSpan w:val="2"/>
            <w:tcMar>
              <w:left w:w="28" w:type="dxa"/>
              <w:right w:w="28" w:type="dxa"/>
            </w:tcMar>
          </w:tcPr>
          <w:p w:rsidR="00286780" w:rsidRPr="00FE6318" w:rsidRDefault="00286780" w:rsidP="00FE6318">
            <w:pPr>
              <w:snapToGrid w:val="0"/>
              <w:jc w:val="center"/>
              <w:rPr>
                <w:rFonts w:cs="Calibri"/>
                <w:spacing w:val="-8"/>
                <w:sz w:val="24"/>
                <w:szCs w:val="24"/>
                <w:lang w:eastAsia="ar-SA"/>
              </w:rPr>
            </w:pPr>
            <w:r w:rsidRPr="00FE6318">
              <w:rPr>
                <w:rFonts w:cs="Calibri"/>
                <w:spacing w:val="-8"/>
                <w:sz w:val="24"/>
                <w:szCs w:val="24"/>
                <w:lang w:eastAsia="ar-SA"/>
              </w:rPr>
              <w:t>Основная (</w:t>
            </w:r>
            <w:r w:rsidRPr="00FE6318">
              <w:rPr>
                <w:rFonts w:cs="Calibri"/>
                <w:spacing w:val="-8"/>
                <w:sz w:val="24"/>
                <w:szCs w:val="24"/>
                <w:lang w:val="en-US" w:eastAsia="ar-SA"/>
              </w:rPr>
              <w:t>n=</w:t>
            </w:r>
            <w:r>
              <w:rPr>
                <w:rFonts w:cs="Calibri"/>
                <w:spacing w:val="-8"/>
                <w:sz w:val="24"/>
                <w:szCs w:val="24"/>
                <w:lang w:eastAsia="ar-SA"/>
              </w:rPr>
              <w:t xml:space="preserve"> 40</w:t>
            </w:r>
            <w:r w:rsidRPr="00FE6318">
              <w:rPr>
                <w:rFonts w:cs="Calibri"/>
                <w:spacing w:val="-8"/>
                <w:sz w:val="24"/>
                <w:szCs w:val="24"/>
                <w:lang w:eastAsia="ar-SA"/>
              </w:rPr>
              <w:t>)</w:t>
            </w:r>
          </w:p>
        </w:tc>
        <w:tc>
          <w:tcPr>
            <w:tcW w:w="3799" w:type="dxa"/>
            <w:gridSpan w:val="2"/>
            <w:tcMar>
              <w:left w:w="28" w:type="dxa"/>
              <w:right w:w="28" w:type="dxa"/>
            </w:tcMar>
          </w:tcPr>
          <w:p w:rsidR="00286780" w:rsidRPr="00FE6318" w:rsidRDefault="00286780" w:rsidP="00FE6318">
            <w:pPr>
              <w:snapToGrid w:val="0"/>
              <w:jc w:val="center"/>
              <w:rPr>
                <w:rFonts w:cs="Calibri"/>
                <w:spacing w:val="-8"/>
                <w:sz w:val="24"/>
                <w:szCs w:val="24"/>
                <w:lang w:val="en-US" w:eastAsia="ar-SA"/>
              </w:rPr>
            </w:pPr>
            <w:r w:rsidRPr="00FE6318">
              <w:rPr>
                <w:rFonts w:cs="Calibri"/>
                <w:spacing w:val="-8"/>
                <w:sz w:val="24"/>
                <w:szCs w:val="24"/>
                <w:lang w:eastAsia="ar-SA"/>
              </w:rPr>
              <w:t>Контрольная (</w:t>
            </w:r>
            <w:r>
              <w:rPr>
                <w:rFonts w:cs="Calibri"/>
                <w:spacing w:val="-8"/>
                <w:sz w:val="24"/>
                <w:szCs w:val="24"/>
                <w:lang w:val="en-US" w:eastAsia="ar-SA"/>
              </w:rPr>
              <w:t>n=</w:t>
            </w:r>
            <w:r>
              <w:rPr>
                <w:rFonts w:cs="Calibri"/>
                <w:spacing w:val="-8"/>
                <w:sz w:val="24"/>
                <w:szCs w:val="24"/>
                <w:lang w:eastAsia="ar-SA"/>
              </w:rPr>
              <w:t>42</w:t>
            </w:r>
            <w:r w:rsidRPr="00FE6318">
              <w:rPr>
                <w:rFonts w:cs="Calibri"/>
                <w:spacing w:val="-8"/>
                <w:sz w:val="24"/>
                <w:szCs w:val="24"/>
                <w:lang w:val="en-US" w:eastAsia="ar-SA"/>
              </w:rPr>
              <w:t>)</w:t>
            </w:r>
          </w:p>
        </w:tc>
      </w:tr>
      <w:tr w:rsidR="00286780" w:rsidRPr="00FE6318" w:rsidTr="00AA79AB">
        <w:trPr>
          <w:trHeight w:val="257"/>
        </w:trPr>
        <w:tc>
          <w:tcPr>
            <w:tcW w:w="2296" w:type="dxa"/>
            <w:vMerge/>
            <w:tcMar>
              <w:left w:w="28" w:type="dxa"/>
              <w:right w:w="28" w:type="dxa"/>
            </w:tcMar>
          </w:tcPr>
          <w:p w:rsidR="00286780" w:rsidRPr="00FE6318" w:rsidRDefault="00286780" w:rsidP="00FE6318">
            <w:pPr>
              <w:snapToGrid w:val="0"/>
              <w:jc w:val="center"/>
              <w:rPr>
                <w:rFonts w:cs="Calibri"/>
                <w:spacing w:val="-8"/>
                <w:sz w:val="24"/>
                <w:szCs w:val="24"/>
                <w:lang w:eastAsia="ar-SA"/>
              </w:rPr>
            </w:pPr>
          </w:p>
        </w:tc>
        <w:tc>
          <w:tcPr>
            <w:tcW w:w="1985" w:type="dxa"/>
            <w:tcMar>
              <w:left w:w="28" w:type="dxa"/>
              <w:right w:w="28" w:type="dxa"/>
            </w:tcMar>
          </w:tcPr>
          <w:p w:rsidR="00286780" w:rsidRPr="00FE6318" w:rsidRDefault="00286780" w:rsidP="00FE6318">
            <w:pPr>
              <w:snapToGrid w:val="0"/>
              <w:jc w:val="center"/>
              <w:rPr>
                <w:rFonts w:cs="Calibri"/>
                <w:spacing w:val="-8"/>
                <w:sz w:val="24"/>
                <w:szCs w:val="24"/>
                <w:lang w:eastAsia="ar-SA"/>
              </w:rPr>
            </w:pPr>
            <w:r w:rsidRPr="00FE6318">
              <w:rPr>
                <w:rFonts w:cs="Calibri"/>
                <w:spacing w:val="-8"/>
                <w:sz w:val="24"/>
                <w:szCs w:val="24"/>
                <w:lang w:eastAsia="ar-SA"/>
              </w:rPr>
              <w:t>1-е сутки</w:t>
            </w:r>
          </w:p>
        </w:tc>
        <w:tc>
          <w:tcPr>
            <w:tcW w:w="1843" w:type="dxa"/>
            <w:tcMar>
              <w:left w:w="28" w:type="dxa"/>
              <w:right w:w="28" w:type="dxa"/>
            </w:tcMar>
          </w:tcPr>
          <w:p w:rsidR="00286780" w:rsidRPr="00FE6318" w:rsidRDefault="00286780" w:rsidP="00FE6318">
            <w:pPr>
              <w:snapToGrid w:val="0"/>
              <w:jc w:val="center"/>
              <w:rPr>
                <w:rFonts w:cs="Calibri"/>
                <w:spacing w:val="-8"/>
                <w:sz w:val="24"/>
                <w:szCs w:val="24"/>
                <w:lang w:eastAsia="ar-SA"/>
              </w:rPr>
            </w:pPr>
            <w:r w:rsidRPr="00FE6318">
              <w:rPr>
                <w:rFonts w:cs="Calibri"/>
                <w:spacing w:val="-8"/>
                <w:sz w:val="24"/>
                <w:szCs w:val="24"/>
                <w:lang w:eastAsia="ar-SA"/>
              </w:rPr>
              <w:t>3-и сутки</w:t>
            </w:r>
          </w:p>
        </w:tc>
        <w:tc>
          <w:tcPr>
            <w:tcW w:w="1842" w:type="dxa"/>
            <w:tcMar>
              <w:left w:w="28" w:type="dxa"/>
              <w:right w:w="28" w:type="dxa"/>
            </w:tcMar>
          </w:tcPr>
          <w:p w:rsidR="00286780" w:rsidRPr="00FE6318" w:rsidRDefault="00286780" w:rsidP="00FE6318">
            <w:pPr>
              <w:snapToGrid w:val="0"/>
              <w:jc w:val="center"/>
              <w:rPr>
                <w:rFonts w:cs="Calibri"/>
                <w:spacing w:val="-8"/>
                <w:sz w:val="24"/>
                <w:szCs w:val="24"/>
                <w:lang w:eastAsia="ar-SA"/>
              </w:rPr>
            </w:pPr>
            <w:r w:rsidRPr="00FE6318">
              <w:rPr>
                <w:rFonts w:cs="Calibri"/>
                <w:spacing w:val="-8"/>
                <w:sz w:val="24"/>
                <w:szCs w:val="24"/>
                <w:lang w:eastAsia="ar-SA"/>
              </w:rPr>
              <w:t>1-е сутки</w:t>
            </w:r>
          </w:p>
        </w:tc>
        <w:tc>
          <w:tcPr>
            <w:tcW w:w="1957" w:type="dxa"/>
            <w:tcMar>
              <w:left w:w="28" w:type="dxa"/>
              <w:right w:w="28" w:type="dxa"/>
            </w:tcMar>
          </w:tcPr>
          <w:p w:rsidR="00286780" w:rsidRPr="00FE6318" w:rsidRDefault="00286780" w:rsidP="00FE6318">
            <w:pPr>
              <w:snapToGrid w:val="0"/>
              <w:jc w:val="center"/>
              <w:rPr>
                <w:rFonts w:cs="Calibri"/>
                <w:spacing w:val="-8"/>
                <w:sz w:val="24"/>
                <w:szCs w:val="24"/>
                <w:lang w:eastAsia="ar-SA"/>
              </w:rPr>
            </w:pPr>
            <w:r w:rsidRPr="00FE6318">
              <w:rPr>
                <w:rFonts w:cs="Calibri"/>
                <w:spacing w:val="-8"/>
                <w:sz w:val="24"/>
                <w:szCs w:val="24"/>
                <w:lang w:eastAsia="ar-SA"/>
              </w:rPr>
              <w:t>3-и сутки</w:t>
            </w:r>
          </w:p>
        </w:tc>
      </w:tr>
      <w:tr w:rsidR="00286780" w:rsidRPr="00FE6318" w:rsidTr="00AA79AB">
        <w:trPr>
          <w:trHeight w:val="454"/>
        </w:trPr>
        <w:tc>
          <w:tcPr>
            <w:tcW w:w="2296" w:type="dxa"/>
            <w:tcMar>
              <w:left w:w="28" w:type="dxa"/>
              <w:right w:w="28" w:type="dxa"/>
            </w:tcMar>
            <w:vAlign w:val="center"/>
          </w:tcPr>
          <w:p w:rsidR="00286780" w:rsidRPr="00FE6318" w:rsidRDefault="00286780" w:rsidP="00FE6318">
            <w:pPr>
              <w:snapToGrid w:val="0"/>
              <w:rPr>
                <w:rFonts w:cs="Calibri"/>
                <w:spacing w:val="-8"/>
                <w:sz w:val="24"/>
                <w:szCs w:val="24"/>
                <w:lang w:eastAsia="ar-SA"/>
              </w:rPr>
            </w:pPr>
            <w:r w:rsidRPr="00FE6318">
              <w:rPr>
                <w:rFonts w:cs="Calibri"/>
                <w:spacing w:val="-8"/>
                <w:sz w:val="24"/>
                <w:szCs w:val="24"/>
                <w:lang w:eastAsia="ar-SA"/>
              </w:rPr>
              <w:t>Эритроциты (×10</w:t>
            </w:r>
            <w:r w:rsidRPr="00FE6318">
              <w:rPr>
                <w:rFonts w:cs="Calibri"/>
                <w:spacing w:val="-8"/>
                <w:sz w:val="24"/>
                <w:szCs w:val="24"/>
                <w:vertAlign w:val="superscript"/>
                <w:lang w:eastAsia="ar-SA"/>
              </w:rPr>
              <w:t>12</w:t>
            </w:r>
            <w:r w:rsidRPr="00FE6318">
              <w:rPr>
                <w:rFonts w:cs="Calibri"/>
                <w:spacing w:val="-8"/>
                <w:sz w:val="24"/>
                <w:szCs w:val="24"/>
                <w:lang w:eastAsia="ar-SA"/>
              </w:rPr>
              <w:t>/л)</w:t>
            </w:r>
          </w:p>
        </w:tc>
        <w:tc>
          <w:tcPr>
            <w:tcW w:w="1985" w:type="dxa"/>
            <w:tcMar>
              <w:left w:w="28" w:type="dxa"/>
              <w:right w:w="28" w:type="dxa"/>
            </w:tcMar>
            <w:vAlign w:val="center"/>
          </w:tcPr>
          <w:p w:rsidR="00286780" w:rsidRPr="00FE6318" w:rsidRDefault="00286780" w:rsidP="00FE6318">
            <w:pPr>
              <w:snapToGrid w:val="0"/>
              <w:jc w:val="center"/>
              <w:rPr>
                <w:rFonts w:cs="Calibri"/>
                <w:spacing w:val="-8"/>
                <w:sz w:val="24"/>
                <w:szCs w:val="24"/>
                <w:lang w:eastAsia="ar-SA"/>
              </w:rPr>
            </w:pPr>
            <w:r>
              <w:rPr>
                <w:rFonts w:cs="Calibri"/>
                <w:spacing w:val="-8"/>
                <w:sz w:val="24"/>
                <w:szCs w:val="24"/>
                <w:lang w:eastAsia="ar-SA"/>
              </w:rPr>
              <w:t>4,44</w:t>
            </w:r>
            <w:r w:rsidRPr="00FE6318">
              <w:rPr>
                <w:rFonts w:cs="Calibri"/>
                <w:spacing w:val="-8"/>
                <w:sz w:val="24"/>
                <w:szCs w:val="24"/>
                <w:lang w:eastAsia="ar-SA"/>
              </w:rPr>
              <w:t>±0,12</w:t>
            </w:r>
          </w:p>
        </w:tc>
        <w:tc>
          <w:tcPr>
            <w:tcW w:w="1843" w:type="dxa"/>
            <w:tcMar>
              <w:left w:w="28" w:type="dxa"/>
              <w:right w:w="28" w:type="dxa"/>
            </w:tcMar>
            <w:vAlign w:val="center"/>
          </w:tcPr>
          <w:p w:rsidR="00286780" w:rsidRPr="00FE6318" w:rsidRDefault="00286780" w:rsidP="00FE6318">
            <w:pPr>
              <w:snapToGrid w:val="0"/>
              <w:jc w:val="center"/>
              <w:rPr>
                <w:rFonts w:cs="Calibri"/>
                <w:spacing w:val="-8"/>
                <w:sz w:val="24"/>
                <w:szCs w:val="24"/>
                <w:lang w:eastAsia="ar-SA"/>
              </w:rPr>
            </w:pPr>
            <w:r w:rsidRPr="00FE6318">
              <w:rPr>
                <w:rFonts w:cs="Calibri"/>
                <w:spacing w:val="-8"/>
                <w:sz w:val="24"/>
                <w:szCs w:val="24"/>
                <w:lang w:eastAsia="ar-SA"/>
              </w:rPr>
              <w:t>4,</w:t>
            </w:r>
            <w:r>
              <w:rPr>
                <w:rFonts w:cs="Calibri"/>
                <w:spacing w:val="-8"/>
                <w:sz w:val="24"/>
                <w:szCs w:val="24"/>
                <w:lang w:eastAsia="ar-SA"/>
              </w:rPr>
              <w:t>24±0,16</w:t>
            </w:r>
          </w:p>
        </w:tc>
        <w:tc>
          <w:tcPr>
            <w:tcW w:w="1842" w:type="dxa"/>
            <w:tcMar>
              <w:left w:w="28" w:type="dxa"/>
              <w:right w:w="28" w:type="dxa"/>
            </w:tcMar>
            <w:vAlign w:val="center"/>
          </w:tcPr>
          <w:p w:rsidR="00286780" w:rsidRPr="00FE6318" w:rsidRDefault="00286780" w:rsidP="00FE6318">
            <w:pPr>
              <w:snapToGrid w:val="0"/>
              <w:jc w:val="center"/>
              <w:rPr>
                <w:rFonts w:cs="Calibri"/>
                <w:spacing w:val="-8"/>
                <w:sz w:val="24"/>
                <w:szCs w:val="24"/>
                <w:lang w:eastAsia="ar-SA"/>
              </w:rPr>
            </w:pPr>
            <w:r w:rsidRPr="00FE6318">
              <w:rPr>
                <w:rFonts w:cs="Calibri"/>
                <w:spacing w:val="-8"/>
                <w:sz w:val="24"/>
                <w:szCs w:val="24"/>
                <w:lang w:eastAsia="ar-SA"/>
              </w:rPr>
              <w:t>4,18±0,13</w:t>
            </w:r>
          </w:p>
        </w:tc>
        <w:tc>
          <w:tcPr>
            <w:tcW w:w="1957" w:type="dxa"/>
            <w:tcMar>
              <w:left w:w="28" w:type="dxa"/>
              <w:right w:w="28" w:type="dxa"/>
            </w:tcMar>
            <w:vAlign w:val="center"/>
          </w:tcPr>
          <w:p w:rsidR="00286780" w:rsidRPr="00FE6318" w:rsidRDefault="00286780" w:rsidP="00FE6318">
            <w:pPr>
              <w:snapToGrid w:val="0"/>
              <w:jc w:val="center"/>
              <w:rPr>
                <w:rFonts w:cs="Calibri"/>
                <w:spacing w:val="-8"/>
                <w:sz w:val="24"/>
                <w:szCs w:val="24"/>
                <w:lang w:val="en-US" w:eastAsia="ar-SA"/>
              </w:rPr>
            </w:pPr>
            <w:r w:rsidRPr="00FE6318">
              <w:rPr>
                <w:rFonts w:cs="Calibri"/>
                <w:spacing w:val="-8"/>
                <w:sz w:val="24"/>
                <w:szCs w:val="24"/>
                <w:lang w:eastAsia="ar-SA"/>
              </w:rPr>
              <w:t>3,</w:t>
            </w:r>
            <w:r w:rsidRPr="00FE6318">
              <w:rPr>
                <w:rFonts w:cs="Calibri"/>
                <w:spacing w:val="-8"/>
                <w:sz w:val="24"/>
                <w:szCs w:val="24"/>
                <w:lang w:val="en-US" w:eastAsia="ar-SA"/>
              </w:rPr>
              <w:t>7</w:t>
            </w:r>
            <w:r w:rsidRPr="00FE6318">
              <w:rPr>
                <w:rFonts w:cs="Calibri"/>
                <w:spacing w:val="-8"/>
                <w:sz w:val="24"/>
                <w:szCs w:val="24"/>
                <w:lang w:eastAsia="ar-SA"/>
              </w:rPr>
              <w:t>±0,</w:t>
            </w:r>
            <w:r w:rsidRPr="00FE6318">
              <w:rPr>
                <w:rFonts w:cs="Calibri"/>
                <w:spacing w:val="-8"/>
                <w:sz w:val="24"/>
                <w:szCs w:val="24"/>
                <w:lang w:val="en-US" w:eastAsia="ar-SA"/>
              </w:rPr>
              <w:t>31</w:t>
            </w:r>
          </w:p>
        </w:tc>
      </w:tr>
      <w:tr w:rsidR="00286780" w:rsidRPr="00FE6318" w:rsidTr="00AA79AB">
        <w:trPr>
          <w:trHeight w:val="454"/>
        </w:trPr>
        <w:tc>
          <w:tcPr>
            <w:tcW w:w="2296" w:type="dxa"/>
            <w:tcMar>
              <w:left w:w="28" w:type="dxa"/>
              <w:right w:w="28" w:type="dxa"/>
            </w:tcMar>
            <w:vAlign w:val="center"/>
          </w:tcPr>
          <w:p w:rsidR="00286780" w:rsidRPr="00FE6318" w:rsidRDefault="00286780" w:rsidP="00FE6318">
            <w:pPr>
              <w:snapToGrid w:val="0"/>
              <w:rPr>
                <w:rFonts w:cs="Calibri"/>
                <w:spacing w:val="-8"/>
                <w:sz w:val="24"/>
                <w:szCs w:val="24"/>
                <w:lang w:eastAsia="ar-SA"/>
              </w:rPr>
            </w:pPr>
            <w:r w:rsidRPr="00FE6318">
              <w:rPr>
                <w:rFonts w:cs="Calibri"/>
                <w:spacing w:val="-8"/>
                <w:sz w:val="24"/>
                <w:szCs w:val="24"/>
                <w:lang w:eastAsia="ar-SA"/>
              </w:rPr>
              <w:t>Гемоглобин (г/л)</w:t>
            </w:r>
          </w:p>
        </w:tc>
        <w:tc>
          <w:tcPr>
            <w:tcW w:w="1985" w:type="dxa"/>
            <w:tcMar>
              <w:left w:w="28" w:type="dxa"/>
              <w:right w:w="28" w:type="dxa"/>
            </w:tcMar>
            <w:vAlign w:val="center"/>
          </w:tcPr>
          <w:p w:rsidR="00286780" w:rsidRPr="00FE6318" w:rsidRDefault="00286780" w:rsidP="00FE6318">
            <w:pPr>
              <w:snapToGrid w:val="0"/>
              <w:jc w:val="center"/>
              <w:rPr>
                <w:rFonts w:cs="Calibri"/>
                <w:spacing w:val="-8"/>
                <w:sz w:val="24"/>
                <w:szCs w:val="24"/>
                <w:lang w:eastAsia="ar-SA"/>
              </w:rPr>
            </w:pPr>
            <w:r>
              <w:rPr>
                <w:rFonts w:cs="Calibri"/>
                <w:spacing w:val="-8"/>
                <w:sz w:val="24"/>
                <w:szCs w:val="24"/>
                <w:lang w:eastAsia="ar-SA"/>
              </w:rPr>
              <w:t>131,3±3,47</w:t>
            </w:r>
          </w:p>
        </w:tc>
        <w:tc>
          <w:tcPr>
            <w:tcW w:w="1843" w:type="dxa"/>
            <w:tcMar>
              <w:left w:w="28" w:type="dxa"/>
              <w:right w:w="28" w:type="dxa"/>
            </w:tcMar>
            <w:vAlign w:val="center"/>
          </w:tcPr>
          <w:p w:rsidR="00286780" w:rsidRPr="00FE6318" w:rsidRDefault="00286780" w:rsidP="00FE6318">
            <w:pPr>
              <w:snapToGrid w:val="0"/>
              <w:jc w:val="center"/>
              <w:rPr>
                <w:rFonts w:cs="Calibri"/>
                <w:spacing w:val="-8"/>
                <w:sz w:val="24"/>
                <w:szCs w:val="24"/>
                <w:lang w:eastAsia="ar-SA"/>
              </w:rPr>
            </w:pPr>
            <w:r>
              <w:rPr>
                <w:rFonts w:cs="Calibri"/>
                <w:spacing w:val="-8"/>
                <w:sz w:val="24"/>
                <w:szCs w:val="24"/>
                <w:lang w:eastAsia="ar-SA"/>
              </w:rPr>
              <w:t>126,4±4,7</w:t>
            </w:r>
          </w:p>
        </w:tc>
        <w:tc>
          <w:tcPr>
            <w:tcW w:w="1842" w:type="dxa"/>
            <w:tcMar>
              <w:left w:w="28" w:type="dxa"/>
              <w:right w:w="28" w:type="dxa"/>
            </w:tcMar>
            <w:vAlign w:val="center"/>
          </w:tcPr>
          <w:p w:rsidR="00286780" w:rsidRPr="00FE6318" w:rsidRDefault="00286780" w:rsidP="00FE6318">
            <w:pPr>
              <w:snapToGrid w:val="0"/>
              <w:jc w:val="center"/>
              <w:rPr>
                <w:rFonts w:cs="Calibri"/>
                <w:spacing w:val="-8"/>
                <w:sz w:val="24"/>
                <w:szCs w:val="24"/>
                <w:lang w:eastAsia="ar-SA"/>
              </w:rPr>
            </w:pPr>
            <w:r w:rsidRPr="00FE6318">
              <w:rPr>
                <w:rFonts w:cs="Calibri"/>
                <w:spacing w:val="-8"/>
                <w:sz w:val="24"/>
                <w:szCs w:val="24"/>
                <w:lang w:eastAsia="ar-SA"/>
              </w:rPr>
              <w:t>128,9±4,1</w:t>
            </w:r>
          </w:p>
        </w:tc>
        <w:tc>
          <w:tcPr>
            <w:tcW w:w="1957" w:type="dxa"/>
            <w:tcMar>
              <w:left w:w="28" w:type="dxa"/>
              <w:right w:w="28" w:type="dxa"/>
            </w:tcMar>
            <w:vAlign w:val="center"/>
          </w:tcPr>
          <w:p w:rsidR="00286780" w:rsidRPr="00FE6318" w:rsidRDefault="00286780" w:rsidP="00FE6318">
            <w:pPr>
              <w:snapToGrid w:val="0"/>
              <w:jc w:val="center"/>
              <w:rPr>
                <w:rFonts w:cs="Calibri"/>
                <w:spacing w:val="-8"/>
                <w:sz w:val="24"/>
                <w:szCs w:val="24"/>
                <w:lang w:val="en-US" w:eastAsia="ar-SA"/>
              </w:rPr>
            </w:pPr>
            <w:r w:rsidRPr="00FE6318">
              <w:rPr>
                <w:rFonts w:cs="Calibri"/>
                <w:spacing w:val="-8"/>
                <w:sz w:val="24"/>
                <w:szCs w:val="24"/>
                <w:lang w:eastAsia="ar-SA"/>
              </w:rPr>
              <w:t>1</w:t>
            </w:r>
            <w:r w:rsidRPr="00FE6318">
              <w:rPr>
                <w:rFonts w:cs="Calibri"/>
                <w:spacing w:val="-8"/>
                <w:sz w:val="24"/>
                <w:szCs w:val="24"/>
                <w:lang w:val="en-US" w:eastAsia="ar-SA"/>
              </w:rPr>
              <w:t>13</w:t>
            </w:r>
            <w:r w:rsidRPr="00FE6318">
              <w:rPr>
                <w:rFonts w:cs="Calibri"/>
                <w:spacing w:val="-8"/>
                <w:sz w:val="24"/>
                <w:szCs w:val="24"/>
                <w:lang w:eastAsia="ar-SA"/>
              </w:rPr>
              <w:t>,</w:t>
            </w:r>
            <w:r w:rsidRPr="00FE6318">
              <w:rPr>
                <w:rFonts w:cs="Calibri"/>
                <w:spacing w:val="-8"/>
                <w:sz w:val="24"/>
                <w:szCs w:val="24"/>
                <w:lang w:val="en-US" w:eastAsia="ar-SA"/>
              </w:rPr>
              <w:t>2</w:t>
            </w:r>
            <w:r w:rsidRPr="00FE6318">
              <w:rPr>
                <w:rFonts w:cs="Calibri"/>
                <w:spacing w:val="-8"/>
                <w:sz w:val="24"/>
                <w:szCs w:val="24"/>
                <w:lang w:eastAsia="ar-SA"/>
              </w:rPr>
              <w:t>±</w:t>
            </w:r>
            <w:r w:rsidRPr="00FE6318">
              <w:rPr>
                <w:rFonts w:cs="Calibri"/>
                <w:spacing w:val="-8"/>
                <w:sz w:val="24"/>
                <w:szCs w:val="24"/>
                <w:lang w:val="en-US" w:eastAsia="ar-SA"/>
              </w:rPr>
              <w:t>9</w:t>
            </w:r>
            <w:r w:rsidRPr="00FE6318">
              <w:rPr>
                <w:rFonts w:cs="Calibri"/>
                <w:spacing w:val="-8"/>
                <w:sz w:val="24"/>
                <w:szCs w:val="24"/>
                <w:lang w:eastAsia="ar-SA"/>
              </w:rPr>
              <w:t>,</w:t>
            </w:r>
            <w:r w:rsidRPr="00FE6318">
              <w:rPr>
                <w:rFonts w:cs="Calibri"/>
                <w:spacing w:val="-8"/>
                <w:sz w:val="24"/>
                <w:szCs w:val="24"/>
                <w:lang w:val="en-US" w:eastAsia="ar-SA"/>
              </w:rPr>
              <w:t>1</w:t>
            </w:r>
          </w:p>
        </w:tc>
      </w:tr>
      <w:tr w:rsidR="00286780" w:rsidRPr="00FE6318" w:rsidTr="00AA79AB">
        <w:trPr>
          <w:trHeight w:val="454"/>
        </w:trPr>
        <w:tc>
          <w:tcPr>
            <w:tcW w:w="2296" w:type="dxa"/>
            <w:tcMar>
              <w:left w:w="28" w:type="dxa"/>
              <w:right w:w="28" w:type="dxa"/>
            </w:tcMar>
            <w:vAlign w:val="center"/>
          </w:tcPr>
          <w:p w:rsidR="00286780" w:rsidRPr="00FE6318" w:rsidRDefault="00286780" w:rsidP="00FE6318">
            <w:pPr>
              <w:snapToGrid w:val="0"/>
              <w:rPr>
                <w:rFonts w:cs="Calibri"/>
                <w:spacing w:val="-8"/>
                <w:sz w:val="24"/>
                <w:szCs w:val="24"/>
                <w:lang w:eastAsia="ar-SA"/>
              </w:rPr>
            </w:pPr>
            <w:r w:rsidRPr="00FE6318">
              <w:rPr>
                <w:rFonts w:cs="Calibri"/>
                <w:spacing w:val="-8"/>
                <w:sz w:val="24"/>
                <w:szCs w:val="24"/>
                <w:lang w:eastAsia="ar-SA"/>
              </w:rPr>
              <w:t>Лейкоциты (×10</w:t>
            </w:r>
            <w:r w:rsidRPr="00FE6318">
              <w:rPr>
                <w:rFonts w:cs="Calibri"/>
                <w:spacing w:val="-8"/>
                <w:sz w:val="24"/>
                <w:szCs w:val="24"/>
                <w:vertAlign w:val="superscript"/>
                <w:lang w:eastAsia="ar-SA"/>
              </w:rPr>
              <w:t>9</w:t>
            </w:r>
            <w:r w:rsidRPr="00FE6318">
              <w:rPr>
                <w:rFonts w:cs="Calibri"/>
                <w:spacing w:val="-8"/>
                <w:sz w:val="24"/>
                <w:szCs w:val="24"/>
                <w:lang w:eastAsia="ar-SA"/>
              </w:rPr>
              <w:t>/л)</w:t>
            </w:r>
          </w:p>
        </w:tc>
        <w:tc>
          <w:tcPr>
            <w:tcW w:w="1985" w:type="dxa"/>
            <w:tcMar>
              <w:left w:w="28" w:type="dxa"/>
              <w:right w:w="28" w:type="dxa"/>
            </w:tcMar>
            <w:vAlign w:val="center"/>
          </w:tcPr>
          <w:p w:rsidR="00286780" w:rsidRPr="00FE6318" w:rsidRDefault="00286780" w:rsidP="00FE6318">
            <w:pPr>
              <w:snapToGrid w:val="0"/>
              <w:jc w:val="center"/>
              <w:rPr>
                <w:rFonts w:cs="Calibri"/>
                <w:spacing w:val="-8"/>
                <w:sz w:val="24"/>
                <w:szCs w:val="24"/>
                <w:lang w:eastAsia="ar-SA"/>
              </w:rPr>
            </w:pPr>
            <w:r>
              <w:rPr>
                <w:rFonts w:cs="Calibri"/>
                <w:spacing w:val="-8"/>
                <w:sz w:val="24"/>
                <w:szCs w:val="24"/>
                <w:lang w:eastAsia="ar-SA"/>
              </w:rPr>
              <w:t>12,2±0,96</w:t>
            </w:r>
          </w:p>
        </w:tc>
        <w:tc>
          <w:tcPr>
            <w:tcW w:w="1843" w:type="dxa"/>
            <w:tcMar>
              <w:left w:w="28" w:type="dxa"/>
              <w:right w:w="28" w:type="dxa"/>
            </w:tcMar>
            <w:vAlign w:val="center"/>
          </w:tcPr>
          <w:p w:rsidR="00286780" w:rsidRPr="00FE6318" w:rsidRDefault="00286780" w:rsidP="00FE6318">
            <w:pPr>
              <w:snapToGrid w:val="0"/>
              <w:jc w:val="center"/>
              <w:rPr>
                <w:rFonts w:cs="Calibri"/>
                <w:spacing w:val="-8"/>
                <w:sz w:val="24"/>
                <w:szCs w:val="24"/>
                <w:lang w:eastAsia="ar-SA"/>
              </w:rPr>
            </w:pPr>
            <w:r>
              <w:rPr>
                <w:rFonts w:cs="Calibri"/>
                <w:spacing w:val="-8"/>
                <w:sz w:val="24"/>
                <w:szCs w:val="24"/>
                <w:lang w:eastAsia="ar-SA"/>
              </w:rPr>
              <w:t>11,±0,8</w:t>
            </w:r>
          </w:p>
        </w:tc>
        <w:tc>
          <w:tcPr>
            <w:tcW w:w="1842" w:type="dxa"/>
            <w:tcMar>
              <w:left w:w="28" w:type="dxa"/>
              <w:right w:w="28" w:type="dxa"/>
            </w:tcMar>
            <w:vAlign w:val="center"/>
          </w:tcPr>
          <w:p w:rsidR="00286780" w:rsidRPr="00FE6318" w:rsidRDefault="00286780" w:rsidP="00FE6318">
            <w:pPr>
              <w:snapToGrid w:val="0"/>
              <w:jc w:val="center"/>
              <w:rPr>
                <w:rFonts w:cs="Calibri"/>
                <w:spacing w:val="-8"/>
                <w:sz w:val="24"/>
                <w:szCs w:val="24"/>
                <w:lang w:eastAsia="ar-SA"/>
              </w:rPr>
            </w:pPr>
            <w:r w:rsidRPr="00FE6318">
              <w:rPr>
                <w:rFonts w:cs="Calibri"/>
                <w:spacing w:val="-8"/>
                <w:sz w:val="24"/>
                <w:szCs w:val="24"/>
                <w:lang w:eastAsia="ar-SA"/>
              </w:rPr>
              <w:t>13,1±1,17</w:t>
            </w:r>
          </w:p>
        </w:tc>
        <w:tc>
          <w:tcPr>
            <w:tcW w:w="1957" w:type="dxa"/>
            <w:tcMar>
              <w:left w:w="28" w:type="dxa"/>
              <w:right w:w="28" w:type="dxa"/>
            </w:tcMar>
            <w:vAlign w:val="center"/>
          </w:tcPr>
          <w:p w:rsidR="00286780" w:rsidRPr="00FE6318" w:rsidRDefault="00286780" w:rsidP="00FE6318">
            <w:pPr>
              <w:snapToGrid w:val="0"/>
              <w:jc w:val="center"/>
              <w:rPr>
                <w:rFonts w:cs="Calibri"/>
                <w:spacing w:val="-8"/>
                <w:sz w:val="24"/>
                <w:szCs w:val="24"/>
                <w:lang w:val="en-US" w:eastAsia="ar-SA"/>
              </w:rPr>
            </w:pPr>
            <w:r w:rsidRPr="00FE6318">
              <w:rPr>
                <w:rFonts w:cs="Calibri"/>
                <w:spacing w:val="-8"/>
                <w:sz w:val="24"/>
                <w:szCs w:val="24"/>
                <w:lang w:eastAsia="ar-SA"/>
              </w:rPr>
              <w:t>13,97±4</w:t>
            </w:r>
            <w:r w:rsidRPr="00FE6318">
              <w:rPr>
                <w:rFonts w:cs="Calibri"/>
                <w:spacing w:val="-8"/>
                <w:sz w:val="24"/>
                <w:szCs w:val="24"/>
                <w:lang w:val="en-US" w:eastAsia="ar-SA"/>
              </w:rPr>
              <w:t>,</w:t>
            </w:r>
            <w:r w:rsidRPr="00FE6318">
              <w:rPr>
                <w:rFonts w:cs="Calibri"/>
                <w:spacing w:val="-8"/>
                <w:sz w:val="24"/>
                <w:szCs w:val="24"/>
                <w:lang w:eastAsia="ar-SA"/>
              </w:rPr>
              <w:t>9</w:t>
            </w:r>
            <w:r w:rsidRPr="00FE6318">
              <w:rPr>
                <w:rFonts w:cs="Calibri"/>
                <w:spacing w:val="-8"/>
                <w:sz w:val="24"/>
                <w:szCs w:val="24"/>
                <w:lang w:val="en-US" w:eastAsia="ar-SA"/>
              </w:rPr>
              <w:t>8</w:t>
            </w:r>
          </w:p>
        </w:tc>
      </w:tr>
      <w:tr w:rsidR="00286780" w:rsidRPr="00FE6318" w:rsidTr="00AA79AB">
        <w:trPr>
          <w:trHeight w:val="454"/>
        </w:trPr>
        <w:tc>
          <w:tcPr>
            <w:tcW w:w="2296" w:type="dxa"/>
            <w:tcMar>
              <w:left w:w="28" w:type="dxa"/>
              <w:right w:w="28" w:type="dxa"/>
            </w:tcMar>
            <w:vAlign w:val="center"/>
          </w:tcPr>
          <w:p w:rsidR="00286780" w:rsidRPr="00FE6318" w:rsidRDefault="00286780" w:rsidP="00FE6318">
            <w:pPr>
              <w:snapToGrid w:val="0"/>
              <w:rPr>
                <w:rFonts w:cs="Calibri"/>
                <w:spacing w:val="-8"/>
                <w:sz w:val="24"/>
                <w:szCs w:val="24"/>
                <w:lang w:eastAsia="ar-SA"/>
              </w:rPr>
            </w:pPr>
            <w:r w:rsidRPr="00FE6318">
              <w:rPr>
                <w:rFonts w:cs="Calibri"/>
                <w:spacing w:val="-8"/>
                <w:sz w:val="24"/>
                <w:szCs w:val="24"/>
                <w:lang w:eastAsia="ar-SA"/>
              </w:rPr>
              <w:t>Общий белок (г/л)</w:t>
            </w:r>
          </w:p>
        </w:tc>
        <w:tc>
          <w:tcPr>
            <w:tcW w:w="1985" w:type="dxa"/>
            <w:tcMar>
              <w:left w:w="28" w:type="dxa"/>
              <w:right w:w="28" w:type="dxa"/>
            </w:tcMar>
            <w:vAlign w:val="center"/>
          </w:tcPr>
          <w:p w:rsidR="00286780" w:rsidRPr="00FE6318" w:rsidRDefault="00286780" w:rsidP="00FE6318">
            <w:pPr>
              <w:snapToGrid w:val="0"/>
              <w:jc w:val="center"/>
              <w:rPr>
                <w:rFonts w:cs="Calibri"/>
                <w:spacing w:val="-8"/>
                <w:sz w:val="24"/>
                <w:szCs w:val="24"/>
                <w:lang w:eastAsia="ar-SA"/>
              </w:rPr>
            </w:pPr>
            <w:r>
              <w:rPr>
                <w:rFonts w:cs="Calibri"/>
                <w:spacing w:val="-8"/>
                <w:sz w:val="24"/>
                <w:szCs w:val="24"/>
                <w:lang w:eastAsia="ar-SA"/>
              </w:rPr>
              <w:t>74,3[67,8;76,6</w:t>
            </w:r>
            <w:r w:rsidRPr="00FE6318">
              <w:rPr>
                <w:rFonts w:cs="Calibri"/>
                <w:spacing w:val="-8"/>
                <w:sz w:val="24"/>
                <w:szCs w:val="24"/>
                <w:lang w:eastAsia="ar-SA"/>
              </w:rPr>
              <w:t>]</w:t>
            </w:r>
          </w:p>
        </w:tc>
        <w:tc>
          <w:tcPr>
            <w:tcW w:w="1843" w:type="dxa"/>
            <w:tcMar>
              <w:left w:w="28" w:type="dxa"/>
              <w:right w:w="28" w:type="dxa"/>
            </w:tcMar>
            <w:vAlign w:val="center"/>
          </w:tcPr>
          <w:p w:rsidR="00286780" w:rsidRPr="00FE6318" w:rsidRDefault="00286780" w:rsidP="00FE6318">
            <w:pPr>
              <w:snapToGrid w:val="0"/>
              <w:jc w:val="center"/>
              <w:rPr>
                <w:rFonts w:cs="Calibri"/>
                <w:spacing w:val="-8"/>
                <w:sz w:val="24"/>
                <w:szCs w:val="24"/>
                <w:lang w:eastAsia="ar-SA"/>
              </w:rPr>
            </w:pPr>
            <w:r>
              <w:rPr>
                <w:rFonts w:cs="Calibri"/>
                <w:spacing w:val="-8"/>
                <w:sz w:val="24"/>
                <w:szCs w:val="24"/>
                <w:lang w:eastAsia="ar-SA"/>
              </w:rPr>
              <w:t>66,8[49,6;73,4</w:t>
            </w:r>
            <w:r w:rsidRPr="00FE6318">
              <w:rPr>
                <w:rFonts w:cs="Calibri"/>
                <w:spacing w:val="-8"/>
                <w:sz w:val="24"/>
                <w:szCs w:val="24"/>
                <w:lang w:eastAsia="ar-SA"/>
              </w:rPr>
              <w:t>]</w:t>
            </w:r>
          </w:p>
        </w:tc>
        <w:tc>
          <w:tcPr>
            <w:tcW w:w="1842" w:type="dxa"/>
            <w:tcMar>
              <w:left w:w="28" w:type="dxa"/>
              <w:right w:w="28" w:type="dxa"/>
            </w:tcMar>
            <w:vAlign w:val="center"/>
          </w:tcPr>
          <w:p w:rsidR="00286780" w:rsidRPr="00FE6318" w:rsidRDefault="00286780" w:rsidP="00FE6318">
            <w:pPr>
              <w:snapToGrid w:val="0"/>
              <w:jc w:val="center"/>
              <w:rPr>
                <w:rFonts w:cs="Calibri"/>
                <w:spacing w:val="-8"/>
                <w:sz w:val="24"/>
                <w:szCs w:val="24"/>
                <w:lang w:eastAsia="ar-SA"/>
              </w:rPr>
            </w:pPr>
            <w:r>
              <w:rPr>
                <w:rFonts w:cs="Calibri"/>
                <w:spacing w:val="-8"/>
                <w:sz w:val="24"/>
                <w:szCs w:val="24"/>
                <w:lang w:eastAsia="ar-SA"/>
              </w:rPr>
              <w:t>70,5[62,2;</w:t>
            </w:r>
            <w:r w:rsidRPr="00FE6318">
              <w:rPr>
                <w:rFonts w:cs="Calibri"/>
                <w:spacing w:val="-8"/>
                <w:sz w:val="24"/>
                <w:szCs w:val="24"/>
                <w:lang w:eastAsia="ar-SA"/>
              </w:rPr>
              <w:t>76,4]</w:t>
            </w:r>
          </w:p>
        </w:tc>
        <w:tc>
          <w:tcPr>
            <w:tcW w:w="1957" w:type="dxa"/>
            <w:tcMar>
              <w:left w:w="28" w:type="dxa"/>
              <w:right w:w="28" w:type="dxa"/>
            </w:tcMar>
            <w:vAlign w:val="center"/>
          </w:tcPr>
          <w:p w:rsidR="00286780" w:rsidRPr="00FE6318" w:rsidRDefault="00286780" w:rsidP="00FE6318">
            <w:pPr>
              <w:snapToGrid w:val="0"/>
              <w:jc w:val="center"/>
              <w:rPr>
                <w:rFonts w:cs="Calibri"/>
                <w:spacing w:val="-8"/>
                <w:sz w:val="24"/>
                <w:szCs w:val="24"/>
                <w:lang w:eastAsia="ar-SA"/>
              </w:rPr>
            </w:pPr>
            <w:r>
              <w:rPr>
                <w:rFonts w:cs="Calibri"/>
                <w:spacing w:val="-8"/>
                <w:sz w:val="24"/>
                <w:szCs w:val="24"/>
                <w:lang w:eastAsia="ar-SA"/>
              </w:rPr>
              <w:t>53,3[52,1;</w:t>
            </w:r>
            <w:r w:rsidRPr="00FE6318">
              <w:rPr>
                <w:rFonts w:cs="Calibri"/>
                <w:spacing w:val="-8"/>
                <w:sz w:val="24"/>
                <w:szCs w:val="24"/>
                <w:lang w:eastAsia="ar-SA"/>
              </w:rPr>
              <w:t>57,5]</w:t>
            </w:r>
          </w:p>
        </w:tc>
      </w:tr>
      <w:tr w:rsidR="00286780" w:rsidRPr="00FE6318" w:rsidTr="00AA79AB">
        <w:trPr>
          <w:trHeight w:val="454"/>
        </w:trPr>
        <w:tc>
          <w:tcPr>
            <w:tcW w:w="2296" w:type="dxa"/>
            <w:tcMar>
              <w:left w:w="28" w:type="dxa"/>
              <w:right w:w="28" w:type="dxa"/>
            </w:tcMar>
            <w:vAlign w:val="center"/>
          </w:tcPr>
          <w:p w:rsidR="00286780" w:rsidRPr="00FE6318" w:rsidRDefault="00286780" w:rsidP="00FE6318">
            <w:pPr>
              <w:snapToGrid w:val="0"/>
              <w:rPr>
                <w:rFonts w:cs="Calibri"/>
                <w:spacing w:val="-8"/>
                <w:sz w:val="24"/>
                <w:szCs w:val="24"/>
                <w:lang w:eastAsia="ar-SA"/>
              </w:rPr>
            </w:pPr>
            <w:r w:rsidRPr="00FE6318">
              <w:rPr>
                <w:rFonts w:cs="Calibri"/>
                <w:spacing w:val="-8"/>
                <w:sz w:val="24"/>
                <w:szCs w:val="24"/>
                <w:lang w:eastAsia="ar-SA"/>
              </w:rPr>
              <w:t>Билирубин общий (мкмоль/л)</w:t>
            </w:r>
          </w:p>
        </w:tc>
        <w:tc>
          <w:tcPr>
            <w:tcW w:w="1985" w:type="dxa"/>
            <w:tcMar>
              <w:left w:w="28" w:type="dxa"/>
              <w:right w:w="28" w:type="dxa"/>
            </w:tcMar>
            <w:vAlign w:val="center"/>
          </w:tcPr>
          <w:p w:rsidR="00286780" w:rsidRPr="00FE6318" w:rsidRDefault="00286780" w:rsidP="00FE6318">
            <w:pPr>
              <w:snapToGrid w:val="0"/>
              <w:jc w:val="center"/>
              <w:rPr>
                <w:rFonts w:cs="Calibri"/>
                <w:spacing w:val="-8"/>
                <w:sz w:val="24"/>
                <w:szCs w:val="24"/>
                <w:lang w:val="en-US" w:eastAsia="ar-SA"/>
              </w:rPr>
            </w:pPr>
            <w:r>
              <w:rPr>
                <w:rFonts w:cs="Calibri"/>
                <w:spacing w:val="-8"/>
                <w:sz w:val="24"/>
                <w:szCs w:val="24"/>
                <w:lang w:eastAsia="ar-SA"/>
              </w:rPr>
              <w:t>14,6[12,8;21,4</w:t>
            </w:r>
            <w:r w:rsidRPr="00FE6318">
              <w:rPr>
                <w:rFonts w:cs="Calibri"/>
                <w:spacing w:val="-8"/>
                <w:sz w:val="24"/>
                <w:szCs w:val="24"/>
                <w:lang w:val="en-US" w:eastAsia="ar-SA"/>
              </w:rPr>
              <w:t>]</w:t>
            </w:r>
          </w:p>
        </w:tc>
        <w:tc>
          <w:tcPr>
            <w:tcW w:w="1843" w:type="dxa"/>
            <w:tcMar>
              <w:left w:w="28" w:type="dxa"/>
              <w:right w:w="28" w:type="dxa"/>
            </w:tcMar>
            <w:vAlign w:val="center"/>
          </w:tcPr>
          <w:p w:rsidR="00286780" w:rsidRPr="00FE6318" w:rsidRDefault="00286780" w:rsidP="00FE6318">
            <w:pPr>
              <w:snapToGrid w:val="0"/>
              <w:jc w:val="center"/>
              <w:rPr>
                <w:rFonts w:cs="Calibri"/>
                <w:spacing w:val="-8"/>
                <w:sz w:val="24"/>
                <w:szCs w:val="24"/>
                <w:lang w:val="en-US" w:eastAsia="ar-SA"/>
              </w:rPr>
            </w:pPr>
            <w:r>
              <w:rPr>
                <w:rFonts w:cs="Calibri"/>
                <w:spacing w:val="-8"/>
                <w:sz w:val="24"/>
                <w:szCs w:val="24"/>
                <w:lang w:eastAsia="ar-SA"/>
              </w:rPr>
              <w:t>13,2</w:t>
            </w:r>
            <w:r w:rsidRPr="00FE6318">
              <w:rPr>
                <w:rFonts w:cs="Calibri"/>
                <w:spacing w:val="-8"/>
                <w:sz w:val="24"/>
                <w:szCs w:val="24"/>
                <w:lang w:val="en-US" w:eastAsia="ar-SA"/>
              </w:rPr>
              <w:t>[</w:t>
            </w:r>
            <w:r>
              <w:rPr>
                <w:rFonts w:cs="Calibri"/>
                <w:spacing w:val="-8"/>
                <w:sz w:val="24"/>
                <w:szCs w:val="24"/>
                <w:lang w:eastAsia="ar-SA"/>
              </w:rPr>
              <w:t>11;14,7</w:t>
            </w:r>
            <w:r w:rsidRPr="00FE6318">
              <w:rPr>
                <w:rFonts w:cs="Calibri"/>
                <w:spacing w:val="-8"/>
                <w:sz w:val="24"/>
                <w:szCs w:val="24"/>
                <w:lang w:val="en-US" w:eastAsia="ar-SA"/>
              </w:rPr>
              <w:t>]</w:t>
            </w:r>
          </w:p>
        </w:tc>
        <w:tc>
          <w:tcPr>
            <w:tcW w:w="1842" w:type="dxa"/>
            <w:tcMar>
              <w:left w:w="28" w:type="dxa"/>
              <w:right w:w="28" w:type="dxa"/>
            </w:tcMar>
            <w:vAlign w:val="center"/>
          </w:tcPr>
          <w:p w:rsidR="00286780" w:rsidRPr="00FE6318" w:rsidRDefault="00286780" w:rsidP="00FE6318">
            <w:pPr>
              <w:snapToGrid w:val="0"/>
              <w:jc w:val="center"/>
              <w:rPr>
                <w:rFonts w:cs="Calibri"/>
                <w:spacing w:val="-8"/>
                <w:sz w:val="24"/>
                <w:szCs w:val="24"/>
                <w:lang w:val="en-US" w:eastAsia="ar-SA"/>
              </w:rPr>
            </w:pPr>
            <w:r>
              <w:rPr>
                <w:rFonts w:cs="Calibri"/>
                <w:spacing w:val="-8"/>
                <w:sz w:val="24"/>
                <w:szCs w:val="24"/>
                <w:lang w:eastAsia="ar-SA"/>
              </w:rPr>
              <w:t>15,2</w:t>
            </w:r>
            <w:r w:rsidRPr="00FE6318">
              <w:rPr>
                <w:rFonts w:cs="Calibri"/>
                <w:spacing w:val="-8"/>
                <w:sz w:val="24"/>
                <w:szCs w:val="24"/>
                <w:lang w:val="en-US" w:eastAsia="ar-SA"/>
              </w:rPr>
              <w:t>[</w:t>
            </w:r>
            <w:r>
              <w:rPr>
                <w:rFonts w:cs="Calibri"/>
                <w:spacing w:val="-8"/>
                <w:sz w:val="24"/>
                <w:szCs w:val="24"/>
                <w:lang w:eastAsia="ar-SA"/>
              </w:rPr>
              <w:t>11,7;</w:t>
            </w:r>
            <w:r w:rsidRPr="00FE6318">
              <w:rPr>
                <w:rFonts w:cs="Calibri"/>
                <w:spacing w:val="-8"/>
                <w:sz w:val="24"/>
                <w:szCs w:val="24"/>
                <w:lang w:eastAsia="ar-SA"/>
              </w:rPr>
              <w:t>18,5</w:t>
            </w:r>
            <w:r w:rsidRPr="00FE6318">
              <w:rPr>
                <w:rFonts w:cs="Calibri"/>
                <w:spacing w:val="-8"/>
                <w:sz w:val="24"/>
                <w:szCs w:val="24"/>
                <w:lang w:val="en-US" w:eastAsia="ar-SA"/>
              </w:rPr>
              <w:t>]</w:t>
            </w:r>
          </w:p>
        </w:tc>
        <w:tc>
          <w:tcPr>
            <w:tcW w:w="1957" w:type="dxa"/>
            <w:tcMar>
              <w:left w:w="28" w:type="dxa"/>
              <w:right w:w="28" w:type="dxa"/>
            </w:tcMar>
            <w:vAlign w:val="center"/>
          </w:tcPr>
          <w:p w:rsidR="00286780" w:rsidRPr="00FE6318" w:rsidRDefault="00286780" w:rsidP="00FE6318">
            <w:pPr>
              <w:snapToGrid w:val="0"/>
              <w:jc w:val="center"/>
              <w:rPr>
                <w:rFonts w:cs="Calibri"/>
                <w:spacing w:val="-8"/>
                <w:sz w:val="24"/>
                <w:szCs w:val="24"/>
                <w:lang w:val="en-US" w:eastAsia="ar-SA"/>
              </w:rPr>
            </w:pPr>
            <w:r>
              <w:rPr>
                <w:rFonts w:cs="Calibri"/>
                <w:spacing w:val="-8"/>
                <w:sz w:val="24"/>
                <w:szCs w:val="24"/>
                <w:lang w:eastAsia="ar-SA"/>
              </w:rPr>
              <w:t>12,6</w:t>
            </w:r>
            <w:r w:rsidRPr="00FE6318">
              <w:rPr>
                <w:rFonts w:cs="Calibri"/>
                <w:spacing w:val="-8"/>
                <w:sz w:val="24"/>
                <w:szCs w:val="24"/>
                <w:lang w:val="en-US" w:eastAsia="ar-SA"/>
              </w:rPr>
              <w:t>[</w:t>
            </w:r>
            <w:r>
              <w:rPr>
                <w:rFonts w:cs="Calibri"/>
                <w:spacing w:val="-8"/>
                <w:sz w:val="24"/>
                <w:szCs w:val="24"/>
                <w:lang w:eastAsia="ar-SA"/>
              </w:rPr>
              <w:t>6,75;</w:t>
            </w:r>
            <w:r w:rsidRPr="00FE6318">
              <w:rPr>
                <w:rFonts w:cs="Calibri"/>
                <w:spacing w:val="-8"/>
                <w:sz w:val="24"/>
                <w:szCs w:val="24"/>
                <w:lang w:eastAsia="ar-SA"/>
              </w:rPr>
              <w:t>22,95</w:t>
            </w:r>
            <w:r w:rsidRPr="00FE6318">
              <w:rPr>
                <w:rFonts w:cs="Calibri"/>
                <w:spacing w:val="-8"/>
                <w:sz w:val="24"/>
                <w:szCs w:val="24"/>
                <w:lang w:val="en-US" w:eastAsia="ar-SA"/>
              </w:rPr>
              <w:t>]</w:t>
            </w:r>
          </w:p>
        </w:tc>
      </w:tr>
      <w:tr w:rsidR="00286780" w:rsidRPr="00FE6318" w:rsidTr="00AA79AB">
        <w:trPr>
          <w:trHeight w:val="454"/>
        </w:trPr>
        <w:tc>
          <w:tcPr>
            <w:tcW w:w="2296" w:type="dxa"/>
            <w:tcMar>
              <w:left w:w="28" w:type="dxa"/>
              <w:right w:w="28" w:type="dxa"/>
            </w:tcMar>
            <w:vAlign w:val="center"/>
          </w:tcPr>
          <w:p w:rsidR="00286780" w:rsidRPr="00FE6318" w:rsidRDefault="00286780" w:rsidP="00FE6318">
            <w:pPr>
              <w:snapToGrid w:val="0"/>
              <w:rPr>
                <w:rFonts w:cs="Calibri"/>
                <w:spacing w:val="-8"/>
                <w:sz w:val="24"/>
                <w:szCs w:val="24"/>
                <w:lang w:eastAsia="ar-SA"/>
              </w:rPr>
            </w:pPr>
            <w:r w:rsidRPr="00FE6318">
              <w:rPr>
                <w:rFonts w:cs="Calibri"/>
                <w:spacing w:val="-8"/>
                <w:sz w:val="24"/>
                <w:szCs w:val="24"/>
                <w:lang w:eastAsia="ar-SA"/>
              </w:rPr>
              <w:t>Мочевина (ммоль/л)</w:t>
            </w:r>
          </w:p>
        </w:tc>
        <w:tc>
          <w:tcPr>
            <w:tcW w:w="1985" w:type="dxa"/>
            <w:tcMar>
              <w:left w:w="28" w:type="dxa"/>
              <w:right w:w="28" w:type="dxa"/>
            </w:tcMar>
            <w:vAlign w:val="center"/>
          </w:tcPr>
          <w:p w:rsidR="00286780" w:rsidRPr="00FE6318" w:rsidRDefault="00286780" w:rsidP="00FE6318">
            <w:pPr>
              <w:snapToGrid w:val="0"/>
              <w:jc w:val="center"/>
              <w:rPr>
                <w:rFonts w:cs="Calibri"/>
                <w:spacing w:val="-8"/>
                <w:sz w:val="24"/>
                <w:szCs w:val="24"/>
                <w:lang w:val="en-US" w:eastAsia="ar-SA"/>
              </w:rPr>
            </w:pPr>
            <w:r>
              <w:rPr>
                <w:rFonts w:cs="Calibri"/>
                <w:spacing w:val="-8"/>
                <w:sz w:val="24"/>
                <w:szCs w:val="24"/>
                <w:lang w:eastAsia="ar-SA"/>
              </w:rPr>
              <w:t>7,5</w:t>
            </w:r>
            <w:r w:rsidRPr="00FE6318">
              <w:rPr>
                <w:rFonts w:cs="Calibri"/>
                <w:spacing w:val="-8"/>
                <w:sz w:val="24"/>
                <w:szCs w:val="24"/>
                <w:lang w:val="en-US" w:eastAsia="ar-SA"/>
              </w:rPr>
              <w:t>[</w:t>
            </w:r>
            <w:r>
              <w:rPr>
                <w:rFonts w:cs="Calibri"/>
                <w:spacing w:val="-8"/>
                <w:sz w:val="24"/>
                <w:szCs w:val="24"/>
                <w:lang w:eastAsia="ar-SA"/>
              </w:rPr>
              <w:t>6,11;9,3</w:t>
            </w:r>
            <w:r w:rsidRPr="00FE6318">
              <w:rPr>
                <w:rFonts w:cs="Calibri"/>
                <w:spacing w:val="-8"/>
                <w:sz w:val="24"/>
                <w:szCs w:val="24"/>
                <w:lang w:val="en-US" w:eastAsia="ar-SA"/>
              </w:rPr>
              <w:t>]</w:t>
            </w:r>
          </w:p>
        </w:tc>
        <w:tc>
          <w:tcPr>
            <w:tcW w:w="1843" w:type="dxa"/>
            <w:tcMar>
              <w:left w:w="28" w:type="dxa"/>
              <w:right w:w="28" w:type="dxa"/>
            </w:tcMar>
            <w:vAlign w:val="center"/>
          </w:tcPr>
          <w:p w:rsidR="00286780" w:rsidRPr="00FE6318" w:rsidRDefault="00286780" w:rsidP="00FE6318">
            <w:pPr>
              <w:snapToGrid w:val="0"/>
              <w:jc w:val="center"/>
              <w:rPr>
                <w:rFonts w:cs="Calibri"/>
                <w:spacing w:val="-8"/>
                <w:sz w:val="24"/>
                <w:szCs w:val="24"/>
                <w:lang w:val="en-US" w:eastAsia="ar-SA"/>
              </w:rPr>
            </w:pPr>
            <w:r>
              <w:rPr>
                <w:rFonts w:cs="Calibri"/>
                <w:spacing w:val="-8"/>
                <w:sz w:val="24"/>
                <w:szCs w:val="24"/>
                <w:lang w:eastAsia="ar-SA"/>
              </w:rPr>
              <w:t>9,52</w:t>
            </w:r>
            <w:r w:rsidRPr="00FE6318">
              <w:rPr>
                <w:rFonts w:cs="Calibri"/>
                <w:spacing w:val="-8"/>
                <w:sz w:val="24"/>
                <w:szCs w:val="24"/>
                <w:lang w:val="en-US" w:eastAsia="ar-SA"/>
              </w:rPr>
              <w:t>[</w:t>
            </w:r>
            <w:r>
              <w:rPr>
                <w:rFonts w:cs="Calibri"/>
                <w:spacing w:val="-8"/>
                <w:sz w:val="24"/>
                <w:szCs w:val="24"/>
                <w:lang w:eastAsia="ar-SA"/>
              </w:rPr>
              <w:t>7,69;14,6</w:t>
            </w:r>
            <w:r w:rsidRPr="00FE6318">
              <w:rPr>
                <w:rFonts w:cs="Calibri"/>
                <w:spacing w:val="-8"/>
                <w:sz w:val="24"/>
                <w:szCs w:val="24"/>
                <w:lang w:val="en-US" w:eastAsia="ar-SA"/>
              </w:rPr>
              <w:t>]</w:t>
            </w:r>
          </w:p>
        </w:tc>
        <w:tc>
          <w:tcPr>
            <w:tcW w:w="1842" w:type="dxa"/>
            <w:tcMar>
              <w:left w:w="28" w:type="dxa"/>
              <w:right w:w="28" w:type="dxa"/>
            </w:tcMar>
            <w:vAlign w:val="center"/>
          </w:tcPr>
          <w:p w:rsidR="00286780" w:rsidRPr="00FE6318" w:rsidRDefault="00286780" w:rsidP="00FE6318">
            <w:pPr>
              <w:snapToGrid w:val="0"/>
              <w:jc w:val="center"/>
              <w:rPr>
                <w:rFonts w:cs="Calibri"/>
                <w:spacing w:val="-8"/>
                <w:sz w:val="24"/>
                <w:szCs w:val="24"/>
                <w:lang w:val="en-US" w:eastAsia="ar-SA"/>
              </w:rPr>
            </w:pPr>
            <w:r>
              <w:rPr>
                <w:rFonts w:cs="Calibri"/>
                <w:spacing w:val="-8"/>
                <w:sz w:val="24"/>
                <w:szCs w:val="24"/>
                <w:lang w:eastAsia="ar-SA"/>
              </w:rPr>
              <w:t>7,5</w:t>
            </w:r>
            <w:r w:rsidRPr="00FE6318">
              <w:rPr>
                <w:rFonts w:cs="Calibri"/>
                <w:spacing w:val="-8"/>
                <w:sz w:val="24"/>
                <w:szCs w:val="24"/>
                <w:lang w:val="en-US" w:eastAsia="ar-SA"/>
              </w:rPr>
              <w:t>[</w:t>
            </w:r>
            <w:r>
              <w:rPr>
                <w:rFonts w:cs="Calibri"/>
                <w:spacing w:val="-8"/>
                <w:sz w:val="24"/>
                <w:szCs w:val="24"/>
                <w:lang w:eastAsia="ar-SA"/>
              </w:rPr>
              <w:t>5,4;</w:t>
            </w:r>
            <w:r w:rsidRPr="00FE6318">
              <w:rPr>
                <w:rFonts w:cs="Calibri"/>
                <w:spacing w:val="-8"/>
                <w:sz w:val="24"/>
                <w:szCs w:val="24"/>
                <w:lang w:eastAsia="ar-SA"/>
              </w:rPr>
              <w:t>10,3</w:t>
            </w:r>
            <w:r w:rsidRPr="00FE6318">
              <w:rPr>
                <w:rFonts w:cs="Calibri"/>
                <w:spacing w:val="-8"/>
                <w:sz w:val="24"/>
                <w:szCs w:val="24"/>
                <w:lang w:val="en-US" w:eastAsia="ar-SA"/>
              </w:rPr>
              <w:t>]</w:t>
            </w:r>
          </w:p>
        </w:tc>
        <w:tc>
          <w:tcPr>
            <w:tcW w:w="1957" w:type="dxa"/>
            <w:tcMar>
              <w:left w:w="28" w:type="dxa"/>
              <w:right w:w="28" w:type="dxa"/>
            </w:tcMar>
            <w:vAlign w:val="center"/>
          </w:tcPr>
          <w:p w:rsidR="00286780" w:rsidRPr="00FE6318" w:rsidRDefault="00286780" w:rsidP="00FE6318">
            <w:pPr>
              <w:snapToGrid w:val="0"/>
              <w:jc w:val="center"/>
              <w:rPr>
                <w:rFonts w:cs="Calibri"/>
                <w:spacing w:val="-8"/>
                <w:sz w:val="24"/>
                <w:szCs w:val="24"/>
                <w:lang w:val="en-US" w:eastAsia="ar-SA"/>
              </w:rPr>
            </w:pPr>
            <w:r>
              <w:rPr>
                <w:rFonts w:cs="Calibri"/>
                <w:spacing w:val="-8"/>
                <w:sz w:val="24"/>
                <w:szCs w:val="24"/>
                <w:lang w:eastAsia="ar-SA"/>
              </w:rPr>
              <w:t>12</w:t>
            </w:r>
            <w:r w:rsidRPr="00FE6318">
              <w:rPr>
                <w:rFonts w:cs="Calibri"/>
                <w:spacing w:val="-8"/>
                <w:sz w:val="24"/>
                <w:szCs w:val="24"/>
                <w:lang w:val="en-US" w:eastAsia="ar-SA"/>
              </w:rPr>
              <w:t>[</w:t>
            </w:r>
            <w:r>
              <w:rPr>
                <w:rFonts w:cs="Calibri"/>
                <w:spacing w:val="-8"/>
                <w:sz w:val="24"/>
                <w:szCs w:val="24"/>
                <w:lang w:eastAsia="ar-SA"/>
              </w:rPr>
              <w:t>9,9;</w:t>
            </w:r>
            <w:r w:rsidRPr="00FE6318">
              <w:rPr>
                <w:rFonts w:cs="Calibri"/>
                <w:spacing w:val="-8"/>
                <w:sz w:val="24"/>
                <w:szCs w:val="24"/>
                <w:lang w:eastAsia="ar-SA"/>
              </w:rPr>
              <w:t>18,2</w:t>
            </w:r>
            <w:r w:rsidRPr="00FE6318">
              <w:rPr>
                <w:rFonts w:cs="Calibri"/>
                <w:spacing w:val="-8"/>
                <w:sz w:val="24"/>
                <w:szCs w:val="24"/>
                <w:lang w:val="en-US" w:eastAsia="ar-SA"/>
              </w:rPr>
              <w:t>]</w:t>
            </w:r>
          </w:p>
        </w:tc>
      </w:tr>
      <w:tr w:rsidR="00286780" w:rsidRPr="00FE6318" w:rsidTr="00AA79AB">
        <w:trPr>
          <w:trHeight w:val="454"/>
        </w:trPr>
        <w:tc>
          <w:tcPr>
            <w:tcW w:w="2296" w:type="dxa"/>
            <w:tcMar>
              <w:left w:w="28" w:type="dxa"/>
              <w:right w:w="28" w:type="dxa"/>
            </w:tcMar>
            <w:vAlign w:val="center"/>
          </w:tcPr>
          <w:p w:rsidR="00286780" w:rsidRPr="00FE6318" w:rsidRDefault="00286780" w:rsidP="00FE6318">
            <w:pPr>
              <w:snapToGrid w:val="0"/>
              <w:rPr>
                <w:rFonts w:cs="Calibri"/>
                <w:spacing w:val="-8"/>
                <w:sz w:val="24"/>
                <w:szCs w:val="24"/>
                <w:lang w:eastAsia="ar-SA"/>
              </w:rPr>
            </w:pPr>
            <w:r w:rsidRPr="00FE6318">
              <w:rPr>
                <w:rFonts w:cs="Calibri"/>
                <w:spacing w:val="-8"/>
                <w:sz w:val="24"/>
                <w:szCs w:val="24"/>
                <w:lang w:eastAsia="ar-SA"/>
              </w:rPr>
              <w:t xml:space="preserve">Креатинин (мкмоль/л) </w:t>
            </w:r>
          </w:p>
        </w:tc>
        <w:tc>
          <w:tcPr>
            <w:tcW w:w="1985" w:type="dxa"/>
            <w:tcMar>
              <w:left w:w="28" w:type="dxa"/>
              <w:right w:w="28" w:type="dxa"/>
            </w:tcMar>
            <w:vAlign w:val="center"/>
          </w:tcPr>
          <w:p w:rsidR="00286780" w:rsidRPr="00FE6318" w:rsidRDefault="00286780" w:rsidP="00FE6318">
            <w:pPr>
              <w:snapToGrid w:val="0"/>
              <w:jc w:val="center"/>
              <w:rPr>
                <w:rFonts w:cs="Calibri"/>
                <w:spacing w:val="-8"/>
                <w:sz w:val="24"/>
                <w:szCs w:val="24"/>
                <w:lang w:val="en-US" w:eastAsia="ar-SA"/>
              </w:rPr>
            </w:pPr>
            <w:r>
              <w:rPr>
                <w:rFonts w:cs="Calibri"/>
                <w:spacing w:val="-8"/>
                <w:sz w:val="24"/>
                <w:szCs w:val="24"/>
                <w:lang w:eastAsia="ar-SA"/>
              </w:rPr>
              <w:t>96,5</w:t>
            </w:r>
            <w:r w:rsidRPr="00FE6318">
              <w:rPr>
                <w:rFonts w:cs="Calibri"/>
                <w:spacing w:val="-8"/>
                <w:sz w:val="24"/>
                <w:szCs w:val="24"/>
                <w:lang w:val="en-US" w:eastAsia="ar-SA"/>
              </w:rPr>
              <w:t>[</w:t>
            </w:r>
            <w:r>
              <w:rPr>
                <w:rFonts w:cs="Calibri"/>
                <w:spacing w:val="-8"/>
                <w:sz w:val="24"/>
                <w:szCs w:val="24"/>
                <w:lang w:eastAsia="ar-SA"/>
              </w:rPr>
              <w:t>80,2;132,5</w:t>
            </w:r>
            <w:r w:rsidRPr="00FE6318">
              <w:rPr>
                <w:rFonts w:cs="Calibri"/>
                <w:spacing w:val="-8"/>
                <w:sz w:val="24"/>
                <w:szCs w:val="24"/>
                <w:lang w:val="en-US" w:eastAsia="ar-SA"/>
              </w:rPr>
              <w:t>]</w:t>
            </w:r>
          </w:p>
        </w:tc>
        <w:tc>
          <w:tcPr>
            <w:tcW w:w="1843" w:type="dxa"/>
            <w:tcMar>
              <w:left w:w="28" w:type="dxa"/>
              <w:right w:w="28" w:type="dxa"/>
            </w:tcMar>
            <w:vAlign w:val="center"/>
          </w:tcPr>
          <w:p w:rsidR="00286780" w:rsidRPr="00FE6318" w:rsidRDefault="00286780" w:rsidP="00FE6318">
            <w:pPr>
              <w:snapToGrid w:val="0"/>
              <w:jc w:val="center"/>
              <w:rPr>
                <w:rFonts w:cs="Calibri"/>
                <w:spacing w:val="-8"/>
                <w:sz w:val="24"/>
                <w:szCs w:val="24"/>
                <w:lang w:val="en-US" w:eastAsia="ar-SA"/>
              </w:rPr>
            </w:pPr>
            <w:r>
              <w:rPr>
                <w:rFonts w:cs="Calibri"/>
                <w:spacing w:val="-8"/>
                <w:sz w:val="24"/>
                <w:szCs w:val="24"/>
                <w:lang w:eastAsia="ar-SA"/>
              </w:rPr>
              <w:t>110</w:t>
            </w:r>
            <w:r w:rsidRPr="00FE6318">
              <w:rPr>
                <w:rFonts w:cs="Calibri"/>
                <w:spacing w:val="-8"/>
                <w:sz w:val="24"/>
                <w:szCs w:val="24"/>
                <w:lang w:val="en-US" w:eastAsia="ar-SA"/>
              </w:rPr>
              <w:t>[</w:t>
            </w:r>
            <w:r>
              <w:rPr>
                <w:rFonts w:cs="Calibri"/>
                <w:spacing w:val="-8"/>
                <w:sz w:val="24"/>
                <w:szCs w:val="24"/>
                <w:lang w:eastAsia="ar-SA"/>
              </w:rPr>
              <w:t>85;205</w:t>
            </w:r>
            <w:r w:rsidRPr="00FE6318">
              <w:rPr>
                <w:rFonts w:cs="Calibri"/>
                <w:spacing w:val="-8"/>
                <w:sz w:val="24"/>
                <w:szCs w:val="24"/>
                <w:lang w:val="en-US" w:eastAsia="ar-SA"/>
              </w:rPr>
              <w:t>]</w:t>
            </w:r>
          </w:p>
        </w:tc>
        <w:tc>
          <w:tcPr>
            <w:tcW w:w="1842" w:type="dxa"/>
            <w:tcMar>
              <w:left w:w="28" w:type="dxa"/>
              <w:right w:w="28" w:type="dxa"/>
            </w:tcMar>
            <w:vAlign w:val="center"/>
          </w:tcPr>
          <w:p w:rsidR="00286780" w:rsidRPr="00FE6318" w:rsidRDefault="00286780" w:rsidP="00FE6318">
            <w:pPr>
              <w:snapToGrid w:val="0"/>
              <w:jc w:val="center"/>
              <w:rPr>
                <w:rFonts w:cs="Calibri"/>
                <w:spacing w:val="-8"/>
                <w:sz w:val="24"/>
                <w:szCs w:val="24"/>
                <w:lang w:val="en-US" w:eastAsia="ar-SA"/>
              </w:rPr>
            </w:pPr>
            <w:r>
              <w:rPr>
                <w:rFonts w:cs="Calibri"/>
                <w:spacing w:val="-8"/>
                <w:sz w:val="24"/>
                <w:szCs w:val="24"/>
                <w:lang w:eastAsia="ar-SA"/>
              </w:rPr>
              <w:t>109</w:t>
            </w:r>
            <w:r w:rsidRPr="00FE6318">
              <w:rPr>
                <w:rFonts w:cs="Calibri"/>
                <w:spacing w:val="-8"/>
                <w:sz w:val="24"/>
                <w:szCs w:val="24"/>
                <w:lang w:val="en-US" w:eastAsia="ar-SA"/>
              </w:rPr>
              <w:t>[</w:t>
            </w:r>
            <w:r>
              <w:rPr>
                <w:rFonts w:cs="Calibri"/>
                <w:spacing w:val="-8"/>
                <w:sz w:val="24"/>
                <w:szCs w:val="24"/>
                <w:lang w:eastAsia="ar-SA"/>
              </w:rPr>
              <w:t>95,1;</w:t>
            </w:r>
            <w:r w:rsidRPr="00FE6318">
              <w:rPr>
                <w:rFonts w:cs="Calibri"/>
                <w:spacing w:val="-8"/>
                <w:sz w:val="24"/>
                <w:szCs w:val="24"/>
                <w:lang w:eastAsia="ar-SA"/>
              </w:rPr>
              <w:t>142,5</w:t>
            </w:r>
            <w:r w:rsidRPr="00FE6318">
              <w:rPr>
                <w:rFonts w:cs="Calibri"/>
                <w:spacing w:val="-8"/>
                <w:sz w:val="24"/>
                <w:szCs w:val="24"/>
                <w:lang w:val="en-US" w:eastAsia="ar-SA"/>
              </w:rPr>
              <w:t>]</w:t>
            </w:r>
          </w:p>
        </w:tc>
        <w:tc>
          <w:tcPr>
            <w:tcW w:w="1957" w:type="dxa"/>
            <w:tcMar>
              <w:left w:w="28" w:type="dxa"/>
              <w:right w:w="28" w:type="dxa"/>
            </w:tcMar>
            <w:vAlign w:val="center"/>
          </w:tcPr>
          <w:p w:rsidR="00286780" w:rsidRPr="00FE6318" w:rsidRDefault="00286780" w:rsidP="00FE6318">
            <w:pPr>
              <w:snapToGrid w:val="0"/>
              <w:jc w:val="center"/>
              <w:rPr>
                <w:rFonts w:cs="Calibri"/>
                <w:spacing w:val="-8"/>
                <w:sz w:val="24"/>
                <w:szCs w:val="24"/>
                <w:lang w:val="en-US" w:eastAsia="ar-SA"/>
              </w:rPr>
            </w:pPr>
            <w:r>
              <w:rPr>
                <w:rFonts w:cs="Calibri"/>
                <w:spacing w:val="-8"/>
                <w:sz w:val="24"/>
                <w:szCs w:val="24"/>
                <w:lang w:eastAsia="ar-SA"/>
              </w:rPr>
              <w:t>116,6</w:t>
            </w:r>
            <w:r w:rsidRPr="00FE6318">
              <w:rPr>
                <w:rFonts w:cs="Calibri"/>
                <w:spacing w:val="-8"/>
                <w:sz w:val="24"/>
                <w:szCs w:val="24"/>
                <w:lang w:val="en-US" w:eastAsia="ar-SA"/>
              </w:rPr>
              <w:t>[</w:t>
            </w:r>
            <w:r>
              <w:rPr>
                <w:rFonts w:cs="Calibri"/>
                <w:spacing w:val="-8"/>
                <w:sz w:val="24"/>
                <w:szCs w:val="24"/>
                <w:lang w:eastAsia="ar-SA"/>
              </w:rPr>
              <w:t>90,9;</w:t>
            </w:r>
            <w:r w:rsidRPr="00FE6318">
              <w:rPr>
                <w:rFonts w:cs="Calibri"/>
                <w:spacing w:val="-8"/>
                <w:sz w:val="24"/>
                <w:szCs w:val="24"/>
                <w:lang w:eastAsia="ar-SA"/>
              </w:rPr>
              <w:t>308,7</w:t>
            </w:r>
            <w:r w:rsidRPr="00FE6318">
              <w:rPr>
                <w:rFonts w:cs="Calibri"/>
                <w:spacing w:val="-8"/>
                <w:sz w:val="24"/>
                <w:szCs w:val="24"/>
                <w:lang w:val="en-US" w:eastAsia="ar-SA"/>
              </w:rPr>
              <w:t>]</w:t>
            </w:r>
          </w:p>
        </w:tc>
      </w:tr>
      <w:tr w:rsidR="00286780" w:rsidRPr="00FE6318" w:rsidTr="00AA79AB">
        <w:trPr>
          <w:trHeight w:val="454"/>
        </w:trPr>
        <w:tc>
          <w:tcPr>
            <w:tcW w:w="2296" w:type="dxa"/>
            <w:tcMar>
              <w:left w:w="28" w:type="dxa"/>
              <w:right w:w="28" w:type="dxa"/>
            </w:tcMar>
            <w:vAlign w:val="center"/>
          </w:tcPr>
          <w:p w:rsidR="00286780" w:rsidRPr="00FE6318" w:rsidRDefault="00286780" w:rsidP="00FE6318">
            <w:pPr>
              <w:snapToGrid w:val="0"/>
              <w:rPr>
                <w:rFonts w:cs="Calibri"/>
                <w:spacing w:val="-8"/>
                <w:sz w:val="24"/>
                <w:szCs w:val="24"/>
                <w:lang w:eastAsia="ar-SA"/>
              </w:rPr>
            </w:pPr>
            <w:r w:rsidRPr="00FE6318">
              <w:rPr>
                <w:rFonts w:cs="Calibri"/>
                <w:spacing w:val="-8"/>
                <w:sz w:val="24"/>
                <w:szCs w:val="24"/>
                <w:lang w:eastAsia="ar-SA"/>
              </w:rPr>
              <w:t>Температура тела (ºС)</w:t>
            </w:r>
          </w:p>
        </w:tc>
        <w:tc>
          <w:tcPr>
            <w:tcW w:w="1985" w:type="dxa"/>
            <w:tcMar>
              <w:left w:w="28" w:type="dxa"/>
              <w:right w:w="28" w:type="dxa"/>
            </w:tcMar>
            <w:vAlign w:val="center"/>
          </w:tcPr>
          <w:p w:rsidR="00286780" w:rsidRPr="00FE6318" w:rsidRDefault="00286780" w:rsidP="00FE6318">
            <w:pPr>
              <w:snapToGrid w:val="0"/>
              <w:jc w:val="center"/>
              <w:rPr>
                <w:rFonts w:cs="Calibri"/>
                <w:spacing w:val="-8"/>
                <w:sz w:val="24"/>
                <w:szCs w:val="24"/>
                <w:lang w:eastAsia="ar-SA"/>
              </w:rPr>
            </w:pPr>
            <w:r>
              <w:rPr>
                <w:rFonts w:cs="Calibri"/>
                <w:spacing w:val="-8"/>
                <w:sz w:val="24"/>
                <w:szCs w:val="24"/>
                <w:lang w:eastAsia="ar-SA"/>
              </w:rPr>
              <w:t>37[36,7;38</w:t>
            </w:r>
            <w:r w:rsidRPr="00FE6318">
              <w:rPr>
                <w:rFonts w:cs="Calibri"/>
                <w:spacing w:val="-8"/>
                <w:sz w:val="24"/>
                <w:szCs w:val="24"/>
                <w:lang w:eastAsia="ar-SA"/>
              </w:rPr>
              <w:t>]</w:t>
            </w:r>
          </w:p>
        </w:tc>
        <w:tc>
          <w:tcPr>
            <w:tcW w:w="1843" w:type="dxa"/>
            <w:tcMar>
              <w:left w:w="28" w:type="dxa"/>
              <w:right w:w="28" w:type="dxa"/>
            </w:tcMar>
            <w:vAlign w:val="center"/>
          </w:tcPr>
          <w:p w:rsidR="00286780" w:rsidRPr="00FE6318" w:rsidRDefault="00286780" w:rsidP="00FE6318">
            <w:pPr>
              <w:snapToGrid w:val="0"/>
              <w:jc w:val="center"/>
              <w:rPr>
                <w:rFonts w:cs="Calibri"/>
                <w:spacing w:val="-8"/>
                <w:sz w:val="24"/>
                <w:szCs w:val="24"/>
                <w:lang w:val="en-US" w:eastAsia="ar-SA"/>
              </w:rPr>
            </w:pPr>
            <w:r>
              <w:rPr>
                <w:rFonts w:cs="Calibri"/>
                <w:spacing w:val="-8"/>
                <w:sz w:val="24"/>
                <w:szCs w:val="24"/>
                <w:lang w:eastAsia="ar-SA"/>
              </w:rPr>
              <w:t>36,75</w:t>
            </w:r>
            <w:r w:rsidRPr="00FE6318">
              <w:rPr>
                <w:rFonts w:cs="Calibri"/>
                <w:spacing w:val="-8"/>
                <w:sz w:val="24"/>
                <w:szCs w:val="24"/>
                <w:lang w:val="en-US" w:eastAsia="ar-SA"/>
              </w:rPr>
              <w:t>[</w:t>
            </w:r>
            <w:r>
              <w:rPr>
                <w:rFonts w:cs="Calibri"/>
                <w:spacing w:val="-8"/>
                <w:sz w:val="24"/>
                <w:szCs w:val="24"/>
                <w:lang w:eastAsia="ar-SA"/>
              </w:rPr>
              <w:t>36,6;</w:t>
            </w:r>
            <w:r w:rsidRPr="00FE6318">
              <w:rPr>
                <w:rFonts w:cs="Calibri"/>
                <w:spacing w:val="-8"/>
                <w:sz w:val="24"/>
                <w:szCs w:val="24"/>
                <w:lang w:eastAsia="ar-SA"/>
              </w:rPr>
              <w:t>36,9</w:t>
            </w:r>
            <w:r w:rsidRPr="00FE6318">
              <w:rPr>
                <w:rFonts w:cs="Calibri"/>
                <w:spacing w:val="-8"/>
                <w:sz w:val="24"/>
                <w:szCs w:val="24"/>
                <w:lang w:val="en-US" w:eastAsia="ar-SA"/>
              </w:rPr>
              <w:t>]</w:t>
            </w:r>
          </w:p>
        </w:tc>
        <w:tc>
          <w:tcPr>
            <w:tcW w:w="1842" w:type="dxa"/>
            <w:tcMar>
              <w:left w:w="28" w:type="dxa"/>
              <w:right w:w="28" w:type="dxa"/>
            </w:tcMar>
            <w:vAlign w:val="center"/>
          </w:tcPr>
          <w:p w:rsidR="00286780" w:rsidRPr="00FE6318" w:rsidRDefault="00286780" w:rsidP="00FE6318">
            <w:pPr>
              <w:snapToGrid w:val="0"/>
              <w:jc w:val="center"/>
              <w:rPr>
                <w:rFonts w:cs="Calibri"/>
                <w:spacing w:val="-8"/>
                <w:sz w:val="24"/>
                <w:szCs w:val="24"/>
                <w:lang w:val="en-US" w:eastAsia="ar-SA"/>
              </w:rPr>
            </w:pPr>
            <w:r>
              <w:rPr>
                <w:rFonts w:cs="Calibri"/>
                <w:spacing w:val="-8"/>
                <w:sz w:val="24"/>
                <w:szCs w:val="24"/>
                <w:lang w:eastAsia="ar-SA"/>
              </w:rPr>
              <w:t>37,8</w:t>
            </w:r>
            <w:r w:rsidRPr="00FE6318">
              <w:rPr>
                <w:rFonts w:cs="Calibri"/>
                <w:spacing w:val="-8"/>
                <w:sz w:val="24"/>
                <w:szCs w:val="24"/>
                <w:lang w:val="en-US" w:eastAsia="ar-SA"/>
              </w:rPr>
              <w:t>[</w:t>
            </w:r>
            <w:r>
              <w:rPr>
                <w:rFonts w:cs="Calibri"/>
                <w:spacing w:val="-8"/>
                <w:sz w:val="24"/>
                <w:szCs w:val="24"/>
                <w:lang w:eastAsia="ar-SA"/>
              </w:rPr>
              <w:t>36,6;</w:t>
            </w:r>
            <w:r w:rsidRPr="00FE6318">
              <w:rPr>
                <w:rFonts w:cs="Calibri"/>
                <w:spacing w:val="-8"/>
                <w:sz w:val="24"/>
                <w:szCs w:val="24"/>
                <w:lang w:eastAsia="ar-SA"/>
              </w:rPr>
              <w:t>38,5</w:t>
            </w:r>
            <w:r w:rsidRPr="00FE6318">
              <w:rPr>
                <w:rFonts w:cs="Calibri"/>
                <w:spacing w:val="-8"/>
                <w:sz w:val="24"/>
                <w:szCs w:val="24"/>
                <w:lang w:val="en-US" w:eastAsia="ar-SA"/>
              </w:rPr>
              <w:t>]</w:t>
            </w:r>
          </w:p>
        </w:tc>
        <w:tc>
          <w:tcPr>
            <w:tcW w:w="1957" w:type="dxa"/>
            <w:tcMar>
              <w:left w:w="28" w:type="dxa"/>
              <w:right w:w="28" w:type="dxa"/>
            </w:tcMar>
            <w:vAlign w:val="center"/>
          </w:tcPr>
          <w:p w:rsidR="00286780" w:rsidRPr="00FE6318" w:rsidRDefault="00286780" w:rsidP="00FE6318">
            <w:pPr>
              <w:snapToGrid w:val="0"/>
              <w:jc w:val="center"/>
              <w:rPr>
                <w:rFonts w:cs="Calibri"/>
                <w:spacing w:val="-8"/>
                <w:sz w:val="24"/>
                <w:szCs w:val="24"/>
                <w:lang w:val="en-US" w:eastAsia="ar-SA"/>
              </w:rPr>
            </w:pPr>
            <w:r>
              <w:rPr>
                <w:rFonts w:cs="Calibri"/>
                <w:spacing w:val="-8"/>
                <w:sz w:val="24"/>
                <w:szCs w:val="24"/>
                <w:lang w:eastAsia="ar-SA"/>
              </w:rPr>
              <w:t>36,8</w:t>
            </w:r>
            <w:r w:rsidRPr="00FE6318">
              <w:rPr>
                <w:rFonts w:cs="Calibri"/>
                <w:spacing w:val="-8"/>
                <w:sz w:val="24"/>
                <w:szCs w:val="24"/>
                <w:lang w:val="en-US" w:eastAsia="ar-SA"/>
              </w:rPr>
              <w:t>[</w:t>
            </w:r>
            <w:r>
              <w:rPr>
                <w:rFonts w:cs="Calibri"/>
                <w:spacing w:val="-8"/>
                <w:sz w:val="24"/>
                <w:szCs w:val="24"/>
                <w:lang w:eastAsia="ar-SA"/>
              </w:rPr>
              <w:t>36,6;</w:t>
            </w:r>
            <w:r w:rsidRPr="00FE6318">
              <w:rPr>
                <w:rFonts w:cs="Calibri"/>
                <w:spacing w:val="-8"/>
                <w:sz w:val="24"/>
                <w:szCs w:val="24"/>
                <w:lang w:eastAsia="ar-SA"/>
              </w:rPr>
              <w:t>37,4</w:t>
            </w:r>
            <w:r w:rsidRPr="00FE6318">
              <w:rPr>
                <w:rFonts w:cs="Calibri"/>
                <w:spacing w:val="-8"/>
                <w:sz w:val="24"/>
                <w:szCs w:val="24"/>
                <w:lang w:val="en-US" w:eastAsia="ar-SA"/>
              </w:rPr>
              <w:t>]</w:t>
            </w:r>
          </w:p>
        </w:tc>
      </w:tr>
      <w:tr w:rsidR="00286780" w:rsidRPr="00FE6318" w:rsidTr="00AA79AB">
        <w:trPr>
          <w:trHeight w:val="454"/>
        </w:trPr>
        <w:tc>
          <w:tcPr>
            <w:tcW w:w="9923" w:type="dxa"/>
            <w:gridSpan w:val="5"/>
            <w:tcMar>
              <w:left w:w="28" w:type="dxa"/>
              <w:right w:w="28" w:type="dxa"/>
            </w:tcMar>
            <w:vAlign w:val="center"/>
          </w:tcPr>
          <w:p w:rsidR="00286780" w:rsidRPr="00FE6318" w:rsidRDefault="00286780" w:rsidP="00FE6318">
            <w:pPr>
              <w:jc w:val="center"/>
              <w:rPr>
                <w:rFonts w:cs="Calibri"/>
                <w:spacing w:val="-8"/>
                <w:sz w:val="24"/>
                <w:szCs w:val="24"/>
                <w:lang w:eastAsia="ar-SA"/>
              </w:rPr>
            </w:pPr>
            <w:r w:rsidRPr="00FE6318">
              <w:rPr>
                <w:rFonts w:cs="Calibri"/>
                <w:i/>
                <w:spacing w:val="-8"/>
                <w:sz w:val="24"/>
                <w:szCs w:val="24"/>
                <w:lang w:eastAsia="ar-SA"/>
              </w:rPr>
              <w:t>Примечание</w:t>
            </w:r>
            <w:r w:rsidRPr="00FE6318">
              <w:rPr>
                <w:rFonts w:cs="Calibri"/>
                <w:spacing w:val="-8"/>
                <w:sz w:val="24"/>
                <w:szCs w:val="24"/>
                <w:lang w:eastAsia="ar-SA"/>
              </w:rPr>
              <w:t>. * – межгрупповые различия статистически достоверны (</w:t>
            </w:r>
            <w:r w:rsidRPr="00FE6318">
              <w:rPr>
                <w:rFonts w:cs="Calibri"/>
                <w:spacing w:val="-8"/>
                <w:sz w:val="24"/>
                <w:szCs w:val="24"/>
                <w:lang w:val="en-US" w:eastAsia="ar-SA"/>
              </w:rPr>
              <w:t>p</w:t>
            </w:r>
            <w:r>
              <w:rPr>
                <w:rFonts w:cs="Calibri"/>
                <w:spacing w:val="-8"/>
                <w:sz w:val="24"/>
                <w:szCs w:val="24"/>
                <w:lang w:eastAsia="ar-SA"/>
              </w:rPr>
              <w:t>&lt;</w:t>
            </w:r>
            <w:r w:rsidRPr="00FE6318">
              <w:rPr>
                <w:rFonts w:cs="Calibri"/>
                <w:spacing w:val="-8"/>
                <w:sz w:val="24"/>
                <w:szCs w:val="24"/>
                <w:lang w:eastAsia="ar-SA"/>
              </w:rPr>
              <w:t>0,05)</w:t>
            </w:r>
          </w:p>
        </w:tc>
      </w:tr>
    </w:tbl>
    <w:p w:rsidR="00286780" w:rsidRDefault="00286780" w:rsidP="00FE6318">
      <w:pPr>
        <w:jc w:val="both"/>
        <w:rPr>
          <w:rFonts w:cs="Calibri"/>
          <w:spacing w:val="-8"/>
          <w:sz w:val="28"/>
          <w:szCs w:val="28"/>
          <w:lang w:eastAsia="ar-SA"/>
        </w:rPr>
      </w:pPr>
    </w:p>
    <w:p w:rsidR="00286780" w:rsidRPr="00C31ACA" w:rsidRDefault="00286780" w:rsidP="007359C3">
      <w:pPr>
        <w:spacing w:line="360" w:lineRule="auto"/>
        <w:ind w:firstLine="709"/>
        <w:jc w:val="both"/>
        <w:rPr>
          <w:rFonts w:cs="Calibri"/>
          <w:sz w:val="28"/>
          <w:szCs w:val="28"/>
          <w:lang w:eastAsia="ar-SA"/>
        </w:rPr>
      </w:pPr>
      <w:r w:rsidRPr="00FE6318">
        <w:rPr>
          <w:rFonts w:cs="Calibri"/>
          <w:sz w:val="28"/>
          <w:szCs w:val="28"/>
          <w:lang w:eastAsia="ar-SA"/>
        </w:rPr>
        <w:t>Следовательно, существенных изменений средние значения показателей клеточного и биохимического сост</w:t>
      </w:r>
      <w:r>
        <w:rPr>
          <w:rFonts w:cs="Calibri"/>
          <w:sz w:val="28"/>
          <w:szCs w:val="28"/>
          <w:lang w:eastAsia="ar-SA"/>
        </w:rPr>
        <w:t>ава крови и</w:t>
      </w:r>
      <w:r w:rsidRPr="00FE6318">
        <w:rPr>
          <w:rFonts w:cs="Calibri"/>
          <w:sz w:val="28"/>
          <w:szCs w:val="28"/>
          <w:lang w:eastAsia="ar-SA"/>
        </w:rPr>
        <w:t xml:space="preserve"> температуры тела, в результате использования разработанной «</w:t>
      </w:r>
      <w:r w:rsidRPr="00FE6318">
        <w:rPr>
          <w:rFonts w:cs="Calibri"/>
          <w:i/>
          <w:sz w:val="28"/>
          <w:szCs w:val="28"/>
          <w:lang w:eastAsia="ar-SA"/>
        </w:rPr>
        <w:t xml:space="preserve">Программы комплексного многокомпонентного лечения больных с хирургическими осложнениями одонтогенной инфекции при наличии полиорганной фоновой патологии и синдрома взаимного отягощения», </w:t>
      </w:r>
      <w:r w:rsidRPr="00FE6318">
        <w:rPr>
          <w:rFonts w:cs="Calibri"/>
          <w:sz w:val="28"/>
          <w:szCs w:val="28"/>
          <w:lang w:eastAsia="ar-SA"/>
        </w:rPr>
        <w:t>не претерпевают</w:t>
      </w:r>
      <w:r>
        <w:rPr>
          <w:rFonts w:cs="Calibri"/>
          <w:i/>
          <w:sz w:val="28"/>
          <w:szCs w:val="28"/>
          <w:lang w:eastAsia="ar-SA"/>
        </w:rPr>
        <w:t>.</w:t>
      </w:r>
      <w:r>
        <w:rPr>
          <w:rFonts w:cs="Calibri"/>
          <w:sz w:val="28"/>
          <w:szCs w:val="28"/>
          <w:lang w:eastAsia="ar-SA"/>
        </w:rPr>
        <w:t xml:space="preserve"> Отмечено статистически значимое сокращение сроков очищения гнойных ран (</w:t>
      </w:r>
      <w:r w:rsidRPr="00C31ACA">
        <w:rPr>
          <w:rFonts w:cs="Calibri"/>
          <w:spacing w:val="-8"/>
          <w:sz w:val="28"/>
          <w:szCs w:val="28"/>
          <w:lang w:val="en-US" w:eastAsia="ar-SA"/>
        </w:rPr>
        <w:t>p</w:t>
      </w:r>
      <w:r w:rsidRPr="00C31ACA">
        <w:rPr>
          <w:rFonts w:cs="Calibri"/>
          <w:spacing w:val="-8"/>
          <w:sz w:val="28"/>
          <w:szCs w:val="28"/>
          <w:lang w:eastAsia="ar-SA"/>
        </w:rPr>
        <w:t>&lt;0,05</w:t>
      </w:r>
      <w:r w:rsidRPr="00C31ACA">
        <w:rPr>
          <w:rFonts w:cs="Calibri"/>
          <w:sz w:val="28"/>
          <w:szCs w:val="28"/>
          <w:lang w:eastAsia="ar-SA"/>
        </w:rPr>
        <w:t>).</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В качестве примеров рассмотрим клинические случаи № 1 и № 2.</w:t>
      </w:r>
    </w:p>
    <w:p w:rsidR="00286780" w:rsidRPr="00FE6318" w:rsidRDefault="00286780" w:rsidP="00FE6318">
      <w:pPr>
        <w:spacing w:line="360" w:lineRule="auto"/>
        <w:ind w:firstLine="709"/>
        <w:jc w:val="both"/>
        <w:rPr>
          <w:rFonts w:cs="Calibri"/>
          <w:b/>
          <w:sz w:val="28"/>
          <w:szCs w:val="28"/>
          <w:lang w:eastAsia="ar-SA"/>
        </w:rPr>
      </w:pPr>
      <w:r w:rsidRPr="00FE6318">
        <w:rPr>
          <w:rFonts w:cs="Calibri"/>
          <w:b/>
          <w:sz w:val="28"/>
          <w:szCs w:val="28"/>
          <w:lang w:eastAsia="ar-SA"/>
        </w:rPr>
        <w:t>Клинический случай № 1</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Пациентка М., история болезни № 116025430, 05.12.1945 г. р. (71 год, женский пол), поступила в отделение челюстно-лицевой хирургии Курской областной клинической больницы 16.12.2016 с </w:t>
      </w:r>
      <w:r w:rsidRPr="00FE6318">
        <w:rPr>
          <w:rFonts w:cs="Calibri"/>
          <w:i/>
          <w:sz w:val="28"/>
          <w:szCs w:val="28"/>
          <w:lang w:eastAsia="ar-SA"/>
        </w:rPr>
        <w:t>жалобами</w:t>
      </w:r>
      <w:r w:rsidRPr="00FE6318">
        <w:rPr>
          <w:rFonts w:cs="Calibri"/>
          <w:sz w:val="28"/>
          <w:szCs w:val="28"/>
          <w:lang w:eastAsia="ar-SA"/>
        </w:rPr>
        <w:t xml:space="preserve"> на отек шеи слева, повышение температуры тела до 39ºС.</w:t>
      </w:r>
    </w:p>
    <w:p w:rsidR="00286780" w:rsidRPr="00FE6318" w:rsidRDefault="00286780" w:rsidP="00FE6318">
      <w:pPr>
        <w:spacing w:line="360" w:lineRule="auto"/>
        <w:ind w:firstLine="709"/>
        <w:jc w:val="both"/>
        <w:rPr>
          <w:rFonts w:cs="Calibri"/>
          <w:sz w:val="28"/>
          <w:szCs w:val="28"/>
          <w:lang w:eastAsia="ar-SA"/>
        </w:rPr>
      </w:pPr>
      <w:r w:rsidRPr="00FE6318">
        <w:rPr>
          <w:rFonts w:cs="Calibri"/>
          <w:i/>
          <w:sz w:val="28"/>
          <w:szCs w:val="28"/>
          <w:lang w:eastAsia="ar-SA"/>
        </w:rPr>
        <w:lastRenderedPageBreak/>
        <w:t>Анамнез заболевания</w:t>
      </w:r>
      <w:r w:rsidRPr="00FE6318">
        <w:rPr>
          <w:rFonts w:cs="Calibri"/>
          <w:sz w:val="28"/>
          <w:szCs w:val="28"/>
          <w:lang w:eastAsia="ar-SA"/>
        </w:rPr>
        <w:t>. Со слов пациентки, отек шеи появился около 6 суток назад без какой-либо видимой причины. За медицинской помощью не обращалась, самостоятельно не лечилась. Госпитализирована в отделение челюстно-лицевой хирургии.</w:t>
      </w:r>
    </w:p>
    <w:p w:rsidR="00286780" w:rsidRPr="00FE6318" w:rsidRDefault="00286780" w:rsidP="00FE6318">
      <w:pPr>
        <w:spacing w:line="360" w:lineRule="auto"/>
        <w:ind w:firstLine="709"/>
        <w:jc w:val="both"/>
        <w:rPr>
          <w:rFonts w:cs="Calibri"/>
          <w:sz w:val="28"/>
          <w:szCs w:val="28"/>
          <w:lang w:eastAsia="ar-SA"/>
        </w:rPr>
      </w:pPr>
      <w:r w:rsidRPr="00FE6318">
        <w:rPr>
          <w:rFonts w:cs="Calibri"/>
          <w:i/>
          <w:sz w:val="28"/>
          <w:szCs w:val="28"/>
          <w:lang w:eastAsia="ar-SA"/>
        </w:rPr>
        <w:t>Анамнез жизни</w:t>
      </w:r>
      <w:r w:rsidRPr="00FE6318">
        <w:rPr>
          <w:rFonts w:cs="Calibri"/>
          <w:sz w:val="28"/>
          <w:szCs w:val="28"/>
          <w:lang w:eastAsia="ar-SA"/>
        </w:rPr>
        <w:t xml:space="preserve">. Условия быта удовлетворительные. Пенсионер, не работает. Из перенесенных заболеваний отмечает ОРВИ, ишемическую болезнь сердца и гипертоническую болезнь </w:t>
      </w:r>
      <w:r w:rsidRPr="00FE6318">
        <w:rPr>
          <w:rFonts w:cs="Calibri"/>
          <w:sz w:val="28"/>
          <w:szCs w:val="28"/>
          <w:lang w:val="en-US" w:eastAsia="ar-SA"/>
        </w:rPr>
        <w:t>III</w:t>
      </w:r>
      <w:r w:rsidRPr="00FE6318">
        <w:rPr>
          <w:rFonts w:cs="Calibri"/>
          <w:sz w:val="28"/>
          <w:szCs w:val="28"/>
          <w:lang w:eastAsia="ar-SA"/>
        </w:rPr>
        <w:t xml:space="preserve"> степени, в связи с чем </w:t>
      </w:r>
      <w:r w:rsidRPr="00FE6318">
        <w:rPr>
          <w:rFonts w:cs="Calibri"/>
          <w:i/>
          <w:sz w:val="28"/>
          <w:szCs w:val="28"/>
          <w:lang w:eastAsia="ar-SA"/>
        </w:rPr>
        <w:t>нерегулярно</w:t>
      </w:r>
      <w:r w:rsidRPr="00FE6318">
        <w:rPr>
          <w:rFonts w:cs="Calibri"/>
          <w:sz w:val="28"/>
          <w:szCs w:val="28"/>
          <w:lang w:eastAsia="ar-SA"/>
        </w:rPr>
        <w:t xml:space="preserve"> принимает препараты (лориста). Ранее выполнялось оперативное вмешательство по поводу катаракты. Аллергоанамнез не отягощен. Гепатиты, туберкулез, сахарный диабет в анамнезе отрицает.</w:t>
      </w:r>
    </w:p>
    <w:p w:rsidR="00286780" w:rsidRPr="00FE6318" w:rsidRDefault="00286780" w:rsidP="00FE6318">
      <w:pPr>
        <w:spacing w:line="360" w:lineRule="auto"/>
        <w:ind w:firstLine="709"/>
        <w:jc w:val="both"/>
        <w:rPr>
          <w:rFonts w:cs="Calibri"/>
          <w:sz w:val="28"/>
          <w:szCs w:val="28"/>
          <w:lang w:eastAsia="ar-SA"/>
        </w:rPr>
      </w:pPr>
      <w:r w:rsidRPr="00FE6318">
        <w:rPr>
          <w:rFonts w:cs="Calibri"/>
          <w:i/>
          <w:sz w:val="28"/>
          <w:szCs w:val="28"/>
          <w:lang w:eastAsia="ar-SA"/>
        </w:rPr>
        <w:t xml:space="preserve">Объективное обследование. </w:t>
      </w:r>
      <w:r w:rsidRPr="00FE6318">
        <w:rPr>
          <w:rFonts w:cs="Calibri"/>
          <w:sz w:val="28"/>
          <w:szCs w:val="28"/>
          <w:lang w:eastAsia="ar-SA"/>
        </w:rPr>
        <w:t>Общее состояние тяжелое. Положение тела – активное. Сознание ясное (</w:t>
      </w:r>
      <w:r w:rsidRPr="00FE6318">
        <w:rPr>
          <w:rFonts w:cs="Calibri"/>
          <w:i/>
          <w:sz w:val="28"/>
          <w:szCs w:val="28"/>
          <w:lang w:eastAsia="ar-SA"/>
        </w:rPr>
        <w:t>15 баллов по шкале ком Глазго</w:t>
      </w:r>
      <w:r w:rsidRPr="00FE6318">
        <w:rPr>
          <w:rFonts w:cs="Calibri"/>
          <w:sz w:val="28"/>
          <w:szCs w:val="28"/>
          <w:lang w:eastAsia="ar-SA"/>
        </w:rPr>
        <w:t xml:space="preserve">). Кожные покровы бледные, </w:t>
      </w:r>
      <w:r w:rsidRPr="00FE6318">
        <w:rPr>
          <w:rFonts w:cs="Calibri"/>
          <w:i/>
          <w:sz w:val="28"/>
          <w:szCs w:val="28"/>
          <w:lang w:eastAsia="ar-SA"/>
        </w:rPr>
        <w:t>акроцианоз</w:t>
      </w:r>
      <w:r w:rsidRPr="00FE6318">
        <w:rPr>
          <w:rFonts w:cs="Calibri"/>
          <w:sz w:val="28"/>
          <w:szCs w:val="28"/>
          <w:lang w:eastAsia="ar-SA"/>
        </w:rPr>
        <w:t xml:space="preserve">. В легких дыхание везикулярное, проводится во все отделы. Границы легких в пределах нормы. Тоны сердца глухие, аритмичные. Границы сердца расширены влево. </w:t>
      </w:r>
      <w:r w:rsidRPr="00FE6318">
        <w:rPr>
          <w:rFonts w:cs="Calibri"/>
          <w:i/>
          <w:sz w:val="28"/>
          <w:szCs w:val="28"/>
          <w:lang w:eastAsia="ar-SA"/>
        </w:rPr>
        <w:t>Артериальное давление 80/60 мм рт. ст</w:t>
      </w:r>
      <w:r w:rsidRPr="00FE6318">
        <w:rPr>
          <w:rFonts w:cs="Calibri"/>
          <w:sz w:val="28"/>
          <w:szCs w:val="28"/>
          <w:lang w:eastAsia="ar-SA"/>
        </w:rPr>
        <w:t>., частота сердечных сокращений – до 150 в 1 мин. Живот мягкий и безболезненный.</w:t>
      </w:r>
    </w:p>
    <w:p w:rsidR="00286780" w:rsidRPr="00FE6318" w:rsidRDefault="00286780" w:rsidP="00FE6318">
      <w:pPr>
        <w:spacing w:line="360" w:lineRule="auto"/>
        <w:ind w:firstLine="709"/>
        <w:jc w:val="both"/>
        <w:rPr>
          <w:rFonts w:cs="Calibri"/>
          <w:sz w:val="28"/>
          <w:szCs w:val="28"/>
          <w:lang w:eastAsia="ar-SA"/>
        </w:rPr>
      </w:pPr>
      <w:r w:rsidRPr="00FE6318">
        <w:rPr>
          <w:rFonts w:cs="Calibri"/>
          <w:i/>
          <w:sz w:val="28"/>
          <w:szCs w:val="28"/>
          <w:lang w:eastAsia="ar-SA"/>
        </w:rPr>
        <w:t xml:space="preserve">Локальный статус. </w:t>
      </w:r>
      <w:r w:rsidRPr="00FE6318">
        <w:rPr>
          <w:rFonts w:cs="Calibri"/>
          <w:sz w:val="28"/>
          <w:szCs w:val="28"/>
          <w:lang w:eastAsia="ar-SA"/>
        </w:rPr>
        <w:t xml:space="preserve">Отмечается выраженный отек околоушно-жевательной и поднижечелюстной области слева, верхней трети шеи слева (супрахиоидный отдел). </w:t>
      </w:r>
      <w:r w:rsidRPr="00FE6318">
        <w:rPr>
          <w:rFonts w:cs="Calibri"/>
          <w:i/>
          <w:sz w:val="28"/>
          <w:szCs w:val="28"/>
          <w:lang w:eastAsia="ar-SA"/>
        </w:rPr>
        <w:t>Отек распространенный, болезненный при пальпации, без четких границ. Гиперемия кожных покровов отсутствует</w:t>
      </w:r>
      <w:r w:rsidRPr="00FE6318">
        <w:rPr>
          <w:rFonts w:cs="Calibri"/>
          <w:sz w:val="28"/>
          <w:szCs w:val="28"/>
          <w:lang w:eastAsia="ar-SA"/>
        </w:rPr>
        <w:t>. Открывание рта болезненное, в полном объеме.</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В условиях приемного отделения пациентка осмотрена </w:t>
      </w:r>
      <w:r w:rsidRPr="00FE6318">
        <w:rPr>
          <w:rFonts w:cs="Calibri"/>
          <w:i/>
          <w:sz w:val="28"/>
          <w:szCs w:val="28"/>
          <w:lang w:eastAsia="ar-SA"/>
        </w:rPr>
        <w:t>дежурным терапевтом</w:t>
      </w:r>
      <w:r w:rsidRPr="00FE6318">
        <w:rPr>
          <w:rFonts w:cs="Calibri"/>
          <w:sz w:val="28"/>
          <w:szCs w:val="28"/>
          <w:lang w:eastAsia="ar-SA"/>
        </w:rPr>
        <w:t xml:space="preserve"> (ИБС, фибрилляция предсердий, артериальная гипертония по анамнезу), выполнена электрокардиография (признаки тахисистолической формы фибрилляции предсердий, тахикардия, гипертрофия миокарда левого желудочка).</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Осмотр </w:t>
      </w:r>
      <w:r w:rsidRPr="00FE6318">
        <w:rPr>
          <w:rFonts w:cs="Calibri"/>
          <w:i/>
          <w:sz w:val="28"/>
          <w:szCs w:val="28"/>
          <w:lang w:eastAsia="ar-SA"/>
        </w:rPr>
        <w:t>кардиолога</w:t>
      </w:r>
      <w:r w:rsidRPr="00FE6318">
        <w:rPr>
          <w:rFonts w:cs="Calibri"/>
          <w:sz w:val="28"/>
          <w:szCs w:val="28"/>
          <w:lang w:eastAsia="ar-SA"/>
        </w:rPr>
        <w:t xml:space="preserve">: ИБС: постоянная форма фибрилляции предсердий, тахисистолический вариант. Артериальная гипертония, </w:t>
      </w:r>
      <w:r w:rsidRPr="00FE6318">
        <w:rPr>
          <w:rFonts w:cs="Calibri"/>
          <w:sz w:val="28"/>
          <w:szCs w:val="28"/>
          <w:lang w:val="en-US" w:eastAsia="ar-SA"/>
        </w:rPr>
        <w:t>III</w:t>
      </w:r>
      <w:r w:rsidRPr="00FE6318">
        <w:rPr>
          <w:rFonts w:cs="Calibri"/>
          <w:sz w:val="28"/>
          <w:szCs w:val="28"/>
          <w:lang w:eastAsia="ar-SA"/>
        </w:rPr>
        <w:t xml:space="preserve"> степень, риск 4. Гипертрофия миокарда левого желудочка (ГМЛЖ). ХСН </w:t>
      </w:r>
      <w:r w:rsidRPr="00FE6318">
        <w:rPr>
          <w:rFonts w:cs="Calibri"/>
          <w:sz w:val="28"/>
          <w:szCs w:val="28"/>
          <w:lang w:val="en-US" w:eastAsia="ar-SA"/>
        </w:rPr>
        <w:t>II</w:t>
      </w:r>
      <w:r w:rsidRPr="00FE6318">
        <w:rPr>
          <w:rFonts w:cs="Calibri"/>
          <w:sz w:val="28"/>
          <w:szCs w:val="28"/>
          <w:lang w:eastAsia="ar-SA"/>
        </w:rPr>
        <w:t>А.</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Данные клеточного и биохимического состава крови: эритроциты – 4,0×10</w:t>
      </w:r>
      <w:r w:rsidRPr="00FE6318">
        <w:rPr>
          <w:rFonts w:cs="Calibri"/>
          <w:sz w:val="28"/>
          <w:szCs w:val="28"/>
          <w:vertAlign w:val="superscript"/>
          <w:lang w:eastAsia="ar-SA"/>
        </w:rPr>
        <w:t>12</w:t>
      </w:r>
      <w:r w:rsidRPr="00FE6318">
        <w:rPr>
          <w:rFonts w:cs="Calibri"/>
          <w:sz w:val="28"/>
          <w:szCs w:val="28"/>
          <w:lang w:eastAsia="ar-SA"/>
        </w:rPr>
        <w:t xml:space="preserve">/л; гемоглобин – 117 г/л; гематокрит – 36%; </w:t>
      </w:r>
      <w:r w:rsidRPr="00FE6318">
        <w:rPr>
          <w:rFonts w:cs="Calibri"/>
          <w:i/>
          <w:sz w:val="28"/>
          <w:szCs w:val="28"/>
          <w:lang w:eastAsia="ar-SA"/>
        </w:rPr>
        <w:t>тромбоциты – 118Ч10</w:t>
      </w:r>
      <w:r w:rsidRPr="00FE6318">
        <w:rPr>
          <w:rFonts w:cs="Calibri"/>
          <w:i/>
          <w:sz w:val="28"/>
          <w:szCs w:val="28"/>
          <w:vertAlign w:val="superscript"/>
          <w:lang w:eastAsia="ar-SA"/>
        </w:rPr>
        <w:t>6</w:t>
      </w:r>
      <w:r w:rsidRPr="00FE6318">
        <w:rPr>
          <w:rFonts w:cs="Calibri"/>
          <w:i/>
          <w:sz w:val="28"/>
          <w:szCs w:val="28"/>
          <w:lang w:eastAsia="ar-SA"/>
        </w:rPr>
        <w:t>/л</w:t>
      </w:r>
      <w:r w:rsidRPr="00FE6318">
        <w:rPr>
          <w:rFonts w:cs="Calibri"/>
          <w:sz w:val="28"/>
          <w:szCs w:val="28"/>
          <w:lang w:eastAsia="ar-SA"/>
        </w:rPr>
        <w:t xml:space="preserve">; </w:t>
      </w:r>
      <w:r w:rsidRPr="00FE6318">
        <w:rPr>
          <w:rFonts w:cs="Calibri"/>
          <w:sz w:val="28"/>
          <w:szCs w:val="28"/>
          <w:lang w:eastAsia="ar-SA"/>
        </w:rPr>
        <w:lastRenderedPageBreak/>
        <w:t>лейкоциты – 7,8×10</w:t>
      </w:r>
      <w:r w:rsidRPr="00FE6318">
        <w:rPr>
          <w:rFonts w:cs="Calibri"/>
          <w:sz w:val="28"/>
          <w:szCs w:val="28"/>
          <w:vertAlign w:val="superscript"/>
          <w:lang w:eastAsia="ar-SA"/>
        </w:rPr>
        <w:t>9</w:t>
      </w:r>
      <w:r w:rsidRPr="00FE6318">
        <w:rPr>
          <w:rFonts w:cs="Calibri"/>
          <w:sz w:val="28"/>
          <w:szCs w:val="28"/>
          <w:lang w:eastAsia="ar-SA"/>
        </w:rPr>
        <w:t xml:space="preserve">/л; лейкоцитарная формула: миелоциты – 0%, метамиелоциты – 0%, палочкоядерные – 16%, сегментоядерные – 75%, лимфоциты – 5%, моноциты – 4%; глюкоза капиллярной крови – 4,1 ммоль/л; общий белок – 52,8 г/л; калий – 4,8 ммоль/л;натрий – 139 ммоль/л, хлор – 104 ммоль/л; </w:t>
      </w:r>
      <w:r w:rsidRPr="00FE6318">
        <w:rPr>
          <w:rFonts w:cs="Calibri"/>
          <w:i/>
          <w:sz w:val="28"/>
          <w:szCs w:val="28"/>
          <w:lang w:eastAsia="ar-SA"/>
        </w:rPr>
        <w:t xml:space="preserve">билирубин общий – 70,3 ммоль/л </w:t>
      </w:r>
      <w:r w:rsidRPr="00FE6318">
        <w:rPr>
          <w:rFonts w:cs="Calibri"/>
          <w:sz w:val="28"/>
          <w:szCs w:val="28"/>
          <w:lang w:eastAsia="ar-SA"/>
        </w:rPr>
        <w:t xml:space="preserve">(прямой – 52,3; непрямой – 18); </w:t>
      </w:r>
      <w:r w:rsidRPr="00FE6318">
        <w:rPr>
          <w:rFonts w:cs="Calibri"/>
          <w:i/>
          <w:sz w:val="28"/>
          <w:szCs w:val="28"/>
          <w:lang w:eastAsia="ar-SA"/>
        </w:rPr>
        <w:t>креатинин – 294, 7 мкмоль/л</w:t>
      </w:r>
      <w:r w:rsidRPr="00FE6318">
        <w:rPr>
          <w:rFonts w:cs="Calibri"/>
          <w:sz w:val="28"/>
          <w:szCs w:val="28"/>
          <w:lang w:eastAsia="ar-SA"/>
        </w:rPr>
        <w:t>; мочевина – 23,9 ммоль/л.</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Таким образом, количество баллов по шкале </w:t>
      </w:r>
      <w:r w:rsidRPr="00FE6318">
        <w:rPr>
          <w:rFonts w:cs="Calibri"/>
          <w:i/>
          <w:sz w:val="28"/>
          <w:szCs w:val="28"/>
          <w:lang w:val="en-US" w:eastAsia="ar-SA"/>
        </w:rPr>
        <w:t>SOFA</w:t>
      </w:r>
      <w:r w:rsidRPr="00FE6318">
        <w:rPr>
          <w:rFonts w:cs="Calibri"/>
          <w:sz w:val="28"/>
          <w:szCs w:val="28"/>
          <w:lang w:eastAsia="ar-SA"/>
        </w:rPr>
        <w:t xml:space="preserve"> без учета данных парциального давлен</w:t>
      </w:r>
      <w:r>
        <w:rPr>
          <w:rFonts w:cs="Calibri"/>
          <w:sz w:val="28"/>
          <w:szCs w:val="28"/>
          <w:lang w:eastAsia="ar-SA"/>
        </w:rPr>
        <w:t>ия кислорода артериальной крови</w:t>
      </w:r>
      <w:r w:rsidRPr="00FE6318">
        <w:rPr>
          <w:rFonts w:cs="Calibri"/>
          <w:sz w:val="28"/>
          <w:szCs w:val="28"/>
          <w:lang w:eastAsia="ar-SA"/>
        </w:rPr>
        <w:t xml:space="preserve"> составляет </w:t>
      </w:r>
      <w:r w:rsidRPr="00FE6318">
        <w:rPr>
          <w:rFonts w:cs="Calibri"/>
          <w:i/>
          <w:sz w:val="28"/>
          <w:szCs w:val="28"/>
          <w:lang w:eastAsia="ar-SA"/>
        </w:rPr>
        <w:t>4 балла</w:t>
      </w:r>
      <w:r w:rsidRPr="00FE6318">
        <w:rPr>
          <w:rFonts w:cs="Calibri"/>
          <w:sz w:val="28"/>
          <w:szCs w:val="28"/>
          <w:lang w:eastAsia="ar-SA"/>
        </w:rPr>
        <w:t xml:space="preserve"> (определены по наличию гипербилирубинемии и гиперкреатининемии).</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Выполнена </w:t>
      </w:r>
      <w:r w:rsidRPr="00FE6318">
        <w:rPr>
          <w:rFonts w:cs="Calibri"/>
          <w:i/>
          <w:sz w:val="28"/>
          <w:szCs w:val="28"/>
          <w:lang w:eastAsia="ar-SA"/>
        </w:rPr>
        <w:t>компьютерная томография</w:t>
      </w:r>
      <w:r w:rsidRPr="00FE6318">
        <w:rPr>
          <w:rFonts w:cs="Calibri"/>
          <w:sz w:val="28"/>
          <w:szCs w:val="28"/>
          <w:lang w:eastAsia="ar-SA"/>
        </w:rPr>
        <w:t xml:space="preserve"> шеи в аксиальной проекции. Отмечается поражение </w:t>
      </w:r>
      <w:r w:rsidRPr="00FE6318">
        <w:rPr>
          <w:rFonts w:cs="Calibri"/>
          <w:i/>
          <w:sz w:val="28"/>
          <w:szCs w:val="28"/>
          <w:lang w:eastAsia="ar-SA"/>
        </w:rPr>
        <w:t xml:space="preserve">щечного, поджевательного, поднижечелюстного клетчаточных пространств слева, а </w:t>
      </w:r>
      <w:r>
        <w:rPr>
          <w:rFonts w:cs="Calibri"/>
          <w:i/>
          <w:sz w:val="28"/>
          <w:szCs w:val="28"/>
          <w:lang w:eastAsia="ar-SA"/>
        </w:rPr>
        <w:t>также</w:t>
      </w:r>
      <w:r w:rsidRPr="00FE6318">
        <w:rPr>
          <w:rFonts w:cs="Calibri"/>
          <w:i/>
          <w:sz w:val="28"/>
          <w:szCs w:val="28"/>
          <w:lang w:eastAsia="ar-SA"/>
        </w:rPr>
        <w:t xml:space="preserve"> околоушно-жевательной топографо-анатомической области (слюнная железа), мышц инфрахиоидной группы слева</w:t>
      </w:r>
      <w:r w:rsidRPr="00FE6318">
        <w:rPr>
          <w:rFonts w:cs="Calibri"/>
          <w:sz w:val="28"/>
          <w:szCs w:val="28"/>
          <w:lang w:eastAsia="ar-SA"/>
        </w:rPr>
        <w:t>. Распространение воспалительного процесса в средостение не отмечено.</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Таким образом, с учетом данных локального статуса и компьютерной томографии, можно констатировать поражение </w:t>
      </w:r>
      <w:r w:rsidRPr="00FE6318">
        <w:rPr>
          <w:rFonts w:cs="Calibri"/>
          <w:i/>
          <w:sz w:val="28"/>
          <w:szCs w:val="28"/>
          <w:lang w:eastAsia="ar-SA"/>
        </w:rPr>
        <w:t>более 4 топографо-анатомических областей и клетчаточных пространств</w:t>
      </w:r>
      <w:r w:rsidRPr="00FE6318">
        <w:rPr>
          <w:rFonts w:cs="Calibri"/>
          <w:sz w:val="28"/>
          <w:szCs w:val="28"/>
          <w:lang w:eastAsia="ar-SA"/>
        </w:rPr>
        <w:t xml:space="preserve"> челюстно-лицевой области и шеи, </w:t>
      </w:r>
      <w:r w:rsidRPr="00FE6318">
        <w:rPr>
          <w:rFonts w:cs="Calibri"/>
          <w:i/>
          <w:sz w:val="28"/>
          <w:szCs w:val="28"/>
          <w:lang w:eastAsia="ar-SA"/>
        </w:rPr>
        <w:t>гнилостно-некротический тип острого воспалительного процесса</w:t>
      </w:r>
      <w:r w:rsidRPr="00FE6318">
        <w:rPr>
          <w:rFonts w:cs="Calibri"/>
          <w:sz w:val="28"/>
          <w:szCs w:val="28"/>
          <w:lang w:eastAsia="ar-SA"/>
        </w:rPr>
        <w:t>.</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Предварительно использован разработанный «</w:t>
      </w:r>
      <w:r>
        <w:rPr>
          <w:rFonts w:cs="Calibri"/>
          <w:i/>
          <w:sz w:val="28"/>
          <w:szCs w:val="28"/>
          <w:lang w:eastAsia="ar-SA"/>
        </w:rPr>
        <w:t>Алгоритм ранней диагностики</w:t>
      </w:r>
      <w:r w:rsidRPr="00FE6318">
        <w:rPr>
          <w:rFonts w:cs="Calibri"/>
          <w:i/>
          <w:sz w:val="28"/>
          <w:szCs w:val="28"/>
          <w:lang w:eastAsia="ar-SA"/>
        </w:rPr>
        <w:t xml:space="preserve"> одонтогенного сепсиса</w:t>
      </w:r>
      <w:r w:rsidRPr="00FE6318">
        <w:rPr>
          <w:rFonts w:cs="Calibri"/>
          <w:sz w:val="28"/>
          <w:szCs w:val="28"/>
          <w:lang w:eastAsia="ar-SA"/>
        </w:rPr>
        <w:t xml:space="preserve">», получено значение </w:t>
      </w:r>
      <w:r w:rsidRPr="00FE6318">
        <w:rPr>
          <w:rFonts w:cs="Calibri"/>
          <w:i/>
          <w:sz w:val="28"/>
          <w:szCs w:val="28"/>
          <w:lang w:eastAsia="ar-SA"/>
        </w:rPr>
        <w:t xml:space="preserve">высокой вероятности </w:t>
      </w:r>
      <w:r w:rsidRPr="00FE6318">
        <w:rPr>
          <w:rFonts w:cs="Calibri"/>
          <w:sz w:val="28"/>
          <w:szCs w:val="28"/>
          <w:lang w:eastAsia="ar-SA"/>
        </w:rPr>
        <w:t>развития сепсиса(</w:t>
      </w:r>
      <w:r w:rsidRPr="00FE6318">
        <w:rPr>
          <w:rFonts w:cs="Calibri"/>
          <w:sz w:val="28"/>
          <w:szCs w:val="28"/>
          <w:lang w:val="en-US" w:eastAsia="ar-SA"/>
        </w:rPr>
        <w:t>SOFA</w:t>
      </w:r>
      <w:r>
        <w:rPr>
          <w:rFonts w:cs="Calibri"/>
          <w:sz w:val="28"/>
          <w:szCs w:val="28"/>
          <w:lang w:eastAsia="ar-SA"/>
        </w:rPr>
        <w:t>(без определения парциального давления кислорода артериальной крови)&gt;</w:t>
      </w:r>
      <w:r w:rsidRPr="00FE6318">
        <w:rPr>
          <w:rFonts w:cs="Calibri"/>
          <w:sz w:val="28"/>
          <w:szCs w:val="28"/>
          <w:lang w:eastAsia="ar-SA"/>
        </w:rPr>
        <w:t>2 баллов, признаки гнилостно-некротического типа острого воспалительного процесса, вовлечение более 4 клетчаточных пространств и топографо-анатомических областей).</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Определено парциальное давление кислорода артериальной крови (</w:t>
      </w:r>
      <w:r w:rsidRPr="00FE6318">
        <w:rPr>
          <w:rFonts w:cs="Calibri"/>
          <w:sz w:val="28"/>
          <w:szCs w:val="28"/>
          <w:lang w:val="en-US" w:eastAsia="ar-SA"/>
        </w:rPr>
        <w:t>a</w:t>
      </w:r>
      <w:r w:rsidRPr="00FE6318">
        <w:rPr>
          <w:rFonts w:cs="Calibri"/>
          <w:sz w:val="28"/>
          <w:szCs w:val="28"/>
          <w:lang w:eastAsia="ar-SA"/>
        </w:rPr>
        <w:t xml:space="preserve">. </w:t>
      </w:r>
      <w:r w:rsidRPr="00FE6318">
        <w:rPr>
          <w:rFonts w:cs="Calibri"/>
          <w:sz w:val="28"/>
          <w:szCs w:val="28"/>
          <w:lang w:val="en-US" w:eastAsia="ar-SA"/>
        </w:rPr>
        <w:t>radialis</w:t>
      </w:r>
      <w:r w:rsidRPr="00FE6318">
        <w:rPr>
          <w:rFonts w:cs="Calibri"/>
          <w:sz w:val="28"/>
          <w:szCs w:val="28"/>
          <w:lang w:eastAsia="ar-SA"/>
        </w:rPr>
        <w:t>), составляющее 112 мм рт. ст. в условиях спонтанного дыхания атмосфернм воздухом (21% кислорода). Соответственно, респираторный индекс (</w:t>
      </w:r>
      <w:r w:rsidRPr="00FE6318">
        <w:rPr>
          <w:rFonts w:cs="Calibri"/>
          <w:sz w:val="28"/>
          <w:szCs w:val="28"/>
          <w:lang w:val="en-US" w:eastAsia="ar-SA"/>
        </w:rPr>
        <w:t>PaO</w:t>
      </w:r>
      <w:r w:rsidRPr="00FE6318">
        <w:rPr>
          <w:rFonts w:cs="Calibri"/>
          <w:sz w:val="28"/>
          <w:szCs w:val="28"/>
          <w:vertAlign w:val="subscript"/>
          <w:lang w:eastAsia="ar-SA"/>
        </w:rPr>
        <w:t>2</w:t>
      </w:r>
      <w:r>
        <w:rPr>
          <w:rFonts w:cs="Calibri"/>
          <w:sz w:val="28"/>
          <w:szCs w:val="28"/>
          <w:lang w:eastAsia="ar-SA"/>
        </w:rPr>
        <w:t>/</w:t>
      </w:r>
      <w:r w:rsidRPr="00FE6318">
        <w:rPr>
          <w:rFonts w:cs="Calibri"/>
          <w:sz w:val="28"/>
          <w:szCs w:val="28"/>
          <w:lang w:val="en-US" w:eastAsia="ar-SA"/>
        </w:rPr>
        <w:t>FiO</w:t>
      </w:r>
      <w:r w:rsidRPr="00FE6318">
        <w:rPr>
          <w:rFonts w:cs="Calibri"/>
          <w:sz w:val="28"/>
          <w:szCs w:val="28"/>
          <w:vertAlign w:val="subscript"/>
          <w:lang w:eastAsia="ar-SA"/>
        </w:rPr>
        <w:t>2</w:t>
      </w:r>
      <w:r w:rsidRPr="00FE6318">
        <w:rPr>
          <w:rFonts w:cs="Calibri"/>
          <w:sz w:val="28"/>
          <w:szCs w:val="28"/>
          <w:lang w:eastAsia="ar-SA"/>
        </w:rPr>
        <w:t xml:space="preserve">), где </w:t>
      </w:r>
      <w:r w:rsidRPr="00FE6318">
        <w:rPr>
          <w:rFonts w:cs="Calibri"/>
          <w:sz w:val="28"/>
          <w:szCs w:val="28"/>
          <w:lang w:val="en-US" w:eastAsia="ar-SA"/>
        </w:rPr>
        <w:t>FiO</w:t>
      </w:r>
      <w:r w:rsidRPr="00FE6318">
        <w:rPr>
          <w:rFonts w:cs="Calibri"/>
          <w:sz w:val="28"/>
          <w:szCs w:val="28"/>
          <w:vertAlign w:val="subscript"/>
          <w:lang w:eastAsia="ar-SA"/>
        </w:rPr>
        <w:t>2</w:t>
      </w:r>
      <w:r w:rsidRPr="00FE6318">
        <w:rPr>
          <w:rFonts w:cs="Calibri"/>
          <w:sz w:val="28"/>
          <w:szCs w:val="28"/>
          <w:lang w:eastAsia="ar-SA"/>
        </w:rPr>
        <w:t xml:space="preserve"> равен 0,21, составляет 533,3 (то есть 0 баллов по </w:t>
      </w:r>
      <w:r w:rsidRPr="00FE6318">
        <w:rPr>
          <w:rFonts w:cs="Calibri"/>
          <w:sz w:val="28"/>
          <w:szCs w:val="28"/>
          <w:lang w:val="en-US" w:eastAsia="ar-SA"/>
        </w:rPr>
        <w:t>SOFA</w:t>
      </w:r>
      <w:r w:rsidRPr="00FE6318">
        <w:rPr>
          <w:rFonts w:cs="Calibri"/>
          <w:sz w:val="28"/>
          <w:szCs w:val="28"/>
          <w:lang w:eastAsia="ar-SA"/>
        </w:rPr>
        <w:t>).</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Для заключительной диагностики одонтогенного сепсиса используем разра</w:t>
      </w:r>
      <w:r>
        <w:rPr>
          <w:rFonts w:cs="Calibri"/>
          <w:sz w:val="28"/>
          <w:szCs w:val="28"/>
          <w:lang w:eastAsia="ar-SA"/>
        </w:rPr>
        <w:t>ботанные</w:t>
      </w:r>
      <w:r w:rsidRPr="00FE6318">
        <w:rPr>
          <w:rFonts w:cs="Calibri"/>
          <w:sz w:val="28"/>
          <w:szCs w:val="28"/>
          <w:lang w:eastAsia="ar-SA"/>
        </w:rPr>
        <w:t xml:space="preserve"> «</w:t>
      </w:r>
      <w:r w:rsidRPr="00FE6318">
        <w:rPr>
          <w:rFonts w:cs="Calibri"/>
          <w:i/>
          <w:sz w:val="28"/>
          <w:szCs w:val="28"/>
          <w:lang w:eastAsia="ar-SA"/>
        </w:rPr>
        <w:t>Алгоритм диагностики одонтогенного сепсиса</w:t>
      </w:r>
      <w:r>
        <w:rPr>
          <w:rFonts w:cs="Calibri"/>
          <w:i/>
          <w:sz w:val="28"/>
          <w:szCs w:val="28"/>
          <w:lang w:eastAsia="ar-SA"/>
        </w:rPr>
        <w:t xml:space="preserve"> №1 и №2</w:t>
      </w:r>
      <w:r w:rsidRPr="00FE6318">
        <w:rPr>
          <w:rFonts w:cs="Calibri"/>
          <w:sz w:val="28"/>
          <w:szCs w:val="28"/>
          <w:lang w:eastAsia="ar-SA"/>
        </w:rPr>
        <w:t xml:space="preserve">», установлен </w:t>
      </w:r>
      <w:r w:rsidRPr="00FE6318">
        <w:rPr>
          <w:rFonts w:cs="Calibri"/>
          <w:sz w:val="28"/>
          <w:szCs w:val="28"/>
          <w:lang w:eastAsia="ar-SA"/>
        </w:rPr>
        <w:lastRenderedPageBreak/>
        <w:t>диагноз «</w:t>
      </w:r>
      <w:r w:rsidRPr="00FE6318">
        <w:rPr>
          <w:rFonts w:cs="Calibri"/>
          <w:i/>
          <w:sz w:val="28"/>
          <w:szCs w:val="28"/>
          <w:lang w:eastAsia="ar-SA"/>
        </w:rPr>
        <w:t>одонтогенный сепсис</w:t>
      </w:r>
      <w:r w:rsidRPr="00FE6318">
        <w:rPr>
          <w:rFonts w:cs="Calibri"/>
          <w:sz w:val="28"/>
          <w:szCs w:val="28"/>
          <w:lang w:eastAsia="ar-SA"/>
        </w:rPr>
        <w:t>». С учетом предшествующей консультации терапевта приемного отделения и кардиолога, предварительный диагноз при поступлении установлен следующим образом:</w:t>
      </w:r>
    </w:p>
    <w:p w:rsidR="00286780" w:rsidRPr="00FE6318" w:rsidRDefault="00286780" w:rsidP="00FE6318">
      <w:pPr>
        <w:spacing w:line="360" w:lineRule="auto"/>
        <w:ind w:firstLine="709"/>
        <w:jc w:val="both"/>
        <w:rPr>
          <w:rFonts w:cs="Calibri"/>
          <w:sz w:val="28"/>
          <w:szCs w:val="28"/>
          <w:lang w:eastAsia="ar-SA"/>
        </w:rPr>
      </w:pPr>
      <w:r w:rsidRPr="00FE6318">
        <w:rPr>
          <w:rFonts w:cs="Calibri"/>
          <w:i/>
          <w:sz w:val="28"/>
          <w:szCs w:val="28"/>
          <w:lang w:eastAsia="ar-SA"/>
        </w:rPr>
        <w:t>Основное заболевание</w:t>
      </w:r>
      <w:r w:rsidRPr="00FE6318">
        <w:rPr>
          <w:rFonts w:cs="Calibri"/>
          <w:sz w:val="28"/>
          <w:szCs w:val="28"/>
          <w:lang w:eastAsia="ar-SA"/>
        </w:rPr>
        <w:t>: Распространенная гнилостно-некротическая флегмона шеи. Одонтогенный сепсис.</w:t>
      </w:r>
    </w:p>
    <w:p w:rsidR="00286780" w:rsidRPr="00FE6318" w:rsidRDefault="00286780" w:rsidP="00FE6318">
      <w:pPr>
        <w:spacing w:line="360" w:lineRule="auto"/>
        <w:ind w:firstLine="709"/>
        <w:jc w:val="both"/>
        <w:rPr>
          <w:rFonts w:cs="Calibri"/>
          <w:sz w:val="28"/>
          <w:szCs w:val="28"/>
          <w:lang w:eastAsia="ar-SA"/>
        </w:rPr>
      </w:pPr>
      <w:r w:rsidRPr="00FE6318">
        <w:rPr>
          <w:rFonts w:cs="Calibri"/>
          <w:i/>
          <w:sz w:val="28"/>
          <w:szCs w:val="28"/>
          <w:lang w:eastAsia="ar-SA"/>
        </w:rPr>
        <w:t>Фоновая патология</w:t>
      </w:r>
      <w:r w:rsidRPr="00FE6318">
        <w:rPr>
          <w:rFonts w:cs="Calibri"/>
          <w:sz w:val="28"/>
          <w:szCs w:val="28"/>
          <w:lang w:eastAsia="ar-SA"/>
        </w:rPr>
        <w:t xml:space="preserve">: ИБС: постоянная форма фибрилляции предсердий, тахисистолический вариант. Артериальная гипертония, </w:t>
      </w:r>
      <w:r w:rsidRPr="00FE6318">
        <w:rPr>
          <w:rFonts w:cs="Calibri"/>
          <w:sz w:val="28"/>
          <w:szCs w:val="28"/>
          <w:lang w:val="en-US" w:eastAsia="ar-SA"/>
        </w:rPr>
        <w:t>III</w:t>
      </w:r>
      <w:r w:rsidRPr="00FE6318">
        <w:rPr>
          <w:rFonts w:cs="Calibri"/>
          <w:sz w:val="28"/>
          <w:szCs w:val="28"/>
          <w:lang w:eastAsia="ar-SA"/>
        </w:rPr>
        <w:t xml:space="preserve"> степень, риск 4. Гипертрофия миокарда левого желудочка. ХСН </w:t>
      </w:r>
      <w:r w:rsidRPr="00FE6318">
        <w:rPr>
          <w:rFonts w:cs="Calibri"/>
          <w:sz w:val="28"/>
          <w:szCs w:val="28"/>
          <w:lang w:val="en-US" w:eastAsia="ar-SA"/>
        </w:rPr>
        <w:t>II</w:t>
      </w:r>
      <w:r w:rsidRPr="00FE6318">
        <w:rPr>
          <w:rFonts w:cs="Calibri"/>
          <w:sz w:val="28"/>
          <w:szCs w:val="28"/>
          <w:lang w:eastAsia="ar-SA"/>
        </w:rPr>
        <w:t>А.</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Следует отметить, что в предварительном диагнозе не детализированы вовлеченные в воспалительный процесс топографо-анатомические области и клетчаточные пространства, т. к. они подробно описаны и документированы в результатах компьютерной томографии. Кроме того, данный диагноз является </w:t>
      </w:r>
      <w:r w:rsidRPr="00FE6318">
        <w:rPr>
          <w:rFonts w:cs="Calibri"/>
          <w:i/>
          <w:sz w:val="28"/>
          <w:szCs w:val="28"/>
          <w:lang w:eastAsia="ar-SA"/>
        </w:rPr>
        <w:t>предварительным</w:t>
      </w:r>
      <w:r w:rsidRPr="00FE6318">
        <w:rPr>
          <w:rFonts w:cs="Calibri"/>
          <w:sz w:val="28"/>
          <w:szCs w:val="28"/>
          <w:lang w:eastAsia="ar-SA"/>
        </w:rPr>
        <w:t xml:space="preserve">, т. е. он подлежит уточнению в послеоперационном периоде. </w:t>
      </w:r>
    </w:p>
    <w:p w:rsidR="00286780" w:rsidRPr="00FE6318" w:rsidRDefault="00286780" w:rsidP="00FE6318">
      <w:pPr>
        <w:spacing w:line="360" w:lineRule="auto"/>
        <w:ind w:firstLine="709"/>
        <w:jc w:val="both"/>
        <w:rPr>
          <w:rFonts w:cs="Calibri"/>
          <w:sz w:val="28"/>
          <w:szCs w:val="28"/>
          <w:lang w:eastAsia="ar-SA"/>
        </w:rPr>
      </w:pPr>
      <w:r>
        <w:rPr>
          <w:rFonts w:cs="Calibri"/>
          <w:sz w:val="28"/>
          <w:szCs w:val="28"/>
          <w:lang w:eastAsia="ar-SA"/>
        </w:rPr>
        <w:t>Также</w:t>
      </w:r>
      <w:r w:rsidRPr="00FE6318">
        <w:rPr>
          <w:rFonts w:cs="Calibri"/>
          <w:sz w:val="28"/>
          <w:szCs w:val="28"/>
          <w:lang w:eastAsia="ar-SA"/>
        </w:rPr>
        <w:t xml:space="preserve"> следует констатировать наличие </w:t>
      </w:r>
      <w:r w:rsidRPr="00FE6318">
        <w:rPr>
          <w:rFonts w:cs="Calibri"/>
          <w:i/>
          <w:sz w:val="28"/>
          <w:szCs w:val="28"/>
          <w:lang w:eastAsia="ar-SA"/>
        </w:rPr>
        <w:t>фоновой полиорганной патологии</w:t>
      </w:r>
      <w:r w:rsidRPr="00FE6318">
        <w:rPr>
          <w:rFonts w:cs="Calibri"/>
          <w:sz w:val="28"/>
          <w:szCs w:val="28"/>
          <w:lang w:eastAsia="ar-SA"/>
        </w:rPr>
        <w:t xml:space="preserve"> (ишемическая болезнь сердца, фибрилляция предсердий объективно и артериальная гипертония анамнестически).</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В то же время, в данном случае в связи с сепсисом определяется не </w:t>
      </w:r>
      <w:r w:rsidRPr="00FE6318">
        <w:rPr>
          <w:rFonts w:cs="Calibri"/>
          <w:i/>
          <w:sz w:val="28"/>
          <w:szCs w:val="28"/>
          <w:lang w:eastAsia="ar-SA"/>
        </w:rPr>
        <w:t>артериальная гипертензия</w:t>
      </w:r>
      <w:r w:rsidRPr="00FE6318">
        <w:rPr>
          <w:rFonts w:cs="Calibri"/>
          <w:sz w:val="28"/>
          <w:szCs w:val="28"/>
          <w:lang w:eastAsia="ar-SA"/>
        </w:rPr>
        <w:t xml:space="preserve">, а, напротив, </w:t>
      </w:r>
      <w:r w:rsidRPr="00FE6318">
        <w:rPr>
          <w:rFonts w:cs="Calibri"/>
          <w:i/>
          <w:sz w:val="28"/>
          <w:szCs w:val="28"/>
          <w:lang w:eastAsia="ar-SA"/>
        </w:rPr>
        <w:t xml:space="preserve">гипотония, </w:t>
      </w:r>
      <w:r w:rsidRPr="00FE6318">
        <w:rPr>
          <w:rFonts w:cs="Calibri"/>
          <w:sz w:val="28"/>
          <w:szCs w:val="28"/>
          <w:lang w:eastAsia="ar-SA"/>
        </w:rPr>
        <w:t>требующая проведения соответствующих интенсивных мероприятий.</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В предоперационном периоде до выполнения предоперационной подготовки выполнено взятие венозной крови для бактериологического исследования.</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Для лечения использована разработанная «</w:t>
      </w:r>
      <w:r w:rsidRPr="00FE6318">
        <w:rPr>
          <w:rFonts w:cs="Calibri"/>
          <w:i/>
          <w:sz w:val="28"/>
          <w:szCs w:val="28"/>
          <w:lang w:eastAsia="ar-SA"/>
        </w:rPr>
        <w:t xml:space="preserve">Программа комплексного многокомпонентного лечения больных с хирургическими осложнениями одонтогенной инфекции при наличии полиорганной фоновой патологии и синдрома взаимного отягощения», </w:t>
      </w:r>
      <w:r w:rsidRPr="00FE6318">
        <w:rPr>
          <w:rFonts w:cs="Calibri"/>
          <w:sz w:val="28"/>
          <w:szCs w:val="28"/>
          <w:lang w:eastAsia="ar-SA"/>
        </w:rPr>
        <w:t>включающая предоперационную подготовку</w:t>
      </w:r>
      <w:r w:rsidRPr="00FE6318">
        <w:rPr>
          <w:rFonts w:cs="Calibri"/>
          <w:i/>
          <w:sz w:val="28"/>
          <w:szCs w:val="28"/>
          <w:lang w:eastAsia="ar-SA"/>
        </w:rPr>
        <w:t>, алгоритм выбора методики оперативного вмешательства,</w:t>
      </w:r>
      <w:r w:rsidRPr="00FE6318">
        <w:rPr>
          <w:rFonts w:cs="Calibri"/>
          <w:sz w:val="28"/>
          <w:szCs w:val="28"/>
          <w:lang w:eastAsia="ar-SA"/>
        </w:rPr>
        <w:t xml:space="preserve"> последующую антибактериальную и интенсивную терапию.</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Предоперационная подготовка заключалась в инфузии 2800 мл физиологическаго раствора </w:t>
      </w:r>
      <w:r w:rsidRPr="00FE6318">
        <w:rPr>
          <w:rFonts w:cs="Calibri"/>
          <w:sz w:val="28"/>
          <w:szCs w:val="28"/>
          <w:lang w:val="en-US" w:eastAsia="ar-SA"/>
        </w:rPr>
        <w:t>NaCl</w:t>
      </w:r>
      <w:r w:rsidRPr="00FE6318">
        <w:rPr>
          <w:rFonts w:cs="Calibri"/>
          <w:sz w:val="28"/>
          <w:szCs w:val="28"/>
          <w:lang w:eastAsia="ar-SA"/>
        </w:rPr>
        <w:t xml:space="preserve"> внутривенно (около 30 мл/кг веса) в сочетании с цефалоспорином </w:t>
      </w:r>
      <w:r w:rsidRPr="00FE6318">
        <w:rPr>
          <w:rFonts w:cs="Calibri"/>
          <w:sz w:val="28"/>
          <w:szCs w:val="28"/>
          <w:lang w:val="en-US" w:eastAsia="ar-SA"/>
        </w:rPr>
        <w:t>III</w:t>
      </w:r>
      <w:r w:rsidRPr="00FE6318">
        <w:rPr>
          <w:rFonts w:cs="Calibri"/>
          <w:sz w:val="28"/>
          <w:szCs w:val="28"/>
          <w:lang w:eastAsia="ar-SA"/>
        </w:rPr>
        <w:t xml:space="preserve"> поколения (цефотаксим), введении ненаркотических аналгетиков. </w:t>
      </w:r>
      <w:r w:rsidRPr="00FE6318">
        <w:rPr>
          <w:rFonts w:cs="Calibri"/>
          <w:sz w:val="28"/>
          <w:szCs w:val="28"/>
          <w:lang w:eastAsia="ar-SA"/>
        </w:rPr>
        <w:lastRenderedPageBreak/>
        <w:t>Специальной кардиотропной терапии в предоперационном периоде не выполнялось (в соответствии с рекомендациями кардиолога).</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После выполнения вышеобозначенной предоперационной подготовки показатели гемодинамики: АД 154/90 мм рт. ст., ЧСС 130 в 1 мин.</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В условиях общей анестезии под интубационным наркозом, в соответствии с разработанным </w:t>
      </w:r>
      <w:r w:rsidRPr="00FE6318">
        <w:rPr>
          <w:rFonts w:cs="Calibri"/>
          <w:i/>
          <w:sz w:val="28"/>
          <w:szCs w:val="28"/>
          <w:lang w:eastAsia="ar-SA"/>
        </w:rPr>
        <w:t>алгоритмом выбора методики оперативного вмешательства</w:t>
      </w:r>
      <w:r w:rsidRPr="00FE6318">
        <w:rPr>
          <w:rFonts w:cs="Calibri"/>
          <w:sz w:val="28"/>
          <w:szCs w:val="28"/>
          <w:lang w:eastAsia="ar-SA"/>
        </w:rPr>
        <w:t>, показано «раскрытие топографо-анатомических областей до уровня «здоровых» тканей, максимальная некрэктомия, ревизия клетчаточных пространств на путях возможного распространения, экстирпация подчелюстной слюнной железы на стороне одонтогенного источника, дренирование», соответствующее модифицированному доступу, включающему удаление поднижечелюстной слюнной железы на стороне поражения в условиях общей анестезии.</w:t>
      </w:r>
    </w:p>
    <w:p w:rsidR="00286780" w:rsidRPr="00FE6318" w:rsidRDefault="00286780" w:rsidP="00FE6318">
      <w:pPr>
        <w:spacing w:line="360" w:lineRule="auto"/>
        <w:ind w:firstLine="709"/>
        <w:jc w:val="both"/>
        <w:rPr>
          <w:rFonts w:cs="Calibri"/>
          <w:spacing w:val="-4"/>
          <w:sz w:val="28"/>
          <w:szCs w:val="28"/>
          <w:lang w:eastAsia="ar-SA"/>
        </w:rPr>
      </w:pPr>
      <w:r w:rsidRPr="00FE6318">
        <w:rPr>
          <w:rFonts w:cs="Calibri"/>
          <w:spacing w:val="-4"/>
          <w:sz w:val="28"/>
          <w:szCs w:val="28"/>
          <w:lang w:eastAsia="ar-SA"/>
        </w:rPr>
        <w:t>Показаниями к выполнению данного оперативного вмешательства являются:</w:t>
      </w:r>
    </w:p>
    <w:p w:rsidR="00286780" w:rsidRPr="00FE6318" w:rsidRDefault="00286780" w:rsidP="00FE6318">
      <w:pPr>
        <w:spacing w:line="360" w:lineRule="auto"/>
        <w:ind w:firstLine="709"/>
        <w:jc w:val="both"/>
        <w:rPr>
          <w:rFonts w:cs="Calibri"/>
          <w:sz w:val="28"/>
          <w:szCs w:val="28"/>
          <w:lang w:eastAsia="ar-SA"/>
        </w:rPr>
      </w:pPr>
      <w:r w:rsidRPr="00FE6318">
        <w:rPr>
          <w:rFonts w:cs="Calibri"/>
          <w:spacing w:val="-4"/>
          <w:sz w:val="28"/>
          <w:szCs w:val="28"/>
          <w:lang w:eastAsia="ar-SA"/>
        </w:rPr>
        <w:t xml:space="preserve">1) </w:t>
      </w:r>
      <w:r w:rsidRPr="00FE6318">
        <w:rPr>
          <w:rFonts w:cs="Calibri"/>
          <w:sz w:val="28"/>
          <w:szCs w:val="28"/>
          <w:lang w:eastAsia="ar-SA"/>
        </w:rPr>
        <w:t>одонтогенная флегмона дна полости рта, в том числе с вовлечением заднего окологлоточного пространства с тенденцией к прогрессированию, гнойный или гнилостно-некротический тип острого воспалительного процесса, наличие сепсиса и фоновой полиорганной патологии;</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2) одонтогенная флегмона </w:t>
      </w:r>
      <w:r w:rsidRPr="00FE6318">
        <w:rPr>
          <w:rFonts w:cs="Calibri"/>
          <w:i/>
          <w:sz w:val="28"/>
          <w:szCs w:val="28"/>
          <w:lang w:eastAsia="ar-SA"/>
        </w:rPr>
        <w:t>поднижечелюстного</w:t>
      </w:r>
      <w:r w:rsidRPr="00FE6318">
        <w:rPr>
          <w:rFonts w:cs="Calibri"/>
          <w:sz w:val="28"/>
          <w:szCs w:val="28"/>
          <w:lang w:eastAsia="ar-SA"/>
        </w:rPr>
        <w:t xml:space="preserve"> (!) клетчаточного пространства, и/или заднего окологлоточного клетчаточного пространства с тенденцией к прогрессированию, гнойный или </w:t>
      </w:r>
      <w:r w:rsidRPr="00FE6318">
        <w:rPr>
          <w:rFonts w:cs="Calibri"/>
          <w:i/>
          <w:sz w:val="28"/>
          <w:szCs w:val="28"/>
          <w:lang w:eastAsia="ar-SA"/>
        </w:rPr>
        <w:t xml:space="preserve">гнилостно-некротический тип острого воспалительного процесса в условиях генерализованного воспалительного процесса (сепсис) и фоновой полиорганной патологии </w:t>
      </w:r>
      <w:r w:rsidRPr="00FE6318">
        <w:rPr>
          <w:rFonts w:cs="Calibri"/>
          <w:sz w:val="28"/>
          <w:szCs w:val="28"/>
          <w:lang w:eastAsia="ar-SA"/>
        </w:rPr>
        <w:t>(!).</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Следовательно, проведение модифицированного оперативного вмешательства в данном случае является обоснованным.</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Выполнено практически:</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1) поджевательное, поднижечелюстное клетчаточные пространства слева раскрыты широко, до уровня «здоровых тканей» «воротникообразным» разрезом параллельно краю нижней челюсти без оставления кожных перемычек, околоушно-жевательная топографо-анатомическая область и щечное пространство слева </w:t>
      </w:r>
      <w:r w:rsidRPr="00FE6318">
        <w:rPr>
          <w:rFonts w:cs="Calibri"/>
          <w:sz w:val="28"/>
          <w:szCs w:val="28"/>
          <w:lang w:eastAsia="ar-SA"/>
        </w:rPr>
        <w:lastRenderedPageBreak/>
        <w:t>проревизированы, раскрыты клетчаточные пространства передней области шеи (в т. ч. в зоне инфрахиоидной группы мышц);</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2) максимальная некрэктомия;</w:t>
      </w:r>
    </w:p>
    <w:p w:rsidR="00286780" w:rsidRPr="00FE6318" w:rsidRDefault="00286780" w:rsidP="00FE6318">
      <w:pPr>
        <w:spacing w:line="360" w:lineRule="auto"/>
        <w:ind w:firstLine="709"/>
        <w:jc w:val="both"/>
        <w:rPr>
          <w:rFonts w:cs="Calibri"/>
          <w:spacing w:val="-4"/>
          <w:sz w:val="28"/>
          <w:szCs w:val="28"/>
          <w:lang w:eastAsia="ar-SA"/>
        </w:rPr>
      </w:pPr>
      <w:r w:rsidRPr="00FE6318">
        <w:rPr>
          <w:rFonts w:cs="Calibri"/>
          <w:sz w:val="28"/>
          <w:szCs w:val="28"/>
          <w:lang w:eastAsia="ar-SA"/>
        </w:rPr>
        <w:t>3</w:t>
      </w:r>
      <w:r w:rsidRPr="00FE6318">
        <w:rPr>
          <w:rFonts w:cs="Calibri"/>
          <w:spacing w:val="-4"/>
          <w:sz w:val="28"/>
          <w:szCs w:val="28"/>
          <w:lang w:eastAsia="ar-SA"/>
        </w:rPr>
        <w:t>) ревизия клетчаточных пространств на путях возможного распространения (поднижечелюстное справа, подподбородочное клетчаточные пространства; превисцеральное, претрахеальное, ретровисцеральное клетчаточные пространства шеи);</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4) экстирпация подчелюстной слюнной железы на стороне одонтогенного источника (слева);</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5) дренирование (двупросветные дренажи).</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В послеоперационном периоде – лечение в условиях отделения реанимации и интенсивной терапии. Перевязки 2-3 раза в сутки.</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Стартовая антибиотикотерапия: меропенем + ванкомицин.</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Результаты микробиологического исследования раневого отделяемого: </w:t>
      </w:r>
      <w:r w:rsidRPr="00FE6318">
        <w:rPr>
          <w:rFonts w:cs="Calibri"/>
          <w:i/>
          <w:sz w:val="28"/>
          <w:szCs w:val="28"/>
          <w:lang w:eastAsia="ar-SA"/>
        </w:rPr>
        <w:t>роста нет</w:t>
      </w:r>
      <w:r w:rsidRPr="00FE6318">
        <w:rPr>
          <w:rFonts w:cs="Calibri"/>
          <w:sz w:val="28"/>
          <w:szCs w:val="28"/>
          <w:lang w:eastAsia="ar-SA"/>
        </w:rPr>
        <w:t>.</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Гемокультура (5-е сутки госпитализации): </w:t>
      </w:r>
      <w:r w:rsidRPr="00FE6318">
        <w:rPr>
          <w:rFonts w:cs="Calibri"/>
          <w:i/>
          <w:sz w:val="28"/>
          <w:szCs w:val="28"/>
          <w:lang w:val="en-US" w:eastAsia="ar-SA"/>
        </w:rPr>
        <w:t>Enterococcusfaecium</w:t>
      </w:r>
      <w:r w:rsidRPr="00FE6318">
        <w:rPr>
          <w:rFonts w:cs="Calibri"/>
          <w:sz w:val="28"/>
          <w:szCs w:val="28"/>
          <w:lang w:eastAsia="ar-SA"/>
        </w:rPr>
        <w:t xml:space="preserve">, чувствительный к </w:t>
      </w:r>
      <w:r w:rsidRPr="00FE6318">
        <w:rPr>
          <w:rFonts w:cs="Calibri"/>
          <w:i/>
          <w:sz w:val="28"/>
          <w:szCs w:val="28"/>
          <w:lang w:eastAsia="ar-SA"/>
        </w:rPr>
        <w:t>ванкомицину</w:t>
      </w:r>
      <w:r w:rsidRPr="00FE6318">
        <w:rPr>
          <w:rFonts w:cs="Calibri"/>
          <w:sz w:val="28"/>
          <w:szCs w:val="28"/>
          <w:lang w:eastAsia="ar-SA"/>
        </w:rPr>
        <w:t xml:space="preserve"> (!), линезолиду и тейкопланину, устойчивый к пенициллинам, в т. ч. оксациллину и ампициллину, ципрофлоксацину, левофлоксацину.</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Продолжена антибиотикотерапия исходными препаратами (меропенем и ванкомицин).</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Кроме того, комплексная терапия включала инфузию кристаллоидных растворов, фраксипарин, аналгетики (кеторол), энтеральное питание, эналаприл, конкор, дигоксин.</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Каких-либо значимых осложнений, ассоциируемых с основным заболеванием и фоновой патологией, в послеоперационном периоде не диагностировано. Продолжительность стационарного лечения – 20 койко-дней. Пациентка выписана в удовлетворительном состоянии под наблюдение хирурга, хирурга-стоматолога, кардиолога и терапевта по месту жительства.</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Прогноз для жизни – благоприятный, однако, учитывая наличие полиорганной полиморбидной хронической патологии внутренних органов, пациентке сле</w:t>
      </w:r>
      <w:r w:rsidRPr="00FE6318">
        <w:rPr>
          <w:rFonts w:cs="Calibri"/>
          <w:sz w:val="28"/>
          <w:szCs w:val="28"/>
          <w:lang w:eastAsia="ar-SA"/>
        </w:rPr>
        <w:lastRenderedPageBreak/>
        <w:t>дует находиться под наблюдением профильных специалистов терапевтического профиля по месту жительства и выполнять соответствующие рекомендации.</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Из особенностей течения основного заболевания: в составе эмпирической стартовой антибиотикотерапии кроме меропенема был назначен ванкомицин, несмотря на отсутствие факторов риска </w:t>
      </w:r>
      <w:r w:rsidRPr="00FE6318">
        <w:rPr>
          <w:rFonts w:cs="Calibri"/>
          <w:sz w:val="28"/>
          <w:szCs w:val="28"/>
          <w:lang w:val="en-US" w:eastAsia="ar-SA"/>
        </w:rPr>
        <w:t>MRSA</w:t>
      </w:r>
      <w:r w:rsidRPr="00FE6318">
        <w:rPr>
          <w:rFonts w:cs="Calibri"/>
          <w:sz w:val="28"/>
          <w:szCs w:val="28"/>
          <w:lang w:eastAsia="ar-SA"/>
        </w:rPr>
        <w:t xml:space="preserve">. В последующем (на 5-е сутки лечения) в гемокультуре идентифицирован </w:t>
      </w:r>
      <w:r w:rsidRPr="00FE6318">
        <w:rPr>
          <w:rFonts w:cs="Calibri"/>
          <w:i/>
          <w:sz w:val="28"/>
          <w:szCs w:val="28"/>
          <w:lang w:val="en-US" w:eastAsia="ar-SA"/>
        </w:rPr>
        <w:t>Enterococcus</w:t>
      </w:r>
      <w:r>
        <w:rPr>
          <w:rFonts w:cs="Calibri"/>
          <w:i/>
          <w:sz w:val="28"/>
          <w:szCs w:val="28"/>
          <w:lang w:eastAsia="ar-SA"/>
        </w:rPr>
        <w:t xml:space="preserve"> </w:t>
      </w:r>
      <w:r w:rsidRPr="00FE6318">
        <w:rPr>
          <w:rFonts w:cs="Calibri"/>
          <w:i/>
          <w:sz w:val="28"/>
          <w:szCs w:val="28"/>
          <w:lang w:val="en-US" w:eastAsia="ar-SA"/>
        </w:rPr>
        <w:t>faecium</w:t>
      </w:r>
      <w:r w:rsidRPr="00FE6318">
        <w:rPr>
          <w:rFonts w:cs="Calibri"/>
          <w:i/>
          <w:sz w:val="28"/>
          <w:szCs w:val="28"/>
          <w:lang w:eastAsia="ar-SA"/>
        </w:rPr>
        <w:t xml:space="preserve">, </w:t>
      </w:r>
      <w:r w:rsidRPr="00FE6318">
        <w:rPr>
          <w:rFonts w:cs="Calibri"/>
          <w:sz w:val="28"/>
          <w:szCs w:val="28"/>
          <w:lang w:eastAsia="ar-SA"/>
        </w:rPr>
        <w:t>чувствительный к данному антибактериальному препарату и устойчивый к другим антибиотикам (см. выше).</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Таким образом, назначение ванкомицина в данном случае не было обосновано алгоритмами антибактериальной терапии (т. к. нет риска </w:t>
      </w:r>
      <w:r w:rsidRPr="00FE6318">
        <w:rPr>
          <w:rFonts w:cs="Calibri"/>
          <w:sz w:val="28"/>
          <w:szCs w:val="28"/>
          <w:lang w:val="en-US" w:eastAsia="ar-SA"/>
        </w:rPr>
        <w:t>MRSA</w:t>
      </w:r>
      <w:r w:rsidRPr="00FE6318">
        <w:rPr>
          <w:rFonts w:cs="Calibri"/>
          <w:sz w:val="28"/>
          <w:szCs w:val="28"/>
          <w:lang w:eastAsia="ar-SA"/>
        </w:rPr>
        <w:t xml:space="preserve">), но, возможно, послужило благоприятным фактором, влияющим на выздоровление пациента. С другой стороны, международные рекомендации по лечению сепсиса </w:t>
      </w:r>
      <w:r>
        <w:rPr>
          <w:rFonts w:cs="Calibri"/>
          <w:sz w:val="28"/>
          <w:szCs w:val="28"/>
          <w:lang w:eastAsia="ar-SA"/>
        </w:rPr>
        <w:t>(</w:t>
      </w:r>
      <w:r w:rsidRPr="00FE6318">
        <w:rPr>
          <w:rFonts w:cs="Calibri"/>
          <w:sz w:val="28"/>
          <w:szCs w:val="28"/>
          <w:shd w:val="clear" w:color="auto" w:fill="FFFFFF"/>
          <w:lang w:val="en-US" w:eastAsia="ar-SA"/>
        </w:rPr>
        <w:t>Rhodes</w:t>
      </w:r>
      <w:r>
        <w:rPr>
          <w:rFonts w:cs="Calibri"/>
          <w:sz w:val="28"/>
          <w:szCs w:val="28"/>
          <w:shd w:val="clear" w:color="auto" w:fill="FFFFFF"/>
          <w:lang w:eastAsia="ar-SA"/>
        </w:rPr>
        <w:t xml:space="preserve"> </w:t>
      </w:r>
      <w:r w:rsidRPr="00FE6318">
        <w:rPr>
          <w:rFonts w:cs="Calibri"/>
          <w:sz w:val="28"/>
          <w:szCs w:val="28"/>
          <w:shd w:val="clear" w:color="auto" w:fill="FFFFFF"/>
          <w:lang w:val="en-US" w:eastAsia="ar-SA"/>
        </w:rPr>
        <w:t>A</w:t>
      </w:r>
      <w:r w:rsidRPr="00FE6318">
        <w:rPr>
          <w:rFonts w:cs="Calibri"/>
          <w:sz w:val="28"/>
          <w:szCs w:val="28"/>
          <w:shd w:val="clear" w:color="auto" w:fill="FFFFFF"/>
          <w:lang w:eastAsia="ar-SA"/>
        </w:rPr>
        <w:t xml:space="preserve">. </w:t>
      </w:r>
      <w:r w:rsidRPr="00FE6318">
        <w:rPr>
          <w:rFonts w:cs="Calibri"/>
          <w:sz w:val="28"/>
          <w:szCs w:val="28"/>
          <w:shd w:val="clear" w:color="auto" w:fill="FFFFFF"/>
          <w:lang w:val="en-US" w:eastAsia="ar-SA"/>
        </w:rPr>
        <w:t>et</w:t>
      </w:r>
      <w:r>
        <w:rPr>
          <w:rFonts w:cs="Calibri"/>
          <w:sz w:val="28"/>
          <w:szCs w:val="28"/>
          <w:shd w:val="clear" w:color="auto" w:fill="FFFFFF"/>
          <w:lang w:eastAsia="ar-SA"/>
        </w:rPr>
        <w:t xml:space="preserve"> </w:t>
      </w:r>
      <w:r w:rsidRPr="00FE6318">
        <w:rPr>
          <w:rFonts w:cs="Calibri"/>
          <w:sz w:val="28"/>
          <w:szCs w:val="28"/>
          <w:shd w:val="clear" w:color="auto" w:fill="FFFFFF"/>
          <w:lang w:val="en-US" w:eastAsia="ar-SA"/>
        </w:rPr>
        <w:t>al</w:t>
      </w:r>
      <w:r w:rsidRPr="00FE6318">
        <w:rPr>
          <w:rFonts w:cs="Calibri"/>
          <w:sz w:val="28"/>
          <w:szCs w:val="28"/>
          <w:shd w:val="clear" w:color="auto" w:fill="FFFFFF"/>
          <w:lang w:eastAsia="ar-SA"/>
        </w:rPr>
        <w:t>., 2017</w:t>
      </w:r>
      <w:r>
        <w:rPr>
          <w:rFonts w:cs="Calibri"/>
          <w:sz w:val="28"/>
          <w:szCs w:val="28"/>
          <w:lang w:eastAsia="ar-SA"/>
        </w:rPr>
        <w:t>)</w:t>
      </w:r>
      <w:r w:rsidRPr="00FE6318">
        <w:rPr>
          <w:rFonts w:cs="Calibri"/>
          <w:sz w:val="28"/>
          <w:szCs w:val="28"/>
          <w:lang w:eastAsia="ar-SA"/>
        </w:rPr>
        <w:t xml:space="preserve"> требуют стартового назначения двух классов антибиотиков, что и было выполнено (меропенем и ванкомицин).</w:t>
      </w:r>
    </w:p>
    <w:p w:rsidR="00286780" w:rsidRDefault="00286780" w:rsidP="0020266C">
      <w:pPr>
        <w:spacing w:line="360" w:lineRule="auto"/>
        <w:ind w:firstLine="709"/>
        <w:jc w:val="both"/>
        <w:rPr>
          <w:rFonts w:cs="Calibri"/>
          <w:sz w:val="28"/>
          <w:szCs w:val="28"/>
          <w:lang w:eastAsia="ar-SA"/>
        </w:rPr>
      </w:pPr>
      <w:r w:rsidRPr="00FE6318">
        <w:rPr>
          <w:rFonts w:cs="Calibri"/>
          <w:sz w:val="28"/>
          <w:szCs w:val="28"/>
          <w:lang w:eastAsia="ar-SA"/>
        </w:rPr>
        <w:t>Следует отметить, что автор данного диссертационного исследования считает, что в практической работе необходимо придерживаться существующих алгоритмов рациональной антибактериальной терапии, наприм</w:t>
      </w:r>
      <w:r>
        <w:rPr>
          <w:rFonts w:cs="Calibri"/>
          <w:sz w:val="28"/>
          <w:szCs w:val="28"/>
          <w:lang w:eastAsia="ar-SA"/>
        </w:rPr>
        <w:t>ер «Программа СКАТ» (Яковлев С.В., Брико Н.И. и др., 2018)</w:t>
      </w:r>
      <w:r w:rsidRPr="00FE6318">
        <w:rPr>
          <w:rFonts w:cs="Calibri"/>
          <w:sz w:val="28"/>
          <w:szCs w:val="28"/>
          <w:lang w:eastAsia="ar-SA"/>
        </w:rPr>
        <w:t xml:space="preserve">, а </w:t>
      </w:r>
      <w:r>
        <w:rPr>
          <w:rFonts w:cs="Calibri"/>
          <w:sz w:val="28"/>
          <w:szCs w:val="28"/>
          <w:lang w:eastAsia="ar-SA"/>
        </w:rPr>
        <w:t>также</w:t>
      </w:r>
      <w:r w:rsidRPr="00FE6318">
        <w:rPr>
          <w:rFonts w:cs="Calibri"/>
          <w:sz w:val="28"/>
          <w:szCs w:val="28"/>
          <w:lang w:eastAsia="ar-SA"/>
        </w:rPr>
        <w:t xml:space="preserve"> современных рекомендаций по лечению сепсиса </w:t>
      </w:r>
      <w:r>
        <w:rPr>
          <w:rFonts w:cs="Calibri"/>
          <w:sz w:val="28"/>
          <w:szCs w:val="28"/>
          <w:lang w:eastAsia="ar-SA"/>
        </w:rPr>
        <w:t>(</w:t>
      </w:r>
      <w:r w:rsidRPr="00FE6318">
        <w:rPr>
          <w:rFonts w:cs="Calibri"/>
          <w:sz w:val="28"/>
          <w:szCs w:val="28"/>
          <w:shd w:val="clear" w:color="auto" w:fill="FFFFFF"/>
          <w:lang w:val="en-US" w:eastAsia="ar-SA"/>
        </w:rPr>
        <w:t>Rhodes</w:t>
      </w:r>
      <w:r>
        <w:rPr>
          <w:rFonts w:cs="Calibri"/>
          <w:sz w:val="28"/>
          <w:szCs w:val="28"/>
          <w:shd w:val="clear" w:color="auto" w:fill="FFFFFF"/>
          <w:lang w:eastAsia="ar-SA"/>
        </w:rPr>
        <w:t xml:space="preserve"> </w:t>
      </w:r>
      <w:r w:rsidRPr="00FE6318">
        <w:rPr>
          <w:rFonts w:cs="Calibri"/>
          <w:sz w:val="28"/>
          <w:szCs w:val="28"/>
          <w:shd w:val="clear" w:color="auto" w:fill="FFFFFF"/>
          <w:lang w:val="en-US" w:eastAsia="ar-SA"/>
        </w:rPr>
        <w:t>A</w:t>
      </w:r>
      <w:r w:rsidRPr="00FE6318">
        <w:rPr>
          <w:rFonts w:cs="Calibri"/>
          <w:sz w:val="28"/>
          <w:szCs w:val="28"/>
          <w:shd w:val="clear" w:color="auto" w:fill="FFFFFF"/>
          <w:lang w:eastAsia="ar-SA"/>
        </w:rPr>
        <w:t xml:space="preserve">. </w:t>
      </w:r>
      <w:r w:rsidRPr="00FE6318">
        <w:rPr>
          <w:rFonts w:cs="Calibri"/>
          <w:sz w:val="28"/>
          <w:szCs w:val="28"/>
          <w:shd w:val="clear" w:color="auto" w:fill="FFFFFF"/>
          <w:lang w:val="en-US" w:eastAsia="ar-SA"/>
        </w:rPr>
        <w:t>et</w:t>
      </w:r>
      <w:r>
        <w:rPr>
          <w:rFonts w:cs="Calibri"/>
          <w:sz w:val="28"/>
          <w:szCs w:val="28"/>
          <w:shd w:val="clear" w:color="auto" w:fill="FFFFFF"/>
          <w:lang w:eastAsia="ar-SA"/>
        </w:rPr>
        <w:t xml:space="preserve"> </w:t>
      </w:r>
      <w:r w:rsidRPr="00FE6318">
        <w:rPr>
          <w:rFonts w:cs="Calibri"/>
          <w:sz w:val="28"/>
          <w:szCs w:val="28"/>
          <w:shd w:val="clear" w:color="auto" w:fill="FFFFFF"/>
          <w:lang w:val="en-US" w:eastAsia="ar-SA"/>
        </w:rPr>
        <w:t>al</w:t>
      </w:r>
      <w:r w:rsidRPr="00FE6318">
        <w:rPr>
          <w:rFonts w:cs="Calibri"/>
          <w:sz w:val="28"/>
          <w:szCs w:val="28"/>
          <w:shd w:val="clear" w:color="auto" w:fill="FFFFFF"/>
          <w:lang w:eastAsia="ar-SA"/>
        </w:rPr>
        <w:t>., 2017</w:t>
      </w:r>
      <w:r>
        <w:rPr>
          <w:rFonts w:cs="Calibri"/>
          <w:sz w:val="28"/>
          <w:szCs w:val="28"/>
          <w:lang w:eastAsia="ar-SA"/>
        </w:rPr>
        <w:t>)</w:t>
      </w:r>
      <w:r w:rsidRPr="00FE6318">
        <w:rPr>
          <w:rFonts w:cs="Calibri"/>
          <w:sz w:val="28"/>
          <w:szCs w:val="28"/>
          <w:lang w:eastAsia="ar-SA"/>
        </w:rPr>
        <w:t>.</w:t>
      </w:r>
    </w:p>
    <w:p w:rsidR="00286780" w:rsidRPr="0020266C" w:rsidRDefault="00286780" w:rsidP="0020266C">
      <w:pPr>
        <w:spacing w:line="360" w:lineRule="auto"/>
        <w:ind w:firstLine="709"/>
        <w:jc w:val="both"/>
        <w:rPr>
          <w:rFonts w:cs="Calibri"/>
          <w:sz w:val="28"/>
          <w:szCs w:val="28"/>
          <w:lang w:eastAsia="ar-SA"/>
        </w:rPr>
      </w:pPr>
      <w:r w:rsidRPr="00FE6318">
        <w:rPr>
          <w:rFonts w:cs="Calibri"/>
          <w:b/>
          <w:sz w:val="28"/>
          <w:szCs w:val="28"/>
          <w:lang w:eastAsia="ar-SA"/>
        </w:rPr>
        <w:t>Клинический случай № 2</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Пациентка В., история болезни № 119007204, 22.04.1959 г. р. (59 лет, женский пол), поступила в отделение челюстно-лицевой хирургии Курской областной клинической больницы 07.04.2019 с </w:t>
      </w:r>
      <w:r w:rsidRPr="00FE6318">
        <w:rPr>
          <w:rFonts w:cs="Calibri"/>
          <w:i/>
          <w:sz w:val="28"/>
          <w:szCs w:val="28"/>
          <w:lang w:eastAsia="ar-SA"/>
        </w:rPr>
        <w:t>жалобами</w:t>
      </w:r>
      <w:r w:rsidRPr="00FE6318">
        <w:rPr>
          <w:rFonts w:cs="Calibri"/>
          <w:sz w:val="28"/>
          <w:szCs w:val="28"/>
          <w:lang w:eastAsia="ar-SA"/>
        </w:rPr>
        <w:t xml:space="preserve"> на отек подчелюстной области слева и боли при глотании.</w:t>
      </w:r>
    </w:p>
    <w:p w:rsidR="00286780" w:rsidRPr="00FE6318" w:rsidRDefault="00286780" w:rsidP="00FE6318">
      <w:pPr>
        <w:spacing w:line="360" w:lineRule="auto"/>
        <w:ind w:firstLine="709"/>
        <w:jc w:val="both"/>
        <w:rPr>
          <w:rFonts w:cs="Calibri"/>
          <w:sz w:val="28"/>
          <w:szCs w:val="28"/>
          <w:lang w:eastAsia="ar-SA"/>
        </w:rPr>
      </w:pPr>
      <w:r w:rsidRPr="00FE6318">
        <w:rPr>
          <w:rFonts w:cs="Calibri"/>
          <w:i/>
          <w:sz w:val="28"/>
          <w:szCs w:val="28"/>
          <w:lang w:eastAsia="ar-SA"/>
        </w:rPr>
        <w:t>Анамнез заболевания</w:t>
      </w:r>
      <w:r w:rsidRPr="00FE6318">
        <w:rPr>
          <w:rFonts w:cs="Calibri"/>
          <w:sz w:val="28"/>
          <w:szCs w:val="28"/>
          <w:lang w:eastAsia="ar-SA"/>
        </w:rPr>
        <w:t>. Со слов пациентки, около 7 суток назад появились интенсивные боли в области зуба № 3.8, усиливающиеся при накусывании и приеме горячей пищи. Обратилась к стоматологу по месту жительства, зуб № 3.8 был удален. Антибиотикотерапия не проводилась. В последующем развился отек подчелюстной области слева, в связи с чем обратилась в приемное отделение Кур</w:t>
      </w:r>
      <w:r w:rsidRPr="00FE6318">
        <w:rPr>
          <w:rFonts w:cs="Calibri"/>
          <w:sz w:val="28"/>
          <w:szCs w:val="28"/>
          <w:lang w:eastAsia="ar-SA"/>
        </w:rPr>
        <w:lastRenderedPageBreak/>
        <w:t>ской областной клинической больницы. Госпитализирована в отделение челюстно-лицевой хирургии.</w:t>
      </w:r>
    </w:p>
    <w:p w:rsidR="00286780" w:rsidRPr="00FE6318" w:rsidRDefault="00286780" w:rsidP="00FE6318">
      <w:pPr>
        <w:spacing w:line="360" w:lineRule="auto"/>
        <w:ind w:firstLine="709"/>
        <w:jc w:val="both"/>
        <w:rPr>
          <w:rFonts w:cs="Calibri"/>
          <w:sz w:val="28"/>
          <w:szCs w:val="28"/>
          <w:lang w:eastAsia="ar-SA"/>
        </w:rPr>
      </w:pPr>
      <w:r w:rsidRPr="00FE6318">
        <w:rPr>
          <w:rFonts w:cs="Calibri"/>
          <w:i/>
          <w:sz w:val="28"/>
          <w:szCs w:val="28"/>
          <w:lang w:eastAsia="ar-SA"/>
        </w:rPr>
        <w:t>Анамнез жизни</w:t>
      </w:r>
      <w:r w:rsidRPr="00FE6318">
        <w:rPr>
          <w:rFonts w:cs="Calibri"/>
          <w:sz w:val="28"/>
          <w:szCs w:val="28"/>
          <w:lang w:eastAsia="ar-SA"/>
        </w:rPr>
        <w:t xml:space="preserve">. Условия быта удовлетворительные. Пенсионер, не работает. Из перенесенных заболеваний отмечает ОРВИ, сахарный диабет, тип 2-й, гипертоническую болезнь </w:t>
      </w:r>
      <w:r w:rsidRPr="00FE6318">
        <w:rPr>
          <w:rFonts w:cs="Calibri"/>
          <w:sz w:val="28"/>
          <w:szCs w:val="28"/>
          <w:lang w:val="en-US" w:eastAsia="ar-SA"/>
        </w:rPr>
        <w:t>II</w:t>
      </w:r>
      <w:r w:rsidRPr="00FE6318">
        <w:rPr>
          <w:rFonts w:cs="Calibri"/>
          <w:sz w:val="28"/>
          <w:szCs w:val="28"/>
          <w:lang w:eastAsia="ar-SA"/>
        </w:rPr>
        <w:t xml:space="preserve"> степени, варикозную болезнь нижних конечностей. Оперативное вмешательство – удаление миксомы левого пре</w:t>
      </w:r>
      <w:r>
        <w:rPr>
          <w:rFonts w:cs="Calibri"/>
          <w:sz w:val="28"/>
          <w:szCs w:val="28"/>
          <w:lang w:eastAsia="ar-SA"/>
        </w:rPr>
        <w:t>дсердия в ФГБУ «НМИЦ ССХ им. А.</w:t>
      </w:r>
      <w:r w:rsidRPr="00FE6318">
        <w:rPr>
          <w:rFonts w:cs="Calibri"/>
          <w:sz w:val="28"/>
          <w:szCs w:val="28"/>
          <w:lang w:eastAsia="ar-SA"/>
        </w:rPr>
        <w:t>Н. Бакулева» в 2018 г. Препараты в связи с кардиологической патологией (прадакса 150 мг 2 раза в сутки, престариум 5 мг утром, верошпирон 50 мг утром) принимает регулярно. Аллергоанамнез не отягощен. Гепатиты, туберкулез в анамнезе отрицает. Курение и прием алкоголя отрицает.</w:t>
      </w:r>
    </w:p>
    <w:p w:rsidR="00286780" w:rsidRPr="00FE6318" w:rsidRDefault="00286780" w:rsidP="00FE6318">
      <w:pPr>
        <w:spacing w:line="360" w:lineRule="auto"/>
        <w:ind w:firstLine="709"/>
        <w:jc w:val="both"/>
        <w:rPr>
          <w:rFonts w:cs="Calibri"/>
          <w:spacing w:val="-4"/>
          <w:sz w:val="28"/>
          <w:szCs w:val="28"/>
          <w:lang w:eastAsia="ar-SA"/>
        </w:rPr>
      </w:pPr>
      <w:r w:rsidRPr="00FE6318">
        <w:rPr>
          <w:rFonts w:cs="Calibri"/>
          <w:i/>
          <w:spacing w:val="-4"/>
          <w:sz w:val="28"/>
          <w:szCs w:val="28"/>
          <w:lang w:eastAsia="ar-SA"/>
        </w:rPr>
        <w:t xml:space="preserve">Объективное обследование. </w:t>
      </w:r>
      <w:r w:rsidRPr="00FE6318">
        <w:rPr>
          <w:rFonts w:cs="Calibri"/>
          <w:spacing w:val="-4"/>
          <w:sz w:val="28"/>
          <w:szCs w:val="28"/>
          <w:lang w:eastAsia="ar-SA"/>
        </w:rPr>
        <w:t>Общее состояние удовлетворительное. Положение тела – активное. Сознание ясное (</w:t>
      </w:r>
      <w:r w:rsidRPr="00FE6318">
        <w:rPr>
          <w:rFonts w:cs="Calibri"/>
          <w:i/>
          <w:spacing w:val="-4"/>
          <w:sz w:val="28"/>
          <w:szCs w:val="28"/>
          <w:lang w:eastAsia="ar-SA"/>
        </w:rPr>
        <w:t>15 баллов по шкале ком Глазго</w:t>
      </w:r>
      <w:r w:rsidRPr="00FE6318">
        <w:rPr>
          <w:rFonts w:cs="Calibri"/>
          <w:spacing w:val="-4"/>
          <w:sz w:val="28"/>
          <w:szCs w:val="28"/>
          <w:lang w:eastAsia="ar-SA"/>
        </w:rPr>
        <w:t>). Кожные покровы обычной окраски. В легких дыхание везикулярное, проводится во все отделы. Границы легких в пределах нормы. Тоны сердца приглушенные, аритмия, мерцание. Границы сердца расширены влево. Артериальное давление 140/90 мм рт. ст., частота сердечных сокращений – 76 в 1 мин. Живот мягкий и безболезненный.</w:t>
      </w:r>
    </w:p>
    <w:p w:rsidR="00286780" w:rsidRPr="00FE6318" w:rsidRDefault="00286780" w:rsidP="00FE6318">
      <w:pPr>
        <w:spacing w:line="360" w:lineRule="auto"/>
        <w:ind w:firstLine="709"/>
        <w:jc w:val="both"/>
        <w:rPr>
          <w:rFonts w:cs="Calibri"/>
          <w:sz w:val="28"/>
          <w:szCs w:val="28"/>
          <w:lang w:eastAsia="ar-SA"/>
        </w:rPr>
      </w:pPr>
      <w:r w:rsidRPr="00FE6318">
        <w:rPr>
          <w:rFonts w:cs="Calibri"/>
          <w:i/>
          <w:sz w:val="28"/>
          <w:szCs w:val="28"/>
          <w:lang w:eastAsia="ar-SA"/>
        </w:rPr>
        <w:t xml:space="preserve">Локальный статус. </w:t>
      </w:r>
      <w:r w:rsidRPr="00FE6318">
        <w:rPr>
          <w:rFonts w:cs="Calibri"/>
          <w:sz w:val="28"/>
          <w:szCs w:val="28"/>
          <w:lang w:eastAsia="ar-SA"/>
        </w:rPr>
        <w:t xml:space="preserve">Отмечается выраженный отек поднижечелюстной и подпобородочной областей слева. </w:t>
      </w:r>
      <w:r w:rsidRPr="00FE6318">
        <w:rPr>
          <w:rFonts w:cs="Calibri"/>
          <w:i/>
          <w:sz w:val="28"/>
          <w:szCs w:val="28"/>
          <w:lang w:eastAsia="ar-SA"/>
        </w:rPr>
        <w:t>Отек локализованный, болезненный при пальпации, с четкими границами. Гиперемия кожных покровов в поднижечелюстной области слева и подподбородочной области, флюктуация</w:t>
      </w:r>
      <w:r w:rsidRPr="00FE6318">
        <w:rPr>
          <w:rFonts w:cs="Calibri"/>
          <w:sz w:val="28"/>
          <w:szCs w:val="28"/>
          <w:lang w:eastAsia="ar-SA"/>
        </w:rPr>
        <w:t>. Открывание рта болезненное, в полном объеме. В полости рта – лунка удаленного зуба № 3.8, покрытая фибрином; гиперемия слизистой оболочки.</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Выполнена электрокардиография: фибрилляция предсердий, гипертрофия миокарда левого желудочка (ГМЛЖ). </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Пациентка осмотрена </w:t>
      </w:r>
      <w:r w:rsidRPr="00FE6318">
        <w:rPr>
          <w:rFonts w:cs="Calibri"/>
          <w:i/>
          <w:sz w:val="28"/>
          <w:szCs w:val="28"/>
          <w:lang w:eastAsia="ar-SA"/>
        </w:rPr>
        <w:t>дежурным терапевтом</w:t>
      </w:r>
      <w:r w:rsidRPr="00FE6318">
        <w:rPr>
          <w:rFonts w:cs="Calibri"/>
          <w:sz w:val="28"/>
          <w:szCs w:val="28"/>
          <w:lang w:eastAsia="ar-SA"/>
        </w:rPr>
        <w:t xml:space="preserve">: сахарный диабет, тип 2-й; ИБС, постоянная форма фибрилляции предсердий, тахисистолический вариант, удаление опухоли (миксомы) левого предсердия в 2018 г.; артериальная гипертония </w:t>
      </w:r>
      <w:r w:rsidRPr="00FE6318">
        <w:rPr>
          <w:rFonts w:cs="Calibri"/>
          <w:sz w:val="28"/>
          <w:szCs w:val="28"/>
          <w:lang w:val="en-US" w:eastAsia="ar-SA"/>
        </w:rPr>
        <w:t>II</w:t>
      </w:r>
      <w:r w:rsidRPr="00FE6318">
        <w:rPr>
          <w:rFonts w:cs="Calibri"/>
          <w:sz w:val="28"/>
          <w:szCs w:val="28"/>
          <w:lang w:eastAsia="ar-SA"/>
        </w:rPr>
        <w:t xml:space="preserve"> степени, ГМЛЖ, ХСН </w:t>
      </w:r>
      <w:r w:rsidRPr="00FE6318">
        <w:rPr>
          <w:rFonts w:cs="Calibri"/>
          <w:sz w:val="28"/>
          <w:szCs w:val="28"/>
          <w:lang w:val="en-US" w:eastAsia="ar-SA"/>
        </w:rPr>
        <w:t>II</w:t>
      </w:r>
      <w:r w:rsidRPr="00FE6318">
        <w:rPr>
          <w:rFonts w:cs="Calibri"/>
          <w:sz w:val="28"/>
          <w:szCs w:val="28"/>
          <w:lang w:eastAsia="ar-SA"/>
        </w:rPr>
        <w:t xml:space="preserve">А, </w:t>
      </w:r>
      <w:r w:rsidRPr="00FE6318">
        <w:rPr>
          <w:rFonts w:cs="Calibri"/>
          <w:sz w:val="28"/>
          <w:szCs w:val="28"/>
          <w:lang w:val="en-US" w:eastAsia="ar-SA"/>
        </w:rPr>
        <w:t>III</w:t>
      </w:r>
      <w:r w:rsidRPr="00FE6318">
        <w:rPr>
          <w:rFonts w:cs="Calibri"/>
          <w:sz w:val="28"/>
          <w:szCs w:val="28"/>
          <w:lang w:eastAsia="ar-SA"/>
        </w:rPr>
        <w:t xml:space="preserve"> ФК.</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Данные клеточного и биохимического состава крови: эритроциты – 3,8×10</w:t>
      </w:r>
      <w:r w:rsidRPr="00FE6318">
        <w:rPr>
          <w:rFonts w:cs="Calibri"/>
          <w:sz w:val="28"/>
          <w:szCs w:val="28"/>
          <w:vertAlign w:val="superscript"/>
          <w:lang w:eastAsia="ar-SA"/>
        </w:rPr>
        <w:t>12</w:t>
      </w:r>
      <w:r w:rsidRPr="00FE6318">
        <w:rPr>
          <w:rFonts w:cs="Calibri"/>
          <w:sz w:val="28"/>
          <w:szCs w:val="28"/>
          <w:lang w:eastAsia="ar-SA"/>
        </w:rPr>
        <w:t>/л; гемоглобин – 115 г/л; тромбоциты – 342×10</w:t>
      </w:r>
      <w:r w:rsidRPr="00FE6318">
        <w:rPr>
          <w:rFonts w:cs="Calibri"/>
          <w:sz w:val="28"/>
          <w:szCs w:val="28"/>
          <w:vertAlign w:val="superscript"/>
          <w:lang w:eastAsia="ar-SA"/>
        </w:rPr>
        <w:t>6</w:t>
      </w:r>
      <w:r w:rsidRPr="00FE6318">
        <w:rPr>
          <w:rFonts w:cs="Calibri"/>
          <w:sz w:val="28"/>
          <w:szCs w:val="28"/>
          <w:lang w:eastAsia="ar-SA"/>
        </w:rPr>
        <w:t>/л; лейкоциты – 5,6×10</w:t>
      </w:r>
      <w:r w:rsidRPr="00FE6318">
        <w:rPr>
          <w:rFonts w:cs="Calibri"/>
          <w:sz w:val="28"/>
          <w:szCs w:val="28"/>
          <w:vertAlign w:val="superscript"/>
          <w:lang w:eastAsia="ar-SA"/>
        </w:rPr>
        <w:t>9</w:t>
      </w:r>
      <w:r w:rsidRPr="00FE6318">
        <w:rPr>
          <w:rFonts w:cs="Calibri"/>
          <w:sz w:val="28"/>
          <w:szCs w:val="28"/>
          <w:lang w:eastAsia="ar-SA"/>
        </w:rPr>
        <w:t xml:space="preserve">/л; </w:t>
      </w:r>
      <w:r w:rsidRPr="00FE6318">
        <w:rPr>
          <w:rFonts w:cs="Calibri"/>
          <w:sz w:val="28"/>
          <w:szCs w:val="28"/>
          <w:lang w:eastAsia="ar-SA"/>
        </w:rPr>
        <w:lastRenderedPageBreak/>
        <w:t xml:space="preserve">лейкоцитарная формула: миелоциты – 0%, метамиелоциты – 0%, палочкоядерные – 23%, сегментоядерные – 43%, лимфоциты – 28%, моноциты – 6%; </w:t>
      </w:r>
      <w:r w:rsidRPr="00FE6318">
        <w:rPr>
          <w:rFonts w:cs="Calibri"/>
          <w:i/>
          <w:sz w:val="28"/>
          <w:szCs w:val="28"/>
          <w:lang w:eastAsia="ar-SA"/>
        </w:rPr>
        <w:t>глюкоза капиллярной крови – 32,5 ммоль/л;</w:t>
      </w:r>
      <w:r w:rsidRPr="00FE6318">
        <w:rPr>
          <w:rFonts w:cs="Calibri"/>
          <w:sz w:val="28"/>
          <w:szCs w:val="28"/>
          <w:lang w:eastAsia="ar-SA"/>
        </w:rPr>
        <w:t xml:space="preserve"> общий белок – 73,3 г/л; билирубин общий – 16,8 ммоль/л; креатинин – 108 мкмоль/л; мочевина – 5,73 ммоль/л.</w:t>
      </w:r>
    </w:p>
    <w:p w:rsidR="00286780" w:rsidRPr="00FE6318" w:rsidRDefault="00286780" w:rsidP="00FE6318">
      <w:pPr>
        <w:spacing w:line="360" w:lineRule="auto"/>
        <w:ind w:firstLine="709"/>
        <w:jc w:val="both"/>
        <w:rPr>
          <w:rFonts w:cs="Calibri"/>
          <w:i/>
          <w:sz w:val="28"/>
          <w:szCs w:val="28"/>
          <w:lang w:eastAsia="ar-SA"/>
        </w:rPr>
      </w:pPr>
      <w:r w:rsidRPr="00FE6318">
        <w:rPr>
          <w:rFonts w:cs="Calibri"/>
          <w:sz w:val="28"/>
          <w:szCs w:val="28"/>
          <w:lang w:eastAsia="ar-SA"/>
        </w:rPr>
        <w:t xml:space="preserve">Таким образом, количество баллов по шкале </w:t>
      </w:r>
      <w:r w:rsidRPr="00FE6318">
        <w:rPr>
          <w:rFonts w:cs="Calibri"/>
          <w:i/>
          <w:sz w:val="28"/>
          <w:szCs w:val="28"/>
          <w:lang w:val="en-US" w:eastAsia="ar-SA"/>
        </w:rPr>
        <w:t>SOFA</w:t>
      </w:r>
      <w:r w:rsidRPr="00FE6318">
        <w:rPr>
          <w:rFonts w:cs="Calibri"/>
          <w:sz w:val="28"/>
          <w:szCs w:val="28"/>
          <w:lang w:eastAsia="ar-SA"/>
        </w:rPr>
        <w:t xml:space="preserve"> без учета данных парциального давлен</w:t>
      </w:r>
      <w:r>
        <w:rPr>
          <w:rFonts w:cs="Calibri"/>
          <w:sz w:val="28"/>
          <w:szCs w:val="28"/>
          <w:lang w:eastAsia="ar-SA"/>
        </w:rPr>
        <w:t>ия кислорода артериальной крови</w:t>
      </w:r>
      <w:r w:rsidRPr="00FE6318">
        <w:rPr>
          <w:rFonts w:cs="Calibri"/>
          <w:sz w:val="28"/>
          <w:szCs w:val="28"/>
          <w:lang w:eastAsia="ar-SA"/>
        </w:rPr>
        <w:t xml:space="preserve"> составляет </w:t>
      </w:r>
      <w:r w:rsidRPr="00FE6318">
        <w:rPr>
          <w:rFonts w:cs="Calibri"/>
          <w:i/>
          <w:sz w:val="28"/>
          <w:szCs w:val="28"/>
          <w:lang w:eastAsia="ar-SA"/>
        </w:rPr>
        <w:t>0 баллов. Отмечается выраженная гипергликемия.</w:t>
      </w:r>
    </w:p>
    <w:p w:rsidR="00286780" w:rsidRPr="00FE6318" w:rsidRDefault="00286780" w:rsidP="00FE6318">
      <w:pPr>
        <w:spacing w:line="360" w:lineRule="auto"/>
        <w:ind w:firstLine="709"/>
        <w:jc w:val="both"/>
        <w:rPr>
          <w:rFonts w:cs="Calibri"/>
          <w:sz w:val="28"/>
          <w:szCs w:val="28"/>
          <w:lang w:eastAsia="ar-SA"/>
        </w:rPr>
      </w:pPr>
      <w:r>
        <w:rPr>
          <w:rFonts w:cs="Calibri"/>
          <w:sz w:val="28"/>
          <w:szCs w:val="28"/>
          <w:lang w:eastAsia="ar-SA"/>
        </w:rPr>
        <w:t>С</w:t>
      </w:r>
      <w:r w:rsidRPr="00FE6318">
        <w:rPr>
          <w:rFonts w:cs="Calibri"/>
          <w:sz w:val="28"/>
          <w:szCs w:val="28"/>
          <w:lang w:eastAsia="ar-SA"/>
        </w:rPr>
        <w:t xml:space="preserve"> учетом данных локального статуса, можно констатировать поражение </w:t>
      </w:r>
      <w:r w:rsidRPr="00FE6318">
        <w:rPr>
          <w:rFonts w:cs="Calibri"/>
          <w:i/>
          <w:sz w:val="28"/>
          <w:szCs w:val="28"/>
          <w:lang w:eastAsia="ar-SA"/>
        </w:rPr>
        <w:t>2 клетчаточных пространств</w:t>
      </w:r>
      <w:r w:rsidRPr="00FE6318">
        <w:rPr>
          <w:rFonts w:cs="Calibri"/>
          <w:sz w:val="28"/>
          <w:szCs w:val="28"/>
          <w:lang w:eastAsia="ar-SA"/>
        </w:rPr>
        <w:t xml:space="preserve"> челюстно-лицевой области, </w:t>
      </w:r>
      <w:r w:rsidRPr="00FE6318">
        <w:rPr>
          <w:rFonts w:cs="Calibri"/>
          <w:i/>
          <w:sz w:val="28"/>
          <w:szCs w:val="28"/>
          <w:lang w:eastAsia="ar-SA"/>
        </w:rPr>
        <w:t>гнойный тип острого воспалительного процесса</w:t>
      </w:r>
      <w:r w:rsidRPr="00FE6318">
        <w:rPr>
          <w:rFonts w:cs="Calibri"/>
          <w:sz w:val="28"/>
          <w:szCs w:val="28"/>
          <w:lang w:eastAsia="ar-SA"/>
        </w:rPr>
        <w:t>.</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В соответствии с разработанным </w:t>
      </w:r>
      <w:r>
        <w:rPr>
          <w:rFonts w:cs="Calibri"/>
          <w:i/>
          <w:sz w:val="28"/>
          <w:szCs w:val="28"/>
          <w:lang w:eastAsia="ar-SA"/>
        </w:rPr>
        <w:t>а</w:t>
      </w:r>
      <w:r w:rsidRPr="00FE6318">
        <w:rPr>
          <w:rFonts w:cs="Calibri"/>
          <w:i/>
          <w:sz w:val="28"/>
          <w:szCs w:val="28"/>
          <w:lang w:eastAsia="ar-SA"/>
        </w:rPr>
        <w:t>лго</w:t>
      </w:r>
      <w:r>
        <w:rPr>
          <w:rFonts w:cs="Calibri"/>
          <w:i/>
          <w:sz w:val="28"/>
          <w:szCs w:val="28"/>
          <w:lang w:eastAsia="ar-SA"/>
        </w:rPr>
        <w:t>ритмом ранней диагностики</w:t>
      </w:r>
      <w:r w:rsidRPr="00FE6318">
        <w:rPr>
          <w:rFonts w:cs="Calibri"/>
          <w:i/>
          <w:sz w:val="28"/>
          <w:szCs w:val="28"/>
          <w:lang w:eastAsia="ar-SA"/>
        </w:rPr>
        <w:t xml:space="preserve"> одонтогенного сепсиса, </w:t>
      </w:r>
      <w:r w:rsidRPr="00FE6318">
        <w:rPr>
          <w:rFonts w:cs="Calibri"/>
          <w:sz w:val="28"/>
          <w:szCs w:val="28"/>
          <w:lang w:eastAsia="ar-SA"/>
        </w:rPr>
        <w:t xml:space="preserve">в данном случае вероятность развития одонтогенного сепсиса </w:t>
      </w:r>
      <w:r w:rsidRPr="00FE6318">
        <w:rPr>
          <w:rFonts w:cs="Calibri"/>
          <w:i/>
          <w:sz w:val="28"/>
          <w:szCs w:val="28"/>
          <w:lang w:eastAsia="ar-SA"/>
        </w:rPr>
        <w:t>низкая</w:t>
      </w:r>
      <w:r w:rsidRPr="00FE6318">
        <w:rPr>
          <w:rFonts w:cs="Calibri"/>
          <w:sz w:val="28"/>
          <w:szCs w:val="28"/>
          <w:lang w:eastAsia="ar-SA"/>
        </w:rPr>
        <w:t>.</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В соответствии с разработанным а</w:t>
      </w:r>
      <w:r w:rsidRPr="00FE6318">
        <w:rPr>
          <w:rFonts w:cs="Calibri"/>
          <w:i/>
          <w:sz w:val="28"/>
          <w:szCs w:val="28"/>
          <w:lang w:eastAsia="ar-SA"/>
        </w:rPr>
        <w:t>лгоритмом диагностики одонтогенного сепсиса</w:t>
      </w:r>
      <w:r w:rsidRPr="00FE6318">
        <w:rPr>
          <w:rFonts w:cs="Calibri"/>
          <w:sz w:val="28"/>
          <w:szCs w:val="28"/>
          <w:lang w:eastAsia="ar-SA"/>
        </w:rPr>
        <w:t xml:space="preserve">, установлен диагноз </w:t>
      </w:r>
      <w:r w:rsidRPr="00FE6318">
        <w:rPr>
          <w:rFonts w:cs="Calibri"/>
          <w:i/>
          <w:sz w:val="28"/>
          <w:szCs w:val="28"/>
          <w:lang w:eastAsia="ar-SA"/>
        </w:rPr>
        <w:t>местной формы одонтогенной инфекции</w:t>
      </w:r>
      <w:r w:rsidRPr="00FE6318">
        <w:rPr>
          <w:rFonts w:cs="Calibri"/>
          <w:sz w:val="28"/>
          <w:szCs w:val="28"/>
          <w:lang w:eastAsia="ar-SA"/>
        </w:rPr>
        <w:t xml:space="preserve"> (МФОИ).</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С учетом предшествующей консультации терапевта приемного отделения, предварительный диагноз при поступлении установлен следующим образом:</w:t>
      </w:r>
    </w:p>
    <w:p w:rsidR="00286780" w:rsidRPr="00FE6318" w:rsidRDefault="00286780" w:rsidP="00FE6318">
      <w:pPr>
        <w:spacing w:line="360" w:lineRule="auto"/>
        <w:ind w:firstLine="709"/>
        <w:jc w:val="both"/>
        <w:rPr>
          <w:rFonts w:cs="Calibri"/>
          <w:sz w:val="28"/>
          <w:szCs w:val="28"/>
          <w:lang w:eastAsia="ar-SA"/>
        </w:rPr>
      </w:pPr>
      <w:r w:rsidRPr="00FE6318">
        <w:rPr>
          <w:rFonts w:cs="Calibri"/>
          <w:i/>
          <w:sz w:val="28"/>
          <w:szCs w:val="28"/>
          <w:lang w:eastAsia="ar-SA"/>
        </w:rPr>
        <w:t>Основное заболевание</w:t>
      </w:r>
      <w:r w:rsidRPr="00FE6318">
        <w:rPr>
          <w:rFonts w:cs="Calibri"/>
          <w:sz w:val="28"/>
          <w:szCs w:val="28"/>
          <w:lang w:eastAsia="ar-SA"/>
        </w:rPr>
        <w:t>: Одонтогенная флегмона подчелюстного и подподбородочного клетчаточных пространств слева.</w:t>
      </w:r>
    </w:p>
    <w:p w:rsidR="00286780" w:rsidRPr="00FE6318" w:rsidRDefault="00286780" w:rsidP="00FE6318">
      <w:pPr>
        <w:spacing w:line="360" w:lineRule="auto"/>
        <w:ind w:firstLine="709"/>
        <w:jc w:val="both"/>
        <w:rPr>
          <w:rFonts w:cs="Calibri"/>
          <w:sz w:val="28"/>
          <w:szCs w:val="28"/>
          <w:lang w:eastAsia="ar-SA"/>
        </w:rPr>
      </w:pPr>
      <w:r w:rsidRPr="00FE6318">
        <w:rPr>
          <w:rFonts w:cs="Calibri"/>
          <w:i/>
          <w:sz w:val="28"/>
          <w:szCs w:val="28"/>
          <w:lang w:eastAsia="ar-SA"/>
        </w:rPr>
        <w:t>Фоновая патология</w:t>
      </w:r>
      <w:r w:rsidRPr="00FE6318">
        <w:rPr>
          <w:rFonts w:cs="Calibri"/>
          <w:sz w:val="28"/>
          <w:szCs w:val="28"/>
          <w:lang w:eastAsia="ar-SA"/>
        </w:rPr>
        <w:t xml:space="preserve">: Сахарный диабет, тип 2-й. ИБС: постоянная форма фибрилляции предсердий, тахисистолический вариант, удаление опухоли (миксомы) левого предсердия в 2018 г. Артериальная гипертония </w:t>
      </w:r>
      <w:r w:rsidRPr="00FE6318">
        <w:rPr>
          <w:rFonts w:cs="Calibri"/>
          <w:sz w:val="28"/>
          <w:szCs w:val="28"/>
          <w:lang w:val="en-US" w:eastAsia="ar-SA"/>
        </w:rPr>
        <w:t>II</w:t>
      </w:r>
      <w:r w:rsidRPr="00FE6318">
        <w:rPr>
          <w:rFonts w:cs="Calibri"/>
          <w:sz w:val="28"/>
          <w:szCs w:val="28"/>
          <w:lang w:eastAsia="ar-SA"/>
        </w:rPr>
        <w:t xml:space="preserve"> степени, ГМЛЖ, ХСН </w:t>
      </w:r>
      <w:r w:rsidRPr="00FE6318">
        <w:rPr>
          <w:rFonts w:cs="Calibri"/>
          <w:sz w:val="28"/>
          <w:szCs w:val="28"/>
          <w:lang w:val="en-US" w:eastAsia="ar-SA"/>
        </w:rPr>
        <w:t>II</w:t>
      </w:r>
      <w:r w:rsidRPr="00FE6318">
        <w:rPr>
          <w:rFonts w:cs="Calibri"/>
          <w:sz w:val="28"/>
          <w:szCs w:val="28"/>
          <w:lang w:eastAsia="ar-SA"/>
        </w:rPr>
        <w:t xml:space="preserve">А, </w:t>
      </w:r>
      <w:r w:rsidRPr="00FE6318">
        <w:rPr>
          <w:rFonts w:cs="Calibri"/>
          <w:sz w:val="28"/>
          <w:szCs w:val="28"/>
          <w:lang w:val="en-US" w:eastAsia="ar-SA"/>
        </w:rPr>
        <w:t>III</w:t>
      </w:r>
      <w:r w:rsidRPr="00FE6318">
        <w:rPr>
          <w:rFonts w:cs="Calibri"/>
          <w:sz w:val="28"/>
          <w:szCs w:val="28"/>
          <w:lang w:eastAsia="ar-SA"/>
        </w:rPr>
        <w:t xml:space="preserve"> ФК.</w:t>
      </w:r>
    </w:p>
    <w:p w:rsidR="00286780" w:rsidRPr="00FE6318" w:rsidRDefault="00286780" w:rsidP="00FE6318">
      <w:pPr>
        <w:spacing w:line="360" w:lineRule="auto"/>
        <w:ind w:firstLine="709"/>
        <w:jc w:val="both"/>
        <w:rPr>
          <w:rFonts w:cs="Calibri"/>
          <w:sz w:val="28"/>
          <w:szCs w:val="28"/>
          <w:lang w:eastAsia="ar-SA"/>
        </w:rPr>
      </w:pPr>
      <w:r w:rsidRPr="00FE6318">
        <w:rPr>
          <w:rFonts w:cs="Calibri"/>
          <w:i/>
          <w:sz w:val="28"/>
          <w:szCs w:val="28"/>
          <w:lang w:eastAsia="ar-SA"/>
        </w:rPr>
        <w:t>Сопутствующая патология</w:t>
      </w:r>
      <w:r w:rsidRPr="00FE6318">
        <w:rPr>
          <w:rFonts w:cs="Calibri"/>
          <w:sz w:val="28"/>
          <w:szCs w:val="28"/>
          <w:lang w:eastAsia="ar-SA"/>
        </w:rPr>
        <w:t>: варикозная болезнь нижних конечностей.</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Для лечения использована разработанная «</w:t>
      </w:r>
      <w:r w:rsidRPr="00FE6318">
        <w:rPr>
          <w:rFonts w:cs="Calibri"/>
          <w:i/>
          <w:sz w:val="28"/>
          <w:szCs w:val="28"/>
          <w:lang w:eastAsia="ar-SA"/>
        </w:rPr>
        <w:t xml:space="preserve">Программа комплексного многокомпонентного лечения больных с хирургическими осложнениями одонтогенной инфекции при наличии полиорганной фоновой патологии и синдрома взаимного отягощения», </w:t>
      </w:r>
      <w:r w:rsidRPr="00FE6318">
        <w:rPr>
          <w:rFonts w:cs="Calibri"/>
          <w:sz w:val="28"/>
          <w:szCs w:val="28"/>
          <w:lang w:eastAsia="ar-SA"/>
        </w:rPr>
        <w:t>включающая предоперационную подготовку</w:t>
      </w:r>
      <w:r w:rsidRPr="00FE6318">
        <w:rPr>
          <w:rFonts w:cs="Calibri"/>
          <w:i/>
          <w:sz w:val="28"/>
          <w:szCs w:val="28"/>
          <w:lang w:eastAsia="ar-SA"/>
        </w:rPr>
        <w:t>, алгоритм выбора методики оперативного вмешательства,</w:t>
      </w:r>
      <w:r w:rsidRPr="00FE6318">
        <w:rPr>
          <w:rFonts w:cs="Calibri"/>
          <w:sz w:val="28"/>
          <w:szCs w:val="28"/>
          <w:lang w:eastAsia="ar-SA"/>
        </w:rPr>
        <w:t xml:space="preserve"> последующую антибактериальную и интенсивную терапию.</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lastRenderedPageBreak/>
        <w:t xml:space="preserve">В связи с выраженной гипергликемией (32,5 ммоль/л),в качестве предоперационной подготовки выполнена инфузия 1700 мл физиологического раствора </w:t>
      </w:r>
      <w:r w:rsidRPr="00FE6318">
        <w:rPr>
          <w:rFonts w:cs="Calibri"/>
          <w:sz w:val="28"/>
          <w:szCs w:val="28"/>
          <w:lang w:val="en-US" w:eastAsia="ar-SA"/>
        </w:rPr>
        <w:t>NaCl</w:t>
      </w:r>
      <w:r w:rsidRPr="00FE6318">
        <w:rPr>
          <w:rFonts w:cs="Calibri"/>
          <w:sz w:val="28"/>
          <w:szCs w:val="28"/>
          <w:lang w:eastAsia="ar-SA"/>
        </w:rPr>
        <w:t xml:space="preserve"> (около 20 мл/кг веса пациентки) в сочетании с 18 ЕД инсулина короткого действия. Раздельно с раствором инсулина внутривенно введены цефалоспорин </w:t>
      </w:r>
      <w:r w:rsidRPr="00FE6318">
        <w:rPr>
          <w:rFonts w:cs="Calibri"/>
          <w:sz w:val="28"/>
          <w:szCs w:val="28"/>
          <w:lang w:val="en-US" w:eastAsia="ar-SA"/>
        </w:rPr>
        <w:t>III</w:t>
      </w:r>
      <w:r w:rsidRPr="00FE6318">
        <w:rPr>
          <w:rFonts w:cs="Calibri"/>
          <w:sz w:val="28"/>
          <w:szCs w:val="28"/>
          <w:lang w:eastAsia="ar-SA"/>
        </w:rPr>
        <w:t xml:space="preserve"> поколения цефотаксим и метронидазол.</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Уровень гликемии контролировался каждые 15 мин. После выполненной инфузии гликемия составила </w:t>
      </w:r>
      <w:r w:rsidRPr="00FE6318">
        <w:rPr>
          <w:rFonts w:cs="Calibri"/>
          <w:i/>
          <w:sz w:val="28"/>
          <w:szCs w:val="28"/>
          <w:lang w:eastAsia="ar-SA"/>
        </w:rPr>
        <w:t>8,8 ммоль/л</w:t>
      </w:r>
      <w:r w:rsidRPr="00FE6318">
        <w:rPr>
          <w:rFonts w:cs="Calibri"/>
          <w:sz w:val="28"/>
          <w:szCs w:val="28"/>
          <w:lang w:eastAsia="ar-SA"/>
        </w:rPr>
        <w:t>.</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В соответствии с разработанным </w:t>
      </w:r>
      <w:r w:rsidRPr="00FE6318">
        <w:rPr>
          <w:rFonts w:cs="Calibri"/>
          <w:i/>
          <w:sz w:val="28"/>
          <w:szCs w:val="28"/>
          <w:lang w:eastAsia="ar-SA"/>
        </w:rPr>
        <w:t xml:space="preserve">алгоритмом выбора методики оперативного вмешательства, </w:t>
      </w:r>
      <w:r w:rsidRPr="00FE6318">
        <w:rPr>
          <w:rFonts w:cs="Calibri"/>
          <w:sz w:val="28"/>
          <w:szCs w:val="28"/>
          <w:lang w:eastAsia="ar-SA"/>
        </w:rPr>
        <w:t>оперативное пособие в данном случае должно включать следующие компоненты:</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1) раскрытие и дренирование соответствующих топографо-анатомических областей и клетчаточных пространств;</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2) использование модифицированного доступа с частичным рассечением подъязычно-подчелюстного мешка (Пат</w:t>
      </w:r>
      <w:r>
        <w:rPr>
          <w:rFonts w:cs="Calibri"/>
          <w:sz w:val="28"/>
          <w:szCs w:val="28"/>
          <w:lang w:eastAsia="ar-SA"/>
        </w:rPr>
        <w:t>ент</w:t>
      </w:r>
      <w:r w:rsidRPr="00FE6318">
        <w:rPr>
          <w:rFonts w:cs="Calibri"/>
          <w:sz w:val="28"/>
          <w:szCs w:val="28"/>
          <w:lang w:eastAsia="ar-SA"/>
        </w:rPr>
        <w:t xml:space="preserve"> РФ № 2705105);</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3) местная анестезия с премедикацией.</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Выполнено практически:</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1) премедикация с использованием ненаркотического аналгетика (аналгин 50%-й – 2 мл), димедрол 1%-й – 1 мл внутримышечно;</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2) использован модифицированного доступа с частичным рассечением подъязычно-подчелюстного мешка (Пат</w:t>
      </w:r>
      <w:r>
        <w:rPr>
          <w:rFonts w:cs="Calibri"/>
          <w:sz w:val="28"/>
          <w:szCs w:val="28"/>
          <w:lang w:eastAsia="ar-SA"/>
        </w:rPr>
        <w:t>ент</w:t>
      </w:r>
      <w:r w:rsidRPr="00FE6318">
        <w:rPr>
          <w:rFonts w:cs="Calibri"/>
          <w:sz w:val="28"/>
          <w:szCs w:val="28"/>
          <w:lang w:eastAsia="ar-SA"/>
        </w:rPr>
        <w:t xml:space="preserve"> РФ № 2705105);</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3) раскрыты и дренированы поднижечелюстное клетчаточное пространство слева, подподбородочное пространство, установлены двупросветные дренажи.</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В послеоперационном периоде – лечение в условиях профильного отделения. Перевязки 1 раз в сутки.</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Антибиотикотерапия: цефотаксим и метронидазол. Продолжена инсулинотерапия в соответствии с рекомендациями терапевта.</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Результаты микробиологического исследования раневого отделяемого: </w:t>
      </w:r>
      <w:r w:rsidRPr="00FE6318">
        <w:rPr>
          <w:rFonts w:cs="Calibri"/>
          <w:i/>
          <w:sz w:val="28"/>
          <w:szCs w:val="28"/>
          <w:lang w:eastAsia="ar-SA"/>
        </w:rPr>
        <w:t>роста нет</w:t>
      </w:r>
      <w:r w:rsidRPr="00FE6318">
        <w:rPr>
          <w:rFonts w:cs="Calibri"/>
          <w:sz w:val="28"/>
          <w:szCs w:val="28"/>
          <w:lang w:eastAsia="ar-SA"/>
        </w:rPr>
        <w:t>.</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Каких-либо значимых осложнений, ассоциируемых с основным заболеванием и фоновой патологией, в послеоперационном периоде не диагностировано. </w:t>
      </w:r>
      <w:r w:rsidRPr="00FE6318">
        <w:rPr>
          <w:rFonts w:cs="Calibri"/>
          <w:sz w:val="28"/>
          <w:szCs w:val="28"/>
          <w:lang w:eastAsia="ar-SA"/>
        </w:rPr>
        <w:lastRenderedPageBreak/>
        <w:t>Продолжительность стационарного лечения – 8 койко-дней. Пациентка выписана в удовлетворительном состоянии под наблюдение хирурга, хирурга-стоматолога, эндокринолога, кардиолога и терапевта по месту жительства.</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Прогноз для жизни – благоприятный, однако, учитывая наличие полиорганной полиморбидной хронической патологии внутренних органов, пациентке следует находиться под наблюдением профильных специалистов терапевтического профиля по месту жительства и выполнять соответствующие рекомендации.</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Таким образом, установлена существенная эффективность применения </w:t>
      </w:r>
      <w:r w:rsidRPr="00FE6318">
        <w:rPr>
          <w:rFonts w:cs="Calibri"/>
          <w:i/>
          <w:sz w:val="28"/>
          <w:szCs w:val="28"/>
          <w:lang w:eastAsia="ar-SA"/>
        </w:rPr>
        <w:t>алгоритма</w:t>
      </w:r>
      <w:r>
        <w:rPr>
          <w:rFonts w:cs="Calibri"/>
          <w:i/>
          <w:sz w:val="28"/>
          <w:szCs w:val="28"/>
          <w:lang w:eastAsia="ar-SA"/>
        </w:rPr>
        <w:t xml:space="preserve"> раннего</w:t>
      </w:r>
      <w:r w:rsidRPr="00FE6318">
        <w:rPr>
          <w:rFonts w:cs="Calibri"/>
          <w:i/>
          <w:sz w:val="28"/>
          <w:szCs w:val="28"/>
          <w:lang w:eastAsia="ar-SA"/>
        </w:rPr>
        <w:t xml:space="preserve"> определения вероятности развития одонтогенного сепсиса (с использованием модифицированной шкалы </w:t>
      </w:r>
      <w:r w:rsidRPr="00FE6318">
        <w:rPr>
          <w:rFonts w:cs="Calibri"/>
          <w:i/>
          <w:sz w:val="28"/>
          <w:szCs w:val="28"/>
          <w:lang w:val="en-US" w:eastAsia="ar-SA"/>
        </w:rPr>
        <w:t>SOFA</w:t>
      </w:r>
      <w:r>
        <w:rPr>
          <w:rFonts w:cs="Calibri"/>
          <w:i/>
          <w:sz w:val="28"/>
          <w:szCs w:val="28"/>
          <w:lang w:eastAsia="ar-SA"/>
        </w:rPr>
        <w:t>), алгоритмов</w:t>
      </w:r>
      <w:r w:rsidRPr="00FE6318">
        <w:rPr>
          <w:rFonts w:cs="Calibri"/>
          <w:i/>
          <w:sz w:val="28"/>
          <w:szCs w:val="28"/>
          <w:lang w:eastAsia="ar-SA"/>
        </w:rPr>
        <w:t xml:space="preserve"> диагностики одонтогенного сепсиса</w:t>
      </w:r>
      <w:r>
        <w:rPr>
          <w:rFonts w:cs="Calibri"/>
          <w:i/>
          <w:sz w:val="28"/>
          <w:szCs w:val="28"/>
          <w:lang w:eastAsia="ar-SA"/>
        </w:rPr>
        <w:t xml:space="preserve"> №1 и №2</w:t>
      </w:r>
      <w:r w:rsidRPr="00FE6318">
        <w:rPr>
          <w:rFonts w:cs="Calibri"/>
          <w:i/>
          <w:sz w:val="28"/>
          <w:szCs w:val="28"/>
          <w:lang w:eastAsia="ar-SA"/>
        </w:rPr>
        <w:t xml:space="preserve">, программы комплексного многокомпонентного лечения больных с хирургическими осложнениями одонтогенной инфекции при наличии полиорганной фоновой патологии и синдрома взаимного отягощения, </w:t>
      </w:r>
      <w:r w:rsidRPr="00FE6318">
        <w:rPr>
          <w:rFonts w:cs="Calibri"/>
          <w:sz w:val="28"/>
          <w:szCs w:val="28"/>
          <w:lang w:eastAsia="ar-SA"/>
        </w:rPr>
        <w:t>что позволяет рекомендовать данные разработки в клинической практике многопрофильного стационара.</w:t>
      </w:r>
    </w:p>
    <w:p w:rsidR="00286780" w:rsidRDefault="00286780">
      <w:pPr>
        <w:rPr>
          <w:sz w:val="28"/>
          <w:szCs w:val="28"/>
          <w:lang w:eastAsia="en-US"/>
        </w:rPr>
      </w:pPr>
      <w:r>
        <w:rPr>
          <w:sz w:val="28"/>
          <w:szCs w:val="28"/>
          <w:lang w:eastAsia="en-US"/>
        </w:rPr>
        <w:br w:type="page"/>
      </w:r>
    </w:p>
    <w:p w:rsidR="00286780" w:rsidRDefault="00286780" w:rsidP="00FE6318">
      <w:pPr>
        <w:pStyle w:val="10"/>
      </w:pPr>
      <w:bookmarkStart w:id="34" w:name="_Toc67905716"/>
      <w:r w:rsidRPr="00FE6318">
        <w:t>ЗАКЛЮЧЕНИЕ</w:t>
      </w:r>
      <w:bookmarkEnd w:id="34"/>
    </w:p>
    <w:p w:rsidR="00286780" w:rsidRDefault="00286780" w:rsidP="004A0CF0">
      <w:pPr>
        <w:jc w:val="both"/>
        <w:rPr>
          <w:sz w:val="28"/>
          <w:szCs w:val="28"/>
          <w:lang w:eastAsia="en-US"/>
        </w:rPr>
      </w:pPr>
    </w:p>
    <w:p w:rsidR="00286780" w:rsidRPr="00FE6318" w:rsidRDefault="00286780" w:rsidP="00FE6318">
      <w:pPr>
        <w:spacing w:line="360" w:lineRule="auto"/>
        <w:ind w:firstLine="709"/>
        <w:jc w:val="both"/>
        <w:rPr>
          <w:sz w:val="28"/>
          <w:szCs w:val="28"/>
          <w:lang w:eastAsia="ar-SA"/>
        </w:rPr>
      </w:pPr>
      <w:r w:rsidRPr="00FE6318">
        <w:rPr>
          <w:sz w:val="28"/>
          <w:szCs w:val="28"/>
          <w:lang w:eastAsia="ar-SA"/>
        </w:rPr>
        <w:t>Актуальность исследования воспалительных заболеваний челюстно-лицевой области при наличии полиорганной фоновой патологии и синдрома взаимного отягощения обусловлена высокой частотой развития гнойных осложнений, наличием значимой летальности и длительными сроками госпитализации.</w:t>
      </w:r>
    </w:p>
    <w:p w:rsidR="00286780" w:rsidRPr="00FE6318" w:rsidRDefault="00286780" w:rsidP="00FE6318">
      <w:pPr>
        <w:spacing w:line="360" w:lineRule="auto"/>
        <w:ind w:firstLine="709"/>
        <w:jc w:val="both"/>
        <w:rPr>
          <w:sz w:val="28"/>
          <w:szCs w:val="28"/>
          <w:lang w:eastAsia="ar-SA"/>
        </w:rPr>
      </w:pPr>
      <w:r w:rsidRPr="00FE6318">
        <w:rPr>
          <w:sz w:val="28"/>
          <w:szCs w:val="28"/>
          <w:lang w:eastAsia="ar-SA"/>
        </w:rPr>
        <w:t>В доступной литературе не обнаружено систематизированных материалов, характеризующих структуру и особенности течения одонтогенных воспалительных процессов, развивающихся на фоне хронических полиорганных заболеваний внутренних органов. Отсутствуют эффективные диагностические и лечебные алгоритмы, учитывающие наличие отягощающей полиморбидности, что обуславливает научную новизну и практическую значимость соответствующих разработок.</w:t>
      </w:r>
    </w:p>
    <w:p w:rsidR="00286780" w:rsidRPr="00FE6318" w:rsidRDefault="00286780" w:rsidP="00FE6318">
      <w:pPr>
        <w:spacing w:line="360" w:lineRule="auto"/>
        <w:ind w:firstLine="709"/>
        <w:jc w:val="both"/>
        <w:rPr>
          <w:spacing w:val="-4"/>
          <w:sz w:val="28"/>
          <w:szCs w:val="28"/>
          <w:lang w:eastAsia="ar-SA"/>
        </w:rPr>
      </w:pPr>
      <w:r w:rsidRPr="00FE6318">
        <w:rPr>
          <w:rFonts w:cs="Calibri"/>
          <w:spacing w:val="-4"/>
          <w:sz w:val="28"/>
          <w:szCs w:val="28"/>
          <w:lang w:eastAsia="ar-SA"/>
        </w:rPr>
        <w:t>Согласно определению</w:t>
      </w:r>
      <w:r w:rsidRPr="00FE6318">
        <w:rPr>
          <w:spacing w:val="-4"/>
          <w:sz w:val="28"/>
          <w:szCs w:val="28"/>
          <w:lang w:eastAsia="ar-SA"/>
        </w:rPr>
        <w:t>, полиморбидность – это наличие некоторого количества различных заболеваний, которые могут быть не связаны между собой патогенетически</w:t>
      </w:r>
      <w:r>
        <w:rPr>
          <w:spacing w:val="-4"/>
          <w:sz w:val="28"/>
          <w:szCs w:val="28"/>
          <w:lang w:eastAsia="ar-SA"/>
        </w:rPr>
        <w:t xml:space="preserve"> (Митрофанов И.М. и др., 2013)</w:t>
      </w:r>
      <w:r w:rsidRPr="00FE6318">
        <w:rPr>
          <w:spacing w:val="-4"/>
          <w:sz w:val="28"/>
          <w:szCs w:val="28"/>
          <w:lang w:eastAsia="ar-SA"/>
        </w:rPr>
        <w:t>. По локализации полиморбидность классифицируется на моноорганную и полиорганную, причем полиорганная полиморбидность может быть моносистемн</w:t>
      </w:r>
      <w:r>
        <w:rPr>
          <w:spacing w:val="-4"/>
          <w:sz w:val="28"/>
          <w:szCs w:val="28"/>
          <w:lang w:eastAsia="ar-SA"/>
        </w:rPr>
        <w:t>ой и полисистемной (Лазебник Л.Б. и др., 2014)</w:t>
      </w:r>
      <w:r w:rsidRPr="00FE6318">
        <w:rPr>
          <w:spacing w:val="-4"/>
          <w:sz w:val="28"/>
          <w:szCs w:val="28"/>
          <w:lang w:eastAsia="ar-SA"/>
        </w:rPr>
        <w:t>.</w:t>
      </w:r>
    </w:p>
    <w:p w:rsidR="00286780" w:rsidRPr="00FE6318" w:rsidRDefault="00286780" w:rsidP="00FE6318">
      <w:pPr>
        <w:spacing w:line="360" w:lineRule="auto"/>
        <w:ind w:firstLine="709"/>
        <w:jc w:val="both"/>
        <w:rPr>
          <w:spacing w:val="-4"/>
          <w:sz w:val="28"/>
          <w:szCs w:val="28"/>
          <w:lang w:eastAsia="ar-SA"/>
        </w:rPr>
      </w:pPr>
      <w:r w:rsidRPr="00FE6318">
        <w:rPr>
          <w:spacing w:val="-4"/>
          <w:sz w:val="28"/>
          <w:szCs w:val="28"/>
          <w:lang w:eastAsia="ar-SA"/>
        </w:rPr>
        <w:t>В свою очередь, фоновой является патология, не связанная с основным заболеванием этиологически, но оказывающая существенное влияние на течение и исход основ</w:t>
      </w:r>
      <w:r>
        <w:rPr>
          <w:spacing w:val="-4"/>
          <w:sz w:val="28"/>
          <w:szCs w:val="28"/>
          <w:lang w:eastAsia="ar-SA"/>
        </w:rPr>
        <w:t>ного заболевания (Зайратьянц О.В., Кактурский Л.В., 2011)</w:t>
      </w:r>
      <w:r w:rsidRPr="00FE6318">
        <w:rPr>
          <w:spacing w:val="-4"/>
          <w:sz w:val="28"/>
          <w:szCs w:val="28"/>
          <w:lang w:eastAsia="ar-SA"/>
        </w:rPr>
        <w:t>. Основным заболеванием в данном случае является одонтогенный воспалительный процесс.</w:t>
      </w:r>
    </w:p>
    <w:p w:rsidR="00286780" w:rsidRPr="00FE6318" w:rsidRDefault="00286780" w:rsidP="00FE6318">
      <w:pPr>
        <w:spacing w:line="360" w:lineRule="auto"/>
        <w:ind w:firstLine="709"/>
        <w:jc w:val="both"/>
        <w:rPr>
          <w:rFonts w:cs="Calibri"/>
          <w:sz w:val="28"/>
          <w:szCs w:val="28"/>
          <w:lang w:eastAsia="ar-SA"/>
        </w:rPr>
      </w:pPr>
      <w:r w:rsidRPr="00FE6318">
        <w:rPr>
          <w:sz w:val="28"/>
          <w:szCs w:val="28"/>
          <w:lang w:eastAsia="ar-SA"/>
        </w:rPr>
        <w:t>Таким образом, полиорганная фоновая патология – это полиморбидная патология нескольких органов или органных систем, не связанная с основным заболеванием, т. е. одонтогенным воспалительным процессом, патогенетически, но оказывающая существенное влияние на его течение и исход. Кроме того, наличие синдрома взаимного отягощения определяет взаимообусловленное влияние основного заболевания и хронической патологии внутренних органов, так как «синдром взаимного отягощения – это комплекс симптомов</w:t>
      </w:r>
      <w:r w:rsidRPr="00FE6318">
        <w:rPr>
          <w:rFonts w:cs="Calibri"/>
          <w:sz w:val="28"/>
          <w:szCs w:val="28"/>
          <w:lang w:eastAsia="ar-SA"/>
        </w:rPr>
        <w:t>, указывающий на более тяжелое течение патологического процесса, связанного с каждым из сочетающих</w:t>
      </w:r>
      <w:r w:rsidRPr="00FE6318">
        <w:rPr>
          <w:rFonts w:cs="Calibri"/>
          <w:sz w:val="28"/>
          <w:szCs w:val="28"/>
          <w:lang w:eastAsia="ar-SA"/>
        </w:rPr>
        <w:lastRenderedPageBreak/>
        <w:t>ся повреждений, по сравнению с клинической картиной, характерной для аналогичных изолирова</w:t>
      </w:r>
      <w:r>
        <w:rPr>
          <w:rFonts w:cs="Calibri"/>
          <w:sz w:val="28"/>
          <w:szCs w:val="28"/>
          <w:lang w:eastAsia="ar-SA"/>
        </w:rPr>
        <w:t>нных повреждений» (Денисенко В.Н. и др., 2002)</w:t>
      </w:r>
      <w:r w:rsidRPr="00FE6318">
        <w:rPr>
          <w:rFonts w:cs="Calibri"/>
          <w:sz w:val="28"/>
          <w:szCs w:val="28"/>
          <w:lang w:eastAsia="ar-SA"/>
        </w:rPr>
        <w:t>.</w:t>
      </w:r>
    </w:p>
    <w:p w:rsidR="00286780" w:rsidRPr="00FE6318" w:rsidRDefault="00286780" w:rsidP="00FE6318">
      <w:pPr>
        <w:spacing w:line="360" w:lineRule="auto"/>
        <w:ind w:firstLine="709"/>
        <w:jc w:val="both"/>
        <w:rPr>
          <w:sz w:val="28"/>
          <w:szCs w:val="28"/>
          <w:lang w:eastAsia="ar-SA"/>
        </w:rPr>
      </w:pPr>
      <w:r w:rsidRPr="00FE6318">
        <w:rPr>
          <w:rFonts w:cs="Calibri"/>
          <w:sz w:val="28"/>
          <w:szCs w:val="28"/>
          <w:lang w:eastAsia="ar-SA"/>
        </w:rPr>
        <w:t xml:space="preserve">В рамках данной работы исследована структура одонтогенных гнойно-воспалительных процессов челюстно-лицевой области с учетом критериев диагностики сепсиса и нозологии хронических заболеваний. Преобладает местная форма одонтогенной инфекции (92,5%), одонтогенный сепсис по критериям </w:t>
      </w:r>
      <w:r w:rsidRPr="00FE6318">
        <w:rPr>
          <w:rFonts w:cs="Calibri"/>
          <w:sz w:val="28"/>
          <w:szCs w:val="28"/>
          <w:lang w:val="en-US" w:eastAsia="ar-SA"/>
        </w:rPr>
        <w:t>ACCP</w:t>
      </w:r>
      <w:r w:rsidRPr="00FE6318">
        <w:rPr>
          <w:rFonts w:cs="Calibri"/>
          <w:sz w:val="28"/>
          <w:szCs w:val="28"/>
          <w:lang w:eastAsia="ar-SA"/>
        </w:rPr>
        <w:t>/</w:t>
      </w:r>
      <w:r w:rsidRPr="00FE6318">
        <w:rPr>
          <w:rFonts w:cs="Calibri"/>
          <w:sz w:val="28"/>
          <w:szCs w:val="28"/>
          <w:lang w:val="en-US" w:eastAsia="ar-SA"/>
        </w:rPr>
        <w:t>SCCM</w:t>
      </w:r>
      <w:r w:rsidRPr="00FE6318">
        <w:rPr>
          <w:rFonts w:cs="Calibri"/>
          <w:sz w:val="28"/>
          <w:szCs w:val="28"/>
          <w:lang w:eastAsia="ar-SA"/>
        </w:rPr>
        <w:t xml:space="preserve">, </w:t>
      </w:r>
      <w:r>
        <w:rPr>
          <w:rFonts w:cs="Calibri"/>
          <w:sz w:val="28"/>
          <w:szCs w:val="28"/>
          <w:lang w:eastAsia="ar-SA"/>
        </w:rPr>
        <w:t>«</w:t>
      </w:r>
      <w:r w:rsidRPr="00FE6318">
        <w:rPr>
          <w:rFonts w:cs="Calibri"/>
          <w:sz w:val="28"/>
          <w:szCs w:val="28"/>
          <w:lang w:eastAsia="ar-SA"/>
        </w:rPr>
        <w:t>Сепсис-1</w:t>
      </w:r>
      <w:r>
        <w:rPr>
          <w:rFonts w:cs="Calibri"/>
          <w:sz w:val="28"/>
          <w:szCs w:val="28"/>
          <w:lang w:eastAsia="ar-SA"/>
        </w:rPr>
        <w:t>»</w:t>
      </w:r>
      <w:r w:rsidRPr="00FE6318">
        <w:rPr>
          <w:rFonts w:cs="Calibri"/>
          <w:sz w:val="28"/>
          <w:szCs w:val="28"/>
          <w:lang w:eastAsia="ar-SA"/>
        </w:rPr>
        <w:t xml:space="preserve">, 1992 г., диагностирован в 7,5% случаев. Хроническая патология (ХП) внутренних органов диагностирована у 29,6% пациентов с местной формой одонтогенной инфекции (МФОИ). </w:t>
      </w:r>
      <w:r w:rsidRPr="00FE6318">
        <w:rPr>
          <w:sz w:val="28"/>
          <w:szCs w:val="28"/>
          <w:lang w:eastAsia="ar-SA"/>
        </w:rPr>
        <w:t>Нозологическая структура патологии у пациентов с МФОИ и ХП внутренних органов представлена болезнями сердечно-сосудистой системы – более 65%, патологией органов дыхания, эндокринной, мочевыделительной, пищеварительной систем и печени (13,7–1,5%).</w:t>
      </w:r>
    </w:p>
    <w:p w:rsidR="00286780" w:rsidRPr="00FE6318" w:rsidRDefault="00286780" w:rsidP="00FE6318">
      <w:pPr>
        <w:spacing w:line="360" w:lineRule="auto"/>
        <w:ind w:firstLine="709"/>
        <w:jc w:val="both"/>
        <w:rPr>
          <w:rFonts w:cs="Calibri"/>
          <w:sz w:val="28"/>
          <w:szCs w:val="28"/>
          <w:lang w:eastAsia="ar-SA"/>
        </w:rPr>
      </w:pPr>
      <w:r w:rsidRPr="00FE6318">
        <w:rPr>
          <w:sz w:val="28"/>
          <w:szCs w:val="28"/>
          <w:lang w:eastAsia="ar-SA"/>
        </w:rPr>
        <w:t xml:space="preserve">В группе пациентов с одонтогенным сепсисом ХП внутренних органов диагностирована в 52,8% случаев, а полиорганная полиморбидная патология – у 27,8% всех больных с ОС. </w:t>
      </w:r>
      <w:r w:rsidRPr="00FE6318">
        <w:rPr>
          <w:rFonts w:cs="Calibri"/>
          <w:sz w:val="28"/>
          <w:szCs w:val="28"/>
          <w:lang w:eastAsia="ar-SA"/>
        </w:rPr>
        <w:t>Преобладают болезни пищеварительной системы, печени, хроническая алкогольная болезнь (38,9%), заболевания сердечно-сосудистой системы (25%). Несколько реже диагностированы заболевания эндокринной (16,6%), дыхательной (11,1%) и мочевыделительной систем (5,6%), злокачественные новообразования (около 2%).</w:t>
      </w:r>
    </w:p>
    <w:p w:rsidR="00286780" w:rsidRPr="00FE6318" w:rsidRDefault="00286780" w:rsidP="00FE6318">
      <w:pPr>
        <w:spacing w:line="360" w:lineRule="auto"/>
        <w:ind w:firstLine="709"/>
        <w:jc w:val="both"/>
        <w:rPr>
          <w:rFonts w:cs="Calibri"/>
          <w:spacing w:val="-4"/>
          <w:sz w:val="28"/>
          <w:szCs w:val="28"/>
          <w:lang w:eastAsia="ar-SA"/>
        </w:rPr>
      </w:pPr>
      <w:r w:rsidRPr="00FE6318">
        <w:rPr>
          <w:rFonts w:cs="Calibri"/>
          <w:spacing w:val="-4"/>
          <w:sz w:val="28"/>
          <w:szCs w:val="28"/>
          <w:lang w:eastAsia="ar-SA"/>
        </w:rPr>
        <w:t>Сравнение результирующих показателей структуры ХП внутренних органов у пациентов с ОС с аналогичными показателями пациентов с МФОИ указывает на значительное увеличение распространенности заболеваний пищеварительной системы, печени и хронического алкоголизма, в основном, за счет хронических вирусных и алкогольного гепатитов, цирроза печени. Несколько чаще у пациентов с ОС наблюдается сахарный диабет, заболевания дыхательной и мочевыделительной систем, а изолированная патология сердечно-сосудистой системы встречается реже.</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В соответствии с задачами исследования, выполнена клинико-лабораторная характеристика </w:t>
      </w:r>
      <w:r>
        <w:rPr>
          <w:rFonts w:cs="Calibri"/>
          <w:sz w:val="28"/>
          <w:szCs w:val="28"/>
          <w:lang w:eastAsia="ar-SA"/>
        </w:rPr>
        <w:t>МФОИ</w:t>
      </w:r>
      <w:r w:rsidRPr="00FE6318">
        <w:rPr>
          <w:rFonts w:cs="Calibri"/>
          <w:sz w:val="28"/>
          <w:szCs w:val="28"/>
          <w:lang w:eastAsia="ar-SA"/>
        </w:rPr>
        <w:t>, развивающейся на фоне хронической патологии сердечно-сосудистой, дыхательной, эндокринной, пищеварительной систем, заболеваний печени и почек.</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lastRenderedPageBreak/>
        <w:t>У пациентов с ХП сердечно-сосудистой системы местная форма одонтогенной инфекции представлена одонтогенными абсцессами челюстно-лицевой области (48,9%), одонтогенными флегмонами с вовлечением не более 4 клетчаточных пространств (51,1%). Преобладают пациенты с артериальной гипертонией (75,9%), несколько реже диагностированы ишемическая болезнь сердца в сочетании с артериальной гипертонией (14,3%), ишемическая болезнь сердца (без коморбидной артериальной гипертонии), приобретенные пороки клапанов сердца (менее 10%).</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Хроническая сердечная недостаточность </w:t>
      </w:r>
      <w:r w:rsidRPr="00FE6318">
        <w:rPr>
          <w:rFonts w:cs="Calibri"/>
          <w:sz w:val="28"/>
          <w:szCs w:val="28"/>
          <w:lang w:val="en-US" w:eastAsia="ar-SA"/>
        </w:rPr>
        <w:t>I</w:t>
      </w:r>
      <w:r w:rsidRPr="00FE6318">
        <w:rPr>
          <w:rFonts w:cs="Calibri"/>
          <w:sz w:val="28"/>
          <w:szCs w:val="28"/>
          <w:lang w:eastAsia="ar-SA"/>
        </w:rPr>
        <w:t>–</w:t>
      </w:r>
      <w:r w:rsidRPr="00FE6318">
        <w:rPr>
          <w:rFonts w:cs="Calibri"/>
          <w:sz w:val="28"/>
          <w:szCs w:val="28"/>
          <w:lang w:val="en-US" w:eastAsia="ar-SA"/>
        </w:rPr>
        <w:t>III</w:t>
      </w:r>
      <w:r w:rsidRPr="00FE6318">
        <w:rPr>
          <w:rFonts w:cs="Calibri"/>
          <w:sz w:val="28"/>
          <w:szCs w:val="28"/>
          <w:lang w:eastAsia="ar-SA"/>
        </w:rPr>
        <w:t xml:space="preserve"> функциональных классов (ФК) по </w:t>
      </w:r>
      <w:r w:rsidRPr="00FE6318">
        <w:rPr>
          <w:rFonts w:cs="Calibri"/>
          <w:sz w:val="28"/>
          <w:szCs w:val="28"/>
          <w:lang w:val="en-US" w:eastAsia="ar-SA"/>
        </w:rPr>
        <w:t>NYHA</w:t>
      </w:r>
      <w:r w:rsidRPr="00FE6318">
        <w:rPr>
          <w:rFonts w:cs="Calibri"/>
          <w:sz w:val="28"/>
          <w:szCs w:val="28"/>
          <w:lang w:eastAsia="ar-SA"/>
        </w:rPr>
        <w:t xml:space="preserve"> (1964) определяется у 48,9% пациентов, из них более 90% – ХСН </w:t>
      </w:r>
      <w:r w:rsidRPr="00FE6318">
        <w:rPr>
          <w:rFonts w:cs="Calibri"/>
          <w:sz w:val="28"/>
          <w:szCs w:val="28"/>
          <w:lang w:val="en-US" w:eastAsia="ar-SA"/>
        </w:rPr>
        <w:t>I</w:t>
      </w:r>
      <w:r w:rsidRPr="00FE6318">
        <w:rPr>
          <w:rFonts w:cs="Calibri"/>
          <w:sz w:val="28"/>
          <w:szCs w:val="28"/>
          <w:lang w:eastAsia="ar-SA"/>
        </w:rPr>
        <w:t>-</w:t>
      </w:r>
      <w:r w:rsidRPr="00FE6318">
        <w:rPr>
          <w:rFonts w:cs="Calibri"/>
          <w:sz w:val="28"/>
          <w:szCs w:val="28"/>
          <w:lang w:val="en-US" w:eastAsia="ar-SA"/>
        </w:rPr>
        <w:t>II</w:t>
      </w:r>
      <w:r w:rsidRPr="00FE6318">
        <w:rPr>
          <w:rFonts w:cs="Calibri"/>
          <w:sz w:val="28"/>
          <w:szCs w:val="28"/>
          <w:lang w:eastAsia="ar-SA"/>
        </w:rPr>
        <w:t xml:space="preserve"> ФК.</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Продолжительность догоспитального периода у пациентов с МФОИ и ХП сердечно-сосудистой системы составляет в среднем 4,9±0,24 суток. Следует отметить значительное количество случаев неэффективного амбулаторного лечения (более 50%) длительностью от 1 до 14 суток, что может характеризовать недостаточную подготовку стоматологов амбулаторно-поликлинического звена. </w:t>
      </w:r>
      <w:r>
        <w:rPr>
          <w:rFonts w:cs="Calibri"/>
          <w:sz w:val="28"/>
          <w:szCs w:val="28"/>
          <w:lang w:eastAsia="ar-SA"/>
        </w:rPr>
        <w:t>Также</w:t>
      </w:r>
      <w:r w:rsidRPr="00FE6318">
        <w:rPr>
          <w:rFonts w:cs="Calibri"/>
          <w:sz w:val="28"/>
          <w:szCs w:val="28"/>
          <w:lang w:eastAsia="ar-SA"/>
        </w:rPr>
        <w:t xml:space="preserve"> около 40% пациентов не находит возможности обратиться к врачу по месту жительства, что может быть связано с социально-экономическими или иными факторами (асоциальный образ жизни, отсутствие специалиста, низкий уровень информированности населения о необходимости квалифицированного лечения).</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Показатели гемодинамики у пациентов с МФОИ и ХП сердечно-сосудистой системы характеризуются повышением уровней систолического </w:t>
      </w:r>
      <w:r w:rsidRPr="00FE6318">
        <w:rPr>
          <w:sz w:val="28"/>
          <w:szCs w:val="28"/>
          <w:lang w:eastAsia="ar-SA"/>
        </w:rPr>
        <w:t>(</w:t>
      </w:r>
      <w:r>
        <w:rPr>
          <w:rFonts w:cs="Calibri"/>
          <w:sz w:val="28"/>
          <w:szCs w:val="28"/>
          <w:lang w:eastAsia="ar-SA"/>
        </w:rPr>
        <w:t>150[135;</w:t>
      </w:r>
      <w:r w:rsidRPr="00FE6318">
        <w:rPr>
          <w:rFonts w:cs="Calibri"/>
          <w:sz w:val="28"/>
          <w:szCs w:val="28"/>
          <w:lang w:eastAsia="ar-SA"/>
        </w:rPr>
        <w:t xml:space="preserve">160] </w:t>
      </w:r>
      <w:r w:rsidRPr="00FE6318">
        <w:rPr>
          <w:sz w:val="28"/>
          <w:szCs w:val="28"/>
          <w:lang w:eastAsia="ar-SA"/>
        </w:rPr>
        <w:t>мм рт. ст.) и</w:t>
      </w:r>
      <w:r w:rsidRPr="00FE6318">
        <w:rPr>
          <w:rFonts w:cs="Calibri"/>
          <w:sz w:val="28"/>
          <w:szCs w:val="28"/>
          <w:lang w:eastAsia="ar-SA"/>
        </w:rPr>
        <w:t xml:space="preserve"> диастолического (90 [80; 100] мм рт. ст.) артериального давления. Характерны лейкоцитоз в пределах 16–28×10</w:t>
      </w:r>
      <w:r w:rsidRPr="00FE6318">
        <w:rPr>
          <w:rFonts w:cs="Calibri"/>
          <w:sz w:val="28"/>
          <w:szCs w:val="28"/>
          <w:vertAlign w:val="superscript"/>
          <w:lang w:eastAsia="ar-SA"/>
        </w:rPr>
        <w:t>9</w:t>
      </w:r>
      <w:r w:rsidRPr="00FE6318">
        <w:rPr>
          <w:rFonts w:cs="Calibri"/>
          <w:sz w:val="28"/>
          <w:szCs w:val="28"/>
          <w:lang w:eastAsia="ar-SA"/>
        </w:rPr>
        <w:t>/л, умеренные гиперкреатининемия (11</w:t>
      </w:r>
      <w:r>
        <w:rPr>
          <w:rFonts w:cs="Calibri"/>
          <w:sz w:val="28"/>
          <w:szCs w:val="28"/>
          <w:lang w:eastAsia="ar-SA"/>
        </w:rPr>
        <w:t>2,0[95,1;</w:t>
      </w:r>
      <w:r w:rsidRPr="00FE6318">
        <w:rPr>
          <w:rFonts w:cs="Calibri"/>
          <w:sz w:val="28"/>
          <w:szCs w:val="28"/>
          <w:lang w:eastAsia="ar-SA"/>
        </w:rPr>
        <w:t>136,1] мкмоль/л)</w:t>
      </w:r>
      <w:r>
        <w:rPr>
          <w:rFonts w:cs="Calibri"/>
          <w:sz w:val="28"/>
          <w:szCs w:val="28"/>
          <w:lang w:eastAsia="ar-SA"/>
        </w:rPr>
        <w:t xml:space="preserve"> и гипергликемия (5,39[4,7;</w:t>
      </w:r>
      <w:r w:rsidRPr="00FE6318">
        <w:rPr>
          <w:rFonts w:cs="Calibri"/>
          <w:sz w:val="28"/>
          <w:szCs w:val="28"/>
          <w:lang w:eastAsia="ar-SA"/>
        </w:rPr>
        <w:t>5,93]</w:t>
      </w:r>
      <w:r>
        <w:rPr>
          <w:rFonts w:cs="Calibri"/>
          <w:sz w:val="28"/>
          <w:szCs w:val="28"/>
          <w:lang w:eastAsia="ar-SA"/>
        </w:rPr>
        <w:t xml:space="preserve"> </w:t>
      </w:r>
      <w:r w:rsidRPr="00FE6318">
        <w:rPr>
          <w:rFonts w:cs="Calibri"/>
          <w:sz w:val="28"/>
          <w:szCs w:val="28"/>
          <w:lang w:eastAsia="ar-SA"/>
        </w:rPr>
        <w:t>ммоль/л). В случае наличия флегмоны наблюдается существенный палочкоядерный сдвиг лейкоцитарной формулы до 15–27% палочкоядерных нейтрофилов без появления юных форм (метамиелоцитов и миелоцитов). В отдельных случаях в дооперационном периоде диагностированы избыточные гипертензивные явления (4,5%), сопровождающиеся существенным повышением артериального даления. Распростра</w:t>
      </w:r>
      <w:r w:rsidRPr="00FE6318">
        <w:rPr>
          <w:rFonts w:cs="Calibri"/>
          <w:sz w:val="28"/>
          <w:szCs w:val="28"/>
          <w:lang w:eastAsia="ar-SA"/>
        </w:rPr>
        <w:lastRenderedPageBreak/>
        <w:t xml:space="preserve">ненность полиорганной полиморбидной патологии у пациентов с МФОИ и ХП сердечно-сосудистой системы составляет 32,3%. Средняя продолжительность стационарного лечения больных исследуемой группы – 10,0±0,47 койко-дней. Гнойные осложнения (развитие флегмон, прогрессирование гнойно-воспалительного процесса) диагностированы в 9,8%, причем флегмонозный процесс у пациентов с МФОИ и ХСН </w:t>
      </w:r>
      <w:r w:rsidRPr="00FE6318">
        <w:rPr>
          <w:rFonts w:cs="Calibri"/>
          <w:sz w:val="28"/>
          <w:szCs w:val="28"/>
          <w:lang w:val="en-US" w:eastAsia="ar-SA"/>
        </w:rPr>
        <w:t>III</w:t>
      </w:r>
      <w:r w:rsidRPr="00FE6318">
        <w:rPr>
          <w:rFonts w:cs="Calibri"/>
          <w:sz w:val="28"/>
          <w:szCs w:val="28"/>
          <w:lang w:eastAsia="ar-SA"/>
        </w:rPr>
        <w:t xml:space="preserve"> функционального класса характеризуется статистически достоверной склонностью к распространению на прилежащие клетчаточные пространства в сравнении с контрольными значениями в группе больных с МФОИ без ХП (р</w:t>
      </w:r>
      <w:r w:rsidRPr="00FE6318">
        <w:rPr>
          <w:sz w:val="28"/>
          <w:szCs w:val="28"/>
          <w:lang w:eastAsia="ar-SA"/>
        </w:rPr>
        <w:t>&lt;</w:t>
      </w:r>
      <w:r w:rsidRPr="00FE6318">
        <w:rPr>
          <w:rFonts w:cs="Calibri"/>
          <w:sz w:val="28"/>
          <w:szCs w:val="28"/>
          <w:lang w:eastAsia="ar-SA"/>
        </w:rPr>
        <w:t>0,05), т. е</w:t>
      </w:r>
      <w:r>
        <w:rPr>
          <w:rFonts w:cs="Calibri"/>
          <w:sz w:val="28"/>
          <w:szCs w:val="28"/>
          <w:lang w:eastAsia="ar-SA"/>
        </w:rPr>
        <w:t>.</w:t>
      </w:r>
      <w:r w:rsidRPr="00FE6318">
        <w:rPr>
          <w:rFonts w:cs="Calibri"/>
          <w:sz w:val="28"/>
          <w:szCs w:val="28"/>
          <w:lang w:eastAsia="ar-SA"/>
        </w:rPr>
        <w:t xml:space="preserve"> является </w:t>
      </w:r>
      <w:r w:rsidRPr="00FE6318">
        <w:rPr>
          <w:rFonts w:cs="Calibri"/>
          <w:i/>
          <w:sz w:val="28"/>
          <w:szCs w:val="28"/>
          <w:lang w:eastAsia="ar-SA"/>
        </w:rPr>
        <w:t>фоновым</w:t>
      </w:r>
      <w:r w:rsidRPr="00FE6318">
        <w:rPr>
          <w:rFonts w:cs="Calibri"/>
          <w:sz w:val="28"/>
          <w:szCs w:val="28"/>
          <w:lang w:eastAsia="ar-SA"/>
        </w:rPr>
        <w:t>. Летальности у пациентов с МФОИ не зарегистрировано.</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У пациентов с хроническими заболеваниями органов дыхания МФОИ представлена одонтогенными абсцессами челюстно-лицевой области (44,1%); одонтогенными флегмонами с вовлечением 1–3 клетчаточных пространств (55,9%). Чаще всего диагностированы ХОБЛ и хронический обструктивный бронхит – 44,1–41,2%; несколько реже выявлены бронхиальная астма и пневмосклероз – менее 10%. Дыхательная недостаточность (ДН) </w:t>
      </w:r>
      <w:r w:rsidRPr="00FE6318">
        <w:rPr>
          <w:rFonts w:cs="Calibri"/>
          <w:sz w:val="28"/>
          <w:szCs w:val="28"/>
          <w:lang w:val="en-US" w:eastAsia="ar-SA"/>
        </w:rPr>
        <w:t>I</w:t>
      </w:r>
      <w:r w:rsidRPr="00FE6318">
        <w:rPr>
          <w:rFonts w:cs="Calibri"/>
          <w:sz w:val="28"/>
          <w:szCs w:val="28"/>
          <w:lang w:eastAsia="ar-SA"/>
        </w:rPr>
        <w:t>-</w:t>
      </w:r>
      <w:r w:rsidRPr="00FE6318">
        <w:rPr>
          <w:rFonts w:cs="Calibri"/>
          <w:sz w:val="28"/>
          <w:szCs w:val="28"/>
          <w:lang w:val="en-US" w:eastAsia="ar-SA"/>
        </w:rPr>
        <w:t>II</w:t>
      </w:r>
      <w:r w:rsidRPr="00FE6318">
        <w:rPr>
          <w:rFonts w:cs="Calibri"/>
          <w:sz w:val="28"/>
          <w:szCs w:val="28"/>
          <w:lang w:eastAsia="ar-SA"/>
        </w:rPr>
        <w:t xml:space="preserve"> степени диагностирована у 44,1% больных исследуемой группы, ДН </w:t>
      </w:r>
      <w:r w:rsidRPr="00FE6318">
        <w:rPr>
          <w:rFonts w:cs="Calibri"/>
          <w:sz w:val="28"/>
          <w:szCs w:val="28"/>
          <w:lang w:val="en-US" w:eastAsia="ar-SA"/>
        </w:rPr>
        <w:t>III</w:t>
      </w:r>
      <w:r w:rsidRPr="00FE6318">
        <w:rPr>
          <w:rFonts w:cs="Calibri"/>
          <w:sz w:val="28"/>
          <w:szCs w:val="28"/>
          <w:lang w:eastAsia="ar-SA"/>
        </w:rPr>
        <w:t xml:space="preserve"> степени не диагностирована. </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Продолжительность догоспитального периода составила 4,63±0,33 суток. Амбулаторно у врача-стоматолога по месту жительства лечилось 44,1% пациентов, 50% больных за медицинской помощью не обращались, самолечение – 5,9%.</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Исследование показателей гемодинамики пациентов с МФОИ и ХП не выявило значимого влияния наличия хронической патологии дыхательной системы на гемодинамические характеристики в целом. Существенных изменений показателей гомеостаза у пациентов с МФОИ и хроническими заболеваниями дыхательной системы </w:t>
      </w:r>
      <w:r>
        <w:rPr>
          <w:rFonts w:cs="Calibri"/>
          <w:sz w:val="28"/>
          <w:szCs w:val="28"/>
          <w:lang w:eastAsia="ar-SA"/>
        </w:rPr>
        <w:t>также</w:t>
      </w:r>
      <w:r w:rsidRPr="00FE6318">
        <w:rPr>
          <w:rFonts w:cs="Calibri"/>
          <w:sz w:val="28"/>
          <w:szCs w:val="28"/>
          <w:lang w:eastAsia="ar-SA"/>
        </w:rPr>
        <w:t xml:space="preserve"> не обнаружено, за исключением лейкоцитоза (в среднем 12,4±0,98×10</w:t>
      </w:r>
      <w:r w:rsidRPr="00FE6318">
        <w:rPr>
          <w:rFonts w:cs="Calibri"/>
          <w:sz w:val="28"/>
          <w:szCs w:val="28"/>
          <w:vertAlign w:val="superscript"/>
          <w:lang w:eastAsia="ar-SA"/>
        </w:rPr>
        <w:t>9</w:t>
      </w:r>
      <w:r w:rsidRPr="00FE6318">
        <w:rPr>
          <w:rFonts w:cs="Calibri"/>
          <w:sz w:val="28"/>
          <w:szCs w:val="28"/>
          <w:lang w:eastAsia="ar-SA"/>
        </w:rPr>
        <w:t>/л) и ускорения СОЭ.</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Средняя продолжительность стационарного лечения больных с МФОИ и ХП органов дыхания составила 9,2±0,51 койко-дней. Осложнения в процессе лечения (развитие распространенных флегмон) диагностированы в 2,9%, летальность отсутсвует. Статистически значимых различий по показателям эффективно</w:t>
      </w:r>
      <w:r w:rsidRPr="00FE6318">
        <w:rPr>
          <w:rFonts w:cs="Calibri"/>
          <w:sz w:val="28"/>
          <w:szCs w:val="28"/>
          <w:lang w:eastAsia="ar-SA"/>
        </w:rPr>
        <w:lastRenderedPageBreak/>
        <w:t>сти стационарного лечения в сравнении с контрольной группой пациентов с МФОИ без ХП не выявлено (р</w:t>
      </w:r>
      <w:r w:rsidRPr="00FE6318">
        <w:rPr>
          <w:sz w:val="28"/>
          <w:szCs w:val="28"/>
          <w:lang w:eastAsia="ar-SA"/>
        </w:rPr>
        <w:t>&gt;</w:t>
      </w:r>
      <w:r w:rsidRPr="00FE6318">
        <w:rPr>
          <w:rFonts w:cs="Calibri"/>
          <w:sz w:val="28"/>
          <w:szCs w:val="28"/>
          <w:lang w:eastAsia="ar-SA"/>
        </w:rPr>
        <w:t xml:space="preserve">0,05). Хроническая патология органов дыхания у пациентов с МФОИ фоновой </w:t>
      </w:r>
      <w:r w:rsidRPr="00FE6318">
        <w:rPr>
          <w:rFonts w:cs="Calibri"/>
          <w:i/>
          <w:sz w:val="28"/>
          <w:szCs w:val="28"/>
          <w:lang w:eastAsia="ar-SA"/>
        </w:rPr>
        <w:t>не является.</w:t>
      </w:r>
    </w:p>
    <w:p w:rsidR="00286780" w:rsidRPr="00123BF0" w:rsidRDefault="00286780" w:rsidP="00FE6318">
      <w:pPr>
        <w:spacing w:line="360" w:lineRule="auto"/>
        <w:ind w:firstLine="709"/>
        <w:jc w:val="both"/>
        <w:rPr>
          <w:rFonts w:cs="Calibri"/>
          <w:spacing w:val="-4"/>
          <w:sz w:val="28"/>
          <w:szCs w:val="28"/>
          <w:lang w:eastAsia="ar-SA"/>
        </w:rPr>
      </w:pPr>
      <w:r w:rsidRPr="00123BF0">
        <w:rPr>
          <w:rFonts w:cs="Calibri"/>
          <w:spacing w:val="-4"/>
          <w:sz w:val="28"/>
          <w:szCs w:val="28"/>
          <w:lang w:eastAsia="ar-SA"/>
        </w:rPr>
        <w:t xml:space="preserve">В группе пациентов с сахарным диабетом МФОИ представлена одонтогенными абсцессами челюстно-лицевой области (42,85%); одонтогенными флегмонами с вовлечением 1–3 клетчаточных пространств (28,55%), острыми и хроническими (в стадии обострения) одонтогенными остеомиелитами верхней и нижней челюсти (23,8%), острым одонтогенным гайморитом (2,4%), обострением хронического периодонтита (2,4%). Структуру хронических заболеваний эндокринной системы у пациентов с МФОИ составляют сахарный диабет 2-го типа (90,5%), сахарный диабет 1-го типа (9,5%). Коморбидные заболевания сердечно-сосудистой системы (артериальная гипертония, ИБС) наблюдаются у 57,1% пациентов с МФОИ и сахарным диабетом. Продолжительность догоспитального периода составляла от 1 до 7 суток, в среднем 5,75±0,89 суток. Больные с МФОИ и болезнями эндокринной системы поступали в сроки от 1 до 14 суток от начала заболевания. Около 50% пациентов исследуемой группы за медицинской помощью не обращалось. Амбулаторно, по месту жительства у стоматолога, лечение получали около 45% больных с МФОИ и сахарным диабетом, 5% занимались самолечением. </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Показатели гемодинамики характеризуются умеренным повышением уровня систолического артериального давления (влияние коморбидной артериальной гипертонии). Статистически значимых изменений показателей клеточного и биохимического составов крови (за исключением гипергликемии и лейкоцитоза) у больных с МФОИ и сахарным диабетом не обнаружено. Распространенность полиорганной полиморбидной патологии составляет 57,1%.</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Течение местной формы одонтогенной инфекции на фоне сахарного диабета характеризуется статистически значимо повышенной вероятностью распространения гнойно-воспалительного процесса на коллатеральны</w:t>
      </w:r>
      <w:r>
        <w:rPr>
          <w:rFonts w:cs="Calibri"/>
          <w:sz w:val="28"/>
          <w:szCs w:val="28"/>
          <w:lang w:eastAsia="ar-SA"/>
        </w:rPr>
        <w:t>е клетчаточные пространства (р&lt;</w:t>
      </w:r>
      <w:r w:rsidRPr="00FE6318">
        <w:rPr>
          <w:rFonts w:cs="Calibri"/>
          <w:sz w:val="28"/>
          <w:szCs w:val="28"/>
          <w:lang w:eastAsia="ar-SA"/>
        </w:rPr>
        <w:t xml:space="preserve">0,05), т. е. сахарный диабет у пациентов с МФОИ является </w:t>
      </w:r>
      <w:r w:rsidRPr="00FE6318">
        <w:rPr>
          <w:rFonts w:cs="Calibri"/>
          <w:i/>
          <w:sz w:val="28"/>
          <w:szCs w:val="28"/>
          <w:lang w:eastAsia="ar-SA"/>
        </w:rPr>
        <w:t>фоновой</w:t>
      </w:r>
      <w:r w:rsidRPr="00FE6318">
        <w:rPr>
          <w:rFonts w:cs="Calibri"/>
          <w:sz w:val="28"/>
          <w:szCs w:val="28"/>
          <w:lang w:eastAsia="ar-SA"/>
        </w:rPr>
        <w:t xml:space="preserve"> патологией.</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lastRenderedPageBreak/>
        <w:t>Распространенность МФОИ при наличии хронических заболеваний пищеварительной, мочевыделительной систем и печени, составляет 7,6%. Патология пищеварительной системы и печени, представлена болезнью оперированного желудка, гепатитами «</w:t>
      </w:r>
      <w:r w:rsidRPr="00FE6318">
        <w:rPr>
          <w:rFonts w:cs="Calibri"/>
          <w:sz w:val="28"/>
          <w:szCs w:val="28"/>
          <w:lang w:val="en-US" w:eastAsia="ar-SA"/>
        </w:rPr>
        <w:t>B</w:t>
      </w:r>
      <w:r w:rsidRPr="00FE6318">
        <w:rPr>
          <w:rFonts w:cs="Calibri"/>
          <w:sz w:val="28"/>
          <w:szCs w:val="28"/>
          <w:lang w:eastAsia="ar-SA"/>
        </w:rPr>
        <w:t>» и «</w:t>
      </w:r>
      <w:r w:rsidRPr="00FE6318">
        <w:rPr>
          <w:rFonts w:cs="Calibri"/>
          <w:sz w:val="28"/>
          <w:szCs w:val="28"/>
          <w:lang w:val="en-US" w:eastAsia="ar-SA"/>
        </w:rPr>
        <w:t>C</w:t>
      </w:r>
      <w:r w:rsidRPr="00FE6318">
        <w:rPr>
          <w:rFonts w:cs="Calibri"/>
          <w:sz w:val="28"/>
          <w:szCs w:val="28"/>
          <w:lang w:eastAsia="ar-SA"/>
        </w:rPr>
        <w:t>», алкогольным циррозом печени; ХП мочевыделительной системы – хроническими пиелонефритом/гломерулонефритом, хронической почечной недостаточностью. В одном случае гепатит «</w:t>
      </w:r>
      <w:r w:rsidRPr="00FE6318">
        <w:rPr>
          <w:rFonts w:cs="Calibri"/>
          <w:sz w:val="28"/>
          <w:szCs w:val="28"/>
          <w:lang w:val="en-US" w:eastAsia="ar-SA"/>
        </w:rPr>
        <w:t>C</w:t>
      </w:r>
      <w:r w:rsidRPr="00FE6318">
        <w:rPr>
          <w:rFonts w:cs="Calibri"/>
          <w:sz w:val="28"/>
          <w:szCs w:val="28"/>
          <w:lang w:eastAsia="ar-SA"/>
        </w:rPr>
        <w:t>» сочетался с ВИЧ.</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Характерны одонтогенные флегмоны в пределах 1-2 клетчаточных пространств без явлений выраженного распространения гнойно-воспалительного процесса и генерализации инфекции, реже – одонтогенные абсцессы (два пациента). Продолжительность догоспитального периода варьировала от 3 до 14 суток. Значительная часть пациентов данной группы лечились амбулаторно у стоматолога по месту жительства (внутриротовое вскрытие абсцессов, антибиотикотерапия), а </w:t>
      </w:r>
      <w:r>
        <w:rPr>
          <w:rFonts w:cs="Calibri"/>
          <w:sz w:val="28"/>
          <w:szCs w:val="28"/>
          <w:lang w:eastAsia="ar-SA"/>
        </w:rPr>
        <w:t>также</w:t>
      </w:r>
      <w:r w:rsidRPr="00FE6318">
        <w:rPr>
          <w:rFonts w:cs="Calibri"/>
          <w:sz w:val="28"/>
          <w:szCs w:val="28"/>
          <w:lang w:eastAsia="ar-SA"/>
        </w:rPr>
        <w:t xml:space="preserve"> в условиях хирургического стациона</w:t>
      </w:r>
      <w:r>
        <w:rPr>
          <w:rFonts w:cs="Calibri"/>
          <w:sz w:val="28"/>
          <w:szCs w:val="28"/>
          <w:lang w:eastAsia="ar-SA"/>
        </w:rPr>
        <w:t>ра ЦРБ.</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Характерны компенсированные изменения показателей гомеостаза. Осложнений, развивающихся в процессе стационарного лечения в условиях специализированного челюстно-лицевого отделения, не диагностировано. Летальность отсутствовала.</w:t>
      </w:r>
    </w:p>
    <w:p w:rsidR="00286780" w:rsidRPr="00FE6318" w:rsidRDefault="00286780" w:rsidP="00FE6318">
      <w:pPr>
        <w:spacing w:line="360" w:lineRule="auto"/>
        <w:ind w:firstLine="709"/>
        <w:jc w:val="both"/>
        <w:rPr>
          <w:rFonts w:cs="Calibri"/>
          <w:i/>
          <w:sz w:val="28"/>
          <w:szCs w:val="28"/>
          <w:lang w:eastAsia="ar-SA"/>
        </w:rPr>
      </w:pPr>
      <w:r w:rsidRPr="00FE6318">
        <w:rPr>
          <w:rFonts w:cs="Calibri"/>
          <w:sz w:val="28"/>
          <w:szCs w:val="28"/>
          <w:lang w:eastAsia="ar-SA"/>
        </w:rPr>
        <w:t xml:space="preserve">Достаточных оснований, позволяющих причислить заболевания пищеварительной системы, печени и мочевыделительной системы у пациентов с МФОИ к фоновой патологии, </w:t>
      </w:r>
      <w:r w:rsidRPr="00FE6318">
        <w:rPr>
          <w:rFonts w:cs="Calibri"/>
          <w:i/>
          <w:sz w:val="28"/>
          <w:szCs w:val="28"/>
          <w:lang w:eastAsia="ar-SA"/>
        </w:rPr>
        <w:t>не получено.</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Выполнена иммунологическая характеристика клеточного и гуморального иммунитета пациентов с МФОИ и ХП внутренних органов. В сравнении с группой относительно здоровых индивидов, отмечено активное образование </w:t>
      </w:r>
      <w:r w:rsidRPr="00FE6318">
        <w:rPr>
          <w:rFonts w:cs="Calibri"/>
          <w:sz w:val="28"/>
          <w:szCs w:val="28"/>
          <w:lang w:val="en-US" w:eastAsia="ar-SA"/>
        </w:rPr>
        <w:t>IgG</w:t>
      </w:r>
      <w:r w:rsidRPr="00FE6318">
        <w:rPr>
          <w:rFonts w:cs="Calibri"/>
          <w:sz w:val="28"/>
          <w:szCs w:val="28"/>
          <w:lang w:eastAsia="ar-SA"/>
        </w:rPr>
        <w:t xml:space="preserve">, </w:t>
      </w:r>
      <w:r w:rsidRPr="00FE6318">
        <w:rPr>
          <w:rFonts w:cs="Calibri"/>
          <w:sz w:val="28"/>
          <w:szCs w:val="28"/>
          <w:lang w:val="en-US" w:eastAsia="ar-SA"/>
        </w:rPr>
        <w:t>IgA</w:t>
      </w:r>
      <w:r w:rsidRPr="00FE6318">
        <w:rPr>
          <w:rFonts w:cs="Calibri"/>
          <w:sz w:val="28"/>
          <w:szCs w:val="28"/>
          <w:lang w:eastAsia="ar-SA"/>
        </w:rPr>
        <w:t xml:space="preserve">, </w:t>
      </w:r>
      <w:r w:rsidRPr="00FE6318">
        <w:rPr>
          <w:rFonts w:cs="Calibri"/>
          <w:sz w:val="28"/>
          <w:szCs w:val="28"/>
          <w:lang w:val="en-US" w:eastAsia="ar-SA"/>
        </w:rPr>
        <w:t>IgM</w:t>
      </w:r>
      <w:r w:rsidRPr="00FE6318">
        <w:rPr>
          <w:rFonts w:cs="Calibri"/>
          <w:sz w:val="28"/>
          <w:szCs w:val="28"/>
          <w:lang w:eastAsia="ar-SA"/>
        </w:rPr>
        <w:t>, что отражает активацию гуморального иммунитета в ответ на бактериальную инвазию. Характерно увеличение синтеза противовоспалительного ИЛ-10 и снижение синтеза провоспалительного ИЛ-1ß (</w:t>
      </w:r>
      <w:r w:rsidRPr="00FE6318">
        <w:rPr>
          <w:rFonts w:cs="Calibri"/>
          <w:sz w:val="28"/>
          <w:szCs w:val="28"/>
          <w:lang w:val="en-US" w:eastAsia="ar-SA"/>
        </w:rPr>
        <w:t>p</w:t>
      </w:r>
      <w:r w:rsidRPr="00FE6318">
        <w:rPr>
          <w:sz w:val="28"/>
          <w:szCs w:val="28"/>
          <w:lang w:eastAsia="ar-SA"/>
        </w:rPr>
        <w:t>&lt;</w:t>
      </w:r>
      <w:r w:rsidRPr="00FE6318">
        <w:rPr>
          <w:rFonts w:cs="Calibri"/>
          <w:sz w:val="28"/>
          <w:szCs w:val="28"/>
          <w:lang w:eastAsia="ar-SA"/>
        </w:rPr>
        <w:t>0,05).</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Аналогичное сравнение с группой с МФОИ без ХП: наличие ХП внутренних органов не оказывает статистически значимого влияния на исследуемые показатели клеточного и гуморального иммунитета у пациентов с МФОИ (</w:t>
      </w:r>
      <w:r w:rsidRPr="00FE6318">
        <w:rPr>
          <w:rFonts w:cs="Calibri"/>
          <w:sz w:val="28"/>
          <w:szCs w:val="28"/>
          <w:lang w:val="en-US" w:eastAsia="ar-SA"/>
        </w:rPr>
        <w:t>p</w:t>
      </w:r>
      <w:r w:rsidRPr="00FE6318">
        <w:rPr>
          <w:sz w:val="28"/>
          <w:szCs w:val="28"/>
          <w:lang w:eastAsia="ar-SA"/>
        </w:rPr>
        <w:t>&gt;</w:t>
      </w:r>
      <w:r w:rsidRPr="00FE6318">
        <w:rPr>
          <w:rFonts w:cs="Calibri"/>
          <w:sz w:val="28"/>
          <w:szCs w:val="28"/>
          <w:lang w:eastAsia="ar-SA"/>
        </w:rPr>
        <w:t>0,05).</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lastRenderedPageBreak/>
        <w:t xml:space="preserve">Выполнена сравнительная характеристика клинико-лабораторных показателей пациентов с ОС и ХП внутренних органов в сравнении с аналогичными показателями контрольной группы с ОС без ХП. Хроническая патология внутренних органов диагностирована у 54,5% пациентов с ОС. Характерно распространенное поражение тканей – вовлечение в острый воспалительный процесс 4–9 клетчаточных пространств челюстно-лицевой области (81,8%). Септический шок развивается у пациентов с ХП внутренних органов значительно чаще, чем при отсутствии хронической патологии </w:t>
      </w:r>
      <w:r>
        <w:rPr>
          <w:rFonts w:cs="Calibri"/>
          <w:sz w:val="28"/>
          <w:szCs w:val="28"/>
          <w:lang w:eastAsia="ar-SA"/>
        </w:rPr>
        <w:t>(33,3% и 10% соответственно, р&lt;</w:t>
      </w:r>
      <w:r w:rsidRPr="00FE6318">
        <w:rPr>
          <w:rFonts w:cs="Calibri"/>
          <w:sz w:val="28"/>
          <w:szCs w:val="28"/>
          <w:lang w:eastAsia="ar-SA"/>
        </w:rPr>
        <w:t>0,05). Средние значения показателей гемодинамики, клеточного и биохимического состава крови у пациентов с одонтогенным сепсисом и ХП характеризуются понижением систолического артериального давления (106,6±4,52 мм рт. ст.),</w:t>
      </w:r>
      <w:r>
        <w:rPr>
          <w:rFonts w:cs="Calibri"/>
          <w:sz w:val="28"/>
          <w:szCs w:val="28"/>
          <w:lang w:eastAsia="ar-SA"/>
        </w:rPr>
        <w:t xml:space="preserve"> </w:t>
      </w:r>
      <w:r w:rsidRPr="00FE6318">
        <w:rPr>
          <w:rFonts w:cs="Calibri"/>
          <w:sz w:val="28"/>
          <w:szCs w:val="28"/>
          <w:lang w:eastAsia="ar-SA"/>
        </w:rPr>
        <w:t>тахикардией (106,9±3,11 в 1 мин.), тахипноэ, анемией (3,23±0,15×10</w:t>
      </w:r>
      <w:r w:rsidRPr="00FE6318">
        <w:rPr>
          <w:rFonts w:cs="Calibri"/>
          <w:sz w:val="28"/>
          <w:szCs w:val="28"/>
          <w:vertAlign w:val="superscript"/>
          <w:lang w:eastAsia="ar-SA"/>
        </w:rPr>
        <w:t>9</w:t>
      </w:r>
      <w:r w:rsidRPr="00FE6318">
        <w:rPr>
          <w:rFonts w:cs="Calibri"/>
          <w:sz w:val="28"/>
          <w:szCs w:val="28"/>
          <w:lang w:eastAsia="ar-SA"/>
        </w:rPr>
        <w:t>/л), лейкоцитозом более 20×10</w:t>
      </w:r>
      <w:r w:rsidRPr="00FE6318">
        <w:rPr>
          <w:rFonts w:cs="Calibri"/>
          <w:sz w:val="28"/>
          <w:szCs w:val="28"/>
          <w:vertAlign w:val="superscript"/>
          <w:lang w:eastAsia="ar-SA"/>
        </w:rPr>
        <w:t>9</w:t>
      </w:r>
      <w:r w:rsidRPr="00FE6318">
        <w:rPr>
          <w:rFonts w:cs="Calibri"/>
          <w:sz w:val="28"/>
          <w:szCs w:val="28"/>
          <w:lang w:eastAsia="ar-SA"/>
        </w:rPr>
        <w:t>/л, увеличением концентрации азотистых оснований (мочевины, креатинина), гипергли</w:t>
      </w:r>
      <w:r>
        <w:rPr>
          <w:rFonts w:cs="Calibri"/>
          <w:sz w:val="28"/>
          <w:szCs w:val="28"/>
          <w:lang w:eastAsia="ar-SA"/>
        </w:rPr>
        <w:t>кемией (7,29</w:t>
      </w:r>
      <w:r w:rsidRPr="00FE6318">
        <w:rPr>
          <w:rFonts w:cs="Calibri"/>
          <w:sz w:val="28"/>
          <w:szCs w:val="28"/>
          <w:lang w:eastAsia="ar-SA"/>
        </w:rPr>
        <w:t xml:space="preserve">[5,5;10,6] ммоль/л) и гиперлактатемией (4,35±1,77 ммоль/л). </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Показатели гуморального иммунитета характеризуются разнонаправленным изменением показателей: угнетение выработки </w:t>
      </w:r>
      <w:r w:rsidRPr="00FE6318">
        <w:rPr>
          <w:rFonts w:cs="Calibri"/>
          <w:sz w:val="28"/>
          <w:szCs w:val="28"/>
          <w:lang w:val="en-US" w:eastAsia="ar-SA"/>
        </w:rPr>
        <w:t>IgG</w:t>
      </w:r>
      <w:r w:rsidRPr="00FE6318">
        <w:rPr>
          <w:rFonts w:cs="Calibri"/>
          <w:sz w:val="28"/>
          <w:szCs w:val="28"/>
          <w:lang w:eastAsia="ar-SA"/>
        </w:rPr>
        <w:t xml:space="preserve">, активация синтеза </w:t>
      </w:r>
      <w:r w:rsidRPr="00FE6318">
        <w:rPr>
          <w:rFonts w:cs="Calibri"/>
          <w:sz w:val="28"/>
          <w:szCs w:val="28"/>
          <w:lang w:val="en-US" w:eastAsia="ar-SA"/>
        </w:rPr>
        <w:t>IgA</w:t>
      </w:r>
      <w:r w:rsidRPr="00FE6318">
        <w:rPr>
          <w:rFonts w:cs="Calibri"/>
          <w:sz w:val="28"/>
          <w:szCs w:val="28"/>
          <w:lang w:eastAsia="ar-SA"/>
        </w:rPr>
        <w:t xml:space="preserve"> и </w:t>
      </w:r>
      <w:r w:rsidRPr="00FE6318">
        <w:rPr>
          <w:rFonts w:cs="Calibri"/>
          <w:sz w:val="28"/>
          <w:szCs w:val="28"/>
          <w:lang w:val="en-US" w:eastAsia="ar-SA"/>
        </w:rPr>
        <w:t>IgM</w:t>
      </w:r>
      <w:r>
        <w:rPr>
          <w:rFonts w:cs="Calibri"/>
          <w:sz w:val="28"/>
          <w:szCs w:val="28"/>
          <w:lang w:eastAsia="ar-SA"/>
        </w:rPr>
        <w:t xml:space="preserve"> (р&lt;</w:t>
      </w:r>
      <w:r w:rsidRPr="00FE6318">
        <w:rPr>
          <w:rFonts w:cs="Calibri"/>
          <w:sz w:val="28"/>
          <w:szCs w:val="28"/>
          <w:lang w:eastAsia="ar-SA"/>
        </w:rPr>
        <w:t>0,05).</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В целом, изменения гомеостаза у пациентов с ОС и ХП внутренних органов более глубокие, чем в отсутствии хронических заболеваний: выраженная анемия, повышение концентр</w:t>
      </w:r>
      <w:r>
        <w:rPr>
          <w:rFonts w:cs="Calibri"/>
          <w:sz w:val="28"/>
          <w:szCs w:val="28"/>
          <w:lang w:eastAsia="ar-SA"/>
        </w:rPr>
        <w:t>ации мочевины, изменения рН (р&lt;</w:t>
      </w:r>
      <w:r w:rsidRPr="00FE6318">
        <w:rPr>
          <w:rFonts w:cs="Calibri"/>
          <w:sz w:val="28"/>
          <w:szCs w:val="28"/>
          <w:lang w:eastAsia="ar-SA"/>
        </w:rPr>
        <w:t>0,05). В сравнении с группой контроля диагностировано статистически значимое повышение уровня летальности (38,9%) и прирост частоты жизнеугрожающих гнойно-воспалительных осложнений (69,4%), что указывает на наличие значимого влияния ХП внутренних органов на течение и исход одонтогенного сепсиса.</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Обследована группа пациентов с МФОИ и полиморбидными полиорганными заболеваниями сердечно-сосудистой, дыхательной, эндокринной, мочевыделительной систем, пищеварительной системы и печени, злокачественными новообразованиями, ВИЧ, гепатитами «В» и «С».</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lastRenderedPageBreak/>
        <w:t>Местная форма одонтогенной инфекции представлена абсцессами челюстно-лицевой области (50,6%), флегмонами в пределах 1–3 клетчаточных пространств (43,2%), одонтогенным остеомиелитом (6,2%).</w:t>
      </w:r>
    </w:p>
    <w:p w:rsidR="00286780" w:rsidRPr="00FE6318" w:rsidRDefault="00286780" w:rsidP="00FE6318">
      <w:pPr>
        <w:spacing w:line="360" w:lineRule="auto"/>
        <w:ind w:firstLine="709"/>
        <w:jc w:val="both"/>
        <w:rPr>
          <w:rFonts w:cs="Calibri"/>
          <w:i/>
          <w:sz w:val="28"/>
          <w:szCs w:val="28"/>
          <w:lang w:eastAsia="ar-SA"/>
        </w:rPr>
      </w:pPr>
      <w:r w:rsidRPr="00FE6318">
        <w:rPr>
          <w:rFonts w:cs="Calibri"/>
          <w:sz w:val="28"/>
          <w:szCs w:val="28"/>
          <w:lang w:eastAsia="ar-SA"/>
        </w:rPr>
        <w:t xml:space="preserve">Чаще всего у пациентов с МФОИ диагностирована полиморбидная патология сердечно-сосудистой системы, в том числе в коморбидном сочетании с ожирением (50,6%). Несколько реже наблюдается сахарный диабет </w:t>
      </w:r>
      <w:r w:rsidRPr="00FE6318">
        <w:rPr>
          <w:rFonts w:cs="Calibri"/>
          <w:sz w:val="28"/>
          <w:szCs w:val="28"/>
          <w:lang w:val="en-US" w:eastAsia="ar-SA"/>
        </w:rPr>
        <w:t>II</w:t>
      </w:r>
      <w:r w:rsidRPr="00FE6318">
        <w:rPr>
          <w:rFonts w:cs="Calibri"/>
          <w:sz w:val="28"/>
          <w:szCs w:val="28"/>
          <w:lang w:eastAsia="ar-SA"/>
        </w:rPr>
        <w:t xml:space="preserve"> типа и заболевания сердечно-сосудистой системы (артериальная гипертония, различные формы ИБС) – 30,9%. </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Терапевтическая полиморбидность у пациентов с МФОИ легкая (2–4 заболевания у одного человека), полиорганная полисистемная (из разных органов нескольких систем), приобретенная, постнатальная. Полиморбидные сочетания ХП сердечно-сосудистой системы, </w:t>
      </w:r>
      <w:r w:rsidRPr="00FE6318">
        <w:rPr>
          <w:sz w:val="28"/>
          <w:szCs w:val="28"/>
          <w:lang w:eastAsia="ar-SA"/>
        </w:rPr>
        <w:t>сахарного диабета и АГ/ИБС</w:t>
      </w:r>
      <w:r w:rsidRPr="00FE6318">
        <w:rPr>
          <w:rFonts w:cs="Calibri"/>
          <w:sz w:val="28"/>
          <w:szCs w:val="28"/>
          <w:lang w:eastAsia="ar-SA"/>
        </w:rPr>
        <w:t xml:space="preserve"> оказывают статистически значимое влияние на течение основного патологического процесса – МФОИ, так как определяют высокую частоту распространения флегмонозного процесса на соседни</w:t>
      </w:r>
      <w:r>
        <w:rPr>
          <w:rFonts w:cs="Calibri"/>
          <w:sz w:val="28"/>
          <w:szCs w:val="28"/>
          <w:lang w:eastAsia="ar-SA"/>
        </w:rPr>
        <w:t>е клетчаточные пространства (р&lt;</w:t>
      </w:r>
      <w:r w:rsidRPr="00FE6318">
        <w:rPr>
          <w:rFonts w:cs="Calibri"/>
          <w:sz w:val="28"/>
          <w:szCs w:val="28"/>
          <w:lang w:eastAsia="ar-SA"/>
        </w:rPr>
        <w:t xml:space="preserve">0,05), и являются </w:t>
      </w:r>
      <w:r w:rsidRPr="00FE6318">
        <w:rPr>
          <w:rFonts w:cs="Calibri"/>
          <w:i/>
          <w:sz w:val="28"/>
          <w:szCs w:val="28"/>
          <w:lang w:eastAsia="ar-SA"/>
        </w:rPr>
        <w:t xml:space="preserve">фоновыми </w:t>
      </w:r>
      <w:r w:rsidRPr="00FE6318">
        <w:rPr>
          <w:rFonts w:cs="Calibri"/>
          <w:sz w:val="28"/>
          <w:szCs w:val="28"/>
          <w:lang w:eastAsia="ar-SA"/>
        </w:rPr>
        <w:t xml:space="preserve">заболеваниями. Полиорганная полиморбидная ХП органов дыхания, хроническая патология печени, в т. ч. при наличии ВИЧ, у пациентов с МФОИ </w:t>
      </w:r>
      <w:r w:rsidRPr="00FE6318">
        <w:rPr>
          <w:rFonts w:cs="Calibri"/>
          <w:i/>
          <w:iCs/>
          <w:sz w:val="28"/>
          <w:szCs w:val="28"/>
          <w:lang w:eastAsia="ar-SA"/>
        </w:rPr>
        <w:t>фоновой не является</w:t>
      </w:r>
      <w:r w:rsidRPr="00FE6318">
        <w:rPr>
          <w:rFonts w:cs="Calibri"/>
          <w:sz w:val="28"/>
          <w:szCs w:val="28"/>
          <w:lang w:eastAsia="ar-SA"/>
        </w:rPr>
        <w:t>.</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Показатели гомеостаза у пациентов с МФОИ и фоновой полиорганной полиморбидной патологией характеризуются повышенным уровнем систолического и диастолического артериального давления, ассоциируемого с наличием сопутствующей артериальной гипертонии, а </w:t>
      </w:r>
      <w:r>
        <w:rPr>
          <w:rFonts w:cs="Calibri"/>
          <w:sz w:val="28"/>
          <w:szCs w:val="28"/>
          <w:lang w:eastAsia="ar-SA"/>
        </w:rPr>
        <w:t>также</w:t>
      </w:r>
      <w:r w:rsidRPr="00FE6318">
        <w:rPr>
          <w:rFonts w:cs="Calibri"/>
          <w:sz w:val="28"/>
          <w:szCs w:val="28"/>
          <w:lang w:eastAsia="ar-SA"/>
        </w:rPr>
        <w:t xml:space="preserve"> гиперкреатининемией.</w:t>
      </w:r>
    </w:p>
    <w:p w:rsidR="00286780" w:rsidRPr="00FE6318" w:rsidRDefault="00286780" w:rsidP="00FE6318">
      <w:pPr>
        <w:spacing w:line="360" w:lineRule="auto"/>
        <w:ind w:firstLine="709"/>
        <w:jc w:val="both"/>
        <w:rPr>
          <w:rFonts w:cs="Calibri"/>
          <w:spacing w:val="-4"/>
          <w:sz w:val="28"/>
          <w:szCs w:val="28"/>
          <w:lang w:eastAsia="ar-SA"/>
        </w:rPr>
      </w:pPr>
      <w:r w:rsidRPr="00FE6318">
        <w:rPr>
          <w:rFonts w:cs="Calibri"/>
          <w:spacing w:val="-4"/>
          <w:sz w:val="28"/>
          <w:szCs w:val="28"/>
          <w:lang w:eastAsia="ar-SA"/>
        </w:rPr>
        <w:t>В гнойном отделяемом у пациентов с местной формой одонтогенной инфекции и полиорганной полиморбидной патологией определяются стафилококки (</w:t>
      </w:r>
      <w:r w:rsidRPr="00FE6318">
        <w:rPr>
          <w:rFonts w:cs="Calibri"/>
          <w:spacing w:val="-4"/>
          <w:sz w:val="28"/>
          <w:szCs w:val="28"/>
          <w:lang w:val="en-US" w:eastAsia="ar-SA"/>
        </w:rPr>
        <w:t>S</w:t>
      </w:r>
      <w:r w:rsidRPr="00FE6318">
        <w:rPr>
          <w:rFonts w:cs="Calibri"/>
          <w:spacing w:val="-4"/>
          <w:sz w:val="28"/>
          <w:szCs w:val="28"/>
          <w:lang w:eastAsia="ar-SA"/>
        </w:rPr>
        <w:t xml:space="preserve">. </w:t>
      </w:r>
      <w:r w:rsidRPr="00FE6318">
        <w:rPr>
          <w:rFonts w:cs="Calibri"/>
          <w:spacing w:val="-4"/>
          <w:sz w:val="28"/>
          <w:szCs w:val="28"/>
          <w:lang w:val="en-US" w:eastAsia="ar-SA"/>
        </w:rPr>
        <w:t>epidermidis</w:t>
      </w:r>
      <w:r w:rsidRPr="00FE6318">
        <w:rPr>
          <w:rFonts w:cs="Calibri"/>
          <w:spacing w:val="-4"/>
          <w:sz w:val="28"/>
          <w:szCs w:val="28"/>
          <w:lang w:eastAsia="ar-SA"/>
        </w:rPr>
        <w:t xml:space="preserve">, </w:t>
      </w:r>
      <w:r w:rsidRPr="00FE6318">
        <w:rPr>
          <w:rFonts w:cs="Calibri"/>
          <w:spacing w:val="-4"/>
          <w:sz w:val="28"/>
          <w:szCs w:val="28"/>
          <w:lang w:val="en-US" w:eastAsia="ar-SA"/>
        </w:rPr>
        <w:t>S</w:t>
      </w:r>
      <w:r w:rsidRPr="00FE6318">
        <w:rPr>
          <w:rFonts w:cs="Calibri"/>
          <w:spacing w:val="-4"/>
          <w:sz w:val="28"/>
          <w:szCs w:val="28"/>
          <w:lang w:eastAsia="ar-SA"/>
        </w:rPr>
        <w:t xml:space="preserve">. </w:t>
      </w:r>
      <w:r w:rsidRPr="00FE6318">
        <w:rPr>
          <w:rFonts w:cs="Calibri"/>
          <w:spacing w:val="-4"/>
          <w:sz w:val="28"/>
          <w:szCs w:val="28"/>
          <w:lang w:val="en-US" w:eastAsia="ar-SA"/>
        </w:rPr>
        <w:t>haemoliticus</w:t>
      </w:r>
      <w:r w:rsidRPr="00FE6318">
        <w:rPr>
          <w:rFonts w:cs="Calibri"/>
          <w:spacing w:val="-4"/>
          <w:sz w:val="28"/>
          <w:szCs w:val="28"/>
          <w:lang w:eastAsia="ar-SA"/>
        </w:rPr>
        <w:t xml:space="preserve"> и </w:t>
      </w:r>
      <w:r w:rsidRPr="00FE6318">
        <w:rPr>
          <w:rFonts w:cs="Calibri"/>
          <w:spacing w:val="-4"/>
          <w:sz w:val="28"/>
          <w:szCs w:val="28"/>
          <w:lang w:val="en-US" w:eastAsia="ar-SA"/>
        </w:rPr>
        <w:t>S</w:t>
      </w:r>
      <w:r w:rsidRPr="00FE6318">
        <w:rPr>
          <w:rFonts w:cs="Calibri"/>
          <w:spacing w:val="-4"/>
          <w:sz w:val="28"/>
          <w:szCs w:val="28"/>
          <w:lang w:eastAsia="ar-SA"/>
        </w:rPr>
        <w:t xml:space="preserve">. </w:t>
      </w:r>
      <w:r w:rsidRPr="00FE6318">
        <w:rPr>
          <w:rFonts w:cs="Calibri"/>
          <w:spacing w:val="-4"/>
          <w:sz w:val="28"/>
          <w:szCs w:val="28"/>
          <w:lang w:val="en-US" w:eastAsia="ar-SA"/>
        </w:rPr>
        <w:t>aureus</w:t>
      </w:r>
      <w:r w:rsidRPr="00FE6318">
        <w:rPr>
          <w:rFonts w:cs="Calibri"/>
          <w:spacing w:val="-4"/>
          <w:sz w:val="28"/>
          <w:szCs w:val="28"/>
          <w:lang w:eastAsia="ar-SA"/>
        </w:rPr>
        <w:t xml:space="preserve">) – всего у 56% больных, </w:t>
      </w:r>
      <w:r w:rsidRPr="00FE6318">
        <w:rPr>
          <w:rFonts w:cs="Calibri"/>
          <w:spacing w:val="-4"/>
          <w:sz w:val="28"/>
          <w:szCs w:val="28"/>
          <w:lang w:val="en-US" w:eastAsia="ar-SA"/>
        </w:rPr>
        <w:t>Str</w:t>
      </w:r>
      <w:r w:rsidRPr="00FE6318">
        <w:rPr>
          <w:rFonts w:cs="Calibri"/>
          <w:spacing w:val="-4"/>
          <w:sz w:val="28"/>
          <w:szCs w:val="28"/>
          <w:lang w:eastAsia="ar-SA"/>
        </w:rPr>
        <w:t xml:space="preserve">. </w:t>
      </w:r>
      <w:r w:rsidRPr="00FE6318">
        <w:rPr>
          <w:rFonts w:cs="Calibri"/>
          <w:spacing w:val="-4"/>
          <w:sz w:val="28"/>
          <w:szCs w:val="28"/>
          <w:lang w:val="en-US" w:eastAsia="ar-SA"/>
        </w:rPr>
        <w:t>pyogenes</w:t>
      </w:r>
      <w:r w:rsidRPr="00FE6318">
        <w:rPr>
          <w:rFonts w:cs="Calibri"/>
          <w:spacing w:val="-4"/>
          <w:sz w:val="28"/>
          <w:szCs w:val="28"/>
          <w:lang w:eastAsia="ar-SA"/>
        </w:rPr>
        <w:t xml:space="preserve"> –7,6%. </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Все стафилококки обладают 100% чувствительностью к ванкомицину, линезолиду и клиндамицину. Чувствительность стафилококков к ципрофлоксацину и эритромицину находится в пределах 60–100% в зависимости от вида микрорганизма. Антистафилококковый пенициллин оксациллин обладает 100% активностью только при наличии </w:t>
      </w:r>
      <w:r w:rsidRPr="00FE6318">
        <w:rPr>
          <w:rFonts w:cs="Calibri"/>
          <w:sz w:val="28"/>
          <w:szCs w:val="28"/>
          <w:lang w:val="en-US" w:eastAsia="ar-SA"/>
        </w:rPr>
        <w:t>S</w:t>
      </w:r>
      <w:r w:rsidRPr="00FE6318">
        <w:rPr>
          <w:rFonts w:cs="Calibri"/>
          <w:sz w:val="28"/>
          <w:szCs w:val="28"/>
          <w:lang w:eastAsia="ar-SA"/>
        </w:rPr>
        <w:t xml:space="preserve">. </w:t>
      </w:r>
      <w:r w:rsidRPr="00FE6318">
        <w:rPr>
          <w:rFonts w:cs="Calibri"/>
          <w:sz w:val="28"/>
          <w:szCs w:val="28"/>
          <w:lang w:val="en-US" w:eastAsia="ar-SA"/>
        </w:rPr>
        <w:t>aureus</w:t>
      </w:r>
      <w:r w:rsidRPr="00FE6318">
        <w:rPr>
          <w:rFonts w:cs="Calibri"/>
          <w:sz w:val="28"/>
          <w:szCs w:val="28"/>
          <w:lang w:eastAsia="ar-SA"/>
        </w:rPr>
        <w:t xml:space="preserve">, иные формы стафилококков чувствительны к </w:t>
      </w:r>
      <w:r w:rsidRPr="00FE6318">
        <w:rPr>
          <w:rFonts w:cs="Calibri"/>
          <w:sz w:val="28"/>
          <w:szCs w:val="28"/>
          <w:lang w:eastAsia="ar-SA"/>
        </w:rPr>
        <w:lastRenderedPageBreak/>
        <w:t>оксациллину в 62,5–80% случаев. Чувствительность стрептококков к макролидам, фторхинолонам, ванкомицину, линезолиду и линкозамидам составляет 100%. Следовательно, у пациентов с МФОИ и полиорганной фоновой патологией возможно применение клиндамицина в виде монотерапии.</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Обследовано 28 пациентов с одонтогенным сепсисом (ОС) и полиморбидными полиорганными заболеваниями сердечно-сосудистой, дыхательной, эндокринной, мочевыделительной систем, пищеварительной системы и печени, гепатитами «В» и «С», синдромом алкогольной зависимости. Характерны распространенные флегмоны в пределах 4–6 клетчаточных пространств</w:t>
      </w:r>
      <w:r>
        <w:rPr>
          <w:rFonts w:cs="Calibri"/>
          <w:sz w:val="28"/>
          <w:szCs w:val="28"/>
          <w:lang w:eastAsia="ar-SA"/>
        </w:rPr>
        <w:t xml:space="preserve"> и топографо-анатомических областей</w:t>
      </w:r>
      <w:r w:rsidRPr="00FE6318">
        <w:rPr>
          <w:rFonts w:cs="Calibri"/>
          <w:sz w:val="28"/>
          <w:szCs w:val="28"/>
          <w:lang w:eastAsia="ar-SA"/>
        </w:rPr>
        <w:t xml:space="preserve"> (42,9%), 7–9 клетчаточных пространств </w:t>
      </w:r>
      <w:r>
        <w:rPr>
          <w:rFonts w:cs="Calibri"/>
          <w:sz w:val="28"/>
          <w:szCs w:val="28"/>
          <w:lang w:eastAsia="ar-SA"/>
        </w:rPr>
        <w:t>и топографо-анатомических областей</w:t>
      </w:r>
      <w:r w:rsidRPr="00FE6318">
        <w:rPr>
          <w:rFonts w:cs="Calibri"/>
          <w:sz w:val="28"/>
          <w:szCs w:val="28"/>
          <w:lang w:eastAsia="ar-SA"/>
        </w:rPr>
        <w:t xml:space="preserve"> (39,3%), реже – до 3 клетчаточных пространств </w:t>
      </w:r>
      <w:r>
        <w:rPr>
          <w:rFonts w:cs="Calibri"/>
          <w:sz w:val="28"/>
          <w:szCs w:val="28"/>
          <w:lang w:eastAsia="ar-SA"/>
        </w:rPr>
        <w:t>и топографо-анатомических областей</w:t>
      </w:r>
      <w:r w:rsidRPr="00FE6318">
        <w:rPr>
          <w:rFonts w:cs="Calibri"/>
          <w:sz w:val="28"/>
          <w:szCs w:val="28"/>
          <w:lang w:eastAsia="ar-SA"/>
        </w:rPr>
        <w:t xml:space="preserve"> (14,3%), в пределах 10 клетчаточных пространств </w:t>
      </w:r>
      <w:r>
        <w:rPr>
          <w:rFonts w:cs="Calibri"/>
          <w:sz w:val="28"/>
          <w:szCs w:val="28"/>
          <w:lang w:eastAsia="ar-SA"/>
        </w:rPr>
        <w:t xml:space="preserve">(топографо-анатомических областей) </w:t>
      </w:r>
      <w:r w:rsidRPr="00FE6318">
        <w:rPr>
          <w:rFonts w:cs="Calibri"/>
          <w:sz w:val="28"/>
          <w:szCs w:val="28"/>
          <w:lang w:eastAsia="ar-SA"/>
        </w:rPr>
        <w:t>и более (3,5%).</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Артериальная гипотензия, требующая введения вазопрессоров (септический шок), диагностирована у 57,1% группы пациентов с ОС и полиорганной полиморбидной фоновой патологией, 10,0% </w:t>
      </w:r>
      <w:r>
        <w:rPr>
          <w:rFonts w:cs="Calibri"/>
          <w:sz w:val="28"/>
          <w:szCs w:val="28"/>
          <w:lang w:eastAsia="ar-SA"/>
        </w:rPr>
        <w:t>– в группе сравнения без ХП (р&lt;</w:t>
      </w:r>
      <w:r w:rsidRPr="00FE6318">
        <w:rPr>
          <w:rFonts w:cs="Calibri"/>
          <w:sz w:val="28"/>
          <w:szCs w:val="28"/>
          <w:lang w:eastAsia="ar-SA"/>
        </w:rPr>
        <w:t>0,05).</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Чаще всего у пациентов с ОС диагностировано вирусное или алкогольное поражение печени, хронический алкоголизм (39,3%), сахарный диабет 2-го типа в полиморбидном сочетании с патологией сердечно-сосудистой системы, ожирением (25%), реже наблюдаются хронические полиморбидные заболевания сердечно-сосудистой и дыхательной систем (14,3%). Заболевания почек, сопровождающиеся почечной недостаточностью, диагностированы в единичных случаях (7,1%). Терапевтическая полиморбидность у пациентов с ОС легкая (2–4 заболевания у одного человека), полиорганная полисистемная (из разных органов нескольких систем), приобретенная, постнатальная. </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Одонтогенный сепсис, развивающийся при наличии фоновой полиорганной патологии, характеризуется низкими значениями систолического и диастолического артериального давления, выраженной анемией, существенной гипергликемией, повыш</w:t>
      </w:r>
      <w:r>
        <w:rPr>
          <w:rFonts w:cs="Calibri"/>
          <w:sz w:val="28"/>
          <w:szCs w:val="28"/>
          <w:lang w:eastAsia="ar-SA"/>
        </w:rPr>
        <w:t>ением концентрации мочевины (р&lt;</w:t>
      </w:r>
      <w:r w:rsidRPr="00FE6318">
        <w:rPr>
          <w:rFonts w:cs="Calibri"/>
          <w:sz w:val="28"/>
          <w:szCs w:val="28"/>
          <w:lang w:eastAsia="ar-SA"/>
        </w:rPr>
        <w:t>0,05).</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lastRenderedPageBreak/>
        <w:t>В гнойном отделяемом первичных воспалительных очагов у пациентов с ОС и фоновой полиорганной патологией преобладают стрептококки (42,9%) и стафилококки (28,6%). Реже наблюдается грамотрицательная микрофлора (</w:t>
      </w:r>
      <w:r w:rsidRPr="00FE6318">
        <w:rPr>
          <w:rFonts w:cs="Calibri"/>
          <w:sz w:val="28"/>
          <w:szCs w:val="28"/>
          <w:lang w:val="en-US" w:eastAsia="ar-SA"/>
        </w:rPr>
        <w:t>Klebsiella</w:t>
      </w:r>
      <w:r>
        <w:rPr>
          <w:rFonts w:cs="Calibri"/>
          <w:sz w:val="28"/>
          <w:szCs w:val="28"/>
          <w:lang w:eastAsia="ar-SA"/>
        </w:rPr>
        <w:t xml:space="preserve"> </w:t>
      </w:r>
      <w:r w:rsidRPr="00FE6318">
        <w:rPr>
          <w:rFonts w:cs="Calibri"/>
          <w:sz w:val="28"/>
          <w:szCs w:val="28"/>
          <w:lang w:val="en-US" w:eastAsia="ar-SA"/>
        </w:rPr>
        <w:t>pneumonia</w:t>
      </w:r>
      <w:r w:rsidRPr="00FE6318">
        <w:rPr>
          <w:rFonts w:cs="Calibri"/>
          <w:sz w:val="28"/>
          <w:szCs w:val="28"/>
          <w:lang w:eastAsia="ar-SA"/>
        </w:rPr>
        <w:t xml:space="preserve">, </w:t>
      </w:r>
      <w:r w:rsidRPr="00FE6318">
        <w:rPr>
          <w:rFonts w:cs="Calibri"/>
          <w:sz w:val="28"/>
          <w:szCs w:val="28"/>
          <w:lang w:val="en-US" w:eastAsia="ar-SA"/>
        </w:rPr>
        <w:t>Proteus</w:t>
      </w:r>
      <w:r>
        <w:rPr>
          <w:rFonts w:cs="Calibri"/>
          <w:sz w:val="28"/>
          <w:szCs w:val="28"/>
          <w:lang w:eastAsia="ar-SA"/>
        </w:rPr>
        <w:t xml:space="preserve"> </w:t>
      </w:r>
      <w:r w:rsidRPr="00FE6318">
        <w:rPr>
          <w:rFonts w:cs="Calibri"/>
          <w:sz w:val="28"/>
          <w:szCs w:val="28"/>
          <w:lang w:val="en-US" w:eastAsia="ar-SA"/>
        </w:rPr>
        <w:t>vulgaris</w:t>
      </w:r>
      <w:r w:rsidRPr="00FE6318">
        <w:rPr>
          <w:rFonts w:cs="Calibri"/>
          <w:sz w:val="28"/>
          <w:szCs w:val="28"/>
          <w:lang w:eastAsia="ar-SA"/>
        </w:rPr>
        <w:t xml:space="preserve">, </w:t>
      </w:r>
      <w:r w:rsidRPr="00FE6318">
        <w:rPr>
          <w:rFonts w:cs="Calibri"/>
          <w:sz w:val="28"/>
          <w:szCs w:val="28"/>
          <w:lang w:val="en-US" w:eastAsia="ar-SA"/>
        </w:rPr>
        <w:t>Citrobacter</w:t>
      </w:r>
      <w:r>
        <w:rPr>
          <w:rFonts w:cs="Calibri"/>
          <w:sz w:val="28"/>
          <w:szCs w:val="28"/>
          <w:lang w:eastAsia="ar-SA"/>
        </w:rPr>
        <w:t xml:space="preserve"> </w:t>
      </w:r>
      <w:r w:rsidRPr="00FE6318">
        <w:rPr>
          <w:rFonts w:cs="Calibri"/>
          <w:sz w:val="28"/>
          <w:szCs w:val="28"/>
          <w:lang w:val="en-US" w:eastAsia="ar-SA"/>
        </w:rPr>
        <w:t>koseri</w:t>
      </w:r>
      <w:r w:rsidRPr="00FE6318">
        <w:rPr>
          <w:rFonts w:cs="Calibri"/>
          <w:sz w:val="28"/>
          <w:szCs w:val="28"/>
          <w:lang w:eastAsia="ar-SA"/>
        </w:rPr>
        <w:t>) – 28,5%. Следует учитывать вероятное наличие неклостридиальной анаэробной микрофлоры (как и в группе с МФОИ).</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Выделенные в первичных очагах стафилококки (</w:t>
      </w:r>
      <w:r w:rsidRPr="00FE6318">
        <w:rPr>
          <w:rFonts w:cs="Calibri"/>
          <w:sz w:val="28"/>
          <w:szCs w:val="28"/>
          <w:lang w:val="en-US" w:eastAsia="ar-SA"/>
        </w:rPr>
        <w:t>S</w:t>
      </w:r>
      <w:r w:rsidRPr="00FE6318">
        <w:rPr>
          <w:rFonts w:cs="Calibri"/>
          <w:sz w:val="28"/>
          <w:szCs w:val="28"/>
          <w:lang w:eastAsia="ar-SA"/>
        </w:rPr>
        <w:t xml:space="preserve">. </w:t>
      </w:r>
      <w:r w:rsidRPr="00FE6318">
        <w:rPr>
          <w:rFonts w:cs="Calibri"/>
          <w:sz w:val="28"/>
          <w:szCs w:val="28"/>
          <w:lang w:val="en-US" w:eastAsia="ar-SA"/>
        </w:rPr>
        <w:t>epidermidis</w:t>
      </w:r>
      <w:r w:rsidRPr="00FE6318">
        <w:rPr>
          <w:rFonts w:cs="Calibri"/>
          <w:sz w:val="28"/>
          <w:szCs w:val="28"/>
          <w:lang w:eastAsia="ar-SA"/>
        </w:rPr>
        <w:t xml:space="preserve">, </w:t>
      </w:r>
      <w:r w:rsidRPr="00FE6318">
        <w:rPr>
          <w:rFonts w:cs="Calibri"/>
          <w:sz w:val="28"/>
          <w:szCs w:val="28"/>
          <w:lang w:val="en-US" w:eastAsia="ar-SA"/>
        </w:rPr>
        <w:t>S</w:t>
      </w:r>
      <w:r w:rsidRPr="00FE6318">
        <w:rPr>
          <w:rFonts w:cs="Calibri"/>
          <w:sz w:val="28"/>
          <w:szCs w:val="28"/>
          <w:lang w:eastAsia="ar-SA"/>
        </w:rPr>
        <w:t xml:space="preserve">. </w:t>
      </w:r>
      <w:r w:rsidRPr="00FE6318">
        <w:rPr>
          <w:rFonts w:cs="Calibri"/>
          <w:sz w:val="28"/>
          <w:szCs w:val="28"/>
          <w:lang w:val="en-US" w:eastAsia="ar-SA"/>
        </w:rPr>
        <w:t>haemoliticus</w:t>
      </w:r>
      <w:r w:rsidRPr="00FE6318">
        <w:rPr>
          <w:rFonts w:cs="Calibri"/>
          <w:sz w:val="28"/>
          <w:szCs w:val="28"/>
          <w:lang w:eastAsia="ar-SA"/>
        </w:rPr>
        <w:t xml:space="preserve">, </w:t>
      </w:r>
      <w:r w:rsidRPr="00FE6318">
        <w:rPr>
          <w:rFonts w:cs="Calibri"/>
          <w:sz w:val="28"/>
          <w:szCs w:val="28"/>
          <w:lang w:val="en-US" w:eastAsia="ar-SA"/>
        </w:rPr>
        <w:t>S</w:t>
      </w:r>
      <w:r w:rsidRPr="00FE6318">
        <w:rPr>
          <w:rFonts w:cs="Calibri"/>
          <w:sz w:val="28"/>
          <w:szCs w:val="28"/>
          <w:lang w:eastAsia="ar-SA"/>
        </w:rPr>
        <w:t xml:space="preserve">. </w:t>
      </w:r>
      <w:r w:rsidRPr="00FE6318">
        <w:rPr>
          <w:rFonts w:cs="Calibri"/>
          <w:sz w:val="28"/>
          <w:szCs w:val="28"/>
          <w:lang w:val="en-US" w:eastAsia="ar-SA"/>
        </w:rPr>
        <w:t>pyogenes</w:t>
      </w:r>
      <w:r w:rsidRPr="00FE6318">
        <w:rPr>
          <w:rFonts w:cs="Calibri"/>
          <w:sz w:val="28"/>
          <w:szCs w:val="28"/>
          <w:lang w:eastAsia="ar-SA"/>
        </w:rPr>
        <w:t>) характеризуются чувствительностью к оксациллину и ципрофлоксацину. Стрептококки чувствительны к эритромицину и клиндамицину, а грамотрицательная флора (</w:t>
      </w:r>
      <w:r w:rsidRPr="00FE6318">
        <w:rPr>
          <w:rFonts w:cs="Calibri"/>
          <w:sz w:val="28"/>
          <w:szCs w:val="28"/>
          <w:lang w:val="en-US" w:eastAsia="ar-SA"/>
        </w:rPr>
        <w:t>Klebsiella</w:t>
      </w:r>
      <w:r>
        <w:rPr>
          <w:rFonts w:cs="Calibri"/>
          <w:sz w:val="28"/>
          <w:szCs w:val="28"/>
          <w:lang w:eastAsia="ar-SA"/>
        </w:rPr>
        <w:t xml:space="preserve"> </w:t>
      </w:r>
      <w:r w:rsidRPr="00FE6318">
        <w:rPr>
          <w:rFonts w:cs="Calibri"/>
          <w:sz w:val="28"/>
          <w:szCs w:val="28"/>
          <w:lang w:val="en-US" w:eastAsia="ar-SA"/>
        </w:rPr>
        <w:t>pneumonia</w:t>
      </w:r>
      <w:r w:rsidRPr="00FE6318">
        <w:rPr>
          <w:rFonts w:cs="Calibri"/>
          <w:sz w:val="28"/>
          <w:szCs w:val="28"/>
          <w:lang w:eastAsia="ar-SA"/>
        </w:rPr>
        <w:t xml:space="preserve">, </w:t>
      </w:r>
      <w:r w:rsidRPr="00FE6318">
        <w:rPr>
          <w:rFonts w:cs="Calibri"/>
          <w:sz w:val="28"/>
          <w:szCs w:val="28"/>
          <w:lang w:val="en-US" w:eastAsia="ar-SA"/>
        </w:rPr>
        <w:t>Proteus</w:t>
      </w:r>
      <w:r>
        <w:rPr>
          <w:rFonts w:cs="Calibri"/>
          <w:sz w:val="28"/>
          <w:szCs w:val="28"/>
          <w:lang w:eastAsia="ar-SA"/>
        </w:rPr>
        <w:t xml:space="preserve"> </w:t>
      </w:r>
      <w:r w:rsidRPr="00FE6318">
        <w:rPr>
          <w:rFonts w:cs="Calibri"/>
          <w:sz w:val="28"/>
          <w:szCs w:val="28"/>
          <w:lang w:val="en-US" w:eastAsia="ar-SA"/>
        </w:rPr>
        <w:t>vulgaris</w:t>
      </w:r>
      <w:r w:rsidRPr="00FE6318">
        <w:rPr>
          <w:rFonts w:cs="Calibri"/>
          <w:sz w:val="28"/>
          <w:szCs w:val="28"/>
          <w:lang w:eastAsia="ar-SA"/>
        </w:rPr>
        <w:t xml:space="preserve">, </w:t>
      </w:r>
      <w:r w:rsidRPr="00FE6318">
        <w:rPr>
          <w:rFonts w:cs="Calibri"/>
          <w:sz w:val="28"/>
          <w:szCs w:val="28"/>
          <w:lang w:val="en-US" w:eastAsia="ar-SA"/>
        </w:rPr>
        <w:t>Citrobacter</w:t>
      </w:r>
      <w:r>
        <w:rPr>
          <w:rFonts w:cs="Calibri"/>
          <w:sz w:val="28"/>
          <w:szCs w:val="28"/>
          <w:lang w:eastAsia="ar-SA"/>
        </w:rPr>
        <w:t xml:space="preserve"> </w:t>
      </w:r>
      <w:r w:rsidRPr="00FE6318">
        <w:rPr>
          <w:rFonts w:cs="Calibri"/>
          <w:sz w:val="28"/>
          <w:szCs w:val="28"/>
          <w:lang w:val="en-US" w:eastAsia="ar-SA"/>
        </w:rPr>
        <w:t>koseri</w:t>
      </w:r>
      <w:r w:rsidRPr="00FE6318">
        <w:rPr>
          <w:rFonts w:cs="Calibri"/>
          <w:sz w:val="28"/>
          <w:szCs w:val="28"/>
          <w:lang w:eastAsia="ar-SA"/>
        </w:rPr>
        <w:t>) резистентна к большинству антибактериальных препаратов, сохраняя чувствительность к меропенему, и, в некоторых случаях, к цефотаксиму.</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В гемокультурах преобладают стафилококки (28,6%), чувствительные к меропенему, ванкомицину и линезолиду, но устойчивые к оксациллину. Одинаково часто наблюдаются стрептококки и синегнойная палочка (14,3%). Стрептококки чувствительны только к меропенему, а синегнойная палочка – к полимиксину </w:t>
      </w:r>
      <w:r w:rsidRPr="00FE6318">
        <w:rPr>
          <w:rFonts w:cs="Calibri"/>
          <w:sz w:val="28"/>
          <w:szCs w:val="28"/>
          <w:lang w:val="en-US" w:eastAsia="ar-SA"/>
        </w:rPr>
        <w:t>B</w:t>
      </w:r>
      <w:r w:rsidRPr="00FE6318">
        <w:rPr>
          <w:rFonts w:cs="Calibri"/>
          <w:sz w:val="28"/>
          <w:szCs w:val="28"/>
          <w:lang w:eastAsia="ar-SA"/>
        </w:rPr>
        <w:t>.</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В целом, у пациентов с ОС и полиорганной полиморбидной фоновой патологией определяются грамположительные и грамотрицательные микроорганизмы, обладающие полирезистентностью к антибиотикам.</w:t>
      </w:r>
    </w:p>
    <w:p w:rsidR="00286780" w:rsidRPr="00FE6318" w:rsidRDefault="00286780" w:rsidP="00FE6318">
      <w:pPr>
        <w:spacing w:line="360" w:lineRule="auto"/>
        <w:ind w:firstLine="709"/>
        <w:jc w:val="both"/>
        <w:rPr>
          <w:rFonts w:cs="Calibri"/>
          <w:i/>
          <w:iCs/>
          <w:sz w:val="28"/>
          <w:szCs w:val="28"/>
          <w:lang w:eastAsia="ar-SA"/>
        </w:rPr>
      </w:pPr>
      <w:r w:rsidRPr="00FE6318">
        <w:rPr>
          <w:rFonts w:cs="Calibri"/>
          <w:sz w:val="28"/>
          <w:szCs w:val="28"/>
          <w:lang w:eastAsia="ar-SA"/>
        </w:rPr>
        <w:t xml:space="preserve">Анализируя показатели стационарного лечения пациентов с одонтогенным сепсисом и фоновой полиорганной патологией, следует отметить низкую эффективность диагностики основного заболевания при поступлении в стационар (28,5%); высокую частоту развития осложнений (85,7%) и летальности (53,6%), что обусловлено влиянием полиорганной патологии внутренних органов на течение ОС. Полиморбидная полиорганная ХП внутренних органов у пациентов с одонтогенным сепсисом является </w:t>
      </w:r>
      <w:r w:rsidRPr="00FE6318">
        <w:rPr>
          <w:rFonts w:cs="Calibri"/>
          <w:i/>
          <w:iCs/>
          <w:sz w:val="28"/>
          <w:szCs w:val="28"/>
          <w:lang w:eastAsia="ar-SA"/>
        </w:rPr>
        <w:t>фоновой</w:t>
      </w:r>
      <w:r w:rsidRPr="00FE6318">
        <w:rPr>
          <w:rFonts w:cs="Calibri"/>
          <w:sz w:val="28"/>
          <w:szCs w:val="28"/>
          <w:lang w:eastAsia="ar-SA"/>
        </w:rPr>
        <w:t>, т. к. оказывает значимое влияние на течение и исход основного патологического процесса (ОС)</w:t>
      </w:r>
      <w:r w:rsidRPr="00FE6318">
        <w:rPr>
          <w:rFonts w:cs="Calibri"/>
          <w:i/>
          <w:iCs/>
          <w:sz w:val="28"/>
          <w:szCs w:val="28"/>
          <w:lang w:eastAsia="ar-SA"/>
        </w:rPr>
        <w:t>.</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Полученные результаты настоящего исследования определяют необходимость разработки соответствующих диагностических и лечебных алгоритмов.</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lastRenderedPageBreak/>
        <w:t>Одними из наиболее распространенных алгоритмов диагностики одонтогенного сепсиса являются критерии Американского колледжа пульмонологов и Общества специалистов критической медицин</w:t>
      </w:r>
      <w:r>
        <w:rPr>
          <w:rFonts w:cs="Calibri"/>
          <w:sz w:val="28"/>
          <w:szCs w:val="28"/>
          <w:lang w:eastAsia="ar-SA"/>
        </w:rPr>
        <w:t>ы ACCP/SCCM, 1992 г. (Громов А.Л., 2011; Харитонов Ю.М., 2011; Bone R.C., 1992)</w:t>
      </w:r>
      <w:r w:rsidRPr="00FE6318">
        <w:rPr>
          <w:rFonts w:cs="Calibri"/>
          <w:sz w:val="28"/>
          <w:szCs w:val="28"/>
          <w:lang w:eastAsia="ar-SA"/>
        </w:rPr>
        <w:t>, основанные на определении синдрома системной воспалительной реакции (ССВР/SIRS), алгоритм диагностики сепсиса «Сепсис-3», основанный на использовании системы оценки тяжести полиорганной недост</w:t>
      </w:r>
      <w:r>
        <w:rPr>
          <w:rFonts w:cs="Calibri"/>
          <w:sz w:val="28"/>
          <w:szCs w:val="28"/>
          <w:lang w:eastAsia="ar-SA"/>
        </w:rPr>
        <w:t>аточности SOFA (Singer M. et al., 2016)</w:t>
      </w:r>
      <w:r w:rsidRPr="00FE6318">
        <w:rPr>
          <w:rFonts w:cs="Calibri"/>
          <w:sz w:val="28"/>
          <w:szCs w:val="28"/>
          <w:lang w:eastAsia="ar-SA"/>
        </w:rPr>
        <w:t>, унифицированная программа ранней диа</w:t>
      </w:r>
      <w:r>
        <w:rPr>
          <w:rFonts w:cs="Calibri"/>
          <w:sz w:val="28"/>
          <w:szCs w:val="28"/>
          <w:lang w:eastAsia="ar-SA"/>
        </w:rPr>
        <w:t>гностики одонтогенного сепсиса (</w:t>
      </w:r>
      <w:r w:rsidRPr="00FE6318">
        <w:rPr>
          <w:rFonts w:cs="Calibri"/>
          <w:sz w:val="28"/>
          <w:szCs w:val="28"/>
          <w:lang w:eastAsia="ar-SA"/>
        </w:rPr>
        <w:t>Губин М</w:t>
      </w:r>
      <w:r>
        <w:rPr>
          <w:rFonts w:cs="Calibri"/>
          <w:sz w:val="28"/>
          <w:szCs w:val="28"/>
          <w:lang w:eastAsia="ar-SA"/>
        </w:rPr>
        <w:t>.А., 2003)</w:t>
      </w:r>
      <w:r w:rsidRPr="00FE6318">
        <w:rPr>
          <w:rFonts w:cs="Calibri"/>
          <w:sz w:val="28"/>
          <w:szCs w:val="28"/>
          <w:lang w:eastAsia="ar-SA"/>
        </w:rPr>
        <w:t xml:space="preserve">. Выполнена оценка эффективности вышеобозначенных алгоритмов и унифицированной программы. Критериями оценки являются чувствительность, специфичность, точность, прогностичность положительного и отрицательного результатов (Se, Sp, Ac, PPV, NPV). Наиболее эффективной дифференциально-диагностической шкалой для определения признаков одонтогенного сепсиса является шкала SOFA. Чувствительность SOFA достигает 100% при достаточно высокой специфичности (86,7%), точности, прогностичности положительного и отрицательного результатов. Скрининговая шкала qSOFA характеризуется низкой чувствительностью (5%) и высокой специфичностью </w:t>
      </w:r>
      <w:r>
        <w:rPr>
          <w:rFonts w:cs="Calibri"/>
          <w:sz w:val="28"/>
          <w:szCs w:val="28"/>
          <w:lang w:eastAsia="ar-SA"/>
        </w:rPr>
        <w:t xml:space="preserve">по </w:t>
      </w:r>
      <w:r w:rsidRPr="00FE6318">
        <w:rPr>
          <w:rFonts w:cs="Calibri"/>
          <w:sz w:val="28"/>
          <w:szCs w:val="28"/>
          <w:lang w:eastAsia="ar-SA"/>
        </w:rPr>
        <w:t xml:space="preserve">отношению к признакам одонтогенного сепсиса (97,8%), а критерии ССВР – высокой чувствительностью (до 97,5%), причем чувствительность прогрессивно снижается от SIRS2 к SIRS4 одновременно с ростом специфичности. Специфичность унифицированной программы ранней диагностики </w:t>
      </w:r>
      <w:r>
        <w:rPr>
          <w:rFonts w:cs="Calibri"/>
          <w:sz w:val="28"/>
          <w:szCs w:val="28"/>
          <w:lang w:eastAsia="ar-SA"/>
        </w:rPr>
        <w:t>одонтогенного сепсиса (Губин М.А., 2003)</w:t>
      </w:r>
      <w:r w:rsidRPr="00FE6318">
        <w:rPr>
          <w:rFonts w:cs="Calibri"/>
          <w:sz w:val="28"/>
          <w:szCs w:val="28"/>
          <w:lang w:eastAsia="ar-SA"/>
        </w:rPr>
        <w:t xml:space="preserve"> высокая (97,8%), чувствительность – 42,5%.</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Следовательно, наиболее эффективной дифференциально-диагностической шкалой для определения признаков одонтогенного сепсиса является шкала </w:t>
      </w:r>
      <w:r w:rsidRPr="00FE6318">
        <w:rPr>
          <w:rFonts w:cs="Calibri"/>
          <w:sz w:val="28"/>
          <w:szCs w:val="28"/>
          <w:lang w:val="en-US" w:eastAsia="ar-SA"/>
        </w:rPr>
        <w:t>SOFA</w:t>
      </w:r>
      <w:r w:rsidRPr="00FE6318">
        <w:rPr>
          <w:rFonts w:cs="Calibri"/>
          <w:sz w:val="28"/>
          <w:szCs w:val="28"/>
          <w:lang w:eastAsia="ar-SA"/>
        </w:rPr>
        <w:t>.</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Ориентируясь на результаты данного исследования, решено не использовать скрининговую шкалу </w:t>
      </w:r>
      <w:r w:rsidRPr="00FE6318">
        <w:rPr>
          <w:rFonts w:cs="Calibri"/>
          <w:sz w:val="28"/>
          <w:szCs w:val="28"/>
          <w:lang w:val="en-US" w:eastAsia="ar-SA"/>
        </w:rPr>
        <w:t>qSOFA</w:t>
      </w:r>
      <w:r w:rsidRPr="00FE6318">
        <w:rPr>
          <w:rFonts w:cs="Calibri"/>
          <w:sz w:val="28"/>
          <w:szCs w:val="28"/>
          <w:lang w:eastAsia="ar-SA"/>
        </w:rPr>
        <w:t xml:space="preserve">, а в качестве метода раннего диагностики ОС применить набор критериев шкалы </w:t>
      </w:r>
      <w:r w:rsidRPr="00FE6318">
        <w:rPr>
          <w:rFonts w:cs="Calibri"/>
          <w:sz w:val="28"/>
          <w:szCs w:val="28"/>
          <w:lang w:val="en-US" w:eastAsia="ar-SA"/>
        </w:rPr>
        <w:t>SOFA</w:t>
      </w:r>
      <w:r w:rsidRPr="00FE6318">
        <w:rPr>
          <w:rFonts w:cs="Calibri"/>
          <w:sz w:val="28"/>
          <w:szCs w:val="28"/>
          <w:lang w:eastAsia="ar-SA"/>
        </w:rPr>
        <w:t xml:space="preserve">, из которых предлагается исключить определение газового состава артериальной крови (модифицированная </w:t>
      </w:r>
      <w:r w:rsidRPr="00FE6318">
        <w:rPr>
          <w:rFonts w:cs="Calibri"/>
          <w:sz w:val="28"/>
          <w:szCs w:val="28"/>
          <w:lang w:val="en-US" w:eastAsia="ar-SA"/>
        </w:rPr>
        <w:t>SOFA</w:t>
      </w:r>
      <w:r w:rsidRPr="00FE6318">
        <w:rPr>
          <w:rFonts w:cs="Calibri"/>
          <w:sz w:val="28"/>
          <w:szCs w:val="28"/>
          <w:lang w:eastAsia="ar-SA"/>
        </w:rPr>
        <w:t xml:space="preserve">). Модифицированная шкала </w:t>
      </w:r>
      <w:r w:rsidRPr="00FE6318">
        <w:rPr>
          <w:rFonts w:cs="Calibri"/>
          <w:sz w:val="28"/>
          <w:szCs w:val="28"/>
          <w:lang w:val="en-US" w:eastAsia="ar-SA"/>
        </w:rPr>
        <w:t>SOFA</w:t>
      </w:r>
      <w:r w:rsidRPr="00FE6318">
        <w:rPr>
          <w:rFonts w:cs="Calibri"/>
          <w:sz w:val="28"/>
          <w:szCs w:val="28"/>
          <w:lang w:eastAsia="ar-SA"/>
        </w:rPr>
        <w:t xml:space="preserve"> (без определения газов крови) обладает средним уровнем чувствительности (</w:t>
      </w:r>
      <w:r w:rsidRPr="00FE6318">
        <w:rPr>
          <w:rFonts w:cs="Calibri"/>
          <w:sz w:val="28"/>
          <w:szCs w:val="28"/>
          <w:lang w:val="en-US" w:eastAsia="ar-SA"/>
        </w:rPr>
        <w:t>Se</w:t>
      </w:r>
      <w:r w:rsidRPr="00FE6318">
        <w:rPr>
          <w:rFonts w:cs="Calibri"/>
          <w:sz w:val="28"/>
          <w:szCs w:val="28"/>
          <w:lang w:eastAsia="ar-SA"/>
        </w:rPr>
        <w:t>), достаточно высокой специфичностью и точно</w:t>
      </w:r>
      <w:r w:rsidRPr="00FE6318">
        <w:rPr>
          <w:rFonts w:cs="Calibri"/>
          <w:sz w:val="28"/>
          <w:szCs w:val="28"/>
          <w:lang w:eastAsia="ar-SA"/>
        </w:rPr>
        <w:lastRenderedPageBreak/>
        <w:t>стью (</w:t>
      </w:r>
      <w:r w:rsidRPr="00FE6318">
        <w:rPr>
          <w:rFonts w:cs="Calibri"/>
          <w:sz w:val="28"/>
          <w:szCs w:val="28"/>
          <w:lang w:val="en-US" w:eastAsia="ar-SA"/>
        </w:rPr>
        <w:t>Sp</w:t>
      </w:r>
      <w:r w:rsidRPr="00FE6318">
        <w:rPr>
          <w:rFonts w:cs="Calibri"/>
          <w:sz w:val="28"/>
          <w:szCs w:val="28"/>
          <w:lang w:eastAsia="ar-SA"/>
        </w:rPr>
        <w:t xml:space="preserve">, Ас). Кроме того, с целью увеличения эффективности вышеобозначенной методики в качестве дополнения к модифицированной шкале </w:t>
      </w:r>
      <w:r w:rsidRPr="00FE6318">
        <w:rPr>
          <w:rFonts w:cs="Calibri"/>
          <w:sz w:val="28"/>
          <w:szCs w:val="28"/>
          <w:lang w:val="en-US" w:eastAsia="ar-SA"/>
        </w:rPr>
        <w:t>SOFA</w:t>
      </w:r>
      <w:r w:rsidRPr="00FE6318">
        <w:rPr>
          <w:rFonts w:cs="Calibri"/>
          <w:sz w:val="28"/>
          <w:szCs w:val="28"/>
          <w:lang w:eastAsia="ar-SA"/>
        </w:rPr>
        <w:t xml:space="preserve"> решено использовать 2 критерия: определение наличия некротизирующего компонента и определение количества вовлеченных в воспалительный процесс клетчаточных пространств. В результате разработан модифицированный скрининговый алгоритм диагностики одонтогенного сепсиса. Чувствительность разработанного скрини</w:t>
      </w:r>
      <w:r>
        <w:rPr>
          <w:rFonts w:cs="Calibri"/>
          <w:sz w:val="28"/>
          <w:szCs w:val="28"/>
          <w:lang w:eastAsia="ar-SA"/>
        </w:rPr>
        <w:t>н</w:t>
      </w:r>
      <w:r w:rsidRPr="00FE6318">
        <w:rPr>
          <w:rFonts w:cs="Calibri"/>
          <w:sz w:val="28"/>
          <w:szCs w:val="28"/>
          <w:lang w:eastAsia="ar-SA"/>
        </w:rPr>
        <w:t>гового алгоритма достигает 97,5%, а точность превышает 84%.</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При наличии высокой вероятности развития сепсиса, выполняется дальнейшее детализированном обследовании с применением дифференциально-диагностической шкалы </w:t>
      </w:r>
      <w:r w:rsidRPr="00FE6318">
        <w:rPr>
          <w:rFonts w:cs="Calibri"/>
          <w:sz w:val="28"/>
          <w:szCs w:val="28"/>
          <w:lang w:val="en-US" w:eastAsia="ar-SA"/>
        </w:rPr>
        <w:t>SOFA</w:t>
      </w:r>
      <w:r w:rsidRPr="00FE6318">
        <w:rPr>
          <w:rFonts w:cs="Calibri"/>
          <w:sz w:val="28"/>
          <w:szCs w:val="28"/>
          <w:lang w:eastAsia="ar-SA"/>
        </w:rPr>
        <w:t>, в т. ч. взятие артериальной крови и определение парциального давления кислорода (</w:t>
      </w:r>
      <w:r w:rsidRPr="00FE6318">
        <w:rPr>
          <w:rFonts w:cs="Calibri"/>
          <w:sz w:val="28"/>
          <w:szCs w:val="28"/>
          <w:lang w:val="en-US" w:eastAsia="ar-SA"/>
        </w:rPr>
        <w:t>PaO</w:t>
      </w:r>
      <w:r w:rsidRPr="00FE6318">
        <w:rPr>
          <w:rFonts w:cs="Calibri"/>
          <w:sz w:val="28"/>
          <w:szCs w:val="28"/>
          <w:vertAlign w:val="subscript"/>
          <w:lang w:eastAsia="ar-SA"/>
        </w:rPr>
        <w:t>2</w:t>
      </w:r>
      <w:r w:rsidRPr="00FE6318">
        <w:rPr>
          <w:rFonts w:cs="Calibri"/>
          <w:sz w:val="28"/>
          <w:szCs w:val="28"/>
          <w:lang w:eastAsia="ar-SA"/>
        </w:rPr>
        <w:t>), определяется респираторный индекс (</w:t>
      </w:r>
      <w:r w:rsidRPr="00FE6318">
        <w:rPr>
          <w:rFonts w:cs="Calibri"/>
          <w:sz w:val="28"/>
          <w:szCs w:val="28"/>
          <w:lang w:val="en-US" w:eastAsia="ar-SA"/>
        </w:rPr>
        <w:t>PaO</w:t>
      </w:r>
      <w:r w:rsidRPr="00FE6318">
        <w:rPr>
          <w:rFonts w:cs="Calibri"/>
          <w:sz w:val="28"/>
          <w:szCs w:val="28"/>
          <w:vertAlign w:val="subscript"/>
          <w:lang w:eastAsia="ar-SA"/>
        </w:rPr>
        <w:t>2</w:t>
      </w:r>
      <w:r w:rsidRPr="00FE6318">
        <w:rPr>
          <w:rFonts w:cs="Calibri"/>
          <w:sz w:val="28"/>
          <w:szCs w:val="28"/>
          <w:lang w:eastAsia="ar-SA"/>
        </w:rPr>
        <w:t>/</w:t>
      </w:r>
      <w:r w:rsidRPr="00FE6318">
        <w:rPr>
          <w:rFonts w:cs="Calibri"/>
          <w:sz w:val="28"/>
          <w:szCs w:val="28"/>
          <w:lang w:val="en-US" w:eastAsia="ar-SA"/>
        </w:rPr>
        <w:t>FiO</w:t>
      </w:r>
      <w:r w:rsidRPr="00FE6318">
        <w:rPr>
          <w:rFonts w:cs="Calibri"/>
          <w:sz w:val="28"/>
          <w:szCs w:val="28"/>
          <w:vertAlign w:val="subscript"/>
          <w:lang w:eastAsia="ar-SA"/>
        </w:rPr>
        <w:t>2</w:t>
      </w:r>
      <w:r w:rsidRPr="00FE6318">
        <w:rPr>
          <w:rFonts w:cs="Calibri"/>
          <w:sz w:val="28"/>
          <w:szCs w:val="28"/>
          <w:lang w:eastAsia="ar-SA"/>
        </w:rPr>
        <w:t>).</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Следующий этап диагностического поиска включает диагностику хронической патологии внутренних органов (ХП).</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У пациентов с ОС ХП внутренних органов, в т. ч. </w:t>
      </w:r>
      <w:r w:rsidRPr="00FE6318">
        <w:rPr>
          <w:rFonts w:cs="Calibri"/>
          <w:i/>
          <w:sz w:val="28"/>
          <w:szCs w:val="28"/>
          <w:lang w:eastAsia="ar-SA"/>
        </w:rPr>
        <w:t>полиорганная полиморбидная</w:t>
      </w:r>
      <w:r w:rsidRPr="00FE6318">
        <w:rPr>
          <w:rFonts w:cs="Calibri"/>
          <w:sz w:val="28"/>
          <w:szCs w:val="28"/>
          <w:lang w:eastAsia="ar-SA"/>
        </w:rPr>
        <w:t xml:space="preserve"> ХП (за исключением некоторых форм ХП в состоянии ремиссии) является </w:t>
      </w:r>
      <w:r w:rsidRPr="00FE6318">
        <w:rPr>
          <w:rFonts w:cs="Calibri"/>
          <w:i/>
          <w:sz w:val="28"/>
          <w:szCs w:val="28"/>
          <w:lang w:eastAsia="ar-SA"/>
        </w:rPr>
        <w:t xml:space="preserve">фоновой, </w:t>
      </w:r>
      <w:r w:rsidRPr="00FE6318">
        <w:rPr>
          <w:rFonts w:cs="Calibri"/>
          <w:sz w:val="28"/>
          <w:szCs w:val="28"/>
          <w:lang w:eastAsia="ar-SA"/>
        </w:rPr>
        <w:t xml:space="preserve">то есть оказывающей </w:t>
      </w:r>
      <w:r w:rsidRPr="00FE6318">
        <w:rPr>
          <w:rFonts w:cs="Calibri"/>
          <w:i/>
          <w:sz w:val="28"/>
          <w:szCs w:val="28"/>
          <w:lang w:eastAsia="ar-SA"/>
        </w:rPr>
        <w:t>существенное</w:t>
      </w:r>
      <w:r w:rsidRPr="00FE6318">
        <w:rPr>
          <w:rFonts w:cs="Calibri"/>
          <w:sz w:val="28"/>
          <w:szCs w:val="28"/>
          <w:lang w:eastAsia="ar-SA"/>
        </w:rPr>
        <w:t xml:space="preserve"> влияние на течение и исход основного заболевания.</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У пациентов с МФОИ </w:t>
      </w:r>
      <w:r w:rsidRPr="00FE6318">
        <w:rPr>
          <w:rFonts w:cs="Calibri"/>
          <w:i/>
          <w:sz w:val="28"/>
          <w:szCs w:val="28"/>
          <w:lang w:eastAsia="ar-SA"/>
        </w:rPr>
        <w:t>фоновой</w:t>
      </w:r>
      <w:r w:rsidRPr="00FE6318">
        <w:rPr>
          <w:rFonts w:cs="Calibri"/>
          <w:sz w:val="28"/>
          <w:szCs w:val="28"/>
          <w:lang w:eastAsia="ar-SA"/>
        </w:rPr>
        <w:t xml:space="preserve"> патологией является </w:t>
      </w:r>
      <w:r w:rsidRPr="00FE6318">
        <w:rPr>
          <w:rFonts w:cs="Calibri"/>
          <w:i/>
          <w:sz w:val="28"/>
          <w:szCs w:val="28"/>
          <w:lang w:eastAsia="ar-SA"/>
        </w:rPr>
        <w:t>полиорганная полиморбидная</w:t>
      </w:r>
      <w:r w:rsidRPr="00FE6318">
        <w:rPr>
          <w:rFonts w:cs="Calibri"/>
          <w:sz w:val="28"/>
          <w:szCs w:val="28"/>
          <w:lang w:eastAsia="ar-SA"/>
        </w:rPr>
        <w:t xml:space="preserve"> ХП при наличии сахарного диабета и/или ХП сердечно-сосудистой системы, а </w:t>
      </w:r>
      <w:r>
        <w:rPr>
          <w:rFonts w:cs="Calibri"/>
          <w:sz w:val="28"/>
          <w:szCs w:val="28"/>
          <w:lang w:eastAsia="ar-SA"/>
        </w:rPr>
        <w:t>также</w:t>
      </w:r>
      <w:r w:rsidRPr="00FE6318">
        <w:rPr>
          <w:rFonts w:cs="Calibri"/>
          <w:i/>
          <w:sz w:val="28"/>
          <w:szCs w:val="28"/>
          <w:lang w:eastAsia="ar-SA"/>
        </w:rPr>
        <w:t xml:space="preserve">вне зависимости от наличия полиморбидности – </w:t>
      </w:r>
      <w:r w:rsidRPr="00FE6318">
        <w:rPr>
          <w:rFonts w:cs="Calibri"/>
          <w:sz w:val="28"/>
          <w:szCs w:val="28"/>
          <w:lang w:eastAsia="ar-SA"/>
        </w:rPr>
        <w:t xml:space="preserve">сахарный диабет и ХП сердечно-сосудистой системы в сочетании с ХСН </w:t>
      </w:r>
      <w:r w:rsidRPr="00FE6318">
        <w:rPr>
          <w:rFonts w:cs="Calibri"/>
          <w:sz w:val="28"/>
          <w:szCs w:val="28"/>
          <w:lang w:val="en-US" w:eastAsia="ar-SA"/>
        </w:rPr>
        <w:t>III</w:t>
      </w:r>
      <w:r w:rsidRPr="00FE6318">
        <w:rPr>
          <w:rFonts w:cs="Calibri"/>
          <w:sz w:val="28"/>
          <w:szCs w:val="28"/>
          <w:lang w:eastAsia="ar-SA"/>
        </w:rPr>
        <w:t xml:space="preserve"> функционального класса.</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Иные нозологические формы ХП, не являющиеся </w:t>
      </w:r>
      <w:r w:rsidRPr="00FE6318">
        <w:rPr>
          <w:rFonts w:cs="Calibri"/>
          <w:i/>
          <w:sz w:val="28"/>
          <w:szCs w:val="28"/>
          <w:lang w:eastAsia="ar-SA"/>
        </w:rPr>
        <w:t>фоновыми</w:t>
      </w:r>
      <w:r w:rsidRPr="00FE6318">
        <w:rPr>
          <w:rFonts w:cs="Calibri"/>
          <w:sz w:val="28"/>
          <w:szCs w:val="28"/>
          <w:lang w:eastAsia="ar-SA"/>
        </w:rPr>
        <w:t xml:space="preserve"> у пациентов с МФОИ (заболевания сердечно-сосудистой системы с ХСН </w:t>
      </w:r>
      <w:r w:rsidRPr="00FE6318">
        <w:rPr>
          <w:rFonts w:cs="Calibri"/>
          <w:sz w:val="28"/>
          <w:szCs w:val="28"/>
          <w:lang w:val="en-US" w:eastAsia="ar-SA"/>
        </w:rPr>
        <w:t>I</w:t>
      </w:r>
      <w:r w:rsidRPr="00FE6318">
        <w:rPr>
          <w:rFonts w:cs="Calibri"/>
          <w:sz w:val="28"/>
          <w:szCs w:val="28"/>
          <w:lang w:eastAsia="ar-SA"/>
        </w:rPr>
        <w:t>-</w:t>
      </w:r>
      <w:r w:rsidRPr="00FE6318">
        <w:rPr>
          <w:rFonts w:cs="Calibri"/>
          <w:sz w:val="28"/>
          <w:szCs w:val="28"/>
          <w:lang w:val="en-US" w:eastAsia="ar-SA"/>
        </w:rPr>
        <w:t>II</w:t>
      </w:r>
      <w:r w:rsidRPr="00FE6318">
        <w:rPr>
          <w:rFonts w:cs="Calibri"/>
          <w:sz w:val="28"/>
          <w:szCs w:val="28"/>
          <w:lang w:eastAsia="ar-SA"/>
        </w:rPr>
        <w:t xml:space="preserve"> ФК или без ХСН, патология органов дыхания, мочевыделительной, пищеварительной систем, печени), могут быть отнесены к сопутствующей/конкурирующей ХП.</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Руководствуясь вышеобозначенными положениями, пациент, поступивший в приемное отделение стационара, осматривается профильным специалистом с установлением соответствующего диагноза ХП и назначением рекомендаций по диагностике и лечению ХП.</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lastRenderedPageBreak/>
        <w:t>Учитывая вышеобозначенное, разработан алгоритм комплексного обследования пациентов с хирургическими осложнениями одонтогенной инфекции с учетом полиорганной фоновой патологии и синдрома взаимного отягощения. Чувствительность разработанного алгоритма составляет 100% при специфичности 84,4% и точности 91,8%.</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Разработана программа комплексного многокомпонентного лечения пациентов с МФОИ и ОС, включающая предоперационную подготовку, оперативное лечение, рациональную антибиотикотерапию, коррекцию показателей гомеостаза, терапию фоновых заболеваний внутренних органов.</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Предоперационная подготовка включает устранение гиповолемии и анемии, электролитных нарушений, обезболивание, проведение антибиотикотерапии, коррекция хронической соматической патологии, инотропная, вазопрессорная и респираторная поддержка по показаниям. Основным методом устранения гиповолемии является проведение инфузионной терапии под контролем основных показателей гемодинамики. При наличии МФОИ выполняется инфузия кристаллоидных растворов (изотонический, раствор Рингера, Рингера лактат, стереофундин, ионостерил и др.) как правило, в объеме около 20 мл/кг веса больного. Объем необходимой инфузии у пациентов с ОС составляет не менее 30 мл/кг под контролем показателей гемодинамики, диуреза и др., а </w:t>
      </w:r>
      <w:r>
        <w:rPr>
          <w:rFonts w:cs="Calibri"/>
          <w:sz w:val="28"/>
          <w:szCs w:val="28"/>
          <w:lang w:eastAsia="ar-SA"/>
        </w:rPr>
        <w:t>также</w:t>
      </w:r>
      <w:r w:rsidRPr="00FE6318">
        <w:rPr>
          <w:rFonts w:cs="Calibri"/>
          <w:sz w:val="28"/>
          <w:szCs w:val="28"/>
          <w:lang w:eastAsia="ar-SA"/>
        </w:rPr>
        <w:t xml:space="preserve"> с учетом наличия фоновой патологии </w:t>
      </w:r>
      <w:r>
        <w:rPr>
          <w:rFonts w:cs="Calibri"/>
          <w:sz w:val="28"/>
          <w:szCs w:val="28"/>
          <w:lang w:eastAsia="ar-SA"/>
        </w:rPr>
        <w:t>(</w:t>
      </w:r>
      <w:r w:rsidRPr="00FE6318">
        <w:rPr>
          <w:rFonts w:cs="Calibri"/>
          <w:sz w:val="28"/>
          <w:szCs w:val="28"/>
          <w:shd w:val="clear" w:color="auto" w:fill="FFFFFF"/>
          <w:lang w:val="en-US" w:eastAsia="ar-SA"/>
        </w:rPr>
        <w:t>Rhodes</w:t>
      </w:r>
      <w:r>
        <w:rPr>
          <w:rFonts w:cs="Calibri"/>
          <w:sz w:val="28"/>
          <w:szCs w:val="28"/>
          <w:shd w:val="clear" w:color="auto" w:fill="FFFFFF"/>
          <w:lang w:eastAsia="ar-SA"/>
        </w:rPr>
        <w:t xml:space="preserve"> </w:t>
      </w:r>
      <w:r w:rsidRPr="00FE6318">
        <w:rPr>
          <w:rFonts w:cs="Calibri"/>
          <w:sz w:val="28"/>
          <w:szCs w:val="28"/>
          <w:shd w:val="clear" w:color="auto" w:fill="FFFFFF"/>
          <w:lang w:val="en-US" w:eastAsia="ar-SA"/>
        </w:rPr>
        <w:t>A</w:t>
      </w:r>
      <w:r w:rsidRPr="00FE6318">
        <w:rPr>
          <w:rFonts w:cs="Calibri"/>
          <w:sz w:val="28"/>
          <w:szCs w:val="28"/>
          <w:shd w:val="clear" w:color="auto" w:fill="FFFFFF"/>
          <w:lang w:eastAsia="ar-SA"/>
        </w:rPr>
        <w:t xml:space="preserve">. </w:t>
      </w:r>
      <w:r w:rsidRPr="00FE6318">
        <w:rPr>
          <w:rFonts w:cs="Calibri"/>
          <w:sz w:val="28"/>
          <w:szCs w:val="28"/>
          <w:shd w:val="clear" w:color="auto" w:fill="FFFFFF"/>
          <w:lang w:val="en-US" w:eastAsia="ar-SA"/>
        </w:rPr>
        <w:t>et</w:t>
      </w:r>
      <w:r>
        <w:rPr>
          <w:rFonts w:cs="Calibri"/>
          <w:sz w:val="28"/>
          <w:szCs w:val="28"/>
          <w:shd w:val="clear" w:color="auto" w:fill="FFFFFF"/>
          <w:lang w:eastAsia="ar-SA"/>
        </w:rPr>
        <w:t xml:space="preserve"> </w:t>
      </w:r>
      <w:r w:rsidRPr="00FE6318">
        <w:rPr>
          <w:rFonts w:cs="Calibri"/>
          <w:sz w:val="28"/>
          <w:szCs w:val="28"/>
          <w:shd w:val="clear" w:color="auto" w:fill="FFFFFF"/>
          <w:lang w:val="en-US" w:eastAsia="ar-SA"/>
        </w:rPr>
        <w:t>al</w:t>
      </w:r>
      <w:r w:rsidRPr="00FE6318">
        <w:rPr>
          <w:rFonts w:cs="Calibri"/>
          <w:sz w:val="28"/>
          <w:szCs w:val="28"/>
          <w:shd w:val="clear" w:color="auto" w:fill="FFFFFF"/>
          <w:lang w:eastAsia="ar-SA"/>
        </w:rPr>
        <w:t>., 2017</w:t>
      </w:r>
      <w:r>
        <w:rPr>
          <w:rFonts w:cs="Calibri"/>
          <w:sz w:val="28"/>
          <w:szCs w:val="28"/>
          <w:lang w:eastAsia="ar-SA"/>
        </w:rPr>
        <w:t>)</w:t>
      </w:r>
      <w:r w:rsidRPr="00FE6318">
        <w:rPr>
          <w:rFonts w:cs="Calibri"/>
          <w:sz w:val="28"/>
          <w:szCs w:val="28"/>
          <w:lang w:eastAsia="ar-SA"/>
        </w:rPr>
        <w:t>. По показаниям, определяемым реаниматологом, возможно использование вазопрессоров, респираторной поддержки (в том числе ИВЛ), стимуляции диуреза, проведение иных мероприятий интенсивной терапии (коррекция анемии, плазмогемотрансфузия, и др.).</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В предоперационном периоде у пациентов с МФОИ осуществляется эмпирическая антибиотикотерапия ингибиторзащищенными пенициллинами (амоксициллин/клавуланат, ампициллин/сульбактам), цефалоспоринами </w:t>
      </w:r>
      <w:r w:rsidRPr="00FE6318">
        <w:rPr>
          <w:rFonts w:cs="Calibri"/>
          <w:sz w:val="28"/>
          <w:szCs w:val="28"/>
          <w:lang w:val="en-US" w:eastAsia="ar-SA"/>
        </w:rPr>
        <w:t>I</w:t>
      </w:r>
      <w:r w:rsidRPr="00FE6318">
        <w:rPr>
          <w:rFonts w:cs="Calibri"/>
          <w:sz w:val="28"/>
          <w:szCs w:val="28"/>
          <w:lang w:eastAsia="ar-SA"/>
        </w:rPr>
        <w:t>–</w:t>
      </w:r>
      <w:r w:rsidRPr="00FE6318">
        <w:rPr>
          <w:rFonts w:cs="Calibri"/>
          <w:sz w:val="28"/>
          <w:szCs w:val="28"/>
          <w:lang w:val="en-US" w:eastAsia="ar-SA"/>
        </w:rPr>
        <w:t>III</w:t>
      </w:r>
      <w:r w:rsidRPr="00FE6318">
        <w:rPr>
          <w:rFonts w:cs="Calibri"/>
          <w:sz w:val="28"/>
          <w:szCs w:val="28"/>
          <w:lang w:eastAsia="ar-SA"/>
        </w:rPr>
        <w:t xml:space="preserve"> поколений (в т. ч. цефазолином), фторхинолонами </w:t>
      </w:r>
      <w:r w:rsidRPr="00FE6318">
        <w:rPr>
          <w:rFonts w:cs="Calibri"/>
          <w:sz w:val="28"/>
          <w:szCs w:val="28"/>
          <w:lang w:val="en-US" w:eastAsia="ar-SA"/>
        </w:rPr>
        <w:t>II</w:t>
      </w:r>
      <w:r w:rsidRPr="00FE6318">
        <w:rPr>
          <w:rFonts w:cs="Calibri"/>
          <w:sz w:val="28"/>
          <w:szCs w:val="28"/>
          <w:lang w:eastAsia="ar-SA"/>
        </w:rPr>
        <w:t>-</w:t>
      </w:r>
      <w:r w:rsidRPr="00FE6318">
        <w:rPr>
          <w:rFonts w:cs="Calibri"/>
          <w:sz w:val="28"/>
          <w:szCs w:val="28"/>
          <w:lang w:val="en-US" w:eastAsia="ar-SA"/>
        </w:rPr>
        <w:t>III</w:t>
      </w:r>
      <w:r w:rsidRPr="00FE6318">
        <w:rPr>
          <w:rFonts w:cs="Calibri"/>
          <w:sz w:val="28"/>
          <w:szCs w:val="28"/>
          <w:lang w:eastAsia="ar-SA"/>
        </w:rPr>
        <w:t xml:space="preserve"> поколений (ципрофлоксацин, офлоксацин, левофлоксацин) в сочетании с метрогилом/клиндамицином. Предоперационная и последующая эмпирическая антибактериальная терапия у пациентов с ОС включает ингибиторзащищенные пенициллины (амоксициллин/клавуланат, ампи</w:t>
      </w:r>
      <w:r w:rsidRPr="00FE6318">
        <w:rPr>
          <w:rFonts w:cs="Calibri"/>
          <w:sz w:val="28"/>
          <w:szCs w:val="28"/>
          <w:lang w:eastAsia="ar-SA"/>
        </w:rPr>
        <w:lastRenderedPageBreak/>
        <w:t xml:space="preserve">циллин/сульбактам и др.), цефалоспорины </w:t>
      </w:r>
      <w:r w:rsidRPr="00FE6318">
        <w:rPr>
          <w:rFonts w:cs="Calibri"/>
          <w:sz w:val="28"/>
          <w:szCs w:val="28"/>
          <w:lang w:val="en-US" w:eastAsia="ar-SA"/>
        </w:rPr>
        <w:t>III</w:t>
      </w:r>
      <w:r w:rsidRPr="00FE6318">
        <w:rPr>
          <w:rFonts w:cs="Calibri"/>
          <w:sz w:val="28"/>
          <w:szCs w:val="28"/>
          <w:lang w:eastAsia="ar-SA"/>
        </w:rPr>
        <w:t xml:space="preserve"> (антистрептококковые – цефтриаксон, цефотаксим, с антисинегнойной активностью – цефтазидим, цефоперазон, в т. ч. ингибиторзащищенные), цефалоспорины </w:t>
      </w:r>
      <w:r w:rsidRPr="00FE6318">
        <w:rPr>
          <w:rFonts w:cs="Calibri"/>
          <w:sz w:val="28"/>
          <w:szCs w:val="28"/>
          <w:lang w:val="en-US" w:eastAsia="ar-SA"/>
        </w:rPr>
        <w:t>IV</w:t>
      </w:r>
      <w:r w:rsidRPr="00FE6318">
        <w:rPr>
          <w:rFonts w:cs="Calibri"/>
          <w:sz w:val="28"/>
          <w:szCs w:val="28"/>
          <w:lang w:eastAsia="ar-SA"/>
        </w:rPr>
        <w:t xml:space="preserve"> поколения, фторхинолоны </w:t>
      </w:r>
      <w:r w:rsidRPr="00FE6318">
        <w:rPr>
          <w:rFonts w:cs="Calibri"/>
          <w:sz w:val="28"/>
          <w:szCs w:val="28"/>
          <w:lang w:val="en-US" w:eastAsia="ar-SA"/>
        </w:rPr>
        <w:t>II</w:t>
      </w:r>
      <w:r w:rsidRPr="00FE6318">
        <w:rPr>
          <w:rFonts w:cs="Calibri"/>
          <w:sz w:val="28"/>
          <w:szCs w:val="28"/>
          <w:lang w:eastAsia="ar-SA"/>
        </w:rPr>
        <w:t>–</w:t>
      </w:r>
      <w:r w:rsidRPr="00FE6318">
        <w:rPr>
          <w:rFonts w:cs="Calibri"/>
          <w:sz w:val="28"/>
          <w:szCs w:val="28"/>
          <w:lang w:val="en-US" w:eastAsia="ar-SA"/>
        </w:rPr>
        <w:t>IV</w:t>
      </w:r>
      <w:r>
        <w:rPr>
          <w:rFonts w:cs="Calibri"/>
          <w:sz w:val="28"/>
          <w:szCs w:val="28"/>
          <w:lang w:eastAsia="ar-SA"/>
        </w:rPr>
        <w:t xml:space="preserve"> поколений </w:t>
      </w:r>
      <w:r w:rsidRPr="00FE6318">
        <w:rPr>
          <w:rFonts w:cs="Calibri"/>
          <w:sz w:val="28"/>
          <w:szCs w:val="28"/>
          <w:lang w:eastAsia="ar-SA"/>
        </w:rPr>
        <w:t xml:space="preserve">в сочетании с метрогилом/клиндамицином. Возможно использование карбапенемов (эртапенем, меропенем), в том числе в комбинации с ванкомицином/линезолидом (при возможном наличии метициллин-резистентного </w:t>
      </w:r>
      <w:r w:rsidRPr="00FE6318">
        <w:rPr>
          <w:rFonts w:cs="Calibri"/>
          <w:sz w:val="28"/>
          <w:szCs w:val="28"/>
          <w:lang w:val="en-US" w:eastAsia="ar-SA"/>
        </w:rPr>
        <w:t>S</w:t>
      </w:r>
      <w:r w:rsidRPr="00FE6318">
        <w:rPr>
          <w:rFonts w:cs="Calibri"/>
          <w:sz w:val="28"/>
          <w:szCs w:val="28"/>
          <w:lang w:eastAsia="ar-SA"/>
        </w:rPr>
        <w:t xml:space="preserve">. </w:t>
      </w:r>
      <w:r w:rsidRPr="00FE6318">
        <w:rPr>
          <w:rFonts w:cs="Calibri"/>
          <w:sz w:val="28"/>
          <w:szCs w:val="28"/>
          <w:lang w:val="en-US" w:eastAsia="ar-SA"/>
        </w:rPr>
        <w:t>aureus</w:t>
      </w:r>
      <w:r w:rsidRPr="00FE6318">
        <w:rPr>
          <w:rFonts w:cs="Calibri"/>
          <w:sz w:val="28"/>
          <w:szCs w:val="28"/>
          <w:lang w:eastAsia="ar-SA"/>
        </w:rPr>
        <w:t xml:space="preserve">, например, при предшествующем лечении антибиотиками широкого спектра действия), тигециклина, фтрорхинолона </w:t>
      </w:r>
      <w:r w:rsidRPr="00FE6318">
        <w:rPr>
          <w:rFonts w:cs="Calibri"/>
          <w:sz w:val="28"/>
          <w:szCs w:val="28"/>
          <w:lang w:val="en-US" w:eastAsia="ar-SA"/>
        </w:rPr>
        <w:t>IV</w:t>
      </w:r>
      <w:r w:rsidRPr="00FE6318">
        <w:rPr>
          <w:rFonts w:cs="Calibri"/>
          <w:sz w:val="28"/>
          <w:szCs w:val="28"/>
          <w:lang w:eastAsia="ar-SA"/>
        </w:rPr>
        <w:t xml:space="preserve"> поколения моксифлоксацина. При наличии почечно-печеночной недостаточности следует учитывать токсическое действие препаратов (линкосамиды, ванкомицин) с заменой лекарственного средства или коррекцией дозировки.</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Особое внимание следует уделять контролю значений предоперационной (периоперационной) гликемии, в том числе при наличии сахарного диабета. Уровень периоперационной гликемии у пациентов с МФОИ и ОС необходимо корригировать инсулинами короткого действия в интервале 6,1–10 ммоль/л.</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Пациентам с ишемической болезнью сердца при отсутствии болевого синдрома и признаков острой ишемии миокарда, выраженной артериальной гипертензии или других неотложных состояний, в соответствии с клиническими рекомендациями </w:t>
      </w:r>
      <w:r>
        <w:rPr>
          <w:rFonts w:cs="Calibri"/>
          <w:sz w:val="28"/>
          <w:szCs w:val="28"/>
          <w:lang w:eastAsia="ar-SA"/>
        </w:rPr>
        <w:t>(</w:t>
      </w:r>
      <w:r>
        <w:rPr>
          <w:rFonts w:cs="Calibri"/>
          <w:sz w:val="28"/>
          <w:szCs w:val="28"/>
          <w:shd w:val="clear" w:color="auto" w:fill="FFFFFF"/>
          <w:lang w:eastAsia="ar-SA"/>
        </w:rPr>
        <w:t>Заболотских И.</w:t>
      </w:r>
      <w:r w:rsidRPr="00FE6318">
        <w:rPr>
          <w:rFonts w:cs="Calibri"/>
          <w:sz w:val="28"/>
          <w:szCs w:val="28"/>
          <w:shd w:val="clear" w:color="auto" w:fill="FFFFFF"/>
          <w:lang w:eastAsia="ar-SA"/>
        </w:rPr>
        <w:t>Б. и др., 2018, 2015</w:t>
      </w:r>
      <w:r>
        <w:rPr>
          <w:rFonts w:cs="Calibri"/>
          <w:sz w:val="28"/>
          <w:szCs w:val="28"/>
          <w:lang w:eastAsia="ar-SA"/>
        </w:rPr>
        <w:t>)</w:t>
      </w:r>
      <w:r w:rsidRPr="00FE6318">
        <w:rPr>
          <w:rFonts w:cs="Calibri"/>
          <w:sz w:val="28"/>
          <w:szCs w:val="28"/>
          <w:lang w:eastAsia="ar-SA"/>
        </w:rPr>
        <w:t>, специфической кардиологической терапии не проводится. После выполнения предоперационной антибиотикотерапии, введения анальгетиков, больные транспортируются в операционную.</w:t>
      </w:r>
    </w:p>
    <w:p w:rsidR="00286780" w:rsidRPr="00FE6318" w:rsidRDefault="00286780" w:rsidP="00FE6318">
      <w:pPr>
        <w:spacing w:line="360" w:lineRule="auto"/>
        <w:ind w:firstLine="709"/>
        <w:jc w:val="both"/>
        <w:rPr>
          <w:rFonts w:cs="Calibri"/>
          <w:spacing w:val="-4"/>
          <w:sz w:val="28"/>
          <w:szCs w:val="28"/>
          <w:lang w:eastAsia="ar-SA"/>
        </w:rPr>
      </w:pPr>
      <w:r w:rsidRPr="00FE6318">
        <w:rPr>
          <w:rFonts w:cs="Calibri"/>
          <w:spacing w:val="-4"/>
          <w:sz w:val="28"/>
          <w:szCs w:val="28"/>
          <w:lang w:eastAsia="ar-SA"/>
        </w:rPr>
        <w:t>Больным с артериальной гипертонией после соответствующих консультаций профильных специалистов (терапевт/кардиолог) выполняется предоперационный контроль уровней систолического и диастолического артериального давления (АД). Оптимальным периоперационным уровнем АД можно считать уровень систолического артериального давления не более 160 мм рт. ст., диастолического артериального давления – не менее 70 мм рт. ст. и не более 100 мм рт. ст., причем не следует допускать как резкого повышения АД более 180/120 мм рт. ст., что может приводить к поражению органов-мишеней (головной мозг, сердце, почки, кровеносные сосуды и др.), или гипертоническому кризу, так и резкого значительного снижения АД сред</w:t>
      </w:r>
      <w:r w:rsidRPr="00FE6318">
        <w:rPr>
          <w:rFonts w:cs="Calibri"/>
          <w:spacing w:val="-4"/>
          <w:sz w:val="28"/>
          <w:szCs w:val="28"/>
          <w:lang w:eastAsia="ar-SA"/>
        </w:rPr>
        <w:lastRenderedPageBreak/>
        <w:t xml:space="preserve">него более чем на 20%, что может привести к ишемии миокарда и другим значимым осложнениям </w:t>
      </w:r>
      <w:r>
        <w:rPr>
          <w:rFonts w:cs="Calibri"/>
          <w:spacing w:val="-4"/>
          <w:sz w:val="28"/>
          <w:szCs w:val="28"/>
          <w:lang w:eastAsia="ar-SA"/>
        </w:rPr>
        <w:t>(</w:t>
      </w:r>
      <w:r w:rsidRPr="00FE6318">
        <w:rPr>
          <w:rFonts w:cs="Calibri"/>
          <w:spacing w:val="-4"/>
          <w:sz w:val="28"/>
          <w:szCs w:val="28"/>
          <w:shd w:val="clear" w:color="auto" w:fill="FFFFFF"/>
          <w:lang w:eastAsia="ar-SA"/>
        </w:rPr>
        <w:t>Забол</w:t>
      </w:r>
      <w:r>
        <w:rPr>
          <w:rFonts w:cs="Calibri"/>
          <w:spacing w:val="-4"/>
          <w:sz w:val="28"/>
          <w:szCs w:val="28"/>
          <w:shd w:val="clear" w:color="auto" w:fill="FFFFFF"/>
          <w:lang w:eastAsia="ar-SA"/>
        </w:rPr>
        <w:t>отских И.</w:t>
      </w:r>
      <w:r w:rsidRPr="00FE6318">
        <w:rPr>
          <w:rFonts w:cs="Calibri"/>
          <w:spacing w:val="-4"/>
          <w:sz w:val="28"/>
          <w:szCs w:val="28"/>
          <w:shd w:val="clear" w:color="auto" w:fill="FFFFFF"/>
          <w:lang w:eastAsia="ar-SA"/>
        </w:rPr>
        <w:t>Б. и др., 2015</w:t>
      </w:r>
      <w:r>
        <w:rPr>
          <w:rFonts w:cs="Calibri"/>
          <w:spacing w:val="-4"/>
          <w:sz w:val="28"/>
          <w:szCs w:val="28"/>
          <w:lang w:eastAsia="ar-SA"/>
        </w:rPr>
        <w:t>)</w:t>
      </w:r>
      <w:r w:rsidRPr="00FE6318">
        <w:rPr>
          <w:rFonts w:cs="Calibri"/>
          <w:spacing w:val="-4"/>
          <w:sz w:val="28"/>
          <w:szCs w:val="28"/>
          <w:lang w:eastAsia="ar-SA"/>
        </w:rPr>
        <w:t>.</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При наличии хронической патологии органов дыхания (бронхиальная астма, ХОБЛ) и дыхательной недостаточности требуется тщательная предоперационная оценка с целью определения тяжести заболевания и применению соответствующего лечения. При астме или ХОБЛ необходима максимальная бронходилатирующая терапия, профилактика бронхоспазма (дополнительно – кортикостероиды от 1-2 до 4 мг/кг, </w:t>
      </w:r>
      <w:r w:rsidRPr="00FE6318">
        <w:rPr>
          <w:rFonts w:cs="Calibri"/>
          <w:spacing w:val="-4"/>
          <w:sz w:val="28"/>
          <w:szCs w:val="28"/>
          <w:lang w:eastAsia="ar-SA"/>
        </w:rPr>
        <w:t>возможно внутривенное введение лидокаина 1,5–2 мг/кг, не использоват</w:t>
      </w:r>
      <w:r>
        <w:rPr>
          <w:rFonts w:cs="Calibri"/>
          <w:spacing w:val="-4"/>
          <w:sz w:val="28"/>
          <w:szCs w:val="28"/>
          <w:lang w:eastAsia="ar-SA"/>
        </w:rPr>
        <w:t>ь Н2-блокаторы) (Заболотских И.Б. и др., 2018)</w:t>
      </w:r>
      <w:r w:rsidRPr="00FE6318">
        <w:rPr>
          <w:rFonts w:cs="Calibri"/>
          <w:spacing w:val="-4"/>
          <w:sz w:val="28"/>
          <w:szCs w:val="28"/>
          <w:lang w:eastAsia="ar-SA"/>
        </w:rPr>
        <w:t>. Требуется</w:t>
      </w:r>
      <w:r w:rsidRPr="00FE6318">
        <w:rPr>
          <w:rFonts w:cs="Calibri"/>
          <w:sz w:val="28"/>
          <w:szCs w:val="28"/>
          <w:lang w:eastAsia="ar-SA"/>
        </w:rPr>
        <w:t xml:space="preserve"> консультация профильных специалистов (терапевт, пульмонолог, анестезиолог/реаниматолог).</w:t>
      </w:r>
    </w:p>
    <w:p w:rsidR="00286780" w:rsidRPr="00FE6318" w:rsidRDefault="00286780" w:rsidP="00FE6318">
      <w:pPr>
        <w:spacing w:line="360" w:lineRule="auto"/>
        <w:ind w:firstLine="709"/>
        <w:jc w:val="both"/>
        <w:rPr>
          <w:rFonts w:cs="Calibri"/>
          <w:sz w:val="28"/>
          <w:szCs w:val="28"/>
          <w:shd w:val="clear" w:color="auto" w:fill="FFFFFF"/>
          <w:lang w:eastAsia="ar-SA"/>
        </w:rPr>
      </w:pPr>
      <w:r w:rsidRPr="00FE6318">
        <w:rPr>
          <w:rFonts w:cs="Calibri"/>
          <w:sz w:val="28"/>
          <w:szCs w:val="28"/>
          <w:lang w:eastAsia="ar-SA"/>
        </w:rPr>
        <w:t>У пациентов с хронической болезнью почек (ХБП) возможны множественные изменения гомеостаза: гиперкалиемия, задержка воды, натрия, дегидратация, гиперкреатининемия, анемия. Необходим тщательный контроль водно-электролитного баланса, исключение нефротоксичных антибиотиков (аминогликозидов, ванкомицина, амфотерицина В), коррекция применения препаратов, влияющих на обмен калия (ингибиторы АПФ, антагонисты ангиотензина, нестероидные противовоспалительные препараты, бета-адреноблокаторы, калий-содержащие растворы). По показаниям возможен</w:t>
      </w:r>
      <w:r>
        <w:rPr>
          <w:rFonts w:cs="Calibri"/>
          <w:sz w:val="28"/>
          <w:szCs w:val="28"/>
          <w:lang w:eastAsia="ar-SA"/>
        </w:rPr>
        <w:t xml:space="preserve"> сеанс экстренного гемодиализа (</w:t>
      </w:r>
      <w:r w:rsidRPr="00FE6318">
        <w:rPr>
          <w:rFonts w:cs="Calibri"/>
          <w:sz w:val="28"/>
          <w:szCs w:val="28"/>
          <w:lang w:eastAsia="ar-SA"/>
        </w:rPr>
        <w:t xml:space="preserve">Заболотских </w:t>
      </w:r>
      <w:r w:rsidRPr="00FE6318">
        <w:rPr>
          <w:rFonts w:cs="Calibri"/>
          <w:sz w:val="28"/>
          <w:szCs w:val="28"/>
          <w:shd w:val="clear" w:color="auto" w:fill="FFFFFF"/>
          <w:lang w:eastAsia="ar-SA"/>
        </w:rPr>
        <w:t xml:space="preserve">И.Б. и др., 2018; </w:t>
      </w:r>
      <w:r w:rsidRPr="00FE6318">
        <w:rPr>
          <w:rFonts w:cs="Calibri"/>
          <w:sz w:val="28"/>
          <w:szCs w:val="28"/>
          <w:shd w:val="clear" w:color="auto" w:fill="FFFFFF"/>
          <w:lang w:val="en-US" w:eastAsia="ar-SA"/>
        </w:rPr>
        <w:t>FukushimaS</w:t>
      </w:r>
      <w:r w:rsidRPr="00FE6318">
        <w:rPr>
          <w:rFonts w:cs="Calibri"/>
          <w:sz w:val="28"/>
          <w:szCs w:val="28"/>
          <w:shd w:val="clear" w:color="auto" w:fill="FFFFFF"/>
          <w:lang w:eastAsia="ar-SA"/>
        </w:rPr>
        <w:t xml:space="preserve">. </w:t>
      </w:r>
      <w:r w:rsidRPr="00FE6318">
        <w:rPr>
          <w:rFonts w:cs="Calibri"/>
          <w:sz w:val="28"/>
          <w:szCs w:val="28"/>
          <w:shd w:val="clear" w:color="auto" w:fill="FFFFFF"/>
          <w:lang w:val="en-US" w:eastAsia="ar-SA"/>
        </w:rPr>
        <w:t>et</w:t>
      </w:r>
      <w:r w:rsidRPr="00FE6318">
        <w:rPr>
          <w:rFonts w:cs="Calibri"/>
          <w:sz w:val="28"/>
          <w:szCs w:val="28"/>
          <w:shd w:val="clear" w:color="auto" w:fill="FFFFFF"/>
          <w:lang w:eastAsia="ar-SA"/>
        </w:rPr>
        <w:t xml:space="preserve">. </w:t>
      </w:r>
      <w:r w:rsidRPr="00FE6318">
        <w:rPr>
          <w:rFonts w:cs="Calibri"/>
          <w:sz w:val="28"/>
          <w:szCs w:val="28"/>
          <w:shd w:val="clear" w:color="auto" w:fill="FFFFFF"/>
          <w:lang w:val="en-US" w:eastAsia="ar-SA"/>
        </w:rPr>
        <w:t>al</w:t>
      </w:r>
      <w:r>
        <w:rPr>
          <w:rFonts w:cs="Calibri"/>
          <w:sz w:val="28"/>
          <w:szCs w:val="28"/>
          <w:shd w:val="clear" w:color="auto" w:fill="FFFFFF"/>
          <w:lang w:eastAsia="ar-SA"/>
        </w:rPr>
        <w:t>., 2017)</w:t>
      </w:r>
      <w:r w:rsidRPr="00FE6318">
        <w:rPr>
          <w:rFonts w:cs="Calibri"/>
          <w:sz w:val="28"/>
          <w:szCs w:val="28"/>
          <w:shd w:val="clear" w:color="auto" w:fill="FFFFFF"/>
          <w:lang w:eastAsia="ar-SA"/>
        </w:rPr>
        <w:t>.</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Соответствующая многокомпонентная предоперационная подготовка выполнена всем пациентам основной группы (</w:t>
      </w:r>
      <w:r w:rsidRPr="00FE6318">
        <w:rPr>
          <w:rFonts w:cs="Calibri"/>
          <w:sz w:val="28"/>
          <w:szCs w:val="28"/>
          <w:lang w:val="en-US" w:eastAsia="ar-SA"/>
        </w:rPr>
        <w:t>n</w:t>
      </w:r>
      <w:r>
        <w:rPr>
          <w:rFonts w:cs="Calibri"/>
          <w:sz w:val="28"/>
          <w:szCs w:val="28"/>
          <w:lang w:eastAsia="ar-SA"/>
        </w:rPr>
        <w:t>=40</w:t>
      </w:r>
      <w:r w:rsidRPr="00FE6318">
        <w:rPr>
          <w:rFonts w:cs="Calibri"/>
          <w:sz w:val="28"/>
          <w:szCs w:val="28"/>
          <w:lang w:eastAsia="ar-SA"/>
        </w:rPr>
        <w:t>). Значимых осложнений в периоперационном периоде не диагностировано.</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В основной группе пациентов (</w:t>
      </w:r>
      <w:r w:rsidRPr="00FE6318">
        <w:rPr>
          <w:rFonts w:cs="Calibri"/>
          <w:sz w:val="28"/>
          <w:szCs w:val="28"/>
          <w:lang w:val="en-US" w:eastAsia="ar-SA"/>
        </w:rPr>
        <w:t>n</w:t>
      </w:r>
      <w:r>
        <w:rPr>
          <w:rFonts w:cs="Calibri"/>
          <w:sz w:val="28"/>
          <w:szCs w:val="28"/>
          <w:lang w:eastAsia="ar-SA"/>
        </w:rPr>
        <w:t>=40</w:t>
      </w:r>
      <w:r w:rsidRPr="00FE6318">
        <w:rPr>
          <w:rFonts w:cs="Calibri"/>
          <w:sz w:val="28"/>
          <w:szCs w:val="28"/>
          <w:lang w:eastAsia="ar-SA"/>
        </w:rPr>
        <w:t>) оперативное пособие выполнялось в соответствии с разработанным алгоритмом. Объем оперативного вмешательства «расширен» в сравнении с традиционными методами лечения</w:t>
      </w:r>
      <w:r>
        <w:rPr>
          <w:rFonts w:cs="Calibri"/>
          <w:sz w:val="28"/>
          <w:szCs w:val="28"/>
          <w:lang w:eastAsia="ar-SA"/>
        </w:rPr>
        <w:t xml:space="preserve">, </w:t>
      </w:r>
      <w:r w:rsidRPr="00FE6318">
        <w:rPr>
          <w:rFonts w:cs="Calibri"/>
          <w:sz w:val="28"/>
          <w:szCs w:val="28"/>
          <w:lang w:eastAsia="ar-SA"/>
        </w:rPr>
        <w:t>в т. ч. использованы 2 модифицированных доступа:</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1) модифицированный доступ для вскрытия флегмон дна полости рта и окологлоточного пространства, включающий удаление поднижечелюстной слюнной железы на стороне поражения (в</w:t>
      </w:r>
      <w:r>
        <w:rPr>
          <w:rFonts w:cs="Calibri"/>
          <w:sz w:val="28"/>
          <w:szCs w:val="28"/>
          <w:lang w:eastAsia="ar-SA"/>
        </w:rPr>
        <w:t xml:space="preserve"> условиях общей анестезии</w:t>
      </w:r>
      <w:r w:rsidRPr="00FE6318">
        <w:rPr>
          <w:rFonts w:cs="Calibri"/>
          <w:sz w:val="28"/>
          <w:szCs w:val="28"/>
          <w:lang w:eastAsia="ar-SA"/>
        </w:rPr>
        <w:t>);</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lastRenderedPageBreak/>
        <w:t>2) «Способ оперативного лечения одонтогенных флегмон дна полости рта с частичным рассечением подъязычно-подчелюстного мешка», патент Российской Федерации № 2705105</w:t>
      </w:r>
      <w:r>
        <w:rPr>
          <w:rFonts w:cs="Calibri"/>
          <w:sz w:val="28"/>
          <w:szCs w:val="28"/>
          <w:lang w:eastAsia="ar-SA"/>
        </w:rPr>
        <w:t xml:space="preserve"> (в условиях местной анестезии</w:t>
      </w:r>
      <w:r w:rsidRPr="00FE6318">
        <w:rPr>
          <w:rFonts w:cs="Calibri"/>
          <w:sz w:val="28"/>
          <w:szCs w:val="28"/>
          <w:lang w:eastAsia="ar-SA"/>
        </w:rPr>
        <w:t>).</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Показания к применению модифицированного доступа, включающего удаление подчелюстной слюнной железы на стороне поражения:</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1) одонтогенная </w:t>
      </w:r>
      <w:r>
        <w:rPr>
          <w:rFonts w:cs="Calibri"/>
          <w:sz w:val="28"/>
          <w:szCs w:val="28"/>
          <w:lang w:eastAsia="ar-SA"/>
        </w:rPr>
        <w:t xml:space="preserve">флегмона дна полости рта </w:t>
      </w:r>
      <w:r w:rsidRPr="00FE6318">
        <w:rPr>
          <w:rFonts w:cs="Calibri"/>
          <w:sz w:val="28"/>
          <w:szCs w:val="28"/>
          <w:lang w:eastAsia="ar-SA"/>
        </w:rPr>
        <w:t>с тенденцией к прогрессированию, гнойный или гнилостно-некротический тип острого воспалительного процесса, вовлечение 4 и более клетчаточных пространств и/или топографо-анатомических областей, сепсис;</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2) одонтогенная флегмона поднижечелюстного клетчаточного пространства, и/или заднего окологлоточного клетчаточного пространства с тенденцией к прогрессированию, гнойный или гнилостно-некротический тип острого воспалительного процесса, вовлечение 4 и более клетчаточных пространств и/или топографо-анатомических областей, сепсис.</w:t>
      </w:r>
    </w:p>
    <w:p w:rsidR="00286780" w:rsidRPr="00FE6318" w:rsidRDefault="00286780" w:rsidP="00F0321C">
      <w:pPr>
        <w:spacing w:line="360" w:lineRule="auto"/>
        <w:ind w:firstLine="709"/>
        <w:jc w:val="both"/>
        <w:rPr>
          <w:rFonts w:cs="Calibri"/>
          <w:sz w:val="28"/>
          <w:szCs w:val="28"/>
          <w:lang w:eastAsia="ar-SA"/>
        </w:rPr>
      </w:pPr>
      <w:r w:rsidRPr="00FE6318">
        <w:rPr>
          <w:rFonts w:cs="Calibri"/>
          <w:sz w:val="28"/>
          <w:szCs w:val="28"/>
          <w:lang w:eastAsia="ar-SA"/>
        </w:rPr>
        <w:t>Показания к применению модифицированного оперативного доступа (Патент РФ № 2705105):одонтогенная флегмона дна полости рта, гнойный тип острого воспалительного процесса, МФОИ, отсутствие поражения клетчаточных пространств шеи, вовлечение не более 4 клетчаточных пространств и/или топографо-анатомических областей;одонтогенная флегмона поднижечелюстной области, гнойный тип острого воспалительного процесса, МФОИ, отсутствие поражения клетчаточных пространств шеи, вовлечение не более 4 клетчаточных пространств и/или топографо-анатомических областей.</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При отсутствии показаний к применению модифицированных оперативных доступов (</w:t>
      </w:r>
      <w:r w:rsidRPr="00FE6318">
        <w:rPr>
          <w:rFonts w:cs="Calibri"/>
          <w:sz w:val="28"/>
          <w:szCs w:val="28"/>
          <w:lang w:val="en-US" w:eastAsia="ar-SA"/>
        </w:rPr>
        <w:t>n</w:t>
      </w:r>
      <w:r>
        <w:rPr>
          <w:rFonts w:cs="Calibri"/>
          <w:sz w:val="28"/>
          <w:szCs w:val="28"/>
          <w:lang w:eastAsia="ar-SA"/>
        </w:rPr>
        <w:t>=</w:t>
      </w:r>
      <w:r w:rsidRPr="00FE6318">
        <w:rPr>
          <w:rFonts w:cs="Calibri"/>
          <w:sz w:val="28"/>
          <w:szCs w:val="28"/>
          <w:lang w:eastAsia="ar-SA"/>
        </w:rPr>
        <w:t xml:space="preserve">17) оперативное пособие выполнялось в соответствии </w:t>
      </w:r>
      <w:r>
        <w:rPr>
          <w:rFonts w:cs="Calibri"/>
          <w:sz w:val="28"/>
          <w:szCs w:val="28"/>
          <w:lang w:eastAsia="ar-SA"/>
        </w:rPr>
        <w:t>с существующими рекомендациями (</w:t>
      </w:r>
      <w:r w:rsidRPr="00FE6318">
        <w:rPr>
          <w:rFonts w:cs="Calibri"/>
          <w:sz w:val="28"/>
          <w:szCs w:val="28"/>
          <w:lang w:eastAsia="ar-SA"/>
        </w:rPr>
        <w:t xml:space="preserve">Робустова Т.Г. и др., 2006; </w:t>
      </w:r>
      <w:r>
        <w:rPr>
          <w:rFonts w:cs="Calibri"/>
          <w:sz w:val="28"/>
          <w:szCs w:val="28"/>
          <w:lang w:eastAsia="ar-SA"/>
        </w:rPr>
        <w:t>Шаргородский А.Г., 2001)</w:t>
      </w:r>
      <w:r w:rsidRPr="00FE6318">
        <w:rPr>
          <w:rFonts w:cs="Calibri"/>
          <w:sz w:val="28"/>
          <w:szCs w:val="28"/>
          <w:lang w:eastAsia="ar-SA"/>
        </w:rPr>
        <w:t>. Значимых осложнений и декомпенсации фоновой патологии у пациентов основной группы в интраоперационном периоде не диагностировано.</w:t>
      </w:r>
    </w:p>
    <w:p w:rsidR="00286780"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Антибактериальная терапия является неотъемлемой частью интенсивной терапии воспалительных заболеваний челюстно-лицевой области и шеи. При МФОИ возможно использование ингибиторзащищенных пенициллинов, фторхи</w:t>
      </w:r>
      <w:r w:rsidRPr="00FE6318">
        <w:rPr>
          <w:rFonts w:cs="Calibri"/>
          <w:sz w:val="28"/>
          <w:szCs w:val="28"/>
          <w:lang w:eastAsia="ar-SA"/>
        </w:rPr>
        <w:lastRenderedPageBreak/>
        <w:t xml:space="preserve">нолонов (в т. ч. </w:t>
      </w:r>
      <w:r w:rsidRPr="00FE6318">
        <w:rPr>
          <w:rFonts w:cs="Calibri"/>
          <w:sz w:val="28"/>
          <w:szCs w:val="28"/>
          <w:lang w:val="en-US" w:eastAsia="ar-SA"/>
        </w:rPr>
        <w:t>II</w:t>
      </w:r>
      <w:r w:rsidRPr="00FE6318">
        <w:rPr>
          <w:rFonts w:cs="Calibri"/>
          <w:sz w:val="28"/>
          <w:szCs w:val="28"/>
          <w:lang w:eastAsia="ar-SA"/>
        </w:rPr>
        <w:t xml:space="preserve"> поколения – ципрофлоксацина, офлоксацина; </w:t>
      </w:r>
      <w:r w:rsidRPr="00FE6318">
        <w:rPr>
          <w:rFonts w:cs="Calibri"/>
          <w:sz w:val="28"/>
          <w:szCs w:val="28"/>
          <w:lang w:val="en-US" w:eastAsia="ar-SA"/>
        </w:rPr>
        <w:t>III</w:t>
      </w:r>
      <w:r w:rsidRPr="00FE6318">
        <w:rPr>
          <w:rFonts w:cs="Calibri"/>
          <w:sz w:val="28"/>
          <w:szCs w:val="28"/>
          <w:lang w:eastAsia="ar-SA"/>
        </w:rPr>
        <w:t xml:space="preserve"> поколения – левофлоксацина), макролидов, цефалоспоринов </w:t>
      </w:r>
      <w:r w:rsidRPr="00FE6318">
        <w:rPr>
          <w:rFonts w:cs="Calibri"/>
          <w:sz w:val="28"/>
          <w:szCs w:val="28"/>
          <w:lang w:val="en-US" w:eastAsia="ar-SA"/>
        </w:rPr>
        <w:t>I</w:t>
      </w:r>
      <w:r w:rsidRPr="00FE6318">
        <w:rPr>
          <w:rFonts w:cs="Calibri"/>
          <w:sz w:val="28"/>
          <w:szCs w:val="28"/>
          <w:lang w:eastAsia="ar-SA"/>
        </w:rPr>
        <w:t>–</w:t>
      </w:r>
      <w:r w:rsidRPr="00FE6318">
        <w:rPr>
          <w:rFonts w:cs="Calibri"/>
          <w:sz w:val="28"/>
          <w:szCs w:val="28"/>
          <w:lang w:val="en-US" w:eastAsia="ar-SA"/>
        </w:rPr>
        <w:t>III</w:t>
      </w:r>
      <w:r w:rsidRPr="00FE6318">
        <w:rPr>
          <w:rFonts w:cs="Calibri"/>
          <w:sz w:val="28"/>
          <w:szCs w:val="28"/>
          <w:lang w:eastAsia="ar-SA"/>
        </w:rPr>
        <w:t xml:space="preserve"> поколений в сочетании с метронидазолом/клиндамицином. </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При одонтогенном сепсисе в качестве эмпирической терапии следует применять карбапенемы (эртапенем, меропенем), в том числе с антисинегнойной активностью (меропенем), антисинегнойные цефалоспорины </w:t>
      </w:r>
      <w:r w:rsidRPr="00FE6318">
        <w:rPr>
          <w:rFonts w:cs="Calibri"/>
          <w:sz w:val="28"/>
          <w:szCs w:val="28"/>
          <w:lang w:val="en-US" w:eastAsia="ar-SA"/>
        </w:rPr>
        <w:t>III</w:t>
      </w:r>
      <w:r w:rsidRPr="00FE6318">
        <w:rPr>
          <w:rFonts w:cs="Calibri"/>
          <w:sz w:val="28"/>
          <w:szCs w:val="28"/>
          <w:lang w:eastAsia="ar-SA"/>
        </w:rPr>
        <w:t xml:space="preserve"> поколения (цефоперазон, цефтазидим), в меньшей степени – антистрептококковые цефалоспорины (цефтриаксон, цефотаксим) в сочетании с метронидазолом/клиндамицином, а </w:t>
      </w:r>
      <w:r>
        <w:rPr>
          <w:rFonts w:cs="Calibri"/>
          <w:sz w:val="28"/>
          <w:szCs w:val="28"/>
          <w:lang w:eastAsia="ar-SA"/>
        </w:rPr>
        <w:t>также</w:t>
      </w:r>
      <w:r w:rsidRPr="00FE6318">
        <w:rPr>
          <w:rFonts w:cs="Calibri"/>
          <w:sz w:val="28"/>
          <w:szCs w:val="28"/>
          <w:lang w:eastAsia="ar-SA"/>
        </w:rPr>
        <w:t xml:space="preserve"> цефалоспорины </w:t>
      </w:r>
      <w:r w:rsidRPr="00FE6318">
        <w:rPr>
          <w:rFonts w:cs="Calibri"/>
          <w:sz w:val="28"/>
          <w:szCs w:val="28"/>
          <w:lang w:val="en-US" w:eastAsia="ar-SA"/>
        </w:rPr>
        <w:t>IV</w:t>
      </w:r>
      <w:r w:rsidRPr="00FE6318">
        <w:rPr>
          <w:rFonts w:cs="Calibri"/>
          <w:sz w:val="28"/>
          <w:szCs w:val="28"/>
          <w:lang w:eastAsia="ar-SA"/>
        </w:rPr>
        <w:t xml:space="preserve"> поколения (цефепим, цефпиром), тигециклин. При ОС не следует использовать макролиды, т. к. они обладают бактериостатическим действием. После получения результатов микробиологического исследования антибактериальная терапия корригируется в соответствии с чувствительностью микроорганизмов.</w:t>
      </w:r>
    </w:p>
    <w:p w:rsidR="00286780" w:rsidRPr="00FE6318" w:rsidRDefault="00286780" w:rsidP="003040FC">
      <w:pPr>
        <w:tabs>
          <w:tab w:val="left" w:pos="9214"/>
        </w:tabs>
        <w:spacing w:line="360" w:lineRule="auto"/>
        <w:ind w:firstLine="709"/>
        <w:jc w:val="both"/>
        <w:rPr>
          <w:rFonts w:cs="Calibri"/>
          <w:sz w:val="28"/>
          <w:szCs w:val="28"/>
          <w:lang w:eastAsia="ar-SA"/>
        </w:rPr>
      </w:pPr>
      <w:r w:rsidRPr="00FE6318">
        <w:rPr>
          <w:rFonts w:cs="Calibri"/>
          <w:sz w:val="28"/>
          <w:szCs w:val="28"/>
          <w:lang w:eastAsia="ar-SA"/>
        </w:rPr>
        <w:t>Необходимо учитывать наличие фоновых заболеваний: исключаются нефротоксичные препараты при патологии почек (аминогликозиды), гепатотоксичные препараты при заболеваниях печени, у пациентов с почечной патологией выполняют коррекцию дозировки антибиотика по клиренсу креатинина. Кроме того, пациенты с ОС получали инфузионную терапию, профилактику венозных тромбоэмболий (гепарин или фраксипарин в профилактических дозах), антагонисты протонной помпы (омепразол) для профилактики образования стрессовых язв, вазоактивные препараты, ИВЛ по показаниям, седацию и анальгезию, парентеральное и энтеральное питание.</w:t>
      </w:r>
    </w:p>
    <w:p w:rsidR="00286780" w:rsidRPr="00FE6318" w:rsidRDefault="00286780" w:rsidP="00FE6318">
      <w:pPr>
        <w:spacing w:line="360" w:lineRule="auto"/>
        <w:ind w:firstLine="709"/>
        <w:jc w:val="both"/>
        <w:rPr>
          <w:rFonts w:cs="Calibri"/>
          <w:sz w:val="28"/>
          <w:szCs w:val="28"/>
          <w:lang w:eastAsia="ar-SA"/>
        </w:rPr>
      </w:pPr>
      <w:r w:rsidRPr="00FE6318">
        <w:rPr>
          <w:rFonts w:cs="Calibri"/>
          <w:sz w:val="28"/>
          <w:szCs w:val="28"/>
          <w:lang w:eastAsia="ar-SA"/>
        </w:rPr>
        <w:t xml:space="preserve">Таким образом, в результате применения разработанных </w:t>
      </w:r>
      <w:r>
        <w:rPr>
          <w:rFonts w:cs="Calibri"/>
          <w:i/>
          <w:sz w:val="28"/>
          <w:szCs w:val="28"/>
          <w:lang w:eastAsia="ar-SA"/>
        </w:rPr>
        <w:t>алгоритмов</w:t>
      </w:r>
      <w:r w:rsidRPr="00FE6318">
        <w:rPr>
          <w:rFonts w:cs="Calibri"/>
          <w:i/>
          <w:sz w:val="28"/>
          <w:szCs w:val="28"/>
          <w:lang w:eastAsia="ar-SA"/>
        </w:rPr>
        <w:t xml:space="preserve"> диагностики одонтогенного сепсиса и программы комплексного многокомпонентного лечения больных с хирургическими осложнениями одонтогенной инфекции при наличии полиорганной фоновой патологии и синдрома взаимного отягощения </w:t>
      </w:r>
      <w:r w:rsidRPr="00FE6318">
        <w:rPr>
          <w:rFonts w:cs="Calibri"/>
          <w:sz w:val="28"/>
          <w:szCs w:val="28"/>
          <w:lang w:eastAsia="ar-SA"/>
        </w:rPr>
        <w:t>отмечается статистически значимый прирост эффективности ранней диаг</w:t>
      </w:r>
      <w:r>
        <w:rPr>
          <w:rFonts w:cs="Calibri"/>
          <w:sz w:val="28"/>
          <w:szCs w:val="28"/>
          <w:lang w:eastAsia="ar-SA"/>
        </w:rPr>
        <w:t>ностики МФОИ и ОС до 97,5</w:t>
      </w:r>
      <w:r w:rsidRPr="00FE6318">
        <w:rPr>
          <w:rFonts w:cs="Calibri"/>
          <w:sz w:val="28"/>
          <w:szCs w:val="28"/>
          <w:lang w:eastAsia="ar-SA"/>
        </w:rPr>
        <w:t>%, сокращение частоты гнойно-воспалительных ос</w:t>
      </w:r>
      <w:r>
        <w:rPr>
          <w:rFonts w:cs="Calibri"/>
          <w:sz w:val="28"/>
          <w:szCs w:val="28"/>
          <w:lang w:eastAsia="ar-SA"/>
        </w:rPr>
        <w:t>ложнений до 7,5</w:t>
      </w:r>
      <w:r w:rsidRPr="00FE6318">
        <w:rPr>
          <w:rFonts w:cs="Calibri"/>
          <w:sz w:val="28"/>
          <w:szCs w:val="28"/>
          <w:lang w:eastAsia="ar-SA"/>
        </w:rPr>
        <w:t>%, летальност</w:t>
      </w:r>
      <w:r>
        <w:rPr>
          <w:rFonts w:cs="Calibri"/>
          <w:sz w:val="28"/>
          <w:szCs w:val="28"/>
          <w:lang w:eastAsia="ar-SA"/>
        </w:rPr>
        <w:t>и – до 2,5</w:t>
      </w:r>
      <w:r w:rsidRPr="00FE6318">
        <w:rPr>
          <w:rFonts w:cs="Calibri"/>
          <w:sz w:val="28"/>
          <w:szCs w:val="28"/>
          <w:lang w:eastAsia="ar-SA"/>
        </w:rPr>
        <w:t>%, что является существенным научно-исследовательским достижением и значимым практическим результатом.</w:t>
      </w:r>
    </w:p>
    <w:p w:rsidR="00286780" w:rsidRDefault="00286780" w:rsidP="00577BF7">
      <w:pPr>
        <w:rPr>
          <w:sz w:val="28"/>
          <w:szCs w:val="28"/>
          <w:lang w:eastAsia="en-US"/>
        </w:rPr>
      </w:pPr>
      <w:r>
        <w:rPr>
          <w:sz w:val="28"/>
          <w:szCs w:val="28"/>
          <w:lang w:eastAsia="en-US"/>
        </w:rPr>
        <w:br w:type="page"/>
      </w:r>
    </w:p>
    <w:p w:rsidR="00286780" w:rsidRDefault="00286780" w:rsidP="00FE6318">
      <w:pPr>
        <w:pStyle w:val="20"/>
      </w:pPr>
      <w:bookmarkStart w:id="35" w:name="_Toc67905717"/>
      <w:r w:rsidRPr="00FE6318">
        <w:t>Выводы</w:t>
      </w:r>
      <w:bookmarkEnd w:id="35"/>
    </w:p>
    <w:p w:rsidR="00286780" w:rsidRDefault="00286780" w:rsidP="004A0CF0">
      <w:pPr>
        <w:jc w:val="both"/>
        <w:rPr>
          <w:sz w:val="28"/>
          <w:szCs w:val="28"/>
          <w:lang w:eastAsia="en-US"/>
        </w:rPr>
      </w:pPr>
    </w:p>
    <w:p w:rsidR="006D675C" w:rsidRPr="0096632B" w:rsidRDefault="006D675C" w:rsidP="006D675C">
      <w:pPr>
        <w:pStyle w:val="afc"/>
        <w:numPr>
          <w:ilvl w:val="0"/>
          <w:numId w:val="18"/>
        </w:numPr>
        <w:tabs>
          <w:tab w:val="clear" w:pos="720"/>
          <w:tab w:val="num" w:pos="567"/>
        </w:tabs>
        <w:spacing w:line="360" w:lineRule="auto"/>
        <w:ind w:left="0" w:firstLine="709"/>
        <w:jc w:val="both"/>
        <w:rPr>
          <w:sz w:val="28"/>
          <w:szCs w:val="28"/>
        </w:rPr>
      </w:pPr>
      <w:r w:rsidRPr="0096632B">
        <w:rPr>
          <w:sz w:val="28"/>
          <w:szCs w:val="28"/>
        </w:rPr>
        <w:t>Нозологическая структура хронической патологии внутренних органов у пациентов с одонтогенным сепсисом, местной формой одонтогенной инфекции (МФОИ) и контактными медиастинитами статистически значимо различается: у пациентов с МФОИ и контактными медиастинитами преобладают заболевания сердечно-сосудистой системы (67,2% и 53,8% соответственно); одонтогенный сепсис статистически значимо чаще развивается на фоне патологии печени (38,9%; p&lt;0,05).</w:t>
      </w:r>
    </w:p>
    <w:p w:rsidR="006D675C" w:rsidRPr="0096632B" w:rsidRDefault="006D675C" w:rsidP="006D675C">
      <w:pPr>
        <w:pStyle w:val="afc"/>
        <w:numPr>
          <w:ilvl w:val="0"/>
          <w:numId w:val="18"/>
        </w:numPr>
        <w:tabs>
          <w:tab w:val="clear" w:pos="720"/>
          <w:tab w:val="num" w:pos="567"/>
        </w:tabs>
        <w:spacing w:line="360" w:lineRule="auto"/>
        <w:ind w:left="0" w:firstLine="709"/>
        <w:jc w:val="both"/>
        <w:rPr>
          <w:sz w:val="28"/>
          <w:szCs w:val="28"/>
        </w:rPr>
      </w:pPr>
      <w:r w:rsidRPr="0096632B">
        <w:rPr>
          <w:sz w:val="28"/>
          <w:szCs w:val="28"/>
        </w:rPr>
        <w:t>Сахарный диабет и хроническая патология сердечно-сосудистой системы при наличии ХСН III функционального класса у пациентов с МФОИ, хроническая патология внутренних органов у пациентов с одонтогеным сепсисом определяют статистически значимое замедление процессов очищения гнойной раны и роста грануляций, увеличение частоты гнойно-воспалительных осложнений и прирост летальности (p&lt;0,05).</w:t>
      </w:r>
    </w:p>
    <w:p w:rsidR="006D675C" w:rsidRPr="0096632B" w:rsidRDefault="006D675C" w:rsidP="006D675C">
      <w:pPr>
        <w:pStyle w:val="afc"/>
        <w:numPr>
          <w:ilvl w:val="0"/>
          <w:numId w:val="18"/>
        </w:numPr>
        <w:tabs>
          <w:tab w:val="clear" w:pos="720"/>
          <w:tab w:val="num" w:pos="567"/>
        </w:tabs>
        <w:spacing w:line="360" w:lineRule="auto"/>
        <w:ind w:left="0" w:firstLine="709"/>
        <w:jc w:val="both"/>
        <w:rPr>
          <w:sz w:val="28"/>
          <w:szCs w:val="28"/>
        </w:rPr>
      </w:pPr>
      <w:r w:rsidRPr="0096632B">
        <w:rPr>
          <w:sz w:val="28"/>
          <w:szCs w:val="28"/>
        </w:rPr>
        <w:t>Полиорганная полиморбидная хроническая патология у пациентов с одонтогенным сепсисом является фоновой вне зависимости от нозологической формы; у пациентов с МФОИ фоновой полиорганной полиморбидной патологией является сахарный диабет и полиморбидные заболевания сердечно-сосудистой системы.</w:t>
      </w:r>
    </w:p>
    <w:p w:rsidR="006D675C" w:rsidRPr="0096632B" w:rsidRDefault="006D675C" w:rsidP="006D675C">
      <w:pPr>
        <w:pStyle w:val="afc"/>
        <w:numPr>
          <w:ilvl w:val="0"/>
          <w:numId w:val="18"/>
        </w:numPr>
        <w:tabs>
          <w:tab w:val="clear" w:pos="720"/>
          <w:tab w:val="num" w:pos="567"/>
        </w:tabs>
        <w:spacing w:line="360" w:lineRule="auto"/>
        <w:ind w:left="0" w:firstLine="709"/>
        <w:jc w:val="both"/>
        <w:rPr>
          <w:sz w:val="28"/>
          <w:szCs w:val="28"/>
        </w:rPr>
      </w:pPr>
      <w:r w:rsidRPr="0096632B">
        <w:rPr>
          <w:sz w:val="28"/>
          <w:szCs w:val="28"/>
        </w:rPr>
        <w:t>Полиорганная полиморбидная хроническая патология у пациентов с МФОИ, одонтогенным сепсисом и контактными медиастинитами определяет статистически значимое увеличение частоты гнойно-воспалительных осложнений, прирост летальности и развитие синдрома взаимного отягощения (p &lt;0,05).</w:t>
      </w:r>
    </w:p>
    <w:p w:rsidR="006D675C" w:rsidRPr="0096632B" w:rsidRDefault="006D675C" w:rsidP="006D675C">
      <w:pPr>
        <w:pStyle w:val="afc"/>
        <w:numPr>
          <w:ilvl w:val="0"/>
          <w:numId w:val="18"/>
        </w:numPr>
        <w:tabs>
          <w:tab w:val="clear" w:pos="720"/>
          <w:tab w:val="num" w:pos="567"/>
        </w:tabs>
        <w:spacing w:line="360" w:lineRule="auto"/>
        <w:ind w:left="0" w:firstLine="709"/>
        <w:jc w:val="both"/>
        <w:rPr>
          <w:sz w:val="28"/>
          <w:szCs w:val="28"/>
        </w:rPr>
      </w:pPr>
      <w:r w:rsidRPr="0096632B">
        <w:rPr>
          <w:sz w:val="28"/>
          <w:szCs w:val="28"/>
        </w:rPr>
        <w:t xml:space="preserve">Разработан алгоритм диагностики одонтогенного сепсиса у пациентов с воспалительными заболеваниями челюстно-лицевой области и шеи, полиорганной фоновой патологией и синдромом взаимного отягощения, включающий определение распространенности воспалительного процесса, уровня сознания, показателей гемодинамики, газового и биохимического состава крови с последующей </w:t>
      </w:r>
      <w:r w:rsidRPr="0096632B">
        <w:rPr>
          <w:sz w:val="28"/>
          <w:szCs w:val="28"/>
        </w:rPr>
        <w:lastRenderedPageBreak/>
        <w:t>бал</w:t>
      </w:r>
      <w:r>
        <w:rPr>
          <w:sz w:val="28"/>
          <w:szCs w:val="28"/>
        </w:rPr>
        <w:t>л</w:t>
      </w:r>
      <w:r w:rsidRPr="0096632B">
        <w:rPr>
          <w:sz w:val="28"/>
          <w:szCs w:val="28"/>
        </w:rPr>
        <w:t>ьной оценкой и соотнесению количества баллов форме инфекционного процесса (генерализованная или местная).</w:t>
      </w:r>
    </w:p>
    <w:p w:rsidR="006D675C" w:rsidRPr="0096632B" w:rsidRDefault="006D675C" w:rsidP="006D675C">
      <w:pPr>
        <w:pStyle w:val="afc"/>
        <w:numPr>
          <w:ilvl w:val="0"/>
          <w:numId w:val="18"/>
        </w:numPr>
        <w:tabs>
          <w:tab w:val="clear" w:pos="720"/>
          <w:tab w:val="num" w:pos="567"/>
        </w:tabs>
        <w:spacing w:line="360" w:lineRule="auto"/>
        <w:ind w:left="0" w:firstLine="709"/>
        <w:jc w:val="both"/>
        <w:rPr>
          <w:sz w:val="28"/>
          <w:szCs w:val="28"/>
        </w:rPr>
      </w:pPr>
      <w:r w:rsidRPr="0096632B">
        <w:rPr>
          <w:sz w:val="28"/>
          <w:szCs w:val="28"/>
        </w:rPr>
        <w:t>Разработана программа комплексного лечения пациентов с воспалительными заболеваниями челюстно-лицевой области и шеи, полиорганной фоновой патологией и синдромом взаимного отягощения, включающая предоперационную подготовку, алгоритм выбора метод</w:t>
      </w:r>
      <w:r>
        <w:rPr>
          <w:sz w:val="28"/>
          <w:szCs w:val="28"/>
        </w:rPr>
        <w:t>ики оперативного вмешательства</w:t>
      </w:r>
      <w:r w:rsidRPr="0096632B">
        <w:rPr>
          <w:sz w:val="28"/>
          <w:szCs w:val="28"/>
        </w:rPr>
        <w:t xml:space="preserve"> в зависимости от распространенности воспалительного процесса, наличия сепсиса и гнилостно-некротического компонента, использованием двух модифицированных доступов</w:t>
      </w:r>
      <w:r>
        <w:rPr>
          <w:sz w:val="28"/>
          <w:szCs w:val="28"/>
        </w:rPr>
        <w:t xml:space="preserve"> (</w:t>
      </w:r>
      <w:r w:rsidRPr="00542D0D">
        <w:rPr>
          <w:rFonts w:cs="Calibri"/>
          <w:sz w:val="28"/>
          <w:szCs w:val="28"/>
          <w:lang w:eastAsia="ar-SA"/>
        </w:rPr>
        <w:t>доступ для вскрытия флегмон дна полости рта и окологлоточного пространства, включающий удаление поднижечелюстной слюнной железы на стороне поражения</w:t>
      </w:r>
      <w:r>
        <w:rPr>
          <w:sz w:val="28"/>
          <w:szCs w:val="28"/>
        </w:rPr>
        <w:t xml:space="preserve">, </w:t>
      </w:r>
      <w:r>
        <w:rPr>
          <w:rFonts w:cs="Calibri"/>
          <w:sz w:val="28"/>
          <w:szCs w:val="28"/>
          <w:lang w:eastAsia="ar-SA"/>
        </w:rPr>
        <w:t>с</w:t>
      </w:r>
      <w:r w:rsidRPr="00542D0D">
        <w:rPr>
          <w:rFonts w:cs="Calibri"/>
          <w:sz w:val="28"/>
          <w:szCs w:val="28"/>
          <w:lang w:eastAsia="ar-SA"/>
        </w:rPr>
        <w:t>пособ оперативного лечения одонтогенных флегмон дна полости рта с частичным рассечением</w:t>
      </w:r>
      <w:r>
        <w:rPr>
          <w:rFonts w:cs="Calibri"/>
          <w:sz w:val="28"/>
          <w:szCs w:val="28"/>
          <w:lang w:eastAsia="ar-SA"/>
        </w:rPr>
        <w:t xml:space="preserve"> подъязычно-подчелюстного мешка</w:t>
      </w:r>
      <w:r w:rsidRPr="00542D0D">
        <w:rPr>
          <w:rFonts w:cs="Calibri"/>
          <w:sz w:val="28"/>
          <w:szCs w:val="28"/>
          <w:lang w:eastAsia="ar-SA"/>
        </w:rPr>
        <w:t xml:space="preserve"> </w:t>
      </w:r>
      <w:r>
        <w:rPr>
          <w:rFonts w:cs="Calibri"/>
          <w:sz w:val="28"/>
          <w:szCs w:val="28"/>
          <w:lang w:eastAsia="ar-SA"/>
        </w:rPr>
        <w:t>(</w:t>
      </w:r>
      <w:r w:rsidRPr="00542D0D">
        <w:rPr>
          <w:rFonts w:cs="Calibri"/>
          <w:sz w:val="28"/>
          <w:szCs w:val="28"/>
          <w:lang w:eastAsia="ar-SA"/>
        </w:rPr>
        <w:t>патент Российской Федерации № 2705105</w:t>
      </w:r>
      <w:r>
        <w:rPr>
          <w:rFonts w:cs="Calibri"/>
          <w:sz w:val="28"/>
          <w:szCs w:val="28"/>
          <w:lang w:eastAsia="ar-SA"/>
        </w:rPr>
        <w:t xml:space="preserve">), </w:t>
      </w:r>
      <w:r w:rsidRPr="0096632B">
        <w:rPr>
          <w:sz w:val="28"/>
          <w:szCs w:val="28"/>
        </w:rPr>
        <w:t>рациональную антибактериальную терапию.</w:t>
      </w:r>
    </w:p>
    <w:p w:rsidR="00286780" w:rsidRPr="006D675C" w:rsidRDefault="006D675C" w:rsidP="006D675C">
      <w:pPr>
        <w:pStyle w:val="afc"/>
        <w:numPr>
          <w:ilvl w:val="0"/>
          <w:numId w:val="18"/>
        </w:numPr>
        <w:tabs>
          <w:tab w:val="clear" w:pos="720"/>
          <w:tab w:val="num" w:pos="567"/>
        </w:tabs>
        <w:spacing w:line="360" w:lineRule="auto"/>
        <w:ind w:left="0" w:firstLine="709"/>
        <w:jc w:val="both"/>
        <w:rPr>
          <w:sz w:val="28"/>
          <w:szCs w:val="28"/>
        </w:rPr>
      </w:pPr>
      <w:r w:rsidRPr="0096632B">
        <w:rPr>
          <w:sz w:val="28"/>
          <w:szCs w:val="28"/>
        </w:rPr>
        <w:t>Применение разработанных алгоритма диагностики сепсиса и программы комплексного лечения пациентов с воспалительными заболеваниями челюстно-лицевой области и шеи при наличии полиорганной фоновой патологии и синдрома взаимного отягощения позволяет статистически значимо повысить эффективность диагностики одонтогенного сепсиса</w:t>
      </w:r>
      <w:r>
        <w:rPr>
          <w:sz w:val="28"/>
          <w:szCs w:val="28"/>
        </w:rPr>
        <w:t xml:space="preserve"> (с 69% до 97,5%),</w:t>
      </w:r>
      <w:r w:rsidRPr="0096632B">
        <w:rPr>
          <w:sz w:val="28"/>
          <w:szCs w:val="28"/>
        </w:rPr>
        <w:t xml:space="preserve"> </w:t>
      </w:r>
      <w:r>
        <w:rPr>
          <w:sz w:val="28"/>
          <w:szCs w:val="28"/>
        </w:rPr>
        <w:t>снизить летальность пациентов с 16,7% до 2,5%</w:t>
      </w:r>
      <w:r w:rsidRPr="0096632B">
        <w:rPr>
          <w:sz w:val="28"/>
          <w:szCs w:val="28"/>
        </w:rPr>
        <w:t xml:space="preserve"> (p&lt;0,05).</w:t>
      </w:r>
    </w:p>
    <w:p w:rsidR="00286780" w:rsidRDefault="00286780" w:rsidP="004A0CF0">
      <w:pPr>
        <w:jc w:val="both"/>
        <w:rPr>
          <w:sz w:val="28"/>
          <w:szCs w:val="28"/>
          <w:lang w:eastAsia="en-US"/>
        </w:rPr>
      </w:pPr>
    </w:p>
    <w:p w:rsidR="00286780" w:rsidRDefault="00286780" w:rsidP="00FE6318">
      <w:pPr>
        <w:pStyle w:val="20"/>
      </w:pPr>
      <w:bookmarkStart w:id="36" w:name="_Toc67905718"/>
      <w:r w:rsidRPr="00FE6318">
        <w:t>Практические рекомендации</w:t>
      </w:r>
      <w:bookmarkEnd w:id="36"/>
    </w:p>
    <w:p w:rsidR="00286780" w:rsidRDefault="00286780" w:rsidP="004A0CF0">
      <w:pPr>
        <w:jc w:val="both"/>
        <w:rPr>
          <w:sz w:val="28"/>
          <w:szCs w:val="28"/>
          <w:lang w:eastAsia="en-US"/>
        </w:rPr>
      </w:pPr>
    </w:p>
    <w:p w:rsidR="006D675C" w:rsidRPr="006D675C" w:rsidRDefault="00286780" w:rsidP="006D675C">
      <w:pPr>
        <w:spacing w:line="360" w:lineRule="auto"/>
        <w:ind w:firstLine="709"/>
        <w:jc w:val="both"/>
        <w:rPr>
          <w:rFonts w:cs="Calibri"/>
          <w:sz w:val="28"/>
          <w:szCs w:val="28"/>
          <w:lang w:eastAsia="ar-SA"/>
        </w:rPr>
      </w:pPr>
      <w:r w:rsidRPr="00FE6318">
        <w:rPr>
          <w:rFonts w:cs="Calibri"/>
          <w:sz w:val="28"/>
          <w:szCs w:val="28"/>
          <w:lang w:eastAsia="ar-SA"/>
        </w:rPr>
        <w:t xml:space="preserve">1. </w:t>
      </w:r>
      <w:r w:rsidR="006D675C" w:rsidRPr="006D675C">
        <w:rPr>
          <w:rFonts w:cs="Calibri"/>
          <w:sz w:val="28"/>
          <w:szCs w:val="28"/>
          <w:lang w:eastAsia="ar-SA"/>
        </w:rPr>
        <w:t>У пациентов с одонтогенным сепсисом практическому врачу следует учитывать вероятность наличия хронической патологии внутренних органов (более 50%), включающей поражение печени (38,9%), сахарный диабет (25%), иную патологию (заболевания сердечно-сосудистой, дыхательной и мочевыделительной систем), требующих привлечения профильных специалистов (эндокринолог, гастроэнтеролог, кардиолог, пульмонолог, нефролог, терапевт) в предоперационном периоде и последующем выполнении соответствующих специализированных рекомендаций.</w:t>
      </w:r>
    </w:p>
    <w:p w:rsidR="006D675C" w:rsidRPr="006D675C" w:rsidRDefault="006D675C" w:rsidP="006D675C">
      <w:pPr>
        <w:spacing w:line="360" w:lineRule="auto"/>
        <w:ind w:firstLine="709"/>
        <w:jc w:val="both"/>
        <w:rPr>
          <w:rFonts w:cs="Calibri"/>
          <w:sz w:val="28"/>
          <w:szCs w:val="28"/>
          <w:lang w:eastAsia="ar-SA"/>
        </w:rPr>
      </w:pPr>
      <w:r w:rsidRPr="006D675C">
        <w:rPr>
          <w:rFonts w:cs="Calibri"/>
          <w:sz w:val="28"/>
          <w:szCs w:val="28"/>
          <w:lang w:eastAsia="ar-SA"/>
        </w:rPr>
        <w:lastRenderedPageBreak/>
        <w:t xml:space="preserve">2. У пациентов с МФОИ и сахарным диабетом, сердечно-сосудистой патологией, сопровождающейся хронической сердечной недостаточностью </w:t>
      </w:r>
      <w:r w:rsidRPr="006D675C">
        <w:rPr>
          <w:rFonts w:cs="Calibri"/>
          <w:sz w:val="28"/>
          <w:szCs w:val="28"/>
          <w:lang w:val="en-US" w:eastAsia="ar-SA"/>
        </w:rPr>
        <w:t>III</w:t>
      </w:r>
      <w:r w:rsidRPr="006D675C">
        <w:rPr>
          <w:rFonts w:cs="Calibri"/>
          <w:sz w:val="28"/>
          <w:szCs w:val="28"/>
          <w:lang w:eastAsia="ar-SA"/>
        </w:rPr>
        <w:t xml:space="preserve"> ФК, полиморбидной полиорганной патологией, необходимо учитывать высокую вероятность прогрессирования гнилостно-некротического воспалительного процесса (19-75% в зависимости от нозологической формы ХП), что требует одномоментной ревизии прилежащих клетчаточных пространств, создания благоприятных условий для оттока раневого отделяемого (рассечение поверхностного листка собственной фасции шеи – подъязычно-подчелюстного мешка при отсутствии распространенного поражения и сепсиса, удаление поднижечелюстной слюнной железы при распространенном поражении дна полости рта, окологлоточного пространства, шеи, сепсисе).</w:t>
      </w:r>
    </w:p>
    <w:p w:rsidR="006D675C" w:rsidRPr="006D675C" w:rsidRDefault="006D675C" w:rsidP="006D675C">
      <w:pPr>
        <w:spacing w:line="360" w:lineRule="auto"/>
        <w:ind w:firstLine="709"/>
        <w:jc w:val="both"/>
        <w:rPr>
          <w:rFonts w:cs="Calibri"/>
          <w:sz w:val="28"/>
          <w:szCs w:val="28"/>
          <w:lang w:eastAsia="ar-SA"/>
        </w:rPr>
      </w:pPr>
      <w:r w:rsidRPr="006D675C">
        <w:rPr>
          <w:rFonts w:cs="Calibri"/>
          <w:sz w:val="28"/>
          <w:szCs w:val="28"/>
          <w:lang w:eastAsia="ar-SA"/>
        </w:rPr>
        <w:t xml:space="preserve">3. Не рекомендуется использовать дифференциально-диагностическую шкалу </w:t>
      </w:r>
      <w:r w:rsidRPr="006D675C">
        <w:rPr>
          <w:rFonts w:cs="Calibri"/>
          <w:sz w:val="28"/>
          <w:szCs w:val="28"/>
          <w:lang w:val="en-US" w:eastAsia="ar-SA"/>
        </w:rPr>
        <w:t>qSOFA</w:t>
      </w:r>
      <w:r w:rsidRPr="006D675C">
        <w:rPr>
          <w:rFonts w:cs="Calibri"/>
          <w:sz w:val="28"/>
          <w:szCs w:val="28"/>
          <w:lang w:eastAsia="ar-SA"/>
        </w:rPr>
        <w:t xml:space="preserve"> для ранней диагностики ОС (в связи с низкой чувствительностью метода к признакам одонтогенного сепсиса).</w:t>
      </w:r>
    </w:p>
    <w:p w:rsidR="006D675C" w:rsidRPr="006D675C" w:rsidRDefault="006D675C" w:rsidP="006D675C">
      <w:pPr>
        <w:spacing w:line="360" w:lineRule="auto"/>
        <w:ind w:firstLine="709"/>
        <w:jc w:val="both"/>
        <w:rPr>
          <w:rFonts w:cs="Calibri"/>
          <w:sz w:val="28"/>
          <w:szCs w:val="28"/>
          <w:lang w:eastAsia="ar-SA"/>
        </w:rPr>
      </w:pPr>
      <w:r w:rsidRPr="006D675C">
        <w:rPr>
          <w:rFonts w:cs="Calibri"/>
          <w:sz w:val="28"/>
          <w:szCs w:val="28"/>
          <w:lang w:eastAsia="ar-SA"/>
        </w:rPr>
        <w:t>4. Диагностику одонтогенного сепсиса необходимо производить с использованием алгоритма, включающего определение систолического и диастолического артериального давления, частоты сердечных сокращений, респираторного индекса, билирубина крови, уровня сознания по шкале ком Глазго, количества вовлеченных в воспалительный процесс топографо-анатомических областей и клетчаточных пространств. Каждому конкретному значению признака соответствует балльная оценка от 0 до 1 балла (Таблица 8). В последующем баллы суммируются, сепсису соответствует диапазон значений от 3 баллов и более.</w:t>
      </w:r>
    </w:p>
    <w:p w:rsidR="006D675C" w:rsidRPr="006D675C" w:rsidRDefault="006D675C" w:rsidP="006D675C">
      <w:pPr>
        <w:spacing w:line="360" w:lineRule="auto"/>
        <w:ind w:firstLine="709"/>
        <w:jc w:val="both"/>
        <w:rPr>
          <w:rFonts w:cs="Calibri"/>
          <w:sz w:val="28"/>
          <w:szCs w:val="28"/>
          <w:lang w:eastAsia="ar-SA"/>
        </w:rPr>
      </w:pPr>
      <w:r w:rsidRPr="006D675C">
        <w:rPr>
          <w:rFonts w:cs="Calibri"/>
          <w:sz w:val="28"/>
          <w:szCs w:val="28"/>
          <w:lang w:eastAsia="ar-SA"/>
        </w:rPr>
        <w:t xml:space="preserve">5. Лечение пациентов с острыми одонтогенными воспалительными процессами необходимо выполнять с применением программы, включающей </w:t>
      </w:r>
      <w:r w:rsidRPr="006D675C">
        <w:rPr>
          <w:sz w:val="28"/>
          <w:szCs w:val="28"/>
        </w:rPr>
        <w:t>предоперационную подготовку и последующее периоперационное ведение, осуществляемые в соответствии с клиническими рекомендациями, радикальное оперативное вмешательство с созданием максимально благоприятных условий для некрэктомии и дренирования соответствующих клетчаточных пространств, в том числе с использованием рассечения подъязычно-подчелюстного мешка (поверхностного листка собственной фасции шеи) с последующим дренированием двупросветными дре</w:t>
      </w:r>
      <w:r w:rsidRPr="006D675C">
        <w:rPr>
          <w:sz w:val="28"/>
          <w:szCs w:val="28"/>
        </w:rPr>
        <w:lastRenderedPageBreak/>
        <w:t>нажами, сиалэктомии в области поражения, медиастинотомии при наличии контактного медиастинита.</w:t>
      </w:r>
    </w:p>
    <w:p w:rsidR="006D675C" w:rsidRPr="006D675C" w:rsidRDefault="006D675C" w:rsidP="006D675C">
      <w:pPr>
        <w:spacing w:line="360" w:lineRule="auto"/>
        <w:ind w:firstLine="709"/>
        <w:jc w:val="both"/>
        <w:rPr>
          <w:rFonts w:cs="Calibri"/>
          <w:sz w:val="28"/>
          <w:szCs w:val="28"/>
          <w:lang w:eastAsia="ar-SA"/>
        </w:rPr>
      </w:pPr>
      <w:r w:rsidRPr="006D675C">
        <w:rPr>
          <w:rFonts w:cs="Calibri"/>
          <w:sz w:val="28"/>
          <w:szCs w:val="28"/>
          <w:lang w:eastAsia="ar-SA"/>
        </w:rPr>
        <w:t>6. У пациентов с МФОИ и полиорганной фоновой патологией возможно применение клиндамицина в виде монотерапии.</w:t>
      </w:r>
    </w:p>
    <w:p w:rsidR="00286780" w:rsidRDefault="00286780" w:rsidP="006D675C">
      <w:pPr>
        <w:spacing w:line="360" w:lineRule="auto"/>
        <w:jc w:val="both"/>
        <w:rPr>
          <w:rFonts w:cs="Calibri"/>
          <w:sz w:val="28"/>
          <w:szCs w:val="28"/>
          <w:lang w:eastAsia="ar-SA"/>
        </w:rPr>
      </w:pPr>
    </w:p>
    <w:p w:rsidR="00286780" w:rsidRDefault="00286780" w:rsidP="00C20EAB">
      <w:pPr>
        <w:spacing w:line="360" w:lineRule="auto"/>
        <w:ind w:firstLine="709"/>
        <w:jc w:val="center"/>
        <w:rPr>
          <w:rFonts w:cs="Calibri"/>
          <w:b/>
          <w:sz w:val="28"/>
          <w:szCs w:val="28"/>
          <w:lang w:eastAsia="ar-SA"/>
        </w:rPr>
      </w:pPr>
      <w:r w:rsidRPr="00C20EAB">
        <w:rPr>
          <w:rFonts w:cs="Calibri"/>
          <w:b/>
          <w:sz w:val="28"/>
          <w:szCs w:val="28"/>
          <w:lang w:eastAsia="ar-SA"/>
        </w:rPr>
        <w:t>Перспективы дальнейшей разработки темы</w:t>
      </w:r>
    </w:p>
    <w:p w:rsidR="00286780" w:rsidRPr="00C20EAB" w:rsidRDefault="00286780" w:rsidP="00C20EAB">
      <w:pPr>
        <w:spacing w:line="360" w:lineRule="auto"/>
        <w:ind w:firstLine="709"/>
        <w:jc w:val="center"/>
        <w:rPr>
          <w:rFonts w:cs="Calibri"/>
          <w:b/>
          <w:sz w:val="28"/>
          <w:szCs w:val="28"/>
          <w:lang w:eastAsia="ar-SA"/>
        </w:rPr>
      </w:pPr>
    </w:p>
    <w:p w:rsidR="00286780" w:rsidRPr="00FE6318" w:rsidRDefault="00286780" w:rsidP="00C20EAB">
      <w:pPr>
        <w:spacing w:line="360" w:lineRule="auto"/>
        <w:ind w:firstLine="709"/>
        <w:jc w:val="both"/>
        <w:rPr>
          <w:rFonts w:cs="Calibri"/>
          <w:sz w:val="28"/>
          <w:szCs w:val="28"/>
          <w:lang w:eastAsia="ar-SA"/>
        </w:rPr>
      </w:pPr>
      <w:r w:rsidRPr="00C20EAB">
        <w:rPr>
          <w:rFonts w:cs="Calibri"/>
          <w:sz w:val="28"/>
          <w:szCs w:val="28"/>
          <w:lang w:eastAsia="ar-SA"/>
        </w:rPr>
        <w:t>Изучение возможностей применения ультразвукового исследования клетчаточных пространств челюстно-лицевой области и шеи с целью оптимизации дренирования гнойных полостей. Разработка соответствующих программ, включающих обучение врачей-челюстно-лицевых хирургов методам ультразвуковой диагностики и способам дренирования с использованием малоинвазивных технологий. Исследование факторов общего и местного иммунитета, характеристик анаэробной микрофлоры и иммунологической реактивности макроорганизма у пациентов с МФОИ, одонтогенным сепсисом и различными нозологическими формами полиморбидной фоновой патологии.</w:t>
      </w:r>
    </w:p>
    <w:p w:rsidR="00286780" w:rsidRDefault="00286780">
      <w:pPr>
        <w:rPr>
          <w:sz w:val="28"/>
          <w:szCs w:val="28"/>
          <w:lang w:eastAsia="en-US"/>
        </w:rPr>
      </w:pPr>
      <w:r>
        <w:rPr>
          <w:sz w:val="28"/>
          <w:szCs w:val="28"/>
          <w:lang w:eastAsia="en-US"/>
        </w:rPr>
        <w:br w:type="page"/>
      </w:r>
    </w:p>
    <w:p w:rsidR="00286780" w:rsidRDefault="00286780" w:rsidP="00FE6318">
      <w:pPr>
        <w:pStyle w:val="10"/>
      </w:pPr>
      <w:bookmarkStart w:id="37" w:name="_Toc67905719"/>
      <w:r w:rsidRPr="00FE6318">
        <w:t>СПИСОК СОКРАЩЕНИЙ И УСЛОВНЫХ ОБОЗНАЧЕНИЙ</w:t>
      </w:r>
      <w:bookmarkEnd w:id="37"/>
    </w:p>
    <w:p w:rsidR="00286780" w:rsidRDefault="00286780" w:rsidP="004A0CF0">
      <w:pPr>
        <w:jc w:val="both"/>
        <w:rPr>
          <w:sz w:val="28"/>
          <w:szCs w:val="28"/>
          <w:lang w:eastAsia="en-US"/>
        </w:rPr>
      </w:pPr>
    </w:p>
    <w:p w:rsidR="00286780" w:rsidRDefault="00286780" w:rsidP="00FE6318">
      <w:pPr>
        <w:spacing w:before="120"/>
        <w:ind w:right="113"/>
        <w:jc w:val="both"/>
        <w:rPr>
          <w:bCs/>
          <w:sz w:val="28"/>
          <w:szCs w:val="28"/>
        </w:rPr>
      </w:pPr>
      <w:r w:rsidRPr="00FE6318">
        <w:rPr>
          <w:bCs/>
          <w:sz w:val="28"/>
          <w:szCs w:val="28"/>
        </w:rPr>
        <w:t>АГ – артериальная гипертония</w:t>
      </w:r>
    </w:p>
    <w:p w:rsidR="00286780" w:rsidRDefault="00286780" w:rsidP="00FE6318">
      <w:pPr>
        <w:spacing w:before="120"/>
        <w:ind w:right="113"/>
        <w:jc w:val="both"/>
        <w:rPr>
          <w:bCs/>
          <w:sz w:val="28"/>
          <w:szCs w:val="28"/>
        </w:rPr>
      </w:pPr>
      <w:r>
        <w:rPr>
          <w:bCs/>
          <w:sz w:val="28"/>
          <w:szCs w:val="28"/>
        </w:rPr>
        <w:t>АДс – артериальное давление систолическое</w:t>
      </w:r>
    </w:p>
    <w:p w:rsidR="00286780" w:rsidRPr="00FE6318" w:rsidRDefault="00286780" w:rsidP="00FE6318">
      <w:pPr>
        <w:spacing w:before="120"/>
        <w:ind w:right="113"/>
        <w:jc w:val="both"/>
        <w:rPr>
          <w:bCs/>
          <w:sz w:val="28"/>
          <w:szCs w:val="28"/>
        </w:rPr>
      </w:pPr>
      <w:r>
        <w:rPr>
          <w:bCs/>
          <w:sz w:val="28"/>
          <w:szCs w:val="28"/>
        </w:rPr>
        <w:t>АДд – артериальное давление диастолическое</w:t>
      </w:r>
    </w:p>
    <w:p w:rsidR="00286780" w:rsidRPr="00FE6318" w:rsidRDefault="00286780" w:rsidP="00FE6318">
      <w:pPr>
        <w:spacing w:before="120"/>
        <w:ind w:right="113"/>
        <w:jc w:val="both"/>
        <w:rPr>
          <w:bCs/>
          <w:sz w:val="28"/>
          <w:szCs w:val="28"/>
        </w:rPr>
      </w:pPr>
      <w:r w:rsidRPr="00FE6318">
        <w:rPr>
          <w:bCs/>
          <w:sz w:val="28"/>
          <w:szCs w:val="28"/>
        </w:rPr>
        <w:t>АПФ – ангиотензинпревращающий фермент</w:t>
      </w:r>
    </w:p>
    <w:p w:rsidR="00286780" w:rsidRPr="00FE6318" w:rsidRDefault="00286780" w:rsidP="00FE6318">
      <w:pPr>
        <w:spacing w:before="120"/>
        <w:ind w:right="113"/>
        <w:jc w:val="both"/>
        <w:rPr>
          <w:bCs/>
          <w:sz w:val="28"/>
          <w:szCs w:val="28"/>
        </w:rPr>
      </w:pPr>
      <w:r w:rsidRPr="00FE6318">
        <w:rPr>
          <w:bCs/>
          <w:sz w:val="28"/>
          <w:szCs w:val="28"/>
        </w:rPr>
        <w:t>БЛРС – бета-лактамазы расширенного спектра действия</w:t>
      </w:r>
    </w:p>
    <w:p w:rsidR="00286780" w:rsidRPr="00FE6318" w:rsidRDefault="00286780" w:rsidP="00FE6318">
      <w:pPr>
        <w:spacing w:before="120"/>
        <w:ind w:right="113"/>
        <w:jc w:val="both"/>
        <w:rPr>
          <w:sz w:val="28"/>
          <w:szCs w:val="28"/>
        </w:rPr>
      </w:pPr>
      <w:r w:rsidRPr="00FE6318">
        <w:rPr>
          <w:sz w:val="28"/>
          <w:szCs w:val="28"/>
        </w:rPr>
        <w:t>ВОЗ – Всемирная организация здравоохранения</w:t>
      </w:r>
    </w:p>
    <w:p w:rsidR="00286780" w:rsidRPr="00FE6318" w:rsidRDefault="00286780" w:rsidP="00FE6318">
      <w:pPr>
        <w:spacing w:before="120"/>
        <w:ind w:right="113"/>
        <w:jc w:val="both"/>
        <w:rPr>
          <w:sz w:val="28"/>
          <w:szCs w:val="28"/>
        </w:rPr>
      </w:pPr>
      <w:r w:rsidRPr="00FE6318">
        <w:rPr>
          <w:sz w:val="28"/>
          <w:szCs w:val="28"/>
        </w:rPr>
        <w:t>ВОКБ – Воронежская областная клиническая больница</w:t>
      </w:r>
    </w:p>
    <w:p w:rsidR="00286780" w:rsidRPr="00FE6318" w:rsidRDefault="00286780" w:rsidP="00FE6318">
      <w:pPr>
        <w:spacing w:before="120"/>
        <w:ind w:right="113"/>
        <w:jc w:val="both"/>
        <w:rPr>
          <w:sz w:val="28"/>
          <w:szCs w:val="28"/>
        </w:rPr>
      </w:pPr>
      <w:r w:rsidRPr="00FE6318">
        <w:rPr>
          <w:sz w:val="28"/>
          <w:szCs w:val="28"/>
        </w:rPr>
        <w:t>ГМЛЖ – гипертрофия миокарда левого желудочка</w:t>
      </w:r>
    </w:p>
    <w:p w:rsidR="00286780" w:rsidRPr="00FE6318" w:rsidRDefault="00286780" w:rsidP="00FE6318">
      <w:pPr>
        <w:spacing w:before="120"/>
        <w:ind w:right="113"/>
        <w:jc w:val="both"/>
        <w:rPr>
          <w:sz w:val="28"/>
          <w:szCs w:val="28"/>
        </w:rPr>
      </w:pPr>
      <w:r w:rsidRPr="00FE6318">
        <w:rPr>
          <w:sz w:val="28"/>
          <w:szCs w:val="28"/>
        </w:rPr>
        <w:t>ДИ – доверительный интервал</w:t>
      </w:r>
    </w:p>
    <w:p w:rsidR="00286780" w:rsidRPr="00FE6318" w:rsidRDefault="00286780" w:rsidP="00FE6318">
      <w:pPr>
        <w:spacing w:before="120"/>
        <w:ind w:right="113"/>
        <w:jc w:val="both"/>
        <w:rPr>
          <w:sz w:val="28"/>
          <w:szCs w:val="28"/>
        </w:rPr>
      </w:pPr>
      <w:r w:rsidRPr="00FE6318">
        <w:rPr>
          <w:sz w:val="28"/>
          <w:szCs w:val="28"/>
        </w:rPr>
        <w:t>ДН – дыхательная недостаточность</w:t>
      </w:r>
    </w:p>
    <w:p w:rsidR="00286780" w:rsidRPr="00FE6318" w:rsidRDefault="00286780" w:rsidP="00FE6318">
      <w:pPr>
        <w:spacing w:before="120"/>
        <w:ind w:right="113"/>
        <w:jc w:val="both"/>
        <w:rPr>
          <w:bCs/>
          <w:sz w:val="28"/>
          <w:szCs w:val="28"/>
        </w:rPr>
      </w:pPr>
      <w:r w:rsidRPr="00FE6318">
        <w:rPr>
          <w:bCs/>
          <w:sz w:val="28"/>
          <w:szCs w:val="28"/>
        </w:rPr>
        <w:t>ИБС – ишемическая болезнь сердца</w:t>
      </w:r>
    </w:p>
    <w:p w:rsidR="00286780" w:rsidRPr="00FE6318" w:rsidRDefault="00286780" w:rsidP="00FE6318">
      <w:pPr>
        <w:spacing w:before="120"/>
        <w:ind w:right="113"/>
        <w:jc w:val="both"/>
        <w:rPr>
          <w:bCs/>
          <w:sz w:val="28"/>
          <w:szCs w:val="28"/>
        </w:rPr>
      </w:pPr>
      <w:r w:rsidRPr="00FE6318">
        <w:rPr>
          <w:bCs/>
          <w:sz w:val="28"/>
          <w:szCs w:val="28"/>
        </w:rPr>
        <w:t>ИВЛ – искусственная вентиляция легких</w:t>
      </w:r>
    </w:p>
    <w:p w:rsidR="00286780" w:rsidRPr="00FE6318" w:rsidRDefault="00286780" w:rsidP="00FE6318">
      <w:pPr>
        <w:spacing w:before="120"/>
        <w:ind w:right="113"/>
        <w:jc w:val="both"/>
        <w:rPr>
          <w:sz w:val="28"/>
          <w:szCs w:val="28"/>
        </w:rPr>
      </w:pPr>
      <w:r w:rsidRPr="00FE6318">
        <w:rPr>
          <w:sz w:val="28"/>
          <w:szCs w:val="28"/>
        </w:rPr>
        <w:t>ИЛ – интерлейкин</w:t>
      </w:r>
    </w:p>
    <w:p w:rsidR="00286780" w:rsidRPr="00FE6318" w:rsidRDefault="00286780" w:rsidP="00FE6318">
      <w:pPr>
        <w:spacing w:before="120"/>
        <w:ind w:right="113"/>
        <w:jc w:val="both"/>
        <w:rPr>
          <w:sz w:val="28"/>
          <w:szCs w:val="28"/>
        </w:rPr>
      </w:pPr>
      <w:r w:rsidRPr="00FE6318">
        <w:rPr>
          <w:sz w:val="28"/>
          <w:szCs w:val="28"/>
        </w:rPr>
        <w:t>ИФА – иммуноферментный анализ</w:t>
      </w:r>
    </w:p>
    <w:p w:rsidR="00286780" w:rsidRPr="00FE6318" w:rsidRDefault="00286780" w:rsidP="00FE6318">
      <w:pPr>
        <w:spacing w:before="120"/>
        <w:ind w:right="113"/>
        <w:jc w:val="both"/>
        <w:rPr>
          <w:sz w:val="28"/>
          <w:szCs w:val="28"/>
        </w:rPr>
      </w:pPr>
      <w:r w:rsidRPr="00FE6318">
        <w:rPr>
          <w:sz w:val="28"/>
          <w:szCs w:val="28"/>
        </w:rPr>
        <w:t>КДО – конечный диастолический объем</w:t>
      </w:r>
    </w:p>
    <w:p w:rsidR="00286780" w:rsidRPr="00FE6318" w:rsidRDefault="00286780" w:rsidP="00FE6318">
      <w:pPr>
        <w:spacing w:before="120"/>
        <w:ind w:right="113"/>
        <w:jc w:val="both"/>
        <w:rPr>
          <w:sz w:val="28"/>
          <w:szCs w:val="28"/>
        </w:rPr>
      </w:pPr>
      <w:r w:rsidRPr="00FE6318">
        <w:rPr>
          <w:sz w:val="28"/>
          <w:szCs w:val="28"/>
        </w:rPr>
        <w:t>КОКБ – Курская областная клиническая больница</w:t>
      </w:r>
    </w:p>
    <w:p w:rsidR="00286780" w:rsidRPr="00FE6318" w:rsidRDefault="00286780" w:rsidP="00FE6318">
      <w:pPr>
        <w:spacing w:before="120"/>
        <w:ind w:right="113"/>
        <w:jc w:val="both"/>
        <w:rPr>
          <w:sz w:val="28"/>
          <w:szCs w:val="28"/>
        </w:rPr>
      </w:pPr>
      <w:r w:rsidRPr="00FE6318">
        <w:rPr>
          <w:sz w:val="28"/>
          <w:szCs w:val="28"/>
        </w:rPr>
        <w:t>КОМ – контактный одонтогенный медиастинит</w:t>
      </w:r>
    </w:p>
    <w:p w:rsidR="00286780" w:rsidRDefault="00286780" w:rsidP="00FE6318">
      <w:pPr>
        <w:spacing w:before="120"/>
        <w:ind w:right="113"/>
        <w:jc w:val="both"/>
        <w:rPr>
          <w:sz w:val="28"/>
          <w:szCs w:val="28"/>
        </w:rPr>
      </w:pPr>
      <w:r w:rsidRPr="00FE6318">
        <w:rPr>
          <w:sz w:val="28"/>
          <w:szCs w:val="28"/>
        </w:rPr>
        <w:t>КСО – конечный систолический объем</w:t>
      </w:r>
    </w:p>
    <w:p w:rsidR="00286780" w:rsidRPr="00FE6318" w:rsidRDefault="00286780" w:rsidP="00FE6318">
      <w:pPr>
        <w:spacing w:before="120"/>
        <w:ind w:right="113"/>
        <w:jc w:val="both"/>
        <w:rPr>
          <w:sz w:val="28"/>
          <w:szCs w:val="28"/>
        </w:rPr>
      </w:pPr>
      <w:r>
        <w:rPr>
          <w:sz w:val="28"/>
          <w:szCs w:val="28"/>
        </w:rPr>
        <w:t>ЛИИ – лейкоцитарный индекс интоксикации</w:t>
      </w:r>
    </w:p>
    <w:p w:rsidR="00286780" w:rsidRPr="00FE6318" w:rsidRDefault="00286780" w:rsidP="00FE6318">
      <w:pPr>
        <w:spacing w:before="120"/>
        <w:ind w:right="113"/>
        <w:jc w:val="both"/>
        <w:rPr>
          <w:sz w:val="28"/>
          <w:szCs w:val="28"/>
        </w:rPr>
      </w:pPr>
      <w:r w:rsidRPr="00FE6318">
        <w:rPr>
          <w:sz w:val="28"/>
          <w:szCs w:val="28"/>
        </w:rPr>
        <w:t>МОК – минутный объем кровообращения</w:t>
      </w:r>
    </w:p>
    <w:p w:rsidR="00286780" w:rsidRPr="00FE6318" w:rsidRDefault="00286780" w:rsidP="00FE6318">
      <w:pPr>
        <w:spacing w:before="120"/>
        <w:ind w:right="113"/>
        <w:jc w:val="both"/>
        <w:rPr>
          <w:bCs/>
          <w:sz w:val="28"/>
          <w:szCs w:val="28"/>
        </w:rPr>
      </w:pPr>
      <w:r w:rsidRPr="00FE6318">
        <w:rPr>
          <w:bCs/>
          <w:sz w:val="28"/>
          <w:szCs w:val="28"/>
        </w:rPr>
        <w:t>МФОИ – местная форма одонтогенной инфекции</w:t>
      </w:r>
    </w:p>
    <w:p w:rsidR="00286780" w:rsidRPr="00FE6318" w:rsidRDefault="00286780" w:rsidP="00FE6318">
      <w:pPr>
        <w:spacing w:before="120"/>
        <w:ind w:right="113"/>
        <w:jc w:val="both"/>
        <w:rPr>
          <w:sz w:val="28"/>
          <w:szCs w:val="28"/>
        </w:rPr>
      </w:pPr>
      <w:r w:rsidRPr="00FE6318">
        <w:rPr>
          <w:sz w:val="28"/>
          <w:szCs w:val="28"/>
        </w:rPr>
        <w:t>ОДН – острая дыхательная недостаточность</w:t>
      </w:r>
    </w:p>
    <w:p w:rsidR="00286780" w:rsidRPr="00FE6318" w:rsidRDefault="00286780" w:rsidP="00FE6318">
      <w:pPr>
        <w:spacing w:before="120"/>
        <w:ind w:right="113"/>
        <w:jc w:val="both"/>
        <w:rPr>
          <w:sz w:val="28"/>
          <w:szCs w:val="28"/>
        </w:rPr>
      </w:pPr>
      <w:r w:rsidRPr="00FE6318">
        <w:rPr>
          <w:sz w:val="28"/>
          <w:szCs w:val="28"/>
        </w:rPr>
        <w:t>ОПСС – общее периферическое сосудистое сопротивление</w:t>
      </w:r>
    </w:p>
    <w:p w:rsidR="00286780" w:rsidRPr="00FE6318" w:rsidRDefault="00286780" w:rsidP="00FE6318">
      <w:pPr>
        <w:spacing w:before="120"/>
        <w:ind w:right="113"/>
        <w:jc w:val="both"/>
        <w:rPr>
          <w:bCs/>
          <w:sz w:val="28"/>
          <w:szCs w:val="28"/>
        </w:rPr>
      </w:pPr>
      <w:r w:rsidRPr="00FE6318">
        <w:rPr>
          <w:bCs/>
          <w:sz w:val="28"/>
          <w:szCs w:val="28"/>
        </w:rPr>
        <w:t>ОС – одонтогенный сепсис</w:t>
      </w:r>
    </w:p>
    <w:p w:rsidR="00286780" w:rsidRPr="00FE6318" w:rsidRDefault="00286780" w:rsidP="00FE6318">
      <w:pPr>
        <w:spacing w:before="120"/>
        <w:ind w:right="113"/>
        <w:jc w:val="both"/>
        <w:rPr>
          <w:sz w:val="28"/>
          <w:szCs w:val="28"/>
        </w:rPr>
      </w:pPr>
      <w:r w:rsidRPr="00FE6318">
        <w:rPr>
          <w:sz w:val="28"/>
          <w:szCs w:val="28"/>
        </w:rPr>
        <w:t>СИ – систолический индекс</w:t>
      </w:r>
    </w:p>
    <w:p w:rsidR="00286780" w:rsidRDefault="00286780" w:rsidP="00FE6318">
      <w:pPr>
        <w:spacing w:before="120"/>
        <w:ind w:right="113"/>
        <w:jc w:val="both"/>
        <w:rPr>
          <w:sz w:val="28"/>
          <w:szCs w:val="28"/>
        </w:rPr>
      </w:pPr>
      <w:r w:rsidRPr="00FE6318">
        <w:rPr>
          <w:sz w:val="28"/>
          <w:szCs w:val="28"/>
        </w:rPr>
        <w:t>СОЭ – скорость оседания эритроцитов</w:t>
      </w:r>
    </w:p>
    <w:p w:rsidR="00286780" w:rsidRPr="00FE6318" w:rsidRDefault="00286780" w:rsidP="00FE6318">
      <w:pPr>
        <w:spacing w:before="120"/>
        <w:ind w:right="113"/>
        <w:jc w:val="both"/>
        <w:rPr>
          <w:sz w:val="28"/>
          <w:szCs w:val="28"/>
        </w:rPr>
      </w:pPr>
      <w:r>
        <w:rPr>
          <w:sz w:val="28"/>
          <w:szCs w:val="28"/>
        </w:rPr>
        <w:t>СПОН - синдром полиорганной недостаточности</w:t>
      </w:r>
    </w:p>
    <w:p w:rsidR="00286780" w:rsidRPr="00FE6318" w:rsidRDefault="00286780" w:rsidP="00FE6318">
      <w:pPr>
        <w:spacing w:before="120"/>
        <w:ind w:right="113"/>
        <w:jc w:val="both"/>
        <w:rPr>
          <w:sz w:val="28"/>
          <w:szCs w:val="28"/>
        </w:rPr>
      </w:pPr>
      <w:r w:rsidRPr="00FE6318">
        <w:rPr>
          <w:sz w:val="28"/>
          <w:szCs w:val="28"/>
        </w:rPr>
        <w:t>ССВР (</w:t>
      </w:r>
      <w:r w:rsidRPr="00FE6318">
        <w:rPr>
          <w:sz w:val="28"/>
          <w:szCs w:val="28"/>
          <w:lang w:val="en-US"/>
        </w:rPr>
        <w:t>SIRS</w:t>
      </w:r>
      <w:r w:rsidRPr="00FE6318">
        <w:rPr>
          <w:sz w:val="28"/>
          <w:szCs w:val="28"/>
        </w:rPr>
        <w:t>) – синдром системной воспалительной реакции</w:t>
      </w:r>
    </w:p>
    <w:p w:rsidR="00286780" w:rsidRPr="00FE6318" w:rsidRDefault="00286780" w:rsidP="00FE6318">
      <w:pPr>
        <w:spacing w:before="120"/>
        <w:ind w:right="113"/>
        <w:jc w:val="both"/>
        <w:rPr>
          <w:bCs/>
          <w:sz w:val="28"/>
          <w:szCs w:val="28"/>
        </w:rPr>
      </w:pPr>
      <w:r w:rsidRPr="00FE6318">
        <w:rPr>
          <w:bCs/>
          <w:sz w:val="28"/>
          <w:szCs w:val="28"/>
        </w:rPr>
        <w:t>УОС – ударный объем кровообращения</w:t>
      </w:r>
    </w:p>
    <w:p w:rsidR="00286780" w:rsidRPr="00FE6318" w:rsidRDefault="00286780" w:rsidP="00FE6318">
      <w:pPr>
        <w:spacing w:before="120"/>
        <w:ind w:right="113"/>
        <w:jc w:val="both"/>
        <w:rPr>
          <w:bCs/>
          <w:sz w:val="28"/>
          <w:szCs w:val="28"/>
        </w:rPr>
      </w:pPr>
      <w:r w:rsidRPr="00FE6318">
        <w:rPr>
          <w:bCs/>
          <w:sz w:val="28"/>
          <w:szCs w:val="28"/>
        </w:rPr>
        <w:t>ФК – функциональный класс</w:t>
      </w:r>
    </w:p>
    <w:p w:rsidR="00286780" w:rsidRPr="00FE6318" w:rsidRDefault="00286780" w:rsidP="00FE6318">
      <w:pPr>
        <w:spacing w:before="120"/>
        <w:ind w:right="113"/>
        <w:jc w:val="both"/>
        <w:rPr>
          <w:sz w:val="28"/>
          <w:szCs w:val="28"/>
        </w:rPr>
      </w:pPr>
      <w:r w:rsidRPr="00FE6318">
        <w:rPr>
          <w:sz w:val="28"/>
          <w:szCs w:val="28"/>
        </w:rPr>
        <w:lastRenderedPageBreak/>
        <w:t>ФНО – фактор некроза опухолей</w:t>
      </w:r>
    </w:p>
    <w:p w:rsidR="00286780" w:rsidRPr="00FE6318" w:rsidRDefault="00286780" w:rsidP="00FE6318">
      <w:pPr>
        <w:spacing w:before="120"/>
        <w:ind w:right="113"/>
        <w:jc w:val="both"/>
        <w:rPr>
          <w:bCs/>
          <w:sz w:val="28"/>
          <w:szCs w:val="28"/>
        </w:rPr>
      </w:pPr>
      <w:r w:rsidRPr="00FE6318">
        <w:rPr>
          <w:bCs/>
          <w:sz w:val="28"/>
          <w:szCs w:val="28"/>
        </w:rPr>
        <w:t>ФП – фоновая патология</w:t>
      </w:r>
    </w:p>
    <w:p w:rsidR="00286780" w:rsidRPr="00FE6318" w:rsidRDefault="00286780" w:rsidP="00FE6318">
      <w:pPr>
        <w:spacing w:before="120"/>
        <w:ind w:right="113"/>
        <w:jc w:val="both"/>
        <w:rPr>
          <w:sz w:val="28"/>
          <w:szCs w:val="28"/>
        </w:rPr>
      </w:pPr>
      <w:r w:rsidRPr="00FE6318">
        <w:rPr>
          <w:sz w:val="28"/>
          <w:szCs w:val="28"/>
        </w:rPr>
        <w:t>ХОБЛ – хроническая обструктивная болезнь легких</w:t>
      </w:r>
    </w:p>
    <w:p w:rsidR="00286780" w:rsidRPr="00FE6318" w:rsidRDefault="00286780" w:rsidP="00FE6318">
      <w:pPr>
        <w:spacing w:before="120"/>
        <w:ind w:right="113"/>
        <w:jc w:val="both"/>
        <w:rPr>
          <w:bCs/>
          <w:sz w:val="28"/>
          <w:szCs w:val="28"/>
        </w:rPr>
      </w:pPr>
      <w:r w:rsidRPr="00FE6318">
        <w:rPr>
          <w:bCs/>
          <w:sz w:val="28"/>
          <w:szCs w:val="28"/>
        </w:rPr>
        <w:t>ХП – хроническая патология</w:t>
      </w:r>
    </w:p>
    <w:p w:rsidR="00286780" w:rsidRPr="00FE6318" w:rsidRDefault="00286780" w:rsidP="00FE6318">
      <w:pPr>
        <w:spacing w:before="120"/>
        <w:ind w:right="113"/>
        <w:jc w:val="both"/>
        <w:rPr>
          <w:bCs/>
          <w:sz w:val="28"/>
          <w:szCs w:val="28"/>
        </w:rPr>
      </w:pPr>
      <w:r w:rsidRPr="00FE6318">
        <w:rPr>
          <w:bCs/>
          <w:sz w:val="28"/>
          <w:szCs w:val="28"/>
        </w:rPr>
        <w:t>ХСН – хроническая сердечная недостаточность</w:t>
      </w:r>
    </w:p>
    <w:p w:rsidR="00286780" w:rsidRPr="00FE6318" w:rsidRDefault="00286780" w:rsidP="00FE6318">
      <w:pPr>
        <w:spacing w:before="120"/>
        <w:ind w:right="113"/>
        <w:jc w:val="both"/>
        <w:rPr>
          <w:bCs/>
          <w:sz w:val="28"/>
          <w:szCs w:val="28"/>
        </w:rPr>
      </w:pPr>
      <w:r w:rsidRPr="00FE6318">
        <w:rPr>
          <w:bCs/>
          <w:sz w:val="28"/>
          <w:szCs w:val="28"/>
        </w:rPr>
        <w:t>ЧСС – частота сердечных сокращений</w:t>
      </w:r>
    </w:p>
    <w:p w:rsidR="00286780" w:rsidRPr="00FE6318" w:rsidRDefault="00286780" w:rsidP="00FE6318">
      <w:pPr>
        <w:spacing w:before="120"/>
        <w:ind w:right="113"/>
        <w:jc w:val="both"/>
        <w:rPr>
          <w:sz w:val="28"/>
          <w:szCs w:val="28"/>
          <w:lang w:val="en-US"/>
        </w:rPr>
      </w:pPr>
      <w:r w:rsidRPr="00FE6318">
        <w:rPr>
          <w:sz w:val="28"/>
          <w:szCs w:val="28"/>
          <w:lang w:val="en-US"/>
        </w:rPr>
        <w:t xml:space="preserve">Ac – </w:t>
      </w:r>
      <w:r w:rsidRPr="00FE6318">
        <w:rPr>
          <w:sz w:val="28"/>
          <w:szCs w:val="28"/>
        </w:rPr>
        <w:t>точность</w:t>
      </w:r>
    </w:p>
    <w:p w:rsidR="00286780" w:rsidRPr="00FE6318" w:rsidRDefault="00286780" w:rsidP="00FE6318">
      <w:pPr>
        <w:spacing w:before="120"/>
        <w:ind w:right="113"/>
        <w:jc w:val="both"/>
        <w:rPr>
          <w:spacing w:val="-4"/>
          <w:sz w:val="28"/>
          <w:szCs w:val="28"/>
          <w:lang w:val="en-US"/>
        </w:rPr>
      </w:pPr>
      <w:r w:rsidRPr="00FE6318">
        <w:rPr>
          <w:spacing w:val="-4"/>
          <w:sz w:val="28"/>
          <w:szCs w:val="28"/>
          <w:lang w:val="en-US"/>
        </w:rPr>
        <w:t>ACCP/SCCM – American College of Chest Physician/Society of Critical Care Medicine</w:t>
      </w:r>
    </w:p>
    <w:p w:rsidR="00286780" w:rsidRPr="00FE6318" w:rsidRDefault="00286780" w:rsidP="00FE6318">
      <w:pPr>
        <w:spacing w:before="120"/>
        <w:ind w:right="113"/>
        <w:jc w:val="both"/>
        <w:rPr>
          <w:sz w:val="28"/>
          <w:szCs w:val="28"/>
        </w:rPr>
      </w:pPr>
      <w:r w:rsidRPr="00FE6318">
        <w:rPr>
          <w:sz w:val="28"/>
          <w:szCs w:val="28"/>
          <w:lang w:val="en-US"/>
        </w:rPr>
        <w:t>EHS</w:t>
      </w:r>
      <w:r w:rsidRPr="00FE6318">
        <w:rPr>
          <w:sz w:val="28"/>
          <w:szCs w:val="28"/>
        </w:rPr>
        <w:t>/</w:t>
      </w:r>
      <w:r w:rsidRPr="00FE6318">
        <w:rPr>
          <w:sz w:val="28"/>
          <w:szCs w:val="28"/>
          <w:lang w:val="en-US"/>
        </w:rPr>
        <w:t>ESC</w:t>
      </w:r>
      <w:r w:rsidRPr="00FE6318">
        <w:rPr>
          <w:sz w:val="28"/>
          <w:szCs w:val="28"/>
        </w:rPr>
        <w:t xml:space="preserve"> – Европейское общество по гипертензии/Европейское общество кардиологов</w:t>
      </w:r>
    </w:p>
    <w:p w:rsidR="00286780" w:rsidRPr="00FE6318" w:rsidRDefault="00286780" w:rsidP="00FE6318">
      <w:pPr>
        <w:spacing w:before="120"/>
        <w:ind w:right="113"/>
        <w:jc w:val="both"/>
        <w:rPr>
          <w:sz w:val="28"/>
          <w:szCs w:val="28"/>
        </w:rPr>
      </w:pPr>
      <w:r w:rsidRPr="00FE6318">
        <w:rPr>
          <w:sz w:val="28"/>
          <w:szCs w:val="28"/>
          <w:lang w:val="en-US"/>
        </w:rPr>
        <w:t>FiO</w:t>
      </w:r>
      <w:r w:rsidRPr="00FE6318">
        <w:rPr>
          <w:sz w:val="28"/>
          <w:szCs w:val="28"/>
          <w:vertAlign w:val="subscript"/>
        </w:rPr>
        <w:t xml:space="preserve">2 </w:t>
      </w:r>
      <w:r w:rsidRPr="00FE6318">
        <w:rPr>
          <w:sz w:val="28"/>
          <w:szCs w:val="28"/>
        </w:rPr>
        <w:t>– фракция кислорода во вдыхаемой газовой смеси</w:t>
      </w:r>
    </w:p>
    <w:p w:rsidR="00286780" w:rsidRPr="00FE6318" w:rsidRDefault="00286780" w:rsidP="00FE6318">
      <w:pPr>
        <w:spacing w:before="120"/>
        <w:ind w:right="113"/>
        <w:jc w:val="both"/>
        <w:rPr>
          <w:sz w:val="28"/>
          <w:szCs w:val="28"/>
        </w:rPr>
      </w:pPr>
      <w:r w:rsidRPr="00FE6318">
        <w:rPr>
          <w:sz w:val="28"/>
          <w:szCs w:val="28"/>
          <w:lang w:val="en-US"/>
        </w:rPr>
        <w:t>Ig</w:t>
      </w:r>
      <w:r w:rsidRPr="00FE6318">
        <w:rPr>
          <w:sz w:val="28"/>
          <w:szCs w:val="28"/>
        </w:rPr>
        <w:t xml:space="preserve"> – иммуноглобулин</w:t>
      </w:r>
    </w:p>
    <w:p w:rsidR="00286780" w:rsidRPr="00FE6318" w:rsidRDefault="00286780" w:rsidP="00FE6318">
      <w:pPr>
        <w:spacing w:before="120"/>
        <w:ind w:right="113"/>
        <w:jc w:val="both"/>
        <w:rPr>
          <w:sz w:val="28"/>
          <w:szCs w:val="28"/>
        </w:rPr>
      </w:pPr>
      <w:r w:rsidRPr="00FE6318">
        <w:rPr>
          <w:sz w:val="28"/>
          <w:szCs w:val="28"/>
          <w:lang w:val="en-US"/>
        </w:rPr>
        <w:t>Me</w:t>
      </w:r>
      <w:r w:rsidRPr="00FE6318">
        <w:rPr>
          <w:sz w:val="28"/>
          <w:szCs w:val="28"/>
        </w:rPr>
        <w:t xml:space="preserve"> – медиана</w:t>
      </w:r>
    </w:p>
    <w:p w:rsidR="00286780" w:rsidRPr="00FE6318" w:rsidRDefault="00286780" w:rsidP="00FE6318">
      <w:pPr>
        <w:spacing w:before="120"/>
        <w:ind w:right="113"/>
        <w:jc w:val="both"/>
        <w:rPr>
          <w:sz w:val="28"/>
          <w:szCs w:val="28"/>
        </w:rPr>
      </w:pPr>
      <w:r w:rsidRPr="00FE6318">
        <w:rPr>
          <w:sz w:val="28"/>
          <w:szCs w:val="28"/>
          <w:lang w:val="en-US"/>
        </w:rPr>
        <w:t>MRSA</w:t>
      </w:r>
      <w:r w:rsidRPr="00FE6318">
        <w:rPr>
          <w:sz w:val="28"/>
          <w:szCs w:val="28"/>
        </w:rPr>
        <w:t xml:space="preserve"> – метициллин-резистентный </w:t>
      </w:r>
      <w:r w:rsidRPr="00FE6318">
        <w:rPr>
          <w:sz w:val="28"/>
          <w:szCs w:val="28"/>
          <w:lang w:val="en-US"/>
        </w:rPr>
        <w:t>S</w:t>
      </w:r>
      <w:r w:rsidRPr="00FE6318">
        <w:rPr>
          <w:sz w:val="28"/>
          <w:szCs w:val="28"/>
        </w:rPr>
        <w:t>.</w:t>
      </w:r>
      <w:r>
        <w:rPr>
          <w:sz w:val="28"/>
          <w:szCs w:val="28"/>
        </w:rPr>
        <w:t xml:space="preserve"> </w:t>
      </w:r>
      <w:r w:rsidRPr="00FE6318">
        <w:rPr>
          <w:sz w:val="28"/>
          <w:szCs w:val="28"/>
          <w:lang w:val="en-US"/>
        </w:rPr>
        <w:t>aureus</w:t>
      </w:r>
    </w:p>
    <w:p w:rsidR="00286780" w:rsidRPr="00FE6318" w:rsidRDefault="00286780" w:rsidP="00FE6318">
      <w:pPr>
        <w:spacing w:before="120"/>
        <w:ind w:right="113"/>
        <w:jc w:val="both"/>
        <w:rPr>
          <w:sz w:val="28"/>
          <w:szCs w:val="28"/>
        </w:rPr>
      </w:pPr>
      <w:r w:rsidRPr="00FE6318">
        <w:rPr>
          <w:sz w:val="28"/>
          <w:szCs w:val="28"/>
          <w:lang w:val="en-US"/>
        </w:rPr>
        <w:t>NPV</w:t>
      </w:r>
      <w:r w:rsidRPr="00FE6318">
        <w:rPr>
          <w:sz w:val="28"/>
          <w:szCs w:val="28"/>
        </w:rPr>
        <w:t xml:space="preserve"> – прогностичность отрицательного результата</w:t>
      </w:r>
    </w:p>
    <w:p w:rsidR="00286780" w:rsidRPr="009D4078" w:rsidRDefault="00286780" w:rsidP="00FE6318">
      <w:pPr>
        <w:spacing w:before="120"/>
        <w:ind w:right="113"/>
        <w:jc w:val="both"/>
        <w:rPr>
          <w:sz w:val="28"/>
          <w:szCs w:val="28"/>
        </w:rPr>
      </w:pPr>
      <w:r w:rsidRPr="00FE6318">
        <w:rPr>
          <w:sz w:val="28"/>
          <w:szCs w:val="28"/>
          <w:lang w:val="en-US"/>
        </w:rPr>
        <w:t>NYHA</w:t>
      </w:r>
      <w:r w:rsidRPr="009D4078">
        <w:rPr>
          <w:sz w:val="28"/>
          <w:szCs w:val="28"/>
        </w:rPr>
        <w:t xml:space="preserve"> – </w:t>
      </w:r>
      <w:r w:rsidRPr="00FE6318">
        <w:rPr>
          <w:sz w:val="28"/>
          <w:szCs w:val="28"/>
          <w:lang w:val="en-US"/>
        </w:rPr>
        <w:t>TheNew</w:t>
      </w:r>
      <w:r w:rsidRPr="009D4078">
        <w:rPr>
          <w:sz w:val="28"/>
          <w:szCs w:val="28"/>
        </w:rPr>
        <w:t>-</w:t>
      </w:r>
      <w:r w:rsidRPr="00FE6318">
        <w:rPr>
          <w:sz w:val="28"/>
          <w:szCs w:val="28"/>
          <w:lang w:val="en-US"/>
        </w:rPr>
        <w:t>YorkHeartAssociation</w:t>
      </w:r>
    </w:p>
    <w:p w:rsidR="00286780" w:rsidRPr="00FE6318" w:rsidRDefault="00286780" w:rsidP="00FE6318">
      <w:pPr>
        <w:spacing w:before="120"/>
        <w:ind w:right="113"/>
        <w:jc w:val="both"/>
        <w:rPr>
          <w:sz w:val="28"/>
          <w:szCs w:val="28"/>
        </w:rPr>
      </w:pPr>
      <w:r w:rsidRPr="00FE6318">
        <w:rPr>
          <w:sz w:val="28"/>
          <w:szCs w:val="28"/>
          <w:lang w:val="en-US"/>
        </w:rPr>
        <w:t>PaO</w:t>
      </w:r>
      <w:r w:rsidRPr="00FE6318">
        <w:rPr>
          <w:sz w:val="28"/>
          <w:szCs w:val="28"/>
          <w:vertAlign w:val="subscript"/>
        </w:rPr>
        <w:t>2</w:t>
      </w:r>
      <w:r w:rsidRPr="00FE6318">
        <w:rPr>
          <w:sz w:val="28"/>
          <w:szCs w:val="28"/>
        </w:rPr>
        <w:t xml:space="preserve"> – парциальное напряжение кислорода артериальной крови</w:t>
      </w:r>
    </w:p>
    <w:p w:rsidR="00286780" w:rsidRPr="00FE6318" w:rsidRDefault="00286780" w:rsidP="00FE6318">
      <w:pPr>
        <w:spacing w:before="120"/>
        <w:ind w:right="113"/>
        <w:jc w:val="both"/>
        <w:rPr>
          <w:sz w:val="28"/>
          <w:szCs w:val="28"/>
        </w:rPr>
      </w:pPr>
      <w:r w:rsidRPr="00FE6318">
        <w:rPr>
          <w:sz w:val="28"/>
          <w:szCs w:val="28"/>
          <w:lang w:val="en-US"/>
        </w:rPr>
        <w:t>PPV</w:t>
      </w:r>
      <w:r w:rsidRPr="00FE6318">
        <w:rPr>
          <w:sz w:val="28"/>
          <w:szCs w:val="28"/>
        </w:rPr>
        <w:t xml:space="preserve"> – прогностичность положительного результата</w:t>
      </w:r>
    </w:p>
    <w:p w:rsidR="00286780" w:rsidRPr="00FE6318" w:rsidRDefault="00286780" w:rsidP="00FE6318">
      <w:pPr>
        <w:spacing w:before="120"/>
        <w:ind w:right="113"/>
        <w:jc w:val="both"/>
        <w:rPr>
          <w:sz w:val="28"/>
          <w:szCs w:val="28"/>
        </w:rPr>
      </w:pPr>
      <w:r w:rsidRPr="00FE6318">
        <w:rPr>
          <w:sz w:val="28"/>
          <w:szCs w:val="28"/>
          <w:lang w:val="en-US"/>
        </w:rPr>
        <w:t>qSOFA</w:t>
      </w:r>
      <w:r w:rsidRPr="00FE6318">
        <w:rPr>
          <w:sz w:val="28"/>
          <w:szCs w:val="28"/>
        </w:rPr>
        <w:t xml:space="preserve"> – </w:t>
      </w:r>
      <w:r w:rsidRPr="00FE6318">
        <w:rPr>
          <w:sz w:val="28"/>
          <w:szCs w:val="28"/>
          <w:lang w:val="en-US"/>
        </w:rPr>
        <w:t>quick</w:t>
      </w:r>
      <w:r w:rsidRPr="00FE6318">
        <w:rPr>
          <w:sz w:val="28"/>
          <w:szCs w:val="28"/>
        </w:rPr>
        <w:t>-</w:t>
      </w:r>
      <w:r w:rsidRPr="00FE6318">
        <w:rPr>
          <w:sz w:val="28"/>
          <w:szCs w:val="28"/>
          <w:lang w:val="en-US"/>
        </w:rPr>
        <w:t>SOFA</w:t>
      </w:r>
    </w:p>
    <w:p w:rsidR="00286780" w:rsidRPr="00B45A65" w:rsidRDefault="00286780" w:rsidP="00FE6318">
      <w:pPr>
        <w:spacing w:before="120"/>
        <w:ind w:right="113"/>
        <w:jc w:val="both"/>
        <w:rPr>
          <w:sz w:val="28"/>
          <w:szCs w:val="28"/>
          <w:lang w:val="en-US"/>
        </w:rPr>
      </w:pPr>
      <w:r w:rsidRPr="00FE6318">
        <w:rPr>
          <w:sz w:val="28"/>
          <w:szCs w:val="28"/>
          <w:lang w:val="en-US"/>
        </w:rPr>
        <w:t>SAPS</w:t>
      </w:r>
      <w:r w:rsidRPr="00B45A65">
        <w:rPr>
          <w:sz w:val="28"/>
          <w:szCs w:val="28"/>
          <w:lang w:val="en-US"/>
        </w:rPr>
        <w:t xml:space="preserve"> – </w:t>
      </w:r>
      <w:r w:rsidRPr="00FE6318">
        <w:rPr>
          <w:sz w:val="28"/>
          <w:szCs w:val="28"/>
        </w:rPr>
        <w:t>шкалаоценкитяжестипациентов</w:t>
      </w:r>
    </w:p>
    <w:p w:rsidR="00286780" w:rsidRPr="00FE6318" w:rsidRDefault="00286780" w:rsidP="00FE6318">
      <w:pPr>
        <w:spacing w:before="120"/>
        <w:ind w:right="113"/>
        <w:jc w:val="both"/>
        <w:rPr>
          <w:sz w:val="28"/>
          <w:szCs w:val="28"/>
          <w:lang w:val="en-US"/>
        </w:rPr>
      </w:pPr>
      <w:r w:rsidRPr="00FE6318">
        <w:rPr>
          <w:sz w:val="28"/>
          <w:szCs w:val="28"/>
          <w:lang w:val="en-US"/>
        </w:rPr>
        <w:t>SCCM/ESICM – Society of Critical Care Medicine/European Society of Intensive Care Medicine</w:t>
      </w:r>
    </w:p>
    <w:p w:rsidR="00286780" w:rsidRPr="00FE6318" w:rsidRDefault="00286780" w:rsidP="00FE6318">
      <w:pPr>
        <w:spacing w:before="120"/>
        <w:ind w:right="113"/>
        <w:jc w:val="both"/>
        <w:rPr>
          <w:sz w:val="28"/>
          <w:szCs w:val="28"/>
        </w:rPr>
      </w:pPr>
      <w:r w:rsidRPr="00FE6318">
        <w:rPr>
          <w:sz w:val="28"/>
          <w:szCs w:val="28"/>
          <w:lang w:val="en-US"/>
        </w:rPr>
        <w:t>Se</w:t>
      </w:r>
      <w:r w:rsidRPr="00FE6318">
        <w:rPr>
          <w:sz w:val="28"/>
          <w:szCs w:val="28"/>
        </w:rPr>
        <w:t xml:space="preserve"> – чувствительность</w:t>
      </w:r>
    </w:p>
    <w:p w:rsidR="00286780" w:rsidRPr="00FE6318" w:rsidRDefault="00286780" w:rsidP="00FE6318">
      <w:pPr>
        <w:spacing w:before="120"/>
        <w:ind w:right="113"/>
        <w:jc w:val="both"/>
        <w:rPr>
          <w:sz w:val="28"/>
          <w:szCs w:val="28"/>
        </w:rPr>
      </w:pPr>
      <w:r w:rsidRPr="00FE6318">
        <w:rPr>
          <w:sz w:val="28"/>
          <w:szCs w:val="28"/>
          <w:lang w:val="en-US"/>
        </w:rPr>
        <w:t>SIRS</w:t>
      </w:r>
      <w:r w:rsidRPr="00FE6318">
        <w:rPr>
          <w:sz w:val="28"/>
          <w:szCs w:val="28"/>
        </w:rPr>
        <w:t>2 – двухкомпонентный синдром системной воспалительной реакции</w:t>
      </w:r>
    </w:p>
    <w:p w:rsidR="00286780" w:rsidRPr="00FE6318" w:rsidRDefault="00286780" w:rsidP="00FE6318">
      <w:pPr>
        <w:spacing w:before="120"/>
        <w:ind w:right="113"/>
        <w:jc w:val="both"/>
        <w:rPr>
          <w:sz w:val="28"/>
          <w:szCs w:val="28"/>
        </w:rPr>
      </w:pPr>
      <w:r w:rsidRPr="00FE6318">
        <w:rPr>
          <w:sz w:val="28"/>
          <w:szCs w:val="28"/>
          <w:lang w:val="en-US"/>
        </w:rPr>
        <w:t>SIRSn</w:t>
      </w:r>
      <w:r w:rsidRPr="00FE6318">
        <w:rPr>
          <w:sz w:val="28"/>
          <w:szCs w:val="28"/>
        </w:rPr>
        <w:t xml:space="preserve"> – </w:t>
      </w:r>
      <w:r w:rsidRPr="00FE6318">
        <w:rPr>
          <w:sz w:val="28"/>
          <w:szCs w:val="28"/>
          <w:lang w:val="en-US"/>
        </w:rPr>
        <w:t>n</w:t>
      </w:r>
      <w:r w:rsidRPr="00FE6318">
        <w:rPr>
          <w:sz w:val="28"/>
          <w:szCs w:val="28"/>
        </w:rPr>
        <w:t>-компонентный синдром системной воспалительной реакции</w:t>
      </w:r>
    </w:p>
    <w:p w:rsidR="00286780" w:rsidRPr="00FE6318" w:rsidRDefault="00286780" w:rsidP="00FE6318">
      <w:pPr>
        <w:spacing w:before="120"/>
        <w:ind w:right="113"/>
        <w:jc w:val="both"/>
        <w:rPr>
          <w:sz w:val="28"/>
          <w:szCs w:val="28"/>
          <w:lang w:val="en-US"/>
        </w:rPr>
      </w:pPr>
      <w:r w:rsidRPr="00FE6318">
        <w:rPr>
          <w:sz w:val="28"/>
          <w:szCs w:val="28"/>
          <w:lang w:val="en-US"/>
        </w:rPr>
        <w:t>SOFA – Sequential (Sepsis-Related) Organ Failure Assessment</w:t>
      </w:r>
    </w:p>
    <w:p w:rsidR="00286780" w:rsidRPr="00FE6318" w:rsidRDefault="00286780" w:rsidP="00FE6318">
      <w:pPr>
        <w:spacing w:before="120"/>
        <w:ind w:right="113"/>
        <w:jc w:val="both"/>
        <w:rPr>
          <w:sz w:val="28"/>
          <w:szCs w:val="28"/>
        </w:rPr>
      </w:pPr>
      <w:r w:rsidRPr="00FE6318">
        <w:rPr>
          <w:sz w:val="28"/>
          <w:szCs w:val="28"/>
          <w:lang w:val="en-US"/>
        </w:rPr>
        <w:t>Sp</w:t>
      </w:r>
      <w:r w:rsidRPr="00FE6318">
        <w:rPr>
          <w:sz w:val="28"/>
          <w:szCs w:val="28"/>
        </w:rPr>
        <w:t xml:space="preserve"> – специфичность</w:t>
      </w:r>
    </w:p>
    <w:p w:rsidR="00286780" w:rsidRDefault="00286780" w:rsidP="00B615EA">
      <w:pPr>
        <w:rPr>
          <w:sz w:val="28"/>
          <w:szCs w:val="28"/>
          <w:lang w:eastAsia="en-US"/>
        </w:rPr>
      </w:pPr>
      <w:r>
        <w:rPr>
          <w:sz w:val="28"/>
          <w:szCs w:val="28"/>
          <w:lang w:eastAsia="en-US"/>
        </w:rPr>
        <w:br w:type="page"/>
      </w:r>
    </w:p>
    <w:p w:rsidR="00286780" w:rsidRDefault="00286780" w:rsidP="00B615EA">
      <w:pPr>
        <w:pStyle w:val="10"/>
      </w:pPr>
      <w:bookmarkStart w:id="38" w:name="_Toc67905720"/>
      <w:r>
        <w:t>СПИСОК ЛИТЕРАТУРЫ</w:t>
      </w:r>
      <w:bookmarkEnd w:id="38"/>
    </w:p>
    <w:p w:rsidR="00286780" w:rsidRDefault="00286780" w:rsidP="00B615EA">
      <w:pPr>
        <w:jc w:val="both"/>
        <w:rPr>
          <w:sz w:val="28"/>
          <w:szCs w:val="28"/>
          <w:lang w:eastAsia="en-US"/>
        </w:rPr>
      </w:pPr>
    </w:p>
    <w:p w:rsidR="00286780" w:rsidRPr="00F52145" w:rsidRDefault="00286780" w:rsidP="002A3C85">
      <w:pPr>
        <w:numPr>
          <w:ilvl w:val="0"/>
          <w:numId w:val="10"/>
        </w:numPr>
        <w:shd w:val="clear" w:color="auto" w:fill="FFFFFF"/>
        <w:spacing w:line="360" w:lineRule="auto"/>
        <w:ind w:left="0" w:firstLine="567"/>
        <w:jc w:val="both"/>
        <w:rPr>
          <w:sz w:val="28"/>
          <w:szCs w:val="28"/>
        </w:rPr>
      </w:pPr>
      <w:r w:rsidRPr="00F52145">
        <w:rPr>
          <w:sz w:val="28"/>
          <w:szCs w:val="28"/>
          <w:shd w:val="clear" w:color="auto" w:fill="FFFFFF"/>
        </w:rPr>
        <w:t>Абдулаев, Ш. Ю. Лечение больных с флегмонами дна полости рта / Ш. Ю. Абдулаев, В. П. Ипполитов, H. A. Дмитриева</w:t>
      </w:r>
      <w:r w:rsidR="00306A2D" w:rsidRPr="00F52145">
        <w:rPr>
          <w:sz w:val="28"/>
          <w:szCs w:val="28"/>
          <w:shd w:val="clear" w:color="auto" w:fill="FFFFFF"/>
        </w:rPr>
        <w:t>.</w:t>
      </w:r>
      <w:r w:rsidR="00306A2D">
        <w:rPr>
          <w:sz w:val="28"/>
          <w:szCs w:val="28"/>
          <w:shd w:val="clear" w:color="auto" w:fill="FFFFFF"/>
        </w:rPr>
        <w:t xml:space="preserve"> –</w:t>
      </w:r>
      <w:r w:rsidR="00306A2D" w:rsidRPr="00E3685A">
        <w:rPr>
          <w:sz w:val="28"/>
          <w:szCs w:val="28"/>
          <w:shd w:val="clear" w:color="auto" w:fill="FFFFFF"/>
        </w:rPr>
        <w:t xml:space="preserve"> </w:t>
      </w:r>
      <w:r w:rsidR="00306A2D">
        <w:rPr>
          <w:sz w:val="28"/>
          <w:szCs w:val="28"/>
          <w:shd w:val="clear" w:color="auto" w:fill="FFFFFF"/>
        </w:rPr>
        <w:t>Текст : непосредственный</w:t>
      </w:r>
      <w:r w:rsidRPr="00F52145">
        <w:rPr>
          <w:sz w:val="28"/>
          <w:szCs w:val="28"/>
          <w:shd w:val="clear" w:color="auto" w:fill="FFFFFF"/>
        </w:rPr>
        <w:t xml:space="preserve"> // Стоматологическая помощь : сборник научных трудов. – Рига, 1988. – С. 158–162</w:t>
      </w:r>
      <w:r w:rsidR="00E3685A">
        <w:rPr>
          <w:sz w:val="28"/>
          <w:szCs w:val="28"/>
          <w:shd w:val="clear" w:color="auto" w:fill="FFFFFF"/>
        </w:rPr>
        <w:t>.</w:t>
      </w:r>
    </w:p>
    <w:p w:rsidR="00286780" w:rsidRDefault="00286780" w:rsidP="002A3C85">
      <w:pPr>
        <w:numPr>
          <w:ilvl w:val="0"/>
          <w:numId w:val="10"/>
        </w:numPr>
        <w:shd w:val="clear" w:color="auto" w:fill="FFFFFF"/>
        <w:spacing w:line="360" w:lineRule="auto"/>
        <w:ind w:left="0" w:firstLine="567"/>
        <w:jc w:val="both"/>
        <w:rPr>
          <w:sz w:val="28"/>
          <w:szCs w:val="28"/>
        </w:rPr>
      </w:pPr>
      <w:r w:rsidRPr="00C82F8D">
        <w:rPr>
          <w:sz w:val="28"/>
          <w:szCs w:val="28"/>
        </w:rPr>
        <w:t>Автандилов, Г. Г. Медицинская морфометрия : руководство / Г. Г. Автаданилов. – Москва : Медицина, 1990. – 384 с. –</w:t>
      </w:r>
      <w:r w:rsidRPr="00C36C69">
        <w:rPr>
          <w:rFonts w:ascii="Helvetica Neue" w:hAnsi="Helvetica Neue"/>
          <w:color w:val="222222"/>
          <w:sz w:val="21"/>
          <w:szCs w:val="21"/>
          <w:shd w:val="clear" w:color="auto" w:fill="FFFFFF"/>
        </w:rPr>
        <w:t xml:space="preserve"> </w:t>
      </w:r>
      <w:r>
        <w:rPr>
          <w:sz w:val="28"/>
          <w:szCs w:val="28"/>
        </w:rPr>
        <w:t>ISBN 5-225-00753-8. -</w:t>
      </w:r>
      <w:r w:rsidRPr="00C82F8D">
        <w:rPr>
          <w:sz w:val="28"/>
          <w:szCs w:val="28"/>
        </w:rPr>
        <w:t xml:space="preserve"> Текст : непосредственный.</w:t>
      </w:r>
    </w:p>
    <w:p w:rsidR="00286780" w:rsidRPr="00C82F8D" w:rsidRDefault="00286780" w:rsidP="002A3C85">
      <w:pPr>
        <w:numPr>
          <w:ilvl w:val="0"/>
          <w:numId w:val="10"/>
        </w:numPr>
        <w:shd w:val="clear" w:color="auto" w:fill="FFFFFF"/>
        <w:spacing w:line="360" w:lineRule="auto"/>
        <w:ind w:left="0" w:firstLine="567"/>
        <w:jc w:val="both"/>
        <w:rPr>
          <w:sz w:val="28"/>
          <w:szCs w:val="28"/>
        </w:rPr>
      </w:pPr>
      <w:r w:rsidRPr="00C82F8D">
        <w:rPr>
          <w:sz w:val="28"/>
          <w:szCs w:val="28"/>
        </w:rPr>
        <w:t>Агаева, Н. А. К вопросу изучения состояния иммунной системы у больных челюстно-лицевым актиномикозом / Н. А. Агаева</w:t>
      </w:r>
      <w:r w:rsidR="00306A2D">
        <w:rPr>
          <w:sz w:val="28"/>
          <w:szCs w:val="28"/>
        </w:rPr>
        <w:t>. – Текст : непосредственный</w:t>
      </w:r>
      <w:r w:rsidRPr="00C82F8D">
        <w:rPr>
          <w:sz w:val="28"/>
          <w:szCs w:val="28"/>
        </w:rPr>
        <w:t xml:space="preserve"> // Журнал инфекционной патологии. – 2008. – Т. 15, № 4. – С. 75–76.</w:t>
      </w:r>
    </w:p>
    <w:p w:rsidR="00286780" w:rsidRPr="00F52145" w:rsidRDefault="00286780" w:rsidP="002A3C85">
      <w:pPr>
        <w:numPr>
          <w:ilvl w:val="0"/>
          <w:numId w:val="10"/>
        </w:numPr>
        <w:shd w:val="clear" w:color="auto" w:fill="FFFFFF"/>
        <w:spacing w:line="360" w:lineRule="auto"/>
        <w:ind w:left="0" w:firstLine="567"/>
        <w:jc w:val="both"/>
        <w:rPr>
          <w:sz w:val="28"/>
          <w:szCs w:val="28"/>
        </w:rPr>
      </w:pPr>
      <w:r w:rsidRPr="00F52145">
        <w:rPr>
          <w:sz w:val="28"/>
          <w:szCs w:val="28"/>
          <w:shd w:val="clear" w:color="auto" w:fill="FAFAFA"/>
        </w:rPr>
        <w:t xml:space="preserve">Агапов, B. C. Пути совершенствования методов лечения больных с одонтогенными </w:t>
      </w:r>
      <w:r w:rsidRPr="00F52145">
        <w:rPr>
          <w:sz w:val="28"/>
          <w:szCs w:val="28"/>
        </w:rPr>
        <w:t>флегмонами челюстно-лицевой области / В. С. Агапов, И. А. Пиминова</w:t>
      </w:r>
      <w:r w:rsidR="00306A2D">
        <w:rPr>
          <w:sz w:val="28"/>
          <w:szCs w:val="28"/>
        </w:rPr>
        <w:t>. – Текст : непосредственный</w:t>
      </w:r>
      <w:r w:rsidRPr="00F52145">
        <w:rPr>
          <w:sz w:val="28"/>
          <w:szCs w:val="28"/>
        </w:rPr>
        <w:t xml:space="preserve"> // Образование, наука и практика в стоматологии : сборник трудов II Всероссийской научно-практической конференции, 9–11 февраля 2005 г. – Москва, 2005. – С. 16–17.</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Агапов, В. С. Оценка результатов местного применения перфторана в комплексном лечении больных с одонтогенными флегмонами лица и шеи / В. С. Агапов, И. А. Пиминова</w:t>
      </w:r>
      <w:r w:rsidR="00306A2D">
        <w:rPr>
          <w:sz w:val="28"/>
          <w:szCs w:val="28"/>
          <w:shd w:val="clear" w:color="auto" w:fill="FFFFFF"/>
        </w:rPr>
        <w:t>. Текст : непосредственный</w:t>
      </w:r>
      <w:r w:rsidRPr="00F52145">
        <w:rPr>
          <w:sz w:val="28"/>
          <w:szCs w:val="28"/>
          <w:shd w:val="clear" w:color="auto" w:fill="FFFFFF"/>
        </w:rPr>
        <w:t xml:space="preserve"> // Стома</w:t>
      </w:r>
      <w:r>
        <w:rPr>
          <w:sz w:val="28"/>
          <w:szCs w:val="28"/>
          <w:shd w:val="clear" w:color="auto" w:fill="FFFFFF"/>
        </w:rPr>
        <w:t>тология. – 2006. – № 5. – С. 32.</w:t>
      </w:r>
    </w:p>
    <w:p w:rsidR="00286780"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C82F8D">
        <w:rPr>
          <w:sz w:val="28"/>
          <w:szCs w:val="28"/>
          <w:shd w:val="clear" w:color="auto" w:fill="FFFFFF"/>
        </w:rPr>
        <w:t>Алгоритмы специализированной медицинской помощи больным сахарным диабетом / под ред. И. И. Дедова [и др.]. – Москва : ПРИНТ; 2019. – Вып. 9. – 211 с. –</w:t>
      </w:r>
      <w:r w:rsidRPr="00C36C69">
        <w:rPr>
          <w:rFonts w:ascii="Arial" w:hAnsi="Arial" w:cs="Arial"/>
          <w:color w:val="333333"/>
          <w:shd w:val="clear" w:color="auto" w:fill="FFFFFF"/>
        </w:rPr>
        <w:t xml:space="preserve"> </w:t>
      </w:r>
      <w:r>
        <w:rPr>
          <w:sz w:val="28"/>
          <w:szCs w:val="28"/>
          <w:shd w:val="clear" w:color="auto" w:fill="FFFFFF"/>
        </w:rPr>
        <w:t xml:space="preserve"> </w:t>
      </w:r>
      <w:r w:rsidRPr="00C36C69">
        <w:rPr>
          <w:sz w:val="28"/>
          <w:szCs w:val="28"/>
          <w:shd w:val="clear" w:color="auto" w:fill="FFFFFF"/>
        </w:rPr>
        <w:t>ISBN 978-5-91487-136-</w:t>
      </w:r>
      <w:r w:rsidRPr="00C36C69">
        <w:rPr>
          <w:bCs/>
          <w:sz w:val="28"/>
          <w:szCs w:val="28"/>
          <w:shd w:val="clear" w:color="auto" w:fill="FFFFFF"/>
        </w:rPr>
        <w:t>6</w:t>
      </w:r>
      <w:r w:rsidRPr="00C36C69">
        <w:rPr>
          <w:sz w:val="28"/>
          <w:szCs w:val="28"/>
          <w:shd w:val="clear" w:color="auto" w:fill="FFFFFF"/>
        </w:rPr>
        <w:t>.</w:t>
      </w:r>
      <w:r>
        <w:rPr>
          <w:sz w:val="28"/>
          <w:szCs w:val="28"/>
          <w:shd w:val="clear" w:color="auto" w:fill="FFFFFF"/>
        </w:rPr>
        <w:t xml:space="preserve"> -</w:t>
      </w:r>
      <w:r w:rsidRPr="00C82F8D">
        <w:rPr>
          <w:sz w:val="28"/>
          <w:szCs w:val="28"/>
          <w:shd w:val="clear" w:color="auto" w:fill="FFFFFF"/>
        </w:rPr>
        <w:t xml:space="preserve"> Текст : непосредственный.</w:t>
      </w:r>
    </w:p>
    <w:p w:rsidR="00286780" w:rsidRPr="00C82F8D"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C82F8D">
        <w:rPr>
          <w:sz w:val="28"/>
          <w:szCs w:val="28"/>
          <w:shd w:val="clear" w:color="auto" w:fill="FFFFFF"/>
        </w:rPr>
        <w:t>Алиев, М. А. Эффективность применения активных методов лечения и оптимизации хирургического лечения у больных с синдромом диабетической стопы / М. А. Алиев, З. В. Курбанова, З. М. Абдулаев</w:t>
      </w:r>
      <w:r w:rsidR="00306A2D">
        <w:rPr>
          <w:sz w:val="28"/>
          <w:szCs w:val="28"/>
          <w:shd w:val="clear" w:color="auto" w:fill="FFFFFF"/>
        </w:rPr>
        <w:t>. – Текст : непосредственный</w:t>
      </w:r>
      <w:r w:rsidRPr="00C82F8D">
        <w:rPr>
          <w:sz w:val="28"/>
          <w:szCs w:val="28"/>
          <w:shd w:val="clear" w:color="auto" w:fill="FFFFFF"/>
        </w:rPr>
        <w:t xml:space="preserve"> // Вестник Национального медико-хирургического центра им. Н. И. Пирогова. – 2011. – Т. 6, № 2. – С. 37–40.</w:t>
      </w:r>
    </w:p>
    <w:p w:rsidR="00286780" w:rsidRPr="00C82F8D"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lastRenderedPageBreak/>
        <w:t>Анестезиология и интенсивная терапия : практическое руководство / под ред. Б. Р. Гельфанда. – Москва : Литтерра, 2006. – 576 с.</w:t>
      </w:r>
      <w:r w:rsidRPr="00C82F8D">
        <w:rPr>
          <w:sz w:val="28"/>
          <w:szCs w:val="28"/>
          <w:shd w:val="clear" w:color="auto" w:fill="FFFFFF"/>
        </w:rPr>
        <w:t xml:space="preserve"> </w:t>
      </w:r>
      <w:r>
        <w:rPr>
          <w:sz w:val="28"/>
          <w:szCs w:val="28"/>
          <w:shd w:val="clear" w:color="auto" w:fill="FFFFFF"/>
        </w:rPr>
        <w:t>ISBN 5-98216-026-</w:t>
      </w:r>
      <w:r w:rsidRPr="00434D8D">
        <w:rPr>
          <w:sz w:val="28"/>
          <w:szCs w:val="28"/>
          <w:shd w:val="clear" w:color="auto" w:fill="FFFFFF"/>
        </w:rPr>
        <w:t>1</w:t>
      </w:r>
      <w:r>
        <w:rPr>
          <w:sz w:val="28"/>
          <w:szCs w:val="28"/>
          <w:shd w:val="clear" w:color="auto" w:fill="FFFFFF"/>
        </w:rPr>
        <w:t xml:space="preserve">. </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Антибактериальный эффект медицинского озона при лечении вялотекущей гнойной инфекции челюстно-лицевой области / В. В. Шулаков [и др.]</w:t>
      </w:r>
      <w:r w:rsidR="00036860">
        <w:rPr>
          <w:sz w:val="28"/>
          <w:szCs w:val="28"/>
          <w:shd w:val="clear" w:color="auto" w:fill="FFFFFF"/>
        </w:rPr>
        <w:t>. – Текст : непосредственный</w:t>
      </w:r>
      <w:r w:rsidRPr="00F52145">
        <w:rPr>
          <w:sz w:val="28"/>
          <w:szCs w:val="28"/>
          <w:shd w:val="clear" w:color="auto" w:fill="FFFFFF"/>
        </w:rPr>
        <w:t xml:space="preserve"> // Материалы V международной конференции челюстно-лицевых хирургов и стоматологов. – Санкт-Петербург, 2000. – С. 158.</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Аракелян, М. Г. Основные причины и клинические проявления ксеростомии / М. Г. Аракелян, Н. В. Тамбовцева, А. В. Арзуканян</w:t>
      </w:r>
      <w:r w:rsidR="00036860" w:rsidRPr="00F52145">
        <w:rPr>
          <w:sz w:val="28"/>
          <w:szCs w:val="28"/>
          <w:shd w:val="clear" w:color="auto" w:fill="FFFFFF"/>
        </w:rPr>
        <w:t>.</w:t>
      </w:r>
      <w:r w:rsidR="00036860">
        <w:rPr>
          <w:sz w:val="28"/>
          <w:szCs w:val="28"/>
          <w:shd w:val="clear" w:color="auto" w:fill="FFFFFF"/>
        </w:rPr>
        <w:t xml:space="preserve"> - </w:t>
      </w:r>
      <w:r w:rsidR="00036860" w:rsidRPr="006933F6">
        <w:rPr>
          <w:sz w:val="28"/>
          <w:szCs w:val="28"/>
          <w:shd w:val="clear" w:color="auto" w:fill="FFFFFF"/>
        </w:rPr>
        <w:t>DOI 10.188</w:t>
      </w:r>
      <w:r w:rsidR="00036860">
        <w:rPr>
          <w:sz w:val="28"/>
          <w:szCs w:val="28"/>
          <w:shd w:val="clear" w:color="auto" w:fill="FFFFFF"/>
        </w:rPr>
        <w:t>21/1728-2802 2. Текст : непосредственный</w:t>
      </w:r>
      <w:r w:rsidRPr="00F52145">
        <w:rPr>
          <w:sz w:val="28"/>
          <w:szCs w:val="28"/>
          <w:shd w:val="clear" w:color="auto" w:fill="FFFFFF"/>
        </w:rPr>
        <w:t xml:space="preserve"> // Российский стоматологический журнал. – 2016. – Т. 20, № 2. – С. 74–78</w:t>
      </w:r>
      <w:r>
        <w:rPr>
          <w:sz w:val="28"/>
          <w:szCs w:val="28"/>
          <w:shd w:val="clear" w:color="auto" w:fill="FFFFFF"/>
        </w:rPr>
        <w:t>.</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Аринова, С. П. Отогенные внутричерепные осложнения: (по материалам клиники) / С. П. Аринова</w:t>
      </w:r>
      <w:r w:rsidR="00036860">
        <w:rPr>
          <w:sz w:val="28"/>
          <w:szCs w:val="28"/>
          <w:shd w:val="clear" w:color="auto" w:fill="FFFFFF"/>
        </w:rPr>
        <w:t>. – Текст : непосредственный</w:t>
      </w:r>
      <w:r w:rsidRPr="00F52145">
        <w:rPr>
          <w:sz w:val="28"/>
          <w:szCs w:val="28"/>
          <w:shd w:val="clear" w:color="auto" w:fill="FFFFFF"/>
        </w:rPr>
        <w:t xml:space="preserve"> // Нейрохирургия и неврология Казахстана. – 2012. – № 2-3. – С. 63.</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Артеменко, К. Л. Антимикробная терапия больных абсцессами и флегмонами челюстно-лицевой локализации с использованием препаратов, проникающих в биопленки : автореф. дис. ... канд. мед. наук : 14.00.21, 03.00.07 / С.-Петерб. гос. мед. ун-т им. И. П. Павлова. – Санкт-Петербург, 2007. – 20 с.</w:t>
      </w:r>
      <w:r w:rsidRPr="00C82F8D">
        <w:rPr>
          <w:sz w:val="28"/>
          <w:szCs w:val="28"/>
          <w:shd w:val="clear" w:color="auto" w:fill="FFFFFF"/>
        </w:rPr>
        <w:t xml:space="preserve"> –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Арьева, Г. Т. Ксефокам при одонтогенном периостите у пациентов пожилого и старческого возраста / Г. Т. Арьева, М. М. Соловьев, A. Л. Арьев</w:t>
      </w:r>
      <w:r w:rsidR="00036860">
        <w:rPr>
          <w:sz w:val="28"/>
          <w:szCs w:val="28"/>
          <w:shd w:val="clear" w:color="auto" w:fill="FFFFFF"/>
        </w:rPr>
        <w:t>. – Текст : непосредственный</w:t>
      </w:r>
      <w:r w:rsidRPr="00F52145">
        <w:rPr>
          <w:sz w:val="28"/>
          <w:szCs w:val="28"/>
          <w:shd w:val="clear" w:color="auto" w:fill="FFFFFF"/>
        </w:rPr>
        <w:t xml:space="preserve"> // Клиническая геронтология. – 2008. – № 7 (14). – С. 22–29.</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 xml:space="preserve">Ацель, Е. А. Обоснование применения озонированных растворов кристаллоидов в компенсации синдрома повышенной вязкости крови : автореф. дис. ... канд. мед. наук </w:t>
      </w:r>
      <w:r w:rsidRPr="00220F23">
        <w:rPr>
          <w:sz w:val="28"/>
          <w:szCs w:val="28"/>
          <w:shd w:val="clear" w:color="auto" w:fill="FFFFFF"/>
        </w:rPr>
        <w:t xml:space="preserve">: </w:t>
      </w:r>
      <w:r w:rsidRPr="00220F23">
        <w:rPr>
          <w:iCs/>
          <w:sz w:val="28"/>
          <w:szCs w:val="28"/>
          <w:shd w:val="clear" w:color="auto" w:fill="FFFFFF"/>
        </w:rPr>
        <w:t>14.00.05 ; 14.00.16</w:t>
      </w:r>
      <w:r w:rsidRPr="00220F23">
        <w:rPr>
          <w:sz w:val="28"/>
          <w:szCs w:val="28"/>
          <w:shd w:val="clear" w:color="auto" w:fill="FFFFFF"/>
        </w:rPr>
        <w:t xml:space="preserve"> /</w:t>
      </w:r>
      <w:r w:rsidRPr="00F52145">
        <w:rPr>
          <w:sz w:val="28"/>
          <w:szCs w:val="28"/>
          <w:shd w:val="clear" w:color="auto" w:fill="FFFFFF"/>
        </w:rPr>
        <w:t xml:space="preserve"> Е. А. Ацель. – Казань, 2004. – 24 с.</w:t>
      </w:r>
      <w:r w:rsidRPr="00C82F8D">
        <w:rPr>
          <w:sz w:val="28"/>
          <w:szCs w:val="28"/>
          <w:shd w:val="clear" w:color="auto" w:fill="FFFFFF"/>
        </w:rPr>
        <w:t xml:space="preserve"> –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Ашуров, Г. Г. Разработка диагностических способов выявления больных с полиорганной патологией в стоматологической практике / Г. Г. Ашуров, С. К. Сабуров, З. Р. Аминджанова</w:t>
      </w:r>
      <w:r w:rsidR="00036860">
        <w:rPr>
          <w:sz w:val="28"/>
          <w:szCs w:val="28"/>
          <w:shd w:val="clear" w:color="auto" w:fill="FFFFFF"/>
        </w:rPr>
        <w:t>. – Текст : непосредственный</w:t>
      </w:r>
      <w:r w:rsidRPr="00F52145">
        <w:rPr>
          <w:sz w:val="28"/>
          <w:szCs w:val="28"/>
          <w:shd w:val="clear" w:color="auto" w:fill="FFFFFF"/>
        </w:rPr>
        <w:t xml:space="preserve"> // Стоматология Таджикистана. – 2014. – № 2. – С. 12–15.</w:t>
      </w:r>
    </w:p>
    <w:p w:rsidR="00286780" w:rsidRPr="00C82F8D"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lastRenderedPageBreak/>
        <w:t>Бажанов, H. H. Обоснование применения мирамистина для лечения гнойной инфекции челюстно-лицевой области / H. H. Бажанов, М. Т. Александров, И. В. Черкесов</w:t>
      </w:r>
      <w:r w:rsidR="00036860" w:rsidRPr="00F52145">
        <w:rPr>
          <w:sz w:val="28"/>
          <w:szCs w:val="28"/>
          <w:shd w:val="clear" w:color="auto" w:fill="FFFFFF"/>
        </w:rPr>
        <w:t>.</w:t>
      </w:r>
      <w:r w:rsidR="00036860">
        <w:rPr>
          <w:sz w:val="28"/>
          <w:szCs w:val="28"/>
          <w:shd w:val="clear" w:color="auto" w:fill="FFFFFF"/>
        </w:rPr>
        <w:t xml:space="preserve"> – Текст : непосредственный</w:t>
      </w:r>
      <w:r w:rsidRPr="00F52145">
        <w:rPr>
          <w:sz w:val="28"/>
          <w:szCs w:val="28"/>
          <w:shd w:val="clear" w:color="auto" w:fill="FFFFFF"/>
        </w:rPr>
        <w:t xml:space="preserve"> // Образование, наука и практика в стоматологии : сборник трудов 2-й Всероссийской научно-практической конференции. – Москва, 2005. – С. 31–33</w:t>
      </w:r>
      <w:r w:rsidR="00CB3DA5">
        <w:rPr>
          <w:sz w:val="28"/>
          <w:szCs w:val="28"/>
          <w:shd w:val="clear" w:color="auto" w:fill="FFFFFF"/>
        </w:rPr>
        <w:t>.</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Бажанов, Н. Н. Состояние и перспективы профилактики и лечения гнойных воспалительных заболеваний челюстно-лицевой области / Н. Н. Бажанов</w:t>
      </w:r>
      <w:r w:rsidR="00036860">
        <w:rPr>
          <w:sz w:val="28"/>
          <w:szCs w:val="28"/>
          <w:shd w:val="clear" w:color="auto" w:fill="FFFFFF"/>
        </w:rPr>
        <w:t>. – Текст : непосредственный</w:t>
      </w:r>
      <w:r w:rsidRPr="00F52145">
        <w:rPr>
          <w:sz w:val="28"/>
          <w:szCs w:val="28"/>
          <w:shd w:val="clear" w:color="auto" w:fill="FFFFFF"/>
        </w:rPr>
        <w:t xml:space="preserve"> // Стоматология. – 1997. – № 2. – С. 15–19.</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Бажанов, Н. Н. Стоматология : учебник / Н. Н. Бажанов. – 6-е изд. – Москва : ГЭОТАР-МЕД, 2002. – 304 с.</w:t>
      </w:r>
      <w:r w:rsidRPr="00C82F8D">
        <w:rPr>
          <w:sz w:val="28"/>
          <w:szCs w:val="28"/>
          <w:shd w:val="clear" w:color="auto" w:fill="FFFFFF"/>
        </w:rPr>
        <w:t xml:space="preserve"> </w:t>
      </w:r>
      <w:r w:rsidRPr="00434D8D">
        <w:rPr>
          <w:sz w:val="28"/>
          <w:szCs w:val="28"/>
          <w:shd w:val="clear" w:color="auto" w:fill="FFFFFF"/>
        </w:rPr>
        <w:t>ISBN 5-9231-0272-2</w:t>
      </w:r>
      <w:r>
        <w:rPr>
          <w:sz w:val="28"/>
          <w:szCs w:val="28"/>
          <w:shd w:val="clear" w:color="auto" w:fill="FFFFFF"/>
        </w:rPr>
        <w:t xml:space="preserve">. </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Бактериальная микрофлора при одонтогенных острых гнойных заболеваниях челюстно-лицевой области / H. H. Бажанов, Е. П. Пашков, М. С. Култаев [и др.]</w:t>
      </w:r>
      <w:r w:rsidR="00036860">
        <w:rPr>
          <w:sz w:val="28"/>
          <w:szCs w:val="28"/>
          <w:shd w:val="clear" w:color="auto" w:fill="FFFFFF"/>
        </w:rPr>
        <w:t>. – Текст : непосредственный</w:t>
      </w:r>
      <w:r w:rsidRPr="00F52145">
        <w:rPr>
          <w:sz w:val="28"/>
          <w:szCs w:val="28"/>
          <w:shd w:val="clear" w:color="auto" w:fill="FFFFFF"/>
        </w:rPr>
        <w:t xml:space="preserve"> // Стоматология. – 1985.– Т. 64, № 1. – С. 31–32.</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Барер, Г. М. Рациональная фармакотерапия в стоматологии / Г. М. Барер, Е. В. Зорян. – Москва : Литтерра, 2006.</w:t>
      </w:r>
      <w:r w:rsidR="00036860">
        <w:rPr>
          <w:sz w:val="28"/>
          <w:szCs w:val="28"/>
          <w:shd w:val="clear" w:color="auto" w:fill="FFFFFF"/>
        </w:rPr>
        <w:t xml:space="preserve"> </w:t>
      </w:r>
      <w:r w:rsidRPr="00F52145">
        <w:rPr>
          <w:sz w:val="28"/>
          <w:szCs w:val="28"/>
          <w:shd w:val="clear" w:color="auto" w:fill="FFFFFF"/>
        </w:rPr>
        <w:t>– С. 43–62</w:t>
      </w:r>
      <w:r w:rsidR="00036860">
        <w:rPr>
          <w:sz w:val="28"/>
          <w:szCs w:val="28"/>
          <w:shd w:val="clear" w:color="auto" w:fill="FFFFFF"/>
        </w:rPr>
        <w:t xml:space="preserve">. - </w:t>
      </w:r>
      <w:r w:rsidR="00036860" w:rsidRPr="00434D8D">
        <w:rPr>
          <w:sz w:val="28"/>
          <w:szCs w:val="28"/>
          <w:shd w:val="clear" w:color="auto" w:fill="FFFFFF"/>
        </w:rPr>
        <w:t>ISBN 5-98216-</w:t>
      </w:r>
      <w:r w:rsidR="00036860">
        <w:rPr>
          <w:sz w:val="28"/>
          <w:szCs w:val="28"/>
          <w:shd w:val="clear" w:color="auto" w:fill="FFFFFF"/>
        </w:rPr>
        <w:t>022</w:t>
      </w:r>
      <w:r w:rsidR="00036860" w:rsidRPr="00434D8D">
        <w:rPr>
          <w:sz w:val="28"/>
          <w:szCs w:val="28"/>
          <w:shd w:val="clear" w:color="auto" w:fill="FFFFFF"/>
        </w:rPr>
        <w:t>-</w:t>
      </w:r>
      <w:r w:rsidR="00036860">
        <w:rPr>
          <w:sz w:val="28"/>
          <w:szCs w:val="28"/>
          <w:shd w:val="clear" w:color="auto" w:fill="FFFFFF"/>
        </w:rPr>
        <w:t>9. – Текст : непосредственный</w:t>
      </w:r>
      <w:r w:rsidRPr="00F52145">
        <w:rPr>
          <w:sz w:val="28"/>
          <w:szCs w:val="28"/>
          <w:shd w:val="clear" w:color="auto" w:fill="FFFFFF"/>
        </w:rPr>
        <w:t>.</w:t>
      </w:r>
    </w:p>
    <w:p w:rsidR="00286780" w:rsidRPr="00F52145" w:rsidRDefault="00286780" w:rsidP="002A3C85">
      <w:pPr>
        <w:numPr>
          <w:ilvl w:val="0"/>
          <w:numId w:val="10"/>
        </w:numPr>
        <w:shd w:val="clear" w:color="auto" w:fill="FFFFFF"/>
        <w:spacing w:line="360" w:lineRule="auto"/>
        <w:ind w:left="0" w:firstLine="567"/>
        <w:jc w:val="both"/>
        <w:rPr>
          <w:spacing w:val="-4"/>
          <w:sz w:val="28"/>
          <w:szCs w:val="28"/>
          <w:shd w:val="clear" w:color="auto" w:fill="FFFFFF"/>
        </w:rPr>
      </w:pPr>
      <w:r w:rsidRPr="00F52145">
        <w:rPr>
          <w:spacing w:val="-4"/>
          <w:sz w:val="28"/>
          <w:szCs w:val="28"/>
          <w:shd w:val="clear" w:color="auto" w:fill="FFFFFF"/>
        </w:rPr>
        <w:t>Безрукова, И. В. Клинико-лабораторная оценка эффективности применения в комплексной терапии воспалительных заболеваний пародонта комбинированного препарата цифран CT / И. В. Безрукова, H. A. Дмитриева, А. Н. Герчиков</w:t>
      </w:r>
      <w:r w:rsidR="00036860">
        <w:rPr>
          <w:spacing w:val="-4"/>
          <w:sz w:val="28"/>
          <w:szCs w:val="28"/>
          <w:shd w:val="clear" w:color="auto" w:fill="FFFFFF"/>
        </w:rPr>
        <w:t>. – Текст : непосредственный</w:t>
      </w:r>
      <w:r w:rsidRPr="00F52145">
        <w:rPr>
          <w:spacing w:val="-4"/>
          <w:sz w:val="28"/>
          <w:szCs w:val="28"/>
          <w:shd w:val="clear" w:color="auto" w:fill="FFFFFF"/>
        </w:rPr>
        <w:t xml:space="preserve"> // Стоматология. – 2005. – № 1. – С. 5–13.</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Белокуров, Ю. Н. Сепсис / Ю. Н. Белокуров, А. Б. Граменицкий, В. М. Молодкин // Сепсис. – Москва : Медицина, 1983. – 128 с.</w:t>
      </w:r>
      <w:r w:rsidRPr="00C82F8D">
        <w:rPr>
          <w:sz w:val="28"/>
          <w:szCs w:val="28"/>
          <w:shd w:val="clear" w:color="auto" w:fill="FFFFFF"/>
        </w:rPr>
        <w:t xml:space="preserve"> –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Белялов, Ф. И. Двенадцать тезисов коморбидности / Ф. И. Белялов</w:t>
      </w:r>
      <w:r w:rsidR="00036860">
        <w:rPr>
          <w:sz w:val="28"/>
          <w:szCs w:val="28"/>
          <w:shd w:val="clear" w:color="auto" w:fill="FFFFFF"/>
        </w:rPr>
        <w:t>. – Текст : непосредственный</w:t>
      </w:r>
      <w:r w:rsidRPr="00F52145">
        <w:rPr>
          <w:sz w:val="28"/>
          <w:szCs w:val="28"/>
          <w:shd w:val="clear" w:color="auto" w:fill="FFFFFF"/>
        </w:rPr>
        <w:t xml:space="preserve"> // Клиническая медицина. – 2009. – № 12. – С. 69–71.</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Беркунов, В. Н. Особенности заболеваемости челюстно-лицевой области у пожилых людей / В. Н. Беркунов</w:t>
      </w:r>
      <w:r w:rsidR="00036860" w:rsidRPr="00F52145">
        <w:rPr>
          <w:sz w:val="28"/>
          <w:szCs w:val="28"/>
          <w:shd w:val="clear" w:color="auto" w:fill="FFFFFF"/>
        </w:rPr>
        <w:t>.</w:t>
      </w:r>
      <w:r w:rsidR="00036860">
        <w:rPr>
          <w:sz w:val="28"/>
          <w:szCs w:val="28"/>
          <w:shd w:val="clear" w:color="auto" w:fill="FFFFFF"/>
        </w:rPr>
        <w:t xml:space="preserve"> – Текст : непосредственный</w:t>
      </w:r>
      <w:r w:rsidRPr="00F52145">
        <w:rPr>
          <w:sz w:val="28"/>
          <w:szCs w:val="28"/>
          <w:shd w:val="clear" w:color="auto" w:fill="FFFFFF"/>
        </w:rPr>
        <w:t xml:space="preserve"> // Геронтологические проблемы в стоматологии : материалы Всероссийской научно-практической </w:t>
      </w:r>
      <w:r w:rsidRPr="00F52145">
        <w:rPr>
          <w:sz w:val="28"/>
          <w:szCs w:val="28"/>
          <w:shd w:val="clear" w:color="auto" w:fill="FFFFFF"/>
        </w:rPr>
        <w:lastRenderedPageBreak/>
        <w:t>конференции / под ред. А. С. Иванова [и др.]. – Великий Новгород : НовГУ им. Я. Мудрого, 2006. – С. 74–77</w:t>
      </w:r>
      <w:r w:rsidR="00CB3DA5">
        <w:rPr>
          <w:sz w:val="28"/>
          <w:szCs w:val="28"/>
          <w:shd w:val="clear" w:color="auto" w:fill="FFFFFF"/>
        </w:rPr>
        <w:t>.</w:t>
      </w:r>
    </w:p>
    <w:p w:rsidR="00286780" w:rsidRPr="00F52145" w:rsidRDefault="00286780" w:rsidP="002A3C85">
      <w:pPr>
        <w:numPr>
          <w:ilvl w:val="0"/>
          <w:numId w:val="10"/>
        </w:numPr>
        <w:shd w:val="clear" w:color="auto" w:fill="FFFFFF"/>
        <w:spacing w:line="360" w:lineRule="auto"/>
        <w:ind w:left="0" w:firstLine="567"/>
        <w:jc w:val="both"/>
        <w:rPr>
          <w:spacing w:val="-2"/>
          <w:sz w:val="28"/>
          <w:szCs w:val="28"/>
          <w:shd w:val="clear" w:color="auto" w:fill="FFFFFF"/>
        </w:rPr>
      </w:pPr>
      <w:r w:rsidRPr="00F52145">
        <w:rPr>
          <w:spacing w:val="-2"/>
          <w:sz w:val="28"/>
          <w:szCs w:val="28"/>
          <w:shd w:val="clear" w:color="auto" w:fill="FFFFFF"/>
        </w:rPr>
        <w:t>Бернадский, Ю. И. Основы челюстно-лицевой хирургии и хирургической стоматологии : руководство для практических врачей / Ю. И. Бернадский. – Витебск : Белмедкнига, 1998. – 416 с.</w:t>
      </w:r>
      <w:r w:rsidRPr="00C82F8D">
        <w:rPr>
          <w:sz w:val="28"/>
          <w:szCs w:val="28"/>
          <w:shd w:val="clear" w:color="auto" w:fill="FFFFFF"/>
        </w:rPr>
        <w:t xml:space="preserve"> </w:t>
      </w:r>
      <w:r w:rsidR="00E437C9">
        <w:rPr>
          <w:sz w:val="28"/>
          <w:szCs w:val="28"/>
          <w:shd w:val="clear" w:color="auto" w:fill="FFFFFF"/>
        </w:rPr>
        <w:t xml:space="preserve">- </w:t>
      </w:r>
      <w:r w:rsidRPr="00434D8D">
        <w:rPr>
          <w:sz w:val="28"/>
          <w:szCs w:val="28"/>
          <w:shd w:val="clear" w:color="auto" w:fill="FFFFFF"/>
        </w:rPr>
        <w:t>ISBN 985-6333-06-7</w:t>
      </w:r>
      <w:r>
        <w:rPr>
          <w:sz w:val="28"/>
          <w:szCs w:val="28"/>
          <w:shd w:val="clear" w:color="auto" w:fill="FFFFFF"/>
        </w:rPr>
        <w:t xml:space="preserve">. </w:t>
      </w:r>
      <w:r w:rsidRPr="00C82F8D">
        <w:rPr>
          <w:sz w:val="28"/>
          <w:szCs w:val="28"/>
          <w:shd w:val="clear" w:color="auto" w:fill="FFFFFF"/>
        </w:rPr>
        <w:t>– Текст : непосредственный.</w:t>
      </w:r>
    </w:p>
    <w:p w:rsidR="00286780" w:rsidRPr="00C82F8D"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 xml:space="preserve">Бернадский, Ю. И. Основы челюстно-лицевой хирургии и хирургической стоматологии : учебник </w:t>
      </w:r>
      <w:r w:rsidRPr="00F52145">
        <w:rPr>
          <w:spacing w:val="-2"/>
          <w:sz w:val="28"/>
          <w:szCs w:val="28"/>
          <w:shd w:val="clear" w:color="auto" w:fill="FFFFFF"/>
        </w:rPr>
        <w:t>/ Ю. И. Бернадский</w:t>
      </w:r>
      <w:r w:rsidRPr="00F52145">
        <w:rPr>
          <w:sz w:val="28"/>
          <w:szCs w:val="28"/>
          <w:shd w:val="clear" w:color="auto" w:fill="FFFFFF"/>
        </w:rPr>
        <w:t>. – Москва : Медицинская литература, 2003. – 416 с.</w:t>
      </w:r>
      <w:r w:rsidRPr="00DB43F5">
        <w:rPr>
          <w:rFonts w:ascii="Arial" w:hAnsi="Arial" w:cs="Arial"/>
          <w:color w:val="1F2228"/>
          <w:sz w:val="21"/>
          <w:szCs w:val="21"/>
          <w:shd w:val="clear" w:color="auto" w:fill="FFFFFF"/>
        </w:rPr>
        <w:t xml:space="preserve"> </w:t>
      </w:r>
      <w:r>
        <w:rPr>
          <w:rFonts w:ascii="Arial" w:hAnsi="Arial" w:cs="Arial"/>
          <w:color w:val="1F2228"/>
          <w:sz w:val="21"/>
          <w:szCs w:val="21"/>
          <w:shd w:val="clear" w:color="auto" w:fill="FFFFFF"/>
        </w:rPr>
        <w:t xml:space="preserve">- </w:t>
      </w:r>
      <w:r w:rsidRPr="00DB43F5">
        <w:rPr>
          <w:sz w:val="28"/>
          <w:szCs w:val="28"/>
          <w:shd w:val="clear" w:color="auto" w:fill="FFFFFF"/>
        </w:rPr>
        <w:t>ISBN: 5-89677-014-6</w:t>
      </w:r>
      <w:r>
        <w:rPr>
          <w:sz w:val="28"/>
          <w:szCs w:val="28"/>
          <w:shd w:val="clear" w:color="auto" w:fill="FFFFFF"/>
        </w:rPr>
        <w:t xml:space="preserve">. </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Бичун, А. Б. Неотложная помощь в стоматологии / А. Б. Бичун, А. В. Васильев, В. В. Михайлов. – Москва : ГЭОТАР-Медиа, 2010. – 320 с.</w:t>
      </w:r>
      <w:r w:rsidRPr="00C82F8D">
        <w:rPr>
          <w:sz w:val="28"/>
          <w:szCs w:val="28"/>
          <w:shd w:val="clear" w:color="auto" w:fill="FFFFFF"/>
        </w:rPr>
        <w:t xml:space="preserve"> </w:t>
      </w:r>
      <w:r w:rsidRPr="00DB43F5">
        <w:rPr>
          <w:sz w:val="28"/>
          <w:szCs w:val="28"/>
          <w:shd w:val="clear" w:color="auto" w:fill="FFFFFF"/>
        </w:rPr>
        <w:t xml:space="preserve">- </w:t>
      </w:r>
      <w:r>
        <w:rPr>
          <w:sz w:val="28"/>
          <w:szCs w:val="28"/>
          <w:shd w:val="clear" w:color="auto" w:fill="FFFFFF"/>
          <w:lang w:val="en-US"/>
        </w:rPr>
        <w:t>I</w:t>
      </w:r>
      <w:r w:rsidRPr="00DB43F5">
        <w:rPr>
          <w:sz w:val="28"/>
          <w:szCs w:val="28"/>
          <w:shd w:val="clear" w:color="auto" w:fill="FFFFFF"/>
        </w:rPr>
        <w:t xml:space="preserve">SBN 978-5-9704-1803-1. </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Бояринов, Г. А. Озонированное искусственное кровообращение / Г. А. Бояринов, В. В. Соколов. – Нижний Новгород, 1999. – 318 с.</w:t>
      </w:r>
      <w:r w:rsidRPr="00C82F8D">
        <w:rPr>
          <w:sz w:val="28"/>
          <w:szCs w:val="28"/>
          <w:shd w:val="clear" w:color="auto" w:fill="FFFFFF"/>
        </w:rPr>
        <w:t xml:space="preserve"> –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Бояринов, Г. А. Растворимость и распад озона в физиологическом растворе / Г. А. Бояринов, А.С.Гордецов</w:t>
      </w:r>
      <w:r w:rsidR="000B495A">
        <w:rPr>
          <w:sz w:val="28"/>
          <w:szCs w:val="28"/>
          <w:shd w:val="clear" w:color="auto" w:fill="FFFFFF"/>
        </w:rPr>
        <w:t>. – Текст : непосредственный</w:t>
      </w:r>
      <w:r w:rsidRPr="00F52145">
        <w:rPr>
          <w:sz w:val="28"/>
          <w:szCs w:val="28"/>
          <w:shd w:val="clear" w:color="auto" w:fill="FFFFFF"/>
        </w:rPr>
        <w:t xml:space="preserve"> // Нижегородский медицинский журнал. – 2000. – № 2. – С. 40–45.</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Бояринов, Г. А. Способ повышения стабильности озонированного физиологического раствора / Г. А. Бояринов, А. Ю. Яковлев, И. С. Симутис</w:t>
      </w:r>
      <w:r w:rsidR="000B495A">
        <w:rPr>
          <w:sz w:val="28"/>
          <w:szCs w:val="28"/>
          <w:shd w:val="clear" w:color="auto" w:fill="FFFFFF"/>
        </w:rPr>
        <w:t>. - Текст : непосредственный</w:t>
      </w:r>
      <w:r w:rsidRPr="00F52145">
        <w:rPr>
          <w:sz w:val="28"/>
          <w:szCs w:val="28"/>
          <w:shd w:val="clear" w:color="auto" w:fill="FFFFFF"/>
        </w:rPr>
        <w:t xml:space="preserve"> // Нижегородский медицинский журнал. – 2005. – Приложение «Озонотерапия». – С. 35–36.</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Брискин, Б. С. Влияние полиморбидности на диагностику и исход в абдоминальной хирургии пожилых / Б. С. Брискин, О. В. Ломидзе</w:t>
      </w:r>
      <w:r w:rsidR="000B495A">
        <w:rPr>
          <w:sz w:val="28"/>
          <w:szCs w:val="28"/>
          <w:shd w:val="clear" w:color="auto" w:fill="FFFFFF"/>
        </w:rPr>
        <w:t>. – Текст : непосредственный</w:t>
      </w:r>
      <w:r w:rsidRPr="00F52145">
        <w:rPr>
          <w:sz w:val="28"/>
          <w:szCs w:val="28"/>
          <w:shd w:val="clear" w:color="auto" w:fill="FFFFFF"/>
        </w:rPr>
        <w:t xml:space="preserve"> // Клиническая геронтология. – 2008. – Т. 14, № 4. – С. 30–33.</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Будаев, А. П. Диагностика и лечение сепсиса у челюстно-лицевых больных на фоне сопутствующей патологии : дис. ... канд. мед. наук : 14.00.21 / А. П. Будаев. – Воронеж, 2001. – 139 с.</w:t>
      </w:r>
      <w:r w:rsidRPr="00C82F8D">
        <w:rPr>
          <w:sz w:val="28"/>
          <w:szCs w:val="28"/>
          <w:shd w:val="clear" w:color="auto" w:fill="FFFFFF"/>
        </w:rPr>
        <w:t xml:space="preserve"> –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 xml:space="preserve">Будаев, А. П. Опыт применения методики ранней дифференциальной диагностики различных форм одонтогенного сепсиса в условиях Курской областной </w:t>
      </w:r>
      <w:r w:rsidRPr="00F52145">
        <w:rPr>
          <w:sz w:val="28"/>
          <w:szCs w:val="28"/>
          <w:shd w:val="clear" w:color="auto" w:fill="FFFFFF"/>
        </w:rPr>
        <w:lastRenderedPageBreak/>
        <w:t>клинической больницы, прогностические возможности интегральных шкал / А. П. Будаев, А. Л. Громов, А. Г. Зыкин // Стоматология славянских государств : материалы V Международной научно-практической конференции. – Курск : КГМУ, 2012. – С. 92–96.</w:t>
      </w:r>
      <w:r w:rsidR="00CB3DA5">
        <w:rPr>
          <w:sz w:val="28"/>
          <w:szCs w:val="28"/>
          <w:shd w:val="clear" w:color="auto" w:fill="FFFFFF"/>
        </w:rPr>
        <w:t xml:space="preserve"> – Текст : непосредственный.</w:t>
      </w:r>
    </w:p>
    <w:p w:rsidR="00286780" w:rsidRPr="00C82F8D"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Булгакова, В. А. Применение бактериофагов в антимикробной терапии / В. А. Булгакова</w:t>
      </w:r>
      <w:r w:rsidR="000B495A">
        <w:rPr>
          <w:sz w:val="28"/>
          <w:szCs w:val="28"/>
          <w:shd w:val="clear" w:color="auto" w:fill="FFFFFF"/>
        </w:rPr>
        <w:t>. – Текст : непосредственный</w:t>
      </w:r>
      <w:r w:rsidRPr="00F52145">
        <w:rPr>
          <w:sz w:val="28"/>
          <w:szCs w:val="28"/>
          <w:shd w:val="clear" w:color="auto" w:fill="FFFFFF"/>
        </w:rPr>
        <w:t xml:space="preserve"> // Медицинский совет. – 2010. – № 11. – С. 12.</w:t>
      </w:r>
    </w:p>
    <w:p w:rsidR="00286780" w:rsidRPr="00220F23"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Буянов, В. М. Лекарственное насыщение лимфатической системы / В. М. Буянов, К. Ю. Данилов, А. П. Радзиховский. – Киев : Наукова Думка, 1991. – 136 с.</w:t>
      </w:r>
      <w:r w:rsidRPr="00C82F8D">
        <w:rPr>
          <w:sz w:val="28"/>
          <w:szCs w:val="28"/>
          <w:shd w:val="clear" w:color="auto" w:fill="FFFFFF"/>
        </w:rPr>
        <w:t xml:space="preserve"> –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Быковская, Т. Ю. Анализ коморбидности стоматологической патологии медицинских работников / Т. Ю. Быковская, Е. Ю. Леонтьева, В. В. Киреев</w:t>
      </w:r>
      <w:r w:rsidR="000B495A">
        <w:rPr>
          <w:sz w:val="28"/>
          <w:szCs w:val="28"/>
          <w:shd w:val="clear" w:color="auto" w:fill="FFFFFF"/>
        </w:rPr>
        <w:t>. – Текст : непосредственный</w:t>
      </w:r>
      <w:r w:rsidRPr="00F52145">
        <w:rPr>
          <w:sz w:val="28"/>
          <w:szCs w:val="28"/>
          <w:shd w:val="clear" w:color="auto" w:fill="FFFFFF"/>
        </w:rPr>
        <w:t xml:space="preserve"> // Медицина труда и промышленная экология. – 2017. – № 9. – С. 33–33.</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Бычкова, Н. П. Изучение влияния метода бактериотоксической светотерапии на Enterococcus Faecalis – одного из основных возбудителей одонтогенной инфекции (исследование in vitro) / Н. П. Бычкова</w:t>
      </w:r>
      <w:r w:rsidR="000B495A" w:rsidRPr="00F52145">
        <w:rPr>
          <w:sz w:val="28"/>
          <w:szCs w:val="28"/>
          <w:shd w:val="clear" w:color="auto" w:fill="FFFFFF"/>
        </w:rPr>
        <w:t>.</w:t>
      </w:r>
      <w:r w:rsidR="000B495A">
        <w:rPr>
          <w:sz w:val="28"/>
          <w:szCs w:val="28"/>
          <w:shd w:val="clear" w:color="auto" w:fill="FFFFFF"/>
        </w:rPr>
        <w:t xml:space="preserve"> – Текст : непосредственный</w:t>
      </w:r>
      <w:r w:rsidRPr="00F52145">
        <w:rPr>
          <w:sz w:val="28"/>
          <w:szCs w:val="28"/>
          <w:shd w:val="clear" w:color="auto" w:fill="FFFFFF"/>
        </w:rPr>
        <w:t xml:space="preserve"> // Труды молодых ученых Владикавказского научного центра РАН. – 2014. – Т. 14, № 1. – С. 143–147</w:t>
      </w:r>
      <w:r w:rsidR="007D3930">
        <w:rPr>
          <w:sz w:val="28"/>
          <w:szCs w:val="28"/>
          <w:shd w:val="clear" w:color="auto" w:fill="FFFFFF"/>
        </w:rPr>
        <w:t>.</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Векслер, Н. Ю. Комплексная детоксикация при коррекции хирургических эндотоксикозов / Н. Ю. Векслер, Г. А. Бояринов</w:t>
      </w:r>
      <w:r w:rsidR="000B495A">
        <w:rPr>
          <w:sz w:val="28"/>
          <w:szCs w:val="28"/>
          <w:shd w:val="clear" w:color="auto" w:fill="FFFFFF"/>
        </w:rPr>
        <w:t>. – Текст : непосредственный</w:t>
      </w:r>
      <w:r w:rsidRPr="00F52145">
        <w:rPr>
          <w:sz w:val="28"/>
          <w:szCs w:val="28"/>
          <w:shd w:val="clear" w:color="auto" w:fill="FFFFFF"/>
        </w:rPr>
        <w:t xml:space="preserve"> // Нижегородский медицинский журнал. – 2005. – Приложение «Озонотерапия». – С. 233–235.</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Вернадский, Ю. И. Основы челюстно-лицевой хирургии и хирургической стоматологии / Ю. И. Вернадский. – 3-е изд., перераб. и доп. – Москва : Медицинская литература, 2007. – 416 с.</w:t>
      </w:r>
      <w:r w:rsidRPr="00C82F8D">
        <w:rPr>
          <w:sz w:val="28"/>
          <w:szCs w:val="28"/>
          <w:shd w:val="clear" w:color="auto" w:fill="FFFFFF"/>
        </w:rPr>
        <w:t xml:space="preserve"> </w:t>
      </w:r>
      <w:r w:rsidR="007D3930">
        <w:rPr>
          <w:sz w:val="28"/>
          <w:szCs w:val="28"/>
          <w:shd w:val="clear" w:color="auto" w:fill="FFFFFF"/>
        </w:rPr>
        <w:t xml:space="preserve">- </w:t>
      </w:r>
      <w:r w:rsidRPr="00DB43F5">
        <w:rPr>
          <w:sz w:val="28"/>
          <w:szCs w:val="28"/>
          <w:shd w:val="clear" w:color="auto" w:fill="FFFFFF"/>
        </w:rPr>
        <w:t>ISBN: 5-89677-014-6</w:t>
      </w:r>
      <w:r>
        <w:rPr>
          <w:sz w:val="28"/>
          <w:szCs w:val="28"/>
          <w:shd w:val="clear" w:color="auto" w:fill="FFFFFF"/>
        </w:rPr>
        <w:t xml:space="preserve">. </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Вёрткин, А. Л. Коморбидность (часть 2) / А. Л. Вёрткин, М. А. Румянцев, А. С. Скотников</w:t>
      </w:r>
      <w:r w:rsidR="000B495A">
        <w:rPr>
          <w:sz w:val="28"/>
          <w:szCs w:val="28"/>
          <w:shd w:val="clear" w:color="auto" w:fill="FFFFFF"/>
        </w:rPr>
        <w:t>. – Текст : непосредственный</w:t>
      </w:r>
      <w:r w:rsidRPr="00F52145">
        <w:rPr>
          <w:sz w:val="28"/>
          <w:szCs w:val="28"/>
          <w:shd w:val="clear" w:color="auto" w:fill="FFFFFF"/>
        </w:rPr>
        <w:t xml:space="preserve"> // Медицинская газета. – 2013. – № 14. – С. 8.</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lastRenderedPageBreak/>
        <w:t>Верткин, А. Л. Коморбидность / А. Л. Верткин, А. С. Скотников</w:t>
      </w:r>
      <w:r w:rsidR="000B495A">
        <w:rPr>
          <w:sz w:val="28"/>
          <w:szCs w:val="28"/>
          <w:shd w:val="clear" w:color="auto" w:fill="FFFFFF"/>
        </w:rPr>
        <w:t>. – Текст : непосредственный</w:t>
      </w:r>
      <w:r w:rsidRPr="00F52145">
        <w:rPr>
          <w:sz w:val="28"/>
          <w:szCs w:val="28"/>
          <w:shd w:val="clear" w:color="auto" w:fill="FFFFFF"/>
        </w:rPr>
        <w:t xml:space="preserve"> // Лечащий врач. – 2013. – № 6. – С. 66–68.</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Верткин, А. Л. Коморбидный пациент – герой нашего времени / А. Л. Верткин, Н.</w:t>
      </w:r>
      <w:r w:rsidR="000B495A">
        <w:rPr>
          <w:sz w:val="28"/>
          <w:szCs w:val="28"/>
          <w:shd w:val="clear" w:color="auto" w:fill="FFFFFF"/>
        </w:rPr>
        <w:t xml:space="preserve"> </w:t>
      </w:r>
      <w:r w:rsidRPr="00F52145">
        <w:rPr>
          <w:sz w:val="28"/>
          <w:szCs w:val="28"/>
          <w:shd w:val="clear" w:color="auto" w:fill="FFFFFF"/>
        </w:rPr>
        <w:t>О.</w:t>
      </w:r>
      <w:r w:rsidR="000B495A">
        <w:rPr>
          <w:sz w:val="28"/>
          <w:szCs w:val="28"/>
          <w:shd w:val="clear" w:color="auto" w:fill="FFFFFF"/>
        </w:rPr>
        <w:t xml:space="preserve"> </w:t>
      </w:r>
      <w:r w:rsidRPr="00F52145">
        <w:rPr>
          <w:sz w:val="28"/>
          <w:szCs w:val="28"/>
          <w:shd w:val="clear" w:color="auto" w:fill="FFFFFF"/>
        </w:rPr>
        <w:t>Ховасова, А.</w:t>
      </w:r>
      <w:r w:rsidR="000B495A">
        <w:rPr>
          <w:sz w:val="28"/>
          <w:szCs w:val="28"/>
          <w:shd w:val="clear" w:color="auto" w:fill="FFFFFF"/>
        </w:rPr>
        <w:t xml:space="preserve"> </w:t>
      </w:r>
      <w:r w:rsidRPr="00F52145">
        <w:rPr>
          <w:sz w:val="28"/>
          <w:szCs w:val="28"/>
          <w:shd w:val="clear" w:color="auto" w:fill="FFFFFF"/>
        </w:rPr>
        <w:t>В.</w:t>
      </w:r>
      <w:r w:rsidR="000B495A">
        <w:rPr>
          <w:sz w:val="28"/>
          <w:szCs w:val="28"/>
          <w:shd w:val="clear" w:color="auto" w:fill="FFFFFF"/>
        </w:rPr>
        <w:t xml:space="preserve"> </w:t>
      </w:r>
      <w:r w:rsidRPr="00F52145">
        <w:rPr>
          <w:sz w:val="28"/>
          <w:szCs w:val="28"/>
          <w:shd w:val="clear" w:color="auto" w:fill="FFFFFF"/>
        </w:rPr>
        <w:t>Наумова</w:t>
      </w:r>
      <w:r w:rsidR="000B495A">
        <w:rPr>
          <w:sz w:val="28"/>
          <w:szCs w:val="28"/>
          <w:shd w:val="clear" w:color="auto" w:fill="FFFFFF"/>
        </w:rPr>
        <w:t>. – Текст : непосредственный</w:t>
      </w:r>
      <w:r w:rsidRPr="00F52145">
        <w:rPr>
          <w:sz w:val="28"/>
          <w:szCs w:val="28"/>
          <w:shd w:val="clear" w:color="auto" w:fill="FFFFFF"/>
        </w:rPr>
        <w:t xml:space="preserve"> // Амбулаторный прием. – 2014. – С. 31–37.</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Верткин, А. Л. Правила формулировки диагноза / А. Л. Верткин, О. В. Заратьянц. – Москва : МГМСУ им. А. Е. Евдокимова, 2017. – 20 с.</w:t>
      </w:r>
      <w:r w:rsidRPr="00C82F8D">
        <w:rPr>
          <w:sz w:val="28"/>
          <w:szCs w:val="28"/>
          <w:shd w:val="clear" w:color="auto" w:fill="FFFFFF"/>
        </w:rPr>
        <w:t xml:space="preserve"> –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Ветчинникова, О. Н. Экстракорпоральное ультрафиолетовое облучение крови / О. Н. Ветчинникова, И. Н. Пиксин, А. П. Калинин. – Москва, 2002. – 241 с.</w:t>
      </w:r>
      <w:r w:rsidRPr="00C82F8D">
        <w:rPr>
          <w:sz w:val="28"/>
          <w:szCs w:val="28"/>
          <w:shd w:val="clear" w:color="auto" w:fill="FFFFFF"/>
        </w:rPr>
        <w:t xml:space="preserve"> </w:t>
      </w:r>
      <w:r>
        <w:rPr>
          <w:sz w:val="28"/>
          <w:szCs w:val="28"/>
          <w:shd w:val="clear" w:color="auto" w:fill="FFFFFF"/>
        </w:rPr>
        <w:t>-</w:t>
      </w:r>
      <w:r w:rsidRPr="00DB43F5">
        <w:rPr>
          <w:rFonts w:ascii="Helvetica Neue" w:hAnsi="Helvetica Neue"/>
          <w:color w:val="222222"/>
          <w:sz w:val="21"/>
          <w:szCs w:val="21"/>
          <w:shd w:val="clear" w:color="auto" w:fill="FFFFFF"/>
        </w:rPr>
        <w:t xml:space="preserve"> </w:t>
      </w:r>
      <w:r>
        <w:rPr>
          <w:sz w:val="28"/>
          <w:szCs w:val="28"/>
          <w:shd w:val="clear" w:color="auto" w:fill="FFFFFF"/>
        </w:rPr>
        <w:t xml:space="preserve">ISBN 5-93513-024-6. </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Воложин, А. И. Осложненное течение острого воспалительного процесса: ранняя диагностика и принципы лечения / А. И. Воложин</w:t>
      </w:r>
      <w:r w:rsidR="000B495A">
        <w:rPr>
          <w:sz w:val="28"/>
          <w:szCs w:val="28"/>
          <w:shd w:val="clear" w:color="auto" w:fill="FFFFFF"/>
        </w:rPr>
        <w:t>. – Текст : непосредственный</w:t>
      </w:r>
      <w:r w:rsidRPr="00F52145">
        <w:rPr>
          <w:sz w:val="28"/>
          <w:szCs w:val="28"/>
          <w:shd w:val="clear" w:color="auto" w:fill="FFFFFF"/>
        </w:rPr>
        <w:t xml:space="preserve"> // Стоматология. – 1995. – Т. 74, № 1. – С. 34–37.</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Воложин, А. И. Роль реактивности организма в выборе стратегии и тактики лечения острых воспалительных процессов в челюстно-лицевой области / А. И. Воложин</w:t>
      </w:r>
      <w:r w:rsidR="000B495A">
        <w:rPr>
          <w:sz w:val="28"/>
          <w:szCs w:val="28"/>
          <w:shd w:val="clear" w:color="auto" w:fill="FFFFFF"/>
        </w:rPr>
        <w:t>. – Текст : непосредственный</w:t>
      </w:r>
      <w:r w:rsidRPr="00F52145">
        <w:rPr>
          <w:sz w:val="28"/>
          <w:szCs w:val="28"/>
          <w:shd w:val="clear" w:color="auto" w:fill="FFFFFF"/>
        </w:rPr>
        <w:t xml:space="preserve"> // Ст</w:t>
      </w:r>
      <w:r w:rsidR="007D3930">
        <w:rPr>
          <w:sz w:val="28"/>
          <w:szCs w:val="28"/>
          <w:shd w:val="clear" w:color="auto" w:fill="FFFFFF"/>
        </w:rPr>
        <w:t>оматология. – 1996. – Спец. выпуск</w:t>
      </w:r>
      <w:r w:rsidRPr="00F52145">
        <w:rPr>
          <w:sz w:val="28"/>
          <w:szCs w:val="28"/>
          <w:shd w:val="clear" w:color="auto" w:fill="FFFFFF"/>
        </w:rPr>
        <w:t xml:space="preserve"> : Материалы 4-го съезда Стоматологической ассоциации России. – С. 49–51.</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Воложин, А. И. Связь между неспецифической иммунологической реактивностью и типом течения острого воспалительного процесса / А. И. Воложин</w:t>
      </w:r>
      <w:r w:rsidR="000B495A">
        <w:rPr>
          <w:sz w:val="28"/>
          <w:szCs w:val="28"/>
          <w:shd w:val="clear" w:color="auto" w:fill="FFFFFF"/>
        </w:rPr>
        <w:t>. – Текст : непосредственный</w:t>
      </w:r>
      <w:r w:rsidRPr="00F52145">
        <w:rPr>
          <w:sz w:val="28"/>
          <w:szCs w:val="28"/>
          <w:shd w:val="clear" w:color="auto" w:fill="FFFFFF"/>
        </w:rPr>
        <w:t xml:space="preserve"> // Патологическая физиология и экспериментальная терапия. – 1996. – № 3. – С. 20–23.</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Воронин, С. В. Полиморбидность: определение, классификации, распространенность, методы оценки и практическое значение / С. В. Воронин, Д. В. Черкашин, И. В. Бершева</w:t>
      </w:r>
      <w:r w:rsidR="000B495A">
        <w:rPr>
          <w:sz w:val="28"/>
          <w:szCs w:val="28"/>
          <w:shd w:val="clear" w:color="auto" w:fill="FFFFFF"/>
        </w:rPr>
        <w:t>. – Текст : непосредственный</w:t>
      </w:r>
      <w:r w:rsidRPr="00F52145">
        <w:rPr>
          <w:sz w:val="28"/>
          <w:szCs w:val="28"/>
          <w:shd w:val="clear" w:color="auto" w:fill="FFFFFF"/>
        </w:rPr>
        <w:t xml:space="preserve"> // Вестник Российской военно-медицинской академии. – 2018. – № 4 (64). – С. 243–249.</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Воронкин, В. Ф. Интракраниальные осложнения в оториноларингологии / В. Ф. Воронкин, М. М. Сергеев. – Краснодар : Кубанская гос. мед. академия, 2000. – 176 c.</w:t>
      </w:r>
      <w:r w:rsidRPr="00C82F8D">
        <w:rPr>
          <w:sz w:val="28"/>
          <w:szCs w:val="28"/>
          <w:shd w:val="clear" w:color="auto" w:fill="FFFFFF"/>
        </w:rPr>
        <w:t xml:space="preserve"> </w:t>
      </w:r>
      <w:r>
        <w:rPr>
          <w:sz w:val="28"/>
          <w:szCs w:val="28"/>
          <w:shd w:val="clear" w:color="auto" w:fill="FFFFFF"/>
        </w:rPr>
        <w:t>- ISBN 5-93513-035-7</w:t>
      </w:r>
      <w:r w:rsidRPr="00DB43F5">
        <w:rPr>
          <w:sz w:val="28"/>
          <w:szCs w:val="28"/>
          <w:shd w:val="clear" w:color="auto" w:fill="FFFFFF"/>
        </w:rPr>
        <w:t xml:space="preserve">. </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lastRenderedPageBreak/>
        <w:t>Воспалительные заболевания в челюстно-лицевой области у детей / В. В. Рогинский, А. И. Воложин, В. А. Вайлерт [и др.]. –Москва : Детстомиздат, 1998. – 272 с.</w:t>
      </w:r>
      <w:r w:rsidRPr="00C82F8D">
        <w:rPr>
          <w:sz w:val="28"/>
          <w:szCs w:val="28"/>
          <w:shd w:val="clear" w:color="auto" w:fill="FFFFFF"/>
        </w:rPr>
        <w:t xml:space="preserve"> </w:t>
      </w:r>
      <w:r>
        <w:rPr>
          <w:sz w:val="28"/>
          <w:szCs w:val="28"/>
          <w:shd w:val="clear" w:color="auto" w:fill="FFFFFF"/>
        </w:rPr>
        <w:t xml:space="preserve">- </w:t>
      </w:r>
      <w:r w:rsidRPr="00DB43F5">
        <w:rPr>
          <w:sz w:val="28"/>
          <w:szCs w:val="28"/>
          <w:shd w:val="clear" w:color="auto" w:fill="FFFFFF"/>
        </w:rPr>
        <w:t>ISBN 5-93185-001-5</w:t>
      </w:r>
      <w:r>
        <w:rPr>
          <w:sz w:val="28"/>
          <w:szCs w:val="28"/>
          <w:shd w:val="clear" w:color="auto" w:fill="FFFFFF"/>
        </w:rPr>
        <w:t xml:space="preserve">. </w:t>
      </w:r>
      <w:r w:rsidRPr="00C82F8D">
        <w:rPr>
          <w:sz w:val="28"/>
          <w:szCs w:val="28"/>
          <w:shd w:val="clear" w:color="auto" w:fill="FFFFFF"/>
        </w:rPr>
        <w:t>– Текст : непосредственный.</w:t>
      </w:r>
    </w:p>
    <w:p w:rsidR="00286780" w:rsidRPr="00F52145" w:rsidRDefault="00286780" w:rsidP="007D3930">
      <w:pPr>
        <w:numPr>
          <w:ilvl w:val="0"/>
          <w:numId w:val="10"/>
        </w:numPr>
        <w:shd w:val="clear" w:color="auto" w:fill="FFFFFF"/>
        <w:spacing w:line="360" w:lineRule="auto"/>
        <w:ind w:left="0" w:firstLine="709"/>
        <w:jc w:val="both"/>
        <w:rPr>
          <w:sz w:val="28"/>
          <w:szCs w:val="28"/>
          <w:shd w:val="clear" w:color="auto" w:fill="FFFFFF"/>
        </w:rPr>
      </w:pPr>
      <w:r w:rsidRPr="00F52145">
        <w:rPr>
          <w:sz w:val="28"/>
          <w:szCs w:val="28"/>
          <w:shd w:val="clear" w:color="auto" w:fill="FFFFFF"/>
        </w:rPr>
        <w:t>Воспалительные заболевания в челюстно-лицевой области у детей / под ред. В. В. Рогинского. – Москва : Детстомиздат, 1998. – 255 с.</w:t>
      </w:r>
      <w:r w:rsidRPr="00C82F8D">
        <w:rPr>
          <w:sz w:val="28"/>
          <w:szCs w:val="28"/>
          <w:shd w:val="clear" w:color="auto" w:fill="FFFFFF"/>
        </w:rPr>
        <w:t xml:space="preserve"> –</w:t>
      </w:r>
      <w:r w:rsidR="007D3930">
        <w:rPr>
          <w:sz w:val="28"/>
          <w:szCs w:val="28"/>
          <w:shd w:val="clear" w:color="auto" w:fill="FFFFFF"/>
        </w:rPr>
        <w:t xml:space="preserve"> </w:t>
      </w:r>
      <w:r w:rsidR="007D3930">
        <w:rPr>
          <w:sz w:val="28"/>
          <w:szCs w:val="28"/>
          <w:shd w:val="clear" w:color="auto" w:fill="FFFFFF"/>
          <w:lang w:val="en-US"/>
        </w:rPr>
        <w:t>I</w:t>
      </w:r>
      <w:r w:rsidR="007D3930">
        <w:rPr>
          <w:sz w:val="28"/>
          <w:szCs w:val="28"/>
          <w:shd w:val="clear" w:color="auto" w:fill="FFFFFF"/>
        </w:rPr>
        <w:t>SBN 5-93185-001-5.</w:t>
      </w:r>
      <w:r w:rsidR="007D3930">
        <w:rPr>
          <w:sz w:val="28"/>
          <w:szCs w:val="28"/>
          <w:shd w:val="clear" w:color="auto" w:fill="FFFFFF"/>
          <w:lang w:val="en-US"/>
        </w:rPr>
        <w:t xml:space="preserve"> -</w:t>
      </w:r>
      <w:r w:rsidRPr="00C82F8D">
        <w:rPr>
          <w:sz w:val="28"/>
          <w:szCs w:val="28"/>
          <w:shd w:val="clear" w:color="auto" w:fill="FFFFFF"/>
        </w:rPr>
        <w:t xml:space="preserve"> Текст : непосредственный.</w:t>
      </w:r>
    </w:p>
    <w:p w:rsidR="00286780" w:rsidRPr="00C82F8D"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Ву Вьет Куонг. Современный взгляд на этиологию и патогенез одонтогенных абсцессов и и флегмон челюстно-лицевой области / Ву Вьет Куонг, Д. С. Аветиков, С. Б. Кравченко</w:t>
      </w:r>
      <w:r w:rsidR="000B495A">
        <w:rPr>
          <w:sz w:val="28"/>
          <w:szCs w:val="28"/>
          <w:shd w:val="clear" w:color="auto" w:fill="FFFFFF"/>
        </w:rPr>
        <w:t>. – Текст : непосредственный</w:t>
      </w:r>
      <w:r w:rsidRPr="00F52145">
        <w:rPr>
          <w:sz w:val="28"/>
          <w:szCs w:val="28"/>
          <w:shd w:val="clear" w:color="auto" w:fill="FFFFFF"/>
        </w:rPr>
        <w:t xml:space="preserve"> // Вiсник проблем бiологii i медицини. – 2014. – Т. 1, № 2. – С. 79–84.</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Высоцкий, А. Г. Клиника, диагностика и лечение «нисходящего» медиастинита / А. Г. Высоцкий, В. В. Тахтаулов</w:t>
      </w:r>
      <w:r w:rsidR="000B495A">
        <w:rPr>
          <w:sz w:val="28"/>
          <w:szCs w:val="28"/>
          <w:shd w:val="clear" w:color="auto" w:fill="FFFFFF"/>
        </w:rPr>
        <w:t>. – Текст : непосредственный</w:t>
      </w:r>
      <w:r w:rsidRPr="00F52145">
        <w:rPr>
          <w:sz w:val="28"/>
          <w:szCs w:val="28"/>
          <w:shd w:val="clear" w:color="auto" w:fill="FFFFFF"/>
        </w:rPr>
        <w:t xml:space="preserve"> // Хiрургiя Украiни. – 2006. – № 3. – С. 3–5.</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Гажва, С. И. Взаимосвязь заболеваний внутренних органов и состояния полости рта / С. И. Гажва, Н. А. Иголкина</w:t>
      </w:r>
      <w:r w:rsidR="000B495A">
        <w:rPr>
          <w:sz w:val="28"/>
          <w:szCs w:val="28"/>
          <w:shd w:val="clear" w:color="auto" w:fill="FFFFFF"/>
        </w:rPr>
        <w:t>. – Текст : непосредственный</w:t>
      </w:r>
      <w:r w:rsidRPr="00F52145">
        <w:rPr>
          <w:sz w:val="28"/>
          <w:szCs w:val="28"/>
          <w:shd w:val="clear" w:color="auto" w:fill="FFFFFF"/>
        </w:rPr>
        <w:t xml:space="preserve"> // Терапевтический архив. – 2013. – № 10. – С. 116–118.</w:t>
      </w:r>
    </w:p>
    <w:p w:rsidR="00286780" w:rsidRPr="00F52145" w:rsidRDefault="00286780" w:rsidP="007D3930">
      <w:pPr>
        <w:numPr>
          <w:ilvl w:val="0"/>
          <w:numId w:val="10"/>
        </w:numPr>
        <w:shd w:val="clear" w:color="auto" w:fill="FFFFFF"/>
        <w:spacing w:line="360" w:lineRule="auto"/>
        <w:ind w:left="0" w:firstLine="709"/>
        <w:jc w:val="both"/>
        <w:rPr>
          <w:sz w:val="28"/>
          <w:szCs w:val="28"/>
          <w:shd w:val="clear" w:color="auto" w:fill="FFFFFF"/>
        </w:rPr>
      </w:pPr>
      <w:r w:rsidRPr="00F52145">
        <w:rPr>
          <w:sz w:val="28"/>
          <w:szCs w:val="28"/>
          <w:shd w:val="clear" w:color="auto" w:fill="FFFFFF"/>
        </w:rPr>
        <w:t>Газетов, Б. М. Хирургические заболевания у больных с сахарным диабетом / Б. М. Газетов, А. Л. Калинин. – Москва : Медицина, 1991. – 256 с.</w:t>
      </w:r>
      <w:r w:rsidRPr="00C82F8D">
        <w:rPr>
          <w:sz w:val="28"/>
          <w:szCs w:val="28"/>
          <w:shd w:val="clear" w:color="auto" w:fill="FFFFFF"/>
        </w:rPr>
        <w:t xml:space="preserve"> – </w:t>
      </w:r>
      <w:r w:rsidR="007D3930" w:rsidRPr="007D3930">
        <w:rPr>
          <w:sz w:val="28"/>
          <w:szCs w:val="28"/>
          <w:shd w:val="clear" w:color="auto" w:fill="FFFFFF"/>
        </w:rPr>
        <w:t xml:space="preserve">ISBN 5-225-01001-6. - </w:t>
      </w:r>
      <w:r w:rsidRPr="00C82F8D">
        <w:rPr>
          <w:sz w:val="28"/>
          <w:szCs w:val="28"/>
          <w:shd w:val="clear" w:color="auto" w:fill="FFFFFF"/>
        </w:rPr>
        <w:t>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 xml:space="preserve">Гайворонская, Т. В. Оптимизация лечения больных одонтогенными флегмонами челюстно-лицевой области : дис…. д-ра мед. наук </w:t>
      </w:r>
      <w:r w:rsidRPr="00F52145">
        <w:rPr>
          <w:color w:val="222222"/>
          <w:sz w:val="28"/>
          <w:szCs w:val="28"/>
          <w:shd w:val="clear" w:color="auto" w:fill="FFFFFF"/>
        </w:rPr>
        <w:t>: 14.00.21, 14.00.16</w:t>
      </w:r>
      <w:r w:rsidRPr="00F52145">
        <w:rPr>
          <w:sz w:val="28"/>
          <w:szCs w:val="28"/>
          <w:shd w:val="clear" w:color="auto" w:fill="FFFFFF"/>
        </w:rPr>
        <w:t xml:space="preserve"> / Т. В. Гайворонская. – Москва, 2008. – 265 с.</w:t>
      </w:r>
      <w:r w:rsidRPr="00C82F8D">
        <w:rPr>
          <w:sz w:val="28"/>
          <w:szCs w:val="28"/>
          <w:shd w:val="clear" w:color="auto" w:fill="FFFFFF"/>
        </w:rPr>
        <w:t xml:space="preserve"> –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 xml:space="preserve">Гараев, Д. А. Синдром взаимного отягощения повреждений у пострадавших с сочетанной травмой и его влияние на выбор тактики лечения повреждений опорно-двигательного аппарата : автореф. дис. ... канд. мед. наук : </w:t>
      </w:r>
      <w:r w:rsidRPr="00F52145">
        <w:rPr>
          <w:iCs/>
          <w:color w:val="333333"/>
          <w:sz w:val="28"/>
          <w:szCs w:val="28"/>
          <w:shd w:val="clear" w:color="auto" w:fill="FFFFFF"/>
        </w:rPr>
        <w:t>14.00.22</w:t>
      </w:r>
      <w:r w:rsidRPr="00F52145">
        <w:rPr>
          <w:sz w:val="28"/>
          <w:szCs w:val="28"/>
          <w:shd w:val="clear" w:color="auto" w:fill="FFFFFF"/>
        </w:rPr>
        <w:t xml:space="preserve"> / Д. А. Гараев. – Москва, 2007. – 26 с.</w:t>
      </w:r>
      <w:r w:rsidRPr="00C82F8D">
        <w:rPr>
          <w:sz w:val="28"/>
          <w:szCs w:val="28"/>
          <w:shd w:val="clear" w:color="auto" w:fill="FFFFFF"/>
        </w:rPr>
        <w:t xml:space="preserve"> –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Гасымова, Г. С. Микробиологическая и иммунологическая характеристика одонтогенной флегмоны и абсцессов актиномикотической этиологии / Г. С. Гасымова, Э. М. Агаева</w:t>
      </w:r>
      <w:r w:rsidR="000B495A">
        <w:rPr>
          <w:sz w:val="28"/>
          <w:szCs w:val="28"/>
          <w:shd w:val="clear" w:color="auto" w:fill="FFFFFF"/>
        </w:rPr>
        <w:t>. – Текст : непосредственный</w:t>
      </w:r>
      <w:r w:rsidRPr="00F52145">
        <w:rPr>
          <w:sz w:val="28"/>
          <w:szCs w:val="28"/>
          <w:shd w:val="clear" w:color="auto" w:fill="FFFFFF"/>
        </w:rPr>
        <w:t xml:space="preserve"> // Вестник Московского </w:t>
      </w:r>
      <w:r w:rsidRPr="00F52145">
        <w:rPr>
          <w:sz w:val="28"/>
          <w:szCs w:val="28"/>
          <w:shd w:val="clear" w:color="auto" w:fill="FFFFFF"/>
        </w:rPr>
        <w:lastRenderedPageBreak/>
        <w:t>государственного областного университета. Серия: Естественные науки. – 2010. – № 3. – С. 19–24.</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Гельфанд, Б. Р. Сепсис: современное состояние проблемы / Б. Р. Гельфанд</w:t>
      </w:r>
      <w:r w:rsidR="000B495A">
        <w:rPr>
          <w:sz w:val="28"/>
          <w:szCs w:val="28"/>
          <w:shd w:val="clear" w:color="auto" w:fill="FFFFFF"/>
        </w:rPr>
        <w:t>. – Текст : непосредственный</w:t>
      </w:r>
      <w:r w:rsidRPr="00F52145">
        <w:rPr>
          <w:sz w:val="28"/>
          <w:szCs w:val="28"/>
          <w:shd w:val="clear" w:color="auto" w:fill="FFFFFF"/>
        </w:rPr>
        <w:t xml:space="preserve"> // Инфекции и антимикробная терапия. – 2001. – Т. 3, № 3. – С. 69–70.</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 xml:space="preserve">Гирко, Е. И. Интенсивная терапия контактного одонтогенного медиастинита : автореф. дис. ... канд. мед. наук : </w:t>
      </w:r>
      <w:r w:rsidRPr="00F52145">
        <w:rPr>
          <w:iCs/>
          <w:color w:val="333333"/>
          <w:sz w:val="28"/>
          <w:szCs w:val="28"/>
          <w:shd w:val="clear" w:color="auto" w:fill="FFFFFF"/>
        </w:rPr>
        <w:t>14.00.21</w:t>
      </w:r>
      <w:r w:rsidRPr="00F52145">
        <w:rPr>
          <w:sz w:val="28"/>
          <w:szCs w:val="28"/>
          <w:shd w:val="clear" w:color="auto" w:fill="FFFFFF"/>
        </w:rPr>
        <w:t xml:space="preserve"> / Е. И. Гирко. – Воронеж, 1994. – 40 с.</w:t>
      </w:r>
      <w:r w:rsidR="005B7C2D" w:rsidRPr="005B7C2D">
        <w:rPr>
          <w:sz w:val="28"/>
          <w:szCs w:val="28"/>
          <w:shd w:val="clear" w:color="auto" w:fill="FFFFFF"/>
        </w:rPr>
        <w:t xml:space="preserve"> </w:t>
      </w:r>
      <w:r w:rsidR="005B7C2D">
        <w:rPr>
          <w:sz w:val="28"/>
          <w:szCs w:val="28"/>
          <w:shd w:val="clear" w:color="auto" w:fill="FFFFFF"/>
        </w:rPr>
        <w:t>–</w:t>
      </w:r>
      <w:r w:rsidR="005B7C2D" w:rsidRPr="005B7C2D">
        <w:rPr>
          <w:sz w:val="28"/>
          <w:szCs w:val="28"/>
          <w:shd w:val="clear" w:color="auto" w:fill="FFFFFF"/>
        </w:rPr>
        <w:t xml:space="preserve"> </w:t>
      </w:r>
      <w:r w:rsidR="005B7C2D">
        <w:rPr>
          <w:sz w:val="28"/>
          <w:szCs w:val="28"/>
          <w:shd w:val="clear" w:color="auto" w:fill="FFFFFF"/>
        </w:rPr>
        <w:t>Текст : непосредственный.</w:t>
      </w:r>
    </w:p>
    <w:p w:rsidR="00286780" w:rsidRPr="00C82F8D"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Глинник, А. В. Комплексное лечение больных с абсцессами и флегмонами челюстно-лицевой области и шеи : учебно-методическое пособие / А. В. Глинник, Л. И. Тесевич, Н. Н. Черченко. – Минск : БГМУ, 2012. – 75 с.</w:t>
      </w:r>
      <w:r w:rsidRPr="00C82F8D">
        <w:rPr>
          <w:sz w:val="28"/>
          <w:szCs w:val="28"/>
          <w:shd w:val="clear" w:color="auto" w:fill="FFFFFF"/>
        </w:rPr>
        <w:t xml:space="preserve"> </w:t>
      </w:r>
      <w:r w:rsidR="00E437C9">
        <w:rPr>
          <w:sz w:val="28"/>
          <w:szCs w:val="28"/>
          <w:shd w:val="clear" w:color="auto" w:fill="FFFFFF"/>
        </w:rPr>
        <w:t xml:space="preserve">- </w:t>
      </w:r>
      <w:r w:rsidRPr="004C62B3">
        <w:rPr>
          <w:sz w:val="28"/>
          <w:szCs w:val="28"/>
          <w:shd w:val="clear" w:color="auto" w:fill="FFFFFF"/>
        </w:rPr>
        <w:t>ISBN 978-985-528-709-5</w:t>
      </w:r>
      <w:r>
        <w:rPr>
          <w:sz w:val="28"/>
          <w:szCs w:val="28"/>
          <w:shd w:val="clear" w:color="auto" w:fill="FFFFFF"/>
        </w:rPr>
        <w:t xml:space="preserve">. </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Голицына, Т. Ю. Коррекция углеводного обмена у пациентов с сахарным диабетом типа 2 в остром периоде инфаркта миокарда / Т. Ю. Голицина</w:t>
      </w:r>
      <w:r w:rsidR="000B495A">
        <w:rPr>
          <w:sz w:val="28"/>
          <w:szCs w:val="28"/>
          <w:shd w:val="clear" w:color="auto" w:fill="FFFFFF"/>
        </w:rPr>
        <w:t>. – Текст : непосредственный</w:t>
      </w:r>
      <w:r w:rsidRPr="00F52145">
        <w:rPr>
          <w:sz w:val="28"/>
          <w:szCs w:val="28"/>
          <w:shd w:val="clear" w:color="auto" w:fill="FFFFFF"/>
        </w:rPr>
        <w:t xml:space="preserve"> // Клиническая фармакология и терапия. – 2007. – Т. 16, № 2. – С. 54–56.</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Голицына, Т. Ю. Тактика ведения больных сахарным диабетом при хирургических вмешательствах / Т. Ю. Голицына, Т. Е. Чазова</w:t>
      </w:r>
      <w:r w:rsidR="000B495A">
        <w:rPr>
          <w:sz w:val="28"/>
          <w:szCs w:val="28"/>
          <w:shd w:val="clear" w:color="auto" w:fill="FFFFFF"/>
        </w:rPr>
        <w:t>. – Текст : непосредственный</w:t>
      </w:r>
      <w:r w:rsidRPr="00F52145">
        <w:rPr>
          <w:sz w:val="28"/>
          <w:szCs w:val="28"/>
          <w:shd w:val="clear" w:color="auto" w:fill="FFFFFF"/>
        </w:rPr>
        <w:t xml:space="preserve"> // Медицинская сестра. – 2004. – № 5. – С. 9–11.</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Голубь, И. В. Флегмоны челюстно-лицевой области и проблемы безопасной анестезии / И. В. Голубь</w:t>
      </w:r>
      <w:r w:rsidR="000B495A">
        <w:rPr>
          <w:sz w:val="28"/>
          <w:szCs w:val="28"/>
          <w:shd w:val="clear" w:color="auto" w:fill="FFFFFF"/>
        </w:rPr>
        <w:t>. – Текст : непосредственный</w:t>
      </w:r>
      <w:r w:rsidRPr="00F52145">
        <w:rPr>
          <w:sz w:val="28"/>
          <w:szCs w:val="28"/>
          <w:shd w:val="clear" w:color="auto" w:fill="FFFFFF"/>
        </w:rPr>
        <w:t xml:space="preserve"> // Военно-медицинский журнал. – 2008. – Т. 329, № 4. – С. 65. </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Горелик, С. Г. Особенности диагностики хирургической патологии у лиц старческого возраста / С. Г. Горелик, Д. В. Волков</w:t>
      </w:r>
      <w:r w:rsidR="000B495A">
        <w:rPr>
          <w:sz w:val="28"/>
          <w:szCs w:val="28"/>
          <w:shd w:val="clear" w:color="auto" w:fill="FFFFFF"/>
        </w:rPr>
        <w:t>. – Текст : непосредственный</w:t>
      </w:r>
      <w:r w:rsidRPr="00F52145">
        <w:rPr>
          <w:sz w:val="28"/>
          <w:szCs w:val="28"/>
          <w:shd w:val="clear" w:color="auto" w:fill="FFFFFF"/>
        </w:rPr>
        <w:t xml:space="preserve"> // Научные ведомости Белгородского государственного университета. Серия: Медицина. Фармация. –</w:t>
      </w:r>
      <w:r w:rsidR="005B7C2D">
        <w:rPr>
          <w:sz w:val="28"/>
          <w:szCs w:val="28"/>
          <w:shd w:val="clear" w:color="auto" w:fill="FFFFFF"/>
        </w:rPr>
        <w:t xml:space="preserve"> 2011. -</w:t>
      </w:r>
      <w:r w:rsidRPr="00F52145">
        <w:rPr>
          <w:sz w:val="28"/>
          <w:szCs w:val="28"/>
          <w:shd w:val="clear" w:color="auto" w:fill="FFFFFF"/>
        </w:rPr>
        <w:t xml:space="preserve"> Т. 16-1, № 22 (117). – С. 114–116.</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Гостищев, В. К. Общая хирургия : учебник / В. К. Гостищев. – 5 е изд., перераб. и доп. – Москва : ГЭОТАР Медиа, 2012 – 728 с.</w:t>
      </w:r>
      <w:r>
        <w:rPr>
          <w:sz w:val="28"/>
          <w:szCs w:val="28"/>
          <w:shd w:val="clear" w:color="auto" w:fill="FFFFFF"/>
        </w:rPr>
        <w:t xml:space="preserve"> - ISBN</w:t>
      </w:r>
      <w:r w:rsidRPr="004C62B3">
        <w:rPr>
          <w:sz w:val="28"/>
          <w:szCs w:val="28"/>
          <w:shd w:val="clear" w:color="auto" w:fill="FFFFFF"/>
        </w:rPr>
        <w:t xml:space="preserve"> 978-5-9704-3878-7</w:t>
      </w:r>
      <w:r>
        <w:rPr>
          <w:sz w:val="28"/>
          <w:szCs w:val="28"/>
          <w:shd w:val="clear" w:color="auto" w:fill="FFFFFF"/>
        </w:rPr>
        <w:t xml:space="preserve">. </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pacing w:val="-4"/>
          <w:sz w:val="28"/>
          <w:szCs w:val="28"/>
          <w:shd w:val="clear" w:color="auto" w:fill="FFFFFF"/>
        </w:rPr>
      </w:pPr>
      <w:r w:rsidRPr="00F52145">
        <w:rPr>
          <w:spacing w:val="-4"/>
          <w:sz w:val="28"/>
          <w:szCs w:val="28"/>
          <w:shd w:val="clear" w:color="auto" w:fill="FFFFFF"/>
        </w:rPr>
        <w:lastRenderedPageBreak/>
        <w:t>Граменицкий, А. Б. Хирургический сепсис / А. Б. Граменицкий. – Ярославль, 2001. – 304 с.</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Григорьев, Е. Г. Хирургия тяжелых гнойных процессов / Е. Г. Григорьев, А. С. Коган. – Новосибирск : Наука, 2000. – 314 с.</w:t>
      </w:r>
      <w:r>
        <w:rPr>
          <w:sz w:val="28"/>
          <w:szCs w:val="28"/>
          <w:shd w:val="clear" w:color="auto" w:fill="FFFFFF"/>
        </w:rPr>
        <w:t xml:space="preserve"> - </w:t>
      </w:r>
      <w:r w:rsidRPr="004C62B3">
        <w:rPr>
          <w:sz w:val="28"/>
          <w:szCs w:val="28"/>
          <w:shd w:val="clear" w:color="auto" w:fill="FFFFFF"/>
        </w:rPr>
        <w:t>ISBN 5-02-030446-8</w:t>
      </w:r>
      <w:r>
        <w:rPr>
          <w:sz w:val="28"/>
          <w:szCs w:val="28"/>
          <w:shd w:val="clear" w:color="auto" w:fill="FFFFFF"/>
        </w:rPr>
        <w:t xml:space="preserve">. </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Григорьянц, Л. A. Использование препарата Цифран CT в хирургической стоматологии для лечения и профилактики послеоперационных воспалительных осложнений / Л. А. Григорьянц, Л. Н. Герчиков, В. А. Бадалян</w:t>
      </w:r>
      <w:r w:rsidR="000B495A">
        <w:rPr>
          <w:sz w:val="28"/>
          <w:szCs w:val="28"/>
          <w:shd w:val="clear" w:color="auto" w:fill="FFFFFF"/>
        </w:rPr>
        <w:t>. – Текст : непосредственный</w:t>
      </w:r>
      <w:r w:rsidRPr="00F52145">
        <w:rPr>
          <w:sz w:val="28"/>
          <w:szCs w:val="28"/>
          <w:shd w:val="clear" w:color="auto" w:fill="FFFFFF"/>
        </w:rPr>
        <w:t xml:space="preserve"> // Стоматология для всех. – 2006. – № 2. – С. 14–16.</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 xml:space="preserve">Громов, А. Л. Совершенствование диагностики и лечения тяжелых осложнений одонтогенной инфекции : автореферат дис. ... канд. мед. наук : </w:t>
      </w:r>
      <w:r w:rsidRPr="00F52145">
        <w:rPr>
          <w:iCs/>
          <w:color w:val="333333"/>
          <w:sz w:val="28"/>
          <w:szCs w:val="28"/>
          <w:shd w:val="clear" w:color="auto" w:fill="FFFFFF"/>
        </w:rPr>
        <w:t>14.01.17 ; 14.01.14</w:t>
      </w:r>
      <w:r w:rsidRPr="00F52145">
        <w:rPr>
          <w:sz w:val="28"/>
          <w:szCs w:val="28"/>
          <w:shd w:val="clear" w:color="auto" w:fill="FFFFFF"/>
        </w:rPr>
        <w:t xml:space="preserve"> / А. Л. Громов. – Воронеж, 2011. – 22 с.</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Громов, А. Л. Сравнительный анализ биомаркеров воспаления у больных с прогрессирующими одонтогенными флегмонами при лечении методом селективной деконтаминации кишечника / А. Л. Громов, А. Г. Зыкин</w:t>
      </w:r>
      <w:r w:rsidR="000B495A">
        <w:rPr>
          <w:sz w:val="28"/>
          <w:szCs w:val="28"/>
          <w:shd w:val="clear" w:color="auto" w:fill="FFFFFF"/>
        </w:rPr>
        <w:t>. – Текст : непосредственный</w:t>
      </w:r>
      <w:r w:rsidRPr="00F52145">
        <w:rPr>
          <w:sz w:val="28"/>
          <w:szCs w:val="28"/>
          <w:shd w:val="clear" w:color="auto" w:fill="FFFFFF"/>
        </w:rPr>
        <w:t xml:space="preserve"> // Форум практикующих стоматологов. – 2014. – № 2 (14). – С. 38–39.</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 xml:space="preserve">Громов, М. И. Реаниматологические проблемы хирургического сепсиса (оценка тяжести, прогнозирование исхода, иммунотерапия) : автореф. дис. ... д-ра мед. наук : </w:t>
      </w:r>
      <w:r w:rsidRPr="00F52145">
        <w:rPr>
          <w:iCs/>
          <w:color w:val="333333"/>
          <w:sz w:val="28"/>
          <w:szCs w:val="28"/>
          <w:shd w:val="clear" w:color="auto" w:fill="FFFFFF"/>
        </w:rPr>
        <w:t xml:space="preserve">14.00.37 </w:t>
      </w:r>
      <w:r w:rsidRPr="00F52145">
        <w:rPr>
          <w:sz w:val="28"/>
          <w:szCs w:val="28"/>
          <w:shd w:val="clear" w:color="auto" w:fill="FFFFFF"/>
        </w:rPr>
        <w:t>/ М. И. Громов. – Санкт-Петербург, 1998. – 46 с.</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Губин, М. А. Анаэробная неклостридиальная инфекция лица и шеи : монография / М. А. Губин, В. Ф. Куликовский, А. А. Оганесян. – Белгород, 2011. – 278 с.</w:t>
      </w:r>
      <w:r>
        <w:rPr>
          <w:sz w:val="28"/>
          <w:szCs w:val="28"/>
          <w:shd w:val="clear" w:color="auto" w:fill="FFFFFF"/>
        </w:rPr>
        <w:t xml:space="preserve"> - </w:t>
      </w:r>
      <w:r w:rsidRPr="004C62B3">
        <w:rPr>
          <w:sz w:val="28"/>
          <w:szCs w:val="28"/>
          <w:shd w:val="clear" w:color="auto" w:fill="FFFFFF"/>
        </w:rPr>
        <w:t>ISBN 978-5-9571-0814-6</w:t>
      </w:r>
      <w:r>
        <w:rPr>
          <w:sz w:val="28"/>
          <w:szCs w:val="28"/>
          <w:shd w:val="clear" w:color="auto" w:fill="FFFFFF"/>
        </w:rPr>
        <w:t xml:space="preserve">. </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Губин, М. А. Внутричерепные осложнения гнойно-септических стоматологических заболеваний: возможности современного лечения / М. А. Губин, О. В. Лазутиков</w:t>
      </w:r>
      <w:r w:rsidR="000B495A">
        <w:rPr>
          <w:sz w:val="28"/>
          <w:szCs w:val="28"/>
          <w:shd w:val="clear" w:color="auto" w:fill="FFFFFF"/>
        </w:rPr>
        <w:t>. – Текст : непосредственный</w:t>
      </w:r>
      <w:r w:rsidRPr="00F52145">
        <w:rPr>
          <w:sz w:val="28"/>
          <w:szCs w:val="28"/>
          <w:shd w:val="clear" w:color="auto" w:fill="FFFFFF"/>
        </w:rPr>
        <w:t xml:space="preserve"> // Российский стоматологический журнал. – 2002. – № 5. – С. 20–25.</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lastRenderedPageBreak/>
        <w:t>Губин, М. А. Внутричерепные осложнения гнойных заболеваний лица и шеи : монография / М. А. Губин, Н. И. Чевардов, О. В. Лазутиков. – Воронеж, 2000. – 116 с.</w:t>
      </w:r>
      <w:r>
        <w:rPr>
          <w:sz w:val="28"/>
          <w:szCs w:val="28"/>
          <w:shd w:val="clear" w:color="auto" w:fill="FFFFFF"/>
        </w:rPr>
        <w:t xml:space="preserve"> – </w:t>
      </w:r>
      <w:r>
        <w:rPr>
          <w:bCs/>
          <w:sz w:val="28"/>
          <w:szCs w:val="28"/>
          <w:shd w:val="clear" w:color="auto" w:fill="FFFFFF"/>
        </w:rPr>
        <w:t xml:space="preserve">ISBN </w:t>
      </w:r>
      <w:r w:rsidRPr="004C62B3">
        <w:rPr>
          <w:sz w:val="28"/>
          <w:szCs w:val="28"/>
          <w:shd w:val="clear" w:color="auto" w:fill="FFFFFF"/>
        </w:rPr>
        <w:t>5-87456-223-0</w:t>
      </w:r>
      <w:r>
        <w:rPr>
          <w:sz w:val="28"/>
          <w:szCs w:val="28"/>
          <w:shd w:val="clear" w:color="auto" w:fill="FFFFFF"/>
        </w:rPr>
        <w:t xml:space="preserve">. </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Губин, М. А. Диагностика и лечение острых прогрессирующих заболеваний челюстно-лицевой области, шеи и их осложнений : дис. … д-ра мед. наук : 14.00.21 / М. А. Губин. – Москва, 1987. – 357 с.</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Губин, М. А. Клинико-лабораторная характеристика осложнений гнойной инфекции у больных из групп риска / М. А. Губин, Ю. М. Харитонов, Р. Н. Киков</w:t>
      </w:r>
      <w:r w:rsidR="000B495A">
        <w:rPr>
          <w:sz w:val="28"/>
          <w:szCs w:val="28"/>
          <w:shd w:val="clear" w:color="auto" w:fill="FFFFFF"/>
        </w:rPr>
        <w:t>. – Текст : непосредственный</w:t>
      </w:r>
      <w:r w:rsidRPr="00F52145">
        <w:rPr>
          <w:sz w:val="28"/>
          <w:szCs w:val="28"/>
          <w:shd w:val="clear" w:color="auto" w:fill="FFFFFF"/>
        </w:rPr>
        <w:t xml:space="preserve"> // Консилиум. – 2004. – № 6. – С. 38.</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Губин, М. А. Осложнения одонтогенных воспалительных заболеваний / М. А. Губин, Ю. М. Харитонов. – Москва : Медицина, 2006. – 664 с.</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Гук, A. C. Гнойно-воспалительные заболевания челюстно-лицевой области / А. С. Гук // Заболевания, повреждения и опухоли челюстно-лицевой области / под ред. А. К. Иорданишвили. – Санкт-Петербург : СпецЛит, 2007. – С. 11–59.</w:t>
      </w:r>
      <w:r w:rsidR="005B7C2D">
        <w:rPr>
          <w:sz w:val="28"/>
          <w:szCs w:val="28"/>
          <w:shd w:val="clear" w:color="auto" w:fill="FFFFFF"/>
        </w:rPr>
        <w:t xml:space="preserve"> –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Гук, A. C. Особенности клиники, диагностики и лечения одонтогенных заболеваний челюстно-лицевой области с учетом неспорообразующих анаэробов : автореф. дис. … канд.  мед. наук : 14.00.21 / A. C. Гук. – Ленинград : Воен.-мед. акад. им. С. М. Кирова, 1990. – 24 с.</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Давыдовский, И. В. Проблема причинности в медицине / И. В. Давыдовский. – Москва : Медгиз, 1962. – 176 с.</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Дадыкин, В. Ф. Лечение тяжелой гнойной инфекции челюстно-лицевой области и шеи / В. Ф. Дадыкин, В. В. Ковшов</w:t>
      </w:r>
      <w:r w:rsidR="000B495A">
        <w:rPr>
          <w:sz w:val="28"/>
          <w:szCs w:val="28"/>
          <w:shd w:val="clear" w:color="auto" w:fill="FFFFFF"/>
        </w:rPr>
        <w:t>. – Текст : непосредственный</w:t>
      </w:r>
      <w:r w:rsidRPr="00F52145">
        <w:rPr>
          <w:sz w:val="28"/>
          <w:szCs w:val="28"/>
          <w:shd w:val="clear" w:color="auto" w:fill="FFFFFF"/>
        </w:rPr>
        <w:t xml:space="preserve"> // Сибирский медицинский журнал. – 2006. – Т. 66, № 8. – С. 21–23.</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Данилова, И. Г. Эндогенная интоксикация при хроническом пародонтите на фоне сахарного диабета / И. Г. Данилова</w:t>
      </w:r>
      <w:r w:rsidR="000B495A">
        <w:rPr>
          <w:sz w:val="28"/>
          <w:szCs w:val="28"/>
          <w:shd w:val="clear" w:color="auto" w:fill="FFFFFF"/>
        </w:rPr>
        <w:t>. – Текст : непосредственный</w:t>
      </w:r>
      <w:r w:rsidRPr="00F52145">
        <w:rPr>
          <w:sz w:val="28"/>
          <w:szCs w:val="28"/>
          <w:shd w:val="clear" w:color="auto" w:fill="FFFFFF"/>
        </w:rPr>
        <w:t xml:space="preserve"> // Институт стоматологии. – 2008. – № 1 (38). – С. 106–108.</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lastRenderedPageBreak/>
        <w:t>Дворецкий, Л. И. Диагностика и лечение бактериальных инфекций у пожилых / Л. И. Дворецкий, Л. Б. Лазебник, С. В. Яковлев. – Москва : Универсум Паблишинг, 1997. – 54 с.</w:t>
      </w:r>
      <w:r w:rsidRPr="00C82F8D">
        <w:rPr>
          <w:sz w:val="28"/>
          <w:szCs w:val="28"/>
          <w:shd w:val="clear" w:color="auto" w:fill="FFFFFF"/>
        </w:rPr>
        <w:t>– Текст : непосредственный.</w:t>
      </w:r>
    </w:p>
    <w:p w:rsidR="00286780" w:rsidRPr="003C1A5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Денис</w:t>
      </w:r>
      <w:r w:rsidRPr="003C1A55">
        <w:rPr>
          <w:sz w:val="28"/>
          <w:szCs w:val="28"/>
          <w:shd w:val="clear" w:color="auto" w:fill="FFFFFF"/>
        </w:rPr>
        <w:t xml:space="preserve">, </w:t>
      </w:r>
      <w:r w:rsidRPr="00F52145">
        <w:rPr>
          <w:sz w:val="28"/>
          <w:szCs w:val="28"/>
          <w:shd w:val="clear" w:color="auto" w:fill="FFFFFF"/>
        </w:rPr>
        <w:t>А</w:t>
      </w:r>
      <w:r w:rsidRPr="003C1A55">
        <w:rPr>
          <w:sz w:val="28"/>
          <w:szCs w:val="28"/>
          <w:shd w:val="clear" w:color="auto" w:fill="FFFFFF"/>
        </w:rPr>
        <w:t>.</w:t>
      </w:r>
      <w:r w:rsidRPr="00F52145">
        <w:rPr>
          <w:sz w:val="28"/>
          <w:szCs w:val="28"/>
          <w:shd w:val="clear" w:color="auto" w:fill="FFFFFF"/>
          <w:lang w:val="en-US"/>
        </w:rPr>
        <w:t> </w:t>
      </w:r>
      <w:r w:rsidRPr="00F52145">
        <w:rPr>
          <w:sz w:val="28"/>
          <w:szCs w:val="28"/>
          <w:shd w:val="clear" w:color="auto" w:fill="FFFFFF"/>
        </w:rPr>
        <w:t>Г</w:t>
      </w:r>
      <w:r w:rsidRPr="003C1A55">
        <w:rPr>
          <w:sz w:val="28"/>
          <w:szCs w:val="28"/>
          <w:shd w:val="clear" w:color="auto" w:fill="FFFFFF"/>
        </w:rPr>
        <w:t xml:space="preserve">. </w:t>
      </w:r>
      <w:r w:rsidRPr="00F52145">
        <w:rPr>
          <w:sz w:val="28"/>
          <w:szCs w:val="28"/>
          <w:shd w:val="clear" w:color="auto" w:fill="FFFFFF"/>
          <w:lang w:val="en-US"/>
        </w:rPr>
        <w:t>Study</w:t>
      </w:r>
      <w:r w:rsidRPr="003C1A55">
        <w:rPr>
          <w:sz w:val="28"/>
          <w:szCs w:val="28"/>
          <w:shd w:val="clear" w:color="auto" w:fill="FFFFFF"/>
        </w:rPr>
        <w:t xml:space="preserve"> </w:t>
      </w:r>
      <w:r w:rsidRPr="00F52145">
        <w:rPr>
          <w:sz w:val="28"/>
          <w:szCs w:val="28"/>
          <w:shd w:val="clear" w:color="auto" w:fill="FFFFFF"/>
          <w:lang w:val="en-US"/>
        </w:rPr>
        <w:t>of</w:t>
      </w:r>
      <w:r w:rsidRPr="003C1A55">
        <w:rPr>
          <w:sz w:val="28"/>
          <w:szCs w:val="28"/>
          <w:shd w:val="clear" w:color="auto" w:fill="FFFFFF"/>
        </w:rPr>
        <w:t xml:space="preserve"> </w:t>
      </w:r>
      <w:r w:rsidRPr="00F52145">
        <w:rPr>
          <w:sz w:val="28"/>
          <w:szCs w:val="28"/>
          <w:shd w:val="clear" w:color="auto" w:fill="FFFFFF"/>
          <w:lang w:val="en-US"/>
        </w:rPr>
        <w:t>microbic</w:t>
      </w:r>
      <w:r w:rsidRPr="003C1A55">
        <w:rPr>
          <w:sz w:val="28"/>
          <w:szCs w:val="28"/>
          <w:shd w:val="clear" w:color="auto" w:fill="FFFFFF"/>
        </w:rPr>
        <w:t xml:space="preserve"> </w:t>
      </w:r>
      <w:r w:rsidRPr="00F52145">
        <w:rPr>
          <w:sz w:val="28"/>
          <w:szCs w:val="28"/>
          <w:shd w:val="clear" w:color="auto" w:fill="FFFFFF"/>
          <w:lang w:val="en-US"/>
        </w:rPr>
        <w:t>spectrum</w:t>
      </w:r>
      <w:r w:rsidRPr="003C1A55">
        <w:rPr>
          <w:sz w:val="28"/>
          <w:szCs w:val="28"/>
          <w:shd w:val="clear" w:color="auto" w:fill="FFFFFF"/>
        </w:rPr>
        <w:t xml:space="preserve"> </w:t>
      </w:r>
      <w:r w:rsidRPr="00F52145">
        <w:rPr>
          <w:sz w:val="28"/>
          <w:szCs w:val="28"/>
          <w:shd w:val="clear" w:color="auto" w:fill="FFFFFF"/>
          <w:lang w:val="en-US"/>
        </w:rPr>
        <w:t>and</w:t>
      </w:r>
      <w:r w:rsidRPr="003C1A55">
        <w:rPr>
          <w:sz w:val="28"/>
          <w:szCs w:val="28"/>
          <w:shd w:val="clear" w:color="auto" w:fill="FFFFFF"/>
        </w:rPr>
        <w:t xml:space="preserve"> </w:t>
      </w:r>
      <w:r w:rsidRPr="00F52145">
        <w:rPr>
          <w:sz w:val="28"/>
          <w:szCs w:val="28"/>
          <w:shd w:val="clear" w:color="auto" w:fill="FFFFFF"/>
          <w:lang w:val="en-US"/>
        </w:rPr>
        <w:t>definition</w:t>
      </w:r>
      <w:r w:rsidRPr="003C1A55">
        <w:rPr>
          <w:sz w:val="28"/>
          <w:szCs w:val="28"/>
          <w:shd w:val="clear" w:color="auto" w:fill="FFFFFF"/>
        </w:rPr>
        <w:t xml:space="preserve"> </w:t>
      </w:r>
      <w:r w:rsidRPr="00F52145">
        <w:rPr>
          <w:sz w:val="28"/>
          <w:szCs w:val="28"/>
          <w:shd w:val="clear" w:color="auto" w:fill="FFFFFF"/>
          <w:lang w:val="en-US"/>
        </w:rPr>
        <w:t>of</w:t>
      </w:r>
      <w:r w:rsidRPr="003C1A55">
        <w:rPr>
          <w:sz w:val="28"/>
          <w:szCs w:val="28"/>
          <w:shd w:val="clear" w:color="auto" w:fill="FFFFFF"/>
        </w:rPr>
        <w:t xml:space="preserve"> </w:t>
      </w:r>
      <w:r w:rsidRPr="00F52145">
        <w:rPr>
          <w:sz w:val="28"/>
          <w:szCs w:val="28"/>
          <w:shd w:val="clear" w:color="auto" w:fill="FFFFFF"/>
          <w:lang w:val="en-US"/>
        </w:rPr>
        <w:t>resistance</w:t>
      </w:r>
      <w:r w:rsidRPr="003C1A55">
        <w:rPr>
          <w:sz w:val="28"/>
          <w:szCs w:val="28"/>
          <w:shd w:val="clear" w:color="auto" w:fill="FFFFFF"/>
        </w:rPr>
        <w:t xml:space="preserve"> </w:t>
      </w:r>
      <w:r w:rsidRPr="00F52145">
        <w:rPr>
          <w:sz w:val="28"/>
          <w:szCs w:val="28"/>
          <w:shd w:val="clear" w:color="auto" w:fill="FFFFFF"/>
          <w:lang w:val="en-US"/>
        </w:rPr>
        <w:t>of</w:t>
      </w:r>
      <w:r w:rsidRPr="003C1A55">
        <w:rPr>
          <w:sz w:val="28"/>
          <w:szCs w:val="28"/>
          <w:shd w:val="clear" w:color="auto" w:fill="FFFFFF"/>
        </w:rPr>
        <w:t xml:space="preserve"> </w:t>
      </w:r>
      <w:r w:rsidRPr="00F52145">
        <w:rPr>
          <w:sz w:val="28"/>
          <w:szCs w:val="28"/>
          <w:shd w:val="clear" w:color="auto" w:fill="FFFFFF"/>
          <w:lang w:val="en-US"/>
        </w:rPr>
        <w:t>microbes</w:t>
      </w:r>
      <w:r w:rsidRPr="003C1A55">
        <w:rPr>
          <w:sz w:val="28"/>
          <w:szCs w:val="28"/>
          <w:shd w:val="clear" w:color="auto" w:fill="FFFFFF"/>
        </w:rPr>
        <w:t xml:space="preserve"> </w:t>
      </w:r>
      <w:r w:rsidRPr="00F52145">
        <w:rPr>
          <w:sz w:val="28"/>
          <w:szCs w:val="28"/>
          <w:shd w:val="clear" w:color="auto" w:fill="FFFFFF"/>
          <w:lang w:val="en-US"/>
        </w:rPr>
        <w:t>to</w:t>
      </w:r>
      <w:r w:rsidRPr="003C1A55">
        <w:rPr>
          <w:sz w:val="28"/>
          <w:szCs w:val="28"/>
          <w:shd w:val="clear" w:color="auto" w:fill="FFFFFF"/>
        </w:rPr>
        <w:t xml:space="preserve"> </w:t>
      </w:r>
      <w:r w:rsidRPr="00F52145">
        <w:rPr>
          <w:sz w:val="28"/>
          <w:szCs w:val="28"/>
          <w:shd w:val="clear" w:color="auto" w:fill="FFFFFF"/>
          <w:lang w:val="en-US"/>
        </w:rPr>
        <w:t>antibiotics</w:t>
      </w:r>
      <w:r w:rsidRPr="003C1A55">
        <w:rPr>
          <w:sz w:val="28"/>
          <w:szCs w:val="28"/>
          <w:shd w:val="clear" w:color="auto" w:fill="FFFFFF"/>
        </w:rPr>
        <w:t xml:space="preserve"> </w:t>
      </w:r>
      <w:r w:rsidRPr="00F52145">
        <w:rPr>
          <w:sz w:val="28"/>
          <w:szCs w:val="28"/>
          <w:shd w:val="clear" w:color="auto" w:fill="FFFFFF"/>
          <w:lang w:val="en-US"/>
        </w:rPr>
        <w:t>during</w:t>
      </w:r>
      <w:r w:rsidRPr="003C1A55">
        <w:rPr>
          <w:sz w:val="28"/>
          <w:szCs w:val="28"/>
          <w:shd w:val="clear" w:color="auto" w:fill="FFFFFF"/>
        </w:rPr>
        <w:t xml:space="preserve"> </w:t>
      </w:r>
      <w:r w:rsidRPr="00F52145">
        <w:rPr>
          <w:sz w:val="28"/>
          <w:szCs w:val="28"/>
          <w:shd w:val="clear" w:color="auto" w:fill="FFFFFF"/>
          <w:lang w:val="en-US"/>
        </w:rPr>
        <w:t>acute</w:t>
      </w:r>
      <w:r w:rsidRPr="003C1A55">
        <w:rPr>
          <w:sz w:val="28"/>
          <w:szCs w:val="28"/>
          <w:shd w:val="clear" w:color="auto" w:fill="FFFFFF"/>
        </w:rPr>
        <w:t xml:space="preserve"> </w:t>
      </w:r>
      <w:r w:rsidRPr="00F52145">
        <w:rPr>
          <w:sz w:val="28"/>
          <w:szCs w:val="28"/>
          <w:shd w:val="clear" w:color="auto" w:fill="FFFFFF"/>
          <w:lang w:val="en-US"/>
        </w:rPr>
        <w:t>odontogeneous</w:t>
      </w:r>
      <w:r w:rsidRPr="003C1A55">
        <w:rPr>
          <w:sz w:val="28"/>
          <w:szCs w:val="28"/>
          <w:shd w:val="clear" w:color="auto" w:fill="FFFFFF"/>
        </w:rPr>
        <w:t xml:space="preserve"> </w:t>
      </w:r>
      <w:r w:rsidRPr="00F52145">
        <w:rPr>
          <w:sz w:val="28"/>
          <w:szCs w:val="28"/>
          <w:shd w:val="clear" w:color="auto" w:fill="FFFFFF"/>
          <w:lang w:val="en-US"/>
        </w:rPr>
        <w:t>processes</w:t>
      </w:r>
      <w:r w:rsidRPr="003C1A55">
        <w:rPr>
          <w:sz w:val="28"/>
          <w:szCs w:val="28"/>
          <w:shd w:val="clear" w:color="auto" w:fill="FFFFFF"/>
        </w:rPr>
        <w:t xml:space="preserve"> </w:t>
      </w:r>
      <w:r w:rsidRPr="00F52145">
        <w:rPr>
          <w:sz w:val="28"/>
          <w:szCs w:val="28"/>
          <w:shd w:val="clear" w:color="auto" w:fill="FFFFFF"/>
          <w:lang w:val="en-US"/>
        </w:rPr>
        <w:t>of</w:t>
      </w:r>
      <w:r w:rsidRPr="003C1A55">
        <w:rPr>
          <w:sz w:val="28"/>
          <w:szCs w:val="28"/>
          <w:shd w:val="clear" w:color="auto" w:fill="FFFFFF"/>
        </w:rPr>
        <w:t xml:space="preserve"> </w:t>
      </w:r>
      <w:r w:rsidRPr="00F52145">
        <w:rPr>
          <w:sz w:val="28"/>
          <w:szCs w:val="28"/>
          <w:shd w:val="clear" w:color="auto" w:fill="FFFFFF"/>
          <w:lang w:val="en-US"/>
        </w:rPr>
        <w:t>maxillofacial</w:t>
      </w:r>
      <w:r w:rsidRPr="003C1A55">
        <w:rPr>
          <w:sz w:val="28"/>
          <w:szCs w:val="28"/>
          <w:shd w:val="clear" w:color="auto" w:fill="FFFFFF"/>
        </w:rPr>
        <w:t xml:space="preserve"> </w:t>
      </w:r>
      <w:r w:rsidRPr="00F52145">
        <w:rPr>
          <w:sz w:val="28"/>
          <w:szCs w:val="28"/>
          <w:shd w:val="clear" w:color="auto" w:fill="FFFFFF"/>
          <w:lang w:val="en-US"/>
        </w:rPr>
        <w:t>area</w:t>
      </w:r>
      <w:r w:rsidRPr="003C1A55">
        <w:rPr>
          <w:sz w:val="28"/>
          <w:szCs w:val="28"/>
          <w:shd w:val="clear" w:color="auto" w:fill="FFFFFF"/>
        </w:rPr>
        <w:t xml:space="preserve"> / </w:t>
      </w:r>
      <w:r w:rsidRPr="00F52145">
        <w:rPr>
          <w:sz w:val="28"/>
          <w:szCs w:val="28"/>
          <w:shd w:val="clear" w:color="auto" w:fill="FFFFFF"/>
        </w:rPr>
        <w:t>А</w:t>
      </w:r>
      <w:r w:rsidRPr="003C1A55">
        <w:rPr>
          <w:sz w:val="28"/>
          <w:szCs w:val="28"/>
          <w:shd w:val="clear" w:color="auto" w:fill="FFFFFF"/>
        </w:rPr>
        <w:t>.</w:t>
      </w:r>
      <w:r w:rsidRPr="00F52145">
        <w:rPr>
          <w:sz w:val="28"/>
          <w:szCs w:val="28"/>
          <w:shd w:val="clear" w:color="auto" w:fill="FFFFFF"/>
          <w:lang w:val="en-US"/>
        </w:rPr>
        <w:t> </w:t>
      </w:r>
      <w:r w:rsidRPr="00F52145">
        <w:rPr>
          <w:sz w:val="28"/>
          <w:szCs w:val="28"/>
          <w:shd w:val="clear" w:color="auto" w:fill="FFFFFF"/>
        </w:rPr>
        <w:t>Г</w:t>
      </w:r>
      <w:r w:rsidRPr="003C1A55">
        <w:rPr>
          <w:sz w:val="28"/>
          <w:szCs w:val="28"/>
          <w:shd w:val="clear" w:color="auto" w:fill="FFFFFF"/>
        </w:rPr>
        <w:t>.</w:t>
      </w:r>
      <w:r w:rsidRPr="00F52145">
        <w:rPr>
          <w:sz w:val="28"/>
          <w:szCs w:val="28"/>
          <w:shd w:val="clear" w:color="auto" w:fill="FFFFFF"/>
          <w:lang w:val="en-US"/>
        </w:rPr>
        <w:t> </w:t>
      </w:r>
      <w:r w:rsidRPr="00F52145">
        <w:rPr>
          <w:sz w:val="28"/>
          <w:szCs w:val="28"/>
          <w:shd w:val="clear" w:color="auto" w:fill="FFFFFF"/>
        </w:rPr>
        <w:t>Денис</w:t>
      </w:r>
      <w:r w:rsidRPr="003C1A55">
        <w:rPr>
          <w:sz w:val="28"/>
          <w:szCs w:val="28"/>
          <w:shd w:val="clear" w:color="auto" w:fill="FFFFFF"/>
        </w:rPr>
        <w:t xml:space="preserve">, </w:t>
      </w:r>
      <w:r w:rsidRPr="00F52145">
        <w:rPr>
          <w:sz w:val="28"/>
          <w:szCs w:val="28"/>
          <w:shd w:val="clear" w:color="auto" w:fill="FFFFFF"/>
        </w:rPr>
        <w:t>Н</w:t>
      </w:r>
      <w:r w:rsidRPr="003C1A55">
        <w:rPr>
          <w:sz w:val="28"/>
          <w:szCs w:val="28"/>
          <w:shd w:val="clear" w:color="auto" w:fill="FFFFFF"/>
        </w:rPr>
        <w:t>.</w:t>
      </w:r>
      <w:r w:rsidRPr="00F52145">
        <w:rPr>
          <w:sz w:val="28"/>
          <w:szCs w:val="28"/>
          <w:shd w:val="clear" w:color="auto" w:fill="FFFFFF"/>
          <w:lang w:val="en-US"/>
        </w:rPr>
        <w:t> </w:t>
      </w:r>
      <w:r w:rsidRPr="00F52145">
        <w:rPr>
          <w:sz w:val="28"/>
          <w:szCs w:val="28"/>
          <w:shd w:val="clear" w:color="auto" w:fill="FFFFFF"/>
        </w:rPr>
        <w:t>Ф</w:t>
      </w:r>
      <w:r w:rsidRPr="003C1A55">
        <w:rPr>
          <w:sz w:val="28"/>
          <w:szCs w:val="28"/>
          <w:shd w:val="clear" w:color="auto" w:fill="FFFFFF"/>
        </w:rPr>
        <w:t>.</w:t>
      </w:r>
      <w:r w:rsidRPr="00F52145">
        <w:rPr>
          <w:sz w:val="28"/>
          <w:szCs w:val="28"/>
          <w:shd w:val="clear" w:color="auto" w:fill="FFFFFF"/>
          <w:lang w:val="en-US"/>
        </w:rPr>
        <w:t> </w:t>
      </w:r>
      <w:r w:rsidRPr="00F52145">
        <w:rPr>
          <w:sz w:val="28"/>
          <w:szCs w:val="28"/>
          <w:shd w:val="clear" w:color="auto" w:fill="FFFFFF"/>
        </w:rPr>
        <w:t>Колядов</w:t>
      </w:r>
      <w:r w:rsidR="003C1A55" w:rsidRPr="003C1A55">
        <w:rPr>
          <w:sz w:val="28"/>
          <w:szCs w:val="28"/>
          <w:shd w:val="clear" w:color="auto" w:fill="FFFFFF"/>
        </w:rPr>
        <w:t>. –</w:t>
      </w:r>
      <w:r w:rsidR="003C1A55">
        <w:rPr>
          <w:sz w:val="28"/>
          <w:szCs w:val="28"/>
          <w:shd w:val="clear" w:color="auto" w:fill="FFFFFF"/>
        </w:rPr>
        <w:t xml:space="preserve"> Текст : электронный</w:t>
      </w:r>
      <w:r w:rsidRPr="003C1A55">
        <w:rPr>
          <w:sz w:val="28"/>
          <w:szCs w:val="28"/>
          <w:shd w:val="clear" w:color="auto" w:fill="FFFFFF"/>
        </w:rPr>
        <w:t xml:space="preserve"> // </w:t>
      </w:r>
      <w:r w:rsidRPr="00F52145">
        <w:rPr>
          <w:sz w:val="28"/>
          <w:szCs w:val="28"/>
          <w:shd w:val="clear" w:color="auto" w:fill="FFFFFF"/>
        </w:rPr>
        <w:t>Український</w:t>
      </w:r>
      <w:r w:rsidRPr="003C1A55">
        <w:rPr>
          <w:sz w:val="28"/>
          <w:szCs w:val="28"/>
          <w:shd w:val="clear" w:color="auto" w:fill="FFFFFF"/>
        </w:rPr>
        <w:t xml:space="preserve"> </w:t>
      </w:r>
      <w:r w:rsidRPr="00F52145">
        <w:rPr>
          <w:sz w:val="28"/>
          <w:szCs w:val="28"/>
          <w:shd w:val="clear" w:color="auto" w:fill="FFFFFF"/>
        </w:rPr>
        <w:t>стоматологічний</w:t>
      </w:r>
      <w:r w:rsidRPr="003C1A55">
        <w:rPr>
          <w:sz w:val="28"/>
          <w:szCs w:val="28"/>
          <w:shd w:val="clear" w:color="auto" w:fill="FFFFFF"/>
        </w:rPr>
        <w:t xml:space="preserve"> </w:t>
      </w:r>
      <w:r w:rsidRPr="00F52145">
        <w:rPr>
          <w:sz w:val="28"/>
          <w:szCs w:val="28"/>
          <w:shd w:val="clear" w:color="auto" w:fill="FFFFFF"/>
        </w:rPr>
        <w:t>альманах</w:t>
      </w:r>
      <w:r w:rsidRPr="003C1A55">
        <w:rPr>
          <w:sz w:val="28"/>
          <w:szCs w:val="28"/>
          <w:shd w:val="clear" w:color="auto" w:fill="FFFFFF"/>
        </w:rPr>
        <w:t xml:space="preserve">. – 2011. – № 1. – </w:t>
      </w:r>
      <w:r w:rsidRPr="00F52145">
        <w:rPr>
          <w:sz w:val="28"/>
          <w:szCs w:val="28"/>
          <w:lang w:val="en-US"/>
        </w:rPr>
        <w:t>URL</w:t>
      </w:r>
      <w:r w:rsidRPr="003C1A55">
        <w:rPr>
          <w:sz w:val="28"/>
          <w:szCs w:val="28"/>
        </w:rPr>
        <w:t xml:space="preserve">: </w:t>
      </w:r>
      <w:hyperlink r:id="rId33" w:history="1">
        <w:r w:rsidRPr="00F52145">
          <w:rPr>
            <w:rStyle w:val="ab"/>
            <w:sz w:val="28"/>
            <w:szCs w:val="28"/>
            <w:lang w:val="en-US"/>
          </w:rPr>
          <w:t>https</w:t>
        </w:r>
        <w:r w:rsidRPr="003C1A55">
          <w:rPr>
            <w:rStyle w:val="ab"/>
            <w:sz w:val="28"/>
            <w:szCs w:val="28"/>
          </w:rPr>
          <w:t>://</w:t>
        </w:r>
        <w:r w:rsidRPr="00F52145">
          <w:rPr>
            <w:rStyle w:val="ab"/>
            <w:sz w:val="28"/>
            <w:szCs w:val="28"/>
            <w:lang w:val="en-US"/>
          </w:rPr>
          <w:t>cyberleninka</w:t>
        </w:r>
        <w:r w:rsidRPr="003C1A55">
          <w:rPr>
            <w:rStyle w:val="ab"/>
            <w:sz w:val="28"/>
            <w:szCs w:val="28"/>
          </w:rPr>
          <w:t>.</w:t>
        </w:r>
        <w:r w:rsidRPr="00F52145">
          <w:rPr>
            <w:rStyle w:val="ab"/>
            <w:sz w:val="28"/>
            <w:szCs w:val="28"/>
            <w:lang w:val="en-US"/>
          </w:rPr>
          <w:t>ru</w:t>
        </w:r>
        <w:r w:rsidRPr="003C1A55">
          <w:rPr>
            <w:rStyle w:val="ab"/>
            <w:sz w:val="28"/>
            <w:szCs w:val="28"/>
          </w:rPr>
          <w:t>/</w:t>
        </w:r>
        <w:r w:rsidRPr="00F52145">
          <w:rPr>
            <w:rStyle w:val="ab"/>
            <w:sz w:val="28"/>
            <w:szCs w:val="28"/>
            <w:lang w:val="en-US"/>
          </w:rPr>
          <w:t>article</w:t>
        </w:r>
        <w:r w:rsidRPr="003C1A55">
          <w:rPr>
            <w:rStyle w:val="ab"/>
            <w:sz w:val="28"/>
            <w:szCs w:val="28"/>
          </w:rPr>
          <w:t>/</w:t>
        </w:r>
        <w:r w:rsidRPr="00F52145">
          <w:rPr>
            <w:rStyle w:val="ab"/>
            <w:sz w:val="28"/>
            <w:szCs w:val="28"/>
            <w:lang w:val="en-US"/>
          </w:rPr>
          <w:t>n</w:t>
        </w:r>
        <w:r w:rsidRPr="003C1A55">
          <w:rPr>
            <w:rStyle w:val="ab"/>
            <w:sz w:val="28"/>
            <w:szCs w:val="28"/>
          </w:rPr>
          <w:t>/</w:t>
        </w:r>
        <w:r w:rsidRPr="00F52145">
          <w:rPr>
            <w:rStyle w:val="ab"/>
            <w:sz w:val="28"/>
            <w:szCs w:val="28"/>
            <w:lang w:val="en-US"/>
          </w:rPr>
          <w:t>study</w:t>
        </w:r>
        <w:r w:rsidRPr="003C1A55">
          <w:rPr>
            <w:rStyle w:val="ab"/>
            <w:sz w:val="28"/>
            <w:szCs w:val="28"/>
          </w:rPr>
          <w:t>-</w:t>
        </w:r>
        <w:r w:rsidRPr="00F52145">
          <w:rPr>
            <w:rStyle w:val="ab"/>
            <w:sz w:val="28"/>
            <w:szCs w:val="28"/>
            <w:lang w:val="en-US"/>
          </w:rPr>
          <w:t>of</w:t>
        </w:r>
        <w:r w:rsidRPr="003C1A55">
          <w:rPr>
            <w:rStyle w:val="ab"/>
            <w:sz w:val="28"/>
            <w:szCs w:val="28"/>
          </w:rPr>
          <w:t>-</w:t>
        </w:r>
        <w:r w:rsidRPr="00F52145">
          <w:rPr>
            <w:rStyle w:val="ab"/>
            <w:sz w:val="28"/>
            <w:szCs w:val="28"/>
            <w:lang w:val="en-US"/>
          </w:rPr>
          <w:t>microbic</w:t>
        </w:r>
        <w:r w:rsidRPr="003C1A55">
          <w:rPr>
            <w:rStyle w:val="ab"/>
            <w:sz w:val="28"/>
            <w:szCs w:val="28"/>
          </w:rPr>
          <w:t>-</w:t>
        </w:r>
        <w:r w:rsidRPr="00F52145">
          <w:rPr>
            <w:rStyle w:val="ab"/>
            <w:sz w:val="28"/>
            <w:szCs w:val="28"/>
            <w:lang w:val="en-US"/>
          </w:rPr>
          <w:t>spectrum</w:t>
        </w:r>
        <w:r w:rsidRPr="003C1A55">
          <w:rPr>
            <w:rStyle w:val="ab"/>
            <w:sz w:val="28"/>
            <w:szCs w:val="28"/>
          </w:rPr>
          <w:t>-</w:t>
        </w:r>
        <w:r w:rsidRPr="00F52145">
          <w:rPr>
            <w:rStyle w:val="ab"/>
            <w:sz w:val="28"/>
            <w:szCs w:val="28"/>
            <w:lang w:val="en-US"/>
          </w:rPr>
          <w:t>and</w:t>
        </w:r>
        <w:r w:rsidRPr="003C1A55">
          <w:rPr>
            <w:rStyle w:val="ab"/>
            <w:sz w:val="28"/>
            <w:szCs w:val="28"/>
          </w:rPr>
          <w:t>-</w:t>
        </w:r>
        <w:r w:rsidRPr="00F52145">
          <w:rPr>
            <w:rStyle w:val="ab"/>
            <w:sz w:val="28"/>
            <w:szCs w:val="28"/>
            <w:lang w:val="en-US"/>
          </w:rPr>
          <w:t>definition</w:t>
        </w:r>
        <w:r w:rsidRPr="003C1A55">
          <w:rPr>
            <w:rStyle w:val="ab"/>
            <w:sz w:val="28"/>
            <w:szCs w:val="28"/>
          </w:rPr>
          <w:t>-</w:t>
        </w:r>
        <w:r w:rsidRPr="00F52145">
          <w:rPr>
            <w:rStyle w:val="ab"/>
            <w:sz w:val="28"/>
            <w:szCs w:val="28"/>
            <w:lang w:val="en-US"/>
          </w:rPr>
          <w:t>of</w:t>
        </w:r>
        <w:r w:rsidRPr="003C1A55">
          <w:rPr>
            <w:rStyle w:val="ab"/>
            <w:sz w:val="28"/>
            <w:szCs w:val="28"/>
          </w:rPr>
          <w:t>-</w:t>
        </w:r>
        <w:r w:rsidRPr="00F52145">
          <w:rPr>
            <w:rStyle w:val="ab"/>
            <w:sz w:val="28"/>
            <w:szCs w:val="28"/>
            <w:lang w:val="en-US"/>
          </w:rPr>
          <w:t>resistance</w:t>
        </w:r>
        <w:r w:rsidRPr="003C1A55">
          <w:rPr>
            <w:rStyle w:val="ab"/>
            <w:sz w:val="28"/>
            <w:szCs w:val="28"/>
          </w:rPr>
          <w:t>-</w:t>
        </w:r>
        <w:r w:rsidRPr="00F52145">
          <w:rPr>
            <w:rStyle w:val="ab"/>
            <w:sz w:val="28"/>
            <w:szCs w:val="28"/>
            <w:lang w:val="en-US"/>
          </w:rPr>
          <w:t>of</w:t>
        </w:r>
        <w:r w:rsidRPr="003C1A55">
          <w:rPr>
            <w:rStyle w:val="ab"/>
            <w:sz w:val="28"/>
            <w:szCs w:val="28"/>
          </w:rPr>
          <w:t>-</w:t>
        </w:r>
        <w:r w:rsidRPr="00F52145">
          <w:rPr>
            <w:rStyle w:val="ab"/>
            <w:sz w:val="28"/>
            <w:szCs w:val="28"/>
            <w:lang w:val="en-US"/>
          </w:rPr>
          <w:t>microbes</w:t>
        </w:r>
        <w:r w:rsidRPr="003C1A55">
          <w:rPr>
            <w:rStyle w:val="ab"/>
            <w:sz w:val="28"/>
            <w:szCs w:val="28"/>
          </w:rPr>
          <w:t>-</w:t>
        </w:r>
        <w:r w:rsidRPr="00F52145">
          <w:rPr>
            <w:rStyle w:val="ab"/>
            <w:sz w:val="28"/>
            <w:szCs w:val="28"/>
            <w:lang w:val="en-US"/>
          </w:rPr>
          <w:t>to</w:t>
        </w:r>
        <w:r w:rsidRPr="003C1A55">
          <w:rPr>
            <w:rStyle w:val="ab"/>
            <w:sz w:val="28"/>
            <w:szCs w:val="28"/>
          </w:rPr>
          <w:t>-</w:t>
        </w:r>
        <w:r w:rsidRPr="00F52145">
          <w:rPr>
            <w:rStyle w:val="ab"/>
            <w:sz w:val="28"/>
            <w:szCs w:val="28"/>
            <w:lang w:val="en-US"/>
          </w:rPr>
          <w:t>antibiotics</w:t>
        </w:r>
        <w:r w:rsidRPr="003C1A55">
          <w:rPr>
            <w:rStyle w:val="ab"/>
            <w:sz w:val="28"/>
            <w:szCs w:val="28"/>
          </w:rPr>
          <w:t>-</w:t>
        </w:r>
        <w:r w:rsidRPr="00F52145">
          <w:rPr>
            <w:rStyle w:val="ab"/>
            <w:sz w:val="28"/>
            <w:szCs w:val="28"/>
            <w:lang w:val="en-US"/>
          </w:rPr>
          <w:t>during</w:t>
        </w:r>
        <w:r w:rsidRPr="003C1A55">
          <w:rPr>
            <w:rStyle w:val="ab"/>
            <w:sz w:val="28"/>
            <w:szCs w:val="28"/>
          </w:rPr>
          <w:t>-</w:t>
        </w:r>
        <w:r w:rsidRPr="00F52145">
          <w:rPr>
            <w:rStyle w:val="ab"/>
            <w:sz w:val="28"/>
            <w:szCs w:val="28"/>
            <w:lang w:val="en-US"/>
          </w:rPr>
          <w:t>acute</w:t>
        </w:r>
        <w:r w:rsidRPr="003C1A55">
          <w:rPr>
            <w:rStyle w:val="ab"/>
            <w:sz w:val="28"/>
            <w:szCs w:val="28"/>
          </w:rPr>
          <w:t>-</w:t>
        </w:r>
        <w:r w:rsidRPr="00F52145">
          <w:rPr>
            <w:rStyle w:val="ab"/>
            <w:sz w:val="28"/>
            <w:szCs w:val="28"/>
            <w:lang w:val="en-US"/>
          </w:rPr>
          <w:t>odontogeneous</w:t>
        </w:r>
        <w:r w:rsidRPr="003C1A55">
          <w:rPr>
            <w:rStyle w:val="ab"/>
            <w:sz w:val="28"/>
            <w:szCs w:val="28"/>
          </w:rPr>
          <w:t>-</w:t>
        </w:r>
        <w:r w:rsidRPr="00F52145">
          <w:rPr>
            <w:rStyle w:val="ab"/>
            <w:sz w:val="28"/>
            <w:szCs w:val="28"/>
            <w:lang w:val="en-US"/>
          </w:rPr>
          <w:t>processes</w:t>
        </w:r>
        <w:r w:rsidRPr="003C1A55">
          <w:rPr>
            <w:rStyle w:val="ab"/>
            <w:sz w:val="28"/>
            <w:szCs w:val="28"/>
          </w:rPr>
          <w:t>-</w:t>
        </w:r>
        <w:r w:rsidRPr="00F52145">
          <w:rPr>
            <w:rStyle w:val="ab"/>
            <w:sz w:val="28"/>
            <w:szCs w:val="28"/>
            <w:lang w:val="en-US"/>
          </w:rPr>
          <w:t>of</w:t>
        </w:r>
        <w:r w:rsidRPr="003C1A55">
          <w:rPr>
            <w:rStyle w:val="ab"/>
            <w:sz w:val="28"/>
            <w:szCs w:val="28"/>
          </w:rPr>
          <w:t>-</w:t>
        </w:r>
        <w:r w:rsidRPr="00F52145">
          <w:rPr>
            <w:rStyle w:val="ab"/>
            <w:sz w:val="28"/>
            <w:szCs w:val="28"/>
            <w:lang w:val="en-US"/>
          </w:rPr>
          <w:t>maxillofacial</w:t>
        </w:r>
      </w:hyperlink>
      <w:r w:rsidRPr="003C1A55">
        <w:rPr>
          <w:sz w:val="28"/>
          <w:szCs w:val="28"/>
        </w:rPr>
        <w:t xml:space="preserve"> (</w:t>
      </w:r>
      <w:r w:rsidRPr="00F52145">
        <w:rPr>
          <w:sz w:val="28"/>
          <w:szCs w:val="28"/>
        </w:rPr>
        <w:t>дата</w:t>
      </w:r>
      <w:r w:rsidRPr="003C1A55">
        <w:rPr>
          <w:sz w:val="28"/>
          <w:szCs w:val="28"/>
        </w:rPr>
        <w:t xml:space="preserve"> </w:t>
      </w:r>
      <w:r w:rsidRPr="00F52145">
        <w:rPr>
          <w:sz w:val="28"/>
          <w:szCs w:val="28"/>
        </w:rPr>
        <w:t>обращения</w:t>
      </w:r>
      <w:r w:rsidRPr="003C1A55">
        <w:rPr>
          <w:sz w:val="28"/>
          <w:szCs w:val="28"/>
        </w:rPr>
        <w:t>: 31.01.2021).</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Диагностика и лечение контактного одонтогенного медиастинита / Т. Г. Робустова, М. А. Губин, Ю. М. Харитонов, Е. И. Гирко</w:t>
      </w:r>
      <w:r w:rsidR="003C1A55">
        <w:rPr>
          <w:sz w:val="28"/>
          <w:szCs w:val="28"/>
          <w:shd w:val="clear" w:color="auto" w:fill="FFFFFF"/>
        </w:rPr>
        <w:t>. – Текст : непосредственный</w:t>
      </w:r>
      <w:r w:rsidRPr="00F52145">
        <w:rPr>
          <w:sz w:val="28"/>
          <w:szCs w:val="28"/>
          <w:shd w:val="clear" w:color="auto" w:fill="FFFFFF"/>
        </w:rPr>
        <w:t xml:space="preserve"> // Стоматология. – 1996. – № 6. – С. 28.</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Дмитриева-Носова, В. Ф. Рациональное использование препаратов системного действия в комплексной терапии стоматологических заболеваний / В. Ф. Дмитриева-Носова // Основы клинической стоматологии / под ред. A. K. Иорданишвили. – Москва : Медицинская книга, 2010. – С. 419–433.</w:t>
      </w:r>
      <w:r w:rsidRPr="00020D4B">
        <w:rPr>
          <w:sz w:val="28"/>
          <w:szCs w:val="28"/>
          <w:shd w:val="clear" w:color="auto" w:fill="FFFFFF"/>
        </w:rPr>
        <w:t xml:space="preserve"> –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 xml:space="preserve">Дурново, Е. А. Диагностика и лечение больных с воспалительными заболеваниями челюстно-лицевой области с учетом состояния неспецифической и иммунологической резистентности организма : автореф. дис. … д-ра мед. наук : </w:t>
      </w:r>
      <w:r w:rsidRPr="00B615EA">
        <w:rPr>
          <w:sz w:val="28"/>
          <w:szCs w:val="28"/>
          <w:shd w:val="clear" w:color="auto" w:fill="FFFFFF"/>
        </w:rPr>
        <w:t>1</w:t>
      </w:r>
      <w:r w:rsidRPr="00B615EA">
        <w:rPr>
          <w:iCs/>
          <w:sz w:val="28"/>
          <w:szCs w:val="28"/>
          <w:shd w:val="clear" w:color="auto" w:fill="FFFFFF"/>
        </w:rPr>
        <w:t>4.00.21</w:t>
      </w:r>
      <w:r w:rsidRPr="00B615EA">
        <w:rPr>
          <w:sz w:val="28"/>
          <w:szCs w:val="28"/>
          <w:shd w:val="clear" w:color="auto" w:fill="FFFFFF"/>
        </w:rPr>
        <w:t> : </w:t>
      </w:r>
      <w:r w:rsidRPr="00B615EA">
        <w:rPr>
          <w:iCs/>
          <w:sz w:val="28"/>
          <w:szCs w:val="28"/>
          <w:shd w:val="clear" w:color="auto" w:fill="FFFFFF"/>
        </w:rPr>
        <w:t>14.00.36</w:t>
      </w:r>
      <w:r w:rsidRPr="00B615EA">
        <w:rPr>
          <w:sz w:val="28"/>
          <w:szCs w:val="28"/>
          <w:shd w:val="clear" w:color="auto" w:fill="FFFFFF"/>
        </w:rPr>
        <w:t xml:space="preserve"> / Е</w:t>
      </w:r>
      <w:r w:rsidRPr="00F52145">
        <w:rPr>
          <w:sz w:val="28"/>
          <w:szCs w:val="28"/>
          <w:shd w:val="clear" w:color="auto" w:fill="FFFFFF"/>
        </w:rPr>
        <w:t>. А. Дурново. – Москва, 2003. – 47 с.</w:t>
      </w:r>
      <w:r w:rsidRPr="00020D4B">
        <w:rPr>
          <w:sz w:val="28"/>
          <w:szCs w:val="28"/>
          <w:shd w:val="clear" w:color="auto" w:fill="FFFFFF"/>
        </w:rPr>
        <w:t xml:space="preserve"> –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Дурново, Е. А. Оптимизация методов диагностики и комплексного лечения больных с острыми одонтогенными воспалительными заболеваниями челюстно-лицевой области / Е. А. Дурново</w:t>
      </w:r>
      <w:r w:rsidR="003C1A55">
        <w:rPr>
          <w:sz w:val="28"/>
          <w:szCs w:val="28"/>
          <w:shd w:val="clear" w:color="auto" w:fill="FFFFFF"/>
        </w:rPr>
        <w:t>. – Текст : непосредственный</w:t>
      </w:r>
      <w:r w:rsidRPr="00F52145">
        <w:rPr>
          <w:sz w:val="28"/>
          <w:szCs w:val="28"/>
          <w:shd w:val="clear" w:color="auto" w:fill="FFFFFF"/>
        </w:rPr>
        <w:t xml:space="preserve"> // Нижегородский медицинский журнал. – 2003. – № 5. – С. 184–185.</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 xml:space="preserve">Ермоленко, С. В. Варианты нарушения системной гемодинамики и кислородного бюджета у больных с гнойными заболеваниями лица и шеи и принципы их коррекции : дис. канд. мед. наук : </w:t>
      </w:r>
      <w:r w:rsidRPr="00F52145">
        <w:rPr>
          <w:iCs/>
          <w:color w:val="333333"/>
          <w:sz w:val="28"/>
          <w:szCs w:val="28"/>
          <w:shd w:val="clear" w:color="auto" w:fill="FFFFFF"/>
        </w:rPr>
        <w:t>14.00.37</w:t>
      </w:r>
      <w:r w:rsidRPr="00F52145">
        <w:rPr>
          <w:sz w:val="28"/>
          <w:szCs w:val="28"/>
          <w:shd w:val="clear" w:color="auto" w:fill="FFFFFF"/>
        </w:rPr>
        <w:t xml:space="preserve"> / С. В. Ермоленко. – Воронеж, 1998. – 139 с. : ил.</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lastRenderedPageBreak/>
        <w:t>Ермолов, В. Ф. Хирургическая стоматология : учебно-методическое пособие / В. Ф. Ермолов. – Воронеж : ВГМА им. Н. Н. Бурденко, 2004. – 53 с.</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Ерюхин, И. А. Доказательная терапия сепсиса: от Барселоны до Калуги / И. А. Ерюхин, С. А. Шляпников</w:t>
      </w:r>
      <w:r w:rsidR="003C1A55">
        <w:rPr>
          <w:sz w:val="28"/>
          <w:szCs w:val="28"/>
          <w:shd w:val="clear" w:color="auto" w:fill="FFFFFF"/>
        </w:rPr>
        <w:t>. – Текст : непосредственный</w:t>
      </w:r>
      <w:r w:rsidRPr="00F52145">
        <w:rPr>
          <w:sz w:val="28"/>
          <w:szCs w:val="28"/>
          <w:shd w:val="clear" w:color="auto" w:fill="FFFFFF"/>
        </w:rPr>
        <w:t xml:space="preserve"> // Consilium Medicum. Хирургия. – 2004. – № 2. – С. 3–8.</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Ефимова, Е. В. Эффективность транскраниальной электростимуляции в комплексном лечении вялотекущих флегмон челюстно-лицевой области : дис. ... канд. мед. наук : 14.01.14 / Е. В. Ефимова. – Волгоград, 2012. – 121 с.</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Жданов, Г. Г. Реанимация и интенсивная терапия : учебник для студентов, обучающихся по специальностям 060101 (040100) "Лечебное дело", 060104 (040300) "Медико-профилактическое дело" / Г. Г. Жданов, А. П. Зильбер. – Москва : Академия, 2007. – 393, [1] с.</w:t>
      </w:r>
      <w:r>
        <w:rPr>
          <w:sz w:val="28"/>
          <w:szCs w:val="28"/>
          <w:shd w:val="clear" w:color="auto" w:fill="FFFFFF"/>
        </w:rPr>
        <w:t xml:space="preserve"> - ISBN 978-5-7695-3049-4. </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Железнова, Е. А. Сравнительная характеристика микрофлоры полости рта в норме и при одонтогенных воспалительных процессах / Е. А. Железнова, Е. В. Турчина</w:t>
      </w:r>
      <w:r w:rsidR="003C1A55" w:rsidRPr="00F52145">
        <w:rPr>
          <w:sz w:val="28"/>
          <w:szCs w:val="28"/>
          <w:shd w:val="clear" w:color="auto" w:fill="FFFFFF"/>
        </w:rPr>
        <w:t>.</w:t>
      </w:r>
      <w:r w:rsidR="003C1A55">
        <w:rPr>
          <w:sz w:val="28"/>
          <w:szCs w:val="28"/>
          <w:shd w:val="clear" w:color="auto" w:fill="FFFFFF"/>
        </w:rPr>
        <w:t xml:space="preserve"> – Текст : непосредственный</w:t>
      </w:r>
      <w:r w:rsidRPr="00F52145">
        <w:rPr>
          <w:sz w:val="28"/>
          <w:szCs w:val="28"/>
          <w:shd w:val="clear" w:color="auto" w:fill="FFFFFF"/>
        </w:rPr>
        <w:t xml:space="preserve"> // Актуальные вопросы микробиологии и иммунологии : сборник науч. трудов. – Иркутск, 2000. – С. 31–32</w:t>
      </w:r>
      <w:r w:rsidR="0031228D">
        <w:rPr>
          <w:sz w:val="28"/>
          <w:szCs w:val="28"/>
          <w:shd w:val="clear" w:color="auto" w:fill="FFFFFF"/>
        </w:rPr>
        <w:t>.</w:t>
      </w:r>
    </w:p>
    <w:p w:rsidR="00286780" w:rsidRPr="00020D4B"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Жидков, С. А. Военно-полевая хирургия / С. А. Жидков, С. Н. Шнитко. – Гродно : ГрГМУ, 2001. – 79 с.</w:t>
      </w:r>
      <w:r>
        <w:rPr>
          <w:sz w:val="28"/>
          <w:szCs w:val="28"/>
          <w:shd w:val="clear" w:color="auto" w:fill="FFFFFF"/>
        </w:rPr>
        <w:t xml:space="preserve"> - </w:t>
      </w:r>
      <w:r w:rsidRPr="00395A26">
        <w:rPr>
          <w:sz w:val="28"/>
          <w:szCs w:val="28"/>
          <w:shd w:val="clear" w:color="auto" w:fill="FFFFFF"/>
        </w:rPr>
        <w:t>ISBN 985-462-030-1</w:t>
      </w:r>
      <w:r>
        <w:rPr>
          <w:sz w:val="28"/>
          <w:szCs w:val="28"/>
          <w:shd w:val="clear" w:color="auto" w:fill="FFFFFF"/>
        </w:rPr>
        <w:t xml:space="preserve">. </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Жиляев, Е. В. Тактика терапевтической подготовки пожилого пациента к плановому хирургическому вмешательству / Е. В. Жиляев</w:t>
      </w:r>
      <w:r w:rsidR="003C1A55">
        <w:rPr>
          <w:sz w:val="28"/>
          <w:szCs w:val="28"/>
          <w:shd w:val="clear" w:color="auto" w:fill="FFFFFF"/>
        </w:rPr>
        <w:t>. – Текст : непосредственный</w:t>
      </w:r>
      <w:r w:rsidRPr="00F52145">
        <w:rPr>
          <w:sz w:val="28"/>
          <w:szCs w:val="28"/>
          <w:shd w:val="clear" w:color="auto" w:fill="FFFFFF"/>
        </w:rPr>
        <w:t xml:space="preserve"> // Медицинский вестник. – 2007. – № 34. – С. 12.</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Журавлев, К. В. Ближайшие и отдаленные результаты лечения и реабилитации больных с гнойно-воспалительными заболеваниями брюшной полости с применением спленопида и озонотерапии : дис. ... канд. мед. наук : 14.01.17 / К. В. Журавлев. – Пермь, 2011. – 127 с.</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Журавлев, Ю. И. Современные проблемы измерения полиморбидности / Ю. И. Журавлев, В. Н. Тхорикова</w:t>
      </w:r>
      <w:r w:rsidR="003C1A55">
        <w:rPr>
          <w:sz w:val="28"/>
          <w:szCs w:val="28"/>
          <w:shd w:val="clear" w:color="auto" w:fill="FFFFFF"/>
        </w:rPr>
        <w:t>. – Текст : непосредственный</w:t>
      </w:r>
      <w:r w:rsidRPr="00F52145">
        <w:rPr>
          <w:sz w:val="28"/>
          <w:szCs w:val="28"/>
          <w:shd w:val="clear" w:color="auto" w:fill="FFFFFF"/>
        </w:rPr>
        <w:t xml:space="preserve"> // Научные ведо</w:t>
      </w:r>
      <w:r w:rsidRPr="00F52145">
        <w:rPr>
          <w:sz w:val="28"/>
          <w:szCs w:val="28"/>
          <w:shd w:val="clear" w:color="auto" w:fill="FFFFFF"/>
        </w:rPr>
        <w:lastRenderedPageBreak/>
        <w:t>мости Белгородского государственного университета. Серия: Медицина</w:t>
      </w:r>
      <w:r>
        <w:rPr>
          <w:sz w:val="28"/>
          <w:szCs w:val="28"/>
          <w:shd w:val="clear" w:color="auto" w:fill="FFFFFF"/>
        </w:rPr>
        <w:t>. Фармация. – 2013. – Т. 22, №</w:t>
      </w:r>
      <w:r w:rsidRPr="003C1A55">
        <w:rPr>
          <w:sz w:val="28"/>
          <w:szCs w:val="28"/>
          <w:shd w:val="clear" w:color="auto" w:fill="FFFFFF"/>
        </w:rPr>
        <w:t xml:space="preserve"> </w:t>
      </w:r>
      <w:r w:rsidRPr="00F52145">
        <w:rPr>
          <w:sz w:val="28"/>
          <w:szCs w:val="28"/>
          <w:shd w:val="clear" w:color="auto" w:fill="FFFFFF"/>
        </w:rPr>
        <w:t>11 (154). – С. 214–219.</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Забелин, А. С. Влияние эндогенной интоксикации на состояние печени у больных с флегмонами лица и шеи / А. С. Забелин, В. А. Милягин, Л. И. Усай</w:t>
      </w:r>
      <w:r w:rsidR="003C1A55">
        <w:rPr>
          <w:sz w:val="28"/>
          <w:szCs w:val="28"/>
          <w:shd w:val="clear" w:color="auto" w:fill="FFFFFF"/>
        </w:rPr>
        <w:t>. – Текст : непосредственный</w:t>
      </w:r>
      <w:r w:rsidRPr="00F52145">
        <w:rPr>
          <w:sz w:val="28"/>
          <w:szCs w:val="28"/>
          <w:shd w:val="clear" w:color="auto" w:fill="FFFFFF"/>
        </w:rPr>
        <w:t xml:space="preserve"> // Стоматология. – 1997. – № 2. – С. 33–36.</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Забелин, А. С. Гепато-ренальный синдром у больных с флегмонами челюстно-лицевой области / А. С. Забелин, В. А. Милягин</w:t>
      </w:r>
      <w:r w:rsidR="003C1A55">
        <w:rPr>
          <w:sz w:val="28"/>
          <w:szCs w:val="28"/>
          <w:shd w:val="clear" w:color="auto" w:fill="FFFFFF"/>
        </w:rPr>
        <w:t>. – Текст : непосредственный</w:t>
      </w:r>
      <w:r w:rsidRPr="00F52145">
        <w:rPr>
          <w:sz w:val="28"/>
          <w:szCs w:val="28"/>
          <w:shd w:val="clear" w:color="auto" w:fill="FFFFFF"/>
        </w:rPr>
        <w:t xml:space="preserve"> // Вестник Смоленской государственной медицинской академии. – 2018. – Т. 17, № 3. – С. 179–186.</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Заболевания пародонта и «системные болезни»: известное прошлое, многообещающее будущее / С. Д. Арутюнов, Н. В. Плескановская, А. В. Наумов [и др.]</w:t>
      </w:r>
      <w:r w:rsidR="003C1A55">
        <w:rPr>
          <w:sz w:val="28"/>
          <w:szCs w:val="28"/>
          <w:shd w:val="clear" w:color="auto" w:fill="FFFFFF"/>
        </w:rPr>
        <w:t>. – Текст : непосредственный</w:t>
      </w:r>
      <w:r w:rsidRPr="00F52145">
        <w:rPr>
          <w:sz w:val="28"/>
          <w:szCs w:val="28"/>
          <w:shd w:val="clear" w:color="auto" w:fill="FFFFFF"/>
        </w:rPr>
        <w:t xml:space="preserve"> // Пародонтология. – 2009. – Т. 50, № 1. – С. 3–6.</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Завада, Н. В. Хирургический сепсис / Н. В. Завада, Ю. М. Гаин, С. А. Алексеев. – Минск : Новое знание, 2003. – 236 с.</w:t>
      </w:r>
      <w:r>
        <w:rPr>
          <w:sz w:val="28"/>
          <w:szCs w:val="28"/>
          <w:shd w:val="clear" w:color="auto" w:fill="FFFFFF"/>
        </w:rPr>
        <w:t xml:space="preserve"> - </w:t>
      </w:r>
      <w:r w:rsidRPr="00395A26">
        <w:rPr>
          <w:bCs/>
          <w:sz w:val="28"/>
          <w:szCs w:val="28"/>
          <w:shd w:val="clear" w:color="auto" w:fill="FFFFFF"/>
        </w:rPr>
        <w:t xml:space="preserve">ISBN 9789854750231. </w:t>
      </w:r>
      <w:r w:rsidRPr="00395A26">
        <w:rPr>
          <w:sz w:val="28"/>
          <w:szCs w:val="28"/>
          <w:shd w:val="clear" w:color="auto" w:fill="FFFFFF"/>
        </w:rPr>
        <w:t>–</w:t>
      </w:r>
      <w:r w:rsidRPr="00C82F8D">
        <w:rPr>
          <w:sz w:val="28"/>
          <w:szCs w:val="28"/>
          <w:shd w:val="clear" w:color="auto" w:fill="FFFFFF"/>
        </w:rPr>
        <w:t xml:space="preserve"> Текст : непосредственный.</w:t>
      </w:r>
    </w:p>
    <w:p w:rsidR="00286780" w:rsidRPr="00020D4B"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Зайратьянц, О. В. Современные требования к формулировке диагноза в соответствии с законодательствов Российской Федерации и Международной статистической классификации болезней 10-го пересмотра / О. В. Зайратьянц, Л. В. Кактурский, П. Г. Мальков</w:t>
      </w:r>
      <w:r w:rsidR="003C1A55">
        <w:rPr>
          <w:sz w:val="28"/>
          <w:szCs w:val="28"/>
          <w:shd w:val="clear" w:color="auto" w:fill="FFFFFF"/>
        </w:rPr>
        <w:t>. – Текст : непосредственный</w:t>
      </w:r>
      <w:r w:rsidRPr="00F52145">
        <w:rPr>
          <w:sz w:val="28"/>
          <w:szCs w:val="28"/>
          <w:shd w:val="clear" w:color="auto" w:fill="FFFFFF"/>
        </w:rPr>
        <w:t xml:space="preserve"> // Судебная-медицина. –</w:t>
      </w:r>
      <w:r>
        <w:rPr>
          <w:sz w:val="28"/>
          <w:szCs w:val="28"/>
          <w:shd w:val="clear" w:color="auto" w:fill="FFFFFF"/>
        </w:rPr>
        <w:t xml:space="preserve"> 2015. – Т. 1, № 4. – С. 14–20.</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Зайратьянц, О. В. Формулировка и сопоставление заключительного клинического и патологоанатомического диагнозов : методические рекоммендации / О. В. Зайратьянц, Л. В. Кактурский, Г. Г. Автандилов. – Москва, 2003. – 44 с.</w:t>
      </w:r>
      <w:r>
        <w:rPr>
          <w:sz w:val="28"/>
          <w:szCs w:val="28"/>
          <w:shd w:val="clear" w:color="auto" w:fill="FFFFFF"/>
        </w:rPr>
        <w:t xml:space="preserve"> </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Зайратьянц, О. В. Формулировка и сопоставление клинического и патологоанатомического диагнозов / О. В. Зайратьянц, Л. В. Кактурский. – Москва : Медицинское информационное агентство, 2011 – 576 с.</w:t>
      </w:r>
      <w:r>
        <w:rPr>
          <w:sz w:val="28"/>
          <w:szCs w:val="28"/>
          <w:shd w:val="clear" w:color="auto" w:fill="FFFFFF"/>
        </w:rPr>
        <w:t xml:space="preserve"> - </w:t>
      </w:r>
      <w:r w:rsidRPr="007B2583">
        <w:rPr>
          <w:sz w:val="28"/>
          <w:szCs w:val="28"/>
          <w:shd w:val="clear" w:color="auto" w:fill="FFFFFF"/>
        </w:rPr>
        <w:t>ISBN 978-5-8948-1881-8</w:t>
      </w:r>
      <w:r>
        <w:rPr>
          <w:sz w:val="28"/>
          <w:szCs w:val="28"/>
          <w:shd w:val="clear" w:color="auto" w:fill="FFFFFF"/>
        </w:rPr>
        <w:t xml:space="preserve">. </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lastRenderedPageBreak/>
        <w:t>Захарова, Г. Н. Пути снижения осложнений у больных с тяжелыми воспалительными заболеваниями челюстно-лицевой области / Г. Н. Захарова, В. А. Булкин</w:t>
      </w:r>
      <w:r w:rsidR="003C1A55">
        <w:rPr>
          <w:sz w:val="28"/>
          <w:szCs w:val="28"/>
          <w:shd w:val="clear" w:color="auto" w:fill="FFFFFF"/>
        </w:rPr>
        <w:t>. – Текст : непосредственный</w:t>
      </w:r>
      <w:r w:rsidRPr="00F52145">
        <w:rPr>
          <w:sz w:val="28"/>
          <w:szCs w:val="28"/>
          <w:shd w:val="clear" w:color="auto" w:fill="FFFFFF"/>
        </w:rPr>
        <w:t xml:space="preserve"> // Стоматология. – 2003. – № 3. – С. 37–38.</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Зузова, А. П. Выбор антибактериальных препаратов при различных инфекциях. Инфекции полости рта / А. П. Зузова, A. C. Забелин</w:t>
      </w:r>
      <w:r w:rsidR="003C1A55">
        <w:rPr>
          <w:sz w:val="28"/>
          <w:szCs w:val="28"/>
          <w:shd w:val="clear" w:color="auto" w:fill="FFFFFF"/>
        </w:rPr>
        <w:t>. – Текст : непосредственный</w:t>
      </w:r>
      <w:r w:rsidRPr="00F52145">
        <w:rPr>
          <w:sz w:val="28"/>
          <w:szCs w:val="28"/>
          <w:shd w:val="clear" w:color="auto" w:fill="FFFFFF"/>
        </w:rPr>
        <w:t xml:space="preserve"> // Антибактериальная терапия : практическое руководство / под ред. Л. С. Страчунского [и др.]. – Москва, 2000. – С. 96–98.</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Иванов, A. C. Причины острой одонтогенной инфекции / A. C. Иванов, В. И. Иванов, В. Н. Беркунов</w:t>
      </w:r>
      <w:r w:rsidR="003C1A55" w:rsidRPr="00F52145">
        <w:rPr>
          <w:sz w:val="28"/>
          <w:szCs w:val="28"/>
          <w:shd w:val="clear" w:color="auto" w:fill="FFFFFF"/>
        </w:rPr>
        <w:t>.</w:t>
      </w:r>
      <w:r w:rsidR="003C1A55">
        <w:rPr>
          <w:sz w:val="28"/>
          <w:szCs w:val="28"/>
          <w:shd w:val="clear" w:color="auto" w:fill="FFFFFF"/>
        </w:rPr>
        <w:t xml:space="preserve"> – Текст : непосредственный</w:t>
      </w:r>
      <w:r w:rsidRPr="00F52145">
        <w:rPr>
          <w:sz w:val="28"/>
          <w:szCs w:val="28"/>
          <w:shd w:val="clear" w:color="auto" w:fill="FFFFFF"/>
        </w:rPr>
        <w:t xml:space="preserve"> // Образование, наука и практика в стоматологии : сборник трудов 2-й Всероссийской научно-практической конференции. – Москва, 2005. – С. 67–68</w:t>
      </w:r>
      <w:r w:rsidR="0031228D">
        <w:rPr>
          <w:sz w:val="28"/>
          <w:szCs w:val="28"/>
          <w:shd w:val="clear" w:color="auto" w:fill="FFFFFF"/>
        </w:rPr>
        <w:t>.</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Иванов, А. Я. Абсцессы и флегмоны средостения (медиастиниты) / А. Я. Иванов. – Ленингград : Медгиз, 1959. – 148 с.</w:t>
      </w:r>
      <w:r>
        <w:rPr>
          <w:sz w:val="28"/>
          <w:szCs w:val="28"/>
          <w:shd w:val="clear" w:color="auto" w:fill="FFFFFF"/>
        </w:rPr>
        <w:t xml:space="preserve"> </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Иванов, О. А. Клинико-функциональное состояние мимического нервно-мышечного аппарата при острых одонтогенных воспалительных заболеваниях</w:t>
      </w:r>
      <w:r>
        <w:rPr>
          <w:sz w:val="28"/>
          <w:szCs w:val="28"/>
          <w:shd w:val="clear" w:color="auto" w:fill="FFFFFF"/>
        </w:rPr>
        <w:t xml:space="preserve"> : автореф. дис. ... канд. мед. </w:t>
      </w:r>
      <w:r w:rsidRPr="00F52145">
        <w:rPr>
          <w:sz w:val="28"/>
          <w:szCs w:val="28"/>
          <w:shd w:val="clear" w:color="auto" w:fill="FFFFFF"/>
        </w:rPr>
        <w:t>наук : 14.00.21 / О. А. Иванов. – Казань, 2006. – 21 с.</w:t>
      </w:r>
      <w:r>
        <w:rPr>
          <w:sz w:val="28"/>
          <w:szCs w:val="28"/>
          <w:shd w:val="clear" w:color="auto" w:fill="FFFFFF"/>
        </w:rPr>
        <w:t xml:space="preserve"> </w:t>
      </w:r>
      <w:r w:rsidRPr="00C82F8D">
        <w:rPr>
          <w:sz w:val="28"/>
          <w:szCs w:val="28"/>
          <w:shd w:val="clear" w:color="auto" w:fill="FFFFFF"/>
        </w:rPr>
        <w:t>– Текст : непосредственный.</w:t>
      </w:r>
    </w:p>
    <w:p w:rsidR="00286780" w:rsidRPr="007B2583"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Избранный курс лекций по гнойной хирургии / под ред. В. Д. Федорова, А. М. Светухина. – Москва : Миклош, 2007. – 365 с.</w:t>
      </w:r>
      <w:r>
        <w:rPr>
          <w:sz w:val="28"/>
          <w:szCs w:val="28"/>
          <w:shd w:val="clear" w:color="auto" w:fill="FFFFFF"/>
        </w:rPr>
        <w:t xml:space="preserve"> – ISBN </w:t>
      </w:r>
      <w:r w:rsidRPr="007B2583">
        <w:rPr>
          <w:sz w:val="28"/>
          <w:szCs w:val="28"/>
          <w:shd w:val="clear" w:color="auto" w:fill="FFFFFF"/>
        </w:rPr>
        <w:t>5-900518-12-4</w:t>
      </w:r>
      <w:r>
        <w:rPr>
          <w:sz w:val="28"/>
          <w:szCs w:val="28"/>
          <w:shd w:val="clear" w:color="auto" w:fill="FFFFFF"/>
        </w:rPr>
        <w:t>.</w:t>
      </w:r>
      <w:r w:rsidRPr="007B2583">
        <w:rPr>
          <w:sz w:val="28"/>
          <w:szCs w:val="28"/>
          <w:shd w:val="clear" w:color="auto" w:fill="FFFFFF"/>
        </w:rPr>
        <w:t xml:space="preserve"> – Текст : непосредственный.</w:t>
      </w:r>
    </w:p>
    <w:p w:rsidR="00286780" w:rsidRPr="00020D4B" w:rsidRDefault="00286780" w:rsidP="002A3C85">
      <w:pPr>
        <w:numPr>
          <w:ilvl w:val="0"/>
          <w:numId w:val="10"/>
        </w:numPr>
        <w:shd w:val="clear" w:color="auto" w:fill="FFFFFF"/>
        <w:spacing w:line="360" w:lineRule="auto"/>
        <w:ind w:left="0" w:firstLine="567"/>
        <w:jc w:val="both"/>
        <w:rPr>
          <w:sz w:val="28"/>
          <w:szCs w:val="28"/>
          <w:shd w:val="clear" w:color="auto" w:fill="FFFFFF"/>
        </w:rPr>
      </w:pPr>
      <w:r>
        <w:rPr>
          <w:sz w:val="28"/>
          <w:szCs w:val="28"/>
          <w:shd w:val="clear" w:color="auto" w:fill="FFFFFF"/>
        </w:rPr>
        <w:t xml:space="preserve">Инструментальные методы исследования сердечно-сосудистой системы. Справочник / под ред. Т.С. Виноградовой. – Москва: Медицина, 1986. – 416 с. </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Использование шкалы qSOFA в диагностике сепсиса. Результаты российского многоцентрового исследования / М. Н. Астафьева, В. А. Руднов, В. В. Кулабухов [и др.]</w:t>
      </w:r>
      <w:r w:rsidR="003C1A55">
        <w:rPr>
          <w:sz w:val="28"/>
          <w:szCs w:val="28"/>
          <w:shd w:val="clear" w:color="auto" w:fill="FFFFFF"/>
        </w:rPr>
        <w:t>. – Текст : непосредственный</w:t>
      </w:r>
      <w:r w:rsidRPr="00F52145">
        <w:rPr>
          <w:sz w:val="28"/>
          <w:szCs w:val="28"/>
          <w:shd w:val="clear" w:color="auto" w:fill="FFFFFF"/>
        </w:rPr>
        <w:t xml:space="preserve"> // Вестник анестезиологии и реаниматологии. – 2018. – Т. 15, № 4. – С. 14–22.</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Итоги изучения сепсиса у стоматологических больных / М. А. Губин, Ю. М. Харитонов, Н. Л. Елькова, Р. Н. Киков</w:t>
      </w:r>
      <w:r w:rsidR="003C1A55">
        <w:rPr>
          <w:sz w:val="28"/>
          <w:szCs w:val="28"/>
          <w:shd w:val="clear" w:color="auto" w:fill="FFFFFF"/>
        </w:rPr>
        <w:t>. – Текст : непосредственный</w:t>
      </w:r>
      <w:r w:rsidRPr="00F52145">
        <w:rPr>
          <w:sz w:val="28"/>
          <w:szCs w:val="28"/>
          <w:shd w:val="clear" w:color="auto" w:fill="FFFFFF"/>
        </w:rPr>
        <w:t xml:space="preserve"> // Прикладные информационные аспекты медицины. – 2003. – Т. 6, № 2. – С. 55–61.</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lastRenderedPageBreak/>
        <w:t>Кабакова С. А. Изучение спектра микрофлоры и чувствительности к антибиотикам у больных гнойно-воспалительными заболеваниями челюстно-лицевой области / С. А. Кабакова, А. К. Погоцкий</w:t>
      </w:r>
      <w:r w:rsidR="003C1A55" w:rsidRPr="00F52145">
        <w:rPr>
          <w:sz w:val="28"/>
          <w:szCs w:val="28"/>
          <w:shd w:val="clear" w:color="auto" w:fill="FFFFFF"/>
        </w:rPr>
        <w:t>.</w:t>
      </w:r>
      <w:r w:rsidR="003C1A55">
        <w:rPr>
          <w:sz w:val="28"/>
          <w:szCs w:val="28"/>
          <w:shd w:val="clear" w:color="auto" w:fill="FFFFFF"/>
        </w:rPr>
        <w:t xml:space="preserve"> – Текст : непосредственный</w:t>
      </w:r>
      <w:r w:rsidRPr="00F52145">
        <w:rPr>
          <w:sz w:val="28"/>
          <w:szCs w:val="28"/>
          <w:shd w:val="clear" w:color="auto" w:fill="FFFFFF"/>
        </w:rPr>
        <w:t xml:space="preserve"> // Актуальные вопросы стоматологии : </w:t>
      </w:r>
      <w:r w:rsidRPr="00F52145">
        <w:rPr>
          <w:sz w:val="28"/>
          <w:szCs w:val="28"/>
        </w:rPr>
        <w:t>сборник тезисов всероссийской научно-практической конференции,</w:t>
      </w:r>
      <w:r w:rsidRPr="00F52145">
        <w:rPr>
          <w:sz w:val="28"/>
          <w:szCs w:val="28"/>
          <w:shd w:val="clear" w:color="auto" w:fill="FFFFFF"/>
        </w:rPr>
        <w:t xml:space="preserve"> посвященной 120-летию со дня рождения А. И. Евдокимова. – Москва, 2003. – С. 55</w:t>
      </w:r>
      <w:r w:rsidR="0031228D">
        <w:rPr>
          <w:sz w:val="28"/>
          <w:szCs w:val="28"/>
          <w:shd w:val="clear" w:color="auto" w:fill="FFFFFF"/>
        </w:rPr>
        <w:t>.</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Кантемиров, О. И. Лимфотропная антибактериальная терапия в комплексном лечении одонтогенных флегмон челюстно-лицевой области : автореф. дис. ... канд. мед. наук : 14.00.21 / О. И. Кантемиров. – Самара, 2001. – 24 с.</w:t>
      </w:r>
      <w:r>
        <w:rPr>
          <w:sz w:val="28"/>
          <w:szCs w:val="28"/>
          <w:shd w:val="clear" w:color="auto" w:fill="FFFFFF"/>
        </w:rPr>
        <w:t xml:space="preserve"> </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Караков, К. Г. Клиническая характеристика флегмон челюстно-лицевой области и комплексное лечение с применением иммуномодулятора полиоксидония / К. Г. Караков, М. П. Порфириадис, В. В. Шулаков</w:t>
      </w:r>
      <w:r w:rsidR="003C1A55">
        <w:rPr>
          <w:sz w:val="28"/>
          <w:szCs w:val="28"/>
          <w:shd w:val="clear" w:color="auto" w:fill="FFFFFF"/>
        </w:rPr>
        <w:t>. – Текст : непосредственный</w:t>
      </w:r>
      <w:r w:rsidRPr="00F52145">
        <w:rPr>
          <w:sz w:val="28"/>
          <w:szCs w:val="28"/>
          <w:shd w:val="clear" w:color="auto" w:fill="FFFFFF"/>
        </w:rPr>
        <w:t xml:space="preserve"> // Врач. – 2008. – № 5. – С. 74–77.</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Каршиев, Х. К. Влияние ультрафиолетового облучения крови и натрия гипохлорита на степень эндогенной интоксикации при комплексном лечении флегмон челюстно-лицевой области / Х. К. Каршиев</w:t>
      </w:r>
      <w:r w:rsidR="003C1A55">
        <w:rPr>
          <w:sz w:val="28"/>
          <w:szCs w:val="28"/>
          <w:shd w:val="clear" w:color="auto" w:fill="FFFFFF"/>
        </w:rPr>
        <w:t>. – Текст : непосредственный</w:t>
      </w:r>
      <w:r w:rsidRPr="00F52145">
        <w:rPr>
          <w:sz w:val="28"/>
          <w:szCs w:val="28"/>
          <w:shd w:val="clear" w:color="auto" w:fill="FFFFFF"/>
        </w:rPr>
        <w:t xml:space="preserve"> // Вестник хирургии имени И. И. Грекова. – 1998. – Т. 152, № 2. – С. 58–59.</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Климович, И. Н. Пути улучшения диагностики и лечения гепатореналь</w:t>
      </w:r>
      <w:r w:rsidRPr="00AB1180">
        <w:rPr>
          <w:sz w:val="28"/>
          <w:szCs w:val="28"/>
          <w:shd w:val="clear" w:color="auto" w:fill="FFFFFF"/>
        </w:rPr>
        <w:t>ного синдрома у больных острой абдоминальной хирургической патологией :</w:t>
      </w:r>
      <w:r w:rsidRPr="00F52145">
        <w:rPr>
          <w:sz w:val="28"/>
          <w:szCs w:val="28"/>
          <w:shd w:val="clear" w:color="auto" w:fill="FFFFFF"/>
        </w:rPr>
        <w:t>диссертация ... доктора медицинских наук : 14.00.27 / И. Н. Климович. – Волгоград, 2007. – 271 с.</w:t>
      </w:r>
      <w:r>
        <w:rPr>
          <w:sz w:val="28"/>
          <w:szCs w:val="28"/>
          <w:shd w:val="clear" w:color="auto" w:fill="FFFFFF"/>
        </w:rPr>
        <w:t xml:space="preserve"> </w:t>
      </w:r>
      <w:r w:rsidRPr="00C82F8D">
        <w:rPr>
          <w:sz w:val="28"/>
          <w:szCs w:val="28"/>
          <w:shd w:val="clear" w:color="auto" w:fill="FFFFFF"/>
        </w:rPr>
        <w:t>– Текст : непосредственный.</w:t>
      </w:r>
    </w:p>
    <w:p w:rsidR="00286780" w:rsidRPr="00AB1180"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AB1180">
        <w:rPr>
          <w:sz w:val="28"/>
          <w:szCs w:val="28"/>
          <w:shd w:val="clear" w:color="auto" w:fill="FFFFFF"/>
        </w:rPr>
        <w:t>Клинико-патофизиологическое обоснование феномена взаимного отягощения у пострадавших при сочетанной закрытой травме / В. Н. Денисенко, В. В. Бурлука, Я. Л. Зарицкий [и др.]</w:t>
      </w:r>
      <w:r w:rsidR="003C1A55">
        <w:rPr>
          <w:sz w:val="28"/>
          <w:szCs w:val="28"/>
          <w:shd w:val="clear" w:color="auto" w:fill="FFFFFF"/>
        </w:rPr>
        <w:t>. – Текст : непосредственный</w:t>
      </w:r>
      <w:r w:rsidRPr="00AB1180">
        <w:rPr>
          <w:sz w:val="28"/>
          <w:szCs w:val="28"/>
          <w:shd w:val="clear" w:color="auto" w:fill="FFFFFF"/>
        </w:rPr>
        <w:t xml:space="preserve"> // Проблемы военного здравоохранения. – 2002. – С. 15–22.</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Клинико-функциональная характеристика пациентов с острыми одонтогенными воспалительными заболеваниями / К. Г. Караков, И. П. Романенко, К. С. Гандылян [и др.]</w:t>
      </w:r>
      <w:r w:rsidR="003C1A55" w:rsidRPr="00F52145">
        <w:rPr>
          <w:sz w:val="28"/>
          <w:szCs w:val="28"/>
          <w:shd w:val="clear" w:color="auto" w:fill="FFFFFF"/>
        </w:rPr>
        <w:t>.</w:t>
      </w:r>
      <w:r w:rsidR="003C1A55">
        <w:rPr>
          <w:sz w:val="28"/>
          <w:szCs w:val="28"/>
          <w:shd w:val="clear" w:color="auto" w:fill="FFFFFF"/>
        </w:rPr>
        <w:t xml:space="preserve"> – Текст : непосредственный</w:t>
      </w:r>
      <w:r w:rsidRPr="00F52145">
        <w:rPr>
          <w:sz w:val="28"/>
          <w:szCs w:val="28"/>
          <w:shd w:val="clear" w:color="auto" w:fill="FFFFFF"/>
        </w:rPr>
        <w:t xml:space="preserve"> // Приоритеты развития регионального здравоохранения : сборник материалов межрегиональной научно-</w:t>
      </w:r>
      <w:r w:rsidRPr="00F52145">
        <w:rPr>
          <w:sz w:val="28"/>
          <w:szCs w:val="28"/>
          <w:shd w:val="clear" w:color="auto" w:fill="FFFFFF"/>
        </w:rPr>
        <w:lastRenderedPageBreak/>
        <w:t>практической конференции, Ставрополь, 26 ноября 2015 г. – Ставрополь, 2016. – С. 52–55</w:t>
      </w:r>
      <w:r w:rsidR="0031228D">
        <w:rPr>
          <w:sz w:val="28"/>
          <w:szCs w:val="28"/>
          <w:shd w:val="clear" w:color="auto" w:fill="FFFFFF"/>
        </w:rPr>
        <w:t>.</w:t>
      </w:r>
    </w:p>
    <w:p w:rsidR="00286780" w:rsidRPr="00F52145" w:rsidRDefault="00286780" w:rsidP="002A3C85">
      <w:pPr>
        <w:numPr>
          <w:ilvl w:val="0"/>
          <w:numId w:val="10"/>
        </w:numPr>
        <w:shd w:val="clear" w:color="auto" w:fill="FFFFFF"/>
        <w:spacing w:line="360" w:lineRule="auto"/>
        <w:ind w:left="0" w:firstLine="567"/>
        <w:jc w:val="both"/>
        <w:rPr>
          <w:spacing w:val="-4"/>
          <w:sz w:val="28"/>
          <w:szCs w:val="28"/>
          <w:shd w:val="clear" w:color="auto" w:fill="FFFFFF"/>
        </w:rPr>
      </w:pPr>
      <w:r w:rsidRPr="00F52145">
        <w:rPr>
          <w:spacing w:val="-4"/>
          <w:sz w:val="28"/>
          <w:szCs w:val="28"/>
          <w:shd w:val="clear" w:color="auto" w:fill="FFFFFF"/>
        </w:rPr>
        <w:t xml:space="preserve">Клинико-эпидемиологическая характеристика внутричерепных осложнений воспалительных заболеваний ЛОР-органов в условиях Восточно-Сибирского региона Российской Федерации / Ю. К. Янов, А. А. Криволапов, А. Ю. Щербук </w:t>
      </w:r>
      <w:r w:rsidRPr="00F52145">
        <w:rPr>
          <w:sz w:val="28"/>
          <w:szCs w:val="28"/>
          <w:shd w:val="clear" w:color="auto" w:fill="FFFFFF"/>
        </w:rPr>
        <w:t>[и др.]</w:t>
      </w:r>
      <w:r w:rsidR="003C1A55">
        <w:rPr>
          <w:sz w:val="28"/>
          <w:szCs w:val="28"/>
          <w:shd w:val="clear" w:color="auto" w:fill="FFFFFF"/>
        </w:rPr>
        <w:t>. – Текст : непосредственный</w:t>
      </w:r>
      <w:r w:rsidRPr="00F52145">
        <w:rPr>
          <w:sz w:val="28"/>
          <w:szCs w:val="28"/>
          <w:shd w:val="clear" w:color="auto" w:fill="FFFFFF"/>
        </w:rPr>
        <w:t xml:space="preserve"> </w:t>
      </w:r>
      <w:r w:rsidRPr="00F52145">
        <w:rPr>
          <w:spacing w:val="-4"/>
          <w:sz w:val="28"/>
          <w:szCs w:val="28"/>
          <w:shd w:val="clear" w:color="auto" w:fill="FFFFFF"/>
        </w:rPr>
        <w:t>// Вестник хирургии им. И. И. Грекова. – 2016. – Т. 175, № 1. – С. 18–25.</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Клинические рекомендации по диагностике и лечению абсцессов головного мозга, внутричерепных эпидуральных и субдуральных эмпием / О. Н. Древаль, Р. С. Джинджихадзе, Г. Г. Шагинян [и др.]. – Москва, 2015. – 28 с.</w:t>
      </w:r>
      <w:r>
        <w:rPr>
          <w:sz w:val="28"/>
          <w:szCs w:val="28"/>
          <w:shd w:val="clear" w:color="auto" w:fill="FFFFFF"/>
        </w:rPr>
        <w:t xml:space="preserve"> </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Клинический анализ заболеваемости одонтогенными флегмонами челюстно-лицевой области по данным отделения челюстно-лицевой хирургии клиник Самарского государственного медицинского университета / И. М. Байриков, В. А. Монаков, А. Л. Савельев, Д. В. Монаков</w:t>
      </w:r>
      <w:r w:rsidR="003C1A55">
        <w:rPr>
          <w:sz w:val="28"/>
          <w:szCs w:val="28"/>
          <w:shd w:val="clear" w:color="auto" w:fill="FFFFFF"/>
        </w:rPr>
        <w:t>. – Текст : непосредственный</w:t>
      </w:r>
      <w:r w:rsidRPr="00F52145">
        <w:rPr>
          <w:sz w:val="28"/>
          <w:szCs w:val="28"/>
          <w:shd w:val="clear" w:color="auto" w:fill="FFFFFF"/>
        </w:rPr>
        <w:t xml:space="preserve"> // Международный журнал прикладных и фундаментальных исследований. – 2014. – № 11. – С. 100–104.</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Клиническое течение одонтогенных флегмон с учетом количества пространств, вовлеченных в воспалительный процесс / С. С. Конев, К. С. Гандылян, Е. В. Елисеева, В. Н. Ивенский</w:t>
      </w:r>
      <w:r w:rsidR="003C1A55">
        <w:rPr>
          <w:sz w:val="28"/>
          <w:szCs w:val="28"/>
          <w:shd w:val="clear" w:color="auto" w:fill="FFFFFF"/>
        </w:rPr>
        <w:t>. – Текст : непосредственный</w:t>
      </w:r>
      <w:r w:rsidRPr="00F52145">
        <w:rPr>
          <w:sz w:val="28"/>
          <w:szCs w:val="28"/>
          <w:shd w:val="clear" w:color="auto" w:fill="FFFFFF"/>
        </w:rPr>
        <w:t xml:space="preserve"> // Клиническая неврология. – 2016. – № 4. – С. 15–18. </w:t>
      </w:r>
    </w:p>
    <w:p w:rsidR="00286780" w:rsidRPr="00020D4B"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020D4B">
        <w:rPr>
          <w:sz w:val="28"/>
          <w:szCs w:val="28"/>
          <w:shd w:val="clear" w:color="auto" w:fill="FFFFFF"/>
        </w:rPr>
        <w:t>Козлов, В. А. Одонтогенный медиастинит / В. А. Козлов</w:t>
      </w:r>
      <w:r w:rsidR="003C1A55">
        <w:rPr>
          <w:sz w:val="28"/>
          <w:szCs w:val="28"/>
          <w:shd w:val="clear" w:color="auto" w:fill="FFFFFF"/>
        </w:rPr>
        <w:t>. – Текст : непосредственный</w:t>
      </w:r>
      <w:r w:rsidRPr="00020D4B">
        <w:rPr>
          <w:sz w:val="28"/>
          <w:szCs w:val="28"/>
          <w:shd w:val="clear" w:color="auto" w:fill="FFFFFF"/>
        </w:rPr>
        <w:t xml:space="preserve"> // Стоматология. – 2006. – № 3. – С. 16.</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Козлов, В. А. Особенности течения воспалительных заболеваний одонтогенной этиологии у больных сахарным диабетом / В. А. Козлов</w:t>
      </w:r>
      <w:r w:rsidR="003C1A55">
        <w:rPr>
          <w:sz w:val="28"/>
          <w:szCs w:val="28"/>
          <w:shd w:val="clear" w:color="auto" w:fill="FFFFFF"/>
        </w:rPr>
        <w:t>. – Текст : непосредственный</w:t>
      </w:r>
      <w:r w:rsidRPr="00F52145">
        <w:rPr>
          <w:sz w:val="28"/>
          <w:szCs w:val="28"/>
          <w:shd w:val="clear" w:color="auto" w:fill="FFFFFF"/>
        </w:rPr>
        <w:t xml:space="preserve"> // Медицинский академический журнал. – 2008. – Т. 8, № 1. – С. 242–247.</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Конев, С. С. Одонтогенные флегмоны, современный взгляд на их формирование (обзор литературы) / С. С. Конев, К. С. Гандылян</w:t>
      </w:r>
      <w:r w:rsidR="003C1A55">
        <w:rPr>
          <w:sz w:val="28"/>
          <w:szCs w:val="28"/>
          <w:shd w:val="clear" w:color="auto" w:fill="FFFFFF"/>
        </w:rPr>
        <w:t>. – Текст : непосредственный</w:t>
      </w:r>
      <w:r w:rsidRPr="00F52145">
        <w:rPr>
          <w:sz w:val="28"/>
          <w:szCs w:val="28"/>
          <w:shd w:val="clear" w:color="auto" w:fill="FFFFFF"/>
        </w:rPr>
        <w:t xml:space="preserve"> // Научный альманах. – 2016. – № 7-1 (21). – С. 496–499. </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lastRenderedPageBreak/>
        <w:t>Коррекция иммунитета в комплексной терапии вялотекущих и хронических гнойно-воспалительных заболеваний челюстно-лицевой области / Е. В. Фомичев, М. В. Кирпичников, Ахмет Салех [и др.]</w:t>
      </w:r>
      <w:r w:rsidR="003C1A55">
        <w:rPr>
          <w:sz w:val="28"/>
          <w:szCs w:val="28"/>
          <w:shd w:val="clear" w:color="auto" w:fill="FFFFFF"/>
        </w:rPr>
        <w:t>. – Текст :</w:t>
      </w:r>
      <w:r w:rsidR="000D021D">
        <w:rPr>
          <w:sz w:val="28"/>
          <w:szCs w:val="28"/>
          <w:shd w:val="clear" w:color="auto" w:fill="FFFFFF"/>
        </w:rPr>
        <w:t xml:space="preserve"> непосредственный</w:t>
      </w:r>
      <w:r w:rsidRPr="00F52145">
        <w:rPr>
          <w:sz w:val="28"/>
          <w:szCs w:val="28"/>
          <w:shd w:val="clear" w:color="auto" w:fill="FFFFFF"/>
        </w:rPr>
        <w:t xml:space="preserve"> // Лекарственный вестник. – 2010. – № 5 (37). – С. 21–26.</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 xml:space="preserve">Косаченко, В. М. Оптимизация анестезиологического обеспечения геронтологических больных при абдоминальных операциях : автореф. дис. ... д-ра мед. наук : </w:t>
      </w:r>
      <w:r w:rsidRPr="00F52145">
        <w:rPr>
          <w:iCs/>
          <w:color w:val="333333"/>
          <w:sz w:val="28"/>
          <w:szCs w:val="28"/>
          <w:shd w:val="clear" w:color="auto" w:fill="FFFFFF"/>
        </w:rPr>
        <w:t>14.00.37 : 14.00.27</w:t>
      </w:r>
      <w:r w:rsidRPr="00F52145">
        <w:rPr>
          <w:sz w:val="28"/>
          <w:szCs w:val="28"/>
          <w:shd w:val="clear" w:color="auto" w:fill="FFFFFF"/>
        </w:rPr>
        <w:t xml:space="preserve"> / В. М. Косаченко. – Москва, 2005. – 55 с.</w:t>
      </w:r>
      <w:r>
        <w:rPr>
          <w:sz w:val="28"/>
          <w:szCs w:val="28"/>
          <w:shd w:val="clear" w:color="auto" w:fill="FFFFFF"/>
        </w:rPr>
        <w:t xml:space="preserve"> </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Костюченко, А. Л. Интенсивная терапия послеоперационной раневой инфекции и сепсиса / А. Л. Костюченко, А. Н. Бельских, А. Н. Тулупов. – Санкт-Петербург : Фолиант, 2000. – 445 с.</w:t>
      </w:r>
      <w:r>
        <w:rPr>
          <w:sz w:val="28"/>
          <w:szCs w:val="28"/>
          <w:shd w:val="clear" w:color="auto" w:fill="FFFFFF"/>
        </w:rPr>
        <w:t xml:space="preserve"> </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Костюченко, М. В. Профилактика и лечение нарушений функции печени и почек при острой хирургической патологии брюшной полости : автореф. дис. ... д-ра мед. наук : 14.01.17 / М. В. Костюченко. – Москва, 2012. – 48 с.</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Кривопалов, А. А. Эпидемиологические и демографические особенности внутричерепных ото- и риносинусогенных гнойно-воспалительных осложнений в Российской Федерации / А. А. Кривопалов</w:t>
      </w:r>
      <w:r w:rsidR="000D021D">
        <w:rPr>
          <w:sz w:val="28"/>
          <w:szCs w:val="28"/>
          <w:shd w:val="clear" w:color="auto" w:fill="FFFFFF"/>
        </w:rPr>
        <w:t>. – Текст : непосредственный</w:t>
      </w:r>
      <w:r w:rsidRPr="00F52145">
        <w:rPr>
          <w:sz w:val="28"/>
          <w:szCs w:val="28"/>
          <w:shd w:val="clear" w:color="auto" w:fill="FFFFFF"/>
        </w:rPr>
        <w:t xml:space="preserve"> // Вестник хирургии им. И. И. Грекова. – 2016. – № 2. – С. 36–42.</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Критическая ишемия нижних конечностей у пациентов отделения гнойно-септической хирургии / А. В. Максимов, К. А. Корейба, Р. М. Нуретдинов [и др.]</w:t>
      </w:r>
      <w:r w:rsidR="000D021D">
        <w:rPr>
          <w:sz w:val="28"/>
          <w:szCs w:val="28"/>
          <w:shd w:val="clear" w:color="auto" w:fill="FFFFFF"/>
        </w:rPr>
        <w:t>. – Текст : непосредственный</w:t>
      </w:r>
      <w:r w:rsidRPr="00F52145">
        <w:rPr>
          <w:sz w:val="28"/>
          <w:szCs w:val="28"/>
          <w:shd w:val="clear" w:color="auto" w:fill="FFFFFF"/>
        </w:rPr>
        <w:t xml:space="preserve"> // Ангиология и сосудистая хирургия. – 2016. – Т. 22, № 2. – С. 152–155.</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Крюкова, Л. М. Значение ишемической болезни сердца в исходах оперативного лечения различных групп больных хирургического профиля : автореф. дис. ... канд. мед. наук : 14.00.27 / Л. М. Крюкова. – Рязань, 2003. – 23 с.</w:t>
      </w:r>
      <w:r>
        <w:rPr>
          <w:sz w:val="28"/>
          <w:szCs w:val="28"/>
          <w:shd w:val="clear" w:color="auto" w:fill="FFFFFF"/>
        </w:rPr>
        <w:t xml:space="preserve"> </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 xml:space="preserve">Ксембаев, С. С. Острые одонтогенные воспалительные заболевания челюстей. Диагностика и лечение ангио и остеогенных нарушений / С. С. Ксембаев, </w:t>
      </w:r>
      <w:r w:rsidRPr="00F52145">
        <w:rPr>
          <w:sz w:val="28"/>
          <w:szCs w:val="28"/>
          <w:shd w:val="clear" w:color="auto" w:fill="FFFFFF"/>
        </w:rPr>
        <w:lastRenderedPageBreak/>
        <w:t>И. Г. Ямашев. – Москва : МЕДпресс-информ, 2006. – 128 с.</w:t>
      </w:r>
      <w:r>
        <w:rPr>
          <w:sz w:val="28"/>
          <w:szCs w:val="28"/>
          <w:shd w:val="clear" w:color="auto" w:fill="FFFFFF"/>
        </w:rPr>
        <w:t xml:space="preserve"> - </w:t>
      </w:r>
      <w:r w:rsidRPr="00F2587C">
        <w:rPr>
          <w:sz w:val="28"/>
          <w:szCs w:val="28"/>
          <w:shd w:val="clear" w:color="auto" w:fill="FFFFFF"/>
        </w:rPr>
        <w:t>ISBN 5-98322-175-2</w:t>
      </w:r>
      <w:r>
        <w:rPr>
          <w:sz w:val="28"/>
          <w:szCs w:val="28"/>
          <w:shd w:val="clear" w:color="auto" w:fill="FFFFFF"/>
        </w:rPr>
        <w:t xml:space="preserve">. </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Кукушкин, Г. В. Инфекции у больных сахарным диабетом / Г. В. Кукушкин, Е. Г. Старостина</w:t>
      </w:r>
      <w:r w:rsidR="000D021D">
        <w:rPr>
          <w:sz w:val="28"/>
          <w:szCs w:val="28"/>
          <w:shd w:val="clear" w:color="auto" w:fill="FFFFFF"/>
        </w:rPr>
        <w:t>. – Текст : непосредственный</w:t>
      </w:r>
      <w:r w:rsidRPr="00F52145">
        <w:rPr>
          <w:sz w:val="28"/>
          <w:szCs w:val="28"/>
          <w:shd w:val="clear" w:color="auto" w:fill="FFFFFF"/>
        </w:rPr>
        <w:t xml:space="preserve"> // Русский медицинский журнал. – 2016. – Т. 24, № 20. – С. 1327–33.</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Кулешов, Е. В. Сахарный диабет и хирургические заболевания / Е. В. Кулешов, С. В. Кулешов. – Москва : Воскресенье. – 1996. – 215 с.</w:t>
      </w:r>
      <w:r>
        <w:rPr>
          <w:sz w:val="28"/>
          <w:szCs w:val="28"/>
          <w:shd w:val="clear" w:color="auto" w:fill="FFFFFF"/>
        </w:rPr>
        <w:t xml:space="preserve"> - </w:t>
      </w:r>
      <w:r w:rsidRPr="00F2587C">
        <w:rPr>
          <w:sz w:val="28"/>
          <w:szCs w:val="28"/>
          <w:shd w:val="clear" w:color="auto" w:fill="FFFFFF"/>
        </w:rPr>
        <w:t>ISBN 5-88528-123-8</w:t>
      </w:r>
      <w:r>
        <w:rPr>
          <w:sz w:val="28"/>
          <w:szCs w:val="28"/>
          <w:shd w:val="clear" w:color="auto" w:fill="FFFFFF"/>
        </w:rPr>
        <w:t xml:space="preserve">. </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Куликовский, В. Ф. Явления социального неблагополучия как неодонтогенный этологический фактор, провоцирующий воспалительные заболевания челюстно-лицевой области / В. Ф. Куликовский, Л. B. Шевченко</w:t>
      </w:r>
      <w:r w:rsidR="000D021D">
        <w:rPr>
          <w:sz w:val="28"/>
          <w:szCs w:val="28"/>
          <w:shd w:val="clear" w:color="auto" w:fill="FFFFFF"/>
        </w:rPr>
        <w:t>. – Текст : непосредственный</w:t>
      </w:r>
      <w:r w:rsidRPr="00F52145">
        <w:rPr>
          <w:sz w:val="28"/>
          <w:szCs w:val="28"/>
          <w:shd w:val="clear" w:color="auto" w:fill="FFFFFF"/>
        </w:rPr>
        <w:t xml:space="preserve"> // Курский научно-практический вестник «Человек и его здоровье». – 2009. – № 1. – С. 88–94.</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Лазарева, И. Б. Актуальные вопросы фармакотерапии сепсиса и септического шока / И. Б. Лазарева, A. A. Игонин</w:t>
      </w:r>
      <w:r w:rsidR="000D021D">
        <w:rPr>
          <w:sz w:val="28"/>
          <w:szCs w:val="28"/>
          <w:shd w:val="clear" w:color="auto" w:fill="FFFFFF"/>
        </w:rPr>
        <w:t>. – Текст : непосредственный</w:t>
      </w:r>
      <w:r w:rsidRPr="00F52145">
        <w:rPr>
          <w:sz w:val="28"/>
          <w:szCs w:val="28"/>
          <w:shd w:val="clear" w:color="auto" w:fill="FFFFFF"/>
        </w:rPr>
        <w:t xml:space="preserve"> // Лечащий врач. – 2004. – № 8. – С. 5–8.</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Лазебник, Л. Б. Полиморбидность и старение / Л. Б. Лазебник</w:t>
      </w:r>
      <w:r w:rsidR="000D021D">
        <w:rPr>
          <w:sz w:val="28"/>
          <w:szCs w:val="28"/>
          <w:shd w:val="clear" w:color="auto" w:fill="FFFFFF"/>
        </w:rPr>
        <w:t>. – Текст : непосредственный</w:t>
      </w:r>
      <w:r w:rsidRPr="00F52145">
        <w:rPr>
          <w:sz w:val="28"/>
          <w:szCs w:val="28"/>
          <w:shd w:val="clear" w:color="auto" w:fill="FFFFFF"/>
        </w:rPr>
        <w:t xml:space="preserve"> // Новости медицины и фармации. – 2007. – № 1. – С. 205.</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Лазебник, Л. Б. Полиморбидность и старение / Л. Б. Лазебник</w:t>
      </w:r>
      <w:r w:rsidR="000D021D">
        <w:rPr>
          <w:sz w:val="28"/>
          <w:szCs w:val="28"/>
          <w:shd w:val="clear" w:color="auto" w:fill="FFFFFF"/>
        </w:rPr>
        <w:t>. – Текст : непосредственный</w:t>
      </w:r>
      <w:r w:rsidRPr="00F52145">
        <w:rPr>
          <w:sz w:val="28"/>
          <w:szCs w:val="28"/>
          <w:shd w:val="clear" w:color="auto" w:fill="FFFFFF"/>
        </w:rPr>
        <w:t xml:space="preserve"> // Клиническая геронтология. – 2005. – № 12. – С. 16–19.</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Лазебник, Л. Б. Старение и полиморбидность / Л. Б. Лазебник</w:t>
      </w:r>
      <w:r w:rsidR="000D021D">
        <w:rPr>
          <w:sz w:val="28"/>
          <w:szCs w:val="28"/>
          <w:shd w:val="clear" w:color="auto" w:fill="FFFFFF"/>
        </w:rPr>
        <w:t>. – Текст : непосредственный</w:t>
      </w:r>
      <w:r w:rsidRPr="00F52145">
        <w:rPr>
          <w:sz w:val="28"/>
          <w:szCs w:val="28"/>
          <w:shd w:val="clear" w:color="auto" w:fill="FFFFFF"/>
        </w:rPr>
        <w:t xml:space="preserve"> // </w:t>
      </w:r>
      <w:r w:rsidRPr="00F52145">
        <w:rPr>
          <w:sz w:val="28"/>
          <w:szCs w:val="28"/>
        </w:rPr>
        <w:t>Consilium Medicum</w:t>
      </w:r>
      <w:r w:rsidRPr="00F52145">
        <w:rPr>
          <w:sz w:val="28"/>
          <w:szCs w:val="28"/>
          <w:shd w:val="clear" w:color="auto" w:fill="FFFFFF"/>
        </w:rPr>
        <w:t>. – 2005. – Т. 7, № 12. – С. 993–996.</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Левенец, А. А. Одонтогенные флегмоны челюстно-лицевой области / А. А. Левенец</w:t>
      </w:r>
      <w:r w:rsidR="000D021D">
        <w:rPr>
          <w:sz w:val="28"/>
          <w:szCs w:val="28"/>
          <w:shd w:val="clear" w:color="auto" w:fill="FFFFFF"/>
        </w:rPr>
        <w:t>. – Текст : непосредственный</w:t>
      </w:r>
      <w:r w:rsidRPr="00F52145">
        <w:rPr>
          <w:sz w:val="28"/>
          <w:szCs w:val="28"/>
          <w:shd w:val="clear" w:color="auto" w:fill="FFFFFF"/>
        </w:rPr>
        <w:t xml:space="preserve"> // Стоматология. – 2006. – Т. 85, № 3. – С. 27–29.</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 xml:space="preserve">Леонтьева, Е. Ю. Анализ коморбидности стоматологической и общесоматической патологии медицинских работников / Е. Ю. Леонтьева, Т. Ю. Быковская, В. В. Киреев. – Текст : электронный // Современные проблемы науки и образования. – 2017. – № 4. – </w:t>
      </w:r>
      <w:r w:rsidRPr="00F52145">
        <w:rPr>
          <w:color w:val="333333"/>
          <w:sz w:val="28"/>
          <w:szCs w:val="28"/>
          <w:shd w:val="clear" w:color="auto" w:fill="FFFFFF"/>
        </w:rPr>
        <w:t xml:space="preserve">URL: </w:t>
      </w:r>
      <w:hyperlink r:id="rId34" w:history="1">
        <w:r w:rsidRPr="00F52145">
          <w:rPr>
            <w:rStyle w:val="ab"/>
            <w:sz w:val="28"/>
            <w:szCs w:val="28"/>
            <w:shd w:val="clear" w:color="auto" w:fill="FFFFFF"/>
          </w:rPr>
          <w:t>http://science-education.ru/ru/article/view?id=26661</w:t>
        </w:r>
      </w:hyperlink>
      <w:r w:rsidRPr="00F52145">
        <w:rPr>
          <w:color w:val="333333"/>
          <w:sz w:val="28"/>
          <w:szCs w:val="28"/>
          <w:shd w:val="clear" w:color="auto" w:fill="FFFFFF"/>
        </w:rPr>
        <w:t xml:space="preserve"> (дата обращения: 31.01.2021).</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lastRenderedPageBreak/>
        <w:t>Лечение ишемически детерминированных форм синдрома диабетической стопы / Л. Н. Беликов, Е. А. Бобровсая, А. Б. Горпинич [и др.]</w:t>
      </w:r>
      <w:r w:rsidR="000D021D">
        <w:rPr>
          <w:sz w:val="28"/>
          <w:szCs w:val="28"/>
          <w:shd w:val="clear" w:color="auto" w:fill="FFFFFF"/>
        </w:rPr>
        <w:t>. – Текст : непосредственный</w:t>
      </w:r>
      <w:r w:rsidRPr="00F52145">
        <w:rPr>
          <w:sz w:val="28"/>
          <w:szCs w:val="28"/>
          <w:shd w:val="clear" w:color="auto" w:fill="FFFFFF"/>
        </w:rPr>
        <w:t xml:space="preserve"> // Вестник новых медицинских технологий. – 2006. – Т. 13, № 4. – С. 40–41.</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 xml:space="preserve">Лимфотропная терапия при остром гнойном одонтогенном периостите челюстей / </w:t>
      </w:r>
      <w:r w:rsidRPr="00F52145">
        <w:rPr>
          <w:sz w:val="28"/>
          <w:szCs w:val="28"/>
        </w:rPr>
        <w:t>М. С. Любарский, И. В. Майбородин, Е. Р. Лойко, Б. В. Шеплев</w:t>
      </w:r>
      <w:r w:rsidR="000D021D">
        <w:rPr>
          <w:sz w:val="28"/>
          <w:szCs w:val="28"/>
        </w:rPr>
        <w:t>. – Текст : непосредственный</w:t>
      </w:r>
      <w:r w:rsidRPr="00F52145">
        <w:rPr>
          <w:sz w:val="28"/>
          <w:szCs w:val="28"/>
          <w:shd w:val="clear" w:color="auto" w:fill="FFFFFF"/>
        </w:rPr>
        <w:t xml:space="preserve"> // Стоматология. – 2003. – № 6. – С. 27–31.</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Лойт, А. А. Хирургическая анатомия головы и шеи / А. А. Лойт, А. В. Каюков. – Москва : МЕДпресс-информ, 2006. – 128 с.</w:t>
      </w:r>
      <w:r>
        <w:rPr>
          <w:sz w:val="28"/>
          <w:szCs w:val="28"/>
          <w:shd w:val="clear" w:color="auto" w:fill="FFFFFF"/>
        </w:rPr>
        <w:t xml:space="preserve"> </w:t>
      </w:r>
      <w:r w:rsidRPr="00C82F8D">
        <w:rPr>
          <w:sz w:val="28"/>
          <w:szCs w:val="28"/>
          <w:shd w:val="clear" w:color="auto" w:fill="FFFFFF"/>
        </w:rPr>
        <w:t>–</w:t>
      </w:r>
      <w:r>
        <w:t xml:space="preserve"> </w:t>
      </w:r>
      <w:r w:rsidRPr="000D7599">
        <w:rPr>
          <w:sz w:val="28"/>
          <w:szCs w:val="28"/>
          <w:shd w:val="clear" w:color="auto" w:fill="FFFFFF"/>
        </w:rPr>
        <w:t>ISBN 5-98322-250-3</w:t>
      </w:r>
      <w:r>
        <w:rPr>
          <w:sz w:val="28"/>
          <w:szCs w:val="28"/>
          <w:shd w:val="clear" w:color="auto" w:fill="FFFFFF"/>
        </w:rPr>
        <w:t>.-</w:t>
      </w:r>
      <w:r w:rsidRPr="00C82F8D">
        <w:rPr>
          <w:sz w:val="28"/>
          <w:szCs w:val="28"/>
          <w:shd w:val="clear" w:color="auto" w:fill="FFFFFF"/>
        </w:rPr>
        <w:t xml:space="preserve">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Лукьяненко, В. И. Оперативные вмешательства при нагноительных процессах в челюстно-лицевой области / В. И. Лукьяненко</w:t>
      </w:r>
      <w:r w:rsidR="000D021D" w:rsidRPr="00F52145">
        <w:rPr>
          <w:sz w:val="28"/>
          <w:szCs w:val="28"/>
          <w:shd w:val="clear" w:color="auto" w:fill="FFFFFF"/>
        </w:rPr>
        <w:t>.</w:t>
      </w:r>
      <w:r w:rsidR="000D021D">
        <w:rPr>
          <w:sz w:val="28"/>
          <w:szCs w:val="28"/>
          <w:shd w:val="clear" w:color="auto" w:fill="FFFFFF"/>
        </w:rPr>
        <w:t xml:space="preserve"> – Текст : непосредственный</w:t>
      </w:r>
      <w:r w:rsidRPr="00F52145">
        <w:rPr>
          <w:sz w:val="28"/>
          <w:szCs w:val="28"/>
          <w:shd w:val="clear" w:color="auto" w:fill="FFFFFF"/>
        </w:rPr>
        <w:t xml:space="preserve"> // Клиническая оперативная челюстно-лицевая хирургия : руководство для врачей / под ред. В. Н. Балина, H. A. Александрова. – 4-е изд. – Санкт-Петербург : Спецлит, 2005. – С. 354–396</w:t>
      </w:r>
      <w:r w:rsidR="007F37C5">
        <w:rPr>
          <w:sz w:val="28"/>
          <w:szCs w:val="28"/>
          <w:shd w:val="clear" w:color="auto" w:fill="FFFFFF"/>
        </w:rPr>
        <w:t>.</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Лысенко, М. А. Диагностика, предоперационная подготовка и интраоперационное ведение больных с феохромоцитомой : дис. ... д-ра мед. наук : 14.01.02 / М. А. Лысенко. – Москва, 2013. – 227 с.</w:t>
      </w:r>
      <w:r>
        <w:rPr>
          <w:sz w:val="28"/>
          <w:szCs w:val="28"/>
          <w:shd w:val="clear" w:color="auto" w:fill="FFFFFF"/>
        </w:rPr>
        <w:t xml:space="preserve"> </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Макулбекова, С. К. Оценка полиморбидности у пациентов пожилого возраста со злокачественными новообразованиями желудка / С. К. Макулбекова</w:t>
      </w:r>
      <w:r w:rsidR="00E437C9">
        <w:rPr>
          <w:sz w:val="28"/>
          <w:szCs w:val="28"/>
          <w:shd w:val="clear" w:color="auto" w:fill="FFFFFF"/>
        </w:rPr>
        <w:t>. Текст : непосредственный</w:t>
      </w:r>
      <w:r w:rsidRPr="00F52145">
        <w:rPr>
          <w:sz w:val="28"/>
          <w:szCs w:val="28"/>
          <w:shd w:val="clear" w:color="auto" w:fill="FFFFFF"/>
        </w:rPr>
        <w:t xml:space="preserve"> // Вестник Казахского национального медицинского университета. – 2017. – № 3. – С. 112–116.</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Малоинвазивные технологии в лечении острого деструктивного калькулезного холецистита у лиц среднего, пожилого и старческого возраста / В. А. Лазаренко, Н. К. Горшунова, С. Н. Григорьев [и др.]</w:t>
      </w:r>
      <w:r w:rsidR="00E437C9">
        <w:rPr>
          <w:sz w:val="28"/>
          <w:szCs w:val="28"/>
          <w:shd w:val="clear" w:color="auto" w:fill="FFFFFF"/>
        </w:rPr>
        <w:t>. – Текст : непосредственный</w:t>
      </w:r>
      <w:r w:rsidRPr="00F52145">
        <w:rPr>
          <w:sz w:val="28"/>
          <w:szCs w:val="28"/>
          <w:shd w:val="clear" w:color="auto" w:fill="FFFFFF"/>
        </w:rPr>
        <w:t xml:space="preserve"> // Курский научно-практический вестник "Человек и его здоровье". – 2011. – № 2. – С. 56–59.</w:t>
      </w:r>
    </w:p>
    <w:p w:rsidR="00286780" w:rsidRPr="00020D4B"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Малышев В. Д. Септический синдром, интенсивная терапия септического синдрома // Интенсивная терапия : руководство для врачей / под ред. В. Д. Ма</w:t>
      </w:r>
      <w:r w:rsidRPr="00F52145">
        <w:rPr>
          <w:sz w:val="28"/>
          <w:szCs w:val="28"/>
          <w:shd w:val="clear" w:color="auto" w:fill="FFFFFF"/>
        </w:rPr>
        <w:lastRenderedPageBreak/>
        <w:t>лышева. – Москва : Медицина, 2002. – С. 280–299.</w:t>
      </w:r>
      <w:r>
        <w:rPr>
          <w:sz w:val="28"/>
          <w:szCs w:val="28"/>
          <w:shd w:val="clear" w:color="auto" w:fill="FFFFFF"/>
        </w:rPr>
        <w:t xml:space="preserve"> - ISBN 5-225-04560. – Текст</w:t>
      </w:r>
      <w:r>
        <w:rPr>
          <w:sz w:val="28"/>
          <w:szCs w:val="28"/>
          <w:shd w:val="clear" w:color="auto" w:fill="FFFFFF"/>
          <w:lang w:val="en-US"/>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Матчин, А. А. Одонтогенная инфекция: существующие проблемы / А. А. Матчин</w:t>
      </w:r>
      <w:r w:rsidR="00E437C9">
        <w:rPr>
          <w:sz w:val="28"/>
          <w:szCs w:val="28"/>
          <w:shd w:val="clear" w:color="auto" w:fill="FFFFFF"/>
        </w:rPr>
        <w:t>. – Текст : непосредственный</w:t>
      </w:r>
      <w:r w:rsidRPr="00F52145">
        <w:rPr>
          <w:sz w:val="28"/>
          <w:szCs w:val="28"/>
          <w:shd w:val="clear" w:color="auto" w:fill="FFFFFF"/>
        </w:rPr>
        <w:t xml:space="preserve"> // Оренбургский медицинский вестник. – 2015. – Т. III, № 3 (11). – С. 44–48.</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Микробиология, вирусология и иммунология: учеб.</w:t>
      </w:r>
      <w:r>
        <w:rPr>
          <w:sz w:val="28"/>
          <w:szCs w:val="28"/>
          <w:shd w:val="clear" w:color="auto" w:fill="FFFFFF"/>
        </w:rPr>
        <w:t xml:space="preserve"> </w:t>
      </w:r>
      <w:r w:rsidRPr="00F52145">
        <w:rPr>
          <w:sz w:val="28"/>
          <w:szCs w:val="28"/>
          <w:shd w:val="clear" w:color="auto" w:fill="FFFFFF"/>
        </w:rPr>
        <w:t>для студентов мед. вузов / под ред. В. Н. Царёва. – Москва : Практическая медицина, 2009. – 581 с.</w:t>
      </w:r>
      <w:r>
        <w:rPr>
          <w:sz w:val="28"/>
          <w:szCs w:val="28"/>
          <w:shd w:val="clear" w:color="auto" w:fill="FFFFFF"/>
        </w:rPr>
        <w:t xml:space="preserve"> </w:t>
      </w:r>
      <w:r w:rsidRPr="00C82F8D">
        <w:rPr>
          <w:sz w:val="28"/>
          <w:szCs w:val="28"/>
          <w:shd w:val="clear" w:color="auto" w:fill="FFFFFF"/>
        </w:rPr>
        <w:t xml:space="preserve">– </w:t>
      </w:r>
      <w:r w:rsidRPr="000D7599">
        <w:rPr>
          <w:sz w:val="28"/>
          <w:szCs w:val="28"/>
          <w:shd w:val="clear" w:color="auto" w:fill="FFFFFF"/>
        </w:rPr>
        <w:t>ISBN 978-5-98811-090-3</w:t>
      </w:r>
      <w:r>
        <w:rPr>
          <w:sz w:val="28"/>
          <w:szCs w:val="28"/>
          <w:shd w:val="clear" w:color="auto" w:fill="FFFFFF"/>
        </w:rPr>
        <w:t xml:space="preserve">. - </w:t>
      </w:r>
      <w:r w:rsidRPr="00C82F8D">
        <w:rPr>
          <w:sz w:val="28"/>
          <w:szCs w:val="28"/>
          <w:shd w:val="clear" w:color="auto" w:fill="FFFFFF"/>
        </w:rPr>
        <w:t>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Миронов, А. Ю. Видовой и количественные показатели микрофлоры при флегмонах челюстно-лицевой области / А. Ю. Миронов, Е. П. Пашков, Е. М. Черноглазова</w:t>
      </w:r>
      <w:r w:rsidR="00E437C9">
        <w:rPr>
          <w:sz w:val="28"/>
          <w:szCs w:val="28"/>
          <w:shd w:val="clear" w:color="auto" w:fill="FFFFFF"/>
        </w:rPr>
        <w:t>. – Текст : непосредственный</w:t>
      </w:r>
      <w:r w:rsidRPr="00F52145">
        <w:rPr>
          <w:sz w:val="28"/>
          <w:szCs w:val="28"/>
          <w:shd w:val="clear" w:color="auto" w:fill="FFFFFF"/>
        </w:rPr>
        <w:t xml:space="preserve"> // Стоматология. – 1998. – № 5. – С. 42–43.</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Митрофанов, И. М. Региональные особенности полимобидности в современной клинике внутренних болезней / И. М. Митрофанов, Ю. А. Николаев, Н. А. Долгова</w:t>
      </w:r>
      <w:r w:rsidR="00E437C9">
        <w:rPr>
          <w:sz w:val="28"/>
          <w:szCs w:val="28"/>
          <w:shd w:val="clear" w:color="auto" w:fill="FFFFFF"/>
        </w:rPr>
        <w:t>. – Текст : непосредственный</w:t>
      </w:r>
      <w:r w:rsidRPr="00F52145">
        <w:rPr>
          <w:sz w:val="28"/>
          <w:szCs w:val="28"/>
          <w:shd w:val="clear" w:color="auto" w:fill="FFFFFF"/>
        </w:rPr>
        <w:t xml:space="preserve"> // Клиническая медицина. – 2013. – № 6. – С. 26–29.</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Мовсесян, Г. М. Применение медицинского озона в комплексном лечении флегмон челюстно-лицевой области : автореф. дис. ... канд. мед. наук : 14.00.21 / Г. М. Мовсесян. – Москва, 2001. – 22 с.</w:t>
      </w:r>
      <w:r>
        <w:rPr>
          <w:sz w:val="28"/>
          <w:szCs w:val="28"/>
          <w:shd w:val="clear" w:color="auto" w:fill="FFFFFF"/>
        </w:rPr>
        <w:t xml:space="preserve"> </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Музыкин, М. И. Лечение одонтогенного периостита челюстей у людей пожилого и старческого возраста : дис. ... канд. мед. наук : 14.01.30 / М. И. Музыкин. – Санкт-Петербург, 2013. – 126 с.</w:t>
      </w:r>
      <w:r>
        <w:rPr>
          <w:sz w:val="28"/>
          <w:szCs w:val="28"/>
          <w:shd w:val="clear" w:color="auto" w:fill="FFFFFF"/>
        </w:rPr>
        <w:t xml:space="preserve"> </w:t>
      </w:r>
      <w:r w:rsidRPr="00C82F8D">
        <w:rPr>
          <w:sz w:val="28"/>
          <w:szCs w:val="28"/>
          <w:shd w:val="clear" w:color="auto" w:fill="FFFFFF"/>
        </w:rPr>
        <w:t>–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Мурашов, А. В. Предоперационная подготовка больных ишемической болезнью сердца перед некардиохирургическими вмешательствами : автореф. дис. ... канд. мед. наук : 14.00.27 / А. В. Мурашов. – Москва, 2002. – 24 с.</w:t>
      </w:r>
      <w:r>
        <w:rPr>
          <w:sz w:val="28"/>
          <w:szCs w:val="28"/>
          <w:shd w:val="clear" w:color="auto" w:fill="FFFFFF"/>
        </w:rPr>
        <w:t xml:space="preserve"> </w:t>
      </w:r>
      <w:r w:rsidRPr="00C82F8D">
        <w:rPr>
          <w:sz w:val="28"/>
          <w:szCs w:val="28"/>
          <w:shd w:val="clear" w:color="auto" w:fill="FFFFFF"/>
        </w:rPr>
        <w:t>– Текст : непосредственный.</w:t>
      </w:r>
    </w:p>
    <w:p w:rsidR="00286780" w:rsidRPr="00DD1518"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Наблюдение флегмоны шеи, осложнившейся медиастинитом у больной сахарным диабетом / В. Г. Зенгер, Н. В. Герасименко, Д. М. Мустафаев [и др.]</w:t>
      </w:r>
      <w:r w:rsidR="00E437C9">
        <w:rPr>
          <w:sz w:val="28"/>
          <w:szCs w:val="28"/>
          <w:shd w:val="clear" w:color="auto" w:fill="FFFFFF"/>
        </w:rPr>
        <w:t>. – Текст : непосредственный</w:t>
      </w:r>
      <w:r w:rsidRPr="00F52145">
        <w:rPr>
          <w:sz w:val="28"/>
          <w:szCs w:val="28"/>
          <w:shd w:val="clear" w:color="auto" w:fill="FFFFFF"/>
        </w:rPr>
        <w:t xml:space="preserve"> // Российская оториноларингология. – 2008. – № 2. – С. 97–101.</w:t>
      </w:r>
    </w:p>
    <w:p w:rsidR="00286780" w:rsidRDefault="00286780" w:rsidP="007F37C5">
      <w:pPr>
        <w:numPr>
          <w:ilvl w:val="0"/>
          <w:numId w:val="10"/>
        </w:numPr>
        <w:shd w:val="clear" w:color="auto" w:fill="FFFFFF"/>
        <w:spacing w:line="360" w:lineRule="auto"/>
        <w:ind w:left="0" w:firstLine="709"/>
        <w:jc w:val="both"/>
        <w:rPr>
          <w:spacing w:val="-4"/>
          <w:sz w:val="28"/>
          <w:szCs w:val="28"/>
          <w:shd w:val="clear" w:color="auto" w:fill="FFFFFF"/>
        </w:rPr>
      </w:pPr>
      <w:r w:rsidRPr="00F52145">
        <w:rPr>
          <w:spacing w:val="-4"/>
          <w:sz w:val="28"/>
          <w:szCs w:val="28"/>
          <w:shd w:val="clear" w:color="auto" w:fill="FFFFFF"/>
        </w:rPr>
        <w:lastRenderedPageBreak/>
        <w:t>Некоторые клинико-эпидемиологические аспекты флегмон челюстно-лицевой области / Г. И. Штраубе, И. А. Боев, А. П. Годовалов, Г. И. Антаков</w:t>
      </w:r>
      <w:r w:rsidR="00E437C9">
        <w:rPr>
          <w:spacing w:val="-4"/>
          <w:sz w:val="28"/>
          <w:szCs w:val="28"/>
          <w:shd w:val="clear" w:color="auto" w:fill="FFFFFF"/>
        </w:rPr>
        <w:t xml:space="preserve">. - </w:t>
      </w:r>
      <w:r w:rsidR="00E437C9">
        <w:rPr>
          <w:spacing w:val="-4"/>
          <w:sz w:val="28"/>
          <w:szCs w:val="28"/>
          <w:shd w:val="clear" w:color="auto" w:fill="FFFFFF"/>
          <w:lang w:val="en-US"/>
        </w:rPr>
        <w:t>D</w:t>
      </w:r>
      <w:r w:rsidR="00E437C9" w:rsidRPr="007F37C5">
        <w:rPr>
          <w:spacing w:val="-4"/>
          <w:sz w:val="28"/>
          <w:szCs w:val="28"/>
          <w:shd w:val="clear" w:color="auto" w:fill="FFFFFF"/>
        </w:rPr>
        <w:t>OI : http://dx.do</w:t>
      </w:r>
      <w:r w:rsidR="00E437C9">
        <w:rPr>
          <w:spacing w:val="-4"/>
          <w:sz w:val="28"/>
          <w:szCs w:val="28"/>
          <w:shd w:val="clear" w:color="auto" w:fill="FFFFFF"/>
        </w:rPr>
        <w:t>i.org/10.18821/1728-2802</w:t>
      </w:r>
      <w:r w:rsidR="004B1D88">
        <w:rPr>
          <w:spacing w:val="-4"/>
          <w:sz w:val="28"/>
          <w:szCs w:val="28"/>
          <w:shd w:val="clear" w:color="auto" w:fill="FFFFFF"/>
        </w:rPr>
        <w:t>.</w:t>
      </w:r>
      <w:r w:rsidR="00E437C9">
        <w:rPr>
          <w:spacing w:val="-4"/>
          <w:sz w:val="28"/>
          <w:szCs w:val="28"/>
          <w:shd w:val="clear" w:color="auto" w:fill="FFFFFF"/>
        </w:rPr>
        <w:t xml:space="preserve"> – Текст : непосредственный</w:t>
      </w:r>
      <w:r w:rsidRPr="00F52145">
        <w:rPr>
          <w:spacing w:val="-4"/>
          <w:sz w:val="28"/>
          <w:szCs w:val="28"/>
          <w:shd w:val="clear" w:color="auto" w:fill="FFFFFF"/>
        </w:rPr>
        <w:t xml:space="preserve"> // Российский стоматологический журнал. – 2017. – Т. 21, № 5. – С. 241–244</w:t>
      </w:r>
      <w:r w:rsidR="007F37C5">
        <w:rPr>
          <w:spacing w:val="-4"/>
          <w:sz w:val="28"/>
          <w:szCs w:val="28"/>
          <w:shd w:val="clear" w:color="auto" w:fill="FFFFFF"/>
        </w:rPr>
        <w:t>.</w:t>
      </w:r>
    </w:p>
    <w:p w:rsidR="00286780"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Нургазизова, А. К. Происхождение, развитие и современная трактовка понятий «Коморбидность» и «Полиморбидность» / А. К. Нургазизова</w:t>
      </w:r>
      <w:r w:rsidR="004B1D88">
        <w:rPr>
          <w:sz w:val="28"/>
          <w:szCs w:val="28"/>
          <w:shd w:val="clear" w:color="auto" w:fill="FFFFFF"/>
        </w:rPr>
        <w:t>. – Текст : непосредственный</w:t>
      </w:r>
      <w:r w:rsidRPr="00F52145">
        <w:rPr>
          <w:sz w:val="28"/>
          <w:szCs w:val="28"/>
          <w:shd w:val="clear" w:color="auto" w:fill="FFFFFF"/>
        </w:rPr>
        <w:t xml:space="preserve"> // Казанский медицинский журнал. – 2014. – Т. 95, № 2. – С. 292–296.</w:t>
      </w:r>
    </w:p>
    <w:p w:rsidR="00286780"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DD1518">
        <w:rPr>
          <w:sz w:val="28"/>
          <w:szCs w:val="28"/>
          <w:shd w:val="clear" w:color="auto" w:fill="FFFFFF"/>
        </w:rPr>
        <w:t>Обухова, Т. В. Тотальная внутривенная анестезия на основе кетамина у экстренных хирургических больных с сопутствующей артериальной гипертензией : дис. ... канд. мед. наук : 14.00.37 / Т. В. Обухова. – Воронеж, 2004. – 143 с.</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DD1518"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DD1518">
        <w:rPr>
          <w:sz w:val="28"/>
          <w:szCs w:val="28"/>
          <w:shd w:val="clear" w:color="auto" w:fill="FFFFFF"/>
        </w:rPr>
        <w:t>Овчаренко, В. В. Патогенез расстройств лимфообращения при одонтогенной инфекции и патогенетические принципы антибиотикотерапии: Экспериментальное исследование : автореф. дис. ... канд. мед. наук : 14.00.16 / В. В. Овчаренко. – Санкт-Петербург, 2004. – 20 с.</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Оганесян, А. А. Алгоритмы диагностики анаэробной инфекции у больных с гнойными хирургическими заболеваниями лица и шеи / А. А. Оганесян, В. Ф. Куликовский</w:t>
      </w:r>
      <w:r w:rsidR="004B1D88">
        <w:rPr>
          <w:sz w:val="28"/>
          <w:szCs w:val="28"/>
          <w:shd w:val="clear" w:color="auto" w:fill="FFFFFF"/>
        </w:rPr>
        <w:t>. – Текст : непосредственный</w:t>
      </w:r>
      <w:r w:rsidRPr="00F52145">
        <w:rPr>
          <w:sz w:val="28"/>
          <w:szCs w:val="28"/>
          <w:shd w:val="clear" w:color="auto" w:fill="FFFFFF"/>
        </w:rPr>
        <w:t xml:space="preserve"> // Научные ведомости БелГУ. Серия Медицина. Фармация. – 2011. – Вып. 14, № 10 (105). – С. 108–111.</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Оганесян, А. А. Диагностика и лечение анаэробной неклостридиальной хирургической инфекции мягких тканей челюстно-лицевой области и шеи / А. А. Оганесян, Б. В. Трифонов</w:t>
      </w:r>
      <w:r w:rsidR="004B1D88">
        <w:rPr>
          <w:sz w:val="28"/>
          <w:szCs w:val="28"/>
          <w:shd w:val="clear" w:color="auto" w:fill="FFFFFF"/>
        </w:rPr>
        <w:t>. – Текст : непосредственный</w:t>
      </w:r>
      <w:r w:rsidRPr="00F52145">
        <w:rPr>
          <w:sz w:val="28"/>
          <w:szCs w:val="28"/>
          <w:shd w:val="clear" w:color="auto" w:fill="FFFFFF"/>
        </w:rPr>
        <w:t xml:space="preserve"> // Институт стоматологии. – 2010. – № 1 (46). – С. 42–43.</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Оганесян, А. А. Использование радиоскальпеля в лечении анаэробной неклостридиальной инфекции мягких тканей челюстно-лицевой области и шеи / А. А. Оганесян</w:t>
      </w:r>
      <w:r w:rsidR="004B1D88">
        <w:rPr>
          <w:sz w:val="28"/>
          <w:szCs w:val="28"/>
          <w:shd w:val="clear" w:color="auto" w:fill="FFFFFF"/>
        </w:rPr>
        <w:t>. – Текст : непосредственный</w:t>
      </w:r>
      <w:r w:rsidRPr="00F52145">
        <w:rPr>
          <w:sz w:val="28"/>
          <w:szCs w:val="28"/>
          <w:shd w:val="clear" w:color="auto" w:fill="FFFFFF"/>
        </w:rPr>
        <w:t xml:space="preserve"> // Системный анализ и управление в биомедицинских системах. – 2009. – Т. 8, № 2. – С. 524–526.</w:t>
      </w:r>
    </w:p>
    <w:p w:rsidR="00286780"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Оганесян, А. А. Критерии радикальности хирургических вмешательств у больных с флегмонами лица и шеи / А. А. Оганесян, М. А. Губин, В. Ф. Куликов</w:t>
      </w:r>
      <w:r w:rsidRPr="00F52145">
        <w:rPr>
          <w:sz w:val="28"/>
          <w:szCs w:val="28"/>
          <w:shd w:val="clear" w:color="auto" w:fill="FFFFFF"/>
        </w:rPr>
        <w:lastRenderedPageBreak/>
        <w:t>ский</w:t>
      </w:r>
      <w:r w:rsidR="004B1D88">
        <w:rPr>
          <w:sz w:val="28"/>
          <w:szCs w:val="28"/>
          <w:shd w:val="clear" w:color="auto" w:fill="FFFFFF"/>
        </w:rPr>
        <w:t>. – Текст : непосредственный</w:t>
      </w:r>
      <w:r w:rsidRPr="00F52145">
        <w:rPr>
          <w:sz w:val="28"/>
          <w:szCs w:val="28"/>
          <w:shd w:val="clear" w:color="auto" w:fill="FFFFFF"/>
        </w:rPr>
        <w:t xml:space="preserve"> // Научные ведомости БелГУ. Серия Медицина. Фармация. – 2011. – № 16-1 (111). – С. 143–145.</w:t>
      </w:r>
    </w:p>
    <w:p w:rsidR="00286780" w:rsidRPr="00DD1518"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DD1518">
        <w:rPr>
          <w:sz w:val="28"/>
          <w:szCs w:val="28"/>
          <w:shd w:val="clear" w:color="auto" w:fill="FFFFFF"/>
        </w:rPr>
        <w:t>Одонтогенные воспалительные заболевания : руководство для врачей / под ред. Т. Г. Робустовой. – Москва : Медицина, 2006. – 661 с.</w:t>
      </w:r>
      <w:r>
        <w:rPr>
          <w:sz w:val="28"/>
          <w:szCs w:val="28"/>
          <w:shd w:val="clear" w:color="auto" w:fill="FFFFFF"/>
        </w:rPr>
        <w:t xml:space="preserve"> –</w:t>
      </w:r>
      <w:r w:rsidRPr="000D7599">
        <w:rPr>
          <w:rFonts w:ascii="Helvetica Neue" w:hAnsi="Helvetica Neue"/>
          <w:color w:val="222222"/>
          <w:sz w:val="21"/>
          <w:szCs w:val="21"/>
          <w:shd w:val="clear" w:color="auto" w:fill="FFFFFF"/>
        </w:rPr>
        <w:t xml:space="preserve"> </w:t>
      </w:r>
      <w:r w:rsidRPr="000D7599">
        <w:rPr>
          <w:sz w:val="28"/>
          <w:szCs w:val="28"/>
          <w:shd w:val="clear" w:color="auto" w:fill="FFFFFF"/>
        </w:rPr>
        <w:t>ISBN 5-225-04837-4</w:t>
      </w:r>
      <w:r>
        <w:rPr>
          <w:sz w:val="28"/>
          <w:szCs w:val="28"/>
          <w:shd w:val="clear" w:color="auto" w:fill="FFFFFF"/>
        </w:rPr>
        <w:t xml:space="preserve">. - Текст </w:t>
      </w:r>
      <w:r>
        <w:rPr>
          <w:sz w:val="28"/>
          <w:szCs w:val="28"/>
          <w:shd w:val="clear" w:color="auto" w:fill="FFFFFF"/>
          <w:lang w:val="en-US"/>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Ольшевский, В. А. Вакуумное дренирование и местная оксигенация при лечении больных с абсцессами и флегмонами челюстно-лицевой области / В. А. Ольшевский</w:t>
      </w:r>
      <w:r w:rsidR="004B1D88">
        <w:rPr>
          <w:sz w:val="28"/>
          <w:szCs w:val="28"/>
          <w:shd w:val="clear" w:color="auto" w:fill="FFFFFF"/>
        </w:rPr>
        <w:t>. – Текст : непосредственный</w:t>
      </w:r>
      <w:r w:rsidRPr="00F52145">
        <w:rPr>
          <w:sz w:val="28"/>
          <w:szCs w:val="28"/>
          <w:shd w:val="clear" w:color="auto" w:fill="FFFFFF"/>
        </w:rPr>
        <w:t xml:space="preserve"> // Стоматология. – 1983. – № 2. – С. 43–45.</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Органосберегающие операции вкомплексом лечении синдрома / Г. А. Бондарев, С. Р. Истомин, К. В. Кононенко [и др.]</w:t>
      </w:r>
      <w:r w:rsidR="004B1D88" w:rsidRPr="00F52145">
        <w:rPr>
          <w:sz w:val="28"/>
          <w:szCs w:val="28"/>
          <w:shd w:val="clear" w:color="auto" w:fill="FFFFFF"/>
        </w:rPr>
        <w:t>.</w:t>
      </w:r>
      <w:r w:rsidR="004B1D88" w:rsidRPr="004B1D88">
        <w:rPr>
          <w:sz w:val="28"/>
          <w:szCs w:val="28"/>
          <w:shd w:val="clear" w:color="auto" w:fill="FFFFFF"/>
        </w:rPr>
        <w:t xml:space="preserve"> – </w:t>
      </w:r>
      <w:r w:rsidR="004B1D88">
        <w:rPr>
          <w:sz w:val="28"/>
          <w:szCs w:val="28"/>
          <w:shd w:val="clear" w:color="auto" w:fill="FFFFFF"/>
        </w:rPr>
        <w:t>Текст : непосредственный</w:t>
      </w:r>
      <w:r w:rsidRPr="00F52145">
        <w:rPr>
          <w:sz w:val="28"/>
          <w:szCs w:val="28"/>
          <w:shd w:val="clear" w:color="auto" w:fill="FFFFFF"/>
        </w:rPr>
        <w:t xml:space="preserve"> // Актуальные вопросы медицинской науки и фармации : сборник научных трудов, посвященных 65-летию КГМУ. – Курск, 2000. – С. 172–173</w:t>
      </w:r>
      <w:r w:rsidR="007F37C5">
        <w:rPr>
          <w:sz w:val="28"/>
          <w:szCs w:val="28"/>
          <w:shd w:val="clear" w:color="auto" w:fill="FFFFFF"/>
        </w:rPr>
        <w:t>.</w:t>
      </w:r>
    </w:p>
    <w:p w:rsidR="00286780" w:rsidRPr="00F52145" w:rsidRDefault="00286780" w:rsidP="007F37C5">
      <w:pPr>
        <w:numPr>
          <w:ilvl w:val="0"/>
          <w:numId w:val="10"/>
        </w:numPr>
        <w:shd w:val="clear" w:color="auto" w:fill="FFFFFF"/>
        <w:spacing w:line="360" w:lineRule="auto"/>
        <w:ind w:left="0" w:firstLine="709"/>
        <w:jc w:val="both"/>
        <w:rPr>
          <w:sz w:val="28"/>
          <w:szCs w:val="28"/>
          <w:shd w:val="clear" w:color="auto" w:fill="FFFFFF"/>
        </w:rPr>
      </w:pPr>
      <w:r w:rsidRPr="00F52145">
        <w:rPr>
          <w:sz w:val="28"/>
          <w:szCs w:val="28"/>
          <w:shd w:val="clear" w:color="auto" w:fill="FFFFFF"/>
        </w:rPr>
        <w:t>Основные принципы изменения образа жизни у больных с коморбидностью ХНИЗ / М.Н.Мамедов, Е. Ю. Зволинская, Э. Б. Ахмедова, Р. Н. Шепель. – Москва, 2018. – 126 с.</w:t>
      </w:r>
      <w:r>
        <w:rPr>
          <w:sz w:val="28"/>
          <w:szCs w:val="28"/>
          <w:shd w:val="clear" w:color="auto" w:fill="FFFFFF"/>
        </w:rPr>
        <w:t xml:space="preserve"> – </w:t>
      </w:r>
      <w:r w:rsidR="007F37C5" w:rsidRPr="007F37C5">
        <w:rPr>
          <w:sz w:val="28"/>
          <w:szCs w:val="28"/>
          <w:shd w:val="clear" w:color="auto" w:fill="FFFFFF"/>
        </w:rPr>
        <w:t>DOI: 10.17116/profmed2018rekcomorbidity</w:t>
      </w:r>
      <w:r w:rsidR="004B1D88">
        <w:rPr>
          <w:sz w:val="28"/>
          <w:szCs w:val="28"/>
          <w:shd w:val="clear" w:color="auto" w:fill="FFFFFF"/>
        </w:rPr>
        <w:t>. – Текст : непосредственный</w:t>
      </w:r>
      <w:r w:rsidR="007F37C5">
        <w:rPr>
          <w:sz w:val="28"/>
          <w:szCs w:val="28"/>
          <w:shd w:val="clear" w:color="auto" w:fill="FFFFFF"/>
        </w:rPr>
        <w:t>.</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Особенности диагностики и лечения синдрома взаимного отягощения у больных с гнойно-септическими осложнениями сахарного диабета в условиях высокогорья / Ш. Ю. Юсупова, Д. А. Абдуллоев, М. Х. Набиев, У. М. Бегаков</w:t>
      </w:r>
      <w:r w:rsidR="004B1D88">
        <w:rPr>
          <w:sz w:val="28"/>
          <w:szCs w:val="28"/>
          <w:shd w:val="clear" w:color="auto" w:fill="FFFFFF"/>
        </w:rPr>
        <w:t>. – Текст : непосредственный</w:t>
      </w:r>
      <w:r w:rsidRPr="00F52145">
        <w:rPr>
          <w:sz w:val="28"/>
          <w:szCs w:val="28"/>
          <w:shd w:val="clear" w:color="auto" w:fill="FFFFFF"/>
        </w:rPr>
        <w:t xml:space="preserve"> // Вестник Авиценны. – 2014. – № 3 (60). – С. 31–35.</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Острые одонтогенные воспалительные заболевания, варианты течения различных клинических форм / К. С. Гандылян, С. М. Карпов, И. П. Романенко [и др.]</w:t>
      </w:r>
      <w:r w:rsidR="004B1D88">
        <w:rPr>
          <w:sz w:val="28"/>
          <w:szCs w:val="28"/>
          <w:shd w:val="clear" w:color="auto" w:fill="FFFFFF"/>
        </w:rPr>
        <w:t>. – Текст : непосредственный</w:t>
      </w:r>
      <w:r w:rsidRPr="00F52145">
        <w:rPr>
          <w:sz w:val="28"/>
          <w:szCs w:val="28"/>
          <w:shd w:val="clear" w:color="auto" w:fill="FFFFFF"/>
        </w:rPr>
        <w:t xml:space="preserve"> // Медицинский вестник Северного Кавказа. – 2015. – Т. 10, № 4. – С. 242–245. </w:t>
      </w:r>
    </w:p>
    <w:p w:rsidR="00286780"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Падейская, E. H. Метронидазол – антимикробный препарат для лечения бактериальных и протозойных инфекций / E. H. Падейская</w:t>
      </w:r>
      <w:r w:rsidR="004B1D88">
        <w:rPr>
          <w:sz w:val="28"/>
          <w:szCs w:val="28"/>
          <w:shd w:val="clear" w:color="auto" w:fill="FFFFFF"/>
        </w:rPr>
        <w:t>. – Текст : непосредственный</w:t>
      </w:r>
      <w:r w:rsidRPr="00F52145">
        <w:rPr>
          <w:sz w:val="28"/>
          <w:szCs w:val="28"/>
          <w:shd w:val="clear" w:color="auto" w:fill="FFFFFF"/>
        </w:rPr>
        <w:t xml:space="preserve"> // Русский медицинский журнал. – 2005. – Т. 13, № 14. – С. 909–916.</w:t>
      </w:r>
    </w:p>
    <w:p w:rsidR="00286780" w:rsidRPr="00DD1518"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DD1518">
        <w:rPr>
          <w:spacing w:val="-4"/>
          <w:sz w:val="28"/>
          <w:szCs w:val="28"/>
          <w:shd w:val="clear" w:color="auto" w:fill="FFFFFF"/>
        </w:rPr>
        <w:t>Панин, A. M. Одонтогенные воспалительные заболевания / A. M. Панин, Т. Г. Робустова // Хирургическая стоматология и челюстно-лицевая хирургия : наци</w:t>
      </w:r>
      <w:r w:rsidRPr="00DD1518">
        <w:rPr>
          <w:spacing w:val="-4"/>
          <w:sz w:val="28"/>
          <w:szCs w:val="28"/>
          <w:shd w:val="clear" w:color="auto" w:fill="FFFFFF"/>
        </w:rPr>
        <w:lastRenderedPageBreak/>
        <w:t>ональное руководство / под ред. A. A. Кулакова [и др.]. – Москва : ГЭОТАР-Медиа, 2010. – С. 292–330.</w:t>
      </w:r>
      <w:r>
        <w:rPr>
          <w:spacing w:val="-4"/>
          <w:sz w:val="28"/>
          <w:szCs w:val="28"/>
          <w:shd w:val="clear" w:color="auto" w:fill="FFFFFF"/>
        </w:rPr>
        <w:t xml:space="preserve"> - </w:t>
      </w:r>
      <w:r w:rsidRPr="000D7599">
        <w:rPr>
          <w:spacing w:val="-4"/>
          <w:sz w:val="28"/>
          <w:szCs w:val="28"/>
          <w:shd w:val="clear" w:color="auto" w:fill="FFFFFF"/>
        </w:rPr>
        <w:t>ISBN 978-5-9704-1992-2.</w:t>
      </w:r>
      <w:r>
        <w:rPr>
          <w:spacing w:val="-4"/>
          <w:sz w:val="28"/>
          <w:szCs w:val="28"/>
          <w:shd w:val="clear" w:color="auto" w:fill="FFFFFF"/>
        </w:rPr>
        <w:t xml:space="preserve"> – Текст</w:t>
      </w:r>
      <w:r w:rsidRPr="000D7599">
        <w:rPr>
          <w:spacing w:val="-4"/>
          <w:sz w:val="28"/>
          <w:szCs w:val="28"/>
          <w:shd w:val="clear" w:color="auto" w:fill="FFFFFF"/>
        </w:rPr>
        <w:t xml:space="preserve">: </w:t>
      </w:r>
      <w:r>
        <w:rPr>
          <w:spacing w:val="-4"/>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Патент 2351324 С2 Российская Федерация, МПК A61K31/341 A61P11/00. Средство для предоперационной подготовки больного с хроническим обструктивным заболеванием легких (ХОБЛ) и способ предоперационной подготовки больного с ХОБЛ / Шидловский А.С., Мурадов А.Б. ; заявитель и патентообладатель Нижегородская государственная медицинская академия. – № 2007114412/15 : заявл. 16.04.2007 : опубл. 27.10.2008.</w:t>
      </w:r>
      <w:r w:rsidR="007F37C5">
        <w:rPr>
          <w:sz w:val="28"/>
          <w:szCs w:val="28"/>
          <w:shd w:val="clear" w:color="auto" w:fill="FFFFFF"/>
        </w:rPr>
        <w:t xml:space="preserve"> –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Патент 2705105 Российская Федерация, МПК А 61 В 17/00. Способ оперативного лечения одонтогенных флегмон дна полости рта с частичным рассечением подъязычно-подчелюстного мешка / Громов А. Л., Губин М. А., Иванов С. В. [и др.] ; заявитель и патентообладатель: Курский государственный медицинский университет. – № 2019118924 : заявл. 17.06.2019 : опубл. 05.11.2019, Бюл. № 31.</w:t>
      </w:r>
      <w:r w:rsidR="007F37C5">
        <w:rPr>
          <w:sz w:val="28"/>
          <w:szCs w:val="28"/>
          <w:shd w:val="clear" w:color="auto" w:fill="FFFFFF"/>
        </w:rPr>
        <w:t xml:space="preserve"> –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Патологическая анатомия : национальное руководство / под ред. М. А. Пальцева [и др.]. – Москва : ГЭОТАР-Медиа, 2011. – 1264 с.</w:t>
      </w:r>
      <w:r>
        <w:rPr>
          <w:sz w:val="28"/>
          <w:szCs w:val="28"/>
          <w:shd w:val="clear" w:color="auto" w:fill="FFFFFF"/>
        </w:rPr>
        <w:t xml:space="preserve"> –</w:t>
      </w:r>
      <w:r w:rsidRPr="000D7599">
        <w:rPr>
          <w:rFonts w:ascii="Helvetica Neue" w:hAnsi="Helvetica Neue"/>
          <w:color w:val="222222"/>
          <w:sz w:val="21"/>
          <w:szCs w:val="21"/>
          <w:shd w:val="clear" w:color="auto" w:fill="FFFFFF"/>
        </w:rPr>
        <w:t xml:space="preserve"> </w:t>
      </w:r>
      <w:r w:rsidRPr="000D7599">
        <w:rPr>
          <w:sz w:val="28"/>
          <w:szCs w:val="28"/>
          <w:shd w:val="clear" w:color="auto" w:fill="FFFFFF"/>
        </w:rPr>
        <w:t>ISBN 978-5-9704-1992-2</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Перепелицын, В. Н. Ранняя диагностика и комплексное лечение острого гнойного медиастинита / В. Н. Перепелицын, М. А. Огородников</w:t>
      </w:r>
      <w:r w:rsidR="004B1D88" w:rsidRPr="004B1D88">
        <w:rPr>
          <w:sz w:val="28"/>
          <w:szCs w:val="28"/>
          <w:shd w:val="clear" w:color="auto" w:fill="FFFFFF"/>
        </w:rPr>
        <w:t>. – Текст : непосредственный</w:t>
      </w:r>
      <w:r w:rsidRPr="004B1D88">
        <w:rPr>
          <w:sz w:val="28"/>
          <w:szCs w:val="28"/>
          <w:shd w:val="clear" w:color="auto" w:fill="FFFFFF"/>
        </w:rPr>
        <w:t xml:space="preserve"> </w:t>
      </w:r>
      <w:r w:rsidRPr="00F52145">
        <w:rPr>
          <w:sz w:val="28"/>
          <w:szCs w:val="28"/>
          <w:shd w:val="clear" w:color="auto" w:fill="FFFFFF"/>
        </w:rPr>
        <w:t>// Материалы 3-го конгресса ассоциации хирургов. – Москва, 2007. – С. 121–122.</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Периоперационное ведение больных с артериальной гипертензией. Клинические рекомендации / И. Б. Заболотских, К. М. Лебединский, Е. В. Григорьев [и др.]</w:t>
      </w:r>
      <w:r w:rsidR="004B1D88">
        <w:rPr>
          <w:sz w:val="28"/>
          <w:szCs w:val="28"/>
          <w:shd w:val="clear" w:color="auto" w:fill="FFFFFF"/>
        </w:rPr>
        <w:t>. – Текст : непосредственный</w:t>
      </w:r>
      <w:r w:rsidRPr="00F52145">
        <w:rPr>
          <w:sz w:val="28"/>
          <w:szCs w:val="28"/>
          <w:shd w:val="clear" w:color="auto" w:fill="FFFFFF"/>
        </w:rPr>
        <w:t xml:space="preserve"> // Анестезиология и реаниматология. – 2015. – Т. 60, № 2. – С. 76–79.</w:t>
      </w:r>
    </w:p>
    <w:p w:rsidR="00286780" w:rsidRPr="00DD1518"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DD1518">
        <w:rPr>
          <w:sz w:val="28"/>
          <w:szCs w:val="28"/>
          <w:shd w:val="clear" w:color="auto" w:fill="FFFFFF"/>
        </w:rPr>
        <w:t>Периоперационное ведение больных с сопутствующими заболеваниями / под ред. И. Б. Заболотских. – Москва : Практическая медицина, 2018. – 848 с.</w:t>
      </w:r>
      <w:r>
        <w:rPr>
          <w:sz w:val="28"/>
          <w:szCs w:val="28"/>
          <w:shd w:val="clear" w:color="auto" w:fill="FFFFFF"/>
        </w:rPr>
        <w:t xml:space="preserve"> </w:t>
      </w:r>
      <w:r w:rsidRPr="00DD1518">
        <w:rPr>
          <w:sz w:val="28"/>
          <w:szCs w:val="28"/>
          <w:shd w:val="clear" w:color="auto" w:fill="FFFFFF"/>
        </w:rPr>
        <w:t>–</w:t>
      </w:r>
      <w:r w:rsidRPr="00A52189">
        <w:rPr>
          <w:sz w:val="28"/>
          <w:szCs w:val="28"/>
          <w:shd w:val="clear" w:color="auto" w:fill="FFFFFF"/>
        </w:rPr>
        <w:t xml:space="preserve"> </w:t>
      </w:r>
      <w:r>
        <w:rPr>
          <w:sz w:val="28"/>
          <w:szCs w:val="28"/>
          <w:shd w:val="clear" w:color="auto" w:fill="FFFFFF"/>
          <w:lang w:val="en-US"/>
        </w:rPr>
        <w:t>I</w:t>
      </w:r>
      <w:r w:rsidRPr="000D7599">
        <w:rPr>
          <w:sz w:val="28"/>
          <w:szCs w:val="28"/>
          <w:shd w:val="clear" w:color="auto" w:fill="FFFFFF"/>
        </w:rPr>
        <w:t>SBN 978-5-98811-523-6</w:t>
      </w:r>
      <w:r>
        <w:rPr>
          <w:sz w:val="28"/>
          <w:szCs w:val="28"/>
          <w:shd w:val="clear" w:color="auto" w:fill="FFFFFF"/>
        </w:rPr>
        <w:t xml:space="preserve">. - </w:t>
      </w:r>
      <w:r w:rsidRPr="00DD1518">
        <w:rPr>
          <w:sz w:val="28"/>
          <w:szCs w:val="28"/>
          <w:shd w:val="clear" w:color="auto" w:fill="FFFFFF"/>
        </w:rPr>
        <w:t>Текст : непосредственный.</w:t>
      </w:r>
    </w:p>
    <w:p w:rsidR="00286780" w:rsidRPr="00DD1518" w:rsidRDefault="00286780" w:rsidP="00517BCC">
      <w:pPr>
        <w:numPr>
          <w:ilvl w:val="0"/>
          <w:numId w:val="10"/>
        </w:numPr>
        <w:shd w:val="clear" w:color="auto" w:fill="FFFFFF"/>
        <w:spacing w:line="360" w:lineRule="auto"/>
        <w:ind w:left="0" w:firstLine="709"/>
        <w:jc w:val="both"/>
        <w:rPr>
          <w:sz w:val="28"/>
          <w:szCs w:val="28"/>
          <w:shd w:val="clear" w:color="auto" w:fill="FFFFFF"/>
        </w:rPr>
      </w:pPr>
      <w:r w:rsidRPr="00DD1518">
        <w:rPr>
          <w:sz w:val="28"/>
          <w:szCs w:val="28"/>
          <w:shd w:val="clear" w:color="auto" w:fill="FFFFFF"/>
        </w:rPr>
        <w:t>Периоперационное ведение пациентов с дыхательной недостаточностью / И. Б. Заболотских, Н. В. Трембач, А. И. Грицан [и др.]</w:t>
      </w:r>
      <w:r w:rsidR="004B1D88" w:rsidRPr="00DD1518">
        <w:rPr>
          <w:sz w:val="28"/>
          <w:szCs w:val="28"/>
          <w:shd w:val="clear" w:color="auto" w:fill="FFFFFF"/>
        </w:rPr>
        <w:t>.</w:t>
      </w:r>
      <w:r w:rsidR="004B1D88">
        <w:rPr>
          <w:sz w:val="28"/>
          <w:szCs w:val="28"/>
          <w:shd w:val="clear" w:color="auto" w:fill="FFFFFF"/>
        </w:rPr>
        <w:t xml:space="preserve"> - </w:t>
      </w:r>
      <w:r w:rsidR="004B1D88" w:rsidRPr="00517BCC">
        <w:rPr>
          <w:sz w:val="28"/>
          <w:szCs w:val="28"/>
          <w:shd w:val="clear" w:color="auto" w:fill="FFFFFF"/>
        </w:rPr>
        <w:t xml:space="preserve">DOI </w:t>
      </w:r>
      <w:r w:rsidR="004B1D88" w:rsidRPr="00517BCC">
        <w:rPr>
          <w:sz w:val="28"/>
          <w:szCs w:val="28"/>
          <w:shd w:val="clear" w:color="auto" w:fill="FFFFFF"/>
        </w:rPr>
        <w:lastRenderedPageBreak/>
        <w:t>10.17116/anaesthesiology201801-021102</w:t>
      </w:r>
      <w:r w:rsidR="004B1D88">
        <w:rPr>
          <w:sz w:val="28"/>
          <w:szCs w:val="28"/>
          <w:shd w:val="clear" w:color="auto" w:fill="FFFFFF"/>
        </w:rPr>
        <w:t>. – Текст : непосредственный</w:t>
      </w:r>
      <w:r w:rsidRPr="00DD1518">
        <w:rPr>
          <w:sz w:val="28"/>
          <w:szCs w:val="28"/>
          <w:shd w:val="clear" w:color="auto" w:fill="FFFFFF"/>
        </w:rPr>
        <w:t xml:space="preserve"> // Анестезиология и реаниматология. – 2018. – № 1-2. – С. 102–116</w:t>
      </w:r>
      <w:r w:rsidR="00517BCC">
        <w:rPr>
          <w:sz w:val="28"/>
          <w:szCs w:val="28"/>
          <w:shd w:val="clear" w:color="auto" w:fill="FFFFFF"/>
        </w:rPr>
        <w:t>.</w:t>
      </w:r>
    </w:p>
    <w:p w:rsidR="00286780" w:rsidRPr="00F52145" w:rsidRDefault="00286780" w:rsidP="00517BCC">
      <w:pPr>
        <w:numPr>
          <w:ilvl w:val="0"/>
          <w:numId w:val="10"/>
        </w:numPr>
        <w:shd w:val="clear" w:color="auto" w:fill="FFFFFF"/>
        <w:spacing w:line="360" w:lineRule="auto"/>
        <w:ind w:left="0" w:firstLine="709"/>
        <w:jc w:val="both"/>
        <w:rPr>
          <w:sz w:val="28"/>
          <w:szCs w:val="28"/>
          <w:shd w:val="clear" w:color="auto" w:fill="FFFFFF"/>
        </w:rPr>
      </w:pPr>
      <w:r w:rsidRPr="00F52145">
        <w:rPr>
          <w:sz w:val="28"/>
          <w:szCs w:val="28"/>
          <w:shd w:val="clear" w:color="auto" w:fill="FFFFFF"/>
        </w:rPr>
        <w:t>Периоперационное ведение пациентов с почечной недостаточностью / И. Б. Заболотских, В. С. Афончиков, А. Ж. Бялиева [и др.]</w:t>
      </w:r>
      <w:r w:rsidR="004B1D88" w:rsidRPr="00F52145">
        <w:rPr>
          <w:sz w:val="28"/>
          <w:szCs w:val="28"/>
          <w:shd w:val="clear" w:color="auto" w:fill="FFFFFF"/>
        </w:rPr>
        <w:t xml:space="preserve">. </w:t>
      </w:r>
      <w:r w:rsidR="004B1D88">
        <w:rPr>
          <w:sz w:val="28"/>
          <w:szCs w:val="28"/>
          <w:shd w:val="clear" w:color="auto" w:fill="FFFFFF"/>
        </w:rPr>
        <w:t xml:space="preserve">- </w:t>
      </w:r>
      <w:r w:rsidR="004B1D88" w:rsidRPr="00517BCC">
        <w:rPr>
          <w:sz w:val="28"/>
          <w:szCs w:val="28"/>
          <w:shd w:val="clear" w:color="auto" w:fill="FFFFFF"/>
        </w:rPr>
        <w:t>DOI 10.17116/anaesthesiology201801-021117</w:t>
      </w:r>
      <w:r w:rsidR="004B1D88">
        <w:rPr>
          <w:sz w:val="28"/>
          <w:szCs w:val="28"/>
          <w:shd w:val="clear" w:color="auto" w:fill="FFFFFF"/>
        </w:rPr>
        <w:t>. – Текст : непосредственный</w:t>
      </w:r>
      <w:r w:rsidRPr="00F52145">
        <w:rPr>
          <w:sz w:val="28"/>
          <w:szCs w:val="28"/>
          <w:shd w:val="clear" w:color="auto" w:fill="FFFFFF"/>
        </w:rPr>
        <w:t xml:space="preserve"> // Анестезиология и реаниматология. – 2018. – № 1-2 – С. 117–132</w:t>
      </w:r>
      <w:r w:rsidR="00517BCC">
        <w:rPr>
          <w:sz w:val="28"/>
          <w:szCs w:val="28"/>
          <w:shd w:val="clear" w:color="auto" w:fill="FFFFFF"/>
        </w:rPr>
        <w:t>.</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Пинелис, Ю. И. Одонтогенные воспалительные заболевания у лиц пожилого и старческого возраста / Ю. И. Пинелис, И. С. Пинелис</w:t>
      </w:r>
      <w:r w:rsidR="004B1D88" w:rsidRPr="00F52145">
        <w:rPr>
          <w:sz w:val="28"/>
          <w:szCs w:val="28"/>
          <w:shd w:val="clear" w:color="auto" w:fill="FFFFFF"/>
        </w:rPr>
        <w:t>.</w:t>
      </w:r>
      <w:r w:rsidR="004B1D88">
        <w:rPr>
          <w:sz w:val="28"/>
          <w:szCs w:val="28"/>
          <w:shd w:val="clear" w:color="auto" w:fill="FFFFFF"/>
        </w:rPr>
        <w:t xml:space="preserve"> – Текст : непосредственный</w:t>
      </w:r>
      <w:r w:rsidRPr="00F52145">
        <w:rPr>
          <w:sz w:val="28"/>
          <w:szCs w:val="28"/>
          <w:shd w:val="clear" w:color="auto" w:fill="FFFFFF"/>
        </w:rPr>
        <w:t xml:space="preserve"> // Образование, наука и практика в стоматологии : сборник трудов 2-й Всероссийской научно-практической конференции. – Москва, 2005. – С. 147–149</w:t>
      </w:r>
      <w:r w:rsidR="00517BCC">
        <w:rPr>
          <w:sz w:val="28"/>
          <w:szCs w:val="28"/>
          <w:shd w:val="clear" w:color="auto" w:fill="FFFFFF"/>
        </w:rPr>
        <w:t>.</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Писарик, С. Ф. Резистентность микроорганизмов и антибактериальная терапия гнойно-воспалительных процессов челюстно-лицевой области и шеи / С. Ф. Писарик, Л. А. Лунева, А. А. Бондаровец</w:t>
      </w:r>
      <w:r w:rsidR="004B1D88" w:rsidRPr="00F52145">
        <w:rPr>
          <w:sz w:val="28"/>
          <w:szCs w:val="28"/>
          <w:shd w:val="clear" w:color="auto" w:fill="FFFFFF"/>
        </w:rPr>
        <w:t>.</w:t>
      </w:r>
      <w:r w:rsidR="004B1D88">
        <w:rPr>
          <w:sz w:val="28"/>
          <w:szCs w:val="28"/>
          <w:shd w:val="clear" w:color="auto" w:fill="FFFFFF"/>
        </w:rPr>
        <w:t xml:space="preserve"> – Текст : непосредственный</w:t>
      </w:r>
      <w:r w:rsidRPr="00F52145">
        <w:rPr>
          <w:sz w:val="28"/>
          <w:szCs w:val="28"/>
          <w:shd w:val="clear" w:color="auto" w:fill="FFFFFF"/>
        </w:rPr>
        <w:t xml:space="preserve"> // </w:t>
      </w:r>
      <w:r w:rsidRPr="00F52145">
        <w:rPr>
          <w:sz w:val="28"/>
          <w:szCs w:val="28"/>
        </w:rPr>
        <w:t>Инновации в стоматологии :</w:t>
      </w:r>
      <w:r w:rsidRPr="00F52145">
        <w:rPr>
          <w:sz w:val="28"/>
          <w:szCs w:val="28"/>
          <w:shd w:val="clear" w:color="auto" w:fill="FFFFFF"/>
        </w:rPr>
        <w:t xml:space="preserve"> материалы VI съезда стоматологов Беларуси, г. Минск, 25–26 октября 2012 г. – Минск : Филиал №1 ОАО «Красная звезда», 2012.– С. 468–471</w:t>
      </w:r>
      <w:r w:rsidR="00517BCC">
        <w:rPr>
          <w:sz w:val="28"/>
          <w:szCs w:val="28"/>
          <w:shd w:val="clear" w:color="auto" w:fill="FFFFFF"/>
        </w:rPr>
        <w:t>.</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Повторные операции в гнойной хирургии лица и шеи : монография / М. А. Губин, Ю. М. Харитонов, Р. Н. Киков [и др.]. – Воронеж : Роза ветров, 2013. – 164 с.</w:t>
      </w:r>
      <w:r w:rsidRPr="00DD1518">
        <w:rPr>
          <w:sz w:val="28"/>
          <w:szCs w:val="28"/>
          <w:shd w:val="clear" w:color="auto" w:fill="FFFFFF"/>
        </w:rPr>
        <w:t xml:space="preserve"> –</w:t>
      </w:r>
      <w:r w:rsidRPr="00A52189">
        <w:rPr>
          <w:sz w:val="28"/>
          <w:szCs w:val="28"/>
          <w:shd w:val="clear" w:color="auto" w:fill="FFFFFF"/>
        </w:rPr>
        <w:t xml:space="preserve"> </w:t>
      </w:r>
      <w:r>
        <w:rPr>
          <w:sz w:val="28"/>
          <w:szCs w:val="28"/>
          <w:shd w:val="clear" w:color="auto" w:fill="FFFFFF"/>
        </w:rPr>
        <w:t>ISBN 978-5-9704-189</w:t>
      </w:r>
      <w:r w:rsidRPr="00A52189">
        <w:rPr>
          <w:sz w:val="28"/>
          <w:szCs w:val="28"/>
          <w:shd w:val="clear" w:color="auto" w:fill="FFFFFF"/>
        </w:rPr>
        <w:t>2-2</w:t>
      </w:r>
      <w:r>
        <w:rPr>
          <w:sz w:val="28"/>
          <w:szCs w:val="28"/>
          <w:shd w:val="clear" w:color="auto" w:fill="FFFFFF"/>
        </w:rPr>
        <w:t>. -</w:t>
      </w:r>
      <w:r w:rsidRPr="00DD1518">
        <w:rPr>
          <w:sz w:val="28"/>
          <w:szCs w:val="28"/>
          <w:shd w:val="clear" w:color="auto" w:fill="FFFFFF"/>
        </w:rPr>
        <w:t xml:space="preserve">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pacing w:val="-4"/>
          <w:sz w:val="28"/>
          <w:szCs w:val="28"/>
          <w:shd w:val="clear" w:color="auto" w:fill="FFFFFF"/>
        </w:rPr>
      </w:pPr>
      <w:r w:rsidRPr="00F52145">
        <w:rPr>
          <w:spacing w:val="-4"/>
          <w:sz w:val="28"/>
          <w:szCs w:val="28"/>
          <w:shd w:val="clear" w:color="auto" w:fill="FFFFFF"/>
        </w:rPr>
        <w:t>Пожилой хирургический больной : руководство для врачей / под ред. А. С. Бронштейна [и др.]. – Москва : ГЭОТАР-Медиа, 2014. – 272 с.</w:t>
      </w:r>
      <w:r>
        <w:rPr>
          <w:spacing w:val="-4"/>
          <w:sz w:val="28"/>
          <w:szCs w:val="28"/>
          <w:shd w:val="clear" w:color="auto" w:fill="FFFFFF"/>
        </w:rPr>
        <w:t xml:space="preserve"> </w:t>
      </w:r>
      <w:r>
        <w:rPr>
          <w:sz w:val="28"/>
          <w:szCs w:val="28"/>
          <w:shd w:val="clear" w:color="auto" w:fill="FFFFFF"/>
        </w:rPr>
        <w:t>–</w:t>
      </w:r>
      <w:r w:rsidRPr="00A52189">
        <w:rPr>
          <w:rFonts w:ascii="Helvetica Neue" w:hAnsi="Helvetica Neue"/>
          <w:color w:val="222222"/>
          <w:sz w:val="21"/>
          <w:szCs w:val="21"/>
          <w:shd w:val="clear" w:color="auto" w:fill="FFFFFF"/>
        </w:rPr>
        <w:t xml:space="preserve"> </w:t>
      </w:r>
      <w:r w:rsidRPr="00A52189">
        <w:rPr>
          <w:sz w:val="28"/>
          <w:szCs w:val="28"/>
          <w:shd w:val="clear" w:color="auto" w:fill="FFFFFF"/>
        </w:rPr>
        <w:t>ISBN 978-5-9704-3064-4</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 xml:space="preserve">Правила формулировки патологоанатомического диагноза, выбора и кодирования по МКБ-10 причин смерти. Класс II. Новообразования. Методические рекомендации № 46 / О. В. Зайратьянц, Е. Ю. Васильева, Л. М. Михалева </w:t>
      </w:r>
      <w:r w:rsidRPr="00F52145">
        <w:rPr>
          <w:spacing w:val="-4"/>
          <w:sz w:val="28"/>
          <w:szCs w:val="28"/>
          <w:shd w:val="clear" w:color="auto" w:fill="FFFFFF"/>
        </w:rPr>
        <w:t>[и др.]</w:t>
      </w:r>
      <w:r w:rsidRPr="00F52145">
        <w:rPr>
          <w:sz w:val="28"/>
          <w:szCs w:val="28"/>
          <w:shd w:val="clear" w:color="auto" w:fill="FFFFFF"/>
        </w:rPr>
        <w:t>. – Москва : Департамент здравоохранения города Москвы, 2019. – 46 с.</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lastRenderedPageBreak/>
        <w:t>Практическое руководство по анестезиологии / под ред. В. В. Лихванцева. – Москва : Медицинское информационное агентство, 1998. – 288 с.</w:t>
      </w:r>
      <w:r>
        <w:rPr>
          <w:sz w:val="28"/>
          <w:szCs w:val="28"/>
          <w:shd w:val="clear" w:color="auto" w:fill="FFFFFF"/>
        </w:rPr>
        <w:t xml:space="preserve"> –</w:t>
      </w:r>
      <w:r w:rsidRPr="00A52189">
        <w:rPr>
          <w:rFonts w:ascii="Helvetica Neue" w:hAnsi="Helvetica Neue"/>
          <w:color w:val="222222"/>
          <w:sz w:val="21"/>
          <w:szCs w:val="21"/>
          <w:shd w:val="clear" w:color="auto" w:fill="FFFFFF"/>
        </w:rPr>
        <w:t xml:space="preserve"> </w:t>
      </w:r>
      <w:r w:rsidRPr="00A52189">
        <w:rPr>
          <w:sz w:val="28"/>
          <w:szCs w:val="28"/>
          <w:shd w:val="clear" w:color="auto" w:fill="FFFFFF"/>
        </w:rPr>
        <w:t>ISBN 978-5-8948-1866-5</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DD1518" w:rsidRDefault="00286780" w:rsidP="00517BCC">
      <w:pPr>
        <w:numPr>
          <w:ilvl w:val="0"/>
          <w:numId w:val="10"/>
        </w:numPr>
        <w:shd w:val="clear" w:color="auto" w:fill="FFFFFF"/>
        <w:spacing w:line="360" w:lineRule="auto"/>
        <w:ind w:left="0" w:firstLine="709"/>
        <w:jc w:val="both"/>
        <w:rPr>
          <w:sz w:val="28"/>
          <w:szCs w:val="28"/>
          <w:shd w:val="clear" w:color="auto" w:fill="FFFFFF"/>
        </w:rPr>
      </w:pPr>
      <w:r w:rsidRPr="00DD1518">
        <w:rPr>
          <w:sz w:val="28"/>
          <w:szCs w:val="28"/>
          <w:shd w:val="clear" w:color="auto" w:fill="FFFFFF"/>
        </w:rPr>
        <w:t>Принципы проведения патоморфологических исследований в случае перинатальной смерти / Р. А. Насыров, В. Ф. Мельникова, О. Л. Красногорская [и др.]</w:t>
      </w:r>
      <w:r w:rsidR="004B1D88">
        <w:rPr>
          <w:sz w:val="28"/>
          <w:szCs w:val="28"/>
          <w:shd w:val="clear" w:color="auto" w:fill="FFFFFF"/>
        </w:rPr>
        <w:t xml:space="preserve">. - </w:t>
      </w:r>
      <w:r w:rsidR="004B1D88">
        <w:rPr>
          <w:sz w:val="28"/>
          <w:szCs w:val="28"/>
          <w:shd w:val="clear" w:color="auto" w:fill="FFFFFF"/>
          <w:lang w:val="en-US"/>
        </w:rPr>
        <w:t>D</w:t>
      </w:r>
      <w:r w:rsidR="004B1D88" w:rsidRPr="00517BCC">
        <w:rPr>
          <w:sz w:val="28"/>
          <w:szCs w:val="28"/>
          <w:shd w:val="clear" w:color="auto" w:fill="FFFFFF"/>
        </w:rPr>
        <w:t>OI: 10.17816/PED9385-105</w:t>
      </w:r>
      <w:r w:rsidR="004B1D88">
        <w:rPr>
          <w:sz w:val="28"/>
          <w:szCs w:val="28"/>
          <w:shd w:val="clear" w:color="auto" w:fill="FFFFFF"/>
        </w:rPr>
        <w:t>. – Текст : непосредственный</w:t>
      </w:r>
      <w:r w:rsidRPr="00DD1518">
        <w:rPr>
          <w:sz w:val="28"/>
          <w:szCs w:val="28"/>
          <w:shd w:val="clear" w:color="auto" w:fill="FFFFFF"/>
        </w:rPr>
        <w:t xml:space="preserve"> // Педиатр. – </w:t>
      </w:r>
      <w:r>
        <w:rPr>
          <w:sz w:val="28"/>
          <w:szCs w:val="28"/>
          <w:shd w:val="clear" w:color="auto" w:fill="FFFFFF"/>
        </w:rPr>
        <w:t>2018. – Т. 9, № 3. – С. 85–105</w:t>
      </w:r>
      <w:r w:rsidR="00517BCC">
        <w:rPr>
          <w:sz w:val="28"/>
          <w:szCs w:val="28"/>
          <w:shd w:val="clear" w:color="auto" w:fill="FFFFFF"/>
        </w:rPr>
        <w:t>.</w:t>
      </w:r>
    </w:p>
    <w:p w:rsidR="00286780" w:rsidRPr="00F52145" w:rsidRDefault="00286780" w:rsidP="00517BCC">
      <w:pPr>
        <w:numPr>
          <w:ilvl w:val="0"/>
          <w:numId w:val="10"/>
        </w:numPr>
        <w:shd w:val="clear" w:color="auto" w:fill="FFFFFF"/>
        <w:spacing w:line="360" w:lineRule="auto"/>
        <w:ind w:left="0" w:firstLine="709"/>
        <w:jc w:val="both"/>
        <w:rPr>
          <w:sz w:val="28"/>
          <w:szCs w:val="28"/>
          <w:shd w:val="clear" w:color="auto" w:fill="FFFFFF"/>
        </w:rPr>
      </w:pPr>
      <w:r w:rsidRPr="00F52145">
        <w:rPr>
          <w:sz w:val="28"/>
          <w:szCs w:val="28"/>
          <w:shd w:val="clear" w:color="auto" w:fill="FFFFFF"/>
        </w:rPr>
        <w:t>Программа СКАТ (Стратегия контроля антимикробной терапии) при оказании стационарной медицинской помощи : Российские клинические рекомендации / С. В. Яковлев, Н. И. Брико, С. В. Сидоренко, Д. Н. Проценко. – Москва : Перо, 2018. – 156 с.</w:t>
      </w:r>
      <w:r>
        <w:rPr>
          <w:sz w:val="28"/>
          <w:szCs w:val="28"/>
          <w:shd w:val="clear" w:color="auto" w:fill="FFFFFF"/>
        </w:rPr>
        <w:t xml:space="preserve"> –</w:t>
      </w:r>
      <w:r w:rsidRPr="00A52189">
        <w:rPr>
          <w:rFonts w:ascii="yandex-sans" w:hAnsi="yandex-sans"/>
          <w:color w:val="000000"/>
          <w:sz w:val="23"/>
          <w:szCs w:val="23"/>
          <w:shd w:val="clear" w:color="auto" w:fill="FFFFFF"/>
        </w:rPr>
        <w:t xml:space="preserve"> </w:t>
      </w:r>
      <w:r w:rsidRPr="00A52189">
        <w:rPr>
          <w:sz w:val="28"/>
          <w:szCs w:val="28"/>
          <w:shd w:val="clear" w:color="auto" w:fill="FFFFFF"/>
        </w:rPr>
        <w:t>ISBN 978-5-00122-157-9</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Профилактика инфекций в области хирургического вмешательства. Клинические рекомендации / Н. И. Брико, С. А. Божкова, Е. Б. Брусина [и др.]. – Нижний Новгород : Ремедиум Приволжье, 2018. – 72 с.</w:t>
      </w:r>
      <w:r>
        <w:rPr>
          <w:sz w:val="28"/>
          <w:szCs w:val="28"/>
          <w:shd w:val="clear" w:color="auto" w:fill="FFFFFF"/>
        </w:rPr>
        <w:t xml:space="preserve"> –</w:t>
      </w:r>
      <w:r w:rsidRPr="00A52189">
        <w:rPr>
          <w:rFonts w:ascii="yandex-sans" w:hAnsi="yandex-sans"/>
          <w:color w:val="000000"/>
          <w:sz w:val="23"/>
          <w:szCs w:val="23"/>
          <w:shd w:val="clear" w:color="auto" w:fill="FFFFFF"/>
        </w:rPr>
        <w:t xml:space="preserve"> </w:t>
      </w:r>
      <w:r w:rsidRPr="00A52189">
        <w:rPr>
          <w:sz w:val="28"/>
          <w:szCs w:val="28"/>
          <w:shd w:val="clear" w:color="auto" w:fill="FFFFFF"/>
        </w:rPr>
        <w:t>ISBN 978-5-906125-53-8</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Прощаев, К. И. Научное обоснование критериев результативности анестезиологического обеспечения и путей его оптимизации : автореф. дис. ... канд. мед. наук : 14.00.33, 14.00.37 / К. И. Прощаев. – Минск, 2000. – 23 с.</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Прощаев, К. И. Стратегия и тактика подготовки пациентов с повышенным артериальным давлением к хирургическим вмешательствам / К. И. Прощаев, А. Н. Ильницкий</w:t>
      </w:r>
      <w:r w:rsidR="004B1D88">
        <w:rPr>
          <w:sz w:val="28"/>
          <w:szCs w:val="28"/>
          <w:shd w:val="clear" w:color="auto" w:fill="FFFFFF"/>
        </w:rPr>
        <w:t>. – Текст : непосредственный</w:t>
      </w:r>
      <w:r w:rsidRPr="00F52145">
        <w:rPr>
          <w:sz w:val="28"/>
          <w:szCs w:val="28"/>
          <w:shd w:val="clear" w:color="auto" w:fill="FFFFFF"/>
        </w:rPr>
        <w:t xml:space="preserve"> // Русский медицинский журнал. – 2004. – Т. 12, № 15. – С. 949–952.</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Пятаков, С. Н. Тактические подходы и хирургические доступы при лечении больных с обширными флегмонами шеи в сочетании с трахеостомой : автореф. дис.... канд. мед. наук : 14.00.27 / С. Н. Пятаков. – Краснодар, 2006. – 21 с.</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Радушкевич, В. Л. Реанимация и интенсивная терапия для практикующего врача / В. Л. Радушкевич, Б. И. Барташевич. – Москва : Медицинское ин</w:t>
      </w:r>
      <w:r w:rsidRPr="00F52145">
        <w:rPr>
          <w:sz w:val="28"/>
          <w:szCs w:val="28"/>
          <w:shd w:val="clear" w:color="auto" w:fill="FFFFFF"/>
        </w:rPr>
        <w:lastRenderedPageBreak/>
        <w:t>формационное агентство, 2011. – 576 с.</w:t>
      </w:r>
      <w:r>
        <w:rPr>
          <w:sz w:val="28"/>
          <w:szCs w:val="28"/>
          <w:shd w:val="clear" w:color="auto" w:fill="FFFFFF"/>
        </w:rPr>
        <w:t xml:space="preserve"> –</w:t>
      </w:r>
      <w:r w:rsidRPr="00A52189">
        <w:rPr>
          <w:rFonts w:ascii="Helvetica Neue" w:hAnsi="Helvetica Neue"/>
          <w:color w:val="222222"/>
          <w:sz w:val="21"/>
          <w:szCs w:val="21"/>
          <w:shd w:val="clear" w:color="auto" w:fill="FFFFFF"/>
        </w:rPr>
        <w:t xml:space="preserve"> </w:t>
      </w:r>
      <w:r>
        <w:rPr>
          <w:sz w:val="28"/>
          <w:szCs w:val="28"/>
          <w:shd w:val="clear" w:color="auto" w:fill="FFFFFF"/>
        </w:rPr>
        <w:t xml:space="preserve">ISBN 978-5-9986-0062-3.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Райан, М. А. Сахарный диабет и воспалительные процессы в полости рта / М. А. Райан, Р. Вильяме, С. Гросси</w:t>
      </w:r>
      <w:r w:rsidR="004B1D88">
        <w:rPr>
          <w:sz w:val="28"/>
          <w:szCs w:val="28"/>
          <w:shd w:val="clear" w:color="auto" w:fill="FFFFFF"/>
        </w:rPr>
        <w:t>. – Текст : непосредственный</w:t>
      </w:r>
      <w:r w:rsidRPr="00F52145">
        <w:rPr>
          <w:sz w:val="28"/>
          <w:szCs w:val="28"/>
          <w:shd w:val="clear" w:color="auto" w:fill="FFFFFF"/>
        </w:rPr>
        <w:t xml:space="preserve"> // Клиническая стоматология. – 2006. – № 4 (40). – С. 62–64.</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Рамазанов, А. Х. Особенности диагностики и течения флегмон челюстно-лицевой области / А. Х. Рамазанов, И. М. Мугадов, Р. Р. Абакаров</w:t>
      </w:r>
      <w:r w:rsidR="004B1D88">
        <w:rPr>
          <w:sz w:val="28"/>
          <w:szCs w:val="28"/>
          <w:shd w:val="clear" w:color="auto" w:fill="FFFFFF"/>
        </w:rPr>
        <w:t>. – Текст : непосредственный</w:t>
      </w:r>
      <w:r w:rsidRPr="00F52145">
        <w:rPr>
          <w:sz w:val="28"/>
          <w:szCs w:val="28"/>
          <w:shd w:val="clear" w:color="auto" w:fill="FFFFFF"/>
        </w:rPr>
        <w:t xml:space="preserve"> // Бюллетень медицинских интернет-конференций. – 2013. – Т. 3, №. 3. – С. 743.</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Раны и раневая инфекция / под ред. М. И. Кузина, Б. М. Костючёнок. – 2-е изд., перераб. и доп. – Москва : Медицина, 1990. – 591 с.</w:t>
      </w:r>
      <w:r>
        <w:rPr>
          <w:sz w:val="28"/>
          <w:szCs w:val="28"/>
          <w:shd w:val="clear" w:color="auto" w:fill="FFFFFF"/>
        </w:rPr>
        <w:t xml:space="preserve"> –</w:t>
      </w:r>
      <w:r w:rsidRPr="00530982">
        <w:rPr>
          <w:rFonts w:ascii="Helvetica Neue" w:hAnsi="Helvetica Neue"/>
          <w:color w:val="222222"/>
          <w:sz w:val="21"/>
          <w:szCs w:val="21"/>
          <w:shd w:val="clear" w:color="auto" w:fill="FFFFFF"/>
        </w:rPr>
        <w:t xml:space="preserve"> </w:t>
      </w:r>
      <w:r w:rsidRPr="00530982">
        <w:rPr>
          <w:sz w:val="28"/>
          <w:szCs w:val="28"/>
          <w:shd w:val="clear" w:color="auto" w:fill="FFFFFF"/>
        </w:rPr>
        <w:t>ISBN 5-225-00998-0</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Робустова, Т. Г. Классификация и современное клиническое течение одонтогенных воспалительных заболеваний / Т. Г. Робустова</w:t>
      </w:r>
      <w:r w:rsidR="004B1D88">
        <w:rPr>
          <w:sz w:val="28"/>
          <w:szCs w:val="28"/>
          <w:shd w:val="clear" w:color="auto" w:fill="FFFFFF"/>
        </w:rPr>
        <w:t>. – Текст : непосредственный</w:t>
      </w:r>
      <w:r w:rsidRPr="00F52145">
        <w:rPr>
          <w:sz w:val="28"/>
          <w:szCs w:val="28"/>
          <w:shd w:val="clear" w:color="auto" w:fill="FFFFFF"/>
        </w:rPr>
        <w:t xml:space="preserve"> // Образование, наука и практика в стоматологии : сборник трудов 2-й Всероссийской научно-практической конференции. – Москва, 2005. – С. 173–175.</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Робустова, Т. Г. Современная клиника, диагностика и лечение одонтогенных воспалительных заболеваний / Т. Г. Робустова</w:t>
      </w:r>
      <w:r w:rsidR="004B1D88">
        <w:rPr>
          <w:sz w:val="28"/>
          <w:szCs w:val="28"/>
          <w:shd w:val="clear" w:color="auto" w:fill="FFFFFF"/>
        </w:rPr>
        <w:t>. – Текст : непосредственный</w:t>
      </w:r>
      <w:r w:rsidRPr="00F52145">
        <w:rPr>
          <w:sz w:val="28"/>
          <w:szCs w:val="28"/>
          <w:shd w:val="clear" w:color="auto" w:fill="FFFFFF"/>
        </w:rPr>
        <w:t xml:space="preserve"> // Российский стоматологический журнал. – 2003. – № 4. – С. 11–16.</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Роль коморбидной патологии в хирургии / С. Н. Стяжкина, Н. П. Макшакова, А. А. Симанова [и др.]</w:t>
      </w:r>
      <w:r w:rsidR="004B1D88">
        <w:rPr>
          <w:sz w:val="28"/>
          <w:szCs w:val="28"/>
          <w:shd w:val="clear" w:color="auto" w:fill="FFFFFF"/>
        </w:rPr>
        <w:t>. – Текст : непосредственный</w:t>
      </w:r>
      <w:r w:rsidRPr="00F52145">
        <w:rPr>
          <w:sz w:val="28"/>
          <w:szCs w:val="28"/>
          <w:shd w:val="clear" w:color="auto" w:fill="FFFFFF"/>
        </w:rPr>
        <w:t xml:space="preserve"> // Наука, образование и культура. – 2017. – № 4 (19). – С. 82–85.</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Руднов, В. А. Оценка тяжести состояния при сепсисе и септическом шоке / В. А. Руднов</w:t>
      </w:r>
      <w:r w:rsidR="004B1D88">
        <w:rPr>
          <w:sz w:val="28"/>
          <w:szCs w:val="28"/>
          <w:shd w:val="clear" w:color="auto" w:fill="FFFFFF"/>
        </w:rPr>
        <w:t>. – Текст : непосредственный</w:t>
      </w:r>
      <w:r w:rsidRPr="00F52145">
        <w:rPr>
          <w:sz w:val="28"/>
          <w:szCs w:val="28"/>
          <w:shd w:val="clear" w:color="auto" w:fill="FFFFFF"/>
        </w:rPr>
        <w:t xml:space="preserve"> // Анестезиология и реаниматология. – 1995. – № 6. – С. 9–11.</w:t>
      </w:r>
    </w:p>
    <w:p w:rsidR="004B1D88" w:rsidRPr="004B1D88" w:rsidRDefault="00286780" w:rsidP="004B1D88">
      <w:pPr>
        <w:numPr>
          <w:ilvl w:val="0"/>
          <w:numId w:val="10"/>
        </w:numPr>
        <w:shd w:val="clear" w:color="auto" w:fill="FFFFFF"/>
        <w:spacing w:line="360" w:lineRule="auto"/>
        <w:ind w:left="0" w:firstLine="709"/>
        <w:jc w:val="both"/>
        <w:rPr>
          <w:sz w:val="28"/>
          <w:szCs w:val="28"/>
          <w:shd w:val="clear" w:color="auto" w:fill="FFFFFF"/>
        </w:rPr>
      </w:pPr>
      <w:r w:rsidRPr="00F52145">
        <w:rPr>
          <w:sz w:val="28"/>
          <w:szCs w:val="28"/>
          <w:shd w:val="clear" w:color="auto" w:fill="FFFFFF"/>
        </w:rPr>
        <w:t>Руднов, В. А. Сепсис-3: обновленные ключевые положения, потенциальные проблемы и дальнейшие практические шаги / В. А. Руднов, В. В. Кулабухов</w:t>
      </w:r>
      <w:r w:rsidR="004B1D88" w:rsidRPr="00F52145">
        <w:rPr>
          <w:sz w:val="28"/>
          <w:szCs w:val="28"/>
          <w:shd w:val="clear" w:color="auto" w:fill="FFFFFF"/>
        </w:rPr>
        <w:t>.</w:t>
      </w:r>
      <w:r w:rsidR="004B1D88" w:rsidRPr="00517BCC">
        <w:rPr>
          <w:sz w:val="28"/>
          <w:szCs w:val="28"/>
          <w:shd w:val="clear" w:color="auto" w:fill="FFFFFF"/>
        </w:rPr>
        <w:t xml:space="preserve"> - </w:t>
      </w:r>
      <w:r w:rsidR="004B1D88">
        <w:rPr>
          <w:sz w:val="28"/>
          <w:szCs w:val="28"/>
          <w:shd w:val="clear" w:color="auto" w:fill="FFFFFF"/>
          <w:lang w:val="en-US"/>
        </w:rPr>
        <w:t>D</w:t>
      </w:r>
      <w:r w:rsidR="004B1D88" w:rsidRPr="00517BCC">
        <w:rPr>
          <w:sz w:val="28"/>
          <w:szCs w:val="28"/>
          <w:shd w:val="clear" w:color="auto" w:fill="FFFFFF"/>
          <w:lang w:val="en-US"/>
        </w:rPr>
        <w:t>OI</w:t>
      </w:r>
      <w:r w:rsidR="004B1D88" w:rsidRPr="00517BCC">
        <w:rPr>
          <w:sz w:val="28"/>
          <w:szCs w:val="28"/>
          <w:shd w:val="clear" w:color="auto" w:fill="FFFFFF"/>
        </w:rPr>
        <w:t xml:space="preserve"> 10.21292/2078-5658-2016-13-4-4-11</w:t>
      </w:r>
      <w:r w:rsidR="004B1D88">
        <w:rPr>
          <w:sz w:val="28"/>
          <w:szCs w:val="28"/>
          <w:shd w:val="clear" w:color="auto" w:fill="FFFFFF"/>
        </w:rPr>
        <w:t>. – Текст : непосредственный</w:t>
      </w:r>
      <w:r w:rsidRPr="00F52145">
        <w:rPr>
          <w:sz w:val="28"/>
          <w:szCs w:val="28"/>
          <w:shd w:val="clear" w:color="auto" w:fill="FFFFFF"/>
        </w:rPr>
        <w:t xml:space="preserve"> // Вестник анестезиологии и реаниматологии. – 2016. – № 13 (4). – С. 4–11</w:t>
      </w:r>
      <w:r w:rsidR="004B1D88">
        <w:rPr>
          <w:sz w:val="28"/>
          <w:szCs w:val="28"/>
          <w:shd w:val="clear" w:color="auto" w:fill="FFFFFF"/>
        </w:rPr>
        <w:t>.</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lastRenderedPageBreak/>
        <w:t>Русанова, Е. В. Микробиологическая оценка эффективности комплекса лечения больных с флегмонами челюстно-лицевой области / Е. В. Русанова, М. Б. Нестерова, Г. Г. Фомичев</w:t>
      </w:r>
      <w:r w:rsidR="004B1D88">
        <w:rPr>
          <w:sz w:val="28"/>
          <w:szCs w:val="28"/>
          <w:shd w:val="clear" w:color="auto" w:fill="FFFFFF"/>
        </w:rPr>
        <w:t>. – Текст : непосредственный</w:t>
      </w:r>
      <w:r w:rsidRPr="00F52145">
        <w:rPr>
          <w:sz w:val="28"/>
          <w:szCs w:val="28"/>
          <w:shd w:val="clear" w:color="auto" w:fill="FFFFFF"/>
        </w:rPr>
        <w:t xml:space="preserve"> // Альманах клинической медицины. – 2005. –Т. 8, № 5.</w:t>
      </w:r>
      <w:r>
        <w:rPr>
          <w:sz w:val="28"/>
          <w:szCs w:val="28"/>
          <w:shd w:val="clear" w:color="auto" w:fill="FFFFFF"/>
        </w:rPr>
        <w:t xml:space="preserve"> </w:t>
      </w:r>
      <w:r w:rsidRPr="00F52145">
        <w:rPr>
          <w:sz w:val="28"/>
          <w:szCs w:val="28"/>
          <w:shd w:val="clear" w:color="auto" w:fill="FFFFFF"/>
        </w:rPr>
        <w:t>–</w:t>
      </w:r>
      <w:r>
        <w:rPr>
          <w:sz w:val="28"/>
          <w:szCs w:val="28"/>
          <w:shd w:val="clear" w:color="auto" w:fill="FFFFFF"/>
        </w:rPr>
        <w:t xml:space="preserve"> </w:t>
      </w:r>
      <w:r w:rsidRPr="00F52145">
        <w:rPr>
          <w:sz w:val="28"/>
          <w:szCs w:val="28"/>
          <w:shd w:val="clear" w:color="auto" w:fill="FFFFFF"/>
        </w:rPr>
        <w:t>С. 102–109.</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Салахов, А. К. Комплексная оценка и корреляция нарушений регионарного кровообращения при острых одонтогенных гнойно-воспалительных заболеваниях челюстей : автореф. дис. ... канд. мед. наук : 14.00.21 / А. К. Салахов. – Казань, 2003. – 16 с.</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pacing w:val="-4"/>
          <w:sz w:val="28"/>
          <w:szCs w:val="28"/>
          <w:shd w:val="clear" w:color="auto" w:fill="FFFFFF"/>
        </w:rPr>
      </w:pPr>
      <w:r w:rsidRPr="00F52145">
        <w:rPr>
          <w:spacing w:val="-4"/>
          <w:sz w:val="28"/>
          <w:szCs w:val="28"/>
          <w:shd w:val="clear" w:color="auto" w:fill="FFFFFF"/>
        </w:rPr>
        <w:t>Сахарный диабет: диагностика, лечение, профилактика / под ред. И. И. Дедова, М. В. Шестаковой. – Москва : Медицинское информационное агентство, 2011. – 808 с.</w:t>
      </w:r>
      <w:r>
        <w:rPr>
          <w:spacing w:val="-4"/>
          <w:sz w:val="28"/>
          <w:szCs w:val="28"/>
          <w:shd w:val="clear" w:color="auto" w:fill="FFFFFF"/>
        </w:rPr>
        <w:t xml:space="preserve"> </w:t>
      </w:r>
      <w:r>
        <w:rPr>
          <w:sz w:val="28"/>
          <w:szCs w:val="28"/>
          <w:shd w:val="clear" w:color="auto" w:fill="FFFFFF"/>
        </w:rPr>
        <w:t>–</w:t>
      </w:r>
      <w:r w:rsidRPr="00530982">
        <w:rPr>
          <w:rFonts w:ascii="Helvetica Neue" w:hAnsi="Helvetica Neue"/>
          <w:color w:val="222222"/>
          <w:sz w:val="21"/>
          <w:szCs w:val="21"/>
          <w:shd w:val="clear" w:color="auto" w:fill="FFFFFF"/>
        </w:rPr>
        <w:t xml:space="preserve"> </w:t>
      </w:r>
      <w:r>
        <w:rPr>
          <w:sz w:val="28"/>
          <w:szCs w:val="28"/>
          <w:shd w:val="clear" w:color="auto" w:fill="FFFFFF"/>
        </w:rPr>
        <w:t xml:space="preserve">ISBN 978-5-9986-0061-6.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Светухин, А. М. Клиника, диагностика и лечение хирургического сепсиса : автореф. дис. ... д-ра мед. наук : 14.00.27 / А. М. Светухин. – Москва, 1989. – 36 с.</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Светухин, А. М. Современное состояние проблемы использования антибактериальной терапии в комплексном хирургическом лечении больных с синдромом диабетической стопы / А. М. Светухин, М. В. Прокудина</w:t>
      </w:r>
      <w:r w:rsidR="004B1D88">
        <w:rPr>
          <w:sz w:val="28"/>
          <w:szCs w:val="28"/>
          <w:shd w:val="clear" w:color="auto" w:fill="FFFFFF"/>
        </w:rPr>
        <w:t xml:space="preserve">. - Текст </w:t>
      </w:r>
      <w:r w:rsidR="004B1D88" w:rsidRPr="00DD1518">
        <w:rPr>
          <w:sz w:val="28"/>
          <w:szCs w:val="28"/>
          <w:shd w:val="clear" w:color="auto" w:fill="FFFFFF"/>
        </w:rPr>
        <w:t xml:space="preserve">: </w:t>
      </w:r>
      <w:r w:rsidR="004B1D88">
        <w:rPr>
          <w:sz w:val="28"/>
          <w:szCs w:val="28"/>
          <w:shd w:val="clear" w:color="auto" w:fill="FFFFFF"/>
        </w:rPr>
        <w:t>непосредственный</w:t>
      </w:r>
      <w:r w:rsidRPr="00F52145">
        <w:rPr>
          <w:sz w:val="28"/>
          <w:szCs w:val="28"/>
          <w:shd w:val="clear" w:color="auto" w:fill="FFFFFF"/>
        </w:rPr>
        <w:t xml:space="preserve"> // Русский медицинский журнал. – 1997. – № 24. – С. 7.</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Сепсис в начале XXI века. Классификация, клинико-диагностическая концепция и лечение. Патологоанатомическая диагностика : практическое руководство / Б. Р. Гельфанд, В. А. Руднов, Д. Н. Проценко [и др.]. – Москва : Издательство НЦССХ им. А. Н. Бакулева, РАМН, 2004. – 130 с.</w:t>
      </w:r>
      <w:r>
        <w:rPr>
          <w:sz w:val="28"/>
          <w:szCs w:val="28"/>
          <w:shd w:val="clear" w:color="auto" w:fill="FFFFFF"/>
        </w:rPr>
        <w:t xml:space="preserve"> –</w:t>
      </w:r>
      <w:r w:rsidRPr="00530982">
        <w:rPr>
          <w:rFonts w:ascii="yandex-sans" w:hAnsi="yandex-sans"/>
          <w:color w:val="000000"/>
          <w:sz w:val="23"/>
          <w:szCs w:val="23"/>
          <w:shd w:val="clear" w:color="auto" w:fill="FFFFFF"/>
        </w:rPr>
        <w:t xml:space="preserve"> </w:t>
      </w:r>
      <w:r w:rsidRPr="00530982">
        <w:rPr>
          <w:sz w:val="28"/>
          <w:szCs w:val="28"/>
          <w:shd w:val="clear" w:color="auto" w:fill="FFFFFF"/>
        </w:rPr>
        <w:t>ISBN 5 98216 053 9</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Сепсис в начале ХXI века. Классификация, клинико-диагностическая концепция и лечение. Патологоанатомическая диагностика : практическое руководство / под ред. В. С. Савельева, Б. Р. Гельфанда. – Москва : Литтерра, 2006. – 176 с.</w:t>
      </w:r>
      <w:r>
        <w:rPr>
          <w:sz w:val="28"/>
          <w:szCs w:val="28"/>
          <w:shd w:val="clear" w:color="auto" w:fill="FFFFFF"/>
        </w:rPr>
        <w:t xml:space="preserve"> –</w:t>
      </w:r>
      <w:r w:rsidRPr="00530982">
        <w:rPr>
          <w:sz w:val="28"/>
          <w:szCs w:val="28"/>
          <w:shd w:val="clear" w:color="auto" w:fill="FFFFFF"/>
        </w:rPr>
        <w:t xml:space="preserve"> </w:t>
      </w:r>
      <w:r>
        <w:rPr>
          <w:sz w:val="28"/>
          <w:szCs w:val="28"/>
          <w:shd w:val="clear" w:color="auto" w:fill="FFFFFF"/>
        </w:rPr>
        <w:t>ISBN 5 98216 055 8</w:t>
      </w:r>
      <w:r w:rsidRPr="00530982">
        <w:rPr>
          <w:sz w:val="28"/>
          <w:szCs w:val="28"/>
          <w:shd w:val="clear" w:color="auto" w:fill="FFFFFF"/>
        </w:rPr>
        <w:t xml:space="preserve">. </w:t>
      </w:r>
      <w:r>
        <w:rPr>
          <w:sz w:val="28"/>
          <w:szCs w:val="28"/>
          <w:shd w:val="clear" w:color="auto" w:fill="FFFFFF"/>
        </w:rPr>
        <w:t xml:space="preserve">-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Сепсис: классификация, клинико-диагностическая концепция и лечение / под ред. Б. Р. Гельфанда. – 4-е изд., доп. и перераб. – Москва : Медицинское ин</w:t>
      </w:r>
      <w:r w:rsidRPr="00F52145">
        <w:rPr>
          <w:sz w:val="28"/>
          <w:szCs w:val="28"/>
          <w:shd w:val="clear" w:color="auto" w:fill="FFFFFF"/>
        </w:rPr>
        <w:lastRenderedPageBreak/>
        <w:t>формационное агентство, 2017. – 408 с.</w:t>
      </w:r>
      <w:r>
        <w:rPr>
          <w:sz w:val="28"/>
          <w:szCs w:val="28"/>
          <w:shd w:val="clear" w:color="auto" w:fill="FFFFFF"/>
        </w:rPr>
        <w:t xml:space="preserve"> –</w:t>
      </w:r>
      <w:r w:rsidRPr="00530982">
        <w:rPr>
          <w:rFonts w:ascii="yandex-sans" w:hAnsi="yandex-sans"/>
          <w:color w:val="000000"/>
          <w:sz w:val="23"/>
          <w:szCs w:val="23"/>
          <w:shd w:val="clear" w:color="auto" w:fill="FFFFFF"/>
        </w:rPr>
        <w:t xml:space="preserve"> </w:t>
      </w:r>
      <w:r w:rsidRPr="00530982">
        <w:rPr>
          <w:sz w:val="28"/>
          <w:szCs w:val="28"/>
          <w:shd w:val="clear" w:color="auto" w:fill="FFFFFF"/>
        </w:rPr>
        <w:t>ISBN 978-5-8948-1797-2</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517BCC" w:rsidRDefault="00286780" w:rsidP="00530982">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Синдром диабетической стопы / М. Б. Анциферов, Г. Р. Галстян, А. Ю. Токмакова, И. И. Дедов</w:t>
      </w:r>
      <w:r w:rsidR="004B1D88">
        <w:rPr>
          <w:sz w:val="28"/>
          <w:szCs w:val="28"/>
          <w:shd w:val="clear" w:color="auto" w:fill="FFFFFF"/>
        </w:rPr>
        <w:t xml:space="preserve">. - Текст </w:t>
      </w:r>
      <w:r w:rsidR="004B1D88" w:rsidRPr="00DD1518">
        <w:rPr>
          <w:sz w:val="28"/>
          <w:szCs w:val="28"/>
          <w:shd w:val="clear" w:color="auto" w:fill="FFFFFF"/>
        </w:rPr>
        <w:t xml:space="preserve">: </w:t>
      </w:r>
      <w:r w:rsidR="004B1D88">
        <w:rPr>
          <w:sz w:val="28"/>
          <w:szCs w:val="28"/>
          <w:shd w:val="clear" w:color="auto" w:fill="FFFFFF"/>
        </w:rPr>
        <w:t>непосредственный</w:t>
      </w:r>
      <w:r w:rsidRPr="00F52145">
        <w:rPr>
          <w:sz w:val="28"/>
          <w:szCs w:val="28"/>
          <w:shd w:val="clear" w:color="auto" w:fill="FFFFFF"/>
        </w:rPr>
        <w:t xml:space="preserve"> // Сахарный диабет. – 2001. – № 2. – С. 2–8.</w:t>
      </w:r>
    </w:p>
    <w:p w:rsidR="00286780" w:rsidRPr="00517BCC" w:rsidRDefault="00286780" w:rsidP="00530982">
      <w:pPr>
        <w:numPr>
          <w:ilvl w:val="0"/>
          <w:numId w:val="10"/>
        </w:numPr>
        <w:shd w:val="clear" w:color="auto" w:fill="FFFFFF"/>
        <w:spacing w:line="360" w:lineRule="auto"/>
        <w:ind w:left="0" w:firstLine="567"/>
        <w:jc w:val="both"/>
        <w:rPr>
          <w:sz w:val="28"/>
          <w:szCs w:val="28"/>
          <w:shd w:val="clear" w:color="auto" w:fill="FFFFFF"/>
        </w:rPr>
      </w:pPr>
      <w:r w:rsidRPr="00517BCC">
        <w:rPr>
          <w:spacing w:val="-4"/>
          <w:sz w:val="28"/>
          <w:szCs w:val="28"/>
          <w:shd w:val="clear" w:color="auto" w:fill="FFFFFF"/>
        </w:rPr>
        <w:t xml:space="preserve">Синдром диабетической стопы : атлас для врачей-эндокринологов / М. Б. Анциферов, А. Ю. Токмакова, Г. Р. Галстян, О. В. Удовиченко. – </w:t>
      </w:r>
      <w:r w:rsidRPr="00517BCC">
        <w:rPr>
          <w:sz w:val="28"/>
          <w:szCs w:val="28"/>
          <w:shd w:val="clear" w:color="auto" w:fill="FFFFFF"/>
        </w:rPr>
        <w:t>Москва</w:t>
      </w:r>
      <w:r w:rsidRPr="00517BCC">
        <w:rPr>
          <w:spacing w:val="-4"/>
          <w:sz w:val="28"/>
          <w:szCs w:val="28"/>
          <w:shd w:val="clear" w:color="auto" w:fill="FFFFFF"/>
        </w:rPr>
        <w:t xml:space="preserve"> : Папаша Гризли, 2002. – 80 с. </w:t>
      </w:r>
      <w:r w:rsidRPr="00517BCC">
        <w:rPr>
          <w:sz w:val="28"/>
          <w:szCs w:val="28"/>
          <w:shd w:val="clear" w:color="auto" w:fill="FFFFFF"/>
        </w:rPr>
        <w:t>– ISBN 978-5-9986-0108-8. - Текст : 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Славинский, В. Г. Новые хирургические доступы при оперативном лечении больных с обширными флегмонами шеи : автореф. дис. ... канд. мед. наук : 14.00.27 / В. Г. Славинский. – Краснодар, 2003. – 22 с.</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Слесаренко, С. С. Медиастинит / С. С. Слесаренко, В. В. Агапов, В. А. Прелатов. – Москва : Медпрактика – М., 2005. – 199 с.</w:t>
      </w:r>
      <w:r>
        <w:rPr>
          <w:sz w:val="28"/>
          <w:szCs w:val="28"/>
          <w:shd w:val="clear" w:color="auto" w:fill="FFFFFF"/>
        </w:rPr>
        <w:t xml:space="preserve"> –</w:t>
      </w:r>
      <w:r w:rsidRPr="00530982">
        <w:rPr>
          <w:rFonts w:ascii="Helvetica Neue" w:hAnsi="Helvetica Neue"/>
          <w:color w:val="222222"/>
          <w:sz w:val="21"/>
          <w:szCs w:val="21"/>
          <w:shd w:val="clear" w:color="auto" w:fill="FFFFFF"/>
        </w:rPr>
        <w:t xml:space="preserve"> </w:t>
      </w:r>
      <w:r w:rsidRPr="00530982">
        <w:rPr>
          <w:sz w:val="28"/>
          <w:szCs w:val="28"/>
          <w:shd w:val="clear" w:color="auto" w:fill="FFFFFF"/>
        </w:rPr>
        <w:t>ISBN 5-901654-86-2</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Совцов, С. А. Тактика ведения хирургических больных с сахарным диабетом : методические рекоммендации / С. А. Совцов, Ж. А. Ревель-Муроз. – Челябинск, 2014. – 36 с.</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Соловьев, М. М. Абсцессы и флегмоны головы и шеи / М. М. Соловьев, О. П. Большаков. – Москва : Медпресс. – 2001. – 230 с.</w:t>
      </w:r>
      <w:r>
        <w:rPr>
          <w:sz w:val="28"/>
          <w:szCs w:val="28"/>
          <w:shd w:val="clear" w:color="auto" w:fill="FFFFFF"/>
        </w:rPr>
        <w:t xml:space="preserve"> –</w:t>
      </w:r>
      <w:r w:rsidRPr="00530982">
        <w:rPr>
          <w:rFonts w:ascii="Helvetica Neue" w:hAnsi="Helvetica Neue"/>
          <w:color w:val="222222"/>
          <w:sz w:val="21"/>
          <w:szCs w:val="21"/>
          <w:shd w:val="clear" w:color="auto" w:fill="FFFFFF"/>
        </w:rPr>
        <w:t xml:space="preserve"> </w:t>
      </w:r>
      <w:r w:rsidRPr="00530982">
        <w:rPr>
          <w:sz w:val="28"/>
          <w:szCs w:val="28"/>
          <w:shd w:val="clear" w:color="auto" w:fill="FFFFFF"/>
        </w:rPr>
        <w:t>ISBN 5-93059-053-2</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Соловьев, М. М. Гнойно-воспалительные заболевания головы и шеи (этиология, патогенез, клиника, лечение) / М. М. Соловьев, О. П. Большаков, Д. В. Галецкий. – Москва : МЕДпресс-информ, 2009. – 192 с.</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Соловьев, М. М. Гнойно-воспалительные заболевания головы и шеи: этиология, патогенез, клиника, лечение / М. М. Соловьев, О. П. Большаков, Д. В. Галецкий. – 3-е изд. – Москва : Умный доктор, 2016. – 192 с.</w:t>
      </w:r>
      <w:r>
        <w:rPr>
          <w:sz w:val="28"/>
          <w:szCs w:val="28"/>
          <w:shd w:val="clear" w:color="auto" w:fill="FFFFFF"/>
        </w:rPr>
        <w:t xml:space="preserve"> – ISBN</w:t>
      </w:r>
      <w:r w:rsidRPr="00BC75C6">
        <w:rPr>
          <w:sz w:val="28"/>
          <w:szCs w:val="28"/>
          <w:shd w:val="clear" w:color="auto" w:fill="FFFFFF"/>
        </w:rPr>
        <w:t xml:space="preserve"> 5</w:t>
      </w:r>
      <w:r>
        <w:rPr>
          <w:sz w:val="28"/>
          <w:szCs w:val="28"/>
          <w:shd w:val="clear" w:color="auto" w:fill="FFFFFF"/>
        </w:rPr>
        <w:t>-</w:t>
      </w:r>
      <w:r w:rsidRPr="00BC75C6">
        <w:rPr>
          <w:sz w:val="28"/>
          <w:szCs w:val="28"/>
          <w:shd w:val="clear" w:color="auto" w:fill="FFFFFF"/>
        </w:rPr>
        <w:t>99068</w:t>
      </w:r>
      <w:r>
        <w:rPr>
          <w:sz w:val="28"/>
          <w:szCs w:val="28"/>
          <w:shd w:val="clear" w:color="auto" w:fill="FFFFFF"/>
        </w:rPr>
        <w:t>-</w:t>
      </w:r>
      <w:r w:rsidRPr="00BC75C6">
        <w:rPr>
          <w:sz w:val="28"/>
          <w:szCs w:val="28"/>
          <w:shd w:val="clear" w:color="auto" w:fill="FFFFFF"/>
        </w:rPr>
        <w:t>063</w:t>
      </w:r>
      <w:r>
        <w:rPr>
          <w:sz w:val="28"/>
          <w:szCs w:val="28"/>
          <w:shd w:val="clear" w:color="auto" w:fill="FFFFFF"/>
        </w:rPr>
        <w:t>-</w:t>
      </w:r>
      <w:r w:rsidRPr="00BC75C6">
        <w:rPr>
          <w:sz w:val="28"/>
          <w:szCs w:val="28"/>
          <w:shd w:val="clear" w:color="auto" w:fill="FFFFFF"/>
        </w:rPr>
        <w:t>5</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lastRenderedPageBreak/>
        <w:t>Сочетанные заболевания внутренних органов в терапевтической практике : сборник материалов III межрегиональной конференции, Иркутск, 22–23 мая 2009 г. / под ред. Ф. И. Белялова. – Иркутск, 2009. – 68 с.</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Способ оценки эффективности лечения венозных трофических язв / В. А. Лазаренко, П. В. Калуцкий, М. В. Хруслов, А. В. Иванов</w:t>
      </w:r>
      <w:r w:rsidR="004B1D88">
        <w:rPr>
          <w:sz w:val="28"/>
          <w:szCs w:val="28"/>
          <w:shd w:val="clear" w:color="auto" w:fill="FFFFFF"/>
        </w:rPr>
        <w:t xml:space="preserve">. - Текст </w:t>
      </w:r>
      <w:r w:rsidR="004B1D88" w:rsidRPr="00DD1518">
        <w:rPr>
          <w:sz w:val="28"/>
          <w:szCs w:val="28"/>
          <w:shd w:val="clear" w:color="auto" w:fill="FFFFFF"/>
        </w:rPr>
        <w:t xml:space="preserve">: </w:t>
      </w:r>
      <w:r w:rsidR="004B1D88">
        <w:rPr>
          <w:sz w:val="28"/>
          <w:szCs w:val="28"/>
          <w:shd w:val="clear" w:color="auto" w:fill="FFFFFF"/>
        </w:rPr>
        <w:t>непосредственный</w:t>
      </w:r>
      <w:r w:rsidRPr="00F52145">
        <w:rPr>
          <w:sz w:val="28"/>
          <w:szCs w:val="28"/>
          <w:shd w:val="clear" w:color="auto" w:fill="FFFFFF"/>
        </w:rPr>
        <w:t xml:space="preserve"> // Курский научно-практический вестник "Человек и его здоровье". – 2008. – № 3. – С. 130–134.</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Старение: профессиональный врачебный подход / Л. Б. Лазебник, А. Л. Верткин, Ю. В. Конев [и др.]. – Москва : Эксмо, 2014. – 320 с.</w:t>
      </w:r>
      <w:r>
        <w:rPr>
          <w:sz w:val="28"/>
          <w:szCs w:val="28"/>
          <w:shd w:val="clear" w:color="auto" w:fill="FFFFFF"/>
        </w:rPr>
        <w:t xml:space="preserve"> - </w:t>
      </w:r>
      <w:r w:rsidRPr="00BC75C6">
        <w:rPr>
          <w:sz w:val="28"/>
          <w:szCs w:val="28"/>
          <w:shd w:val="clear" w:color="auto" w:fill="FFFFFF"/>
        </w:rPr>
        <w:t>ISBN 978-5-699-68589-9</w:t>
      </w:r>
      <w:r>
        <w:rPr>
          <w:sz w:val="28"/>
          <w:szCs w:val="28"/>
          <w:shd w:val="clear" w:color="auto" w:fill="FFFFFF"/>
        </w:rPr>
        <w:t>. – Текст</w:t>
      </w:r>
      <w:r w:rsidRPr="00BC75C6">
        <w:rPr>
          <w:sz w:val="28"/>
          <w:szCs w:val="28"/>
          <w:shd w:val="clear" w:color="auto" w:fill="FFFFFF"/>
        </w:rPr>
        <w:t xml:space="preserve"> :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Степаньянц, Л. В. Тактика хирургического лечения больных с гнойно-некротическими заболеваниями нижних конечностей на фоне сахарного диабета : дис. ... канд. мед. наук : 14.00.27 / Л. В. Степаньянц. – Москва, 2005. – 92 с.</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Страчунский, Л. С. Современная антимикробная химиотерапия : руководство для врачей / Л. С. Страчунский, С. Н. Козлов . – Москва : Боргес, 2002. – 432 с.</w:t>
      </w:r>
      <w:r>
        <w:rPr>
          <w:sz w:val="28"/>
          <w:szCs w:val="28"/>
          <w:shd w:val="clear" w:color="auto" w:fill="FFFFFF"/>
        </w:rPr>
        <w:t xml:space="preserve"> –</w:t>
      </w:r>
      <w:r w:rsidRPr="00BC75C6">
        <w:t xml:space="preserve"> </w:t>
      </w:r>
      <w:r w:rsidRPr="00BC75C6">
        <w:rPr>
          <w:sz w:val="28"/>
          <w:szCs w:val="28"/>
          <w:shd w:val="clear" w:color="auto" w:fill="FFFFFF"/>
        </w:rPr>
        <w:t>ISBN 5 94630-002-4</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Тарасенко, C. B. Современные принципы антибиотикотерапии острой одонтогенной инфекции / C. B. Тарасенко, B. C. Агапов, В. Н. Царев</w:t>
      </w:r>
      <w:r w:rsidR="004B1D88">
        <w:rPr>
          <w:sz w:val="28"/>
          <w:szCs w:val="28"/>
          <w:shd w:val="clear" w:color="auto" w:fill="FFFFFF"/>
        </w:rPr>
        <w:t xml:space="preserve">. - Текст </w:t>
      </w:r>
      <w:r w:rsidR="004B1D88" w:rsidRPr="00DD1518">
        <w:rPr>
          <w:sz w:val="28"/>
          <w:szCs w:val="28"/>
          <w:shd w:val="clear" w:color="auto" w:fill="FFFFFF"/>
        </w:rPr>
        <w:t xml:space="preserve">: </w:t>
      </w:r>
      <w:r w:rsidR="004B1D88">
        <w:rPr>
          <w:sz w:val="28"/>
          <w:szCs w:val="28"/>
          <w:shd w:val="clear" w:color="auto" w:fill="FFFFFF"/>
        </w:rPr>
        <w:t>непосредственный</w:t>
      </w:r>
      <w:r w:rsidRPr="00F52145">
        <w:rPr>
          <w:sz w:val="28"/>
          <w:szCs w:val="28"/>
          <w:shd w:val="clear" w:color="auto" w:fill="FFFFFF"/>
        </w:rPr>
        <w:t xml:space="preserve"> // Образование, наука и практика в стоматологии : сборник трудов 2-й Всероссийской научно-практической конференции. – Москва, 2005. – С. 195–196.</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Тер-Асатуров, Г. П. Некоторые вопросы патогенеза одонтогенных флегмон / Г. П. Тер-Асатуров</w:t>
      </w:r>
      <w:r w:rsidR="004B1D88">
        <w:rPr>
          <w:sz w:val="28"/>
          <w:szCs w:val="28"/>
          <w:shd w:val="clear" w:color="auto" w:fill="FFFFFF"/>
        </w:rPr>
        <w:t xml:space="preserve">. - Текст </w:t>
      </w:r>
      <w:r w:rsidR="004B1D88" w:rsidRPr="00DD1518">
        <w:rPr>
          <w:sz w:val="28"/>
          <w:szCs w:val="28"/>
          <w:shd w:val="clear" w:color="auto" w:fill="FFFFFF"/>
        </w:rPr>
        <w:t xml:space="preserve">: </w:t>
      </w:r>
      <w:r w:rsidR="004B1D88">
        <w:rPr>
          <w:sz w:val="28"/>
          <w:szCs w:val="28"/>
          <w:shd w:val="clear" w:color="auto" w:fill="FFFFFF"/>
        </w:rPr>
        <w:t>непосредственный</w:t>
      </w:r>
      <w:r w:rsidRPr="00F52145">
        <w:rPr>
          <w:sz w:val="28"/>
          <w:szCs w:val="28"/>
          <w:shd w:val="clear" w:color="auto" w:fill="FFFFFF"/>
        </w:rPr>
        <w:t xml:space="preserve"> // Стоматология. – 2005. – Т. 84, № 1. – С. 20–27.</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Терещенко, А. Е. Динамика иммунного статуса больных с флегмонами челюстно-лицевой области при эндолимфатической антибиотикотерапии / А. Е. Терещенко, B. C. Агапов, Е. А. Кузнецов</w:t>
      </w:r>
      <w:r w:rsidR="004B1D88">
        <w:rPr>
          <w:sz w:val="28"/>
          <w:szCs w:val="28"/>
          <w:shd w:val="clear" w:color="auto" w:fill="FFFFFF"/>
        </w:rPr>
        <w:t xml:space="preserve">. - Текст </w:t>
      </w:r>
      <w:r w:rsidR="004B1D88" w:rsidRPr="00DD1518">
        <w:rPr>
          <w:sz w:val="28"/>
          <w:szCs w:val="28"/>
          <w:shd w:val="clear" w:color="auto" w:fill="FFFFFF"/>
        </w:rPr>
        <w:t xml:space="preserve">: </w:t>
      </w:r>
      <w:r w:rsidR="004B1D88">
        <w:rPr>
          <w:sz w:val="28"/>
          <w:szCs w:val="28"/>
          <w:shd w:val="clear" w:color="auto" w:fill="FFFFFF"/>
        </w:rPr>
        <w:t>непосредственный</w:t>
      </w:r>
      <w:r w:rsidRPr="00F52145">
        <w:rPr>
          <w:sz w:val="28"/>
          <w:szCs w:val="28"/>
          <w:shd w:val="clear" w:color="auto" w:fill="FFFFFF"/>
        </w:rPr>
        <w:t xml:space="preserve"> // Стоматология. – 2000. – № 6. – С. 35–37.</w:t>
      </w:r>
    </w:p>
    <w:p w:rsidR="00286780" w:rsidRPr="00F52145" w:rsidRDefault="00286780" w:rsidP="002A3C85">
      <w:pPr>
        <w:numPr>
          <w:ilvl w:val="0"/>
          <w:numId w:val="10"/>
        </w:numPr>
        <w:shd w:val="clear" w:color="auto" w:fill="FFFFFF"/>
        <w:spacing w:line="360" w:lineRule="auto"/>
        <w:ind w:left="0" w:firstLine="567"/>
        <w:jc w:val="both"/>
        <w:rPr>
          <w:spacing w:val="-6"/>
          <w:sz w:val="28"/>
          <w:szCs w:val="28"/>
          <w:shd w:val="clear" w:color="auto" w:fill="FFFFFF"/>
        </w:rPr>
      </w:pPr>
      <w:r w:rsidRPr="00F52145">
        <w:rPr>
          <w:spacing w:val="-6"/>
          <w:sz w:val="28"/>
          <w:szCs w:val="28"/>
          <w:shd w:val="clear" w:color="auto" w:fill="FFFFFF"/>
        </w:rPr>
        <w:lastRenderedPageBreak/>
        <w:t>Тесевич, Л. И. Частота и преимущественные топографо-анатомические векторы распространения одонтогенных остеофлегмон в клетчаточных пространствах околочелюстных тканей нижней челюсти и шеи у пациентов с одонтогенными медиастинитами / Л. И. Тесевич, Н. Н. Черченко</w:t>
      </w:r>
      <w:r w:rsidR="004B1D88">
        <w:rPr>
          <w:sz w:val="28"/>
          <w:szCs w:val="28"/>
          <w:shd w:val="clear" w:color="auto" w:fill="FFFFFF"/>
        </w:rPr>
        <w:t xml:space="preserve">. - Текст </w:t>
      </w:r>
      <w:r w:rsidR="004B1D88" w:rsidRPr="00DD1518">
        <w:rPr>
          <w:sz w:val="28"/>
          <w:szCs w:val="28"/>
          <w:shd w:val="clear" w:color="auto" w:fill="FFFFFF"/>
        </w:rPr>
        <w:t xml:space="preserve">: </w:t>
      </w:r>
      <w:r w:rsidR="004B1D88">
        <w:rPr>
          <w:sz w:val="28"/>
          <w:szCs w:val="28"/>
          <w:shd w:val="clear" w:color="auto" w:fill="FFFFFF"/>
        </w:rPr>
        <w:t>непосредственный</w:t>
      </w:r>
      <w:r w:rsidRPr="00F52145">
        <w:rPr>
          <w:spacing w:val="-6"/>
          <w:sz w:val="28"/>
          <w:szCs w:val="28"/>
          <w:shd w:val="clear" w:color="auto" w:fill="FFFFFF"/>
        </w:rPr>
        <w:t xml:space="preserve"> // Международные обзоры: клиническая практика и здоровье. – 2018. – № 2. – С. 50–64.</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Тесфайе, В. А. Послеоперационные легочные осложнения и их профилактика у больных пожилого и старческого возраста, оперированных по поводу желчнокаменной болезни с острым холециститом : дис. ... канд. мед. наук : 14.00.27 / В. А. Тесфайе. – Смоленск, 2006. – 151 с.</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Тимофеев, А. А. Особенности клинического течения и хирургического лечения первичных одонтогенных воспалительных очагов у больных с гнойно-воспалительными заболеваниями мягких тканей, употреблявших наркотик "Винт" / А. А. Тимофеев, А. В. Дакал</w:t>
      </w:r>
      <w:r w:rsidR="004B1D88">
        <w:rPr>
          <w:sz w:val="28"/>
          <w:szCs w:val="28"/>
          <w:shd w:val="clear" w:color="auto" w:fill="FFFFFF"/>
        </w:rPr>
        <w:t xml:space="preserve">. - Текст </w:t>
      </w:r>
      <w:r w:rsidR="004B1D88" w:rsidRPr="00DD1518">
        <w:rPr>
          <w:sz w:val="28"/>
          <w:szCs w:val="28"/>
          <w:shd w:val="clear" w:color="auto" w:fill="FFFFFF"/>
        </w:rPr>
        <w:t xml:space="preserve">: </w:t>
      </w:r>
      <w:r w:rsidR="004B1D88">
        <w:rPr>
          <w:sz w:val="28"/>
          <w:szCs w:val="28"/>
          <w:shd w:val="clear" w:color="auto" w:fill="FFFFFF"/>
        </w:rPr>
        <w:t>непосредственный</w:t>
      </w:r>
      <w:r w:rsidRPr="00F52145">
        <w:rPr>
          <w:sz w:val="28"/>
          <w:szCs w:val="28"/>
          <w:shd w:val="clear" w:color="auto" w:fill="FFFFFF"/>
        </w:rPr>
        <w:t xml:space="preserve"> // Современная стоматология. – 2010. – № 3. – С. 123.</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Титова, С. Н. Разработка экспресс-метода выбора эффективных антисептических средств для обработки гнойной раны челюстно-лицевой области / С. Н. Титова</w:t>
      </w:r>
      <w:r w:rsidR="00BC6A69">
        <w:rPr>
          <w:sz w:val="28"/>
          <w:szCs w:val="28"/>
          <w:shd w:val="clear" w:color="auto" w:fill="FFFFFF"/>
        </w:rPr>
        <w:t xml:space="preserve">. - Текст </w:t>
      </w:r>
      <w:r w:rsidR="00BC6A69" w:rsidRPr="00DD1518">
        <w:rPr>
          <w:sz w:val="28"/>
          <w:szCs w:val="28"/>
          <w:shd w:val="clear" w:color="auto" w:fill="FFFFFF"/>
        </w:rPr>
        <w:t xml:space="preserve">: </w:t>
      </w:r>
      <w:r w:rsidR="00BC6A69">
        <w:rPr>
          <w:sz w:val="28"/>
          <w:szCs w:val="28"/>
          <w:shd w:val="clear" w:color="auto" w:fill="FFFFFF"/>
        </w:rPr>
        <w:t>непосредственный</w:t>
      </w:r>
      <w:r w:rsidRPr="00F52145">
        <w:rPr>
          <w:sz w:val="28"/>
          <w:szCs w:val="28"/>
          <w:shd w:val="clear" w:color="auto" w:fill="FFFFFF"/>
        </w:rPr>
        <w:t xml:space="preserve"> // Образование, наука и практика в стоматологии : сборник трудов 2 Всероссийской научно-практической конференции. – Москва, 2005. – С. 198–200.</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Тотальный одонтогенный медиастинит как осложнение гнилостно-некротической флегмоны дна полости рта / И. М. Юлдашев, Б. К. Ургуналиев, А. А. Ашиналиев [и др.]</w:t>
      </w:r>
      <w:r w:rsidR="00BC6A69" w:rsidRPr="00BC6A69">
        <w:rPr>
          <w:sz w:val="28"/>
          <w:szCs w:val="28"/>
          <w:shd w:val="clear" w:color="auto" w:fill="FFFFFF"/>
        </w:rPr>
        <w:t xml:space="preserve"> </w:t>
      </w:r>
      <w:r w:rsidR="00BC6A69">
        <w:rPr>
          <w:sz w:val="28"/>
          <w:szCs w:val="28"/>
          <w:shd w:val="clear" w:color="auto" w:fill="FFFFFF"/>
        </w:rPr>
        <w:t xml:space="preserve">. - Текст </w:t>
      </w:r>
      <w:r w:rsidR="00BC6A69" w:rsidRPr="00DD1518">
        <w:rPr>
          <w:sz w:val="28"/>
          <w:szCs w:val="28"/>
          <w:shd w:val="clear" w:color="auto" w:fill="FFFFFF"/>
        </w:rPr>
        <w:t xml:space="preserve">: </w:t>
      </w:r>
      <w:r w:rsidR="00BC6A69">
        <w:rPr>
          <w:sz w:val="28"/>
          <w:szCs w:val="28"/>
          <w:shd w:val="clear" w:color="auto" w:fill="FFFFFF"/>
        </w:rPr>
        <w:t>непосредственный</w:t>
      </w:r>
      <w:r w:rsidRPr="00F52145">
        <w:rPr>
          <w:sz w:val="28"/>
          <w:szCs w:val="28"/>
          <w:shd w:val="clear" w:color="auto" w:fill="FFFFFF"/>
        </w:rPr>
        <w:t xml:space="preserve"> // Тихоокеанский медицинский журнал. – 2011. – № 3. – С. 97–98.</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Трухманов, Р. С. Комплексное лечение гнойно-септических осложнений у больных терминальной стадией хронической почечной недостаточности с урологическими заболеваниями : автореф. дис. ... канд. мед. наук : 14.00.40, 14.00.41 / Р. С. Трухманов. – Москва, 2005. – 25 с.</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Турчина, Е. В. Оценка эффективности применения антибиотиков в комплексе лечения больных с гнойно-воспалительными заболеваниями челюстно-</w:t>
      </w:r>
      <w:r w:rsidRPr="00F52145">
        <w:rPr>
          <w:sz w:val="28"/>
          <w:szCs w:val="28"/>
          <w:shd w:val="clear" w:color="auto" w:fill="FFFFFF"/>
        </w:rPr>
        <w:lastRenderedPageBreak/>
        <w:t>лицевой области : автореф. дис. ... канд. мед. наук : 14.00.21 / Е. В. Турчина. – Иркутск, 2007. – 23 с.</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Турчина, М. С. Организационно-функциональная модель оказания медицинской помощи больным с сочетанием бронхиальной астмы и хирургической патологии : автореф. дис. ... канд. мед. наук : 14.02.03, 14.01.04 / М. С. Турчина. – Москва, 2011. – 25 с.</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Удальцова, H. A. Системная реакция организма при воспалительных процессах челюстно-лицевой области и патогенетическое обоснование лечения / H. A. Удальцова, Л. A. Ермолаева</w:t>
      </w:r>
      <w:r w:rsidR="00BC6A69">
        <w:rPr>
          <w:sz w:val="28"/>
          <w:szCs w:val="28"/>
          <w:shd w:val="clear" w:color="auto" w:fill="FFFFFF"/>
        </w:rPr>
        <w:t xml:space="preserve">. - Текст </w:t>
      </w:r>
      <w:r w:rsidR="00BC6A69" w:rsidRPr="00DD1518">
        <w:rPr>
          <w:sz w:val="28"/>
          <w:szCs w:val="28"/>
          <w:shd w:val="clear" w:color="auto" w:fill="FFFFFF"/>
        </w:rPr>
        <w:t xml:space="preserve">: </w:t>
      </w:r>
      <w:r w:rsidR="00BC6A69">
        <w:rPr>
          <w:sz w:val="28"/>
          <w:szCs w:val="28"/>
          <w:shd w:val="clear" w:color="auto" w:fill="FFFFFF"/>
        </w:rPr>
        <w:t>непосредственный</w:t>
      </w:r>
      <w:r w:rsidRPr="00F52145">
        <w:rPr>
          <w:sz w:val="28"/>
          <w:szCs w:val="28"/>
          <w:shd w:val="clear" w:color="auto" w:fill="FFFFFF"/>
        </w:rPr>
        <w:t xml:space="preserve"> // Институт стоматологии. – 2007. – № 1 (34). – С. 34–35.</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Удальцова, H. A. Центральная гемодинамика у больных с воспалительными заболеваниями челюстно-лицевой области / H. A. Удальцова, Т. Т. Фаизов</w:t>
      </w:r>
      <w:r w:rsidR="00BC6A69">
        <w:rPr>
          <w:sz w:val="28"/>
          <w:szCs w:val="28"/>
          <w:shd w:val="clear" w:color="auto" w:fill="FFFFFF"/>
        </w:rPr>
        <w:t xml:space="preserve">. - Текст </w:t>
      </w:r>
      <w:r w:rsidR="00BC6A69" w:rsidRPr="00DD1518">
        <w:rPr>
          <w:sz w:val="28"/>
          <w:szCs w:val="28"/>
          <w:shd w:val="clear" w:color="auto" w:fill="FFFFFF"/>
        </w:rPr>
        <w:t xml:space="preserve">: </w:t>
      </w:r>
      <w:r w:rsidR="00BC6A69">
        <w:rPr>
          <w:sz w:val="28"/>
          <w:szCs w:val="28"/>
          <w:shd w:val="clear" w:color="auto" w:fill="FFFFFF"/>
        </w:rPr>
        <w:t>непосредственный</w:t>
      </w:r>
      <w:r w:rsidRPr="00F52145">
        <w:rPr>
          <w:sz w:val="28"/>
          <w:szCs w:val="28"/>
          <w:shd w:val="clear" w:color="auto" w:fill="FFFFFF"/>
        </w:rPr>
        <w:t xml:space="preserve"> // Казанский медицинский журнал. – 2007. – Т. XVIII, № 5. – С. 465–468.</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Ушаков, Р. В. Антимикробная терапия в стоматологии: принципы и алгоритмы / Р. В. Ушаков, В. Н. Царев. – Москва : Практическая медицина, 2019. – 238 с.</w:t>
      </w:r>
      <w:r>
        <w:rPr>
          <w:sz w:val="28"/>
          <w:szCs w:val="28"/>
          <w:shd w:val="clear" w:color="auto" w:fill="FFFFFF"/>
        </w:rPr>
        <w:t xml:space="preserve"> –</w:t>
      </w:r>
      <w:r w:rsidRPr="00BC75C6">
        <w:rPr>
          <w:rFonts w:ascii="Tahoma" w:hAnsi="Tahoma" w:cs="Tahoma"/>
          <w:color w:val="000000"/>
          <w:sz w:val="17"/>
          <w:szCs w:val="17"/>
          <w:shd w:val="clear" w:color="auto" w:fill="F0EDED"/>
        </w:rPr>
        <w:t xml:space="preserve"> </w:t>
      </w:r>
      <w:r w:rsidRPr="00BC75C6">
        <w:rPr>
          <w:sz w:val="28"/>
          <w:szCs w:val="28"/>
          <w:shd w:val="clear" w:color="auto" w:fill="FFFFFF"/>
        </w:rPr>
        <w:t>ISBN: 978-5-98811-522-9</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Ушаков, Р. В. Микрофлора полости рта в норме и при воспалительных заболеваниях челюстно-лицевой области / Р. В. Ушаков, В. Н. Царев</w:t>
      </w:r>
      <w:r w:rsidR="00BC6A69">
        <w:rPr>
          <w:sz w:val="28"/>
          <w:szCs w:val="28"/>
          <w:shd w:val="clear" w:color="auto" w:fill="FFFFFF"/>
        </w:rPr>
        <w:t xml:space="preserve">. - Текст </w:t>
      </w:r>
      <w:r w:rsidR="00BC6A69" w:rsidRPr="00DD1518">
        <w:rPr>
          <w:sz w:val="28"/>
          <w:szCs w:val="28"/>
          <w:shd w:val="clear" w:color="auto" w:fill="FFFFFF"/>
        </w:rPr>
        <w:t xml:space="preserve">: </w:t>
      </w:r>
      <w:r w:rsidR="00BC6A69">
        <w:rPr>
          <w:sz w:val="28"/>
          <w:szCs w:val="28"/>
          <w:shd w:val="clear" w:color="auto" w:fill="FFFFFF"/>
        </w:rPr>
        <w:t>непосредственный</w:t>
      </w:r>
      <w:r w:rsidRPr="00F52145">
        <w:rPr>
          <w:sz w:val="28"/>
          <w:szCs w:val="28"/>
          <w:shd w:val="clear" w:color="auto" w:fill="FFFFFF"/>
        </w:rPr>
        <w:t xml:space="preserve"> // Стоматология для всех. – 1999. – № 3 (4). – С. 16.</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Ушаков, Р. В. Роль бактерий группы бактероидов в этиологии одонтогенных воспалительных заболеваний челюстно-лицевой области / В. Н. Царев, Р. В. Ушаков</w:t>
      </w:r>
      <w:r w:rsidR="00BC6A69">
        <w:rPr>
          <w:sz w:val="28"/>
          <w:szCs w:val="28"/>
          <w:shd w:val="clear" w:color="auto" w:fill="FFFFFF"/>
        </w:rPr>
        <w:t xml:space="preserve">. - Текст </w:t>
      </w:r>
      <w:r w:rsidR="00BC6A69" w:rsidRPr="00DD1518">
        <w:rPr>
          <w:sz w:val="28"/>
          <w:szCs w:val="28"/>
          <w:shd w:val="clear" w:color="auto" w:fill="FFFFFF"/>
        </w:rPr>
        <w:t xml:space="preserve">: </w:t>
      </w:r>
      <w:r w:rsidR="00BC6A69">
        <w:rPr>
          <w:sz w:val="28"/>
          <w:szCs w:val="28"/>
          <w:shd w:val="clear" w:color="auto" w:fill="FFFFFF"/>
        </w:rPr>
        <w:t>непосредственный</w:t>
      </w:r>
      <w:r w:rsidRPr="00F52145">
        <w:rPr>
          <w:sz w:val="28"/>
          <w:szCs w:val="28"/>
          <w:shd w:val="clear" w:color="auto" w:fill="FFFFFF"/>
        </w:rPr>
        <w:t xml:space="preserve"> // Сибирский медицинский журнал. –1995. –Т. 3, № 2. – С. 25–27.</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Федерация анестезиологов и реаниматологов. Клинические рекомендации. Периоперационное ведение больных с сопутствующей ишемической болезнью сердца / И. Б. Заболотских, К. М. Лебединский, Е. В. Григорьев [и др.]</w:t>
      </w:r>
      <w:r w:rsidR="00BC6A69" w:rsidRPr="00BC6A69">
        <w:rPr>
          <w:sz w:val="28"/>
          <w:szCs w:val="28"/>
          <w:shd w:val="clear" w:color="auto" w:fill="FFFFFF"/>
        </w:rPr>
        <w:t xml:space="preserve"> </w:t>
      </w:r>
      <w:r w:rsidR="00BC6A69">
        <w:rPr>
          <w:sz w:val="28"/>
          <w:szCs w:val="28"/>
          <w:shd w:val="clear" w:color="auto" w:fill="FFFFFF"/>
        </w:rPr>
        <w:t xml:space="preserve">. - Текст </w:t>
      </w:r>
      <w:r w:rsidR="00BC6A69" w:rsidRPr="00DD1518">
        <w:rPr>
          <w:sz w:val="28"/>
          <w:szCs w:val="28"/>
          <w:shd w:val="clear" w:color="auto" w:fill="FFFFFF"/>
        </w:rPr>
        <w:t xml:space="preserve">: </w:t>
      </w:r>
      <w:r w:rsidR="00BC6A69">
        <w:rPr>
          <w:sz w:val="28"/>
          <w:szCs w:val="28"/>
          <w:shd w:val="clear" w:color="auto" w:fill="FFFFFF"/>
        </w:rPr>
        <w:t>непосредственный</w:t>
      </w:r>
      <w:r w:rsidRPr="00F52145">
        <w:rPr>
          <w:sz w:val="28"/>
          <w:szCs w:val="28"/>
          <w:shd w:val="clear" w:color="auto" w:fill="FFFFFF"/>
        </w:rPr>
        <w:t xml:space="preserve"> // Анестезиология и реаниматология. – 2013. – № 6. – С. 67–78.</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lastRenderedPageBreak/>
        <w:t>Фомичев, Е. В. Атипично текущие и хронические гнойно-воспалительные заболевания челюстно-лицевой области. Диагностика, лечение и профилактика : автореф. дис. .... д-ра мед. наук : 14.00.21 / Е. В. Фомичев. – Москва, 1999. – 40 с.</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Хаитов, P. M. Современные представления о защите организма от инфекции / P. M. Хаитов, Б. В. Пинегин</w:t>
      </w:r>
      <w:r w:rsidR="00BC6A69">
        <w:rPr>
          <w:sz w:val="28"/>
          <w:szCs w:val="28"/>
          <w:shd w:val="clear" w:color="auto" w:fill="FFFFFF"/>
        </w:rPr>
        <w:t xml:space="preserve">. - Текст </w:t>
      </w:r>
      <w:r w:rsidR="00BC6A69" w:rsidRPr="00DD1518">
        <w:rPr>
          <w:sz w:val="28"/>
          <w:szCs w:val="28"/>
          <w:shd w:val="clear" w:color="auto" w:fill="FFFFFF"/>
        </w:rPr>
        <w:t xml:space="preserve">: </w:t>
      </w:r>
      <w:r w:rsidR="00BC6A69">
        <w:rPr>
          <w:sz w:val="28"/>
          <w:szCs w:val="28"/>
          <w:shd w:val="clear" w:color="auto" w:fill="FFFFFF"/>
        </w:rPr>
        <w:t>непосредственный</w:t>
      </w:r>
      <w:r w:rsidRPr="00F52145">
        <w:rPr>
          <w:sz w:val="28"/>
          <w:szCs w:val="28"/>
          <w:shd w:val="clear" w:color="auto" w:fill="FFFFFF"/>
        </w:rPr>
        <w:t xml:space="preserve"> // Иммунология. – 2000. – № 1. – С.7–13.</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Хаитов, Р. М. Современные иммуномодуляторы: основные принципы их применения / Р. М. Хаитов, Б. В. Пинегин</w:t>
      </w:r>
      <w:r w:rsidR="00BC6A69">
        <w:rPr>
          <w:sz w:val="28"/>
          <w:szCs w:val="28"/>
          <w:shd w:val="clear" w:color="auto" w:fill="FFFFFF"/>
        </w:rPr>
        <w:t xml:space="preserve">. - Текст </w:t>
      </w:r>
      <w:r w:rsidR="00BC6A69" w:rsidRPr="00DD1518">
        <w:rPr>
          <w:sz w:val="28"/>
          <w:szCs w:val="28"/>
          <w:shd w:val="clear" w:color="auto" w:fill="FFFFFF"/>
        </w:rPr>
        <w:t xml:space="preserve">: </w:t>
      </w:r>
      <w:r w:rsidR="00BC6A69">
        <w:rPr>
          <w:sz w:val="28"/>
          <w:szCs w:val="28"/>
          <w:shd w:val="clear" w:color="auto" w:fill="FFFFFF"/>
        </w:rPr>
        <w:t>непосредственный</w:t>
      </w:r>
      <w:r w:rsidRPr="00F52145">
        <w:rPr>
          <w:sz w:val="28"/>
          <w:szCs w:val="28"/>
          <w:shd w:val="clear" w:color="auto" w:fill="FFFFFF"/>
        </w:rPr>
        <w:t xml:space="preserve"> // Иммунология. – 2000. – № 5. – С.4–8.</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Харитонов, Ю. М. Опыт лечения больных с тяжелыми осложнениями одонтогенной инфекции / Ю. М. Харитонов, А. А. Глухов, А. Л. Громов</w:t>
      </w:r>
      <w:r w:rsidR="00BC6A69">
        <w:rPr>
          <w:sz w:val="28"/>
          <w:szCs w:val="28"/>
          <w:shd w:val="clear" w:color="auto" w:fill="FFFFFF"/>
        </w:rPr>
        <w:t xml:space="preserve">. - Текст </w:t>
      </w:r>
      <w:r w:rsidR="00BC6A69" w:rsidRPr="00DD1518">
        <w:rPr>
          <w:sz w:val="28"/>
          <w:szCs w:val="28"/>
          <w:shd w:val="clear" w:color="auto" w:fill="FFFFFF"/>
        </w:rPr>
        <w:t xml:space="preserve">: </w:t>
      </w:r>
      <w:r w:rsidR="00BC6A69">
        <w:rPr>
          <w:sz w:val="28"/>
          <w:szCs w:val="28"/>
          <w:shd w:val="clear" w:color="auto" w:fill="FFFFFF"/>
        </w:rPr>
        <w:t>непосредственный</w:t>
      </w:r>
      <w:r w:rsidRPr="00F52145">
        <w:rPr>
          <w:sz w:val="28"/>
          <w:szCs w:val="28"/>
          <w:shd w:val="clear" w:color="auto" w:fill="FFFFFF"/>
        </w:rPr>
        <w:t xml:space="preserve"> // Вестник экспериментальной и клинической хирургии. – 2011. – Т. 4, № 4. – С. 871–875.</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Харитонов, Ю. М. Острый одонтогенный сепсис: ранняя диагностика, прогнозирование и лечение : автореф. дис. ... д-ра мед. наук : 14.00.21 / Ю. М. Харитонов. – Воронеж, 1999. – 48 с.</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Хирургическая стоматология : учебник / под ред. Т. Г. Робустовой. – 3-е изд. – Москва : Медицина, 2003. – 504 с.</w:t>
      </w:r>
      <w:r>
        <w:rPr>
          <w:sz w:val="28"/>
          <w:szCs w:val="28"/>
          <w:shd w:val="clear" w:color="auto" w:fill="FFFFFF"/>
        </w:rPr>
        <w:t xml:space="preserve"> - </w:t>
      </w:r>
      <w:r w:rsidRPr="00BC75C6">
        <w:rPr>
          <w:sz w:val="28"/>
          <w:szCs w:val="28"/>
          <w:shd w:val="clear" w:color="auto" w:fill="FFFFFF"/>
        </w:rPr>
        <w:t>ISBN 5-225-04748-3</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Хирургическая стоматология</w:t>
      </w:r>
      <w:r>
        <w:rPr>
          <w:sz w:val="28"/>
          <w:szCs w:val="28"/>
          <w:shd w:val="clear" w:color="auto" w:fill="FFFFFF"/>
        </w:rPr>
        <w:t xml:space="preserve"> и челюстно-лицевая хирургия</w:t>
      </w:r>
      <w:r w:rsidRPr="00F52145">
        <w:rPr>
          <w:sz w:val="28"/>
          <w:szCs w:val="28"/>
          <w:shd w:val="clear" w:color="auto" w:fill="FFFFFF"/>
        </w:rPr>
        <w:t xml:space="preserve"> : </w:t>
      </w:r>
      <w:r>
        <w:rPr>
          <w:sz w:val="28"/>
          <w:szCs w:val="28"/>
          <w:shd w:val="clear" w:color="auto" w:fill="FFFFFF"/>
        </w:rPr>
        <w:t>национальное руководство</w:t>
      </w:r>
      <w:r w:rsidRPr="00F52145">
        <w:rPr>
          <w:sz w:val="28"/>
          <w:szCs w:val="28"/>
          <w:shd w:val="clear" w:color="auto" w:fill="FFFFFF"/>
        </w:rPr>
        <w:t xml:space="preserve"> / под ред. </w:t>
      </w:r>
      <w:r>
        <w:rPr>
          <w:sz w:val="28"/>
          <w:szCs w:val="28"/>
          <w:shd w:val="clear" w:color="auto" w:fill="FFFFFF"/>
        </w:rPr>
        <w:t>А.А. Кулакова.</w:t>
      </w:r>
      <w:r w:rsidRPr="00F52145">
        <w:rPr>
          <w:sz w:val="28"/>
          <w:szCs w:val="28"/>
          <w:shd w:val="clear" w:color="auto" w:fill="FFFFFF"/>
        </w:rPr>
        <w:t xml:space="preserve"> – Москва : </w:t>
      </w:r>
      <w:r>
        <w:rPr>
          <w:sz w:val="28"/>
          <w:szCs w:val="28"/>
          <w:shd w:val="clear" w:color="auto" w:fill="FFFFFF"/>
        </w:rPr>
        <w:t>ГЭОТАР-Медиа, 2015. – 921</w:t>
      </w:r>
      <w:r w:rsidRPr="00F52145">
        <w:rPr>
          <w:sz w:val="28"/>
          <w:szCs w:val="28"/>
          <w:shd w:val="clear" w:color="auto" w:fill="FFFFFF"/>
        </w:rPr>
        <w:t xml:space="preserve"> с</w:t>
      </w:r>
      <w:r>
        <w:rPr>
          <w:sz w:val="28"/>
          <w:szCs w:val="28"/>
          <w:shd w:val="clear" w:color="auto" w:fill="FFFFFF"/>
        </w:rPr>
        <w:t>. –</w:t>
      </w:r>
      <w:r w:rsidRPr="00BC75C6">
        <w:rPr>
          <w:rFonts w:ascii="Helvetica" w:hAnsi="Helvetica" w:cs="Helvetica"/>
          <w:color w:val="333333"/>
          <w:sz w:val="18"/>
          <w:szCs w:val="18"/>
          <w:shd w:val="clear" w:color="auto" w:fill="F5F7F9"/>
        </w:rPr>
        <w:t xml:space="preserve"> </w:t>
      </w:r>
      <w:r w:rsidRPr="00BC75C6">
        <w:rPr>
          <w:sz w:val="28"/>
          <w:szCs w:val="28"/>
          <w:shd w:val="clear" w:color="auto" w:fill="FFFFFF"/>
        </w:rPr>
        <w:t> ISBN 978-5-9704-3727-8.</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Хирургические болезни : учебник / под ред. М. И. Кузина. – 3-е изд., перераб. и доп. – Москва : Медицина, 2002. – 784 с.</w:t>
      </w:r>
      <w:r>
        <w:rPr>
          <w:sz w:val="28"/>
          <w:szCs w:val="28"/>
          <w:shd w:val="clear" w:color="auto" w:fill="FFFFFF"/>
        </w:rPr>
        <w:t xml:space="preserve"> –</w:t>
      </w:r>
      <w:r w:rsidRPr="00C36C69">
        <w:rPr>
          <w:rFonts w:ascii="Arial" w:hAnsi="Arial" w:cs="Arial"/>
          <w:color w:val="000000"/>
          <w:shd w:val="clear" w:color="auto" w:fill="FFFFDD"/>
        </w:rPr>
        <w:t xml:space="preserve"> </w:t>
      </w:r>
      <w:r w:rsidRPr="00C36C69">
        <w:rPr>
          <w:sz w:val="28"/>
          <w:szCs w:val="28"/>
          <w:shd w:val="clear" w:color="auto" w:fill="FFFFFF"/>
        </w:rPr>
        <w:t>ISBN 5-225-00920-4</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Хирургические инфекции : практическое руководство / под ред. И. А. Ерюхина, Б. Р. Гельфанда, С. А. Шляпникова. – Москва : Литтерра, 2006. – 736 с.</w:t>
      </w:r>
      <w:r>
        <w:rPr>
          <w:sz w:val="28"/>
          <w:szCs w:val="28"/>
          <w:shd w:val="clear" w:color="auto" w:fill="FFFFFF"/>
        </w:rPr>
        <w:t xml:space="preserve"> –</w:t>
      </w:r>
      <w:r w:rsidRPr="00C36C69">
        <w:rPr>
          <w:rFonts w:ascii="yandex-sans" w:hAnsi="yandex-sans"/>
          <w:color w:val="000000"/>
          <w:sz w:val="23"/>
          <w:szCs w:val="23"/>
          <w:shd w:val="clear" w:color="auto" w:fill="FFFFFF"/>
        </w:rPr>
        <w:t xml:space="preserve"> </w:t>
      </w:r>
      <w:r w:rsidRPr="00C36C69">
        <w:rPr>
          <w:sz w:val="28"/>
          <w:szCs w:val="28"/>
          <w:shd w:val="clear" w:color="auto" w:fill="FFFFFF"/>
        </w:rPr>
        <w:t>ISBN 5-98216-081-4</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lastRenderedPageBreak/>
        <w:t>Хирургический сепсис: клинико-патологоанатомические аспекты / В. С. Савельев, Б. Р. Гельфанд, О. Д. Мишнев, А. И. Щеголев</w:t>
      </w:r>
      <w:r w:rsidR="00BC6A69">
        <w:rPr>
          <w:sz w:val="28"/>
          <w:szCs w:val="28"/>
          <w:shd w:val="clear" w:color="auto" w:fill="FFFFFF"/>
        </w:rPr>
        <w:t xml:space="preserve">. - Текст </w:t>
      </w:r>
      <w:r w:rsidR="00BC6A69" w:rsidRPr="00DD1518">
        <w:rPr>
          <w:sz w:val="28"/>
          <w:szCs w:val="28"/>
          <w:shd w:val="clear" w:color="auto" w:fill="FFFFFF"/>
        </w:rPr>
        <w:t xml:space="preserve">: </w:t>
      </w:r>
      <w:r w:rsidR="00BC6A69">
        <w:rPr>
          <w:sz w:val="28"/>
          <w:szCs w:val="28"/>
          <w:shd w:val="clear" w:color="auto" w:fill="FFFFFF"/>
        </w:rPr>
        <w:t>непосредственный</w:t>
      </w:r>
      <w:r w:rsidRPr="00F52145">
        <w:rPr>
          <w:sz w:val="28"/>
          <w:szCs w:val="28"/>
          <w:shd w:val="clear" w:color="auto" w:fill="FFFFFF"/>
        </w:rPr>
        <w:t xml:space="preserve"> // Архив патологии. – 2007. – № 69 (4). – С. 59–63.</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Ходжаева, К. Х. Комплексная интенсивная терапия при одонтогенных внутричерепных осложнениях / К. Х. Ходжаева, А. Ч. Хушбаков</w:t>
      </w:r>
      <w:r w:rsidR="00BC6A69">
        <w:rPr>
          <w:sz w:val="28"/>
          <w:szCs w:val="28"/>
          <w:shd w:val="clear" w:color="auto" w:fill="FFFFFF"/>
        </w:rPr>
        <w:t xml:space="preserve">. - Текст </w:t>
      </w:r>
      <w:r w:rsidR="00BC6A69" w:rsidRPr="00DD1518">
        <w:rPr>
          <w:sz w:val="28"/>
          <w:szCs w:val="28"/>
          <w:shd w:val="clear" w:color="auto" w:fill="FFFFFF"/>
        </w:rPr>
        <w:t xml:space="preserve">: </w:t>
      </w:r>
      <w:r w:rsidR="00BC6A69">
        <w:rPr>
          <w:sz w:val="28"/>
          <w:szCs w:val="28"/>
          <w:shd w:val="clear" w:color="auto" w:fill="FFFFFF"/>
        </w:rPr>
        <w:t>непосредственный</w:t>
      </w:r>
      <w:r w:rsidRPr="00F52145">
        <w:rPr>
          <w:sz w:val="28"/>
          <w:szCs w:val="28"/>
          <w:shd w:val="clear" w:color="auto" w:fill="FFFFFF"/>
        </w:rPr>
        <w:t xml:space="preserve"> // Материалы I съезда оториноларингологов Республики Узбекистан. – Ташкент, 2000. – С. 65–68.</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Царев, В. Н. Антимикробная терапия в стоматологии / В. Н. Царев, Р. В. Ушаков. – Москва : МИА, 2004. – 143 с.</w:t>
      </w:r>
      <w:r>
        <w:rPr>
          <w:sz w:val="28"/>
          <w:szCs w:val="28"/>
          <w:shd w:val="clear" w:color="auto" w:fill="FFFFFF"/>
        </w:rPr>
        <w:t xml:space="preserve"> –</w:t>
      </w:r>
      <w:r w:rsidRPr="00C36C69">
        <w:rPr>
          <w:rFonts w:ascii="Helvetica Neue" w:hAnsi="Helvetica Neue"/>
          <w:color w:val="222222"/>
          <w:sz w:val="21"/>
          <w:szCs w:val="21"/>
          <w:shd w:val="clear" w:color="auto" w:fill="FFFFFF"/>
        </w:rPr>
        <w:t xml:space="preserve"> </w:t>
      </w:r>
      <w:r w:rsidRPr="00C36C69">
        <w:rPr>
          <w:sz w:val="28"/>
          <w:szCs w:val="28"/>
          <w:shd w:val="clear" w:color="auto" w:fill="FFFFFF"/>
        </w:rPr>
        <w:t>ISBN 5-89481-190-2</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Царев, В. Н. Антимикробная терапия в стоматологии : руководство / В. Н. Царев, Р. В. Ушаков. – 2-е изд. – Москва : Медицинское информационное агентство, 2006. – 144 с.</w:t>
      </w:r>
      <w:r>
        <w:rPr>
          <w:sz w:val="28"/>
          <w:szCs w:val="28"/>
          <w:shd w:val="clear" w:color="auto" w:fill="FFFFFF"/>
        </w:rPr>
        <w:t xml:space="preserve"> –</w:t>
      </w:r>
      <w:r w:rsidRPr="00C36C69">
        <w:rPr>
          <w:rFonts w:ascii="Helvetica Neue" w:hAnsi="Helvetica Neue"/>
          <w:color w:val="222222"/>
          <w:sz w:val="21"/>
          <w:szCs w:val="21"/>
          <w:shd w:val="clear" w:color="auto" w:fill="FFFFFF"/>
        </w:rPr>
        <w:t xml:space="preserve"> </w:t>
      </w:r>
      <w:r w:rsidRPr="00C36C69">
        <w:rPr>
          <w:sz w:val="28"/>
          <w:szCs w:val="28"/>
          <w:shd w:val="clear" w:color="auto" w:fill="FFFFFF"/>
        </w:rPr>
        <w:t>ISBN 5-89481-412-X</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Царев, В. Н. Комплексная бактериологическая и иммунологическая диагностика воспалительных заболеваний челюстно-лицевой области и шеи / В. Н. Царев, Р. В. Ушаков. – Москва, 1991. – 28 с.</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Чевардов, Н. И. Внутричерепные осложнения гнойных заболеваний лица и шеи : автореф. дис. ... канд. мед. наук : 14.00.21 / Н. И. Чевардов. – Воронеж, 2000. – 27 с.</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Черных, Е. Р. Цитокиновый баланс в патогенезе системного воспалительного ответа: новая мишень иммунотерапевтических воздействий при лечении сепсиса / Е. Р. Черных, О. Ю. Леплина, М. А. Тихонова [и др.]</w:t>
      </w:r>
      <w:r w:rsidR="00BC6A69" w:rsidRPr="00BC6A69">
        <w:rPr>
          <w:sz w:val="28"/>
          <w:szCs w:val="28"/>
          <w:shd w:val="clear" w:color="auto" w:fill="FFFFFF"/>
        </w:rPr>
        <w:t xml:space="preserve"> </w:t>
      </w:r>
      <w:r w:rsidR="00BC6A69">
        <w:rPr>
          <w:sz w:val="28"/>
          <w:szCs w:val="28"/>
          <w:shd w:val="clear" w:color="auto" w:fill="FFFFFF"/>
        </w:rPr>
        <w:t xml:space="preserve">. - Текст </w:t>
      </w:r>
      <w:r w:rsidR="00BC6A69" w:rsidRPr="00DD1518">
        <w:rPr>
          <w:sz w:val="28"/>
          <w:szCs w:val="28"/>
          <w:shd w:val="clear" w:color="auto" w:fill="FFFFFF"/>
        </w:rPr>
        <w:t xml:space="preserve">: </w:t>
      </w:r>
      <w:r w:rsidR="00BC6A69">
        <w:rPr>
          <w:sz w:val="28"/>
          <w:szCs w:val="28"/>
          <w:shd w:val="clear" w:color="auto" w:fill="FFFFFF"/>
        </w:rPr>
        <w:t>непосредственный</w:t>
      </w:r>
      <w:r w:rsidRPr="00F52145">
        <w:rPr>
          <w:sz w:val="28"/>
          <w:szCs w:val="28"/>
          <w:shd w:val="clear" w:color="auto" w:fill="FFFFFF"/>
        </w:rPr>
        <w:t xml:space="preserve"> // Медицинская иммунология. – 2001. – Т. 3, № 3. – С. 415–429.</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Чумаков, A. A. Роль ассоциативной условно-патогенной флоры в развитии одонтогенных воспалительных заболеваний челюстно-лицевой области / A. A. Чумаков, Л. Г. Миринова, Л. А. Зотова</w:t>
      </w:r>
      <w:r w:rsidR="00BC6A69">
        <w:rPr>
          <w:sz w:val="28"/>
          <w:szCs w:val="28"/>
          <w:shd w:val="clear" w:color="auto" w:fill="FFFFFF"/>
        </w:rPr>
        <w:t xml:space="preserve">. - Текст </w:t>
      </w:r>
      <w:r w:rsidR="00BC6A69" w:rsidRPr="00DD1518">
        <w:rPr>
          <w:sz w:val="28"/>
          <w:szCs w:val="28"/>
          <w:shd w:val="clear" w:color="auto" w:fill="FFFFFF"/>
        </w:rPr>
        <w:t xml:space="preserve">: </w:t>
      </w:r>
      <w:r w:rsidR="00BC6A69">
        <w:rPr>
          <w:sz w:val="28"/>
          <w:szCs w:val="28"/>
          <w:shd w:val="clear" w:color="auto" w:fill="FFFFFF"/>
        </w:rPr>
        <w:t>непосредственный</w:t>
      </w:r>
      <w:r w:rsidRPr="00F52145">
        <w:rPr>
          <w:sz w:val="28"/>
          <w:szCs w:val="28"/>
          <w:shd w:val="clear" w:color="auto" w:fill="FFFFFF"/>
        </w:rPr>
        <w:t xml:space="preserve"> // Стоматология. – 1991. – № 6. – С. 30–32.</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 xml:space="preserve">Шано, В. П. Варианты лечения критических состояний с учетом патогенеза синдрома системного воспалительного ответа / В. П. Шано, </w:t>
      </w:r>
      <w:r w:rsidRPr="00F52145">
        <w:rPr>
          <w:sz w:val="28"/>
          <w:szCs w:val="28"/>
          <w:shd w:val="clear" w:color="auto" w:fill="FFFFFF"/>
        </w:rPr>
        <w:lastRenderedPageBreak/>
        <w:t>Ф. И. Гюльмамедов, А. Н. Нестеренко</w:t>
      </w:r>
      <w:r w:rsidR="00BC6A69">
        <w:rPr>
          <w:sz w:val="28"/>
          <w:szCs w:val="28"/>
          <w:shd w:val="clear" w:color="auto" w:fill="FFFFFF"/>
        </w:rPr>
        <w:t xml:space="preserve">. - Текст </w:t>
      </w:r>
      <w:r w:rsidR="00BC6A69" w:rsidRPr="00DD1518">
        <w:rPr>
          <w:sz w:val="28"/>
          <w:szCs w:val="28"/>
          <w:shd w:val="clear" w:color="auto" w:fill="FFFFFF"/>
        </w:rPr>
        <w:t xml:space="preserve">: </w:t>
      </w:r>
      <w:r w:rsidR="00BC6A69">
        <w:rPr>
          <w:sz w:val="28"/>
          <w:szCs w:val="28"/>
          <w:shd w:val="clear" w:color="auto" w:fill="FFFFFF"/>
        </w:rPr>
        <w:t>непосредственный</w:t>
      </w:r>
      <w:r w:rsidRPr="00F52145">
        <w:rPr>
          <w:sz w:val="28"/>
          <w:szCs w:val="28"/>
          <w:shd w:val="clear" w:color="auto" w:fill="FFFFFF"/>
        </w:rPr>
        <w:t xml:space="preserve"> // Анестезиология и реаниматология. – 1997. – № 6. – С. 17–19.</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Шано, В. П. Синдром эндогенной интоксикации / В. П. Шано, E. А. Кучер</w:t>
      </w:r>
      <w:r w:rsidR="00BC6A69">
        <w:rPr>
          <w:sz w:val="28"/>
          <w:szCs w:val="28"/>
          <w:shd w:val="clear" w:color="auto" w:fill="FFFFFF"/>
        </w:rPr>
        <w:t xml:space="preserve">. - Текст </w:t>
      </w:r>
      <w:r w:rsidR="00BC6A69" w:rsidRPr="00DD1518">
        <w:rPr>
          <w:sz w:val="28"/>
          <w:szCs w:val="28"/>
          <w:shd w:val="clear" w:color="auto" w:fill="FFFFFF"/>
        </w:rPr>
        <w:t xml:space="preserve">: </w:t>
      </w:r>
      <w:r w:rsidR="00BC6A69">
        <w:rPr>
          <w:sz w:val="28"/>
          <w:szCs w:val="28"/>
          <w:shd w:val="clear" w:color="auto" w:fill="FFFFFF"/>
        </w:rPr>
        <w:t>непосредственный</w:t>
      </w:r>
      <w:r w:rsidRPr="00F52145">
        <w:rPr>
          <w:sz w:val="28"/>
          <w:szCs w:val="28"/>
          <w:shd w:val="clear" w:color="auto" w:fill="FFFFFF"/>
        </w:rPr>
        <w:t xml:space="preserve"> // Острые и неотложные состояния в практике врача. – 2011. – № 1 (25). – С. 35–41.</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Шарабичев, Ю. Т. Коморбидность – актуальная научная и научно-практическая проблема медицины XXI века / Ю. Т. Шарабичев, В. В. Антипов, С. И. Антипов</w:t>
      </w:r>
      <w:r w:rsidR="00BC6A69">
        <w:rPr>
          <w:sz w:val="28"/>
          <w:szCs w:val="28"/>
          <w:shd w:val="clear" w:color="auto" w:fill="FFFFFF"/>
        </w:rPr>
        <w:t xml:space="preserve">. - Текст </w:t>
      </w:r>
      <w:r w:rsidR="00BC6A69" w:rsidRPr="00DD1518">
        <w:rPr>
          <w:sz w:val="28"/>
          <w:szCs w:val="28"/>
          <w:shd w:val="clear" w:color="auto" w:fill="FFFFFF"/>
        </w:rPr>
        <w:t xml:space="preserve">: </w:t>
      </w:r>
      <w:r w:rsidR="00BC6A69">
        <w:rPr>
          <w:sz w:val="28"/>
          <w:szCs w:val="28"/>
          <w:shd w:val="clear" w:color="auto" w:fill="FFFFFF"/>
        </w:rPr>
        <w:t>непосредственный</w:t>
      </w:r>
      <w:r w:rsidRPr="00F52145">
        <w:rPr>
          <w:sz w:val="28"/>
          <w:szCs w:val="28"/>
          <w:shd w:val="clear" w:color="auto" w:fill="FFFFFF"/>
        </w:rPr>
        <w:t xml:space="preserve"> // Медицинские новости. – 2014. – № 8 (239). – С. 6–11.</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Шаргородский, А. Г. Воспалительные заболевания тканей челюстно-лицевой области и шеи : учебное пособие / А. Г. Шаргородский. – Москва : ВУНМЦ, 2001. – 517 с.</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pacing w:val="-6"/>
          <w:sz w:val="28"/>
          <w:szCs w:val="28"/>
          <w:shd w:val="clear" w:color="auto" w:fill="FFFFFF"/>
        </w:rPr>
      </w:pPr>
      <w:r w:rsidRPr="00F52145">
        <w:rPr>
          <w:spacing w:val="-6"/>
          <w:sz w:val="28"/>
          <w:szCs w:val="28"/>
          <w:shd w:val="clear" w:color="auto" w:fill="FFFFFF"/>
        </w:rPr>
        <w:t>Шарипов, Р. Х. Антистрессовая защита и коррекция нарушений водно-электролитного баланса у хирургических больных после обширных абдоминальных операций : автореф. дис. ... канд. мед. наук : 14.01.20 / Р. Х. Шарипов. – Москва, 2010. – 27 с.</w:t>
      </w:r>
      <w:r>
        <w:rPr>
          <w:spacing w:val="-6"/>
          <w:sz w:val="28"/>
          <w:szCs w:val="28"/>
          <w:shd w:val="clear" w:color="auto" w:fill="FFFFFF"/>
        </w:rPr>
        <w:t xml:space="preserve"> </w:t>
      </w:r>
      <w:r>
        <w:rPr>
          <w:sz w:val="28"/>
          <w:szCs w:val="28"/>
          <w:shd w:val="clear" w:color="auto" w:fill="FFFFFF"/>
        </w:rPr>
        <w:t xml:space="preserve">–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Яковлев, В. П. Клиническая эффективность нового комбинированного антимикробною препарата, содержащего ципрофлоксацин и тинидазол. при лечении больных с инфекциями кожи и мягких тканей / В. П. Яковлев, Л. А. Блатун, Р. П. Терехова</w:t>
      </w:r>
      <w:r w:rsidR="00BC6A69">
        <w:rPr>
          <w:sz w:val="28"/>
          <w:szCs w:val="28"/>
          <w:shd w:val="clear" w:color="auto" w:fill="FFFFFF"/>
        </w:rPr>
        <w:t xml:space="preserve">. - Текст </w:t>
      </w:r>
      <w:r w:rsidR="00BC6A69" w:rsidRPr="00DD1518">
        <w:rPr>
          <w:sz w:val="28"/>
          <w:szCs w:val="28"/>
          <w:shd w:val="clear" w:color="auto" w:fill="FFFFFF"/>
        </w:rPr>
        <w:t xml:space="preserve">: </w:t>
      </w:r>
      <w:r w:rsidR="00BC6A69">
        <w:rPr>
          <w:sz w:val="28"/>
          <w:szCs w:val="28"/>
          <w:shd w:val="clear" w:color="auto" w:fill="FFFFFF"/>
        </w:rPr>
        <w:t>непосредственный</w:t>
      </w:r>
      <w:r w:rsidRPr="00F52145">
        <w:rPr>
          <w:sz w:val="28"/>
          <w:szCs w:val="28"/>
          <w:shd w:val="clear" w:color="auto" w:fill="FFFFFF"/>
        </w:rPr>
        <w:t xml:space="preserve"> // Антибиотики и химиотерапия. – 2005. –Т. 50, № 2–3. – С. 48–51.</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rPr>
      </w:pPr>
      <w:r w:rsidRPr="00F52145">
        <w:rPr>
          <w:sz w:val="28"/>
          <w:szCs w:val="28"/>
          <w:shd w:val="clear" w:color="auto" w:fill="FFFFFF"/>
        </w:rPr>
        <w:t>Яременко, А. И. Лечение и профилактика инфекционно-воспалительных заболеваний челюстно-лицевой области у пациентов старших возрастных групп (клинико-экспертное исследование) : автореф. дис. ... д-ра мед. наук : 14.00.21 / А. И. Яременко. – Санкт-Петербург, 2007. – 32 с.</w:t>
      </w:r>
      <w:r>
        <w:rPr>
          <w:sz w:val="28"/>
          <w:szCs w:val="28"/>
          <w:shd w:val="clear" w:color="auto" w:fill="FFFFFF"/>
        </w:rPr>
        <w:t xml:space="preserve"> – Текст </w:t>
      </w:r>
      <w:r w:rsidRPr="00DD1518">
        <w:rPr>
          <w:sz w:val="28"/>
          <w:szCs w:val="28"/>
          <w:shd w:val="clear" w:color="auto" w:fill="FFFFFF"/>
        </w:rPr>
        <w:t xml:space="preserve">: </w:t>
      </w:r>
      <w:r>
        <w:rPr>
          <w:sz w:val="28"/>
          <w:szCs w:val="28"/>
          <w:shd w:val="clear" w:color="auto" w:fill="FFFFFF"/>
        </w:rPr>
        <w:t>непосредственный.</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2001 SCCM/ESICM/ ACCP/ATS/SIS International Sepsis Definitions Conference / M. M. Levy, M. P. Fink, J. C. Marshall [et al.] // </w:t>
      </w:r>
      <w:r w:rsidRPr="00F52145">
        <w:rPr>
          <w:sz w:val="28"/>
          <w:szCs w:val="28"/>
          <w:lang w:val="en-US"/>
        </w:rPr>
        <w:t>Intensive care medicine</w:t>
      </w:r>
      <w:r w:rsidRPr="00F52145">
        <w:rPr>
          <w:sz w:val="28"/>
          <w:szCs w:val="28"/>
          <w:shd w:val="clear" w:color="auto" w:fill="FFFFFF"/>
          <w:lang w:val="en-US"/>
        </w:rPr>
        <w:t>. – 2003. – Vol. 29, Iss. 4. – P. 530–538.</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lastRenderedPageBreak/>
        <w:t xml:space="preserve">A fatal aortic arch rupture due to descending necrotizing Mediastinitis in a 24-year-old woman / F. Lareyre, C. Cohen, S. Declemy [et al.] // </w:t>
      </w:r>
      <w:r w:rsidRPr="00F52145">
        <w:rPr>
          <w:sz w:val="28"/>
          <w:szCs w:val="28"/>
          <w:lang w:val="en-US"/>
        </w:rPr>
        <w:t>Vascular and endovascular surgery</w:t>
      </w:r>
      <w:r w:rsidRPr="00F52145">
        <w:rPr>
          <w:sz w:val="28"/>
          <w:szCs w:val="28"/>
          <w:shd w:val="clear" w:color="auto" w:fill="FFFFFF"/>
          <w:lang w:val="en-US"/>
        </w:rPr>
        <w:t>. – 2017. – Vol. 51, Iss. 6. – P. 408–412.</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A meta-analysis of ALI and ARDS trials testing low tidal volumes / P. Q. Eichacker, E. P. Gerstenberger, S. M. Banks [et al.] // </w:t>
      </w:r>
      <w:r w:rsidRPr="00F52145">
        <w:rPr>
          <w:sz w:val="28"/>
          <w:szCs w:val="28"/>
          <w:lang w:val="en-US"/>
        </w:rPr>
        <w:t>American journal of respiratory and critical care medicine</w:t>
      </w:r>
      <w:r w:rsidRPr="00F52145">
        <w:rPr>
          <w:sz w:val="28"/>
          <w:szCs w:val="28"/>
          <w:shd w:val="clear" w:color="auto" w:fill="FFFFFF"/>
          <w:lang w:val="en-US"/>
        </w:rPr>
        <w:t>. – 2002. – Vol. 28. – P. 28.</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A multicenter registry of patients with acute respiratory distress syndrome: physiology and outcome / P. J. Shane, M. H. Gee, J. E. Gottlieb [et al.] // </w:t>
      </w:r>
      <w:r w:rsidRPr="00F52145">
        <w:rPr>
          <w:sz w:val="28"/>
          <w:szCs w:val="28"/>
          <w:lang w:val="en-US"/>
        </w:rPr>
        <w:t>The American review of respiratory disease</w:t>
      </w:r>
      <w:r w:rsidRPr="00F52145">
        <w:rPr>
          <w:sz w:val="28"/>
          <w:szCs w:val="28"/>
          <w:shd w:val="clear" w:color="auto" w:fill="FFFFFF"/>
          <w:lang w:val="en-US"/>
        </w:rPr>
        <w:t>. – 1992. – Vol. 146, Iss. 2. – P. 419–426.</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A prospective randomized trial of a prophylactic platelet transfusion trigger of 10 x 10(9) per L versus 30 x 10(9) per L in allogeneic hematopoietic progenitor cell transplant recipients / B. Diedrich, M. Remberger, A. Shanwell [et al.] // Transfusion. – 2005. – Vol. 45, Iss. 7. – P. 1064–1072.</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A simple model to help distinguish necrotizing fasciitis from nonnecrotizing soft tissue infection / D. B.Wall, S. R. Klein, S. Black, C. J. Virgilio // </w:t>
      </w:r>
      <w:r w:rsidRPr="00F52145">
        <w:rPr>
          <w:bCs/>
          <w:sz w:val="28"/>
          <w:szCs w:val="28"/>
          <w:shd w:val="clear" w:color="auto" w:fill="FFFFFF"/>
          <w:lang w:val="en-US"/>
        </w:rPr>
        <w:t>Journal of the American College of Surgeons</w:t>
      </w:r>
      <w:r w:rsidRPr="00F52145">
        <w:rPr>
          <w:sz w:val="28"/>
          <w:szCs w:val="28"/>
          <w:shd w:val="clear" w:color="auto" w:fill="FFFFFF"/>
          <w:lang w:val="en-US"/>
        </w:rPr>
        <w:t>. – 2000. – Vol. 191, Iss. 33. – P. 227–231.</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Abdurrazaq, T. O. Cervical necrotizing fasciitis: a potentially fatal disease with varied etiology / T. O. Abdurrazaq, A. A. Ibikunle, R. O. Braimah // </w:t>
      </w:r>
      <w:r w:rsidRPr="00F52145">
        <w:rPr>
          <w:sz w:val="28"/>
          <w:szCs w:val="28"/>
          <w:lang w:val="en-US"/>
        </w:rPr>
        <w:t>Annals of medical and health sciences research</w:t>
      </w:r>
      <w:r w:rsidRPr="00F52145">
        <w:rPr>
          <w:sz w:val="28"/>
          <w:szCs w:val="28"/>
          <w:shd w:val="clear" w:color="auto" w:fill="FFFFFF"/>
          <w:lang w:val="en-US"/>
        </w:rPr>
        <w:t>. – 2016. – Vol. 6, Iss. 4. – P. 251–256.</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Activated protein C concentrate for the treatment of meningococcal endotoxin shock in rabbits / M. G. Roback, A. M. Stack, C. Thompson [et al.] // Shock. – 1998. – Vol. 9, Iss. 2. – P. 138–142.</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Acute tongue abscess. Report of three cases / K. Antoniades, L. Hadjipetrou, V. Antoniades, D. Antoniades // </w:t>
      </w:r>
      <w:r w:rsidRPr="00F52145">
        <w:rPr>
          <w:sz w:val="28"/>
          <w:szCs w:val="28"/>
          <w:lang w:val="en-US"/>
        </w:rPr>
        <w:t>Oral surgery, oral medicine, oral pathology, oral radiology, and endodontics</w:t>
      </w:r>
      <w:r w:rsidRPr="00F52145">
        <w:rPr>
          <w:sz w:val="28"/>
          <w:szCs w:val="28"/>
          <w:shd w:val="clear" w:color="auto" w:fill="FFFFFF"/>
          <w:lang w:val="en-US"/>
        </w:rPr>
        <w:t xml:space="preserve">. – 2004. – Vol. 97, Iss. 5. – P. 570–573. </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Aird, W. C. The hematologic system as a marker of organ dysfunction in sepsis / W. C. Aird // </w:t>
      </w:r>
      <w:r w:rsidRPr="00F52145">
        <w:rPr>
          <w:sz w:val="28"/>
          <w:szCs w:val="28"/>
          <w:lang w:val="en-US"/>
        </w:rPr>
        <w:t>Mayo Clinic proceedings</w:t>
      </w:r>
      <w:r w:rsidRPr="00F52145">
        <w:rPr>
          <w:sz w:val="28"/>
          <w:szCs w:val="28"/>
          <w:shd w:val="clear" w:color="auto" w:fill="FFFFFF"/>
          <w:lang w:val="en-US"/>
        </w:rPr>
        <w:t>. – 2003. – Vol. 78, Iss. 7. –P. 869–881.</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Anaerobic infections in the surgical patients: microbiology etiology and therapy / </w:t>
      </w:r>
      <w:r w:rsidRPr="00F52145">
        <w:rPr>
          <w:sz w:val="28"/>
          <w:szCs w:val="28"/>
          <w:shd w:val="clear" w:color="auto" w:fill="FFFFFF"/>
        </w:rPr>
        <w:t>С</w:t>
      </w:r>
      <w:r w:rsidRPr="00F52145">
        <w:rPr>
          <w:sz w:val="28"/>
          <w:szCs w:val="28"/>
          <w:shd w:val="clear" w:color="auto" w:fill="FFFFFF"/>
          <w:lang w:val="en-US"/>
        </w:rPr>
        <w:t xml:space="preserve">. E. Edmiston, C. J. Krepel, G. R. Seabrook, W. G. Jochimsen // </w:t>
      </w:r>
      <w:r w:rsidRPr="00F52145">
        <w:rPr>
          <w:sz w:val="28"/>
          <w:szCs w:val="28"/>
          <w:lang w:val="en-US"/>
        </w:rPr>
        <w:t>Clinical infectious diseases</w:t>
      </w:r>
      <w:r w:rsidRPr="00F52145">
        <w:rPr>
          <w:sz w:val="28"/>
          <w:szCs w:val="28"/>
          <w:shd w:val="clear" w:color="auto" w:fill="FFFFFF"/>
          <w:lang w:val="en-US"/>
        </w:rPr>
        <w:t xml:space="preserve">. – 2002. – Vol. </w:t>
      </w:r>
      <w:r w:rsidR="00AA337A">
        <w:rPr>
          <w:sz w:val="28"/>
          <w:szCs w:val="28"/>
          <w:shd w:val="clear" w:color="auto" w:fill="FFFFFF"/>
          <w:lang w:val="en-US"/>
        </w:rPr>
        <w:t xml:space="preserve">35, Suppl. 1. – P. </w:t>
      </w:r>
      <w:r w:rsidRPr="00F52145">
        <w:rPr>
          <w:sz w:val="28"/>
          <w:szCs w:val="28"/>
          <w:shd w:val="clear" w:color="auto" w:fill="FFFFFF"/>
          <w:lang w:val="en-US"/>
        </w:rPr>
        <w:t>112–118.</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lastRenderedPageBreak/>
        <w:t xml:space="preserve">APACHE II: A severity of disease classification system / W. A. Knaus, </w:t>
      </w:r>
      <w:r w:rsidRPr="00F52145">
        <w:rPr>
          <w:sz w:val="28"/>
          <w:szCs w:val="28"/>
          <w:lang w:val="en-US"/>
        </w:rPr>
        <w:t>E. A. Draper, D. P. Wagner, J. E. Zimmerman</w:t>
      </w:r>
      <w:r w:rsidRPr="00F52145">
        <w:rPr>
          <w:sz w:val="28"/>
          <w:szCs w:val="28"/>
          <w:shd w:val="clear" w:color="auto" w:fill="FFFFFF"/>
          <w:lang w:val="en-US"/>
        </w:rPr>
        <w:t xml:space="preserve"> // </w:t>
      </w:r>
      <w:r w:rsidRPr="00F52145">
        <w:rPr>
          <w:sz w:val="28"/>
          <w:szCs w:val="28"/>
          <w:lang w:val="en-US"/>
        </w:rPr>
        <w:t>Critical care medicine</w:t>
      </w:r>
      <w:r w:rsidRPr="00F52145">
        <w:rPr>
          <w:sz w:val="28"/>
          <w:szCs w:val="28"/>
          <w:shd w:val="clear" w:color="auto" w:fill="FFFFFF"/>
          <w:lang w:val="en-US"/>
        </w:rPr>
        <w:t>. – 1985. – Vol. 13, Iss. 10. – P. 818–829.</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Ashar. A. Odontogenic cervical necrotizing fasciitis / A. Ashar // </w:t>
      </w:r>
      <w:r w:rsidRPr="00F52145">
        <w:rPr>
          <w:sz w:val="28"/>
          <w:szCs w:val="28"/>
          <w:lang w:val="en-US"/>
        </w:rPr>
        <w:t>Journal of the College of Physicians and Surgeons--Pakistan : JCPSP</w:t>
      </w:r>
      <w:r w:rsidRPr="00F52145">
        <w:rPr>
          <w:sz w:val="28"/>
          <w:szCs w:val="28"/>
          <w:shd w:val="clear" w:color="auto" w:fill="FFFFFF"/>
          <w:lang w:val="en-US"/>
        </w:rPr>
        <w:t>. – 2004. – Vol. 14, Iss. 2. – P. 119–121.</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Balk, R. A. Severe sepsis and septic shock. Definitions, epidemiology, and clinical manifestations / R. A. Balk // </w:t>
      </w:r>
      <w:r w:rsidRPr="00F52145">
        <w:rPr>
          <w:sz w:val="28"/>
          <w:szCs w:val="28"/>
          <w:lang w:val="en-US"/>
        </w:rPr>
        <w:t>Critical care clinics</w:t>
      </w:r>
      <w:r w:rsidRPr="00F52145">
        <w:rPr>
          <w:sz w:val="28"/>
          <w:szCs w:val="28"/>
          <w:shd w:val="clear" w:color="auto" w:fill="FFFFFF"/>
          <w:lang w:val="en-US"/>
        </w:rPr>
        <w:t xml:space="preserve">. – 2000. – Vol. 16, Iss. 2. – C. 179–192. </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Baue, A. E. Systemic inflammatory response syndrome (SIRS), multiple organ dysfunction syndrome (MODS), multiple organ failure (MOF): are we winning the battle? / A. E. Baue, R. Durham, E. Faist // Shock. – 1998. –Vol. 10, Iss. 2. – P. 79–89. </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Bayetto, K. Necrotizing fasciitis as a complication of odontogenic infection: a review of management and case series / K. Bayetto, A. Cheng, P. Sambrook // </w:t>
      </w:r>
      <w:r w:rsidRPr="00F52145">
        <w:rPr>
          <w:sz w:val="28"/>
          <w:szCs w:val="28"/>
          <w:lang w:val="en-US"/>
        </w:rPr>
        <w:t>Australian dental journal</w:t>
      </w:r>
      <w:r w:rsidRPr="00F52145">
        <w:rPr>
          <w:sz w:val="28"/>
          <w:szCs w:val="28"/>
          <w:shd w:val="clear" w:color="auto" w:fill="FFFFFF"/>
          <w:lang w:val="en-US"/>
        </w:rPr>
        <w:t>. – 2017. – Vol. 62, Iss. 3. – P. 317–22.</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Blood purification and mortality in sepsis: a meta-analysis of randomized trials / F. Zhou, Z. Peng, R. Murugan, J. A. Kellum // </w:t>
      </w:r>
      <w:r w:rsidRPr="00F52145">
        <w:rPr>
          <w:sz w:val="28"/>
          <w:szCs w:val="28"/>
          <w:lang w:val="en-US"/>
        </w:rPr>
        <w:t>Critical care medicine</w:t>
      </w:r>
      <w:r w:rsidRPr="00F52145">
        <w:rPr>
          <w:sz w:val="28"/>
          <w:szCs w:val="28"/>
          <w:shd w:val="clear" w:color="auto" w:fill="FFFFFF"/>
          <w:lang w:val="en-US"/>
        </w:rPr>
        <w:t>. – 2013. – Vol. 41, Iss. 9. – P. 2209–2220.</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Blueman, D. The use of larval therapy to reduce the bacterial load in chronic wounds / D. Blueman, C. Bousfield // </w:t>
      </w:r>
      <w:r w:rsidRPr="00F52145">
        <w:rPr>
          <w:sz w:val="28"/>
          <w:szCs w:val="28"/>
          <w:lang w:val="en-US"/>
        </w:rPr>
        <w:t>Journal of wound care</w:t>
      </w:r>
      <w:r w:rsidRPr="00F52145">
        <w:rPr>
          <w:sz w:val="28"/>
          <w:szCs w:val="28"/>
          <w:shd w:val="clear" w:color="auto" w:fill="FFFFFF"/>
          <w:lang w:val="en-US"/>
        </w:rPr>
        <w:t>. – 2012. – Vol. 21, Iss. 5. – P. 244–253.</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Bone, R. C. A personal experience with SIRS and MODS / R. C. Bone // </w:t>
      </w:r>
      <w:r w:rsidRPr="00F52145">
        <w:rPr>
          <w:sz w:val="28"/>
          <w:szCs w:val="28"/>
          <w:lang w:val="en-US"/>
        </w:rPr>
        <w:t>Critical care medicine</w:t>
      </w:r>
      <w:r w:rsidRPr="00F52145">
        <w:rPr>
          <w:sz w:val="28"/>
          <w:szCs w:val="28"/>
          <w:shd w:val="clear" w:color="auto" w:fill="FFFFFF"/>
          <w:lang w:val="en-US"/>
        </w:rPr>
        <w:t>. – 1996. – Vol. 24, Iss. 8. – P. 1417–1418.</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 Bone, R. C. Pathogenesis of sepsis / R. C. Bone // </w:t>
      </w:r>
      <w:r w:rsidRPr="00F52145">
        <w:rPr>
          <w:sz w:val="28"/>
          <w:szCs w:val="28"/>
          <w:lang w:val="en-US"/>
        </w:rPr>
        <w:t>Annals of internal medicine</w:t>
      </w:r>
      <w:r w:rsidRPr="00F52145">
        <w:rPr>
          <w:sz w:val="28"/>
          <w:szCs w:val="28"/>
          <w:shd w:val="clear" w:color="auto" w:fill="FFFFFF"/>
          <w:lang w:val="en-US"/>
        </w:rPr>
        <w:t>. – 1991. – Vol. 115, Iss. 6. – P. 457–469.</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Bone, R. C. Sepsis and controlled clinical trials: the odyssey (editorial; comment) / R. C. Bone // </w:t>
      </w:r>
      <w:r w:rsidRPr="00F52145">
        <w:rPr>
          <w:sz w:val="28"/>
          <w:szCs w:val="28"/>
          <w:lang w:val="en-US"/>
        </w:rPr>
        <w:t>Critical care medicine</w:t>
      </w:r>
      <w:r w:rsidRPr="00F52145">
        <w:rPr>
          <w:sz w:val="28"/>
          <w:szCs w:val="28"/>
          <w:shd w:val="clear" w:color="auto" w:fill="FFFFFF"/>
          <w:lang w:val="en-US"/>
        </w:rPr>
        <w:t>. – 1995. –Vol. 23, Iss. 7. – P. 1165–1166.</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Bone, R. C. Sepsis, the sepsis syndrome, multi-organ failure: a plain for comparable definitions / R. C. Bone // </w:t>
      </w:r>
      <w:r w:rsidRPr="00F52145">
        <w:rPr>
          <w:sz w:val="28"/>
          <w:szCs w:val="28"/>
          <w:lang w:val="en-US"/>
        </w:rPr>
        <w:t>Annals of internal medicine</w:t>
      </w:r>
      <w:r w:rsidRPr="00F52145">
        <w:rPr>
          <w:sz w:val="28"/>
          <w:szCs w:val="28"/>
          <w:shd w:val="clear" w:color="auto" w:fill="FFFFFF"/>
          <w:lang w:val="en-US"/>
        </w:rPr>
        <w:t>. – 1991. – Vol. 114, Iss. 4. –P. 332–333.</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lastRenderedPageBreak/>
        <w:t xml:space="preserve">Bone, R. C. Sir Isaac Newton, sepsis, SIRS and Care / R. C. Bone // </w:t>
      </w:r>
      <w:r w:rsidRPr="00F52145">
        <w:rPr>
          <w:sz w:val="28"/>
          <w:szCs w:val="28"/>
          <w:lang w:val="en-US"/>
        </w:rPr>
        <w:t>Critical care medicine</w:t>
      </w:r>
      <w:r w:rsidRPr="00F52145">
        <w:rPr>
          <w:sz w:val="28"/>
          <w:szCs w:val="28"/>
          <w:shd w:val="clear" w:color="auto" w:fill="FFFFFF"/>
          <w:lang w:val="en-US"/>
        </w:rPr>
        <w:t>. – 1996. – Vol. 24, Iss. 7. – P. 1125–1128.</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Bone, R. C. Toward a theory regarding the pathogenesis of the systemic inflammatory response syndrome: What we do and do not know about cytokine regulation / R. C. Bone // </w:t>
      </w:r>
      <w:r w:rsidRPr="00F52145">
        <w:rPr>
          <w:sz w:val="28"/>
          <w:szCs w:val="28"/>
          <w:lang w:val="en-US"/>
        </w:rPr>
        <w:t>Critical care medicine</w:t>
      </w:r>
      <w:r w:rsidRPr="00F52145">
        <w:rPr>
          <w:sz w:val="28"/>
          <w:szCs w:val="28"/>
          <w:shd w:val="clear" w:color="auto" w:fill="FFFFFF"/>
          <w:lang w:val="en-US"/>
        </w:rPr>
        <w:t>. – 1996. – Vol. 24, Iss. 1. – P. 163–170.</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Botha, A. Retrospective analysis of etiology and comorbid diseases associated with Ludwig's angina / A. Botha, F. Jacobs, C. Postma // </w:t>
      </w:r>
      <w:r w:rsidRPr="00F52145">
        <w:rPr>
          <w:sz w:val="28"/>
          <w:szCs w:val="28"/>
          <w:lang w:val="en-US"/>
        </w:rPr>
        <w:t>Annals of maxillofacial surgery</w:t>
      </w:r>
      <w:r w:rsidRPr="00F52145">
        <w:rPr>
          <w:sz w:val="28"/>
          <w:szCs w:val="28"/>
          <w:shd w:val="clear" w:color="auto" w:fill="FFFFFF"/>
          <w:lang w:val="en-US"/>
        </w:rPr>
        <w:t>. – 2015. – Vol. 5, Iss. 2. – P. 168–173.</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Can progression of odontogenic infections to cervical necrotizing soft tissue infections be predicted? / K. Zemplenyi, B. Lopez, M. Sardesai, J. K. Dillon // </w:t>
      </w:r>
      <w:r w:rsidRPr="00F52145">
        <w:rPr>
          <w:bCs/>
          <w:sz w:val="28"/>
          <w:szCs w:val="28"/>
          <w:shd w:val="clear" w:color="auto" w:fill="FFFFFF"/>
          <w:lang w:val="en-US"/>
        </w:rPr>
        <w:t xml:space="preserve">International journal of oral and maxillofacial surgery. </w:t>
      </w:r>
      <w:r w:rsidRPr="00F52145">
        <w:rPr>
          <w:sz w:val="28"/>
          <w:szCs w:val="28"/>
          <w:shd w:val="clear" w:color="auto" w:fill="FFFFFF"/>
          <w:lang w:val="en-US"/>
        </w:rPr>
        <w:t>– 2017. – Vol. 46, Iss. 2. – P. 181–188.</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Causes and consequences of comorbidity: a review / R. Gijsen, N. Hoeymans, F. G. Schellevis [et al.] // </w:t>
      </w:r>
      <w:r w:rsidRPr="00F52145">
        <w:rPr>
          <w:sz w:val="28"/>
          <w:szCs w:val="28"/>
          <w:lang w:val="en-US"/>
        </w:rPr>
        <w:t>Journal of clinical epidemiology</w:t>
      </w:r>
      <w:r w:rsidRPr="00F52145">
        <w:rPr>
          <w:sz w:val="28"/>
          <w:szCs w:val="28"/>
          <w:shd w:val="clear" w:color="auto" w:fill="FFFFFF"/>
          <w:lang w:val="en-US"/>
        </w:rPr>
        <w:t>. – 2001. – Vol. 54, Iss. 7. – P. 661–674.</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Cervical necrotizing fasciitis and acute mediastinitis of odontogenic origin: a case series / P. Cariati, F. Monsalve-Iglesias, A. Cabello-Serrano [et al.] // </w:t>
      </w:r>
      <w:r w:rsidRPr="00F52145">
        <w:rPr>
          <w:sz w:val="28"/>
          <w:szCs w:val="28"/>
          <w:lang w:val="en-US"/>
        </w:rPr>
        <w:t>Journal of clinical and experimental dentistry</w:t>
      </w:r>
      <w:r w:rsidRPr="00F52145">
        <w:rPr>
          <w:sz w:val="28"/>
          <w:szCs w:val="28"/>
          <w:shd w:val="clear" w:color="auto" w:fill="FFFFFF"/>
          <w:lang w:val="en-US"/>
        </w:rPr>
        <w:t>. – 2017. – Vol. 9, Iss. 1. – P. 150–152.</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Cervical necrotizing fasciitis and diabetic ketoacidosis: Literature review and case report / P. leyva, M. Herrero, J. M. Eslaya, J. Acero // International Journal of Oral and Maxillofacial Surjery. – 2013. – Vol. 42, Iss. 12. – P. 1592–1595. </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Cervical necrotizing fasciitis of odontogenic origin and hyperbaric oxygen therapy / C. H. Inan, H. M. Yener, M. Yilmaz [et al.] // </w:t>
      </w:r>
      <w:r w:rsidRPr="00F52145">
        <w:rPr>
          <w:sz w:val="28"/>
          <w:szCs w:val="28"/>
          <w:lang w:val="en-US"/>
        </w:rPr>
        <w:t>The Journal of craniofacial surgery</w:t>
      </w:r>
      <w:r w:rsidRPr="00F52145">
        <w:rPr>
          <w:sz w:val="28"/>
          <w:szCs w:val="28"/>
          <w:shd w:val="clear" w:color="auto" w:fill="FFFFFF"/>
          <w:lang w:val="en-US"/>
        </w:rPr>
        <w:t>. – 2017. – Vol. 28, Iss. 7. – P. 691–692.</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Cervical necrotizing fasciitis of odontogenic origin in a diabetic patient complicated by substance abuse / R. C. Junior, M. G. Naclerio-Homem, L. M. Cabral, J. G. Luz // </w:t>
      </w:r>
      <w:r w:rsidRPr="00F52145">
        <w:rPr>
          <w:sz w:val="28"/>
          <w:szCs w:val="28"/>
          <w:lang w:val="en-US"/>
        </w:rPr>
        <w:t>Brazilian dental journal</w:t>
      </w:r>
      <w:r w:rsidRPr="00F52145">
        <w:rPr>
          <w:sz w:val="28"/>
          <w:szCs w:val="28"/>
          <w:shd w:val="clear" w:color="auto" w:fill="FFFFFF"/>
          <w:lang w:val="en-US"/>
        </w:rPr>
        <w:t>. – 2014. – Vol. 25, Iss. 1. – P. 69–72.</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Cervical necrotizing fasciitis: an overlooked diagnosis of a fatal disease / M. A. Al-Ali, A. F. Hefny, K. M. Idris, F. M. Abu-Zidan // Acta Otolaryngol. – 2018. – Vol. 138, Iss. 4. – P. 411–414.</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lastRenderedPageBreak/>
        <w:t xml:space="preserve">Cervical necrotizing fasciitis: report of 6 cases and review of literature / P. C. Toro, À. C. Castillo, J. T. Saltó [et al.] // </w:t>
      </w:r>
      <w:r w:rsidRPr="00F52145">
        <w:rPr>
          <w:sz w:val="28"/>
          <w:szCs w:val="28"/>
          <w:lang w:val="en-US"/>
        </w:rPr>
        <w:t>European annals of otorhinolaryngology, head and neck diseases</w:t>
      </w:r>
      <w:r w:rsidRPr="00F52145">
        <w:rPr>
          <w:sz w:val="28"/>
          <w:szCs w:val="28"/>
          <w:shd w:val="clear" w:color="auto" w:fill="FFFFFF"/>
          <w:lang w:val="en-US"/>
        </w:rPr>
        <w:t>. – 2014. – Vol. 131, Iss. 6. – P. 357–359.</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Cervical-thoracic necrotizing fasciitis of odontogenic origin in a diabetic patient: a case report / M. B. Cavalcante, A. L. O.Lima, R. T. Moreira [et al.] // </w:t>
      </w:r>
      <w:r w:rsidRPr="00F52145">
        <w:rPr>
          <w:sz w:val="28"/>
          <w:szCs w:val="28"/>
          <w:lang w:val="en-US"/>
        </w:rPr>
        <w:t>General dentistry</w:t>
      </w:r>
      <w:r w:rsidRPr="00F52145">
        <w:rPr>
          <w:sz w:val="28"/>
          <w:szCs w:val="28"/>
          <w:shd w:val="clear" w:color="auto" w:fill="FFFFFF"/>
          <w:lang w:val="en-US"/>
        </w:rPr>
        <w:t>. – 2017. – Vol. 65, Iss. 4. – P. 25–29.</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Corticosteroids in the treatment of severe sepsis and septic shock in adults: a systematic review / D. Annane, E. Bellissant, P. E. Bollaert [et al.] // JAMA. – 2009. – Vol. 301, Iss. 22. – P. 2362–2375.</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Cytokine profiles as markers of disease severity in sepsis: a multiplex analysis / F. A. Bozza, J. I. Salluh, A. M. Japiassu [et al.] // Critical Care. – 2007. – Vol. 11, Iss. 2. – P. 49–51.</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Definitions for sepsis and organ failure and guidelines for the use of innovative therapies in sepsis: the ACCP/SCCM consensus conference committee / R. C. Bone, </w:t>
      </w:r>
      <w:r w:rsidRPr="00F52145">
        <w:rPr>
          <w:rStyle w:val="authors-list-item"/>
          <w:sz w:val="28"/>
          <w:szCs w:val="28"/>
          <w:lang w:val="en-US"/>
        </w:rPr>
        <w:t>R. A. Balk</w:t>
      </w:r>
      <w:r w:rsidRPr="00F52145">
        <w:rPr>
          <w:rStyle w:val="comma"/>
          <w:rFonts w:eastAsia="MS Mincho"/>
          <w:sz w:val="28"/>
          <w:szCs w:val="28"/>
          <w:shd w:val="clear" w:color="auto" w:fill="FFFFFF"/>
          <w:lang w:val="en-US"/>
        </w:rPr>
        <w:t xml:space="preserve">, </w:t>
      </w:r>
      <w:r w:rsidRPr="00F52145">
        <w:rPr>
          <w:rStyle w:val="authors-list-item"/>
          <w:sz w:val="28"/>
          <w:szCs w:val="28"/>
          <w:lang w:val="en-US"/>
        </w:rPr>
        <w:t>F. B. Cerra</w:t>
      </w:r>
      <w:r w:rsidRPr="00F52145">
        <w:rPr>
          <w:sz w:val="28"/>
          <w:szCs w:val="28"/>
          <w:shd w:val="clear" w:color="auto" w:fill="FFFFFF"/>
          <w:lang w:val="en-US"/>
        </w:rPr>
        <w:t xml:space="preserve"> [et al.] // Chest. – 1992. – Vol. 101, Iss. 6. – P. 1644–1655.</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Dentogene focus as a rare cause of necrotizing fasciitis / C. Kloth, S. Hoefert, T. Fischborn, C. Schraml // </w:t>
      </w:r>
      <w:r w:rsidRPr="00F52145">
        <w:rPr>
          <w:sz w:val="28"/>
          <w:szCs w:val="28"/>
          <w:lang w:val="en-US"/>
        </w:rPr>
        <w:t>Deutsche medizinische Wochenschrift</w:t>
      </w:r>
      <w:r w:rsidRPr="00F52145">
        <w:rPr>
          <w:sz w:val="28"/>
          <w:szCs w:val="28"/>
          <w:shd w:val="clear" w:color="auto" w:fill="FFFFFF"/>
          <w:lang w:val="en-US"/>
        </w:rPr>
        <w:t>. – 2017. – Vol. 142, Iss. 3. – P. 212–215.</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Descending necrotising mediastinitis, A fatal disease to keep in mind / M. A. Abeeleh, M. Al Smady, H. Qasem [et al.] // Heart, Lung and Circulation. – 2010. – Vol. 19, Iss. 4. – P. 254–256. </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Descending necrotizing mediastinitis treated with tooth extractions following mediastinal and cervical drainage / M. Fukuchi, O. Suzuki, D. Nasu [et al.] //Case Reports in Gastroenterology. – 2015. – Vol. 9, Iss. 3. – P. 311–316.</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Descending necrotizing mediastinitis: early detection and radical surgery are crucial / A. Sander, J. Borgermann, S. Kosling [et al.] // Journal of Oral and Maxillofacial Surjery. – 2007. – Vol. 65, Iss. 4. – P. 794–800. </w:t>
      </w:r>
    </w:p>
    <w:p w:rsidR="00286780" w:rsidRPr="00F52145" w:rsidRDefault="00286780" w:rsidP="002A3C85">
      <w:pPr>
        <w:numPr>
          <w:ilvl w:val="0"/>
          <w:numId w:val="10"/>
        </w:numPr>
        <w:shd w:val="clear" w:color="auto" w:fill="FFFFFF"/>
        <w:spacing w:line="360" w:lineRule="auto"/>
        <w:ind w:left="0" w:firstLine="567"/>
        <w:jc w:val="both"/>
        <w:rPr>
          <w:spacing w:val="-4"/>
          <w:sz w:val="28"/>
          <w:szCs w:val="28"/>
          <w:shd w:val="clear" w:color="auto" w:fill="FFFFFF"/>
          <w:lang w:val="en-US"/>
        </w:rPr>
      </w:pPr>
      <w:r w:rsidRPr="00F52145">
        <w:rPr>
          <w:spacing w:val="-4"/>
          <w:sz w:val="28"/>
          <w:szCs w:val="28"/>
          <w:shd w:val="clear" w:color="auto" w:fill="FFFFFF"/>
          <w:lang w:val="en-US"/>
        </w:rPr>
        <w:lastRenderedPageBreak/>
        <w:t xml:space="preserve">Detection of bacterial flora in orofacial space infections and their antibiotic sensitivity profile / N. S. Fating, D. Saikrishna, </w:t>
      </w:r>
      <w:r w:rsidRPr="00F52145">
        <w:rPr>
          <w:rStyle w:val="authors-list-item"/>
          <w:sz w:val="28"/>
          <w:szCs w:val="28"/>
          <w:lang w:val="en-US"/>
        </w:rPr>
        <w:t>G. S. Vijay Kumar [et al.]</w:t>
      </w:r>
      <w:r w:rsidRPr="00F52145">
        <w:rPr>
          <w:spacing w:val="-4"/>
          <w:sz w:val="28"/>
          <w:szCs w:val="28"/>
          <w:shd w:val="clear" w:color="auto" w:fill="FFFFFF"/>
          <w:lang w:val="en-US"/>
        </w:rPr>
        <w:t xml:space="preserve"> // </w:t>
      </w:r>
      <w:r w:rsidRPr="00F52145">
        <w:rPr>
          <w:sz w:val="28"/>
          <w:szCs w:val="28"/>
          <w:lang w:val="en-US"/>
        </w:rPr>
        <w:t>Journal of maxillofacial and oral surgery</w:t>
      </w:r>
      <w:r w:rsidRPr="00F52145">
        <w:rPr>
          <w:spacing w:val="-4"/>
          <w:sz w:val="28"/>
          <w:szCs w:val="28"/>
          <w:shd w:val="clear" w:color="auto" w:fill="FFFFFF"/>
          <w:lang w:val="en-US"/>
        </w:rPr>
        <w:t>. – 2014. – Vol. 13, Iss. 4. – P. 525–532.</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Dodson, T. B. Infections in immunocompromised patients / T. B. Dodson // </w:t>
      </w:r>
      <w:r w:rsidRPr="00F52145">
        <w:rPr>
          <w:sz w:val="28"/>
          <w:szCs w:val="28"/>
          <w:lang w:val="en-US"/>
        </w:rPr>
        <w:t>Journal of Oral and Maxillofacial Surgery</w:t>
      </w:r>
      <w:r w:rsidRPr="00F52145">
        <w:rPr>
          <w:sz w:val="28"/>
          <w:szCs w:val="28"/>
          <w:shd w:val="clear" w:color="auto" w:fill="FFFFFF"/>
          <w:lang w:val="en-US"/>
        </w:rPr>
        <w:t>. – 2005. – Vol. 63, Iss. 8, Suppl. 1. – P. 21.</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Drotrecogin alfa (activated) in adults with septic shock / V. M. Ranieri, B. T. Thompson, P. S. Barie [et al.] // </w:t>
      </w:r>
      <w:r w:rsidRPr="00F52145">
        <w:rPr>
          <w:sz w:val="28"/>
          <w:szCs w:val="28"/>
          <w:lang w:val="en-US"/>
        </w:rPr>
        <w:t>The New England journal of medicine</w:t>
      </w:r>
      <w:r w:rsidRPr="00F52145">
        <w:rPr>
          <w:sz w:val="28"/>
          <w:szCs w:val="28"/>
          <w:shd w:val="clear" w:color="auto" w:fill="FFFFFF"/>
          <w:lang w:val="en-US"/>
        </w:rPr>
        <w:t>. – 2012. – Vol. 366, Iss. 22. – P. 2055–2064.</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Early use of polymyxin B hemoperfusion in patients with septic shock due to peritonitis: a multicenter randomized control trial / D. M. Payen, J. Guilhot, Y. Launey [et al.] // </w:t>
      </w:r>
      <w:r w:rsidRPr="00F52145">
        <w:rPr>
          <w:sz w:val="28"/>
          <w:szCs w:val="28"/>
          <w:lang w:val="en-US"/>
        </w:rPr>
        <w:t>Intensive care medicine</w:t>
      </w:r>
      <w:r w:rsidRPr="00F52145">
        <w:rPr>
          <w:sz w:val="28"/>
          <w:szCs w:val="28"/>
          <w:shd w:val="clear" w:color="auto" w:fill="FFFFFF"/>
          <w:lang w:val="en-US"/>
        </w:rPr>
        <w:t>. – 2015. – Vol. 41, Iss. 6. – P. 975–984.</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Effect of a protective-ventilation strategy on mortality in the acute respiratory distress syndrome / M. B. Amato, C. S. Barbas, D. M. Medeiros [et al.] // </w:t>
      </w:r>
      <w:r w:rsidRPr="00F52145">
        <w:rPr>
          <w:sz w:val="28"/>
          <w:szCs w:val="28"/>
          <w:lang w:val="en-US"/>
        </w:rPr>
        <w:t>The New England journal of medicine</w:t>
      </w:r>
      <w:r w:rsidRPr="00F52145">
        <w:rPr>
          <w:sz w:val="28"/>
          <w:szCs w:val="28"/>
          <w:shd w:val="clear" w:color="auto" w:fill="FFFFFF"/>
          <w:lang w:val="en-US"/>
        </w:rPr>
        <w:t>. – 1998. – Vol. 338, Iss. 6. – P. 347–354.</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Effect of mechanical ventilation on inflammatory mediators in patients with acute respiratory distress syndrome: a randomized controlled trial / V. M. Ranieri, P. M. Suter, </w:t>
      </w:r>
      <w:r w:rsidRPr="00F52145">
        <w:rPr>
          <w:sz w:val="28"/>
          <w:szCs w:val="28"/>
          <w:shd w:val="clear" w:color="auto" w:fill="FFFFFF"/>
        </w:rPr>
        <w:t>С</w:t>
      </w:r>
      <w:r w:rsidRPr="00F52145">
        <w:rPr>
          <w:sz w:val="28"/>
          <w:szCs w:val="28"/>
          <w:shd w:val="clear" w:color="auto" w:fill="FFFFFF"/>
          <w:lang w:val="en-US"/>
        </w:rPr>
        <w:t xml:space="preserve">. Tortorella [et al.] // JAMA. – 1999. – Vol. 282, Iss. 1. – P. 54–61. </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Endotoxemia and endotoxin shock: disease, diagnosis, and therapy / ed.: C. Ronco [et al.]. – Basel : Karger Publishers, 2010. – 129 </w:t>
      </w:r>
      <w:r w:rsidRPr="00F52145">
        <w:rPr>
          <w:sz w:val="28"/>
          <w:szCs w:val="28"/>
          <w:shd w:val="clear" w:color="auto" w:fill="FFFFFF"/>
        </w:rPr>
        <w:t>р</w:t>
      </w:r>
      <w:r w:rsidRPr="00F52145">
        <w:rPr>
          <w:sz w:val="28"/>
          <w:szCs w:val="28"/>
          <w:shd w:val="clear" w:color="auto" w:fill="FFFFFF"/>
          <w:lang w:val="en-US"/>
        </w:rPr>
        <w:t>.</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Extensive cervical necrotizing fasciitis of odontogenic origin / A. A. Antunes, R. L. Avelar, W. M. de Melo [et al.] // </w:t>
      </w:r>
      <w:r w:rsidRPr="00F52145">
        <w:rPr>
          <w:sz w:val="28"/>
          <w:szCs w:val="28"/>
          <w:lang w:val="en-US"/>
        </w:rPr>
        <w:t>The Journal of craniofacial surgery</w:t>
      </w:r>
      <w:r w:rsidRPr="00F52145">
        <w:rPr>
          <w:sz w:val="28"/>
          <w:szCs w:val="28"/>
          <w:shd w:val="clear" w:color="auto" w:fill="FFFFFF"/>
          <w:lang w:val="en-US"/>
        </w:rPr>
        <w:t>. – 2013. – Vol. 24, Iss. 6. – P. 594–597.</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Facial paralysis and mediastinitis due to odontogenic infection and poor prognosis / A. Bucak, S. Ulu, S. Kokulu [et al.] // </w:t>
      </w:r>
      <w:r w:rsidRPr="00F52145">
        <w:rPr>
          <w:sz w:val="28"/>
          <w:szCs w:val="28"/>
          <w:lang w:val="en-US"/>
        </w:rPr>
        <w:t>The Journal of craniofacial surgery</w:t>
      </w:r>
      <w:r w:rsidRPr="00F52145">
        <w:rPr>
          <w:sz w:val="28"/>
          <w:szCs w:val="28"/>
          <w:shd w:val="clear" w:color="auto" w:fill="FFFFFF"/>
          <w:lang w:val="en-US"/>
        </w:rPr>
        <w:t>. – 2013. – Vol. 24, Iss. 6. – P. 1953–1956.</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Feinstein, A. R. Pre-therapeutic classification of comorbidity in chronic disease / A. R. Feinstein // </w:t>
      </w:r>
      <w:r w:rsidRPr="00F52145">
        <w:rPr>
          <w:sz w:val="28"/>
          <w:szCs w:val="28"/>
          <w:lang w:val="en-US"/>
        </w:rPr>
        <w:t>Journal of chronic diseases</w:t>
      </w:r>
      <w:r w:rsidRPr="00F52145">
        <w:rPr>
          <w:sz w:val="28"/>
          <w:szCs w:val="28"/>
          <w:shd w:val="clear" w:color="auto" w:fill="FFFFFF"/>
          <w:lang w:val="en-US"/>
        </w:rPr>
        <w:t>. – 1970. – Vol. 23, Iss. 7. – P. 455–468.</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lastRenderedPageBreak/>
        <w:t xml:space="preserve">Fluids in Sepsis and Septic Shock Group. Fluid resuscitation in sepsis: a systematic review and network meta-analysis / B. Rochwerg, W. Alhazzani, A. Sindi [et al.] // </w:t>
      </w:r>
      <w:r w:rsidRPr="00F52145">
        <w:rPr>
          <w:sz w:val="28"/>
          <w:szCs w:val="28"/>
          <w:lang w:val="en-US"/>
        </w:rPr>
        <w:t>Annals of internal medicine</w:t>
      </w:r>
      <w:r w:rsidRPr="00F52145">
        <w:rPr>
          <w:sz w:val="28"/>
          <w:szCs w:val="28"/>
          <w:shd w:val="clear" w:color="auto" w:fill="FFFFFF"/>
          <w:lang w:val="en-US"/>
        </w:rPr>
        <w:t>. – 2014. – Vol. 161, Iss. 5. – P. 347–355.</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Frequency and importance of barotrauma in 100 patients with acute lung injury / L. M. Schnapp, D. P. Chin, N. Szaflarski, M. A. Matthay // </w:t>
      </w:r>
      <w:r w:rsidRPr="00F52145">
        <w:rPr>
          <w:sz w:val="28"/>
          <w:szCs w:val="28"/>
          <w:lang w:val="en-US"/>
        </w:rPr>
        <w:t>Critical care medicine</w:t>
      </w:r>
      <w:r w:rsidRPr="00F52145">
        <w:rPr>
          <w:sz w:val="28"/>
          <w:szCs w:val="28"/>
          <w:shd w:val="clear" w:color="auto" w:fill="FFFFFF"/>
          <w:lang w:val="en-US"/>
        </w:rPr>
        <w:t xml:space="preserve">. – 1995. – Vol. 23, Iss. 2. – P. 272–278. </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Fukushima, S. Chronic kidney disease. Tipes and pitfall of perioperative menegement / S. Fukushima, T. Fujita, J. Kobayashi // </w:t>
      </w:r>
      <w:r w:rsidRPr="00F52145">
        <w:rPr>
          <w:sz w:val="28"/>
          <w:szCs w:val="28"/>
          <w:lang w:val="en-US"/>
        </w:rPr>
        <w:t>Kyobu geka. The Japanese journal of thoracic surgery</w:t>
      </w:r>
      <w:r w:rsidRPr="00F52145">
        <w:rPr>
          <w:sz w:val="28"/>
          <w:szCs w:val="28"/>
          <w:shd w:val="clear" w:color="auto" w:fill="FFFFFF"/>
          <w:lang w:val="en-US"/>
        </w:rPr>
        <w:t>. – 2017. – Vol. 70, Iss. 8. – P. 585–589.</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Geriatrie syndromes in older surgical patients: a literature review / P. J. McRae, A. M. Mudge, N. M. Peel, P. J. Walker // </w:t>
      </w:r>
      <w:r w:rsidRPr="00F52145">
        <w:rPr>
          <w:sz w:val="28"/>
          <w:szCs w:val="28"/>
          <w:lang w:val="en-US"/>
        </w:rPr>
        <w:t>The Journal of frailty &amp; aging</w:t>
      </w:r>
      <w:r w:rsidRPr="00F52145">
        <w:rPr>
          <w:sz w:val="28"/>
          <w:szCs w:val="28"/>
          <w:shd w:val="clear" w:color="auto" w:fill="FFFFFF"/>
          <w:lang w:val="en-US"/>
        </w:rPr>
        <w:t>. – 2013. – Vol. 2, Iss. 4. – P. 205–210.</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Gore, M. R. Odontogenic necrotizing fasciitis: A systematic review of the literature / M. R. Gore // </w:t>
      </w:r>
      <w:r w:rsidRPr="00F52145">
        <w:rPr>
          <w:sz w:val="28"/>
          <w:szCs w:val="28"/>
          <w:lang w:val="en-US"/>
        </w:rPr>
        <w:t>BMC ear, nose, and throat disorders</w:t>
      </w:r>
      <w:r w:rsidRPr="00F52145">
        <w:rPr>
          <w:sz w:val="28"/>
          <w:szCs w:val="28"/>
          <w:shd w:val="clear" w:color="auto" w:fill="FFFFFF"/>
          <w:lang w:val="en-US"/>
        </w:rPr>
        <w:t>. – 2018. – Vol. 18, Art. 14. – DOI: 10.1186/s12901-018-0059-y.</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Grinnell, B. W. Recombinant human activated protein C: a system modulator of vascular function for treatment of severe sepsis / B. W. Grinnell, D. Joyce // </w:t>
      </w:r>
      <w:r w:rsidRPr="00F52145">
        <w:rPr>
          <w:sz w:val="28"/>
          <w:szCs w:val="28"/>
          <w:lang w:val="en-US"/>
        </w:rPr>
        <w:t>Critical care medicine</w:t>
      </w:r>
      <w:r w:rsidRPr="00F52145">
        <w:rPr>
          <w:sz w:val="28"/>
          <w:szCs w:val="28"/>
          <w:shd w:val="clear" w:color="auto" w:fill="FFFFFF"/>
          <w:lang w:val="en-US"/>
        </w:rPr>
        <w:t>. – 2001. – Vol. 29, Iss. 7, Suppl. – P. 53–60.</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Ha, K. Y. Vibrio vulnificus necrotizing fasciitis preceding herpes zoster / K. Y. Ha, S. K. Tyring // </w:t>
      </w:r>
      <w:r w:rsidRPr="00F52145">
        <w:rPr>
          <w:sz w:val="28"/>
          <w:szCs w:val="28"/>
          <w:lang w:val="en-US"/>
        </w:rPr>
        <w:t>Proceedings (Baylor University. Medical Center)</w:t>
      </w:r>
      <w:r w:rsidRPr="00F52145">
        <w:rPr>
          <w:sz w:val="28"/>
          <w:szCs w:val="28"/>
          <w:shd w:val="clear" w:color="auto" w:fill="FFFFFF"/>
          <w:lang w:val="en-US"/>
        </w:rPr>
        <w:t>. – 2013. – Vol. 26, Iss. 1. – P. 55–57.</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Hematological indices, inflammatory markers and neutrophil CD64 expression: comparative trends during experimental human endotoxemia / W. Van der Meer, P. Pickkers, C. S. Scott [et al.] // </w:t>
      </w:r>
      <w:r w:rsidRPr="00F52145">
        <w:rPr>
          <w:sz w:val="28"/>
          <w:szCs w:val="28"/>
          <w:lang w:val="en-US"/>
        </w:rPr>
        <w:t>Journal of endotoxin research</w:t>
      </w:r>
      <w:r w:rsidRPr="00F52145">
        <w:rPr>
          <w:sz w:val="28"/>
          <w:szCs w:val="28"/>
          <w:shd w:val="clear" w:color="auto" w:fill="FFFFFF"/>
          <w:lang w:val="en-US"/>
        </w:rPr>
        <w:t xml:space="preserve">. – 2007. – Vol. 13, Iss. 2. – P. 94–100. </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Heparin thromboprophylaxis in medical-surgical critically ill patients: a systematic review and meta-analysis of randomized trials / W. Alhazzani, W. Lim, R. Z. Jaeschke [et al.] // </w:t>
      </w:r>
      <w:r w:rsidRPr="00F52145">
        <w:rPr>
          <w:sz w:val="28"/>
          <w:szCs w:val="28"/>
          <w:lang w:val="en-US"/>
        </w:rPr>
        <w:t>Critical care medicine</w:t>
      </w:r>
      <w:r w:rsidRPr="00F52145">
        <w:rPr>
          <w:sz w:val="28"/>
          <w:szCs w:val="28"/>
          <w:shd w:val="clear" w:color="auto" w:fill="FFFFFF"/>
          <w:lang w:val="en-US"/>
        </w:rPr>
        <w:t>. – 2013. – Vol. 41, Iss. 9. – P. 2088–2098.</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lastRenderedPageBreak/>
        <w:t xml:space="preserve">Hudon, C. Cumulative illness rating scale was a reliable and valid index in a family practice context / C. Hudon, M. Fortin, A. Vanasse // </w:t>
      </w:r>
      <w:r w:rsidRPr="00F52145">
        <w:rPr>
          <w:sz w:val="28"/>
          <w:szCs w:val="28"/>
          <w:lang w:val="en-US"/>
        </w:rPr>
        <w:t>Journal of clinical epidemiology</w:t>
      </w:r>
      <w:r w:rsidRPr="00F52145">
        <w:rPr>
          <w:sz w:val="28"/>
          <w:szCs w:val="28"/>
          <w:shd w:val="clear" w:color="auto" w:fill="FFFFFF"/>
          <w:lang w:val="en-US"/>
        </w:rPr>
        <w:t>. – 2005. – Vol. 58, Iss. 6. – P. 603–608.</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Hydrocortisone therapy for patients with septic shock / C. L Sprung, D. Annane, D. Keh [et al.] // </w:t>
      </w:r>
      <w:r w:rsidRPr="00F52145">
        <w:rPr>
          <w:sz w:val="28"/>
          <w:szCs w:val="28"/>
          <w:lang w:val="en-US"/>
        </w:rPr>
        <w:t>The New England journal of medicine</w:t>
      </w:r>
      <w:r w:rsidRPr="00F52145">
        <w:rPr>
          <w:sz w:val="28"/>
          <w:szCs w:val="28"/>
          <w:shd w:val="clear" w:color="auto" w:fill="FFFFFF"/>
          <w:lang w:val="en-US"/>
        </w:rPr>
        <w:t>. – 2008. – Vol. 358, Iss. 2. – P. 111–124.</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Infections of the neck leading descending necrotizing mediastinitis / A. Pinto, M. Scaglione, M. G. Scuderi [et al.] // European journal of radiology. – Vol. 65, Iss. 3. – P. 389–394. </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Inhaled nitric oxide for the adult respiratory distress syndrome / R. Rossaint, K. J. Falke, F. López [et al.] // </w:t>
      </w:r>
      <w:r w:rsidRPr="00F52145">
        <w:rPr>
          <w:sz w:val="28"/>
          <w:szCs w:val="28"/>
          <w:lang w:val="en-US"/>
        </w:rPr>
        <w:t>The New England journal of medicine</w:t>
      </w:r>
      <w:r w:rsidRPr="00F52145">
        <w:rPr>
          <w:sz w:val="28"/>
          <w:szCs w:val="28"/>
          <w:shd w:val="clear" w:color="auto" w:fill="FFFFFF"/>
          <w:lang w:val="en-US"/>
        </w:rPr>
        <w:t xml:space="preserve">. – 1993. – Vol. 328, Iss. 6. – P. 399–405. </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Intravenous immunoglobulin for treating sepsis, severe sepsis and septic shock / M. M. Alejandria, M. A. Lansang, L. F. Dans, J. B. Mantaring // </w:t>
      </w:r>
      <w:r w:rsidRPr="00F52145">
        <w:rPr>
          <w:sz w:val="28"/>
          <w:szCs w:val="28"/>
          <w:lang w:val="en-US"/>
        </w:rPr>
        <w:t>The Cochrane database of systematic reviews</w:t>
      </w:r>
      <w:r w:rsidRPr="00F52145">
        <w:rPr>
          <w:sz w:val="28"/>
          <w:szCs w:val="28"/>
          <w:shd w:val="clear" w:color="auto" w:fill="FFFFFF"/>
          <w:lang w:val="en-US"/>
        </w:rPr>
        <w:t>. – 2013. – Vol. 2013, Iss. 9. – P. 001–090.</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Irani, S. Orofacial bacterial infectious diseases: an update / S. Irani // </w:t>
      </w:r>
      <w:r w:rsidRPr="00F52145">
        <w:rPr>
          <w:sz w:val="28"/>
          <w:szCs w:val="28"/>
          <w:lang w:val="en-US"/>
        </w:rPr>
        <w:t>Journal of International Society of Preventive &amp; Community Dentistry</w:t>
      </w:r>
      <w:r w:rsidRPr="00F52145">
        <w:rPr>
          <w:sz w:val="28"/>
          <w:szCs w:val="28"/>
          <w:shd w:val="clear" w:color="auto" w:fill="FFFFFF"/>
          <w:lang w:val="en-US"/>
        </w:rPr>
        <w:t>. – 2017. – Vol. 7 (Suppl 2). – P. S61–S67.</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Italian Society of Transfusion Medicine and Immunohaematology (SIMTI) Work Group. Recommendations for the transfusion of plasma and platelets / G. Liumbruno, F. Bennardello, A. Lattanzio [et al.] // Blood </w:t>
      </w:r>
      <w:r w:rsidRPr="00F52145">
        <w:rPr>
          <w:sz w:val="28"/>
          <w:szCs w:val="28"/>
          <w:lang w:val="en-US"/>
        </w:rPr>
        <w:t>transfusion</w:t>
      </w:r>
      <w:r w:rsidRPr="00F52145">
        <w:rPr>
          <w:sz w:val="28"/>
          <w:szCs w:val="28"/>
          <w:shd w:val="clear" w:color="auto" w:fill="FFFFFF"/>
          <w:lang w:val="en-US"/>
        </w:rPr>
        <w:t>. – 2009. – Vol. 7, Iss. 2. – P. 132–150.</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Lemierre’s syndrome from odontogenic infection: review of the literature and case description / D. Noy, A. Rachmiel, D. Levy-Faber, O. Emodi // </w:t>
      </w:r>
      <w:r w:rsidRPr="00F52145">
        <w:rPr>
          <w:sz w:val="28"/>
          <w:szCs w:val="28"/>
          <w:lang w:val="en-US"/>
        </w:rPr>
        <w:t>Annals of maxillofacial surgery</w:t>
      </w:r>
      <w:r w:rsidRPr="00F52145">
        <w:rPr>
          <w:sz w:val="28"/>
          <w:szCs w:val="28"/>
          <w:shd w:val="clear" w:color="auto" w:fill="FFFFFF"/>
          <w:lang w:val="en-US"/>
        </w:rPr>
        <w:t>. – 2015. – Vol. 5, Iss. 2. – P. 219–225.</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Management of descending necrotising mediastinitis: an agressive treatment for an agressive disease / Ch.-H. Marty-Ané, J.-P. Berthet, P. Alric [et al.] // The Annals of Thoracic Surgery. – 1999. – Vol. 68, Iss. 1. – P. 212–217. </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Matot, I. Definition of sepsis / I. Matot, C. L. Sprung // Intensive Care Medicine. – 2001. – Vol. 27, Suppl. 1. – P. S3–9.</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lastRenderedPageBreak/>
        <w:t xml:space="preserve">Murphy, P. S. Advances in wound healing: a review of current wound healing products / P. S. Murphy, G. R. D. Evans // </w:t>
      </w:r>
      <w:r w:rsidRPr="00F52145">
        <w:rPr>
          <w:sz w:val="28"/>
          <w:szCs w:val="28"/>
          <w:lang w:val="en-US"/>
        </w:rPr>
        <w:t>Plastic surgery international</w:t>
      </w:r>
      <w:r w:rsidRPr="00F52145">
        <w:rPr>
          <w:sz w:val="28"/>
          <w:szCs w:val="28"/>
          <w:shd w:val="clear" w:color="auto" w:fill="FFFFFF"/>
          <w:lang w:val="en-US"/>
        </w:rPr>
        <w:t xml:space="preserve">. – 2012. – Vol. 2012. – </w:t>
      </w:r>
      <w:r w:rsidRPr="00F52145">
        <w:rPr>
          <w:color w:val="000000"/>
          <w:sz w:val="28"/>
          <w:szCs w:val="28"/>
          <w:lang w:val="en-US"/>
        </w:rPr>
        <w:t>Art. 190436</w:t>
      </w:r>
      <w:r w:rsidRPr="00F52145">
        <w:rPr>
          <w:sz w:val="28"/>
          <w:szCs w:val="28"/>
          <w:shd w:val="clear" w:color="auto" w:fill="FFFFFF"/>
          <w:lang w:val="en-US"/>
        </w:rPr>
        <w:t>.</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Necrotizing fasciitis in children in eastern Ontario: a case-control study / T. Hseih, L. M. Samson, </w:t>
      </w:r>
      <w:r w:rsidRPr="00F52145">
        <w:rPr>
          <w:rStyle w:val="authors-list-item"/>
          <w:sz w:val="28"/>
          <w:szCs w:val="28"/>
          <w:lang w:val="en-US"/>
        </w:rPr>
        <w:t>M. Jabbour</w:t>
      </w:r>
      <w:r w:rsidRPr="00F52145">
        <w:rPr>
          <w:rStyle w:val="comma"/>
          <w:rFonts w:eastAsia="MS Mincho"/>
          <w:sz w:val="28"/>
          <w:szCs w:val="28"/>
          <w:shd w:val="clear" w:color="auto" w:fill="FFFFFF"/>
          <w:lang w:val="en-US"/>
        </w:rPr>
        <w:t xml:space="preserve">, </w:t>
      </w:r>
      <w:r w:rsidRPr="00F52145">
        <w:rPr>
          <w:rStyle w:val="authors-list-item"/>
          <w:sz w:val="28"/>
          <w:szCs w:val="28"/>
          <w:lang w:val="en-US"/>
        </w:rPr>
        <w:t xml:space="preserve">M. H. Osmond </w:t>
      </w:r>
      <w:r w:rsidRPr="00F52145">
        <w:rPr>
          <w:sz w:val="28"/>
          <w:szCs w:val="28"/>
          <w:shd w:val="clear" w:color="auto" w:fill="FFFFFF"/>
          <w:lang w:val="en-US"/>
        </w:rPr>
        <w:t>// CMAJ. – 2000. – Vol. 163, Iss. 4. – P. 393–396.</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Necrotizing odontogenic fasciitis of head and neck extending to anterior mediastinum in elderly patients: innovative treatment with a review of the literature / A. Cortese, G. Pantaleo, A. Borri [et al.] // </w:t>
      </w:r>
      <w:r w:rsidRPr="00F52145">
        <w:rPr>
          <w:sz w:val="28"/>
          <w:szCs w:val="28"/>
          <w:lang w:val="en-US"/>
        </w:rPr>
        <w:t>Aging clinical and experimental research</w:t>
      </w:r>
      <w:r w:rsidRPr="00F52145">
        <w:rPr>
          <w:sz w:val="28"/>
          <w:szCs w:val="28"/>
          <w:shd w:val="clear" w:color="auto" w:fill="FFFFFF"/>
          <w:lang w:val="en-US"/>
        </w:rPr>
        <w:t>. – 2017. – Vol. 29 (Suppl 1). – P. 159–165.</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Noma and cervicofacial necrotizing fasciitis: clinicopathological differentiation and an illustrative case report of Noma / C. van Niekerk, R. A. Khammissa, M. Altini [et al.] // </w:t>
      </w:r>
      <w:r w:rsidRPr="00F52145">
        <w:rPr>
          <w:sz w:val="28"/>
          <w:szCs w:val="28"/>
          <w:lang w:val="en-US"/>
        </w:rPr>
        <w:t>AIDS research and human retroviruses</w:t>
      </w:r>
      <w:r w:rsidRPr="00F52145">
        <w:rPr>
          <w:sz w:val="28"/>
          <w:szCs w:val="28"/>
          <w:shd w:val="clear" w:color="auto" w:fill="FFFFFF"/>
          <w:lang w:val="en-US"/>
        </w:rPr>
        <w:t>. – 2014. – Vol. 30, Iss. 3. – P. 213–216.</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Odontogenic cervical necrotizing fasciitis, etiological aspects / M. Juncar, S. Bran, R. I. Juncar [et al.] // </w:t>
      </w:r>
      <w:r w:rsidRPr="00F52145">
        <w:rPr>
          <w:sz w:val="28"/>
          <w:szCs w:val="28"/>
          <w:lang w:val="en-US"/>
        </w:rPr>
        <w:t>Nigerian journal of clinical practice</w:t>
      </w:r>
      <w:r w:rsidRPr="00F52145">
        <w:rPr>
          <w:sz w:val="28"/>
          <w:szCs w:val="28"/>
          <w:shd w:val="clear" w:color="auto" w:fill="FFFFFF"/>
          <w:lang w:val="en-US"/>
        </w:rPr>
        <w:t>. – 2016. – Vol. 19, Iss. 3. – P. 391–396.</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Odontogenic infection pathway to the submandibular space: imaging assessment / Y.</w:t>
      </w:r>
      <w:r w:rsidRPr="001D70FC">
        <w:rPr>
          <w:sz w:val="28"/>
          <w:szCs w:val="28"/>
          <w:shd w:val="clear" w:color="auto" w:fill="FFFFFF"/>
          <w:lang w:val="en-US"/>
        </w:rPr>
        <w:t xml:space="preserve"> </w:t>
      </w:r>
      <w:r w:rsidRPr="00F52145">
        <w:rPr>
          <w:sz w:val="28"/>
          <w:szCs w:val="28"/>
          <w:shd w:val="clear" w:color="auto" w:fill="FFFFFF"/>
          <w:lang w:val="en-US"/>
        </w:rPr>
        <w:t xml:space="preserve">Ariji, M. Gotoh, Y. Kimura [et al.] // </w:t>
      </w:r>
      <w:r w:rsidRPr="00F52145">
        <w:rPr>
          <w:sz w:val="28"/>
          <w:szCs w:val="28"/>
          <w:lang w:val="en-US"/>
        </w:rPr>
        <w:t>International journal of oral and maxillofacial surgery</w:t>
      </w:r>
      <w:r w:rsidRPr="00F52145">
        <w:rPr>
          <w:sz w:val="28"/>
          <w:szCs w:val="28"/>
          <w:shd w:val="clear" w:color="auto" w:fill="FFFFFF"/>
          <w:lang w:val="en-US"/>
        </w:rPr>
        <w:t xml:space="preserve">. – 2002. – Vol. 31, Iss. 2. – P. 165–169. </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Olefsky, J. U. Diabetes mellitus. Management and complications / J. U. Olefsky, R. S. Sherwin. – New Jork ; Mellbourne : Churchill Livingstonew, 1985. – 399 p.</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Pappa, H. Mediastinitis from odontogenic infection. A case report / H. Pappa, D. C. Jones // </w:t>
      </w:r>
      <w:r w:rsidRPr="00F52145">
        <w:rPr>
          <w:sz w:val="28"/>
          <w:szCs w:val="28"/>
          <w:lang w:val="en-US"/>
        </w:rPr>
        <w:t>British Dental Journal</w:t>
      </w:r>
      <w:r w:rsidRPr="00F52145">
        <w:rPr>
          <w:sz w:val="28"/>
          <w:szCs w:val="28"/>
          <w:shd w:val="clear" w:color="auto" w:fill="FFFFFF"/>
          <w:lang w:val="en-US"/>
        </w:rPr>
        <w:t xml:space="preserve">. – 2005. – Vol. 198, Iss. 9. – P. 547–548. </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Parapharyngeal and peritonsillar infection following mandibular third molar extraction / Abu el-Naaj, A. Krausz, L. Ardekian, M. Peled // Refuat Hapeh Vehashinayim. – 2001. – Vol. 18, Iss. 3-4. – P. 35–39, 109–110.</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Partridge, J. S. L. Frailty in the older surgical patient: a review / J. S. L. Partridge, D. Harari, J. K. Dhesi // Age and Ageing. – 2012. – Vol. 41, Iss. 2. – P. 142–147.</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lastRenderedPageBreak/>
        <w:t xml:space="preserve">Peterson, L. J. Contemporary management of deep infections of the neck / L. J. Peterson // </w:t>
      </w:r>
      <w:r w:rsidRPr="00F52145">
        <w:rPr>
          <w:sz w:val="28"/>
          <w:szCs w:val="28"/>
          <w:lang w:val="en-US"/>
        </w:rPr>
        <w:t>Journal of oral and maxillofacial surgery</w:t>
      </w:r>
      <w:r w:rsidRPr="00F52145">
        <w:rPr>
          <w:sz w:val="28"/>
          <w:szCs w:val="28"/>
          <w:shd w:val="clear" w:color="auto" w:fill="FFFFFF"/>
          <w:lang w:val="en-US"/>
        </w:rPr>
        <w:t>. – 1993. – Vol. 51, Iss. 3. – P. 226–231.</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Pharmacokinetic-pharmacodynamic analysis of drotrecogin alfa (activated) in patients with severe sepsis / W. L. Macias, J. F. Dhainaut, S. C. Yan [et al.] // </w:t>
      </w:r>
      <w:r w:rsidRPr="00F52145">
        <w:rPr>
          <w:sz w:val="28"/>
          <w:szCs w:val="28"/>
          <w:lang w:val="en-US"/>
        </w:rPr>
        <w:t>Clinical pharmacology and therapeutics</w:t>
      </w:r>
      <w:r w:rsidRPr="00F52145">
        <w:rPr>
          <w:sz w:val="28"/>
          <w:szCs w:val="28"/>
          <w:shd w:val="clear" w:color="auto" w:fill="FFFFFF"/>
          <w:lang w:val="en-US"/>
        </w:rPr>
        <w:t>. – 2002. – Vol. 72, Iss. 4. – P. 391–402.</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Pildal, J. Polyclonal immunoglobulin for treatment of bacterial sepsis: a systematic review / J. Pildal, P. C.</w:t>
      </w:r>
      <w:r w:rsidRPr="001D70FC">
        <w:rPr>
          <w:sz w:val="28"/>
          <w:szCs w:val="28"/>
          <w:shd w:val="clear" w:color="auto" w:fill="FFFFFF"/>
          <w:lang w:val="en-US"/>
        </w:rPr>
        <w:t xml:space="preserve"> </w:t>
      </w:r>
      <w:r w:rsidRPr="00F52145">
        <w:rPr>
          <w:sz w:val="28"/>
          <w:szCs w:val="28"/>
          <w:shd w:val="clear" w:color="auto" w:fill="FFFFFF"/>
          <w:lang w:val="en-US"/>
        </w:rPr>
        <w:t xml:space="preserve">Gøtzsche // </w:t>
      </w:r>
      <w:r w:rsidRPr="00F52145">
        <w:rPr>
          <w:sz w:val="28"/>
          <w:szCs w:val="28"/>
          <w:lang w:val="en-US"/>
        </w:rPr>
        <w:t>Clinical infectious diseases : an official publication of the Infectious Diseases Society of America</w:t>
      </w:r>
      <w:r w:rsidRPr="00F52145">
        <w:rPr>
          <w:sz w:val="28"/>
          <w:szCs w:val="28"/>
          <w:shd w:val="clear" w:color="auto" w:fill="FFFFFF"/>
          <w:lang w:val="en-US"/>
        </w:rPr>
        <w:t>. –2004. – Vol. 39, Iss. 1. – P. 38–46.</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Prado-Calleros, H. M. Descending necrotizing mediastinitis: systematic review on its treatment in the last 6 years, 75 years after its description / H. M. Prado-Calleros, E. Jiménez-Fuentes, I. Jiménez-Escobar // Head &amp; Neck. – 2016. – Vol. 38, Suppl. 1. – P. E2275–E2283.</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Preferred reporting items for systematic reviews and meta-analyses: the PRISMA statement / D. Moher, A. Liberati, J. Tetzlaff, D. G. Altman // </w:t>
      </w:r>
      <w:r w:rsidRPr="00F52145">
        <w:rPr>
          <w:sz w:val="28"/>
          <w:szCs w:val="28"/>
          <w:lang w:val="en-US"/>
        </w:rPr>
        <w:t>Journal of clinical epidemiology</w:t>
      </w:r>
      <w:r w:rsidRPr="00F52145">
        <w:rPr>
          <w:sz w:val="28"/>
          <w:szCs w:val="28"/>
          <w:shd w:val="clear" w:color="auto" w:fill="FFFFFF"/>
          <w:lang w:val="en-US"/>
        </w:rPr>
        <w:t>. – 2009. – Vol. 62, Iss. 10. – P. 1006–1012.</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Rega, A. G. Microbiology and antibiotic sensitivities of head and neck space infections of odontogenic origin / A. G. Rega, S. R. Aziz, V. B. Ziccardi // </w:t>
      </w:r>
      <w:r w:rsidRPr="00F52145">
        <w:rPr>
          <w:sz w:val="28"/>
          <w:szCs w:val="28"/>
          <w:lang w:val="en-US"/>
        </w:rPr>
        <w:t>Journal of oral and maxillofacial surgery</w:t>
      </w:r>
      <w:r w:rsidRPr="00F52145">
        <w:rPr>
          <w:sz w:val="28"/>
          <w:szCs w:val="28"/>
          <w:shd w:val="clear" w:color="auto" w:fill="FFFFFF"/>
          <w:lang w:val="en-US"/>
        </w:rPr>
        <w:t>. – 2006 – Vol. 64, Iss. 9. – P. 1377–1380.</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Reversal of late septic shock with supraphysiologic doses of hydrocortisone / P. E. Bollaert, C. Charpentier, B. Levy [et al.] // </w:t>
      </w:r>
      <w:r w:rsidRPr="00F52145">
        <w:rPr>
          <w:sz w:val="28"/>
          <w:szCs w:val="28"/>
          <w:lang w:val="en-US"/>
        </w:rPr>
        <w:t>Critical care medicine</w:t>
      </w:r>
      <w:r w:rsidRPr="00F52145">
        <w:rPr>
          <w:sz w:val="28"/>
          <w:szCs w:val="28"/>
          <w:shd w:val="clear" w:color="auto" w:fill="FFFFFF"/>
          <w:lang w:val="en-US"/>
        </w:rPr>
        <w:t>. – 1998. – Vol. 26, Iss. 4. – P. 645–650.</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Score-based immunoglobulin G therapy of patients with sepsis: the SBITS study / K.</w:t>
      </w:r>
      <w:r w:rsidRPr="001D70FC">
        <w:rPr>
          <w:sz w:val="28"/>
          <w:szCs w:val="28"/>
          <w:shd w:val="clear" w:color="auto" w:fill="FFFFFF"/>
          <w:lang w:val="en-US"/>
        </w:rPr>
        <w:t xml:space="preserve"> </w:t>
      </w:r>
      <w:r w:rsidRPr="00F52145">
        <w:rPr>
          <w:sz w:val="28"/>
          <w:szCs w:val="28"/>
          <w:shd w:val="clear" w:color="auto" w:fill="FFFFFF"/>
          <w:lang w:val="en-US"/>
        </w:rPr>
        <w:t xml:space="preserve">Werdan, G. Pilz, O. Bujdoso [et al.] // </w:t>
      </w:r>
      <w:r w:rsidRPr="00F52145">
        <w:rPr>
          <w:sz w:val="28"/>
          <w:szCs w:val="28"/>
          <w:lang w:val="en-US" w:eastAsia="en-US"/>
        </w:rPr>
        <w:t>Critical care medicine</w:t>
      </w:r>
      <w:r w:rsidRPr="00F52145">
        <w:rPr>
          <w:sz w:val="28"/>
          <w:szCs w:val="28"/>
          <w:shd w:val="clear" w:color="auto" w:fill="FFFFFF"/>
          <w:lang w:val="en-US"/>
        </w:rPr>
        <w:t>. – 2007. – Vol. 35, Iss. 12. – P. 2693–2701.</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Shah, B. R. Quantifying the risk of infectious diseases for people with diabetes / B. R. Shah, J. E. Hux // Diabetes Care. – 2003. – Vol. 26, Iss. 2. – P. 510–515.</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lastRenderedPageBreak/>
        <w:t xml:space="preserve">Slutsky A. S. Multiple system organ failure: is mechanical ventilation a contributing factor? / A. S. Slutsky, L. N. Tremblay // </w:t>
      </w:r>
      <w:r w:rsidRPr="00F52145">
        <w:rPr>
          <w:sz w:val="28"/>
          <w:szCs w:val="28"/>
          <w:lang w:val="en-US"/>
        </w:rPr>
        <w:t>American journal of respiratory and critical care medicine</w:t>
      </w:r>
      <w:r w:rsidRPr="00F52145">
        <w:rPr>
          <w:sz w:val="28"/>
          <w:szCs w:val="28"/>
          <w:shd w:val="clear" w:color="auto" w:fill="FFFFFF"/>
          <w:lang w:val="en-US"/>
        </w:rPr>
        <w:t xml:space="preserve">. – 1998. – Vol. 157, Iss. 6, Pt. 1. – P. 1721–1725. </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Slutsky, A. S. </w:t>
      </w:r>
      <w:r w:rsidRPr="00F52145">
        <w:rPr>
          <w:sz w:val="28"/>
          <w:szCs w:val="28"/>
          <w:lang w:val="en-US"/>
        </w:rPr>
        <w:t>The acute respiratory distress syndrome, mechanical ventilation, and the prone position</w:t>
      </w:r>
      <w:r w:rsidRPr="00F52145">
        <w:rPr>
          <w:sz w:val="28"/>
          <w:szCs w:val="28"/>
          <w:shd w:val="clear" w:color="auto" w:fill="FFFFFF"/>
          <w:lang w:val="en-US"/>
        </w:rPr>
        <w:t xml:space="preserve"> / A. S. Slutsky // </w:t>
      </w:r>
      <w:r w:rsidRPr="00F52145">
        <w:rPr>
          <w:sz w:val="28"/>
          <w:szCs w:val="28"/>
          <w:lang w:val="en-US"/>
        </w:rPr>
        <w:t>The New England journal of medicine</w:t>
      </w:r>
      <w:r w:rsidRPr="00F52145">
        <w:rPr>
          <w:sz w:val="28"/>
          <w:szCs w:val="28"/>
          <w:shd w:val="clear" w:color="auto" w:fill="FFFFFF"/>
          <w:lang w:val="en-US"/>
        </w:rPr>
        <w:t>. – 2001. – Vol. 345, Iss. 8. – P. 610–612.</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Slutsky, A. S. Ventilation with small tidal volumes / A. S. Slutsky, J. M. Brazen // </w:t>
      </w:r>
      <w:r w:rsidRPr="00F52145">
        <w:rPr>
          <w:sz w:val="28"/>
          <w:szCs w:val="28"/>
          <w:lang w:val="en-US"/>
        </w:rPr>
        <w:t>The New England journal of medicine</w:t>
      </w:r>
      <w:r w:rsidRPr="00F52145">
        <w:rPr>
          <w:sz w:val="28"/>
          <w:szCs w:val="28"/>
          <w:shd w:val="clear" w:color="auto" w:fill="FFFFFF"/>
          <w:lang w:val="en-US"/>
        </w:rPr>
        <w:t xml:space="preserve">. – 2002. – Vol. 347, Iss. 9. – P. 630–631. </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Stress doses of hydrocortisone reverse hyperdynamic septic shock: a prospective, randomized, double-blind, single-center study / J. Briegel, H. Forst, M. Haller [et al.] // </w:t>
      </w:r>
      <w:r w:rsidRPr="00F52145">
        <w:rPr>
          <w:sz w:val="28"/>
          <w:szCs w:val="28"/>
          <w:lang w:val="en-US"/>
        </w:rPr>
        <w:t>Critical care medicine</w:t>
      </w:r>
      <w:r w:rsidRPr="00F52145">
        <w:rPr>
          <w:sz w:val="28"/>
          <w:szCs w:val="28"/>
          <w:shd w:val="clear" w:color="auto" w:fill="FFFFFF"/>
          <w:lang w:val="en-US"/>
        </w:rPr>
        <w:t>. – 1999. – Vol. 27, Iss. 4. – P. 723–732.</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Sumi, Y. Descending necrotizing mediastinitis: 5 years of published data in Japan / Y. Sumi // </w:t>
      </w:r>
      <w:r w:rsidRPr="00F52145">
        <w:rPr>
          <w:sz w:val="28"/>
          <w:szCs w:val="28"/>
          <w:lang w:val="en-US"/>
        </w:rPr>
        <w:t>Acute medicine &amp; surgery</w:t>
      </w:r>
      <w:r w:rsidRPr="00F52145">
        <w:rPr>
          <w:sz w:val="28"/>
          <w:szCs w:val="28"/>
          <w:shd w:val="clear" w:color="auto" w:fill="FFFFFF"/>
          <w:lang w:val="en-US"/>
        </w:rPr>
        <w:t>. – 2014. – Vol. 2, Iss. 1. – P. 1–12.</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Surviving Sepsis Campaign: International Guidelines for Management of Sepsis and Septic Shock: 2016 / A. Rhodes, L. E. Evans, W. Alhazzani [et al.] // Critical Care Medicine. – 2017. – Vol. 45, Iss. 3. – P. 486–552. </w:t>
      </w:r>
    </w:p>
    <w:p w:rsidR="00286780" w:rsidRPr="00F52145" w:rsidRDefault="00286780" w:rsidP="002A3C85">
      <w:pPr>
        <w:numPr>
          <w:ilvl w:val="0"/>
          <w:numId w:val="10"/>
        </w:numPr>
        <w:shd w:val="clear" w:color="auto" w:fill="FFFFFF"/>
        <w:spacing w:line="360" w:lineRule="auto"/>
        <w:ind w:left="0" w:firstLine="567"/>
        <w:jc w:val="both"/>
        <w:rPr>
          <w:spacing w:val="-4"/>
          <w:sz w:val="28"/>
          <w:szCs w:val="28"/>
          <w:shd w:val="clear" w:color="auto" w:fill="FFFFFF"/>
          <w:lang w:val="en-US"/>
        </w:rPr>
      </w:pPr>
      <w:r w:rsidRPr="00F52145">
        <w:rPr>
          <w:spacing w:val="-4"/>
          <w:sz w:val="28"/>
          <w:szCs w:val="28"/>
          <w:shd w:val="clear" w:color="auto" w:fill="FFFFFF"/>
          <w:lang w:val="en-US"/>
        </w:rPr>
        <w:t xml:space="preserve">Suviving Sepsis Campaign guidelines for management of sepsis and septic shock / R. P. Dellinger, J. M. Carlet, H. Masur [et al.] // </w:t>
      </w:r>
      <w:r w:rsidRPr="00F52145">
        <w:rPr>
          <w:sz w:val="28"/>
          <w:szCs w:val="28"/>
          <w:lang w:val="en-US"/>
        </w:rPr>
        <w:t>Critical care medicine</w:t>
      </w:r>
      <w:r w:rsidRPr="00F52145">
        <w:rPr>
          <w:spacing w:val="-4"/>
          <w:sz w:val="28"/>
          <w:szCs w:val="28"/>
          <w:shd w:val="clear" w:color="auto" w:fill="FFFFFF"/>
          <w:lang w:val="en-US"/>
        </w:rPr>
        <w:t xml:space="preserve">. – 2004. – Vol. 32, Iss. 4. – P. 858–873. </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Ten years of descending necrotizing mediastinitis: management of 23 cases / F. Roccia, G. C. Pecorary, A. Oliaro [et al.] // Journal of Oral and Maxillofacial Surjery. – 2007. – Vol. 65, Iss. 9. – P. 1716–1724. </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The Choice of Diabetic Foot Ulcer Classification in Relation to the Final Outcome / K. Van Aeker, C. De Block, </w:t>
      </w:r>
      <w:r w:rsidRPr="00F52145">
        <w:rPr>
          <w:sz w:val="28"/>
          <w:szCs w:val="28"/>
          <w:lang w:val="en-US"/>
        </w:rPr>
        <w:t>P. Abrams</w:t>
      </w:r>
      <w:r w:rsidRPr="00F52145">
        <w:rPr>
          <w:sz w:val="28"/>
          <w:szCs w:val="28"/>
          <w:shd w:val="clear" w:color="auto" w:fill="FFFFFF"/>
          <w:lang w:val="en-US"/>
        </w:rPr>
        <w:t xml:space="preserve"> [et al.] // WOUNDS. – 2002. – Vol. 14, Iss. 1. – P. 16–25.</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The SOFA (Sepsis-related Organ Failure Assesment) score to describe organ dysfunction/failure. </w:t>
      </w:r>
      <w:r w:rsidRPr="00F52145">
        <w:rPr>
          <w:sz w:val="28"/>
          <w:szCs w:val="28"/>
          <w:lang w:val="en-US"/>
        </w:rPr>
        <w:t>On behalf of the Working Group on Sepsis-Related Problems of the European Society of Intensive Care Medicine</w:t>
      </w:r>
      <w:r w:rsidRPr="00F52145">
        <w:rPr>
          <w:sz w:val="28"/>
          <w:szCs w:val="28"/>
          <w:shd w:val="clear" w:color="auto" w:fill="FFFFFF"/>
          <w:lang w:val="en-US"/>
        </w:rPr>
        <w:t xml:space="preserve"> / J. L. Vincent, </w:t>
      </w:r>
      <w:r w:rsidRPr="00F52145">
        <w:rPr>
          <w:rStyle w:val="authors-list-item"/>
          <w:sz w:val="28"/>
          <w:szCs w:val="28"/>
          <w:lang w:val="en-US"/>
        </w:rPr>
        <w:t>R. Moreno</w:t>
      </w:r>
      <w:r w:rsidRPr="00F52145">
        <w:rPr>
          <w:rStyle w:val="comma"/>
          <w:rFonts w:eastAsia="MS Mincho"/>
          <w:sz w:val="28"/>
          <w:szCs w:val="28"/>
          <w:shd w:val="clear" w:color="auto" w:fill="FFFFFF"/>
          <w:lang w:val="en-US"/>
        </w:rPr>
        <w:t xml:space="preserve">, </w:t>
      </w:r>
      <w:r w:rsidRPr="00F52145">
        <w:rPr>
          <w:rStyle w:val="authors-list-item"/>
          <w:sz w:val="28"/>
          <w:szCs w:val="28"/>
          <w:lang w:val="en-US"/>
        </w:rPr>
        <w:t>J. Takala</w:t>
      </w:r>
      <w:r w:rsidRPr="00F52145">
        <w:rPr>
          <w:sz w:val="28"/>
          <w:szCs w:val="28"/>
          <w:shd w:val="clear" w:color="auto" w:fill="FFFFFF"/>
          <w:lang w:val="en-US"/>
        </w:rPr>
        <w:t xml:space="preserve"> [et al.] // </w:t>
      </w:r>
      <w:r w:rsidRPr="00F52145">
        <w:rPr>
          <w:sz w:val="28"/>
          <w:szCs w:val="28"/>
          <w:lang w:val="en-US"/>
        </w:rPr>
        <w:t>Intensive care medicine</w:t>
      </w:r>
      <w:r w:rsidRPr="00F52145">
        <w:rPr>
          <w:sz w:val="28"/>
          <w:szCs w:val="28"/>
          <w:shd w:val="clear" w:color="auto" w:fill="FFFFFF"/>
          <w:lang w:val="en-US"/>
        </w:rPr>
        <w:t>. – 1996. – Vol. 22, Iss. 7. – P. 707–710.</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lastRenderedPageBreak/>
        <w:t xml:space="preserve">The Third International Consensus definitions for Sepsis and Septic Shock (Sepsis-3) / M. Singer, C. S. Deutschman, C. Seymour [et al.] // JAMA. – 2016. – Vol. 315, Iss. 8. – P. 801–810. </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The value of early intervention and a multidisciplinary approach in the management of necrotizing fasciitis of the neck and anterior mediastinum of odontogenic origin / J. K. Muhammad, H. Almadani, B. A. Al Hashemi, M. Liaqat // </w:t>
      </w:r>
      <w:r w:rsidRPr="00F52145">
        <w:rPr>
          <w:sz w:val="28"/>
          <w:szCs w:val="28"/>
          <w:lang w:val="en-US"/>
        </w:rPr>
        <w:t>Journal of oral and maxillofacial surgery</w:t>
      </w:r>
      <w:r w:rsidRPr="00F52145">
        <w:rPr>
          <w:sz w:val="28"/>
          <w:szCs w:val="28"/>
          <w:shd w:val="clear" w:color="auto" w:fill="FFFFFF"/>
          <w:lang w:val="en-US"/>
        </w:rPr>
        <w:t>. – 2015. – Vol. 73, Iss. 5. – P. 918–927.</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Thrombocytopenia and prognosis in intensive care / S.Vanderschueren, </w:t>
      </w:r>
      <w:r w:rsidRPr="00F52145">
        <w:rPr>
          <w:rStyle w:val="authors-list-item"/>
          <w:sz w:val="28"/>
          <w:szCs w:val="28"/>
          <w:lang w:val="en-US"/>
        </w:rPr>
        <w:t>A. De Weerdt</w:t>
      </w:r>
      <w:r w:rsidRPr="00F52145">
        <w:rPr>
          <w:rStyle w:val="comma"/>
          <w:rFonts w:eastAsia="MS Mincho"/>
          <w:sz w:val="28"/>
          <w:szCs w:val="28"/>
          <w:shd w:val="clear" w:color="auto" w:fill="FFFFFF"/>
          <w:lang w:val="en-US"/>
        </w:rPr>
        <w:t xml:space="preserve">, </w:t>
      </w:r>
      <w:r w:rsidRPr="00F52145">
        <w:rPr>
          <w:rStyle w:val="authors-list-item"/>
          <w:sz w:val="28"/>
          <w:szCs w:val="28"/>
          <w:lang w:val="en-US"/>
        </w:rPr>
        <w:t>M. Malbrain</w:t>
      </w:r>
      <w:r w:rsidRPr="00F52145">
        <w:rPr>
          <w:sz w:val="28"/>
          <w:szCs w:val="28"/>
          <w:shd w:val="clear" w:color="auto" w:fill="FFFFFF"/>
          <w:lang w:val="en-US"/>
        </w:rPr>
        <w:t xml:space="preserve"> [et al.] // </w:t>
      </w:r>
      <w:r w:rsidRPr="00F52145">
        <w:rPr>
          <w:sz w:val="28"/>
          <w:szCs w:val="28"/>
          <w:lang w:val="en-US"/>
        </w:rPr>
        <w:t>Critical care medicine</w:t>
      </w:r>
      <w:r w:rsidRPr="00F52145">
        <w:rPr>
          <w:sz w:val="28"/>
          <w:szCs w:val="28"/>
          <w:shd w:val="clear" w:color="auto" w:fill="FFFFFF"/>
          <w:lang w:val="en-US"/>
        </w:rPr>
        <w:t>. – 2000. – Vol. 28, Iss. 6. – P. 1871–1876.</w:t>
      </w:r>
    </w:p>
    <w:p w:rsidR="00286780"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Thromboprophylaxis with low molecular weight heparin versus unfractionated heparin in intensive care patients: a systematic review with meta-analysis and trial sequential analysis / S. Beitland, I. Sandven, L. K. Kjærvik [et al.] // </w:t>
      </w:r>
      <w:r w:rsidRPr="00F52145">
        <w:rPr>
          <w:sz w:val="28"/>
          <w:szCs w:val="28"/>
          <w:lang w:val="en-US"/>
        </w:rPr>
        <w:t>Intensive care medicine</w:t>
      </w:r>
      <w:r w:rsidRPr="00F52145">
        <w:rPr>
          <w:sz w:val="28"/>
          <w:szCs w:val="28"/>
          <w:shd w:val="clear" w:color="auto" w:fill="FFFFFF"/>
          <w:lang w:val="en-US"/>
        </w:rPr>
        <w:t>. – 2015. – Vol. 41, Iss. 7. – P. 1209–1219.</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Use of extracorporeal supportive techniques additional treatment for septic-induced multiple organ failure patients / F. Barsilay, D. Kessler, G. Berlot [et al.] // </w:t>
      </w:r>
      <w:r w:rsidRPr="00F52145">
        <w:rPr>
          <w:sz w:val="28"/>
          <w:szCs w:val="28"/>
          <w:lang w:val="en-US"/>
        </w:rPr>
        <w:t>Critical care medicine</w:t>
      </w:r>
      <w:r w:rsidRPr="00F52145">
        <w:rPr>
          <w:sz w:val="28"/>
          <w:szCs w:val="28"/>
          <w:shd w:val="clear" w:color="auto" w:fill="FFFFFF"/>
          <w:lang w:val="en-US"/>
        </w:rPr>
        <w:t>. – 1989. – Vol. 17, Iss. 7. – P. 634–637.</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Vacuum assisted closure therapy in the management of cervico-facial necrotizing fasciitis: a case report and review of the literature / G. Novelli, S. Catanzaro, G. Canzi [et al.] // </w:t>
      </w:r>
      <w:r w:rsidRPr="00F52145">
        <w:rPr>
          <w:sz w:val="28"/>
          <w:szCs w:val="28"/>
          <w:lang w:val="en-US"/>
        </w:rPr>
        <w:t>Minerva stomatologica</w:t>
      </w:r>
      <w:r w:rsidRPr="00F52145">
        <w:rPr>
          <w:sz w:val="28"/>
          <w:szCs w:val="28"/>
          <w:shd w:val="clear" w:color="auto" w:fill="FFFFFF"/>
          <w:lang w:val="en-US"/>
        </w:rPr>
        <w:t>. – 2014. – Vol. 63, Iss. 4. – P. 135–144.</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lang w:val="en-US"/>
        </w:rPr>
        <w:t>Value of standard laboratory tests for the early recognition of group A beta-hemolytic streptococcal necrotizing fasciitis</w:t>
      </w:r>
      <w:r w:rsidRPr="00F52145">
        <w:rPr>
          <w:sz w:val="28"/>
          <w:szCs w:val="28"/>
          <w:shd w:val="clear" w:color="auto" w:fill="FFFFFF"/>
          <w:lang w:val="en-US"/>
        </w:rPr>
        <w:t xml:space="preserve"> / T. Simonart, J. M. Simonart, I. Derdelinckx [et al.] // </w:t>
      </w:r>
      <w:r w:rsidRPr="00F52145">
        <w:rPr>
          <w:sz w:val="28"/>
          <w:szCs w:val="28"/>
          <w:lang w:val="en-US"/>
        </w:rPr>
        <w:t>Clinical infectious diseases</w:t>
      </w:r>
      <w:r w:rsidRPr="00F52145">
        <w:rPr>
          <w:sz w:val="28"/>
          <w:szCs w:val="28"/>
          <w:shd w:val="clear" w:color="auto" w:fill="FFFFFF"/>
          <w:lang w:val="en-US"/>
        </w:rPr>
        <w:t>. – 2001. – Vol. 32. Iss. 1. – P. e9–12.</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Vincent, J. L. Hemodynamic support in sepsis shock / J. L. Vincent // Intensive care medicine. – 2001. – Vol. 27 (suppl.). –P. S80–89.</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t xml:space="preserve">Vinikoor, M. J. Herpes simplex virus type 2 mimicking necrotizing fasciitis / M. J. Vinikoor, Y. T. Wong, D. M. Margolis // </w:t>
      </w:r>
      <w:r w:rsidRPr="00F52145">
        <w:rPr>
          <w:bCs/>
          <w:sz w:val="28"/>
          <w:szCs w:val="28"/>
          <w:shd w:val="clear" w:color="auto" w:fill="FFFFFF"/>
          <w:lang w:val="en-US"/>
        </w:rPr>
        <w:t>Annals of internal medicine</w:t>
      </w:r>
      <w:r w:rsidRPr="00F52145">
        <w:rPr>
          <w:sz w:val="28"/>
          <w:szCs w:val="28"/>
          <w:shd w:val="clear" w:color="auto" w:fill="FFFFFF"/>
          <w:lang w:val="en-US"/>
        </w:rPr>
        <w:t>. – 2011. – Vol. 155, Iss. 8. – P. 567–568.</w:t>
      </w:r>
    </w:p>
    <w:p w:rsidR="00286780" w:rsidRPr="00F52145"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F52145">
        <w:rPr>
          <w:sz w:val="28"/>
          <w:szCs w:val="28"/>
          <w:shd w:val="clear" w:color="auto" w:fill="FFFFFF"/>
          <w:lang w:val="en-US"/>
        </w:rPr>
        <w:lastRenderedPageBreak/>
        <w:t xml:space="preserve">Wheeler, A. P. Treating patients with severe sepsis / A. P. Wheeler, G. R. Bernard // </w:t>
      </w:r>
      <w:r w:rsidRPr="00F52145">
        <w:rPr>
          <w:bCs/>
          <w:sz w:val="28"/>
          <w:szCs w:val="28"/>
          <w:shd w:val="clear" w:color="auto" w:fill="FFFFFF"/>
          <w:lang w:val="en-US"/>
        </w:rPr>
        <w:t>The New England journal of medicine</w:t>
      </w:r>
      <w:r w:rsidRPr="00F52145">
        <w:rPr>
          <w:sz w:val="28"/>
          <w:szCs w:val="28"/>
          <w:shd w:val="clear" w:color="auto" w:fill="FFFFFF"/>
          <w:lang w:val="en-US"/>
        </w:rPr>
        <w:t>. – 1999. – Vol. 340, Iss. 3. – P. 207–214.</w:t>
      </w:r>
    </w:p>
    <w:p w:rsidR="00286780" w:rsidRDefault="00286780" w:rsidP="002A3C85">
      <w:pPr>
        <w:numPr>
          <w:ilvl w:val="0"/>
          <w:numId w:val="10"/>
        </w:numPr>
        <w:shd w:val="clear" w:color="auto" w:fill="FFFFFF"/>
        <w:spacing w:line="360" w:lineRule="auto"/>
        <w:ind w:left="0" w:firstLine="567"/>
        <w:jc w:val="both"/>
        <w:rPr>
          <w:spacing w:val="-4"/>
          <w:sz w:val="28"/>
          <w:szCs w:val="28"/>
          <w:shd w:val="clear" w:color="auto" w:fill="FFFFFF"/>
          <w:lang w:val="en-US"/>
        </w:rPr>
      </w:pPr>
      <w:r w:rsidRPr="00F52145">
        <w:rPr>
          <w:spacing w:val="-4"/>
          <w:sz w:val="28"/>
          <w:szCs w:val="28"/>
          <w:shd w:val="clear" w:color="auto" w:fill="FFFFFF"/>
          <w:lang w:val="en-US"/>
        </w:rPr>
        <w:t xml:space="preserve">Xigris and Prophylactic HepaRin Evaluation in Severe Sepsis (XPRESS) Study Group. Prophylactic heparin in patients with severe sepsis treated with drotrecogin alfa (activated) / M. Levi, M. Levy, M. D. Williams [et al.] // </w:t>
      </w:r>
      <w:r w:rsidRPr="00F52145">
        <w:rPr>
          <w:sz w:val="28"/>
          <w:szCs w:val="28"/>
          <w:lang w:val="en-US"/>
        </w:rPr>
        <w:t>American journal of respiratory and critical care medicine</w:t>
      </w:r>
      <w:r w:rsidRPr="00F52145">
        <w:rPr>
          <w:spacing w:val="-4"/>
          <w:sz w:val="28"/>
          <w:szCs w:val="28"/>
          <w:shd w:val="clear" w:color="auto" w:fill="FFFFFF"/>
          <w:lang w:val="en-US"/>
        </w:rPr>
        <w:t>. – 2007. – Vol. 176, Iss. 5. – P. 483–490.</w:t>
      </w:r>
    </w:p>
    <w:p w:rsidR="00286780" w:rsidRDefault="00286780" w:rsidP="002A3C85">
      <w:pPr>
        <w:numPr>
          <w:ilvl w:val="0"/>
          <w:numId w:val="10"/>
        </w:numPr>
        <w:shd w:val="clear" w:color="auto" w:fill="FFFFFF"/>
        <w:spacing w:line="360" w:lineRule="auto"/>
        <w:ind w:left="0" w:firstLine="567"/>
        <w:jc w:val="both"/>
        <w:rPr>
          <w:sz w:val="28"/>
          <w:szCs w:val="28"/>
          <w:shd w:val="clear" w:color="auto" w:fill="FFFFFF"/>
          <w:lang w:val="en-US"/>
        </w:rPr>
      </w:pPr>
      <w:r w:rsidRPr="003D2620">
        <w:rPr>
          <w:sz w:val="28"/>
          <w:szCs w:val="28"/>
          <w:shd w:val="clear" w:color="auto" w:fill="FFFFFF"/>
          <w:lang w:val="en-US"/>
        </w:rPr>
        <w:t xml:space="preserve">Zimmerman, J. J. Inflammatory responses in sepsis / J. J. Zimmerman, T. V. Ringer // </w:t>
      </w:r>
      <w:r w:rsidRPr="003D2620">
        <w:rPr>
          <w:sz w:val="28"/>
          <w:szCs w:val="28"/>
          <w:lang w:val="en-US"/>
        </w:rPr>
        <w:t>Critical care clinics</w:t>
      </w:r>
      <w:r w:rsidRPr="003D2620">
        <w:rPr>
          <w:sz w:val="28"/>
          <w:szCs w:val="28"/>
          <w:shd w:val="clear" w:color="auto" w:fill="FFFFFF"/>
          <w:lang w:val="en-US"/>
        </w:rPr>
        <w:t>. – 1992. – Vol. 8, Iss. 1. – P. 163–189.</w:t>
      </w:r>
    </w:p>
    <w:p w:rsidR="00286780" w:rsidRDefault="00286780" w:rsidP="0096699C">
      <w:pPr>
        <w:shd w:val="clear" w:color="auto" w:fill="FFFFFF"/>
        <w:spacing w:line="360" w:lineRule="auto"/>
        <w:jc w:val="right"/>
        <w:rPr>
          <w:b/>
          <w:sz w:val="28"/>
          <w:szCs w:val="28"/>
          <w:shd w:val="clear" w:color="auto" w:fill="FFFFFF"/>
        </w:rPr>
      </w:pPr>
      <w:r w:rsidRPr="005A1B95">
        <w:rPr>
          <w:sz w:val="28"/>
          <w:szCs w:val="28"/>
          <w:shd w:val="clear" w:color="auto" w:fill="FFFFFF"/>
        </w:rPr>
        <w:br w:type="page"/>
      </w:r>
      <w:r w:rsidRPr="003D2620">
        <w:rPr>
          <w:b/>
          <w:sz w:val="28"/>
          <w:szCs w:val="28"/>
          <w:shd w:val="clear" w:color="auto" w:fill="FFFFFF"/>
        </w:rPr>
        <w:lastRenderedPageBreak/>
        <w:t>Приложение</w:t>
      </w:r>
    </w:p>
    <w:p w:rsidR="00286780" w:rsidRDefault="0096699C" w:rsidP="007612BC">
      <w:pPr>
        <w:shd w:val="clear" w:color="auto" w:fill="FFFFFF"/>
        <w:spacing w:line="360" w:lineRule="auto"/>
        <w:jc w:val="center"/>
        <w:rPr>
          <w:b/>
          <w:sz w:val="28"/>
          <w:szCs w:val="28"/>
          <w:shd w:val="clear" w:color="auto" w:fill="FFFFFF"/>
        </w:rPr>
      </w:pPr>
      <w:bookmarkStart w:id="39" w:name="_GoBack"/>
      <w:r w:rsidRPr="0096699C">
        <w:rPr>
          <w:b/>
          <w:sz w:val="28"/>
          <w:szCs w:val="28"/>
          <w:shd w:val="clear" w:color="auto" w:fill="FFFFFF"/>
        </w:rPr>
        <w:pict>
          <v:shape id="_x0000_i1047" type="#_x0000_t75" style="width:482.4pt;height:655.2pt">
            <v:imagedata r:id="rId35" o:title="патент 1 с"/>
          </v:shape>
        </w:pict>
      </w:r>
      <w:bookmarkEnd w:id="39"/>
    </w:p>
    <w:p w:rsidR="00286780" w:rsidRPr="00C20EAB" w:rsidRDefault="00286780" w:rsidP="007612BC">
      <w:pPr>
        <w:shd w:val="clear" w:color="auto" w:fill="FFFFFF"/>
        <w:spacing w:line="360" w:lineRule="auto"/>
        <w:ind w:firstLine="700"/>
        <w:jc w:val="both"/>
        <w:rPr>
          <w:b/>
          <w:sz w:val="28"/>
          <w:szCs w:val="28"/>
          <w:shd w:val="clear" w:color="auto" w:fill="FFFFFF"/>
        </w:rPr>
      </w:pPr>
    </w:p>
    <w:sectPr w:rsidR="00286780" w:rsidRPr="00C20EAB" w:rsidSect="00CA5B18">
      <w:headerReference w:type="first" r:id="rId36"/>
      <w:footnotePr>
        <w:numRestart w:val="eachPage"/>
      </w:footnotePr>
      <w:pgSz w:w="11906" w:h="16838"/>
      <w:pgMar w:top="1134" w:right="567" w:bottom="1134" w:left="1418"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092" w:rsidRDefault="00240092">
      <w:r>
        <w:separator/>
      </w:r>
    </w:p>
  </w:endnote>
  <w:endnote w:type="continuationSeparator" w:id="0">
    <w:p w:rsidR="00240092" w:rsidRDefault="00240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a_Timer">
    <w:altName w:val="Times New Roman"/>
    <w:panose1 w:val="00000000000000000000"/>
    <w:charset w:val="00"/>
    <w:family w:val="roman"/>
    <w:notTrueType/>
    <w:pitch w:val="variable"/>
    <w:sig w:usb0="00000003" w:usb1="00000000" w:usb2="00000000" w:usb3="00000000" w:csb0="00000001" w:csb1="00000000"/>
  </w:font>
  <w:font w:name="ACSRS">
    <w:altName w:val="Times New Roman"/>
    <w:panose1 w:val="00000000000000000000"/>
    <w:charset w:val="00"/>
    <w:family w:val="auto"/>
    <w:notTrueType/>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OpenSymbol">
    <w:altName w:val="Arial Unicode MS"/>
    <w:panose1 w:val="00000000000000000000"/>
    <w:charset w:val="00"/>
    <w:family w:val="auto"/>
    <w:notTrueType/>
    <w:pitch w:val="variable"/>
    <w:sig w:usb0="00000003" w:usb1="00000000" w:usb2="00000000" w:usb3="00000000" w:csb0="00000001" w:csb1="00000000"/>
  </w:font>
  <w:font w:name="Liberation Sans">
    <w:altName w:val="Arial"/>
    <w:panose1 w:val="00000000000000000000"/>
    <w:charset w:val="CC"/>
    <w:family w:val="swiss"/>
    <w:notTrueType/>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Respect">
    <w:altName w:val="Arial"/>
    <w:panose1 w:val="00000000000000000000"/>
    <w:charset w:val="00"/>
    <w:family w:val="swiss"/>
    <w:notTrueType/>
    <w:pitch w:val="variable"/>
    <w:sig w:usb0="00000003" w:usb1="00000000" w:usb2="00000000" w:usb3="00000000" w:csb0="00000001" w:csb1="00000000"/>
  </w:font>
  <w:font w:name="MS ??">
    <w:altName w:val="MS Gothic"/>
    <w:panose1 w:val="00000000000000000000"/>
    <w:charset w:val="80"/>
    <w:family w:val="auto"/>
    <w:notTrueType/>
    <w:pitch w:val="variable"/>
    <w:sig w:usb0="00000001" w:usb1="08070000" w:usb2="00000010" w:usb3="00000000" w:csb0="00020000" w:csb1="00000000"/>
  </w:font>
  <w:font w:name="MyslNarrowC">
    <w:altName w:val="Times New Roman"/>
    <w:panose1 w:val="00000000000000000000"/>
    <w:charset w:val="CC"/>
    <w:family w:val="auto"/>
    <w:notTrueType/>
    <w:pitch w:val="variable"/>
    <w:sig w:usb0="00000203" w:usb1="00000000" w:usb2="00000000" w:usb3="00000000" w:csb0="00000005" w:csb1="00000000"/>
  </w:font>
  <w:font w:name="PragmaticaC">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CC"/>
    <w:family w:val="roman"/>
    <w:pitch w:val="variable"/>
    <w:sig w:usb0="A00002EF" w:usb1="4000204B" w:usb2="00000000" w:usb3="00000000" w:csb0="0000019F" w:csb1="00000000"/>
  </w:font>
  <w:font w:name="Impact">
    <w:panose1 w:val="020B0806030902050204"/>
    <w:charset w:val="CC"/>
    <w:family w:val="swiss"/>
    <w:pitch w:val="variable"/>
    <w:sig w:usb0="00000287" w:usb1="00000000" w:usb2="00000000" w:usb3="00000000" w:csb0="0000009F" w:csb1="00000000"/>
  </w:font>
  <w:font w:name="Times">
    <w:panose1 w:val="02020603050405020304"/>
    <w:charset w:val="CC"/>
    <w:family w:val="roman"/>
    <w:pitch w:val="variable"/>
    <w:sig w:usb0="20002A87" w:usb1="80000000" w:usb2="00000008" w:usb3="00000000" w:csb0="000001FF" w:csb1="00000000"/>
  </w:font>
  <w:font w:name="Lohit Hindi">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Times New Roman Bold">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STFangsong">
    <w:altName w:val="Arial Unicode MS"/>
    <w:panose1 w:val="00000000000000000000"/>
    <w:charset w:val="86"/>
    <w:family w:val="auto"/>
    <w:notTrueType/>
    <w:pitch w:val="variable"/>
    <w:sig w:usb0="00000001" w:usb1="080E0000" w:usb2="00000010" w:usb3="00000000" w:csb0="00040000" w:csb1="00000000"/>
  </w:font>
  <w:font w:name="Helvetica">
    <w:panose1 w:val="020B0504020202020204"/>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003" w:usb1="00000000" w:usb2="00000000" w:usb3="00000000" w:csb0="00000001" w:csb1="00000000"/>
  </w:font>
  <w:font w:name="SchoolDL">
    <w:altName w:val="Times New Roman"/>
    <w:panose1 w:val="00000000000000000000"/>
    <w:charset w:val="00"/>
    <w:family w:val="auto"/>
    <w:notTrueType/>
    <w:pitch w:val="variable"/>
    <w:sig w:usb0="00000003" w:usb1="00000000" w:usb2="00000000" w:usb3="00000000" w:csb0="00000001" w:csb1="00000000"/>
  </w:font>
  <w:font w:name="Baskerville Win95BT">
    <w:altName w:val="Times New Roman"/>
    <w:panose1 w:val="00000000000000000000"/>
    <w:charset w:val="CC"/>
    <w:family w:val="roman"/>
    <w:notTrueType/>
    <w:pitch w:val="default"/>
    <w:sig w:usb0="00000203" w:usb1="00000000" w:usb2="00000000" w:usb3="00000000" w:csb0="00000005" w:csb1="00000000"/>
  </w:font>
  <w:font w:name="SymbolMT">
    <w:panose1 w:val="00000000000000000000"/>
    <w:charset w:val="CC"/>
    <w:family w:val="auto"/>
    <w:notTrueType/>
    <w:pitch w:val="default"/>
    <w:sig w:usb0="00000201" w:usb1="00000000" w:usb2="00000000" w:usb3="00000000" w:csb0="00000004" w:csb1="00000000"/>
  </w:font>
  <w:font w:name="Peterburg Cyr">
    <w:altName w:val="Arial"/>
    <w:panose1 w:val="00000000000000000000"/>
    <w:charset w:val="CC"/>
    <w:family w:val="swiss"/>
    <w:notTrueType/>
    <w:pitch w:val="default"/>
    <w:sig w:usb0="00000203" w:usb1="00000000" w:usb2="00000000" w:usb3="00000000" w:csb0="00000005"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rial CYR">
    <w:panose1 w:val="020B0604020202020204"/>
    <w:charset w:val="CC"/>
    <w:family w:val="swiss"/>
    <w:pitch w:val="variable"/>
    <w:sig w:usb0="20002A87" w:usb1="80000000" w:usb2="00000008" w:usb3="00000000" w:csb0="000001FF" w:csb1="00000000"/>
  </w:font>
  <w:font w:name="Lobster">
    <w:altName w:val="Times New Roman"/>
    <w:panose1 w:val="00000000000000000000"/>
    <w:charset w:val="00"/>
    <w:family w:val="roman"/>
    <w:notTrueType/>
    <w:pitch w:val="default"/>
    <w:sig w:usb0="00000003" w:usb1="00000000" w:usb2="00000000" w:usb3="00000000" w:csb0="00000001" w:csb1="00000000"/>
  </w:font>
  <w:font w:name="Open Sans Condensed">
    <w:altName w:val="Times New Roman"/>
    <w:panose1 w:val="00000000000000000000"/>
    <w:charset w:val="00"/>
    <w:family w:val="roman"/>
    <w:notTrueType/>
    <w:pitch w:val="default"/>
    <w:sig w:usb0="00000003" w:usb1="00000000" w:usb2="00000000" w:usb3="00000000" w:csb0="00000001" w:csb1="00000000"/>
  </w:font>
  <w:font w:name="Chevin Pro">
    <w:altName w:val="Arial"/>
    <w:panose1 w:val="00000000000000000000"/>
    <w:charset w:val="CC"/>
    <w:family w:val="swiss"/>
    <w:notTrueType/>
    <w:pitch w:val="default"/>
    <w:sig w:usb0="00000203" w:usb1="00000000" w:usb2="00000000" w:usb3="00000000" w:csb0="00000005" w:csb1="00000000"/>
  </w:font>
  <w:font w:name="Lucida Grande CY">
    <w:panose1 w:val="00000000000000000000"/>
    <w:charset w:val="59"/>
    <w:family w:val="auto"/>
    <w:notTrueType/>
    <w:pitch w:val="variable"/>
    <w:sig w:usb0="00000001"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CC"/>
    <w:family w:val="swiss"/>
    <w:pitch w:val="variable"/>
    <w:sig w:usb0="E5002EFF" w:usb1="C000605B" w:usb2="00000029" w:usb3="00000000" w:csb0="000101FF" w:csb1="00000000"/>
  </w:font>
  <w:font w:name="Harlow Solid Italic">
    <w:panose1 w:val="04030604020F02020D02"/>
    <w:charset w:val="00"/>
    <w:family w:val="decorative"/>
    <w:pitch w:val="variable"/>
    <w:sig w:usb0="00000003" w:usb1="00000000" w:usb2="00000000" w:usb3="00000000" w:csb0="00000001"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16C" w:rsidRDefault="00AE516C">
    <w:pPr>
      <w:pStyle w:val="a7"/>
      <w:jc w:val="center"/>
    </w:pPr>
    <w:r>
      <w:fldChar w:fldCharType="begin"/>
    </w:r>
    <w:r>
      <w:instrText>PAGE   \* MERGEFORMAT</w:instrText>
    </w:r>
    <w:r>
      <w:fldChar w:fldCharType="separate"/>
    </w:r>
    <w:r w:rsidR="0096699C">
      <w:rPr>
        <w:noProof/>
      </w:rPr>
      <w:t>300</w:t>
    </w:r>
    <w:r>
      <w:rPr>
        <w:noProof/>
      </w:rPr>
      <w:fldChar w:fldCharType="end"/>
    </w:r>
  </w:p>
  <w:p w:rsidR="00AE516C" w:rsidRDefault="00AE516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092" w:rsidRDefault="00240092">
      <w:r>
        <w:separator/>
      </w:r>
    </w:p>
  </w:footnote>
  <w:footnote w:type="continuationSeparator" w:id="0">
    <w:p w:rsidR="00240092" w:rsidRDefault="002400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16C" w:rsidRPr="001D0E1C" w:rsidRDefault="00AE516C" w:rsidP="001D0E1C">
    <w:pPr>
      <w:pStyle w:val="ae"/>
      <w:jc w:val="center"/>
      <w:rPr>
        <w:rFonts w:ascii="Times New Roman" w:hAnsi="Times New Roman"/>
      </w:rPr>
    </w:pPr>
    <w:r w:rsidRPr="001D0E1C">
      <w:rPr>
        <w:rFonts w:ascii="Times New Roman" w:hAnsi="Times New Roman"/>
      </w:rPr>
      <w:fldChar w:fldCharType="begin"/>
    </w:r>
    <w:r w:rsidRPr="001D0E1C">
      <w:rPr>
        <w:rFonts w:ascii="Times New Roman" w:hAnsi="Times New Roman"/>
      </w:rPr>
      <w:instrText>PAGE   \* MERGEFORMAT</w:instrText>
    </w:r>
    <w:r w:rsidRPr="001D0E1C">
      <w:rPr>
        <w:rFonts w:ascii="Times New Roman" w:hAnsi="Times New Roman"/>
      </w:rPr>
      <w:fldChar w:fldCharType="separate"/>
    </w:r>
    <w:r>
      <w:rPr>
        <w:rFonts w:ascii="Times New Roman" w:hAnsi="Times New Roman"/>
        <w:noProof/>
      </w:rPr>
      <w:t>167</w:t>
    </w:r>
    <w:r w:rsidRPr="001D0E1C">
      <w:rP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1500"/>
        </w:tabs>
        <w:ind w:left="1500" w:hanging="360"/>
      </w:pPr>
      <w:rPr>
        <w:rFonts w:ascii="Symbol" w:hAnsi="Symbol" w:hint="default"/>
        <w:sz w:val="28"/>
      </w:r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1069" w:hanging="360"/>
      </w:pPr>
      <w:rPr>
        <w:rFonts w:ascii="Times New Roman" w:hAnsi="Times New Roman" w:cs="Times New Roman" w:hint="default"/>
        <w:sz w:val="28"/>
        <w:szCs w:val="28"/>
      </w:rPr>
    </w:lvl>
  </w:abstractNum>
  <w:abstractNum w:abstractNumId="3" w15:restartNumberingAfterBreak="0">
    <w:nsid w:val="00000005"/>
    <w:multiLevelType w:val="singleLevel"/>
    <w:tmpl w:val="00000005"/>
    <w:name w:val="WW8Num5"/>
    <w:lvl w:ilvl="0">
      <w:start w:val="1"/>
      <w:numFmt w:val="decimal"/>
      <w:lvlText w:val="%1."/>
      <w:lvlJc w:val="left"/>
      <w:pPr>
        <w:tabs>
          <w:tab w:val="num" w:pos="0"/>
        </w:tabs>
        <w:ind w:left="1069" w:hanging="360"/>
      </w:pPr>
      <w:rPr>
        <w:rFonts w:ascii="Times New Roman" w:hAnsi="Times New Roman" w:cs="Times New Roman" w:hint="default"/>
        <w:b/>
        <w:sz w:val="28"/>
        <w:szCs w:val="28"/>
      </w:rPr>
    </w:lvl>
  </w:abstractNum>
  <w:abstractNum w:abstractNumId="4" w15:restartNumberingAfterBreak="0">
    <w:nsid w:val="00000006"/>
    <w:multiLevelType w:val="singleLevel"/>
    <w:tmpl w:val="00000006"/>
    <w:name w:val="WW8Num6"/>
    <w:lvl w:ilvl="0">
      <w:start w:val="1"/>
      <w:numFmt w:val="decimal"/>
      <w:lvlText w:val="%1."/>
      <w:lvlJc w:val="left"/>
      <w:pPr>
        <w:tabs>
          <w:tab w:val="num" w:pos="0"/>
        </w:tabs>
        <w:ind w:left="1069" w:hanging="360"/>
      </w:pPr>
      <w:rPr>
        <w:rFonts w:ascii="Times New Roman" w:hAnsi="Times New Roman" w:cs="Times New Roman" w:hint="default"/>
        <w:b w:val="0"/>
        <w:spacing w:val="-4"/>
        <w:sz w:val="28"/>
        <w:szCs w:val="28"/>
      </w:rPr>
    </w:lvl>
  </w:abstractNum>
  <w:abstractNum w:abstractNumId="5" w15:restartNumberingAfterBreak="0">
    <w:nsid w:val="00000007"/>
    <w:multiLevelType w:val="singleLevel"/>
    <w:tmpl w:val="00000007"/>
    <w:name w:val="WW8Num7"/>
    <w:lvl w:ilvl="0">
      <w:start w:val="1"/>
      <w:numFmt w:val="decimal"/>
      <w:lvlText w:val="%1."/>
      <w:lvlJc w:val="left"/>
      <w:pPr>
        <w:tabs>
          <w:tab w:val="num" w:pos="0"/>
        </w:tabs>
        <w:ind w:left="720" w:hanging="360"/>
      </w:pPr>
      <w:rPr>
        <w:rFonts w:ascii="Times New Roman" w:eastAsia="Times New Roman" w:hAnsi="Times New Roman" w:cs="Times New Roman"/>
        <w:b w:val="0"/>
        <w:bCs/>
        <w:i w:val="0"/>
        <w:color w:val="auto"/>
        <w:spacing w:val="-4"/>
        <w:sz w:val="28"/>
        <w:szCs w:val="28"/>
      </w:rPr>
    </w:lvl>
  </w:abstractNum>
  <w:abstractNum w:abstractNumId="6" w15:restartNumberingAfterBreak="0">
    <w:nsid w:val="00000008"/>
    <w:multiLevelType w:val="singleLevel"/>
    <w:tmpl w:val="00000008"/>
    <w:name w:val="WW8Num8"/>
    <w:lvl w:ilvl="0">
      <w:start w:val="1"/>
      <w:numFmt w:val="decimal"/>
      <w:lvlText w:val="%1."/>
      <w:lvlJc w:val="left"/>
      <w:pPr>
        <w:tabs>
          <w:tab w:val="num" w:pos="0"/>
        </w:tabs>
        <w:ind w:left="1069" w:hanging="360"/>
      </w:pPr>
      <w:rPr>
        <w:rFonts w:ascii="Times New Roman" w:hAnsi="Times New Roman" w:cs="Times New Roman" w:hint="default"/>
        <w:spacing w:val="-4"/>
        <w:sz w:val="28"/>
        <w:szCs w:val="28"/>
      </w:rPr>
    </w:lvl>
  </w:abstractNum>
  <w:abstractNum w:abstractNumId="7" w15:restartNumberingAfterBreak="0">
    <w:nsid w:val="00000009"/>
    <w:multiLevelType w:val="singleLevel"/>
    <w:tmpl w:val="00000009"/>
    <w:name w:val="WW8Num9"/>
    <w:lvl w:ilvl="0">
      <w:start w:val="1"/>
      <w:numFmt w:val="bullet"/>
      <w:lvlText w:val=""/>
      <w:lvlJc w:val="left"/>
      <w:pPr>
        <w:tabs>
          <w:tab w:val="num" w:pos="0"/>
        </w:tabs>
        <w:ind w:left="1429" w:hanging="360"/>
      </w:pPr>
      <w:rPr>
        <w:rFonts w:ascii="Symbol" w:hAnsi="Symbol" w:hint="default"/>
        <w:sz w:val="28"/>
      </w:rPr>
    </w:lvl>
  </w:abstractNum>
  <w:abstractNum w:abstractNumId="8" w15:restartNumberingAfterBreak="0">
    <w:nsid w:val="0000000A"/>
    <w:multiLevelType w:val="singleLevel"/>
    <w:tmpl w:val="0000000A"/>
    <w:name w:val="WW8Num10"/>
    <w:lvl w:ilvl="0">
      <w:start w:val="1"/>
      <w:numFmt w:val="bullet"/>
      <w:lvlText w:val=""/>
      <w:lvlJc w:val="left"/>
      <w:pPr>
        <w:tabs>
          <w:tab w:val="num" w:pos="0"/>
        </w:tabs>
        <w:ind w:left="1429" w:hanging="360"/>
      </w:pPr>
      <w:rPr>
        <w:rFonts w:ascii="Symbol" w:hAnsi="Symbol" w:hint="default"/>
        <w:color w:val="000000"/>
        <w:sz w:val="28"/>
      </w:rPr>
    </w:lvl>
  </w:abstractNum>
  <w:abstractNum w:abstractNumId="9" w15:restartNumberingAfterBreak="0">
    <w:nsid w:val="0000000B"/>
    <w:multiLevelType w:val="singleLevel"/>
    <w:tmpl w:val="0000000B"/>
    <w:name w:val="WW8Num11"/>
    <w:lvl w:ilvl="0">
      <w:start w:val="1"/>
      <w:numFmt w:val="decimal"/>
      <w:lvlText w:val="%1."/>
      <w:lvlJc w:val="left"/>
      <w:pPr>
        <w:tabs>
          <w:tab w:val="num" w:pos="0"/>
        </w:tabs>
        <w:ind w:left="1069" w:hanging="360"/>
      </w:pPr>
      <w:rPr>
        <w:rFonts w:ascii="Times New Roman" w:hAnsi="Times New Roman" w:cs="Times New Roman" w:hint="default"/>
        <w:sz w:val="28"/>
        <w:szCs w:val="28"/>
      </w:rPr>
    </w:lvl>
  </w:abstractNum>
  <w:abstractNum w:abstractNumId="10" w15:restartNumberingAfterBreak="0">
    <w:nsid w:val="0000000C"/>
    <w:multiLevelType w:val="multilevel"/>
    <w:tmpl w:val="0000000C"/>
    <w:name w:val="WW8Num12"/>
    <w:lvl w:ilvl="0">
      <w:start w:val="1"/>
      <w:numFmt w:val="decimal"/>
      <w:lvlText w:val="%1."/>
      <w:lvlJc w:val="left"/>
      <w:pPr>
        <w:tabs>
          <w:tab w:val="num" w:pos="0"/>
        </w:tabs>
        <w:ind w:left="450" w:hanging="450"/>
      </w:pPr>
      <w:rPr>
        <w:rFonts w:cs="Times New Roman" w:hint="default"/>
      </w:rPr>
    </w:lvl>
    <w:lvl w:ilvl="1">
      <w:start w:val="1"/>
      <w:numFmt w:val="decimal"/>
      <w:lvlText w:val="%1.%2."/>
      <w:lvlJc w:val="left"/>
      <w:pPr>
        <w:tabs>
          <w:tab w:val="num" w:pos="0"/>
        </w:tabs>
        <w:ind w:left="5115" w:hanging="720"/>
      </w:pPr>
      <w:rPr>
        <w:rFonts w:eastAsia="Times New Roman" w:cs="Times New Roman" w:hint="default"/>
        <w:b/>
      </w:rPr>
    </w:lvl>
    <w:lvl w:ilvl="2">
      <w:start w:val="1"/>
      <w:numFmt w:val="decimal"/>
      <w:lvlText w:val="%1.%2.%3."/>
      <w:lvlJc w:val="left"/>
      <w:pPr>
        <w:tabs>
          <w:tab w:val="num" w:pos="0"/>
        </w:tabs>
        <w:ind w:left="2138" w:hanging="720"/>
      </w:pPr>
      <w:rPr>
        <w:rFonts w:cs="Times New Roman" w:hint="default"/>
      </w:rPr>
    </w:lvl>
    <w:lvl w:ilvl="3">
      <w:start w:val="1"/>
      <w:numFmt w:val="decimal"/>
      <w:lvlText w:val="%1.%2.%3.%4."/>
      <w:lvlJc w:val="left"/>
      <w:pPr>
        <w:tabs>
          <w:tab w:val="num" w:pos="0"/>
        </w:tabs>
        <w:ind w:left="3207" w:hanging="1080"/>
      </w:pPr>
      <w:rPr>
        <w:rFonts w:cs="Times New Roman" w:hint="default"/>
      </w:rPr>
    </w:lvl>
    <w:lvl w:ilvl="4">
      <w:start w:val="1"/>
      <w:numFmt w:val="decimal"/>
      <w:lvlText w:val="%1.%2.%3.%4.%5."/>
      <w:lvlJc w:val="left"/>
      <w:pPr>
        <w:tabs>
          <w:tab w:val="num" w:pos="0"/>
        </w:tabs>
        <w:ind w:left="3916" w:hanging="1080"/>
      </w:pPr>
      <w:rPr>
        <w:rFonts w:cs="Times New Roman" w:hint="default"/>
      </w:rPr>
    </w:lvl>
    <w:lvl w:ilvl="5">
      <w:start w:val="1"/>
      <w:numFmt w:val="decimal"/>
      <w:lvlText w:val="%1.%2.%3.%4.%5.%6."/>
      <w:lvlJc w:val="left"/>
      <w:pPr>
        <w:tabs>
          <w:tab w:val="num" w:pos="0"/>
        </w:tabs>
        <w:ind w:left="4985" w:hanging="1440"/>
      </w:pPr>
      <w:rPr>
        <w:rFonts w:cs="Times New Roman" w:hint="default"/>
      </w:rPr>
    </w:lvl>
    <w:lvl w:ilvl="6">
      <w:start w:val="1"/>
      <w:numFmt w:val="decimal"/>
      <w:lvlText w:val="%1.%2.%3.%4.%5.%6.%7."/>
      <w:lvlJc w:val="left"/>
      <w:pPr>
        <w:tabs>
          <w:tab w:val="num" w:pos="0"/>
        </w:tabs>
        <w:ind w:left="6054" w:hanging="1800"/>
      </w:pPr>
      <w:rPr>
        <w:rFonts w:cs="Times New Roman" w:hint="default"/>
      </w:rPr>
    </w:lvl>
    <w:lvl w:ilvl="7">
      <w:start w:val="1"/>
      <w:numFmt w:val="decimal"/>
      <w:lvlText w:val="%1.%2.%3.%4.%5.%6.%7.%8."/>
      <w:lvlJc w:val="left"/>
      <w:pPr>
        <w:tabs>
          <w:tab w:val="num" w:pos="0"/>
        </w:tabs>
        <w:ind w:left="6763" w:hanging="1800"/>
      </w:pPr>
      <w:rPr>
        <w:rFonts w:cs="Times New Roman" w:hint="default"/>
      </w:rPr>
    </w:lvl>
    <w:lvl w:ilvl="8">
      <w:start w:val="1"/>
      <w:numFmt w:val="decimal"/>
      <w:lvlText w:val="%1.%2.%3.%4.%5.%6.%7.%8.%9."/>
      <w:lvlJc w:val="left"/>
      <w:pPr>
        <w:tabs>
          <w:tab w:val="num" w:pos="0"/>
        </w:tabs>
        <w:ind w:left="7832" w:hanging="2160"/>
      </w:pPr>
      <w:rPr>
        <w:rFonts w:cs="Times New Roman" w:hint="default"/>
      </w:rPr>
    </w:lvl>
  </w:abstractNum>
  <w:abstractNum w:abstractNumId="11" w15:restartNumberingAfterBreak="0">
    <w:nsid w:val="0000000D"/>
    <w:multiLevelType w:val="multilevel"/>
    <w:tmpl w:val="0000000D"/>
    <w:name w:val="WW8Num13"/>
    <w:lvl w:ilvl="0">
      <w:start w:val="1"/>
      <w:numFmt w:val="decimal"/>
      <w:lvlText w:val="%1."/>
      <w:lvlJc w:val="left"/>
      <w:pPr>
        <w:tabs>
          <w:tab w:val="num" w:pos="0"/>
        </w:tabs>
        <w:ind w:left="450" w:hanging="450"/>
      </w:pPr>
      <w:rPr>
        <w:rFonts w:ascii="Times New Roman" w:hAnsi="Times New Roman" w:cs="Times New Roman" w:hint="default"/>
        <w:sz w:val="28"/>
        <w:szCs w:val="28"/>
      </w:rPr>
    </w:lvl>
    <w:lvl w:ilvl="1">
      <w:start w:val="1"/>
      <w:numFmt w:val="decimal"/>
      <w:lvlText w:val="%1.%2."/>
      <w:lvlJc w:val="left"/>
      <w:pPr>
        <w:tabs>
          <w:tab w:val="num" w:pos="708"/>
        </w:tabs>
        <w:ind w:left="1288" w:hanging="720"/>
      </w:pPr>
      <w:rPr>
        <w:rFonts w:ascii="Times New Roman" w:hAnsi="Times New Roman" w:cs="Times New Roman" w:hint="default"/>
        <w:sz w:val="28"/>
        <w:szCs w:val="28"/>
      </w:rPr>
    </w:lvl>
    <w:lvl w:ilvl="2">
      <w:start w:val="1"/>
      <w:numFmt w:val="decimal"/>
      <w:lvlText w:val="%1.%2.%3."/>
      <w:lvlJc w:val="left"/>
      <w:pPr>
        <w:tabs>
          <w:tab w:val="num" w:pos="0"/>
        </w:tabs>
        <w:ind w:left="720" w:hanging="720"/>
      </w:pPr>
      <w:rPr>
        <w:rFonts w:ascii="Times New Roman" w:hAnsi="Times New Roman" w:cs="Times New Roman" w:hint="default"/>
        <w:sz w:val="28"/>
        <w:szCs w:val="28"/>
      </w:rPr>
    </w:lvl>
    <w:lvl w:ilvl="3">
      <w:start w:val="1"/>
      <w:numFmt w:val="decimal"/>
      <w:lvlText w:val="%1.%2.%3.%4."/>
      <w:lvlJc w:val="left"/>
      <w:pPr>
        <w:tabs>
          <w:tab w:val="num" w:pos="0"/>
        </w:tabs>
        <w:ind w:left="1080" w:hanging="1080"/>
      </w:pPr>
      <w:rPr>
        <w:rFonts w:ascii="Times New Roman" w:hAnsi="Times New Roman" w:cs="Times New Roman" w:hint="default"/>
        <w:sz w:val="28"/>
        <w:szCs w:val="28"/>
      </w:rPr>
    </w:lvl>
    <w:lvl w:ilvl="4">
      <w:start w:val="1"/>
      <w:numFmt w:val="decimal"/>
      <w:lvlText w:val="%1.%2.%3.%4.%5."/>
      <w:lvlJc w:val="left"/>
      <w:pPr>
        <w:tabs>
          <w:tab w:val="num" w:pos="0"/>
        </w:tabs>
        <w:ind w:left="1080" w:hanging="1080"/>
      </w:pPr>
      <w:rPr>
        <w:rFonts w:ascii="Times New Roman" w:hAnsi="Times New Roman" w:cs="Times New Roman" w:hint="default"/>
        <w:sz w:val="28"/>
        <w:szCs w:val="28"/>
      </w:rPr>
    </w:lvl>
    <w:lvl w:ilvl="5">
      <w:start w:val="1"/>
      <w:numFmt w:val="decimal"/>
      <w:lvlText w:val="%1.%2.%3.%4.%5.%6."/>
      <w:lvlJc w:val="left"/>
      <w:pPr>
        <w:tabs>
          <w:tab w:val="num" w:pos="0"/>
        </w:tabs>
        <w:ind w:left="1440" w:hanging="1440"/>
      </w:pPr>
      <w:rPr>
        <w:rFonts w:ascii="Times New Roman" w:hAnsi="Times New Roman" w:cs="Times New Roman" w:hint="default"/>
        <w:sz w:val="28"/>
        <w:szCs w:val="28"/>
      </w:rPr>
    </w:lvl>
    <w:lvl w:ilvl="6">
      <w:start w:val="1"/>
      <w:numFmt w:val="decimal"/>
      <w:lvlText w:val="%1.%2.%3.%4.%5.%6.%7."/>
      <w:lvlJc w:val="left"/>
      <w:pPr>
        <w:tabs>
          <w:tab w:val="num" w:pos="0"/>
        </w:tabs>
        <w:ind w:left="1800" w:hanging="1800"/>
      </w:pPr>
      <w:rPr>
        <w:rFonts w:ascii="Times New Roman" w:hAnsi="Times New Roman" w:cs="Times New Roman" w:hint="default"/>
        <w:sz w:val="28"/>
        <w:szCs w:val="28"/>
      </w:rPr>
    </w:lvl>
    <w:lvl w:ilvl="7">
      <w:start w:val="1"/>
      <w:numFmt w:val="decimal"/>
      <w:lvlText w:val="%1.%2.%3.%4.%5.%6.%7.%8."/>
      <w:lvlJc w:val="left"/>
      <w:pPr>
        <w:tabs>
          <w:tab w:val="num" w:pos="0"/>
        </w:tabs>
        <w:ind w:left="1800" w:hanging="1800"/>
      </w:pPr>
      <w:rPr>
        <w:rFonts w:ascii="Times New Roman" w:hAnsi="Times New Roman" w:cs="Times New Roman" w:hint="default"/>
        <w:sz w:val="28"/>
        <w:szCs w:val="28"/>
      </w:rPr>
    </w:lvl>
    <w:lvl w:ilvl="8">
      <w:start w:val="1"/>
      <w:numFmt w:val="decimal"/>
      <w:lvlText w:val="%1.%2.%3.%4.%5.%6.%7.%8.%9."/>
      <w:lvlJc w:val="left"/>
      <w:pPr>
        <w:tabs>
          <w:tab w:val="num" w:pos="0"/>
        </w:tabs>
        <w:ind w:left="2160" w:hanging="2160"/>
      </w:pPr>
      <w:rPr>
        <w:rFonts w:ascii="Times New Roman" w:hAnsi="Times New Roman" w:cs="Times New Roman" w:hint="default"/>
        <w:sz w:val="28"/>
        <w:szCs w:val="28"/>
      </w:rPr>
    </w:lvl>
  </w:abstractNum>
  <w:abstractNum w:abstractNumId="12" w15:restartNumberingAfterBreak="0">
    <w:nsid w:val="0000000E"/>
    <w:multiLevelType w:val="singleLevel"/>
    <w:tmpl w:val="0000000E"/>
    <w:name w:val="WW8Num14"/>
    <w:lvl w:ilvl="0">
      <w:start w:val="1"/>
      <w:numFmt w:val="bullet"/>
      <w:lvlText w:val=""/>
      <w:lvlJc w:val="left"/>
      <w:pPr>
        <w:tabs>
          <w:tab w:val="num" w:pos="0"/>
        </w:tabs>
        <w:ind w:left="1429" w:hanging="360"/>
      </w:pPr>
      <w:rPr>
        <w:rFonts w:ascii="Symbol" w:hAnsi="Symbol" w:hint="default"/>
        <w:spacing w:val="-4"/>
      </w:rPr>
    </w:lvl>
  </w:abstractNum>
  <w:abstractNum w:abstractNumId="13" w15:restartNumberingAfterBreak="0">
    <w:nsid w:val="0000000F"/>
    <w:multiLevelType w:val="singleLevel"/>
    <w:tmpl w:val="0000000F"/>
    <w:name w:val="WW8Num15"/>
    <w:lvl w:ilvl="0">
      <w:start w:val="1"/>
      <w:numFmt w:val="decimal"/>
      <w:lvlText w:val="%1."/>
      <w:lvlJc w:val="left"/>
      <w:pPr>
        <w:tabs>
          <w:tab w:val="num" w:pos="2070"/>
        </w:tabs>
        <w:ind w:left="2070" w:hanging="1350"/>
      </w:pPr>
      <w:rPr>
        <w:rFonts w:ascii="Times New Roman" w:hAnsi="Times New Roman" w:cs="Times New Roman" w:hint="default"/>
        <w:b w:val="0"/>
        <w:spacing w:val="-4"/>
        <w:sz w:val="28"/>
        <w:szCs w:val="28"/>
      </w:rPr>
    </w:lvl>
  </w:abstractNum>
  <w:abstractNum w:abstractNumId="14" w15:restartNumberingAfterBreak="0">
    <w:nsid w:val="00000010"/>
    <w:multiLevelType w:val="singleLevel"/>
    <w:tmpl w:val="00000010"/>
    <w:name w:val="WW8Num16"/>
    <w:lvl w:ilvl="0">
      <w:start w:val="1"/>
      <w:numFmt w:val="decimal"/>
      <w:lvlText w:val="%1."/>
      <w:lvlJc w:val="left"/>
      <w:pPr>
        <w:tabs>
          <w:tab w:val="num" w:pos="0"/>
        </w:tabs>
        <w:ind w:left="1069" w:hanging="360"/>
      </w:pPr>
      <w:rPr>
        <w:rFonts w:cs="Times New Roman" w:hint="default"/>
      </w:rPr>
    </w:lvl>
  </w:abstractNum>
  <w:abstractNum w:abstractNumId="15" w15:restartNumberingAfterBreak="0">
    <w:nsid w:val="00000011"/>
    <w:multiLevelType w:val="singleLevel"/>
    <w:tmpl w:val="00000011"/>
    <w:name w:val="WW8Num18"/>
    <w:lvl w:ilvl="0">
      <w:start w:val="1"/>
      <w:numFmt w:val="decimal"/>
      <w:lvlText w:val="%1."/>
      <w:lvlJc w:val="left"/>
      <w:pPr>
        <w:tabs>
          <w:tab w:val="num" w:pos="0"/>
        </w:tabs>
        <w:ind w:left="1069" w:hanging="360"/>
      </w:pPr>
      <w:rPr>
        <w:rFonts w:ascii="Times New Roman" w:hAnsi="Times New Roman" w:cs="Times New Roman" w:hint="default"/>
        <w:b/>
        <w:sz w:val="28"/>
        <w:szCs w:val="28"/>
      </w:rPr>
    </w:lvl>
  </w:abstractNum>
  <w:abstractNum w:abstractNumId="16" w15:restartNumberingAfterBreak="0">
    <w:nsid w:val="00000012"/>
    <w:multiLevelType w:val="singleLevel"/>
    <w:tmpl w:val="00000012"/>
    <w:name w:val="WW8Num19"/>
    <w:lvl w:ilvl="0">
      <w:start w:val="1"/>
      <w:numFmt w:val="bullet"/>
      <w:lvlText w:val=""/>
      <w:lvlJc w:val="left"/>
      <w:pPr>
        <w:tabs>
          <w:tab w:val="num" w:pos="0"/>
        </w:tabs>
        <w:ind w:left="1429" w:hanging="360"/>
      </w:pPr>
      <w:rPr>
        <w:rFonts w:ascii="Symbol" w:hAnsi="Symbol" w:hint="default"/>
        <w:spacing w:val="-4"/>
        <w:sz w:val="28"/>
      </w:rPr>
    </w:lvl>
  </w:abstractNum>
  <w:abstractNum w:abstractNumId="17" w15:restartNumberingAfterBreak="0">
    <w:nsid w:val="00000013"/>
    <w:multiLevelType w:val="singleLevel"/>
    <w:tmpl w:val="00000013"/>
    <w:name w:val="WW8Num20"/>
    <w:lvl w:ilvl="0">
      <w:start w:val="1"/>
      <w:numFmt w:val="bullet"/>
      <w:lvlText w:val=""/>
      <w:lvlJc w:val="left"/>
      <w:pPr>
        <w:tabs>
          <w:tab w:val="num" w:pos="1429"/>
        </w:tabs>
        <w:ind w:left="1429" w:hanging="360"/>
      </w:pPr>
      <w:rPr>
        <w:rFonts w:ascii="Symbol" w:hAnsi="Symbol" w:hint="default"/>
        <w:color w:val="auto"/>
        <w:spacing w:val="-4"/>
        <w:sz w:val="28"/>
      </w:rPr>
    </w:lvl>
  </w:abstractNum>
  <w:abstractNum w:abstractNumId="18" w15:restartNumberingAfterBreak="0">
    <w:nsid w:val="05500A62"/>
    <w:multiLevelType w:val="hybridMultilevel"/>
    <w:tmpl w:val="BB02D4D6"/>
    <w:lvl w:ilvl="0" w:tplc="E9A62B7C">
      <w:start w:val="1"/>
      <w:numFmt w:val="decimal"/>
      <w:pStyle w:val="hfpltk"/>
      <w:lvlText w:val="ГЛАВА %1."/>
      <w:lvlJc w:val="right"/>
      <w:pPr>
        <w:ind w:left="717" w:hanging="360"/>
      </w:pPr>
      <w:rPr>
        <w:rFonts w:cs="Times New Roman" w:hint="default"/>
        <w:i w:val="0"/>
        <w:caps/>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08D3469C"/>
    <w:multiLevelType w:val="hybridMultilevel"/>
    <w:tmpl w:val="14824772"/>
    <w:styleLink w:val="a"/>
    <w:lvl w:ilvl="0" w:tplc="5D980F5C">
      <w:start w:val="1"/>
      <w:numFmt w:val="decimal"/>
      <w:lvlText w:val="%1)"/>
      <w:lvlJc w:val="left"/>
      <w:pPr>
        <w:ind w:left="458" w:hanging="458"/>
      </w:pPr>
      <w:rPr>
        <w:rFonts w:hAnsi="Arial Unicode MS" w:cs="Times New Roman"/>
        <w:i/>
        <w:iCs/>
        <w:caps w:val="0"/>
        <w:smallCaps w:val="0"/>
        <w:strike w:val="0"/>
        <w:dstrike w:val="0"/>
        <w:color w:val="000000"/>
        <w:spacing w:val="0"/>
        <w:w w:val="100"/>
        <w:kern w:val="0"/>
        <w:position w:val="0"/>
        <w:vertAlign w:val="baseline"/>
      </w:rPr>
    </w:lvl>
    <w:lvl w:ilvl="1" w:tplc="B4D4CBBE">
      <w:start w:val="1"/>
      <w:numFmt w:val="decimal"/>
      <w:lvlText w:val="%2)"/>
      <w:lvlJc w:val="left"/>
      <w:pPr>
        <w:ind w:left="785" w:hanging="425"/>
      </w:pPr>
      <w:rPr>
        <w:rFonts w:hAnsi="Arial Unicode MS" w:cs="Times New Roman"/>
        <w:i/>
        <w:iCs/>
        <w:caps w:val="0"/>
        <w:smallCaps w:val="0"/>
        <w:strike w:val="0"/>
        <w:dstrike w:val="0"/>
        <w:color w:val="000000"/>
        <w:spacing w:val="0"/>
        <w:w w:val="100"/>
        <w:kern w:val="0"/>
        <w:position w:val="0"/>
        <w:vertAlign w:val="baseline"/>
      </w:rPr>
    </w:lvl>
    <w:lvl w:ilvl="2" w:tplc="D94A88A4">
      <w:start w:val="1"/>
      <w:numFmt w:val="decimal"/>
      <w:lvlText w:val="%3)"/>
      <w:lvlJc w:val="left"/>
      <w:pPr>
        <w:ind w:left="1145" w:hanging="425"/>
      </w:pPr>
      <w:rPr>
        <w:rFonts w:hAnsi="Arial Unicode MS" w:cs="Times New Roman"/>
        <w:i/>
        <w:iCs/>
        <w:caps w:val="0"/>
        <w:smallCaps w:val="0"/>
        <w:strike w:val="0"/>
        <w:dstrike w:val="0"/>
        <w:color w:val="000000"/>
        <w:spacing w:val="0"/>
        <w:w w:val="100"/>
        <w:kern w:val="0"/>
        <w:position w:val="0"/>
        <w:vertAlign w:val="baseline"/>
      </w:rPr>
    </w:lvl>
    <w:lvl w:ilvl="3" w:tplc="9762039C">
      <w:start w:val="1"/>
      <w:numFmt w:val="decimal"/>
      <w:lvlText w:val="%4)"/>
      <w:lvlJc w:val="left"/>
      <w:pPr>
        <w:ind w:left="1505" w:hanging="425"/>
      </w:pPr>
      <w:rPr>
        <w:rFonts w:hAnsi="Arial Unicode MS" w:cs="Times New Roman"/>
        <w:i/>
        <w:iCs/>
        <w:caps w:val="0"/>
        <w:smallCaps w:val="0"/>
        <w:strike w:val="0"/>
        <w:dstrike w:val="0"/>
        <w:color w:val="000000"/>
        <w:spacing w:val="0"/>
        <w:w w:val="100"/>
        <w:kern w:val="0"/>
        <w:position w:val="0"/>
        <w:vertAlign w:val="baseline"/>
      </w:rPr>
    </w:lvl>
    <w:lvl w:ilvl="4" w:tplc="B57E56B4">
      <w:start w:val="1"/>
      <w:numFmt w:val="decimal"/>
      <w:lvlText w:val="%5)"/>
      <w:lvlJc w:val="left"/>
      <w:pPr>
        <w:ind w:left="1865" w:hanging="425"/>
      </w:pPr>
      <w:rPr>
        <w:rFonts w:hAnsi="Arial Unicode MS" w:cs="Times New Roman"/>
        <w:i/>
        <w:iCs/>
        <w:caps w:val="0"/>
        <w:smallCaps w:val="0"/>
        <w:strike w:val="0"/>
        <w:dstrike w:val="0"/>
        <w:color w:val="000000"/>
        <w:spacing w:val="0"/>
        <w:w w:val="100"/>
        <w:kern w:val="0"/>
        <w:position w:val="0"/>
        <w:vertAlign w:val="baseline"/>
      </w:rPr>
    </w:lvl>
    <w:lvl w:ilvl="5" w:tplc="CD4C62A4">
      <w:start w:val="1"/>
      <w:numFmt w:val="decimal"/>
      <w:lvlText w:val="%6)"/>
      <w:lvlJc w:val="left"/>
      <w:pPr>
        <w:ind w:left="2225" w:hanging="425"/>
      </w:pPr>
      <w:rPr>
        <w:rFonts w:hAnsi="Arial Unicode MS" w:cs="Times New Roman"/>
        <w:i/>
        <w:iCs/>
        <w:caps w:val="0"/>
        <w:smallCaps w:val="0"/>
        <w:strike w:val="0"/>
        <w:dstrike w:val="0"/>
        <w:color w:val="000000"/>
        <w:spacing w:val="0"/>
        <w:w w:val="100"/>
        <w:kern w:val="0"/>
        <w:position w:val="0"/>
        <w:vertAlign w:val="baseline"/>
      </w:rPr>
    </w:lvl>
    <w:lvl w:ilvl="6" w:tplc="B4EEAE32">
      <w:start w:val="1"/>
      <w:numFmt w:val="decimal"/>
      <w:lvlText w:val="%7)"/>
      <w:lvlJc w:val="left"/>
      <w:pPr>
        <w:ind w:left="2585" w:hanging="425"/>
      </w:pPr>
      <w:rPr>
        <w:rFonts w:hAnsi="Arial Unicode MS" w:cs="Times New Roman"/>
        <w:i/>
        <w:iCs/>
        <w:caps w:val="0"/>
        <w:smallCaps w:val="0"/>
        <w:strike w:val="0"/>
        <w:dstrike w:val="0"/>
        <w:color w:val="000000"/>
        <w:spacing w:val="0"/>
        <w:w w:val="100"/>
        <w:kern w:val="0"/>
        <w:position w:val="0"/>
        <w:vertAlign w:val="baseline"/>
      </w:rPr>
    </w:lvl>
    <w:lvl w:ilvl="7" w:tplc="24961A60">
      <w:start w:val="1"/>
      <w:numFmt w:val="decimal"/>
      <w:lvlText w:val="%8)"/>
      <w:lvlJc w:val="left"/>
      <w:pPr>
        <w:ind w:left="2945" w:hanging="425"/>
      </w:pPr>
      <w:rPr>
        <w:rFonts w:hAnsi="Arial Unicode MS" w:cs="Times New Roman"/>
        <w:i/>
        <w:iCs/>
        <w:caps w:val="0"/>
        <w:smallCaps w:val="0"/>
        <w:strike w:val="0"/>
        <w:dstrike w:val="0"/>
        <w:color w:val="000000"/>
        <w:spacing w:val="0"/>
        <w:w w:val="100"/>
        <w:kern w:val="0"/>
        <w:position w:val="0"/>
        <w:vertAlign w:val="baseline"/>
      </w:rPr>
    </w:lvl>
    <w:lvl w:ilvl="8" w:tplc="44C0E088">
      <w:start w:val="1"/>
      <w:numFmt w:val="decimal"/>
      <w:lvlText w:val="%9)"/>
      <w:lvlJc w:val="left"/>
      <w:pPr>
        <w:ind w:left="3305" w:hanging="425"/>
      </w:pPr>
      <w:rPr>
        <w:rFonts w:hAnsi="Arial Unicode MS" w:cs="Times New Roman"/>
        <w:i/>
        <w:iCs/>
        <w:caps w:val="0"/>
        <w:smallCaps w:val="0"/>
        <w:strike w:val="0"/>
        <w:dstrike w:val="0"/>
        <w:color w:val="000000"/>
        <w:spacing w:val="0"/>
        <w:w w:val="100"/>
        <w:kern w:val="0"/>
        <w:position w:val="0"/>
        <w:vertAlign w:val="baseline"/>
      </w:rPr>
    </w:lvl>
  </w:abstractNum>
  <w:abstractNum w:abstractNumId="20" w15:restartNumberingAfterBreak="0">
    <w:nsid w:val="0AB7375E"/>
    <w:multiLevelType w:val="hybridMultilevel"/>
    <w:tmpl w:val="93860C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FE33C46"/>
    <w:multiLevelType w:val="hybridMultilevel"/>
    <w:tmpl w:val="B93A5AC8"/>
    <w:lvl w:ilvl="0" w:tplc="0419000F">
      <w:start w:val="1"/>
      <w:numFmt w:val="decimal"/>
      <w:lvlText w:val="%1."/>
      <w:lvlJc w:val="left"/>
      <w:pPr>
        <w:tabs>
          <w:tab w:val="num" w:pos="720"/>
        </w:tabs>
        <w:ind w:left="720" w:hanging="360"/>
      </w:pPr>
      <w:rPr>
        <w:rFonts w:cs="Times New Roman"/>
      </w:rPr>
    </w:lvl>
    <w:lvl w:ilvl="1" w:tplc="8458BFCC">
      <w:start w:val="1"/>
      <w:numFmt w:val="upperLetter"/>
      <w:pStyle w:val="a0"/>
      <w:lvlText w:val="%2."/>
      <w:lvlJc w:val="left"/>
      <w:pPr>
        <w:tabs>
          <w:tab w:val="num" w:pos="1800"/>
        </w:tabs>
        <w:ind w:left="1800" w:hanging="360"/>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15:restartNumberingAfterBreak="0">
    <w:nsid w:val="14F239AF"/>
    <w:multiLevelType w:val="hybridMultilevel"/>
    <w:tmpl w:val="99EA551C"/>
    <w:lvl w:ilvl="0" w:tplc="AB485464">
      <w:start w:val="1"/>
      <w:numFmt w:val="decimal"/>
      <w:lvlText w:val="%1."/>
      <w:lvlJc w:val="left"/>
      <w:pPr>
        <w:ind w:left="1429" w:hanging="360"/>
      </w:pPr>
      <w:rPr>
        <w:rFonts w:cs="Times New Roman"/>
        <w:sz w:val="28"/>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15:restartNumberingAfterBreak="0">
    <w:nsid w:val="18552921"/>
    <w:multiLevelType w:val="multilevel"/>
    <w:tmpl w:val="0B76FD5C"/>
    <w:lvl w:ilvl="0">
      <w:start w:val="1"/>
      <w:numFmt w:val="decimal"/>
      <w:pStyle w:val="2"/>
      <w:lvlText w:val="%1."/>
      <w:lvlJc w:val="left"/>
      <w:pPr>
        <w:tabs>
          <w:tab w:val="num" w:pos="720"/>
        </w:tabs>
        <w:ind w:left="720" w:hanging="720"/>
      </w:pPr>
      <w:rPr>
        <w:rFonts w:cs="Times New Roman"/>
      </w:rPr>
    </w:lvl>
    <w:lvl w:ilvl="1">
      <w:start w:val="1"/>
      <w:numFmt w:val="decimal"/>
      <w:pStyle w:val="3"/>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4" w15:restartNumberingAfterBreak="0">
    <w:nsid w:val="203B2D67"/>
    <w:multiLevelType w:val="hybridMultilevel"/>
    <w:tmpl w:val="1E4824BA"/>
    <w:styleLink w:val="a1"/>
    <w:lvl w:ilvl="0" w:tplc="3964305C">
      <w:start w:val="1"/>
      <w:numFmt w:val="bullet"/>
      <w:lvlText w:val="-"/>
      <w:lvlJc w:val="left"/>
      <w:pPr>
        <w:ind w:left="305" w:hanging="305"/>
      </w:pPr>
      <w:rPr>
        <w:rFonts w:hAnsi="Arial Unicode MS"/>
        <w:i/>
        <w:caps w:val="0"/>
        <w:smallCaps w:val="0"/>
        <w:strike w:val="0"/>
        <w:dstrike w:val="0"/>
        <w:color w:val="000000"/>
        <w:spacing w:val="0"/>
        <w:w w:val="100"/>
        <w:kern w:val="0"/>
        <w:position w:val="4"/>
        <w:sz w:val="31"/>
        <w:vertAlign w:val="baseline"/>
      </w:rPr>
    </w:lvl>
    <w:lvl w:ilvl="1" w:tplc="A0FA0CE8">
      <w:start w:val="1"/>
      <w:numFmt w:val="bullet"/>
      <w:lvlText w:val="-"/>
      <w:lvlJc w:val="left"/>
      <w:pPr>
        <w:ind w:left="524" w:hanging="284"/>
      </w:pPr>
      <w:rPr>
        <w:rFonts w:hAnsi="Arial Unicode MS"/>
        <w:i/>
        <w:caps w:val="0"/>
        <w:smallCaps w:val="0"/>
        <w:strike w:val="0"/>
        <w:dstrike w:val="0"/>
        <w:color w:val="000000"/>
        <w:spacing w:val="0"/>
        <w:w w:val="100"/>
        <w:kern w:val="0"/>
        <w:position w:val="4"/>
        <w:sz w:val="31"/>
        <w:vertAlign w:val="baseline"/>
      </w:rPr>
    </w:lvl>
    <w:lvl w:ilvl="2" w:tplc="8FC60872">
      <w:start w:val="1"/>
      <w:numFmt w:val="bullet"/>
      <w:lvlText w:val="-"/>
      <w:lvlJc w:val="left"/>
      <w:pPr>
        <w:ind w:left="764" w:hanging="284"/>
      </w:pPr>
      <w:rPr>
        <w:rFonts w:hAnsi="Arial Unicode MS"/>
        <w:i/>
        <w:caps w:val="0"/>
        <w:smallCaps w:val="0"/>
        <w:strike w:val="0"/>
        <w:dstrike w:val="0"/>
        <w:color w:val="000000"/>
        <w:spacing w:val="0"/>
        <w:w w:val="100"/>
        <w:kern w:val="0"/>
        <w:position w:val="4"/>
        <w:sz w:val="31"/>
        <w:vertAlign w:val="baseline"/>
      </w:rPr>
    </w:lvl>
    <w:lvl w:ilvl="3" w:tplc="4088014E">
      <w:start w:val="1"/>
      <w:numFmt w:val="bullet"/>
      <w:lvlText w:val="-"/>
      <w:lvlJc w:val="left"/>
      <w:pPr>
        <w:ind w:left="1004" w:hanging="284"/>
      </w:pPr>
      <w:rPr>
        <w:rFonts w:hAnsi="Arial Unicode MS"/>
        <w:i/>
        <w:caps w:val="0"/>
        <w:smallCaps w:val="0"/>
        <w:strike w:val="0"/>
        <w:dstrike w:val="0"/>
        <w:color w:val="000000"/>
        <w:spacing w:val="0"/>
        <w:w w:val="100"/>
        <w:kern w:val="0"/>
        <w:position w:val="4"/>
        <w:sz w:val="31"/>
        <w:vertAlign w:val="baseline"/>
      </w:rPr>
    </w:lvl>
    <w:lvl w:ilvl="4" w:tplc="7FFEB062">
      <w:start w:val="1"/>
      <w:numFmt w:val="bullet"/>
      <w:lvlText w:val="-"/>
      <w:lvlJc w:val="left"/>
      <w:pPr>
        <w:ind w:left="1244" w:hanging="284"/>
      </w:pPr>
      <w:rPr>
        <w:rFonts w:hAnsi="Arial Unicode MS"/>
        <w:i/>
        <w:caps w:val="0"/>
        <w:smallCaps w:val="0"/>
        <w:strike w:val="0"/>
        <w:dstrike w:val="0"/>
        <w:color w:val="000000"/>
        <w:spacing w:val="0"/>
        <w:w w:val="100"/>
        <w:kern w:val="0"/>
        <w:position w:val="4"/>
        <w:sz w:val="31"/>
        <w:vertAlign w:val="baseline"/>
      </w:rPr>
    </w:lvl>
    <w:lvl w:ilvl="5" w:tplc="31D2A2D0">
      <w:start w:val="1"/>
      <w:numFmt w:val="bullet"/>
      <w:lvlText w:val="-"/>
      <w:lvlJc w:val="left"/>
      <w:pPr>
        <w:ind w:left="1484" w:hanging="284"/>
      </w:pPr>
      <w:rPr>
        <w:rFonts w:hAnsi="Arial Unicode MS"/>
        <w:i/>
        <w:caps w:val="0"/>
        <w:smallCaps w:val="0"/>
        <w:strike w:val="0"/>
        <w:dstrike w:val="0"/>
        <w:color w:val="000000"/>
        <w:spacing w:val="0"/>
        <w:w w:val="100"/>
        <w:kern w:val="0"/>
        <w:position w:val="4"/>
        <w:sz w:val="31"/>
        <w:vertAlign w:val="baseline"/>
      </w:rPr>
    </w:lvl>
    <w:lvl w:ilvl="6" w:tplc="AFE6A09A">
      <w:start w:val="1"/>
      <w:numFmt w:val="bullet"/>
      <w:lvlText w:val="-"/>
      <w:lvlJc w:val="left"/>
      <w:pPr>
        <w:ind w:left="1724" w:hanging="284"/>
      </w:pPr>
      <w:rPr>
        <w:rFonts w:hAnsi="Arial Unicode MS"/>
        <w:i/>
        <w:caps w:val="0"/>
        <w:smallCaps w:val="0"/>
        <w:strike w:val="0"/>
        <w:dstrike w:val="0"/>
        <w:color w:val="000000"/>
        <w:spacing w:val="0"/>
        <w:w w:val="100"/>
        <w:kern w:val="0"/>
        <w:position w:val="4"/>
        <w:sz w:val="31"/>
        <w:vertAlign w:val="baseline"/>
      </w:rPr>
    </w:lvl>
    <w:lvl w:ilvl="7" w:tplc="AAF401E4">
      <w:start w:val="1"/>
      <w:numFmt w:val="bullet"/>
      <w:lvlText w:val="-"/>
      <w:lvlJc w:val="left"/>
      <w:pPr>
        <w:ind w:left="1964" w:hanging="284"/>
      </w:pPr>
      <w:rPr>
        <w:rFonts w:hAnsi="Arial Unicode MS"/>
        <w:i/>
        <w:caps w:val="0"/>
        <w:smallCaps w:val="0"/>
        <w:strike w:val="0"/>
        <w:dstrike w:val="0"/>
        <w:color w:val="000000"/>
        <w:spacing w:val="0"/>
        <w:w w:val="100"/>
        <w:kern w:val="0"/>
        <w:position w:val="4"/>
        <w:sz w:val="31"/>
        <w:vertAlign w:val="baseline"/>
      </w:rPr>
    </w:lvl>
    <w:lvl w:ilvl="8" w:tplc="FCB66D30">
      <w:start w:val="1"/>
      <w:numFmt w:val="bullet"/>
      <w:lvlText w:val="-"/>
      <w:lvlJc w:val="left"/>
      <w:pPr>
        <w:ind w:left="2204" w:hanging="284"/>
      </w:pPr>
      <w:rPr>
        <w:rFonts w:hAnsi="Arial Unicode MS"/>
        <w:i/>
        <w:caps w:val="0"/>
        <w:smallCaps w:val="0"/>
        <w:strike w:val="0"/>
        <w:dstrike w:val="0"/>
        <w:color w:val="000000"/>
        <w:spacing w:val="0"/>
        <w:w w:val="100"/>
        <w:kern w:val="0"/>
        <w:position w:val="4"/>
        <w:sz w:val="31"/>
        <w:vertAlign w:val="baseline"/>
      </w:rPr>
    </w:lvl>
  </w:abstractNum>
  <w:abstractNum w:abstractNumId="25" w15:restartNumberingAfterBreak="0">
    <w:nsid w:val="2571154C"/>
    <w:multiLevelType w:val="multilevel"/>
    <w:tmpl w:val="8612CFEA"/>
    <w:styleLink w:val="WW8Num4"/>
    <w:lvl w:ilvl="0">
      <w:start w:val="1"/>
      <w:numFmt w:val="decimal"/>
      <w:lvlText w:val="%1."/>
      <w:lvlJc w:val="left"/>
      <w:rPr>
        <w:rFonts w:ascii="Times New Roman" w:hAnsi="Times New Roman" w:cs="Times New Roman"/>
        <w:b w:val="0"/>
        <w:bCs/>
        <w:i w:val="0"/>
        <w:color w:val="000000"/>
        <w:sz w:val="28"/>
        <w:szCs w:val="28"/>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26" w15:restartNumberingAfterBreak="0">
    <w:nsid w:val="26E678B0"/>
    <w:multiLevelType w:val="hybridMultilevel"/>
    <w:tmpl w:val="A208A4E2"/>
    <w:lvl w:ilvl="0" w:tplc="0419000F">
      <w:start w:val="1"/>
      <w:numFmt w:val="decimal"/>
      <w:lvlText w:val="%1."/>
      <w:lvlJc w:val="left"/>
      <w:pPr>
        <w:tabs>
          <w:tab w:val="num" w:pos="720"/>
        </w:tabs>
        <w:ind w:left="720" w:hanging="360"/>
      </w:pPr>
      <w:rPr>
        <w:rFonts w:cs="Times New Roman" w:hint="default"/>
      </w:rPr>
    </w:lvl>
    <w:lvl w:ilvl="1" w:tplc="D2C463C8" w:tentative="1">
      <w:start w:val="1"/>
      <w:numFmt w:val="bullet"/>
      <w:lvlText w:val="•"/>
      <w:lvlJc w:val="left"/>
      <w:pPr>
        <w:tabs>
          <w:tab w:val="num" w:pos="1440"/>
        </w:tabs>
        <w:ind w:left="1440" w:hanging="360"/>
      </w:pPr>
      <w:rPr>
        <w:rFonts w:ascii="Arial" w:hAnsi="Arial" w:hint="default"/>
      </w:rPr>
    </w:lvl>
    <w:lvl w:ilvl="2" w:tplc="44D8924A" w:tentative="1">
      <w:start w:val="1"/>
      <w:numFmt w:val="bullet"/>
      <w:lvlText w:val="•"/>
      <w:lvlJc w:val="left"/>
      <w:pPr>
        <w:tabs>
          <w:tab w:val="num" w:pos="2160"/>
        </w:tabs>
        <w:ind w:left="2160" w:hanging="360"/>
      </w:pPr>
      <w:rPr>
        <w:rFonts w:ascii="Arial" w:hAnsi="Arial" w:hint="default"/>
      </w:rPr>
    </w:lvl>
    <w:lvl w:ilvl="3" w:tplc="8490EC1C" w:tentative="1">
      <w:start w:val="1"/>
      <w:numFmt w:val="bullet"/>
      <w:lvlText w:val="•"/>
      <w:lvlJc w:val="left"/>
      <w:pPr>
        <w:tabs>
          <w:tab w:val="num" w:pos="2880"/>
        </w:tabs>
        <w:ind w:left="2880" w:hanging="360"/>
      </w:pPr>
      <w:rPr>
        <w:rFonts w:ascii="Arial" w:hAnsi="Arial" w:hint="default"/>
      </w:rPr>
    </w:lvl>
    <w:lvl w:ilvl="4" w:tplc="846827BA" w:tentative="1">
      <w:start w:val="1"/>
      <w:numFmt w:val="bullet"/>
      <w:lvlText w:val="•"/>
      <w:lvlJc w:val="left"/>
      <w:pPr>
        <w:tabs>
          <w:tab w:val="num" w:pos="3600"/>
        </w:tabs>
        <w:ind w:left="3600" w:hanging="360"/>
      </w:pPr>
      <w:rPr>
        <w:rFonts w:ascii="Arial" w:hAnsi="Arial" w:hint="default"/>
      </w:rPr>
    </w:lvl>
    <w:lvl w:ilvl="5" w:tplc="7C76579E" w:tentative="1">
      <w:start w:val="1"/>
      <w:numFmt w:val="bullet"/>
      <w:lvlText w:val="•"/>
      <w:lvlJc w:val="left"/>
      <w:pPr>
        <w:tabs>
          <w:tab w:val="num" w:pos="4320"/>
        </w:tabs>
        <w:ind w:left="4320" w:hanging="360"/>
      </w:pPr>
      <w:rPr>
        <w:rFonts w:ascii="Arial" w:hAnsi="Arial" w:hint="default"/>
      </w:rPr>
    </w:lvl>
    <w:lvl w:ilvl="6" w:tplc="C282768C" w:tentative="1">
      <w:start w:val="1"/>
      <w:numFmt w:val="bullet"/>
      <w:lvlText w:val="•"/>
      <w:lvlJc w:val="left"/>
      <w:pPr>
        <w:tabs>
          <w:tab w:val="num" w:pos="5040"/>
        </w:tabs>
        <w:ind w:left="5040" w:hanging="360"/>
      </w:pPr>
      <w:rPr>
        <w:rFonts w:ascii="Arial" w:hAnsi="Arial" w:hint="default"/>
      </w:rPr>
    </w:lvl>
    <w:lvl w:ilvl="7" w:tplc="35D20AAE" w:tentative="1">
      <w:start w:val="1"/>
      <w:numFmt w:val="bullet"/>
      <w:lvlText w:val="•"/>
      <w:lvlJc w:val="left"/>
      <w:pPr>
        <w:tabs>
          <w:tab w:val="num" w:pos="5760"/>
        </w:tabs>
        <w:ind w:left="5760" w:hanging="360"/>
      </w:pPr>
      <w:rPr>
        <w:rFonts w:ascii="Arial" w:hAnsi="Arial" w:hint="default"/>
      </w:rPr>
    </w:lvl>
    <w:lvl w:ilvl="8" w:tplc="39CE25A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B035B9F"/>
    <w:multiLevelType w:val="hybridMultilevel"/>
    <w:tmpl w:val="5A6C5574"/>
    <w:lvl w:ilvl="0" w:tplc="CA301192">
      <w:start w:val="1"/>
      <w:numFmt w:val="decimal"/>
      <w:suff w:val="space"/>
      <w:lvlText w:val="%1."/>
      <w:lvlJc w:val="left"/>
      <w:pPr>
        <w:ind w:left="36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2BBE654B"/>
    <w:multiLevelType w:val="multilevel"/>
    <w:tmpl w:val="AFF2837A"/>
    <w:lvl w:ilvl="0">
      <w:start w:val="1"/>
      <w:numFmt w:val="decimal"/>
      <w:pStyle w:val="30"/>
      <w:lvlText w:val="%1."/>
      <w:lvlJc w:val="left"/>
      <w:pPr>
        <w:tabs>
          <w:tab w:val="num" w:pos="927"/>
        </w:tabs>
        <w:ind w:left="927" w:hanging="360"/>
      </w:pPr>
      <w:rPr>
        <w:rFonts w:cs="Times New Roman" w:hint="default"/>
      </w:rPr>
    </w:lvl>
    <w:lvl w:ilvl="1">
      <w:start w:val="1"/>
      <w:numFmt w:val="decimal"/>
      <w:lvlRestart w:val="0"/>
      <w:isLgl/>
      <w:lvlText w:val="%1.%2."/>
      <w:lvlJc w:val="left"/>
      <w:pPr>
        <w:tabs>
          <w:tab w:val="num" w:pos="2211"/>
        </w:tabs>
        <w:ind w:left="2211" w:hanging="1077"/>
      </w:pPr>
      <w:rPr>
        <w:rFonts w:cs="Times New Roman" w:hint="default"/>
      </w:rPr>
    </w:lvl>
    <w:lvl w:ilvl="2">
      <w:start w:val="1"/>
      <w:numFmt w:val="decimal"/>
      <w:isLgl/>
      <w:lvlText w:val="%1.%2.%3."/>
      <w:lvlJc w:val="left"/>
      <w:pPr>
        <w:tabs>
          <w:tab w:val="num" w:pos="2706"/>
        </w:tabs>
        <w:ind w:left="2706" w:hanging="1005"/>
      </w:pPr>
      <w:rPr>
        <w:rFonts w:cs="Times New Roman" w:hint="default"/>
      </w:rPr>
    </w:lvl>
    <w:lvl w:ilvl="3">
      <w:start w:val="1"/>
      <w:numFmt w:val="decimal"/>
      <w:isLgl/>
      <w:lvlText w:val="%1.%2.%3.%4."/>
      <w:lvlJc w:val="left"/>
      <w:pPr>
        <w:tabs>
          <w:tab w:val="num" w:pos="3273"/>
        </w:tabs>
        <w:ind w:left="3273" w:hanging="1005"/>
      </w:pPr>
      <w:rPr>
        <w:rFonts w:cs="Times New Roman" w:hint="default"/>
      </w:rPr>
    </w:lvl>
    <w:lvl w:ilvl="4">
      <w:start w:val="1"/>
      <w:numFmt w:val="decimal"/>
      <w:isLgl/>
      <w:lvlText w:val="%1.%2.%3.%4.%5."/>
      <w:lvlJc w:val="left"/>
      <w:pPr>
        <w:tabs>
          <w:tab w:val="num" w:pos="3915"/>
        </w:tabs>
        <w:ind w:left="3915" w:hanging="1080"/>
      </w:pPr>
      <w:rPr>
        <w:rFonts w:cs="Times New Roman" w:hint="default"/>
      </w:rPr>
    </w:lvl>
    <w:lvl w:ilvl="5">
      <w:start w:val="1"/>
      <w:numFmt w:val="decimal"/>
      <w:isLgl/>
      <w:lvlText w:val="%1.%2.%3.%4.%5.%6."/>
      <w:lvlJc w:val="left"/>
      <w:pPr>
        <w:tabs>
          <w:tab w:val="num" w:pos="4482"/>
        </w:tabs>
        <w:ind w:left="4482" w:hanging="1080"/>
      </w:pPr>
      <w:rPr>
        <w:rFonts w:cs="Times New Roman" w:hint="default"/>
      </w:rPr>
    </w:lvl>
    <w:lvl w:ilvl="6">
      <w:start w:val="1"/>
      <w:numFmt w:val="decimal"/>
      <w:isLgl/>
      <w:lvlText w:val="%1.%2.%3.%4.%5.%6.%7."/>
      <w:lvlJc w:val="left"/>
      <w:pPr>
        <w:tabs>
          <w:tab w:val="num" w:pos="5409"/>
        </w:tabs>
        <w:ind w:left="5409" w:hanging="1440"/>
      </w:pPr>
      <w:rPr>
        <w:rFonts w:cs="Times New Roman" w:hint="default"/>
      </w:rPr>
    </w:lvl>
    <w:lvl w:ilvl="7">
      <w:start w:val="1"/>
      <w:numFmt w:val="decimal"/>
      <w:isLgl/>
      <w:lvlText w:val="%1.%2.%3.%4.%5.%6.%7.%8."/>
      <w:lvlJc w:val="left"/>
      <w:pPr>
        <w:tabs>
          <w:tab w:val="num" w:pos="5976"/>
        </w:tabs>
        <w:ind w:left="5976" w:hanging="1440"/>
      </w:pPr>
      <w:rPr>
        <w:rFonts w:cs="Times New Roman" w:hint="default"/>
      </w:rPr>
    </w:lvl>
    <w:lvl w:ilvl="8">
      <w:start w:val="1"/>
      <w:numFmt w:val="decimal"/>
      <w:isLgl/>
      <w:lvlText w:val="%1.%2.%3.%4.%5.%6.%7.%8.%9."/>
      <w:lvlJc w:val="left"/>
      <w:pPr>
        <w:tabs>
          <w:tab w:val="num" w:pos="6903"/>
        </w:tabs>
        <w:ind w:left="6903" w:hanging="1800"/>
      </w:pPr>
      <w:rPr>
        <w:rFonts w:cs="Times New Roman" w:hint="default"/>
      </w:rPr>
    </w:lvl>
  </w:abstractNum>
  <w:abstractNum w:abstractNumId="29" w15:restartNumberingAfterBreak="0">
    <w:nsid w:val="40792D43"/>
    <w:multiLevelType w:val="singleLevel"/>
    <w:tmpl w:val="C53057D2"/>
    <w:lvl w:ilvl="0">
      <w:start w:val="1"/>
      <w:numFmt w:val="decimal"/>
      <w:pStyle w:val="1"/>
      <w:lvlText w:val="%1."/>
      <w:lvlJc w:val="left"/>
      <w:pPr>
        <w:tabs>
          <w:tab w:val="num" w:pos="540"/>
        </w:tabs>
        <w:ind w:left="540" w:hanging="360"/>
      </w:pPr>
      <w:rPr>
        <w:rFonts w:cs="Times New Roman" w:hint="default"/>
      </w:rPr>
    </w:lvl>
  </w:abstractNum>
  <w:abstractNum w:abstractNumId="30" w15:restartNumberingAfterBreak="0">
    <w:nsid w:val="424175B3"/>
    <w:multiLevelType w:val="hybridMultilevel"/>
    <w:tmpl w:val="23C24794"/>
    <w:lvl w:ilvl="0" w:tplc="0419000F">
      <w:start w:val="1"/>
      <w:numFmt w:val="decimal"/>
      <w:lvlText w:val="%1."/>
      <w:lvlJc w:val="left"/>
      <w:pPr>
        <w:tabs>
          <w:tab w:val="num" w:pos="720"/>
        </w:tabs>
        <w:ind w:left="720" w:hanging="360"/>
      </w:pPr>
      <w:rPr>
        <w:rFonts w:hint="default"/>
      </w:rPr>
    </w:lvl>
    <w:lvl w:ilvl="1" w:tplc="D2C463C8" w:tentative="1">
      <w:start w:val="1"/>
      <w:numFmt w:val="bullet"/>
      <w:lvlText w:val="•"/>
      <w:lvlJc w:val="left"/>
      <w:pPr>
        <w:tabs>
          <w:tab w:val="num" w:pos="1440"/>
        </w:tabs>
        <w:ind w:left="1440" w:hanging="360"/>
      </w:pPr>
      <w:rPr>
        <w:rFonts w:ascii="Arial" w:hAnsi="Arial" w:hint="default"/>
      </w:rPr>
    </w:lvl>
    <w:lvl w:ilvl="2" w:tplc="44D8924A" w:tentative="1">
      <w:start w:val="1"/>
      <w:numFmt w:val="bullet"/>
      <w:lvlText w:val="•"/>
      <w:lvlJc w:val="left"/>
      <w:pPr>
        <w:tabs>
          <w:tab w:val="num" w:pos="2160"/>
        </w:tabs>
        <w:ind w:left="2160" w:hanging="360"/>
      </w:pPr>
      <w:rPr>
        <w:rFonts w:ascii="Arial" w:hAnsi="Arial" w:hint="default"/>
      </w:rPr>
    </w:lvl>
    <w:lvl w:ilvl="3" w:tplc="8490EC1C" w:tentative="1">
      <w:start w:val="1"/>
      <w:numFmt w:val="bullet"/>
      <w:lvlText w:val="•"/>
      <w:lvlJc w:val="left"/>
      <w:pPr>
        <w:tabs>
          <w:tab w:val="num" w:pos="2880"/>
        </w:tabs>
        <w:ind w:left="2880" w:hanging="360"/>
      </w:pPr>
      <w:rPr>
        <w:rFonts w:ascii="Arial" w:hAnsi="Arial" w:hint="default"/>
      </w:rPr>
    </w:lvl>
    <w:lvl w:ilvl="4" w:tplc="846827BA" w:tentative="1">
      <w:start w:val="1"/>
      <w:numFmt w:val="bullet"/>
      <w:lvlText w:val="•"/>
      <w:lvlJc w:val="left"/>
      <w:pPr>
        <w:tabs>
          <w:tab w:val="num" w:pos="3600"/>
        </w:tabs>
        <w:ind w:left="3600" w:hanging="360"/>
      </w:pPr>
      <w:rPr>
        <w:rFonts w:ascii="Arial" w:hAnsi="Arial" w:hint="default"/>
      </w:rPr>
    </w:lvl>
    <w:lvl w:ilvl="5" w:tplc="7C76579E" w:tentative="1">
      <w:start w:val="1"/>
      <w:numFmt w:val="bullet"/>
      <w:lvlText w:val="•"/>
      <w:lvlJc w:val="left"/>
      <w:pPr>
        <w:tabs>
          <w:tab w:val="num" w:pos="4320"/>
        </w:tabs>
        <w:ind w:left="4320" w:hanging="360"/>
      </w:pPr>
      <w:rPr>
        <w:rFonts w:ascii="Arial" w:hAnsi="Arial" w:hint="default"/>
      </w:rPr>
    </w:lvl>
    <w:lvl w:ilvl="6" w:tplc="C282768C" w:tentative="1">
      <w:start w:val="1"/>
      <w:numFmt w:val="bullet"/>
      <w:lvlText w:val="•"/>
      <w:lvlJc w:val="left"/>
      <w:pPr>
        <w:tabs>
          <w:tab w:val="num" w:pos="5040"/>
        </w:tabs>
        <w:ind w:left="5040" w:hanging="360"/>
      </w:pPr>
      <w:rPr>
        <w:rFonts w:ascii="Arial" w:hAnsi="Arial" w:hint="default"/>
      </w:rPr>
    </w:lvl>
    <w:lvl w:ilvl="7" w:tplc="35D20AAE" w:tentative="1">
      <w:start w:val="1"/>
      <w:numFmt w:val="bullet"/>
      <w:lvlText w:val="•"/>
      <w:lvlJc w:val="left"/>
      <w:pPr>
        <w:tabs>
          <w:tab w:val="num" w:pos="5760"/>
        </w:tabs>
        <w:ind w:left="5760" w:hanging="360"/>
      </w:pPr>
      <w:rPr>
        <w:rFonts w:ascii="Arial" w:hAnsi="Arial" w:hint="default"/>
      </w:rPr>
    </w:lvl>
    <w:lvl w:ilvl="8" w:tplc="39CE25A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4D324DF"/>
    <w:multiLevelType w:val="hybridMultilevel"/>
    <w:tmpl w:val="752CB240"/>
    <w:styleLink w:val="ImportedStyle1"/>
    <w:lvl w:ilvl="0" w:tplc="D6DC6174">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1C788036">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159C4512">
      <w:start w:val="1"/>
      <w:numFmt w:val="lowerRoman"/>
      <w:lvlText w:val="%3."/>
      <w:lvlJc w:val="left"/>
      <w:pPr>
        <w:ind w:left="2160" w:hanging="304"/>
      </w:pPr>
      <w:rPr>
        <w:rFonts w:hAnsi="Arial Unicode MS" w:cs="Times New Roman"/>
        <w:caps w:val="0"/>
        <w:smallCaps w:val="0"/>
        <w:strike w:val="0"/>
        <w:dstrike w:val="0"/>
        <w:color w:val="000000"/>
        <w:spacing w:val="0"/>
        <w:w w:val="100"/>
        <w:kern w:val="0"/>
        <w:position w:val="0"/>
        <w:vertAlign w:val="baseline"/>
      </w:rPr>
    </w:lvl>
    <w:lvl w:ilvl="3" w:tplc="1C88EE60">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9D288A96">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0B9CE482">
      <w:start w:val="1"/>
      <w:numFmt w:val="lowerRoman"/>
      <w:lvlText w:val="%6."/>
      <w:lvlJc w:val="left"/>
      <w:pPr>
        <w:ind w:left="4320" w:hanging="304"/>
      </w:pPr>
      <w:rPr>
        <w:rFonts w:hAnsi="Arial Unicode MS" w:cs="Times New Roman"/>
        <w:caps w:val="0"/>
        <w:smallCaps w:val="0"/>
        <w:strike w:val="0"/>
        <w:dstrike w:val="0"/>
        <w:color w:val="000000"/>
        <w:spacing w:val="0"/>
        <w:w w:val="100"/>
        <w:kern w:val="0"/>
        <w:position w:val="0"/>
        <w:vertAlign w:val="baseline"/>
      </w:rPr>
    </w:lvl>
    <w:lvl w:ilvl="6" w:tplc="CA965D50">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513E4FCC">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C35ACD84">
      <w:start w:val="1"/>
      <w:numFmt w:val="lowerRoman"/>
      <w:lvlText w:val="%9."/>
      <w:lvlJc w:val="left"/>
      <w:pPr>
        <w:ind w:left="6480" w:hanging="304"/>
      </w:pPr>
      <w:rPr>
        <w:rFonts w:hAnsi="Arial Unicode MS" w:cs="Times New Roman"/>
        <w:caps w:val="0"/>
        <w:smallCaps w:val="0"/>
        <w:strike w:val="0"/>
        <w:dstrike w:val="0"/>
        <w:color w:val="000000"/>
        <w:spacing w:val="0"/>
        <w:w w:val="100"/>
        <w:kern w:val="0"/>
        <w:position w:val="0"/>
        <w:vertAlign w:val="baseline"/>
      </w:rPr>
    </w:lvl>
  </w:abstractNum>
  <w:abstractNum w:abstractNumId="32" w15:restartNumberingAfterBreak="0">
    <w:nsid w:val="514F0531"/>
    <w:multiLevelType w:val="hybridMultilevel"/>
    <w:tmpl w:val="8D6A9B9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5FA3183"/>
    <w:multiLevelType w:val="hybridMultilevel"/>
    <w:tmpl w:val="77F0AE4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4" w15:restartNumberingAfterBreak="0">
    <w:nsid w:val="5A425445"/>
    <w:multiLevelType w:val="hybridMultilevel"/>
    <w:tmpl w:val="668A135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5" w15:restartNumberingAfterBreak="0">
    <w:nsid w:val="6E306F2C"/>
    <w:multiLevelType w:val="hybridMultilevel"/>
    <w:tmpl w:val="6DBC48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18"/>
  </w:num>
  <w:num w:numId="3">
    <w:abstractNumId w:val="29"/>
  </w:num>
  <w:num w:numId="4">
    <w:abstractNumId w:val="21"/>
  </w:num>
  <w:num w:numId="5">
    <w:abstractNumId w:val="28"/>
  </w:num>
  <w:num w:numId="6">
    <w:abstractNumId w:val="19"/>
  </w:num>
  <w:num w:numId="7">
    <w:abstractNumId w:val="24"/>
  </w:num>
  <w:num w:numId="8">
    <w:abstractNumId w:val="31"/>
  </w:num>
  <w:num w:numId="9">
    <w:abstractNumId w:val="25"/>
  </w:num>
  <w:num w:numId="10">
    <w:abstractNumId w:val="27"/>
  </w:num>
  <w:num w:numId="11">
    <w:abstractNumId w:val="22"/>
  </w:num>
  <w:num w:numId="12">
    <w:abstractNumId w:val="34"/>
  </w:num>
  <w:num w:numId="13">
    <w:abstractNumId w:val="20"/>
  </w:num>
  <w:num w:numId="14">
    <w:abstractNumId w:val="26"/>
  </w:num>
  <w:num w:numId="15">
    <w:abstractNumId w:val="33"/>
  </w:num>
  <w:num w:numId="16">
    <w:abstractNumId w:val="35"/>
  </w:num>
  <w:num w:numId="17">
    <w:abstractNumId w:val="32"/>
  </w:num>
  <w:num w:numId="18">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0"/>
  <w:defaultTabStop w:val="720"/>
  <w:autoHyphenation/>
  <w:doNotHyphenateCaps/>
  <w:drawingGridHorizontalSpacing w:val="100"/>
  <w:drawingGridVerticalSpacing w:val="0"/>
  <w:displayHorizontalDrawingGridEvery w:val="0"/>
  <w:displayVerticalDrawingGridEvery w:val="0"/>
  <w:doNotShadeFormData/>
  <w:noPunctuationKerning/>
  <w:characterSpacingControl w:val="doNotCompress"/>
  <w:footnotePr>
    <w:pos w:val="beneathText"/>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B46ED"/>
    <w:rsid w:val="00001BC4"/>
    <w:rsid w:val="000036FE"/>
    <w:rsid w:val="00004185"/>
    <w:rsid w:val="000045BE"/>
    <w:rsid w:val="000045CD"/>
    <w:rsid w:val="00007E11"/>
    <w:rsid w:val="00007F31"/>
    <w:rsid w:val="00010899"/>
    <w:rsid w:val="00010A8F"/>
    <w:rsid w:val="00011401"/>
    <w:rsid w:val="000114AB"/>
    <w:rsid w:val="00011553"/>
    <w:rsid w:val="00012517"/>
    <w:rsid w:val="00013215"/>
    <w:rsid w:val="0001364C"/>
    <w:rsid w:val="00013A10"/>
    <w:rsid w:val="00013EBE"/>
    <w:rsid w:val="00014ED6"/>
    <w:rsid w:val="0001565C"/>
    <w:rsid w:val="000165A1"/>
    <w:rsid w:val="00017591"/>
    <w:rsid w:val="00017AC0"/>
    <w:rsid w:val="00017B59"/>
    <w:rsid w:val="00020D4B"/>
    <w:rsid w:val="00021E5B"/>
    <w:rsid w:val="00021E9D"/>
    <w:rsid w:val="00022237"/>
    <w:rsid w:val="00022B92"/>
    <w:rsid w:val="000231A3"/>
    <w:rsid w:val="000232B5"/>
    <w:rsid w:val="000234D8"/>
    <w:rsid w:val="0002581E"/>
    <w:rsid w:val="00026053"/>
    <w:rsid w:val="00026A2C"/>
    <w:rsid w:val="00026A77"/>
    <w:rsid w:val="00026D4E"/>
    <w:rsid w:val="00027B28"/>
    <w:rsid w:val="000315B9"/>
    <w:rsid w:val="00031FB9"/>
    <w:rsid w:val="0003285C"/>
    <w:rsid w:val="00034949"/>
    <w:rsid w:val="00034DF4"/>
    <w:rsid w:val="000356AA"/>
    <w:rsid w:val="00036860"/>
    <w:rsid w:val="00037E8E"/>
    <w:rsid w:val="000409CA"/>
    <w:rsid w:val="00040BE2"/>
    <w:rsid w:val="00041639"/>
    <w:rsid w:val="00041A10"/>
    <w:rsid w:val="00041DCB"/>
    <w:rsid w:val="00042A45"/>
    <w:rsid w:val="00042B0C"/>
    <w:rsid w:val="00043118"/>
    <w:rsid w:val="00044ACE"/>
    <w:rsid w:val="00044BC8"/>
    <w:rsid w:val="00045633"/>
    <w:rsid w:val="00045F83"/>
    <w:rsid w:val="000474F1"/>
    <w:rsid w:val="00050966"/>
    <w:rsid w:val="0005387D"/>
    <w:rsid w:val="000538F7"/>
    <w:rsid w:val="00053DFE"/>
    <w:rsid w:val="00053F9E"/>
    <w:rsid w:val="000542B1"/>
    <w:rsid w:val="00054696"/>
    <w:rsid w:val="0005543A"/>
    <w:rsid w:val="00055530"/>
    <w:rsid w:val="00056567"/>
    <w:rsid w:val="000568F2"/>
    <w:rsid w:val="00056A10"/>
    <w:rsid w:val="00057426"/>
    <w:rsid w:val="00057910"/>
    <w:rsid w:val="00057E6E"/>
    <w:rsid w:val="00060164"/>
    <w:rsid w:val="000619CF"/>
    <w:rsid w:val="00061C95"/>
    <w:rsid w:val="00061EDE"/>
    <w:rsid w:val="0006202D"/>
    <w:rsid w:val="0006239F"/>
    <w:rsid w:val="000645CE"/>
    <w:rsid w:val="000648A1"/>
    <w:rsid w:val="00066210"/>
    <w:rsid w:val="000666FD"/>
    <w:rsid w:val="00066D0C"/>
    <w:rsid w:val="00067701"/>
    <w:rsid w:val="0007121E"/>
    <w:rsid w:val="00071722"/>
    <w:rsid w:val="000719C7"/>
    <w:rsid w:val="00072059"/>
    <w:rsid w:val="000721B4"/>
    <w:rsid w:val="00072288"/>
    <w:rsid w:val="00072657"/>
    <w:rsid w:val="00073144"/>
    <w:rsid w:val="00073375"/>
    <w:rsid w:val="0007340B"/>
    <w:rsid w:val="000734DB"/>
    <w:rsid w:val="000762EF"/>
    <w:rsid w:val="00077746"/>
    <w:rsid w:val="000803FC"/>
    <w:rsid w:val="000805AC"/>
    <w:rsid w:val="00080993"/>
    <w:rsid w:val="000810D5"/>
    <w:rsid w:val="00081ED4"/>
    <w:rsid w:val="00082142"/>
    <w:rsid w:val="000846B0"/>
    <w:rsid w:val="00084A45"/>
    <w:rsid w:val="00084E8E"/>
    <w:rsid w:val="00085177"/>
    <w:rsid w:val="00085F21"/>
    <w:rsid w:val="000867E1"/>
    <w:rsid w:val="00086A5A"/>
    <w:rsid w:val="00086C25"/>
    <w:rsid w:val="00086D5D"/>
    <w:rsid w:val="00087089"/>
    <w:rsid w:val="00090B34"/>
    <w:rsid w:val="00092060"/>
    <w:rsid w:val="00095016"/>
    <w:rsid w:val="000953C7"/>
    <w:rsid w:val="0009543E"/>
    <w:rsid w:val="000956D3"/>
    <w:rsid w:val="000962F3"/>
    <w:rsid w:val="000969C8"/>
    <w:rsid w:val="00097850"/>
    <w:rsid w:val="00097D88"/>
    <w:rsid w:val="00097DDB"/>
    <w:rsid w:val="000A0640"/>
    <w:rsid w:val="000A09BC"/>
    <w:rsid w:val="000A1F4D"/>
    <w:rsid w:val="000A2127"/>
    <w:rsid w:val="000A2DA1"/>
    <w:rsid w:val="000A43BE"/>
    <w:rsid w:val="000A4CA6"/>
    <w:rsid w:val="000A4D14"/>
    <w:rsid w:val="000A4FF4"/>
    <w:rsid w:val="000A675C"/>
    <w:rsid w:val="000A69CB"/>
    <w:rsid w:val="000A7845"/>
    <w:rsid w:val="000B007F"/>
    <w:rsid w:val="000B13B7"/>
    <w:rsid w:val="000B2C86"/>
    <w:rsid w:val="000B308D"/>
    <w:rsid w:val="000B495A"/>
    <w:rsid w:val="000B5B34"/>
    <w:rsid w:val="000B5E6E"/>
    <w:rsid w:val="000B6D79"/>
    <w:rsid w:val="000B6EA3"/>
    <w:rsid w:val="000B7123"/>
    <w:rsid w:val="000C17F3"/>
    <w:rsid w:val="000C1E63"/>
    <w:rsid w:val="000C221A"/>
    <w:rsid w:val="000C256B"/>
    <w:rsid w:val="000C333D"/>
    <w:rsid w:val="000C36D4"/>
    <w:rsid w:val="000C463B"/>
    <w:rsid w:val="000C4B5E"/>
    <w:rsid w:val="000C4B6B"/>
    <w:rsid w:val="000C4D42"/>
    <w:rsid w:val="000C5642"/>
    <w:rsid w:val="000C5AA4"/>
    <w:rsid w:val="000C5E9C"/>
    <w:rsid w:val="000C62B0"/>
    <w:rsid w:val="000C717B"/>
    <w:rsid w:val="000C72B3"/>
    <w:rsid w:val="000D021D"/>
    <w:rsid w:val="000D08A1"/>
    <w:rsid w:val="000D08B5"/>
    <w:rsid w:val="000D0A8F"/>
    <w:rsid w:val="000D0BE0"/>
    <w:rsid w:val="000D17BD"/>
    <w:rsid w:val="000D252E"/>
    <w:rsid w:val="000D435A"/>
    <w:rsid w:val="000D4794"/>
    <w:rsid w:val="000D6FF8"/>
    <w:rsid w:val="000D7393"/>
    <w:rsid w:val="000D7599"/>
    <w:rsid w:val="000D7B8B"/>
    <w:rsid w:val="000D7DA9"/>
    <w:rsid w:val="000E00A2"/>
    <w:rsid w:val="000E29FA"/>
    <w:rsid w:val="000E330C"/>
    <w:rsid w:val="000E3A65"/>
    <w:rsid w:val="000E453A"/>
    <w:rsid w:val="000E4A36"/>
    <w:rsid w:val="000E4D29"/>
    <w:rsid w:val="000E514F"/>
    <w:rsid w:val="000E5420"/>
    <w:rsid w:val="000E610C"/>
    <w:rsid w:val="000E6679"/>
    <w:rsid w:val="000E6DB9"/>
    <w:rsid w:val="000E765C"/>
    <w:rsid w:val="000E7AEC"/>
    <w:rsid w:val="000F0A3F"/>
    <w:rsid w:val="000F1320"/>
    <w:rsid w:val="000F135B"/>
    <w:rsid w:val="000F21D8"/>
    <w:rsid w:val="000F335B"/>
    <w:rsid w:val="000F3A55"/>
    <w:rsid w:val="000F4109"/>
    <w:rsid w:val="000F49E6"/>
    <w:rsid w:val="000F5125"/>
    <w:rsid w:val="000F54C7"/>
    <w:rsid w:val="000F5F81"/>
    <w:rsid w:val="000F68F0"/>
    <w:rsid w:val="001000F4"/>
    <w:rsid w:val="00100493"/>
    <w:rsid w:val="001009E1"/>
    <w:rsid w:val="001010CC"/>
    <w:rsid w:val="001014CF"/>
    <w:rsid w:val="00101C3E"/>
    <w:rsid w:val="00101FE6"/>
    <w:rsid w:val="001025A6"/>
    <w:rsid w:val="00102E3F"/>
    <w:rsid w:val="0010469D"/>
    <w:rsid w:val="0010588E"/>
    <w:rsid w:val="00105C8A"/>
    <w:rsid w:val="00106D19"/>
    <w:rsid w:val="00107606"/>
    <w:rsid w:val="0011016B"/>
    <w:rsid w:val="00110B89"/>
    <w:rsid w:val="00113BC4"/>
    <w:rsid w:val="00113EEE"/>
    <w:rsid w:val="001143FD"/>
    <w:rsid w:val="00114E1B"/>
    <w:rsid w:val="00115AA1"/>
    <w:rsid w:val="00115B7F"/>
    <w:rsid w:val="001163D8"/>
    <w:rsid w:val="001164C2"/>
    <w:rsid w:val="00116FFA"/>
    <w:rsid w:val="001177BE"/>
    <w:rsid w:val="00117EE0"/>
    <w:rsid w:val="00117F3E"/>
    <w:rsid w:val="00121AA7"/>
    <w:rsid w:val="00121D83"/>
    <w:rsid w:val="00121DE1"/>
    <w:rsid w:val="001221C1"/>
    <w:rsid w:val="001226DC"/>
    <w:rsid w:val="001226E5"/>
    <w:rsid w:val="00122983"/>
    <w:rsid w:val="00122C7A"/>
    <w:rsid w:val="00123470"/>
    <w:rsid w:val="001237BD"/>
    <w:rsid w:val="00123BF0"/>
    <w:rsid w:val="00123DB8"/>
    <w:rsid w:val="00124D89"/>
    <w:rsid w:val="00124DFC"/>
    <w:rsid w:val="00125838"/>
    <w:rsid w:val="00125CAD"/>
    <w:rsid w:val="00125FCE"/>
    <w:rsid w:val="00126521"/>
    <w:rsid w:val="00126F71"/>
    <w:rsid w:val="00127816"/>
    <w:rsid w:val="00127FF1"/>
    <w:rsid w:val="00134382"/>
    <w:rsid w:val="00134BD6"/>
    <w:rsid w:val="00134F13"/>
    <w:rsid w:val="00135865"/>
    <w:rsid w:val="00136364"/>
    <w:rsid w:val="00137039"/>
    <w:rsid w:val="00137D38"/>
    <w:rsid w:val="001409B4"/>
    <w:rsid w:val="00140BCD"/>
    <w:rsid w:val="00141FE4"/>
    <w:rsid w:val="00142A69"/>
    <w:rsid w:val="00142C01"/>
    <w:rsid w:val="00142F1B"/>
    <w:rsid w:val="00142F56"/>
    <w:rsid w:val="00143663"/>
    <w:rsid w:val="0014376C"/>
    <w:rsid w:val="001444B1"/>
    <w:rsid w:val="0014583C"/>
    <w:rsid w:val="00145A2B"/>
    <w:rsid w:val="001463AE"/>
    <w:rsid w:val="00146B01"/>
    <w:rsid w:val="001471D4"/>
    <w:rsid w:val="00147413"/>
    <w:rsid w:val="0014743E"/>
    <w:rsid w:val="00150C25"/>
    <w:rsid w:val="001522B0"/>
    <w:rsid w:val="001530DD"/>
    <w:rsid w:val="001534BA"/>
    <w:rsid w:val="00153696"/>
    <w:rsid w:val="00153A28"/>
    <w:rsid w:val="0015574D"/>
    <w:rsid w:val="001559C5"/>
    <w:rsid w:val="001562EA"/>
    <w:rsid w:val="001569EB"/>
    <w:rsid w:val="00156E05"/>
    <w:rsid w:val="00156E35"/>
    <w:rsid w:val="001576BE"/>
    <w:rsid w:val="00157B8A"/>
    <w:rsid w:val="00160537"/>
    <w:rsid w:val="00162117"/>
    <w:rsid w:val="0016304E"/>
    <w:rsid w:val="0016468A"/>
    <w:rsid w:val="00164AA5"/>
    <w:rsid w:val="00164BC4"/>
    <w:rsid w:val="00164F54"/>
    <w:rsid w:val="00165FED"/>
    <w:rsid w:val="00166FD0"/>
    <w:rsid w:val="001670C1"/>
    <w:rsid w:val="001675AB"/>
    <w:rsid w:val="00171133"/>
    <w:rsid w:val="0017148E"/>
    <w:rsid w:val="00171853"/>
    <w:rsid w:val="001718AD"/>
    <w:rsid w:val="00171D73"/>
    <w:rsid w:val="00172D89"/>
    <w:rsid w:val="00173611"/>
    <w:rsid w:val="001737DF"/>
    <w:rsid w:val="0017384D"/>
    <w:rsid w:val="00173B63"/>
    <w:rsid w:val="001740CB"/>
    <w:rsid w:val="0017465C"/>
    <w:rsid w:val="0017498C"/>
    <w:rsid w:val="0017586B"/>
    <w:rsid w:val="00175E5C"/>
    <w:rsid w:val="0017619E"/>
    <w:rsid w:val="001769FB"/>
    <w:rsid w:val="001772D3"/>
    <w:rsid w:val="00177C18"/>
    <w:rsid w:val="00177D97"/>
    <w:rsid w:val="00180CA1"/>
    <w:rsid w:val="00181861"/>
    <w:rsid w:val="00181A6B"/>
    <w:rsid w:val="00181DB1"/>
    <w:rsid w:val="00182AAA"/>
    <w:rsid w:val="0018520F"/>
    <w:rsid w:val="00192CA8"/>
    <w:rsid w:val="00192E05"/>
    <w:rsid w:val="0019302A"/>
    <w:rsid w:val="0019397F"/>
    <w:rsid w:val="00193A07"/>
    <w:rsid w:val="00194818"/>
    <w:rsid w:val="00195976"/>
    <w:rsid w:val="00196AD2"/>
    <w:rsid w:val="00197151"/>
    <w:rsid w:val="001A0D18"/>
    <w:rsid w:val="001A137F"/>
    <w:rsid w:val="001A2092"/>
    <w:rsid w:val="001A36A1"/>
    <w:rsid w:val="001A384A"/>
    <w:rsid w:val="001A45B9"/>
    <w:rsid w:val="001A4975"/>
    <w:rsid w:val="001A5A90"/>
    <w:rsid w:val="001A6D9E"/>
    <w:rsid w:val="001A7222"/>
    <w:rsid w:val="001A7C95"/>
    <w:rsid w:val="001A7D17"/>
    <w:rsid w:val="001B13E1"/>
    <w:rsid w:val="001B17EA"/>
    <w:rsid w:val="001B2531"/>
    <w:rsid w:val="001B2721"/>
    <w:rsid w:val="001B2C0F"/>
    <w:rsid w:val="001B3F74"/>
    <w:rsid w:val="001B4392"/>
    <w:rsid w:val="001B5347"/>
    <w:rsid w:val="001B5F56"/>
    <w:rsid w:val="001B6197"/>
    <w:rsid w:val="001B6282"/>
    <w:rsid w:val="001B7EA3"/>
    <w:rsid w:val="001C09A1"/>
    <w:rsid w:val="001C0CBD"/>
    <w:rsid w:val="001C1211"/>
    <w:rsid w:val="001C189F"/>
    <w:rsid w:val="001C1C04"/>
    <w:rsid w:val="001C21FF"/>
    <w:rsid w:val="001C24BD"/>
    <w:rsid w:val="001C396B"/>
    <w:rsid w:val="001C3D8D"/>
    <w:rsid w:val="001C4539"/>
    <w:rsid w:val="001C5222"/>
    <w:rsid w:val="001C58C8"/>
    <w:rsid w:val="001C62A6"/>
    <w:rsid w:val="001C6AB3"/>
    <w:rsid w:val="001C6E92"/>
    <w:rsid w:val="001C79E8"/>
    <w:rsid w:val="001D0B26"/>
    <w:rsid w:val="001D0E1C"/>
    <w:rsid w:val="001D1470"/>
    <w:rsid w:val="001D1E6B"/>
    <w:rsid w:val="001D2BA2"/>
    <w:rsid w:val="001D2D0A"/>
    <w:rsid w:val="001D4124"/>
    <w:rsid w:val="001D4E56"/>
    <w:rsid w:val="001D5030"/>
    <w:rsid w:val="001D5066"/>
    <w:rsid w:val="001D5750"/>
    <w:rsid w:val="001D58D7"/>
    <w:rsid w:val="001D69D1"/>
    <w:rsid w:val="001D6DA8"/>
    <w:rsid w:val="001D70FC"/>
    <w:rsid w:val="001D7971"/>
    <w:rsid w:val="001E0268"/>
    <w:rsid w:val="001E10D8"/>
    <w:rsid w:val="001E2A0C"/>
    <w:rsid w:val="001E4C25"/>
    <w:rsid w:val="001E4D01"/>
    <w:rsid w:val="001E6130"/>
    <w:rsid w:val="001E63C0"/>
    <w:rsid w:val="001E6ED4"/>
    <w:rsid w:val="001E7A7A"/>
    <w:rsid w:val="001E7F2E"/>
    <w:rsid w:val="001F0BDC"/>
    <w:rsid w:val="001F105A"/>
    <w:rsid w:val="001F156E"/>
    <w:rsid w:val="001F188D"/>
    <w:rsid w:val="001F25F1"/>
    <w:rsid w:val="001F2E18"/>
    <w:rsid w:val="001F33A0"/>
    <w:rsid w:val="001F377B"/>
    <w:rsid w:val="001F3797"/>
    <w:rsid w:val="001F38C2"/>
    <w:rsid w:val="001F3C54"/>
    <w:rsid w:val="001F3CB8"/>
    <w:rsid w:val="001F584C"/>
    <w:rsid w:val="001F5946"/>
    <w:rsid w:val="001F5BA8"/>
    <w:rsid w:val="001F5BEF"/>
    <w:rsid w:val="001F5E2B"/>
    <w:rsid w:val="001F5F45"/>
    <w:rsid w:val="001F5F6D"/>
    <w:rsid w:val="001F606D"/>
    <w:rsid w:val="001F63E9"/>
    <w:rsid w:val="001F711C"/>
    <w:rsid w:val="001F72AB"/>
    <w:rsid w:val="001F7DC1"/>
    <w:rsid w:val="00200157"/>
    <w:rsid w:val="00200CE0"/>
    <w:rsid w:val="00201E59"/>
    <w:rsid w:val="0020266C"/>
    <w:rsid w:val="002075C0"/>
    <w:rsid w:val="002078B1"/>
    <w:rsid w:val="0021054F"/>
    <w:rsid w:val="00210777"/>
    <w:rsid w:val="0021098A"/>
    <w:rsid w:val="00211455"/>
    <w:rsid w:val="00211947"/>
    <w:rsid w:val="0021199A"/>
    <w:rsid w:val="00211B71"/>
    <w:rsid w:val="00212B31"/>
    <w:rsid w:val="002136EC"/>
    <w:rsid w:val="002139CE"/>
    <w:rsid w:val="00213AAE"/>
    <w:rsid w:val="00216434"/>
    <w:rsid w:val="0021698D"/>
    <w:rsid w:val="002170AB"/>
    <w:rsid w:val="002174A4"/>
    <w:rsid w:val="00217564"/>
    <w:rsid w:val="002175E7"/>
    <w:rsid w:val="00217977"/>
    <w:rsid w:val="00220F23"/>
    <w:rsid w:val="0022114A"/>
    <w:rsid w:val="002229D9"/>
    <w:rsid w:val="00222D83"/>
    <w:rsid w:val="00223871"/>
    <w:rsid w:val="002238E9"/>
    <w:rsid w:val="002244B8"/>
    <w:rsid w:val="00225062"/>
    <w:rsid w:val="00227458"/>
    <w:rsid w:val="002276A0"/>
    <w:rsid w:val="00227E81"/>
    <w:rsid w:val="0023054B"/>
    <w:rsid w:val="00230E05"/>
    <w:rsid w:val="002329D6"/>
    <w:rsid w:val="00232B43"/>
    <w:rsid w:val="00232EC9"/>
    <w:rsid w:val="002346ED"/>
    <w:rsid w:val="002347F8"/>
    <w:rsid w:val="00234F16"/>
    <w:rsid w:val="002351FD"/>
    <w:rsid w:val="00236A3E"/>
    <w:rsid w:val="00237B4C"/>
    <w:rsid w:val="00240092"/>
    <w:rsid w:val="0024184B"/>
    <w:rsid w:val="00241CB6"/>
    <w:rsid w:val="002429AD"/>
    <w:rsid w:val="00243173"/>
    <w:rsid w:val="00243293"/>
    <w:rsid w:val="0024347D"/>
    <w:rsid w:val="00243E84"/>
    <w:rsid w:val="00244B9B"/>
    <w:rsid w:val="0024580B"/>
    <w:rsid w:val="00246190"/>
    <w:rsid w:val="002466F7"/>
    <w:rsid w:val="00246A8B"/>
    <w:rsid w:val="002501CA"/>
    <w:rsid w:val="00251F8B"/>
    <w:rsid w:val="002543E5"/>
    <w:rsid w:val="00254409"/>
    <w:rsid w:val="00254A65"/>
    <w:rsid w:val="00254C78"/>
    <w:rsid w:val="00254E90"/>
    <w:rsid w:val="00255C92"/>
    <w:rsid w:val="00256218"/>
    <w:rsid w:val="00256549"/>
    <w:rsid w:val="00256DBD"/>
    <w:rsid w:val="002572A1"/>
    <w:rsid w:val="00260758"/>
    <w:rsid w:val="002608CE"/>
    <w:rsid w:val="00261D41"/>
    <w:rsid w:val="00262148"/>
    <w:rsid w:val="002627A5"/>
    <w:rsid w:val="0026350A"/>
    <w:rsid w:val="00263CB2"/>
    <w:rsid w:val="00263F64"/>
    <w:rsid w:val="00264F0E"/>
    <w:rsid w:val="00265059"/>
    <w:rsid w:val="00265D62"/>
    <w:rsid w:val="00267098"/>
    <w:rsid w:val="00267303"/>
    <w:rsid w:val="0027093B"/>
    <w:rsid w:val="00271386"/>
    <w:rsid w:val="0027393E"/>
    <w:rsid w:val="00274E03"/>
    <w:rsid w:val="0027530E"/>
    <w:rsid w:val="00275863"/>
    <w:rsid w:val="002764BD"/>
    <w:rsid w:val="002771CA"/>
    <w:rsid w:val="00277248"/>
    <w:rsid w:val="0027760C"/>
    <w:rsid w:val="00277706"/>
    <w:rsid w:val="00277CF2"/>
    <w:rsid w:val="00280627"/>
    <w:rsid w:val="002818BC"/>
    <w:rsid w:val="00282011"/>
    <w:rsid w:val="00282DB0"/>
    <w:rsid w:val="00283C5B"/>
    <w:rsid w:val="00285DBD"/>
    <w:rsid w:val="00286015"/>
    <w:rsid w:val="00286780"/>
    <w:rsid w:val="00286917"/>
    <w:rsid w:val="00286D28"/>
    <w:rsid w:val="0028751D"/>
    <w:rsid w:val="00287523"/>
    <w:rsid w:val="00287C7B"/>
    <w:rsid w:val="00287DEC"/>
    <w:rsid w:val="00290B82"/>
    <w:rsid w:val="0029118A"/>
    <w:rsid w:val="002914BB"/>
    <w:rsid w:val="00291CE1"/>
    <w:rsid w:val="002925B0"/>
    <w:rsid w:val="00292869"/>
    <w:rsid w:val="002934E1"/>
    <w:rsid w:val="002941C7"/>
    <w:rsid w:val="00295EA6"/>
    <w:rsid w:val="002961B4"/>
    <w:rsid w:val="00296294"/>
    <w:rsid w:val="00296F9E"/>
    <w:rsid w:val="002A027F"/>
    <w:rsid w:val="002A072F"/>
    <w:rsid w:val="002A105B"/>
    <w:rsid w:val="002A16AE"/>
    <w:rsid w:val="002A2154"/>
    <w:rsid w:val="002A25FD"/>
    <w:rsid w:val="002A3729"/>
    <w:rsid w:val="002A3A7C"/>
    <w:rsid w:val="002A3C85"/>
    <w:rsid w:val="002A4024"/>
    <w:rsid w:val="002A4447"/>
    <w:rsid w:val="002A44FF"/>
    <w:rsid w:val="002A4649"/>
    <w:rsid w:val="002A482D"/>
    <w:rsid w:val="002A4C4C"/>
    <w:rsid w:val="002A592A"/>
    <w:rsid w:val="002A72C9"/>
    <w:rsid w:val="002B04EB"/>
    <w:rsid w:val="002B2C37"/>
    <w:rsid w:val="002B2E3C"/>
    <w:rsid w:val="002B30D4"/>
    <w:rsid w:val="002B35CB"/>
    <w:rsid w:val="002B3927"/>
    <w:rsid w:val="002B466E"/>
    <w:rsid w:val="002B4809"/>
    <w:rsid w:val="002B4F23"/>
    <w:rsid w:val="002B59D5"/>
    <w:rsid w:val="002B5D53"/>
    <w:rsid w:val="002B67A4"/>
    <w:rsid w:val="002B6DB7"/>
    <w:rsid w:val="002B711E"/>
    <w:rsid w:val="002C048E"/>
    <w:rsid w:val="002C3580"/>
    <w:rsid w:val="002C3CD2"/>
    <w:rsid w:val="002C43B5"/>
    <w:rsid w:val="002C585E"/>
    <w:rsid w:val="002C5F1B"/>
    <w:rsid w:val="002C6D5C"/>
    <w:rsid w:val="002D0899"/>
    <w:rsid w:val="002D1EE9"/>
    <w:rsid w:val="002D34EE"/>
    <w:rsid w:val="002D3837"/>
    <w:rsid w:val="002D464E"/>
    <w:rsid w:val="002D58A2"/>
    <w:rsid w:val="002D65DF"/>
    <w:rsid w:val="002D6A8D"/>
    <w:rsid w:val="002D6BFA"/>
    <w:rsid w:val="002E003B"/>
    <w:rsid w:val="002E04CA"/>
    <w:rsid w:val="002E0DCC"/>
    <w:rsid w:val="002E0FAE"/>
    <w:rsid w:val="002E138C"/>
    <w:rsid w:val="002E19DD"/>
    <w:rsid w:val="002E2D06"/>
    <w:rsid w:val="002E494B"/>
    <w:rsid w:val="002E4952"/>
    <w:rsid w:val="002E4C26"/>
    <w:rsid w:val="002E4D69"/>
    <w:rsid w:val="002E6CD9"/>
    <w:rsid w:val="002F0C06"/>
    <w:rsid w:val="002F113D"/>
    <w:rsid w:val="002F2A16"/>
    <w:rsid w:val="002F46AA"/>
    <w:rsid w:val="002F4CF3"/>
    <w:rsid w:val="002F4D23"/>
    <w:rsid w:val="002F553C"/>
    <w:rsid w:val="002F5D1A"/>
    <w:rsid w:val="002F6A0F"/>
    <w:rsid w:val="002F7436"/>
    <w:rsid w:val="002F7876"/>
    <w:rsid w:val="00302171"/>
    <w:rsid w:val="003023E4"/>
    <w:rsid w:val="00302B60"/>
    <w:rsid w:val="00302E0D"/>
    <w:rsid w:val="00303BDE"/>
    <w:rsid w:val="00303D44"/>
    <w:rsid w:val="003040FC"/>
    <w:rsid w:val="00304988"/>
    <w:rsid w:val="0030578F"/>
    <w:rsid w:val="00305C24"/>
    <w:rsid w:val="00305E29"/>
    <w:rsid w:val="00306A2D"/>
    <w:rsid w:val="00306C6B"/>
    <w:rsid w:val="00307852"/>
    <w:rsid w:val="0031228D"/>
    <w:rsid w:val="003124F9"/>
    <w:rsid w:val="00313B4A"/>
    <w:rsid w:val="00314970"/>
    <w:rsid w:val="00314A2A"/>
    <w:rsid w:val="00315520"/>
    <w:rsid w:val="00315E35"/>
    <w:rsid w:val="00315EED"/>
    <w:rsid w:val="00316DDD"/>
    <w:rsid w:val="00317D4B"/>
    <w:rsid w:val="003200AB"/>
    <w:rsid w:val="00320555"/>
    <w:rsid w:val="00322AD4"/>
    <w:rsid w:val="00323782"/>
    <w:rsid w:val="003241C2"/>
    <w:rsid w:val="003259C7"/>
    <w:rsid w:val="003264FF"/>
    <w:rsid w:val="00327070"/>
    <w:rsid w:val="003274D4"/>
    <w:rsid w:val="0032783C"/>
    <w:rsid w:val="00327A07"/>
    <w:rsid w:val="00327AFF"/>
    <w:rsid w:val="00327CB9"/>
    <w:rsid w:val="003309D3"/>
    <w:rsid w:val="00330B8E"/>
    <w:rsid w:val="00331CC7"/>
    <w:rsid w:val="00332D10"/>
    <w:rsid w:val="00332E74"/>
    <w:rsid w:val="00333223"/>
    <w:rsid w:val="003333E4"/>
    <w:rsid w:val="0033372E"/>
    <w:rsid w:val="00333DDF"/>
    <w:rsid w:val="00333EB6"/>
    <w:rsid w:val="00333FB2"/>
    <w:rsid w:val="0033402D"/>
    <w:rsid w:val="003355E9"/>
    <w:rsid w:val="0033585E"/>
    <w:rsid w:val="00336AB9"/>
    <w:rsid w:val="00336D09"/>
    <w:rsid w:val="00337C50"/>
    <w:rsid w:val="0034001E"/>
    <w:rsid w:val="00340A1D"/>
    <w:rsid w:val="00341143"/>
    <w:rsid w:val="003416E4"/>
    <w:rsid w:val="00342385"/>
    <w:rsid w:val="00342E24"/>
    <w:rsid w:val="0034368C"/>
    <w:rsid w:val="00343A52"/>
    <w:rsid w:val="00343B34"/>
    <w:rsid w:val="00343E9B"/>
    <w:rsid w:val="003443A6"/>
    <w:rsid w:val="003444B7"/>
    <w:rsid w:val="003445B9"/>
    <w:rsid w:val="00344A3B"/>
    <w:rsid w:val="00344F45"/>
    <w:rsid w:val="00344FF5"/>
    <w:rsid w:val="003453D6"/>
    <w:rsid w:val="00347316"/>
    <w:rsid w:val="00347380"/>
    <w:rsid w:val="00347617"/>
    <w:rsid w:val="00347B53"/>
    <w:rsid w:val="00350454"/>
    <w:rsid w:val="00354328"/>
    <w:rsid w:val="00354856"/>
    <w:rsid w:val="00354932"/>
    <w:rsid w:val="003551B6"/>
    <w:rsid w:val="0035570A"/>
    <w:rsid w:val="00356C23"/>
    <w:rsid w:val="00357E86"/>
    <w:rsid w:val="00360B48"/>
    <w:rsid w:val="0036118E"/>
    <w:rsid w:val="00361BD6"/>
    <w:rsid w:val="00361C67"/>
    <w:rsid w:val="00361DD9"/>
    <w:rsid w:val="003638C2"/>
    <w:rsid w:val="00364307"/>
    <w:rsid w:val="0036441E"/>
    <w:rsid w:val="00364E35"/>
    <w:rsid w:val="0036638E"/>
    <w:rsid w:val="00366422"/>
    <w:rsid w:val="003666E3"/>
    <w:rsid w:val="003668CA"/>
    <w:rsid w:val="0036776F"/>
    <w:rsid w:val="00367AD7"/>
    <w:rsid w:val="00370FE2"/>
    <w:rsid w:val="00371212"/>
    <w:rsid w:val="00371BC8"/>
    <w:rsid w:val="00372016"/>
    <w:rsid w:val="00373309"/>
    <w:rsid w:val="00373442"/>
    <w:rsid w:val="0037482F"/>
    <w:rsid w:val="003748A6"/>
    <w:rsid w:val="0037499A"/>
    <w:rsid w:val="0037548D"/>
    <w:rsid w:val="0037573A"/>
    <w:rsid w:val="00375744"/>
    <w:rsid w:val="00375DEE"/>
    <w:rsid w:val="00377104"/>
    <w:rsid w:val="00377E04"/>
    <w:rsid w:val="003800F9"/>
    <w:rsid w:val="00380397"/>
    <w:rsid w:val="003815D0"/>
    <w:rsid w:val="00381FEC"/>
    <w:rsid w:val="003837D0"/>
    <w:rsid w:val="00383F46"/>
    <w:rsid w:val="00385C2B"/>
    <w:rsid w:val="00386674"/>
    <w:rsid w:val="00386A65"/>
    <w:rsid w:val="00387412"/>
    <w:rsid w:val="00387E23"/>
    <w:rsid w:val="00387F5B"/>
    <w:rsid w:val="00387FB7"/>
    <w:rsid w:val="00390387"/>
    <w:rsid w:val="00391198"/>
    <w:rsid w:val="00391839"/>
    <w:rsid w:val="00392332"/>
    <w:rsid w:val="0039350C"/>
    <w:rsid w:val="00394B80"/>
    <w:rsid w:val="00395A26"/>
    <w:rsid w:val="00395B4B"/>
    <w:rsid w:val="0039657F"/>
    <w:rsid w:val="00396F5A"/>
    <w:rsid w:val="003978EC"/>
    <w:rsid w:val="003A2446"/>
    <w:rsid w:val="003A29BA"/>
    <w:rsid w:val="003A2C10"/>
    <w:rsid w:val="003A372E"/>
    <w:rsid w:val="003A3D06"/>
    <w:rsid w:val="003A412C"/>
    <w:rsid w:val="003A4EEB"/>
    <w:rsid w:val="003A6BC7"/>
    <w:rsid w:val="003A6F0D"/>
    <w:rsid w:val="003A70E2"/>
    <w:rsid w:val="003A7142"/>
    <w:rsid w:val="003A77D3"/>
    <w:rsid w:val="003A7D6E"/>
    <w:rsid w:val="003B0085"/>
    <w:rsid w:val="003B0815"/>
    <w:rsid w:val="003B0927"/>
    <w:rsid w:val="003B22F3"/>
    <w:rsid w:val="003B3770"/>
    <w:rsid w:val="003B3F24"/>
    <w:rsid w:val="003B5701"/>
    <w:rsid w:val="003B5E58"/>
    <w:rsid w:val="003B6CBD"/>
    <w:rsid w:val="003B7059"/>
    <w:rsid w:val="003C05CF"/>
    <w:rsid w:val="003C1A55"/>
    <w:rsid w:val="003C240C"/>
    <w:rsid w:val="003C33D7"/>
    <w:rsid w:val="003C4AB4"/>
    <w:rsid w:val="003C6672"/>
    <w:rsid w:val="003C7CEC"/>
    <w:rsid w:val="003D040E"/>
    <w:rsid w:val="003D0A6E"/>
    <w:rsid w:val="003D0EFE"/>
    <w:rsid w:val="003D1873"/>
    <w:rsid w:val="003D1C99"/>
    <w:rsid w:val="003D2620"/>
    <w:rsid w:val="003D430E"/>
    <w:rsid w:val="003D56C8"/>
    <w:rsid w:val="003D6CD2"/>
    <w:rsid w:val="003D7912"/>
    <w:rsid w:val="003D7A4B"/>
    <w:rsid w:val="003E0AC3"/>
    <w:rsid w:val="003E11CD"/>
    <w:rsid w:val="003E227D"/>
    <w:rsid w:val="003E4F3E"/>
    <w:rsid w:val="003E5D71"/>
    <w:rsid w:val="003E68C5"/>
    <w:rsid w:val="003E6D33"/>
    <w:rsid w:val="003E7805"/>
    <w:rsid w:val="003F019D"/>
    <w:rsid w:val="003F0673"/>
    <w:rsid w:val="003F2AE8"/>
    <w:rsid w:val="003F32AB"/>
    <w:rsid w:val="003F49DF"/>
    <w:rsid w:val="003F5618"/>
    <w:rsid w:val="003F5769"/>
    <w:rsid w:val="003F6079"/>
    <w:rsid w:val="003F689D"/>
    <w:rsid w:val="003F79BC"/>
    <w:rsid w:val="0040039D"/>
    <w:rsid w:val="00400AE1"/>
    <w:rsid w:val="00400BD1"/>
    <w:rsid w:val="004013AC"/>
    <w:rsid w:val="004015BE"/>
    <w:rsid w:val="00401646"/>
    <w:rsid w:val="00402372"/>
    <w:rsid w:val="00402FEA"/>
    <w:rsid w:val="00403492"/>
    <w:rsid w:val="0040469D"/>
    <w:rsid w:val="00404A39"/>
    <w:rsid w:val="00404B84"/>
    <w:rsid w:val="0040505F"/>
    <w:rsid w:val="004055DD"/>
    <w:rsid w:val="0040560A"/>
    <w:rsid w:val="00405B18"/>
    <w:rsid w:val="00405D37"/>
    <w:rsid w:val="004061DE"/>
    <w:rsid w:val="00406287"/>
    <w:rsid w:val="004063B7"/>
    <w:rsid w:val="00406E52"/>
    <w:rsid w:val="00407478"/>
    <w:rsid w:val="004114C0"/>
    <w:rsid w:val="004123BE"/>
    <w:rsid w:val="00413DF3"/>
    <w:rsid w:val="00415026"/>
    <w:rsid w:val="00415B9A"/>
    <w:rsid w:val="0041660E"/>
    <w:rsid w:val="00416BC1"/>
    <w:rsid w:val="0041756E"/>
    <w:rsid w:val="00417F9B"/>
    <w:rsid w:val="00421118"/>
    <w:rsid w:val="00421AC2"/>
    <w:rsid w:val="0042274A"/>
    <w:rsid w:val="00423B54"/>
    <w:rsid w:val="0042414E"/>
    <w:rsid w:val="00424BC4"/>
    <w:rsid w:val="00425A25"/>
    <w:rsid w:val="00425DF6"/>
    <w:rsid w:val="00426641"/>
    <w:rsid w:val="00426937"/>
    <w:rsid w:val="00431D9E"/>
    <w:rsid w:val="004320CC"/>
    <w:rsid w:val="004337DE"/>
    <w:rsid w:val="004344C1"/>
    <w:rsid w:val="00434D8D"/>
    <w:rsid w:val="00434EB9"/>
    <w:rsid w:val="0043525B"/>
    <w:rsid w:val="0043551B"/>
    <w:rsid w:val="00435984"/>
    <w:rsid w:val="00435DB7"/>
    <w:rsid w:val="0043600C"/>
    <w:rsid w:val="00436038"/>
    <w:rsid w:val="004360E0"/>
    <w:rsid w:val="004363A7"/>
    <w:rsid w:val="0043705E"/>
    <w:rsid w:val="00437AA9"/>
    <w:rsid w:val="004406A7"/>
    <w:rsid w:val="00440712"/>
    <w:rsid w:val="00441C8F"/>
    <w:rsid w:val="00441F21"/>
    <w:rsid w:val="00442253"/>
    <w:rsid w:val="00442DE9"/>
    <w:rsid w:val="00443828"/>
    <w:rsid w:val="00443AA9"/>
    <w:rsid w:val="004440D8"/>
    <w:rsid w:val="00445141"/>
    <w:rsid w:val="00446747"/>
    <w:rsid w:val="0044693F"/>
    <w:rsid w:val="004474A4"/>
    <w:rsid w:val="004512F0"/>
    <w:rsid w:val="00452894"/>
    <w:rsid w:val="00452B43"/>
    <w:rsid w:val="00452EEC"/>
    <w:rsid w:val="0045466D"/>
    <w:rsid w:val="00455931"/>
    <w:rsid w:val="004561F7"/>
    <w:rsid w:val="00456ED3"/>
    <w:rsid w:val="004572D1"/>
    <w:rsid w:val="00457335"/>
    <w:rsid w:val="004574F4"/>
    <w:rsid w:val="00457501"/>
    <w:rsid w:val="00457619"/>
    <w:rsid w:val="0046033A"/>
    <w:rsid w:val="004627A3"/>
    <w:rsid w:val="004638F9"/>
    <w:rsid w:val="004641CF"/>
    <w:rsid w:val="004647F3"/>
    <w:rsid w:val="00464D11"/>
    <w:rsid w:val="004653D1"/>
    <w:rsid w:val="00465630"/>
    <w:rsid w:val="00465D6B"/>
    <w:rsid w:val="00465E8E"/>
    <w:rsid w:val="0046697B"/>
    <w:rsid w:val="00466B71"/>
    <w:rsid w:val="00466E1E"/>
    <w:rsid w:val="0046740C"/>
    <w:rsid w:val="00467782"/>
    <w:rsid w:val="00467DB8"/>
    <w:rsid w:val="00470562"/>
    <w:rsid w:val="00471E5A"/>
    <w:rsid w:val="004720CF"/>
    <w:rsid w:val="00472E8B"/>
    <w:rsid w:val="004736D8"/>
    <w:rsid w:val="0047401B"/>
    <w:rsid w:val="004743EF"/>
    <w:rsid w:val="00474C8F"/>
    <w:rsid w:val="00474CFC"/>
    <w:rsid w:val="004753DF"/>
    <w:rsid w:val="00475C8F"/>
    <w:rsid w:val="004810CF"/>
    <w:rsid w:val="0048213D"/>
    <w:rsid w:val="00482644"/>
    <w:rsid w:val="0048367E"/>
    <w:rsid w:val="004837B9"/>
    <w:rsid w:val="0048381F"/>
    <w:rsid w:val="00484A43"/>
    <w:rsid w:val="00484B1D"/>
    <w:rsid w:val="00485946"/>
    <w:rsid w:val="004861E7"/>
    <w:rsid w:val="004873E0"/>
    <w:rsid w:val="00487BB7"/>
    <w:rsid w:val="00491747"/>
    <w:rsid w:val="004923D7"/>
    <w:rsid w:val="004924FB"/>
    <w:rsid w:val="00492839"/>
    <w:rsid w:val="00492C2D"/>
    <w:rsid w:val="00493940"/>
    <w:rsid w:val="00494238"/>
    <w:rsid w:val="0049444A"/>
    <w:rsid w:val="004948A8"/>
    <w:rsid w:val="00495BBA"/>
    <w:rsid w:val="00495C68"/>
    <w:rsid w:val="00496D41"/>
    <w:rsid w:val="004976D4"/>
    <w:rsid w:val="004978D9"/>
    <w:rsid w:val="00497FB8"/>
    <w:rsid w:val="004A03A4"/>
    <w:rsid w:val="004A0CF0"/>
    <w:rsid w:val="004A10BC"/>
    <w:rsid w:val="004A122C"/>
    <w:rsid w:val="004A219F"/>
    <w:rsid w:val="004A2ABE"/>
    <w:rsid w:val="004A3126"/>
    <w:rsid w:val="004A392F"/>
    <w:rsid w:val="004A415C"/>
    <w:rsid w:val="004A421E"/>
    <w:rsid w:val="004A5012"/>
    <w:rsid w:val="004A65FC"/>
    <w:rsid w:val="004A6712"/>
    <w:rsid w:val="004A7A50"/>
    <w:rsid w:val="004B06CD"/>
    <w:rsid w:val="004B1BE0"/>
    <w:rsid w:val="004B1D88"/>
    <w:rsid w:val="004B1FEC"/>
    <w:rsid w:val="004B2990"/>
    <w:rsid w:val="004B3859"/>
    <w:rsid w:val="004B3984"/>
    <w:rsid w:val="004B425A"/>
    <w:rsid w:val="004B4A95"/>
    <w:rsid w:val="004B4C1D"/>
    <w:rsid w:val="004B5D63"/>
    <w:rsid w:val="004B60DD"/>
    <w:rsid w:val="004B678A"/>
    <w:rsid w:val="004B6A3D"/>
    <w:rsid w:val="004B72B4"/>
    <w:rsid w:val="004B72FF"/>
    <w:rsid w:val="004B7378"/>
    <w:rsid w:val="004B7884"/>
    <w:rsid w:val="004C0FB2"/>
    <w:rsid w:val="004C1007"/>
    <w:rsid w:val="004C111F"/>
    <w:rsid w:val="004C1904"/>
    <w:rsid w:val="004C2D30"/>
    <w:rsid w:val="004C38CD"/>
    <w:rsid w:val="004C4645"/>
    <w:rsid w:val="004C61E2"/>
    <w:rsid w:val="004C62B3"/>
    <w:rsid w:val="004C66C2"/>
    <w:rsid w:val="004C758D"/>
    <w:rsid w:val="004D0EB2"/>
    <w:rsid w:val="004D1143"/>
    <w:rsid w:val="004D13B7"/>
    <w:rsid w:val="004D1911"/>
    <w:rsid w:val="004D2637"/>
    <w:rsid w:val="004D375D"/>
    <w:rsid w:val="004D491D"/>
    <w:rsid w:val="004D5E3F"/>
    <w:rsid w:val="004D60DE"/>
    <w:rsid w:val="004D6235"/>
    <w:rsid w:val="004D6CEF"/>
    <w:rsid w:val="004E07C1"/>
    <w:rsid w:val="004E0EAE"/>
    <w:rsid w:val="004E1C2D"/>
    <w:rsid w:val="004E3137"/>
    <w:rsid w:val="004E4163"/>
    <w:rsid w:val="004E71B5"/>
    <w:rsid w:val="004E7DCD"/>
    <w:rsid w:val="004F05A5"/>
    <w:rsid w:val="004F0A0F"/>
    <w:rsid w:val="004F1222"/>
    <w:rsid w:val="004F38A4"/>
    <w:rsid w:val="004F4B4C"/>
    <w:rsid w:val="004F5B43"/>
    <w:rsid w:val="004F7209"/>
    <w:rsid w:val="00500D33"/>
    <w:rsid w:val="00502A77"/>
    <w:rsid w:val="00503C47"/>
    <w:rsid w:val="005041D1"/>
    <w:rsid w:val="0050590F"/>
    <w:rsid w:val="00506D07"/>
    <w:rsid w:val="00506E3B"/>
    <w:rsid w:val="0050767F"/>
    <w:rsid w:val="005078F6"/>
    <w:rsid w:val="00507FED"/>
    <w:rsid w:val="005100E9"/>
    <w:rsid w:val="00510D50"/>
    <w:rsid w:val="0051161E"/>
    <w:rsid w:val="00514217"/>
    <w:rsid w:val="00516AE4"/>
    <w:rsid w:val="005171AB"/>
    <w:rsid w:val="00517BCC"/>
    <w:rsid w:val="005223D7"/>
    <w:rsid w:val="005259D2"/>
    <w:rsid w:val="00525ACD"/>
    <w:rsid w:val="00525CAD"/>
    <w:rsid w:val="005266BC"/>
    <w:rsid w:val="005278B3"/>
    <w:rsid w:val="00527C8E"/>
    <w:rsid w:val="00527EEB"/>
    <w:rsid w:val="005305D7"/>
    <w:rsid w:val="00530982"/>
    <w:rsid w:val="005321BF"/>
    <w:rsid w:val="00532A72"/>
    <w:rsid w:val="00532C82"/>
    <w:rsid w:val="00532C9E"/>
    <w:rsid w:val="0053473E"/>
    <w:rsid w:val="005348C5"/>
    <w:rsid w:val="00534C20"/>
    <w:rsid w:val="00536761"/>
    <w:rsid w:val="00536E5B"/>
    <w:rsid w:val="005374A0"/>
    <w:rsid w:val="00537D50"/>
    <w:rsid w:val="005408DC"/>
    <w:rsid w:val="00540D5B"/>
    <w:rsid w:val="00542596"/>
    <w:rsid w:val="00542E27"/>
    <w:rsid w:val="00544386"/>
    <w:rsid w:val="00544565"/>
    <w:rsid w:val="0054474E"/>
    <w:rsid w:val="005479D5"/>
    <w:rsid w:val="00547B56"/>
    <w:rsid w:val="005503CC"/>
    <w:rsid w:val="005517F2"/>
    <w:rsid w:val="00551F6E"/>
    <w:rsid w:val="005527B4"/>
    <w:rsid w:val="005552BE"/>
    <w:rsid w:val="00555678"/>
    <w:rsid w:val="00555C3B"/>
    <w:rsid w:val="00555EF6"/>
    <w:rsid w:val="00556833"/>
    <w:rsid w:val="00556B4F"/>
    <w:rsid w:val="00556C9F"/>
    <w:rsid w:val="00556D9E"/>
    <w:rsid w:val="0055767B"/>
    <w:rsid w:val="00557A46"/>
    <w:rsid w:val="0056054B"/>
    <w:rsid w:val="005621CD"/>
    <w:rsid w:val="00562B0C"/>
    <w:rsid w:val="0056323E"/>
    <w:rsid w:val="005637B0"/>
    <w:rsid w:val="00565460"/>
    <w:rsid w:val="0056573F"/>
    <w:rsid w:val="00566A16"/>
    <w:rsid w:val="00570723"/>
    <w:rsid w:val="00571CE0"/>
    <w:rsid w:val="005720DD"/>
    <w:rsid w:val="005724B5"/>
    <w:rsid w:val="00572740"/>
    <w:rsid w:val="005732FD"/>
    <w:rsid w:val="005738F3"/>
    <w:rsid w:val="0057391C"/>
    <w:rsid w:val="00573B90"/>
    <w:rsid w:val="00573C75"/>
    <w:rsid w:val="00574DB9"/>
    <w:rsid w:val="005757E5"/>
    <w:rsid w:val="00577BF7"/>
    <w:rsid w:val="0058031F"/>
    <w:rsid w:val="005804A0"/>
    <w:rsid w:val="00580B35"/>
    <w:rsid w:val="005817E0"/>
    <w:rsid w:val="00583142"/>
    <w:rsid w:val="00583B75"/>
    <w:rsid w:val="0058418E"/>
    <w:rsid w:val="0058458D"/>
    <w:rsid w:val="0058485E"/>
    <w:rsid w:val="005854C6"/>
    <w:rsid w:val="00585B79"/>
    <w:rsid w:val="00585C8D"/>
    <w:rsid w:val="00586840"/>
    <w:rsid w:val="00586BCF"/>
    <w:rsid w:val="00591A3C"/>
    <w:rsid w:val="0059241B"/>
    <w:rsid w:val="00592563"/>
    <w:rsid w:val="0059325E"/>
    <w:rsid w:val="005A0A8E"/>
    <w:rsid w:val="005A0ABA"/>
    <w:rsid w:val="005A1426"/>
    <w:rsid w:val="005A1B95"/>
    <w:rsid w:val="005A22A6"/>
    <w:rsid w:val="005A29FD"/>
    <w:rsid w:val="005A3C47"/>
    <w:rsid w:val="005A3C98"/>
    <w:rsid w:val="005A3F15"/>
    <w:rsid w:val="005A4401"/>
    <w:rsid w:val="005A5065"/>
    <w:rsid w:val="005A5072"/>
    <w:rsid w:val="005A5497"/>
    <w:rsid w:val="005A5962"/>
    <w:rsid w:val="005A61D5"/>
    <w:rsid w:val="005A6643"/>
    <w:rsid w:val="005A71AC"/>
    <w:rsid w:val="005A7224"/>
    <w:rsid w:val="005B0F29"/>
    <w:rsid w:val="005B118D"/>
    <w:rsid w:val="005B374B"/>
    <w:rsid w:val="005B483C"/>
    <w:rsid w:val="005B4ACE"/>
    <w:rsid w:val="005B4CC2"/>
    <w:rsid w:val="005B5AF5"/>
    <w:rsid w:val="005B69DA"/>
    <w:rsid w:val="005B78EC"/>
    <w:rsid w:val="005B7C2D"/>
    <w:rsid w:val="005C0A2D"/>
    <w:rsid w:val="005C0C61"/>
    <w:rsid w:val="005C0E16"/>
    <w:rsid w:val="005C1AAE"/>
    <w:rsid w:val="005C25E1"/>
    <w:rsid w:val="005C30BA"/>
    <w:rsid w:val="005C3228"/>
    <w:rsid w:val="005C36FE"/>
    <w:rsid w:val="005C432B"/>
    <w:rsid w:val="005C45F9"/>
    <w:rsid w:val="005C4C3C"/>
    <w:rsid w:val="005C54AC"/>
    <w:rsid w:val="005C5728"/>
    <w:rsid w:val="005C5C75"/>
    <w:rsid w:val="005C64B7"/>
    <w:rsid w:val="005C7AAB"/>
    <w:rsid w:val="005D01B8"/>
    <w:rsid w:val="005D0318"/>
    <w:rsid w:val="005D07E1"/>
    <w:rsid w:val="005D0A2C"/>
    <w:rsid w:val="005D2AF4"/>
    <w:rsid w:val="005D2EC8"/>
    <w:rsid w:val="005D35B2"/>
    <w:rsid w:val="005D4A4E"/>
    <w:rsid w:val="005D4C16"/>
    <w:rsid w:val="005D5E3E"/>
    <w:rsid w:val="005D7A9E"/>
    <w:rsid w:val="005D7E51"/>
    <w:rsid w:val="005E11A7"/>
    <w:rsid w:val="005E11D1"/>
    <w:rsid w:val="005E14EC"/>
    <w:rsid w:val="005E16CB"/>
    <w:rsid w:val="005E17F1"/>
    <w:rsid w:val="005E1CA8"/>
    <w:rsid w:val="005E1DCB"/>
    <w:rsid w:val="005E20FE"/>
    <w:rsid w:val="005E27F7"/>
    <w:rsid w:val="005E2D4F"/>
    <w:rsid w:val="005E3099"/>
    <w:rsid w:val="005E3F38"/>
    <w:rsid w:val="005E4039"/>
    <w:rsid w:val="005E44D6"/>
    <w:rsid w:val="005E4FDA"/>
    <w:rsid w:val="005E5574"/>
    <w:rsid w:val="005E5613"/>
    <w:rsid w:val="005E5ABE"/>
    <w:rsid w:val="005E6479"/>
    <w:rsid w:val="005F06BE"/>
    <w:rsid w:val="005F15E8"/>
    <w:rsid w:val="005F25B0"/>
    <w:rsid w:val="005F2623"/>
    <w:rsid w:val="005F32B3"/>
    <w:rsid w:val="005F47BF"/>
    <w:rsid w:val="005F488C"/>
    <w:rsid w:val="005F51C8"/>
    <w:rsid w:val="005F5865"/>
    <w:rsid w:val="005F5C0C"/>
    <w:rsid w:val="005F68EF"/>
    <w:rsid w:val="005F7576"/>
    <w:rsid w:val="005F763A"/>
    <w:rsid w:val="005F79CB"/>
    <w:rsid w:val="0060090E"/>
    <w:rsid w:val="00600937"/>
    <w:rsid w:val="00600ABE"/>
    <w:rsid w:val="00600F2B"/>
    <w:rsid w:val="0060131A"/>
    <w:rsid w:val="00601A94"/>
    <w:rsid w:val="006023A8"/>
    <w:rsid w:val="00602724"/>
    <w:rsid w:val="00602FC4"/>
    <w:rsid w:val="00603213"/>
    <w:rsid w:val="00604292"/>
    <w:rsid w:val="00604578"/>
    <w:rsid w:val="006057E3"/>
    <w:rsid w:val="00607062"/>
    <w:rsid w:val="0061058C"/>
    <w:rsid w:val="00610C41"/>
    <w:rsid w:val="0061192E"/>
    <w:rsid w:val="00612284"/>
    <w:rsid w:val="00612536"/>
    <w:rsid w:val="0061274C"/>
    <w:rsid w:val="006163E7"/>
    <w:rsid w:val="00616851"/>
    <w:rsid w:val="00616A4F"/>
    <w:rsid w:val="00616D88"/>
    <w:rsid w:val="00616DE3"/>
    <w:rsid w:val="00616F22"/>
    <w:rsid w:val="00617354"/>
    <w:rsid w:val="00621847"/>
    <w:rsid w:val="00621E7A"/>
    <w:rsid w:val="00623035"/>
    <w:rsid w:val="0062304C"/>
    <w:rsid w:val="006239CF"/>
    <w:rsid w:val="00623BCD"/>
    <w:rsid w:val="006255D8"/>
    <w:rsid w:val="00626375"/>
    <w:rsid w:val="00626DC3"/>
    <w:rsid w:val="006278B8"/>
    <w:rsid w:val="00627A12"/>
    <w:rsid w:val="00630282"/>
    <w:rsid w:val="0063062E"/>
    <w:rsid w:val="0063088F"/>
    <w:rsid w:val="00630B4A"/>
    <w:rsid w:val="0063163E"/>
    <w:rsid w:val="006344FE"/>
    <w:rsid w:val="00634680"/>
    <w:rsid w:val="00635195"/>
    <w:rsid w:val="006364F8"/>
    <w:rsid w:val="00637476"/>
    <w:rsid w:val="006377C9"/>
    <w:rsid w:val="00637F4C"/>
    <w:rsid w:val="006402E3"/>
    <w:rsid w:val="0064031C"/>
    <w:rsid w:val="006417DE"/>
    <w:rsid w:val="0064185F"/>
    <w:rsid w:val="00641B50"/>
    <w:rsid w:val="00641F40"/>
    <w:rsid w:val="00644327"/>
    <w:rsid w:val="006443AF"/>
    <w:rsid w:val="00646A11"/>
    <w:rsid w:val="006508CB"/>
    <w:rsid w:val="0065110C"/>
    <w:rsid w:val="006531B9"/>
    <w:rsid w:val="00653D3A"/>
    <w:rsid w:val="0065475C"/>
    <w:rsid w:val="00654FD5"/>
    <w:rsid w:val="00655705"/>
    <w:rsid w:val="006564A3"/>
    <w:rsid w:val="00657134"/>
    <w:rsid w:val="00660266"/>
    <w:rsid w:val="00660298"/>
    <w:rsid w:val="006608D0"/>
    <w:rsid w:val="00661284"/>
    <w:rsid w:val="00664182"/>
    <w:rsid w:val="006645A2"/>
    <w:rsid w:val="00665349"/>
    <w:rsid w:val="00665AD5"/>
    <w:rsid w:val="00665CEE"/>
    <w:rsid w:val="006660D4"/>
    <w:rsid w:val="0066700E"/>
    <w:rsid w:val="0066795B"/>
    <w:rsid w:val="00667982"/>
    <w:rsid w:val="006708B1"/>
    <w:rsid w:val="0067112D"/>
    <w:rsid w:val="0067117F"/>
    <w:rsid w:val="0067155D"/>
    <w:rsid w:val="00671AAF"/>
    <w:rsid w:val="00672549"/>
    <w:rsid w:val="00672E47"/>
    <w:rsid w:val="006733E8"/>
    <w:rsid w:val="0067709D"/>
    <w:rsid w:val="00680ACF"/>
    <w:rsid w:val="00680E24"/>
    <w:rsid w:val="00681140"/>
    <w:rsid w:val="00681AC8"/>
    <w:rsid w:val="00681C66"/>
    <w:rsid w:val="006820FA"/>
    <w:rsid w:val="006821C5"/>
    <w:rsid w:val="00684529"/>
    <w:rsid w:val="006849C0"/>
    <w:rsid w:val="006852F6"/>
    <w:rsid w:val="00685907"/>
    <w:rsid w:val="00685E9F"/>
    <w:rsid w:val="00686680"/>
    <w:rsid w:val="006877F8"/>
    <w:rsid w:val="00690951"/>
    <w:rsid w:val="00691737"/>
    <w:rsid w:val="00692346"/>
    <w:rsid w:val="00692C98"/>
    <w:rsid w:val="00692E6F"/>
    <w:rsid w:val="006930DB"/>
    <w:rsid w:val="006933F6"/>
    <w:rsid w:val="006934C9"/>
    <w:rsid w:val="00694435"/>
    <w:rsid w:val="006947D3"/>
    <w:rsid w:val="0069541C"/>
    <w:rsid w:val="006969C1"/>
    <w:rsid w:val="00697D3A"/>
    <w:rsid w:val="006A007E"/>
    <w:rsid w:val="006A0624"/>
    <w:rsid w:val="006A1245"/>
    <w:rsid w:val="006A227C"/>
    <w:rsid w:val="006A306D"/>
    <w:rsid w:val="006A309D"/>
    <w:rsid w:val="006A3258"/>
    <w:rsid w:val="006A337E"/>
    <w:rsid w:val="006A3CF0"/>
    <w:rsid w:val="006A4322"/>
    <w:rsid w:val="006A515C"/>
    <w:rsid w:val="006A5577"/>
    <w:rsid w:val="006A566B"/>
    <w:rsid w:val="006A5920"/>
    <w:rsid w:val="006A6148"/>
    <w:rsid w:val="006B1454"/>
    <w:rsid w:val="006B2122"/>
    <w:rsid w:val="006B2688"/>
    <w:rsid w:val="006B2B83"/>
    <w:rsid w:val="006B2FDD"/>
    <w:rsid w:val="006B32E0"/>
    <w:rsid w:val="006B39F7"/>
    <w:rsid w:val="006B3CDD"/>
    <w:rsid w:val="006B498E"/>
    <w:rsid w:val="006B5502"/>
    <w:rsid w:val="006B5813"/>
    <w:rsid w:val="006B5DFE"/>
    <w:rsid w:val="006C0279"/>
    <w:rsid w:val="006C0F36"/>
    <w:rsid w:val="006C1F72"/>
    <w:rsid w:val="006C23EA"/>
    <w:rsid w:val="006C294E"/>
    <w:rsid w:val="006C38F8"/>
    <w:rsid w:val="006C3988"/>
    <w:rsid w:val="006C3AD7"/>
    <w:rsid w:val="006C5F07"/>
    <w:rsid w:val="006C6E66"/>
    <w:rsid w:val="006D0512"/>
    <w:rsid w:val="006D0526"/>
    <w:rsid w:val="006D0A2E"/>
    <w:rsid w:val="006D1682"/>
    <w:rsid w:val="006D2A50"/>
    <w:rsid w:val="006D37D9"/>
    <w:rsid w:val="006D522D"/>
    <w:rsid w:val="006D61F6"/>
    <w:rsid w:val="006D675C"/>
    <w:rsid w:val="006D6803"/>
    <w:rsid w:val="006D6F4C"/>
    <w:rsid w:val="006D787B"/>
    <w:rsid w:val="006E141A"/>
    <w:rsid w:val="006E1700"/>
    <w:rsid w:val="006E18E8"/>
    <w:rsid w:val="006E233E"/>
    <w:rsid w:val="006E2844"/>
    <w:rsid w:val="006E32B4"/>
    <w:rsid w:val="006E37FF"/>
    <w:rsid w:val="006E393F"/>
    <w:rsid w:val="006E3ACA"/>
    <w:rsid w:val="006E3B88"/>
    <w:rsid w:val="006E3CF5"/>
    <w:rsid w:val="006E5293"/>
    <w:rsid w:val="006E5383"/>
    <w:rsid w:val="006E559A"/>
    <w:rsid w:val="006E6145"/>
    <w:rsid w:val="006E63CB"/>
    <w:rsid w:val="006E7D93"/>
    <w:rsid w:val="006F07AE"/>
    <w:rsid w:val="006F1685"/>
    <w:rsid w:val="006F1CB0"/>
    <w:rsid w:val="006F1F8D"/>
    <w:rsid w:val="006F233D"/>
    <w:rsid w:val="006F4D9E"/>
    <w:rsid w:val="006F5085"/>
    <w:rsid w:val="006F52DC"/>
    <w:rsid w:val="006F55D0"/>
    <w:rsid w:val="006F7C65"/>
    <w:rsid w:val="00700E4E"/>
    <w:rsid w:val="00700F8F"/>
    <w:rsid w:val="0070393B"/>
    <w:rsid w:val="00703F9B"/>
    <w:rsid w:val="00704750"/>
    <w:rsid w:val="00704A1E"/>
    <w:rsid w:val="00704FD7"/>
    <w:rsid w:val="007051F5"/>
    <w:rsid w:val="00705824"/>
    <w:rsid w:val="00705EE0"/>
    <w:rsid w:val="0070747D"/>
    <w:rsid w:val="0070783E"/>
    <w:rsid w:val="00707F0C"/>
    <w:rsid w:val="0071003B"/>
    <w:rsid w:val="007103E1"/>
    <w:rsid w:val="00710445"/>
    <w:rsid w:val="00710CB8"/>
    <w:rsid w:val="007143D9"/>
    <w:rsid w:val="007149CC"/>
    <w:rsid w:val="00715AA4"/>
    <w:rsid w:val="0071600C"/>
    <w:rsid w:val="0071737E"/>
    <w:rsid w:val="007175A4"/>
    <w:rsid w:val="00717CD7"/>
    <w:rsid w:val="00717FAB"/>
    <w:rsid w:val="0072016C"/>
    <w:rsid w:val="007205BC"/>
    <w:rsid w:val="00720787"/>
    <w:rsid w:val="00720BCC"/>
    <w:rsid w:val="0072130A"/>
    <w:rsid w:val="007224B2"/>
    <w:rsid w:val="0072373E"/>
    <w:rsid w:val="0072469F"/>
    <w:rsid w:val="00724FA7"/>
    <w:rsid w:val="0072532D"/>
    <w:rsid w:val="007255BD"/>
    <w:rsid w:val="007261A4"/>
    <w:rsid w:val="00726915"/>
    <w:rsid w:val="0072734F"/>
    <w:rsid w:val="00727BB1"/>
    <w:rsid w:val="007302C1"/>
    <w:rsid w:val="007306C4"/>
    <w:rsid w:val="00730859"/>
    <w:rsid w:val="00731356"/>
    <w:rsid w:val="007325C6"/>
    <w:rsid w:val="0073265D"/>
    <w:rsid w:val="0073339F"/>
    <w:rsid w:val="0073413D"/>
    <w:rsid w:val="007348A0"/>
    <w:rsid w:val="00734E0E"/>
    <w:rsid w:val="007357A3"/>
    <w:rsid w:val="007359C3"/>
    <w:rsid w:val="00736468"/>
    <w:rsid w:val="0073675B"/>
    <w:rsid w:val="0073758D"/>
    <w:rsid w:val="007408D6"/>
    <w:rsid w:val="00740A63"/>
    <w:rsid w:val="007410A0"/>
    <w:rsid w:val="0074120B"/>
    <w:rsid w:val="007417CA"/>
    <w:rsid w:val="00741EE5"/>
    <w:rsid w:val="007420A2"/>
    <w:rsid w:val="007426E4"/>
    <w:rsid w:val="00742F21"/>
    <w:rsid w:val="0074309C"/>
    <w:rsid w:val="00743105"/>
    <w:rsid w:val="00744D49"/>
    <w:rsid w:val="007457F6"/>
    <w:rsid w:val="0074599D"/>
    <w:rsid w:val="00747CF1"/>
    <w:rsid w:val="00750354"/>
    <w:rsid w:val="00750B5C"/>
    <w:rsid w:val="00750D91"/>
    <w:rsid w:val="00750EA9"/>
    <w:rsid w:val="00751B99"/>
    <w:rsid w:val="00751CD2"/>
    <w:rsid w:val="00752008"/>
    <w:rsid w:val="007523CC"/>
    <w:rsid w:val="007526B1"/>
    <w:rsid w:val="00752940"/>
    <w:rsid w:val="00752D87"/>
    <w:rsid w:val="00752E56"/>
    <w:rsid w:val="0075500E"/>
    <w:rsid w:val="00756240"/>
    <w:rsid w:val="007564E7"/>
    <w:rsid w:val="0075652B"/>
    <w:rsid w:val="0075711B"/>
    <w:rsid w:val="00757A8B"/>
    <w:rsid w:val="00757DC2"/>
    <w:rsid w:val="007612BC"/>
    <w:rsid w:val="00761840"/>
    <w:rsid w:val="00761BE2"/>
    <w:rsid w:val="00761C20"/>
    <w:rsid w:val="00761E16"/>
    <w:rsid w:val="00762EDA"/>
    <w:rsid w:val="00763D1F"/>
    <w:rsid w:val="00765139"/>
    <w:rsid w:val="00765D1E"/>
    <w:rsid w:val="00766263"/>
    <w:rsid w:val="007669C7"/>
    <w:rsid w:val="00766BE9"/>
    <w:rsid w:val="00767564"/>
    <w:rsid w:val="007675EE"/>
    <w:rsid w:val="007679BA"/>
    <w:rsid w:val="00767B71"/>
    <w:rsid w:val="0077020F"/>
    <w:rsid w:val="0077092F"/>
    <w:rsid w:val="0077136E"/>
    <w:rsid w:val="00772C7B"/>
    <w:rsid w:val="00772F69"/>
    <w:rsid w:val="007731FD"/>
    <w:rsid w:val="00773F6E"/>
    <w:rsid w:val="00774913"/>
    <w:rsid w:val="00775BD5"/>
    <w:rsid w:val="00775C53"/>
    <w:rsid w:val="00775E57"/>
    <w:rsid w:val="0077619E"/>
    <w:rsid w:val="007763A1"/>
    <w:rsid w:val="00776486"/>
    <w:rsid w:val="007766E6"/>
    <w:rsid w:val="007767E3"/>
    <w:rsid w:val="0077761E"/>
    <w:rsid w:val="007811EC"/>
    <w:rsid w:val="007822A6"/>
    <w:rsid w:val="00783CD5"/>
    <w:rsid w:val="0078420C"/>
    <w:rsid w:val="00784EC2"/>
    <w:rsid w:val="00785233"/>
    <w:rsid w:val="0078583B"/>
    <w:rsid w:val="00786A49"/>
    <w:rsid w:val="0079322E"/>
    <w:rsid w:val="00793672"/>
    <w:rsid w:val="00793A66"/>
    <w:rsid w:val="00795FBC"/>
    <w:rsid w:val="00796542"/>
    <w:rsid w:val="00796E0E"/>
    <w:rsid w:val="00797903"/>
    <w:rsid w:val="007A0856"/>
    <w:rsid w:val="007A18B5"/>
    <w:rsid w:val="007A20A4"/>
    <w:rsid w:val="007A2866"/>
    <w:rsid w:val="007A2E4A"/>
    <w:rsid w:val="007A3134"/>
    <w:rsid w:val="007A33C7"/>
    <w:rsid w:val="007A3653"/>
    <w:rsid w:val="007A5054"/>
    <w:rsid w:val="007A51E4"/>
    <w:rsid w:val="007A56C5"/>
    <w:rsid w:val="007A60B8"/>
    <w:rsid w:val="007A68EA"/>
    <w:rsid w:val="007A6FBB"/>
    <w:rsid w:val="007A745B"/>
    <w:rsid w:val="007A7658"/>
    <w:rsid w:val="007A7A6F"/>
    <w:rsid w:val="007B17A4"/>
    <w:rsid w:val="007B181E"/>
    <w:rsid w:val="007B207D"/>
    <w:rsid w:val="007B2583"/>
    <w:rsid w:val="007B2A9D"/>
    <w:rsid w:val="007B3623"/>
    <w:rsid w:val="007B3F25"/>
    <w:rsid w:val="007B4201"/>
    <w:rsid w:val="007B4562"/>
    <w:rsid w:val="007B46ED"/>
    <w:rsid w:val="007B51E8"/>
    <w:rsid w:val="007B525A"/>
    <w:rsid w:val="007B53F3"/>
    <w:rsid w:val="007B5EA0"/>
    <w:rsid w:val="007C078A"/>
    <w:rsid w:val="007C16D5"/>
    <w:rsid w:val="007C24A9"/>
    <w:rsid w:val="007C2959"/>
    <w:rsid w:val="007C369E"/>
    <w:rsid w:val="007C4EFA"/>
    <w:rsid w:val="007C559F"/>
    <w:rsid w:val="007C5D7F"/>
    <w:rsid w:val="007C651B"/>
    <w:rsid w:val="007C6B0E"/>
    <w:rsid w:val="007C73EC"/>
    <w:rsid w:val="007D01CF"/>
    <w:rsid w:val="007D03B6"/>
    <w:rsid w:val="007D0954"/>
    <w:rsid w:val="007D1157"/>
    <w:rsid w:val="007D11D8"/>
    <w:rsid w:val="007D192D"/>
    <w:rsid w:val="007D3930"/>
    <w:rsid w:val="007D5D68"/>
    <w:rsid w:val="007D6DE1"/>
    <w:rsid w:val="007D7246"/>
    <w:rsid w:val="007E1A84"/>
    <w:rsid w:val="007E1E92"/>
    <w:rsid w:val="007E3EBD"/>
    <w:rsid w:val="007E45B9"/>
    <w:rsid w:val="007E728A"/>
    <w:rsid w:val="007F0CCF"/>
    <w:rsid w:val="007F161B"/>
    <w:rsid w:val="007F20F0"/>
    <w:rsid w:val="007F2385"/>
    <w:rsid w:val="007F3019"/>
    <w:rsid w:val="007F309D"/>
    <w:rsid w:val="007F3579"/>
    <w:rsid w:val="007F37C5"/>
    <w:rsid w:val="007F42F7"/>
    <w:rsid w:val="007F467F"/>
    <w:rsid w:val="007F52A5"/>
    <w:rsid w:val="007F5F62"/>
    <w:rsid w:val="007F66CA"/>
    <w:rsid w:val="007F683A"/>
    <w:rsid w:val="007F7814"/>
    <w:rsid w:val="007F7AD7"/>
    <w:rsid w:val="008000CC"/>
    <w:rsid w:val="00800D6B"/>
    <w:rsid w:val="0080311D"/>
    <w:rsid w:val="008034AD"/>
    <w:rsid w:val="00805A48"/>
    <w:rsid w:val="00805E87"/>
    <w:rsid w:val="00806240"/>
    <w:rsid w:val="0080650B"/>
    <w:rsid w:val="00807D20"/>
    <w:rsid w:val="008119E8"/>
    <w:rsid w:val="00811F9B"/>
    <w:rsid w:val="008126FA"/>
    <w:rsid w:val="00812CD6"/>
    <w:rsid w:val="008132ED"/>
    <w:rsid w:val="00813735"/>
    <w:rsid w:val="00813875"/>
    <w:rsid w:val="00813EC3"/>
    <w:rsid w:val="00815DC7"/>
    <w:rsid w:val="008167CB"/>
    <w:rsid w:val="008168EB"/>
    <w:rsid w:val="008210BC"/>
    <w:rsid w:val="008214D0"/>
    <w:rsid w:val="00822258"/>
    <w:rsid w:val="00822DD9"/>
    <w:rsid w:val="008236CF"/>
    <w:rsid w:val="008251B9"/>
    <w:rsid w:val="008264FC"/>
    <w:rsid w:val="00826671"/>
    <w:rsid w:val="00826EAF"/>
    <w:rsid w:val="00827757"/>
    <w:rsid w:val="008277FA"/>
    <w:rsid w:val="00830A02"/>
    <w:rsid w:val="00830D72"/>
    <w:rsid w:val="008312E2"/>
    <w:rsid w:val="00831C54"/>
    <w:rsid w:val="00833962"/>
    <w:rsid w:val="00834830"/>
    <w:rsid w:val="00834ED2"/>
    <w:rsid w:val="00835CC4"/>
    <w:rsid w:val="00835F29"/>
    <w:rsid w:val="008373DC"/>
    <w:rsid w:val="0084093F"/>
    <w:rsid w:val="00841D8A"/>
    <w:rsid w:val="008421A6"/>
    <w:rsid w:val="00842913"/>
    <w:rsid w:val="00843922"/>
    <w:rsid w:val="0084423C"/>
    <w:rsid w:val="0084602E"/>
    <w:rsid w:val="0084607A"/>
    <w:rsid w:val="00846233"/>
    <w:rsid w:val="008464AB"/>
    <w:rsid w:val="00847665"/>
    <w:rsid w:val="008477B1"/>
    <w:rsid w:val="00847B6A"/>
    <w:rsid w:val="008501A2"/>
    <w:rsid w:val="0085053E"/>
    <w:rsid w:val="00850BAD"/>
    <w:rsid w:val="00851DFA"/>
    <w:rsid w:val="008520A5"/>
    <w:rsid w:val="008521F9"/>
    <w:rsid w:val="00854EFE"/>
    <w:rsid w:val="008562C2"/>
    <w:rsid w:val="00857138"/>
    <w:rsid w:val="00857D04"/>
    <w:rsid w:val="00857DBF"/>
    <w:rsid w:val="008612FA"/>
    <w:rsid w:val="00861AC0"/>
    <w:rsid w:val="008620C5"/>
    <w:rsid w:val="00862772"/>
    <w:rsid w:val="008638A6"/>
    <w:rsid w:val="008638CC"/>
    <w:rsid w:val="00865128"/>
    <w:rsid w:val="00870011"/>
    <w:rsid w:val="00871F37"/>
    <w:rsid w:val="008736D6"/>
    <w:rsid w:val="00874414"/>
    <w:rsid w:val="0087468B"/>
    <w:rsid w:val="00874B93"/>
    <w:rsid w:val="00874BA2"/>
    <w:rsid w:val="00875E30"/>
    <w:rsid w:val="00876CC3"/>
    <w:rsid w:val="00877169"/>
    <w:rsid w:val="008777F6"/>
    <w:rsid w:val="0088078B"/>
    <w:rsid w:val="008818FB"/>
    <w:rsid w:val="008858BF"/>
    <w:rsid w:val="00885C16"/>
    <w:rsid w:val="00885D58"/>
    <w:rsid w:val="0089000B"/>
    <w:rsid w:val="0089083C"/>
    <w:rsid w:val="00890D50"/>
    <w:rsid w:val="00890F70"/>
    <w:rsid w:val="008919DA"/>
    <w:rsid w:val="00891CD4"/>
    <w:rsid w:val="00892538"/>
    <w:rsid w:val="0089277C"/>
    <w:rsid w:val="008928A9"/>
    <w:rsid w:val="00892BD2"/>
    <w:rsid w:val="00893825"/>
    <w:rsid w:val="00894818"/>
    <w:rsid w:val="00894E8F"/>
    <w:rsid w:val="00894FFE"/>
    <w:rsid w:val="00896E1C"/>
    <w:rsid w:val="00897280"/>
    <w:rsid w:val="00897CEF"/>
    <w:rsid w:val="008A0240"/>
    <w:rsid w:val="008A16B5"/>
    <w:rsid w:val="008A1880"/>
    <w:rsid w:val="008A22F0"/>
    <w:rsid w:val="008A374E"/>
    <w:rsid w:val="008A45C3"/>
    <w:rsid w:val="008A5094"/>
    <w:rsid w:val="008A54C4"/>
    <w:rsid w:val="008A560A"/>
    <w:rsid w:val="008A562A"/>
    <w:rsid w:val="008A6577"/>
    <w:rsid w:val="008A692D"/>
    <w:rsid w:val="008B01DE"/>
    <w:rsid w:val="008B0B71"/>
    <w:rsid w:val="008B12C7"/>
    <w:rsid w:val="008B24C8"/>
    <w:rsid w:val="008B32D2"/>
    <w:rsid w:val="008B505F"/>
    <w:rsid w:val="008B67A2"/>
    <w:rsid w:val="008B691A"/>
    <w:rsid w:val="008B775E"/>
    <w:rsid w:val="008C0180"/>
    <w:rsid w:val="008C0AC5"/>
    <w:rsid w:val="008C0BBC"/>
    <w:rsid w:val="008C19F3"/>
    <w:rsid w:val="008C2991"/>
    <w:rsid w:val="008C44B7"/>
    <w:rsid w:val="008C46A5"/>
    <w:rsid w:val="008C4858"/>
    <w:rsid w:val="008C529D"/>
    <w:rsid w:val="008C5821"/>
    <w:rsid w:val="008C58AA"/>
    <w:rsid w:val="008C5D71"/>
    <w:rsid w:val="008D0BF0"/>
    <w:rsid w:val="008D0CAE"/>
    <w:rsid w:val="008D1215"/>
    <w:rsid w:val="008D123A"/>
    <w:rsid w:val="008D1A78"/>
    <w:rsid w:val="008D1D55"/>
    <w:rsid w:val="008D200F"/>
    <w:rsid w:val="008D2400"/>
    <w:rsid w:val="008D2AE7"/>
    <w:rsid w:val="008D3165"/>
    <w:rsid w:val="008D3862"/>
    <w:rsid w:val="008D4644"/>
    <w:rsid w:val="008D4895"/>
    <w:rsid w:val="008D5BD9"/>
    <w:rsid w:val="008D5F53"/>
    <w:rsid w:val="008D78D0"/>
    <w:rsid w:val="008D7EC6"/>
    <w:rsid w:val="008E0A08"/>
    <w:rsid w:val="008E1134"/>
    <w:rsid w:val="008E229A"/>
    <w:rsid w:val="008E235B"/>
    <w:rsid w:val="008E2B5F"/>
    <w:rsid w:val="008E2CB9"/>
    <w:rsid w:val="008E4B46"/>
    <w:rsid w:val="008E7A8F"/>
    <w:rsid w:val="008F04DC"/>
    <w:rsid w:val="008F1461"/>
    <w:rsid w:val="008F23B5"/>
    <w:rsid w:val="008F2C38"/>
    <w:rsid w:val="008F39D0"/>
    <w:rsid w:val="008F4E02"/>
    <w:rsid w:val="008F529B"/>
    <w:rsid w:val="008F679E"/>
    <w:rsid w:val="008F6CBC"/>
    <w:rsid w:val="008F7BBA"/>
    <w:rsid w:val="008F7D55"/>
    <w:rsid w:val="009008E9"/>
    <w:rsid w:val="00901414"/>
    <w:rsid w:val="00901BC6"/>
    <w:rsid w:val="0090279A"/>
    <w:rsid w:val="00904A3D"/>
    <w:rsid w:val="00905ABC"/>
    <w:rsid w:val="00905C66"/>
    <w:rsid w:val="00906B38"/>
    <w:rsid w:val="009072F5"/>
    <w:rsid w:val="00907503"/>
    <w:rsid w:val="00907E30"/>
    <w:rsid w:val="00910D4B"/>
    <w:rsid w:val="00912C97"/>
    <w:rsid w:val="00913964"/>
    <w:rsid w:val="00914432"/>
    <w:rsid w:val="00916E36"/>
    <w:rsid w:val="00917AA2"/>
    <w:rsid w:val="00917CDA"/>
    <w:rsid w:val="00920C24"/>
    <w:rsid w:val="00921750"/>
    <w:rsid w:val="00921763"/>
    <w:rsid w:val="00922B4C"/>
    <w:rsid w:val="009235E3"/>
    <w:rsid w:val="009241C9"/>
    <w:rsid w:val="0092435C"/>
    <w:rsid w:val="00924407"/>
    <w:rsid w:val="00924AFC"/>
    <w:rsid w:val="00924C62"/>
    <w:rsid w:val="00925AD1"/>
    <w:rsid w:val="00926C8D"/>
    <w:rsid w:val="00926E77"/>
    <w:rsid w:val="00927BFB"/>
    <w:rsid w:val="00930B8F"/>
    <w:rsid w:val="00930BC4"/>
    <w:rsid w:val="00930DD6"/>
    <w:rsid w:val="00931007"/>
    <w:rsid w:val="00931A87"/>
    <w:rsid w:val="00931C76"/>
    <w:rsid w:val="00931DF6"/>
    <w:rsid w:val="009323B6"/>
    <w:rsid w:val="009327E7"/>
    <w:rsid w:val="009338A5"/>
    <w:rsid w:val="0093422A"/>
    <w:rsid w:val="00934411"/>
    <w:rsid w:val="009353D3"/>
    <w:rsid w:val="009364EE"/>
    <w:rsid w:val="0093655B"/>
    <w:rsid w:val="00936572"/>
    <w:rsid w:val="00936ED5"/>
    <w:rsid w:val="00936F62"/>
    <w:rsid w:val="00941CEE"/>
    <w:rsid w:val="00942AEF"/>
    <w:rsid w:val="00942EBA"/>
    <w:rsid w:val="00943216"/>
    <w:rsid w:val="009434E9"/>
    <w:rsid w:val="009435D3"/>
    <w:rsid w:val="00944C0D"/>
    <w:rsid w:val="00944C84"/>
    <w:rsid w:val="00944CC7"/>
    <w:rsid w:val="00944F8F"/>
    <w:rsid w:val="00945B98"/>
    <w:rsid w:val="00945B9B"/>
    <w:rsid w:val="00945FBC"/>
    <w:rsid w:val="00946318"/>
    <w:rsid w:val="0094676A"/>
    <w:rsid w:val="009467DC"/>
    <w:rsid w:val="009468C5"/>
    <w:rsid w:val="00946AC6"/>
    <w:rsid w:val="009476C4"/>
    <w:rsid w:val="00947FE2"/>
    <w:rsid w:val="00950D9B"/>
    <w:rsid w:val="009520C1"/>
    <w:rsid w:val="00952869"/>
    <w:rsid w:val="00953590"/>
    <w:rsid w:val="0095427C"/>
    <w:rsid w:val="009542A5"/>
    <w:rsid w:val="0095498D"/>
    <w:rsid w:val="00954DAA"/>
    <w:rsid w:val="00955117"/>
    <w:rsid w:val="0095545F"/>
    <w:rsid w:val="0095548F"/>
    <w:rsid w:val="00955CCE"/>
    <w:rsid w:val="00956411"/>
    <w:rsid w:val="009606F4"/>
    <w:rsid w:val="0096176C"/>
    <w:rsid w:val="00961D61"/>
    <w:rsid w:val="00963221"/>
    <w:rsid w:val="009635ED"/>
    <w:rsid w:val="00965A9C"/>
    <w:rsid w:val="0096651F"/>
    <w:rsid w:val="0096699C"/>
    <w:rsid w:val="00970CD1"/>
    <w:rsid w:val="0097104A"/>
    <w:rsid w:val="00972CB0"/>
    <w:rsid w:val="00972E4E"/>
    <w:rsid w:val="0097367D"/>
    <w:rsid w:val="00973A42"/>
    <w:rsid w:val="00974BF0"/>
    <w:rsid w:val="00974F73"/>
    <w:rsid w:val="0097604F"/>
    <w:rsid w:val="0097607B"/>
    <w:rsid w:val="0098087B"/>
    <w:rsid w:val="009809F1"/>
    <w:rsid w:val="00980CD1"/>
    <w:rsid w:val="00983A03"/>
    <w:rsid w:val="00985A93"/>
    <w:rsid w:val="0098630D"/>
    <w:rsid w:val="009878A7"/>
    <w:rsid w:val="00987E01"/>
    <w:rsid w:val="00991289"/>
    <w:rsid w:val="00991F93"/>
    <w:rsid w:val="00991FF7"/>
    <w:rsid w:val="00992079"/>
    <w:rsid w:val="009935B7"/>
    <w:rsid w:val="009936CC"/>
    <w:rsid w:val="00994093"/>
    <w:rsid w:val="00994F0A"/>
    <w:rsid w:val="0099560B"/>
    <w:rsid w:val="00995D33"/>
    <w:rsid w:val="00995D9D"/>
    <w:rsid w:val="0099622A"/>
    <w:rsid w:val="009967B4"/>
    <w:rsid w:val="00996BBC"/>
    <w:rsid w:val="009974CE"/>
    <w:rsid w:val="00997533"/>
    <w:rsid w:val="0099771F"/>
    <w:rsid w:val="009A14CD"/>
    <w:rsid w:val="009A19F9"/>
    <w:rsid w:val="009A260C"/>
    <w:rsid w:val="009A29AF"/>
    <w:rsid w:val="009A2BC1"/>
    <w:rsid w:val="009A3C8C"/>
    <w:rsid w:val="009A4513"/>
    <w:rsid w:val="009A4D12"/>
    <w:rsid w:val="009A5892"/>
    <w:rsid w:val="009A5E55"/>
    <w:rsid w:val="009A638D"/>
    <w:rsid w:val="009A6397"/>
    <w:rsid w:val="009A6D22"/>
    <w:rsid w:val="009A749F"/>
    <w:rsid w:val="009A7A04"/>
    <w:rsid w:val="009B0DDC"/>
    <w:rsid w:val="009B1181"/>
    <w:rsid w:val="009B19ED"/>
    <w:rsid w:val="009B2327"/>
    <w:rsid w:val="009B29E8"/>
    <w:rsid w:val="009B36CD"/>
    <w:rsid w:val="009B4028"/>
    <w:rsid w:val="009B4DB7"/>
    <w:rsid w:val="009B4E37"/>
    <w:rsid w:val="009B6B28"/>
    <w:rsid w:val="009B6CF9"/>
    <w:rsid w:val="009B7544"/>
    <w:rsid w:val="009B75B5"/>
    <w:rsid w:val="009B7E57"/>
    <w:rsid w:val="009C0EE7"/>
    <w:rsid w:val="009C2088"/>
    <w:rsid w:val="009C3314"/>
    <w:rsid w:val="009C3CCF"/>
    <w:rsid w:val="009C4B80"/>
    <w:rsid w:val="009C5A7E"/>
    <w:rsid w:val="009C67A8"/>
    <w:rsid w:val="009C7010"/>
    <w:rsid w:val="009C7FA9"/>
    <w:rsid w:val="009D0584"/>
    <w:rsid w:val="009D090D"/>
    <w:rsid w:val="009D0E77"/>
    <w:rsid w:val="009D1512"/>
    <w:rsid w:val="009D249E"/>
    <w:rsid w:val="009D2ED4"/>
    <w:rsid w:val="009D3051"/>
    <w:rsid w:val="009D3DB5"/>
    <w:rsid w:val="009D4078"/>
    <w:rsid w:val="009D54E5"/>
    <w:rsid w:val="009D6361"/>
    <w:rsid w:val="009D777D"/>
    <w:rsid w:val="009E116C"/>
    <w:rsid w:val="009E158C"/>
    <w:rsid w:val="009E16B3"/>
    <w:rsid w:val="009E1E5B"/>
    <w:rsid w:val="009E3893"/>
    <w:rsid w:val="009E3F72"/>
    <w:rsid w:val="009E44D4"/>
    <w:rsid w:val="009E532B"/>
    <w:rsid w:val="009E5E39"/>
    <w:rsid w:val="009E6BF1"/>
    <w:rsid w:val="009E727B"/>
    <w:rsid w:val="009F13D9"/>
    <w:rsid w:val="009F1B74"/>
    <w:rsid w:val="009F2678"/>
    <w:rsid w:val="009F2780"/>
    <w:rsid w:val="009F28B1"/>
    <w:rsid w:val="009F3022"/>
    <w:rsid w:val="009F31B4"/>
    <w:rsid w:val="009F3CD2"/>
    <w:rsid w:val="009F428E"/>
    <w:rsid w:val="009F43A6"/>
    <w:rsid w:val="009F4D87"/>
    <w:rsid w:val="009F52C7"/>
    <w:rsid w:val="009F574F"/>
    <w:rsid w:val="009F5A00"/>
    <w:rsid w:val="009F607E"/>
    <w:rsid w:val="009F6AB1"/>
    <w:rsid w:val="009F6B1C"/>
    <w:rsid w:val="009F7717"/>
    <w:rsid w:val="00A01065"/>
    <w:rsid w:val="00A0175A"/>
    <w:rsid w:val="00A0194F"/>
    <w:rsid w:val="00A024B3"/>
    <w:rsid w:val="00A02EA3"/>
    <w:rsid w:val="00A04287"/>
    <w:rsid w:val="00A05941"/>
    <w:rsid w:val="00A06BF8"/>
    <w:rsid w:val="00A07643"/>
    <w:rsid w:val="00A100DB"/>
    <w:rsid w:val="00A10441"/>
    <w:rsid w:val="00A10539"/>
    <w:rsid w:val="00A10726"/>
    <w:rsid w:val="00A10A80"/>
    <w:rsid w:val="00A12698"/>
    <w:rsid w:val="00A15932"/>
    <w:rsid w:val="00A17BA2"/>
    <w:rsid w:val="00A20FF9"/>
    <w:rsid w:val="00A22C0F"/>
    <w:rsid w:val="00A25424"/>
    <w:rsid w:val="00A25C63"/>
    <w:rsid w:val="00A269CF"/>
    <w:rsid w:val="00A274C9"/>
    <w:rsid w:val="00A277D4"/>
    <w:rsid w:val="00A2792E"/>
    <w:rsid w:val="00A30F60"/>
    <w:rsid w:val="00A32654"/>
    <w:rsid w:val="00A33061"/>
    <w:rsid w:val="00A333FD"/>
    <w:rsid w:val="00A33D0F"/>
    <w:rsid w:val="00A34633"/>
    <w:rsid w:val="00A3475B"/>
    <w:rsid w:val="00A35A5F"/>
    <w:rsid w:val="00A36BF3"/>
    <w:rsid w:val="00A36D8B"/>
    <w:rsid w:val="00A36F5D"/>
    <w:rsid w:val="00A3781F"/>
    <w:rsid w:val="00A40EF0"/>
    <w:rsid w:val="00A423F7"/>
    <w:rsid w:val="00A42DB0"/>
    <w:rsid w:val="00A43C2B"/>
    <w:rsid w:val="00A443C3"/>
    <w:rsid w:val="00A45AC9"/>
    <w:rsid w:val="00A4770E"/>
    <w:rsid w:val="00A47B86"/>
    <w:rsid w:val="00A5021A"/>
    <w:rsid w:val="00A506E0"/>
    <w:rsid w:val="00A50783"/>
    <w:rsid w:val="00A51206"/>
    <w:rsid w:val="00A51488"/>
    <w:rsid w:val="00A52189"/>
    <w:rsid w:val="00A53537"/>
    <w:rsid w:val="00A53D3E"/>
    <w:rsid w:val="00A54231"/>
    <w:rsid w:val="00A547F0"/>
    <w:rsid w:val="00A548E8"/>
    <w:rsid w:val="00A5494F"/>
    <w:rsid w:val="00A55351"/>
    <w:rsid w:val="00A56379"/>
    <w:rsid w:val="00A5694E"/>
    <w:rsid w:val="00A56EE6"/>
    <w:rsid w:val="00A5792E"/>
    <w:rsid w:val="00A57FC5"/>
    <w:rsid w:val="00A60D82"/>
    <w:rsid w:val="00A6168A"/>
    <w:rsid w:val="00A61A48"/>
    <w:rsid w:val="00A6201F"/>
    <w:rsid w:val="00A62B82"/>
    <w:rsid w:val="00A62D2A"/>
    <w:rsid w:val="00A63032"/>
    <w:rsid w:val="00A63129"/>
    <w:rsid w:val="00A644B3"/>
    <w:rsid w:val="00A64905"/>
    <w:rsid w:val="00A65798"/>
    <w:rsid w:val="00A669AA"/>
    <w:rsid w:val="00A70860"/>
    <w:rsid w:val="00A71008"/>
    <w:rsid w:val="00A71055"/>
    <w:rsid w:val="00A719EE"/>
    <w:rsid w:val="00A724CD"/>
    <w:rsid w:val="00A72B5E"/>
    <w:rsid w:val="00A74052"/>
    <w:rsid w:val="00A7413C"/>
    <w:rsid w:val="00A746A7"/>
    <w:rsid w:val="00A74C38"/>
    <w:rsid w:val="00A767D5"/>
    <w:rsid w:val="00A77AF3"/>
    <w:rsid w:val="00A807FB"/>
    <w:rsid w:val="00A83B6E"/>
    <w:rsid w:val="00A8422B"/>
    <w:rsid w:val="00A85640"/>
    <w:rsid w:val="00A85752"/>
    <w:rsid w:val="00A85A8C"/>
    <w:rsid w:val="00A8785C"/>
    <w:rsid w:val="00A90702"/>
    <w:rsid w:val="00A91BF0"/>
    <w:rsid w:val="00A91C55"/>
    <w:rsid w:val="00A91CB6"/>
    <w:rsid w:val="00A92431"/>
    <w:rsid w:val="00A92E45"/>
    <w:rsid w:val="00A94625"/>
    <w:rsid w:val="00A9508E"/>
    <w:rsid w:val="00A9592C"/>
    <w:rsid w:val="00A96F43"/>
    <w:rsid w:val="00AA1424"/>
    <w:rsid w:val="00AA30FC"/>
    <w:rsid w:val="00AA337A"/>
    <w:rsid w:val="00AA46DD"/>
    <w:rsid w:val="00AA4718"/>
    <w:rsid w:val="00AA541D"/>
    <w:rsid w:val="00AA5730"/>
    <w:rsid w:val="00AA5F40"/>
    <w:rsid w:val="00AA62A2"/>
    <w:rsid w:val="00AA6EF5"/>
    <w:rsid w:val="00AA723D"/>
    <w:rsid w:val="00AA7308"/>
    <w:rsid w:val="00AA79AB"/>
    <w:rsid w:val="00AB105F"/>
    <w:rsid w:val="00AB1180"/>
    <w:rsid w:val="00AB208F"/>
    <w:rsid w:val="00AB265D"/>
    <w:rsid w:val="00AB31EC"/>
    <w:rsid w:val="00AB4021"/>
    <w:rsid w:val="00AB76AA"/>
    <w:rsid w:val="00AB7AE4"/>
    <w:rsid w:val="00AC1C2B"/>
    <w:rsid w:val="00AC1D19"/>
    <w:rsid w:val="00AC21F1"/>
    <w:rsid w:val="00AC3119"/>
    <w:rsid w:val="00AC333F"/>
    <w:rsid w:val="00AC3538"/>
    <w:rsid w:val="00AC3864"/>
    <w:rsid w:val="00AC3B54"/>
    <w:rsid w:val="00AC4CD7"/>
    <w:rsid w:val="00AC4F3B"/>
    <w:rsid w:val="00AC516B"/>
    <w:rsid w:val="00AC55D2"/>
    <w:rsid w:val="00AC5B02"/>
    <w:rsid w:val="00AC6379"/>
    <w:rsid w:val="00AC68B8"/>
    <w:rsid w:val="00AC6A52"/>
    <w:rsid w:val="00AC733E"/>
    <w:rsid w:val="00AD02C6"/>
    <w:rsid w:val="00AD06B8"/>
    <w:rsid w:val="00AD07E1"/>
    <w:rsid w:val="00AD0908"/>
    <w:rsid w:val="00AD0FCB"/>
    <w:rsid w:val="00AD1F4D"/>
    <w:rsid w:val="00AD3285"/>
    <w:rsid w:val="00AD44D5"/>
    <w:rsid w:val="00AD6663"/>
    <w:rsid w:val="00AD71D2"/>
    <w:rsid w:val="00AE0395"/>
    <w:rsid w:val="00AE2069"/>
    <w:rsid w:val="00AE2E32"/>
    <w:rsid w:val="00AE2EB6"/>
    <w:rsid w:val="00AE3358"/>
    <w:rsid w:val="00AE385C"/>
    <w:rsid w:val="00AE3D76"/>
    <w:rsid w:val="00AE516C"/>
    <w:rsid w:val="00AE5B43"/>
    <w:rsid w:val="00AE7725"/>
    <w:rsid w:val="00AF10BE"/>
    <w:rsid w:val="00AF1231"/>
    <w:rsid w:val="00AF13BC"/>
    <w:rsid w:val="00AF17C2"/>
    <w:rsid w:val="00AF1F7D"/>
    <w:rsid w:val="00AF2203"/>
    <w:rsid w:val="00AF2601"/>
    <w:rsid w:val="00AF27F6"/>
    <w:rsid w:val="00AF280C"/>
    <w:rsid w:val="00AF2A6F"/>
    <w:rsid w:val="00AF49B0"/>
    <w:rsid w:val="00AF621A"/>
    <w:rsid w:val="00AF6423"/>
    <w:rsid w:val="00B00045"/>
    <w:rsid w:val="00B001D0"/>
    <w:rsid w:val="00B0041C"/>
    <w:rsid w:val="00B01BBF"/>
    <w:rsid w:val="00B022D0"/>
    <w:rsid w:val="00B025EB"/>
    <w:rsid w:val="00B02D4A"/>
    <w:rsid w:val="00B03763"/>
    <w:rsid w:val="00B04B4C"/>
    <w:rsid w:val="00B04BA8"/>
    <w:rsid w:val="00B04C6A"/>
    <w:rsid w:val="00B066EE"/>
    <w:rsid w:val="00B068FE"/>
    <w:rsid w:val="00B06B57"/>
    <w:rsid w:val="00B06EAB"/>
    <w:rsid w:val="00B0753A"/>
    <w:rsid w:val="00B11685"/>
    <w:rsid w:val="00B13A7F"/>
    <w:rsid w:val="00B15368"/>
    <w:rsid w:val="00B15572"/>
    <w:rsid w:val="00B1679E"/>
    <w:rsid w:val="00B16E3F"/>
    <w:rsid w:val="00B17101"/>
    <w:rsid w:val="00B17E7C"/>
    <w:rsid w:val="00B204B5"/>
    <w:rsid w:val="00B20904"/>
    <w:rsid w:val="00B218E9"/>
    <w:rsid w:val="00B227B0"/>
    <w:rsid w:val="00B2283D"/>
    <w:rsid w:val="00B23A72"/>
    <w:rsid w:val="00B241B4"/>
    <w:rsid w:val="00B2547D"/>
    <w:rsid w:val="00B258E8"/>
    <w:rsid w:val="00B2625D"/>
    <w:rsid w:val="00B26C70"/>
    <w:rsid w:val="00B26DF7"/>
    <w:rsid w:val="00B26E7E"/>
    <w:rsid w:val="00B271F4"/>
    <w:rsid w:val="00B30D1F"/>
    <w:rsid w:val="00B31059"/>
    <w:rsid w:val="00B3108F"/>
    <w:rsid w:val="00B3218A"/>
    <w:rsid w:val="00B3223F"/>
    <w:rsid w:val="00B32E77"/>
    <w:rsid w:val="00B33315"/>
    <w:rsid w:val="00B333BC"/>
    <w:rsid w:val="00B346EB"/>
    <w:rsid w:val="00B34902"/>
    <w:rsid w:val="00B36F5B"/>
    <w:rsid w:val="00B3711F"/>
    <w:rsid w:val="00B3766B"/>
    <w:rsid w:val="00B41245"/>
    <w:rsid w:val="00B41D5C"/>
    <w:rsid w:val="00B42BB8"/>
    <w:rsid w:val="00B4376D"/>
    <w:rsid w:val="00B4420D"/>
    <w:rsid w:val="00B45A65"/>
    <w:rsid w:val="00B45DED"/>
    <w:rsid w:val="00B478FF"/>
    <w:rsid w:val="00B47B9C"/>
    <w:rsid w:val="00B50427"/>
    <w:rsid w:val="00B50511"/>
    <w:rsid w:val="00B5151A"/>
    <w:rsid w:val="00B5165F"/>
    <w:rsid w:val="00B51E45"/>
    <w:rsid w:val="00B52117"/>
    <w:rsid w:val="00B521FD"/>
    <w:rsid w:val="00B534FB"/>
    <w:rsid w:val="00B53F77"/>
    <w:rsid w:val="00B5526B"/>
    <w:rsid w:val="00B557E3"/>
    <w:rsid w:val="00B56BA3"/>
    <w:rsid w:val="00B613FA"/>
    <w:rsid w:val="00B615EA"/>
    <w:rsid w:val="00B61A3D"/>
    <w:rsid w:val="00B62927"/>
    <w:rsid w:val="00B633B0"/>
    <w:rsid w:val="00B63A06"/>
    <w:rsid w:val="00B63ADA"/>
    <w:rsid w:val="00B63DE7"/>
    <w:rsid w:val="00B63FBF"/>
    <w:rsid w:val="00B6408F"/>
    <w:rsid w:val="00B650A8"/>
    <w:rsid w:val="00B651A4"/>
    <w:rsid w:val="00B6547F"/>
    <w:rsid w:val="00B656B4"/>
    <w:rsid w:val="00B65810"/>
    <w:rsid w:val="00B65A9D"/>
    <w:rsid w:val="00B7016D"/>
    <w:rsid w:val="00B7029D"/>
    <w:rsid w:val="00B7171B"/>
    <w:rsid w:val="00B7185C"/>
    <w:rsid w:val="00B71D0F"/>
    <w:rsid w:val="00B722A5"/>
    <w:rsid w:val="00B7239E"/>
    <w:rsid w:val="00B724C4"/>
    <w:rsid w:val="00B728F5"/>
    <w:rsid w:val="00B736F9"/>
    <w:rsid w:val="00B73BFB"/>
    <w:rsid w:val="00B74B83"/>
    <w:rsid w:val="00B74DC5"/>
    <w:rsid w:val="00B757C2"/>
    <w:rsid w:val="00B76196"/>
    <w:rsid w:val="00B77695"/>
    <w:rsid w:val="00B779BD"/>
    <w:rsid w:val="00B77C21"/>
    <w:rsid w:val="00B77D08"/>
    <w:rsid w:val="00B80536"/>
    <w:rsid w:val="00B81012"/>
    <w:rsid w:val="00B817E6"/>
    <w:rsid w:val="00B81CC2"/>
    <w:rsid w:val="00B8286D"/>
    <w:rsid w:val="00B82A13"/>
    <w:rsid w:val="00B8374D"/>
    <w:rsid w:val="00B840C3"/>
    <w:rsid w:val="00B84492"/>
    <w:rsid w:val="00B85BBA"/>
    <w:rsid w:val="00B90112"/>
    <w:rsid w:val="00B902EC"/>
    <w:rsid w:val="00B90366"/>
    <w:rsid w:val="00B9238C"/>
    <w:rsid w:val="00B924E0"/>
    <w:rsid w:val="00B92CB3"/>
    <w:rsid w:val="00B94621"/>
    <w:rsid w:val="00B94D1A"/>
    <w:rsid w:val="00B94D1C"/>
    <w:rsid w:val="00B9786B"/>
    <w:rsid w:val="00BA082D"/>
    <w:rsid w:val="00BA099F"/>
    <w:rsid w:val="00BA0A46"/>
    <w:rsid w:val="00BA0CF5"/>
    <w:rsid w:val="00BA0F73"/>
    <w:rsid w:val="00BA14DB"/>
    <w:rsid w:val="00BA2328"/>
    <w:rsid w:val="00BA3FD5"/>
    <w:rsid w:val="00BA4C61"/>
    <w:rsid w:val="00BA6780"/>
    <w:rsid w:val="00BA76A2"/>
    <w:rsid w:val="00BA783B"/>
    <w:rsid w:val="00BB05F0"/>
    <w:rsid w:val="00BB1A3C"/>
    <w:rsid w:val="00BB35D7"/>
    <w:rsid w:val="00BB40B4"/>
    <w:rsid w:val="00BB4968"/>
    <w:rsid w:val="00BB5A6A"/>
    <w:rsid w:val="00BB669E"/>
    <w:rsid w:val="00BB685F"/>
    <w:rsid w:val="00BB741D"/>
    <w:rsid w:val="00BB746C"/>
    <w:rsid w:val="00BB79D2"/>
    <w:rsid w:val="00BC05A2"/>
    <w:rsid w:val="00BC0DA7"/>
    <w:rsid w:val="00BC1942"/>
    <w:rsid w:val="00BC1BB9"/>
    <w:rsid w:val="00BC1CE8"/>
    <w:rsid w:val="00BC1EB1"/>
    <w:rsid w:val="00BC4677"/>
    <w:rsid w:val="00BC4697"/>
    <w:rsid w:val="00BC5AA0"/>
    <w:rsid w:val="00BC5ACC"/>
    <w:rsid w:val="00BC5DE9"/>
    <w:rsid w:val="00BC6A69"/>
    <w:rsid w:val="00BC75C6"/>
    <w:rsid w:val="00BC79C2"/>
    <w:rsid w:val="00BD05F5"/>
    <w:rsid w:val="00BD0EC0"/>
    <w:rsid w:val="00BD186B"/>
    <w:rsid w:val="00BD1CB8"/>
    <w:rsid w:val="00BD2D1F"/>
    <w:rsid w:val="00BD2F93"/>
    <w:rsid w:val="00BD41C6"/>
    <w:rsid w:val="00BD5712"/>
    <w:rsid w:val="00BD5FFA"/>
    <w:rsid w:val="00BD612A"/>
    <w:rsid w:val="00BD6D1E"/>
    <w:rsid w:val="00BD7864"/>
    <w:rsid w:val="00BD7A68"/>
    <w:rsid w:val="00BE01DE"/>
    <w:rsid w:val="00BE035E"/>
    <w:rsid w:val="00BE07BF"/>
    <w:rsid w:val="00BE1F5F"/>
    <w:rsid w:val="00BE2425"/>
    <w:rsid w:val="00BE255A"/>
    <w:rsid w:val="00BE2B7B"/>
    <w:rsid w:val="00BE3249"/>
    <w:rsid w:val="00BE3430"/>
    <w:rsid w:val="00BE3810"/>
    <w:rsid w:val="00BE3A6A"/>
    <w:rsid w:val="00BE4E40"/>
    <w:rsid w:val="00BE50AD"/>
    <w:rsid w:val="00BE5F19"/>
    <w:rsid w:val="00BE6756"/>
    <w:rsid w:val="00BE75B1"/>
    <w:rsid w:val="00BE7C05"/>
    <w:rsid w:val="00BE7C71"/>
    <w:rsid w:val="00BF04F2"/>
    <w:rsid w:val="00BF14D3"/>
    <w:rsid w:val="00BF23D8"/>
    <w:rsid w:val="00BF274A"/>
    <w:rsid w:val="00BF4247"/>
    <w:rsid w:val="00BF481D"/>
    <w:rsid w:val="00BF4BF3"/>
    <w:rsid w:val="00BF5127"/>
    <w:rsid w:val="00BF5AF6"/>
    <w:rsid w:val="00BF6A00"/>
    <w:rsid w:val="00C00115"/>
    <w:rsid w:val="00C00798"/>
    <w:rsid w:val="00C016EB"/>
    <w:rsid w:val="00C01BB1"/>
    <w:rsid w:val="00C028B0"/>
    <w:rsid w:val="00C03CFB"/>
    <w:rsid w:val="00C03F8C"/>
    <w:rsid w:val="00C05512"/>
    <w:rsid w:val="00C05ECA"/>
    <w:rsid w:val="00C06ECB"/>
    <w:rsid w:val="00C07858"/>
    <w:rsid w:val="00C0796F"/>
    <w:rsid w:val="00C10223"/>
    <w:rsid w:val="00C10825"/>
    <w:rsid w:val="00C1102B"/>
    <w:rsid w:val="00C110E0"/>
    <w:rsid w:val="00C1111A"/>
    <w:rsid w:val="00C11341"/>
    <w:rsid w:val="00C1167E"/>
    <w:rsid w:val="00C12071"/>
    <w:rsid w:val="00C127EE"/>
    <w:rsid w:val="00C12BC5"/>
    <w:rsid w:val="00C12EED"/>
    <w:rsid w:val="00C12FEE"/>
    <w:rsid w:val="00C13AF8"/>
    <w:rsid w:val="00C141CF"/>
    <w:rsid w:val="00C1438B"/>
    <w:rsid w:val="00C166D6"/>
    <w:rsid w:val="00C16E66"/>
    <w:rsid w:val="00C17109"/>
    <w:rsid w:val="00C17391"/>
    <w:rsid w:val="00C20421"/>
    <w:rsid w:val="00C2045F"/>
    <w:rsid w:val="00C207EE"/>
    <w:rsid w:val="00C209A5"/>
    <w:rsid w:val="00C20EAB"/>
    <w:rsid w:val="00C21093"/>
    <w:rsid w:val="00C22B80"/>
    <w:rsid w:val="00C24247"/>
    <w:rsid w:val="00C24E90"/>
    <w:rsid w:val="00C25345"/>
    <w:rsid w:val="00C25362"/>
    <w:rsid w:val="00C256BD"/>
    <w:rsid w:val="00C25C82"/>
    <w:rsid w:val="00C25D68"/>
    <w:rsid w:val="00C269E0"/>
    <w:rsid w:val="00C26FA3"/>
    <w:rsid w:val="00C27491"/>
    <w:rsid w:val="00C27E0A"/>
    <w:rsid w:val="00C30610"/>
    <w:rsid w:val="00C30C10"/>
    <w:rsid w:val="00C30E69"/>
    <w:rsid w:val="00C31702"/>
    <w:rsid w:val="00C31ACA"/>
    <w:rsid w:val="00C31BFA"/>
    <w:rsid w:val="00C31C2A"/>
    <w:rsid w:val="00C323D0"/>
    <w:rsid w:val="00C32601"/>
    <w:rsid w:val="00C32CB4"/>
    <w:rsid w:val="00C32D91"/>
    <w:rsid w:val="00C33874"/>
    <w:rsid w:val="00C3559E"/>
    <w:rsid w:val="00C35B0B"/>
    <w:rsid w:val="00C365D9"/>
    <w:rsid w:val="00C3691D"/>
    <w:rsid w:val="00C36B61"/>
    <w:rsid w:val="00C36C69"/>
    <w:rsid w:val="00C376A6"/>
    <w:rsid w:val="00C401CA"/>
    <w:rsid w:val="00C40FA6"/>
    <w:rsid w:val="00C412A6"/>
    <w:rsid w:val="00C4283E"/>
    <w:rsid w:val="00C4287E"/>
    <w:rsid w:val="00C43025"/>
    <w:rsid w:val="00C43978"/>
    <w:rsid w:val="00C4399C"/>
    <w:rsid w:val="00C445CA"/>
    <w:rsid w:val="00C4466F"/>
    <w:rsid w:val="00C45C41"/>
    <w:rsid w:val="00C4627D"/>
    <w:rsid w:val="00C47489"/>
    <w:rsid w:val="00C47521"/>
    <w:rsid w:val="00C47EB2"/>
    <w:rsid w:val="00C5028B"/>
    <w:rsid w:val="00C51004"/>
    <w:rsid w:val="00C5103A"/>
    <w:rsid w:val="00C5117D"/>
    <w:rsid w:val="00C529FB"/>
    <w:rsid w:val="00C5336B"/>
    <w:rsid w:val="00C538AB"/>
    <w:rsid w:val="00C53958"/>
    <w:rsid w:val="00C539B6"/>
    <w:rsid w:val="00C53ADC"/>
    <w:rsid w:val="00C53F13"/>
    <w:rsid w:val="00C53F3F"/>
    <w:rsid w:val="00C54A73"/>
    <w:rsid w:val="00C55101"/>
    <w:rsid w:val="00C55ECF"/>
    <w:rsid w:val="00C561B7"/>
    <w:rsid w:val="00C56242"/>
    <w:rsid w:val="00C57AB0"/>
    <w:rsid w:val="00C60534"/>
    <w:rsid w:val="00C60D5B"/>
    <w:rsid w:val="00C61113"/>
    <w:rsid w:val="00C6285C"/>
    <w:rsid w:val="00C63792"/>
    <w:rsid w:val="00C63C7A"/>
    <w:rsid w:val="00C64DA8"/>
    <w:rsid w:val="00C65462"/>
    <w:rsid w:val="00C6582D"/>
    <w:rsid w:val="00C66456"/>
    <w:rsid w:val="00C664B0"/>
    <w:rsid w:val="00C6670C"/>
    <w:rsid w:val="00C70040"/>
    <w:rsid w:val="00C70126"/>
    <w:rsid w:val="00C7121F"/>
    <w:rsid w:val="00C72DDE"/>
    <w:rsid w:val="00C734DA"/>
    <w:rsid w:val="00C739C5"/>
    <w:rsid w:val="00C746CB"/>
    <w:rsid w:val="00C7496F"/>
    <w:rsid w:val="00C7526A"/>
    <w:rsid w:val="00C75CF0"/>
    <w:rsid w:val="00C75FF5"/>
    <w:rsid w:val="00C7630E"/>
    <w:rsid w:val="00C7630F"/>
    <w:rsid w:val="00C777A0"/>
    <w:rsid w:val="00C8158F"/>
    <w:rsid w:val="00C82E78"/>
    <w:rsid w:val="00C82F8D"/>
    <w:rsid w:val="00C83E28"/>
    <w:rsid w:val="00C86129"/>
    <w:rsid w:val="00C905A9"/>
    <w:rsid w:val="00C90C96"/>
    <w:rsid w:val="00C91ABD"/>
    <w:rsid w:val="00C938AB"/>
    <w:rsid w:val="00C943C6"/>
    <w:rsid w:val="00C9483C"/>
    <w:rsid w:val="00C94C79"/>
    <w:rsid w:val="00C95469"/>
    <w:rsid w:val="00C95572"/>
    <w:rsid w:val="00C95A18"/>
    <w:rsid w:val="00C95ADC"/>
    <w:rsid w:val="00C96A13"/>
    <w:rsid w:val="00C97176"/>
    <w:rsid w:val="00C97EDB"/>
    <w:rsid w:val="00CA163A"/>
    <w:rsid w:val="00CA166B"/>
    <w:rsid w:val="00CA20EF"/>
    <w:rsid w:val="00CA2926"/>
    <w:rsid w:val="00CA3561"/>
    <w:rsid w:val="00CA3D0B"/>
    <w:rsid w:val="00CA4239"/>
    <w:rsid w:val="00CA4EE1"/>
    <w:rsid w:val="00CA4F2F"/>
    <w:rsid w:val="00CA51F7"/>
    <w:rsid w:val="00CA5206"/>
    <w:rsid w:val="00CA5B18"/>
    <w:rsid w:val="00CA601C"/>
    <w:rsid w:val="00CA626C"/>
    <w:rsid w:val="00CA627E"/>
    <w:rsid w:val="00CA7335"/>
    <w:rsid w:val="00CB10CE"/>
    <w:rsid w:val="00CB15BB"/>
    <w:rsid w:val="00CB1F45"/>
    <w:rsid w:val="00CB3CB5"/>
    <w:rsid w:val="00CB3DA5"/>
    <w:rsid w:val="00CB4164"/>
    <w:rsid w:val="00CB4256"/>
    <w:rsid w:val="00CB4A2C"/>
    <w:rsid w:val="00CB4B3F"/>
    <w:rsid w:val="00CB4C4B"/>
    <w:rsid w:val="00CB4F5E"/>
    <w:rsid w:val="00CB5ACD"/>
    <w:rsid w:val="00CB62C9"/>
    <w:rsid w:val="00CB6BD6"/>
    <w:rsid w:val="00CB75B7"/>
    <w:rsid w:val="00CB7FEA"/>
    <w:rsid w:val="00CC0898"/>
    <w:rsid w:val="00CC40CA"/>
    <w:rsid w:val="00CC4D76"/>
    <w:rsid w:val="00CC5032"/>
    <w:rsid w:val="00CC714D"/>
    <w:rsid w:val="00CC71B0"/>
    <w:rsid w:val="00CC77E2"/>
    <w:rsid w:val="00CC7A8D"/>
    <w:rsid w:val="00CD01A4"/>
    <w:rsid w:val="00CD21B0"/>
    <w:rsid w:val="00CD231F"/>
    <w:rsid w:val="00CD30BF"/>
    <w:rsid w:val="00CD7001"/>
    <w:rsid w:val="00CD70BE"/>
    <w:rsid w:val="00CD74F5"/>
    <w:rsid w:val="00CD7F2A"/>
    <w:rsid w:val="00CE099C"/>
    <w:rsid w:val="00CE164F"/>
    <w:rsid w:val="00CE16D2"/>
    <w:rsid w:val="00CE2608"/>
    <w:rsid w:val="00CE2621"/>
    <w:rsid w:val="00CE3E63"/>
    <w:rsid w:val="00CE400B"/>
    <w:rsid w:val="00CE4856"/>
    <w:rsid w:val="00CE5BAD"/>
    <w:rsid w:val="00CE6523"/>
    <w:rsid w:val="00CE698D"/>
    <w:rsid w:val="00CF1268"/>
    <w:rsid w:val="00CF22C5"/>
    <w:rsid w:val="00CF52E4"/>
    <w:rsid w:val="00CF5425"/>
    <w:rsid w:val="00CF5AEC"/>
    <w:rsid w:val="00CF660B"/>
    <w:rsid w:val="00CF6E17"/>
    <w:rsid w:val="00CF6EE4"/>
    <w:rsid w:val="00CF7CF7"/>
    <w:rsid w:val="00D01290"/>
    <w:rsid w:val="00D01763"/>
    <w:rsid w:val="00D01A4B"/>
    <w:rsid w:val="00D01B22"/>
    <w:rsid w:val="00D01D6F"/>
    <w:rsid w:val="00D02445"/>
    <w:rsid w:val="00D03252"/>
    <w:rsid w:val="00D03594"/>
    <w:rsid w:val="00D0382F"/>
    <w:rsid w:val="00D04676"/>
    <w:rsid w:val="00D0491B"/>
    <w:rsid w:val="00D058B5"/>
    <w:rsid w:val="00D06A19"/>
    <w:rsid w:val="00D07617"/>
    <w:rsid w:val="00D1092E"/>
    <w:rsid w:val="00D12492"/>
    <w:rsid w:val="00D12570"/>
    <w:rsid w:val="00D135A2"/>
    <w:rsid w:val="00D136DA"/>
    <w:rsid w:val="00D13BA3"/>
    <w:rsid w:val="00D1437F"/>
    <w:rsid w:val="00D1471B"/>
    <w:rsid w:val="00D147A0"/>
    <w:rsid w:val="00D150C4"/>
    <w:rsid w:val="00D15BFE"/>
    <w:rsid w:val="00D1673A"/>
    <w:rsid w:val="00D16956"/>
    <w:rsid w:val="00D1739C"/>
    <w:rsid w:val="00D17EF5"/>
    <w:rsid w:val="00D201F1"/>
    <w:rsid w:val="00D20F5F"/>
    <w:rsid w:val="00D21DBA"/>
    <w:rsid w:val="00D2245C"/>
    <w:rsid w:val="00D25745"/>
    <w:rsid w:val="00D2592C"/>
    <w:rsid w:val="00D2682D"/>
    <w:rsid w:val="00D26A0B"/>
    <w:rsid w:val="00D26CFE"/>
    <w:rsid w:val="00D26D33"/>
    <w:rsid w:val="00D27110"/>
    <w:rsid w:val="00D272DD"/>
    <w:rsid w:val="00D3072E"/>
    <w:rsid w:val="00D31E77"/>
    <w:rsid w:val="00D3604F"/>
    <w:rsid w:val="00D369C9"/>
    <w:rsid w:val="00D37A1E"/>
    <w:rsid w:val="00D4011A"/>
    <w:rsid w:val="00D41E54"/>
    <w:rsid w:val="00D423DC"/>
    <w:rsid w:val="00D42E38"/>
    <w:rsid w:val="00D42F97"/>
    <w:rsid w:val="00D434EA"/>
    <w:rsid w:val="00D438B7"/>
    <w:rsid w:val="00D442CA"/>
    <w:rsid w:val="00D445CD"/>
    <w:rsid w:val="00D47CC0"/>
    <w:rsid w:val="00D51994"/>
    <w:rsid w:val="00D56FD8"/>
    <w:rsid w:val="00D5732F"/>
    <w:rsid w:val="00D6080D"/>
    <w:rsid w:val="00D61FA3"/>
    <w:rsid w:val="00D62225"/>
    <w:rsid w:val="00D62650"/>
    <w:rsid w:val="00D6265A"/>
    <w:rsid w:val="00D63416"/>
    <w:rsid w:val="00D638BA"/>
    <w:rsid w:val="00D63BB8"/>
    <w:rsid w:val="00D64FB8"/>
    <w:rsid w:val="00D657A6"/>
    <w:rsid w:val="00D65C82"/>
    <w:rsid w:val="00D665CF"/>
    <w:rsid w:val="00D66A8F"/>
    <w:rsid w:val="00D66D33"/>
    <w:rsid w:val="00D6718D"/>
    <w:rsid w:val="00D67A1C"/>
    <w:rsid w:val="00D70CBA"/>
    <w:rsid w:val="00D70D16"/>
    <w:rsid w:val="00D7194F"/>
    <w:rsid w:val="00D72868"/>
    <w:rsid w:val="00D7306D"/>
    <w:rsid w:val="00D73354"/>
    <w:rsid w:val="00D73C7B"/>
    <w:rsid w:val="00D75165"/>
    <w:rsid w:val="00D7525F"/>
    <w:rsid w:val="00D76354"/>
    <w:rsid w:val="00D76A29"/>
    <w:rsid w:val="00D76C67"/>
    <w:rsid w:val="00D76D2E"/>
    <w:rsid w:val="00D7723F"/>
    <w:rsid w:val="00D77959"/>
    <w:rsid w:val="00D80248"/>
    <w:rsid w:val="00D807AF"/>
    <w:rsid w:val="00D80BB2"/>
    <w:rsid w:val="00D80C0A"/>
    <w:rsid w:val="00D80E4D"/>
    <w:rsid w:val="00D80EBD"/>
    <w:rsid w:val="00D813B6"/>
    <w:rsid w:val="00D814BE"/>
    <w:rsid w:val="00D820F3"/>
    <w:rsid w:val="00D82903"/>
    <w:rsid w:val="00D830C6"/>
    <w:rsid w:val="00D838B2"/>
    <w:rsid w:val="00D843CE"/>
    <w:rsid w:val="00D844EB"/>
    <w:rsid w:val="00D85CCE"/>
    <w:rsid w:val="00D868B9"/>
    <w:rsid w:val="00D872C6"/>
    <w:rsid w:val="00D90067"/>
    <w:rsid w:val="00D90EB2"/>
    <w:rsid w:val="00D91543"/>
    <w:rsid w:val="00D925D1"/>
    <w:rsid w:val="00D941D6"/>
    <w:rsid w:val="00D95A07"/>
    <w:rsid w:val="00D95ECC"/>
    <w:rsid w:val="00D961DF"/>
    <w:rsid w:val="00D971AF"/>
    <w:rsid w:val="00DA03C9"/>
    <w:rsid w:val="00DA04C4"/>
    <w:rsid w:val="00DA09EA"/>
    <w:rsid w:val="00DA0FCE"/>
    <w:rsid w:val="00DA17E1"/>
    <w:rsid w:val="00DA17F9"/>
    <w:rsid w:val="00DA1F45"/>
    <w:rsid w:val="00DA20A8"/>
    <w:rsid w:val="00DA2103"/>
    <w:rsid w:val="00DA2662"/>
    <w:rsid w:val="00DA3DF1"/>
    <w:rsid w:val="00DA4051"/>
    <w:rsid w:val="00DA4A1A"/>
    <w:rsid w:val="00DA4CEF"/>
    <w:rsid w:val="00DA64D3"/>
    <w:rsid w:val="00DA68CF"/>
    <w:rsid w:val="00DA6FBB"/>
    <w:rsid w:val="00DA74F4"/>
    <w:rsid w:val="00DA7A7A"/>
    <w:rsid w:val="00DB002A"/>
    <w:rsid w:val="00DB1819"/>
    <w:rsid w:val="00DB1F03"/>
    <w:rsid w:val="00DB22EF"/>
    <w:rsid w:val="00DB2A31"/>
    <w:rsid w:val="00DB2E0C"/>
    <w:rsid w:val="00DB323A"/>
    <w:rsid w:val="00DB43F5"/>
    <w:rsid w:val="00DB50BC"/>
    <w:rsid w:val="00DB52B2"/>
    <w:rsid w:val="00DB596A"/>
    <w:rsid w:val="00DB5E91"/>
    <w:rsid w:val="00DB689B"/>
    <w:rsid w:val="00DB70A2"/>
    <w:rsid w:val="00DB70C5"/>
    <w:rsid w:val="00DB7EDE"/>
    <w:rsid w:val="00DC017A"/>
    <w:rsid w:val="00DC0358"/>
    <w:rsid w:val="00DC04F7"/>
    <w:rsid w:val="00DC23CC"/>
    <w:rsid w:val="00DC2574"/>
    <w:rsid w:val="00DC317B"/>
    <w:rsid w:val="00DC3518"/>
    <w:rsid w:val="00DC438B"/>
    <w:rsid w:val="00DC5D90"/>
    <w:rsid w:val="00DC6B12"/>
    <w:rsid w:val="00DC6DE0"/>
    <w:rsid w:val="00DC7AB3"/>
    <w:rsid w:val="00DD041E"/>
    <w:rsid w:val="00DD083E"/>
    <w:rsid w:val="00DD1518"/>
    <w:rsid w:val="00DD2100"/>
    <w:rsid w:val="00DD2D71"/>
    <w:rsid w:val="00DD3EDD"/>
    <w:rsid w:val="00DD42D0"/>
    <w:rsid w:val="00DD56F4"/>
    <w:rsid w:val="00DD6C1D"/>
    <w:rsid w:val="00DD72E7"/>
    <w:rsid w:val="00DE0793"/>
    <w:rsid w:val="00DE163F"/>
    <w:rsid w:val="00DE177A"/>
    <w:rsid w:val="00DE1ADB"/>
    <w:rsid w:val="00DE1C1E"/>
    <w:rsid w:val="00DE3451"/>
    <w:rsid w:val="00DE3766"/>
    <w:rsid w:val="00DE5265"/>
    <w:rsid w:val="00DE6356"/>
    <w:rsid w:val="00DF055F"/>
    <w:rsid w:val="00DF103F"/>
    <w:rsid w:val="00DF19C3"/>
    <w:rsid w:val="00DF2C66"/>
    <w:rsid w:val="00DF3401"/>
    <w:rsid w:val="00DF4C4F"/>
    <w:rsid w:val="00DF4F8D"/>
    <w:rsid w:val="00DF5CE7"/>
    <w:rsid w:val="00DF5FA8"/>
    <w:rsid w:val="00DF650C"/>
    <w:rsid w:val="00DF68D9"/>
    <w:rsid w:val="00DF6E50"/>
    <w:rsid w:val="00DF71BE"/>
    <w:rsid w:val="00DF7E44"/>
    <w:rsid w:val="00E0074F"/>
    <w:rsid w:val="00E0128B"/>
    <w:rsid w:val="00E015DC"/>
    <w:rsid w:val="00E023AC"/>
    <w:rsid w:val="00E0382E"/>
    <w:rsid w:val="00E040A3"/>
    <w:rsid w:val="00E04890"/>
    <w:rsid w:val="00E05041"/>
    <w:rsid w:val="00E05131"/>
    <w:rsid w:val="00E054CC"/>
    <w:rsid w:val="00E06510"/>
    <w:rsid w:val="00E10B4E"/>
    <w:rsid w:val="00E10D22"/>
    <w:rsid w:val="00E11021"/>
    <w:rsid w:val="00E11A32"/>
    <w:rsid w:val="00E12814"/>
    <w:rsid w:val="00E139DC"/>
    <w:rsid w:val="00E13AB1"/>
    <w:rsid w:val="00E14847"/>
    <w:rsid w:val="00E14DD2"/>
    <w:rsid w:val="00E14EF3"/>
    <w:rsid w:val="00E1517A"/>
    <w:rsid w:val="00E156F1"/>
    <w:rsid w:val="00E15D4C"/>
    <w:rsid w:val="00E16470"/>
    <w:rsid w:val="00E17B3D"/>
    <w:rsid w:val="00E17E53"/>
    <w:rsid w:val="00E20161"/>
    <w:rsid w:val="00E20443"/>
    <w:rsid w:val="00E204AC"/>
    <w:rsid w:val="00E210CA"/>
    <w:rsid w:val="00E2198B"/>
    <w:rsid w:val="00E21B85"/>
    <w:rsid w:val="00E21E59"/>
    <w:rsid w:val="00E220AC"/>
    <w:rsid w:val="00E2221A"/>
    <w:rsid w:val="00E225A2"/>
    <w:rsid w:val="00E22D73"/>
    <w:rsid w:val="00E22FFD"/>
    <w:rsid w:val="00E2369F"/>
    <w:rsid w:val="00E2377D"/>
    <w:rsid w:val="00E25293"/>
    <w:rsid w:val="00E270F8"/>
    <w:rsid w:val="00E2718E"/>
    <w:rsid w:val="00E27DDF"/>
    <w:rsid w:val="00E30104"/>
    <w:rsid w:val="00E302AC"/>
    <w:rsid w:val="00E306FE"/>
    <w:rsid w:val="00E3137F"/>
    <w:rsid w:val="00E3200E"/>
    <w:rsid w:val="00E320E5"/>
    <w:rsid w:val="00E3214E"/>
    <w:rsid w:val="00E33171"/>
    <w:rsid w:val="00E338B9"/>
    <w:rsid w:val="00E340AF"/>
    <w:rsid w:val="00E3543D"/>
    <w:rsid w:val="00E3547A"/>
    <w:rsid w:val="00E357C6"/>
    <w:rsid w:val="00E3685A"/>
    <w:rsid w:val="00E368BC"/>
    <w:rsid w:val="00E36F07"/>
    <w:rsid w:val="00E377E7"/>
    <w:rsid w:val="00E40FBC"/>
    <w:rsid w:val="00E41237"/>
    <w:rsid w:val="00E41562"/>
    <w:rsid w:val="00E41945"/>
    <w:rsid w:val="00E425F6"/>
    <w:rsid w:val="00E43000"/>
    <w:rsid w:val="00E430B7"/>
    <w:rsid w:val="00E43733"/>
    <w:rsid w:val="00E437C9"/>
    <w:rsid w:val="00E43D8E"/>
    <w:rsid w:val="00E44C25"/>
    <w:rsid w:val="00E452AA"/>
    <w:rsid w:val="00E458F1"/>
    <w:rsid w:val="00E459A3"/>
    <w:rsid w:val="00E45FA5"/>
    <w:rsid w:val="00E46BA2"/>
    <w:rsid w:val="00E46F9E"/>
    <w:rsid w:val="00E4769C"/>
    <w:rsid w:val="00E47D27"/>
    <w:rsid w:val="00E5157E"/>
    <w:rsid w:val="00E519F8"/>
    <w:rsid w:val="00E52979"/>
    <w:rsid w:val="00E53435"/>
    <w:rsid w:val="00E53894"/>
    <w:rsid w:val="00E53923"/>
    <w:rsid w:val="00E53EB8"/>
    <w:rsid w:val="00E546E5"/>
    <w:rsid w:val="00E54D46"/>
    <w:rsid w:val="00E56590"/>
    <w:rsid w:val="00E567C4"/>
    <w:rsid w:val="00E6027B"/>
    <w:rsid w:val="00E60538"/>
    <w:rsid w:val="00E61BCF"/>
    <w:rsid w:val="00E623A3"/>
    <w:rsid w:val="00E63147"/>
    <w:rsid w:val="00E636CF"/>
    <w:rsid w:val="00E64AFF"/>
    <w:rsid w:val="00E64EC9"/>
    <w:rsid w:val="00E659F9"/>
    <w:rsid w:val="00E65B73"/>
    <w:rsid w:val="00E65E85"/>
    <w:rsid w:val="00E665A2"/>
    <w:rsid w:val="00E66B4F"/>
    <w:rsid w:val="00E67081"/>
    <w:rsid w:val="00E67954"/>
    <w:rsid w:val="00E67EA2"/>
    <w:rsid w:val="00E701CD"/>
    <w:rsid w:val="00E708FB"/>
    <w:rsid w:val="00E718B3"/>
    <w:rsid w:val="00E721D3"/>
    <w:rsid w:val="00E73056"/>
    <w:rsid w:val="00E73561"/>
    <w:rsid w:val="00E73904"/>
    <w:rsid w:val="00E743E1"/>
    <w:rsid w:val="00E75734"/>
    <w:rsid w:val="00E75FD9"/>
    <w:rsid w:val="00E76F87"/>
    <w:rsid w:val="00E805C6"/>
    <w:rsid w:val="00E80731"/>
    <w:rsid w:val="00E80878"/>
    <w:rsid w:val="00E81A86"/>
    <w:rsid w:val="00E81A9B"/>
    <w:rsid w:val="00E82733"/>
    <w:rsid w:val="00E833B9"/>
    <w:rsid w:val="00E83702"/>
    <w:rsid w:val="00E84CAB"/>
    <w:rsid w:val="00E851E2"/>
    <w:rsid w:val="00E856A9"/>
    <w:rsid w:val="00E85B09"/>
    <w:rsid w:val="00E86684"/>
    <w:rsid w:val="00E87737"/>
    <w:rsid w:val="00E879E4"/>
    <w:rsid w:val="00E91A04"/>
    <w:rsid w:val="00E91EA2"/>
    <w:rsid w:val="00E9276F"/>
    <w:rsid w:val="00E92D4E"/>
    <w:rsid w:val="00E932CF"/>
    <w:rsid w:val="00E93AD9"/>
    <w:rsid w:val="00E94A74"/>
    <w:rsid w:val="00E954D4"/>
    <w:rsid w:val="00E96468"/>
    <w:rsid w:val="00E9798F"/>
    <w:rsid w:val="00E97D6A"/>
    <w:rsid w:val="00EA0838"/>
    <w:rsid w:val="00EA0AEB"/>
    <w:rsid w:val="00EA0B32"/>
    <w:rsid w:val="00EA16BA"/>
    <w:rsid w:val="00EA24B8"/>
    <w:rsid w:val="00EA39F9"/>
    <w:rsid w:val="00EA3E03"/>
    <w:rsid w:val="00EA44A0"/>
    <w:rsid w:val="00EA5886"/>
    <w:rsid w:val="00EA672C"/>
    <w:rsid w:val="00EA6F8A"/>
    <w:rsid w:val="00EA7446"/>
    <w:rsid w:val="00EA7786"/>
    <w:rsid w:val="00EB0954"/>
    <w:rsid w:val="00EB09B3"/>
    <w:rsid w:val="00EB14B2"/>
    <w:rsid w:val="00EB19FA"/>
    <w:rsid w:val="00EB35A1"/>
    <w:rsid w:val="00EB4620"/>
    <w:rsid w:val="00EB47A5"/>
    <w:rsid w:val="00EB5080"/>
    <w:rsid w:val="00EB5130"/>
    <w:rsid w:val="00EB54EE"/>
    <w:rsid w:val="00EB6E2D"/>
    <w:rsid w:val="00EB7061"/>
    <w:rsid w:val="00EB7721"/>
    <w:rsid w:val="00EB77E5"/>
    <w:rsid w:val="00EC0BBE"/>
    <w:rsid w:val="00EC2EBA"/>
    <w:rsid w:val="00EC4C03"/>
    <w:rsid w:val="00EC4CC2"/>
    <w:rsid w:val="00EC51C2"/>
    <w:rsid w:val="00EC555E"/>
    <w:rsid w:val="00EC627A"/>
    <w:rsid w:val="00EC6AE6"/>
    <w:rsid w:val="00EC6F01"/>
    <w:rsid w:val="00ED0EDA"/>
    <w:rsid w:val="00ED10D8"/>
    <w:rsid w:val="00ED2785"/>
    <w:rsid w:val="00ED3241"/>
    <w:rsid w:val="00ED4197"/>
    <w:rsid w:val="00ED4332"/>
    <w:rsid w:val="00ED5E8B"/>
    <w:rsid w:val="00ED66CB"/>
    <w:rsid w:val="00ED674C"/>
    <w:rsid w:val="00ED67A7"/>
    <w:rsid w:val="00ED7175"/>
    <w:rsid w:val="00EE1A19"/>
    <w:rsid w:val="00EE1FD6"/>
    <w:rsid w:val="00EE2393"/>
    <w:rsid w:val="00EE441F"/>
    <w:rsid w:val="00EE4B73"/>
    <w:rsid w:val="00EE4EF8"/>
    <w:rsid w:val="00EE5561"/>
    <w:rsid w:val="00EE6953"/>
    <w:rsid w:val="00EE70D8"/>
    <w:rsid w:val="00EF0439"/>
    <w:rsid w:val="00EF2ABE"/>
    <w:rsid w:val="00EF2C1C"/>
    <w:rsid w:val="00EF2CEE"/>
    <w:rsid w:val="00EF432A"/>
    <w:rsid w:val="00EF49CA"/>
    <w:rsid w:val="00EF4C5C"/>
    <w:rsid w:val="00EF4F82"/>
    <w:rsid w:val="00EF57F3"/>
    <w:rsid w:val="00EF5FD9"/>
    <w:rsid w:val="00EF64EE"/>
    <w:rsid w:val="00F00BA7"/>
    <w:rsid w:val="00F00BFF"/>
    <w:rsid w:val="00F00EB6"/>
    <w:rsid w:val="00F00F7D"/>
    <w:rsid w:val="00F01674"/>
    <w:rsid w:val="00F0235D"/>
    <w:rsid w:val="00F0248B"/>
    <w:rsid w:val="00F02864"/>
    <w:rsid w:val="00F02DB6"/>
    <w:rsid w:val="00F02E35"/>
    <w:rsid w:val="00F0321C"/>
    <w:rsid w:val="00F043CD"/>
    <w:rsid w:val="00F045AE"/>
    <w:rsid w:val="00F046FB"/>
    <w:rsid w:val="00F04CA5"/>
    <w:rsid w:val="00F04E91"/>
    <w:rsid w:val="00F075A6"/>
    <w:rsid w:val="00F11596"/>
    <w:rsid w:val="00F116AA"/>
    <w:rsid w:val="00F1306C"/>
    <w:rsid w:val="00F135C7"/>
    <w:rsid w:val="00F13DD6"/>
    <w:rsid w:val="00F14569"/>
    <w:rsid w:val="00F1491F"/>
    <w:rsid w:val="00F14A0B"/>
    <w:rsid w:val="00F152C4"/>
    <w:rsid w:val="00F15A1D"/>
    <w:rsid w:val="00F174A4"/>
    <w:rsid w:val="00F17CBA"/>
    <w:rsid w:val="00F2030B"/>
    <w:rsid w:val="00F2053C"/>
    <w:rsid w:val="00F2163D"/>
    <w:rsid w:val="00F22A5A"/>
    <w:rsid w:val="00F22C74"/>
    <w:rsid w:val="00F22E0C"/>
    <w:rsid w:val="00F23A9A"/>
    <w:rsid w:val="00F24DED"/>
    <w:rsid w:val="00F2587C"/>
    <w:rsid w:val="00F25BFA"/>
    <w:rsid w:val="00F2638E"/>
    <w:rsid w:val="00F3054A"/>
    <w:rsid w:val="00F30AEA"/>
    <w:rsid w:val="00F31081"/>
    <w:rsid w:val="00F33003"/>
    <w:rsid w:val="00F33974"/>
    <w:rsid w:val="00F33C06"/>
    <w:rsid w:val="00F33DBF"/>
    <w:rsid w:val="00F345BC"/>
    <w:rsid w:val="00F35877"/>
    <w:rsid w:val="00F3754C"/>
    <w:rsid w:val="00F37916"/>
    <w:rsid w:val="00F40597"/>
    <w:rsid w:val="00F4076F"/>
    <w:rsid w:val="00F40A06"/>
    <w:rsid w:val="00F41384"/>
    <w:rsid w:val="00F41850"/>
    <w:rsid w:val="00F41ACD"/>
    <w:rsid w:val="00F41AD2"/>
    <w:rsid w:val="00F41D4F"/>
    <w:rsid w:val="00F4204A"/>
    <w:rsid w:val="00F420BB"/>
    <w:rsid w:val="00F435B4"/>
    <w:rsid w:val="00F44614"/>
    <w:rsid w:val="00F44797"/>
    <w:rsid w:val="00F44A47"/>
    <w:rsid w:val="00F457D4"/>
    <w:rsid w:val="00F45DB1"/>
    <w:rsid w:val="00F46296"/>
    <w:rsid w:val="00F46762"/>
    <w:rsid w:val="00F47946"/>
    <w:rsid w:val="00F47B52"/>
    <w:rsid w:val="00F509D3"/>
    <w:rsid w:val="00F51ECB"/>
    <w:rsid w:val="00F52145"/>
    <w:rsid w:val="00F52CFA"/>
    <w:rsid w:val="00F53286"/>
    <w:rsid w:val="00F53673"/>
    <w:rsid w:val="00F536C7"/>
    <w:rsid w:val="00F538B5"/>
    <w:rsid w:val="00F53D1F"/>
    <w:rsid w:val="00F53FDF"/>
    <w:rsid w:val="00F54178"/>
    <w:rsid w:val="00F544DB"/>
    <w:rsid w:val="00F547E8"/>
    <w:rsid w:val="00F5512F"/>
    <w:rsid w:val="00F55796"/>
    <w:rsid w:val="00F558AE"/>
    <w:rsid w:val="00F55B82"/>
    <w:rsid w:val="00F56AF1"/>
    <w:rsid w:val="00F603DE"/>
    <w:rsid w:val="00F60E9C"/>
    <w:rsid w:val="00F6157A"/>
    <w:rsid w:val="00F61633"/>
    <w:rsid w:val="00F624DC"/>
    <w:rsid w:val="00F63A1C"/>
    <w:rsid w:val="00F6430B"/>
    <w:rsid w:val="00F64DA2"/>
    <w:rsid w:val="00F651DE"/>
    <w:rsid w:val="00F66D90"/>
    <w:rsid w:val="00F67E4E"/>
    <w:rsid w:val="00F70132"/>
    <w:rsid w:val="00F7032C"/>
    <w:rsid w:val="00F70F8F"/>
    <w:rsid w:val="00F70FBB"/>
    <w:rsid w:val="00F73A9B"/>
    <w:rsid w:val="00F73D31"/>
    <w:rsid w:val="00F7496C"/>
    <w:rsid w:val="00F751DC"/>
    <w:rsid w:val="00F75291"/>
    <w:rsid w:val="00F7630C"/>
    <w:rsid w:val="00F76FAC"/>
    <w:rsid w:val="00F77B0E"/>
    <w:rsid w:val="00F77C83"/>
    <w:rsid w:val="00F80E64"/>
    <w:rsid w:val="00F81476"/>
    <w:rsid w:val="00F8167E"/>
    <w:rsid w:val="00F82E54"/>
    <w:rsid w:val="00F838B6"/>
    <w:rsid w:val="00F83F5C"/>
    <w:rsid w:val="00F848EC"/>
    <w:rsid w:val="00F85349"/>
    <w:rsid w:val="00F85AC0"/>
    <w:rsid w:val="00F85F1F"/>
    <w:rsid w:val="00F86521"/>
    <w:rsid w:val="00F86807"/>
    <w:rsid w:val="00F86A20"/>
    <w:rsid w:val="00F871F3"/>
    <w:rsid w:val="00F874E9"/>
    <w:rsid w:val="00F87CA4"/>
    <w:rsid w:val="00F901A9"/>
    <w:rsid w:val="00F901EB"/>
    <w:rsid w:val="00F909F7"/>
    <w:rsid w:val="00F90AB8"/>
    <w:rsid w:val="00F90BF9"/>
    <w:rsid w:val="00F91E50"/>
    <w:rsid w:val="00F92748"/>
    <w:rsid w:val="00F9488A"/>
    <w:rsid w:val="00F949DA"/>
    <w:rsid w:val="00F95059"/>
    <w:rsid w:val="00F95C57"/>
    <w:rsid w:val="00F96407"/>
    <w:rsid w:val="00F96569"/>
    <w:rsid w:val="00F96D89"/>
    <w:rsid w:val="00F97215"/>
    <w:rsid w:val="00FA1407"/>
    <w:rsid w:val="00FA24DF"/>
    <w:rsid w:val="00FA296D"/>
    <w:rsid w:val="00FA2A0C"/>
    <w:rsid w:val="00FA2CF4"/>
    <w:rsid w:val="00FA3E01"/>
    <w:rsid w:val="00FA471C"/>
    <w:rsid w:val="00FA5836"/>
    <w:rsid w:val="00FA7C6C"/>
    <w:rsid w:val="00FB0569"/>
    <w:rsid w:val="00FB05FB"/>
    <w:rsid w:val="00FB0829"/>
    <w:rsid w:val="00FB1AC4"/>
    <w:rsid w:val="00FB20F7"/>
    <w:rsid w:val="00FB26E2"/>
    <w:rsid w:val="00FB2AC6"/>
    <w:rsid w:val="00FB39F5"/>
    <w:rsid w:val="00FB42E2"/>
    <w:rsid w:val="00FB445E"/>
    <w:rsid w:val="00FB4AD6"/>
    <w:rsid w:val="00FB5398"/>
    <w:rsid w:val="00FB5AD1"/>
    <w:rsid w:val="00FB629C"/>
    <w:rsid w:val="00FB714E"/>
    <w:rsid w:val="00FB7E19"/>
    <w:rsid w:val="00FB7F63"/>
    <w:rsid w:val="00FC13AF"/>
    <w:rsid w:val="00FC1AF2"/>
    <w:rsid w:val="00FC1DF9"/>
    <w:rsid w:val="00FC393F"/>
    <w:rsid w:val="00FC441C"/>
    <w:rsid w:val="00FC4897"/>
    <w:rsid w:val="00FC5164"/>
    <w:rsid w:val="00FC51EB"/>
    <w:rsid w:val="00FD0149"/>
    <w:rsid w:val="00FD0507"/>
    <w:rsid w:val="00FD0FFE"/>
    <w:rsid w:val="00FD1064"/>
    <w:rsid w:val="00FD1769"/>
    <w:rsid w:val="00FD18C9"/>
    <w:rsid w:val="00FD195E"/>
    <w:rsid w:val="00FD1D50"/>
    <w:rsid w:val="00FD2030"/>
    <w:rsid w:val="00FD29C0"/>
    <w:rsid w:val="00FD2D60"/>
    <w:rsid w:val="00FD37B4"/>
    <w:rsid w:val="00FD47A0"/>
    <w:rsid w:val="00FD4C1B"/>
    <w:rsid w:val="00FD55C8"/>
    <w:rsid w:val="00FD5FBA"/>
    <w:rsid w:val="00FD6F0A"/>
    <w:rsid w:val="00FE0858"/>
    <w:rsid w:val="00FE1A38"/>
    <w:rsid w:val="00FE1CCF"/>
    <w:rsid w:val="00FE30E0"/>
    <w:rsid w:val="00FE3F0D"/>
    <w:rsid w:val="00FE52C1"/>
    <w:rsid w:val="00FE52C2"/>
    <w:rsid w:val="00FE556A"/>
    <w:rsid w:val="00FE6318"/>
    <w:rsid w:val="00FE6858"/>
    <w:rsid w:val="00FE6881"/>
    <w:rsid w:val="00FE6BE3"/>
    <w:rsid w:val="00FE6C7D"/>
    <w:rsid w:val="00FE712C"/>
    <w:rsid w:val="00FE71B4"/>
    <w:rsid w:val="00FF0880"/>
    <w:rsid w:val="00FF16F8"/>
    <w:rsid w:val="00FF1A92"/>
    <w:rsid w:val="00FF1DAC"/>
    <w:rsid w:val="00FF32DA"/>
    <w:rsid w:val="00FF36D3"/>
    <w:rsid w:val="00FF41E2"/>
    <w:rsid w:val="00FF7D9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4"/>
    <o:shapelayout v:ext="edit">
      <o:idmap v:ext="edit" data="1"/>
      <o:rules v:ext="edit">
        <o:r id="V:Rule1" type="connector" idref="#_x0000_s1026"/>
        <o:r id="V:Rule2" type="connector" idref="#_x0000_s1028"/>
        <o:r id="V:Rule3" type="connector" idref="#_x0000_s1027"/>
      </o:rules>
    </o:shapelayout>
  </w:shapeDefaults>
  <w:decimalSymbol w:val=","/>
  <w:listSeparator w:val=";"/>
  <w15:docId w15:val="{A96819BB-345F-43ED-AC26-C45A20D69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542E27"/>
  </w:style>
  <w:style w:type="paragraph" w:styleId="10">
    <w:name w:val="heading 1"/>
    <w:aliases w:val="Заг 1,H1,Заголов,Раздел"/>
    <w:basedOn w:val="a2"/>
    <w:next w:val="a2"/>
    <w:link w:val="11"/>
    <w:uiPriority w:val="99"/>
    <w:qFormat/>
    <w:rsid w:val="00623BCD"/>
    <w:pPr>
      <w:keepNext/>
      <w:jc w:val="center"/>
      <w:outlineLvl w:val="0"/>
    </w:pPr>
    <w:rPr>
      <w:b/>
      <w:kern w:val="32"/>
      <w:sz w:val="28"/>
      <w:lang w:eastAsia="zh-CN"/>
    </w:rPr>
  </w:style>
  <w:style w:type="paragraph" w:styleId="20">
    <w:name w:val="heading 2"/>
    <w:aliases w:val="Заг 2,БП Заголовок 2 нум,Знак11"/>
    <w:basedOn w:val="a2"/>
    <w:next w:val="a2"/>
    <w:link w:val="21"/>
    <w:uiPriority w:val="99"/>
    <w:qFormat/>
    <w:rsid w:val="00084E8E"/>
    <w:pPr>
      <w:jc w:val="center"/>
      <w:outlineLvl w:val="1"/>
    </w:pPr>
    <w:rPr>
      <w:b/>
      <w:kern w:val="36"/>
      <w:sz w:val="28"/>
    </w:rPr>
  </w:style>
  <w:style w:type="paragraph" w:styleId="31">
    <w:name w:val="heading 3"/>
    <w:aliases w:val="Заг 3,Заголовок 3 Знак Знак Знак Знак Знак Знак Знак Знак Знак,Заголовок 3 Знак Знак Знак Знак Знак Знак Знак Знак Знак Знак Знак Знак Знак Знак Знак Знак Знак Знак Знак,БП Заголовок 3,Знак10,Знак101"/>
    <w:basedOn w:val="a2"/>
    <w:next w:val="a2"/>
    <w:link w:val="32"/>
    <w:uiPriority w:val="99"/>
    <w:qFormat/>
    <w:rsid w:val="009008E9"/>
    <w:pPr>
      <w:jc w:val="center"/>
      <w:outlineLvl w:val="2"/>
    </w:pPr>
    <w:rPr>
      <w:b/>
      <w:i/>
      <w:sz w:val="28"/>
      <w:szCs w:val="28"/>
      <w:lang w:eastAsia="en-US"/>
    </w:rPr>
  </w:style>
  <w:style w:type="paragraph" w:styleId="4">
    <w:name w:val="heading 4"/>
    <w:aliases w:val="Заг 4,Название таблицы,рисунка,Знак9,Знак91"/>
    <w:basedOn w:val="a2"/>
    <w:next w:val="a2"/>
    <w:link w:val="40"/>
    <w:uiPriority w:val="99"/>
    <w:qFormat/>
    <w:rsid w:val="00644327"/>
    <w:pPr>
      <w:keepNext/>
      <w:keepLines/>
      <w:spacing w:after="120"/>
      <w:ind w:firstLine="709"/>
      <w:jc w:val="both"/>
      <w:outlineLvl w:val="3"/>
    </w:pPr>
    <w:rPr>
      <w:rFonts w:eastAsia="MS Mincho"/>
      <w:b/>
      <w:bCs/>
      <w:i/>
      <w:iCs/>
      <w:sz w:val="28"/>
      <w:szCs w:val="28"/>
    </w:rPr>
  </w:style>
  <w:style w:type="paragraph" w:styleId="5">
    <w:name w:val="heading 5"/>
    <w:basedOn w:val="a2"/>
    <w:next w:val="a2"/>
    <w:link w:val="50"/>
    <w:uiPriority w:val="99"/>
    <w:qFormat/>
    <w:rsid w:val="001E2A0C"/>
    <w:pPr>
      <w:keepNext/>
      <w:tabs>
        <w:tab w:val="num" w:pos="1008"/>
      </w:tabs>
      <w:ind w:left="1008" w:hanging="1008"/>
      <w:outlineLvl w:val="4"/>
    </w:pPr>
    <w:rPr>
      <w:i/>
      <w:iCs/>
      <w:color w:val="000000"/>
      <w:sz w:val="24"/>
      <w:szCs w:val="24"/>
    </w:rPr>
  </w:style>
  <w:style w:type="paragraph" w:styleId="6">
    <w:name w:val="heading 6"/>
    <w:basedOn w:val="a3"/>
    <w:next w:val="a2"/>
    <w:link w:val="60"/>
    <w:uiPriority w:val="99"/>
    <w:qFormat/>
    <w:rsid w:val="006F233D"/>
    <w:pPr>
      <w:outlineLvl w:val="5"/>
    </w:pPr>
    <w:rPr>
      <w:bCs/>
      <w:noProof/>
      <w:lang w:eastAsia="en-US"/>
    </w:rPr>
  </w:style>
  <w:style w:type="paragraph" w:styleId="7">
    <w:name w:val="heading 7"/>
    <w:basedOn w:val="a2"/>
    <w:next w:val="a2"/>
    <w:link w:val="70"/>
    <w:uiPriority w:val="99"/>
    <w:qFormat/>
    <w:rsid w:val="001E2A0C"/>
    <w:pPr>
      <w:tabs>
        <w:tab w:val="num" w:pos="1296"/>
      </w:tabs>
      <w:spacing w:before="240" w:after="60"/>
      <w:ind w:left="1296" w:hanging="1296"/>
      <w:outlineLvl w:val="6"/>
    </w:pPr>
    <w:rPr>
      <w:sz w:val="24"/>
      <w:szCs w:val="24"/>
    </w:rPr>
  </w:style>
  <w:style w:type="paragraph" w:styleId="8">
    <w:name w:val="heading 8"/>
    <w:basedOn w:val="a2"/>
    <w:next w:val="a2"/>
    <w:link w:val="80"/>
    <w:uiPriority w:val="99"/>
    <w:qFormat/>
    <w:rsid w:val="001E2A0C"/>
    <w:pPr>
      <w:tabs>
        <w:tab w:val="num" w:pos="1440"/>
      </w:tabs>
      <w:spacing w:before="240" w:after="60"/>
      <w:ind w:left="1440" w:hanging="1440"/>
      <w:outlineLvl w:val="7"/>
    </w:pPr>
    <w:rPr>
      <w:i/>
      <w:iCs/>
      <w:sz w:val="24"/>
      <w:szCs w:val="24"/>
    </w:rPr>
  </w:style>
  <w:style w:type="paragraph" w:styleId="9">
    <w:name w:val="heading 9"/>
    <w:aliases w:val="Номер таблицы,приложение,Знак8,Знак81"/>
    <w:basedOn w:val="a2"/>
    <w:next w:val="a2"/>
    <w:link w:val="90"/>
    <w:uiPriority w:val="99"/>
    <w:qFormat/>
    <w:rsid w:val="001E2A0C"/>
    <w:pPr>
      <w:tabs>
        <w:tab w:val="num" w:pos="1584"/>
      </w:tabs>
      <w:spacing w:before="240" w:after="60"/>
      <w:ind w:left="1584" w:hanging="1584"/>
      <w:outlineLvl w:val="8"/>
    </w:pPr>
    <w:rPr>
      <w:rFonts w:ascii="Arial" w:hAnsi="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Heading1Char">
    <w:name w:val="Heading 1 Char"/>
    <w:aliases w:val="Заг 1 Char,H1 Char,Заголов Char,Раздел Char"/>
    <w:uiPriority w:val="99"/>
    <w:locked/>
    <w:rsid w:val="00B9238C"/>
    <w:rPr>
      <w:rFonts w:ascii="Arial" w:hAnsi="Arial" w:cs="Times New Roman"/>
      <w:b/>
      <w:kern w:val="28"/>
      <w:sz w:val="20"/>
    </w:rPr>
  </w:style>
  <w:style w:type="character" w:customStyle="1" w:styleId="Heading2Char">
    <w:name w:val="Heading 2 Char"/>
    <w:aliases w:val="Заг 2 Char,БП Заголовок 2 нум Char,Знак11 Char"/>
    <w:uiPriority w:val="99"/>
    <w:locked/>
    <w:rsid w:val="00B9238C"/>
    <w:rPr>
      <w:rFonts w:ascii="Times New Roman" w:hAnsi="Times New Roman" w:cs="Times New Roman"/>
      <w:b/>
      <w:sz w:val="20"/>
    </w:rPr>
  </w:style>
  <w:style w:type="character" w:customStyle="1" w:styleId="32">
    <w:name w:val="Заголовок 3 Знак"/>
    <w:aliases w:val="Заг 3 Знак,Заголовок 3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БП Заголовок 3 Знак,Знак10 Знак2,Знак101 Знак"/>
    <w:link w:val="31"/>
    <w:uiPriority w:val="99"/>
    <w:locked/>
    <w:rsid w:val="009008E9"/>
    <w:rPr>
      <w:rFonts w:eastAsia="Times New Roman" w:cs="Times New Roman"/>
      <w:b/>
      <w:i/>
      <w:sz w:val="28"/>
      <w:lang w:eastAsia="en-US"/>
    </w:rPr>
  </w:style>
  <w:style w:type="character" w:customStyle="1" w:styleId="40">
    <w:name w:val="Заголовок 4 Знак"/>
    <w:aliases w:val="Заг 4 Знак,Название таблицы Знак,рисунка Знак,Знак9 Знак,Знак91 Знак"/>
    <w:link w:val="4"/>
    <w:uiPriority w:val="99"/>
    <w:locked/>
    <w:rsid w:val="00644327"/>
    <w:rPr>
      <w:rFonts w:eastAsia="MS Mincho" w:cs="Times New Roman"/>
      <w:b/>
      <w:i/>
      <w:sz w:val="28"/>
    </w:rPr>
  </w:style>
  <w:style w:type="character" w:customStyle="1" w:styleId="50">
    <w:name w:val="Заголовок 5 Знак"/>
    <w:link w:val="5"/>
    <w:uiPriority w:val="99"/>
    <w:locked/>
    <w:rsid w:val="001E2A0C"/>
    <w:rPr>
      <w:rFonts w:cs="Times New Roman"/>
      <w:i/>
      <w:color w:val="000000"/>
      <w:sz w:val="24"/>
    </w:rPr>
  </w:style>
  <w:style w:type="character" w:customStyle="1" w:styleId="60">
    <w:name w:val="Заголовок 6 Знак"/>
    <w:link w:val="6"/>
    <w:uiPriority w:val="99"/>
    <w:locked/>
    <w:rsid w:val="006F233D"/>
    <w:rPr>
      <w:rFonts w:eastAsia="Times New Roman" w:cs="Times New Roman"/>
      <w:noProof/>
      <w:sz w:val="28"/>
      <w:shd w:val="clear" w:color="auto" w:fill="FFFFFF"/>
      <w:lang w:eastAsia="en-US"/>
    </w:rPr>
  </w:style>
  <w:style w:type="character" w:customStyle="1" w:styleId="70">
    <w:name w:val="Заголовок 7 Знак"/>
    <w:link w:val="7"/>
    <w:uiPriority w:val="99"/>
    <w:locked/>
    <w:rsid w:val="001E2A0C"/>
    <w:rPr>
      <w:rFonts w:cs="Times New Roman"/>
      <w:sz w:val="24"/>
    </w:rPr>
  </w:style>
  <w:style w:type="character" w:customStyle="1" w:styleId="80">
    <w:name w:val="Заголовок 8 Знак"/>
    <w:link w:val="8"/>
    <w:uiPriority w:val="99"/>
    <w:locked/>
    <w:rsid w:val="001E2A0C"/>
    <w:rPr>
      <w:rFonts w:cs="Times New Roman"/>
      <w:i/>
      <w:sz w:val="24"/>
    </w:rPr>
  </w:style>
  <w:style w:type="character" w:customStyle="1" w:styleId="90">
    <w:name w:val="Заголовок 9 Знак"/>
    <w:aliases w:val="Номер таблицы Знак,приложение Знак,Знак8 Знак,Знак81 Знак"/>
    <w:link w:val="9"/>
    <w:uiPriority w:val="99"/>
    <w:locked/>
    <w:rsid w:val="001E2A0C"/>
    <w:rPr>
      <w:rFonts w:ascii="Arial" w:hAnsi="Arial" w:cs="Times New Roman"/>
      <w:sz w:val="22"/>
    </w:rPr>
  </w:style>
  <w:style w:type="character" w:customStyle="1" w:styleId="11">
    <w:name w:val="Заголовок 1 Знак"/>
    <w:aliases w:val="Заг 1 Знак,H1 Знак,Заголов Знак,Раздел Знак"/>
    <w:link w:val="10"/>
    <w:uiPriority w:val="99"/>
    <w:locked/>
    <w:rsid w:val="00623BCD"/>
    <w:rPr>
      <w:rFonts w:eastAsia="Times New Roman"/>
      <w:b/>
      <w:kern w:val="32"/>
      <w:sz w:val="28"/>
      <w:lang w:eastAsia="zh-CN"/>
    </w:rPr>
  </w:style>
  <w:style w:type="character" w:customStyle="1" w:styleId="21">
    <w:name w:val="Заголовок 2 Знак"/>
    <w:aliases w:val="Заг 2 Знак,БП Заголовок 2 нум Знак,Знак11 Знак1"/>
    <w:link w:val="20"/>
    <w:uiPriority w:val="99"/>
    <w:locked/>
    <w:rsid w:val="00084E8E"/>
    <w:rPr>
      <w:rFonts w:eastAsia="Times New Roman"/>
      <w:b/>
      <w:kern w:val="36"/>
      <w:sz w:val="28"/>
    </w:rPr>
  </w:style>
  <w:style w:type="paragraph" w:customStyle="1" w:styleId="12">
    <w:name w:val="Обычный1"/>
    <w:uiPriority w:val="99"/>
    <w:rsid w:val="00EF49CA"/>
    <w:pPr>
      <w:widowControl w:val="0"/>
      <w:spacing w:line="280" w:lineRule="auto"/>
      <w:ind w:left="1080" w:firstLine="320"/>
      <w:jc w:val="both"/>
    </w:pPr>
    <w:rPr>
      <w:rFonts w:ascii="Arial" w:hAnsi="Arial"/>
    </w:rPr>
  </w:style>
  <w:style w:type="paragraph" w:customStyle="1" w:styleId="FR1">
    <w:name w:val="FR1"/>
    <w:uiPriority w:val="99"/>
    <w:rsid w:val="00EF49CA"/>
    <w:pPr>
      <w:widowControl w:val="0"/>
    </w:pPr>
    <w:rPr>
      <w:sz w:val="16"/>
    </w:rPr>
  </w:style>
  <w:style w:type="paragraph" w:customStyle="1" w:styleId="FR2">
    <w:name w:val="FR2"/>
    <w:uiPriority w:val="99"/>
    <w:rsid w:val="00EF49CA"/>
    <w:pPr>
      <w:widowControl w:val="0"/>
      <w:spacing w:before="120"/>
      <w:ind w:left="1640"/>
    </w:pPr>
    <w:rPr>
      <w:rFonts w:ascii="Courier New" w:hAnsi="Courier New"/>
      <w:b/>
      <w:sz w:val="16"/>
    </w:rPr>
  </w:style>
  <w:style w:type="paragraph" w:customStyle="1" w:styleId="FR3">
    <w:name w:val="FR3"/>
    <w:uiPriority w:val="99"/>
    <w:rsid w:val="00EF49CA"/>
    <w:pPr>
      <w:widowControl w:val="0"/>
    </w:pPr>
    <w:rPr>
      <w:rFonts w:ascii="Arial" w:hAnsi="Arial"/>
      <w:sz w:val="12"/>
    </w:rPr>
  </w:style>
  <w:style w:type="paragraph" w:customStyle="1" w:styleId="FR4">
    <w:name w:val="FR4"/>
    <w:uiPriority w:val="99"/>
    <w:rsid w:val="00EF49CA"/>
    <w:pPr>
      <w:widowControl w:val="0"/>
    </w:pPr>
    <w:rPr>
      <w:rFonts w:ascii="Courier New" w:hAnsi="Courier New"/>
      <w:sz w:val="12"/>
    </w:rPr>
  </w:style>
  <w:style w:type="paragraph" w:styleId="a7">
    <w:name w:val="footer"/>
    <w:aliases w:val="Знак1"/>
    <w:basedOn w:val="a2"/>
    <w:link w:val="a8"/>
    <w:uiPriority w:val="99"/>
    <w:rsid w:val="007B46ED"/>
    <w:pPr>
      <w:tabs>
        <w:tab w:val="center" w:pos="4677"/>
        <w:tab w:val="right" w:pos="9355"/>
      </w:tabs>
    </w:pPr>
  </w:style>
  <w:style w:type="character" w:customStyle="1" w:styleId="FooterChar">
    <w:name w:val="Footer Char"/>
    <w:aliases w:val="Знак1 Char"/>
    <w:uiPriority w:val="99"/>
    <w:locked/>
    <w:rsid w:val="00B9238C"/>
    <w:rPr>
      <w:rFonts w:ascii="Times New Roman" w:hAnsi="Times New Roman" w:cs="Times New Roman"/>
      <w:sz w:val="20"/>
    </w:rPr>
  </w:style>
  <w:style w:type="character" w:customStyle="1" w:styleId="a8">
    <w:name w:val="Нижний колонтитул Знак"/>
    <w:aliases w:val="Знак1 Знак"/>
    <w:link w:val="a7"/>
    <w:uiPriority w:val="99"/>
    <w:locked/>
    <w:rsid w:val="00D7306D"/>
    <w:rPr>
      <w:rFonts w:cs="Times New Roman"/>
    </w:rPr>
  </w:style>
  <w:style w:type="character" w:styleId="a9">
    <w:name w:val="page number"/>
    <w:uiPriority w:val="99"/>
    <w:rsid w:val="007B46ED"/>
    <w:rPr>
      <w:rFonts w:cs="Times New Roman"/>
    </w:rPr>
  </w:style>
  <w:style w:type="table" w:styleId="aa">
    <w:name w:val="Table Grid"/>
    <w:basedOn w:val="a5"/>
    <w:uiPriority w:val="99"/>
    <w:rsid w:val="00AE33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Hyperlink"/>
    <w:uiPriority w:val="99"/>
    <w:rsid w:val="00CC7A8D"/>
    <w:rPr>
      <w:rFonts w:cs="Times New Roman"/>
      <w:color w:val="0000FF"/>
      <w:u w:val="single"/>
    </w:rPr>
  </w:style>
  <w:style w:type="paragraph" w:styleId="33">
    <w:name w:val="toc 3"/>
    <w:basedOn w:val="a2"/>
    <w:next w:val="a2"/>
    <w:autoRedefine/>
    <w:uiPriority w:val="99"/>
    <w:rsid w:val="006A566B"/>
    <w:pPr>
      <w:ind w:left="1134"/>
    </w:pPr>
    <w:rPr>
      <w:sz w:val="24"/>
    </w:rPr>
  </w:style>
  <w:style w:type="paragraph" w:styleId="22">
    <w:name w:val="toc 2"/>
    <w:basedOn w:val="a2"/>
    <w:next w:val="a2"/>
    <w:autoRedefine/>
    <w:uiPriority w:val="99"/>
    <w:rsid w:val="001769FB"/>
    <w:pPr>
      <w:spacing w:before="60"/>
      <w:ind w:left="624"/>
    </w:pPr>
    <w:rPr>
      <w:sz w:val="26"/>
    </w:rPr>
  </w:style>
  <w:style w:type="paragraph" w:styleId="13">
    <w:name w:val="toc 1"/>
    <w:basedOn w:val="a2"/>
    <w:next w:val="a2"/>
    <w:link w:val="14"/>
    <w:autoRedefine/>
    <w:uiPriority w:val="99"/>
    <w:rsid w:val="00B94D1C"/>
    <w:pPr>
      <w:tabs>
        <w:tab w:val="right" w:leader="dot" w:pos="9911"/>
      </w:tabs>
      <w:spacing w:before="180"/>
      <w:jc w:val="center"/>
    </w:pPr>
    <w:rPr>
      <w:b/>
      <w:sz w:val="28"/>
    </w:rPr>
  </w:style>
  <w:style w:type="paragraph" w:styleId="ac">
    <w:name w:val="Plain Text"/>
    <w:basedOn w:val="a2"/>
    <w:link w:val="ad"/>
    <w:uiPriority w:val="99"/>
    <w:rsid w:val="00D7306D"/>
    <w:rPr>
      <w:rFonts w:ascii="Consolas" w:hAnsi="Consolas"/>
      <w:sz w:val="21"/>
      <w:lang w:eastAsia="en-US"/>
    </w:rPr>
  </w:style>
  <w:style w:type="character" w:customStyle="1" w:styleId="PlainTextChar">
    <w:name w:val="Plain Text Char"/>
    <w:uiPriority w:val="99"/>
    <w:locked/>
    <w:rsid w:val="008F529B"/>
    <w:rPr>
      <w:rFonts w:ascii="Courier New" w:hAnsi="Courier New" w:cs="Times New Roman"/>
      <w:lang w:val="ru-RU" w:eastAsia="ru-RU"/>
    </w:rPr>
  </w:style>
  <w:style w:type="character" w:customStyle="1" w:styleId="ad">
    <w:name w:val="Текст Знак"/>
    <w:link w:val="ac"/>
    <w:uiPriority w:val="99"/>
    <w:locked/>
    <w:rsid w:val="00D7306D"/>
    <w:rPr>
      <w:rFonts w:ascii="Consolas" w:hAnsi="Consolas"/>
      <w:sz w:val="21"/>
      <w:lang w:eastAsia="en-US"/>
    </w:rPr>
  </w:style>
  <w:style w:type="paragraph" w:styleId="ae">
    <w:name w:val="header"/>
    <w:aliases w:val="Знак12"/>
    <w:basedOn w:val="a2"/>
    <w:link w:val="af"/>
    <w:uiPriority w:val="99"/>
    <w:rsid w:val="00D7306D"/>
    <w:pPr>
      <w:tabs>
        <w:tab w:val="center" w:pos="4677"/>
        <w:tab w:val="right" w:pos="9355"/>
      </w:tabs>
    </w:pPr>
    <w:rPr>
      <w:rFonts w:ascii="Verdana" w:hAnsi="Verdana"/>
      <w:sz w:val="24"/>
      <w:lang w:eastAsia="en-US"/>
    </w:rPr>
  </w:style>
  <w:style w:type="character" w:customStyle="1" w:styleId="HeaderChar">
    <w:name w:val="Header Char"/>
    <w:aliases w:val="Знак12 Char"/>
    <w:uiPriority w:val="99"/>
    <w:locked/>
    <w:rsid w:val="00B9238C"/>
    <w:rPr>
      <w:rFonts w:ascii="Times New Roman" w:hAnsi="Times New Roman" w:cs="Times New Roman"/>
      <w:sz w:val="20"/>
    </w:rPr>
  </w:style>
  <w:style w:type="character" w:customStyle="1" w:styleId="af">
    <w:name w:val="Верхний колонтитул Знак"/>
    <w:aliases w:val="Знак12 Знак"/>
    <w:link w:val="ae"/>
    <w:uiPriority w:val="99"/>
    <w:locked/>
    <w:rsid w:val="00D7306D"/>
    <w:rPr>
      <w:rFonts w:ascii="Verdana" w:hAnsi="Verdana"/>
      <w:sz w:val="24"/>
      <w:lang w:eastAsia="en-US"/>
    </w:rPr>
  </w:style>
  <w:style w:type="paragraph" w:styleId="af0">
    <w:name w:val="TOC Heading"/>
    <w:basedOn w:val="10"/>
    <w:next w:val="a2"/>
    <w:uiPriority w:val="99"/>
    <w:qFormat/>
    <w:rsid w:val="00D7306D"/>
    <w:pPr>
      <w:keepLines/>
      <w:spacing w:before="480" w:line="276" w:lineRule="auto"/>
      <w:outlineLvl w:val="9"/>
    </w:pPr>
    <w:rPr>
      <w:rFonts w:ascii="Cambria" w:hAnsi="Cambria"/>
      <w:color w:val="365F91"/>
      <w:kern w:val="0"/>
      <w:lang w:eastAsia="en-US"/>
    </w:rPr>
  </w:style>
  <w:style w:type="paragraph" w:customStyle="1" w:styleId="Style1">
    <w:name w:val="Style1"/>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2">
    <w:name w:val="Style2"/>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3">
    <w:name w:val="Style3"/>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4">
    <w:name w:val="Style4"/>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5">
    <w:name w:val="Style5"/>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6">
    <w:name w:val="Style6"/>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7">
    <w:name w:val="Style7"/>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8">
    <w:name w:val="Style8"/>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9">
    <w:name w:val="Style9"/>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10">
    <w:name w:val="Style10"/>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11">
    <w:name w:val="Style11"/>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12">
    <w:name w:val="Style12"/>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13">
    <w:name w:val="Style13"/>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14">
    <w:name w:val="Style14"/>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15">
    <w:name w:val="Style15"/>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16">
    <w:name w:val="Style16"/>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17">
    <w:name w:val="Style17"/>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18">
    <w:name w:val="Style18"/>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19">
    <w:name w:val="Style19"/>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20">
    <w:name w:val="Style20"/>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21">
    <w:name w:val="Style21"/>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22">
    <w:name w:val="Style22"/>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23">
    <w:name w:val="Style23"/>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24">
    <w:name w:val="Style24"/>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25">
    <w:name w:val="Style25"/>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26">
    <w:name w:val="Style26"/>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27">
    <w:name w:val="Style27"/>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28">
    <w:name w:val="Style28"/>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29">
    <w:name w:val="Style29"/>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30">
    <w:name w:val="Style30"/>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31">
    <w:name w:val="Style31"/>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32">
    <w:name w:val="Style32"/>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33">
    <w:name w:val="Style33"/>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34">
    <w:name w:val="Style34"/>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35">
    <w:name w:val="Style35"/>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36">
    <w:name w:val="Style36"/>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37">
    <w:name w:val="Style37"/>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38">
    <w:name w:val="Style38"/>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39">
    <w:name w:val="Style39"/>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40">
    <w:name w:val="Style40"/>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41">
    <w:name w:val="Style41"/>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42">
    <w:name w:val="Style42"/>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43">
    <w:name w:val="Style43"/>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44">
    <w:name w:val="Style44"/>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45">
    <w:name w:val="Style45"/>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46">
    <w:name w:val="Style46"/>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47">
    <w:name w:val="Style47"/>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48">
    <w:name w:val="Style48"/>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49">
    <w:name w:val="Style49"/>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50">
    <w:name w:val="Style50"/>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51">
    <w:name w:val="Style51"/>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52">
    <w:name w:val="Style52"/>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53">
    <w:name w:val="Style53"/>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54">
    <w:name w:val="Style54"/>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55">
    <w:name w:val="Style55"/>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56">
    <w:name w:val="Style56"/>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57">
    <w:name w:val="Style57"/>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58">
    <w:name w:val="Style58"/>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59">
    <w:name w:val="Style59"/>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60">
    <w:name w:val="Style60"/>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61">
    <w:name w:val="Style61"/>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62">
    <w:name w:val="Style62"/>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63">
    <w:name w:val="Style63"/>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64">
    <w:name w:val="Style64"/>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65">
    <w:name w:val="Style65"/>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66">
    <w:name w:val="Style66"/>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67">
    <w:name w:val="Style67"/>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68">
    <w:name w:val="Style68"/>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69">
    <w:name w:val="Style69"/>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70">
    <w:name w:val="Style70"/>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71">
    <w:name w:val="Style71"/>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72">
    <w:name w:val="Style72"/>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73">
    <w:name w:val="Style73"/>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74">
    <w:name w:val="Style74"/>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75">
    <w:name w:val="Style75"/>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76">
    <w:name w:val="Style76"/>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77">
    <w:name w:val="Style77"/>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78">
    <w:name w:val="Style78"/>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79">
    <w:name w:val="Style79"/>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80">
    <w:name w:val="Style80"/>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81">
    <w:name w:val="Style81"/>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82">
    <w:name w:val="Style82"/>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83">
    <w:name w:val="Style83"/>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84">
    <w:name w:val="Style84"/>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85">
    <w:name w:val="Style85"/>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86">
    <w:name w:val="Style86"/>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87">
    <w:name w:val="Style87"/>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88">
    <w:name w:val="Style88"/>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89">
    <w:name w:val="Style89"/>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90">
    <w:name w:val="Style90"/>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91">
    <w:name w:val="Style91"/>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92">
    <w:name w:val="Style92"/>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93">
    <w:name w:val="Style93"/>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94">
    <w:name w:val="Style94"/>
    <w:basedOn w:val="a2"/>
    <w:uiPriority w:val="99"/>
    <w:rsid w:val="001F2E18"/>
    <w:pPr>
      <w:widowControl w:val="0"/>
      <w:autoSpaceDE w:val="0"/>
      <w:autoSpaceDN w:val="0"/>
      <w:adjustRightInd w:val="0"/>
    </w:pPr>
    <w:rPr>
      <w:rFonts w:ascii="Arial Unicode MS" w:eastAsia="Arial Unicode MS" w:hAnsi="Calibri" w:cs="Arial Unicode MS"/>
      <w:sz w:val="24"/>
      <w:szCs w:val="24"/>
    </w:rPr>
  </w:style>
  <w:style w:type="character" w:customStyle="1" w:styleId="FontStyle96">
    <w:name w:val="Font Style96"/>
    <w:uiPriority w:val="99"/>
    <w:rsid w:val="001F2E18"/>
    <w:rPr>
      <w:rFonts w:ascii="Arial Unicode MS" w:eastAsia="Arial Unicode MS"/>
      <w:i/>
      <w:spacing w:val="20"/>
      <w:sz w:val="18"/>
    </w:rPr>
  </w:style>
  <w:style w:type="character" w:customStyle="1" w:styleId="FontStyle97">
    <w:name w:val="Font Style97"/>
    <w:uiPriority w:val="99"/>
    <w:rsid w:val="001F2E18"/>
    <w:rPr>
      <w:rFonts w:ascii="Arial Unicode MS" w:eastAsia="Arial Unicode MS"/>
      <w:b/>
      <w:sz w:val="24"/>
    </w:rPr>
  </w:style>
  <w:style w:type="character" w:customStyle="1" w:styleId="FontStyle98">
    <w:name w:val="Font Style98"/>
    <w:uiPriority w:val="99"/>
    <w:rsid w:val="001F2E18"/>
    <w:rPr>
      <w:rFonts w:ascii="Arial Unicode MS" w:eastAsia="Arial Unicode MS"/>
      <w:i/>
      <w:spacing w:val="10"/>
      <w:sz w:val="18"/>
    </w:rPr>
  </w:style>
  <w:style w:type="character" w:customStyle="1" w:styleId="FontStyle99">
    <w:name w:val="Font Style99"/>
    <w:uiPriority w:val="99"/>
    <w:rsid w:val="001F2E18"/>
    <w:rPr>
      <w:rFonts w:ascii="Times New Roman" w:hAnsi="Times New Roman"/>
      <w:i/>
      <w:sz w:val="16"/>
    </w:rPr>
  </w:style>
  <w:style w:type="character" w:customStyle="1" w:styleId="FontStyle100">
    <w:name w:val="Font Style100"/>
    <w:uiPriority w:val="99"/>
    <w:rsid w:val="001F2E18"/>
    <w:rPr>
      <w:rFonts w:ascii="Times New Roman" w:hAnsi="Times New Roman"/>
      <w:sz w:val="16"/>
    </w:rPr>
  </w:style>
  <w:style w:type="character" w:customStyle="1" w:styleId="FontStyle101">
    <w:name w:val="Font Style101"/>
    <w:uiPriority w:val="99"/>
    <w:rsid w:val="001F2E18"/>
    <w:rPr>
      <w:rFonts w:ascii="Times New Roman" w:hAnsi="Times New Roman"/>
      <w:i/>
      <w:sz w:val="14"/>
    </w:rPr>
  </w:style>
  <w:style w:type="character" w:customStyle="1" w:styleId="FontStyle102">
    <w:name w:val="Font Style102"/>
    <w:uiPriority w:val="99"/>
    <w:rsid w:val="001F2E18"/>
    <w:rPr>
      <w:rFonts w:ascii="Times New Roman" w:hAnsi="Times New Roman"/>
      <w:sz w:val="14"/>
    </w:rPr>
  </w:style>
  <w:style w:type="character" w:customStyle="1" w:styleId="FontStyle103">
    <w:name w:val="Font Style103"/>
    <w:uiPriority w:val="99"/>
    <w:rsid w:val="001F2E18"/>
    <w:rPr>
      <w:rFonts w:ascii="Arial Unicode MS" w:eastAsia="Arial Unicode MS"/>
      <w:spacing w:val="-20"/>
      <w:sz w:val="18"/>
    </w:rPr>
  </w:style>
  <w:style w:type="character" w:customStyle="1" w:styleId="FontStyle104">
    <w:name w:val="Font Style104"/>
    <w:uiPriority w:val="99"/>
    <w:rsid w:val="001F2E18"/>
    <w:rPr>
      <w:rFonts w:ascii="Arial Unicode MS" w:eastAsia="Arial Unicode MS"/>
      <w:sz w:val="12"/>
    </w:rPr>
  </w:style>
  <w:style w:type="character" w:customStyle="1" w:styleId="FontStyle105">
    <w:name w:val="Font Style105"/>
    <w:uiPriority w:val="99"/>
    <w:rsid w:val="001F2E18"/>
    <w:rPr>
      <w:rFonts w:ascii="Times New Roman" w:hAnsi="Times New Roman"/>
      <w:sz w:val="14"/>
    </w:rPr>
  </w:style>
  <w:style w:type="character" w:customStyle="1" w:styleId="FontStyle106">
    <w:name w:val="Font Style106"/>
    <w:uiPriority w:val="99"/>
    <w:rsid w:val="001F2E18"/>
    <w:rPr>
      <w:rFonts w:ascii="Arial Unicode MS" w:eastAsia="Arial Unicode MS"/>
      <w:sz w:val="14"/>
    </w:rPr>
  </w:style>
  <w:style w:type="character" w:customStyle="1" w:styleId="FontStyle107">
    <w:name w:val="Font Style107"/>
    <w:uiPriority w:val="99"/>
    <w:rsid w:val="001F2E18"/>
    <w:rPr>
      <w:rFonts w:ascii="Times New Roman" w:hAnsi="Times New Roman"/>
      <w:sz w:val="10"/>
    </w:rPr>
  </w:style>
  <w:style w:type="character" w:customStyle="1" w:styleId="FontStyle108">
    <w:name w:val="Font Style108"/>
    <w:uiPriority w:val="99"/>
    <w:rsid w:val="001F2E18"/>
    <w:rPr>
      <w:rFonts w:ascii="Times New Roman" w:hAnsi="Times New Roman"/>
      <w:b/>
      <w:sz w:val="10"/>
    </w:rPr>
  </w:style>
  <w:style w:type="character" w:customStyle="1" w:styleId="FontStyle109">
    <w:name w:val="Font Style109"/>
    <w:uiPriority w:val="99"/>
    <w:rsid w:val="001F2E18"/>
    <w:rPr>
      <w:rFonts w:ascii="Times New Roman" w:hAnsi="Times New Roman"/>
      <w:sz w:val="20"/>
    </w:rPr>
  </w:style>
  <w:style w:type="character" w:customStyle="1" w:styleId="FontStyle110">
    <w:name w:val="Font Style110"/>
    <w:uiPriority w:val="99"/>
    <w:rsid w:val="001F2E18"/>
    <w:rPr>
      <w:rFonts w:ascii="Times New Roman" w:hAnsi="Times New Roman"/>
      <w:b/>
      <w:spacing w:val="-10"/>
      <w:sz w:val="20"/>
    </w:rPr>
  </w:style>
  <w:style w:type="character" w:customStyle="1" w:styleId="FontStyle111">
    <w:name w:val="Font Style111"/>
    <w:uiPriority w:val="99"/>
    <w:rsid w:val="001F2E18"/>
    <w:rPr>
      <w:rFonts w:ascii="Arial Unicode MS" w:eastAsia="Arial Unicode MS"/>
      <w:sz w:val="16"/>
    </w:rPr>
  </w:style>
  <w:style w:type="character" w:customStyle="1" w:styleId="FontStyle112">
    <w:name w:val="Font Style112"/>
    <w:uiPriority w:val="99"/>
    <w:rsid w:val="001F2E18"/>
    <w:rPr>
      <w:rFonts w:ascii="Times New Roman" w:hAnsi="Times New Roman"/>
      <w:b/>
      <w:sz w:val="20"/>
    </w:rPr>
  </w:style>
  <w:style w:type="character" w:customStyle="1" w:styleId="FontStyle113">
    <w:name w:val="Font Style113"/>
    <w:uiPriority w:val="99"/>
    <w:rsid w:val="001F2E18"/>
    <w:rPr>
      <w:rFonts w:ascii="Arial Unicode MS" w:eastAsia="Arial Unicode MS"/>
      <w:spacing w:val="-10"/>
      <w:sz w:val="26"/>
    </w:rPr>
  </w:style>
  <w:style w:type="character" w:customStyle="1" w:styleId="FontStyle114">
    <w:name w:val="Font Style114"/>
    <w:uiPriority w:val="99"/>
    <w:rsid w:val="001F2E18"/>
    <w:rPr>
      <w:rFonts w:ascii="Times New Roman" w:hAnsi="Times New Roman"/>
      <w:i/>
      <w:sz w:val="20"/>
    </w:rPr>
  </w:style>
  <w:style w:type="character" w:customStyle="1" w:styleId="FontStyle115">
    <w:name w:val="Font Style115"/>
    <w:uiPriority w:val="99"/>
    <w:rsid w:val="001F2E18"/>
    <w:rPr>
      <w:rFonts w:ascii="Arial Unicode MS" w:eastAsia="Arial Unicode MS"/>
      <w:b/>
      <w:spacing w:val="-40"/>
      <w:sz w:val="72"/>
    </w:rPr>
  </w:style>
  <w:style w:type="character" w:customStyle="1" w:styleId="FontStyle116">
    <w:name w:val="Font Style116"/>
    <w:uiPriority w:val="99"/>
    <w:rsid w:val="001F2E18"/>
    <w:rPr>
      <w:rFonts w:ascii="Arial Unicode MS" w:eastAsia="Arial Unicode MS"/>
      <w:spacing w:val="-10"/>
      <w:sz w:val="44"/>
    </w:rPr>
  </w:style>
  <w:style w:type="character" w:customStyle="1" w:styleId="FontStyle117">
    <w:name w:val="Font Style117"/>
    <w:uiPriority w:val="99"/>
    <w:rsid w:val="001F2E18"/>
    <w:rPr>
      <w:rFonts w:ascii="Times New Roman" w:hAnsi="Times New Roman"/>
      <w:sz w:val="18"/>
    </w:rPr>
  </w:style>
  <w:style w:type="character" w:customStyle="1" w:styleId="FontStyle118">
    <w:name w:val="Font Style118"/>
    <w:uiPriority w:val="99"/>
    <w:rsid w:val="001F2E18"/>
    <w:rPr>
      <w:rFonts w:ascii="Times New Roman" w:hAnsi="Times New Roman"/>
      <w:spacing w:val="-10"/>
      <w:sz w:val="26"/>
    </w:rPr>
  </w:style>
  <w:style w:type="character" w:customStyle="1" w:styleId="FontStyle119">
    <w:name w:val="Font Style119"/>
    <w:uiPriority w:val="99"/>
    <w:rsid w:val="001F2E18"/>
    <w:rPr>
      <w:rFonts w:ascii="Arial Unicode MS" w:eastAsia="Arial Unicode MS"/>
      <w:smallCaps/>
      <w:spacing w:val="20"/>
      <w:sz w:val="20"/>
    </w:rPr>
  </w:style>
  <w:style w:type="character" w:customStyle="1" w:styleId="FontStyle120">
    <w:name w:val="Font Style120"/>
    <w:uiPriority w:val="99"/>
    <w:rsid w:val="001F2E18"/>
    <w:rPr>
      <w:rFonts w:ascii="Times New Roman" w:hAnsi="Times New Roman"/>
      <w:b/>
      <w:spacing w:val="-10"/>
      <w:w w:val="90"/>
      <w:sz w:val="48"/>
    </w:rPr>
  </w:style>
  <w:style w:type="character" w:customStyle="1" w:styleId="FontStyle121">
    <w:name w:val="Font Style121"/>
    <w:uiPriority w:val="99"/>
    <w:rsid w:val="001F2E18"/>
    <w:rPr>
      <w:rFonts w:ascii="Times New Roman" w:hAnsi="Times New Roman"/>
      <w:b/>
      <w:spacing w:val="-20"/>
      <w:w w:val="90"/>
      <w:sz w:val="78"/>
    </w:rPr>
  </w:style>
  <w:style w:type="character" w:customStyle="1" w:styleId="FontStyle122">
    <w:name w:val="Font Style122"/>
    <w:uiPriority w:val="99"/>
    <w:rsid w:val="001F2E18"/>
    <w:rPr>
      <w:rFonts w:ascii="Times New Roman" w:hAnsi="Times New Roman"/>
      <w:spacing w:val="-10"/>
      <w:sz w:val="34"/>
    </w:rPr>
  </w:style>
  <w:style w:type="character" w:customStyle="1" w:styleId="FontStyle123">
    <w:name w:val="Font Style123"/>
    <w:uiPriority w:val="99"/>
    <w:rsid w:val="001F2E18"/>
    <w:rPr>
      <w:rFonts w:ascii="Times New Roman" w:hAnsi="Times New Roman"/>
      <w:sz w:val="40"/>
    </w:rPr>
  </w:style>
  <w:style w:type="character" w:customStyle="1" w:styleId="FontStyle124">
    <w:name w:val="Font Style124"/>
    <w:uiPriority w:val="99"/>
    <w:rsid w:val="001F2E18"/>
    <w:rPr>
      <w:rFonts w:ascii="Times New Roman" w:hAnsi="Times New Roman"/>
      <w:smallCaps/>
      <w:sz w:val="22"/>
    </w:rPr>
  </w:style>
  <w:style w:type="character" w:customStyle="1" w:styleId="FontStyle125">
    <w:name w:val="Font Style125"/>
    <w:uiPriority w:val="99"/>
    <w:rsid w:val="001F2E18"/>
    <w:rPr>
      <w:rFonts w:ascii="Times New Roman" w:hAnsi="Times New Roman"/>
      <w:sz w:val="20"/>
    </w:rPr>
  </w:style>
  <w:style w:type="character" w:customStyle="1" w:styleId="FontStyle126">
    <w:name w:val="Font Style126"/>
    <w:uiPriority w:val="99"/>
    <w:rsid w:val="001F2E18"/>
    <w:rPr>
      <w:rFonts w:ascii="Times New Roman" w:hAnsi="Times New Roman"/>
      <w:i/>
      <w:sz w:val="20"/>
    </w:rPr>
  </w:style>
  <w:style w:type="character" w:customStyle="1" w:styleId="FontStyle127">
    <w:name w:val="Font Style127"/>
    <w:uiPriority w:val="99"/>
    <w:rsid w:val="001F2E18"/>
    <w:rPr>
      <w:rFonts w:ascii="Arial Unicode MS" w:eastAsia="Arial Unicode MS"/>
      <w:sz w:val="22"/>
    </w:rPr>
  </w:style>
  <w:style w:type="character" w:customStyle="1" w:styleId="FontStyle128">
    <w:name w:val="Font Style128"/>
    <w:uiPriority w:val="99"/>
    <w:rsid w:val="001F2E18"/>
    <w:rPr>
      <w:rFonts w:ascii="Times New Roman" w:hAnsi="Times New Roman"/>
      <w:spacing w:val="-10"/>
      <w:sz w:val="26"/>
    </w:rPr>
  </w:style>
  <w:style w:type="character" w:customStyle="1" w:styleId="FontStyle129">
    <w:name w:val="Font Style129"/>
    <w:uiPriority w:val="99"/>
    <w:rsid w:val="001F2E18"/>
    <w:rPr>
      <w:rFonts w:ascii="Arial Unicode MS" w:eastAsia="Arial Unicode MS"/>
      <w:sz w:val="32"/>
    </w:rPr>
  </w:style>
  <w:style w:type="character" w:customStyle="1" w:styleId="FontStyle130">
    <w:name w:val="Font Style130"/>
    <w:uiPriority w:val="99"/>
    <w:rsid w:val="001F2E18"/>
    <w:rPr>
      <w:rFonts w:ascii="Times New Roman" w:hAnsi="Times New Roman"/>
      <w:sz w:val="18"/>
    </w:rPr>
  </w:style>
  <w:style w:type="character" w:customStyle="1" w:styleId="FontStyle131">
    <w:name w:val="Font Style131"/>
    <w:uiPriority w:val="99"/>
    <w:rsid w:val="001F2E18"/>
    <w:rPr>
      <w:rFonts w:ascii="Times New Roman" w:hAnsi="Times New Roman"/>
      <w:spacing w:val="-10"/>
      <w:sz w:val="18"/>
    </w:rPr>
  </w:style>
  <w:style w:type="character" w:customStyle="1" w:styleId="FontStyle132">
    <w:name w:val="Font Style132"/>
    <w:uiPriority w:val="99"/>
    <w:rsid w:val="001F2E18"/>
    <w:rPr>
      <w:rFonts w:ascii="Times New Roman" w:hAnsi="Times New Roman"/>
      <w:sz w:val="22"/>
    </w:rPr>
  </w:style>
  <w:style w:type="character" w:customStyle="1" w:styleId="FontStyle133">
    <w:name w:val="Font Style133"/>
    <w:uiPriority w:val="99"/>
    <w:rsid w:val="001F2E18"/>
    <w:rPr>
      <w:rFonts w:ascii="Times New Roman" w:hAnsi="Times New Roman"/>
      <w:i/>
      <w:sz w:val="22"/>
    </w:rPr>
  </w:style>
  <w:style w:type="character" w:customStyle="1" w:styleId="FontStyle134">
    <w:name w:val="Font Style134"/>
    <w:uiPriority w:val="99"/>
    <w:rsid w:val="001F2E18"/>
    <w:rPr>
      <w:rFonts w:ascii="Times New Roman" w:hAnsi="Times New Roman"/>
      <w:sz w:val="18"/>
    </w:rPr>
  </w:style>
  <w:style w:type="character" w:customStyle="1" w:styleId="FontStyle135">
    <w:name w:val="Font Style135"/>
    <w:uiPriority w:val="99"/>
    <w:rsid w:val="001F2E18"/>
    <w:rPr>
      <w:rFonts w:ascii="Times New Roman" w:hAnsi="Times New Roman"/>
      <w:i/>
      <w:sz w:val="18"/>
    </w:rPr>
  </w:style>
  <w:style w:type="character" w:customStyle="1" w:styleId="FontStyle136">
    <w:name w:val="Font Style136"/>
    <w:uiPriority w:val="99"/>
    <w:rsid w:val="001F2E18"/>
    <w:rPr>
      <w:rFonts w:ascii="Times New Roman" w:hAnsi="Times New Roman"/>
      <w:i/>
      <w:sz w:val="22"/>
    </w:rPr>
  </w:style>
  <w:style w:type="character" w:customStyle="1" w:styleId="FontStyle137">
    <w:name w:val="Font Style137"/>
    <w:uiPriority w:val="99"/>
    <w:rsid w:val="001F2E18"/>
    <w:rPr>
      <w:rFonts w:ascii="Arial Unicode MS" w:eastAsia="Arial Unicode MS"/>
      <w:sz w:val="20"/>
    </w:rPr>
  </w:style>
  <w:style w:type="character" w:customStyle="1" w:styleId="FontStyle138">
    <w:name w:val="Font Style138"/>
    <w:uiPriority w:val="99"/>
    <w:rsid w:val="001F2E18"/>
    <w:rPr>
      <w:rFonts w:ascii="Times New Roman" w:hAnsi="Times New Roman"/>
      <w:i/>
      <w:sz w:val="22"/>
    </w:rPr>
  </w:style>
  <w:style w:type="character" w:customStyle="1" w:styleId="FontStyle139">
    <w:name w:val="Font Style139"/>
    <w:uiPriority w:val="99"/>
    <w:rsid w:val="001F2E18"/>
    <w:rPr>
      <w:rFonts w:ascii="Arial Unicode MS" w:eastAsia="Arial Unicode MS"/>
      <w:sz w:val="20"/>
    </w:rPr>
  </w:style>
  <w:style w:type="character" w:customStyle="1" w:styleId="FontStyle140">
    <w:name w:val="Font Style140"/>
    <w:uiPriority w:val="99"/>
    <w:rsid w:val="001F2E18"/>
    <w:rPr>
      <w:rFonts w:ascii="Arial Unicode MS" w:eastAsia="Arial Unicode MS"/>
      <w:sz w:val="20"/>
    </w:rPr>
  </w:style>
  <w:style w:type="character" w:customStyle="1" w:styleId="FontStyle141">
    <w:name w:val="Font Style141"/>
    <w:uiPriority w:val="99"/>
    <w:rsid w:val="001F2E18"/>
    <w:rPr>
      <w:rFonts w:ascii="Arial Unicode MS" w:eastAsia="Arial Unicode MS"/>
      <w:spacing w:val="-10"/>
      <w:sz w:val="36"/>
    </w:rPr>
  </w:style>
  <w:style w:type="character" w:customStyle="1" w:styleId="FontStyle142">
    <w:name w:val="Font Style142"/>
    <w:uiPriority w:val="99"/>
    <w:rsid w:val="001F2E18"/>
    <w:rPr>
      <w:rFonts w:ascii="Arial Unicode MS" w:eastAsia="Arial Unicode MS"/>
      <w:b/>
      <w:spacing w:val="-20"/>
      <w:sz w:val="70"/>
    </w:rPr>
  </w:style>
  <w:style w:type="character" w:customStyle="1" w:styleId="FontStyle143">
    <w:name w:val="Font Style143"/>
    <w:uiPriority w:val="99"/>
    <w:rsid w:val="001F2E18"/>
    <w:rPr>
      <w:rFonts w:ascii="Times New Roman" w:hAnsi="Times New Roman"/>
      <w:spacing w:val="-10"/>
      <w:sz w:val="26"/>
    </w:rPr>
  </w:style>
  <w:style w:type="character" w:customStyle="1" w:styleId="FontStyle144">
    <w:name w:val="Font Style144"/>
    <w:uiPriority w:val="99"/>
    <w:rsid w:val="001F2E18"/>
    <w:rPr>
      <w:rFonts w:ascii="Times New Roman" w:hAnsi="Times New Roman"/>
      <w:spacing w:val="-10"/>
      <w:sz w:val="40"/>
    </w:rPr>
  </w:style>
  <w:style w:type="character" w:customStyle="1" w:styleId="FontStyle145">
    <w:name w:val="Font Style145"/>
    <w:uiPriority w:val="99"/>
    <w:rsid w:val="001F2E18"/>
    <w:rPr>
      <w:rFonts w:ascii="Times New Roman" w:hAnsi="Times New Roman"/>
      <w:b/>
      <w:spacing w:val="-10"/>
      <w:sz w:val="22"/>
    </w:rPr>
  </w:style>
  <w:style w:type="character" w:customStyle="1" w:styleId="FontStyle146">
    <w:name w:val="Font Style146"/>
    <w:uiPriority w:val="99"/>
    <w:rsid w:val="001F2E18"/>
    <w:rPr>
      <w:rFonts w:ascii="Times New Roman" w:hAnsi="Times New Roman"/>
      <w:b/>
      <w:spacing w:val="-10"/>
      <w:sz w:val="22"/>
    </w:rPr>
  </w:style>
  <w:style w:type="character" w:customStyle="1" w:styleId="FontStyle147">
    <w:name w:val="Font Style147"/>
    <w:uiPriority w:val="99"/>
    <w:rsid w:val="001F2E18"/>
    <w:rPr>
      <w:rFonts w:ascii="Times New Roman" w:hAnsi="Times New Roman"/>
      <w:sz w:val="22"/>
    </w:rPr>
  </w:style>
  <w:style w:type="character" w:customStyle="1" w:styleId="FontStyle148">
    <w:name w:val="Font Style148"/>
    <w:uiPriority w:val="99"/>
    <w:rsid w:val="001F2E18"/>
    <w:rPr>
      <w:rFonts w:ascii="Times New Roman" w:hAnsi="Times New Roman"/>
      <w:sz w:val="12"/>
    </w:rPr>
  </w:style>
  <w:style w:type="character" w:customStyle="1" w:styleId="FontStyle149">
    <w:name w:val="Font Style149"/>
    <w:uiPriority w:val="99"/>
    <w:rsid w:val="001F2E18"/>
    <w:rPr>
      <w:rFonts w:ascii="Times New Roman" w:hAnsi="Times New Roman"/>
      <w:spacing w:val="-10"/>
      <w:sz w:val="20"/>
    </w:rPr>
  </w:style>
  <w:style w:type="character" w:customStyle="1" w:styleId="FontStyle150">
    <w:name w:val="Font Style150"/>
    <w:uiPriority w:val="99"/>
    <w:rsid w:val="001F2E18"/>
    <w:rPr>
      <w:rFonts w:ascii="Times New Roman" w:hAnsi="Times New Roman"/>
      <w:sz w:val="20"/>
    </w:rPr>
  </w:style>
  <w:style w:type="character" w:customStyle="1" w:styleId="FontStyle151">
    <w:name w:val="Font Style151"/>
    <w:uiPriority w:val="99"/>
    <w:rsid w:val="001F2E18"/>
    <w:rPr>
      <w:rFonts w:ascii="Times New Roman" w:hAnsi="Times New Roman"/>
      <w:i/>
      <w:sz w:val="20"/>
    </w:rPr>
  </w:style>
  <w:style w:type="character" w:customStyle="1" w:styleId="FontStyle152">
    <w:name w:val="Font Style152"/>
    <w:uiPriority w:val="99"/>
    <w:rsid w:val="001F2E18"/>
    <w:rPr>
      <w:rFonts w:ascii="Times New Roman" w:hAnsi="Times New Roman"/>
      <w:sz w:val="20"/>
    </w:rPr>
  </w:style>
  <w:style w:type="character" w:customStyle="1" w:styleId="FontStyle153">
    <w:name w:val="Font Style153"/>
    <w:uiPriority w:val="99"/>
    <w:rsid w:val="001F2E18"/>
    <w:rPr>
      <w:rFonts w:ascii="Courier New" w:hAnsi="Courier New"/>
      <w:spacing w:val="-10"/>
      <w:w w:val="75"/>
      <w:sz w:val="30"/>
    </w:rPr>
  </w:style>
  <w:style w:type="character" w:customStyle="1" w:styleId="FontStyle154">
    <w:name w:val="Font Style154"/>
    <w:uiPriority w:val="99"/>
    <w:rsid w:val="001F2E18"/>
    <w:rPr>
      <w:rFonts w:ascii="Courier New" w:hAnsi="Courier New"/>
      <w:w w:val="75"/>
      <w:sz w:val="44"/>
    </w:rPr>
  </w:style>
  <w:style w:type="character" w:customStyle="1" w:styleId="FontStyle155">
    <w:name w:val="Font Style155"/>
    <w:uiPriority w:val="99"/>
    <w:rsid w:val="001F2E18"/>
    <w:rPr>
      <w:rFonts w:ascii="Times New Roman" w:hAnsi="Times New Roman"/>
      <w:sz w:val="18"/>
    </w:rPr>
  </w:style>
  <w:style w:type="character" w:customStyle="1" w:styleId="FontStyle156">
    <w:name w:val="Font Style156"/>
    <w:uiPriority w:val="99"/>
    <w:rsid w:val="001F2E18"/>
    <w:rPr>
      <w:rFonts w:ascii="Times New Roman" w:hAnsi="Times New Roman"/>
      <w:b/>
      <w:sz w:val="22"/>
    </w:rPr>
  </w:style>
  <w:style w:type="character" w:customStyle="1" w:styleId="FontStyle157">
    <w:name w:val="Font Style157"/>
    <w:uiPriority w:val="99"/>
    <w:rsid w:val="001F2E18"/>
    <w:rPr>
      <w:rFonts w:ascii="Arial Unicode MS" w:eastAsia="Arial Unicode MS"/>
      <w:sz w:val="22"/>
    </w:rPr>
  </w:style>
  <w:style w:type="character" w:customStyle="1" w:styleId="FontStyle158">
    <w:name w:val="Font Style158"/>
    <w:uiPriority w:val="99"/>
    <w:rsid w:val="001F2E18"/>
    <w:rPr>
      <w:rFonts w:ascii="Times New Roman" w:hAnsi="Times New Roman"/>
      <w:i/>
      <w:sz w:val="22"/>
    </w:rPr>
  </w:style>
  <w:style w:type="character" w:customStyle="1" w:styleId="FontStyle159">
    <w:name w:val="Font Style159"/>
    <w:uiPriority w:val="99"/>
    <w:rsid w:val="001F2E18"/>
    <w:rPr>
      <w:rFonts w:ascii="Times New Roman" w:hAnsi="Times New Roman"/>
      <w:i/>
      <w:sz w:val="22"/>
    </w:rPr>
  </w:style>
  <w:style w:type="character" w:customStyle="1" w:styleId="FontStyle160">
    <w:name w:val="Font Style160"/>
    <w:uiPriority w:val="99"/>
    <w:rsid w:val="001F2E18"/>
    <w:rPr>
      <w:rFonts w:ascii="Arial Unicode MS" w:eastAsia="Arial Unicode MS"/>
      <w:sz w:val="22"/>
    </w:rPr>
  </w:style>
  <w:style w:type="character" w:customStyle="1" w:styleId="FontStyle161">
    <w:name w:val="Font Style161"/>
    <w:uiPriority w:val="99"/>
    <w:rsid w:val="001F2E18"/>
    <w:rPr>
      <w:rFonts w:ascii="Times New Roman" w:hAnsi="Times New Roman"/>
      <w:i/>
      <w:sz w:val="22"/>
    </w:rPr>
  </w:style>
  <w:style w:type="character" w:customStyle="1" w:styleId="FontStyle162">
    <w:name w:val="Font Style162"/>
    <w:uiPriority w:val="99"/>
    <w:rsid w:val="001F2E18"/>
    <w:rPr>
      <w:rFonts w:ascii="Times New Roman" w:hAnsi="Times New Roman"/>
      <w:i/>
      <w:sz w:val="22"/>
    </w:rPr>
  </w:style>
  <w:style w:type="character" w:customStyle="1" w:styleId="FontStyle163">
    <w:name w:val="Font Style163"/>
    <w:uiPriority w:val="99"/>
    <w:rsid w:val="001F2E18"/>
    <w:rPr>
      <w:rFonts w:ascii="Times New Roman" w:hAnsi="Times New Roman"/>
      <w:sz w:val="22"/>
    </w:rPr>
  </w:style>
  <w:style w:type="character" w:customStyle="1" w:styleId="FontStyle164">
    <w:name w:val="Font Style164"/>
    <w:uiPriority w:val="99"/>
    <w:rsid w:val="001F2E18"/>
    <w:rPr>
      <w:rFonts w:ascii="Arial Unicode MS" w:eastAsia="Arial Unicode MS"/>
      <w:sz w:val="36"/>
    </w:rPr>
  </w:style>
  <w:style w:type="character" w:customStyle="1" w:styleId="FontStyle165">
    <w:name w:val="Font Style165"/>
    <w:uiPriority w:val="99"/>
    <w:rsid w:val="001F2E18"/>
    <w:rPr>
      <w:rFonts w:ascii="Times New Roman" w:hAnsi="Times New Roman"/>
      <w:i/>
      <w:sz w:val="20"/>
    </w:rPr>
  </w:style>
  <w:style w:type="character" w:customStyle="1" w:styleId="FontStyle166">
    <w:name w:val="Font Style166"/>
    <w:uiPriority w:val="99"/>
    <w:rsid w:val="001F2E18"/>
    <w:rPr>
      <w:rFonts w:ascii="Times New Roman" w:hAnsi="Times New Roman"/>
      <w:i/>
      <w:sz w:val="22"/>
    </w:rPr>
  </w:style>
  <w:style w:type="character" w:customStyle="1" w:styleId="FontStyle167">
    <w:name w:val="Font Style167"/>
    <w:uiPriority w:val="99"/>
    <w:rsid w:val="001F2E18"/>
    <w:rPr>
      <w:rFonts w:ascii="Times New Roman" w:hAnsi="Times New Roman"/>
      <w:i/>
      <w:sz w:val="20"/>
    </w:rPr>
  </w:style>
  <w:style w:type="character" w:customStyle="1" w:styleId="FontStyle168">
    <w:name w:val="Font Style168"/>
    <w:uiPriority w:val="99"/>
    <w:rsid w:val="001F2E18"/>
    <w:rPr>
      <w:rFonts w:ascii="Times New Roman" w:hAnsi="Times New Roman"/>
      <w:i/>
      <w:sz w:val="20"/>
    </w:rPr>
  </w:style>
  <w:style w:type="character" w:customStyle="1" w:styleId="FontStyle169">
    <w:name w:val="Font Style169"/>
    <w:uiPriority w:val="99"/>
    <w:rsid w:val="001F2E18"/>
    <w:rPr>
      <w:rFonts w:ascii="Times New Roman" w:hAnsi="Times New Roman"/>
      <w:sz w:val="20"/>
    </w:rPr>
  </w:style>
  <w:style w:type="character" w:customStyle="1" w:styleId="FontStyle170">
    <w:name w:val="Font Style170"/>
    <w:uiPriority w:val="99"/>
    <w:rsid w:val="001F2E18"/>
    <w:rPr>
      <w:rFonts w:ascii="Times New Roman" w:hAnsi="Times New Roman"/>
      <w:i/>
      <w:sz w:val="20"/>
    </w:rPr>
  </w:style>
  <w:style w:type="character" w:customStyle="1" w:styleId="FontStyle171">
    <w:name w:val="Font Style171"/>
    <w:uiPriority w:val="99"/>
    <w:rsid w:val="001F2E18"/>
    <w:rPr>
      <w:rFonts w:ascii="Arial Unicode MS" w:eastAsia="Arial Unicode MS"/>
      <w:sz w:val="22"/>
    </w:rPr>
  </w:style>
  <w:style w:type="character" w:customStyle="1" w:styleId="FontStyle172">
    <w:name w:val="Font Style172"/>
    <w:uiPriority w:val="99"/>
    <w:rsid w:val="001F2E18"/>
    <w:rPr>
      <w:rFonts w:ascii="Times New Roman" w:hAnsi="Times New Roman"/>
      <w:sz w:val="22"/>
    </w:rPr>
  </w:style>
  <w:style w:type="character" w:customStyle="1" w:styleId="FontStyle173">
    <w:name w:val="Font Style173"/>
    <w:uiPriority w:val="99"/>
    <w:rsid w:val="001F2E18"/>
    <w:rPr>
      <w:rFonts w:ascii="Times New Roman" w:hAnsi="Times New Roman"/>
      <w:i/>
      <w:sz w:val="22"/>
    </w:rPr>
  </w:style>
  <w:style w:type="character" w:customStyle="1" w:styleId="FontStyle174">
    <w:name w:val="Font Style174"/>
    <w:uiPriority w:val="99"/>
    <w:rsid w:val="001F2E18"/>
    <w:rPr>
      <w:rFonts w:ascii="Times New Roman" w:hAnsi="Times New Roman"/>
      <w:i/>
      <w:sz w:val="20"/>
    </w:rPr>
  </w:style>
  <w:style w:type="character" w:customStyle="1" w:styleId="FontStyle175">
    <w:name w:val="Font Style175"/>
    <w:uiPriority w:val="99"/>
    <w:rsid w:val="001F2E18"/>
    <w:rPr>
      <w:rFonts w:ascii="Arial Unicode MS" w:eastAsia="Arial Unicode MS"/>
      <w:sz w:val="32"/>
    </w:rPr>
  </w:style>
  <w:style w:type="character" w:customStyle="1" w:styleId="FontStyle176">
    <w:name w:val="Font Style176"/>
    <w:uiPriority w:val="99"/>
    <w:rsid w:val="001F2E18"/>
    <w:rPr>
      <w:rFonts w:ascii="Times New Roman" w:hAnsi="Times New Roman"/>
      <w:sz w:val="24"/>
    </w:rPr>
  </w:style>
  <w:style w:type="character" w:customStyle="1" w:styleId="FontStyle177">
    <w:name w:val="Font Style177"/>
    <w:uiPriority w:val="99"/>
    <w:rsid w:val="001F2E18"/>
    <w:rPr>
      <w:rFonts w:ascii="Times New Roman" w:hAnsi="Times New Roman"/>
      <w:i/>
      <w:sz w:val="20"/>
    </w:rPr>
  </w:style>
  <w:style w:type="character" w:customStyle="1" w:styleId="FontStyle178">
    <w:name w:val="Font Style178"/>
    <w:uiPriority w:val="99"/>
    <w:rsid w:val="001F2E18"/>
    <w:rPr>
      <w:rFonts w:ascii="Arial Unicode MS" w:eastAsia="Arial Unicode MS"/>
      <w:sz w:val="22"/>
    </w:rPr>
  </w:style>
  <w:style w:type="character" w:customStyle="1" w:styleId="FontStyle179">
    <w:name w:val="Font Style179"/>
    <w:uiPriority w:val="99"/>
    <w:rsid w:val="001F2E18"/>
    <w:rPr>
      <w:rFonts w:ascii="Times New Roman" w:hAnsi="Times New Roman"/>
      <w:sz w:val="22"/>
    </w:rPr>
  </w:style>
  <w:style w:type="character" w:customStyle="1" w:styleId="FontStyle180">
    <w:name w:val="Font Style180"/>
    <w:uiPriority w:val="99"/>
    <w:rsid w:val="001F2E18"/>
    <w:rPr>
      <w:rFonts w:ascii="Times New Roman" w:hAnsi="Times New Roman"/>
      <w:sz w:val="20"/>
    </w:rPr>
  </w:style>
  <w:style w:type="paragraph" w:styleId="af1">
    <w:name w:val="footnote text"/>
    <w:aliases w:val="Текст сноски-FN,-++,Текст сноски Знак Знак,Текст сноски Знак Знак Знак Знак Знак,Текст сноски Знак Знак Знак Знак Знак Знак Знак Знак,Текст сноски Знак Знак Знак Знак,Текст сноски Знак Знак Знак Знак1,Текст сноски Знак1 Знак,Char Знак,Зн"/>
    <w:basedOn w:val="a2"/>
    <w:link w:val="af2"/>
    <w:uiPriority w:val="99"/>
    <w:rsid w:val="001F2E18"/>
  </w:style>
  <w:style w:type="character" w:customStyle="1" w:styleId="af2">
    <w:name w:val="Текст сноски Знак"/>
    <w:aliases w:val="Текст сноски-FN Знак,-++ Знак,Текст сноски Знак Знак Знак,Текст сноски Знак Знак Знак Знак Знак Знак,Текст сноски Знак Знак Знак Знак Знак Знак Знак Знак Знак,Текст сноски Знак Знак Знак Знак Знак1,Текст сноски Знак1 Знак Знак,Зн Знак"/>
    <w:link w:val="af1"/>
    <w:uiPriority w:val="99"/>
    <w:locked/>
    <w:rsid w:val="001F2E18"/>
    <w:rPr>
      <w:rFonts w:cs="Times New Roman"/>
    </w:rPr>
  </w:style>
  <w:style w:type="character" w:styleId="af3">
    <w:name w:val="footnote reference"/>
    <w:aliases w:val="Знак сноски-FN,Ciae niinee-FN,SUPERS,Знак сноски 1,Referencia nota al pie,fr,Used by Word for Help footnote symbols,ftref,Footnote Reference Number,16 Point,Superscript 6 Point,BVI fnr,BVI fnr Car Car,BVI fnr Car"/>
    <w:uiPriority w:val="99"/>
    <w:rsid w:val="001F2E18"/>
    <w:rPr>
      <w:rFonts w:cs="Times New Roman"/>
      <w:vertAlign w:val="superscript"/>
    </w:rPr>
  </w:style>
  <w:style w:type="character" w:styleId="af4">
    <w:name w:val="FollowedHyperlink"/>
    <w:uiPriority w:val="99"/>
    <w:rsid w:val="00885C16"/>
    <w:rPr>
      <w:rFonts w:cs="Times New Roman"/>
      <w:color w:val="800080"/>
      <w:u w:val="single"/>
    </w:rPr>
  </w:style>
  <w:style w:type="paragraph" w:styleId="af5">
    <w:name w:val="Normal (Web)"/>
    <w:aliases w:val="Обычный (веб) Знак,Обычный (веб) Знак1,Обычный (веб) Знак Знак,Обычный (Web) Знак Знак,Обычный (Web) Знак,Обычный (Web) Знак Знак Знак,Обычный (Web)1 Знак,Обычный (Web) Знак Знак Знак Знак Знак Знак,Обычный (Web) Знак З,webb,Знак11 Знак"/>
    <w:basedOn w:val="a2"/>
    <w:link w:val="23"/>
    <w:uiPriority w:val="99"/>
    <w:rsid w:val="00885C16"/>
    <w:pPr>
      <w:spacing w:before="100" w:beforeAutospacing="1" w:after="100" w:afterAutospacing="1"/>
    </w:pPr>
    <w:rPr>
      <w:sz w:val="24"/>
    </w:rPr>
  </w:style>
  <w:style w:type="paragraph" w:customStyle="1" w:styleId="font0">
    <w:name w:val="font0"/>
    <w:basedOn w:val="a2"/>
    <w:uiPriority w:val="99"/>
    <w:rsid w:val="00885C16"/>
    <w:pPr>
      <w:spacing w:before="100" w:beforeAutospacing="1" w:after="100" w:afterAutospacing="1"/>
    </w:pPr>
    <w:rPr>
      <w:rFonts w:ascii="Arial" w:hAnsi="Arial" w:cs="Arial"/>
      <w:sz w:val="36"/>
      <w:szCs w:val="36"/>
    </w:rPr>
  </w:style>
  <w:style w:type="paragraph" w:customStyle="1" w:styleId="font1">
    <w:name w:val="font1"/>
    <w:basedOn w:val="a2"/>
    <w:uiPriority w:val="99"/>
    <w:rsid w:val="00885C16"/>
    <w:pPr>
      <w:spacing w:before="100" w:beforeAutospacing="1" w:after="100" w:afterAutospacing="1"/>
    </w:pPr>
    <w:rPr>
      <w:rFonts w:ascii="Arial" w:hAnsi="Arial" w:cs="Arial"/>
      <w:sz w:val="40"/>
      <w:szCs w:val="40"/>
    </w:rPr>
  </w:style>
  <w:style w:type="paragraph" w:customStyle="1" w:styleId="font2">
    <w:name w:val="font2"/>
    <w:basedOn w:val="a2"/>
    <w:uiPriority w:val="99"/>
    <w:rsid w:val="00885C16"/>
    <w:pPr>
      <w:spacing w:before="100" w:beforeAutospacing="1" w:after="100" w:afterAutospacing="1"/>
    </w:pPr>
    <w:rPr>
      <w:rFonts w:ascii="Arial" w:hAnsi="Arial" w:cs="Arial"/>
      <w:sz w:val="48"/>
      <w:szCs w:val="48"/>
    </w:rPr>
  </w:style>
  <w:style w:type="paragraph" w:customStyle="1" w:styleId="font3">
    <w:name w:val="font3"/>
    <w:basedOn w:val="a2"/>
    <w:uiPriority w:val="99"/>
    <w:rsid w:val="00885C16"/>
    <w:pPr>
      <w:spacing w:before="100" w:beforeAutospacing="1" w:after="100" w:afterAutospacing="1"/>
    </w:pPr>
    <w:rPr>
      <w:rFonts w:ascii="Courier New" w:hAnsi="Courier New" w:cs="Courier New"/>
      <w:sz w:val="28"/>
      <w:szCs w:val="28"/>
    </w:rPr>
  </w:style>
  <w:style w:type="paragraph" w:customStyle="1" w:styleId="font4">
    <w:name w:val="font4"/>
    <w:basedOn w:val="a2"/>
    <w:uiPriority w:val="99"/>
    <w:rsid w:val="00885C16"/>
    <w:pPr>
      <w:spacing w:before="100" w:beforeAutospacing="1" w:after="100" w:afterAutospacing="1"/>
    </w:pPr>
    <w:rPr>
      <w:rFonts w:ascii="Courier New" w:hAnsi="Courier New" w:cs="Courier New"/>
      <w:sz w:val="34"/>
      <w:szCs w:val="34"/>
    </w:rPr>
  </w:style>
  <w:style w:type="paragraph" w:customStyle="1" w:styleId="font5">
    <w:name w:val="font5"/>
    <w:basedOn w:val="a2"/>
    <w:uiPriority w:val="99"/>
    <w:rsid w:val="00885C16"/>
    <w:pPr>
      <w:spacing w:before="100" w:beforeAutospacing="1" w:after="100" w:afterAutospacing="1"/>
    </w:pPr>
    <w:rPr>
      <w:rFonts w:ascii="Courier New" w:hAnsi="Courier New" w:cs="Courier New"/>
      <w:sz w:val="38"/>
      <w:szCs w:val="38"/>
    </w:rPr>
  </w:style>
  <w:style w:type="paragraph" w:customStyle="1" w:styleId="font6">
    <w:name w:val="font6"/>
    <w:basedOn w:val="a2"/>
    <w:uiPriority w:val="99"/>
    <w:rsid w:val="00885C16"/>
    <w:pPr>
      <w:spacing w:before="100" w:beforeAutospacing="1" w:after="100" w:afterAutospacing="1"/>
    </w:pPr>
    <w:rPr>
      <w:sz w:val="24"/>
      <w:szCs w:val="24"/>
    </w:rPr>
  </w:style>
  <w:style w:type="paragraph" w:customStyle="1" w:styleId="font7">
    <w:name w:val="font7"/>
    <w:basedOn w:val="a2"/>
    <w:uiPriority w:val="99"/>
    <w:rsid w:val="00885C16"/>
    <w:pPr>
      <w:spacing w:before="100" w:beforeAutospacing="1" w:after="100" w:afterAutospacing="1"/>
    </w:pPr>
    <w:rPr>
      <w:sz w:val="30"/>
      <w:szCs w:val="30"/>
    </w:rPr>
  </w:style>
  <w:style w:type="paragraph" w:customStyle="1" w:styleId="font8">
    <w:name w:val="font8"/>
    <w:basedOn w:val="a2"/>
    <w:uiPriority w:val="99"/>
    <w:rsid w:val="00885C16"/>
    <w:pPr>
      <w:spacing w:before="100" w:beforeAutospacing="1" w:after="100" w:afterAutospacing="1"/>
    </w:pPr>
    <w:rPr>
      <w:sz w:val="32"/>
      <w:szCs w:val="32"/>
    </w:rPr>
  </w:style>
  <w:style w:type="paragraph" w:customStyle="1" w:styleId="font9">
    <w:name w:val="font9"/>
    <w:basedOn w:val="a2"/>
    <w:uiPriority w:val="99"/>
    <w:rsid w:val="00885C16"/>
    <w:pPr>
      <w:spacing w:before="100" w:beforeAutospacing="1" w:after="100" w:afterAutospacing="1"/>
    </w:pPr>
    <w:rPr>
      <w:sz w:val="34"/>
      <w:szCs w:val="34"/>
    </w:rPr>
  </w:style>
  <w:style w:type="paragraph" w:customStyle="1" w:styleId="font10">
    <w:name w:val="font10"/>
    <w:basedOn w:val="a2"/>
    <w:uiPriority w:val="99"/>
    <w:rsid w:val="00885C16"/>
    <w:pPr>
      <w:spacing w:before="100" w:beforeAutospacing="1" w:after="100" w:afterAutospacing="1"/>
    </w:pPr>
    <w:rPr>
      <w:sz w:val="52"/>
      <w:szCs w:val="52"/>
    </w:rPr>
  </w:style>
  <w:style w:type="character" w:customStyle="1" w:styleId="font11">
    <w:name w:val="font11"/>
    <w:uiPriority w:val="99"/>
    <w:rsid w:val="00885C16"/>
    <w:rPr>
      <w:rFonts w:ascii="Arial" w:hAnsi="Arial"/>
      <w:sz w:val="40"/>
    </w:rPr>
  </w:style>
  <w:style w:type="character" w:customStyle="1" w:styleId="font21">
    <w:name w:val="font21"/>
    <w:uiPriority w:val="99"/>
    <w:rsid w:val="00885C16"/>
    <w:rPr>
      <w:rFonts w:ascii="Arial" w:hAnsi="Arial"/>
      <w:sz w:val="48"/>
    </w:rPr>
  </w:style>
  <w:style w:type="character" w:customStyle="1" w:styleId="font01">
    <w:name w:val="font01"/>
    <w:uiPriority w:val="99"/>
    <w:rsid w:val="00885C16"/>
    <w:rPr>
      <w:rFonts w:ascii="Arial" w:hAnsi="Arial"/>
      <w:sz w:val="36"/>
    </w:rPr>
  </w:style>
  <w:style w:type="character" w:customStyle="1" w:styleId="font101">
    <w:name w:val="font101"/>
    <w:uiPriority w:val="99"/>
    <w:rsid w:val="00885C16"/>
    <w:rPr>
      <w:rFonts w:ascii="Times New Roman" w:hAnsi="Times New Roman"/>
      <w:sz w:val="52"/>
    </w:rPr>
  </w:style>
  <w:style w:type="character" w:customStyle="1" w:styleId="font81">
    <w:name w:val="font81"/>
    <w:uiPriority w:val="99"/>
    <w:rsid w:val="00885C16"/>
    <w:rPr>
      <w:rFonts w:ascii="Times New Roman" w:hAnsi="Times New Roman"/>
      <w:sz w:val="32"/>
    </w:rPr>
  </w:style>
  <w:style w:type="character" w:customStyle="1" w:styleId="font41">
    <w:name w:val="font41"/>
    <w:uiPriority w:val="99"/>
    <w:rsid w:val="00885C16"/>
    <w:rPr>
      <w:rFonts w:ascii="Courier New" w:hAnsi="Courier New"/>
      <w:sz w:val="34"/>
    </w:rPr>
  </w:style>
  <w:style w:type="character" w:customStyle="1" w:styleId="font61">
    <w:name w:val="font61"/>
    <w:uiPriority w:val="99"/>
    <w:rsid w:val="00885C16"/>
    <w:rPr>
      <w:rFonts w:ascii="Times New Roman" w:hAnsi="Times New Roman"/>
      <w:sz w:val="24"/>
    </w:rPr>
  </w:style>
  <w:style w:type="character" w:customStyle="1" w:styleId="font91">
    <w:name w:val="font91"/>
    <w:uiPriority w:val="99"/>
    <w:rsid w:val="00885C16"/>
    <w:rPr>
      <w:rFonts w:ascii="Times New Roman" w:hAnsi="Times New Roman"/>
      <w:sz w:val="34"/>
    </w:rPr>
  </w:style>
  <w:style w:type="character" w:customStyle="1" w:styleId="font31">
    <w:name w:val="font31"/>
    <w:uiPriority w:val="99"/>
    <w:rsid w:val="00885C16"/>
    <w:rPr>
      <w:rFonts w:ascii="Courier New" w:hAnsi="Courier New"/>
      <w:sz w:val="28"/>
    </w:rPr>
  </w:style>
  <w:style w:type="character" w:customStyle="1" w:styleId="font71">
    <w:name w:val="font71"/>
    <w:uiPriority w:val="99"/>
    <w:rsid w:val="00885C16"/>
    <w:rPr>
      <w:rFonts w:ascii="Times New Roman" w:hAnsi="Times New Roman"/>
      <w:sz w:val="30"/>
    </w:rPr>
  </w:style>
  <w:style w:type="character" w:customStyle="1" w:styleId="font51">
    <w:name w:val="font51"/>
    <w:uiPriority w:val="99"/>
    <w:rsid w:val="00885C16"/>
    <w:rPr>
      <w:rFonts w:ascii="Courier New" w:hAnsi="Courier New"/>
      <w:sz w:val="38"/>
    </w:rPr>
  </w:style>
  <w:style w:type="paragraph" w:customStyle="1" w:styleId="book">
    <w:name w:val="book"/>
    <w:basedOn w:val="a2"/>
    <w:uiPriority w:val="99"/>
    <w:rsid w:val="00E60538"/>
    <w:pPr>
      <w:spacing w:before="100" w:beforeAutospacing="1" w:after="100" w:afterAutospacing="1"/>
    </w:pPr>
    <w:rPr>
      <w:sz w:val="24"/>
      <w:szCs w:val="24"/>
    </w:rPr>
  </w:style>
  <w:style w:type="paragraph" w:styleId="41">
    <w:name w:val="toc 4"/>
    <w:basedOn w:val="a2"/>
    <w:next w:val="a2"/>
    <w:autoRedefine/>
    <w:uiPriority w:val="99"/>
    <w:rsid w:val="00F77C83"/>
    <w:pPr>
      <w:ind w:left="1701"/>
    </w:pPr>
    <w:rPr>
      <w:sz w:val="16"/>
    </w:rPr>
  </w:style>
  <w:style w:type="paragraph" w:styleId="af6">
    <w:name w:val="Body Text"/>
    <w:aliases w:val="Знак7,Знак71"/>
    <w:basedOn w:val="a2"/>
    <w:link w:val="af7"/>
    <w:uiPriority w:val="99"/>
    <w:rsid w:val="0060131A"/>
    <w:pPr>
      <w:jc w:val="both"/>
    </w:pPr>
    <w:rPr>
      <w:sz w:val="28"/>
      <w:szCs w:val="28"/>
    </w:rPr>
  </w:style>
  <w:style w:type="character" w:customStyle="1" w:styleId="af7">
    <w:name w:val="Основной текст Знак"/>
    <w:aliases w:val="Знак7 Знак,Знак71 Знак"/>
    <w:link w:val="af6"/>
    <w:uiPriority w:val="99"/>
    <w:locked/>
    <w:rsid w:val="0060131A"/>
    <w:rPr>
      <w:rFonts w:cs="Times New Roman"/>
      <w:sz w:val="28"/>
    </w:rPr>
  </w:style>
  <w:style w:type="paragraph" w:customStyle="1" w:styleId="Outline">
    <w:name w:val="Outline"/>
    <w:basedOn w:val="a2"/>
    <w:uiPriority w:val="99"/>
    <w:rsid w:val="0060131A"/>
    <w:pPr>
      <w:spacing w:before="240"/>
    </w:pPr>
    <w:rPr>
      <w:kern w:val="28"/>
      <w:sz w:val="24"/>
      <w:szCs w:val="24"/>
      <w:lang w:val="en-US" w:eastAsia="en-US"/>
    </w:rPr>
  </w:style>
  <w:style w:type="paragraph" w:styleId="af8">
    <w:name w:val="Body Text Indent"/>
    <w:aliases w:val="Знак13,Основной текст 1,Нумерованный список !!,Надин стиль Знак Знак"/>
    <w:basedOn w:val="a2"/>
    <w:link w:val="af9"/>
    <w:uiPriority w:val="99"/>
    <w:rsid w:val="0060131A"/>
    <w:pPr>
      <w:spacing w:before="120"/>
    </w:pPr>
    <w:rPr>
      <w:rFonts w:ascii="Arial" w:hAnsi="Arial"/>
      <w:sz w:val="16"/>
    </w:rPr>
  </w:style>
  <w:style w:type="character" w:customStyle="1" w:styleId="BodyTextIndentChar">
    <w:name w:val="Body Text Indent Char"/>
    <w:aliases w:val="Знак13 Char,Основной текст 1 Char,Нумерованный список !! Char,Надин стиль Знак Знак Char"/>
    <w:uiPriority w:val="99"/>
    <w:locked/>
    <w:rsid w:val="008F529B"/>
    <w:rPr>
      <w:rFonts w:cs="Times New Roman"/>
      <w:sz w:val="20"/>
      <w:lang w:eastAsia="ja-JP"/>
    </w:rPr>
  </w:style>
  <w:style w:type="character" w:customStyle="1" w:styleId="af9">
    <w:name w:val="Основной текст с отступом Знак"/>
    <w:aliases w:val="Знак13 Знак,Основной текст 1 Знак,Нумерованный список !! Знак,Надин стиль Знак Знак Знак"/>
    <w:link w:val="af8"/>
    <w:uiPriority w:val="99"/>
    <w:locked/>
    <w:rsid w:val="0060131A"/>
    <w:rPr>
      <w:rFonts w:ascii="Arial" w:hAnsi="Arial"/>
      <w:sz w:val="16"/>
    </w:rPr>
  </w:style>
  <w:style w:type="paragraph" w:styleId="24">
    <w:name w:val="Body Text Indent 2"/>
    <w:aliases w:val="Знак5,Знак51"/>
    <w:basedOn w:val="a2"/>
    <w:link w:val="25"/>
    <w:uiPriority w:val="99"/>
    <w:rsid w:val="0060131A"/>
    <w:pPr>
      <w:spacing w:before="120"/>
      <w:ind w:firstLine="567"/>
    </w:pPr>
    <w:rPr>
      <w:rFonts w:ascii="Arial" w:hAnsi="Arial"/>
      <w:sz w:val="16"/>
      <w:szCs w:val="16"/>
    </w:rPr>
  </w:style>
  <w:style w:type="character" w:customStyle="1" w:styleId="25">
    <w:name w:val="Основной текст с отступом 2 Знак"/>
    <w:aliases w:val="Знак5 Знак,Знак51 Знак"/>
    <w:link w:val="24"/>
    <w:uiPriority w:val="99"/>
    <w:locked/>
    <w:rsid w:val="0060131A"/>
    <w:rPr>
      <w:rFonts w:ascii="Arial" w:hAnsi="Arial" w:cs="Times New Roman"/>
      <w:sz w:val="16"/>
    </w:rPr>
  </w:style>
  <w:style w:type="paragraph" w:styleId="34">
    <w:name w:val="Body Text Indent 3"/>
    <w:basedOn w:val="a2"/>
    <w:link w:val="35"/>
    <w:uiPriority w:val="99"/>
    <w:rsid w:val="0060131A"/>
    <w:pPr>
      <w:widowControl w:val="0"/>
      <w:shd w:val="clear" w:color="auto" w:fill="FFFFFF"/>
      <w:tabs>
        <w:tab w:val="left" w:pos="1309"/>
      </w:tabs>
      <w:spacing w:before="120"/>
      <w:ind w:firstLine="567"/>
      <w:jc w:val="both"/>
    </w:pPr>
    <w:rPr>
      <w:rFonts w:ascii="Arial" w:hAnsi="Arial"/>
      <w:color w:val="000000"/>
      <w:spacing w:val="-3"/>
      <w:sz w:val="16"/>
      <w:szCs w:val="16"/>
    </w:rPr>
  </w:style>
  <w:style w:type="character" w:customStyle="1" w:styleId="35">
    <w:name w:val="Основной текст с отступом 3 Знак"/>
    <w:link w:val="34"/>
    <w:uiPriority w:val="99"/>
    <w:locked/>
    <w:rsid w:val="0060131A"/>
    <w:rPr>
      <w:rFonts w:ascii="Arial" w:hAnsi="Arial" w:cs="Times New Roman"/>
      <w:color w:val="000000"/>
      <w:spacing w:val="-3"/>
      <w:sz w:val="16"/>
      <w:shd w:val="clear" w:color="auto" w:fill="FFFFFF"/>
    </w:rPr>
  </w:style>
  <w:style w:type="paragraph" w:styleId="afa">
    <w:name w:val="Title"/>
    <w:aliases w:val="Ссылка на таблицу/рисунок,Знак,Знак Знак Знак Знак Знак,Знак Знак Знак Знак,Знак2"/>
    <w:basedOn w:val="a2"/>
    <w:link w:val="afb"/>
    <w:uiPriority w:val="99"/>
    <w:qFormat/>
    <w:rsid w:val="001E2A0C"/>
    <w:rPr>
      <w:rFonts w:ascii="Verdana" w:hAnsi="Verdana" w:cs="Verdana"/>
      <w:lang w:val="en-US" w:eastAsia="en-US"/>
    </w:rPr>
  </w:style>
  <w:style w:type="character" w:customStyle="1" w:styleId="afb">
    <w:name w:val="Название Знак"/>
    <w:aliases w:val="Ссылка на таблицу/рисунок Знак,Знак Знак4,Знак Знак Знак Знак Знак Знак,Знак Знак Знак Знак Знак1,Знак2 Знак"/>
    <w:link w:val="afa"/>
    <w:uiPriority w:val="99"/>
    <w:locked/>
    <w:rsid w:val="0060131A"/>
    <w:rPr>
      <w:rFonts w:ascii="Arial" w:hAnsi="Arial" w:cs="Times New Roman"/>
      <w:b/>
      <w:sz w:val="36"/>
    </w:rPr>
  </w:style>
  <w:style w:type="paragraph" w:styleId="51">
    <w:name w:val="toc 5"/>
    <w:basedOn w:val="a2"/>
    <w:next w:val="a2"/>
    <w:autoRedefine/>
    <w:uiPriority w:val="99"/>
    <w:rsid w:val="0060131A"/>
    <w:pPr>
      <w:widowControl w:val="0"/>
      <w:ind w:left="800"/>
    </w:pPr>
  </w:style>
  <w:style w:type="paragraph" w:styleId="61">
    <w:name w:val="toc 6"/>
    <w:basedOn w:val="a2"/>
    <w:next w:val="a2"/>
    <w:autoRedefine/>
    <w:uiPriority w:val="99"/>
    <w:rsid w:val="0060131A"/>
    <w:pPr>
      <w:widowControl w:val="0"/>
      <w:ind w:left="1000"/>
    </w:pPr>
  </w:style>
  <w:style w:type="paragraph" w:styleId="71">
    <w:name w:val="toc 7"/>
    <w:basedOn w:val="a2"/>
    <w:next w:val="a2"/>
    <w:autoRedefine/>
    <w:uiPriority w:val="99"/>
    <w:rsid w:val="0060131A"/>
    <w:pPr>
      <w:widowControl w:val="0"/>
      <w:ind w:left="1200"/>
    </w:pPr>
  </w:style>
  <w:style w:type="paragraph" w:styleId="81">
    <w:name w:val="toc 8"/>
    <w:basedOn w:val="a2"/>
    <w:next w:val="a2"/>
    <w:autoRedefine/>
    <w:uiPriority w:val="99"/>
    <w:rsid w:val="0060131A"/>
    <w:pPr>
      <w:widowControl w:val="0"/>
      <w:ind w:left="1400"/>
    </w:pPr>
  </w:style>
  <w:style w:type="paragraph" w:styleId="91">
    <w:name w:val="toc 9"/>
    <w:basedOn w:val="a2"/>
    <w:next w:val="a2"/>
    <w:autoRedefine/>
    <w:uiPriority w:val="99"/>
    <w:rsid w:val="0060131A"/>
    <w:pPr>
      <w:widowControl w:val="0"/>
      <w:ind w:left="1600"/>
    </w:pPr>
  </w:style>
  <w:style w:type="paragraph" w:styleId="36">
    <w:name w:val="Body Text 3"/>
    <w:aliases w:val="Знак Знак11,Знак Знак Знак"/>
    <w:basedOn w:val="a2"/>
    <w:link w:val="37"/>
    <w:uiPriority w:val="99"/>
    <w:rsid w:val="0060131A"/>
    <w:pPr>
      <w:autoSpaceDE w:val="0"/>
      <w:autoSpaceDN w:val="0"/>
      <w:adjustRightInd w:val="0"/>
      <w:spacing w:before="120"/>
      <w:jc w:val="both"/>
    </w:pPr>
    <w:rPr>
      <w:rFonts w:ascii="Arial" w:hAnsi="Arial"/>
      <w:sz w:val="16"/>
      <w:szCs w:val="16"/>
    </w:rPr>
  </w:style>
  <w:style w:type="character" w:customStyle="1" w:styleId="37">
    <w:name w:val="Основной текст 3 Знак"/>
    <w:aliases w:val="Знак Знак11 Знак,Знак Знак Знак Знак2"/>
    <w:link w:val="36"/>
    <w:uiPriority w:val="99"/>
    <w:locked/>
    <w:rsid w:val="0060131A"/>
    <w:rPr>
      <w:rFonts w:ascii="Arial" w:hAnsi="Arial" w:cs="Times New Roman"/>
      <w:sz w:val="16"/>
    </w:rPr>
  </w:style>
  <w:style w:type="paragraph" w:styleId="afc">
    <w:name w:val="List Paragraph"/>
    <w:basedOn w:val="a2"/>
    <w:link w:val="afd"/>
    <w:uiPriority w:val="99"/>
    <w:qFormat/>
    <w:rsid w:val="0060131A"/>
    <w:pPr>
      <w:ind w:left="720"/>
      <w:contextualSpacing/>
    </w:pPr>
  </w:style>
  <w:style w:type="character" w:customStyle="1" w:styleId="afd">
    <w:name w:val="Абзац списка Знак"/>
    <w:link w:val="afc"/>
    <w:uiPriority w:val="99"/>
    <w:locked/>
    <w:rsid w:val="009467DC"/>
    <w:rPr>
      <w:rFonts w:cs="Times New Roman"/>
    </w:rPr>
  </w:style>
  <w:style w:type="paragraph" w:customStyle="1" w:styleId="15">
    <w:name w:val="Знак Знак Знак Знак Знак Знак Знак Знак Знак1 Знак"/>
    <w:basedOn w:val="a2"/>
    <w:uiPriority w:val="99"/>
    <w:rsid w:val="001E2A0C"/>
    <w:pPr>
      <w:spacing w:after="160" w:line="240" w:lineRule="exact"/>
    </w:pPr>
    <w:rPr>
      <w:rFonts w:ascii="Tahoma" w:hAnsi="Tahoma"/>
      <w:lang w:val="en-US" w:eastAsia="en-US"/>
    </w:rPr>
  </w:style>
  <w:style w:type="paragraph" w:styleId="afe">
    <w:name w:val="Balloon Text"/>
    <w:basedOn w:val="a2"/>
    <w:link w:val="aff"/>
    <w:uiPriority w:val="99"/>
    <w:rsid w:val="001E2A0C"/>
    <w:rPr>
      <w:rFonts w:ascii="Tahoma" w:hAnsi="Tahoma"/>
      <w:sz w:val="16"/>
      <w:szCs w:val="16"/>
    </w:rPr>
  </w:style>
  <w:style w:type="character" w:customStyle="1" w:styleId="aff">
    <w:name w:val="Текст выноски Знак"/>
    <w:link w:val="afe"/>
    <w:uiPriority w:val="99"/>
    <w:locked/>
    <w:rsid w:val="001E2A0C"/>
    <w:rPr>
      <w:rFonts w:ascii="Tahoma" w:hAnsi="Tahoma" w:cs="Times New Roman"/>
      <w:sz w:val="16"/>
    </w:rPr>
  </w:style>
  <w:style w:type="character" w:customStyle="1" w:styleId="s0">
    <w:name w:val="s0"/>
    <w:uiPriority w:val="99"/>
    <w:rsid w:val="001E2A0C"/>
    <w:rPr>
      <w:rFonts w:ascii="Times New Roman" w:hAnsi="Times New Roman"/>
      <w:color w:val="000000"/>
      <w:sz w:val="20"/>
      <w:u w:val="none"/>
      <w:effect w:val="none"/>
    </w:rPr>
  </w:style>
  <w:style w:type="paragraph" w:customStyle="1" w:styleId="CharChar1">
    <w:name w:val="Char Char1"/>
    <w:basedOn w:val="a2"/>
    <w:uiPriority w:val="99"/>
    <w:rsid w:val="001E2A0C"/>
    <w:pPr>
      <w:spacing w:after="160" w:line="240" w:lineRule="exact"/>
    </w:pPr>
    <w:rPr>
      <w:rFonts w:ascii="Verdana" w:hAnsi="Verdana"/>
      <w:lang w:val="en-US" w:eastAsia="en-US"/>
    </w:rPr>
  </w:style>
  <w:style w:type="paragraph" w:customStyle="1" w:styleId="210">
    <w:name w:val="Основной текст 21"/>
    <w:basedOn w:val="a2"/>
    <w:uiPriority w:val="99"/>
    <w:rsid w:val="001E2A0C"/>
    <w:pPr>
      <w:spacing w:after="200"/>
      <w:ind w:firstLine="709"/>
    </w:pPr>
    <w:rPr>
      <w:rFonts w:ascii="Arial" w:hAnsi="Arial" w:cs="Arial"/>
      <w:lang w:val="en-US" w:eastAsia="en-US"/>
    </w:rPr>
  </w:style>
  <w:style w:type="paragraph" w:customStyle="1" w:styleId="Head2it">
    <w:name w:val="Head 2_it"/>
    <w:basedOn w:val="a2"/>
    <w:uiPriority w:val="99"/>
    <w:rsid w:val="001E2A0C"/>
    <w:pPr>
      <w:spacing w:before="240" w:after="120"/>
      <w:ind w:firstLine="709"/>
    </w:pPr>
    <w:rPr>
      <w:rFonts w:ascii="Arial" w:hAnsi="Arial" w:cs="Arial"/>
      <w:i/>
      <w:iCs/>
      <w:color w:val="000000"/>
      <w:spacing w:val="-4"/>
      <w:lang w:val="en-US" w:eastAsia="en-US"/>
    </w:rPr>
  </w:style>
  <w:style w:type="paragraph" w:styleId="26">
    <w:name w:val="Body Text 2"/>
    <w:basedOn w:val="a2"/>
    <w:link w:val="27"/>
    <w:uiPriority w:val="99"/>
    <w:rsid w:val="001E2A0C"/>
    <w:pPr>
      <w:ind w:firstLine="709"/>
    </w:pPr>
    <w:rPr>
      <w:color w:val="000000"/>
      <w:sz w:val="24"/>
      <w:szCs w:val="24"/>
    </w:rPr>
  </w:style>
  <w:style w:type="character" w:customStyle="1" w:styleId="27">
    <w:name w:val="Основной текст 2 Знак"/>
    <w:link w:val="26"/>
    <w:uiPriority w:val="99"/>
    <w:locked/>
    <w:rsid w:val="001E2A0C"/>
    <w:rPr>
      <w:rFonts w:cs="Times New Roman"/>
      <w:color w:val="000000"/>
      <w:sz w:val="24"/>
    </w:rPr>
  </w:style>
  <w:style w:type="paragraph" w:styleId="aff0">
    <w:name w:val="annotation text"/>
    <w:basedOn w:val="a2"/>
    <w:link w:val="aff1"/>
    <w:uiPriority w:val="99"/>
    <w:rsid w:val="001E2A0C"/>
    <w:pPr>
      <w:ind w:firstLine="709"/>
    </w:pPr>
  </w:style>
  <w:style w:type="character" w:customStyle="1" w:styleId="aff1">
    <w:name w:val="Текст примечания Знак"/>
    <w:link w:val="aff0"/>
    <w:uiPriority w:val="99"/>
    <w:locked/>
    <w:rsid w:val="001E2A0C"/>
    <w:rPr>
      <w:rFonts w:cs="Times New Roman"/>
    </w:rPr>
  </w:style>
  <w:style w:type="paragraph" w:styleId="aff2">
    <w:name w:val="annotation subject"/>
    <w:basedOn w:val="aff0"/>
    <w:next w:val="aff0"/>
    <w:link w:val="aff3"/>
    <w:uiPriority w:val="99"/>
    <w:rsid w:val="001E2A0C"/>
    <w:rPr>
      <w:b/>
      <w:bCs/>
    </w:rPr>
  </w:style>
  <w:style w:type="character" w:customStyle="1" w:styleId="aff3">
    <w:name w:val="Тема примечания Знак"/>
    <w:link w:val="aff2"/>
    <w:uiPriority w:val="99"/>
    <w:locked/>
    <w:rsid w:val="001E2A0C"/>
    <w:rPr>
      <w:rFonts w:cs="Times New Roman"/>
      <w:b/>
    </w:rPr>
  </w:style>
  <w:style w:type="paragraph" w:customStyle="1" w:styleId="211">
    <w:name w:val="Знак2 Знак Знак1 Знак1 Знак Знак Знак Знак Знак Знак Знак Знак Знак Знак Знак Знак"/>
    <w:basedOn w:val="a2"/>
    <w:uiPriority w:val="99"/>
    <w:rsid w:val="001E2A0C"/>
    <w:pPr>
      <w:spacing w:after="160" w:line="240" w:lineRule="exact"/>
    </w:pPr>
    <w:rPr>
      <w:rFonts w:ascii="Verdana" w:hAnsi="Verdana"/>
      <w:lang w:val="en-US" w:eastAsia="en-US"/>
    </w:rPr>
  </w:style>
  <w:style w:type="paragraph" w:customStyle="1" w:styleId="aff4">
    <w:name w:val="Годы"/>
    <w:basedOn w:val="a2"/>
    <w:uiPriority w:val="99"/>
    <w:rsid w:val="001E2A0C"/>
    <w:pPr>
      <w:keepNext/>
      <w:spacing w:before="120" w:line="360" w:lineRule="auto"/>
      <w:ind w:firstLine="709"/>
      <w:jc w:val="both"/>
    </w:pPr>
    <w:rPr>
      <w:sz w:val="26"/>
      <w:szCs w:val="24"/>
    </w:rPr>
  </w:style>
  <w:style w:type="paragraph" w:styleId="HTML">
    <w:name w:val="HTML Preformatted"/>
    <w:aliases w:val="Знак21,Знак211"/>
    <w:basedOn w:val="a2"/>
    <w:link w:val="HTML0"/>
    <w:uiPriority w:val="99"/>
    <w:rsid w:val="001E2A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
    <w:name w:val="HTML Preformatted Char"/>
    <w:aliases w:val="Знак21 Char,Знак211 Char"/>
    <w:uiPriority w:val="99"/>
    <w:semiHidden/>
    <w:locked/>
    <w:rsid w:val="00641F40"/>
    <w:rPr>
      <w:rFonts w:ascii="Courier New" w:hAnsi="Courier New" w:cs="Courier New"/>
      <w:sz w:val="20"/>
      <w:szCs w:val="20"/>
    </w:rPr>
  </w:style>
  <w:style w:type="character" w:customStyle="1" w:styleId="HTML0">
    <w:name w:val="Стандартный HTML Знак"/>
    <w:aliases w:val="Знак21 Знак,Знак211 Знак"/>
    <w:link w:val="HTML"/>
    <w:uiPriority w:val="99"/>
    <w:locked/>
    <w:rsid w:val="001E2A0C"/>
    <w:rPr>
      <w:rFonts w:ascii="Courier New" w:hAnsi="Courier New"/>
    </w:rPr>
  </w:style>
  <w:style w:type="character" w:styleId="aff5">
    <w:name w:val="Emphasis"/>
    <w:uiPriority w:val="99"/>
    <w:qFormat/>
    <w:rsid w:val="001E2A0C"/>
    <w:rPr>
      <w:rFonts w:cs="Times New Roman"/>
      <w:b/>
    </w:rPr>
  </w:style>
  <w:style w:type="paragraph" w:customStyle="1" w:styleId="CharCharCharCharCharCharCharChar1">
    <w:name w:val="Char Char Знак Знак Char Char Знак Знак Char Char Знак Знак Char Char1"/>
    <w:basedOn w:val="a2"/>
    <w:uiPriority w:val="99"/>
    <w:rsid w:val="001E2A0C"/>
    <w:pPr>
      <w:spacing w:before="100" w:beforeAutospacing="1" w:after="100" w:afterAutospacing="1"/>
    </w:pPr>
    <w:rPr>
      <w:color w:val="000000"/>
      <w:sz w:val="24"/>
      <w:szCs w:val="24"/>
      <w:u w:color="000000"/>
      <w:lang w:val="en-US" w:eastAsia="en-US"/>
    </w:rPr>
  </w:style>
  <w:style w:type="paragraph" w:customStyle="1" w:styleId="CharChar">
    <w:name w:val="Char Char"/>
    <w:basedOn w:val="a2"/>
    <w:uiPriority w:val="99"/>
    <w:rsid w:val="001E2A0C"/>
    <w:rPr>
      <w:rFonts w:ascii="Verdana" w:hAnsi="Verdana" w:cs="Verdana"/>
      <w:lang w:val="en-US" w:eastAsia="en-US"/>
    </w:rPr>
  </w:style>
  <w:style w:type="character" w:styleId="aff6">
    <w:name w:val="annotation reference"/>
    <w:uiPriority w:val="99"/>
    <w:rsid w:val="001E2A0C"/>
    <w:rPr>
      <w:rFonts w:cs="Times New Roman"/>
      <w:sz w:val="16"/>
    </w:rPr>
  </w:style>
  <w:style w:type="paragraph" w:customStyle="1" w:styleId="16">
    <w:name w:val="Знак Знак Знак1 Знак"/>
    <w:basedOn w:val="a2"/>
    <w:uiPriority w:val="99"/>
    <w:rsid w:val="001E2A0C"/>
    <w:rPr>
      <w:rFonts w:ascii="Verdana" w:hAnsi="Verdana" w:cs="Verdana"/>
      <w:lang w:val="en-US" w:eastAsia="en-US"/>
    </w:rPr>
  </w:style>
  <w:style w:type="character" w:customStyle="1" w:styleId="FontStyle16">
    <w:name w:val="Font Style16"/>
    <w:uiPriority w:val="99"/>
    <w:rsid w:val="00CB5ACD"/>
    <w:rPr>
      <w:rFonts w:ascii="Lucida Sans Unicode" w:hAnsi="Lucida Sans Unicode"/>
      <w:sz w:val="16"/>
    </w:rPr>
  </w:style>
  <w:style w:type="character" w:customStyle="1" w:styleId="FontStyle31">
    <w:name w:val="Font Style31"/>
    <w:uiPriority w:val="99"/>
    <w:rsid w:val="00CB5ACD"/>
    <w:rPr>
      <w:rFonts w:ascii="Calibri" w:hAnsi="Calibri"/>
      <w:b/>
      <w:sz w:val="50"/>
    </w:rPr>
  </w:style>
  <w:style w:type="character" w:customStyle="1" w:styleId="FontStyle32">
    <w:name w:val="Font Style32"/>
    <w:uiPriority w:val="99"/>
    <w:rsid w:val="00CB5ACD"/>
    <w:rPr>
      <w:rFonts w:ascii="Calibri" w:hAnsi="Calibri"/>
      <w:sz w:val="26"/>
    </w:rPr>
  </w:style>
  <w:style w:type="character" w:customStyle="1" w:styleId="FontStyle15">
    <w:name w:val="Font Style15"/>
    <w:uiPriority w:val="99"/>
    <w:rsid w:val="00CB5ACD"/>
    <w:rPr>
      <w:rFonts w:ascii="Calibri" w:hAnsi="Calibri"/>
      <w:b/>
      <w:sz w:val="50"/>
    </w:rPr>
  </w:style>
  <w:style w:type="character" w:customStyle="1" w:styleId="FontStyle13">
    <w:name w:val="Font Style13"/>
    <w:uiPriority w:val="99"/>
    <w:rsid w:val="00CB5ACD"/>
    <w:rPr>
      <w:rFonts w:ascii="Segoe UI" w:hAnsi="Segoe UI"/>
      <w:sz w:val="24"/>
    </w:rPr>
  </w:style>
  <w:style w:type="character" w:customStyle="1" w:styleId="FontStyle49">
    <w:name w:val="Font Style49"/>
    <w:uiPriority w:val="99"/>
    <w:rsid w:val="00CB5ACD"/>
    <w:rPr>
      <w:rFonts w:ascii="Times New Roman" w:hAnsi="Times New Roman"/>
      <w:b/>
      <w:sz w:val="18"/>
    </w:rPr>
  </w:style>
  <w:style w:type="character" w:customStyle="1" w:styleId="FontStyle52">
    <w:name w:val="Font Style52"/>
    <w:uiPriority w:val="99"/>
    <w:rsid w:val="00CB5ACD"/>
    <w:rPr>
      <w:rFonts w:ascii="Times New Roman" w:hAnsi="Times New Roman"/>
      <w:sz w:val="18"/>
    </w:rPr>
  </w:style>
  <w:style w:type="character" w:customStyle="1" w:styleId="FontStyle33">
    <w:name w:val="Font Style33"/>
    <w:uiPriority w:val="99"/>
    <w:rsid w:val="00CB5ACD"/>
    <w:rPr>
      <w:rFonts w:ascii="Calibri" w:hAnsi="Calibri"/>
      <w:b/>
      <w:sz w:val="50"/>
    </w:rPr>
  </w:style>
  <w:style w:type="character" w:customStyle="1" w:styleId="FontStyle34">
    <w:name w:val="Font Style34"/>
    <w:uiPriority w:val="99"/>
    <w:rsid w:val="00CB5ACD"/>
    <w:rPr>
      <w:rFonts w:ascii="Calibri" w:hAnsi="Calibri"/>
      <w:sz w:val="26"/>
    </w:rPr>
  </w:style>
  <w:style w:type="character" w:customStyle="1" w:styleId="FontStyle27">
    <w:name w:val="Font Style27"/>
    <w:uiPriority w:val="99"/>
    <w:rsid w:val="00CB5ACD"/>
    <w:rPr>
      <w:rFonts w:ascii="Times New Roman" w:hAnsi="Times New Roman"/>
      <w:sz w:val="18"/>
    </w:rPr>
  </w:style>
  <w:style w:type="character" w:customStyle="1" w:styleId="FontStyle23">
    <w:name w:val="Font Style23"/>
    <w:uiPriority w:val="99"/>
    <w:rsid w:val="00CB5ACD"/>
    <w:rPr>
      <w:rFonts w:ascii="Calibri" w:hAnsi="Calibri"/>
      <w:sz w:val="26"/>
    </w:rPr>
  </w:style>
  <w:style w:type="paragraph" w:styleId="aff7">
    <w:name w:val="List Bullet"/>
    <w:basedOn w:val="a2"/>
    <w:autoRedefine/>
    <w:uiPriority w:val="99"/>
    <w:rsid w:val="009467DC"/>
    <w:pPr>
      <w:tabs>
        <w:tab w:val="num" w:pos="360"/>
      </w:tabs>
      <w:spacing w:before="60"/>
      <w:ind w:left="360" w:hanging="360"/>
      <w:jc w:val="both"/>
    </w:pPr>
    <w:rPr>
      <w:sz w:val="24"/>
    </w:rPr>
  </w:style>
  <w:style w:type="paragraph" w:styleId="28">
    <w:name w:val="List Bullet 2"/>
    <w:basedOn w:val="a2"/>
    <w:autoRedefine/>
    <w:uiPriority w:val="99"/>
    <w:rsid w:val="009467DC"/>
    <w:pPr>
      <w:tabs>
        <w:tab w:val="num" w:pos="720"/>
      </w:tabs>
      <w:spacing w:before="60"/>
      <w:ind w:left="720" w:hanging="360"/>
      <w:jc w:val="both"/>
    </w:pPr>
    <w:rPr>
      <w:sz w:val="24"/>
    </w:rPr>
  </w:style>
  <w:style w:type="paragraph" w:styleId="38">
    <w:name w:val="List Bullet 3"/>
    <w:basedOn w:val="a2"/>
    <w:autoRedefine/>
    <w:uiPriority w:val="99"/>
    <w:rsid w:val="009467DC"/>
    <w:pPr>
      <w:tabs>
        <w:tab w:val="num" w:pos="1080"/>
      </w:tabs>
      <w:spacing w:before="60"/>
      <w:ind w:left="1080" w:hanging="360"/>
      <w:jc w:val="both"/>
    </w:pPr>
    <w:rPr>
      <w:sz w:val="24"/>
    </w:rPr>
  </w:style>
  <w:style w:type="paragraph" w:customStyle="1" w:styleId="aff8">
    <w:name w:val="Источник основной"/>
    <w:basedOn w:val="a2"/>
    <w:uiPriority w:val="99"/>
    <w:rsid w:val="009467DC"/>
    <w:pPr>
      <w:keepLines/>
      <w:spacing w:before="60"/>
      <w:jc w:val="both"/>
    </w:pPr>
    <w:rPr>
      <w:sz w:val="18"/>
    </w:rPr>
  </w:style>
  <w:style w:type="paragraph" w:customStyle="1" w:styleId="aff9">
    <w:name w:val="Номер_ТАБ"/>
    <w:basedOn w:val="a2"/>
    <w:uiPriority w:val="99"/>
    <w:rsid w:val="009467DC"/>
    <w:pPr>
      <w:keepNext/>
      <w:spacing w:before="120"/>
      <w:jc w:val="right"/>
    </w:pPr>
    <w:rPr>
      <w:i/>
      <w:sz w:val="24"/>
    </w:rPr>
  </w:style>
  <w:style w:type="paragraph" w:customStyle="1" w:styleId="affa">
    <w:name w:val="Источник последний абзац"/>
    <w:basedOn w:val="aff8"/>
    <w:uiPriority w:val="99"/>
    <w:rsid w:val="009467DC"/>
    <w:pPr>
      <w:spacing w:after="120"/>
    </w:pPr>
  </w:style>
  <w:style w:type="paragraph" w:customStyle="1" w:styleId="affb">
    <w:name w:val="Объект (рисунок"/>
    <w:aliases w:val="график)"/>
    <w:basedOn w:val="a2"/>
    <w:uiPriority w:val="99"/>
    <w:rsid w:val="009467DC"/>
    <w:pPr>
      <w:spacing w:before="60" w:after="120"/>
      <w:jc w:val="center"/>
    </w:pPr>
    <w:rPr>
      <w:sz w:val="24"/>
    </w:rPr>
  </w:style>
  <w:style w:type="paragraph" w:customStyle="1" w:styleId="affc">
    <w:name w:val="#Таблица текст"/>
    <w:basedOn w:val="a2"/>
    <w:uiPriority w:val="99"/>
    <w:rsid w:val="009467DC"/>
  </w:style>
  <w:style w:type="paragraph" w:customStyle="1" w:styleId="affd">
    <w:name w:val="#Таблица цифры"/>
    <w:basedOn w:val="a2"/>
    <w:uiPriority w:val="99"/>
    <w:rsid w:val="009467DC"/>
    <w:pPr>
      <w:jc w:val="center"/>
    </w:pPr>
  </w:style>
  <w:style w:type="paragraph" w:customStyle="1" w:styleId="affe">
    <w:name w:val="#Таблица названия столбцов"/>
    <w:basedOn w:val="a2"/>
    <w:uiPriority w:val="99"/>
    <w:rsid w:val="009467DC"/>
    <w:pPr>
      <w:jc w:val="center"/>
    </w:pPr>
    <w:rPr>
      <w:b/>
    </w:rPr>
  </w:style>
  <w:style w:type="paragraph" w:customStyle="1" w:styleId="afff">
    <w:name w:val="Заголовок_ТАБ"/>
    <w:basedOn w:val="a2"/>
    <w:uiPriority w:val="99"/>
    <w:rsid w:val="009467DC"/>
    <w:pPr>
      <w:spacing w:before="60" w:after="120"/>
      <w:jc w:val="center"/>
    </w:pPr>
    <w:rPr>
      <w:b/>
      <w:sz w:val="24"/>
    </w:rPr>
  </w:style>
  <w:style w:type="paragraph" w:customStyle="1" w:styleId="afff0">
    <w:name w:val="Заголовок_РИС"/>
    <w:basedOn w:val="a2"/>
    <w:uiPriority w:val="99"/>
    <w:rsid w:val="009467DC"/>
    <w:pPr>
      <w:keepNext/>
      <w:spacing w:before="240" w:after="60"/>
      <w:jc w:val="center"/>
    </w:pPr>
    <w:rPr>
      <w:sz w:val="24"/>
    </w:rPr>
  </w:style>
  <w:style w:type="character" w:customStyle="1" w:styleId="afff1">
    <w:name w:val="Номер_РИС"/>
    <w:uiPriority w:val="99"/>
    <w:rsid w:val="009467DC"/>
    <w:rPr>
      <w:i/>
      <w:sz w:val="24"/>
    </w:rPr>
  </w:style>
  <w:style w:type="paragraph" w:customStyle="1" w:styleId="afff2">
    <w:name w:val="раздилитель сноски"/>
    <w:basedOn w:val="a2"/>
    <w:next w:val="af1"/>
    <w:uiPriority w:val="99"/>
    <w:rsid w:val="009467DC"/>
    <w:pPr>
      <w:spacing w:before="60"/>
      <w:jc w:val="both"/>
    </w:pPr>
    <w:rPr>
      <w:sz w:val="24"/>
      <w:lang w:val="en-US"/>
    </w:rPr>
  </w:style>
  <w:style w:type="character" w:customStyle="1" w:styleId="apple-style-span">
    <w:name w:val="apple-style-span"/>
    <w:uiPriority w:val="99"/>
    <w:rsid w:val="009467DC"/>
    <w:rPr>
      <w:rFonts w:cs="Times New Roman"/>
    </w:rPr>
  </w:style>
  <w:style w:type="paragraph" w:customStyle="1" w:styleId="ConsPlusNormal">
    <w:name w:val="ConsPlusNormal"/>
    <w:uiPriority w:val="99"/>
    <w:rsid w:val="009467DC"/>
    <w:pPr>
      <w:widowControl w:val="0"/>
      <w:autoSpaceDE w:val="0"/>
      <w:autoSpaceDN w:val="0"/>
      <w:adjustRightInd w:val="0"/>
      <w:ind w:firstLine="720"/>
    </w:pPr>
    <w:rPr>
      <w:rFonts w:ascii="Arial" w:hAnsi="Arial" w:cs="Arial"/>
    </w:rPr>
  </w:style>
  <w:style w:type="character" w:customStyle="1" w:styleId="longtext">
    <w:name w:val="long_text"/>
    <w:uiPriority w:val="99"/>
    <w:rsid w:val="009467DC"/>
    <w:rPr>
      <w:rFonts w:cs="Times New Roman"/>
    </w:rPr>
  </w:style>
  <w:style w:type="character" w:customStyle="1" w:styleId="FontStyle25">
    <w:name w:val="Font Style25"/>
    <w:uiPriority w:val="99"/>
    <w:rsid w:val="009467DC"/>
    <w:rPr>
      <w:rFonts w:ascii="Times New Roman" w:hAnsi="Times New Roman"/>
      <w:sz w:val="26"/>
    </w:rPr>
  </w:style>
  <w:style w:type="paragraph" w:styleId="afff3">
    <w:name w:val="Document Map"/>
    <w:basedOn w:val="a2"/>
    <w:link w:val="afff4"/>
    <w:uiPriority w:val="99"/>
    <w:rsid w:val="009467DC"/>
    <w:pPr>
      <w:shd w:val="clear" w:color="auto" w:fill="000080"/>
      <w:spacing w:before="60"/>
      <w:ind w:firstLine="567"/>
      <w:jc w:val="both"/>
    </w:pPr>
    <w:rPr>
      <w:rFonts w:ascii="Tahoma" w:hAnsi="Tahoma"/>
    </w:rPr>
  </w:style>
  <w:style w:type="character" w:customStyle="1" w:styleId="afff4">
    <w:name w:val="Схема документа Знак"/>
    <w:link w:val="afff3"/>
    <w:uiPriority w:val="99"/>
    <w:locked/>
    <w:rsid w:val="009467DC"/>
    <w:rPr>
      <w:rFonts w:ascii="Tahoma" w:hAnsi="Tahoma" w:cs="Times New Roman"/>
      <w:shd w:val="clear" w:color="auto" w:fill="000080"/>
    </w:rPr>
  </w:style>
  <w:style w:type="paragraph" w:customStyle="1" w:styleId="29">
    <w:name w:val="Обычный2"/>
    <w:uiPriority w:val="99"/>
    <w:rsid w:val="003668CA"/>
    <w:pPr>
      <w:widowControl w:val="0"/>
      <w:spacing w:line="280" w:lineRule="auto"/>
      <w:ind w:left="1080" w:firstLine="320"/>
      <w:jc w:val="both"/>
    </w:pPr>
    <w:rPr>
      <w:rFonts w:ascii="Arial" w:hAnsi="Arial"/>
    </w:rPr>
  </w:style>
  <w:style w:type="character" w:customStyle="1" w:styleId="apple-converted-space">
    <w:name w:val="apple-converted-space"/>
    <w:uiPriority w:val="99"/>
    <w:rsid w:val="00405D37"/>
  </w:style>
  <w:style w:type="character" w:customStyle="1" w:styleId="hl">
    <w:name w:val="hl"/>
    <w:uiPriority w:val="99"/>
    <w:rsid w:val="00405D37"/>
  </w:style>
  <w:style w:type="character" w:customStyle="1" w:styleId="uc-price-product">
    <w:name w:val="uc-price-product"/>
    <w:uiPriority w:val="99"/>
    <w:rsid w:val="00405D37"/>
  </w:style>
  <w:style w:type="paragraph" w:styleId="z-">
    <w:name w:val="HTML Top of Form"/>
    <w:basedOn w:val="a2"/>
    <w:next w:val="a2"/>
    <w:link w:val="z-0"/>
    <w:hidden/>
    <w:uiPriority w:val="99"/>
    <w:rsid w:val="00405D37"/>
    <w:pPr>
      <w:pBdr>
        <w:bottom w:val="single" w:sz="6" w:space="1" w:color="auto"/>
      </w:pBdr>
      <w:jc w:val="center"/>
    </w:pPr>
    <w:rPr>
      <w:rFonts w:ascii="Arial" w:hAnsi="Arial"/>
      <w:vanish/>
      <w:sz w:val="16"/>
      <w:szCs w:val="16"/>
    </w:rPr>
  </w:style>
  <w:style w:type="character" w:customStyle="1" w:styleId="z-0">
    <w:name w:val="z-Начало формы Знак"/>
    <w:link w:val="z-"/>
    <w:uiPriority w:val="99"/>
    <w:locked/>
    <w:rsid w:val="00405D37"/>
    <w:rPr>
      <w:rFonts w:ascii="Arial" w:hAnsi="Arial" w:cs="Times New Roman"/>
      <w:vanish/>
      <w:sz w:val="16"/>
    </w:rPr>
  </w:style>
  <w:style w:type="paragraph" w:styleId="z-1">
    <w:name w:val="HTML Bottom of Form"/>
    <w:basedOn w:val="a2"/>
    <w:next w:val="a2"/>
    <w:link w:val="z-2"/>
    <w:hidden/>
    <w:uiPriority w:val="99"/>
    <w:rsid w:val="00405D37"/>
    <w:pPr>
      <w:pBdr>
        <w:top w:val="single" w:sz="6" w:space="1" w:color="auto"/>
      </w:pBdr>
      <w:jc w:val="center"/>
    </w:pPr>
    <w:rPr>
      <w:rFonts w:ascii="Arial" w:hAnsi="Arial"/>
      <w:vanish/>
      <w:sz w:val="16"/>
      <w:szCs w:val="16"/>
    </w:rPr>
  </w:style>
  <w:style w:type="character" w:customStyle="1" w:styleId="z-2">
    <w:name w:val="z-Конец формы Знак"/>
    <w:link w:val="z-1"/>
    <w:uiPriority w:val="99"/>
    <w:locked/>
    <w:rsid w:val="00405D37"/>
    <w:rPr>
      <w:rFonts w:ascii="Arial" w:hAnsi="Arial" w:cs="Times New Roman"/>
      <w:vanish/>
      <w:sz w:val="16"/>
    </w:rPr>
  </w:style>
  <w:style w:type="paragraph" w:customStyle="1" w:styleId="39">
    <w:name w:val="Обычный3"/>
    <w:uiPriority w:val="99"/>
    <w:rsid w:val="00405D37"/>
    <w:rPr>
      <w:lang w:val="en-US"/>
    </w:rPr>
  </w:style>
  <w:style w:type="paragraph" w:customStyle="1" w:styleId="17">
    <w:name w:val="???????1"/>
    <w:uiPriority w:val="99"/>
    <w:rsid w:val="00405D37"/>
    <w:pPr>
      <w:widowControl w:val="0"/>
    </w:pPr>
  </w:style>
  <w:style w:type="paragraph" w:customStyle="1" w:styleId="afff5">
    <w:name w:val="????? ??????"/>
    <w:basedOn w:val="a2"/>
    <w:uiPriority w:val="99"/>
    <w:rsid w:val="00405D37"/>
    <w:pPr>
      <w:widowControl w:val="0"/>
    </w:pPr>
  </w:style>
  <w:style w:type="character" w:customStyle="1" w:styleId="afff6">
    <w:name w:val="???? ??????"/>
    <w:uiPriority w:val="99"/>
    <w:rsid w:val="00405D37"/>
    <w:rPr>
      <w:sz w:val="20"/>
      <w:vertAlign w:val="superscript"/>
    </w:rPr>
  </w:style>
  <w:style w:type="paragraph" w:customStyle="1" w:styleId="Default">
    <w:name w:val="Default"/>
    <w:link w:val="Default0"/>
    <w:uiPriority w:val="99"/>
    <w:rsid w:val="00405D37"/>
    <w:pPr>
      <w:autoSpaceDE w:val="0"/>
      <w:autoSpaceDN w:val="0"/>
      <w:adjustRightInd w:val="0"/>
    </w:pPr>
    <w:rPr>
      <w:color w:val="000000"/>
      <w:sz w:val="22"/>
      <w:szCs w:val="22"/>
    </w:rPr>
  </w:style>
  <w:style w:type="character" w:customStyle="1" w:styleId="afff7">
    <w:name w:val="знак сноски"/>
    <w:uiPriority w:val="99"/>
    <w:rsid w:val="00405D37"/>
    <w:rPr>
      <w:vertAlign w:val="superscript"/>
    </w:rPr>
  </w:style>
  <w:style w:type="character" w:styleId="HTML1">
    <w:name w:val="HTML Typewriter"/>
    <w:uiPriority w:val="99"/>
    <w:rsid w:val="00405D37"/>
    <w:rPr>
      <w:rFonts w:ascii="Courier New" w:hAnsi="Courier New" w:cs="Times New Roman"/>
      <w:sz w:val="24"/>
    </w:rPr>
  </w:style>
  <w:style w:type="character" w:customStyle="1" w:styleId="FontStyle35">
    <w:name w:val="Font Style35"/>
    <w:uiPriority w:val="99"/>
    <w:rsid w:val="00027B28"/>
    <w:rPr>
      <w:rFonts w:ascii="Times New Roman" w:hAnsi="Times New Roman"/>
      <w:sz w:val="20"/>
    </w:rPr>
  </w:style>
  <w:style w:type="character" w:customStyle="1" w:styleId="FontStyle36">
    <w:name w:val="Font Style36"/>
    <w:uiPriority w:val="99"/>
    <w:rsid w:val="00027B28"/>
    <w:rPr>
      <w:rFonts w:ascii="Times New Roman" w:hAnsi="Times New Roman"/>
      <w:spacing w:val="10"/>
      <w:sz w:val="44"/>
    </w:rPr>
  </w:style>
  <w:style w:type="character" w:customStyle="1" w:styleId="FontStyle37">
    <w:name w:val="Font Style37"/>
    <w:uiPriority w:val="99"/>
    <w:rsid w:val="00027B28"/>
    <w:rPr>
      <w:rFonts w:ascii="Cambria" w:hAnsi="Cambria"/>
      <w:spacing w:val="-20"/>
      <w:sz w:val="22"/>
    </w:rPr>
  </w:style>
  <w:style w:type="character" w:customStyle="1" w:styleId="FontStyle38">
    <w:name w:val="Font Style38"/>
    <w:uiPriority w:val="99"/>
    <w:rsid w:val="00027B28"/>
    <w:rPr>
      <w:rFonts w:ascii="Cambria" w:hAnsi="Cambria"/>
      <w:spacing w:val="-10"/>
      <w:sz w:val="20"/>
    </w:rPr>
  </w:style>
  <w:style w:type="character" w:customStyle="1" w:styleId="FontStyle39">
    <w:name w:val="Font Style39"/>
    <w:uiPriority w:val="99"/>
    <w:rsid w:val="00027B28"/>
    <w:rPr>
      <w:rFonts w:ascii="Times New Roman" w:hAnsi="Times New Roman"/>
      <w:b/>
      <w:sz w:val="18"/>
    </w:rPr>
  </w:style>
  <w:style w:type="character" w:customStyle="1" w:styleId="FontStyle40">
    <w:name w:val="Font Style40"/>
    <w:uiPriority w:val="99"/>
    <w:rsid w:val="00027B28"/>
    <w:rPr>
      <w:rFonts w:ascii="Times New Roman" w:hAnsi="Times New Roman"/>
      <w:b/>
      <w:sz w:val="18"/>
    </w:rPr>
  </w:style>
  <w:style w:type="character" w:customStyle="1" w:styleId="FontStyle41">
    <w:name w:val="Font Style41"/>
    <w:uiPriority w:val="99"/>
    <w:rsid w:val="00027B28"/>
    <w:rPr>
      <w:rFonts w:ascii="Times New Roman" w:hAnsi="Times New Roman"/>
      <w:sz w:val="36"/>
    </w:rPr>
  </w:style>
  <w:style w:type="character" w:customStyle="1" w:styleId="FontStyle42">
    <w:name w:val="Font Style42"/>
    <w:uiPriority w:val="99"/>
    <w:rsid w:val="00027B28"/>
    <w:rPr>
      <w:rFonts w:ascii="Times New Roman" w:hAnsi="Times New Roman"/>
      <w:sz w:val="26"/>
    </w:rPr>
  </w:style>
  <w:style w:type="character" w:customStyle="1" w:styleId="FontStyle43">
    <w:name w:val="Font Style43"/>
    <w:uiPriority w:val="99"/>
    <w:rsid w:val="00027B28"/>
    <w:rPr>
      <w:rFonts w:ascii="Times New Roman" w:hAnsi="Times New Roman"/>
      <w:sz w:val="24"/>
    </w:rPr>
  </w:style>
  <w:style w:type="character" w:customStyle="1" w:styleId="FontStyle44">
    <w:name w:val="Font Style44"/>
    <w:uiPriority w:val="99"/>
    <w:rsid w:val="00027B28"/>
    <w:rPr>
      <w:rFonts w:ascii="Sylfaen" w:hAnsi="Sylfaen"/>
      <w:b/>
      <w:i/>
      <w:spacing w:val="10"/>
      <w:sz w:val="18"/>
    </w:rPr>
  </w:style>
  <w:style w:type="character" w:customStyle="1" w:styleId="FontStyle45">
    <w:name w:val="Font Style45"/>
    <w:uiPriority w:val="99"/>
    <w:rsid w:val="00027B28"/>
    <w:rPr>
      <w:rFonts w:ascii="Times New Roman" w:hAnsi="Times New Roman"/>
      <w:b/>
      <w:sz w:val="22"/>
    </w:rPr>
  </w:style>
  <w:style w:type="character" w:customStyle="1" w:styleId="FontStyle46">
    <w:name w:val="Font Style46"/>
    <w:uiPriority w:val="99"/>
    <w:rsid w:val="00027B28"/>
    <w:rPr>
      <w:rFonts w:ascii="Times New Roman" w:hAnsi="Times New Roman"/>
      <w:b/>
      <w:i/>
      <w:sz w:val="18"/>
    </w:rPr>
  </w:style>
  <w:style w:type="character" w:customStyle="1" w:styleId="FontStyle47">
    <w:name w:val="Font Style47"/>
    <w:uiPriority w:val="99"/>
    <w:rsid w:val="00027B28"/>
    <w:rPr>
      <w:rFonts w:ascii="Times New Roman" w:hAnsi="Times New Roman"/>
      <w:b/>
      <w:i/>
      <w:sz w:val="16"/>
    </w:rPr>
  </w:style>
  <w:style w:type="character" w:customStyle="1" w:styleId="FontStyle48">
    <w:name w:val="Font Style48"/>
    <w:uiPriority w:val="99"/>
    <w:rsid w:val="00027B28"/>
    <w:rPr>
      <w:rFonts w:ascii="Times New Roman" w:hAnsi="Times New Roman"/>
      <w:sz w:val="20"/>
    </w:rPr>
  </w:style>
  <w:style w:type="character" w:customStyle="1" w:styleId="FontStyle50">
    <w:name w:val="Font Style50"/>
    <w:uiPriority w:val="99"/>
    <w:rsid w:val="00027B28"/>
    <w:rPr>
      <w:rFonts w:ascii="Times New Roman" w:hAnsi="Times New Roman"/>
      <w:b/>
      <w:sz w:val="8"/>
    </w:rPr>
  </w:style>
  <w:style w:type="character" w:customStyle="1" w:styleId="FontStyle51">
    <w:name w:val="Font Style51"/>
    <w:uiPriority w:val="99"/>
    <w:rsid w:val="00027B28"/>
    <w:rPr>
      <w:rFonts w:ascii="Times New Roman" w:hAnsi="Times New Roman"/>
      <w:b/>
      <w:i/>
      <w:spacing w:val="-10"/>
      <w:w w:val="150"/>
      <w:sz w:val="8"/>
    </w:rPr>
  </w:style>
  <w:style w:type="character" w:customStyle="1" w:styleId="FontStyle53">
    <w:name w:val="Font Style53"/>
    <w:uiPriority w:val="99"/>
    <w:rsid w:val="00027B28"/>
    <w:rPr>
      <w:rFonts w:ascii="Times New Roman" w:hAnsi="Times New Roman"/>
      <w:b/>
      <w:sz w:val="12"/>
    </w:rPr>
  </w:style>
  <w:style w:type="character" w:customStyle="1" w:styleId="FontStyle54">
    <w:name w:val="Font Style54"/>
    <w:uiPriority w:val="99"/>
    <w:rsid w:val="00027B28"/>
    <w:rPr>
      <w:rFonts w:ascii="Sylfaen" w:hAnsi="Sylfaen"/>
      <w:b/>
      <w:i/>
      <w:spacing w:val="-10"/>
      <w:sz w:val="24"/>
    </w:rPr>
  </w:style>
  <w:style w:type="character" w:customStyle="1" w:styleId="FontStyle55">
    <w:name w:val="Font Style55"/>
    <w:uiPriority w:val="99"/>
    <w:rsid w:val="00027B28"/>
    <w:rPr>
      <w:rFonts w:ascii="Times New Roman" w:hAnsi="Times New Roman"/>
      <w:sz w:val="12"/>
    </w:rPr>
  </w:style>
  <w:style w:type="character" w:customStyle="1" w:styleId="FontStyle56">
    <w:name w:val="Font Style56"/>
    <w:uiPriority w:val="99"/>
    <w:rsid w:val="00027B28"/>
    <w:rPr>
      <w:rFonts w:ascii="Sylfaen" w:hAnsi="Sylfaen"/>
      <w:i/>
      <w:sz w:val="12"/>
    </w:rPr>
  </w:style>
  <w:style w:type="character" w:customStyle="1" w:styleId="FontStyle57">
    <w:name w:val="Font Style57"/>
    <w:uiPriority w:val="99"/>
    <w:rsid w:val="00027B28"/>
    <w:rPr>
      <w:rFonts w:ascii="Sylfaen" w:hAnsi="Sylfaen"/>
      <w:i/>
      <w:sz w:val="20"/>
    </w:rPr>
  </w:style>
  <w:style w:type="character" w:customStyle="1" w:styleId="FontStyle58">
    <w:name w:val="Font Style58"/>
    <w:uiPriority w:val="99"/>
    <w:rsid w:val="00027B28"/>
    <w:rPr>
      <w:rFonts w:ascii="Sylfaen" w:hAnsi="Sylfaen"/>
      <w:sz w:val="56"/>
    </w:rPr>
  </w:style>
  <w:style w:type="character" w:customStyle="1" w:styleId="FontStyle59">
    <w:name w:val="Font Style59"/>
    <w:uiPriority w:val="99"/>
    <w:rsid w:val="00027B28"/>
    <w:rPr>
      <w:rFonts w:ascii="Times New Roman" w:hAnsi="Times New Roman"/>
      <w:b/>
      <w:i/>
      <w:sz w:val="18"/>
    </w:rPr>
  </w:style>
  <w:style w:type="character" w:customStyle="1" w:styleId="FontStyle60">
    <w:name w:val="Font Style60"/>
    <w:uiPriority w:val="99"/>
    <w:rsid w:val="00027B28"/>
    <w:rPr>
      <w:rFonts w:ascii="Times New Roman" w:hAnsi="Times New Roman"/>
      <w:b/>
      <w:sz w:val="18"/>
    </w:rPr>
  </w:style>
  <w:style w:type="character" w:customStyle="1" w:styleId="FontStyle29">
    <w:name w:val="Font Style29"/>
    <w:uiPriority w:val="99"/>
    <w:rsid w:val="00B4420D"/>
    <w:rPr>
      <w:rFonts w:ascii="Times New Roman" w:hAnsi="Times New Roman"/>
      <w:b/>
      <w:sz w:val="20"/>
    </w:rPr>
  </w:style>
  <w:style w:type="character" w:customStyle="1" w:styleId="FontStyle30">
    <w:name w:val="Font Style30"/>
    <w:uiPriority w:val="99"/>
    <w:rsid w:val="00B4420D"/>
    <w:rPr>
      <w:rFonts w:ascii="Times New Roman" w:hAnsi="Times New Roman"/>
      <w:sz w:val="16"/>
    </w:rPr>
  </w:style>
  <w:style w:type="character" w:customStyle="1" w:styleId="FontStyle66">
    <w:name w:val="Font Style66"/>
    <w:uiPriority w:val="99"/>
    <w:rsid w:val="008638CC"/>
    <w:rPr>
      <w:rFonts w:ascii="Times New Roman" w:hAnsi="Times New Roman"/>
      <w:b/>
      <w:sz w:val="48"/>
    </w:rPr>
  </w:style>
  <w:style w:type="character" w:customStyle="1" w:styleId="FontStyle67">
    <w:name w:val="Font Style67"/>
    <w:uiPriority w:val="99"/>
    <w:rsid w:val="008638CC"/>
    <w:rPr>
      <w:rFonts w:ascii="Times New Roman" w:hAnsi="Times New Roman"/>
      <w:sz w:val="30"/>
    </w:rPr>
  </w:style>
  <w:style w:type="character" w:customStyle="1" w:styleId="FontStyle68">
    <w:name w:val="Font Style68"/>
    <w:uiPriority w:val="99"/>
    <w:rsid w:val="008638CC"/>
    <w:rPr>
      <w:rFonts w:ascii="Times New Roman" w:hAnsi="Times New Roman"/>
      <w:sz w:val="22"/>
    </w:rPr>
  </w:style>
  <w:style w:type="character" w:customStyle="1" w:styleId="FontStyle69">
    <w:name w:val="Font Style69"/>
    <w:uiPriority w:val="99"/>
    <w:rsid w:val="008638CC"/>
    <w:rPr>
      <w:rFonts w:ascii="Times New Roman" w:hAnsi="Times New Roman"/>
      <w:smallCaps/>
      <w:sz w:val="24"/>
    </w:rPr>
  </w:style>
  <w:style w:type="character" w:customStyle="1" w:styleId="FontStyle70">
    <w:name w:val="Font Style70"/>
    <w:uiPriority w:val="99"/>
    <w:rsid w:val="008638CC"/>
    <w:rPr>
      <w:rFonts w:ascii="Times New Roman" w:hAnsi="Times New Roman"/>
      <w:i/>
      <w:sz w:val="20"/>
    </w:rPr>
  </w:style>
  <w:style w:type="character" w:customStyle="1" w:styleId="FontStyle71">
    <w:name w:val="Font Style71"/>
    <w:uiPriority w:val="99"/>
    <w:rsid w:val="008638CC"/>
    <w:rPr>
      <w:rFonts w:ascii="Times New Roman" w:hAnsi="Times New Roman"/>
      <w:i/>
      <w:sz w:val="20"/>
    </w:rPr>
  </w:style>
  <w:style w:type="character" w:customStyle="1" w:styleId="FontStyle72">
    <w:name w:val="Font Style72"/>
    <w:uiPriority w:val="99"/>
    <w:rsid w:val="008638CC"/>
    <w:rPr>
      <w:rFonts w:ascii="Times New Roman" w:hAnsi="Times New Roman"/>
      <w:b/>
      <w:smallCaps/>
      <w:spacing w:val="20"/>
      <w:sz w:val="32"/>
    </w:rPr>
  </w:style>
  <w:style w:type="character" w:customStyle="1" w:styleId="FontStyle73">
    <w:name w:val="Font Style73"/>
    <w:uiPriority w:val="99"/>
    <w:rsid w:val="008638CC"/>
    <w:rPr>
      <w:rFonts w:ascii="Times New Roman" w:hAnsi="Times New Roman"/>
      <w:sz w:val="20"/>
    </w:rPr>
  </w:style>
  <w:style w:type="character" w:customStyle="1" w:styleId="FontStyle74">
    <w:name w:val="Font Style74"/>
    <w:uiPriority w:val="99"/>
    <w:rsid w:val="008638CC"/>
    <w:rPr>
      <w:rFonts w:ascii="Times New Roman" w:hAnsi="Times New Roman"/>
      <w:b/>
      <w:sz w:val="34"/>
    </w:rPr>
  </w:style>
  <w:style w:type="character" w:customStyle="1" w:styleId="FontStyle75">
    <w:name w:val="Font Style75"/>
    <w:uiPriority w:val="99"/>
    <w:rsid w:val="008638CC"/>
    <w:rPr>
      <w:rFonts w:ascii="Times New Roman" w:hAnsi="Times New Roman"/>
      <w:sz w:val="24"/>
    </w:rPr>
  </w:style>
  <w:style w:type="character" w:customStyle="1" w:styleId="FontStyle76">
    <w:name w:val="Font Style76"/>
    <w:uiPriority w:val="99"/>
    <w:rsid w:val="008638CC"/>
    <w:rPr>
      <w:rFonts w:ascii="Times New Roman" w:hAnsi="Times New Roman"/>
      <w:b/>
      <w:i/>
      <w:sz w:val="24"/>
    </w:rPr>
  </w:style>
  <w:style w:type="character" w:customStyle="1" w:styleId="FontStyle77">
    <w:name w:val="Font Style77"/>
    <w:uiPriority w:val="99"/>
    <w:rsid w:val="008638CC"/>
    <w:rPr>
      <w:rFonts w:ascii="Times New Roman" w:hAnsi="Times New Roman"/>
      <w:i/>
      <w:sz w:val="24"/>
    </w:rPr>
  </w:style>
  <w:style w:type="character" w:customStyle="1" w:styleId="FontStyle78">
    <w:name w:val="Font Style78"/>
    <w:uiPriority w:val="99"/>
    <w:rsid w:val="008638CC"/>
    <w:rPr>
      <w:rFonts w:ascii="Times New Roman" w:hAnsi="Times New Roman"/>
      <w:sz w:val="24"/>
    </w:rPr>
  </w:style>
  <w:style w:type="character" w:customStyle="1" w:styleId="FontStyle79">
    <w:name w:val="Font Style79"/>
    <w:uiPriority w:val="99"/>
    <w:rsid w:val="008638CC"/>
    <w:rPr>
      <w:rFonts w:ascii="Times New Roman" w:hAnsi="Times New Roman"/>
      <w:b/>
      <w:smallCaps/>
      <w:sz w:val="22"/>
    </w:rPr>
  </w:style>
  <w:style w:type="character" w:customStyle="1" w:styleId="FontStyle80">
    <w:name w:val="Font Style80"/>
    <w:uiPriority w:val="99"/>
    <w:rsid w:val="008638CC"/>
    <w:rPr>
      <w:rFonts w:ascii="Times New Roman" w:hAnsi="Times New Roman"/>
      <w:b/>
      <w:spacing w:val="20"/>
      <w:sz w:val="26"/>
    </w:rPr>
  </w:style>
  <w:style w:type="character" w:customStyle="1" w:styleId="FontStyle81">
    <w:name w:val="Font Style81"/>
    <w:uiPriority w:val="99"/>
    <w:rsid w:val="008638CC"/>
    <w:rPr>
      <w:rFonts w:ascii="Times New Roman" w:hAnsi="Times New Roman"/>
      <w:b/>
      <w:sz w:val="24"/>
    </w:rPr>
  </w:style>
  <w:style w:type="character" w:customStyle="1" w:styleId="FontStyle82">
    <w:name w:val="Font Style82"/>
    <w:uiPriority w:val="99"/>
    <w:rsid w:val="008638CC"/>
    <w:rPr>
      <w:rFonts w:ascii="Times New Roman" w:hAnsi="Times New Roman"/>
      <w:b/>
      <w:smallCaps/>
      <w:sz w:val="24"/>
    </w:rPr>
  </w:style>
  <w:style w:type="character" w:customStyle="1" w:styleId="FontStyle83">
    <w:name w:val="Font Style83"/>
    <w:uiPriority w:val="99"/>
    <w:rsid w:val="008638CC"/>
    <w:rPr>
      <w:rFonts w:ascii="Arial" w:hAnsi="Arial"/>
      <w:b/>
      <w:sz w:val="22"/>
    </w:rPr>
  </w:style>
  <w:style w:type="character" w:customStyle="1" w:styleId="FontStyle84">
    <w:name w:val="Font Style84"/>
    <w:uiPriority w:val="99"/>
    <w:rsid w:val="008638CC"/>
    <w:rPr>
      <w:rFonts w:ascii="Times New Roman" w:hAnsi="Times New Roman"/>
      <w:b/>
      <w:smallCaps/>
      <w:sz w:val="42"/>
    </w:rPr>
  </w:style>
  <w:style w:type="character" w:customStyle="1" w:styleId="FontStyle85">
    <w:name w:val="Font Style85"/>
    <w:uiPriority w:val="99"/>
    <w:rsid w:val="008638CC"/>
    <w:rPr>
      <w:rFonts w:ascii="Times New Roman" w:hAnsi="Times New Roman"/>
      <w:sz w:val="30"/>
    </w:rPr>
  </w:style>
  <w:style w:type="character" w:customStyle="1" w:styleId="FontStyle86">
    <w:name w:val="Font Style86"/>
    <w:uiPriority w:val="99"/>
    <w:rsid w:val="008638CC"/>
    <w:rPr>
      <w:rFonts w:ascii="Franklin Gothic Demi" w:hAnsi="Franklin Gothic Demi"/>
      <w:sz w:val="12"/>
    </w:rPr>
  </w:style>
  <w:style w:type="character" w:customStyle="1" w:styleId="FontStyle63">
    <w:name w:val="Font Style63"/>
    <w:uiPriority w:val="99"/>
    <w:rsid w:val="00387412"/>
    <w:rPr>
      <w:rFonts w:ascii="Franklin Gothic Medium" w:hAnsi="Franklin Gothic Medium"/>
      <w:b/>
      <w:sz w:val="12"/>
    </w:rPr>
  </w:style>
  <w:style w:type="character" w:customStyle="1" w:styleId="FontStyle64">
    <w:name w:val="Font Style64"/>
    <w:uiPriority w:val="99"/>
    <w:rsid w:val="00387412"/>
    <w:rPr>
      <w:rFonts w:ascii="Franklin Gothic Medium" w:hAnsi="Franklin Gothic Medium"/>
      <w:b/>
      <w:sz w:val="22"/>
    </w:rPr>
  </w:style>
  <w:style w:type="character" w:customStyle="1" w:styleId="FontStyle65">
    <w:name w:val="Font Style65"/>
    <w:uiPriority w:val="99"/>
    <w:rsid w:val="00387412"/>
    <w:rPr>
      <w:rFonts w:ascii="Franklin Gothic Medium" w:hAnsi="Franklin Gothic Medium"/>
      <w:b/>
      <w:i/>
      <w:sz w:val="22"/>
    </w:rPr>
  </w:style>
  <w:style w:type="character" w:customStyle="1" w:styleId="FontStyle87">
    <w:name w:val="Font Style87"/>
    <w:uiPriority w:val="99"/>
    <w:rsid w:val="00387412"/>
    <w:rPr>
      <w:rFonts w:ascii="Bookman Old Style" w:hAnsi="Bookman Old Style"/>
      <w:b/>
      <w:sz w:val="16"/>
    </w:rPr>
  </w:style>
  <w:style w:type="character" w:customStyle="1" w:styleId="FontStyle88">
    <w:name w:val="Font Style88"/>
    <w:uiPriority w:val="99"/>
    <w:rsid w:val="00387412"/>
    <w:rPr>
      <w:rFonts w:ascii="Franklin Gothic Demi Cond" w:hAnsi="Franklin Gothic Demi Cond"/>
      <w:spacing w:val="10"/>
      <w:sz w:val="22"/>
    </w:rPr>
  </w:style>
  <w:style w:type="character" w:customStyle="1" w:styleId="FontStyle89">
    <w:name w:val="Font Style89"/>
    <w:uiPriority w:val="99"/>
    <w:rsid w:val="00387412"/>
    <w:rPr>
      <w:rFonts w:ascii="Franklin Gothic Demi Cond" w:hAnsi="Franklin Gothic Demi Cond"/>
      <w:spacing w:val="20"/>
      <w:sz w:val="22"/>
    </w:rPr>
  </w:style>
  <w:style w:type="character" w:customStyle="1" w:styleId="FontStyle90">
    <w:name w:val="Font Style90"/>
    <w:uiPriority w:val="99"/>
    <w:rsid w:val="00387412"/>
    <w:rPr>
      <w:rFonts w:ascii="Franklin Gothic Demi Cond" w:hAnsi="Franklin Gothic Demi Cond"/>
      <w:b/>
      <w:i/>
      <w:sz w:val="8"/>
    </w:rPr>
  </w:style>
  <w:style w:type="character" w:customStyle="1" w:styleId="FontStyle91">
    <w:name w:val="Font Style91"/>
    <w:uiPriority w:val="99"/>
    <w:rsid w:val="00387412"/>
    <w:rPr>
      <w:rFonts w:ascii="Bookman Old Style" w:hAnsi="Bookman Old Style"/>
      <w:b/>
      <w:sz w:val="8"/>
    </w:rPr>
  </w:style>
  <w:style w:type="character" w:customStyle="1" w:styleId="FontStyle92">
    <w:name w:val="Font Style92"/>
    <w:uiPriority w:val="99"/>
    <w:rsid w:val="00387412"/>
    <w:rPr>
      <w:rFonts w:ascii="Franklin Gothic Demi Cond" w:hAnsi="Franklin Gothic Demi Cond"/>
      <w:spacing w:val="20"/>
      <w:sz w:val="22"/>
    </w:rPr>
  </w:style>
  <w:style w:type="character" w:customStyle="1" w:styleId="FontStyle93">
    <w:name w:val="Font Style93"/>
    <w:uiPriority w:val="99"/>
    <w:rsid w:val="00387412"/>
    <w:rPr>
      <w:rFonts w:ascii="Bookman Old Style" w:hAnsi="Bookman Old Style"/>
      <w:b/>
      <w:i/>
      <w:w w:val="40"/>
      <w:sz w:val="8"/>
    </w:rPr>
  </w:style>
  <w:style w:type="character" w:customStyle="1" w:styleId="FontStyle94">
    <w:name w:val="Font Style94"/>
    <w:uiPriority w:val="99"/>
    <w:rsid w:val="00387412"/>
    <w:rPr>
      <w:rFonts w:ascii="Franklin Gothic Demi Cond" w:hAnsi="Franklin Gothic Demi Cond"/>
      <w:spacing w:val="20"/>
      <w:sz w:val="22"/>
    </w:rPr>
  </w:style>
  <w:style w:type="character" w:customStyle="1" w:styleId="FontStyle95">
    <w:name w:val="Font Style95"/>
    <w:uiPriority w:val="99"/>
    <w:rsid w:val="00387412"/>
    <w:rPr>
      <w:rFonts w:ascii="Franklin Gothic Demi Cond" w:hAnsi="Franklin Gothic Demi Cond"/>
      <w:spacing w:val="20"/>
      <w:sz w:val="22"/>
    </w:rPr>
  </w:style>
  <w:style w:type="character" w:styleId="afff8">
    <w:name w:val="Strong"/>
    <w:uiPriority w:val="99"/>
    <w:qFormat/>
    <w:rsid w:val="00C376A6"/>
    <w:rPr>
      <w:rFonts w:cs="Times New Roman"/>
      <w:b/>
    </w:rPr>
  </w:style>
  <w:style w:type="character" w:customStyle="1" w:styleId="topadverttext">
    <w:name w:val="topadvert_text"/>
    <w:uiPriority w:val="99"/>
    <w:rsid w:val="000231A3"/>
    <w:rPr>
      <w:rFonts w:cs="Times New Roman"/>
    </w:rPr>
  </w:style>
  <w:style w:type="paragraph" w:customStyle="1" w:styleId="Style100">
    <w:name w:val="Style100"/>
    <w:basedOn w:val="a2"/>
    <w:uiPriority w:val="99"/>
    <w:rsid w:val="000231A3"/>
    <w:pPr>
      <w:widowControl w:val="0"/>
      <w:autoSpaceDE w:val="0"/>
      <w:autoSpaceDN w:val="0"/>
      <w:adjustRightInd w:val="0"/>
    </w:pPr>
    <w:rPr>
      <w:rFonts w:ascii="Franklin Gothic Book" w:hAnsi="Franklin Gothic Book"/>
      <w:sz w:val="24"/>
      <w:szCs w:val="24"/>
    </w:rPr>
  </w:style>
  <w:style w:type="character" w:customStyle="1" w:styleId="310">
    <w:name w:val="Заголовок 3 Знак1"/>
    <w:aliases w:val="Заголовок 3 Знак Знак"/>
    <w:uiPriority w:val="99"/>
    <w:rsid w:val="009D3DB5"/>
    <w:rPr>
      <w:rFonts w:ascii="Arial" w:hAnsi="Arial"/>
      <w:b/>
      <w:sz w:val="26"/>
      <w:lang w:val="ru-RU" w:eastAsia="ru-RU"/>
    </w:rPr>
  </w:style>
  <w:style w:type="paragraph" w:styleId="2a">
    <w:name w:val="List 2"/>
    <w:basedOn w:val="a2"/>
    <w:uiPriority w:val="99"/>
    <w:rsid w:val="009D3DB5"/>
    <w:pPr>
      <w:ind w:left="566" w:hanging="283"/>
    </w:pPr>
  </w:style>
  <w:style w:type="paragraph" w:styleId="2b">
    <w:name w:val="List Continue 2"/>
    <w:basedOn w:val="a2"/>
    <w:uiPriority w:val="99"/>
    <w:rsid w:val="009D3DB5"/>
    <w:pPr>
      <w:spacing w:after="120"/>
      <w:ind w:left="566"/>
    </w:pPr>
  </w:style>
  <w:style w:type="paragraph" w:customStyle="1" w:styleId="-">
    <w:name w:val="МЕ-Стиль"/>
    <w:basedOn w:val="a2"/>
    <w:uiPriority w:val="99"/>
    <w:rsid w:val="009D3DB5"/>
    <w:pPr>
      <w:spacing w:before="120" w:line="360" w:lineRule="auto"/>
      <w:ind w:firstLine="709"/>
    </w:pPr>
    <w:rPr>
      <w:rFonts w:ascii="Arial" w:hAnsi="Arial"/>
      <w:sz w:val="28"/>
      <w:szCs w:val="24"/>
    </w:rPr>
  </w:style>
  <w:style w:type="character" w:customStyle="1" w:styleId="FontStyle11">
    <w:name w:val="Font Style11"/>
    <w:uiPriority w:val="99"/>
    <w:rsid w:val="009D3DB5"/>
    <w:rPr>
      <w:rFonts w:ascii="Sylfaen" w:hAnsi="Sylfaen"/>
      <w:spacing w:val="-10"/>
      <w:sz w:val="26"/>
    </w:rPr>
  </w:style>
  <w:style w:type="character" w:customStyle="1" w:styleId="FontStyle12">
    <w:name w:val="Font Style12"/>
    <w:uiPriority w:val="99"/>
    <w:rsid w:val="009D3DB5"/>
    <w:rPr>
      <w:rFonts w:ascii="Sylfaen" w:hAnsi="Sylfaen"/>
      <w:b/>
      <w:sz w:val="26"/>
    </w:rPr>
  </w:style>
  <w:style w:type="character" w:customStyle="1" w:styleId="afff9">
    <w:name w:val="название"/>
    <w:uiPriority w:val="99"/>
    <w:rsid w:val="00C7496F"/>
    <w:rPr>
      <w:rFonts w:cs="Times New Roman"/>
    </w:rPr>
  </w:style>
  <w:style w:type="character" w:customStyle="1" w:styleId="afffa">
    <w:name w:val="назначение"/>
    <w:uiPriority w:val="99"/>
    <w:rsid w:val="00C7496F"/>
    <w:rPr>
      <w:rFonts w:cs="Times New Roman"/>
    </w:rPr>
  </w:style>
  <w:style w:type="character" w:customStyle="1" w:styleId="-0">
    <w:name w:val="изд-во"/>
    <w:uiPriority w:val="99"/>
    <w:rsid w:val="00C7496F"/>
    <w:rPr>
      <w:rFonts w:cs="Times New Roman"/>
    </w:rPr>
  </w:style>
  <w:style w:type="character" w:customStyle="1" w:styleId="afffb">
    <w:name w:val="год"/>
    <w:uiPriority w:val="99"/>
    <w:rsid w:val="00C7496F"/>
    <w:rPr>
      <w:rFonts w:cs="Times New Roman"/>
    </w:rPr>
  </w:style>
  <w:style w:type="character" w:customStyle="1" w:styleId="-1">
    <w:name w:val="аннот-до"/>
    <w:uiPriority w:val="99"/>
    <w:rsid w:val="00C7496F"/>
    <w:rPr>
      <w:rFonts w:cs="Times New Roman"/>
    </w:rPr>
  </w:style>
  <w:style w:type="character" w:customStyle="1" w:styleId="afffc">
    <w:name w:val="аннот"/>
    <w:uiPriority w:val="99"/>
    <w:rsid w:val="00C7496F"/>
    <w:rPr>
      <w:rFonts w:cs="Times New Roman"/>
    </w:rPr>
  </w:style>
  <w:style w:type="character" w:customStyle="1" w:styleId="-2">
    <w:name w:val="аннот-после"/>
    <w:uiPriority w:val="99"/>
    <w:rsid w:val="00C7496F"/>
    <w:rPr>
      <w:rFonts w:cs="Times New Roman"/>
    </w:rPr>
  </w:style>
  <w:style w:type="character" w:customStyle="1" w:styleId="-3">
    <w:name w:val="автор-права"/>
    <w:uiPriority w:val="99"/>
    <w:rsid w:val="00C7496F"/>
    <w:rPr>
      <w:rFonts w:cs="Times New Roman"/>
    </w:rPr>
  </w:style>
  <w:style w:type="character" w:customStyle="1" w:styleId="-4">
    <w:name w:val="опред-е"/>
    <w:uiPriority w:val="99"/>
    <w:rsid w:val="00C7496F"/>
    <w:rPr>
      <w:rFonts w:cs="Times New Roman"/>
    </w:rPr>
  </w:style>
  <w:style w:type="character" w:customStyle="1" w:styleId="afffd">
    <w:name w:val="выделение"/>
    <w:uiPriority w:val="99"/>
    <w:rsid w:val="00C7496F"/>
    <w:rPr>
      <w:rFonts w:cs="Times New Roman"/>
    </w:rPr>
  </w:style>
  <w:style w:type="character" w:customStyle="1" w:styleId="afffe">
    <w:name w:val="подсказка"/>
    <w:uiPriority w:val="99"/>
    <w:rsid w:val="00C7496F"/>
    <w:rPr>
      <w:rFonts w:cs="Times New Roman"/>
    </w:rPr>
  </w:style>
  <w:style w:type="character" w:customStyle="1" w:styleId="affff">
    <w:name w:val="и"/>
    <w:uiPriority w:val="99"/>
    <w:rsid w:val="00C7496F"/>
    <w:rPr>
      <w:rFonts w:cs="Times New Roman"/>
    </w:rPr>
  </w:style>
  <w:style w:type="character" w:customStyle="1" w:styleId="affff0">
    <w:name w:val="пометка"/>
    <w:uiPriority w:val="99"/>
    <w:rsid w:val="00C7496F"/>
    <w:rPr>
      <w:rFonts w:cs="Times New Roman"/>
    </w:rPr>
  </w:style>
  <w:style w:type="character" w:customStyle="1" w:styleId="affff1">
    <w:name w:val="пример"/>
    <w:uiPriority w:val="99"/>
    <w:rsid w:val="00C7496F"/>
    <w:rPr>
      <w:rFonts w:cs="Times New Roman"/>
    </w:rPr>
  </w:style>
  <w:style w:type="character" w:customStyle="1" w:styleId="affff2">
    <w:name w:val="отступы"/>
    <w:uiPriority w:val="99"/>
    <w:rsid w:val="00630B4A"/>
    <w:rPr>
      <w:rFonts w:cs="Times New Roman"/>
    </w:rPr>
  </w:style>
  <w:style w:type="character" w:customStyle="1" w:styleId="FontStyle14">
    <w:name w:val="Font Style14"/>
    <w:uiPriority w:val="99"/>
    <w:rsid w:val="007767E3"/>
    <w:rPr>
      <w:rFonts w:ascii="Calibri" w:hAnsi="Calibri"/>
      <w:i/>
      <w:sz w:val="18"/>
    </w:rPr>
  </w:style>
  <w:style w:type="character" w:customStyle="1" w:styleId="FontStyle17">
    <w:name w:val="Font Style17"/>
    <w:uiPriority w:val="99"/>
    <w:rsid w:val="00691737"/>
    <w:rPr>
      <w:rFonts w:ascii="Calibri" w:hAnsi="Calibri"/>
      <w:b/>
      <w:spacing w:val="10"/>
      <w:sz w:val="20"/>
    </w:rPr>
  </w:style>
  <w:style w:type="character" w:customStyle="1" w:styleId="FontStyle18">
    <w:name w:val="Font Style18"/>
    <w:uiPriority w:val="99"/>
    <w:rsid w:val="00691737"/>
    <w:rPr>
      <w:rFonts w:ascii="Calibri" w:hAnsi="Calibri"/>
      <w:i/>
      <w:sz w:val="18"/>
    </w:rPr>
  </w:style>
  <w:style w:type="character" w:customStyle="1" w:styleId="FontStyle19">
    <w:name w:val="Font Style19"/>
    <w:uiPriority w:val="99"/>
    <w:rsid w:val="00691737"/>
    <w:rPr>
      <w:rFonts w:ascii="Calibri" w:hAnsi="Calibri"/>
      <w:sz w:val="18"/>
    </w:rPr>
  </w:style>
  <w:style w:type="character" w:customStyle="1" w:styleId="FontStyle20">
    <w:name w:val="Font Style20"/>
    <w:uiPriority w:val="99"/>
    <w:rsid w:val="00691737"/>
    <w:rPr>
      <w:rFonts w:ascii="Calibri" w:hAnsi="Calibri"/>
      <w:b/>
      <w:sz w:val="48"/>
    </w:rPr>
  </w:style>
  <w:style w:type="character" w:customStyle="1" w:styleId="FontStyle21">
    <w:name w:val="Font Style21"/>
    <w:uiPriority w:val="99"/>
    <w:rsid w:val="00691737"/>
    <w:rPr>
      <w:rFonts w:ascii="Calibri" w:hAnsi="Calibri"/>
      <w:b/>
      <w:sz w:val="32"/>
    </w:rPr>
  </w:style>
  <w:style w:type="character" w:customStyle="1" w:styleId="FontStyle22">
    <w:name w:val="Font Style22"/>
    <w:uiPriority w:val="99"/>
    <w:rsid w:val="00691737"/>
    <w:rPr>
      <w:rFonts w:ascii="Garamond" w:hAnsi="Garamond"/>
      <w:b/>
      <w:sz w:val="20"/>
    </w:rPr>
  </w:style>
  <w:style w:type="character" w:customStyle="1" w:styleId="FontStyle24">
    <w:name w:val="Font Style24"/>
    <w:uiPriority w:val="99"/>
    <w:rsid w:val="00C12BC5"/>
    <w:rPr>
      <w:rFonts w:ascii="Calibri" w:hAnsi="Calibri"/>
      <w:b/>
      <w:spacing w:val="-50"/>
      <w:sz w:val="106"/>
    </w:rPr>
  </w:style>
  <w:style w:type="character" w:customStyle="1" w:styleId="FontStyle26">
    <w:name w:val="Font Style26"/>
    <w:uiPriority w:val="99"/>
    <w:rsid w:val="00C12BC5"/>
    <w:rPr>
      <w:rFonts w:ascii="Arial Narrow" w:hAnsi="Arial Narrow"/>
      <w:b/>
      <w:sz w:val="38"/>
    </w:rPr>
  </w:style>
  <w:style w:type="character" w:customStyle="1" w:styleId="FontStyle28">
    <w:name w:val="Font Style28"/>
    <w:uiPriority w:val="99"/>
    <w:rsid w:val="00C12BC5"/>
    <w:rPr>
      <w:rFonts w:ascii="Calibri" w:hAnsi="Calibri"/>
      <w:w w:val="30"/>
      <w:sz w:val="34"/>
    </w:rPr>
  </w:style>
  <w:style w:type="character" w:customStyle="1" w:styleId="FontStyle61">
    <w:name w:val="Font Style61"/>
    <w:uiPriority w:val="99"/>
    <w:rsid w:val="00B56BA3"/>
    <w:rPr>
      <w:rFonts w:ascii="Arial" w:hAnsi="Arial"/>
      <w:sz w:val="16"/>
    </w:rPr>
  </w:style>
  <w:style w:type="character" w:customStyle="1" w:styleId="FontStyle62">
    <w:name w:val="Font Style62"/>
    <w:uiPriority w:val="99"/>
    <w:rsid w:val="00B56BA3"/>
    <w:rPr>
      <w:rFonts w:ascii="Candara" w:hAnsi="Candara"/>
      <w:sz w:val="22"/>
    </w:rPr>
  </w:style>
  <w:style w:type="paragraph" w:styleId="affff3">
    <w:name w:val="Block Text"/>
    <w:basedOn w:val="a2"/>
    <w:uiPriority w:val="99"/>
    <w:rsid w:val="00BB4968"/>
    <w:pPr>
      <w:ind w:left="1134" w:right="1134"/>
      <w:jc w:val="center"/>
    </w:pPr>
    <w:rPr>
      <w:b/>
      <w:bCs/>
      <w:sz w:val="32"/>
      <w:szCs w:val="24"/>
      <w:lang w:val="uk-UA" w:eastAsia="uk-UA"/>
    </w:rPr>
  </w:style>
  <w:style w:type="character" w:styleId="affff4">
    <w:name w:val="endnote reference"/>
    <w:uiPriority w:val="99"/>
    <w:rsid w:val="00BB4968"/>
    <w:rPr>
      <w:rFonts w:cs="Times New Roman"/>
      <w:vertAlign w:val="superscript"/>
    </w:rPr>
  </w:style>
  <w:style w:type="paragraph" w:customStyle="1" w:styleId="ConsPlusTitle">
    <w:name w:val="ConsPlusTitle"/>
    <w:uiPriority w:val="99"/>
    <w:rsid w:val="00F901EB"/>
    <w:pPr>
      <w:widowControl w:val="0"/>
      <w:autoSpaceDE w:val="0"/>
      <w:autoSpaceDN w:val="0"/>
      <w:adjustRightInd w:val="0"/>
    </w:pPr>
    <w:rPr>
      <w:rFonts w:ascii="Arial" w:hAnsi="Arial" w:cs="Arial"/>
      <w:b/>
      <w:bCs/>
    </w:rPr>
  </w:style>
  <w:style w:type="paragraph" w:customStyle="1" w:styleId="ConsPlusNonformat">
    <w:name w:val="ConsPlusNonformat"/>
    <w:uiPriority w:val="99"/>
    <w:rsid w:val="00F901EB"/>
    <w:pPr>
      <w:widowControl w:val="0"/>
      <w:autoSpaceDE w:val="0"/>
      <w:autoSpaceDN w:val="0"/>
      <w:adjustRightInd w:val="0"/>
    </w:pPr>
    <w:rPr>
      <w:rFonts w:ascii="Courier New" w:hAnsi="Courier New" w:cs="Courier New"/>
    </w:rPr>
  </w:style>
  <w:style w:type="paragraph" w:customStyle="1" w:styleId="ConsNonformat">
    <w:name w:val="ConsNonformat"/>
    <w:uiPriority w:val="99"/>
    <w:rsid w:val="00F901EB"/>
    <w:pPr>
      <w:widowControl w:val="0"/>
      <w:autoSpaceDE w:val="0"/>
      <w:autoSpaceDN w:val="0"/>
      <w:adjustRightInd w:val="0"/>
    </w:pPr>
    <w:rPr>
      <w:rFonts w:ascii="Courier New" w:hAnsi="Courier New" w:cs="Courier New"/>
    </w:rPr>
  </w:style>
  <w:style w:type="paragraph" w:customStyle="1" w:styleId="ConsTitle">
    <w:name w:val="ConsTitle"/>
    <w:uiPriority w:val="99"/>
    <w:rsid w:val="00F901EB"/>
    <w:pPr>
      <w:widowControl w:val="0"/>
      <w:autoSpaceDE w:val="0"/>
      <w:autoSpaceDN w:val="0"/>
      <w:adjustRightInd w:val="0"/>
    </w:pPr>
    <w:rPr>
      <w:rFonts w:ascii="Arial" w:hAnsi="Arial" w:cs="Arial"/>
      <w:b/>
      <w:bCs/>
      <w:sz w:val="16"/>
      <w:szCs w:val="16"/>
    </w:rPr>
  </w:style>
  <w:style w:type="paragraph" w:customStyle="1" w:styleId="ap">
    <w:name w:val="ap"/>
    <w:basedOn w:val="a2"/>
    <w:uiPriority w:val="99"/>
    <w:rsid w:val="00A22C0F"/>
    <w:pPr>
      <w:spacing w:before="100" w:beforeAutospacing="1" w:after="100" w:afterAutospacing="1"/>
    </w:pPr>
    <w:rPr>
      <w:sz w:val="24"/>
      <w:szCs w:val="24"/>
    </w:rPr>
  </w:style>
  <w:style w:type="character" w:customStyle="1" w:styleId="blk">
    <w:name w:val="blk"/>
    <w:uiPriority w:val="99"/>
    <w:rsid w:val="00227458"/>
    <w:rPr>
      <w:rFonts w:cs="Times New Roman"/>
    </w:rPr>
  </w:style>
  <w:style w:type="character" w:customStyle="1" w:styleId="diffins">
    <w:name w:val="diff_ins"/>
    <w:uiPriority w:val="99"/>
    <w:rsid w:val="00227458"/>
    <w:rPr>
      <w:rFonts w:cs="Times New Roman"/>
    </w:rPr>
  </w:style>
  <w:style w:type="character" w:customStyle="1" w:styleId="u">
    <w:name w:val="u"/>
    <w:uiPriority w:val="99"/>
    <w:rsid w:val="00227458"/>
    <w:rPr>
      <w:rFonts w:cs="Times New Roman"/>
    </w:rPr>
  </w:style>
  <w:style w:type="paragraph" w:customStyle="1" w:styleId="printheader">
    <w:name w:val="printheader"/>
    <w:basedOn w:val="a2"/>
    <w:uiPriority w:val="99"/>
    <w:rsid w:val="00327CB9"/>
    <w:pPr>
      <w:spacing w:before="100" w:beforeAutospacing="1" w:after="100" w:afterAutospacing="1"/>
    </w:pPr>
    <w:rPr>
      <w:sz w:val="24"/>
      <w:szCs w:val="24"/>
    </w:rPr>
  </w:style>
  <w:style w:type="paragraph" w:customStyle="1" w:styleId="printheaderannounce">
    <w:name w:val="printheaderannounce"/>
    <w:basedOn w:val="a2"/>
    <w:uiPriority w:val="99"/>
    <w:rsid w:val="00327CB9"/>
    <w:pPr>
      <w:spacing w:before="100" w:beforeAutospacing="1" w:after="100" w:afterAutospacing="1"/>
    </w:pPr>
    <w:rPr>
      <w:sz w:val="24"/>
      <w:szCs w:val="24"/>
    </w:rPr>
  </w:style>
  <w:style w:type="paragraph" w:customStyle="1" w:styleId="release-date">
    <w:name w:val="release-date"/>
    <w:basedOn w:val="a2"/>
    <w:uiPriority w:val="99"/>
    <w:rsid w:val="00327CB9"/>
    <w:pPr>
      <w:spacing w:before="100" w:beforeAutospacing="1" w:after="100" w:afterAutospacing="1"/>
    </w:pPr>
    <w:rPr>
      <w:sz w:val="24"/>
      <w:szCs w:val="24"/>
    </w:rPr>
  </w:style>
  <w:style w:type="paragraph" w:customStyle="1" w:styleId="subhead">
    <w:name w:val="subhead"/>
    <w:basedOn w:val="a2"/>
    <w:uiPriority w:val="99"/>
    <w:rsid w:val="00BD2D1F"/>
    <w:pPr>
      <w:spacing w:before="100" w:beforeAutospacing="1" w:after="100" w:afterAutospacing="1"/>
    </w:pPr>
    <w:rPr>
      <w:sz w:val="24"/>
      <w:szCs w:val="24"/>
    </w:rPr>
  </w:style>
  <w:style w:type="character" w:customStyle="1" w:styleId="quot">
    <w:name w:val="quot"/>
    <w:uiPriority w:val="99"/>
    <w:rsid w:val="00BD2D1F"/>
    <w:rPr>
      <w:rFonts w:cs="Times New Roman"/>
    </w:rPr>
  </w:style>
  <w:style w:type="character" w:customStyle="1" w:styleId="bra">
    <w:name w:val="bra"/>
    <w:uiPriority w:val="99"/>
    <w:rsid w:val="00BD2D1F"/>
    <w:rPr>
      <w:rFonts w:cs="Times New Roman"/>
    </w:rPr>
  </w:style>
  <w:style w:type="character" w:customStyle="1" w:styleId="squot">
    <w:name w:val="squot"/>
    <w:uiPriority w:val="99"/>
    <w:rsid w:val="00BD2D1F"/>
    <w:rPr>
      <w:rFonts w:cs="Times New Roman"/>
    </w:rPr>
  </w:style>
  <w:style w:type="character" w:customStyle="1" w:styleId="sbra">
    <w:name w:val="sbra"/>
    <w:uiPriority w:val="99"/>
    <w:rsid w:val="00BD2D1F"/>
    <w:rPr>
      <w:rFonts w:cs="Times New Roman"/>
    </w:rPr>
  </w:style>
  <w:style w:type="paragraph" w:customStyle="1" w:styleId="readmore">
    <w:name w:val="readmore"/>
    <w:basedOn w:val="a2"/>
    <w:uiPriority w:val="99"/>
    <w:rsid w:val="00BD2D1F"/>
    <w:pPr>
      <w:spacing w:before="100" w:beforeAutospacing="1" w:after="100" w:afterAutospacing="1"/>
    </w:pPr>
    <w:rPr>
      <w:sz w:val="24"/>
      <w:szCs w:val="24"/>
    </w:rPr>
  </w:style>
  <w:style w:type="character" w:customStyle="1" w:styleId="comments">
    <w:name w:val="comments"/>
    <w:uiPriority w:val="99"/>
    <w:rsid w:val="00BD2D1F"/>
    <w:rPr>
      <w:rFonts w:cs="Times New Roman"/>
    </w:rPr>
  </w:style>
  <w:style w:type="character" w:customStyle="1" w:styleId="favoriteslink">
    <w:name w:val="favorites_link"/>
    <w:uiPriority w:val="99"/>
    <w:rsid w:val="00BD2D1F"/>
    <w:rPr>
      <w:rFonts w:cs="Times New Roman"/>
    </w:rPr>
  </w:style>
  <w:style w:type="character" w:customStyle="1" w:styleId="commmm">
    <w:name w:val="commmm"/>
    <w:uiPriority w:val="99"/>
    <w:rsid w:val="00BD2D1F"/>
    <w:rPr>
      <w:rFonts w:cs="Times New Roman"/>
    </w:rPr>
  </w:style>
  <w:style w:type="paragraph" w:customStyle="1" w:styleId="220">
    <w:name w:val="Основной текст 22"/>
    <w:basedOn w:val="a2"/>
    <w:uiPriority w:val="99"/>
    <w:rsid w:val="00305E29"/>
    <w:pPr>
      <w:overflowPunct w:val="0"/>
      <w:autoSpaceDE w:val="0"/>
      <w:autoSpaceDN w:val="0"/>
      <w:adjustRightInd w:val="0"/>
      <w:spacing w:after="120"/>
      <w:ind w:left="283"/>
      <w:textAlignment w:val="baseline"/>
    </w:pPr>
    <w:rPr>
      <w:sz w:val="24"/>
    </w:rPr>
  </w:style>
  <w:style w:type="paragraph" w:customStyle="1" w:styleId="311">
    <w:name w:val="Основной текст 31"/>
    <w:basedOn w:val="a2"/>
    <w:uiPriority w:val="99"/>
    <w:rsid w:val="00305E29"/>
    <w:pPr>
      <w:overflowPunct w:val="0"/>
      <w:autoSpaceDE w:val="0"/>
      <w:autoSpaceDN w:val="0"/>
      <w:adjustRightInd w:val="0"/>
      <w:spacing w:after="120"/>
      <w:textAlignment w:val="baseline"/>
    </w:pPr>
    <w:rPr>
      <w:sz w:val="16"/>
    </w:rPr>
  </w:style>
  <w:style w:type="paragraph" w:customStyle="1" w:styleId="18">
    <w:name w:val="Обычный (веб)1"/>
    <w:basedOn w:val="a2"/>
    <w:uiPriority w:val="99"/>
    <w:rsid w:val="00305E29"/>
    <w:pPr>
      <w:overflowPunct w:val="0"/>
      <w:autoSpaceDE w:val="0"/>
      <w:autoSpaceDN w:val="0"/>
      <w:adjustRightInd w:val="0"/>
      <w:spacing w:before="100" w:after="100"/>
      <w:textAlignment w:val="baseline"/>
    </w:pPr>
    <w:rPr>
      <w:color w:val="000000"/>
      <w:sz w:val="24"/>
    </w:rPr>
  </w:style>
  <w:style w:type="character" w:customStyle="1" w:styleId="19">
    <w:name w:val="Гиперссылка1"/>
    <w:uiPriority w:val="99"/>
    <w:rsid w:val="00305E29"/>
    <w:rPr>
      <w:color w:val="0000FF"/>
      <w:u w:val="single"/>
    </w:rPr>
  </w:style>
  <w:style w:type="paragraph" w:customStyle="1" w:styleId="110">
    <w:name w:val="11"/>
    <w:basedOn w:val="a2"/>
    <w:uiPriority w:val="99"/>
    <w:rsid w:val="00305E29"/>
    <w:pPr>
      <w:overflowPunct w:val="0"/>
      <w:autoSpaceDE w:val="0"/>
      <w:autoSpaceDN w:val="0"/>
      <w:adjustRightInd w:val="0"/>
      <w:spacing w:before="100" w:after="100"/>
      <w:textAlignment w:val="baseline"/>
    </w:pPr>
    <w:rPr>
      <w:color w:val="000000"/>
      <w:sz w:val="24"/>
    </w:rPr>
  </w:style>
  <w:style w:type="paragraph" w:customStyle="1" w:styleId="Iniiaiieoaenonionooiii2">
    <w:name w:val="Iniiaiie oaeno n ionooiii 2"/>
    <w:basedOn w:val="a2"/>
    <w:uiPriority w:val="99"/>
    <w:rsid w:val="00305E29"/>
    <w:pPr>
      <w:widowControl w:val="0"/>
      <w:overflowPunct w:val="0"/>
      <w:autoSpaceDE w:val="0"/>
      <w:autoSpaceDN w:val="0"/>
      <w:adjustRightInd w:val="0"/>
      <w:ind w:firstLine="709"/>
      <w:jc w:val="both"/>
      <w:textAlignment w:val="baseline"/>
    </w:pPr>
    <w:rPr>
      <w:sz w:val="26"/>
    </w:rPr>
  </w:style>
  <w:style w:type="paragraph" w:customStyle="1" w:styleId="212">
    <w:name w:val="Основной текст с отступом 21"/>
    <w:basedOn w:val="a2"/>
    <w:uiPriority w:val="99"/>
    <w:rsid w:val="00305E29"/>
    <w:pPr>
      <w:overflowPunct w:val="0"/>
      <w:autoSpaceDE w:val="0"/>
      <w:autoSpaceDN w:val="0"/>
      <w:adjustRightInd w:val="0"/>
      <w:ind w:firstLine="851"/>
      <w:jc w:val="both"/>
      <w:textAlignment w:val="baseline"/>
    </w:pPr>
    <w:rPr>
      <w:sz w:val="28"/>
    </w:rPr>
  </w:style>
  <w:style w:type="paragraph" w:customStyle="1" w:styleId="312">
    <w:name w:val="Основной текст с отступом 31"/>
    <w:basedOn w:val="a2"/>
    <w:uiPriority w:val="99"/>
    <w:rsid w:val="00305E29"/>
    <w:pPr>
      <w:overflowPunct w:val="0"/>
      <w:autoSpaceDE w:val="0"/>
      <w:autoSpaceDN w:val="0"/>
      <w:adjustRightInd w:val="0"/>
      <w:ind w:firstLine="709"/>
      <w:jc w:val="both"/>
      <w:textAlignment w:val="baseline"/>
    </w:pPr>
    <w:rPr>
      <w:sz w:val="28"/>
    </w:rPr>
  </w:style>
  <w:style w:type="paragraph" w:customStyle="1" w:styleId="1a">
    <w:name w:val="Цитата1"/>
    <w:basedOn w:val="a2"/>
    <w:uiPriority w:val="99"/>
    <w:rsid w:val="00305E29"/>
    <w:pPr>
      <w:overflowPunct w:val="0"/>
      <w:autoSpaceDE w:val="0"/>
      <w:autoSpaceDN w:val="0"/>
      <w:adjustRightInd w:val="0"/>
      <w:ind w:left="706" w:right="50"/>
      <w:jc w:val="both"/>
      <w:textAlignment w:val="baseline"/>
    </w:pPr>
    <w:rPr>
      <w:sz w:val="28"/>
    </w:rPr>
  </w:style>
  <w:style w:type="character" w:customStyle="1" w:styleId="paragraph">
    <w:name w:val="paragraph"/>
    <w:uiPriority w:val="99"/>
    <w:rsid w:val="00305E29"/>
    <w:rPr>
      <w:rFonts w:cs="Times New Roman"/>
    </w:rPr>
  </w:style>
  <w:style w:type="paragraph" w:customStyle="1" w:styleId="1b">
    <w:name w:val="Текст1"/>
    <w:basedOn w:val="a2"/>
    <w:uiPriority w:val="99"/>
    <w:rsid w:val="00305E29"/>
    <w:pPr>
      <w:overflowPunct w:val="0"/>
      <w:autoSpaceDE w:val="0"/>
      <w:autoSpaceDN w:val="0"/>
      <w:adjustRightInd w:val="0"/>
      <w:textAlignment w:val="baseline"/>
    </w:pPr>
    <w:rPr>
      <w:rFonts w:ascii="Courier New" w:hAnsi="Courier New"/>
    </w:rPr>
  </w:style>
  <w:style w:type="paragraph" w:customStyle="1" w:styleId="HTML10">
    <w:name w:val="Стандартный HTML1"/>
    <w:basedOn w:val="a2"/>
    <w:uiPriority w:val="99"/>
    <w:rsid w:val="00305E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Arial Unicode MS" w:eastAsia="Arial Unicode MS"/>
      <w:color w:val="000000"/>
    </w:rPr>
  </w:style>
  <w:style w:type="character" w:customStyle="1" w:styleId="1c">
    <w:name w:val="Строгий1"/>
    <w:uiPriority w:val="99"/>
    <w:rsid w:val="00305E29"/>
    <w:rPr>
      <w:b/>
    </w:rPr>
  </w:style>
  <w:style w:type="character" w:customStyle="1" w:styleId="p131">
    <w:name w:val="p131"/>
    <w:uiPriority w:val="99"/>
    <w:rsid w:val="00B01BBF"/>
    <w:rPr>
      <w:sz w:val="20"/>
    </w:rPr>
  </w:style>
  <w:style w:type="character" w:customStyle="1" w:styleId="p121">
    <w:name w:val="p121"/>
    <w:uiPriority w:val="99"/>
    <w:rsid w:val="00B01BBF"/>
    <w:rPr>
      <w:sz w:val="18"/>
    </w:rPr>
  </w:style>
  <w:style w:type="paragraph" w:customStyle="1" w:styleId="firstpara2">
    <w:name w:val="firstpara2"/>
    <w:basedOn w:val="a2"/>
    <w:uiPriority w:val="99"/>
    <w:rsid w:val="00AE3D76"/>
    <w:pPr>
      <w:shd w:val="clear" w:color="auto" w:fill="FFFFFF"/>
      <w:spacing w:before="77" w:after="77"/>
      <w:ind w:left="77" w:right="77"/>
    </w:pPr>
    <w:rPr>
      <w:i/>
      <w:iCs/>
      <w:sz w:val="24"/>
      <w:szCs w:val="24"/>
    </w:rPr>
  </w:style>
  <w:style w:type="paragraph" w:customStyle="1" w:styleId="interview2">
    <w:name w:val="interview2"/>
    <w:basedOn w:val="a2"/>
    <w:uiPriority w:val="99"/>
    <w:rsid w:val="00AE3D76"/>
    <w:pPr>
      <w:shd w:val="clear" w:color="auto" w:fill="FFFFFF"/>
      <w:spacing w:before="77" w:after="77"/>
      <w:ind w:left="77" w:right="77"/>
    </w:pPr>
    <w:rPr>
      <w:b/>
      <w:bCs/>
      <w:sz w:val="24"/>
      <w:szCs w:val="24"/>
    </w:rPr>
  </w:style>
  <w:style w:type="paragraph" w:customStyle="1" w:styleId="270">
    <w:name w:val="Заголовок 27"/>
    <w:basedOn w:val="a2"/>
    <w:uiPriority w:val="99"/>
    <w:rsid w:val="00AE3D76"/>
    <w:pPr>
      <w:spacing w:after="218"/>
      <w:outlineLvl w:val="2"/>
    </w:pPr>
    <w:rPr>
      <w:color w:val="727272"/>
      <w:sz w:val="24"/>
      <w:szCs w:val="24"/>
    </w:rPr>
  </w:style>
  <w:style w:type="paragraph" w:customStyle="1" w:styleId="118">
    <w:name w:val="Заголовок 118"/>
    <w:basedOn w:val="a2"/>
    <w:uiPriority w:val="99"/>
    <w:rsid w:val="00AE3D76"/>
    <w:pPr>
      <w:spacing w:before="65" w:after="65"/>
      <w:ind w:left="65" w:right="65"/>
      <w:outlineLvl w:val="1"/>
    </w:pPr>
    <w:rPr>
      <w:b/>
      <w:bCs/>
      <w:color w:val="006699"/>
      <w:kern w:val="36"/>
      <w:sz w:val="24"/>
      <w:szCs w:val="24"/>
    </w:rPr>
  </w:style>
  <w:style w:type="character" w:customStyle="1" w:styleId="2c">
    <w:name w:val="Гиперссылка2"/>
    <w:uiPriority w:val="99"/>
    <w:rsid w:val="00AE3D76"/>
    <w:rPr>
      <w:color w:val="000000"/>
      <w:u w:val="none"/>
      <w:effect w:val="none"/>
    </w:rPr>
  </w:style>
  <w:style w:type="paragraph" w:customStyle="1" w:styleId="370">
    <w:name w:val="Заголовок 37"/>
    <w:basedOn w:val="a2"/>
    <w:uiPriority w:val="99"/>
    <w:rsid w:val="00AE3D76"/>
    <w:pPr>
      <w:outlineLvl w:val="3"/>
    </w:pPr>
    <w:rPr>
      <w:b/>
      <w:bCs/>
      <w:color w:val="0B5C91"/>
      <w:sz w:val="27"/>
      <w:szCs w:val="27"/>
    </w:rPr>
  </w:style>
  <w:style w:type="paragraph" w:customStyle="1" w:styleId="43">
    <w:name w:val="Заголовок 43"/>
    <w:basedOn w:val="a2"/>
    <w:uiPriority w:val="99"/>
    <w:rsid w:val="00AE3D76"/>
    <w:pPr>
      <w:outlineLvl w:val="4"/>
    </w:pPr>
    <w:rPr>
      <w:i/>
      <w:iCs/>
      <w:color w:val="666666"/>
      <w:sz w:val="24"/>
      <w:szCs w:val="24"/>
    </w:rPr>
  </w:style>
  <w:style w:type="character" w:customStyle="1" w:styleId="rating1">
    <w:name w:val="rating1"/>
    <w:uiPriority w:val="99"/>
    <w:rsid w:val="00AE3D76"/>
    <w:rPr>
      <w:rFonts w:cs="Times New Roman"/>
    </w:rPr>
  </w:style>
  <w:style w:type="paragraph" w:customStyle="1" w:styleId="affff5">
    <w:name w:val="текст сноски"/>
    <w:basedOn w:val="a2"/>
    <w:uiPriority w:val="99"/>
    <w:rsid w:val="004B7884"/>
    <w:pPr>
      <w:autoSpaceDE w:val="0"/>
      <w:autoSpaceDN w:val="0"/>
    </w:pPr>
    <w:rPr>
      <w:rFonts w:ascii="Arial" w:hAnsi="Arial" w:cs="Arial"/>
    </w:rPr>
  </w:style>
  <w:style w:type="paragraph" w:customStyle="1" w:styleId="fulltext">
    <w:name w:val="fulltext"/>
    <w:basedOn w:val="a2"/>
    <w:uiPriority w:val="99"/>
    <w:rsid w:val="004B7884"/>
    <w:pPr>
      <w:spacing w:before="100" w:beforeAutospacing="1" w:after="100" w:afterAutospacing="1"/>
    </w:pPr>
    <w:rPr>
      <w:rFonts w:ascii="Arial Unicode MS" w:eastAsia="Arial Unicode MS" w:hAnsi="Arial Unicode MS"/>
      <w:sz w:val="24"/>
      <w:szCs w:val="24"/>
      <w:lang w:val="en-US" w:eastAsia="en-US"/>
    </w:rPr>
  </w:style>
  <w:style w:type="paragraph" w:customStyle="1" w:styleId="Web">
    <w:name w:val="Обычный (Web)"/>
    <w:basedOn w:val="a2"/>
    <w:uiPriority w:val="99"/>
    <w:rsid w:val="004B7884"/>
    <w:pPr>
      <w:spacing w:before="100" w:beforeAutospacing="1" w:after="100" w:afterAutospacing="1"/>
    </w:pPr>
    <w:rPr>
      <w:rFonts w:ascii="Arial Unicode MS" w:eastAsia="Arial Unicode MS" w:hAnsi="Arial Unicode MS"/>
      <w:color w:val="000000"/>
      <w:sz w:val="24"/>
      <w:szCs w:val="24"/>
      <w:lang w:val="en-US" w:eastAsia="en-US"/>
    </w:rPr>
  </w:style>
  <w:style w:type="paragraph" w:customStyle="1" w:styleId="1d">
    <w:name w:val="Стиль1"/>
    <w:basedOn w:val="a2"/>
    <w:link w:val="1e"/>
    <w:uiPriority w:val="99"/>
    <w:rsid w:val="004B7884"/>
    <w:pPr>
      <w:autoSpaceDE w:val="0"/>
      <w:autoSpaceDN w:val="0"/>
      <w:adjustRightInd w:val="0"/>
      <w:spacing w:line="288" w:lineRule="auto"/>
      <w:ind w:firstLine="680"/>
      <w:jc w:val="both"/>
    </w:pPr>
    <w:rPr>
      <w:rFonts w:ascii="a_Timer" w:hAnsi="a_Timer"/>
      <w:sz w:val="22"/>
      <w:lang w:val="en-US"/>
    </w:rPr>
  </w:style>
  <w:style w:type="paragraph" w:customStyle="1" w:styleId="3110">
    <w:name w:val="Основной текст с отступом 311"/>
    <w:basedOn w:val="a2"/>
    <w:uiPriority w:val="99"/>
    <w:rsid w:val="004B7884"/>
    <w:pPr>
      <w:spacing w:line="480" w:lineRule="auto"/>
      <w:ind w:firstLine="720"/>
      <w:jc w:val="both"/>
    </w:pPr>
    <w:rPr>
      <w:sz w:val="28"/>
    </w:rPr>
  </w:style>
  <w:style w:type="paragraph" w:customStyle="1" w:styleId="affff6">
    <w:name w:val="Список определений"/>
    <w:basedOn w:val="a2"/>
    <w:next w:val="a2"/>
    <w:uiPriority w:val="99"/>
    <w:rsid w:val="004B7884"/>
    <w:pPr>
      <w:ind w:left="360"/>
    </w:pPr>
    <w:rPr>
      <w:sz w:val="24"/>
    </w:rPr>
  </w:style>
  <w:style w:type="paragraph" w:customStyle="1" w:styleId="2110">
    <w:name w:val="Основной текст 211"/>
    <w:basedOn w:val="a2"/>
    <w:uiPriority w:val="99"/>
    <w:rsid w:val="004B7884"/>
    <w:pPr>
      <w:tabs>
        <w:tab w:val="left" w:pos="567"/>
      </w:tabs>
      <w:ind w:firstLine="567"/>
      <w:jc w:val="both"/>
    </w:pPr>
    <w:rPr>
      <w:sz w:val="28"/>
    </w:rPr>
  </w:style>
  <w:style w:type="paragraph" w:customStyle="1" w:styleId="block">
    <w:name w:val="block"/>
    <w:basedOn w:val="a2"/>
    <w:uiPriority w:val="99"/>
    <w:rsid w:val="001D58D7"/>
    <w:pPr>
      <w:spacing w:before="75" w:after="75"/>
      <w:ind w:left="450" w:right="450" w:firstLine="150"/>
      <w:jc w:val="both"/>
    </w:pPr>
    <w:rPr>
      <w:rFonts w:ascii="Arial" w:hAnsi="Arial" w:cs="Arial"/>
      <w:b/>
      <w:bCs/>
      <w:color w:val="000080"/>
    </w:rPr>
  </w:style>
  <w:style w:type="paragraph" w:customStyle="1" w:styleId="defblock">
    <w:name w:val="defblock"/>
    <w:basedOn w:val="a2"/>
    <w:uiPriority w:val="99"/>
    <w:rsid w:val="001D58D7"/>
    <w:pPr>
      <w:spacing w:before="75" w:after="75"/>
      <w:ind w:left="1500" w:right="150" w:firstLine="225"/>
      <w:jc w:val="both"/>
    </w:pPr>
    <w:rPr>
      <w:rFonts w:ascii="Arial" w:hAnsi="Arial" w:cs="Arial"/>
      <w:i/>
      <w:iCs/>
      <w:spacing w:val="20"/>
    </w:rPr>
  </w:style>
  <w:style w:type="paragraph" w:customStyle="1" w:styleId="par">
    <w:name w:val="par"/>
    <w:basedOn w:val="a2"/>
    <w:uiPriority w:val="99"/>
    <w:rsid w:val="001D58D7"/>
    <w:pPr>
      <w:spacing w:before="150" w:after="150" w:line="360" w:lineRule="auto"/>
      <w:ind w:left="75" w:right="75" w:firstLine="375"/>
      <w:jc w:val="both"/>
    </w:pPr>
    <w:rPr>
      <w:rFonts w:ascii="Arial" w:hAnsi="Arial" w:cs="Arial"/>
      <w:sz w:val="24"/>
      <w:szCs w:val="24"/>
    </w:rPr>
  </w:style>
  <w:style w:type="character" w:customStyle="1" w:styleId="head">
    <w:name w:val="head"/>
    <w:uiPriority w:val="99"/>
    <w:rsid w:val="001D58D7"/>
    <w:rPr>
      <w:rFonts w:cs="Times New Roman"/>
    </w:rPr>
  </w:style>
  <w:style w:type="character" w:customStyle="1" w:styleId="autor1">
    <w:name w:val="autor1"/>
    <w:uiPriority w:val="99"/>
    <w:rsid w:val="001D58D7"/>
    <w:rPr>
      <w:rFonts w:cs="Times New Roman"/>
    </w:rPr>
  </w:style>
  <w:style w:type="paragraph" w:customStyle="1" w:styleId="partable">
    <w:name w:val="partable"/>
    <w:basedOn w:val="a2"/>
    <w:uiPriority w:val="99"/>
    <w:rsid w:val="001D58D7"/>
    <w:pPr>
      <w:spacing w:before="75" w:after="75"/>
      <w:ind w:left="45" w:right="45" w:firstLine="150"/>
      <w:jc w:val="both"/>
    </w:pPr>
    <w:rPr>
      <w:color w:val="000080"/>
    </w:rPr>
  </w:style>
  <w:style w:type="character" w:customStyle="1" w:styleId="tex14">
    <w:name w:val="tex14"/>
    <w:uiPriority w:val="99"/>
    <w:rsid w:val="001D58D7"/>
    <w:rPr>
      <w:rFonts w:cs="Times New Roman"/>
    </w:rPr>
  </w:style>
  <w:style w:type="character" w:customStyle="1" w:styleId="red-nav14">
    <w:name w:val="red-nav14"/>
    <w:uiPriority w:val="99"/>
    <w:rsid w:val="001D58D7"/>
    <w:rPr>
      <w:rFonts w:cs="Times New Roman"/>
    </w:rPr>
  </w:style>
  <w:style w:type="paragraph" w:customStyle="1" w:styleId="42">
    <w:name w:val="Обычный4"/>
    <w:uiPriority w:val="99"/>
    <w:rsid w:val="00D80C0A"/>
    <w:pPr>
      <w:widowControl w:val="0"/>
      <w:spacing w:line="300" w:lineRule="auto"/>
      <w:ind w:firstLine="720"/>
      <w:jc w:val="both"/>
    </w:pPr>
    <w:rPr>
      <w:rFonts w:ascii="Arial" w:hAnsi="Arial"/>
      <w:sz w:val="24"/>
    </w:rPr>
  </w:style>
  <w:style w:type="paragraph" w:customStyle="1" w:styleId="author">
    <w:name w:val="author"/>
    <w:basedOn w:val="a2"/>
    <w:uiPriority w:val="99"/>
    <w:rsid w:val="009F43A6"/>
    <w:pPr>
      <w:spacing w:before="100" w:beforeAutospacing="1" w:after="100" w:afterAutospacing="1"/>
    </w:pPr>
    <w:rPr>
      <w:sz w:val="24"/>
      <w:szCs w:val="24"/>
    </w:rPr>
  </w:style>
  <w:style w:type="character" w:customStyle="1" w:styleId="val">
    <w:name w:val="val"/>
    <w:uiPriority w:val="99"/>
    <w:rsid w:val="00612536"/>
    <w:rPr>
      <w:rFonts w:cs="Times New Roman"/>
    </w:rPr>
  </w:style>
  <w:style w:type="character" w:customStyle="1" w:styleId="affff7">
    <w:name w:val="Основной текст_"/>
    <w:link w:val="3a"/>
    <w:uiPriority w:val="99"/>
    <w:locked/>
    <w:rsid w:val="00612536"/>
    <w:rPr>
      <w:sz w:val="26"/>
      <w:shd w:val="clear" w:color="auto" w:fill="FFFFFF"/>
    </w:rPr>
  </w:style>
  <w:style w:type="paragraph" w:customStyle="1" w:styleId="3a">
    <w:name w:val="Основной текст3"/>
    <w:basedOn w:val="a2"/>
    <w:link w:val="affff7"/>
    <w:uiPriority w:val="99"/>
    <w:rsid w:val="00612536"/>
    <w:pPr>
      <w:shd w:val="clear" w:color="auto" w:fill="FFFFFF"/>
      <w:spacing w:after="180" w:line="326" w:lineRule="exact"/>
      <w:ind w:hanging="380"/>
      <w:jc w:val="both"/>
    </w:pPr>
    <w:rPr>
      <w:sz w:val="26"/>
    </w:rPr>
  </w:style>
  <w:style w:type="character" w:customStyle="1" w:styleId="62">
    <w:name w:val="Заголовок №6 (2)_"/>
    <w:link w:val="620"/>
    <w:uiPriority w:val="99"/>
    <w:locked/>
    <w:rsid w:val="00612536"/>
    <w:rPr>
      <w:rFonts w:ascii="Verdana" w:hAnsi="Verdana"/>
      <w:sz w:val="28"/>
      <w:shd w:val="clear" w:color="auto" w:fill="FFFFFF"/>
    </w:rPr>
  </w:style>
  <w:style w:type="paragraph" w:customStyle="1" w:styleId="620">
    <w:name w:val="Заголовок №6 (2)"/>
    <w:basedOn w:val="a2"/>
    <w:link w:val="62"/>
    <w:uiPriority w:val="99"/>
    <w:rsid w:val="00612536"/>
    <w:pPr>
      <w:shd w:val="clear" w:color="auto" w:fill="FFFFFF"/>
      <w:spacing w:before="120" w:after="420" w:line="240" w:lineRule="atLeast"/>
      <w:outlineLvl w:val="5"/>
    </w:pPr>
    <w:rPr>
      <w:rFonts w:ascii="Verdana" w:hAnsi="Verdana"/>
      <w:sz w:val="28"/>
    </w:rPr>
  </w:style>
  <w:style w:type="character" w:customStyle="1" w:styleId="affff8">
    <w:name w:val="Подпись к картинке_"/>
    <w:link w:val="affff9"/>
    <w:uiPriority w:val="99"/>
    <w:locked/>
    <w:rsid w:val="00612536"/>
    <w:rPr>
      <w:rFonts w:ascii="Arial" w:hAnsi="Arial"/>
      <w:sz w:val="14"/>
      <w:shd w:val="clear" w:color="auto" w:fill="FFFFFF"/>
    </w:rPr>
  </w:style>
  <w:style w:type="paragraph" w:customStyle="1" w:styleId="affff9">
    <w:name w:val="Подпись к картинке"/>
    <w:basedOn w:val="a2"/>
    <w:link w:val="affff8"/>
    <w:uiPriority w:val="99"/>
    <w:rsid w:val="00612536"/>
    <w:pPr>
      <w:shd w:val="clear" w:color="auto" w:fill="FFFFFF"/>
      <w:spacing w:line="240" w:lineRule="atLeast"/>
    </w:pPr>
    <w:rPr>
      <w:rFonts w:ascii="Arial" w:hAnsi="Arial"/>
      <w:sz w:val="14"/>
    </w:rPr>
  </w:style>
  <w:style w:type="character" w:customStyle="1" w:styleId="2d">
    <w:name w:val="Заголовок №2_"/>
    <w:link w:val="2e"/>
    <w:uiPriority w:val="99"/>
    <w:locked/>
    <w:rsid w:val="00612536"/>
    <w:rPr>
      <w:rFonts w:ascii="Verdana" w:hAnsi="Verdana"/>
      <w:sz w:val="32"/>
      <w:shd w:val="clear" w:color="auto" w:fill="FFFFFF"/>
    </w:rPr>
  </w:style>
  <w:style w:type="paragraph" w:customStyle="1" w:styleId="2e">
    <w:name w:val="Заголовок №2"/>
    <w:basedOn w:val="a2"/>
    <w:link w:val="2d"/>
    <w:uiPriority w:val="99"/>
    <w:rsid w:val="00612536"/>
    <w:pPr>
      <w:shd w:val="clear" w:color="auto" w:fill="FFFFFF"/>
      <w:spacing w:after="240" w:line="240" w:lineRule="atLeast"/>
      <w:outlineLvl w:val="1"/>
    </w:pPr>
    <w:rPr>
      <w:rFonts w:ascii="Verdana" w:hAnsi="Verdana"/>
      <w:sz w:val="32"/>
    </w:rPr>
  </w:style>
  <w:style w:type="character" w:customStyle="1" w:styleId="52">
    <w:name w:val="Заголовок №5_"/>
    <w:link w:val="53"/>
    <w:uiPriority w:val="99"/>
    <w:locked/>
    <w:rsid w:val="00612536"/>
    <w:rPr>
      <w:rFonts w:ascii="Verdana" w:hAnsi="Verdana"/>
      <w:sz w:val="28"/>
      <w:shd w:val="clear" w:color="auto" w:fill="FFFFFF"/>
    </w:rPr>
  </w:style>
  <w:style w:type="paragraph" w:customStyle="1" w:styleId="53">
    <w:name w:val="Заголовок №5"/>
    <w:basedOn w:val="a2"/>
    <w:link w:val="52"/>
    <w:uiPriority w:val="99"/>
    <w:rsid w:val="00612536"/>
    <w:pPr>
      <w:shd w:val="clear" w:color="auto" w:fill="FFFFFF"/>
      <w:spacing w:before="240" w:after="60" w:line="240" w:lineRule="atLeast"/>
      <w:jc w:val="both"/>
      <w:outlineLvl w:val="4"/>
    </w:pPr>
    <w:rPr>
      <w:rFonts w:ascii="Verdana" w:hAnsi="Verdana"/>
      <w:sz w:val="28"/>
    </w:rPr>
  </w:style>
  <w:style w:type="character" w:customStyle="1" w:styleId="221">
    <w:name w:val="Заголовок №2 (2)_"/>
    <w:link w:val="222"/>
    <w:uiPriority w:val="99"/>
    <w:locked/>
    <w:rsid w:val="00612536"/>
    <w:rPr>
      <w:rFonts w:ascii="Verdana" w:hAnsi="Verdana"/>
      <w:sz w:val="30"/>
      <w:shd w:val="clear" w:color="auto" w:fill="FFFFFF"/>
    </w:rPr>
  </w:style>
  <w:style w:type="paragraph" w:customStyle="1" w:styleId="222">
    <w:name w:val="Заголовок №2 (2)"/>
    <w:basedOn w:val="a2"/>
    <w:link w:val="221"/>
    <w:uiPriority w:val="99"/>
    <w:rsid w:val="00612536"/>
    <w:pPr>
      <w:shd w:val="clear" w:color="auto" w:fill="FFFFFF"/>
      <w:spacing w:before="60" w:after="240" w:line="240" w:lineRule="atLeast"/>
      <w:outlineLvl w:val="1"/>
    </w:pPr>
    <w:rPr>
      <w:rFonts w:ascii="Verdana" w:hAnsi="Verdana"/>
      <w:sz w:val="30"/>
    </w:rPr>
  </w:style>
  <w:style w:type="character" w:customStyle="1" w:styleId="3b">
    <w:name w:val="Заголовок №3_"/>
    <w:link w:val="3c"/>
    <w:uiPriority w:val="99"/>
    <w:locked/>
    <w:rsid w:val="00612536"/>
    <w:rPr>
      <w:rFonts w:ascii="Verdana" w:hAnsi="Verdana"/>
      <w:sz w:val="28"/>
      <w:shd w:val="clear" w:color="auto" w:fill="FFFFFF"/>
    </w:rPr>
  </w:style>
  <w:style w:type="paragraph" w:customStyle="1" w:styleId="3c">
    <w:name w:val="Заголовок №3"/>
    <w:basedOn w:val="a2"/>
    <w:link w:val="3b"/>
    <w:uiPriority w:val="99"/>
    <w:rsid w:val="00612536"/>
    <w:pPr>
      <w:shd w:val="clear" w:color="auto" w:fill="FFFFFF"/>
      <w:spacing w:after="300" w:line="240" w:lineRule="atLeast"/>
      <w:outlineLvl w:val="2"/>
    </w:pPr>
    <w:rPr>
      <w:rFonts w:ascii="Verdana" w:hAnsi="Verdana"/>
      <w:sz w:val="28"/>
    </w:rPr>
  </w:style>
  <w:style w:type="character" w:customStyle="1" w:styleId="2pt">
    <w:name w:val="Основной текст + Интервал 2 pt"/>
    <w:uiPriority w:val="99"/>
    <w:rsid w:val="00612536"/>
    <w:rPr>
      <w:spacing w:val="40"/>
      <w:sz w:val="26"/>
      <w:shd w:val="clear" w:color="auto" w:fill="FFFFFF"/>
    </w:rPr>
  </w:style>
  <w:style w:type="character" w:customStyle="1" w:styleId="Verdana">
    <w:name w:val="Основной текст + Verdana"/>
    <w:aliases w:val="14 pt"/>
    <w:uiPriority w:val="99"/>
    <w:rsid w:val="00612536"/>
    <w:rPr>
      <w:rFonts w:ascii="Verdana" w:hAnsi="Verdana"/>
      <w:spacing w:val="-20"/>
      <w:sz w:val="28"/>
      <w:shd w:val="clear" w:color="auto" w:fill="FFFFFF"/>
    </w:rPr>
  </w:style>
  <w:style w:type="character" w:customStyle="1" w:styleId="72">
    <w:name w:val="Заголовок №7_"/>
    <w:link w:val="73"/>
    <w:uiPriority w:val="99"/>
    <w:locked/>
    <w:rsid w:val="00612536"/>
    <w:rPr>
      <w:sz w:val="26"/>
      <w:shd w:val="clear" w:color="auto" w:fill="FFFFFF"/>
    </w:rPr>
  </w:style>
  <w:style w:type="paragraph" w:customStyle="1" w:styleId="73">
    <w:name w:val="Заголовок №7"/>
    <w:basedOn w:val="a2"/>
    <w:link w:val="72"/>
    <w:uiPriority w:val="99"/>
    <w:rsid w:val="00612536"/>
    <w:pPr>
      <w:shd w:val="clear" w:color="auto" w:fill="FFFFFF"/>
      <w:spacing w:before="60" w:after="180" w:line="240" w:lineRule="atLeast"/>
      <w:ind w:hanging="340"/>
      <w:jc w:val="both"/>
      <w:outlineLvl w:val="6"/>
    </w:pPr>
    <w:rPr>
      <w:sz w:val="26"/>
    </w:rPr>
  </w:style>
  <w:style w:type="character" w:customStyle="1" w:styleId="affffa">
    <w:name w:val="Основной текст + Курсив"/>
    <w:uiPriority w:val="99"/>
    <w:rsid w:val="00612536"/>
    <w:rPr>
      <w:i/>
      <w:sz w:val="26"/>
      <w:shd w:val="clear" w:color="auto" w:fill="FFFFFF"/>
    </w:rPr>
  </w:style>
  <w:style w:type="character" w:customStyle="1" w:styleId="affffb">
    <w:name w:val="Основной текст + Полужирный"/>
    <w:uiPriority w:val="99"/>
    <w:rsid w:val="00612536"/>
    <w:rPr>
      <w:b/>
      <w:sz w:val="26"/>
      <w:shd w:val="clear" w:color="auto" w:fill="FFFFFF"/>
    </w:rPr>
  </w:style>
  <w:style w:type="character" w:customStyle="1" w:styleId="615pt">
    <w:name w:val="Заголовок №6 + 15 pt"/>
    <w:uiPriority w:val="99"/>
    <w:rsid w:val="00612536"/>
    <w:rPr>
      <w:rFonts w:ascii="Verdana" w:hAnsi="Verdana"/>
      <w:spacing w:val="0"/>
      <w:sz w:val="30"/>
      <w:u w:val="none"/>
      <w:effect w:val="none"/>
    </w:rPr>
  </w:style>
  <w:style w:type="character" w:customStyle="1" w:styleId="64">
    <w:name w:val="Заголовок №6 (4)_"/>
    <w:link w:val="640"/>
    <w:uiPriority w:val="99"/>
    <w:locked/>
    <w:rsid w:val="00612536"/>
    <w:rPr>
      <w:rFonts w:ascii="Verdana" w:hAnsi="Verdana"/>
      <w:sz w:val="27"/>
      <w:shd w:val="clear" w:color="auto" w:fill="FFFFFF"/>
    </w:rPr>
  </w:style>
  <w:style w:type="paragraph" w:customStyle="1" w:styleId="640">
    <w:name w:val="Заголовок №6 (4)"/>
    <w:basedOn w:val="a2"/>
    <w:link w:val="64"/>
    <w:uiPriority w:val="99"/>
    <w:rsid w:val="00612536"/>
    <w:pPr>
      <w:shd w:val="clear" w:color="auto" w:fill="FFFFFF"/>
      <w:spacing w:after="180" w:line="240" w:lineRule="atLeast"/>
      <w:outlineLvl w:val="5"/>
    </w:pPr>
    <w:rPr>
      <w:rFonts w:ascii="Verdana" w:hAnsi="Verdana"/>
      <w:sz w:val="27"/>
    </w:rPr>
  </w:style>
  <w:style w:type="character" w:customStyle="1" w:styleId="130">
    <w:name w:val="Основной текст (13)_"/>
    <w:link w:val="131"/>
    <w:uiPriority w:val="99"/>
    <w:locked/>
    <w:rsid w:val="00612536"/>
    <w:rPr>
      <w:rFonts w:ascii="Verdana" w:hAnsi="Verdana"/>
      <w:sz w:val="27"/>
      <w:shd w:val="clear" w:color="auto" w:fill="FFFFFF"/>
    </w:rPr>
  </w:style>
  <w:style w:type="paragraph" w:customStyle="1" w:styleId="131">
    <w:name w:val="Основной текст (13)"/>
    <w:basedOn w:val="a2"/>
    <w:link w:val="130"/>
    <w:uiPriority w:val="99"/>
    <w:rsid w:val="00612536"/>
    <w:pPr>
      <w:shd w:val="clear" w:color="auto" w:fill="FFFFFF"/>
      <w:spacing w:before="180" w:after="180" w:line="240" w:lineRule="atLeast"/>
      <w:ind w:firstLine="720"/>
      <w:jc w:val="both"/>
    </w:pPr>
    <w:rPr>
      <w:rFonts w:ascii="Verdana" w:hAnsi="Verdana"/>
      <w:sz w:val="27"/>
    </w:rPr>
  </w:style>
  <w:style w:type="character" w:customStyle="1" w:styleId="affffc">
    <w:name w:val="Подпись к таблице_"/>
    <w:link w:val="affffd"/>
    <w:uiPriority w:val="99"/>
    <w:locked/>
    <w:rsid w:val="00612536"/>
    <w:rPr>
      <w:sz w:val="26"/>
      <w:shd w:val="clear" w:color="auto" w:fill="FFFFFF"/>
    </w:rPr>
  </w:style>
  <w:style w:type="paragraph" w:customStyle="1" w:styleId="affffd">
    <w:name w:val="Подпись к таблице"/>
    <w:basedOn w:val="a2"/>
    <w:link w:val="affffc"/>
    <w:uiPriority w:val="99"/>
    <w:rsid w:val="00612536"/>
    <w:pPr>
      <w:shd w:val="clear" w:color="auto" w:fill="FFFFFF"/>
      <w:spacing w:line="317" w:lineRule="exact"/>
      <w:ind w:firstLine="700"/>
      <w:jc w:val="both"/>
    </w:pPr>
    <w:rPr>
      <w:sz w:val="26"/>
    </w:rPr>
  </w:style>
  <w:style w:type="character" w:customStyle="1" w:styleId="6414pt">
    <w:name w:val="Заголовок №6 (4) + 14 pt"/>
    <w:uiPriority w:val="99"/>
    <w:rsid w:val="00612536"/>
    <w:rPr>
      <w:rFonts w:ascii="Verdana" w:hAnsi="Verdana"/>
      <w:sz w:val="28"/>
      <w:shd w:val="clear" w:color="auto" w:fill="FFFFFF"/>
    </w:rPr>
  </w:style>
  <w:style w:type="character" w:customStyle="1" w:styleId="1f">
    <w:name w:val="Основной текст1"/>
    <w:uiPriority w:val="99"/>
    <w:rsid w:val="00612536"/>
    <w:rPr>
      <w:color w:val="FFFFFF"/>
      <w:sz w:val="26"/>
      <w:shd w:val="clear" w:color="auto" w:fill="FFFFFF"/>
    </w:rPr>
  </w:style>
  <w:style w:type="character" w:customStyle="1" w:styleId="3d">
    <w:name w:val="Основной текст (3)"/>
    <w:uiPriority w:val="99"/>
    <w:rsid w:val="00612536"/>
    <w:rPr>
      <w:rFonts w:ascii="Times New Roman" w:hAnsi="Times New Roman"/>
      <w:color w:val="FFFFFF"/>
      <w:spacing w:val="0"/>
      <w:sz w:val="26"/>
      <w:u w:val="none"/>
      <w:effect w:val="none"/>
    </w:rPr>
  </w:style>
  <w:style w:type="character" w:customStyle="1" w:styleId="63">
    <w:name w:val="Заголовок №6 (3) + Не полужирный"/>
    <w:uiPriority w:val="99"/>
    <w:rsid w:val="00612536"/>
    <w:rPr>
      <w:rFonts w:ascii="Verdana" w:hAnsi="Verdana"/>
      <w:b/>
      <w:spacing w:val="0"/>
      <w:sz w:val="28"/>
      <w:u w:val="none"/>
      <w:effect w:val="none"/>
    </w:rPr>
  </w:style>
  <w:style w:type="character" w:customStyle="1" w:styleId="630">
    <w:name w:val="Заголовок №6 (3)"/>
    <w:uiPriority w:val="99"/>
    <w:rsid w:val="00612536"/>
    <w:rPr>
      <w:rFonts w:ascii="Verdana" w:hAnsi="Verdana"/>
      <w:spacing w:val="0"/>
      <w:sz w:val="28"/>
      <w:u w:val="none"/>
      <w:effect w:val="none"/>
    </w:rPr>
  </w:style>
  <w:style w:type="character" w:customStyle="1" w:styleId="160">
    <w:name w:val="Основной текст (16)"/>
    <w:uiPriority w:val="99"/>
    <w:rsid w:val="00612536"/>
    <w:rPr>
      <w:rFonts w:ascii="Verdana" w:hAnsi="Verdana"/>
      <w:spacing w:val="0"/>
      <w:sz w:val="28"/>
      <w:u w:val="none"/>
      <w:effect w:val="none"/>
    </w:rPr>
  </w:style>
  <w:style w:type="character" w:customStyle="1" w:styleId="720">
    <w:name w:val="Заголовок №7 (2)_"/>
    <w:link w:val="721"/>
    <w:uiPriority w:val="99"/>
    <w:locked/>
    <w:rsid w:val="00612536"/>
    <w:rPr>
      <w:sz w:val="26"/>
      <w:shd w:val="clear" w:color="auto" w:fill="FFFFFF"/>
    </w:rPr>
  </w:style>
  <w:style w:type="paragraph" w:customStyle="1" w:styleId="721">
    <w:name w:val="Заголовок №7 (2)"/>
    <w:basedOn w:val="a2"/>
    <w:link w:val="720"/>
    <w:uiPriority w:val="99"/>
    <w:rsid w:val="00612536"/>
    <w:pPr>
      <w:shd w:val="clear" w:color="auto" w:fill="FFFFFF"/>
      <w:spacing w:after="120" w:line="336" w:lineRule="exact"/>
      <w:outlineLvl w:val="6"/>
    </w:pPr>
    <w:rPr>
      <w:sz w:val="26"/>
    </w:rPr>
  </w:style>
  <w:style w:type="character" w:customStyle="1" w:styleId="65">
    <w:name w:val="Заголовок №6 (5)_"/>
    <w:link w:val="650"/>
    <w:uiPriority w:val="99"/>
    <w:locked/>
    <w:rsid w:val="00612536"/>
    <w:rPr>
      <w:rFonts w:ascii="Verdana" w:hAnsi="Verdana"/>
      <w:sz w:val="28"/>
      <w:shd w:val="clear" w:color="auto" w:fill="FFFFFF"/>
    </w:rPr>
  </w:style>
  <w:style w:type="paragraph" w:customStyle="1" w:styleId="650">
    <w:name w:val="Заголовок №6 (5)"/>
    <w:basedOn w:val="a2"/>
    <w:link w:val="65"/>
    <w:uiPriority w:val="99"/>
    <w:rsid w:val="00612536"/>
    <w:pPr>
      <w:shd w:val="clear" w:color="auto" w:fill="FFFFFF"/>
      <w:spacing w:before="600" w:after="180" w:line="240" w:lineRule="atLeast"/>
      <w:outlineLvl w:val="5"/>
    </w:pPr>
    <w:rPr>
      <w:rFonts w:ascii="Verdana" w:hAnsi="Verdana"/>
      <w:sz w:val="28"/>
    </w:rPr>
  </w:style>
  <w:style w:type="character" w:customStyle="1" w:styleId="3e">
    <w:name w:val="Основной текст (3) + Не полужирный"/>
    <w:uiPriority w:val="99"/>
    <w:rsid w:val="00612536"/>
    <w:rPr>
      <w:rFonts w:ascii="Times New Roman" w:hAnsi="Times New Roman"/>
      <w:b/>
      <w:spacing w:val="0"/>
      <w:sz w:val="26"/>
      <w:u w:val="none"/>
      <w:effect w:val="none"/>
    </w:rPr>
  </w:style>
  <w:style w:type="character" w:customStyle="1" w:styleId="74">
    <w:name w:val="Заголовок №7 + Не полужирный"/>
    <w:uiPriority w:val="99"/>
    <w:rsid w:val="00612536"/>
    <w:rPr>
      <w:b/>
      <w:sz w:val="26"/>
      <w:shd w:val="clear" w:color="auto" w:fill="FFFFFF"/>
    </w:rPr>
  </w:style>
  <w:style w:type="character" w:customStyle="1" w:styleId="722">
    <w:name w:val="Заголовок №7 (2) + Полужирный"/>
    <w:uiPriority w:val="99"/>
    <w:rsid w:val="00612536"/>
    <w:rPr>
      <w:b/>
      <w:sz w:val="26"/>
      <w:shd w:val="clear" w:color="auto" w:fill="FFFFFF"/>
    </w:rPr>
  </w:style>
  <w:style w:type="paragraph" w:styleId="affffe">
    <w:name w:val="Normal Indent"/>
    <w:basedOn w:val="a2"/>
    <w:uiPriority w:val="99"/>
    <w:rsid w:val="00612536"/>
    <w:pPr>
      <w:ind w:firstLine="709"/>
      <w:jc w:val="both"/>
    </w:pPr>
    <w:rPr>
      <w:sz w:val="24"/>
    </w:rPr>
  </w:style>
  <w:style w:type="character" w:customStyle="1" w:styleId="2f">
    <w:name w:val="Заголовок Отчета 2 Знак Знак"/>
    <w:link w:val="2"/>
    <w:uiPriority w:val="99"/>
    <w:locked/>
    <w:rsid w:val="00612536"/>
    <w:rPr>
      <w:b/>
      <w:sz w:val="28"/>
      <w:szCs w:val="28"/>
      <w:lang w:eastAsia="en-US"/>
    </w:rPr>
  </w:style>
  <w:style w:type="paragraph" w:customStyle="1" w:styleId="2">
    <w:name w:val="Заголовок Отчета 2"/>
    <w:basedOn w:val="a2"/>
    <w:next w:val="affffe"/>
    <w:link w:val="2f"/>
    <w:uiPriority w:val="99"/>
    <w:rsid w:val="00612536"/>
    <w:pPr>
      <w:keepNext/>
      <w:numPr>
        <w:numId w:val="1"/>
      </w:numPr>
      <w:spacing w:before="120" w:after="120"/>
      <w:jc w:val="center"/>
      <w:outlineLvl w:val="1"/>
    </w:pPr>
    <w:rPr>
      <w:b/>
      <w:sz w:val="28"/>
      <w:szCs w:val="28"/>
      <w:lang w:eastAsia="en-US"/>
    </w:rPr>
  </w:style>
  <w:style w:type="paragraph" w:customStyle="1" w:styleId="3">
    <w:name w:val="Заголовок Отчета 3"/>
    <w:basedOn w:val="a2"/>
    <w:next w:val="affffe"/>
    <w:uiPriority w:val="99"/>
    <w:rsid w:val="00612536"/>
    <w:pPr>
      <w:keepNext/>
      <w:numPr>
        <w:ilvl w:val="1"/>
        <w:numId w:val="1"/>
      </w:numPr>
      <w:spacing w:before="120" w:after="120"/>
      <w:jc w:val="center"/>
      <w:outlineLvl w:val="2"/>
    </w:pPr>
    <w:rPr>
      <w:b/>
      <w:sz w:val="24"/>
    </w:rPr>
  </w:style>
  <w:style w:type="paragraph" w:customStyle="1" w:styleId="100">
    <w:name w:val="Стиль Заголовок 1 + По левому краю Слева:  0 см Первая строка:  0..."/>
    <w:basedOn w:val="10"/>
    <w:uiPriority w:val="99"/>
    <w:semiHidden/>
    <w:rsid w:val="00612536"/>
    <w:pPr>
      <w:keepNext w:val="0"/>
      <w:pageBreakBefore/>
      <w:widowControl w:val="0"/>
      <w:tabs>
        <w:tab w:val="num" w:pos="432"/>
      </w:tabs>
      <w:autoSpaceDE w:val="0"/>
      <w:autoSpaceDN w:val="0"/>
      <w:adjustRightInd w:val="0"/>
      <w:spacing w:before="120" w:after="108"/>
      <w:ind w:left="432" w:hanging="432"/>
      <w:jc w:val="left"/>
    </w:pPr>
    <w:rPr>
      <w:caps/>
      <w:kern w:val="0"/>
    </w:rPr>
  </w:style>
  <w:style w:type="character" w:customStyle="1" w:styleId="23">
    <w:name w:val="Обычный (веб) Знак2"/>
    <w:aliases w:val="Обычный (веб) Знак Знак1,Обычный (веб) Знак1 Знак,Обычный (веб) Знак Знак Знак,Обычный (Web) Знак Знак Знак1,Обычный (Web) Знак Знак1,Обычный (Web) Знак Знак Знак Знак,Обычный (Web)1 Знак Знак,Обычный (Web) Знак З Знак,webb Знак1"/>
    <w:link w:val="af5"/>
    <w:uiPriority w:val="99"/>
    <w:locked/>
    <w:rsid w:val="00612536"/>
    <w:rPr>
      <w:sz w:val="24"/>
    </w:rPr>
  </w:style>
  <w:style w:type="paragraph" w:customStyle="1" w:styleId="Iniiaiieoaenonionooiii">
    <w:name w:val="Iniiaiie oaeno n ionooiii"/>
    <w:basedOn w:val="a2"/>
    <w:uiPriority w:val="99"/>
    <w:rsid w:val="00CD7F2A"/>
    <w:pPr>
      <w:widowControl w:val="0"/>
      <w:overflowPunct w:val="0"/>
      <w:autoSpaceDE w:val="0"/>
      <w:autoSpaceDN w:val="0"/>
      <w:adjustRightInd w:val="0"/>
      <w:spacing w:line="360" w:lineRule="auto"/>
      <w:ind w:firstLine="720"/>
      <w:jc w:val="both"/>
      <w:textAlignment w:val="baseline"/>
    </w:pPr>
    <w:rPr>
      <w:sz w:val="24"/>
      <w:szCs w:val="24"/>
    </w:rPr>
  </w:style>
  <w:style w:type="paragraph" w:customStyle="1" w:styleId="ConsNormal">
    <w:name w:val="ConsNormal"/>
    <w:uiPriority w:val="99"/>
    <w:rsid w:val="00CD7F2A"/>
    <w:pPr>
      <w:widowControl w:val="0"/>
      <w:autoSpaceDE w:val="0"/>
      <w:autoSpaceDN w:val="0"/>
      <w:adjustRightInd w:val="0"/>
      <w:ind w:firstLine="720"/>
    </w:pPr>
    <w:rPr>
      <w:rFonts w:ascii="Arial" w:hAnsi="Arial" w:cs="Arial"/>
    </w:rPr>
  </w:style>
  <w:style w:type="paragraph" w:customStyle="1" w:styleId="afffff">
    <w:name w:val="Основной текс"/>
    <w:basedOn w:val="a2"/>
    <w:uiPriority w:val="99"/>
    <w:rsid w:val="003B3770"/>
    <w:pPr>
      <w:widowControl w:val="0"/>
      <w:spacing w:before="120"/>
      <w:jc w:val="both"/>
    </w:pPr>
    <w:rPr>
      <w:sz w:val="24"/>
    </w:rPr>
  </w:style>
  <w:style w:type="paragraph" w:customStyle="1" w:styleId="44">
    <w:name w:val="заголовок 4"/>
    <w:basedOn w:val="a2"/>
    <w:next w:val="a2"/>
    <w:uiPriority w:val="99"/>
    <w:rsid w:val="003B3770"/>
    <w:pPr>
      <w:keepNext/>
      <w:widowControl w:val="0"/>
      <w:spacing w:before="240" w:after="60" w:line="300" w:lineRule="auto"/>
      <w:ind w:firstLine="740"/>
      <w:jc w:val="both"/>
    </w:pPr>
    <w:rPr>
      <w:rFonts w:ascii="Arial" w:hAnsi="Arial"/>
      <w:b/>
      <w:sz w:val="24"/>
    </w:rPr>
  </w:style>
  <w:style w:type="paragraph" w:customStyle="1" w:styleId="2f0">
    <w:name w:val="заголовок 2"/>
    <w:basedOn w:val="a2"/>
    <w:next w:val="a2"/>
    <w:uiPriority w:val="99"/>
    <w:rsid w:val="003B3770"/>
    <w:pPr>
      <w:keepNext/>
      <w:widowControl w:val="0"/>
      <w:spacing w:before="240" w:after="60" w:line="300" w:lineRule="auto"/>
      <w:ind w:firstLine="740"/>
      <w:jc w:val="both"/>
    </w:pPr>
    <w:rPr>
      <w:rFonts w:ascii="Arial" w:hAnsi="Arial"/>
      <w:b/>
      <w:i/>
      <w:sz w:val="24"/>
    </w:rPr>
  </w:style>
  <w:style w:type="paragraph" w:customStyle="1" w:styleId="title1">
    <w:name w:val="title1"/>
    <w:basedOn w:val="a2"/>
    <w:uiPriority w:val="99"/>
    <w:rsid w:val="00FB7E19"/>
    <w:pPr>
      <w:spacing w:before="150" w:after="150"/>
    </w:pPr>
    <w:rPr>
      <w:rFonts w:ascii="Tahoma" w:hAnsi="Tahoma" w:cs="Tahoma"/>
      <w:b/>
      <w:bCs/>
      <w:caps/>
      <w:color w:val="861316"/>
      <w:sz w:val="14"/>
      <w:szCs w:val="14"/>
    </w:rPr>
  </w:style>
  <w:style w:type="paragraph" w:customStyle="1" w:styleId="title2">
    <w:name w:val="title2"/>
    <w:basedOn w:val="a2"/>
    <w:uiPriority w:val="99"/>
    <w:rsid w:val="00FB7E19"/>
    <w:pPr>
      <w:spacing w:before="150"/>
    </w:pPr>
    <w:rPr>
      <w:rFonts w:ascii="Verdana" w:hAnsi="Verdana"/>
      <w:b/>
      <w:bCs/>
      <w:color w:val="861316"/>
      <w:sz w:val="12"/>
      <w:szCs w:val="12"/>
    </w:rPr>
  </w:style>
  <w:style w:type="character" w:customStyle="1" w:styleId="bkimgc">
    <w:name w:val="bkimg_c"/>
    <w:uiPriority w:val="99"/>
    <w:rsid w:val="00287C7B"/>
    <w:rPr>
      <w:rFonts w:cs="Times New Roman"/>
    </w:rPr>
  </w:style>
  <w:style w:type="character" w:customStyle="1" w:styleId="attachviewerviewernamefilename">
    <w:name w:val="attachviewer__viewer__name__filename"/>
    <w:uiPriority w:val="99"/>
    <w:rsid w:val="009E1E5B"/>
    <w:rPr>
      <w:rFonts w:cs="Times New Roman"/>
    </w:rPr>
  </w:style>
  <w:style w:type="character" w:customStyle="1" w:styleId="attachviewerviewernamefiletype">
    <w:name w:val="attachviewer__viewer__name__filetype"/>
    <w:uiPriority w:val="99"/>
    <w:rsid w:val="009E1E5B"/>
    <w:rPr>
      <w:rFonts w:cs="Times New Roman"/>
    </w:rPr>
  </w:style>
  <w:style w:type="character" w:customStyle="1" w:styleId="hdesc">
    <w:name w:val="hdesc"/>
    <w:uiPriority w:val="99"/>
    <w:rsid w:val="006930DB"/>
    <w:rPr>
      <w:rFonts w:cs="Times New Roman"/>
    </w:rPr>
  </w:style>
  <w:style w:type="paragraph" w:customStyle="1" w:styleId="epigraph">
    <w:name w:val="epigraph"/>
    <w:basedOn w:val="a2"/>
    <w:uiPriority w:val="99"/>
    <w:rsid w:val="00DB596A"/>
    <w:pPr>
      <w:spacing w:before="100" w:beforeAutospacing="1" w:after="100" w:afterAutospacing="1"/>
    </w:pPr>
    <w:rPr>
      <w:sz w:val="24"/>
      <w:szCs w:val="24"/>
    </w:rPr>
  </w:style>
  <w:style w:type="paragraph" w:customStyle="1" w:styleId="footnote">
    <w:name w:val="footnote"/>
    <w:basedOn w:val="a2"/>
    <w:uiPriority w:val="99"/>
    <w:rsid w:val="00DB596A"/>
    <w:pPr>
      <w:spacing w:before="100" w:beforeAutospacing="1" w:after="100" w:afterAutospacing="1"/>
    </w:pPr>
    <w:rPr>
      <w:sz w:val="24"/>
      <w:szCs w:val="24"/>
    </w:rPr>
  </w:style>
  <w:style w:type="character" w:customStyle="1" w:styleId="search-keyword-match">
    <w:name w:val="search-keyword-match"/>
    <w:uiPriority w:val="99"/>
    <w:rsid w:val="005C5C75"/>
    <w:rPr>
      <w:rFonts w:cs="Times New Roman"/>
    </w:rPr>
  </w:style>
  <w:style w:type="character" w:customStyle="1" w:styleId="search-chunk-separator">
    <w:name w:val="search-chunk-separator"/>
    <w:uiPriority w:val="99"/>
    <w:rsid w:val="005C5C75"/>
    <w:rPr>
      <w:rFonts w:cs="Times New Roman"/>
    </w:rPr>
  </w:style>
  <w:style w:type="paragraph" w:customStyle="1" w:styleId="search-links">
    <w:name w:val="search-links"/>
    <w:basedOn w:val="a2"/>
    <w:uiPriority w:val="99"/>
    <w:rsid w:val="005C5C75"/>
    <w:pPr>
      <w:spacing w:before="100" w:beforeAutospacing="1" w:after="100" w:afterAutospacing="1"/>
    </w:pPr>
    <w:rPr>
      <w:sz w:val="24"/>
      <w:szCs w:val="24"/>
    </w:rPr>
  </w:style>
  <w:style w:type="paragraph" w:customStyle="1" w:styleId="Epigraph0">
    <w:name w:val="Epigraph"/>
    <w:uiPriority w:val="99"/>
    <w:rsid w:val="003274D4"/>
    <w:pPr>
      <w:widowControl w:val="0"/>
      <w:autoSpaceDE w:val="0"/>
      <w:autoSpaceDN w:val="0"/>
      <w:adjustRightInd w:val="0"/>
      <w:ind w:left="3000" w:firstLine="400"/>
      <w:jc w:val="both"/>
    </w:pPr>
    <w:rPr>
      <w:i/>
      <w:iCs/>
      <w:sz w:val="22"/>
      <w:szCs w:val="22"/>
    </w:rPr>
  </w:style>
  <w:style w:type="paragraph" w:customStyle="1" w:styleId="EpigraphAuthor">
    <w:name w:val="Epigraph Author"/>
    <w:next w:val="a2"/>
    <w:uiPriority w:val="99"/>
    <w:rsid w:val="003274D4"/>
    <w:pPr>
      <w:widowControl w:val="0"/>
      <w:autoSpaceDE w:val="0"/>
      <w:autoSpaceDN w:val="0"/>
      <w:adjustRightInd w:val="0"/>
      <w:ind w:left="3000" w:firstLine="400"/>
      <w:jc w:val="both"/>
    </w:pPr>
    <w:rPr>
      <w:b/>
      <w:bCs/>
      <w:sz w:val="22"/>
      <w:szCs w:val="22"/>
    </w:rPr>
  </w:style>
  <w:style w:type="paragraph" w:customStyle="1" w:styleId="Annotation">
    <w:name w:val="Annotation"/>
    <w:next w:val="a2"/>
    <w:uiPriority w:val="99"/>
    <w:rsid w:val="003274D4"/>
    <w:pPr>
      <w:widowControl w:val="0"/>
      <w:autoSpaceDE w:val="0"/>
      <w:autoSpaceDN w:val="0"/>
      <w:adjustRightInd w:val="0"/>
      <w:ind w:firstLine="567"/>
      <w:jc w:val="both"/>
    </w:pPr>
    <w:rPr>
      <w:i/>
      <w:iCs/>
      <w:sz w:val="24"/>
      <w:szCs w:val="24"/>
    </w:rPr>
  </w:style>
  <w:style w:type="paragraph" w:customStyle="1" w:styleId="Cite">
    <w:name w:val="Cite"/>
    <w:next w:val="a2"/>
    <w:uiPriority w:val="99"/>
    <w:rsid w:val="003274D4"/>
    <w:pPr>
      <w:widowControl w:val="0"/>
      <w:autoSpaceDE w:val="0"/>
      <w:autoSpaceDN w:val="0"/>
      <w:adjustRightInd w:val="0"/>
      <w:ind w:left="1134" w:right="600"/>
      <w:jc w:val="both"/>
    </w:pPr>
    <w:rPr>
      <w:sz w:val="22"/>
      <w:szCs w:val="22"/>
    </w:rPr>
  </w:style>
  <w:style w:type="paragraph" w:customStyle="1" w:styleId="CiteAuthor">
    <w:name w:val="Cite Author"/>
    <w:next w:val="a2"/>
    <w:uiPriority w:val="99"/>
    <w:rsid w:val="003274D4"/>
    <w:pPr>
      <w:widowControl w:val="0"/>
      <w:autoSpaceDE w:val="0"/>
      <w:autoSpaceDN w:val="0"/>
      <w:adjustRightInd w:val="0"/>
      <w:ind w:left="1701" w:right="600"/>
      <w:jc w:val="both"/>
    </w:pPr>
    <w:rPr>
      <w:b/>
      <w:bCs/>
      <w:i/>
      <w:iCs/>
      <w:sz w:val="22"/>
      <w:szCs w:val="22"/>
    </w:rPr>
  </w:style>
  <w:style w:type="paragraph" w:customStyle="1" w:styleId="PoemTitle">
    <w:name w:val="Poem Title"/>
    <w:next w:val="a2"/>
    <w:uiPriority w:val="99"/>
    <w:rsid w:val="003274D4"/>
    <w:pPr>
      <w:widowControl w:val="0"/>
      <w:autoSpaceDE w:val="0"/>
      <w:autoSpaceDN w:val="0"/>
      <w:adjustRightInd w:val="0"/>
      <w:spacing w:before="12"/>
      <w:ind w:left="2000" w:right="600"/>
    </w:pPr>
    <w:rPr>
      <w:b/>
      <w:bCs/>
      <w:sz w:val="24"/>
      <w:szCs w:val="24"/>
    </w:rPr>
  </w:style>
  <w:style w:type="paragraph" w:customStyle="1" w:styleId="Stanza">
    <w:name w:val="Stanza"/>
    <w:next w:val="a2"/>
    <w:uiPriority w:val="99"/>
    <w:rsid w:val="003274D4"/>
    <w:pPr>
      <w:widowControl w:val="0"/>
      <w:autoSpaceDE w:val="0"/>
      <w:autoSpaceDN w:val="0"/>
      <w:adjustRightInd w:val="0"/>
      <w:ind w:left="2000" w:right="600"/>
    </w:pPr>
    <w:rPr>
      <w:sz w:val="24"/>
      <w:szCs w:val="24"/>
    </w:rPr>
  </w:style>
  <w:style w:type="paragraph" w:customStyle="1" w:styleId="FootNote0">
    <w:name w:val="FootNote"/>
    <w:next w:val="a2"/>
    <w:uiPriority w:val="99"/>
    <w:rsid w:val="003274D4"/>
    <w:pPr>
      <w:widowControl w:val="0"/>
      <w:autoSpaceDE w:val="0"/>
      <w:autoSpaceDN w:val="0"/>
      <w:adjustRightInd w:val="0"/>
      <w:ind w:firstLine="200"/>
      <w:jc w:val="both"/>
    </w:pPr>
  </w:style>
  <w:style w:type="paragraph" w:customStyle="1" w:styleId="FootNoteEpigraph">
    <w:name w:val="FootNote Epigraph"/>
    <w:uiPriority w:val="99"/>
    <w:rsid w:val="003274D4"/>
    <w:pPr>
      <w:widowControl w:val="0"/>
      <w:autoSpaceDE w:val="0"/>
      <w:autoSpaceDN w:val="0"/>
      <w:adjustRightInd w:val="0"/>
      <w:ind w:left="1500" w:firstLine="400"/>
      <w:jc w:val="both"/>
    </w:pPr>
    <w:rPr>
      <w:i/>
      <w:iCs/>
      <w:sz w:val="18"/>
      <w:szCs w:val="18"/>
    </w:rPr>
  </w:style>
  <w:style w:type="paragraph" w:customStyle="1" w:styleId="FootNoteStanza">
    <w:name w:val="FootNote Stanza"/>
    <w:next w:val="a2"/>
    <w:uiPriority w:val="99"/>
    <w:rsid w:val="003274D4"/>
    <w:pPr>
      <w:widowControl w:val="0"/>
      <w:autoSpaceDE w:val="0"/>
      <w:autoSpaceDN w:val="0"/>
      <w:adjustRightInd w:val="0"/>
      <w:ind w:left="500" w:right="600"/>
    </w:pPr>
    <w:rPr>
      <w:sz w:val="18"/>
      <w:szCs w:val="18"/>
    </w:rPr>
  </w:style>
  <w:style w:type="paragraph" w:customStyle="1" w:styleId="FootNoteCite">
    <w:name w:val="FootNote Cite"/>
    <w:next w:val="a2"/>
    <w:uiPriority w:val="99"/>
    <w:rsid w:val="003274D4"/>
    <w:pPr>
      <w:widowControl w:val="0"/>
      <w:autoSpaceDE w:val="0"/>
      <w:autoSpaceDN w:val="0"/>
      <w:adjustRightInd w:val="0"/>
      <w:ind w:left="300" w:right="600"/>
      <w:jc w:val="both"/>
    </w:pPr>
    <w:rPr>
      <w:sz w:val="18"/>
      <w:szCs w:val="18"/>
    </w:rPr>
  </w:style>
  <w:style w:type="paragraph" w:customStyle="1" w:styleId="FootNoteCiteAuthor">
    <w:name w:val="FootNote Cite Author"/>
    <w:next w:val="a2"/>
    <w:uiPriority w:val="99"/>
    <w:rsid w:val="003274D4"/>
    <w:pPr>
      <w:widowControl w:val="0"/>
      <w:autoSpaceDE w:val="0"/>
      <w:autoSpaceDN w:val="0"/>
      <w:adjustRightInd w:val="0"/>
      <w:ind w:left="350" w:right="600"/>
      <w:jc w:val="both"/>
    </w:pPr>
    <w:rPr>
      <w:b/>
      <w:bCs/>
      <w:i/>
      <w:iCs/>
      <w:sz w:val="18"/>
      <w:szCs w:val="18"/>
    </w:rPr>
  </w:style>
  <w:style w:type="paragraph" w:customStyle="1" w:styleId="FootNotePoemTitle">
    <w:name w:val="FootNote Poem Title"/>
    <w:next w:val="a2"/>
    <w:uiPriority w:val="99"/>
    <w:rsid w:val="003274D4"/>
    <w:pPr>
      <w:widowControl w:val="0"/>
      <w:autoSpaceDE w:val="0"/>
      <w:autoSpaceDN w:val="0"/>
      <w:adjustRightInd w:val="0"/>
      <w:spacing w:before="12"/>
      <w:ind w:left="2000" w:right="600"/>
    </w:pPr>
    <w:rPr>
      <w:b/>
      <w:bCs/>
    </w:rPr>
  </w:style>
  <w:style w:type="paragraph" w:styleId="afffff0">
    <w:name w:val="No Spacing"/>
    <w:link w:val="afffff1"/>
    <w:uiPriority w:val="99"/>
    <w:qFormat/>
    <w:rsid w:val="00FD37B4"/>
    <w:rPr>
      <w:rFonts w:ascii="Calibri" w:hAnsi="Calibri"/>
      <w:sz w:val="22"/>
      <w:szCs w:val="22"/>
      <w:lang w:eastAsia="en-US"/>
    </w:rPr>
  </w:style>
  <w:style w:type="paragraph" w:customStyle="1" w:styleId="TNR">
    <w:name w:val="TNR"/>
    <w:basedOn w:val="a2"/>
    <w:link w:val="TNR0"/>
    <w:uiPriority w:val="99"/>
    <w:rsid w:val="00FD37B4"/>
    <w:pPr>
      <w:spacing w:line="360" w:lineRule="auto"/>
      <w:ind w:firstLine="709"/>
      <w:jc w:val="both"/>
    </w:pPr>
    <w:rPr>
      <w:sz w:val="28"/>
      <w:lang w:eastAsia="en-US"/>
    </w:rPr>
  </w:style>
  <w:style w:type="character" w:customStyle="1" w:styleId="TNR0">
    <w:name w:val="TNR Знак"/>
    <w:link w:val="TNR"/>
    <w:uiPriority w:val="99"/>
    <w:locked/>
    <w:rsid w:val="00FD37B4"/>
    <w:rPr>
      <w:rFonts w:eastAsia="Times New Roman"/>
      <w:sz w:val="28"/>
      <w:lang w:eastAsia="en-US"/>
    </w:rPr>
  </w:style>
  <w:style w:type="character" w:customStyle="1" w:styleId="toctoggle">
    <w:name w:val="toctoggle"/>
    <w:uiPriority w:val="99"/>
    <w:rsid w:val="00FD37B4"/>
    <w:rPr>
      <w:rFonts w:cs="Times New Roman"/>
    </w:rPr>
  </w:style>
  <w:style w:type="character" w:customStyle="1" w:styleId="tocnumber">
    <w:name w:val="tocnumber"/>
    <w:uiPriority w:val="99"/>
    <w:rsid w:val="00FD37B4"/>
    <w:rPr>
      <w:rFonts w:cs="Times New Roman"/>
    </w:rPr>
  </w:style>
  <w:style w:type="character" w:customStyle="1" w:styleId="toctext">
    <w:name w:val="toctext"/>
    <w:uiPriority w:val="99"/>
    <w:rsid w:val="00FD37B4"/>
    <w:rPr>
      <w:rFonts w:cs="Times New Roman"/>
    </w:rPr>
  </w:style>
  <w:style w:type="character" w:customStyle="1" w:styleId="mw-headline">
    <w:name w:val="mw-headline"/>
    <w:uiPriority w:val="99"/>
    <w:rsid w:val="00FD37B4"/>
    <w:rPr>
      <w:rFonts w:cs="Times New Roman"/>
    </w:rPr>
  </w:style>
  <w:style w:type="character" w:customStyle="1" w:styleId="mw-editsection">
    <w:name w:val="mw-editsection"/>
    <w:uiPriority w:val="99"/>
    <w:rsid w:val="00FD37B4"/>
    <w:rPr>
      <w:rFonts w:cs="Times New Roman"/>
    </w:rPr>
  </w:style>
  <w:style w:type="character" w:customStyle="1" w:styleId="mw-editsection-bracket">
    <w:name w:val="mw-editsection-bracket"/>
    <w:uiPriority w:val="99"/>
    <w:rsid w:val="00FD37B4"/>
    <w:rPr>
      <w:rFonts w:cs="Times New Roman"/>
    </w:rPr>
  </w:style>
  <w:style w:type="character" w:customStyle="1" w:styleId="mw-editsection-divider">
    <w:name w:val="mw-editsection-divider"/>
    <w:uiPriority w:val="99"/>
    <w:rsid w:val="00FD37B4"/>
    <w:rPr>
      <w:rFonts w:cs="Times New Roman"/>
    </w:rPr>
  </w:style>
  <w:style w:type="character" w:customStyle="1" w:styleId="citation">
    <w:name w:val="citation"/>
    <w:uiPriority w:val="99"/>
    <w:rsid w:val="00FD37B4"/>
    <w:rPr>
      <w:rFonts w:cs="Times New Roman"/>
    </w:rPr>
  </w:style>
  <w:style w:type="paragraph" w:customStyle="1" w:styleId="1f0">
    <w:name w:val="Название1"/>
    <w:basedOn w:val="a2"/>
    <w:uiPriority w:val="99"/>
    <w:rsid w:val="00686680"/>
    <w:pPr>
      <w:spacing w:before="480" w:after="360"/>
      <w:jc w:val="center"/>
    </w:pPr>
    <w:rPr>
      <w:rFonts w:ascii="ACSRS" w:hAnsi="ACSRS"/>
      <w:b/>
      <w:sz w:val="28"/>
    </w:rPr>
  </w:style>
  <w:style w:type="paragraph" w:customStyle="1" w:styleId="82">
    <w:name w:val="заголовок 8"/>
    <w:basedOn w:val="a2"/>
    <w:next w:val="a2"/>
    <w:uiPriority w:val="99"/>
    <w:rsid w:val="00686680"/>
    <w:pPr>
      <w:keepNext/>
      <w:widowControl w:val="0"/>
      <w:spacing w:line="360" w:lineRule="auto"/>
      <w:ind w:right="-199"/>
      <w:jc w:val="both"/>
    </w:pPr>
    <w:rPr>
      <w:b/>
      <w:i/>
      <w:sz w:val="28"/>
    </w:rPr>
  </w:style>
  <w:style w:type="paragraph" w:styleId="afffff2">
    <w:name w:val="endnote text"/>
    <w:basedOn w:val="a2"/>
    <w:link w:val="afffff3"/>
    <w:uiPriority w:val="99"/>
    <w:rsid w:val="00686680"/>
    <w:pPr>
      <w:widowControl w:val="0"/>
    </w:pPr>
  </w:style>
  <w:style w:type="character" w:customStyle="1" w:styleId="afffff3">
    <w:name w:val="Текст концевой сноски Знак"/>
    <w:link w:val="afffff2"/>
    <w:uiPriority w:val="99"/>
    <w:locked/>
    <w:rsid w:val="00686680"/>
    <w:rPr>
      <w:rFonts w:cs="Times New Roman"/>
    </w:rPr>
  </w:style>
  <w:style w:type="paragraph" w:customStyle="1" w:styleId="BodyText21">
    <w:name w:val="Body Text 21"/>
    <w:basedOn w:val="a2"/>
    <w:uiPriority w:val="99"/>
    <w:rsid w:val="00686680"/>
    <w:pPr>
      <w:widowControl w:val="0"/>
      <w:spacing w:line="360" w:lineRule="auto"/>
      <w:jc w:val="both"/>
    </w:pPr>
    <w:rPr>
      <w:sz w:val="24"/>
    </w:rPr>
  </w:style>
  <w:style w:type="paragraph" w:customStyle="1" w:styleId="213">
    <w:name w:val="Заголовок 21"/>
    <w:basedOn w:val="42"/>
    <w:next w:val="42"/>
    <w:uiPriority w:val="99"/>
    <w:rsid w:val="00686680"/>
    <w:pPr>
      <w:keepNext/>
      <w:widowControl/>
      <w:spacing w:before="120" w:line="240" w:lineRule="auto"/>
      <w:ind w:firstLine="0"/>
      <w:jc w:val="left"/>
    </w:pPr>
    <w:rPr>
      <w:b/>
      <w:sz w:val="22"/>
    </w:rPr>
  </w:style>
  <w:style w:type="character" w:customStyle="1" w:styleId="1f1">
    <w:name w:val="Основной шрифт абзаца1"/>
    <w:uiPriority w:val="99"/>
    <w:rsid w:val="00686680"/>
  </w:style>
  <w:style w:type="paragraph" w:customStyle="1" w:styleId="1f2">
    <w:name w:val="Адрес на конверте1"/>
    <w:basedOn w:val="42"/>
    <w:uiPriority w:val="99"/>
    <w:rsid w:val="00686680"/>
    <w:pPr>
      <w:framePr w:w="7920" w:h="1980" w:hRule="exact" w:hSpace="180" w:wrap="auto" w:hAnchor="page" w:xAlign="center" w:yAlign="bottom"/>
      <w:widowControl/>
      <w:spacing w:line="240" w:lineRule="auto"/>
      <w:ind w:left="2880" w:firstLine="0"/>
      <w:jc w:val="left"/>
    </w:pPr>
    <w:rPr>
      <w:rFonts w:ascii="Times New Roman" w:hAnsi="Times New Roman"/>
      <w:lang w:val="en-US"/>
    </w:rPr>
  </w:style>
  <w:style w:type="paragraph" w:customStyle="1" w:styleId="1f3">
    <w:name w:val="Текст сноски1"/>
    <w:basedOn w:val="42"/>
    <w:uiPriority w:val="99"/>
    <w:rsid w:val="00686680"/>
    <w:pPr>
      <w:widowControl/>
      <w:spacing w:line="240" w:lineRule="auto"/>
      <w:ind w:firstLine="0"/>
      <w:jc w:val="left"/>
    </w:pPr>
    <w:rPr>
      <w:rFonts w:ascii="Times New Roman" w:hAnsi="Times New Roman"/>
      <w:sz w:val="20"/>
      <w:lang w:val="en-US"/>
    </w:rPr>
  </w:style>
  <w:style w:type="character" w:customStyle="1" w:styleId="1f4">
    <w:name w:val="Знак сноски1"/>
    <w:uiPriority w:val="99"/>
    <w:rsid w:val="00686680"/>
    <w:rPr>
      <w:vertAlign w:val="superscript"/>
    </w:rPr>
  </w:style>
  <w:style w:type="paragraph" w:customStyle="1" w:styleId="Tablebody">
    <w:name w:val="Table body"/>
    <w:basedOn w:val="Textbody"/>
    <w:uiPriority w:val="99"/>
    <w:rsid w:val="00686680"/>
    <w:pPr>
      <w:ind w:right="113"/>
      <w:jc w:val="right"/>
    </w:pPr>
  </w:style>
  <w:style w:type="paragraph" w:customStyle="1" w:styleId="Textbody">
    <w:name w:val="Text body"/>
    <w:uiPriority w:val="99"/>
    <w:rsid w:val="00686680"/>
    <w:pPr>
      <w:spacing w:before="20" w:after="80" w:line="130" w:lineRule="exact"/>
    </w:pPr>
    <w:rPr>
      <w:rFonts w:ascii="ACSRS" w:hAnsi="ACSRS"/>
      <w:sz w:val="13"/>
    </w:rPr>
  </w:style>
  <w:style w:type="paragraph" w:customStyle="1" w:styleId="Tablehead">
    <w:name w:val="Table head"/>
    <w:uiPriority w:val="99"/>
    <w:rsid w:val="00686680"/>
    <w:pPr>
      <w:spacing w:before="60" w:after="40" w:line="120" w:lineRule="exact"/>
      <w:jc w:val="center"/>
    </w:pPr>
    <w:rPr>
      <w:rFonts w:ascii="Arial" w:hAnsi="Arial"/>
      <w:sz w:val="12"/>
    </w:rPr>
  </w:style>
  <w:style w:type="paragraph" w:customStyle="1" w:styleId="Headinbody">
    <w:name w:val="Head in body"/>
    <w:basedOn w:val="Tablebody"/>
    <w:uiPriority w:val="99"/>
    <w:rsid w:val="00686680"/>
    <w:pPr>
      <w:spacing w:before="160"/>
    </w:pPr>
    <w:rPr>
      <w:b/>
    </w:rPr>
  </w:style>
  <w:style w:type="paragraph" w:customStyle="1" w:styleId="Headintext">
    <w:name w:val="Head in text"/>
    <w:basedOn w:val="Textbody"/>
    <w:uiPriority w:val="99"/>
    <w:rsid w:val="00686680"/>
    <w:pPr>
      <w:spacing w:before="160"/>
    </w:pPr>
    <w:rPr>
      <w:b/>
    </w:rPr>
  </w:style>
  <w:style w:type="paragraph" w:customStyle="1" w:styleId="1f5">
    <w:name w:val="Нижний колонтитул1"/>
    <w:basedOn w:val="42"/>
    <w:uiPriority w:val="99"/>
    <w:rsid w:val="00686680"/>
    <w:pPr>
      <w:widowControl/>
      <w:tabs>
        <w:tab w:val="center" w:pos="4153"/>
        <w:tab w:val="right" w:pos="8306"/>
      </w:tabs>
      <w:spacing w:line="240" w:lineRule="auto"/>
      <w:ind w:firstLine="0"/>
      <w:jc w:val="left"/>
    </w:pPr>
    <w:rPr>
      <w:rFonts w:ascii="Times New Roman" w:hAnsi="Times New Roman"/>
      <w:sz w:val="20"/>
      <w:lang w:val="en-US"/>
    </w:rPr>
  </w:style>
  <w:style w:type="character" w:customStyle="1" w:styleId="1f6">
    <w:name w:val="Номер страницы1"/>
    <w:uiPriority w:val="99"/>
    <w:rsid w:val="00686680"/>
    <w:rPr>
      <w:rFonts w:cs="Times New Roman"/>
    </w:rPr>
  </w:style>
  <w:style w:type="paragraph" w:customStyle="1" w:styleId="Tablename">
    <w:name w:val="Table name"/>
    <w:basedOn w:val="42"/>
    <w:uiPriority w:val="99"/>
    <w:rsid w:val="00686680"/>
    <w:pPr>
      <w:widowControl/>
      <w:spacing w:line="240" w:lineRule="auto"/>
      <w:ind w:firstLine="0"/>
      <w:jc w:val="center"/>
    </w:pPr>
    <w:rPr>
      <w:b/>
      <w:sz w:val="18"/>
      <w:lang w:val="en-US"/>
    </w:rPr>
  </w:style>
  <w:style w:type="paragraph" w:customStyle="1" w:styleId="Undername">
    <w:name w:val="Under name"/>
    <w:uiPriority w:val="99"/>
    <w:rsid w:val="00686680"/>
    <w:pPr>
      <w:jc w:val="center"/>
    </w:pPr>
    <w:rPr>
      <w:rFonts w:ascii="ACSRS" w:hAnsi="ACSRS"/>
      <w:i/>
      <w:sz w:val="16"/>
    </w:rPr>
  </w:style>
  <w:style w:type="paragraph" w:customStyle="1" w:styleId="1f7">
    <w:name w:val="Верхний колонтитул1"/>
    <w:basedOn w:val="42"/>
    <w:uiPriority w:val="99"/>
    <w:rsid w:val="00686680"/>
    <w:pPr>
      <w:widowControl/>
      <w:tabs>
        <w:tab w:val="center" w:pos="4677"/>
        <w:tab w:val="right" w:pos="9355"/>
      </w:tabs>
      <w:spacing w:line="240" w:lineRule="auto"/>
      <w:ind w:firstLine="0"/>
      <w:jc w:val="left"/>
    </w:pPr>
    <w:rPr>
      <w:rFonts w:ascii="Times New Roman" w:hAnsi="Times New Roman"/>
    </w:rPr>
  </w:style>
  <w:style w:type="paragraph" w:customStyle="1" w:styleId="BodyText22">
    <w:name w:val="Body Text 22"/>
    <w:basedOn w:val="42"/>
    <w:uiPriority w:val="99"/>
    <w:rsid w:val="00686680"/>
    <w:pPr>
      <w:widowControl/>
      <w:spacing w:after="120" w:line="360" w:lineRule="auto"/>
      <w:ind w:firstLine="709"/>
    </w:pPr>
    <w:rPr>
      <w:sz w:val="22"/>
    </w:rPr>
  </w:style>
  <w:style w:type="paragraph" w:customStyle="1" w:styleId="2f1">
    <w:name w:val="Основной текст2"/>
    <w:basedOn w:val="42"/>
    <w:uiPriority w:val="99"/>
    <w:rsid w:val="00686680"/>
    <w:pPr>
      <w:widowControl/>
      <w:spacing w:before="120" w:line="240" w:lineRule="auto"/>
      <w:ind w:firstLine="0"/>
      <w:jc w:val="left"/>
    </w:pPr>
    <w:rPr>
      <w:sz w:val="18"/>
    </w:rPr>
  </w:style>
  <w:style w:type="paragraph" w:customStyle="1" w:styleId="imaligncenter">
    <w:name w:val="imalign_center"/>
    <w:basedOn w:val="a2"/>
    <w:uiPriority w:val="99"/>
    <w:rsid w:val="00417F9B"/>
    <w:pPr>
      <w:spacing w:before="100" w:beforeAutospacing="1" w:after="100" w:afterAutospacing="1"/>
    </w:pPr>
    <w:rPr>
      <w:sz w:val="24"/>
      <w:szCs w:val="24"/>
    </w:rPr>
  </w:style>
  <w:style w:type="character" w:customStyle="1" w:styleId="ff2">
    <w:name w:val="ff2"/>
    <w:uiPriority w:val="99"/>
    <w:rsid w:val="00417F9B"/>
    <w:rPr>
      <w:rFonts w:cs="Times New Roman"/>
    </w:rPr>
  </w:style>
  <w:style w:type="paragraph" w:customStyle="1" w:styleId="imalignleft">
    <w:name w:val="imalign_left"/>
    <w:basedOn w:val="a2"/>
    <w:uiPriority w:val="99"/>
    <w:rsid w:val="00417F9B"/>
    <w:pPr>
      <w:spacing w:before="100" w:beforeAutospacing="1" w:after="100" w:afterAutospacing="1"/>
    </w:pPr>
    <w:rPr>
      <w:sz w:val="24"/>
      <w:szCs w:val="24"/>
    </w:rPr>
  </w:style>
  <w:style w:type="character" w:customStyle="1" w:styleId="ff3">
    <w:name w:val="ff3"/>
    <w:uiPriority w:val="99"/>
    <w:rsid w:val="00417F9B"/>
    <w:rPr>
      <w:rFonts w:cs="Times New Roman"/>
    </w:rPr>
  </w:style>
  <w:style w:type="character" w:customStyle="1" w:styleId="in-widget">
    <w:name w:val="in-widget"/>
    <w:uiPriority w:val="99"/>
    <w:rsid w:val="00C86129"/>
    <w:rPr>
      <w:rFonts w:cs="Times New Roman"/>
    </w:rPr>
  </w:style>
  <w:style w:type="paragraph" w:styleId="afffff4">
    <w:name w:val="E-mail Signature"/>
    <w:basedOn w:val="a2"/>
    <w:link w:val="afffff5"/>
    <w:uiPriority w:val="99"/>
    <w:semiHidden/>
    <w:rsid w:val="00364E35"/>
    <w:rPr>
      <w:sz w:val="24"/>
      <w:szCs w:val="24"/>
    </w:rPr>
  </w:style>
  <w:style w:type="character" w:customStyle="1" w:styleId="afffff5">
    <w:name w:val="Электронная подпись Знак"/>
    <w:link w:val="afffff4"/>
    <w:uiPriority w:val="99"/>
    <w:semiHidden/>
    <w:locked/>
    <w:rsid w:val="00364E35"/>
    <w:rPr>
      <w:rFonts w:cs="Times New Roman"/>
      <w:sz w:val="24"/>
    </w:rPr>
  </w:style>
  <w:style w:type="character" w:customStyle="1" w:styleId="mrreadfromf1">
    <w:name w:val="mr_read__fromf1"/>
    <w:uiPriority w:val="99"/>
    <w:rsid w:val="00364E35"/>
    <w:rPr>
      <w:b/>
      <w:color w:val="000000"/>
      <w:sz w:val="9"/>
    </w:rPr>
  </w:style>
  <w:style w:type="character" w:customStyle="1" w:styleId="if">
    <w:name w:val="if"/>
    <w:uiPriority w:val="99"/>
    <w:rsid w:val="00364E35"/>
  </w:style>
  <w:style w:type="character" w:customStyle="1" w:styleId="readmsgloading">
    <w:name w:val="readmsgloading"/>
    <w:uiPriority w:val="99"/>
    <w:rsid w:val="00364E35"/>
  </w:style>
  <w:style w:type="character" w:customStyle="1" w:styleId="st1">
    <w:name w:val="st1"/>
    <w:uiPriority w:val="99"/>
    <w:rsid w:val="00364E35"/>
  </w:style>
  <w:style w:type="character" w:customStyle="1" w:styleId="js-phone-number">
    <w:name w:val="js-phone-number"/>
    <w:uiPriority w:val="99"/>
    <w:rsid w:val="00364E35"/>
  </w:style>
  <w:style w:type="character" w:customStyle="1" w:styleId="mrreadfromf">
    <w:name w:val="mr_read__fromf"/>
    <w:uiPriority w:val="99"/>
    <w:rsid w:val="00364E35"/>
  </w:style>
  <w:style w:type="character" w:customStyle="1" w:styleId="link">
    <w:name w:val="link"/>
    <w:uiPriority w:val="99"/>
    <w:rsid w:val="00364E35"/>
  </w:style>
  <w:style w:type="character" w:customStyle="1" w:styleId="b-letterfoottab">
    <w:name w:val="b-letter__foot__tab"/>
    <w:uiPriority w:val="99"/>
    <w:rsid w:val="00364E35"/>
  </w:style>
  <w:style w:type="character" w:customStyle="1" w:styleId="attachmentantivirusfiles-statustext">
    <w:name w:val="attachment__antivirus__files-status__text"/>
    <w:uiPriority w:val="99"/>
    <w:rsid w:val="00364E35"/>
  </w:style>
  <w:style w:type="character" w:customStyle="1" w:styleId="attachlistheadercount">
    <w:name w:val="attachlist__header__count"/>
    <w:uiPriority w:val="99"/>
    <w:rsid w:val="00364E35"/>
  </w:style>
  <w:style w:type="character" w:customStyle="1" w:styleId="-5">
    <w:name w:val="Интернет-ссылка"/>
    <w:uiPriority w:val="99"/>
    <w:rsid w:val="00364E35"/>
    <w:rPr>
      <w:color w:val="000080"/>
      <w:u w:val="single"/>
    </w:rPr>
  </w:style>
  <w:style w:type="character" w:customStyle="1" w:styleId="texthd">
    <w:name w:val="texthd"/>
    <w:uiPriority w:val="99"/>
    <w:rsid w:val="00364E35"/>
  </w:style>
  <w:style w:type="character" w:customStyle="1" w:styleId="b-contact-informer-target">
    <w:name w:val="b-contact-informer-target"/>
    <w:uiPriority w:val="99"/>
    <w:rsid w:val="00364E35"/>
  </w:style>
  <w:style w:type="paragraph" w:customStyle="1" w:styleId="2f2">
    <w:name w:val="Основной текст (2)"/>
    <w:basedOn w:val="a2"/>
    <w:link w:val="2f3"/>
    <w:uiPriority w:val="99"/>
    <w:rsid w:val="004C66C2"/>
    <w:pPr>
      <w:widowControl w:val="0"/>
      <w:shd w:val="clear" w:color="auto" w:fill="FFFFFF"/>
      <w:spacing w:line="283" w:lineRule="exact"/>
      <w:ind w:hanging="340"/>
      <w:jc w:val="both"/>
    </w:pPr>
    <w:rPr>
      <w:color w:val="000000"/>
      <w:sz w:val="28"/>
    </w:rPr>
  </w:style>
  <w:style w:type="character" w:customStyle="1" w:styleId="2f3">
    <w:name w:val="Основной текст (2)_"/>
    <w:link w:val="2f2"/>
    <w:uiPriority w:val="99"/>
    <w:locked/>
    <w:rsid w:val="004C66C2"/>
    <w:rPr>
      <w:color w:val="000000"/>
      <w:sz w:val="28"/>
      <w:shd w:val="clear" w:color="auto" w:fill="FFFFFF"/>
    </w:rPr>
  </w:style>
  <w:style w:type="character" w:customStyle="1" w:styleId="x-label">
    <w:name w:val="x-label"/>
    <w:uiPriority w:val="99"/>
    <w:rsid w:val="00263F64"/>
  </w:style>
  <w:style w:type="character" w:customStyle="1" w:styleId="x-label-value">
    <w:name w:val="x-label-value"/>
    <w:uiPriority w:val="99"/>
    <w:rsid w:val="00263F64"/>
  </w:style>
  <w:style w:type="character" w:customStyle="1" w:styleId="noncited4">
    <w:name w:val="noncited4"/>
    <w:uiPriority w:val="99"/>
    <w:rsid w:val="00263F64"/>
  </w:style>
  <w:style w:type="character" w:customStyle="1" w:styleId="origins4">
    <w:name w:val="origins4"/>
    <w:uiPriority w:val="99"/>
    <w:rsid w:val="00263F64"/>
  </w:style>
  <w:style w:type="character" w:customStyle="1" w:styleId="legalcitation">
    <w:name w:val="legalcitation"/>
    <w:uiPriority w:val="99"/>
    <w:rsid w:val="00263F64"/>
  </w:style>
  <w:style w:type="character" w:customStyle="1" w:styleId="afffff6">
    <w:name w:val="Сноска_"/>
    <w:link w:val="afffff7"/>
    <w:uiPriority w:val="99"/>
    <w:locked/>
    <w:rsid w:val="00CA2926"/>
    <w:rPr>
      <w:rFonts w:ascii="Calibri" w:hAnsi="Calibri"/>
      <w:i/>
      <w:sz w:val="22"/>
      <w:shd w:val="clear" w:color="auto" w:fill="FFFFFF"/>
    </w:rPr>
  </w:style>
  <w:style w:type="character" w:customStyle="1" w:styleId="TimesNewRoman">
    <w:name w:val="Сноска + Times New Roman"/>
    <w:aliases w:val="111,5 pt,Не курсив"/>
    <w:uiPriority w:val="99"/>
    <w:rsid w:val="00CA2926"/>
    <w:rPr>
      <w:rFonts w:ascii="Times New Roman" w:hAnsi="Times New Roman"/>
      <w:i/>
      <w:color w:val="000000"/>
      <w:spacing w:val="0"/>
      <w:w w:val="100"/>
      <w:position w:val="0"/>
      <w:sz w:val="23"/>
      <w:u w:val="none"/>
      <w:lang w:val="ru-RU" w:eastAsia="ru-RU"/>
    </w:rPr>
  </w:style>
  <w:style w:type="character" w:customStyle="1" w:styleId="2f4">
    <w:name w:val="Сноска (2)_"/>
    <w:link w:val="2f5"/>
    <w:uiPriority w:val="99"/>
    <w:locked/>
    <w:rsid w:val="00CA2926"/>
    <w:rPr>
      <w:b/>
      <w:shd w:val="clear" w:color="auto" w:fill="FFFFFF"/>
    </w:rPr>
  </w:style>
  <w:style w:type="character" w:customStyle="1" w:styleId="1f8">
    <w:name w:val="Заголовок №1_"/>
    <w:link w:val="1f9"/>
    <w:uiPriority w:val="99"/>
    <w:locked/>
    <w:rsid w:val="00CA2926"/>
    <w:rPr>
      <w:b/>
      <w:sz w:val="28"/>
      <w:shd w:val="clear" w:color="auto" w:fill="FFFFFF"/>
    </w:rPr>
  </w:style>
  <w:style w:type="character" w:customStyle="1" w:styleId="14">
    <w:name w:val="Оглавление 1 Знак"/>
    <w:link w:val="13"/>
    <w:uiPriority w:val="99"/>
    <w:locked/>
    <w:rsid w:val="00B94D1C"/>
    <w:rPr>
      <w:b/>
      <w:sz w:val="28"/>
    </w:rPr>
  </w:style>
  <w:style w:type="character" w:customStyle="1" w:styleId="2f6">
    <w:name w:val="Основной текст (2) + Полужирный"/>
    <w:uiPriority w:val="99"/>
    <w:rsid w:val="00CA2926"/>
    <w:rPr>
      <w:rFonts w:ascii="Times New Roman" w:hAnsi="Times New Roman"/>
      <w:b/>
      <w:color w:val="000000"/>
      <w:spacing w:val="0"/>
      <w:w w:val="100"/>
      <w:position w:val="0"/>
      <w:sz w:val="24"/>
      <w:u w:val="none"/>
      <w:shd w:val="clear" w:color="auto" w:fill="FFFFFF"/>
      <w:lang w:val="ru-RU" w:eastAsia="ru-RU"/>
    </w:rPr>
  </w:style>
  <w:style w:type="character" w:customStyle="1" w:styleId="2f7">
    <w:name w:val="Подпись к картинке (2)_"/>
    <w:link w:val="214"/>
    <w:uiPriority w:val="99"/>
    <w:locked/>
    <w:rsid w:val="00CA2926"/>
    <w:rPr>
      <w:rFonts w:ascii="Times New Roman" w:hAnsi="Times New Roman"/>
      <w:b/>
      <w:sz w:val="20"/>
      <w:u w:val="none"/>
    </w:rPr>
  </w:style>
  <w:style w:type="character" w:customStyle="1" w:styleId="afffff8">
    <w:name w:val="Колонтитул_"/>
    <w:uiPriority w:val="99"/>
    <w:rsid w:val="00CA2926"/>
    <w:rPr>
      <w:rFonts w:ascii="Times New Roman" w:hAnsi="Times New Roman"/>
      <w:b/>
      <w:u w:val="none"/>
    </w:rPr>
  </w:style>
  <w:style w:type="character" w:customStyle="1" w:styleId="14pt">
    <w:name w:val="Колонтитул + 14 pt"/>
    <w:uiPriority w:val="99"/>
    <w:rsid w:val="00CA2926"/>
    <w:rPr>
      <w:rFonts w:ascii="Times New Roman" w:hAnsi="Times New Roman"/>
      <w:b/>
      <w:color w:val="000000"/>
      <w:spacing w:val="0"/>
      <w:w w:val="100"/>
      <w:position w:val="0"/>
      <w:sz w:val="28"/>
      <w:u w:val="none"/>
      <w:lang w:val="ru-RU" w:eastAsia="ru-RU"/>
    </w:rPr>
  </w:style>
  <w:style w:type="character" w:customStyle="1" w:styleId="afffff9">
    <w:name w:val="Колонтитул"/>
    <w:uiPriority w:val="99"/>
    <w:rsid w:val="00CA2926"/>
    <w:rPr>
      <w:rFonts w:ascii="Times New Roman" w:hAnsi="Times New Roman"/>
      <w:b/>
      <w:color w:val="000000"/>
      <w:spacing w:val="0"/>
      <w:w w:val="100"/>
      <w:position w:val="0"/>
      <w:sz w:val="24"/>
      <w:u w:val="none"/>
      <w:lang w:val="ru-RU" w:eastAsia="ru-RU"/>
    </w:rPr>
  </w:style>
  <w:style w:type="character" w:customStyle="1" w:styleId="3f">
    <w:name w:val="Основной текст (3)_"/>
    <w:link w:val="313"/>
    <w:uiPriority w:val="99"/>
    <w:locked/>
    <w:rsid w:val="00CA2926"/>
    <w:rPr>
      <w:rFonts w:ascii="Times New Roman" w:hAnsi="Times New Roman"/>
      <w:b/>
      <w:u w:val="none"/>
    </w:rPr>
  </w:style>
  <w:style w:type="character" w:customStyle="1" w:styleId="45">
    <w:name w:val="Основной текст (4)_"/>
    <w:link w:val="46"/>
    <w:uiPriority w:val="99"/>
    <w:locked/>
    <w:rsid w:val="00CA2926"/>
    <w:rPr>
      <w:b/>
      <w:i/>
      <w:sz w:val="22"/>
      <w:shd w:val="clear" w:color="auto" w:fill="FFFFFF"/>
    </w:rPr>
  </w:style>
  <w:style w:type="character" w:customStyle="1" w:styleId="54">
    <w:name w:val="Основной текст (5)_"/>
    <w:link w:val="55"/>
    <w:uiPriority w:val="99"/>
    <w:locked/>
    <w:rsid w:val="00CA2926"/>
    <w:rPr>
      <w:rFonts w:ascii="Calibri" w:hAnsi="Calibri"/>
      <w:sz w:val="16"/>
      <w:shd w:val="clear" w:color="auto" w:fill="FFFFFF"/>
    </w:rPr>
  </w:style>
  <w:style w:type="character" w:customStyle="1" w:styleId="2f8">
    <w:name w:val="Заголовок №2 + Не полужирный"/>
    <w:uiPriority w:val="99"/>
    <w:rsid w:val="00CA2926"/>
    <w:rPr>
      <w:rFonts w:ascii="Times New Roman" w:hAnsi="Times New Roman"/>
      <w:b/>
      <w:color w:val="000000"/>
      <w:spacing w:val="0"/>
      <w:w w:val="100"/>
      <w:position w:val="0"/>
      <w:sz w:val="24"/>
      <w:u w:val="none"/>
      <w:shd w:val="clear" w:color="auto" w:fill="FFFFFF"/>
      <w:lang w:val="ru-RU" w:eastAsia="ru-RU"/>
    </w:rPr>
  </w:style>
  <w:style w:type="character" w:customStyle="1" w:styleId="3f0">
    <w:name w:val="Подпись к картинке (3)_"/>
    <w:link w:val="3f1"/>
    <w:uiPriority w:val="99"/>
    <w:locked/>
    <w:rsid w:val="00CA2926"/>
    <w:rPr>
      <w:shd w:val="clear" w:color="auto" w:fill="FFFFFF"/>
    </w:rPr>
  </w:style>
  <w:style w:type="character" w:customStyle="1" w:styleId="66">
    <w:name w:val="Основной текст (6)_"/>
    <w:link w:val="67"/>
    <w:uiPriority w:val="99"/>
    <w:locked/>
    <w:rsid w:val="00CA2926"/>
    <w:rPr>
      <w:i/>
      <w:shd w:val="clear" w:color="auto" w:fill="FFFFFF"/>
    </w:rPr>
  </w:style>
  <w:style w:type="character" w:customStyle="1" w:styleId="2Corbel">
    <w:name w:val="Основной текст (2) + Corbel"/>
    <w:aliases w:val="7 pt"/>
    <w:uiPriority w:val="99"/>
    <w:rsid w:val="00CA2926"/>
    <w:rPr>
      <w:rFonts w:ascii="Corbel" w:hAnsi="Corbel"/>
      <w:color w:val="000000"/>
      <w:spacing w:val="0"/>
      <w:w w:val="100"/>
      <w:position w:val="0"/>
      <w:sz w:val="14"/>
      <w:u w:val="none"/>
      <w:shd w:val="clear" w:color="auto" w:fill="FFFFFF"/>
      <w:lang w:val="ru-RU" w:eastAsia="ru-RU"/>
    </w:rPr>
  </w:style>
  <w:style w:type="character" w:customStyle="1" w:styleId="271">
    <w:name w:val="Основной текст (2) + 7"/>
    <w:aliases w:val="5 pt23,Полужирный"/>
    <w:uiPriority w:val="99"/>
    <w:rsid w:val="00CA2926"/>
    <w:rPr>
      <w:rFonts w:ascii="Times New Roman" w:hAnsi="Times New Roman"/>
      <w:b/>
      <w:color w:val="000000"/>
      <w:spacing w:val="0"/>
      <w:w w:val="100"/>
      <w:position w:val="0"/>
      <w:sz w:val="15"/>
      <w:u w:val="none"/>
      <w:shd w:val="clear" w:color="auto" w:fill="FFFFFF"/>
      <w:lang w:val="ru-RU" w:eastAsia="ru-RU"/>
    </w:rPr>
  </w:style>
  <w:style w:type="character" w:customStyle="1" w:styleId="2Georgia">
    <w:name w:val="Основной текст (2) + Georgia"/>
    <w:aliases w:val="6,5 pt22"/>
    <w:uiPriority w:val="99"/>
    <w:rsid w:val="00CA2926"/>
    <w:rPr>
      <w:rFonts w:ascii="Georgia" w:hAnsi="Georgia"/>
      <w:color w:val="000000"/>
      <w:spacing w:val="0"/>
      <w:w w:val="100"/>
      <w:position w:val="0"/>
      <w:sz w:val="13"/>
      <w:u w:val="none"/>
      <w:shd w:val="clear" w:color="auto" w:fill="FFFFFF"/>
      <w:lang w:val="ru-RU" w:eastAsia="ru-RU"/>
    </w:rPr>
  </w:style>
  <w:style w:type="character" w:customStyle="1" w:styleId="75">
    <w:name w:val="Основной текст (7)_"/>
    <w:link w:val="76"/>
    <w:uiPriority w:val="99"/>
    <w:locked/>
    <w:rsid w:val="00CA2926"/>
    <w:rPr>
      <w:b/>
      <w:shd w:val="clear" w:color="auto" w:fill="FFFFFF"/>
    </w:rPr>
  </w:style>
  <w:style w:type="character" w:customStyle="1" w:styleId="210pt">
    <w:name w:val="Основной текст (2) + 10 pt"/>
    <w:aliases w:val="Полужирный16"/>
    <w:uiPriority w:val="99"/>
    <w:rsid w:val="00CA2926"/>
    <w:rPr>
      <w:rFonts w:ascii="Times New Roman" w:hAnsi="Times New Roman"/>
      <w:b/>
      <w:color w:val="000000"/>
      <w:spacing w:val="0"/>
      <w:w w:val="100"/>
      <w:position w:val="0"/>
      <w:sz w:val="20"/>
      <w:u w:val="none"/>
      <w:shd w:val="clear" w:color="auto" w:fill="FFFFFF"/>
      <w:lang w:val="ru-RU" w:eastAsia="ru-RU"/>
    </w:rPr>
  </w:style>
  <w:style w:type="character" w:customStyle="1" w:styleId="211pt">
    <w:name w:val="Основной текст (2) + 11 pt"/>
    <w:aliases w:val="Полужирный15"/>
    <w:uiPriority w:val="99"/>
    <w:rsid w:val="00CA2926"/>
    <w:rPr>
      <w:rFonts w:ascii="Times New Roman" w:hAnsi="Times New Roman"/>
      <w:b/>
      <w:color w:val="000000"/>
      <w:spacing w:val="0"/>
      <w:w w:val="100"/>
      <w:position w:val="0"/>
      <w:sz w:val="22"/>
      <w:u w:val="none"/>
      <w:shd w:val="clear" w:color="auto" w:fill="FFFFFF"/>
      <w:lang w:val="ru-RU" w:eastAsia="ru-RU"/>
    </w:rPr>
  </w:style>
  <w:style w:type="character" w:customStyle="1" w:styleId="210pt3">
    <w:name w:val="Основной текст (2) + 10 pt3"/>
    <w:aliases w:val="Полужирный14,Интервал 1 pt"/>
    <w:uiPriority w:val="99"/>
    <w:rsid w:val="00CA2926"/>
    <w:rPr>
      <w:rFonts w:ascii="Times New Roman" w:hAnsi="Times New Roman"/>
      <w:b/>
      <w:color w:val="000000"/>
      <w:spacing w:val="20"/>
      <w:w w:val="100"/>
      <w:position w:val="0"/>
      <w:sz w:val="20"/>
      <w:u w:val="none"/>
      <w:shd w:val="clear" w:color="auto" w:fill="FFFFFF"/>
      <w:lang w:val="ru-RU" w:eastAsia="ru-RU"/>
    </w:rPr>
  </w:style>
  <w:style w:type="character" w:customStyle="1" w:styleId="210pt2">
    <w:name w:val="Основной текст (2) + 10 pt2"/>
    <w:uiPriority w:val="99"/>
    <w:rsid w:val="00CA2926"/>
    <w:rPr>
      <w:rFonts w:ascii="Times New Roman" w:hAnsi="Times New Roman"/>
      <w:color w:val="000000"/>
      <w:spacing w:val="0"/>
      <w:w w:val="100"/>
      <w:position w:val="0"/>
      <w:sz w:val="20"/>
      <w:u w:val="none"/>
      <w:shd w:val="clear" w:color="auto" w:fill="FFFFFF"/>
    </w:rPr>
  </w:style>
  <w:style w:type="character" w:customStyle="1" w:styleId="2Candara">
    <w:name w:val="Основной текст (2) + Candara"/>
    <w:aliases w:val="9 pt,Полужирный13"/>
    <w:uiPriority w:val="99"/>
    <w:rsid w:val="00CA2926"/>
    <w:rPr>
      <w:rFonts w:ascii="Candara" w:hAnsi="Candara"/>
      <w:b/>
      <w:color w:val="000000"/>
      <w:spacing w:val="0"/>
      <w:w w:val="100"/>
      <w:position w:val="0"/>
      <w:sz w:val="18"/>
      <w:u w:val="none"/>
      <w:shd w:val="clear" w:color="auto" w:fill="FFFFFF"/>
      <w:lang w:val="ru-RU" w:eastAsia="ru-RU"/>
    </w:rPr>
  </w:style>
  <w:style w:type="character" w:customStyle="1" w:styleId="215pt">
    <w:name w:val="Основной текст (2) + 15 pt"/>
    <w:aliases w:val="Курсив"/>
    <w:uiPriority w:val="99"/>
    <w:rsid w:val="00CA2926"/>
    <w:rPr>
      <w:rFonts w:ascii="Times New Roman" w:hAnsi="Times New Roman"/>
      <w:i/>
      <w:color w:val="000000"/>
      <w:spacing w:val="0"/>
      <w:w w:val="100"/>
      <w:position w:val="0"/>
      <w:sz w:val="30"/>
      <w:u w:val="none"/>
      <w:shd w:val="clear" w:color="auto" w:fill="FFFFFF"/>
      <w:lang w:val="ru-RU" w:eastAsia="ru-RU"/>
    </w:rPr>
  </w:style>
  <w:style w:type="character" w:customStyle="1" w:styleId="47">
    <w:name w:val="Подпись к картинке (4)_"/>
    <w:link w:val="48"/>
    <w:uiPriority w:val="99"/>
    <w:locked/>
    <w:rsid w:val="00CA2926"/>
    <w:rPr>
      <w:b/>
      <w:sz w:val="28"/>
      <w:shd w:val="clear" w:color="auto" w:fill="FFFFFF"/>
    </w:rPr>
  </w:style>
  <w:style w:type="character" w:customStyle="1" w:styleId="83">
    <w:name w:val="Основной текст (8)_"/>
    <w:link w:val="84"/>
    <w:uiPriority w:val="99"/>
    <w:locked/>
    <w:rsid w:val="00CA2926"/>
    <w:rPr>
      <w:sz w:val="22"/>
      <w:shd w:val="clear" w:color="auto" w:fill="FFFFFF"/>
    </w:rPr>
  </w:style>
  <w:style w:type="character" w:customStyle="1" w:styleId="812pt">
    <w:name w:val="Основной текст (8) + 12 pt"/>
    <w:aliases w:val="Курсив8"/>
    <w:uiPriority w:val="99"/>
    <w:rsid w:val="00CA2926"/>
    <w:rPr>
      <w:rFonts w:ascii="Times New Roman" w:hAnsi="Times New Roman"/>
      <w:i/>
      <w:color w:val="000000"/>
      <w:spacing w:val="0"/>
      <w:w w:val="100"/>
      <w:position w:val="0"/>
      <w:sz w:val="24"/>
      <w:u w:val="none"/>
      <w:lang w:val="ru-RU" w:eastAsia="ru-RU"/>
    </w:rPr>
  </w:style>
  <w:style w:type="character" w:customStyle="1" w:styleId="92">
    <w:name w:val="Основной текст (9)_"/>
    <w:link w:val="93"/>
    <w:uiPriority w:val="99"/>
    <w:locked/>
    <w:rsid w:val="00CA2926"/>
    <w:rPr>
      <w:rFonts w:ascii="Calibri" w:hAnsi="Calibri"/>
      <w:sz w:val="15"/>
      <w:shd w:val="clear" w:color="auto" w:fill="FFFFFF"/>
    </w:rPr>
  </w:style>
  <w:style w:type="character" w:customStyle="1" w:styleId="101">
    <w:name w:val="Основной текст (10)_"/>
    <w:link w:val="102"/>
    <w:uiPriority w:val="99"/>
    <w:locked/>
    <w:rsid w:val="00CA2926"/>
    <w:rPr>
      <w:sz w:val="16"/>
      <w:shd w:val="clear" w:color="auto" w:fill="FFFFFF"/>
    </w:rPr>
  </w:style>
  <w:style w:type="character" w:customStyle="1" w:styleId="afffffa">
    <w:name w:val="Подпись к таблице + Полужирный"/>
    <w:uiPriority w:val="99"/>
    <w:rsid w:val="00CA2926"/>
    <w:rPr>
      <w:rFonts w:ascii="Times New Roman" w:hAnsi="Times New Roman"/>
      <w:b/>
      <w:color w:val="000000"/>
      <w:spacing w:val="0"/>
      <w:w w:val="100"/>
      <w:position w:val="0"/>
      <w:sz w:val="24"/>
      <w:u w:val="none"/>
      <w:shd w:val="clear" w:color="auto" w:fill="FFFFFF"/>
      <w:lang w:val="ru-RU" w:eastAsia="ru-RU"/>
    </w:rPr>
  </w:style>
  <w:style w:type="character" w:customStyle="1" w:styleId="2f9">
    <w:name w:val="Подпись к картинке (2)"/>
    <w:uiPriority w:val="99"/>
    <w:rsid w:val="00CA2926"/>
    <w:rPr>
      <w:rFonts w:ascii="Times New Roman" w:hAnsi="Times New Roman"/>
      <w:b/>
      <w:sz w:val="20"/>
      <w:u w:val="none"/>
    </w:rPr>
  </w:style>
  <w:style w:type="character" w:customStyle="1" w:styleId="2111">
    <w:name w:val="Основной текст (2) + 11"/>
    <w:aliases w:val="5 pt21,Полужирный12,Курсив7"/>
    <w:uiPriority w:val="99"/>
    <w:rsid w:val="00CA2926"/>
    <w:rPr>
      <w:rFonts w:ascii="Times New Roman" w:hAnsi="Times New Roman"/>
      <w:b/>
      <w:i/>
      <w:color w:val="000000"/>
      <w:spacing w:val="0"/>
      <w:w w:val="100"/>
      <w:position w:val="0"/>
      <w:sz w:val="23"/>
      <w:u w:val="none"/>
      <w:shd w:val="clear" w:color="auto" w:fill="FFFFFF"/>
      <w:lang w:val="ru-RU" w:eastAsia="ru-RU"/>
    </w:rPr>
  </w:style>
  <w:style w:type="character" w:customStyle="1" w:styleId="2fa">
    <w:name w:val="Основной текст (2) + Курсив"/>
    <w:uiPriority w:val="99"/>
    <w:rsid w:val="00CA2926"/>
    <w:rPr>
      <w:rFonts w:ascii="Times New Roman" w:hAnsi="Times New Roman"/>
      <w:i/>
      <w:color w:val="000000"/>
      <w:spacing w:val="0"/>
      <w:w w:val="100"/>
      <w:position w:val="0"/>
      <w:sz w:val="24"/>
      <w:u w:val="none"/>
      <w:shd w:val="clear" w:color="auto" w:fill="FFFFFF"/>
      <w:lang w:val="ru-RU" w:eastAsia="ru-RU"/>
    </w:rPr>
  </w:style>
  <w:style w:type="character" w:customStyle="1" w:styleId="111">
    <w:name w:val="Основной текст (11)_"/>
    <w:link w:val="112"/>
    <w:uiPriority w:val="99"/>
    <w:locked/>
    <w:rsid w:val="00CA2926"/>
    <w:rPr>
      <w:b/>
      <w:i/>
      <w:sz w:val="23"/>
      <w:shd w:val="clear" w:color="auto" w:fill="FFFFFF"/>
    </w:rPr>
  </w:style>
  <w:style w:type="character" w:customStyle="1" w:styleId="2fb">
    <w:name w:val="Подпись к таблице (2)_"/>
    <w:link w:val="2fc"/>
    <w:uiPriority w:val="99"/>
    <w:locked/>
    <w:rsid w:val="00CA2926"/>
    <w:rPr>
      <w:b/>
      <w:shd w:val="clear" w:color="auto" w:fill="FFFFFF"/>
    </w:rPr>
  </w:style>
  <w:style w:type="character" w:customStyle="1" w:styleId="120">
    <w:name w:val="Заголовок №1 (2)_"/>
    <w:link w:val="121"/>
    <w:uiPriority w:val="99"/>
    <w:locked/>
    <w:rsid w:val="00CA2926"/>
    <w:rPr>
      <w:b/>
      <w:shd w:val="clear" w:color="auto" w:fill="FFFFFF"/>
    </w:rPr>
  </w:style>
  <w:style w:type="character" w:customStyle="1" w:styleId="211pt1">
    <w:name w:val="Основной текст (2) + 11 pt1"/>
    <w:uiPriority w:val="99"/>
    <w:rsid w:val="00CA2926"/>
    <w:rPr>
      <w:rFonts w:ascii="Times New Roman" w:hAnsi="Times New Roman"/>
      <w:color w:val="000000"/>
      <w:spacing w:val="0"/>
      <w:w w:val="100"/>
      <w:position w:val="0"/>
      <w:sz w:val="22"/>
      <w:u w:val="none"/>
      <w:shd w:val="clear" w:color="auto" w:fill="FFFFFF"/>
      <w:lang w:val="ru-RU" w:eastAsia="ru-RU"/>
    </w:rPr>
  </w:style>
  <w:style w:type="character" w:customStyle="1" w:styleId="215">
    <w:name w:val="Основной текст (2) + Курсив1"/>
    <w:aliases w:val="Интервал 1 pt3"/>
    <w:uiPriority w:val="99"/>
    <w:rsid w:val="00CA2926"/>
    <w:rPr>
      <w:rFonts w:ascii="Times New Roman" w:hAnsi="Times New Roman"/>
      <w:i/>
      <w:color w:val="000000"/>
      <w:spacing w:val="20"/>
      <w:w w:val="100"/>
      <w:position w:val="0"/>
      <w:sz w:val="24"/>
      <w:u w:val="none"/>
      <w:shd w:val="clear" w:color="auto" w:fill="FFFFFF"/>
      <w:lang w:val="ru-RU" w:eastAsia="ru-RU"/>
    </w:rPr>
  </w:style>
  <w:style w:type="character" w:customStyle="1" w:styleId="3f2">
    <w:name w:val="Подпись к таблице (3)_"/>
    <w:link w:val="3f3"/>
    <w:uiPriority w:val="99"/>
    <w:locked/>
    <w:rsid w:val="00CA2926"/>
    <w:rPr>
      <w:sz w:val="22"/>
      <w:shd w:val="clear" w:color="auto" w:fill="FFFFFF"/>
    </w:rPr>
  </w:style>
  <w:style w:type="character" w:customStyle="1" w:styleId="1112pt">
    <w:name w:val="Основной текст (11) + 12 pt"/>
    <w:aliases w:val="Не полужирный,Не курсив5"/>
    <w:uiPriority w:val="99"/>
    <w:rsid w:val="00CA2926"/>
    <w:rPr>
      <w:rFonts w:ascii="Times New Roman" w:hAnsi="Times New Roman"/>
      <w:b/>
      <w:i/>
      <w:color w:val="000000"/>
      <w:spacing w:val="0"/>
      <w:w w:val="100"/>
      <w:position w:val="0"/>
      <w:sz w:val="24"/>
      <w:u w:val="none"/>
      <w:lang w:val="ru-RU" w:eastAsia="ru-RU"/>
    </w:rPr>
  </w:style>
  <w:style w:type="character" w:customStyle="1" w:styleId="212pt">
    <w:name w:val="Подпись к картинке (2) + 12 pt"/>
    <w:aliases w:val="Не полужирный8"/>
    <w:uiPriority w:val="99"/>
    <w:rsid w:val="00CA2926"/>
    <w:rPr>
      <w:rFonts w:ascii="Times New Roman" w:hAnsi="Times New Roman"/>
      <w:b/>
      <w:color w:val="000000"/>
      <w:spacing w:val="0"/>
      <w:w w:val="100"/>
      <w:position w:val="0"/>
      <w:sz w:val="24"/>
      <w:u w:val="none"/>
      <w:lang w:val="ru-RU" w:eastAsia="ru-RU"/>
    </w:rPr>
  </w:style>
  <w:style w:type="character" w:customStyle="1" w:styleId="2100">
    <w:name w:val="Основной текст (2) + 10"/>
    <w:aliases w:val="5 pt20,Курсив6"/>
    <w:uiPriority w:val="99"/>
    <w:rsid w:val="00CA2926"/>
    <w:rPr>
      <w:rFonts w:ascii="Times New Roman" w:hAnsi="Times New Roman"/>
      <w:i/>
      <w:color w:val="000000"/>
      <w:spacing w:val="0"/>
      <w:w w:val="100"/>
      <w:position w:val="0"/>
      <w:sz w:val="21"/>
      <w:u w:val="none"/>
      <w:shd w:val="clear" w:color="auto" w:fill="FFFFFF"/>
      <w:lang w:val="ru-RU" w:eastAsia="ru-RU"/>
    </w:rPr>
  </w:style>
  <w:style w:type="character" w:customStyle="1" w:styleId="49">
    <w:name w:val="Подпись к таблице (4)_"/>
    <w:link w:val="4a"/>
    <w:uiPriority w:val="99"/>
    <w:locked/>
    <w:rsid w:val="00CA2926"/>
    <w:rPr>
      <w:b/>
      <w:shd w:val="clear" w:color="auto" w:fill="FFFFFF"/>
    </w:rPr>
  </w:style>
  <w:style w:type="character" w:customStyle="1" w:styleId="280">
    <w:name w:val="Основной текст (2) + 8"/>
    <w:aliases w:val="5 pt19,Полужирный11"/>
    <w:uiPriority w:val="99"/>
    <w:rsid w:val="00CA2926"/>
    <w:rPr>
      <w:rFonts w:ascii="Times New Roman" w:hAnsi="Times New Roman"/>
      <w:b/>
      <w:color w:val="000000"/>
      <w:spacing w:val="0"/>
      <w:w w:val="100"/>
      <w:position w:val="0"/>
      <w:sz w:val="17"/>
      <w:u w:val="none"/>
      <w:shd w:val="clear" w:color="auto" w:fill="FFFFFF"/>
      <w:lang w:val="ru-RU" w:eastAsia="ru-RU"/>
    </w:rPr>
  </w:style>
  <w:style w:type="character" w:customStyle="1" w:styleId="28pt">
    <w:name w:val="Основной текст (2) + 8 pt"/>
    <w:uiPriority w:val="99"/>
    <w:rsid w:val="00CA2926"/>
    <w:rPr>
      <w:rFonts w:ascii="Times New Roman" w:hAnsi="Times New Roman"/>
      <w:color w:val="000000"/>
      <w:spacing w:val="0"/>
      <w:w w:val="100"/>
      <w:position w:val="0"/>
      <w:sz w:val="16"/>
      <w:u w:val="none"/>
      <w:shd w:val="clear" w:color="auto" w:fill="FFFFFF"/>
      <w:lang w:val="ru-RU" w:eastAsia="ru-RU"/>
    </w:rPr>
  </w:style>
  <w:style w:type="character" w:customStyle="1" w:styleId="2Calibri">
    <w:name w:val="Основной текст (2) + Calibri"/>
    <w:aliases w:val="Интервал 9 pt"/>
    <w:uiPriority w:val="99"/>
    <w:rsid w:val="00CA2926"/>
    <w:rPr>
      <w:rFonts w:ascii="Calibri" w:hAnsi="Calibri"/>
      <w:color w:val="000000"/>
      <w:spacing w:val="180"/>
      <w:w w:val="100"/>
      <w:position w:val="0"/>
      <w:sz w:val="24"/>
      <w:u w:val="none"/>
      <w:shd w:val="clear" w:color="auto" w:fill="FFFFFF"/>
      <w:lang w:val="ru-RU" w:eastAsia="ru-RU"/>
    </w:rPr>
  </w:style>
  <w:style w:type="character" w:customStyle="1" w:styleId="2Calibri4">
    <w:name w:val="Основной текст (2) + Calibri4"/>
    <w:aliases w:val="11 pt,Курсив5"/>
    <w:uiPriority w:val="99"/>
    <w:rsid w:val="00CA2926"/>
    <w:rPr>
      <w:rFonts w:ascii="Calibri" w:hAnsi="Calibri"/>
      <w:i/>
      <w:color w:val="000000"/>
      <w:spacing w:val="0"/>
      <w:w w:val="100"/>
      <w:position w:val="0"/>
      <w:sz w:val="22"/>
      <w:u w:val="none"/>
      <w:shd w:val="clear" w:color="auto" w:fill="FFFFFF"/>
      <w:lang w:val="ru-RU" w:eastAsia="ru-RU"/>
    </w:rPr>
  </w:style>
  <w:style w:type="character" w:customStyle="1" w:styleId="2Georgia1">
    <w:name w:val="Основной текст (2) + Georgia1"/>
    <w:aliases w:val="11 pt1,Полужирный10"/>
    <w:uiPriority w:val="99"/>
    <w:rsid w:val="00CA2926"/>
    <w:rPr>
      <w:rFonts w:ascii="Georgia" w:hAnsi="Georgia"/>
      <w:b/>
      <w:color w:val="000000"/>
      <w:spacing w:val="0"/>
      <w:w w:val="100"/>
      <w:position w:val="0"/>
      <w:sz w:val="22"/>
      <w:u w:val="none"/>
      <w:shd w:val="clear" w:color="auto" w:fill="FFFFFF"/>
      <w:lang w:val="ru-RU" w:eastAsia="ru-RU"/>
    </w:rPr>
  </w:style>
  <w:style w:type="character" w:customStyle="1" w:styleId="2Calibri3">
    <w:name w:val="Основной текст (2) + Calibri3"/>
    <w:aliases w:val="15 pt,Интервал 3 pt"/>
    <w:uiPriority w:val="99"/>
    <w:rsid w:val="00CA2926"/>
    <w:rPr>
      <w:rFonts w:ascii="Calibri" w:hAnsi="Calibri"/>
      <w:color w:val="000000"/>
      <w:spacing w:val="70"/>
      <w:w w:val="100"/>
      <w:position w:val="0"/>
      <w:sz w:val="30"/>
      <w:u w:val="none"/>
      <w:shd w:val="clear" w:color="auto" w:fill="FFFFFF"/>
      <w:lang w:val="ru-RU" w:eastAsia="ru-RU"/>
    </w:rPr>
  </w:style>
  <w:style w:type="character" w:customStyle="1" w:styleId="2Calibri2">
    <w:name w:val="Основной текст (2) + Calibri2"/>
    <w:aliases w:val="15 pt2,Малые прописные,Интервал 3 pt1"/>
    <w:uiPriority w:val="99"/>
    <w:rsid w:val="00CA2926"/>
    <w:rPr>
      <w:rFonts w:ascii="Calibri" w:hAnsi="Calibri"/>
      <w:smallCaps/>
      <w:color w:val="000000"/>
      <w:spacing w:val="70"/>
      <w:w w:val="100"/>
      <w:position w:val="0"/>
      <w:sz w:val="30"/>
      <w:u w:val="none"/>
      <w:shd w:val="clear" w:color="auto" w:fill="FFFFFF"/>
      <w:lang w:val="en-US" w:eastAsia="en-US"/>
    </w:rPr>
  </w:style>
  <w:style w:type="character" w:customStyle="1" w:styleId="2Calibri1">
    <w:name w:val="Основной текст (2) + Calibri1"/>
    <w:aliases w:val="15 pt1,Интервал 9 pt1"/>
    <w:uiPriority w:val="99"/>
    <w:rsid w:val="00CA2926"/>
    <w:rPr>
      <w:rFonts w:ascii="Calibri" w:hAnsi="Calibri"/>
      <w:color w:val="000000"/>
      <w:spacing w:val="180"/>
      <w:w w:val="100"/>
      <w:position w:val="0"/>
      <w:sz w:val="30"/>
      <w:u w:val="none"/>
      <w:shd w:val="clear" w:color="auto" w:fill="FFFFFF"/>
      <w:lang w:val="en-US" w:eastAsia="en-US"/>
    </w:rPr>
  </w:style>
  <w:style w:type="character" w:customStyle="1" w:styleId="56">
    <w:name w:val="Подпись к картинке (5)_"/>
    <w:link w:val="57"/>
    <w:uiPriority w:val="99"/>
    <w:locked/>
    <w:rsid w:val="00CA2926"/>
    <w:rPr>
      <w:sz w:val="22"/>
      <w:shd w:val="clear" w:color="auto" w:fill="FFFFFF"/>
    </w:rPr>
  </w:style>
  <w:style w:type="character" w:customStyle="1" w:styleId="122">
    <w:name w:val="Основной текст (12)_"/>
    <w:link w:val="123"/>
    <w:uiPriority w:val="99"/>
    <w:locked/>
    <w:rsid w:val="00CA2926"/>
    <w:rPr>
      <w:sz w:val="28"/>
      <w:shd w:val="clear" w:color="auto" w:fill="FFFFFF"/>
    </w:rPr>
  </w:style>
  <w:style w:type="paragraph" w:customStyle="1" w:styleId="afffff7">
    <w:name w:val="Сноска"/>
    <w:basedOn w:val="a2"/>
    <w:link w:val="afffff6"/>
    <w:uiPriority w:val="99"/>
    <w:rsid w:val="00CA2926"/>
    <w:pPr>
      <w:widowControl w:val="0"/>
      <w:shd w:val="clear" w:color="auto" w:fill="FFFFFF"/>
      <w:spacing w:line="403" w:lineRule="exact"/>
      <w:ind w:firstLine="700"/>
      <w:jc w:val="both"/>
    </w:pPr>
    <w:rPr>
      <w:rFonts w:ascii="Calibri" w:hAnsi="Calibri"/>
      <w:i/>
      <w:sz w:val="22"/>
    </w:rPr>
  </w:style>
  <w:style w:type="paragraph" w:customStyle="1" w:styleId="2f5">
    <w:name w:val="Сноска (2)"/>
    <w:basedOn w:val="a2"/>
    <w:link w:val="2f4"/>
    <w:uiPriority w:val="99"/>
    <w:rsid w:val="00CA2926"/>
    <w:pPr>
      <w:widowControl w:val="0"/>
      <w:shd w:val="clear" w:color="auto" w:fill="FFFFFF"/>
      <w:spacing w:line="240" w:lineRule="atLeast"/>
    </w:pPr>
    <w:rPr>
      <w:b/>
    </w:rPr>
  </w:style>
  <w:style w:type="paragraph" w:customStyle="1" w:styleId="1f9">
    <w:name w:val="Заголовок №1"/>
    <w:basedOn w:val="a2"/>
    <w:link w:val="1f8"/>
    <w:uiPriority w:val="99"/>
    <w:rsid w:val="00CA2926"/>
    <w:pPr>
      <w:widowControl w:val="0"/>
      <w:shd w:val="clear" w:color="auto" w:fill="FFFFFF"/>
      <w:spacing w:line="240" w:lineRule="atLeast"/>
      <w:ind w:hanging="360"/>
      <w:jc w:val="center"/>
      <w:outlineLvl w:val="0"/>
    </w:pPr>
    <w:rPr>
      <w:b/>
      <w:sz w:val="28"/>
    </w:rPr>
  </w:style>
  <w:style w:type="paragraph" w:customStyle="1" w:styleId="46">
    <w:name w:val="Основной текст (4)"/>
    <w:basedOn w:val="a2"/>
    <w:link w:val="45"/>
    <w:uiPriority w:val="99"/>
    <w:rsid w:val="00CA2926"/>
    <w:pPr>
      <w:widowControl w:val="0"/>
      <w:shd w:val="clear" w:color="auto" w:fill="FFFFFF"/>
      <w:spacing w:line="240" w:lineRule="atLeast"/>
      <w:ind w:firstLine="720"/>
    </w:pPr>
    <w:rPr>
      <w:b/>
      <w:i/>
      <w:sz w:val="22"/>
    </w:rPr>
  </w:style>
  <w:style w:type="paragraph" w:customStyle="1" w:styleId="55">
    <w:name w:val="Основной текст (5)"/>
    <w:basedOn w:val="a2"/>
    <w:link w:val="54"/>
    <w:uiPriority w:val="99"/>
    <w:rsid w:val="00CA2926"/>
    <w:pPr>
      <w:widowControl w:val="0"/>
      <w:shd w:val="clear" w:color="auto" w:fill="FFFFFF"/>
      <w:spacing w:line="240" w:lineRule="atLeast"/>
    </w:pPr>
    <w:rPr>
      <w:rFonts w:ascii="Calibri" w:hAnsi="Calibri"/>
      <w:sz w:val="16"/>
    </w:rPr>
  </w:style>
  <w:style w:type="paragraph" w:customStyle="1" w:styleId="3f1">
    <w:name w:val="Подпись к картинке (3)"/>
    <w:basedOn w:val="a2"/>
    <w:link w:val="3f0"/>
    <w:uiPriority w:val="99"/>
    <w:rsid w:val="00CA2926"/>
    <w:pPr>
      <w:widowControl w:val="0"/>
      <w:shd w:val="clear" w:color="auto" w:fill="FFFFFF"/>
      <w:spacing w:line="413" w:lineRule="exact"/>
    </w:pPr>
  </w:style>
  <w:style w:type="paragraph" w:customStyle="1" w:styleId="67">
    <w:name w:val="Основной текст (6)"/>
    <w:basedOn w:val="a2"/>
    <w:link w:val="66"/>
    <w:uiPriority w:val="99"/>
    <w:rsid w:val="00CA2926"/>
    <w:pPr>
      <w:widowControl w:val="0"/>
      <w:shd w:val="clear" w:color="auto" w:fill="FFFFFF"/>
      <w:spacing w:line="413" w:lineRule="exact"/>
      <w:jc w:val="both"/>
    </w:pPr>
    <w:rPr>
      <w:i/>
    </w:rPr>
  </w:style>
  <w:style w:type="paragraph" w:customStyle="1" w:styleId="76">
    <w:name w:val="Основной текст (7)"/>
    <w:basedOn w:val="a2"/>
    <w:link w:val="75"/>
    <w:uiPriority w:val="99"/>
    <w:rsid w:val="00CA2926"/>
    <w:pPr>
      <w:widowControl w:val="0"/>
      <w:shd w:val="clear" w:color="auto" w:fill="FFFFFF"/>
      <w:spacing w:line="240" w:lineRule="atLeast"/>
    </w:pPr>
    <w:rPr>
      <w:b/>
    </w:rPr>
  </w:style>
  <w:style w:type="paragraph" w:customStyle="1" w:styleId="48">
    <w:name w:val="Подпись к картинке (4)"/>
    <w:basedOn w:val="a2"/>
    <w:link w:val="47"/>
    <w:uiPriority w:val="99"/>
    <w:rsid w:val="00CA2926"/>
    <w:pPr>
      <w:widowControl w:val="0"/>
      <w:shd w:val="clear" w:color="auto" w:fill="FFFFFF"/>
      <w:spacing w:line="240" w:lineRule="atLeast"/>
    </w:pPr>
    <w:rPr>
      <w:b/>
      <w:sz w:val="28"/>
    </w:rPr>
  </w:style>
  <w:style w:type="paragraph" w:customStyle="1" w:styleId="84">
    <w:name w:val="Основной текст (8)"/>
    <w:basedOn w:val="a2"/>
    <w:link w:val="83"/>
    <w:uiPriority w:val="99"/>
    <w:rsid w:val="00CA2926"/>
    <w:pPr>
      <w:widowControl w:val="0"/>
      <w:shd w:val="clear" w:color="auto" w:fill="FFFFFF"/>
      <w:spacing w:line="413" w:lineRule="exact"/>
      <w:jc w:val="both"/>
    </w:pPr>
    <w:rPr>
      <w:sz w:val="22"/>
    </w:rPr>
  </w:style>
  <w:style w:type="paragraph" w:customStyle="1" w:styleId="93">
    <w:name w:val="Основной текст (9)"/>
    <w:basedOn w:val="a2"/>
    <w:link w:val="92"/>
    <w:uiPriority w:val="99"/>
    <w:rsid w:val="00CA2926"/>
    <w:pPr>
      <w:widowControl w:val="0"/>
      <w:shd w:val="clear" w:color="auto" w:fill="FFFFFF"/>
      <w:spacing w:line="240" w:lineRule="atLeast"/>
      <w:jc w:val="both"/>
    </w:pPr>
    <w:rPr>
      <w:rFonts w:ascii="Calibri" w:hAnsi="Calibri"/>
      <w:sz w:val="15"/>
    </w:rPr>
  </w:style>
  <w:style w:type="paragraph" w:customStyle="1" w:styleId="102">
    <w:name w:val="Основной текст (10)"/>
    <w:basedOn w:val="a2"/>
    <w:link w:val="101"/>
    <w:uiPriority w:val="99"/>
    <w:rsid w:val="00CA2926"/>
    <w:pPr>
      <w:widowControl w:val="0"/>
      <w:shd w:val="clear" w:color="auto" w:fill="FFFFFF"/>
      <w:spacing w:line="240" w:lineRule="atLeast"/>
      <w:jc w:val="both"/>
    </w:pPr>
    <w:rPr>
      <w:sz w:val="16"/>
    </w:rPr>
  </w:style>
  <w:style w:type="paragraph" w:customStyle="1" w:styleId="112">
    <w:name w:val="Основной текст (11)"/>
    <w:basedOn w:val="a2"/>
    <w:link w:val="111"/>
    <w:uiPriority w:val="99"/>
    <w:rsid w:val="00CA2926"/>
    <w:pPr>
      <w:widowControl w:val="0"/>
      <w:shd w:val="clear" w:color="auto" w:fill="FFFFFF"/>
      <w:spacing w:line="418" w:lineRule="exact"/>
      <w:jc w:val="both"/>
    </w:pPr>
    <w:rPr>
      <w:b/>
      <w:i/>
      <w:sz w:val="23"/>
    </w:rPr>
  </w:style>
  <w:style w:type="paragraph" w:customStyle="1" w:styleId="2fc">
    <w:name w:val="Подпись к таблице (2)"/>
    <w:basedOn w:val="a2"/>
    <w:link w:val="2fb"/>
    <w:uiPriority w:val="99"/>
    <w:rsid w:val="00CA2926"/>
    <w:pPr>
      <w:widowControl w:val="0"/>
      <w:shd w:val="clear" w:color="auto" w:fill="FFFFFF"/>
      <w:spacing w:line="240" w:lineRule="atLeast"/>
    </w:pPr>
    <w:rPr>
      <w:b/>
    </w:rPr>
  </w:style>
  <w:style w:type="paragraph" w:customStyle="1" w:styleId="121">
    <w:name w:val="Заголовок №1 (2)"/>
    <w:basedOn w:val="a2"/>
    <w:link w:val="120"/>
    <w:uiPriority w:val="99"/>
    <w:rsid w:val="00CA2926"/>
    <w:pPr>
      <w:widowControl w:val="0"/>
      <w:shd w:val="clear" w:color="auto" w:fill="FFFFFF"/>
      <w:spacing w:line="240" w:lineRule="atLeast"/>
      <w:outlineLvl w:val="0"/>
    </w:pPr>
    <w:rPr>
      <w:b/>
    </w:rPr>
  </w:style>
  <w:style w:type="paragraph" w:customStyle="1" w:styleId="3f3">
    <w:name w:val="Подпись к таблице (3)"/>
    <w:basedOn w:val="a2"/>
    <w:link w:val="3f2"/>
    <w:uiPriority w:val="99"/>
    <w:rsid w:val="00CA2926"/>
    <w:pPr>
      <w:widowControl w:val="0"/>
      <w:shd w:val="clear" w:color="auto" w:fill="FFFFFF"/>
      <w:spacing w:line="240" w:lineRule="atLeast"/>
    </w:pPr>
    <w:rPr>
      <w:sz w:val="22"/>
    </w:rPr>
  </w:style>
  <w:style w:type="paragraph" w:customStyle="1" w:styleId="4a">
    <w:name w:val="Подпись к таблице (4)"/>
    <w:basedOn w:val="a2"/>
    <w:link w:val="49"/>
    <w:uiPriority w:val="99"/>
    <w:rsid w:val="00CA2926"/>
    <w:pPr>
      <w:widowControl w:val="0"/>
      <w:shd w:val="clear" w:color="auto" w:fill="FFFFFF"/>
      <w:spacing w:line="240" w:lineRule="atLeast"/>
    </w:pPr>
    <w:rPr>
      <w:b/>
    </w:rPr>
  </w:style>
  <w:style w:type="paragraph" w:customStyle="1" w:styleId="57">
    <w:name w:val="Подпись к картинке (5)"/>
    <w:basedOn w:val="a2"/>
    <w:link w:val="56"/>
    <w:uiPriority w:val="99"/>
    <w:rsid w:val="00CA2926"/>
    <w:pPr>
      <w:widowControl w:val="0"/>
      <w:shd w:val="clear" w:color="auto" w:fill="FFFFFF"/>
      <w:spacing w:line="240" w:lineRule="atLeast"/>
      <w:jc w:val="center"/>
    </w:pPr>
    <w:rPr>
      <w:sz w:val="22"/>
    </w:rPr>
  </w:style>
  <w:style w:type="paragraph" w:customStyle="1" w:styleId="123">
    <w:name w:val="Основной текст (12)"/>
    <w:basedOn w:val="a2"/>
    <w:link w:val="122"/>
    <w:uiPriority w:val="99"/>
    <w:rsid w:val="00CA2926"/>
    <w:pPr>
      <w:widowControl w:val="0"/>
      <w:shd w:val="clear" w:color="auto" w:fill="FFFFFF"/>
      <w:spacing w:line="480" w:lineRule="exact"/>
      <w:ind w:firstLine="700"/>
      <w:jc w:val="both"/>
    </w:pPr>
    <w:rPr>
      <w:sz w:val="28"/>
    </w:rPr>
  </w:style>
  <w:style w:type="character" w:customStyle="1" w:styleId="WW8Num1z0">
    <w:name w:val="WW8Num1z0"/>
    <w:uiPriority w:val="99"/>
    <w:rsid w:val="001D4124"/>
  </w:style>
  <w:style w:type="character" w:customStyle="1" w:styleId="WW8Num1z1">
    <w:name w:val="WW8Num1z1"/>
    <w:uiPriority w:val="99"/>
    <w:rsid w:val="001D4124"/>
  </w:style>
  <w:style w:type="character" w:customStyle="1" w:styleId="WW8Num1z2">
    <w:name w:val="WW8Num1z2"/>
    <w:uiPriority w:val="99"/>
    <w:rsid w:val="001D4124"/>
  </w:style>
  <w:style w:type="character" w:customStyle="1" w:styleId="WW8Num1z3">
    <w:name w:val="WW8Num1z3"/>
    <w:uiPriority w:val="99"/>
    <w:rsid w:val="001D4124"/>
  </w:style>
  <w:style w:type="character" w:customStyle="1" w:styleId="WW8Num1z4">
    <w:name w:val="WW8Num1z4"/>
    <w:uiPriority w:val="99"/>
    <w:rsid w:val="001D4124"/>
  </w:style>
  <w:style w:type="character" w:customStyle="1" w:styleId="WW8Num1z5">
    <w:name w:val="WW8Num1z5"/>
    <w:uiPriority w:val="99"/>
    <w:rsid w:val="001D4124"/>
  </w:style>
  <w:style w:type="character" w:customStyle="1" w:styleId="WW8Num1z6">
    <w:name w:val="WW8Num1z6"/>
    <w:uiPriority w:val="99"/>
    <w:rsid w:val="001D4124"/>
  </w:style>
  <w:style w:type="character" w:customStyle="1" w:styleId="WW8Num1z7">
    <w:name w:val="WW8Num1z7"/>
    <w:uiPriority w:val="99"/>
    <w:rsid w:val="001D4124"/>
  </w:style>
  <w:style w:type="character" w:customStyle="1" w:styleId="WW8Num1z8">
    <w:name w:val="WW8Num1z8"/>
    <w:uiPriority w:val="99"/>
    <w:rsid w:val="001D4124"/>
  </w:style>
  <w:style w:type="character" w:customStyle="1" w:styleId="WW8Num2z0">
    <w:name w:val="WW8Num2z0"/>
    <w:uiPriority w:val="99"/>
    <w:rsid w:val="001D4124"/>
  </w:style>
  <w:style w:type="character" w:customStyle="1" w:styleId="WW8Num2z1">
    <w:name w:val="WW8Num2z1"/>
    <w:uiPriority w:val="99"/>
    <w:rsid w:val="001D4124"/>
  </w:style>
  <w:style w:type="character" w:customStyle="1" w:styleId="WW8Num2z2">
    <w:name w:val="WW8Num2z2"/>
    <w:uiPriority w:val="99"/>
    <w:rsid w:val="001D4124"/>
  </w:style>
  <w:style w:type="character" w:customStyle="1" w:styleId="WW8Num2z3">
    <w:name w:val="WW8Num2z3"/>
    <w:uiPriority w:val="99"/>
    <w:rsid w:val="001D4124"/>
  </w:style>
  <w:style w:type="character" w:customStyle="1" w:styleId="WW8Num2z4">
    <w:name w:val="WW8Num2z4"/>
    <w:uiPriority w:val="99"/>
    <w:rsid w:val="001D4124"/>
  </w:style>
  <w:style w:type="character" w:customStyle="1" w:styleId="WW8Num2z5">
    <w:name w:val="WW8Num2z5"/>
    <w:uiPriority w:val="99"/>
    <w:rsid w:val="001D4124"/>
  </w:style>
  <w:style w:type="character" w:customStyle="1" w:styleId="WW8Num2z6">
    <w:name w:val="WW8Num2z6"/>
    <w:uiPriority w:val="99"/>
    <w:rsid w:val="001D4124"/>
  </w:style>
  <w:style w:type="character" w:customStyle="1" w:styleId="WW8Num2z7">
    <w:name w:val="WW8Num2z7"/>
    <w:uiPriority w:val="99"/>
    <w:rsid w:val="001D4124"/>
  </w:style>
  <w:style w:type="character" w:customStyle="1" w:styleId="WW8Num2z8">
    <w:name w:val="WW8Num2z8"/>
    <w:uiPriority w:val="99"/>
    <w:rsid w:val="001D4124"/>
  </w:style>
  <w:style w:type="character" w:customStyle="1" w:styleId="WW8Num3z0">
    <w:name w:val="WW8Num3z0"/>
    <w:uiPriority w:val="99"/>
    <w:rsid w:val="001D4124"/>
    <w:rPr>
      <w:rFonts w:ascii="Symbol" w:hAnsi="Symbol"/>
      <w:sz w:val="28"/>
    </w:rPr>
  </w:style>
  <w:style w:type="character" w:customStyle="1" w:styleId="WW8Num4z0">
    <w:name w:val="WW8Num4z0"/>
    <w:uiPriority w:val="99"/>
    <w:rsid w:val="001D4124"/>
    <w:rPr>
      <w:rFonts w:ascii="Times New Roman" w:hAnsi="Times New Roman"/>
      <w:sz w:val="28"/>
    </w:rPr>
  </w:style>
  <w:style w:type="character" w:customStyle="1" w:styleId="WW8Num5z0">
    <w:name w:val="WW8Num5z0"/>
    <w:uiPriority w:val="99"/>
    <w:rsid w:val="001D4124"/>
    <w:rPr>
      <w:rFonts w:ascii="Times New Roman" w:hAnsi="Times New Roman"/>
      <w:b/>
      <w:sz w:val="28"/>
      <w:lang w:val="ru-RU" w:eastAsia="ru-RU"/>
    </w:rPr>
  </w:style>
  <w:style w:type="character" w:customStyle="1" w:styleId="WW8Num6z0">
    <w:name w:val="WW8Num6z0"/>
    <w:uiPriority w:val="99"/>
    <w:rsid w:val="001D4124"/>
    <w:rPr>
      <w:rFonts w:ascii="Times New Roman" w:hAnsi="Times New Roman"/>
      <w:spacing w:val="-4"/>
      <w:sz w:val="28"/>
      <w:lang w:val="ru-RU" w:eastAsia="ru-RU"/>
    </w:rPr>
  </w:style>
  <w:style w:type="character" w:customStyle="1" w:styleId="WW8Num7z0">
    <w:name w:val="WW8Num7z0"/>
    <w:uiPriority w:val="99"/>
    <w:rsid w:val="001D4124"/>
    <w:rPr>
      <w:rFonts w:ascii="Times New Roman" w:hAnsi="Times New Roman"/>
      <w:color w:val="auto"/>
      <w:spacing w:val="-4"/>
      <w:sz w:val="28"/>
      <w:lang w:val="en-US" w:eastAsia="ru-RU"/>
    </w:rPr>
  </w:style>
  <w:style w:type="character" w:customStyle="1" w:styleId="WW8Num8z0">
    <w:name w:val="WW8Num8z0"/>
    <w:uiPriority w:val="99"/>
    <w:rsid w:val="001D4124"/>
    <w:rPr>
      <w:rFonts w:ascii="Times New Roman" w:hAnsi="Times New Roman"/>
      <w:spacing w:val="-4"/>
      <w:sz w:val="28"/>
      <w:lang w:val="ru-RU" w:eastAsia="ru-RU"/>
    </w:rPr>
  </w:style>
  <w:style w:type="character" w:customStyle="1" w:styleId="WW8Num9z0">
    <w:name w:val="WW8Num9z0"/>
    <w:uiPriority w:val="99"/>
    <w:rsid w:val="001D4124"/>
    <w:rPr>
      <w:rFonts w:ascii="Symbol" w:hAnsi="Symbol"/>
      <w:sz w:val="28"/>
    </w:rPr>
  </w:style>
  <w:style w:type="character" w:customStyle="1" w:styleId="WW8Num10z0">
    <w:name w:val="WW8Num10z0"/>
    <w:uiPriority w:val="99"/>
    <w:rsid w:val="001D4124"/>
    <w:rPr>
      <w:rFonts w:ascii="Symbol" w:hAnsi="Symbol"/>
      <w:color w:val="000000"/>
      <w:sz w:val="28"/>
      <w:lang w:eastAsia="ru-RU"/>
    </w:rPr>
  </w:style>
  <w:style w:type="character" w:customStyle="1" w:styleId="WW8Num11z0">
    <w:name w:val="WW8Num11z0"/>
    <w:uiPriority w:val="99"/>
    <w:rsid w:val="001D4124"/>
    <w:rPr>
      <w:rFonts w:ascii="Times New Roman" w:hAnsi="Times New Roman"/>
      <w:sz w:val="28"/>
      <w:lang w:val="ru-RU" w:eastAsia="ru-RU"/>
    </w:rPr>
  </w:style>
  <w:style w:type="character" w:customStyle="1" w:styleId="WW8Num12z0">
    <w:name w:val="WW8Num12z0"/>
    <w:uiPriority w:val="99"/>
    <w:rsid w:val="001D4124"/>
  </w:style>
  <w:style w:type="character" w:customStyle="1" w:styleId="WW8Num12z1">
    <w:name w:val="WW8Num12z1"/>
    <w:uiPriority w:val="99"/>
    <w:rsid w:val="001D4124"/>
    <w:rPr>
      <w:rFonts w:eastAsia="Times New Roman"/>
      <w:b/>
      <w:lang w:eastAsia="ru-RU"/>
    </w:rPr>
  </w:style>
  <w:style w:type="character" w:customStyle="1" w:styleId="WW8Num13z0">
    <w:name w:val="WW8Num13z0"/>
    <w:uiPriority w:val="99"/>
    <w:rsid w:val="001D4124"/>
    <w:rPr>
      <w:rFonts w:ascii="Times New Roman" w:hAnsi="Times New Roman"/>
      <w:sz w:val="28"/>
    </w:rPr>
  </w:style>
  <w:style w:type="character" w:customStyle="1" w:styleId="WW8Num14z0">
    <w:name w:val="WW8Num14z0"/>
    <w:uiPriority w:val="99"/>
    <w:rsid w:val="001D4124"/>
    <w:rPr>
      <w:rFonts w:ascii="Symbol" w:hAnsi="Symbol"/>
      <w:spacing w:val="-4"/>
    </w:rPr>
  </w:style>
  <w:style w:type="character" w:customStyle="1" w:styleId="WW8Num15z0">
    <w:name w:val="WW8Num15z0"/>
    <w:uiPriority w:val="99"/>
    <w:rsid w:val="001D4124"/>
    <w:rPr>
      <w:rFonts w:ascii="Times New Roman" w:hAnsi="Times New Roman"/>
      <w:spacing w:val="-4"/>
      <w:sz w:val="28"/>
      <w:lang w:val="ru-RU" w:eastAsia="ru-RU"/>
    </w:rPr>
  </w:style>
  <w:style w:type="character" w:customStyle="1" w:styleId="WW8Num16z0">
    <w:name w:val="WW8Num16z0"/>
    <w:uiPriority w:val="99"/>
    <w:rsid w:val="001D4124"/>
  </w:style>
  <w:style w:type="character" w:customStyle="1" w:styleId="WW8Num17z0">
    <w:name w:val="WW8Num17z0"/>
    <w:uiPriority w:val="99"/>
    <w:rsid w:val="001D4124"/>
    <w:rPr>
      <w:rFonts w:ascii="Symbol" w:hAnsi="Symbol"/>
      <w:spacing w:val="-4"/>
      <w:sz w:val="28"/>
    </w:rPr>
  </w:style>
  <w:style w:type="character" w:customStyle="1" w:styleId="WW8Num18z0">
    <w:name w:val="WW8Num18z0"/>
    <w:uiPriority w:val="99"/>
    <w:rsid w:val="001D4124"/>
    <w:rPr>
      <w:rFonts w:ascii="Times New Roman" w:hAnsi="Times New Roman"/>
      <w:b/>
      <w:sz w:val="28"/>
    </w:rPr>
  </w:style>
  <w:style w:type="character" w:customStyle="1" w:styleId="WW8Num19z0">
    <w:name w:val="WW8Num19z0"/>
    <w:uiPriority w:val="99"/>
    <w:rsid w:val="001D4124"/>
    <w:rPr>
      <w:rFonts w:ascii="Symbol" w:hAnsi="Symbol"/>
      <w:spacing w:val="-4"/>
      <w:sz w:val="28"/>
      <w:lang w:val="ru-RU" w:eastAsia="ru-RU"/>
    </w:rPr>
  </w:style>
  <w:style w:type="character" w:customStyle="1" w:styleId="WW8Num20z0">
    <w:name w:val="WW8Num20z0"/>
    <w:uiPriority w:val="99"/>
    <w:rsid w:val="001D4124"/>
    <w:rPr>
      <w:rFonts w:ascii="Symbol" w:hAnsi="Symbol"/>
      <w:color w:val="auto"/>
      <w:spacing w:val="-4"/>
      <w:sz w:val="28"/>
    </w:rPr>
  </w:style>
  <w:style w:type="character" w:customStyle="1" w:styleId="WW8Num11z1">
    <w:name w:val="WW8Num11z1"/>
    <w:uiPriority w:val="99"/>
    <w:rsid w:val="001D4124"/>
    <w:rPr>
      <w:rFonts w:eastAsia="Times New Roman"/>
      <w:b/>
      <w:lang w:eastAsia="ru-RU"/>
    </w:rPr>
  </w:style>
  <w:style w:type="character" w:customStyle="1" w:styleId="WW8Num3z1">
    <w:name w:val="WW8Num3z1"/>
    <w:uiPriority w:val="99"/>
    <w:rsid w:val="001D4124"/>
  </w:style>
  <w:style w:type="character" w:customStyle="1" w:styleId="WW8Num3z2">
    <w:name w:val="WW8Num3z2"/>
    <w:uiPriority w:val="99"/>
    <w:rsid w:val="001D4124"/>
  </w:style>
  <w:style w:type="character" w:customStyle="1" w:styleId="WW8Num3z3">
    <w:name w:val="WW8Num3z3"/>
    <w:uiPriority w:val="99"/>
    <w:rsid w:val="001D4124"/>
  </w:style>
  <w:style w:type="character" w:customStyle="1" w:styleId="WW8Num3z4">
    <w:name w:val="WW8Num3z4"/>
    <w:uiPriority w:val="99"/>
    <w:rsid w:val="001D4124"/>
  </w:style>
  <w:style w:type="character" w:customStyle="1" w:styleId="WW8Num3z5">
    <w:name w:val="WW8Num3z5"/>
    <w:uiPriority w:val="99"/>
    <w:rsid w:val="001D4124"/>
  </w:style>
  <w:style w:type="character" w:customStyle="1" w:styleId="WW8Num3z6">
    <w:name w:val="WW8Num3z6"/>
    <w:uiPriority w:val="99"/>
    <w:rsid w:val="001D4124"/>
  </w:style>
  <w:style w:type="character" w:customStyle="1" w:styleId="WW8Num3z7">
    <w:name w:val="WW8Num3z7"/>
    <w:uiPriority w:val="99"/>
    <w:rsid w:val="001D4124"/>
  </w:style>
  <w:style w:type="character" w:customStyle="1" w:styleId="WW8Num3z8">
    <w:name w:val="WW8Num3z8"/>
    <w:uiPriority w:val="99"/>
    <w:rsid w:val="001D4124"/>
  </w:style>
  <w:style w:type="character" w:customStyle="1" w:styleId="WW8Num4z1">
    <w:name w:val="WW8Num4z1"/>
    <w:uiPriority w:val="99"/>
    <w:rsid w:val="001D4124"/>
  </w:style>
  <w:style w:type="character" w:customStyle="1" w:styleId="WW8Num4z2">
    <w:name w:val="WW8Num4z2"/>
    <w:uiPriority w:val="99"/>
    <w:rsid w:val="001D4124"/>
  </w:style>
  <w:style w:type="character" w:customStyle="1" w:styleId="WW8Num4z3">
    <w:name w:val="WW8Num4z3"/>
    <w:uiPriority w:val="99"/>
    <w:rsid w:val="001D4124"/>
  </w:style>
  <w:style w:type="character" w:customStyle="1" w:styleId="WW8Num4z4">
    <w:name w:val="WW8Num4z4"/>
    <w:uiPriority w:val="99"/>
    <w:rsid w:val="001D4124"/>
  </w:style>
  <w:style w:type="character" w:customStyle="1" w:styleId="WW8Num4z5">
    <w:name w:val="WW8Num4z5"/>
    <w:uiPriority w:val="99"/>
    <w:rsid w:val="001D4124"/>
  </w:style>
  <w:style w:type="character" w:customStyle="1" w:styleId="WW8Num4z6">
    <w:name w:val="WW8Num4z6"/>
    <w:uiPriority w:val="99"/>
    <w:rsid w:val="001D4124"/>
  </w:style>
  <w:style w:type="character" w:customStyle="1" w:styleId="WW8Num4z7">
    <w:name w:val="WW8Num4z7"/>
    <w:uiPriority w:val="99"/>
    <w:rsid w:val="001D4124"/>
  </w:style>
  <w:style w:type="character" w:customStyle="1" w:styleId="WW8Num4z8">
    <w:name w:val="WW8Num4z8"/>
    <w:uiPriority w:val="99"/>
    <w:rsid w:val="001D4124"/>
  </w:style>
  <w:style w:type="character" w:customStyle="1" w:styleId="WW8Num5z1">
    <w:name w:val="WW8Num5z1"/>
    <w:uiPriority w:val="99"/>
    <w:rsid w:val="001D4124"/>
  </w:style>
  <w:style w:type="character" w:customStyle="1" w:styleId="WW8Num5z2">
    <w:name w:val="WW8Num5z2"/>
    <w:uiPriority w:val="99"/>
    <w:rsid w:val="001D4124"/>
  </w:style>
  <w:style w:type="character" w:customStyle="1" w:styleId="WW8Num5z3">
    <w:name w:val="WW8Num5z3"/>
    <w:uiPriority w:val="99"/>
    <w:rsid w:val="001D4124"/>
  </w:style>
  <w:style w:type="character" w:customStyle="1" w:styleId="WW8Num5z4">
    <w:name w:val="WW8Num5z4"/>
    <w:uiPriority w:val="99"/>
    <w:rsid w:val="001D4124"/>
  </w:style>
  <w:style w:type="character" w:customStyle="1" w:styleId="WW8Num5z5">
    <w:name w:val="WW8Num5z5"/>
    <w:uiPriority w:val="99"/>
    <w:rsid w:val="001D4124"/>
  </w:style>
  <w:style w:type="character" w:customStyle="1" w:styleId="WW8Num5z6">
    <w:name w:val="WW8Num5z6"/>
    <w:uiPriority w:val="99"/>
    <w:rsid w:val="001D4124"/>
  </w:style>
  <w:style w:type="character" w:customStyle="1" w:styleId="WW8Num5z7">
    <w:name w:val="WW8Num5z7"/>
    <w:uiPriority w:val="99"/>
    <w:rsid w:val="001D4124"/>
  </w:style>
  <w:style w:type="character" w:customStyle="1" w:styleId="WW8Num5z8">
    <w:name w:val="WW8Num5z8"/>
    <w:uiPriority w:val="99"/>
    <w:rsid w:val="001D4124"/>
  </w:style>
  <w:style w:type="character" w:customStyle="1" w:styleId="WW8Num6z1">
    <w:name w:val="WW8Num6z1"/>
    <w:uiPriority w:val="99"/>
    <w:rsid w:val="001D4124"/>
  </w:style>
  <w:style w:type="character" w:customStyle="1" w:styleId="WW8Num6z2">
    <w:name w:val="WW8Num6z2"/>
    <w:uiPriority w:val="99"/>
    <w:rsid w:val="001D4124"/>
  </w:style>
  <w:style w:type="character" w:customStyle="1" w:styleId="WW8Num6z3">
    <w:name w:val="WW8Num6z3"/>
    <w:uiPriority w:val="99"/>
    <w:rsid w:val="001D4124"/>
  </w:style>
  <w:style w:type="character" w:customStyle="1" w:styleId="WW8Num6z4">
    <w:name w:val="WW8Num6z4"/>
    <w:uiPriority w:val="99"/>
    <w:rsid w:val="001D4124"/>
  </w:style>
  <w:style w:type="character" w:customStyle="1" w:styleId="WW8Num6z5">
    <w:name w:val="WW8Num6z5"/>
    <w:uiPriority w:val="99"/>
    <w:rsid w:val="001D4124"/>
  </w:style>
  <w:style w:type="character" w:customStyle="1" w:styleId="WW8Num6z6">
    <w:name w:val="WW8Num6z6"/>
    <w:uiPriority w:val="99"/>
    <w:rsid w:val="001D4124"/>
  </w:style>
  <w:style w:type="character" w:customStyle="1" w:styleId="WW8Num6z7">
    <w:name w:val="WW8Num6z7"/>
    <w:uiPriority w:val="99"/>
    <w:rsid w:val="001D4124"/>
  </w:style>
  <w:style w:type="character" w:customStyle="1" w:styleId="WW8Num6z8">
    <w:name w:val="WW8Num6z8"/>
    <w:uiPriority w:val="99"/>
    <w:rsid w:val="001D4124"/>
  </w:style>
  <w:style w:type="character" w:customStyle="1" w:styleId="WW8Num7z1">
    <w:name w:val="WW8Num7z1"/>
    <w:uiPriority w:val="99"/>
    <w:rsid w:val="001D4124"/>
    <w:rPr>
      <w:rFonts w:ascii="Courier New" w:hAnsi="Courier New"/>
    </w:rPr>
  </w:style>
  <w:style w:type="character" w:customStyle="1" w:styleId="WW8Num7z2">
    <w:name w:val="WW8Num7z2"/>
    <w:uiPriority w:val="99"/>
    <w:rsid w:val="001D4124"/>
    <w:rPr>
      <w:rFonts w:ascii="Wingdings" w:hAnsi="Wingdings"/>
    </w:rPr>
  </w:style>
  <w:style w:type="character" w:customStyle="1" w:styleId="WW8Num7z3">
    <w:name w:val="WW8Num7z3"/>
    <w:uiPriority w:val="99"/>
    <w:rsid w:val="001D4124"/>
    <w:rPr>
      <w:rFonts w:ascii="Symbol" w:hAnsi="Symbol"/>
    </w:rPr>
  </w:style>
  <w:style w:type="character" w:customStyle="1" w:styleId="WW8Num8z1">
    <w:name w:val="WW8Num8z1"/>
    <w:uiPriority w:val="99"/>
    <w:rsid w:val="001D4124"/>
  </w:style>
  <w:style w:type="character" w:customStyle="1" w:styleId="WW8Num8z2">
    <w:name w:val="WW8Num8z2"/>
    <w:uiPriority w:val="99"/>
    <w:rsid w:val="001D4124"/>
  </w:style>
  <w:style w:type="character" w:customStyle="1" w:styleId="WW8Num8z3">
    <w:name w:val="WW8Num8z3"/>
    <w:uiPriority w:val="99"/>
    <w:rsid w:val="001D4124"/>
  </w:style>
  <w:style w:type="character" w:customStyle="1" w:styleId="WW8Num8z4">
    <w:name w:val="WW8Num8z4"/>
    <w:uiPriority w:val="99"/>
    <w:rsid w:val="001D4124"/>
  </w:style>
  <w:style w:type="character" w:customStyle="1" w:styleId="WW8Num8z5">
    <w:name w:val="WW8Num8z5"/>
    <w:uiPriority w:val="99"/>
    <w:rsid w:val="001D4124"/>
  </w:style>
  <w:style w:type="character" w:customStyle="1" w:styleId="WW8Num8z6">
    <w:name w:val="WW8Num8z6"/>
    <w:uiPriority w:val="99"/>
    <w:rsid w:val="001D4124"/>
  </w:style>
  <w:style w:type="character" w:customStyle="1" w:styleId="WW8Num8z7">
    <w:name w:val="WW8Num8z7"/>
    <w:uiPriority w:val="99"/>
    <w:rsid w:val="001D4124"/>
  </w:style>
  <w:style w:type="character" w:customStyle="1" w:styleId="WW8Num8z8">
    <w:name w:val="WW8Num8z8"/>
    <w:uiPriority w:val="99"/>
    <w:rsid w:val="001D4124"/>
  </w:style>
  <w:style w:type="character" w:customStyle="1" w:styleId="WW8Num9z1">
    <w:name w:val="WW8Num9z1"/>
    <w:uiPriority w:val="99"/>
    <w:rsid w:val="001D4124"/>
  </w:style>
  <w:style w:type="character" w:customStyle="1" w:styleId="WW8Num9z2">
    <w:name w:val="WW8Num9z2"/>
    <w:uiPriority w:val="99"/>
    <w:rsid w:val="001D4124"/>
  </w:style>
  <w:style w:type="character" w:customStyle="1" w:styleId="WW8Num9z3">
    <w:name w:val="WW8Num9z3"/>
    <w:uiPriority w:val="99"/>
    <w:rsid w:val="001D4124"/>
  </w:style>
  <w:style w:type="character" w:customStyle="1" w:styleId="WW8Num9z4">
    <w:name w:val="WW8Num9z4"/>
    <w:uiPriority w:val="99"/>
    <w:rsid w:val="001D4124"/>
  </w:style>
  <w:style w:type="character" w:customStyle="1" w:styleId="WW8Num9z5">
    <w:name w:val="WW8Num9z5"/>
    <w:uiPriority w:val="99"/>
    <w:rsid w:val="001D4124"/>
  </w:style>
  <w:style w:type="character" w:customStyle="1" w:styleId="WW8Num9z6">
    <w:name w:val="WW8Num9z6"/>
    <w:uiPriority w:val="99"/>
    <w:rsid w:val="001D4124"/>
  </w:style>
  <w:style w:type="character" w:customStyle="1" w:styleId="WW8Num9z7">
    <w:name w:val="WW8Num9z7"/>
    <w:uiPriority w:val="99"/>
    <w:rsid w:val="001D4124"/>
  </w:style>
  <w:style w:type="character" w:customStyle="1" w:styleId="WW8Num9z8">
    <w:name w:val="WW8Num9z8"/>
    <w:uiPriority w:val="99"/>
    <w:rsid w:val="001D4124"/>
  </w:style>
  <w:style w:type="character" w:customStyle="1" w:styleId="WW8Num10z1">
    <w:name w:val="WW8Num10z1"/>
    <w:uiPriority w:val="99"/>
    <w:rsid w:val="001D4124"/>
    <w:rPr>
      <w:rFonts w:ascii="Courier New" w:hAnsi="Courier New"/>
    </w:rPr>
  </w:style>
  <w:style w:type="character" w:customStyle="1" w:styleId="WW8Num10z2">
    <w:name w:val="WW8Num10z2"/>
    <w:uiPriority w:val="99"/>
    <w:rsid w:val="001D4124"/>
    <w:rPr>
      <w:rFonts w:ascii="Wingdings" w:hAnsi="Wingdings"/>
    </w:rPr>
  </w:style>
  <w:style w:type="character" w:customStyle="1" w:styleId="WW8Num11z2">
    <w:name w:val="WW8Num11z2"/>
    <w:uiPriority w:val="99"/>
    <w:rsid w:val="001D4124"/>
  </w:style>
  <w:style w:type="character" w:customStyle="1" w:styleId="WW8Num11z3">
    <w:name w:val="WW8Num11z3"/>
    <w:uiPriority w:val="99"/>
    <w:rsid w:val="001D4124"/>
  </w:style>
  <w:style w:type="character" w:customStyle="1" w:styleId="WW8Num11z4">
    <w:name w:val="WW8Num11z4"/>
    <w:uiPriority w:val="99"/>
    <w:rsid w:val="001D4124"/>
  </w:style>
  <w:style w:type="character" w:customStyle="1" w:styleId="WW8Num11z5">
    <w:name w:val="WW8Num11z5"/>
    <w:uiPriority w:val="99"/>
    <w:rsid w:val="001D4124"/>
  </w:style>
  <w:style w:type="character" w:customStyle="1" w:styleId="WW8Num11z6">
    <w:name w:val="WW8Num11z6"/>
    <w:uiPriority w:val="99"/>
    <w:rsid w:val="001D4124"/>
  </w:style>
  <w:style w:type="character" w:customStyle="1" w:styleId="WW8Num11z7">
    <w:name w:val="WW8Num11z7"/>
    <w:uiPriority w:val="99"/>
    <w:rsid w:val="001D4124"/>
  </w:style>
  <w:style w:type="character" w:customStyle="1" w:styleId="WW8Num11z8">
    <w:name w:val="WW8Num11z8"/>
    <w:uiPriority w:val="99"/>
    <w:rsid w:val="001D4124"/>
  </w:style>
  <w:style w:type="character" w:customStyle="1" w:styleId="WW8Num12z2">
    <w:name w:val="WW8Num12z2"/>
    <w:uiPriority w:val="99"/>
    <w:rsid w:val="001D4124"/>
  </w:style>
  <w:style w:type="character" w:customStyle="1" w:styleId="WW8Num12z3">
    <w:name w:val="WW8Num12z3"/>
    <w:uiPriority w:val="99"/>
    <w:rsid w:val="001D4124"/>
  </w:style>
  <w:style w:type="character" w:customStyle="1" w:styleId="WW8Num12z4">
    <w:name w:val="WW8Num12z4"/>
    <w:uiPriority w:val="99"/>
    <w:rsid w:val="001D4124"/>
  </w:style>
  <w:style w:type="character" w:customStyle="1" w:styleId="WW8Num12z5">
    <w:name w:val="WW8Num12z5"/>
    <w:uiPriority w:val="99"/>
    <w:rsid w:val="001D4124"/>
  </w:style>
  <w:style w:type="character" w:customStyle="1" w:styleId="WW8Num12z6">
    <w:name w:val="WW8Num12z6"/>
    <w:uiPriority w:val="99"/>
    <w:rsid w:val="001D4124"/>
  </w:style>
  <w:style w:type="character" w:customStyle="1" w:styleId="WW8Num12z7">
    <w:name w:val="WW8Num12z7"/>
    <w:uiPriority w:val="99"/>
    <w:rsid w:val="001D4124"/>
  </w:style>
  <w:style w:type="character" w:customStyle="1" w:styleId="WW8Num12z8">
    <w:name w:val="WW8Num12z8"/>
    <w:uiPriority w:val="99"/>
    <w:rsid w:val="001D4124"/>
  </w:style>
  <w:style w:type="character" w:customStyle="1" w:styleId="WW8Num13z1">
    <w:name w:val="WW8Num13z1"/>
    <w:uiPriority w:val="99"/>
    <w:rsid w:val="001D4124"/>
  </w:style>
  <w:style w:type="character" w:customStyle="1" w:styleId="WW8Num13z2">
    <w:name w:val="WW8Num13z2"/>
    <w:uiPriority w:val="99"/>
    <w:rsid w:val="001D4124"/>
  </w:style>
  <w:style w:type="character" w:customStyle="1" w:styleId="WW8Num13z3">
    <w:name w:val="WW8Num13z3"/>
    <w:uiPriority w:val="99"/>
    <w:rsid w:val="001D4124"/>
  </w:style>
  <w:style w:type="character" w:customStyle="1" w:styleId="WW8Num13z4">
    <w:name w:val="WW8Num13z4"/>
    <w:uiPriority w:val="99"/>
    <w:rsid w:val="001D4124"/>
  </w:style>
  <w:style w:type="character" w:customStyle="1" w:styleId="WW8Num13z5">
    <w:name w:val="WW8Num13z5"/>
    <w:uiPriority w:val="99"/>
    <w:rsid w:val="001D4124"/>
  </w:style>
  <w:style w:type="character" w:customStyle="1" w:styleId="WW8Num13z6">
    <w:name w:val="WW8Num13z6"/>
    <w:uiPriority w:val="99"/>
    <w:rsid w:val="001D4124"/>
  </w:style>
  <w:style w:type="character" w:customStyle="1" w:styleId="WW8Num13z7">
    <w:name w:val="WW8Num13z7"/>
    <w:uiPriority w:val="99"/>
    <w:rsid w:val="001D4124"/>
  </w:style>
  <w:style w:type="character" w:customStyle="1" w:styleId="WW8Num13z8">
    <w:name w:val="WW8Num13z8"/>
    <w:uiPriority w:val="99"/>
    <w:rsid w:val="001D4124"/>
  </w:style>
  <w:style w:type="character" w:customStyle="1" w:styleId="WW8Num14z1">
    <w:name w:val="WW8Num14z1"/>
    <w:uiPriority w:val="99"/>
    <w:rsid w:val="001D4124"/>
    <w:rPr>
      <w:rFonts w:ascii="Courier New" w:hAnsi="Courier New"/>
    </w:rPr>
  </w:style>
  <w:style w:type="character" w:customStyle="1" w:styleId="WW8Num14z2">
    <w:name w:val="WW8Num14z2"/>
    <w:uiPriority w:val="99"/>
    <w:rsid w:val="001D4124"/>
    <w:rPr>
      <w:rFonts w:ascii="Wingdings" w:hAnsi="Wingdings"/>
    </w:rPr>
  </w:style>
  <w:style w:type="character" w:customStyle="1" w:styleId="WW8Num15z1">
    <w:name w:val="WW8Num15z1"/>
    <w:uiPriority w:val="99"/>
    <w:rsid w:val="001D4124"/>
  </w:style>
  <w:style w:type="character" w:customStyle="1" w:styleId="WW8Num15z2">
    <w:name w:val="WW8Num15z2"/>
    <w:uiPriority w:val="99"/>
    <w:rsid w:val="001D4124"/>
  </w:style>
  <w:style w:type="character" w:customStyle="1" w:styleId="WW8Num15z3">
    <w:name w:val="WW8Num15z3"/>
    <w:uiPriority w:val="99"/>
    <w:rsid w:val="001D4124"/>
  </w:style>
  <w:style w:type="character" w:customStyle="1" w:styleId="WW8Num15z4">
    <w:name w:val="WW8Num15z4"/>
    <w:uiPriority w:val="99"/>
    <w:rsid w:val="001D4124"/>
  </w:style>
  <w:style w:type="character" w:customStyle="1" w:styleId="WW8Num15z5">
    <w:name w:val="WW8Num15z5"/>
    <w:uiPriority w:val="99"/>
    <w:rsid w:val="001D4124"/>
  </w:style>
  <w:style w:type="character" w:customStyle="1" w:styleId="WW8Num15z6">
    <w:name w:val="WW8Num15z6"/>
    <w:uiPriority w:val="99"/>
    <w:rsid w:val="001D4124"/>
  </w:style>
  <w:style w:type="character" w:customStyle="1" w:styleId="WW8Num15z7">
    <w:name w:val="WW8Num15z7"/>
    <w:uiPriority w:val="99"/>
    <w:rsid w:val="001D4124"/>
  </w:style>
  <w:style w:type="character" w:customStyle="1" w:styleId="WW8Num15z8">
    <w:name w:val="WW8Num15z8"/>
    <w:uiPriority w:val="99"/>
    <w:rsid w:val="001D4124"/>
  </w:style>
  <w:style w:type="character" w:customStyle="1" w:styleId="WW8Num16z1">
    <w:name w:val="WW8Num16z1"/>
    <w:uiPriority w:val="99"/>
    <w:rsid w:val="001D4124"/>
    <w:rPr>
      <w:b/>
    </w:rPr>
  </w:style>
  <w:style w:type="character" w:customStyle="1" w:styleId="WW8Num18z1">
    <w:name w:val="WW8Num18z1"/>
    <w:uiPriority w:val="99"/>
    <w:rsid w:val="001D4124"/>
    <w:rPr>
      <w:rFonts w:ascii="Courier New" w:hAnsi="Courier New"/>
      <w:sz w:val="20"/>
    </w:rPr>
  </w:style>
  <w:style w:type="character" w:customStyle="1" w:styleId="WW8Num18z2">
    <w:name w:val="WW8Num18z2"/>
    <w:uiPriority w:val="99"/>
    <w:rsid w:val="001D4124"/>
    <w:rPr>
      <w:rFonts w:ascii="Wingdings" w:hAnsi="Wingdings"/>
      <w:sz w:val="20"/>
    </w:rPr>
  </w:style>
  <w:style w:type="character" w:customStyle="1" w:styleId="WW8Num19z1">
    <w:name w:val="WW8Num19z1"/>
    <w:uiPriority w:val="99"/>
    <w:rsid w:val="001D4124"/>
    <w:rPr>
      <w:rFonts w:ascii="Courier New" w:hAnsi="Courier New"/>
    </w:rPr>
  </w:style>
  <w:style w:type="character" w:customStyle="1" w:styleId="WW8Num19z2">
    <w:name w:val="WW8Num19z2"/>
    <w:uiPriority w:val="99"/>
    <w:rsid w:val="001D4124"/>
    <w:rPr>
      <w:rFonts w:ascii="Wingdings" w:hAnsi="Wingdings"/>
    </w:rPr>
  </w:style>
  <w:style w:type="character" w:customStyle="1" w:styleId="WW8Num20z1">
    <w:name w:val="WW8Num20z1"/>
    <w:uiPriority w:val="99"/>
    <w:rsid w:val="001D4124"/>
  </w:style>
  <w:style w:type="character" w:customStyle="1" w:styleId="WW8Num20z2">
    <w:name w:val="WW8Num20z2"/>
    <w:uiPriority w:val="99"/>
    <w:rsid w:val="001D4124"/>
  </w:style>
  <w:style w:type="character" w:customStyle="1" w:styleId="WW8Num20z3">
    <w:name w:val="WW8Num20z3"/>
    <w:uiPriority w:val="99"/>
    <w:rsid w:val="001D4124"/>
  </w:style>
  <w:style w:type="character" w:customStyle="1" w:styleId="WW8Num20z4">
    <w:name w:val="WW8Num20z4"/>
    <w:uiPriority w:val="99"/>
    <w:rsid w:val="001D4124"/>
  </w:style>
  <w:style w:type="character" w:customStyle="1" w:styleId="WW8Num20z5">
    <w:name w:val="WW8Num20z5"/>
    <w:uiPriority w:val="99"/>
    <w:rsid w:val="001D4124"/>
  </w:style>
  <w:style w:type="character" w:customStyle="1" w:styleId="WW8Num20z6">
    <w:name w:val="WW8Num20z6"/>
    <w:uiPriority w:val="99"/>
    <w:rsid w:val="001D4124"/>
  </w:style>
  <w:style w:type="character" w:customStyle="1" w:styleId="WW8Num20z7">
    <w:name w:val="WW8Num20z7"/>
    <w:uiPriority w:val="99"/>
    <w:rsid w:val="001D4124"/>
  </w:style>
  <w:style w:type="character" w:customStyle="1" w:styleId="WW8Num20z8">
    <w:name w:val="WW8Num20z8"/>
    <w:uiPriority w:val="99"/>
    <w:rsid w:val="001D4124"/>
  </w:style>
  <w:style w:type="character" w:customStyle="1" w:styleId="WW8Num21z0">
    <w:name w:val="WW8Num21z0"/>
    <w:uiPriority w:val="99"/>
    <w:rsid w:val="001D4124"/>
    <w:rPr>
      <w:rFonts w:ascii="Times New Roman" w:hAnsi="Times New Roman"/>
      <w:spacing w:val="-4"/>
      <w:sz w:val="28"/>
      <w:lang w:val="ru-RU" w:eastAsia="ru-RU"/>
    </w:rPr>
  </w:style>
  <w:style w:type="character" w:customStyle="1" w:styleId="WW8Num21z1">
    <w:name w:val="WW8Num21z1"/>
    <w:uiPriority w:val="99"/>
    <w:rsid w:val="001D4124"/>
  </w:style>
  <w:style w:type="character" w:customStyle="1" w:styleId="WW8Num21z2">
    <w:name w:val="WW8Num21z2"/>
    <w:uiPriority w:val="99"/>
    <w:rsid w:val="001D4124"/>
  </w:style>
  <w:style w:type="character" w:customStyle="1" w:styleId="WW8Num21z3">
    <w:name w:val="WW8Num21z3"/>
    <w:uiPriority w:val="99"/>
    <w:rsid w:val="001D4124"/>
  </w:style>
  <w:style w:type="character" w:customStyle="1" w:styleId="WW8Num21z4">
    <w:name w:val="WW8Num21z4"/>
    <w:uiPriority w:val="99"/>
    <w:rsid w:val="001D4124"/>
  </w:style>
  <w:style w:type="character" w:customStyle="1" w:styleId="WW8Num21z5">
    <w:name w:val="WW8Num21z5"/>
    <w:uiPriority w:val="99"/>
    <w:rsid w:val="001D4124"/>
  </w:style>
  <w:style w:type="character" w:customStyle="1" w:styleId="WW8Num21z6">
    <w:name w:val="WW8Num21z6"/>
    <w:uiPriority w:val="99"/>
    <w:rsid w:val="001D4124"/>
  </w:style>
  <w:style w:type="character" w:customStyle="1" w:styleId="WW8Num21z7">
    <w:name w:val="WW8Num21z7"/>
    <w:uiPriority w:val="99"/>
    <w:rsid w:val="001D4124"/>
  </w:style>
  <w:style w:type="character" w:customStyle="1" w:styleId="WW8Num21z8">
    <w:name w:val="WW8Num21z8"/>
    <w:uiPriority w:val="99"/>
    <w:rsid w:val="001D4124"/>
  </w:style>
  <w:style w:type="character" w:customStyle="1" w:styleId="WW8Num22z0">
    <w:name w:val="WW8Num22z0"/>
    <w:uiPriority w:val="99"/>
    <w:rsid w:val="001D4124"/>
  </w:style>
  <w:style w:type="character" w:customStyle="1" w:styleId="WW8Num22z1">
    <w:name w:val="WW8Num22z1"/>
    <w:uiPriority w:val="99"/>
    <w:rsid w:val="001D4124"/>
  </w:style>
  <w:style w:type="character" w:customStyle="1" w:styleId="WW8Num22z2">
    <w:name w:val="WW8Num22z2"/>
    <w:uiPriority w:val="99"/>
    <w:rsid w:val="001D4124"/>
  </w:style>
  <w:style w:type="character" w:customStyle="1" w:styleId="WW8Num22z3">
    <w:name w:val="WW8Num22z3"/>
    <w:uiPriority w:val="99"/>
    <w:rsid w:val="001D4124"/>
  </w:style>
  <w:style w:type="character" w:customStyle="1" w:styleId="WW8Num22z4">
    <w:name w:val="WW8Num22z4"/>
    <w:uiPriority w:val="99"/>
    <w:rsid w:val="001D4124"/>
  </w:style>
  <w:style w:type="character" w:customStyle="1" w:styleId="WW8Num22z5">
    <w:name w:val="WW8Num22z5"/>
    <w:uiPriority w:val="99"/>
    <w:rsid w:val="001D4124"/>
  </w:style>
  <w:style w:type="character" w:customStyle="1" w:styleId="WW8Num22z6">
    <w:name w:val="WW8Num22z6"/>
    <w:uiPriority w:val="99"/>
    <w:rsid w:val="001D4124"/>
  </w:style>
  <w:style w:type="character" w:customStyle="1" w:styleId="WW8Num22z7">
    <w:name w:val="WW8Num22z7"/>
    <w:uiPriority w:val="99"/>
    <w:rsid w:val="001D4124"/>
  </w:style>
  <w:style w:type="character" w:customStyle="1" w:styleId="WW8Num22z8">
    <w:name w:val="WW8Num22z8"/>
    <w:uiPriority w:val="99"/>
    <w:rsid w:val="001D4124"/>
  </w:style>
  <w:style w:type="character" w:customStyle="1" w:styleId="WW8Num23z0">
    <w:name w:val="WW8Num23z0"/>
    <w:uiPriority w:val="99"/>
    <w:rsid w:val="001D4124"/>
  </w:style>
  <w:style w:type="character" w:customStyle="1" w:styleId="WW8Num23z1">
    <w:name w:val="WW8Num23z1"/>
    <w:uiPriority w:val="99"/>
    <w:rsid w:val="001D4124"/>
  </w:style>
  <w:style w:type="character" w:customStyle="1" w:styleId="WW8Num23z2">
    <w:name w:val="WW8Num23z2"/>
    <w:uiPriority w:val="99"/>
    <w:rsid w:val="001D4124"/>
  </w:style>
  <w:style w:type="character" w:customStyle="1" w:styleId="WW8Num23z3">
    <w:name w:val="WW8Num23z3"/>
    <w:uiPriority w:val="99"/>
    <w:rsid w:val="001D4124"/>
  </w:style>
  <w:style w:type="character" w:customStyle="1" w:styleId="WW8Num23z4">
    <w:name w:val="WW8Num23z4"/>
    <w:uiPriority w:val="99"/>
    <w:rsid w:val="001D4124"/>
  </w:style>
  <w:style w:type="character" w:customStyle="1" w:styleId="WW8Num23z5">
    <w:name w:val="WW8Num23z5"/>
    <w:uiPriority w:val="99"/>
    <w:rsid w:val="001D4124"/>
  </w:style>
  <w:style w:type="character" w:customStyle="1" w:styleId="WW8Num23z6">
    <w:name w:val="WW8Num23z6"/>
    <w:uiPriority w:val="99"/>
    <w:rsid w:val="001D4124"/>
  </w:style>
  <w:style w:type="character" w:customStyle="1" w:styleId="WW8Num23z7">
    <w:name w:val="WW8Num23z7"/>
    <w:uiPriority w:val="99"/>
    <w:rsid w:val="001D4124"/>
  </w:style>
  <w:style w:type="character" w:customStyle="1" w:styleId="WW8Num23z8">
    <w:name w:val="WW8Num23z8"/>
    <w:uiPriority w:val="99"/>
    <w:rsid w:val="001D4124"/>
  </w:style>
  <w:style w:type="character" w:customStyle="1" w:styleId="WW8Num24z0">
    <w:name w:val="WW8Num24z0"/>
    <w:uiPriority w:val="99"/>
    <w:rsid w:val="001D4124"/>
    <w:rPr>
      <w:rFonts w:ascii="Calibri" w:hAnsi="Calibri"/>
    </w:rPr>
  </w:style>
  <w:style w:type="character" w:customStyle="1" w:styleId="WW8Num24z1">
    <w:name w:val="WW8Num24z1"/>
    <w:uiPriority w:val="99"/>
    <w:rsid w:val="001D4124"/>
  </w:style>
  <w:style w:type="character" w:customStyle="1" w:styleId="WW8Num24z2">
    <w:name w:val="WW8Num24z2"/>
    <w:uiPriority w:val="99"/>
    <w:rsid w:val="001D4124"/>
  </w:style>
  <w:style w:type="character" w:customStyle="1" w:styleId="WW8Num24z3">
    <w:name w:val="WW8Num24z3"/>
    <w:uiPriority w:val="99"/>
    <w:rsid w:val="001D4124"/>
  </w:style>
  <w:style w:type="character" w:customStyle="1" w:styleId="WW8Num24z4">
    <w:name w:val="WW8Num24z4"/>
    <w:uiPriority w:val="99"/>
    <w:rsid w:val="001D4124"/>
  </w:style>
  <w:style w:type="character" w:customStyle="1" w:styleId="WW8Num24z5">
    <w:name w:val="WW8Num24z5"/>
    <w:uiPriority w:val="99"/>
    <w:rsid w:val="001D4124"/>
  </w:style>
  <w:style w:type="character" w:customStyle="1" w:styleId="WW8Num24z6">
    <w:name w:val="WW8Num24z6"/>
    <w:uiPriority w:val="99"/>
    <w:rsid w:val="001D4124"/>
  </w:style>
  <w:style w:type="character" w:customStyle="1" w:styleId="WW8Num24z7">
    <w:name w:val="WW8Num24z7"/>
    <w:uiPriority w:val="99"/>
    <w:rsid w:val="001D4124"/>
  </w:style>
  <w:style w:type="character" w:customStyle="1" w:styleId="WW8Num24z8">
    <w:name w:val="WW8Num24z8"/>
    <w:uiPriority w:val="99"/>
    <w:rsid w:val="001D4124"/>
  </w:style>
  <w:style w:type="character" w:customStyle="1" w:styleId="WW8Num25z0">
    <w:name w:val="WW8Num25z0"/>
    <w:uiPriority w:val="99"/>
    <w:rsid w:val="001D4124"/>
  </w:style>
  <w:style w:type="character" w:customStyle="1" w:styleId="WW8Num25z1">
    <w:name w:val="WW8Num25z1"/>
    <w:uiPriority w:val="99"/>
    <w:rsid w:val="001D4124"/>
  </w:style>
  <w:style w:type="character" w:customStyle="1" w:styleId="WW8Num25z2">
    <w:name w:val="WW8Num25z2"/>
    <w:uiPriority w:val="99"/>
    <w:rsid w:val="001D4124"/>
  </w:style>
  <w:style w:type="character" w:customStyle="1" w:styleId="WW8Num25z3">
    <w:name w:val="WW8Num25z3"/>
    <w:uiPriority w:val="99"/>
    <w:rsid w:val="001D4124"/>
  </w:style>
  <w:style w:type="character" w:customStyle="1" w:styleId="WW8Num25z4">
    <w:name w:val="WW8Num25z4"/>
    <w:uiPriority w:val="99"/>
    <w:rsid w:val="001D4124"/>
  </w:style>
  <w:style w:type="character" w:customStyle="1" w:styleId="WW8Num25z5">
    <w:name w:val="WW8Num25z5"/>
    <w:uiPriority w:val="99"/>
    <w:rsid w:val="001D4124"/>
  </w:style>
  <w:style w:type="character" w:customStyle="1" w:styleId="WW8Num25z6">
    <w:name w:val="WW8Num25z6"/>
    <w:uiPriority w:val="99"/>
    <w:rsid w:val="001D4124"/>
  </w:style>
  <w:style w:type="character" w:customStyle="1" w:styleId="WW8Num25z7">
    <w:name w:val="WW8Num25z7"/>
    <w:uiPriority w:val="99"/>
    <w:rsid w:val="001D4124"/>
  </w:style>
  <w:style w:type="character" w:customStyle="1" w:styleId="WW8Num25z8">
    <w:name w:val="WW8Num25z8"/>
    <w:uiPriority w:val="99"/>
    <w:rsid w:val="001D4124"/>
  </w:style>
  <w:style w:type="character" w:customStyle="1" w:styleId="WW8Num26z0">
    <w:name w:val="WW8Num26z0"/>
    <w:uiPriority w:val="99"/>
    <w:rsid w:val="001D4124"/>
    <w:rPr>
      <w:rFonts w:ascii="Symbol" w:hAnsi="Symbol"/>
      <w:spacing w:val="-4"/>
      <w:sz w:val="28"/>
    </w:rPr>
  </w:style>
  <w:style w:type="character" w:customStyle="1" w:styleId="WW8Num26z1">
    <w:name w:val="WW8Num26z1"/>
    <w:uiPriority w:val="99"/>
    <w:rsid w:val="001D4124"/>
    <w:rPr>
      <w:rFonts w:ascii="Courier New" w:hAnsi="Courier New"/>
    </w:rPr>
  </w:style>
  <w:style w:type="character" w:customStyle="1" w:styleId="WW8Num26z2">
    <w:name w:val="WW8Num26z2"/>
    <w:uiPriority w:val="99"/>
    <w:rsid w:val="001D4124"/>
    <w:rPr>
      <w:rFonts w:ascii="Wingdings" w:hAnsi="Wingdings"/>
    </w:rPr>
  </w:style>
  <w:style w:type="character" w:customStyle="1" w:styleId="WW8Num27z0">
    <w:name w:val="WW8Num27z0"/>
    <w:uiPriority w:val="99"/>
    <w:rsid w:val="001D4124"/>
  </w:style>
  <w:style w:type="character" w:customStyle="1" w:styleId="WW8Num27z1">
    <w:name w:val="WW8Num27z1"/>
    <w:uiPriority w:val="99"/>
    <w:rsid w:val="001D4124"/>
  </w:style>
  <w:style w:type="character" w:customStyle="1" w:styleId="WW8Num27z2">
    <w:name w:val="WW8Num27z2"/>
    <w:uiPriority w:val="99"/>
    <w:rsid w:val="001D4124"/>
  </w:style>
  <w:style w:type="character" w:customStyle="1" w:styleId="WW8Num27z3">
    <w:name w:val="WW8Num27z3"/>
    <w:uiPriority w:val="99"/>
    <w:rsid w:val="001D4124"/>
  </w:style>
  <w:style w:type="character" w:customStyle="1" w:styleId="WW8Num27z4">
    <w:name w:val="WW8Num27z4"/>
    <w:uiPriority w:val="99"/>
    <w:rsid w:val="001D4124"/>
  </w:style>
  <w:style w:type="character" w:customStyle="1" w:styleId="WW8Num27z5">
    <w:name w:val="WW8Num27z5"/>
    <w:uiPriority w:val="99"/>
    <w:rsid w:val="001D4124"/>
  </w:style>
  <w:style w:type="character" w:customStyle="1" w:styleId="WW8Num27z6">
    <w:name w:val="WW8Num27z6"/>
    <w:uiPriority w:val="99"/>
    <w:rsid w:val="001D4124"/>
  </w:style>
  <w:style w:type="character" w:customStyle="1" w:styleId="WW8Num27z7">
    <w:name w:val="WW8Num27z7"/>
    <w:uiPriority w:val="99"/>
    <w:rsid w:val="001D4124"/>
  </w:style>
  <w:style w:type="character" w:customStyle="1" w:styleId="WW8Num27z8">
    <w:name w:val="WW8Num27z8"/>
    <w:uiPriority w:val="99"/>
    <w:rsid w:val="001D4124"/>
  </w:style>
  <w:style w:type="character" w:customStyle="1" w:styleId="WW8Num28z0">
    <w:name w:val="WW8Num28z0"/>
    <w:uiPriority w:val="99"/>
    <w:rsid w:val="001D4124"/>
    <w:rPr>
      <w:rFonts w:ascii="Times New Roman" w:hAnsi="Times New Roman"/>
      <w:sz w:val="28"/>
    </w:rPr>
  </w:style>
  <w:style w:type="character" w:customStyle="1" w:styleId="WW8Num28z1">
    <w:name w:val="WW8Num28z1"/>
    <w:uiPriority w:val="99"/>
    <w:rsid w:val="001D4124"/>
  </w:style>
  <w:style w:type="character" w:customStyle="1" w:styleId="WW8Num28z2">
    <w:name w:val="WW8Num28z2"/>
    <w:uiPriority w:val="99"/>
    <w:rsid w:val="001D4124"/>
  </w:style>
  <w:style w:type="character" w:customStyle="1" w:styleId="WW8Num28z3">
    <w:name w:val="WW8Num28z3"/>
    <w:uiPriority w:val="99"/>
    <w:rsid w:val="001D4124"/>
  </w:style>
  <w:style w:type="character" w:customStyle="1" w:styleId="WW8Num28z4">
    <w:name w:val="WW8Num28z4"/>
    <w:uiPriority w:val="99"/>
    <w:rsid w:val="001D4124"/>
  </w:style>
  <w:style w:type="character" w:customStyle="1" w:styleId="WW8Num28z5">
    <w:name w:val="WW8Num28z5"/>
    <w:uiPriority w:val="99"/>
    <w:rsid w:val="001D4124"/>
  </w:style>
  <w:style w:type="character" w:customStyle="1" w:styleId="WW8Num28z6">
    <w:name w:val="WW8Num28z6"/>
    <w:uiPriority w:val="99"/>
    <w:rsid w:val="001D4124"/>
  </w:style>
  <w:style w:type="character" w:customStyle="1" w:styleId="WW8Num28z7">
    <w:name w:val="WW8Num28z7"/>
    <w:uiPriority w:val="99"/>
    <w:rsid w:val="001D4124"/>
  </w:style>
  <w:style w:type="character" w:customStyle="1" w:styleId="WW8Num28z8">
    <w:name w:val="WW8Num28z8"/>
    <w:uiPriority w:val="99"/>
    <w:rsid w:val="001D4124"/>
  </w:style>
  <w:style w:type="character" w:customStyle="1" w:styleId="WW8Num29z0">
    <w:name w:val="WW8Num29z0"/>
    <w:uiPriority w:val="99"/>
    <w:rsid w:val="001D4124"/>
    <w:rPr>
      <w:rFonts w:ascii="Symbol" w:hAnsi="Symbol"/>
      <w:sz w:val="28"/>
      <w:lang w:val="ru-RU" w:eastAsia="ru-RU"/>
    </w:rPr>
  </w:style>
  <w:style w:type="character" w:customStyle="1" w:styleId="WW8Num29z1">
    <w:name w:val="WW8Num29z1"/>
    <w:uiPriority w:val="99"/>
    <w:rsid w:val="001D4124"/>
    <w:rPr>
      <w:rFonts w:ascii="Courier New" w:hAnsi="Courier New"/>
    </w:rPr>
  </w:style>
  <w:style w:type="character" w:customStyle="1" w:styleId="WW8Num29z2">
    <w:name w:val="WW8Num29z2"/>
    <w:uiPriority w:val="99"/>
    <w:rsid w:val="001D4124"/>
    <w:rPr>
      <w:rFonts w:ascii="Wingdings" w:hAnsi="Wingdings"/>
    </w:rPr>
  </w:style>
  <w:style w:type="character" w:customStyle="1" w:styleId="WW8Num30z0">
    <w:name w:val="WW8Num30z0"/>
    <w:uiPriority w:val="99"/>
    <w:rsid w:val="001D4124"/>
    <w:rPr>
      <w:rFonts w:ascii="Symbol" w:hAnsi="Symbol"/>
      <w:color w:val="auto"/>
      <w:sz w:val="28"/>
    </w:rPr>
  </w:style>
  <w:style w:type="character" w:customStyle="1" w:styleId="WW8Num30z1">
    <w:name w:val="WW8Num30z1"/>
    <w:uiPriority w:val="99"/>
    <w:rsid w:val="001D4124"/>
    <w:rPr>
      <w:rFonts w:ascii="Courier New" w:hAnsi="Courier New"/>
    </w:rPr>
  </w:style>
  <w:style w:type="character" w:customStyle="1" w:styleId="WW8Num30z2">
    <w:name w:val="WW8Num30z2"/>
    <w:uiPriority w:val="99"/>
    <w:rsid w:val="001D4124"/>
    <w:rPr>
      <w:rFonts w:ascii="Wingdings" w:hAnsi="Wingdings"/>
    </w:rPr>
  </w:style>
  <w:style w:type="character" w:customStyle="1" w:styleId="113">
    <w:name w:val="Основной шрифт абзаца11"/>
    <w:uiPriority w:val="99"/>
    <w:rsid w:val="001D4124"/>
  </w:style>
  <w:style w:type="character" w:customStyle="1" w:styleId="reference-text">
    <w:name w:val="reference-text"/>
    <w:uiPriority w:val="99"/>
    <w:rsid w:val="001D4124"/>
  </w:style>
  <w:style w:type="character" w:customStyle="1" w:styleId="jrnl">
    <w:name w:val="jrnl"/>
    <w:uiPriority w:val="99"/>
    <w:rsid w:val="001D4124"/>
  </w:style>
  <w:style w:type="character" w:customStyle="1" w:styleId="highlight2">
    <w:name w:val="highlight2"/>
    <w:uiPriority w:val="99"/>
    <w:rsid w:val="001D4124"/>
  </w:style>
  <w:style w:type="character" w:customStyle="1" w:styleId="hl1">
    <w:name w:val="hl1"/>
    <w:uiPriority w:val="99"/>
    <w:rsid w:val="001D4124"/>
    <w:rPr>
      <w:color w:val="4682B4"/>
    </w:rPr>
  </w:style>
  <w:style w:type="character" w:customStyle="1" w:styleId="A40">
    <w:name w:val="A4"/>
    <w:uiPriority w:val="99"/>
    <w:rsid w:val="001D4124"/>
    <w:rPr>
      <w:i/>
      <w:color w:val="000000"/>
      <w:sz w:val="16"/>
    </w:rPr>
  </w:style>
  <w:style w:type="character" w:customStyle="1" w:styleId="iblock2">
    <w:name w:val="iblock2"/>
    <w:uiPriority w:val="99"/>
    <w:rsid w:val="001D4124"/>
  </w:style>
  <w:style w:type="character" w:customStyle="1" w:styleId="ref-journal1">
    <w:name w:val="ref-journal1"/>
    <w:uiPriority w:val="99"/>
    <w:rsid w:val="001D4124"/>
    <w:rPr>
      <w:i/>
    </w:rPr>
  </w:style>
  <w:style w:type="character" w:customStyle="1" w:styleId="afffffb">
    <w:name w:val="Маркеры списка"/>
    <w:uiPriority w:val="99"/>
    <w:rsid w:val="001D4124"/>
    <w:rPr>
      <w:rFonts w:ascii="OpenSymbol" w:hAnsi="OpenSymbol"/>
    </w:rPr>
  </w:style>
  <w:style w:type="paragraph" w:customStyle="1" w:styleId="1fa">
    <w:name w:val="Заголовок1"/>
    <w:basedOn w:val="a2"/>
    <w:next w:val="af6"/>
    <w:uiPriority w:val="99"/>
    <w:rsid w:val="001D4124"/>
    <w:pPr>
      <w:keepNext/>
      <w:suppressAutoHyphens/>
      <w:spacing w:before="240" w:after="120" w:line="276" w:lineRule="auto"/>
    </w:pPr>
    <w:rPr>
      <w:rFonts w:ascii="Liberation Sans" w:eastAsia="Microsoft YaHei" w:hAnsi="Liberation Sans" w:cs="Mangal"/>
      <w:sz w:val="28"/>
      <w:szCs w:val="28"/>
      <w:lang w:eastAsia="zh-CN"/>
    </w:rPr>
  </w:style>
  <w:style w:type="paragraph" w:styleId="afffffc">
    <w:name w:val="List"/>
    <w:basedOn w:val="af6"/>
    <w:uiPriority w:val="99"/>
    <w:rsid w:val="001D4124"/>
    <w:pPr>
      <w:suppressAutoHyphens/>
      <w:spacing w:after="120"/>
      <w:jc w:val="left"/>
    </w:pPr>
    <w:rPr>
      <w:rFonts w:cs="Mangal"/>
      <w:sz w:val="24"/>
      <w:szCs w:val="24"/>
      <w:lang w:eastAsia="zh-CN"/>
    </w:rPr>
  </w:style>
  <w:style w:type="paragraph" w:styleId="afffffd">
    <w:name w:val="caption"/>
    <w:basedOn w:val="a2"/>
    <w:link w:val="afffffe"/>
    <w:uiPriority w:val="99"/>
    <w:qFormat/>
    <w:rsid w:val="001D4124"/>
    <w:pPr>
      <w:suppressLineNumbers/>
      <w:suppressAutoHyphens/>
      <w:spacing w:before="120" w:after="120" w:line="276" w:lineRule="auto"/>
    </w:pPr>
    <w:rPr>
      <w:rFonts w:ascii="Calibri" w:hAnsi="Calibri"/>
      <w:i/>
      <w:sz w:val="24"/>
      <w:lang w:eastAsia="zh-CN"/>
    </w:rPr>
  </w:style>
  <w:style w:type="paragraph" w:customStyle="1" w:styleId="1fb">
    <w:name w:val="Указатель1"/>
    <w:basedOn w:val="a2"/>
    <w:uiPriority w:val="99"/>
    <w:rsid w:val="001D4124"/>
    <w:pPr>
      <w:suppressLineNumbers/>
      <w:suppressAutoHyphens/>
      <w:spacing w:after="200" w:line="276" w:lineRule="auto"/>
    </w:pPr>
    <w:rPr>
      <w:rFonts w:ascii="Calibri" w:hAnsi="Calibri" w:cs="Mangal"/>
      <w:sz w:val="22"/>
      <w:szCs w:val="22"/>
      <w:lang w:eastAsia="zh-CN"/>
    </w:rPr>
  </w:style>
  <w:style w:type="paragraph" w:customStyle="1" w:styleId="114">
    <w:name w:val="Текст11"/>
    <w:basedOn w:val="a2"/>
    <w:uiPriority w:val="99"/>
    <w:rsid w:val="001D4124"/>
    <w:pPr>
      <w:suppressAutoHyphens/>
    </w:pPr>
    <w:rPr>
      <w:rFonts w:ascii="Courier New" w:hAnsi="Courier New" w:cs="Courier New"/>
      <w:sz w:val="28"/>
      <w:lang w:eastAsia="zh-CN"/>
    </w:rPr>
  </w:style>
  <w:style w:type="paragraph" w:customStyle="1" w:styleId="aj">
    <w:name w:val="aj"/>
    <w:basedOn w:val="a2"/>
    <w:uiPriority w:val="99"/>
    <w:rsid w:val="001D4124"/>
    <w:pPr>
      <w:suppressAutoHyphens/>
      <w:spacing w:before="75" w:after="60" w:line="312" w:lineRule="auto"/>
      <w:ind w:left="15" w:right="15" w:firstLine="450"/>
      <w:jc w:val="both"/>
    </w:pPr>
    <w:rPr>
      <w:rFonts w:ascii="Verdana" w:hAnsi="Verdana" w:cs="Verdana"/>
      <w:color w:val="330000"/>
      <w:sz w:val="18"/>
      <w:szCs w:val="18"/>
      <w:lang w:eastAsia="zh-CN"/>
    </w:rPr>
  </w:style>
  <w:style w:type="paragraph" w:customStyle="1" w:styleId="ListParagraph1">
    <w:name w:val="List Paragraph1"/>
    <w:basedOn w:val="a2"/>
    <w:uiPriority w:val="99"/>
    <w:rsid w:val="001D4124"/>
    <w:pPr>
      <w:suppressAutoHyphens/>
      <w:spacing w:after="200" w:line="276" w:lineRule="auto"/>
      <w:ind w:left="720"/>
      <w:contextualSpacing/>
    </w:pPr>
    <w:rPr>
      <w:rFonts w:ascii="Calibri" w:hAnsi="Calibri"/>
      <w:sz w:val="22"/>
      <w:szCs w:val="22"/>
      <w:lang w:eastAsia="zh-CN"/>
    </w:rPr>
  </w:style>
  <w:style w:type="paragraph" w:customStyle="1" w:styleId="desc2">
    <w:name w:val="desc2"/>
    <w:basedOn w:val="a2"/>
    <w:uiPriority w:val="99"/>
    <w:rsid w:val="001D4124"/>
    <w:pPr>
      <w:suppressAutoHyphens/>
    </w:pPr>
    <w:rPr>
      <w:sz w:val="26"/>
      <w:szCs w:val="26"/>
      <w:lang w:eastAsia="zh-CN"/>
    </w:rPr>
  </w:style>
  <w:style w:type="paragraph" w:customStyle="1" w:styleId="details1">
    <w:name w:val="details1"/>
    <w:basedOn w:val="a2"/>
    <w:uiPriority w:val="99"/>
    <w:rsid w:val="001D4124"/>
    <w:pPr>
      <w:suppressAutoHyphens/>
    </w:pPr>
    <w:rPr>
      <w:sz w:val="22"/>
      <w:szCs w:val="22"/>
      <w:lang w:eastAsia="zh-CN"/>
    </w:rPr>
  </w:style>
  <w:style w:type="paragraph" w:customStyle="1" w:styleId="affffff">
    <w:name w:val="Содержимое врезки"/>
    <w:basedOn w:val="a2"/>
    <w:uiPriority w:val="99"/>
    <w:rsid w:val="001D4124"/>
    <w:pPr>
      <w:suppressAutoHyphens/>
      <w:spacing w:after="200" w:line="276" w:lineRule="auto"/>
    </w:pPr>
    <w:rPr>
      <w:rFonts w:ascii="Calibri" w:hAnsi="Calibri"/>
      <w:sz w:val="22"/>
      <w:szCs w:val="22"/>
      <w:lang w:eastAsia="zh-CN"/>
    </w:rPr>
  </w:style>
  <w:style w:type="paragraph" w:customStyle="1" w:styleId="affffff0">
    <w:name w:val="Содержимое таблицы"/>
    <w:basedOn w:val="a2"/>
    <w:uiPriority w:val="99"/>
    <w:rsid w:val="001D4124"/>
    <w:pPr>
      <w:suppressLineNumbers/>
      <w:suppressAutoHyphens/>
      <w:spacing w:after="200" w:line="276" w:lineRule="auto"/>
    </w:pPr>
    <w:rPr>
      <w:rFonts w:ascii="Calibri" w:hAnsi="Calibri"/>
      <w:sz w:val="22"/>
      <w:szCs w:val="22"/>
      <w:lang w:eastAsia="zh-CN"/>
    </w:rPr>
  </w:style>
  <w:style w:type="paragraph" w:customStyle="1" w:styleId="affffff1">
    <w:name w:val="Заголовок таблицы"/>
    <w:basedOn w:val="affffff0"/>
    <w:uiPriority w:val="99"/>
    <w:rsid w:val="001D4124"/>
    <w:pPr>
      <w:jc w:val="center"/>
    </w:pPr>
    <w:rPr>
      <w:b/>
      <w:bCs/>
    </w:rPr>
  </w:style>
  <w:style w:type="paragraph" w:customStyle="1" w:styleId="hfpltk">
    <w:name w:val="hfpltk"/>
    <w:basedOn w:val="a2"/>
    <w:link w:val="hfpltk0"/>
    <w:uiPriority w:val="99"/>
    <w:rsid w:val="00785233"/>
    <w:pPr>
      <w:pageBreakBefore/>
      <w:numPr>
        <w:numId w:val="2"/>
      </w:numPr>
      <w:spacing w:after="100" w:afterAutospacing="1" w:line="360" w:lineRule="auto"/>
      <w:jc w:val="center"/>
      <w:outlineLvl w:val="0"/>
    </w:pPr>
    <w:rPr>
      <w:caps/>
      <w:sz w:val="28"/>
      <w:szCs w:val="28"/>
      <w:lang w:eastAsia="en-US"/>
    </w:rPr>
  </w:style>
  <w:style w:type="paragraph" w:customStyle="1" w:styleId="affffff2">
    <w:name w:val="заголовок"/>
    <w:basedOn w:val="a2"/>
    <w:link w:val="affffff3"/>
    <w:uiPriority w:val="99"/>
    <w:rsid w:val="00785233"/>
    <w:pPr>
      <w:suppressAutoHyphens/>
      <w:spacing w:before="360" w:after="360" w:line="360" w:lineRule="auto"/>
      <w:jc w:val="center"/>
      <w:outlineLvl w:val="1"/>
    </w:pPr>
    <w:rPr>
      <w:b/>
      <w:sz w:val="22"/>
      <w:lang w:eastAsia="en-US"/>
    </w:rPr>
  </w:style>
  <w:style w:type="character" w:customStyle="1" w:styleId="hfpltk0">
    <w:name w:val="hfpltk Знак"/>
    <w:link w:val="hfpltk"/>
    <w:uiPriority w:val="99"/>
    <w:locked/>
    <w:rsid w:val="00785233"/>
    <w:rPr>
      <w:caps/>
      <w:sz w:val="28"/>
      <w:szCs w:val="28"/>
      <w:lang w:eastAsia="en-US"/>
    </w:rPr>
  </w:style>
  <w:style w:type="character" w:customStyle="1" w:styleId="affffff3">
    <w:name w:val="заголовок Знак"/>
    <w:link w:val="affffff2"/>
    <w:uiPriority w:val="99"/>
    <w:locked/>
    <w:rsid w:val="00785233"/>
    <w:rPr>
      <w:rFonts w:eastAsia="Times New Roman"/>
      <w:b/>
      <w:sz w:val="22"/>
      <w:lang w:eastAsia="en-US"/>
    </w:rPr>
  </w:style>
  <w:style w:type="paragraph" w:customStyle="1" w:styleId="affffff4">
    <w:name w:val="Таблица"/>
    <w:basedOn w:val="a2"/>
    <w:link w:val="affffff5"/>
    <w:uiPriority w:val="99"/>
    <w:rsid w:val="00623BCD"/>
    <w:pPr>
      <w:tabs>
        <w:tab w:val="left" w:pos="7560"/>
      </w:tabs>
      <w:spacing w:after="120"/>
      <w:jc w:val="both"/>
    </w:pPr>
    <w:rPr>
      <w:sz w:val="28"/>
      <w:lang w:eastAsia="zh-CN"/>
    </w:rPr>
  </w:style>
  <w:style w:type="paragraph" w:customStyle="1" w:styleId="a3">
    <w:name w:val="Рисунок"/>
    <w:basedOn w:val="a2"/>
    <w:link w:val="affffff6"/>
    <w:uiPriority w:val="99"/>
    <w:rsid w:val="00572740"/>
    <w:pPr>
      <w:jc w:val="center"/>
    </w:pPr>
    <w:rPr>
      <w:sz w:val="28"/>
    </w:rPr>
  </w:style>
  <w:style w:type="character" w:customStyle="1" w:styleId="affffff5">
    <w:name w:val="Таблица Знак"/>
    <w:link w:val="affffff4"/>
    <w:uiPriority w:val="99"/>
    <w:locked/>
    <w:rsid w:val="00623BCD"/>
    <w:rPr>
      <w:sz w:val="28"/>
      <w:lang w:eastAsia="zh-CN"/>
    </w:rPr>
  </w:style>
  <w:style w:type="table" w:customStyle="1" w:styleId="1fc">
    <w:name w:val="Сетка таблицы1"/>
    <w:uiPriority w:val="99"/>
    <w:rsid w:val="0078523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6">
    <w:name w:val="Рисунок Знак"/>
    <w:link w:val="a3"/>
    <w:uiPriority w:val="99"/>
    <w:locked/>
    <w:rsid w:val="00572740"/>
    <w:rPr>
      <w:sz w:val="28"/>
    </w:rPr>
  </w:style>
  <w:style w:type="table" w:customStyle="1" w:styleId="2fd">
    <w:name w:val="Сетка таблицы2"/>
    <w:uiPriority w:val="99"/>
    <w:rsid w:val="0078523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4">
    <w:name w:val="Сетка таблицы3"/>
    <w:uiPriority w:val="99"/>
    <w:rsid w:val="0078523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uiPriority w:val="99"/>
    <w:rsid w:val="0078523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7">
    <w:name w:val="Placeholder Text"/>
    <w:uiPriority w:val="99"/>
    <w:rsid w:val="00785233"/>
    <w:rPr>
      <w:rFonts w:cs="Times New Roman"/>
      <w:color w:val="808080"/>
    </w:rPr>
  </w:style>
  <w:style w:type="table" w:customStyle="1" w:styleId="58">
    <w:name w:val="Сетка таблицы5"/>
    <w:uiPriority w:val="99"/>
    <w:rsid w:val="0078523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
    <w:uiPriority w:val="99"/>
    <w:rsid w:val="0078523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
    <w:uiPriority w:val="99"/>
    <w:rsid w:val="0078523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
    <w:uiPriority w:val="99"/>
    <w:rsid w:val="0078523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8">
    <w:name w:val="заголовок левый"/>
    <w:basedOn w:val="affffff2"/>
    <w:link w:val="affffff9"/>
    <w:uiPriority w:val="99"/>
    <w:rsid w:val="00785233"/>
    <w:pPr>
      <w:outlineLvl w:val="9"/>
    </w:pPr>
  </w:style>
  <w:style w:type="character" w:customStyle="1" w:styleId="affffff9">
    <w:name w:val="заголовок левый Знак"/>
    <w:link w:val="affffff8"/>
    <w:uiPriority w:val="99"/>
    <w:locked/>
    <w:rsid w:val="00785233"/>
    <w:rPr>
      <w:rFonts w:eastAsia="Times New Roman"/>
      <w:b/>
      <w:sz w:val="22"/>
      <w:lang w:eastAsia="en-US"/>
    </w:rPr>
  </w:style>
  <w:style w:type="paragraph" w:customStyle="1" w:styleId="1fd">
    <w:name w:val="Абзац списка1"/>
    <w:basedOn w:val="a2"/>
    <w:uiPriority w:val="99"/>
    <w:rsid w:val="006D61F6"/>
    <w:pPr>
      <w:spacing w:after="200" w:line="276" w:lineRule="auto"/>
      <w:ind w:left="720"/>
    </w:pPr>
    <w:rPr>
      <w:rFonts w:ascii="Calibri" w:hAnsi="Calibri" w:cs="Calibri"/>
      <w:lang w:eastAsia="en-US"/>
    </w:rPr>
  </w:style>
  <w:style w:type="table" w:customStyle="1" w:styleId="94">
    <w:name w:val="Сетка таблицы9"/>
    <w:uiPriority w:val="99"/>
    <w:rsid w:val="006D61F6"/>
    <w:rPr>
      <w:rFonts w:ascii="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e">
    <w:name w:val="Название книги1"/>
    <w:uiPriority w:val="99"/>
    <w:rsid w:val="006D61F6"/>
    <w:rPr>
      <w:rFonts w:ascii="Cambria" w:hAnsi="Cambria"/>
      <w:b/>
      <w:i/>
      <w:sz w:val="24"/>
    </w:rPr>
  </w:style>
  <w:style w:type="paragraph" w:customStyle="1" w:styleId="115">
    <w:name w:val="Абзац списка11"/>
    <w:basedOn w:val="a2"/>
    <w:uiPriority w:val="99"/>
    <w:rsid w:val="006D61F6"/>
    <w:pPr>
      <w:spacing w:line="360" w:lineRule="auto"/>
      <w:ind w:left="720"/>
    </w:pPr>
    <w:rPr>
      <w:sz w:val="28"/>
      <w:szCs w:val="28"/>
      <w:lang w:val="en-US" w:eastAsia="en-US"/>
    </w:rPr>
  </w:style>
  <w:style w:type="character" w:customStyle="1" w:styleId="articletitle">
    <w:name w:val="articletitle"/>
    <w:uiPriority w:val="99"/>
    <w:rsid w:val="006D61F6"/>
  </w:style>
  <w:style w:type="character" w:customStyle="1" w:styleId="journaltitle">
    <w:name w:val="journaltitle"/>
    <w:uiPriority w:val="99"/>
    <w:rsid w:val="006D61F6"/>
  </w:style>
  <w:style w:type="character" w:customStyle="1" w:styleId="pubyear">
    <w:name w:val="pubyear"/>
    <w:uiPriority w:val="99"/>
    <w:rsid w:val="006D61F6"/>
  </w:style>
  <w:style w:type="character" w:customStyle="1" w:styleId="vol">
    <w:name w:val="vol"/>
    <w:uiPriority w:val="99"/>
    <w:rsid w:val="006D61F6"/>
  </w:style>
  <w:style w:type="character" w:customStyle="1" w:styleId="pagefirst">
    <w:name w:val="pagefirst"/>
    <w:uiPriority w:val="99"/>
    <w:rsid w:val="006D61F6"/>
  </w:style>
  <w:style w:type="character" w:customStyle="1" w:styleId="pagelast">
    <w:name w:val="pagelast"/>
    <w:uiPriority w:val="99"/>
    <w:rsid w:val="006D61F6"/>
  </w:style>
  <w:style w:type="character" w:customStyle="1" w:styleId="ref-journal">
    <w:name w:val="ref-journal"/>
    <w:uiPriority w:val="99"/>
    <w:rsid w:val="006D61F6"/>
  </w:style>
  <w:style w:type="character" w:customStyle="1" w:styleId="ref-vol">
    <w:name w:val="ref-vol"/>
    <w:uiPriority w:val="99"/>
    <w:rsid w:val="006D61F6"/>
  </w:style>
  <w:style w:type="character" w:customStyle="1" w:styleId="othertitle">
    <w:name w:val="othertitle"/>
    <w:uiPriority w:val="99"/>
    <w:rsid w:val="006D61F6"/>
  </w:style>
  <w:style w:type="character" w:customStyle="1" w:styleId="highlight">
    <w:name w:val="highlight"/>
    <w:uiPriority w:val="99"/>
    <w:rsid w:val="006D61F6"/>
  </w:style>
  <w:style w:type="character" w:customStyle="1" w:styleId="bib-heading">
    <w:name w:val="bib-heading"/>
    <w:uiPriority w:val="99"/>
    <w:rsid w:val="006D61F6"/>
  </w:style>
  <w:style w:type="character" w:customStyle="1" w:styleId="bib-domain1">
    <w:name w:val="bib-domain1"/>
    <w:uiPriority w:val="99"/>
    <w:rsid w:val="006D61F6"/>
  </w:style>
  <w:style w:type="character" w:customStyle="1" w:styleId="search-title-text">
    <w:name w:val="search-title-text"/>
    <w:uiPriority w:val="99"/>
    <w:rsid w:val="006D61F6"/>
  </w:style>
  <w:style w:type="table" w:customStyle="1" w:styleId="TableGrid">
    <w:name w:val="TableGrid"/>
    <w:uiPriority w:val="99"/>
    <w:rsid w:val="007B17A4"/>
    <w:rPr>
      <w:rFonts w:ascii="Calibri" w:hAnsi="Calibri"/>
      <w:sz w:val="22"/>
      <w:szCs w:val="22"/>
    </w:rPr>
    <w:tblPr>
      <w:tblCellMar>
        <w:top w:w="0" w:type="dxa"/>
        <w:left w:w="0" w:type="dxa"/>
        <w:bottom w:w="0" w:type="dxa"/>
        <w:right w:w="0" w:type="dxa"/>
      </w:tblCellMar>
    </w:tblPr>
  </w:style>
  <w:style w:type="character" w:customStyle="1" w:styleId="hilite21">
    <w:name w:val="hilite21"/>
    <w:uiPriority w:val="99"/>
    <w:rsid w:val="00991F93"/>
    <w:rPr>
      <w:i/>
      <w:shd w:val="clear" w:color="auto" w:fill="FF00FF"/>
    </w:rPr>
  </w:style>
  <w:style w:type="character" w:customStyle="1" w:styleId="hilite11">
    <w:name w:val="hilite11"/>
    <w:uiPriority w:val="99"/>
    <w:rsid w:val="00991F93"/>
    <w:rPr>
      <w:i/>
      <w:shd w:val="clear" w:color="auto" w:fill="FFFF00"/>
    </w:rPr>
  </w:style>
  <w:style w:type="character" w:customStyle="1" w:styleId="st">
    <w:name w:val="st"/>
    <w:uiPriority w:val="99"/>
    <w:rsid w:val="00991F93"/>
  </w:style>
  <w:style w:type="character" w:styleId="HTML2">
    <w:name w:val="HTML Cite"/>
    <w:uiPriority w:val="99"/>
    <w:rsid w:val="00991F93"/>
    <w:rPr>
      <w:rFonts w:cs="Times New Roman"/>
      <w:i/>
    </w:rPr>
  </w:style>
  <w:style w:type="paragraph" w:customStyle="1" w:styleId="bibl">
    <w:name w:val="bibl"/>
    <w:basedOn w:val="a2"/>
    <w:uiPriority w:val="99"/>
    <w:rsid w:val="00991F93"/>
    <w:pPr>
      <w:spacing w:line="360" w:lineRule="auto"/>
      <w:ind w:left="284" w:hanging="284"/>
      <w:jc w:val="both"/>
    </w:pPr>
    <w:rPr>
      <w:i/>
      <w:sz w:val="22"/>
      <w:szCs w:val="24"/>
    </w:rPr>
  </w:style>
  <w:style w:type="character" w:customStyle="1" w:styleId="affffffa">
    <w:name w:val="a"/>
    <w:uiPriority w:val="99"/>
    <w:rsid w:val="00991F93"/>
  </w:style>
  <w:style w:type="character" w:customStyle="1" w:styleId="l8">
    <w:name w:val="l8"/>
    <w:uiPriority w:val="99"/>
    <w:rsid w:val="00991F93"/>
  </w:style>
  <w:style w:type="paragraph" w:customStyle="1" w:styleId="1ff">
    <w:name w:val="Без интервала1"/>
    <w:uiPriority w:val="99"/>
    <w:rsid w:val="00991F93"/>
    <w:rPr>
      <w:sz w:val="24"/>
      <w:szCs w:val="24"/>
      <w:lang w:eastAsia="en-US"/>
    </w:rPr>
  </w:style>
  <w:style w:type="paragraph" w:customStyle="1" w:styleId="Normalfirst">
    <w:name w:val="Normal first"/>
    <w:basedOn w:val="a2"/>
    <w:uiPriority w:val="99"/>
    <w:rsid w:val="00991F93"/>
    <w:pPr>
      <w:spacing w:line="360" w:lineRule="auto"/>
      <w:jc w:val="both"/>
    </w:pPr>
    <w:rPr>
      <w:sz w:val="24"/>
      <w:szCs w:val="24"/>
    </w:rPr>
  </w:style>
  <w:style w:type="character" w:customStyle="1" w:styleId="linecount">
    <w:name w:val="linecount"/>
    <w:uiPriority w:val="99"/>
    <w:rsid w:val="00991F93"/>
  </w:style>
  <w:style w:type="character" w:customStyle="1" w:styleId="rubrum">
    <w:name w:val="rubrum"/>
    <w:uiPriority w:val="99"/>
    <w:rsid w:val="00991F93"/>
  </w:style>
  <w:style w:type="paragraph" w:customStyle="1" w:styleId="p21">
    <w:name w:val="p21"/>
    <w:basedOn w:val="a2"/>
    <w:uiPriority w:val="99"/>
    <w:rsid w:val="00991F93"/>
    <w:pPr>
      <w:spacing w:before="100" w:beforeAutospacing="1" w:after="100" w:afterAutospacing="1"/>
    </w:pPr>
    <w:rPr>
      <w:sz w:val="24"/>
      <w:szCs w:val="24"/>
    </w:rPr>
  </w:style>
  <w:style w:type="character" w:customStyle="1" w:styleId="s5">
    <w:name w:val="s5"/>
    <w:uiPriority w:val="99"/>
    <w:rsid w:val="00991F93"/>
  </w:style>
  <w:style w:type="character" w:customStyle="1" w:styleId="s18">
    <w:name w:val="s18"/>
    <w:uiPriority w:val="99"/>
    <w:rsid w:val="00991F93"/>
  </w:style>
  <w:style w:type="character" w:customStyle="1" w:styleId="a-size-large">
    <w:name w:val="a-size-large"/>
    <w:uiPriority w:val="99"/>
    <w:rsid w:val="00991F93"/>
  </w:style>
  <w:style w:type="character" w:customStyle="1" w:styleId="normaltextrunscx172383314">
    <w:name w:val="normaltextrun scx172383314"/>
    <w:uiPriority w:val="99"/>
    <w:rsid w:val="00991F93"/>
  </w:style>
  <w:style w:type="paragraph" w:customStyle="1" w:styleId="2fe">
    <w:name w:val="Абзац списка2"/>
    <w:basedOn w:val="a2"/>
    <w:uiPriority w:val="99"/>
    <w:rsid w:val="00991F93"/>
    <w:pPr>
      <w:spacing w:after="200" w:line="276" w:lineRule="auto"/>
      <w:ind w:left="720"/>
      <w:contextualSpacing/>
    </w:pPr>
    <w:rPr>
      <w:sz w:val="24"/>
      <w:szCs w:val="24"/>
      <w:lang w:eastAsia="en-US"/>
    </w:rPr>
  </w:style>
  <w:style w:type="character" w:customStyle="1" w:styleId="A30">
    <w:name w:val="A3"/>
    <w:uiPriority w:val="99"/>
    <w:rsid w:val="00BB1A3C"/>
    <w:rPr>
      <w:rFonts w:ascii="Calibri" w:hAnsi="Calibri"/>
      <w:sz w:val="22"/>
    </w:rPr>
  </w:style>
  <w:style w:type="paragraph" w:customStyle="1" w:styleId="1">
    <w:name w:val="Список литературы1"/>
    <w:basedOn w:val="a2"/>
    <w:uiPriority w:val="99"/>
    <w:rsid w:val="008F529B"/>
    <w:pPr>
      <w:numPr>
        <w:numId w:val="3"/>
      </w:numPr>
      <w:spacing w:before="60" w:after="60"/>
      <w:jc w:val="both"/>
    </w:pPr>
    <w:rPr>
      <w:rFonts w:ascii="Respect" w:hAnsi="Respect" w:cs="Respect"/>
      <w:sz w:val="24"/>
      <w:szCs w:val="24"/>
      <w:lang w:val="en-US"/>
    </w:rPr>
  </w:style>
  <w:style w:type="paragraph" w:styleId="3f5">
    <w:name w:val="List 3"/>
    <w:basedOn w:val="a2"/>
    <w:uiPriority w:val="99"/>
    <w:rsid w:val="008F529B"/>
    <w:pPr>
      <w:ind w:left="849" w:hanging="283"/>
    </w:pPr>
    <w:rPr>
      <w:sz w:val="24"/>
      <w:szCs w:val="24"/>
    </w:rPr>
  </w:style>
  <w:style w:type="paragraph" w:customStyle="1" w:styleId="Normal1">
    <w:name w:val="Normal1"/>
    <w:uiPriority w:val="99"/>
    <w:rsid w:val="008F529B"/>
    <w:pPr>
      <w:ind w:firstLine="720"/>
    </w:pPr>
  </w:style>
  <w:style w:type="character" w:customStyle="1" w:styleId="150">
    <w:name w:val="‚€‹”‘”‰”ђ 15_"/>
    <w:link w:val="151"/>
    <w:uiPriority w:val="99"/>
    <w:locked/>
    <w:rsid w:val="008F529B"/>
    <w:rPr>
      <w:b/>
      <w:shd w:val="clear" w:color="auto" w:fill="FFFFFF"/>
    </w:rPr>
  </w:style>
  <w:style w:type="paragraph" w:customStyle="1" w:styleId="151">
    <w:name w:val="‚€‹”‘”‰”ђ 15"/>
    <w:basedOn w:val="a2"/>
    <w:link w:val="150"/>
    <w:uiPriority w:val="99"/>
    <w:rsid w:val="008F529B"/>
    <w:pPr>
      <w:shd w:val="clear" w:color="auto" w:fill="FFFFFF"/>
      <w:spacing w:after="300" w:line="240" w:lineRule="atLeast"/>
      <w:outlineLvl w:val="4"/>
    </w:pPr>
    <w:rPr>
      <w:b/>
    </w:rPr>
  </w:style>
  <w:style w:type="character" w:customStyle="1" w:styleId="4c">
    <w:name w:val="л–’”‰’”Ћ Œ– (4)_"/>
    <w:link w:val="410"/>
    <w:uiPriority w:val="99"/>
    <w:locked/>
    <w:rsid w:val="008F529B"/>
    <w:rPr>
      <w:i/>
      <w:sz w:val="27"/>
      <w:shd w:val="clear" w:color="auto" w:fill="FFFFFF"/>
    </w:rPr>
  </w:style>
  <w:style w:type="paragraph" w:customStyle="1" w:styleId="410">
    <w:name w:val="л–’”‰’”Ћ Œ– (4)1"/>
    <w:basedOn w:val="a2"/>
    <w:link w:val="4c"/>
    <w:uiPriority w:val="99"/>
    <w:rsid w:val="008F529B"/>
    <w:pPr>
      <w:shd w:val="clear" w:color="auto" w:fill="FFFFFF"/>
      <w:spacing w:before="60" w:line="480" w:lineRule="exact"/>
      <w:jc w:val="both"/>
    </w:pPr>
    <w:rPr>
      <w:i/>
      <w:sz w:val="27"/>
    </w:rPr>
  </w:style>
  <w:style w:type="table" w:customStyle="1" w:styleId="103">
    <w:name w:val="Сетка таблицы10"/>
    <w:uiPriority w:val="99"/>
    <w:rsid w:val="008F529B"/>
    <w:rPr>
      <w:rFonts w:ascii="Cambria" w:eastAsia="MS ??" w:hAnsi="Cambria" w:cs="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b">
    <w:name w:val="Date"/>
    <w:basedOn w:val="a2"/>
    <w:next w:val="a2"/>
    <w:link w:val="affffffc"/>
    <w:uiPriority w:val="99"/>
    <w:rsid w:val="008F529B"/>
    <w:rPr>
      <w:sz w:val="24"/>
      <w:szCs w:val="24"/>
    </w:rPr>
  </w:style>
  <w:style w:type="character" w:customStyle="1" w:styleId="affffffc">
    <w:name w:val="Дата Знак"/>
    <w:link w:val="affffffb"/>
    <w:uiPriority w:val="99"/>
    <w:locked/>
    <w:rsid w:val="008F529B"/>
    <w:rPr>
      <w:rFonts w:cs="Times New Roman"/>
      <w:sz w:val="24"/>
    </w:rPr>
  </w:style>
  <w:style w:type="paragraph" w:customStyle="1" w:styleId="h1">
    <w:name w:val="h1"/>
    <w:basedOn w:val="a2"/>
    <w:uiPriority w:val="99"/>
    <w:rsid w:val="008F529B"/>
    <w:pPr>
      <w:spacing w:before="100" w:beforeAutospacing="1" w:after="100" w:afterAutospacing="1"/>
    </w:pPr>
    <w:rPr>
      <w:rFonts w:eastAsia="MS Mincho"/>
      <w:sz w:val="24"/>
      <w:szCs w:val="24"/>
      <w:lang w:eastAsia="ja-JP"/>
    </w:rPr>
  </w:style>
  <w:style w:type="paragraph" w:customStyle="1" w:styleId="p2">
    <w:name w:val="p2"/>
    <w:basedOn w:val="a2"/>
    <w:uiPriority w:val="99"/>
    <w:rsid w:val="008F529B"/>
    <w:pPr>
      <w:spacing w:before="100" w:beforeAutospacing="1" w:after="100" w:afterAutospacing="1"/>
    </w:pPr>
    <w:rPr>
      <w:rFonts w:eastAsia="MS Mincho"/>
      <w:sz w:val="24"/>
      <w:szCs w:val="24"/>
      <w:lang w:eastAsia="ja-JP"/>
    </w:rPr>
  </w:style>
  <w:style w:type="paragraph" w:customStyle="1" w:styleId="z1">
    <w:name w:val="z1"/>
    <w:basedOn w:val="a2"/>
    <w:uiPriority w:val="99"/>
    <w:rsid w:val="008F529B"/>
    <w:pPr>
      <w:spacing w:before="100" w:beforeAutospacing="1" w:after="100" w:afterAutospacing="1"/>
    </w:pPr>
    <w:rPr>
      <w:rFonts w:eastAsia="MS Mincho"/>
      <w:sz w:val="24"/>
      <w:szCs w:val="24"/>
      <w:lang w:eastAsia="ja-JP"/>
    </w:rPr>
  </w:style>
  <w:style w:type="character" w:customStyle="1" w:styleId="BodytextSpacing1pt">
    <w:name w:val="Body text + Spacing 1 pt"/>
    <w:uiPriority w:val="99"/>
    <w:rsid w:val="008F529B"/>
    <w:rPr>
      <w:rFonts w:ascii="Times New Roman" w:hAnsi="Times New Roman"/>
      <w:spacing w:val="20"/>
      <w:sz w:val="19"/>
    </w:rPr>
  </w:style>
  <w:style w:type="character" w:customStyle="1" w:styleId="blocktitle">
    <w:name w:val="blocktitle"/>
    <w:uiPriority w:val="99"/>
    <w:rsid w:val="008F529B"/>
  </w:style>
  <w:style w:type="paragraph" w:customStyle="1" w:styleId="first-child">
    <w:name w:val="first-child"/>
    <w:basedOn w:val="a2"/>
    <w:uiPriority w:val="99"/>
    <w:rsid w:val="008F529B"/>
    <w:pPr>
      <w:spacing w:before="100" w:beforeAutospacing="1" w:after="100" w:afterAutospacing="1"/>
    </w:pPr>
    <w:rPr>
      <w:rFonts w:eastAsia="MS Mincho"/>
      <w:sz w:val="24"/>
      <w:szCs w:val="24"/>
      <w:lang w:eastAsia="ja-JP"/>
    </w:rPr>
  </w:style>
  <w:style w:type="character" w:customStyle="1" w:styleId="doi">
    <w:name w:val="doi"/>
    <w:uiPriority w:val="99"/>
    <w:rsid w:val="008F529B"/>
  </w:style>
  <w:style w:type="paragraph" w:customStyle="1" w:styleId="affffffd">
    <w:name w:val="УДК"/>
    <w:basedOn w:val="a2"/>
    <w:uiPriority w:val="99"/>
    <w:rsid w:val="008F529B"/>
    <w:pPr>
      <w:overflowPunct w:val="0"/>
      <w:autoSpaceDE w:val="0"/>
      <w:autoSpaceDN w:val="0"/>
      <w:adjustRightInd w:val="0"/>
      <w:spacing w:after="120" w:line="260" w:lineRule="exact"/>
      <w:jc w:val="right"/>
      <w:textAlignment w:val="baseline"/>
    </w:pPr>
    <w:rPr>
      <w:rFonts w:ascii="MyslNarrowC" w:hAnsi="MyslNarrowC" w:cs="MyslNarrowC"/>
      <w:b/>
      <w:bCs/>
      <w:caps/>
    </w:rPr>
  </w:style>
  <w:style w:type="paragraph" w:customStyle="1" w:styleId="block30">
    <w:name w:val="block_30"/>
    <w:basedOn w:val="a2"/>
    <w:uiPriority w:val="99"/>
    <w:rsid w:val="008F529B"/>
    <w:pPr>
      <w:spacing w:before="100" w:beforeAutospacing="1" w:after="100" w:afterAutospacing="1"/>
    </w:pPr>
    <w:rPr>
      <w:rFonts w:eastAsia="MS Mincho"/>
      <w:sz w:val="24"/>
      <w:szCs w:val="24"/>
      <w:lang w:eastAsia="ja-JP"/>
    </w:rPr>
  </w:style>
  <w:style w:type="paragraph" w:customStyle="1" w:styleId="3f6">
    <w:name w:val="Абзац списка3"/>
    <w:basedOn w:val="a2"/>
    <w:uiPriority w:val="99"/>
    <w:rsid w:val="008F529B"/>
    <w:pPr>
      <w:ind w:left="720"/>
    </w:pPr>
    <w:rPr>
      <w:sz w:val="24"/>
      <w:szCs w:val="24"/>
    </w:rPr>
  </w:style>
  <w:style w:type="character" w:customStyle="1" w:styleId="hlfld-contribauthor">
    <w:name w:val="hlfld-contribauthor"/>
    <w:uiPriority w:val="99"/>
    <w:rsid w:val="008F529B"/>
  </w:style>
  <w:style w:type="character" w:customStyle="1" w:styleId="nlmsource">
    <w:name w:val="nlm_source"/>
    <w:uiPriority w:val="99"/>
    <w:rsid w:val="008F529B"/>
  </w:style>
  <w:style w:type="character" w:customStyle="1" w:styleId="1ff0">
    <w:name w:val="Подзаголовок1"/>
    <w:uiPriority w:val="99"/>
    <w:rsid w:val="008F529B"/>
  </w:style>
  <w:style w:type="character" w:customStyle="1" w:styleId="authornames">
    <w:name w:val="authornames"/>
    <w:uiPriority w:val="99"/>
    <w:rsid w:val="008F529B"/>
  </w:style>
  <w:style w:type="character" w:customStyle="1" w:styleId="spanplus">
    <w:name w:val="spanplus"/>
    <w:uiPriority w:val="99"/>
    <w:rsid w:val="008F529B"/>
  </w:style>
  <w:style w:type="paragraph" w:customStyle="1" w:styleId="para">
    <w:name w:val="para"/>
    <w:basedOn w:val="a2"/>
    <w:uiPriority w:val="99"/>
    <w:rsid w:val="008F529B"/>
    <w:pPr>
      <w:spacing w:before="100" w:beforeAutospacing="1" w:after="100" w:afterAutospacing="1"/>
    </w:pPr>
    <w:rPr>
      <w:rFonts w:eastAsia="MS Mincho"/>
      <w:sz w:val="24"/>
      <w:szCs w:val="24"/>
      <w:lang w:eastAsia="ja-JP"/>
    </w:rPr>
  </w:style>
  <w:style w:type="paragraph" w:customStyle="1" w:styleId="Pa1">
    <w:name w:val="Pa1"/>
    <w:basedOn w:val="Default"/>
    <w:next w:val="Default"/>
    <w:uiPriority w:val="99"/>
    <w:rsid w:val="008F529B"/>
    <w:pPr>
      <w:spacing w:line="141" w:lineRule="atLeast"/>
    </w:pPr>
    <w:rPr>
      <w:rFonts w:ascii="PragmaticaC" w:eastAsia="PragmaticaC" w:cs="PragmaticaC"/>
      <w:color w:val="auto"/>
      <w:lang w:eastAsia="ja-JP"/>
    </w:rPr>
  </w:style>
  <w:style w:type="character" w:customStyle="1" w:styleId="bkprnt1">
    <w:name w:val="bk_prnt1"/>
    <w:uiPriority w:val="99"/>
    <w:rsid w:val="008F529B"/>
    <w:rPr>
      <w:vanish/>
    </w:rPr>
  </w:style>
  <w:style w:type="character" w:customStyle="1" w:styleId="nowraprefpubmed">
    <w:name w:val="nowrap ref pubmed"/>
    <w:uiPriority w:val="99"/>
    <w:rsid w:val="008F529B"/>
  </w:style>
  <w:style w:type="character" w:customStyle="1" w:styleId="date34">
    <w:name w:val="date34"/>
    <w:uiPriority w:val="99"/>
    <w:rsid w:val="008F529B"/>
    <w:rPr>
      <w:rFonts w:ascii="Arial" w:hAnsi="Arial"/>
      <w:caps/>
      <w:color w:val="auto"/>
      <w:sz w:val="17"/>
      <w:u w:val="none"/>
      <w:effect w:val="none"/>
    </w:rPr>
  </w:style>
  <w:style w:type="character" w:customStyle="1" w:styleId="doi1">
    <w:name w:val="doi1"/>
    <w:uiPriority w:val="99"/>
    <w:rsid w:val="008F529B"/>
  </w:style>
  <w:style w:type="character" w:customStyle="1" w:styleId="highwire-cite-article-as">
    <w:name w:val="highwire-cite-article-as"/>
    <w:uiPriority w:val="99"/>
    <w:rsid w:val="008F529B"/>
  </w:style>
  <w:style w:type="character" w:customStyle="1" w:styleId="italic">
    <w:name w:val="italic"/>
    <w:uiPriority w:val="99"/>
    <w:rsid w:val="008F529B"/>
  </w:style>
  <w:style w:type="character" w:customStyle="1" w:styleId="cit-title">
    <w:name w:val="cit-title"/>
    <w:uiPriority w:val="99"/>
    <w:rsid w:val="008F529B"/>
  </w:style>
  <w:style w:type="character" w:customStyle="1" w:styleId="cit-print-date">
    <w:name w:val="cit-print-date"/>
    <w:uiPriority w:val="99"/>
    <w:rsid w:val="008F529B"/>
  </w:style>
  <w:style w:type="character" w:customStyle="1" w:styleId="cit-vol">
    <w:name w:val="cit-vol"/>
    <w:uiPriority w:val="99"/>
    <w:rsid w:val="008F529B"/>
  </w:style>
  <w:style w:type="character" w:customStyle="1" w:styleId="cit-sepcit-sep-after-article-vol">
    <w:name w:val="cit-sep cit-sep-after-article-vol"/>
    <w:uiPriority w:val="99"/>
    <w:rsid w:val="008F529B"/>
  </w:style>
  <w:style w:type="character" w:customStyle="1" w:styleId="cit-first-page">
    <w:name w:val="cit-first-page"/>
    <w:uiPriority w:val="99"/>
    <w:rsid w:val="008F529B"/>
  </w:style>
  <w:style w:type="character" w:customStyle="1" w:styleId="cit-sep">
    <w:name w:val="cit-sep"/>
    <w:uiPriority w:val="99"/>
    <w:rsid w:val="008F529B"/>
  </w:style>
  <w:style w:type="character" w:customStyle="1" w:styleId="cit-last-page">
    <w:name w:val="cit-last-page"/>
    <w:uiPriority w:val="99"/>
    <w:rsid w:val="008F529B"/>
  </w:style>
  <w:style w:type="character" w:customStyle="1" w:styleId="cit-sepcit-sep-after-article-pages">
    <w:name w:val="cit-sep cit-sep-after-article-pages"/>
    <w:uiPriority w:val="99"/>
    <w:rsid w:val="008F529B"/>
  </w:style>
  <w:style w:type="paragraph" w:customStyle="1" w:styleId="details">
    <w:name w:val="details"/>
    <w:basedOn w:val="a2"/>
    <w:uiPriority w:val="99"/>
    <w:rsid w:val="008F529B"/>
    <w:pPr>
      <w:spacing w:before="100" w:beforeAutospacing="1" w:after="100" w:afterAutospacing="1"/>
    </w:pPr>
    <w:rPr>
      <w:rFonts w:eastAsia="MS Mincho"/>
      <w:sz w:val="24"/>
      <w:szCs w:val="24"/>
      <w:lang w:eastAsia="ja-JP"/>
    </w:rPr>
  </w:style>
  <w:style w:type="paragraph" w:customStyle="1" w:styleId="center">
    <w:name w:val="center"/>
    <w:basedOn w:val="a2"/>
    <w:uiPriority w:val="99"/>
    <w:rsid w:val="008F529B"/>
    <w:pPr>
      <w:spacing w:before="100" w:beforeAutospacing="1" w:after="100" w:afterAutospacing="1"/>
      <w:jc w:val="center"/>
    </w:pPr>
    <w:rPr>
      <w:rFonts w:eastAsia="MS Mincho"/>
      <w:sz w:val="24"/>
      <w:szCs w:val="24"/>
      <w:lang w:eastAsia="ja-JP"/>
    </w:rPr>
  </w:style>
  <w:style w:type="paragraph" w:customStyle="1" w:styleId="docfieldheader">
    <w:name w:val="doc_field_header"/>
    <w:basedOn w:val="a2"/>
    <w:uiPriority w:val="99"/>
    <w:rsid w:val="008F529B"/>
    <w:pPr>
      <w:spacing w:before="100" w:beforeAutospacing="1" w:after="100" w:afterAutospacing="1"/>
    </w:pPr>
    <w:rPr>
      <w:rFonts w:ascii="Arial" w:eastAsia="MS Mincho" w:hAnsi="Arial" w:cs="Arial"/>
      <w:b/>
      <w:bCs/>
      <w:sz w:val="19"/>
      <w:szCs w:val="19"/>
      <w:lang w:eastAsia="ja-JP"/>
    </w:rPr>
  </w:style>
  <w:style w:type="character" w:customStyle="1" w:styleId="docfieldheader1">
    <w:name w:val="doc_field_header1"/>
    <w:uiPriority w:val="99"/>
    <w:rsid w:val="008F529B"/>
    <w:rPr>
      <w:rFonts w:ascii="Arial" w:hAnsi="Arial"/>
      <w:b/>
      <w:sz w:val="19"/>
    </w:rPr>
  </w:style>
  <w:style w:type="paragraph" w:customStyle="1" w:styleId="a0">
    <w:name w:val="Список черточки"/>
    <w:basedOn w:val="af6"/>
    <w:autoRedefine/>
    <w:uiPriority w:val="99"/>
    <w:rsid w:val="008F529B"/>
    <w:pPr>
      <w:numPr>
        <w:ilvl w:val="1"/>
        <w:numId w:val="4"/>
      </w:numPr>
      <w:spacing w:line="360" w:lineRule="auto"/>
      <w:jc w:val="left"/>
    </w:pPr>
  </w:style>
  <w:style w:type="character" w:customStyle="1" w:styleId="w">
    <w:name w:val="w"/>
    <w:uiPriority w:val="99"/>
    <w:rsid w:val="00A60D82"/>
    <w:rPr>
      <w:rFonts w:cs="Times New Roman"/>
    </w:rPr>
  </w:style>
  <w:style w:type="paragraph" w:customStyle="1" w:styleId="msonormalcxspmiddle">
    <w:name w:val="msonormalcxspmiddle"/>
    <w:basedOn w:val="a2"/>
    <w:uiPriority w:val="99"/>
    <w:rsid w:val="00A60D82"/>
    <w:pPr>
      <w:spacing w:before="100" w:beforeAutospacing="1" w:after="100" w:afterAutospacing="1"/>
    </w:pPr>
    <w:rPr>
      <w:sz w:val="24"/>
      <w:szCs w:val="24"/>
      <w:lang w:eastAsia="zh-CN"/>
    </w:rPr>
  </w:style>
  <w:style w:type="paragraph" w:customStyle="1" w:styleId="msofootnotetextcxspmiddle">
    <w:name w:val="msofootnotetextcxspmiddle"/>
    <w:basedOn w:val="a2"/>
    <w:uiPriority w:val="99"/>
    <w:rsid w:val="00A60D82"/>
    <w:pPr>
      <w:spacing w:before="100" w:beforeAutospacing="1" w:after="100" w:afterAutospacing="1"/>
    </w:pPr>
    <w:rPr>
      <w:sz w:val="24"/>
      <w:szCs w:val="24"/>
      <w:lang w:eastAsia="zh-CN"/>
    </w:rPr>
  </w:style>
  <w:style w:type="paragraph" w:customStyle="1" w:styleId="msofootnotetextcxsplast">
    <w:name w:val="msofootnotetextcxsplast"/>
    <w:basedOn w:val="a2"/>
    <w:uiPriority w:val="99"/>
    <w:rsid w:val="00A60D82"/>
    <w:pPr>
      <w:spacing w:before="100" w:beforeAutospacing="1" w:after="100" w:afterAutospacing="1"/>
    </w:pPr>
    <w:rPr>
      <w:sz w:val="24"/>
      <w:szCs w:val="24"/>
      <w:lang w:eastAsia="zh-CN"/>
    </w:rPr>
  </w:style>
  <w:style w:type="paragraph" w:customStyle="1" w:styleId="msonormalcxsplast">
    <w:name w:val="msonormalcxsplast"/>
    <w:basedOn w:val="a2"/>
    <w:uiPriority w:val="99"/>
    <w:rsid w:val="00A60D82"/>
    <w:pPr>
      <w:spacing w:before="100" w:beforeAutospacing="1" w:after="100" w:afterAutospacing="1"/>
    </w:pPr>
    <w:rPr>
      <w:sz w:val="24"/>
      <w:szCs w:val="24"/>
      <w:lang w:eastAsia="zh-CN"/>
    </w:rPr>
  </w:style>
  <w:style w:type="paragraph" w:customStyle="1" w:styleId="msolistparagraph0">
    <w:name w:val="msolistparagraph"/>
    <w:basedOn w:val="a2"/>
    <w:uiPriority w:val="99"/>
    <w:rsid w:val="00A60D82"/>
    <w:pPr>
      <w:spacing w:after="200" w:line="276" w:lineRule="auto"/>
      <w:ind w:left="720"/>
      <w:contextualSpacing/>
    </w:pPr>
    <w:rPr>
      <w:rFonts w:ascii="Calibri" w:hAnsi="Calibri"/>
      <w:sz w:val="22"/>
      <w:szCs w:val="22"/>
      <w:lang w:eastAsia="en-US"/>
    </w:rPr>
  </w:style>
  <w:style w:type="character" w:customStyle="1" w:styleId="bt1b">
    <w:name w:val="bt1b"/>
    <w:uiPriority w:val="99"/>
    <w:rsid w:val="00A60D82"/>
    <w:rPr>
      <w:rFonts w:cs="Times New Roman"/>
    </w:rPr>
  </w:style>
  <w:style w:type="character" w:customStyle="1" w:styleId="nobr">
    <w:name w:val="nobr"/>
    <w:uiPriority w:val="99"/>
    <w:rsid w:val="00A60D82"/>
    <w:rPr>
      <w:rFonts w:cs="Times New Roman"/>
    </w:rPr>
  </w:style>
  <w:style w:type="paragraph" w:customStyle="1" w:styleId="cmnt">
    <w:name w:val="cmnt"/>
    <w:basedOn w:val="a2"/>
    <w:uiPriority w:val="99"/>
    <w:rsid w:val="00A60D82"/>
    <w:pPr>
      <w:spacing w:before="100" w:beforeAutospacing="1" w:after="100" w:afterAutospacing="1"/>
    </w:pPr>
    <w:rPr>
      <w:sz w:val="24"/>
      <w:szCs w:val="24"/>
    </w:rPr>
  </w:style>
  <w:style w:type="paragraph" w:customStyle="1" w:styleId="affffffe">
    <w:name w:val="текст"/>
    <w:basedOn w:val="a2"/>
    <w:uiPriority w:val="99"/>
    <w:rsid w:val="00A60D82"/>
    <w:pPr>
      <w:spacing w:before="100" w:beforeAutospacing="1" w:after="100" w:afterAutospacing="1"/>
    </w:pPr>
    <w:rPr>
      <w:sz w:val="24"/>
      <w:szCs w:val="24"/>
    </w:rPr>
  </w:style>
  <w:style w:type="character" w:customStyle="1" w:styleId="afffffff">
    <w:name w:val="Символ сноски"/>
    <w:uiPriority w:val="99"/>
    <w:rsid w:val="00A60D82"/>
    <w:rPr>
      <w:vertAlign w:val="superscript"/>
    </w:rPr>
  </w:style>
  <w:style w:type="character" w:customStyle="1" w:styleId="116">
    <w:name w:val="Знак сноски11"/>
    <w:uiPriority w:val="99"/>
    <w:rsid w:val="00A60D82"/>
    <w:rPr>
      <w:vertAlign w:val="superscript"/>
    </w:rPr>
  </w:style>
  <w:style w:type="paragraph" w:customStyle="1" w:styleId="afffffff0">
    <w:name w:val="......."/>
    <w:basedOn w:val="a2"/>
    <w:next w:val="a2"/>
    <w:uiPriority w:val="99"/>
    <w:rsid w:val="00A60D82"/>
    <w:pPr>
      <w:autoSpaceDE w:val="0"/>
      <w:autoSpaceDN w:val="0"/>
      <w:adjustRightInd w:val="0"/>
    </w:pPr>
    <w:rPr>
      <w:sz w:val="24"/>
      <w:szCs w:val="24"/>
    </w:rPr>
  </w:style>
  <w:style w:type="table" w:customStyle="1" w:styleId="117">
    <w:name w:val="Сетка таблицы11"/>
    <w:uiPriority w:val="99"/>
    <w:rsid w:val="00A60D82"/>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1">
    <w:name w:val="Сноска + Курсив"/>
    <w:uiPriority w:val="99"/>
    <w:rsid w:val="00F80E64"/>
    <w:rPr>
      <w:rFonts w:ascii="Times New Roman" w:hAnsi="Times New Roman"/>
      <w:b/>
      <w:i/>
      <w:color w:val="000000"/>
      <w:spacing w:val="0"/>
      <w:w w:val="100"/>
      <w:position w:val="0"/>
      <w:sz w:val="18"/>
      <w:u w:val="none"/>
      <w:shd w:val="clear" w:color="auto" w:fill="FFFFFF"/>
      <w:lang w:val="ru-RU" w:eastAsia="ru-RU"/>
    </w:rPr>
  </w:style>
  <w:style w:type="character" w:customStyle="1" w:styleId="10pt">
    <w:name w:val="Сноска + 10 pt"/>
    <w:aliases w:val="Не полужирный7"/>
    <w:uiPriority w:val="99"/>
    <w:rsid w:val="00F80E64"/>
    <w:rPr>
      <w:rFonts w:ascii="Times New Roman" w:hAnsi="Times New Roman"/>
      <w:b/>
      <w:color w:val="000000"/>
      <w:spacing w:val="0"/>
      <w:w w:val="100"/>
      <w:position w:val="0"/>
      <w:sz w:val="20"/>
      <w:u w:val="none"/>
      <w:shd w:val="clear" w:color="auto" w:fill="FFFFFF"/>
      <w:lang w:val="ru-RU" w:eastAsia="ru-RU"/>
    </w:rPr>
  </w:style>
  <w:style w:type="character" w:customStyle="1" w:styleId="3f7">
    <w:name w:val="Основной текст (3) + Курсив"/>
    <w:uiPriority w:val="99"/>
    <w:rsid w:val="00F80E64"/>
    <w:rPr>
      <w:rFonts w:ascii="Times New Roman" w:hAnsi="Times New Roman"/>
      <w:b/>
      <w:i/>
      <w:color w:val="000000"/>
      <w:spacing w:val="0"/>
      <w:w w:val="100"/>
      <w:position w:val="0"/>
      <w:sz w:val="18"/>
      <w:u w:val="none"/>
      <w:lang w:val="ru-RU" w:eastAsia="ru-RU"/>
    </w:rPr>
  </w:style>
  <w:style w:type="character" w:customStyle="1" w:styleId="1ff1">
    <w:name w:val="Заголовок №1 + Малые прописные"/>
    <w:uiPriority w:val="99"/>
    <w:rsid w:val="00F80E64"/>
    <w:rPr>
      <w:rFonts w:ascii="Constantia" w:hAnsi="Constantia"/>
      <w:b/>
      <w:smallCaps/>
      <w:color w:val="000000"/>
      <w:spacing w:val="-20"/>
      <w:w w:val="100"/>
      <w:position w:val="0"/>
      <w:sz w:val="62"/>
      <w:u w:val="none"/>
      <w:shd w:val="clear" w:color="auto" w:fill="FFFFFF"/>
      <w:lang w:val="ru-RU" w:eastAsia="ru-RU"/>
    </w:rPr>
  </w:style>
  <w:style w:type="character" w:customStyle="1" w:styleId="210pt1">
    <w:name w:val="Основной текст (2) + 10 pt1"/>
    <w:aliases w:val="Малые прописные9"/>
    <w:uiPriority w:val="99"/>
    <w:rsid w:val="00F80E64"/>
    <w:rPr>
      <w:rFonts w:ascii="Times New Roman" w:hAnsi="Times New Roman"/>
      <w:smallCaps/>
      <w:color w:val="000000"/>
      <w:spacing w:val="0"/>
      <w:w w:val="100"/>
      <w:position w:val="0"/>
      <w:sz w:val="20"/>
      <w:u w:val="none"/>
      <w:shd w:val="clear" w:color="auto" w:fill="FFFFFF"/>
      <w:lang w:val="ru-RU" w:eastAsia="ru-RU"/>
    </w:rPr>
  </w:style>
  <w:style w:type="character" w:customStyle="1" w:styleId="371">
    <w:name w:val="Основной текст (3) + 7"/>
    <w:aliases w:val="5 pt18"/>
    <w:uiPriority w:val="99"/>
    <w:rsid w:val="00F80E64"/>
    <w:rPr>
      <w:rFonts w:ascii="Times New Roman" w:hAnsi="Times New Roman"/>
      <w:b/>
      <w:color w:val="000000"/>
      <w:spacing w:val="0"/>
      <w:w w:val="100"/>
      <w:position w:val="0"/>
      <w:sz w:val="15"/>
      <w:u w:val="none"/>
      <w:lang w:val="ru-RU" w:eastAsia="ru-RU"/>
    </w:rPr>
  </w:style>
  <w:style w:type="character" w:customStyle="1" w:styleId="2102">
    <w:name w:val="Основной текст (2) + 102"/>
    <w:aliases w:val="5 pt17,Полужирный9,Курсив4"/>
    <w:uiPriority w:val="99"/>
    <w:rsid w:val="00F80E64"/>
    <w:rPr>
      <w:rFonts w:ascii="Times New Roman" w:hAnsi="Times New Roman"/>
      <w:b/>
      <w:i/>
      <w:color w:val="000000"/>
      <w:spacing w:val="0"/>
      <w:w w:val="100"/>
      <w:position w:val="0"/>
      <w:sz w:val="21"/>
      <w:u w:val="none"/>
      <w:shd w:val="clear" w:color="auto" w:fill="FFFFFF"/>
      <w:lang w:val="ru-RU" w:eastAsia="ru-RU"/>
    </w:rPr>
  </w:style>
  <w:style w:type="character" w:customStyle="1" w:styleId="2101">
    <w:name w:val="Основной текст (2) + 101"/>
    <w:aliases w:val="5 pt16"/>
    <w:uiPriority w:val="99"/>
    <w:rsid w:val="00F80E64"/>
    <w:rPr>
      <w:rFonts w:ascii="Times New Roman" w:hAnsi="Times New Roman"/>
      <w:color w:val="000000"/>
      <w:spacing w:val="0"/>
      <w:w w:val="100"/>
      <w:position w:val="0"/>
      <w:sz w:val="21"/>
      <w:u w:val="none"/>
      <w:shd w:val="clear" w:color="auto" w:fill="FFFFFF"/>
      <w:lang w:val="ru-RU" w:eastAsia="ru-RU"/>
    </w:rPr>
  </w:style>
  <w:style w:type="character" w:customStyle="1" w:styleId="29pt">
    <w:name w:val="Основной текст (2) + 9 pt"/>
    <w:aliases w:val="Полужирный8"/>
    <w:uiPriority w:val="99"/>
    <w:rsid w:val="00F80E64"/>
    <w:rPr>
      <w:rFonts w:ascii="Times New Roman" w:hAnsi="Times New Roman"/>
      <w:b/>
      <w:color w:val="000000"/>
      <w:spacing w:val="0"/>
      <w:w w:val="100"/>
      <w:position w:val="0"/>
      <w:sz w:val="18"/>
      <w:u w:val="none"/>
      <w:shd w:val="clear" w:color="auto" w:fill="FFFFFF"/>
      <w:lang w:val="ru-RU" w:eastAsia="ru-RU"/>
    </w:rPr>
  </w:style>
  <w:style w:type="character" w:customStyle="1" w:styleId="29pt2">
    <w:name w:val="Основной текст (2) + 9 pt2"/>
    <w:aliases w:val="Полужирный7,Курсив3"/>
    <w:uiPriority w:val="99"/>
    <w:rsid w:val="00F80E64"/>
    <w:rPr>
      <w:rFonts w:ascii="Times New Roman" w:hAnsi="Times New Roman"/>
      <w:b/>
      <w:i/>
      <w:color w:val="000000"/>
      <w:spacing w:val="0"/>
      <w:w w:val="100"/>
      <w:position w:val="0"/>
      <w:sz w:val="18"/>
      <w:u w:val="none"/>
      <w:shd w:val="clear" w:color="auto" w:fill="FFFFFF"/>
      <w:lang w:val="en-US" w:eastAsia="en-US"/>
    </w:rPr>
  </w:style>
  <w:style w:type="character" w:customStyle="1" w:styleId="38pt">
    <w:name w:val="Основной текст (3) + 8 pt"/>
    <w:aliases w:val="Не полужирный6,Малые прописные8"/>
    <w:uiPriority w:val="99"/>
    <w:rsid w:val="00F80E64"/>
    <w:rPr>
      <w:rFonts w:ascii="Times New Roman" w:hAnsi="Times New Roman"/>
      <w:b/>
      <w:smallCaps/>
      <w:color w:val="000000"/>
      <w:spacing w:val="0"/>
      <w:w w:val="100"/>
      <w:position w:val="0"/>
      <w:sz w:val="16"/>
      <w:u w:val="single"/>
      <w:lang w:val="ru-RU" w:eastAsia="ru-RU"/>
    </w:rPr>
  </w:style>
  <w:style w:type="character" w:customStyle="1" w:styleId="29pt1">
    <w:name w:val="Основной текст (2) + 9 pt1"/>
    <w:aliases w:val="Полужирный6,Малые прописные7"/>
    <w:uiPriority w:val="99"/>
    <w:rsid w:val="00F80E64"/>
    <w:rPr>
      <w:rFonts w:ascii="Times New Roman" w:hAnsi="Times New Roman"/>
      <w:b/>
      <w:smallCaps/>
      <w:color w:val="000000"/>
      <w:spacing w:val="0"/>
      <w:w w:val="100"/>
      <w:position w:val="0"/>
      <w:sz w:val="18"/>
      <w:u w:val="none"/>
      <w:shd w:val="clear" w:color="auto" w:fill="FFFFFF"/>
      <w:lang w:val="ru-RU" w:eastAsia="ru-RU"/>
    </w:rPr>
  </w:style>
  <w:style w:type="character" w:customStyle="1" w:styleId="86">
    <w:name w:val="Основной текст (8) + Не курсив"/>
    <w:uiPriority w:val="99"/>
    <w:rsid w:val="00F80E64"/>
    <w:rPr>
      <w:rFonts w:ascii="Times New Roman" w:hAnsi="Times New Roman"/>
      <w:b/>
      <w:i/>
      <w:color w:val="000000"/>
      <w:spacing w:val="0"/>
      <w:w w:val="100"/>
      <w:position w:val="0"/>
      <w:sz w:val="18"/>
      <w:u w:val="none"/>
      <w:shd w:val="clear" w:color="auto" w:fill="FFFFFF"/>
      <w:lang w:val="ru-RU" w:eastAsia="ru-RU"/>
    </w:rPr>
  </w:style>
  <w:style w:type="character" w:customStyle="1" w:styleId="87">
    <w:name w:val="Основной текст (8) + Не полужирный"/>
    <w:aliases w:val="Не курсив4"/>
    <w:uiPriority w:val="99"/>
    <w:rsid w:val="00F80E64"/>
    <w:rPr>
      <w:rFonts w:ascii="Times New Roman" w:hAnsi="Times New Roman"/>
      <w:b/>
      <w:i/>
      <w:color w:val="000000"/>
      <w:spacing w:val="0"/>
      <w:w w:val="100"/>
      <w:position w:val="0"/>
      <w:sz w:val="18"/>
      <w:u w:val="none"/>
      <w:shd w:val="clear" w:color="auto" w:fill="FFFFFF"/>
      <w:lang w:val="ru-RU" w:eastAsia="ru-RU"/>
    </w:rPr>
  </w:style>
  <w:style w:type="character" w:customStyle="1" w:styleId="119">
    <w:name w:val="Заголовок №1 + Малые прописные1"/>
    <w:aliases w:val="Интервал 0 pt"/>
    <w:uiPriority w:val="99"/>
    <w:rsid w:val="00F80E64"/>
    <w:rPr>
      <w:rFonts w:ascii="Constantia" w:hAnsi="Constantia"/>
      <w:b/>
      <w:smallCaps/>
      <w:color w:val="000000"/>
      <w:spacing w:val="-10"/>
      <w:w w:val="100"/>
      <w:position w:val="0"/>
      <w:sz w:val="62"/>
      <w:u w:val="none"/>
      <w:shd w:val="clear" w:color="auto" w:fill="FFFFFF"/>
      <w:lang w:val="ru-RU" w:eastAsia="ru-RU"/>
    </w:rPr>
  </w:style>
  <w:style w:type="character" w:customStyle="1" w:styleId="11a">
    <w:name w:val="Основной текст (11) + Не курсив"/>
    <w:uiPriority w:val="99"/>
    <w:rsid w:val="00F80E64"/>
    <w:rPr>
      <w:rFonts w:ascii="Times New Roman" w:hAnsi="Times New Roman"/>
      <w:i/>
      <w:color w:val="000000"/>
      <w:spacing w:val="0"/>
      <w:w w:val="100"/>
      <w:position w:val="0"/>
      <w:sz w:val="22"/>
      <w:u w:val="none"/>
      <w:shd w:val="clear" w:color="auto" w:fill="FFFFFF"/>
      <w:lang w:val="ru-RU" w:eastAsia="ru-RU"/>
    </w:rPr>
  </w:style>
  <w:style w:type="character" w:customStyle="1" w:styleId="2Impact">
    <w:name w:val="Основной текст (2) + Impact"/>
    <w:aliases w:val="8,5 pt15"/>
    <w:uiPriority w:val="99"/>
    <w:rsid w:val="00F80E64"/>
    <w:rPr>
      <w:rFonts w:ascii="Impact" w:hAnsi="Impact"/>
      <w:color w:val="000000"/>
      <w:spacing w:val="0"/>
      <w:w w:val="100"/>
      <w:position w:val="0"/>
      <w:sz w:val="17"/>
      <w:u w:val="none"/>
      <w:shd w:val="clear" w:color="auto" w:fill="FFFFFF"/>
      <w:lang w:val="ru-RU" w:eastAsia="ru-RU"/>
    </w:rPr>
  </w:style>
  <w:style w:type="character" w:customStyle="1" w:styleId="390">
    <w:name w:val="Основной текст (3) + 9"/>
    <w:aliases w:val="5 pt14,Курсив2"/>
    <w:uiPriority w:val="99"/>
    <w:rsid w:val="00F80E64"/>
    <w:rPr>
      <w:rFonts w:ascii="Times New Roman" w:hAnsi="Times New Roman"/>
      <w:b/>
      <w:i/>
      <w:color w:val="000000"/>
      <w:spacing w:val="0"/>
      <w:w w:val="100"/>
      <w:position w:val="0"/>
      <w:sz w:val="19"/>
      <w:u w:val="none"/>
      <w:lang w:val="ru-RU" w:eastAsia="ru-RU"/>
    </w:rPr>
  </w:style>
  <w:style w:type="character" w:customStyle="1" w:styleId="392">
    <w:name w:val="Основной текст (3) + 92"/>
    <w:aliases w:val="5 pt13,Курсив1,Интервал 1 pt2"/>
    <w:uiPriority w:val="99"/>
    <w:rsid w:val="00F80E64"/>
    <w:rPr>
      <w:rFonts w:ascii="Times New Roman" w:hAnsi="Times New Roman"/>
      <w:b/>
      <w:i/>
      <w:color w:val="000000"/>
      <w:spacing w:val="20"/>
      <w:w w:val="100"/>
      <w:position w:val="0"/>
      <w:sz w:val="19"/>
      <w:u w:val="none"/>
      <w:lang w:val="ru-RU" w:eastAsia="ru-RU"/>
    </w:rPr>
  </w:style>
  <w:style w:type="character" w:customStyle="1" w:styleId="310pt">
    <w:name w:val="Основной текст (3) + 10 pt"/>
    <w:aliases w:val="Не полужирный5"/>
    <w:uiPriority w:val="99"/>
    <w:rsid w:val="00F80E64"/>
    <w:rPr>
      <w:rFonts w:ascii="Times New Roman" w:hAnsi="Times New Roman"/>
      <w:b/>
      <w:color w:val="000000"/>
      <w:spacing w:val="0"/>
      <w:w w:val="100"/>
      <w:position w:val="0"/>
      <w:sz w:val="20"/>
      <w:u w:val="none"/>
      <w:lang w:val="ru-RU" w:eastAsia="ru-RU"/>
    </w:rPr>
  </w:style>
  <w:style w:type="character" w:customStyle="1" w:styleId="137pt">
    <w:name w:val="Основной текст (13) + 7 pt"/>
    <w:aliases w:val="Полужирный5"/>
    <w:uiPriority w:val="99"/>
    <w:rsid w:val="00F80E64"/>
    <w:rPr>
      <w:rFonts w:ascii="Times New Roman" w:hAnsi="Times New Roman"/>
      <w:b/>
      <w:color w:val="000000"/>
      <w:spacing w:val="0"/>
      <w:w w:val="100"/>
      <w:position w:val="0"/>
      <w:sz w:val="14"/>
      <w:u w:val="none"/>
      <w:shd w:val="clear" w:color="auto" w:fill="FFFFFF"/>
      <w:lang w:val="ru-RU" w:eastAsia="ru-RU"/>
    </w:rPr>
  </w:style>
  <w:style w:type="character" w:customStyle="1" w:styleId="2ff">
    <w:name w:val="Основной текст (2) + Малые прописные"/>
    <w:uiPriority w:val="99"/>
    <w:rsid w:val="00F80E64"/>
    <w:rPr>
      <w:rFonts w:ascii="Times New Roman" w:hAnsi="Times New Roman"/>
      <w:smallCaps/>
      <w:color w:val="000000"/>
      <w:spacing w:val="0"/>
      <w:w w:val="100"/>
      <w:position w:val="0"/>
      <w:sz w:val="22"/>
      <w:u w:val="none"/>
      <w:shd w:val="clear" w:color="auto" w:fill="FFFFFF"/>
      <w:lang w:val="ru-RU" w:eastAsia="ru-RU"/>
    </w:rPr>
  </w:style>
  <w:style w:type="character" w:customStyle="1" w:styleId="38pt2">
    <w:name w:val="Основной текст (3) + 8 pt2"/>
    <w:aliases w:val="Не полужирный4,Малые прописные6,Интервал 0 pt8"/>
    <w:uiPriority w:val="99"/>
    <w:rsid w:val="00F80E64"/>
    <w:rPr>
      <w:rFonts w:ascii="Times New Roman" w:hAnsi="Times New Roman"/>
      <w:b/>
      <w:smallCaps/>
      <w:color w:val="000000"/>
      <w:spacing w:val="-10"/>
      <w:w w:val="100"/>
      <w:position w:val="0"/>
      <w:sz w:val="16"/>
      <w:u w:val="none"/>
      <w:lang w:val="en-US" w:eastAsia="en-US"/>
    </w:rPr>
  </w:style>
  <w:style w:type="character" w:customStyle="1" w:styleId="59">
    <w:name w:val="Основной текст (5) + Курсив"/>
    <w:uiPriority w:val="99"/>
    <w:rsid w:val="00F80E64"/>
    <w:rPr>
      <w:rFonts w:ascii="Constantia" w:hAnsi="Constantia"/>
      <w:i/>
      <w:color w:val="000000"/>
      <w:spacing w:val="0"/>
      <w:w w:val="100"/>
      <w:position w:val="0"/>
      <w:sz w:val="15"/>
      <w:u w:val="none"/>
      <w:shd w:val="clear" w:color="auto" w:fill="FFFFFF"/>
      <w:lang w:val="ru-RU" w:eastAsia="ru-RU"/>
    </w:rPr>
  </w:style>
  <w:style w:type="character" w:customStyle="1" w:styleId="38pt1">
    <w:name w:val="Основной текст (3) + 8 pt1"/>
    <w:uiPriority w:val="99"/>
    <w:rsid w:val="00F80E64"/>
    <w:rPr>
      <w:rFonts w:ascii="Times New Roman" w:hAnsi="Times New Roman"/>
      <w:b/>
      <w:color w:val="000000"/>
      <w:spacing w:val="0"/>
      <w:w w:val="100"/>
      <w:position w:val="0"/>
      <w:sz w:val="16"/>
      <w:u w:val="single"/>
      <w:lang w:val="ru-RU" w:eastAsia="ru-RU"/>
    </w:rPr>
  </w:style>
  <w:style w:type="character" w:customStyle="1" w:styleId="80pt">
    <w:name w:val="Основной текст (8) + Интервал 0 pt"/>
    <w:uiPriority w:val="99"/>
    <w:rsid w:val="00F80E64"/>
    <w:rPr>
      <w:rFonts w:ascii="Times New Roman" w:hAnsi="Times New Roman"/>
      <w:b/>
      <w:i/>
      <w:color w:val="000000"/>
      <w:spacing w:val="10"/>
      <w:w w:val="100"/>
      <w:position w:val="0"/>
      <w:sz w:val="18"/>
      <w:u w:val="none"/>
      <w:shd w:val="clear" w:color="auto" w:fill="FFFFFF"/>
      <w:lang w:val="en-US" w:eastAsia="en-US"/>
    </w:rPr>
  </w:style>
  <w:style w:type="character" w:customStyle="1" w:styleId="140">
    <w:name w:val="Основной текст (14)_"/>
    <w:uiPriority w:val="99"/>
    <w:rsid w:val="00F80E64"/>
    <w:rPr>
      <w:rFonts w:ascii="Times New Roman" w:hAnsi="Times New Roman"/>
      <w:b/>
      <w:i/>
      <w:sz w:val="18"/>
      <w:u w:val="none"/>
    </w:rPr>
  </w:style>
  <w:style w:type="character" w:customStyle="1" w:styleId="141">
    <w:name w:val="Основной текст (14)"/>
    <w:uiPriority w:val="99"/>
    <w:rsid w:val="00F80E64"/>
    <w:rPr>
      <w:rFonts w:ascii="Times New Roman" w:hAnsi="Times New Roman"/>
      <w:b/>
      <w:i/>
      <w:color w:val="000000"/>
      <w:spacing w:val="0"/>
      <w:w w:val="100"/>
      <w:position w:val="0"/>
      <w:sz w:val="18"/>
      <w:u w:val="none"/>
      <w:lang w:val="ru-RU" w:eastAsia="ru-RU"/>
    </w:rPr>
  </w:style>
  <w:style w:type="character" w:customStyle="1" w:styleId="142">
    <w:name w:val="Основной текст (14) + Не курсив"/>
    <w:uiPriority w:val="99"/>
    <w:rsid w:val="00F80E64"/>
    <w:rPr>
      <w:rFonts w:ascii="Times New Roman" w:hAnsi="Times New Roman"/>
      <w:b/>
      <w:i/>
      <w:color w:val="000000"/>
      <w:spacing w:val="0"/>
      <w:w w:val="100"/>
      <w:position w:val="0"/>
      <w:sz w:val="18"/>
      <w:u w:val="none"/>
      <w:lang w:val="ru-RU" w:eastAsia="ru-RU"/>
    </w:rPr>
  </w:style>
  <w:style w:type="character" w:customStyle="1" w:styleId="360">
    <w:name w:val="Основной текст (3) + 6"/>
    <w:aliases w:val="5 pt12,Не полужирный3,Малые прописные3"/>
    <w:uiPriority w:val="99"/>
    <w:rsid w:val="00F80E64"/>
    <w:rPr>
      <w:rFonts w:ascii="Times New Roman" w:hAnsi="Times New Roman"/>
      <w:b/>
      <w:smallCaps/>
      <w:color w:val="000000"/>
      <w:spacing w:val="0"/>
      <w:w w:val="100"/>
      <w:position w:val="0"/>
      <w:sz w:val="13"/>
      <w:u w:val="single"/>
      <w:lang w:val="ru-RU" w:eastAsia="ru-RU"/>
    </w:rPr>
  </w:style>
  <w:style w:type="character" w:customStyle="1" w:styleId="152">
    <w:name w:val="Основной текст (15)_"/>
    <w:uiPriority w:val="99"/>
    <w:rsid w:val="00F80E64"/>
    <w:rPr>
      <w:rFonts w:ascii="Impact" w:hAnsi="Impact"/>
      <w:sz w:val="17"/>
      <w:u w:val="none"/>
    </w:rPr>
  </w:style>
  <w:style w:type="character" w:customStyle="1" w:styleId="153">
    <w:name w:val="Основной текст (15)"/>
    <w:uiPriority w:val="99"/>
    <w:rsid w:val="00F80E64"/>
    <w:rPr>
      <w:rFonts w:ascii="Impact" w:hAnsi="Impact"/>
      <w:color w:val="000000"/>
      <w:spacing w:val="0"/>
      <w:w w:val="100"/>
      <w:position w:val="0"/>
      <w:sz w:val="17"/>
      <w:u w:val="none"/>
      <w:lang w:val="ru-RU" w:eastAsia="ru-RU"/>
    </w:rPr>
  </w:style>
  <w:style w:type="character" w:customStyle="1" w:styleId="15TimesNewRoman">
    <w:name w:val="Основной текст (15) + Times New Roman"/>
    <w:aliases w:val="10 pt,Интервал 0 pt7"/>
    <w:uiPriority w:val="99"/>
    <w:rsid w:val="00F80E64"/>
    <w:rPr>
      <w:rFonts w:ascii="Times New Roman" w:hAnsi="Times New Roman"/>
      <w:color w:val="000000"/>
      <w:spacing w:val="10"/>
      <w:w w:val="100"/>
      <w:position w:val="0"/>
      <w:sz w:val="20"/>
      <w:u w:val="none"/>
      <w:lang w:val="ru-RU" w:eastAsia="ru-RU"/>
    </w:rPr>
  </w:style>
  <w:style w:type="character" w:customStyle="1" w:styleId="148pt">
    <w:name w:val="Основной текст (14) + 8 pt"/>
    <w:aliases w:val="Не курсив3"/>
    <w:uiPriority w:val="99"/>
    <w:rsid w:val="00F80E64"/>
    <w:rPr>
      <w:rFonts w:ascii="Times New Roman" w:hAnsi="Times New Roman"/>
      <w:b/>
      <w:i/>
      <w:color w:val="000000"/>
      <w:spacing w:val="0"/>
      <w:w w:val="100"/>
      <w:position w:val="0"/>
      <w:sz w:val="16"/>
      <w:u w:val="none"/>
      <w:lang w:val="ru-RU" w:eastAsia="ru-RU"/>
    </w:rPr>
  </w:style>
  <w:style w:type="character" w:customStyle="1" w:styleId="311pt">
    <w:name w:val="Основной текст (3) + 11 pt"/>
    <w:aliases w:val="Не полужирный2"/>
    <w:uiPriority w:val="99"/>
    <w:rsid w:val="00F80E64"/>
    <w:rPr>
      <w:rFonts w:ascii="Times New Roman" w:hAnsi="Times New Roman"/>
      <w:b/>
      <w:color w:val="000000"/>
      <w:spacing w:val="0"/>
      <w:w w:val="100"/>
      <w:position w:val="0"/>
      <w:sz w:val="22"/>
      <w:u w:val="none"/>
      <w:lang w:val="en-US" w:eastAsia="en-US"/>
    </w:rPr>
  </w:style>
  <w:style w:type="character" w:customStyle="1" w:styleId="391">
    <w:name w:val="Основной текст (3) + 91"/>
    <w:aliases w:val="5 pt11,Интервал 0 pt6"/>
    <w:uiPriority w:val="99"/>
    <w:rsid w:val="00F80E64"/>
    <w:rPr>
      <w:rFonts w:ascii="Times New Roman" w:hAnsi="Times New Roman"/>
      <w:b/>
      <w:color w:val="000000"/>
      <w:spacing w:val="-10"/>
      <w:w w:val="100"/>
      <w:position w:val="0"/>
      <w:sz w:val="19"/>
      <w:u w:val="none"/>
      <w:lang w:val="ru-RU" w:eastAsia="ru-RU"/>
    </w:rPr>
  </w:style>
  <w:style w:type="character" w:customStyle="1" w:styleId="3Tahoma">
    <w:name w:val="Основной текст (3) + Tahoma"/>
    <w:aliases w:val="8 pt,Не полужирный1"/>
    <w:uiPriority w:val="99"/>
    <w:rsid w:val="00F80E64"/>
    <w:rPr>
      <w:rFonts w:ascii="Tahoma" w:hAnsi="Tahoma"/>
      <w:b/>
      <w:color w:val="000000"/>
      <w:spacing w:val="0"/>
      <w:w w:val="100"/>
      <w:position w:val="0"/>
      <w:sz w:val="16"/>
      <w:u w:val="none"/>
      <w:lang w:val="ru-RU" w:eastAsia="ru-RU"/>
    </w:rPr>
  </w:style>
  <w:style w:type="character" w:customStyle="1" w:styleId="161">
    <w:name w:val="Основной текст (16)_"/>
    <w:uiPriority w:val="99"/>
    <w:rsid w:val="00F80E64"/>
    <w:rPr>
      <w:rFonts w:ascii="Times New Roman" w:hAnsi="Times New Roman"/>
      <w:b/>
      <w:sz w:val="28"/>
      <w:u w:val="none"/>
    </w:rPr>
  </w:style>
  <w:style w:type="character" w:customStyle="1" w:styleId="170">
    <w:name w:val="Основной текст (17)_"/>
    <w:uiPriority w:val="99"/>
    <w:rsid w:val="00F80E64"/>
    <w:rPr>
      <w:rFonts w:ascii="Times New Roman" w:hAnsi="Times New Roman"/>
      <w:b/>
      <w:sz w:val="28"/>
      <w:u w:val="none"/>
      <w:lang w:val="en-US" w:eastAsia="en-US"/>
    </w:rPr>
  </w:style>
  <w:style w:type="character" w:customStyle="1" w:styleId="171">
    <w:name w:val="Основной текст (17)"/>
    <w:uiPriority w:val="99"/>
    <w:rsid w:val="00F80E64"/>
    <w:rPr>
      <w:rFonts w:ascii="Times New Roman" w:hAnsi="Times New Roman"/>
      <w:b/>
      <w:color w:val="000000"/>
      <w:spacing w:val="0"/>
      <w:w w:val="100"/>
      <w:position w:val="0"/>
      <w:sz w:val="28"/>
      <w:u w:val="none"/>
      <w:lang w:val="en-US" w:eastAsia="en-US"/>
    </w:rPr>
  </w:style>
  <w:style w:type="character" w:customStyle="1" w:styleId="180">
    <w:name w:val="Основной текст (18)_"/>
    <w:link w:val="181"/>
    <w:uiPriority w:val="99"/>
    <w:locked/>
    <w:rsid w:val="00F80E64"/>
    <w:rPr>
      <w:rFonts w:ascii="Times New Roman" w:hAnsi="Times New Roman"/>
      <w:sz w:val="22"/>
      <w:u w:val="none"/>
    </w:rPr>
  </w:style>
  <w:style w:type="character" w:customStyle="1" w:styleId="182">
    <w:name w:val="Основной текст (18) + Полужирный"/>
    <w:uiPriority w:val="99"/>
    <w:rsid w:val="00F80E64"/>
    <w:rPr>
      <w:rFonts w:ascii="Times New Roman" w:hAnsi="Times New Roman"/>
      <w:b/>
      <w:color w:val="000000"/>
      <w:spacing w:val="0"/>
      <w:w w:val="100"/>
      <w:position w:val="0"/>
      <w:sz w:val="22"/>
      <w:u w:val="none"/>
      <w:lang w:val="ru-RU" w:eastAsia="ru-RU"/>
    </w:rPr>
  </w:style>
  <w:style w:type="character" w:customStyle="1" w:styleId="183">
    <w:name w:val="Основной текст (18)"/>
    <w:uiPriority w:val="99"/>
    <w:rsid w:val="00F80E64"/>
    <w:rPr>
      <w:rFonts w:ascii="Times New Roman" w:hAnsi="Times New Roman"/>
      <w:color w:val="000000"/>
      <w:spacing w:val="0"/>
      <w:w w:val="100"/>
      <w:position w:val="0"/>
      <w:sz w:val="22"/>
      <w:u w:val="none"/>
      <w:lang w:val="ru-RU" w:eastAsia="ru-RU"/>
    </w:rPr>
  </w:style>
  <w:style w:type="character" w:customStyle="1" w:styleId="88">
    <w:name w:val="Колонтитул + 8"/>
    <w:aliases w:val="5 pt10,Полужирный4"/>
    <w:uiPriority w:val="99"/>
    <w:rsid w:val="00F80E64"/>
    <w:rPr>
      <w:rFonts w:ascii="Times New Roman" w:hAnsi="Times New Roman"/>
      <w:b/>
      <w:color w:val="000000"/>
      <w:spacing w:val="0"/>
      <w:w w:val="100"/>
      <w:position w:val="0"/>
      <w:sz w:val="17"/>
      <w:u w:val="none"/>
      <w:lang w:val="ru-RU" w:eastAsia="ru-RU"/>
    </w:rPr>
  </w:style>
  <w:style w:type="character" w:customStyle="1" w:styleId="WW8Num2zfalse">
    <w:name w:val="WW8Num2zfalse"/>
    <w:uiPriority w:val="99"/>
    <w:rsid w:val="00EE5561"/>
  </w:style>
  <w:style w:type="character" w:customStyle="1" w:styleId="WW8Num2ztrue">
    <w:name w:val="WW8Num2ztrue"/>
    <w:uiPriority w:val="99"/>
    <w:rsid w:val="00EE5561"/>
  </w:style>
  <w:style w:type="character" w:customStyle="1" w:styleId="WW8Num3zfalse">
    <w:name w:val="WW8Num3zfalse"/>
    <w:uiPriority w:val="99"/>
    <w:rsid w:val="00EE5561"/>
  </w:style>
  <w:style w:type="character" w:customStyle="1" w:styleId="WW8Num3ztrue">
    <w:name w:val="WW8Num3ztrue"/>
    <w:uiPriority w:val="99"/>
    <w:rsid w:val="00EE5561"/>
  </w:style>
  <w:style w:type="character" w:customStyle="1" w:styleId="WW8Num8zfalse">
    <w:name w:val="WW8Num8zfalse"/>
    <w:uiPriority w:val="99"/>
    <w:rsid w:val="00EE5561"/>
  </w:style>
  <w:style w:type="character" w:customStyle="1" w:styleId="WW8Num8ztrue">
    <w:name w:val="WW8Num8ztrue"/>
    <w:uiPriority w:val="99"/>
    <w:rsid w:val="00EE5561"/>
  </w:style>
  <w:style w:type="character" w:customStyle="1" w:styleId="WW8Num9zfalse">
    <w:name w:val="WW8Num9zfalse"/>
    <w:uiPriority w:val="99"/>
    <w:rsid w:val="00EE5561"/>
  </w:style>
  <w:style w:type="character" w:customStyle="1" w:styleId="WW8Num9ztrue">
    <w:name w:val="WW8Num9ztrue"/>
    <w:uiPriority w:val="99"/>
    <w:rsid w:val="00EE5561"/>
  </w:style>
  <w:style w:type="character" w:customStyle="1" w:styleId="WW8Num10zfalse">
    <w:name w:val="WW8Num10zfalse"/>
    <w:uiPriority w:val="99"/>
    <w:rsid w:val="00EE5561"/>
  </w:style>
  <w:style w:type="character" w:customStyle="1" w:styleId="WW8Num10ztrue">
    <w:name w:val="WW8Num10ztrue"/>
    <w:uiPriority w:val="99"/>
    <w:rsid w:val="00EE5561"/>
  </w:style>
  <w:style w:type="character" w:customStyle="1" w:styleId="WW8Num12zfalse">
    <w:name w:val="WW8Num12zfalse"/>
    <w:uiPriority w:val="99"/>
    <w:rsid w:val="00EE5561"/>
  </w:style>
  <w:style w:type="character" w:customStyle="1" w:styleId="WW8Num12ztrue">
    <w:name w:val="WW8Num12ztrue"/>
    <w:uiPriority w:val="99"/>
    <w:rsid w:val="00EE5561"/>
  </w:style>
  <w:style w:type="character" w:customStyle="1" w:styleId="WW8Num13zfalse">
    <w:name w:val="WW8Num13zfalse"/>
    <w:uiPriority w:val="99"/>
    <w:rsid w:val="00EE5561"/>
  </w:style>
  <w:style w:type="character" w:customStyle="1" w:styleId="WW8Num13ztrue">
    <w:name w:val="WW8Num13ztrue"/>
    <w:uiPriority w:val="99"/>
    <w:rsid w:val="00EE5561"/>
  </w:style>
  <w:style w:type="character" w:customStyle="1" w:styleId="WW8Num14zfalse">
    <w:name w:val="WW8Num14zfalse"/>
    <w:uiPriority w:val="99"/>
    <w:rsid w:val="00EE5561"/>
  </w:style>
  <w:style w:type="character" w:customStyle="1" w:styleId="WW8Num14ztrue">
    <w:name w:val="WW8Num14ztrue"/>
    <w:uiPriority w:val="99"/>
    <w:rsid w:val="00EE5561"/>
  </w:style>
  <w:style w:type="character" w:customStyle="1" w:styleId="WW8Num16zfalse">
    <w:name w:val="WW8Num16zfalse"/>
    <w:uiPriority w:val="99"/>
    <w:rsid w:val="00EE5561"/>
  </w:style>
  <w:style w:type="character" w:customStyle="1" w:styleId="WW8Num16ztrue">
    <w:name w:val="WW8Num16ztrue"/>
    <w:uiPriority w:val="99"/>
    <w:rsid w:val="00EE5561"/>
  </w:style>
  <w:style w:type="character" w:customStyle="1" w:styleId="WW8Num17zfalse">
    <w:name w:val="WW8Num17zfalse"/>
    <w:uiPriority w:val="99"/>
    <w:rsid w:val="00EE5561"/>
  </w:style>
  <w:style w:type="character" w:customStyle="1" w:styleId="WW8Num17ztrue">
    <w:name w:val="WW8Num17ztrue"/>
    <w:uiPriority w:val="99"/>
    <w:rsid w:val="00EE5561"/>
  </w:style>
  <w:style w:type="character" w:customStyle="1" w:styleId="WW8Num18zfalse">
    <w:name w:val="WW8Num18zfalse"/>
    <w:uiPriority w:val="99"/>
    <w:rsid w:val="00EE5561"/>
  </w:style>
  <w:style w:type="character" w:customStyle="1" w:styleId="WW8Num18ztrue">
    <w:name w:val="WW8Num18ztrue"/>
    <w:uiPriority w:val="99"/>
    <w:rsid w:val="00EE5561"/>
  </w:style>
  <w:style w:type="character" w:customStyle="1" w:styleId="WW8Num19ztrue">
    <w:name w:val="WW8Num19ztrue"/>
    <w:uiPriority w:val="99"/>
    <w:rsid w:val="00EE5561"/>
  </w:style>
  <w:style w:type="character" w:customStyle="1" w:styleId="afffffff2">
    <w:name w:val="Печатная машинка"/>
    <w:uiPriority w:val="99"/>
    <w:rsid w:val="00EE5561"/>
    <w:rPr>
      <w:rFonts w:ascii="Courier New" w:hAnsi="Courier New"/>
      <w:sz w:val="20"/>
    </w:rPr>
  </w:style>
  <w:style w:type="character" w:customStyle="1" w:styleId="afffffff3">
    <w:name w:val="Выделение жирным"/>
    <w:uiPriority w:val="99"/>
    <w:rsid w:val="00EE5561"/>
    <w:rPr>
      <w:b/>
    </w:rPr>
  </w:style>
  <w:style w:type="character" w:customStyle="1" w:styleId="ft73111">
    <w:name w:val="ft73111"/>
    <w:uiPriority w:val="99"/>
    <w:rsid w:val="00EE5561"/>
    <w:rPr>
      <w:rFonts w:ascii="Times" w:hAnsi="Times"/>
      <w:b/>
      <w:color w:val="231F20"/>
      <w:spacing w:val="16"/>
      <w:sz w:val="16"/>
    </w:rPr>
  </w:style>
  <w:style w:type="character" w:customStyle="1" w:styleId="ft97971">
    <w:name w:val="ft97971"/>
    <w:uiPriority w:val="99"/>
    <w:rsid w:val="00EE5561"/>
    <w:rPr>
      <w:rFonts w:ascii="Times" w:hAnsi="Times"/>
      <w:color w:val="231F20"/>
      <w:spacing w:val="13"/>
      <w:sz w:val="16"/>
    </w:rPr>
  </w:style>
  <w:style w:type="character" w:customStyle="1" w:styleId="ft98271">
    <w:name w:val="ft98271"/>
    <w:uiPriority w:val="99"/>
    <w:rsid w:val="00EE5561"/>
    <w:rPr>
      <w:rFonts w:ascii="Times" w:hAnsi="Times"/>
      <w:color w:val="231F20"/>
      <w:spacing w:val="15"/>
      <w:sz w:val="16"/>
    </w:rPr>
  </w:style>
  <w:style w:type="character" w:customStyle="1" w:styleId="ft101131">
    <w:name w:val="ft101131"/>
    <w:uiPriority w:val="99"/>
    <w:rsid w:val="00EE5561"/>
    <w:rPr>
      <w:rFonts w:ascii="Times" w:hAnsi="Times"/>
      <w:b/>
      <w:color w:val="231F20"/>
      <w:spacing w:val="14"/>
      <w:sz w:val="16"/>
    </w:rPr>
  </w:style>
  <w:style w:type="character" w:customStyle="1" w:styleId="ft102601">
    <w:name w:val="ft102601"/>
    <w:uiPriority w:val="99"/>
    <w:rsid w:val="00EE5561"/>
    <w:rPr>
      <w:rFonts w:ascii="Times" w:hAnsi="Times"/>
      <w:b/>
      <w:color w:val="231F20"/>
      <w:spacing w:val="14"/>
      <w:sz w:val="16"/>
    </w:rPr>
  </w:style>
  <w:style w:type="character" w:customStyle="1" w:styleId="ft11398">
    <w:name w:val="ft11398"/>
    <w:uiPriority w:val="99"/>
    <w:rsid w:val="00EE5561"/>
  </w:style>
  <w:style w:type="character" w:customStyle="1" w:styleId="ft10669">
    <w:name w:val="ft10669"/>
    <w:uiPriority w:val="99"/>
    <w:rsid w:val="00EE5561"/>
  </w:style>
  <w:style w:type="character" w:customStyle="1" w:styleId="ft8222">
    <w:name w:val="ft8222"/>
    <w:uiPriority w:val="99"/>
    <w:rsid w:val="00EE5561"/>
  </w:style>
  <w:style w:type="character" w:customStyle="1" w:styleId="ft11067">
    <w:name w:val="ft11067"/>
    <w:uiPriority w:val="99"/>
    <w:rsid w:val="00EE5561"/>
  </w:style>
  <w:style w:type="character" w:customStyle="1" w:styleId="ft11431">
    <w:name w:val="ft11431"/>
    <w:uiPriority w:val="99"/>
    <w:rsid w:val="00EE5561"/>
  </w:style>
  <w:style w:type="character" w:customStyle="1" w:styleId="ft11576">
    <w:name w:val="ft11576"/>
    <w:uiPriority w:val="99"/>
    <w:rsid w:val="00EE5561"/>
  </w:style>
  <w:style w:type="character" w:customStyle="1" w:styleId="ft116391">
    <w:name w:val="ft116391"/>
    <w:uiPriority w:val="99"/>
    <w:rsid w:val="00EE5561"/>
    <w:rPr>
      <w:rFonts w:ascii="Times" w:hAnsi="Times"/>
      <w:color w:val="231F20"/>
      <w:spacing w:val="13"/>
      <w:sz w:val="16"/>
    </w:rPr>
  </w:style>
  <w:style w:type="character" w:customStyle="1" w:styleId="ft7062">
    <w:name w:val="ft7062"/>
    <w:uiPriority w:val="99"/>
    <w:rsid w:val="00EE5561"/>
  </w:style>
  <w:style w:type="character" w:customStyle="1" w:styleId="ft119621">
    <w:name w:val="ft119621"/>
    <w:uiPriority w:val="99"/>
    <w:rsid w:val="00EE5561"/>
    <w:rPr>
      <w:rFonts w:ascii="Times" w:hAnsi="Times"/>
      <w:color w:val="231F20"/>
      <w:spacing w:val="14"/>
      <w:sz w:val="16"/>
    </w:rPr>
  </w:style>
  <w:style w:type="character" w:customStyle="1" w:styleId="ft10694">
    <w:name w:val="ft10694"/>
    <w:uiPriority w:val="99"/>
    <w:rsid w:val="00EE5561"/>
  </w:style>
  <w:style w:type="character" w:customStyle="1" w:styleId="ft75491">
    <w:name w:val="ft75491"/>
    <w:uiPriority w:val="99"/>
    <w:rsid w:val="00EE5561"/>
    <w:rPr>
      <w:rFonts w:ascii="Times" w:hAnsi="Times"/>
      <w:b/>
      <w:color w:val="231F20"/>
      <w:spacing w:val="14"/>
      <w:sz w:val="16"/>
    </w:rPr>
  </w:style>
  <w:style w:type="character" w:customStyle="1" w:styleId="ft75821">
    <w:name w:val="ft75821"/>
    <w:uiPriority w:val="99"/>
    <w:rsid w:val="00EE5561"/>
    <w:rPr>
      <w:rFonts w:ascii="Times" w:hAnsi="Times"/>
      <w:b/>
      <w:color w:val="231F20"/>
      <w:spacing w:val="14"/>
      <w:sz w:val="16"/>
    </w:rPr>
  </w:style>
  <w:style w:type="character" w:customStyle="1" w:styleId="ft104311">
    <w:name w:val="ft104311"/>
    <w:uiPriority w:val="99"/>
    <w:rsid w:val="00EE5561"/>
    <w:rPr>
      <w:rFonts w:ascii="Times" w:hAnsi="Times"/>
      <w:b/>
      <w:color w:val="231F20"/>
      <w:spacing w:val="14"/>
      <w:sz w:val="16"/>
    </w:rPr>
  </w:style>
  <w:style w:type="character" w:customStyle="1" w:styleId="ft10767">
    <w:name w:val="ft10767"/>
    <w:uiPriority w:val="99"/>
    <w:rsid w:val="00EE5561"/>
  </w:style>
  <w:style w:type="character" w:customStyle="1" w:styleId="ft10800">
    <w:name w:val="ft10800"/>
    <w:uiPriority w:val="99"/>
    <w:rsid w:val="00EE5561"/>
  </w:style>
  <w:style w:type="character" w:customStyle="1" w:styleId="ft73201">
    <w:name w:val="ft73201"/>
    <w:uiPriority w:val="99"/>
    <w:rsid w:val="00EE5561"/>
    <w:rPr>
      <w:rFonts w:ascii="Times" w:hAnsi="Times"/>
      <w:color w:val="231F20"/>
      <w:spacing w:val="13"/>
      <w:sz w:val="16"/>
    </w:rPr>
  </w:style>
  <w:style w:type="character" w:customStyle="1" w:styleId="ft73321">
    <w:name w:val="ft73321"/>
    <w:uiPriority w:val="99"/>
    <w:rsid w:val="00EE5561"/>
    <w:rPr>
      <w:rFonts w:ascii="Times" w:hAnsi="Times"/>
      <w:color w:val="231F20"/>
      <w:spacing w:val="12"/>
      <w:sz w:val="16"/>
    </w:rPr>
  </w:style>
  <w:style w:type="character" w:customStyle="1" w:styleId="ft73341">
    <w:name w:val="ft73341"/>
    <w:uiPriority w:val="99"/>
    <w:rsid w:val="00EE5561"/>
    <w:rPr>
      <w:rFonts w:ascii="Times" w:hAnsi="Times"/>
      <w:color w:val="231F20"/>
      <w:spacing w:val="13"/>
      <w:sz w:val="16"/>
    </w:rPr>
  </w:style>
  <w:style w:type="character" w:customStyle="1" w:styleId="ft2">
    <w:name w:val="ft2"/>
    <w:uiPriority w:val="99"/>
    <w:rsid w:val="00EE5561"/>
  </w:style>
  <w:style w:type="character" w:customStyle="1" w:styleId="ft98061">
    <w:name w:val="ft98061"/>
    <w:uiPriority w:val="99"/>
    <w:rsid w:val="00EE5561"/>
    <w:rPr>
      <w:rFonts w:ascii="Times" w:hAnsi="Times"/>
      <w:color w:val="231F20"/>
      <w:spacing w:val="12"/>
      <w:sz w:val="16"/>
    </w:rPr>
  </w:style>
  <w:style w:type="character" w:customStyle="1" w:styleId="ft98141">
    <w:name w:val="ft98141"/>
    <w:uiPriority w:val="99"/>
    <w:rsid w:val="00EE5561"/>
    <w:rPr>
      <w:rFonts w:ascii="Times" w:hAnsi="Times"/>
      <w:color w:val="231F20"/>
      <w:spacing w:val="13"/>
      <w:sz w:val="16"/>
    </w:rPr>
  </w:style>
  <w:style w:type="character" w:customStyle="1" w:styleId="ft76042">
    <w:name w:val="ft76042"/>
    <w:uiPriority w:val="99"/>
    <w:rsid w:val="00EE5561"/>
    <w:rPr>
      <w:rFonts w:ascii="Times" w:hAnsi="Times"/>
      <w:color w:val="231F20"/>
      <w:spacing w:val="16"/>
      <w:sz w:val="16"/>
    </w:rPr>
  </w:style>
  <w:style w:type="character" w:customStyle="1" w:styleId="ft94271">
    <w:name w:val="ft94271"/>
    <w:uiPriority w:val="99"/>
    <w:rsid w:val="00EE5561"/>
    <w:rPr>
      <w:rFonts w:ascii="Times" w:hAnsi="Times"/>
      <w:color w:val="231F20"/>
      <w:spacing w:val="15"/>
      <w:sz w:val="16"/>
    </w:rPr>
  </w:style>
  <w:style w:type="character" w:customStyle="1" w:styleId="ft101251">
    <w:name w:val="ft101251"/>
    <w:uiPriority w:val="99"/>
    <w:rsid w:val="00EE5561"/>
    <w:rPr>
      <w:rFonts w:ascii="Times" w:hAnsi="Times"/>
      <w:color w:val="231F20"/>
      <w:spacing w:val="13"/>
      <w:sz w:val="16"/>
    </w:rPr>
  </w:style>
  <w:style w:type="character" w:customStyle="1" w:styleId="ft101341">
    <w:name w:val="ft101341"/>
    <w:uiPriority w:val="99"/>
    <w:rsid w:val="00EE5561"/>
    <w:rPr>
      <w:rFonts w:ascii="Times" w:hAnsi="Times"/>
      <w:color w:val="231F20"/>
      <w:spacing w:val="12"/>
      <w:sz w:val="16"/>
    </w:rPr>
  </w:style>
  <w:style w:type="character" w:customStyle="1" w:styleId="ft75601">
    <w:name w:val="ft75601"/>
    <w:uiPriority w:val="99"/>
    <w:rsid w:val="00EE5561"/>
    <w:rPr>
      <w:rFonts w:ascii="Times" w:hAnsi="Times"/>
      <w:color w:val="231F20"/>
      <w:spacing w:val="12"/>
      <w:sz w:val="16"/>
    </w:rPr>
  </w:style>
  <w:style w:type="character" w:customStyle="1" w:styleId="ft75681">
    <w:name w:val="ft75681"/>
    <w:uiPriority w:val="99"/>
    <w:rsid w:val="00EE5561"/>
    <w:rPr>
      <w:rFonts w:ascii="Times" w:hAnsi="Times"/>
      <w:color w:val="231F20"/>
      <w:spacing w:val="13"/>
      <w:sz w:val="16"/>
    </w:rPr>
  </w:style>
  <w:style w:type="character" w:customStyle="1" w:styleId="ft75711">
    <w:name w:val="ft75711"/>
    <w:uiPriority w:val="99"/>
    <w:rsid w:val="00EE5561"/>
    <w:rPr>
      <w:rFonts w:ascii="Times" w:hAnsi="Times"/>
      <w:color w:val="231F20"/>
      <w:spacing w:val="15"/>
      <w:sz w:val="16"/>
    </w:rPr>
  </w:style>
  <w:style w:type="character" w:customStyle="1" w:styleId="ft104421">
    <w:name w:val="ft104421"/>
    <w:uiPriority w:val="99"/>
    <w:rsid w:val="00EE5561"/>
    <w:rPr>
      <w:rFonts w:ascii="Times" w:hAnsi="Times"/>
      <w:color w:val="231F20"/>
      <w:spacing w:val="13"/>
      <w:sz w:val="16"/>
    </w:rPr>
  </w:style>
  <w:style w:type="character" w:customStyle="1" w:styleId="ft104521">
    <w:name w:val="ft104521"/>
    <w:uiPriority w:val="99"/>
    <w:rsid w:val="00EE5561"/>
    <w:rPr>
      <w:rFonts w:ascii="Times" w:hAnsi="Times"/>
      <w:color w:val="231F20"/>
      <w:spacing w:val="12"/>
      <w:sz w:val="16"/>
    </w:rPr>
  </w:style>
  <w:style w:type="character" w:customStyle="1" w:styleId="ft7073">
    <w:name w:val="ft7073"/>
    <w:uiPriority w:val="99"/>
    <w:rsid w:val="00EE5561"/>
  </w:style>
  <w:style w:type="character" w:customStyle="1" w:styleId="highlighthighlightactive">
    <w:name w:val="highlight highlight_active"/>
    <w:uiPriority w:val="99"/>
    <w:rsid w:val="00EE5561"/>
  </w:style>
  <w:style w:type="character" w:customStyle="1" w:styleId="411">
    <w:name w:val="Заголовок 4 Знак1"/>
    <w:uiPriority w:val="99"/>
    <w:rsid w:val="00EE5561"/>
    <w:rPr>
      <w:rFonts w:ascii="Cambria" w:hAnsi="Cambria"/>
      <w:b/>
      <w:i/>
      <w:color w:val="4F81BD"/>
    </w:rPr>
  </w:style>
  <w:style w:type="character" w:customStyle="1" w:styleId="510">
    <w:name w:val="Заголовок 5 Знак1"/>
    <w:uiPriority w:val="99"/>
    <w:rsid w:val="00EE5561"/>
    <w:rPr>
      <w:rFonts w:ascii="Cambria" w:hAnsi="Cambria"/>
      <w:color w:val="243F60"/>
    </w:rPr>
  </w:style>
  <w:style w:type="character" w:customStyle="1" w:styleId="ListLabel1">
    <w:name w:val="ListLabel 1"/>
    <w:uiPriority w:val="99"/>
    <w:rsid w:val="00EE5561"/>
    <w:rPr>
      <w:color w:val="00000A"/>
      <w:sz w:val="28"/>
    </w:rPr>
  </w:style>
  <w:style w:type="character" w:customStyle="1" w:styleId="ListLabel2">
    <w:name w:val="ListLabel 2"/>
    <w:uiPriority w:val="99"/>
    <w:rsid w:val="00EE5561"/>
    <w:rPr>
      <w:color w:val="00000A"/>
      <w:sz w:val="28"/>
    </w:rPr>
  </w:style>
  <w:style w:type="character" w:customStyle="1" w:styleId="ListLabel3">
    <w:name w:val="ListLabel 3"/>
    <w:uiPriority w:val="99"/>
    <w:rsid w:val="00EE5561"/>
  </w:style>
  <w:style w:type="character" w:customStyle="1" w:styleId="ListLabel4">
    <w:name w:val="ListLabel 4"/>
    <w:uiPriority w:val="99"/>
    <w:rsid w:val="00EE5561"/>
    <w:rPr>
      <w:sz w:val="28"/>
    </w:rPr>
  </w:style>
  <w:style w:type="character" w:customStyle="1" w:styleId="ListLabel5">
    <w:name w:val="ListLabel 5"/>
    <w:uiPriority w:val="99"/>
    <w:rsid w:val="00EE5561"/>
    <w:rPr>
      <w:sz w:val="28"/>
    </w:rPr>
  </w:style>
  <w:style w:type="character" w:customStyle="1" w:styleId="ListLabel6">
    <w:name w:val="ListLabel 6"/>
    <w:uiPriority w:val="99"/>
    <w:rsid w:val="00EE5561"/>
  </w:style>
  <w:style w:type="character" w:customStyle="1" w:styleId="ListLabel7">
    <w:name w:val="ListLabel 7"/>
    <w:uiPriority w:val="99"/>
    <w:rsid w:val="00EE5561"/>
    <w:rPr>
      <w:sz w:val="20"/>
    </w:rPr>
  </w:style>
  <w:style w:type="character" w:customStyle="1" w:styleId="ListLabel8">
    <w:name w:val="ListLabel 8"/>
    <w:uiPriority w:val="99"/>
    <w:rsid w:val="00EE5561"/>
  </w:style>
  <w:style w:type="character" w:customStyle="1" w:styleId="ListLabel9">
    <w:name w:val="ListLabel 9"/>
    <w:uiPriority w:val="99"/>
    <w:rsid w:val="00EE5561"/>
    <w:rPr>
      <w:b/>
    </w:rPr>
  </w:style>
  <w:style w:type="character" w:customStyle="1" w:styleId="ListLabel10">
    <w:name w:val="ListLabel 10"/>
    <w:uiPriority w:val="99"/>
    <w:rsid w:val="00EE5561"/>
    <w:rPr>
      <w:color w:val="00000A"/>
    </w:rPr>
  </w:style>
  <w:style w:type="character" w:customStyle="1" w:styleId="ListLabel11">
    <w:name w:val="ListLabel 11"/>
    <w:uiPriority w:val="99"/>
    <w:rsid w:val="00EE5561"/>
    <w:rPr>
      <w:color w:val="00000A"/>
      <w:sz w:val="28"/>
    </w:rPr>
  </w:style>
  <w:style w:type="character" w:customStyle="1" w:styleId="ListLabel12">
    <w:name w:val="ListLabel 12"/>
    <w:uiPriority w:val="99"/>
    <w:rsid w:val="00EE5561"/>
    <w:rPr>
      <w:color w:val="00000A"/>
      <w:sz w:val="28"/>
    </w:rPr>
  </w:style>
  <w:style w:type="character" w:customStyle="1" w:styleId="ListLabel13">
    <w:name w:val="ListLabel 13"/>
    <w:uiPriority w:val="99"/>
    <w:rsid w:val="00EE5561"/>
  </w:style>
  <w:style w:type="character" w:customStyle="1" w:styleId="ListLabel14">
    <w:name w:val="ListLabel 14"/>
    <w:uiPriority w:val="99"/>
    <w:rsid w:val="00EE5561"/>
    <w:rPr>
      <w:sz w:val="28"/>
    </w:rPr>
  </w:style>
  <w:style w:type="character" w:customStyle="1" w:styleId="1ff2">
    <w:name w:val="Основной текст Знак1"/>
    <w:uiPriority w:val="99"/>
    <w:rsid w:val="00EE5561"/>
    <w:rPr>
      <w:rFonts w:ascii="Times New Roman" w:hAnsi="Times New Roman"/>
      <w:color w:val="00000A"/>
      <w:sz w:val="20"/>
      <w:lang w:eastAsia="zh-CN"/>
    </w:rPr>
  </w:style>
  <w:style w:type="character" w:customStyle="1" w:styleId="1ff3">
    <w:name w:val="Название Знак1"/>
    <w:uiPriority w:val="99"/>
    <w:rsid w:val="00EE5561"/>
    <w:rPr>
      <w:rFonts w:ascii="Calibri" w:hAnsi="Calibri"/>
      <w:i/>
      <w:color w:val="00000A"/>
      <w:sz w:val="24"/>
    </w:rPr>
  </w:style>
  <w:style w:type="paragraph" w:styleId="1ff4">
    <w:name w:val="index 1"/>
    <w:basedOn w:val="a2"/>
    <w:next w:val="a2"/>
    <w:autoRedefine/>
    <w:uiPriority w:val="99"/>
    <w:semiHidden/>
    <w:rsid w:val="00EE5561"/>
    <w:pPr>
      <w:suppressAutoHyphens/>
      <w:ind w:left="220" w:hanging="220"/>
    </w:pPr>
    <w:rPr>
      <w:rFonts w:ascii="Calibri" w:hAnsi="Calibri" w:cs="Calibri"/>
      <w:color w:val="00000A"/>
      <w:sz w:val="22"/>
      <w:szCs w:val="22"/>
      <w:lang w:eastAsia="en-US"/>
    </w:rPr>
  </w:style>
  <w:style w:type="paragraph" w:styleId="afffffff4">
    <w:name w:val="index heading"/>
    <w:basedOn w:val="a2"/>
    <w:uiPriority w:val="99"/>
    <w:rsid w:val="00EE5561"/>
    <w:pPr>
      <w:suppressLineNumbers/>
      <w:suppressAutoHyphens/>
      <w:spacing w:after="200" w:line="276" w:lineRule="auto"/>
    </w:pPr>
    <w:rPr>
      <w:rFonts w:ascii="Calibri" w:hAnsi="Calibri" w:cs="Lohit Hindi"/>
      <w:color w:val="00000A"/>
      <w:sz w:val="22"/>
      <w:szCs w:val="22"/>
      <w:lang w:eastAsia="en-US"/>
    </w:rPr>
  </w:style>
  <w:style w:type="character" w:customStyle="1" w:styleId="1ff5">
    <w:name w:val="Основной текст с отступом Знак1"/>
    <w:uiPriority w:val="99"/>
    <w:rsid w:val="00EE5561"/>
    <w:rPr>
      <w:rFonts w:ascii="Times New Roman" w:hAnsi="Times New Roman"/>
      <w:color w:val="00000A"/>
      <w:sz w:val="24"/>
      <w:lang w:eastAsia="zh-CN"/>
    </w:rPr>
  </w:style>
  <w:style w:type="paragraph" w:customStyle="1" w:styleId="1ff6">
    <w:name w:val="Схема документа1"/>
    <w:basedOn w:val="a2"/>
    <w:uiPriority w:val="99"/>
    <w:rsid w:val="00EE5561"/>
    <w:pPr>
      <w:shd w:val="clear" w:color="auto" w:fill="000080"/>
      <w:suppressAutoHyphens/>
      <w:spacing w:after="200" w:line="276" w:lineRule="auto"/>
    </w:pPr>
    <w:rPr>
      <w:rFonts w:ascii="Tahoma" w:hAnsi="Tahoma" w:cs="Tahoma"/>
      <w:color w:val="00000A"/>
      <w:lang w:eastAsia="zh-CN"/>
    </w:rPr>
  </w:style>
  <w:style w:type="character" w:customStyle="1" w:styleId="1ff7">
    <w:name w:val="Верхний колонтитул Знак1"/>
    <w:uiPriority w:val="99"/>
    <w:rsid w:val="00EE5561"/>
    <w:rPr>
      <w:rFonts w:ascii="Calibri" w:hAnsi="Calibri"/>
      <w:color w:val="00000A"/>
      <w:lang w:eastAsia="zh-CN"/>
    </w:rPr>
  </w:style>
  <w:style w:type="character" w:customStyle="1" w:styleId="1ff8">
    <w:name w:val="Нижний колонтитул Знак1"/>
    <w:uiPriority w:val="99"/>
    <w:rsid w:val="00EE5561"/>
    <w:rPr>
      <w:rFonts w:ascii="Calibri" w:hAnsi="Calibri"/>
      <w:color w:val="00000A"/>
      <w:lang w:eastAsia="zh-CN"/>
    </w:rPr>
  </w:style>
  <w:style w:type="character" w:customStyle="1" w:styleId="1ff9">
    <w:name w:val="Текст выноски Знак1"/>
    <w:uiPriority w:val="99"/>
    <w:rsid w:val="00EE5561"/>
    <w:rPr>
      <w:rFonts w:ascii="Tahoma" w:hAnsi="Tahoma"/>
      <w:color w:val="00000A"/>
      <w:sz w:val="16"/>
    </w:rPr>
  </w:style>
  <w:style w:type="paragraph" w:customStyle="1" w:styleId="412">
    <w:name w:val="Заголовок 41"/>
    <w:basedOn w:val="a2"/>
    <w:uiPriority w:val="99"/>
    <w:rsid w:val="00EE5561"/>
    <w:pPr>
      <w:keepNext/>
      <w:suppressAutoHyphens/>
      <w:spacing w:before="240" w:after="60" w:line="100" w:lineRule="atLeast"/>
    </w:pPr>
    <w:rPr>
      <w:rFonts w:ascii="Calibri" w:hAnsi="Calibri" w:cs="Calibri"/>
      <w:b/>
      <w:bCs/>
      <w:color w:val="00000A"/>
      <w:sz w:val="28"/>
      <w:szCs w:val="28"/>
    </w:rPr>
  </w:style>
  <w:style w:type="paragraph" w:customStyle="1" w:styleId="511">
    <w:name w:val="Заголовок 51"/>
    <w:basedOn w:val="a2"/>
    <w:uiPriority w:val="99"/>
    <w:rsid w:val="00EE5561"/>
    <w:pPr>
      <w:suppressAutoHyphens/>
      <w:spacing w:before="240" w:after="60" w:line="100" w:lineRule="atLeast"/>
    </w:pPr>
    <w:rPr>
      <w:rFonts w:ascii="Calibri" w:hAnsi="Calibri" w:cs="Calibri"/>
      <w:b/>
      <w:bCs/>
      <w:i/>
      <w:iCs/>
      <w:color w:val="00000A"/>
      <w:sz w:val="26"/>
      <w:szCs w:val="26"/>
    </w:rPr>
  </w:style>
  <w:style w:type="character" w:customStyle="1" w:styleId="216">
    <w:name w:val="Основной текст 2 Знак1"/>
    <w:uiPriority w:val="99"/>
    <w:rsid w:val="00EE5561"/>
    <w:rPr>
      <w:rFonts w:ascii="Times New Roman" w:hAnsi="Times New Roman"/>
      <w:i/>
      <w:color w:val="008000"/>
      <w:sz w:val="20"/>
      <w:lang w:eastAsia="ru-RU"/>
    </w:rPr>
  </w:style>
  <w:style w:type="character" w:customStyle="1" w:styleId="314">
    <w:name w:val="Основной текст 3 Знак1"/>
    <w:aliases w:val="Знак Знак Знак Знак1"/>
    <w:uiPriority w:val="99"/>
    <w:rsid w:val="00EE5561"/>
    <w:rPr>
      <w:rFonts w:ascii="Times New Roman" w:hAnsi="Times New Roman"/>
      <w:color w:val="000080"/>
      <w:sz w:val="20"/>
      <w:lang w:eastAsia="ru-RU"/>
    </w:rPr>
  </w:style>
  <w:style w:type="paragraph" w:customStyle="1" w:styleId="afffffff5">
    <w:name w:val="Цитаты"/>
    <w:basedOn w:val="12"/>
    <w:uiPriority w:val="99"/>
    <w:rsid w:val="00EE5561"/>
    <w:pPr>
      <w:widowControl/>
      <w:spacing w:before="100" w:after="100" w:line="100" w:lineRule="atLeast"/>
      <w:ind w:left="360" w:right="360" w:firstLine="0"/>
      <w:jc w:val="left"/>
    </w:pPr>
    <w:rPr>
      <w:rFonts w:ascii="Times New Roman" w:hAnsi="Times New Roman"/>
      <w:color w:val="00000A"/>
      <w:sz w:val="24"/>
    </w:rPr>
  </w:style>
  <w:style w:type="paragraph" w:customStyle="1" w:styleId="bdtxt">
    <w:name w:val="bdtxt"/>
    <w:basedOn w:val="a2"/>
    <w:uiPriority w:val="99"/>
    <w:rsid w:val="00EE5561"/>
    <w:pPr>
      <w:suppressAutoHyphens/>
      <w:spacing w:before="280" w:after="280" w:line="225" w:lineRule="atLeast"/>
    </w:pPr>
    <w:rPr>
      <w:rFonts w:ascii="Arial" w:hAnsi="Arial" w:cs="Arial"/>
      <w:color w:val="000000"/>
      <w:sz w:val="18"/>
      <w:szCs w:val="18"/>
    </w:rPr>
  </w:style>
  <w:style w:type="paragraph" w:customStyle="1" w:styleId="afffffff6">
    <w:name w:val="Заглавие"/>
    <w:basedOn w:val="a2"/>
    <w:uiPriority w:val="99"/>
    <w:rsid w:val="00EE5561"/>
    <w:pPr>
      <w:suppressAutoHyphens/>
      <w:spacing w:before="240" w:after="60" w:line="100" w:lineRule="atLeast"/>
      <w:jc w:val="center"/>
    </w:pPr>
    <w:rPr>
      <w:rFonts w:ascii="Cambria" w:hAnsi="Cambria"/>
      <w:b/>
      <w:bCs/>
      <w:color w:val="00000A"/>
      <w:sz w:val="32"/>
      <w:szCs w:val="32"/>
    </w:rPr>
  </w:style>
  <w:style w:type="character" w:customStyle="1" w:styleId="1ffa">
    <w:name w:val="Схема документа Знак1"/>
    <w:uiPriority w:val="99"/>
    <w:rsid w:val="00EE5561"/>
    <w:rPr>
      <w:rFonts w:ascii="Tahoma" w:hAnsi="Tahoma"/>
      <w:color w:val="00000A"/>
      <w:sz w:val="20"/>
      <w:shd w:val="clear" w:color="auto" w:fill="000080"/>
      <w:lang w:eastAsia="ru-RU"/>
    </w:rPr>
  </w:style>
  <w:style w:type="paragraph" w:customStyle="1" w:styleId="desc">
    <w:name w:val="desc"/>
    <w:basedOn w:val="a2"/>
    <w:uiPriority w:val="99"/>
    <w:rsid w:val="00EE5561"/>
    <w:pPr>
      <w:suppressAutoHyphens/>
      <w:spacing w:before="280" w:after="280" w:line="100" w:lineRule="atLeast"/>
    </w:pPr>
    <w:rPr>
      <w:color w:val="00000A"/>
      <w:sz w:val="24"/>
      <w:szCs w:val="24"/>
    </w:rPr>
  </w:style>
  <w:style w:type="table" w:customStyle="1" w:styleId="124">
    <w:name w:val="Сетка таблицы12"/>
    <w:uiPriority w:val="99"/>
    <w:rsid w:val="00EE5561"/>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3">
    <w:name w:val="Основной текст (4)1"/>
    <w:basedOn w:val="a2"/>
    <w:uiPriority w:val="99"/>
    <w:rsid w:val="00EC2EBA"/>
    <w:pPr>
      <w:shd w:val="clear" w:color="auto" w:fill="FFFFFF"/>
      <w:spacing w:before="300" w:after="300" w:line="240" w:lineRule="atLeast"/>
    </w:pPr>
    <w:rPr>
      <w:b/>
      <w:bCs/>
      <w:sz w:val="28"/>
      <w:szCs w:val="28"/>
      <w:lang w:eastAsia="en-US"/>
    </w:rPr>
  </w:style>
  <w:style w:type="paragraph" w:customStyle="1" w:styleId="TableParagraph">
    <w:name w:val="Table Paragraph"/>
    <w:basedOn w:val="a2"/>
    <w:uiPriority w:val="99"/>
    <w:rsid w:val="00C66456"/>
    <w:pPr>
      <w:widowControl w:val="0"/>
    </w:pPr>
    <w:rPr>
      <w:rFonts w:ascii="Calibri" w:hAnsi="Calibri" w:cs="Arial"/>
      <w:sz w:val="22"/>
      <w:szCs w:val="22"/>
      <w:lang w:val="en-US" w:eastAsia="en-US"/>
    </w:rPr>
  </w:style>
  <w:style w:type="table" w:customStyle="1" w:styleId="132">
    <w:name w:val="Сетка таблицы13"/>
    <w:uiPriority w:val="99"/>
    <w:rsid w:val="00C66456"/>
    <w:pPr>
      <w:widowControl w:val="0"/>
    </w:pPr>
    <w:rPr>
      <w:rFonts w:ascii="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7">
    <w:name w:val="Табл"/>
    <w:basedOn w:val="a2"/>
    <w:uiPriority w:val="99"/>
    <w:rsid w:val="00C66456"/>
    <w:pPr>
      <w:widowControl w:val="0"/>
      <w:ind w:left="141" w:right="10586"/>
    </w:pPr>
    <w:rPr>
      <w:lang w:val="en-US" w:eastAsia="en-US"/>
    </w:rPr>
  </w:style>
  <w:style w:type="paragraph" w:customStyle="1" w:styleId="afffffff8">
    <w:name w:val="МЕТабл"/>
    <w:basedOn w:val="a2"/>
    <w:uiPriority w:val="99"/>
    <w:rsid w:val="00C66456"/>
    <w:pPr>
      <w:widowControl w:val="0"/>
    </w:pPr>
    <w:rPr>
      <w:rFonts w:ascii="Calibri" w:hAnsi="Calibri" w:cs="Arial"/>
      <w:sz w:val="22"/>
      <w:szCs w:val="22"/>
      <w:lang w:val="en-US" w:eastAsia="en-US"/>
    </w:rPr>
  </w:style>
  <w:style w:type="character" w:customStyle="1" w:styleId="element-citation">
    <w:name w:val="element-citation"/>
    <w:uiPriority w:val="99"/>
    <w:rsid w:val="000C36D4"/>
  </w:style>
  <w:style w:type="character" w:customStyle="1" w:styleId="reference">
    <w:name w:val="reference"/>
    <w:uiPriority w:val="99"/>
    <w:rsid w:val="000C36D4"/>
  </w:style>
  <w:style w:type="character" w:customStyle="1" w:styleId="refauthors">
    <w:name w:val="refauthors"/>
    <w:uiPriority w:val="99"/>
    <w:rsid w:val="000C36D4"/>
  </w:style>
  <w:style w:type="character" w:customStyle="1" w:styleId="reftitle">
    <w:name w:val="reftitle"/>
    <w:uiPriority w:val="99"/>
    <w:rsid w:val="000C36D4"/>
  </w:style>
  <w:style w:type="character" w:customStyle="1" w:styleId="refseriestitle">
    <w:name w:val="refseriestitle"/>
    <w:uiPriority w:val="99"/>
    <w:rsid w:val="000C36D4"/>
  </w:style>
  <w:style w:type="character" w:customStyle="1" w:styleId="refseriesdate">
    <w:name w:val="refseriesdate"/>
    <w:uiPriority w:val="99"/>
    <w:rsid w:val="000C36D4"/>
  </w:style>
  <w:style w:type="character" w:customStyle="1" w:styleId="refseriesvolume">
    <w:name w:val="refseriesvolume"/>
    <w:uiPriority w:val="99"/>
    <w:rsid w:val="000C36D4"/>
  </w:style>
  <w:style w:type="character" w:customStyle="1" w:styleId="refpages">
    <w:name w:val="refpages"/>
    <w:uiPriority w:val="99"/>
    <w:rsid w:val="000C36D4"/>
  </w:style>
  <w:style w:type="paragraph" w:customStyle="1" w:styleId="11b">
    <w:name w:val="Название11"/>
    <w:basedOn w:val="a2"/>
    <w:uiPriority w:val="99"/>
    <w:rsid w:val="000C36D4"/>
    <w:pPr>
      <w:spacing w:before="100" w:beforeAutospacing="1" w:after="100" w:afterAutospacing="1"/>
    </w:pPr>
    <w:rPr>
      <w:sz w:val="24"/>
      <w:szCs w:val="24"/>
    </w:rPr>
  </w:style>
  <w:style w:type="paragraph" w:customStyle="1" w:styleId="afffffff9">
    <w:name w:val="таня"/>
    <w:basedOn w:val="a2"/>
    <w:link w:val="afffffffa"/>
    <w:uiPriority w:val="99"/>
    <w:rsid w:val="000C36D4"/>
    <w:pPr>
      <w:spacing w:line="276" w:lineRule="auto"/>
      <w:ind w:left="-709" w:firstLine="709"/>
      <w:contextualSpacing/>
      <w:jc w:val="both"/>
    </w:pPr>
    <w:rPr>
      <w:sz w:val="28"/>
      <w:lang w:eastAsia="en-US"/>
    </w:rPr>
  </w:style>
  <w:style w:type="character" w:customStyle="1" w:styleId="afffffffa">
    <w:name w:val="таня Знак"/>
    <w:link w:val="afffffff9"/>
    <w:uiPriority w:val="99"/>
    <w:locked/>
    <w:rsid w:val="000C36D4"/>
    <w:rPr>
      <w:rFonts w:eastAsia="Times New Roman"/>
      <w:sz w:val="28"/>
      <w:lang w:eastAsia="en-US"/>
    </w:rPr>
  </w:style>
  <w:style w:type="paragraph" w:customStyle="1" w:styleId="2ff0">
    <w:name w:val="Название2"/>
    <w:basedOn w:val="a2"/>
    <w:uiPriority w:val="99"/>
    <w:rsid w:val="000C36D4"/>
    <w:pPr>
      <w:spacing w:before="100" w:beforeAutospacing="1" w:after="100" w:afterAutospacing="1"/>
    </w:pPr>
    <w:rPr>
      <w:sz w:val="24"/>
      <w:szCs w:val="24"/>
    </w:rPr>
  </w:style>
  <w:style w:type="character" w:customStyle="1" w:styleId="occurrence">
    <w:name w:val="occurrence"/>
    <w:uiPriority w:val="99"/>
    <w:rsid w:val="000C36D4"/>
  </w:style>
  <w:style w:type="character" w:customStyle="1" w:styleId="ref-title">
    <w:name w:val="ref-title"/>
    <w:uiPriority w:val="99"/>
    <w:rsid w:val="000C36D4"/>
  </w:style>
  <w:style w:type="table" w:customStyle="1" w:styleId="143">
    <w:name w:val="Сетка таблицы14"/>
    <w:uiPriority w:val="99"/>
    <w:rsid w:val="000C36D4"/>
    <w:rPr>
      <w:sz w:val="28"/>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f1">
    <w:name w:val="Без интервала Знак"/>
    <w:link w:val="afffff0"/>
    <w:uiPriority w:val="99"/>
    <w:locked/>
    <w:rsid w:val="000C36D4"/>
    <w:rPr>
      <w:rFonts w:ascii="Calibri" w:hAnsi="Calibri"/>
      <w:sz w:val="22"/>
      <w:lang w:eastAsia="en-US"/>
    </w:rPr>
  </w:style>
  <w:style w:type="table" w:customStyle="1" w:styleId="-31">
    <w:name w:val="Светлый список - Акцент 31"/>
    <w:uiPriority w:val="99"/>
    <w:rsid w:val="000C36D4"/>
    <w:rPr>
      <w:rFonts w:ascii="Calibri" w:hAnsi="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character" w:customStyle="1" w:styleId="invert">
    <w:name w:val="invert"/>
    <w:uiPriority w:val="99"/>
    <w:rsid w:val="000C36D4"/>
  </w:style>
  <w:style w:type="character" w:customStyle="1" w:styleId="citation-publication-date">
    <w:name w:val="citation-publication-date"/>
    <w:uiPriority w:val="99"/>
    <w:rsid w:val="000C36D4"/>
  </w:style>
  <w:style w:type="character" w:customStyle="1" w:styleId="mixed-citation">
    <w:name w:val="mixed-citation"/>
    <w:uiPriority w:val="99"/>
    <w:rsid w:val="000C36D4"/>
  </w:style>
  <w:style w:type="table" w:styleId="-30">
    <w:name w:val="Light List Accent 3"/>
    <w:basedOn w:val="a5"/>
    <w:uiPriority w:val="99"/>
    <w:rsid w:val="000C36D4"/>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pPr>
      <w:rPr>
        <w:rFonts w:cs="Times New Roman"/>
        <w:b/>
        <w:bCs/>
        <w:color w:val="FFFFFF"/>
      </w:rPr>
      <w:tblPr/>
      <w:tcPr>
        <w:shd w:val="clear" w:color="auto" w:fill="A5A5A5"/>
      </w:tcPr>
    </w:tblStylePr>
    <w:tblStylePr w:type="lastRow">
      <w:pPr>
        <w:spacing w:before="0" w:after="0"/>
      </w:pPr>
      <w:rPr>
        <w:rFonts w:cs="Times New Roman"/>
        <w:b/>
        <w:bCs/>
      </w:rPr>
      <w:tblPr/>
      <w:tcPr>
        <w:tcBorders>
          <w:top w:val="double" w:sz="6" w:space="0" w:color="A5A5A5"/>
          <w:left w:val="single" w:sz="8" w:space="0" w:color="A5A5A5"/>
          <w:bottom w:val="single" w:sz="8" w:space="0" w:color="A5A5A5"/>
          <w:right w:val="single" w:sz="8" w:space="0" w:color="A5A5A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tcBorders>
      </w:tcPr>
    </w:tblStylePr>
  </w:style>
  <w:style w:type="table" w:customStyle="1" w:styleId="154">
    <w:name w:val="Сетка таблицы15"/>
    <w:uiPriority w:val="99"/>
    <w:rsid w:val="000E3A65"/>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List Number 3"/>
    <w:basedOn w:val="a2"/>
    <w:uiPriority w:val="99"/>
    <w:rsid w:val="000E3A65"/>
    <w:pPr>
      <w:numPr>
        <w:numId w:val="5"/>
      </w:numPr>
      <w:contextualSpacing/>
    </w:pPr>
    <w:rPr>
      <w:sz w:val="24"/>
      <w:szCs w:val="24"/>
    </w:rPr>
  </w:style>
  <w:style w:type="paragraph" w:customStyle="1" w:styleId="ConsPlusTitlePage">
    <w:name w:val="ConsPlusTitlePage"/>
    <w:uiPriority w:val="99"/>
    <w:rsid w:val="000E3A65"/>
    <w:pPr>
      <w:widowControl w:val="0"/>
      <w:autoSpaceDE w:val="0"/>
      <w:autoSpaceDN w:val="0"/>
      <w:adjustRightInd w:val="0"/>
    </w:pPr>
    <w:rPr>
      <w:rFonts w:ascii="Tahoma" w:hAnsi="Tahoma" w:cs="Tahoma"/>
    </w:rPr>
  </w:style>
  <w:style w:type="table" w:customStyle="1" w:styleId="-511">
    <w:name w:val="Таблица-сетка 5 темная — акцент 11"/>
    <w:uiPriority w:val="99"/>
    <w:rsid w:val="000E3A65"/>
    <w:rPr>
      <w:rFonts w:ascii="Calibri" w:hAnsi="Calibri"/>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table" w:customStyle="1" w:styleId="-451">
    <w:name w:val="Таблица-сетка 4 — акцент 51"/>
    <w:uiPriority w:val="99"/>
    <w:rsid w:val="000E3A65"/>
    <w:rPr>
      <w:rFonts w:ascii="Calibri" w:hAnsi="Calibri"/>
      <w:lang w:val="en-US"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table" w:customStyle="1" w:styleId="2-41">
    <w:name w:val="Средняя заливка 2 - Акцент 41"/>
    <w:uiPriority w:val="99"/>
    <w:rsid w:val="000E3A65"/>
    <w:rPr>
      <w:rFonts w:ascii="Calibri" w:hAnsi="Calibri"/>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31">
    <w:name w:val="Средняя заливка 2 - Акцент 31"/>
    <w:uiPriority w:val="99"/>
    <w:rsid w:val="000E3A65"/>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1">
    <w:name w:val="Средняя заливка 1 - Акцент 31"/>
    <w:uiPriority w:val="99"/>
    <w:rsid w:val="000E3A65"/>
    <w:rPr>
      <w:rFonts w:ascii="Calibri" w:hAnsi="Calibri"/>
      <w:lang w:eastAsia="en-US"/>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style>
  <w:style w:type="table" w:customStyle="1" w:styleId="LightShading1">
    <w:name w:val="Light Shading1"/>
    <w:uiPriority w:val="99"/>
    <w:rsid w:val="000E3A65"/>
    <w:rPr>
      <w:rFonts w:ascii="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afffffffb">
    <w:name w:val="Подраздел"/>
    <w:basedOn w:val="a2"/>
    <w:next w:val="a2"/>
    <w:uiPriority w:val="99"/>
    <w:rsid w:val="000E3A65"/>
    <w:pPr>
      <w:spacing w:line="360" w:lineRule="auto"/>
      <w:ind w:left="1789" w:hanging="360"/>
      <w:jc w:val="both"/>
      <w:outlineLvl w:val="1"/>
    </w:pPr>
    <w:rPr>
      <w:color w:val="000000"/>
      <w:sz w:val="28"/>
      <w:szCs w:val="28"/>
      <w:lang w:val="en-US" w:eastAsia="en-US"/>
    </w:rPr>
  </w:style>
  <w:style w:type="paragraph" w:customStyle="1" w:styleId="afffffffc">
    <w:name w:val="Пункт"/>
    <w:basedOn w:val="a2"/>
    <w:next w:val="a2"/>
    <w:uiPriority w:val="99"/>
    <w:rsid w:val="000E3A65"/>
    <w:pPr>
      <w:spacing w:line="360" w:lineRule="auto"/>
      <w:ind w:firstLine="709"/>
      <w:jc w:val="both"/>
    </w:pPr>
    <w:rPr>
      <w:color w:val="000000"/>
      <w:sz w:val="28"/>
      <w:szCs w:val="28"/>
      <w:lang w:eastAsia="en-US"/>
    </w:rPr>
  </w:style>
  <w:style w:type="paragraph" w:customStyle="1" w:styleId="afffffffd">
    <w:name w:val="Подпункт"/>
    <w:basedOn w:val="af1"/>
    <w:next w:val="a2"/>
    <w:uiPriority w:val="99"/>
    <w:rsid w:val="00623BCD"/>
    <w:pPr>
      <w:ind w:firstLine="567"/>
    </w:pPr>
    <w:rPr>
      <w:sz w:val="24"/>
      <w:szCs w:val="24"/>
    </w:rPr>
  </w:style>
  <w:style w:type="table" w:customStyle="1" w:styleId="-310">
    <w:name w:val="Светлая заливка - Акцент 31"/>
    <w:uiPriority w:val="99"/>
    <w:rsid w:val="000E3A65"/>
    <w:rPr>
      <w:rFonts w:ascii="Calibri" w:hAnsi="Calibri"/>
      <w:color w:val="7B7B7B"/>
      <w:lang w:eastAsia="en-US"/>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style>
  <w:style w:type="table" w:customStyle="1" w:styleId="-51">
    <w:name w:val="Светлый список - Акцент 51"/>
    <w:uiPriority w:val="99"/>
    <w:rsid w:val="000E3A65"/>
    <w:rPr>
      <w:rFonts w:ascii="Calibri" w:hAnsi="Calibri"/>
      <w:lang w:eastAsia="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style>
  <w:style w:type="table" w:customStyle="1" w:styleId="-32">
    <w:name w:val="Светлый список - Акцент 32"/>
    <w:uiPriority w:val="99"/>
    <w:rsid w:val="000E3A65"/>
    <w:rPr>
      <w:rFonts w:ascii="Calibri" w:hAnsi="Calibri"/>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style>
  <w:style w:type="table" w:customStyle="1" w:styleId="-311">
    <w:name w:val="Цветная сетка - Акцент 31"/>
    <w:uiPriority w:val="99"/>
    <w:rsid w:val="000E3A65"/>
    <w:rPr>
      <w:rFonts w:ascii="Calibri" w:hAnsi="Calibri"/>
      <w:color w:val="000000"/>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DEDED"/>
    </w:tcPr>
  </w:style>
  <w:style w:type="table" w:customStyle="1" w:styleId="MediumList1-Accent11">
    <w:name w:val="Medium List 1 - Accent 11"/>
    <w:uiPriority w:val="99"/>
    <w:rsid w:val="000E3A65"/>
    <w:rPr>
      <w:rFonts w:ascii="Calibri" w:hAnsi="Calibri"/>
      <w:color w:val="000000"/>
      <w:lang w:eastAsia="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table" w:customStyle="1" w:styleId="2-11">
    <w:name w:val="Средняя заливка 2 - Акцент 11"/>
    <w:uiPriority w:val="99"/>
    <w:rsid w:val="000E3A65"/>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51">
    <w:name w:val="Средняя заливка 2 - Акцент 51"/>
    <w:uiPriority w:val="99"/>
    <w:rsid w:val="000E3A65"/>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c">
    <w:name w:val="Средняя заливка 11"/>
    <w:uiPriority w:val="99"/>
    <w:rsid w:val="000E3A65"/>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character" w:customStyle="1" w:styleId="style2a">
    <w:name w:val="style2"/>
    <w:uiPriority w:val="99"/>
    <w:rsid w:val="000E3A65"/>
  </w:style>
  <w:style w:type="table" w:customStyle="1" w:styleId="-510">
    <w:name w:val="Цветной список - Акцент 51"/>
    <w:uiPriority w:val="99"/>
    <w:rsid w:val="000E3A65"/>
    <w:rPr>
      <w:rFonts w:ascii="Calibri" w:hAnsi="Calibri"/>
      <w:color w:val="000000"/>
      <w:lang w:eastAsia="en-US"/>
    </w:rPr>
    <w:tblPr>
      <w:tblStyleRowBandSize w:val="1"/>
      <w:tblStyleColBandSize w:val="1"/>
      <w:tblInd w:w="0" w:type="dxa"/>
      <w:tblCellMar>
        <w:top w:w="0" w:type="dxa"/>
        <w:left w:w="108" w:type="dxa"/>
        <w:bottom w:w="0" w:type="dxa"/>
        <w:right w:w="108" w:type="dxa"/>
      </w:tblCellMar>
    </w:tblPr>
    <w:tcPr>
      <w:shd w:val="clear" w:color="auto" w:fill="ECF1F9"/>
    </w:tcPr>
  </w:style>
  <w:style w:type="table" w:customStyle="1" w:styleId="1-11">
    <w:name w:val="Средняя заливка 1 - Акцент 11"/>
    <w:uiPriority w:val="99"/>
    <w:rsid w:val="000E3A65"/>
    <w:rPr>
      <w:rFonts w:ascii="Calibri" w:hAnsi="Calibri"/>
      <w:lang w:eastAsia="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3-61">
    <w:name w:val="Средняя сетка 3 - Акцент 61"/>
    <w:uiPriority w:val="99"/>
    <w:rsid w:val="000E3A65"/>
    <w:rPr>
      <w:rFonts w:ascii="Calibri" w:hAnsi="Calibri"/>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style>
  <w:style w:type="table" w:customStyle="1" w:styleId="1-51">
    <w:name w:val="Средняя заливка 1 - Акцент 51"/>
    <w:uiPriority w:val="99"/>
    <w:rsid w:val="000E3A65"/>
    <w:rPr>
      <w:rFonts w:ascii="Calibri" w:hAnsi="Calibri"/>
      <w:lang w:eastAsia="en-US"/>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style>
  <w:style w:type="table" w:styleId="2-4">
    <w:name w:val="Medium Shading 2 Accent 4"/>
    <w:basedOn w:val="a5"/>
    <w:uiPriority w:val="99"/>
    <w:rsid w:val="000E3A6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FC000"/>
      </w:tcPr>
    </w:tblStylePr>
    <w:tblStylePr w:type="lastCol">
      <w:rPr>
        <w:rFonts w:cs="Times New Roman"/>
        <w:b/>
        <w:bCs/>
        <w:color w:val="FFFFFF"/>
      </w:rPr>
      <w:tblPr/>
      <w:tcPr>
        <w:tcBorders>
          <w:left w:val="nil"/>
          <w:right w:val="nil"/>
          <w:insideH w:val="nil"/>
          <w:insideV w:val="nil"/>
        </w:tcBorders>
        <w:shd w:val="clear" w:color="auto" w:fill="FFC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5"/>
    <w:uiPriority w:val="99"/>
    <w:rsid w:val="000E3A6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1-3">
    <w:name w:val="Medium Shading 1 Accent 3"/>
    <w:basedOn w:val="a5"/>
    <w:uiPriority w:val="99"/>
    <w:rsid w:val="000E3A65"/>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pPr>
      <w:rPr>
        <w:rFonts w:cs="Times New Roman"/>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pPr>
      <w:rPr>
        <w:rFonts w:cs="Times New Roman"/>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8E8E8"/>
      </w:tcPr>
    </w:tblStylePr>
    <w:tblStylePr w:type="band1Horz">
      <w:rPr>
        <w:rFonts w:cs="Times New Roman"/>
      </w:rPr>
      <w:tblPr/>
      <w:tcPr>
        <w:tcBorders>
          <w:insideH w:val="nil"/>
          <w:insideV w:val="nil"/>
        </w:tcBorders>
        <w:shd w:val="clear" w:color="auto" w:fill="E8E8E8"/>
      </w:tcPr>
    </w:tblStylePr>
    <w:tblStylePr w:type="band2Horz">
      <w:rPr>
        <w:rFonts w:cs="Times New Roman"/>
      </w:rPr>
      <w:tblPr/>
      <w:tcPr>
        <w:tcBorders>
          <w:insideH w:val="nil"/>
          <w:insideV w:val="nil"/>
        </w:tcBorders>
      </w:tcPr>
    </w:tblStylePr>
  </w:style>
  <w:style w:type="table" w:styleId="-33">
    <w:name w:val="Light Shading Accent 3"/>
    <w:basedOn w:val="a5"/>
    <w:uiPriority w:val="99"/>
    <w:rsid w:val="000E3A65"/>
    <w:rPr>
      <w:color w:val="7B7B7B"/>
    </w:rPr>
    <w:tblPr>
      <w:tblStyleRowBandSize w:val="1"/>
      <w:tblStyleColBandSize w:val="1"/>
      <w:tblBorders>
        <w:top w:val="single" w:sz="8" w:space="0" w:color="A5A5A5"/>
        <w:bottom w:val="single" w:sz="8" w:space="0" w:color="A5A5A5"/>
      </w:tblBorders>
    </w:tblPr>
    <w:tblStylePr w:type="fir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la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left w:val="nil"/>
          <w:right w:val="nil"/>
          <w:insideH w:val="nil"/>
          <w:insideV w:val="nil"/>
        </w:tcBorders>
        <w:shd w:val="clear" w:color="auto" w:fill="E8E8E8"/>
      </w:tcPr>
    </w:tblStylePr>
  </w:style>
  <w:style w:type="table" w:styleId="-50">
    <w:name w:val="Light List Accent 5"/>
    <w:basedOn w:val="a5"/>
    <w:uiPriority w:val="99"/>
    <w:rsid w:val="000E3A65"/>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pPr>
      <w:rPr>
        <w:rFonts w:cs="Times New Roman"/>
        <w:b/>
        <w:bCs/>
        <w:color w:val="FFFFFF"/>
      </w:rPr>
      <w:tblPr/>
      <w:tcPr>
        <w:shd w:val="clear" w:color="auto" w:fill="4472C4"/>
      </w:tcPr>
    </w:tblStylePr>
    <w:tblStylePr w:type="lastRow">
      <w:pPr>
        <w:spacing w:before="0" w:after="0"/>
      </w:pPr>
      <w:rPr>
        <w:rFonts w:cs="Times New Roman"/>
        <w:b/>
        <w:bCs/>
      </w:rPr>
      <w:tblPr/>
      <w:tcPr>
        <w:tcBorders>
          <w:top w:val="double" w:sz="6" w:space="0" w:color="4472C4"/>
          <w:left w:val="single" w:sz="8" w:space="0" w:color="4472C4"/>
          <w:bottom w:val="single" w:sz="8" w:space="0" w:color="4472C4"/>
          <w:right w:val="single" w:sz="8"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tcBorders>
      </w:tcPr>
    </w:tblStylePr>
  </w:style>
  <w:style w:type="table" w:styleId="-34">
    <w:name w:val="Colorful Grid Accent 3"/>
    <w:basedOn w:val="a5"/>
    <w:uiPriority w:val="99"/>
    <w:rsid w:val="000E3A65"/>
    <w:rPr>
      <w:color w:val="000000"/>
    </w:rPr>
    <w:tblPr>
      <w:tblStyleRowBandSize w:val="1"/>
      <w:tblStyleColBandSize w:val="1"/>
      <w:tblBorders>
        <w:insideH w:val="single" w:sz="4" w:space="0" w:color="FFFFFF"/>
      </w:tblBorders>
    </w:tblPr>
    <w:tcPr>
      <w:shd w:val="clear" w:color="auto" w:fill="EDEDED"/>
    </w:tcPr>
    <w:tblStylePr w:type="firstRow">
      <w:rPr>
        <w:rFonts w:cs="Times New Roman"/>
        <w:b/>
        <w:bCs/>
      </w:rPr>
      <w:tblPr/>
      <w:tcPr>
        <w:shd w:val="clear" w:color="auto" w:fill="DBDBDB"/>
      </w:tcPr>
    </w:tblStylePr>
    <w:tblStylePr w:type="lastRow">
      <w:rPr>
        <w:rFonts w:cs="Times New Roman"/>
        <w:b/>
        <w:bCs/>
        <w:color w:val="000000"/>
      </w:rPr>
      <w:tblPr/>
      <w:tcPr>
        <w:shd w:val="clear" w:color="auto" w:fill="DBDBDB"/>
      </w:tcPr>
    </w:tblStylePr>
    <w:tblStylePr w:type="firstCol">
      <w:rPr>
        <w:rFonts w:cs="Times New Roman"/>
        <w:color w:val="FFFFFF"/>
      </w:rPr>
      <w:tblPr/>
      <w:tcPr>
        <w:shd w:val="clear" w:color="auto" w:fill="7B7B7B"/>
      </w:tcPr>
    </w:tblStylePr>
    <w:tblStylePr w:type="lastCol">
      <w:rPr>
        <w:rFonts w:cs="Times New Roman"/>
        <w:color w:val="FFFFFF"/>
      </w:rPr>
      <w:tblPr/>
      <w:tcPr>
        <w:shd w:val="clear" w:color="auto" w:fill="7B7B7B"/>
      </w:tcPr>
    </w:tblStylePr>
    <w:tblStylePr w:type="band1Vert">
      <w:rPr>
        <w:rFonts w:cs="Times New Roman"/>
      </w:rPr>
      <w:tblPr/>
      <w:tcPr>
        <w:shd w:val="clear" w:color="auto" w:fill="D2D2D2"/>
      </w:tcPr>
    </w:tblStylePr>
    <w:tblStylePr w:type="band1Horz">
      <w:rPr>
        <w:rFonts w:cs="Times New Roman"/>
      </w:rPr>
      <w:tblPr/>
      <w:tcPr>
        <w:shd w:val="clear" w:color="auto" w:fill="D2D2D2"/>
      </w:tcPr>
    </w:tblStylePr>
  </w:style>
  <w:style w:type="table" w:customStyle="1" w:styleId="2-12">
    <w:name w:val="Средняя заливка 2 - Акцент 12"/>
    <w:uiPriority w:val="99"/>
    <w:rsid w:val="000E3A6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2-5">
    <w:name w:val="Medium Shading 2 Accent 5"/>
    <w:basedOn w:val="a5"/>
    <w:uiPriority w:val="99"/>
    <w:rsid w:val="000E3A6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472C4"/>
      </w:tcPr>
    </w:tblStylePr>
    <w:tblStylePr w:type="lastCol">
      <w:rPr>
        <w:rFonts w:cs="Times New Roman"/>
        <w:b/>
        <w:bCs/>
        <w:color w:val="FFFFFF"/>
      </w:rPr>
      <w:tblPr/>
      <w:tcPr>
        <w:tcBorders>
          <w:left w:val="nil"/>
          <w:right w:val="nil"/>
          <w:insideH w:val="nil"/>
          <w:insideV w:val="nil"/>
        </w:tcBorders>
        <w:shd w:val="clear" w:color="auto" w:fill="4472C4"/>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25">
    <w:name w:val="Средняя заливка 12"/>
    <w:uiPriority w:val="99"/>
    <w:rsid w:val="000E3A65"/>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styleId="-52">
    <w:name w:val="Colorful List Accent 5"/>
    <w:basedOn w:val="a5"/>
    <w:uiPriority w:val="99"/>
    <w:rsid w:val="000E3A65"/>
    <w:rPr>
      <w:color w:val="000000"/>
    </w:rPr>
    <w:tblPr>
      <w:tblStyleRowBandSize w:val="1"/>
      <w:tblStyleColBandSize w:val="1"/>
    </w:tblPr>
    <w:tcPr>
      <w:shd w:val="clear" w:color="auto" w:fill="ECF1F9"/>
    </w:tcPr>
    <w:tblStylePr w:type="firstRow">
      <w:rPr>
        <w:rFonts w:cs="Times New Roman"/>
        <w:b/>
        <w:bCs/>
        <w:color w:val="FFFFFF"/>
      </w:rPr>
      <w:tblPr/>
      <w:tcPr>
        <w:tcBorders>
          <w:bottom w:val="single" w:sz="12" w:space="0" w:color="FFFFFF"/>
        </w:tcBorders>
        <w:shd w:val="clear" w:color="auto" w:fill="598A38"/>
      </w:tcPr>
    </w:tblStylePr>
    <w:tblStylePr w:type="lastRow">
      <w:rPr>
        <w:rFonts w:cs="Times New Roman"/>
        <w:b/>
        <w:bCs/>
        <w:color w:val="598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0DBF0"/>
      </w:tcPr>
    </w:tblStylePr>
    <w:tblStylePr w:type="band1Horz">
      <w:rPr>
        <w:rFonts w:cs="Times New Roman"/>
      </w:rPr>
      <w:tblPr/>
      <w:tcPr>
        <w:shd w:val="clear" w:color="auto" w:fill="D9E2F3"/>
      </w:tcPr>
    </w:tblStylePr>
  </w:style>
  <w:style w:type="table" w:customStyle="1" w:styleId="1-12">
    <w:name w:val="Средняя заливка 1 - Акцент 12"/>
    <w:uiPriority w:val="99"/>
    <w:rsid w:val="000E3A65"/>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styleId="3-6">
    <w:name w:val="Medium Grid 3 Accent 6"/>
    <w:basedOn w:val="a5"/>
    <w:uiPriority w:val="99"/>
    <w:rsid w:val="000E3A6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1-5">
    <w:name w:val="Medium Shading 1 Accent 5"/>
    <w:basedOn w:val="a5"/>
    <w:uiPriority w:val="99"/>
    <w:rsid w:val="000E3A65"/>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pPr>
      <w:rPr>
        <w:rFonts w:cs="Times New Roman"/>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Times New Roman"/>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DBF0"/>
      </w:tcPr>
    </w:tblStylePr>
    <w:tblStylePr w:type="band1Horz">
      <w:rPr>
        <w:rFonts w:cs="Times New Roman"/>
      </w:rPr>
      <w:tblPr/>
      <w:tcPr>
        <w:tcBorders>
          <w:insideH w:val="nil"/>
          <w:insideV w:val="nil"/>
        </w:tcBorders>
        <w:shd w:val="clear" w:color="auto" w:fill="D0DBF0"/>
      </w:tcPr>
    </w:tblStylePr>
    <w:tblStylePr w:type="band2Horz">
      <w:rPr>
        <w:rFonts w:cs="Times New Roman"/>
      </w:rPr>
      <w:tblPr/>
      <w:tcPr>
        <w:tcBorders>
          <w:insideH w:val="nil"/>
          <w:insideV w:val="nil"/>
        </w:tcBorders>
      </w:tcPr>
    </w:tblStylePr>
  </w:style>
  <w:style w:type="paragraph" w:styleId="afffffffe">
    <w:name w:val="Subtitle"/>
    <w:aliases w:val="Знак4,Знак41"/>
    <w:basedOn w:val="a2"/>
    <w:link w:val="affffffff"/>
    <w:uiPriority w:val="99"/>
    <w:qFormat/>
    <w:rsid w:val="00C4287E"/>
    <w:pPr>
      <w:jc w:val="both"/>
    </w:pPr>
  </w:style>
  <w:style w:type="character" w:customStyle="1" w:styleId="affffffff">
    <w:name w:val="Подзаголовок Знак"/>
    <w:aliases w:val="Знак4 Знак,Знак41 Знак"/>
    <w:link w:val="afffffffe"/>
    <w:uiPriority w:val="99"/>
    <w:locked/>
    <w:rsid w:val="00C4287E"/>
    <w:rPr>
      <w:rFonts w:eastAsia="Times New Roman" w:cs="Times New Roman"/>
    </w:rPr>
  </w:style>
  <w:style w:type="character" w:customStyle="1" w:styleId="240">
    <w:name w:val="стиль240"/>
    <w:uiPriority w:val="99"/>
    <w:rsid w:val="00C4287E"/>
  </w:style>
  <w:style w:type="table" w:customStyle="1" w:styleId="162">
    <w:name w:val="Сетка таблицы16"/>
    <w:uiPriority w:val="99"/>
    <w:locked/>
    <w:rsid w:val="00C428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pub-date">
    <w:name w:val="cit-pub-date"/>
    <w:uiPriority w:val="99"/>
    <w:rsid w:val="00C4287E"/>
  </w:style>
  <w:style w:type="character" w:customStyle="1" w:styleId="cit-auth2">
    <w:name w:val="cit-auth2"/>
    <w:uiPriority w:val="99"/>
    <w:rsid w:val="00C4287E"/>
  </w:style>
  <w:style w:type="character" w:customStyle="1" w:styleId="cit-name-surname">
    <w:name w:val="cit-name-surname"/>
    <w:uiPriority w:val="99"/>
    <w:rsid w:val="00C4287E"/>
  </w:style>
  <w:style w:type="character" w:customStyle="1" w:styleId="cit-name-given-names">
    <w:name w:val="cit-name-given-names"/>
    <w:uiPriority w:val="99"/>
    <w:rsid w:val="00C4287E"/>
  </w:style>
  <w:style w:type="character" w:customStyle="1" w:styleId="name">
    <w:name w:val="name"/>
    <w:uiPriority w:val="99"/>
    <w:rsid w:val="00C4287E"/>
  </w:style>
  <w:style w:type="character" w:customStyle="1" w:styleId="c6">
    <w:name w:val="c6"/>
    <w:uiPriority w:val="99"/>
    <w:rsid w:val="00C4287E"/>
  </w:style>
  <w:style w:type="character" w:customStyle="1" w:styleId="CommentTextChar1">
    <w:name w:val="Comment Text Char1"/>
    <w:uiPriority w:val="99"/>
    <w:semiHidden/>
    <w:rsid w:val="00C4287E"/>
    <w:rPr>
      <w:rFonts w:ascii="Times New Roman" w:hAnsi="Times New Roman"/>
      <w:sz w:val="20"/>
    </w:rPr>
  </w:style>
  <w:style w:type="character" w:customStyle="1" w:styleId="CommentSubjectChar1">
    <w:name w:val="Comment Subject Char1"/>
    <w:uiPriority w:val="99"/>
    <w:semiHidden/>
    <w:rsid w:val="00C4287E"/>
    <w:rPr>
      <w:rFonts w:ascii="Times New Roman" w:hAnsi="Times New Roman"/>
      <w:b/>
      <w:sz w:val="20"/>
    </w:rPr>
  </w:style>
  <w:style w:type="character" w:customStyle="1" w:styleId="cit-source">
    <w:name w:val="cit-source"/>
    <w:uiPriority w:val="99"/>
    <w:rsid w:val="00C4287E"/>
  </w:style>
  <w:style w:type="character" w:customStyle="1" w:styleId="cit-vol5">
    <w:name w:val="cit-vol5"/>
    <w:uiPriority w:val="99"/>
    <w:rsid w:val="00C4287E"/>
  </w:style>
  <w:style w:type="character" w:customStyle="1" w:styleId="cit-fpage">
    <w:name w:val="cit-fpage"/>
    <w:uiPriority w:val="99"/>
    <w:rsid w:val="00C4287E"/>
  </w:style>
  <w:style w:type="character" w:customStyle="1" w:styleId="cit-article-title">
    <w:name w:val="cit-article-title"/>
    <w:uiPriority w:val="99"/>
    <w:rsid w:val="00C4287E"/>
  </w:style>
  <w:style w:type="character" w:customStyle="1" w:styleId="ie6-abbr-wrap">
    <w:name w:val="ie6-abbr-wrap"/>
    <w:uiPriority w:val="99"/>
    <w:rsid w:val="00C4287E"/>
  </w:style>
  <w:style w:type="character" w:customStyle="1" w:styleId="cit-vol4">
    <w:name w:val="cit-vol4"/>
    <w:uiPriority w:val="99"/>
    <w:rsid w:val="00C4287E"/>
  </w:style>
  <w:style w:type="character" w:customStyle="1" w:styleId="cit-lpage">
    <w:name w:val="cit-lpage"/>
    <w:uiPriority w:val="99"/>
    <w:rsid w:val="00C4287E"/>
  </w:style>
  <w:style w:type="character" w:customStyle="1" w:styleId="slug-vol">
    <w:name w:val="slug-vol"/>
    <w:uiPriority w:val="99"/>
    <w:rsid w:val="00C4287E"/>
  </w:style>
  <w:style w:type="character" w:customStyle="1" w:styleId="slug-issue">
    <w:name w:val="slug-issue"/>
    <w:uiPriority w:val="99"/>
    <w:rsid w:val="00C4287E"/>
  </w:style>
  <w:style w:type="paragraph" w:customStyle="1" w:styleId="metaauthor">
    <w:name w:val="metaauthor"/>
    <w:basedOn w:val="a2"/>
    <w:uiPriority w:val="99"/>
    <w:rsid w:val="00C4287E"/>
    <w:pPr>
      <w:spacing w:before="100" w:beforeAutospacing="1" w:after="100" w:afterAutospacing="1"/>
    </w:pPr>
    <w:rPr>
      <w:sz w:val="24"/>
      <w:szCs w:val="24"/>
    </w:rPr>
  </w:style>
  <w:style w:type="character" w:customStyle="1" w:styleId="google-src-text1">
    <w:name w:val="google-src-text1"/>
    <w:uiPriority w:val="99"/>
    <w:rsid w:val="00C4287E"/>
    <w:rPr>
      <w:vanish/>
      <w:vertAlign w:val="baseline"/>
    </w:rPr>
  </w:style>
  <w:style w:type="paragraph" w:customStyle="1" w:styleId="authors">
    <w:name w:val="authors"/>
    <w:basedOn w:val="a2"/>
    <w:uiPriority w:val="99"/>
    <w:rsid w:val="00C4287E"/>
    <w:pPr>
      <w:textAlignment w:val="baseline"/>
    </w:pPr>
    <w:rPr>
      <w:sz w:val="24"/>
      <w:szCs w:val="24"/>
      <w:lang w:eastAsia="zh-CN"/>
    </w:rPr>
  </w:style>
  <w:style w:type="paragraph" w:customStyle="1" w:styleId="NormalRus">
    <w:name w:val="NormalRus"/>
    <w:basedOn w:val="a2"/>
    <w:uiPriority w:val="99"/>
    <w:rsid w:val="000C5642"/>
    <w:pPr>
      <w:spacing w:line="480" w:lineRule="atLeast"/>
      <w:ind w:firstLine="567"/>
    </w:pPr>
    <w:rPr>
      <w:sz w:val="28"/>
    </w:rPr>
  </w:style>
  <w:style w:type="table" w:customStyle="1" w:styleId="172">
    <w:name w:val="Сетка таблицы17"/>
    <w:uiPriority w:val="99"/>
    <w:rsid w:val="000C5642"/>
    <w:rPr>
      <w:rFonts w:ascii="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b">
    <w:name w:val="Светлая заливка1"/>
    <w:uiPriority w:val="99"/>
    <w:rsid w:val="000C5642"/>
    <w:rPr>
      <w:rFonts w:ascii="Calibri" w:hAnsi="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0C5642"/>
    <w:rPr>
      <w:rFonts w:ascii="Calibri" w:hAnsi="Calibri"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xbbcode-b">
    <w:name w:val="xbbcode-b"/>
    <w:uiPriority w:val="99"/>
    <w:rsid w:val="000C5642"/>
  </w:style>
  <w:style w:type="character" w:customStyle="1" w:styleId="xbbcode-indent">
    <w:name w:val="xbbcode-indent"/>
    <w:uiPriority w:val="99"/>
    <w:rsid w:val="000C5642"/>
  </w:style>
  <w:style w:type="character" w:customStyle="1" w:styleId="xbbcode-size-20">
    <w:name w:val="xbbcode-size-20"/>
    <w:uiPriority w:val="99"/>
    <w:rsid w:val="000C5642"/>
  </w:style>
  <w:style w:type="character" w:customStyle="1" w:styleId="xbbcode-i">
    <w:name w:val="xbbcode-i"/>
    <w:uiPriority w:val="99"/>
    <w:rsid w:val="000C5642"/>
  </w:style>
  <w:style w:type="paragraph" w:customStyle="1" w:styleId="4d">
    <w:name w:val="Абзац списка4"/>
    <w:basedOn w:val="a2"/>
    <w:uiPriority w:val="99"/>
    <w:rsid w:val="000962F3"/>
    <w:pPr>
      <w:spacing w:after="160" w:line="259" w:lineRule="auto"/>
      <w:ind w:left="720"/>
      <w:contextualSpacing/>
    </w:pPr>
    <w:rPr>
      <w:rFonts w:ascii="Calibri" w:hAnsi="Calibri"/>
      <w:sz w:val="22"/>
      <w:szCs w:val="22"/>
      <w:lang w:eastAsia="en-US"/>
    </w:rPr>
  </w:style>
  <w:style w:type="paragraph" w:customStyle="1" w:styleId="-312">
    <w:name w:val="Таблица-сетка 31"/>
    <w:basedOn w:val="10"/>
    <w:next w:val="a2"/>
    <w:uiPriority w:val="99"/>
    <w:rsid w:val="000962F3"/>
    <w:pPr>
      <w:keepLines/>
      <w:spacing w:before="240" w:line="259" w:lineRule="auto"/>
      <w:jc w:val="left"/>
      <w:outlineLvl w:val="9"/>
    </w:pPr>
    <w:rPr>
      <w:rFonts w:ascii="Calibri Light" w:hAnsi="Calibri Light"/>
      <w:b w:val="0"/>
      <w:color w:val="2E74B5"/>
      <w:kern w:val="0"/>
      <w:szCs w:val="32"/>
      <w:lang w:eastAsia="ru-RU"/>
    </w:rPr>
  </w:style>
  <w:style w:type="paragraph" w:customStyle="1" w:styleId="-110">
    <w:name w:val="Цветной список - Акцент 11"/>
    <w:basedOn w:val="a2"/>
    <w:uiPriority w:val="99"/>
    <w:rsid w:val="000962F3"/>
    <w:pPr>
      <w:spacing w:after="160" w:line="259" w:lineRule="auto"/>
      <w:ind w:left="720"/>
      <w:contextualSpacing/>
    </w:pPr>
    <w:rPr>
      <w:rFonts w:ascii="Calibri" w:hAnsi="Calibri"/>
      <w:sz w:val="22"/>
      <w:szCs w:val="22"/>
      <w:lang w:eastAsia="en-US"/>
    </w:rPr>
  </w:style>
  <w:style w:type="table" w:customStyle="1" w:styleId="184">
    <w:name w:val="Сетка таблицы18"/>
    <w:uiPriority w:val="99"/>
    <w:rsid w:val="00E879E4"/>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uiPriority w:val="99"/>
    <w:rsid w:val="000867E1"/>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uiPriority w:val="99"/>
    <w:rsid w:val="000867E1"/>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uiPriority w:val="99"/>
    <w:rsid w:val="000867E1"/>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uiPriority w:val="99"/>
    <w:rsid w:val="000867E1"/>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rsid w:val="000867E1"/>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uiPriority w:val="99"/>
    <w:rsid w:val="000867E1"/>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uiPriority w:val="99"/>
    <w:rsid w:val="000867E1"/>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0">
    <w:name w:val="Подпись к рисунку"/>
    <w:basedOn w:val="a2"/>
    <w:uiPriority w:val="99"/>
    <w:rsid w:val="00BE5F19"/>
    <w:pPr>
      <w:keepLines/>
      <w:widowControl w:val="0"/>
      <w:spacing w:after="360" w:line="360" w:lineRule="auto"/>
      <w:jc w:val="center"/>
    </w:pPr>
    <w:rPr>
      <w:sz w:val="28"/>
      <w:szCs w:val="28"/>
    </w:rPr>
  </w:style>
  <w:style w:type="paragraph" w:customStyle="1" w:styleId="affffffff1">
    <w:name w:val="Примечание к таблице"/>
    <w:basedOn w:val="a2"/>
    <w:uiPriority w:val="99"/>
    <w:rsid w:val="00D90EB2"/>
    <w:pPr>
      <w:jc w:val="both"/>
    </w:pPr>
    <w:rPr>
      <w:bCs/>
      <w:iCs/>
      <w:sz w:val="24"/>
      <w:szCs w:val="24"/>
    </w:rPr>
  </w:style>
  <w:style w:type="paragraph" w:customStyle="1" w:styleId="affffffff2">
    <w:name w:val="Табличные данные"/>
    <w:uiPriority w:val="99"/>
    <w:rsid w:val="00BE5F19"/>
    <w:pPr>
      <w:keepNext/>
      <w:spacing w:line="360" w:lineRule="auto"/>
    </w:pPr>
    <w:rPr>
      <w:bCs/>
      <w:sz w:val="28"/>
      <w:szCs w:val="28"/>
    </w:rPr>
  </w:style>
  <w:style w:type="character" w:customStyle="1" w:styleId="authorsname">
    <w:name w:val="authors__name"/>
    <w:uiPriority w:val="99"/>
    <w:rsid w:val="00BE5F19"/>
    <w:rPr>
      <w:rFonts w:cs="Times New Roman"/>
    </w:rPr>
  </w:style>
  <w:style w:type="table" w:customStyle="1" w:styleId="260">
    <w:name w:val="Сетка таблицы26"/>
    <w:uiPriority w:val="99"/>
    <w:rsid w:val="00BE5F19"/>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
    <w:name w:val="Mention"/>
    <w:uiPriority w:val="99"/>
    <w:semiHidden/>
    <w:rsid w:val="00BE5F19"/>
    <w:rPr>
      <w:rFonts w:cs="Times New Roman"/>
      <w:color w:val="2B579A"/>
      <w:shd w:val="clear" w:color="auto" w:fill="E6E6E6"/>
    </w:rPr>
  </w:style>
  <w:style w:type="table" w:customStyle="1" w:styleId="272">
    <w:name w:val="Сетка таблицы27"/>
    <w:uiPriority w:val="99"/>
    <w:rsid w:val="00CB4B3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uiPriority w:val="99"/>
    <w:rsid w:val="00CB4B3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uiPriority w:val="99"/>
    <w:rsid w:val="006255D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uiPriority w:val="99"/>
    <w:rsid w:val="006255D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Абзац списка5"/>
    <w:basedOn w:val="a2"/>
    <w:uiPriority w:val="99"/>
    <w:rsid w:val="00E91EA2"/>
    <w:pPr>
      <w:suppressAutoHyphens/>
      <w:ind w:left="720"/>
    </w:pPr>
    <w:rPr>
      <w:sz w:val="24"/>
      <w:szCs w:val="24"/>
      <w:lang w:eastAsia="ar-SA"/>
    </w:rPr>
  </w:style>
  <w:style w:type="character" w:customStyle="1" w:styleId="bl">
    <w:name w:val="bl"/>
    <w:uiPriority w:val="99"/>
    <w:rsid w:val="00E91EA2"/>
    <w:rPr>
      <w:rFonts w:cs="Times New Roman"/>
    </w:rPr>
  </w:style>
  <w:style w:type="character" w:customStyle="1" w:styleId="ref-label">
    <w:name w:val="ref-label"/>
    <w:uiPriority w:val="99"/>
    <w:rsid w:val="00E91EA2"/>
    <w:rPr>
      <w:rFonts w:cs="Times New Roman"/>
    </w:rPr>
  </w:style>
  <w:style w:type="table" w:customStyle="1" w:styleId="315">
    <w:name w:val="Сетка таблицы31"/>
    <w:uiPriority w:val="99"/>
    <w:rsid w:val="00E91EA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99"/>
    <w:rsid w:val="007A7A6F"/>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uiPriority w:val="99"/>
    <w:rsid w:val="007A7A6F"/>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e">
    <w:name w:val="Название объекта Знак"/>
    <w:link w:val="afffffd"/>
    <w:uiPriority w:val="99"/>
    <w:locked/>
    <w:rsid w:val="00084E8E"/>
    <w:rPr>
      <w:rFonts w:ascii="Calibri" w:hAnsi="Calibri"/>
      <w:i/>
      <w:sz w:val="24"/>
      <w:lang w:eastAsia="zh-CN"/>
    </w:rPr>
  </w:style>
  <w:style w:type="table" w:customStyle="1" w:styleId="340">
    <w:name w:val="Сетка таблицы34"/>
    <w:uiPriority w:val="99"/>
    <w:rsid w:val="00084E8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uiPriority w:val="99"/>
    <w:rsid w:val="007523C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uiPriority w:val="99"/>
    <w:rsid w:val="007523C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
    <w:uiPriority w:val="99"/>
    <w:rsid w:val="007523C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uiPriority w:val="99"/>
    <w:rsid w:val="007523C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3">
    <w:name w:val="Сетка таблицы39"/>
    <w:uiPriority w:val="99"/>
    <w:rsid w:val="001009E1"/>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uiPriority w:val="99"/>
    <w:rsid w:val="00AA541D"/>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
    <w:uiPriority w:val="99"/>
    <w:rsid w:val="00C06ECB"/>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3">
    <w:name w:val="Сетка таблицы210"/>
    <w:uiPriority w:val="99"/>
    <w:rsid w:val="00C06ECB"/>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A10441"/>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uiPriority w:val="99"/>
    <w:rsid w:val="00A10441"/>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uiPriority w:val="99"/>
    <w:rsid w:val="006023A8"/>
    <w:rPr>
      <w:rFonts w:cs="Times New Roman"/>
    </w:rPr>
  </w:style>
  <w:style w:type="character" w:customStyle="1" w:styleId="atn">
    <w:name w:val="atn"/>
    <w:uiPriority w:val="99"/>
    <w:rsid w:val="006023A8"/>
    <w:rPr>
      <w:rFonts w:cs="Times New Roman"/>
    </w:rPr>
  </w:style>
  <w:style w:type="table" w:customStyle="1" w:styleId="-12">
    <w:name w:val="Светлая заливка - Акцент 12"/>
    <w:uiPriority w:val="99"/>
    <w:rsid w:val="006023A8"/>
    <w:rPr>
      <w:rFonts w:ascii="Calibri" w:hAnsi="Calibri"/>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paragraph" w:customStyle="1" w:styleId="DecimalAligned">
    <w:name w:val="Decimal Aligned"/>
    <w:basedOn w:val="a2"/>
    <w:uiPriority w:val="99"/>
    <w:rsid w:val="006023A8"/>
    <w:pPr>
      <w:tabs>
        <w:tab w:val="decimal" w:pos="360"/>
      </w:tabs>
      <w:spacing w:after="200" w:line="276" w:lineRule="auto"/>
    </w:pPr>
    <w:rPr>
      <w:rFonts w:ascii="Calibri" w:hAnsi="Calibri"/>
      <w:sz w:val="22"/>
      <w:szCs w:val="22"/>
    </w:rPr>
  </w:style>
  <w:style w:type="character" w:styleId="affffffff3">
    <w:name w:val="Subtle Emphasis"/>
    <w:uiPriority w:val="99"/>
    <w:qFormat/>
    <w:rsid w:val="006023A8"/>
    <w:rPr>
      <w:rFonts w:cs="Times New Roman"/>
      <w:i/>
      <w:iCs/>
      <w:color w:val="7F7F7F"/>
    </w:rPr>
  </w:style>
  <w:style w:type="paragraph" w:customStyle="1" w:styleId="11d">
    <w:name w:val="Заголовок 11"/>
    <w:uiPriority w:val="99"/>
    <w:rsid w:val="006023A8"/>
    <w:pPr>
      <w:spacing w:before="100" w:after="100"/>
      <w:outlineLvl w:val="0"/>
    </w:pPr>
    <w:rPr>
      <w:rFonts w:ascii="Times New Roman Bold" w:hAnsi="Times New Roman Bold"/>
      <w:color w:val="000000"/>
      <w:kern w:val="36"/>
      <w:sz w:val="48"/>
    </w:rPr>
  </w:style>
  <w:style w:type="paragraph" w:styleId="affffffff4">
    <w:name w:val="Intense Quote"/>
    <w:basedOn w:val="a2"/>
    <w:next w:val="a2"/>
    <w:link w:val="affffffff5"/>
    <w:uiPriority w:val="99"/>
    <w:qFormat/>
    <w:rsid w:val="006023A8"/>
    <w:pPr>
      <w:pBdr>
        <w:bottom w:val="single" w:sz="4" w:space="4" w:color="5B9BD5"/>
      </w:pBdr>
      <w:spacing w:before="200" w:after="280" w:line="276" w:lineRule="auto"/>
      <w:ind w:left="936" w:right="936"/>
    </w:pPr>
    <w:rPr>
      <w:rFonts w:ascii="Calibri" w:hAnsi="Calibri"/>
      <w:b/>
      <w:bCs/>
      <w:i/>
      <w:iCs/>
      <w:color w:val="5B9BD5"/>
      <w:sz w:val="22"/>
      <w:szCs w:val="22"/>
    </w:rPr>
  </w:style>
  <w:style w:type="character" w:customStyle="1" w:styleId="affffffff5">
    <w:name w:val="Выделенная цитата Знак"/>
    <w:link w:val="affffffff4"/>
    <w:uiPriority w:val="99"/>
    <w:locked/>
    <w:rsid w:val="006023A8"/>
    <w:rPr>
      <w:rFonts w:ascii="Calibri" w:hAnsi="Calibri" w:cs="Times New Roman"/>
      <w:b/>
      <w:bCs/>
      <w:i/>
      <w:iCs/>
      <w:color w:val="5B9BD5"/>
      <w:sz w:val="22"/>
      <w:szCs w:val="22"/>
    </w:rPr>
  </w:style>
  <w:style w:type="table" w:customStyle="1" w:styleId="440">
    <w:name w:val="Сетка таблицы44"/>
    <w:uiPriority w:val="99"/>
    <w:rsid w:val="007B18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9">
    <w:name w:val="Знак6"/>
    <w:uiPriority w:val="99"/>
    <w:rsid w:val="007B181E"/>
    <w:rPr>
      <w:sz w:val="28"/>
      <w:lang w:val="ru-RU" w:eastAsia="ru-RU"/>
    </w:rPr>
  </w:style>
  <w:style w:type="character" w:customStyle="1" w:styleId="3f8">
    <w:name w:val="Знак3"/>
    <w:uiPriority w:val="99"/>
    <w:rsid w:val="007B181E"/>
    <w:rPr>
      <w:rFonts w:ascii="Times New Roman" w:hAnsi="Times New Roman"/>
      <w:sz w:val="24"/>
      <w:lang w:eastAsia="ru-RU"/>
    </w:rPr>
  </w:style>
  <w:style w:type="character" w:customStyle="1" w:styleId="104">
    <w:name w:val="Знак10 Знак"/>
    <w:uiPriority w:val="99"/>
    <w:rsid w:val="007B181E"/>
    <w:rPr>
      <w:rFonts w:ascii="Arial" w:hAnsi="Arial"/>
      <w:b/>
      <w:sz w:val="26"/>
      <w:lang w:val="ru-RU" w:eastAsia="ru-RU"/>
    </w:rPr>
  </w:style>
  <w:style w:type="character" w:customStyle="1" w:styleId="wmi-callto">
    <w:name w:val="wmi-callto"/>
    <w:uiPriority w:val="99"/>
    <w:rsid w:val="007B181E"/>
    <w:rPr>
      <w:rFonts w:cs="Times New Roman"/>
    </w:rPr>
  </w:style>
  <w:style w:type="character" w:customStyle="1" w:styleId="218">
    <w:name w:val="Основной текст с отступом 2 Знак1"/>
    <w:uiPriority w:val="99"/>
    <w:semiHidden/>
    <w:rsid w:val="007B181E"/>
    <w:rPr>
      <w:rFonts w:ascii="Times New Roman" w:hAnsi="Times New Roman"/>
      <w:sz w:val="24"/>
      <w:lang w:eastAsia="ru-RU"/>
    </w:rPr>
  </w:style>
  <w:style w:type="character" w:customStyle="1" w:styleId="HTML11">
    <w:name w:val="Стандартный HTML Знак1"/>
    <w:uiPriority w:val="99"/>
    <w:semiHidden/>
    <w:rsid w:val="007B181E"/>
    <w:rPr>
      <w:rFonts w:ascii="Consolas" w:hAnsi="Consolas"/>
      <w:sz w:val="20"/>
      <w:lang w:eastAsia="ru-RU"/>
    </w:rPr>
  </w:style>
  <w:style w:type="character" w:customStyle="1" w:styleId="610">
    <w:name w:val="Знак61"/>
    <w:uiPriority w:val="99"/>
    <w:rsid w:val="007B181E"/>
    <w:rPr>
      <w:sz w:val="28"/>
      <w:lang w:val="ru-RU" w:eastAsia="ru-RU"/>
    </w:rPr>
  </w:style>
  <w:style w:type="character" w:customStyle="1" w:styleId="316">
    <w:name w:val="Знак31"/>
    <w:uiPriority w:val="99"/>
    <w:rsid w:val="007B181E"/>
    <w:rPr>
      <w:rFonts w:ascii="Times New Roman" w:hAnsi="Times New Roman"/>
      <w:sz w:val="24"/>
      <w:lang w:eastAsia="ru-RU"/>
    </w:rPr>
  </w:style>
  <w:style w:type="character" w:customStyle="1" w:styleId="1010">
    <w:name w:val="Знак10 Знак1"/>
    <w:uiPriority w:val="99"/>
    <w:rsid w:val="007B181E"/>
    <w:rPr>
      <w:rFonts w:ascii="Arial" w:hAnsi="Arial"/>
      <w:b/>
      <w:sz w:val="26"/>
      <w:lang w:val="ru-RU" w:eastAsia="ru-RU"/>
    </w:rPr>
  </w:style>
  <w:style w:type="paragraph" w:customStyle="1" w:styleId="affffffff6">
    <w:name w:val="мое примечание"/>
    <w:basedOn w:val="a2"/>
    <w:link w:val="affffffff7"/>
    <w:uiPriority w:val="99"/>
    <w:rsid w:val="007B181E"/>
    <w:pPr>
      <w:autoSpaceDE w:val="0"/>
      <w:autoSpaceDN w:val="0"/>
      <w:adjustRightInd w:val="0"/>
      <w:spacing w:line="360" w:lineRule="auto"/>
      <w:ind w:firstLine="709"/>
      <w:jc w:val="both"/>
    </w:pPr>
    <w:rPr>
      <w:color w:val="FF0000"/>
      <w:sz w:val="28"/>
    </w:rPr>
  </w:style>
  <w:style w:type="character" w:customStyle="1" w:styleId="affffffff7">
    <w:name w:val="мое примечание Знак"/>
    <w:link w:val="affffffff6"/>
    <w:uiPriority w:val="99"/>
    <w:locked/>
    <w:rsid w:val="007B181E"/>
    <w:rPr>
      <w:rFonts w:eastAsia="Times New Roman"/>
      <w:color w:val="FF0000"/>
      <w:sz w:val="28"/>
    </w:rPr>
  </w:style>
  <w:style w:type="paragraph" w:customStyle="1" w:styleId="219">
    <w:name w:val="Список 21"/>
    <w:basedOn w:val="a2"/>
    <w:uiPriority w:val="99"/>
    <w:rsid w:val="007B181E"/>
    <w:pPr>
      <w:ind w:left="566" w:hanging="283"/>
    </w:pPr>
    <w:rPr>
      <w:sz w:val="24"/>
      <w:szCs w:val="24"/>
      <w:lang w:eastAsia="zh-CN"/>
    </w:rPr>
  </w:style>
  <w:style w:type="character" w:customStyle="1" w:styleId="word">
    <w:name w:val="word"/>
    <w:uiPriority w:val="99"/>
    <w:rsid w:val="007B181E"/>
  </w:style>
  <w:style w:type="character" w:customStyle="1" w:styleId="wordplur2highlight">
    <w:name w:val="word pl ur2 highlight"/>
    <w:uiPriority w:val="99"/>
    <w:rsid w:val="007B181E"/>
  </w:style>
  <w:style w:type="character" w:customStyle="1" w:styleId="wordplur0highlight">
    <w:name w:val="word pl ur0 highlight"/>
    <w:uiPriority w:val="99"/>
    <w:rsid w:val="007B181E"/>
  </w:style>
  <w:style w:type="character" w:customStyle="1" w:styleId="wordplur0ur2highlight">
    <w:name w:val="word pl ur0 ur2 highlight"/>
    <w:uiPriority w:val="99"/>
    <w:rsid w:val="007B181E"/>
  </w:style>
  <w:style w:type="table" w:customStyle="1" w:styleId="450">
    <w:name w:val="Сетка таблицы45"/>
    <w:uiPriority w:val="99"/>
    <w:rsid w:val="007B18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uiPriority w:val="99"/>
    <w:rsid w:val="007B18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uiPriority w:val="99"/>
    <w:rsid w:val="007B18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uiPriority w:val="99"/>
    <w:rsid w:val="00CB75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uiPriority w:val="99"/>
    <w:rsid w:val="00CB75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uiPriority w:val="99"/>
    <w:rsid w:val="00CB75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uiPriority w:val="99"/>
    <w:rsid w:val="00CB75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10">
    <w:name w:val="Основной текст (8)1"/>
    <w:basedOn w:val="a2"/>
    <w:uiPriority w:val="99"/>
    <w:rsid w:val="00D90EB2"/>
    <w:pPr>
      <w:shd w:val="clear" w:color="auto" w:fill="FFFFFF"/>
      <w:spacing w:line="274" w:lineRule="exact"/>
      <w:ind w:hanging="320"/>
    </w:pPr>
    <w:rPr>
      <w:shd w:val="clear" w:color="auto" w:fill="FFFFFF"/>
    </w:rPr>
  </w:style>
  <w:style w:type="paragraph" w:styleId="affffffff8">
    <w:name w:val="List Continue"/>
    <w:basedOn w:val="a2"/>
    <w:uiPriority w:val="99"/>
    <w:rsid w:val="00D90EB2"/>
    <w:pPr>
      <w:spacing w:after="120"/>
      <w:ind w:left="283"/>
      <w:contextualSpacing/>
    </w:pPr>
  </w:style>
  <w:style w:type="paragraph" w:customStyle="1" w:styleId="0">
    <w:name w:val="Основной_0 Знак"/>
    <w:basedOn w:val="a2"/>
    <w:uiPriority w:val="99"/>
    <w:rsid w:val="00B9238C"/>
    <w:pPr>
      <w:tabs>
        <w:tab w:val="left" w:pos="720"/>
      </w:tabs>
      <w:overflowPunct w:val="0"/>
      <w:autoSpaceDE w:val="0"/>
      <w:autoSpaceDN w:val="0"/>
      <w:adjustRightInd w:val="0"/>
      <w:ind w:firstLine="680"/>
      <w:jc w:val="both"/>
      <w:textAlignment w:val="baseline"/>
    </w:pPr>
    <w:rPr>
      <w:sz w:val="26"/>
    </w:rPr>
  </w:style>
  <w:style w:type="paragraph" w:customStyle="1" w:styleId="1ffc">
    <w:name w:val="Основной_1"/>
    <w:basedOn w:val="a2"/>
    <w:uiPriority w:val="99"/>
    <w:rsid w:val="00B9238C"/>
    <w:pPr>
      <w:overflowPunct w:val="0"/>
      <w:autoSpaceDE w:val="0"/>
      <w:autoSpaceDN w:val="0"/>
      <w:adjustRightInd w:val="0"/>
      <w:jc w:val="center"/>
      <w:textAlignment w:val="baseline"/>
    </w:pPr>
    <w:rPr>
      <w:b/>
      <w:sz w:val="28"/>
    </w:rPr>
  </w:style>
  <w:style w:type="table" w:customStyle="1" w:styleId="520">
    <w:name w:val="Сетка таблицы52"/>
    <w:uiPriority w:val="99"/>
    <w:rsid w:val="00B9238C"/>
    <w:pPr>
      <w:spacing w:after="200" w:line="276"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1">
    <w:name w:val="Текст2"/>
    <w:basedOn w:val="a2"/>
    <w:uiPriority w:val="99"/>
    <w:rsid w:val="00B9238C"/>
    <w:rPr>
      <w:rFonts w:ascii="Courier New" w:hAnsi="Courier New"/>
    </w:rPr>
  </w:style>
  <w:style w:type="character" w:customStyle="1" w:styleId="ti2">
    <w:name w:val="ti2"/>
    <w:uiPriority w:val="99"/>
    <w:rsid w:val="00B9238C"/>
    <w:rPr>
      <w:sz w:val="22"/>
    </w:rPr>
  </w:style>
  <w:style w:type="character" w:customStyle="1" w:styleId="2ff2">
    <w:name w:val="Знак Знак2"/>
    <w:uiPriority w:val="99"/>
    <w:rsid w:val="00B9238C"/>
    <w:rPr>
      <w:sz w:val="24"/>
    </w:rPr>
  </w:style>
  <w:style w:type="paragraph" w:customStyle="1" w:styleId="2ff3">
    <w:name w:val="Без интервала2"/>
    <w:uiPriority w:val="99"/>
    <w:rsid w:val="00B9238C"/>
    <w:rPr>
      <w:rFonts w:ascii="Calibri" w:hAnsi="Calibri"/>
      <w:sz w:val="22"/>
      <w:szCs w:val="22"/>
      <w:lang w:eastAsia="en-US"/>
    </w:rPr>
  </w:style>
  <w:style w:type="paragraph" w:customStyle="1" w:styleId="00">
    <w:name w:val="Основной_0"/>
    <w:basedOn w:val="a2"/>
    <w:autoRedefine/>
    <w:uiPriority w:val="99"/>
    <w:rsid w:val="00B9238C"/>
    <w:pPr>
      <w:tabs>
        <w:tab w:val="left" w:pos="720"/>
      </w:tabs>
      <w:spacing w:line="360" w:lineRule="auto"/>
      <w:ind w:firstLine="680"/>
      <w:jc w:val="both"/>
    </w:pPr>
    <w:rPr>
      <w:sz w:val="28"/>
      <w:szCs w:val="28"/>
    </w:rPr>
  </w:style>
  <w:style w:type="character" w:styleId="affffffff9">
    <w:name w:val="line number"/>
    <w:uiPriority w:val="99"/>
    <w:rsid w:val="00B9238C"/>
    <w:rPr>
      <w:rFonts w:cs="Times New Roman"/>
    </w:rPr>
  </w:style>
  <w:style w:type="character" w:customStyle="1" w:styleId="CenturySchoolbook">
    <w:name w:val="Основной текст + Century Schoolbook"/>
    <w:aliases w:val="12.5 pt"/>
    <w:uiPriority w:val="99"/>
    <w:rsid w:val="00B9238C"/>
    <w:rPr>
      <w:rFonts w:ascii="Century Schoolbook" w:hAnsi="Century Schoolbook"/>
      <w:spacing w:val="0"/>
      <w:w w:val="100"/>
      <w:sz w:val="25"/>
      <w:shd w:val="clear" w:color="auto" w:fill="FFFFFF"/>
      <w:lang w:val="ru-RU" w:eastAsia="ru-RU"/>
    </w:rPr>
  </w:style>
  <w:style w:type="paragraph" w:styleId="affffffffa">
    <w:name w:val="List Number"/>
    <w:basedOn w:val="a2"/>
    <w:uiPriority w:val="99"/>
    <w:rsid w:val="00B9238C"/>
    <w:pPr>
      <w:tabs>
        <w:tab w:val="num" w:pos="360"/>
      </w:tabs>
      <w:spacing w:after="200" w:line="276" w:lineRule="auto"/>
      <w:ind w:left="360" w:hanging="360"/>
    </w:pPr>
    <w:rPr>
      <w:rFonts w:ascii="Calibri" w:hAnsi="Calibri"/>
      <w:sz w:val="22"/>
      <w:szCs w:val="22"/>
    </w:rPr>
  </w:style>
  <w:style w:type="paragraph" w:customStyle="1" w:styleId="6a">
    <w:name w:val="Абзац списка6"/>
    <w:basedOn w:val="a2"/>
    <w:uiPriority w:val="99"/>
    <w:rsid w:val="00B9238C"/>
    <w:pPr>
      <w:spacing w:after="200" w:line="276" w:lineRule="auto"/>
      <w:ind w:left="720"/>
    </w:pPr>
    <w:rPr>
      <w:rFonts w:ascii="Calibri" w:hAnsi="Calibri" w:cs="Calibri"/>
      <w:sz w:val="22"/>
      <w:szCs w:val="22"/>
      <w:lang w:eastAsia="en-US"/>
    </w:rPr>
  </w:style>
  <w:style w:type="character" w:customStyle="1" w:styleId="224">
    <w:name w:val="Знак Знак22"/>
    <w:uiPriority w:val="99"/>
    <w:rsid w:val="00B9238C"/>
    <w:rPr>
      <w:sz w:val="24"/>
    </w:rPr>
  </w:style>
  <w:style w:type="table" w:customStyle="1" w:styleId="2112">
    <w:name w:val="Сетка таблицы211"/>
    <w:uiPriority w:val="99"/>
    <w:rsid w:val="00B9238C"/>
    <w:pPr>
      <w:spacing w:after="200" w:line="276"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99"/>
    <w:rsid w:val="00B9238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uiPriority w:val="99"/>
    <w:rsid w:val="005A72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uiPriority w:val="99"/>
    <w:rsid w:val="005A72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uiPriority w:val="99"/>
    <w:rsid w:val="00D13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uiPriority w:val="99"/>
    <w:rsid w:val="00D13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uiPriority w:val="99"/>
    <w:rsid w:val="00D13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uiPriority w:val="99"/>
    <w:rsid w:val="00D13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uiPriority w:val="99"/>
    <w:rsid w:val="00D13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uiPriority w:val="99"/>
    <w:rsid w:val="00D13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uiPriority w:val="99"/>
    <w:rsid w:val="00D13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
    <w:uiPriority w:val="99"/>
    <w:rsid w:val="00D13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
    <w:uiPriority w:val="99"/>
    <w:rsid w:val="00D13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uiPriority w:val="99"/>
    <w:rsid w:val="00D13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uiPriority w:val="99"/>
    <w:rsid w:val="00D13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uiPriority w:val="99"/>
    <w:rsid w:val="00D13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uiPriority w:val="99"/>
    <w:rsid w:val="00D13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uiPriority w:val="99"/>
    <w:rsid w:val="00D13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uiPriority w:val="99"/>
    <w:rsid w:val="00D13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uiPriority w:val="99"/>
    <w:rsid w:val="00D13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uiPriority w:val="99"/>
    <w:rsid w:val="00D13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
    <w:uiPriority w:val="99"/>
    <w:rsid w:val="00D13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uiPriority w:val="99"/>
    <w:rsid w:val="006D6F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uiPriority w:val="99"/>
    <w:rsid w:val="006D6F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uiPriority w:val="99"/>
    <w:rsid w:val="006D6F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uiPriority w:val="99"/>
    <w:rsid w:val="009D09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uiPriority w:val="99"/>
    <w:rsid w:val="00FB26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uiPriority w:val="99"/>
    <w:rsid w:val="00FB26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uiPriority w:val="99"/>
    <w:rsid w:val="00FB26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uiPriority w:val="99"/>
    <w:rsid w:val="00FB26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uiPriority w:val="99"/>
    <w:rsid w:val="00FB26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uiPriority w:val="99"/>
    <w:rsid w:val="00FB26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uiPriority w:val="99"/>
    <w:rsid w:val="00FB26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uiPriority w:val="99"/>
    <w:rsid w:val="00FB26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uiPriority w:val="99"/>
    <w:rsid w:val="00FB26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uiPriority w:val="99"/>
    <w:rsid w:val="00FB26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0">
    <w:name w:val="Сетка таблицы87"/>
    <w:uiPriority w:val="99"/>
    <w:rsid w:val="00FB26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0">
    <w:name w:val="Сетка таблицы88"/>
    <w:uiPriority w:val="99"/>
    <w:rsid w:val="00FB26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uiPriority w:val="99"/>
    <w:rsid w:val="00FB26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uiPriority w:val="99"/>
    <w:rsid w:val="00FB26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uiPriority w:val="99"/>
    <w:rsid w:val="00FB26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uiPriority w:val="99"/>
    <w:rsid w:val="00FB26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uiPriority w:val="99"/>
    <w:rsid w:val="00E237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uiPriority w:val="99"/>
    <w:rsid w:val="00E237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uiPriority w:val="99"/>
    <w:rsid w:val="00E237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uiPriority w:val="99"/>
    <w:rsid w:val="00E2377D"/>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uiPriority w:val="99"/>
    <w:rsid w:val="00E2377D"/>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uiPriority w:val="99"/>
    <w:rsid w:val="00E237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uiPriority w:val="99"/>
    <w:rsid w:val="00E2377D"/>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uiPriority w:val="99"/>
    <w:rsid w:val="00E2377D"/>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uiPriority w:val="99"/>
    <w:rsid w:val="00E237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uiPriority w:val="99"/>
    <w:rsid w:val="00E237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uiPriority w:val="99"/>
    <w:rsid w:val="00CB15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uiPriority w:val="99"/>
    <w:rsid w:val="00CB15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uiPriority w:val="99"/>
    <w:rsid w:val="00CB15BB"/>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uiPriority w:val="99"/>
    <w:rsid w:val="00CB15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uiPriority w:val="99"/>
    <w:rsid w:val="00CB15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uiPriority w:val="99"/>
    <w:rsid w:val="00CB15BB"/>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uiPriority w:val="99"/>
    <w:rsid w:val="00CB15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uiPriority w:val="99"/>
    <w:rsid w:val="00CB15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uiPriority w:val="99"/>
    <w:rsid w:val="00CB15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uiPriority w:val="99"/>
    <w:rsid w:val="00CB15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uiPriority w:val="99"/>
    <w:rsid w:val="00CB15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uiPriority w:val="99"/>
    <w:rsid w:val="00CB15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9">
    <w:name w:val="Сетка таблицы109"/>
    <w:uiPriority w:val="99"/>
    <w:rsid w:val="00CB15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99"/>
    <w:rsid w:val="00CB15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uiPriority w:val="99"/>
    <w:rsid w:val="009A2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uiPriority w:val="99"/>
    <w:rsid w:val="009A2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uiPriority w:val="99"/>
    <w:rsid w:val="009A2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uiPriority w:val="99"/>
    <w:rsid w:val="009A2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uiPriority w:val="99"/>
    <w:rsid w:val="009A2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uiPriority w:val="99"/>
    <w:rsid w:val="009A2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uiPriority w:val="99"/>
    <w:rsid w:val="009A2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uiPriority w:val="99"/>
    <w:rsid w:val="009A29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uiPriority w:val="99"/>
    <w:rsid w:val="003978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uiPriority w:val="99"/>
    <w:rsid w:val="003978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uiPriority w:val="99"/>
    <w:rsid w:val="00F749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uiPriority w:val="99"/>
    <w:rsid w:val="00F749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uiPriority w:val="99"/>
    <w:rsid w:val="00F749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uiPriority w:val="99"/>
    <w:rsid w:val="001471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uiPriority w:val="99"/>
    <w:rsid w:val="001471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uiPriority w:val="99"/>
    <w:rsid w:val="001471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9"/>
    <w:uiPriority w:val="99"/>
    <w:rsid w:val="005568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d">
    <w:name w:val="заголовок 1"/>
    <w:basedOn w:val="a2"/>
    <w:next w:val="a2"/>
    <w:uiPriority w:val="99"/>
    <w:rsid w:val="00556833"/>
    <w:pPr>
      <w:keepNext/>
      <w:spacing w:line="360" w:lineRule="auto"/>
      <w:jc w:val="both"/>
    </w:pPr>
    <w:rPr>
      <w:rFonts w:ascii="Garamond" w:hAnsi="Garamond"/>
      <w:sz w:val="24"/>
    </w:rPr>
  </w:style>
  <w:style w:type="table" w:customStyle="1" w:styleId="1300">
    <w:name w:val="Сетка таблицы130"/>
    <w:uiPriority w:val="99"/>
    <w:rsid w:val="0055683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uiPriority w:val="99"/>
    <w:rsid w:val="0055683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uiPriority w:val="99"/>
    <w:rsid w:val="0055683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uiPriority w:val="99"/>
    <w:rsid w:val="0055683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uiPriority w:val="99"/>
    <w:rsid w:val="0055683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uiPriority w:val="99"/>
    <w:rsid w:val="0055683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uiPriority w:val="99"/>
    <w:rsid w:val="005A0A8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uiPriority w:val="99"/>
    <w:rsid w:val="004320C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uiPriority w:val="99"/>
    <w:rsid w:val="004320C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uiPriority w:val="99"/>
    <w:rsid w:val="004320C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uiPriority w:val="99"/>
    <w:rsid w:val="004320C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uiPriority w:val="99"/>
    <w:rsid w:val="004320C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uiPriority w:val="99"/>
    <w:rsid w:val="004320C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uiPriority w:val="99"/>
    <w:rsid w:val="004320C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uiPriority w:val="99"/>
    <w:rsid w:val="00DF7E4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uiPriority w:val="99"/>
    <w:rsid w:val="00DF7E4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uiPriority w:val="99"/>
    <w:rsid w:val="00DF7E4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uiPriority w:val="99"/>
    <w:rsid w:val="00DF7E4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uiPriority w:val="99"/>
    <w:rsid w:val="00DF7E4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uiPriority w:val="99"/>
    <w:rsid w:val="00DF7E4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uiPriority w:val="99"/>
    <w:rsid w:val="00DF7E4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uiPriority w:val="99"/>
    <w:rsid w:val="00DF7E4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uiPriority w:val="99"/>
    <w:rsid w:val="00DF7E4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uiPriority w:val="99"/>
    <w:rsid w:val="00DF7E4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9"/>
    <w:uiPriority w:val="99"/>
    <w:rsid w:val="00DF7E4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0">
    <w:name w:val="Сетка таблицы150"/>
    <w:uiPriority w:val="99"/>
    <w:rsid w:val="00DF7E4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uiPriority w:val="99"/>
    <w:rsid w:val="00DF7E4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uiPriority w:val="99"/>
    <w:rsid w:val="00C539B6"/>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uiPriority w:val="99"/>
    <w:rsid w:val="00C539B6"/>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uiPriority w:val="99"/>
    <w:rsid w:val="00C539B6"/>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uiPriority w:val="99"/>
    <w:rsid w:val="00C539B6"/>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uiPriority w:val="99"/>
    <w:rsid w:val="00C539B6"/>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uiPriority w:val="99"/>
    <w:rsid w:val="00C539B6"/>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uiPriority w:val="99"/>
    <w:rsid w:val="00C539B6"/>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uiPriority w:val="99"/>
    <w:rsid w:val="00C539B6"/>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0">
    <w:name w:val="Сетка таблицы160"/>
    <w:uiPriority w:val="99"/>
    <w:rsid w:val="00C539B6"/>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1-Accent111">
    <w:name w:val="Medium List 1 - Accent 111"/>
    <w:uiPriority w:val="99"/>
    <w:rsid w:val="001B2C0F"/>
    <w:rPr>
      <w:rFonts w:ascii="Calibri" w:hAnsi="Calibri"/>
      <w:color w:val="000000"/>
      <w:lang w:eastAsia="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table" w:customStyle="1" w:styleId="2-121">
    <w:name w:val="Средняя заливка 2 - Акцент 121"/>
    <w:uiPriority w:val="99"/>
    <w:rsid w:val="001B2C0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11">
    <w:name w:val="Средняя заливка 121"/>
    <w:uiPriority w:val="99"/>
    <w:rsid w:val="001B2C0F"/>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21">
    <w:name w:val="Средняя заливка 1 - Акцент 121"/>
    <w:uiPriority w:val="99"/>
    <w:rsid w:val="001B2C0F"/>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MediumList1-Accent112">
    <w:name w:val="Medium List 1 - Accent 112"/>
    <w:uiPriority w:val="99"/>
    <w:rsid w:val="004512F0"/>
    <w:rPr>
      <w:rFonts w:ascii="Calibri" w:hAnsi="Calibri"/>
      <w:color w:val="000000"/>
      <w:lang w:eastAsia="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table" w:customStyle="1" w:styleId="MediumList1-Accent113">
    <w:name w:val="Medium List 1 - Accent 113"/>
    <w:uiPriority w:val="99"/>
    <w:rsid w:val="006660D4"/>
    <w:rPr>
      <w:rFonts w:ascii="Calibri" w:hAnsi="Calibri"/>
      <w:color w:val="000000"/>
      <w:lang w:eastAsia="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table" w:customStyle="1" w:styleId="MediumList1-Accent114">
    <w:name w:val="Medium List 1 - Accent 114"/>
    <w:uiPriority w:val="99"/>
    <w:rsid w:val="006660D4"/>
    <w:rPr>
      <w:rFonts w:ascii="Calibri" w:hAnsi="Calibri"/>
      <w:color w:val="000000"/>
      <w:lang w:eastAsia="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table" w:customStyle="1" w:styleId="1610">
    <w:name w:val="Сетка таблицы161"/>
    <w:uiPriority w:val="99"/>
    <w:rsid w:val="002941C7"/>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b">
    <w:name w:val="те_дис"/>
    <w:basedOn w:val="a2"/>
    <w:uiPriority w:val="99"/>
    <w:rsid w:val="002941C7"/>
    <w:pPr>
      <w:spacing w:line="360" w:lineRule="auto"/>
      <w:ind w:firstLine="425"/>
      <w:jc w:val="both"/>
    </w:pPr>
    <w:rPr>
      <w:rFonts w:eastAsia="STFangsong"/>
      <w:sz w:val="28"/>
      <w:szCs w:val="28"/>
      <w:lang w:val="en-US" w:eastAsia="zh-CN"/>
    </w:rPr>
  </w:style>
  <w:style w:type="paragraph" w:customStyle="1" w:styleId="affffffffc">
    <w:name w:val="таб_таб"/>
    <w:basedOn w:val="a2"/>
    <w:uiPriority w:val="99"/>
    <w:rsid w:val="002941C7"/>
    <w:pPr>
      <w:keepNext/>
      <w:suppressAutoHyphens/>
      <w:spacing w:before="180" w:line="360" w:lineRule="auto"/>
      <w:jc w:val="right"/>
    </w:pPr>
    <w:rPr>
      <w:rFonts w:eastAsia="STFangsong"/>
      <w:spacing w:val="40"/>
      <w:sz w:val="28"/>
      <w:szCs w:val="28"/>
      <w:lang w:val="en-US" w:eastAsia="zh-CN"/>
    </w:rPr>
  </w:style>
  <w:style w:type="paragraph" w:customStyle="1" w:styleId="affffffffd">
    <w:name w:val="заг_таб"/>
    <w:basedOn w:val="a2"/>
    <w:uiPriority w:val="99"/>
    <w:rsid w:val="002941C7"/>
    <w:pPr>
      <w:keepNext/>
      <w:suppressAutoHyphens/>
      <w:spacing w:before="180" w:after="180" w:line="360" w:lineRule="auto"/>
      <w:jc w:val="center"/>
    </w:pPr>
    <w:rPr>
      <w:rFonts w:eastAsia="STFangsong"/>
      <w:b/>
      <w:sz w:val="28"/>
      <w:szCs w:val="28"/>
      <w:lang w:val="en-US" w:eastAsia="zh-CN"/>
    </w:rPr>
  </w:style>
  <w:style w:type="paragraph" w:customStyle="1" w:styleId="affffffffe">
    <w:name w:val="те_таб"/>
    <w:basedOn w:val="a2"/>
    <w:uiPriority w:val="99"/>
    <w:rsid w:val="002941C7"/>
    <w:pPr>
      <w:spacing w:before="60" w:after="60"/>
      <w:jc w:val="center"/>
    </w:pPr>
    <w:rPr>
      <w:rFonts w:eastAsia="STFangsong"/>
      <w:sz w:val="28"/>
      <w:szCs w:val="28"/>
      <w:lang w:val="en-US" w:eastAsia="zh-CN"/>
    </w:rPr>
  </w:style>
  <w:style w:type="paragraph" w:customStyle="1" w:styleId="afffffffff">
    <w:name w:val="под_рис"/>
    <w:basedOn w:val="a2"/>
    <w:uiPriority w:val="99"/>
    <w:rsid w:val="002941C7"/>
    <w:pPr>
      <w:suppressAutoHyphens/>
      <w:spacing w:before="360" w:line="360" w:lineRule="auto"/>
      <w:jc w:val="center"/>
    </w:pPr>
    <w:rPr>
      <w:rFonts w:eastAsia="STFangsong"/>
      <w:b/>
      <w:sz w:val="28"/>
      <w:szCs w:val="28"/>
      <w:lang w:val="en-US" w:eastAsia="zh-CN"/>
    </w:rPr>
  </w:style>
  <w:style w:type="paragraph" w:customStyle="1" w:styleId="-111">
    <w:name w:val="彩色列表 - 着色 11"/>
    <w:basedOn w:val="a2"/>
    <w:uiPriority w:val="99"/>
    <w:rsid w:val="002941C7"/>
    <w:pPr>
      <w:widowControl w:val="0"/>
      <w:ind w:firstLineChars="200" w:firstLine="420"/>
      <w:jc w:val="both"/>
    </w:pPr>
    <w:rPr>
      <w:rFonts w:ascii="Cambria" w:eastAsia="STFangsong" w:hAnsi="Cambria"/>
      <w:kern w:val="2"/>
      <w:sz w:val="28"/>
      <w:szCs w:val="28"/>
      <w:lang w:val="en-US" w:eastAsia="zh-CN"/>
    </w:rPr>
  </w:style>
  <w:style w:type="paragraph" w:customStyle="1" w:styleId="EndNoteBibliographyTitle">
    <w:name w:val="EndNote Bibliography Title"/>
    <w:basedOn w:val="a2"/>
    <w:link w:val="EndNoteBibliographyTitle0"/>
    <w:uiPriority w:val="99"/>
    <w:rsid w:val="002941C7"/>
    <w:pPr>
      <w:jc w:val="center"/>
    </w:pPr>
    <w:rPr>
      <w:rFonts w:eastAsia="STFangsong"/>
      <w:noProof/>
      <w:sz w:val="28"/>
      <w:lang w:val="en-US" w:eastAsia="zh-CN"/>
    </w:rPr>
  </w:style>
  <w:style w:type="character" w:customStyle="1" w:styleId="EndNoteBibliographyTitle0">
    <w:name w:val="EndNote Bibliography Title 字符"/>
    <w:link w:val="EndNoteBibliographyTitle"/>
    <w:uiPriority w:val="99"/>
    <w:locked/>
    <w:rsid w:val="002941C7"/>
    <w:rPr>
      <w:rFonts w:eastAsia="STFangsong"/>
      <w:noProof/>
      <w:sz w:val="28"/>
      <w:lang w:val="en-US" w:eastAsia="zh-CN"/>
    </w:rPr>
  </w:style>
  <w:style w:type="paragraph" w:customStyle="1" w:styleId="EndNoteBibliography">
    <w:name w:val="EndNote Bibliography"/>
    <w:basedOn w:val="a2"/>
    <w:link w:val="EndNoteBibliography0"/>
    <w:autoRedefine/>
    <w:uiPriority w:val="99"/>
    <w:rsid w:val="002941C7"/>
    <w:pPr>
      <w:spacing w:line="360" w:lineRule="auto"/>
      <w:jc w:val="both"/>
    </w:pPr>
    <w:rPr>
      <w:noProof/>
      <w:sz w:val="28"/>
      <w:lang w:val="en-US" w:eastAsia="zh-CN"/>
    </w:rPr>
  </w:style>
  <w:style w:type="character" w:customStyle="1" w:styleId="EndNoteBibliography0">
    <w:name w:val="EndNote Bibliography 字符"/>
    <w:link w:val="EndNoteBibliography"/>
    <w:uiPriority w:val="99"/>
    <w:locked/>
    <w:rsid w:val="002941C7"/>
    <w:rPr>
      <w:noProof/>
      <w:sz w:val="28"/>
      <w:lang w:val="en-US" w:eastAsia="zh-CN"/>
    </w:rPr>
  </w:style>
  <w:style w:type="paragraph" w:customStyle="1" w:styleId="p5">
    <w:name w:val="p5"/>
    <w:basedOn w:val="a2"/>
    <w:uiPriority w:val="99"/>
    <w:rsid w:val="002941C7"/>
    <w:pPr>
      <w:spacing w:before="100" w:beforeAutospacing="1" w:after="100" w:afterAutospacing="1"/>
    </w:pPr>
    <w:rPr>
      <w:sz w:val="28"/>
      <w:szCs w:val="28"/>
      <w:lang w:val="en-US" w:eastAsia="zh-CN"/>
    </w:rPr>
  </w:style>
  <w:style w:type="character" w:customStyle="1" w:styleId="s7">
    <w:name w:val="s7"/>
    <w:uiPriority w:val="99"/>
    <w:rsid w:val="002941C7"/>
  </w:style>
  <w:style w:type="paragraph" w:customStyle="1" w:styleId="1ffe">
    <w:name w:val="正文1"/>
    <w:uiPriority w:val="99"/>
    <w:rsid w:val="002941C7"/>
    <w:pPr>
      <w:widowControl w:val="0"/>
    </w:pPr>
    <w:rPr>
      <w:rFonts w:ascii="Courier New" w:eastAsia="STFangsong" w:hAnsi="Courier New"/>
      <w:sz w:val="28"/>
      <w:szCs w:val="28"/>
    </w:rPr>
  </w:style>
  <w:style w:type="paragraph" w:customStyle="1" w:styleId="1fff">
    <w:name w:val="普通(网站)1"/>
    <w:basedOn w:val="a2"/>
    <w:uiPriority w:val="99"/>
    <w:rsid w:val="002941C7"/>
    <w:pPr>
      <w:spacing w:before="100" w:beforeAutospacing="1" w:after="100" w:afterAutospacing="1"/>
    </w:pPr>
    <w:rPr>
      <w:rFonts w:ascii="Courier New" w:eastAsia="STFangsong" w:hAnsi="Courier New"/>
      <w:lang w:val="en-US" w:eastAsia="zh-CN"/>
    </w:rPr>
  </w:style>
  <w:style w:type="paragraph" w:customStyle="1" w:styleId="p1">
    <w:name w:val="p1"/>
    <w:basedOn w:val="a2"/>
    <w:uiPriority w:val="99"/>
    <w:rsid w:val="002941C7"/>
    <w:pPr>
      <w:spacing w:before="100" w:beforeAutospacing="1" w:after="100" w:afterAutospacing="1"/>
    </w:pPr>
    <w:rPr>
      <w:sz w:val="28"/>
      <w:szCs w:val="28"/>
      <w:lang w:val="en-US" w:eastAsia="zh-CN"/>
    </w:rPr>
  </w:style>
  <w:style w:type="character" w:customStyle="1" w:styleId="s2">
    <w:name w:val="s2"/>
    <w:uiPriority w:val="99"/>
    <w:rsid w:val="002941C7"/>
  </w:style>
  <w:style w:type="character" w:customStyle="1" w:styleId="s3">
    <w:name w:val="s3"/>
    <w:uiPriority w:val="99"/>
    <w:rsid w:val="002941C7"/>
  </w:style>
  <w:style w:type="character" w:customStyle="1" w:styleId="s4">
    <w:name w:val="s4"/>
    <w:uiPriority w:val="99"/>
    <w:rsid w:val="002941C7"/>
  </w:style>
  <w:style w:type="character" w:customStyle="1" w:styleId="s8">
    <w:name w:val="s8"/>
    <w:uiPriority w:val="99"/>
    <w:rsid w:val="002941C7"/>
  </w:style>
  <w:style w:type="character" w:customStyle="1" w:styleId="opdicttext2">
    <w:name w:val="op_dict_text2"/>
    <w:uiPriority w:val="99"/>
    <w:rsid w:val="002941C7"/>
    <w:rPr>
      <w:rFonts w:cs="Times New Roman"/>
    </w:rPr>
  </w:style>
  <w:style w:type="character" w:customStyle="1" w:styleId="shorttext">
    <w:name w:val="short_text"/>
    <w:uiPriority w:val="99"/>
    <w:rsid w:val="002941C7"/>
    <w:rPr>
      <w:rFonts w:cs="Times New Roman"/>
    </w:rPr>
  </w:style>
  <w:style w:type="paragraph" w:customStyle="1" w:styleId="EndNoteCategoryHeading">
    <w:name w:val="EndNote Category Heading"/>
    <w:basedOn w:val="a2"/>
    <w:link w:val="EndNoteCategoryHeading0"/>
    <w:uiPriority w:val="99"/>
    <w:rsid w:val="002941C7"/>
    <w:pPr>
      <w:spacing w:before="120" w:after="120"/>
    </w:pPr>
    <w:rPr>
      <w:rFonts w:eastAsia="STFangsong"/>
      <w:b/>
      <w:noProof/>
      <w:sz w:val="28"/>
      <w:szCs w:val="28"/>
      <w:lang w:val="en-US" w:eastAsia="zh-CN"/>
    </w:rPr>
  </w:style>
  <w:style w:type="character" w:customStyle="1" w:styleId="EndNoteCategoryHeading0">
    <w:name w:val="EndNote Category Heading 字符"/>
    <w:link w:val="EndNoteCategoryHeading"/>
    <w:uiPriority w:val="99"/>
    <w:locked/>
    <w:rsid w:val="002941C7"/>
    <w:rPr>
      <w:rFonts w:eastAsia="STFangsong" w:cs="Times New Roman"/>
      <w:b/>
      <w:noProof/>
      <w:sz w:val="28"/>
      <w:szCs w:val="28"/>
      <w:lang w:val="en-US" w:eastAsia="zh-CN"/>
    </w:rPr>
  </w:style>
  <w:style w:type="character" w:customStyle="1" w:styleId="noprint">
    <w:name w:val="noprint"/>
    <w:uiPriority w:val="99"/>
    <w:rsid w:val="002941C7"/>
    <w:rPr>
      <w:rFonts w:cs="Times New Roman"/>
    </w:rPr>
  </w:style>
  <w:style w:type="character" w:customStyle="1" w:styleId="ref-info">
    <w:name w:val="ref-info"/>
    <w:uiPriority w:val="99"/>
    <w:rsid w:val="002941C7"/>
    <w:rPr>
      <w:rFonts w:cs="Times New Roman"/>
    </w:rPr>
  </w:style>
  <w:style w:type="character" w:customStyle="1" w:styleId="link-ru">
    <w:name w:val="link-ru"/>
    <w:uiPriority w:val="99"/>
    <w:rsid w:val="002941C7"/>
    <w:rPr>
      <w:rFonts w:cs="Times New Roman"/>
    </w:rPr>
  </w:style>
  <w:style w:type="character" w:customStyle="1" w:styleId="bigtext">
    <w:name w:val="bigtext"/>
    <w:uiPriority w:val="99"/>
    <w:rsid w:val="002941C7"/>
    <w:rPr>
      <w:rFonts w:cs="Times New Roman"/>
    </w:rPr>
  </w:style>
  <w:style w:type="table" w:customStyle="1" w:styleId="1620">
    <w:name w:val="Сетка таблицы162"/>
    <w:uiPriority w:val="99"/>
    <w:rsid w:val="0024347D"/>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uiPriority w:val="99"/>
    <w:rsid w:val="0024347D"/>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uiPriority w:val="99"/>
    <w:rsid w:val="0024347D"/>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uiPriority w:val="99"/>
    <w:rsid w:val="002A16AE"/>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uiPriority w:val="99"/>
    <w:rsid w:val="002A16AE"/>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uiPriority w:val="99"/>
    <w:rsid w:val="002A16AE"/>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uiPriority w:val="99"/>
    <w:rsid w:val="002A16AE"/>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uiPriority w:val="99"/>
    <w:rsid w:val="002A16AE"/>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0">
    <w:name w:val="Сетка таблицы170"/>
    <w:uiPriority w:val="99"/>
    <w:rsid w:val="002A16AE"/>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uiPriority w:val="99"/>
    <w:rsid w:val="002A16AE"/>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uiPriority w:val="99"/>
    <w:rsid w:val="002A16AE"/>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uiPriority w:val="99"/>
    <w:rsid w:val="002A16AE"/>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4"/>
    <w:uiPriority w:val="99"/>
    <w:rsid w:val="002A16AE"/>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uiPriority w:val="99"/>
    <w:rsid w:val="002A16AE"/>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uiPriority w:val="99"/>
    <w:rsid w:val="00431D9E"/>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uiPriority w:val="99"/>
    <w:rsid w:val="00431D9E"/>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uiPriority w:val="99"/>
    <w:rsid w:val="00431D9E"/>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uiPriority w:val="99"/>
    <w:rsid w:val="00431D9E"/>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uiPriority w:val="99"/>
    <w:rsid w:val="00431D9E"/>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uiPriority w:val="99"/>
    <w:rsid w:val="00431D9E"/>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uiPriority w:val="99"/>
    <w:rsid w:val="00431D9E"/>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0">
    <w:name w:val="Сетка таблицы183"/>
    <w:uiPriority w:val="99"/>
    <w:rsid w:val="00431D9E"/>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0">
    <w:name w:val="Сетка таблицы184"/>
    <w:uiPriority w:val="99"/>
    <w:rsid w:val="00431D9E"/>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uiPriority w:val="99"/>
    <w:rsid w:val="00431D9E"/>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Сетка таблицы186"/>
    <w:uiPriority w:val="99"/>
    <w:rsid w:val="00431D9E"/>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
    <w:name w:val="Сетка таблицы187"/>
    <w:uiPriority w:val="99"/>
    <w:rsid w:val="00B6547F"/>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uiPriority w:val="99"/>
    <w:rsid w:val="006B498E"/>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uiPriority w:val="99"/>
    <w:rsid w:val="00D56FD8"/>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0">
    <w:name w:val="Сетка таблицы190"/>
    <w:uiPriority w:val="99"/>
    <w:rsid w:val="00D56FD8"/>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uiPriority w:val="99"/>
    <w:rsid w:val="00D56FD8"/>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uiPriority w:val="99"/>
    <w:rsid w:val="00D56FD8"/>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uiPriority w:val="99"/>
    <w:rsid w:val="00D56FD8"/>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uiPriority w:val="99"/>
    <w:rsid w:val="00D56FD8"/>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
    <w:name w:val="Сетка таблицы195"/>
    <w:uiPriority w:val="99"/>
    <w:rsid w:val="00D56FD8"/>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uiPriority w:val="99"/>
    <w:rsid w:val="00D56FD8"/>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uiPriority w:val="99"/>
    <w:rsid w:val="00D56FD8"/>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uiPriority w:val="99"/>
    <w:rsid w:val="00D56FD8"/>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uiPriority w:val="99"/>
    <w:rsid w:val="00D56FD8"/>
    <w:rPr>
      <w:rFonts w:eastAsia="STFangsong"/>
      <w:sz w:val="28"/>
      <w:szCs w:val="28"/>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uiPriority w:val="99"/>
    <w:rsid w:val="00173B63"/>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uiPriority w:val="99"/>
    <w:rsid w:val="00173B63"/>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uiPriority w:val="99"/>
    <w:rsid w:val="00173B63"/>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uiPriority w:val="99"/>
    <w:rsid w:val="00F603DE"/>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uiPriority w:val="99"/>
    <w:rsid w:val="006B2FDD"/>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uiPriority w:val="99"/>
    <w:rsid w:val="006B2FDD"/>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0">
    <w:name w:val="Текстовый блок"/>
    <w:uiPriority w:val="99"/>
    <w:rsid w:val="005E3099"/>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Arial Unicode MS"/>
      <w:color w:val="000000"/>
      <w:sz w:val="22"/>
      <w:szCs w:val="22"/>
    </w:rPr>
  </w:style>
  <w:style w:type="paragraph" w:customStyle="1" w:styleId="afffffffff1">
    <w:name w:val="По умолчанию"/>
    <w:uiPriority w:val="99"/>
    <w:rsid w:val="005E3099"/>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Arial Unicode MS"/>
      <w:color w:val="000000"/>
      <w:sz w:val="22"/>
      <w:szCs w:val="22"/>
    </w:rPr>
  </w:style>
  <w:style w:type="table" w:customStyle="1" w:styleId="206">
    <w:name w:val="Сетка таблицы206"/>
    <w:uiPriority w:val="99"/>
    <w:rsid w:val="005E3099"/>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0">
    <w:name w:val="Стиль таблицы 1"/>
    <w:uiPriority w:val="99"/>
    <w:rsid w:val="005E3099"/>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Helvetica"/>
      <w:b/>
      <w:bCs/>
      <w:color w:val="000000"/>
    </w:rPr>
  </w:style>
  <w:style w:type="paragraph" w:customStyle="1" w:styleId="2ff4">
    <w:name w:val="Стиль таблицы 2"/>
    <w:uiPriority w:val="99"/>
    <w:rsid w:val="005E3099"/>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Helvetica"/>
      <w:color w:val="000000"/>
    </w:rPr>
  </w:style>
  <w:style w:type="table" w:customStyle="1" w:styleId="207">
    <w:name w:val="Сетка таблицы207"/>
    <w:uiPriority w:val="99"/>
    <w:rsid w:val="0078420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uiPriority w:val="99"/>
    <w:rsid w:val="004B678A"/>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2">
    <w:name w:val="Обычный + по ширине"/>
    <w:basedOn w:val="a2"/>
    <w:uiPriority w:val="99"/>
    <w:rsid w:val="004B678A"/>
    <w:pPr>
      <w:jc w:val="both"/>
    </w:pPr>
    <w:rPr>
      <w:sz w:val="24"/>
      <w:szCs w:val="24"/>
    </w:rPr>
  </w:style>
  <w:style w:type="paragraph" w:customStyle="1" w:styleId="p8">
    <w:name w:val="p8"/>
    <w:basedOn w:val="a2"/>
    <w:uiPriority w:val="99"/>
    <w:rsid w:val="004B678A"/>
    <w:pPr>
      <w:spacing w:before="100" w:beforeAutospacing="1" w:after="100" w:afterAutospacing="1"/>
    </w:pPr>
    <w:rPr>
      <w:sz w:val="24"/>
      <w:szCs w:val="24"/>
    </w:rPr>
  </w:style>
  <w:style w:type="paragraph" w:customStyle="1" w:styleId="p19">
    <w:name w:val="p19"/>
    <w:basedOn w:val="a2"/>
    <w:uiPriority w:val="99"/>
    <w:rsid w:val="004B678A"/>
    <w:pPr>
      <w:spacing w:before="100" w:beforeAutospacing="1" w:after="100" w:afterAutospacing="1"/>
    </w:pPr>
    <w:rPr>
      <w:sz w:val="24"/>
      <w:szCs w:val="24"/>
    </w:rPr>
  </w:style>
  <w:style w:type="character" w:customStyle="1" w:styleId="ui-ncbitoggler-master-text">
    <w:name w:val="ui-ncbitoggler-master-text"/>
    <w:uiPriority w:val="99"/>
    <w:rsid w:val="004B678A"/>
    <w:rPr>
      <w:rFonts w:cs="Times New Roman"/>
    </w:rPr>
  </w:style>
  <w:style w:type="character" w:customStyle="1" w:styleId="s6">
    <w:name w:val="s6"/>
    <w:uiPriority w:val="99"/>
    <w:rsid w:val="004B678A"/>
    <w:rPr>
      <w:rFonts w:cs="Times New Roman"/>
    </w:rPr>
  </w:style>
  <w:style w:type="character" w:customStyle="1" w:styleId="lbl">
    <w:name w:val="lbl"/>
    <w:uiPriority w:val="99"/>
    <w:rsid w:val="004B678A"/>
    <w:rPr>
      <w:rFonts w:cs="Times New Roman"/>
    </w:rPr>
  </w:style>
  <w:style w:type="character" w:customStyle="1" w:styleId="mnn-name-in-link">
    <w:name w:val="mnn-name-in-link"/>
    <w:uiPriority w:val="99"/>
    <w:rsid w:val="004B678A"/>
    <w:rPr>
      <w:rFonts w:cs="Times New Roman"/>
    </w:rPr>
  </w:style>
  <w:style w:type="character" w:customStyle="1" w:styleId="tl-document">
    <w:name w:val="tl-document"/>
    <w:uiPriority w:val="99"/>
    <w:rsid w:val="004B678A"/>
    <w:rPr>
      <w:rFonts w:cs="Times New Roman"/>
    </w:rPr>
  </w:style>
  <w:style w:type="character" w:customStyle="1" w:styleId="capture-id">
    <w:name w:val="capture-id"/>
    <w:uiPriority w:val="99"/>
    <w:rsid w:val="004B678A"/>
    <w:rPr>
      <w:rFonts w:cs="Times New Roman"/>
    </w:rPr>
  </w:style>
  <w:style w:type="character" w:customStyle="1" w:styleId="orcid">
    <w:name w:val="orcid"/>
    <w:uiPriority w:val="99"/>
    <w:rsid w:val="004B678A"/>
    <w:rPr>
      <w:rFonts w:cs="Times New Roman"/>
    </w:rPr>
  </w:style>
  <w:style w:type="character" w:customStyle="1" w:styleId="order">
    <w:name w:val="order"/>
    <w:uiPriority w:val="99"/>
    <w:rsid w:val="004B678A"/>
    <w:rPr>
      <w:rFonts w:cs="Times New Roman"/>
    </w:rPr>
  </w:style>
  <w:style w:type="character" w:customStyle="1" w:styleId="ph">
    <w:name w:val="ph"/>
    <w:uiPriority w:val="99"/>
    <w:rsid w:val="004B678A"/>
    <w:rPr>
      <w:rFonts w:cs="Times New Roman"/>
    </w:rPr>
  </w:style>
  <w:style w:type="character" w:customStyle="1" w:styleId="alt-edited1">
    <w:name w:val="alt-edited1"/>
    <w:uiPriority w:val="99"/>
    <w:rsid w:val="004B678A"/>
    <w:rPr>
      <w:rFonts w:cs="Times New Roman"/>
      <w:color w:val="4D90F0"/>
    </w:rPr>
  </w:style>
  <w:style w:type="character" w:customStyle="1" w:styleId="A24">
    <w:name w:val="A24"/>
    <w:uiPriority w:val="99"/>
    <w:rsid w:val="004B678A"/>
    <w:rPr>
      <w:color w:val="000000"/>
      <w:sz w:val="20"/>
    </w:rPr>
  </w:style>
  <w:style w:type="character" w:customStyle="1" w:styleId="A41">
    <w:name w:val="A4+1"/>
    <w:uiPriority w:val="99"/>
    <w:rsid w:val="004B678A"/>
    <w:rPr>
      <w:color w:val="000000"/>
      <w:sz w:val="18"/>
    </w:rPr>
  </w:style>
  <w:style w:type="paragraph" w:customStyle="1" w:styleId="Pa53">
    <w:name w:val="Pa5+3"/>
    <w:basedOn w:val="Default"/>
    <w:next w:val="Default"/>
    <w:uiPriority w:val="99"/>
    <w:rsid w:val="004B678A"/>
    <w:pPr>
      <w:spacing w:line="197" w:lineRule="atLeast"/>
    </w:pPr>
    <w:rPr>
      <w:rFonts w:ascii="Minion Pro" w:hAnsi="Minion Pro"/>
      <w:color w:val="auto"/>
      <w:lang w:eastAsia="en-US"/>
    </w:rPr>
  </w:style>
  <w:style w:type="table" w:customStyle="1" w:styleId="209">
    <w:name w:val="Сетка таблицы209"/>
    <w:uiPriority w:val="99"/>
    <w:rsid w:val="00DA6FB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uiPriority w:val="99"/>
    <w:rsid w:val="00DA6FB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uiPriority w:val="99"/>
    <w:rsid w:val="0064031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3">
    <w:name w:val="без красной"/>
    <w:basedOn w:val="a2"/>
    <w:uiPriority w:val="99"/>
    <w:rsid w:val="00E11021"/>
    <w:pPr>
      <w:widowControl w:val="0"/>
      <w:spacing w:line="480" w:lineRule="atLeast"/>
      <w:jc w:val="center"/>
    </w:pPr>
    <w:rPr>
      <w:rFonts w:ascii="SchoolDL" w:hAnsi="SchoolDL" w:cs="SchoolDL"/>
      <w:sz w:val="26"/>
      <w:szCs w:val="26"/>
    </w:rPr>
  </w:style>
  <w:style w:type="character" w:customStyle="1" w:styleId="12a">
    <w:name w:val="Основной текст12"/>
    <w:uiPriority w:val="99"/>
    <w:rsid w:val="00E11021"/>
    <w:rPr>
      <w:rFonts w:ascii="Times New Roman" w:hAnsi="Times New Roman"/>
      <w:color w:val="000000"/>
      <w:spacing w:val="0"/>
      <w:w w:val="100"/>
      <w:position w:val="0"/>
      <w:sz w:val="26"/>
      <w:u w:val="none"/>
      <w:lang w:val="ru-RU" w:eastAsia="ru-RU"/>
    </w:rPr>
  </w:style>
  <w:style w:type="paragraph" w:customStyle="1" w:styleId="14a">
    <w:name w:val="Основной текст14"/>
    <w:basedOn w:val="a2"/>
    <w:uiPriority w:val="99"/>
    <w:rsid w:val="00E11021"/>
    <w:pPr>
      <w:widowControl w:val="0"/>
      <w:shd w:val="clear" w:color="auto" w:fill="FFFFFF"/>
      <w:spacing w:before="900" w:after="1260" w:line="490" w:lineRule="exact"/>
      <w:ind w:hanging="800"/>
      <w:jc w:val="center"/>
    </w:pPr>
    <w:rPr>
      <w:sz w:val="26"/>
      <w:lang w:eastAsia="en-US"/>
    </w:rPr>
  </w:style>
  <w:style w:type="paragraph" w:customStyle="1" w:styleId="8a">
    <w:name w:val="Основной текст8"/>
    <w:basedOn w:val="a2"/>
    <w:uiPriority w:val="99"/>
    <w:rsid w:val="00E11021"/>
    <w:pPr>
      <w:widowControl w:val="0"/>
      <w:shd w:val="clear" w:color="auto" w:fill="FFFFFF"/>
      <w:spacing w:after="240" w:line="322" w:lineRule="exact"/>
      <w:ind w:hanging="380"/>
      <w:jc w:val="center"/>
    </w:pPr>
    <w:rPr>
      <w:sz w:val="28"/>
      <w:szCs w:val="28"/>
    </w:rPr>
  </w:style>
  <w:style w:type="character" w:customStyle="1" w:styleId="5b">
    <w:name w:val="Основной текст5"/>
    <w:uiPriority w:val="99"/>
    <w:rsid w:val="00E11021"/>
    <w:rPr>
      <w:rFonts w:ascii="Times New Roman" w:hAnsi="Times New Roman"/>
      <w:color w:val="000000"/>
      <w:spacing w:val="0"/>
      <w:w w:val="100"/>
      <w:position w:val="0"/>
      <w:sz w:val="28"/>
      <w:u w:val="none"/>
      <w:shd w:val="clear" w:color="auto" w:fill="FFFFFF"/>
      <w:lang w:val="ru-RU" w:eastAsia="ru-RU"/>
    </w:rPr>
  </w:style>
  <w:style w:type="paragraph" w:customStyle="1" w:styleId="10a">
    <w:name w:val="Основной текст10"/>
    <w:basedOn w:val="a2"/>
    <w:uiPriority w:val="99"/>
    <w:rsid w:val="00E11021"/>
    <w:pPr>
      <w:widowControl w:val="0"/>
      <w:shd w:val="clear" w:color="auto" w:fill="FFFFFF"/>
      <w:spacing w:after="1080" w:line="240" w:lineRule="atLeast"/>
      <w:ind w:hanging="280"/>
      <w:jc w:val="center"/>
    </w:pPr>
    <w:rPr>
      <w:color w:val="000000"/>
      <w:sz w:val="26"/>
      <w:szCs w:val="26"/>
    </w:rPr>
  </w:style>
  <w:style w:type="character" w:customStyle="1" w:styleId="11pt">
    <w:name w:val="Основной текст + 11 pt"/>
    <w:aliases w:val="Полужирный3,Малые прописные5"/>
    <w:uiPriority w:val="99"/>
    <w:rsid w:val="00E11021"/>
    <w:rPr>
      <w:rFonts w:ascii="Times New Roman" w:hAnsi="Times New Roman"/>
      <w:b/>
      <w:color w:val="000000"/>
      <w:spacing w:val="0"/>
      <w:w w:val="100"/>
      <w:position w:val="0"/>
      <w:sz w:val="22"/>
      <w:u w:val="none"/>
      <w:shd w:val="clear" w:color="auto" w:fill="FFFFFF"/>
      <w:lang w:val="ru-RU" w:eastAsia="ru-RU"/>
    </w:rPr>
  </w:style>
  <w:style w:type="paragraph" w:styleId="afffffffff4">
    <w:name w:val="Revision"/>
    <w:hidden/>
    <w:uiPriority w:val="99"/>
    <w:semiHidden/>
    <w:rsid w:val="00E11021"/>
    <w:rPr>
      <w:rFonts w:ascii="Calibri" w:hAnsi="Calibri"/>
      <w:sz w:val="22"/>
      <w:szCs w:val="22"/>
      <w:lang w:eastAsia="en-US"/>
    </w:rPr>
  </w:style>
  <w:style w:type="character" w:customStyle="1" w:styleId="highwire-citation-authors">
    <w:name w:val="highwire-citation-authors"/>
    <w:uiPriority w:val="99"/>
    <w:rsid w:val="00E11021"/>
  </w:style>
  <w:style w:type="character" w:customStyle="1" w:styleId="highwire-citation-authorfirst">
    <w:name w:val="highwire-citation-author first"/>
    <w:uiPriority w:val="99"/>
    <w:rsid w:val="00E11021"/>
  </w:style>
  <w:style w:type="character" w:customStyle="1" w:styleId="nlm-given-names">
    <w:name w:val="nlm-given-names"/>
    <w:uiPriority w:val="99"/>
    <w:rsid w:val="00E11021"/>
  </w:style>
  <w:style w:type="character" w:customStyle="1" w:styleId="nlm-surname">
    <w:name w:val="nlm-surname"/>
    <w:uiPriority w:val="99"/>
    <w:rsid w:val="00E11021"/>
  </w:style>
  <w:style w:type="character" w:customStyle="1" w:styleId="nlm-degrees">
    <w:name w:val="nlm-degrees"/>
    <w:uiPriority w:val="99"/>
    <w:rsid w:val="00E11021"/>
  </w:style>
  <w:style w:type="character" w:customStyle="1" w:styleId="highwire-citation-authorlasthas-tooltiphastooltip">
    <w:name w:val="highwire-citation-author last has-tooltip hastooltip"/>
    <w:uiPriority w:val="99"/>
    <w:rsid w:val="00E11021"/>
  </w:style>
  <w:style w:type="character" w:customStyle="1" w:styleId="highwire-cite-metadata-journal-titlehighwire-cite-metadata">
    <w:name w:val="highwire-cite-metadata-journal-title highwire-cite-metadata"/>
    <w:uiPriority w:val="99"/>
    <w:rsid w:val="00E11021"/>
  </w:style>
  <w:style w:type="character" w:customStyle="1" w:styleId="highwire-cite-metadata-datehighwire-cite-metadata">
    <w:name w:val="highwire-cite-metadata-date highwire-cite-metadata"/>
    <w:uiPriority w:val="99"/>
    <w:rsid w:val="00E11021"/>
  </w:style>
  <w:style w:type="character" w:customStyle="1" w:styleId="highwire-cite-metadata-volumehighwire-cite-metadata">
    <w:name w:val="highwire-cite-metadata-volume highwire-cite-metadata"/>
    <w:uiPriority w:val="99"/>
    <w:rsid w:val="00E11021"/>
  </w:style>
  <w:style w:type="character" w:customStyle="1" w:styleId="highwire-cite-metadata-issuehighwire-cite-metadata">
    <w:name w:val="highwire-cite-metadata-issue highwire-cite-metadata"/>
    <w:uiPriority w:val="99"/>
    <w:rsid w:val="00E11021"/>
  </w:style>
  <w:style w:type="character" w:customStyle="1" w:styleId="highwire-cite-metadata-fpagehighwire-cite-metadata">
    <w:name w:val="highwire-cite-metadata-fpage highwire-cite-metadata"/>
    <w:uiPriority w:val="99"/>
    <w:rsid w:val="00E11021"/>
  </w:style>
  <w:style w:type="character" w:customStyle="1" w:styleId="highwire-cite-metadata-lpagehighwire-cite-metadata">
    <w:name w:val="highwire-cite-metadata-lpage highwire-cite-metadata"/>
    <w:uiPriority w:val="99"/>
    <w:rsid w:val="00E11021"/>
  </w:style>
  <w:style w:type="character" w:customStyle="1" w:styleId="highwire-cite-metadata-doihighwire-cite-metadata">
    <w:name w:val="highwire-cite-metadata-doi highwire-cite-metadata"/>
    <w:uiPriority w:val="99"/>
    <w:rsid w:val="00E11021"/>
  </w:style>
  <w:style w:type="character" w:customStyle="1" w:styleId="contrib-degrees">
    <w:name w:val="contrib-degrees"/>
    <w:uiPriority w:val="99"/>
    <w:rsid w:val="00E11021"/>
  </w:style>
  <w:style w:type="character" w:customStyle="1" w:styleId="slug-pub-date">
    <w:name w:val="slug-pub-date"/>
    <w:uiPriority w:val="99"/>
    <w:rsid w:val="00E11021"/>
  </w:style>
  <w:style w:type="character" w:customStyle="1" w:styleId="slug-pages">
    <w:name w:val="slug-pages"/>
    <w:uiPriority w:val="99"/>
    <w:rsid w:val="00E11021"/>
  </w:style>
  <w:style w:type="table" w:customStyle="1" w:styleId="2160">
    <w:name w:val="Сетка таблицы216"/>
    <w:uiPriority w:val="99"/>
    <w:rsid w:val="00E1102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2">
    <w:name w:val="reference2"/>
    <w:uiPriority w:val="99"/>
    <w:rsid w:val="003F019D"/>
  </w:style>
  <w:style w:type="character" w:customStyle="1" w:styleId="normal10">
    <w:name w:val="normal1"/>
    <w:uiPriority w:val="99"/>
    <w:rsid w:val="003F019D"/>
    <w:rPr>
      <w:rFonts w:ascii="Arial" w:hAnsi="Arial" w:cs="Arial"/>
      <w:color w:val="000000"/>
      <w:sz w:val="20"/>
      <w:szCs w:val="20"/>
    </w:rPr>
  </w:style>
  <w:style w:type="character" w:customStyle="1" w:styleId="result">
    <w:name w:val="result"/>
    <w:uiPriority w:val="99"/>
    <w:rsid w:val="003F019D"/>
    <w:rPr>
      <w:rFonts w:cs="Times New Roman"/>
      <w:color w:val="000080"/>
    </w:rPr>
  </w:style>
  <w:style w:type="table" w:customStyle="1" w:styleId="2170">
    <w:name w:val="Сетка таблицы217"/>
    <w:uiPriority w:val="99"/>
    <w:rsid w:val="003F019D"/>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uiPriority w:val="99"/>
    <w:rsid w:val="003F019D"/>
    <w:rPr>
      <w:rFonts w:ascii="Calibri" w:hAnsi="Calibri"/>
      <w:sz w:val="22"/>
      <w:szCs w:val="22"/>
      <w:lang w:val="en-US" w:eastAsia="en-US"/>
    </w:rPr>
    <w:tblPr>
      <w:tblCellMar>
        <w:top w:w="0" w:type="dxa"/>
        <w:left w:w="0" w:type="dxa"/>
        <w:bottom w:w="0" w:type="dxa"/>
        <w:right w:w="0" w:type="dxa"/>
      </w:tblCellMar>
    </w:tblPr>
  </w:style>
  <w:style w:type="character" w:customStyle="1" w:styleId="ng-binding">
    <w:name w:val="ng-binding"/>
    <w:uiPriority w:val="99"/>
    <w:rsid w:val="003F019D"/>
    <w:rPr>
      <w:rFonts w:cs="Times New Roman"/>
    </w:rPr>
  </w:style>
  <w:style w:type="character" w:customStyle="1" w:styleId="hideprint">
    <w:name w:val="hideprint"/>
    <w:uiPriority w:val="99"/>
    <w:rsid w:val="003F019D"/>
    <w:rPr>
      <w:rFonts w:cs="Times New Roman"/>
    </w:rPr>
  </w:style>
  <w:style w:type="character" w:customStyle="1" w:styleId="ng-scope">
    <w:name w:val="ng-scope"/>
    <w:uiPriority w:val="99"/>
    <w:rsid w:val="003F019D"/>
    <w:rPr>
      <w:rFonts w:cs="Times New Roman"/>
    </w:rPr>
  </w:style>
  <w:style w:type="table" w:customStyle="1" w:styleId="2180">
    <w:name w:val="Сетка таблицы218"/>
    <w:uiPriority w:val="99"/>
    <w:rsid w:val="00F67E4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ticlefulltext">
    <w:name w:val="articlefulltext"/>
    <w:uiPriority w:val="99"/>
    <w:rsid w:val="00F67E4E"/>
    <w:rPr>
      <w:rFonts w:cs="Times New Roman"/>
    </w:rPr>
  </w:style>
  <w:style w:type="character" w:customStyle="1" w:styleId="journalname">
    <w:name w:val="journalname"/>
    <w:uiPriority w:val="99"/>
    <w:rsid w:val="00F67E4E"/>
    <w:rPr>
      <w:rFonts w:cs="Times New Roman"/>
    </w:rPr>
  </w:style>
  <w:style w:type="table" w:customStyle="1" w:styleId="2190">
    <w:name w:val="Сетка таблицы219"/>
    <w:uiPriority w:val="99"/>
    <w:rsid w:val="007526B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uiPriority w:val="99"/>
    <w:rsid w:val="007526B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uiPriority w:val="99"/>
    <w:rsid w:val="007526B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uiPriority w:val="99"/>
    <w:rsid w:val="007526B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uiPriority w:val="99"/>
    <w:rsid w:val="007526B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uiPriority w:val="99"/>
    <w:rsid w:val="007526B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uiPriority w:val="99"/>
    <w:rsid w:val="007526B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uiPriority w:val="99"/>
    <w:rsid w:val="007526B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uiPriority w:val="99"/>
    <w:rsid w:val="007526B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uiPriority w:val="99"/>
    <w:rsid w:val="007526B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uiPriority w:val="99"/>
    <w:rsid w:val="007526B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uiPriority w:val="99"/>
    <w:rsid w:val="007526B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uiPriority w:val="99"/>
    <w:rsid w:val="007526B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uiPriority w:val="99"/>
    <w:rsid w:val="007526B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uiPriority w:val="99"/>
    <w:rsid w:val="007526B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uiPriority w:val="99"/>
    <w:rsid w:val="00162117"/>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uiPriority w:val="99"/>
    <w:rsid w:val="00162117"/>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uiPriority w:val="99"/>
    <w:rsid w:val="00162117"/>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етка таблицы237"/>
    <w:uiPriority w:val="99"/>
    <w:rsid w:val="00436038"/>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
    <w:name w:val="Сетка таблицы238"/>
    <w:uiPriority w:val="99"/>
    <w:rsid w:val="00436038"/>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uiPriority w:val="99"/>
    <w:rsid w:val="00B557E3"/>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uiPriority w:val="99"/>
    <w:rsid w:val="00B557E3"/>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uiPriority w:val="99"/>
    <w:rsid w:val="00B557E3"/>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uiPriority w:val="99"/>
    <w:rsid w:val="00B557E3"/>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uiPriority w:val="99"/>
    <w:rsid w:val="00B557E3"/>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uiPriority w:val="99"/>
    <w:rsid w:val="009A5E55"/>
    <w:rPr>
      <w:rFonts w:eastAsia="MS Mincho"/>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uiPriority w:val="99"/>
    <w:rsid w:val="009A5E55"/>
    <w:rPr>
      <w:rFonts w:eastAsia="MS Mincho"/>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uiPriority w:val="99"/>
    <w:rsid w:val="008A6577"/>
    <w:rPr>
      <w:rFonts w:eastAsia="MS Mincho"/>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uiPriority w:val="99"/>
    <w:rsid w:val="008A6577"/>
    <w:rPr>
      <w:rFonts w:eastAsia="MS Mincho"/>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uiPriority w:val="99"/>
    <w:rsid w:val="008A6577"/>
    <w:rPr>
      <w:rFonts w:eastAsia="MS Mincho"/>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uiPriority w:val="99"/>
    <w:rsid w:val="00585B79"/>
    <w:rPr>
      <w:rFonts w:eastAsia="MS Mincho"/>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uiPriority w:val="99"/>
    <w:rsid w:val="00585B79"/>
    <w:rPr>
      <w:rFonts w:eastAsia="MS Mincho"/>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uiPriority w:val="99"/>
    <w:rsid w:val="00585B79"/>
    <w:rPr>
      <w:rFonts w:eastAsia="MS Mincho"/>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g">
    <w:name w:val="reg"/>
    <w:uiPriority w:val="99"/>
    <w:rsid w:val="00556B4F"/>
  </w:style>
  <w:style w:type="paragraph" w:customStyle="1" w:styleId="11e">
    <w:name w:val="Без интервала11"/>
    <w:uiPriority w:val="99"/>
    <w:rsid w:val="00B84492"/>
    <w:rPr>
      <w:rFonts w:ascii="Calibri" w:hAnsi="Calibri"/>
      <w:sz w:val="24"/>
      <w:szCs w:val="24"/>
    </w:rPr>
  </w:style>
  <w:style w:type="character" w:customStyle="1" w:styleId="ft1">
    <w:name w:val="ft1"/>
    <w:uiPriority w:val="99"/>
    <w:rsid w:val="00B84492"/>
  </w:style>
  <w:style w:type="character" w:customStyle="1" w:styleId="l7">
    <w:name w:val="l7"/>
    <w:uiPriority w:val="99"/>
    <w:rsid w:val="00B84492"/>
  </w:style>
  <w:style w:type="character" w:customStyle="1" w:styleId="A00">
    <w:name w:val="A0"/>
    <w:uiPriority w:val="99"/>
    <w:rsid w:val="00B84492"/>
    <w:rPr>
      <w:rFonts w:ascii="Arial" w:hAnsi="Arial"/>
      <w:b/>
      <w:color w:val="211D1E"/>
      <w:sz w:val="16"/>
    </w:rPr>
  </w:style>
  <w:style w:type="character" w:customStyle="1" w:styleId="A60">
    <w:name w:val="A6"/>
    <w:uiPriority w:val="99"/>
    <w:rsid w:val="00B84492"/>
    <w:rPr>
      <w:rFonts w:ascii="Arial" w:hAnsi="Arial"/>
      <w:b/>
      <w:color w:val="211D1E"/>
      <w:sz w:val="9"/>
    </w:rPr>
  </w:style>
  <w:style w:type="table" w:customStyle="1" w:styleId="252">
    <w:name w:val="Сетка таблицы252"/>
    <w:uiPriority w:val="99"/>
    <w:rsid w:val="00122C7A"/>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uiPriority w:val="99"/>
    <w:rsid w:val="00122C7A"/>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uiPriority w:val="99"/>
    <w:rsid w:val="00122C7A"/>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uiPriority w:val="99"/>
    <w:rsid w:val="00D423D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uiPriority w:val="99"/>
    <w:rsid w:val="00D423D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uiPriority w:val="99"/>
    <w:rsid w:val="00D423D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uiPriority w:val="99"/>
    <w:rsid w:val="00D423D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uiPriority w:val="99"/>
    <w:rsid w:val="00D423D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0">
    <w:name w:val="Сетка таблицы260"/>
    <w:uiPriority w:val="99"/>
    <w:rsid w:val="00D423D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uiPriority w:val="99"/>
    <w:rsid w:val="00D423D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uiPriority w:val="99"/>
    <w:rsid w:val="00D423D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uiPriority w:val="99"/>
    <w:rsid w:val="00D423D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uiPriority w:val="99"/>
    <w:rsid w:val="00715AA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5">
    <w:name w:val="Текст мой"/>
    <w:basedOn w:val="a2"/>
    <w:uiPriority w:val="99"/>
    <w:rsid w:val="004561F7"/>
    <w:pPr>
      <w:widowControl w:val="0"/>
      <w:suppressAutoHyphens/>
      <w:autoSpaceDN w:val="0"/>
      <w:spacing w:line="360" w:lineRule="auto"/>
      <w:ind w:firstLine="709"/>
      <w:jc w:val="both"/>
      <w:textAlignment w:val="baseline"/>
    </w:pPr>
    <w:rPr>
      <w:rFonts w:cs="Tahoma"/>
      <w:kern w:val="3"/>
      <w:sz w:val="28"/>
      <w:szCs w:val="28"/>
    </w:rPr>
  </w:style>
  <w:style w:type="table" w:customStyle="1" w:styleId="265">
    <w:name w:val="Сетка таблицы265"/>
    <w:uiPriority w:val="99"/>
    <w:rsid w:val="00F909F7"/>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6">
    <w:name w:val="Сетка таблицы266"/>
    <w:uiPriority w:val="99"/>
    <w:rsid w:val="00F909F7"/>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7">
    <w:name w:val="Сетка таблицы267"/>
    <w:uiPriority w:val="99"/>
    <w:rsid w:val="00F909F7"/>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8">
    <w:name w:val="Сетка таблицы268"/>
    <w:uiPriority w:val="99"/>
    <w:rsid w:val="00F909F7"/>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9">
    <w:name w:val="Сетка таблицы269"/>
    <w:uiPriority w:val="99"/>
    <w:rsid w:val="00F909F7"/>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0">
    <w:name w:val="Сетка таблицы270"/>
    <w:uiPriority w:val="99"/>
    <w:rsid w:val="00F909F7"/>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0">
    <w:name w:val="Сетка таблицы271"/>
    <w:uiPriority w:val="99"/>
    <w:rsid w:val="00B333BC"/>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20">
    <w:name w:val="Сетка таблицы272"/>
    <w:uiPriority w:val="99"/>
    <w:rsid w:val="00B333BC"/>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3">
    <w:name w:val="Сетка таблицы273"/>
    <w:uiPriority w:val="99"/>
    <w:rsid w:val="00B333BC"/>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4"/>
    <w:uiPriority w:val="99"/>
    <w:rsid w:val="00B333BC"/>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5">
    <w:name w:val="Сетка таблицы275"/>
    <w:uiPriority w:val="99"/>
    <w:rsid w:val="00B333BC"/>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6">
    <w:name w:val="Сетка таблицы276"/>
    <w:uiPriority w:val="99"/>
    <w:rsid w:val="00B333BC"/>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7">
    <w:name w:val="Сетка таблицы277"/>
    <w:uiPriority w:val="99"/>
    <w:rsid w:val="00B333BC"/>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8">
    <w:name w:val="Сетка таблицы278"/>
    <w:uiPriority w:val="99"/>
    <w:rsid w:val="00B333BC"/>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9">
    <w:name w:val="Сетка таблицы279"/>
    <w:uiPriority w:val="99"/>
    <w:rsid w:val="00B333BC"/>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0">
    <w:name w:val="Сетка таблицы280"/>
    <w:uiPriority w:val="99"/>
    <w:rsid w:val="00B333BC"/>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0">
    <w:name w:val="Сетка таблицы281"/>
    <w:uiPriority w:val="99"/>
    <w:rsid w:val="00B333BC"/>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2">
    <w:name w:val="Сетка таблицы282"/>
    <w:uiPriority w:val="99"/>
    <w:rsid w:val="00B333BC"/>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3">
    <w:name w:val="Сетка таблицы283"/>
    <w:uiPriority w:val="99"/>
    <w:rsid w:val="008000CC"/>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4">
    <w:name w:val="Сетка таблицы284"/>
    <w:uiPriority w:val="99"/>
    <w:rsid w:val="000D435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5">
    <w:name w:val="Сетка таблицы285"/>
    <w:uiPriority w:val="99"/>
    <w:rsid w:val="000D435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6">
    <w:name w:val="Сетка таблицы286"/>
    <w:uiPriority w:val="99"/>
    <w:rsid w:val="000D435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7">
    <w:name w:val="Сетка таблицы287"/>
    <w:uiPriority w:val="99"/>
    <w:rsid w:val="00E52979"/>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8">
    <w:name w:val="Сетка таблицы288"/>
    <w:uiPriority w:val="99"/>
    <w:rsid w:val="00E52979"/>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9">
    <w:name w:val="Сетка таблицы289"/>
    <w:uiPriority w:val="99"/>
    <w:rsid w:val="00E52979"/>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00">
    <w:name w:val="Сетка таблицы290"/>
    <w:uiPriority w:val="99"/>
    <w:rsid w:val="00E52979"/>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1">
    <w:name w:val="Сетка таблицы291"/>
    <w:uiPriority w:val="99"/>
    <w:rsid w:val="00E52979"/>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2">
    <w:name w:val="Сетка таблицы292"/>
    <w:uiPriority w:val="99"/>
    <w:rsid w:val="00E52979"/>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3">
    <w:name w:val="Сетка таблицы293"/>
    <w:uiPriority w:val="99"/>
    <w:rsid w:val="00E52979"/>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uiPriority w:val="99"/>
    <w:rsid w:val="00E52979"/>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5">
    <w:name w:val="Сетка таблицы295"/>
    <w:uiPriority w:val="99"/>
    <w:rsid w:val="00E52979"/>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6">
    <w:name w:val="Сетка таблицы296"/>
    <w:uiPriority w:val="99"/>
    <w:rsid w:val="00E52979"/>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5">
    <w:name w:val="Основной шрифт абзаца2"/>
    <w:uiPriority w:val="99"/>
    <w:rsid w:val="00F15A1D"/>
  </w:style>
  <w:style w:type="character" w:customStyle="1" w:styleId="afffffffff6">
    <w:name w:val="Символы концевой сноски"/>
    <w:uiPriority w:val="99"/>
    <w:rsid w:val="00F15A1D"/>
    <w:rPr>
      <w:vertAlign w:val="superscript"/>
    </w:rPr>
  </w:style>
  <w:style w:type="character" w:customStyle="1" w:styleId="StrongEmphasis">
    <w:name w:val="Strong Emphasis"/>
    <w:uiPriority w:val="99"/>
    <w:rsid w:val="00F15A1D"/>
    <w:rPr>
      <w:b/>
    </w:rPr>
  </w:style>
  <w:style w:type="paragraph" w:customStyle="1" w:styleId="2ff6">
    <w:name w:val="Указатель2"/>
    <w:basedOn w:val="a2"/>
    <w:uiPriority w:val="99"/>
    <w:rsid w:val="00F15A1D"/>
    <w:pPr>
      <w:suppressLineNumbers/>
      <w:spacing w:after="200" w:line="276" w:lineRule="auto"/>
    </w:pPr>
    <w:rPr>
      <w:rFonts w:ascii="Calibri" w:hAnsi="Calibri" w:cs="Mangal"/>
      <w:sz w:val="22"/>
      <w:szCs w:val="22"/>
      <w:lang w:val="en-US" w:eastAsia="en-US"/>
    </w:rPr>
  </w:style>
  <w:style w:type="paragraph" w:customStyle="1" w:styleId="Standard">
    <w:name w:val="Standard"/>
    <w:uiPriority w:val="99"/>
    <w:rsid w:val="00F15A1D"/>
    <w:pPr>
      <w:widowControl w:val="0"/>
      <w:suppressAutoHyphens/>
      <w:spacing w:after="200" w:line="276" w:lineRule="auto"/>
      <w:textAlignment w:val="baseline"/>
    </w:pPr>
    <w:rPr>
      <w:rFonts w:ascii="Calibri" w:hAnsi="Calibri"/>
      <w:kern w:val="1"/>
      <w:sz w:val="24"/>
      <w:szCs w:val="24"/>
      <w:lang w:val="en-US" w:eastAsia="en-US"/>
    </w:rPr>
  </w:style>
  <w:style w:type="paragraph" w:customStyle="1" w:styleId="ptx2">
    <w:name w:val="ptx2"/>
    <w:basedOn w:val="a2"/>
    <w:uiPriority w:val="99"/>
    <w:rsid w:val="00F15A1D"/>
    <w:pPr>
      <w:spacing w:before="280" w:after="280"/>
    </w:pPr>
    <w:rPr>
      <w:sz w:val="24"/>
      <w:szCs w:val="24"/>
      <w:lang w:val="en-US" w:eastAsia="en-US"/>
    </w:rPr>
  </w:style>
  <w:style w:type="character" w:customStyle="1" w:styleId="WW8Num7z4">
    <w:name w:val="WW8Num7z4"/>
    <w:uiPriority w:val="99"/>
    <w:rsid w:val="00F15A1D"/>
  </w:style>
  <w:style w:type="character" w:customStyle="1" w:styleId="WW8Num7z5">
    <w:name w:val="WW8Num7z5"/>
    <w:uiPriority w:val="99"/>
    <w:rsid w:val="00F15A1D"/>
  </w:style>
  <w:style w:type="character" w:customStyle="1" w:styleId="WW8Num7z6">
    <w:name w:val="WW8Num7z6"/>
    <w:uiPriority w:val="99"/>
    <w:rsid w:val="00F15A1D"/>
  </w:style>
  <w:style w:type="character" w:customStyle="1" w:styleId="WW8Num7z7">
    <w:name w:val="WW8Num7z7"/>
    <w:uiPriority w:val="99"/>
    <w:rsid w:val="00F15A1D"/>
  </w:style>
  <w:style w:type="character" w:customStyle="1" w:styleId="WW8Num7z8">
    <w:name w:val="WW8Num7z8"/>
    <w:uiPriority w:val="99"/>
    <w:rsid w:val="00F15A1D"/>
  </w:style>
  <w:style w:type="table" w:customStyle="1" w:styleId="297">
    <w:name w:val="Сетка таблицы297"/>
    <w:uiPriority w:val="99"/>
    <w:rsid w:val="00F15A1D"/>
    <w:pPr>
      <w:spacing w:after="200" w:line="276" w:lineRule="auto"/>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123456789101112">
    <w:name w:val="WW-Основной текст + Полужирный123456789101112"/>
    <w:uiPriority w:val="99"/>
    <w:rsid w:val="00F15A1D"/>
    <w:rPr>
      <w:rFonts w:ascii="Times New Roman" w:hAnsi="Times New Roman"/>
      <w:b/>
      <w:spacing w:val="0"/>
      <w:sz w:val="27"/>
    </w:rPr>
  </w:style>
  <w:style w:type="character" w:customStyle="1" w:styleId="WW-12345678910111213">
    <w:name w:val="WW-Основной текст + Полужирный12345678910111213"/>
    <w:uiPriority w:val="99"/>
    <w:rsid w:val="00F15A1D"/>
    <w:rPr>
      <w:rFonts w:ascii="Times New Roman" w:hAnsi="Times New Roman"/>
      <w:b/>
      <w:spacing w:val="0"/>
      <w:sz w:val="27"/>
    </w:rPr>
  </w:style>
  <w:style w:type="character" w:customStyle="1" w:styleId="s1">
    <w:name w:val="s1"/>
    <w:uiPriority w:val="99"/>
    <w:rsid w:val="00F15A1D"/>
    <w:rPr>
      <w:rFonts w:cs="Times New Roman"/>
    </w:rPr>
  </w:style>
  <w:style w:type="paragraph" w:customStyle="1" w:styleId="21a">
    <w:name w:val="Цитата 21"/>
    <w:basedOn w:val="a2"/>
    <w:next w:val="a2"/>
    <w:uiPriority w:val="99"/>
    <w:rsid w:val="00F15A1D"/>
    <w:pPr>
      <w:spacing w:after="200" w:line="276" w:lineRule="auto"/>
    </w:pPr>
    <w:rPr>
      <w:rFonts w:ascii="Calibri" w:hAnsi="Calibri"/>
      <w:i/>
      <w:iCs/>
      <w:color w:val="000000"/>
      <w:sz w:val="22"/>
      <w:szCs w:val="22"/>
      <w:lang w:val="en-US" w:eastAsia="en-US"/>
    </w:rPr>
  </w:style>
  <w:style w:type="character" w:customStyle="1" w:styleId="QuoteChar">
    <w:name w:val="Quote Char"/>
    <w:uiPriority w:val="99"/>
    <w:locked/>
    <w:rsid w:val="00F15A1D"/>
    <w:rPr>
      <w:i/>
      <w:color w:val="000000"/>
    </w:rPr>
  </w:style>
  <w:style w:type="character" w:customStyle="1" w:styleId="1fff1">
    <w:name w:val="Сильное выделение1"/>
    <w:uiPriority w:val="99"/>
    <w:rsid w:val="00F15A1D"/>
    <w:rPr>
      <w:rFonts w:cs="Times New Roman"/>
      <w:b/>
      <w:bCs/>
      <w:i/>
      <w:iCs/>
      <w:color w:val="4F81BD"/>
    </w:rPr>
  </w:style>
  <w:style w:type="character" w:customStyle="1" w:styleId="1fff2">
    <w:name w:val="Слабая ссылка1"/>
    <w:uiPriority w:val="99"/>
    <w:rsid w:val="00F15A1D"/>
    <w:rPr>
      <w:rFonts w:cs="Times New Roman"/>
      <w:smallCaps/>
      <w:color w:val="C0504D"/>
      <w:u w:val="single"/>
    </w:rPr>
  </w:style>
  <w:style w:type="character" w:customStyle="1" w:styleId="1fff3">
    <w:name w:val="Сильная ссылка1"/>
    <w:uiPriority w:val="99"/>
    <w:rsid w:val="00F15A1D"/>
    <w:rPr>
      <w:rFonts w:cs="Times New Roman"/>
      <w:b/>
      <w:bCs/>
      <w:smallCaps/>
      <w:color w:val="C0504D"/>
      <w:spacing w:val="5"/>
      <w:u w:val="single"/>
    </w:rPr>
  </w:style>
  <w:style w:type="character" w:styleId="afffffffff7">
    <w:name w:val="Book Title"/>
    <w:uiPriority w:val="99"/>
    <w:qFormat/>
    <w:rsid w:val="00F15A1D"/>
    <w:rPr>
      <w:rFonts w:cs="Times New Roman"/>
      <w:b/>
      <w:bCs/>
      <w:smallCaps/>
      <w:spacing w:val="5"/>
    </w:rPr>
  </w:style>
  <w:style w:type="paragraph" w:customStyle="1" w:styleId="Zagolovok">
    <w:name w:val="Zagolovok"/>
    <w:basedOn w:val="10"/>
    <w:link w:val="Zagolovok0"/>
    <w:uiPriority w:val="99"/>
    <w:rsid w:val="00F15A1D"/>
    <w:pPr>
      <w:keepLines/>
      <w:spacing w:before="480" w:line="276" w:lineRule="auto"/>
    </w:pPr>
    <w:rPr>
      <w:lang w:val="en-US" w:eastAsia="en-US"/>
    </w:rPr>
  </w:style>
  <w:style w:type="paragraph" w:customStyle="1" w:styleId="1Zagolovok">
    <w:name w:val="1Zagolovok"/>
    <w:basedOn w:val="Zagolovok"/>
    <w:link w:val="1Zagolovok0"/>
    <w:uiPriority w:val="99"/>
    <w:rsid w:val="00F15A1D"/>
    <w:pPr>
      <w:spacing w:line="360" w:lineRule="auto"/>
      <w:ind w:firstLine="709"/>
      <w:jc w:val="left"/>
    </w:pPr>
  </w:style>
  <w:style w:type="character" w:customStyle="1" w:styleId="Zagolovok0">
    <w:name w:val="Zagolovok Знак"/>
    <w:link w:val="Zagolovok"/>
    <w:uiPriority w:val="99"/>
    <w:locked/>
    <w:rsid w:val="00F15A1D"/>
    <w:rPr>
      <w:rFonts w:eastAsia="Times New Roman" w:cs="Times New Roman"/>
      <w:b/>
      <w:bCs/>
      <w:kern w:val="32"/>
      <w:sz w:val="28"/>
      <w:szCs w:val="28"/>
      <w:lang w:val="en-US" w:eastAsia="en-US"/>
    </w:rPr>
  </w:style>
  <w:style w:type="character" w:customStyle="1" w:styleId="1Zagolovok0">
    <w:name w:val="1Zagolovok Знак"/>
    <w:link w:val="1Zagolovok"/>
    <w:uiPriority w:val="99"/>
    <w:locked/>
    <w:rsid w:val="00F15A1D"/>
    <w:rPr>
      <w:rFonts w:eastAsia="Times New Roman" w:cs="Times New Roman"/>
      <w:b/>
      <w:bCs/>
      <w:kern w:val="32"/>
      <w:sz w:val="28"/>
      <w:szCs w:val="28"/>
      <w:lang w:val="en-US" w:eastAsia="en-US"/>
    </w:rPr>
  </w:style>
  <w:style w:type="paragraph" w:customStyle="1" w:styleId="1fff4">
    <w:name w:val="1 Заггол"/>
    <w:basedOn w:val="1Zagolovok"/>
    <w:link w:val="1fff5"/>
    <w:uiPriority w:val="99"/>
    <w:rsid w:val="00F15A1D"/>
    <w:pPr>
      <w:ind w:firstLine="0"/>
      <w:jc w:val="center"/>
    </w:pPr>
  </w:style>
  <w:style w:type="paragraph" w:customStyle="1" w:styleId="2ff7">
    <w:name w:val="2 Заггол"/>
    <w:basedOn w:val="1fff4"/>
    <w:link w:val="2ff8"/>
    <w:uiPriority w:val="99"/>
    <w:rsid w:val="00F15A1D"/>
    <w:pPr>
      <w:ind w:firstLine="709"/>
      <w:jc w:val="left"/>
    </w:pPr>
  </w:style>
  <w:style w:type="character" w:customStyle="1" w:styleId="1fff5">
    <w:name w:val="1 Заггол Знак"/>
    <w:link w:val="1fff4"/>
    <w:uiPriority w:val="99"/>
    <w:locked/>
    <w:rsid w:val="00F15A1D"/>
    <w:rPr>
      <w:rFonts w:eastAsia="Times New Roman" w:cs="Times New Roman"/>
      <w:b/>
      <w:bCs/>
      <w:kern w:val="32"/>
      <w:sz w:val="28"/>
      <w:szCs w:val="28"/>
      <w:lang w:val="en-US" w:eastAsia="en-US"/>
    </w:rPr>
  </w:style>
  <w:style w:type="paragraph" w:customStyle="1" w:styleId="2ff9">
    <w:name w:val="2 Загол"/>
    <w:basedOn w:val="2ff7"/>
    <w:link w:val="2ffa"/>
    <w:uiPriority w:val="99"/>
    <w:rsid w:val="00F15A1D"/>
    <w:pPr>
      <w:spacing w:before="0"/>
    </w:pPr>
  </w:style>
  <w:style w:type="character" w:customStyle="1" w:styleId="2ff8">
    <w:name w:val="2 Заггол Знак"/>
    <w:link w:val="2ff7"/>
    <w:uiPriority w:val="99"/>
    <w:locked/>
    <w:rsid w:val="00F15A1D"/>
    <w:rPr>
      <w:rFonts w:eastAsia="Times New Roman" w:cs="Times New Roman"/>
      <w:b/>
      <w:bCs/>
      <w:kern w:val="32"/>
      <w:sz w:val="28"/>
      <w:szCs w:val="28"/>
      <w:lang w:val="en-US" w:eastAsia="en-US"/>
    </w:rPr>
  </w:style>
  <w:style w:type="paragraph" w:customStyle="1" w:styleId="afffffffff8">
    <w:name w:val="Подзагол"/>
    <w:basedOn w:val="afffffffe"/>
    <w:link w:val="afffffffff9"/>
    <w:uiPriority w:val="99"/>
    <w:rsid w:val="00F15A1D"/>
    <w:pPr>
      <w:numPr>
        <w:ilvl w:val="1"/>
      </w:numPr>
      <w:spacing w:before="120" w:after="120" w:line="276" w:lineRule="auto"/>
      <w:ind w:firstLine="709"/>
      <w:jc w:val="left"/>
    </w:pPr>
    <w:rPr>
      <w:b/>
      <w:iCs/>
      <w:spacing w:val="15"/>
      <w:sz w:val="28"/>
      <w:szCs w:val="28"/>
      <w:lang w:val="en-US" w:eastAsia="en-US"/>
    </w:rPr>
  </w:style>
  <w:style w:type="character" w:customStyle="1" w:styleId="2ffa">
    <w:name w:val="2 Загол Знак"/>
    <w:link w:val="2ff9"/>
    <w:uiPriority w:val="99"/>
    <w:locked/>
    <w:rsid w:val="00F15A1D"/>
    <w:rPr>
      <w:rFonts w:eastAsia="Times New Roman" w:cs="Times New Roman"/>
      <w:b/>
      <w:bCs/>
      <w:kern w:val="32"/>
      <w:sz w:val="28"/>
      <w:szCs w:val="28"/>
      <w:lang w:val="en-US" w:eastAsia="en-US"/>
    </w:rPr>
  </w:style>
  <w:style w:type="character" w:customStyle="1" w:styleId="afffffffff9">
    <w:name w:val="Подзагол Знак"/>
    <w:link w:val="afffffffff8"/>
    <w:uiPriority w:val="99"/>
    <w:locked/>
    <w:rsid w:val="00F15A1D"/>
    <w:rPr>
      <w:rFonts w:eastAsia="Times New Roman" w:cs="Times New Roman"/>
      <w:b/>
      <w:iCs/>
      <w:spacing w:val="15"/>
      <w:sz w:val="28"/>
      <w:szCs w:val="28"/>
      <w:lang w:val="en-US" w:eastAsia="en-US"/>
    </w:rPr>
  </w:style>
  <w:style w:type="paragraph" w:styleId="2ffb">
    <w:name w:val="Quote"/>
    <w:basedOn w:val="a2"/>
    <w:next w:val="a2"/>
    <w:link w:val="2ffc"/>
    <w:uiPriority w:val="99"/>
    <w:qFormat/>
    <w:rsid w:val="00F15A1D"/>
    <w:pPr>
      <w:spacing w:before="200" w:after="160"/>
      <w:ind w:left="864" w:right="864"/>
      <w:jc w:val="center"/>
    </w:pPr>
    <w:rPr>
      <w:i/>
      <w:iCs/>
      <w:color w:val="000000"/>
    </w:rPr>
  </w:style>
  <w:style w:type="character" w:customStyle="1" w:styleId="2ffc">
    <w:name w:val="Цитата 2 Знак"/>
    <w:link w:val="2ffb"/>
    <w:uiPriority w:val="99"/>
    <w:locked/>
    <w:rsid w:val="00641F40"/>
    <w:rPr>
      <w:rFonts w:cs="Times New Roman"/>
      <w:i/>
      <w:iCs/>
      <w:color w:val="000000"/>
      <w:sz w:val="20"/>
      <w:szCs w:val="20"/>
    </w:rPr>
  </w:style>
  <w:style w:type="character" w:customStyle="1" w:styleId="21b">
    <w:name w:val="Цитата 2 Знак1"/>
    <w:uiPriority w:val="99"/>
    <w:rsid w:val="00F15A1D"/>
    <w:rPr>
      <w:rFonts w:cs="Times New Roman"/>
      <w:i/>
      <w:iCs/>
      <w:color w:val="404040"/>
    </w:rPr>
  </w:style>
  <w:style w:type="character" w:styleId="afffffffffa">
    <w:name w:val="Intense Emphasis"/>
    <w:uiPriority w:val="99"/>
    <w:qFormat/>
    <w:rsid w:val="00F15A1D"/>
    <w:rPr>
      <w:rFonts w:cs="Times New Roman"/>
      <w:i/>
      <w:iCs/>
      <w:color w:val="5B9BD5"/>
    </w:rPr>
  </w:style>
  <w:style w:type="character" w:styleId="afffffffffb">
    <w:name w:val="Subtle Reference"/>
    <w:uiPriority w:val="99"/>
    <w:qFormat/>
    <w:rsid w:val="00F15A1D"/>
    <w:rPr>
      <w:rFonts w:cs="Times New Roman"/>
      <w:smallCaps/>
      <w:color w:val="5A5A5A"/>
    </w:rPr>
  </w:style>
  <w:style w:type="character" w:styleId="afffffffffc">
    <w:name w:val="Intense Reference"/>
    <w:uiPriority w:val="99"/>
    <w:qFormat/>
    <w:rsid w:val="00F15A1D"/>
    <w:rPr>
      <w:rFonts w:cs="Times New Roman"/>
      <w:b/>
      <w:bCs/>
      <w:smallCaps/>
      <w:color w:val="5B9BD5"/>
      <w:spacing w:val="5"/>
    </w:rPr>
  </w:style>
  <w:style w:type="table" w:customStyle="1" w:styleId="298">
    <w:name w:val="Сетка таблицы298"/>
    <w:uiPriority w:val="99"/>
    <w:rsid w:val="005517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0">
    <w:name w:val="Сетка таблицы1100"/>
    <w:uiPriority w:val="99"/>
    <w:rsid w:val="005517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9">
    <w:name w:val="Сетка таблицы299"/>
    <w:uiPriority w:val="99"/>
    <w:rsid w:val="00D2682D"/>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0">
    <w:name w:val="Сетка таблицы300"/>
    <w:uiPriority w:val="99"/>
    <w:rsid w:val="00D2682D"/>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uiPriority w:val="99"/>
    <w:rsid w:val="00D2682D"/>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uiPriority w:val="99"/>
    <w:rsid w:val="00D2682D"/>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uiPriority w:val="99"/>
    <w:rsid w:val="00D2682D"/>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uiPriority w:val="99"/>
    <w:rsid w:val="00D2682D"/>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uiPriority w:val="99"/>
    <w:rsid w:val="00D2682D"/>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uiPriority w:val="99"/>
    <w:rsid w:val="00D2682D"/>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7">
    <w:name w:val="Сетка таблицы307"/>
    <w:uiPriority w:val="99"/>
    <w:rsid w:val="00692C9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8">
    <w:name w:val="Сетка таблицы308"/>
    <w:uiPriority w:val="99"/>
    <w:rsid w:val="00692C9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9">
    <w:name w:val="Сетка таблицы309"/>
    <w:uiPriority w:val="99"/>
    <w:rsid w:val="00692C9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uiPriority w:val="99"/>
    <w:rsid w:val="00692C9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uiPriority w:val="99"/>
    <w:rsid w:val="00692C9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uiPriority w:val="99"/>
    <w:rsid w:val="00692C9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uiPriority w:val="99"/>
    <w:rsid w:val="00692C9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uiPriority w:val="99"/>
    <w:rsid w:val="00692C9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1"/>
    <w:uiPriority w:val="99"/>
    <w:rsid w:val="00692C9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uiPriority w:val="99"/>
    <w:rsid w:val="00692C9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uiPriority w:val="99"/>
    <w:rsid w:val="00692C9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
    <w:name w:val="Сетка таблицы1104"/>
    <w:uiPriority w:val="99"/>
    <w:rsid w:val="00692C9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етка таблицы1105"/>
    <w:uiPriority w:val="99"/>
    <w:rsid w:val="00692C9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
    <w:name w:val="Сетка таблицы1106"/>
    <w:uiPriority w:val="99"/>
    <w:rsid w:val="00692C9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етка таблицы317"/>
    <w:uiPriority w:val="99"/>
    <w:rsid w:val="00101FE6"/>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
    <w:name w:val="Сетка таблицы1107"/>
    <w:uiPriority w:val="99"/>
    <w:rsid w:val="00101FE6"/>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pdicttext22">
    <w:name w:val="op_dict_text22"/>
    <w:uiPriority w:val="99"/>
    <w:rsid w:val="00085F21"/>
  </w:style>
  <w:style w:type="character" w:customStyle="1" w:styleId="fn">
    <w:name w:val="fn"/>
    <w:uiPriority w:val="99"/>
    <w:rsid w:val="00F33003"/>
    <w:rPr>
      <w:rFonts w:cs="Times New Roman"/>
    </w:rPr>
  </w:style>
  <w:style w:type="character" w:customStyle="1" w:styleId="comma">
    <w:name w:val="comma"/>
    <w:uiPriority w:val="99"/>
    <w:rsid w:val="00F33003"/>
    <w:rPr>
      <w:rFonts w:cs="Times New Roman"/>
    </w:rPr>
  </w:style>
  <w:style w:type="character" w:customStyle="1" w:styleId="source-title">
    <w:name w:val="source-title"/>
    <w:uiPriority w:val="99"/>
    <w:rsid w:val="00F33003"/>
    <w:rPr>
      <w:rFonts w:cs="Times New Roman"/>
    </w:rPr>
  </w:style>
  <w:style w:type="character" w:customStyle="1" w:styleId="volume">
    <w:name w:val="volume"/>
    <w:uiPriority w:val="99"/>
    <w:rsid w:val="00F33003"/>
    <w:rPr>
      <w:rFonts w:cs="Times New Roman"/>
    </w:rPr>
  </w:style>
  <w:style w:type="character" w:customStyle="1" w:styleId="start-page">
    <w:name w:val="start-page"/>
    <w:uiPriority w:val="99"/>
    <w:rsid w:val="00F33003"/>
    <w:rPr>
      <w:rFonts w:cs="Times New Roman"/>
    </w:rPr>
  </w:style>
  <w:style w:type="character" w:customStyle="1" w:styleId="end-page">
    <w:name w:val="end-page"/>
    <w:uiPriority w:val="99"/>
    <w:rsid w:val="00F33003"/>
    <w:rPr>
      <w:rFonts w:cs="Times New Roman"/>
    </w:rPr>
  </w:style>
  <w:style w:type="character" w:customStyle="1" w:styleId="year">
    <w:name w:val="year"/>
    <w:uiPriority w:val="99"/>
    <w:rsid w:val="00F33003"/>
    <w:rPr>
      <w:rFonts w:cs="Times New Roman"/>
    </w:rPr>
  </w:style>
  <w:style w:type="paragraph" w:customStyle="1" w:styleId="tiny-space-below">
    <w:name w:val="tiny-space-below"/>
    <w:basedOn w:val="a2"/>
    <w:uiPriority w:val="99"/>
    <w:rsid w:val="00F33003"/>
    <w:pPr>
      <w:spacing w:before="100" w:beforeAutospacing="1" w:after="100" w:afterAutospacing="1"/>
    </w:pPr>
    <w:rPr>
      <w:sz w:val="24"/>
      <w:szCs w:val="24"/>
    </w:rPr>
  </w:style>
  <w:style w:type="character" w:customStyle="1" w:styleId="journal">
    <w:name w:val="journal"/>
    <w:uiPriority w:val="99"/>
    <w:rsid w:val="00F33003"/>
    <w:rPr>
      <w:rFonts w:cs="Times New Roman"/>
    </w:rPr>
  </w:style>
  <w:style w:type="character" w:customStyle="1" w:styleId="jnumber">
    <w:name w:val="jnumber"/>
    <w:uiPriority w:val="99"/>
    <w:rsid w:val="00F33003"/>
    <w:rPr>
      <w:rFonts w:cs="Times New Roman"/>
    </w:rPr>
  </w:style>
  <w:style w:type="character" w:customStyle="1" w:styleId="mb">
    <w:name w:val="mb"/>
    <w:uiPriority w:val="99"/>
    <w:rsid w:val="00F33003"/>
    <w:rPr>
      <w:rFonts w:cs="Times New Roman"/>
    </w:rPr>
  </w:style>
  <w:style w:type="character" w:customStyle="1" w:styleId="atl">
    <w:name w:val="atl"/>
    <w:uiPriority w:val="99"/>
    <w:rsid w:val="00F33003"/>
    <w:rPr>
      <w:rFonts w:cs="Times New Roman"/>
    </w:rPr>
  </w:style>
  <w:style w:type="character" w:customStyle="1" w:styleId="journalnumber">
    <w:name w:val="journalnumber"/>
    <w:uiPriority w:val="99"/>
    <w:rsid w:val="00F33003"/>
    <w:rPr>
      <w:rFonts w:cs="Times New Roman"/>
    </w:rPr>
  </w:style>
  <w:style w:type="character" w:customStyle="1" w:styleId="cite-month-year">
    <w:name w:val="cite-month-year"/>
    <w:uiPriority w:val="99"/>
    <w:rsid w:val="00F33003"/>
    <w:rPr>
      <w:rFonts w:cs="Times New Roman"/>
    </w:rPr>
  </w:style>
  <w:style w:type="paragraph" w:customStyle="1" w:styleId="11f">
    <w:name w:val="Заголовок №11"/>
    <w:basedOn w:val="a2"/>
    <w:uiPriority w:val="99"/>
    <w:rsid w:val="00F33003"/>
    <w:pPr>
      <w:shd w:val="clear" w:color="auto" w:fill="FFFFFF"/>
      <w:spacing w:before="540" w:after="300" w:line="240" w:lineRule="exact"/>
      <w:jc w:val="center"/>
      <w:outlineLvl w:val="0"/>
    </w:pPr>
    <w:rPr>
      <w:b/>
    </w:rPr>
  </w:style>
  <w:style w:type="character" w:customStyle="1" w:styleId="2ffd">
    <w:name w:val="Основной текст + Полужирный2"/>
    <w:uiPriority w:val="99"/>
    <w:rsid w:val="00F33003"/>
    <w:rPr>
      <w:rFonts w:ascii="Times New Roman" w:hAnsi="Times New Roman"/>
      <w:b/>
      <w:spacing w:val="0"/>
      <w:sz w:val="27"/>
    </w:rPr>
  </w:style>
  <w:style w:type="table" w:customStyle="1" w:styleId="318">
    <w:name w:val="Сетка таблицы318"/>
    <w:uiPriority w:val="99"/>
    <w:rsid w:val="005C7AAB"/>
    <w:rPr>
      <w:rFonts w:ascii="Calibri" w:hAnsi="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Сетка таблицы319"/>
    <w:uiPriority w:val="99"/>
    <w:rsid w:val="00A70860"/>
    <w:rPr>
      <w:rFonts w:ascii="Calibri" w:hAnsi="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uiPriority w:val="99"/>
    <w:rsid w:val="00A70860"/>
    <w:rPr>
      <w:rFonts w:ascii="Calibri" w:hAnsi="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uiPriority w:val="99"/>
    <w:rsid w:val="00A70860"/>
    <w:rPr>
      <w:rFonts w:ascii="Calibri" w:hAnsi="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uiPriority w:val="99"/>
    <w:rsid w:val="00CE698D"/>
    <w:rPr>
      <w:rFonts w:ascii="Calibri" w:hAnsi="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uiPriority w:val="99"/>
    <w:rsid w:val="00CE698D"/>
    <w:rPr>
      <w:rFonts w:ascii="Calibri" w:hAnsi="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4"/>
    <w:uiPriority w:val="99"/>
    <w:rsid w:val="00CE698D"/>
    <w:rPr>
      <w:rFonts w:ascii="Calibri" w:hAnsi="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uiPriority w:val="99"/>
    <w:rsid w:val="00CE698D"/>
    <w:rPr>
      <w:rFonts w:ascii="Calibri" w:hAnsi="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uiPriority w:val="99"/>
    <w:rsid w:val="002501CA"/>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Сетка таблицы327"/>
    <w:uiPriority w:val="99"/>
    <w:rsid w:val="002501CA"/>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8"/>
    <w:uiPriority w:val="99"/>
    <w:rsid w:val="003443A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9">
    <w:name w:val="Сетка таблицы329"/>
    <w:uiPriority w:val="99"/>
    <w:rsid w:val="009F302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oth1">
    <w:name w:val="pboth1"/>
    <w:basedOn w:val="a2"/>
    <w:uiPriority w:val="99"/>
    <w:rsid w:val="0061274C"/>
    <w:pPr>
      <w:spacing w:before="100" w:beforeAutospacing="1" w:after="180" w:line="330" w:lineRule="atLeast"/>
      <w:jc w:val="both"/>
    </w:pPr>
    <w:rPr>
      <w:sz w:val="24"/>
      <w:szCs w:val="24"/>
    </w:rPr>
  </w:style>
  <w:style w:type="table" w:customStyle="1" w:styleId="3300">
    <w:name w:val="Сетка таблицы330"/>
    <w:uiPriority w:val="99"/>
    <w:rsid w:val="0061274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
    <w:name w:val="Сетка таблицы1108"/>
    <w:uiPriority w:val="99"/>
    <w:rsid w:val="006127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uiPriority w:val="99"/>
    <w:rsid w:val="0061274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uiPriority w:val="99"/>
    <w:rsid w:val="0061274C"/>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uiPriority w:val="99"/>
    <w:rsid w:val="0061274C"/>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0">
    <w:name w:val="Сетка таблицы810"/>
    <w:uiPriority w:val="99"/>
    <w:rsid w:val="0061274C"/>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eyword2">
    <w:name w:val="keyword2"/>
    <w:uiPriority w:val="99"/>
    <w:rsid w:val="0061274C"/>
    <w:rPr>
      <w:rFonts w:cs="Times New Roman"/>
    </w:rPr>
  </w:style>
  <w:style w:type="paragraph" w:customStyle="1" w:styleId="Pa0">
    <w:name w:val="Pa0"/>
    <w:basedOn w:val="Default"/>
    <w:next w:val="Default"/>
    <w:uiPriority w:val="99"/>
    <w:rsid w:val="0061274C"/>
    <w:pPr>
      <w:spacing w:line="241" w:lineRule="atLeast"/>
    </w:pPr>
    <w:rPr>
      <w:rFonts w:ascii="Garamond" w:hAnsi="Garamond"/>
      <w:color w:val="auto"/>
    </w:rPr>
  </w:style>
  <w:style w:type="table" w:customStyle="1" w:styleId="331">
    <w:name w:val="Сетка таблицы331"/>
    <w:uiPriority w:val="99"/>
    <w:rsid w:val="00254409"/>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ebb">
    <w:name w:val="webb Знак"/>
    <w:uiPriority w:val="99"/>
    <w:locked/>
    <w:rsid w:val="00254409"/>
    <w:rPr>
      <w:rFonts w:ascii="Times New Roman" w:hAnsi="Times New Roman"/>
      <w:sz w:val="24"/>
    </w:rPr>
  </w:style>
  <w:style w:type="paragraph" w:customStyle="1" w:styleId="afffffffffd">
    <w:name w:val="Базовый"/>
    <w:uiPriority w:val="99"/>
    <w:rsid w:val="00254409"/>
    <w:pPr>
      <w:tabs>
        <w:tab w:val="left" w:pos="709"/>
      </w:tabs>
      <w:suppressAutoHyphens/>
      <w:spacing w:after="200" w:line="276" w:lineRule="atLeast"/>
    </w:pPr>
    <w:rPr>
      <w:rFonts w:ascii="Calibri" w:hAnsi="Calibri"/>
      <w:color w:val="00000A"/>
      <w:sz w:val="22"/>
      <w:szCs w:val="22"/>
      <w:lang w:eastAsia="en-US"/>
    </w:rPr>
  </w:style>
  <w:style w:type="paragraph" w:customStyle="1" w:styleId="2ffe">
    <w:name w:val="Стиль2"/>
    <w:basedOn w:val="a2"/>
    <w:link w:val="2fff"/>
    <w:autoRedefine/>
    <w:uiPriority w:val="99"/>
    <w:rsid w:val="00254409"/>
    <w:pPr>
      <w:spacing w:line="360" w:lineRule="auto"/>
      <w:ind w:firstLine="567"/>
      <w:jc w:val="both"/>
    </w:pPr>
    <w:rPr>
      <w:sz w:val="28"/>
    </w:rPr>
  </w:style>
  <w:style w:type="character" w:customStyle="1" w:styleId="A20">
    <w:name w:val="A2"/>
    <w:uiPriority w:val="99"/>
    <w:rsid w:val="00254409"/>
    <w:rPr>
      <w:rFonts w:ascii="Minion Pro" w:hAnsi="Minion Pro"/>
      <w:color w:val="000000"/>
      <w:sz w:val="19"/>
    </w:rPr>
  </w:style>
  <w:style w:type="paragraph" w:customStyle="1" w:styleId="Pa5">
    <w:name w:val="Pa5"/>
    <w:basedOn w:val="Default"/>
    <w:next w:val="Default"/>
    <w:uiPriority w:val="99"/>
    <w:rsid w:val="00254409"/>
    <w:pPr>
      <w:spacing w:line="241" w:lineRule="atLeast"/>
    </w:pPr>
    <w:rPr>
      <w:rFonts w:ascii="Minion Pro" w:hAnsi="Minion Pro"/>
      <w:color w:val="auto"/>
    </w:rPr>
  </w:style>
  <w:style w:type="paragraph" w:customStyle="1" w:styleId="Pa4">
    <w:name w:val="Pa4"/>
    <w:basedOn w:val="Default"/>
    <w:next w:val="Default"/>
    <w:uiPriority w:val="99"/>
    <w:rsid w:val="00254409"/>
    <w:pPr>
      <w:spacing w:line="201" w:lineRule="atLeast"/>
    </w:pPr>
    <w:rPr>
      <w:rFonts w:ascii="Minion Pro" w:hAnsi="Minion Pro"/>
      <w:color w:val="auto"/>
    </w:rPr>
  </w:style>
  <w:style w:type="character" w:customStyle="1" w:styleId="afffffffffe">
    <w:name w:val="Стиль таблиц Знак Знак"/>
    <w:link w:val="affffffffff"/>
    <w:uiPriority w:val="99"/>
    <w:locked/>
    <w:rsid w:val="00254409"/>
    <w:rPr>
      <w:sz w:val="28"/>
    </w:rPr>
  </w:style>
  <w:style w:type="paragraph" w:customStyle="1" w:styleId="affffffffff">
    <w:name w:val="Стиль таблиц"/>
    <w:basedOn w:val="a2"/>
    <w:link w:val="afffffffffe"/>
    <w:autoRedefine/>
    <w:uiPriority w:val="99"/>
    <w:rsid w:val="00254409"/>
    <w:pPr>
      <w:widowControl w:val="0"/>
    </w:pPr>
    <w:rPr>
      <w:sz w:val="28"/>
    </w:rPr>
  </w:style>
  <w:style w:type="paragraph" w:customStyle="1" w:styleId="affffffffff0">
    <w:name w:val="Стиль заголовок"/>
    <w:basedOn w:val="a2"/>
    <w:uiPriority w:val="99"/>
    <w:rsid w:val="00254409"/>
    <w:pPr>
      <w:jc w:val="center"/>
    </w:pPr>
    <w:rPr>
      <w:sz w:val="28"/>
      <w:szCs w:val="24"/>
    </w:rPr>
  </w:style>
  <w:style w:type="character" w:customStyle="1" w:styleId="812">
    <w:name w:val="Заголовок 8 Знак1"/>
    <w:uiPriority w:val="99"/>
    <w:semiHidden/>
    <w:rsid w:val="00254409"/>
    <w:rPr>
      <w:rFonts w:ascii="Cambria" w:hAnsi="Cambria" w:cs="Times New Roman"/>
      <w:color w:val="404040"/>
    </w:rPr>
  </w:style>
  <w:style w:type="character" w:customStyle="1" w:styleId="1fff6">
    <w:name w:val="Текст сноски Знак1"/>
    <w:uiPriority w:val="99"/>
    <w:semiHidden/>
    <w:rsid w:val="00254409"/>
    <w:rPr>
      <w:rFonts w:ascii="Times New Roman" w:hAnsi="Times New Roman" w:cs="Times New Roman"/>
      <w:sz w:val="20"/>
      <w:szCs w:val="20"/>
      <w:lang w:eastAsia="ru-RU"/>
    </w:rPr>
  </w:style>
  <w:style w:type="character" w:customStyle="1" w:styleId="1fff7">
    <w:name w:val="Текст Знак1"/>
    <w:uiPriority w:val="99"/>
    <w:semiHidden/>
    <w:rsid w:val="00254409"/>
    <w:rPr>
      <w:rFonts w:ascii="Consolas" w:hAnsi="Consolas" w:cs="Times New Roman"/>
      <w:sz w:val="21"/>
      <w:szCs w:val="21"/>
      <w:lang w:eastAsia="ru-RU"/>
    </w:rPr>
  </w:style>
  <w:style w:type="character" w:customStyle="1" w:styleId="A50">
    <w:name w:val="A5"/>
    <w:uiPriority w:val="99"/>
    <w:rsid w:val="00254409"/>
    <w:rPr>
      <w:rFonts w:ascii="Baskerville Win95BT" w:hAnsi="Baskerville Win95BT"/>
      <w:color w:val="000000"/>
      <w:sz w:val="26"/>
    </w:rPr>
  </w:style>
  <w:style w:type="table" w:customStyle="1" w:styleId="332">
    <w:name w:val="Сетка таблицы332"/>
    <w:uiPriority w:val="99"/>
    <w:rsid w:val="00254409"/>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1">
    <w:name w:val="Стиль нумерации таблиц"/>
    <w:basedOn w:val="affffffffff0"/>
    <w:next w:val="a2"/>
    <w:autoRedefine/>
    <w:uiPriority w:val="99"/>
    <w:rsid w:val="00254409"/>
    <w:pPr>
      <w:widowControl w:val="0"/>
      <w:spacing w:line="360" w:lineRule="auto"/>
      <w:contextualSpacing/>
      <w:jc w:val="left"/>
    </w:pPr>
    <w:rPr>
      <w:rFonts w:cs="SymbolMT"/>
      <w:bCs/>
      <w:iCs/>
      <w:szCs w:val="28"/>
      <w:lang w:eastAsia="en-US"/>
    </w:rPr>
  </w:style>
  <w:style w:type="paragraph" w:customStyle="1" w:styleId="msonormalmailrucssattributepostfix">
    <w:name w:val="msonormal_mailru_css_attribute_postfix"/>
    <w:basedOn w:val="a2"/>
    <w:uiPriority w:val="99"/>
    <w:rsid w:val="00254409"/>
    <w:pPr>
      <w:spacing w:before="100" w:beforeAutospacing="1" w:after="100" w:afterAutospacing="1"/>
    </w:pPr>
    <w:rPr>
      <w:sz w:val="24"/>
      <w:szCs w:val="24"/>
    </w:rPr>
  </w:style>
  <w:style w:type="character" w:customStyle="1" w:styleId="Heading1">
    <w:name w:val="Heading #1_"/>
    <w:link w:val="Heading10"/>
    <w:uiPriority w:val="99"/>
    <w:locked/>
    <w:rsid w:val="00254409"/>
    <w:rPr>
      <w:rFonts w:ascii="Cambria" w:hAnsi="Cambria" w:cs="Cambria"/>
      <w:b/>
      <w:bCs/>
      <w:spacing w:val="-10"/>
      <w:sz w:val="28"/>
      <w:szCs w:val="28"/>
      <w:shd w:val="clear" w:color="auto" w:fill="FFFFFF"/>
    </w:rPr>
  </w:style>
  <w:style w:type="paragraph" w:customStyle="1" w:styleId="Heading10">
    <w:name w:val="Heading #1"/>
    <w:basedOn w:val="a2"/>
    <w:link w:val="Heading1"/>
    <w:uiPriority w:val="99"/>
    <w:rsid w:val="00254409"/>
    <w:pPr>
      <w:widowControl w:val="0"/>
      <w:shd w:val="clear" w:color="auto" w:fill="FFFFFF"/>
      <w:spacing w:before="300" w:after="120" w:line="331" w:lineRule="exact"/>
      <w:outlineLvl w:val="0"/>
    </w:pPr>
    <w:rPr>
      <w:rFonts w:ascii="Cambria" w:hAnsi="Cambria" w:cs="Cambria"/>
      <w:b/>
      <w:bCs/>
      <w:spacing w:val="-10"/>
      <w:sz w:val="28"/>
      <w:szCs w:val="28"/>
    </w:rPr>
  </w:style>
  <w:style w:type="table" w:customStyle="1" w:styleId="333">
    <w:name w:val="Сетка таблицы333"/>
    <w:uiPriority w:val="99"/>
    <w:rsid w:val="00E56590"/>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4">
    <w:name w:val="Сетка таблицы334"/>
    <w:uiPriority w:val="99"/>
    <w:rsid w:val="00E56590"/>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5">
    <w:name w:val="Сетка таблицы335"/>
    <w:uiPriority w:val="99"/>
    <w:rsid w:val="00772F69"/>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6">
    <w:name w:val="Сетка таблицы336"/>
    <w:uiPriority w:val="99"/>
    <w:rsid w:val="00772F69"/>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7">
    <w:name w:val="Сетка таблицы337"/>
    <w:uiPriority w:val="99"/>
    <w:rsid w:val="00772F69"/>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8">
    <w:name w:val="Сетка таблицы338"/>
    <w:uiPriority w:val="99"/>
    <w:rsid w:val="003309D3"/>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9">
    <w:name w:val="Сетка таблицы339"/>
    <w:uiPriority w:val="99"/>
    <w:rsid w:val="003309D3"/>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t-links">
    <w:name w:val="cat-links"/>
    <w:uiPriority w:val="99"/>
    <w:rsid w:val="003309D3"/>
    <w:rPr>
      <w:rFonts w:cs="Times New Roman"/>
    </w:rPr>
  </w:style>
  <w:style w:type="character" w:customStyle="1" w:styleId="entry-date">
    <w:name w:val="entry-date"/>
    <w:uiPriority w:val="99"/>
    <w:rsid w:val="003309D3"/>
    <w:rPr>
      <w:rFonts w:cs="Times New Roman"/>
    </w:rPr>
  </w:style>
  <w:style w:type="character" w:customStyle="1" w:styleId="1fff8">
    <w:name w:val="Текст примечания Знак1"/>
    <w:uiPriority w:val="99"/>
    <w:semiHidden/>
    <w:rsid w:val="003309D3"/>
    <w:rPr>
      <w:rFonts w:cs="Times New Roman"/>
      <w:sz w:val="20"/>
      <w:szCs w:val="20"/>
    </w:rPr>
  </w:style>
  <w:style w:type="character" w:customStyle="1" w:styleId="1fff9">
    <w:name w:val="Тема примечания Знак1"/>
    <w:uiPriority w:val="99"/>
    <w:semiHidden/>
    <w:rsid w:val="003309D3"/>
    <w:rPr>
      <w:rFonts w:cs="Times New Roman"/>
      <w:b/>
      <w:bCs/>
      <w:sz w:val="20"/>
      <w:szCs w:val="20"/>
    </w:rPr>
  </w:style>
  <w:style w:type="paragraph" w:customStyle="1" w:styleId="affffffffff2">
    <w:name w:val="Термин"/>
    <w:basedOn w:val="a2"/>
    <w:next w:val="a2"/>
    <w:uiPriority w:val="99"/>
    <w:rsid w:val="003309D3"/>
    <w:rPr>
      <w:sz w:val="24"/>
    </w:rPr>
  </w:style>
  <w:style w:type="paragraph" w:customStyle="1" w:styleId="western">
    <w:name w:val="western"/>
    <w:basedOn w:val="a2"/>
    <w:uiPriority w:val="99"/>
    <w:rsid w:val="003309D3"/>
    <w:pPr>
      <w:spacing w:before="100" w:beforeAutospacing="1" w:after="142" w:line="276" w:lineRule="auto"/>
    </w:pPr>
    <w:rPr>
      <w:rFonts w:ascii="Calibri" w:hAnsi="Calibri" w:cs="Calibri"/>
      <w:color w:val="00000A"/>
      <w:sz w:val="22"/>
      <w:szCs w:val="22"/>
    </w:rPr>
  </w:style>
  <w:style w:type="table" w:customStyle="1" w:styleId="3400">
    <w:name w:val="Сетка таблицы340"/>
    <w:uiPriority w:val="99"/>
    <w:rsid w:val="000A784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
    <w:name w:val="Сетка таблицы1109"/>
    <w:uiPriority w:val="99"/>
    <w:rsid w:val="000A784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lmstring-name">
    <w:name w:val="nlm_string-name"/>
    <w:uiPriority w:val="99"/>
    <w:rsid w:val="000A7845"/>
  </w:style>
  <w:style w:type="character" w:customStyle="1" w:styleId="nlmarticle-title">
    <w:name w:val="nlm_article-title"/>
    <w:uiPriority w:val="99"/>
    <w:rsid w:val="000A7845"/>
  </w:style>
  <w:style w:type="character" w:customStyle="1" w:styleId="nlmyear">
    <w:name w:val="nlm_year"/>
    <w:uiPriority w:val="99"/>
    <w:rsid w:val="000A7845"/>
  </w:style>
  <w:style w:type="character" w:customStyle="1" w:styleId="nlmfpage">
    <w:name w:val="nlm_fpage"/>
    <w:uiPriority w:val="99"/>
    <w:rsid w:val="000A7845"/>
  </w:style>
  <w:style w:type="character" w:customStyle="1" w:styleId="nlmlpage">
    <w:name w:val="nlm_lpage"/>
    <w:uiPriority w:val="99"/>
    <w:rsid w:val="000A7845"/>
  </w:style>
  <w:style w:type="character" w:customStyle="1" w:styleId="nlmgiven-names">
    <w:name w:val="nlm_given-names"/>
    <w:uiPriority w:val="99"/>
    <w:rsid w:val="000A7845"/>
  </w:style>
  <w:style w:type="table" w:customStyle="1" w:styleId="21000">
    <w:name w:val="Сетка таблицы2100"/>
    <w:uiPriority w:val="99"/>
    <w:rsid w:val="000A78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c">
    <w:name w:val="Средняя сетка 21"/>
    <w:uiPriority w:val="99"/>
    <w:rsid w:val="000A7845"/>
    <w:rPr>
      <w:rFonts w:ascii="Calibri" w:hAnsi="Calibri"/>
      <w:sz w:val="22"/>
      <w:szCs w:val="22"/>
      <w:lang w:eastAsia="en-US"/>
    </w:rPr>
  </w:style>
  <w:style w:type="character" w:customStyle="1" w:styleId="MTEquationSection">
    <w:name w:val="MTEquationSection"/>
    <w:uiPriority w:val="99"/>
    <w:rsid w:val="000A7845"/>
    <w:rPr>
      <w:vanish/>
      <w:color w:val="FF0000"/>
      <w:sz w:val="28"/>
    </w:rPr>
  </w:style>
  <w:style w:type="character" w:customStyle="1" w:styleId="hpsatn">
    <w:name w:val="hps atn"/>
    <w:uiPriority w:val="99"/>
    <w:rsid w:val="000A7845"/>
  </w:style>
  <w:style w:type="paragraph" w:customStyle="1" w:styleId="WW-">
    <w:name w:val="WW-Базовый"/>
    <w:uiPriority w:val="99"/>
    <w:rsid w:val="000A7845"/>
    <w:pPr>
      <w:tabs>
        <w:tab w:val="left" w:pos="709"/>
      </w:tabs>
      <w:suppressAutoHyphens/>
      <w:spacing w:after="200" w:line="276" w:lineRule="atLeast"/>
    </w:pPr>
    <w:rPr>
      <w:rFonts w:ascii="Calibri" w:eastAsia="SimSun" w:hAnsi="Calibri"/>
      <w:sz w:val="22"/>
      <w:szCs w:val="22"/>
      <w:lang w:eastAsia="ar-SA"/>
    </w:rPr>
  </w:style>
  <w:style w:type="table" w:customStyle="1" w:styleId="341">
    <w:name w:val="Сетка таблицы341"/>
    <w:uiPriority w:val="99"/>
    <w:rsid w:val="000A78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9">
    <w:name w:val="Знак Знак3"/>
    <w:uiPriority w:val="99"/>
    <w:rsid w:val="000A7845"/>
    <w:rPr>
      <w:sz w:val="28"/>
      <w:lang w:val="ru-RU" w:eastAsia="ru-RU"/>
    </w:rPr>
  </w:style>
  <w:style w:type="character" w:customStyle="1" w:styleId="longtext1">
    <w:name w:val="long_text1"/>
    <w:uiPriority w:val="99"/>
    <w:rsid w:val="000A7845"/>
    <w:rPr>
      <w:sz w:val="22"/>
    </w:rPr>
  </w:style>
  <w:style w:type="character" w:customStyle="1" w:styleId="alt-edited">
    <w:name w:val="alt-edited"/>
    <w:uiPriority w:val="99"/>
    <w:rsid w:val="000A7845"/>
  </w:style>
  <w:style w:type="table" w:customStyle="1" w:styleId="4120">
    <w:name w:val="Сетка таблицы412"/>
    <w:uiPriority w:val="99"/>
    <w:rsid w:val="000A78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uiPriority w:val="99"/>
    <w:rsid w:val="000A78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uiPriority w:val="99"/>
    <w:rsid w:val="000A78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uiPriority w:val="99"/>
    <w:rsid w:val="000A784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uiPriority w:val="99"/>
    <w:rsid w:val="000A784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3">
    <w:name w:val="toa heading"/>
    <w:basedOn w:val="a2"/>
    <w:next w:val="a2"/>
    <w:uiPriority w:val="99"/>
    <w:semiHidden/>
    <w:rsid w:val="000A7845"/>
    <w:pPr>
      <w:spacing w:before="120" w:after="200" w:line="276" w:lineRule="auto"/>
    </w:pPr>
    <w:rPr>
      <w:rFonts w:ascii="Cambria" w:hAnsi="Cambria"/>
      <w:b/>
      <w:bCs/>
      <w:sz w:val="24"/>
      <w:szCs w:val="24"/>
      <w:lang w:eastAsia="en-US"/>
    </w:rPr>
  </w:style>
  <w:style w:type="character" w:customStyle="1" w:styleId="UnresolvedMention">
    <w:name w:val="Unresolved Mention"/>
    <w:uiPriority w:val="99"/>
    <w:semiHidden/>
    <w:rsid w:val="000A7845"/>
    <w:rPr>
      <w:color w:val="605E5C"/>
      <w:shd w:val="clear" w:color="auto" w:fill="E1DFDD"/>
    </w:rPr>
  </w:style>
  <w:style w:type="table" w:customStyle="1" w:styleId="342">
    <w:name w:val="Сетка таблицы342"/>
    <w:uiPriority w:val="99"/>
    <w:rsid w:val="000A784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uiPriority w:val="99"/>
    <w:rsid w:val="000A784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uiPriority w:val="99"/>
    <w:rsid w:val="000A78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uiPriority w:val="99"/>
    <w:rsid w:val="000A78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uiPriority w:val="99"/>
    <w:rsid w:val="000A78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uiPriority w:val="99"/>
    <w:rsid w:val="000A78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uiPriority w:val="99"/>
    <w:rsid w:val="000A78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uiPriority w:val="99"/>
    <w:rsid w:val="000A784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uiPriority w:val="99"/>
    <w:rsid w:val="000A784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uiPriority w:val="99"/>
    <w:rsid w:val="00DB7ED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uiPriority w:val="99"/>
    <w:rsid w:val="00DB7ED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0">
    <w:name w:val="Сетка таблицы2102"/>
    <w:uiPriority w:val="99"/>
    <w:rsid w:val="00DB7E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uiPriority w:val="99"/>
    <w:rsid w:val="00DB7E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uiPriority w:val="99"/>
    <w:rsid w:val="00DB7E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uiPriority w:val="99"/>
    <w:rsid w:val="00DB7E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uiPriority w:val="99"/>
    <w:rsid w:val="00DB7E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uiPriority w:val="99"/>
    <w:rsid w:val="00DB7ED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uiPriority w:val="99"/>
    <w:rsid w:val="00DB7ED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Сетка таблицы346"/>
    <w:uiPriority w:val="99"/>
    <w:rsid w:val="001675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7">
    <w:name w:val="Сетка таблицы347"/>
    <w:uiPriority w:val="99"/>
    <w:rsid w:val="001675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8">
    <w:name w:val="Сетка таблицы348"/>
    <w:uiPriority w:val="99"/>
    <w:rsid w:val="001675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9">
    <w:name w:val="Сетка таблицы349"/>
    <w:uiPriority w:val="99"/>
    <w:rsid w:val="00014ED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0">
    <w:name w:val="Сетка таблицы350"/>
    <w:uiPriority w:val="99"/>
    <w:rsid w:val="008477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uiPriority w:val="99"/>
    <w:rsid w:val="008477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uiPriority w:val="99"/>
    <w:rsid w:val="00212B3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uiPriority w:val="99"/>
    <w:rsid w:val="00212B3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30">
    <w:name w:val="Сетка таблицы2103"/>
    <w:uiPriority w:val="99"/>
    <w:rsid w:val="00212B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Сетка таблицы353"/>
    <w:uiPriority w:val="99"/>
    <w:rsid w:val="00212B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uiPriority w:val="99"/>
    <w:rsid w:val="00212B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uiPriority w:val="99"/>
    <w:rsid w:val="00212B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uiPriority w:val="99"/>
    <w:rsid w:val="00212B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uiPriority w:val="99"/>
    <w:rsid w:val="00212B3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uiPriority w:val="99"/>
    <w:rsid w:val="00212B3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
    <w:name w:val="Сетка таблицы354"/>
    <w:uiPriority w:val="99"/>
    <w:rsid w:val="00212B3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uiPriority w:val="99"/>
    <w:rsid w:val="00212B3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4">
    <w:name w:val="Сетка таблицы2104"/>
    <w:uiPriority w:val="99"/>
    <w:rsid w:val="00212B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5">
    <w:name w:val="Сетка таблицы355"/>
    <w:uiPriority w:val="99"/>
    <w:rsid w:val="00212B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uiPriority w:val="99"/>
    <w:rsid w:val="00212B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uiPriority w:val="99"/>
    <w:rsid w:val="00212B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Сетка таблицы617"/>
    <w:uiPriority w:val="99"/>
    <w:rsid w:val="00212B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uiPriority w:val="99"/>
    <w:rsid w:val="00212B3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5">
    <w:name w:val="Сетка таблицы815"/>
    <w:uiPriority w:val="99"/>
    <w:rsid w:val="00212B3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6">
    <w:name w:val="Сетка таблицы356"/>
    <w:uiPriority w:val="99"/>
    <w:rsid w:val="00212B3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7">
    <w:name w:val="Сетка таблицы357"/>
    <w:uiPriority w:val="99"/>
    <w:rsid w:val="0019481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8">
    <w:name w:val="Сетка таблицы358"/>
    <w:uiPriority w:val="99"/>
    <w:rsid w:val="0019481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9">
    <w:name w:val="Сетка таблицы359"/>
    <w:uiPriority w:val="99"/>
    <w:rsid w:val="0019481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0">
    <w:name w:val="Сетка таблицы360"/>
    <w:uiPriority w:val="99"/>
    <w:rsid w:val="0019481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етка таблицы361"/>
    <w:uiPriority w:val="99"/>
    <w:rsid w:val="0019481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uiPriority w:val="99"/>
    <w:rsid w:val="0019481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
    <w:name w:val="Сетка таблицы363"/>
    <w:uiPriority w:val="99"/>
    <w:rsid w:val="0019481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
    <w:name w:val="Сетка таблицы364"/>
    <w:uiPriority w:val="99"/>
    <w:rsid w:val="0019481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5">
    <w:name w:val="Сетка таблицы365"/>
    <w:uiPriority w:val="99"/>
    <w:rsid w:val="00835F2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6">
    <w:name w:val="Сетка таблицы366"/>
    <w:uiPriority w:val="99"/>
    <w:rsid w:val="00835F2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uiPriority w:val="99"/>
    <w:rsid w:val="00835F2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5">
    <w:name w:val="Сетка таблицы2105"/>
    <w:uiPriority w:val="99"/>
    <w:rsid w:val="00835F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7">
    <w:name w:val="Сетка таблицы367"/>
    <w:uiPriority w:val="99"/>
    <w:rsid w:val="00835F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uiPriority w:val="99"/>
    <w:rsid w:val="00835F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uiPriority w:val="99"/>
    <w:rsid w:val="00835F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
    <w:name w:val="Сетка таблицы618"/>
    <w:uiPriority w:val="99"/>
    <w:rsid w:val="00835F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uiPriority w:val="99"/>
    <w:rsid w:val="00835F2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6">
    <w:name w:val="Сетка таблицы816"/>
    <w:uiPriority w:val="99"/>
    <w:rsid w:val="00835F2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8">
    <w:name w:val="Сетка таблицы368"/>
    <w:uiPriority w:val="99"/>
    <w:rsid w:val="00E65B7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9">
    <w:name w:val="Сетка таблицы369"/>
    <w:uiPriority w:val="99"/>
    <w:rsid w:val="00E65B7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0">
    <w:name w:val="Сетка таблицы370"/>
    <w:uiPriority w:val="99"/>
    <w:rsid w:val="00E65B7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0">
    <w:name w:val="Сетка таблицы371"/>
    <w:uiPriority w:val="99"/>
    <w:rsid w:val="00E65B7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0">
    <w:name w:val="Сетка таблицы372"/>
    <w:uiPriority w:val="99"/>
    <w:rsid w:val="00E65B7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
    <w:name w:val="Сетка таблицы373"/>
    <w:uiPriority w:val="99"/>
    <w:rsid w:val="00B2547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4">
    <w:name w:val="Сетка таблицы374"/>
    <w:uiPriority w:val="99"/>
    <w:rsid w:val="0027724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uiPriority w:val="99"/>
    <w:rsid w:val="0027724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6">
    <w:name w:val="Сетка таблицы2106"/>
    <w:uiPriority w:val="99"/>
    <w:rsid w:val="002772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
    <w:name w:val="Сетка таблицы375"/>
    <w:uiPriority w:val="99"/>
    <w:rsid w:val="002772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uiPriority w:val="99"/>
    <w:rsid w:val="002772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Сетка таблицы519"/>
    <w:uiPriority w:val="99"/>
    <w:rsid w:val="002772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9">
    <w:name w:val="Сетка таблицы619"/>
    <w:uiPriority w:val="99"/>
    <w:rsid w:val="002772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
    <w:name w:val="Сетка таблицы717"/>
    <w:uiPriority w:val="99"/>
    <w:rsid w:val="0027724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7">
    <w:name w:val="Сетка таблицы817"/>
    <w:uiPriority w:val="99"/>
    <w:rsid w:val="0027724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6">
    <w:name w:val="Сетка таблицы376"/>
    <w:uiPriority w:val="99"/>
    <w:rsid w:val="00DA17E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uiPriority w:val="99"/>
    <w:rsid w:val="00DA17E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7">
    <w:name w:val="Сетка таблицы2107"/>
    <w:uiPriority w:val="99"/>
    <w:rsid w:val="00DA17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7">
    <w:name w:val="Сетка таблицы377"/>
    <w:uiPriority w:val="99"/>
    <w:rsid w:val="00DA17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етка таблицы419"/>
    <w:uiPriority w:val="99"/>
    <w:rsid w:val="00DA17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0">
    <w:name w:val="Сетка таблицы520"/>
    <w:uiPriority w:val="99"/>
    <w:rsid w:val="00DA17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0">
    <w:name w:val="Сетка таблицы620"/>
    <w:uiPriority w:val="99"/>
    <w:rsid w:val="00DA17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uiPriority w:val="99"/>
    <w:rsid w:val="00DA17E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8">
    <w:name w:val="Сетка таблицы818"/>
    <w:uiPriority w:val="99"/>
    <w:rsid w:val="00DA17E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8">
    <w:name w:val="Сетка таблицы378"/>
    <w:uiPriority w:val="99"/>
    <w:rsid w:val="00DA17E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uiPriority w:val="99"/>
    <w:rsid w:val="00DA17E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8">
    <w:name w:val="Сетка таблицы2108"/>
    <w:uiPriority w:val="99"/>
    <w:rsid w:val="00DA17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9">
    <w:name w:val="Сетка таблицы379"/>
    <w:uiPriority w:val="99"/>
    <w:rsid w:val="00DA17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0">
    <w:name w:val="Сетка таблицы420"/>
    <w:uiPriority w:val="99"/>
    <w:rsid w:val="00DA17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uiPriority w:val="99"/>
    <w:rsid w:val="00DA17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uiPriority w:val="99"/>
    <w:rsid w:val="00DA17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uiPriority w:val="99"/>
    <w:rsid w:val="00DA17E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9">
    <w:name w:val="Сетка таблицы819"/>
    <w:uiPriority w:val="99"/>
    <w:rsid w:val="00DA17E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0">
    <w:name w:val="Сетка таблицы380"/>
    <w:uiPriority w:val="99"/>
    <w:rsid w:val="00DA17E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uiPriority w:val="99"/>
    <w:rsid w:val="00DA17E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
    <w:name w:val="Сетка таблицы382"/>
    <w:uiPriority w:val="99"/>
    <w:rsid w:val="00DA17E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3">
    <w:name w:val="Сетка таблицы383"/>
    <w:uiPriority w:val="99"/>
    <w:rsid w:val="00DA17E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4">
    <w:name w:val="Сетка таблицы384"/>
    <w:uiPriority w:val="99"/>
    <w:rsid w:val="00DA17E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
    <w:name w:val="Сетка таблицы385"/>
    <w:uiPriority w:val="99"/>
    <w:rsid w:val="00DA17E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6">
    <w:name w:val="Сетка таблицы386"/>
    <w:uiPriority w:val="99"/>
    <w:rsid w:val="001F584C"/>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ndNoteBibliographyTitle1">
    <w:name w:val="EndNote Bibliography Title Знак"/>
    <w:uiPriority w:val="99"/>
    <w:rsid w:val="001F584C"/>
    <w:rPr>
      <w:rFonts w:ascii="Calibri" w:hAnsi="Calibri" w:cs="Times New Roman"/>
      <w:noProof/>
      <w:sz w:val="24"/>
      <w:szCs w:val="24"/>
      <w:lang w:eastAsia="en-US" w:bidi="ar-SA"/>
    </w:rPr>
  </w:style>
  <w:style w:type="character" w:customStyle="1" w:styleId="EndNoteBibliography1">
    <w:name w:val="EndNote Bibliography Знак"/>
    <w:uiPriority w:val="99"/>
    <w:rsid w:val="001F584C"/>
    <w:rPr>
      <w:rFonts w:ascii="Calibri" w:hAnsi="Calibri" w:cs="Times New Roman"/>
      <w:noProof/>
      <w:sz w:val="24"/>
      <w:szCs w:val="24"/>
      <w:lang w:eastAsia="en-US" w:bidi="ar-SA"/>
    </w:rPr>
  </w:style>
  <w:style w:type="paragraph" w:customStyle="1" w:styleId="1fffa">
    <w:name w:val="Заголовок оглавления1"/>
    <w:basedOn w:val="10"/>
    <w:next w:val="a2"/>
    <w:uiPriority w:val="99"/>
    <w:rsid w:val="001F584C"/>
    <w:pPr>
      <w:keepLines/>
      <w:spacing w:before="480" w:line="276" w:lineRule="auto"/>
      <w:jc w:val="left"/>
      <w:outlineLvl w:val="9"/>
    </w:pPr>
    <w:rPr>
      <w:rFonts w:ascii="Cambria" w:hAnsi="Cambria"/>
      <w:color w:val="365F91"/>
      <w:kern w:val="0"/>
      <w:lang w:eastAsia="en-US"/>
    </w:rPr>
  </w:style>
  <w:style w:type="table" w:customStyle="1" w:styleId="387">
    <w:name w:val="Сетка таблицы387"/>
    <w:uiPriority w:val="99"/>
    <w:rsid w:val="001F584C"/>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8">
    <w:name w:val="Сетка таблицы388"/>
    <w:uiPriority w:val="99"/>
    <w:rsid w:val="001F584C"/>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9">
    <w:name w:val="Сетка таблицы389"/>
    <w:uiPriority w:val="99"/>
    <w:rsid w:val="00D90067"/>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0">
    <w:name w:val="Сетка таблицы390"/>
    <w:uiPriority w:val="99"/>
    <w:rsid w:val="00D90067"/>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0">
    <w:name w:val="Сетка таблицы720"/>
    <w:uiPriority w:val="99"/>
    <w:rsid w:val="002C3580"/>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uiPriority w:val="99"/>
    <w:rsid w:val="002C3580"/>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0">
    <w:name w:val="Сетка таблицы391"/>
    <w:uiPriority w:val="99"/>
    <w:rsid w:val="00F96407"/>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0">
    <w:name w:val="Сетка таблицы392"/>
    <w:uiPriority w:val="99"/>
    <w:rsid w:val="00F96407"/>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uiPriority w:val="99"/>
    <w:rsid w:val="00C110E0"/>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0">
    <w:name w:val="Сетка таблицы820"/>
    <w:uiPriority w:val="99"/>
    <w:rsid w:val="00C110E0"/>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uiPriority w:val="99"/>
    <w:rsid w:val="00C110E0"/>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uiPriority w:val="99"/>
    <w:rsid w:val="00C110E0"/>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uiPriority w:val="99"/>
    <w:rsid w:val="00C561B7"/>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00">
    <w:name w:val="Сетка таблицы2810"/>
    <w:uiPriority w:val="99"/>
    <w:rsid w:val="00C561B7"/>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0">
    <w:name w:val="Сетка таблицы1910"/>
    <w:uiPriority w:val="99"/>
    <w:rsid w:val="00C561B7"/>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0">
    <w:name w:val="Сетка таблицы1610"/>
    <w:uiPriority w:val="99"/>
    <w:rsid w:val="00C561B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30">
    <w:name w:val="Сетка таблицы393"/>
    <w:uiPriority w:val="99"/>
    <w:rsid w:val="006A4322"/>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Char1">
    <w:name w:val="Body Text 2 Char1"/>
    <w:uiPriority w:val="99"/>
    <w:semiHidden/>
    <w:rsid w:val="006A4322"/>
    <w:rPr>
      <w:rFonts w:ascii="Times New Roman" w:hAnsi="Times New Roman"/>
      <w:sz w:val="24"/>
    </w:rPr>
  </w:style>
  <w:style w:type="paragraph" w:customStyle="1" w:styleId="affffffffff4">
    <w:name w:val="???????"/>
    <w:uiPriority w:val="99"/>
    <w:rsid w:val="006A4322"/>
    <w:pPr>
      <w:spacing w:line="360" w:lineRule="auto"/>
      <w:ind w:right="851" w:firstLine="709"/>
      <w:jc w:val="both"/>
    </w:pPr>
  </w:style>
  <w:style w:type="character" w:customStyle="1" w:styleId="BodyText3Char1">
    <w:name w:val="Body Text 3 Char1"/>
    <w:aliases w:val="Знак Знак Знак Char1"/>
    <w:uiPriority w:val="99"/>
    <w:semiHidden/>
    <w:rsid w:val="006A4322"/>
    <w:rPr>
      <w:rFonts w:ascii="Times New Roman" w:hAnsi="Times New Roman"/>
      <w:sz w:val="16"/>
    </w:rPr>
  </w:style>
  <w:style w:type="character" w:customStyle="1" w:styleId="highlighting">
    <w:name w:val="highlighting"/>
    <w:uiPriority w:val="99"/>
    <w:rsid w:val="006A4322"/>
  </w:style>
  <w:style w:type="paragraph" w:customStyle="1" w:styleId="Style108">
    <w:name w:val="Style108"/>
    <w:basedOn w:val="a2"/>
    <w:uiPriority w:val="99"/>
    <w:rsid w:val="006A4322"/>
    <w:pPr>
      <w:widowControl w:val="0"/>
      <w:autoSpaceDE w:val="0"/>
      <w:autoSpaceDN w:val="0"/>
      <w:adjustRightInd w:val="0"/>
      <w:spacing w:line="343" w:lineRule="exact"/>
      <w:ind w:right="851"/>
      <w:jc w:val="both"/>
    </w:pPr>
    <w:rPr>
      <w:rFonts w:ascii="Arial" w:hAnsi="Arial" w:cs="Arial"/>
      <w:sz w:val="24"/>
      <w:szCs w:val="24"/>
    </w:rPr>
  </w:style>
  <w:style w:type="paragraph" w:customStyle="1" w:styleId="Style109">
    <w:name w:val="Style109"/>
    <w:basedOn w:val="a2"/>
    <w:uiPriority w:val="99"/>
    <w:rsid w:val="006A4322"/>
    <w:pPr>
      <w:widowControl w:val="0"/>
      <w:autoSpaceDE w:val="0"/>
      <w:autoSpaceDN w:val="0"/>
      <w:adjustRightInd w:val="0"/>
      <w:spacing w:line="216" w:lineRule="exact"/>
      <w:ind w:right="851"/>
      <w:jc w:val="both"/>
    </w:pPr>
    <w:rPr>
      <w:rFonts w:ascii="Arial" w:hAnsi="Arial" w:cs="Arial"/>
      <w:sz w:val="24"/>
      <w:szCs w:val="24"/>
    </w:rPr>
  </w:style>
  <w:style w:type="paragraph" w:customStyle="1" w:styleId="Style113">
    <w:name w:val="Style113"/>
    <w:basedOn w:val="a2"/>
    <w:uiPriority w:val="99"/>
    <w:rsid w:val="006A4322"/>
    <w:pPr>
      <w:widowControl w:val="0"/>
      <w:autoSpaceDE w:val="0"/>
      <w:autoSpaceDN w:val="0"/>
      <w:adjustRightInd w:val="0"/>
      <w:spacing w:line="214" w:lineRule="exact"/>
      <w:ind w:right="851" w:firstLine="283"/>
      <w:jc w:val="both"/>
    </w:pPr>
    <w:rPr>
      <w:rFonts w:ascii="Arial" w:hAnsi="Arial" w:cs="Arial"/>
      <w:sz w:val="24"/>
      <w:szCs w:val="24"/>
    </w:rPr>
  </w:style>
  <w:style w:type="paragraph" w:customStyle="1" w:styleId="Style115">
    <w:name w:val="Style115"/>
    <w:basedOn w:val="a2"/>
    <w:uiPriority w:val="99"/>
    <w:rsid w:val="006A4322"/>
    <w:pPr>
      <w:widowControl w:val="0"/>
      <w:autoSpaceDE w:val="0"/>
      <w:autoSpaceDN w:val="0"/>
      <w:adjustRightInd w:val="0"/>
      <w:spacing w:line="190" w:lineRule="exact"/>
      <w:ind w:right="851"/>
      <w:jc w:val="right"/>
    </w:pPr>
    <w:rPr>
      <w:rFonts w:ascii="Arial" w:hAnsi="Arial" w:cs="Arial"/>
      <w:sz w:val="24"/>
      <w:szCs w:val="24"/>
    </w:rPr>
  </w:style>
  <w:style w:type="paragraph" w:customStyle="1" w:styleId="Style116">
    <w:name w:val="Style116"/>
    <w:basedOn w:val="a2"/>
    <w:uiPriority w:val="99"/>
    <w:rsid w:val="006A4322"/>
    <w:pPr>
      <w:widowControl w:val="0"/>
      <w:autoSpaceDE w:val="0"/>
      <w:autoSpaceDN w:val="0"/>
      <w:adjustRightInd w:val="0"/>
      <w:spacing w:line="186" w:lineRule="exact"/>
      <w:ind w:right="851"/>
    </w:pPr>
    <w:rPr>
      <w:rFonts w:ascii="Arial" w:hAnsi="Arial" w:cs="Arial"/>
      <w:sz w:val="24"/>
      <w:szCs w:val="24"/>
    </w:rPr>
  </w:style>
  <w:style w:type="paragraph" w:customStyle="1" w:styleId="Style124">
    <w:name w:val="Style124"/>
    <w:basedOn w:val="a2"/>
    <w:uiPriority w:val="99"/>
    <w:rsid w:val="006A4322"/>
    <w:pPr>
      <w:widowControl w:val="0"/>
      <w:autoSpaceDE w:val="0"/>
      <w:autoSpaceDN w:val="0"/>
      <w:adjustRightInd w:val="0"/>
      <w:spacing w:line="180" w:lineRule="exact"/>
      <w:ind w:right="851"/>
      <w:jc w:val="center"/>
    </w:pPr>
    <w:rPr>
      <w:rFonts w:ascii="Arial" w:hAnsi="Arial" w:cs="Arial"/>
      <w:sz w:val="24"/>
      <w:szCs w:val="24"/>
    </w:rPr>
  </w:style>
  <w:style w:type="paragraph" w:customStyle="1" w:styleId="Style137">
    <w:name w:val="Style137"/>
    <w:basedOn w:val="a2"/>
    <w:uiPriority w:val="99"/>
    <w:rsid w:val="006A4322"/>
    <w:pPr>
      <w:widowControl w:val="0"/>
      <w:autoSpaceDE w:val="0"/>
      <w:autoSpaceDN w:val="0"/>
      <w:adjustRightInd w:val="0"/>
      <w:spacing w:line="188" w:lineRule="exact"/>
      <w:ind w:right="851"/>
      <w:jc w:val="center"/>
    </w:pPr>
    <w:rPr>
      <w:rFonts w:ascii="Arial" w:hAnsi="Arial" w:cs="Arial"/>
      <w:sz w:val="24"/>
      <w:szCs w:val="24"/>
    </w:rPr>
  </w:style>
  <w:style w:type="paragraph" w:customStyle="1" w:styleId="Style152">
    <w:name w:val="Style152"/>
    <w:basedOn w:val="a2"/>
    <w:uiPriority w:val="99"/>
    <w:rsid w:val="006A4322"/>
    <w:pPr>
      <w:widowControl w:val="0"/>
      <w:autoSpaceDE w:val="0"/>
      <w:autoSpaceDN w:val="0"/>
      <w:adjustRightInd w:val="0"/>
      <w:ind w:right="851"/>
      <w:jc w:val="both"/>
    </w:pPr>
    <w:rPr>
      <w:rFonts w:ascii="Arial" w:hAnsi="Arial" w:cs="Arial"/>
      <w:sz w:val="24"/>
      <w:szCs w:val="24"/>
    </w:rPr>
  </w:style>
  <w:style w:type="character" w:customStyle="1" w:styleId="FontStyle244">
    <w:name w:val="Font Style244"/>
    <w:uiPriority w:val="99"/>
    <w:rsid w:val="006A4322"/>
    <w:rPr>
      <w:rFonts w:ascii="Arial" w:hAnsi="Arial"/>
      <w:sz w:val="18"/>
    </w:rPr>
  </w:style>
  <w:style w:type="character" w:customStyle="1" w:styleId="FontStyle245">
    <w:name w:val="Font Style245"/>
    <w:uiPriority w:val="99"/>
    <w:rsid w:val="006A4322"/>
    <w:rPr>
      <w:rFonts w:ascii="Arial" w:hAnsi="Arial"/>
      <w:b/>
      <w:sz w:val="18"/>
    </w:rPr>
  </w:style>
  <w:style w:type="character" w:customStyle="1" w:styleId="FontStyle247">
    <w:name w:val="Font Style247"/>
    <w:uiPriority w:val="99"/>
    <w:rsid w:val="006A4322"/>
    <w:rPr>
      <w:rFonts w:ascii="Times New Roman" w:hAnsi="Times New Roman"/>
      <w:sz w:val="22"/>
    </w:rPr>
  </w:style>
  <w:style w:type="character" w:customStyle="1" w:styleId="FontStyle252">
    <w:name w:val="Font Style252"/>
    <w:uiPriority w:val="99"/>
    <w:rsid w:val="006A4322"/>
    <w:rPr>
      <w:rFonts w:ascii="Times New Roman" w:hAnsi="Times New Roman"/>
      <w:sz w:val="20"/>
    </w:rPr>
  </w:style>
  <w:style w:type="character" w:customStyle="1" w:styleId="FontStyle262">
    <w:name w:val="Font Style262"/>
    <w:uiPriority w:val="99"/>
    <w:rsid w:val="006A4322"/>
    <w:rPr>
      <w:rFonts w:ascii="Arial" w:hAnsi="Arial"/>
      <w:i/>
      <w:sz w:val="18"/>
    </w:rPr>
  </w:style>
  <w:style w:type="character" w:customStyle="1" w:styleId="FontStyle270">
    <w:name w:val="Font Style270"/>
    <w:uiPriority w:val="99"/>
    <w:rsid w:val="006A4322"/>
    <w:rPr>
      <w:rFonts w:ascii="Times New Roman" w:hAnsi="Times New Roman"/>
      <w:b/>
      <w:spacing w:val="-10"/>
      <w:sz w:val="22"/>
    </w:rPr>
  </w:style>
  <w:style w:type="character" w:customStyle="1" w:styleId="FontStyle293">
    <w:name w:val="Font Style293"/>
    <w:uiPriority w:val="99"/>
    <w:rsid w:val="006A4322"/>
    <w:rPr>
      <w:rFonts w:ascii="Times New Roman" w:hAnsi="Times New Roman"/>
      <w:sz w:val="18"/>
    </w:rPr>
  </w:style>
  <w:style w:type="character" w:customStyle="1" w:styleId="FontStyle302">
    <w:name w:val="Font Style302"/>
    <w:uiPriority w:val="99"/>
    <w:rsid w:val="006A4322"/>
    <w:rPr>
      <w:rFonts w:ascii="Times New Roman" w:hAnsi="Times New Roman"/>
      <w:b/>
      <w:spacing w:val="-10"/>
      <w:sz w:val="20"/>
    </w:rPr>
  </w:style>
  <w:style w:type="character" w:customStyle="1" w:styleId="FontStyle307">
    <w:name w:val="Font Style307"/>
    <w:uiPriority w:val="99"/>
    <w:rsid w:val="006A4322"/>
    <w:rPr>
      <w:rFonts w:ascii="Arial Narrow" w:hAnsi="Arial Narrow"/>
      <w:i/>
      <w:sz w:val="28"/>
    </w:rPr>
  </w:style>
  <w:style w:type="character" w:customStyle="1" w:styleId="FontStyle308">
    <w:name w:val="Font Style308"/>
    <w:uiPriority w:val="99"/>
    <w:rsid w:val="006A4322"/>
    <w:rPr>
      <w:rFonts w:ascii="Arial" w:hAnsi="Arial"/>
      <w:b/>
      <w:spacing w:val="-10"/>
      <w:sz w:val="18"/>
    </w:rPr>
  </w:style>
  <w:style w:type="character" w:customStyle="1" w:styleId="FontStyle311">
    <w:name w:val="Font Style311"/>
    <w:uiPriority w:val="99"/>
    <w:rsid w:val="006A4322"/>
    <w:rPr>
      <w:rFonts w:ascii="Times New Roman" w:hAnsi="Times New Roman"/>
      <w:b/>
      <w:spacing w:val="-10"/>
      <w:sz w:val="22"/>
    </w:rPr>
  </w:style>
  <w:style w:type="paragraph" w:customStyle="1" w:styleId="Style97">
    <w:name w:val="Style97"/>
    <w:basedOn w:val="a2"/>
    <w:uiPriority w:val="99"/>
    <w:rsid w:val="006A4322"/>
    <w:pPr>
      <w:widowControl w:val="0"/>
      <w:autoSpaceDE w:val="0"/>
      <w:autoSpaceDN w:val="0"/>
      <w:adjustRightInd w:val="0"/>
      <w:spacing w:line="205" w:lineRule="exact"/>
      <w:ind w:right="851"/>
    </w:pPr>
    <w:rPr>
      <w:rFonts w:ascii="Arial" w:hAnsi="Arial" w:cs="Arial"/>
      <w:sz w:val="24"/>
      <w:szCs w:val="24"/>
    </w:rPr>
  </w:style>
  <w:style w:type="paragraph" w:customStyle="1" w:styleId="Style99">
    <w:name w:val="Style99"/>
    <w:basedOn w:val="a2"/>
    <w:uiPriority w:val="99"/>
    <w:rsid w:val="006A4322"/>
    <w:pPr>
      <w:widowControl w:val="0"/>
      <w:autoSpaceDE w:val="0"/>
      <w:autoSpaceDN w:val="0"/>
      <w:adjustRightInd w:val="0"/>
      <w:spacing w:line="281" w:lineRule="exact"/>
      <w:ind w:right="851"/>
    </w:pPr>
    <w:rPr>
      <w:rFonts w:ascii="Arial" w:hAnsi="Arial" w:cs="Arial"/>
      <w:sz w:val="24"/>
      <w:szCs w:val="24"/>
    </w:rPr>
  </w:style>
  <w:style w:type="paragraph" w:customStyle="1" w:styleId="Style107">
    <w:name w:val="Style107"/>
    <w:basedOn w:val="a2"/>
    <w:uiPriority w:val="99"/>
    <w:rsid w:val="006A4322"/>
    <w:pPr>
      <w:widowControl w:val="0"/>
      <w:autoSpaceDE w:val="0"/>
      <w:autoSpaceDN w:val="0"/>
      <w:adjustRightInd w:val="0"/>
      <w:ind w:right="851"/>
    </w:pPr>
    <w:rPr>
      <w:rFonts w:ascii="Arial" w:hAnsi="Arial" w:cs="Arial"/>
      <w:sz w:val="24"/>
      <w:szCs w:val="24"/>
    </w:rPr>
  </w:style>
  <w:style w:type="paragraph" w:customStyle="1" w:styleId="Style120">
    <w:name w:val="Style120"/>
    <w:basedOn w:val="a2"/>
    <w:uiPriority w:val="99"/>
    <w:rsid w:val="006A4322"/>
    <w:pPr>
      <w:widowControl w:val="0"/>
      <w:autoSpaceDE w:val="0"/>
      <w:autoSpaceDN w:val="0"/>
      <w:adjustRightInd w:val="0"/>
      <w:spacing w:line="192" w:lineRule="exact"/>
      <w:ind w:right="851" w:firstLine="288"/>
      <w:jc w:val="both"/>
    </w:pPr>
    <w:rPr>
      <w:rFonts w:ascii="Arial" w:hAnsi="Arial" w:cs="Arial"/>
      <w:sz w:val="24"/>
      <w:szCs w:val="24"/>
    </w:rPr>
  </w:style>
  <w:style w:type="paragraph" w:customStyle="1" w:styleId="Style134">
    <w:name w:val="Style134"/>
    <w:basedOn w:val="a2"/>
    <w:uiPriority w:val="99"/>
    <w:rsid w:val="006A4322"/>
    <w:pPr>
      <w:widowControl w:val="0"/>
      <w:autoSpaceDE w:val="0"/>
      <w:autoSpaceDN w:val="0"/>
      <w:adjustRightInd w:val="0"/>
      <w:spacing w:line="193" w:lineRule="exact"/>
      <w:ind w:right="851"/>
      <w:jc w:val="both"/>
    </w:pPr>
    <w:rPr>
      <w:rFonts w:ascii="Arial" w:hAnsi="Arial" w:cs="Arial"/>
      <w:sz w:val="24"/>
      <w:szCs w:val="24"/>
    </w:rPr>
  </w:style>
  <w:style w:type="paragraph" w:customStyle="1" w:styleId="Style138">
    <w:name w:val="Style138"/>
    <w:basedOn w:val="a2"/>
    <w:uiPriority w:val="99"/>
    <w:rsid w:val="006A4322"/>
    <w:pPr>
      <w:widowControl w:val="0"/>
      <w:autoSpaceDE w:val="0"/>
      <w:autoSpaceDN w:val="0"/>
      <w:adjustRightInd w:val="0"/>
      <w:ind w:right="851"/>
    </w:pPr>
    <w:rPr>
      <w:rFonts w:ascii="Arial" w:hAnsi="Arial" w:cs="Arial"/>
      <w:sz w:val="24"/>
      <w:szCs w:val="24"/>
    </w:rPr>
  </w:style>
  <w:style w:type="paragraph" w:customStyle="1" w:styleId="Style146">
    <w:name w:val="Style146"/>
    <w:basedOn w:val="a2"/>
    <w:uiPriority w:val="99"/>
    <w:rsid w:val="006A4322"/>
    <w:pPr>
      <w:widowControl w:val="0"/>
      <w:autoSpaceDE w:val="0"/>
      <w:autoSpaceDN w:val="0"/>
      <w:adjustRightInd w:val="0"/>
      <w:spacing w:line="214" w:lineRule="exact"/>
      <w:ind w:right="851" w:firstLine="278"/>
      <w:jc w:val="both"/>
    </w:pPr>
    <w:rPr>
      <w:rFonts w:ascii="Arial" w:hAnsi="Arial" w:cs="Arial"/>
      <w:sz w:val="24"/>
      <w:szCs w:val="24"/>
    </w:rPr>
  </w:style>
  <w:style w:type="paragraph" w:customStyle="1" w:styleId="Style147">
    <w:name w:val="Style147"/>
    <w:basedOn w:val="a2"/>
    <w:uiPriority w:val="99"/>
    <w:rsid w:val="006A4322"/>
    <w:pPr>
      <w:widowControl w:val="0"/>
      <w:autoSpaceDE w:val="0"/>
      <w:autoSpaceDN w:val="0"/>
      <w:adjustRightInd w:val="0"/>
      <w:spacing w:line="180" w:lineRule="exact"/>
      <w:ind w:right="851"/>
    </w:pPr>
    <w:rPr>
      <w:rFonts w:ascii="Arial" w:hAnsi="Arial" w:cs="Arial"/>
      <w:sz w:val="24"/>
      <w:szCs w:val="24"/>
    </w:rPr>
  </w:style>
  <w:style w:type="paragraph" w:customStyle="1" w:styleId="Style154">
    <w:name w:val="Style154"/>
    <w:basedOn w:val="a2"/>
    <w:uiPriority w:val="99"/>
    <w:rsid w:val="006A4322"/>
    <w:pPr>
      <w:widowControl w:val="0"/>
      <w:autoSpaceDE w:val="0"/>
      <w:autoSpaceDN w:val="0"/>
      <w:adjustRightInd w:val="0"/>
      <w:spacing w:line="187" w:lineRule="exact"/>
      <w:ind w:right="851"/>
      <w:jc w:val="both"/>
    </w:pPr>
    <w:rPr>
      <w:rFonts w:ascii="Arial" w:hAnsi="Arial" w:cs="Arial"/>
      <w:sz w:val="24"/>
      <w:szCs w:val="24"/>
    </w:rPr>
  </w:style>
  <w:style w:type="character" w:customStyle="1" w:styleId="FontStyle251">
    <w:name w:val="Font Style251"/>
    <w:uiPriority w:val="99"/>
    <w:rsid w:val="006A4322"/>
    <w:rPr>
      <w:rFonts w:ascii="Times New Roman" w:hAnsi="Times New Roman"/>
      <w:b/>
      <w:spacing w:val="-10"/>
      <w:sz w:val="22"/>
    </w:rPr>
  </w:style>
  <w:style w:type="character" w:customStyle="1" w:styleId="FontStyle254">
    <w:name w:val="Font Style254"/>
    <w:uiPriority w:val="99"/>
    <w:rsid w:val="006A4322"/>
    <w:rPr>
      <w:rFonts w:ascii="Times New Roman" w:hAnsi="Times New Roman"/>
      <w:b/>
      <w:spacing w:val="-10"/>
      <w:sz w:val="26"/>
    </w:rPr>
  </w:style>
  <w:style w:type="character" w:customStyle="1" w:styleId="FontStyle255">
    <w:name w:val="Font Style255"/>
    <w:uiPriority w:val="99"/>
    <w:rsid w:val="006A4322"/>
    <w:rPr>
      <w:rFonts w:ascii="Times New Roman" w:hAnsi="Times New Roman"/>
      <w:b/>
      <w:i/>
      <w:sz w:val="22"/>
    </w:rPr>
  </w:style>
  <w:style w:type="character" w:customStyle="1" w:styleId="FontStyle258">
    <w:name w:val="Font Style258"/>
    <w:uiPriority w:val="99"/>
    <w:rsid w:val="006A4322"/>
    <w:rPr>
      <w:rFonts w:ascii="Arial" w:hAnsi="Arial"/>
      <w:b/>
      <w:sz w:val="18"/>
    </w:rPr>
  </w:style>
  <w:style w:type="character" w:customStyle="1" w:styleId="FontStyle259">
    <w:name w:val="Font Style259"/>
    <w:uiPriority w:val="99"/>
    <w:rsid w:val="006A4322"/>
    <w:rPr>
      <w:rFonts w:ascii="Arial" w:hAnsi="Arial"/>
      <w:b/>
      <w:sz w:val="18"/>
    </w:rPr>
  </w:style>
  <w:style w:type="character" w:customStyle="1" w:styleId="FontStyle271">
    <w:name w:val="Font Style271"/>
    <w:uiPriority w:val="99"/>
    <w:rsid w:val="006A4322"/>
    <w:rPr>
      <w:rFonts w:ascii="Arial" w:hAnsi="Arial"/>
      <w:b/>
      <w:sz w:val="20"/>
    </w:rPr>
  </w:style>
  <w:style w:type="character" w:customStyle="1" w:styleId="FontStyle316">
    <w:name w:val="Font Style316"/>
    <w:uiPriority w:val="99"/>
    <w:rsid w:val="006A4322"/>
    <w:rPr>
      <w:rFonts w:ascii="Arial" w:hAnsi="Arial"/>
      <w:b/>
      <w:spacing w:val="-10"/>
      <w:sz w:val="16"/>
    </w:rPr>
  </w:style>
  <w:style w:type="character" w:customStyle="1" w:styleId="FontStyle317">
    <w:name w:val="Font Style317"/>
    <w:uiPriority w:val="99"/>
    <w:rsid w:val="006A4322"/>
    <w:rPr>
      <w:rFonts w:ascii="Times New Roman" w:hAnsi="Times New Roman"/>
      <w:sz w:val="152"/>
    </w:rPr>
  </w:style>
  <w:style w:type="character" w:customStyle="1" w:styleId="atricleauthorwork">
    <w:name w:val="atricle_author_work"/>
    <w:uiPriority w:val="99"/>
    <w:rsid w:val="006A4322"/>
  </w:style>
  <w:style w:type="paragraph" w:customStyle="1" w:styleId="affffffffff5">
    <w:name w:val="Абзацы"/>
    <w:basedOn w:val="a2"/>
    <w:uiPriority w:val="99"/>
    <w:rsid w:val="006A4322"/>
    <w:pPr>
      <w:spacing w:line="360" w:lineRule="auto"/>
      <w:ind w:right="851" w:firstLine="720"/>
      <w:jc w:val="both"/>
    </w:pPr>
    <w:rPr>
      <w:sz w:val="24"/>
      <w:szCs w:val="24"/>
    </w:rPr>
  </w:style>
  <w:style w:type="character" w:customStyle="1" w:styleId="11f0">
    <w:name w:val="Знак11 Знак Знак"/>
    <w:uiPriority w:val="99"/>
    <w:locked/>
    <w:rsid w:val="006A4322"/>
    <w:rPr>
      <w:rFonts w:ascii="Times New Roman" w:hAnsi="Times New Roman"/>
      <w:sz w:val="20"/>
      <w:lang w:eastAsia="ru-RU"/>
    </w:rPr>
  </w:style>
  <w:style w:type="paragraph" w:customStyle="1" w:styleId="txt">
    <w:name w:val="txt"/>
    <w:basedOn w:val="a2"/>
    <w:uiPriority w:val="99"/>
    <w:rsid w:val="006A4322"/>
    <w:pPr>
      <w:spacing w:before="100" w:beforeAutospacing="1" w:after="100" w:afterAutospacing="1" w:line="360" w:lineRule="auto"/>
      <w:ind w:right="851" w:firstLine="567"/>
      <w:jc w:val="both"/>
    </w:pPr>
    <w:rPr>
      <w:sz w:val="24"/>
      <w:szCs w:val="24"/>
    </w:rPr>
  </w:style>
  <w:style w:type="character" w:customStyle="1" w:styleId="web0">
    <w:name w:val="web"/>
    <w:uiPriority w:val="99"/>
    <w:rsid w:val="006A4322"/>
  </w:style>
  <w:style w:type="character" w:customStyle="1" w:styleId="xml-collab">
    <w:name w:val="xml-collab"/>
    <w:uiPriority w:val="99"/>
    <w:rsid w:val="006A4322"/>
  </w:style>
  <w:style w:type="character" w:customStyle="1" w:styleId="xml-year">
    <w:name w:val="xml-year"/>
    <w:uiPriority w:val="99"/>
    <w:rsid w:val="006A4322"/>
  </w:style>
  <w:style w:type="character" w:customStyle="1" w:styleId="xml-surname">
    <w:name w:val="xml-surname"/>
    <w:uiPriority w:val="99"/>
    <w:rsid w:val="006A4322"/>
  </w:style>
  <w:style w:type="character" w:customStyle="1" w:styleId="xml-given-names">
    <w:name w:val="xml-given-names"/>
    <w:uiPriority w:val="99"/>
    <w:rsid w:val="006A4322"/>
  </w:style>
  <w:style w:type="character" w:customStyle="1" w:styleId="xml-article-title">
    <w:name w:val="xml-article-title"/>
    <w:uiPriority w:val="99"/>
    <w:rsid w:val="006A4322"/>
  </w:style>
  <w:style w:type="character" w:customStyle="1" w:styleId="xml-source">
    <w:name w:val="xml-source"/>
    <w:uiPriority w:val="99"/>
    <w:rsid w:val="006A4322"/>
  </w:style>
  <w:style w:type="character" w:customStyle="1" w:styleId="xml-volume">
    <w:name w:val="xml-volume"/>
    <w:uiPriority w:val="99"/>
    <w:rsid w:val="006A4322"/>
  </w:style>
  <w:style w:type="character" w:customStyle="1" w:styleId="xml-fpage">
    <w:name w:val="xml-fpage"/>
    <w:uiPriority w:val="99"/>
    <w:rsid w:val="006A4322"/>
  </w:style>
  <w:style w:type="character" w:customStyle="1" w:styleId="xml-lpage">
    <w:name w:val="xml-lpage"/>
    <w:uiPriority w:val="99"/>
    <w:rsid w:val="006A4322"/>
  </w:style>
  <w:style w:type="character" w:customStyle="1" w:styleId="reference-link">
    <w:name w:val="reference-link"/>
    <w:uiPriority w:val="99"/>
    <w:rsid w:val="006A4322"/>
  </w:style>
  <w:style w:type="paragraph" w:customStyle="1" w:styleId="affffffffff6">
    <w:name w:val="???????? ?????"/>
    <w:basedOn w:val="a2"/>
    <w:uiPriority w:val="99"/>
    <w:rsid w:val="006A4322"/>
    <w:pPr>
      <w:tabs>
        <w:tab w:val="right" w:pos="8640"/>
      </w:tabs>
      <w:spacing w:after="280" w:line="360" w:lineRule="auto"/>
      <w:ind w:right="851"/>
      <w:jc w:val="both"/>
    </w:pPr>
    <w:rPr>
      <w:spacing w:val="-2"/>
    </w:rPr>
  </w:style>
  <w:style w:type="character" w:customStyle="1" w:styleId="10b">
    <w:name w:val="Основной текст + 10"/>
    <w:aliases w:val="5 pt9"/>
    <w:uiPriority w:val="99"/>
    <w:rsid w:val="006A4322"/>
    <w:rPr>
      <w:rFonts w:ascii="Times New Roman" w:hAnsi="Times New Roman" w:cs="Times New Roman"/>
      <w:color w:val="000000"/>
      <w:spacing w:val="2"/>
      <w:w w:val="100"/>
      <w:position w:val="0"/>
      <w:sz w:val="21"/>
      <w:szCs w:val="21"/>
      <w:shd w:val="clear" w:color="auto" w:fill="FFFFFF"/>
      <w:lang w:val="ru-RU"/>
    </w:rPr>
  </w:style>
  <w:style w:type="character" w:customStyle="1" w:styleId="0pt">
    <w:name w:val="Основной текст + Интервал 0 pt"/>
    <w:uiPriority w:val="99"/>
    <w:rsid w:val="006A4322"/>
    <w:rPr>
      <w:rFonts w:ascii="Times New Roman" w:hAnsi="Times New Roman" w:cs="Times New Roman"/>
      <w:color w:val="000000"/>
      <w:spacing w:val="3"/>
      <w:w w:val="100"/>
      <w:position w:val="0"/>
      <w:sz w:val="25"/>
      <w:szCs w:val="25"/>
      <w:shd w:val="clear" w:color="auto" w:fill="FFFFFF"/>
      <w:lang w:val="ru-RU"/>
    </w:rPr>
  </w:style>
  <w:style w:type="character" w:customStyle="1" w:styleId="1021">
    <w:name w:val="Основной текст + 102"/>
    <w:aliases w:val="5 pt8,Интервал 0 pt5"/>
    <w:uiPriority w:val="99"/>
    <w:rsid w:val="006A4322"/>
    <w:rPr>
      <w:rFonts w:ascii="Times New Roman" w:hAnsi="Times New Roman" w:cs="Times New Roman"/>
      <w:color w:val="000000"/>
      <w:spacing w:val="1"/>
      <w:w w:val="100"/>
      <w:position w:val="0"/>
      <w:sz w:val="21"/>
      <w:szCs w:val="21"/>
      <w:shd w:val="clear" w:color="auto" w:fill="FFFFFF"/>
      <w:lang w:val="ru-RU"/>
    </w:rPr>
  </w:style>
  <w:style w:type="character" w:customStyle="1" w:styleId="20pt">
    <w:name w:val="Подпись к таблице (2) + Интервал 0 pt"/>
    <w:uiPriority w:val="99"/>
    <w:rsid w:val="006A4322"/>
    <w:rPr>
      <w:rFonts w:ascii="Courier New" w:hAnsi="Courier New" w:cs="Courier New"/>
      <w:b/>
      <w:bCs/>
      <w:color w:val="000000"/>
      <w:spacing w:val="8"/>
      <w:w w:val="100"/>
      <w:position w:val="0"/>
      <w:sz w:val="15"/>
      <w:szCs w:val="15"/>
      <w:shd w:val="clear" w:color="auto" w:fill="FFFFFF"/>
      <w:lang w:val="ru-RU"/>
    </w:rPr>
  </w:style>
  <w:style w:type="character" w:customStyle="1" w:styleId="11pt0">
    <w:name w:val="Заголовок №1 + Интервал 1 pt"/>
    <w:uiPriority w:val="99"/>
    <w:rsid w:val="006A4322"/>
    <w:rPr>
      <w:rFonts w:ascii="Times New Roman" w:hAnsi="Times New Roman" w:cs="Times New Roman"/>
      <w:b/>
      <w:bCs/>
      <w:color w:val="000000"/>
      <w:spacing w:val="24"/>
      <w:w w:val="100"/>
      <w:position w:val="0"/>
      <w:sz w:val="25"/>
      <w:szCs w:val="25"/>
      <w:shd w:val="clear" w:color="auto" w:fill="FFFFFF"/>
      <w:lang w:val="ru-RU"/>
    </w:rPr>
  </w:style>
  <w:style w:type="character" w:customStyle="1" w:styleId="20pt0">
    <w:name w:val="Основной текст (2) + Интервал 0 pt"/>
    <w:uiPriority w:val="99"/>
    <w:rsid w:val="006A4322"/>
    <w:rPr>
      <w:rFonts w:ascii="Times New Roman" w:hAnsi="Times New Roman" w:cs="Times New Roman"/>
      <w:b/>
      <w:bCs/>
      <w:color w:val="000000"/>
      <w:spacing w:val="3"/>
      <w:w w:val="100"/>
      <w:position w:val="0"/>
      <w:sz w:val="25"/>
      <w:szCs w:val="25"/>
      <w:shd w:val="clear" w:color="auto" w:fill="FFFFFF"/>
      <w:lang w:val="ru-RU"/>
    </w:rPr>
  </w:style>
  <w:style w:type="character" w:customStyle="1" w:styleId="10pt0">
    <w:name w:val="Заголовок №1 + Интервал 0 pt"/>
    <w:uiPriority w:val="99"/>
    <w:rsid w:val="006A4322"/>
    <w:rPr>
      <w:rFonts w:ascii="Times New Roman" w:hAnsi="Times New Roman" w:cs="Times New Roman"/>
      <w:b/>
      <w:bCs/>
      <w:color w:val="000000"/>
      <w:spacing w:val="5"/>
      <w:w w:val="100"/>
      <w:position w:val="0"/>
      <w:sz w:val="25"/>
      <w:szCs w:val="25"/>
      <w:shd w:val="clear" w:color="auto" w:fill="FFFFFF"/>
      <w:lang w:val="ru-RU"/>
    </w:rPr>
  </w:style>
  <w:style w:type="character" w:customStyle="1" w:styleId="3101">
    <w:name w:val="Основной текст (3) + 10"/>
    <w:aliases w:val="5 pt7,Не курсив2,Интервал 0 pt4"/>
    <w:uiPriority w:val="99"/>
    <w:rsid w:val="006A4322"/>
    <w:rPr>
      <w:rFonts w:ascii="Times New Roman" w:hAnsi="Times New Roman" w:cs="Times New Roman"/>
      <w:b/>
      <w:i/>
      <w:iCs/>
      <w:color w:val="000000"/>
      <w:spacing w:val="2"/>
      <w:w w:val="100"/>
      <w:position w:val="0"/>
      <w:sz w:val="21"/>
      <w:szCs w:val="21"/>
      <w:u w:val="none"/>
      <w:shd w:val="clear" w:color="auto" w:fill="FFFFFF"/>
      <w:lang w:val="ru-RU"/>
    </w:rPr>
  </w:style>
  <w:style w:type="character" w:customStyle="1" w:styleId="5c">
    <w:name w:val="Подпись к таблице (5)_"/>
    <w:link w:val="5d"/>
    <w:uiPriority w:val="99"/>
    <w:locked/>
    <w:rsid w:val="006A4322"/>
    <w:rPr>
      <w:rFonts w:cs="Times New Roman"/>
      <w:spacing w:val="2"/>
      <w:sz w:val="21"/>
      <w:szCs w:val="21"/>
      <w:shd w:val="clear" w:color="auto" w:fill="FFFFFF"/>
    </w:rPr>
  </w:style>
  <w:style w:type="paragraph" w:customStyle="1" w:styleId="5d">
    <w:name w:val="Подпись к таблице (5)"/>
    <w:basedOn w:val="a2"/>
    <w:link w:val="5c"/>
    <w:uiPriority w:val="99"/>
    <w:rsid w:val="006A4322"/>
    <w:pPr>
      <w:widowControl w:val="0"/>
      <w:shd w:val="clear" w:color="auto" w:fill="FFFFFF"/>
      <w:spacing w:line="240" w:lineRule="atLeast"/>
      <w:ind w:right="851"/>
    </w:pPr>
    <w:rPr>
      <w:spacing w:val="2"/>
      <w:sz w:val="21"/>
      <w:szCs w:val="21"/>
    </w:rPr>
  </w:style>
  <w:style w:type="character" w:customStyle="1" w:styleId="absnonlinkmetadata">
    <w:name w:val="abs_nonlink_metadata"/>
    <w:uiPriority w:val="99"/>
    <w:rsid w:val="006A4322"/>
    <w:rPr>
      <w:rFonts w:cs="Times New Roman"/>
    </w:rPr>
  </w:style>
  <w:style w:type="character" w:customStyle="1" w:styleId="11f1">
    <w:name w:val="Заголовок 1 Знак1"/>
    <w:aliases w:val="Знак Знак1"/>
    <w:uiPriority w:val="99"/>
    <w:rsid w:val="006A4322"/>
    <w:rPr>
      <w:rFonts w:ascii="Calibri Light" w:hAnsi="Calibri Light" w:cs="Times New Roman"/>
      <w:color w:val="2E74B5"/>
      <w:sz w:val="32"/>
      <w:szCs w:val="32"/>
    </w:rPr>
  </w:style>
  <w:style w:type="character" w:customStyle="1" w:styleId="9a">
    <w:name w:val="Заголовок №9_"/>
    <w:link w:val="9b"/>
    <w:uiPriority w:val="99"/>
    <w:locked/>
    <w:rsid w:val="006A4322"/>
    <w:rPr>
      <w:rFonts w:cs="Times New Roman"/>
      <w:b/>
      <w:bCs/>
      <w:sz w:val="26"/>
      <w:szCs w:val="26"/>
      <w:shd w:val="clear" w:color="auto" w:fill="FFFFFF"/>
    </w:rPr>
  </w:style>
  <w:style w:type="paragraph" w:customStyle="1" w:styleId="9b">
    <w:name w:val="Заголовок №9"/>
    <w:basedOn w:val="a2"/>
    <w:link w:val="9a"/>
    <w:uiPriority w:val="99"/>
    <w:rsid w:val="006A4322"/>
    <w:pPr>
      <w:widowControl w:val="0"/>
      <w:shd w:val="clear" w:color="auto" w:fill="FFFFFF"/>
      <w:spacing w:before="240" w:after="660" w:line="240" w:lineRule="atLeast"/>
      <w:ind w:right="851"/>
      <w:jc w:val="both"/>
      <w:outlineLvl w:val="8"/>
    </w:pPr>
    <w:rPr>
      <w:b/>
      <w:bCs/>
      <w:sz w:val="26"/>
      <w:szCs w:val="26"/>
    </w:rPr>
  </w:style>
  <w:style w:type="table" w:customStyle="1" w:styleId="1118">
    <w:name w:val="Сетка таблицы1118"/>
    <w:uiPriority w:val="99"/>
    <w:rsid w:val="006A4322"/>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9">
    <w:name w:val="Сетка таблицы2109"/>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4">
    <w:name w:val="Сетка таблицы394"/>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xact">
    <w:name w:val="Подпись к картинке Exact"/>
    <w:uiPriority w:val="99"/>
    <w:rsid w:val="006A4322"/>
    <w:rPr>
      <w:rFonts w:ascii="Times New Roman" w:hAnsi="Times New Roman" w:cs="Times New Roman"/>
      <w:sz w:val="26"/>
      <w:szCs w:val="26"/>
      <w:u w:val="none"/>
      <w:effect w:val="none"/>
    </w:rPr>
  </w:style>
  <w:style w:type="character" w:customStyle="1" w:styleId="Exact0">
    <w:name w:val="Подпись к картинке + Курсив Exact"/>
    <w:uiPriority w:val="99"/>
    <w:rsid w:val="006A4322"/>
    <w:rPr>
      <w:rFonts w:ascii="Times New Roman" w:hAnsi="Times New Roman" w:cs="Times New Roman"/>
      <w:i/>
      <w:iCs/>
      <w:color w:val="000000"/>
      <w:spacing w:val="0"/>
      <w:w w:val="100"/>
      <w:position w:val="0"/>
      <w:sz w:val="26"/>
      <w:szCs w:val="26"/>
      <w:shd w:val="clear" w:color="auto" w:fill="FFFFFF"/>
      <w:lang w:val="ru-RU" w:eastAsia="ru-RU"/>
    </w:rPr>
  </w:style>
  <w:style w:type="character" w:customStyle="1" w:styleId="21110">
    <w:name w:val="Основной текст (2) + 111"/>
    <w:aliases w:val="5 pt6,Полужирный2"/>
    <w:uiPriority w:val="99"/>
    <w:rsid w:val="006A4322"/>
    <w:rPr>
      <w:rFonts w:ascii="Times New Roman" w:hAnsi="Times New Roman" w:cs="Times New Roman"/>
      <w:b/>
      <w:bCs/>
      <w:color w:val="000000"/>
      <w:spacing w:val="0"/>
      <w:w w:val="100"/>
      <w:position w:val="0"/>
      <w:sz w:val="23"/>
      <w:szCs w:val="23"/>
      <w:u w:val="none"/>
      <w:shd w:val="clear" w:color="auto" w:fill="FFFFFF"/>
      <w:lang w:val="ru-RU" w:eastAsia="ru-RU"/>
    </w:rPr>
  </w:style>
  <w:style w:type="paragraph" w:customStyle="1" w:styleId="1fffb">
    <w:name w:val="Знак Знак Знак1"/>
    <w:basedOn w:val="a2"/>
    <w:next w:val="36"/>
    <w:uiPriority w:val="99"/>
    <w:rsid w:val="006A4322"/>
    <w:pPr>
      <w:overflowPunct w:val="0"/>
      <w:autoSpaceDE w:val="0"/>
      <w:autoSpaceDN w:val="0"/>
      <w:adjustRightInd w:val="0"/>
      <w:spacing w:line="360" w:lineRule="auto"/>
      <w:ind w:right="851" w:firstLine="709"/>
      <w:jc w:val="center"/>
    </w:pPr>
    <w:rPr>
      <w:rFonts w:ascii="Calibri" w:hAnsi="Calibri"/>
      <w:b/>
      <w:sz w:val="32"/>
      <w:szCs w:val="22"/>
      <w:lang w:eastAsia="en-US"/>
    </w:rPr>
  </w:style>
  <w:style w:type="character" w:customStyle="1" w:styleId="71a">
    <w:name w:val="Заголовок 7 Знак1"/>
    <w:uiPriority w:val="99"/>
    <w:semiHidden/>
    <w:rsid w:val="006A4322"/>
    <w:rPr>
      <w:rFonts w:ascii="Calibri Light" w:hAnsi="Calibri Light" w:cs="Times New Roman"/>
      <w:i/>
      <w:iCs/>
      <w:color w:val="1F4D78"/>
      <w:sz w:val="24"/>
      <w:szCs w:val="24"/>
      <w:lang w:eastAsia="ru-RU"/>
    </w:rPr>
  </w:style>
  <w:style w:type="character" w:customStyle="1" w:styleId="1fffc">
    <w:name w:val="Заголовок Знак1"/>
    <w:uiPriority w:val="99"/>
    <w:rsid w:val="006A4322"/>
    <w:rPr>
      <w:rFonts w:ascii="Calibri Light" w:hAnsi="Calibri Light" w:cs="Times New Roman"/>
      <w:spacing w:val="-10"/>
      <w:kern w:val="28"/>
      <w:sz w:val="56"/>
      <w:szCs w:val="56"/>
      <w:lang w:eastAsia="ru-RU"/>
    </w:rPr>
  </w:style>
  <w:style w:type="character" w:customStyle="1" w:styleId="31a">
    <w:name w:val="Основной текст с отступом 3 Знак1"/>
    <w:uiPriority w:val="99"/>
    <w:semiHidden/>
    <w:rsid w:val="006A4322"/>
    <w:rPr>
      <w:rFonts w:ascii="Times New Roman" w:hAnsi="Times New Roman" w:cs="Times New Roman"/>
      <w:sz w:val="16"/>
      <w:szCs w:val="16"/>
      <w:lang w:eastAsia="ru-RU"/>
    </w:rPr>
  </w:style>
  <w:style w:type="character" w:customStyle="1" w:styleId="1012">
    <w:name w:val="Основной текст + 101"/>
    <w:aliases w:val="5 pt5,Основной текст + 6"/>
    <w:uiPriority w:val="99"/>
    <w:rsid w:val="006A4322"/>
    <w:rPr>
      <w:rFonts w:ascii="Times New Roman" w:hAnsi="Times New Roman" w:cs="Times New Roman"/>
      <w:b/>
      <w:bCs/>
      <w:color w:val="000000"/>
      <w:spacing w:val="0"/>
      <w:w w:val="100"/>
      <w:position w:val="0"/>
      <w:sz w:val="23"/>
      <w:szCs w:val="23"/>
      <w:u w:val="none"/>
      <w:effect w:val="none"/>
      <w:shd w:val="clear" w:color="auto" w:fill="FFFFFF"/>
      <w:lang w:val="ru-RU" w:eastAsia="ru-RU"/>
    </w:rPr>
  </w:style>
  <w:style w:type="character" w:customStyle="1" w:styleId="22a">
    <w:name w:val="Основной текст 2 Знак2"/>
    <w:uiPriority w:val="99"/>
    <w:semiHidden/>
    <w:rsid w:val="006A4322"/>
    <w:rPr>
      <w:rFonts w:ascii="Times New Roman" w:hAnsi="Times New Roman" w:cs="Times New Roman"/>
      <w:sz w:val="24"/>
      <w:szCs w:val="24"/>
      <w:lang w:eastAsia="ru-RU"/>
    </w:rPr>
  </w:style>
  <w:style w:type="character" w:customStyle="1" w:styleId="32a">
    <w:name w:val="Основной текст 3 Знак2"/>
    <w:uiPriority w:val="99"/>
    <w:semiHidden/>
    <w:rsid w:val="006A4322"/>
    <w:rPr>
      <w:rFonts w:ascii="Times New Roman" w:hAnsi="Times New Roman" w:cs="Times New Roman"/>
      <w:sz w:val="16"/>
      <w:szCs w:val="16"/>
      <w:lang w:eastAsia="ru-RU"/>
    </w:rPr>
  </w:style>
  <w:style w:type="table" w:customStyle="1" w:styleId="21100">
    <w:name w:val="Сетка таблицы2110"/>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0">
    <w:name w:val="Сетка таблицы3110"/>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0">
    <w:name w:val="Сетка таблицы4110"/>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2"/>
    <w:uiPriority w:val="99"/>
    <w:rsid w:val="006A432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0">
    <w:name w:val="Сетка таблицы5110"/>
    <w:uiPriority w:val="99"/>
    <w:rsid w:val="006A432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3a">
    <w:name w:val="Основной текст 2 Знак3"/>
    <w:uiPriority w:val="99"/>
    <w:semiHidden/>
    <w:rsid w:val="006A4322"/>
    <w:rPr>
      <w:rFonts w:cs="Times New Roman"/>
    </w:rPr>
  </w:style>
  <w:style w:type="character" w:customStyle="1" w:styleId="33a">
    <w:name w:val="Основной текст 3 Знак3"/>
    <w:uiPriority w:val="99"/>
    <w:semiHidden/>
    <w:rsid w:val="006A4322"/>
    <w:rPr>
      <w:rFonts w:cs="Times New Roman"/>
      <w:sz w:val="16"/>
      <w:szCs w:val="16"/>
    </w:rPr>
  </w:style>
  <w:style w:type="table" w:customStyle="1" w:styleId="622">
    <w:name w:val="Сетка таблицы622"/>
    <w:uiPriority w:val="99"/>
    <w:rsid w:val="006A4322"/>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uiPriority w:val="99"/>
    <w:rsid w:val="006A4322"/>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0">
    <w:name w:val="Сетка таблицы2210"/>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0"/>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2"/>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0">
    <w:name w:val="Сетка таблицы311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3"/>
    <w:uiPriority w:val="99"/>
    <w:rsid w:val="006A432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етка таблицы5111"/>
    <w:uiPriority w:val="99"/>
    <w:rsid w:val="006A432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0">
    <w:name w:val="Сетка таблицы722"/>
    <w:uiPriority w:val="99"/>
    <w:rsid w:val="006A4322"/>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uiPriority w:val="99"/>
    <w:rsid w:val="006A4322"/>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0"/>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0">
    <w:name w:val="Сетка таблицы3310"/>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Сетка таблицы43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1">
    <w:name w:val="Сетка таблицы212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1">
    <w:name w:val="Сетка таблицы531"/>
    <w:uiPriority w:val="99"/>
    <w:rsid w:val="006A432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
    <w:name w:val="Сетка таблицы5121"/>
    <w:uiPriority w:val="99"/>
    <w:rsid w:val="006A432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3">
    <w:name w:val="Сетка таблицы823"/>
    <w:uiPriority w:val="99"/>
    <w:rsid w:val="006A4322"/>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uiPriority w:val="99"/>
    <w:rsid w:val="006A4322"/>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0">
    <w:name w:val="Сетка таблицы2410"/>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0">
    <w:name w:val="Сетка таблицы3410"/>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
    <w:name w:val="Сетка таблицы44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1">
    <w:name w:val="Сетка таблицы213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1">
    <w:name w:val="Сетка таблицы413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1">
    <w:name w:val="Сетка таблицы541"/>
    <w:uiPriority w:val="99"/>
    <w:rsid w:val="006A432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1">
    <w:name w:val="Сетка таблицы5131"/>
    <w:uiPriority w:val="99"/>
    <w:rsid w:val="006A432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0">
    <w:name w:val="Сетка таблицы910"/>
    <w:uiPriority w:val="99"/>
    <w:rsid w:val="006A4322"/>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0">
    <w:name w:val="Сетка таблицы1410"/>
    <w:uiPriority w:val="99"/>
    <w:rsid w:val="006A4322"/>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0"/>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10">
    <w:name w:val="Сетка таблицы3510"/>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
    <w:name w:val="Сетка таблицы45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1">
    <w:name w:val="Сетка таблицы214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1">
    <w:name w:val="Сетка таблицы314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1">
    <w:name w:val="Сетка таблицы414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1"/>
    <w:uiPriority w:val="99"/>
    <w:rsid w:val="006A432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2">
    <w:name w:val="Сетка таблицы5142"/>
    <w:uiPriority w:val="99"/>
    <w:rsid w:val="006A432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0">
    <w:name w:val="Сетка таблицы1010"/>
    <w:uiPriority w:val="99"/>
    <w:rsid w:val="006A4322"/>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0">
    <w:name w:val="Сетка таблицы1510"/>
    <w:uiPriority w:val="99"/>
    <w:rsid w:val="006A4322"/>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0"/>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100">
    <w:name w:val="Сетка таблицы3610"/>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1">
    <w:name w:val="Сетка таблицы215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1">
    <w:name w:val="Сетка таблицы315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1">
    <w:name w:val="Сетка таблицы415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1">
    <w:name w:val="Сетка таблицы561"/>
    <w:uiPriority w:val="99"/>
    <w:rsid w:val="006A432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1">
    <w:name w:val="Сетка таблицы5151"/>
    <w:uiPriority w:val="99"/>
    <w:rsid w:val="006A432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1"/>
    <w:uiPriority w:val="99"/>
    <w:rsid w:val="006A432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0">
    <w:name w:val="Сетка таблицы1710"/>
    <w:uiPriority w:val="99"/>
    <w:rsid w:val="006A4322"/>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0">
    <w:name w:val="Сетка таблицы1810"/>
    <w:uiPriority w:val="99"/>
    <w:rsid w:val="006A4322"/>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0">
    <w:name w:val="Сетка таблицы2710"/>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00">
    <w:name w:val="Сетка таблицы3710"/>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
    <w:name w:val="Сетка таблицы47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1">
    <w:name w:val="Сетка таблицы216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1">
    <w:name w:val="Сетка таблицы316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1">
    <w:name w:val="Сетка таблицы416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1">
    <w:name w:val="Сетка таблицы571"/>
    <w:uiPriority w:val="99"/>
    <w:rsid w:val="006A432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61">
    <w:name w:val="Сетка таблицы5161"/>
    <w:uiPriority w:val="99"/>
    <w:rsid w:val="006A432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00">
    <w:name w:val="Сетка таблицы6110"/>
    <w:uiPriority w:val="99"/>
    <w:rsid w:val="006A4322"/>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0"/>
    <w:uiPriority w:val="99"/>
    <w:rsid w:val="006A4322"/>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1">
    <w:name w:val="Сетка таблицы5211"/>
    <w:uiPriority w:val="99"/>
    <w:rsid w:val="006A432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0">
    <w:name w:val="Сетка таблицы7110"/>
    <w:uiPriority w:val="99"/>
    <w:rsid w:val="006A4322"/>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uiPriority w:val="99"/>
    <w:rsid w:val="006A4322"/>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00">
    <w:name w:val="Сетка таблицы8110"/>
    <w:uiPriority w:val="99"/>
    <w:rsid w:val="006A4322"/>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uiPriority w:val="99"/>
    <w:rsid w:val="006A4322"/>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1">
    <w:name w:val="Сетка таблицы341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1"/>
    <w:uiPriority w:val="99"/>
    <w:rsid w:val="006A4322"/>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uiPriority w:val="99"/>
    <w:rsid w:val="006A4322"/>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11">
    <w:name w:val="Сетка таблицы351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11">
    <w:name w:val="Сетка таблицы51411"/>
    <w:uiPriority w:val="99"/>
    <w:rsid w:val="006A432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0">
    <w:name w:val="Сетка таблицы1011"/>
    <w:uiPriority w:val="99"/>
    <w:rsid w:val="006A4322"/>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uiPriority w:val="99"/>
    <w:rsid w:val="006A4322"/>
    <w:pPr>
      <w:ind w:right="85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11">
    <w:name w:val="Сетка таблицы3611"/>
    <w:uiPriority w:val="99"/>
    <w:rsid w:val="006A4322"/>
    <w:pPr>
      <w:ind w:right="851"/>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2">
    <w:name w:val="Сетка таблицы1612"/>
    <w:uiPriority w:val="99"/>
    <w:rsid w:val="006A432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5">
    <w:name w:val="Сетка таблицы395"/>
    <w:uiPriority w:val="99"/>
    <w:rsid w:val="00077746"/>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6">
    <w:name w:val="Сетка таблицы396"/>
    <w:uiPriority w:val="99"/>
    <w:rsid w:val="00077746"/>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7">
    <w:name w:val="Сетка таблицы397"/>
    <w:uiPriority w:val="99"/>
    <w:rsid w:val="00077746"/>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8">
    <w:name w:val="Сетка таблицы398"/>
    <w:uiPriority w:val="99"/>
    <w:rsid w:val="00077746"/>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9">
    <w:name w:val="Сетка таблицы399"/>
    <w:uiPriority w:val="99"/>
    <w:rsid w:val="00077746"/>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0">
    <w:name w:val="Сетка таблицы400"/>
    <w:uiPriority w:val="99"/>
    <w:rsid w:val="00077746"/>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1">
    <w:name w:val="Сетка таблицы401"/>
    <w:uiPriority w:val="99"/>
    <w:rsid w:val="00077746"/>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2">
    <w:name w:val="Сетка таблицы402"/>
    <w:uiPriority w:val="99"/>
    <w:rsid w:val="00077746"/>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3">
    <w:name w:val="Сетка таблицы403"/>
    <w:uiPriority w:val="99"/>
    <w:rsid w:val="0042274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4">
    <w:name w:val="Сетка таблицы404"/>
    <w:uiPriority w:val="99"/>
    <w:rsid w:val="0042274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5">
    <w:name w:val="Сетка таблицы405"/>
    <w:uiPriority w:val="99"/>
    <w:rsid w:val="0042274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6">
    <w:name w:val="Сетка таблицы406"/>
    <w:uiPriority w:val="99"/>
    <w:rsid w:val="0042274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7">
    <w:name w:val="Сетка таблицы407"/>
    <w:uiPriority w:val="99"/>
    <w:rsid w:val="002170A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8">
    <w:name w:val="Сетка таблицы408"/>
    <w:uiPriority w:val="99"/>
    <w:rsid w:val="002170A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9">
    <w:name w:val="Сетка таблицы409"/>
    <w:uiPriority w:val="99"/>
    <w:rsid w:val="004F122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
    <w:name w:val="Сетка таблицы423"/>
    <w:uiPriority w:val="99"/>
    <w:rsid w:val="004F122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7">
    <w:name w:val="CM7"/>
    <w:basedOn w:val="Default"/>
    <w:next w:val="Default"/>
    <w:uiPriority w:val="99"/>
    <w:rsid w:val="00B41D5C"/>
    <w:pPr>
      <w:spacing w:line="228" w:lineRule="atLeast"/>
    </w:pPr>
    <w:rPr>
      <w:rFonts w:ascii="Peterburg Cyr" w:hAnsi="Peterburg Cyr"/>
      <w:color w:val="auto"/>
    </w:rPr>
  </w:style>
  <w:style w:type="paragraph" w:customStyle="1" w:styleId="CM8">
    <w:name w:val="CM8"/>
    <w:basedOn w:val="Default"/>
    <w:next w:val="Default"/>
    <w:uiPriority w:val="99"/>
    <w:rsid w:val="00B41D5C"/>
    <w:pPr>
      <w:spacing w:line="223" w:lineRule="atLeast"/>
    </w:pPr>
    <w:rPr>
      <w:rFonts w:ascii="Peterburg Cyr" w:hAnsi="Peterburg Cyr"/>
      <w:color w:val="auto"/>
    </w:rPr>
  </w:style>
  <w:style w:type="table" w:customStyle="1" w:styleId="424">
    <w:name w:val="Сетка таблицы424"/>
    <w:uiPriority w:val="99"/>
    <w:rsid w:val="00B41D5C"/>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5">
    <w:name w:val="Сетка таблицы425"/>
    <w:uiPriority w:val="99"/>
    <w:rsid w:val="000C62B0"/>
    <w:pPr>
      <w:spacing w:after="200" w:line="276"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pt1">
    <w:name w:val="Основной текст + Интервал 2 pt1"/>
    <w:uiPriority w:val="99"/>
    <w:rsid w:val="000C62B0"/>
    <w:rPr>
      <w:rFonts w:ascii="Times New Roman" w:hAnsi="Times New Roman"/>
      <w:spacing w:val="40"/>
      <w:sz w:val="26"/>
      <w:lang w:val="de-DE" w:eastAsia="de-DE"/>
    </w:rPr>
  </w:style>
  <w:style w:type="character" w:customStyle="1" w:styleId="12pt1">
    <w:name w:val="Основной текст + 12 pt1"/>
    <w:uiPriority w:val="99"/>
    <w:rsid w:val="000C62B0"/>
    <w:rPr>
      <w:rFonts w:ascii="Times New Roman" w:hAnsi="Times New Roman"/>
      <w:spacing w:val="0"/>
      <w:sz w:val="24"/>
    </w:rPr>
  </w:style>
  <w:style w:type="character" w:customStyle="1" w:styleId="12b">
    <w:name w:val="Основной текст + 12"/>
    <w:uiPriority w:val="99"/>
    <w:rsid w:val="000C62B0"/>
    <w:rPr>
      <w:rFonts w:ascii="Times New Roman" w:hAnsi="Times New Roman"/>
      <w:spacing w:val="20"/>
      <w:sz w:val="25"/>
    </w:rPr>
  </w:style>
  <w:style w:type="character" w:customStyle="1" w:styleId="1fffd">
    <w:name w:val="Основной текст + Малые прописные1"/>
    <w:uiPriority w:val="99"/>
    <w:rsid w:val="000C62B0"/>
    <w:rPr>
      <w:rFonts w:ascii="Times New Roman" w:hAnsi="Times New Roman"/>
      <w:smallCaps/>
      <w:spacing w:val="0"/>
      <w:sz w:val="26"/>
      <w:lang w:val="de-DE" w:eastAsia="de-DE"/>
    </w:rPr>
  </w:style>
  <w:style w:type="character" w:customStyle="1" w:styleId="Impact">
    <w:name w:val="Основной текст + Impact"/>
    <w:uiPriority w:val="99"/>
    <w:rsid w:val="000C62B0"/>
    <w:rPr>
      <w:rFonts w:ascii="Impact" w:hAnsi="Impact"/>
      <w:spacing w:val="10"/>
      <w:w w:val="120"/>
      <w:sz w:val="23"/>
      <w:lang w:val="en-US" w:eastAsia="en-US"/>
    </w:rPr>
  </w:style>
  <w:style w:type="character" w:customStyle="1" w:styleId="Impact1">
    <w:name w:val="Основной текст + Impact1"/>
    <w:uiPriority w:val="99"/>
    <w:rsid w:val="000C62B0"/>
    <w:rPr>
      <w:rFonts w:ascii="Impact" w:hAnsi="Impact"/>
      <w:spacing w:val="0"/>
      <w:w w:val="120"/>
      <w:sz w:val="23"/>
      <w:lang w:val="en-US" w:eastAsia="en-US"/>
    </w:rPr>
  </w:style>
  <w:style w:type="character" w:customStyle="1" w:styleId="13a">
    <w:name w:val="Основной текст + 13"/>
    <w:uiPriority w:val="99"/>
    <w:rsid w:val="000C62B0"/>
    <w:rPr>
      <w:rFonts w:ascii="Times New Roman" w:hAnsi="Times New Roman"/>
      <w:spacing w:val="0"/>
      <w:sz w:val="27"/>
      <w:lang w:val="de-DE" w:eastAsia="de-DE"/>
    </w:rPr>
  </w:style>
  <w:style w:type="character" w:customStyle="1" w:styleId="1221">
    <w:name w:val="Основной текст + 122"/>
    <w:uiPriority w:val="99"/>
    <w:rsid w:val="000C62B0"/>
    <w:rPr>
      <w:rFonts w:ascii="Times New Roman" w:hAnsi="Times New Roman"/>
      <w:spacing w:val="0"/>
      <w:sz w:val="25"/>
      <w:lang w:val="en-US" w:eastAsia="en-US"/>
    </w:rPr>
  </w:style>
  <w:style w:type="character" w:customStyle="1" w:styleId="11f2">
    <w:name w:val="Основной текст + 11"/>
    <w:uiPriority w:val="99"/>
    <w:rsid w:val="000C62B0"/>
    <w:rPr>
      <w:rFonts w:ascii="Times New Roman" w:hAnsi="Times New Roman"/>
      <w:b/>
      <w:spacing w:val="0"/>
      <w:sz w:val="23"/>
      <w:lang w:val="en-US" w:eastAsia="en-US"/>
    </w:rPr>
  </w:style>
  <w:style w:type="character" w:customStyle="1" w:styleId="1212">
    <w:name w:val="Основной текст + 121"/>
    <w:uiPriority w:val="99"/>
    <w:rsid w:val="000C62B0"/>
    <w:rPr>
      <w:rFonts w:ascii="Times New Roman" w:hAnsi="Times New Roman"/>
      <w:spacing w:val="0"/>
      <w:sz w:val="25"/>
      <w:lang w:val="en-US" w:eastAsia="en-US"/>
    </w:rPr>
  </w:style>
  <w:style w:type="character" w:customStyle="1" w:styleId="affffffffff7">
    <w:name w:val="Другое_"/>
    <w:link w:val="1fffe"/>
    <w:uiPriority w:val="99"/>
    <w:locked/>
    <w:rsid w:val="000C62B0"/>
    <w:rPr>
      <w:sz w:val="26"/>
      <w:shd w:val="clear" w:color="auto" w:fill="FFFFFF"/>
    </w:rPr>
  </w:style>
  <w:style w:type="paragraph" w:customStyle="1" w:styleId="1fffe">
    <w:name w:val="Другое1"/>
    <w:basedOn w:val="a2"/>
    <w:link w:val="affffffffff7"/>
    <w:uiPriority w:val="99"/>
    <w:rsid w:val="000C62B0"/>
    <w:pPr>
      <w:shd w:val="clear" w:color="auto" w:fill="FFFFFF"/>
      <w:spacing w:after="420" w:line="240" w:lineRule="atLeast"/>
    </w:pPr>
    <w:rPr>
      <w:sz w:val="26"/>
    </w:rPr>
  </w:style>
  <w:style w:type="character" w:customStyle="1" w:styleId="affffffffff8">
    <w:name w:val="Другое"/>
    <w:uiPriority w:val="99"/>
    <w:rsid w:val="000C62B0"/>
  </w:style>
  <w:style w:type="character" w:customStyle="1" w:styleId="2fff0">
    <w:name w:val="Другое (2)_"/>
    <w:link w:val="2fff1"/>
    <w:uiPriority w:val="99"/>
    <w:locked/>
    <w:rsid w:val="000C62B0"/>
    <w:rPr>
      <w:spacing w:val="20"/>
      <w:sz w:val="18"/>
      <w:shd w:val="clear" w:color="auto" w:fill="FFFFFF"/>
    </w:rPr>
  </w:style>
  <w:style w:type="paragraph" w:customStyle="1" w:styleId="2fff1">
    <w:name w:val="Другое (2)"/>
    <w:basedOn w:val="a2"/>
    <w:link w:val="2fff0"/>
    <w:uiPriority w:val="99"/>
    <w:rsid w:val="000C62B0"/>
    <w:pPr>
      <w:shd w:val="clear" w:color="auto" w:fill="FFFFFF"/>
      <w:spacing w:before="420" w:after="720" w:line="240" w:lineRule="atLeast"/>
    </w:pPr>
    <w:rPr>
      <w:spacing w:val="20"/>
      <w:sz w:val="18"/>
    </w:rPr>
  </w:style>
  <w:style w:type="character" w:customStyle="1" w:styleId="3fa">
    <w:name w:val="Другое (3)_"/>
    <w:link w:val="3fb"/>
    <w:uiPriority w:val="99"/>
    <w:locked/>
    <w:rsid w:val="000C62B0"/>
    <w:rPr>
      <w:spacing w:val="10"/>
      <w:sz w:val="19"/>
      <w:shd w:val="clear" w:color="auto" w:fill="FFFFFF"/>
    </w:rPr>
  </w:style>
  <w:style w:type="paragraph" w:customStyle="1" w:styleId="3fb">
    <w:name w:val="Другое (3)"/>
    <w:basedOn w:val="a2"/>
    <w:link w:val="3fa"/>
    <w:uiPriority w:val="99"/>
    <w:rsid w:val="000C62B0"/>
    <w:pPr>
      <w:shd w:val="clear" w:color="auto" w:fill="FFFFFF"/>
      <w:spacing w:after="200" w:line="648" w:lineRule="exact"/>
    </w:pPr>
    <w:rPr>
      <w:spacing w:val="10"/>
      <w:sz w:val="19"/>
    </w:rPr>
  </w:style>
  <w:style w:type="character" w:customStyle="1" w:styleId="4e">
    <w:name w:val="Другое (4)_"/>
    <w:link w:val="4f"/>
    <w:uiPriority w:val="99"/>
    <w:locked/>
    <w:rsid w:val="000C62B0"/>
    <w:rPr>
      <w:spacing w:val="20"/>
      <w:sz w:val="18"/>
      <w:shd w:val="clear" w:color="auto" w:fill="FFFFFF"/>
    </w:rPr>
  </w:style>
  <w:style w:type="paragraph" w:customStyle="1" w:styleId="4f">
    <w:name w:val="Другое (4)"/>
    <w:basedOn w:val="a2"/>
    <w:link w:val="4e"/>
    <w:uiPriority w:val="99"/>
    <w:rsid w:val="000C62B0"/>
    <w:pPr>
      <w:shd w:val="clear" w:color="auto" w:fill="FFFFFF"/>
      <w:spacing w:before="300" w:after="200" w:line="960" w:lineRule="exact"/>
    </w:pPr>
    <w:rPr>
      <w:spacing w:val="20"/>
      <w:sz w:val="18"/>
    </w:rPr>
  </w:style>
  <w:style w:type="character" w:customStyle="1" w:styleId="5e">
    <w:name w:val="Другое (5)_"/>
    <w:link w:val="5f"/>
    <w:uiPriority w:val="99"/>
    <w:locked/>
    <w:rsid w:val="000C62B0"/>
    <w:rPr>
      <w:sz w:val="27"/>
      <w:shd w:val="clear" w:color="auto" w:fill="FFFFFF"/>
    </w:rPr>
  </w:style>
  <w:style w:type="paragraph" w:customStyle="1" w:styleId="5f">
    <w:name w:val="Другое (5)"/>
    <w:basedOn w:val="a2"/>
    <w:link w:val="5e"/>
    <w:uiPriority w:val="99"/>
    <w:rsid w:val="000C62B0"/>
    <w:pPr>
      <w:shd w:val="clear" w:color="auto" w:fill="FFFFFF"/>
      <w:spacing w:after="200" w:line="638" w:lineRule="exact"/>
    </w:pPr>
    <w:rPr>
      <w:sz w:val="27"/>
    </w:rPr>
  </w:style>
  <w:style w:type="character" w:customStyle="1" w:styleId="6b">
    <w:name w:val="Другое (6)_"/>
    <w:link w:val="6c"/>
    <w:uiPriority w:val="99"/>
    <w:locked/>
    <w:rsid w:val="000C62B0"/>
    <w:rPr>
      <w:sz w:val="27"/>
      <w:shd w:val="clear" w:color="auto" w:fill="FFFFFF"/>
    </w:rPr>
  </w:style>
  <w:style w:type="paragraph" w:customStyle="1" w:styleId="6c">
    <w:name w:val="Другое (6)"/>
    <w:basedOn w:val="a2"/>
    <w:link w:val="6b"/>
    <w:uiPriority w:val="99"/>
    <w:rsid w:val="000C62B0"/>
    <w:pPr>
      <w:shd w:val="clear" w:color="auto" w:fill="FFFFFF"/>
      <w:spacing w:after="200" w:line="638" w:lineRule="exact"/>
    </w:pPr>
    <w:rPr>
      <w:sz w:val="27"/>
    </w:rPr>
  </w:style>
  <w:style w:type="character" w:customStyle="1" w:styleId="12c">
    <w:name w:val="Другое12"/>
    <w:uiPriority w:val="99"/>
    <w:rsid w:val="000C62B0"/>
  </w:style>
  <w:style w:type="character" w:customStyle="1" w:styleId="11f3">
    <w:name w:val="Другое11"/>
    <w:uiPriority w:val="99"/>
    <w:rsid w:val="000C62B0"/>
  </w:style>
  <w:style w:type="character" w:customStyle="1" w:styleId="7a">
    <w:name w:val="Другое (7)_"/>
    <w:link w:val="7b"/>
    <w:uiPriority w:val="99"/>
    <w:locked/>
    <w:rsid w:val="000C62B0"/>
    <w:rPr>
      <w:sz w:val="26"/>
      <w:shd w:val="clear" w:color="auto" w:fill="FFFFFF"/>
    </w:rPr>
  </w:style>
  <w:style w:type="paragraph" w:customStyle="1" w:styleId="7b">
    <w:name w:val="Другое (7)"/>
    <w:basedOn w:val="a2"/>
    <w:link w:val="7a"/>
    <w:uiPriority w:val="99"/>
    <w:rsid w:val="000C62B0"/>
    <w:pPr>
      <w:shd w:val="clear" w:color="auto" w:fill="FFFFFF"/>
      <w:spacing w:after="200" w:line="970" w:lineRule="exact"/>
    </w:pPr>
    <w:rPr>
      <w:sz w:val="26"/>
    </w:rPr>
  </w:style>
  <w:style w:type="character" w:customStyle="1" w:styleId="8b">
    <w:name w:val="Другое (8)_"/>
    <w:link w:val="8c"/>
    <w:uiPriority w:val="99"/>
    <w:locked/>
    <w:rsid w:val="000C62B0"/>
    <w:rPr>
      <w:sz w:val="26"/>
      <w:shd w:val="clear" w:color="auto" w:fill="FFFFFF"/>
    </w:rPr>
  </w:style>
  <w:style w:type="paragraph" w:customStyle="1" w:styleId="8c">
    <w:name w:val="Другое (8)"/>
    <w:basedOn w:val="a2"/>
    <w:link w:val="8b"/>
    <w:uiPriority w:val="99"/>
    <w:rsid w:val="000C62B0"/>
    <w:pPr>
      <w:shd w:val="clear" w:color="auto" w:fill="FFFFFF"/>
      <w:spacing w:after="420" w:line="240" w:lineRule="atLeast"/>
    </w:pPr>
    <w:rPr>
      <w:sz w:val="26"/>
    </w:rPr>
  </w:style>
  <w:style w:type="character" w:customStyle="1" w:styleId="10c">
    <w:name w:val="Другое10"/>
    <w:uiPriority w:val="99"/>
    <w:rsid w:val="000C62B0"/>
  </w:style>
  <w:style w:type="character" w:customStyle="1" w:styleId="9c">
    <w:name w:val="Другое (9)_"/>
    <w:link w:val="9d"/>
    <w:uiPriority w:val="99"/>
    <w:locked/>
    <w:rsid w:val="000C62B0"/>
    <w:rPr>
      <w:rFonts w:ascii="Arial Narrow" w:hAnsi="Arial Narrow"/>
      <w:spacing w:val="30"/>
      <w:sz w:val="24"/>
      <w:shd w:val="clear" w:color="auto" w:fill="FFFFFF"/>
    </w:rPr>
  </w:style>
  <w:style w:type="paragraph" w:customStyle="1" w:styleId="9d">
    <w:name w:val="Другое (9)"/>
    <w:basedOn w:val="a2"/>
    <w:link w:val="9c"/>
    <w:uiPriority w:val="99"/>
    <w:rsid w:val="000C62B0"/>
    <w:pPr>
      <w:shd w:val="clear" w:color="auto" w:fill="FFFFFF"/>
      <w:spacing w:before="720" w:after="420" w:line="240" w:lineRule="atLeast"/>
    </w:pPr>
    <w:rPr>
      <w:rFonts w:ascii="Arial Narrow" w:hAnsi="Arial Narrow"/>
      <w:spacing w:val="30"/>
      <w:sz w:val="24"/>
    </w:rPr>
  </w:style>
  <w:style w:type="character" w:customStyle="1" w:styleId="10d">
    <w:name w:val="Другое (10)_"/>
    <w:link w:val="10e"/>
    <w:uiPriority w:val="99"/>
    <w:locked/>
    <w:rsid w:val="000C62B0"/>
    <w:rPr>
      <w:sz w:val="26"/>
      <w:shd w:val="clear" w:color="auto" w:fill="FFFFFF"/>
    </w:rPr>
  </w:style>
  <w:style w:type="paragraph" w:customStyle="1" w:styleId="10e">
    <w:name w:val="Другое (10)"/>
    <w:basedOn w:val="a2"/>
    <w:link w:val="10d"/>
    <w:uiPriority w:val="99"/>
    <w:rsid w:val="000C62B0"/>
    <w:pPr>
      <w:shd w:val="clear" w:color="auto" w:fill="FFFFFF"/>
      <w:spacing w:before="420" w:after="720" w:line="240" w:lineRule="atLeast"/>
    </w:pPr>
    <w:rPr>
      <w:sz w:val="26"/>
    </w:rPr>
  </w:style>
  <w:style w:type="character" w:customStyle="1" w:styleId="11f4">
    <w:name w:val="Другое (11)_"/>
    <w:link w:val="11f5"/>
    <w:uiPriority w:val="99"/>
    <w:locked/>
    <w:rsid w:val="000C62B0"/>
    <w:rPr>
      <w:sz w:val="27"/>
      <w:shd w:val="clear" w:color="auto" w:fill="FFFFFF"/>
    </w:rPr>
  </w:style>
  <w:style w:type="paragraph" w:customStyle="1" w:styleId="11f5">
    <w:name w:val="Другое (11)"/>
    <w:basedOn w:val="a2"/>
    <w:link w:val="11f4"/>
    <w:uiPriority w:val="99"/>
    <w:rsid w:val="000C62B0"/>
    <w:pPr>
      <w:shd w:val="clear" w:color="auto" w:fill="FFFFFF"/>
      <w:spacing w:after="300" w:line="648" w:lineRule="exact"/>
    </w:pPr>
    <w:rPr>
      <w:sz w:val="27"/>
    </w:rPr>
  </w:style>
  <w:style w:type="character" w:customStyle="1" w:styleId="12d">
    <w:name w:val="Другое (12)_"/>
    <w:link w:val="12e"/>
    <w:uiPriority w:val="99"/>
    <w:locked/>
    <w:rsid w:val="000C62B0"/>
    <w:rPr>
      <w:sz w:val="27"/>
      <w:shd w:val="clear" w:color="auto" w:fill="FFFFFF"/>
    </w:rPr>
  </w:style>
  <w:style w:type="paragraph" w:customStyle="1" w:styleId="12e">
    <w:name w:val="Другое (12)"/>
    <w:basedOn w:val="a2"/>
    <w:link w:val="12d"/>
    <w:uiPriority w:val="99"/>
    <w:rsid w:val="000C62B0"/>
    <w:pPr>
      <w:shd w:val="clear" w:color="auto" w:fill="FFFFFF"/>
      <w:spacing w:before="420" w:after="200" w:line="240" w:lineRule="atLeast"/>
    </w:pPr>
    <w:rPr>
      <w:sz w:val="27"/>
    </w:rPr>
  </w:style>
  <w:style w:type="character" w:customStyle="1" w:styleId="13b">
    <w:name w:val="Другое (13)_"/>
    <w:link w:val="13c"/>
    <w:uiPriority w:val="99"/>
    <w:locked/>
    <w:rsid w:val="000C62B0"/>
    <w:rPr>
      <w:spacing w:val="10"/>
      <w:shd w:val="clear" w:color="auto" w:fill="FFFFFF"/>
    </w:rPr>
  </w:style>
  <w:style w:type="paragraph" w:customStyle="1" w:styleId="13c">
    <w:name w:val="Другое (13)"/>
    <w:basedOn w:val="a2"/>
    <w:link w:val="13b"/>
    <w:uiPriority w:val="99"/>
    <w:rsid w:val="000C62B0"/>
    <w:pPr>
      <w:shd w:val="clear" w:color="auto" w:fill="FFFFFF"/>
      <w:spacing w:after="420" w:line="240" w:lineRule="atLeast"/>
    </w:pPr>
    <w:rPr>
      <w:spacing w:val="10"/>
    </w:rPr>
  </w:style>
  <w:style w:type="character" w:customStyle="1" w:styleId="9e">
    <w:name w:val="Другое9"/>
    <w:uiPriority w:val="99"/>
    <w:rsid w:val="000C62B0"/>
  </w:style>
  <w:style w:type="character" w:customStyle="1" w:styleId="14b">
    <w:name w:val="Другое (14)_"/>
    <w:link w:val="14c"/>
    <w:uiPriority w:val="99"/>
    <w:locked/>
    <w:rsid w:val="000C62B0"/>
    <w:rPr>
      <w:spacing w:val="20"/>
      <w:sz w:val="18"/>
      <w:shd w:val="clear" w:color="auto" w:fill="FFFFFF"/>
    </w:rPr>
  </w:style>
  <w:style w:type="paragraph" w:customStyle="1" w:styleId="14c">
    <w:name w:val="Другое (14)"/>
    <w:basedOn w:val="a2"/>
    <w:link w:val="14b"/>
    <w:uiPriority w:val="99"/>
    <w:rsid w:val="000C62B0"/>
    <w:pPr>
      <w:shd w:val="clear" w:color="auto" w:fill="FFFFFF"/>
      <w:spacing w:after="200" w:line="970" w:lineRule="exact"/>
    </w:pPr>
    <w:rPr>
      <w:spacing w:val="20"/>
      <w:sz w:val="18"/>
    </w:rPr>
  </w:style>
  <w:style w:type="character" w:customStyle="1" w:styleId="15a">
    <w:name w:val="Другое (15)_"/>
    <w:link w:val="15b"/>
    <w:uiPriority w:val="99"/>
    <w:locked/>
    <w:rsid w:val="000C62B0"/>
    <w:rPr>
      <w:spacing w:val="30"/>
      <w:sz w:val="17"/>
      <w:shd w:val="clear" w:color="auto" w:fill="FFFFFF"/>
    </w:rPr>
  </w:style>
  <w:style w:type="paragraph" w:customStyle="1" w:styleId="15b">
    <w:name w:val="Другое (15)"/>
    <w:basedOn w:val="a2"/>
    <w:link w:val="15a"/>
    <w:uiPriority w:val="99"/>
    <w:rsid w:val="000C62B0"/>
    <w:pPr>
      <w:shd w:val="clear" w:color="auto" w:fill="FFFFFF"/>
      <w:spacing w:before="420" w:after="60" w:line="240" w:lineRule="atLeast"/>
    </w:pPr>
    <w:rPr>
      <w:spacing w:val="30"/>
      <w:sz w:val="17"/>
    </w:rPr>
  </w:style>
  <w:style w:type="character" w:customStyle="1" w:styleId="8d">
    <w:name w:val="Другое8"/>
    <w:uiPriority w:val="99"/>
    <w:rsid w:val="000C62B0"/>
  </w:style>
  <w:style w:type="character" w:customStyle="1" w:styleId="16a">
    <w:name w:val="Другое (16)_"/>
    <w:link w:val="16b"/>
    <w:uiPriority w:val="99"/>
    <w:locked/>
    <w:rsid w:val="000C62B0"/>
    <w:rPr>
      <w:spacing w:val="10"/>
      <w:sz w:val="24"/>
      <w:shd w:val="clear" w:color="auto" w:fill="FFFFFF"/>
    </w:rPr>
  </w:style>
  <w:style w:type="paragraph" w:customStyle="1" w:styleId="16b">
    <w:name w:val="Другое (16)"/>
    <w:basedOn w:val="a2"/>
    <w:link w:val="16a"/>
    <w:uiPriority w:val="99"/>
    <w:rsid w:val="000C62B0"/>
    <w:pPr>
      <w:shd w:val="clear" w:color="auto" w:fill="FFFFFF"/>
      <w:spacing w:after="200" w:line="648" w:lineRule="exact"/>
    </w:pPr>
    <w:rPr>
      <w:spacing w:val="10"/>
      <w:sz w:val="24"/>
    </w:rPr>
  </w:style>
  <w:style w:type="character" w:customStyle="1" w:styleId="17a">
    <w:name w:val="Другое (17)_"/>
    <w:link w:val="17b"/>
    <w:uiPriority w:val="99"/>
    <w:locked/>
    <w:rsid w:val="000C62B0"/>
    <w:rPr>
      <w:sz w:val="26"/>
      <w:shd w:val="clear" w:color="auto" w:fill="FFFFFF"/>
    </w:rPr>
  </w:style>
  <w:style w:type="paragraph" w:customStyle="1" w:styleId="17b">
    <w:name w:val="Другое (17)"/>
    <w:basedOn w:val="a2"/>
    <w:link w:val="17a"/>
    <w:uiPriority w:val="99"/>
    <w:rsid w:val="000C62B0"/>
    <w:pPr>
      <w:shd w:val="clear" w:color="auto" w:fill="FFFFFF"/>
      <w:spacing w:before="240" w:after="720" w:line="240" w:lineRule="atLeast"/>
    </w:pPr>
    <w:rPr>
      <w:sz w:val="26"/>
    </w:rPr>
  </w:style>
  <w:style w:type="character" w:customStyle="1" w:styleId="18a">
    <w:name w:val="Другое (18)_"/>
    <w:link w:val="18b"/>
    <w:uiPriority w:val="99"/>
    <w:locked/>
    <w:rsid w:val="000C62B0"/>
    <w:rPr>
      <w:spacing w:val="10"/>
      <w:sz w:val="24"/>
      <w:shd w:val="clear" w:color="auto" w:fill="FFFFFF"/>
    </w:rPr>
  </w:style>
  <w:style w:type="paragraph" w:customStyle="1" w:styleId="18b">
    <w:name w:val="Другое (18)"/>
    <w:basedOn w:val="a2"/>
    <w:link w:val="18a"/>
    <w:uiPriority w:val="99"/>
    <w:rsid w:val="000C62B0"/>
    <w:pPr>
      <w:shd w:val="clear" w:color="auto" w:fill="FFFFFF"/>
      <w:spacing w:before="720" w:after="420" w:line="240" w:lineRule="atLeast"/>
    </w:pPr>
    <w:rPr>
      <w:spacing w:val="10"/>
      <w:sz w:val="24"/>
    </w:rPr>
  </w:style>
  <w:style w:type="character" w:customStyle="1" w:styleId="19a">
    <w:name w:val="Другое (19)_"/>
    <w:link w:val="19b"/>
    <w:uiPriority w:val="99"/>
    <w:locked/>
    <w:rsid w:val="000C62B0"/>
    <w:rPr>
      <w:spacing w:val="10"/>
      <w:sz w:val="23"/>
      <w:shd w:val="clear" w:color="auto" w:fill="FFFFFF"/>
    </w:rPr>
  </w:style>
  <w:style w:type="paragraph" w:customStyle="1" w:styleId="19b">
    <w:name w:val="Другое (19)"/>
    <w:basedOn w:val="a2"/>
    <w:link w:val="19a"/>
    <w:uiPriority w:val="99"/>
    <w:rsid w:val="000C62B0"/>
    <w:pPr>
      <w:shd w:val="clear" w:color="auto" w:fill="FFFFFF"/>
      <w:spacing w:before="420" w:after="200" w:line="240" w:lineRule="atLeast"/>
    </w:pPr>
    <w:rPr>
      <w:spacing w:val="10"/>
      <w:sz w:val="23"/>
    </w:rPr>
  </w:style>
  <w:style w:type="character" w:customStyle="1" w:styleId="7c">
    <w:name w:val="Другое7"/>
    <w:uiPriority w:val="99"/>
    <w:rsid w:val="000C62B0"/>
  </w:style>
  <w:style w:type="character" w:customStyle="1" w:styleId="20a">
    <w:name w:val="Другое (20)_"/>
    <w:link w:val="20b"/>
    <w:uiPriority w:val="99"/>
    <w:locked/>
    <w:rsid w:val="000C62B0"/>
    <w:rPr>
      <w:spacing w:val="10"/>
      <w:shd w:val="clear" w:color="auto" w:fill="FFFFFF"/>
    </w:rPr>
  </w:style>
  <w:style w:type="paragraph" w:customStyle="1" w:styleId="20b">
    <w:name w:val="Другое (20)"/>
    <w:basedOn w:val="a2"/>
    <w:link w:val="20a"/>
    <w:uiPriority w:val="99"/>
    <w:rsid w:val="000C62B0"/>
    <w:pPr>
      <w:shd w:val="clear" w:color="auto" w:fill="FFFFFF"/>
      <w:spacing w:after="200" w:line="970" w:lineRule="exact"/>
    </w:pPr>
    <w:rPr>
      <w:spacing w:val="10"/>
    </w:rPr>
  </w:style>
  <w:style w:type="character" w:customStyle="1" w:styleId="21d">
    <w:name w:val="Другое (21)_"/>
    <w:link w:val="21e"/>
    <w:uiPriority w:val="99"/>
    <w:locked/>
    <w:rsid w:val="000C62B0"/>
    <w:rPr>
      <w:spacing w:val="10"/>
      <w:sz w:val="19"/>
      <w:shd w:val="clear" w:color="auto" w:fill="FFFFFF"/>
    </w:rPr>
  </w:style>
  <w:style w:type="paragraph" w:customStyle="1" w:styleId="21e">
    <w:name w:val="Другое (21)"/>
    <w:basedOn w:val="a2"/>
    <w:link w:val="21d"/>
    <w:uiPriority w:val="99"/>
    <w:rsid w:val="000C62B0"/>
    <w:pPr>
      <w:shd w:val="clear" w:color="auto" w:fill="FFFFFF"/>
      <w:spacing w:after="200" w:line="970" w:lineRule="exact"/>
    </w:pPr>
    <w:rPr>
      <w:spacing w:val="10"/>
      <w:sz w:val="19"/>
    </w:rPr>
  </w:style>
  <w:style w:type="character" w:customStyle="1" w:styleId="6d">
    <w:name w:val="Другое6"/>
    <w:uiPriority w:val="99"/>
    <w:rsid w:val="000C62B0"/>
    <w:rPr>
      <w:rFonts w:ascii="Times New Roman" w:hAnsi="Times New Roman"/>
      <w:sz w:val="26"/>
      <w:shd w:val="clear" w:color="auto" w:fill="FFFFFF"/>
      <w:lang w:val="en-US" w:eastAsia="en-US"/>
    </w:rPr>
  </w:style>
  <w:style w:type="character" w:customStyle="1" w:styleId="5f0">
    <w:name w:val="Другое5"/>
    <w:uiPriority w:val="99"/>
    <w:rsid w:val="000C62B0"/>
    <w:rPr>
      <w:rFonts w:ascii="Times New Roman" w:hAnsi="Times New Roman"/>
      <w:sz w:val="26"/>
      <w:shd w:val="clear" w:color="auto" w:fill="FFFFFF"/>
      <w:lang w:val="de-DE" w:eastAsia="de-DE"/>
    </w:rPr>
  </w:style>
  <w:style w:type="character" w:customStyle="1" w:styleId="22b">
    <w:name w:val="Другое (22)_"/>
    <w:link w:val="22c"/>
    <w:uiPriority w:val="99"/>
    <w:locked/>
    <w:rsid w:val="000C62B0"/>
    <w:rPr>
      <w:spacing w:val="20"/>
      <w:sz w:val="19"/>
      <w:shd w:val="clear" w:color="auto" w:fill="FFFFFF"/>
      <w:lang w:val="de-DE" w:eastAsia="de-DE"/>
    </w:rPr>
  </w:style>
  <w:style w:type="paragraph" w:customStyle="1" w:styleId="22c">
    <w:name w:val="Другое (22)"/>
    <w:basedOn w:val="a2"/>
    <w:link w:val="22b"/>
    <w:uiPriority w:val="99"/>
    <w:rsid w:val="000C62B0"/>
    <w:pPr>
      <w:shd w:val="clear" w:color="auto" w:fill="FFFFFF"/>
      <w:spacing w:after="200" w:line="970" w:lineRule="exact"/>
    </w:pPr>
    <w:rPr>
      <w:spacing w:val="20"/>
      <w:sz w:val="19"/>
      <w:lang w:val="de-DE" w:eastAsia="de-DE"/>
    </w:rPr>
  </w:style>
  <w:style w:type="character" w:customStyle="1" w:styleId="23b">
    <w:name w:val="Другое (23)_"/>
    <w:link w:val="23c"/>
    <w:uiPriority w:val="99"/>
    <w:locked/>
    <w:rsid w:val="000C62B0"/>
    <w:rPr>
      <w:spacing w:val="10"/>
      <w:shd w:val="clear" w:color="auto" w:fill="FFFFFF"/>
      <w:lang w:val="de-DE" w:eastAsia="de-DE"/>
    </w:rPr>
  </w:style>
  <w:style w:type="paragraph" w:customStyle="1" w:styleId="23c">
    <w:name w:val="Другое (23)"/>
    <w:basedOn w:val="a2"/>
    <w:link w:val="23b"/>
    <w:uiPriority w:val="99"/>
    <w:rsid w:val="000C62B0"/>
    <w:pPr>
      <w:shd w:val="clear" w:color="auto" w:fill="FFFFFF"/>
      <w:spacing w:after="420" w:line="240" w:lineRule="atLeast"/>
    </w:pPr>
    <w:rPr>
      <w:spacing w:val="10"/>
      <w:lang w:val="de-DE" w:eastAsia="de-DE"/>
    </w:rPr>
  </w:style>
  <w:style w:type="character" w:customStyle="1" w:styleId="24a">
    <w:name w:val="Другое (24)_"/>
    <w:link w:val="24b"/>
    <w:uiPriority w:val="99"/>
    <w:locked/>
    <w:rsid w:val="000C62B0"/>
    <w:rPr>
      <w:spacing w:val="10"/>
      <w:sz w:val="24"/>
      <w:shd w:val="clear" w:color="auto" w:fill="FFFFFF"/>
      <w:lang w:val="de-DE" w:eastAsia="de-DE"/>
    </w:rPr>
  </w:style>
  <w:style w:type="paragraph" w:customStyle="1" w:styleId="24b">
    <w:name w:val="Другое (24)"/>
    <w:basedOn w:val="a2"/>
    <w:link w:val="24a"/>
    <w:uiPriority w:val="99"/>
    <w:rsid w:val="000C62B0"/>
    <w:pPr>
      <w:shd w:val="clear" w:color="auto" w:fill="FFFFFF"/>
      <w:spacing w:before="420" w:after="720" w:line="240" w:lineRule="atLeast"/>
    </w:pPr>
    <w:rPr>
      <w:spacing w:val="10"/>
      <w:sz w:val="24"/>
      <w:lang w:val="de-DE" w:eastAsia="de-DE"/>
    </w:rPr>
  </w:style>
  <w:style w:type="character" w:customStyle="1" w:styleId="25a">
    <w:name w:val="Другое (25)_"/>
    <w:link w:val="25b"/>
    <w:uiPriority w:val="99"/>
    <w:locked/>
    <w:rsid w:val="000C62B0"/>
    <w:rPr>
      <w:sz w:val="26"/>
      <w:shd w:val="clear" w:color="auto" w:fill="FFFFFF"/>
      <w:lang w:val="de-DE" w:eastAsia="de-DE"/>
    </w:rPr>
  </w:style>
  <w:style w:type="paragraph" w:customStyle="1" w:styleId="25b">
    <w:name w:val="Другое (25)"/>
    <w:basedOn w:val="a2"/>
    <w:link w:val="25a"/>
    <w:uiPriority w:val="99"/>
    <w:rsid w:val="000C62B0"/>
    <w:pPr>
      <w:shd w:val="clear" w:color="auto" w:fill="FFFFFF"/>
      <w:spacing w:before="420" w:after="200" w:line="970" w:lineRule="exact"/>
    </w:pPr>
    <w:rPr>
      <w:sz w:val="26"/>
      <w:lang w:val="de-DE" w:eastAsia="de-DE"/>
    </w:rPr>
  </w:style>
  <w:style w:type="character" w:customStyle="1" w:styleId="4f0">
    <w:name w:val="Другое4"/>
    <w:uiPriority w:val="99"/>
    <w:rsid w:val="000C62B0"/>
    <w:rPr>
      <w:rFonts w:ascii="Times New Roman" w:hAnsi="Times New Roman"/>
      <w:sz w:val="26"/>
      <w:shd w:val="clear" w:color="auto" w:fill="FFFFFF"/>
      <w:lang w:val="en-US" w:eastAsia="en-US"/>
    </w:rPr>
  </w:style>
  <w:style w:type="character" w:customStyle="1" w:styleId="26a">
    <w:name w:val="Другое (26)_"/>
    <w:link w:val="26b"/>
    <w:uiPriority w:val="99"/>
    <w:locked/>
    <w:rsid w:val="000C62B0"/>
    <w:rPr>
      <w:sz w:val="26"/>
      <w:shd w:val="clear" w:color="auto" w:fill="FFFFFF"/>
      <w:lang w:val="en-US" w:eastAsia="en-US"/>
    </w:rPr>
  </w:style>
  <w:style w:type="paragraph" w:customStyle="1" w:styleId="26b">
    <w:name w:val="Другое (26)"/>
    <w:basedOn w:val="a2"/>
    <w:link w:val="26a"/>
    <w:uiPriority w:val="99"/>
    <w:rsid w:val="000C62B0"/>
    <w:pPr>
      <w:shd w:val="clear" w:color="auto" w:fill="FFFFFF"/>
      <w:spacing w:before="1020" w:after="200" w:line="638" w:lineRule="exact"/>
    </w:pPr>
    <w:rPr>
      <w:sz w:val="26"/>
      <w:lang w:val="en-US" w:eastAsia="en-US"/>
    </w:rPr>
  </w:style>
  <w:style w:type="character" w:customStyle="1" w:styleId="27a">
    <w:name w:val="Другое (27)_"/>
    <w:link w:val="27b"/>
    <w:uiPriority w:val="99"/>
    <w:locked/>
    <w:rsid w:val="000C62B0"/>
    <w:rPr>
      <w:rFonts w:ascii="Arial Narrow" w:hAnsi="Arial Narrow"/>
      <w:spacing w:val="20"/>
      <w:shd w:val="clear" w:color="auto" w:fill="FFFFFF"/>
      <w:lang w:val="en-US" w:eastAsia="en-US"/>
    </w:rPr>
  </w:style>
  <w:style w:type="paragraph" w:customStyle="1" w:styleId="27b">
    <w:name w:val="Другое (27)"/>
    <w:basedOn w:val="a2"/>
    <w:link w:val="27a"/>
    <w:uiPriority w:val="99"/>
    <w:rsid w:val="000C62B0"/>
    <w:pPr>
      <w:shd w:val="clear" w:color="auto" w:fill="FFFFFF"/>
      <w:spacing w:after="200" w:line="638" w:lineRule="exact"/>
    </w:pPr>
    <w:rPr>
      <w:rFonts w:ascii="Arial Narrow" w:hAnsi="Arial Narrow"/>
      <w:spacing w:val="20"/>
      <w:lang w:val="en-US" w:eastAsia="en-US"/>
    </w:rPr>
  </w:style>
  <w:style w:type="character" w:customStyle="1" w:styleId="28a">
    <w:name w:val="Другое (28)_"/>
    <w:link w:val="28b"/>
    <w:uiPriority w:val="99"/>
    <w:locked/>
    <w:rsid w:val="000C62B0"/>
    <w:rPr>
      <w:sz w:val="25"/>
      <w:shd w:val="clear" w:color="auto" w:fill="FFFFFF"/>
      <w:lang w:val="en-US" w:eastAsia="en-US"/>
    </w:rPr>
  </w:style>
  <w:style w:type="paragraph" w:customStyle="1" w:styleId="28b">
    <w:name w:val="Другое (28)"/>
    <w:basedOn w:val="a2"/>
    <w:link w:val="28a"/>
    <w:uiPriority w:val="99"/>
    <w:rsid w:val="000C62B0"/>
    <w:pPr>
      <w:shd w:val="clear" w:color="auto" w:fill="FFFFFF"/>
      <w:spacing w:after="200" w:line="638" w:lineRule="exact"/>
    </w:pPr>
    <w:rPr>
      <w:sz w:val="25"/>
      <w:lang w:val="en-US" w:eastAsia="en-US"/>
    </w:rPr>
  </w:style>
  <w:style w:type="character" w:customStyle="1" w:styleId="29a">
    <w:name w:val="Другое (29)_"/>
    <w:link w:val="29b"/>
    <w:uiPriority w:val="99"/>
    <w:locked/>
    <w:rsid w:val="000C62B0"/>
    <w:rPr>
      <w:sz w:val="24"/>
      <w:shd w:val="clear" w:color="auto" w:fill="FFFFFF"/>
      <w:lang w:val="en-US" w:eastAsia="en-US"/>
    </w:rPr>
  </w:style>
  <w:style w:type="paragraph" w:customStyle="1" w:styleId="29b">
    <w:name w:val="Другое (29)"/>
    <w:basedOn w:val="a2"/>
    <w:link w:val="29a"/>
    <w:uiPriority w:val="99"/>
    <w:rsid w:val="000C62B0"/>
    <w:pPr>
      <w:shd w:val="clear" w:color="auto" w:fill="FFFFFF"/>
      <w:spacing w:before="1020" w:after="420" w:line="240" w:lineRule="atLeast"/>
    </w:pPr>
    <w:rPr>
      <w:sz w:val="24"/>
      <w:lang w:val="en-US" w:eastAsia="en-US"/>
    </w:rPr>
  </w:style>
  <w:style w:type="character" w:customStyle="1" w:styleId="30a">
    <w:name w:val="Другое (30)_"/>
    <w:link w:val="30b"/>
    <w:uiPriority w:val="99"/>
    <w:locked/>
    <w:rsid w:val="000C62B0"/>
    <w:rPr>
      <w:sz w:val="25"/>
      <w:shd w:val="clear" w:color="auto" w:fill="FFFFFF"/>
      <w:lang w:val="en-US" w:eastAsia="en-US"/>
    </w:rPr>
  </w:style>
  <w:style w:type="paragraph" w:customStyle="1" w:styleId="30b">
    <w:name w:val="Другое (30)"/>
    <w:basedOn w:val="a2"/>
    <w:link w:val="30a"/>
    <w:uiPriority w:val="99"/>
    <w:rsid w:val="000C62B0"/>
    <w:pPr>
      <w:shd w:val="clear" w:color="auto" w:fill="FFFFFF"/>
      <w:spacing w:before="720" w:after="200" w:line="240" w:lineRule="atLeast"/>
    </w:pPr>
    <w:rPr>
      <w:sz w:val="25"/>
      <w:lang w:val="en-US" w:eastAsia="en-US"/>
    </w:rPr>
  </w:style>
  <w:style w:type="character" w:customStyle="1" w:styleId="3fc">
    <w:name w:val="Другое3"/>
    <w:uiPriority w:val="99"/>
    <w:rsid w:val="000C62B0"/>
    <w:rPr>
      <w:rFonts w:ascii="Times New Roman" w:hAnsi="Times New Roman"/>
      <w:sz w:val="26"/>
      <w:shd w:val="clear" w:color="auto" w:fill="FFFFFF"/>
      <w:lang w:val="en-US" w:eastAsia="en-US"/>
    </w:rPr>
  </w:style>
  <w:style w:type="character" w:customStyle="1" w:styleId="31b">
    <w:name w:val="Другое (31)_"/>
    <w:link w:val="31c"/>
    <w:uiPriority w:val="99"/>
    <w:locked/>
    <w:rsid w:val="000C62B0"/>
    <w:rPr>
      <w:sz w:val="24"/>
      <w:shd w:val="clear" w:color="auto" w:fill="FFFFFF"/>
      <w:lang w:val="en-US" w:eastAsia="en-US"/>
    </w:rPr>
  </w:style>
  <w:style w:type="paragraph" w:customStyle="1" w:styleId="31c">
    <w:name w:val="Другое (31)"/>
    <w:basedOn w:val="a2"/>
    <w:link w:val="31b"/>
    <w:uiPriority w:val="99"/>
    <w:rsid w:val="000C62B0"/>
    <w:pPr>
      <w:shd w:val="clear" w:color="auto" w:fill="FFFFFF"/>
      <w:spacing w:before="720" w:after="200" w:line="648" w:lineRule="exact"/>
    </w:pPr>
    <w:rPr>
      <w:sz w:val="24"/>
      <w:lang w:val="en-US" w:eastAsia="en-US"/>
    </w:rPr>
  </w:style>
  <w:style w:type="character" w:customStyle="1" w:styleId="32b">
    <w:name w:val="Другое (32)_"/>
    <w:link w:val="32c"/>
    <w:uiPriority w:val="99"/>
    <w:locked/>
    <w:rsid w:val="000C62B0"/>
    <w:rPr>
      <w:spacing w:val="20"/>
      <w:sz w:val="21"/>
      <w:shd w:val="clear" w:color="auto" w:fill="FFFFFF"/>
      <w:lang w:val="en-US" w:eastAsia="en-US"/>
    </w:rPr>
  </w:style>
  <w:style w:type="paragraph" w:customStyle="1" w:styleId="32c">
    <w:name w:val="Другое (32)"/>
    <w:basedOn w:val="a2"/>
    <w:link w:val="32b"/>
    <w:uiPriority w:val="99"/>
    <w:rsid w:val="000C62B0"/>
    <w:pPr>
      <w:shd w:val="clear" w:color="auto" w:fill="FFFFFF"/>
      <w:spacing w:after="300" w:line="648" w:lineRule="exact"/>
    </w:pPr>
    <w:rPr>
      <w:spacing w:val="20"/>
      <w:sz w:val="21"/>
      <w:lang w:val="en-US" w:eastAsia="en-US"/>
    </w:rPr>
  </w:style>
  <w:style w:type="character" w:customStyle="1" w:styleId="33b">
    <w:name w:val="Другое (33)_"/>
    <w:link w:val="33c"/>
    <w:uiPriority w:val="99"/>
    <w:locked/>
    <w:rsid w:val="000C62B0"/>
    <w:rPr>
      <w:spacing w:val="20"/>
      <w:sz w:val="21"/>
      <w:shd w:val="clear" w:color="auto" w:fill="FFFFFF"/>
      <w:lang w:val="en-US" w:eastAsia="en-US"/>
    </w:rPr>
  </w:style>
  <w:style w:type="paragraph" w:customStyle="1" w:styleId="33c">
    <w:name w:val="Другое (33)"/>
    <w:basedOn w:val="a2"/>
    <w:link w:val="33b"/>
    <w:uiPriority w:val="99"/>
    <w:rsid w:val="000C62B0"/>
    <w:pPr>
      <w:shd w:val="clear" w:color="auto" w:fill="FFFFFF"/>
      <w:spacing w:before="300" w:after="200" w:line="638" w:lineRule="exact"/>
    </w:pPr>
    <w:rPr>
      <w:spacing w:val="20"/>
      <w:sz w:val="21"/>
      <w:lang w:val="en-US" w:eastAsia="en-US"/>
    </w:rPr>
  </w:style>
  <w:style w:type="character" w:customStyle="1" w:styleId="34a">
    <w:name w:val="Другое (34)_"/>
    <w:link w:val="34b"/>
    <w:uiPriority w:val="99"/>
    <w:locked/>
    <w:rsid w:val="000C62B0"/>
    <w:rPr>
      <w:spacing w:val="20"/>
      <w:sz w:val="24"/>
      <w:shd w:val="clear" w:color="auto" w:fill="FFFFFF"/>
      <w:lang w:val="en-US" w:eastAsia="en-US"/>
    </w:rPr>
  </w:style>
  <w:style w:type="paragraph" w:customStyle="1" w:styleId="34b">
    <w:name w:val="Другое (34)"/>
    <w:basedOn w:val="a2"/>
    <w:link w:val="34a"/>
    <w:uiPriority w:val="99"/>
    <w:rsid w:val="000C62B0"/>
    <w:pPr>
      <w:shd w:val="clear" w:color="auto" w:fill="FFFFFF"/>
      <w:spacing w:after="200" w:line="638" w:lineRule="exact"/>
    </w:pPr>
    <w:rPr>
      <w:spacing w:val="20"/>
      <w:sz w:val="24"/>
      <w:lang w:val="en-US" w:eastAsia="en-US"/>
    </w:rPr>
  </w:style>
  <w:style w:type="character" w:customStyle="1" w:styleId="35a">
    <w:name w:val="Другое (35)_"/>
    <w:link w:val="35b"/>
    <w:uiPriority w:val="99"/>
    <w:locked/>
    <w:rsid w:val="000C62B0"/>
    <w:rPr>
      <w:rFonts w:ascii="Arial Narrow" w:hAnsi="Arial Narrow"/>
      <w:spacing w:val="20"/>
      <w:sz w:val="25"/>
      <w:shd w:val="clear" w:color="auto" w:fill="FFFFFF"/>
      <w:lang w:val="en-US" w:eastAsia="en-US"/>
    </w:rPr>
  </w:style>
  <w:style w:type="paragraph" w:customStyle="1" w:styleId="35b">
    <w:name w:val="Другое (35)"/>
    <w:basedOn w:val="a2"/>
    <w:link w:val="35a"/>
    <w:uiPriority w:val="99"/>
    <w:rsid w:val="000C62B0"/>
    <w:pPr>
      <w:shd w:val="clear" w:color="auto" w:fill="FFFFFF"/>
      <w:spacing w:after="200" w:line="638" w:lineRule="exact"/>
    </w:pPr>
    <w:rPr>
      <w:rFonts w:ascii="Arial Narrow" w:hAnsi="Arial Narrow"/>
      <w:spacing w:val="20"/>
      <w:sz w:val="25"/>
      <w:lang w:val="en-US" w:eastAsia="en-US"/>
    </w:rPr>
  </w:style>
  <w:style w:type="character" w:customStyle="1" w:styleId="36a">
    <w:name w:val="Другое (36)_"/>
    <w:link w:val="36b"/>
    <w:uiPriority w:val="99"/>
    <w:locked/>
    <w:rsid w:val="000C62B0"/>
    <w:rPr>
      <w:spacing w:val="20"/>
      <w:sz w:val="24"/>
      <w:shd w:val="clear" w:color="auto" w:fill="FFFFFF"/>
      <w:lang w:val="en-US" w:eastAsia="en-US"/>
    </w:rPr>
  </w:style>
  <w:style w:type="paragraph" w:customStyle="1" w:styleId="36b">
    <w:name w:val="Другое (36)"/>
    <w:basedOn w:val="a2"/>
    <w:link w:val="36a"/>
    <w:uiPriority w:val="99"/>
    <w:rsid w:val="000C62B0"/>
    <w:pPr>
      <w:shd w:val="clear" w:color="auto" w:fill="FFFFFF"/>
      <w:spacing w:after="300" w:line="638" w:lineRule="exact"/>
    </w:pPr>
    <w:rPr>
      <w:spacing w:val="20"/>
      <w:sz w:val="24"/>
      <w:lang w:val="en-US" w:eastAsia="en-US"/>
    </w:rPr>
  </w:style>
  <w:style w:type="character" w:customStyle="1" w:styleId="37a">
    <w:name w:val="Другое (37)_"/>
    <w:link w:val="37b"/>
    <w:uiPriority w:val="99"/>
    <w:locked/>
    <w:rsid w:val="000C62B0"/>
    <w:rPr>
      <w:sz w:val="27"/>
      <w:shd w:val="clear" w:color="auto" w:fill="FFFFFF"/>
      <w:lang w:val="en-US" w:eastAsia="en-US"/>
    </w:rPr>
  </w:style>
  <w:style w:type="paragraph" w:customStyle="1" w:styleId="37b">
    <w:name w:val="Другое (37)"/>
    <w:basedOn w:val="a2"/>
    <w:link w:val="37a"/>
    <w:uiPriority w:val="99"/>
    <w:rsid w:val="000C62B0"/>
    <w:pPr>
      <w:shd w:val="clear" w:color="auto" w:fill="FFFFFF"/>
      <w:spacing w:before="720" w:after="420" w:line="240" w:lineRule="atLeast"/>
    </w:pPr>
    <w:rPr>
      <w:sz w:val="27"/>
      <w:lang w:val="en-US" w:eastAsia="en-US"/>
    </w:rPr>
  </w:style>
  <w:style w:type="character" w:customStyle="1" w:styleId="38a">
    <w:name w:val="Другое (38)_"/>
    <w:link w:val="38b"/>
    <w:uiPriority w:val="99"/>
    <w:locked/>
    <w:rsid w:val="000C62B0"/>
    <w:rPr>
      <w:sz w:val="26"/>
      <w:shd w:val="clear" w:color="auto" w:fill="FFFFFF"/>
      <w:lang w:val="en-US" w:eastAsia="en-US"/>
    </w:rPr>
  </w:style>
  <w:style w:type="paragraph" w:customStyle="1" w:styleId="38b">
    <w:name w:val="Другое (38)"/>
    <w:basedOn w:val="a2"/>
    <w:link w:val="38a"/>
    <w:uiPriority w:val="99"/>
    <w:rsid w:val="000C62B0"/>
    <w:pPr>
      <w:shd w:val="clear" w:color="auto" w:fill="FFFFFF"/>
      <w:spacing w:before="420" w:after="200" w:line="970" w:lineRule="exact"/>
    </w:pPr>
    <w:rPr>
      <w:sz w:val="26"/>
      <w:lang w:val="en-US" w:eastAsia="en-US"/>
    </w:rPr>
  </w:style>
  <w:style w:type="character" w:customStyle="1" w:styleId="39a">
    <w:name w:val="Другое (39)_"/>
    <w:link w:val="39b"/>
    <w:uiPriority w:val="99"/>
    <w:locked/>
    <w:rsid w:val="000C62B0"/>
    <w:rPr>
      <w:sz w:val="27"/>
      <w:shd w:val="clear" w:color="auto" w:fill="FFFFFF"/>
      <w:lang w:val="en-US" w:eastAsia="en-US"/>
    </w:rPr>
  </w:style>
  <w:style w:type="paragraph" w:customStyle="1" w:styleId="39b">
    <w:name w:val="Другое (39)"/>
    <w:basedOn w:val="a2"/>
    <w:link w:val="39a"/>
    <w:uiPriority w:val="99"/>
    <w:rsid w:val="000C62B0"/>
    <w:pPr>
      <w:shd w:val="clear" w:color="auto" w:fill="FFFFFF"/>
      <w:spacing w:after="200" w:line="970" w:lineRule="exact"/>
    </w:pPr>
    <w:rPr>
      <w:sz w:val="27"/>
      <w:lang w:val="en-US" w:eastAsia="en-US"/>
    </w:rPr>
  </w:style>
  <w:style w:type="character" w:customStyle="1" w:styleId="40a">
    <w:name w:val="Другое (40)_"/>
    <w:link w:val="40b"/>
    <w:uiPriority w:val="99"/>
    <w:locked/>
    <w:rsid w:val="000C62B0"/>
    <w:rPr>
      <w:sz w:val="27"/>
      <w:shd w:val="clear" w:color="auto" w:fill="FFFFFF"/>
      <w:lang w:val="en-US" w:eastAsia="en-US"/>
    </w:rPr>
  </w:style>
  <w:style w:type="paragraph" w:customStyle="1" w:styleId="40b">
    <w:name w:val="Другое (40)"/>
    <w:basedOn w:val="a2"/>
    <w:link w:val="40a"/>
    <w:uiPriority w:val="99"/>
    <w:rsid w:val="000C62B0"/>
    <w:pPr>
      <w:shd w:val="clear" w:color="auto" w:fill="FFFFFF"/>
      <w:spacing w:after="200" w:line="643" w:lineRule="exact"/>
    </w:pPr>
    <w:rPr>
      <w:sz w:val="27"/>
      <w:lang w:val="en-US" w:eastAsia="en-US"/>
    </w:rPr>
  </w:style>
  <w:style w:type="character" w:customStyle="1" w:styleId="2fff2">
    <w:name w:val="Другое2"/>
    <w:uiPriority w:val="99"/>
    <w:rsid w:val="000C62B0"/>
    <w:rPr>
      <w:rFonts w:ascii="Times New Roman" w:hAnsi="Times New Roman"/>
      <w:sz w:val="26"/>
      <w:shd w:val="clear" w:color="auto" w:fill="FFFFFF"/>
      <w:lang w:val="en-US" w:eastAsia="en-US"/>
    </w:rPr>
  </w:style>
  <w:style w:type="character" w:customStyle="1" w:styleId="41a">
    <w:name w:val="Другое (41)_"/>
    <w:link w:val="41b"/>
    <w:uiPriority w:val="99"/>
    <w:locked/>
    <w:rsid w:val="000C62B0"/>
    <w:rPr>
      <w:sz w:val="25"/>
      <w:shd w:val="clear" w:color="auto" w:fill="FFFFFF"/>
      <w:lang w:val="en-US" w:eastAsia="en-US"/>
    </w:rPr>
  </w:style>
  <w:style w:type="paragraph" w:customStyle="1" w:styleId="41b">
    <w:name w:val="Другое (41)"/>
    <w:basedOn w:val="a2"/>
    <w:link w:val="41a"/>
    <w:uiPriority w:val="99"/>
    <w:rsid w:val="000C62B0"/>
    <w:pPr>
      <w:shd w:val="clear" w:color="auto" w:fill="FFFFFF"/>
      <w:spacing w:before="420" w:after="720" w:line="240" w:lineRule="atLeast"/>
    </w:pPr>
    <w:rPr>
      <w:sz w:val="25"/>
      <w:lang w:val="en-US" w:eastAsia="en-US"/>
    </w:rPr>
  </w:style>
  <w:style w:type="character" w:customStyle="1" w:styleId="fontstyle01">
    <w:name w:val="fontstyle01"/>
    <w:uiPriority w:val="99"/>
    <w:rsid w:val="000C62B0"/>
    <w:rPr>
      <w:rFonts w:ascii="TimesNewRoman" w:hAnsi="TimesNewRoman"/>
      <w:color w:val="000000"/>
      <w:sz w:val="28"/>
    </w:rPr>
  </w:style>
  <w:style w:type="character" w:customStyle="1" w:styleId="fontstyle210">
    <w:name w:val="fontstyle21"/>
    <w:uiPriority w:val="99"/>
    <w:rsid w:val="000C62B0"/>
    <w:rPr>
      <w:rFonts w:ascii="TimesNewRoman" w:hAnsi="TimesNewRoman"/>
      <w:color w:val="000000"/>
      <w:sz w:val="28"/>
    </w:rPr>
  </w:style>
  <w:style w:type="character" w:customStyle="1" w:styleId="fontstyle11a">
    <w:name w:val="fontstyle11"/>
    <w:uiPriority w:val="99"/>
    <w:rsid w:val="000C62B0"/>
    <w:rPr>
      <w:rFonts w:ascii="TimesNewRoman" w:hAnsi="TimesNewRoman"/>
      <w:color w:val="000000"/>
      <w:sz w:val="28"/>
    </w:rPr>
  </w:style>
  <w:style w:type="table" w:customStyle="1" w:styleId="426">
    <w:name w:val="Сетка таблицы426"/>
    <w:uiPriority w:val="99"/>
    <w:rsid w:val="000C62B0"/>
    <w:pPr>
      <w:spacing w:after="200" w:line="276"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7">
    <w:name w:val="Сетка таблицы427"/>
    <w:uiPriority w:val="99"/>
    <w:rsid w:val="009B6B28"/>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8">
    <w:name w:val="Сетка таблицы428"/>
    <w:uiPriority w:val="99"/>
    <w:rsid w:val="009B6B28"/>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uiPriority w:val="99"/>
    <w:rsid w:val="004D37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9">
    <w:name w:val="Сетка таблицы429"/>
    <w:uiPriority w:val="99"/>
    <w:rsid w:val="004D375D"/>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0">
    <w:name w:val="Сетка таблицы430"/>
    <w:uiPriority w:val="99"/>
    <w:rsid w:val="004D375D"/>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uiPriority w:val="99"/>
    <w:rsid w:val="004D375D"/>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uiPriority w:val="99"/>
    <w:rsid w:val="004D375D"/>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uiPriority w:val="99"/>
    <w:rsid w:val="00601A94"/>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uiPriority w:val="99"/>
    <w:rsid w:val="00601A94"/>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
    <w:name w:val="Сетка таблицы436"/>
    <w:uiPriority w:val="99"/>
    <w:rsid w:val="00601A94"/>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f">
    <w:name w:val="Подпись к картинке + 9"/>
    <w:aliases w:val="5 pt198,Полужирный80"/>
    <w:uiPriority w:val="99"/>
    <w:rsid w:val="00601A94"/>
    <w:rPr>
      <w:rFonts w:ascii="Times New Roman" w:hAnsi="Times New Roman" w:cs="Times New Roman"/>
      <w:b/>
      <w:bCs/>
      <w:sz w:val="19"/>
      <w:szCs w:val="19"/>
      <w:shd w:val="clear" w:color="auto" w:fill="FFFFFF"/>
    </w:rPr>
  </w:style>
  <w:style w:type="character" w:customStyle="1" w:styleId="25c">
    <w:name w:val="Основной текст (25)_"/>
    <w:link w:val="25d"/>
    <w:uiPriority w:val="99"/>
    <w:locked/>
    <w:rsid w:val="00601A94"/>
    <w:rPr>
      <w:rFonts w:cs="Times New Roman"/>
      <w:sz w:val="13"/>
      <w:szCs w:val="13"/>
      <w:shd w:val="clear" w:color="auto" w:fill="FFFFFF"/>
    </w:rPr>
  </w:style>
  <w:style w:type="paragraph" w:customStyle="1" w:styleId="21f">
    <w:name w:val="Основной текст (2)1"/>
    <w:basedOn w:val="a2"/>
    <w:uiPriority w:val="99"/>
    <w:rsid w:val="00601A94"/>
    <w:pPr>
      <w:shd w:val="clear" w:color="auto" w:fill="FFFFFF"/>
      <w:spacing w:after="420" w:line="240" w:lineRule="atLeast"/>
    </w:pPr>
    <w:rPr>
      <w:b/>
      <w:bCs/>
      <w:sz w:val="24"/>
      <w:szCs w:val="24"/>
    </w:rPr>
  </w:style>
  <w:style w:type="paragraph" w:customStyle="1" w:styleId="1ffff">
    <w:name w:val="Подпись к картинке1"/>
    <w:basedOn w:val="a2"/>
    <w:uiPriority w:val="99"/>
    <w:rsid w:val="00601A94"/>
    <w:pPr>
      <w:shd w:val="clear" w:color="auto" w:fill="FFFFFF"/>
      <w:spacing w:line="240" w:lineRule="atLeast"/>
    </w:pPr>
    <w:rPr>
      <w:sz w:val="25"/>
      <w:szCs w:val="25"/>
    </w:rPr>
  </w:style>
  <w:style w:type="paragraph" w:customStyle="1" w:styleId="25d">
    <w:name w:val="Основной текст (25)"/>
    <w:basedOn w:val="a2"/>
    <w:link w:val="25c"/>
    <w:uiPriority w:val="99"/>
    <w:rsid w:val="00601A94"/>
    <w:pPr>
      <w:shd w:val="clear" w:color="auto" w:fill="FFFFFF"/>
      <w:spacing w:before="120" w:after="900" w:line="240" w:lineRule="atLeast"/>
    </w:pPr>
    <w:rPr>
      <w:sz w:val="13"/>
      <w:szCs w:val="13"/>
    </w:rPr>
  </w:style>
  <w:style w:type="character" w:customStyle="1" w:styleId="28c">
    <w:name w:val="Основной текст (28)_"/>
    <w:link w:val="2811"/>
    <w:uiPriority w:val="99"/>
    <w:locked/>
    <w:rsid w:val="00601A94"/>
    <w:rPr>
      <w:rFonts w:cs="Times New Roman"/>
      <w:b/>
      <w:bCs/>
      <w:sz w:val="16"/>
      <w:szCs w:val="16"/>
      <w:shd w:val="clear" w:color="auto" w:fill="FFFFFF"/>
    </w:rPr>
  </w:style>
  <w:style w:type="character" w:customStyle="1" w:styleId="29c">
    <w:name w:val="Основной текст (29)_"/>
    <w:link w:val="29d"/>
    <w:uiPriority w:val="99"/>
    <w:locked/>
    <w:rsid w:val="00601A94"/>
    <w:rPr>
      <w:rFonts w:cs="Times New Roman"/>
      <w:i/>
      <w:iCs/>
      <w:spacing w:val="-10"/>
      <w:sz w:val="14"/>
      <w:szCs w:val="14"/>
      <w:shd w:val="clear" w:color="auto" w:fill="FFFFFF"/>
    </w:rPr>
  </w:style>
  <w:style w:type="character" w:customStyle="1" w:styleId="2912pt">
    <w:name w:val="Основной текст (29) + 12 pt"/>
    <w:aliases w:val="Полужирный79,Не курсив49,Интервал 0 pt51"/>
    <w:uiPriority w:val="99"/>
    <w:rsid w:val="00601A94"/>
    <w:rPr>
      <w:rFonts w:cs="Times New Roman"/>
      <w:b/>
      <w:bCs/>
      <w:i/>
      <w:iCs/>
      <w:spacing w:val="0"/>
      <w:sz w:val="24"/>
      <w:szCs w:val="24"/>
      <w:shd w:val="clear" w:color="auto" w:fill="FFFFFF"/>
    </w:rPr>
  </w:style>
  <w:style w:type="character" w:customStyle="1" w:styleId="29Arial">
    <w:name w:val="Основной текст (29) + Arial"/>
    <w:aliases w:val="9 pt2,Полужирный78,Интервал 0 pt50"/>
    <w:uiPriority w:val="99"/>
    <w:rsid w:val="00601A94"/>
    <w:rPr>
      <w:rFonts w:ascii="Arial" w:hAnsi="Arial" w:cs="Arial"/>
      <w:b/>
      <w:bCs/>
      <w:i/>
      <w:iCs/>
      <w:spacing w:val="0"/>
      <w:sz w:val="18"/>
      <w:szCs w:val="18"/>
      <w:shd w:val="clear" w:color="auto" w:fill="FFFFFF"/>
    </w:rPr>
  </w:style>
  <w:style w:type="character" w:customStyle="1" w:styleId="2912">
    <w:name w:val="Основной текст (29) + 12"/>
    <w:aliases w:val="5 pt197,Не курсив48,Интервал 0 pt49"/>
    <w:uiPriority w:val="99"/>
    <w:rsid w:val="00601A94"/>
    <w:rPr>
      <w:rFonts w:cs="Times New Roman"/>
      <w:i/>
      <w:iCs/>
      <w:spacing w:val="0"/>
      <w:sz w:val="25"/>
      <w:szCs w:val="25"/>
      <w:shd w:val="clear" w:color="auto" w:fill="FFFFFF"/>
    </w:rPr>
  </w:style>
  <w:style w:type="character" w:customStyle="1" w:styleId="29TrebuchetMS">
    <w:name w:val="Основной текст (29) + Trebuchet MS"/>
    <w:aliases w:val="6 pt,Интервал 0 pt48"/>
    <w:uiPriority w:val="99"/>
    <w:rsid w:val="00601A94"/>
    <w:rPr>
      <w:rFonts w:ascii="Trebuchet MS" w:hAnsi="Trebuchet MS" w:cs="Trebuchet MS"/>
      <w:i/>
      <w:iCs/>
      <w:spacing w:val="0"/>
      <w:sz w:val="12"/>
      <w:szCs w:val="12"/>
      <w:shd w:val="clear" w:color="auto" w:fill="FFFFFF"/>
    </w:rPr>
  </w:style>
  <w:style w:type="character" w:customStyle="1" w:styleId="29Arial1">
    <w:name w:val="Основной текст (29) + Arial1"/>
    <w:aliases w:val="625,5 pt196,Не курсив47,Интервал 0 pt47"/>
    <w:uiPriority w:val="99"/>
    <w:rsid w:val="00601A94"/>
    <w:rPr>
      <w:rFonts w:ascii="Arial" w:hAnsi="Arial" w:cs="Arial"/>
      <w:i/>
      <w:iCs/>
      <w:noProof/>
      <w:spacing w:val="0"/>
      <w:sz w:val="13"/>
      <w:szCs w:val="13"/>
      <w:shd w:val="clear" w:color="auto" w:fill="FFFFFF"/>
    </w:rPr>
  </w:style>
  <w:style w:type="character" w:customStyle="1" w:styleId="30c">
    <w:name w:val="Основной текст (30)_"/>
    <w:link w:val="30d"/>
    <w:uiPriority w:val="99"/>
    <w:locked/>
    <w:rsid w:val="00601A94"/>
    <w:rPr>
      <w:rFonts w:cs="Times New Roman"/>
      <w:sz w:val="67"/>
      <w:szCs w:val="67"/>
      <w:shd w:val="clear" w:color="auto" w:fill="FFFFFF"/>
    </w:rPr>
  </w:style>
  <w:style w:type="character" w:customStyle="1" w:styleId="27c">
    <w:name w:val="Основной текст (27)_"/>
    <w:link w:val="2711"/>
    <w:uiPriority w:val="99"/>
    <w:locked/>
    <w:rsid w:val="00601A94"/>
    <w:rPr>
      <w:rFonts w:cs="Times New Roman"/>
      <w:b/>
      <w:bCs/>
      <w:sz w:val="18"/>
      <w:szCs w:val="18"/>
      <w:shd w:val="clear" w:color="auto" w:fill="FFFFFF"/>
    </w:rPr>
  </w:style>
  <w:style w:type="character" w:customStyle="1" w:styleId="27d">
    <w:name w:val="Основной текст (27)"/>
    <w:uiPriority w:val="99"/>
    <w:rsid w:val="00601A94"/>
    <w:rPr>
      <w:rFonts w:cs="Times New Roman"/>
      <w:b/>
      <w:bCs/>
      <w:sz w:val="18"/>
      <w:szCs w:val="18"/>
      <w:u w:val="single"/>
      <w:shd w:val="clear" w:color="auto" w:fill="FFFFFF"/>
    </w:rPr>
  </w:style>
  <w:style w:type="character" w:customStyle="1" w:styleId="26c">
    <w:name w:val="Основной текст (26)_"/>
    <w:link w:val="2612"/>
    <w:uiPriority w:val="99"/>
    <w:locked/>
    <w:rsid w:val="00601A94"/>
    <w:rPr>
      <w:rFonts w:cs="Times New Roman"/>
      <w:b/>
      <w:bCs/>
      <w:sz w:val="21"/>
      <w:szCs w:val="21"/>
      <w:shd w:val="clear" w:color="auto" w:fill="FFFFFF"/>
    </w:rPr>
  </w:style>
  <w:style w:type="character" w:customStyle="1" w:styleId="28d">
    <w:name w:val="Основной текст (28)"/>
    <w:uiPriority w:val="99"/>
    <w:rsid w:val="00601A94"/>
    <w:rPr>
      <w:rFonts w:cs="Times New Roman"/>
      <w:b/>
      <w:bCs/>
      <w:sz w:val="16"/>
      <w:szCs w:val="16"/>
      <w:shd w:val="clear" w:color="auto" w:fill="FFFFFF"/>
    </w:rPr>
  </w:style>
  <w:style w:type="paragraph" w:customStyle="1" w:styleId="313">
    <w:name w:val="Основной текст (3)1"/>
    <w:basedOn w:val="a2"/>
    <w:link w:val="3f"/>
    <w:uiPriority w:val="99"/>
    <w:rsid w:val="00601A94"/>
    <w:pPr>
      <w:shd w:val="clear" w:color="auto" w:fill="FFFFFF"/>
      <w:spacing w:line="331" w:lineRule="exact"/>
      <w:jc w:val="both"/>
    </w:pPr>
    <w:rPr>
      <w:b/>
    </w:rPr>
  </w:style>
  <w:style w:type="paragraph" w:customStyle="1" w:styleId="51a">
    <w:name w:val="Основной текст (5)1"/>
    <w:basedOn w:val="a2"/>
    <w:uiPriority w:val="99"/>
    <w:rsid w:val="00601A94"/>
    <w:pPr>
      <w:shd w:val="clear" w:color="auto" w:fill="FFFFFF"/>
      <w:spacing w:after="120" w:line="187" w:lineRule="exact"/>
      <w:ind w:hanging="260"/>
      <w:jc w:val="both"/>
    </w:pPr>
    <w:rPr>
      <w:rFonts w:ascii="Arial" w:hAnsi="Arial" w:cs="Arial"/>
      <w:sz w:val="13"/>
      <w:szCs w:val="13"/>
    </w:rPr>
  </w:style>
  <w:style w:type="paragraph" w:customStyle="1" w:styleId="1ffff0">
    <w:name w:val="Подпись к таблице1"/>
    <w:basedOn w:val="a2"/>
    <w:uiPriority w:val="99"/>
    <w:rsid w:val="00601A94"/>
    <w:pPr>
      <w:shd w:val="clear" w:color="auto" w:fill="FFFFFF"/>
      <w:spacing w:line="240" w:lineRule="atLeast"/>
    </w:pPr>
    <w:rPr>
      <w:sz w:val="25"/>
      <w:szCs w:val="25"/>
    </w:rPr>
  </w:style>
  <w:style w:type="paragraph" w:customStyle="1" w:styleId="41c">
    <w:name w:val="Подпись к картинке (4)1"/>
    <w:basedOn w:val="a2"/>
    <w:uiPriority w:val="99"/>
    <w:rsid w:val="00601A94"/>
    <w:pPr>
      <w:shd w:val="clear" w:color="auto" w:fill="FFFFFF"/>
      <w:spacing w:line="240" w:lineRule="atLeast"/>
    </w:pPr>
    <w:rPr>
      <w:rFonts w:ascii="Arial" w:hAnsi="Arial" w:cs="Arial"/>
      <w:b/>
      <w:bCs/>
      <w:sz w:val="13"/>
      <w:szCs w:val="13"/>
    </w:rPr>
  </w:style>
  <w:style w:type="paragraph" w:customStyle="1" w:styleId="2811">
    <w:name w:val="Основной текст (28)1"/>
    <w:basedOn w:val="a2"/>
    <w:link w:val="28c"/>
    <w:uiPriority w:val="99"/>
    <w:rsid w:val="00601A94"/>
    <w:pPr>
      <w:shd w:val="clear" w:color="auto" w:fill="FFFFFF"/>
      <w:spacing w:before="420" w:line="240" w:lineRule="atLeast"/>
    </w:pPr>
    <w:rPr>
      <w:b/>
      <w:bCs/>
      <w:sz w:val="16"/>
      <w:szCs w:val="16"/>
    </w:rPr>
  </w:style>
  <w:style w:type="paragraph" w:customStyle="1" w:styleId="29d">
    <w:name w:val="Основной текст (29)"/>
    <w:basedOn w:val="a2"/>
    <w:link w:val="29c"/>
    <w:uiPriority w:val="99"/>
    <w:rsid w:val="00601A94"/>
    <w:pPr>
      <w:shd w:val="clear" w:color="auto" w:fill="FFFFFF"/>
      <w:spacing w:line="96" w:lineRule="exact"/>
      <w:jc w:val="both"/>
    </w:pPr>
    <w:rPr>
      <w:i/>
      <w:iCs/>
      <w:spacing w:val="-10"/>
      <w:sz w:val="14"/>
      <w:szCs w:val="14"/>
    </w:rPr>
  </w:style>
  <w:style w:type="paragraph" w:customStyle="1" w:styleId="30d">
    <w:name w:val="Основной текст (30)"/>
    <w:basedOn w:val="a2"/>
    <w:link w:val="30c"/>
    <w:uiPriority w:val="99"/>
    <w:rsid w:val="00601A94"/>
    <w:pPr>
      <w:shd w:val="clear" w:color="auto" w:fill="FFFFFF"/>
      <w:spacing w:line="240" w:lineRule="atLeast"/>
    </w:pPr>
    <w:rPr>
      <w:sz w:val="67"/>
      <w:szCs w:val="67"/>
    </w:rPr>
  </w:style>
  <w:style w:type="paragraph" w:customStyle="1" w:styleId="2711">
    <w:name w:val="Основной текст (27)1"/>
    <w:basedOn w:val="a2"/>
    <w:link w:val="27c"/>
    <w:uiPriority w:val="99"/>
    <w:rsid w:val="00601A94"/>
    <w:pPr>
      <w:shd w:val="clear" w:color="auto" w:fill="FFFFFF"/>
      <w:spacing w:after="120" w:line="202" w:lineRule="exact"/>
      <w:ind w:hanging="220"/>
    </w:pPr>
    <w:rPr>
      <w:b/>
      <w:bCs/>
      <w:sz w:val="18"/>
      <w:szCs w:val="18"/>
    </w:rPr>
  </w:style>
  <w:style w:type="paragraph" w:customStyle="1" w:styleId="2612">
    <w:name w:val="Основной текст (26)1"/>
    <w:basedOn w:val="a2"/>
    <w:link w:val="26c"/>
    <w:uiPriority w:val="99"/>
    <w:rsid w:val="00601A94"/>
    <w:pPr>
      <w:shd w:val="clear" w:color="auto" w:fill="FFFFFF"/>
      <w:spacing w:line="240" w:lineRule="atLeast"/>
    </w:pPr>
    <w:rPr>
      <w:b/>
      <w:bCs/>
      <w:sz w:val="21"/>
      <w:szCs w:val="21"/>
    </w:rPr>
  </w:style>
  <w:style w:type="character" w:customStyle="1" w:styleId="4f1">
    <w:name w:val="Заголовок №4_"/>
    <w:link w:val="41d"/>
    <w:uiPriority w:val="99"/>
    <w:locked/>
    <w:rsid w:val="00601A94"/>
    <w:rPr>
      <w:rFonts w:cs="Times New Roman"/>
      <w:b/>
      <w:bCs/>
      <w:sz w:val="24"/>
      <w:szCs w:val="24"/>
      <w:shd w:val="clear" w:color="auto" w:fill="FFFFFF"/>
    </w:rPr>
  </w:style>
  <w:style w:type="character" w:customStyle="1" w:styleId="437">
    <w:name w:val="Заголовок №43"/>
    <w:uiPriority w:val="99"/>
    <w:rsid w:val="00601A94"/>
    <w:rPr>
      <w:rFonts w:cs="Times New Roman"/>
      <w:b/>
      <w:bCs/>
      <w:sz w:val="24"/>
      <w:szCs w:val="24"/>
      <w:shd w:val="clear" w:color="auto" w:fill="FFFFFF"/>
    </w:rPr>
  </w:style>
  <w:style w:type="character" w:customStyle="1" w:styleId="13pt">
    <w:name w:val="Основной текст + 13 pt"/>
    <w:aliases w:val="Курсив96,Интервал -1 pt11"/>
    <w:uiPriority w:val="99"/>
    <w:rsid w:val="00601A94"/>
    <w:rPr>
      <w:rFonts w:ascii="Times New Roman" w:hAnsi="Times New Roman" w:cs="Times New Roman"/>
      <w:i/>
      <w:iCs/>
      <w:color w:val="00000A"/>
      <w:spacing w:val="-20"/>
      <w:sz w:val="26"/>
      <w:szCs w:val="26"/>
      <w:shd w:val="clear" w:color="auto" w:fill="FFFFFF"/>
      <w:lang w:eastAsia="zh-CN"/>
    </w:rPr>
  </w:style>
  <w:style w:type="character" w:customStyle="1" w:styleId="1080">
    <w:name w:val="Основной текст + 108"/>
    <w:aliases w:val="5 pt194,Полужирный77,Курсив95,Интервал 0 pt45"/>
    <w:uiPriority w:val="99"/>
    <w:rsid w:val="00601A94"/>
    <w:rPr>
      <w:rFonts w:ascii="Times New Roman" w:hAnsi="Times New Roman" w:cs="Times New Roman"/>
      <w:b/>
      <w:bCs/>
      <w:i/>
      <w:iCs/>
      <w:color w:val="00000A"/>
      <w:spacing w:val="-10"/>
      <w:sz w:val="21"/>
      <w:szCs w:val="21"/>
      <w:shd w:val="clear" w:color="auto" w:fill="FFFFFF"/>
      <w:lang w:eastAsia="zh-CN"/>
    </w:rPr>
  </w:style>
  <w:style w:type="character" w:customStyle="1" w:styleId="33d">
    <w:name w:val="Основной текст (33)"/>
    <w:uiPriority w:val="99"/>
    <w:rsid w:val="00601A94"/>
    <w:rPr>
      <w:rFonts w:cs="Times New Roman"/>
      <w:sz w:val="25"/>
      <w:szCs w:val="25"/>
      <w:shd w:val="clear" w:color="auto" w:fill="FFFFFF"/>
    </w:rPr>
  </w:style>
  <w:style w:type="character" w:customStyle="1" w:styleId="3337">
    <w:name w:val="Основной текст (33)37"/>
    <w:uiPriority w:val="99"/>
    <w:rsid w:val="00601A94"/>
    <w:rPr>
      <w:rFonts w:cs="Times New Roman"/>
      <w:noProof/>
      <w:sz w:val="25"/>
      <w:szCs w:val="25"/>
      <w:shd w:val="clear" w:color="auto" w:fill="FFFFFF"/>
    </w:rPr>
  </w:style>
  <w:style w:type="character" w:customStyle="1" w:styleId="33e">
    <w:name w:val="Основной текст (33)_"/>
    <w:link w:val="3312"/>
    <w:uiPriority w:val="99"/>
    <w:locked/>
    <w:rsid w:val="00601A94"/>
    <w:rPr>
      <w:rFonts w:cs="Times New Roman"/>
      <w:sz w:val="25"/>
      <w:szCs w:val="25"/>
      <w:shd w:val="clear" w:color="auto" w:fill="FFFFFF"/>
    </w:rPr>
  </w:style>
  <w:style w:type="paragraph" w:customStyle="1" w:styleId="41d">
    <w:name w:val="Заголовок №41"/>
    <w:basedOn w:val="a2"/>
    <w:link w:val="4f1"/>
    <w:uiPriority w:val="99"/>
    <w:rsid w:val="00601A94"/>
    <w:pPr>
      <w:shd w:val="clear" w:color="auto" w:fill="FFFFFF"/>
      <w:spacing w:after="420" w:line="240" w:lineRule="atLeast"/>
      <w:jc w:val="both"/>
      <w:outlineLvl w:val="3"/>
    </w:pPr>
    <w:rPr>
      <w:b/>
      <w:bCs/>
      <w:sz w:val="24"/>
      <w:szCs w:val="24"/>
    </w:rPr>
  </w:style>
  <w:style w:type="paragraph" w:customStyle="1" w:styleId="3312">
    <w:name w:val="Основной текст (33)1"/>
    <w:basedOn w:val="a2"/>
    <w:link w:val="33e"/>
    <w:uiPriority w:val="99"/>
    <w:rsid w:val="00601A94"/>
    <w:pPr>
      <w:shd w:val="clear" w:color="auto" w:fill="FFFFFF"/>
      <w:spacing w:line="326" w:lineRule="exact"/>
      <w:jc w:val="both"/>
    </w:pPr>
    <w:rPr>
      <w:sz w:val="25"/>
      <w:szCs w:val="25"/>
    </w:rPr>
  </w:style>
  <w:style w:type="character" w:customStyle="1" w:styleId="442">
    <w:name w:val="Заголовок №44"/>
    <w:uiPriority w:val="99"/>
    <w:rsid w:val="00601A94"/>
    <w:rPr>
      <w:rFonts w:cs="Times New Roman"/>
      <w:b/>
      <w:bCs/>
      <w:sz w:val="24"/>
      <w:szCs w:val="24"/>
      <w:shd w:val="clear" w:color="auto" w:fill="FFFFFF"/>
    </w:rPr>
  </w:style>
  <w:style w:type="character" w:customStyle="1" w:styleId="24c">
    <w:name w:val="Основной текст (24)_"/>
    <w:link w:val="2412"/>
    <w:uiPriority w:val="99"/>
    <w:locked/>
    <w:rsid w:val="00601A94"/>
    <w:rPr>
      <w:rFonts w:cs="Times New Roman"/>
      <w:i/>
      <w:iCs/>
      <w:sz w:val="26"/>
      <w:szCs w:val="26"/>
      <w:shd w:val="clear" w:color="auto" w:fill="FFFFFF"/>
    </w:rPr>
  </w:style>
  <w:style w:type="character" w:customStyle="1" w:styleId="4f2">
    <w:name w:val="Заголовок №4"/>
    <w:uiPriority w:val="99"/>
    <w:rsid w:val="00601A94"/>
    <w:rPr>
      <w:rFonts w:cs="Times New Roman"/>
      <w:b/>
      <w:bCs/>
      <w:sz w:val="24"/>
      <w:szCs w:val="24"/>
      <w:shd w:val="clear" w:color="auto" w:fill="FFFFFF"/>
    </w:rPr>
  </w:style>
  <w:style w:type="character" w:customStyle="1" w:styleId="1141">
    <w:name w:val="Основной текст + 114"/>
    <w:aliases w:val="5 pt183"/>
    <w:uiPriority w:val="99"/>
    <w:rsid w:val="00601A94"/>
    <w:rPr>
      <w:rFonts w:ascii="Times New Roman" w:hAnsi="Times New Roman" w:cs="Times New Roman"/>
      <w:color w:val="00000A"/>
      <w:sz w:val="23"/>
      <w:szCs w:val="23"/>
      <w:shd w:val="clear" w:color="auto" w:fill="FFFFFF"/>
      <w:lang w:eastAsia="zh-CN"/>
    </w:rPr>
  </w:style>
  <w:style w:type="character" w:customStyle="1" w:styleId="13pt8">
    <w:name w:val="Основной текст + 13 pt8"/>
    <w:aliases w:val="Курсив90"/>
    <w:uiPriority w:val="99"/>
    <w:rsid w:val="00601A94"/>
    <w:rPr>
      <w:rFonts w:ascii="Times New Roman" w:hAnsi="Times New Roman" w:cs="Times New Roman"/>
      <w:i/>
      <w:iCs/>
      <w:color w:val="00000A"/>
      <w:sz w:val="26"/>
      <w:szCs w:val="26"/>
      <w:shd w:val="clear" w:color="auto" w:fill="FFFFFF"/>
      <w:lang w:eastAsia="zh-CN"/>
    </w:rPr>
  </w:style>
  <w:style w:type="character" w:customStyle="1" w:styleId="472">
    <w:name w:val="Основной текст (47)_"/>
    <w:link w:val="473"/>
    <w:uiPriority w:val="99"/>
    <w:locked/>
    <w:rsid w:val="00601A94"/>
    <w:rPr>
      <w:rFonts w:ascii="Impact" w:hAnsi="Impact" w:cs="Impact"/>
      <w:noProof/>
      <w:sz w:val="34"/>
      <w:szCs w:val="34"/>
      <w:shd w:val="clear" w:color="auto" w:fill="FFFFFF"/>
    </w:rPr>
  </w:style>
  <w:style w:type="character" w:customStyle="1" w:styleId="481">
    <w:name w:val="Основной текст (48)_"/>
    <w:link w:val="482"/>
    <w:uiPriority w:val="99"/>
    <w:locked/>
    <w:rsid w:val="00601A94"/>
    <w:rPr>
      <w:rFonts w:ascii="Impact" w:hAnsi="Impact" w:cs="Impact"/>
      <w:noProof/>
      <w:sz w:val="28"/>
      <w:szCs w:val="28"/>
      <w:shd w:val="clear" w:color="auto" w:fill="FFFFFF"/>
    </w:rPr>
  </w:style>
  <w:style w:type="character" w:customStyle="1" w:styleId="491">
    <w:name w:val="Основной текст (49)_"/>
    <w:link w:val="492"/>
    <w:uiPriority w:val="99"/>
    <w:locked/>
    <w:rsid w:val="00601A94"/>
    <w:rPr>
      <w:rFonts w:ascii="Courier New" w:hAnsi="Courier New" w:cs="Courier New"/>
      <w:noProof/>
      <w:sz w:val="49"/>
      <w:szCs w:val="49"/>
      <w:shd w:val="clear" w:color="auto" w:fill="FFFFFF"/>
    </w:rPr>
  </w:style>
  <w:style w:type="character" w:customStyle="1" w:styleId="6e">
    <w:name w:val="Подпись к таблице6"/>
    <w:uiPriority w:val="99"/>
    <w:rsid w:val="00601A94"/>
    <w:rPr>
      <w:rFonts w:ascii="Times New Roman" w:hAnsi="Times New Roman" w:cs="Times New Roman"/>
      <w:sz w:val="25"/>
      <w:szCs w:val="25"/>
      <w:shd w:val="clear" w:color="auto" w:fill="FFFFFF"/>
    </w:rPr>
  </w:style>
  <w:style w:type="character" w:customStyle="1" w:styleId="Arial">
    <w:name w:val="Подпись к таблице + Arial"/>
    <w:aliases w:val="6 pt12"/>
    <w:uiPriority w:val="99"/>
    <w:rsid w:val="00601A94"/>
    <w:rPr>
      <w:rFonts w:ascii="Arial" w:hAnsi="Arial" w:cs="Arial"/>
      <w:sz w:val="12"/>
      <w:szCs w:val="12"/>
      <w:shd w:val="clear" w:color="auto" w:fill="FFFFFF"/>
    </w:rPr>
  </w:style>
  <w:style w:type="character" w:customStyle="1" w:styleId="Arial3">
    <w:name w:val="Подпись к таблице + Arial3"/>
    <w:aliases w:val="622,5 pt182"/>
    <w:uiPriority w:val="99"/>
    <w:rsid w:val="00601A94"/>
    <w:rPr>
      <w:rFonts w:ascii="Arial" w:hAnsi="Arial" w:cs="Arial"/>
      <w:sz w:val="13"/>
      <w:szCs w:val="13"/>
      <w:shd w:val="clear" w:color="auto" w:fill="FFFFFF"/>
    </w:rPr>
  </w:style>
  <w:style w:type="character" w:customStyle="1" w:styleId="10f">
    <w:name w:val="Подпись к таблице (10)_"/>
    <w:link w:val="1013"/>
    <w:uiPriority w:val="99"/>
    <w:locked/>
    <w:rsid w:val="00601A94"/>
    <w:rPr>
      <w:rFonts w:cs="Times New Roman"/>
      <w:b/>
      <w:bCs/>
      <w:i/>
      <w:iCs/>
      <w:sz w:val="23"/>
      <w:szCs w:val="23"/>
      <w:shd w:val="clear" w:color="auto" w:fill="FFFFFF"/>
    </w:rPr>
  </w:style>
  <w:style w:type="character" w:customStyle="1" w:styleId="10Arial">
    <w:name w:val="Подпись к таблице (10) + Arial"/>
    <w:aliases w:val="9 pt1"/>
    <w:uiPriority w:val="99"/>
    <w:rsid w:val="00601A94"/>
    <w:rPr>
      <w:rFonts w:ascii="Arial" w:hAnsi="Arial" w:cs="Arial"/>
      <w:b/>
      <w:bCs/>
      <w:i/>
      <w:iCs/>
      <w:sz w:val="18"/>
      <w:szCs w:val="18"/>
      <w:shd w:val="clear" w:color="auto" w:fill="FFFFFF"/>
    </w:rPr>
  </w:style>
  <w:style w:type="character" w:customStyle="1" w:styleId="10f0">
    <w:name w:val="Подпись к таблице (10)"/>
    <w:uiPriority w:val="99"/>
    <w:rsid w:val="00601A94"/>
    <w:rPr>
      <w:rFonts w:cs="Times New Roman"/>
      <w:b/>
      <w:bCs/>
      <w:i/>
      <w:iCs/>
      <w:sz w:val="23"/>
      <w:szCs w:val="23"/>
      <w:shd w:val="clear" w:color="auto" w:fill="FFFFFF"/>
    </w:rPr>
  </w:style>
  <w:style w:type="character" w:customStyle="1" w:styleId="11f6">
    <w:name w:val="Подпись к таблице (11)_"/>
    <w:link w:val="111a"/>
    <w:uiPriority w:val="99"/>
    <w:locked/>
    <w:rsid w:val="00601A94"/>
    <w:rPr>
      <w:rFonts w:cs="Times New Roman"/>
      <w:b/>
      <w:bCs/>
      <w:sz w:val="19"/>
      <w:szCs w:val="19"/>
      <w:shd w:val="clear" w:color="auto" w:fill="FFFFFF"/>
    </w:rPr>
  </w:style>
  <w:style w:type="character" w:customStyle="1" w:styleId="11f7">
    <w:name w:val="Подпись к таблице (11)"/>
    <w:uiPriority w:val="99"/>
    <w:rsid w:val="00601A94"/>
    <w:rPr>
      <w:rFonts w:cs="Times New Roman"/>
      <w:b/>
      <w:bCs/>
      <w:sz w:val="19"/>
      <w:szCs w:val="19"/>
      <w:shd w:val="clear" w:color="auto" w:fill="FFFFFF"/>
    </w:rPr>
  </w:style>
  <w:style w:type="character" w:customStyle="1" w:styleId="501">
    <w:name w:val="Основной текст (50)_"/>
    <w:link w:val="502"/>
    <w:uiPriority w:val="99"/>
    <w:locked/>
    <w:rsid w:val="00601A94"/>
    <w:rPr>
      <w:rFonts w:ascii="Arial" w:hAnsi="Arial" w:cs="Arial"/>
      <w:sz w:val="12"/>
      <w:szCs w:val="12"/>
      <w:shd w:val="clear" w:color="auto" w:fill="FFFFFF"/>
    </w:rPr>
  </w:style>
  <w:style w:type="character" w:customStyle="1" w:styleId="10f1">
    <w:name w:val="Подпись к картинке10"/>
    <w:uiPriority w:val="99"/>
    <w:rsid w:val="00601A94"/>
    <w:rPr>
      <w:rFonts w:ascii="Times New Roman" w:hAnsi="Times New Roman" w:cs="Times New Roman"/>
      <w:sz w:val="25"/>
      <w:szCs w:val="25"/>
      <w:shd w:val="clear" w:color="auto" w:fill="FFFFFF"/>
    </w:rPr>
  </w:style>
  <w:style w:type="character" w:customStyle="1" w:styleId="51b">
    <w:name w:val="Основной текст (51)_"/>
    <w:link w:val="51c"/>
    <w:uiPriority w:val="99"/>
    <w:locked/>
    <w:rsid w:val="00601A94"/>
    <w:rPr>
      <w:rFonts w:cs="Times New Roman"/>
      <w:i/>
      <w:iCs/>
      <w:spacing w:val="-10"/>
      <w:sz w:val="24"/>
      <w:szCs w:val="24"/>
      <w:shd w:val="clear" w:color="auto" w:fill="FFFFFF"/>
    </w:rPr>
  </w:style>
  <w:style w:type="character" w:customStyle="1" w:styleId="524">
    <w:name w:val="Основной текст (52)_"/>
    <w:link w:val="525"/>
    <w:uiPriority w:val="99"/>
    <w:locked/>
    <w:rsid w:val="00601A94"/>
    <w:rPr>
      <w:rFonts w:cs="Times New Roman"/>
      <w:b/>
      <w:bCs/>
      <w:shd w:val="clear" w:color="auto" w:fill="FFFFFF"/>
    </w:rPr>
  </w:style>
  <w:style w:type="character" w:customStyle="1" w:styleId="532">
    <w:name w:val="Основной текст (53)_"/>
    <w:link w:val="5310"/>
    <w:uiPriority w:val="99"/>
    <w:locked/>
    <w:rsid w:val="00601A94"/>
    <w:rPr>
      <w:rFonts w:cs="Times New Roman"/>
      <w:b/>
      <w:bCs/>
      <w:sz w:val="13"/>
      <w:szCs w:val="13"/>
      <w:shd w:val="clear" w:color="auto" w:fill="FFFFFF"/>
    </w:rPr>
  </w:style>
  <w:style w:type="character" w:customStyle="1" w:styleId="533">
    <w:name w:val="Основной текст (53)"/>
    <w:uiPriority w:val="99"/>
    <w:rsid w:val="00601A94"/>
    <w:rPr>
      <w:rFonts w:cs="Times New Roman"/>
      <w:b/>
      <w:bCs/>
      <w:sz w:val="13"/>
      <w:szCs w:val="13"/>
      <w:u w:val="single"/>
      <w:shd w:val="clear" w:color="auto" w:fill="FFFFFF"/>
    </w:rPr>
  </w:style>
  <w:style w:type="character" w:customStyle="1" w:styleId="591">
    <w:name w:val="Основной текст (59)_"/>
    <w:link w:val="592"/>
    <w:uiPriority w:val="99"/>
    <w:locked/>
    <w:rsid w:val="00601A94"/>
    <w:rPr>
      <w:rFonts w:ascii="Arial" w:hAnsi="Arial" w:cs="Arial"/>
      <w:sz w:val="11"/>
      <w:szCs w:val="11"/>
      <w:shd w:val="clear" w:color="auto" w:fill="FFFFFF"/>
    </w:rPr>
  </w:style>
  <w:style w:type="character" w:customStyle="1" w:styleId="601">
    <w:name w:val="Основной текст (60)_"/>
    <w:link w:val="602"/>
    <w:uiPriority w:val="99"/>
    <w:locked/>
    <w:rsid w:val="00601A94"/>
    <w:rPr>
      <w:rFonts w:ascii="Arial" w:hAnsi="Arial" w:cs="Arial"/>
      <w:i/>
      <w:iCs/>
      <w:noProof/>
      <w:sz w:val="16"/>
      <w:szCs w:val="16"/>
      <w:shd w:val="clear" w:color="auto" w:fill="FFFFFF"/>
    </w:rPr>
  </w:style>
  <w:style w:type="character" w:customStyle="1" w:styleId="3-1pt">
    <w:name w:val="Основной текст (3) + Интервал -1 pt"/>
    <w:uiPriority w:val="99"/>
    <w:rsid w:val="00601A94"/>
    <w:rPr>
      <w:rFonts w:ascii="Times New Roman" w:hAnsi="Times New Roman" w:cs="Times New Roman"/>
      <w:b/>
      <w:bCs/>
      <w:i/>
      <w:iCs/>
      <w:noProof/>
      <w:spacing w:val="-30"/>
      <w:sz w:val="25"/>
      <w:szCs w:val="25"/>
      <w:u w:val="none"/>
      <w:shd w:val="clear" w:color="auto" w:fill="FFFFFF"/>
    </w:rPr>
  </w:style>
  <w:style w:type="character" w:customStyle="1" w:styleId="61a">
    <w:name w:val="Основной текст (61)_"/>
    <w:link w:val="61b"/>
    <w:uiPriority w:val="99"/>
    <w:locked/>
    <w:rsid w:val="00601A94"/>
    <w:rPr>
      <w:rFonts w:ascii="Arial" w:hAnsi="Arial" w:cs="Arial"/>
      <w:i/>
      <w:iCs/>
      <w:noProof/>
      <w:sz w:val="8"/>
      <w:szCs w:val="8"/>
      <w:shd w:val="clear" w:color="auto" w:fill="FFFFFF"/>
    </w:rPr>
  </w:style>
  <w:style w:type="character" w:customStyle="1" w:styleId="581">
    <w:name w:val="Основной текст (58)_"/>
    <w:link w:val="582"/>
    <w:uiPriority w:val="99"/>
    <w:locked/>
    <w:rsid w:val="00601A94"/>
    <w:rPr>
      <w:rFonts w:ascii="Arial" w:hAnsi="Arial" w:cs="Arial"/>
      <w:noProof/>
      <w:shd w:val="clear" w:color="auto" w:fill="FFFFFF"/>
    </w:rPr>
  </w:style>
  <w:style w:type="character" w:customStyle="1" w:styleId="632">
    <w:name w:val="Основной текст (63)_"/>
    <w:link w:val="633"/>
    <w:uiPriority w:val="99"/>
    <w:locked/>
    <w:rsid w:val="00601A94"/>
    <w:rPr>
      <w:rFonts w:ascii="Verdana" w:hAnsi="Verdana" w:cs="Verdana"/>
      <w:i/>
      <w:iCs/>
      <w:noProof/>
      <w:sz w:val="63"/>
      <w:szCs w:val="63"/>
      <w:shd w:val="clear" w:color="auto" w:fill="FFFFFF"/>
    </w:rPr>
  </w:style>
  <w:style w:type="character" w:customStyle="1" w:styleId="623">
    <w:name w:val="Основной текст (62)_"/>
    <w:link w:val="624"/>
    <w:uiPriority w:val="99"/>
    <w:locked/>
    <w:rsid w:val="00601A94"/>
    <w:rPr>
      <w:rFonts w:ascii="Verdana" w:hAnsi="Verdana" w:cs="Verdana"/>
      <w:i/>
      <w:iCs/>
      <w:noProof/>
      <w:sz w:val="31"/>
      <w:szCs w:val="31"/>
      <w:shd w:val="clear" w:color="auto" w:fill="FFFFFF"/>
    </w:rPr>
  </w:style>
  <w:style w:type="character" w:customStyle="1" w:styleId="642">
    <w:name w:val="Основной текст (64)_"/>
    <w:link w:val="643"/>
    <w:uiPriority w:val="99"/>
    <w:locked/>
    <w:rsid w:val="00601A94"/>
    <w:rPr>
      <w:rFonts w:ascii="Arial" w:hAnsi="Arial" w:cs="Arial"/>
      <w:noProof/>
      <w:sz w:val="41"/>
      <w:szCs w:val="41"/>
      <w:shd w:val="clear" w:color="auto" w:fill="FFFFFF"/>
    </w:rPr>
  </w:style>
  <w:style w:type="character" w:customStyle="1" w:styleId="8-1pt">
    <w:name w:val="Основной текст (8) + Интервал -1 pt"/>
    <w:uiPriority w:val="99"/>
    <w:rsid w:val="00601A94"/>
    <w:rPr>
      <w:rFonts w:ascii="Times New Roman" w:hAnsi="Times New Roman" w:cs="Times New Roman"/>
      <w:b/>
      <w:bCs/>
      <w:noProof/>
      <w:spacing w:val="-20"/>
      <w:sz w:val="24"/>
      <w:szCs w:val="24"/>
      <w:shd w:val="clear" w:color="auto" w:fill="FFFFFF"/>
    </w:rPr>
  </w:style>
  <w:style w:type="character" w:customStyle="1" w:styleId="14d">
    <w:name w:val="Подпись к таблице (14)_"/>
    <w:link w:val="14e"/>
    <w:uiPriority w:val="99"/>
    <w:locked/>
    <w:rsid w:val="00601A94"/>
    <w:rPr>
      <w:rFonts w:ascii="Arial" w:hAnsi="Arial" w:cs="Arial"/>
      <w:sz w:val="14"/>
      <w:szCs w:val="14"/>
      <w:shd w:val="clear" w:color="auto" w:fill="FFFFFF"/>
    </w:rPr>
  </w:style>
  <w:style w:type="character" w:customStyle="1" w:styleId="552">
    <w:name w:val="Основной текст (55)_"/>
    <w:link w:val="5510"/>
    <w:uiPriority w:val="99"/>
    <w:locked/>
    <w:rsid w:val="00601A94"/>
    <w:rPr>
      <w:rFonts w:ascii="Arial" w:hAnsi="Arial" w:cs="Arial"/>
      <w:sz w:val="16"/>
      <w:szCs w:val="16"/>
      <w:shd w:val="clear" w:color="auto" w:fill="FFFFFF"/>
    </w:rPr>
  </w:style>
  <w:style w:type="character" w:customStyle="1" w:styleId="562">
    <w:name w:val="Основной текст (56)_"/>
    <w:link w:val="563"/>
    <w:uiPriority w:val="99"/>
    <w:locked/>
    <w:rsid w:val="00601A94"/>
    <w:rPr>
      <w:rFonts w:cs="Times New Roman"/>
      <w:b/>
      <w:bCs/>
      <w:sz w:val="18"/>
      <w:szCs w:val="18"/>
      <w:shd w:val="clear" w:color="auto" w:fill="FFFFFF"/>
    </w:rPr>
  </w:style>
  <w:style w:type="character" w:customStyle="1" w:styleId="12pt5">
    <w:name w:val="Основной текст + 12 pt5"/>
    <w:aliases w:val="Курсив87,Интервал 0 pt43"/>
    <w:uiPriority w:val="99"/>
    <w:rsid w:val="00601A94"/>
    <w:rPr>
      <w:rFonts w:ascii="Times New Roman" w:hAnsi="Times New Roman" w:cs="Times New Roman"/>
      <w:i/>
      <w:iCs/>
      <w:color w:val="00000A"/>
      <w:spacing w:val="-10"/>
      <w:sz w:val="24"/>
      <w:szCs w:val="24"/>
      <w:shd w:val="clear" w:color="auto" w:fill="FFFFFF"/>
      <w:lang w:eastAsia="zh-CN"/>
    </w:rPr>
  </w:style>
  <w:style w:type="character" w:customStyle="1" w:styleId="542">
    <w:name w:val="Основной текст (54)_"/>
    <w:link w:val="543"/>
    <w:uiPriority w:val="99"/>
    <w:locked/>
    <w:rsid w:val="00601A94"/>
    <w:rPr>
      <w:rFonts w:ascii="Arial" w:hAnsi="Arial" w:cs="Arial"/>
      <w:spacing w:val="-40"/>
      <w:sz w:val="38"/>
      <w:szCs w:val="38"/>
      <w:shd w:val="clear" w:color="auto" w:fill="FFFFFF"/>
    </w:rPr>
  </w:style>
  <w:style w:type="character" w:customStyle="1" w:styleId="1pt10">
    <w:name w:val="Основной текст + Интервал 1 pt10"/>
    <w:uiPriority w:val="99"/>
    <w:rsid w:val="00601A94"/>
    <w:rPr>
      <w:rFonts w:ascii="Times New Roman" w:hAnsi="Times New Roman" w:cs="Times New Roman"/>
      <w:color w:val="00000A"/>
      <w:spacing w:val="20"/>
      <w:sz w:val="25"/>
      <w:szCs w:val="25"/>
      <w:shd w:val="clear" w:color="auto" w:fill="FFFFFF"/>
      <w:lang w:eastAsia="zh-CN"/>
    </w:rPr>
  </w:style>
  <w:style w:type="character" w:customStyle="1" w:styleId="12f">
    <w:name w:val="Подпись к таблице (12)_"/>
    <w:link w:val="12f0"/>
    <w:uiPriority w:val="99"/>
    <w:locked/>
    <w:rsid w:val="00601A94"/>
    <w:rPr>
      <w:rFonts w:ascii="Arial" w:hAnsi="Arial" w:cs="Arial"/>
      <w:sz w:val="12"/>
      <w:szCs w:val="12"/>
      <w:shd w:val="clear" w:color="auto" w:fill="FFFFFF"/>
    </w:rPr>
  </w:style>
  <w:style w:type="character" w:customStyle="1" w:styleId="13d">
    <w:name w:val="Подпись к таблице (13)_"/>
    <w:link w:val="1313"/>
    <w:uiPriority w:val="99"/>
    <w:locked/>
    <w:rsid w:val="00601A94"/>
    <w:rPr>
      <w:rFonts w:cs="Times New Roman"/>
      <w:sz w:val="13"/>
      <w:szCs w:val="13"/>
      <w:shd w:val="clear" w:color="auto" w:fill="FFFFFF"/>
    </w:rPr>
  </w:style>
  <w:style w:type="character" w:customStyle="1" w:styleId="13101">
    <w:name w:val="Подпись к таблице (13) + 10"/>
    <w:aliases w:val="5 pt177,Полужирный71"/>
    <w:uiPriority w:val="99"/>
    <w:rsid w:val="00601A94"/>
    <w:rPr>
      <w:rFonts w:cs="Times New Roman"/>
      <w:b/>
      <w:bCs/>
      <w:sz w:val="21"/>
      <w:szCs w:val="21"/>
      <w:u w:val="single"/>
      <w:shd w:val="clear" w:color="auto" w:fill="FFFFFF"/>
    </w:rPr>
  </w:style>
  <w:style w:type="character" w:customStyle="1" w:styleId="13e">
    <w:name w:val="Подпись к таблице (13)"/>
    <w:uiPriority w:val="99"/>
    <w:rsid w:val="00601A94"/>
    <w:rPr>
      <w:rFonts w:cs="Times New Roman"/>
      <w:sz w:val="13"/>
      <w:szCs w:val="13"/>
      <w:u w:val="single"/>
      <w:shd w:val="clear" w:color="auto" w:fill="FFFFFF"/>
    </w:rPr>
  </w:style>
  <w:style w:type="character" w:customStyle="1" w:styleId="572">
    <w:name w:val="Основной текст (57)_"/>
    <w:link w:val="573"/>
    <w:uiPriority w:val="99"/>
    <w:locked/>
    <w:rsid w:val="00601A94"/>
    <w:rPr>
      <w:rFonts w:ascii="Arial" w:hAnsi="Arial" w:cs="Arial"/>
      <w:noProof/>
      <w:sz w:val="14"/>
      <w:szCs w:val="14"/>
      <w:shd w:val="clear" w:color="auto" w:fill="FFFFFF"/>
    </w:rPr>
  </w:style>
  <w:style w:type="character" w:customStyle="1" w:styleId="32d">
    <w:name w:val="Заголовок №3 (2)_"/>
    <w:link w:val="32e"/>
    <w:uiPriority w:val="99"/>
    <w:locked/>
    <w:rsid w:val="00601A94"/>
    <w:rPr>
      <w:rFonts w:cs="Times New Roman"/>
      <w:b/>
      <w:bCs/>
      <w:spacing w:val="10"/>
      <w:sz w:val="16"/>
      <w:szCs w:val="16"/>
      <w:shd w:val="clear" w:color="auto" w:fill="FFFFFF"/>
    </w:rPr>
  </w:style>
  <w:style w:type="character" w:customStyle="1" w:styleId="24d">
    <w:name w:val="Основной текст (24)"/>
    <w:uiPriority w:val="99"/>
    <w:rsid w:val="00601A94"/>
    <w:rPr>
      <w:rFonts w:cs="Times New Roman"/>
      <w:i/>
      <w:iCs/>
      <w:sz w:val="26"/>
      <w:szCs w:val="26"/>
      <w:shd w:val="clear" w:color="auto" w:fill="FFFFFF"/>
    </w:rPr>
  </w:style>
  <w:style w:type="character" w:customStyle="1" w:styleId="24120">
    <w:name w:val="Основной текст (24) + 12"/>
    <w:aliases w:val="5 pt176,Не курсив44"/>
    <w:uiPriority w:val="99"/>
    <w:rsid w:val="00601A94"/>
    <w:rPr>
      <w:rFonts w:cs="Times New Roman"/>
      <w:i/>
      <w:iCs/>
      <w:sz w:val="25"/>
      <w:szCs w:val="25"/>
      <w:shd w:val="clear" w:color="auto" w:fill="FFFFFF"/>
    </w:rPr>
  </w:style>
  <w:style w:type="character" w:customStyle="1" w:styleId="652">
    <w:name w:val="Основной текст (65)_"/>
    <w:link w:val="653"/>
    <w:uiPriority w:val="99"/>
    <w:locked/>
    <w:rsid w:val="00601A94"/>
    <w:rPr>
      <w:rFonts w:cs="Times New Roman"/>
      <w:smallCaps/>
      <w:spacing w:val="40"/>
      <w:shd w:val="clear" w:color="auto" w:fill="FFFFFF"/>
    </w:rPr>
  </w:style>
  <w:style w:type="character" w:customStyle="1" w:styleId="6512">
    <w:name w:val="Основной текст (65) + 12"/>
    <w:aliases w:val="5 pt175,Не малые прописные1,Интервал 0 pt42"/>
    <w:uiPriority w:val="99"/>
    <w:rsid w:val="00601A94"/>
    <w:rPr>
      <w:rFonts w:cs="Times New Roman"/>
      <w:smallCaps/>
      <w:spacing w:val="0"/>
      <w:sz w:val="25"/>
      <w:szCs w:val="25"/>
      <w:shd w:val="clear" w:color="auto" w:fill="FFFFFF"/>
    </w:rPr>
  </w:style>
  <w:style w:type="character" w:customStyle="1" w:styleId="1070">
    <w:name w:val="Основной текст + 107"/>
    <w:aliases w:val="5 pt174"/>
    <w:uiPriority w:val="99"/>
    <w:rsid w:val="00601A94"/>
    <w:rPr>
      <w:rFonts w:ascii="Times New Roman" w:hAnsi="Times New Roman" w:cs="Times New Roman"/>
      <w:color w:val="00000A"/>
      <w:sz w:val="21"/>
      <w:szCs w:val="21"/>
      <w:shd w:val="clear" w:color="auto" w:fill="FFFFFF"/>
      <w:lang w:eastAsia="zh-CN"/>
    </w:rPr>
  </w:style>
  <w:style w:type="paragraph" w:customStyle="1" w:styleId="2412">
    <w:name w:val="Основной текст (24)1"/>
    <w:basedOn w:val="a2"/>
    <w:link w:val="24c"/>
    <w:uiPriority w:val="99"/>
    <w:rsid w:val="00601A94"/>
    <w:pPr>
      <w:shd w:val="clear" w:color="auto" w:fill="FFFFFF"/>
      <w:spacing w:line="240" w:lineRule="atLeast"/>
    </w:pPr>
    <w:rPr>
      <w:i/>
      <w:iCs/>
      <w:sz w:val="26"/>
      <w:szCs w:val="26"/>
    </w:rPr>
  </w:style>
  <w:style w:type="paragraph" w:customStyle="1" w:styleId="473">
    <w:name w:val="Основной текст (47)"/>
    <w:basedOn w:val="a2"/>
    <w:link w:val="472"/>
    <w:uiPriority w:val="99"/>
    <w:rsid w:val="00601A94"/>
    <w:pPr>
      <w:shd w:val="clear" w:color="auto" w:fill="FFFFFF"/>
      <w:spacing w:line="240" w:lineRule="atLeast"/>
    </w:pPr>
    <w:rPr>
      <w:rFonts w:ascii="Impact" w:hAnsi="Impact" w:cs="Impact"/>
      <w:noProof/>
      <w:sz w:val="34"/>
      <w:szCs w:val="34"/>
    </w:rPr>
  </w:style>
  <w:style w:type="paragraph" w:customStyle="1" w:styleId="482">
    <w:name w:val="Основной текст (48)"/>
    <w:basedOn w:val="a2"/>
    <w:link w:val="481"/>
    <w:uiPriority w:val="99"/>
    <w:rsid w:val="00601A94"/>
    <w:pPr>
      <w:shd w:val="clear" w:color="auto" w:fill="FFFFFF"/>
      <w:spacing w:line="240" w:lineRule="atLeast"/>
    </w:pPr>
    <w:rPr>
      <w:rFonts w:ascii="Impact" w:hAnsi="Impact" w:cs="Impact"/>
      <w:noProof/>
      <w:sz w:val="28"/>
      <w:szCs w:val="28"/>
    </w:rPr>
  </w:style>
  <w:style w:type="paragraph" w:customStyle="1" w:styleId="492">
    <w:name w:val="Основной текст (49)"/>
    <w:basedOn w:val="a2"/>
    <w:link w:val="491"/>
    <w:uiPriority w:val="99"/>
    <w:rsid w:val="00601A94"/>
    <w:pPr>
      <w:shd w:val="clear" w:color="auto" w:fill="FFFFFF"/>
      <w:spacing w:line="240" w:lineRule="atLeast"/>
    </w:pPr>
    <w:rPr>
      <w:rFonts w:ascii="Courier New" w:hAnsi="Courier New" w:cs="Courier New"/>
      <w:noProof/>
      <w:sz w:val="49"/>
      <w:szCs w:val="49"/>
    </w:rPr>
  </w:style>
  <w:style w:type="paragraph" w:customStyle="1" w:styleId="1013">
    <w:name w:val="Подпись к таблице (10)1"/>
    <w:basedOn w:val="a2"/>
    <w:link w:val="10f"/>
    <w:uiPriority w:val="99"/>
    <w:rsid w:val="00601A94"/>
    <w:pPr>
      <w:shd w:val="clear" w:color="auto" w:fill="FFFFFF"/>
      <w:spacing w:line="110" w:lineRule="exact"/>
      <w:jc w:val="both"/>
    </w:pPr>
    <w:rPr>
      <w:b/>
      <w:bCs/>
      <w:i/>
      <w:iCs/>
      <w:sz w:val="23"/>
      <w:szCs w:val="23"/>
    </w:rPr>
  </w:style>
  <w:style w:type="paragraph" w:customStyle="1" w:styleId="111a">
    <w:name w:val="Подпись к таблице (11)1"/>
    <w:basedOn w:val="a2"/>
    <w:link w:val="11f6"/>
    <w:uiPriority w:val="99"/>
    <w:rsid w:val="00601A94"/>
    <w:pPr>
      <w:shd w:val="clear" w:color="auto" w:fill="FFFFFF"/>
      <w:spacing w:line="240" w:lineRule="atLeast"/>
    </w:pPr>
    <w:rPr>
      <w:b/>
      <w:bCs/>
      <w:sz w:val="19"/>
      <w:szCs w:val="19"/>
    </w:rPr>
  </w:style>
  <w:style w:type="paragraph" w:customStyle="1" w:styleId="502">
    <w:name w:val="Основной текст (50)"/>
    <w:basedOn w:val="a2"/>
    <w:link w:val="501"/>
    <w:uiPriority w:val="99"/>
    <w:rsid w:val="00601A94"/>
    <w:pPr>
      <w:shd w:val="clear" w:color="auto" w:fill="FFFFFF"/>
      <w:spacing w:before="60" w:after="60" w:line="240" w:lineRule="atLeast"/>
    </w:pPr>
    <w:rPr>
      <w:rFonts w:ascii="Arial" w:hAnsi="Arial" w:cs="Arial"/>
      <w:sz w:val="12"/>
      <w:szCs w:val="12"/>
    </w:rPr>
  </w:style>
  <w:style w:type="paragraph" w:customStyle="1" w:styleId="51c">
    <w:name w:val="Основной текст (51)"/>
    <w:basedOn w:val="a2"/>
    <w:link w:val="51b"/>
    <w:uiPriority w:val="99"/>
    <w:rsid w:val="00601A94"/>
    <w:pPr>
      <w:shd w:val="clear" w:color="auto" w:fill="FFFFFF"/>
      <w:spacing w:line="240" w:lineRule="atLeast"/>
    </w:pPr>
    <w:rPr>
      <w:i/>
      <w:iCs/>
      <w:spacing w:val="-10"/>
      <w:sz w:val="24"/>
      <w:szCs w:val="24"/>
    </w:rPr>
  </w:style>
  <w:style w:type="paragraph" w:customStyle="1" w:styleId="525">
    <w:name w:val="Основной текст (52)"/>
    <w:basedOn w:val="a2"/>
    <w:link w:val="524"/>
    <w:uiPriority w:val="99"/>
    <w:rsid w:val="00601A94"/>
    <w:pPr>
      <w:shd w:val="clear" w:color="auto" w:fill="FFFFFF"/>
      <w:spacing w:before="1800" w:after="120" w:line="206" w:lineRule="exact"/>
      <w:jc w:val="both"/>
    </w:pPr>
    <w:rPr>
      <w:b/>
      <w:bCs/>
    </w:rPr>
  </w:style>
  <w:style w:type="paragraph" w:customStyle="1" w:styleId="5310">
    <w:name w:val="Основной текст (53)1"/>
    <w:basedOn w:val="a2"/>
    <w:link w:val="532"/>
    <w:uiPriority w:val="99"/>
    <w:rsid w:val="00601A94"/>
    <w:pPr>
      <w:shd w:val="clear" w:color="auto" w:fill="FFFFFF"/>
      <w:spacing w:before="120" w:after="120" w:line="240" w:lineRule="atLeast"/>
    </w:pPr>
    <w:rPr>
      <w:b/>
      <w:bCs/>
      <w:sz w:val="13"/>
      <w:szCs w:val="13"/>
    </w:rPr>
  </w:style>
  <w:style w:type="paragraph" w:customStyle="1" w:styleId="592">
    <w:name w:val="Основной текст (59)"/>
    <w:basedOn w:val="a2"/>
    <w:link w:val="591"/>
    <w:uiPriority w:val="99"/>
    <w:rsid w:val="00601A94"/>
    <w:pPr>
      <w:shd w:val="clear" w:color="auto" w:fill="FFFFFF"/>
      <w:spacing w:line="240" w:lineRule="atLeast"/>
    </w:pPr>
    <w:rPr>
      <w:rFonts w:ascii="Arial" w:hAnsi="Arial" w:cs="Arial"/>
      <w:sz w:val="11"/>
      <w:szCs w:val="11"/>
    </w:rPr>
  </w:style>
  <w:style w:type="paragraph" w:customStyle="1" w:styleId="602">
    <w:name w:val="Основной текст (60)"/>
    <w:basedOn w:val="a2"/>
    <w:link w:val="601"/>
    <w:uiPriority w:val="99"/>
    <w:rsid w:val="00601A94"/>
    <w:pPr>
      <w:shd w:val="clear" w:color="auto" w:fill="FFFFFF"/>
      <w:spacing w:line="240" w:lineRule="atLeast"/>
    </w:pPr>
    <w:rPr>
      <w:rFonts w:ascii="Arial" w:hAnsi="Arial" w:cs="Arial"/>
      <w:i/>
      <w:iCs/>
      <w:noProof/>
      <w:sz w:val="16"/>
      <w:szCs w:val="16"/>
    </w:rPr>
  </w:style>
  <w:style w:type="paragraph" w:customStyle="1" w:styleId="61b">
    <w:name w:val="Основной текст (61)"/>
    <w:basedOn w:val="a2"/>
    <w:link w:val="61a"/>
    <w:uiPriority w:val="99"/>
    <w:rsid w:val="00601A94"/>
    <w:pPr>
      <w:shd w:val="clear" w:color="auto" w:fill="FFFFFF"/>
      <w:spacing w:line="240" w:lineRule="atLeast"/>
    </w:pPr>
    <w:rPr>
      <w:rFonts w:ascii="Arial" w:hAnsi="Arial" w:cs="Arial"/>
      <w:i/>
      <w:iCs/>
      <w:noProof/>
      <w:sz w:val="8"/>
      <w:szCs w:val="8"/>
    </w:rPr>
  </w:style>
  <w:style w:type="paragraph" w:customStyle="1" w:styleId="582">
    <w:name w:val="Основной текст (58)"/>
    <w:basedOn w:val="a2"/>
    <w:link w:val="581"/>
    <w:uiPriority w:val="99"/>
    <w:rsid w:val="00601A94"/>
    <w:pPr>
      <w:shd w:val="clear" w:color="auto" w:fill="FFFFFF"/>
      <w:spacing w:line="240" w:lineRule="atLeast"/>
    </w:pPr>
    <w:rPr>
      <w:rFonts w:ascii="Arial" w:hAnsi="Arial" w:cs="Arial"/>
      <w:noProof/>
    </w:rPr>
  </w:style>
  <w:style w:type="paragraph" w:customStyle="1" w:styleId="633">
    <w:name w:val="Основной текст (63)"/>
    <w:basedOn w:val="a2"/>
    <w:link w:val="632"/>
    <w:uiPriority w:val="99"/>
    <w:rsid w:val="00601A94"/>
    <w:pPr>
      <w:shd w:val="clear" w:color="auto" w:fill="FFFFFF"/>
      <w:spacing w:line="240" w:lineRule="atLeast"/>
    </w:pPr>
    <w:rPr>
      <w:rFonts w:ascii="Verdana" w:hAnsi="Verdana" w:cs="Verdana"/>
      <w:i/>
      <w:iCs/>
      <w:noProof/>
      <w:sz w:val="63"/>
      <w:szCs w:val="63"/>
    </w:rPr>
  </w:style>
  <w:style w:type="paragraph" w:customStyle="1" w:styleId="624">
    <w:name w:val="Основной текст (62)"/>
    <w:basedOn w:val="a2"/>
    <w:link w:val="623"/>
    <w:uiPriority w:val="99"/>
    <w:rsid w:val="00601A94"/>
    <w:pPr>
      <w:shd w:val="clear" w:color="auto" w:fill="FFFFFF"/>
      <w:spacing w:line="240" w:lineRule="atLeast"/>
    </w:pPr>
    <w:rPr>
      <w:rFonts w:ascii="Verdana" w:hAnsi="Verdana" w:cs="Verdana"/>
      <w:i/>
      <w:iCs/>
      <w:noProof/>
      <w:sz w:val="31"/>
      <w:szCs w:val="31"/>
    </w:rPr>
  </w:style>
  <w:style w:type="paragraph" w:customStyle="1" w:styleId="643">
    <w:name w:val="Основной текст (64)"/>
    <w:basedOn w:val="a2"/>
    <w:link w:val="642"/>
    <w:uiPriority w:val="99"/>
    <w:rsid w:val="00601A94"/>
    <w:pPr>
      <w:shd w:val="clear" w:color="auto" w:fill="FFFFFF"/>
      <w:spacing w:line="240" w:lineRule="atLeast"/>
    </w:pPr>
    <w:rPr>
      <w:rFonts w:ascii="Arial" w:hAnsi="Arial" w:cs="Arial"/>
      <w:noProof/>
      <w:sz w:val="41"/>
      <w:szCs w:val="41"/>
    </w:rPr>
  </w:style>
  <w:style w:type="paragraph" w:customStyle="1" w:styleId="14e">
    <w:name w:val="Подпись к таблице (14)"/>
    <w:basedOn w:val="a2"/>
    <w:link w:val="14d"/>
    <w:uiPriority w:val="99"/>
    <w:rsid w:val="00601A94"/>
    <w:pPr>
      <w:shd w:val="clear" w:color="auto" w:fill="FFFFFF"/>
      <w:spacing w:line="240" w:lineRule="atLeast"/>
    </w:pPr>
    <w:rPr>
      <w:rFonts w:ascii="Arial" w:hAnsi="Arial" w:cs="Arial"/>
      <w:sz w:val="14"/>
      <w:szCs w:val="14"/>
    </w:rPr>
  </w:style>
  <w:style w:type="paragraph" w:customStyle="1" w:styleId="5510">
    <w:name w:val="Основной текст (55)1"/>
    <w:basedOn w:val="a2"/>
    <w:link w:val="552"/>
    <w:uiPriority w:val="99"/>
    <w:rsid w:val="00601A94"/>
    <w:pPr>
      <w:shd w:val="clear" w:color="auto" w:fill="FFFFFF"/>
      <w:spacing w:after="60" w:line="278" w:lineRule="exact"/>
      <w:jc w:val="both"/>
    </w:pPr>
    <w:rPr>
      <w:rFonts w:ascii="Arial" w:hAnsi="Arial" w:cs="Arial"/>
      <w:sz w:val="16"/>
      <w:szCs w:val="16"/>
    </w:rPr>
  </w:style>
  <w:style w:type="paragraph" w:customStyle="1" w:styleId="563">
    <w:name w:val="Основной текст (56)"/>
    <w:basedOn w:val="a2"/>
    <w:link w:val="562"/>
    <w:uiPriority w:val="99"/>
    <w:rsid w:val="00601A94"/>
    <w:pPr>
      <w:shd w:val="clear" w:color="auto" w:fill="FFFFFF"/>
      <w:spacing w:before="180" w:after="180" w:line="240" w:lineRule="atLeast"/>
      <w:jc w:val="both"/>
    </w:pPr>
    <w:rPr>
      <w:b/>
      <w:bCs/>
      <w:sz w:val="18"/>
      <w:szCs w:val="18"/>
    </w:rPr>
  </w:style>
  <w:style w:type="paragraph" w:customStyle="1" w:styleId="543">
    <w:name w:val="Основной текст (54)"/>
    <w:basedOn w:val="a2"/>
    <w:link w:val="542"/>
    <w:uiPriority w:val="99"/>
    <w:rsid w:val="00601A94"/>
    <w:pPr>
      <w:shd w:val="clear" w:color="auto" w:fill="FFFFFF"/>
      <w:spacing w:line="240" w:lineRule="atLeast"/>
    </w:pPr>
    <w:rPr>
      <w:rFonts w:ascii="Arial" w:hAnsi="Arial" w:cs="Arial"/>
      <w:spacing w:val="-40"/>
      <w:sz w:val="38"/>
      <w:szCs w:val="38"/>
    </w:rPr>
  </w:style>
  <w:style w:type="paragraph" w:customStyle="1" w:styleId="12f0">
    <w:name w:val="Подпись к таблице (12)"/>
    <w:basedOn w:val="a2"/>
    <w:link w:val="12f"/>
    <w:uiPriority w:val="99"/>
    <w:rsid w:val="00601A94"/>
    <w:pPr>
      <w:shd w:val="clear" w:color="auto" w:fill="FFFFFF"/>
      <w:spacing w:line="240" w:lineRule="atLeast"/>
    </w:pPr>
    <w:rPr>
      <w:rFonts w:ascii="Arial" w:hAnsi="Arial" w:cs="Arial"/>
      <w:sz w:val="12"/>
      <w:szCs w:val="12"/>
    </w:rPr>
  </w:style>
  <w:style w:type="paragraph" w:customStyle="1" w:styleId="1313">
    <w:name w:val="Подпись к таблице (13)1"/>
    <w:basedOn w:val="a2"/>
    <w:link w:val="13d"/>
    <w:uiPriority w:val="99"/>
    <w:rsid w:val="00601A94"/>
    <w:pPr>
      <w:shd w:val="clear" w:color="auto" w:fill="FFFFFF"/>
      <w:spacing w:line="240" w:lineRule="atLeast"/>
    </w:pPr>
    <w:rPr>
      <w:sz w:val="13"/>
      <w:szCs w:val="13"/>
    </w:rPr>
  </w:style>
  <w:style w:type="paragraph" w:customStyle="1" w:styleId="573">
    <w:name w:val="Основной текст (57)"/>
    <w:basedOn w:val="a2"/>
    <w:link w:val="572"/>
    <w:uiPriority w:val="99"/>
    <w:rsid w:val="00601A94"/>
    <w:pPr>
      <w:shd w:val="clear" w:color="auto" w:fill="FFFFFF"/>
      <w:spacing w:after="300" w:line="240" w:lineRule="atLeast"/>
      <w:jc w:val="both"/>
    </w:pPr>
    <w:rPr>
      <w:rFonts w:ascii="Arial" w:hAnsi="Arial" w:cs="Arial"/>
      <w:noProof/>
      <w:sz w:val="14"/>
      <w:szCs w:val="14"/>
    </w:rPr>
  </w:style>
  <w:style w:type="paragraph" w:customStyle="1" w:styleId="32e">
    <w:name w:val="Заголовок №3 (2)"/>
    <w:basedOn w:val="a2"/>
    <w:link w:val="32d"/>
    <w:uiPriority w:val="99"/>
    <w:rsid w:val="00601A94"/>
    <w:pPr>
      <w:shd w:val="clear" w:color="auto" w:fill="FFFFFF"/>
      <w:spacing w:before="300" w:after="300" w:line="240" w:lineRule="atLeast"/>
      <w:jc w:val="both"/>
      <w:outlineLvl w:val="2"/>
    </w:pPr>
    <w:rPr>
      <w:b/>
      <w:bCs/>
      <w:spacing w:val="10"/>
      <w:sz w:val="16"/>
      <w:szCs w:val="16"/>
    </w:rPr>
  </w:style>
  <w:style w:type="paragraph" w:customStyle="1" w:styleId="653">
    <w:name w:val="Основной текст (65)"/>
    <w:basedOn w:val="a2"/>
    <w:link w:val="652"/>
    <w:uiPriority w:val="99"/>
    <w:rsid w:val="00601A94"/>
    <w:pPr>
      <w:shd w:val="clear" w:color="auto" w:fill="FFFFFF"/>
      <w:spacing w:line="326" w:lineRule="exact"/>
    </w:pPr>
    <w:rPr>
      <w:smallCaps/>
      <w:spacing w:val="40"/>
    </w:rPr>
  </w:style>
  <w:style w:type="character" w:customStyle="1" w:styleId="8e">
    <w:name w:val="Заголовок №8_"/>
    <w:link w:val="81a"/>
    <w:uiPriority w:val="99"/>
    <w:locked/>
    <w:rsid w:val="00601A94"/>
    <w:rPr>
      <w:rFonts w:cs="Times New Roman"/>
      <w:sz w:val="25"/>
      <w:szCs w:val="25"/>
      <w:shd w:val="clear" w:color="auto" w:fill="FFFFFF"/>
    </w:rPr>
  </w:style>
  <w:style w:type="character" w:customStyle="1" w:styleId="1pt7">
    <w:name w:val="Основной текст + Интервал 1 pt7"/>
    <w:uiPriority w:val="99"/>
    <w:rsid w:val="00601A94"/>
    <w:rPr>
      <w:rFonts w:ascii="Times New Roman" w:hAnsi="Times New Roman" w:cs="Times New Roman"/>
      <w:color w:val="00000A"/>
      <w:spacing w:val="20"/>
      <w:sz w:val="25"/>
      <w:szCs w:val="25"/>
      <w:shd w:val="clear" w:color="auto" w:fill="FFFFFF"/>
      <w:lang w:eastAsia="zh-CN"/>
    </w:rPr>
  </w:style>
  <w:style w:type="paragraph" w:customStyle="1" w:styleId="81a">
    <w:name w:val="Заголовок №81"/>
    <w:basedOn w:val="a2"/>
    <w:link w:val="8e"/>
    <w:uiPriority w:val="99"/>
    <w:rsid w:val="00601A94"/>
    <w:pPr>
      <w:shd w:val="clear" w:color="auto" w:fill="FFFFFF"/>
      <w:spacing w:line="240" w:lineRule="atLeast"/>
      <w:outlineLvl w:val="7"/>
    </w:pPr>
    <w:rPr>
      <w:sz w:val="25"/>
      <w:szCs w:val="25"/>
    </w:rPr>
  </w:style>
  <w:style w:type="character" w:customStyle="1" w:styleId="36c">
    <w:name w:val="Основной текст (36)_"/>
    <w:link w:val="3612"/>
    <w:uiPriority w:val="99"/>
    <w:locked/>
    <w:rsid w:val="00601A94"/>
    <w:rPr>
      <w:rFonts w:cs="Times New Roman"/>
      <w:b/>
      <w:bCs/>
      <w:sz w:val="17"/>
      <w:szCs w:val="17"/>
      <w:shd w:val="clear" w:color="auto" w:fill="FFFFFF"/>
    </w:rPr>
  </w:style>
  <w:style w:type="character" w:customStyle="1" w:styleId="10f2">
    <w:name w:val="Подпись к картинке (10)_"/>
    <w:link w:val="1014"/>
    <w:uiPriority w:val="99"/>
    <w:locked/>
    <w:rsid w:val="00601A94"/>
    <w:rPr>
      <w:rFonts w:cs="Times New Roman"/>
      <w:b/>
      <w:bCs/>
      <w:sz w:val="17"/>
      <w:szCs w:val="17"/>
      <w:shd w:val="clear" w:color="auto" w:fill="FFFFFF"/>
    </w:rPr>
  </w:style>
  <w:style w:type="character" w:customStyle="1" w:styleId="12pt3">
    <w:name w:val="Основной текст + 12 pt3"/>
    <w:aliases w:val="Полужирный68"/>
    <w:uiPriority w:val="99"/>
    <w:rsid w:val="00601A94"/>
    <w:rPr>
      <w:rFonts w:ascii="Times New Roman" w:hAnsi="Times New Roman" w:cs="Times New Roman"/>
      <w:b/>
      <w:bCs/>
      <w:color w:val="00000A"/>
      <w:sz w:val="24"/>
      <w:szCs w:val="24"/>
      <w:shd w:val="clear" w:color="auto" w:fill="FFFFFF"/>
      <w:lang w:eastAsia="zh-CN"/>
    </w:rPr>
  </w:style>
  <w:style w:type="character" w:customStyle="1" w:styleId="1431">
    <w:name w:val="Основной текст (143)_"/>
    <w:link w:val="14310"/>
    <w:uiPriority w:val="99"/>
    <w:locked/>
    <w:rsid w:val="00601A94"/>
    <w:rPr>
      <w:rFonts w:cs="Times New Roman"/>
      <w:b/>
      <w:bCs/>
      <w:i/>
      <w:iCs/>
      <w:shd w:val="clear" w:color="auto" w:fill="FFFFFF"/>
    </w:rPr>
  </w:style>
  <w:style w:type="character" w:customStyle="1" w:styleId="241pt9">
    <w:name w:val="Основной текст (24) + Интервал 1 pt9"/>
    <w:uiPriority w:val="99"/>
    <w:rsid w:val="00601A94"/>
    <w:rPr>
      <w:rFonts w:cs="Times New Roman"/>
      <w:i/>
      <w:iCs/>
      <w:spacing w:val="30"/>
      <w:sz w:val="26"/>
      <w:szCs w:val="26"/>
      <w:shd w:val="clear" w:color="auto" w:fill="FFFFFF"/>
    </w:rPr>
  </w:style>
  <w:style w:type="character" w:customStyle="1" w:styleId="3670">
    <w:name w:val="Основной текст (36)7"/>
    <w:uiPriority w:val="99"/>
    <w:rsid w:val="00601A94"/>
    <w:rPr>
      <w:rFonts w:cs="Times New Roman"/>
      <w:b/>
      <w:bCs/>
      <w:sz w:val="17"/>
      <w:szCs w:val="17"/>
      <w:shd w:val="clear" w:color="auto" w:fill="FFFFFF"/>
    </w:rPr>
  </w:style>
  <w:style w:type="character" w:customStyle="1" w:styleId="1pt2">
    <w:name w:val="Основной текст + Интервал 1 pt2"/>
    <w:uiPriority w:val="99"/>
    <w:rsid w:val="00601A94"/>
    <w:rPr>
      <w:rFonts w:ascii="Times New Roman" w:hAnsi="Times New Roman" w:cs="Times New Roman"/>
      <w:color w:val="00000A"/>
      <w:spacing w:val="20"/>
      <w:sz w:val="25"/>
      <w:szCs w:val="25"/>
      <w:shd w:val="clear" w:color="auto" w:fill="FFFFFF"/>
      <w:lang w:eastAsia="zh-CN"/>
    </w:rPr>
  </w:style>
  <w:style w:type="character" w:customStyle="1" w:styleId="35c">
    <w:name w:val="Заголовок №3 (5)_"/>
    <w:link w:val="3512"/>
    <w:uiPriority w:val="99"/>
    <w:locked/>
    <w:rsid w:val="00601A94"/>
    <w:rPr>
      <w:rFonts w:cs="Times New Roman"/>
      <w:b/>
      <w:bCs/>
      <w:sz w:val="24"/>
      <w:szCs w:val="24"/>
      <w:shd w:val="clear" w:color="auto" w:fill="FFFFFF"/>
    </w:rPr>
  </w:style>
  <w:style w:type="character" w:customStyle="1" w:styleId="1831">
    <w:name w:val="Основной текст (183)_"/>
    <w:link w:val="1832"/>
    <w:uiPriority w:val="99"/>
    <w:locked/>
    <w:rsid w:val="00601A94"/>
    <w:rPr>
      <w:rFonts w:ascii="Arial" w:hAnsi="Arial" w:cs="Arial"/>
      <w:noProof/>
      <w:sz w:val="25"/>
      <w:szCs w:val="25"/>
      <w:shd w:val="clear" w:color="auto" w:fill="FFFFFF"/>
    </w:rPr>
  </w:style>
  <w:style w:type="character" w:customStyle="1" w:styleId="1121">
    <w:name w:val="Основной текст + 112"/>
    <w:aliases w:val="5 pt80,Малые прописные2"/>
    <w:uiPriority w:val="99"/>
    <w:rsid w:val="00601A94"/>
    <w:rPr>
      <w:rFonts w:ascii="Times New Roman" w:hAnsi="Times New Roman" w:cs="Times New Roman"/>
      <w:smallCaps/>
      <w:color w:val="00000A"/>
      <w:sz w:val="23"/>
      <w:szCs w:val="23"/>
      <w:shd w:val="clear" w:color="auto" w:fill="FFFFFF"/>
      <w:lang w:eastAsia="zh-CN"/>
    </w:rPr>
  </w:style>
  <w:style w:type="character" w:customStyle="1" w:styleId="1721">
    <w:name w:val="Основной текст (172)_"/>
    <w:link w:val="17210"/>
    <w:uiPriority w:val="99"/>
    <w:locked/>
    <w:rsid w:val="00601A94"/>
    <w:rPr>
      <w:rFonts w:cs="Times New Roman"/>
      <w:i/>
      <w:iCs/>
      <w:spacing w:val="10"/>
      <w:sz w:val="15"/>
      <w:szCs w:val="15"/>
      <w:shd w:val="clear" w:color="auto" w:fill="FFFFFF"/>
    </w:rPr>
  </w:style>
  <w:style w:type="character" w:customStyle="1" w:styleId="2pt2">
    <w:name w:val="Основной текст + Интервал 2 pt2"/>
    <w:uiPriority w:val="99"/>
    <w:rsid w:val="00601A94"/>
    <w:rPr>
      <w:rFonts w:ascii="Times New Roman" w:hAnsi="Times New Roman" w:cs="Times New Roman"/>
      <w:color w:val="00000A"/>
      <w:spacing w:val="50"/>
      <w:sz w:val="25"/>
      <w:szCs w:val="25"/>
      <w:shd w:val="clear" w:color="auto" w:fill="FFFFFF"/>
      <w:lang w:eastAsia="zh-CN"/>
    </w:rPr>
  </w:style>
  <w:style w:type="character" w:customStyle="1" w:styleId="Arial13">
    <w:name w:val="Основной текст + Arial13"/>
    <w:aliases w:val="69,5 pt75,Курсив52"/>
    <w:uiPriority w:val="99"/>
    <w:rsid w:val="00601A94"/>
    <w:rPr>
      <w:rFonts w:ascii="Arial" w:hAnsi="Arial" w:cs="Arial"/>
      <w:i/>
      <w:iCs/>
      <w:noProof/>
      <w:color w:val="00000A"/>
      <w:sz w:val="13"/>
      <w:szCs w:val="13"/>
      <w:shd w:val="clear" w:color="auto" w:fill="FFFFFF"/>
      <w:lang w:eastAsia="zh-CN"/>
    </w:rPr>
  </w:style>
  <w:style w:type="character" w:customStyle="1" w:styleId="Arial12">
    <w:name w:val="Основной текст + Arial12"/>
    <w:aliases w:val="6 pt7,Полужирный31"/>
    <w:uiPriority w:val="99"/>
    <w:rsid w:val="00601A94"/>
    <w:rPr>
      <w:rFonts w:ascii="Arial" w:hAnsi="Arial" w:cs="Arial"/>
      <w:b/>
      <w:bCs/>
      <w:color w:val="00000A"/>
      <w:sz w:val="12"/>
      <w:szCs w:val="12"/>
      <w:shd w:val="clear" w:color="auto" w:fill="FFFFFF"/>
      <w:lang w:val="de-DE" w:eastAsia="de-DE"/>
    </w:rPr>
  </w:style>
  <w:style w:type="character" w:customStyle="1" w:styleId="13pt6">
    <w:name w:val="Основной текст + 13 pt6"/>
    <w:aliases w:val="Курсив51"/>
    <w:uiPriority w:val="99"/>
    <w:rsid w:val="00601A94"/>
    <w:rPr>
      <w:rFonts w:ascii="Times New Roman" w:hAnsi="Times New Roman" w:cs="Times New Roman"/>
      <w:i/>
      <w:iCs/>
      <w:color w:val="00000A"/>
      <w:sz w:val="26"/>
      <w:szCs w:val="26"/>
      <w:shd w:val="clear" w:color="auto" w:fill="FFFFFF"/>
      <w:lang w:eastAsia="zh-CN"/>
    </w:rPr>
  </w:style>
  <w:style w:type="character" w:customStyle="1" w:styleId="Arial11">
    <w:name w:val="Основной текст + Arial11"/>
    <w:aliases w:val="8 pt3,Интервал 0 pt24"/>
    <w:uiPriority w:val="99"/>
    <w:rsid w:val="00601A94"/>
    <w:rPr>
      <w:rFonts w:ascii="Arial" w:hAnsi="Arial" w:cs="Arial"/>
      <w:color w:val="00000A"/>
      <w:spacing w:val="-10"/>
      <w:sz w:val="16"/>
      <w:szCs w:val="16"/>
      <w:shd w:val="clear" w:color="auto" w:fill="FFFFFF"/>
      <w:lang w:val="de-DE" w:eastAsia="de-DE"/>
    </w:rPr>
  </w:style>
  <w:style w:type="character" w:customStyle="1" w:styleId="1740">
    <w:name w:val="Основной текст (174)_"/>
    <w:link w:val="1741"/>
    <w:uiPriority w:val="99"/>
    <w:locked/>
    <w:rsid w:val="00601A94"/>
    <w:rPr>
      <w:rFonts w:ascii="Arial" w:hAnsi="Arial" w:cs="Arial"/>
      <w:noProof/>
      <w:sz w:val="23"/>
      <w:szCs w:val="23"/>
      <w:shd w:val="clear" w:color="auto" w:fill="FFFFFF"/>
    </w:rPr>
  </w:style>
  <w:style w:type="character" w:customStyle="1" w:styleId="1750">
    <w:name w:val="Основной текст (175)_"/>
    <w:link w:val="1751"/>
    <w:uiPriority w:val="99"/>
    <w:locked/>
    <w:rsid w:val="00601A94"/>
    <w:rPr>
      <w:rFonts w:ascii="Arial" w:hAnsi="Arial" w:cs="Arial"/>
      <w:noProof/>
      <w:sz w:val="25"/>
      <w:szCs w:val="25"/>
      <w:shd w:val="clear" w:color="auto" w:fill="FFFFFF"/>
    </w:rPr>
  </w:style>
  <w:style w:type="character" w:customStyle="1" w:styleId="1790">
    <w:name w:val="Основной текст (179)_"/>
    <w:link w:val="1791"/>
    <w:uiPriority w:val="99"/>
    <w:locked/>
    <w:rsid w:val="00601A94"/>
    <w:rPr>
      <w:rFonts w:ascii="Arial" w:hAnsi="Arial" w:cs="Arial"/>
      <w:noProof/>
      <w:sz w:val="32"/>
      <w:szCs w:val="32"/>
      <w:shd w:val="clear" w:color="auto" w:fill="FFFFFF"/>
    </w:rPr>
  </w:style>
  <w:style w:type="character" w:customStyle="1" w:styleId="1801">
    <w:name w:val="Основной текст (180)_"/>
    <w:link w:val="1802"/>
    <w:uiPriority w:val="99"/>
    <w:locked/>
    <w:rsid w:val="00601A94"/>
    <w:rPr>
      <w:rFonts w:ascii="Arial" w:hAnsi="Arial" w:cs="Arial"/>
      <w:noProof/>
      <w:sz w:val="32"/>
      <w:szCs w:val="32"/>
      <w:shd w:val="clear" w:color="auto" w:fill="FFFFFF"/>
    </w:rPr>
  </w:style>
  <w:style w:type="character" w:customStyle="1" w:styleId="1811">
    <w:name w:val="Основной текст (181)_"/>
    <w:link w:val="1812"/>
    <w:uiPriority w:val="99"/>
    <w:locked/>
    <w:rsid w:val="00601A94"/>
    <w:rPr>
      <w:rFonts w:ascii="Arial" w:hAnsi="Arial" w:cs="Arial"/>
      <w:noProof/>
      <w:sz w:val="37"/>
      <w:szCs w:val="37"/>
      <w:shd w:val="clear" w:color="auto" w:fill="FFFFFF"/>
    </w:rPr>
  </w:style>
  <w:style w:type="character" w:customStyle="1" w:styleId="1760">
    <w:name w:val="Основной текст (176)_"/>
    <w:link w:val="1761"/>
    <w:uiPriority w:val="99"/>
    <w:locked/>
    <w:rsid w:val="00601A94"/>
    <w:rPr>
      <w:rFonts w:ascii="Arial" w:hAnsi="Arial" w:cs="Arial"/>
      <w:noProof/>
      <w:sz w:val="32"/>
      <w:szCs w:val="32"/>
      <w:shd w:val="clear" w:color="auto" w:fill="FFFFFF"/>
    </w:rPr>
  </w:style>
  <w:style w:type="character" w:customStyle="1" w:styleId="1780">
    <w:name w:val="Основной текст (178)_"/>
    <w:link w:val="1781"/>
    <w:uiPriority w:val="99"/>
    <w:locked/>
    <w:rsid w:val="00601A94"/>
    <w:rPr>
      <w:rFonts w:ascii="Arial" w:hAnsi="Arial" w:cs="Arial"/>
      <w:noProof/>
      <w:sz w:val="32"/>
      <w:szCs w:val="32"/>
      <w:shd w:val="clear" w:color="auto" w:fill="FFFFFF"/>
    </w:rPr>
  </w:style>
  <w:style w:type="character" w:customStyle="1" w:styleId="1770">
    <w:name w:val="Основной текст (177)_"/>
    <w:link w:val="1771"/>
    <w:uiPriority w:val="99"/>
    <w:locked/>
    <w:rsid w:val="00601A94"/>
    <w:rPr>
      <w:rFonts w:ascii="Arial" w:hAnsi="Arial" w:cs="Arial"/>
      <w:noProof/>
      <w:sz w:val="27"/>
      <w:szCs w:val="27"/>
      <w:shd w:val="clear" w:color="auto" w:fill="FFFFFF"/>
    </w:rPr>
  </w:style>
  <w:style w:type="character" w:customStyle="1" w:styleId="1821">
    <w:name w:val="Основной текст (182)_"/>
    <w:link w:val="1822"/>
    <w:uiPriority w:val="99"/>
    <w:locked/>
    <w:rsid w:val="00601A94"/>
    <w:rPr>
      <w:rFonts w:cs="Times New Roman"/>
      <w:b/>
      <w:bCs/>
      <w:noProof/>
      <w:sz w:val="25"/>
      <w:szCs w:val="25"/>
      <w:shd w:val="clear" w:color="auto" w:fill="FFFFFF"/>
    </w:rPr>
  </w:style>
  <w:style w:type="character" w:customStyle="1" w:styleId="1071">
    <w:name w:val="Подпись к картинке (10)7"/>
    <w:uiPriority w:val="99"/>
    <w:rsid w:val="00601A94"/>
    <w:rPr>
      <w:rFonts w:cs="Times New Roman"/>
      <w:b/>
      <w:bCs/>
      <w:sz w:val="17"/>
      <w:szCs w:val="17"/>
      <w:shd w:val="clear" w:color="auto" w:fill="FFFFFF"/>
    </w:rPr>
  </w:style>
  <w:style w:type="character" w:customStyle="1" w:styleId="1841">
    <w:name w:val="Основной текст (184)_"/>
    <w:link w:val="1842"/>
    <w:uiPriority w:val="99"/>
    <w:locked/>
    <w:rsid w:val="00601A94"/>
    <w:rPr>
      <w:rFonts w:ascii="Arial" w:hAnsi="Arial" w:cs="Arial"/>
      <w:noProof/>
      <w:shd w:val="clear" w:color="auto" w:fill="FFFFFF"/>
    </w:rPr>
  </w:style>
  <w:style w:type="character" w:customStyle="1" w:styleId="3660">
    <w:name w:val="Основной текст (36)6"/>
    <w:uiPriority w:val="99"/>
    <w:rsid w:val="00601A94"/>
    <w:rPr>
      <w:rFonts w:cs="Times New Roman"/>
      <w:b/>
      <w:bCs/>
      <w:sz w:val="17"/>
      <w:szCs w:val="17"/>
      <w:u w:val="single"/>
      <w:shd w:val="clear" w:color="auto" w:fill="FFFFFF"/>
    </w:rPr>
  </w:style>
  <w:style w:type="character" w:customStyle="1" w:styleId="241pt8">
    <w:name w:val="Основной текст (24) + Интервал 1 pt8"/>
    <w:uiPriority w:val="99"/>
    <w:rsid w:val="00601A94"/>
    <w:rPr>
      <w:rFonts w:cs="Times New Roman"/>
      <w:i/>
      <w:iCs/>
      <w:spacing w:val="30"/>
      <w:sz w:val="26"/>
      <w:szCs w:val="26"/>
      <w:u w:val="single"/>
      <w:shd w:val="clear" w:color="auto" w:fill="FFFFFF"/>
    </w:rPr>
  </w:style>
  <w:style w:type="character" w:customStyle="1" w:styleId="1950">
    <w:name w:val="Основной текст (195)_"/>
    <w:link w:val="1951"/>
    <w:uiPriority w:val="99"/>
    <w:locked/>
    <w:rsid w:val="00601A94"/>
    <w:rPr>
      <w:rFonts w:cs="Times New Roman"/>
      <w:i/>
      <w:iCs/>
      <w:sz w:val="25"/>
      <w:szCs w:val="25"/>
      <w:shd w:val="clear" w:color="auto" w:fill="FFFFFF"/>
    </w:rPr>
  </w:style>
  <w:style w:type="character" w:customStyle="1" w:styleId="1960">
    <w:name w:val="Основной текст (196)_"/>
    <w:link w:val="1961"/>
    <w:uiPriority w:val="99"/>
    <w:locked/>
    <w:rsid w:val="00601A94"/>
    <w:rPr>
      <w:rFonts w:ascii="Arial" w:hAnsi="Arial" w:cs="Arial"/>
      <w:i/>
      <w:iCs/>
      <w:noProof/>
      <w:sz w:val="13"/>
      <w:szCs w:val="13"/>
      <w:shd w:val="clear" w:color="auto" w:fill="FFFFFF"/>
    </w:rPr>
  </w:style>
  <w:style w:type="character" w:customStyle="1" w:styleId="3540">
    <w:name w:val="Заголовок №3 (5)4"/>
    <w:uiPriority w:val="99"/>
    <w:rsid w:val="00601A94"/>
    <w:rPr>
      <w:rFonts w:cs="Times New Roman"/>
      <w:b/>
      <w:bCs/>
      <w:sz w:val="24"/>
      <w:szCs w:val="24"/>
      <w:shd w:val="clear" w:color="auto" w:fill="FFFFFF"/>
    </w:rPr>
  </w:style>
  <w:style w:type="character" w:customStyle="1" w:styleId="13pt5">
    <w:name w:val="Основной текст + 13 pt5"/>
    <w:aliases w:val="Курсив50,Интервал 1 pt14"/>
    <w:uiPriority w:val="99"/>
    <w:rsid w:val="00601A94"/>
    <w:rPr>
      <w:rFonts w:ascii="Times New Roman" w:hAnsi="Times New Roman" w:cs="Times New Roman"/>
      <w:i/>
      <w:iCs/>
      <w:color w:val="00000A"/>
      <w:spacing w:val="30"/>
      <w:sz w:val="26"/>
      <w:szCs w:val="26"/>
      <w:shd w:val="clear" w:color="auto" w:fill="FFFFFF"/>
      <w:lang w:eastAsia="zh-CN"/>
    </w:rPr>
  </w:style>
  <w:style w:type="character" w:customStyle="1" w:styleId="1850">
    <w:name w:val="Основной текст (185)_"/>
    <w:link w:val="1851"/>
    <w:uiPriority w:val="99"/>
    <w:locked/>
    <w:rsid w:val="00601A94"/>
    <w:rPr>
      <w:rFonts w:ascii="Arial" w:hAnsi="Arial" w:cs="Arial"/>
      <w:noProof/>
      <w:sz w:val="9"/>
      <w:szCs w:val="9"/>
      <w:shd w:val="clear" w:color="auto" w:fill="FFFFFF"/>
    </w:rPr>
  </w:style>
  <w:style w:type="character" w:customStyle="1" w:styleId="1860">
    <w:name w:val="Основной текст (186)_"/>
    <w:link w:val="1861"/>
    <w:uiPriority w:val="99"/>
    <w:locked/>
    <w:rsid w:val="00601A94"/>
    <w:rPr>
      <w:rFonts w:cs="Times New Roman"/>
      <w:sz w:val="23"/>
      <w:szCs w:val="23"/>
      <w:shd w:val="clear" w:color="auto" w:fill="FFFFFF"/>
    </w:rPr>
  </w:style>
  <w:style w:type="character" w:customStyle="1" w:styleId="1432">
    <w:name w:val="Основной текст (143)"/>
    <w:uiPriority w:val="99"/>
    <w:rsid w:val="00601A94"/>
    <w:rPr>
      <w:rFonts w:cs="Times New Roman"/>
      <w:b/>
      <w:bCs/>
      <w:i/>
      <w:iCs/>
      <w:shd w:val="clear" w:color="auto" w:fill="FFFFFF"/>
    </w:rPr>
  </w:style>
  <w:style w:type="character" w:customStyle="1" w:styleId="11pt2">
    <w:name w:val="Основной текст + 11 pt2"/>
    <w:aliases w:val="Полужирный29"/>
    <w:uiPriority w:val="99"/>
    <w:rsid w:val="00601A94"/>
    <w:rPr>
      <w:rFonts w:ascii="Times New Roman" w:hAnsi="Times New Roman" w:cs="Times New Roman"/>
      <w:b/>
      <w:bCs/>
      <w:color w:val="00000A"/>
      <w:sz w:val="22"/>
      <w:szCs w:val="22"/>
      <w:shd w:val="clear" w:color="auto" w:fill="FFFFFF"/>
      <w:lang w:eastAsia="zh-CN"/>
    </w:rPr>
  </w:style>
  <w:style w:type="character" w:customStyle="1" w:styleId="181pt">
    <w:name w:val="Основной текст (18) + Интервал 1 pt"/>
    <w:uiPriority w:val="99"/>
    <w:rsid w:val="00601A94"/>
    <w:rPr>
      <w:rFonts w:ascii="Arial" w:hAnsi="Arial" w:cs="Arial"/>
      <w:i/>
      <w:iCs/>
      <w:spacing w:val="30"/>
      <w:sz w:val="13"/>
      <w:szCs w:val="13"/>
      <w:u w:val="none"/>
      <w:shd w:val="clear" w:color="auto" w:fill="FFFFFF"/>
    </w:rPr>
  </w:style>
  <w:style w:type="character" w:customStyle="1" w:styleId="1810pt">
    <w:name w:val="Основной текст (18) + 10 pt"/>
    <w:aliases w:val="Не курсив24"/>
    <w:uiPriority w:val="99"/>
    <w:rsid w:val="00601A94"/>
    <w:rPr>
      <w:rFonts w:ascii="Arial" w:hAnsi="Arial" w:cs="Arial"/>
      <w:sz w:val="20"/>
      <w:szCs w:val="20"/>
      <w:u w:val="none"/>
      <w:shd w:val="clear" w:color="auto" w:fill="FFFFFF"/>
    </w:rPr>
  </w:style>
  <w:style w:type="character" w:customStyle="1" w:styleId="1870">
    <w:name w:val="Основной текст (187)_"/>
    <w:link w:val="1871"/>
    <w:uiPriority w:val="99"/>
    <w:locked/>
    <w:rsid w:val="00601A94"/>
    <w:rPr>
      <w:rFonts w:cs="Times New Roman"/>
      <w:shd w:val="clear" w:color="auto" w:fill="FFFFFF"/>
    </w:rPr>
  </w:style>
  <w:style w:type="character" w:customStyle="1" w:styleId="1880">
    <w:name w:val="Основной текст (188)_"/>
    <w:link w:val="1881"/>
    <w:uiPriority w:val="99"/>
    <w:locked/>
    <w:rsid w:val="00601A94"/>
    <w:rPr>
      <w:rFonts w:cs="Times New Roman"/>
      <w:i/>
      <w:iCs/>
      <w:noProof/>
      <w:sz w:val="15"/>
      <w:szCs w:val="15"/>
      <w:shd w:val="clear" w:color="auto" w:fill="FFFFFF"/>
    </w:rPr>
  </w:style>
  <w:style w:type="character" w:customStyle="1" w:styleId="1890">
    <w:name w:val="Основной текст (189)_"/>
    <w:link w:val="1891"/>
    <w:uiPriority w:val="99"/>
    <w:locked/>
    <w:rsid w:val="00601A94"/>
    <w:rPr>
      <w:rFonts w:cs="Times New Roman"/>
      <w:spacing w:val="20"/>
      <w:sz w:val="21"/>
      <w:szCs w:val="21"/>
      <w:shd w:val="clear" w:color="auto" w:fill="FFFFFF"/>
    </w:rPr>
  </w:style>
  <w:style w:type="character" w:customStyle="1" w:styleId="1901">
    <w:name w:val="Основной текст (190)_"/>
    <w:link w:val="1902"/>
    <w:uiPriority w:val="99"/>
    <w:locked/>
    <w:rsid w:val="00601A94"/>
    <w:rPr>
      <w:rFonts w:ascii="Arial" w:hAnsi="Arial" w:cs="Arial"/>
      <w:spacing w:val="1000"/>
      <w:sz w:val="88"/>
      <w:szCs w:val="88"/>
      <w:shd w:val="clear" w:color="auto" w:fill="FFFFFF"/>
    </w:rPr>
  </w:style>
  <w:style w:type="character" w:customStyle="1" w:styleId="1911">
    <w:name w:val="Основной текст (191)_"/>
    <w:link w:val="1912"/>
    <w:uiPriority w:val="99"/>
    <w:locked/>
    <w:rsid w:val="00601A94"/>
    <w:rPr>
      <w:rFonts w:ascii="Arial" w:hAnsi="Arial" w:cs="Arial"/>
      <w:noProof/>
      <w:sz w:val="32"/>
      <w:szCs w:val="32"/>
      <w:shd w:val="clear" w:color="auto" w:fill="FFFFFF"/>
    </w:rPr>
  </w:style>
  <w:style w:type="character" w:customStyle="1" w:styleId="Arial10">
    <w:name w:val="Основной текст + Arial10"/>
    <w:aliases w:val="4 pt2,Курсив49"/>
    <w:uiPriority w:val="99"/>
    <w:rsid w:val="00601A94"/>
    <w:rPr>
      <w:rFonts w:ascii="Arial" w:hAnsi="Arial" w:cs="Arial"/>
      <w:i/>
      <w:iCs/>
      <w:color w:val="00000A"/>
      <w:sz w:val="8"/>
      <w:szCs w:val="8"/>
      <w:shd w:val="clear" w:color="auto" w:fill="FFFFFF"/>
      <w:lang w:eastAsia="zh-CN"/>
    </w:rPr>
  </w:style>
  <w:style w:type="character" w:customStyle="1" w:styleId="1920">
    <w:name w:val="Основной текст (192)_"/>
    <w:link w:val="1921"/>
    <w:uiPriority w:val="99"/>
    <w:locked/>
    <w:rsid w:val="00601A94"/>
    <w:rPr>
      <w:rFonts w:cs="Times New Roman"/>
      <w:spacing w:val="20"/>
      <w:sz w:val="21"/>
      <w:szCs w:val="21"/>
      <w:shd w:val="clear" w:color="auto" w:fill="FFFFFF"/>
    </w:rPr>
  </w:style>
  <w:style w:type="character" w:customStyle="1" w:styleId="1930">
    <w:name w:val="Основной текст (193)_"/>
    <w:link w:val="1931"/>
    <w:uiPriority w:val="99"/>
    <w:locked/>
    <w:rsid w:val="00601A94"/>
    <w:rPr>
      <w:rFonts w:cs="Times New Roman"/>
      <w:sz w:val="23"/>
      <w:szCs w:val="23"/>
      <w:shd w:val="clear" w:color="auto" w:fill="FFFFFF"/>
    </w:rPr>
  </w:style>
  <w:style w:type="character" w:customStyle="1" w:styleId="1940">
    <w:name w:val="Основной текст (194)_"/>
    <w:link w:val="1941"/>
    <w:uiPriority w:val="99"/>
    <w:locked/>
    <w:rsid w:val="00601A94"/>
    <w:rPr>
      <w:rFonts w:ascii="Arial" w:hAnsi="Arial" w:cs="Arial"/>
      <w:shd w:val="clear" w:color="auto" w:fill="FFFFFF"/>
    </w:rPr>
  </w:style>
  <w:style w:type="character" w:customStyle="1" w:styleId="194TimesNewRoman">
    <w:name w:val="Основной текст (194) + Times New Roman"/>
    <w:aliases w:val="13 pt7,Курсив48,Интервал 1 pt13"/>
    <w:uiPriority w:val="99"/>
    <w:rsid w:val="00601A94"/>
    <w:rPr>
      <w:rFonts w:ascii="Times New Roman" w:hAnsi="Times New Roman" w:cs="Times New Roman"/>
      <w:i/>
      <w:iCs/>
      <w:noProof/>
      <w:spacing w:val="30"/>
      <w:sz w:val="26"/>
      <w:szCs w:val="26"/>
      <w:shd w:val="clear" w:color="auto" w:fill="FFFFFF"/>
    </w:rPr>
  </w:style>
  <w:style w:type="character" w:customStyle="1" w:styleId="194TimesNewRoman1">
    <w:name w:val="Основной текст (194) + Times New Roman1"/>
    <w:aliases w:val="13 pt6,Курсив47,Интервал 1 pt12"/>
    <w:uiPriority w:val="99"/>
    <w:rsid w:val="00601A94"/>
    <w:rPr>
      <w:rFonts w:ascii="Times New Roman" w:hAnsi="Times New Roman" w:cs="Times New Roman"/>
      <w:i/>
      <w:iCs/>
      <w:strike/>
      <w:spacing w:val="30"/>
      <w:sz w:val="26"/>
      <w:szCs w:val="26"/>
      <w:shd w:val="clear" w:color="auto" w:fill="FFFFFF"/>
    </w:rPr>
  </w:style>
  <w:style w:type="character" w:customStyle="1" w:styleId="1942">
    <w:name w:val="Основной текст (194)"/>
    <w:uiPriority w:val="99"/>
    <w:rsid w:val="00601A94"/>
    <w:rPr>
      <w:rFonts w:ascii="Arial" w:hAnsi="Arial" w:cs="Arial"/>
      <w:strike/>
      <w:shd w:val="clear" w:color="auto" w:fill="FFFFFF"/>
    </w:rPr>
  </w:style>
  <w:style w:type="paragraph" w:customStyle="1" w:styleId="181">
    <w:name w:val="Основной текст (18)1"/>
    <w:basedOn w:val="a2"/>
    <w:link w:val="180"/>
    <w:uiPriority w:val="99"/>
    <w:rsid w:val="00601A94"/>
    <w:pPr>
      <w:shd w:val="clear" w:color="auto" w:fill="FFFFFF"/>
      <w:spacing w:line="240" w:lineRule="atLeast"/>
    </w:pPr>
    <w:rPr>
      <w:sz w:val="22"/>
    </w:rPr>
  </w:style>
  <w:style w:type="paragraph" w:customStyle="1" w:styleId="3612">
    <w:name w:val="Основной текст (36)1"/>
    <w:basedOn w:val="a2"/>
    <w:link w:val="36c"/>
    <w:uiPriority w:val="99"/>
    <w:rsid w:val="00601A94"/>
    <w:pPr>
      <w:shd w:val="clear" w:color="auto" w:fill="FFFFFF"/>
      <w:spacing w:line="240" w:lineRule="atLeast"/>
      <w:ind w:hanging="180"/>
    </w:pPr>
    <w:rPr>
      <w:b/>
      <w:bCs/>
      <w:sz w:val="17"/>
      <w:szCs w:val="17"/>
    </w:rPr>
  </w:style>
  <w:style w:type="paragraph" w:customStyle="1" w:styleId="1014">
    <w:name w:val="Подпись к картинке (10)1"/>
    <w:basedOn w:val="a2"/>
    <w:link w:val="10f2"/>
    <w:uiPriority w:val="99"/>
    <w:rsid w:val="00601A94"/>
    <w:pPr>
      <w:shd w:val="clear" w:color="auto" w:fill="FFFFFF"/>
      <w:spacing w:after="120" w:line="240" w:lineRule="atLeast"/>
    </w:pPr>
    <w:rPr>
      <w:b/>
      <w:bCs/>
      <w:sz w:val="17"/>
      <w:szCs w:val="17"/>
    </w:rPr>
  </w:style>
  <w:style w:type="paragraph" w:customStyle="1" w:styleId="14310">
    <w:name w:val="Основной текст (143)1"/>
    <w:basedOn w:val="a2"/>
    <w:link w:val="1431"/>
    <w:uiPriority w:val="99"/>
    <w:rsid w:val="00601A94"/>
    <w:pPr>
      <w:shd w:val="clear" w:color="auto" w:fill="FFFFFF"/>
      <w:spacing w:line="240" w:lineRule="atLeast"/>
    </w:pPr>
    <w:rPr>
      <w:b/>
      <w:bCs/>
      <w:i/>
      <w:iCs/>
    </w:rPr>
  </w:style>
  <w:style w:type="paragraph" w:customStyle="1" w:styleId="3512">
    <w:name w:val="Заголовок №3 (5)1"/>
    <w:basedOn w:val="a2"/>
    <w:link w:val="35c"/>
    <w:uiPriority w:val="99"/>
    <w:rsid w:val="00601A94"/>
    <w:pPr>
      <w:shd w:val="clear" w:color="auto" w:fill="FFFFFF"/>
      <w:spacing w:after="300" w:line="331" w:lineRule="exact"/>
      <w:jc w:val="both"/>
      <w:outlineLvl w:val="2"/>
    </w:pPr>
    <w:rPr>
      <w:b/>
      <w:bCs/>
      <w:sz w:val="24"/>
      <w:szCs w:val="24"/>
    </w:rPr>
  </w:style>
  <w:style w:type="paragraph" w:customStyle="1" w:styleId="1832">
    <w:name w:val="Основной текст (183)"/>
    <w:basedOn w:val="a2"/>
    <w:link w:val="1831"/>
    <w:uiPriority w:val="99"/>
    <w:rsid w:val="00601A94"/>
    <w:pPr>
      <w:shd w:val="clear" w:color="auto" w:fill="FFFFFF"/>
      <w:spacing w:line="240" w:lineRule="atLeast"/>
    </w:pPr>
    <w:rPr>
      <w:rFonts w:ascii="Arial" w:hAnsi="Arial" w:cs="Arial"/>
      <w:noProof/>
      <w:sz w:val="25"/>
      <w:szCs w:val="25"/>
    </w:rPr>
  </w:style>
  <w:style w:type="paragraph" w:customStyle="1" w:styleId="17210">
    <w:name w:val="Основной текст (172)1"/>
    <w:basedOn w:val="a2"/>
    <w:link w:val="1721"/>
    <w:uiPriority w:val="99"/>
    <w:rsid w:val="00601A94"/>
    <w:pPr>
      <w:shd w:val="clear" w:color="auto" w:fill="FFFFFF"/>
      <w:spacing w:line="326" w:lineRule="exact"/>
    </w:pPr>
    <w:rPr>
      <w:i/>
      <w:iCs/>
      <w:spacing w:val="10"/>
      <w:sz w:val="15"/>
      <w:szCs w:val="15"/>
    </w:rPr>
  </w:style>
  <w:style w:type="paragraph" w:customStyle="1" w:styleId="1741">
    <w:name w:val="Основной текст (174)"/>
    <w:basedOn w:val="a2"/>
    <w:link w:val="1740"/>
    <w:uiPriority w:val="99"/>
    <w:rsid w:val="00601A94"/>
    <w:pPr>
      <w:shd w:val="clear" w:color="auto" w:fill="FFFFFF"/>
      <w:spacing w:line="240" w:lineRule="atLeast"/>
      <w:jc w:val="both"/>
    </w:pPr>
    <w:rPr>
      <w:rFonts w:ascii="Arial" w:hAnsi="Arial" w:cs="Arial"/>
      <w:noProof/>
      <w:sz w:val="23"/>
      <w:szCs w:val="23"/>
    </w:rPr>
  </w:style>
  <w:style w:type="paragraph" w:customStyle="1" w:styleId="1751">
    <w:name w:val="Основной текст (175)"/>
    <w:basedOn w:val="a2"/>
    <w:link w:val="1750"/>
    <w:uiPriority w:val="99"/>
    <w:rsid w:val="00601A94"/>
    <w:pPr>
      <w:shd w:val="clear" w:color="auto" w:fill="FFFFFF"/>
      <w:spacing w:line="240" w:lineRule="atLeast"/>
    </w:pPr>
    <w:rPr>
      <w:rFonts w:ascii="Arial" w:hAnsi="Arial" w:cs="Arial"/>
      <w:noProof/>
      <w:sz w:val="25"/>
      <w:szCs w:val="25"/>
    </w:rPr>
  </w:style>
  <w:style w:type="paragraph" w:customStyle="1" w:styleId="1791">
    <w:name w:val="Основной текст (179)"/>
    <w:basedOn w:val="a2"/>
    <w:link w:val="1790"/>
    <w:uiPriority w:val="99"/>
    <w:rsid w:val="00601A94"/>
    <w:pPr>
      <w:shd w:val="clear" w:color="auto" w:fill="FFFFFF"/>
      <w:spacing w:line="240" w:lineRule="atLeast"/>
    </w:pPr>
    <w:rPr>
      <w:rFonts w:ascii="Arial" w:hAnsi="Arial" w:cs="Arial"/>
      <w:noProof/>
      <w:sz w:val="32"/>
      <w:szCs w:val="32"/>
    </w:rPr>
  </w:style>
  <w:style w:type="paragraph" w:customStyle="1" w:styleId="1802">
    <w:name w:val="Основной текст (180)"/>
    <w:basedOn w:val="a2"/>
    <w:link w:val="1801"/>
    <w:uiPriority w:val="99"/>
    <w:rsid w:val="00601A94"/>
    <w:pPr>
      <w:shd w:val="clear" w:color="auto" w:fill="FFFFFF"/>
      <w:spacing w:line="240" w:lineRule="atLeast"/>
    </w:pPr>
    <w:rPr>
      <w:rFonts w:ascii="Arial" w:hAnsi="Arial" w:cs="Arial"/>
      <w:noProof/>
      <w:sz w:val="32"/>
      <w:szCs w:val="32"/>
    </w:rPr>
  </w:style>
  <w:style w:type="paragraph" w:customStyle="1" w:styleId="1812">
    <w:name w:val="Основной текст (181)"/>
    <w:basedOn w:val="a2"/>
    <w:link w:val="1811"/>
    <w:uiPriority w:val="99"/>
    <w:rsid w:val="00601A94"/>
    <w:pPr>
      <w:shd w:val="clear" w:color="auto" w:fill="FFFFFF"/>
      <w:spacing w:line="240" w:lineRule="atLeast"/>
    </w:pPr>
    <w:rPr>
      <w:rFonts w:ascii="Arial" w:hAnsi="Arial" w:cs="Arial"/>
      <w:noProof/>
      <w:sz w:val="37"/>
      <w:szCs w:val="37"/>
    </w:rPr>
  </w:style>
  <w:style w:type="paragraph" w:customStyle="1" w:styleId="1761">
    <w:name w:val="Основной текст (176)"/>
    <w:basedOn w:val="a2"/>
    <w:link w:val="1760"/>
    <w:uiPriority w:val="99"/>
    <w:rsid w:val="00601A94"/>
    <w:pPr>
      <w:shd w:val="clear" w:color="auto" w:fill="FFFFFF"/>
      <w:spacing w:line="240" w:lineRule="atLeast"/>
    </w:pPr>
    <w:rPr>
      <w:rFonts w:ascii="Arial" w:hAnsi="Arial" w:cs="Arial"/>
      <w:noProof/>
      <w:sz w:val="32"/>
      <w:szCs w:val="32"/>
    </w:rPr>
  </w:style>
  <w:style w:type="paragraph" w:customStyle="1" w:styleId="1781">
    <w:name w:val="Основной текст (178)"/>
    <w:basedOn w:val="a2"/>
    <w:link w:val="1780"/>
    <w:uiPriority w:val="99"/>
    <w:rsid w:val="00601A94"/>
    <w:pPr>
      <w:shd w:val="clear" w:color="auto" w:fill="FFFFFF"/>
      <w:spacing w:line="240" w:lineRule="atLeast"/>
    </w:pPr>
    <w:rPr>
      <w:rFonts w:ascii="Arial" w:hAnsi="Arial" w:cs="Arial"/>
      <w:noProof/>
      <w:sz w:val="32"/>
      <w:szCs w:val="32"/>
    </w:rPr>
  </w:style>
  <w:style w:type="paragraph" w:customStyle="1" w:styleId="1771">
    <w:name w:val="Основной текст (177)"/>
    <w:basedOn w:val="a2"/>
    <w:link w:val="1770"/>
    <w:uiPriority w:val="99"/>
    <w:rsid w:val="00601A94"/>
    <w:pPr>
      <w:shd w:val="clear" w:color="auto" w:fill="FFFFFF"/>
      <w:spacing w:line="240" w:lineRule="atLeast"/>
    </w:pPr>
    <w:rPr>
      <w:rFonts w:ascii="Arial" w:hAnsi="Arial" w:cs="Arial"/>
      <w:noProof/>
      <w:sz w:val="27"/>
      <w:szCs w:val="27"/>
    </w:rPr>
  </w:style>
  <w:style w:type="paragraph" w:customStyle="1" w:styleId="1822">
    <w:name w:val="Основной текст (182)"/>
    <w:basedOn w:val="a2"/>
    <w:link w:val="1821"/>
    <w:uiPriority w:val="99"/>
    <w:rsid w:val="00601A94"/>
    <w:pPr>
      <w:shd w:val="clear" w:color="auto" w:fill="FFFFFF"/>
      <w:spacing w:line="240" w:lineRule="atLeast"/>
    </w:pPr>
    <w:rPr>
      <w:b/>
      <w:bCs/>
      <w:noProof/>
      <w:sz w:val="25"/>
      <w:szCs w:val="25"/>
    </w:rPr>
  </w:style>
  <w:style w:type="paragraph" w:customStyle="1" w:styleId="1842">
    <w:name w:val="Основной текст (184)"/>
    <w:basedOn w:val="a2"/>
    <w:link w:val="1841"/>
    <w:uiPriority w:val="99"/>
    <w:rsid w:val="00601A94"/>
    <w:pPr>
      <w:shd w:val="clear" w:color="auto" w:fill="FFFFFF"/>
      <w:spacing w:line="240" w:lineRule="atLeast"/>
    </w:pPr>
    <w:rPr>
      <w:rFonts w:ascii="Arial" w:hAnsi="Arial" w:cs="Arial"/>
      <w:noProof/>
    </w:rPr>
  </w:style>
  <w:style w:type="paragraph" w:customStyle="1" w:styleId="1951">
    <w:name w:val="Основной текст (195)"/>
    <w:basedOn w:val="a2"/>
    <w:link w:val="1950"/>
    <w:uiPriority w:val="99"/>
    <w:rsid w:val="00601A94"/>
    <w:pPr>
      <w:shd w:val="clear" w:color="auto" w:fill="FFFFFF"/>
      <w:spacing w:line="240" w:lineRule="atLeast"/>
    </w:pPr>
    <w:rPr>
      <w:i/>
      <w:iCs/>
      <w:sz w:val="25"/>
      <w:szCs w:val="25"/>
    </w:rPr>
  </w:style>
  <w:style w:type="paragraph" w:customStyle="1" w:styleId="1961">
    <w:name w:val="Основной текст (196)"/>
    <w:basedOn w:val="a2"/>
    <w:link w:val="1960"/>
    <w:uiPriority w:val="99"/>
    <w:rsid w:val="00601A94"/>
    <w:pPr>
      <w:shd w:val="clear" w:color="auto" w:fill="FFFFFF"/>
      <w:spacing w:line="240" w:lineRule="atLeast"/>
    </w:pPr>
    <w:rPr>
      <w:rFonts w:ascii="Arial" w:hAnsi="Arial" w:cs="Arial"/>
      <w:i/>
      <w:iCs/>
      <w:noProof/>
      <w:sz w:val="13"/>
      <w:szCs w:val="13"/>
    </w:rPr>
  </w:style>
  <w:style w:type="paragraph" w:customStyle="1" w:styleId="1851">
    <w:name w:val="Основной текст (185)"/>
    <w:basedOn w:val="a2"/>
    <w:link w:val="1850"/>
    <w:uiPriority w:val="99"/>
    <w:rsid w:val="00601A94"/>
    <w:pPr>
      <w:shd w:val="clear" w:color="auto" w:fill="FFFFFF"/>
      <w:spacing w:line="240" w:lineRule="atLeast"/>
    </w:pPr>
    <w:rPr>
      <w:rFonts w:ascii="Arial" w:hAnsi="Arial" w:cs="Arial"/>
      <w:noProof/>
      <w:sz w:val="9"/>
      <w:szCs w:val="9"/>
    </w:rPr>
  </w:style>
  <w:style w:type="paragraph" w:customStyle="1" w:styleId="1861">
    <w:name w:val="Основной текст (186)1"/>
    <w:basedOn w:val="a2"/>
    <w:link w:val="1860"/>
    <w:uiPriority w:val="99"/>
    <w:rsid w:val="00601A94"/>
    <w:pPr>
      <w:shd w:val="clear" w:color="auto" w:fill="FFFFFF"/>
      <w:spacing w:after="120" w:line="197" w:lineRule="exact"/>
    </w:pPr>
    <w:rPr>
      <w:sz w:val="23"/>
      <w:szCs w:val="23"/>
    </w:rPr>
  </w:style>
  <w:style w:type="paragraph" w:customStyle="1" w:styleId="1871">
    <w:name w:val="Основной текст (187)"/>
    <w:basedOn w:val="a2"/>
    <w:link w:val="1870"/>
    <w:uiPriority w:val="99"/>
    <w:rsid w:val="00601A94"/>
    <w:pPr>
      <w:shd w:val="clear" w:color="auto" w:fill="FFFFFF"/>
      <w:spacing w:line="240" w:lineRule="atLeast"/>
      <w:jc w:val="both"/>
    </w:pPr>
  </w:style>
  <w:style w:type="paragraph" w:customStyle="1" w:styleId="1881">
    <w:name w:val="Основной текст (188)"/>
    <w:basedOn w:val="a2"/>
    <w:link w:val="1880"/>
    <w:uiPriority w:val="99"/>
    <w:rsid w:val="00601A94"/>
    <w:pPr>
      <w:shd w:val="clear" w:color="auto" w:fill="FFFFFF"/>
      <w:spacing w:after="60" w:line="240" w:lineRule="atLeast"/>
    </w:pPr>
    <w:rPr>
      <w:i/>
      <w:iCs/>
      <w:noProof/>
      <w:sz w:val="15"/>
      <w:szCs w:val="15"/>
    </w:rPr>
  </w:style>
  <w:style w:type="paragraph" w:customStyle="1" w:styleId="1891">
    <w:name w:val="Основной текст (189)"/>
    <w:basedOn w:val="a2"/>
    <w:link w:val="1890"/>
    <w:uiPriority w:val="99"/>
    <w:rsid w:val="00601A94"/>
    <w:pPr>
      <w:shd w:val="clear" w:color="auto" w:fill="FFFFFF"/>
      <w:spacing w:line="326" w:lineRule="exact"/>
    </w:pPr>
    <w:rPr>
      <w:spacing w:val="20"/>
      <w:sz w:val="21"/>
      <w:szCs w:val="21"/>
    </w:rPr>
  </w:style>
  <w:style w:type="paragraph" w:customStyle="1" w:styleId="1902">
    <w:name w:val="Основной текст (190)"/>
    <w:basedOn w:val="a2"/>
    <w:link w:val="1901"/>
    <w:uiPriority w:val="99"/>
    <w:rsid w:val="00601A94"/>
    <w:pPr>
      <w:shd w:val="clear" w:color="auto" w:fill="FFFFFF"/>
      <w:spacing w:before="300" w:after="120" w:line="240" w:lineRule="atLeast"/>
    </w:pPr>
    <w:rPr>
      <w:rFonts w:ascii="Arial" w:hAnsi="Arial" w:cs="Arial"/>
      <w:spacing w:val="1000"/>
      <w:sz w:val="88"/>
      <w:szCs w:val="88"/>
    </w:rPr>
  </w:style>
  <w:style w:type="paragraph" w:customStyle="1" w:styleId="1912">
    <w:name w:val="Основной текст (191)"/>
    <w:basedOn w:val="a2"/>
    <w:link w:val="1911"/>
    <w:uiPriority w:val="99"/>
    <w:rsid w:val="00601A94"/>
    <w:pPr>
      <w:shd w:val="clear" w:color="auto" w:fill="FFFFFF"/>
      <w:spacing w:after="120" w:line="240" w:lineRule="atLeast"/>
    </w:pPr>
    <w:rPr>
      <w:rFonts w:ascii="Arial" w:hAnsi="Arial" w:cs="Arial"/>
      <w:noProof/>
      <w:sz w:val="32"/>
      <w:szCs w:val="32"/>
    </w:rPr>
  </w:style>
  <w:style w:type="paragraph" w:customStyle="1" w:styleId="1921">
    <w:name w:val="Основной текст (192)"/>
    <w:basedOn w:val="a2"/>
    <w:link w:val="1920"/>
    <w:uiPriority w:val="99"/>
    <w:rsid w:val="00601A94"/>
    <w:pPr>
      <w:shd w:val="clear" w:color="auto" w:fill="FFFFFF"/>
      <w:spacing w:after="60" w:line="197" w:lineRule="exact"/>
    </w:pPr>
    <w:rPr>
      <w:spacing w:val="20"/>
      <w:sz w:val="21"/>
      <w:szCs w:val="21"/>
    </w:rPr>
  </w:style>
  <w:style w:type="paragraph" w:customStyle="1" w:styleId="1931">
    <w:name w:val="Основной текст (193)"/>
    <w:basedOn w:val="a2"/>
    <w:link w:val="1930"/>
    <w:uiPriority w:val="99"/>
    <w:rsid w:val="00601A94"/>
    <w:pPr>
      <w:shd w:val="clear" w:color="auto" w:fill="FFFFFF"/>
      <w:spacing w:after="180" w:line="240" w:lineRule="atLeast"/>
    </w:pPr>
    <w:rPr>
      <w:sz w:val="23"/>
      <w:szCs w:val="23"/>
    </w:rPr>
  </w:style>
  <w:style w:type="paragraph" w:customStyle="1" w:styleId="1941">
    <w:name w:val="Основной текст (194)1"/>
    <w:basedOn w:val="a2"/>
    <w:link w:val="1940"/>
    <w:uiPriority w:val="99"/>
    <w:rsid w:val="00601A94"/>
    <w:pPr>
      <w:shd w:val="clear" w:color="auto" w:fill="FFFFFF"/>
      <w:spacing w:after="60" w:line="240" w:lineRule="atLeast"/>
    </w:pPr>
    <w:rPr>
      <w:rFonts w:ascii="Arial" w:hAnsi="Arial" w:cs="Arial"/>
    </w:rPr>
  </w:style>
  <w:style w:type="character" w:customStyle="1" w:styleId="6f">
    <w:name w:val="Подпись к картинке (6)_"/>
    <w:link w:val="61c"/>
    <w:uiPriority w:val="99"/>
    <w:locked/>
    <w:rsid w:val="00601A94"/>
    <w:rPr>
      <w:rFonts w:cs="Times New Roman"/>
      <w:sz w:val="25"/>
      <w:szCs w:val="25"/>
      <w:shd w:val="clear" w:color="auto" w:fill="FFFFFF"/>
    </w:rPr>
  </w:style>
  <w:style w:type="character" w:customStyle="1" w:styleId="6f0">
    <w:name w:val="Подпись к картинке (6)"/>
    <w:uiPriority w:val="99"/>
    <w:rsid w:val="00601A94"/>
    <w:rPr>
      <w:rFonts w:cs="Times New Roman"/>
      <w:sz w:val="25"/>
      <w:szCs w:val="25"/>
      <w:shd w:val="clear" w:color="auto" w:fill="FFFFFF"/>
    </w:rPr>
  </w:style>
  <w:style w:type="character" w:customStyle="1" w:styleId="3335">
    <w:name w:val="Основной текст (33)35"/>
    <w:uiPriority w:val="99"/>
    <w:rsid w:val="00601A94"/>
    <w:rPr>
      <w:rFonts w:cs="Times New Roman"/>
      <w:sz w:val="25"/>
      <w:szCs w:val="25"/>
      <w:shd w:val="clear" w:color="auto" w:fill="FFFFFF"/>
    </w:rPr>
  </w:style>
  <w:style w:type="character" w:customStyle="1" w:styleId="3330">
    <w:name w:val="Основной текст (33)30"/>
    <w:uiPriority w:val="99"/>
    <w:rsid w:val="00601A94"/>
    <w:rPr>
      <w:rFonts w:cs="Times New Roman"/>
      <w:noProof/>
      <w:sz w:val="25"/>
      <w:szCs w:val="25"/>
      <w:shd w:val="clear" w:color="auto" w:fill="FFFFFF"/>
    </w:rPr>
  </w:style>
  <w:style w:type="character" w:customStyle="1" w:styleId="452">
    <w:name w:val="Основной текст (45)_"/>
    <w:link w:val="4510"/>
    <w:uiPriority w:val="99"/>
    <w:locked/>
    <w:rsid w:val="00601A94"/>
    <w:rPr>
      <w:rFonts w:cs="Times New Roman"/>
      <w:sz w:val="17"/>
      <w:szCs w:val="17"/>
      <w:shd w:val="clear" w:color="auto" w:fill="FFFFFF"/>
    </w:rPr>
  </w:style>
  <w:style w:type="character" w:customStyle="1" w:styleId="3-1pt2">
    <w:name w:val="Основной текст (3) + Интервал -1 pt2"/>
    <w:uiPriority w:val="99"/>
    <w:rsid w:val="00601A94"/>
    <w:rPr>
      <w:rFonts w:ascii="Times New Roman" w:hAnsi="Times New Roman" w:cs="Times New Roman"/>
      <w:b/>
      <w:bCs/>
      <w:i/>
      <w:iCs/>
      <w:spacing w:val="-30"/>
      <w:sz w:val="25"/>
      <w:szCs w:val="25"/>
      <w:u w:val="none"/>
      <w:shd w:val="clear" w:color="auto" w:fill="FFFFFF"/>
    </w:rPr>
  </w:style>
  <w:style w:type="character" w:customStyle="1" w:styleId="671">
    <w:name w:val="Основной текст (67)_"/>
    <w:link w:val="672"/>
    <w:uiPriority w:val="99"/>
    <w:locked/>
    <w:rsid w:val="00601A94"/>
    <w:rPr>
      <w:rFonts w:ascii="Arial" w:hAnsi="Arial" w:cs="Arial"/>
      <w:noProof/>
      <w:shd w:val="clear" w:color="auto" w:fill="FFFFFF"/>
    </w:rPr>
  </w:style>
  <w:style w:type="character" w:customStyle="1" w:styleId="67TimesNewRoman">
    <w:name w:val="Основной текст (67) + Times New Roman"/>
    <w:aliases w:val="1230,5 pt181,Полужирный74,Курсив89,Интервал -1 pt10"/>
    <w:uiPriority w:val="99"/>
    <w:rsid w:val="00601A94"/>
    <w:rPr>
      <w:rFonts w:ascii="Times New Roman" w:hAnsi="Times New Roman" w:cs="Times New Roman"/>
      <w:b/>
      <w:bCs/>
      <w:i/>
      <w:iCs/>
      <w:noProof/>
      <w:spacing w:val="-30"/>
      <w:sz w:val="25"/>
      <w:szCs w:val="25"/>
      <w:shd w:val="clear" w:color="auto" w:fill="FFFFFF"/>
    </w:rPr>
  </w:style>
  <w:style w:type="character" w:customStyle="1" w:styleId="36d">
    <w:name w:val="Основной текст (36)"/>
    <w:uiPriority w:val="99"/>
    <w:rsid w:val="00601A94"/>
    <w:rPr>
      <w:rFonts w:cs="Times New Roman"/>
      <w:b/>
      <w:bCs/>
      <w:sz w:val="17"/>
      <w:szCs w:val="17"/>
      <w:shd w:val="clear" w:color="auto" w:fill="FFFFFF"/>
    </w:rPr>
  </w:style>
  <w:style w:type="character" w:customStyle="1" w:styleId="36124">
    <w:name w:val="Основной текст (36) + 124"/>
    <w:aliases w:val="5 pt180,Курсив88,Интервал -1 pt9"/>
    <w:uiPriority w:val="99"/>
    <w:rsid w:val="00601A94"/>
    <w:rPr>
      <w:rFonts w:cs="Times New Roman"/>
      <w:b/>
      <w:bCs/>
      <w:i/>
      <w:iCs/>
      <w:noProof/>
      <w:spacing w:val="-30"/>
      <w:sz w:val="25"/>
      <w:szCs w:val="25"/>
      <w:shd w:val="clear" w:color="auto" w:fill="FFFFFF"/>
    </w:rPr>
  </w:style>
  <w:style w:type="character" w:customStyle="1" w:styleId="14f">
    <w:name w:val="Подпись к картинке (14)_"/>
    <w:link w:val="14f0"/>
    <w:uiPriority w:val="99"/>
    <w:locked/>
    <w:rsid w:val="00601A94"/>
    <w:rPr>
      <w:rFonts w:cs="Times New Roman"/>
      <w:b/>
      <w:bCs/>
      <w:shd w:val="clear" w:color="auto" w:fill="FFFFFF"/>
    </w:rPr>
  </w:style>
  <w:style w:type="character" w:customStyle="1" w:styleId="10f3">
    <w:name w:val="Подпись к картинке (10)"/>
    <w:uiPriority w:val="99"/>
    <w:rsid w:val="00601A94"/>
    <w:rPr>
      <w:rFonts w:cs="Times New Roman"/>
      <w:b/>
      <w:bCs/>
      <w:sz w:val="17"/>
      <w:szCs w:val="17"/>
      <w:shd w:val="clear" w:color="auto" w:fill="FFFFFF"/>
    </w:rPr>
  </w:style>
  <w:style w:type="character" w:customStyle="1" w:styleId="15c">
    <w:name w:val="Подпись к картинке (15)_"/>
    <w:link w:val="1512"/>
    <w:uiPriority w:val="99"/>
    <w:locked/>
    <w:rsid w:val="00601A94"/>
    <w:rPr>
      <w:rFonts w:ascii="Arial" w:hAnsi="Arial" w:cs="Arial"/>
      <w:sz w:val="16"/>
      <w:szCs w:val="16"/>
      <w:shd w:val="clear" w:color="auto" w:fill="FFFFFF"/>
    </w:rPr>
  </w:style>
  <w:style w:type="character" w:customStyle="1" w:styleId="15d">
    <w:name w:val="Подпись к картинке (15)"/>
    <w:uiPriority w:val="99"/>
    <w:rsid w:val="00601A94"/>
    <w:rPr>
      <w:rFonts w:ascii="Arial" w:hAnsi="Arial" w:cs="Arial"/>
      <w:sz w:val="16"/>
      <w:szCs w:val="16"/>
      <w:shd w:val="clear" w:color="auto" w:fill="FFFFFF"/>
    </w:rPr>
  </w:style>
  <w:style w:type="character" w:customStyle="1" w:styleId="1570">
    <w:name w:val="Подпись к картинке (15) + 7"/>
    <w:aliases w:val="5 pt179"/>
    <w:uiPriority w:val="99"/>
    <w:rsid w:val="00601A94"/>
    <w:rPr>
      <w:rFonts w:ascii="Arial" w:hAnsi="Arial" w:cs="Arial"/>
      <w:sz w:val="15"/>
      <w:szCs w:val="15"/>
      <w:shd w:val="clear" w:color="auto" w:fill="FFFFFF"/>
    </w:rPr>
  </w:style>
  <w:style w:type="character" w:customStyle="1" w:styleId="1571">
    <w:name w:val="Подпись к картинке (15) + 71"/>
    <w:aliases w:val="5 pt178"/>
    <w:uiPriority w:val="99"/>
    <w:rsid w:val="00601A94"/>
    <w:rPr>
      <w:rFonts w:ascii="Arial" w:hAnsi="Arial" w:cs="Arial"/>
      <w:noProof/>
      <w:sz w:val="15"/>
      <w:szCs w:val="15"/>
      <w:shd w:val="clear" w:color="auto" w:fill="FFFFFF"/>
    </w:rPr>
  </w:style>
  <w:style w:type="character" w:customStyle="1" w:styleId="15TimesNewRoman0">
    <w:name w:val="Подпись к картинке (15) + Times New Roman"/>
    <w:aliases w:val="Полужирный73"/>
    <w:uiPriority w:val="99"/>
    <w:rsid w:val="00601A94"/>
    <w:rPr>
      <w:rFonts w:ascii="Times New Roman" w:hAnsi="Times New Roman" w:cs="Times New Roman"/>
      <w:b/>
      <w:bCs/>
      <w:sz w:val="16"/>
      <w:szCs w:val="16"/>
      <w:shd w:val="clear" w:color="auto" w:fill="FFFFFF"/>
    </w:rPr>
  </w:style>
  <w:style w:type="character" w:customStyle="1" w:styleId="15TimesNewRoman1">
    <w:name w:val="Подпись к картинке (15) + Times New Roman1"/>
    <w:aliases w:val="Полужирный72"/>
    <w:uiPriority w:val="99"/>
    <w:rsid w:val="00601A94"/>
    <w:rPr>
      <w:rFonts w:ascii="Times New Roman" w:hAnsi="Times New Roman" w:cs="Times New Roman"/>
      <w:b/>
      <w:bCs/>
      <w:noProof/>
      <w:sz w:val="16"/>
      <w:szCs w:val="16"/>
      <w:shd w:val="clear" w:color="auto" w:fill="FFFFFF"/>
    </w:rPr>
  </w:style>
  <w:style w:type="character" w:customStyle="1" w:styleId="1531">
    <w:name w:val="Подпись к картинке (15)3"/>
    <w:uiPriority w:val="99"/>
    <w:rsid w:val="00601A94"/>
    <w:rPr>
      <w:rFonts w:ascii="Arial" w:hAnsi="Arial" w:cs="Arial"/>
      <w:sz w:val="16"/>
      <w:szCs w:val="16"/>
      <w:shd w:val="clear" w:color="auto" w:fill="FFFFFF"/>
      <w:lang w:val="en-US" w:eastAsia="en-US"/>
    </w:rPr>
  </w:style>
  <w:style w:type="character" w:customStyle="1" w:styleId="16c">
    <w:name w:val="Подпись к картинке (16)_"/>
    <w:link w:val="1613"/>
    <w:uiPriority w:val="99"/>
    <w:locked/>
    <w:rsid w:val="00601A94"/>
    <w:rPr>
      <w:rFonts w:ascii="Arial" w:hAnsi="Arial" w:cs="Arial"/>
      <w:sz w:val="16"/>
      <w:szCs w:val="16"/>
      <w:shd w:val="clear" w:color="auto" w:fill="FFFFFF"/>
    </w:rPr>
  </w:style>
  <w:style w:type="character" w:customStyle="1" w:styleId="16d">
    <w:name w:val="Подпись к картинке (16)"/>
    <w:uiPriority w:val="99"/>
    <w:rsid w:val="00601A94"/>
    <w:rPr>
      <w:rFonts w:ascii="Arial" w:hAnsi="Arial" w:cs="Arial"/>
      <w:sz w:val="16"/>
      <w:szCs w:val="16"/>
      <w:shd w:val="clear" w:color="auto" w:fill="FFFFFF"/>
    </w:rPr>
  </w:style>
  <w:style w:type="character" w:customStyle="1" w:styleId="661">
    <w:name w:val="Основной текст (66)_"/>
    <w:link w:val="662"/>
    <w:uiPriority w:val="99"/>
    <w:locked/>
    <w:rsid w:val="00601A94"/>
    <w:rPr>
      <w:rFonts w:ascii="Arial" w:hAnsi="Arial" w:cs="Arial"/>
      <w:noProof/>
      <w:sz w:val="10"/>
      <w:szCs w:val="10"/>
      <w:shd w:val="clear" w:color="auto" w:fill="FFFFFF"/>
    </w:rPr>
  </w:style>
  <w:style w:type="character" w:customStyle="1" w:styleId="36123">
    <w:name w:val="Основной текст (36) + 123"/>
    <w:aliases w:val="5 pt173,Не полужирный50"/>
    <w:uiPriority w:val="99"/>
    <w:rsid w:val="00601A94"/>
    <w:rPr>
      <w:rFonts w:cs="Times New Roman"/>
      <w:b/>
      <w:bCs/>
      <w:sz w:val="25"/>
      <w:szCs w:val="25"/>
      <w:shd w:val="clear" w:color="auto" w:fill="FFFFFF"/>
      <w:lang w:val="de-DE" w:eastAsia="de-DE"/>
    </w:rPr>
  </w:style>
  <w:style w:type="character" w:customStyle="1" w:styleId="8-1pt1">
    <w:name w:val="Основной текст (8) + Интервал -1 pt1"/>
    <w:uiPriority w:val="99"/>
    <w:rsid w:val="00601A94"/>
    <w:rPr>
      <w:rFonts w:ascii="Times New Roman" w:hAnsi="Times New Roman" w:cs="Times New Roman"/>
      <w:b/>
      <w:bCs/>
      <w:spacing w:val="-20"/>
      <w:sz w:val="24"/>
      <w:szCs w:val="24"/>
      <w:shd w:val="clear" w:color="auto" w:fill="FFFFFF"/>
    </w:rPr>
  </w:style>
  <w:style w:type="character" w:customStyle="1" w:styleId="2413">
    <w:name w:val="Основной текст (24)13"/>
    <w:uiPriority w:val="99"/>
    <w:rsid w:val="00601A94"/>
    <w:rPr>
      <w:rFonts w:cs="Times New Roman"/>
      <w:i/>
      <w:iCs/>
      <w:sz w:val="26"/>
      <w:szCs w:val="26"/>
      <w:shd w:val="clear" w:color="auto" w:fill="FFFFFF"/>
    </w:rPr>
  </w:style>
  <w:style w:type="character" w:customStyle="1" w:styleId="24123">
    <w:name w:val="Основной текст (24) + 123"/>
    <w:aliases w:val="5 pt172,Не курсив43"/>
    <w:uiPriority w:val="99"/>
    <w:rsid w:val="00601A94"/>
    <w:rPr>
      <w:rFonts w:cs="Times New Roman"/>
      <w:i/>
      <w:iCs/>
      <w:sz w:val="25"/>
      <w:szCs w:val="25"/>
      <w:shd w:val="clear" w:color="auto" w:fill="FFFFFF"/>
    </w:rPr>
  </w:style>
  <w:style w:type="character" w:customStyle="1" w:styleId="454">
    <w:name w:val="Основной текст (45)4"/>
    <w:uiPriority w:val="99"/>
    <w:rsid w:val="00601A94"/>
    <w:rPr>
      <w:rFonts w:cs="Times New Roman"/>
      <w:sz w:val="17"/>
      <w:szCs w:val="17"/>
      <w:shd w:val="clear" w:color="auto" w:fill="FFFFFF"/>
      <w:lang w:val="en-US" w:eastAsia="en-US"/>
    </w:rPr>
  </w:style>
  <w:style w:type="character" w:customStyle="1" w:styleId="453">
    <w:name w:val="Основной текст (45)3"/>
    <w:uiPriority w:val="99"/>
    <w:rsid w:val="00601A94"/>
    <w:rPr>
      <w:rFonts w:cs="Times New Roman"/>
      <w:noProof/>
      <w:sz w:val="17"/>
      <w:szCs w:val="17"/>
      <w:shd w:val="clear" w:color="auto" w:fill="FFFFFF"/>
    </w:rPr>
  </w:style>
  <w:style w:type="character" w:customStyle="1" w:styleId="458pt">
    <w:name w:val="Основной текст (45) + 8 pt"/>
    <w:aliases w:val="Интервал 1 pt26"/>
    <w:uiPriority w:val="99"/>
    <w:rsid w:val="00601A94"/>
    <w:rPr>
      <w:rFonts w:cs="Times New Roman"/>
      <w:spacing w:val="20"/>
      <w:sz w:val="16"/>
      <w:szCs w:val="16"/>
      <w:shd w:val="clear" w:color="auto" w:fill="FFFFFF"/>
      <w:lang w:val="en-US" w:eastAsia="en-US"/>
    </w:rPr>
  </w:style>
  <w:style w:type="character" w:customStyle="1" w:styleId="458pt1">
    <w:name w:val="Основной текст (45) + 8 pt1"/>
    <w:aliases w:val="Интервал 1 pt25"/>
    <w:uiPriority w:val="99"/>
    <w:rsid w:val="00601A94"/>
    <w:rPr>
      <w:rFonts w:cs="Times New Roman"/>
      <w:noProof/>
      <w:spacing w:val="20"/>
      <w:sz w:val="16"/>
      <w:szCs w:val="16"/>
      <w:shd w:val="clear" w:color="auto" w:fill="FFFFFF"/>
    </w:rPr>
  </w:style>
  <w:style w:type="character" w:customStyle="1" w:styleId="4512">
    <w:name w:val="Основной текст (45) + 12"/>
    <w:aliases w:val="5 pt171"/>
    <w:uiPriority w:val="99"/>
    <w:rsid w:val="00601A94"/>
    <w:rPr>
      <w:rFonts w:cs="Times New Roman"/>
      <w:sz w:val="25"/>
      <w:szCs w:val="25"/>
      <w:shd w:val="clear" w:color="auto" w:fill="FFFFFF"/>
    </w:rPr>
  </w:style>
  <w:style w:type="character" w:customStyle="1" w:styleId="42a">
    <w:name w:val="Заголовок №4 (2)_"/>
    <w:link w:val="42b"/>
    <w:uiPriority w:val="99"/>
    <w:locked/>
    <w:rsid w:val="00601A94"/>
    <w:rPr>
      <w:rFonts w:ascii="Arial" w:hAnsi="Arial" w:cs="Arial"/>
      <w:b/>
      <w:bCs/>
      <w:sz w:val="23"/>
      <w:szCs w:val="23"/>
      <w:shd w:val="clear" w:color="auto" w:fill="FFFFFF"/>
    </w:rPr>
  </w:style>
  <w:style w:type="character" w:customStyle="1" w:styleId="3313">
    <w:name w:val="Основной текст (33)13"/>
    <w:uiPriority w:val="99"/>
    <w:rsid w:val="00601A94"/>
    <w:rPr>
      <w:rFonts w:cs="Times New Roman"/>
      <w:noProof/>
      <w:sz w:val="25"/>
      <w:szCs w:val="25"/>
      <w:shd w:val="clear" w:color="auto" w:fill="FFFFFF"/>
    </w:rPr>
  </w:style>
  <w:style w:type="character" w:customStyle="1" w:styleId="681">
    <w:name w:val="Основной текст (68)_"/>
    <w:link w:val="6810"/>
    <w:uiPriority w:val="99"/>
    <w:locked/>
    <w:rsid w:val="00601A94"/>
    <w:rPr>
      <w:rFonts w:ascii="Arial" w:hAnsi="Arial" w:cs="Arial"/>
      <w:sz w:val="18"/>
      <w:szCs w:val="18"/>
      <w:shd w:val="clear" w:color="auto" w:fill="FFFFFF"/>
    </w:rPr>
  </w:style>
  <w:style w:type="character" w:customStyle="1" w:styleId="682">
    <w:name w:val="Основной текст (68)"/>
    <w:uiPriority w:val="99"/>
    <w:rsid w:val="00601A94"/>
    <w:rPr>
      <w:rFonts w:ascii="Arial" w:hAnsi="Arial" w:cs="Arial"/>
      <w:sz w:val="18"/>
      <w:szCs w:val="18"/>
      <w:shd w:val="clear" w:color="auto" w:fill="FFFFFF"/>
    </w:rPr>
  </w:style>
  <w:style w:type="character" w:customStyle="1" w:styleId="686">
    <w:name w:val="Основной текст (68)6"/>
    <w:uiPriority w:val="99"/>
    <w:rsid w:val="00601A94"/>
    <w:rPr>
      <w:rFonts w:ascii="Arial" w:hAnsi="Arial" w:cs="Arial"/>
      <w:noProof/>
      <w:sz w:val="18"/>
      <w:szCs w:val="18"/>
      <w:shd w:val="clear" w:color="auto" w:fill="FFFFFF"/>
    </w:rPr>
  </w:style>
  <w:style w:type="character" w:customStyle="1" w:styleId="68TimesNewRoman">
    <w:name w:val="Основной текст (68) + Times New Roman"/>
    <w:aliases w:val="96,5 pt170"/>
    <w:uiPriority w:val="99"/>
    <w:rsid w:val="00601A94"/>
    <w:rPr>
      <w:rFonts w:ascii="Times New Roman" w:hAnsi="Times New Roman" w:cs="Times New Roman"/>
      <w:sz w:val="19"/>
      <w:szCs w:val="19"/>
      <w:shd w:val="clear" w:color="auto" w:fill="FFFFFF"/>
    </w:rPr>
  </w:style>
  <w:style w:type="character" w:customStyle="1" w:styleId="685">
    <w:name w:val="Основной текст (68)5"/>
    <w:uiPriority w:val="99"/>
    <w:rsid w:val="00601A94"/>
    <w:rPr>
      <w:rFonts w:ascii="Arial" w:hAnsi="Arial" w:cs="Arial"/>
      <w:noProof/>
      <w:sz w:val="18"/>
      <w:szCs w:val="18"/>
      <w:shd w:val="clear" w:color="auto" w:fill="FFFFFF"/>
    </w:rPr>
  </w:style>
  <w:style w:type="character" w:customStyle="1" w:styleId="691">
    <w:name w:val="Основной текст (69)_"/>
    <w:link w:val="6910"/>
    <w:uiPriority w:val="99"/>
    <w:locked/>
    <w:rsid w:val="00601A94"/>
    <w:rPr>
      <w:rFonts w:cs="Times New Roman"/>
      <w:sz w:val="19"/>
      <w:szCs w:val="19"/>
      <w:shd w:val="clear" w:color="auto" w:fill="FFFFFF"/>
    </w:rPr>
  </w:style>
  <w:style w:type="character" w:customStyle="1" w:styleId="692">
    <w:name w:val="Основной текст (69)"/>
    <w:uiPriority w:val="99"/>
    <w:rsid w:val="00601A94"/>
    <w:rPr>
      <w:rFonts w:cs="Times New Roman"/>
      <w:sz w:val="19"/>
      <w:szCs w:val="19"/>
      <w:shd w:val="clear" w:color="auto" w:fill="FFFFFF"/>
    </w:rPr>
  </w:style>
  <w:style w:type="character" w:customStyle="1" w:styleId="33120">
    <w:name w:val="Основной текст (33)12"/>
    <w:uiPriority w:val="99"/>
    <w:rsid w:val="00601A94"/>
    <w:rPr>
      <w:rFonts w:cs="Times New Roman"/>
      <w:noProof/>
      <w:sz w:val="25"/>
      <w:szCs w:val="25"/>
      <w:shd w:val="clear" w:color="auto" w:fill="FFFFFF"/>
    </w:rPr>
  </w:style>
  <w:style w:type="character" w:customStyle="1" w:styleId="33-1pt">
    <w:name w:val="Основной текст (33) + Интервал -1 pt"/>
    <w:uiPriority w:val="99"/>
    <w:rsid w:val="00601A94"/>
    <w:rPr>
      <w:rFonts w:cs="Times New Roman"/>
      <w:spacing w:val="-20"/>
      <w:sz w:val="25"/>
      <w:szCs w:val="25"/>
      <w:shd w:val="clear" w:color="auto" w:fill="FFFFFF"/>
    </w:rPr>
  </w:style>
  <w:style w:type="character" w:customStyle="1" w:styleId="701">
    <w:name w:val="Основной текст (70)_"/>
    <w:link w:val="702"/>
    <w:uiPriority w:val="99"/>
    <w:locked/>
    <w:rsid w:val="00601A94"/>
    <w:rPr>
      <w:rFonts w:ascii="Arial" w:hAnsi="Arial" w:cs="Arial"/>
      <w:sz w:val="19"/>
      <w:szCs w:val="19"/>
      <w:shd w:val="clear" w:color="auto" w:fill="FFFFFF"/>
    </w:rPr>
  </w:style>
  <w:style w:type="character" w:customStyle="1" w:styleId="33f">
    <w:name w:val="Заголовок №3 (3)_"/>
    <w:link w:val="33f0"/>
    <w:uiPriority w:val="99"/>
    <w:locked/>
    <w:rsid w:val="00601A94"/>
    <w:rPr>
      <w:rFonts w:cs="Times New Roman"/>
      <w:b/>
      <w:bCs/>
      <w:sz w:val="23"/>
      <w:szCs w:val="23"/>
      <w:shd w:val="clear" w:color="auto" w:fill="FFFFFF"/>
    </w:rPr>
  </w:style>
  <w:style w:type="character" w:customStyle="1" w:styleId="1pt9">
    <w:name w:val="Основной текст + Интервал 1 pt9"/>
    <w:uiPriority w:val="99"/>
    <w:rsid w:val="00601A94"/>
    <w:rPr>
      <w:rFonts w:ascii="Times New Roman" w:hAnsi="Times New Roman" w:cs="Times New Roman"/>
      <w:color w:val="00000A"/>
      <w:spacing w:val="20"/>
      <w:sz w:val="25"/>
      <w:szCs w:val="25"/>
      <w:shd w:val="clear" w:color="auto" w:fill="FFFFFF"/>
      <w:lang w:eastAsia="zh-CN"/>
    </w:rPr>
  </w:style>
  <w:style w:type="character" w:customStyle="1" w:styleId="1pt8">
    <w:name w:val="Основной текст + Интервал 1 pt8"/>
    <w:uiPriority w:val="99"/>
    <w:rsid w:val="00601A94"/>
    <w:rPr>
      <w:rFonts w:ascii="Times New Roman" w:hAnsi="Times New Roman" w:cs="Times New Roman"/>
      <w:color w:val="00000A"/>
      <w:spacing w:val="20"/>
      <w:sz w:val="25"/>
      <w:szCs w:val="25"/>
      <w:u w:val="single"/>
      <w:shd w:val="clear" w:color="auto" w:fill="FFFFFF"/>
      <w:lang w:eastAsia="zh-CN"/>
    </w:rPr>
  </w:style>
  <w:style w:type="character" w:customStyle="1" w:styleId="12pt4">
    <w:name w:val="Основной текст + 12 pt4"/>
    <w:uiPriority w:val="99"/>
    <w:rsid w:val="00601A94"/>
    <w:rPr>
      <w:rFonts w:ascii="Times New Roman" w:hAnsi="Times New Roman" w:cs="Times New Roman"/>
      <w:color w:val="00000A"/>
      <w:sz w:val="24"/>
      <w:szCs w:val="24"/>
      <w:shd w:val="clear" w:color="auto" w:fill="FFFFFF"/>
      <w:lang w:eastAsia="zh-CN"/>
    </w:rPr>
  </w:style>
  <w:style w:type="character" w:customStyle="1" w:styleId="553">
    <w:name w:val="Основной текст (55)"/>
    <w:uiPriority w:val="99"/>
    <w:rsid w:val="00601A94"/>
    <w:rPr>
      <w:rFonts w:ascii="Arial" w:hAnsi="Arial" w:cs="Arial"/>
      <w:sz w:val="16"/>
      <w:szCs w:val="16"/>
      <w:shd w:val="clear" w:color="auto" w:fill="FFFFFF"/>
      <w:lang w:val="en-US" w:eastAsia="en-US"/>
    </w:rPr>
  </w:style>
  <w:style w:type="character" w:customStyle="1" w:styleId="5520">
    <w:name w:val="Основной текст (55)2"/>
    <w:uiPriority w:val="99"/>
    <w:rsid w:val="00601A94"/>
    <w:rPr>
      <w:rFonts w:ascii="Arial" w:hAnsi="Arial" w:cs="Arial"/>
      <w:noProof/>
      <w:sz w:val="16"/>
      <w:szCs w:val="16"/>
      <w:shd w:val="clear" w:color="auto" w:fill="FFFFFF"/>
    </w:rPr>
  </w:style>
  <w:style w:type="character" w:customStyle="1" w:styleId="556">
    <w:name w:val="Основной текст (55) + 6"/>
    <w:aliases w:val="5 pt169,Полужирный70"/>
    <w:uiPriority w:val="99"/>
    <w:rsid w:val="00601A94"/>
    <w:rPr>
      <w:rFonts w:ascii="Arial" w:hAnsi="Arial" w:cs="Arial"/>
      <w:b/>
      <w:bCs/>
      <w:sz w:val="13"/>
      <w:szCs w:val="13"/>
      <w:shd w:val="clear" w:color="auto" w:fill="FFFFFF"/>
      <w:lang w:val="en-US" w:eastAsia="en-US"/>
    </w:rPr>
  </w:style>
  <w:style w:type="character" w:customStyle="1" w:styleId="5561">
    <w:name w:val="Основной текст (55) + 61"/>
    <w:aliases w:val="5 pt168,Полужирный69"/>
    <w:uiPriority w:val="99"/>
    <w:rsid w:val="00601A94"/>
    <w:rPr>
      <w:rFonts w:ascii="Arial" w:hAnsi="Arial" w:cs="Arial"/>
      <w:b/>
      <w:bCs/>
      <w:noProof/>
      <w:sz w:val="13"/>
      <w:szCs w:val="13"/>
      <w:shd w:val="clear" w:color="auto" w:fill="FFFFFF"/>
    </w:rPr>
  </w:style>
  <w:style w:type="character" w:customStyle="1" w:styleId="55TimesNewRoman">
    <w:name w:val="Основной текст (55) + Times New Roman"/>
    <w:aliases w:val="1229,5 pt167"/>
    <w:uiPriority w:val="99"/>
    <w:rsid w:val="00601A94"/>
    <w:rPr>
      <w:rFonts w:ascii="Times New Roman" w:hAnsi="Times New Roman" w:cs="Times New Roman"/>
      <w:noProof/>
      <w:sz w:val="25"/>
      <w:szCs w:val="25"/>
      <w:shd w:val="clear" w:color="auto" w:fill="FFFFFF"/>
    </w:rPr>
  </w:style>
  <w:style w:type="character" w:customStyle="1" w:styleId="33110">
    <w:name w:val="Основной текст (33)11"/>
    <w:uiPriority w:val="99"/>
    <w:rsid w:val="00601A94"/>
    <w:rPr>
      <w:rFonts w:cs="Times New Roman"/>
      <w:noProof/>
      <w:sz w:val="25"/>
      <w:szCs w:val="25"/>
      <w:shd w:val="clear" w:color="auto" w:fill="FFFFFF"/>
    </w:rPr>
  </w:style>
  <w:style w:type="character" w:customStyle="1" w:styleId="71b">
    <w:name w:val="Основной текст (71)_"/>
    <w:link w:val="7111"/>
    <w:uiPriority w:val="99"/>
    <w:locked/>
    <w:rsid w:val="00601A94"/>
    <w:rPr>
      <w:rFonts w:ascii="Arial" w:hAnsi="Arial" w:cs="Arial"/>
      <w:b/>
      <w:bCs/>
      <w:sz w:val="11"/>
      <w:szCs w:val="11"/>
      <w:shd w:val="clear" w:color="auto" w:fill="FFFFFF"/>
    </w:rPr>
  </w:style>
  <w:style w:type="character" w:customStyle="1" w:styleId="71c">
    <w:name w:val="Основной текст (71)"/>
    <w:uiPriority w:val="99"/>
    <w:rsid w:val="00601A94"/>
    <w:rPr>
      <w:rFonts w:ascii="Arial" w:hAnsi="Arial" w:cs="Arial"/>
      <w:b/>
      <w:bCs/>
      <w:sz w:val="11"/>
      <w:szCs w:val="11"/>
      <w:shd w:val="clear" w:color="auto" w:fill="FFFFFF"/>
    </w:rPr>
  </w:style>
  <w:style w:type="character" w:customStyle="1" w:styleId="33100">
    <w:name w:val="Основной текст (33)10"/>
    <w:uiPriority w:val="99"/>
    <w:rsid w:val="00601A94"/>
    <w:rPr>
      <w:rFonts w:cs="Times New Roman"/>
      <w:noProof/>
      <w:sz w:val="25"/>
      <w:szCs w:val="25"/>
      <w:shd w:val="clear" w:color="auto" w:fill="FFFFFF"/>
    </w:rPr>
  </w:style>
  <w:style w:type="character" w:customStyle="1" w:styleId="3390">
    <w:name w:val="Основной текст (33)9"/>
    <w:uiPriority w:val="99"/>
    <w:rsid w:val="00601A94"/>
    <w:rPr>
      <w:rFonts w:cs="Times New Roman"/>
      <w:noProof/>
      <w:sz w:val="25"/>
      <w:szCs w:val="25"/>
      <w:shd w:val="clear" w:color="auto" w:fill="FFFFFF"/>
    </w:rPr>
  </w:style>
  <w:style w:type="character" w:customStyle="1" w:styleId="731">
    <w:name w:val="Основной текст (7)3"/>
    <w:uiPriority w:val="99"/>
    <w:rsid w:val="00601A94"/>
    <w:rPr>
      <w:rFonts w:ascii="Times New Roman" w:hAnsi="Times New Roman" w:cs="Times New Roman"/>
      <w:b/>
      <w:noProof/>
      <w:sz w:val="17"/>
      <w:szCs w:val="17"/>
      <w:shd w:val="clear" w:color="auto" w:fill="FFFFFF"/>
    </w:rPr>
  </w:style>
  <w:style w:type="character" w:customStyle="1" w:styleId="7Arial1">
    <w:name w:val="Основной текст (7) + Arial1"/>
    <w:aliases w:val="621,5 pt166"/>
    <w:uiPriority w:val="99"/>
    <w:rsid w:val="00601A94"/>
    <w:rPr>
      <w:rFonts w:ascii="Arial" w:hAnsi="Arial" w:cs="Arial"/>
      <w:b/>
      <w:sz w:val="13"/>
      <w:szCs w:val="13"/>
      <w:shd w:val="clear" w:color="auto" w:fill="FFFFFF"/>
    </w:rPr>
  </w:style>
  <w:style w:type="character" w:customStyle="1" w:styleId="724">
    <w:name w:val="Основной текст (7)2"/>
    <w:uiPriority w:val="99"/>
    <w:rsid w:val="00601A94"/>
    <w:rPr>
      <w:rFonts w:ascii="Times New Roman" w:hAnsi="Times New Roman" w:cs="Times New Roman"/>
      <w:b/>
      <w:noProof/>
      <w:sz w:val="17"/>
      <w:szCs w:val="17"/>
      <w:shd w:val="clear" w:color="auto" w:fill="FFFFFF"/>
    </w:rPr>
  </w:style>
  <w:style w:type="character" w:customStyle="1" w:styleId="3380">
    <w:name w:val="Основной текст (33)8"/>
    <w:uiPriority w:val="99"/>
    <w:rsid w:val="00601A94"/>
    <w:rPr>
      <w:rFonts w:cs="Times New Roman"/>
      <w:noProof/>
      <w:sz w:val="25"/>
      <w:szCs w:val="25"/>
      <w:shd w:val="clear" w:color="auto" w:fill="FFFFFF"/>
    </w:rPr>
  </w:style>
  <w:style w:type="character" w:customStyle="1" w:styleId="3370">
    <w:name w:val="Основной текст (33)7"/>
    <w:uiPriority w:val="99"/>
    <w:rsid w:val="00601A94"/>
    <w:rPr>
      <w:rFonts w:cs="Times New Roman"/>
      <w:noProof/>
      <w:sz w:val="25"/>
      <w:szCs w:val="25"/>
      <w:shd w:val="clear" w:color="auto" w:fill="FFFFFF"/>
    </w:rPr>
  </w:style>
  <w:style w:type="character" w:customStyle="1" w:styleId="332pt">
    <w:name w:val="Основной текст (33) + Интервал 2 pt"/>
    <w:uiPriority w:val="99"/>
    <w:rsid w:val="00601A94"/>
    <w:rPr>
      <w:rFonts w:cs="Times New Roman"/>
      <w:spacing w:val="50"/>
      <w:sz w:val="25"/>
      <w:szCs w:val="25"/>
      <w:shd w:val="clear" w:color="auto" w:fill="FFFFFF"/>
    </w:rPr>
  </w:style>
  <w:style w:type="character" w:customStyle="1" w:styleId="332pt1">
    <w:name w:val="Основной текст (33) + Интервал 2 pt1"/>
    <w:uiPriority w:val="99"/>
    <w:rsid w:val="00601A94"/>
    <w:rPr>
      <w:rFonts w:cs="Times New Roman"/>
      <w:spacing w:val="50"/>
      <w:sz w:val="25"/>
      <w:szCs w:val="25"/>
      <w:shd w:val="clear" w:color="auto" w:fill="FFFFFF"/>
    </w:rPr>
  </w:style>
  <w:style w:type="character" w:customStyle="1" w:styleId="3371">
    <w:name w:val="Основной текст (33) + 7"/>
    <w:aliases w:val="5 pt165,Курсив86"/>
    <w:uiPriority w:val="99"/>
    <w:rsid w:val="00601A94"/>
    <w:rPr>
      <w:rFonts w:cs="Times New Roman"/>
      <w:i/>
      <w:iCs/>
      <w:sz w:val="15"/>
      <w:szCs w:val="15"/>
      <w:shd w:val="clear" w:color="auto" w:fill="FFFFFF"/>
    </w:rPr>
  </w:style>
  <w:style w:type="character" w:customStyle="1" w:styleId="3313pt">
    <w:name w:val="Основной текст (33) + 13 pt"/>
    <w:aliases w:val="Курсив85"/>
    <w:uiPriority w:val="99"/>
    <w:rsid w:val="00601A94"/>
    <w:rPr>
      <w:rFonts w:cs="Times New Roman"/>
      <w:i/>
      <w:iCs/>
      <w:noProof/>
      <w:sz w:val="26"/>
      <w:szCs w:val="26"/>
      <w:shd w:val="clear" w:color="auto" w:fill="FFFFFF"/>
    </w:rPr>
  </w:style>
  <w:style w:type="character" w:customStyle="1" w:styleId="3313pt1">
    <w:name w:val="Основной текст (33) + 13 pt1"/>
    <w:aliases w:val="Курсив84"/>
    <w:uiPriority w:val="99"/>
    <w:rsid w:val="00601A94"/>
    <w:rPr>
      <w:rFonts w:cs="Times New Roman"/>
      <w:i/>
      <w:iCs/>
      <w:sz w:val="26"/>
      <w:szCs w:val="26"/>
      <w:shd w:val="clear" w:color="auto" w:fill="FFFFFF"/>
    </w:rPr>
  </w:style>
  <w:style w:type="character" w:customStyle="1" w:styleId="331pt">
    <w:name w:val="Основной текст (33) + Интервал 1 pt"/>
    <w:uiPriority w:val="99"/>
    <w:rsid w:val="00601A94"/>
    <w:rPr>
      <w:rFonts w:cs="Times New Roman"/>
      <w:spacing w:val="30"/>
      <w:sz w:val="25"/>
      <w:szCs w:val="25"/>
      <w:shd w:val="clear" w:color="auto" w:fill="FFFFFF"/>
    </w:rPr>
  </w:style>
  <w:style w:type="character" w:customStyle="1" w:styleId="725">
    <w:name w:val="Основной текст (72)_"/>
    <w:link w:val="7211"/>
    <w:uiPriority w:val="99"/>
    <w:locked/>
    <w:rsid w:val="00601A94"/>
    <w:rPr>
      <w:rFonts w:cs="Times New Roman"/>
      <w:b/>
      <w:bCs/>
      <w:shd w:val="clear" w:color="auto" w:fill="FFFFFF"/>
    </w:rPr>
  </w:style>
  <w:style w:type="character" w:customStyle="1" w:styleId="726">
    <w:name w:val="Основной текст (72)"/>
    <w:uiPriority w:val="99"/>
    <w:rsid w:val="00601A94"/>
    <w:rPr>
      <w:rFonts w:cs="Times New Roman"/>
      <w:b/>
      <w:bCs/>
      <w:u w:val="single"/>
      <w:shd w:val="clear" w:color="auto" w:fill="FFFFFF"/>
    </w:rPr>
  </w:style>
  <w:style w:type="character" w:customStyle="1" w:styleId="722pt">
    <w:name w:val="Основной текст (72) + Интервал 2 pt"/>
    <w:uiPriority w:val="99"/>
    <w:rsid w:val="00601A94"/>
    <w:rPr>
      <w:rFonts w:cs="Times New Roman"/>
      <w:b/>
      <w:bCs/>
      <w:spacing w:val="40"/>
      <w:u w:val="single"/>
      <w:shd w:val="clear" w:color="auto" w:fill="FFFFFF"/>
    </w:rPr>
  </w:style>
  <w:style w:type="character" w:customStyle="1" w:styleId="722pt1">
    <w:name w:val="Основной текст (72) + Интервал 2 pt1"/>
    <w:uiPriority w:val="99"/>
    <w:rsid w:val="00601A94"/>
    <w:rPr>
      <w:rFonts w:cs="Times New Roman"/>
      <w:b/>
      <w:bCs/>
      <w:spacing w:val="40"/>
      <w:shd w:val="clear" w:color="auto" w:fill="FFFFFF"/>
    </w:rPr>
  </w:style>
  <w:style w:type="character" w:customStyle="1" w:styleId="732">
    <w:name w:val="Основной текст (73)_"/>
    <w:link w:val="733"/>
    <w:uiPriority w:val="99"/>
    <w:locked/>
    <w:rsid w:val="00601A94"/>
    <w:rPr>
      <w:rFonts w:cs="Times New Roman"/>
      <w:sz w:val="24"/>
      <w:szCs w:val="24"/>
      <w:shd w:val="clear" w:color="auto" w:fill="FFFFFF"/>
    </w:rPr>
  </w:style>
  <w:style w:type="character" w:customStyle="1" w:styleId="7230">
    <w:name w:val="Основной текст (72)3"/>
    <w:uiPriority w:val="99"/>
    <w:rsid w:val="00601A94"/>
    <w:rPr>
      <w:rFonts w:cs="Times New Roman"/>
      <w:b/>
      <w:bCs/>
      <w:spacing w:val="0"/>
      <w:shd w:val="clear" w:color="auto" w:fill="FFFFFF"/>
    </w:rPr>
  </w:style>
  <w:style w:type="character" w:customStyle="1" w:styleId="780">
    <w:name w:val="Основной текст (78)_"/>
    <w:link w:val="781"/>
    <w:uiPriority w:val="99"/>
    <w:locked/>
    <w:rsid w:val="00601A94"/>
    <w:rPr>
      <w:rFonts w:ascii="Arial" w:hAnsi="Arial" w:cs="Arial"/>
      <w:b/>
      <w:bCs/>
      <w:sz w:val="17"/>
      <w:szCs w:val="17"/>
      <w:shd w:val="clear" w:color="auto" w:fill="FFFFFF"/>
    </w:rPr>
  </w:style>
  <w:style w:type="character" w:customStyle="1" w:styleId="782">
    <w:name w:val="Основной текст (78)"/>
    <w:uiPriority w:val="99"/>
    <w:rsid w:val="00601A94"/>
    <w:rPr>
      <w:rFonts w:ascii="Arial" w:hAnsi="Arial" w:cs="Arial"/>
      <w:b/>
      <w:bCs/>
      <w:sz w:val="17"/>
      <w:szCs w:val="17"/>
      <w:shd w:val="clear" w:color="auto" w:fill="FFFFFF"/>
    </w:rPr>
  </w:style>
  <w:style w:type="character" w:customStyle="1" w:styleId="78TimesNewRoman">
    <w:name w:val="Основной текст (78) + Times New Roman"/>
    <w:aliases w:val="8 pt2"/>
    <w:uiPriority w:val="99"/>
    <w:rsid w:val="00601A94"/>
    <w:rPr>
      <w:rFonts w:ascii="Times New Roman" w:hAnsi="Times New Roman" w:cs="Times New Roman"/>
      <w:b/>
      <w:bCs/>
      <w:sz w:val="16"/>
      <w:szCs w:val="16"/>
      <w:shd w:val="clear" w:color="auto" w:fill="FFFFFF"/>
    </w:rPr>
  </w:style>
  <w:style w:type="character" w:customStyle="1" w:styleId="741">
    <w:name w:val="Основной текст (74)_"/>
    <w:link w:val="742"/>
    <w:uiPriority w:val="99"/>
    <w:locked/>
    <w:rsid w:val="00601A94"/>
    <w:rPr>
      <w:rFonts w:ascii="Arial" w:hAnsi="Arial" w:cs="Arial"/>
      <w:b/>
      <w:bCs/>
      <w:sz w:val="11"/>
      <w:szCs w:val="11"/>
      <w:shd w:val="clear" w:color="auto" w:fill="FFFFFF"/>
    </w:rPr>
  </w:style>
  <w:style w:type="character" w:customStyle="1" w:styleId="771">
    <w:name w:val="Основной текст (77)_"/>
    <w:link w:val="772"/>
    <w:uiPriority w:val="99"/>
    <w:locked/>
    <w:rsid w:val="00601A94"/>
    <w:rPr>
      <w:rFonts w:ascii="Arial" w:hAnsi="Arial" w:cs="Arial"/>
      <w:i/>
      <w:iCs/>
      <w:noProof/>
      <w:sz w:val="13"/>
      <w:szCs w:val="13"/>
      <w:shd w:val="clear" w:color="auto" w:fill="FFFFFF"/>
    </w:rPr>
  </w:style>
  <w:style w:type="character" w:customStyle="1" w:styleId="761">
    <w:name w:val="Основной текст (76)_"/>
    <w:link w:val="762"/>
    <w:uiPriority w:val="99"/>
    <w:locked/>
    <w:rsid w:val="00601A94"/>
    <w:rPr>
      <w:rFonts w:ascii="Arial" w:hAnsi="Arial" w:cs="Arial"/>
      <w:b/>
      <w:bCs/>
      <w:noProof/>
      <w:sz w:val="16"/>
      <w:szCs w:val="16"/>
      <w:shd w:val="clear" w:color="auto" w:fill="FFFFFF"/>
    </w:rPr>
  </w:style>
  <w:style w:type="character" w:customStyle="1" w:styleId="3-1pt1">
    <w:name w:val="Основной текст (3) + Интервал -1 pt1"/>
    <w:uiPriority w:val="99"/>
    <w:rsid w:val="00601A94"/>
    <w:rPr>
      <w:rFonts w:ascii="Times New Roman" w:hAnsi="Times New Roman" w:cs="Times New Roman"/>
      <w:b/>
      <w:bCs/>
      <w:i/>
      <w:iCs/>
      <w:spacing w:val="-30"/>
      <w:sz w:val="25"/>
      <w:szCs w:val="25"/>
      <w:u w:val="none"/>
      <w:shd w:val="clear" w:color="auto" w:fill="FFFFFF"/>
    </w:rPr>
  </w:style>
  <w:style w:type="character" w:customStyle="1" w:styleId="751">
    <w:name w:val="Основной текст (75)_"/>
    <w:link w:val="752"/>
    <w:uiPriority w:val="99"/>
    <w:locked/>
    <w:rsid w:val="00601A94"/>
    <w:rPr>
      <w:rFonts w:ascii="Arial" w:hAnsi="Arial" w:cs="Arial"/>
      <w:noProof/>
      <w:sz w:val="14"/>
      <w:szCs w:val="14"/>
      <w:shd w:val="clear" w:color="auto" w:fill="FFFFFF"/>
    </w:rPr>
  </w:style>
  <w:style w:type="character" w:customStyle="1" w:styleId="15e">
    <w:name w:val="Подпись к таблице (15)_"/>
    <w:link w:val="1513"/>
    <w:uiPriority w:val="99"/>
    <w:locked/>
    <w:rsid w:val="00601A94"/>
    <w:rPr>
      <w:rFonts w:ascii="Arial" w:hAnsi="Arial" w:cs="Arial"/>
      <w:b/>
      <w:bCs/>
      <w:sz w:val="17"/>
      <w:szCs w:val="17"/>
      <w:shd w:val="clear" w:color="auto" w:fill="FFFFFF"/>
    </w:rPr>
  </w:style>
  <w:style w:type="character" w:customStyle="1" w:styleId="15f">
    <w:name w:val="Подпись к таблице (15)"/>
    <w:uiPriority w:val="99"/>
    <w:rsid w:val="00601A94"/>
    <w:rPr>
      <w:rFonts w:ascii="Arial" w:hAnsi="Arial" w:cs="Arial"/>
      <w:b/>
      <w:bCs/>
      <w:sz w:val="17"/>
      <w:szCs w:val="17"/>
      <w:shd w:val="clear" w:color="auto" w:fill="FFFFFF"/>
    </w:rPr>
  </w:style>
  <w:style w:type="character" w:customStyle="1" w:styleId="15TimesNewRoman2">
    <w:name w:val="Подпись к таблице (15) + Times New Roman"/>
    <w:aliases w:val="8 pt4"/>
    <w:uiPriority w:val="99"/>
    <w:rsid w:val="00601A94"/>
    <w:rPr>
      <w:rFonts w:ascii="Times New Roman" w:hAnsi="Times New Roman" w:cs="Times New Roman"/>
      <w:b/>
      <w:bCs/>
      <w:sz w:val="16"/>
      <w:szCs w:val="16"/>
      <w:shd w:val="clear" w:color="auto" w:fill="FFFFFF"/>
    </w:rPr>
  </w:style>
  <w:style w:type="character" w:customStyle="1" w:styleId="15TimesNewRoman10">
    <w:name w:val="Подпись к таблице (15) + Times New Roman1"/>
    <w:aliases w:val="1228,5 pt164,Курсив83"/>
    <w:uiPriority w:val="99"/>
    <w:rsid w:val="00601A94"/>
    <w:rPr>
      <w:rFonts w:ascii="Times New Roman" w:hAnsi="Times New Roman" w:cs="Times New Roman"/>
      <w:b/>
      <w:bCs/>
      <w:i/>
      <w:iCs/>
      <w:sz w:val="25"/>
      <w:szCs w:val="25"/>
      <w:u w:val="single"/>
      <w:shd w:val="clear" w:color="auto" w:fill="FFFFFF"/>
    </w:rPr>
  </w:style>
  <w:style w:type="character" w:customStyle="1" w:styleId="17c">
    <w:name w:val="Подпись к картинке (17)_"/>
    <w:link w:val="1711"/>
    <w:uiPriority w:val="99"/>
    <w:locked/>
    <w:rsid w:val="00601A94"/>
    <w:rPr>
      <w:rFonts w:cs="Times New Roman"/>
      <w:sz w:val="14"/>
      <w:szCs w:val="14"/>
      <w:shd w:val="clear" w:color="auto" w:fill="FFFFFF"/>
    </w:rPr>
  </w:style>
  <w:style w:type="character" w:customStyle="1" w:styleId="17d">
    <w:name w:val="Подпись к картинке (17)"/>
    <w:uiPriority w:val="99"/>
    <w:rsid w:val="00601A94"/>
    <w:rPr>
      <w:rFonts w:cs="Times New Roman"/>
      <w:sz w:val="14"/>
      <w:szCs w:val="14"/>
      <w:shd w:val="clear" w:color="auto" w:fill="FFFFFF"/>
    </w:rPr>
  </w:style>
  <w:style w:type="character" w:customStyle="1" w:styleId="1713">
    <w:name w:val="Подпись к картинке (17)13"/>
    <w:uiPriority w:val="99"/>
    <w:rsid w:val="00601A94"/>
    <w:rPr>
      <w:rFonts w:ascii="Courier New" w:hAnsi="Courier New" w:cs="Courier New"/>
      <w:noProof/>
      <w:sz w:val="14"/>
      <w:szCs w:val="14"/>
      <w:shd w:val="clear" w:color="auto" w:fill="FFFFFF"/>
    </w:rPr>
  </w:style>
  <w:style w:type="character" w:customStyle="1" w:styleId="18c">
    <w:name w:val="Подпись к картинке (18)_"/>
    <w:link w:val="1813"/>
    <w:uiPriority w:val="99"/>
    <w:locked/>
    <w:rsid w:val="00601A94"/>
    <w:rPr>
      <w:rFonts w:ascii="Arial" w:hAnsi="Arial" w:cs="Arial"/>
      <w:w w:val="70"/>
      <w:sz w:val="16"/>
      <w:szCs w:val="16"/>
      <w:shd w:val="clear" w:color="auto" w:fill="FFFFFF"/>
    </w:rPr>
  </w:style>
  <w:style w:type="character" w:customStyle="1" w:styleId="18d">
    <w:name w:val="Подпись к картинке (18)"/>
    <w:uiPriority w:val="99"/>
    <w:rsid w:val="00601A94"/>
    <w:rPr>
      <w:rFonts w:ascii="Arial" w:hAnsi="Arial" w:cs="Arial"/>
      <w:w w:val="70"/>
      <w:sz w:val="16"/>
      <w:szCs w:val="16"/>
      <w:shd w:val="clear" w:color="auto" w:fill="FFFFFF"/>
    </w:rPr>
  </w:style>
  <w:style w:type="character" w:customStyle="1" w:styleId="1843">
    <w:name w:val="Подпись к картинке (18)4"/>
    <w:uiPriority w:val="99"/>
    <w:rsid w:val="00601A94"/>
    <w:rPr>
      <w:rFonts w:ascii="Arial" w:hAnsi="Arial" w:cs="Arial"/>
      <w:noProof/>
      <w:w w:val="70"/>
      <w:sz w:val="16"/>
      <w:szCs w:val="16"/>
      <w:shd w:val="clear" w:color="auto" w:fill="FFFFFF"/>
    </w:rPr>
  </w:style>
  <w:style w:type="character" w:customStyle="1" w:styleId="18CourierNew">
    <w:name w:val="Подпись к картинке (18) + Courier New"/>
    <w:aliases w:val="10 pt10,Курсив82,Масштаб 50%"/>
    <w:uiPriority w:val="99"/>
    <w:rsid w:val="00601A94"/>
    <w:rPr>
      <w:rFonts w:ascii="Courier New" w:hAnsi="Courier New" w:cs="Courier New"/>
      <w:i/>
      <w:iCs/>
      <w:w w:val="50"/>
      <w:sz w:val="20"/>
      <w:szCs w:val="20"/>
      <w:shd w:val="clear" w:color="auto" w:fill="FFFFFF"/>
    </w:rPr>
  </w:style>
  <w:style w:type="character" w:customStyle="1" w:styleId="1833">
    <w:name w:val="Подпись к картинке (18)3"/>
    <w:uiPriority w:val="99"/>
    <w:rsid w:val="00601A94"/>
    <w:rPr>
      <w:rFonts w:ascii="Arial" w:hAnsi="Arial" w:cs="Arial"/>
      <w:w w:val="70"/>
      <w:sz w:val="16"/>
      <w:szCs w:val="16"/>
      <w:shd w:val="clear" w:color="auto" w:fill="FFFFFF"/>
    </w:rPr>
  </w:style>
  <w:style w:type="character" w:customStyle="1" w:styleId="3220">
    <w:name w:val="Основной текст (3)22"/>
    <w:uiPriority w:val="99"/>
    <w:rsid w:val="00601A94"/>
    <w:rPr>
      <w:rFonts w:ascii="Times New Roman" w:hAnsi="Times New Roman" w:cs="Times New Roman"/>
      <w:b/>
      <w:bCs/>
      <w:i/>
      <w:iCs/>
      <w:sz w:val="25"/>
      <w:szCs w:val="25"/>
      <w:u w:val="none"/>
      <w:shd w:val="clear" w:color="auto" w:fill="FFFFFF"/>
    </w:rPr>
  </w:style>
  <w:style w:type="character" w:customStyle="1" w:styleId="19c">
    <w:name w:val="Подпись к картинке (19)_"/>
    <w:link w:val="1913"/>
    <w:uiPriority w:val="99"/>
    <w:locked/>
    <w:rsid w:val="00601A94"/>
    <w:rPr>
      <w:rFonts w:ascii="Impact" w:hAnsi="Impact" w:cs="Impact"/>
      <w:sz w:val="12"/>
      <w:szCs w:val="12"/>
      <w:shd w:val="clear" w:color="auto" w:fill="FFFFFF"/>
    </w:rPr>
  </w:style>
  <w:style w:type="character" w:customStyle="1" w:styleId="19d">
    <w:name w:val="Подпись к картинке (19)"/>
    <w:uiPriority w:val="99"/>
    <w:rsid w:val="00601A94"/>
    <w:rPr>
      <w:rFonts w:ascii="Impact" w:hAnsi="Impact" w:cs="Impact"/>
      <w:sz w:val="12"/>
      <w:szCs w:val="12"/>
      <w:shd w:val="clear" w:color="auto" w:fill="FFFFFF"/>
    </w:rPr>
  </w:style>
  <w:style w:type="character" w:customStyle="1" w:styleId="1823">
    <w:name w:val="Подпись к картинке (18)2"/>
    <w:uiPriority w:val="99"/>
    <w:rsid w:val="00601A94"/>
    <w:rPr>
      <w:rFonts w:ascii="Arial" w:hAnsi="Arial" w:cs="Arial"/>
      <w:noProof/>
      <w:w w:val="70"/>
      <w:sz w:val="16"/>
      <w:szCs w:val="16"/>
      <w:shd w:val="clear" w:color="auto" w:fill="FFFFFF"/>
    </w:rPr>
  </w:style>
  <w:style w:type="character" w:customStyle="1" w:styleId="801">
    <w:name w:val="Основной текст (80)_"/>
    <w:link w:val="8010"/>
    <w:uiPriority w:val="99"/>
    <w:locked/>
    <w:rsid w:val="00601A94"/>
    <w:rPr>
      <w:rFonts w:ascii="Arial" w:hAnsi="Arial" w:cs="Arial"/>
      <w:w w:val="70"/>
      <w:sz w:val="16"/>
      <w:szCs w:val="16"/>
      <w:shd w:val="clear" w:color="auto" w:fill="FFFFFF"/>
    </w:rPr>
  </w:style>
  <w:style w:type="character" w:customStyle="1" w:styleId="802">
    <w:name w:val="Основной текст (80)"/>
    <w:uiPriority w:val="99"/>
    <w:rsid w:val="00601A94"/>
    <w:rPr>
      <w:rFonts w:ascii="Arial" w:hAnsi="Arial" w:cs="Arial"/>
      <w:w w:val="70"/>
      <w:sz w:val="16"/>
      <w:szCs w:val="16"/>
      <w:shd w:val="clear" w:color="auto" w:fill="FFFFFF"/>
    </w:rPr>
  </w:style>
  <w:style w:type="character" w:customStyle="1" w:styleId="804">
    <w:name w:val="Основной текст (80)4"/>
    <w:uiPriority w:val="99"/>
    <w:rsid w:val="00601A94"/>
    <w:rPr>
      <w:rFonts w:ascii="Arial" w:hAnsi="Arial" w:cs="Arial"/>
      <w:w w:val="70"/>
      <w:sz w:val="16"/>
      <w:szCs w:val="16"/>
      <w:shd w:val="clear" w:color="auto" w:fill="FFFFFF"/>
    </w:rPr>
  </w:style>
  <w:style w:type="character" w:customStyle="1" w:styleId="790">
    <w:name w:val="Основной текст (79)_"/>
    <w:link w:val="791"/>
    <w:uiPriority w:val="99"/>
    <w:locked/>
    <w:rsid w:val="00601A94"/>
    <w:rPr>
      <w:rFonts w:cs="Times New Roman"/>
      <w:sz w:val="14"/>
      <w:szCs w:val="14"/>
      <w:shd w:val="clear" w:color="auto" w:fill="FFFFFF"/>
    </w:rPr>
  </w:style>
  <w:style w:type="character" w:customStyle="1" w:styleId="792">
    <w:name w:val="Основной текст (79)"/>
    <w:uiPriority w:val="99"/>
    <w:rsid w:val="00601A94"/>
    <w:rPr>
      <w:rFonts w:cs="Times New Roman"/>
      <w:sz w:val="14"/>
      <w:szCs w:val="14"/>
      <w:shd w:val="clear" w:color="auto" w:fill="FFFFFF"/>
    </w:rPr>
  </w:style>
  <w:style w:type="character" w:customStyle="1" w:styleId="799">
    <w:name w:val="Основной текст (79)9"/>
    <w:uiPriority w:val="99"/>
    <w:rsid w:val="00601A94"/>
    <w:rPr>
      <w:rFonts w:ascii="Courier New" w:hAnsi="Courier New" w:cs="Courier New"/>
      <w:noProof/>
      <w:sz w:val="14"/>
      <w:szCs w:val="14"/>
      <w:shd w:val="clear" w:color="auto" w:fill="FFFFFF"/>
    </w:rPr>
  </w:style>
  <w:style w:type="character" w:customStyle="1" w:styleId="23d">
    <w:name w:val="Заголовок №2 (3)_"/>
    <w:link w:val="2312"/>
    <w:uiPriority w:val="99"/>
    <w:locked/>
    <w:rsid w:val="00601A94"/>
    <w:rPr>
      <w:rFonts w:ascii="Verdana" w:hAnsi="Verdana" w:cs="Verdana"/>
      <w:b/>
      <w:bCs/>
      <w:w w:val="60"/>
      <w:sz w:val="14"/>
      <w:szCs w:val="14"/>
      <w:shd w:val="clear" w:color="auto" w:fill="FFFFFF"/>
    </w:rPr>
  </w:style>
  <w:style w:type="character" w:customStyle="1" w:styleId="23e">
    <w:name w:val="Заголовок №2 (3)"/>
    <w:uiPriority w:val="99"/>
    <w:rsid w:val="00601A94"/>
    <w:rPr>
      <w:rFonts w:ascii="Verdana" w:hAnsi="Verdana" w:cs="Verdana"/>
      <w:b/>
      <w:bCs/>
      <w:w w:val="60"/>
      <w:sz w:val="14"/>
      <w:szCs w:val="14"/>
      <w:shd w:val="clear" w:color="auto" w:fill="FFFFFF"/>
    </w:rPr>
  </w:style>
  <w:style w:type="character" w:customStyle="1" w:styleId="803">
    <w:name w:val="Основной текст (80)3"/>
    <w:uiPriority w:val="99"/>
    <w:rsid w:val="00601A94"/>
    <w:rPr>
      <w:rFonts w:ascii="Arial" w:hAnsi="Arial" w:cs="Arial"/>
      <w:noProof/>
      <w:w w:val="70"/>
      <w:sz w:val="16"/>
      <w:szCs w:val="16"/>
      <w:shd w:val="clear" w:color="auto" w:fill="FFFFFF"/>
    </w:rPr>
  </w:style>
  <w:style w:type="character" w:customStyle="1" w:styleId="80TimesNewRoman">
    <w:name w:val="Основной текст (80) + Times New Roman"/>
    <w:aliases w:val="1227,5 pt163,Полужирный67,Курсив81,Масштаб 100%6"/>
    <w:uiPriority w:val="99"/>
    <w:rsid w:val="00601A94"/>
    <w:rPr>
      <w:rFonts w:ascii="Times New Roman" w:hAnsi="Times New Roman" w:cs="Times New Roman"/>
      <w:b/>
      <w:bCs/>
      <w:i/>
      <w:iCs/>
      <w:w w:val="100"/>
      <w:sz w:val="25"/>
      <w:szCs w:val="25"/>
      <w:shd w:val="clear" w:color="auto" w:fill="FFFFFF"/>
    </w:rPr>
  </w:style>
  <w:style w:type="character" w:customStyle="1" w:styleId="80TimesNewRoman2">
    <w:name w:val="Основной текст (80) + Times New Roman2"/>
    <w:aliases w:val="1226,5 pt162,Полужирный66,Курсив80,Масштаб 100%5"/>
    <w:uiPriority w:val="99"/>
    <w:rsid w:val="00601A94"/>
    <w:rPr>
      <w:rFonts w:ascii="Times New Roman" w:hAnsi="Times New Roman" w:cs="Times New Roman"/>
      <w:b/>
      <w:bCs/>
      <w:i/>
      <w:iCs/>
      <w:noProof/>
      <w:w w:val="100"/>
      <w:sz w:val="25"/>
      <w:szCs w:val="25"/>
      <w:shd w:val="clear" w:color="auto" w:fill="FFFFFF"/>
    </w:rPr>
  </w:style>
  <w:style w:type="character" w:customStyle="1" w:styleId="8020">
    <w:name w:val="Основной текст (80)2"/>
    <w:uiPriority w:val="99"/>
    <w:rsid w:val="00601A94"/>
    <w:rPr>
      <w:rFonts w:ascii="Arial" w:hAnsi="Arial" w:cs="Arial"/>
      <w:noProof/>
      <w:w w:val="70"/>
      <w:sz w:val="16"/>
      <w:szCs w:val="16"/>
      <w:shd w:val="clear" w:color="auto" w:fill="FFFFFF"/>
    </w:rPr>
  </w:style>
  <w:style w:type="character" w:customStyle="1" w:styleId="80TimesNewRoman1">
    <w:name w:val="Основной текст (80) + Times New Roman1"/>
    <w:aliases w:val="95,5 pt161,Полужирный65,Масштаб 75%2"/>
    <w:uiPriority w:val="99"/>
    <w:rsid w:val="00601A94"/>
    <w:rPr>
      <w:rFonts w:ascii="Times New Roman" w:hAnsi="Times New Roman" w:cs="Times New Roman"/>
      <w:b/>
      <w:bCs/>
      <w:noProof/>
      <w:w w:val="75"/>
      <w:sz w:val="19"/>
      <w:szCs w:val="19"/>
      <w:shd w:val="clear" w:color="auto" w:fill="FFFFFF"/>
    </w:rPr>
  </w:style>
  <w:style w:type="character" w:customStyle="1" w:styleId="81b">
    <w:name w:val="Основной текст (81)_"/>
    <w:link w:val="8111"/>
    <w:uiPriority w:val="99"/>
    <w:locked/>
    <w:rsid w:val="00601A94"/>
    <w:rPr>
      <w:rFonts w:cs="Times New Roman"/>
      <w:b/>
      <w:bCs/>
      <w:sz w:val="17"/>
      <w:szCs w:val="17"/>
      <w:shd w:val="clear" w:color="auto" w:fill="FFFFFF"/>
    </w:rPr>
  </w:style>
  <w:style w:type="character" w:customStyle="1" w:styleId="81c">
    <w:name w:val="Основной текст (81)"/>
    <w:uiPriority w:val="99"/>
    <w:rsid w:val="00601A94"/>
    <w:rPr>
      <w:rFonts w:cs="Times New Roman"/>
      <w:b/>
      <w:bCs/>
      <w:sz w:val="17"/>
      <w:szCs w:val="17"/>
      <w:shd w:val="clear" w:color="auto" w:fill="FFFFFF"/>
    </w:rPr>
  </w:style>
  <w:style w:type="character" w:customStyle="1" w:styleId="824">
    <w:name w:val="Основной текст (82)_"/>
    <w:link w:val="8210"/>
    <w:uiPriority w:val="99"/>
    <w:locked/>
    <w:rsid w:val="00601A94"/>
    <w:rPr>
      <w:rFonts w:ascii="Impact" w:hAnsi="Impact" w:cs="Impact"/>
      <w:sz w:val="11"/>
      <w:szCs w:val="11"/>
      <w:shd w:val="clear" w:color="auto" w:fill="FFFFFF"/>
    </w:rPr>
  </w:style>
  <w:style w:type="character" w:customStyle="1" w:styleId="82TimesNewRoman">
    <w:name w:val="Основной текст (82) + Times New Roman"/>
    <w:aliases w:val="811,5 pt160,Полужирный64"/>
    <w:uiPriority w:val="99"/>
    <w:rsid w:val="00601A94"/>
    <w:rPr>
      <w:rFonts w:ascii="Times New Roman" w:hAnsi="Times New Roman" w:cs="Times New Roman"/>
      <w:b/>
      <w:bCs/>
      <w:sz w:val="17"/>
      <w:szCs w:val="17"/>
      <w:shd w:val="clear" w:color="auto" w:fill="FFFFFF"/>
    </w:rPr>
  </w:style>
  <w:style w:type="character" w:customStyle="1" w:styleId="82TimesNewRoman3">
    <w:name w:val="Основной текст (82) + Times New Roman3"/>
    <w:aliases w:val="13,5 pt159,Масштаб 50%2"/>
    <w:uiPriority w:val="99"/>
    <w:rsid w:val="00601A94"/>
    <w:rPr>
      <w:rFonts w:ascii="Times New Roman" w:hAnsi="Times New Roman" w:cs="Times New Roman"/>
      <w:w w:val="50"/>
      <w:sz w:val="27"/>
      <w:szCs w:val="27"/>
      <w:shd w:val="clear" w:color="auto" w:fill="FFFFFF"/>
    </w:rPr>
  </w:style>
  <w:style w:type="character" w:customStyle="1" w:styleId="82TimesNewRoman2">
    <w:name w:val="Основной текст (82) + Times New Roman2"/>
    <w:aliases w:val="134,5 pt158,Масштаб 50%1"/>
    <w:uiPriority w:val="99"/>
    <w:rsid w:val="00601A94"/>
    <w:rPr>
      <w:rFonts w:ascii="Times New Roman" w:hAnsi="Times New Roman" w:cs="Times New Roman"/>
      <w:noProof/>
      <w:w w:val="50"/>
      <w:sz w:val="27"/>
      <w:szCs w:val="27"/>
      <w:shd w:val="clear" w:color="auto" w:fill="FFFFFF"/>
    </w:rPr>
  </w:style>
  <w:style w:type="character" w:customStyle="1" w:styleId="825">
    <w:name w:val="Основной текст (82)"/>
    <w:uiPriority w:val="99"/>
    <w:rsid w:val="00601A94"/>
    <w:rPr>
      <w:rFonts w:ascii="Impact" w:hAnsi="Impact" w:cs="Impact"/>
      <w:sz w:val="11"/>
      <w:szCs w:val="11"/>
      <w:shd w:val="clear" w:color="auto" w:fill="FFFFFF"/>
    </w:rPr>
  </w:style>
  <w:style w:type="character" w:customStyle="1" w:styleId="8220">
    <w:name w:val="Основной текст (82)2"/>
    <w:uiPriority w:val="99"/>
    <w:rsid w:val="00601A94"/>
    <w:rPr>
      <w:rFonts w:ascii="Impact" w:hAnsi="Impact" w:cs="Impact"/>
      <w:noProof/>
      <w:sz w:val="11"/>
      <w:szCs w:val="11"/>
      <w:shd w:val="clear" w:color="auto" w:fill="FFFFFF"/>
    </w:rPr>
  </w:style>
  <w:style w:type="character" w:customStyle="1" w:styleId="82TimesNewRoman1">
    <w:name w:val="Основной текст (82) + Times New Roman1"/>
    <w:aliases w:val="1225,5 pt157"/>
    <w:uiPriority w:val="99"/>
    <w:rsid w:val="00601A94"/>
    <w:rPr>
      <w:rFonts w:ascii="Times New Roman" w:hAnsi="Times New Roman" w:cs="Times New Roman"/>
      <w:sz w:val="25"/>
      <w:szCs w:val="25"/>
      <w:shd w:val="clear" w:color="auto" w:fill="FFFFFF"/>
    </w:rPr>
  </w:style>
  <w:style w:type="character" w:customStyle="1" w:styleId="831">
    <w:name w:val="Основной текст (83)_"/>
    <w:link w:val="8310"/>
    <w:uiPriority w:val="99"/>
    <w:locked/>
    <w:rsid w:val="00601A94"/>
    <w:rPr>
      <w:rFonts w:ascii="Courier New" w:hAnsi="Courier New" w:cs="Courier New"/>
      <w:noProof/>
      <w:sz w:val="14"/>
      <w:szCs w:val="14"/>
      <w:shd w:val="clear" w:color="auto" w:fill="FFFFFF"/>
    </w:rPr>
  </w:style>
  <w:style w:type="character" w:customStyle="1" w:styleId="832">
    <w:name w:val="Основной текст (83)"/>
    <w:uiPriority w:val="99"/>
    <w:rsid w:val="00601A94"/>
    <w:rPr>
      <w:rFonts w:ascii="Courier New" w:hAnsi="Courier New" w:cs="Courier New"/>
      <w:noProof/>
      <w:sz w:val="14"/>
      <w:szCs w:val="14"/>
      <w:shd w:val="clear" w:color="auto" w:fill="FFFFFF"/>
    </w:rPr>
  </w:style>
  <w:style w:type="character" w:customStyle="1" w:styleId="8320">
    <w:name w:val="Основной текст (83)2"/>
    <w:uiPriority w:val="99"/>
    <w:rsid w:val="00601A94"/>
    <w:rPr>
      <w:rFonts w:ascii="Courier New" w:hAnsi="Courier New" w:cs="Courier New"/>
      <w:noProof/>
      <w:sz w:val="14"/>
      <w:szCs w:val="14"/>
      <w:shd w:val="clear" w:color="auto" w:fill="FFFFFF"/>
    </w:rPr>
  </w:style>
  <w:style w:type="character" w:customStyle="1" w:styleId="83TimesNewRoman">
    <w:name w:val="Основной текст (83) + Times New Roman"/>
    <w:aliases w:val="810,5 pt156,Полужирный63"/>
    <w:uiPriority w:val="99"/>
    <w:rsid w:val="00601A94"/>
    <w:rPr>
      <w:rFonts w:ascii="Times New Roman" w:hAnsi="Times New Roman" w:cs="Times New Roman"/>
      <w:b/>
      <w:bCs/>
      <w:noProof/>
      <w:sz w:val="17"/>
      <w:szCs w:val="17"/>
      <w:shd w:val="clear" w:color="auto" w:fill="FFFFFF"/>
    </w:rPr>
  </w:style>
  <w:style w:type="character" w:customStyle="1" w:styleId="83TimesNewRoman2">
    <w:name w:val="Основной текст (83) + Times New Roman2"/>
    <w:aliases w:val="89,5 pt155,Полужирный62"/>
    <w:uiPriority w:val="99"/>
    <w:rsid w:val="00601A94"/>
    <w:rPr>
      <w:rFonts w:ascii="Times New Roman" w:hAnsi="Times New Roman" w:cs="Times New Roman"/>
      <w:b/>
      <w:bCs/>
      <w:noProof/>
      <w:sz w:val="17"/>
      <w:szCs w:val="17"/>
      <w:shd w:val="clear" w:color="auto" w:fill="FFFFFF"/>
    </w:rPr>
  </w:style>
  <w:style w:type="character" w:customStyle="1" w:styleId="83TimesNewRoman1">
    <w:name w:val="Основной текст (83) + Times New Roman1"/>
    <w:aliases w:val="1224,5 pt154,Полужирный61,Курсив79"/>
    <w:uiPriority w:val="99"/>
    <w:rsid w:val="00601A94"/>
    <w:rPr>
      <w:rFonts w:ascii="Times New Roman" w:hAnsi="Times New Roman" w:cs="Times New Roman"/>
      <w:b/>
      <w:bCs/>
      <w:i/>
      <w:iCs/>
      <w:noProof/>
      <w:sz w:val="25"/>
      <w:szCs w:val="25"/>
      <w:shd w:val="clear" w:color="auto" w:fill="FFFFFF"/>
    </w:rPr>
  </w:style>
  <w:style w:type="character" w:customStyle="1" w:styleId="1712">
    <w:name w:val="Подпись к картинке (17)12"/>
    <w:uiPriority w:val="99"/>
    <w:rsid w:val="00601A94"/>
    <w:rPr>
      <w:rFonts w:ascii="Courier New" w:hAnsi="Courier New" w:cs="Courier New"/>
      <w:noProof/>
      <w:sz w:val="14"/>
      <w:szCs w:val="14"/>
      <w:shd w:val="clear" w:color="auto" w:fill="FFFFFF"/>
    </w:rPr>
  </w:style>
  <w:style w:type="character" w:customStyle="1" w:styleId="9f0">
    <w:name w:val="Подпись к картинке9"/>
    <w:uiPriority w:val="99"/>
    <w:rsid w:val="00601A94"/>
    <w:rPr>
      <w:rFonts w:ascii="Times New Roman" w:hAnsi="Times New Roman" w:cs="Times New Roman"/>
      <w:sz w:val="25"/>
      <w:szCs w:val="25"/>
      <w:shd w:val="clear" w:color="auto" w:fill="FFFFFF"/>
    </w:rPr>
  </w:style>
  <w:style w:type="character" w:customStyle="1" w:styleId="20c">
    <w:name w:val="Подпись к картинке (20)_"/>
    <w:link w:val="2010"/>
    <w:uiPriority w:val="99"/>
    <w:locked/>
    <w:rsid w:val="00601A94"/>
    <w:rPr>
      <w:rFonts w:ascii="Arial" w:hAnsi="Arial" w:cs="Arial"/>
      <w:w w:val="66"/>
      <w:sz w:val="11"/>
      <w:szCs w:val="11"/>
      <w:shd w:val="clear" w:color="auto" w:fill="FFFFFF"/>
    </w:rPr>
  </w:style>
  <w:style w:type="character" w:customStyle="1" w:styleId="20d">
    <w:name w:val="Подпись к картинке (20)"/>
    <w:uiPriority w:val="99"/>
    <w:rsid w:val="00601A94"/>
    <w:rPr>
      <w:rFonts w:ascii="Arial" w:hAnsi="Arial" w:cs="Arial"/>
      <w:w w:val="66"/>
      <w:sz w:val="11"/>
      <w:szCs w:val="11"/>
      <w:shd w:val="clear" w:color="auto" w:fill="FFFFFF"/>
    </w:rPr>
  </w:style>
  <w:style w:type="character" w:customStyle="1" w:styleId="2050">
    <w:name w:val="Подпись к картинке (20)5"/>
    <w:uiPriority w:val="99"/>
    <w:rsid w:val="00601A94"/>
    <w:rPr>
      <w:rFonts w:ascii="Arial" w:hAnsi="Arial" w:cs="Arial"/>
      <w:noProof/>
      <w:w w:val="66"/>
      <w:sz w:val="11"/>
      <w:szCs w:val="11"/>
      <w:shd w:val="clear" w:color="auto" w:fill="FFFFFF"/>
    </w:rPr>
  </w:style>
  <w:style w:type="character" w:customStyle="1" w:styleId="2040">
    <w:name w:val="Подпись к картинке (20)4"/>
    <w:uiPriority w:val="99"/>
    <w:rsid w:val="00601A94"/>
    <w:rPr>
      <w:rFonts w:ascii="Arial" w:hAnsi="Arial" w:cs="Arial"/>
      <w:noProof/>
      <w:w w:val="66"/>
      <w:sz w:val="11"/>
      <w:szCs w:val="11"/>
      <w:shd w:val="clear" w:color="auto" w:fill="FFFFFF"/>
    </w:rPr>
  </w:style>
  <w:style w:type="character" w:customStyle="1" w:styleId="20Verdana">
    <w:name w:val="Подпись к картинке (20) + Verdana"/>
    <w:aliases w:val="5 pt153,Полужирный60,Масштаб 60%"/>
    <w:uiPriority w:val="99"/>
    <w:rsid w:val="00601A94"/>
    <w:rPr>
      <w:rFonts w:ascii="Verdana" w:hAnsi="Verdana" w:cs="Verdana"/>
      <w:b/>
      <w:bCs/>
      <w:w w:val="60"/>
      <w:sz w:val="10"/>
      <w:szCs w:val="10"/>
      <w:shd w:val="clear" w:color="auto" w:fill="FFFFFF"/>
    </w:rPr>
  </w:style>
  <w:style w:type="character" w:customStyle="1" w:styleId="20Verdana1">
    <w:name w:val="Подпись к картинке (20) + Verdana1"/>
    <w:aliases w:val="5 pt152,Полужирный59,Масштаб 60%2"/>
    <w:uiPriority w:val="99"/>
    <w:rsid w:val="00601A94"/>
    <w:rPr>
      <w:rFonts w:ascii="Verdana" w:hAnsi="Verdana" w:cs="Verdana"/>
      <w:b/>
      <w:bCs/>
      <w:noProof/>
      <w:w w:val="60"/>
      <w:sz w:val="10"/>
      <w:szCs w:val="10"/>
      <w:shd w:val="clear" w:color="auto" w:fill="FFFFFF"/>
    </w:rPr>
  </w:style>
  <w:style w:type="character" w:customStyle="1" w:styleId="20TimesNewRoman">
    <w:name w:val="Подпись к картинке (20) + Times New Roman"/>
    <w:aliases w:val="1223,5 pt151,Масштаб 100%4"/>
    <w:uiPriority w:val="99"/>
    <w:rsid w:val="00601A94"/>
    <w:rPr>
      <w:rFonts w:ascii="Times New Roman" w:hAnsi="Times New Roman" w:cs="Times New Roman"/>
      <w:w w:val="100"/>
      <w:sz w:val="25"/>
      <w:szCs w:val="25"/>
      <w:shd w:val="clear" w:color="auto" w:fill="FFFFFF"/>
    </w:rPr>
  </w:style>
  <w:style w:type="character" w:customStyle="1" w:styleId="20TimesNewRoman1">
    <w:name w:val="Подпись к картинке (20) + Times New Roman1"/>
    <w:aliases w:val="1222,5 pt150,Масштаб 100%3"/>
    <w:uiPriority w:val="99"/>
    <w:rsid w:val="00601A94"/>
    <w:rPr>
      <w:rFonts w:ascii="Times New Roman" w:hAnsi="Times New Roman" w:cs="Times New Roman"/>
      <w:noProof/>
      <w:w w:val="100"/>
      <w:sz w:val="25"/>
      <w:szCs w:val="25"/>
      <w:shd w:val="clear" w:color="auto" w:fill="FFFFFF"/>
    </w:rPr>
  </w:style>
  <w:style w:type="character" w:customStyle="1" w:styleId="2030">
    <w:name w:val="Подпись к картинке (20)3"/>
    <w:uiPriority w:val="99"/>
    <w:rsid w:val="00601A94"/>
    <w:rPr>
      <w:rFonts w:ascii="Arial" w:hAnsi="Arial" w:cs="Arial"/>
      <w:w w:val="66"/>
      <w:sz w:val="11"/>
      <w:szCs w:val="11"/>
      <w:shd w:val="clear" w:color="auto" w:fill="FFFFFF"/>
    </w:rPr>
  </w:style>
  <w:style w:type="character" w:customStyle="1" w:styleId="2020">
    <w:name w:val="Подпись к картинке (20)2"/>
    <w:uiPriority w:val="99"/>
    <w:rsid w:val="00601A94"/>
    <w:rPr>
      <w:rFonts w:ascii="Arial" w:hAnsi="Arial" w:cs="Arial"/>
      <w:noProof/>
      <w:w w:val="66"/>
      <w:sz w:val="11"/>
      <w:szCs w:val="11"/>
      <w:shd w:val="clear" w:color="auto" w:fill="FFFFFF"/>
    </w:rPr>
  </w:style>
  <w:style w:type="character" w:customStyle="1" w:styleId="affffffffff9">
    <w:name w:val="Подпись к картинке + Полужирный"/>
    <w:aliases w:val="Курсив78"/>
    <w:uiPriority w:val="99"/>
    <w:rsid w:val="00601A94"/>
    <w:rPr>
      <w:rFonts w:ascii="Times New Roman" w:hAnsi="Times New Roman" w:cs="Times New Roman"/>
      <w:b/>
      <w:bCs/>
      <w:i/>
      <w:iCs/>
      <w:sz w:val="25"/>
      <w:szCs w:val="25"/>
      <w:shd w:val="clear" w:color="auto" w:fill="FFFFFF"/>
    </w:rPr>
  </w:style>
  <w:style w:type="character" w:customStyle="1" w:styleId="31pt3">
    <w:name w:val="Основной текст (3) + Интервал 1 pt3"/>
    <w:uiPriority w:val="99"/>
    <w:rsid w:val="00601A94"/>
    <w:rPr>
      <w:rFonts w:ascii="Times New Roman" w:hAnsi="Times New Roman" w:cs="Times New Roman"/>
      <w:b/>
      <w:bCs/>
      <w:i/>
      <w:iCs/>
      <w:spacing w:val="30"/>
      <w:sz w:val="25"/>
      <w:szCs w:val="25"/>
      <w:u w:val="none"/>
      <w:shd w:val="clear" w:color="auto" w:fill="FFFFFF"/>
    </w:rPr>
  </w:style>
  <w:style w:type="character" w:customStyle="1" w:styleId="841">
    <w:name w:val="Основной текст (84)_"/>
    <w:link w:val="8410"/>
    <w:uiPriority w:val="99"/>
    <w:locked/>
    <w:rsid w:val="00601A94"/>
    <w:rPr>
      <w:rFonts w:ascii="Arial" w:hAnsi="Arial" w:cs="Arial"/>
      <w:w w:val="66"/>
      <w:sz w:val="11"/>
      <w:szCs w:val="11"/>
      <w:shd w:val="clear" w:color="auto" w:fill="FFFFFF"/>
    </w:rPr>
  </w:style>
  <w:style w:type="character" w:customStyle="1" w:styleId="842">
    <w:name w:val="Основной текст (84)"/>
    <w:uiPriority w:val="99"/>
    <w:rsid w:val="00601A94"/>
    <w:rPr>
      <w:rFonts w:ascii="Arial" w:hAnsi="Arial" w:cs="Arial"/>
      <w:w w:val="66"/>
      <w:sz w:val="11"/>
      <w:szCs w:val="11"/>
      <w:shd w:val="clear" w:color="auto" w:fill="FFFFFF"/>
    </w:rPr>
  </w:style>
  <w:style w:type="character" w:customStyle="1" w:styleId="798">
    <w:name w:val="Основной текст (79)8"/>
    <w:uiPriority w:val="99"/>
    <w:rsid w:val="00601A94"/>
    <w:rPr>
      <w:rFonts w:ascii="Courier New" w:hAnsi="Courier New" w:cs="Courier New"/>
      <w:noProof/>
      <w:sz w:val="14"/>
      <w:szCs w:val="14"/>
      <w:shd w:val="clear" w:color="auto" w:fill="FFFFFF"/>
    </w:rPr>
  </w:style>
  <w:style w:type="character" w:customStyle="1" w:styleId="8420">
    <w:name w:val="Основной текст (84)2"/>
    <w:uiPriority w:val="99"/>
    <w:rsid w:val="00601A94"/>
    <w:rPr>
      <w:rFonts w:ascii="Arial" w:hAnsi="Arial" w:cs="Arial"/>
      <w:noProof/>
      <w:w w:val="66"/>
      <w:sz w:val="11"/>
      <w:szCs w:val="11"/>
      <w:shd w:val="clear" w:color="auto" w:fill="FFFFFF"/>
    </w:rPr>
  </w:style>
  <w:style w:type="character" w:customStyle="1" w:styleId="797">
    <w:name w:val="Основной текст (79)7"/>
    <w:uiPriority w:val="99"/>
    <w:rsid w:val="00601A94"/>
    <w:rPr>
      <w:rFonts w:ascii="Courier New" w:hAnsi="Courier New" w:cs="Courier New"/>
      <w:noProof/>
      <w:sz w:val="14"/>
      <w:szCs w:val="14"/>
      <w:shd w:val="clear" w:color="auto" w:fill="FFFFFF"/>
    </w:rPr>
  </w:style>
  <w:style w:type="character" w:customStyle="1" w:styleId="4f3">
    <w:name w:val="Оглавление4"/>
    <w:uiPriority w:val="99"/>
    <w:rsid w:val="00601A94"/>
    <w:rPr>
      <w:rFonts w:ascii="Times New Roman" w:hAnsi="Times New Roman" w:cs="Times New Roman"/>
      <w:b/>
      <w:sz w:val="25"/>
      <w:szCs w:val="25"/>
      <w:shd w:val="clear" w:color="auto" w:fill="FFFFFF"/>
    </w:rPr>
  </w:style>
  <w:style w:type="character" w:customStyle="1" w:styleId="Arial0">
    <w:name w:val="Оглавление + Arial"/>
    <w:aliases w:val="620,5 pt149"/>
    <w:uiPriority w:val="99"/>
    <w:rsid w:val="00601A94"/>
    <w:rPr>
      <w:rFonts w:ascii="Arial" w:hAnsi="Arial" w:cs="Arial"/>
      <w:b/>
      <w:sz w:val="13"/>
      <w:szCs w:val="13"/>
      <w:shd w:val="clear" w:color="auto" w:fill="FFFFFF"/>
    </w:rPr>
  </w:style>
  <w:style w:type="character" w:customStyle="1" w:styleId="affffffffffa">
    <w:name w:val="Оглавление + Полужирный"/>
    <w:aliases w:val="Курсив77"/>
    <w:uiPriority w:val="99"/>
    <w:rsid w:val="00601A94"/>
    <w:rPr>
      <w:rFonts w:ascii="Times New Roman" w:hAnsi="Times New Roman" w:cs="Times New Roman"/>
      <w:b/>
      <w:bCs/>
      <w:i/>
      <w:iCs/>
      <w:noProof/>
      <w:sz w:val="25"/>
      <w:szCs w:val="25"/>
      <w:shd w:val="clear" w:color="auto" w:fill="FFFFFF"/>
    </w:rPr>
  </w:style>
  <w:style w:type="character" w:customStyle="1" w:styleId="1ffff1">
    <w:name w:val="Оглавление + Полужирный1"/>
    <w:aliases w:val="Курсив76"/>
    <w:uiPriority w:val="99"/>
    <w:rsid w:val="00601A94"/>
    <w:rPr>
      <w:rFonts w:ascii="Times New Roman" w:hAnsi="Times New Roman" w:cs="Times New Roman"/>
      <w:b/>
      <w:bCs/>
      <w:i/>
      <w:iCs/>
      <w:noProof/>
      <w:sz w:val="25"/>
      <w:szCs w:val="25"/>
      <w:shd w:val="clear" w:color="auto" w:fill="FFFFFF"/>
    </w:rPr>
  </w:style>
  <w:style w:type="character" w:customStyle="1" w:styleId="3fd">
    <w:name w:val="Оглавление3"/>
    <w:uiPriority w:val="99"/>
    <w:rsid w:val="00601A94"/>
    <w:rPr>
      <w:rFonts w:ascii="Times New Roman" w:hAnsi="Times New Roman" w:cs="Times New Roman"/>
      <w:b/>
      <w:noProof/>
      <w:sz w:val="25"/>
      <w:szCs w:val="25"/>
      <w:shd w:val="clear" w:color="auto" w:fill="FFFFFF"/>
    </w:rPr>
  </w:style>
  <w:style w:type="character" w:customStyle="1" w:styleId="9f1">
    <w:name w:val="Оглавление (9)_"/>
    <w:link w:val="912"/>
    <w:uiPriority w:val="99"/>
    <w:locked/>
    <w:rsid w:val="00601A94"/>
    <w:rPr>
      <w:rFonts w:ascii="Arial" w:hAnsi="Arial" w:cs="Arial"/>
      <w:noProof/>
      <w:shd w:val="clear" w:color="auto" w:fill="FFFFFF"/>
    </w:rPr>
  </w:style>
  <w:style w:type="character" w:customStyle="1" w:styleId="9f2">
    <w:name w:val="Оглавление (9)"/>
    <w:uiPriority w:val="99"/>
    <w:rsid w:val="00601A94"/>
    <w:rPr>
      <w:rFonts w:ascii="Arial" w:hAnsi="Arial" w:cs="Arial"/>
      <w:noProof/>
      <w:shd w:val="clear" w:color="auto" w:fill="FFFFFF"/>
    </w:rPr>
  </w:style>
  <w:style w:type="character" w:customStyle="1" w:styleId="3634">
    <w:name w:val="Основной текст (36)34"/>
    <w:uiPriority w:val="99"/>
    <w:rsid w:val="00601A94"/>
    <w:rPr>
      <w:rFonts w:cs="Times New Roman"/>
      <w:b/>
      <w:bCs/>
      <w:sz w:val="17"/>
      <w:szCs w:val="17"/>
      <w:shd w:val="clear" w:color="auto" w:fill="FFFFFF"/>
    </w:rPr>
  </w:style>
  <w:style w:type="character" w:customStyle="1" w:styleId="3633">
    <w:name w:val="Основной текст (36)33"/>
    <w:uiPriority w:val="99"/>
    <w:rsid w:val="00601A94"/>
    <w:rPr>
      <w:rFonts w:cs="Times New Roman"/>
      <w:b/>
      <w:bCs/>
      <w:noProof/>
      <w:sz w:val="17"/>
      <w:szCs w:val="17"/>
      <w:shd w:val="clear" w:color="auto" w:fill="FFFFFF"/>
    </w:rPr>
  </w:style>
  <w:style w:type="character" w:customStyle="1" w:styleId="36122">
    <w:name w:val="Основной текст (36) + 122"/>
    <w:aliases w:val="5 pt147,Не полужирный49"/>
    <w:uiPriority w:val="99"/>
    <w:rsid w:val="00601A94"/>
    <w:rPr>
      <w:rFonts w:cs="Times New Roman"/>
      <w:b/>
      <w:bCs/>
      <w:sz w:val="25"/>
      <w:szCs w:val="25"/>
      <w:shd w:val="clear" w:color="auto" w:fill="FFFFFF"/>
    </w:rPr>
  </w:style>
  <w:style w:type="character" w:customStyle="1" w:styleId="21f0">
    <w:name w:val="Подпись к картинке (21)_"/>
    <w:link w:val="2113"/>
    <w:uiPriority w:val="99"/>
    <w:locked/>
    <w:rsid w:val="00601A94"/>
    <w:rPr>
      <w:rFonts w:ascii="Impact" w:hAnsi="Impact" w:cs="Impact"/>
      <w:sz w:val="10"/>
      <w:szCs w:val="10"/>
      <w:shd w:val="clear" w:color="auto" w:fill="FFFFFF"/>
    </w:rPr>
  </w:style>
  <w:style w:type="character" w:customStyle="1" w:styleId="21TimesNewRoman">
    <w:name w:val="Подпись к картинке (21) + Times New Roman"/>
    <w:aliases w:val="1220,5 pt146"/>
    <w:uiPriority w:val="99"/>
    <w:rsid w:val="00601A94"/>
    <w:rPr>
      <w:rFonts w:ascii="Times New Roman" w:hAnsi="Times New Roman" w:cs="Times New Roman"/>
      <w:sz w:val="25"/>
      <w:szCs w:val="25"/>
      <w:shd w:val="clear" w:color="auto" w:fill="FFFFFF"/>
    </w:rPr>
  </w:style>
  <w:style w:type="character" w:customStyle="1" w:styleId="21f1">
    <w:name w:val="Подпись к картинке (21)"/>
    <w:uiPriority w:val="99"/>
    <w:rsid w:val="00601A94"/>
    <w:rPr>
      <w:rFonts w:ascii="Impact" w:hAnsi="Impact" w:cs="Impact"/>
      <w:sz w:val="10"/>
      <w:szCs w:val="10"/>
      <w:shd w:val="clear" w:color="auto" w:fill="FFFFFF"/>
    </w:rPr>
  </w:style>
  <w:style w:type="character" w:customStyle="1" w:styleId="851">
    <w:name w:val="Основной текст (85)_"/>
    <w:link w:val="8510"/>
    <w:uiPriority w:val="99"/>
    <w:locked/>
    <w:rsid w:val="00601A94"/>
    <w:rPr>
      <w:rFonts w:ascii="Impact" w:hAnsi="Impact" w:cs="Impact"/>
      <w:sz w:val="10"/>
      <w:szCs w:val="10"/>
      <w:shd w:val="clear" w:color="auto" w:fill="FFFFFF"/>
    </w:rPr>
  </w:style>
  <w:style w:type="character" w:customStyle="1" w:styleId="852">
    <w:name w:val="Основной текст (85)"/>
    <w:uiPriority w:val="99"/>
    <w:rsid w:val="00601A94"/>
    <w:rPr>
      <w:rFonts w:ascii="Impact" w:hAnsi="Impact" w:cs="Impact"/>
      <w:sz w:val="10"/>
      <w:szCs w:val="10"/>
      <w:shd w:val="clear" w:color="auto" w:fill="FFFFFF"/>
    </w:rPr>
  </w:style>
  <w:style w:type="character" w:customStyle="1" w:styleId="857">
    <w:name w:val="Основной текст (85)7"/>
    <w:uiPriority w:val="99"/>
    <w:rsid w:val="00601A94"/>
    <w:rPr>
      <w:rFonts w:ascii="Impact" w:hAnsi="Impact" w:cs="Impact"/>
      <w:sz w:val="10"/>
      <w:szCs w:val="10"/>
      <w:shd w:val="clear" w:color="auto" w:fill="FFFFFF"/>
    </w:rPr>
  </w:style>
  <w:style w:type="character" w:customStyle="1" w:styleId="17110">
    <w:name w:val="Подпись к картинке (17)11"/>
    <w:uiPriority w:val="99"/>
    <w:rsid w:val="00601A94"/>
    <w:rPr>
      <w:rFonts w:cs="Times New Roman"/>
      <w:sz w:val="14"/>
      <w:szCs w:val="14"/>
      <w:shd w:val="clear" w:color="auto" w:fill="FFFFFF"/>
    </w:rPr>
  </w:style>
  <w:style w:type="character" w:customStyle="1" w:styleId="17101">
    <w:name w:val="Подпись к картинке (17)10"/>
    <w:uiPriority w:val="99"/>
    <w:rsid w:val="00601A94"/>
    <w:rPr>
      <w:rFonts w:ascii="Courier New" w:hAnsi="Courier New" w:cs="Courier New"/>
      <w:noProof/>
      <w:sz w:val="14"/>
      <w:szCs w:val="14"/>
      <w:shd w:val="clear" w:color="auto" w:fill="FFFFFF"/>
    </w:rPr>
  </w:style>
  <w:style w:type="character" w:customStyle="1" w:styleId="2132">
    <w:name w:val="Подпись к картинке (21)3"/>
    <w:uiPriority w:val="99"/>
    <w:rsid w:val="00601A94"/>
    <w:rPr>
      <w:rFonts w:ascii="Impact" w:hAnsi="Impact" w:cs="Impact"/>
      <w:sz w:val="10"/>
      <w:szCs w:val="10"/>
      <w:shd w:val="clear" w:color="auto" w:fill="FFFFFF"/>
    </w:rPr>
  </w:style>
  <w:style w:type="character" w:customStyle="1" w:styleId="856">
    <w:name w:val="Основной текст (85)6"/>
    <w:uiPriority w:val="99"/>
    <w:rsid w:val="00601A94"/>
    <w:rPr>
      <w:rFonts w:ascii="Impact" w:hAnsi="Impact" w:cs="Impact"/>
      <w:noProof/>
      <w:sz w:val="10"/>
      <w:szCs w:val="10"/>
      <w:shd w:val="clear" w:color="auto" w:fill="FFFFFF"/>
    </w:rPr>
  </w:style>
  <w:style w:type="character" w:customStyle="1" w:styleId="3360">
    <w:name w:val="Основной текст (33)6"/>
    <w:uiPriority w:val="99"/>
    <w:rsid w:val="00601A94"/>
    <w:rPr>
      <w:rFonts w:cs="Times New Roman"/>
      <w:noProof/>
      <w:sz w:val="25"/>
      <w:szCs w:val="25"/>
      <w:shd w:val="clear" w:color="auto" w:fill="FFFFFF"/>
    </w:rPr>
  </w:style>
  <w:style w:type="character" w:customStyle="1" w:styleId="796">
    <w:name w:val="Основной текст (79)6"/>
    <w:uiPriority w:val="99"/>
    <w:rsid w:val="00601A94"/>
    <w:rPr>
      <w:rFonts w:cs="Times New Roman"/>
      <w:sz w:val="14"/>
      <w:szCs w:val="14"/>
      <w:shd w:val="clear" w:color="auto" w:fill="FFFFFF"/>
    </w:rPr>
  </w:style>
  <w:style w:type="character" w:customStyle="1" w:styleId="1792">
    <w:name w:val="Подпись к картинке (17)9"/>
    <w:uiPriority w:val="99"/>
    <w:rsid w:val="00601A94"/>
    <w:rPr>
      <w:rFonts w:ascii="Courier New" w:hAnsi="Courier New" w:cs="Courier New"/>
      <w:noProof/>
      <w:sz w:val="14"/>
      <w:szCs w:val="14"/>
      <w:shd w:val="clear" w:color="auto" w:fill="FFFFFF"/>
    </w:rPr>
  </w:style>
  <w:style w:type="character" w:customStyle="1" w:styleId="861">
    <w:name w:val="Основной текст (86)_"/>
    <w:link w:val="8610"/>
    <w:uiPriority w:val="99"/>
    <w:locked/>
    <w:rsid w:val="00601A94"/>
    <w:rPr>
      <w:rFonts w:ascii="Arial" w:hAnsi="Arial" w:cs="Arial"/>
      <w:noProof/>
      <w:sz w:val="18"/>
      <w:szCs w:val="18"/>
      <w:shd w:val="clear" w:color="auto" w:fill="FFFFFF"/>
    </w:rPr>
  </w:style>
  <w:style w:type="character" w:customStyle="1" w:styleId="862">
    <w:name w:val="Основной текст (86)"/>
    <w:uiPriority w:val="99"/>
    <w:rsid w:val="00601A94"/>
    <w:rPr>
      <w:rFonts w:ascii="Arial" w:hAnsi="Arial" w:cs="Arial"/>
      <w:noProof/>
      <w:sz w:val="18"/>
      <w:szCs w:val="18"/>
      <w:shd w:val="clear" w:color="auto" w:fill="FFFFFF"/>
    </w:rPr>
  </w:style>
  <w:style w:type="character" w:customStyle="1" w:styleId="855">
    <w:name w:val="Основной текст (85)5"/>
    <w:uiPriority w:val="99"/>
    <w:rsid w:val="00601A94"/>
    <w:rPr>
      <w:rFonts w:ascii="Impact" w:hAnsi="Impact" w:cs="Impact"/>
      <w:noProof/>
      <w:sz w:val="10"/>
      <w:szCs w:val="10"/>
      <w:shd w:val="clear" w:color="auto" w:fill="FFFFFF"/>
    </w:rPr>
  </w:style>
  <w:style w:type="character" w:customStyle="1" w:styleId="85TimesNewRoman">
    <w:name w:val="Основной текст (85) + Times New Roman"/>
    <w:aliases w:val="1219,5 pt145,Полужирный57,Курсив74"/>
    <w:uiPriority w:val="99"/>
    <w:rsid w:val="00601A94"/>
    <w:rPr>
      <w:rFonts w:ascii="Times New Roman" w:hAnsi="Times New Roman" w:cs="Times New Roman"/>
      <w:b/>
      <w:bCs/>
      <w:i/>
      <w:iCs/>
      <w:noProof/>
      <w:sz w:val="25"/>
      <w:szCs w:val="25"/>
      <w:shd w:val="clear" w:color="auto" w:fill="FFFFFF"/>
    </w:rPr>
  </w:style>
  <w:style w:type="character" w:customStyle="1" w:styleId="9TimesNewRoman5">
    <w:name w:val="Основной текст (9) + Times New Roman5"/>
    <w:aliases w:val="1218,5 pt144,Не полужирный48,Интервал 0 pt41"/>
    <w:uiPriority w:val="99"/>
    <w:rsid w:val="00601A94"/>
    <w:rPr>
      <w:rFonts w:ascii="Times New Roman" w:hAnsi="Times New Roman" w:cs="Times New Roman"/>
      <w:spacing w:val="0"/>
      <w:sz w:val="25"/>
      <w:szCs w:val="25"/>
      <w:shd w:val="clear" w:color="auto" w:fill="FFFFFF"/>
    </w:rPr>
  </w:style>
  <w:style w:type="character" w:customStyle="1" w:styleId="90pt">
    <w:name w:val="Основной текст (9) + Интервал 0 pt"/>
    <w:uiPriority w:val="99"/>
    <w:rsid w:val="00601A94"/>
    <w:rPr>
      <w:rFonts w:ascii="Arial" w:hAnsi="Arial" w:cs="Arial"/>
      <w:b/>
      <w:bCs/>
      <w:spacing w:val="0"/>
      <w:sz w:val="15"/>
      <w:szCs w:val="15"/>
      <w:shd w:val="clear" w:color="auto" w:fill="FFFFFF"/>
    </w:rPr>
  </w:style>
  <w:style w:type="character" w:customStyle="1" w:styleId="854">
    <w:name w:val="Основной текст (85)4"/>
    <w:uiPriority w:val="99"/>
    <w:rsid w:val="00601A94"/>
    <w:rPr>
      <w:rFonts w:ascii="Impact" w:hAnsi="Impact" w:cs="Impact"/>
      <w:noProof/>
      <w:sz w:val="10"/>
      <w:szCs w:val="10"/>
      <w:shd w:val="clear" w:color="auto" w:fill="FFFFFF"/>
    </w:rPr>
  </w:style>
  <w:style w:type="character" w:customStyle="1" w:styleId="3Impact">
    <w:name w:val="Основной текст (3) + Impact"/>
    <w:aliases w:val="5 pt143,Не полужирный47,Не курсив42"/>
    <w:uiPriority w:val="99"/>
    <w:rsid w:val="00601A94"/>
    <w:rPr>
      <w:rFonts w:ascii="Impact" w:hAnsi="Impact" w:cs="Impact"/>
      <w:b/>
      <w:noProof/>
      <w:w w:val="100"/>
      <w:sz w:val="10"/>
      <w:szCs w:val="10"/>
      <w:u w:val="none"/>
      <w:shd w:val="clear" w:color="auto" w:fill="FFFFFF"/>
    </w:rPr>
  </w:style>
  <w:style w:type="character" w:customStyle="1" w:styleId="3212">
    <w:name w:val="Основной текст (3)21"/>
    <w:uiPriority w:val="99"/>
    <w:rsid w:val="00601A94"/>
    <w:rPr>
      <w:rFonts w:ascii="Times New Roman" w:hAnsi="Times New Roman" w:cs="Times New Roman"/>
      <w:b/>
      <w:bCs/>
      <w:i/>
      <w:iCs/>
      <w:sz w:val="25"/>
      <w:szCs w:val="25"/>
      <w:u w:val="none"/>
      <w:shd w:val="clear" w:color="auto" w:fill="FFFFFF"/>
    </w:rPr>
  </w:style>
  <w:style w:type="character" w:customStyle="1" w:styleId="3201">
    <w:name w:val="Основной текст (3)20"/>
    <w:uiPriority w:val="99"/>
    <w:rsid w:val="00601A94"/>
    <w:rPr>
      <w:rFonts w:ascii="Times New Roman" w:hAnsi="Times New Roman" w:cs="Times New Roman"/>
      <w:b/>
      <w:bCs/>
      <w:i/>
      <w:iCs/>
      <w:noProof/>
      <w:sz w:val="25"/>
      <w:szCs w:val="25"/>
      <w:u w:val="none"/>
      <w:shd w:val="clear" w:color="auto" w:fill="FFFFFF"/>
    </w:rPr>
  </w:style>
  <w:style w:type="character" w:customStyle="1" w:styleId="853">
    <w:name w:val="Основной текст (85)3"/>
    <w:uiPriority w:val="99"/>
    <w:rsid w:val="00601A94"/>
    <w:rPr>
      <w:rFonts w:ascii="Impact" w:hAnsi="Impact" w:cs="Impact"/>
      <w:noProof/>
      <w:sz w:val="10"/>
      <w:szCs w:val="10"/>
      <w:shd w:val="clear" w:color="auto" w:fill="FFFFFF"/>
    </w:rPr>
  </w:style>
  <w:style w:type="character" w:customStyle="1" w:styleId="16e">
    <w:name w:val="Подпись к таблице (16)_"/>
    <w:link w:val="1614"/>
    <w:uiPriority w:val="99"/>
    <w:locked/>
    <w:rsid w:val="00601A94"/>
    <w:rPr>
      <w:rFonts w:ascii="Impact" w:hAnsi="Impact" w:cs="Impact"/>
      <w:sz w:val="10"/>
      <w:szCs w:val="10"/>
      <w:shd w:val="clear" w:color="auto" w:fill="FFFFFF"/>
    </w:rPr>
  </w:style>
  <w:style w:type="character" w:customStyle="1" w:styleId="16f">
    <w:name w:val="Подпись к таблице (16)"/>
    <w:uiPriority w:val="99"/>
    <w:rsid w:val="00601A94"/>
    <w:rPr>
      <w:rFonts w:ascii="Impact" w:hAnsi="Impact" w:cs="Impact"/>
      <w:sz w:val="10"/>
      <w:szCs w:val="10"/>
      <w:shd w:val="clear" w:color="auto" w:fill="FFFFFF"/>
    </w:rPr>
  </w:style>
  <w:style w:type="character" w:customStyle="1" w:styleId="1782">
    <w:name w:val="Подпись к картинке (17)8"/>
    <w:uiPriority w:val="99"/>
    <w:rsid w:val="00601A94"/>
    <w:rPr>
      <w:rFonts w:cs="Times New Roman"/>
      <w:sz w:val="14"/>
      <w:szCs w:val="14"/>
      <w:shd w:val="clear" w:color="auto" w:fill="FFFFFF"/>
    </w:rPr>
  </w:style>
  <w:style w:type="character" w:customStyle="1" w:styleId="1772">
    <w:name w:val="Подпись к картинке (17)7"/>
    <w:uiPriority w:val="99"/>
    <w:rsid w:val="00601A94"/>
    <w:rPr>
      <w:rFonts w:ascii="Courier New" w:hAnsi="Courier New" w:cs="Courier New"/>
      <w:noProof/>
      <w:sz w:val="14"/>
      <w:szCs w:val="14"/>
      <w:shd w:val="clear" w:color="auto" w:fill="FFFFFF"/>
    </w:rPr>
  </w:style>
  <w:style w:type="character" w:customStyle="1" w:styleId="1762">
    <w:name w:val="Подпись к картинке (17)6"/>
    <w:uiPriority w:val="99"/>
    <w:rsid w:val="00601A94"/>
    <w:rPr>
      <w:rFonts w:ascii="Courier New" w:hAnsi="Courier New" w:cs="Courier New"/>
      <w:noProof/>
      <w:sz w:val="14"/>
      <w:szCs w:val="14"/>
      <w:shd w:val="clear" w:color="auto" w:fill="FFFFFF"/>
    </w:rPr>
  </w:style>
  <w:style w:type="character" w:customStyle="1" w:styleId="1752">
    <w:name w:val="Подпись к картинке (17)5"/>
    <w:uiPriority w:val="99"/>
    <w:rsid w:val="00601A94"/>
    <w:rPr>
      <w:rFonts w:ascii="Courier New" w:hAnsi="Courier New" w:cs="Courier New"/>
      <w:noProof/>
      <w:sz w:val="14"/>
      <w:szCs w:val="14"/>
      <w:shd w:val="clear" w:color="auto" w:fill="FFFFFF"/>
    </w:rPr>
  </w:style>
  <w:style w:type="character" w:customStyle="1" w:styleId="1742">
    <w:name w:val="Подпись к картинке (17)4"/>
    <w:uiPriority w:val="99"/>
    <w:rsid w:val="00601A94"/>
    <w:rPr>
      <w:rFonts w:ascii="Courier New" w:hAnsi="Courier New" w:cs="Courier New"/>
      <w:noProof/>
      <w:sz w:val="14"/>
      <w:szCs w:val="14"/>
      <w:shd w:val="clear" w:color="auto" w:fill="FFFFFF"/>
    </w:rPr>
  </w:style>
  <w:style w:type="character" w:customStyle="1" w:styleId="1730">
    <w:name w:val="Подпись к картинке (17)3"/>
    <w:uiPriority w:val="99"/>
    <w:rsid w:val="00601A94"/>
    <w:rPr>
      <w:rFonts w:cs="Times New Roman"/>
      <w:sz w:val="14"/>
      <w:szCs w:val="14"/>
      <w:shd w:val="clear" w:color="auto" w:fill="FFFFFF"/>
    </w:rPr>
  </w:style>
  <w:style w:type="character" w:customStyle="1" w:styleId="1722">
    <w:name w:val="Подпись к картинке (17)2"/>
    <w:uiPriority w:val="99"/>
    <w:rsid w:val="00601A94"/>
    <w:rPr>
      <w:rFonts w:ascii="Courier New" w:hAnsi="Courier New" w:cs="Courier New"/>
      <w:noProof/>
      <w:sz w:val="14"/>
      <w:szCs w:val="14"/>
      <w:shd w:val="clear" w:color="auto" w:fill="FFFFFF"/>
    </w:rPr>
  </w:style>
  <w:style w:type="character" w:customStyle="1" w:styleId="2122">
    <w:name w:val="Подпись к картинке (21)2"/>
    <w:uiPriority w:val="99"/>
    <w:rsid w:val="00601A94"/>
    <w:rPr>
      <w:rFonts w:ascii="Impact" w:hAnsi="Impact" w:cs="Impact"/>
      <w:sz w:val="10"/>
      <w:szCs w:val="10"/>
      <w:shd w:val="clear" w:color="auto" w:fill="FFFFFF"/>
    </w:rPr>
  </w:style>
  <w:style w:type="character" w:customStyle="1" w:styleId="3350">
    <w:name w:val="Основной текст (33)5"/>
    <w:uiPriority w:val="99"/>
    <w:rsid w:val="00601A94"/>
    <w:rPr>
      <w:rFonts w:cs="Times New Roman"/>
      <w:noProof/>
      <w:sz w:val="25"/>
      <w:szCs w:val="25"/>
      <w:shd w:val="clear" w:color="auto" w:fill="FFFFFF"/>
    </w:rPr>
  </w:style>
  <w:style w:type="character" w:customStyle="1" w:styleId="795">
    <w:name w:val="Основной текст (79)5"/>
    <w:uiPriority w:val="99"/>
    <w:rsid w:val="00601A94"/>
    <w:rPr>
      <w:rFonts w:cs="Times New Roman"/>
      <w:sz w:val="14"/>
      <w:szCs w:val="14"/>
      <w:shd w:val="clear" w:color="auto" w:fill="FFFFFF"/>
    </w:rPr>
  </w:style>
  <w:style w:type="character" w:customStyle="1" w:styleId="22d">
    <w:name w:val="Подпись к картинке (22)_"/>
    <w:link w:val="2212"/>
    <w:uiPriority w:val="99"/>
    <w:locked/>
    <w:rsid w:val="00601A94"/>
    <w:rPr>
      <w:rFonts w:cs="Times New Roman"/>
      <w:sz w:val="15"/>
      <w:szCs w:val="15"/>
      <w:shd w:val="clear" w:color="auto" w:fill="FFFFFF"/>
    </w:rPr>
  </w:style>
  <w:style w:type="character" w:customStyle="1" w:styleId="22e">
    <w:name w:val="Подпись к картинке (22)"/>
    <w:uiPriority w:val="99"/>
    <w:rsid w:val="00601A94"/>
    <w:rPr>
      <w:rFonts w:cs="Times New Roman"/>
      <w:sz w:val="15"/>
      <w:szCs w:val="15"/>
      <w:shd w:val="clear" w:color="auto" w:fill="FFFFFF"/>
    </w:rPr>
  </w:style>
  <w:style w:type="character" w:customStyle="1" w:styleId="2231">
    <w:name w:val="Подпись к картинке (22)3"/>
    <w:uiPriority w:val="99"/>
    <w:rsid w:val="00601A94"/>
    <w:rPr>
      <w:rFonts w:cs="Times New Roman"/>
      <w:noProof/>
      <w:sz w:val="15"/>
      <w:szCs w:val="15"/>
      <w:shd w:val="clear" w:color="auto" w:fill="FFFFFF"/>
    </w:rPr>
  </w:style>
  <w:style w:type="character" w:customStyle="1" w:styleId="3340">
    <w:name w:val="Основной текст (33)4"/>
    <w:uiPriority w:val="99"/>
    <w:rsid w:val="00601A94"/>
    <w:rPr>
      <w:rFonts w:cs="Times New Roman"/>
      <w:noProof/>
      <w:sz w:val="25"/>
      <w:szCs w:val="25"/>
      <w:shd w:val="clear" w:color="auto" w:fill="FFFFFF"/>
    </w:rPr>
  </w:style>
  <w:style w:type="character" w:customStyle="1" w:styleId="23f">
    <w:name w:val="Подпись к картинке (23)_"/>
    <w:link w:val="2313"/>
    <w:uiPriority w:val="99"/>
    <w:locked/>
    <w:rsid w:val="00601A94"/>
    <w:rPr>
      <w:rFonts w:cs="Times New Roman"/>
      <w:b/>
      <w:bCs/>
      <w:spacing w:val="-10"/>
      <w:sz w:val="14"/>
      <w:szCs w:val="14"/>
      <w:shd w:val="clear" w:color="auto" w:fill="FFFFFF"/>
    </w:rPr>
  </w:style>
  <w:style w:type="character" w:customStyle="1" w:styleId="23f0">
    <w:name w:val="Подпись к картинке (23)"/>
    <w:uiPriority w:val="99"/>
    <w:rsid w:val="00601A94"/>
    <w:rPr>
      <w:rFonts w:cs="Times New Roman"/>
      <w:b/>
      <w:bCs/>
      <w:spacing w:val="-10"/>
      <w:sz w:val="14"/>
      <w:szCs w:val="14"/>
      <w:shd w:val="clear" w:color="auto" w:fill="FFFFFF"/>
    </w:rPr>
  </w:style>
  <w:style w:type="character" w:customStyle="1" w:styleId="22f">
    <w:name w:val="Подпись к картинке (2)2"/>
    <w:uiPriority w:val="99"/>
    <w:rsid w:val="00601A94"/>
    <w:rPr>
      <w:rFonts w:ascii="Times New Roman" w:hAnsi="Times New Roman" w:cs="Times New Roman"/>
      <w:b/>
      <w:sz w:val="17"/>
      <w:szCs w:val="17"/>
      <w:u w:val="none"/>
      <w:shd w:val="clear" w:color="auto" w:fill="FFFFFF"/>
    </w:rPr>
  </w:style>
  <w:style w:type="character" w:customStyle="1" w:styleId="3331">
    <w:name w:val="Основной текст (33)3"/>
    <w:uiPriority w:val="99"/>
    <w:rsid w:val="00601A94"/>
    <w:rPr>
      <w:rFonts w:cs="Times New Roman"/>
      <w:noProof/>
      <w:sz w:val="25"/>
      <w:szCs w:val="25"/>
      <w:shd w:val="clear" w:color="auto" w:fill="FFFFFF"/>
    </w:rPr>
  </w:style>
  <w:style w:type="character" w:customStyle="1" w:styleId="684">
    <w:name w:val="Основной текст (68)4"/>
    <w:uiPriority w:val="99"/>
    <w:rsid w:val="00601A94"/>
    <w:rPr>
      <w:rFonts w:ascii="Arial" w:hAnsi="Arial" w:cs="Arial"/>
      <w:sz w:val="18"/>
      <w:szCs w:val="18"/>
      <w:shd w:val="clear" w:color="auto" w:fill="FFFFFF"/>
    </w:rPr>
  </w:style>
  <w:style w:type="character" w:customStyle="1" w:styleId="683">
    <w:name w:val="Основной текст (68)3"/>
    <w:uiPriority w:val="99"/>
    <w:rsid w:val="00601A94"/>
    <w:rPr>
      <w:rFonts w:ascii="Arial" w:hAnsi="Arial" w:cs="Arial"/>
      <w:noProof/>
      <w:sz w:val="18"/>
      <w:szCs w:val="18"/>
      <w:shd w:val="clear" w:color="auto" w:fill="FFFFFF"/>
    </w:rPr>
  </w:style>
  <w:style w:type="character" w:customStyle="1" w:styleId="6820">
    <w:name w:val="Основной текст (68)2"/>
    <w:uiPriority w:val="99"/>
    <w:rsid w:val="00601A94"/>
    <w:rPr>
      <w:rFonts w:ascii="Arial" w:hAnsi="Arial" w:cs="Arial"/>
      <w:sz w:val="18"/>
      <w:szCs w:val="18"/>
      <w:shd w:val="clear" w:color="auto" w:fill="FFFFFF"/>
    </w:rPr>
  </w:style>
  <w:style w:type="character" w:customStyle="1" w:styleId="3320">
    <w:name w:val="Основной текст (33)2"/>
    <w:uiPriority w:val="99"/>
    <w:rsid w:val="00601A94"/>
    <w:rPr>
      <w:rFonts w:cs="Times New Roman"/>
      <w:noProof/>
      <w:sz w:val="25"/>
      <w:szCs w:val="25"/>
      <w:shd w:val="clear" w:color="auto" w:fill="FFFFFF"/>
    </w:rPr>
  </w:style>
  <w:style w:type="character" w:customStyle="1" w:styleId="24e">
    <w:name w:val="Подпись к картинке (24)_"/>
    <w:link w:val="24f"/>
    <w:uiPriority w:val="99"/>
    <w:locked/>
    <w:rsid w:val="00601A94"/>
    <w:rPr>
      <w:rFonts w:ascii="Arial" w:hAnsi="Arial" w:cs="Arial"/>
      <w:sz w:val="18"/>
      <w:szCs w:val="18"/>
      <w:shd w:val="clear" w:color="auto" w:fill="FFFFFF"/>
    </w:rPr>
  </w:style>
  <w:style w:type="character" w:customStyle="1" w:styleId="4520">
    <w:name w:val="Основной текст (45)2"/>
    <w:uiPriority w:val="99"/>
    <w:rsid w:val="00601A94"/>
    <w:rPr>
      <w:rFonts w:cs="Times New Roman"/>
      <w:sz w:val="17"/>
      <w:szCs w:val="17"/>
      <w:shd w:val="clear" w:color="auto" w:fill="FFFFFF"/>
    </w:rPr>
  </w:style>
  <w:style w:type="paragraph" w:customStyle="1" w:styleId="214">
    <w:name w:val="Подпись к картинке (2)1"/>
    <w:basedOn w:val="a2"/>
    <w:link w:val="2f7"/>
    <w:uiPriority w:val="99"/>
    <w:rsid w:val="00601A94"/>
    <w:pPr>
      <w:shd w:val="clear" w:color="auto" w:fill="FFFFFF"/>
      <w:spacing w:line="211" w:lineRule="exact"/>
      <w:jc w:val="center"/>
    </w:pPr>
    <w:rPr>
      <w:b/>
    </w:rPr>
  </w:style>
  <w:style w:type="paragraph" w:customStyle="1" w:styleId="71d">
    <w:name w:val="Основной текст (7)1"/>
    <w:basedOn w:val="a2"/>
    <w:uiPriority w:val="99"/>
    <w:rsid w:val="00601A94"/>
    <w:pPr>
      <w:shd w:val="clear" w:color="auto" w:fill="FFFFFF"/>
      <w:spacing w:line="240" w:lineRule="atLeast"/>
      <w:jc w:val="both"/>
    </w:pPr>
    <w:rPr>
      <w:sz w:val="17"/>
      <w:szCs w:val="17"/>
    </w:rPr>
  </w:style>
  <w:style w:type="paragraph" w:customStyle="1" w:styleId="913">
    <w:name w:val="Основной текст (9)1"/>
    <w:basedOn w:val="a2"/>
    <w:uiPriority w:val="99"/>
    <w:rsid w:val="00601A94"/>
    <w:pPr>
      <w:shd w:val="clear" w:color="auto" w:fill="FFFFFF"/>
      <w:spacing w:line="125" w:lineRule="exact"/>
      <w:jc w:val="both"/>
    </w:pPr>
    <w:rPr>
      <w:rFonts w:ascii="Arial" w:hAnsi="Arial" w:cs="Arial"/>
      <w:b/>
      <w:bCs/>
      <w:spacing w:val="-10"/>
      <w:sz w:val="15"/>
      <w:szCs w:val="15"/>
    </w:rPr>
  </w:style>
  <w:style w:type="paragraph" w:customStyle="1" w:styleId="61c">
    <w:name w:val="Подпись к картинке (6)1"/>
    <w:basedOn w:val="a2"/>
    <w:link w:val="6f"/>
    <w:uiPriority w:val="99"/>
    <w:rsid w:val="00601A94"/>
    <w:pPr>
      <w:shd w:val="clear" w:color="auto" w:fill="FFFFFF"/>
      <w:spacing w:line="240" w:lineRule="atLeast"/>
    </w:pPr>
    <w:rPr>
      <w:sz w:val="25"/>
      <w:szCs w:val="25"/>
    </w:rPr>
  </w:style>
  <w:style w:type="paragraph" w:customStyle="1" w:styleId="4510">
    <w:name w:val="Основной текст (45)1"/>
    <w:basedOn w:val="a2"/>
    <w:link w:val="452"/>
    <w:uiPriority w:val="99"/>
    <w:rsid w:val="00601A94"/>
    <w:pPr>
      <w:shd w:val="clear" w:color="auto" w:fill="FFFFFF"/>
      <w:spacing w:line="240" w:lineRule="atLeast"/>
      <w:jc w:val="both"/>
    </w:pPr>
    <w:rPr>
      <w:sz w:val="17"/>
      <w:szCs w:val="17"/>
    </w:rPr>
  </w:style>
  <w:style w:type="paragraph" w:customStyle="1" w:styleId="672">
    <w:name w:val="Основной текст (67)"/>
    <w:basedOn w:val="a2"/>
    <w:link w:val="671"/>
    <w:uiPriority w:val="99"/>
    <w:rsid w:val="00601A94"/>
    <w:pPr>
      <w:shd w:val="clear" w:color="auto" w:fill="FFFFFF"/>
      <w:spacing w:line="240" w:lineRule="atLeast"/>
    </w:pPr>
    <w:rPr>
      <w:rFonts w:ascii="Arial" w:hAnsi="Arial" w:cs="Arial"/>
      <w:noProof/>
    </w:rPr>
  </w:style>
  <w:style w:type="paragraph" w:customStyle="1" w:styleId="14f0">
    <w:name w:val="Подпись к картинке (14)"/>
    <w:basedOn w:val="a2"/>
    <w:link w:val="14f"/>
    <w:uiPriority w:val="99"/>
    <w:rsid w:val="00601A94"/>
    <w:pPr>
      <w:shd w:val="clear" w:color="auto" w:fill="FFFFFF"/>
      <w:spacing w:line="240" w:lineRule="atLeast"/>
    </w:pPr>
    <w:rPr>
      <w:b/>
      <w:bCs/>
    </w:rPr>
  </w:style>
  <w:style w:type="paragraph" w:customStyle="1" w:styleId="1512">
    <w:name w:val="Подпись к картинке (15)1"/>
    <w:basedOn w:val="a2"/>
    <w:link w:val="15c"/>
    <w:uiPriority w:val="99"/>
    <w:rsid w:val="00601A94"/>
    <w:pPr>
      <w:shd w:val="clear" w:color="auto" w:fill="FFFFFF"/>
      <w:spacing w:line="240" w:lineRule="atLeast"/>
    </w:pPr>
    <w:rPr>
      <w:rFonts w:ascii="Arial" w:hAnsi="Arial" w:cs="Arial"/>
      <w:sz w:val="16"/>
      <w:szCs w:val="16"/>
    </w:rPr>
  </w:style>
  <w:style w:type="paragraph" w:customStyle="1" w:styleId="1613">
    <w:name w:val="Подпись к картинке (16)1"/>
    <w:basedOn w:val="a2"/>
    <w:link w:val="16c"/>
    <w:uiPriority w:val="99"/>
    <w:rsid w:val="00601A94"/>
    <w:pPr>
      <w:shd w:val="clear" w:color="auto" w:fill="FFFFFF"/>
      <w:spacing w:after="60" w:line="240" w:lineRule="atLeast"/>
    </w:pPr>
    <w:rPr>
      <w:rFonts w:ascii="Arial" w:hAnsi="Arial" w:cs="Arial"/>
      <w:sz w:val="16"/>
      <w:szCs w:val="16"/>
    </w:rPr>
  </w:style>
  <w:style w:type="paragraph" w:customStyle="1" w:styleId="662">
    <w:name w:val="Основной текст (66)"/>
    <w:basedOn w:val="a2"/>
    <w:link w:val="661"/>
    <w:uiPriority w:val="99"/>
    <w:rsid w:val="00601A94"/>
    <w:pPr>
      <w:shd w:val="clear" w:color="auto" w:fill="FFFFFF"/>
      <w:spacing w:before="60" w:after="60" w:line="240" w:lineRule="atLeast"/>
    </w:pPr>
    <w:rPr>
      <w:rFonts w:ascii="Arial" w:hAnsi="Arial" w:cs="Arial"/>
      <w:noProof/>
      <w:sz w:val="10"/>
      <w:szCs w:val="10"/>
    </w:rPr>
  </w:style>
  <w:style w:type="paragraph" w:customStyle="1" w:styleId="42b">
    <w:name w:val="Заголовок №4 (2)"/>
    <w:basedOn w:val="a2"/>
    <w:link w:val="42a"/>
    <w:uiPriority w:val="99"/>
    <w:rsid w:val="00601A94"/>
    <w:pPr>
      <w:shd w:val="clear" w:color="auto" w:fill="FFFFFF"/>
      <w:spacing w:after="120" w:line="240" w:lineRule="atLeast"/>
      <w:outlineLvl w:val="3"/>
    </w:pPr>
    <w:rPr>
      <w:rFonts w:ascii="Arial" w:hAnsi="Arial" w:cs="Arial"/>
      <w:b/>
      <w:bCs/>
      <w:sz w:val="23"/>
      <w:szCs w:val="23"/>
    </w:rPr>
  </w:style>
  <w:style w:type="paragraph" w:customStyle="1" w:styleId="6810">
    <w:name w:val="Основной текст (68)1"/>
    <w:basedOn w:val="a2"/>
    <w:link w:val="681"/>
    <w:uiPriority w:val="99"/>
    <w:rsid w:val="00601A94"/>
    <w:pPr>
      <w:shd w:val="clear" w:color="auto" w:fill="FFFFFF"/>
      <w:spacing w:before="900" w:after="120" w:line="254" w:lineRule="exact"/>
      <w:jc w:val="center"/>
    </w:pPr>
    <w:rPr>
      <w:rFonts w:ascii="Arial" w:hAnsi="Arial" w:cs="Arial"/>
      <w:sz w:val="18"/>
      <w:szCs w:val="18"/>
    </w:rPr>
  </w:style>
  <w:style w:type="paragraph" w:customStyle="1" w:styleId="6910">
    <w:name w:val="Основной текст (69)1"/>
    <w:basedOn w:val="a2"/>
    <w:link w:val="691"/>
    <w:uiPriority w:val="99"/>
    <w:rsid w:val="00601A94"/>
    <w:pPr>
      <w:shd w:val="clear" w:color="auto" w:fill="FFFFFF"/>
      <w:spacing w:after="1020" w:line="254" w:lineRule="exact"/>
      <w:jc w:val="center"/>
    </w:pPr>
    <w:rPr>
      <w:sz w:val="19"/>
      <w:szCs w:val="19"/>
    </w:rPr>
  </w:style>
  <w:style w:type="paragraph" w:customStyle="1" w:styleId="702">
    <w:name w:val="Основной текст (70)"/>
    <w:basedOn w:val="a2"/>
    <w:link w:val="701"/>
    <w:uiPriority w:val="99"/>
    <w:rsid w:val="00601A94"/>
    <w:pPr>
      <w:shd w:val="clear" w:color="auto" w:fill="FFFFFF"/>
      <w:spacing w:line="240" w:lineRule="atLeast"/>
    </w:pPr>
    <w:rPr>
      <w:rFonts w:ascii="Arial" w:hAnsi="Arial" w:cs="Arial"/>
      <w:sz w:val="19"/>
      <w:szCs w:val="19"/>
    </w:rPr>
  </w:style>
  <w:style w:type="paragraph" w:customStyle="1" w:styleId="33f0">
    <w:name w:val="Заголовок №3 (3)"/>
    <w:basedOn w:val="a2"/>
    <w:link w:val="33f"/>
    <w:uiPriority w:val="99"/>
    <w:rsid w:val="00601A94"/>
    <w:pPr>
      <w:shd w:val="clear" w:color="auto" w:fill="FFFFFF"/>
      <w:spacing w:line="322" w:lineRule="exact"/>
      <w:ind w:firstLine="700"/>
      <w:outlineLvl w:val="2"/>
    </w:pPr>
    <w:rPr>
      <w:b/>
      <w:bCs/>
      <w:sz w:val="23"/>
      <w:szCs w:val="23"/>
    </w:rPr>
  </w:style>
  <w:style w:type="paragraph" w:customStyle="1" w:styleId="7111">
    <w:name w:val="Основной текст (71)1"/>
    <w:basedOn w:val="a2"/>
    <w:link w:val="71b"/>
    <w:uiPriority w:val="99"/>
    <w:rsid w:val="00601A94"/>
    <w:pPr>
      <w:shd w:val="clear" w:color="auto" w:fill="FFFFFF"/>
      <w:spacing w:line="240" w:lineRule="atLeast"/>
    </w:pPr>
    <w:rPr>
      <w:rFonts w:ascii="Arial" w:hAnsi="Arial" w:cs="Arial"/>
      <w:b/>
      <w:bCs/>
      <w:sz w:val="11"/>
      <w:szCs w:val="11"/>
    </w:rPr>
  </w:style>
  <w:style w:type="paragraph" w:customStyle="1" w:styleId="7211">
    <w:name w:val="Основной текст (72)1"/>
    <w:basedOn w:val="a2"/>
    <w:link w:val="725"/>
    <w:uiPriority w:val="99"/>
    <w:rsid w:val="00601A94"/>
    <w:pPr>
      <w:shd w:val="clear" w:color="auto" w:fill="FFFFFF"/>
      <w:spacing w:line="240" w:lineRule="atLeast"/>
    </w:pPr>
    <w:rPr>
      <w:b/>
      <w:bCs/>
    </w:rPr>
  </w:style>
  <w:style w:type="paragraph" w:customStyle="1" w:styleId="733">
    <w:name w:val="Основной текст (73)"/>
    <w:basedOn w:val="a2"/>
    <w:link w:val="732"/>
    <w:uiPriority w:val="99"/>
    <w:rsid w:val="00601A94"/>
    <w:pPr>
      <w:shd w:val="clear" w:color="auto" w:fill="FFFFFF"/>
      <w:spacing w:before="60" w:line="326" w:lineRule="exact"/>
    </w:pPr>
    <w:rPr>
      <w:sz w:val="24"/>
      <w:szCs w:val="24"/>
    </w:rPr>
  </w:style>
  <w:style w:type="paragraph" w:customStyle="1" w:styleId="781">
    <w:name w:val="Основной текст (78)1"/>
    <w:basedOn w:val="a2"/>
    <w:link w:val="780"/>
    <w:uiPriority w:val="99"/>
    <w:rsid w:val="00601A94"/>
    <w:pPr>
      <w:shd w:val="clear" w:color="auto" w:fill="FFFFFF"/>
      <w:spacing w:line="182" w:lineRule="exact"/>
      <w:jc w:val="right"/>
    </w:pPr>
    <w:rPr>
      <w:rFonts w:ascii="Arial" w:hAnsi="Arial" w:cs="Arial"/>
      <w:b/>
      <w:bCs/>
      <w:sz w:val="17"/>
      <w:szCs w:val="17"/>
    </w:rPr>
  </w:style>
  <w:style w:type="paragraph" w:customStyle="1" w:styleId="742">
    <w:name w:val="Основной текст (74)"/>
    <w:basedOn w:val="a2"/>
    <w:link w:val="741"/>
    <w:uiPriority w:val="99"/>
    <w:rsid w:val="00601A94"/>
    <w:pPr>
      <w:shd w:val="clear" w:color="auto" w:fill="FFFFFF"/>
      <w:spacing w:line="240" w:lineRule="atLeast"/>
      <w:jc w:val="both"/>
    </w:pPr>
    <w:rPr>
      <w:rFonts w:ascii="Arial" w:hAnsi="Arial" w:cs="Arial"/>
      <w:b/>
      <w:bCs/>
      <w:sz w:val="11"/>
      <w:szCs w:val="11"/>
    </w:rPr>
  </w:style>
  <w:style w:type="paragraph" w:customStyle="1" w:styleId="772">
    <w:name w:val="Основной текст (77)"/>
    <w:basedOn w:val="a2"/>
    <w:link w:val="771"/>
    <w:uiPriority w:val="99"/>
    <w:rsid w:val="00601A94"/>
    <w:pPr>
      <w:shd w:val="clear" w:color="auto" w:fill="FFFFFF"/>
      <w:spacing w:line="240" w:lineRule="atLeast"/>
    </w:pPr>
    <w:rPr>
      <w:rFonts w:ascii="Arial" w:hAnsi="Arial" w:cs="Arial"/>
      <w:i/>
      <w:iCs/>
      <w:noProof/>
      <w:sz w:val="13"/>
      <w:szCs w:val="13"/>
    </w:rPr>
  </w:style>
  <w:style w:type="paragraph" w:customStyle="1" w:styleId="762">
    <w:name w:val="Основной текст (76)"/>
    <w:basedOn w:val="a2"/>
    <w:link w:val="761"/>
    <w:uiPriority w:val="99"/>
    <w:rsid w:val="00601A94"/>
    <w:pPr>
      <w:shd w:val="clear" w:color="auto" w:fill="FFFFFF"/>
      <w:spacing w:line="240" w:lineRule="atLeast"/>
    </w:pPr>
    <w:rPr>
      <w:rFonts w:ascii="Arial" w:hAnsi="Arial" w:cs="Arial"/>
      <w:b/>
      <w:bCs/>
      <w:noProof/>
      <w:sz w:val="16"/>
      <w:szCs w:val="16"/>
    </w:rPr>
  </w:style>
  <w:style w:type="paragraph" w:customStyle="1" w:styleId="752">
    <w:name w:val="Основной текст (75)"/>
    <w:basedOn w:val="a2"/>
    <w:link w:val="751"/>
    <w:uiPriority w:val="99"/>
    <w:rsid w:val="00601A94"/>
    <w:pPr>
      <w:shd w:val="clear" w:color="auto" w:fill="FFFFFF"/>
      <w:spacing w:line="240" w:lineRule="atLeast"/>
    </w:pPr>
    <w:rPr>
      <w:rFonts w:ascii="Arial" w:hAnsi="Arial" w:cs="Arial"/>
      <w:noProof/>
      <w:sz w:val="14"/>
      <w:szCs w:val="14"/>
    </w:rPr>
  </w:style>
  <w:style w:type="paragraph" w:customStyle="1" w:styleId="1513">
    <w:name w:val="Подпись к таблице (15)1"/>
    <w:basedOn w:val="a2"/>
    <w:link w:val="15e"/>
    <w:uiPriority w:val="99"/>
    <w:rsid w:val="00601A94"/>
    <w:pPr>
      <w:shd w:val="clear" w:color="auto" w:fill="FFFFFF"/>
      <w:spacing w:line="187" w:lineRule="exact"/>
      <w:jc w:val="right"/>
    </w:pPr>
    <w:rPr>
      <w:rFonts w:ascii="Arial" w:hAnsi="Arial" w:cs="Arial"/>
      <w:b/>
      <w:bCs/>
      <w:sz w:val="17"/>
      <w:szCs w:val="17"/>
    </w:rPr>
  </w:style>
  <w:style w:type="paragraph" w:customStyle="1" w:styleId="1711">
    <w:name w:val="Подпись к картинке (17)1"/>
    <w:basedOn w:val="a2"/>
    <w:link w:val="17c"/>
    <w:uiPriority w:val="99"/>
    <w:rsid w:val="00601A94"/>
    <w:pPr>
      <w:shd w:val="clear" w:color="auto" w:fill="FFFFFF"/>
      <w:spacing w:line="288" w:lineRule="exact"/>
    </w:pPr>
    <w:rPr>
      <w:sz w:val="14"/>
      <w:szCs w:val="14"/>
    </w:rPr>
  </w:style>
  <w:style w:type="paragraph" w:customStyle="1" w:styleId="1813">
    <w:name w:val="Подпись к картинке (18)1"/>
    <w:basedOn w:val="a2"/>
    <w:link w:val="18c"/>
    <w:uiPriority w:val="99"/>
    <w:rsid w:val="00601A94"/>
    <w:pPr>
      <w:shd w:val="clear" w:color="auto" w:fill="FFFFFF"/>
      <w:spacing w:line="240" w:lineRule="exact"/>
      <w:jc w:val="both"/>
    </w:pPr>
    <w:rPr>
      <w:rFonts w:ascii="Arial" w:hAnsi="Arial" w:cs="Arial"/>
      <w:w w:val="70"/>
      <w:sz w:val="16"/>
      <w:szCs w:val="16"/>
    </w:rPr>
  </w:style>
  <w:style w:type="paragraph" w:customStyle="1" w:styleId="1913">
    <w:name w:val="Подпись к картинке (19)1"/>
    <w:basedOn w:val="a2"/>
    <w:link w:val="19c"/>
    <w:uiPriority w:val="99"/>
    <w:rsid w:val="00601A94"/>
    <w:pPr>
      <w:shd w:val="clear" w:color="auto" w:fill="FFFFFF"/>
      <w:spacing w:line="240" w:lineRule="atLeast"/>
    </w:pPr>
    <w:rPr>
      <w:rFonts w:ascii="Impact" w:hAnsi="Impact" w:cs="Impact"/>
      <w:sz w:val="12"/>
      <w:szCs w:val="12"/>
    </w:rPr>
  </w:style>
  <w:style w:type="paragraph" w:customStyle="1" w:styleId="8010">
    <w:name w:val="Основной текст (80)1"/>
    <w:basedOn w:val="a2"/>
    <w:link w:val="801"/>
    <w:uiPriority w:val="99"/>
    <w:rsid w:val="00601A94"/>
    <w:pPr>
      <w:shd w:val="clear" w:color="auto" w:fill="FFFFFF"/>
      <w:spacing w:before="240" w:line="240" w:lineRule="atLeast"/>
    </w:pPr>
    <w:rPr>
      <w:rFonts w:ascii="Arial" w:hAnsi="Arial" w:cs="Arial"/>
      <w:w w:val="70"/>
      <w:sz w:val="16"/>
      <w:szCs w:val="16"/>
    </w:rPr>
  </w:style>
  <w:style w:type="paragraph" w:customStyle="1" w:styleId="791">
    <w:name w:val="Основной текст (79)1"/>
    <w:basedOn w:val="a2"/>
    <w:link w:val="790"/>
    <w:uiPriority w:val="99"/>
    <w:rsid w:val="00601A94"/>
    <w:pPr>
      <w:shd w:val="clear" w:color="auto" w:fill="FFFFFF"/>
      <w:spacing w:after="240" w:line="288" w:lineRule="exact"/>
      <w:jc w:val="both"/>
    </w:pPr>
    <w:rPr>
      <w:sz w:val="14"/>
      <w:szCs w:val="14"/>
    </w:rPr>
  </w:style>
  <w:style w:type="paragraph" w:customStyle="1" w:styleId="2312">
    <w:name w:val="Заголовок №2 (3)1"/>
    <w:basedOn w:val="a2"/>
    <w:link w:val="23d"/>
    <w:uiPriority w:val="99"/>
    <w:rsid w:val="00601A94"/>
    <w:pPr>
      <w:shd w:val="clear" w:color="auto" w:fill="FFFFFF"/>
      <w:spacing w:line="240" w:lineRule="atLeast"/>
      <w:jc w:val="both"/>
      <w:outlineLvl w:val="1"/>
    </w:pPr>
    <w:rPr>
      <w:rFonts w:ascii="Verdana" w:hAnsi="Verdana" w:cs="Verdana"/>
      <w:b/>
      <w:bCs/>
      <w:w w:val="60"/>
      <w:sz w:val="14"/>
      <w:szCs w:val="14"/>
    </w:rPr>
  </w:style>
  <w:style w:type="paragraph" w:customStyle="1" w:styleId="8111">
    <w:name w:val="Основной текст (81)1"/>
    <w:basedOn w:val="a2"/>
    <w:link w:val="81b"/>
    <w:uiPriority w:val="99"/>
    <w:rsid w:val="00601A94"/>
    <w:pPr>
      <w:shd w:val="clear" w:color="auto" w:fill="FFFFFF"/>
      <w:spacing w:line="96" w:lineRule="exact"/>
      <w:jc w:val="both"/>
    </w:pPr>
    <w:rPr>
      <w:b/>
      <w:bCs/>
      <w:sz w:val="17"/>
      <w:szCs w:val="17"/>
    </w:rPr>
  </w:style>
  <w:style w:type="paragraph" w:customStyle="1" w:styleId="8210">
    <w:name w:val="Основной текст (82)1"/>
    <w:basedOn w:val="a2"/>
    <w:link w:val="824"/>
    <w:uiPriority w:val="99"/>
    <w:rsid w:val="00601A94"/>
    <w:pPr>
      <w:shd w:val="clear" w:color="auto" w:fill="FFFFFF"/>
      <w:spacing w:line="96" w:lineRule="exact"/>
      <w:jc w:val="both"/>
    </w:pPr>
    <w:rPr>
      <w:rFonts w:ascii="Impact" w:hAnsi="Impact" w:cs="Impact"/>
      <w:sz w:val="11"/>
      <w:szCs w:val="11"/>
    </w:rPr>
  </w:style>
  <w:style w:type="paragraph" w:customStyle="1" w:styleId="8310">
    <w:name w:val="Основной текст (83)1"/>
    <w:basedOn w:val="a2"/>
    <w:link w:val="831"/>
    <w:uiPriority w:val="99"/>
    <w:rsid w:val="00601A94"/>
    <w:pPr>
      <w:shd w:val="clear" w:color="auto" w:fill="FFFFFF"/>
      <w:spacing w:line="96" w:lineRule="exact"/>
      <w:jc w:val="both"/>
    </w:pPr>
    <w:rPr>
      <w:rFonts w:ascii="Courier New" w:hAnsi="Courier New" w:cs="Courier New"/>
      <w:noProof/>
      <w:sz w:val="14"/>
      <w:szCs w:val="14"/>
    </w:rPr>
  </w:style>
  <w:style w:type="paragraph" w:customStyle="1" w:styleId="2010">
    <w:name w:val="Подпись к картинке (20)1"/>
    <w:basedOn w:val="a2"/>
    <w:link w:val="20c"/>
    <w:uiPriority w:val="99"/>
    <w:rsid w:val="00601A94"/>
    <w:pPr>
      <w:shd w:val="clear" w:color="auto" w:fill="FFFFFF"/>
      <w:spacing w:line="168" w:lineRule="exact"/>
      <w:jc w:val="both"/>
    </w:pPr>
    <w:rPr>
      <w:rFonts w:ascii="Arial" w:hAnsi="Arial" w:cs="Arial"/>
      <w:w w:val="66"/>
      <w:sz w:val="11"/>
      <w:szCs w:val="11"/>
    </w:rPr>
  </w:style>
  <w:style w:type="paragraph" w:customStyle="1" w:styleId="8410">
    <w:name w:val="Основной текст (84)1"/>
    <w:basedOn w:val="a2"/>
    <w:link w:val="841"/>
    <w:uiPriority w:val="99"/>
    <w:rsid w:val="00601A94"/>
    <w:pPr>
      <w:shd w:val="clear" w:color="auto" w:fill="FFFFFF"/>
      <w:spacing w:before="780" w:after="240" w:line="240" w:lineRule="atLeast"/>
      <w:jc w:val="center"/>
    </w:pPr>
    <w:rPr>
      <w:rFonts w:ascii="Arial" w:hAnsi="Arial" w:cs="Arial"/>
      <w:w w:val="66"/>
      <w:sz w:val="11"/>
      <w:szCs w:val="11"/>
    </w:rPr>
  </w:style>
  <w:style w:type="paragraph" w:customStyle="1" w:styleId="912">
    <w:name w:val="Оглавление (9)1"/>
    <w:basedOn w:val="a2"/>
    <w:link w:val="9f1"/>
    <w:uiPriority w:val="99"/>
    <w:rsid w:val="00601A94"/>
    <w:pPr>
      <w:shd w:val="clear" w:color="auto" w:fill="FFFFFF"/>
      <w:spacing w:line="67" w:lineRule="exact"/>
      <w:jc w:val="both"/>
    </w:pPr>
    <w:rPr>
      <w:rFonts w:ascii="Arial" w:hAnsi="Arial" w:cs="Arial"/>
      <w:noProof/>
    </w:rPr>
  </w:style>
  <w:style w:type="paragraph" w:customStyle="1" w:styleId="2113">
    <w:name w:val="Подпись к картинке (21)1"/>
    <w:basedOn w:val="a2"/>
    <w:link w:val="21f0"/>
    <w:uiPriority w:val="99"/>
    <w:rsid w:val="00601A94"/>
    <w:pPr>
      <w:shd w:val="clear" w:color="auto" w:fill="FFFFFF"/>
      <w:spacing w:after="60" w:line="240" w:lineRule="atLeast"/>
    </w:pPr>
    <w:rPr>
      <w:rFonts w:ascii="Impact" w:hAnsi="Impact" w:cs="Impact"/>
      <w:sz w:val="10"/>
      <w:szCs w:val="10"/>
    </w:rPr>
  </w:style>
  <w:style w:type="paragraph" w:customStyle="1" w:styleId="8510">
    <w:name w:val="Основной текст (85)1"/>
    <w:basedOn w:val="a2"/>
    <w:link w:val="851"/>
    <w:uiPriority w:val="99"/>
    <w:rsid w:val="00601A94"/>
    <w:pPr>
      <w:shd w:val="clear" w:color="auto" w:fill="FFFFFF"/>
      <w:spacing w:line="240" w:lineRule="atLeast"/>
      <w:jc w:val="both"/>
    </w:pPr>
    <w:rPr>
      <w:rFonts w:ascii="Impact" w:hAnsi="Impact" w:cs="Impact"/>
      <w:sz w:val="10"/>
      <w:szCs w:val="10"/>
    </w:rPr>
  </w:style>
  <w:style w:type="paragraph" w:customStyle="1" w:styleId="8610">
    <w:name w:val="Основной текст (86)1"/>
    <w:basedOn w:val="a2"/>
    <w:link w:val="861"/>
    <w:uiPriority w:val="99"/>
    <w:rsid w:val="00601A94"/>
    <w:pPr>
      <w:shd w:val="clear" w:color="auto" w:fill="FFFFFF"/>
      <w:spacing w:line="240" w:lineRule="atLeast"/>
      <w:jc w:val="both"/>
    </w:pPr>
    <w:rPr>
      <w:rFonts w:ascii="Arial" w:hAnsi="Arial" w:cs="Arial"/>
      <w:noProof/>
      <w:sz w:val="18"/>
      <w:szCs w:val="18"/>
    </w:rPr>
  </w:style>
  <w:style w:type="paragraph" w:customStyle="1" w:styleId="1614">
    <w:name w:val="Подпись к таблице (16)1"/>
    <w:basedOn w:val="a2"/>
    <w:link w:val="16e"/>
    <w:uiPriority w:val="99"/>
    <w:rsid w:val="00601A94"/>
    <w:pPr>
      <w:shd w:val="clear" w:color="auto" w:fill="FFFFFF"/>
      <w:spacing w:line="240" w:lineRule="atLeast"/>
    </w:pPr>
    <w:rPr>
      <w:rFonts w:ascii="Impact" w:hAnsi="Impact" w:cs="Impact"/>
      <w:sz w:val="10"/>
      <w:szCs w:val="10"/>
    </w:rPr>
  </w:style>
  <w:style w:type="paragraph" w:customStyle="1" w:styleId="2212">
    <w:name w:val="Подпись к картинке (22)1"/>
    <w:basedOn w:val="a2"/>
    <w:link w:val="22d"/>
    <w:uiPriority w:val="99"/>
    <w:rsid w:val="00601A94"/>
    <w:pPr>
      <w:shd w:val="clear" w:color="auto" w:fill="FFFFFF"/>
      <w:spacing w:line="274" w:lineRule="exact"/>
      <w:jc w:val="center"/>
    </w:pPr>
    <w:rPr>
      <w:sz w:val="15"/>
      <w:szCs w:val="15"/>
    </w:rPr>
  </w:style>
  <w:style w:type="paragraph" w:customStyle="1" w:styleId="2313">
    <w:name w:val="Подпись к картинке (23)1"/>
    <w:basedOn w:val="a2"/>
    <w:link w:val="23f"/>
    <w:uiPriority w:val="99"/>
    <w:rsid w:val="00601A94"/>
    <w:pPr>
      <w:shd w:val="clear" w:color="auto" w:fill="FFFFFF"/>
      <w:spacing w:line="240" w:lineRule="atLeast"/>
    </w:pPr>
    <w:rPr>
      <w:b/>
      <w:bCs/>
      <w:spacing w:val="-10"/>
      <w:sz w:val="14"/>
      <w:szCs w:val="14"/>
    </w:rPr>
  </w:style>
  <w:style w:type="paragraph" w:customStyle="1" w:styleId="24f">
    <w:name w:val="Подпись к картинке (24)"/>
    <w:basedOn w:val="a2"/>
    <w:link w:val="24e"/>
    <w:uiPriority w:val="99"/>
    <w:rsid w:val="00601A94"/>
    <w:pPr>
      <w:shd w:val="clear" w:color="auto" w:fill="FFFFFF"/>
      <w:spacing w:line="240" w:lineRule="atLeast"/>
    </w:pPr>
    <w:rPr>
      <w:rFonts w:ascii="Arial" w:hAnsi="Arial" w:cs="Arial"/>
      <w:sz w:val="18"/>
      <w:szCs w:val="18"/>
    </w:rPr>
  </w:style>
  <w:style w:type="character" w:customStyle="1" w:styleId="8f">
    <w:name w:val="Оглавление (8)_"/>
    <w:link w:val="81d"/>
    <w:uiPriority w:val="99"/>
    <w:locked/>
    <w:rsid w:val="00601A94"/>
    <w:rPr>
      <w:rFonts w:ascii="Arial" w:hAnsi="Arial" w:cs="Arial"/>
      <w:sz w:val="13"/>
      <w:szCs w:val="13"/>
      <w:shd w:val="clear" w:color="auto" w:fill="FFFFFF"/>
    </w:rPr>
  </w:style>
  <w:style w:type="paragraph" w:customStyle="1" w:styleId="81d">
    <w:name w:val="Оглавление (8)1"/>
    <w:basedOn w:val="a2"/>
    <w:link w:val="8f"/>
    <w:uiPriority w:val="99"/>
    <w:rsid w:val="00601A94"/>
    <w:pPr>
      <w:shd w:val="clear" w:color="auto" w:fill="FFFFFF"/>
      <w:spacing w:line="130" w:lineRule="exact"/>
      <w:ind w:hanging="340"/>
    </w:pPr>
    <w:rPr>
      <w:rFonts w:ascii="Arial" w:hAnsi="Arial" w:cs="Arial"/>
      <w:sz w:val="13"/>
      <w:szCs w:val="13"/>
    </w:rPr>
  </w:style>
  <w:style w:type="character" w:customStyle="1" w:styleId="1001">
    <w:name w:val="Основной текст (100)_"/>
    <w:link w:val="1002"/>
    <w:uiPriority w:val="99"/>
    <w:locked/>
    <w:rsid w:val="00601A94"/>
    <w:rPr>
      <w:rFonts w:cs="Times New Roman"/>
      <w:sz w:val="11"/>
      <w:szCs w:val="11"/>
      <w:shd w:val="clear" w:color="auto" w:fill="FFFFFF"/>
    </w:rPr>
  </w:style>
  <w:style w:type="paragraph" w:customStyle="1" w:styleId="1002">
    <w:name w:val="Основной текст (100)"/>
    <w:basedOn w:val="a2"/>
    <w:link w:val="1001"/>
    <w:uiPriority w:val="99"/>
    <w:rsid w:val="00601A94"/>
    <w:pPr>
      <w:shd w:val="clear" w:color="auto" w:fill="FFFFFF"/>
      <w:spacing w:line="250" w:lineRule="exact"/>
      <w:jc w:val="both"/>
    </w:pPr>
    <w:rPr>
      <w:sz w:val="11"/>
      <w:szCs w:val="11"/>
    </w:rPr>
  </w:style>
  <w:style w:type="character" w:customStyle="1" w:styleId="1015">
    <w:name w:val="Основной текст (101)_"/>
    <w:link w:val="1016"/>
    <w:uiPriority w:val="99"/>
    <w:locked/>
    <w:rsid w:val="00601A94"/>
    <w:rPr>
      <w:rFonts w:ascii="Arial" w:hAnsi="Arial" w:cs="Arial"/>
      <w:b/>
      <w:bCs/>
      <w:sz w:val="12"/>
      <w:szCs w:val="12"/>
      <w:shd w:val="clear" w:color="auto" w:fill="FFFFFF"/>
    </w:rPr>
  </w:style>
  <w:style w:type="paragraph" w:customStyle="1" w:styleId="1016">
    <w:name w:val="Основной текст (101)"/>
    <w:basedOn w:val="a2"/>
    <w:link w:val="1015"/>
    <w:uiPriority w:val="99"/>
    <w:rsid w:val="00601A94"/>
    <w:pPr>
      <w:shd w:val="clear" w:color="auto" w:fill="FFFFFF"/>
      <w:spacing w:line="250" w:lineRule="exact"/>
      <w:jc w:val="both"/>
    </w:pPr>
    <w:rPr>
      <w:rFonts w:ascii="Arial" w:hAnsi="Arial" w:cs="Arial"/>
      <w:b/>
      <w:bCs/>
      <w:sz w:val="12"/>
      <w:szCs w:val="12"/>
    </w:rPr>
  </w:style>
  <w:style w:type="character" w:customStyle="1" w:styleId="10f4">
    <w:name w:val="Оглавление (10)_"/>
    <w:link w:val="10f5"/>
    <w:uiPriority w:val="99"/>
    <w:locked/>
    <w:rsid w:val="00601A94"/>
    <w:rPr>
      <w:rFonts w:ascii="Georgia" w:hAnsi="Georgia" w:cs="Georgia"/>
      <w:spacing w:val="10"/>
      <w:sz w:val="13"/>
      <w:szCs w:val="13"/>
      <w:shd w:val="clear" w:color="auto" w:fill="FFFFFF"/>
    </w:rPr>
  </w:style>
  <w:style w:type="paragraph" w:customStyle="1" w:styleId="10f5">
    <w:name w:val="Оглавление (10)"/>
    <w:basedOn w:val="a2"/>
    <w:link w:val="10f4"/>
    <w:uiPriority w:val="99"/>
    <w:rsid w:val="00601A94"/>
    <w:pPr>
      <w:shd w:val="clear" w:color="auto" w:fill="FFFFFF"/>
      <w:spacing w:line="250" w:lineRule="exact"/>
      <w:jc w:val="both"/>
    </w:pPr>
    <w:rPr>
      <w:rFonts w:ascii="Georgia" w:hAnsi="Georgia" w:cs="Georgia"/>
      <w:spacing w:val="10"/>
      <w:sz w:val="13"/>
      <w:szCs w:val="13"/>
    </w:rPr>
  </w:style>
  <w:style w:type="character" w:customStyle="1" w:styleId="29e">
    <w:name w:val="Подпись к картинке (29)_"/>
    <w:link w:val="2910"/>
    <w:uiPriority w:val="99"/>
    <w:locked/>
    <w:rsid w:val="00601A94"/>
    <w:rPr>
      <w:rFonts w:ascii="Arial" w:hAnsi="Arial" w:cs="Arial"/>
      <w:sz w:val="11"/>
      <w:szCs w:val="11"/>
      <w:shd w:val="clear" w:color="auto" w:fill="FFFFFF"/>
    </w:rPr>
  </w:style>
  <w:style w:type="paragraph" w:customStyle="1" w:styleId="2910">
    <w:name w:val="Подпись к картинке (29)1"/>
    <w:basedOn w:val="a2"/>
    <w:link w:val="29e"/>
    <w:uiPriority w:val="99"/>
    <w:rsid w:val="00601A94"/>
    <w:pPr>
      <w:shd w:val="clear" w:color="auto" w:fill="FFFFFF"/>
      <w:spacing w:line="173" w:lineRule="exact"/>
      <w:jc w:val="both"/>
    </w:pPr>
    <w:rPr>
      <w:rFonts w:ascii="Arial" w:hAnsi="Arial" w:cs="Arial"/>
      <w:sz w:val="11"/>
      <w:szCs w:val="11"/>
    </w:rPr>
  </w:style>
  <w:style w:type="character" w:customStyle="1" w:styleId="30e">
    <w:name w:val="Подпись к картинке (30)_"/>
    <w:link w:val="3010"/>
    <w:uiPriority w:val="99"/>
    <w:locked/>
    <w:rsid w:val="00601A94"/>
    <w:rPr>
      <w:rFonts w:ascii="Arial" w:hAnsi="Arial" w:cs="Arial"/>
      <w:sz w:val="13"/>
      <w:szCs w:val="13"/>
      <w:shd w:val="clear" w:color="auto" w:fill="FFFFFF"/>
    </w:rPr>
  </w:style>
  <w:style w:type="paragraph" w:customStyle="1" w:styleId="3010">
    <w:name w:val="Подпись к картинке (30)1"/>
    <w:basedOn w:val="a2"/>
    <w:link w:val="30e"/>
    <w:uiPriority w:val="99"/>
    <w:rsid w:val="00601A94"/>
    <w:pPr>
      <w:shd w:val="clear" w:color="auto" w:fill="FFFFFF"/>
      <w:spacing w:line="240" w:lineRule="atLeast"/>
    </w:pPr>
    <w:rPr>
      <w:rFonts w:ascii="Arial" w:hAnsi="Arial" w:cs="Arial"/>
      <w:sz w:val="13"/>
      <w:szCs w:val="13"/>
    </w:rPr>
  </w:style>
  <w:style w:type="character" w:customStyle="1" w:styleId="27e">
    <w:name w:val="Подпись к картинке (27)_"/>
    <w:link w:val="2712"/>
    <w:uiPriority w:val="99"/>
    <w:locked/>
    <w:rsid w:val="00601A94"/>
    <w:rPr>
      <w:rFonts w:ascii="Arial" w:hAnsi="Arial" w:cs="Arial"/>
      <w:sz w:val="14"/>
      <w:szCs w:val="14"/>
      <w:shd w:val="clear" w:color="auto" w:fill="FFFFFF"/>
    </w:rPr>
  </w:style>
  <w:style w:type="paragraph" w:customStyle="1" w:styleId="2712">
    <w:name w:val="Подпись к картинке (27)1"/>
    <w:basedOn w:val="a2"/>
    <w:link w:val="27e"/>
    <w:uiPriority w:val="99"/>
    <w:rsid w:val="00601A94"/>
    <w:pPr>
      <w:shd w:val="clear" w:color="auto" w:fill="FFFFFF"/>
      <w:spacing w:line="240" w:lineRule="atLeast"/>
    </w:pPr>
    <w:rPr>
      <w:rFonts w:ascii="Arial" w:hAnsi="Arial" w:cs="Arial"/>
      <w:sz w:val="14"/>
      <w:szCs w:val="14"/>
    </w:rPr>
  </w:style>
  <w:style w:type="character" w:customStyle="1" w:styleId="960">
    <w:name w:val="Основной текст (96)_"/>
    <w:link w:val="961"/>
    <w:uiPriority w:val="99"/>
    <w:locked/>
    <w:rsid w:val="00601A94"/>
    <w:rPr>
      <w:rFonts w:cs="Times New Roman"/>
      <w:shd w:val="clear" w:color="auto" w:fill="FFFFFF"/>
    </w:rPr>
  </w:style>
  <w:style w:type="paragraph" w:customStyle="1" w:styleId="961">
    <w:name w:val="Основной текст (96)"/>
    <w:basedOn w:val="a2"/>
    <w:link w:val="960"/>
    <w:uiPriority w:val="99"/>
    <w:rsid w:val="00601A94"/>
    <w:pPr>
      <w:shd w:val="clear" w:color="auto" w:fill="FFFFFF"/>
      <w:spacing w:line="326" w:lineRule="exact"/>
      <w:jc w:val="both"/>
    </w:pPr>
  </w:style>
  <w:style w:type="character" w:customStyle="1" w:styleId="18e">
    <w:name w:val="Подпись к таблице (18)_"/>
    <w:link w:val="1814"/>
    <w:uiPriority w:val="99"/>
    <w:locked/>
    <w:rsid w:val="00601A94"/>
    <w:rPr>
      <w:rFonts w:ascii="Arial" w:hAnsi="Arial" w:cs="Arial"/>
      <w:sz w:val="13"/>
      <w:szCs w:val="13"/>
      <w:shd w:val="clear" w:color="auto" w:fill="FFFFFF"/>
    </w:rPr>
  </w:style>
  <w:style w:type="paragraph" w:customStyle="1" w:styleId="1814">
    <w:name w:val="Подпись к таблице (18)1"/>
    <w:basedOn w:val="a2"/>
    <w:link w:val="18e"/>
    <w:uiPriority w:val="99"/>
    <w:rsid w:val="00601A94"/>
    <w:pPr>
      <w:shd w:val="clear" w:color="auto" w:fill="FFFFFF"/>
      <w:spacing w:line="240" w:lineRule="atLeast"/>
    </w:pPr>
    <w:rPr>
      <w:rFonts w:ascii="Arial" w:hAnsi="Arial" w:cs="Arial"/>
      <w:sz w:val="13"/>
      <w:szCs w:val="13"/>
    </w:rPr>
  </w:style>
  <w:style w:type="character" w:customStyle="1" w:styleId="970">
    <w:name w:val="Основной текст (97)_"/>
    <w:link w:val="971"/>
    <w:uiPriority w:val="99"/>
    <w:locked/>
    <w:rsid w:val="00601A94"/>
    <w:rPr>
      <w:rFonts w:ascii="Arial" w:hAnsi="Arial" w:cs="Arial"/>
      <w:spacing w:val="-20"/>
      <w:shd w:val="clear" w:color="auto" w:fill="FFFFFF"/>
    </w:rPr>
  </w:style>
  <w:style w:type="paragraph" w:customStyle="1" w:styleId="971">
    <w:name w:val="Основной текст (97)"/>
    <w:basedOn w:val="a2"/>
    <w:link w:val="970"/>
    <w:uiPriority w:val="99"/>
    <w:rsid w:val="00601A94"/>
    <w:pPr>
      <w:shd w:val="clear" w:color="auto" w:fill="FFFFFF"/>
      <w:spacing w:line="240" w:lineRule="atLeast"/>
    </w:pPr>
    <w:rPr>
      <w:rFonts w:ascii="Arial" w:hAnsi="Arial" w:cs="Arial"/>
      <w:spacing w:val="-20"/>
    </w:rPr>
  </w:style>
  <w:style w:type="character" w:customStyle="1" w:styleId="980">
    <w:name w:val="Основной текст (98)_"/>
    <w:link w:val="981"/>
    <w:uiPriority w:val="99"/>
    <w:locked/>
    <w:rsid w:val="00601A94"/>
    <w:rPr>
      <w:rFonts w:ascii="Arial" w:hAnsi="Arial" w:cs="Arial"/>
      <w:i/>
      <w:iCs/>
      <w:noProof/>
      <w:sz w:val="8"/>
      <w:szCs w:val="8"/>
      <w:shd w:val="clear" w:color="auto" w:fill="FFFFFF"/>
    </w:rPr>
  </w:style>
  <w:style w:type="paragraph" w:customStyle="1" w:styleId="981">
    <w:name w:val="Основной текст (98)"/>
    <w:basedOn w:val="a2"/>
    <w:link w:val="980"/>
    <w:uiPriority w:val="99"/>
    <w:rsid w:val="00601A94"/>
    <w:pPr>
      <w:shd w:val="clear" w:color="auto" w:fill="FFFFFF"/>
      <w:spacing w:line="240" w:lineRule="atLeast"/>
    </w:pPr>
    <w:rPr>
      <w:rFonts w:ascii="Arial" w:hAnsi="Arial" w:cs="Arial"/>
      <w:i/>
      <w:iCs/>
      <w:noProof/>
      <w:sz w:val="8"/>
      <w:szCs w:val="8"/>
    </w:rPr>
  </w:style>
  <w:style w:type="character" w:customStyle="1" w:styleId="990">
    <w:name w:val="Основной текст (99)_"/>
    <w:link w:val="991"/>
    <w:uiPriority w:val="99"/>
    <w:locked/>
    <w:rsid w:val="00601A94"/>
    <w:rPr>
      <w:rFonts w:ascii="Arial" w:hAnsi="Arial" w:cs="Arial"/>
      <w:noProof/>
      <w:sz w:val="13"/>
      <w:szCs w:val="13"/>
      <w:shd w:val="clear" w:color="auto" w:fill="FFFFFF"/>
    </w:rPr>
  </w:style>
  <w:style w:type="paragraph" w:customStyle="1" w:styleId="991">
    <w:name w:val="Основной текст (99)"/>
    <w:basedOn w:val="a2"/>
    <w:link w:val="990"/>
    <w:uiPriority w:val="99"/>
    <w:rsid w:val="00601A94"/>
    <w:pPr>
      <w:shd w:val="clear" w:color="auto" w:fill="FFFFFF"/>
      <w:spacing w:line="240" w:lineRule="atLeast"/>
    </w:pPr>
    <w:rPr>
      <w:rFonts w:ascii="Arial" w:hAnsi="Arial" w:cs="Arial"/>
      <w:noProof/>
      <w:sz w:val="13"/>
      <w:szCs w:val="13"/>
    </w:rPr>
  </w:style>
  <w:style w:type="character" w:customStyle="1" w:styleId="1022">
    <w:name w:val="Основной текст (102)_"/>
    <w:link w:val="10210"/>
    <w:uiPriority w:val="99"/>
    <w:locked/>
    <w:rsid w:val="00601A94"/>
    <w:rPr>
      <w:rFonts w:cs="Times New Roman"/>
      <w:sz w:val="25"/>
      <w:szCs w:val="25"/>
      <w:shd w:val="clear" w:color="auto" w:fill="FFFFFF"/>
    </w:rPr>
  </w:style>
  <w:style w:type="paragraph" w:customStyle="1" w:styleId="10210">
    <w:name w:val="Основной текст (102)1"/>
    <w:basedOn w:val="a2"/>
    <w:link w:val="1022"/>
    <w:uiPriority w:val="99"/>
    <w:rsid w:val="00601A94"/>
    <w:pPr>
      <w:shd w:val="clear" w:color="auto" w:fill="FFFFFF"/>
      <w:spacing w:line="240" w:lineRule="atLeast"/>
      <w:jc w:val="both"/>
    </w:pPr>
    <w:rPr>
      <w:sz w:val="25"/>
      <w:szCs w:val="25"/>
    </w:rPr>
  </w:style>
  <w:style w:type="character" w:customStyle="1" w:styleId="25e">
    <w:name w:val="Подпись к картинке (25)_"/>
    <w:link w:val="2512"/>
    <w:uiPriority w:val="99"/>
    <w:locked/>
    <w:rsid w:val="00601A94"/>
    <w:rPr>
      <w:rFonts w:ascii="Arial" w:hAnsi="Arial" w:cs="Arial"/>
      <w:sz w:val="10"/>
      <w:szCs w:val="10"/>
      <w:shd w:val="clear" w:color="auto" w:fill="FFFFFF"/>
    </w:rPr>
  </w:style>
  <w:style w:type="paragraph" w:customStyle="1" w:styleId="2512">
    <w:name w:val="Подпись к картинке (25)1"/>
    <w:basedOn w:val="a2"/>
    <w:link w:val="25e"/>
    <w:uiPriority w:val="99"/>
    <w:rsid w:val="00601A94"/>
    <w:pPr>
      <w:shd w:val="clear" w:color="auto" w:fill="FFFFFF"/>
      <w:spacing w:line="240" w:lineRule="atLeast"/>
    </w:pPr>
    <w:rPr>
      <w:rFonts w:ascii="Arial" w:hAnsi="Arial" w:cs="Arial"/>
      <w:sz w:val="10"/>
      <w:szCs w:val="10"/>
    </w:rPr>
  </w:style>
  <w:style w:type="character" w:customStyle="1" w:styleId="26d">
    <w:name w:val="Подпись к картинке (26)_"/>
    <w:link w:val="2613"/>
    <w:uiPriority w:val="99"/>
    <w:locked/>
    <w:rsid w:val="00601A94"/>
    <w:rPr>
      <w:rFonts w:ascii="Calibri" w:hAnsi="Calibri" w:cs="Calibri"/>
      <w:b/>
      <w:bCs/>
      <w:sz w:val="16"/>
      <w:szCs w:val="16"/>
      <w:shd w:val="clear" w:color="auto" w:fill="FFFFFF"/>
    </w:rPr>
  </w:style>
  <w:style w:type="paragraph" w:customStyle="1" w:styleId="2613">
    <w:name w:val="Подпись к картинке (26)1"/>
    <w:basedOn w:val="a2"/>
    <w:link w:val="26d"/>
    <w:uiPriority w:val="99"/>
    <w:rsid w:val="00601A94"/>
    <w:pPr>
      <w:shd w:val="clear" w:color="auto" w:fill="FFFFFF"/>
      <w:spacing w:line="240" w:lineRule="atLeast"/>
    </w:pPr>
    <w:rPr>
      <w:rFonts w:ascii="Calibri" w:hAnsi="Calibri" w:cs="Calibri"/>
      <w:b/>
      <w:bCs/>
      <w:sz w:val="16"/>
      <w:szCs w:val="16"/>
    </w:rPr>
  </w:style>
  <w:style w:type="character" w:customStyle="1" w:styleId="28e">
    <w:name w:val="Подпись к картинке (28)_"/>
    <w:link w:val="2812"/>
    <w:uiPriority w:val="99"/>
    <w:locked/>
    <w:rsid w:val="00601A94"/>
    <w:rPr>
      <w:rFonts w:cs="Times New Roman"/>
      <w:sz w:val="25"/>
      <w:szCs w:val="25"/>
      <w:shd w:val="clear" w:color="auto" w:fill="FFFFFF"/>
    </w:rPr>
  </w:style>
  <w:style w:type="paragraph" w:customStyle="1" w:styleId="2812">
    <w:name w:val="Подпись к картинке (28)1"/>
    <w:basedOn w:val="a2"/>
    <w:link w:val="28e"/>
    <w:uiPriority w:val="99"/>
    <w:rsid w:val="00601A94"/>
    <w:pPr>
      <w:shd w:val="clear" w:color="auto" w:fill="FFFFFF"/>
      <w:spacing w:line="240" w:lineRule="atLeast"/>
    </w:pPr>
    <w:rPr>
      <w:sz w:val="25"/>
      <w:szCs w:val="25"/>
    </w:rPr>
  </w:style>
  <w:style w:type="character" w:customStyle="1" w:styleId="1031">
    <w:name w:val="Основной текст (103)_"/>
    <w:link w:val="1032"/>
    <w:uiPriority w:val="99"/>
    <w:locked/>
    <w:rsid w:val="00601A94"/>
    <w:rPr>
      <w:rFonts w:ascii="Georgia" w:hAnsi="Georgia" w:cs="Georgia"/>
      <w:sz w:val="19"/>
      <w:szCs w:val="19"/>
      <w:shd w:val="clear" w:color="auto" w:fill="FFFFFF"/>
    </w:rPr>
  </w:style>
  <w:style w:type="paragraph" w:customStyle="1" w:styleId="1032">
    <w:name w:val="Основной текст (103)"/>
    <w:basedOn w:val="a2"/>
    <w:link w:val="1031"/>
    <w:uiPriority w:val="99"/>
    <w:rsid w:val="00601A94"/>
    <w:pPr>
      <w:shd w:val="clear" w:color="auto" w:fill="FFFFFF"/>
      <w:spacing w:before="360" w:after="360" w:line="240" w:lineRule="atLeast"/>
    </w:pPr>
    <w:rPr>
      <w:rFonts w:ascii="Georgia" w:hAnsi="Georgia" w:cs="Georgia"/>
      <w:sz w:val="19"/>
      <w:szCs w:val="19"/>
    </w:rPr>
  </w:style>
  <w:style w:type="character" w:customStyle="1" w:styleId="1041">
    <w:name w:val="Основной текст (104)_"/>
    <w:link w:val="1042"/>
    <w:uiPriority w:val="99"/>
    <w:locked/>
    <w:rsid w:val="00601A94"/>
    <w:rPr>
      <w:rFonts w:ascii="Arial Black" w:hAnsi="Arial Black" w:cs="Arial Black"/>
      <w:sz w:val="13"/>
      <w:szCs w:val="13"/>
      <w:shd w:val="clear" w:color="auto" w:fill="FFFFFF"/>
    </w:rPr>
  </w:style>
  <w:style w:type="paragraph" w:customStyle="1" w:styleId="1042">
    <w:name w:val="Основной текст (104)"/>
    <w:basedOn w:val="a2"/>
    <w:link w:val="1041"/>
    <w:uiPriority w:val="99"/>
    <w:rsid w:val="00601A94"/>
    <w:pPr>
      <w:shd w:val="clear" w:color="auto" w:fill="FFFFFF"/>
      <w:spacing w:before="360" w:after="360" w:line="240" w:lineRule="atLeast"/>
    </w:pPr>
    <w:rPr>
      <w:rFonts w:ascii="Arial Black" w:hAnsi="Arial Black" w:cs="Arial Black"/>
      <w:sz w:val="13"/>
      <w:szCs w:val="13"/>
    </w:rPr>
  </w:style>
  <w:style w:type="character" w:customStyle="1" w:styleId="1050">
    <w:name w:val="Основной текст (105)_"/>
    <w:link w:val="1051"/>
    <w:uiPriority w:val="99"/>
    <w:locked/>
    <w:rsid w:val="00601A94"/>
    <w:rPr>
      <w:rFonts w:ascii="Georgia" w:hAnsi="Georgia" w:cs="Georgia"/>
      <w:b/>
      <w:bCs/>
      <w:sz w:val="18"/>
      <w:szCs w:val="18"/>
      <w:shd w:val="clear" w:color="auto" w:fill="FFFFFF"/>
    </w:rPr>
  </w:style>
  <w:style w:type="paragraph" w:customStyle="1" w:styleId="1051">
    <w:name w:val="Основной текст (105)"/>
    <w:basedOn w:val="a2"/>
    <w:link w:val="1050"/>
    <w:uiPriority w:val="99"/>
    <w:rsid w:val="00601A94"/>
    <w:pPr>
      <w:shd w:val="clear" w:color="auto" w:fill="FFFFFF"/>
      <w:spacing w:before="360" w:after="120" w:line="240" w:lineRule="atLeast"/>
    </w:pPr>
    <w:rPr>
      <w:rFonts w:ascii="Georgia" w:hAnsi="Georgia" w:cs="Georgia"/>
      <w:b/>
      <w:bCs/>
      <w:sz w:val="18"/>
      <w:szCs w:val="18"/>
    </w:rPr>
  </w:style>
  <w:style w:type="character" w:customStyle="1" w:styleId="1060">
    <w:name w:val="Основной текст (106)_"/>
    <w:link w:val="1061"/>
    <w:uiPriority w:val="99"/>
    <w:locked/>
    <w:rsid w:val="00601A94"/>
    <w:rPr>
      <w:rFonts w:ascii="Arial" w:hAnsi="Arial" w:cs="Arial"/>
      <w:noProof/>
      <w:w w:val="66"/>
      <w:sz w:val="11"/>
      <w:szCs w:val="11"/>
      <w:shd w:val="clear" w:color="auto" w:fill="FFFFFF"/>
    </w:rPr>
  </w:style>
  <w:style w:type="paragraph" w:customStyle="1" w:styleId="1061">
    <w:name w:val="Основной текст (106)"/>
    <w:basedOn w:val="a2"/>
    <w:link w:val="1060"/>
    <w:uiPriority w:val="99"/>
    <w:rsid w:val="00601A94"/>
    <w:pPr>
      <w:shd w:val="clear" w:color="auto" w:fill="FFFFFF"/>
      <w:spacing w:before="420" w:after="840" w:line="240" w:lineRule="atLeast"/>
      <w:ind w:firstLine="740"/>
      <w:jc w:val="both"/>
    </w:pPr>
    <w:rPr>
      <w:rFonts w:ascii="Arial" w:hAnsi="Arial" w:cs="Arial"/>
      <w:noProof/>
      <w:w w:val="66"/>
      <w:sz w:val="11"/>
      <w:szCs w:val="11"/>
    </w:rPr>
  </w:style>
  <w:style w:type="character" w:customStyle="1" w:styleId="634">
    <w:name w:val="Заголовок №6 (3)_"/>
    <w:link w:val="6310"/>
    <w:uiPriority w:val="99"/>
    <w:locked/>
    <w:rsid w:val="00601A94"/>
    <w:rPr>
      <w:rFonts w:ascii="Calibri" w:hAnsi="Calibri" w:cs="Calibri"/>
      <w:sz w:val="27"/>
      <w:szCs w:val="27"/>
      <w:shd w:val="clear" w:color="auto" w:fill="FFFFFF"/>
    </w:rPr>
  </w:style>
  <w:style w:type="paragraph" w:customStyle="1" w:styleId="6310">
    <w:name w:val="Заголовок №6 (3)1"/>
    <w:basedOn w:val="a2"/>
    <w:link w:val="634"/>
    <w:uiPriority w:val="99"/>
    <w:rsid w:val="00601A94"/>
    <w:pPr>
      <w:shd w:val="clear" w:color="auto" w:fill="FFFFFF"/>
      <w:spacing w:after="60" w:line="240" w:lineRule="atLeast"/>
      <w:outlineLvl w:val="5"/>
    </w:pPr>
    <w:rPr>
      <w:rFonts w:ascii="Calibri" w:hAnsi="Calibri" w:cs="Calibri"/>
      <w:sz w:val="27"/>
      <w:szCs w:val="27"/>
    </w:rPr>
  </w:style>
  <w:style w:type="character" w:customStyle="1" w:styleId="534">
    <w:name w:val="Заголовок №5 (3)_"/>
    <w:link w:val="5311"/>
    <w:uiPriority w:val="99"/>
    <w:locked/>
    <w:rsid w:val="00601A94"/>
    <w:rPr>
      <w:rFonts w:ascii="Calibri" w:hAnsi="Calibri" w:cs="Calibri"/>
      <w:sz w:val="27"/>
      <w:szCs w:val="27"/>
      <w:shd w:val="clear" w:color="auto" w:fill="FFFFFF"/>
    </w:rPr>
  </w:style>
  <w:style w:type="paragraph" w:customStyle="1" w:styleId="5311">
    <w:name w:val="Заголовок №5 (3)1"/>
    <w:basedOn w:val="a2"/>
    <w:link w:val="534"/>
    <w:uiPriority w:val="99"/>
    <w:rsid w:val="00601A94"/>
    <w:pPr>
      <w:shd w:val="clear" w:color="auto" w:fill="FFFFFF"/>
      <w:spacing w:after="300" w:line="240" w:lineRule="atLeast"/>
      <w:outlineLvl w:val="4"/>
    </w:pPr>
    <w:rPr>
      <w:rFonts w:ascii="Calibri" w:hAnsi="Calibri" w:cs="Calibri"/>
      <w:sz w:val="27"/>
      <w:szCs w:val="27"/>
    </w:rPr>
  </w:style>
  <w:style w:type="character" w:customStyle="1" w:styleId="1072">
    <w:name w:val="Основной текст (107)_"/>
    <w:link w:val="10710"/>
    <w:uiPriority w:val="99"/>
    <w:locked/>
    <w:rsid w:val="00601A94"/>
    <w:rPr>
      <w:rFonts w:cs="Times New Roman"/>
      <w:b/>
      <w:bCs/>
      <w:sz w:val="25"/>
      <w:szCs w:val="25"/>
      <w:shd w:val="clear" w:color="auto" w:fill="FFFFFF"/>
    </w:rPr>
  </w:style>
  <w:style w:type="paragraph" w:customStyle="1" w:styleId="10710">
    <w:name w:val="Основной текст (107)1"/>
    <w:basedOn w:val="a2"/>
    <w:link w:val="1072"/>
    <w:uiPriority w:val="99"/>
    <w:rsid w:val="00601A94"/>
    <w:pPr>
      <w:shd w:val="clear" w:color="auto" w:fill="FFFFFF"/>
      <w:spacing w:line="326" w:lineRule="exact"/>
      <w:jc w:val="both"/>
    </w:pPr>
    <w:rPr>
      <w:b/>
      <w:bCs/>
      <w:sz w:val="25"/>
      <w:szCs w:val="25"/>
    </w:rPr>
  </w:style>
  <w:style w:type="character" w:customStyle="1" w:styleId="5TimesNewRoman6">
    <w:name w:val="Основной текст (5) + Times New Roman6"/>
    <w:aliases w:val="12,5 pt251"/>
    <w:uiPriority w:val="99"/>
    <w:rsid w:val="00601A94"/>
    <w:rPr>
      <w:rFonts w:ascii="Times New Roman" w:hAnsi="Times New Roman" w:cs="Times New Roman"/>
      <w:sz w:val="25"/>
      <w:szCs w:val="25"/>
      <w:shd w:val="clear" w:color="auto" w:fill="FFFFFF"/>
    </w:rPr>
  </w:style>
  <w:style w:type="character" w:customStyle="1" w:styleId="100Arial">
    <w:name w:val="Основной текст (100) + Arial"/>
    <w:aliases w:val="618,5 pt133,Интервал 2 pt4"/>
    <w:uiPriority w:val="99"/>
    <w:rsid w:val="00601A94"/>
    <w:rPr>
      <w:rFonts w:ascii="Arial" w:hAnsi="Arial" w:cs="Arial"/>
      <w:spacing w:val="40"/>
      <w:sz w:val="13"/>
      <w:szCs w:val="13"/>
      <w:shd w:val="clear" w:color="auto" w:fill="FFFFFF"/>
    </w:rPr>
  </w:style>
  <w:style w:type="character" w:customStyle="1" w:styleId="5122">
    <w:name w:val="Основной текст (5)12"/>
    <w:uiPriority w:val="99"/>
    <w:rsid w:val="00601A94"/>
    <w:rPr>
      <w:rFonts w:ascii="Arial" w:hAnsi="Arial" w:cs="Arial"/>
      <w:sz w:val="13"/>
      <w:szCs w:val="13"/>
      <w:shd w:val="clear" w:color="auto" w:fill="FFFFFF"/>
    </w:rPr>
  </w:style>
  <w:style w:type="character" w:customStyle="1" w:styleId="101Georgia">
    <w:name w:val="Основной текст (101) + Georgia"/>
    <w:aliases w:val="7 pt2,Не полужирный44,Интервал 1 pt21"/>
    <w:uiPriority w:val="99"/>
    <w:rsid w:val="00601A94"/>
    <w:rPr>
      <w:rFonts w:ascii="Georgia" w:hAnsi="Georgia" w:cs="Georgia"/>
      <w:b/>
      <w:bCs/>
      <w:spacing w:val="20"/>
      <w:sz w:val="14"/>
      <w:szCs w:val="14"/>
      <w:shd w:val="clear" w:color="auto" w:fill="FFFFFF"/>
    </w:rPr>
  </w:style>
  <w:style w:type="character" w:customStyle="1" w:styleId="10160">
    <w:name w:val="Основной текст (101) + 6"/>
    <w:aliases w:val="5 pt132,Не полужирный43"/>
    <w:uiPriority w:val="99"/>
    <w:rsid w:val="00601A94"/>
    <w:rPr>
      <w:rFonts w:ascii="Arial" w:hAnsi="Arial" w:cs="Arial"/>
      <w:b/>
      <w:bCs/>
      <w:sz w:val="13"/>
      <w:szCs w:val="13"/>
      <w:shd w:val="clear" w:color="auto" w:fill="FFFFFF"/>
    </w:rPr>
  </w:style>
  <w:style w:type="character" w:customStyle="1" w:styleId="8f0">
    <w:name w:val="Оглавление (8)"/>
    <w:uiPriority w:val="99"/>
    <w:rsid w:val="00601A94"/>
    <w:rPr>
      <w:rFonts w:ascii="Arial" w:hAnsi="Arial" w:cs="Arial"/>
      <w:sz w:val="13"/>
      <w:szCs w:val="13"/>
      <w:shd w:val="clear" w:color="auto" w:fill="FFFFFF"/>
    </w:rPr>
  </w:style>
  <w:style w:type="character" w:customStyle="1" w:styleId="10TimesNewRoman">
    <w:name w:val="Оглавление (10) + Times New Roman"/>
    <w:aliases w:val="13 pt,Курсив69,Интервал 0 pt37"/>
    <w:uiPriority w:val="99"/>
    <w:rsid w:val="00601A94"/>
    <w:rPr>
      <w:rFonts w:ascii="Times New Roman" w:hAnsi="Times New Roman" w:cs="Times New Roman"/>
      <w:i/>
      <w:iCs/>
      <w:spacing w:val="0"/>
      <w:sz w:val="26"/>
      <w:szCs w:val="26"/>
      <w:shd w:val="clear" w:color="auto" w:fill="FFFFFF"/>
    </w:rPr>
  </w:style>
  <w:style w:type="character" w:customStyle="1" w:styleId="5Georgia">
    <w:name w:val="Основной текст (5) + Georgia"/>
    <w:aliases w:val="7 pt6,Интервал 0 pt36"/>
    <w:uiPriority w:val="99"/>
    <w:rsid w:val="00601A94"/>
    <w:rPr>
      <w:rFonts w:ascii="Georgia" w:hAnsi="Georgia" w:cs="Georgia"/>
      <w:spacing w:val="10"/>
      <w:sz w:val="14"/>
      <w:szCs w:val="14"/>
      <w:shd w:val="clear" w:color="auto" w:fill="FFFFFF"/>
    </w:rPr>
  </w:style>
  <w:style w:type="character" w:customStyle="1" w:styleId="5TimesNewRoman2">
    <w:name w:val="Основной текст (5) + Times New Roman2"/>
    <w:aliases w:val="Полужирный55"/>
    <w:uiPriority w:val="99"/>
    <w:rsid w:val="00601A94"/>
    <w:rPr>
      <w:rFonts w:ascii="Times New Roman" w:hAnsi="Times New Roman" w:cs="Times New Roman"/>
      <w:b/>
      <w:bCs/>
      <w:sz w:val="13"/>
      <w:szCs w:val="13"/>
      <w:shd w:val="clear" w:color="auto" w:fill="FFFFFF"/>
    </w:rPr>
  </w:style>
  <w:style w:type="character" w:customStyle="1" w:styleId="29f">
    <w:name w:val="Подпись к картинке (29)"/>
    <w:uiPriority w:val="99"/>
    <w:rsid w:val="00601A94"/>
    <w:rPr>
      <w:rFonts w:ascii="Arial" w:hAnsi="Arial" w:cs="Arial"/>
      <w:sz w:val="11"/>
      <w:szCs w:val="11"/>
      <w:shd w:val="clear" w:color="auto" w:fill="FFFFFF"/>
    </w:rPr>
  </w:style>
  <w:style w:type="character" w:customStyle="1" w:styleId="2920">
    <w:name w:val="Подпись к картинке (29)2"/>
    <w:uiPriority w:val="99"/>
    <w:rsid w:val="00601A94"/>
    <w:rPr>
      <w:rFonts w:ascii="Arial" w:hAnsi="Arial" w:cs="Arial"/>
      <w:noProof/>
      <w:sz w:val="11"/>
      <w:szCs w:val="11"/>
      <w:shd w:val="clear" w:color="auto" w:fill="FFFFFF"/>
    </w:rPr>
  </w:style>
  <w:style w:type="character" w:customStyle="1" w:styleId="30f">
    <w:name w:val="Подпись к картинке (30)"/>
    <w:uiPriority w:val="99"/>
    <w:rsid w:val="00601A94"/>
    <w:rPr>
      <w:rFonts w:ascii="Arial" w:hAnsi="Arial" w:cs="Arial"/>
      <w:sz w:val="13"/>
      <w:szCs w:val="13"/>
      <w:shd w:val="clear" w:color="auto" w:fill="FFFFFF"/>
    </w:rPr>
  </w:style>
  <w:style w:type="character" w:customStyle="1" w:styleId="27f">
    <w:name w:val="Подпись к картинке (27)"/>
    <w:uiPriority w:val="99"/>
    <w:rsid w:val="00601A94"/>
    <w:rPr>
      <w:rFonts w:ascii="Arial" w:hAnsi="Arial" w:cs="Arial"/>
      <w:sz w:val="14"/>
      <w:szCs w:val="14"/>
      <w:shd w:val="clear" w:color="auto" w:fill="FFFFFF"/>
    </w:rPr>
  </w:style>
  <w:style w:type="character" w:customStyle="1" w:styleId="3fe">
    <w:name w:val="Основной текст + Полужирный3"/>
    <w:uiPriority w:val="99"/>
    <w:rsid w:val="00601A94"/>
    <w:rPr>
      <w:rFonts w:ascii="Times New Roman" w:hAnsi="Times New Roman" w:cs="Times New Roman"/>
      <w:b/>
      <w:bCs/>
      <w:color w:val="00000A"/>
      <w:sz w:val="25"/>
      <w:szCs w:val="25"/>
      <w:shd w:val="clear" w:color="auto" w:fill="FFFFFF"/>
      <w:lang w:eastAsia="ru-RU"/>
    </w:rPr>
  </w:style>
  <w:style w:type="character" w:customStyle="1" w:styleId="18f">
    <w:name w:val="Подпись к таблице (18)"/>
    <w:uiPriority w:val="99"/>
    <w:rsid w:val="00601A94"/>
    <w:rPr>
      <w:rFonts w:ascii="Arial" w:hAnsi="Arial" w:cs="Arial"/>
      <w:sz w:val="13"/>
      <w:szCs w:val="13"/>
      <w:shd w:val="clear" w:color="auto" w:fill="FFFFFF"/>
    </w:rPr>
  </w:style>
  <w:style w:type="character" w:customStyle="1" w:styleId="24110">
    <w:name w:val="Основной текст (24)11"/>
    <w:uiPriority w:val="99"/>
    <w:rsid w:val="00601A94"/>
    <w:rPr>
      <w:rFonts w:cs="Times New Roman"/>
      <w:i/>
      <w:iCs/>
      <w:sz w:val="26"/>
      <w:szCs w:val="26"/>
      <w:shd w:val="clear" w:color="auto" w:fill="FFFFFF"/>
    </w:rPr>
  </w:style>
  <w:style w:type="character" w:customStyle="1" w:styleId="1023">
    <w:name w:val="Основной текст (102)"/>
    <w:uiPriority w:val="99"/>
    <w:rsid w:val="00601A94"/>
    <w:rPr>
      <w:rFonts w:cs="Times New Roman"/>
      <w:sz w:val="25"/>
      <w:szCs w:val="25"/>
      <w:shd w:val="clear" w:color="auto" w:fill="FFFFFF"/>
    </w:rPr>
  </w:style>
  <w:style w:type="character" w:customStyle="1" w:styleId="3630">
    <w:name w:val="Основной текст (36)30"/>
    <w:uiPriority w:val="99"/>
    <w:rsid w:val="00601A94"/>
    <w:rPr>
      <w:rFonts w:cs="Times New Roman"/>
      <w:b/>
      <w:bCs/>
      <w:sz w:val="17"/>
      <w:szCs w:val="17"/>
      <w:shd w:val="clear" w:color="auto" w:fill="FFFFFF"/>
    </w:rPr>
  </w:style>
  <w:style w:type="character" w:customStyle="1" w:styleId="3629">
    <w:name w:val="Основной текст (36)29"/>
    <w:uiPriority w:val="99"/>
    <w:rsid w:val="00601A94"/>
    <w:rPr>
      <w:rFonts w:cs="Times New Roman"/>
      <w:b/>
      <w:bCs/>
      <w:sz w:val="17"/>
      <w:szCs w:val="17"/>
      <w:shd w:val="clear" w:color="auto" w:fill="FFFFFF"/>
    </w:rPr>
  </w:style>
  <w:style w:type="character" w:customStyle="1" w:styleId="25f">
    <w:name w:val="Подпись к картинке (25)"/>
    <w:uiPriority w:val="99"/>
    <w:rsid w:val="00601A94"/>
    <w:rPr>
      <w:rFonts w:ascii="Arial" w:hAnsi="Arial" w:cs="Arial"/>
      <w:sz w:val="10"/>
      <w:szCs w:val="10"/>
      <w:shd w:val="clear" w:color="auto" w:fill="FFFFFF"/>
    </w:rPr>
  </w:style>
  <w:style w:type="character" w:customStyle="1" w:styleId="26e">
    <w:name w:val="Подпись к картинке (26)"/>
    <w:uiPriority w:val="99"/>
    <w:rsid w:val="00601A94"/>
    <w:rPr>
      <w:rFonts w:ascii="Calibri" w:hAnsi="Calibri" w:cs="Calibri"/>
      <w:b/>
      <w:bCs/>
      <w:sz w:val="16"/>
      <w:szCs w:val="16"/>
      <w:shd w:val="clear" w:color="auto" w:fill="FFFFFF"/>
    </w:rPr>
  </w:style>
  <w:style w:type="character" w:customStyle="1" w:styleId="2721">
    <w:name w:val="Подпись к картинке (27)2"/>
    <w:uiPriority w:val="99"/>
    <w:rsid w:val="00601A94"/>
    <w:rPr>
      <w:rFonts w:ascii="Arial" w:hAnsi="Arial" w:cs="Arial"/>
      <w:sz w:val="14"/>
      <w:szCs w:val="14"/>
      <w:shd w:val="clear" w:color="auto" w:fill="FFFFFF"/>
    </w:rPr>
  </w:style>
  <w:style w:type="character" w:customStyle="1" w:styleId="8f1">
    <w:name w:val="Подпись к картинке8"/>
    <w:uiPriority w:val="99"/>
    <w:rsid w:val="00601A94"/>
    <w:rPr>
      <w:rFonts w:ascii="Times New Roman" w:hAnsi="Times New Roman" w:cs="Times New Roman"/>
      <w:sz w:val="25"/>
      <w:szCs w:val="25"/>
      <w:shd w:val="clear" w:color="auto" w:fill="FFFFFF"/>
    </w:rPr>
  </w:style>
  <w:style w:type="character" w:customStyle="1" w:styleId="10230">
    <w:name w:val="Основной текст (102)30"/>
    <w:uiPriority w:val="99"/>
    <w:rsid w:val="00601A94"/>
    <w:rPr>
      <w:rFonts w:cs="Times New Roman"/>
      <w:noProof/>
      <w:sz w:val="25"/>
      <w:szCs w:val="25"/>
      <w:shd w:val="clear" w:color="auto" w:fill="FFFFFF"/>
    </w:rPr>
  </w:style>
  <w:style w:type="character" w:customStyle="1" w:styleId="28f">
    <w:name w:val="Подпись к картинке (28)"/>
    <w:uiPriority w:val="99"/>
    <w:rsid w:val="00601A94"/>
    <w:rPr>
      <w:rFonts w:cs="Times New Roman"/>
      <w:sz w:val="25"/>
      <w:szCs w:val="25"/>
      <w:shd w:val="clear" w:color="auto" w:fill="FFFFFF"/>
    </w:rPr>
  </w:style>
  <w:style w:type="character" w:customStyle="1" w:styleId="10229">
    <w:name w:val="Основной текст (102)29"/>
    <w:uiPriority w:val="99"/>
    <w:rsid w:val="00601A94"/>
    <w:rPr>
      <w:rFonts w:cs="Times New Roman"/>
      <w:sz w:val="25"/>
      <w:szCs w:val="25"/>
      <w:shd w:val="clear" w:color="auto" w:fill="FFFFFF"/>
    </w:rPr>
  </w:style>
  <w:style w:type="character" w:customStyle="1" w:styleId="10228">
    <w:name w:val="Основной текст (102)28"/>
    <w:uiPriority w:val="99"/>
    <w:rsid w:val="00601A94"/>
    <w:rPr>
      <w:rFonts w:cs="Times New Roman"/>
      <w:noProof/>
      <w:sz w:val="25"/>
      <w:szCs w:val="25"/>
      <w:shd w:val="clear" w:color="auto" w:fill="FFFFFF"/>
    </w:rPr>
  </w:style>
  <w:style w:type="character" w:customStyle="1" w:styleId="180pt1">
    <w:name w:val="Основной текст (18) + Интервал 0 pt1"/>
    <w:uiPriority w:val="99"/>
    <w:rsid w:val="00601A94"/>
    <w:rPr>
      <w:rFonts w:ascii="Arial" w:hAnsi="Arial" w:cs="Arial"/>
      <w:i/>
      <w:iCs/>
      <w:spacing w:val="-10"/>
      <w:sz w:val="13"/>
      <w:szCs w:val="13"/>
      <w:u w:val="none"/>
      <w:shd w:val="clear" w:color="auto" w:fill="FFFFFF"/>
      <w:lang w:val="fr-FR" w:eastAsia="fr-FR"/>
    </w:rPr>
  </w:style>
  <w:style w:type="character" w:customStyle="1" w:styleId="12pt2">
    <w:name w:val="Основной текст + 12 pt2"/>
    <w:uiPriority w:val="99"/>
    <w:rsid w:val="00601A94"/>
    <w:rPr>
      <w:rFonts w:ascii="Times New Roman" w:hAnsi="Times New Roman" w:cs="Times New Roman"/>
      <w:color w:val="00000A"/>
      <w:sz w:val="24"/>
      <w:szCs w:val="24"/>
      <w:shd w:val="clear" w:color="auto" w:fill="FFFFFF"/>
      <w:lang w:eastAsia="ru-RU"/>
    </w:rPr>
  </w:style>
  <w:style w:type="character" w:customStyle="1" w:styleId="Calibri">
    <w:name w:val="Основной текст + Calibri"/>
    <w:aliases w:val="133,5 pt131"/>
    <w:uiPriority w:val="99"/>
    <w:rsid w:val="00601A94"/>
    <w:rPr>
      <w:rFonts w:ascii="Calibri" w:hAnsi="Calibri" w:cs="Calibri"/>
      <w:color w:val="00000A"/>
      <w:sz w:val="27"/>
      <w:szCs w:val="27"/>
      <w:shd w:val="clear" w:color="auto" w:fill="FFFFFF"/>
      <w:lang w:eastAsia="ru-RU"/>
    </w:rPr>
  </w:style>
  <w:style w:type="character" w:customStyle="1" w:styleId="Calibri1">
    <w:name w:val="Основной текст + Calibri1"/>
    <w:aliases w:val="132,5 pt130"/>
    <w:uiPriority w:val="99"/>
    <w:rsid w:val="00601A94"/>
    <w:rPr>
      <w:rFonts w:ascii="Calibri" w:hAnsi="Calibri" w:cs="Calibri"/>
      <w:noProof/>
      <w:color w:val="00000A"/>
      <w:sz w:val="27"/>
      <w:szCs w:val="27"/>
      <w:shd w:val="clear" w:color="auto" w:fill="FFFFFF"/>
      <w:lang w:eastAsia="ru-RU"/>
    </w:rPr>
  </w:style>
  <w:style w:type="character" w:customStyle="1" w:styleId="14pt0">
    <w:name w:val="Основной текст + 14 pt"/>
    <w:uiPriority w:val="99"/>
    <w:rsid w:val="00601A94"/>
    <w:rPr>
      <w:rFonts w:ascii="Times New Roman" w:hAnsi="Times New Roman" w:cs="Times New Roman"/>
      <w:color w:val="00000A"/>
      <w:sz w:val="28"/>
      <w:szCs w:val="28"/>
      <w:shd w:val="clear" w:color="auto" w:fill="FFFFFF"/>
      <w:lang w:eastAsia="ru-RU"/>
    </w:rPr>
  </w:style>
  <w:style w:type="character" w:customStyle="1" w:styleId="14pt3">
    <w:name w:val="Основной текст + 14 pt3"/>
    <w:uiPriority w:val="99"/>
    <w:rsid w:val="00601A94"/>
    <w:rPr>
      <w:rFonts w:ascii="Times New Roman" w:hAnsi="Times New Roman" w:cs="Times New Roman"/>
      <w:noProof/>
      <w:color w:val="00000A"/>
      <w:sz w:val="28"/>
      <w:szCs w:val="28"/>
      <w:shd w:val="clear" w:color="auto" w:fill="FFFFFF"/>
      <w:lang w:eastAsia="ru-RU"/>
    </w:rPr>
  </w:style>
  <w:style w:type="character" w:customStyle="1" w:styleId="5112">
    <w:name w:val="Основной текст (5)11"/>
    <w:uiPriority w:val="99"/>
    <w:rsid w:val="00601A94"/>
    <w:rPr>
      <w:rFonts w:ascii="Arial" w:hAnsi="Arial" w:cs="Arial"/>
      <w:sz w:val="13"/>
      <w:szCs w:val="13"/>
      <w:shd w:val="clear" w:color="auto" w:fill="FFFFFF"/>
    </w:rPr>
  </w:style>
  <w:style w:type="character" w:customStyle="1" w:styleId="826">
    <w:name w:val="Основной текст + 82"/>
    <w:aliases w:val="5 pt129,Полужирный54"/>
    <w:uiPriority w:val="99"/>
    <w:rsid w:val="00601A94"/>
    <w:rPr>
      <w:rFonts w:ascii="Times New Roman" w:hAnsi="Times New Roman" w:cs="Times New Roman"/>
      <w:b/>
      <w:bCs/>
      <w:color w:val="00000A"/>
      <w:sz w:val="17"/>
      <w:szCs w:val="17"/>
      <w:shd w:val="clear" w:color="auto" w:fill="FFFFFF"/>
      <w:lang w:eastAsia="ru-RU"/>
    </w:rPr>
  </w:style>
  <w:style w:type="character" w:customStyle="1" w:styleId="Arial21">
    <w:name w:val="Основной текст + Arial21"/>
    <w:aliases w:val="617,5 pt128,Курсив68,Интервал 0 pt35"/>
    <w:uiPriority w:val="99"/>
    <w:rsid w:val="00601A94"/>
    <w:rPr>
      <w:rFonts w:ascii="Arial" w:hAnsi="Arial" w:cs="Arial"/>
      <w:i/>
      <w:iCs/>
      <w:color w:val="00000A"/>
      <w:spacing w:val="-10"/>
      <w:sz w:val="13"/>
      <w:szCs w:val="13"/>
      <w:shd w:val="clear" w:color="auto" w:fill="FFFFFF"/>
      <w:lang w:eastAsia="ru-RU"/>
    </w:rPr>
  </w:style>
  <w:style w:type="character" w:customStyle="1" w:styleId="Georgia">
    <w:name w:val="Основной текст + Georgia"/>
    <w:aliases w:val="616,5 pt127,Интервал 0 pt34"/>
    <w:uiPriority w:val="99"/>
    <w:rsid w:val="00601A94"/>
    <w:rPr>
      <w:rFonts w:ascii="Georgia" w:hAnsi="Georgia" w:cs="Georgia"/>
      <w:color w:val="00000A"/>
      <w:spacing w:val="-10"/>
      <w:w w:val="100"/>
      <w:sz w:val="13"/>
      <w:szCs w:val="13"/>
      <w:shd w:val="clear" w:color="auto" w:fill="FFFFFF"/>
      <w:lang w:eastAsia="ru-RU"/>
    </w:rPr>
  </w:style>
  <w:style w:type="character" w:customStyle="1" w:styleId="Georgia3">
    <w:name w:val="Основной текст + Georgia3"/>
    <w:aliases w:val="7 pt5"/>
    <w:uiPriority w:val="99"/>
    <w:rsid w:val="00601A94"/>
    <w:rPr>
      <w:rFonts w:ascii="Georgia" w:hAnsi="Georgia" w:cs="Georgia"/>
      <w:color w:val="00000A"/>
      <w:w w:val="100"/>
      <w:sz w:val="14"/>
      <w:szCs w:val="14"/>
      <w:shd w:val="clear" w:color="auto" w:fill="FFFFFF"/>
      <w:lang w:eastAsia="ru-RU"/>
    </w:rPr>
  </w:style>
  <w:style w:type="character" w:customStyle="1" w:styleId="1pt6">
    <w:name w:val="Основной текст + Интервал 1 pt6"/>
    <w:uiPriority w:val="99"/>
    <w:rsid w:val="00601A94"/>
    <w:rPr>
      <w:rFonts w:ascii="Times New Roman" w:hAnsi="Times New Roman" w:cs="Times New Roman"/>
      <w:color w:val="00000A"/>
      <w:spacing w:val="20"/>
      <w:sz w:val="25"/>
      <w:szCs w:val="25"/>
      <w:shd w:val="clear" w:color="auto" w:fill="FFFFFF"/>
      <w:lang w:eastAsia="ru-RU"/>
    </w:rPr>
  </w:style>
  <w:style w:type="character" w:customStyle="1" w:styleId="10227">
    <w:name w:val="Основной текст (102)27"/>
    <w:uiPriority w:val="99"/>
    <w:rsid w:val="00601A94"/>
    <w:rPr>
      <w:rFonts w:cs="Times New Roman"/>
      <w:noProof/>
      <w:sz w:val="25"/>
      <w:szCs w:val="25"/>
      <w:shd w:val="clear" w:color="auto" w:fill="FFFFFF"/>
    </w:rPr>
  </w:style>
  <w:style w:type="character" w:customStyle="1" w:styleId="10226">
    <w:name w:val="Основной текст (102)26"/>
    <w:uiPriority w:val="99"/>
    <w:rsid w:val="00601A94"/>
    <w:rPr>
      <w:rFonts w:cs="Times New Roman"/>
      <w:sz w:val="25"/>
      <w:szCs w:val="25"/>
      <w:shd w:val="clear" w:color="auto" w:fill="FFFFFF"/>
    </w:rPr>
  </w:style>
  <w:style w:type="character" w:customStyle="1" w:styleId="10225">
    <w:name w:val="Основной текст (102)25"/>
    <w:uiPriority w:val="99"/>
    <w:rsid w:val="00601A94"/>
    <w:rPr>
      <w:rFonts w:cs="Times New Roman"/>
      <w:sz w:val="25"/>
      <w:szCs w:val="25"/>
      <w:shd w:val="clear" w:color="auto" w:fill="FFFFFF"/>
    </w:rPr>
  </w:style>
  <w:style w:type="character" w:customStyle="1" w:styleId="10224">
    <w:name w:val="Основной текст (102)24"/>
    <w:uiPriority w:val="99"/>
    <w:rsid w:val="00601A94"/>
    <w:rPr>
      <w:rFonts w:cs="Times New Roman"/>
      <w:noProof/>
      <w:sz w:val="25"/>
      <w:szCs w:val="25"/>
      <w:shd w:val="clear" w:color="auto" w:fill="FFFFFF"/>
    </w:rPr>
  </w:style>
  <w:style w:type="character" w:customStyle="1" w:styleId="363pt">
    <w:name w:val="Основной текст (36) + Интервал 3 pt"/>
    <w:uiPriority w:val="99"/>
    <w:rsid w:val="00601A94"/>
    <w:rPr>
      <w:rFonts w:cs="Times New Roman"/>
      <w:b/>
      <w:bCs/>
      <w:spacing w:val="70"/>
      <w:sz w:val="17"/>
      <w:szCs w:val="17"/>
      <w:shd w:val="clear" w:color="auto" w:fill="FFFFFF"/>
    </w:rPr>
  </w:style>
  <w:style w:type="character" w:customStyle="1" w:styleId="3628">
    <w:name w:val="Основной текст (36)28"/>
    <w:uiPriority w:val="99"/>
    <w:rsid w:val="00601A94"/>
    <w:rPr>
      <w:rFonts w:cs="Times New Roman"/>
      <w:b/>
      <w:bCs/>
      <w:sz w:val="17"/>
      <w:szCs w:val="17"/>
      <w:shd w:val="clear" w:color="auto" w:fill="FFFFFF"/>
    </w:rPr>
  </w:style>
  <w:style w:type="character" w:customStyle="1" w:styleId="3627">
    <w:name w:val="Основной текст (36)27"/>
    <w:uiPriority w:val="99"/>
    <w:rsid w:val="00601A94"/>
    <w:rPr>
      <w:rFonts w:cs="Times New Roman"/>
      <w:b/>
      <w:bCs/>
      <w:sz w:val="17"/>
      <w:szCs w:val="17"/>
      <w:shd w:val="clear" w:color="auto" w:fill="FFFFFF"/>
    </w:rPr>
  </w:style>
  <w:style w:type="character" w:customStyle="1" w:styleId="13pt7">
    <w:name w:val="Основной текст + 13 pt7"/>
    <w:aliases w:val="Курсив67"/>
    <w:uiPriority w:val="99"/>
    <w:rsid w:val="00601A94"/>
    <w:rPr>
      <w:rFonts w:ascii="Times New Roman" w:hAnsi="Times New Roman" w:cs="Times New Roman"/>
      <w:i/>
      <w:iCs/>
      <w:color w:val="00000A"/>
      <w:sz w:val="26"/>
      <w:szCs w:val="26"/>
      <w:shd w:val="clear" w:color="auto" w:fill="FFFFFF"/>
      <w:lang w:eastAsia="ru-RU"/>
    </w:rPr>
  </w:style>
  <w:style w:type="character" w:customStyle="1" w:styleId="5101">
    <w:name w:val="Основной текст (5)10"/>
    <w:uiPriority w:val="99"/>
    <w:rsid w:val="00601A94"/>
    <w:rPr>
      <w:rFonts w:ascii="Arial" w:hAnsi="Arial" w:cs="Arial"/>
      <w:sz w:val="13"/>
      <w:szCs w:val="13"/>
      <w:shd w:val="clear" w:color="auto" w:fill="FFFFFF"/>
    </w:rPr>
  </w:style>
  <w:style w:type="character" w:customStyle="1" w:styleId="5TimesNewRoman1">
    <w:name w:val="Основной текст (5) + Times New Roman1"/>
    <w:aliases w:val="4 pt"/>
    <w:uiPriority w:val="99"/>
    <w:rsid w:val="00601A94"/>
    <w:rPr>
      <w:rFonts w:ascii="Times New Roman" w:hAnsi="Times New Roman" w:cs="Times New Roman"/>
      <w:sz w:val="8"/>
      <w:szCs w:val="8"/>
      <w:shd w:val="clear" w:color="auto" w:fill="FFFFFF"/>
    </w:rPr>
  </w:style>
  <w:style w:type="character" w:customStyle="1" w:styleId="Georgia2">
    <w:name w:val="Основной текст + Georgia2"/>
    <w:aliases w:val="79,5 pt126,Масштаб 60%1"/>
    <w:uiPriority w:val="99"/>
    <w:rsid w:val="00601A94"/>
    <w:rPr>
      <w:rFonts w:ascii="Georgia" w:hAnsi="Georgia" w:cs="Georgia"/>
      <w:noProof/>
      <w:color w:val="00000A"/>
      <w:w w:val="60"/>
      <w:sz w:val="15"/>
      <w:szCs w:val="15"/>
      <w:shd w:val="clear" w:color="auto" w:fill="FFFFFF"/>
      <w:lang w:eastAsia="ru-RU"/>
    </w:rPr>
  </w:style>
  <w:style w:type="character" w:customStyle="1" w:styleId="1131">
    <w:name w:val="Основной текст + 113"/>
    <w:aliases w:val="5 pt125,Малые прописные4"/>
    <w:uiPriority w:val="99"/>
    <w:rsid w:val="00601A94"/>
    <w:rPr>
      <w:rFonts w:ascii="Times New Roman" w:hAnsi="Times New Roman" w:cs="Times New Roman"/>
      <w:smallCaps/>
      <w:color w:val="00000A"/>
      <w:sz w:val="23"/>
      <w:szCs w:val="23"/>
      <w:shd w:val="clear" w:color="auto" w:fill="FFFFFF"/>
      <w:lang w:eastAsia="ru-RU"/>
    </w:rPr>
  </w:style>
  <w:style w:type="character" w:customStyle="1" w:styleId="2850">
    <w:name w:val="Подпись к картинке (28)5"/>
    <w:uiPriority w:val="99"/>
    <w:rsid w:val="00601A94"/>
    <w:rPr>
      <w:rFonts w:cs="Times New Roman"/>
      <w:sz w:val="25"/>
      <w:szCs w:val="25"/>
      <w:shd w:val="clear" w:color="auto" w:fill="FFFFFF"/>
    </w:rPr>
  </w:style>
  <w:style w:type="character" w:customStyle="1" w:styleId="10223">
    <w:name w:val="Основной текст (102)23"/>
    <w:uiPriority w:val="99"/>
    <w:rsid w:val="00601A94"/>
    <w:rPr>
      <w:rFonts w:cs="Times New Roman"/>
      <w:noProof/>
      <w:sz w:val="25"/>
      <w:szCs w:val="25"/>
      <w:shd w:val="clear" w:color="auto" w:fill="FFFFFF"/>
    </w:rPr>
  </w:style>
  <w:style w:type="character" w:customStyle="1" w:styleId="24101">
    <w:name w:val="Основной текст (24)10"/>
    <w:uiPriority w:val="99"/>
    <w:rsid w:val="00601A94"/>
    <w:rPr>
      <w:rFonts w:cs="Times New Roman"/>
      <w:i/>
      <w:iCs/>
      <w:sz w:val="26"/>
      <w:szCs w:val="26"/>
      <w:shd w:val="clear" w:color="auto" w:fill="FFFFFF"/>
    </w:rPr>
  </w:style>
  <w:style w:type="character" w:customStyle="1" w:styleId="241pt">
    <w:name w:val="Основной текст (24) + Интервал 1 pt"/>
    <w:uiPriority w:val="99"/>
    <w:rsid w:val="00601A94"/>
    <w:rPr>
      <w:rFonts w:cs="Times New Roman"/>
      <w:i/>
      <w:iCs/>
      <w:spacing w:val="20"/>
      <w:sz w:val="26"/>
      <w:szCs w:val="26"/>
      <w:shd w:val="clear" w:color="auto" w:fill="FFFFFF"/>
    </w:rPr>
  </w:style>
  <w:style w:type="character" w:customStyle="1" w:styleId="24121">
    <w:name w:val="Основной текст (24) + 121"/>
    <w:aliases w:val="5 pt124,Не курсив32"/>
    <w:uiPriority w:val="99"/>
    <w:rsid w:val="00601A94"/>
    <w:rPr>
      <w:rFonts w:cs="Times New Roman"/>
      <w:i/>
      <w:iCs/>
      <w:sz w:val="25"/>
      <w:szCs w:val="25"/>
      <w:shd w:val="clear" w:color="auto" w:fill="FFFFFF"/>
    </w:rPr>
  </w:style>
  <w:style w:type="character" w:customStyle="1" w:styleId="8pt">
    <w:name w:val="Основной текст + 8 pt"/>
    <w:aliases w:val="Курсив66"/>
    <w:uiPriority w:val="99"/>
    <w:rsid w:val="00601A94"/>
    <w:rPr>
      <w:rFonts w:ascii="Times New Roman" w:hAnsi="Times New Roman" w:cs="Times New Roman"/>
      <w:i/>
      <w:iCs/>
      <w:color w:val="00000A"/>
      <w:sz w:val="16"/>
      <w:szCs w:val="16"/>
      <w:shd w:val="clear" w:color="auto" w:fill="FFFFFF"/>
      <w:lang w:eastAsia="ru-RU"/>
    </w:rPr>
  </w:style>
  <w:style w:type="character" w:customStyle="1" w:styleId="10222">
    <w:name w:val="Основной текст (102)22"/>
    <w:uiPriority w:val="99"/>
    <w:rsid w:val="00601A94"/>
    <w:rPr>
      <w:rFonts w:cs="Times New Roman"/>
      <w:sz w:val="25"/>
      <w:szCs w:val="25"/>
      <w:shd w:val="clear" w:color="auto" w:fill="FFFFFF"/>
    </w:rPr>
  </w:style>
  <w:style w:type="character" w:customStyle="1" w:styleId="10221">
    <w:name w:val="Основной текст (102)21"/>
    <w:uiPriority w:val="99"/>
    <w:rsid w:val="00601A94"/>
    <w:rPr>
      <w:rFonts w:cs="Times New Roman"/>
      <w:noProof/>
      <w:sz w:val="25"/>
      <w:szCs w:val="25"/>
      <w:shd w:val="clear" w:color="auto" w:fill="FFFFFF"/>
    </w:rPr>
  </w:style>
  <w:style w:type="character" w:customStyle="1" w:styleId="10220">
    <w:name w:val="Основной текст (102)20"/>
    <w:uiPriority w:val="99"/>
    <w:rsid w:val="00601A94"/>
    <w:rPr>
      <w:rFonts w:cs="Times New Roman"/>
      <w:noProof/>
      <w:sz w:val="25"/>
      <w:szCs w:val="25"/>
      <w:shd w:val="clear" w:color="auto" w:fill="FFFFFF"/>
    </w:rPr>
  </w:style>
  <w:style w:type="character" w:customStyle="1" w:styleId="10219">
    <w:name w:val="Основной текст (102)19"/>
    <w:uiPriority w:val="99"/>
    <w:rsid w:val="00601A94"/>
    <w:rPr>
      <w:rFonts w:cs="Times New Roman"/>
      <w:sz w:val="25"/>
      <w:szCs w:val="25"/>
      <w:shd w:val="clear" w:color="auto" w:fill="FFFFFF"/>
    </w:rPr>
  </w:style>
  <w:style w:type="character" w:customStyle="1" w:styleId="535">
    <w:name w:val="Заголовок №5 (3)"/>
    <w:uiPriority w:val="99"/>
    <w:rsid w:val="00601A94"/>
    <w:rPr>
      <w:rFonts w:ascii="Calibri" w:hAnsi="Calibri" w:cs="Calibri"/>
      <w:sz w:val="27"/>
      <w:szCs w:val="27"/>
      <w:shd w:val="clear" w:color="auto" w:fill="FFFFFF"/>
    </w:rPr>
  </w:style>
  <w:style w:type="character" w:customStyle="1" w:styleId="10218">
    <w:name w:val="Основной текст (102)18"/>
    <w:uiPriority w:val="99"/>
    <w:rsid w:val="00601A94"/>
    <w:rPr>
      <w:rFonts w:cs="Times New Roman"/>
      <w:noProof/>
      <w:sz w:val="25"/>
      <w:szCs w:val="25"/>
      <w:shd w:val="clear" w:color="auto" w:fill="FFFFFF"/>
    </w:rPr>
  </w:style>
  <w:style w:type="character" w:customStyle="1" w:styleId="1021pt">
    <w:name w:val="Основной текст (102) + Интервал 1 pt"/>
    <w:uiPriority w:val="99"/>
    <w:rsid w:val="00601A94"/>
    <w:rPr>
      <w:rFonts w:cs="Times New Roman"/>
      <w:spacing w:val="20"/>
      <w:sz w:val="25"/>
      <w:szCs w:val="25"/>
      <w:shd w:val="clear" w:color="auto" w:fill="FFFFFF"/>
    </w:rPr>
  </w:style>
  <w:style w:type="character" w:customStyle="1" w:styleId="10217">
    <w:name w:val="Основной текст (102)17"/>
    <w:uiPriority w:val="99"/>
    <w:rsid w:val="00601A94"/>
    <w:rPr>
      <w:rFonts w:cs="Times New Roman"/>
      <w:sz w:val="25"/>
      <w:szCs w:val="25"/>
      <w:shd w:val="clear" w:color="auto" w:fill="FFFFFF"/>
    </w:rPr>
  </w:style>
  <w:style w:type="character" w:customStyle="1" w:styleId="1021pt1">
    <w:name w:val="Основной текст (102) + Интервал 1 pt1"/>
    <w:uiPriority w:val="99"/>
    <w:rsid w:val="00601A94"/>
    <w:rPr>
      <w:rFonts w:cs="Times New Roman"/>
      <w:noProof/>
      <w:spacing w:val="20"/>
      <w:sz w:val="25"/>
      <w:szCs w:val="25"/>
      <w:shd w:val="clear" w:color="auto" w:fill="FFFFFF"/>
    </w:rPr>
  </w:style>
  <w:style w:type="character" w:customStyle="1" w:styleId="10216">
    <w:name w:val="Основной текст (102)16"/>
    <w:uiPriority w:val="99"/>
    <w:rsid w:val="00601A94"/>
    <w:rPr>
      <w:rFonts w:cs="Times New Roman"/>
      <w:sz w:val="25"/>
      <w:szCs w:val="25"/>
      <w:shd w:val="clear" w:color="auto" w:fill="FFFFFF"/>
    </w:rPr>
  </w:style>
  <w:style w:type="character" w:customStyle="1" w:styleId="10215">
    <w:name w:val="Основной текст (102)15"/>
    <w:uiPriority w:val="99"/>
    <w:rsid w:val="00601A94"/>
    <w:rPr>
      <w:rFonts w:cs="Times New Roman"/>
      <w:noProof/>
      <w:sz w:val="25"/>
      <w:szCs w:val="25"/>
      <w:shd w:val="clear" w:color="auto" w:fill="FFFFFF"/>
    </w:rPr>
  </w:style>
  <w:style w:type="character" w:customStyle="1" w:styleId="10214">
    <w:name w:val="Основной текст (102)14"/>
    <w:uiPriority w:val="99"/>
    <w:rsid w:val="00601A94"/>
    <w:rPr>
      <w:rFonts w:cs="Times New Roman"/>
      <w:noProof/>
      <w:sz w:val="25"/>
      <w:szCs w:val="25"/>
      <w:shd w:val="clear" w:color="auto" w:fill="FFFFFF"/>
    </w:rPr>
  </w:style>
  <w:style w:type="character" w:customStyle="1" w:styleId="10213">
    <w:name w:val="Основной текст (102)13"/>
    <w:uiPriority w:val="99"/>
    <w:rsid w:val="00601A94"/>
    <w:rPr>
      <w:rFonts w:cs="Times New Roman"/>
      <w:noProof/>
      <w:sz w:val="25"/>
      <w:szCs w:val="25"/>
      <w:shd w:val="clear" w:color="auto" w:fill="FFFFFF"/>
    </w:rPr>
  </w:style>
  <w:style w:type="character" w:customStyle="1" w:styleId="7d">
    <w:name w:val="Подпись к картинке7"/>
    <w:uiPriority w:val="99"/>
    <w:rsid w:val="00601A94"/>
    <w:rPr>
      <w:rFonts w:ascii="Times New Roman" w:hAnsi="Times New Roman" w:cs="Times New Roman"/>
      <w:sz w:val="25"/>
      <w:szCs w:val="25"/>
      <w:shd w:val="clear" w:color="auto" w:fill="FFFFFF"/>
    </w:rPr>
  </w:style>
  <w:style w:type="character" w:customStyle="1" w:styleId="2840">
    <w:name w:val="Подпись к картинке (28)4"/>
    <w:uiPriority w:val="99"/>
    <w:rsid w:val="00601A94"/>
    <w:rPr>
      <w:rFonts w:cs="Times New Roman"/>
      <w:sz w:val="25"/>
      <w:szCs w:val="25"/>
      <w:shd w:val="clear" w:color="auto" w:fill="FFFFFF"/>
    </w:rPr>
  </w:style>
  <w:style w:type="character" w:customStyle="1" w:styleId="10212">
    <w:name w:val="Основной текст (102)12"/>
    <w:uiPriority w:val="99"/>
    <w:rsid w:val="00601A94"/>
    <w:rPr>
      <w:rFonts w:cs="Times New Roman"/>
      <w:noProof/>
      <w:sz w:val="25"/>
      <w:szCs w:val="25"/>
      <w:shd w:val="clear" w:color="auto" w:fill="FFFFFF"/>
    </w:rPr>
  </w:style>
  <w:style w:type="character" w:customStyle="1" w:styleId="462">
    <w:name w:val="Основной текст (46)_"/>
    <w:link w:val="4610"/>
    <w:uiPriority w:val="99"/>
    <w:locked/>
    <w:rsid w:val="00601A94"/>
    <w:rPr>
      <w:rFonts w:cs="Times New Roman"/>
      <w:b/>
      <w:bCs/>
      <w:w w:val="70"/>
      <w:sz w:val="16"/>
      <w:szCs w:val="16"/>
      <w:shd w:val="clear" w:color="auto" w:fill="FFFFFF"/>
    </w:rPr>
  </w:style>
  <w:style w:type="character" w:customStyle="1" w:styleId="526">
    <w:name w:val="Заголовок №52"/>
    <w:uiPriority w:val="99"/>
    <w:rsid w:val="00601A94"/>
    <w:rPr>
      <w:rFonts w:ascii="Times New Roman" w:hAnsi="Times New Roman" w:cs="Times New Roman"/>
      <w:sz w:val="25"/>
      <w:szCs w:val="25"/>
      <w:shd w:val="clear" w:color="auto" w:fill="FFFFFF"/>
    </w:rPr>
  </w:style>
  <w:style w:type="character" w:customStyle="1" w:styleId="1122">
    <w:name w:val="Основной текст (112)_"/>
    <w:link w:val="11210"/>
    <w:uiPriority w:val="99"/>
    <w:locked/>
    <w:rsid w:val="00601A94"/>
    <w:rPr>
      <w:rFonts w:ascii="Arial" w:hAnsi="Arial" w:cs="Arial"/>
      <w:b/>
      <w:bCs/>
      <w:sz w:val="12"/>
      <w:szCs w:val="12"/>
      <w:shd w:val="clear" w:color="auto" w:fill="FFFFFF"/>
    </w:rPr>
  </w:style>
  <w:style w:type="character" w:customStyle="1" w:styleId="2152">
    <w:name w:val="Основной текст (215)_"/>
    <w:link w:val="2153"/>
    <w:uiPriority w:val="99"/>
    <w:locked/>
    <w:rsid w:val="00601A94"/>
    <w:rPr>
      <w:rFonts w:ascii="Arial" w:hAnsi="Arial" w:cs="Arial"/>
      <w:spacing w:val="-10"/>
      <w:sz w:val="11"/>
      <w:szCs w:val="11"/>
      <w:shd w:val="clear" w:color="auto" w:fill="FFFFFF"/>
    </w:rPr>
  </w:style>
  <w:style w:type="character" w:customStyle="1" w:styleId="3520">
    <w:name w:val="Заголовок №3 (5)2"/>
    <w:uiPriority w:val="99"/>
    <w:rsid w:val="00601A94"/>
    <w:rPr>
      <w:rFonts w:cs="Times New Roman"/>
      <w:b/>
      <w:bCs/>
      <w:sz w:val="24"/>
      <w:szCs w:val="24"/>
      <w:shd w:val="clear" w:color="auto" w:fill="FFFFFF"/>
    </w:rPr>
  </w:style>
  <w:style w:type="character" w:customStyle="1" w:styleId="734">
    <w:name w:val="Заголовок №7 (3)_"/>
    <w:link w:val="7310"/>
    <w:uiPriority w:val="99"/>
    <w:locked/>
    <w:rsid w:val="00601A94"/>
    <w:rPr>
      <w:rFonts w:cs="Times New Roman"/>
      <w:b/>
      <w:bCs/>
      <w:sz w:val="25"/>
      <w:szCs w:val="25"/>
      <w:shd w:val="clear" w:color="auto" w:fill="FFFFFF"/>
    </w:rPr>
  </w:style>
  <w:style w:type="character" w:customStyle="1" w:styleId="735">
    <w:name w:val="Заголовок №7 (3)"/>
    <w:uiPriority w:val="99"/>
    <w:rsid w:val="00601A94"/>
    <w:rPr>
      <w:rFonts w:cs="Times New Roman"/>
      <w:b/>
      <w:bCs/>
      <w:sz w:val="25"/>
      <w:szCs w:val="25"/>
      <w:shd w:val="clear" w:color="auto" w:fill="FFFFFF"/>
    </w:rPr>
  </w:style>
  <w:style w:type="character" w:customStyle="1" w:styleId="2142">
    <w:name w:val="Основной текст (214)_"/>
    <w:link w:val="2143"/>
    <w:uiPriority w:val="99"/>
    <w:locked/>
    <w:rsid w:val="00601A94"/>
    <w:rPr>
      <w:rFonts w:cs="Times New Roman"/>
      <w:noProof/>
      <w:sz w:val="9"/>
      <w:szCs w:val="9"/>
      <w:shd w:val="clear" w:color="auto" w:fill="FFFFFF"/>
    </w:rPr>
  </w:style>
  <w:style w:type="character" w:customStyle="1" w:styleId="2133">
    <w:name w:val="Основной текст (213)_"/>
    <w:link w:val="2134"/>
    <w:uiPriority w:val="99"/>
    <w:locked/>
    <w:rsid w:val="00601A94"/>
    <w:rPr>
      <w:rFonts w:cs="Times New Roman"/>
      <w:noProof/>
      <w:sz w:val="9"/>
      <w:szCs w:val="9"/>
      <w:shd w:val="clear" w:color="auto" w:fill="FFFFFF"/>
    </w:rPr>
  </w:style>
  <w:style w:type="character" w:customStyle="1" w:styleId="1123">
    <w:name w:val="Основной текст (112)"/>
    <w:uiPriority w:val="99"/>
    <w:rsid w:val="00601A94"/>
    <w:rPr>
      <w:rFonts w:ascii="Arial" w:hAnsi="Arial" w:cs="Arial"/>
      <w:b/>
      <w:bCs/>
      <w:noProof/>
      <w:sz w:val="12"/>
      <w:szCs w:val="12"/>
      <w:shd w:val="clear" w:color="auto" w:fill="FFFFFF"/>
    </w:rPr>
  </w:style>
  <w:style w:type="character" w:customStyle="1" w:styleId="2fff3">
    <w:name w:val="Оглавление2"/>
    <w:uiPriority w:val="99"/>
    <w:rsid w:val="00601A94"/>
    <w:rPr>
      <w:rFonts w:ascii="Times New Roman" w:hAnsi="Times New Roman" w:cs="Times New Roman"/>
      <w:b/>
      <w:sz w:val="25"/>
      <w:szCs w:val="25"/>
      <w:shd w:val="clear" w:color="auto" w:fill="FFFFFF"/>
    </w:rPr>
  </w:style>
  <w:style w:type="character" w:customStyle="1" w:styleId="11f8">
    <w:name w:val="Оглавление (11)_"/>
    <w:link w:val="111b"/>
    <w:uiPriority w:val="99"/>
    <w:locked/>
    <w:rsid w:val="00601A94"/>
    <w:rPr>
      <w:rFonts w:cs="Times New Roman"/>
      <w:b/>
      <w:bCs/>
      <w:sz w:val="17"/>
      <w:szCs w:val="17"/>
      <w:shd w:val="clear" w:color="auto" w:fill="FFFFFF"/>
    </w:rPr>
  </w:style>
  <w:style w:type="character" w:customStyle="1" w:styleId="11f9">
    <w:name w:val="Оглавление (11)"/>
    <w:uiPriority w:val="99"/>
    <w:rsid w:val="00601A94"/>
    <w:rPr>
      <w:rFonts w:cs="Times New Roman"/>
      <w:b/>
      <w:bCs/>
      <w:sz w:val="17"/>
      <w:szCs w:val="17"/>
      <w:shd w:val="clear" w:color="auto" w:fill="FFFFFF"/>
    </w:rPr>
  </w:style>
  <w:style w:type="character" w:customStyle="1" w:styleId="12f1">
    <w:name w:val="Оглавление (12)_"/>
    <w:link w:val="1213"/>
    <w:uiPriority w:val="99"/>
    <w:locked/>
    <w:rsid w:val="00601A94"/>
    <w:rPr>
      <w:rFonts w:cs="Times New Roman"/>
      <w:i/>
      <w:iCs/>
      <w:noProof/>
      <w:sz w:val="26"/>
      <w:szCs w:val="26"/>
      <w:shd w:val="clear" w:color="auto" w:fill="FFFFFF"/>
    </w:rPr>
  </w:style>
  <w:style w:type="character" w:customStyle="1" w:styleId="12120">
    <w:name w:val="Оглавление (12) + 12"/>
    <w:aliases w:val="5 pt55,Не курсив20"/>
    <w:uiPriority w:val="99"/>
    <w:rsid w:val="00601A94"/>
    <w:rPr>
      <w:rFonts w:cs="Times New Roman"/>
      <w:i/>
      <w:iCs/>
      <w:noProof/>
      <w:sz w:val="25"/>
      <w:szCs w:val="25"/>
      <w:shd w:val="clear" w:color="auto" w:fill="FFFFFF"/>
    </w:rPr>
  </w:style>
  <w:style w:type="character" w:customStyle="1" w:styleId="12f2">
    <w:name w:val="Оглавление (12)"/>
    <w:uiPriority w:val="99"/>
    <w:rsid w:val="00601A94"/>
    <w:rPr>
      <w:rFonts w:cs="Times New Roman"/>
      <w:i/>
      <w:iCs/>
      <w:noProof/>
      <w:sz w:val="26"/>
      <w:szCs w:val="26"/>
      <w:shd w:val="clear" w:color="auto" w:fill="FFFFFF"/>
    </w:rPr>
  </w:style>
  <w:style w:type="character" w:customStyle="1" w:styleId="3650">
    <w:name w:val="Основной текст (36)5"/>
    <w:uiPriority w:val="99"/>
    <w:rsid w:val="00601A94"/>
    <w:rPr>
      <w:rFonts w:cs="Times New Roman"/>
      <w:b/>
      <w:bCs/>
      <w:sz w:val="17"/>
      <w:szCs w:val="17"/>
      <w:shd w:val="clear" w:color="auto" w:fill="FFFFFF"/>
    </w:rPr>
  </w:style>
  <w:style w:type="character" w:customStyle="1" w:styleId="2162">
    <w:name w:val="Основной текст (216)_"/>
    <w:link w:val="2163"/>
    <w:uiPriority w:val="99"/>
    <w:locked/>
    <w:rsid w:val="00601A94"/>
    <w:rPr>
      <w:rFonts w:ascii="Arial" w:hAnsi="Arial" w:cs="Arial"/>
      <w:shd w:val="clear" w:color="auto" w:fill="FFFFFF"/>
    </w:rPr>
  </w:style>
  <w:style w:type="character" w:customStyle="1" w:styleId="Arial5">
    <w:name w:val="Основной текст + Arial5"/>
    <w:aliases w:val="72,5 pt54,Полужирный25,Интервал 0 pt19"/>
    <w:uiPriority w:val="99"/>
    <w:rsid w:val="00601A94"/>
    <w:rPr>
      <w:rFonts w:ascii="Arial" w:hAnsi="Arial" w:cs="Arial"/>
      <w:b/>
      <w:bCs/>
      <w:color w:val="00000A"/>
      <w:spacing w:val="-10"/>
      <w:sz w:val="15"/>
      <w:szCs w:val="15"/>
      <w:shd w:val="clear" w:color="auto" w:fill="FFFFFF"/>
      <w:lang w:eastAsia="zh-CN"/>
    </w:rPr>
  </w:style>
  <w:style w:type="character" w:customStyle="1" w:styleId="Sylfaen">
    <w:name w:val="Основной текст + Sylfaen"/>
    <w:aliases w:val="66,5 pt53,Масштаб 150%1"/>
    <w:uiPriority w:val="99"/>
    <w:rsid w:val="00601A94"/>
    <w:rPr>
      <w:rFonts w:ascii="Sylfaen" w:hAnsi="Sylfaen" w:cs="Sylfaen"/>
      <w:color w:val="00000A"/>
      <w:w w:val="150"/>
      <w:sz w:val="13"/>
      <w:szCs w:val="13"/>
      <w:shd w:val="clear" w:color="auto" w:fill="FFFFFF"/>
      <w:lang w:eastAsia="zh-CN"/>
    </w:rPr>
  </w:style>
  <w:style w:type="character" w:customStyle="1" w:styleId="2171">
    <w:name w:val="Основной текст (217)_"/>
    <w:link w:val="2172"/>
    <w:uiPriority w:val="99"/>
    <w:locked/>
    <w:rsid w:val="00601A94"/>
    <w:rPr>
      <w:rFonts w:ascii="Arial" w:hAnsi="Arial" w:cs="Arial"/>
      <w:shd w:val="clear" w:color="auto" w:fill="FFFFFF"/>
    </w:rPr>
  </w:style>
  <w:style w:type="character" w:customStyle="1" w:styleId="81e">
    <w:name w:val="Основной текст + 81"/>
    <w:aliases w:val="5 pt52,Полужирный24"/>
    <w:uiPriority w:val="99"/>
    <w:rsid w:val="00601A94"/>
    <w:rPr>
      <w:rFonts w:ascii="Times New Roman" w:hAnsi="Times New Roman" w:cs="Times New Roman"/>
      <w:b/>
      <w:bCs/>
      <w:color w:val="00000A"/>
      <w:sz w:val="17"/>
      <w:szCs w:val="17"/>
      <w:shd w:val="clear" w:color="auto" w:fill="FFFFFF"/>
      <w:lang w:eastAsia="zh-CN"/>
    </w:rPr>
  </w:style>
  <w:style w:type="character" w:customStyle="1" w:styleId="4620">
    <w:name w:val="Основной текст (46)2"/>
    <w:uiPriority w:val="99"/>
    <w:rsid w:val="00601A94"/>
    <w:rPr>
      <w:rFonts w:cs="Times New Roman"/>
      <w:b/>
      <w:bCs/>
      <w:noProof/>
      <w:w w:val="70"/>
      <w:sz w:val="16"/>
      <w:szCs w:val="16"/>
      <w:shd w:val="clear" w:color="auto" w:fill="FFFFFF"/>
    </w:rPr>
  </w:style>
  <w:style w:type="character" w:customStyle="1" w:styleId="2181">
    <w:name w:val="Основной текст (218)_"/>
    <w:link w:val="2182"/>
    <w:uiPriority w:val="99"/>
    <w:locked/>
    <w:rsid w:val="00601A94"/>
    <w:rPr>
      <w:rFonts w:cs="Times New Roman"/>
      <w:b/>
      <w:bCs/>
      <w:i/>
      <w:iCs/>
      <w:spacing w:val="20"/>
      <w:sz w:val="19"/>
      <w:szCs w:val="19"/>
      <w:shd w:val="clear" w:color="auto" w:fill="FFFFFF"/>
    </w:rPr>
  </w:style>
  <w:style w:type="character" w:customStyle="1" w:styleId="2180pt">
    <w:name w:val="Основной текст (218) + Интервал 0 pt"/>
    <w:uiPriority w:val="99"/>
    <w:rsid w:val="00601A94"/>
    <w:rPr>
      <w:rFonts w:cs="Times New Roman"/>
      <w:b/>
      <w:bCs/>
      <w:i/>
      <w:iCs/>
      <w:spacing w:val="0"/>
      <w:sz w:val="19"/>
      <w:szCs w:val="19"/>
      <w:shd w:val="clear" w:color="auto" w:fill="FFFFFF"/>
    </w:rPr>
  </w:style>
  <w:style w:type="character" w:customStyle="1" w:styleId="218Arial">
    <w:name w:val="Основной текст (218) + Arial"/>
    <w:aliases w:val="81,5 pt51,Не полужирный17,Не курсив19,Интервал 0 pt18"/>
    <w:uiPriority w:val="99"/>
    <w:rsid w:val="00601A94"/>
    <w:rPr>
      <w:rFonts w:ascii="Arial" w:hAnsi="Arial" w:cs="Arial"/>
      <w:b/>
      <w:bCs/>
      <w:i/>
      <w:iCs/>
      <w:noProof/>
      <w:spacing w:val="0"/>
      <w:sz w:val="17"/>
      <w:szCs w:val="17"/>
      <w:shd w:val="clear" w:color="auto" w:fill="FFFFFF"/>
    </w:rPr>
  </w:style>
  <w:style w:type="character" w:customStyle="1" w:styleId="1062">
    <w:name w:val="Подпись к картинке (10)6"/>
    <w:uiPriority w:val="99"/>
    <w:rsid w:val="00601A94"/>
    <w:rPr>
      <w:rFonts w:cs="Times New Roman"/>
      <w:b/>
      <w:bCs/>
      <w:sz w:val="17"/>
      <w:szCs w:val="17"/>
      <w:shd w:val="clear" w:color="auto" w:fill="FFFFFF"/>
    </w:rPr>
  </w:style>
  <w:style w:type="character" w:customStyle="1" w:styleId="1052">
    <w:name w:val="Подпись к картинке (10)5"/>
    <w:uiPriority w:val="99"/>
    <w:rsid w:val="00601A94"/>
    <w:rPr>
      <w:rFonts w:cs="Times New Roman"/>
      <w:b/>
      <w:bCs/>
      <w:sz w:val="17"/>
      <w:szCs w:val="17"/>
      <w:shd w:val="clear" w:color="auto" w:fill="FFFFFF"/>
    </w:rPr>
  </w:style>
  <w:style w:type="character" w:customStyle="1" w:styleId="1043">
    <w:name w:val="Подпись к картинке (10)4"/>
    <w:uiPriority w:val="99"/>
    <w:rsid w:val="00601A94"/>
    <w:rPr>
      <w:rFonts w:cs="Times New Roman"/>
      <w:b/>
      <w:bCs/>
      <w:sz w:val="17"/>
      <w:szCs w:val="17"/>
      <w:shd w:val="clear" w:color="auto" w:fill="FFFFFF"/>
    </w:rPr>
  </w:style>
  <w:style w:type="character" w:customStyle="1" w:styleId="483">
    <w:name w:val="Подпись к картинке (48)_"/>
    <w:link w:val="4810"/>
    <w:uiPriority w:val="99"/>
    <w:locked/>
    <w:rsid w:val="00601A94"/>
    <w:rPr>
      <w:rFonts w:cs="Times New Roman"/>
      <w:sz w:val="9"/>
      <w:szCs w:val="9"/>
      <w:shd w:val="clear" w:color="auto" w:fill="FFFFFF"/>
    </w:rPr>
  </w:style>
  <w:style w:type="character" w:customStyle="1" w:styleId="484">
    <w:name w:val="Подпись к картинке (48)"/>
    <w:uiPriority w:val="99"/>
    <w:rsid w:val="00601A94"/>
    <w:rPr>
      <w:rFonts w:cs="Times New Roman"/>
      <w:sz w:val="9"/>
      <w:szCs w:val="9"/>
      <w:shd w:val="clear" w:color="auto" w:fill="FFFFFF"/>
    </w:rPr>
  </w:style>
  <w:style w:type="character" w:customStyle="1" w:styleId="4830">
    <w:name w:val="Подпись к картинке (48)3"/>
    <w:uiPriority w:val="99"/>
    <w:rsid w:val="00601A94"/>
    <w:rPr>
      <w:rFonts w:cs="Times New Roman"/>
      <w:sz w:val="9"/>
      <w:szCs w:val="9"/>
      <w:shd w:val="clear" w:color="auto" w:fill="FFFFFF"/>
    </w:rPr>
  </w:style>
  <w:style w:type="character" w:customStyle="1" w:styleId="1033">
    <w:name w:val="Основной текст + 103"/>
    <w:aliases w:val="5 pt50,Полужирный23,Малые прописные1"/>
    <w:uiPriority w:val="99"/>
    <w:rsid w:val="00601A94"/>
    <w:rPr>
      <w:rFonts w:ascii="Times New Roman" w:hAnsi="Times New Roman" w:cs="Times New Roman"/>
      <w:b/>
      <w:bCs/>
      <w:smallCaps/>
      <w:color w:val="00000A"/>
      <w:sz w:val="21"/>
      <w:szCs w:val="21"/>
      <w:shd w:val="clear" w:color="auto" w:fill="FFFFFF"/>
      <w:lang w:eastAsia="zh-CN"/>
    </w:rPr>
  </w:style>
  <w:style w:type="character" w:customStyle="1" w:styleId="2191">
    <w:name w:val="Основной текст (219)_"/>
    <w:link w:val="2192"/>
    <w:uiPriority w:val="99"/>
    <w:locked/>
    <w:rsid w:val="00601A94"/>
    <w:rPr>
      <w:rFonts w:ascii="Arial" w:hAnsi="Arial" w:cs="Arial"/>
      <w:i/>
      <w:iCs/>
      <w:spacing w:val="10"/>
      <w:sz w:val="9"/>
      <w:szCs w:val="9"/>
      <w:shd w:val="clear" w:color="auto" w:fill="FFFFFF"/>
    </w:rPr>
  </w:style>
  <w:style w:type="character" w:customStyle="1" w:styleId="26pt">
    <w:name w:val="Основной текст + Интервал 26 pt"/>
    <w:uiPriority w:val="99"/>
    <w:rsid w:val="00601A94"/>
    <w:rPr>
      <w:rFonts w:ascii="Times New Roman" w:hAnsi="Times New Roman" w:cs="Times New Roman"/>
      <w:color w:val="00000A"/>
      <w:spacing w:val="530"/>
      <w:sz w:val="25"/>
      <w:szCs w:val="25"/>
      <w:shd w:val="clear" w:color="auto" w:fill="FFFFFF"/>
      <w:lang w:eastAsia="zh-CN"/>
    </w:rPr>
  </w:style>
  <w:style w:type="character" w:customStyle="1" w:styleId="8520">
    <w:name w:val="Основной текст (85)2"/>
    <w:uiPriority w:val="99"/>
    <w:rsid w:val="00601A94"/>
    <w:rPr>
      <w:rFonts w:ascii="Impact" w:hAnsi="Impact" w:cs="Impact"/>
      <w:noProof/>
      <w:sz w:val="10"/>
      <w:szCs w:val="10"/>
      <w:shd w:val="clear" w:color="auto" w:fill="FFFFFF"/>
    </w:rPr>
  </w:style>
  <w:style w:type="character" w:customStyle="1" w:styleId="241pt7">
    <w:name w:val="Основной текст (24) + Интервал 1 pt7"/>
    <w:uiPriority w:val="99"/>
    <w:rsid w:val="00601A94"/>
    <w:rPr>
      <w:rFonts w:cs="Times New Roman"/>
      <w:i/>
      <w:iCs/>
      <w:spacing w:val="20"/>
      <w:sz w:val="26"/>
      <w:szCs w:val="26"/>
      <w:shd w:val="clear" w:color="auto" w:fill="FFFFFF"/>
    </w:rPr>
  </w:style>
  <w:style w:type="character" w:customStyle="1" w:styleId="13pt4">
    <w:name w:val="Основной текст + 13 pt4"/>
    <w:aliases w:val="Курсив35,Интервал 1 pt5"/>
    <w:uiPriority w:val="99"/>
    <w:rsid w:val="00601A94"/>
    <w:rPr>
      <w:rFonts w:ascii="Times New Roman" w:hAnsi="Times New Roman" w:cs="Times New Roman"/>
      <w:i/>
      <w:iCs/>
      <w:color w:val="00000A"/>
      <w:spacing w:val="20"/>
      <w:sz w:val="26"/>
      <w:szCs w:val="26"/>
      <w:shd w:val="clear" w:color="auto" w:fill="FFFFFF"/>
      <w:lang w:eastAsia="zh-CN"/>
    </w:rPr>
  </w:style>
  <w:style w:type="character" w:customStyle="1" w:styleId="474">
    <w:name w:val="Подпись к картинке (47)_"/>
    <w:link w:val="4710"/>
    <w:uiPriority w:val="99"/>
    <w:locked/>
    <w:rsid w:val="00601A94"/>
    <w:rPr>
      <w:rFonts w:cs="Times New Roman"/>
      <w:sz w:val="12"/>
      <w:szCs w:val="12"/>
      <w:shd w:val="clear" w:color="auto" w:fill="FFFFFF"/>
    </w:rPr>
  </w:style>
  <w:style w:type="character" w:customStyle="1" w:styleId="47Arial">
    <w:name w:val="Подпись к картинке (47) + Arial"/>
    <w:aliases w:val="42,5 pt49,Курсив34,Интервал 0 pt17"/>
    <w:uiPriority w:val="99"/>
    <w:rsid w:val="00601A94"/>
    <w:rPr>
      <w:rFonts w:ascii="Arial" w:hAnsi="Arial" w:cs="Arial"/>
      <w:i/>
      <w:iCs/>
      <w:spacing w:val="10"/>
      <w:sz w:val="9"/>
      <w:szCs w:val="9"/>
      <w:shd w:val="clear" w:color="auto" w:fill="FFFFFF"/>
    </w:rPr>
  </w:style>
  <w:style w:type="character" w:customStyle="1" w:styleId="475">
    <w:name w:val="Подпись к картинке (47)"/>
    <w:uiPriority w:val="99"/>
    <w:rsid w:val="00601A94"/>
    <w:rPr>
      <w:rFonts w:cs="Times New Roman"/>
      <w:sz w:val="12"/>
      <w:szCs w:val="12"/>
      <w:shd w:val="clear" w:color="auto" w:fill="FFFFFF"/>
    </w:rPr>
  </w:style>
  <w:style w:type="character" w:customStyle="1" w:styleId="4720">
    <w:name w:val="Подпись к картинке (47)2"/>
    <w:uiPriority w:val="99"/>
    <w:rsid w:val="00601A94"/>
    <w:rPr>
      <w:rFonts w:cs="Times New Roman"/>
      <w:sz w:val="12"/>
      <w:szCs w:val="12"/>
      <w:shd w:val="clear" w:color="auto" w:fill="FFFFFF"/>
    </w:rPr>
  </w:style>
  <w:style w:type="character" w:customStyle="1" w:styleId="471pt">
    <w:name w:val="Подпись к картинке (47) + Интервал 1 pt"/>
    <w:uiPriority w:val="99"/>
    <w:rsid w:val="00601A94"/>
    <w:rPr>
      <w:rFonts w:cs="Times New Roman"/>
      <w:spacing w:val="30"/>
      <w:sz w:val="12"/>
      <w:szCs w:val="12"/>
      <w:shd w:val="clear" w:color="auto" w:fill="FFFFFF"/>
    </w:rPr>
  </w:style>
  <w:style w:type="character" w:customStyle="1" w:styleId="471pt1">
    <w:name w:val="Подпись к картинке (47) + Интервал 1 pt1"/>
    <w:uiPriority w:val="99"/>
    <w:rsid w:val="00601A94"/>
    <w:rPr>
      <w:rFonts w:ascii="Courier New" w:hAnsi="Courier New" w:cs="Courier New"/>
      <w:noProof/>
      <w:spacing w:val="30"/>
      <w:sz w:val="12"/>
      <w:szCs w:val="12"/>
      <w:shd w:val="clear" w:color="auto" w:fill="FFFFFF"/>
    </w:rPr>
  </w:style>
  <w:style w:type="character" w:customStyle="1" w:styleId="4820">
    <w:name w:val="Подпись к картинке (48)2"/>
    <w:uiPriority w:val="99"/>
    <w:rsid w:val="00601A94"/>
    <w:rPr>
      <w:rFonts w:cs="Times New Roman"/>
      <w:sz w:val="9"/>
      <w:szCs w:val="9"/>
      <w:shd w:val="clear" w:color="auto" w:fill="FFFFFF"/>
    </w:rPr>
  </w:style>
  <w:style w:type="character" w:customStyle="1" w:styleId="2830">
    <w:name w:val="Подпись к картинке (28)3"/>
    <w:uiPriority w:val="99"/>
    <w:rsid w:val="00601A94"/>
    <w:rPr>
      <w:rFonts w:cs="Times New Roman"/>
      <w:sz w:val="25"/>
      <w:szCs w:val="25"/>
      <w:shd w:val="clear" w:color="auto" w:fill="FFFFFF"/>
    </w:rPr>
  </w:style>
  <w:style w:type="character" w:customStyle="1" w:styleId="2820">
    <w:name w:val="Подпись к картинке (28)2"/>
    <w:uiPriority w:val="99"/>
    <w:rsid w:val="00601A94"/>
    <w:rPr>
      <w:rFonts w:cs="Times New Roman"/>
      <w:noProof/>
      <w:sz w:val="25"/>
      <w:szCs w:val="25"/>
      <w:shd w:val="clear" w:color="auto" w:fill="FFFFFF"/>
    </w:rPr>
  </w:style>
  <w:style w:type="character" w:customStyle="1" w:styleId="1025">
    <w:name w:val="Основной текст (102)5"/>
    <w:uiPriority w:val="99"/>
    <w:rsid w:val="00601A94"/>
    <w:rPr>
      <w:rFonts w:cs="Times New Roman"/>
      <w:sz w:val="25"/>
      <w:szCs w:val="25"/>
      <w:shd w:val="clear" w:color="auto" w:fill="FFFFFF"/>
    </w:rPr>
  </w:style>
  <w:style w:type="character" w:customStyle="1" w:styleId="1024">
    <w:name w:val="Основной текст (102)4"/>
    <w:uiPriority w:val="99"/>
    <w:rsid w:val="00601A94"/>
    <w:rPr>
      <w:rFonts w:cs="Times New Roman"/>
      <w:noProof/>
      <w:sz w:val="25"/>
      <w:szCs w:val="25"/>
      <w:shd w:val="clear" w:color="auto" w:fill="FFFFFF"/>
    </w:rPr>
  </w:style>
  <w:style w:type="character" w:customStyle="1" w:styleId="10231">
    <w:name w:val="Основной текст (102)3"/>
    <w:uiPriority w:val="99"/>
    <w:rsid w:val="00601A94"/>
    <w:rPr>
      <w:rFonts w:cs="Times New Roman"/>
      <w:sz w:val="25"/>
      <w:szCs w:val="25"/>
      <w:shd w:val="clear" w:color="auto" w:fill="FFFFFF"/>
    </w:rPr>
  </w:style>
  <w:style w:type="paragraph" w:customStyle="1" w:styleId="4610">
    <w:name w:val="Основной текст (46)1"/>
    <w:basedOn w:val="a2"/>
    <w:link w:val="462"/>
    <w:uiPriority w:val="99"/>
    <w:rsid w:val="00601A94"/>
    <w:pPr>
      <w:shd w:val="clear" w:color="auto" w:fill="FFFFFF"/>
      <w:spacing w:line="240" w:lineRule="atLeast"/>
    </w:pPr>
    <w:rPr>
      <w:b/>
      <w:bCs/>
      <w:w w:val="70"/>
      <w:sz w:val="16"/>
      <w:szCs w:val="16"/>
    </w:rPr>
  </w:style>
  <w:style w:type="paragraph" w:customStyle="1" w:styleId="51d">
    <w:name w:val="Заголовок №51"/>
    <w:basedOn w:val="a2"/>
    <w:uiPriority w:val="99"/>
    <w:rsid w:val="00601A94"/>
    <w:pPr>
      <w:shd w:val="clear" w:color="auto" w:fill="FFFFFF"/>
      <w:spacing w:after="60" w:line="240" w:lineRule="atLeast"/>
      <w:outlineLvl w:val="4"/>
    </w:pPr>
    <w:rPr>
      <w:sz w:val="25"/>
      <w:szCs w:val="25"/>
    </w:rPr>
  </w:style>
  <w:style w:type="paragraph" w:customStyle="1" w:styleId="11210">
    <w:name w:val="Основной текст (112)1"/>
    <w:basedOn w:val="a2"/>
    <w:link w:val="1122"/>
    <w:uiPriority w:val="99"/>
    <w:rsid w:val="00601A94"/>
    <w:pPr>
      <w:shd w:val="clear" w:color="auto" w:fill="FFFFFF"/>
      <w:spacing w:before="180" w:line="240" w:lineRule="atLeast"/>
    </w:pPr>
    <w:rPr>
      <w:rFonts w:ascii="Arial" w:hAnsi="Arial" w:cs="Arial"/>
      <w:b/>
      <w:bCs/>
      <w:sz w:val="12"/>
      <w:szCs w:val="12"/>
    </w:rPr>
  </w:style>
  <w:style w:type="paragraph" w:customStyle="1" w:styleId="2153">
    <w:name w:val="Основной текст (215)"/>
    <w:basedOn w:val="a2"/>
    <w:link w:val="2152"/>
    <w:uiPriority w:val="99"/>
    <w:rsid w:val="00601A94"/>
    <w:pPr>
      <w:shd w:val="clear" w:color="auto" w:fill="FFFFFF"/>
      <w:spacing w:line="240" w:lineRule="atLeast"/>
    </w:pPr>
    <w:rPr>
      <w:rFonts w:ascii="Arial" w:hAnsi="Arial" w:cs="Arial"/>
      <w:spacing w:val="-10"/>
      <w:sz w:val="11"/>
      <w:szCs w:val="11"/>
    </w:rPr>
  </w:style>
  <w:style w:type="paragraph" w:customStyle="1" w:styleId="7310">
    <w:name w:val="Заголовок №7 (3)1"/>
    <w:basedOn w:val="a2"/>
    <w:link w:val="734"/>
    <w:uiPriority w:val="99"/>
    <w:rsid w:val="00601A94"/>
    <w:pPr>
      <w:shd w:val="clear" w:color="auto" w:fill="FFFFFF"/>
      <w:spacing w:line="326" w:lineRule="exact"/>
      <w:ind w:firstLine="680"/>
      <w:jc w:val="both"/>
      <w:outlineLvl w:val="6"/>
    </w:pPr>
    <w:rPr>
      <w:b/>
      <w:bCs/>
      <w:sz w:val="25"/>
      <w:szCs w:val="25"/>
    </w:rPr>
  </w:style>
  <w:style w:type="paragraph" w:customStyle="1" w:styleId="2143">
    <w:name w:val="Основной текст (214)"/>
    <w:basedOn w:val="a2"/>
    <w:link w:val="2142"/>
    <w:uiPriority w:val="99"/>
    <w:rsid w:val="00601A94"/>
    <w:pPr>
      <w:shd w:val="clear" w:color="auto" w:fill="FFFFFF"/>
      <w:spacing w:line="240" w:lineRule="atLeast"/>
    </w:pPr>
    <w:rPr>
      <w:noProof/>
      <w:sz w:val="9"/>
      <w:szCs w:val="9"/>
    </w:rPr>
  </w:style>
  <w:style w:type="paragraph" w:customStyle="1" w:styleId="2134">
    <w:name w:val="Основной текст (213)"/>
    <w:basedOn w:val="a2"/>
    <w:link w:val="2133"/>
    <w:uiPriority w:val="99"/>
    <w:rsid w:val="00601A94"/>
    <w:pPr>
      <w:shd w:val="clear" w:color="auto" w:fill="FFFFFF"/>
      <w:spacing w:line="240" w:lineRule="atLeast"/>
    </w:pPr>
    <w:rPr>
      <w:noProof/>
      <w:sz w:val="9"/>
      <w:szCs w:val="9"/>
    </w:rPr>
  </w:style>
  <w:style w:type="paragraph" w:customStyle="1" w:styleId="111b">
    <w:name w:val="Оглавление (11)1"/>
    <w:basedOn w:val="a2"/>
    <w:link w:val="11f8"/>
    <w:uiPriority w:val="99"/>
    <w:rsid w:val="00601A94"/>
    <w:pPr>
      <w:shd w:val="clear" w:color="auto" w:fill="FFFFFF"/>
      <w:spacing w:line="110" w:lineRule="exact"/>
      <w:jc w:val="both"/>
    </w:pPr>
    <w:rPr>
      <w:b/>
      <w:bCs/>
      <w:sz w:val="17"/>
      <w:szCs w:val="17"/>
    </w:rPr>
  </w:style>
  <w:style w:type="paragraph" w:customStyle="1" w:styleId="1213">
    <w:name w:val="Оглавление (12)1"/>
    <w:basedOn w:val="a2"/>
    <w:link w:val="12f1"/>
    <w:uiPriority w:val="99"/>
    <w:rsid w:val="00601A94"/>
    <w:pPr>
      <w:shd w:val="clear" w:color="auto" w:fill="FFFFFF"/>
      <w:spacing w:line="110" w:lineRule="exact"/>
      <w:jc w:val="both"/>
    </w:pPr>
    <w:rPr>
      <w:i/>
      <w:iCs/>
      <w:noProof/>
      <w:sz w:val="26"/>
      <w:szCs w:val="26"/>
    </w:rPr>
  </w:style>
  <w:style w:type="paragraph" w:customStyle="1" w:styleId="2163">
    <w:name w:val="Основной текст (216)"/>
    <w:basedOn w:val="a2"/>
    <w:link w:val="2162"/>
    <w:uiPriority w:val="99"/>
    <w:rsid w:val="00601A94"/>
    <w:pPr>
      <w:shd w:val="clear" w:color="auto" w:fill="FFFFFF"/>
      <w:spacing w:line="240" w:lineRule="atLeast"/>
    </w:pPr>
    <w:rPr>
      <w:rFonts w:ascii="Arial" w:hAnsi="Arial" w:cs="Arial"/>
    </w:rPr>
  </w:style>
  <w:style w:type="paragraph" w:customStyle="1" w:styleId="2172">
    <w:name w:val="Основной текст (217)"/>
    <w:basedOn w:val="a2"/>
    <w:link w:val="2171"/>
    <w:uiPriority w:val="99"/>
    <w:rsid w:val="00601A94"/>
    <w:pPr>
      <w:shd w:val="clear" w:color="auto" w:fill="FFFFFF"/>
      <w:spacing w:after="180" w:line="240" w:lineRule="atLeast"/>
      <w:jc w:val="both"/>
    </w:pPr>
    <w:rPr>
      <w:rFonts w:ascii="Arial" w:hAnsi="Arial" w:cs="Arial"/>
    </w:rPr>
  </w:style>
  <w:style w:type="paragraph" w:customStyle="1" w:styleId="2182">
    <w:name w:val="Основной текст (218)"/>
    <w:basedOn w:val="a2"/>
    <w:link w:val="2181"/>
    <w:uiPriority w:val="99"/>
    <w:rsid w:val="00601A94"/>
    <w:pPr>
      <w:shd w:val="clear" w:color="auto" w:fill="FFFFFF"/>
      <w:spacing w:line="240" w:lineRule="atLeast"/>
      <w:jc w:val="both"/>
    </w:pPr>
    <w:rPr>
      <w:b/>
      <w:bCs/>
      <w:i/>
      <w:iCs/>
      <w:spacing w:val="20"/>
      <w:sz w:val="19"/>
      <w:szCs w:val="19"/>
    </w:rPr>
  </w:style>
  <w:style w:type="paragraph" w:customStyle="1" w:styleId="4810">
    <w:name w:val="Подпись к картинке (48)1"/>
    <w:basedOn w:val="a2"/>
    <w:link w:val="483"/>
    <w:uiPriority w:val="99"/>
    <w:rsid w:val="00601A94"/>
    <w:pPr>
      <w:shd w:val="clear" w:color="auto" w:fill="FFFFFF"/>
      <w:spacing w:line="120" w:lineRule="exact"/>
    </w:pPr>
    <w:rPr>
      <w:sz w:val="9"/>
      <w:szCs w:val="9"/>
    </w:rPr>
  </w:style>
  <w:style w:type="paragraph" w:customStyle="1" w:styleId="2192">
    <w:name w:val="Основной текст (219)"/>
    <w:basedOn w:val="a2"/>
    <w:link w:val="2191"/>
    <w:uiPriority w:val="99"/>
    <w:rsid w:val="00601A94"/>
    <w:pPr>
      <w:shd w:val="clear" w:color="auto" w:fill="FFFFFF"/>
      <w:spacing w:line="240" w:lineRule="atLeast"/>
    </w:pPr>
    <w:rPr>
      <w:rFonts w:ascii="Arial" w:hAnsi="Arial" w:cs="Arial"/>
      <w:i/>
      <w:iCs/>
      <w:spacing w:val="10"/>
      <w:sz w:val="9"/>
      <w:szCs w:val="9"/>
    </w:rPr>
  </w:style>
  <w:style w:type="paragraph" w:customStyle="1" w:styleId="4710">
    <w:name w:val="Подпись к картинке (47)1"/>
    <w:basedOn w:val="a2"/>
    <w:link w:val="474"/>
    <w:uiPriority w:val="99"/>
    <w:rsid w:val="00601A94"/>
    <w:pPr>
      <w:shd w:val="clear" w:color="auto" w:fill="FFFFFF"/>
      <w:spacing w:line="240" w:lineRule="atLeast"/>
    </w:pPr>
    <w:rPr>
      <w:sz w:val="12"/>
      <w:szCs w:val="12"/>
    </w:rPr>
  </w:style>
  <w:style w:type="character" w:customStyle="1" w:styleId="6520">
    <w:name w:val="Заголовок №6 (5)2"/>
    <w:uiPriority w:val="99"/>
    <w:rsid w:val="00601A94"/>
    <w:rPr>
      <w:rFonts w:ascii="Times New Roman" w:hAnsi="Times New Roman" w:cs="Times New Roman"/>
      <w:b/>
      <w:bCs/>
      <w:sz w:val="25"/>
      <w:szCs w:val="25"/>
      <w:shd w:val="clear" w:color="auto" w:fill="FFFFFF"/>
    </w:rPr>
  </w:style>
  <w:style w:type="paragraph" w:customStyle="1" w:styleId="6510">
    <w:name w:val="Заголовок №6 (5)1"/>
    <w:basedOn w:val="a2"/>
    <w:uiPriority w:val="99"/>
    <w:rsid w:val="00601A94"/>
    <w:pPr>
      <w:shd w:val="clear" w:color="auto" w:fill="FFFFFF"/>
      <w:spacing w:after="300" w:line="326" w:lineRule="exact"/>
      <w:jc w:val="both"/>
      <w:outlineLvl w:val="5"/>
    </w:pPr>
    <w:rPr>
      <w:b/>
      <w:bCs/>
      <w:sz w:val="25"/>
      <w:szCs w:val="25"/>
    </w:rPr>
  </w:style>
  <w:style w:type="character" w:customStyle="1" w:styleId="10f6">
    <w:name w:val="Основной текст + Полужирный10"/>
    <w:aliases w:val="Курсив112"/>
    <w:uiPriority w:val="99"/>
    <w:rsid w:val="00601A94"/>
    <w:rPr>
      <w:rFonts w:ascii="Times New Roman" w:hAnsi="Times New Roman" w:cs="Times New Roman"/>
      <w:b/>
      <w:bCs/>
      <w:i/>
      <w:iCs/>
      <w:color w:val="00000A"/>
      <w:spacing w:val="0"/>
      <w:sz w:val="25"/>
      <w:szCs w:val="25"/>
      <w:shd w:val="clear" w:color="auto" w:fill="FFFFFF"/>
      <w:lang w:eastAsia="zh-CN"/>
    </w:rPr>
  </w:style>
  <w:style w:type="character" w:customStyle="1" w:styleId="527">
    <w:name w:val="Основной текст (52) + Не полужирный"/>
    <w:uiPriority w:val="99"/>
    <w:rsid w:val="00601A94"/>
    <w:rPr>
      <w:rFonts w:cs="Times New Roman"/>
      <w:b/>
      <w:bCs/>
      <w:spacing w:val="0"/>
      <w:shd w:val="clear" w:color="auto" w:fill="FFFFFF"/>
    </w:rPr>
  </w:style>
  <w:style w:type="character" w:customStyle="1" w:styleId="2640">
    <w:name w:val="Основной текст (264)_"/>
    <w:link w:val="2641"/>
    <w:uiPriority w:val="99"/>
    <w:locked/>
    <w:rsid w:val="00601A94"/>
    <w:rPr>
      <w:rFonts w:cs="Times New Roman"/>
      <w:shd w:val="clear" w:color="auto" w:fill="FFFFFF"/>
    </w:rPr>
  </w:style>
  <w:style w:type="character" w:customStyle="1" w:styleId="264Arial">
    <w:name w:val="Основной текст (264) + Arial"/>
    <w:aliases w:val="8 pt1,Курсив19"/>
    <w:uiPriority w:val="99"/>
    <w:rsid w:val="00601A94"/>
    <w:rPr>
      <w:rFonts w:ascii="Arial" w:hAnsi="Arial" w:cs="Arial"/>
      <w:i/>
      <w:iCs/>
      <w:sz w:val="16"/>
      <w:szCs w:val="16"/>
      <w:shd w:val="clear" w:color="auto" w:fill="FFFFFF"/>
    </w:rPr>
  </w:style>
  <w:style w:type="paragraph" w:customStyle="1" w:styleId="914">
    <w:name w:val="Заголовок №91"/>
    <w:basedOn w:val="a2"/>
    <w:uiPriority w:val="99"/>
    <w:rsid w:val="00601A94"/>
    <w:pPr>
      <w:shd w:val="clear" w:color="auto" w:fill="FFFFFF"/>
      <w:spacing w:after="300" w:line="240" w:lineRule="atLeast"/>
      <w:ind w:hanging="480"/>
      <w:outlineLvl w:val="8"/>
    </w:pPr>
    <w:rPr>
      <w:sz w:val="25"/>
      <w:szCs w:val="25"/>
    </w:rPr>
  </w:style>
  <w:style w:type="paragraph" w:customStyle="1" w:styleId="2641">
    <w:name w:val="Основной текст (264)"/>
    <w:basedOn w:val="a2"/>
    <w:link w:val="2640"/>
    <w:uiPriority w:val="99"/>
    <w:rsid w:val="00601A94"/>
    <w:pPr>
      <w:shd w:val="clear" w:color="auto" w:fill="FFFFFF"/>
      <w:spacing w:line="202" w:lineRule="exact"/>
    </w:pPr>
  </w:style>
  <w:style w:type="table" w:customStyle="1" w:styleId="11211">
    <w:name w:val="Сетка таблицы1121"/>
    <w:uiPriority w:val="99"/>
    <w:rsid w:val="00601A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1pt1">
    <w:name w:val="Основной текст (3) + 11 pt1"/>
    <w:aliases w:val="Полужирный1"/>
    <w:uiPriority w:val="99"/>
    <w:rsid w:val="00601A94"/>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5TimesNewRoman">
    <w:name w:val="Основной текст (5) + Times New Roman"/>
    <w:aliases w:val="7 pt1"/>
    <w:uiPriority w:val="99"/>
    <w:rsid w:val="00601A94"/>
    <w:rPr>
      <w:rFonts w:ascii="Times New Roman" w:hAnsi="Times New Roman" w:cs="Times New Roman"/>
      <w:b/>
      <w:bCs/>
      <w:color w:val="000000"/>
      <w:spacing w:val="0"/>
      <w:w w:val="100"/>
      <w:position w:val="0"/>
      <w:sz w:val="14"/>
      <w:szCs w:val="14"/>
      <w:u w:val="none"/>
      <w:shd w:val="clear" w:color="auto" w:fill="FFFFFF"/>
      <w:lang w:val="ru-RU" w:eastAsia="ru-RU"/>
    </w:rPr>
  </w:style>
  <w:style w:type="character" w:customStyle="1" w:styleId="574">
    <w:name w:val="Основной текст (5) + 7"/>
    <w:aliases w:val="5 pt4"/>
    <w:uiPriority w:val="99"/>
    <w:rsid w:val="00601A94"/>
    <w:rPr>
      <w:rFonts w:ascii="Trebuchet MS" w:hAnsi="Trebuchet MS" w:cs="Trebuchet MS"/>
      <w:b/>
      <w:bCs/>
      <w:color w:val="000000"/>
      <w:spacing w:val="0"/>
      <w:w w:val="100"/>
      <w:position w:val="0"/>
      <w:sz w:val="15"/>
      <w:szCs w:val="15"/>
      <w:u w:val="none"/>
      <w:shd w:val="clear" w:color="auto" w:fill="FFFFFF"/>
      <w:lang w:val="en-US" w:eastAsia="en-US"/>
    </w:rPr>
  </w:style>
  <w:style w:type="table" w:customStyle="1" w:styleId="4370">
    <w:name w:val="Сетка таблицы437"/>
    <w:uiPriority w:val="99"/>
    <w:rsid w:val="00C25345"/>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8">
    <w:name w:val="Сетка таблицы438"/>
    <w:uiPriority w:val="99"/>
    <w:rsid w:val="00C25345"/>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uiPriority w:val="99"/>
    <w:rsid w:val="00C253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9">
    <w:name w:val="Сетка таблицы439"/>
    <w:uiPriority w:val="99"/>
    <w:rsid w:val="00D42F97"/>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0">
    <w:name w:val="Сетка таблицы440"/>
    <w:uiPriority w:val="99"/>
    <w:rsid w:val="00D42F97"/>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0">
    <w:name w:val="Сетка таблицы442"/>
    <w:uiPriority w:val="99"/>
    <w:rsid w:val="00D42F97"/>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uiPriority w:val="99"/>
    <w:rsid w:val="00D42F97"/>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4"/>
    <w:uiPriority w:val="99"/>
    <w:rsid w:val="00DA1F45"/>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uiPriority w:val="99"/>
    <w:rsid w:val="00DA1F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3">
    <w:name w:val="WW-Основной текст с отступом 3"/>
    <w:basedOn w:val="a2"/>
    <w:uiPriority w:val="99"/>
    <w:rsid w:val="00B9786B"/>
    <w:pPr>
      <w:suppressAutoHyphens/>
      <w:spacing w:line="360" w:lineRule="auto"/>
      <w:ind w:firstLine="709"/>
      <w:jc w:val="both"/>
    </w:pPr>
    <w:rPr>
      <w:sz w:val="28"/>
      <w:lang w:eastAsia="ar-SA"/>
    </w:rPr>
  </w:style>
  <w:style w:type="paragraph" w:customStyle="1" w:styleId="WW-2">
    <w:name w:val="WW-Основной текст с отступом 2"/>
    <w:basedOn w:val="a2"/>
    <w:uiPriority w:val="99"/>
    <w:rsid w:val="00B9786B"/>
    <w:pPr>
      <w:suppressAutoHyphens/>
      <w:spacing w:line="360" w:lineRule="auto"/>
      <w:ind w:firstLine="708"/>
      <w:jc w:val="both"/>
    </w:pPr>
    <w:rPr>
      <w:sz w:val="28"/>
      <w:szCs w:val="24"/>
      <w:lang w:eastAsia="ar-SA"/>
    </w:rPr>
  </w:style>
  <w:style w:type="paragraph" w:customStyle="1" w:styleId="BodyTextIndent21">
    <w:name w:val="Body Text Indent 21"/>
    <w:basedOn w:val="a2"/>
    <w:uiPriority w:val="99"/>
    <w:rsid w:val="00B9786B"/>
    <w:pPr>
      <w:widowControl w:val="0"/>
      <w:suppressAutoHyphens/>
      <w:overflowPunct w:val="0"/>
      <w:autoSpaceDE w:val="0"/>
      <w:ind w:firstLine="426"/>
      <w:textAlignment w:val="baseline"/>
    </w:pPr>
    <w:rPr>
      <w:sz w:val="28"/>
      <w:lang w:eastAsia="ar-SA"/>
    </w:rPr>
  </w:style>
  <w:style w:type="paragraph" w:customStyle="1" w:styleId="Iauiue">
    <w:name w:val="Iau?iue"/>
    <w:uiPriority w:val="99"/>
    <w:rsid w:val="00B9786B"/>
    <w:pPr>
      <w:widowControl w:val="0"/>
      <w:spacing w:line="439" w:lineRule="auto"/>
      <w:ind w:firstLine="720"/>
      <w:jc w:val="both"/>
    </w:pPr>
    <w:rPr>
      <w:sz w:val="28"/>
    </w:rPr>
  </w:style>
  <w:style w:type="paragraph" w:customStyle="1" w:styleId="Iniiaiieoaeno">
    <w:name w:val="Iniiaiie oaeno"/>
    <w:basedOn w:val="Iauiue"/>
    <w:uiPriority w:val="99"/>
    <w:rsid w:val="00B9786B"/>
    <w:pPr>
      <w:spacing w:line="240" w:lineRule="auto"/>
      <w:ind w:right="113" w:firstLine="0"/>
    </w:pPr>
  </w:style>
  <w:style w:type="paragraph" w:customStyle="1" w:styleId="WW-30">
    <w:name w:val="WW-Основной текст 3"/>
    <w:basedOn w:val="a2"/>
    <w:uiPriority w:val="99"/>
    <w:rsid w:val="00B9786B"/>
    <w:pPr>
      <w:suppressAutoHyphens/>
      <w:spacing w:line="360" w:lineRule="auto"/>
      <w:jc w:val="both"/>
    </w:pPr>
    <w:rPr>
      <w:sz w:val="28"/>
      <w:szCs w:val="24"/>
      <w:lang w:eastAsia="ar-SA"/>
    </w:rPr>
  </w:style>
  <w:style w:type="paragraph" w:customStyle="1" w:styleId="Pa6">
    <w:name w:val="Pa6"/>
    <w:basedOn w:val="a2"/>
    <w:next w:val="a2"/>
    <w:uiPriority w:val="99"/>
    <w:rsid w:val="00B9786B"/>
    <w:pPr>
      <w:autoSpaceDE w:val="0"/>
      <w:autoSpaceDN w:val="0"/>
      <w:adjustRightInd w:val="0"/>
      <w:spacing w:line="221" w:lineRule="atLeast"/>
    </w:pPr>
    <w:rPr>
      <w:sz w:val="24"/>
      <w:szCs w:val="24"/>
    </w:rPr>
  </w:style>
  <w:style w:type="paragraph" w:customStyle="1" w:styleId="Pa7">
    <w:name w:val="Pa7"/>
    <w:basedOn w:val="a2"/>
    <w:next w:val="a2"/>
    <w:uiPriority w:val="99"/>
    <w:rsid w:val="00B9786B"/>
    <w:pPr>
      <w:autoSpaceDE w:val="0"/>
      <w:autoSpaceDN w:val="0"/>
      <w:adjustRightInd w:val="0"/>
      <w:spacing w:line="221" w:lineRule="atLeast"/>
    </w:pPr>
    <w:rPr>
      <w:sz w:val="24"/>
      <w:szCs w:val="24"/>
    </w:rPr>
  </w:style>
  <w:style w:type="character" w:customStyle="1" w:styleId="21f2">
    <w:name w:val="Знак Знак21"/>
    <w:uiPriority w:val="99"/>
    <w:rsid w:val="00B9786B"/>
    <w:rPr>
      <w:lang w:val="ru-RU" w:eastAsia="ru-RU"/>
    </w:rPr>
  </w:style>
  <w:style w:type="paragraph" w:customStyle="1" w:styleId="Pa10">
    <w:name w:val="Pa10"/>
    <w:basedOn w:val="a2"/>
    <w:next w:val="a2"/>
    <w:uiPriority w:val="99"/>
    <w:rsid w:val="00B9786B"/>
    <w:pPr>
      <w:autoSpaceDE w:val="0"/>
      <w:autoSpaceDN w:val="0"/>
      <w:adjustRightInd w:val="0"/>
      <w:spacing w:line="221" w:lineRule="atLeast"/>
    </w:pPr>
    <w:rPr>
      <w:sz w:val="24"/>
      <w:szCs w:val="24"/>
    </w:rPr>
  </w:style>
  <w:style w:type="character" w:customStyle="1" w:styleId="1e">
    <w:name w:val="Стиль1 Знак"/>
    <w:link w:val="1d"/>
    <w:uiPriority w:val="99"/>
    <w:locked/>
    <w:rsid w:val="00B9786B"/>
    <w:rPr>
      <w:rFonts w:ascii="a_Timer" w:hAnsi="a_Timer"/>
      <w:sz w:val="22"/>
      <w:lang w:val="en-US"/>
    </w:rPr>
  </w:style>
  <w:style w:type="character" w:customStyle="1" w:styleId="2fff">
    <w:name w:val="Стиль2 Знак"/>
    <w:link w:val="2ffe"/>
    <w:uiPriority w:val="99"/>
    <w:locked/>
    <w:rsid w:val="00B9786B"/>
    <w:rPr>
      <w:sz w:val="28"/>
    </w:rPr>
  </w:style>
  <w:style w:type="paragraph" w:customStyle="1" w:styleId="3ff">
    <w:name w:val="Без интервала3"/>
    <w:autoRedefine/>
    <w:uiPriority w:val="99"/>
    <w:rsid w:val="00B9786B"/>
    <w:rPr>
      <w:color w:val="000000"/>
      <w:sz w:val="22"/>
    </w:rPr>
  </w:style>
  <w:style w:type="paragraph" w:customStyle="1" w:styleId="2fff4">
    <w:name w:val="Основной текст с отступом.Основной текст 2 Знак Знак Знак Знак Знак Знак Знак Знак"/>
    <w:basedOn w:val="a2"/>
    <w:uiPriority w:val="99"/>
    <w:rsid w:val="00B9786B"/>
    <w:pPr>
      <w:widowControl w:val="0"/>
      <w:autoSpaceDE w:val="0"/>
      <w:autoSpaceDN w:val="0"/>
      <w:jc w:val="both"/>
    </w:pPr>
    <w:rPr>
      <w:sz w:val="24"/>
      <w:szCs w:val="24"/>
    </w:rPr>
  </w:style>
  <w:style w:type="paragraph" w:customStyle="1" w:styleId="WW-0">
    <w:name w:val="WW-Красная строка"/>
    <w:basedOn w:val="af6"/>
    <w:uiPriority w:val="99"/>
    <w:rsid w:val="00B9786B"/>
    <w:pPr>
      <w:suppressAutoHyphens/>
      <w:ind w:firstLine="283"/>
      <w:jc w:val="center"/>
    </w:pPr>
    <w:rPr>
      <w:b/>
      <w:szCs w:val="20"/>
      <w:lang w:eastAsia="ar-SA"/>
    </w:rPr>
  </w:style>
  <w:style w:type="paragraph" w:customStyle="1" w:styleId="1ffff2">
    <w:name w:val="оглавление 1"/>
    <w:basedOn w:val="a2"/>
    <w:next w:val="a2"/>
    <w:uiPriority w:val="99"/>
    <w:rsid w:val="00B9786B"/>
    <w:pPr>
      <w:tabs>
        <w:tab w:val="right" w:leader="dot" w:pos="9412"/>
      </w:tabs>
      <w:spacing w:before="120" w:after="120"/>
    </w:pPr>
    <w:rPr>
      <w:b/>
      <w:caps/>
    </w:rPr>
  </w:style>
  <w:style w:type="paragraph" w:customStyle="1" w:styleId="16f0">
    <w:name w:val="Основной текст16"/>
    <w:basedOn w:val="a2"/>
    <w:uiPriority w:val="99"/>
    <w:rsid w:val="00B9786B"/>
    <w:pPr>
      <w:shd w:val="clear" w:color="auto" w:fill="FFFFFF"/>
      <w:spacing w:before="120" w:line="288" w:lineRule="exact"/>
      <w:ind w:hanging="320"/>
      <w:jc w:val="both"/>
    </w:pPr>
    <w:rPr>
      <w:sz w:val="21"/>
      <w:szCs w:val="21"/>
    </w:rPr>
  </w:style>
  <w:style w:type="character" w:customStyle="1" w:styleId="11fa">
    <w:name w:val="Основной текст11"/>
    <w:uiPriority w:val="99"/>
    <w:rsid w:val="00B9786B"/>
    <w:rPr>
      <w:rFonts w:ascii="Times New Roman" w:hAnsi="Times New Roman"/>
      <w:spacing w:val="0"/>
      <w:sz w:val="21"/>
    </w:rPr>
  </w:style>
  <w:style w:type="paragraph" w:customStyle="1" w:styleId="msonormal0">
    <w:name w:val="msonormal"/>
    <w:basedOn w:val="a2"/>
    <w:uiPriority w:val="99"/>
    <w:rsid w:val="00B9786B"/>
    <w:pPr>
      <w:spacing w:before="100" w:beforeAutospacing="1" w:after="100" w:afterAutospacing="1"/>
    </w:pPr>
    <w:rPr>
      <w:sz w:val="24"/>
      <w:szCs w:val="24"/>
    </w:rPr>
  </w:style>
  <w:style w:type="paragraph" w:customStyle="1" w:styleId="xl65">
    <w:name w:val="xl65"/>
    <w:basedOn w:val="a2"/>
    <w:uiPriority w:val="99"/>
    <w:rsid w:val="00B9786B"/>
    <w:pPr>
      <w:spacing w:before="100" w:beforeAutospacing="1" w:after="100" w:afterAutospacing="1"/>
    </w:pPr>
    <w:rPr>
      <w:rFonts w:ascii="Arial CYR" w:hAnsi="Arial CYR" w:cs="Arial CYR"/>
      <w:sz w:val="24"/>
      <w:szCs w:val="24"/>
    </w:rPr>
  </w:style>
  <w:style w:type="paragraph" w:customStyle="1" w:styleId="xl66">
    <w:name w:val="xl66"/>
    <w:basedOn w:val="a2"/>
    <w:uiPriority w:val="99"/>
    <w:rsid w:val="00B9786B"/>
    <w:pPr>
      <w:spacing w:before="100" w:beforeAutospacing="1" w:after="100" w:afterAutospacing="1"/>
    </w:pPr>
    <w:rPr>
      <w:rFonts w:ascii="Arial CYR" w:hAnsi="Arial CYR" w:cs="Arial CYR"/>
      <w:sz w:val="16"/>
      <w:szCs w:val="16"/>
    </w:rPr>
  </w:style>
  <w:style w:type="paragraph" w:customStyle="1" w:styleId="xl67">
    <w:name w:val="xl67"/>
    <w:basedOn w:val="a2"/>
    <w:uiPriority w:val="99"/>
    <w:rsid w:val="00B9786B"/>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Arial CYR" w:hAnsi="Arial CYR" w:cs="Arial CYR"/>
      <w:b/>
      <w:bCs/>
      <w:color w:val="000000"/>
      <w:sz w:val="24"/>
      <w:szCs w:val="24"/>
    </w:rPr>
  </w:style>
  <w:style w:type="paragraph" w:customStyle="1" w:styleId="xl68">
    <w:name w:val="xl68"/>
    <w:basedOn w:val="a2"/>
    <w:uiPriority w:val="99"/>
    <w:rsid w:val="00B9786B"/>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Arial CYR" w:hAnsi="Arial CYR" w:cs="Arial CYR"/>
      <w:b/>
      <w:bCs/>
      <w:sz w:val="24"/>
      <w:szCs w:val="24"/>
    </w:rPr>
  </w:style>
  <w:style w:type="paragraph" w:customStyle="1" w:styleId="xl69">
    <w:name w:val="xl69"/>
    <w:basedOn w:val="a2"/>
    <w:uiPriority w:val="99"/>
    <w:rsid w:val="00B9786B"/>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Arial CYR" w:hAnsi="Arial CYR" w:cs="Arial CYR"/>
      <w:b/>
      <w:bCs/>
      <w:sz w:val="16"/>
      <w:szCs w:val="16"/>
    </w:rPr>
  </w:style>
  <w:style w:type="paragraph" w:customStyle="1" w:styleId="xl70">
    <w:name w:val="xl70"/>
    <w:basedOn w:val="a2"/>
    <w:uiPriority w:val="99"/>
    <w:rsid w:val="00B9786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rial CYR" w:hAnsi="Arial CYR" w:cs="Arial CYR"/>
      <w:b/>
      <w:bCs/>
      <w:color w:val="000000"/>
      <w:sz w:val="24"/>
      <w:szCs w:val="24"/>
    </w:rPr>
  </w:style>
  <w:style w:type="paragraph" w:customStyle="1" w:styleId="xl71">
    <w:name w:val="xl71"/>
    <w:basedOn w:val="a2"/>
    <w:uiPriority w:val="99"/>
    <w:rsid w:val="00B9786B"/>
    <w:pPr>
      <w:pBdr>
        <w:top w:val="single" w:sz="4" w:space="0" w:color="auto"/>
        <w:left w:val="single" w:sz="4" w:space="0" w:color="auto"/>
        <w:right w:val="single" w:sz="4" w:space="0" w:color="auto"/>
      </w:pBdr>
      <w:shd w:val="clear" w:color="000000" w:fill="CCFFCC"/>
      <w:spacing w:before="100" w:beforeAutospacing="1" w:after="100" w:afterAutospacing="1"/>
      <w:textAlignment w:val="top"/>
    </w:pPr>
    <w:rPr>
      <w:rFonts w:ascii="Arial CYR" w:hAnsi="Arial CYR" w:cs="Arial CYR"/>
      <w:b/>
      <w:bCs/>
      <w:sz w:val="24"/>
      <w:szCs w:val="24"/>
    </w:rPr>
  </w:style>
  <w:style w:type="paragraph" w:customStyle="1" w:styleId="xl72">
    <w:name w:val="xl72"/>
    <w:basedOn w:val="a2"/>
    <w:uiPriority w:val="99"/>
    <w:rsid w:val="00B9786B"/>
    <w:pPr>
      <w:pBdr>
        <w:top w:val="single" w:sz="4" w:space="0" w:color="auto"/>
        <w:left w:val="single" w:sz="4" w:space="18" w:color="auto"/>
        <w:bottom w:val="single" w:sz="4" w:space="0" w:color="auto"/>
        <w:right w:val="single" w:sz="4" w:space="0" w:color="auto"/>
      </w:pBdr>
      <w:shd w:val="clear" w:color="000000" w:fill="FFFF99"/>
      <w:spacing w:before="100" w:beforeAutospacing="1" w:after="100" w:afterAutospacing="1"/>
      <w:ind w:firstLineChars="200" w:firstLine="200"/>
    </w:pPr>
    <w:rPr>
      <w:rFonts w:ascii="Arial CYR" w:hAnsi="Arial CYR" w:cs="Arial CYR"/>
      <w:b/>
      <w:bCs/>
      <w:sz w:val="16"/>
      <w:szCs w:val="16"/>
    </w:rPr>
  </w:style>
  <w:style w:type="paragraph" w:customStyle="1" w:styleId="xl73">
    <w:name w:val="xl73"/>
    <w:basedOn w:val="a2"/>
    <w:uiPriority w:val="99"/>
    <w:rsid w:val="00B978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74">
    <w:name w:val="xl74"/>
    <w:basedOn w:val="a2"/>
    <w:uiPriority w:val="99"/>
    <w:rsid w:val="00B9786B"/>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ascii="Arial CYR" w:hAnsi="Arial CYR" w:cs="Arial CYR"/>
      <w:b/>
      <w:bCs/>
      <w:sz w:val="24"/>
      <w:szCs w:val="24"/>
    </w:rPr>
  </w:style>
  <w:style w:type="paragraph" w:customStyle="1" w:styleId="xl75">
    <w:name w:val="xl75"/>
    <w:basedOn w:val="a2"/>
    <w:uiPriority w:val="99"/>
    <w:rsid w:val="00B9786B"/>
    <w:pPr>
      <w:pBdr>
        <w:top w:val="single" w:sz="4" w:space="0" w:color="auto"/>
        <w:left w:val="single" w:sz="4" w:space="18" w:color="auto"/>
        <w:bottom w:val="single" w:sz="4" w:space="0" w:color="auto"/>
        <w:right w:val="single" w:sz="4" w:space="0" w:color="auto"/>
      </w:pBdr>
      <w:shd w:val="clear" w:color="000000" w:fill="FFCC99"/>
      <w:spacing w:before="100" w:beforeAutospacing="1" w:after="100" w:afterAutospacing="1"/>
      <w:ind w:firstLineChars="200" w:firstLine="200"/>
    </w:pPr>
    <w:rPr>
      <w:rFonts w:ascii="Arial CYR" w:hAnsi="Arial CYR" w:cs="Arial CYR"/>
      <w:b/>
      <w:bCs/>
      <w:sz w:val="16"/>
      <w:szCs w:val="16"/>
    </w:rPr>
  </w:style>
  <w:style w:type="paragraph" w:customStyle="1" w:styleId="xl76">
    <w:name w:val="xl76"/>
    <w:basedOn w:val="a2"/>
    <w:uiPriority w:val="99"/>
    <w:rsid w:val="00B9786B"/>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Arial CYR" w:hAnsi="Arial CYR" w:cs="Arial CYR"/>
      <w:b/>
      <w:bCs/>
      <w:sz w:val="16"/>
      <w:szCs w:val="16"/>
    </w:rPr>
  </w:style>
  <w:style w:type="paragraph" w:customStyle="1" w:styleId="xl77">
    <w:name w:val="xl77"/>
    <w:basedOn w:val="a2"/>
    <w:uiPriority w:val="99"/>
    <w:rsid w:val="00B9786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CYR" w:hAnsi="Arial CYR" w:cs="Arial CYR"/>
      <w:b/>
      <w:bCs/>
      <w:color w:val="000000"/>
      <w:sz w:val="24"/>
      <w:szCs w:val="24"/>
    </w:rPr>
  </w:style>
  <w:style w:type="paragraph" w:customStyle="1" w:styleId="xl78">
    <w:name w:val="xl78"/>
    <w:basedOn w:val="a2"/>
    <w:uiPriority w:val="99"/>
    <w:rsid w:val="00B9786B"/>
    <w:pPr>
      <w:pBdr>
        <w:left w:val="single" w:sz="4" w:space="0" w:color="auto"/>
        <w:right w:val="single" w:sz="4" w:space="0" w:color="auto"/>
      </w:pBdr>
      <w:shd w:val="clear" w:color="000000" w:fill="FFFFFF"/>
      <w:spacing w:before="100" w:beforeAutospacing="1" w:after="100" w:afterAutospacing="1"/>
      <w:jc w:val="center"/>
      <w:textAlignment w:val="top"/>
    </w:pPr>
    <w:rPr>
      <w:rFonts w:ascii="Arial CYR" w:hAnsi="Arial CYR" w:cs="Arial CYR"/>
      <w:b/>
      <w:bCs/>
      <w:color w:val="000000"/>
      <w:sz w:val="24"/>
      <w:szCs w:val="24"/>
    </w:rPr>
  </w:style>
  <w:style w:type="paragraph" w:customStyle="1" w:styleId="xl79">
    <w:name w:val="xl79"/>
    <w:basedOn w:val="a2"/>
    <w:uiPriority w:val="99"/>
    <w:rsid w:val="00B9786B"/>
    <w:pPr>
      <w:pBdr>
        <w:top w:val="single" w:sz="4" w:space="0" w:color="auto"/>
        <w:left w:val="single" w:sz="4" w:space="18" w:color="auto"/>
        <w:bottom w:val="single" w:sz="4" w:space="0" w:color="auto"/>
      </w:pBdr>
      <w:shd w:val="clear" w:color="000000" w:fill="FFFF99"/>
      <w:spacing w:before="100" w:beforeAutospacing="1" w:after="100" w:afterAutospacing="1"/>
      <w:ind w:firstLineChars="200" w:firstLine="200"/>
    </w:pPr>
    <w:rPr>
      <w:rFonts w:ascii="Arial CYR" w:hAnsi="Arial CYR" w:cs="Arial CYR"/>
      <w:b/>
      <w:bCs/>
      <w:sz w:val="16"/>
      <w:szCs w:val="16"/>
    </w:rPr>
  </w:style>
  <w:style w:type="paragraph" w:customStyle="1" w:styleId="xl80">
    <w:name w:val="xl80"/>
    <w:basedOn w:val="a2"/>
    <w:uiPriority w:val="99"/>
    <w:rsid w:val="00B9786B"/>
    <w:pPr>
      <w:pBdr>
        <w:left w:val="single" w:sz="4" w:space="0" w:color="auto"/>
        <w:right w:val="single" w:sz="4" w:space="0" w:color="auto"/>
      </w:pBdr>
      <w:shd w:val="clear" w:color="000000" w:fill="CCFFCC"/>
      <w:spacing w:before="100" w:beforeAutospacing="1" w:after="100" w:afterAutospacing="1"/>
      <w:textAlignment w:val="top"/>
    </w:pPr>
    <w:rPr>
      <w:rFonts w:ascii="Arial CYR" w:hAnsi="Arial CYR" w:cs="Arial CYR"/>
      <w:b/>
      <w:bCs/>
      <w:sz w:val="24"/>
      <w:szCs w:val="24"/>
    </w:rPr>
  </w:style>
  <w:style w:type="paragraph" w:customStyle="1" w:styleId="xl81">
    <w:name w:val="xl81"/>
    <w:basedOn w:val="a2"/>
    <w:uiPriority w:val="99"/>
    <w:rsid w:val="00B9786B"/>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rFonts w:ascii="Arial CYR" w:hAnsi="Arial CYR" w:cs="Arial CYR"/>
      <w:b/>
      <w:bCs/>
      <w:sz w:val="24"/>
      <w:szCs w:val="24"/>
    </w:rPr>
  </w:style>
  <w:style w:type="paragraph" w:customStyle="1" w:styleId="xl82">
    <w:name w:val="xl82"/>
    <w:basedOn w:val="a2"/>
    <w:uiPriority w:val="99"/>
    <w:rsid w:val="00B9786B"/>
    <w:pPr>
      <w:pBdr>
        <w:left w:val="single" w:sz="4" w:space="0" w:color="auto"/>
        <w:right w:val="single" w:sz="4" w:space="0" w:color="auto"/>
      </w:pBdr>
      <w:shd w:val="clear" w:color="000000" w:fill="CCFFCC"/>
      <w:spacing w:before="100" w:beforeAutospacing="1" w:after="100" w:afterAutospacing="1"/>
      <w:textAlignment w:val="top"/>
    </w:pPr>
    <w:rPr>
      <w:rFonts w:ascii="Arial CYR" w:hAnsi="Arial CYR" w:cs="Arial CYR"/>
      <w:sz w:val="24"/>
      <w:szCs w:val="24"/>
    </w:rPr>
  </w:style>
  <w:style w:type="paragraph" w:customStyle="1" w:styleId="xl83">
    <w:name w:val="xl83"/>
    <w:basedOn w:val="a2"/>
    <w:uiPriority w:val="99"/>
    <w:rsid w:val="00B9786B"/>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rFonts w:ascii="Arial CYR" w:hAnsi="Arial CYR" w:cs="Arial CYR"/>
      <w:sz w:val="24"/>
      <w:szCs w:val="24"/>
    </w:rPr>
  </w:style>
  <w:style w:type="paragraph" w:customStyle="1" w:styleId="xl84">
    <w:name w:val="xl84"/>
    <w:basedOn w:val="a2"/>
    <w:uiPriority w:val="99"/>
    <w:rsid w:val="00B9786B"/>
    <w:pPr>
      <w:pBdr>
        <w:left w:val="single" w:sz="4" w:space="0" w:color="auto"/>
        <w:right w:val="single" w:sz="4" w:space="0" w:color="auto"/>
      </w:pBdr>
      <w:spacing w:before="100" w:beforeAutospacing="1" w:after="100" w:afterAutospacing="1"/>
      <w:jc w:val="center"/>
      <w:textAlignment w:val="top"/>
    </w:pPr>
    <w:rPr>
      <w:rFonts w:ascii="Arial CYR" w:hAnsi="Arial CYR" w:cs="Arial CYR"/>
      <w:b/>
      <w:bCs/>
      <w:color w:val="000000"/>
      <w:sz w:val="24"/>
      <w:szCs w:val="24"/>
    </w:rPr>
  </w:style>
  <w:style w:type="paragraph" w:customStyle="1" w:styleId="xl85">
    <w:name w:val="xl85"/>
    <w:basedOn w:val="a2"/>
    <w:uiPriority w:val="99"/>
    <w:rsid w:val="00B9786B"/>
    <w:pPr>
      <w:shd w:val="clear" w:color="000000" w:fill="FFFF99"/>
      <w:spacing w:before="100" w:beforeAutospacing="1" w:after="100" w:afterAutospacing="1"/>
    </w:pPr>
    <w:rPr>
      <w:b/>
      <w:bCs/>
      <w:sz w:val="18"/>
      <w:szCs w:val="18"/>
    </w:rPr>
  </w:style>
  <w:style w:type="paragraph" w:customStyle="1" w:styleId="xl86">
    <w:name w:val="xl86"/>
    <w:basedOn w:val="a2"/>
    <w:uiPriority w:val="99"/>
    <w:rsid w:val="00B9786B"/>
    <w:pPr>
      <w:pBdr>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sz w:val="24"/>
      <w:szCs w:val="24"/>
    </w:rPr>
  </w:style>
  <w:style w:type="paragraph" w:customStyle="1" w:styleId="xl87">
    <w:name w:val="xl87"/>
    <w:basedOn w:val="a2"/>
    <w:uiPriority w:val="99"/>
    <w:rsid w:val="00B9786B"/>
    <w:pPr>
      <w:pBdr>
        <w:top w:val="single" w:sz="4" w:space="0" w:color="auto"/>
        <w:left w:val="single" w:sz="4" w:space="0" w:color="auto"/>
        <w:right w:val="single" w:sz="4" w:space="0" w:color="auto"/>
      </w:pBdr>
      <w:shd w:val="clear" w:color="000000" w:fill="CCFFCC"/>
      <w:spacing w:before="100" w:beforeAutospacing="1" w:after="100" w:afterAutospacing="1"/>
      <w:textAlignment w:val="top"/>
    </w:pPr>
    <w:rPr>
      <w:rFonts w:ascii="Arial CYR" w:hAnsi="Arial CYR" w:cs="Arial CYR"/>
      <w:b/>
      <w:bCs/>
      <w:sz w:val="24"/>
      <w:szCs w:val="24"/>
    </w:rPr>
  </w:style>
  <w:style w:type="paragraph" w:customStyle="1" w:styleId="xl88">
    <w:name w:val="xl88"/>
    <w:basedOn w:val="a2"/>
    <w:uiPriority w:val="99"/>
    <w:rsid w:val="00B9786B"/>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rFonts w:ascii="Arial CYR" w:hAnsi="Arial CYR" w:cs="Arial CYR"/>
      <w:b/>
      <w:bCs/>
      <w:sz w:val="24"/>
      <w:szCs w:val="24"/>
    </w:rPr>
  </w:style>
  <w:style w:type="paragraph" w:customStyle="1" w:styleId="xl89">
    <w:name w:val="xl89"/>
    <w:basedOn w:val="a2"/>
    <w:uiPriority w:val="99"/>
    <w:rsid w:val="00B9786B"/>
    <w:pPr>
      <w:pBdr>
        <w:left w:val="single" w:sz="4" w:space="0" w:color="auto"/>
        <w:right w:val="single" w:sz="4" w:space="0" w:color="auto"/>
      </w:pBdr>
      <w:spacing w:before="100" w:beforeAutospacing="1" w:after="100" w:afterAutospacing="1"/>
      <w:textAlignment w:val="top"/>
    </w:pPr>
    <w:rPr>
      <w:rFonts w:ascii="Arial CYR" w:hAnsi="Arial CYR" w:cs="Arial CYR"/>
      <w:sz w:val="24"/>
      <w:szCs w:val="24"/>
    </w:rPr>
  </w:style>
  <w:style w:type="paragraph" w:customStyle="1" w:styleId="xl90">
    <w:name w:val="xl90"/>
    <w:basedOn w:val="a2"/>
    <w:uiPriority w:val="99"/>
    <w:rsid w:val="00B9786B"/>
    <w:pPr>
      <w:pBdr>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sz w:val="24"/>
      <w:szCs w:val="24"/>
    </w:rPr>
  </w:style>
  <w:style w:type="paragraph" w:customStyle="1" w:styleId="xl91">
    <w:name w:val="xl91"/>
    <w:basedOn w:val="a2"/>
    <w:uiPriority w:val="99"/>
    <w:rsid w:val="00B9786B"/>
    <w:pPr>
      <w:pBdr>
        <w:top w:val="single" w:sz="4" w:space="0" w:color="auto"/>
        <w:left w:val="single" w:sz="4" w:space="0" w:color="auto"/>
        <w:right w:val="single" w:sz="4" w:space="0" w:color="auto"/>
      </w:pBdr>
      <w:spacing w:before="100" w:beforeAutospacing="1" w:after="100" w:afterAutospacing="1"/>
      <w:jc w:val="center"/>
      <w:textAlignment w:val="top"/>
    </w:pPr>
    <w:rPr>
      <w:rFonts w:ascii="Arial CYR" w:hAnsi="Arial CYR" w:cs="Arial CYR"/>
      <w:b/>
      <w:bCs/>
      <w:color w:val="000000"/>
      <w:sz w:val="24"/>
      <w:szCs w:val="24"/>
    </w:rPr>
  </w:style>
  <w:style w:type="paragraph" w:customStyle="1" w:styleId="xl92">
    <w:name w:val="xl92"/>
    <w:basedOn w:val="a2"/>
    <w:uiPriority w:val="99"/>
    <w:rsid w:val="00B9786B"/>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b/>
      <w:bCs/>
      <w:color w:val="000000"/>
      <w:sz w:val="24"/>
      <w:szCs w:val="24"/>
    </w:rPr>
  </w:style>
  <w:style w:type="paragraph" w:customStyle="1" w:styleId="xl93">
    <w:name w:val="xl93"/>
    <w:basedOn w:val="a2"/>
    <w:uiPriority w:val="99"/>
    <w:rsid w:val="00B9786B"/>
    <w:pPr>
      <w:pBdr>
        <w:left w:val="single" w:sz="4" w:space="0" w:color="auto"/>
        <w:right w:val="single" w:sz="4" w:space="0" w:color="auto"/>
      </w:pBdr>
      <w:spacing w:before="100" w:beforeAutospacing="1" w:after="100" w:afterAutospacing="1"/>
      <w:textAlignment w:val="top"/>
    </w:pPr>
    <w:rPr>
      <w:rFonts w:ascii="Arial CYR" w:hAnsi="Arial CYR" w:cs="Arial CYR"/>
      <w:sz w:val="24"/>
      <w:szCs w:val="24"/>
    </w:rPr>
  </w:style>
  <w:style w:type="paragraph" w:customStyle="1" w:styleId="xl94">
    <w:name w:val="xl94"/>
    <w:basedOn w:val="a2"/>
    <w:uiPriority w:val="99"/>
    <w:rsid w:val="00B9786B"/>
    <w:pPr>
      <w:pBdr>
        <w:left w:val="single" w:sz="4" w:space="0" w:color="auto"/>
        <w:right w:val="single" w:sz="4" w:space="0" w:color="auto"/>
      </w:pBdr>
      <w:shd w:val="clear" w:color="000000" w:fill="CCFFCC"/>
      <w:spacing w:before="100" w:beforeAutospacing="1" w:after="100" w:afterAutospacing="1"/>
      <w:textAlignment w:val="top"/>
    </w:pPr>
    <w:rPr>
      <w:rFonts w:ascii="Arial CYR" w:hAnsi="Arial CYR" w:cs="Arial CYR"/>
      <w:b/>
      <w:bCs/>
      <w:sz w:val="24"/>
      <w:szCs w:val="24"/>
    </w:rPr>
  </w:style>
  <w:style w:type="paragraph" w:customStyle="1" w:styleId="xl95">
    <w:name w:val="xl95"/>
    <w:basedOn w:val="a2"/>
    <w:uiPriority w:val="99"/>
    <w:rsid w:val="00B9786B"/>
    <w:pPr>
      <w:pBdr>
        <w:left w:val="single" w:sz="4" w:space="0" w:color="auto"/>
        <w:right w:val="single" w:sz="4" w:space="0" w:color="auto"/>
      </w:pBdr>
      <w:spacing w:before="100" w:beforeAutospacing="1" w:after="100" w:afterAutospacing="1"/>
      <w:jc w:val="center"/>
      <w:textAlignment w:val="top"/>
    </w:pPr>
    <w:rPr>
      <w:rFonts w:ascii="Arial CYR" w:hAnsi="Arial CYR" w:cs="Arial CYR"/>
      <w:sz w:val="24"/>
      <w:szCs w:val="24"/>
    </w:rPr>
  </w:style>
  <w:style w:type="paragraph" w:customStyle="1" w:styleId="xl96">
    <w:name w:val="xl96"/>
    <w:basedOn w:val="a2"/>
    <w:uiPriority w:val="99"/>
    <w:rsid w:val="00B9786B"/>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sz w:val="24"/>
      <w:szCs w:val="24"/>
    </w:rPr>
  </w:style>
  <w:style w:type="paragraph" w:customStyle="1" w:styleId="xl63">
    <w:name w:val="xl63"/>
    <w:basedOn w:val="a2"/>
    <w:uiPriority w:val="99"/>
    <w:rsid w:val="00B9786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4"/>
      <w:szCs w:val="24"/>
    </w:rPr>
  </w:style>
  <w:style w:type="paragraph" w:customStyle="1" w:styleId="xl64">
    <w:name w:val="xl64"/>
    <w:basedOn w:val="a2"/>
    <w:uiPriority w:val="99"/>
    <w:rsid w:val="00B9786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7">
    <w:name w:val="xl97"/>
    <w:basedOn w:val="a2"/>
    <w:uiPriority w:val="99"/>
    <w:rsid w:val="00B9786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sz w:val="16"/>
      <w:szCs w:val="16"/>
    </w:rPr>
  </w:style>
  <w:style w:type="paragraph" w:customStyle="1" w:styleId="xl98">
    <w:name w:val="xl98"/>
    <w:basedOn w:val="a2"/>
    <w:uiPriority w:val="99"/>
    <w:rsid w:val="00B9786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table" w:customStyle="1" w:styleId="445">
    <w:name w:val="Сетка таблицы445"/>
    <w:uiPriority w:val="99"/>
    <w:rsid w:val="00B978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4">
    <w:name w:val="Без интервала4"/>
    <w:autoRedefine/>
    <w:uiPriority w:val="99"/>
    <w:rsid w:val="009241C9"/>
    <w:rPr>
      <w:color w:val="000000"/>
      <w:sz w:val="22"/>
    </w:rPr>
  </w:style>
  <w:style w:type="table" w:customStyle="1" w:styleId="446">
    <w:name w:val="Сетка таблицы446"/>
    <w:uiPriority w:val="99"/>
    <w:rsid w:val="009241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7">
    <w:name w:val="Сетка таблицы447"/>
    <w:uiPriority w:val="99"/>
    <w:rsid w:val="00307852"/>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0">
    <w:name w:val="Default Знак"/>
    <w:link w:val="Default"/>
    <w:uiPriority w:val="99"/>
    <w:locked/>
    <w:rsid w:val="00F9488A"/>
    <w:rPr>
      <w:color w:val="000000"/>
      <w:sz w:val="22"/>
    </w:rPr>
  </w:style>
  <w:style w:type="character" w:customStyle="1" w:styleId="font141">
    <w:name w:val="font141"/>
    <w:uiPriority w:val="99"/>
    <w:rsid w:val="00F9488A"/>
    <w:rPr>
      <w:rFonts w:ascii="Garamond" w:hAnsi="Garamond"/>
      <w:sz w:val="28"/>
    </w:rPr>
  </w:style>
  <w:style w:type="character" w:customStyle="1" w:styleId="notranslate">
    <w:name w:val="notranslate"/>
    <w:uiPriority w:val="99"/>
    <w:rsid w:val="00F9488A"/>
  </w:style>
  <w:style w:type="character" w:customStyle="1" w:styleId="lobst1">
    <w:name w:val="lobst1"/>
    <w:uiPriority w:val="99"/>
    <w:rsid w:val="00F9488A"/>
    <w:rPr>
      <w:rFonts w:ascii="Lobster" w:hAnsi="Lobster"/>
    </w:rPr>
  </w:style>
  <w:style w:type="character" w:customStyle="1" w:styleId="opensans1">
    <w:name w:val="opensans1"/>
    <w:uiPriority w:val="99"/>
    <w:rsid w:val="00F9488A"/>
    <w:rPr>
      <w:rFonts w:ascii="Open Sans Condensed" w:hAnsi="Open Sans Condensed"/>
      <w:b/>
    </w:rPr>
  </w:style>
  <w:style w:type="character" w:customStyle="1" w:styleId="articleseparator">
    <w:name w:val="article_separator"/>
    <w:uiPriority w:val="99"/>
    <w:rsid w:val="00F9488A"/>
    <w:rPr>
      <w:rFonts w:cs="Times New Roman"/>
    </w:rPr>
  </w:style>
  <w:style w:type="paragraph" w:customStyle="1" w:styleId="7e">
    <w:name w:val="Абзац списка7"/>
    <w:basedOn w:val="a2"/>
    <w:uiPriority w:val="99"/>
    <w:rsid w:val="00F9488A"/>
    <w:pPr>
      <w:spacing w:after="200" w:line="276" w:lineRule="auto"/>
      <w:ind w:left="720"/>
      <w:contextualSpacing/>
    </w:pPr>
    <w:rPr>
      <w:rFonts w:ascii="Calibri" w:hAnsi="Calibri"/>
      <w:sz w:val="22"/>
      <w:szCs w:val="22"/>
      <w:lang w:eastAsia="en-US"/>
    </w:rPr>
  </w:style>
  <w:style w:type="table" w:customStyle="1" w:styleId="448">
    <w:name w:val="Сетка таблицы448"/>
    <w:uiPriority w:val="99"/>
    <w:rsid w:val="00F948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9">
    <w:name w:val="Сетка таблицы449"/>
    <w:uiPriority w:val="99"/>
    <w:rsid w:val="00C502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0">
    <w:name w:val="Сетка таблицы450"/>
    <w:uiPriority w:val="99"/>
    <w:rsid w:val="00586BC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
    <w:uiPriority w:val="99"/>
    <w:rsid w:val="00586BC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4c">
    <w:name w:val="Основной текст (3)4"/>
    <w:uiPriority w:val="99"/>
    <w:rsid w:val="00586BCF"/>
    <w:rPr>
      <w:rFonts w:ascii="Times New Roman" w:hAnsi="Times New Roman" w:cs="Times New Roman"/>
      <w:b/>
      <w:bCs/>
      <w:sz w:val="20"/>
      <w:szCs w:val="20"/>
      <w:shd w:val="clear" w:color="auto" w:fill="FFFFFF"/>
    </w:rPr>
  </w:style>
  <w:style w:type="character" w:customStyle="1" w:styleId="Constantia">
    <w:name w:val="Основной текст + Constantia"/>
    <w:aliases w:val="82,5 pt3"/>
    <w:uiPriority w:val="99"/>
    <w:rsid w:val="00586BCF"/>
    <w:rPr>
      <w:rFonts w:ascii="Constantia" w:hAnsi="Constantia" w:cs="Constantia"/>
      <w:color w:val="00000A"/>
      <w:sz w:val="17"/>
      <w:szCs w:val="17"/>
      <w:u w:val="none"/>
      <w:lang w:eastAsia="zh-CN"/>
    </w:rPr>
  </w:style>
  <w:style w:type="character" w:customStyle="1" w:styleId="3122">
    <w:name w:val="Основной текст (3)12"/>
    <w:uiPriority w:val="99"/>
    <w:rsid w:val="00586BCF"/>
    <w:rPr>
      <w:rFonts w:ascii="Times New Roman" w:hAnsi="Times New Roman" w:cs="Times New Roman"/>
      <w:b/>
      <w:bCs/>
      <w:sz w:val="20"/>
      <w:szCs w:val="20"/>
      <w:shd w:val="clear" w:color="auto" w:fill="FFFFFF"/>
    </w:rPr>
  </w:style>
  <w:style w:type="character" w:customStyle="1" w:styleId="3112">
    <w:name w:val="Основной текст (3)11"/>
    <w:uiPriority w:val="99"/>
    <w:rsid w:val="00586BCF"/>
    <w:rPr>
      <w:rFonts w:ascii="Times New Roman" w:hAnsi="Times New Roman" w:cs="Times New Roman"/>
      <w:b/>
      <w:bCs/>
      <w:sz w:val="20"/>
      <w:szCs w:val="20"/>
      <w:shd w:val="clear" w:color="auto" w:fill="FFFFFF"/>
    </w:rPr>
  </w:style>
  <w:style w:type="table" w:customStyle="1" w:styleId="21120">
    <w:name w:val="Сетка таблицы2112"/>
    <w:uiPriority w:val="99"/>
    <w:rsid w:val="004016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Garamond">
    <w:name w:val="Основной текст (2) + Garamond"/>
    <w:aliases w:val="7,5 pt2,Интервал 0 pt3"/>
    <w:uiPriority w:val="99"/>
    <w:rsid w:val="00401646"/>
    <w:rPr>
      <w:rFonts w:ascii="Garamond" w:hAnsi="Garamond" w:cs="Garamond"/>
      <w:color w:val="000000"/>
      <w:spacing w:val="-10"/>
      <w:w w:val="100"/>
      <w:position w:val="0"/>
      <w:sz w:val="15"/>
      <w:szCs w:val="15"/>
      <w:u w:val="none"/>
      <w:shd w:val="clear" w:color="auto" w:fill="FFFFFF"/>
      <w:lang w:val="ru-RU" w:eastAsia="ru-RU"/>
    </w:rPr>
  </w:style>
  <w:style w:type="character" w:customStyle="1" w:styleId="2Garamond1">
    <w:name w:val="Основной текст (2) + Garamond1"/>
    <w:aliases w:val="10,5 pt1,Интервал 0 pt2"/>
    <w:uiPriority w:val="99"/>
    <w:rsid w:val="00401646"/>
    <w:rPr>
      <w:rFonts w:ascii="Garamond" w:hAnsi="Garamond" w:cs="Garamond"/>
      <w:color w:val="000000"/>
      <w:spacing w:val="-10"/>
      <w:w w:val="100"/>
      <w:position w:val="0"/>
      <w:sz w:val="21"/>
      <w:szCs w:val="21"/>
      <w:u w:val="none"/>
      <w:shd w:val="clear" w:color="auto" w:fill="FFFFFF"/>
      <w:lang w:val="ru-RU" w:eastAsia="ru-RU"/>
    </w:rPr>
  </w:style>
  <w:style w:type="table" w:customStyle="1" w:styleId="4530">
    <w:name w:val="Сетка таблицы453"/>
    <w:uiPriority w:val="99"/>
    <w:rsid w:val="00B71D0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uiPriority w:val="99"/>
    <w:rsid w:val="00B71D0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uiPriority w:val="99"/>
    <w:rsid w:val="00B71D0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uiPriority w:val="99"/>
    <w:rsid w:val="00B71D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0">
    <w:name w:val="Сетка таблицы3100"/>
    <w:uiPriority w:val="99"/>
    <w:rsid w:val="00B71D0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0">
    <w:name w:val="Сетка таблицы454"/>
    <w:uiPriority w:val="99"/>
    <w:rsid w:val="00B71D0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5">
    <w:name w:val="Сетка таблицы455"/>
    <w:uiPriority w:val="99"/>
    <w:rsid w:val="006C0F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6">
    <w:name w:val="Сетка таблицы456"/>
    <w:uiPriority w:val="99"/>
    <w:rsid w:val="006C0F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7">
    <w:name w:val="Сетка таблицы457"/>
    <w:uiPriority w:val="99"/>
    <w:rsid w:val="006C0F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9">
    <w:name w:val="Pa9"/>
    <w:basedOn w:val="Default"/>
    <w:next w:val="Default"/>
    <w:uiPriority w:val="99"/>
    <w:rsid w:val="008A5094"/>
    <w:pPr>
      <w:spacing w:line="281" w:lineRule="atLeast"/>
    </w:pPr>
    <w:rPr>
      <w:rFonts w:ascii="Chevin Pro" w:hAnsi="Chevin Pro"/>
      <w:color w:val="auto"/>
    </w:rPr>
  </w:style>
  <w:style w:type="character" w:customStyle="1" w:styleId="A70">
    <w:name w:val="A7"/>
    <w:uiPriority w:val="99"/>
    <w:rsid w:val="008A5094"/>
    <w:rPr>
      <w:color w:val="000000"/>
      <w:sz w:val="22"/>
    </w:rPr>
  </w:style>
  <w:style w:type="paragraph" w:customStyle="1" w:styleId="Pa2">
    <w:name w:val="Pa2"/>
    <w:basedOn w:val="Default"/>
    <w:next w:val="Default"/>
    <w:uiPriority w:val="99"/>
    <w:rsid w:val="008A5094"/>
    <w:pPr>
      <w:spacing w:line="241" w:lineRule="atLeast"/>
    </w:pPr>
    <w:rPr>
      <w:rFonts w:ascii="Chevin Pro" w:hAnsi="Chevin Pro"/>
      <w:color w:val="auto"/>
    </w:rPr>
  </w:style>
  <w:style w:type="table" w:customStyle="1" w:styleId="458">
    <w:name w:val="Сетка таблицы458"/>
    <w:uiPriority w:val="99"/>
    <w:rsid w:val="008A50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a2"/>
    <w:next w:val="a2"/>
    <w:link w:val="MTDisplayEquation0"/>
    <w:uiPriority w:val="99"/>
    <w:rsid w:val="008A5094"/>
    <w:pPr>
      <w:tabs>
        <w:tab w:val="center" w:pos="4680"/>
        <w:tab w:val="right" w:pos="9360"/>
      </w:tabs>
      <w:spacing w:line="360" w:lineRule="auto"/>
      <w:ind w:firstLine="709"/>
      <w:jc w:val="both"/>
    </w:pPr>
    <w:rPr>
      <w:sz w:val="24"/>
    </w:rPr>
  </w:style>
  <w:style w:type="character" w:customStyle="1" w:styleId="MTDisplayEquation0">
    <w:name w:val="MTDisplayEquation Знак"/>
    <w:link w:val="MTDisplayEquation"/>
    <w:uiPriority w:val="99"/>
    <w:locked/>
    <w:rsid w:val="008A5094"/>
    <w:rPr>
      <w:sz w:val="24"/>
    </w:rPr>
  </w:style>
  <w:style w:type="paragraph" w:styleId="affffffffffb">
    <w:name w:val="Bibliography"/>
    <w:basedOn w:val="a2"/>
    <w:next w:val="a2"/>
    <w:uiPriority w:val="99"/>
    <w:rsid w:val="008A5094"/>
    <w:rPr>
      <w:sz w:val="24"/>
      <w:szCs w:val="24"/>
    </w:rPr>
  </w:style>
  <w:style w:type="table" w:customStyle="1" w:styleId="1125">
    <w:name w:val="Сетка таблицы1125"/>
    <w:uiPriority w:val="99"/>
    <w:rsid w:val="008A509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tended-textfull">
    <w:name w:val="extended-text__full"/>
    <w:uiPriority w:val="99"/>
    <w:rsid w:val="008A5094"/>
  </w:style>
  <w:style w:type="paragraph" w:customStyle="1" w:styleId="Pa3">
    <w:name w:val="Pa3"/>
    <w:basedOn w:val="a2"/>
    <w:next w:val="a2"/>
    <w:uiPriority w:val="99"/>
    <w:rsid w:val="008A5094"/>
    <w:pPr>
      <w:autoSpaceDE w:val="0"/>
      <w:autoSpaceDN w:val="0"/>
      <w:adjustRightInd w:val="0"/>
      <w:spacing w:line="181" w:lineRule="atLeast"/>
    </w:pPr>
    <w:rPr>
      <w:rFonts w:ascii="Minion Pro" w:hAnsi="Minion Pro"/>
      <w:sz w:val="24"/>
      <w:szCs w:val="24"/>
    </w:rPr>
  </w:style>
  <w:style w:type="paragraph" w:customStyle="1" w:styleId="Pa8">
    <w:name w:val="Pa8"/>
    <w:basedOn w:val="Default"/>
    <w:next w:val="Default"/>
    <w:uiPriority w:val="99"/>
    <w:rsid w:val="008A5094"/>
    <w:pPr>
      <w:spacing w:line="181" w:lineRule="atLeast"/>
    </w:pPr>
    <w:rPr>
      <w:rFonts w:ascii="Minion Pro" w:hAnsi="Minion Pro"/>
      <w:color w:val="auto"/>
    </w:rPr>
  </w:style>
  <w:style w:type="character" w:customStyle="1" w:styleId="A10">
    <w:name w:val="A1"/>
    <w:uiPriority w:val="99"/>
    <w:rsid w:val="008A5094"/>
    <w:rPr>
      <w:color w:val="000000"/>
      <w:sz w:val="18"/>
    </w:rPr>
  </w:style>
  <w:style w:type="paragraph" w:customStyle="1" w:styleId="Pa11">
    <w:name w:val="Pa11"/>
    <w:basedOn w:val="Default"/>
    <w:next w:val="Default"/>
    <w:uiPriority w:val="99"/>
    <w:rsid w:val="008A5094"/>
    <w:pPr>
      <w:spacing w:line="141" w:lineRule="atLeast"/>
    </w:pPr>
    <w:rPr>
      <w:rFonts w:ascii="Minion Pro" w:hAnsi="Minion Pro"/>
      <w:color w:val="auto"/>
    </w:rPr>
  </w:style>
  <w:style w:type="paragraph" w:customStyle="1" w:styleId="Pa12">
    <w:name w:val="Pa12"/>
    <w:basedOn w:val="Default"/>
    <w:next w:val="Default"/>
    <w:uiPriority w:val="99"/>
    <w:rsid w:val="008A5094"/>
    <w:pPr>
      <w:spacing w:line="181" w:lineRule="atLeast"/>
    </w:pPr>
    <w:rPr>
      <w:rFonts w:ascii="Minion Pro" w:hAnsi="Minion Pro"/>
      <w:color w:val="auto"/>
    </w:rPr>
  </w:style>
  <w:style w:type="character" w:styleId="HTML3">
    <w:name w:val="HTML Code"/>
    <w:uiPriority w:val="99"/>
    <w:rsid w:val="008A5094"/>
    <w:rPr>
      <w:rFonts w:ascii="Courier New" w:hAnsi="Courier New" w:cs="Times New Roman"/>
      <w:sz w:val="20"/>
    </w:rPr>
  </w:style>
  <w:style w:type="character" w:customStyle="1" w:styleId="extended-textshort">
    <w:name w:val="extended-text__short"/>
    <w:uiPriority w:val="99"/>
    <w:rsid w:val="008A5094"/>
    <w:rPr>
      <w:rFonts w:cs="Times New Roman"/>
    </w:rPr>
  </w:style>
  <w:style w:type="table" w:customStyle="1" w:styleId="459">
    <w:name w:val="Сетка таблицы459"/>
    <w:uiPriority w:val="99"/>
    <w:rsid w:val="009F28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uiPriority w:val="99"/>
    <w:rsid w:val="009F28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Сетка таблицы1127"/>
    <w:uiPriority w:val="99"/>
    <w:rsid w:val="00CE260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
    <w:name w:val="Сетка таблицы1128"/>
    <w:uiPriority w:val="99"/>
    <w:rsid w:val="00CE260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accessdate">
    <w:name w:val="reference-accessdate"/>
    <w:uiPriority w:val="99"/>
    <w:rsid w:val="00CE2608"/>
    <w:rPr>
      <w:rFonts w:cs="Times New Roman"/>
    </w:rPr>
  </w:style>
  <w:style w:type="character" w:customStyle="1" w:styleId="personname">
    <w:name w:val="person_name"/>
    <w:uiPriority w:val="99"/>
    <w:rsid w:val="00CE2608"/>
    <w:rPr>
      <w:rFonts w:cs="Times New Roman"/>
    </w:rPr>
  </w:style>
  <w:style w:type="table" w:customStyle="1" w:styleId="2115">
    <w:name w:val="Сетка таблицы2115"/>
    <w:uiPriority w:val="99"/>
    <w:rsid w:val="003A6F0D"/>
    <w:rPr>
      <w:rFonts w:ascii="Cambria" w:hAnsi="Cambria" w:cs="Mang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uiPriority w:val="99"/>
    <w:rsid w:val="003A6F0D"/>
    <w:rPr>
      <w:rFonts w:ascii="Cambria" w:hAnsi="Cambria" w:cs="Mang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wrap">
    <w:name w:val="nowrap"/>
    <w:uiPriority w:val="99"/>
    <w:rsid w:val="00192CA8"/>
    <w:rPr>
      <w:rFonts w:cs="Times New Roman"/>
    </w:rPr>
  </w:style>
  <w:style w:type="table" w:customStyle="1" w:styleId="4600">
    <w:name w:val="Сетка таблицы460"/>
    <w:uiPriority w:val="99"/>
    <w:rsid w:val="00192CA8"/>
    <w:rPr>
      <w:rFonts w:ascii="Cambria" w:hAnsi="Cambria" w:cs="Mang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a2"/>
    <w:uiPriority w:val="99"/>
    <w:rsid w:val="00192CA8"/>
    <w:pPr>
      <w:ind w:left="720"/>
      <w:contextualSpacing/>
    </w:pPr>
    <w:rPr>
      <w:rFonts w:eastAsia="SimSun"/>
      <w:sz w:val="24"/>
      <w:szCs w:val="24"/>
      <w:lang w:eastAsia="zh-CN"/>
    </w:rPr>
  </w:style>
  <w:style w:type="character" w:customStyle="1" w:styleId="BalloonTextChar1">
    <w:name w:val="Balloon Text Char1"/>
    <w:uiPriority w:val="99"/>
    <w:semiHidden/>
    <w:rsid w:val="00192CA8"/>
    <w:rPr>
      <w:rFonts w:ascii="Lucida Grande CY" w:eastAsia="SimSun" w:hAnsi="Lucida Grande CY"/>
      <w:sz w:val="18"/>
      <w:lang w:eastAsia="zh-CN"/>
    </w:rPr>
  </w:style>
  <w:style w:type="character" w:customStyle="1" w:styleId="EndnoteTextChar1">
    <w:name w:val="Endnote Text Char1"/>
    <w:uiPriority w:val="99"/>
    <w:semiHidden/>
    <w:rsid w:val="00192CA8"/>
    <w:rPr>
      <w:rFonts w:ascii="Times New Roman" w:eastAsia="SimSun" w:hAnsi="Times New Roman"/>
      <w:lang w:eastAsia="zh-CN"/>
    </w:rPr>
  </w:style>
  <w:style w:type="character" w:customStyle="1" w:styleId="FootnoteTextChar1">
    <w:name w:val="Footnote Text Char1"/>
    <w:uiPriority w:val="99"/>
    <w:semiHidden/>
    <w:rsid w:val="00192CA8"/>
    <w:rPr>
      <w:rFonts w:ascii="Times New Roman" w:eastAsia="SimSun" w:hAnsi="Times New Roman"/>
      <w:lang w:eastAsia="zh-CN"/>
    </w:rPr>
  </w:style>
  <w:style w:type="character" w:customStyle="1" w:styleId="FooterChar1">
    <w:name w:val="Footer Char1"/>
    <w:uiPriority w:val="99"/>
    <w:semiHidden/>
    <w:rsid w:val="00192CA8"/>
    <w:rPr>
      <w:rFonts w:ascii="Times New Roman" w:eastAsia="SimSun" w:hAnsi="Times New Roman"/>
      <w:lang w:eastAsia="zh-CN"/>
    </w:rPr>
  </w:style>
  <w:style w:type="character" w:customStyle="1" w:styleId="HeaderChar1">
    <w:name w:val="Header Char1"/>
    <w:uiPriority w:val="99"/>
    <w:semiHidden/>
    <w:rsid w:val="00192CA8"/>
    <w:rPr>
      <w:rFonts w:ascii="Times New Roman" w:eastAsia="SimSun" w:hAnsi="Times New Roman"/>
      <w:lang w:eastAsia="zh-CN"/>
    </w:rPr>
  </w:style>
  <w:style w:type="character" w:customStyle="1" w:styleId="DocumentMapChar1">
    <w:name w:val="Document Map Char1"/>
    <w:uiPriority w:val="99"/>
    <w:semiHidden/>
    <w:rsid w:val="00192CA8"/>
    <w:rPr>
      <w:rFonts w:ascii="Lucida Grande CY" w:eastAsia="SimSun" w:hAnsi="Lucida Grande CY"/>
      <w:lang w:eastAsia="zh-CN"/>
    </w:rPr>
  </w:style>
  <w:style w:type="character" w:customStyle="1" w:styleId="BodyTextChar1">
    <w:name w:val="Body Text Char1"/>
    <w:uiPriority w:val="99"/>
    <w:semiHidden/>
    <w:rsid w:val="00192CA8"/>
    <w:rPr>
      <w:rFonts w:ascii="Times New Roman" w:eastAsia="SimSun" w:hAnsi="Times New Roman"/>
      <w:lang w:eastAsia="zh-CN"/>
    </w:rPr>
  </w:style>
  <w:style w:type="table" w:customStyle="1" w:styleId="1129">
    <w:name w:val="Сетка таблицы1129"/>
    <w:uiPriority w:val="99"/>
    <w:rsid w:val="00192CA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uiPriority w:val="99"/>
    <w:rsid w:val="00192CA8"/>
    <w:rPr>
      <w:rFonts w:ascii="Cambria" w:hAnsi="Cambria" w:cs="Mang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3">
    <w:name w:val="Упомянуть1"/>
    <w:uiPriority w:val="99"/>
    <w:semiHidden/>
    <w:rsid w:val="00192CA8"/>
    <w:rPr>
      <w:rFonts w:cs="Times New Roman"/>
      <w:color w:val="2B579A"/>
      <w:shd w:val="clear" w:color="auto" w:fill="E6E6E6"/>
    </w:rPr>
  </w:style>
  <w:style w:type="character" w:customStyle="1" w:styleId="2fff5">
    <w:name w:val="Упомянуть2"/>
    <w:uiPriority w:val="99"/>
    <w:semiHidden/>
    <w:rsid w:val="00192CA8"/>
    <w:rPr>
      <w:rFonts w:cs="Times New Roman"/>
      <w:color w:val="2B579A"/>
      <w:shd w:val="clear" w:color="auto" w:fill="E6E6E6"/>
    </w:rPr>
  </w:style>
  <w:style w:type="character" w:customStyle="1" w:styleId="3ff0">
    <w:name w:val="Упомянуть3"/>
    <w:uiPriority w:val="99"/>
    <w:semiHidden/>
    <w:rsid w:val="00192CA8"/>
    <w:rPr>
      <w:rFonts w:cs="Times New Roman"/>
      <w:color w:val="2B579A"/>
      <w:shd w:val="clear" w:color="auto" w:fill="E6E6E6"/>
    </w:rPr>
  </w:style>
  <w:style w:type="character" w:customStyle="1" w:styleId="diccomment">
    <w:name w:val="dic_comment"/>
    <w:uiPriority w:val="99"/>
    <w:rsid w:val="00192CA8"/>
    <w:rPr>
      <w:rFonts w:cs="Times New Roman"/>
    </w:rPr>
  </w:style>
  <w:style w:type="character" w:customStyle="1" w:styleId="1ffff4">
    <w:name w:val="Неразрешенное упоминание1"/>
    <w:uiPriority w:val="99"/>
    <w:semiHidden/>
    <w:rsid w:val="00192CA8"/>
    <w:rPr>
      <w:rFonts w:cs="Times New Roman"/>
      <w:color w:val="808080"/>
      <w:shd w:val="clear" w:color="auto" w:fill="E6E6E6"/>
    </w:rPr>
  </w:style>
  <w:style w:type="character" w:customStyle="1" w:styleId="2fff6">
    <w:name w:val="Неразрешенное упоминание2"/>
    <w:uiPriority w:val="99"/>
    <w:semiHidden/>
    <w:rsid w:val="00192CA8"/>
    <w:rPr>
      <w:rFonts w:cs="Times New Roman"/>
      <w:color w:val="605E5C"/>
      <w:shd w:val="clear" w:color="auto" w:fill="E1DFDD"/>
    </w:rPr>
  </w:style>
  <w:style w:type="character" w:customStyle="1" w:styleId="3ff1">
    <w:name w:val="Неразрешенное упоминание3"/>
    <w:uiPriority w:val="99"/>
    <w:semiHidden/>
    <w:rsid w:val="00192CA8"/>
    <w:rPr>
      <w:rFonts w:cs="Times New Roman"/>
      <w:color w:val="605E5C"/>
      <w:shd w:val="clear" w:color="auto" w:fill="E1DFDD"/>
    </w:rPr>
  </w:style>
  <w:style w:type="character" w:customStyle="1" w:styleId="4f5">
    <w:name w:val="Неразрешенное упоминание4"/>
    <w:uiPriority w:val="99"/>
    <w:semiHidden/>
    <w:rsid w:val="00192CA8"/>
    <w:rPr>
      <w:rFonts w:cs="Times New Roman"/>
      <w:color w:val="605E5C"/>
      <w:shd w:val="clear" w:color="auto" w:fill="E1DFDD"/>
    </w:rPr>
  </w:style>
  <w:style w:type="character" w:customStyle="1" w:styleId="pagesnum">
    <w:name w:val="pagesnum"/>
    <w:uiPriority w:val="99"/>
    <w:rsid w:val="00192CA8"/>
    <w:rPr>
      <w:rFonts w:cs="Times New Roman"/>
    </w:rPr>
  </w:style>
  <w:style w:type="table" w:customStyle="1" w:styleId="31010">
    <w:name w:val="Сетка таблицы3101"/>
    <w:uiPriority w:val="99"/>
    <w:rsid w:val="00192CA8"/>
    <w:rPr>
      <w:rFonts w:ascii="Cambria" w:hAnsi="Cambria" w:cs="Mang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d">
    <w:name w:val="Заголовок 31"/>
    <w:basedOn w:val="a2"/>
    <w:next w:val="a2"/>
    <w:uiPriority w:val="99"/>
    <w:semiHidden/>
    <w:rsid w:val="00192CA8"/>
    <w:pPr>
      <w:keepNext/>
      <w:keepLines/>
      <w:spacing w:before="40" w:line="259" w:lineRule="auto"/>
      <w:outlineLvl w:val="2"/>
    </w:pPr>
    <w:rPr>
      <w:rFonts w:ascii="Calibri Light" w:hAnsi="Calibri Light" w:cs="Mangal"/>
      <w:color w:val="1F3763"/>
      <w:sz w:val="24"/>
      <w:szCs w:val="24"/>
      <w:lang w:eastAsia="en-US"/>
    </w:rPr>
  </w:style>
  <w:style w:type="character" w:customStyle="1" w:styleId="21f3">
    <w:name w:val="Заголовок 2 Знак1"/>
    <w:uiPriority w:val="99"/>
    <w:semiHidden/>
    <w:rsid w:val="00192CA8"/>
    <w:rPr>
      <w:rFonts w:ascii="Calibri" w:hAnsi="Calibri" w:cs="Mangal"/>
      <w:color w:val="365F91"/>
      <w:sz w:val="26"/>
      <w:szCs w:val="26"/>
    </w:rPr>
  </w:style>
  <w:style w:type="table" w:customStyle="1" w:styleId="4621">
    <w:name w:val="Сетка таблицы462"/>
    <w:uiPriority w:val="99"/>
    <w:rsid w:val="00177D9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
    <w:name w:val="Сетка таблицы463"/>
    <w:uiPriority w:val="99"/>
    <w:rsid w:val="00177D9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4">
    <w:name w:val="Сетка таблицы464"/>
    <w:uiPriority w:val="99"/>
    <w:rsid w:val="002A105B"/>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5">
    <w:name w:val="Сетка таблицы465"/>
    <w:uiPriority w:val="99"/>
    <w:rsid w:val="002A105B"/>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c">
    <w:name w:val="Заголовок Знак"/>
    <w:uiPriority w:val="99"/>
    <w:rsid w:val="003E11CD"/>
    <w:rPr>
      <w:rFonts w:ascii="Times New Roman" w:eastAsia="MS Gothic" w:hAnsi="Times New Roman"/>
      <w:spacing w:val="-10"/>
      <w:kern w:val="28"/>
      <w:sz w:val="56"/>
    </w:rPr>
  </w:style>
  <w:style w:type="paragraph" w:customStyle="1" w:styleId="Heading">
    <w:name w:val="Heading"/>
    <w:basedOn w:val="Standard"/>
    <w:next w:val="Textbody"/>
    <w:uiPriority w:val="99"/>
    <w:rsid w:val="003E11CD"/>
    <w:pPr>
      <w:keepNext/>
      <w:widowControl/>
      <w:spacing w:before="240" w:after="120" w:line="240" w:lineRule="auto"/>
    </w:pPr>
    <w:rPr>
      <w:rFonts w:ascii="Arial" w:eastAsia="Microsoft YaHei" w:hAnsi="Arial" w:cs="Mangal"/>
      <w:sz w:val="28"/>
      <w:szCs w:val="28"/>
      <w:lang w:val="ru-RU" w:eastAsia="ar-SA"/>
    </w:rPr>
  </w:style>
  <w:style w:type="paragraph" w:customStyle="1" w:styleId="1ffff5">
    <w:name w:val="Название объекта1"/>
    <w:basedOn w:val="Standard"/>
    <w:uiPriority w:val="99"/>
    <w:rsid w:val="003E11CD"/>
    <w:pPr>
      <w:widowControl/>
      <w:suppressLineNumbers/>
      <w:spacing w:before="120" w:after="120" w:line="240" w:lineRule="auto"/>
    </w:pPr>
    <w:rPr>
      <w:rFonts w:ascii="Times New Roman" w:hAnsi="Times New Roman" w:cs="Mangal"/>
      <w:i/>
      <w:iCs/>
      <w:lang w:val="ru-RU" w:eastAsia="ar-SA"/>
    </w:rPr>
  </w:style>
  <w:style w:type="paragraph" w:customStyle="1" w:styleId="Index">
    <w:name w:val="Index"/>
    <w:basedOn w:val="Standard"/>
    <w:uiPriority w:val="99"/>
    <w:rsid w:val="003E11CD"/>
    <w:pPr>
      <w:widowControl/>
      <w:suppressLineNumbers/>
      <w:spacing w:after="0" w:line="240" w:lineRule="auto"/>
    </w:pPr>
    <w:rPr>
      <w:rFonts w:ascii="Times New Roman" w:hAnsi="Times New Roman" w:cs="Mangal"/>
      <w:lang w:val="ru-RU" w:eastAsia="ar-SA"/>
    </w:rPr>
  </w:style>
  <w:style w:type="paragraph" w:customStyle="1" w:styleId="affffffffffd">
    <w:name w:val="табл"/>
    <w:basedOn w:val="a2"/>
    <w:link w:val="affffffffffe"/>
    <w:uiPriority w:val="99"/>
    <w:rsid w:val="003E11CD"/>
    <w:pPr>
      <w:contextualSpacing/>
      <w:jc w:val="center"/>
    </w:pPr>
    <w:rPr>
      <w:rFonts w:eastAsia="MS Mincho"/>
      <w:color w:val="000000"/>
      <w:sz w:val="28"/>
    </w:rPr>
  </w:style>
  <w:style w:type="character" w:customStyle="1" w:styleId="affffffffffe">
    <w:name w:val="табл Знак"/>
    <w:link w:val="affffffffffd"/>
    <w:uiPriority w:val="99"/>
    <w:locked/>
    <w:rsid w:val="003E11CD"/>
    <w:rPr>
      <w:rFonts w:eastAsia="MS Mincho"/>
      <w:color w:val="000000"/>
      <w:sz w:val="28"/>
    </w:rPr>
  </w:style>
  <w:style w:type="character" w:customStyle="1" w:styleId="translation-chunk">
    <w:name w:val="translation-chunk"/>
    <w:uiPriority w:val="99"/>
    <w:rsid w:val="003E11CD"/>
  </w:style>
  <w:style w:type="table" w:customStyle="1" w:styleId="466">
    <w:name w:val="Сетка таблицы466"/>
    <w:uiPriority w:val="99"/>
    <w:rsid w:val="0019715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
    <w:name w:val="Общий"/>
    <w:basedOn w:val="a2"/>
    <w:uiPriority w:val="99"/>
    <w:rsid w:val="00197151"/>
    <w:pPr>
      <w:spacing w:line="480" w:lineRule="auto"/>
      <w:ind w:firstLine="709"/>
      <w:jc w:val="both"/>
    </w:pPr>
    <w:rPr>
      <w:sz w:val="24"/>
      <w:szCs w:val="24"/>
    </w:rPr>
  </w:style>
  <w:style w:type="paragraph" w:customStyle="1" w:styleId="xmsonormal">
    <w:name w:val="x_msonormal"/>
    <w:basedOn w:val="a2"/>
    <w:uiPriority w:val="99"/>
    <w:rsid w:val="00197151"/>
    <w:pPr>
      <w:spacing w:before="100" w:beforeAutospacing="1" w:after="100" w:afterAutospacing="1"/>
    </w:pPr>
    <w:rPr>
      <w:sz w:val="24"/>
      <w:szCs w:val="24"/>
    </w:rPr>
  </w:style>
  <w:style w:type="table" w:customStyle="1" w:styleId="1ffff6">
    <w:name w:val="Светлая сетка1"/>
    <w:uiPriority w:val="99"/>
    <w:rsid w:val="00616D88"/>
    <w:rPr>
      <w:rFonts w:ascii="Cambria" w:eastAsia="MS Mincho" w:hAnsi="Cambria"/>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2fff7">
    <w:name w:val="Светлая сетка2"/>
    <w:uiPriority w:val="99"/>
    <w:rsid w:val="00616D88"/>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467">
    <w:name w:val="Сетка таблицы467"/>
    <w:uiPriority w:val="99"/>
    <w:rsid w:val="00616D8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8">
    <w:name w:val="Сетка таблицы468"/>
    <w:uiPriority w:val="99"/>
    <w:rsid w:val="00616D8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9">
    <w:name w:val="Сетка таблицы469"/>
    <w:uiPriority w:val="99"/>
    <w:rsid w:val="00616D8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00">
    <w:name w:val="Сетка таблицы470"/>
    <w:uiPriority w:val="99"/>
    <w:rsid w:val="00616D8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21">
    <w:name w:val="Сетка таблицы472"/>
    <w:uiPriority w:val="99"/>
    <w:rsid w:val="00616D8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30">
    <w:name w:val="Сетка таблицы473"/>
    <w:uiPriority w:val="99"/>
    <w:rsid w:val="00616D8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40">
    <w:name w:val="Сетка таблицы474"/>
    <w:uiPriority w:val="99"/>
    <w:rsid w:val="00616D8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50">
    <w:name w:val="Сетка таблицы475"/>
    <w:uiPriority w:val="99"/>
    <w:rsid w:val="00616D8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6">
    <w:name w:val="Сетка таблицы476"/>
    <w:uiPriority w:val="99"/>
    <w:rsid w:val="00200CE0"/>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f4">
    <w:name w:val="Светлая сетка21"/>
    <w:uiPriority w:val="99"/>
    <w:rsid w:val="00200CE0"/>
    <w:rPr>
      <w:rFonts w:ascii="Cambria" w:eastAsia="MS Mincho" w:hAnsi="Cambria"/>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477">
    <w:name w:val="Сетка таблицы477"/>
    <w:uiPriority w:val="99"/>
    <w:rsid w:val="00200CE0"/>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8">
    <w:name w:val="Сетка таблицы478"/>
    <w:uiPriority w:val="99"/>
    <w:rsid w:val="00200CE0"/>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9">
    <w:name w:val="Сетка таблицы479"/>
    <w:uiPriority w:val="99"/>
    <w:rsid w:val="00200CE0"/>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f2">
    <w:name w:val="Светлая сетка3"/>
    <w:uiPriority w:val="99"/>
    <w:rsid w:val="00200CE0"/>
    <w:rPr>
      <w:rFonts w:ascii="Cambria" w:eastAsia="MS Mincho" w:hAnsi="Cambria"/>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4800">
    <w:name w:val="Сетка таблицы480"/>
    <w:uiPriority w:val="99"/>
    <w:rsid w:val="001C453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1">
    <w:name w:val="Сетка таблицы481"/>
    <w:uiPriority w:val="99"/>
    <w:rsid w:val="001C453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1">
    <w:name w:val="Сетка таблицы482"/>
    <w:uiPriority w:val="99"/>
    <w:rsid w:val="001C453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14">
    <w:name w:val="Средняя сетка 1 — акцент 21"/>
    <w:basedOn w:val="a2"/>
    <w:uiPriority w:val="99"/>
    <w:rsid w:val="0072734F"/>
    <w:pPr>
      <w:spacing w:before="216" w:after="200" w:line="485" w:lineRule="exact"/>
      <w:ind w:left="720" w:firstLine="709"/>
      <w:contextualSpacing/>
      <w:jc w:val="both"/>
    </w:pPr>
    <w:rPr>
      <w:rFonts w:ascii="Calibri" w:hAnsi="Calibri"/>
      <w:sz w:val="22"/>
      <w:szCs w:val="22"/>
    </w:rPr>
  </w:style>
  <w:style w:type="table" w:customStyle="1" w:styleId="4831">
    <w:name w:val="Сетка таблицы483"/>
    <w:uiPriority w:val="99"/>
    <w:rsid w:val="0072734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13">
    <w:name w:val="Средняя сетка 2 — акцент 21"/>
    <w:basedOn w:val="a2"/>
    <w:next w:val="a2"/>
    <w:link w:val="22f0"/>
    <w:uiPriority w:val="99"/>
    <w:rsid w:val="0072734F"/>
    <w:rPr>
      <w:rFonts w:ascii="Calibri" w:hAnsi="Calibri"/>
      <w:i/>
      <w:sz w:val="24"/>
      <w:lang w:val="en-US" w:eastAsia="en-US"/>
    </w:rPr>
  </w:style>
  <w:style w:type="character" w:customStyle="1" w:styleId="22f0">
    <w:name w:val="Средняя сетка 2 — акцент 2 Знак"/>
    <w:link w:val="2213"/>
    <w:uiPriority w:val="99"/>
    <w:locked/>
    <w:rsid w:val="0072734F"/>
    <w:rPr>
      <w:rFonts w:ascii="Calibri" w:hAnsi="Calibri"/>
      <w:i/>
      <w:sz w:val="24"/>
      <w:lang w:val="en-US" w:eastAsia="en-US"/>
    </w:rPr>
  </w:style>
  <w:style w:type="paragraph" w:customStyle="1" w:styleId="3213">
    <w:name w:val="Средняя сетка 3 — акцент 21"/>
    <w:basedOn w:val="a2"/>
    <w:next w:val="a2"/>
    <w:link w:val="32f"/>
    <w:uiPriority w:val="99"/>
    <w:rsid w:val="0072734F"/>
    <w:pPr>
      <w:ind w:left="720" w:right="720"/>
    </w:pPr>
    <w:rPr>
      <w:rFonts w:ascii="Calibri" w:hAnsi="Calibri"/>
      <w:b/>
      <w:i/>
      <w:sz w:val="22"/>
      <w:lang w:val="en-US" w:eastAsia="en-US"/>
    </w:rPr>
  </w:style>
  <w:style w:type="character" w:customStyle="1" w:styleId="32f">
    <w:name w:val="Средняя сетка 3 — акцент 2 Знак"/>
    <w:link w:val="3213"/>
    <w:uiPriority w:val="99"/>
    <w:locked/>
    <w:rsid w:val="0072734F"/>
    <w:rPr>
      <w:rFonts w:ascii="Calibri" w:hAnsi="Calibri"/>
      <w:b/>
      <w:i/>
      <w:sz w:val="22"/>
      <w:lang w:val="en-US" w:eastAsia="en-US"/>
    </w:rPr>
  </w:style>
  <w:style w:type="table" w:customStyle="1" w:styleId="4f6">
    <w:name w:val="Светлая сетка4"/>
    <w:uiPriority w:val="99"/>
    <w:rsid w:val="0072734F"/>
    <w:rPr>
      <w:rFonts w:ascii="Cambria" w:eastAsia="MS Mincho" w:hAnsi="Cambria"/>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4840">
    <w:name w:val="Сетка таблицы484"/>
    <w:uiPriority w:val="99"/>
    <w:rsid w:val="00C734DA"/>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5">
    <w:name w:val="Сетка таблицы485"/>
    <w:uiPriority w:val="99"/>
    <w:rsid w:val="00BA14DB"/>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6">
    <w:name w:val="Сетка таблицы486"/>
    <w:uiPriority w:val="99"/>
    <w:rsid w:val="00BA14DB"/>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7">
    <w:name w:val="Сетка таблицы487"/>
    <w:uiPriority w:val="99"/>
    <w:rsid w:val="00BA14DB"/>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8">
    <w:name w:val="Сетка таблицы488"/>
    <w:uiPriority w:val="99"/>
    <w:rsid w:val="00BA14DB"/>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9">
    <w:name w:val="Сетка таблицы489"/>
    <w:uiPriority w:val="99"/>
    <w:rsid w:val="00BF04F2"/>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0">
    <w:name w:val="Сетка таблицы490"/>
    <w:uiPriority w:val="99"/>
    <w:rsid w:val="00D147A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uiPriority w:val="99"/>
    <w:rsid w:val="008339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0">
    <w:name w:val="Сетка таблицы491"/>
    <w:uiPriority w:val="99"/>
    <w:rsid w:val="0083396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0">
    <w:name w:val="Сетка таблицы492"/>
    <w:uiPriority w:val="99"/>
    <w:rsid w:val="0083396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3">
    <w:name w:val="Сетка таблицы493"/>
    <w:uiPriority w:val="99"/>
    <w:rsid w:val="0005543A"/>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4">
    <w:name w:val="Сетка таблицы494"/>
    <w:uiPriority w:val="99"/>
    <w:rsid w:val="0005543A"/>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5">
    <w:name w:val="Сетка таблицы495"/>
    <w:uiPriority w:val="99"/>
    <w:rsid w:val="0005543A"/>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6">
    <w:name w:val="Сетка таблицы496"/>
    <w:uiPriority w:val="99"/>
    <w:rsid w:val="0005543A"/>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7">
    <w:name w:val="Сетка таблицы497"/>
    <w:uiPriority w:val="99"/>
    <w:rsid w:val="0005543A"/>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8">
    <w:name w:val="Сетка таблицы498"/>
    <w:uiPriority w:val="99"/>
    <w:rsid w:val="0005543A"/>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9">
    <w:name w:val="Сетка таблицы499"/>
    <w:uiPriority w:val="99"/>
    <w:rsid w:val="0005543A"/>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0">
    <w:name w:val="Сетка таблицы500"/>
    <w:uiPriority w:val="99"/>
    <w:rsid w:val="0005543A"/>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0">
    <w:name w:val="Сетка таблицы501"/>
    <w:uiPriority w:val="99"/>
    <w:rsid w:val="0005543A"/>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0">
    <w:name w:val="Сетка таблицы502"/>
    <w:uiPriority w:val="99"/>
    <w:rsid w:val="0005543A"/>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3">
    <w:name w:val="Сетка таблицы503"/>
    <w:uiPriority w:val="99"/>
    <w:rsid w:val="0005543A"/>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4">
    <w:name w:val="Сетка таблицы504"/>
    <w:uiPriority w:val="99"/>
    <w:rsid w:val="0005543A"/>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5">
    <w:name w:val="Сетка таблицы505"/>
    <w:uiPriority w:val="99"/>
    <w:rsid w:val="0005543A"/>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uiPriority w:val="99"/>
    <w:rsid w:val="000554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6">
    <w:name w:val="Сетка таблицы506"/>
    <w:uiPriority w:val="99"/>
    <w:rsid w:val="00C10825"/>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7">
    <w:name w:val="Сетка таблицы507"/>
    <w:uiPriority w:val="99"/>
    <w:rsid w:val="00C10825"/>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8">
    <w:name w:val="Сетка таблицы508"/>
    <w:uiPriority w:val="99"/>
    <w:rsid w:val="00C10825"/>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9">
    <w:name w:val="Сетка таблицы509"/>
    <w:uiPriority w:val="99"/>
    <w:rsid w:val="00C10825"/>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Сетка таблицы524"/>
    <w:uiPriority w:val="99"/>
    <w:rsid w:val="00C10825"/>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Сетка таблицы525"/>
    <w:uiPriority w:val="99"/>
    <w:rsid w:val="00C10825"/>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Сетка таблицы526"/>
    <w:uiPriority w:val="99"/>
    <w:rsid w:val="00C10825"/>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0">
    <w:name w:val="Сетка таблицы527"/>
    <w:uiPriority w:val="99"/>
    <w:rsid w:val="001F606D"/>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0">
    <w:name w:val="Сетка таблицы1130"/>
    <w:uiPriority w:val="99"/>
    <w:rsid w:val="001F6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uiPriority w:val="99"/>
    <w:rsid w:val="001F6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2">
    <w:name w:val="Сетка таблицы3102"/>
    <w:uiPriority w:val="99"/>
    <w:rsid w:val="001F6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0">
    <w:name w:val="Closing"/>
    <w:basedOn w:val="a2"/>
    <w:link w:val="afffffffffff1"/>
    <w:uiPriority w:val="99"/>
    <w:rsid w:val="001F606D"/>
    <w:pPr>
      <w:ind w:left="4252"/>
    </w:pPr>
    <w:rPr>
      <w:sz w:val="24"/>
      <w:szCs w:val="24"/>
    </w:rPr>
  </w:style>
  <w:style w:type="character" w:customStyle="1" w:styleId="afffffffffff1">
    <w:name w:val="Прощание Знак"/>
    <w:link w:val="afffffffffff0"/>
    <w:uiPriority w:val="99"/>
    <w:locked/>
    <w:rsid w:val="001F606D"/>
    <w:rPr>
      <w:rFonts w:cs="Times New Roman"/>
      <w:sz w:val="24"/>
      <w:szCs w:val="24"/>
    </w:rPr>
  </w:style>
  <w:style w:type="paragraph" w:customStyle="1" w:styleId="afffffffffff2">
    <w:name w:val="Краткий обратный адрес"/>
    <w:basedOn w:val="a2"/>
    <w:uiPriority w:val="99"/>
    <w:rsid w:val="001F606D"/>
    <w:rPr>
      <w:sz w:val="24"/>
      <w:szCs w:val="24"/>
    </w:rPr>
  </w:style>
  <w:style w:type="character" w:customStyle="1" w:styleId="hlcopyright">
    <w:name w:val="hlcopyright"/>
    <w:uiPriority w:val="99"/>
    <w:rsid w:val="001F606D"/>
    <w:rPr>
      <w:rFonts w:cs="Times New Roman"/>
    </w:rPr>
  </w:style>
  <w:style w:type="table" w:customStyle="1" w:styleId="1ffff7">
    <w:name w:val="Стиль таблицы1"/>
    <w:uiPriority w:val="99"/>
    <w:rsid w:val="001F606D"/>
    <w:tblPr>
      <w:tblInd w:w="0" w:type="dxa"/>
      <w:tblCellMar>
        <w:top w:w="0" w:type="dxa"/>
        <w:left w:w="108" w:type="dxa"/>
        <w:bottom w:w="0" w:type="dxa"/>
        <w:right w:w="108" w:type="dxa"/>
      </w:tblCellMar>
    </w:tblPr>
  </w:style>
  <w:style w:type="table" w:customStyle="1" w:styleId="2fff8">
    <w:name w:val="Стиль таблицы2"/>
    <w:uiPriority w:val="99"/>
    <w:rsid w:val="001F6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3">
    <w:name w:val="Стиль таблицы3"/>
    <w:uiPriority w:val="99"/>
    <w:rsid w:val="001F6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7">
    <w:name w:val="Стиль таблицы4"/>
    <w:uiPriority w:val="99"/>
    <w:rsid w:val="001F6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1">
    <w:name w:val="Стиль таблицы5"/>
    <w:uiPriority w:val="99"/>
    <w:rsid w:val="001F6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f1">
    <w:name w:val="Стиль таблицы6"/>
    <w:uiPriority w:val="99"/>
    <w:rsid w:val="001F6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f">
    <w:name w:val="Стиль таблицы7"/>
    <w:uiPriority w:val="99"/>
    <w:rsid w:val="001F6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f8">
    <w:name w:val="List 4"/>
    <w:basedOn w:val="a2"/>
    <w:uiPriority w:val="99"/>
    <w:rsid w:val="001F606D"/>
    <w:pPr>
      <w:ind w:left="1132" w:hanging="283"/>
    </w:pPr>
    <w:rPr>
      <w:sz w:val="24"/>
      <w:szCs w:val="24"/>
    </w:rPr>
  </w:style>
  <w:style w:type="paragraph" w:styleId="afffffffffff3">
    <w:name w:val="Body Text First Indent"/>
    <w:basedOn w:val="af6"/>
    <w:link w:val="afffffffffff4"/>
    <w:uiPriority w:val="99"/>
    <w:rsid w:val="001F606D"/>
    <w:pPr>
      <w:spacing w:after="120"/>
      <w:ind w:firstLine="210"/>
      <w:jc w:val="left"/>
    </w:pPr>
    <w:rPr>
      <w:sz w:val="24"/>
      <w:szCs w:val="24"/>
    </w:rPr>
  </w:style>
  <w:style w:type="character" w:customStyle="1" w:styleId="afffffffffff4">
    <w:name w:val="Красная строка Знак"/>
    <w:link w:val="afffffffffff3"/>
    <w:uiPriority w:val="99"/>
    <w:locked/>
    <w:rsid w:val="001F606D"/>
    <w:rPr>
      <w:rFonts w:cs="Times New Roman"/>
      <w:sz w:val="24"/>
      <w:szCs w:val="24"/>
    </w:rPr>
  </w:style>
  <w:style w:type="paragraph" w:styleId="2fff9">
    <w:name w:val="Body Text First Indent 2"/>
    <w:basedOn w:val="af8"/>
    <w:link w:val="2fffa"/>
    <w:uiPriority w:val="99"/>
    <w:rsid w:val="001F606D"/>
    <w:pPr>
      <w:spacing w:before="0" w:after="120"/>
      <w:ind w:left="283" w:firstLine="210"/>
    </w:pPr>
    <w:rPr>
      <w:rFonts w:ascii="Times New Roman" w:hAnsi="Times New Roman"/>
      <w:sz w:val="24"/>
      <w:szCs w:val="24"/>
    </w:rPr>
  </w:style>
  <w:style w:type="character" w:customStyle="1" w:styleId="2fffa">
    <w:name w:val="Красная строка 2 Знак"/>
    <w:link w:val="2fff9"/>
    <w:uiPriority w:val="99"/>
    <w:locked/>
    <w:rsid w:val="001F606D"/>
    <w:rPr>
      <w:rFonts w:ascii="Arial" w:hAnsi="Arial" w:cs="Arial"/>
      <w:sz w:val="24"/>
      <w:szCs w:val="24"/>
    </w:rPr>
  </w:style>
  <w:style w:type="paragraph" w:customStyle="1" w:styleId="intbh2">
    <w:name w:val="intb_h2"/>
    <w:basedOn w:val="a2"/>
    <w:uiPriority w:val="99"/>
    <w:rsid w:val="001F606D"/>
    <w:pPr>
      <w:spacing w:before="100" w:beforeAutospacing="1" w:after="100" w:afterAutospacing="1"/>
    </w:pPr>
    <w:rPr>
      <w:sz w:val="24"/>
      <w:szCs w:val="24"/>
    </w:rPr>
  </w:style>
  <w:style w:type="character" w:customStyle="1" w:styleId="headnewsmall1">
    <w:name w:val="headnewsmall1"/>
    <w:uiPriority w:val="99"/>
    <w:rsid w:val="001F606D"/>
    <w:rPr>
      <w:rFonts w:ascii="Tahoma" w:hAnsi="Tahoma"/>
      <w:b/>
      <w:color w:val="1B2E51"/>
      <w:sz w:val="17"/>
    </w:rPr>
  </w:style>
  <w:style w:type="paragraph" w:customStyle="1" w:styleId="afffffffffff5">
    <w:name w:val="Стиль"/>
    <w:uiPriority w:val="99"/>
    <w:rsid w:val="001F606D"/>
    <w:pPr>
      <w:autoSpaceDE w:val="0"/>
      <w:autoSpaceDN w:val="0"/>
      <w:adjustRightInd w:val="0"/>
      <w:spacing w:line="560" w:lineRule="atLeast"/>
      <w:ind w:left="737" w:hanging="737"/>
      <w:jc w:val="both"/>
      <w:textAlignment w:val="center"/>
    </w:pPr>
    <w:rPr>
      <w:rFonts w:ascii="Arial" w:hAnsi="Arial" w:cs="Arial"/>
      <w:b/>
      <w:bCs/>
      <w:color w:val="000000"/>
      <w:sz w:val="28"/>
      <w:szCs w:val="28"/>
      <w:lang w:val="en-US"/>
    </w:rPr>
  </w:style>
  <w:style w:type="character" w:customStyle="1" w:styleId="textcopy1">
    <w:name w:val="textcopy1"/>
    <w:uiPriority w:val="99"/>
    <w:rsid w:val="001F606D"/>
    <w:rPr>
      <w:rFonts w:ascii="Arial" w:hAnsi="Arial"/>
      <w:color w:val="000000"/>
      <w:sz w:val="16"/>
    </w:rPr>
  </w:style>
  <w:style w:type="character" w:customStyle="1" w:styleId="Betta">
    <w:name w:val="Betta"/>
    <w:uiPriority w:val="99"/>
    <w:rsid w:val="001F606D"/>
    <w:rPr>
      <w:rFonts w:ascii="Symbol" w:hAnsi="Symbol"/>
      <w:sz w:val="18"/>
      <w:lang w:val="ru-RU"/>
    </w:rPr>
  </w:style>
  <w:style w:type="table" w:customStyle="1" w:styleId="21220">
    <w:name w:val="Сетка таблицы2122"/>
    <w:uiPriority w:val="99"/>
    <w:rsid w:val="001F6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Сетка таблицы3112"/>
    <w:uiPriority w:val="99"/>
    <w:rsid w:val="001F606D"/>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3pt">
    <w:name w:val="Основной текст (2) + 13 pt"/>
    <w:aliases w:val="Не курсив1,Интервал 0 pt1"/>
    <w:uiPriority w:val="99"/>
    <w:rsid w:val="001F606D"/>
    <w:rPr>
      <w:rFonts w:ascii="Microsoft Sans Serif" w:hAnsi="Microsoft Sans Serif" w:cs="Microsoft Sans Serif"/>
      <w:i/>
      <w:iCs/>
      <w:color w:val="000000"/>
      <w:spacing w:val="0"/>
      <w:w w:val="100"/>
      <w:position w:val="0"/>
      <w:sz w:val="26"/>
      <w:szCs w:val="26"/>
      <w:shd w:val="clear" w:color="auto" w:fill="FFFFFF"/>
      <w:lang w:val="en-US" w:eastAsia="en-US"/>
    </w:rPr>
  </w:style>
  <w:style w:type="character" w:customStyle="1" w:styleId="28pt1">
    <w:name w:val="Основной текст (2) + 8 pt1"/>
    <w:aliases w:val="Интервал 1 pt1"/>
    <w:uiPriority w:val="99"/>
    <w:rsid w:val="001F606D"/>
    <w:rPr>
      <w:rFonts w:ascii="Microsoft Sans Serif" w:hAnsi="Microsoft Sans Serif" w:cs="Microsoft Sans Serif"/>
      <w:i/>
      <w:iCs/>
      <w:color w:val="000000"/>
      <w:spacing w:val="20"/>
      <w:w w:val="100"/>
      <w:position w:val="0"/>
      <w:sz w:val="16"/>
      <w:szCs w:val="16"/>
      <w:u w:val="none"/>
      <w:shd w:val="clear" w:color="auto" w:fill="FFFFFF"/>
      <w:lang w:val="en-US" w:eastAsia="en-US"/>
    </w:rPr>
  </w:style>
  <w:style w:type="table" w:customStyle="1" w:styleId="528">
    <w:name w:val="Сетка таблицы528"/>
    <w:uiPriority w:val="99"/>
    <w:locked/>
    <w:rsid w:val="004A0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9">
    <w:name w:val="Сетка таблицы529"/>
    <w:uiPriority w:val="99"/>
    <w:locked/>
    <w:rsid w:val="00AC51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0">
    <w:name w:val="Сетка таблицы530"/>
    <w:uiPriority w:val="99"/>
    <w:locked/>
    <w:rsid w:val="009520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a">
    <w:name w:val="Стиль 48 пт полужирный"/>
    <w:uiPriority w:val="99"/>
    <w:rsid w:val="00C5336B"/>
    <w:rPr>
      <w:rFonts w:ascii="Harlow Solid Italic" w:hAnsi="Harlow Solid Italic"/>
      <w:b/>
      <w:sz w:val="96"/>
    </w:rPr>
  </w:style>
  <w:style w:type="table" w:customStyle="1" w:styleId="5320">
    <w:name w:val="Сетка таблицы532"/>
    <w:uiPriority w:val="99"/>
    <w:locked/>
    <w:rsid w:val="00C533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bel">
    <w:name w:val="label"/>
    <w:uiPriority w:val="99"/>
    <w:rsid w:val="00C5336B"/>
    <w:rPr>
      <w:rFonts w:cs="Times New Roman"/>
    </w:rPr>
  </w:style>
  <w:style w:type="character" w:customStyle="1" w:styleId="wi-fullname">
    <w:name w:val="wi-fullname"/>
    <w:uiPriority w:val="99"/>
    <w:rsid w:val="00C5336B"/>
  </w:style>
  <w:style w:type="character" w:customStyle="1" w:styleId="ej-keyword">
    <w:name w:val="ej-keyword"/>
    <w:uiPriority w:val="99"/>
    <w:rsid w:val="00C5336B"/>
    <w:rPr>
      <w:rFonts w:cs="Times New Roman"/>
    </w:rPr>
  </w:style>
  <w:style w:type="character" w:customStyle="1" w:styleId="WW8Num16z2">
    <w:name w:val="WW8Num16z2"/>
    <w:uiPriority w:val="99"/>
    <w:rsid w:val="00C5336B"/>
    <w:rPr>
      <w:rFonts w:ascii="Wingdings" w:hAnsi="Wingdings"/>
    </w:rPr>
  </w:style>
  <w:style w:type="character" w:customStyle="1" w:styleId="WW8Num17z1">
    <w:name w:val="WW8Num17z1"/>
    <w:uiPriority w:val="99"/>
    <w:rsid w:val="00C5336B"/>
    <w:rPr>
      <w:rFonts w:ascii="Courier New" w:hAnsi="Courier New"/>
    </w:rPr>
  </w:style>
  <w:style w:type="character" w:customStyle="1" w:styleId="WW8Num17z2">
    <w:name w:val="WW8Num17z2"/>
    <w:uiPriority w:val="99"/>
    <w:rsid w:val="00C5336B"/>
    <w:rPr>
      <w:rFonts w:ascii="Wingdings" w:hAnsi="Wingdings"/>
    </w:rPr>
  </w:style>
  <w:style w:type="character" w:customStyle="1" w:styleId="afffffffffff6">
    <w:name w:val="Знак Знак"/>
    <w:uiPriority w:val="99"/>
    <w:rsid w:val="00C5336B"/>
    <w:rPr>
      <w:rFonts w:ascii="Times New Roman" w:hAnsi="Times New Roman"/>
      <w:sz w:val="2"/>
    </w:rPr>
  </w:style>
  <w:style w:type="table" w:customStyle="1" w:styleId="11310">
    <w:name w:val="Сетка таблицы1131"/>
    <w:uiPriority w:val="99"/>
    <w:rsid w:val="00C533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0">
    <w:name w:val="Сетка таблицы533"/>
    <w:uiPriority w:val="99"/>
    <w:locked/>
    <w:rsid w:val="00124D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0">
    <w:name w:val="Сетка таблицы534"/>
    <w:uiPriority w:val="99"/>
    <w:locked/>
    <w:rsid w:val="00124D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uiPriority w:val="99"/>
    <w:rsid w:val="00124D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0">
    <w:name w:val="Сетка таблицы535"/>
    <w:uiPriority w:val="99"/>
    <w:locked/>
    <w:rsid w:val="00FE63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uiPriority w:val="99"/>
    <w:rsid w:val="00FE63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ddenreadable">
    <w:name w:val="hiddenreadable"/>
    <w:uiPriority w:val="99"/>
    <w:rsid w:val="00472E8B"/>
    <w:rPr>
      <w:rFonts w:cs="Times New Roman"/>
    </w:rPr>
  </w:style>
  <w:style w:type="character" w:customStyle="1" w:styleId="issuevolsp">
    <w:name w:val="issuevolsp"/>
    <w:uiPriority w:val="99"/>
    <w:rsid w:val="00472E8B"/>
    <w:rPr>
      <w:rFonts w:cs="Times New Roman"/>
    </w:rPr>
  </w:style>
  <w:style w:type="character" w:customStyle="1" w:styleId="issuenumsp">
    <w:name w:val="issuenumsp"/>
    <w:uiPriority w:val="99"/>
    <w:rsid w:val="00472E8B"/>
    <w:rPr>
      <w:rFonts w:cs="Times New Roman"/>
    </w:rPr>
  </w:style>
  <w:style w:type="character" w:customStyle="1" w:styleId="pagerange">
    <w:name w:val="pagerange"/>
    <w:uiPriority w:val="99"/>
    <w:rsid w:val="00472E8B"/>
    <w:rPr>
      <w:rFonts w:cs="Times New Roman"/>
    </w:rPr>
  </w:style>
  <w:style w:type="character" w:customStyle="1" w:styleId="article-headerdoilabel">
    <w:name w:val="article-header__doi__label"/>
    <w:uiPriority w:val="99"/>
    <w:rsid w:val="00472E8B"/>
    <w:rPr>
      <w:rFonts w:cs="Times New Roman"/>
    </w:rPr>
  </w:style>
  <w:style w:type="character" w:customStyle="1" w:styleId="journaltitlesp">
    <w:name w:val="journaltitlesp"/>
    <w:uiPriority w:val="99"/>
    <w:rsid w:val="00472E8B"/>
    <w:rPr>
      <w:rFonts w:cs="Times New Roman"/>
    </w:rPr>
  </w:style>
  <w:style w:type="character" w:customStyle="1" w:styleId="ft5">
    <w:name w:val="ft5"/>
    <w:uiPriority w:val="99"/>
    <w:rsid w:val="00472E8B"/>
    <w:rPr>
      <w:rFonts w:cs="Times New Roman"/>
    </w:rPr>
  </w:style>
  <w:style w:type="character" w:customStyle="1" w:styleId="meta-authors--remaining">
    <w:name w:val="meta-authors--remaining"/>
    <w:uiPriority w:val="99"/>
    <w:rsid w:val="00472E8B"/>
    <w:rPr>
      <w:rFonts w:cs="Times New Roman"/>
    </w:rPr>
  </w:style>
  <w:style w:type="character" w:customStyle="1" w:styleId="u-visually-hidden">
    <w:name w:val="u-visually-hidden"/>
    <w:uiPriority w:val="99"/>
    <w:rsid w:val="00472E8B"/>
    <w:rPr>
      <w:rFonts w:cs="Times New Roman"/>
    </w:rPr>
  </w:style>
  <w:style w:type="paragraph" w:customStyle="1" w:styleId="c-article-referencestext">
    <w:name w:val="c-article-references__text"/>
    <w:basedOn w:val="a2"/>
    <w:uiPriority w:val="99"/>
    <w:rsid w:val="00472E8B"/>
    <w:pPr>
      <w:spacing w:before="100" w:beforeAutospacing="1" w:after="100" w:afterAutospacing="1"/>
    </w:pPr>
    <w:rPr>
      <w:sz w:val="24"/>
      <w:szCs w:val="24"/>
    </w:rPr>
  </w:style>
  <w:style w:type="character" w:customStyle="1" w:styleId="c-article-referencescounter">
    <w:name w:val="c-article-references__counter"/>
    <w:uiPriority w:val="99"/>
    <w:rsid w:val="00472E8B"/>
    <w:rPr>
      <w:rFonts w:cs="Times New Roman"/>
    </w:rPr>
  </w:style>
  <w:style w:type="character" w:customStyle="1" w:styleId="js-item-maininfo">
    <w:name w:val="js-item-maininfo"/>
    <w:uiPriority w:val="99"/>
    <w:rsid w:val="00472E8B"/>
    <w:rPr>
      <w:rFonts w:cs="Times New Roman"/>
    </w:rPr>
  </w:style>
  <w:style w:type="character" w:customStyle="1" w:styleId="ff7">
    <w:name w:val="ff7"/>
    <w:uiPriority w:val="99"/>
    <w:rsid w:val="00472E8B"/>
    <w:rPr>
      <w:rFonts w:cs="Times New Roman"/>
    </w:rPr>
  </w:style>
  <w:style w:type="character" w:customStyle="1" w:styleId="wse7">
    <w:name w:val="wse7"/>
    <w:uiPriority w:val="99"/>
    <w:rsid w:val="00472E8B"/>
    <w:rPr>
      <w:rFonts w:cs="Times New Roman"/>
    </w:rPr>
  </w:style>
  <w:style w:type="character" w:customStyle="1" w:styleId="ff1">
    <w:name w:val="ff1"/>
    <w:uiPriority w:val="99"/>
    <w:rsid w:val="00472E8B"/>
    <w:rPr>
      <w:rFonts w:cs="Times New Roman"/>
    </w:rPr>
  </w:style>
  <w:style w:type="character" w:customStyle="1" w:styleId="wsea">
    <w:name w:val="wsea"/>
    <w:uiPriority w:val="99"/>
    <w:rsid w:val="00472E8B"/>
    <w:rPr>
      <w:rFonts w:cs="Times New Roman"/>
    </w:rPr>
  </w:style>
  <w:style w:type="character" w:customStyle="1" w:styleId="afffffffffff7">
    <w:name w:val="_"/>
    <w:uiPriority w:val="99"/>
    <w:rsid w:val="00472E8B"/>
    <w:rPr>
      <w:rFonts w:cs="Times New Roman"/>
    </w:rPr>
  </w:style>
  <w:style w:type="character" w:customStyle="1" w:styleId="wsec">
    <w:name w:val="wsec"/>
    <w:uiPriority w:val="99"/>
    <w:rsid w:val="00472E8B"/>
    <w:rPr>
      <w:rFonts w:cs="Times New Roman"/>
    </w:rPr>
  </w:style>
  <w:style w:type="character" w:customStyle="1" w:styleId="ff4">
    <w:name w:val="ff4"/>
    <w:uiPriority w:val="99"/>
    <w:rsid w:val="00472E8B"/>
    <w:rPr>
      <w:rFonts w:cs="Times New Roman"/>
    </w:rPr>
  </w:style>
  <w:style w:type="character" w:customStyle="1" w:styleId="ff6">
    <w:name w:val="ff6"/>
    <w:uiPriority w:val="99"/>
    <w:rsid w:val="00472E8B"/>
    <w:rPr>
      <w:rFonts w:cs="Times New Roman"/>
    </w:rPr>
  </w:style>
  <w:style w:type="character" w:customStyle="1" w:styleId="wsf2">
    <w:name w:val="wsf2"/>
    <w:uiPriority w:val="99"/>
    <w:rsid w:val="00472E8B"/>
    <w:rPr>
      <w:rFonts w:cs="Times New Roman"/>
    </w:rPr>
  </w:style>
  <w:style w:type="character" w:customStyle="1" w:styleId="wsf7">
    <w:name w:val="wsf7"/>
    <w:uiPriority w:val="99"/>
    <w:rsid w:val="00472E8B"/>
    <w:rPr>
      <w:rFonts w:cs="Times New Roman"/>
    </w:rPr>
  </w:style>
  <w:style w:type="character" w:customStyle="1" w:styleId="ws112">
    <w:name w:val="ws112"/>
    <w:uiPriority w:val="99"/>
    <w:rsid w:val="00472E8B"/>
    <w:rPr>
      <w:rFonts w:cs="Times New Roman"/>
    </w:rPr>
  </w:style>
  <w:style w:type="character" w:customStyle="1" w:styleId="ws116">
    <w:name w:val="ws116"/>
    <w:uiPriority w:val="99"/>
    <w:rsid w:val="00472E8B"/>
    <w:rPr>
      <w:rFonts w:cs="Times New Roman"/>
    </w:rPr>
  </w:style>
  <w:style w:type="character" w:customStyle="1" w:styleId="i">
    <w:name w:val="i"/>
    <w:uiPriority w:val="99"/>
    <w:rsid w:val="00472E8B"/>
    <w:rPr>
      <w:rFonts w:cs="Times New Roman"/>
    </w:rPr>
  </w:style>
  <w:style w:type="character" w:customStyle="1" w:styleId="authors-list-item">
    <w:name w:val="authors-list-item"/>
    <w:uiPriority w:val="99"/>
    <w:rsid w:val="00F52145"/>
    <w:rPr>
      <w:rFonts w:cs="Times New Roman"/>
    </w:rPr>
  </w:style>
  <w:style w:type="character" w:customStyle="1" w:styleId="author-sup-separator">
    <w:name w:val="author-sup-separator"/>
    <w:uiPriority w:val="99"/>
    <w:rsid w:val="00F52145"/>
    <w:rPr>
      <w:rFonts w:cs="Times New Roman"/>
    </w:rPr>
  </w:style>
  <w:style w:type="paragraph" w:customStyle="1" w:styleId="3ff4">
    <w:name w:val="Рубрика 3"/>
    <w:next w:val="af6"/>
    <w:uiPriority w:val="99"/>
    <w:rsid w:val="006239CF"/>
    <w:pPr>
      <w:pBdr>
        <w:top w:val="none" w:sz="96" w:space="31" w:color="FFFFFF" w:frame="1"/>
        <w:left w:val="none" w:sz="96" w:space="31" w:color="FFFFFF" w:frame="1"/>
        <w:bottom w:val="none" w:sz="96" w:space="31" w:color="FFFFFF" w:frame="1"/>
        <w:right w:val="none" w:sz="96" w:space="31" w:color="FFFFFF" w:frame="1"/>
        <w:bar w:val="none" w:sz="0" w:color="000000"/>
      </w:pBdr>
      <w:jc w:val="center"/>
      <w:outlineLvl w:val="2"/>
    </w:pPr>
    <w:rPr>
      <w:rFonts w:eastAsia="Arial Unicode MS"/>
      <w:b/>
      <w:bCs/>
      <w:i/>
      <w:iCs/>
      <w:color w:val="000000"/>
      <w:sz w:val="28"/>
      <w:szCs w:val="28"/>
      <w:u w:color="000000"/>
      <w:shd w:val="clear" w:color="FFFFFF" w:fill="FFFFFF"/>
    </w:rPr>
  </w:style>
  <w:style w:type="character" w:customStyle="1" w:styleId="afffffffffff8">
    <w:name w:val="Нет"/>
    <w:uiPriority w:val="99"/>
    <w:rsid w:val="006239CF"/>
  </w:style>
  <w:style w:type="character" w:customStyle="1" w:styleId="Hyperlink0">
    <w:name w:val="Hyperlink.0"/>
    <w:uiPriority w:val="99"/>
    <w:rsid w:val="006239CF"/>
    <w:rPr>
      <w:rFonts w:cs="Times New Roman"/>
      <w:sz w:val="28"/>
      <w:szCs w:val="28"/>
    </w:rPr>
  </w:style>
  <w:style w:type="numbering" w:customStyle="1" w:styleId="a">
    <w:name w:val="С буквами"/>
    <w:rsid w:val="00416040"/>
    <w:pPr>
      <w:numPr>
        <w:numId w:val="6"/>
      </w:numPr>
    </w:pPr>
  </w:style>
  <w:style w:type="numbering" w:customStyle="1" w:styleId="a1">
    <w:name w:val="Тире"/>
    <w:rsid w:val="00416040"/>
    <w:pPr>
      <w:numPr>
        <w:numId w:val="7"/>
      </w:numPr>
    </w:pPr>
  </w:style>
  <w:style w:type="numbering" w:customStyle="1" w:styleId="WW8Num4">
    <w:name w:val="WW8Num4"/>
    <w:rsid w:val="00416040"/>
    <w:pPr>
      <w:numPr>
        <w:numId w:val="9"/>
      </w:numPr>
    </w:pPr>
  </w:style>
  <w:style w:type="numbering" w:customStyle="1" w:styleId="ImportedStyle1">
    <w:name w:val="Imported Style 1"/>
    <w:rsid w:val="00416040"/>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137980">
      <w:marLeft w:val="0"/>
      <w:marRight w:val="0"/>
      <w:marTop w:val="0"/>
      <w:marBottom w:val="0"/>
      <w:divBdr>
        <w:top w:val="none" w:sz="0" w:space="0" w:color="auto"/>
        <w:left w:val="none" w:sz="0" w:space="0" w:color="auto"/>
        <w:bottom w:val="none" w:sz="0" w:space="0" w:color="auto"/>
        <w:right w:val="none" w:sz="0" w:space="0" w:color="auto"/>
      </w:divBdr>
    </w:div>
    <w:div w:id="294137985">
      <w:marLeft w:val="0"/>
      <w:marRight w:val="0"/>
      <w:marTop w:val="0"/>
      <w:marBottom w:val="0"/>
      <w:divBdr>
        <w:top w:val="none" w:sz="0" w:space="0" w:color="auto"/>
        <w:left w:val="none" w:sz="0" w:space="0" w:color="auto"/>
        <w:bottom w:val="none" w:sz="0" w:space="0" w:color="auto"/>
        <w:right w:val="none" w:sz="0" w:space="0" w:color="auto"/>
      </w:divBdr>
      <w:divsChild>
        <w:div w:id="294137984">
          <w:marLeft w:val="547"/>
          <w:marRight w:val="0"/>
          <w:marTop w:val="140"/>
          <w:marBottom w:val="0"/>
          <w:divBdr>
            <w:top w:val="none" w:sz="0" w:space="0" w:color="auto"/>
            <w:left w:val="none" w:sz="0" w:space="0" w:color="auto"/>
            <w:bottom w:val="none" w:sz="0" w:space="0" w:color="auto"/>
            <w:right w:val="none" w:sz="0" w:space="0" w:color="auto"/>
          </w:divBdr>
        </w:div>
        <w:div w:id="294157488">
          <w:marLeft w:val="490"/>
          <w:marRight w:val="0"/>
          <w:marTop w:val="60"/>
          <w:marBottom w:val="0"/>
          <w:divBdr>
            <w:top w:val="none" w:sz="0" w:space="0" w:color="auto"/>
            <w:left w:val="none" w:sz="0" w:space="0" w:color="auto"/>
            <w:bottom w:val="none" w:sz="0" w:space="0" w:color="auto"/>
            <w:right w:val="none" w:sz="0" w:space="0" w:color="auto"/>
          </w:divBdr>
        </w:div>
        <w:div w:id="294157490">
          <w:marLeft w:val="547"/>
          <w:marRight w:val="0"/>
          <w:marTop w:val="60"/>
          <w:marBottom w:val="0"/>
          <w:divBdr>
            <w:top w:val="none" w:sz="0" w:space="0" w:color="auto"/>
            <w:left w:val="none" w:sz="0" w:space="0" w:color="auto"/>
            <w:bottom w:val="none" w:sz="0" w:space="0" w:color="auto"/>
            <w:right w:val="none" w:sz="0" w:space="0" w:color="auto"/>
          </w:divBdr>
        </w:div>
        <w:div w:id="294157497">
          <w:marLeft w:val="490"/>
          <w:marRight w:val="0"/>
          <w:marTop w:val="60"/>
          <w:marBottom w:val="0"/>
          <w:divBdr>
            <w:top w:val="none" w:sz="0" w:space="0" w:color="auto"/>
            <w:left w:val="none" w:sz="0" w:space="0" w:color="auto"/>
            <w:bottom w:val="none" w:sz="0" w:space="0" w:color="auto"/>
            <w:right w:val="none" w:sz="0" w:space="0" w:color="auto"/>
          </w:divBdr>
        </w:div>
        <w:div w:id="294157498">
          <w:marLeft w:val="547"/>
          <w:marRight w:val="0"/>
          <w:marTop w:val="60"/>
          <w:marBottom w:val="0"/>
          <w:divBdr>
            <w:top w:val="none" w:sz="0" w:space="0" w:color="auto"/>
            <w:left w:val="none" w:sz="0" w:space="0" w:color="auto"/>
            <w:bottom w:val="none" w:sz="0" w:space="0" w:color="auto"/>
            <w:right w:val="none" w:sz="0" w:space="0" w:color="auto"/>
          </w:divBdr>
        </w:div>
        <w:div w:id="294157509">
          <w:marLeft w:val="547"/>
          <w:marRight w:val="0"/>
          <w:marTop w:val="60"/>
          <w:marBottom w:val="0"/>
          <w:divBdr>
            <w:top w:val="none" w:sz="0" w:space="0" w:color="auto"/>
            <w:left w:val="none" w:sz="0" w:space="0" w:color="auto"/>
            <w:bottom w:val="none" w:sz="0" w:space="0" w:color="auto"/>
            <w:right w:val="none" w:sz="0" w:space="0" w:color="auto"/>
          </w:divBdr>
        </w:div>
      </w:divsChild>
    </w:div>
    <w:div w:id="294138018">
      <w:marLeft w:val="0"/>
      <w:marRight w:val="0"/>
      <w:marTop w:val="0"/>
      <w:marBottom w:val="0"/>
      <w:divBdr>
        <w:top w:val="none" w:sz="0" w:space="0" w:color="auto"/>
        <w:left w:val="none" w:sz="0" w:space="0" w:color="auto"/>
        <w:bottom w:val="none" w:sz="0" w:space="0" w:color="auto"/>
        <w:right w:val="none" w:sz="0" w:space="0" w:color="auto"/>
      </w:divBdr>
      <w:divsChild>
        <w:div w:id="294140758">
          <w:marLeft w:val="720"/>
          <w:marRight w:val="720"/>
          <w:marTop w:val="100"/>
          <w:marBottom w:val="100"/>
          <w:divBdr>
            <w:top w:val="none" w:sz="0" w:space="0" w:color="auto"/>
            <w:left w:val="none" w:sz="0" w:space="0" w:color="auto"/>
            <w:bottom w:val="none" w:sz="0" w:space="0" w:color="auto"/>
            <w:right w:val="none" w:sz="0" w:space="0" w:color="auto"/>
          </w:divBdr>
        </w:div>
      </w:divsChild>
    </w:div>
    <w:div w:id="294138059">
      <w:marLeft w:val="0"/>
      <w:marRight w:val="0"/>
      <w:marTop w:val="0"/>
      <w:marBottom w:val="0"/>
      <w:divBdr>
        <w:top w:val="none" w:sz="0" w:space="0" w:color="auto"/>
        <w:left w:val="none" w:sz="0" w:space="0" w:color="auto"/>
        <w:bottom w:val="none" w:sz="0" w:space="0" w:color="auto"/>
        <w:right w:val="none" w:sz="0" w:space="0" w:color="auto"/>
      </w:divBdr>
    </w:div>
    <w:div w:id="294138090">
      <w:marLeft w:val="0"/>
      <w:marRight w:val="0"/>
      <w:marTop w:val="0"/>
      <w:marBottom w:val="0"/>
      <w:divBdr>
        <w:top w:val="none" w:sz="0" w:space="0" w:color="auto"/>
        <w:left w:val="none" w:sz="0" w:space="0" w:color="auto"/>
        <w:bottom w:val="none" w:sz="0" w:space="0" w:color="auto"/>
        <w:right w:val="none" w:sz="0" w:space="0" w:color="auto"/>
      </w:divBdr>
    </w:div>
    <w:div w:id="294138169">
      <w:marLeft w:val="0"/>
      <w:marRight w:val="0"/>
      <w:marTop w:val="0"/>
      <w:marBottom w:val="0"/>
      <w:divBdr>
        <w:top w:val="none" w:sz="0" w:space="0" w:color="auto"/>
        <w:left w:val="none" w:sz="0" w:space="0" w:color="auto"/>
        <w:bottom w:val="none" w:sz="0" w:space="0" w:color="auto"/>
        <w:right w:val="none" w:sz="0" w:space="0" w:color="auto"/>
      </w:divBdr>
    </w:div>
    <w:div w:id="294138184">
      <w:marLeft w:val="0"/>
      <w:marRight w:val="0"/>
      <w:marTop w:val="0"/>
      <w:marBottom w:val="0"/>
      <w:divBdr>
        <w:top w:val="none" w:sz="0" w:space="0" w:color="auto"/>
        <w:left w:val="none" w:sz="0" w:space="0" w:color="auto"/>
        <w:bottom w:val="none" w:sz="0" w:space="0" w:color="auto"/>
        <w:right w:val="none" w:sz="0" w:space="0" w:color="auto"/>
      </w:divBdr>
    </w:div>
    <w:div w:id="294138220">
      <w:marLeft w:val="0"/>
      <w:marRight w:val="0"/>
      <w:marTop w:val="0"/>
      <w:marBottom w:val="0"/>
      <w:divBdr>
        <w:top w:val="none" w:sz="0" w:space="0" w:color="auto"/>
        <w:left w:val="none" w:sz="0" w:space="0" w:color="auto"/>
        <w:bottom w:val="none" w:sz="0" w:space="0" w:color="auto"/>
        <w:right w:val="none" w:sz="0" w:space="0" w:color="auto"/>
      </w:divBdr>
      <w:divsChild>
        <w:div w:id="294142169">
          <w:marLeft w:val="0"/>
          <w:marRight w:val="0"/>
          <w:marTop w:val="0"/>
          <w:marBottom w:val="0"/>
          <w:divBdr>
            <w:top w:val="none" w:sz="0" w:space="0" w:color="auto"/>
            <w:left w:val="none" w:sz="0" w:space="0" w:color="auto"/>
            <w:bottom w:val="none" w:sz="0" w:space="0" w:color="auto"/>
            <w:right w:val="none" w:sz="0" w:space="0" w:color="auto"/>
          </w:divBdr>
          <w:divsChild>
            <w:div w:id="294141075">
              <w:marLeft w:val="0"/>
              <w:marRight w:val="0"/>
              <w:marTop w:val="0"/>
              <w:marBottom w:val="0"/>
              <w:divBdr>
                <w:top w:val="none" w:sz="0" w:space="0" w:color="auto"/>
                <w:left w:val="none" w:sz="0" w:space="0" w:color="auto"/>
                <w:bottom w:val="none" w:sz="0" w:space="0" w:color="auto"/>
                <w:right w:val="none" w:sz="0" w:space="0" w:color="auto"/>
              </w:divBdr>
              <w:divsChild>
                <w:div w:id="294138274">
                  <w:marLeft w:val="0"/>
                  <w:marRight w:val="0"/>
                  <w:marTop w:val="0"/>
                  <w:marBottom w:val="0"/>
                  <w:divBdr>
                    <w:top w:val="none" w:sz="0" w:space="0" w:color="auto"/>
                    <w:left w:val="none" w:sz="0" w:space="0" w:color="auto"/>
                    <w:bottom w:val="none" w:sz="0" w:space="0" w:color="auto"/>
                    <w:right w:val="none" w:sz="0" w:space="0" w:color="auto"/>
                  </w:divBdr>
                </w:div>
                <w:div w:id="294138317">
                  <w:marLeft w:val="0"/>
                  <w:marRight w:val="0"/>
                  <w:marTop w:val="0"/>
                  <w:marBottom w:val="0"/>
                  <w:divBdr>
                    <w:top w:val="none" w:sz="0" w:space="0" w:color="auto"/>
                    <w:left w:val="none" w:sz="0" w:space="0" w:color="auto"/>
                    <w:bottom w:val="none" w:sz="0" w:space="0" w:color="auto"/>
                    <w:right w:val="none" w:sz="0" w:space="0" w:color="auto"/>
                  </w:divBdr>
                </w:div>
                <w:div w:id="294138756">
                  <w:marLeft w:val="0"/>
                  <w:marRight w:val="0"/>
                  <w:marTop w:val="0"/>
                  <w:marBottom w:val="0"/>
                  <w:divBdr>
                    <w:top w:val="none" w:sz="0" w:space="0" w:color="auto"/>
                    <w:left w:val="none" w:sz="0" w:space="0" w:color="auto"/>
                    <w:bottom w:val="none" w:sz="0" w:space="0" w:color="auto"/>
                    <w:right w:val="none" w:sz="0" w:space="0" w:color="auto"/>
                  </w:divBdr>
                </w:div>
                <w:div w:id="294139887">
                  <w:marLeft w:val="0"/>
                  <w:marRight w:val="0"/>
                  <w:marTop w:val="0"/>
                  <w:marBottom w:val="0"/>
                  <w:divBdr>
                    <w:top w:val="none" w:sz="0" w:space="0" w:color="auto"/>
                    <w:left w:val="none" w:sz="0" w:space="0" w:color="auto"/>
                    <w:bottom w:val="none" w:sz="0" w:space="0" w:color="auto"/>
                    <w:right w:val="none" w:sz="0" w:space="0" w:color="auto"/>
                  </w:divBdr>
                </w:div>
                <w:div w:id="294140075">
                  <w:marLeft w:val="0"/>
                  <w:marRight w:val="0"/>
                  <w:marTop w:val="0"/>
                  <w:marBottom w:val="0"/>
                  <w:divBdr>
                    <w:top w:val="none" w:sz="0" w:space="0" w:color="auto"/>
                    <w:left w:val="none" w:sz="0" w:space="0" w:color="auto"/>
                    <w:bottom w:val="none" w:sz="0" w:space="0" w:color="auto"/>
                    <w:right w:val="none" w:sz="0" w:space="0" w:color="auto"/>
                  </w:divBdr>
                </w:div>
                <w:div w:id="294140353">
                  <w:marLeft w:val="0"/>
                  <w:marRight w:val="0"/>
                  <w:marTop w:val="0"/>
                  <w:marBottom w:val="0"/>
                  <w:divBdr>
                    <w:top w:val="none" w:sz="0" w:space="0" w:color="auto"/>
                    <w:left w:val="none" w:sz="0" w:space="0" w:color="auto"/>
                    <w:bottom w:val="none" w:sz="0" w:space="0" w:color="auto"/>
                    <w:right w:val="none" w:sz="0" w:space="0" w:color="auto"/>
                  </w:divBdr>
                </w:div>
                <w:div w:id="294140572">
                  <w:marLeft w:val="0"/>
                  <w:marRight w:val="0"/>
                  <w:marTop w:val="0"/>
                  <w:marBottom w:val="0"/>
                  <w:divBdr>
                    <w:top w:val="none" w:sz="0" w:space="0" w:color="auto"/>
                    <w:left w:val="none" w:sz="0" w:space="0" w:color="auto"/>
                    <w:bottom w:val="none" w:sz="0" w:space="0" w:color="auto"/>
                    <w:right w:val="none" w:sz="0" w:space="0" w:color="auto"/>
                  </w:divBdr>
                </w:div>
                <w:div w:id="294140578">
                  <w:marLeft w:val="0"/>
                  <w:marRight w:val="0"/>
                  <w:marTop w:val="0"/>
                  <w:marBottom w:val="0"/>
                  <w:divBdr>
                    <w:top w:val="none" w:sz="0" w:space="0" w:color="auto"/>
                    <w:left w:val="none" w:sz="0" w:space="0" w:color="auto"/>
                    <w:bottom w:val="none" w:sz="0" w:space="0" w:color="auto"/>
                    <w:right w:val="none" w:sz="0" w:space="0" w:color="auto"/>
                  </w:divBdr>
                </w:div>
                <w:div w:id="294140619">
                  <w:marLeft w:val="0"/>
                  <w:marRight w:val="0"/>
                  <w:marTop w:val="0"/>
                  <w:marBottom w:val="0"/>
                  <w:divBdr>
                    <w:top w:val="none" w:sz="0" w:space="0" w:color="auto"/>
                    <w:left w:val="none" w:sz="0" w:space="0" w:color="auto"/>
                    <w:bottom w:val="none" w:sz="0" w:space="0" w:color="auto"/>
                    <w:right w:val="none" w:sz="0" w:space="0" w:color="auto"/>
                  </w:divBdr>
                </w:div>
                <w:div w:id="294140705">
                  <w:marLeft w:val="0"/>
                  <w:marRight w:val="0"/>
                  <w:marTop w:val="0"/>
                  <w:marBottom w:val="0"/>
                  <w:divBdr>
                    <w:top w:val="none" w:sz="0" w:space="0" w:color="auto"/>
                    <w:left w:val="none" w:sz="0" w:space="0" w:color="auto"/>
                    <w:bottom w:val="none" w:sz="0" w:space="0" w:color="auto"/>
                    <w:right w:val="none" w:sz="0" w:space="0" w:color="auto"/>
                  </w:divBdr>
                </w:div>
                <w:div w:id="294140949">
                  <w:marLeft w:val="0"/>
                  <w:marRight w:val="0"/>
                  <w:marTop w:val="0"/>
                  <w:marBottom w:val="0"/>
                  <w:divBdr>
                    <w:top w:val="none" w:sz="0" w:space="0" w:color="auto"/>
                    <w:left w:val="none" w:sz="0" w:space="0" w:color="auto"/>
                    <w:bottom w:val="none" w:sz="0" w:space="0" w:color="auto"/>
                    <w:right w:val="none" w:sz="0" w:space="0" w:color="auto"/>
                  </w:divBdr>
                </w:div>
                <w:div w:id="294141013">
                  <w:marLeft w:val="0"/>
                  <w:marRight w:val="0"/>
                  <w:marTop w:val="0"/>
                  <w:marBottom w:val="0"/>
                  <w:divBdr>
                    <w:top w:val="none" w:sz="0" w:space="0" w:color="auto"/>
                    <w:left w:val="none" w:sz="0" w:space="0" w:color="auto"/>
                    <w:bottom w:val="none" w:sz="0" w:space="0" w:color="auto"/>
                    <w:right w:val="none" w:sz="0" w:space="0" w:color="auto"/>
                  </w:divBdr>
                </w:div>
                <w:div w:id="294141029">
                  <w:marLeft w:val="0"/>
                  <w:marRight w:val="0"/>
                  <w:marTop w:val="0"/>
                  <w:marBottom w:val="0"/>
                  <w:divBdr>
                    <w:top w:val="none" w:sz="0" w:space="0" w:color="auto"/>
                    <w:left w:val="none" w:sz="0" w:space="0" w:color="auto"/>
                    <w:bottom w:val="none" w:sz="0" w:space="0" w:color="auto"/>
                    <w:right w:val="none" w:sz="0" w:space="0" w:color="auto"/>
                  </w:divBdr>
                </w:div>
                <w:div w:id="294141030">
                  <w:marLeft w:val="0"/>
                  <w:marRight w:val="0"/>
                  <w:marTop w:val="0"/>
                  <w:marBottom w:val="0"/>
                  <w:divBdr>
                    <w:top w:val="none" w:sz="0" w:space="0" w:color="auto"/>
                    <w:left w:val="none" w:sz="0" w:space="0" w:color="auto"/>
                    <w:bottom w:val="none" w:sz="0" w:space="0" w:color="auto"/>
                    <w:right w:val="none" w:sz="0" w:space="0" w:color="auto"/>
                  </w:divBdr>
                </w:div>
                <w:div w:id="294141180">
                  <w:marLeft w:val="0"/>
                  <w:marRight w:val="0"/>
                  <w:marTop w:val="0"/>
                  <w:marBottom w:val="0"/>
                  <w:divBdr>
                    <w:top w:val="none" w:sz="0" w:space="0" w:color="auto"/>
                    <w:left w:val="none" w:sz="0" w:space="0" w:color="auto"/>
                    <w:bottom w:val="none" w:sz="0" w:space="0" w:color="auto"/>
                    <w:right w:val="none" w:sz="0" w:space="0" w:color="auto"/>
                  </w:divBdr>
                </w:div>
                <w:div w:id="294141220">
                  <w:marLeft w:val="0"/>
                  <w:marRight w:val="0"/>
                  <w:marTop w:val="0"/>
                  <w:marBottom w:val="0"/>
                  <w:divBdr>
                    <w:top w:val="none" w:sz="0" w:space="0" w:color="auto"/>
                    <w:left w:val="none" w:sz="0" w:space="0" w:color="auto"/>
                    <w:bottom w:val="none" w:sz="0" w:space="0" w:color="auto"/>
                    <w:right w:val="none" w:sz="0" w:space="0" w:color="auto"/>
                  </w:divBdr>
                </w:div>
                <w:div w:id="294141578">
                  <w:marLeft w:val="0"/>
                  <w:marRight w:val="0"/>
                  <w:marTop w:val="0"/>
                  <w:marBottom w:val="0"/>
                  <w:divBdr>
                    <w:top w:val="none" w:sz="0" w:space="0" w:color="auto"/>
                    <w:left w:val="none" w:sz="0" w:space="0" w:color="auto"/>
                    <w:bottom w:val="none" w:sz="0" w:space="0" w:color="auto"/>
                    <w:right w:val="none" w:sz="0" w:space="0" w:color="auto"/>
                  </w:divBdr>
                </w:div>
                <w:div w:id="294141674">
                  <w:marLeft w:val="0"/>
                  <w:marRight w:val="0"/>
                  <w:marTop w:val="0"/>
                  <w:marBottom w:val="0"/>
                  <w:divBdr>
                    <w:top w:val="none" w:sz="0" w:space="0" w:color="auto"/>
                    <w:left w:val="none" w:sz="0" w:space="0" w:color="auto"/>
                    <w:bottom w:val="none" w:sz="0" w:space="0" w:color="auto"/>
                    <w:right w:val="none" w:sz="0" w:space="0" w:color="auto"/>
                  </w:divBdr>
                </w:div>
                <w:div w:id="294141792">
                  <w:marLeft w:val="0"/>
                  <w:marRight w:val="0"/>
                  <w:marTop w:val="0"/>
                  <w:marBottom w:val="0"/>
                  <w:divBdr>
                    <w:top w:val="none" w:sz="0" w:space="0" w:color="auto"/>
                    <w:left w:val="none" w:sz="0" w:space="0" w:color="auto"/>
                    <w:bottom w:val="none" w:sz="0" w:space="0" w:color="auto"/>
                    <w:right w:val="none" w:sz="0" w:space="0" w:color="auto"/>
                  </w:divBdr>
                </w:div>
                <w:div w:id="294141850">
                  <w:marLeft w:val="0"/>
                  <w:marRight w:val="0"/>
                  <w:marTop w:val="0"/>
                  <w:marBottom w:val="0"/>
                  <w:divBdr>
                    <w:top w:val="none" w:sz="0" w:space="0" w:color="auto"/>
                    <w:left w:val="none" w:sz="0" w:space="0" w:color="auto"/>
                    <w:bottom w:val="none" w:sz="0" w:space="0" w:color="auto"/>
                    <w:right w:val="none" w:sz="0" w:space="0" w:color="auto"/>
                  </w:divBdr>
                </w:div>
                <w:div w:id="294141991">
                  <w:marLeft w:val="0"/>
                  <w:marRight w:val="0"/>
                  <w:marTop w:val="0"/>
                  <w:marBottom w:val="0"/>
                  <w:divBdr>
                    <w:top w:val="none" w:sz="0" w:space="0" w:color="auto"/>
                    <w:left w:val="none" w:sz="0" w:space="0" w:color="auto"/>
                    <w:bottom w:val="none" w:sz="0" w:space="0" w:color="auto"/>
                    <w:right w:val="none" w:sz="0" w:space="0" w:color="auto"/>
                  </w:divBdr>
                </w:div>
                <w:div w:id="294142075">
                  <w:marLeft w:val="0"/>
                  <w:marRight w:val="0"/>
                  <w:marTop w:val="0"/>
                  <w:marBottom w:val="0"/>
                  <w:divBdr>
                    <w:top w:val="none" w:sz="0" w:space="0" w:color="auto"/>
                    <w:left w:val="none" w:sz="0" w:space="0" w:color="auto"/>
                    <w:bottom w:val="none" w:sz="0" w:space="0" w:color="auto"/>
                    <w:right w:val="none" w:sz="0" w:space="0" w:color="auto"/>
                  </w:divBdr>
                </w:div>
                <w:div w:id="294142498">
                  <w:marLeft w:val="0"/>
                  <w:marRight w:val="0"/>
                  <w:marTop w:val="0"/>
                  <w:marBottom w:val="0"/>
                  <w:divBdr>
                    <w:top w:val="none" w:sz="0" w:space="0" w:color="auto"/>
                    <w:left w:val="none" w:sz="0" w:space="0" w:color="auto"/>
                    <w:bottom w:val="none" w:sz="0" w:space="0" w:color="auto"/>
                    <w:right w:val="none" w:sz="0" w:space="0" w:color="auto"/>
                  </w:divBdr>
                </w:div>
                <w:div w:id="294142716">
                  <w:marLeft w:val="0"/>
                  <w:marRight w:val="0"/>
                  <w:marTop w:val="0"/>
                  <w:marBottom w:val="0"/>
                  <w:divBdr>
                    <w:top w:val="none" w:sz="0" w:space="0" w:color="auto"/>
                    <w:left w:val="none" w:sz="0" w:space="0" w:color="auto"/>
                    <w:bottom w:val="none" w:sz="0" w:space="0" w:color="auto"/>
                    <w:right w:val="none" w:sz="0" w:space="0" w:color="auto"/>
                  </w:divBdr>
                </w:div>
                <w:div w:id="294144764">
                  <w:marLeft w:val="0"/>
                  <w:marRight w:val="0"/>
                  <w:marTop w:val="0"/>
                  <w:marBottom w:val="0"/>
                  <w:divBdr>
                    <w:top w:val="none" w:sz="0" w:space="0" w:color="auto"/>
                    <w:left w:val="none" w:sz="0" w:space="0" w:color="auto"/>
                    <w:bottom w:val="none" w:sz="0" w:space="0" w:color="auto"/>
                    <w:right w:val="none" w:sz="0" w:space="0" w:color="auto"/>
                  </w:divBdr>
                </w:div>
                <w:div w:id="294145088">
                  <w:marLeft w:val="0"/>
                  <w:marRight w:val="0"/>
                  <w:marTop w:val="0"/>
                  <w:marBottom w:val="0"/>
                  <w:divBdr>
                    <w:top w:val="none" w:sz="0" w:space="0" w:color="auto"/>
                    <w:left w:val="none" w:sz="0" w:space="0" w:color="auto"/>
                    <w:bottom w:val="none" w:sz="0" w:space="0" w:color="auto"/>
                    <w:right w:val="none" w:sz="0" w:space="0" w:color="auto"/>
                  </w:divBdr>
                </w:div>
                <w:div w:id="294145269">
                  <w:marLeft w:val="0"/>
                  <w:marRight w:val="0"/>
                  <w:marTop w:val="0"/>
                  <w:marBottom w:val="0"/>
                  <w:divBdr>
                    <w:top w:val="none" w:sz="0" w:space="0" w:color="auto"/>
                    <w:left w:val="none" w:sz="0" w:space="0" w:color="auto"/>
                    <w:bottom w:val="none" w:sz="0" w:space="0" w:color="auto"/>
                    <w:right w:val="none" w:sz="0" w:space="0" w:color="auto"/>
                  </w:divBdr>
                </w:div>
                <w:div w:id="294145270">
                  <w:marLeft w:val="0"/>
                  <w:marRight w:val="0"/>
                  <w:marTop w:val="0"/>
                  <w:marBottom w:val="0"/>
                  <w:divBdr>
                    <w:top w:val="none" w:sz="0" w:space="0" w:color="auto"/>
                    <w:left w:val="none" w:sz="0" w:space="0" w:color="auto"/>
                    <w:bottom w:val="none" w:sz="0" w:space="0" w:color="auto"/>
                    <w:right w:val="none" w:sz="0" w:space="0" w:color="auto"/>
                  </w:divBdr>
                </w:div>
                <w:div w:id="294145296">
                  <w:marLeft w:val="0"/>
                  <w:marRight w:val="0"/>
                  <w:marTop w:val="0"/>
                  <w:marBottom w:val="0"/>
                  <w:divBdr>
                    <w:top w:val="none" w:sz="0" w:space="0" w:color="auto"/>
                    <w:left w:val="none" w:sz="0" w:space="0" w:color="auto"/>
                    <w:bottom w:val="none" w:sz="0" w:space="0" w:color="auto"/>
                    <w:right w:val="none" w:sz="0" w:space="0" w:color="auto"/>
                  </w:divBdr>
                </w:div>
                <w:div w:id="294145407">
                  <w:marLeft w:val="0"/>
                  <w:marRight w:val="0"/>
                  <w:marTop w:val="0"/>
                  <w:marBottom w:val="0"/>
                  <w:divBdr>
                    <w:top w:val="none" w:sz="0" w:space="0" w:color="auto"/>
                    <w:left w:val="none" w:sz="0" w:space="0" w:color="auto"/>
                    <w:bottom w:val="none" w:sz="0" w:space="0" w:color="auto"/>
                    <w:right w:val="none" w:sz="0" w:space="0" w:color="auto"/>
                  </w:divBdr>
                </w:div>
                <w:div w:id="294145449">
                  <w:marLeft w:val="0"/>
                  <w:marRight w:val="0"/>
                  <w:marTop w:val="0"/>
                  <w:marBottom w:val="0"/>
                  <w:divBdr>
                    <w:top w:val="none" w:sz="0" w:space="0" w:color="auto"/>
                    <w:left w:val="none" w:sz="0" w:space="0" w:color="auto"/>
                    <w:bottom w:val="none" w:sz="0" w:space="0" w:color="auto"/>
                    <w:right w:val="none" w:sz="0" w:space="0" w:color="auto"/>
                  </w:divBdr>
                </w:div>
                <w:div w:id="294145529">
                  <w:marLeft w:val="0"/>
                  <w:marRight w:val="0"/>
                  <w:marTop w:val="0"/>
                  <w:marBottom w:val="0"/>
                  <w:divBdr>
                    <w:top w:val="none" w:sz="0" w:space="0" w:color="auto"/>
                    <w:left w:val="none" w:sz="0" w:space="0" w:color="auto"/>
                    <w:bottom w:val="none" w:sz="0" w:space="0" w:color="auto"/>
                    <w:right w:val="none" w:sz="0" w:space="0" w:color="auto"/>
                  </w:divBdr>
                </w:div>
                <w:div w:id="294146295">
                  <w:marLeft w:val="0"/>
                  <w:marRight w:val="0"/>
                  <w:marTop w:val="0"/>
                  <w:marBottom w:val="0"/>
                  <w:divBdr>
                    <w:top w:val="none" w:sz="0" w:space="0" w:color="auto"/>
                    <w:left w:val="none" w:sz="0" w:space="0" w:color="auto"/>
                    <w:bottom w:val="none" w:sz="0" w:space="0" w:color="auto"/>
                    <w:right w:val="none" w:sz="0" w:space="0" w:color="auto"/>
                  </w:divBdr>
                </w:div>
                <w:div w:id="294146390">
                  <w:marLeft w:val="0"/>
                  <w:marRight w:val="0"/>
                  <w:marTop w:val="0"/>
                  <w:marBottom w:val="0"/>
                  <w:divBdr>
                    <w:top w:val="none" w:sz="0" w:space="0" w:color="auto"/>
                    <w:left w:val="none" w:sz="0" w:space="0" w:color="auto"/>
                    <w:bottom w:val="none" w:sz="0" w:space="0" w:color="auto"/>
                    <w:right w:val="none" w:sz="0" w:space="0" w:color="auto"/>
                  </w:divBdr>
                </w:div>
                <w:div w:id="294147052">
                  <w:marLeft w:val="0"/>
                  <w:marRight w:val="0"/>
                  <w:marTop w:val="0"/>
                  <w:marBottom w:val="0"/>
                  <w:divBdr>
                    <w:top w:val="none" w:sz="0" w:space="0" w:color="auto"/>
                    <w:left w:val="none" w:sz="0" w:space="0" w:color="auto"/>
                    <w:bottom w:val="none" w:sz="0" w:space="0" w:color="auto"/>
                    <w:right w:val="none" w:sz="0" w:space="0" w:color="auto"/>
                  </w:divBdr>
                </w:div>
                <w:div w:id="294147724">
                  <w:marLeft w:val="0"/>
                  <w:marRight w:val="0"/>
                  <w:marTop w:val="0"/>
                  <w:marBottom w:val="0"/>
                  <w:divBdr>
                    <w:top w:val="none" w:sz="0" w:space="0" w:color="auto"/>
                    <w:left w:val="none" w:sz="0" w:space="0" w:color="auto"/>
                    <w:bottom w:val="none" w:sz="0" w:space="0" w:color="auto"/>
                    <w:right w:val="none" w:sz="0" w:space="0" w:color="auto"/>
                  </w:divBdr>
                </w:div>
                <w:div w:id="294147888">
                  <w:marLeft w:val="0"/>
                  <w:marRight w:val="0"/>
                  <w:marTop w:val="0"/>
                  <w:marBottom w:val="0"/>
                  <w:divBdr>
                    <w:top w:val="none" w:sz="0" w:space="0" w:color="auto"/>
                    <w:left w:val="none" w:sz="0" w:space="0" w:color="auto"/>
                    <w:bottom w:val="none" w:sz="0" w:space="0" w:color="auto"/>
                    <w:right w:val="none" w:sz="0" w:space="0" w:color="auto"/>
                  </w:divBdr>
                </w:div>
                <w:div w:id="294147958">
                  <w:marLeft w:val="0"/>
                  <w:marRight w:val="0"/>
                  <w:marTop w:val="0"/>
                  <w:marBottom w:val="0"/>
                  <w:divBdr>
                    <w:top w:val="none" w:sz="0" w:space="0" w:color="auto"/>
                    <w:left w:val="none" w:sz="0" w:space="0" w:color="auto"/>
                    <w:bottom w:val="none" w:sz="0" w:space="0" w:color="auto"/>
                    <w:right w:val="none" w:sz="0" w:space="0" w:color="auto"/>
                  </w:divBdr>
                </w:div>
                <w:div w:id="294148054">
                  <w:marLeft w:val="0"/>
                  <w:marRight w:val="0"/>
                  <w:marTop w:val="0"/>
                  <w:marBottom w:val="0"/>
                  <w:divBdr>
                    <w:top w:val="none" w:sz="0" w:space="0" w:color="auto"/>
                    <w:left w:val="none" w:sz="0" w:space="0" w:color="auto"/>
                    <w:bottom w:val="none" w:sz="0" w:space="0" w:color="auto"/>
                    <w:right w:val="none" w:sz="0" w:space="0" w:color="auto"/>
                  </w:divBdr>
                </w:div>
                <w:div w:id="294148812">
                  <w:marLeft w:val="0"/>
                  <w:marRight w:val="0"/>
                  <w:marTop w:val="0"/>
                  <w:marBottom w:val="0"/>
                  <w:divBdr>
                    <w:top w:val="none" w:sz="0" w:space="0" w:color="auto"/>
                    <w:left w:val="none" w:sz="0" w:space="0" w:color="auto"/>
                    <w:bottom w:val="none" w:sz="0" w:space="0" w:color="auto"/>
                    <w:right w:val="none" w:sz="0" w:space="0" w:color="auto"/>
                  </w:divBdr>
                </w:div>
                <w:div w:id="294149729">
                  <w:marLeft w:val="0"/>
                  <w:marRight w:val="0"/>
                  <w:marTop w:val="0"/>
                  <w:marBottom w:val="0"/>
                  <w:divBdr>
                    <w:top w:val="none" w:sz="0" w:space="0" w:color="auto"/>
                    <w:left w:val="none" w:sz="0" w:space="0" w:color="auto"/>
                    <w:bottom w:val="none" w:sz="0" w:space="0" w:color="auto"/>
                    <w:right w:val="none" w:sz="0" w:space="0" w:color="auto"/>
                  </w:divBdr>
                </w:div>
                <w:div w:id="294149810">
                  <w:marLeft w:val="0"/>
                  <w:marRight w:val="0"/>
                  <w:marTop w:val="0"/>
                  <w:marBottom w:val="0"/>
                  <w:divBdr>
                    <w:top w:val="none" w:sz="0" w:space="0" w:color="auto"/>
                    <w:left w:val="none" w:sz="0" w:space="0" w:color="auto"/>
                    <w:bottom w:val="none" w:sz="0" w:space="0" w:color="auto"/>
                    <w:right w:val="none" w:sz="0" w:space="0" w:color="auto"/>
                  </w:divBdr>
                </w:div>
                <w:div w:id="294149859">
                  <w:marLeft w:val="0"/>
                  <w:marRight w:val="0"/>
                  <w:marTop w:val="0"/>
                  <w:marBottom w:val="0"/>
                  <w:divBdr>
                    <w:top w:val="none" w:sz="0" w:space="0" w:color="auto"/>
                    <w:left w:val="none" w:sz="0" w:space="0" w:color="auto"/>
                    <w:bottom w:val="none" w:sz="0" w:space="0" w:color="auto"/>
                    <w:right w:val="none" w:sz="0" w:space="0" w:color="auto"/>
                  </w:divBdr>
                </w:div>
                <w:div w:id="294149936">
                  <w:marLeft w:val="0"/>
                  <w:marRight w:val="0"/>
                  <w:marTop w:val="0"/>
                  <w:marBottom w:val="0"/>
                  <w:divBdr>
                    <w:top w:val="none" w:sz="0" w:space="0" w:color="auto"/>
                    <w:left w:val="none" w:sz="0" w:space="0" w:color="auto"/>
                    <w:bottom w:val="none" w:sz="0" w:space="0" w:color="auto"/>
                    <w:right w:val="none" w:sz="0" w:space="0" w:color="auto"/>
                  </w:divBdr>
                </w:div>
                <w:div w:id="294150766">
                  <w:marLeft w:val="0"/>
                  <w:marRight w:val="0"/>
                  <w:marTop w:val="0"/>
                  <w:marBottom w:val="0"/>
                  <w:divBdr>
                    <w:top w:val="none" w:sz="0" w:space="0" w:color="auto"/>
                    <w:left w:val="none" w:sz="0" w:space="0" w:color="auto"/>
                    <w:bottom w:val="none" w:sz="0" w:space="0" w:color="auto"/>
                    <w:right w:val="none" w:sz="0" w:space="0" w:color="auto"/>
                  </w:divBdr>
                </w:div>
                <w:div w:id="294150834">
                  <w:marLeft w:val="0"/>
                  <w:marRight w:val="0"/>
                  <w:marTop w:val="0"/>
                  <w:marBottom w:val="0"/>
                  <w:divBdr>
                    <w:top w:val="none" w:sz="0" w:space="0" w:color="auto"/>
                    <w:left w:val="none" w:sz="0" w:space="0" w:color="auto"/>
                    <w:bottom w:val="none" w:sz="0" w:space="0" w:color="auto"/>
                    <w:right w:val="none" w:sz="0" w:space="0" w:color="auto"/>
                  </w:divBdr>
                </w:div>
                <w:div w:id="294151382">
                  <w:marLeft w:val="0"/>
                  <w:marRight w:val="0"/>
                  <w:marTop w:val="0"/>
                  <w:marBottom w:val="0"/>
                  <w:divBdr>
                    <w:top w:val="none" w:sz="0" w:space="0" w:color="auto"/>
                    <w:left w:val="none" w:sz="0" w:space="0" w:color="auto"/>
                    <w:bottom w:val="none" w:sz="0" w:space="0" w:color="auto"/>
                    <w:right w:val="none" w:sz="0" w:space="0" w:color="auto"/>
                  </w:divBdr>
                </w:div>
                <w:div w:id="294151823">
                  <w:marLeft w:val="0"/>
                  <w:marRight w:val="0"/>
                  <w:marTop w:val="0"/>
                  <w:marBottom w:val="0"/>
                  <w:divBdr>
                    <w:top w:val="none" w:sz="0" w:space="0" w:color="auto"/>
                    <w:left w:val="none" w:sz="0" w:space="0" w:color="auto"/>
                    <w:bottom w:val="none" w:sz="0" w:space="0" w:color="auto"/>
                    <w:right w:val="none" w:sz="0" w:space="0" w:color="auto"/>
                  </w:divBdr>
                </w:div>
                <w:div w:id="294152400">
                  <w:marLeft w:val="0"/>
                  <w:marRight w:val="0"/>
                  <w:marTop w:val="0"/>
                  <w:marBottom w:val="0"/>
                  <w:divBdr>
                    <w:top w:val="none" w:sz="0" w:space="0" w:color="auto"/>
                    <w:left w:val="none" w:sz="0" w:space="0" w:color="auto"/>
                    <w:bottom w:val="none" w:sz="0" w:space="0" w:color="auto"/>
                    <w:right w:val="none" w:sz="0" w:space="0" w:color="auto"/>
                  </w:divBdr>
                </w:div>
                <w:div w:id="294152453">
                  <w:marLeft w:val="0"/>
                  <w:marRight w:val="0"/>
                  <w:marTop w:val="0"/>
                  <w:marBottom w:val="0"/>
                  <w:divBdr>
                    <w:top w:val="none" w:sz="0" w:space="0" w:color="auto"/>
                    <w:left w:val="none" w:sz="0" w:space="0" w:color="auto"/>
                    <w:bottom w:val="none" w:sz="0" w:space="0" w:color="auto"/>
                    <w:right w:val="none" w:sz="0" w:space="0" w:color="auto"/>
                  </w:divBdr>
                </w:div>
                <w:div w:id="294152487">
                  <w:marLeft w:val="0"/>
                  <w:marRight w:val="0"/>
                  <w:marTop w:val="0"/>
                  <w:marBottom w:val="0"/>
                  <w:divBdr>
                    <w:top w:val="none" w:sz="0" w:space="0" w:color="auto"/>
                    <w:left w:val="none" w:sz="0" w:space="0" w:color="auto"/>
                    <w:bottom w:val="none" w:sz="0" w:space="0" w:color="auto"/>
                    <w:right w:val="none" w:sz="0" w:space="0" w:color="auto"/>
                  </w:divBdr>
                </w:div>
                <w:div w:id="294152525">
                  <w:marLeft w:val="0"/>
                  <w:marRight w:val="0"/>
                  <w:marTop w:val="0"/>
                  <w:marBottom w:val="0"/>
                  <w:divBdr>
                    <w:top w:val="none" w:sz="0" w:space="0" w:color="auto"/>
                    <w:left w:val="none" w:sz="0" w:space="0" w:color="auto"/>
                    <w:bottom w:val="none" w:sz="0" w:space="0" w:color="auto"/>
                    <w:right w:val="none" w:sz="0" w:space="0" w:color="auto"/>
                  </w:divBdr>
                </w:div>
                <w:div w:id="294152879">
                  <w:marLeft w:val="0"/>
                  <w:marRight w:val="0"/>
                  <w:marTop w:val="0"/>
                  <w:marBottom w:val="0"/>
                  <w:divBdr>
                    <w:top w:val="none" w:sz="0" w:space="0" w:color="auto"/>
                    <w:left w:val="none" w:sz="0" w:space="0" w:color="auto"/>
                    <w:bottom w:val="none" w:sz="0" w:space="0" w:color="auto"/>
                    <w:right w:val="none" w:sz="0" w:space="0" w:color="auto"/>
                  </w:divBdr>
                </w:div>
                <w:div w:id="294153020">
                  <w:marLeft w:val="0"/>
                  <w:marRight w:val="0"/>
                  <w:marTop w:val="0"/>
                  <w:marBottom w:val="0"/>
                  <w:divBdr>
                    <w:top w:val="none" w:sz="0" w:space="0" w:color="auto"/>
                    <w:left w:val="none" w:sz="0" w:space="0" w:color="auto"/>
                    <w:bottom w:val="none" w:sz="0" w:space="0" w:color="auto"/>
                    <w:right w:val="none" w:sz="0" w:space="0" w:color="auto"/>
                  </w:divBdr>
                </w:div>
                <w:div w:id="294153061">
                  <w:marLeft w:val="0"/>
                  <w:marRight w:val="0"/>
                  <w:marTop w:val="0"/>
                  <w:marBottom w:val="0"/>
                  <w:divBdr>
                    <w:top w:val="none" w:sz="0" w:space="0" w:color="auto"/>
                    <w:left w:val="none" w:sz="0" w:space="0" w:color="auto"/>
                    <w:bottom w:val="none" w:sz="0" w:space="0" w:color="auto"/>
                    <w:right w:val="none" w:sz="0" w:space="0" w:color="auto"/>
                  </w:divBdr>
                </w:div>
                <w:div w:id="294153260">
                  <w:marLeft w:val="0"/>
                  <w:marRight w:val="0"/>
                  <w:marTop w:val="0"/>
                  <w:marBottom w:val="0"/>
                  <w:divBdr>
                    <w:top w:val="none" w:sz="0" w:space="0" w:color="auto"/>
                    <w:left w:val="none" w:sz="0" w:space="0" w:color="auto"/>
                    <w:bottom w:val="none" w:sz="0" w:space="0" w:color="auto"/>
                    <w:right w:val="none" w:sz="0" w:space="0" w:color="auto"/>
                  </w:divBdr>
                </w:div>
                <w:div w:id="294153851">
                  <w:marLeft w:val="0"/>
                  <w:marRight w:val="0"/>
                  <w:marTop w:val="0"/>
                  <w:marBottom w:val="0"/>
                  <w:divBdr>
                    <w:top w:val="none" w:sz="0" w:space="0" w:color="auto"/>
                    <w:left w:val="none" w:sz="0" w:space="0" w:color="auto"/>
                    <w:bottom w:val="none" w:sz="0" w:space="0" w:color="auto"/>
                    <w:right w:val="none" w:sz="0" w:space="0" w:color="auto"/>
                  </w:divBdr>
                </w:div>
                <w:div w:id="294153878">
                  <w:marLeft w:val="0"/>
                  <w:marRight w:val="0"/>
                  <w:marTop w:val="0"/>
                  <w:marBottom w:val="0"/>
                  <w:divBdr>
                    <w:top w:val="none" w:sz="0" w:space="0" w:color="auto"/>
                    <w:left w:val="none" w:sz="0" w:space="0" w:color="auto"/>
                    <w:bottom w:val="none" w:sz="0" w:space="0" w:color="auto"/>
                    <w:right w:val="none" w:sz="0" w:space="0" w:color="auto"/>
                  </w:divBdr>
                </w:div>
                <w:div w:id="294153949">
                  <w:marLeft w:val="0"/>
                  <w:marRight w:val="0"/>
                  <w:marTop w:val="0"/>
                  <w:marBottom w:val="0"/>
                  <w:divBdr>
                    <w:top w:val="none" w:sz="0" w:space="0" w:color="auto"/>
                    <w:left w:val="none" w:sz="0" w:space="0" w:color="auto"/>
                    <w:bottom w:val="none" w:sz="0" w:space="0" w:color="auto"/>
                    <w:right w:val="none" w:sz="0" w:space="0" w:color="auto"/>
                  </w:divBdr>
                </w:div>
                <w:div w:id="294153993">
                  <w:marLeft w:val="0"/>
                  <w:marRight w:val="0"/>
                  <w:marTop w:val="0"/>
                  <w:marBottom w:val="0"/>
                  <w:divBdr>
                    <w:top w:val="none" w:sz="0" w:space="0" w:color="auto"/>
                    <w:left w:val="none" w:sz="0" w:space="0" w:color="auto"/>
                    <w:bottom w:val="none" w:sz="0" w:space="0" w:color="auto"/>
                    <w:right w:val="none" w:sz="0" w:space="0" w:color="auto"/>
                  </w:divBdr>
                </w:div>
                <w:div w:id="294154139">
                  <w:marLeft w:val="0"/>
                  <w:marRight w:val="0"/>
                  <w:marTop w:val="0"/>
                  <w:marBottom w:val="0"/>
                  <w:divBdr>
                    <w:top w:val="none" w:sz="0" w:space="0" w:color="auto"/>
                    <w:left w:val="none" w:sz="0" w:space="0" w:color="auto"/>
                    <w:bottom w:val="none" w:sz="0" w:space="0" w:color="auto"/>
                    <w:right w:val="none" w:sz="0" w:space="0" w:color="auto"/>
                  </w:divBdr>
                </w:div>
                <w:div w:id="294154260">
                  <w:marLeft w:val="0"/>
                  <w:marRight w:val="0"/>
                  <w:marTop w:val="0"/>
                  <w:marBottom w:val="0"/>
                  <w:divBdr>
                    <w:top w:val="none" w:sz="0" w:space="0" w:color="auto"/>
                    <w:left w:val="none" w:sz="0" w:space="0" w:color="auto"/>
                    <w:bottom w:val="none" w:sz="0" w:space="0" w:color="auto"/>
                    <w:right w:val="none" w:sz="0" w:space="0" w:color="auto"/>
                  </w:divBdr>
                </w:div>
                <w:div w:id="294154277">
                  <w:marLeft w:val="0"/>
                  <w:marRight w:val="0"/>
                  <w:marTop w:val="0"/>
                  <w:marBottom w:val="0"/>
                  <w:divBdr>
                    <w:top w:val="none" w:sz="0" w:space="0" w:color="auto"/>
                    <w:left w:val="none" w:sz="0" w:space="0" w:color="auto"/>
                    <w:bottom w:val="none" w:sz="0" w:space="0" w:color="auto"/>
                    <w:right w:val="none" w:sz="0" w:space="0" w:color="auto"/>
                  </w:divBdr>
                </w:div>
                <w:div w:id="294155301">
                  <w:marLeft w:val="0"/>
                  <w:marRight w:val="0"/>
                  <w:marTop w:val="0"/>
                  <w:marBottom w:val="0"/>
                  <w:divBdr>
                    <w:top w:val="none" w:sz="0" w:space="0" w:color="auto"/>
                    <w:left w:val="none" w:sz="0" w:space="0" w:color="auto"/>
                    <w:bottom w:val="none" w:sz="0" w:space="0" w:color="auto"/>
                    <w:right w:val="none" w:sz="0" w:space="0" w:color="auto"/>
                  </w:divBdr>
                </w:div>
                <w:div w:id="294155634">
                  <w:marLeft w:val="0"/>
                  <w:marRight w:val="0"/>
                  <w:marTop w:val="0"/>
                  <w:marBottom w:val="0"/>
                  <w:divBdr>
                    <w:top w:val="none" w:sz="0" w:space="0" w:color="auto"/>
                    <w:left w:val="none" w:sz="0" w:space="0" w:color="auto"/>
                    <w:bottom w:val="none" w:sz="0" w:space="0" w:color="auto"/>
                    <w:right w:val="none" w:sz="0" w:space="0" w:color="auto"/>
                  </w:divBdr>
                </w:div>
                <w:div w:id="294155965">
                  <w:marLeft w:val="0"/>
                  <w:marRight w:val="0"/>
                  <w:marTop w:val="0"/>
                  <w:marBottom w:val="0"/>
                  <w:divBdr>
                    <w:top w:val="none" w:sz="0" w:space="0" w:color="auto"/>
                    <w:left w:val="none" w:sz="0" w:space="0" w:color="auto"/>
                    <w:bottom w:val="none" w:sz="0" w:space="0" w:color="auto"/>
                    <w:right w:val="none" w:sz="0" w:space="0" w:color="auto"/>
                  </w:divBdr>
                </w:div>
                <w:div w:id="294155994">
                  <w:marLeft w:val="0"/>
                  <w:marRight w:val="0"/>
                  <w:marTop w:val="0"/>
                  <w:marBottom w:val="0"/>
                  <w:divBdr>
                    <w:top w:val="none" w:sz="0" w:space="0" w:color="auto"/>
                    <w:left w:val="none" w:sz="0" w:space="0" w:color="auto"/>
                    <w:bottom w:val="none" w:sz="0" w:space="0" w:color="auto"/>
                    <w:right w:val="none" w:sz="0" w:space="0" w:color="auto"/>
                  </w:divBdr>
                </w:div>
                <w:div w:id="294156333">
                  <w:marLeft w:val="0"/>
                  <w:marRight w:val="0"/>
                  <w:marTop w:val="0"/>
                  <w:marBottom w:val="0"/>
                  <w:divBdr>
                    <w:top w:val="none" w:sz="0" w:space="0" w:color="auto"/>
                    <w:left w:val="none" w:sz="0" w:space="0" w:color="auto"/>
                    <w:bottom w:val="none" w:sz="0" w:space="0" w:color="auto"/>
                    <w:right w:val="none" w:sz="0" w:space="0" w:color="auto"/>
                  </w:divBdr>
                </w:div>
                <w:div w:id="294156469">
                  <w:marLeft w:val="0"/>
                  <w:marRight w:val="0"/>
                  <w:marTop w:val="0"/>
                  <w:marBottom w:val="0"/>
                  <w:divBdr>
                    <w:top w:val="none" w:sz="0" w:space="0" w:color="auto"/>
                    <w:left w:val="none" w:sz="0" w:space="0" w:color="auto"/>
                    <w:bottom w:val="none" w:sz="0" w:space="0" w:color="auto"/>
                    <w:right w:val="none" w:sz="0" w:space="0" w:color="auto"/>
                  </w:divBdr>
                </w:div>
                <w:div w:id="294156701">
                  <w:marLeft w:val="0"/>
                  <w:marRight w:val="0"/>
                  <w:marTop w:val="0"/>
                  <w:marBottom w:val="0"/>
                  <w:divBdr>
                    <w:top w:val="none" w:sz="0" w:space="0" w:color="auto"/>
                    <w:left w:val="none" w:sz="0" w:space="0" w:color="auto"/>
                    <w:bottom w:val="none" w:sz="0" w:space="0" w:color="auto"/>
                    <w:right w:val="none" w:sz="0" w:space="0" w:color="auto"/>
                  </w:divBdr>
                </w:div>
                <w:div w:id="294156745">
                  <w:marLeft w:val="0"/>
                  <w:marRight w:val="0"/>
                  <w:marTop w:val="0"/>
                  <w:marBottom w:val="0"/>
                  <w:divBdr>
                    <w:top w:val="none" w:sz="0" w:space="0" w:color="auto"/>
                    <w:left w:val="none" w:sz="0" w:space="0" w:color="auto"/>
                    <w:bottom w:val="none" w:sz="0" w:space="0" w:color="auto"/>
                    <w:right w:val="none" w:sz="0" w:space="0" w:color="auto"/>
                  </w:divBdr>
                </w:div>
                <w:div w:id="29415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3327">
          <w:marLeft w:val="0"/>
          <w:marRight w:val="0"/>
          <w:marTop w:val="0"/>
          <w:marBottom w:val="0"/>
          <w:divBdr>
            <w:top w:val="none" w:sz="0" w:space="0" w:color="auto"/>
            <w:left w:val="none" w:sz="0" w:space="0" w:color="auto"/>
            <w:bottom w:val="none" w:sz="0" w:space="0" w:color="auto"/>
            <w:right w:val="none" w:sz="0" w:space="0" w:color="auto"/>
          </w:divBdr>
          <w:divsChild>
            <w:div w:id="294148709">
              <w:marLeft w:val="0"/>
              <w:marRight w:val="0"/>
              <w:marTop w:val="0"/>
              <w:marBottom w:val="0"/>
              <w:divBdr>
                <w:top w:val="none" w:sz="0" w:space="0" w:color="auto"/>
                <w:left w:val="none" w:sz="0" w:space="0" w:color="auto"/>
                <w:bottom w:val="none" w:sz="0" w:space="0" w:color="auto"/>
                <w:right w:val="none" w:sz="0" w:space="0" w:color="auto"/>
              </w:divBdr>
              <w:divsChild>
                <w:div w:id="294142167">
                  <w:marLeft w:val="0"/>
                  <w:marRight w:val="0"/>
                  <w:marTop w:val="0"/>
                  <w:marBottom w:val="0"/>
                  <w:divBdr>
                    <w:top w:val="none" w:sz="0" w:space="0" w:color="auto"/>
                    <w:left w:val="none" w:sz="0" w:space="0" w:color="auto"/>
                    <w:bottom w:val="none" w:sz="0" w:space="0" w:color="auto"/>
                    <w:right w:val="none" w:sz="0" w:space="0" w:color="auto"/>
                  </w:divBdr>
                  <w:divsChild>
                    <w:div w:id="294138123">
                      <w:marLeft w:val="0"/>
                      <w:marRight w:val="0"/>
                      <w:marTop w:val="0"/>
                      <w:marBottom w:val="0"/>
                      <w:divBdr>
                        <w:top w:val="none" w:sz="0" w:space="0" w:color="auto"/>
                        <w:left w:val="none" w:sz="0" w:space="0" w:color="auto"/>
                        <w:bottom w:val="none" w:sz="0" w:space="0" w:color="auto"/>
                        <w:right w:val="none" w:sz="0" w:space="0" w:color="auto"/>
                      </w:divBdr>
                      <w:divsChild>
                        <w:div w:id="294151475">
                          <w:marLeft w:val="0"/>
                          <w:marRight w:val="0"/>
                          <w:marTop w:val="0"/>
                          <w:marBottom w:val="0"/>
                          <w:divBdr>
                            <w:top w:val="none" w:sz="0" w:space="0" w:color="auto"/>
                            <w:left w:val="none" w:sz="0" w:space="0" w:color="auto"/>
                            <w:bottom w:val="none" w:sz="0" w:space="0" w:color="auto"/>
                            <w:right w:val="none" w:sz="0" w:space="0" w:color="auto"/>
                          </w:divBdr>
                        </w:div>
                      </w:divsChild>
                    </w:div>
                    <w:div w:id="294138380">
                      <w:marLeft w:val="0"/>
                      <w:marRight w:val="0"/>
                      <w:marTop w:val="0"/>
                      <w:marBottom w:val="0"/>
                      <w:divBdr>
                        <w:top w:val="none" w:sz="0" w:space="0" w:color="auto"/>
                        <w:left w:val="none" w:sz="0" w:space="0" w:color="auto"/>
                        <w:bottom w:val="none" w:sz="0" w:space="0" w:color="auto"/>
                        <w:right w:val="none" w:sz="0" w:space="0" w:color="auto"/>
                      </w:divBdr>
                      <w:divsChild>
                        <w:div w:id="294140482">
                          <w:marLeft w:val="0"/>
                          <w:marRight w:val="0"/>
                          <w:marTop w:val="0"/>
                          <w:marBottom w:val="0"/>
                          <w:divBdr>
                            <w:top w:val="none" w:sz="0" w:space="0" w:color="auto"/>
                            <w:left w:val="none" w:sz="0" w:space="0" w:color="auto"/>
                            <w:bottom w:val="none" w:sz="0" w:space="0" w:color="auto"/>
                            <w:right w:val="none" w:sz="0" w:space="0" w:color="auto"/>
                          </w:divBdr>
                        </w:div>
                      </w:divsChild>
                    </w:div>
                    <w:div w:id="294138713">
                      <w:marLeft w:val="0"/>
                      <w:marRight w:val="0"/>
                      <w:marTop w:val="0"/>
                      <w:marBottom w:val="0"/>
                      <w:divBdr>
                        <w:top w:val="none" w:sz="0" w:space="0" w:color="auto"/>
                        <w:left w:val="none" w:sz="0" w:space="0" w:color="auto"/>
                        <w:bottom w:val="none" w:sz="0" w:space="0" w:color="auto"/>
                        <w:right w:val="none" w:sz="0" w:space="0" w:color="auto"/>
                      </w:divBdr>
                    </w:div>
                    <w:div w:id="294138753">
                      <w:marLeft w:val="0"/>
                      <w:marRight w:val="0"/>
                      <w:marTop w:val="0"/>
                      <w:marBottom w:val="0"/>
                      <w:divBdr>
                        <w:top w:val="none" w:sz="0" w:space="0" w:color="auto"/>
                        <w:left w:val="none" w:sz="0" w:space="0" w:color="auto"/>
                        <w:bottom w:val="none" w:sz="0" w:space="0" w:color="auto"/>
                        <w:right w:val="none" w:sz="0" w:space="0" w:color="auto"/>
                      </w:divBdr>
                    </w:div>
                    <w:div w:id="294138776">
                      <w:marLeft w:val="0"/>
                      <w:marRight w:val="0"/>
                      <w:marTop w:val="0"/>
                      <w:marBottom w:val="0"/>
                      <w:divBdr>
                        <w:top w:val="none" w:sz="0" w:space="0" w:color="auto"/>
                        <w:left w:val="none" w:sz="0" w:space="0" w:color="auto"/>
                        <w:bottom w:val="none" w:sz="0" w:space="0" w:color="auto"/>
                        <w:right w:val="none" w:sz="0" w:space="0" w:color="auto"/>
                      </w:divBdr>
                    </w:div>
                    <w:div w:id="294138921">
                      <w:marLeft w:val="0"/>
                      <w:marRight w:val="0"/>
                      <w:marTop w:val="0"/>
                      <w:marBottom w:val="0"/>
                      <w:divBdr>
                        <w:top w:val="none" w:sz="0" w:space="0" w:color="auto"/>
                        <w:left w:val="none" w:sz="0" w:space="0" w:color="auto"/>
                        <w:bottom w:val="none" w:sz="0" w:space="0" w:color="auto"/>
                        <w:right w:val="none" w:sz="0" w:space="0" w:color="auto"/>
                      </w:divBdr>
                    </w:div>
                    <w:div w:id="294139057">
                      <w:marLeft w:val="0"/>
                      <w:marRight w:val="0"/>
                      <w:marTop w:val="0"/>
                      <w:marBottom w:val="0"/>
                      <w:divBdr>
                        <w:top w:val="none" w:sz="0" w:space="0" w:color="auto"/>
                        <w:left w:val="none" w:sz="0" w:space="0" w:color="auto"/>
                        <w:bottom w:val="none" w:sz="0" w:space="0" w:color="auto"/>
                        <w:right w:val="none" w:sz="0" w:space="0" w:color="auto"/>
                      </w:divBdr>
                      <w:divsChild>
                        <w:div w:id="294143960">
                          <w:marLeft w:val="0"/>
                          <w:marRight w:val="0"/>
                          <w:marTop w:val="0"/>
                          <w:marBottom w:val="0"/>
                          <w:divBdr>
                            <w:top w:val="none" w:sz="0" w:space="0" w:color="auto"/>
                            <w:left w:val="none" w:sz="0" w:space="0" w:color="auto"/>
                            <w:bottom w:val="none" w:sz="0" w:space="0" w:color="auto"/>
                            <w:right w:val="none" w:sz="0" w:space="0" w:color="auto"/>
                          </w:divBdr>
                        </w:div>
                      </w:divsChild>
                    </w:div>
                    <w:div w:id="294140848">
                      <w:marLeft w:val="0"/>
                      <w:marRight w:val="0"/>
                      <w:marTop w:val="0"/>
                      <w:marBottom w:val="0"/>
                      <w:divBdr>
                        <w:top w:val="none" w:sz="0" w:space="0" w:color="auto"/>
                        <w:left w:val="none" w:sz="0" w:space="0" w:color="auto"/>
                        <w:bottom w:val="none" w:sz="0" w:space="0" w:color="auto"/>
                        <w:right w:val="none" w:sz="0" w:space="0" w:color="auto"/>
                      </w:divBdr>
                      <w:divsChild>
                        <w:div w:id="294139776">
                          <w:marLeft w:val="0"/>
                          <w:marRight w:val="0"/>
                          <w:marTop w:val="0"/>
                          <w:marBottom w:val="0"/>
                          <w:divBdr>
                            <w:top w:val="none" w:sz="0" w:space="0" w:color="auto"/>
                            <w:left w:val="none" w:sz="0" w:space="0" w:color="auto"/>
                            <w:bottom w:val="none" w:sz="0" w:space="0" w:color="auto"/>
                            <w:right w:val="none" w:sz="0" w:space="0" w:color="auto"/>
                          </w:divBdr>
                        </w:div>
                      </w:divsChild>
                    </w:div>
                    <w:div w:id="294141294">
                      <w:marLeft w:val="0"/>
                      <w:marRight w:val="0"/>
                      <w:marTop w:val="0"/>
                      <w:marBottom w:val="0"/>
                      <w:divBdr>
                        <w:top w:val="none" w:sz="0" w:space="0" w:color="auto"/>
                        <w:left w:val="none" w:sz="0" w:space="0" w:color="auto"/>
                        <w:bottom w:val="none" w:sz="0" w:space="0" w:color="auto"/>
                        <w:right w:val="none" w:sz="0" w:space="0" w:color="auto"/>
                      </w:divBdr>
                    </w:div>
                    <w:div w:id="294141887">
                      <w:marLeft w:val="0"/>
                      <w:marRight w:val="0"/>
                      <w:marTop w:val="0"/>
                      <w:marBottom w:val="0"/>
                      <w:divBdr>
                        <w:top w:val="none" w:sz="0" w:space="0" w:color="auto"/>
                        <w:left w:val="none" w:sz="0" w:space="0" w:color="auto"/>
                        <w:bottom w:val="none" w:sz="0" w:space="0" w:color="auto"/>
                        <w:right w:val="none" w:sz="0" w:space="0" w:color="auto"/>
                      </w:divBdr>
                    </w:div>
                    <w:div w:id="294142230">
                      <w:marLeft w:val="0"/>
                      <w:marRight w:val="0"/>
                      <w:marTop w:val="0"/>
                      <w:marBottom w:val="0"/>
                      <w:divBdr>
                        <w:top w:val="none" w:sz="0" w:space="0" w:color="auto"/>
                        <w:left w:val="none" w:sz="0" w:space="0" w:color="auto"/>
                        <w:bottom w:val="none" w:sz="0" w:space="0" w:color="auto"/>
                        <w:right w:val="none" w:sz="0" w:space="0" w:color="auto"/>
                      </w:divBdr>
                      <w:divsChild>
                        <w:div w:id="294144679">
                          <w:marLeft w:val="0"/>
                          <w:marRight w:val="0"/>
                          <w:marTop w:val="0"/>
                          <w:marBottom w:val="0"/>
                          <w:divBdr>
                            <w:top w:val="none" w:sz="0" w:space="0" w:color="auto"/>
                            <w:left w:val="none" w:sz="0" w:space="0" w:color="auto"/>
                            <w:bottom w:val="none" w:sz="0" w:space="0" w:color="auto"/>
                            <w:right w:val="none" w:sz="0" w:space="0" w:color="auto"/>
                          </w:divBdr>
                        </w:div>
                      </w:divsChild>
                    </w:div>
                    <w:div w:id="294142308">
                      <w:marLeft w:val="0"/>
                      <w:marRight w:val="0"/>
                      <w:marTop w:val="0"/>
                      <w:marBottom w:val="0"/>
                      <w:divBdr>
                        <w:top w:val="none" w:sz="0" w:space="0" w:color="auto"/>
                        <w:left w:val="none" w:sz="0" w:space="0" w:color="auto"/>
                        <w:bottom w:val="none" w:sz="0" w:space="0" w:color="auto"/>
                        <w:right w:val="none" w:sz="0" w:space="0" w:color="auto"/>
                      </w:divBdr>
                      <w:divsChild>
                        <w:div w:id="294140994">
                          <w:marLeft w:val="0"/>
                          <w:marRight w:val="0"/>
                          <w:marTop w:val="0"/>
                          <w:marBottom w:val="0"/>
                          <w:divBdr>
                            <w:top w:val="none" w:sz="0" w:space="0" w:color="auto"/>
                            <w:left w:val="none" w:sz="0" w:space="0" w:color="auto"/>
                            <w:bottom w:val="none" w:sz="0" w:space="0" w:color="auto"/>
                            <w:right w:val="none" w:sz="0" w:space="0" w:color="auto"/>
                          </w:divBdr>
                        </w:div>
                      </w:divsChild>
                    </w:div>
                    <w:div w:id="294142967">
                      <w:marLeft w:val="0"/>
                      <w:marRight w:val="0"/>
                      <w:marTop w:val="0"/>
                      <w:marBottom w:val="0"/>
                      <w:divBdr>
                        <w:top w:val="none" w:sz="0" w:space="0" w:color="auto"/>
                        <w:left w:val="none" w:sz="0" w:space="0" w:color="auto"/>
                        <w:bottom w:val="none" w:sz="0" w:space="0" w:color="auto"/>
                        <w:right w:val="none" w:sz="0" w:space="0" w:color="auto"/>
                      </w:divBdr>
                      <w:divsChild>
                        <w:div w:id="294143663">
                          <w:marLeft w:val="0"/>
                          <w:marRight w:val="0"/>
                          <w:marTop w:val="0"/>
                          <w:marBottom w:val="0"/>
                          <w:divBdr>
                            <w:top w:val="none" w:sz="0" w:space="0" w:color="auto"/>
                            <w:left w:val="none" w:sz="0" w:space="0" w:color="auto"/>
                            <w:bottom w:val="none" w:sz="0" w:space="0" w:color="auto"/>
                            <w:right w:val="none" w:sz="0" w:space="0" w:color="auto"/>
                          </w:divBdr>
                        </w:div>
                      </w:divsChild>
                    </w:div>
                    <w:div w:id="294143233">
                      <w:marLeft w:val="0"/>
                      <w:marRight w:val="0"/>
                      <w:marTop w:val="0"/>
                      <w:marBottom w:val="0"/>
                      <w:divBdr>
                        <w:top w:val="none" w:sz="0" w:space="0" w:color="auto"/>
                        <w:left w:val="none" w:sz="0" w:space="0" w:color="auto"/>
                        <w:bottom w:val="none" w:sz="0" w:space="0" w:color="auto"/>
                        <w:right w:val="none" w:sz="0" w:space="0" w:color="auto"/>
                      </w:divBdr>
                    </w:div>
                    <w:div w:id="294144135">
                      <w:marLeft w:val="0"/>
                      <w:marRight w:val="0"/>
                      <w:marTop w:val="0"/>
                      <w:marBottom w:val="0"/>
                      <w:divBdr>
                        <w:top w:val="none" w:sz="0" w:space="0" w:color="auto"/>
                        <w:left w:val="none" w:sz="0" w:space="0" w:color="auto"/>
                        <w:bottom w:val="none" w:sz="0" w:space="0" w:color="auto"/>
                        <w:right w:val="none" w:sz="0" w:space="0" w:color="auto"/>
                      </w:divBdr>
                      <w:divsChild>
                        <w:div w:id="294150278">
                          <w:marLeft w:val="0"/>
                          <w:marRight w:val="0"/>
                          <w:marTop w:val="0"/>
                          <w:marBottom w:val="0"/>
                          <w:divBdr>
                            <w:top w:val="none" w:sz="0" w:space="0" w:color="auto"/>
                            <w:left w:val="none" w:sz="0" w:space="0" w:color="auto"/>
                            <w:bottom w:val="none" w:sz="0" w:space="0" w:color="auto"/>
                            <w:right w:val="none" w:sz="0" w:space="0" w:color="auto"/>
                          </w:divBdr>
                        </w:div>
                      </w:divsChild>
                    </w:div>
                    <w:div w:id="294144328">
                      <w:marLeft w:val="0"/>
                      <w:marRight w:val="0"/>
                      <w:marTop w:val="0"/>
                      <w:marBottom w:val="0"/>
                      <w:divBdr>
                        <w:top w:val="none" w:sz="0" w:space="0" w:color="auto"/>
                        <w:left w:val="none" w:sz="0" w:space="0" w:color="auto"/>
                        <w:bottom w:val="none" w:sz="0" w:space="0" w:color="auto"/>
                        <w:right w:val="none" w:sz="0" w:space="0" w:color="auto"/>
                      </w:divBdr>
                      <w:divsChild>
                        <w:div w:id="294144601">
                          <w:marLeft w:val="0"/>
                          <w:marRight w:val="0"/>
                          <w:marTop w:val="0"/>
                          <w:marBottom w:val="0"/>
                          <w:divBdr>
                            <w:top w:val="none" w:sz="0" w:space="0" w:color="auto"/>
                            <w:left w:val="none" w:sz="0" w:space="0" w:color="auto"/>
                            <w:bottom w:val="none" w:sz="0" w:space="0" w:color="auto"/>
                            <w:right w:val="none" w:sz="0" w:space="0" w:color="auto"/>
                          </w:divBdr>
                        </w:div>
                      </w:divsChild>
                    </w:div>
                    <w:div w:id="294144366">
                      <w:marLeft w:val="0"/>
                      <w:marRight w:val="0"/>
                      <w:marTop w:val="0"/>
                      <w:marBottom w:val="0"/>
                      <w:divBdr>
                        <w:top w:val="none" w:sz="0" w:space="0" w:color="auto"/>
                        <w:left w:val="none" w:sz="0" w:space="0" w:color="auto"/>
                        <w:bottom w:val="none" w:sz="0" w:space="0" w:color="auto"/>
                        <w:right w:val="none" w:sz="0" w:space="0" w:color="auto"/>
                      </w:divBdr>
                      <w:divsChild>
                        <w:div w:id="294155044">
                          <w:marLeft w:val="0"/>
                          <w:marRight w:val="0"/>
                          <w:marTop w:val="0"/>
                          <w:marBottom w:val="0"/>
                          <w:divBdr>
                            <w:top w:val="none" w:sz="0" w:space="0" w:color="auto"/>
                            <w:left w:val="none" w:sz="0" w:space="0" w:color="auto"/>
                            <w:bottom w:val="none" w:sz="0" w:space="0" w:color="auto"/>
                            <w:right w:val="none" w:sz="0" w:space="0" w:color="auto"/>
                          </w:divBdr>
                        </w:div>
                      </w:divsChild>
                    </w:div>
                    <w:div w:id="294144528">
                      <w:marLeft w:val="0"/>
                      <w:marRight w:val="0"/>
                      <w:marTop w:val="0"/>
                      <w:marBottom w:val="0"/>
                      <w:divBdr>
                        <w:top w:val="none" w:sz="0" w:space="0" w:color="auto"/>
                        <w:left w:val="none" w:sz="0" w:space="0" w:color="auto"/>
                        <w:bottom w:val="none" w:sz="0" w:space="0" w:color="auto"/>
                        <w:right w:val="none" w:sz="0" w:space="0" w:color="auto"/>
                      </w:divBdr>
                      <w:divsChild>
                        <w:div w:id="294151574">
                          <w:marLeft w:val="0"/>
                          <w:marRight w:val="0"/>
                          <w:marTop w:val="0"/>
                          <w:marBottom w:val="0"/>
                          <w:divBdr>
                            <w:top w:val="none" w:sz="0" w:space="0" w:color="auto"/>
                            <w:left w:val="none" w:sz="0" w:space="0" w:color="auto"/>
                            <w:bottom w:val="none" w:sz="0" w:space="0" w:color="auto"/>
                            <w:right w:val="none" w:sz="0" w:space="0" w:color="auto"/>
                          </w:divBdr>
                        </w:div>
                      </w:divsChild>
                    </w:div>
                    <w:div w:id="294145709">
                      <w:marLeft w:val="0"/>
                      <w:marRight w:val="0"/>
                      <w:marTop w:val="0"/>
                      <w:marBottom w:val="0"/>
                      <w:divBdr>
                        <w:top w:val="none" w:sz="0" w:space="0" w:color="auto"/>
                        <w:left w:val="none" w:sz="0" w:space="0" w:color="auto"/>
                        <w:bottom w:val="none" w:sz="0" w:space="0" w:color="auto"/>
                        <w:right w:val="none" w:sz="0" w:space="0" w:color="auto"/>
                      </w:divBdr>
                      <w:divsChild>
                        <w:div w:id="294149861">
                          <w:marLeft w:val="0"/>
                          <w:marRight w:val="0"/>
                          <w:marTop w:val="0"/>
                          <w:marBottom w:val="0"/>
                          <w:divBdr>
                            <w:top w:val="none" w:sz="0" w:space="0" w:color="auto"/>
                            <w:left w:val="none" w:sz="0" w:space="0" w:color="auto"/>
                            <w:bottom w:val="none" w:sz="0" w:space="0" w:color="auto"/>
                            <w:right w:val="none" w:sz="0" w:space="0" w:color="auto"/>
                          </w:divBdr>
                        </w:div>
                      </w:divsChild>
                    </w:div>
                    <w:div w:id="294146315">
                      <w:marLeft w:val="0"/>
                      <w:marRight w:val="0"/>
                      <w:marTop w:val="0"/>
                      <w:marBottom w:val="0"/>
                      <w:divBdr>
                        <w:top w:val="none" w:sz="0" w:space="0" w:color="auto"/>
                        <w:left w:val="none" w:sz="0" w:space="0" w:color="auto"/>
                        <w:bottom w:val="none" w:sz="0" w:space="0" w:color="auto"/>
                        <w:right w:val="none" w:sz="0" w:space="0" w:color="auto"/>
                      </w:divBdr>
                      <w:divsChild>
                        <w:div w:id="294154954">
                          <w:marLeft w:val="0"/>
                          <w:marRight w:val="0"/>
                          <w:marTop w:val="0"/>
                          <w:marBottom w:val="0"/>
                          <w:divBdr>
                            <w:top w:val="none" w:sz="0" w:space="0" w:color="auto"/>
                            <w:left w:val="none" w:sz="0" w:space="0" w:color="auto"/>
                            <w:bottom w:val="none" w:sz="0" w:space="0" w:color="auto"/>
                            <w:right w:val="none" w:sz="0" w:space="0" w:color="auto"/>
                          </w:divBdr>
                        </w:div>
                      </w:divsChild>
                    </w:div>
                    <w:div w:id="294146454">
                      <w:marLeft w:val="0"/>
                      <w:marRight w:val="0"/>
                      <w:marTop w:val="0"/>
                      <w:marBottom w:val="0"/>
                      <w:divBdr>
                        <w:top w:val="none" w:sz="0" w:space="0" w:color="auto"/>
                        <w:left w:val="none" w:sz="0" w:space="0" w:color="auto"/>
                        <w:bottom w:val="none" w:sz="0" w:space="0" w:color="auto"/>
                        <w:right w:val="none" w:sz="0" w:space="0" w:color="auto"/>
                      </w:divBdr>
                      <w:divsChild>
                        <w:div w:id="294138007">
                          <w:marLeft w:val="0"/>
                          <w:marRight w:val="0"/>
                          <w:marTop w:val="0"/>
                          <w:marBottom w:val="0"/>
                          <w:divBdr>
                            <w:top w:val="none" w:sz="0" w:space="0" w:color="auto"/>
                            <w:left w:val="none" w:sz="0" w:space="0" w:color="auto"/>
                            <w:bottom w:val="none" w:sz="0" w:space="0" w:color="auto"/>
                            <w:right w:val="none" w:sz="0" w:space="0" w:color="auto"/>
                          </w:divBdr>
                        </w:div>
                      </w:divsChild>
                    </w:div>
                    <w:div w:id="294146772">
                      <w:marLeft w:val="0"/>
                      <w:marRight w:val="0"/>
                      <w:marTop w:val="0"/>
                      <w:marBottom w:val="0"/>
                      <w:divBdr>
                        <w:top w:val="none" w:sz="0" w:space="0" w:color="auto"/>
                        <w:left w:val="none" w:sz="0" w:space="0" w:color="auto"/>
                        <w:bottom w:val="none" w:sz="0" w:space="0" w:color="auto"/>
                        <w:right w:val="none" w:sz="0" w:space="0" w:color="auto"/>
                      </w:divBdr>
                    </w:div>
                    <w:div w:id="294146782">
                      <w:marLeft w:val="0"/>
                      <w:marRight w:val="0"/>
                      <w:marTop w:val="0"/>
                      <w:marBottom w:val="0"/>
                      <w:divBdr>
                        <w:top w:val="none" w:sz="0" w:space="0" w:color="auto"/>
                        <w:left w:val="none" w:sz="0" w:space="0" w:color="auto"/>
                        <w:bottom w:val="none" w:sz="0" w:space="0" w:color="auto"/>
                        <w:right w:val="none" w:sz="0" w:space="0" w:color="auto"/>
                      </w:divBdr>
                      <w:divsChild>
                        <w:div w:id="294149519">
                          <w:marLeft w:val="0"/>
                          <w:marRight w:val="0"/>
                          <w:marTop w:val="0"/>
                          <w:marBottom w:val="0"/>
                          <w:divBdr>
                            <w:top w:val="none" w:sz="0" w:space="0" w:color="auto"/>
                            <w:left w:val="none" w:sz="0" w:space="0" w:color="auto"/>
                            <w:bottom w:val="none" w:sz="0" w:space="0" w:color="auto"/>
                            <w:right w:val="none" w:sz="0" w:space="0" w:color="auto"/>
                          </w:divBdr>
                        </w:div>
                      </w:divsChild>
                    </w:div>
                    <w:div w:id="294146805">
                      <w:marLeft w:val="0"/>
                      <w:marRight w:val="0"/>
                      <w:marTop w:val="0"/>
                      <w:marBottom w:val="0"/>
                      <w:divBdr>
                        <w:top w:val="none" w:sz="0" w:space="0" w:color="auto"/>
                        <w:left w:val="none" w:sz="0" w:space="0" w:color="auto"/>
                        <w:bottom w:val="none" w:sz="0" w:space="0" w:color="auto"/>
                        <w:right w:val="none" w:sz="0" w:space="0" w:color="auto"/>
                      </w:divBdr>
                    </w:div>
                    <w:div w:id="294146849">
                      <w:marLeft w:val="0"/>
                      <w:marRight w:val="0"/>
                      <w:marTop w:val="0"/>
                      <w:marBottom w:val="0"/>
                      <w:divBdr>
                        <w:top w:val="none" w:sz="0" w:space="0" w:color="auto"/>
                        <w:left w:val="none" w:sz="0" w:space="0" w:color="auto"/>
                        <w:bottom w:val="none" w:sz="0" w:space="0" w:color="auto"/>
                        <w:right w:val="none" w:sz="0" w:space="0" w:color="auto"/>
                      </w:divBdr>
                    </w:div>
                    <w:div w:id="294147474">
                      <w:marLeft w:val="0"/>
                      <w:marRight w:val="0"/>
                      <w:marTop w:val="0"/>
                      <w:marBottom w:val="0"/>
                      <w:divBdr>
                        <w:top w:val="none" w:sz="0" w:space="0" w:color="auto"/>
                        <w:left w:val="none" w:sz="0" w:space="0" w:color="auto"/>
                        <w:bottom w:val="none" w:sz="0" w:space="0" w:color="auto"/>
                        <w:right w:val="none" w:sz="0" w:space="0" w:color="auto"/>
                      </w:divBdr>
                    </w:div>
                    <w:div w:id="294147547">
                      <w:marLeft w:val="0"/>
                      <w:marRight w:val="0"/>
                      <w:marTop w:val="0"/>
                      <w:marBottom w:val="0"/>
                      <w:divBdr>
                        <w:top w:val="none" w:sz="0" w:space="0" w:color="auto"/>
                        <w:left w:val="none" w:sz="0" w:space="0" w:color="auto"/>
                        <w:bottom w:val="none" w:sz="0" w:space="0" w:color="auto"/>
                        <w:right w:val="none" w:sz="0" w:space="0" w:color="auto"/>
                      </w:divBdr>
                    </w:div>
                    <w:div w:id="294147593">
                      <w:marLeft w:val="0"/>
                      <w:marRight w:val="0"/>
                      <w:marTop w:val="0"/>
                      <w:marBottom w:val="0"/>
                      <w:divBdr>
                        <w:top w:val="none" w:sz="0" w:space="0" w:color="auto"/>
                        <w:left w:val="none" w:sz="0" w:space="0" w:color="auto"/>
                        <w:bottom w:val="none" w:sz="0" w:space="0" w:color="auto"/>
                        <w:right w:val="none" w:sz="0" w:space="0" w:color="auto"/>
                      </w:divBdr>
                      <w:divsChild>
                        <w:div w:id="294145069">
                          <w:marLeft w:val="0"/>
                          <w:marRight w:val="0"/>
                          <w:marTop w:val="0"/>
                          <w:marBottom w:val="0"/>
                          <w:divBdr>
                            <w:top w:val="none" w:sz="0" w:space="0" w:color="auto"/>
                            <w:left w:val="none" w:sz="0" w:space="0" w:color="auto"/>
                            <w:bottom w:val="none" w:sz="0" w:space="0" w:color="auto"/>
                            <w:right w:val="none" w:sz="0" w:space="0" w:color="auto"/>
                          </w:divBdr>
                        </w:div>
                      </w:divsChild>
                    </w:div>
                    <w:div w:id="294147601">
                      <w:marLeft w:val="0"/>
                      <w:marRight w:val="0"/>
                      <w:marTop w:val="0"/>
                      <w:marBottom w:val="0"/>
                      <w:divBdr>
                        <w:top w:val="none" w:sz="0" w:space="0" w:color="auto"/>
                        <w:left w:val="none" w:sz="0" w:space="0" w:color="auto"/>
                        <w:bottom w:val="none" w:sz="0" w:space="0" w:color="auto"/>
                        <w:right w:val="none" w:sz="0" w:space="0" w:color="auto"/>
                      </w:divBdr>
                    </w:div>
                    <w:div w:id="294147682">
                      <w:marLeft w:val="0"/>
                      <w:marRight w:val="0"/>
                      <w:marTop w:val="0"/>
                      <w:marBottom w:val="0"/>
                      <w:divBdr>
                        <w:top w:val="none" w:sz="0" w:space="0" w:color="auto"/>
                        <w:left w:val="none" w:sz="0" w:space="0" w:color="auto"/>
                        <w:bottom w:val="none" w:sz="0" w:space="0" w:color="auto"/>
                        <w:right w:val="none" w:sz="0" w:space="0" w:color="auto"/>
                      </w:divBdr>
                    </w:div>
                    <w:div w:id="294148072">
                      <w:marLeft w:val="0"/>
                      <w:marRight w:val="0"/>
                      <w:marTop w:val="0"/>
                      <w:marBottom w:val="0"/>
                      <w:divBdr>
                        <w:top w:val="none" w:sz="0" w:space="0" w:color="auto"/>
                        <w:left w:val="none" w:sz="0" w:space="0" w:color="auto"/>
                        <w:bottom w:val="none" w:sz="0" w:space="0" w:color="auto"/>
                        <w:right w:val="none" w:sz="0" w:space="0" w:color="auto"/>
                      </w:divBdr>
                    </w:div>
                    <w:div w:id="294148341">
                      <w:marLeft w:val="0"/>
                      <w:marRight w:val="0"/>
                      <w:marTop w:val="0"/>
                      <w:marBottom w:val="0"/>
                      <w:divBdr>
                        <w:top w:val="none" w:sz="0" w:space="0" w:color="auto"/>
                        <w:left w:val="none" w:sz="0" w:space="0" w:color="auto"/>
                        <w:bottom w:val="none" w:sz="0" w:space="0" w:color="auto"/>
                        <w:right w:val="none" w:sz="0" w:space="0" w:color="auto"/>
                      </w:divBdr>
                    </w:div>
                    <w:div w:id="294148482">
                      <w:marLeft w:val="0"/>
                      <w:marRight w:val="0"/>
                      <w:marTop w:val="0"/>
                      <w:marBottom w:val="0"/>
                      <w:divBdr>
                        <w:top w:val="none" w:sz="0" w:space="0" w:color="auto"/>
                        <w:left w:val="none" w:sz="0" w:space="0" w:color="auto"/>
                        <w:bottom w:val="none" w:sz="0" w:space="0" w:color="auto"/>
                        <w:right w:val="none" w:sz="0" w:space="0" w:color="auto"/>
                      </w:divBdr>
                      <w:divsChild>
                        <w:div w:id="294138759">
                          <w:marLeft w:val="0"/>
                          <w:marRight w:val="0"/>
                          <w:marTop w:val="0"/>
                          <w:marBottom w:val="0"/>
                          <w:divBdr>
                            <w:top w:val="none" w:sz="0" w:space="0" w:color="auto"/>
                            <w:left w:val="none" w:sz="0" w:space="0" w:color="auto"/>
                            <w:bottom w:val="none" w:sz="0" w:space="0" w:color="auto"/>
                            <w:right w:val="none" w:sz="0" w:space="0" w:color="auto"/>
                          </w:divBdr>
                        </w:div>
                      </w:divsChild>
                    </w:div>
                    <w:div w:id="294149743">
                      <w:marLeft w:val="0"/>
                      <w:marRight w:val="0"/>
                      <w:marTop w:val="0"/>
                      <w:marBottom w:val="0"/>
                      <w:divBdr>
                        <w:top w:val="none" w:sz="0" w:space="0" w:color="auto"/>
                        <w:left w:val="none" w:sz="0" w:space="0" w:color="auto"/>
                        <w:bottom w:val="none" w:sz="0" w:space="0" w:color="auto"/>
                        <w:right w:val="none" w:sz="0" w:space="0" w:color="auto"/>
                      </w:divBdr>
                    </w:div>
                    <w:div w:id="294149802">
                      <w:marLeft w:val="0"/>
                      <w:marRight w:val="0"/>
                      <w:marTop w:val="0"/>
                      <w:marBottom w:val="0"/>
                      <w:divBdr>
                        <w:top w:val="none" w:sz="0" w:space="0" w:color="auto"/>
                        <w:left w:val="none" w:sz="0" w:space="0" w:color="auto"/>
                        <w:bottom w:val="none" w:sz="0" w:space="0" w:color="auto"/>
                        <w:right w:val="none" w:sz="0" w:space="0" w:color="auto"/>
                      </w:divBdr>
                    </w:div>
                    <w:div w:id="294150608">
                      <w:marLeft w:val="0"/>
                      <w:marRight w:val="0"/>
                      <w:marTop w:val="0"/>
                      <w:marBottom w:val="0"/>
                      <w:divBdr>
                        <w:top w:val="none" w:sz="0" w:space="0" w:color="auto"/>
                        <w:left w:val="none" w:sz="0" w:space="0" w:color="auto"/>
                        <w:bottom w:val="none" w:sz="0" w:space="0" w:color="auto"/>
                        <w:right w:val="none" w:sz="0" w:space="0" w:color="auto"/>
                      </w:divBdr>
                      <w:divsChild>
                        <w:div w:id="294157385">
                          <w:marLeft w:val="0"/>
                          <w:marRight w:val="0"/>
                          <w:marTop w:val="0"/>
                          <w:marBottom w:val="0"/>
                          <w:divBdr>
                            <w:top w:val="none" w:sz="0" w:space="0" w:color="auto"/>
                            <w:left w:val="none" w:sz="0" w:space="0" w:color="auto"/>
                            <w:bottom w:val="none" w:sz="0" w:space="0" w:color="auto"/>
                            <w:right w:val="none" w:sz="0" w:space="0" w:color="auto"/>
                          </w:divBdr>
                        </w:div>
                      </w:divsChild>
                    </w:div>
                    <w:div w:id="294151680">
                      <w:marLeft w:val="0"/>
                      <w:marRight w:val="0"/>
                      <w:marTop w:val="0"/>
                      <w:marBottom w:val="0"/>
                      <w:divBdr>
                        <w:top w:val="none" w:sz="0" w:space="0" w:color="auto"/>
                        <w:left w:val="none" w:sz="0" w:space="0" w:color="auto"/>
                        <w:bottom w:val="none" w:sz="0" w:space="0" w:color="auto"/>
                        <w:right w:val="none" w:sz="0" w:space="0" w:color="auto"/>
                      </w:divBdr>
                    </w:div>
                    <w:div w:id="294152108">
                      <w:marLeft w:val="0"/>
                      <w:marRight w:val="0"/>
                      <w:marTop w:val="0"/>
                      <w:marBottom w:val="0"/>
                      <w:divBdr>
                        <w:top w:val="none" w:sz="0" w:space="0" w:color="auto"/>
                        <w:left w:val="none" w:sz="0" w:space="0" w:color="auto"/>
                        <w:bottom w:val="none" w:sz="0" w:space="0" w:color="auto"/>
                        <w:right w:val="none" w:sz="0" w:space="0" w:color="auto"/>
                      </w:divBdr>
                    </w:div>
                    <w:div w:id="294152372">
                      <w:marLeft w:val="0"/>
                      <w:marRight w:val="0"/>
                      <w:marTop w:val="0"/>
                      <w:marBottom w:val="0"/>
                      <w:divBdr>
                        <w:top w:val="none" w:sz="0" w:space="0" w:color="auto"/>
                        <w:left w:val="none" w:sz="0" w:space="0" w:color="auto"/>
                        <w:bottom w:val="none" w:sz="0" w:space="0" w:color="auto"/>
                        <w:right w:val="none" w:sz="0" w:space="0" w:color="auto"/>
                      </w:divBdr>
                    </w:div>
                    <w:div w:id="294152703">
                      <w:marLeft w:val="0"/>
                      <w:marRight w:val="0"/>
                      <w:marTop w:val="0"/>
                      <w:marBottom w:val="0"/>
                      <w:divBdr>
                        <w:top w:val="none" w:sz="0" w:space="0" w:color="auto"/>
                        <w:left w:val="none" w:sz="0" w:space="0" w:color="auto"/>
                        <w:bottom w:val="none" w:sz="0" w:space="0" w:color="auto"/>
                        <w:right w:val="none" w:sz="0" w:space="0" w:color="auto"/>
                      </w:divBdr>
                      <w:divsChild>
                        <w:div w:id="294146257">
                          <w:marLeft w:val="0"/>
                          <w:marRight w:val="0"/>
                          <w:marTop w:val="0"/>
                          <w:marBottom w:val="0"/>
                          <w:divBdr>
                            <w:top w:val="none" w:sz="0" w:space="0" w:color="auto"/>
                            <w:left w:val="none" w:sz="0" w:space="0" w:color="auto"/>
                            <w:bottom w:val="none" w:sz="0" w:space="0" w:color="auto"/>
                            <w:right w:val="none" w:sz="0" w:space="0" w:color="auto"/>
                          </w:divBdr>
                        </w:div>
                      </w:divsChild>
                    </w:div>
                    <w:div w:id="294153018">
                      <w:marLeft w:val="0"/>
                      <w:marRight w:val="0"/>
                      <w:marTop w:val="0"/>
                      <w:marBottom w:val="0"/>
                      <w:divBdr>
                        <w:top w:val="none" w:sz="0" w:space="0" w:color="auto"/>
                        <w:left w:val="none" w:sz="0" w:space="0" w:color="auto"/>
                        <w:bottom w:val="none" w:sz="0" w:space="0" w:color="auto"/>
                        <w:right w:val="none" w:sz="0" w:space="0" w:color="auto"/>
                      </w:divBdr>
                      <w:divsChild>
                        <w:div w:id="294143136">
                          <w:marLeft w:val="0"/>
                          <w:marRight w:val="0"/>
                          <w:marTop w:val="0"/>
                          <w:marBottom w:val="0"/>
                          <w:divBdr>
                            <w:top w:val="none" w:sz="0" w:space="0" w:color="auto"/>
                            <w:left w:val="none" w:sz="0" w:space="0" w:color="auto"/>
                            <w:bottom w:val="none" w:sz="0" w:space="0" w:color="auto"/>
                            <w:right w:val="none" w:sz="0" w:space="0" w:color="auto"/>
                          </w:divBdr>
                        </w:div>
                      </w:divsChild>
                    </w:div>
                    <w:div w:id="294153247">
                      <w:marLeft w:val="0"/>
                      <w:marRight w:val="0"/>
                      <w:marTop w:val="0"/>
                      <w:marBottom w:val="0"/>
                      <w:divBdr>
                        <w:top w:val="none" w:sz="0" w:space="0" w:color="auto"/>
                        <w:left w:val="none" w:sz="0" w:space="0" w:color="auto"/>
                        <w:bottom w:val="none" w:sz="0" w:space="0" w:color="auto"/>
                        <w:right w:val="none" w:sz="0" w:space="0" w:color="auto"/>
                      </w:divBdr>
                      <w:divsChild>
                        <w:div w:id="294141116">
                          <w:marLeft w:val="0"/>
                          <w:marRight w:val="0"/>
                          <w:marTop w:val="0"/>
                          <w:marBottom w:val="0"/>
                          <w:divBdr>
                            <w:top w:val="none" w:sz="0" w:space="0" w:color="auto"/>
                            <w:left w:val="none" w:sz="0" w:space="0" w:color="auto"/>
                            <w:bottom w:val="none" w:sz="0" w:space="0" w:color="auto"/>
                            <w:right w:val="none" w:sz="0" w:space="0" w:color="auto"/>
                          </w:divBdr>
                        </w:div>
                      </w:divsChild>
                    </w:div>
                    <w:div w:id="294153369">
                      <w:marLeft w:val="0"/>
                      <w:marRight w:val="0"/>
                      <w:marTop w:val="0"/>
                      <w:marBottom w:val="0"/>
                      <w:divBdr>
                        <w:top w:val="none" w:sz="0" w:space="0" w:color="auto"/>
                        <w:left w:val="none" w:sz="0" w:space="0" w:color="auto"/>
                        <w:bottom w:val="none" w:sz="0" w:space="0" w:color="auto"/>
                        <w:right w:val="none" w:sz="0" w:space="0" w:color="auto"/>
                      </w:divBdr>
                      <w:divsChild>
                        <w:div w:id="294155272">
                          <w:marLeft w:val="0"/>
                          <w:marRight w:val="0"/>
                          <w:marTop w:val="0"/>
                          <w:marBottom w:val="0"/>
                          <w:divBdr>
                            <w:top w:val="none" w:sz="0" w:space="0" w:color="auto"/>
                            <w:left w:val="none" w:sz="0" w:space="0" w:color="auto"/>
                            <w:bottom w:val="none" w:sz="0" w:space="0" w:color="auto"/>
                            <w:right w:val="none" w:sz="0" w:space="0" w:color="auto"/>
                          </w:divBdr>
                        </w:div>
                      </w:divsChild>
                    </w:div>
                    <w:div w:id="294154096">
                      <w:marLeft w:val="0"/>
                      <w:marRight w:val="0"/>
                      <w:marTop w:val="0"/>
                      <w:marBottom w:val="0"/>
                      <w:divBdr>
                        <w:top w:val="none" w:sz="0" w:space="0" w:color="auto"/>
                        <w:left w:val="none" w:sz="0" w:space="0" w:color="auto"/>
                        <w:bottom w:val="none" w:sz="0" w:space="0" w:color="auto"/>
                        <w:right w:val="none" w:sz="0" w:space="0" w:color="auto"/>
                      </w:divBdr>
                    </w:div>
                    <w:div w:id="294154345">
                      <w:marLeft w:val="0"/>
                      <w:marRight w:val="0"/>
                      <w:marTop w:val="0"/>
                      <w:marBottom w:val="0"/>
                      <w:divBdr>
                        <w:top w:val="none" w:sz="0" w:space="0" w:color="auto"/>
                        <w:left w:val="none" w:sz="0" w:space="0" w:color="auto"/>
                        <w:bottom w:val="none" w:sz="0" w:space="0" w:color="auto"/>
                        <w:right w:val="none" w:sz="0" w:space="0" w:color="auto"/>
                      </w:divBdr>
                    </w:div>
                    <w:div w:id="294154602">
                      <w:marLeft w:val="0"/>
                      <w:marRight w:val="0"/>
                      <w:marTop w:val="0"/>
                      <w:marBottom w:val="0"/>
                      <w:divBdr>
                        <w:top w:val="none" w:sz="0" w:space="0" w:color="auto"/>
                        <w:left w:val="none" w:sz="0" w:space="0" w:color="auto"/>
                        <w:bottom w:val="none" w:sz="0" w:space="0" w:color="auto"/>
                        <w:right w:val="none" w:sz="0" w:space="0" w:color="auto"/>
                      </w:divBdr>
                      <w:divsChild>
                        <w:div w:id="294153527">
                          <w:marLeft w:val="0"/>
                          <w:marRight w:val="0"/>
                          <w:marTop w:val="0"/>
                          <w:marBottom w:val="0"/>
                          <w:divBdr>
                            <w:top w:val="none" w:sz="0" w:space="0" w:color="auto"/>
                            <w:left w:val="none" w:sz="0" w:space="0" w:color="auto"/>
                            <w:bottom w:val="none" w:sz="0" w:space="0" w:color="auto"/>
                            <w:right w:val="none" w:sz="0" w:space="0" w:color="auto"/>
                          </w:divBdr>
                        </w:div>
                      </w:divsChild>
                    </w:div>
                    <w:div w:id="294156792">
                      <w:marLeft w:val="0"/>
                      <w:marRight w:val="0"/>
                      <w:marTop w:val="0"/>
                      <w:marBottom w:val="0"/>
                      <w:divBdr>
                        <w:top w:val="none" w:sz="0" w:space="0" w:color="auto"/>
                        <w:left w:val="none" w:sz="0" w:space="0" w:color="auto"/>
                        <w:bottom w:val="none" w:sz="0" w:space="0" w:color="auto"/>
                        <w:right w:val="none" w:sz="0" w:space="0" w:color="auto"/>
                      </w:divBdr>
                      <w:divsChild>
                        <w:div w:id="294156926">
                          <w:marLeft w:val="0"/>
                          <w:marRight w:val="0"/>
                          <w:marTop w:val="0"/>
                          <w:marBottom w:val="0"/>
                          <w:divBdr>
                            <w:top w:val="none" w:sz="0" w:space="0" w:color="auto"/>
                            <w:left w:val="none" w:sz="0" w:space="0" w:color="auto"/>
                            <w:bottom w:val="none" w:sz="0" w:space="0" w:color="auto"/>
                            <w:right w:val="none" w:sz="0" w:space="0" w:color="auto"/>
                          </w:divBdr>
                        </w:div>
                      </w:divsChild>
                    </w:div>
                    <w:div w:id="29415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56904">
          <w:marLeft w:val="0"/>
          <w:marRight w:val="0"/>
          <w:marTop w:val="0"/>
          <w:marBottom w:val="0"/>
          <w:divBdr>
            <w:top w:val="none" w:sz="0" w:space="0" w:color="auto"/>
            <w:left w:val="none" w:sz="0" w:space="0" w:color="auto"/>
            <w:bottom w:val="none" w:sz="0" w:space="0" w:color="auto"/>
            <w:right w:val="none" w:sz="0" w:space="0" w:color="auto"/>
          </w:divBdr>
          <w:divsChild>
            <w:div w:id="294138695">
              <w:marLeft w:val="0"/>
              <w:marRight w:val="0"/>
              <w:marTop w:val="0"/>
              <w:marBottom w:val="0"/>
              <w:divBdr>
                <w:top w:val="none" w:sz="0" w:space="0" w:color="auto"/>
                <w:left w:val="none" w:sz="0" w:space="0" w:color="auto"/>
                <w:bottom w:val="none" w:sz="0" w:space="0" w:color="auto"/>
                <w:right w:val="none" w:sz="0" w:space="0" w:color="auto"/>
              </w:divBdr>
              <w:divsChild>
                <w:div w:id="29415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38229">
      <w:marLeft w:val="0"/>
      <w:marRight w:val="0"/>
      <w:marTop w:val="0"/>
      <w:marBottom w:val="0"/>
      <w:divBdr>
        <w:top w:val="none" w:sz="0" w:space="0" w:color="auto"/>
        <w:left w:val="none" w:sz="0" w:space="0" w:color="auto"/>
        <w:bottom w:val="none" w:sz="0" w:space="0" w:color="auto"/>
        <w:right w:val="none" w:sz="0" w:space="0" w:color="auto"/>
      </w:divBdr>
    </w:div>
    <w:div w:id="294138313">
      <w:marLeft w:val="0"/>
      <w:marRight w:val="0"/>
      <w:marTop w:val="0"/>
      <w:marBottom w:val="0"/>
      <w:divBdr>
        <w:top w:val="none" w:sz="0" w:space="0" w:color="auto"/>
        <w:left w:val="none" w:sz="0" w:space="0" w:color="auto"/>
        <w:bottom w:val="none" w:sz="0" w:space="0" w:color="auto"/>
        <w:right w:val="none" w:sz="0" w:space="0" w:color="auto"/>
      </w:divBdr>
    </w:div>
    <w:div w:id="294138321">
      <w:marLeft w:val="0"/>
      <w:marRight w:val="0"/>
      <w:marTop w:val="0"/>
      <w:marBottom w:val="0"/>
      <w:divBdr>
        <w:top w:val="none" w:sz="0" w:space="0" w:color="auto"/>
        <w:left w:val="none" w:sz="0" w:space="0" w:color="auto"/>
        <w:bottom w:val="none" w:sz="0" w:space="0" w:color="auto"/>
        <w:right w:val="none" w:sz="0" w:space="0" w:color="auto"/>
      </w:divBdr>
    </w:div>
    <w:div w:id="294138358">
      <w:marLeft w:val="0"/>
      <w:marRight w:val="0"/>
      <w:marTop w:val="0"/>
      <w:marBottom w:val="0"/>
      <w:divBdr>
        <w:top w:val="none" w:sz="0" w:space="0" w:color="auto"/>
        <w:left w:val="none" w:sz="0" w:space="0" w:color="auto"/>
        <w:bottom w:val="none" w:sz="0" w:space="0" w:color="auto"/>
        <w:right w:val="none" w:sz="0" w:space="0" w:color="auto"/>
      </w:divBdr>
    </w:div>
    <w:div w:id="294138407">
      <w:marLeft w:val="0"/>
      <w:marRight w:val="0"/>
      <w:marTop w:val="0"/>
      <w:marBottom w:val="0"/>
      <w:divBdr>
        <w:top w:val="none" w:sz="0" w:space="0" w:color="auto"/>
        <w:left w:val="none" w:sz="0" w:space="0" w:color="auto"/>
        <w:bottom w:val="none" w:sz="0" w:space="0" w:color="auto"/>
        <w:right w:val="none" w:sz="0" w:space="0" w:color="auto"/>
      </w:divBdr>
      <w:divsChild>
        <w:div w:id="294146013">
          <w:marLeft w:val="0"/>
          <w:marRight w:val="0"/>
          <w:marTop w:val="0"/>
          <w:marBottom w:val="0"/>
          <w:divBdr>
            <w:top w:val="none" w:sz="0" w:space="0" w:color="auto"/>
            <w:left w:val="none" w:sz="0" w:space="0" w:color="auto"/>
            <w:bottom w:val="none" w:sz="0" w:space="0" w:color="auto"/>
            <w:right w:val="none" w:sz="0" w:space="0" w:color="auto"/>
          </w:divBdr>
          <w:divsChild>
            <w:div w:id="294154844">
              <w:marLeft w:val="0"/>
              <w:marRight w:val="0"/>
              <w:marTop w:val="0"/>
              <w:marBottom w:val="0"/>
              <w:divBdr>
                <w:top w:val="none" w:sz="0" w:space="0" w:color="auto"/>
                <w:left w:val="none" w:sz="0" w:space="0" w:color="auto"/>
                <w:bottom w:val="none" w:sz="0" w:space="0" w:color="auto"/>
                <w:right w:val="none" w:sz="0" w:space="0" w:color="auto"/>
              </w:divBdr>
              <w:divsChild>
                <w:div w:id="294138015">
                  <w:marLeft w:val="0"/>
                  <w:marRight w:val="0"/>
                  <w:marTop w:val="0"/>
                  <w:marBottom w:val="0"/>
                  <w:divBdr>
                    <w:top w:val="none" w:sz="0" w:space="0" w:color="auto"/>
                    <w:left w:val="none" w:sz="0" w:space="0" w:color="auto"/>
                    <w:bottom w:val="none" w:sz="0" w:space="0" w:color="auto"/>
                    <w:right w:val="none" w:sz="0" w:space="0" w:color="auto"/>
                  </w:divBdr>
                </w:div>
                <w:div w:id="294138070">
                  <w:marLeft w:val="0"/>
                  <w:marRight w:val="0"/>
                  <w:marTop w:val="0"/>
                  <w:marBottom w:val="0"/>
                  <w:divBdr>
                    <w:top w:val="none" w:sz="0" w:space="0" w:color="auto"/>
                    <w:left w:val="none" w:sz="0" w:space="0" w:color="auto"/>
                    <w:bottom w:val="none" w:sz="0" w:space="0" w:color="auto"/>
                    <w:right w:val="none" w:sz="0" w:space="0" w:color="auto"/>
                  </w:divBdr>
                </w:div>
                <w:div w:id="294138257">
                  <w:marLeft w:val="0"/>
                  <w:marRight w:val="0"/>
                  <w:marTop w:val="0"/>
                  <w:marBottom w:val="0"/>
                  <w:divBdr>
                    <w:top w:val="none" w:sz="0" w:space="0" w:color="auto"/>
                    <w:left w:val="none" w:sz="0" w:space="0" w:color="auto"/>
                    <w:bottom w:val="none" w:sz="0" w:space="0" w:color="auto"/>
                    <w:right w:val="none" w:sz="0" w:space="0" w:color="auto"/>
                  </w:divBdr>
                </w:div>
                <w:div w:id="294138285">
                  <w:marLeft w:val="0"/>
                  <w:marRight w:val="0"/>
                  <w:marTop w:val="0"/>
                  <w:marBottom w:val="0"/>
                  <w:divBdr>
                    <w:top w:val="none" w:sz="0" w:space="0" w:color="auto"/>
                    <w:left w:val="none" w:sz="0" w:space="0" w:color="auto"/>
                    <w:bottom w:val="none" w:sz="0" w:space="0" w:color="auto"/>
                    <w:right w:val="none" w:sz="0" w:space="0" w:color="auto"/>
                  </w:divBdr>
                </w:div>
                <w:div w:id="294138341">
                  <w:marLeft w:val="0"/>
                  <w:marRight w:val="0"/>
                  <w:marTop w:val="0"/>
                  <w:marBottom w:val="0"/>
                  <w:divBdr>
                    <w:top w:val="none" w:sz="0" w:space="0" w:color="auto"/>
                    <w:left w:val="none" w:sz="0" w:space="0" w:color="auto"/>
                    <w:bottom w:val="none" w:sz="0" w:space="0" w:color="auto"/>
                    <w:right w:val="none" w:sz="0" w:space="0" w:color="auto"/>
                  </w:divBdr>
                </w:div>
                <w:div w:id="294138473">
                  <w:marLeft w:val="0"/>
                  <w:marRight w:val="0"/>
                  <w:marTop w:val="0"/>
                  <w:marBottom w:val="0"/>
                  <w:divBdr>
                    <w:top w:val="none" w:sz="0" w:space="0" w:color="auto"/>
                    <w:left w:val="none" w:sz="0" w:space="0" w:color="auto"/>
                    <w:bottom w:val="none" w:sz="0" w:space="0" w:color="auto"/>
                    <w:right w:val="none" w:sz="0" w:space="0" w:color="auto"/>
                  </w:divBdr>
                </w:div>
                <w:div w:id="294138526">
                  <w:marLeft w:val="0"/>
                  <w:marRight w:val="0"/>
                  <w:marTop w:val="0"/>
                  <w:marBottom w:val="0"/>
                  <w:divBdr>
                    <w:top w:val="none" w:sz="0" w:space="0" w:color="auto"/>
                    <w:left w:val="none" w:sz="0" w:space="0" w:color="auto"/>
                    <w:bottom w:val="none" w:sz="0" w:space="0" w:color="auto"/>
                    <w:right w:val="none" w:sz="0" w:space="0" w:color="auto"/>
                  </w:divBdr>
                </w:div>
                <w:div w:id="294139010">
                  <w:marLeft w:val="0"/>
                  <w:marRight w:val="0"/>
                  <w:marTop w:val="0"/>
                  <w:marBottom w:val="0"/>
                  <w:divBdr>
                    <w:top w:val="none" w:sz="0" w:space="0" w:color="auto"/>
                    <w:left w:val="none" w:sz="0" w:space="0" w:color="auto"/>
                    <w:bottom w:val="none" w:sz="0" w:space="0" w:color="auto"/>
                    <w:right w:val="none" w:sz="0" w:space="0" w:color="auto"/>
                  </w:divBdr>
                </w:div>
                <w:div w:id="294139157">
                  <w:marLeft w:val="0"/>
                  <w:marRight w:val="0"/>
                  <w:marTop w:val="0"/>
                  <w:marBottom w:val="0"/>
                  <w:divBdr>
                    <w:top w:val="none" w:sz="0" w:space="0" w:color="auto"/>
                    <w:left w:val="none" w:sz="0" w:space="0" w:color="auto"/>
                    <w:bottom w:val="none" w:sz="0" w:space="0" w:color="auto"/>
                    <w:right w:val="none" w:sz="0" w:space="0" w:color="auto"/>
                  </w:divBdr>
                </w:div>
                <w:div w:id="294139440">
                  <w:marLeft w:val="0"/>
                  <w:marRight w:val="0"/>
                  <w:marTop w:val="0"/>
                  <w:marBottom w:val="0"/>
                  <w:divBdr>
                    <w:top w:val="none" w:sz="0" w:space="0" w:color="auto"/>
                    <w:left w:val="none" w:sz="0" w:space="0" w:color="auto"/>
                    <w:bottom w:val="none" w:sz="0" w:space="0" w:color="auto"/>
                    <w:right w:val="none" w:sz="0" w:space="0" w:color="auto"/>
                  </w:divBdr>
                </w:div>
                <w:div w:id="294139525">
                  <w:marLeft w:val="0"/>
                  <w:marRight w:val="0"/>
                  <w:marTop w:val="0"/>
                  <w:marBottom w:val="0"/>
                  <w:divBdr>
                    <w:top w:val="none" w:sz="0" w:space="0" w:color="auto"/>
                    <w:left w:val="none" w:sz="0" w:space="0" w:color="auto"/>
                    <w:bottom w:val="none" w:sz="0" w:space="0" w:color="auto"/>
                    <w:right w:val="none" w:sz="0" w:space="0" w:color="auto"/>
                  </w:divBdr>
                </w:div>
                <w:div w:id="294139538">
                  <w:marLeft w:val="0"/>
                  <w:marRight w:val="0"/>
                  <w:marTop w:val="0"/>
                  <w:marBottom w:val="0"/>
                  <w:divBdr>
                    <w:top w:val="none" w:sz="0" w:space="0" w:color="auto"/>
                    <w:left w:val="none" w:sz="0" w:space="0" w:color="auto"/>
                    <w:bottom w:val="none" w:sz="0" w:space="0" w:color="auto"/>
                    <w:right w:val="none" w:sz="0" w:space="0" w:color="auto"/>
                  </w:divBdr>
                </w:div>
                <w:div w:id="294139900">
                  <w:marLeft w:val="0"/>
                  <w:marRight w:val="0"/>
                  <w:marTop w:val="0"/>
                  <w:marBottom w:val="0"/>
                  <w:divBdr>
                    <w:top w:val="none" w:sz="0" w:space="0" w:color="auto"/>
                    <w:left w:val="none" w:sz="0" w:space="0" w:color="auto"/>
                    <w:bottom w:val="none" w:sz="0" w:space="0" w:color="auto"/>
                    <w:right w:val="none" w:sz="0" w:space="0" w:color="auto"/>
                  </w:divBdr>
                </w:div>
                <w:div w:id="294139943">
                  <w:marLeft w:val="0"/>
                  <w:marRight w:val="0"/>
                  <w:marTop w:val="0"/>
                  <w:marBottom w:val="0"/>
                  <w:divBdr>
                    <w:top w:val="none" w:sz="0" w:space="0" w:color="auto"/>
                    <w:left w:val="none" w:sz="0" w:space="0" w:color="auto"/>
                    <w:bottom w:val="none" w:sz="0" w:space="0" w:color="auto"/>
                    <w:right w:val="none" w:sz="0" w:space="0" w:color="auto"/>
                  </w:divBdr>
                </w:div>
                <w:div w:id="294140392">
                  <w:marLeft w:val="0"/>
                  <w:marRight w:val="0"/>
                  <w:marTop w:val="0"/>
                  <w:marBottom w:val="0"/>
                  <w:divBdr>
                    <w:top w:val="none" w:sz="0" w:space="0" w:color="auto"/>
                    <w:left w:val="none" w:sz="0" w:space="0" w:color="auto"/>
                    <w:bottom w:val="none" w:sz="0" w:space="0" w:color="auto"/>
                    <w:right w:val="none" w:sz="0" w:space="0" w:color="auto"/>
                  </w:divBdr>
                </w:div>
                <w:div w:id="294140427">
                  <w:marLeft w:val="0"/>
                  <w:marRight w:val="0"/>
                  <w:marTop w:val="0"/>
                  <w:marBottom w:val="0"/>
                  <w:divBdr>
                    <w:top w:val="none" w:sz="0" w:space="0" w:color="auto"/>
                    <w:left w:val="none" w:sz="0" w:space="0" w:color="auto"/>
                    <w:bottom w:val="none" w:sz="0" w:space="0" w:color="auto"/>
                    <w:right w:val="none" w:sz="0" w:space="0" w:color="auto"/>
                  </w:divBdr>
                </w:div>
                <w:div w:id="294140521">
                  <w:marLeft w:val="0"/>
                  <w:marRight w:val="0"/>
                  <w:marTop w:val="0"/>
                  <w:marBottom w:val="0"/>
                  <w:divBdr>
                    <w:top w:val="none" w:sz="0" w:space="0" w:color="auto"/>
                    <w:left w:val="none" w:sz="0" w:space="0" w:color="auto"/>
                    <w:bottom w:val="none" w:sz="0" w:space="0" w:color="auto"/>
                    <w:right w:val="none" w:sz="0" w:space="0" w:color="auto"/>
                  </w:divBdr>
                </w:div>
                <w:div w:id="294140904">
                  <w:marLeft w:val="0"/>
                  <w:marRight w:val="0"/>
                  <w:marTop w:val="0"/>
                  <w:marBottom w:val="0"/>
                  <w:divBdr>
                    <w:top w:val="none" w:sz="0" w:space="0" w:color="auto"/>
                    <w:left w:val="none" w:sz="0" w:space="0" w:color="auto"/>
                    <w:bottom w:val="none" w:sz="0" w:space="0" w:color="auto"/>
                    <w:right w:val="none" w:sz="0" w:space="0" w:color="auto"/>
                  </w:divBdr>
                </w:div>
                <w:div w:id="294141146">
                  <w:marLeft w:val="0"/>
                  <w:marRight w:val="0"/>
                  <w:marTop w:val="0"/>
                  <w:marBottom w:val="0"/>
                  <w:divBdr>
                    <w:top w:val="none" w:sz="0" w:space="0" w:color="auto"/>
                    <w:left w:val="none" w:sz="0" w:space="0" w:color="auto"/>
                    <w:bottom w:val="none" w:sz="0" w:space="0" w:color="auto"/>
                    <w:right w:val="none" w:sz="0" w:space="0" w:color="auto"/>
                  </w:divBdr>
                </w:div>
                <w:div w:id="294141285">
                  <w:marLeft w:val="0"/>
                  <w:marRight w:val="0"/>
                  <w:marTop w:val="0"/>
                  <w:marBottom w:val="0"/>
                  <w:divBdr>
                    <w:top w:val="none" w:sz="0" w:space="0" w:color="auto"/>
                    <w:left w:val="none" w:sz="0" w:space="0" w:color="auto"/>
                    <w:bottom w:val="none" w:sz="0" w:space="0" w:color="auto"/>
                    <w:right w:val="none" w:sz="0" w:space="0" w:color="auto"/>
                  </w:divBdr>
                </w:div>
                <w:div w:id="294141445">
                  <w:marLeft w:val="0"/>
                  <w:marRight w:val="0"/>
                  <w:marTop w:val="0"/>
                  <w:marBottom w:val="0"/>
                  <w:divBdr>
                    <w:top w:val="none" w:sz="0" w:space="0" w:color="auto"/>
                    <w:left w:val="none" w:sz="0" w:space="0" w:color="auto"/>
                    <w:bottom w:val="none" w:sz="0" w:space="0" w:color="auto"/>
                    <w:right w:val="none" w:sz="0" w:space="0" w:color="auto"/>
                  </w:divBdr>
                </w:div>
                <w:div w:id="294141497">
                  <w:marLeft w:val="0"/>
                  <w:marRight w:val="0"/>
                  <w:marTop w:val="0"/>
                  <w:marBottom w:val="0"/>
                  <w:divBdr>
                    <w:top w:val="none" w:sz="0" w:space="0" w:color="auto"/>
                    <w:left w:val="none" w:sz="0" w:space="0" w:color="auto"/>
                    <w:bottom w:val="none" w:sz="0" w:space="0" w:color="auto"/>
                    <w:right w:val="none" w:sz="0" w:space="0" w:color="auto"/>
                  </w:divBdr>
                </w:div>
                <w:div w:id="294141746">
                  <w:marLeft w:val="0"/>
                  <w:marRight w:val="0"/>
                  <w:marTop w:val="0"/>
                  <w:marBottom w:val="0"/>
                  <w:divBdr>
                    <w:top w:val="none" w:sz="0" w:space="0" w:color="auto"/>
                    <w:left w:val="none" w:sz="0" w:space="0" w:color="auto"/>
                    <w:bottom w:val="none" w:sz="0" w:space="0" w:color="auto"/>
                    <w:right w:val="none" w:sz="0" w:space="0" w:color="auto"/>
                  </w:divBdr>
                </w:div>
                <w:div w:id="294141761">
                  <w:marLeft w:val="0"/>
                  <w:marRight w:val="0"/>
                  <w:marTop w:val="0"/>
                  <w:marBottom w:val="0"/>
                  <w:divBdr>
                    <w:top w:val="none" w:sz="0" w:space="0" w:color="auto"/>
                    <w:left w:val="none" w:sz="0" w:space="0" w:color="auto"/>
                    <w:bottom w:val="none" w:sz="0" w:space="0" w:color="auto"/>
                    <w:right w:val="none" w:sz="0" w:space="0" w:color="auto"/>
                  </w:divBdr>
                </w:div>
                <w:div w:id="294141771">
                  <w:marLeft w:val="0"/>
                  <w:marRight w:val="0"/>
                  <w:marTop w:val="0"/>
                  <w:marBottom w:val="0"/>
                  <w:divBdr>
                    <w:top w:val="none" w:sz="0" w:space="0" w:color="auto"/>
                    <w:left w:val="none" w:sz="0" w:space="0" w:color="auto"/>
                    <w:bottom w:val="none" w:sz="0" w:space="0" w:color="auto"/>
                    <w:right w:val="none" w:sz="0" w:space="0" w:color="auto"/>
                  </w:divBdr>
                </w:div>
                <w:div w:id="294141857">
                  <w:marLeft w:val="0"/>
                  <w:marRight w:val="0"/>
                  <w:marTop w:val="0"/>
                  <w:marBottom w:val="0"/>
                  <w:divBdr>
                    <w:top w:val="none" w:sz="0" w:space="0" w:color="auto"/>
                    <w:left w:val="none" w:sz="0" w:space="0" w:color="auto"/>
                    <w:bottom w:val="none" w:sz="0" w:space="0" w:color="auto"/>
                    <w:right w:val="none" w:sz="0" w:space="0" w:color="auto"/>
                  </w:divBdr>
                </w:div>
                <w:div w:id="294141938">
                  <w:marLeft w:val="0"/>
                  <w:marRight w:val="0"/>
                  <w:marTop w:val="0"/>
                  <w:marBottom w:val="0"/>
                  <w:divBdr>
                    <w:top w:val="none" w:sz="0" w:space="0" w:color="auto"/>
                    <w:left w:val="none" w:sz="0" w:space="0" w:color="auto"/>
                    <w:bottom w:val="none" w:sz="0" w:space="0" w:color="auto"/>
                    <w:right w:val="none" w:sz="0" w:space="0" w:color="auto"/>
                  </w:divBdr>
                </w:div>
                <w:div w:id="294142326">
                  <w:marLeft w:val="0"/>
                  <w:marRight w:val="0"/>
                  <w:marTop w:val="0"/>
                  <w:marBottom w:val="0"/>
                  <w:divBdr>
                    <w:top w:val="none" w:sz="0" w:space="0" w:color="auto"/>
                    <w:left w:val="none" w:sz="0" w:space="0" w:color="auto"/>
                    <w:bottom w:val="none" w:sz="0" w:space="0" w:color="auto"/>
                    <w:right w:val="none" w:sz="0" w:space="0" w:color="auto"/>
                  </w:divBdr>
                </w:div>
                <w:div w:id="294142377">
                  <w:marLeft w:val="0"/>
                  <w:marRight w:val="0"/>
                  <w:marTop w:val="0"/>
                  <w:marBottom w:val="0"/>
                  <w:divBdr>
                    <w:top w:val="none" w:sz="0" w:space="0" w:color="auto"/>
                    <w:left w:val="none" w:sz="0" w:space="0" w:color="auto"/>
                    <w:bottom w:val="none" w:sz="0" w:space="0" w:color="auto"/>
                    <w:right w:val="none" w:sz="0" w:space="0" w:color="auto"/>
                  </w:divBdr>
                </w:div>
                <w:div w:id="294142550">
                  <w:marLeft w:val="0"/>
                  <w:marRight w:val="0"/>
                  <w:marTop w:val="0"/>
                  <w:marBottom w:val="0"/>
                  <w:divBdr>
                    <w:top w:val="none" w:sz="0" w:space="0" w:color="auto"/>
                    <w:left w:val="none" w:sz="0" w:space="0" w:color="auto"/>
                    <w:bottom w:val="none" w:sz="0" w:space="0" w:color="auto"/>
                    <w:right w:val="none" w:sz="0" w:space="0" w:color="auto"/>
                  </w:divBdr>
                </w:div>
                <w:div w:id="294142657">
                  <w:marLeft w:val="0"/>
                  <w:marRight w:val="0"/>
                  <w:marTop w:val="0"/>
                  <w:marBottom w:val="0"/>
                  <w:divBdr>
                    <w:top w:val="none" w:sz="0" w:space="0" w:color="auto"/>
                    <w:left w:val="none" w:sz="0" w:space="0" w:color="auto"/>
                    <w:bottom w:val="none" w:sz="0" w:space="0" w:color="auto"/>
                    <w:right w:val="none" w:sz="0" w:space="0" w:color="auto"/>
                  </w:divBdr>
                </w:div>
                <w:div w:id="294142846">
                  <w:marLeft w:val="0"/>
                  <w:marRight w:val="0"/>
                  <w:marTop w:val="0"/>
                  <w:marBottom w:val="0"/>
                  <w:divBdr>
                    <w:top w:val="none" w:sz="0" w:space="0" w:color="auto"/>
                    <w:left w:val="none" w:sz="0" w:space="0" w:color="auto"/>
                    <w:bottom w:val="none" w:sz="0" w:space="0" w:color="auto"/>
                    <w:right w:val="none" w:sz="0" w:space="0" w:color="auto"/>
                  </w:divBdr>
                </w:div>
                <w:div w:id="294142952">
                  <w:marLeft w:val="0"/>
                  <w:marRight w:val="0"/>
                  <w:marTop w:val="0"/>
                  <w:marBottom w:val="0"/>
                  <w:divBdr>
                    <w:top w:val="none" w:sz="0" w:space="0" w:color="auto"/>
                    <w:left w:val="none" w:sz="0" w:space="0" w:color="auto"/>
                    <w:bottom w:val="none" w:sz="0" w:space="0" w:color="auto"/>
                    <w:right w:val="none" w:sz="0" w:space="0" w:color="auto"/>
                  </w:divBdr>
                </w:div>
                <w:div w:id="294143064">
                  <w:marLeft w:val="0"/>
                  <w:marRight w:val="0"/>
                  <w:marTop w:val="0"/>
                  <w:marBottom w:val="0"/>
                  <w:divBdr>
                    <w:top w:val="none" w:sz="0" w:space="0" w:color="auto"/>
                    <w:left w:val="none" w:sz="0" w:space="0" w:color="auto"/>
                    <w:bottom w:val="none" w:sz="0" w:space="0" w:color="auto"/>
                    <w:right w:val="none" w:sz="0" w:space="0" w:color="auto"/>
                  </w:divBdr>
                </w:div>
                <w:div w:id="294143163">
                  <w:marLeft w:val="0"/>
                  <w:marRight w:val="0"/>
                  <w:marTop w:val="0"/>
                  <w:marBottom w:val="0"/>
                  <w:divBdr>
                    <w:top w:val="none" w:sz="0" w:space="0" w:color="auto"/>
                    <w:left w:val="none" w:sz="0" w:space="0" w:color="auto"/>
                    <w:bottom w:val="none" w:sz="0" w:space="0" w:color="auto"/>
                    <w:right w:val="none" w:sz="0" w:space="0" w:color="auto"/>
                  </w:divBdr>
                </w:div>
                <w:div w:id="294143229">
                  <w:marLeft w:val="0"/>
                  <w:marRight w:val="0"/>
                  <w:marTop w:val="0"/>
                  <w:marBottom w:val="0"/>
                  <w:divBdr>
                    <w:top w:val="none" w:sz="0" w:space="0" w:color="auto"/>
                    <w:left w:val="none" w:sz="0" w:space="0" w:color="auto"/>
                    <w:bottom w:val="none" w:sz="0" w:space="0" w:color="auto"/>
                    <w:right w:val="none" w:sz="0" w:space="0" w:color="auto"/>
                  </w:divBdr>
                </w:div>
                <w:div w:id="294143252">
                  <w:marLeft w:val="0"/>
                  <w:marRight w:val="0"/>
                  <w:marTop w:val="0"/>
                  <w:marBottom w:val="0"/>
                  <w:divBdr>
                    <w:top w:val="none" w:sz="0" w:space="0" w:color="auto"/>
                    <w:left w:val="none" w:sz="0" w:space="0" w:color="auto"/>
                    <w:bottom w:val="none" w:sz="0" w:space="0" w:color="auto"/>
                    <w:right w:val="none" w:sz="0" w:space="0" w:color="auto"/>
                  </w:divBdr>
                </w:div>
                <w:div w:id="294143703">
                  <w:marLeft w:val="0"/>
                  <w:marRight w:val="0"/>
                  <w:marTop w:val="0"/>
                  <w:marBottom w:val="0"/>
                  <w:divBdr>
                    <w:top w:val="none" w:sz="0" w:space="0" w:color="auto"/>
                    <w:left w:val="none" w:sz="0" w:space="0" w:color="auto"/>
                    <w:bottom w:val="none" w:sz="0" w:space="0" w:color="auto"/>
                    <w:right w:val="none" w:sz="0" w:space="0" w:color="auto"/>
                  </w:divBdr>
                </w:div>
                <w:div w:id="294143924">
                  <w:marLeft w:val="0"/>
                  <w:marRight w:val="0"/>
                  <w:marTop w:val="0"/>
                  <w:marBottom w:val="0"/>
                  <w:divBdr>
                    <w:top w:val="none" w:sz="0" w:space="0" w:color="auto"/>
                    <w:left w:val="none" w:sz="0" w:space="0" w:color="auto"/>
                    <w:bottom w:val="none" w:sz="0" w:space="0" w:color="auto"/>
                    <w:right w:val="none" w:sz="0" w:space="0" w:color="auto"/>
                  </w:divBdr>
                </w:div>
                <w:div w:id="294144170">
                  <w:marLeft w:val="0"/>
                  <w:marRight w:val="0"/>
                  <w:marTop w:val="0"/>
                  <w:marBottom w:val="0"/>
                  <w:divBdr>
                    <w:top w:val="none" w:sz="0" w:space="0" w:color="auto"/>
                    <w:left w:val="none" w:sz="0" w:space="0" w:color="auto"/>
                    <w:bottom w:val="none" w:sz="0" w:space="0" w:color="auto"/>
                    <w:right w:val="none" w:sz="0" w:space="0" w:color="auto"/>
                  </w:divBdr>
                </w:div>
                <w:div w:id="294144271">
                  <w:marLeft w:val="0"/>
                  <w:marRight w:val="0"/>
                  <w:marTop w:val="0"/>
                  <w:marBottom w:val="0"/>
                  <w:divBdr>
                    <w:top w:val="none" w:sz="0" w:space="0" w:color="auto"/>
                    <w:left w:val="none" w:sz="0" w:space="0" w:color="auto"/>
                    <w:bottom w:val="none" w:sz="0" w:space="0" w:color="auto"/>
                    <w:right w:val="none" w:sz="0" w:space="0" w:color="auto"/>
                  </w:divBdr>
                </w:div>
                <w:div w:id="294144942">
                  <w:marLeft w:val="0"/>
                  <w:marRight w:val="0"/>
                  <w:marTop w:val="0"/>
                  <w:marBottom w:val="0"/>
                  <w:divBdr>
                    <w:top w:val="none" w:sz="0" w:space="0" w:color="auto"/>
                    <w:left w:val="none" w:sz="0" w:space="0" w:color="auto"/>
                    <w:bottom w:val="none" w:sz="0" w:space="0" w:color="auto"/>
                    <w:right w:val="none" w:sz="0" w:space="0" w:color="auto"/>
                  </w:divBdr>
                </w:div>
                <w:div w:id="294144959">
                  <w:marLeft w:val="0"/>
                  <w:marRight w:val="0"/>
                  <w:marTop w:val="0"/>
                  <w:marBottom w:val="0"/>
                  <w:divBdr>
                    <w:top w:val="none" w:sz="0" w:space="0" w:color="auto"/>
                    <w:left w:val="none" w:sz="0" w:space="0" w:color="auto"/>
                    <w:bottom w:val="none" w:sz="0" w:space="0" w:color="auto"/>
                    <w:right w:val="none" w:sz="0" w:space="0" w:color="auto"/>
                  </w:divBdr>
                </w:div>
                <w:div w:id="294145288">
                  <w:marLeft w:val="0"/>
                  <w:marRight w:val="0"/>
                  <w:marTop w:val="0"/>
                  <w:marBottom w:val="0"/>
                  <w:divBdr>
                    <w:top w:val="none" w:sz="0" w:space="0" w:color="auto"/>
                    <w:left w:val="none" w:sz="0" w:space="0" w:color="auto"/>
                    <w:bottom w:val="none" w:sz="0" w:space="0" w:color="auto"/>
                    <w:right w:val="none" w:sz="0" w:space="0" w:color="auto"/>
                  </w:divBdr>
                </w:div>
                <w:div w:id="294145403">
                  <w:marLeft w:val="0"/>
                  <w:marRight w:val="0"/>
                  <w:marTop w:val="0"/>
                  <w:marBottom w:val="0"/>
                  <w:divBdr>
                    <w:top w:val="none" w:sz="0" w:space="0" w:color="auto"/>
                    <w:left w:val="none" w:sz="0" w:space="0" w:color="auto"/>
                    <w:bottom w:val="none" w:sz="0" w:space="0" w:color="auto"/>
                    <w:right w:val="none" w:sz="0" w:space="0" w:color="auto"/>
                  </w:divBdr>
                </w:div>
                <w:div w:id="294145455">
                  <w:marLeft w:val="0"/>
                  <w:marRight w:val="0"/>
                  <w:marTop w:val="0"/>
                  <w:marBottom w:val="0"/>
                  <w:divBdr>
                    <w:top w:val="none" w:sz="0" w:space="0" w:color="auto"/>
                    <w:left w:val="none" w:sz="0" w:space="0" w:color="auto"/>
                    <w:bottom w:val="none" w:sz="0" w:space="0" w:color="auto"/>
                    <w:right w:val="none" w:sz="0" w:space="0" w:color="auto"/>
                  </w:divBdr>
                </w:div>
                <w:div w:id="294145785">
                  <w:marLeft w:val="0"/>
                  <w:marRight w:val="0"/>
                  <w:marTop w:val="0"/>
                  <w:marBottom w:val="0"/>
                  <w:divBdr>
                    <w:top w:val="none" w:sz="0" w:space="0" w:color="auto"/>
                    <w:left w:val="none" w:sz="0" w:space="0" w:color="auto"/>
                    <w:bottom w:val="none" w:sz="0" w:space="0" w:color="auto"/>
                    <w:right w:val="none" w:sz="0" w:space="0" w:color="auto"/>
                  </w:divBdr>
                </w:div>
                <w:div w:id="294146100">
                  <w:marLeft w:val="0"/>
                  <w:marRight w:val="0"/>
                  <w:marTop w:val="0"/>
                  <w:marBottom w:val="0"/>
                  <w:divBdr>
                    <w:top w:val="none" w:sz="0" w:space="0" w:color="auto"/>
                    <w:left w:val="none" w:sz="0" w:space="0" w:color="auto"/>
                    <w:bottom w:val="none" w:sz="0" w:space="0" w:color="auto"/>
                    <w:right w:val="none" w:sz="0" w:space="0" w:color="auto"/>
                  </w:divBdr>
                </w:div>
                <w:div w:id="294146348">
                  <w:marLeft w:val="0"/>
                  <w:marRight w:val="0"/>
                  <w:marTop w:val="0"/>
                  <w:marBottom w:val="0"/>
                  <w:divBdr>
                    <w:top w:val="none" w:sz="0" w:space="0" w:color="auto"/>
                    <w:left w:val="none" w:sz="0" w:space="0" w:color="auto"/>
                    <w:bottom w:val="none" w:sz="0" w:space="0" w:color="auto"/>
                    <w:right w:val="none" w:sz="0" w:space="0" w:color="auto"/>
                  </w:divBdr>
                </w:div>
                <w:div w:id="294146717">
                  <w:marLeft w:val="0"/>
                  <w:marRight w:val="0"/>
                  <w:marTop w:val="0"/>
                  <w:marBottom w:val="0"/>
                  <w:divBdr>
                    <w:top w:val="none" w:sz="0" w:space="0" w:color="auto"/>
                    <w:left w:val="none" w:sz="0" w:space="0" w:color="auto"/>
                    <w:bottom w:val="none" w:sz="0" w:space="0" w:color="auto"/>
                    <w:right w:val="none" w:sz="0" w:space="0" w:color="auto"/>
                  </w:divBdr>
                </w:div>
                <w:div w:id="294146746">
                  <w:marLeft w:val="0"/>
                  <w:marRight w:val="0"/>
                  <w:marTop w:val="0"/>
                  <w:marBottom w:val="0"/>
                  <w:divBdr>
                    <w:top w:val="none" w:sz="0" w:space="0" w:color="auto"/>
                    <w:left w:val="none" w:sz="0" w:space="0" w:color="auto"/>
                    <w:bottom w:val="none" w:sz="0" w:space="0" w:color="auto"/>
                    <w:right w:val="none" w:sz="0" w:space="0" w:color="auto"/>
                  </w:divBdr>
                </w:div>
                <w:div w:id="294146928">
                  <w:marLeft w:val="0"/>
                  <w:marRight w:val="0"/>
                  <w:marTop w:val="0"/>
                  <w:marBottom w:val="0"/>
                  <w:divBdr>
                    <w:top w:val="none" w:sz="0" w:space="0" w:color="auto"/>
                    <w:left w:val="none" w:sz="0" w:space="0" w:color="auto"/>
                    <w:bottom w:val="none" w:sz="0" w:space="0" w:color="auto"/>
                    <w:right w:val="none" w:sz="0" w:space="0" w:color="auto"/>
                  </w:divBdr>
                </w:div>
                <w:div w:id="294146962">
                  <w:marLeft w:val="0"/>
                  <w:marRight w:val="0"/>
                  <w:marTop w:val="0"/>
                  <w:marBottom w:val="0"/>
                  <w:divBdr>
                    <w:top w:val="none" w:sz="0" w:space="0" w:color="auto"/>
                    <w:left w:val="none" w:sz="0" w:space="0" w:color="auto"/>
                    <w:bottom w:val="none" w:sz="0" w:space="0" w:color="auto"/>
                    <w:right w:val="none" w:sz="0" w:space="0" w:color="auto"/>
                  </w:divBdr>
                </w:div>
                <w:div w:id="294147036">
                  <w:marLeft w:val="0"/>
                  <w:marRight w:val="0"/>
                  <w:marTop w:val="0"/>
                  <w:marBottom w:val="0"/>
                  <w:divBdr>
                    <w:top w:val="none" w:sz="0" w:space="0" w:color="auto"/>
                    <w:left w:val="none" w:sz="0" w:space="0" w:color="auto"/>
                    <w:bottom w:val="none" w:sz="0" w:space="0" w:color="auto"/>
                    <w:right w:val="none" w:sz="0" w:space="0" w:color="auto"/>
                  </w:divBdr>
                </w:div>
                <w:div w:id="294147120">
                  <w:marLeft w:val="0"/>
                  <w:marRight w:val="0"/>
                  <w:marTop w:val="0"/>
                  <w:marBottom w:val="0"/>
                  <w:divBdr>
                    <w:top w:val="none" w:sz="0" w:space="0" w:color="auto"/>
                    <w:left w:val="none" w:sz="0" w:space="0" w:color="auto"/>
                    <w:bottom w:val="none" w:sz="0" w:space="0" w:color="auto"/>
                    <w:right w:val="none" w:sz="0" w:space="0" w:color="auto"/>
                  </w:divBdr>
                </w:div>
                <w:div w:id="294147321">
                  <w:marLeft w:val="0"/>
                  <w:marRight w:val="0"/>
                  <w:marTop w:val="0"/>
                  <w:marBottom w:val="0"/>
                  <w:divBdr>
                    <w:top w:val="none" w:sz="0" w:space="0" w:color="auto"/>
                    <w:left w:val="none" w:sz="0" w:space="0" w:color="auto"/>
                    <w:bottom w:val="none" w:sz="0" w:space="0" w:color="auto"/>
                    <w:right w:val="none" w:sz="0" w:space="0" w:color="auto"/>
                  </w:divBdr>
                </w:div>
                <w:div w:id="294147360">
                  <w:marLeft w:val="0"/>
                  <w:marRight w:val="0"/>
                  <w:marTop w:val="0"/>
                  <w:marBottom w:val="0"/>
                  <w:divBdr>
                    <w:top w:val="none" w:sz="0" w:space="0" w:color="auto"/>
                    <w:left w:val="none" w:sz="0" w:space="0" w:color="auto"/>
                    <w:bottom w:val="none" w:sz="0" w:space="0" w:color="auto"/>
                    <w:right w:val="none" w:sz="0" w:space="0" w:color="auto"/>
                  </w:divBdr>
                </w:div>
                <w:div w:id="294147430">
                  <w:marLeft w:val="0"/>
                  <w:marRight w:val="0"/>
                  <w:marTop w:val="0"/>
                  <w:marBottom w:val="0"/>
                  <w:divBdr>
                    <w:top w:val="none" w:sz="0" w:space="0" w:color="auto"/>
                    <w:left w:val="none" w:sz="0" w:space="0" w:color="auto"/>
                    <w:bottom w:val="none" w:sz="0" w:space="0" w:color="auto"/>
                    <w:right w:val="none" w:sz="0" w:space="0" w:color="auto"/>
                  </w:divBdr>
                </w:div>
                <w:div w:id="294147542">
                  <w:marLeft w:val="0"/>
                  <w:marRight w:val="0"/>
                  <w:marTop w:val="0"/>
                  <w:marBottom w:val="0"/>
                  <w:divBdr>
                    <w:top w:val="none" w:sz="0" w:space="0" w:color="auto"/>
                    <w:left w:val="none" w:sz="0" w:space="0" w:color="auto"/>
                    <w:bottom w:val="none" w:sz="0" w:space="0" w:color="auto"/>
                    <w:right w:val="none" w:sz="0" w:space="0" w:color="auto"/>
                  </w:divBdr>
                </w:div>
                <w:div w:id="294147757">
                  <w:marLeft w:val="0"/>
                  <w:marRight w:val="0"/>
                  <w:marTop w:val="0"/>
                  <w:marBottom w:val="0"/>
                  <w:divBdr>
                    <w:top w:val="none" w:sz="0" w:space="0" w:color="auto"/>
                    <w:left w:val="none" w:sz="0" w:space="0" w:color="auto"/>
                    <w:bottom w:val="none" w:sz="0" w:space="0" w:color="auto"/>
                    <w:right w:val="none" w:sz="0" w:space="0" w:color="auto"/>
                  </w:divBdr>
                </w:div>
                <w:div w:id="294147819">
                  <w:marLeft w:val="0"/>
                  <w:marRight w:val="0"/>
                  <w:marTop w:val="0"/>
                  <w:marBottom w:val="0"/>
                  <w:divBdr>
                    <w:top w:val="none" w:sz="0" w:space="0" w:color="auto"/>
                    <w:left w:val="none" w:sz="0" w:space="0" w:color="auto"/>
                    <w:bottom w:val="none" w:sz="0" w:space="0" w:color="auto"/>
                    <w:right w:val="none" w:sz="0" w:space="0" w:color="auto"/>
                  </w:divBdr>
                </w:div>
                <w:div w:id="294148333">
                  <w:marLeft w:val="0"/>
                  <w:marRight w:val="0"/>
                  <w:marTop w:val="0"/>
                  <w:marBottom w:val="0"/>
                  <w:divBdr>
                    <w:top w:val="none" w:sz="0" w:space="0" w:color="auto"/>
                    <w:left w:val="none" w:sz="0" w:space="0" w:color="auto"/>
                    <w:bottom w:val="none" w:sz="0" w:space="0" w:color="auto"/>
                    <w:right w:val="none" w:sz="0" w:space="0" w:color="auto"/>
                  </w:divBdr>
                </w:div>
                <w:div w:id="294148420">
                  <w:marLeft w:val="0"/>
                  <w:marRight w:val="0"/>
                  <w:marTop w:val="0"/>
                  <w:marBottom w:val="0"/>
                  <w:divBdr>
                    <w:top w:val="none" w:sz="0" w:space="0" w:color="auto"/>
                    <w:left w:val="none" w:sz="0" w:space="0" w:color="auto"/>
                    <w:bottom w:val="none" w:sz="0" w:space="0" w:color="auto"/>
                    <w:right w:val="none" w:sz="0" w:space="0" w:color="auto"/>
                  </w:divBdr>
                </w:div>
                <w:div w:id="294148453">
                  <w:marLeft w:val="0"/>
                  <w:marRight w:val="0"/>
                  <w:marTop w:val="0"/>
                  <w:marBottom w:val="0"/>
                  <w:divBdr>
                    <w:top w:val="none" w:sz="0" w:space="0" w:color="auto"/>
                    <w:left w:val="none" w:sz="0" w:space="0" w:color="auto"/>
                    <w:bottom w:val="none" w:sz="0" w:space="0" w:color="auto"/>
                    <w:right w:val="none" w:sz="0" w:space="0" w:color="auto"/>
                  </w:divBdr>
                </w:div>
                <w:div w:id="294148533">
                  <w:marLeft w:val="0"/>
                  <w:marRight w:val="0"/>
                  <w:marTop w:val="0"/>
                  <w:marBottom w:val="0"/>
                  <w:divBdr>
                    <w:top w:val="none" w:sz="0" w:space="0" w:color="auto"/>
                    <w:left w:val="none" w:sz="0" w:space="0" w:color="auto"/>
                    <w:bottom w:val="none" w:sz="0" w:space="0" w:color="auto"/>
                    <w:right w:val="none" w:sz="0" w:space="0" w:color="auto"/>
                  </w:divBdr>
                </w:div>
                <w:div w:id="294148931">
                  <w:marLeft w:val="0"/>
                  <w:marRight w:val="0"/>
                  <w:marTop w:val="0"/>
                  <w:marBottom w:val="0"/>
                  <w:divBdr>
                    <w:top w:val="none" w:sz="0" w:space="0" w:color="auto"/>
                    <w:left w:val="none" w:sz="0" w:space="0" w:color="auto"/>
                    <w:bottom w:val="none" w:sz="0" w:space="0" w:color="auto"/>
                    <w:right w:val="none" w:sz="0" w:space="0" w:color="auto"/>
                  </w:divBdr>
                </w:div>
                <w:div w:id="294148933">
                  <w:marLeft w:val="0"/>
                  <w:marRight w:val="0"/>
                  <w:marTop w:val="0"/>
                  <w:marBottom w:val="0"/>
                  <w:divBdr>
                    <w:top w:val="none" w:sz="0" w:space="0" w:color="auto"/>
                    <w:left w:val="none" w:sz="0" w:space="0" w:color="auto"/>
                    <w:bottom w:val="none" w:sz="0" w:space="0" w:color="auto"/>
                    <w:right w:val="none" w:sz="0" w:space="0" w:color="auto"/>
                  </w:divBdr>
                </w:div>
                <w:div w:id="294149384">
                  <w:marLeft w:val="0"/>
                  <w:marRight w:val="0"/>
                  <w:marTop w:val="0"/>
                  <w:marBottom w:val="0"/>
                  <w:divBdr>
                    <w:top w:val="none" w:sz="0" w:space="0" w:color="auto"/>
                    <w:left w:val="none" w:sz="0" w:space="0" w:color="auto"/>
                    <w:bottom w:val="none" w:sz="0" w:space="0" w:color="auto"/>
                    <w:right w:val="none" w:sz="0" w:space="0" w:color="auto"/>
                  </w:divBdr>
                </w:div>
                <w:div w:id="294149412">
                  <w:marLeft w:val="0"/>
                  <w:marRight w:val="0"/>
                  <w:marTop w:val="0"/>
                  <w:marBottom w:val="0"/>
                  <w:divBdr>
                    <w:top w:val="none" w:sz="0" w:space="0" w:color="auto"/>
                    <w:left w:val="none" w:sz="0" w:space="0" w:color="auto"/>
                    <w:bottom w:val="none" w:sz="0" w:space="0" w:color="auto"/>
                    <w:right w:val="none" w:sz="0" w:space="0" w:color="auto"/>
                  </w:divBdr>
                </w:div>
                <w:div w:id="294149535">
                  <w:marLeft w:val="0"/>
                  <w:marRight w:val="0"/>
                  <w:marTop w:val="0"/>
                  <w:marBottom w:val="0"/>
                  <w:divBdr>
                    <w:top w:val="none" w:sz="0" w:space="0" w:color="auto"/>
                    <w:left w:val="none" w:sz="0" w:space="0" w:color="auto"/>
                    <w:bottom w:val="none" w:sz="0" w:space="0" w:color="auto"/>
                    <w:right w:val="none" w:sz="0" w:space="0" w:color="auto"/>
                  </w:divBdr>
                </w:div>
                <w:div w:id="294149949">
                  <w:marLeft w:val="0"/>
                  <w:marRight w:val="0"/>
                  <w:marTop w:val="0"/>
                  <w:marBottom w:val="0"/>
                  <w:divBdr>
                    <w:top w:val="none" w:sz="0" w:space="0" w:color="auto"/>
                    <w:left w:val="none" w:sz="0" w:space="0" w:color="auto"/>
                    <w:bottom w:val="none" w:sz="0" w:space="0" w:color="auto"/>
                    <w:right w:val="none" w:sz="0" w:space="0" w:color="auto"/>
                  </w:divBdr>
                </w:div>
                <w:div w:id="294149964">
                  <w:marLeft w:val="0"/>
                  <w:marRight w:val="0"/>
                  <w:marTop w:val="0"/>
                  <w:marBottom w:val="0"/>
                  <w:divBdr>
                    <w:top w:val="none" w:sz="0" w:space="0" w:color="auto"/>
                    <w:left w:val="none" w:sz="0" w:space="0" w:color="auto"/>
                    <w:bottom w:val="none" w:sz="0" w:space="0" w:color="auto"/>
                    <w:right w:val="none" w:sz="0" w:space="0" w:color="auto"/>
                  </w:divBdr>
                </w:div>
                <w:div w:id="294149984">
                  <w:marLeft w:val="0"/>
                  <w:marRight w:val="0"/>
                  <w:marTop w:val="0"/>
                  <w:marBottom w:val="0"/>
                  <w:divBdr>
                    <w:top w:val="none" w:sz="0" w:space="0" w:color="auto"/>
                    <w:left w:val="none" w:sz="0" w:space="0" w:color="auto"/>
                    <w:bottom w:val="none" w:sz="0" w:space="0" w:color="auto"/>
                    <w:right w:val="none" w:sz="0" w:space="0" w:color="auto"/>
                  </w:divBdr>
                </w:div>
                <w:div w:id="294150024">
                  <w:marLeft w:val="0"/>
                  <w:marRight w:val="0"/>
                  <w:marTop w:val="0"/>
                  <w:marBottom w:val="0"/>
                  <w:divBdr>
                    <w:top w:val="none" w:sz="0" w:space="0" w:color="auto"/>
                    <w:left w:val="none" w:sz="0" w:space="0" w:color="auto"/>
                    <w:bottom w:val="none" w:sz="0" w:space="0" w:color="auto"/>
                    <w:right w:val="none" w:sz="0" w:space="0" w:color="auto"/>
                  </w:divBdr>
                </w:div>
                <w:div w:id="294150102">
                  <w:marLeft w:val="0"/>
                  <w:marRight w:val="0"/>
                  <w:marTop w:val="0"/>
                  <w:marBottom w:val="0"/>
                  <w:divBdr>
                    <w:top w:val="none" w:sz="0" w:space="0" w:color="auto"/>
                    <w:left w:val="none" w:sz="0" w:space="0" w:color="auto"/>
                    <w:bottom w:val="none" w:sz="0" w:space="0" w:color="auto"/>
                    <w:right w:val="none" w:sz="0" w:space="0" w:color="auto"/>
                  </w:divBdr>
                </w:div>
                <w:div w:id="294150176">
                  <w:marLeft w:val="0"/>
                  <w:marRight w:val="0"/>
                  <w:marTop w:val="0"/>
                  <w:marBottom w:val="0"/>
                  <w:divBdr>
                    <w:top w:val="none" w:sz="0" w:space="0" w:color="auto"/>
                    <w:left w:val="none" w:sz="0" w:space="0" w:color="auto"/>
                    <w:bottom w:val="none" w:sz="0" w:space="0" w:color="auto"/>
                    <w:right w:val="none" w:sz="0" w:space="0" w:color="auto"/>
                  </w:divBdr>
                </w:div>
                <w:div w:id="294150522">
                  <w:marLeft w:val="0"/>
                  <w:marRight w:val="0"/>
                  <w:marTop w:val="0"/>
                  <w:marBottom w:val="0"/>
                  <w:divBdr>
                    <w:top w:val="none" w:sz="0" w:space="0" w:color="auto"/>
                    <w:left w:val="none" w:sz="0" w:space="0" w:color="auto"/>
                    <w:bottom w:val="none" w:sz="0" w:space="0" w:color="auto"/>
                    <w:right w:val="none" w:sz="0" w:space="0" w:color="auto"/>
                  </w:divBdr>
                </w:div>
                <w:div w:id="294150574">
                  <w:marLeft w:val="0"/>
                  <w:marRight w:val="0"/>
                  <w:marTop w:val="0"/>
                  <w:marBottom w:val="0"/>
                  <w:divBdr>
                    <w:top w:val="none" w:sz="0" w:space="0" w:color="auto"/>
                    <w:left w:val="none" w:sz="0" w:space="0" w:color="auto"/>
                    <w:bottom w:val="none" w:sz="0" w:space="0" w:color="auto"/>
                    <w:right w:val="none" w:sz="0" w:space="0" w:color="auto"/>
                  </w:divBdr>
                </w:div>
                <w:div w:id="294150621">
                  <w:marLeft w:val="0"/>
                  <w:marRight w:val="0"/>
                  <w:marTop w:val="0"/>
                  <w:marBottom w:val="0"/>
                  <w:divBdr>
                    <w:top w:val="none" w:sz="0" w:space="0" w:color="auto"/>
                    <w:left w:val="none" w:sz="0" w:space="0" w:color="auto"/>
                    <w:bottom w:val="none" w:sz="0" w:space="0" w:color="auto"/>
                    <w:right w:val="none" w:sz="0" w:space="0" w:color="auto"/>
                  </w:divBdr>
                </w:div>
                <w:div w:id="294150642">
                  <w:marLeft w:val="0"/>
                  <w:marRight w:val="0"/>
                  <w:marTop w:val="0"/>
                  <w:marBottom w:val="0"/>
                  <w:divBdr>
                    <w:top w:val="none" w:sz="0" w:space="0" w:color="auto"/>
                    <w:left w:val="none" w:sz="0" w:space="0" w:color="auto"/>
                    <w:bottom w:val="none" w:sz="0" w:space="0" w:color="auto"/>
                    <w:right w:val="none" w:sz="0" w:space="0" w:color="auto"/>
                  </w:divBdr>
                </w:div>
                <w:div w:id="294150742">
                  <w:marLeft w:val="0"/>
                  <w:marRight w:val="0"/>
                  <w:marTop w:val="0"/>
                  <w:marBottom w:val="0"/>
                  <w:divBdr>
                    <w:top w:val="none" w:sz="0" w:space="0" w:color="auto"/>
                    <w:left w:val="none" w:sz="0" w:space="0" w:color="auto"/>
                    <w:bottom w:val="none" w:sz="0" w:space="0" w:color="auto"/>
                    <w:right w:val="none" w:sz="0" w:space="0" w:color="auto"/>
                  </w:divBdr>
                </w:div>
                <w:div w:id="294151055">
                  <w:marLeft w:val="0"/>
                  <w:marRight w:val="0"/>
                  <w:marTop w:val="0"/>
                  <w:marBottom w:val="0"/>
                  <w:divBdr>
                    <w:top w:val="none" w:sz="0" w:space="0" w:color="auto"/>
                    <w:left w:val="none" w:sz="0" w:space="0" w:color="auto"/>
                    <w:bottom w:val="none" w:sz="0" w:space="0" w:color="auto"/>
                    <w:right w:val="none" w:sz="0" w:space="0" w:color="auto"/>
                  </w:divBdr>
                </w:div>
                <w:div w:id="294151240">
                  <w:marLeft w:val="0"/>
                  <w:marRight w:val="0"/>
                  <w:marTop w:val="0"/>
                  <w:marBottom w:val="0"/>
                  <w:divBdr>
                    <w:top w:val="none" w:sz="0" w:space="0" w:color="auto"/>
                    <w:left w:val="none" w:sz="0" w:space="0" w:color="auto"/>
                    <w:bottom w:val="none" w:sz="0" w:space="0" w:color="auto"/>
                    <w:right w:val="none" w:sz="0" w:space="0" w:color="auto"/>
                  </w:divBdr>
                </w:div>
                <w:div w:id="294151449">
                  <w:marLeft w:val="0"/>
                  <w:marRight w:val="0"/>
                  <w:marTop w:val="0"/>
                  <w:marBottom w:val="0"/>
                  <w:divBdr>
                    <w:top w:val="none" w:sz="0" w:space="0" w:color="auto"/>
                    <w:left w:val="none" w:sz="0" w:space="0" w:color="auto"/>
                    <w:bottom w:val="none" w:sz="0" w:space="0" w:color="auto"/>
                    <w:right w:val="none" w:sz="0" w:space="0" w:color="auto"/>
                  </w:divBdr>
                </w:div>
                <w:div w:id="294151590">
                  <w:marLeft w:val="0"/>
                  <w:marRight w:val="0"/>
                  <w:marTop w:val="0"/>
                  <w:marBottom w:val="0"/>
                  <w:divBdr>
                    <w:top w:val="none" w:sz="0" w:space="0" w:color="auto"/>
                    <w:left w:val="none" w:sz="0" w:space="0" w:color="auto"/>
                    <w:bottom w:val="none" w:sz="0" w:space="0" w:color="auto"/>
                    <w:right w:val="none" w:sz="0" w:space="0" w:color="auto"/>
                  </w:divBdr>
                </w:div>
                <w:div w:id="294151850">
                  <w:marLeft w:val="0"/>
                  <w:marRight w:val="0"/>
                  <w:marTop w:val="0"/>
                  <w:marBottom w:val="0"/>
                  <w:divBdr>
                    <w:top w:val="none" w:sz="0" w:space="0" w:color="auto"/>
                    <w:left w:val="none" w:sz="0" w:space="0" w:color="auto"/>
                    <w:bottom w:val="none" w:sz="0" w:space="0" w:color="auto"/>
                    <w:right w:val="none" w:sz="0" w:space="0" w:color="auto"/>
                  </w:divBdr>
                </w:div>
                <w:div w:id="294152131">
                  <w:marLeft w:val="0"/>
                  <w:marRight w:val="0"/>
                  <w:marTop w:val="0"/>
                  <w:marBottom w:val="0"/>
                  <w:divBdr>
                    <w:top w:val="none" w:sz="0" w:space="0" w:color="auto"/>
                    <w:left w:val="none" w:sz="0" w:space="0" w:color="auto"/>
                    <w:bottom w:val="none" w:sz="0" w:space="0" w:color="auto"/>
                    <w:right w:val="none" w:sz="0" w:space="0" w:color="auto"/>
                  </w:divBdr>
                </w:div>
                <w:div w:id="294152133">
                  <w:marLeft w:val="0"/>
                  <w:marRight w:val="0"/>
                  <w:marTop w:val="0"/>
                  <w:marBottom w:val="0"/>
                  <w:divBdr>
                    <w:top w:val="none" w:sz="0" w:space="0" w:color="auto"/>
                    <w:left w:val="none" w:sz="0" w:space="0" w:color="auto"/>
                    <w:bottom w:val="none" w:sz="0" w:space="0" w:color="auto"/>
                    <w:right w:val="none" w:sz="0" w:space="0" w:color="auto"/>
                  </w:divBdr>
                </w:div>
                <w:div w:id="294152334">
                  <w:marLeft w:val="0"/>
                  <w:marRight w:val="0"/>
                  <w:marTop w:val="0"/>
                  <w:marBottom w:val="0"/>
                  <w:divBdr>
                    <w:top w:val="none" w:sz="0" w:space="0" w:color="auto"/>
                    <w:left w:val="none" w:sz="0" w:space="0" w:color="auto"/>
                    <w:bottom w:val="none" w:sz="0" w:space="0" w:color="auto"/>
                    <w:right w:val="none" w:sz="0" w:space="0" w:color="auto"/>
                  </w:divBdr>
                </w:div>
                <w:div w:id="294152510">
                  <w:marLeft w:val="0"/>
                  <w:marRight w:val="0"/>
                  <w:marTop w:val="0"/>
                  <w:marBottom w:val="0"/>
                  <w:divBdr>
                    <w:top w:val="none" w:sz="0" w:space="0" w:color="auto"/>
                    <w:left w:val="none" w:sz="0" w:space="0" w:color="auto"/>
                    <w:bottom w:val="none" w:sz="0" w:space="0" w:color="auto"/>
                    <w:right w:val="none" w:sz="0" w:space="0" w:color="auto"/>
                  </w:divBdr>
                </w:div>
                <w:div w:id="294152557">
                  <w:marLeft w:val="0"/>
                  <w:marRight w:val="0"/>
                  <w:marTop w:val="0"/>
                  <w:marBottom w:val="0"/>
                  <w:divBdr>
                    <w:top w:val="none" w:sz="0" w:space="0" w:color="auto"/>
                    <w:left w:val="none" w:sz="0" w:space="0" w:color="auto"/>
                    <w:bottom w:val="none" w:sz="0" w:space="0" w:color="auto"/>
                    <w:right w:val="none" w:sz="0" w:space="0" w:color="auto"/>
                  </w:divBdr>
                </w:div>
                <w:div w:id="294152578">
                  <w:marLeft w:val="0"/>
                  <w:marRight w:val="0"/>
                  <w:marTop w:val="0"/>
                  <w:marBottom w:val="0"/>
                  <w:divBdr>
                    <w:top w:val="none" w:sz="0" w:space="0" w:color="auto"/>
                    <w:left w:val="none" w:sz="0" w:space="0" w:color="auto"/>
                    <w:bottom w:val="none" w:sz="0" w:space="0" w:color="auto"/>
                    <w:right w:val="none" w:sz="0" w:space="0" w:color="auto"/>
                  </w:divBdr>
                </w:div>
                <w:div w:id="294152963">
                  <w:marLeft w:val="0"/>
                  <w:marRight w:val="0"/>
                  <w:marTop w:val="0"/>
                  <w:marBottom w:val="0"/>
                  <w:divBdr>
                    <w:top w:val="none" w:sz="0" w:space="0" w:color="auto"/>
                    <w:left w:val="none" w:sz="0" w:space="0" w:color="auto"/>
                    <w:bottom w:val="none" w:sz="0" w:space="0" w:color="auto"/>
                    <w:right w:val="none" w:sz="0" w:space="0" w:color="auto"/>
                  </w:divBdr>
                </w:div>
                <w:div w:id="294153101">
                  <w:marLeft w:val="0"/>
                  <w:marRight w:val="0"/>
                  <w:marTop w:val="0"/>
                  <w:marBottom w:val="0"/>
                  <w:divBdr>
                    <w:top w:val="none" w:sz="0" w:space="0" w:color="auto"/>
                    <w:left w:val="none" w:sz="0" w:space="0" w:color="auto"/>
                    <w:bottom w:val="none" w:sz="0" w:space="0" w:color="auto"/>
                    <w:right w:val="none" w:sz="0" w:space="0" w:color="auto"/>
                  </w:divBdr>
                </w:div>
                <w:div w:id="294153327">
                  <w:marLeft w:val="0"/>
                  <w:marRight w:val="0"/>
                  <w:marTop w:val="0"/>
                  <w:marBottom w:val="0"/>
                  <w:divBdr>
                    <w:top w:val="none" w:sz="0" w:space="0" w:color="auto"/>
                    <w:left w:val="none" w:sz="0" w:space="0" w:color="auto"/>
                    <w:bottom w:val="none" w:sz="0" w:space="0" w:color="auto"/>
                    <w:right w:val="none" w:sz="0" w:space="0" w:color="auto"/>
                  </w:divBdr>
                </w:div>
                <w:div w:id="294153391">
                  <w:marLeft w:val="0"/>
                  <w:marRight w:val="0"/>
                  <w:marTop w:val="0"/>
                  <w:marBottom w:val="0"/>
                  <w:divBdr>
                    <w:top w:val="none" w:sz="0" w:space="0" w:color="auto"/>
                    <w:left w:val="none" w:sz="0" w:space="0" w:color="auto"/>
                    <w:bottom w:val="none" w:sz="0" w:space="0" w:color="auto"/>
                    <w:right w:val="none" w:sz="0" w:space="0" w:color="auto"/>
                  </w:divBdr>
                </w:div>
                <w:div w:id="294153468">
                  <w:marLeft w:val="0"/>
                  <w:marRight w:val="0"/>
                  <w:marTop w:val="0"/>
                  <w:marBottom w:val="0"/>
                  <w:divBdr>
                    <w:top w:val="none" w:sz="0" w:space="0" w:color="auto"/>
                    <w:left w:val="none" w:sz="0" w:space="0" w:color="auto"/>
                    <w:bottom w:val="none" w:sz="0" w:space="0" w:color="auto"/>
                    <w:right w:val="none" w:sz="0" w:space="0" w:color="auto"/>
                  </w:divBdr>
                </w:div>
                <w:div w:id="294153905">
                  <w:marLeft w:val="0"/>
                  <w:marRight w:val="0"/>
                  <w:marTop w:val="0"/>
                  <w:marBottom w:val="0"/>
                  <w:divBdr>
                    <w:top w:val="none" w:sz="0" w:space="0" w:color="auto"/>
                    <w:left w:val="none" w:sz="0" w:space="0" w:color="auto"/>
                    <w:bottom w:val="none" w:sz="0" w:space="0" w:color="auto"/>
                    <w:right w:val="none" w:sz="0" w:space="0" w:color="auto"/>
                  </w:divBdr>
                </w:div>
                <w:div w:id="294153913">
                  <w:marLeft w:val="0"/>
                  <w:marRight w:val="0"/>
                  <w:marTop w:val="0"/>
                  <w:marBottom w:val="0"/>
                  <w:divBdr>
                    <w:top w:val="none" w:sz="0" w:space="0" w:color="auto"/>
                    <w:left w:val="none" w:sz="0" w:space="0" w:color="auto"/>
                    <w:bottom w:val="none" w:sz="0" w:space="0" w:color="auto"/>
                    <w:right w:val="none" w:sz="0" w:space="0" w:color="auto"/>
                  </w:divBdr>
                </w:div>
                <w:div w:id="294154027">
                  <w:marLeft w:val="0"/>
                  <w:marRight w:val="0"/>
                  <w:marTop w:val="0"/>
                  <w:marBottom w:val="0"/>
                  <w:divBdr>
                    <w:top w:val="none" w:sz="0" w:space="0" w:color="auto"/>
                    <w:left w:val="none" w:sz="0" w:space="0" w:color="auto"/>
                    <w:bottom w:val="none" w:sz="0" w:space="0" w:color="auto"/>
                    <w:right w:val="none" w:sz="0" w:space="0" w:color="auto"/>
                  </w:divBdr>
                </w:div>
                <w:div w:id="294154261">
                  <w:marLeft w:val="0"/>
                  <w:marRight w:val="0"/>
                  <w:marTop w:val="0"/>
                  <w:marBottom w:val="0"/>
                  <w:divBdr>
                    <w:top w:val="none" w:sz="0" w:space="0" w:color="auto"/>
                    <w:left w:val="none" w:sz="0" w:space="0" w:color="auto"/>
                    <w:bottom w:val="none" w:sz="0" w:space="0" w:color="auto"/>
                    <w:right w:val="none" w:sz="0" w:space="0" w:color="auto"/>
                  </w:divBdr>
                </w:div>
                <w:div w:id="294154598">
                  <w:marLeft w:val="0"/>
                  <w:marRight w:val="0"/>
                  <w:marTop w:val="0"/>
                  <w:marBottom w:val="0"/>
                  <w:divBdr>
                    <w:top w:val="none" w:sz="0" w:space="0" w:color="auto"/>
                    <w:left w:val="none" w:sz="0" w:space="0" w:color="auto"/>
                    <w:bottom w:val="none" w:sz="0" w:space="0" w:color="auto"/>
                    <w:right w:val="none" w:sz="0" w:space="0" w:color="auto"/>
                  </w:divBdr>
                </w:div>
                <w:div w:id="294154715">
                  <w:marLeft w:val="0"/>
                  <w:marRight w:val="0"/>
                  <w:marTop w:val="0"/>
                  <w:marBottom w:val="0"/>
                  <w:divBdr>
                    <w:top w:val="none" w:sz="0" w:space="0" w:color="auto"/>
                    <w:left w:val="none" w:sz="0" w:space="0" w:color="auto"/>
                    <w:bottom w:val="none" w:sz="0" w:space="0" w:color="auto"/>
                    <w:right w:val="none" w:sz="0" w:space="0" w:color="auto"/>
                  </w:divBdr>
                </w:div>
                <w:div w:id="294154733">
                  <w:marLeft w:val="0"/>
                  <w:marRight w:val="0"/>
                  <w:marTop w:val="0"/>
                  <w:marBottom w:val="0"/>
                  <w:divBdr>
                    <w:top w:val="none" w:sz="0" w:space="0" w:color="auto"/>
                    <w:left w:val="none" w:sz="0" w:space="0" w:color="auto"/>
                    <w:bottom w:val="none" w:sz="0" w:space="0" w:color="auto"/>
                    <w:right w:val="none" w:sz="0" w:space="0" w:color="auto"/>
                  </w:divBdr>
                </w:div>
                <w:div w:id="294154825">
                  <w:marLeft w:val="0"/>
                  <w:marRight w:val="0"/>
                  <w:marTop w:val="0"/>
                  <w:marBottom w:val="0"/>
                  <w:divBdr>
                    <w:top w:val="none" w:sz="0" w:space="0" w:color="auto"/>
                    <w:left w:val="none" w:sz="0" w:space="0" w:color="auto"/>
                    <w:bottom w:val="none" w:sz="0" w:space="0" w:color="auto"/>
                    <w:right w:val="none" w:sz="0" w:space="0" w:color="auto"/>
                  </w:divBdr>
                </w:div>
                <w:div w:id="294154839">
                  <w:marLeft w:val="0"/>
                  <w:marRight w:val="0"/>
                  <w:marTop w:val="0"/>
                  <w:marBottom w:val="0"/>
                  <w:divBdr>
                    <w:top w:val="none" w:sz="0" w:space="0" w:color="auto"/>
                    <w:left w:val="none" w:sz="0" w:space="0" w:color="auto"/>
                    <w:bottom w:val="none" w:sz="0" w:space="0" w:color="auto"/>
                    <w:right w:val="none" w:sz="0" w:space="0" w:color="auto"/>
                  </w:divBdr>
                </w:div>
                <w:div w:id="294154974">
                  <w:marLeft w:val="0"/>
                  <w:marRight w:val="0"/>
                  <w:marTop w:val="0"/>
                  <w:marBottom w:val="0"/>
                  <w:divBdr>
                    <w:top w:val="none" w:sz="0" w:space="0" w:color="auto"/>
                    <w:left w:val="none" w:sz="0" w:space="0" w:color="auto"/>
                    <w:bottom w:val="none" w:sz="0" w:space="0" w:color="auto"/>
                    <w:right w:val="none" w:sz="0" w:space="0" w:color="auto"/>
                  </w:divBdr>
                </w:div>
                <w:div w:id="294155017">
                  <w:marLeft w:val="0"/>
                  <w:marRight w:val="0"/>
                  <w:marTop w:val="0"/>
                  <w:marBottom w:val="0"/>
                  <w:divBdr>
                    <w:top w:val="none" w:sz="0" w:space="0" w:color="auto"/>
                    <w:left w:val="none" w:sz="0" w:space="0" w:color="auto"/>
                    <w:bottom w:val="none" w:sz="0" w:space="0" w:color="auto"/>
                    <w:right w:val="none" w:sz="0" w:space="0" w:color="auto"/>
                  </w:divBdr>
                </w:div>
                <w:div w:id="294155188">
                  <w:marLeft w:val="0"/>
                  <w:marRight w:val="0"/>
                  <w:marTop w:val="0"/>
                  <w:marBottom w:val="0"/>
                  <w:divBdr>
                    <w:top w:val="none" w:sz="0" w:space="0" w:color="auto"/>
                    <w:left w:val="none" w:sz="0" w:space="0" w:color="auto"/>
                    <w:bottom w:val="none" w:sz="0" w:space="0" w:color="auto"/>
                    <w:right w:val="none" w:sz="0" w:space="0" w:color="auto"/>
                  </w:divBdr>
                </w:div>
                <w:div w:id="294155230">
                  <w:marLeft w:val="0"/>
                  <w:marRight w:val="0"/>
                  <w:marTop w:val="0"/>
                  <w:marBottom w:val="0"/>
                  <w:divBdr>
                    <w:top w:val="none" w:sz="0" w:space="0" w:color="auto"/>
                    <w:left w:val="none" w:sz="0" w:space="0" w:color="auto"/>
                    <w:bottom w:val="none" w:sz="0" w:space="0" w:color="auto"/>
                    <w:right w:val="none" w:sz="0" w:space="0" w:color="auto"/>
                  </w:divBdr>
                </w:div>
                <w:div w:id="294155613">
                  <w:marLeft w:val="0"/>
                  <w:marRight w:val="0"/>
                  <w:marTop w:val="0"/>
                  <w:marBottom w:val="0"/>
                  <w:divBdr>
                    <w:top w:val="none" w:sz="0" w:space="0" w:color="auto"/>
                    <w:left w:val="none" w:sz="0" w:space="0" w:color="auto"/>
                    <w:bottom w:val="none" w:sz="0" w:space="0" w:color="auto"/>
                    <w:right w:val="none" w:sz="0" w:space="0" w:color="auto"/>
                  </w:divBdr>
                </w:div>
                <w:div w:id="294155770">
                  <w:marLeft w:val="0"/>
                  <w:marRight w:val="0"/>
                  <w:marTop w:val="0"/>
                  <w:marBottom w:val="0"/>
                  <w:divBdr>
                    <w:top w:val="none" w:sz="0" w:space="0" w:color="auto"/>
                    <w:left w:val="none" w:sz="0" w:space="0" w:color="auto"/>
                    <w:bottom w:val="none" w:sz="0" w:space="0" w:color="auto"/>
                    <w:right w:val="none" w:sz="0" w:space="0" w:color="auto"/>
                  </w:divBdr>
                </w:div>
                <w:div w:id="294156220">
                  <w:marLeft w:val="0"/>
                  <w:marRight w:val="0"/>
                  <w:marTop w:val="0"/>
                  <w:marBottom w:val="0"/>
                  <w:divBdr>
                    <w:top w:val="none" w:sz="0" w:space="0" w:color="auto"/>
                    <w:left w:val="none" w:sz="0" w:space="0" w:color="auto"/>
                    <w:bottom w:val="none" w:sz="0" w:space="0" w:color="auto"/>
                    <w:right w:val="none" w:sz="0" w:space="0" w:color="auto"/>
                  </w:divBdr>
                </w:div>
                <w:div w:id="294156509">
                  <w:marLeft w:val="0"/>
                  <w:marRight w:val="0"/>
                  <w:marTop w:val="0"/>
                  <w:marBottom w:val="0"/>
                  <w:divBdr>
                    <w:top w:val="none" w:sz="0" w:space="0" w:color="auto"/>
                    <w:left w:val="none" w:sz="0" w:space="0" w:color="auto"/>
                    <w:bottom w:val="none" w:sz="0" w:space="0" w:color="auto"/>
                    <w:right w:val="none" w:sz="0" w:space="0" w:color="auto"/>
                  </w:divBdr>
                </w:div>
                <w:div w:id="294157015">
                  <w:marLeft w:val="0"/>
                  <w:marRight w:val="0"/>
                  <w:marTop w:val="0"/>
                  <w:marBottom w:val="0"/>
                  <w:divBdr>
                    <w:top w:val="none" w:sz="0" w:space="0" w:color="auto"/>
                    <w:left w:val="none" w:sz="0" w:space="0" w:color="auto"/>
                    <w:bottom w:val="none" w:sz="0" w:space="0" w:color="auto"/>
                    <w:right w:val="none" w:sz="0" w:space="0" w:color="auto"/>
                  </w:divBdr>
                </w:div>
                <w:div w:id="294157048">
                  <w:marLeft w:val="0"/>
                  <w:marRight w:val="0"/>
                  <w:marTop w:val="0"/>
                  <w:marBottom w:val="0"/>
                  <w:divBdr>
                    <w:top w:val="none" w:sz="0" w:space="0" w:color="auto"/>
                    <w:left w:val="none" w:sz="0" w:space="0" w:color="auto"/>
                    <w:bottom w:val="none" w:sz="0" w:space="0" w:color="auto"/>
                    <w:right w:val="none" w:sz="0" w:space="0" w:color="auto"/>
                  </w:divBdr>
                </w:div>
                <w:div w:id="294157162">
                  <w:marLeft w:val="0"/>
                  <w:marRight w:val="0"/>
                  <w:marTop w:val="0"/>
                  <w:marBottom w:val="0"/>
                  <w:divBdr>
                    <w:top w:val="none" w:sz="0" w:space="0" w:color="auto"/>
                    <w:left w:val="none" w:sz="0" w:space="0" w:color="auto"/>
                    <w:bottom w:val="none" w:sz="0" w:space="0" w:color="auto"/>
                    <w:right w:val="none" w:sz="0" w:space="0" w:color="auto"/>
                  </w:divBdr>
                </w:div>
                <w:div w:id="294157185">
                  <w:marLeft w:val="0"/>
                  <w:marRight w:val="0"/>
                  <w:marTop w:val="0"/>
                  <w:marBottom w:val="0"/>
                  <w:divBdr>
                    <w:top w:val="none" w:sz="0" w:space="0" w:color="auto"/>
                    <w:left w:val="none" w:sz="0" w:space="0" w:color="auto"/>
                    <w:bottom w:val="none" w:sz="0" w:space="0" w:color="auto"/>
                    <w:right w:val="none" w:sz="0" w:space="0" w:color="auto"/>
                  </w:divBdr>
                </w:div>
                <w:div w:id="294157276">
                  <w:marLeft w:val="0"/>
                  <w:marRight w:val="0"/>
                  <w:marTop w:val="0"/>
                  <w:marBottom w:val="0"/>
                  <w:divBdr>
                    <w:top w:val="none" w:sz="0" w:space="0" w:color="auto"/>
                    <w:left w:val="none" w:sz="0" w:space="0" w:color="auto"/>
                    <w:bottom w:val="none" w:sz="0" w:space="0" w:color="auto"/>
                    <w:right w:val="none" w:sz="0" w:space="0" w:color="auto"/>
                  </w:divBdr>
                </w:div>
                <w:div w:id="294157353">
                  <w:marLeft w:val="0"/>
                  <w:marRight w:val="0"/>
                  <w:marTop w:val="0"/>
                  <w:marBottom w:val="0"/>
                  <w:divBdr>
                    <w:top w:val="none" w:sz="0" w:space="0" w:color="auto"/>
                    <w:left w:val="none" w:sz="0" w:space="0" w:color="auto"/>
                    <w:bottom w:val="none" w:sz="0" w:space="0" w:color="auto"/>
                    <w:right w:val="none" w:sz="0" w:space="0" w:color="auto"/>
                  </w:divBdr>
                </w:div>
                <w:div w:id="294157414">
                  <w:marLeft w:val="0"/>
                  <w:marRight w:val="0"/>
                  <w:marTop w:val="0"/>
                  <w:marBottom w:val="0"/>
                  <w:divBdr>
                    <w:top w:val="none" w:sz="0" w:space="0" w:color="auto"/>
                    <w:left w:val="none" w:sz="0" w:space="0" w:color="auto"/>
                    <w:bottom w:val="none" w:sz="0" w:space="0" w:color="auto"/>
                    <w:right w:val="none" w:sz="0" w:space="0" w:color="auto"/>
                  </w:divBdr>
                </w:div>
                <w:div w:id="29415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7274">
          <w:marLeft w:val="0"/>
          <w:marRight w:val="0"/>
          <w:marTop w:val="0"/>
          <w:marBottom w:val="0"/>
          <w:divBdr>
            <w:top w:val="none" w:sz="0" w:space="0" w:color="auto"/>
            <w:left w:val="none" w:sz="0" w:space="0" w:color="auto"/>
            <w:bottom w:val="none" w:sz="0" w:space="0" w:color="auto"/>
            <w:right w:val="none" w:sz="0" w:space="0" w:color="auto"/>
          </w:divBdr>
          <w:divsChild>
            <w:div w:id="294145192">
              <w:marLeft w:val="0"/>
              <w:marRight w:val="0"/>
              <w:marTop w:val="0"/>
              <w:marBottom w:val="0"/>
              <w:divBdr>
                <w:top w:val="none" w:sz="0" w:space="0" w:color="auto"/>
                <w:left w:val="none" w:sz="0" w:space="0" w:color="auto"/>
                <w:bottom w:val="none" w:sz="0" w:space="0" w:color="auto"/>
                <w:right w:val="none" w:sz="0" w:space="0" w:color="auto"/>
              </w:divBdr>
              <w:divsChild>
                <w:div w:id="29413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0338">
          <w:marLeft w:val="0"/>
          <w:marRight w:val="0"/>
          <w:marTop w:val="0"/>
          <w:marBottom w:val="0"/>
          <w:divBdr>
            <w:top w:val="none" w:sz="0" w:space="0" w:color="auto"/>
            <w:left w:val="none" w:sz="0" w:space="0" w:color="auto"/>
            <w:bottom w:val="none" w:sz="0" w:space="0" w:color="auto"/>
            <w:right w:val="none" w:sz="0" w:space="0" w:color="auto"/>
          </w:divBdr>
        </w:div>
        <w:div w:id="294150407">
          <w:marLeft w:val="0"/>
          <w:marRight w:val="0"/>
          <w:marTop w:val="0"/>
          <w:marBottom w:val="0"/>
          <w:divBdr>
            <w:top w:val="none" w:sz="0" w:space="0" w:color="auto"/>
            <w:left w:val="none" w:sz="0" w:space="0" w:color="auto"/>
            <w:bottom w:val="none" w:sz="0" w:space="0" w:color="auto"/>
            <w:right w:val="none" w:sz="0" w:space="0" w:color="auto"/>
          </w:divBdr>
          <w:divsChild>
            <w:div w:id="294154443">
              <w:marLeft w:val="0"/>
              <w:marRight w:val="0"/>
              <w:marTop w:val="0"/>
              <w:marBottom w:val="0"/>
              <w:divBdr>
                <w:top w:val="none" w:sz="0" w:space="0" w:color="auto"/>
                <w:left w:val="none" w:sz="0" w:space="0" w:color="auto"/>
                <w:bottom w:val="none" w:sz="0" w:space="0" w:color="auto"/>
                <w:right w:val="none" w:sz="0" w:space="0" w:color="auto"/>
              </w:divBdr>
              <w:divsChild>
                <w:div w:id="294145021">
                  <w:marLeft w:val="0"/>
                  <w:marRight w:val="0"/>
                  <w:marTop w:val="0"/>
                  <w:marBottom w:val="0"/>
                  <w:divBdr>
                    <w:top w:val="none" w:sz="0" w:space="0" w:color="auto"/>
                    <w:left w:val="none" w:sz="0" w:space="0" w:color="auto"/>
                    <w:bottom w:val="none" w:sz="0" w:space="0" w:color="auto"/>
                    <w:right w:val="none" w:sz="0" w:space="0" w:color="auto"/>
                  </w:divBdr>
                  <w:divsChild>
                    <w:div w:id="294137997">
                      <w:marLeft w:val="0"/>
                      <w:marRight w:val="0"/>
                      <w:marTop w:val="0"/>
                      <w:marBottom w:val="0"/>
                      <w:divBdr>
                        <w:top w:val="none" w:sz="0" w:space="0" w:color="auto"/>
                        <w:left w:val="none" w:sz="0" w:space="0" w:color="auto"/>
                        <w:bottom w:val="none" w:sz="0" w:space="0" w:color="auto"/>
                        <w:right w:val="none" w:sz="0" w:space="0" w:color="auto"/>
                      </w:divBdr>
                    </w:div>
                    <w:div w:id="294138028">
                      <w:marLeft w:val="0"/>
                      <w:marRight w:val="0"/>
                      <w:marTop w:val="0"/>
                      <w:marBottom w:val="0"/>
                      <w:divBdr>
                        <w:top w:val="none" w:sz="0" w:space="0" w:color="auto"/>
                        <w:left w:val="none" w:sz="0" w:space="0" w:color="auto"/>
                        <w:bottom w:val="none" w:sz="0" w:space="0" w:color="auto"/>
                        <w:right w:val="none" w:sz="0" w:space="0" w:color="auto"/>
                      </w:divBdr>
                      <w:divsChild>
                        <w:div w:id="294143353">
                          <w:marLeft w:val="0"/>
                          <w:marRight w:val="0"/>
                          <w:marTop w:val="0"/>
                          <w:marBottom w:val="0"/>
                          <w:divBdr>
                            <w:top w:val="none" w:sz="0" w:space="0" w:color="auto"/>
                            <w:left w:val="none" w:sz="0" w:space="0" w:color="auto"/>
                            <w:bottom w:val="none" w:sz="0" w:space="0" w:color="auto"/>
                            <w:right w:val="none" w:sz="0" w:space="0" w:color="auto"/>
                          </w:divBdr>
                        </w:div>
                      </w:divsChild>
                    </w:div>
                    <w:div w:id="294138136">
                      <w:marLeft w:val="0"/>
                      <w:marRight w:val="0"/>
                      <w:marTop w:val="0"/>
                      <w:marBottom w:val="0"/>
                      <w:divBdr>
                        <w:top w:val="none" w:sz="0" w:space="0" w:color="auto"/>
                        <w:left w:val="none" w:sz="0" w:space="0" w:color="auto"/>
                        <w:bottom w:val="none" w:sz="0" w:space="0" w:color="auto"/>
                        <w:right w:val="none" w:sz="0" w:space="0" w:color="auto"/>
                      </w:divBdr>
                      <w:divsChild>
                        <w:div w:id="294153588">
                          <w:marLeft w:val="0"/>
                          <w:marRight w:val="0"/>
                          <w:marTop w:val="0"/>
                          <w:marBottom w:val="0"/>
                          <w:divBdr>
                            <w:top w:val="none" w:sz="0" w:space="0" w:color="auto"/>
                            <w:left w:val="none" w:sz="0" w:space="0" w:color="auto"/>
                            <w:bottom w:val="none" w:sz="0" w:space="0" w:color="auto"/>
                            <w:right w:val="none" w:sz="0" w:space="0" w:color="auto"/>
                          </w:divBdr>
                        </w:div>
                      </w:divsChild>
                    </w:div>
                    <w:div w:id="294138306">
                      <w:marLeft w:val="0"/>
                      <w:marRight w:val="0"/>
                      <w:marTop w:val="0"/>
                      <w:marBottom w:val="0"/>
                      <w:divBdr>
                        <w:top w:val="none" w:sz="0" w:space="0" w:color="auto"/>
                        <w:left w:val="none" w:sz="0" w:space="0" w:color="auto"/>
                        <w:bottom w:val="none" w:sz="0" w:space="0" w:color="auto"/>
                        <w:right w:val="none" w:sz="0" w:space="0" w:color="auto"/>
                      </w:divBdr>
                      <w:divsChild>
                        <w:div w:id="294141384">
                          <w:marLeft w:val="0"/>
                          <w:marRight w:val="0"/>
                          <w:marTop w:val="0"/>
                          <w:marBottom w:val="0"/>
                          <w:divBdr>
                            <w:top w:val="none" w:sz="0" w:space="0" w:color="auto"/>
                            <w:left w:val="none" w:sz="0" w:space="0" w:color="auto"/>
                            <w:bottom w:val="none" w:sz="0" w:space="0" w:color="auto"/>
                            <w:right w:val="none" w:sz="0" w:space="0" w:color="auto"/>
                          </w:divBdr>
                        </w:div>
                      </w:divsChild>
                    </w:div>
                    <w:div w:id="294138314">
                      <w:marLeft w:val="0"/>
                      <w:marRight w:val="0"/>
                      <w:marTop w:val="0"/>
                      <w:marBottom w:val="0"/>
                      <w:divBdr>
                        <w:top w:val="none" w:sz="0" w:space="0" w:color="auto"/>
                        <w:left w:val="none" w:sz="0" w:space="0" w:color="auto"/>
                        <w:bottom w:val="none" w:sz="0" w:space="0" w:color="auto"/>
                        <w:right w:val="none" w:sz="0" w:space="0" w:color="auto"/>
                      </w:divBdr>
                      <w:divsChild>
                        <w:div w:id="294153599">
                          <w:marLeft w:val="0"/>
                          <w:marRight w:val="0"/>
                          <w:marTop w:val="0"/>
                          <w:marBottom w:val="0"/>
                          <w:divBdr>
                            <w:top w:val="none" w:sz="0" w:space="0" w:color="auto"/>
                            <w:left w:val="none" w:sz="0" w:space="0" w:color="auto"/>
                            <w:bottom w:val="none" w:sz="0" w:space="0" w:color="auto"/>
                            <w:right w:val="none" w:sz="0" w:space="0" w:color="auto"/>
                          </w:divBdr>
                        </w:div>
                      </w:divsChild>
                    </w:div>
                    <w:div w:id="294138402">
                      <w:marLeft w:val="0"/>
                      <w:marRight w:val="0"/>
                      <w:marTop w:val="0"/>
                      <w:marBottom w:val="0"/>
                      <w:divBdr>
                        <w:top w:val="none" w:sz="0" w:space="0" w:color="auto"/>
                        <w:left w:val="none" w:sz="0" w:space="0" w:color="auto"/>
                        <w:bottom w:val="none" w:sz="0" w:space="0" w:color="auto"/>
                        <w:right w:val="none" w:sz="0" w:space="0" w:color="auto"/>
                      </w:divBdr>
                      <w:divsChild>
                        <w:div w:id="294146605">
                          <w:marLeft w:val="0"/>
                          <w:marRight w:val="0"/>
                          <w:marTop w:val="0"/>
                          <w:marBottom w:val="0"/>
                          <w:divBdr>
                            <w:top w:val="none" w:sz="0" w:space="0" w:color="auto"/>
                            <w:left w:val="none" w:sz="0" w:space="0" w:color="auto"/>
                            <w:bottom w:val="none" w:sz="0" w:space="0" w:color="auto"/>
                            <w:right w:val="none" w:sz="0" w:space="0" w:color="auto"/>
                          </w:divBdr>
                        </w:div>
                      </w:divsChild>
                    </w:div>
                    <w:div w:id="294138438">
                      <w:marLeft w:val="0"/>
                      <w:marRight w:val="0"/>
                      <w:marTop w:val="0"/>
                      <w:marBottom w:val="0"/>
                      <w:divBdr>
                        <w:top w:val="none" w:sz="0" w:space="0" w:color="auto"/>
                        <w:left w:val="none" w:sz="0" w:space="0" w:color="auto"/>
                        <w:bottom w:val="none" w:sz="0" w:space="0" w:color="auto"/>
                        <w:right w:val="none" w:sz="0" w:space="0" w:color="auto"/>
                      </w:divBdr>
                    </w:div>
                    <w:div w:id="294138635">
                      <w:marLeft w:val="0"/>
                      <w:marRight w:val="0"/>
                      <w:marTop w:val="0"/>
                      <w:marBottom w:val="0"/>
                      <w:divBdr>
                        <w:top w:val="none" w:sz="0" w:space="0" w:color="auto"/>
                        <w:left w:val="none" w:sz="0" w:space="0" w:color="auto"/>
                        <w:bottom w:val="none" w:sz="0" w:space="0" w:color="auto"/>
                        <w:right w:val="none" w:sz="0" w:space="0" w:color="auto"/>
                      </w:divBdr>
                    </w:div>
                    <w:div w:id="294138864">
                      <w:marLeft w:val="0"/>
                      <w:marRight w:val="0"/>
                      <w:marTop w:val="0"/>
                      <w:marBottom w:val="0"/>
                      <w:divBdr>
                        <w:top w:val="none" w:sz="0" w:space="0" w:color="auto"/>
                        <w:left w:val="none" w:sz="0" w:space="0" w:color="auto"/>
                        <w:bottom w:val="none" w:sz="0" w:space="0" w:color="auto"/>
                        <w:right w:val="none" w:sz="0" w:space="0" w:color="auto"/>
                      </w:divBdr>
                    </w:div>
                    <w:div w:id="294139013">
                      <w:marLeft w:val="0"/>
                      <w:marRight w:val="0"/>
                      <w:marTop w:val="0"/>
                      <w:marBottom w:val="0"/>
                      <w:divBdr>
                        <w:top w:val="none" w:sz="0" w:space="0" w:color="auto"/>
                        <w:left w:val="none" w:sz="0" w:space="0" w:color="auto"/>
                        <w:bottom w:val="none" w:sz="0" w:space="0" w:color="auto"/>
                        <w:right w:val="none" w:sz="0" w:space="0" w:color="auto"/>
                      </w:divBdr>
                      <w:divsChild>
                        <w:div w:id="294150877">
                          <w:marLeft w:val="0"/>
                          <w:marRight w:val="0"/>
                          <w:marTop w:val="0"/>
                          <w:marBottom w:val="0"/>
                          <w:divBdr>
                            <w:top w:val="none" w:sz="0" w:space="0" w:color="auto"/>
                            <w:left w:val="none" w:sz="0" w:space="0" w:color="auto"/>
                            <w:bottom w:val="none" w:sz="0" w:space="0" w:color="auto"/>
                            <w:right w:val="none" w:sz="0" w:space="0" w:color="auto"/>
                          </w:divBdr>
                        </w:div>
                      </w:divsChild>
                    </w:div>
                    <w:div w:id="294139091">
                      <w:marLeft w:val="0"/>
                      <w:marRight w:val="0"/>
                      <w:marTop w:val="0"/>
                      <w:marBottom w:val="0"/>
                      <w:divBdr>
                        <w:top w:val="none" w:sz="0" w:space="0" w:color="auto"/>
                        <w:left w:val="none" w:sz="0" w:space="0" w:color="auto"/>
                        <w:bottom w:val="none" w:sz="0" w:space="0" w:color="auto"/>
                        <w:right w:val="none" w:sz="0" w:space="0" w:color="auto"/>
                      </w:divBdr>
                      <w:divsChild>
                        <w:div w:id="294152347">
                          <w:marLeft w:val="0"/>
                          <w:marRight w:val="0"/>
                          <w:marTop w:val="0"/>
                          <w:marBottom w:val="0"/>
                          <w:divBdr>
                            <w:top w:val="none" w:sz="0" w:space="0" w:color="auto"/>
                            <w:left w:val="none" w:sz="0" w:space="0" w:color="auto"/>
                            <w:bottom w:val="none" w:sz="0" w:space="0" w:color="auto"/>
                            <w:right w:val="none" w:sz="0" w:space="0" w:color="auto"/>
                          </w:divBdr>
                        </w:div>
                      </w:divsChild>
                    </w:div>
                    <w:div w:id="294139294">
                      <w:marLeft w:val="0"/>
                      <w:marRight w:val="0"/>
                      <w:marTop w:val="0"/>
                      <w:marBottom w:val="0"/>
                      <w:divBdr>
                        <w:top w:val="none" w:sz="0" w:space="0" w:color="auto"/>
                        <w:left w:val="none" w:sz="0" w:space="0" w:color="auto"/>
                        <w:bottom w:val="none" w:sz="0" w:space="0" w:color="auto"/>
                        <w:right w:val="none" w:sz="0" w:space="0" w:color="auto"/>
                      </w:divBdr>
                    </w:div>
                    <w:div w:id="294139298">
                      <w:marLeft w:val="0"/>
                      <w:marRight w:val="0"/>
                      <w:marTop w:val="0"/>
                      <w:marBottom w:val="0"/>
                      <w:divBdr>
                        <w:top w:val="none" w:sz="0" w:space="0" w:color="auto"/>
                        <w:left w:val="none" w:sz="0" w:space="0" w:color="auto"/>
                        <w:bottom w:val="none" w:sz="0" w:space="0" w:color="auto"/>
                        <w:right w:val="none" w:sz="0" w:space="0" w:color="auto"/>
                      </w:divBdr>
                      <w:divsChild>
                        <w:div w:id="294144183">
                          <w:marLeft w:val="0"/>
                          <w:marRight w:val="0"/>
                          <w:marTop w:val="0"/>
                          <w:marBottom w:val="0"/>
                          <w:divBdr>
                            <w:top w:val="none" w:sz="0" w:space="0" w:color="auto"/>
                            <w:left w:val="none" w:sz="0" w:space="0" w:color="auto"/>
                            <w:bottom w:val="none" w:sz="0" w:space="0" w:color="auto"/>
                            <w:right w:val="none" w:sz="0" w:space="0" w:color="auto"/>
                          </w:divBdr>
                        </w:div>
                      </w:divsChild>
                    </w:div>
                    <w:div w:id="294139325">
                      <w:marLeft w:val="0"/>
                      <w:marRight w:val="0"/>
                      <w:marTop w:val="0"/>
                      <w:marBottom w:val="0"/>
                      <w:divBdr>
                        <w:top w:val="none" w:sz="0" w:space="0" w:color="auto"/>
                        <w:left w:val="none" w:sz="0" w:space="0" w:color="auto"/>
                        <w:bottom w:val="none" w:sz="0" w:space="0" w:color="auto"/>
                        <w:right w:val="none" w:sz="0" w:space="0" w:color="auto"/>
                      </w:divBdr>
                      <w:divsChild>
                        <w:div w:id="294148582">
                          <w:marLeft w:val="0"/>
                          <w:marRight w:val="0"/>
                          <w:marTop w:val="0"/>
                          <w:marBottom w:val="0"/>
                          <w:divBdr>
                            <w:top w:val="none" w:sz="0" w:space="0" w:color="auto"/>
                            <w:left w:val="none" w:sz="0" w:space="0" w:color="auto"/>
                            <w:bottom w:val="none" w:sz="0" w:space="0" w:color="auto"/>
                            <w:right w:val="none" w:sz="0" w:space="0" w:color="auto"/>
                          </w:divBdr>
                        </w:div>
                      </w:divsChild>
                    </w:div>
                    <w:div w:id="294139619">
                      <w:marLeft w:val="0"/>
                      <w:marRight w:val="0"/>
                      <w:marTop w:val="0"/>
                      <w:marBottom w:val="0"/>
                      <w:divBdr>
                        <w:top w:val="none" w:sz="0" w:space="0" w:color="auto"/>
                        <w:left w:val="none" w:sz="0" w:space="0" w:color="auto"/>
                        <w:bottom w:val="none" w:sz="0" w:space="0" w:color="auto"/>
                        <w:right w:val="none" w:sz="0" w:space="0" w:color="auto"/>
                      </w:divBdr>
                    </w:div>
                    <w:div w:id="294139681">
                      <w:marLeft w:val="0"/>
                      <w:marRight w:val="0"/>
                      <w:marTop w:val="0"/>
                      <w:marBottom w:val="0"/>
                      <w:divBdr>
                        <w:top w:val="none" w:sz="0" w:space="0" w:color="auto"/>
                        <w:left w:val="none" w:sz="0" w:space="0" w:color="auto"/>
                        <w:bottom w:val="none" w:sz="0" w:space="0" w:color="auto"/>
                        <w:right w:val="none" w:sz="0" w:space="0" w:color="auto"/>
                      </w:divBdr>
                    </w:div>
                    <w:div w:id="294139814">
                      <w:marLeft w:val="0"/>
                      <w:marRight w:val="0"/>
                      <w:marTop w:val="0"/>
                      <w:marBottom w:val="0"/>
                      <w:divBdr>
                        <w:top w:val="none" w:sz="0" w:space="0" w:color="auto"/>
                        <w:left w:val="none" w:sz="0" w:space="0" w:color="auto"/>
                        <w:bottom w:val="none" w:sz="0" w:space="0" w:color="auto"/>
                        <w:right w:val="none" w:sz="0" w:space="0" w:color="auto"/>
                      </w:divBdr>
                    </w:div>
                    <w:div w:id="294139871">
                      <w:marLeft w:val="0"/>
                      <w:marRight w:val="0"/>
                      <w:marTop w:val="0"/>
                      <w:marBottom w:val="0"/>
                      <w:divBdr>
                        <w:top w:val="none" w:sz="0" w:space="0" w:color="auto"/>
                        <w:left w:val="none" w:sz="0" w:space="0" w:color="auto"/>
                        <w:bottom w:val="none" w:sz="0" w:space="0" w:color="auto"/>
                        <w:right w:val="none" w:sz="0" w:space="0" w:color="auto"/>
                      </w:divBdr>
                    </w:div>
                    <w:div w:id="294140517">
                      <w:marLeft w:val="0"/>
                      <w:marRight w:val="0"/>
                      <w:marTop w:val="0"/>
                      <w:marBottom w:val="0"/>
                      <w:divBdr>
                        <w:top w:val="none" w:sz="0" w:space="0" w:color="auto"/>
                        <w:left w:val="none" w:sz="0" w:space="0" w:color="auto"/>
                        <w:bottom w:val="none" w:sz="0" w:space="0" w:color="auto"/>
                        <w:right w:val="none" w:sz="0" w:space="0" w:color="auto"/>
                      </w:divBdr>
                      <w:divsChild>
                        <w:div w:id="294143280">
                          <w:marLeft w:val="0"/>
                          <w:marRight w:val="0"/>
                          <w:marTop w:val="0"/>
                          <w:marBottom w:val="0"/>
                          <w:divBdr>
                            <w:top w:val="none" w:sz="0" w:space="0" w:color="auto"/>
                            <w:left w:val="none" w:sz="0" w:space="0" w:color="auto"/>
                            <w:bottom w:val="none" w:sz="0" w:space="0" w:color="auto"/>
                            <w:right w:val="none" w:sz="0" w:space="0" w:color="auto"/>
                          </w:divBdr>
                        </w:div>
                      </w:divsChild>
                    </w:div>
                    <w:div w:id="294140914">
                      <w:marLeft w:val="0"/>
                      <w:marRight w:val="0"/>
                      <w:marTop w:val="0"/>
                      <w:marBottom w:val="0"/>
                      <w:divBdr>
                        <w:top w:val="none" w:sz="0" w:space="0" w:color="auto"/>
                        <w:left w:val="none" w:sz="0" w:space="0" w:color="auto"/>
                        <w:bottom w:val="none" w:sz="0" w:space="0" w:color="auto"/>
                        <w:right w:val="none" w:sz="0" w:space="0" w:color="auto"/>
                      </w:divBdr>
                    </w:div>
                    <w:div w:id="294141139">
                      <w:marLeft w:val="0"/>
                      <w:marRight w:val="0"/>
                      <w:marTop w:val="0"/>
                      <w:marBottom w:val="0"/>
                      <w:divBdr>
                        <w:top w:val="none" w:sz="0" w:space="0" w:color="auto"/>
                        <w:left w:val="none" w:sz="0" w:space="0" w:color="auto"/>
                        <w:bottom w:val="none" w:sz="0" w:space="0" w:color="auto"/>
                        <w:right w:val="none" w:sz="0" w:space="0" w:color="auto"/>
                      </w:divBdr>
                    </w:div>
                    <w:div w:id="294141856">
                      <w:marLeft w:val="0"/>
                      <w:marRight w:val="0"/>
                      <w:marTop w:val="0"/>
                      <w:marBottom w:val="0"/>
                      <w:divBdr>
                        <w:top w:val="none" w:sz="0" w:space="0" w:color="auto"/>
                        <w:left w:val="none" w:sz="0" w:space="0" w:color="auto"/>
                        <w:bottom w:val="none" w:sz="0" w:space="0" w:color="auto"/>
                        <w:right w:val="none" w:sz="0" w:space="0" w:color="auto"/>
                      </w:divBdr>
                      <w:divsChild>
                        <w:div w:id="294144055">
                          <w:marLeft w:val="0"/>
                          <w:marRight w:val="0"/>
                          <w:marTop w:val="0"/>
                          <w:marBottom w:val="0"/>
                          <w:divBdr>
                            <w:top w:val="none" w:sz="0" w:space="0" w:color="auto"/>
                            <w:left w:val="none" w:sz="0" w:space="0" w:color="auto"/>
                            <w:bottom w:val="none" w:sz="0" w:space="0" w:color="auto"/>
                            <w:right w:val="none" w:sz="0" w:space="0" w:color="auto"/>
                          </w:divBdr>
                        </w:div>
                      </w:divsChild>
                    </w:div>
                    <w:div w:id="294141867">
                      <w:marLeft w:val="0"/>
                      <w:marRight w:val="0"/>
                      <w:marTop w:val="0"/>
                      <w:marBottom w:val="0"/>
                      <w:divBdr>
                        <w:top w:val="none" w:sz="0" w:space="0" w:color="auto"/>
                        <w:left w:val="none" w:sz="0" w:space="0" w:color="auto"/>
                        <w:bottom w:val="none" w:sz="0" w:space="0" w:color="auto"/>
                        <w:right w:val="none" w:sz="0" w:space="0" w:color="auto"/>
                      </w:divBdr>
                      <w:divsChild>
                        <w:div w:id="294149374">
                          <w:marLeft w:val="0"/>
                          <w:marRight w:val="0"/>
                          <w:marTop w:val="0"/>
                          <w:marBottom w:val="0"/>
                          <w:divBdr>
                            <w:top w:val="none" w:sz="0" w:space="0" w:color="auto"/>
                            <w:left w:val="none" w:sz="0" w:space="0" w:color="auto"/>
                            <w:bottom w:val="none" w:sz="0" w:space="0" w:color="auto"/>
                            <w:right w:val="none" w:sz="0" w:space="0" w:color="auto"/>
                          </w:divBdr>
                        </w:div>
                      </w:divsChild>
                    </w:div>
                    <w:div w:id="294141901">
                      <w:marLeft w:val="0"/>
                      <w:marRight w:val="0"/>
                      <w:marTop w:val="0"/>
                      <w:marBottom w:val="0"/>
                      <w:divBdr>
                        <w:top w:val="none" w:sz="0" w:space="0" w:color="auto"/>
                        <w:left w:val="none" w:sz="0" w:space="0" w:color="auto"/>
                        <w:bottom w:val="none" w:sz="0" w:space="0" w:color="auto"/>
                        <w:right w:val="none" w:sz="0" w:space="0" w:color="auto"/>
                      </w:divBdr>
                    </w:div>
                    <w:div w:id="294141919">
                      <w:marLeft w:val="0"/>
                      <w:marRight w:val="0"/>
                      <w:marTop w:val="0"/>
                      <w:marBottom w:val="0"/>
                      <w:divBdr>
                        <w:top w:val="none" w:sz="0" w:space="0" w:color="auto"/>
                        <w:left w:val="none" w:sz="0" w:space="0" w:color="auto"/>
                        <w:bottom w:val="none" w:sz="0" w:space="0" w:color="auto"/>
                        <w:right w:val="none" w:sz="0" w:space="0" w:color="auto"/>
                      </w:divBdr>
                      <w:divsChild>
                        <w:div w:id="294146480">
                          <w:marLeft w:val="0"/>
                          <w:marRight w:val="0"/>
                          <w:marTop w:val="0"/>
                          <w:marBottom w:val="0"/>
                          <w:divBdr>
                            <w:top w:val="none" w:sz="0" w:space="0" w:color="auto"/>
                            <w:left w:val="none" w:sz="0" w:space="0" w:color="auto"/>
                            <w:bottom w:val="none" w:sz="0" w:space="0" w:color="auto"/>
                            <w:right w:val="none" w:sz="0" w:space="0" w:color="auto"/>
                          </w:divBdr>
                        </w:div>
                      </w:divsChild>
                    </w:div>
                    <w:div w:id="294141987">
                      <w:marLeft w:val="0"/>
                      <w:marRight w:val="0"/>
                      <w:marTop w:val="0"/>
                      <w:marBottom w:val="0"/>
                      <w:divBdr>
                        <w:top w:val="none" w:sz="0" w:space="0" w:color="auto"/>
                        <w:left w:val="none" w:sz="0" w:space="0" w:color="auto"/>
                        <w:bottom w:val="none" w:sz="0" w:space="0" w:color="auto"/>
                        <w:right w:val="none" w:sz="0" w:space="0" w:color="auto"/>
                      </w:divBdr>
                      <w:divsChild>
                        <w:div w:id="294148972">
                          <w:marLeft w:val="0"/>
                          <w:marRight w:val="0"/>
                          <w:marTop w:val="0"/>
                          <w:marBottom w:val="0"/>
                          <w:divBdr>
                            <w:top w:val="none" w:sz="0" w:space="0" w:color="auto"/>
                            <w:left w:val="none" w:sz="0" w:space="0" w:color="auto"/>
                            <w:bottom w:val="none" w:sz="0" w:space="0" w:color="auto"/>
                            <w:right w:val="none" w:sz="0" w:space="0" w:color="auto"/>
                          </w:divBdr>
                        </w:div>
                      </w:divsChild>
                    </w:div>
                    <w:div w:id="294142058">
                      <w:marLeft w:val="0"/>
                      <w:marRight w:val="0"/>
                      <w:marTop w:val="0"/>
                      <w:marBottom w:val="0"/>
                      <w:divBdr>
                        <w:top w:val="none" w:sz="0" w:space="0" w:color="auto"/>
                        <w:left w:val="none" w:sz="0" w:space="0" w:color="auto"/>
                        <w:bottom w:val="none" w:sz="0" w:space="0" w:color="auto"/>
                        <w:right w:val="none" w:sz="0" w:space="0" w:color="auto"/>
                      </w:divBdr>
                      <w:divsChild>
                        <w:div w:id="294151281">
                          <w:marLeft w:val="0"/>
                          <w:marRight w:val="0"/>
                          <w:marTop w:val="0"/>
                          <w:marBottom w:val="0"/>
                          <w:divBdr>
                            <w:top w:val="none" w:sz="0" w:space="0" w:color="auto"/>
                            <w:left w:val="none" w:sz="0" w:space="0" w:color="auto"/>
                            <w:bottom w:val="none" w:sz="0" w:space="0" w:color="auto"/>
                            <w:right w:val="none" w:sz="0" w:space="0" w:color="auto"/>
                          </w:divBdr>
                        </w:div>
                      </w:divsChild>
                    </w:div>
                    <w:div w:id="294142069">
                      <w:marLeft w:val="0"/>
                      <w:marRight w:val="0"/>
                      <w:marTop w:val="0"/>
                      <w:marBottom w:val="0"/>
                      <w:divBdr>
                        <w:top w:val="none" w:sz="0" w:space="0" w:color="auto"/>
                        <w:left w:val="none" w:sz="0" w:space="0" w:color="auto"/>
                        <w:bottom w:val="none" w:sz="0" w:space="0" w:color="auto"/>
                        <w:right w:val="none" w:sz="0" w:space="0" w:color="auto"/>
                      </w:divBdr>
                      <w:divsChild>
                        <w:div w:id="294157220">
                          <w:marLeft w:val="0"/>
                          <w:marRight w:val="0"/>
                          <w:marTop w:val="0"/>
                          <w:marBottom w:val="0"/>
                          <w:divBdr>
                            <w:top w:val="none" w:sz="0" w:space="0" w:color="auto"/>
                            <w:left w:val="none" w:sz="0" w:space="0" w:color="auto"/>
                            <w:bottom w:val="none" w:sz="0" w:space="0" w:color="auto"/>
                            <w:right w:val="none" w:sz="0" w:space="0" w:color="auto"/>
                          </w:divBdr>
                        </w:div>
                      </w:divsChild>
                    </w:div>
                    <w:div w:id="294142283">
                      <w:marLeft w:val="0"/>
                      <w:marRight w:val="0"/>
                      <w:marTop w:val="0"/>
                      <w:marBottom w:val="0"/>
                      <w:divBdr>
                        <w:top w:val="none" w:sz="0" w:space="0" w:color="auto"/>
                        <w:left w:val="none" w:sz="0" w:space="0" w:color="auto"/>
                        <w:bottom w:val="none" w:sz="0" w:space="0" w:color="auto"/>
                        <w:right w:val="none" w:sz="0" w:space="0" w:color="auto"/>
                      </w:divBdr>
                      <w:divsChild>
                        <w:div w:id="294152035">
                          <w:marLeft w:val="0"/>
                          <w:marRight w:val="0"/>
                          <w:marTop w:val="0"/>
                          <w:marBottom w:val="0"/>
                          <w:divBdr>
                            <w:top w:val="none" w:sz="0" w:space="0" w:color="auto"/>
                            <w:left w:val="none" w:sz="0" w:space="0" w:color="auto"/>
                            <w:bottom w:val="none" w:sz="0" w:space="0" w:color="auto"/>
                            <w:right w:val="none" w:sz="0" w:space="0" w:color="auto"/>
                          </w:divBdr>
                        </w:div>
                      </w:divsChild>
                    </w:div>
                    <w:div w:id="294143132">
                      <w:marLeft w:val="0"/>
                      <w:marRight w:val="0"/>
                      <w:marTop w:val="0"/>
                      <w:marBottom w:val="0"/>
                      <w:divBdr>
                        <w:top w:val="none" w:sz="0" w:space="0" w:color="auto"/>
                        <w:left w:val="none" w:sz="0" w:space="0" w:color="auto"/>
                        <w:bottom w:val="none" w:sz="0" w:space="0" w:color="auto"/>
                        <w:right w:val="none" w:sz="0" w:space="0" w:color="auto"/>
                      </w:divBdr>
                      <w:divsChild>
                        <w:div w:id="294149027">
                          <w:marLeft w:val="0"/>
                          <w:marRight w:val="0"/>
                          <w:marTop w:val="0"/>
                          <w:marBottom w:val="0"/>
                          <w:divBdr>
                            <w:top w:val="none" w:sz="0" w:space="0" w:color="auto"/>
                            <w:left w:val="none" w:sz="0" w:space="0" w:color="auto"/>
                            <w:bottom w:val="none" w:sz="0" w:space="0" w:color="auto"/>
                            <w:right w:val="none" w:sz="0" w:space="0" w:color="auto"/>
                          </w:divBdr>
                        </w:div>
                      </w:divsChild>
                    </w:div>
                    <w:div w:id="294143210">
                      <w:marLeft w:val="0"/>
                      <w:marRight w:val="0"/>
                      <w:marTop w:val="0"/>
                      <w:marBottom w:val="0"/>
                      <w:divBdr>
                        <w:top w:val="none" w:sz="0" w:space="0" w:color="auto"/>
                        <w:left w:val="none" w:sz="0" w:space="0" w:color="auto"/>
                        <w:bottom w:val="none" w:sz="0" w:space="0" w:color="auto"/>
                        <w:right w:val="none" w:sz="0" w:space="0" w:color="auto"/>
                      </w:divBdr>
                      <w:divsChild>
                        <w:div w:id="294142103">
                          <w:marLeft w:val="0"/>
                          <w:marRight w:val="0"/>
                          <w:marTop w:val="0"/>
                          <w:marBottom w:val="0"/>
                          <w:divBdr>
                            <w:top w:val="none" w:sz="0" w:space="0" w:color="auto"/>
                            <w:left w:val="none" w:sz="0" w:space="0" w:color="auto"/>
                            <w:bottom w:val="none" w:sz="0" w:space="0" w:color="auto"/>
                            <w:right w:val="none" w:sz="0" w:space="0" w:color="auto"/>
                          </w:divBdr>
                        </w:div>
                      </w:divsChild>
                    </w:div>
                    <w:div w:id="294143408">
                      <w:marLeft w:val="0"/>
                      <w:marRight w:val="0"/>
                      <w:marTop w:val="0"/>
                      <w:marBottom w:val="0"/>
                      <w:divBdr>
                        <w:top w:val="none" w:sz="0" w:space="0" w:color="auto"/>
                        <w:left w:val="none" w:sz="0" w:space="0" w:color="auto"/>
                        <w:bottom w:val="none" w:sz="0" w:space="0" w:color="auto"/>
                        <w:right w:val="none" w:sz="0" w:space="0" w:color="auto"/>
                      </w:divBdr>
                    </w:div>
                    <w:div w:id="294143802">
                      <w:marLeft w:val="0"/>
                      <w:marRight w:val="0"/>
                      <w:marTop w:val="0"/>
                      <w:marBottom w:val="0"/>
                      <w:divBdr>
                        <w:top w:val="none" w:sz="0" w:space="0" w:color="auto"/>
                        <w:left w:val="none" w:sz="0" w:space="0" w:color="auto"/>
                        <w:bottom w:val="none" w:sz="0" w:space="0" w:color="auto"/>
                        <w:right w:val="none" w:sz="0" w:space="0" w:color="auto"/>
                      </w:divBdr>
                      <w:divsChild>
                        <w:div w:id="294148222">
                          <w:marLeft w:val="0"/>
                          <w:marRight w:val="0"/>
                          <w:marTop w:val="0"/>
                          <w:marBottom w:val="0"/>
                          <w:divBdr>
                            <w:top w:val="none" w:sz="0" w:space="0" w:color="auto"/>
                            <w:left w:val="none" w:sz="0" w:space="0" w:color="auto"/>
                            <w:bottom w:val="none" w:sz="0" w:space="0" w:color="auto"/>
                            <w:right w:val="none" w:sz="0" w:space="0" w:color="auto"/>
                          </w:divBdr>
                        </w:div>
                      </w:divsChild>
                    </w:div>
                    <w:div w:id="294143955">
                      <w:marLeft w:val="0"/>
                      <w:marRight w:val="0"/>
                      <w:marTop w:val="0"/>
                      <w:marBottom w:val="0"/>
                      <w:divBdr>
                        <w:top w:val="none" w:sz="0" w:space="0" w:color="auto"/>
                        <w:left w:val="none" w:sz="0" w:space="0" w:color="auto"/>
                        <w:bottom w:val="none" w:sz="0" w:space="0" w:color="auto"/>
                        <w:right w:val="none" w:sz="0" w:space="0" w:color="auto"/>
                      </w:divBdr>
                      <w:divsChild>
                        <w:div w:id="294151696">
                          <w:marLeft w:val="0"/>
                          <w:marRight w:val="0"/>
                          <w:marTop w:val="0"/>
                          <w:marBottom w:val="0"/>
                          <w:divBdr>
                            <w:top w:val="none" w:sz="0" w:space="0" w:color="auto"/>
                            <w:left w:val="none" w:sz="0" w:space="0" w:color="auto"/>
                            <w:bottom w:val="none" w:sz="0" w:space="0" w:color="auto"/>
                            <w:right w:val="none" w:sz="0" w:space="0" w:color="auto"/>
                          </w:divBdr>
                        </w:div>
                      </w:divsChild>
                    </w:div>
                    <w:div w:id="294143964">
                      <w:marLeft w:val="0"/>
                      <w:marRight w:val="0"/>
                      <w:marTop w:val="0"/>
                      <w:marBottom w:val="0"/>
                      <w:divBdr>
                        <w:top w:val="none" w:sz="0" w:space="0" w:color="auto"/>
                        <w:left w:val="none" w:sz="0" w:space="0" w:color="auto"/>
                        <w:bottom w:val="none" w:sz="0" w:space="0" w:color="auto"/>
                        <w:right w:val="none" w:sz="0" w:space="0" w:color="auto"/>
                      </w:divBdr>
                      <w:divsChild>
                        <w:div w:id="294140455">
                          <w:marLeft w:val="0"/>
                          <w:marRight w:val="0"/>
                          <w:marTop w:val="0"/>
                          <w:marBottom w:val="0"/>
                          <w:divBdr>
                            <w:top w:val="none" w:sz="0" w:space="0" w:color="auto"/>
                            <w:left w:val="none" w:sz="0" w:space="0" w:color="auto"/>
                            <w:bottom w:val="none" w:sz="0" w:space="0" w:color="auto"/>
                            <w:right w:val="none" w:sz="0" w:space="0" w:color="auto"/>
                          </w:divBdr>
                        </w:div>
                      </w:divsChild>
                    </w:div>
                    <w:div w:id="294143986">
                      <w:marLeft w:val="0"/>
                      <w:marRight w:val="0"/>
                      <w:marTop w:val="0"/>
                      <w:marBottom w:val="0"/>
                      <w:divBdr>
                        <w:top w:val="none" w:sz="0" w:space="0" w:color="auto"/>
                        <w:left w:val="none" w:sz="0" w:space="0" w:color="auto"/>
                        <w:bottom w:val="none" w:sz="0" w:space="0" w:color="auto"/>
                        <w:right w:val="none" w:sz="0" w:space="0" w:color="auto"/>
                      </w:divBdr>
                      <w:divsChild>
                        <w:div w:id="294155507">
                          <w:marLeft w:val="0"/>
                          <w:marRight w:val="0"/>
                          <w:marTop w:val="0"/>
                          <w:marBottom w:val="0"/>
                          <w:divBdr>
                            <w:top w:val="none" w:sz="0" w:space="0" w:color="auto"/>
                            <w:left w:val="none" w:sz="0" w:space="0" w:color="auto"/>
                            <w:bottom w:val="none" w:sz="0" w:space="0" w:color="auto"/>
                            <w:right w:val="none" w:sz="0" w:space="0" w:color="auto"/>
                          </w:divBdr>
                        </w:div>
                      </w:divsChild>
                    </w:div>
                    <w:div w:id="294144004">
                      <w:marLeft w:val="0"/>
                      <w:marRight w:val="0"/>
                      <w:marTop w:val="0"/>
                      <w:marBottom w:val="0"/>
                      <w:divBdr>
                        <w:top w:val="none" w:sz="0" w:space="0" w:color="auto"/>
                        <w:left w:val="none" w:sz="0" w:space="0" w:color="auto"/>
                        <w:bottom w:val="none" w:sz="0" w:space="0" w:color="auto"/>
                        <w:right w:val="none" w:sz="0" w:space="0" w:color="auto"/>
                      </w:divBdr>
                      <w:divsChild>
                        <w:div w:id="294140170">
                          <w:marLeft w:val="0"/>
                          <w:marRight w:val="0"/>
                          <w:marTop w:val="0"/>
                          <w:marBottom w:val="0"/>
                          <w:divBdr>
                            <w:top w:val="none" w:sz="0" w:space="0" w:color="auto"/>
                            <w:left w:val="none" w:sz="0" w:space="0" w:color="auto"/>
                            <w:bottom w:val="none" w:sz="0" w:space="0" w:color="auto"/>
                            <w:right w:val="none" w:sz="0" w:space="0" w:color="auto"/>
                          </w:divBdr>
                        </w:div>
                      </w:divsChild>
                    </w:div>
                    <w:div w:id="294144137">
                      <w:marLeft w:val="0"/>
                      <w:marRight w:val="0"/>
                      <w:marTop w:val="0"/>
                      <w:marBottom w:val="0"/>
                      <w:divBdr>
                        <w:top w:val="none" w:sz="0" w:space="0" w:color="auto"/>
                        <w:left w:val="none" w:sz="0" w:space="0" w:color="auto"/>
                        <w:bottom w:val="none" w:sz="0" w:space="0" w:color="auto"/>
                        <w:right w:val="none" w:sz="0" w:space="0" w:color="auto"/>
                      </w:divBdr>
                      <w:divsChild>
                        <w:div w:id="294157013">
                          <w:marLeft w:val="0"/>
                          <w:marRight w:val="0"/>
                          <w:marTop w:val="0"/>
                          <w:marBottom w:val="0"/>
                          <w:divBdr>
                            <w:top w:val="none" w:sz="0" w:space="0" w:color="auto"/>
                            <w:left w:val="none" w:sz="0" w:space="0" w:color="auto"/>
                            <w:bottom w:val="none" w:sz="0" w:space="0" w:color="auto"/>
                            <w:right w:val="none" w:sz="0" w:space="0" w:color="auto"/>
                          </w:divBdr>
                        </w:div>
                      </w:divsChild>
                    </w:div>
                    <w:div w:id="294144765">
                      <w:marLeft w:val="0"/>
                      <w:marRight w:val="0"/>
                      <w:marTop w:val="0"/>
                      <w:marBottom w:val="0"/>
                      <w:divBdr>
                        <w:top w:val="none" w:sz="0" w:space="0" w:color="auto"/>
                        <w:left w:val="none" w:sz="0" w:space="0" w:color="auto"/>
                        <w:bottom w:val="none" w:sz="0" w:space="0" w:color="auto"/>
                        <w:right w:val="none" w:sz="0" w:space="0" w:color="auto"/>
                      </w:divBdr>
                      <w:divsChild>
                        <w:div w:id="294141755">
                          <w:marLeft w:val="0"/>
                          <w:marRight w:val="0"/>
                          <w:marTop w:val="0"/>
                          <w:marBottom w:val="0"/>
                          <w:divBdr>
                            <w:top w:val="none" w:sz="0" w:space="0" w:color="auto"/>
                            <w:left w:val="none" w:sz="0" w:space="0" w:color="auto"/>
                            <w:bottom w:val="none" w:sz="0" w:space="0" w:color="auto"/>
                            <w:right w:val="none" w:sz="0" w:space="0" w:color="auto"/>
                          </w:divBdr>
                        </w:div>
                      </w:divsChild>
                    </w:div>
                    <w:div w:id="294144840">
                      <w:marLeft w:val="0"/>
                      <w:marRight w:val="0"/>
                      <w:marTop w:val="0"/>
                      <w:marBottom w:val="0"/>
                      <w:divBdr>
                        <w:top w:val="none" w:sz="0" w:space="0" w:color="auto"/>
                        <w:left w:val="none" w:sz="0" w:space="0" w:color="auto"/>
                        <w:bottom w:val="none" w:sz="0" w:space="0" w:color="auto"/>
                        <w:right w:val="none" w:sz="0" w:space="0" w:color="auto"/>
                      </w:divBdr>
                    </w:div>
                    <w:div w:id="294145470">
                      <w:marLeft w:val="0"/>
                      <w:marRight w:val="0"/>
                      <w:marTop w:val="0"/>
                      <w:marBottom w:val="0"/>
                      <w:divBdr>
                        <w:top w:val="none" w:sz="0" w:space="0" w:color="auto"/>
                        <w:left w:val="none" w:sz="0" w:space="0" w:color="auto"/>
                        <w:bottom w:val="none" w:sz="0" w:space="0" w:color="auto"/>
                        <w:right w:val="none" w:sz="0" w:space="0" w:color="auto"/>
                      </w:divBdr>
                    </w:div>
                    <w:div w:id="294145490">
                      <w:marLeft w:val="0"/>
                      <w:marRight w:val="0"/>
                      <w:marTop w:val="0"/>
                      <w:marBottom w:val="0"/>
                      <w:divBdr>
                        <w:top w:val="none" w:sz="0" w:space="0" w:color="auto"/>
                        <w:left w:val="none" w:sz="0" w:space="0" w:color="auto"/>
                        <w:bottom w:val="none" w:sz="0" w:space="0" w:color="auto"/>
                        <w:right w:val="none" w:sz="0" w:space="0" w:color="auto"/>
                      </w:divBdr>
                      <w:divsChild>
                        <w:div w:id="294153873">
                          <w:marLeft w:val="0"/>
                          <w:marRight w:val="0"/>
                          <w:marTop w:val="0"/>
                          <w:marBottom w:val="0"/>
                          <w:divBdr>
                            <w:top w:val="none" w:sz="0" w:space="0" w:color="auto"/>
                            <w:left w:val="none" w:sz="0" w:space="0" w:color="auto"/>
                            <w:bottom w:val="none" w:sz="0" w:space="0" w:color="auto"/>
                            <w:right w:val="none" w:sz="0" w:space="0" w:color="auto"/>
                          </w:divBdr>
                        </w:div>
                      </w:divsChild>
                    </w:div>
                    <w:div w:id="294145524">
                      <w:marLeft w:val="0"/>
                      <w:marRight w:val="0"/>
                      <w:marTop w:val="0"/>
                      <w:marBottom w:val="0"/>
                      <w:divBdr>
                        <w:top w:val="none" w:sz="0" w:space="0" w:color="auto"/>
                        <w:left w:val="none" w:sz="0" w:space="0" w:color="auto"/>
                        <w:bottom w:val="none" w:sz="0" w:space="0" w:color="auto"/>
                        <w:right w:val="none" w:sz="0" w:space="0" w:color="auto"/>
                      </w:divBdr>
                      <w:divsChild>
                        <w:div w:id="294143836">
                          <w:marLeft w:val="0"/>
                          <w:marRight w:val="0"/>
                          <w:marTop w:val="0"/>
                          <w:marBottom w:val="0"/>
                          <w:divBdr>
                            <w:top w:val="none" w:sz="0" w:space="0" w:color="auto"/>
                            <w:left w:val="none" w:sz="0" w:space="0" w:color="auto"/>
                            <w:bottom w:val="none" w:sz="0" w:space="0" w:color="auto"/>
                            <w:right w:val="none" w:sz="0" w:space="0" w:color="auto"/>
                          </w:divBdr>
                        </w:div>
                      </w:divsChild>
                    </w:div>
                    <w:div w:id="294145733">
                      <w:marLeft w:val="0"/>
                      <w:marRight w:val="0"/>
                      <w:marTop w:val="0"/>
                      <w:marBottom w:val="0"/>
                      <w:divBdr>
                        <w:top w:val="none" w:sz="0" w:space="0" w:color="auto"/>
                        <w:left w:val="none" w:sz="0" w:space="0" w:color="auto"/>
                        <w:bottom w:val="none" w:sz="0" w:space="0" w:color="auto"/>
                        <w:right w:val="none" w:sz="0" w:space="0" w:color="auto"/>
                      </w:divBdr>
                      <w:divsChild>
                        <w:div w:id="294155165">
                          <w:marLeft w:val="0"/>
                          <w:marRight w:val="0"/>
                          <w:marTop w:val="0"/>
                          <w:marBottom w:val="0"/>
                          <w:divBdr>
                            <w:top w:val="none" w:sz="0" w:space="0" w:color="auto"/>
                            <w:left w:val="none" w:sz="0" w:space="0" w:color="auto"/>
                            <w:bottom w:val="none" w:sz="0" w:space="0" w:color="auto"/>
                            <w:right w:val="none" w:sz="0" w:space="0" w:color="auto"/>
                          </w:divBdr>
                        </w:div>
                      </w:divsChild>
                    </w:div>
                    <w:div w:id="294145801">
                      <w:marLeft w:val="0"/>
                      <w:marRight w:val="0"/>
                      <w:marTop w:val="0"/>
                      <w:marBottom w:val="0"/>
                      <w:divBdr>
                        <w:top w:val="none" w:sz="0" w:space="0" w:color="auto"/>
                        <w:left w:val="none" w:sz="0" w:space="0" w:color="auto"/>
                        <w:bottom w:val="none" w:sz="0" w:space="0" w:color="auto"/>
                        <w:right w:val="none" w:sz="0" w:space="0" w:color="auto"/>
                      </w:divBdr>
                      <w:divsChild>
                        <w:div w:id="294156863">
                          <w:marLeft w:val="0"/>
                          <w:marRight w:val="0"/>
                          <w:marTop w:val="0"/>
                          <w:marBottom w:val="0"/>
                          <w:divBdr>
                            <w:top w:val="none" w:sz="0" w:space="0" w:color="auto"/>
                            <w:left w:val="none" w:sz="0" w:space="0" w:color="auto"/>
                            <w:bottom w:val="none" w:sz="0" w:space="0" w:color="auto"/>
                            <w:right w:val="none" w:sz="0" w:space="0" w:color="auto"/>
                          </w:divBdr>
                        </w:div>
                      </w:divsChild>
                    </w:div>
                    <w:div w:id="294146056">
                      <w:marLeft w:val="0"/>
                      <w:marRight w:val="0"/>
                      <w:marTop w:val="0"/>
                      <w:marBottom w:val="0"/>
                      <w:divBdr>
                        <w:top w:val="none" w:sz="0" w:space="0" w:color="auto"/>
                        <w:left w:val="none" w:sz="0" w:space="0" w:color="auto"/>
                        <w:bottom w:val="none" w:sz="0" w:space="0" w:color="auto"/>
                        <w:right w:val="none" w:sz="0" w:space="0" w:color="auto"/>
                      </w:divBdr>
                      <w:divsChild>
                        <w:div w:id="294155496">
                          <w:marLeft w:val="0"/>
                          <w:marRight w:val="0"/>
                          <w:marTop w:val="0"/>
                          <w:marBottom w:val="0"/>
                          <w:divBdr>
                            <w:top w:val="none" w:sz="0" w:space="0" w:color="auto"/>
                            <w:left w:val="none" w:sz="0" w:space="0" w:color="auto"/>
                            <w:bottom w:val="none" w:sz="0" w:space="0" w:color="auto"/>
                            <w:right w:val="none" w:sz="0" w:space="0" w:color="auto"/>
                          </w:divBdr>
                        </w:div>
                      </w:divsChild>
                    </w:div>
                    <w:div w:id="294146310">
                      <w:marLeft w:val="0"/>
                      <w:marRight w:val="0"/>
                      <w:marTop w:val="0"/>
                      <w:marBottom w:val="0"/>
                      <w:divBdr>
                        <w:top w:val="none" w:sz="0" w:space="0" w:color="auto"/>
                        <w:left w:val="none" w:sz="0" w:space="0" w:color="auto"/>
                        <w:bottom w:val="none" w:sz="0" w:space="0" w:color="auto"/>
                        <w:right w:val="none" w:sz="0" w:space="0" w:color="auto"/>
                      </w:divBdr>
                    </w:div>
                    <w:div w:id="294146368">
                      <w:marLeft w:val="0"/>
                      <w:marRight w:val="0"/>
                      <w:marTop w:val="0"/>
                      <w:marBottom w:val="0"/>
                      <w:divBdr>
                        <w:top w:val="none" w:sz="0" w:space="0" w:color="auto"/>
                        <w:left w:val="none" w:sz="0" w:space="0" w:color="auto"/>
                        <w:bottom w:val="none" w:sz="0" w:space="0" w:color="auto"/>
                        <w:right w:val="none" w:sz="0" w:space="0" w:color="auto"/>
                      </w:divBdr>
                      <w:divsChild>
                        <w:div w:id="294152951">
                          <w:marLeft w:val="0"/>
                          <w:marRight w:val="0"/>
                          <w:marTop w:val="0"/>
                          <w:marBottom w:val="0"/>
                          <w:divBdr>
                            <w:top w:val="none" w:sz="0" w:space="0" w:color="auto"/>
                            <w:left w:val="none" w:sz="0" w:space="0" w:color="auto"/>
                            <w:bottom w:val="none" w:sz="0" w:space="0" w:color="auto"/>
                            <w:right w:val="none" w:sz="0" w:space="0" w:color="auto"/>
                          </w:divBdr>
                        </w:div>
                      </w:divsChild>
                    </w:div>
                    <w:div w:id="294146528">
                      <w:marLeft w:val="0"/>
                      <w:marRight w:val="0"/>
                      <w:marTop w:val="0"/>
                      <w:marBottom w:val="0"/>
                      <w:divBdr>
                        <w:top w:val="none" w:sz="0" w:space="0" w:color="auto"/>
                        <w:left w:val="none" w:sz="0" w:space="0" w:color="auto"/>
                        <w:bottom w:val="none" w:sz="0" w:space="0" w:color="auto"/>
                        <w:right w:val="none" w:sz="0" w:space="0" w:color="auto"/>
                      </w:divBdr>
                    </w:div>
                    <w:div w:id="294146569">
                      <w:marLeft w:val="0"/>
                      <w:marRight w:val="0"/>
                      <w:marTop w:val="0"/>
                      <w:marBottom w:val="0"/>
                      <w:divBdr>
                        <w:top w:val="none" w:sz="0" w:space="0" w:color="auto"/>
                        <w:left w:val="none" w:sz="0" w:space="0" w:color="auto"/>
                        <w:bottom w:val="none" w:sz="0" w:space="0" w:color="auto"/>
                        <w:right w:val="none" w:sz="0" w:space="0" w:color="auto"/>
                      </w:divBdr>
                    </w:div>
                    <w:div w:id="294146806">
                      <w:marLeft w:val="0"/>
                      <w:marRight w:val="0"/>
                      <w:marTop w:val="0"/>
                      <w:marBottom w:val="0"/>
                      <w:divBdr>
                        <w:top w:val="none" w:sz="0" w:space="0" w:color="auto"/>
                        <w:left w:val="none" w:sz="0" w:space="0" w:color="auto"/>
                        <w:bottom w:val="none" w:sz="0" w:space="0" w:color="auto"/>
                        <w:right w:val="none" w:sz="0" w:space="0" w:color="auto"/>
                      </w:divBdr>
                    </w:div>
                    <w:div w:id="294146814">
                      <w:marLeft w:val="0"/>
                      <w:marRight w:val="0"/>
                      <w:marTop w:val="0"/>
                      <w:marBottom w:val="0"/>
                      <w:divBdr>
                        <w:top w:val="none" w:sz="0" w:space="0" w:color="auto"/>
                        <w:left w:val="none" w:sz="0" w:space="0" w:color="auto"/>
                        <w:bottom w:val="none" w:sz="0" w:space="0" w:color="auto"/>
                        <w:right w:val="none" w:sz="0" w:space="0" w:color="auto"/>
                      </w:divBdr>
                    </w:div>
                    <w:div w:id="294146880">
                      <w:marLeft w:val="0"/>
                      <w:marRight w:val="0"/>
                      <w:marTop w:val="0"/>
                      <w:marBottom w:val="0"/>
                      <w:divBdr>
                        <w:top w:val="none" w:sz="0" w:space="0" w:color="auto"/>
                        <w:left w:val="none" w:sz="0" w:space="0" w:color="auto"/>
                        <w:bottom w:val="none" w:sz="0" w:space="0" w:color="auto"/>
                        <w:right w:val="none" w:sz="0" w:space="0" w:color="auto"/>
                      </w:divBdr>
                    </w:div>
                    <w:div w:id="294147037">
                      <w:marLeft w:val="0"/>
                      <w:marRight w:val="0"/>
                      <w:marTop w:val="0"/>
                      <w:marBottom w:val="0"/>
                      <w:divBdr>
                        <w:top w:val="none" w:sz="0" w:space="0" w:color="auto"/>
                        <w:left w:val="none" w:sz="0" w:space="0" w:color="auto"/>
                        <w:bottom w:val="none" w:sz="0" w:space="0" w:color="auto"/>
                        <w:right w:val="none" w:sz="0" w:space="0" w:color="auto"/>
                      </w:divBdr>
                      <w:divsChild>
                        <w:div w:id="294142395">
                          <w:marLeft w:val="0"/>
                          <w:marRight w:val="0"/>
                          <w:marTop w:val="0"/>
                          <w:marBottom w:val="0"/>
                          <w:divBdr>
                            <w:top w:val="none" w:sz="0" w:space="0" w:color="auto"/>
                            <w:left w:val="none" w:sz="0" w:space="0" w:color="auto"/>
                            <w:bottom w:val="none" w:sz="0" w:space="0" w:color="auto"/>
                            <w:right w:val="none" w:sz="0" w:space="0" w:color="auto"/>
                          </w:divBdr>
                        </w:div>
                      </w:divsChild>
                    </w:div>
                    <w:div w:id="294147236">
                      <w:marLeft w:val="0"/>
                      <w:marRight w:val="0"/>
                      <w:marTop w:val="0"/>
                      <w:marBottom w:val="0"/>
                      <w:divBdr>
                        <w:top w:val="none" w:sz="0" w:space="0" w:color="auto"/>
                        <w:left w:val="none" w:sz="0" w:space="0" w:color="auto"/>
                        <w:bottom w:val="none" w:sz="0" w:space="0" w:color="auto"/>
                        <w:right w:val="none" w:sz="0" w:space="0" w:color="auto"/>
                      </w:divBdr>
                      <w:divsChild>
                        <w:div w:id="294154218">
                          <w:marLeft w:val="0"/>
                          <w:marRight w:val="0"/>
                          <w:marTop w:val="0"/>
                          <w:marBottom w:val="0"/>
                          <w:divBdr>
                            <w:top w:val="none" w:sz="0" w:space="0" w:color="auto"/>
                            <w:left w:val="none" w:sz="0" w:space="0" w:color="auto"/>
                            <w:bottom w:val="none" w:sz="0" w:space="0" w:color="auto"/>
                            <w:right w:val="none" w:sz="0" w:space="0" w:color="auto"/>
                          </w:divBdr>
                        </w:div>
                      </w:divsChild>
                    </w:div>
                    <w:div w:id="294147351">
                      <w:marLeft w:val="0"/>
                      <w:marRight w:val="0"/>
                      <w:marTop w:val="0"/>
                      <w:marBottom w:val="0"/>
                      <w:divBdr>
                        <w:top w:val="none" w:sz="0" w:space="0" w:color="auto"/>
                        <w:left w:val="none" w:sz="0" w:space="0" w:color="auto"/>
                        <w:bottom w:val="none" w:sz="0" w:space="0" w:color="auto"/>
                        <w:right w:val="none" w:sz="0" w:space="0" w:color="auto"/>
                      </w:divBdr>
                    </w:div>
                    <w:div w:id="294147541">
                      <w:marLeft w:val="0"/>
                      <w:marRight w:val="0"/>
                      <w:marTop w:val="0"/>
                      <w:marBottom w:val="0"/>
                      <w:divBdr>
                        <w:top w:val="none" w:sz="0" w:space="0" w:color="auto"/>
                        <w:left w:val="none" w:sz="0" w:space="0" w:color="auto"/>
                        <w:bottom w:val="none" w:sz="0" w:space="0" w:color="auto"/>
                        <w:right w:val="none" w:sz="0" w:space="0" w:color="auto"/>
                      </w:divBdr>
                    </w:div>
                    <w:div w:id="294147835">
                      <w:marLeft w:val="0"/>
                      <w:marRight w:val="0"/>
                      <w:marTop w:val="0"/>
                      <w:marBottom w:val="0"/>
                      <w:divBdr>
                        <w:top w:val="none" w:sz="0" w:space="0" w:color="auto"/>
                        <w:left w:val="none" w:sz="0" w:space="0" w:color="auto"/>
                        <w:bottom w:val="none" w:sz="0" w:space="0" w:color="auto"/>
                        <w:right w:val="none" w:sz="0" w:space="0" w:color="auto"/>
                      </w:divBdr>
                    </w:div>
                    <w:div w:id="294147861">
                      <w:marLeft w:val="0"/>
                      <w:marRight w:val="0"/>
                      <w:marTop w:val="0"/>
                      <w:marBottom w:val="0"/>
                      <w:divBdr>
                        <w:top w:val="none" w:sz="0" w:space="0" w:color="auto"/>
                        <w:left w:val="none" w:sz="0" w:space="0" w:color="auto"/>
                        <w:bottom w:val="none" w:sz="0" w:space="0" w:color="auto"/>
                        <w:right w:val="none" w:sz="0" w:space="0" w:color="auto"/>
                      </w:divBdr>
                    </w:div>
                    <w:div w:id="294147882">
                      <w:marLeft w:val="0"/>
                      <w:marRight w:val="0"/>
                      <w:marTop w:val="0"/>
                      <w:marBottom w:val="0"/>
                      <w:divBdr>
                        <w:top w:val="none" w:sz="0" w:space="0" w:color="auto"/>
                        <w:left w:val="none" w:sz="0" w:space="0" w:color="auto"/>
                        <w:bottom w:val="none" w:sz="0" w:space="0" w:color="auto"/>
                        <w:right w:val="none" w:sz="0" w:space="0" w:color="auto"/>
                      </w:divBdr>
                    </w:div>
                    <w:div w:id="294148024">
                      <w:marLeft w:val="0"/>
                      <w:marRight w:val="0"/>
                      <w:marTop w:val="0"/>
                      <w:marBottom w:val="0"/>
                      <w:divBdr>
                        <w:top w:val="none" w:sz="0" w:space="0" w:color="auto"/>
                        <w:left w:val="none" w:sz="0" w:space="0" w:color="auto"/>
                        <w:bottom w:val="none" w:sz="0" w:space="0" w:color="auto"/>
                        <w:right w:val="none" w:sz="0" w:space="0" w:color="auto"/>
                      </w:divBdr>
                      <w:divsChild>
                        <w:div w:id="294147132">
                          <w:marLeft w:val="0"/>
                          <w:marRight w:val="0"/>
                          <w:marTop w:val="0"/>
                          <w:marBottom w:val="0"/>
                          <w:divBdr>
                            <w:top w:val="none" w:sz="0" w:space="0" w:color="auto"/>
                            <w:left w:val="none" w:sz="0" w:space="0" w:color="auto"/>
                            <w:bottom w:val="none" w:sz="0" w:space="0" w:color="auto"/>
                            <w:right w:val="none" w:sz="0" w:space="0" w:color="auto"/>
                          </w:divBdr>
                        </w:div>
                      </w:divsChild>
                    </w:div>
                    <w:div w:id="294148036">
                      <w:marLeft w:val="0"/>
                      <w:marRight w:val="0"/>
                      <w:marTop w:val="0"/>
                      <w:marBottom w:val="0"/>
                      <w:divBdr>
                        <w:top w:val="none" w:sz="0" w:space="0" w:color="auto"/>
                        <w:left w:val="none" w:sz="0" w:space="0" w:color="auto"/>
                        <w:bottom w:val="none" w:sz="0" w:space="0" w:color="auto"/>
                        <w:right w:val="none" w:sz="0" w:space="0" w:color="auto"/>
                      </w:divBdr>
                    </w:div>
                    <w:div w:id="294148192">
                      <w:marLeft w:val="0"/>
                      <w:marRight w:val="0"/>
                      <w:marTop w:val="0"/>
                      <w:marBottom w:val="0"/>
                      <w:divBdr>
                        <w:top w:val="none" w:sz="0" w:space="0" w:color="auto"/>
                        <w:left w:val="none" w:sz="0" w:space="0" w:color="auto"/>
                        <w:bottom w:val="none" w:sz="0" w:space="0" w:color="auto"/>
                        <w:right w:val="none" w:sz="0" w:space="0" w:color="auto"/>
                      </w:divBdr>
                    </w:div>
                    <w:div w:id="294148207">
                      <w:marLeft w:val="0"/>
                      <w:marRight w:val="0"/>
                      <w:marTop w:val="0"/>
                      <w:marBottom w:val="0"/>
                      <w:divBdr>
                        <w:top w:val="none" w:sz="0" w:space="0" w:color="auto"/>
                        <w:left w:val="none" w:sz="0" w:space="0" w:color="auto"/>
                        <w:bottom w:val="none" w:sz="0" w:space="0" w:color="auto"/>
                        <w:right w:val="none" w:sz="0" w:space="0" w:color="auto"/>
                      </w:divBdr>
                    </w:div>
                    <w:div w:id="294148604">
                      <w:marLeft w:val="0"/>
                      <w:marRight w:val="0"/>
                      <w:marTop w:val="0"/>
                      <w:marBottom w:val="0"/>
                      <w:divBdr>
                        <w:top w:val="none" w:sz="0" w:space="0" w:color="auto"/>
                        <w:left w:val="none" w:sz="0" w:space="0" w:color="auto"/>
                        <w:bottom w:val="none" w:sz="0" w:space="0" w:color="auto"/>
                        <w:right w:val="none" w:sz="0" w:space="0" w:color="auto"/>
                      </w:divBdr>
                    </w:div>
                    <w:div w:id="294148848">
                      <w:marLeft w:val="0"/>
                      <w:marRight w:val="0"/>
                      <w:marTop w:val="0"/>
                      <w:marBottom w:val="0"/>
                      <w:divBdr>
                        <w:top w:val="none" w:sz="0" w:space="0" w:color="auto"/>
                        <w:left w:val="none" w:sz="0" w:space="0" w:color="auto"/>
                        <w:bottom w:val="none" w:sz="0" w:space="0" w:color="auto"/>
                        <w:right w:val="none" w:sz="0" w:space="0" w:color="auto"/>
                      </w:divBdr>
                    </w:div>
                    <w:div w:id="294148893">
                      <w:marLeft w:val="0"/>
                      <w:marRight w:val="0"/>
                      <w:marTop w:val="0"/>
                      <w:marBottom w:val="0"/>
                      <w:divBdr>
                        <w:top w:val="none" w:sz="0" w:space="0" w:color="auto"/>
                        <w:left w:val="none" w:sz="0" w:space="0" w:color="auto"/>
                        <w:bottom w:val="none" w:sz="0" w:space="0" w:color="auto"/>
                        <w:right w:val="none" w:sz="0" w:space="0" w:color="auto"/>
                      </w:divBdr>
                    </w:div>
                    <w:div w:id="294148994">
                      <w:marLeft w:val="0"/>
                      <w:marRight w:val="0"/>
                      <w:marTop w:val="0"/>
                      <w:marBottom w:val="0"/>
                      <w:divBdr>
                        <w:top w:val="none" w:sz="0" w:space="0" w:color="auto"/>
                        <w:left w:val="none" w:sz="0" w:space="0" w:color="auto"/>
                        <w:bottom w:val="none" w:sz="0" w:space="0" w:color="auto"/>
                        <w:right w:val="none" w:sz="0" w:space="0" w:color="auto"/>
                      </w:divBdr>
                    </w:div>
                    <w:div w:id="294149021">
                      <w:marLeft w:val="0"/>
                      <w:marRight w:val="0"/>
                      <w:marTop w:val="0"/>
                      <w:marBottom w:val="0"/>
                      <w:divBdr>
                        <w:top w:val="none" w:sz="0" w:space="0" w:color="auto"/>
                        <w:left w:val="none" w:sz="0" w:space="0" w:color="auto"/>
                        <w:bottom w:val="none" w:sz="0" w:space="0" w:color="auto"/>
                        <w:right w:val="none" w:sz="0" w:space="0" w:color="auto"/>
                      </w:divBdr>
                      <w:divsChild>
                        <w:div w:id="294144819">
                          <w:marLeft w:val="0"/>
                          <w:marRight w:val="0"/>
                          <w:marTop w:val="0"/>
                          <w:marBottom w:val="0"/>
                          <w:divBdr>
                            <w:top w:val="none" w:sz="0" w:space="0" w:color="auto"/>
                            <w:left w:val="none" w:sz="0" w:space="0" w:color="auto"/>
                            <w:bottom w:val="none" w:sz="0" w:space="0" w:color="auto"/>
                            <w:right w:val="none" w:sz="0" w:space="0" w:color="auto"/>
                          </w:divBdr>
                        </w:div>
                      </w:divsChild>
                    </w:div>
                    <w:div w:id="294149332">
                      <w:marLeft w:val="0"/>
                      <w:marRight w:val="0"/>
                      <w:marTop w:val="0"/>
                      <w:marBottom w:val="0"/>
                      <w:divBdr>
                        <w:top w:val="none" w:sz="0" w:space="0" w:color="auto"/>
                        <w:left w:val="none" w:sz="0" w:space="0" w:color="auto"/>
                        <w:bottom w:val="none" w:sz="0" w:space="0" w:color="auto"/>
                        <w:right w:val="none" w:sz="0" w:space="0" w:color="auto"/>
                      </w:divBdr>
                      <w:divsChild>
                        <w:div w:id="294155137">
                          <w:marLeft w:val="0"/>
                          <w:marRight w:val="0"/>
                          <w:marTop w:val="0"/>
                          <w:marBottom w:val="0"/>
                          <w:divBdr>
                            <w:top w:val="none" w:sz="0" w:space="0" w:color="auto"/>
                            <w:left w:val="none" w:sz="0" w:space="0" w:color="auto"/>
                            <w:bottom w:val="none" w:sz="0" w:space="0" w:color="auto"/>
                            <w:right w:val="none" w:sz="0" w:space="0" w:color="auto"/>
                          </w:divBdr>
                        </w:div>
                      </w:divsChild>
                    </w:div>
                    <w:div w:id="294149440">
                      <w:marLeft w:val="0"/>
                      <w:marRight w:val="0"/>
                      <w:marTop w:val="0"/>
                      <w:marBottom w:val="0"/>
                      <w:divBdr>
                        <w:top w:val="none" w:sz="0" w:space="0" w:color="auto"/>
                        <w:left w:val="none" w:sz="0" w:space="0" w:color="auto"/>
                        <w:bottom w:val="none" w:sz="0" w:space="0" w:color="auto"/>
                        <w:right w:val="none" w:sz="0" w:space="0" w:color="auto"/>
                      </w:divBdr>
                      <w:divsChild>
                        <w:div w:id="294153438">
                          <w:marLeft w:val="0"/>
                          <w:marRight w:val="0"/>
                          <w:marTop w:val="0"/>
                          <w:marBottom w:val="0"/>
                          <w:divBdr>
                            <w:top w:val="none" w:sz="0" w:space="0" w:color="auto"/>
                            <w:left w:val="none" w:sz="0" w:space="0" w:color="auto"/>
                            <w:bottom w:val="none" w:sz="0" w:space="0" w:color="auto"/>
                            <w:right w:val="none" w:sz="0" w:space="0" w:color="auto"/>
                          </w:divBdr>
                        </w:div>
                      </w:divsChild>
                    </w:div>
                    <w:div w:id="294149884">
                      <w:marLeft w:val="0"/>
                      <w:marRight w:val="0"/>
                      <w:marTop w:val="0"/>
                      <w:marBottom w:val="0"/>
                      <w:divBdr>
                        <w:top w:val="none" w:sz="0" w:space="0" w:color="auto"/>
                        <w:left w:val="none" w:sz="0" w:space="0" w:color="auto"/>
                        <w:bottom w:val="none" w:sz="0" w:space="0" w:color="auto"/>
                        <w:right w:val="none" w:sz="0" w:space="0" w:color="auto"/>
                      </w:divBdr>
                    </w:div>
                    <w:div w:id="294149919">
                      <w:marLeft w:val="0"/>
                      <w:marRight w:val="0"/>
                      <w:marTop w:val="0"/>
                      <w:marBottom w:val="0"/>
                      <w:divBdr>
                        <w:top w:val="none" w:sz="0" w:space="0" w:color="auto"/>
                        <w:left w:val="none" w:sz="0" w:space="0" w:color="auto"/>
                        <w:bottom w:val="none" w:sz="0" w:space="0" w:color="auto"/>
                        <w:right w:val="none" w:sz="0" w:space="0" w:color="auto"/>
                      </w:divBdr>
                      <w:divsChild>
                        <w:div w:id="294147049">
                          <w:marLeft w:val="0"/>
                          <w:marRight w:val="0"/>
                          <w:marTop w:val="0"/>
                          <w:marBottom w:val="0"/>
                          <w:divBdr>
                            <w:top w:val="none" w:sz="0" w:space="0" w:color="auto"/>
                            <w:left w:val="none" w:sz="0" w:space="0" w:color="auto"/>
                            <w:bottom w:val="none" w:sz="0" w:space="0" w:color="auto"/>
                            <w:right w:val="none" w:sz="0" w:space="0" w:color="auto"/>
                          </w:divBdr>
                        </w:div>
                      </w:divsChild>
                    </w:div>
                    <w:div w:id="294150042">
                      <w:marLeft w:val="0"/>
                      <w:marRight w:val="0"/>
                      <w:marTop w:val="0"/>
                      <w:marBottom w:val="0"/>
                      <w:divBdr>
                        <w:top w:val="none" w:sz="0" w:space="0" w:color="auto"/>
                        <w:left w:val="none" w:sz="0" w:space="0" w:color="auto"/>
                        <w:bottom w:val="none" w:sz="0" w:space="0" w:color="auto"/>
                        <w:right w:val="none" w:sz="0" w:space="0" w:color="auto"/>
                      </w:divBdr>
                    </w:div>
                    <w:div w:id="294150053">
                      <w:marLeft w:val="0"/>
                      <w:marRight w:val="0"/>
                      <w:marTop w:val="0"/>
                      <w:marBottom w:val="0"/>
                      <w:divBdr>
                        <w:top w:val="none" w:sz="0" w:space="0" w:color="auto"/>
                        <w:left w:val="none" w:sz="0" w:space="0" w:color="auto"/>
                        <w:bottom w:val="none" w:sz="0" w:space="0" w:color="auto"/>
                        <w:right w:val="none" w:sz="0" w:space="0" w:color="auto"/>
                      </w:divBdr>
                    </w:div>
                    <w:div w:id="294150082">
                      <w:marLeft w:val="0"/>
                      <w:marRight w:val="0"/>
                      <w:marTop w:val="0"/>
                      <w:marBottom w:val="0"/>
                      <w:divBdr>
                        <w:top w:val="none" w:sz="0" w:space="0" w:color="auto"/>
                        <w:left w:val="none" w:sz="0" w:space="0" w:color="auto"/>
                        <w:bottom w:val="none" w:sz="0" w:space="0" w:color="auto"/>
                        <w:right w:val="none" w:sz="0" w:space="0" w:color="auto"/>
                      </w:divBdr>
                      <w:divsChild>
                        <w:div w:id="294152531">
                          <w:marLeft w:val="0"/>
                          <w:marRight w:val="0"/>
                          <w:marTop w:val="0"/>
                          <w:marBottom w:val="0"/>
                          <w:divBdr>
                            <w:top w:val="none" w:sz="0" w:space="0" w:color="auto"/>
                            <w:left w:val="none" w:sz="0" w:space="0" w:color="auto"/>
                            <w:bottom w:val="none" w:sz="0" w:space="0" w:color="auto"/>
                            <w:right w:val="none" w:sz="0" w:space="0" w:color="auto"/>
                          </w:divBdr>
                        </w:div>
                      </w:divsChild>
                    </w:div>
                    <w:div w:id="294150125">
                      <w:marLeft w:val="0"/>
                      <w:marRight w:val="0"/>
                      <w:marTop w:val="0"/>
                      <w:marBottom w:val="0"/>
                      <w:divBdr>
                        <w:top w:val="none" w:sz="0" w:space="0" w:color="auto"/>
                        <w:left w:val="none" w:sz="0" w:space="0" w:color="auto"/>
                        <w:bottom w:val="none" w:sz="0" w:space="0" w:color="auto"/>
                        <w:right w:val="none" w:sz="0" w:space="0" w:color="auto"/>
                      </w:divBdr>
                      <w:divsChild>
                        <w:div w:id="294156750">
                          <w:marLeft w:val="0"/>
                          <w:marRight w:val="0"/>
                          <w:marTop w:val="0"/>
                          <w:marBottom w:val="0"/>
                          <w:divBdr>
                            <w:top w:val="none" w:sz="0" w:space="0" w:color="auto"/>
                            <w:left w:val="none" w:sz="0" w:space="0" w:color="auto"/>
                            <w:bottom w:val="none" w:sz="0" w:space="0" w:color="auto"/>
                            <w:right w:val="none" w:sz="0" w:space="0" w:color="auto"/>
                          </w:divBdr>
                        </w:div>
                      </w:divsChild>
                    </w:div>
                    <w:div w:id="294150275">
                      <w:marLeft w:val="0"/>
                      <w:marRight w:val="0"/>
                      <w:marTop w:val="0"/>
                      <w:marBottom w:val="0"/>
                      <w:divBdr>
                        <w:top w:val="none" w:sz="0" w:space="0" w:color="auto"/>
                        <w:left w:val="none" w:sz="0" w:space="0" w:color="auto"/>
                        <w:bottom w:val="none" w:sz="0" w:space="0" w:color="auto"/>
                        <w:right w:val="none" w:sz="0" w:space="0" w:color="auto"/>
                      </w:divBdr>
                    </w:div>
                    <w:div w:id="294150685">
                      <w:marLeft w:val="0"/>
                      <w:marRight w:val="0"/>
                      <w:marTop w:val="0"/>
                      <w:marBottom w:val="0"/>
                      <w:divBdr>
                        <w:top w:val="none" w:sz="0" w:space="0" w:color="auto"/>
                        <w:left w:val="none" w:sz="0" w:space="0" w:color="auto"/>
                        <w:bottom w:val="none" w:sz="0" w:space="0" w:color="auto"/>
                        <w:right w:val="none" w:sz="0" w:space="0" w:color="auto"/>
                      </w:divBdr>
                    </w:div>
                    <w:div w:id="294150955">
                      <w:marLeft w:val="0"/>
                      <w:marRight w:val="0"/>
                      <w:marTop w:val="0"/>
                      <w:marBottom w:val="0"/>
                      <w:divBdr>
                        <w:top w:val="none" w:sz="0" w:space="0" w:color="auto"/>
                        <w:left w:val="none" w:sz="0" w:space="0" w:color="auto"/>
                        <w:bottom w:val="none" w:sz="0" w:space="0" w:color="auto"/>
                        <w:right w:val="none" w:sz="0" w:space="0" w:color="auto"/>
                      </w:divBdr>
                    </w:div>
                    <w:div w:id="294151435">
                      <w:marLeft w:val="0"/>
                      <w:marRight w:val="0"/>
                      <w:marTop w:val="0"/>
                      <w:marBottom w:val="0"/>
                      <w:divBdr>
                        <w:top w:val="none" w:sz="0" w:space="0" w:color="auto"/>
                        <w:left w:val="none" w:sz="0" w:space="0" w:color="auto"/>
                        <w:bottom w:val="none" w:sz="0" w:space="0" w:color="auto"/>
                        <w:right w:val="none" w:sz="0" w:space="0" w:color="auto"/>
                      </w:divBdr>
                      <w:divsChild>
                        <w:div w:id="294140894">
                          <w:marLeft w:val="0"/>
                          <w:marRight w:val="0"/>
                          <w:marTop w:val="0"/>
                          <w:marBottom w:val="0"/>
                          <w:divBdr>
                            <w:top w:val="none" w:sz="0" w:space="0" w:color="auto"/>
                            <w:left w:val="none" w:sz="0" w:space="0" w:color="auto"/>
                            <w:bottom w:val="none" w:sz="0" w:space="0" w:color="auto"/>
                            <w:right w:val="none" w:sz="0" w:space="0" w:color="auto"/>
                          </w:divBdr>
                        </w:div>
                      </w:divsChild>
                    </w:div>
                    <w:div w:id="294151661">
                      <w:marLeft w:val="0"/>
                      <w:marRight w:val="0"/>
                      <w:marTop w:val="0"/>
                      <w:marBottom w:val="0"/>
                      <w:divBdr>
                        <w:top w:val="none" w:sz="0" w:space="0" w:color="auto"/>
                        <w:left w:val="none" w:sz="0" w:space="0" w:color="auto"/>
                        <w:bottom w:val="none" w:sz="0" w:space="0" w:color="auto"/>
                        <w:right w:val="none" w:sz="0" w:space="0" w:color="auto"/>
                      </w:divBdr>
                    </w:div>
                    <w:div w:id="294151701">
                      <w:marLeft w:val="0"/>
                      <w:marRight w:val="0"/>
                      <w:marTop w:val="0"/>
                      <w:marBottom w:val="0"/>
                      <w:divBdr>
                        <w:top w:val="none" w:sz="0" w:space="0" w:color="auto"/>
                        <w:left w:val="none" w:sz="0" w:space="0" w:color="auto"/>
                        <w:bottom w:val="none" w:sz="0" w:space="0" w:color="auto"/>
                        <w:right w:val="none" w:sz="0" w:space="0" w:color="auto"/>
                      </w:divBdr>
                    </w:div>
                    <w:div w:id="294151826">
                      <w:marLeft w:val="0"/>
                      <w:marRight w:val="0"/>
                      <w:marTop w:val="0"/>
                      <w:marBottom w:val="0"/>
                      <w:divBdr>
                        <w:top w:val="none" w:sz="0" w:space="0" w:color="auto"/>
                        <w:left w:val="none" w:sz="0" w:space="0" w:color="auto"/>
                        <w:bottom w:val="none" w:sz="0" w:space="0" w:color="auto"/>
                        <w:right w:val="none" w:sz="0" w:space="0" w:color="auto"/>
                      </w:divBdr>
                    </w:div>
                    <w:div w:id="294152219">
                      <w:marLeft w:val="0"/>
                      <w:marRight w:val="0"/>
                      <w:marTop w:val="0"/>
                      <w:marBottom w:val="0"/>
                      <w:divBdr>
                        <w:top w:val="none" w:sz="0" w:space="0" w:color="auto"/>
                        <w:left w:val="none" w:sz="0" w:space="0" w:color="auto"/>
                        <w:bottom w:val="none" w:sz="0" w:space="0" w:color="auto"/>
                        <w:right w:val="none" w:sz="0" w:space="0" w:color="auto"/>
                      </w:divBdr>
                      <w:divsChild>
                        <w:div w:id="294138298">
                          <w:marLeft w:val="0"/>
                          <w:marRight w:val="0"/>
                          <w:marTop w:val="0"/>
                          <w:marBottom w:val="0"/>
                          <w:divBdr>
                            <w:top w:val="none" w:sz="0" w:space="0" w:color="auto"/>
                            <w:left w:val="none" w:sz="0" w:space="0" w:color="auto"/>
                            <w:bottom w:val="none" w:sz="0" w:space="0" w:color="auto"/>
                            <w:right w:val="none" w:sz="0" w:space="0" w:color="auto"/>
                          </w:divBdr>
                        </w:div>
                      </w:divsChild>
                    </w:div>
                    <w:div w:id="294152336">
                      <w:marLeft w:val="0"/>
                      <w:marRight w:val="0"/>
                      <w:marTop w:val="0"/>
                      <w:marBottom w:val="0"/>
                      <w:divBdr>
                        <w:top w:val="none" w:sz="0" w:space="0" w:color="auto"/>
                        <w:left w:val="none" w:sz="0" w:space="0" w:color="auto"/>
                        <w:bottom w:val="none" w:sz="0" w:space="0" w:color="auto"/>
                        <w:right w:val="none" w:sz="0" w:space="0" w:color="auto"/>
                      </w:divBdr>
                    </w:div>
                    <w:div w:id="294152465">
                      <w:marLeft w:val="0"/>
                      <w:marRight w:val="0"/>
                      <w:marTop w:val="0"/>
                      <w:marBottom w:val="0"/>
                      <w:divBdr>
                        <w:top w:val="none" w:sz="0" w:space="0" w:color="auto"/>
                        <w:left w:val="none" w:sz="0" w:space="0" w:color="auto"/>
                        <w:bottom w:val="none" w:sz="0" w:space="0" w:color="auto"/>
                        <w:right w:val="none" w:sz="0" w:space="0" w:color="auto"/>
                      </w:divBdr>
                      <w:divsChild>
                        <w:div w:id="294147624">
                          <w:marLeft w:val="0"/>
                          <w:marRight w:val="0"/>
                          <w:marTop w:val="0"/>
                          <w:marBottom w:val="0"/>
                          <w:divBdr>
                            <w:top w:val="none" w:sz="0" w:space="0" w:color="auto"/>
                            <w:left w:val="none" w:sz="0" w:space="0" w:color="auto"/>
                            <w:bottom w:val="none" w:sz="0" w:space="0" w:color="auto"/>
                            <w:right w:val="none" w:sz="0" w:space="0" w:color="auto"/>
                          </w:divBdr>
                        </w:div>
                      </w:divsChild>
                    </w:div>
                    <w:div w:id="294152718">
                      <w:marLeft w:val="0"/>
                      <w:marRight w:val="0"/>
                      <w:marTop w:val="0"/>
                      <w:marBottom w:val="0"/>
                      <w:divBdr>
                        <w:top w:val="none" w:sz="0" w:space="0" w:color="auto"/>
                        <w:left w:val="none" w:sz="0" w:space="0" w:color="auto"/>
                        <w:bottom w:val="none" w:sz="0" w:space="0" w:color="auto"/>
                        <w:right w:val="none" w:sz="0" w:space="0" w:color="auto"/>
                      </w:divBdr>
                      <w:divsChild>
                        <w:div w:id="294151887">
                          <w:marLeft w:val="0"/>
                          <w:marRight w:val="0"/>
                          <w:marTop w:val="0"/>
                          <w:marBottom w:val="0"/>
                          <w:divBdr>
                            <w:top w:val="none" w:sz="0" w:space="0" w:color="auto"/>
                            <w:left w:val="none" w:sz="0" w:space="0" w:color="auto"/>
                            <w:bottom w:val="none" w:sz="0" w:space="0" w:color="auto"/>
                            <w:right w:val="none" w:sz="0" w:space="0" w:color="auto"/>
                          </w:divBdr>
                        </w:div>
                      </w:divsChild>
                    </w:div>
                    <w:div w:id="294153008">
                      <w:marLeft w:val="0"/>
                      <w:marRight w:val="0"/>
                      <w:marTop w:val="0"/>
                      <w:marBottom w:val="0"/>
                      <w:divBdr>
                        <w:top w:val="none" w:sz="0" w:space="0" w:color="auto"/>
                        <w:left w:val="none" w:sz="0" w:space="0" w:color="auto"/>
                        <w:bottom w:val="none" w:sz="0" w:space="0" w:color="auto"/>
                        <w:right w:val="none" w:sz="0" w:space="0" w:color="auto"/>
                      </w:divBdr>
                    </w:div>
                    <w:div w:id="294153038">
                      <w:marLeft w:val="0"/>
                      <w:marRight w:val="0"/>
                      <w:marTop w:val="0"/>
                      <w:marBottom w:val="0"/>
                      <w:divBdr>
                        <w:top w:val="none" w:sz="0" w:space="0" w:color="auto"/>
                        <w:left w:val="none" w:sz="0" w:space="0" w:color="auto"/>
                        <w:bottom w:val="none" w:sz="0" w:space="0" w:color="auto"/>
                        <w:right w:val="none" w:sz="0" w:space="0" w:color="auto"/>
                      </w:divBdr>
                      <w:divsChild>
                        <w:div w:id="294151761">
                          <w:marLeft w:val="0"/>
                          <w:marRight w:val="0"/>
                          <w:marTop w:val="0"/>
                          <w:marBottom w:val="0"/>
                          <w:divBdr>
                            <w:top w:val="none" w:sz="0" w:space="0" w:color="auto"/>
                            <w:left w:val="none" w:sz="0" w:space="0" w:color="auto"/>
                            <w:bottom w:val="none" w:sz="0" w:space="0" w:color="auto"/>
                            <w:right w:val="none" w:sz="0" w:space="0" w:color="auto"/>
                          </w:divBdr>
                        </w:div>
                      </w:divsChild>
                    </w:div>
                    <w:div w:id="294153241">
                      <w:marLeft w:val="0"/>
                      <w:marRight w:val="0"/>
                      <w:marTop w:val="0"/>
                      <w:marBottom w:val="0"/>
                      <w:divBdr>
                        <w:top w:val="none" w:sz="0" w:space="0" w:color="auto"/>
                        <w:left w:val="none" w:sz="0" w:space="0" w:color="auto"/>
                        <w:bottom w:val="none" w:sz="0" w:space="0" w:color="auto"/>
                        <w:right w:val="none" w:sz="0" w:space="0" w:color="auto"/>
                      </w:divBdr>
                      <w:divsChild>
                        <w:div w:id="294146662">
                          <w:marLeft w:val="0"/>
                          <w:marRight w:val="0"/>
                          <w:marTop w:val="0"/>
                          <w:marBottom w:val="0"/>
                          <w:divBdr>
                            <w:top w:val="none" w:sz="0" w:space="0" w:color="auto"/>
                            <w:left w:val="none" w:sz="0" w:space="0" w:color="auto"/>
                            <w:bottom w:val="none" w:sz="0" w:space="0" w:color="auto"/>
                            <w:right w:val="none" w:sz="0" w:space="0" w:color="auto"/>
                          </w:divBdr>
                        </w:div>
                      </w:divsChild>
                    </w:div>
                    <w:div w:id="294153271">
                      <w:marLeft w:val="0"/>
                      <w:marRight w:val="0"/>
                      <w:marTop w:val="0"/>
                      <w:marBottom w:val="0"/>
                      <w:divBdr>
                        <w:top w:val="none" w:sz="0" w:space="0" w:color="auto"/>
                        <w:left w:val="none" w:sz="0" w:space="0" w:color="auto"/>
                        <w:bottom w:val="none" w:sz="0" w:space="0" w:color="auto"/>
                        <w:right w:val="none" w:sz="0" w:space="0" w:color="auto"/>
                      </w:divBdr>
                    </w:div>
                    <w:div w:id="294153325">
                      <w:marLeft w:val="0"/>
                      <w:marRight w:val="0"/>
                      <w:marTop w:val="0"/>
                      <w:marBottom w:val="0"/>
                      <w:divBdr>
                        <w:top w:val="none" w:sz="0" w:space="0" w:color="auto"/>
                        <w:left w:val="none" w:sz="0" w:space="0" w:color="auto"/>
                        <w:bottom w:val="none" w:sz="0" w:space="0" w:color="auto"/>
                        <w:right w:val="none" w:sz="0" w:space="0" w:color="auto"/>
                      </w:divBdr>
                      <w:divsChild>
                        <w:div w:id="294151958">
                          <w:marLeft w:val="0"/>
                          <w:marRight w:val="0"/>
                          <w:marTop w:val="0"/>
                          <w:marBottom w:val="0"/>
                          <w:divBdr>
                            <w:top w:val="none" w:sz="0" w:space="0" w:color="auto"/>
                            <w:left w:val="none" w:sz="0" w:space="0" w:color="auto"/>
                            <w:bottom w:val="none" w:sz="0" w:space="0" w:color="auto"/>
                            <w:right w:val="none" w:sz="0" w:space="0" w:color="auto"/>
                          </w:divBdr>
                        </w:div>
                      </w:divsChild>
                    </w:div>
                    <w:div w:id="294153385">
                      <w:marLeft w:val="0"/>
                      <w:marRight w:val="0"/>
                      <w:marTop w:val="0"/>
                      <w:marBottom w:val="0"/>
                      <w:divBdr>
                        <w:top w:val="none" w:sz="0" w:space="0" w:color="auto"/>
                        <w:left w:val="none" w:sz="0" w:space="0" w:color="auto"/>
                        <w:bottom w:val="none" w:sz="0" w:space="0" w:color="auto"/>
                        <w:right w:val="none" w:sz="0" w:space="0" w:color="auto"/>
                      </w:divBdr>
                      <w:divsChild>
                        <w:div w:id="294140697">
                          <w:marLeft w:val="0"/>
                          <w:marRight w:val="0"/>
                          <w:marTop w:val="0"/>
                          <w:marBottom w:val="0"/>
                          <w:divBdr>
                            <w:top w:val="none" w:sz="0" w:space="0" w:color="auto"/>
                            <w:left w:val="none" w:sz="0" w:space="0" w:color="auto"/>
                            <w:bottom w:val="none" w:sz="0" w:space="0" w:color="auto"/>
                            <w:right w:val="none" w:sz="0" w:space="0" w:color="auto"/>
                          </w:divBdr>
                        </w:div>
                      </w:divsChild>
                    </w:div>
                    <w:div w:id="294153582">
                      <w:marLeft w:val="0"/>
                      <w:marRight w:val="0"/>
                      <w:marTop w:val="0"/>
                      <w:marBottom w:val="0"/>
                      <w:divBdr>
                        <w:top w:val="none" w:sz="0" w:space="0" w:color="auto"/>
                        <w:left w:val="none" w:sz="0" w:space="0" w:color="auto"/>
                        <w:bottom w:val="none" w:sz="0" w:space="0" w:color="auto"/>
                        <w:right w:val="none" w:sz="0" w:space="0" w:color="auto"/>
                      </w:divBdr>
                      <w:divsChild>
                        <w:div w:id="294140768">
                          <w:marLeft w:val="0"/>
                          <w:marRight w:val="0"/>
                          <w:marTop w:val="0"/>
                          <w:marBottom w:val="0"/>
                          <w:divBdr>
                            <w:top w:val="none" w:sz="0" w:space="0" w:color="auto"/>
                            <w:left w:val="none" w:sz="0" w:space="0" w:color="auto"/>
                            <w:bottom w:val="none" w:sz="0" w:space="0" w:color="auto"/>
                            <w:right w:val="none" w:sz="0" w:space="0" w:color="auto"/>
                          </w:divBdr>
                        </w:div>
                      </w:divsChild>
                    </w:div>
                    <w:div w:id="294153856">
                      <w:marLeft w:val="0"/>
                      <w:marRight w:val="0"/>
                      <w:marTop w:val="0"/>
                      <w:marBottom w:val="0"/>
                      <w:divBdr>
                        <w:top w:val="none" w:sz="0" w:space="0" w:color="auto"/>
                        <w:left w:val="none" w:sz="0" w:space="0" w:color="auto"/>
                        <w:bottom w:val="none" w:sz="0" w:space="0" w:color="auto"/>
                        <w:right w:val="none" w:sz="0" w:space="0" w:color="auto"/>
                      </w:divBdr>
                      <w:divsChild>
                        <w:div w:id="294148289">
                          <w:marLeft w:val="0"/>
                          <w:marRight w:val="0"/>
                          <w:marTop w:val="0"/>
                          <w:marBottom w:val="0"/>
                          <w:divBdr>
                            <w:top w:val="none" w:sz="0" w:space="0" w:color="auto"/>
                            <w:left w:val="none" w:sz="0" w:space="0" w:color="auto"/>
                            <w:bottom w:val="none" w:sz="0" w:space="0" w:color="auto"/>
                            <w:right w:val="none" w:sz="0" w:space="0" w:color="auto"/>
                          </w:divBdr>
                        </w:div>
                      </w:divsChild>
                    </w:div>
                    <w:div w:id="294153956">
                      <w:marLeft w:val="0"/>
                      <w:marRight w:val="0"/>
                      <w:marTop w:val="0"/>
                      <w:marBottom w:val="0"/>
                      <w:divBdr>
                        <w:top w:val="none" w:sz="0" w:space="0" w:color="auto"/>
                        <w:left w:val="none" w:sz="0" w:space="0" w:color="auto"/>
                        <w:bottom w:val="none" w:sz="0" w:space="0" w:color="auto"/>
                        <w:right w:val="none" w:sz="0" w:space="0" w:color="auto"/>
                      </w:divBdr>
                      <w:divsChild>
                        <w:div w:id="294139401">
                          <w:marLeft w:val="0"/>
                          <w:marRight w:val="0"/>
                          <w:marTop w:val="0"/>
                          <w:marBottom w:val="0"/>
                          <w:divBdr>
                            <w:top w:val="none" w:sz="0" w:space="0" w:color="auto"/>
                            <w:left w:val="none" w:sz="0" w:space="0" w:color="auto"/>
                            <w:bottom w:val="none" w:sz="0" w:space="0" w:color="auto"/>
                            <w:right w:val="none" w:sz="0" w:space="0" w:color="auto"/>
                          </w:divBdr>
                        </w:div>
                      </w:divsChild>
                    </w:div>
                    <w:div w:id="294154028">
                      <w:marLeft w:val="0"/>
                      <w:marRight w:val="0"/>
                      <w:marTop w:val="0"/>
                      <w:marBottom w:val="0"/>
                      <w:divBdr>
                        <w:top w:val="none" w:sz="0" w:space="0" w:color="auto"/>
                        <w:left w:val="none" w:sz="0" w:space="0" w:color="auto"/>
                        <w:bottom w:val="none" w:sz="0" w:space="0" w:color="auto"/>
                        <w:right w:val="none" w:sz="0" w:space="0" w:color="auto"/>
                      </w:divBdr>
                      <w:divsChild>
                        <w:div w:id="294138057">
                          <w:marLeft w:val="0"/>
                          <w:marRight w:val="0"/>
                          <w:marTop w:val="0"/>
                          <w:marBottom w:val="0"/>
                          <w:divBdr>
                            <w:top w:val="none" w:sz="0" w:space="0" w:color="auto"/>
                            <w:left w:val="none" w:sz="0" w:space="0" w:color="auto"/>
                            <w:bottom w:val="none" w:sz="0" w:space="0" w:color="auto"/>
                            <w:right w:val="none" w:sz="0" w:space="0" w:color="auto"/>
                          </w:divBdr>
                        </w:div>
                      </w:divsChild>
                    </w:div>
                    <w:div w:id="294154057">
                      <w:marLeft w:val="0"/>
                      <w:marRight w:val="0"/>
                      <w:marTop w:val="0"/>
                      <w:marBottom w:val="0"/>
                      <w:divBdr>
                        <w:top w:val="none" w:sz="0" w:space="0" w:color="auto"/>
                        <w:left w:val="none" w:sz="0" w:space="0" w:color="auto"/>
                        <w:bottom w:val="none" w:sz="0" w:space="0" w:color="auto"/>
                        <w:right w:val="none" w:sz="0" w:space="0" w:color="auto"/>
                      </w:divBdr>
                    </w:div>
                    <w:div w:id="294154067">
                      <w:marLeft w:val="0"/>
                      <w:marRight w:val="0"/>
                      <w:marTop w:val="0"/>
                      <w:marBottom w:val="0"/>
                      <w:divBdr>
                        <w:top w:val="none" w:sz="0" w:space="0" w:color="auto"/>
                        <w:left w:val="none" w:sz="0" w:space="0" w:color="auto"/>
                        <w:bottom w:val="none" w:sz="0" w:space="0" w:color="auto"/>
                        <w:right w:val="none" w:sz="0" w:space="0" w:color="auto"/>
                      </w:divBdr>
                    </w:div>
                    <w:div w:id="294154270">
                      <w:marLeft w:val="0"/>
                      <w:marRight w:val="0"/>
                      <w:marTop w:val="0"/>
                      <w:marBottom w:val="0"/>
                      <w:divBdr>
                        <w:top w:val="none" w:sz="0" w:space="0" w:color="auto"/>
                        <w:left w:val="none" w:sz="0" w:space="0" w:color="auto"/>
                        <w:bottom w:val="none" w:sz="0" w:space="0" w:color="auto"/>
                        <w:right w:val="none" w:sz="0" w:space="0" w:color="auto"/>
                      </w:divBdr>
                      <w:divsChild>
                        <w:div w:id="294152162">
                          <w:marLeft w:val="0"/>
                          <w:marRight w:val="0"/>
                          <w:marTop w:val="0"/>
                          <w:marBottom w:val="0"/>
                          <w:divBdr>
                            <w:top w:val="none" w:sz="0" w:space="0" w:color="auto"/>
                            <w:left w:val="none" w:sz="0" w:space="0" w:color="auto"/>
                            <w:bottom w:val="none" w:sz="0" w:space="0" w:color="auto"/>
                            <w:right w:val="none" w:sz="0" w:space="0" w:color="auto"/>
                          </w:divBdr>
                        </w:div>
                      </w:divsChild>
                    </w:div>
                    <w:div w:id="294154414">
                      <w:marLeft w:val="0"/>
                      <w:marRight w:val="0"/>
                      <w:marTop w:val="0"/>
                      <w:marBottom w:val="0"/>
                      <w:divBdr>
                        <w:top w:val="none" w:sz="0" w:space="0" w:color="auto"/>
                        <w:left w:val="none" w:sz="0" w:space="0" w:color="auto"/>
                        <w:bottom w:val="none" w:sz="0" w:space="0" w:color="auto"/>
                        <w:right w:val="none" w:sz="0" w:space="0" w:color="auto"/>
                      </w:divBdr>
                    </w:div>
                    <w:div w:id="294154431">
                      <w:marLeft w:val="0"/>
                      <w:marRight w:val="0"/>
                      <w:marTop w:val="0"/>
                      <w:marBottom w:val="0"/>
                      <w:divBdr>
                        <w:top w:val="none" w:sz="0" w:space="0" w:color="auto"/>
                        <w:left w:val="none" w:sz="0" w:space="0" w:color="auto"/>
                        <w:bottom w:val="none" w:sz="0" w:space="0" w:color="auto"/>
                        <w:right w:val="none" w:sz="0" w:space="0" w:color="auto"/>
                      </w:divBdr>
                    </w:div>
                    <w:div w:id="294154778">
                      <w:marLeft w:val="0"/>
                      <w:marRight w:val="0"/>
                      <w:marTop w:val="0"/>
                      <w:marBottom w:val="0"/>
                      <w:divBdr>
                        <w:top w:val="none" w:sz="0" w:space="0" w:color="auto"/>
                        <w:left w:val="none" w:sz="0" w:space="0" w:color="auto"/>
                        <w:bottom w:val="none" w:sz="0" w:space="0" w:color="auto"/>
                        <w:right w:val="none" w:sz="0" w:space="0" w:color="auto"/>
                      </w:divBdr>
                      <w:divsChild>
                        <w:div w:id="294139598">
                          <w:marLeft w:val="0"/>
                          <w:marRight w:val="0"/>
                          <w:marTop w:val="0"/>
                          <w:marBottom w:val="0"/>
                          <w:divBdr>
                            <w:top w:val="none" w:sz="0" w:space="0" w:color="auto"/>
                            <w:left w:val="none" w:sz="0" w:space="0" w:color="auto"/>
                            <w:bottom w:val="none" w:sz="0" w:space="0" w:color="auto"/>
                            <w:right w:val="none" w:sz="0" w:space="0" w:color="auto"/>
                          </w:divBdr>
                        </w:div>
                      </w:divsChild>
                    </w:div>
                    <w:div w:id="294154924">
                      <w:marLeft w:val="0"/>
                      <w:marRight w:val="0"/>
                      <w:marTop w:val="0"/>
                      <w:marBottom w:val="0"/>
                      <w:divBdr>
                        <w:top w:val="none" w:sz="0" w:space="0" w:color="auto"/>
                        <w:left w:val="none" w:sz="0" w:space="0" w:color="auto"/>
                        <w:bottom w:val="none" w:sz="0" w:space="0" w:color="auto"/>
                        <w:right w:val="none" w:sz="0" w:space="0" w:color="auto"/>
                      </w:divBdr>
                    </w:div>
                    <w:div w:id="294155092">
                      <w:marLeft w:val="0"/>
                      <w:marRight w:val="0"/>
                      <w:marTop w:val="0"/>
                      <w:marBottom w:val="0"/>
                      <w:divBdr>
                        <w:top w:val="none" w:sz="0" w:space="0" w:color="auto"/>
                        <w:left w:val="none" w:sz="0" w:space="0" w:color="auto"/>
                        <w:bottom w:val="none" w:sz="0" w:space="0" w:color="auto"/>
                        <w:right w:val="none" w:sz="0" w:space="0" w:color="auto"/>
                      </w:divBdr>
                      <w:divsChild>
                        <w:div w:id="294143720">
                          <w:marLeft w:val="0"/>
                          <w:marRight w:val="0"/>
                          <w:marTop w:val="0"/>
                          <w:marBottom w:val="0"/>
                          <w:divBdr>
                            <w:top w:val="none" w:sz="0" w:space="0" w:color="auto"/>
                            <w:left w:val="none" w:sz="0" w:space="0" w:color="auto"/>
                            <w:bottom w:val="none" w:sz="0" w:space="0" w:color="auto"/>
                            <w:right w:val="none" w:sz="0" w:space="0" w:color="auto"/>
                          </w:divBdr>
                        </w:div>
                      </w:divsChild>
                    </w:div>
                    <w:div w:id="294155532">
                      <w:marLeft w:val="0"/>
                      <w:marRight w:val="0"/>
                      <w:marTop w:val="0"/>
                      <w:marBottom w:val="0"/>
                      <w:divBdr>
                        <w:top w:val="none" w:sz="0" w:space="0" w:color="auto"/>
                        <w:left w:val="none" w:sz="0" w:space="0" w:color="auto"/>
                        <w:bottom w:val="none" w:sz="0" w:space="0" w:color="auto"/>
                        <w:right w:val="none" w:sz="0" w:space="0" w:color="auto"/>
                      </w:divBdr>
                      <w:divsChild>
                        <w:div w:id="294147590">
                          <w:marLeft w:val="0"/>
                          <w:marRight w:val="0"/>
                          <w:marTop w:val="0"/>
                          <w:marBottom w:val="0"/>
                          <w:divBdr>
                            <w:top w:val="none" w:sz="0" w:space="0" w:color="auto"/>
                            <w:left w:val="none" w:sz="0" w:space="0" w:color="auto"/>
                            <w:bottom w:val="none" w:sz="0" w:space="0" w:color="auto"/>
                            <w:right w:val="none" w:sz="0" w:space="0" w:color="auto"/>
                          </w:divBdr>
                        </w:div>
                      </w:divsChild>
                    </w:div>
                    <w:div w:id="294155617">
                      <w:marLeft w:val="0"/>
                      <w:marRight w:val="0"/>
                      <w:marTop w:val="0"/>
                      <w:marBottom w:val="0"/>
                      <w:divBdr>
                        <w:top w:val="none" w:sz="0" w:space="0" w:color="auto"/>
                        <w:left w:val="none" w:sz="0" w:space="0" w:color="auto"/>
                        <w:bottom w:val="none" w:sz="0" w:space="0" w:color="auto"/>
                        <w:right w:val="none" w:sz="0" w:space="0" w:color="auto"/>
                      </w:divBdr>
                      <w:divsChild>
                        <w:div w:id="294143768">
                          <w:marLeft w:val="0"/>
                          <w:marRight w:val="0"/>
                          <w:marTop w:val="0"/>
                          <w:marBottom w:val="0"/>
                          <w:divBdr>
                            <w:top w:val="none" w:sz="0" w:space="0" w:color="auto"/>
                            <w:left w:val="none" w:sz="0" w:space="0" w:color="auto"/>
                            <w:bottom w:val="none" w:sz="0" w:space="0" w:color="auto"/>
                            <w:right w:val="none" w:sz="0" w:space="0" w:color="auto"/>
                          </w:divBdr>
                        </w:div>
                      </w:divsChild>
                    </w:div>
                    <w:div w:id="294155700">
                      <w:marLeft w:val="0"/>
                      <w:marRight w:val="0"/>
                      <w:marTop w:val="0"/>
                      <w:marBottom w:val="0"/>
                      <w:divBdr>
                        <w:top w:val="none" w:sz="0" w:space="0" w:color="auto"/>
                        <w:left w:val="none" w:sz="0" w:space="0" w:color="auto"/>
                        <w:bottom w:val="none" w:sz="0" w:space="0" w:color="auto"/>
                        <w:right w:val="none" w:sz="0" w:space="0" w:color="auto"/>
                      </w:divBdr>
                    </w:div>
                    <w:div w:id="294155735">
                      <w:marLeft w:val="0"/>
                      <w:marRight w:val="0"/>
                      <w:marTop w:val="0"/>
                      <w:marBottom w:val="0"/>
                      <w:divBdr>
                        <w:top w:val="none" w:sz="0" w:space="0" w:color="auto"/>
                        <w:left w:val="none" w:sz="0" w:space="0" w:color="auto"/>
                        <w:bottom w:val="none" w:sz="0" w:space="0" w:color="auto"/>
                        <w:right w:val="none" w:sz="0" w:space="0" w:color="auto"/>
                      </w:divBdr>
                    </w:div>
                    <w:div w:id="294155863">
                      <w:marLeft w:val="0"/>
                      <w:marRight w:val="0"/>
                      <w:marTop w:val="0"/>
                      <w:marBottom w:val="0"/>
                      <w:divBdr>
                        <w:top w:val="none" w:sz="0" w:space="0" w:color="auto"/>
                        <w:left w:val="none" w:sz="0" w:space="0" w:color="auto"/>
                        <w:bottom w:val="none" w:sz="0" w:space="0" w:color="auto"/>
                        <w:right w:val="none" w:sz="0" w:space="0" w:color="auto"/>
                      </w:divBdr>
                      <w:divsChild>
                        <w:div w:id="294156394">
                          <w:marLeft w:val="0"/>
                          <w:marRight w:val="0"/>
                          <w:marTop w:val="0"/>
                          <w:marBottom w:val="0"/>
                          <w:divBdr>
                            <w:top w:val="none" w:sz="0" w:space="0" w:color="auto"/>
                            <w:left w:val="none" w:sz="0" w:space="0" w:color="auto"/>
                            <w:bottom w:val="none" w:sz="0" w:space="0" w:color="auto"/>
                            <w:right w:val="none" w:sz="0" w:space="0" w:color="auto"/>
                          </w:divBdr>
                        </w:div>
                      </w:divsChild>
                    </w:div>
                    <w:div w:id="294155880">
                      <w:marLeft w:val="0"/>
                      <w:marRight w:val="0"/>
                      <w:marTop w:val="0"/>
                      <w:marBottom w:val="0"/>
                      <w:divBdr>
                        <w:top w:val="none" w:sz="0" w:space="0" w:color="auto"/>
                        <w:left w:val="none" w:sz="0" w:space="0" w:color="auto"/>
                        <w:bottom w:val="none" w:sz="0" w:space="0" w:color="auto"/>
                        <w:right w:val="none" w:sz="0" w:space="0" w:color="auto"/>
                      </w:divBdr>
                      <w:divsChild>
                        <w:div w:id="294144700">
                          <w:marLeft w:val="0"/>
                          <w:marRight w:val="0"/>
                          <w:marTop w:val="0"/>
                          <w:marBottom w:val="0"/>
                          <w:divBdr>
                            <w:top w:val="none" w:sz="0" w:space="0" w:color="auto"/>
                            <w:left w:val="none" w:sz="0" w:space="0" w:color="auto"/>
                            <w:bottom w:val="none" w:sz="0" w:space="0" w:color="auto"/>
                            <w:right w:val="none" w:sz="0" w:space="0" w:color="auto"/>
                          </w:divBdr>
                        </w:div>
                      </w:divsChild>
                    </w:div>
                    <w:div w:id="294156120">
                      <w:marLeft w:val="0"/>
                      <w:marRight w:val="0"/>
                      <w:marTop w:val="0"/>
                      <w:marBottom w:val="0"/>
                      <w:divBdr>
                        <w:top w:val="none" w:sz="0" w:space="0" w:color="auto"/>
                        <w:left w:val="none" w:sz="0" w:space="0" w:color="auto"/>
                        <w:bottom w:val="none" w:sz="0" w:space="0" w:color="auto"/>
                        <w:right w:val="none" w:sz="0" w:space="0" w:color="auto"/>
                      </w:divBdr>
                    </w:div>
                    <w:div w:id="294156167">
                      <w:marLeft w:val="0"/>
                      <w:marRight w:val="0"/>
                      <w:marTop w:val="0"/>
                      <w:marBottom w:val="0"/>
                      <w:divBdr>
                        <w:top w:val="none" w:sz="0" w:space="0" w:color="auto"/>
                        <w:left w:val="none" w:sz="0" w:space="0" w:color="auto"/>
                        <w:bottom w:val="none" w:sz="0" w:space="0" w:color="auto"/>
                        <w:right w:val="none" w:sz="0" w:space="0" w:color="auto"/>
                      </w:divBdr>
                    </w:div>
                    <w:div w:id="294156341">
                      <w:marLeft w:val="0"/>
                      <w:marRight w:val="0"/>
                      <w:marTop w:val="0"/>
                      <w:marBottom w:val="0"/>
                      <w:divBdr>
                        <w:top w:val="none" w:sz="0" w:space="0" w:color="auto"/>
                        <w:left w:val="none" w:sz="0" w:space="0" w:color="auto"/>
                        <w:bottom w:val="none" w:sz="0" w:space="0" w:color="auto"/>
                        <w:right w:val="none" w:sz="0" w:space="0" w:color="auto"/>
                      </w:divBdr>
                    </w:div>
                    <w:div w:id="294156462">
                      <w:marLeft w:val="0"/>
                      <w:marRight w:val="0"/>
                      <w:marTop w:val="0"/>
                      <w:marBottom w:val="0"/>
                      <w:divBdr>
                        <w:top w:val="none" w:sz="0" w:space="0" w:color="auto"/>
                        <w:left w:val="none" w:sz="0" w:space="0" w:color="auto"/>
                        <w:bottom w:val="none" w:sz="0" w:space="0" w:color="auto"/>
                        <w:right w:val="none" w:sz="0" w:space="0" w:color="auto"/>
                      </w:divBdr>
                    </w:div>
                    <w:div w:id="294156465">
                      <w:marLeft w:val="0"/>
                      <w:marRight w:val="0"/>
                      <w:marTop w:val="0"/>
                      <w:marBottom w:val="0"/>
                      <w:divBdr>
                        <w:top w:val="none" w:sz="0" w:space="0" w:color="auto"/>
                        <w:left w:val="none" w:sz="0" w:space="0" w:color="auto"/>
                        <w:bottom w:val="none" w:sz="0" w:space="0" w:color="auto"/>
                        <w:right w:val="none" w:sz="0" w:space="0" w:color="auto"/>
                      </w:divBdr>
                      <w:divsChild>
                        <w:div w:id="294138554">
                          <w:marLeft w:val="0"/>
                          <w:marRight w:val="0"/>
                          <w:marTop w:val="0"/>
                          <w:marBottom w:val="0"/>
                          <w:divBdr>
                            <w:top w:val="none" w:sz="0" w:space="0" w:color="auto"/>
                            <w:left w:val="none" w:sz="0" w:space="0" w:color="auto"/>
                            <w:bottom w:val="none" w:sz="0" w:space="0" w:color="auto"/>
                            <w:right w:val="none" w:sz="0" w:space="0" w:color="auto"/>
                          </w:divBdr>
                        </w:div>
                      </w:divsChild>
                    </w:div>
                    <w:div w:id="294156648">
                      <w:marLeft w:val="0"/>
                      <w:marRight w:val="0"/>
                      <w:marTop w:val="0"/>
                      <w:marBottom w:val="0"/>
                      <w:divBdr>
                        <w:top w:val="none" w:sz="0" w:space="0" w:color="auto"/>
                        <w:left w:val="none" w:sz="0" w:space="0" w:color="auto"/>
                        <w:bottom w:val="none" w:sz="0" w:space="0" w:color="auto"/>
                        <w:right w:val="none" w:sz="0" w:space="0" w:color="auto"/>
                      </w:divBdr>
                      <w:divsChild>
                        <w:div w:id="294154192">
                          <w:marLeft w:val="0"/>
                          <w:marRight w:val="0"/>
                          <w:marTop w:val="0"/>
                          <w:marBottom w:val="0"/>
                          <w:divBdr>
                            <w:top w:val="none" w:sz="0" w:space="0" w:color="auto"/>
                            <w:left w:val="none" w:sz="0" w:space="0" w:color="auto"/>
                            <w:bottom w:val="none" w:sz="0" w:space="0" w:color="auto"/>
                            <w:right w:val="none" w:sz="0" w:space="0" w:color="auto"/>
                          </w:divBdr>
                        </w:div>
                      </w:divsChild>
                    </w:div>
                    <w:div w:id="294156715">
                      <w:marLeft w:val="0"/>
                      <w:marRight w:val="0"/>
                      <w:marTop w:val="0"/>
                      <w:marBottom w:val="0"/>
                      <w:divBdr>
                        <w:top w:val="none" w:sz="0" w:space="0" w:color="auto"/>
                        <w:left w:val="none" w:sz="0" w:space="0" w:color="auto"/>
                        <w:bottom w:val="none" w:sz="0" w:space="0" w:color="auto"/>
                        <w:right w:val="none" w:sz="0" w:space="0" w:color="auto"/>
                      </w:divBdr>
                    </w:div>
                    <w:div w:id="294156822">
                      <w:marLeft w:val="0"/>
                      <w:marRight w:val="0"/>
                      <w:marTop w:val="0"/>
                      <w:marBottom w:val="0"/>
                      <w:divBdr>
                        <w:top w:val="none" w:sz="0" w:space="0" w:color="auto"/>
                        <w:left w:val="none" w:sz="0" w:space="0" w:color="auto"/>
                        <w:bottom w:val="none" w:sz="0" w:space="0" w:color="auto"/>
                        <w:right w:val="none" w:sz="0" w:space="0" w:color="auto"/>
                      </w:divBdr>
                    </w:div>
                    <w:div w:id="294156930">
                      <w:marLeft w:val="0"/>
                      <w:marRight w:val="0"/>
                      <w:marTop w:val="0"/>
                      <w:marBottom w:val="0"/>
                      <w:divBdr>
                        <w:top w:val="none" w:sz="0" w:space="0" w:color="auto"/>
                        <w:left w:val="none" w:sz="0" w:space="0" w:color="auto"/>
                        <w:bottom w:val="none" w:sz="0" w:space="0" w:color="auto"/>
                        <w:right w:val="none" w:sz="0" w:space="0" w:color="auto"/>
                      </w:divBdr>
                    </w:div>
                    <w:div w:id="294157238">
                      <w:marLeft w:val="0"/>
                      <w:marRight w:val="0"/>
                      <w:marTop w:val="0"/>
                      <w:marBottom w:val="0"/>
                      <w:divBdr>
                        <w:top w:val="none" w:sz="0" w:space="0" w:color="auto"/>
                        <w:left w:val="none" w:sz="0" w:space="0" w:color="auto"/>
                        <w:bottom w:val="none" w:sz="0" w:space="0" w:color="auto"/>
                        <w:right w:val="none" w:sz="0" w:space="0" w:color="auto"/>
                      </w:divBdr>
                    </w:div>
                    <w:div w:id="294157259">
                      <w:marLeft w:val="0"/>
                      <w:marRight w:val="0"/>
                      <w:marTop w:val="0"/>
                      <w:marBottom w:val="0"/>
                      <w:divBdr>
                        <w:top w:val="none" w:sz="0" w:space="0" w:color="auto"/>
                        <w:left w:val="none" w:sz="0" w:space="0" w:color="auto"/>
                        <w:bottom w:val="none" w:sz="0" w:space="0" w:color="auto"/>
                        <w:right w:val="none" w:sz="0" w:space="0" w:color="auto"/>
                      </w:divBdr>
                    </w:div>
                    <w:div w:id="2941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38430">
      <w:marLeft w:val="0"/>
      <w:marRight w:val="0"/>
      <w:marTop w:val="0"/>
      <w:marBottom w:val="0"/>
      <w:divBdr>
        <w:top w:val="none" w:sz="0" w:space="0" w:color="auto"/>
        <w:left w:val="none" w:sz="0" w:space="0" w:color="auto"/>
        <w:bottom w:val="none" w:sz="0" w:space="0" w:color="auto"/>
        <w:right w:val="none" w:sz="0" w:space="0" w:color="auto"/>
      </w:divBdr>
    </w:div>
    <w:div w:id="294138435">
      <w:marLeft w:val="0"/>
      <w:marRight w:val="0"/>
      <w:marTop w:val="0"/>
      <w:marBottom w:val="0"/>
      <w:divBdr>
        <w:top w:val="none" w:sz="0" w:space="0" w:color="auto"/>
        <w:left w:val="none" w:sz="0" w:space="0" w:color="auto"/>
        <w:bottom w:val="none" w:sz="0" w:space="0" w:color="auto"/>
        <w:right w:val="none" w:sz="0" w:space="0" w:color="auto"/>
      </w:divBdr>
    </w:div>
    <w:div w:id="294138440">
      <w:marLeft w:val="0"/>
      <w:marRight w:val="0"/>
      <w:marTop w:val="0"/>
      <w:marBottom w:val="0"/>
      <w:divBdr>
        <w:top w:val="none" w:sz="0" w:space="0" w:color="auto"/>
        <w:left w:val="none" w:sz="0" w:space="0" w:color="auto"/>
        <w:bottom w:val="none" w:sz="0" w:space="0" w:color="auto"/>
        <w:right w:val="none" w:sz="0" w:space="0" w:color="auto"/>
      </w:divBdr>
    </w:div>
    <w:div w:id="294138449">
      <w:marLeft w:val="0"/>
      <w:marRight w:val="0"/>
      <w:marTop w:val="0"/>
      <w:marBottom w:val="0"/>
      <w:divBdr>
        <w:top w:val="none" w:sz="0" w:space="0" w:color="auto"/>
        <w:left w:val="none" w:sz="0" w:space="0" w:color="auto"/>
        <w:bottom w:val="none" w:sz="0" w:space="0" w:color="auto"/>
        <w:right w:val="none" w:sz="0" w:space="0" w:color="auto"/>
      </w:divBdr>
    </w:div>
    <w:div w:id="294138484">
      <w:marLeft w:val="0"/>
      <w:marRight w:val="0"/>
      <w:marTop w:val="0"/>
      <w:marBottom w:val="0"/>
      <w:divBdr>
        <w:top w:val="none" w:sz="0" w:space="0" w:color="auto"/>
        <w:left w:val="none" w:sz="0" w:space="0" w:color="auto"/>
        <w:bottom w:val="none" w:sz="0" w:space="0" w:color="auto"/>
        <w:right w:val="none" w:sz="0" w:space="0" w:color="auto"/>
      </w:divBdr>
    </w:div>
    <w:div w:id="294138544">
      <w:marLeft w:val="0"/>
      <w:marRight w:val="0"/>
      <w:marTop w:val="0"/>
      <w:marBottom w:val="0"/>
      <w:divBdr>
        <w:top w:val="none" w:sz="0" w:space="0" w:color="auto"/>
        <w:left w:val="none" w:sz="0" w:space="0" w:color="auto"/>
        <w:bottom w:val="none" w:sz="0" w:space="0" w:color="auto"/>
        <w:right w:val="none" w:sz="0" w:space="0" w:color="auto"/>
      </w:divBdr>
    </w:div>
    <w:div w:id="294138585">
      <w:marLeft w:val="0"/>
      <w:marRight w:val="0"/>
      <w:marTop w:val="0"/>
      <w:marBottom w:val="0"/>
      <w:divBdr>
        <w:top w:val="none" w:sz="0" w:space="0" w:color="auto"/>
        <w:left w:val="none" w:sz="0" w:space="0" w:color="auto"/>
        <w:bottom w:val="none" w:sz="0" w:space="0" w:color="auto"/>
        <w:right w:val="none" w:sz="0" w:space="0" w:color="auto"/>
      </w:divBdr>
    </w:div>
    <w:div w:id="294138604">
      <w:marLeft w:val="0"/>
      <w:marRight w:val="0"/>
      <w:marTop w:val="0"/>
      <w:marBottom w:val="0"/>
      <w:divBdr>
        <w:top w:val="none" w:sz="0" w:space="0" w:color="auto"/>
        <w:left w:val="none" w:sz="0" w:space="0" w:color="auto"/>
        <w:bottom w:val="none" w:sz="0" w:space="0" w:color="auto"/>
        <w:right w:val="none" w:sz="0" w:space="0" w:color="auto"/>
      </w:divBdr>
    </w:div>
    <w:div w:id="294138617">
      <w:marLeft w:val="0"/>
      <w:marRight w:val="0"/>
      <w:marTop w:val="0"/>
      <w:marBottom w:val="0"/>
      <w:divBdr>
        <w:top w:val="none" w:sz="0" w:space="0" w:color="auto"/>
        <w:left w:val="none" w:sz="0" w:space="0" w:color="auto"/>
        <w:bottom w:val="none" w:sz="0" w:space="0" w:color="auto"/>
        <w:right w:val="none" w:sz="0" w:space="0" w:color="auto"/>
      </w:divBdr>
    </w:div>
    <w:div w:id="294138727">
      <w:marLeft w:val="0"/>
      <w:marRight w:val="0"/>
      <w:marTop w:val="0"/>
      <w:marBottom w:val="0"/>
      <w:divBdr>
        <w:top w:val="none" w:sz="0" w:space="0" w:color="auto"/>
        <w:left w:val="none" w:sz="0" w:space="0" w:color="auto"/>
        <w:bottom w:val="none" w:sz="0" w:space="0" w:color="auto"/>
        <w:right w:val="none" w:sz="0" w:space="0" w:color="auto"/>
      </w:divBdr>
    </w:div>
    <w:div w:id="294138917">
      <w:marLeft w:val="0"/>
      <w:marRight w:val="0"/>
      <w:marTop w:val="0"/>
      <w:marBottom w:val="0"/>
      <w:divBdr>
        <w:top w:val="none" w:sz="0" w:space="0" w:color="auto"/>
        <w:left w:val="none" w:sz="0" w:space="0" w:color="auto"/>
        <w:bottom w:val="none" w:sz="0" w:space="0" w:color="auto"/>
        <w:right w:val="none" w:sz="0" w:space="0" w:color="auto"/>
      </w:divBdr>
    </w:div>
    <w:div w:id="294138997">
      <w:marLeft w:val="0"/>
      <w:marRight w:val="0"/>
      <w:marTop w:val="0"/>
      <w:marBottom w:val="0"/>
      <w:divBdr>
        <w:top w:val="none" w:sz="0" w:space="0" w:color="auto"/>
        <w:left w:val="none" w:sz="0" w:space="0" w:color="auto"/>
        <w:bottom w:val="none" w:sz="0" w:space="0" w:color="auto"/>
        <w:right w:val="none" w:sz="0" w:space="0" w:color="auto"/>
      </w:divBdr>
      <w:divsChild>
        <w:div w:id="294145220">
          <w:marLeft w:val="230"/>
          <w:marRight w:val="0"/>
          <w:marTop w:val="86"/>
          <w:marBottom w:val="0"/>
          <w:divBdr>
            <w:top w:val="none" w:sz="0" w:space="0" w:color="auto"/>
            <w:left w:val="none" w:sz="0" w:space="0" w:color="auto"/>
            <w:bottom w:val="none" w:sz="0" w:space="0" w:color="auto"/>
            <w:right w:val="none" w:sz="0" w:space="0" w:color="auto"/>
          </w:divBdr>
        </w:div>
        <w:div w:id="294146307">
          <w:marLeft w:val="230"/>
          <w:marRight w:val="0"/>
          <w:marTop w:val="86"/>
          <w:marBottom w:val="0"/>
          <w:divBdr>
            <w:top w:val="none" w:sz="0" w:space="0" w:color="auto"/>
            <w:left w:val="none" w:sz="0" w:space="0" w:color="auto"/>
            <w:bottom w:val="none" w:sz="0" w:space="0" w:color="auto"/>
            <w:right w:val="none" w:sz="0" w:space="0" w:color="auto"/>
          </w:divBdr>
        </w:div>
        <w:div w:id="294149431">
          <w:marLeft w:val="230"/>
          <w:marRight w:val="0"/>
          <w:marTop w:val="86"/>
          <w:marBottom w:val="0"/>
          <w:divBdr>
            <w:top w:val="none" w:sz="0" w:space="0" w:color="auto"/>
            <w:left w:val="none" w:sz="0" w:space="0" w:color="auto"/>
            <w:bottom w:val="none" w:sz="0" w:space="0" w:color="auto"/>
            <w:right w:val="none" w:sz="0" w:space="0" w:color="auto"/>
          </w:divBdr>
        </w:div>
        <w:div w:id="294151225">
          <w:marLeft w:val="230"/>
          <w:marRight w:val="0"/>
          <w:marTop w:val="86"/>
          <w:marBottom w:val="0"/>
          <w:divBdr>
            <w:top w:val="none" w:sz="0" w:space="0" w:color="auto"/>
            <w:left w:val="none" w:sz="0" w:space="0" w:color="auto"/>
            <w:bottom w:val="none" w:sz="0" w:space="0" w:color="auto"/>
            <w:right w:val="none" w:sz="0" w:space="0" w:color="auto"/>
          </w:divBdr>
        </w:div>
        <w:div w:id="294151957">
          <w:marLeft w:val="230"/>
          <w:marRight w:val="0"/>
          <w:marTop w:val="86"/>
          <w:marBottom w:val="0"/>
          <w:divBdr>
            <w:top w:val="none" w:sz="0" w:space="0" w:color="auto"/>
            <w:left w:val="none" w:sz="0" w:space="0" w:color="auto"/>
            <w:bottom w:val="none" w:sz="0" w:space="0" w:color="auto"/>
            <w:right w:val="none" w:sz="0" w:space="0" w:color="auto"/>
          </w:divBdr>
        </w:div>
        <w:div w:id="294152808">
          <w:marLeft w:val="230"/>
          <w:marRight w:val="0"/>
          <w:marTop w:val="86"/>
          <w:marBottom w:val="0"/>
          <w:divBdr>
            <w:top w:val="none" w:sz="0" w:space="0" w:color="auto"/>
            <w:left w:val="none" w:sz="0" w:space="0" w:color="auto"/>
            <w:bottom w:val="none" w:sz="0" w:space="0" w:color="auto"/>
            <w:right w:val="none" w:sz="0" w:space="0" w:color="auto"/>
          </w:divBdr>
        </w:div>
        <w:div w:id="294154680">
          <w:marLeft w:val="230"/>
          <w:marRight w:val="0"/>
          <w:marTop w:val="86"/>
          <w:marBottom w:val="0"/>
          <w:divBdr>
            <w:top w:val="none" w:sz="0" w:space="0" w:color="auto"/>
            <w:left w:val="none" w:sz="0" w:space="0" w:color="auto"/>
            <w:bottom w:val="none" w:sz="0" w:space="0" w:color="auto"/>
            <w:right w:val="none" w:sz="0" w:space="0" w:color="auto"/>
          </w:divBdr>
        </w:div>
      </w:divsChild>
    </w:div>
    <w:div w:id="294139176">
      <w:marLeft w:val="0"/>
      <w:marRight w:val="0"/>
      <w:marTop w:val="0"/>
      <w:marBottom w:val="0"/>
      <w:divBdr>
        <w:top w:val="none" w:sz="0" w:space="0" w:color="auto"/>
        <w:left w:val="none" w:sz="0" w:space="0" w:color="auto"/>
        <w:bottom w:val="none" w:sz="0" w:space="0" w:color="auto"/>
        <w:right w:val="none" w:sz="0" w:space="0" w:color="auto"/>
      </w:divBdr>
      <w:divsChild>
        <w:div w:id="294137992">
          <w:marLeft w:val="0"/>
          <w:marRight w:val="0"/>
          <w:marTop w:val="0"/>
          <w:marBottom w:val="0"/>
          <w:divBdr>
            <w:top w:val="none" w:sz="0" w:space="0" w:color="auto"/>
            <w:left w:val="none" w:sz="0" w:space="0" w:color="auto"/>
            <w:bottom w:val="none" w:sz="0" w:space="0" w:color="auto"/>
            <w:right w:val="none" w:sz="0" w:space="0" w:color="auto"/>
          </w:divBdr>
        </w:div>
        <w:div w:id="294138576">
          <w:marLeft w:val="0"/>
          <w:marRight w:val="0"/>
          <w:marTop w:val="0"/>
          <w:marBottom w:val="0"/>
          <w:divBdr>
            <w:top w:val="none" w:sz="0" w:space="0" w:color="auto"/>
            <w:left w:val="none" w:sz="0" w:space="0" w:color="auto"/>
            <w:bottom w:val="none" w:sz="0" w:space="0" w:color="auto"/>
            <w:right w:val="none" w:sz="0" w:space="0" w:color="auto"/>
          </w:divBdr>
        </w:div>
        <w:div w:id="294139029">
          <w:marLeft w:val="0"/>
          <w:marRight w:val="0"/>
          <w:marTop w:val="0"/>
          <w:marBottom w:val="0"/>
          <w:divBdr>
            <w:top w:val="none" w:sz="0" w:space="0" w:color="auto"/>
            <w:left w:val="none" w:sz="0" w:space="0" w:color="auto"/>
            <w:bottom w:val="none" w:sz="0" w:space="0" w:color="auto"/>
            <w:right w:val="none" w:sz="0" w:space="0" w:color="auto"/>
          </w:divBdr>
        </w:div>
        <w:div w:id="294139133">
          <w:marLeft w:val="0"/>
          <w:marRight w:val="0"/>
          <w:marTop w:val="0"/>
          <w:marBottom w:val="0"/>
          <w:divBdr>
            <w:top w:val="none" w:sz="0" w:space="0" w:color="auto"/>
            <w:left w:val="none" w:sz="0" w:space="0" w:color="auto"/>
            <w:bottom w:val="none" w:sz="0" w:space="0" w:color="auto"/>
            <w:right w:val="none" w:sz="0" w:space="0" w:color="auto"/>
          </w:divBdr>
        </w:div>
        <w:div w:id="294139453">
          <w:marLeft w:val="0"/>
          <w:marRight w:val="0"/>
          <w:marTop w:val="0"/>
          <w:marBottom w:val="0"/>
          <w:divBdr>
            <w:top w:val="none" w:sz="0" w:space="0" w:color="auto"/>
            <w:left w:val="none" w:sz="0" w:space="0" w:color="auto"/>
            <w:bottom w:val="none" w:sz="0" w:space="0" w:color="auto"/>
            <w:right w:val="none" w:sz="0" w:space="0" w:color="auto"/>
          </w:divBdr>
        </w:div>
        <w:div w:id="294139512">
          <w:marLeft w:val="0"/>
          <w:marRight w:val="0"/>
          <w:marTop w:val="0"/>
          <w:marBottom w:val="0"/>
          <w:divBdr>
            <w:top w:val="none" w:sz="0" w:space="0" w:color="auto"/>
            <w:left w:val="none" w:sz="0" w:space="0" w:color="auto"/>
            <w:bottom w:val="none" w:sz="0" w:space="0" w:color="auto"/>
            <w:right w:val="none" w:sz="0" w:space="0" w:color="auto"/>
          </w:divBdr>
        </w:div>
        <w:div w:id="294139933">
          <w:marLeft w:val="0"/>
          <w:marRight w:val="0"/>
          <w:marTop w:val="0"/>
          <w:marBottom w:val="0"/>
          <w:divBdr>
            <w:top w:val="none" w:sz="0" w:space="0" w:color="auto"/>
            <w:left w:val="none" w:sz="0" w:space="0" w:color="auto"/>
            <w:bottom w:val="none" w:sz="0" w:space="0" w:color="auto"/>
            <w:right w:val="none" w:sz="0" w:space="0" w:color="auto"/>
          </w:divBdr>
        </w:div>
        <w:div w:id="294140025">
          <w:marLeft w:val="0"/>
          <w:marRight w:val="0"/>
          <w:marTop w:val="0"/>
          <w:marBottom w:val="0"/>
          <w:divBdr>
            <w:top w:val="none" w:sz="0" w:space="0" w:color="auto"/>
            <w:left w:val="none" w:sz="0" w:space="0" w:color="auto"/>
            <w:bottom w:val="none" w:sz="0" w:space="0" w:color="auto"/>
            <w:right w:val="none" w:sz="0" w:space="0" w:color="auto"/>
          </w:divBdr>
        </w:div>
        <w:div w:id="294140090">
          <w:marLeft w:val="0"/>
          <w:marRight w:val="0"/>
          <w:marTop w:val="0"/>
          <w:marBottom w:val="0"/>
          <w:divBdr>
            <w:top w:val="none" w:sz="0" w:space="0" w:color="auto"/>
            <w:left w:val="none" w:sz="0" w:space="0" w:color="auto"/>
            <w:bottom w:val="none" w:sz="0" w:space="0" w:color="auto"/>
            <w:right w:val="none" w:sz="0" w:space="0" w:color="auto"/>
          </w:divBdr>
        </w:div>
        <w:div w:id="294141300">
          <w:marLeft w:val="0"/>
          <w:marRight w:val="0"/>
          <w:marTop w:val="0"/>
          <w:marBottom w:val="0"/>
          <w:divBdr>
            <w:top w:val="none" w:sz="0" w:space="0" w:color="auto"/>
            <w:left w:val="none" w:sz="0" w:space="0" w:color="auto"/>
            <w:bottom w:val="none" w:sz="0" w:space="0" w:color="auto"/>
            <w:right w:val="none" w:sz="0" w:space="0" w:color="auto"/>
          </w:divBdr>
        </w:div>
        <w:div w:id="294141402">
          <w:marLeft w:val="0"/>
          <w:marRight w:val="0"/>
          <w:marTop w:val="0"/>
          <w:marBottom w:val="0"/>
          <w:divBdr>
            <w:top w:val="none" w:sz="0" w:space="0" w:color="auto"/>
            <w:left w:val="none" w:sz="0" w:space="0" w:color="auto"/>
            <w:bottom w:val="none" w:sz="0" w:space="0" w:color="auto"/>
            <w:right w:val="none" w:sz="0" w:space="0" w:color="auto"/>
          </w:divBdr>
        </w:div>
        <w:div w:id="294141694">
          <w:marLeft w:val="0"/>
          <w:marRight w:val="0"/>
          <w:marTop w:val="0"/>
          <w:marBottom w:val="0"/>
          <w:divBdr>
            <w:top w:val="none" w:sz="0" w:space="0" w:color="auto"/>
            <w:left w:val="none" w:sz="0" w:space="0" w:color="auto"/>
            <w:bottom w:val="none" w:sz="0" w:space="0" w:color="auto"/>
            <w:right w:val="none" w:sz="0" w:space="0" w:color="auto"/>
          </w:divBdr>
        </w:div>
        <w:div w:id="294141749">
          <w:marLeft w:val="0"/>
          <w:marRight w:val="0"/>
          <w:marTop w:val="0"/>
          <w:marBottom w:val="0"/>
          <w:divBdr>
            <w:top w:val="none" w:sz="0" w:space="0" w:color="auto"/>
            <w:left w:val="none" w:sz="0" w:space="0" w:color="auto"/>
            <w:bottom w:val="none" w:sz="0" w:space="0" w:color="auto"/>
            <w:right w:val="none" w:sz="0" w:space="0" w:color="auto"/>
          </w:divBdr>
        </w:div>
        <w:div w:id="294141767">
          <w:marLeft w:val="0"/>
          <w:marRight w:val="0"/>
          <w:marTop w:val="0"/>
          <w:marBottom w:val="0"/>
          <w:divBdr>
            <w:top w:val="none" w:sz="0" w:space="0" w:color="auto"/>
            <w:left w:val="none" w:sz="0" w:space="0" w:color="auto"/>
            <w:bottom w:val="none" w:sz="0" w:space="0" w:color="auto"/>
            <w:right w:val="none" w:sz="0" w:space="0" w:color="auto"/>
          </w:divBdr>
        </w:div>
        <w:div w:id="294141814">
          <w:marLeft w:val="0"/>
          <w:marRight w:val="0"/>
          <w:marTop w:val="0"/>
          <w:marBottom w:val="0"/>
          <w:divBdr>
            <w:top w:val="none" w:sz="0" w:space="0" w:color="auto"/>
            <w:left w:val="none" w:sz="0" w:space="0" w:color="auto"/>
            <w:bottom w:val="none" w:sz="0" w:space="0" w:color="auto"/>
            <w:right w:val="none" w:sz="0" w:space="0" w:color="auto"/>
          </w:divBdr>
        </w:div>
        <w:div w:id="294142944">
          <w:marLeft w:val="0"/>
          <w:marRight w:val="0"/>
          <w:marTop w:val="0"/>
          <w:marBottom w:val="0"/>
          <w:divBdr>
            <w:top w:val="none" w:sz="0" w:space="0" w:color="auto"/>
            <w:left w:val="none" w:sz="0" w:space="0" w:color="auto"/>
            <w:bottom w:val="none" w:sz="0" w:space="0" w:color="auto"/>
            <w:right w:val="none" w:sz="0" w:space="0" w:color="auto"/>
          </w:divBdr>
        </w:div>
        <w:div w:id="294143335">
          <w:marLeft w:val="0"/>
          <w:marRight w:val="0"/>
          <w:marTop w:val="0"/>
          <w:marBottom w:val="0"/>
          <w:divBdr>
            <w:top w:val="none" w:sz="0" w:space="0" w:color="auto"/>
            <w:left w:val="none" w:sz="0" w:space="0" w:color="auto"/>
            <w:bottom w:val="none" w:sz="0" w:space="0" w:color="auto"/>
            <w:right w:val="none" w:sz="0" w:space="0" w:color="auto"/>
          </w:divBdr>
        </w:div>
        <w:div w:id="294143553">
          <w:marLeft w:val="0"/>
          <w:marRight w:val="0"/>
          <w:marTop w:val="0"/>
          <w:marBottom w:val="0"/>
          <w:divBdr>
            <w:top w:val="none" w:sz="0" w:space="0" w:color="auto"/>
            <w:left w:val="none" w:sz="0" w:space="0" w:color="auto"/>
            <w:bottom w:val="none" w:sz="0" w:space="0" w:color="auto"/>
            <w:right w:val="none" w:sz="0" w:space="0" w:color="auto"/>
          </w:divBdr>
        </w:div>
        <w:div w:id="294143644">
          <w:marLeft w:val="0"/>
          <w:marRight w:val="0"/>
          <w:marTop w:val="0"/>
          <w:marBottom w:val="0"/>
          <w:divBdr>
            <w:top w:val="none" w:sz="0" w:space="0" w:color="auto"/>
            <w:left w:val="none" w:sz="0" w:space="0" w:color="auto"/>
            <w:bottom w:val="none" w:sz="0" w:space="0" w:color="auto"/>
            <w:right w:val="none" w:sz="0" w:space="0" w:color="auto"/>
          </w:divBdr>
        </w:div>
        <w:div w:id="294144428">
          <w:marLeft w:val="0"/>
          <w:marRight w:val="0"/>
          <w:marTop w:val="0"/>
          <w:marBottom w:val="0"/>
          <w:divBdr>
            <w:top w:val="none" w:sz="0" w:space="0" w:color="auto"/>
            <w:left w:val="none" w:sz="0" w:space="0" w:color="auto"/>
            <w:bottom w:val="none" w:sz="0" w:space="0" w:color="auto"/>
            <w:right w:val="none" w:sz="0" w:space="0" w:color="auto"/>
          </w:divBdr>
        </w:div>
        <w:div w:id="294144448">
          <w:marLeft w:val="0"/>
          <w:marRight w:val="0"/>
          <w:marTop w:val="0"/>
          <w:marBottom w:val="0"/>
          <w:divBdr>
            <w:top w:val="none" w:sz="0" w:space="0" w:color="auto"/>
            <w:left w:val="none" w:sz="0" w:space="0" w:color="auto"/>
            <w:bottom w:val="none" w:sz="0" w:space="0" w:color="auto"/>
            <w:right w:val="none" w:sz="0" w:space="0" w:color="auto"/>
          </w:divBdr>
        </w:div>
        <w:div w:id="294144536">
          <w:marLeft w:val="0"/>
          <w:marRight w:val="0"/>
          <w:marTop w:val="0"/>
          <w:marBottom w:val="0"/>
          <w:divBdr>
            <w:top w:val="none" w:sz="0" w:space="0" w:color="auto"/>
            <w:left w:val="none" w:sz="0" w:space="0" w:color="auto"/>
            <w:bottom w:val="none" w:sz="0" w:space="0" w:color="auto"/>
            <w:right w:val="none" w:sz="0" w:space="0" w:color="auto"/>
          </w:divBdr>
        </w:div>
        <w:div w:id="294144831">
          <w:marLeft w:val="0"/>
          <w:marRight w:val="0"/>
          <w:marTop w:val="0"/>
          <w:marBottom w:val="0"/>
          <w:divBdr>
            <w:top w:val="none" w:sz="0" w:space="0" w:color="auto"/>
            <w:left w:val="none" w:sz="0" w:space="0" w:color="auto"/>
            <w:bottom w:val="none" w:sz="0" w:space="0" w:color="auto"/>
            <w:right w:val="none" w:sz="0" w:space="0" w:color="auto"/>
          </w:divBdr>
        </w:div>
        <w:div w:id="294145330">
          <w:marLeft w:val="0"/>
          <w:marRight w:val="0"/>
          <w:marTop w:val="0"/>
          <w:marBottom w:val="0"/>
          <w:divBdr>
            <w:top w:val="none" w:sz="0" w:space="0" w:color="auto"/>
            <w:left w:val="none" w:sz="0" w:space="0" w:color="auto"/>
            <w:bottom w:val="none" w:sz="0" w:space="0" w:color="auto"/>
            <w:right w:val="none" w:sz="0" w:space="0" w:color="auto"/>
          </w:divBdr>
        </w:div>
        <w:div w:id="294145656">
          <w:marLeft w:val="0"/>
          <w:marRight w:val="0"/>
          <w:marTop w:val="0"/>
          <w:marBottom w:val="0"/>
          <w:divBdr>
            <w:top w:val="none" w:sz="0" w:space="0" w:color="auto"/>
            <w:left w:val="none" w:sz="0" w:space="0" w:color="auto"/>
            <w:bottom w:val="none" w:sz="0" w:space="0" w:color="auto"/>
            <w:right w:val="none" w:sz="0" w:space="0" w:color="auto"/>
          </w:divBdr>
        </w:div>
        <w:div w:id="294145828">
          <w:marLeft w:val="0"/>
          <w:marRight w:val="0"/>
          <w:marTop w:val="0"/>
          <w:marBottom w:val="0"/>
          <w:divBdr>
            <w:top w:val="none" w:sz="0" w:space="0" w:color="auto"/>
            <w:left w:val="none" w:sz="0" w:space="0" w:color="auto"/>
            <w:bottom w:val="none" w:sz="0" w:space="0" w:color="auto"/>
            <w:right w:val="none" w:sz="0" w:space="0" w:color="auto"/>
          </w:divBdr>
        </w:div>
        <w:div w:id="294145876">
          <w:marLeft w:val="0"/>
          <w:marRight w:val="0"/>
          <w:marTop w:val="0"/>
          <w:marBottom w:val="0"/>
          <w:divBdr>
            <w:top w:val="none" w:sz="0" w:space="0" w:color="auto"/>
            <w:left w:val="none" w:sz="0" w:space="0" w:color="auto"/>
            <w:bottom w:val="none" w:sz="0" w:space="0" w:color="auto"/>
            <w:right w:val="none" w:sz="0" w:space="0" w:color="auto"/>
          </w:divBdr>
        </w:div>
        <w:div w:id="294145949">
          <w:marLeft w:val="0"/>
          <w:marRight w:val="0"/>
          <w:marTop w:val="0"/>
          <w:marBottom w:val="0"/>
          <w:divBdr>
            <w:top w:val="none" w:sz="0" w:space="0" w:color="auto"/>
            <w:left w:val="none" w:sz="0" w:space="0" w:color="auto"/>
            <w:bottom w:val="none" w:sz="0" w:space="0" w:color="auto"/>
            <w:right w:val="none" w:sz="0" w:space="0" w:color="auto"/>
          </w:divBdr>
        </w:div>
        <w:div w:id="294146205">
          <w:marLeft w:val="0"/>
          <w:marRight w:val="0"/>
          <w:marTop w:val="0"/>
          <w:marBottom w:val="0"/>
          <w:divBdr>
            <w:top w:val="none" w:sz="0" w:space="0" w:color="auto"/>
            <w:left w:val="none" w:sz="0" w:space="0" w:color="auto"/>
            <w:bottom w:val="none" w:sz="0" w:space="0" w:color="auto"/>
            <w:right w:val="none" w:sz="0" w:space="0" w:color="auto"/>
          </w:divBdr>
        </w:div>
        <w:div w:id="294146391">
          <w:marLeft w:val="0"/>
          <w:marRight w:val="0"/>
          <w:marTop w:val="0"/>
          <w:marBottom w:val="0"/>
          <w:divBdr>
            <w:top w:val="none" w:sz="0" w:space="0" w:color="auto"/>
            <w:left w:val="none" w:sz="0" w:space="0" w:color="auto"/>
            <w:bottom w:val="none" w:sz="0" w:space="0" w:color="auto"/>
            <w:right w:val="none" w:sz="0" w:space="0" w:color="auto"/>
          </w:divBdr>
        </w:div>
        <w:div w:id="294146721">
          <w:marLeft w:val="0"/>
          <w:marRight w:val="0"/>
          <w:marTop w:val="0"/>
          <w:marBottom w:val="0"/>
          <w:divBdr>
            <w:top w:val="none" w:sz="0" w:space="0" w:color="auto"/>
            <w:left w:val="none" w:sz="0" w:space="0" w:color="auto"/>
            <w:bottom w:val="none" w:sz="0" w:space="0" w:color="auto"/>
            <w:right w:val="none" w:sz="0" w:space="0" w:color="auto"/>
          </w:divBdr>
        </w:div>
        <w:div w:id="294146741">
          <w:marLeft w:val="0"/>
          <w:marRight w:val="0"/>
          <w:marTop w:val="0"/>
          <w:marBottom w:val="0"/>
          <w:divBdr>
            <w:top w:val="none" w:sz="0" w:space="0" w:color="auto"/>
            <w:left w:val="none" w:sz="0" w:space="0" w:color="auto"/>
            <w:bottom w:val="none" w:sz="0" w:space="0" w:color="auto"/>
            <w:right w:val="none" w:sz="0" w:space="0" w:color="auto"/>
          </w:divBdr>
        </w:div>
        <w:div w:id="294146822">
          <w:marLeft w:val="0"/>
          <w:marRight w:val="0"/>
          <w:marTop w:val="0"/>
          <w:marBottom w:val="0"/>
          <w:divBdr>
            <w:top w:val="none" w:sz="0" w:space="0" w:color="auto"/>
            <w:left w:val="none" w:sz="0" w:space="0" w:color="auto"/>
            <w:bottom w:val="none" w:sz="0" w:space="0" w:color="auto"/>
            <w:right w:val="none" w:sz="0" w:space="0" w:color="auto"/>
          </w:divBdr>
        </w:div>
        <w:div w:id="294147237">
          <w:marLeft w:val="0"/>
          <w:marRight w:val="0"/>
          <w:marTop w:val="0"/>
          <w:marBottom w:val="0"/>
          <w:divBdr>
            <w:top w:val="none" w:sz="0" w:space="0" w:color="auto"/>
            <w:left w:val="none" w:sz="0" w:space="0" w:color="auto"/>
            <w:bottom w:val="none" w:sz="0" w:space="0" w:color="auto"/>
            <w:right w:val="none" w:sz="0" w:space="0" w:color="auto"/>
          </w:divBdr>
        </w:div>
        <w:div w:id="294147909">
          <w:marLeft w:val="0"/>
          <w:marRight w:val="0"/>
          <w:marTop w:val="0"/>
          <w:marBottom w:val="0"/>
          <w:divBdr>
            <w:top w:val="none" w:sz="0" w:space="0" w:color="auto"/>
            <w:left w:val="none" w:sz="0" w:space="0" w:color="auto"/>
            <w:bottom w:val="none" w:sz="0" w:space="0" w:color="auto"/>
            <w:right w:val="none" w:sz="0" w:space="0" w:color="auto"/>
          </w:divBdr>
        </w:div>
        <w:div w:id="294147951">
          <w:marLeft w:val="0"/>
          <w:marRight w:val="0"/>
          <w:marTop w:val="0"/>
          <w:marBottom w:val="0"/>
          <w:divBdr>
            <w:top w:val="none" w:sz="0" w:space="0" w:color="auto"/>
            <w:left w:val="none" w:sz="0" w:space="0" w:color="auto"/>
            <w:bottom w:val="none" w:sz="0" w:space="0" w:color="auto"/>
            <w:right w:val="none" w:sz="0" w:space="0" w:color="auto"/>
          </w:divBdr>
        </w:div>
        <w:div w:id="294148058">
          <w:marLeft w:val="0"/>
          <w:marRight w:val="0"/>
          <w:marTop w:val="0"/>
          <w:marBottom w:val="0"/>
          <w:divBdr>
            <w:top w:val="none" w:sz="0" w:space="0" w:color="auto"/>
            <w:left w:val="none" w:sz="0" w:space="0" w:color="auto"/>
            <w:bottom w:val="none" w:sz="0" w:space="0" w:color="auto"/>
            <w:right w:val="none" w:sz="0" w:space="0" w:color="auto"/>
          </w:divBdr>
        </w:div>
        <w:div w:id="294148172">
          <w:marLeft w:val="0"/>
          <w:marRight w:val="0"/>
          <w:marTop w:val="0"/>
          <w:marBottom w:val="0"/>
          <w:divBdr>
            <w:top w:val="none" w:sz="0" w:space="0" w:color="auto"/>
            <w:left w:val="none" w:sz="0" w:space="0" w:color="auto"/>
            <w:bottom w:val="none" w:sz="0" w:space="0" w:color="auto"/>
            <w:right w:val="none" w:sz="0" w:space="0" w:color="auto"/>
          </w:divBdr>
        </w:div>
        <w:div w:id="294148290">
          <w:marLeft w:val="0"/>
          <w:marRight w:val="0"/>
          <w:marTop w:val="0"/>
          <w:marBottom w:val="0"/>
          <w:divBdr>
            <w:top w:val="none" w:sz="0" w:space="0" w:color="auto"/>
            <w:left w:val="none" w:sz="0" w:space="0" w:color="auto"/>
            <w:bottom w:val="none" w:sz="0" w:space="0" w:color="auto"/>
            <w:right w:val="none" w:sz="0" w:space="0" w:color="auto"/>
          </w:divBdr>
        </w:div>
        <w:div w:id="294149322">
          <w:marLeft w:val="0"/>
          <w:marRight w:val="0"/>
          <w:marTop w:val="0"/>
          <w:marBottom w:val="0"/>
          <w:divBdr>
            <w:top w:val="none" w:sz="0" w:space="0" w:color="auto"/>
            <w:left w:val="none" w:sz="0" w:space="0" w:color="auto"/>
            <w:bottom w:val="none" w:sz="0" w:space="0" w:color="auto"/>
            <w:right w:val="none" w:sz="0" w:space="0" w:color="auto"/>
          </w:divBdr>
        </w:div>
        <w:div w:id="294149364">
          <w:marLeft w:val="0"/>
          <w:marRight w:val="0"/>
          <w:marTop w:val="0"/>
          <w:marBottom w:val="0"/>
          <w:divBdr>
            <w:top w:val="none" w:sz="0" w:space="0" w:color="auto"/>
            <w:left w:val="none" w:sz="0" w:space="0" w:color="auto"/>
            <w:bottom w:val="none" w:sz="0" w:space="0" w:color="auto"/>
            <w:right w:val="none" w:sz="0" w:space="0" w:color="auto"/>
          </w:divBdr>
        </w:div>
        <w:div w:id="294149513">
          <w:marLeft w:val="0"/>
          <w:marRight w:val="0"/>
          <w:marTop w:val="0"/>
          <w:marBottom w:val="0"/>
          <w:divBdr>
            <w:top w:val="none" w:sz="0" w:space="0" w:color="auto"/>
            <w:left w:val="none" w:sz="0" w:space="0" w:color="auto"/>
            <w:bottom w:val="none" w:sz="0" w:space="0" w:color="auto"/>
            <w:right w:val="none" w:sz="0" w:space="0" w:color="auto"/>
          </w:divBdr>
        </w:div>
        <w:div w:id="294150072">
          <w:marLeft w:val="0"/>
          <w:marRight w:val="0"/>
          <w:marTop w:val="0"/>
          <w:marBottom w:val="400"/>
          <w:divBdr>
            <w:top w:val="none" w:sz="0" w:space="0" w:color="auto"/>
            <w:left w:val="none" w:sz="0" w:space="0" w:color="auto"/>
            <w:bottom w:val="none" w:sz="0" w:space="0" w:color="auto"/>
            <w:right w:val="none" w:sz="0" w:space="0" w:color="auto"/>
          </w:divBdr>
        </w:div>
        <w:div w:id="294150095">
          <w:marLeft w:val="0"/>
          <w:marRight w:val="0"/>
          <w:marTop w:val="0"/>
          <w:marBottom w:val="0"/>
          <w:divBdr>
            <w:top w:val="none" w:sz="0" w:space="0" w:color="auto"/>
            <w:left w:val="none" w:sz="0" w:space="0" w:color="auto"/>
            <w:bottom w:val="none" w:sz="0" w:space="0" w:color="auto"/>
            <w:right w:val="none" w:sz="0" w:space="0" w:color="auto"/>
          </w:divBdr>
        </w:div>
        <w:div w:id="294150113">
          <w:marLeft w:val="0"/>
          <w:marRight w:val="0"/>
          <w:marTop w:val="0"/>
          <w:marBottom w:val="0"/>
          <w:divBdr>
            <w:top w:val="none" w:sz="0" w:space="0" w:color="auto"/>
            <w:left w:val="none" w:sz="0" w:space="0" w:color="auto"/>
            <w:bottom w:val="none" w:sz="0" w:space="0" w:color="auto"/>
            <w:right w:val="none" w:sz="0" w:space="0" w:color="auto"/>
          </w:divBdr>
        </w:div>
        <w:div w:id="294150333">
          <w:marLeft w:val="0"/>
          <w:marRight w:val="0"/>
          <w:marTop w:val="0"/>
          <w:marBottom w:val="0"/>
          <w:divBdr>
            <w:top w:val="none" w:sz="0" w:space="0" w:color="auto"/>
            <w:left w:val="none" w:sz="0" w:space="0" w:color="auto"/>
            <w:bottom w:val="none" w:sz="0" w:space="0" w:color="auto"/>
            <w:right w:val="none" w:sz="0" w:space="0" w:color="auto"/>
          </w:divBdr>
        </w:div>
        <w:div w:id="294150576">
          <w:marLeft w:val="0"/>
          <w:marRight w:val="0"/>
          <w:marTop w:val="0"/>
          <w:marBottom w:val="0"/>
          <w:divBdr>
            <w:top w:val="none" w:sz="0" w:space="0" w:color="auto"/>
            <w:left w:val="none" w:sz="0" w:space="0" w:color="auto"/>
            <w:bottom w:val="none" w:sz="0" w:space="0" w:color="auto"/>
            <w:right w:val="none" w:sz="0" w:space="0" w:color="auto"/>
          </w:divBdr>
        </w:div>
        <w:div w:id="294150627">
          <w:marLeft w:val="0"/>
          <w:marRight w:val="0"/>
          <w:marTop w:val="0"/>
          <w:marBottom w:val="0"/>
          <w:divBdr>
            <w:top w:val="none" w:sz="0" w:space="0" w:color="auto"/>
            <w:left w:val="none" w:sz="0" w:space="0" w:color="auto"/>
            <w:bottom w:val="none" w:sz="0" w:space="0" w:color="auto"/>
            <w:right w:val="none" w:sz="0" w:space="0" w:color="auto"/>
          </w:divBdr>
        </w:div>
        <w:div w:id="294151218">
          <w:marLeft w:val="0"/>
          <w:marRight w:val="0"/>
          <w:marTop w:val="0"/>
          <w:marBottom w:val="0"/>
          <w:divBdr>
            <w:top w:val="none" w:sz="0" w:space="0" w:color="auto"/>
            <w:left w:val="none" w:sz="0" w:space="0" w:color="auto"/>
            <w:bottom w:val="none" w:sz="0" w:space="0" w:color="auto"/>
            <w:right w:val="none" w:sz="0" w:space="0" w:color="auto"/>
          </w:divBdr>
        </w:div>
        <w:div w:id="294151399">
          <w:marLeft w:val="0"/>
          <w:marRight w:val="0"/>
          <w:marTop w:val="0"/>
          <w:marBottom w:val="0"/>
          <w:divBdr>
            <w:top w:val="none" w:sz="0" w:space="0" w:color="auto"/>
            <w:left w:val="none" w:sz="0" w:space="0" w:color="auto"/>
            <w:bottom w:val="none" w:sz="0" w:space="0" w:color="auto"/>
            <w:right w:val="none" w:sz="0" w:space="0" w:color="auto"/>
          </w:divBdr>
        </w:div>
        <w:div w:id="294151426">
          <w:marLeft w:val="0"/>
          <w:marRight w:val="0"/>
          <w:marTop w:val="0"/>
          <w:marBottom w:val="0"/>
          <w:divBdr>
            <w:top w:val="none" w:sz="0" w:space="0" w:color="auto"/>
            <w:left w:val="none" w:sz="0" w:space="0" w:color="auto"/>
            <w:bottom w:val="none" w:sz="0" w:space="0" w:color="auto"/>
            <w:right w:val="none" w:sz="0" w:space="0" w:color="auto"/>
          </w:divBdr>
        </w:div>
        <w:div w:id="294151432">
          <w:marLeft w:val="0"/>
          <w:marRight w:val="0"/>
          <w:marTop w:val="0"/>
          <w:marBottom w:val="0"/>
          <w:divBdr>
            <w:top w:val="none" w:sz="0" w:space="0" w:color="auto"/>
            <w:left w:val="none" w:sz="0" w:space="0" w:color="auto"/>
            <w:bottom w:val="none" w:sz="0" w:space="0" w:color="auto"/>
            <w:right w:val="none" w:sz="0" w:space="0" w:color="auto"/>
          </w:divBdr>
        </w:div>
        <w:div w:id="294151703">
          <w:marLeft w:val="0"/>
          <w:marRight w:val="0"/>
          <w:marTop w:val="0"/>
          <w:marBottom w:val="0"/>
          <w:divBdr>
            <w:top w:val="none" w:sz="0" w:space="0" w:color="auto"/>
            <w:left w:val="none" w:sz="0" w:space="0" w:color="auto"/>
            <w:bottom w:val="none" w:sz="0" w:space="0" w:color="auto"/>
            <w:right w:val="none" w:sz="0" w:space="0" w:color="auto"/>
          </w:divBdr>
        </w:div>
        <w:div w:id="294152770">
          <w:marLeft w:val="0"/>
          <w:marRight w:val="0"/>
          <w:marTop w:val="0"/>
          <w:marBottom w:val="0"/>
          <w:divBdr>
            <w:top w:val="none" w:sz="0" w:space="0" w:color="auto"/>
            <w:left w:val="none" w:sz="0" w:space="0" w:color="auto"/>
            <w:bottom w:val="none" w:sz="0" w:space="0" w:color="auto"/>
            <w:right w:val="none" w:sz="0" w:space="0" w:color="auto"/>
          </w:divBdr>
        </w:div>
        <w:div w:id="294153122">
          <w:marLeft w:val="0"/>
          <w:marRight w:val="0"/>
          <w:marTop w:val="0"/>
          <w:marBottom w:val="0"/>
          <w:divBdr>
            <w:top w:val="none" w:sz="0" w:space="0" w:color="auto"/>
            <w:left w:val="none" w:sz="0" w:space="0" w:color="auto"/>
            <w:bottom w:val="none" w:sz="0" w:space="0" w:color="auto"/>
            <w:right w:val="none" w:sz="0" w:space="0" w:color="auto"/>
          </w:divBdr>
        </w:div>
        <w:div w:id="294153458">
          <w:marLeft w:val="0"/>
          <w:marRight w:val="0"/>
          <w:marTop w:val="0"/>
          <w:marBottom w:val="0"/>
          <w:divBdr>
            <w:top w:val="none" w:sz="0" w:space="0" w:color="auto"/>
            <w:left w:val="none" w:sz="0" w:space="0" w:color="auto"/>
            <w:bottom w:val="none" w:sz="0" w:space="0" w:color="auto"/>
            <w:right w:val="none" w:sz="0" w:space="0" w:color="auto"/>
          </w:divBdr>
        </w:div>
        <w:div w:id="294153643">
          <w:marLeft w:val="0"/>
          <w:marRight w:val="0"/>
          <w:marTop w:val="0"/>
          <w:marBottom w:val="0"/>
          <w:divBdr>
            <w:top w:val="none" w:sz="0" w:space="0" w:color="auto"/>
            <w:left w:val="none" w:sz="0" w:space="0" w:color="auto"/>
            <w:bottom w:val="none" w:sz="0" w:space="0" w:color="auto"/>
            <w:right w:val="none" w:sz="0" w:space="0" w:color="auto"/>
          </w:divBdr>
        </w:div>
        <w:div w:id="294153681">
          <w:marLeft w:val="0"/>
          <w:marRight w:val="0"/>
          <w:marTop w:val="0"/>
          <w:marBottom w:val="0"/>
          <w:divBdr>
            <w:top w:val="none" w:sz="0" w:space="0" w:color="auto"/>
            <w:left w:val="none" w:sz="0" w:space="0" w:color="auto"/>
            <w:bottom w:val="none" w:sz="0" w:space="0" w:color="auto"/>
            <w:right w:val="none" w:sz="0" w:space="0" w:color="auto"/>
          </w:divBdr>
        </w:div>
        <w:div w:id="294153785">
          <w:marLeft w:val="0"/>
          <w:marRight w:val="0"/>
          <w:marTop w:val="0"/>
          <w:marBottom w:val="0"/>
          <w:divBdr>
            <w:top w:val="none" w:sz="0" w:space="0" w:color="auto"/>
            <w:left w:val="none" w:sz="0" w:space="0" w:color="auto"/>
            <w:bottom w:val="none" w:sz="0" w:space="0" w:color="auto"/>
            <w:right w:val="none" w:sz="0" w:space="0" w:color="auto"/>
          </w:divBdr>
        </w:div>
        <w:div w:id="294153793">
          <w:marLeft w:val="0"/>
          <w:marRight w:val="0"/>
          <w:marTop w:val="0"/>
          <w:marBottom w:val="0"/>
          <w:divBdr>
            <w:top w:val="none" w:sz="0" w:space="0" w:color="auto"/>
            <w:left w:val="none" w:sz="0" w:space="0" w:color="auto"/>
            <w:bottom w:val="none" w:sz="0" w:space="0" w:color="auto"/>
            <w:right w:val="none" w:sz="0" w:space="0" w:color="auto"/>
          </w:divBdr>
        </w:div>
        <w:div w:id="294154004">
          <w:marLeft w:val="0"/>
          <w:marRight w:val="0"/>
          <w:marTop w:val="0"/>
          <w:marBottom w:val="0"/>
          <w:divBdr>
            <w:top w:val="none" w:sz="0" w:space="0" w:color="auto"/>
            <w:left w:val="none" w:sz="0" w:space="0" w:color="auto"/>
            <w:bottom w:val="none" w:sz="0" w:space="0" w:color="auto"/>
            <w:right w:val="none" w:sz="0" w:space="0" w:color="auto"/>
          </w:divBdr>
        </w:div>
        <w:div w:id="294154190">
          <w:marLeft w:val="0"/>
          <w:marRight w:val="0"/>
          <w:marTop w:val="0"/>
          <w:marBottom w:val="0"/>
          <w:divBdr>
            <w:top w:val="none" w:sz="0" w:space="0" w:color="auto"/>
            <w:left w:val="none" w:sz="0" w:space="0" w:color="auto"/>
            <w:bottom w:val="none" w:sz="0" w:space="0" w:color="auto"/>
            <w:right w:val="none" w:sz="0" w:space="0" w:color="auto"/>
          </w:divBdr>
        </w:div>
        <w:div w:id="294154193">
          <w:marLeft w:val="0"/>
          <w:marRight w:val="0"/>
          <w:marTop w:val="0"/>
          <w:marBottom w:val="0"/>
          <w:divBdr>
            <w:top w:val="none" w:sz="0" w:space="0" w:color="auto"/>
            <w:left w:val="none" w:sz="0" w:space="0" w:color="auto"/>
            <w:bottom w:val="none" w:sz="0" w:space="0" w:color="auto"/>
            <w:right w:val="none" w:sz="0" w:space="0" w:color="auto"/>
          </w:divBdr>
        </w:div>
        <w:div w:id="294154503">
          <w:marLeft w:val="0"/>
          <w:marRight w:val="0"/>
          <w:marTop w:val="0"/>
          <w:marBottom w:val="0"/>
          <w:divBdr>
            <w:top w:val="none" w:sz="0" w:space="0" w:color="auto"/>
            <w:left w:val="none" w:sz="0" w:space="0" w:color="auto"/>
            <w:bottom w:val="none" w:sz="0" w:space="0" w:color="auto"/>
            <w:right w:val="none" w:sz="0" w:space="0" w:color="auto"/>
          </w:divBdr>
        </w:div>
        <w:div w:id="294154631">
          <w:marLeft w:val="0"/>
          <w:marRight w:val="0"/>
          <w:marTop w:val="0"/>
          <w:marBottom w:val="0"/>
          <w:divBdr>
            <w:top w:val="none" w:sz="0" w:space="0" w:color="auto"/>
            <w:left w:val="none" w:sz="0" w:space="0" w:color="auto"/>
            <w:bottom w:val="none" w:sz="0" w:space="0" w:color="auto"/>
            <w:right w:val="none" w:sz="0" w:space="0" w:color="auto"/>
          </w:divBdr>
        </w:div>
        <w:div w:id="294154771">
          <w:marLeft w:val="0"/>
          <w:marRight w:val="0"/>
          <w:marTop w:val="0"/>
          <w:marBottom w:val="0"/>
          <w:divBdr>
            <w:top w:val="none" w:sz="0" w:space="0" w:color="auto"/>
            <w:left w:val="none" w:sz="0" w:space="0" w:color="auto"/>
            <w:bottom w:val="none" w:sz="0" w:space="0" w:color="auto"/>
            <w:right w:val="none" w:sz="0" w:space="0" w:color="auto"/>
          </w:divBdr>
        </w:div>
        <w:div w:id="294155641">
          <w:marLeft w:val="0"/>
          <w:marRight w:val="0"/>
          <w:marTop w:val="0"/>
          <w:marBottom w:val="0"/>
          <w:divBdr>
            <w:top w:val="none" w:sz="0" w:space="0" w:color="auto"/>
            <w:left w:val="none" w:sz="0" w:space="0" w:color="auto"/>
            <w:bottom w:val="none" w:sz="0" w:space="0" w:color="auto"/>
            <w:right w:val="none" w:sz="0" w:space="0" w:color="auto"/>
          </w:divBdr>
        </w:div>
        <w:div w:id="294156885">
          <w:marLeft w:val="0"/>
          <w:marRight w:val="0"/>
          <w:marTop w:val="0"/>
          <w:marBottom w:val="0"/>
          <w:divBdr>
            <w:top w:val="none" w:sz="0" w:space="0" w:color="auto"/>
            <w:left w:val="none" w:sz="0" w:space="0" w:color="auto"/>
            <w:bottom w:val="none" w:sz="0" w:space="0" w:color="auto"/>
            <w:right w:val="none" w:sz="0" w:space="0" w:color="auto"/>
          </w:divBdr>
        </w:div>
        <w:div w:id="294157199">
          <w:marLeft w:val="0"/>
          <w:marRight w:val="0"/>
          <w:marTop w:val="0"/>
          <w:marBottom w:val="0"/>
          <w:divBdr>
            <w:top w:val="none" w:sz="0" w:space="0" w:color="auto"/>
            <w:left w:val="none" w:sz="0" w:space="0" w:color="auto"/>
            <w:bottom w:val="none" w:sz="0" w:space="0" w:color="auto"/>
            <w:right w:val="none" w:sz="0" w:space="0" w:color="auto"/>
          </w:divBdr>
        </w:div>
      </w:divsChild>
    </w:div>
    <w:div w:id="294139208">
      <w:marLeft w:val="0"/>
      <w:marRight w:val="0"/>
      <w:marTop w:val="0"/>
      <w:marBottom w:val="0"/>
      <w:divBdr>
        <w:top w:val="none" w:sz="0" w:space="0" w:color="auto"/>
        <w:left w:val="none" w:sz="0" w:space="0" w:color="auto"/>
        <w:bottom w:val="none" w:sz="0" w:space="0" w:color="auto"/>
        <w:right w:val="none" w:sz="0" w:space="0" w:color="auto"/>
      </w:divBdr>
    </w:div>
    <w:div w:id="294139213">
      <w:marLeft w:val="0"/>
      <w:marRight w:val="0"/>
      <w:marTop w:val="0"/>
      <w:marBottom w:val="0"/>
      <w:divBdr>
        <w:top w:val="none" w:sz="0" w:space="0" w:color="auto"/>
        <w:left w:val="none" w:sz="0" w:space="0" w:color="auto"/>
        <w:bottom w:val="none" w:sz="0" w:space="0" w:color="auto"/>
        <w:right w:val="none" w:sz="0" w:space="0" w:color="auto"/>
      </w:divBdr>
      <w:divsChild>
        <w:div w:id="294156712">
          <w:marLeft w:val="0"/>
          <w:marRight w:val="0"/>
          <w:marTop w:val="0"/>
          <w:marBottom w:val="400"/>
          <w:divBdr>
            <w:top w:val="none" w:sz="0" w:space="0" w:color="auto"/>
            <w:left w:val="none" w:sz="0" w:space="0" w:color="auto"/>
            <w:bottom w:val="none" w:sz="0" w:space="0" w:color="auto"/>
            <w:right w:val="none" w:sz="0" w:space="0" w:color="auto"/>
          </w:divBdr>
        </w:div>
      </w:divsChild>
    </w:div>
    <w:div w:id="294139216">
      <w:marLeft w:val="0"/>
      <w:marRight w:val="0"/>
      <w:marTop w:val="0"/>
      <w:marBottom w:val="0"/>
      <w:divBdr>
        <w:top w:val="none" w:sz="0" w:space="0" w:color="auto"/>
        <w:left w:val="none" w:sz="0" w:space="0" w:color="auto"/>
        <w:bottom w:val="none" w:sz="0" w:space="0" w:color="auto"/>
        <w:right w:val="none" w:sz="0" w:space="0" w:color="auto"/>
      </w:divBdr>
    </w:div>
    <w:div w:id="294139247">
      <w:marLeft w:val="0"/>
      <w:marRight w:val="0"/>
      <w:marTop w:val="0"/>
      <w:marBottom w:val="0"/>
      <w:divBdr>
        <w:top w:val="none" w:sz="0" w:space="0" w:color="auto"/>
        <w:left w:val="none" w:sz="0" w:space="0" w:color="auto"/>
        <w:bottom w:val="none" w:sz="0" w:space="0" w:color="auto"/>
        <w:right w:val="none" w:sz="0" w:space="0" w:color="auto"/>
      </w:divBdr>
    </w:div>
    <w:div w:id="294139254">
      <w:marLeft w:val="0"/>
      <w:marRight w:val="0"/>
      <w:marTop w:val="0"/>
      <w:marBottom w:val="0"/>
      <w:divBdr>
        <w:top w:val="none" w:sz="0" w:space="0" w:color="auto"/>
        <w:left w:val="none" w:sz="0" w:space="0" w:color="auto"/>
        <w:bottom w:val="none" w:sz="0" w:space="0" w:color="auto"/>
        <w:right w:val="none" w:sz="0" w:space="0" w:color="auto"/>
      </w:divBdr>
    </w:div>
    <w:div w:id="294139275">
      <w:marLeft w:val="0"/>
      <w:marRight w:val="0"/>
      <w:marTop w:val="0"/>
      <w:marBottom w:val="0"/>
      <w:divBdr>
        <w:top w:val="none" w:sz="0" w:space="0" w:color="auto"/>
        <w:left w:val="none" w:sz="0" w:space="0" w:color="auto"/>
        <w:bottom w:val="none" w:sz="0" w:space="0" w:color="auto"/>
        <w:right w:val="none" w:sz="0" w:space="0" w:color="auto"/>
      </w:divBdr>
    </w:div>
    <w:div w:id="294139373">
      <w:marLeft w:val="0"/>
      <w:marRight w:val="0"/>
      <w:marTop w:val="0"/>
      <w:marBottom w:val="0"/>
      <w:divBdr>
        <w:top w:val="none" w:sz="0" w:space="0" w:color="auto"/>
        <w:left w:val="none" w:sz="0" w:space="0" w:color="auto"/>
        <w:bottom w:val="none" w:sz="0" w:space="0" w:color="auto"/>
        <w:right w:val="none" w:sz="0" w:space="0" w:color="auto"/>
      </w:divBdr>
    </w:div>
    <w:div w:id="294139380">
      <w:marLeft w:val="0"/>
      <w:marRight w:val="0"/>
      <w:marTop w:val="0"/>
      <w:marBottom w:val="0"/>
      <w:divBdr>
        <w:top w:val="none" w:sz="0" w:space="0" w:color="auto"/>
        <w:left w:val="none" w:sz="0" w:space="0" w:color="auto"/>
        <w:bottom w:val="none" w:sz="0" w:space="0" w:color="auto"/>
        <w:right w:val="none" w:sz="0" w:space="0" w:color="auto"/>
      </w:divBdr>
    </w:div>
    <w:div w:id="294139402">
      <w:marLeft w:val="0"/>
      <w:marRight w:val="0"/>
      <w:marTop w:val="0"/>
      <w:marBottom w:val="0"/>
      <w:divBdr>
        <w:top w:val="none" w:sz="0" w:space="0" w:color="auto"/>
        <w:left w:val="none" w:sz="0" w:space="0" w:color="auto"/>
        <w:bottom w:val="none" w:sz="0" w:space="0" w:color="auto"/>
        <w:right w:val="none" w:sz="0" w:space="0" w:color="auto"/>
      </w:divBdr>
    </w:div>
    <w:div w:id="294139422">
      <w:marLeft w:val="0"/>
      <w:marRight w:val="0"/>
      <w:marTop w:val="0"/>
      <w:marBottom w:val="0"/>
      <w:divBdr>
        <w:top w:val="none" w:sz="0" w:space="0" w:color="auto"/>
        <w:left w:val="none" w:sz="0" w:space="0" w:color="auto"/>
        <w:bottom w:val="none" w:sz="0" w:space="0" w:color="auto"/>
        <w:right w:val="none" w:sz="0" w:space="0" w:color="auto"/>
      </w:divBdr>
      <w:divsChild>
        <w:div w:id="294153732">
          <w:marLeft w:val="0"/>
          <w:marRight w:val="0"/>
          <w:marTop w:val="0"/>
          <w:marBottom w:val="0"/>
          <w:divBdr>
            <w:top w:val="none" w:sz="0" w:space="0" w:color="auto"/>
            <w:left w:val="none" w:sz="0" w:space="0" w:color="auto"/>
            <w:bottom w:val="none" w:sz="0" w:space="0" w:color="auto"/>
            <w:right w:val="none" w:sz="0" w:space="0" w:color="auto"/>
          </w:divBdr>
        </w:div>
      </w:divsChild>
    </w:div>
    <w:div w:id="294139473">
      <w:marLeft w:val="0"/>
      <w:marRight w:val="0"/>
      <w:marTop w:val="0"/>
      <w:marBottom w:val="0"/>
      <w:divBdr>
        <w:top w:val="none" w:sz="0" w:space="0" w:color="auto"/>
        <w:left w:val="none" w:sz="0" w:space="0" w:color="auto"/>
        <w:bottom w:val="none" w:sz="0" w:space="0" w:color="auto"/>
        <w:right w:val="none" w:sz="0" w:space="0" w:color="auto"/>
      </w:divBdr>
    </w:div>
    <w:div w:id="294139502">
      <w:marLeft w:val="0"/>
      <w:marRight w:val="0"/>
      <w:marTop w:val="0"/>
      <w:marBottom w:val="0"/>
      <w:divBdr>
        <w:top w:val="none" w:sz="0" w:space="0" w:color="auto"/>
        <w:left w:val="none" w:sz="0" w:space="0" w:color="auto"/>
        <w:bottom w:val="none" w:sz="0" w:space="0" w:color="auto"/>
        <w:right w:val="none" w:sz="0" w:space="0" w:color="auto"/>
      </w:divBdr>
    </w:div>
    <w:div w:id="294139637">
      <w:marLeft w:val="0"/>
      <w:marRight w:val="0"/>
      <w:marTop w:val="0"/>
      <w:marBottom w:val="0"/>
      <w:divBdr>
        <w:top w:val="none" w:sz="0" w:space="0" w:color="auto"/>
        <w:left w:val="none" w:sz="0" w:space="0" w:color="auto"/>
        <w:bottom w:val="none" w:sz="0" w:space="0" w:color="auto"/>
        <w:right w:val="none" w:sz="0" w:space="0" w:color="auto"/>
      </w:divBdr>
    </w:div>
    <w:div w:id="294139695">
      <w:marLeft w:val="0"/>
      <w:marRight w:val="0"/>
      <w:marTop w:val="0"/>
      <w:marBottom w:val="0"/>
      <w:divBdr>
        <w:top w:val="none" w:sz="0" w:space="0" w:color="auto"/>
        <w:left w:val="none" w:sz="0" w:space="0" w:color="auto"/>
        <w:bottom w:val="none" w:sz="0" w:space="0" w:color="auto"/>
        <w:right w:val="none" w:sz="0" w:space="0" w:color="auto"/>
      </w:divBdr>
    </w:div>
    <w:div w:id="294139697">
      <w:marLeft w:val="0"/>
      <w:marRight w:val="0"/>
      <w:marTop w:val="0"/>
      <w:marBottom w:val="0"/>
      <w:divBdr>
        <w:top w:val="none" w:sz="0" w:space="0" w:color="auto"/>
        <w:left w:val="none" w:sz="0" w:space="0" w:color="auto"/>
        <w:bottom w:val="none" w:sz="0" w:space="0" w:color="auto"/>
        <w:right w:val="none" w:sz="0" w:space="0" w:color="auto"/>
      </w:divBdr>
    </w:div>
    <w:div w:id="294139716">
      <w:marLeft w:val="0"/>
      <w:marRight w:val="0"/>
      <w:marTop w:val="0"/>
      <w:marBottom w:val="0"/>
      <w:divBdr>
        <w:top w:val="none" w:sz="0" w:space="0" w:color="auto"/>
        <w:left w:val="none" w:sz="0" w:space="0" w:color="auto"/>
        <w:bottom w:val="none" w:sz="0" w:space="0" w:color="auto"/>
        <w:right w:val="none" w:sz="0" w:space="0" w:color="auto"/>
      </w:divBdr>
      <w:divsChild>
        <w:div w:id="294138219">
          <w:marLeft w:val="547"/>
          <w:marRight w:val="0"/>
          <w:marTop w:val="77"/>
          <w:marBottom w:val="0"/>
          <w:divBdr>
            <w:top w:val="none" w:sz="0" w:space="0" w:color="auto"/>
            <w:left w:val="none" w:sz="0" w:space="0" w:color="auto"/>
            <w:bottom w:val="none" w:sz="0" w:space="0" w:color="auto"/>
            <w:right w:val="none" w:sz="0" w:space="0" w:color="auto"/>
          </w:divBdr>
        </w:div>
        <w:div w:id="294139707">
          <w:marLeft w:val="547"/>
          <w:marRight w:val="0"/>
          <w:marTop w:val="77"/>
          <w:marBottom w:val="0"/>
          <w:divBdr>
            <w:top w:val="none" w:sz="0" w:space="0" w:color="auto"/>
            <w:left w:val="none" w:sz="0" w:space="0" w:color="auto"/>
            <w:bottom w:val="none" w:sz="0" w:space="0" w:color="auto"/>
            <w:right w:val="none" w:sz="0" w:space="0" w:color="auto"/>
          </w:divBdr>
        </w:div>
        <w:div w:id="294139898">
          <w:marLeft w:val="547"/>
          <w:marRight w:val="0"/>
          <w:marTop w:val="77"/>
          <w:marBottom w:val="0"/>
          <w:divBdr>
            <w:top w:val="none" w:sz="0" w:space="0" w:color="auto"/>
            <w:left w:val="none" w:sz="0" w:space="0" w:color="auto"/>
            <w:bottom w:val="none" w:sz="0" w:space="0" w:color="auto"/>
            <w:right w:val="none" w:sz="0" w:space="0" w:color="auto"/>
          </w:divBdr>
        </w:div>
        <w:div w:id="294144612">
          <w:marLeft w:val="547"/>
          <w:marRight w:val="0"/>
          <w:marTop w:val="77"/>
          <w:marBottom w:val="0"/>
          <w:divBdr>
            <w:top w:val="none" w:sz="0" w:space="0" w:color="auto"/>
            <w:left w:val="none" w:sz="0" w:space="0" w:color="auto"/>
            <w:bottom w:val="none" w:sz="0" w:space="0" w:color="auto"/>
            <w:right w:val="none" w:sz="0" w:space="0" w:color="auto"/>
          </w:divBdr>
        </w:div>
        <w:div w:id="294149865">
          <w:marLeft w:val="547"/>
          <w:marRight w:val="0"/>
          <w:marTop w:val="77"/>
          <w:marBottom w:val="0"/>
          <w:divBdr>
            <w:top w:val="none" w:sz="0" w:space="0" w:color="auto"/>
            <w:left w:val="none" w:sz="0" w:space="0" w:color="auto"/>
            <w:bottom w:val="none" w:sz="0" w:space="0" w:color="auto"/>
            <w:right w:val="none" w:sz="0" w:space="0" w:color="auto"/>
          </w:divBdr>
        </w:div>
        <w:div w:id="294153389">
          <w:marLeft w:val="547"/>
          <w:marRight w:val="0"/>
          <w:marTop w:val="77"/>
          <w:marBottom w:val="0"/>
          <w:divBdr>
            <w:top w:val="none" w:sz="0" w:space="0" w:color="auto"/>
            <w:left w:val="none" w:sz="0" w:space="0" w:color="auto"/>
            <w:bottom w:val="none" w:sz="0" w:space="0" w:color="auto"/>
            <w:right w:val="none" w:sz="0" w:space="0" w:color="auto"/>
          </w:divBdr>
        </w:div>
        <w:div w:id="294153411">
          <w:marLeft w:val="547"/>
          <w:marRight w:val="0"/>
          <w:marTop w:val="77"/>
          <w:marBottom w:val="0"/>
          <w:divBdr>
            <w:top w:val="none" w:sz="0" w:space="0" w:color="auto"/>
            <w:left w:val="none" w:sz="0" w:space="0" w:color="auto"/>
            <w:bottom w:val="none" w:sz="0" w:space="0" w:color="auto"/>
            <w:right w:val="none" w:sz="0" w:space="0" w:color="auto"/>
          </w:divBdr>
        </w:div>
      </w:divsChild>
    </w:div>
    <w:div w:id="294139718">
      <w:marLeft w:val="0"/>
      <w:marRight w:val="0"/>
      <w:marTop w:val="0"/>
      <w:marBottom w:val="0"/>
      <w:divBdr>
        <w:top w:val="none" w:sz="0" w:space="0" w:color="auto"/>
        <w:left w:val="none" w:sz="0" w:space="0" w:color="auto"/>
        <w:bottom w:val="none" w:sz="0" w:space="0" w:color="auto"/>
        <w:right w:val="none" w:sz="0" w:space="0" w:color="auto"/>
      </w:divBdr>
      <w:divsChild>
        <w:div w:id="294140505">
          <w:marLeft w:val="0"/>
          <w:marRight w:val="0"/>
          <w:marTop w:val="0"/>
          <w:marBottom w:val="0"/>
          <w:divBdr>
            <w:top w:val="none" w:sz="0" w:space="0" w:color="auto"/>
            <w:left w:val="none" w:sz="0" w:space="0" w:color="auto"/>
            <w:bottom w:val="none" w:sz="0" w:space="0" w:color="auto"/>
            <w:right w:val="none" w:sz="0" w:space="0" w:color="auto"/>
          </w:divBdr>
          <w:divsChild>
            <w:div w:id="294139282">
              <w:marLeft w:val="0"/>
              <w:marRight w:val="0"/>
              <w:marTop w:val="0"/>
              <w:marBottom w:val="0"/>
              <w:divBdr>
                <w:top w:val="none" w:sz="0" w:space="0" w:color="auto"/>
                <w:left w:val="none" w:sz="0" w:space="0" w:color="auto"/>
                <w:bottom w:val="none" w:sz="0" w:space="0" w:color="auto"/>
                <w:right w:val="none" w:sz="0" w:space="0" w:color="auto"/>
              </w:divBdr>
              <w:divsChild>
                <w:div w:id="29414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0564">
          <w:marLeft w:val="0"/>
          <w:marRight w:val="0"/>
          <w:marTop w:val="0"/>
          <w:marBottom w:val="0"/>
          <w:divBdr>
            <w:top w:val="none" w:sz="0" w:space="0" w:color="auto"/>
            <w:left w:val="none" w:sz="0" w:space="0" w:color="auto"/>
            <w:bottom w:val="none" w:sz="0" w:space="0" w:color="auto"/>
            <w:right w:val="none" w:sz="0" w:space="0" w:color="auto"/>
          </w:divBdr>
          <w:divsChild>
            <w:div w:id="294140806">
              <w:marLeft w:val="0"/>
              <w:marRight w:val="0"/>
              <w:marTop w:val="0"/>
              <w:marBottom w:val="0"/>
              <w:divBdr>
                <w:top w:val="none" w:sz="0" w:space="0" w:color="auto"/>
                <w:left w:val="none" w:sz="0" w:space="0" w:color="auto"/>
                <w:bottom w:val="none" w:sz="0" w:space="0" w:color="auto"/>
                <w:right w:val="none" w:sz="0" w:space="0" w:color="auto"/>
              </w:divBdr>
              <w:divsChild>
                <w:div w:id="294137999">
                  <w:marLeft w:val="0"/>
                  <w:marRight w:val="0"/>
                  <w:marTop w:val="0"/>
                  <w:marBottom w:val="0"/>
                  <w:divBdr>
                    <w:top w:val="none" w:sz="0" w:space="0" w:color="auto"/>
                    <w:left w:val="none" w:sz="0" w:space="0" w:color="auto"/>
                    <w:bottom w:val="none" w:sz="0" w:space="0" w:color="auto"/>
                    <w:right w:val="none" w:sz="0" w:space="0" w:color="auto"/>
                  </w:divBdr>
                </w:div>
                <w:div w:id="294138025">
                  <w:marLeft w:val="0"/>
                  <w:marRight w:val="0"/>
                  <w:marTop w:val="0"/>
                  <w:marBottom w:val="0"/>
                  <w:divBdr>
                    <w:top w:val="none" w:sz="0" w:space="0" w:color="auto"/>
                    <w:left w:val="none" w:sz="0" w:space="0" w:color="auto"/>
                    <w:bottom w:val="none" w:sz="0" w:space="0" w:color="auto"/>
                    <w:right w:val="none" w:sz="0" w:space="0" w:color="auto"/>
                  </w:divBdr>
                </w:div>
                <w:div w:id="294138047">
                  <w:marLeft w:val="0"/>
                  <w:marRight w:val="0"/>
                  <w:marTop w:val="0"/>
                  <w:marBottom w:val="0"/>
                  <w:divBdr>
                    <w:top w:val="none" w:sz="0" w:space="0" w:color="auto"/>
                    <w:left w:val="none" w:sz="0" w:space="0" w:color="auto"/>
                    <w:bottom w:val="none" w:sz="0" w:space="0" w:color="auto"/>
                    <w:right w:val="none" w:sz="0" w:space="0" w:color="auto"/>
                  </w:divBdr>
                </w:div>
                <w:div w:id="294138079">
                  <w:marLeft w:val="0"/>
                  <w:marRight w:val="0"/>
                  <w:marTop w:val="0"/>
                  <w:marBottom w:val="0"/>
                  <w:divBdr>
                    <w:top w:val="none" w:sz="0" w:space="0" w:color="auto"/>
                    <w:left w:val="none" w:sz="0" w:space="0" w:color="auto"/>
                    <w:bottom w:val="none" w:sz="0" w:space="0" w:color="auto"/>
                    <w:right w:val="none" w:sz="0" w:space="0" w:color="auto"/>
                  </w:divBdr>
                </w:div>
                <w:div w:id="294138153">
                  <w:marLeft w:val="0"/>
                  <w:marRight w:val="0"/>
                  <w:marTop w:val="0"/>
                  <w:marBottom w:val="0"/>
                  <w:divBdr>
                    <w:top w:val="none" w:sz="0" w:space="0" w:color="auto"/>
                    <w:left w:val="none" w:sz="0" w:space="0" w:color="auto"/>
                    <w:bottom w:val="none" w:sz="0" w:space="0" w:color="auto"/>
                    <w:right w:val="none" w:sz="0" w:space="0" w:color="auto"/>
                  </w:divBdr>
                </w:div>
                <w:div w:id="294138196">
                  <w:marLeft w:val="0"/>
                  <w:marRight w:val="0"/>
                  <w:marTop w:val="0"/>
                  <w:marBottom w:val="0"/>
                  <w:divBdr>
                    <w:top w:val="none" w:sz="0" w:space="0" w:color="auto"/>
                    <w:left w:val="none" w:sz="0" w:space="0" w:color="auto"/>
                    <w:bottom w:val="none" w:sz="0" w:space="0" w:color="auto"/>
                    <w:right w:val="none" w:sz="0" w:space="0" w:color="auto"/>
                  </w:divBdr>
                </w:div>
                <w:div w:id="294138244">
                  <w:marLeft w:val="0"/>
                  <w:marRight w:val="0"/>
                  <w:marTop w:val="0"/>
                  <w:marBottom w:val="0"/>
                  <w:divBdr>
                    <w:top w:val="none" w:sz="0" w:space="0" w:color="auto"/>
                    <w:left w:val="none" w:sz="0" w:space="0" w:color="auto"/>
                    <w:bottom w:val="none" w:sz="0" w:space="0" w:color="auto"/>
                    <w:right w:val="none" w:sz="0" w:space="0" w:color="auto"/>
                  </w:divBdr>
                </w:div>
                <w:div w:id="294138323">
                  <w:marLeft w:val="0"/>
                  <w:marRight w:val="0"/>
                  <w:marTop w:val="0"/>
                  <w:marBottom w:val="0"/>
                  <w:divBdr>
                    <w:top w:val="none" w:sz="0" w:space="0" w:color="auto"/>
                    <w:left w:val="none" w:sz="0" w:space="0" w:color="auto"/>
                    <w:bottom w:val="none" w:sz="0" w:space="0" w:color="auto"/>
                    <w:right w:val="none" w:sz="0" w:space="0" w:color="auto"/>
                  </w:divBdr>
                </w:div>
                <w:div w:id="294138393">
                  <w:marLeft w:val="0"/>
                  <w:marRight w:val="0"/>
                  <w:marTop w:val="0"/>
                  <w:marBottom w:val="0"/>
                  <w:divBdr>
                    <w:top w:val="none" w:sz="0" w:space="0" w:color="auto"/>
                    <w:left w:val="none" w:sz="0" w:space="0" w:color="auto"/>
                    <w:bottom w:val="none" w:sz="0" w:space="0" w:color="auto"/>
                    <w:right w:val="none" w:sz="0" w:space="0" w:color="auto"/>
                  </w:divBdr>
                </w:div>
                <w:div w:id="294138401">
                  <w:marLeft w:val="0"/>
                  <w:marRight w:val="0"/>
                  <w:marTop w:val="0"/>
                  <w:marBottom w:val="0"/>
                  <w:divBdr>
                    <w:top w:val="none" w:sz="0" w:space="0" w:color="auto"/>
                    <w:left w:val="none" w:sz="0" w:space="0" w:color="auto"/>
                    <w:bottom w:val="none" w:sz="0" w:space="0" w:color="auto"/>
                    <w:right w:val="none" w:sz="0" w:space="0" w:color="auto"/>
                  </w:divBdr>
                </w:div>
                <w:div w:id="294138478">
                  <w:marLeft w:val="0"/>
                  <w:marRight w:val="0"/>
                  <w:marTop w:val="0"/>
                  <w:marBottom w:val="0"/>
                  <w:divBdr>
                    <w:top w:val="none" w:sz="0" w:space="0" w:color="auto"/>
                    <w:left w:val="none" w:sz="0" w:space="0" w:color="auto"/>
                    <w:bottom w:val="none" w:sz="0" w:space="0" w:color="auto"/>
                    <w:right w:val="none" w:sz="0" w:space="0" w:color="auto"/>
                  </w:divBdr>
                </w:div>
                <w:div w:id="294138909">
                  <w:marLeft w:val="0"/>
                  <w:marRight w:val="0"/>
                  <w:marTop w:val="0"/>
                  <w:marBottom w:val="0"/>
                  <w:divBdr>
                    <w:top w:val="none" w:sz="0" w:space="0" w:color="auto"/>
                    <w:left w:val="none" w:sz="0" w:space="0" w:color="auto"/>
                    <w:bottom w:val="none" w:sz="0" w:space="0" w:color="auto"/>
                    <w:right w:val="none" w:sz="0" w:space="0" w:color="auto"/>
                  </w:divBdr>
                </w:div>
                <w:div w:id="294138954">
                  <w:marLeft w:val="0"/>
                  <w:marRight w:val="0"/>
                  <w:marTop w:val="0"/>
                  <w:marBottom w:val="0"/>
                  <w:divBdr>
                    <w:top w:val="none" w:sz="0" w:space="0" w:color="auto"/>
                    <w:left w:val="none" w:sz="0" w:space="0" w:color="auto"/>
                    <w:bottom w:val="none" w:sz="0" w:space="0" w:color="auto"/>
                    <w:right w:val="none" w:sz="0" w:space="0" w:color="auto"/>
                  </w:divBdr>
                </w:div>
                <w:div w:id="294138994">
                  <w:marLeft w:val="0"/>
                  <w:marRight w:val="0"/>
                  <w:marTop w:val="0"/>
                  <w:marBottom w:val="0"/>
                  <w:divBdr>
                    <w:top w:val="none" w:sz="0" w:space="0" w:color="auto"/>
                    <w:left w:val="none" w:sz="0" w:space="0" w:color="auto"/>
                    <w:bottom w:val="none" w:sz="0" w:space="0" w:color="auto"/>
                    <w:right w:val="none" w:sz="0" w:space="0" w:color="auto"/>
                  </w:divBdr>
                </w:div>
                <w:div w:id="294139154">
                  <w:marLeft w:val="0"/>
                  <w:marRight w:val="0"/>
                  <w:marTop w:val="0"/>
                  <w:marBottom w:val="0"/>
                  <w:divBdr>
                    <w:top w:val="none" w:sz="0" w:space="0" w:color="auto"/>
                    <w:left w:val="none" w:sz="0" w:space="0" w:color="auto"/>
                    <w:bottom w:val="none" w:sz="0" w:space="0" w:color="auto"/>
                    <w:right w:val="none" w:sz="0" w:space="0" w:color="auto"/>
                  </w:divBdr>
                </w:div>
                <w:div w:id="294139372">
                  <w:marLeft w:val="0"/>
                  <w:marRight w:val="0"/>
                  <w:marTop w:val="0"/>
                  <w:marBottom w:val="0"/>
                  <w:divBdr>
                    <w:top w:val="none" w:sz="0" w:space="0" w:color="auto"/>
                    <w:left w:val="none" w:sz="0" w:space="0" w:color="auto"/>
                    <w:bottom w:val="none" w:sz="0" w:space="0" w:color="auto"/>
                    <w:right w:val="none" w:sz="0" w:space="0" w:color="auto"/>
                  </w:divBdr>
                </w:div>
                <w:div w:id="294139692">
                  <w:marLeft w:val="0"/>
                  <w:marRight w:val="0"/>
                  <w:marTop w:val="0"/>
                  <w:marBottom w:val="0"/>
                  <w:divBdr>
                    <w:top w:val="none" w:sz="0" w:space="0" w:color="auto"/>
                    <w:left w:val="none" w:sz="0" w:space="0" w:color="auto"/>
                    <w:bottom w:val="none" w:sz="0" w:space="0" w:color="auto"/>
                    <w:right w:val="none" w:sz="0" w:space="0" w:color="auto"/>
                  </w:divBdr>
                </w:div>
                <w:div w:id="294139719">
                  <w:marLeft w:val="0"/>
                  <w:marRight w:val="0"/>
                  <w:marTop w:val="0"/>
                  <w:marBottom w:val="0"/>
                  <w:divBdr>
                    <w:top w:val="none" w:sz="0" w:space="0" w:color="auto"/>
                    <w:left w:val="none" w:sz="0" w:space="0" w:color="auto"/>
                    <w:bottom w:val="none" w:sz="0" w:space="0" w:color="auto"/>
                    <w:right w:val="none" w:sz="0" w:space="0" w:color="auto"/>
                  </w:divBdr>
                </w:div>
                <w:div w:id="294139941">
                  <w:marLeft w:val="0"/>
                  <w:marRight w:val="0"/>
                  <w:marTop w:val="0"/>
                  <w:marBottom w:val="0"/>
                  <w:divBdr>
                    <w:top w:val="none" w:sz="0" w:space="0" w:color="auto"/>
                    <w:left w:val="none" w:sz="0" w:space="0" w:color="auto"/>
                    <w:bottom w:val="none" w:sz="0" w:space="0" w:color="auto"/>
                    <w:right w:val="none" w:sz="0" w:space="0" w:color="auto"/>
                  </w:divBdr>
                </w:div>
                <w:div w:id="294139973">
                  <w:marLeft w:val="0"/>
                  <w:marRight w:val="0"/>
                  <w:marTop w:val="0"/>
                  <w:marBottom w:val="0"/>
                  <w:divBdr>
                    <w:top w:val="none" w:sz="0" w:space="0" w:color="auto"/>
                    <w:left w:val="none" w:sz="0" w:space="0" w:color="auto"/>
                    <w:bottom w:val="none" w:sz="0" w:space="0" w:color="auto"/>
                    <w:right w:val="none" w:sz="0" w:space="0" w:color="auto"/>
                  </w:divBdr>
                </w:div>
                <w:div w:id="294140146">
                  <w:marLeft w:val="0"/>
                  <w:marRight w:val="0"/>
                  <w:marTop w:val="0"/>
                  <w:marBottom w:val="0"/>
                  <w:divBdr>
                    <w:top w:val="none" w:sz="0" w:space="0" w:color="auto"/>
                    <w:left w:val="none" w:sz="0" w:space="0" w:color="auto"/>
                    <w:bottom w:val="none" w:sz="0" w:space="0" w:color="auto"/>
                    <w:right w:val="none" w:sz="0" w:space="0" w:color="auto"/>
                  </w:divBdr>
                </w:div>
                <w:div w:id="294140191">
                  <w:marLeft w:val="0"/>
                  <w:marRight w:val="0"/>
                  <w:marTop w:val="0"/>
                  <w:marBottom w:val="0"/>
                  <w:divBdr>
                    <w:top w:val="none" w:sz="0" w:space="0" w:color="auto"/>
                    <w:left w:val="none" w:sz="0" w:space="0" w:color="auto"/>
                    <w:bottom w:val="none" w:sz="0" w:space="0" w:color="auto"/>
                    <w:right w:val="none" w:sz="0" w:space="0" w:color="auto"/>
                  </w:divBdr>
                </w:div>
                <w:div w:id="294140268">
                  <w:marLeft w:val="0"/>
                  <w:marRight w:val="0"/>
                  <w:marTop w:val="0"/>
                  <w:marBottom w:val="0"/>
                  <w:divBdr>
                    <w:top w:val="none" w:sz="0" w:space="0" w:color="auto"/>
                    <w:left w:val="none" w:sz="0" w:space="0" w:color="auto"/>
                    <w:bottom w:val="none" w:sz="0" w:space="0" w:color="auto"/>
                    <w:right w:val="none" w:sz="0" w:space="0" w:color="auto"/>
                  </w:divBdr>
                </w:div>
                <w:div w:id="294140673">
                  <w:marLeft w:val="0"/>
                  <w:marRight w:val="0"/>
                  <w:marTop w:val="0"/>
                  <w:marBottom w:val="0"/>
                  <w:divBdr>
                    <w:top w:val="none" w:sz="0" w:space="0" w:color="auto"/>
                    <w:left w:val="none" w:sz="0" w:space="0" w:color="auto"/>
                    <w:bottom w:val="none" w:sz="0" w:space="0" w:color="auto"/>
                    <w:right w:val="none" w:sz="0" w:space="0" w:color="auto"/>
                  </w:divBdr>
                </w:div>
                <w:div w:id="294140790">
                  <w:marLeft w:val="0"/>
                  <w:marRight w:val="0"/>
                  <w:marTop w:val="0"/>
                  <w:marBottom w:val="0"/>
                  <w:divBdr>
                    <w:top w:val="none" w:sz="0" w:space="0" w:color="auto"/>
                    <w:left w:val="none" w:sz="0" w:space="0" w:color="auto"/>
                    <w:bottom w:val="none" w:sz="0" w:space="0" w:color="auto"/>
                    <w:right w:val="none" w:sz="0" w:space="0" w:color="auto"/>
                  </w:divBdr>
                </w:div>
                <w:div w:id="294140841">
                  <w:marLeft w:val="0"/>
                  <w:marRight w:val="0"/>
                  <w:marTop w:val="0"/>
                  <w:marBottom w:val="0"/>
                  <w:divBdr>
                    <w:top w:val="none" w:sz="0" w:space="0" w:color="auto"/>
                    <w:left w:val="none" w:sz="0" w:space="0" w:color="auto"/>
                    <w:bottom w:val="none" w:sz="0" w:space="0" w:color="auto"/>
                    <w:right w:val="none" w:sz="0" w:space="0" w:color="auto"/>
                  </w:divBdr>
                </w:div>
                <w:div w:id="294140846">
                  <w:marLeft w:val="0"/>
                  <w:marRight w:val="0"/>
                  <w:marTop w:val="0"/>
                  <w:marBottom w:val="0"/>
                  <w:divBdr>
                    <w:top w:val="none" w:sz="0" w:space="0" w:color="auto"/>
                    <w:left w:val="none" w:sz="0" w:space="0" w:color="auto"/>
                    <w:bottom w:val="none" w:sz="0" w:space="0" w:color="auto"/>
                    <w:right w:val="none" w:sz="0" w:space="0" w:color="auto"/>
                  </w:divBdr>
                </w:div>
                <w:div w:id="294140993">
                  <w:marLeft w:val="0"/>
                  <w:marRight w:val="0"/>
                  <w:marTop w:val="0"/>
                  <w:marBottom w:val="0"/>
                  <w:divBdr>
                    <w:top w:val="none" w:sz="0" w:space="0" w:color="auto"/>
                    <w:left w:val="none" w:sz="0" w:space="0" w:color="auto"/>
                    <w:bottom w:val="none" w:sz="0" w:space="0" w:color="auto"/>
                    <w:right w:val="none" w:sz="0" w:space="0" w:color="auto"/>
                  </w:divBdr>
                </w:div>
                <w:div w:id="294141195">
                  <w:marLeft w:val="0"/>
                  <w:marRight w:val="0"/>
                  <w:marTop w:val="0"/>
                  <w:marBottom w:val="0"/>
                  <w:divBdr>
                    <w:top w:val="none" w:sz="0" w:space="0" w:color="auto"/>
                    <w:left w:val="none" w:sz="0" w:space="0" w:color="auto"/>
                    <w:bottom w:val="none" w:sz="0" w:space="0" w:color="auto"/>
                    <w:right w:val="none" w:sz="0" w:space="0" w:color="auto"/>
                  </w:divBdr>
                </w:div>
                <w:div w:id="294141290">
                  <w:marLeft w:val="0"/>
                  <w:marRight w:val="0"/>
                  <w:marTop w:val="0"/>
                  <w:marBottom w:val="0"/>
                  <w:divBdr>
                    <w:top w:val="none" w:sz="0" w:space="0" w:color="auto"/>
                    <w:left w:val="none" w:sz="0" w:space="0" w:color="auto"/>
                    <w:bottom w:val="none" w:sz="0" w:space="0" w:color="auto"/>
                    <w:right w:val="none" w:sz="0" w:space="0" w:color="auto"/>
                  </w:divBdr>
                </w:div>
                <w:div w:id="294141426">
                  <w:marLeft w:val="0"/>
                  <w:marRight w:val="0"/>
                  <w:marTop w:val="0"/>
                  <w:marBottom w:val="0"/>
                  <w:divBdr>
                    <w:top w:val="none" w:sz="0" w:space="0" w:color="auto"/>
                    <w:left w:val="none" w:sz="0" w:space="0" w:color="auto"/>
                    <w:bottom w:val="none" w:sz="0" w:space="0" w:color="auto"/>
                    <w:right w:val="none" w:sz="0" w:space="0" w:color="auto"/>
                  </w:divBdr>
                </w:div>
                <w:div w:id="294141470">
                  <w:marLeft w:val="0"/>
                  <w:marRight w:val="0"/>
                  <w:marTop w:val="0"/>
                  <w:marBottom w:val="0"/>
                  <w:divBdr>
                    <w:top w:val="none" w:sz="0" w:space="0" w:color="auto"/>
                    <w:left w:val="none" w:sz="0" w:space="0" w:color="auto"/>
                    <w:bottom w:val="none" w:sz="0" w:space="0" w:color="auto"/>
                    <w:right w:val="none" w:sz="0" w:space="0" w:color="auto"/>
                  </w:divBdr>
                </w:div>
                <w:div w:id="294141554">
                  <w:marLeft w:val="0"/>
                  <w:marRight w:val="0"/>
                  <w:marTop w:val="0"/>
                  <w:marBottom w:val="0"/>
                  <w:divBdr>
                    <w:top w:val="none" w:sz="0" w:space="0" w:color="auto"/>
                    <w:left w:val="none" w:sz="0" w:space="0" w:color="auto"/>
                    <w:bottom w:val="none" w:sz="0" w:space="0" w:color="auto"/>
                    <w:right w:val="none" w:sz="0" w:space="0" w:color="auto"/>
                  </w:divBdr>
                </w:div>
                <w:div w:id="294141714">
                  <w:marLeft w:val="0"/>
                  <w:marRight w:val="0"/>
                  <w:marTop w:val="0"/>
                  <w:marBottom w:val="0"/>
                  <w:divBdr>
                    <w:top w:val="none" w:sz="0" w:space="0" w:color="auto"/>
                    <w:left w:val="none" w:sz="0" w:space="0" w:color="auto"/>
                    <w:bottom w:val="none" w:sz="0" w:space="0" w:color="auto"/>
                    <w:right w:val="none" w:sz="0" w:space="0" w:color="auto"/>
                  </w:divBdr>
                </w:div>
                <w:div w:id="294142134">
                  <w:marLeft w:val="0"/>
                  <w:marRight w:val="0"/>
                  <w:marTop w:val="0"/>
                  <w:marBottom w:val="0"/>
                  <w:divBdr>
                    <w:top w:val="none" w:sz="0" w:space="0" w:color="auto"/>
                    <w:left w:val="none" w:sz="0" w:space="0" w:color="auto"/>
                    <w:bottom w:val="none" w:sz="0" w:space="0" w:color="auto"/>
                    <w:right w:val="none" w:sz="0" w:space="0" w:color="auto"/>
                  </w:divBdr>
                </w:div>
                <w:div w:id="294142221">
                  <w:marLeft w:val="0"/>
                  <w:marRight w:val="0"/>
                  <w:marTop w:val="0"/>
                  <w:marBottom w:val="0"/>
                  <w:divBdr>
                    <w:top w:val="none" w:sz="0" w:space="0" w:color="auto"/>
                    <w:left w:val="none" w:sz="0" w:space="0" w:color="auto"/>
                    <w:bottom w:val="none" w:sz="0" w:space="0" w:color="auto"/>
                    <w:right w:val="none" w:sz="0" w:space="0" w:color="auto"/>
                  </w:divBdr>
                </w:div>
                <w:div w:id="294142523">
                  <w:marLeft w:val="0"/>
                  <w:marRight w:val="0"/>
                  <w:marTop w:val="0"/>
                  <w:marBottom w:val="0"/>
                  <w:divBdr>
                    <w:top w:val="none" w:sz="0" w:space="0" w:color="auto"/>
                    <w:left w:val="none" w:sz="0" w:space="0" w:color="auto"/>
                    <w:bottom w:val="none" w:sz="0" w:space="0" w:color="auto"/>
                    <w:right w:val="none" w:sz="0" w:space="0" w:color="auto"/>
                  </w:divBdr>
                </w:div>
                <w:div w:id="294142875">
                  <w:marLeft w:val="0"/>
                  <w:marRight w:val="0"/>
                  <w:marTop w:val="0"/>
                  <w:marBottom w:val="0"/>
                  <w:divBdr>
                    <w:top w:val="none" w:sz="0" w:space="0" w:color="auto"/>
                    <w:left w:val="none" w:sz="0" w:space="0" w:color="auto"/>
                    <w:bottom w:val="none" w:sz="0" w:space="0" w:color="auto"/>
                    <w:right w:val="none" w:sz="0" w:space="0" w:color="auto"/>
                  </w:divBdr>
                </w:div>
                <w:div w:id="294142897">
                  <w:marLeft w:val="0"/>
                  <w:marRight w:val="0"/>
                  <w:marTop w:val="0"/>
                  <w:marBottom w:val="0"/>
                  <w:divBdr>
                    <w:top w:val="none" w:sz="0" w:space="0" w:color="auto"/>
                    <w:left w:val="none" w:sz="0" w:space="0" w:color="auto"/>
                    <w:bottom w:val="none" w:sz="0" w:space="0" w:color="auto"/>
                    <w:right w:val="none" w:sz="0" w:space="0" w:color="auto"/>
                  </w:divBdr>
                </w:div>
                <w:div w:id="294142907">
                  <w:marLeft w:val="0"/>
                  <w:marRight w:val="0"/>
                  <w:marTop w:val="0"/>
                  <w:marBottom w:val="0"/>
                  <w:divBdr>
                    <w:top w:val="none" w:sz="0" w:space="0" w:color="auto"/>
                    <w:left w:val="none" w:sz="0" w:space="0" w:color="auto"/>
                    <w:bottom w:val="none" w:sz="0" w:space="0" w:color="auto"/>
                    <w:right w:val="none" w:sz="0" w:space="0" w:color="auto"/>
                  </w:divBdr>
                </w:div>
                <w:div w:id="294142914">
                  <w:marLeft w:val="0"/>
                  <w:marRight w:val="0"/>
                  <w:marTop w:val="0"/>
                  <w:marBottom w:val="0"/>
                  <w:divBdr>
                    <w:top w:val="none" w:sz="0" w:space="0" w:color="auto"/>
                    <w:left w:val="none" w:sz="0" w:space="0" w:color="auto"/>
                    <w:bottom w:val="none" w:sz="0" w:space="0" w:color="auto"/>
                    <w:right w:val="none" w:sz="0" w:space="0" w:color="auto"/>
                  </w:divBdr>
                </w:div>
                <w:div w:id="294143296">
                  <w:marLeft w:val="0"/>
                  <w:marRight w:val="0"/>
                  <w:marTop w:val="0"/>
                  <w:marBottom w:val="0"/>
                  <w:divBdr>
                    <w:top w:val="none" w:sz="0" w:space="0" w:color="auto"/>
                    <w:left w:val="none" w:sz="0" w:space="0" w:color="auto"/>
                    <w:bottom w:val="none" w:sz="0" w:space="0" w:color="auto"/>
                    <w:right w:val="none" w:sz="0" w:space="0" w:color="auto"/>
                  </w:divBdr>
                </w:div>
                <w:div w:id="294143762">
                  <w:marLeft w:val="0"/>
                  <w:marRight w:val="0"/>
                  <w:marTop w:val="0"/>
                  <w:marBottom w:val="0"/>
                  <w:divBdr>
                    <w:top w:val="none" w:sz="0" w:space="0" w:color="auto"/>
                    <w:left w:val="none" w:sz="0" w:space="0" w:color="auto"/>
                    <w:bottom w:val="none" w:sz="0" w:space="0" w:color="auto"/>
                    <w:right w:val="none" w:sz="0" w:space="0" w:color="auto"/>
                  </w:divBdr>
                </w:div>
                <w:div w:id="294144221">
                  <w:marLeft w:val="0"/>
                  <w:marRight w:val="0"/>
                  <w:marTop w:val="0"/>
                  <w:marBottom w:val="0"/>
                  <w:divBdr>
                    <w:top w:val="none" w:sz="0" w:space="0" w:color="auto"/>
                    <w:left w:val="none" w:sz="0" w:space="0" w:color="auto"/>
                    <w:bottom w:val="none" w:sz="0" w:space="0" w:color="auto"/>
                    <w:right w:val="none" w:sz="0" w:space="0" w:color="auto"/>
                  </w:divBdr>
                </w:div>
                <w:div w:id="294144240">
                  <w:marLeft w:val="0"/>
                  <w:marRight w:val="0"/>
                  <w:marTop w:val="0"/>
                  <w:marBottom w:val="0"/>
                  <w:divBdr>
                    <w:top w:val="none" w:sz="0" w:space="0" w:color="auto"/>
                    <w:left w:val="none" w:sz="0" w:space="0" w:color="auto"/>
                    <w:bottom w:val="none" w:sz="0" w:space="0" w:color="auto"/>
                    <w:right w:val="none" w:sz="0" w:space="0" w:color="auto"/>
                  </w:divBdr>
                </w:div>
                <w:div w:id="294144781">
                  <w:marLeft w:val="0"/>
                  <w:marRight w:val="0"/>
                  <w:marTop w:val="0"/>
                  <w:marBottom w:val="0"/>
                  <w:divBdr>
                    <w:top w:val="none" w:sz="0" w:space="0" w:color="auto"/>
                    <w:left w:val="none" w:sz="0" w:space="0" w:color="auto"/>
                    <w:bottom w:val="none" w:sz="0" w:space="0" w:color="auto"/>
                    <w:right w:val="none" w:sz="0" w:space="0" w:color="auto"/>
                  </w:divBdr>
                </w:div>
                <w:div w:id="294144947">
                  <w:marLeft w:val="0"/>
                  <w:marRight w:val="0"/>
                  <w:marTop w:val="0"/>
                  <w:marBottom w:val="0"/>
                  <w:divBdr>
                    <w:top w:val="none" w:sz="0" w:space="0" w:color="auto"/>
                    <w:left w:val="none" w:sz="0" w:space="0" w:color="auto"/>
                    <w:bottom w:val="none" w:sz="0" w:space="0" w:color="auto"/>
                    <w:right w:val="none" w:sz="0" w:space="0" w:color="auto"/>
                  </w:divBdr>
                </w:div>
                <w:div w:id="294145052">
                  <w:marLeft w:val="0"/>
                  <w:marRight w:val="0"/>
                  <w:marTop w:val="0"/>
                  <w:marBottom w:val="0"/>
                  <w:divBdr>
                    <w:top w:val="none" w:sz="0" w:space="0" w:color="auto"/>
                    <w:left w:val="none" w:sz="0" w:space="0" w:color="auto"/>
                    <w:bottom w:val="none" w:sz="0" w:space="0" w:color="auto"/>
                    <w:right w:val="none" w:sz="0" w:space="0" w:color="auto"/>
                  </w:divBdr>
                </w:div>
                <w:div w:id="294145625">
                  <w:marLeft w:val="0"/>
                  <w:marRight w:val="0"/>
                  <w:marTop w:val="0"/>
                  <w:marBottom w:val="0"/>
                  <w:divBdr>
                    <w:top w:val="none" w:sz="0" w:space="0" w:color="auto"/>
                    <w:left w:val="none" w:sz="0" w:space="0" w:color="auto"/>
                    <w:bottom w:val="none" w:sz="0" w:space="0" w:color="auto"/>
                    <w:right w:val="none" w:sz="0" w:space="0" w:color="auto"/>
                  </w:divBdr>
                </w:div>
                <w:div w:id="294145666">
                  <w:marLeft w:val="0"/>
                  <w:marRight w:val="0"/>
                  <w:marTop w:val="0"/>
                  <w:marBottom w:val="0"/>
                  <w:divBdr>
                    <w:top w:val="none" w:sz="0" w:space="0" w:color="auto"/>
                    <w:left w:val="none" w:sz="0" w:space="0" w:color="auto"/>
                    <w:bottom w:val="none" w:sz="0" w:space="0" w:color="auto"/>
                    <w:right w:val="none" w:sz="0" w:space="0" w:color="auto"/>
                  </w:divBdr>
                </w:div>
                <w:div w:id="294145681">
                  <w:marLeft w:val="0"/>
                  <w:marRight w:val="0"/>
                  <w:marTop w:val="0"/>
                  <w:marBottom w:val="0"/>
                  <w:divBdr>
                    <w:top w:val="none" w:sz="0" w:space="0" w:color="auto"/>
                    <w:left w:val="none" w:sz="0" w:space="0" w:color="auto"/>
                    <w:bottom w:val="none" w:sz="0" w:space="0" w:color="auto"/>
                    <w:right w:val="none" w:sz="0" w:space="0" w:color="auto"/>
                  </w:divBdr>
                </w:div>
                <w:div w:id="294145703">
                  <w:marLeft w:val="0"/>
                  <w:marRight w:val="0"/>
                  <w:marTop w:val="0"/>
                  <w:marBottom w:val="0"/>
                  <w:divBdr>
                    <w:top w:val="none" w:sz="0" w:space="0" w:color="auto"/>
                    <w:left w:val="none" w:sz="0" w:space="0" w:color="auto"/>
                    <w:bottom w:val="none" w:sz="0" w:space="0" w:color="auto"/>
                    <w:right w:val="none" w:sz="0" w:space="0" w:color="auto"/>
                  </w:divBdr>
                </w:div>
                <w:div w:id="294145885">
                  <w:marLeft w:val="0"/>
                  <w:marRight w:val="0"/>
                  <w:marTop w:val="0"/>
                  <w:marBottom w:val="0"/>
                  <w:divBdr>
                    <w:top w:val="none" w:sz="0" w:space="0" w:color="auto"/>
                    <w:left w:val="none" w:sz="0" w:space="0" w:color="auto"/>
                    <w:bottom w:val="none" w:sz="0" w:space="0" w:color="auto"/>
                    <w:right w:val="none" w:sz="0" w:space="0" w:color="auto"/>
                  </w:divBdr>
                </w:div>
                <w:div w:id="294145999">
                  <w:marLeft w:val="0"/>
                  <w:marRight w:val="0"/>
                  <w:marTop w:val="0"/>
                  <w:marBottom w:val="0"/>
                  <w:divBdr>
                    <w:top w:val="none" w:sz="0" w:space="0" w:color="auto"/>
                    <w:left w:val="none" w:sz="0" w:space="0" w:color="auto"/>
                    <w:bottom w:val="none" w:sz="0" w:space="0" w:color="auto"/>
                    <w:right w:val="none" w:sz="0" w:space="0" w:color="auto"/>
                  </w:divBdr>
                </w:div>
                <w:div w:id="294146112">
                  <w:marLeft w:val="0"/>
                  <w:marRight w:val="0"/>
                  <w:marTop w:val="0"/>
                  <w:marBottom w:val="0"/>
                  <w:divBdr>
                    <w:top w:val="none" w:sz="0" w:space="0" w:color="auto"/>
                    <w:left w:val="none" w:sz="0" w:space="0" w:color="auto"/>
                    <w:bottom w:val="none" w:sz="0" w:space="0" w:color="auto"/>
                    <w:right w:val="none" w:sz="0" w:space="0" w:color="auto"/>
                  </w:divBdr>
                </w:div>
                <w:div w:id="294146302">
                  <w:marLeft w:val="0"/>
                  <w:marRight w:val="0"/>
                  <w:marTop w:val="0"/>
                  <w:marBottom w:val="0"/>
                  <w:divBdr>
                    <w:top w:val="none" w:sz="0" w:space="0" w:color="auto"/>
                    <w:left w:val="none" w:sz="0" w:space="0" w:color="auto"/>
                    <w:bottom w:val="none" w:sz="0" w:space="0" w:color="auto"/>
                    <w:right w:val="none" w:sz="0" w:space="0" w:color="auto"/>
                  </w:divBdr>
                </w:div>
                <w:div w:id="294146305">
                  <w:marLeft w:val="0"/>
                  <w:marRight w:val="0"/>
                  <w:marTop w:val="0"/>
                  <w:marBottom w:val="0"/>
                  <w:divBdr>
                    <w:top w:val="none" w:sz="0" w:space="0" w:color="auto"/>
                    <w:left w:val="none" w:sz="0" w:space="0" w:color="auto"/>
                    <w:bottom w:val="none" w:sz="0" w:space="0" w:color="auto"/>
                    <w:right w:val="none" w:sz="0" w:space="0" w:color="auto"/>
                  </w:divBdr>
                </w:div>
                <w:div w:id="294146320">
                  <w:marLeft w:val="0"/>
                  <w:marRight w:val="0"/>
                  <w:marTop w:val="0"/>
                  <w:marBottom w:val="0"/>
                  <w:divBdr>
                    <w:top w:val="none" w:sz="0" w:space="0" w:color="auto"/>
                    <w:left w:val="none" w:sz="0" w:space="0" w:color="auto"/>
                    <w:bottom w:val="none" w:sz="0" w:space="0" w:color="auto"/>
                    <w:right w:val="none" w:sz="0" w:space="0" w:color="auto"/>
                  </w:divBdr>
                </w:div>
                <w:div w:id="294146387">
                  <w:marLeft w:val="0"/>
                  <w:marRight w:val="0"/>
                  <w:marTop w:val="0"/>
                  <w:marBottom w:val="0"/>
                  <w:divBdr>
                    <w:top w:val="none" w:sz="0" w:space="0" w:color="auto"/>
                    <w:left w:val="none" w:sz="0" w:space="0" w:color="auto"/>
                    <w:bottom w:val="none" w:sz="0" w:space="0" w:color="auto"/>
                    <w:right w:val="none" w:sz="0" w:space="0" w:color="auto"/>
                  </w:divBdr>
                </w:div>
                <w:div w:id="294146428">
                  <w:marLeft w:val="0"/>
                  <w:marRight w:val="0"/>
                  <w:marTop w:val="0"/>
                  <w:marBottom w:val="0"/>
                  <w:divBdr>
                    <w:top w:val="none" w:sz="0" w:space="0" w:color="auto"/>
                    <w:left w:val="none" w:sz="0" w:space="0" w:color="auto"/>
                    <w:bottom w:val="none" w:sz="0" w:space="0" w:color="auto"/>
                    <w:right w:val="none" w:sz="0" w:space="0" w:color="auto"/>
                  </w:divBdr>
                </w:div>
                <w:div w:id="294147050">
                  <w:marLeft w:val="0"/>
                  <w:marRight w:val="0"/>
                  <w:marTop w:val="0"/>
                  <w:marBottom w:val="0"/>
                  <w:divBdr>
                    <w:top w:val="none" w:sz="0" w:space="0" w:color="auto"/>
                    <w:left w:val="none" w:sz="0" w:space="0" w:color="auto"/>
                    <w:bottom w:val="none" w:sz="0" w:space="0" w:color="auto"/>
                    <w:right w:val="none" w:sz="0" w:space="0" w:color="auto"/>
                  </w:divBdr>
                </w:div>
                <w:div w:id="294147213">
                  <w:marLeft w:val="0"/>
                  <w:marRight w:val="0"/>
                  <w:marTop w:val="0"/>
                  <w:marBottom w:val="0"/>
                  <w:divBdr>
                    <w:top w:val="none" w:sz="0" w:space="0" w:color="auto"/>
                    <w:left w:val="none" w:sz="0" w:space="0" w:color="auto"/>
                    <w:bottom w:val="none" w:sz="0" w:space="0" w:color="auto"/>
                    <w:right w:val="none" w:sz="0" w:space="0" w:color="auto"/>
                  </w:divBdr>
                </w:div>
                <w:div w:id="294147540">
                  <w:marLeft w:val="0"/>
                  <w:marRight w:val="0"/>
                  <w:marTop w:val="0"/>
                  <w:marBottom w:val="0"/>
                  <w:divBdr>
                    <w:top w:val="none" w:sz="0" w:space="0" w:color="auto"/>
                    <w:left w:val="none" w:sz="0" w:space="0" w:color="auto"/>
                    <w:bottom w:val="none" w:sz="0" w:space="0" w:color="auto"/>
                    <w:right w:val="none" w:sz="0" w:space="0" w:color="auto"/>
                  </w:divBdr>
                </w:div>
                <w:div w:id="294147676">
                  <w:marLeft w:val="0"/>
                  <w:marRight w:val="0"/>
                  <w:marTop w:val="0"/>
                  <w:marBottom w:val="0"/>
                  <w:divBdr>
                    <w:top w:val="none" w:sz="0" w:space="0" w:color="auto"/>
                    <w:left w:val="none" w:sz="0" w:space="0" w:color="auto"/>
                    <w:bottom w:val="none" w:sz="0" w:space="0" w:color="auto"/>
                    <w:right w:val="none" w:sz="0" w:space="0" w:color="auto"/>
                  </w:divBdr>
                </w:div>
                <w:div w:id="294147830">
                  <w:marLeft w:val="0"/>
                  <w:marRight w:val="0"/>
                  <w:marTop w:val="0"/>
                  <w:marBottom w:val="0"/>
                  <w:divBdr>
                    <w:top w:val="none" w:sz="0" w:space="0" w:color="auto"/>
                    <w:left w:val="none" w:sz="0" w:space="0" w:color="auto"/>
                    <w:bottom w:val="none" w:sz="0" w:space="0" w:color="auto"/>
                    <w:right w:val="none" w:sz="0" w:space="0" w:color="auto"/>
                  </w:divBdr>
                </w:div>
                <w:div w:id="294147892">
                  <w:marLeft w:val="0"/>
                  <w:marRight w:val="0"/>
                  <w:marTop w:val="0"/>
                  <w:marBottom w:val="0"/>
                  <w:divBdr>
                    <w:top w:val="none" w:sz="0" w:space="0" w:color="auto"/>
                    <w:left w:val="none" w:sz="0" w:space="0" w:color="auto"/>
                    <w:bottom w:val="none" w:sz="0" w:space="0" w:color="auto"/>
                    <w:right w:val="none" w:sz="0" w:space="0" w:color="auto"/>
                  </w:divBdr>
                </w:div>
                <w:div w:id="294148020">
                  <w:marLeft w:val="0"/>
                  <w:marRight w:val="0"/>
                  <w:marTop w:val="0"/>
                  <w:marBottom w:val="0"/>
                  <w:divBdr>
                    <w:top w:val="none" w:sz="0" w:space="0" w:color="auto"/>
                    <w:left w:val="none" w:sz="0" w:space="0" w:color="auto"/>
                    <w:bottom w:val="none" w:sz="0" w:space="0" w:color="auto"/>
                    <w:right w:val="none" w:sz="0" w:space="0" w:color="auto"/>
                  </w:divBdr>
                </w:div>
                <w:div w:id="294148082">
                  <w:marLeft w:val="0"/>
                  <w:marRight w:val="0"/>
                  <w:marTop w:val="0"/>
                  <w:marBottom w:val="0"/>
                  <w:divBdr>
                    <w:top w:val="none" w:sz="0" w:space="0" w:color="auto"/>
                    <w:left w:val="none" w:sz="0" w:space="0" w:color="auto"/>
                    <w:bottom w:val="none" w:sz="0" w:space="0" w:color="auto"/>
                    <w:right w:val="none" w:sz="0" w:space="0" w:color="auto"/>
                  </w:divBdr>
                </w:div>
                <w:div w:id="294148483">
                  <w:marLeft w:val="0"/>
                  <w:marRight w:val="0"/>
                  <w:marTop w:val="0"/>
                  <w:marBottom w:val="0"/>
                  <w:divBdr>
                    <w:top w:val="none" w:sz="0" w:space="0" w:color="auto"/>
                    <w:left w:val="none" w:sz="0" w:space="0" w:color="auto"/>
                    <w:bottom w:val="none" w:sz="0" w:space="0" w:color="auto"/>
                    <w:right w:val="none" w:sz="0" w:space="0" w:color="auto"/>
                  </w:divBdr>
                </w:div>
                <w:div w:id="294148522">
                  <w:marLeft w:val="0"/>
                  <w:marRight w:val="0"/>
                  <w:marTop w:val="0"/>
                  <w:marBottom w:val="0"/>
                  <w:divBdr>
                    <w:top w:val="none" w:sz="0" w:space="0" w:color="auto"/>
                    <w:left w:val="none" w:sz="0" w:space="0" w:color="auto"/>
                    <w:bottom w:val="none" w:sz="0" w:space="0" w:color="auto"/>
                    <w:right w:val="none" w:sz="0" w:space="0" w:color="auto"/>
                  </w:divBdr>
                </w:div>
                <w:div w:id="294148761">
                  <w:marLeft w:val="0"/>
                  <w:marRight w:val="0"/>
                  <w:marTop w:val="0"/>
                  <w:marBottom w:val="0"/>
                  <w:divBdr>
                    <w:top w:val="none" w:sz="0" w:space="0" w:color="auto"/>
                    <w:left w:val="none" w:sz="0" w:space="0" w:color="auto"/>
                    <w:bottom w:val="none" w:sz="0" w:space="0" w:color="auto"/>
                    <w:right w:val="none" w:sz="0" w:space="0" w:color="auto"/>
                  </w:divBdr>
                </w:div>
                <w:div w:id="294148783">
                  <w:marLeft w:val="0"/>
                  <w:marRight w:val="0"/>
                  <w:marTop w:val="0"/>
                  <w:marBottom w:val="0"/>
                  <w:divBdr>
                    <w:top w:val="none" w:sz="0" w:space="0" w:color="auto"/>
                    <w:left w:val="none" w:sz="0" w:space="0" w:color="auto"/>
                    <w:bottom w:val="none" w:sz="0" w:space="0" w:color="auto"/>
                    <w:right w:val="none" w:sz="0" w:space="0" w:color="auto"/>
                  </w:divBdr>
                </w:div>
                <w:div w:id="294149175">
                  <w:marLeft w:val="0"/>
                  <w:marRight w:val="0"/>
                  <w:marTop w:val="0"/>
                  <w:marBottom w:val="0"/>
                  <w:divBdr>
                    <w:top w:val="none" w:sz="0" w:space="0" w:color="auto"/>
                    <w:left w:val="none" w:sz="0" w:space="0" w:color="auto"/>
                    <w:bottom w:val="none" w:sz="0" w:space="0" w:color="auto"/>
                    <w:right w:val="none" w:sz="0" w:space="0" w:color="auto"/>
                  </w:divBdr>
                </w:div>
                <w:div w:id="294149336">
                  <w:marLeft w:val="0"/>
                  <w:marRight w:val="0"/>
                  <w:marTop w:val="0"/>
                  <w:marBottom w:val="0"/>
                  <w:divBdr>
                    <w:top w:val="none" w:sz="0" w:space="0" w:color="auto"/>
                    <w:left w:val="none" w:sz="0" w:space="0" w:color="auto"/>
                    <w:bottom w:val="none" w:sz="0" w:space="0" w:color="auto"/>
                    <w:right w:val="none" w:sz="0" w:space="0" w:color="auto"/>
                  </w:divBdr>
                </w:div>
                <w:div w:id="294149426">
                  <w:marLeft w:val="0"/>
                  <w:marRight w:val="0"/>
                  <w:marTop w:val="0"/>
                  <w:marBottom w:val="0"/>
                  <w:divBdr>
                    <w:top w:val="none" w:sz="0" w:space="0" w:color="auto"/>
                    <w:left w:val="none" w:sz="0" w:space="0" w:color="auto"/>
                    <w:bottom w:val="none" w:sz="0" w:space="0" w:color="auto"/>
                    <w:right w:val="none" w:sz="0" w:space="0" w:color="auto"/>
                  </w:divBdr>
                </w:div>
                <w:div w:id="294149483">
                  <w:marLeft w:val="0"/>
                  <w:marRight w:val="0"/>
                  <w:marTop w:val="0"/>
                  <w:marBottom w:val="0"/>
                  <w:divBdr>
                    <w:top w:val="none" w:sz="0" w:space="0" w:color="auto"/>
                    <w:left w:val="none" w:sz="0" w:space="0" w:color="auto"/>
                    <w:bottom w:val="none" w:sz="0" w:space="0" w:color="auto"/>
                    <w:right w:val="none" w:sz="0" w:space="0" w:color="auto"/>
                  </w:divBdr>
                </w:div>
                <w:div w:id="294149581">
                  <w:marLeft w:val="0"/>
                  <w:marRight w:val="0"/>
                  <w:marTop w:val="0"/>
                  <w:marBottom w:val="0"/>
                  <w:divBdr>
                    <w:top w:val="none" w:sz="0" w:space="0" w:color="auto"/>
                    <w:left w:val="none" w:sz="0" w:space="0" w:color="auto"/>
                    <w:bottom w:val="none" w:sz="0" w:space="0" w:color="auto"/>
                    <w:right w:val="none" w:sz="0" w:space="0" w:color="auto"/>
                  </w:divBdr>
                </w:div>
                <w:div w:id="294149618">
                  <w:marLeft w:val="0"/>
                  <w:marRight w:val="0"/>
                  <w:marTop w:val="0"/>
                  <w:marBottom w:val="0"/>
                  <w:divBdr>
                    <w:top w:val="none" w:sz="0" w:space="0" w:color="auto"/>
                    <w:left w:val="none" w:sz="0" w:space="0" w:color="auto"/>
                    <w:bottom w:val="none" w:sz="0" w:space="0" w:color="auto"/>
                    <w:right w:val="none" w:sz="0" w:space="0" w:color="auto"/>
                  </w:divBdr>
                </w:div>
                <w:div w:id="294149722">
                  <w:marLeft w:val="0"/>
                  <w:marRight w:val="0"/>
                  <w:marTop w:val="0"/>
                  <w:marBottom w:val="0"/>
                  <w:divBdr>
                    <w:top w:val="none" w:sz="0" w:space="0" w:color="auto"/>
                    <w:left w:val="none" w:sz="0" w:space="0" w:color="auto"/>
                    <w:bottom w:val="none" w:sz="0" w:space="0" w:color="auto"/>
                    <w:right w:val="none" w:sz="0" w:space="0" w:color="auto"/>
                  </w:divBdr>
                </w:div>
                <w:div w:id="294150022">
                  <w:marLeft w:val="0"/>
                  <w:marRight w:val="0"/>
                  <w:marTop w:val="0"/>
                  <w:marBottom w:val="0"/>
                  <w:divBdr>
                    <w:top w:val="none" w:sz="0" w:space="0" w:color="auto"/>
                    <w:left w:val="none" w:sz="0" w:space="0" w:color="auto"/>
                    <w:bottom w:val="none" w:sz="0" w:space="0" w:color="auto"/>
                    <w:right w:val="none" w:sz="0" w:space="0" w:color="auto"/>
                  </w:divBdr>
                </w:div>
                <w:div w:id="294150037">
                  <w:marLeft w:val="0"/>
                  <w:marRight w:val="0"/>
                  <w:marTop w:val="0"/>
                  <w:marBottom w:val="0"/>
                  <w:divBdr>
                    <w:top w:val="none" w:sz="0" w:space="0" w:color="auto"/>
                    <w:left w:val="none" w:sz="0" w:space="0" w:color="auto"/>
                    <w:bottom w:val="none" w:sz="0" w:space="0" w:color="auto"/>
                    <w:right w:val="none" w:sz="0" w:space="0" w:color="auto"/>
                  </w:divBdr>
                </w:div>
                <w:div w:id="294150041">
                  <w:marLeft w:val="0"/>
                  <w:marRight w:val="0"/>
                  <w:marTop w:val="0"/>
                  <w:marBottom w:val="0"/>
                  <w:divBdr>
                    <w:top w:val="none" w:sz="0" w:space="0" w:color="auto"/>
                    <w:left w:val="none" w:sz="0" w:space="0" w:color="auto"/>
                    <w:bottom w:val="none" w:sz="0" w:space="0" w:color="auto"/>
                    <w:right w:val="none" w:sz="0" w:space="0" w:color="auto"/>
                  </w:divBdr>
                </w:div>
                <w:div w:id="294150048">
                  <w:marLeft w:val="0"/>
                  <w:marRight w:val="0"/>
                  <w:marTop w:val="0"/>
                  <w:marBottom w:val="0"/>
                  <w:divBdr>
                    <w:top w:val="none" w:sz="0" w:space="0" w:color="auto"/>
                    <w:left w:val="none" w:sz="0" w:space="0" w:color="auto"/>
                    <w:bottom w:val="none" w:sz="0" w:space="0" w:color="auto"/>
                    <w:right w:val="none" w:sz="0" w:space="0" w:color="auto"/>
                  </w:divBdr>
                </w:div>
                <w:div w:id="294150709">
                  <w:marLeft w:val="0"/>
                  <w:marRight w:val="0"/>
                  <w:marTop w:val="0"/>
                  <w:marBottom w:val="0"/>
                  <w:divBdr>
                    <w:top w:val="none" w:sz="0" w:space="0" w:color="auto"/>
                    <w:left w:val="none" w:sz="0" w:space="0" w:color="auto"/>
                    <w:bottom w:val="none" w:sz="0" w:space="0" w:color="auto"/>
                    <w:right w:val="none" w:sz="0" w:space="0" w:color="auto"/>
                  </w:divBdr>
                </w:div>
                <w:div w:id="294150878">
                  <w:marLeft w:val="0"/>
                  <w:marRight w:val="0"/>
                  <w:marTop w:val="0"/>
                  <w:marBottom w:val="0"/>
                  <w:divBdr>
                    <w:top w:val="none" w:sz="0" w:space="0" w:color="auto"/>
                    <w:left w:val="none" w:sz="0" w:space="0" w:color="auto"/>
                    <w:bottom w:val="none" w:sz="0" w:space="0" w:color="auto"/>
                    <w:right w:val="none" w:sz="0" w:space="0" w:color="auto"/>
                  </w:divBdr>
                </w:div>
                <w:div w:id="294150997">
                  <w:marLeft w:val="0"/>
                  <w:marRight w:val="0"/>
                  <w:marTop w:val="0"/>
                  <w:marBottom w:val="0"/>
                  <w:divBdr>
                    <w:top w:val="none" w:sz="0" w:space="0" w:color="auto"/>
                    <w:left w:val="none" w:sz="0" w:space="0" w:color="auto"/>
                    <w:bottom w:val="none" w:sz="0" w:space="0" w:color="auto"/>
                    <w:right w:val="none" w:sz="0" w:space="0" w:color="auto"/>
                  </w:divBdr>
                </w:div>
                <w:div w:id="294151005">
                  <w:marLeft w:val="0"/>
                  <w:marRight w:val="0"/>
                  <w:marTop w:val="0"/>
                  <w:marBottom w:val="0"/>
                  <w:divBdr>
                    <w:top w:val="none" w:sz="0" w:space="0" w:color="auto"/>
                    <w:left w:val="none" w:sz="0" w:space="0" w:color="auto"/>
                    <w:bottom w:val="none" w:sz="0" w:space="0" w:color="auto"/>
                    <w:right w:val="none" w:sz="0" w:space="0" w:color="auto"/>
                  </w:divBdr>
                </w:div>
                <w:div w:id="294151250">
                  <w:marLeft w:val="0"/>
                  <w:marRight w:val="0"/>
                  <w:marTop w:val="0"/>
                  <w:marBottom w:val="0"/>
                  <w:divBdr>
                    <w:top w:val="none" w:sz="0" w:space="0" w:color="auto"/>
                    <w:left w:val="none" w:sz="0" w:space="0" w:color="auto"/>
                    <w:bottom w:val="none" w:sz="0" w:space="0" w:color="auto"/>
                    <w:right w:val="none" w:sz="0" w:space="0" w:color="auto"/>
                  </w:divBdr>
                </w:div>
                <w:div w:id="294151323">
                  <w:marLeft w:val="0"/>
                  <w:marRight w:val="0"/>
                  <w:marTop w:val="0"/>
                  <w:marBottom w:val="0"/>
                  <w:divBdr>
                    <w:top w:val="none" w:sz="0" w:space="0" w:color="auto"/>
                    <w:left w:val="none" w:sz="0" w:space="0" w:color="auto"/>
                    <w:bottom w:val="none" w:sz="0" w:space="0" w:color="auto"/>
                    <w:right w:val="none" w:sz="0" w:space="0" w:color="auto"/>
                  </w:divBdr>
                </w:div>
                <w:div w:id="294151341">
                  <w:marLeft w:val="0"/>
                  <w:marRight w:val="0"/>
                  <w:marTop w:val="0"/>
                  <w:marBottom w:val="0"/>
                  <w:divBdr>
                    <w:top w:val="none" w:sz="0" w:space="0" w:color="auto"/>
                    <w:left w:val="none" w:sz="0" w:space="0" w:color="auto"/>
                    <w:bottom w:val="none" w:sz="0" w:space="0" w:color="auto"/>
                    <w:right w:val="none" w:sz="0" w:space="0" w:color="auto"/>
                  </w:divBdr>
                </w:div>
                <w:div w:id="294151425">
                  <w:marLeft w:val="0"/>
                  <w:marRight w:val="0"/>
                  <w:marTop w:val="0"/>
                  <w:marBottom w:val="0"/>
                  <w:divBdr>
                    <w:top w:val="none" w:sz="0" w:space="0" w:color="auto"/>
                    <w:left w:val="none" w:sz="0" w:space="0" w:color="auto"/>
                    <w:bottom w:val="none" w:sz="0" w:space="0" w:color="auto"/>
                    <w:right w:val="none" w:sz="0" w:space="0" w:color="auto"/>
                  </w:divBdr>
                </w:div>
                <w:div w:id="294151519">
                  <w:marLeft w:val="0"/>
                  <w:marRight w:val="0"/>
                  <w:marTop w:val="0"/>
                  <w:marBottom w:val="0"/>
                  <w:divBdr>
                    <w:top w:val="none" w:sz="0" w:space="0" w:color="auto"/>
                    <w:left w:val="none" w:sz="0" w:space="0" w:color="auto"/>
                    <w:bottom w:val="none" w:sz="0" w:space="0" w:color="auto"/>
                    <w:right w:val="none" w:sz="0" w:space="0" w:color="auto"/>
                  </w:divBdr>
                </w:div>
                <w:div w:id="294151543">
                  <w:marLeft w:val="0"/>
                  <w:marRight w:val="0"/>
                  <w:marTop w:val="0"/>
                  <w:marBottom w:val="0"/>
                  <w:divBdr>
                    <w:top w:val="none" w:sz="0" w:space="0" w:color="auto"/>
                    <w:left w:val="none" w:sz="0" w:space="0" w:color="auto"/>
                    <w:bottom w:val="none" w:sz="0" w:space="0" w:color="auto"/>
                    <w:right w:val="none" w:sz="0" w:space="0" w:color="auto"/>
                  </w:divBdr>
                </w:div>
                <w:div w:id="294151583">
                  <w:marLeft w:val="0"/>
                  <w:marRight w:val="0"/>
                  <w:marTop w:val="0"/>
                  <w:marBottom w:val="0"/>
                  <w:divBdr>
                    <w:top w:val="none" w:sz="0" w:space="0" w:color="auto"/>
                    <w:left w:val="none" w:sz="0" w:space="0" w:color="auto"/>
                    <w:bottom w:val="none" w:sz="0" w:space="0" w:color="auto"/>
                    <w:right w:val="none" w:sz="0" w:space="0" w:color="auto"/>
                  </w:divBdr>
                </w:div>
                <w:div w:id="294151619">
                  <w:marLeft w:val="0"/>
                  <w:marRight w:val="0"/>
                  <w:marTop w:val="0"/>
                  <w:marBottom w:val="0"/>
                  <w:divBdr>
                    <w:top w:val="none" w:sz="0" w:space="0" w:color="auto"/>
                    <w:left w:val="none" w:sz="0" w:space="0" w:color="auto"/>
                    <w:bottom w:val="none" w:sz="0" w:space="0" w:color="auto"/>
                    <w:right w:val="none" w:sz="0" w:space="0" w:color="auto"/>
                  </w:divBdr>
                </w:div>
                <w:div w:id="294151642">
                  <w:marLeft w:val="0"/>
                  <w:marRight w:val="0"/>
                  <w:marTop w:val="0"/>
                  <w:marBottom w:val="0"/>
                  <w:divBdr>
                    <w:top w:val="none" w:sz="0" w:space="0" w:color="auto"/>
                    <w:left w:val="none" w:sz="0" w:space="0" w:color="auto"/>
                    <w:bottom w:val="none" w:sz="0" w:space="0" w:color="auto"/>
                    <w:right w:val="none" w:sz="0" w:space="0" w:color="auto"/>
                  </w:divBdr>
                </w:div>
                <w:div w:id="294151750">
                  <w:marLeft w:val="0"/>
                  <w:marRight w:val="0"/>
                  <w:marTop w:val="0"/>
                  <w:marBottom w:val="0"/>
                  <w:divBdr>
                    <w:top w:val="none" w:sz="0" w:space="0" w:color="auto"/>
                    <w:left w:val="none" w:sz="0" w:space="0" w:color="auto"/>
                    <w:bottom w:val="none" w:sz="0" w:space="0" w:color="auto"/>
                    <w:right w:val="none" w:sz="0" w:space="0" w:color="auto"/>
                  </w:divBdr>
                </w:div>
                <w:div w:id="294151981">
                  <w:marLeft w:val="0"/>
                  <w:marRight w:val="0"/>
                  <w:marTop w:val="0"/>
                  <w:marBottom w:val="0"/>
                  <w:divBdr>
                    <w:top w:val="none" w:sz="0" w:space="0" w:color="auto"/>
                    <w:left w:val="none" w:sz="0" w:space="0" w:color="auto"/>
                    <w:bottom w:val="none" w:sz="0" w:space="0" w:color="auto"/>
                    <w:right w:val="none" w:sz="0" w:space="0" w:color="auto"/>
                  </w:divBdr>
                </w:div>
                <w:div w:id="294152273">
                  <w:marLeft w:val="0"/>
                  <w:marRight w:val="0"/>
                  <w:marTop w:val="0"/>
                  <w:marBottom w:val="0"/>
                  <w:divBdr>
                    <w:top w:val="none" w:sz="0" w:space="0" w:color="auto"/>
                    <w:left w:val="none" w:sz="0" w:space="0" w:color="auto"/>
                    <w:bottom w:val="none" w:sz="0" w:space="0" w:color="auto"/>
                    <w:right w:val="none" w:sz="0" w:space="0" w:color="auto"/>
                  </w:divBdr>
                </w:div>
                <w:div w:id="294152618">
                  <w:marLeft w:val="0"/>
                  <w:marRight w:val="0"/>
                  <w:marTop w:val="0"/>
                  <w:marBottom w:val="0"/>
                  <w:divBdr>
                    <w:top w:val="none" w:sz="0" w:space="0" w:color="auto"/>
                    <w:left w:val="none" w:sz="0" w:space="0" w:color="auto"/>
                    <w:bottom w:val="none" w:sz="0" w:space="0" w:color="auto"/>
                    <w:right w:val="none" w:sz="0" w:space="0" w:color="auto"/>
                  </w:divBdr>
                </w:div>
                <w:div w:id="294152652">
                  <w:marLeft w:val="0"/>
                  <w:marRight w:val="0"/>
                  <w:marTop w:val="0"/>
                  <w:marBottom w:val="0"/>
                  <w:divBdr>
                    <w:top w:val="none" w:sz="0" w:space="0" w:color="auto"/>
                    <w:left w:val="none" w:sz="0" w:space="0" w:color="auto"/>
                    <w:bottom w:val="none" w:sz="0" w:space="0" w:color="auto"/>
                    <w:right w:val="none" w:sz="0" w:space="0" w:color="auto"/>
                  </w:divBdr>
                </w:div>
                <w:div w:id="294152689">
                  <w:marLeft w:val="0"/>
                  <w:marRight w:val="0"/>
                  <w:marTop w:val="0"/>
                  <w:marBottom w:val="0"/>
                  <w:divBdr>
                    <w:top w:val="none" w:sz="0" w:space="0" w:color="auto"/>
                    <w:left w:val="none" w:sz="0" w:space="0" w:color="auto"/>
                    <w:bottom w:val="none" w:sz="0" w:space="0" w:color="auto"/>
                    <w:right w:val="none" w:sz="0" w:space="0" w:color="auto"/>
                  </w:divBdr>
                </w:div>
                <w:div w:id="294153409">
                  <w:marLeft w:val="0"/>
                  <w:marRight w:val="0"/>
                  <w:marTop w:val="0"/>
                  <w:marBottom w:val="0"/>
                  <w:divBdr>
                    <w:top w:val="none" w:sz="0" w:space="0" w:color="auto"/>
                    <w:left w:val="none" w:sz="0" w:space="0" w:color="auto"/>
                    <w:bottom w:val="none" w:sz="0" w:space="0" w:color="auto"/>
                    <w:right w:val="none" w:sz="0" w:space="0" w:color="auto"/>
                  </w:divBdr>
                </w:div>
                <w:div w:id="294153454">
                  <w:marLeft w:val="0"/>
                  <w:marRight w:val="0"/>
                  <w:marTop w:val="0"/>
                  <w:marBottom w:val="0"/>
                  <w:divBdr>
                    <w:top w:val="none" w:sz="0" w:space="0" w:color="auto"/>
                    <w:left w:val="none" w:sz="0" w:space="0" w:color="auto"/>
                    <w:bottom w:val="none" w:sz="0" w:space="0" w:color="auto"/>
                    <w:right w:val="none" w:sz="0" w:space="0" w:color="auto"/>
                  </w:divBdr>
                </w:div>
                <w:div w:id="294153543">
                  <w:marLeft w:val="0"/>
                  <w:marRight w:val="0"/>
                  <w:marTop w:val="0"/>
                  <w:marBottom w:val="0"/>
                  <w:divBdr>
                    <w:top w:val="none" w:sz="0" w:space="0" w:color="auto"/>
                    <w:left w:val="none" w:sz="0" w:space="0" w:color="auto"/>
                    <w:bottom w:val="none" w:sz="0" w:space="0" w:color="auto"/>
                    <w:right w:val="none" w:sz="0" w:space="0" w:color="auto"/>
                  </w:divBdr>
                </w:div>
                <w:div w:id="294153687">
                  <w:marLeft w:val="0"/>
                  <w:marRight w:val="0"/>
                  <w:marTop w:val="0"/>
                  <w:marBottom w:val="0"/>
                  <w:divBdr>
                    <w:top w:val="none" w:sz="0" w:space="0" w:color="auto"/>
                    <w:left w:val="none" w:sz="0" w:space="0" w:color="auto"/>
                    <w:bottom w:val="none" w:sz="0" w:space="0" w:color="auto"/>
                    <w:right w:val="none" w:sz="0" w:space="0" w:color="auto"/>
                  </w:divBdr>
                </w:div>
                <w:div w:id="294153721">
                  <w:marLeft w:val="0"/>
                  <w:marRight w:val="0"/>
                  <w:marTop w:val="0"/>
                  <w:marBottom w:val="0"/>
                  <w:divBdr>
                    <w:top w:val="none" w:sz="0" w:space="0" w:color="auto"/>
                    <w:left w:val="none" w:sz="0" w:space="0" w:color="auto"/>
                    <w:bottom w:val="none" w:sz="0" w:space="0" w:color="auto"/>
                    <w:right w:val="none" w:sz="0" w:space="0" w:color="auto"/>
                  </w:divBdr>
                </w:div>
                <w:div w:id="294153766">
                  <w:marLeft w:val="0"/>
                  <w:marRight w:val="0"/>
                  <w:marTop w:val="0"/>
                  <w:marBottom w:val="0"/>
                  <w:divBdr>
                    <w:top w:val="none" w:sz="0" w:space="0" w:color="auto"/>
                    <w:left w:val="none" w:sz="0" w:space="0" w:color="auto"/>
                    <w:bottom w:val="none" w:sz="0" w:space="0" w:color="auto"/>
                    <w:right w:val="none" w:sz="0" w:space="0" w:color="auto"/>
                  </w:divBdr>
                </w:div>
                <w:div w:id="294154132">
                  <w:marLeft w:val="0"/>
                  <w:marRight w:val="0"/>
                  <w:marTop w:val="0"/>
                  <w:marBottom w:val="0"/>
                  <w:divBdr>
                    <w:top w:val="none" w:sz="0" w:space="0" w:color="auto"/>
                    <w:left w:val="none" w:sz="0" w:space="0" w:color="auto"/>
                    <w:bottom w:val="none" w:sz="0" w:space="0" w:color="auto"/>
                    <w:right w:val="none" w:sz="0" w:space="0" w:color="auto"/>
                  </w:divBdr>
                </w:div>
                <w:div w:id="294154200">
                  <w:marLeft w:val="0"/>
                  <w:marRight w:val="0"/>
                  <w:marTop w:val="0"/>
                  <w:marBottom w:val="0"/>
                  <w:divBdr>
                    <w:top w:val="none" w:sz="0" w:space="0" w:color="auto"/>
                    <w:left w:val="none" w:sz="0" w:space="0" w:color="auto"/>
                    <w:bottom w:val="none" w:sz="0" w:space="0" w:color="auto"/>
                    <w:right w:val="none" w:sz="0" w:space="0" w:color="auto"/>
                  </w:divBdr>
                </w:div>
                <w:div w:id="294154289">
                  <w:marLeft w:val="0"/>
                  <w:marRight w:val="0"/>
                  <w:marTop w:val="0"/>
                  <w:marBottom w:val="0"/>
                  <w:divBdr>
                    <w:top w:val="none" w:sz="0" w:space="0" w:color="auto"/>
                    <w:left w:val="none" w:sz="0" w:space="0" w:color="auto"/>
                    <w:bottom w:val="none" w:sz="0" w:space="0" w:color="auto"/>
                    <w:right w:val="none" w:sz="0" w:space="0" w:color="auto"/>
                  </w:divBdr>
                </w:div>
                <w:div w:id="294154576">
                  <w:marLeft w:val="0"/>
                  <w:marRight w:val="0"/>
                  <w:marTop w:val="0"/>
                  <w:marBottom w:val="0"/>
                  <w:divBdr>
                    <w:top w:val="none" w:sz="0" w:space="0" w:color="auto"/>
                    <w:left w:val="none" w:sz="0" w:space="0" w:color="auto"/>
                    <w:bottom w:val="none" w:sz="0" w:space="0" w:color="auto"/>
                    <w:right w:val="none" w:sz="0" w:space="0" w:color="auto"/>
                  </w:divBdr>
                </w:div>
                <w:div w:id="294155794">
                  <w:marLeft w:val="0"/>
                  <w:marRight w:val="0"/>
                  <w:marTop w:val="0"/>
                  <w:marBottom w:val="0"/>
                  <w:divBdr>
                    <w:top w:val="none" w:sz="0" w:space="0" w:color="auto"/>
                    <w:left w:val="none" w:sz="0" w:space="0" w:color="auto"/>
                    <w:bottom w:val="none" w:sz="0" w:space="0" w:color="auto"/>
                    <w:right w:val="none" w:sz="0" w:space="0" w:color="auto"/>
                  </w:divBdr>
                </w:div>
                <w:div w:id="294155964">
                  <w:marLeft w:val="0"/>
                  <w:marRight w:val="0"/>
                  <w:marTop w:val="0"/>
                  <w:marBottom w:val="0"/>
                  <w:divBdr>
                    <w:top w:val="none" w:sz="0" w:space="0" w:color="auto"/>
                    <w:left w:val="none" w:sz="0" w:space="0" w:color="auto"/>
                    <w:bottom w:val="none" w:sz="0" w:space="0" w:color="auto"/>
                    <w:right w:val="none" w:sz="0" w:space="0" w:color="auto"/>
                  </w:divBdr>
                </w:div>
                <w:div w:id="294156244">
                  <w:marLeft w:val="0"/>
                  <w:marRight w:val="0"/>
                  <w:marTop w:val="0"/>
                  <w:marBottom w:val="0"/>
                  <w:divBdr>
                    <w:top w:val="none" w:sz="0" w:space="0" w:color="auto"/>
                    <w:left w:val="none" w:sz="0" w:space="0" w:color="auto"/>
                    <w:bottom w:val="none" w:sz="0" w:space="0" w:color="auto"/>
                    <w:right w:val="none" w:sz="0" w:space="0" w:color="auto"/>
                  </w:divBdr>
                </w:div>
                <w:div w:id="294156622">
                  <w:marLeft w:val="0"/>
                  <w:marRight w:val="0"/>
                  <w:marTop w:val="0"/>
                  <w:marBottom w:val="0"/>
                  <w:divBdr>
                    <w:top w:val="none" w:sz="0" w:space="0" w:color="auto"/>
                    <w:left w:val="none" w:sz="0" w:space="0" w:color="auto"/>
                    <w:bottom w:val="none" w:sz="0" w:space="0" w:color="auto"/>
                    <w:right w:val="none" w:sz="0" w:space="0" w:color="auto"/>
                  </w:divBdr>
                </w:div>
                <w:div w:id="294156697">
                  <w:marLeft w:val="0"/>
                  <w:marRight w:val="0"/>
                  <w:marTop w:val="0"/>
                  <w:marBottom w:val="0"/>
                  <w:divBdr>
                    <w:top w:val="none" w:sz="0" w:space="0" w:color="auto"/>
                    <w:left w:val="none" w:sz="0" w:space="0" w:color="auto"/>
                    <w:bottom w:val="none" w:sz="0" w:space="0" w:color="auto"/>
                    <w:right w:val="none" w:sz="0" w:space="0" w:color="auto"/>
                  </w:divBdr>
                </w:div>
                <w:div w:id="294156928">
                  <w:marLeft w:val="0"/>
                  <w:marRight w:val="0"/>
                  <w:marTop w:val="0"/>
                  <w:marBottom w:val="0"/>
                  <w:divBdr>
                    <w:top w:val="none" w:sz="0" w:space="0" w:color="auto"/>
                    <w:left w:val="none" w:sz="0" w:space="0" w:color="auto"/>
                    <w:bottom w:val="none" w:sz="0" w:space="0" w:color="auto"/>
                    <w:right w:val="none" w:sz="0" w:space="0" w:color="auto"/>
                  </w:divBdr>
                </w:div>
                <w:div w:id="294157064">
                  <w:marLeft w:val="0"/>
                  <w:marRight w:val="0"/>
                  <w:marTop w:val="0"/>
                  <w:marBottom w:val="0"/>
                  <w:divBdr>
                    <w:top w:val="none" w:sz="0" w:space="0" w:color="auto"/>
                    <w:left w:val="none" w:sz="0" w:space="0" w:color="auto"/>
                    <w:bottom w:val="none" w:sz="0" w:space="0" w:color="auto"/>
                    <w:right w:val="none" w:sz="0" w:space="0" w:color="auto"/>
                  </w:divBdr>
                </w:div>
                <w:div w:id="294157156">
                  <w:marLeft w:val="0"/>
                  <w:marRight w:val="0"/>
                  <w:marTop w:val="0"/>
                  <w:marBottom w:val="0"/>
                  <w:divBdr>
                    <w:top w:val="none" w:sz="0" w:space="0" w:color="auto"/>
                    <w:left w:val="none" w:sz="0" w:space="0" w:color="auto"/>
                    <w:bottom w:val="none" w:sz="0" w:space="0" w:color="auto"/>
                    <w:right w:val="none" w:sz="0" w:space="0" w:color="auto"/>
                  </w:divBdr>
                </w:div>
                <w:div w:id="294157192">
                  <w:marLeft w:val="0"/>
                  <w:marRight w:val="0"/>
                  <w:marTop w:val="0"/>
                  <w:marBottom w:val="0"/>
                  <w:divBdr>
                    <w:top w:val="none" w:sz="0" w:space="0" w:color="auto"/>
                    <w:left w:val="none" w:sz="0" w:space="0" w:color="auto"/>
                    <w:bottom w:val="none" w:sz="0" w:space="0" w:color="auto"/>
                    <w:right w:val="none" w:sz="0" w:space="0" w:color="auto"/>
                  </w:divBdr>
                </w:div>
                <w:div w:id="29415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7124">
          <w:marLeft w:val="0"/>
          <w:marRight w:val="0"/>
          <w:marTop w:val="0"/>
          <w:marBottom w:val="0"/>
          <w:divBdr>
            <w:top w:val="none" w:sz="0" w:space="0" w:color="auto"/>
            <w:left w:val="none" w:sz="0" w:space="0" w:color="auto"/>
            <w:bottom w:val="none" w:sz="0" w:space="0" w:color="auto"/>
            <w:right w:val="none" w:sz="0" w:space="0" w:color="auto"/>
          </w:divBdr>
          <w:divsChild>
            <w:div w:id="294142215">
              <w:marLeft w:val="0"/>
              <w:marRight w:val="0"/>
              <w:marTop w:val="0"/>
              <w:marBottom w:val="0"/>
              <w:divBdr>
                <w:top w:val="none" w:sz="0" w:space="0" w:color="auto"/>
                <w:left w:val="none" w:sz="0" w:space="0" w:color="auto"/>
                <w:bottom w:val="none" w:sz="0" w:space="0" w:color="auto"/>
                <w:right w:val="none" w:sz="0" w:space="0" w:color="auto"/>
              </w:divBdr>
              <w:divsChild>
                <w:div w:id="294145721">
                  <w:marLeft w:val="0"/>
                  <w:marRight w:val="0"/>
                  <w:marTop w:val="0"/>
                  <w:marBottom w:val="0"/>
                  <w:divBdr>
                    <w:top w:val="none" w:sz="0" w:space="0" w:color="auto"/>
                    <w:left w:val="none" w:sz="0" w:space="0" w:color="auto"/>
                    <w:bottom w:val="none" w:sz="0" w:space="0" w:color="auto"/>
                    <w:right w:val="none" w:sz="0" w:space="0" w:color="auto"/>
                  </w:divBdr>
                  <w:divsChild>
                    <w:div w:id="294138069">
                      <w:marLeft w:val="0"/>
                      <w:marRight w:val="0"/>
                      <w:marTop w:val="0"/>
                      <w:marBottom w:val="0"/>
                      <w:divBdr>
                        <w:top w:val="none" w:sz="0" w:space="0" w:color="auto"/>
                        <w:left w:val="none" w:sz="0" w:space="0" w:color="auto"/>
                        <w:bottom w:val="none" w:sz="0" w:space="0" w:color="auto"/>
                        <w:right w:val="none" w:sz="0" w:space="0" w:color="auto"/>
                      </w:divBdr>
                    </w:div>
                    <w:div w:id="294138142">
                      <w:marLeft w:val="0"/>
                      <w:marRight w:val="0"/>
                      <w:marTop w:val="0"/>
                      <w:marBottom w:val="0"/>
                      <w:divBdr>
                        <w:top w:val="none" w:sz="0" w:space="0" w:color="auto"/>
                        <w:left w:val="none" w:sz="0" w:space="0" w:color="auto"/>
                        <w:bottom w:val="none" w:sz="0" w:space="0" w:color="auto"/>
                        <w:right w:val="none" w:sz="0" w:space="0" w:color="auto"/>
                      </w:divBdr>
                      <w:divsChild>
                        <w:div w:id="294155798">
                          <w:marLeft w:val="0"/>
                          <w:marRight w:val="0"/>
                          <w:marTop w:val="0"/>
                          <w:marBottom w:val="0"/>
                          <w:divBdr>
                            <w:top w:val="none" w:sz="0" w:space="0" w:color="auto"/>
                            <w:left w:val="none" w:sz="0" w:space="0" w:color="auto"/>
                            <w:bottom w:val="none" w:sz="0" w:space="0" w:color="auto"/>
                            <w:right w:val="none" w:sz="0" w:space="0" w:color="auto"/>
                          </w:divBdr>
                        </w:div>
                      </w:divsChild>
                    </w:div>
                    <w:div w:id="294138181">
                      <w:marLeft w:val="0"/>
                      <w:marRight w:val="0"/>
                      <w:marTop w:val="0"/>
                      <w:marBottom w:val="0"/>
                      <w:divBdr>
                        <w:top w:val="none" w:sz="0" w:space="0" w:color="auto"/>
                        <w:left w:val="none" w:sz="0" w:space="0" w:color="auto"/>
                        <w:bottom w:val="none" w:sz="0" w:space="0" w:color="auto"/>
                        <w:right w:val="none" w:sz="0" w:space="0" w:color="auto"/>
                      </w:divBdr>
                    </w:div>
                    <w:div w:id="294138570">
                      <w:marLeft w:val="0"/>
                      <w:marRight w:val="0"/>
                      <w:marTop w:val="0"/>
                      <w:marBottom w:val="0"/>
                      <w:divBdr>
                        <w:top w:val="none" w:sz="0" w:space="0" w:color="auto"/>
                        <w:left w:val="none" w:sz="0" w:space="0" w:color="auto"/>
                        <w:bottom w:val="none" w:sz="0" w:space="0" w:color="auto"/>
                        <w:right w:val="none" w:sz="0" w:space="0" w:color="auto"/>
                      </w:divBdr>
                    </w:div>
                    <w:div w:id="294138829">
                      <w:marLeft w:val="0"/>
                      <w:marRight w:val="0"/>
                      <w:marTop w:val="0"/>
                      <w:marBottom w:val="0"/>
                      <w:divBdr>
                        <w:top w:val="none" w:sz="0" w:space="0" w:color="auto"/>
                        <w:left w:val="none" w:sz="0" w:space="0" w:color="auto"/>
                        <w:bottom w:val="none" w:sz="0" w:space="0" w:color="auto"/>
                        <w:right w:val="none" w:sz="0" w:space="0" w:color="auto"/>
                      </w:divBdr>
                      <w:divsChild>
                        <w:div w:id="294149724">
                          <w:marLeft w:val="0"/>
                          <w:marRight w:val="0"/>
                          <w:marTop w:val="0"/>
                          <w:marBottom w:val="0"/>
                          <w:divBdr>
                            <w:top w:val="none" w:sz="0" w:space="0" w:color="auto"/>
                            <w:left w:val="none" w:sz="0" w:space="0" w:color="auto"/>
                            <w:bottom w:val="none" w:sz="0" w:space="0" w:color="auto"/>
                            <w:right w:val="none" w:sz="0" w:space="0" w:color="auto"/>
                          </w:divBdr>
                        </w:div>
                      </w:divsChild>
                    </w:div>
                    <w:div w:id="294138985">
                      <w:marLeft w:val="0"/>
                      <w:marRight w:val="0"/>
                      <w:marTop w:val="0"/>
                      <w:marBottom w:val="0"/>
                      <w:divBdr>
                        <w:top w:val="none" w:sz="0" w:space="0" w:color="auto"/>
                        <w:left w:val="none" w:sz="0" w:space="0" w:color="auto"/>
                        <w:bottom w:val="none" w:sz="0" w:space="0" w:color="auto"/>
                        <w:right w:val="none" w:sz="0" w:space="0" w:color="auto"/>
                      </w:divBdr>
                      <w:divsChild>
                        <w:div w:id="294144761">
                          <w:marLeft w:val="0"/>
                          <w:marRight w:val="0"/>
                          <w:marTop w:val="0"/>
                          <w:marBottom w:val="0"/>
                          <w:divBdr>
                            <w:top w:val="none" w:sz="0" w:space="0" w:color="auto"/>
                            <w:left w:val="none" w:sz="0" w:space="0" w:color="auto"/>
                            <w:bottom w:val="none" w:sz="0" w:space="0" w:color="auto"/>
                            <w:right w:val="none" w:sz="0" w:space="0" w:color="auto"/>
                          </w:divBdr>
                        </w:div>
                      </w:divsChild>
                    </w:div>
                    <w:div w:id="294139108">
                      <w:marLeft w:val="0"/>
                      <w:marRight w:val="0"/>
                      <w:marTop w:val="0"/>
                      <w:marBottom w:val="0"/>
                      <w:divBdr>
                        <w:top w:val="none" w:sz="0" w:space="0" w:color="auto"/>
                        <w:left w:val="none" w:sz="0" w:space="0" w:color="auto"/>
                        <w:bottom w:val="none" w:sz="0" w:space="0" w:color="auto"/>
                        <w:right w:val="none" w:sz="0" w:space="0" w:color="auto"/>
                      </w:divBdr>
                      <w:divsChild>
                        <w:div w:id="294149850">
                          <w:marLeft w:val="0"/>
                          <w:marRight w:val="0"/>
                          <w:marTop w:val="0"/>
                          <w:marBottom w:val="0"/>
                          <w:divBdr>
                            <w:top w:val="none" w:sz="0" w:space="0" w:color="auto"/>
                            <w:left w:val="none" w:sz="0" w:space="0" w:color="auto"/>
                            <w:bottom w:val="none" w:sz="0" w:space="0" w:color="auto"/>
                            <w:right w:val="none" w:sz="0" w:space="0" w:color="auto"/>
                          </w:divBdr>
                        </w:div>
                      </w:divsChild>
                    </w:div>
                    <w:div w:id="294139126">
                      <w:marLeft w:val="0"/>
                      <w:marRight w:val="0"/>
                      <w:marTop w:val="0"/>
                      <w:marBottom w:val="0"/>
                      <w:divBdr>
                        <w:top w:val="none" w:sz="0" w:space="0" w:color="auto"/>
                        <w:left w:val="none" w:sz="0" w:space="0" w:color="auto"/>
                        <w:bottom w:val="none" w:sz="0" w:space="0" w:color="auto"/>
                        <w:right w:val="none" w:sz="0" w:space="0" w:color="auto"/>
                      </w:divBdr>
                      <w:divsChild>
                        <w:div w:id="294144354">
                          <w:marLeft w:val="0"/>
                          <w:marRight w:val="0"/>
                          <w:marTop w:val="0"/>
                          <w:marBottom w:val="0"/>
                          <w:divBdr>
                            <w:top w:val="none" w:sz="0" w:space="0" w:color="auto"/>
                            <w:left w:val="none" w:sz="0" w:space="0" w:color="auto"/>
                            <w:bottom w:val="none" w:sz="0" w:space="0" w:color="auto"/>
                            <w:right w:val="none" w:sz="0" w:space="0" w:color="auto"/>
                          </w:divBdr>
                        </w:div>
                      </w:divsChild>
                    </w:div>
                    <w:div w:id="294139332">
                      <w:marLeft w:val="0"/>
                      <w:marRight w:val="0"/>
                      <w:marTop w:val="0"/>
                      <w:marBottom w:val="0"/>
                      <w:divBdr>
                        <w:top w:val="none" w:sz="0" w:space="0" w:color="auto"/>
                        <w:left w:val="none" w:sz="0" w:space="0" w:color="auto"/>
                        <w:bottom w:val="none" w:sz="0" w:space="0" w:color="auto"/>
                        <w:right w:val="none" w:sz="0" w:space="0" w:color="auto"/>
                      </w:divBdr>
                      <w:divsChild>
                        <w:div w:id="294155209">
                          <w:marLeft w:val="0"/>
                          <w:marRight w:val="0"/>
                          <w:marTop w:val="0"/>
                          <w:marBottom w:val="0"/>
                          <w:divBdr>
                            <w:top w:val="none" w:sz="0" w:space="0" w:color="auto"/>
                            <w:left w:val="none" w:sz="0" w:space="0" w:color="auto"/>
                            <w:bottom w:val="none" w:sz="0" w:space="0" w:color="auto"/>
                            <w:right w:val="none" w:sz="0" w:space="0" w:color="auto"/>
                          </w:divBdr>
                        </w:div>
                      </w:divsChild>
                    </w:div>
                    <w:div w:id="294139426">
                      <w:marLeft w:val="0"/>
                      <w:marRight w:val="0"/>
                      <w:marTop w:val="0"/>
                      <w:marBottom w:val="0"/>
                      <w:divBdr>
                        <w:top w:val="none" w:sz="0" w:space="0" w:color="auto"/>
                        <w:left w:val="none" w:sz="0" w:space="0" w:color="auto"/>
                        <w:bottom w:val="none" w:sz="0" w:space="0" w:color="auto"/>
                        <w:right w:val="none" w:sz="0" w:space="0" w:color="auto"/>
                      </w:divBdr>
                    </w:div>
                    <w:div w:id="294139441">
                      <w:marLeft w:val="0"/>
                      <w:marRight w:val="0"/>
                      <w:marTop w:val="0"/>
                      <w:marBottom w:val="0"/>
                      <w:divBdr>
                        <w:top w:val="none" w:sz="0" w:space="0" w:color="auto"/>
                        <w:left w:val="none" w:sz="0" w:space="0" w:color="auto"/>
                        <w:bottom w:val="none" w:sz="0" w:space="0" w:color="auto"/>
                        <w:right w:val="none" w:sz="0" w:space="0" w:color="auto"/>
                      </w:divBdr>
                    </w:div>
                    <w:div w:id="294139550">
                      <w:marLeft w:val="0"/>
                      <w:marRight w:val="0"/>
                      <w:marTop w:val="0"/>
                      <w:marBottom w:val="0"/>
                      <w:divBdr>
                        <w:top w:val="none" w:sz="0" w:space="0" w:color="auto"/>
                        <w:left w:val="none" w:sz="0" w:space="0" w:color="auto"/>
                        <w:bottom w:val="none" w:sz="0" w:space="0" w:color="auto"/>
                        <w:right w:val="none" w:sz="0" w:space="0" w:color="auto"/>
                      </w:divBdr>
                    </w:div>
                    <w:div w:id="294139635">
                      <w:marLeft w:val="0"/>
                      <w:marRight w:val="0"/>
                      <w:marTop w:val="0"/>
                      <w:marBottom w:val="0"/>
                      <w:divBdr>
                        <w:top w:val="none" w:sz="0" w:space="0" w:color="auto"/>
                        <w:left w:val="none" w:sz="0" w:space="0" w:color="auto"/>
                        <w:bottom w:val="none" w:sz="0" w:space="0" w:color="auto"/>
                        <w:right w:val="none" w:sz="0" w:space="0" w:color="auto"/>
                      </w:divBdr>
                      <w:divsChild>
                        <w:div w:id="294149265">
                          <w:marLeft w:val="0"/>
                          <w:marRight w:val="0"/>
                          <w:marTop w:val="0"/>
                          <w:marBottom w:val="0"/>
                          <w:divBdr>
                            <w:top w:val="none" w:sz="0" w:space="0" w:color="auto"/>
                            <w:left w:val="none" w:sz="0" w:space="0" w:color="auto"/>
                            <w:bottom w:val="none" w:sz="0" w:space="0" w:color="auto"/>
                            <w:right w:val="none" w:sz="0" w:space="0" w:color="auto"/>
                          </w:divBdr>
                        </w:div>
                      </w:divsChild>
                    </w:div>
                    <w:div w:id="294139804">
                      <w:marLeft w:val="0"/>
                      <w:marRight w:val="0"/>
                      <w:marTop w:val="0"/>
                      <w:marBottom w:val="0"/>
                      <w:divBdr>
                        <w:top w:val="none" w:sz="0" w:space="0" w:color="auto"/>
                        <w:left w:val="none" w:sz="0" w:space="0" w:color="auto"/>
                        <w:bottom w:val="none" w:sz="0" w:space="0" w:color="auto"/>
                        <w:right w:val="none" w:sz="0" w:space="0" w:color="auto"/>
                      </w:divBdr>
                      <w:divsChild>
                        <w:div w:id="294156886">
                          <w:marLeft w:val="0"/>
                          <w:marRight w:val="0"/>
                          <w:marTop w:val="0"/>
                          <w:marBottom w:val="0"/>
                          <w:divBdr>
                            <w:top w:val="none" w:sz="0" w:space="0" w:color="auto"/>
                            <w:left w:val="none" w:sz="0" w:space="0" w:color="auto"/>
                            <w:bottom w:val="none" w:sz="0" w:space="0" w:color="auto"/>
                            <w:right w:val="none" w:sz="0" w:space="0" w:color="auto"/>
                          </w:divBdr>
                        </w:div>
                      </w:divsChild>
                    </w:div>
                    <w:div w:id="294140058">
                      <w:marLeft w:val="0"/>
                      <w:marRight w:val="0"/>
                      <w:marTop w:val="0"/>
                      <w:marBottom w:val="0"/>
                      <w:divBdr>
                        <w:top w:val="none" w:sz="0" w:space="0" w:color="auto"/>
                        <w:left w:val="none" w:sz="0" w:space="0" w:color="auto"/>
                        <w:bottom w:val="none" w:sz="0" w:space="0" w:color="auto"/>
                        <w:right w:val="none" w:sz="0" w:space="0" w:color="auto"/>
                      </w:divBdr>
                      <w:divsChild>
                        <w:div w:id="294154886">
                          <w:marLeft w:val="0"/>
                          <w:marRight w:val="0"/>
                          <w:marTop w:val="0"/>
                          <w:marBottom w:val="0"/>
                          <w:divBdr>
                            <w:top w:val="none" w:sz="0" w:space="0" w:color="auto"/>
                            <w:left w:val="none" w:sz="0" w:space="0" w:color="auto"/>
                            <w:bottom w:val="none" w:sz="0" w:space="0" w:color="auto"/>
                            <w:right w:val="none" w:sz="0" w:space="0" w:color="auto"/>
                          </w:divBdr>
                        </w:div>
                      </w:divsChild>
                    </w:div>
                    <w:div w:id="294140429">
                      <w:marLeft w:val="0"/>
                      <w:marRight w:val="0"/>
                      <w:marTop w:val="0"/>
                      <w:marBottom w:val="0"/>
                      <w:divBdr>
                        <w:top w:val="none" w:sz="0" w:space="0" w:color="auto"/>
                        <w:left w:val="none" w:sz="0" w:space="0" w:color="auto"/>
                        <w:bottom w:val="none" w:sz="0" w:space="0" w:color="auto"/>
                        <w:right w:val="none" w:sz="0" w:space="0" w:color="auto"/>
                      </w:divBdr>
                    </w:div>
                    <w:div w:id="294140431">
                      <w:marLeft w:val="0"/>
                      <w:marRight w:val="0"/>
                      <w:marTop w:val="0"/>
                      <w:marBottom w:val="0"/>
                      <w:divBdr>
                        <w:top w:val="none" w:sz="0" w:space="0" w:color="auto"/>
                        <w:left w:val="none" w:sz="0" w:space="0" w:color="auto"/>
                        <w:bottom w:val="none" w:sz="0" w:space="0" w:color="auto"/>
                        <w:right w:val="none" w:sz="0" w:space="0" w:color="auto"/>
                      </w:divBdr>
                    </w:div>
                    <w:div w:id="294140545">
                      <w:marLeft w:val="0"/>
                      <w:marRight w:val="0"/>
                      <w:marTop w:val="0"/>
                      <w:marBottom w:val="0"/>
                      <w:divBdr>
                        <w:top w:val="none" w:sz="0" w:space="0" w:color="auto"/>
                        <w:left w:val="none" w:sz="0" w:space="0" w:color="auto"/>
                        <w:bottom w:val="none" w:sz="0" w:space="0" w:color="auto"/>
                        <w:right w:val="none" w:sz="0" w:space="0" w:color="auto"/>
                      </w:divBdr>
                    </w:div>
                    <w:div w:id="294140555">
                      <w:marLeft w:val="0"/>
                      <w:marRight w:val="0"/>
                      <w:marTop w:val="0"/>
                      <w:marBottom w:val="0"/>
                      <w:divBdr>
                        <w:top w:val="none" w:sz="0" w:space="0" w:color="auto"/>
                        <w:left w:val="none" w:sz="0" w:space="0" w:color="auto"/>
                        <w:bottom w:val="none" w:sz="0" w:space="0" w:color="auto"/>
                        <w:right w:val="none" w:sz="0" w:space="0" w:color="auto"/>
                      </w:divBdr>
                    </w:div>
                    <w:div w:id="294140590">
                      <w:marLeft w:val="0"/>
                      <w:marRight w:val="0"/>
                      <w:marTop w:val="0"/>
                      <w:marBottom w:val="0"/>
                      <w:divBdr>
                        <w:top w:val="none" w:sz="0" w:space="0" w:color="auto"/>
                        <w:left w:val="none" w:sz="0" w:space="0" w:color="auto"/>
                        <w:bottom w:val="none" w:sz="0" w:space="0" w:color="auto"/>
                        <w:right w:val="none" w:sz="0" w:space="0" w:color="auto"/>
                      </w:divBdr>
                    </w:div>
                    <w:div w:id="294140637">
                      <w:marLeft w:val="0"/>
                      <w:marRight w:val="0"/>
                      <w:marTop w:val="0"/>
                      <w:marBottom w:val="0"/>
                      <w:divBdr>
                        <w:top w:val="none" w:sz="0" w:space="0" w:color="auto"/>
                        <w:left w:val="none" w:sz="0" w:space="0" w:color="auto"/>
                        <w:bottom w:val="none" w:sz="0" w:space="0" w:color="auto"/>
                        <w:right w:val="none" w:sz="0" w:space="0" w:color="auto"/>
                      </w:divBdr>
                      <w:divsChild>
                        <w:div w:id="294142406">
                          <w:marLeft w:val="0"/>
                          <w:marRight w:val="0"/>
                          <w:marTop w:val="0"/>
                          <w:marBottom w:val="0"/>
                          <w:divBdr>
                            <w:top w:val="none" w:sz="0" w:space="0" w:color="auto"/>
                            <w:left w:val="none" w:sz="0" w:space="0" w:color="auto"/>
                            <w:bottom w:val="none" w:sz="0" w:space="0" w:color="auto"/>
                            <w:right w:val="none" w:sz="0" w:space="0" w:color="auto"/>
                          </w:divBdr>
                        </w:div>
                      </w:divsChild>
                    </w:div>
                    <w:div w:id="294140649">
                      <w:marLeft w:val="0"/>
                      <w:marRight w:val="0"/>
                      <w:marTop w:val="0"/>
                      <w:marBottom w:val="0"/>
                      <w:divBdr>
                        <w:top w:val="none" w:sz="0" w:space="0" w:color="auto"/>
                        <w:left w:val="none" w:sz="0" w:space="0" w:color="auto"/>
                        <w:bottom w:val="none" w:sz="0" w:space="0" w:color="auto"/>
                        <w:right w:val="none" w:sz="0" w:space="0" w:color="auto"/>
                      </w:divBdr>
                      <w:divsChild>
                        <w:div w:id="294151970">
                          <w:marLeft w:val="0"/>
                          <w:marRight w:val="0"/>
                          <w:marTop w:val="0"/>
                          <w:marBottom w:val="0"/>
                          <w:divBdr>
                            <w:top w:val="none" w:sz="0" w:space="0" w:color="auto"/>
                            <w:left w:val="none" w:sz="0" w:space="0" w:color="auto"/>
                            <w:bottom w:val="none" w:sz="0" w:space="0" w:color="auto"/>
                            <w:right w:val="none" w:sz="0" w:space="0" w:color="auto"/>
                          </w:divBdr>
                        </w:div>
                      </w:divsChild>
                    </w:div>
                    <w:div w:id="294140968">
                      <w:marLeft w:val="0"/>
                      <w:marRight w:val="0"/>
                      <w:marTop w:val="0"/>
                      <w:marBottom w:val="0"/>
                      <w:divBdr>
                        <w:top w:val="none" w:sz="0" w:space="0" w:color="auto"/>
                        <w:left w:val="none" w:sz="0" w:space="0" w:color="auto"/>
                        <w:bottom w:val="none" w:sz="0" w:space="0" w:color="auto"/>
                        <w:right w:val="none" w:sz="0" w:space="0" w:color="auto"/>
                      </w:divBdr>
                      <w:divsChild>
                        <w:div w:id="294151443">
                          <w:marLeft w:val="0"/>
                          <w:marRight w:val="0"/>
                          <w:marTop w:val="0"/>
                          <w:marBottom w:val="0"/>
                          <w:divBdr>
                            <w:top w:val="none" w:sz="0" w:space="0" w:color="auto"/>
                            <w:left w:val="none" w:sz="0" w:space="0" w:color="auto"/>
                            <w:bottom w:val="none" w:sz="0" w:space="0" w:color="auto"/>
                            <w:right w:val="none" w:sz="0" w:space="0" w:color="auto"/>
                          </w:divBdr>
                        </w:div>
                      </w:divsChild>
                    </w:div>
                    <w:div w:id="294141293">
                      <w:marLeft w:val="0"/>
                      <w:marRight w:val="0"/>
                      <w:marTop w:val="0"/>
                      <w:marBottom w:val="0"/>
                      <w:divBdr>
                        <w:top w:val="none" w:sz="0" w:space="0" w:color="auto"/>
                        <w:left w:val="none" w:sz="0" w:space="0" w:color="auto"/>
                        <w:bottom w:val="none" w:sz="0" w:space="0" w:color="auto"/>
                        <w:right w:val="none" w:sz="0" w:space="0" w:color="auto"/>
                      </w:divBdr>
                      <w:divsChild>
                        <w:div w:id="294154115">
                          <w:marLeft w:val="0"/>
                          <w:marRight w:val="0"/>
                          <w:marTop w:val="0"/>
                          <w:marBottom w:val="0"/>
                          <w:divBdr>
                            <w:top w:val="none" w:sz="0" w:space="0" w:color="auto"/>
                            <w:left w:val="none" w:sz="0" w:space="0" w:color="auto"/>
                            <w:bottom w:val="none" w:sz="0" w:space="0" w:color="auto"/>
                            <w:right w:val="none" w:sz="0" w:space="0" w:color="auto"/>
                          </w:divBdr>
                        </w:div>
                      </w:divsChild>
                    </w:div>
                    <w:div w:id="294141310">
                      <w:marLeft w:val="0"/>
                      <w:marRight w:val="0"/>
                      <w:marTop w:val="0"/>
                      <w:marBottom w:val="0"/>
                      <w:divBdr>
                        <w:top w:val="none" w:sz="0" w:space="0" w:color="auto"/>
                        <w:left w:val="none" w:sz="0" w:space="0" w:color="auto"/>
                        <w:bottom w:val="none" w:sz="0" w:space="0" w:color="auto"/>
                        <w:right w:val="none" w:sz="0" w:space="0" w:color="auto"/>
                      </w:divBdr>
                      <w:divsChild>
                        <w:div w:id="294152756">
                          <w:marLeft w:val="0"/>
                          <w:marRight w:val="0"/>
                          <w:marTop w:val="0"/>
                          <w:marBottom w:val="0"/>
                          <w:divBdr>
                            <w:top w:val="none" w:sz="0" w:space="0" w:color="auto"/>
                            <w:left w:val="none" w:sz="0" w:space="0" w:color="auto"/>
                            <w:bottom w:val="none" w:sz="0" w:space="0" w:color="auto"/>
                            <w:right w:val="none" w:sz="0" w:space="0" w:color="auto"/>
                          </w:divBdr>
                        </w:div>
                      </w:divsChild>
                    </w:div>
                    <w:div w:id="294141318">
                      <w:marLeft w:val="0"/>
                      <w:marRight w:val="0"/>
                      <w:marTop w:val="0"/>
                      <w:marBottom w:val="0"/>
                      <w:divBdr>
                        <w:top w:val="none" w:sz="0" w:space="0" w:color="auto"/>
                        <w:left w:val="none" w:sz="0" w:space="0" w:color="auto"/>
                        <w:bottom w:val="none" w:sz="0" w:space="0" w:color="auto"/>
                        <w:right w:val="none" w:sz="0" w:space="0" w:color="auto"/>
                      </w:divBdr>
                    </w:div>
                    <w:div w:id="294141347">
                      <w:marLeft w:val="0"/>
                      <w:marRight w:val="0"/>
                      <w:marTop w:val="0"/>
                      <w:marBottom w:val="0"/>
                      <w:divBdr>
                        <w:top w:val="none" w:sz="0" w:space="0" w:color="auto"/>
                        <w:left w:val="none" w:sz="0" w:space="0" w:color="auto"/>
                        <w:bottom w:val="none" w:sz="0" w:space="0" w:color="auto"/>
                        <w:right w:val="none" w:sz="0" w:space="0" w:color="auto"/>
                      </w:divBdr>
                      <w:divsChild>
                        <w:div w:id="294154773">
                          <w:marLeft w:val="0"/>
                          <w:marRight w:val="0"/>
                          <w:marTop w:val="0"/>
                          <w:marBottom w:val="0"/>
                          <w:divBdr>
                            <w:top w:val="none" w:sz="0" w:space="0" w:color="auto"/>
                            <w:left w:val="none" w:sz="0" w:space="0" w:color="auto"/>
                            <w:bottom w:val="none" w:sz="0" w:space="0" w:color="auto"/>
                            <w:right w:val="none" w:sz="0" w:space="0" w:color="auto"/>
                          </w:divBdr>
                        </w:div>
                      </w:divsChild>
                    </w:div>
                    <w:div w:id="294141404">
                      <w:marLeft w:val="0"/>
                      <w:marRight w:val="0"/>
                      <w:marTop w:val="0"/>
                      <w:marBottom w:val="0"/>
                      <w:divBdr>
                        <w:top w:val="none" w:sz="0" w:space="0" w:color="auto"/>
                        <w:left w:val="none" w:sz="0" w:space="0" w:color="auto"/>
                        <w:bottom w:val="none" w:sz="0" w:space="0" w:color="auto"/>
                        <w:right w:val="none" w:sz="0" w:space="0" w:color="auto"/>
                      </w:divBdr>
                      <w:divsChild>
                        <w:div w:id="294156982">
                          <w:marLeft w:val="0"/>
                          <w:marRight w:val="0"/>
                          <w:marTop w:val="0"/>
                          <w:marBottom w:val="0"/>
                          <w:divBdr>
                            <w:top w:val="none" w:sz="0" w:space="0" w:color="auto"/>
                            <w:left w:val="none" w:sz="0" w:space="0" w:color="auto"/>
                            <w:bottom w:val="none" w:sz="0" w:space="0" w:color="auto"/>
                            <w:right w:val="none" w:sz="0" w:space="0" w:color="auto"/>
                          </w:divBdr>
                        </w:div>
                      </w:divsChild>
                    </w:div>
                    <w:div w:id="294141421">
                      <w:marLeft w:val="0"/>
                      <w:marRight w:val="0"/>
                      <w:marTop w:val="0"/>
                      <w:marBottom w:val="0"/>
                      <w:divBdr>
                        <w:top w:val="none" w:sz="0" w:space="0" w:color="auto"/>
                        <w:left w:val="none" w:sz="0" w:space="0" w:color="auto"/>
                        <w:bottom w:val="none" w:sz="0" w:space="0" w:color="auto"/>
                        <w:right w:val="none" w:sz="0" w:space="0" w:color="auto"/>
                      </w:divBdr>
                    </w:div>
                    <w:div w:id="294141424">
                      <w:marLeft w:val="0"/>
                      <w:marRight w:val="0"/>
                      <w:marTop w:val="0"/>
                      <w:marBottom w:val="0"/>
                      <w:divBdr>
                        <w:top w:val="none" w:sz="0" w:space="0" w:color="auto"/>
                        <w:left w:val="none" w:sz="0" w:space="0" w:color="auto"/>
                        <w:bottom w:val="none" w:sz="0" w:space="0" w:color="auto"/>
                        <w:right w:val="none" w:sz="0" w:space="0" w:color="auto"/>
                      </w:divBdr>
                    </w:div>
                    <w:div w:id="294141529">
                      <w:marLeft w:val="0"/>
                      <w:marRight w:val="0"/>
                      <w:marTop w:val="0"/>
                      <w:marBottom w:val="0"/>
                      <w:divBdr>
                        <w:top w:val="none" w:sz="0" w:space="0" w:color="auto"/>
                        <w:left w:val="none" w:sz="0" w:space="0" w:color="auto"/>
                        <w:bottom w:val="none" w:sz="0" w:space="0" w:color="auto"/>
                        <w:right w:val="none" w:sz="0" w:space="0" w:color="auto"/>
                      </w:divBdr>
                    </w:div>
                    <w:div w:id="294141564">
                      <w:marLeft w:val="0"/>
                      <w:marRight w:val="0"/>
                      <w:marTop w:val="0"/>
                      <w:marBottom w:val="0"/>
                      <w:divBdr>
                        <w:top w:val="none" w:sz="0" w:space="0" w:color="auto"/>
                        <w:left w:val="none" w:sz="0" w:space="0" w:color="auto"/>
                        <w:bottom w:val="none" w:sz="0" w:space="0" w:color="auto"/>
                        <w:right w:val="none" w:sz="0" w:space="0" w:color="auto"/>
                      </w:divBdr>
                      <w:divsChild>
                        <w:div w:id="294149217">
                          <w:marLeft w:val="0"/>
                          <w:marRight w:val="0"/>
                          <w:marTop w:val="0"/>
                          <w:marBottom w:val="0"/>
                          <w:divBdr>
                            <w:top w:val="none" w:sz="0" w:space="0" w:color="auto"/>
                            <w:left w:val="none" w:sz="0" w:space="0" w:color="auto"/>
                            <w:bottom w:val="none" w:sz="0" w:space="0" w:color="auto"/>
                            <w:right w:val="none" w:sz="0" w:space="0" w:color="auto"/>
                          </w:divBdr>
                        </w:div>
                      </w:divsChild>
                    </w:div>
                    <w:div w:id="294141613">
                      <w:marLeft w:val="0"/>
                      <w:marRight w:val="0"/>
                      <w:marTop w:val="0"/>
                      <w:marBottom w:val="0"/>
                      <w:divBdr>
                        <w:top w:val="none" w:sz="0" w:space="0" w:color="auto"/>
                        <w:left w:val="none" w:sz="0" w:space="0" w:color="auto"/>
                        <w:bottom w:val="none" w:sz="0" w:space="0" w:color="auto"/>
                        <w:right w:val="none" w:sz="0" w:space="0" w:color="auto"/>
                      </w:divBdr>
                      <w:divsChild>
                        <w:div w:id="294139868">
                          <w:marLeft w:val="0"/>
                          <w:marRight w:val="0"/>
                          <w:marTop w:val="0"/>
                          <w:marBottom w:val="0"/>
                          <w:divBdr>
                            <w:top w:val="none" w:sz="0" w:space="0" w:color="auto"/>
                            <w:left w:val="none" w:sz="0" w:space="0" w:color="auto"/>
                            <w:bottom w:val="none" w:sz="0" w:space="0" w:color="auto"/>
                            <w:right w:val="none" w:sz="0" w:space="0" w:color="auto"/>
                          </w:divBdr>
                        </w:div>
                      </w:divsChild>
                    </w:div>
                    <w:div w:id="294141655">
                      <w:marLeft w:val="0"/>
                      <w:marRight w:val="0"/>
                      <w:marTop w:val="0"/>
                      <w:marBottom w:val="0"/>
                      <w:divBdr>
                        <w:top w:val="none" w:sz="0" w:space="0" w:color="auto"/>
                        <w:left w:val="none" w:sz="0" w:space="0" w:color="auto"/>
                        <w:bottom w:val="none" w:sz="0" w:space="0" w:color="auto"/>
                        <w:right w:val="none" w:sz="0" w:space="0" w:color="auto"/>
                      </w:divBdr>
                    </w:div>
                    <w:div w:id="294141924">
                      <w:marLeft w:val="0"/>
                      <w:marRight w:val="0"/>
                      <w:marTop w:val="0"/>
                      <w:marBottom w:val="0"/>
                      <w:divBdr>
                        <w:top w:val="none" w:sz="0" w:space="0" w:color="auto"/>
                        <w:left w:val="none" w:sz="0" w:space="0" w:color="auto"/>
                        <w:bottom w:val="none" w:sz="0" w:space="0" w:color="auto"/>
                        <w:right w:val="none" w:sz="0" w:space="0" w:color="auto"/>
                      </w:divBdr>
                    </w:div>
                    <w:div w:id="294142072">
                      <w:marLeft w:val="0"/>
                      <w:marRight w:val="0"/>
                      <w:marTop w:val="0"/>
                      <w:marBottom w:val="0"/>
                      <w:divBdr>
                        <w:top w:val="none" w:sz="0" w:space="0" w:color="auto"/>
                        <w:left w:val="none" w:sz="0" w:space="0" w:color="auto"/>
                        <w:bottom w:val="none" w:sz="0" w:space="0" w:color="auto"/>
                        <w:right w:val="none" w:sz="0" w:space="0" w:color="auto"/>
                      </w:divBdr>
                    </w:div>
                    <w:div w:id="294142108">
                      <w:marLeft w:val="0"/>
                      <w:marRight w:val="0"/>
                      <w:marTop w:val="0"/>
                      <w:marBottom w:val="0"/>
                      <w:divBdr>
                        <w:top w:val="none" w:sz="0" w:space="0" w:color="auto"/>
                        <w:left w:val="none" w:sz="0" w:space="0" w:color="auto"/>
                        <w:bottom w:val="none" w:sz="0" w:space="0" w:color="auto"/>
                        <w:right w:val="none" w:sz="0" w:space="0" w:color="auto"/>
                      </w:divBdr>
                      <w:divsChild>
                        <w:div w:id="294152708">
                          <w:marLeft w:val="0"/>
                          <w:marRight w:val="0"/>
                          <w:marTop w:val="0"/>
                          <w:marBottom w:val="0"/>
                          <w:divBdr>
                            <w:top w:val="none" w:sz="0" w:space="0" w:color="auto"/>
                            <w:left w:val="none" w:sz="0" w:space="0" w:color="auto"/>
                            <w:bottom w:val="none" w:sz="0" w:space="0" w:color="auto"/>
                            <w:right w:val="none" w:sz="0" w:space="0" w:color="auto"/>
                          </w:divBdr>
                        </w:div>
                      </w:divsChild>
                    </w:div>
                    <w:div w:id="294142538">
                      <w:marLeft w:val="0"/>
                      <w:marRight w:val="0"/>
                      <w:marTop w:val="0"/>
                      <w:marBottom w:val="0"/>
                      <w:divBdr>
                        <w:top w:val="none" w:sz="0" w:space="0" w:color="auto"/>
                        <w:left w:val="none" w:sz="0" w:space="0" w:color="auto"/>
                        <w:bottom w:val="none" w:sz="0" w:space="0" w:color="auto"/>
                        <w:right w:val="none" w:sz="0" w:space="0" w:color="auto"/>
                      </w:divBdr>
                    </w:div>
                    <w:div w:id="294142573">
                      <w:marLeft w:val="0"/>
                      <w:marRight w:val="0"/>
                      <w:marTop w:val="0"/>
                      <w:marBottom w:val="0"/>
                      <w:divBdr>
                        <w:top w:val="none" w:sz="0" w:space="0" w:color="auto"/>
                        <w:left w:val="none" w:sz="0" w:space="0" w:color="auto"/>
                        <w:bottom w:val="none" w:sz="0" w:space="0" w:color="auto"/>
                        <w:right w:val="none" w:sz="0" w:space="0" w:color="auto"/>
                      </w:divBdr>
                    </w:div>
                    <w:div w:id="294142761">
                      <w:marLeft w:val="0"/>
                      <w:marRight w:val="0"/>
                      <w:marTop w:val="0"/>
                      <w:marBottom w:val="0"/>
                      <w:divBdr>
                        <w:top w:val="none" w:sz="0" w:space="0" w:color="auto"/>
                        <w:left w:val="none" w:sz="0" w:space="0" w:color="auto"/>
                        <w:bottom w:val="none" w:sz="0" w:space="0" w:color="auto"/>
                        <w:right w:val="none" w:sz="0" w:space="0" w:color="auto"/>
                      </w:divBdr>
                    </w:div>
                    <w:div w:id="294142784">
                      <w:marLeft w:val="0"/>
                      <w:marRight w:val="0"/>
                      <w:marTop w:val="0"/>
                      <w:marBottom w:val="0"/>
                      <w:divBdr>
                        <w:top w:val="none" w:sz="0" w:space="0" w:color="auto"/>
                        <w:left w:val="none" w:sz="0" w:space="0" w:color="auto"/>
                        <w:bottom w:val="none" w:sz="0" w:space="0" w:color="auto"/>
                        <w:right w:val="none" w:sz="0" w:space="0" w:color="auto"/>
                      </w:divBdr>
                      <w:divsChild>
                        <w:div w:id="294155354">
                          <w:marLeft w:val="0"/>
                          <w:marRight w:val="0"/>
                          <w:marTop w:val="0"/>
                          <w:marBottom w:val="0"/>
                          <w:divBdr>
                            <w:top w:val="none" w:sz="0" w:space="0" w:color="auto"/>
                            <w:left w:val="none" w:sz="0" w:space="0" w:color="auto"/>
                            <w:bottom w:val="none" w:sz="0" w:space="0" w:color="auto"/>
                            <w:right w:val="none" w:sz="0" w:space="0" w:color="auto"/>
                          </w:divBdr>
                        </w:div>
                      </w:divsChild>
                    </w:div>
                    <w:div w:id="294142843">
                      <w:marLeft w:val="0"/>
                      <w:marRight w:val="0"/>
                      <w:marTop w:val="0"/>
                      <w:marBottom w:val="0"/>
                      <w:divBdr>
                        <w:top w:val="none" w:sz="0" w:space="0" w:color="auto"/>
                        <w:left w:val="none" w:sz="0" w:space="0" w:color="auto"/>
                        <w:bottom w:val="none" w:sz="0" w:space="0" w:color="auto"/>
                        <w:right w:val="none" w:sz="0" w:space="0" w:color="auto"/>
                      </w:divBdr>
                      <w:divsChild>
                        <w:div w:id="294147588">
                          <w:marLeft w:val="0"/>
                          <w:marRight w:val="0"/>
                          <w:marTop w:val="0"/>
                          <w:marBottom w:val="0"/>
                          <w:divBdr>
                            <w:top w:val="none" w:sz="0" w:space="0" w:color="auto"/>
                            <w:left w:val="none" w:sz="0" w:space="0" w:color="auto"/>
                            <w:bottom w:val="none" w:sz="0" w:space="0" w:color="auto"/>
                            <w:right w:val="none" w:sz="0" w:space="0" w:color="auto"/>
                          </w:divBdr>
                        </w:div>
                      </w:divsChild>
                    </w:div>
                    <w:div w:id="294142942">
                      <w:marLeft w:val="0"/>
                      <w:marRight w:val="0"/>
                      <w:marTop w:val="0"/>
                      <w:marBottom w:val="0"/>
                      <w:divBdr>
                        <w:top w:val="none" w:sz="0" w:space="0" w:color="auto"/>
                        <w:left w:val="none" w:sz="0" w:space="0" w:color="auto"/>
                        <w:bottom w:val="none" w:sz="0" w:space="0" w:color="auto"/>
                        <w:right w:val="none" w:sz="0" w:space="0" w:color="auto"/>
                      </w:divBdr>
                    </w:div>
                    <w:div w:id="294143303">
                      <w:marLeft w:val="0"/>
                      <w:marRight w:val="0"/>
                      <w:marTop w:val="0"/>
                      <w:marBottom w:val="0"/>
                      <w:divBdr>
                        <w:top w:val="none" w:sz="0" w:space="0" w:color="auto"/>
                        <w:left w:val="none" w:sz="0" w:space="0" w:color="auto"/>
                        <w:bottom w:val="none" w:sz="0" w:space="0" w:color="auto"/>
                        <w:right w:val="none" w:sz="0" w:space="0" w:color="auto"/>
                      </w:divBdr>
                    </w:div>
                    <w:div w:id="294143314">
                      <w:marLeft w:val="0"/>
                      <w:marRight w:val="0"/>
                      <w:marTop w:val="0"/>
                      <w:marBottom w:val="0"/>
                      <w:divBdr>
                        <w:top w:val="none" w:sz="0" w:space="0" w:color="auto"/>
                        <w:left w:val="none" w:sz="0" w:space="0" w:color="auto"/>
                        <w:bottom w:val="none" w:sz="0" w:space="0" w:color="auto"/>
                        <w:right w:val="none" w:sz="0" w:space="0" w:color="auto"/>
                      </w:divBdr>
                    </w:div>
                    <w:div w:id="294143430">
                      <w:marLeft w:val="0"/>
                      <w:marRight w:val="0"/>
                      <w:marTop w:val="0"/>
                      <w:marBottom w:val="0"/>
                      <w:divBdr>
                        <w:top w:val="none" w:sz="0" w:space="0" w:color="auto"/>
                        <w:left w:val="none" w:sz="0" w:space="0" w:color="auto"/>
                        <w:bottom w:val="none" w:sz="0" w:space="0" w:color="auto"/>
                        <w:right w:val="none" w:sz="0" w:space="0" w:color="auto"/>
                      </w:divBdr>
                      <w:divsChild>
                        <w:div w:id="294155800">
                          <w:marLeft w:val="0"/>
                          <w:marRight w:val="0"/>
                          <w:marTop w:val="0"/>
                          <w:marBottom w:val="0"/>
                          <w:divBdr>
                            <w:top w:val="none" w:sz="0" w:space="0" w:color="auto"/>
                            <w:left w:val="none" w:sz="0" w:space="0" w:color="auto"/>
                            <w:bottom w:val="none" w:sz="0" w:space="0" w:color="auto"/>
                            <w:right w:val="none" w:sz="0" w:space="0" w:color="auto"/>
                          </w:divBdr>
                        </w:div>
                      </w:divsChild>
                    </w:div>
                    <w:div w:id="294143438">
                      <w:marLeft w:val="0"/>
                      <w:marRight w:val="0"/>
                      <w:marTop w:val="0"/>
                      <w:marBottom w:val="0"/>
                      <w:divBdr>
                        <w:top w:val="none" w:sz="0" w:space="0" w:color="auto"/>
                        <w:left w:val="none" w:sz="0" w:space="0" w:color="auto"/>
                        <w:bottom w:val="none" w:sz="0" w:space="0" w:color="auto"/>
                        <w:right w:val="none" w:sz="0" w:space="0" w:color="auto"/>
                      </w:divBdr>
                      <w:divsChild>
                        <w:div w:id="294153561">
                          <w:marLeft w:val="0"/>
                          <w:marRight w:val="0"/>
                          <w:marTop w:val="0"/>
                          <w:marBottom w:val="0"/>
                          <w:divBdr>
                            <w:top w:val="none" w:sz="0" w:space="0" w:color="auto"/>
                            <w:left w:val="none" w:sz="0" w:space="0" w:color="auto"/>
                            <w:bottom w:val="none" w:sz="0" w:space="0" w:color="auto"/>
                            <w:right w:val="none" w:sz="0" w:space="0" w:color="auto"/>
                          </w:divBdr>
                        </w:div>
                      </w:divsChild>
                    </w:div>
                    <w:div w:id="294143818">
                      <w:marLeft w:val="0"/>
                      <w:marRight w:val="0"/>
                      <w:marTop w:val="0"/>
                      <w:marBottom w:val="0"/>
                      <w:divBdr>
                        <w:top w:val="none" w:sz="0" w:space="0" w:color="auto"/>
                        <w:left w:val="none" w:sz="0" w:space="0" w:color="auto"/>
                        <w:bottom w:val="none" w:sz="0" w:space="0" w:color="auto"/>
                        <w:right w:val="none" w:sz="0" w:space="0" w:color="auto"/>
                      </w:divBdr>
                    </w:div>
                    <w:div w:id="294143909">
                      <w:marLeft w:val="0"/>
                      <w:marRight w:val="0"/>
                      <w:marTop w:val="0"/>
                      <w:marBottom w:val="0"/>
                      <w:divBdr>
                        <w:top w:val="none" w:sz="0" w:space="0" w:color="auto"/>
                        <w:left w:val="none" w:sz="0" w:space="0" w:color="auto"/>
                        <w:bottom w:val="none" w:sz="0" w:space="0" w:color="auto"/>
                        <w:right w:val="none" w:sz="0" w:space="0" w:color="auto"/>
                      </w:divBdr>
                    </w:div>
                    <w:div w:id="294144040">
                      <w:marLeft w:val="0"/>
                      <w:marRight w:val="0"/>
                      <w:marTop w:val="0"/>
                      <w:marBottom w:val="0"/>
                      <w:divBdr>
                        <w:top w:val="none" w:sz="0" w:space="0" w:color="auto"/>
                        <w:left w:val="none" w:sz="0" w:space="0" w:color="auto"/>
                        <w:bottom w:val="none" w:sz="0" w:space="0" w:color="auto"/>
                        <w:right w:val="none" w:sz="0" w:space="0" w:color="auto"/>
                      </w:divBdr>
                    </w:div>
                    <w:div w:id="294144108">
                      <w:marLeft w:val="0"/>
                      <w:marRight w:val="0"/>
                      <w:marTop w:val="0"/>
                      <w:marBottom w:val="0"/>
                      <w:divBdr>
                        <w:top w:val="none" w:sz="0" w:space="0" w:color="auto"/>
                        <w:left w:val="none" w:sz="0" w:space="0" w:color="auto"/>
                        <w:bottom w:val="none" w:sz="0" w:space="0" w:color="auto"/>
                        <w:right w:val="none" w:sz="0" w:space="0" w:color="auto"/>
                      </w:divBdr>
                      <w:divsChild>
                        <w:div w:id="294142774">
                          <w:marLeft w:val="0"/>
                          <w:marRight w:val="0"/>
                          <w:marTop w:val="0"/>
                          <w:marBottom w:val="0"/>
                          <w:divBdr>
                            <w:top w:val="none" w:sz="0" w:space="0" w:color="auto"/>
                            <w:left w:val="none" w:sz="0" w:space="0" w:color="auto"/>
                            <w:bottom w:val="none" w:sz="0" w:space="0" w:color="auto"/>
                            <w:right w:val="none" w:sz="0" w:space="0" w:color="auto"/>
                          </w:divBdr>
                        </w:div>
                      </w:divsChild>
                    </w:div>
                    <w:div w:id="294144116">
                      <w:marLeft w:val="0"/>
                      <w:marRight w:val="0"/>
                      <w:marTop w:val="0"/>
                      <w:marBottom w:val="0"/>
                      <w:divBdr>
                        <w:top w:val="none" w:sz="0" w:space="0" w:color="auto"/>
                        <w:left w:val="none" w:sz="0" w:space="0" w:color="auto"/>
                        <w:bottom w:val="none" w:sz="0" w:space="0" w:color="auto"/>
                        <w:right w:val="none" w:sz="0" w:space="0" w:color="auto"/>
                      </w:divBdr>
                      <w:divsChild>
                        <w:div w:id="294147692">
                          <w:marLeft w:val="0"/>
                          <w:marRight w:val="0"/>
                          <w:marTop w:val="0"/>
                          <w:marBottom w:val="0"/>
                          <w:divBdr>
                            <w:top w:val="none" w:sz="0" w:space="0" w:color="auto"/>
                            <w:left w:val="none" w:sz="0" w:space="0" w:color="auto"/>
                            <w:bottom w:val="none" w:sz="0" w:space="0" w:color="auto"/>
                            <w:right w:val="none" w:sz="0" w:space="0" w:color="auto"/>
                          </w:divBdr>
                        </w:div>
                      </w:divsChild>
                    </w:div>
                    <w:div w:id="294144190">
                      <w:marLeft w:val="0"/>
                      <w:marRight w:val="0"/>
                      <w:marTop w:val="0"/>
                      <w:marBottom w:val="0"/>
                      <w:divBdr>
                        <w:top w:val="none" w:sz="0" w:space="0" w:color="auto"/>
                        <w:left w:val="none" w:sz="0" w:space="0" w:color="auto"/>
                        <w:bottom w:val="none" w:sz="0" w:space="0" w:color="auto"/>
                        <w:right w:val="none" w:sz="0" w:space="0" w:color="auto"/>
                      </w:divBdr>
                      <w:divsChild>
                        <w:div w:id="294146909">
                          <w:marLeft w:val="0"/>
                          <w:marRight w:val="0"/>
                          <w:marTop w:val="0"/>
                          <w:marBottom w:val="0"/>
                          <w:divBdr>
                            <w:top w:val="none" w:sz="0" w:space="0" w:color="auto"/>
                            <w:left w:val="none" w:sz="0" w:space="0" w:color="auto"/>
                            <w:bottom w:val="none" w:sz="0" w:space="0" w:color="auto"/>
                            <w:right w:val="none" w:sz="0" w:space="0" w:color="auto"/>
                          </w:divBdr>
                        </w:div>
                      </w:divsChild>
                    </w:div>
                    <w:div w:id="294144332">
                      <w:marLeft w:val="0"/>
                      <w:marRight w:val="0"/>
                      <w:marTop w:val="0"/>
                      <w:marBottom w:val="0"/>
                      <w:divBdr>
                        <w:top w:val="none" w:sz="0" w:space="0" w:color="auto"/>
                        <w:left w:val="none" w:sz="0" w:space="0" w:color="auto"/>
                        <w:bottom w:val="none" w:sz="0" w:space="0" w:color="auto"/>
                        <w:right w:val="none" w:sz="0" w:space="0" w:color="auto"/>
                      </w:divBdr>
                      <w:divsChild>
                        <w:div w:id="294149266">
                          <w:marLeft w:val="0"/>
                          <w:marRight w:val="0"/>
                          <w:marTop w:val="0"/>
                          <w:marBottom w:val="0"/>
                          <w:divBdr>
                            <w:top w:val="none" w:sz="0" w:space="0" w:color="auto"/>
                            <w:left w:val="none" w:sz="0" w:space="0" w:color="auto"/>
                            <w:bottom w:val="none" w:sz="0" w:space="0" w:color="auto"/>
                            <w:right w:val="none" w:sz="0" w:space="0" w:color="auto"/>
                          </w:divBdr>
                        </w:div>
                      </w:divsChild>
                    </w:div>
                    <w:div w:id="294144345">
                      <w:marLeft w:val="0"/>
                      <w:marRight w:val="0"/>
                      <w:marTop w:val="0"/>
                      <w:marBottom w:val="0"/>
                      <w:divBdr>
                        <w:top w:val="none" w:sz="0" w:space="0" w:color="auto"/>
                        <w:left w:val="none" w:sz="0" w:space="0" w:color="auto"/>
                        <w:bottom w:val="none" w:sz="0" w:space="0" w:color="auto"/>
                        <w:right w:val="none" w:sz="0" w:space="0" w:color="auto"/>
                      </w:divBdr>
                    </w:div>
                    <w:div w:id="294144510">
                      <w:marLeft w:val="0"/>
                      <w:marRight w:val="0"/>
                      <w:marTop w:val="0"/>
                      <w:marBottom w:val="0"/>
                      <w:divBdr>
                        <w:top w:val="none" w:sz="0" w:space="0" w:color="auto"/>
                        <w:left w:val="none" w:sz="0" w:space="0" w:color="auto"/>
                        <w:bottom w:val="none" w:sz="0" w:space="0" w:color="auto"/>
                        <w:right w:val="none" w:sz="0" w:space="0" w:color="auto"/>
                      </w:divBdr>
                    </w:div>
                    <w:div w:id="294144549">
                      <w:marLeft w:val="0"/>
                      <w:marRight w:val="0"/>
                      <w:marTop w:val="0"/>
                      <w:marBottom w:val="0"/>
                      <w:divBdr>
                        <w:top w:val="none" w:sz="0" w:space="0" w:color="auto"/>
                        <w:left w:val="none" w:sz="0" w:space="0" w:color="auto"/>
                        <w:bottom w:val="none" w:sz="0" w:space="0" w:color="auto"/>
                        <w:right w:val="none" w:sz="0" w:space="0" w:color="auto"/>
                      </w:divBdr>
                    </w:div>
                    <w:div w:id="294144572">
                      <w:marLeft w:val="0"/>
                      <w:marRight w:val="0"/>
                      <w:marTop w:val="0"/>
                      <w:marBottom w:val="0"/>
                      <w:divBdr>
                        <w:top w:val="none" w:sz="0" w:space="0" w:color="auto"/>
                        <w:left w:val="none" w:sz="0" w:space="0" w:color="auto"/>
                        <w:bottom w:val="none" w:sz="0" w:space="0" w:color="auto"/>
                        <w:right w:val="none" w:sz="0" w:space="0" w:color="auto"/>
                      </w:divBdr>
                      <w:divsChild>
                        <w:div w:id="294140237">
                          <w:marLeft w:val="0"/>
                          <w:marRight w:val="0"/>
                          <w:marTop w:val="0"/>
                          <w:marBottom w:val="0"/>
                          <w:divBdr>
                            <w:top w:val="none" w:sz="0" w:space="0" w:color="auto"/>
                            <w:left w:val="none" w:sz="0" w:space="0" w:color="auto"/>
                            <w:bottom w:val="none" w:sz="0" w:space="0" w:color="auto"/>
                            <w:right w:val="none" w:sz="0" w:space="0" w:color="auto"/>
                          </w:divBdr>
                        </w:div>
                      </w:divsChild>
                    </w:div>
                    <w:div w:id="294144704">
                      <w:marLeft w:val="0"/>
                      <w:marRight w:val="0"/>
                      <w:marTop w:val="0"/>
                      <w:marBottom w:val="0"/>
                      <w:divBdr>
                        <w:top w:val="none" w:sz="0" w:space="0" w:color="auto"/>
                        <w:left w:val="none" w:sz="0" w:space="0" w:color="auto"/>
                        <w:bottom w:val="none" w:sz="0" w:space="0" w:color="auto"/>
                        <w:right w:val="none" w:sz="0" w:space="0" w:color="auto"/>
                      </w:divBdr>
                    </w:div>
                    <w:div w:id="294144733">
                      <w:marLeft w:val="0"/>
                      <w:marRight w:val="0"/>
                      <w:marTop w:val="0"/>
                      <w:marBottom w:val="0"/>
                      <w:divBdr>
                        <w:top w:val="none" w:sz="0" w:space="0" w:color="auto"/>
                        <w:left w:val="none" w:sz="0" w:space="0" w:color="auto"/>
                        <w:bottom w:val="none" w:sz="0" w:space="0" w:color="auto"/>
                        <w:right w:val="none" w:sz="0" w:space="0" w:color="auto"/>
                      </w:divBdr>
                      <w:divsChild>
                        <w:div w:id="294153460">
                          <w:marLeft w:val="0"/>
                          <w:marRight w:val="0"/>
                          <w:marTop w:val="0"/>
                          <w:marBottom w:val="0"/>
                          <w:divBdr>
                            <w:top w:val="none" w:sz="0" w:space="0" w:color="auto"/>
                            <w:left w:val="none" w:sz="0" w:space="0" w:color="auto"/>
                            <w:bottom w:val="none" w:sz="0" w:space="0" w:color="auto"/>
                            <w:right w:val="none" w:sz="0" w:space="0" w:color="auto"/>
                          </w:divBdr>
                        </w:div>
                      </w:divsChild>
                    </w:div>
                    <w:div w:id="294144822">
                      <w:marLeft w:val="0"/>
                      <w:marRight w:val="0"/>
                      <w:marTop w:val="0"/>
                      <w:marBottom w:val="0"/>
                      <w:divBdr>
                        <w:top w:val="none" w:sz="0" w:space="0" w:color="auto"/>
                        <w:left w:val="none" w:sz="0" w:space="0" w:color="auto"/>
                        <w:bottom w:val="none" w:sz="0" w:space="0" w:color="auto"/>
                        <w:right w:val="none" w:sz="0" w:space="0" w:color="auto"/>
                      </w:divBdr>
                    </w:div>
                    <w:div w:id="294144858">
                      <w:marLeft w:val="0"/>
                      <w:marRight w:val="0"/>
                      <w:marTop w:val="0"/>
                      <w:marBottom w:val="0"/>
                      <w:divBdr>
                        <w:top w:val="none" w:sz="0" w:space="0" w:color="auto"/>
                        <w:left w:val="none" w:sz="0" w:space="0" w:color="auto"/>
                        <w:bottom w:val="none" w:sz="0" w:space="0" w:color="auto"/>
                        <w:right w:val="none" w:sz="0" w:space="0" w:color="auto"/>
                      </w:divBdr>
                      <w:divsChild>
                        <w:div w:id="294155278">
                          <w:marLeft w:val="0"/>
                          <w:marRight w:val="0"/>
                          <w:marTop w:val="0"/>
                          <w:marBottom w:val="0"/>
                          <w:divBdr>
                            <w:top w:val="none" w:sz="0" w:space="0" w:color="auto"/>
                            <w:left w:val="none" w:sz="0" w:space="0" w:color="auto"/>
                            <w:bottom w:val="none" w:sz="0" w:space="0" w:color="auto"/>
                            <w:right w:val="none" w:sz="0" w:space="0" w:color="auto"/>
                          </w:divBdr>
                        </w:div>
                      </w:divsChild>
                    </w:div>
                    <w:div w:id="294144993">
                      <w:marLeft w:val="0"/>
                      <w:marRight w:val="0"/>
                      <w:marTop w:val="0"/>
                      <w:marBottom w:val="0"/>
                      <w:divBdr>
                        <w:top w:val="none" w:sz="0" w:space="0" w:color="auto"/>
                        <w:left w:val="none" w:sz="0" w:space="0" w:color="auto"/>
                        <w:bottom w:val="none" w:sz="0" w:space="0" w:color="auto"/>
                        <w:right w:val="none" w:sz="0" w:space="0" w:color="auto"/>
                      </w:divBdr>
                    </w:div>
                    <w:div w:id="294145103">
                      <w:marLeft w:val="0"/>
                      <w:marRight w:val="0"/>
                      <w:marTop w:val="0"/>
                      <w:marBottom w:val="0"/>
                      <w:divBdr>
                        <w:top w:val="none" w:sz="0" w:space="0" w:color="auto"/>
                        <w:left w:val="none" w:sz="0" w:space="0" w:color="auto"/>
                        <w:bottom w:val="none" w:sz="0" w:space="0" w:color="auto"/>
                        <w:right w:val="none" w:sz="0" w:space="0" w:color="auto"/>
                      </w:divBdr>
                    </w:div>
                    <w:div w:id="294145133">
                      <w:marLeft w:val="0"/>
                      <w:marRight w:val="0"/>
                      <w:marTop w:val="0"/>
                      <w:marBottom w:val="0"/>
                      <w:divBdr>
                        <w:top w:val="none" w:sz="0" w:space="0" w:color="auto"/>
                        <w:left w:val="none" w:sz="0" w:space="0" w:color="auto"/>
                        <w:bottom w:val="none" w:sz="0" w:space="0" w:color="auto"/>
                        <w:right w:val="none" w:sz="0" w:space="0" w:color="auto"/>
                      </w:divBdr>
                    </w:div>
                    <w:div w:id="294145283">
                      <w:marLeft w:val="0"/>
                      <w:marRight w:val="0"/>
                      <w:marTop w:val="0"/>
                      <w:marBottom w:val="0"/>
                      <w:divBdr>
                        <w:top w:val="none" w:sz="0" w:space="0" w:color="auto"/>
                        <w:left w:val="none" w:sz="0" w:space="0" w:color="auto"/>
                        <w:bottom w:val="none" w:sz="0" w:space="0" w:color="auto"/>
                        <w:right w:val="none" w:sz="0" w:space="0" w:color="auto"/>
                      </w:divBdr>
                    </w:div>
                    <w:div w:id="294145325">
                      <w:marLeft w:val="0"/>
                      <w:marRight w:val="0"/>
                      <w:marTop w:val="0"/>
                      <w:marBottom w:val="0"/>
                      <w:divBdr>
                        <w:top w:val="none" w:sz="0" w:space="0" w:color="auto"/>
                        <w:left w:val="none" w:sz="0" w:space="0" w:color="auto"/>
                        <w:bottom w:val="none" w:sz="0" w:space="0" w:color="auto"/>
                        <w:right w:val="none" w:sz="0" w:space="0" w:color="auto"/>
                      </w:divBdr>
                      <w:divsChild>
                        <w:div w:id="294155742">
                          <w:marLeft w:val="0"/>
                          <w:marRight w:val="0"/>
                          <w:marTop w:val="0"/>
                          <w:marBottom w:val="0"/>
                          <w:divBdr>
                            <w:top w:val="none" w:sz="0" w:space="0" w:color="auto"/>
                            <w:left w:val="none" w:sz="0" w:space="0" w:color="auto"/>
                            <w:bottom w:val="none" w:sz="0" w:space="0" w:color="auto"/>
                            <w:right w:val="none" w:sz="0" w:space="0" w:color="auto"/>
                          </w:divBdr>
                        </w:div>
                      </w:divsChild>
                    </w:div>
                    <w:div w:id="294145339">
                      <w:marLeft w:val="0"/>
                      <w:marRight w:val="0"/>
                      <w:marTop w:val="0"/>
                      <w:marBottom w:val="0"/>
                      <w:divBdr>
                        <w:top w:val="none" w:sz="0" w:space="0" w:color="auto"/>
                        <w:left w:val="none" w:sz="0" w:space="0" w:color="auto"/>
                        <w:bottom w:val="none" w:sz="0" w:space="0" w:color="auto"/>
                        <w:right w:val="none" w:sz="0" w:space="0" w:color="auto"/>
                      </w:divBdr>
                    </w:div>
                    <w:div w:id="294145479">
                      <w:marLeft w:val="0"/>
                      <w:marRight w:val="0"/>
                      <w:marTop w:val="0"/>
                      <w:marBottom w:val="0"/>
                      <w:divBdr>
                        <w:top w:val="none" w:sz="0" w:space="0" w:color="auto"/>
                        <w:left w:val="none" w:sz="0" w:space="0" w:color="auto"/>
                        <w:bottom w:val="none" w:sz="0" w:space="0" w:color="auto"/>
                        <w:right w:val="none" w:sz="0" w:space="0" w:color="auto"/>
                      </w:divBdr>
                    </w:div>
                    <w:div w:id="294145652">
                      <w:marLeft w:val="0"/>
                      <w:marRight w:val="0"/>
                      <w:marTop w:val="0"/>
                      <w:marBottom w:val="0"/>
                      <w:divBdr>
                        <w:top w:val="none" w:sz="0" w:space="0" w:color="auto"/>
                        <w:left w:val="none" w:sz="0" w:space="0" w:color="auto"/>
                        <w:bottom w:val="none" w:sz="0" w:space="0" w:color="auto"/>
                        <w:right w:val="none" w:sz="0" w:space="0" w:color="auto"/>
                      </w:divBdr>
                    </w:div>
                    <w:div w:id="294145852">
                      <w:marLeft w:val="0"/>
                      <w:marRight w:val="0"/>
                      <w:marTop w:val="0"/>
                      <w:marBottom w:val="0"/>
                      <w:divBdr>
                        <w:top w:val="none" w:sz="0" w:space="0" w:color="auto"/>
                        <w:left w:val="none" w:sz="0" w:space="0" w:color="auto"/>
                        <w:bottom w:val="none" w:sz="0" w:space="0" w:color="auto"/>
                        <w:right w:val="none" w:sz="0" w:space="0" w:color="auto"/>
                      </w:divBdr>
                    </w:div>
                    <w:div w:id="294146014">
                      <w:marLeft w:val="0"/>
                      <w:marRight w:val="0"/>
                      <w:marTop w:val="0"/>
                      <w:marBottom w:val="0"/>
                      <w:divBdr>
                        <w:top w:val="none" w:sz="0" w:space="0" w:color="auto"/>
                        <w:left w:val="none" w:sz="0" w:space="0" w:color="auto"/>
                        <w:bottom w:val="none" w:sz="0" w:space="0" w:color="auto"/>
                        <w:right w:val="none" w:sz="0" w:space="0" w:color="auto"/>
                      </w:divBdr>
                    </w:div>
                    <w:div w:id="294146071">
                      <w:marLeft w:val="0"/>
                      <w:marRight w:val="0"/>
                      <w:marTop w:val="0"/>
                      <w:marBottom w:val="0"/>
                      <w:divBdr>
                        <w:top w:val="none" w:sz="0" w:space="0" w:color="auto"/>
                        <w:left w:val="none" w:sz="0" w:space="0" w:color="auto"/>
                        <w:bottom w:val="none" w:sz="0" w:space="0" w:color="auto"/>
                        <w:right w:val="none" w:sz="0" w:space="0" w:color="auto"/>
                      </w:divBdr>
                      <w:divsChild>
                        <w:div w:id="294144552">
                          <w:marLeft w:val="0"/>
                          <w:marRight w:val="0"/>
                          <w:marTop w:val="0"/>
                          <w:marBottom w:val="0"/>
                          <w:divBdr>
                            <w:top w:val="none" w:sz="0" w:space="0" w:color="auto"/>
                            <w:left w:val="none" w:sz="0" w:space="0" w:color="auto"/>
                            <w:bottom w:val="none" w:sz="0" w:space="0" w:color="auto"/>
                            <w:right w:val="none" w:sz="0" w:space="0" w:color="auto"/>
                          </w:divBdr>
                        </w:div>
                      </w:divsChild>
                    </w:div>
                    <w:div w:id="294146278">
                      <w:marLeft w:val="0"/>
                      <w:marRight w:val="0"/>
                      <w:marTop w:val="0"/>
                      <w:marBottom w:val="0"/>
                      <w:divBdr>
                        <w:top w:val="none" w:sz="0" w:space="0" w:color="auto"/>
                        <w:left w:val="none" w:sz="0" w:space="0" w:color="auto"/>
                        <w:bottom w:val="none" w:sz="0" w:space="0" w:color="auto"/>
                        <w:right w:val="none" w:sz="0" w:space="0" w:color="auto"/>
                      </w:divBdr>
                      <w:divsChild>
                        <w:div w:id="294143307">
                          <w:marLeft w:val="0"/>
                          <w:marRight w:val="0"/>
                          <w:marTop w:val="0"/>
                          <w:marBottom w:val="0"/>
                          <w:divBdr>
                            <w:top w:val="none" w:sz="0" w:space="0" w:color="auto"/>
                            <w:left w:val="none" w:sz="0" w:space="0" w:color="auto"/>
                            <w:bottom w:val="none" w:sz="0" w:space="0" w:color="auto"/>
                            <w:right w:val="none" w:sz="0" w:space="0" w:color="auto"/>
                          </w:divBdr>
                        </w:div>
                      </w:divsChild>
                    </w:div>
                    <w:div w:id="294146311">
                      <w:marLeft w:val="0"/>
                      <w:marRight w:val="0"/>
                      <w:marTop w:val="0"/>
                      <w:marBottom w:val="0"/>
                      <w:divBdr>
                        <w:top w:val="none" w:sz="0" w:space="0" w:color="auto"/>
                        <w:left w:val="none" w:sz="0" w:space="0" w:color="auto"/>
                        <w:bottom w:val="none" w:sz="0" w:space="0" w:color="auto"/>
                        <w:right w:val="none" w:sz="0" w:space="0" w:color="auto"/>
                      </w:divBdr>
                    </w:div>
                    <w:div w:id="294146384">
                      <w:marLeft w:val="0"/>
                      <w:marRight w:val="0"/>
                      <w:marTop w:val="0"/>
                      <w:marBottom w:val="0"/>
                      <w:divBdr>
                        <w:top w:val="none" w:sz="0" w:space="0" w:color="auto"/>
                        <w:left w:val="none" w:sz="0" w:space="0" w:color="auto"/>
                        <w:bottom w:val="none" w:sz="0" w:space="0" w:color="auto"/>
                        <w:right w:val="none" w:sz="0" w:space="0" w:color="auto"/>
                      </w:divBdr>
                    </w:div>
                    <w:div w:id="294146458">
                      <w:marLeft w:val="0"/>
                      <w:marRight w:val="0"/>
                      <w:marTop w:val="0"/>
                      <w:marBottom w:val="0"/>
                      <w:divBdr>
                        <w:top w:val="none" w:sz="0" w:space="0" w:color="auto"/>
                        <w:left w:val="none" w:sz="0" w:space="0" w:color="auto"/>
                        <w:bottom w:val="none" w:sz="0" w:space="0" w:color="auto"/>
                        <w:right w:val="none" w:sz="0" w:space="0" w:color="auto"/>
                      </w:divBdr>
                    </w:div>
                    <w:div w:id="294146593">
                      <w:marLeft w:val="0"/>
                      <w:marRight w:val="0"/>
                      <w:marTop w:val="0"/>
                      <w:marBottom w:val="0"/>
                      <w:divBdr>
                        <w:top w:val="none" w:sz="0" w:space="0" w:color="auto"/>
                        <w:left w:val="none" w:sz="0" w:space="0" w:color="auto"/>
                        <w:bottom w:val="none" w:sz="0" w:space="0" w:color="auto"/>
                        <w:right w:val="none" w:sz="0" w:space="0" w:color="auto"/>
                      </w:divBdr>
                      <w:divsChild>
                        <w:div w:id="294155774">
                          <w:marLeft w:val="0"/>
                          <w:marRight w:val="0"/>
                          <w:marTop w:val="0"/>
                          <w:marBottom w:val="0"/>
                          <w:divBdr>
                            <w:top w:val="none" w:sz="0" w:space="0" w:color="auto"/>
                            <w:left w:val="none" w:sz="0" w:space="0" w:color="auto"/>
                            <w:bottom w:val="none" w:sz="0" w:space="0" w:color="auto"/>
                            <w:right w:val="none" w:sz="0" w:space="0" w:color="auto"/>
                          </w:divBdr>
                        </w:div>
                      </w:divsChild>
                    </w:div>
                    <w:div w:id="294147010">
                      <w:marLeft w:val="0"/>
                      <w:marRight w:val="0"/>
                      <w:marTop w:val="0"/>
                      <w:marBottom w:val="0"/>
                      <w:divBdr>
                        <w:top w:val="none" w:sz="0" w:space="0" w:color="auto"/>
                        <w:left w:val="none" w:sz="0" w:space="0" w:color="auto"/>
                        <w:bottom w:val="none" w:sz="0" w:space="0" w:color="auto"/>
                        <w:right w:val="none" w:sz="0" w:space="0" w:color="auto"/>
                      </w:divBdr>
                      <w:divsChild>
                        <w:div w:id="294142235">
                          <w:marLeft w:val="0"/>
                          <w:marRight w:val="0"/>
                          <w:marTop w:val="0"/>
                          <w:marBottom w:val="0"/>
                          <w:divBdr>
                            <w:top w:val="none" w:sz="0" w:space="0" w:color="auto"/>
                            <w:left w:val="none" w:sz="0" w:space="0" w:color="auto"/>
                            <w:bottom w:val="none" w:sz="0" w:space="0" w:color="auto"/>
                            <w:right w:val="none" w:sz="0" w:space="0" w:color="auto"/>
                          </w:divBdr>
                        </w:div>
                      </w:divsChild>
                    </w:div>
                    <w:div w:id="294147068">
                      <w:marLeft w:val="0"/>
                      <w:marRight w:val="0"/>
                      <w:marTop w:val="0"/>
                      <w:marBottom w:val="0"/>
                      <w:divBdr>
                        <w:top w:val="none" w:sz="0" w:space="0" w:color="auto"/>
                        <w:left w:val="none" w:sz="0" w:space="0" w:color="auto"/>
                        <w:bottom w:val="none" w:sz="0" w:space="0" w:color="auto"/>
                        <w:right w:val="none" w:sz="0" w:space="0" w:color="auto"/>
                      </w:divBdr>
                      <w:divsChild>
                        <w:div w:id="294150418">
                          <w:marLeft w:val="0"/>
                          <w:marRight w:val="0"/>
                          <w:marTop w:val="0"/>
                          <w:marBottom w:val="0"/>
                          <w:divBdr>
                            <w:top w:val="none" w:sz="0" w:space="0" w:color="auto"/>
                            <w:left w:val="none" w:sz="0" w:space="0" w:color="auto"/>
                            <w:bottom w:val="none" w:sz="0" w:space="0" w:color="auto"/>
                            <w:right w:val="none" w:sz="0" w:space="0" w:color="auto"/>
                          </w:divBdr>
                        </w:div>
                      </w:divsChild>
                    </w:div>
                    <w:div w:id="294147140">
                      <w:marLeft w:val="0"/>
                      <w:marRight w:val="0"/>
                      <w:marTop w:val="0"/>
                      <w:marBottom w:val="0"/>
                      <w:divBdr>
                        <w:top w:val="none" w:sz="0" w:space="0" w:color="auto"/>
                        <w:left w:val="none" w:sz="0" w:space="0" w:color="auto"/>
                        <w:bottom w:val="none" w:sz="0" w:space="0" w:color="auto"/>
                        <w:right w:val="none" w:sz="0" w:space="0" w:color="auto"/>
                      </w:divBdr>
                      <w:divsChild>
                        <w:div w:id="294153222">
                          <w:marLeft w:val="0"/>
                          <w:marRight w:val="0"/>
                          <w:marTop w:val="0"/>
                          <w:marBottom w:val="0"/>
                          <w:divBdr>
                            <w:top w:val="none" w:sz="0" w:space="0" w:color="auto"/>
                            <w:left w:val="none" w:sz="0" w:space="0" w:color="auto"/>
                            <w:bottom w:val="none" w:sz="0" w:space="0" w:color="auto"/>
                            <w:right w:val="none" w:sz="0" w:space="0" w:color="auto"/>
                          </w:divBdr>
                        </w:div>
                      </w:divsChild>
                    </w:div>
                    <w:div w:id="294147159">
                      <w:marLeft w:val="0"/>
                      <w:marRight w:val="0"/>
                      <w:marTop w:val="0"/>
                      <w:marBottom w:val="0"/>
                      <w:divBdr>
                        <w:top w:val="none" w:sz="0" w:space="0" w:color="auto"/>
                        <w:left w:val="none" w:sz="0" w:space="0" w:color="auto"/>
                        <w:bottom w:val="none" w:sz="0" w:space="0" w:color="auto"/>
                        <w:right w:val="none" w:sz="0" w:space="0" w:color="auto"/>
                      </w:divBdr>
                    </w:div>
                    <w:div w:id="294147434">
                      <w:marLeft w:val="0"/>
                      <w:marRight w:val="0"/>
                      <w:marTop w:val="0"/>
                      <w:marBottom w:val="0"/>
                      <w:divBdr>
                        <w:top w:val="none" w:sz="0" w:space="0" w:color="auto"/>
                        <w:left w:val="none" w:sz="0" w:space="0" w:color="auto"/>
                        <w:bottom w:val="none" w:sz="0" w:space="0" w:color="auto"/>
                        <w:right w:val="none" w:sz="0" w:space="0" w:color="auto"/>
                      </w:divBdr>
                    </w:div>
                    <w:div w:id="294147439">
                      <w:marLeft w:val="0"/>
                      <w:marRight w:val="0"/>
                      <w:marTop w:val="0"/>
                      <w:marBottom w:val="0"/>
                      <w:divBdr>
                        <w:top w:val="none" w:sz="0" w:space="0" w:color="auto"/>
                        <w:left w:val="none" w:sz="0" w:space="0" w:color="auto"/>
                        <w:bottom w:val="none" w:sz="0" w:space="0" w:color="auto"/>
                        <w:right w:val="none" w:sz="0" w:space="0" w:color="auto"/>
                      </w:divBdr>
                      <w:divsChild>
                        <w:div w:id="294145942">
                          <w:marLeft w:val="0"/>
                          <w:marRight w:val="0"/>
                          <w:marTop w:val="0"/>
                          <w:marBottom w:val="0"/>
                          <w:divBdr>
                            <w:top w:val="none" w:sz="0" w:space="0" w:color="auto"/>
                            <w:left w:val="none" w:sz="0" w:space="0" w:color="auto"/>
                            <w:bottom w:val="none" w:sz="0" w:space="0" w:color="auto"/>
                            <w:right w:val="none" w:sz="0" w:space="0" w:color="auto"/>
                          </w:divBdr>
                        </w:div>
                      </w:divsChild>
                    </w:div>
                    <w:div w:id="294147564">
                      <w:marLeft w:val="0"/>
                      <w:marRight w:val="0"/>
                      <w:marTop w:val="0"/>
                      <w:marBottom w:val="0"/>
                      <w:divBdr>
                        <w:top w:val="none" w:sz="0" w:space="0" w:color="auto"/>
                        <w:left w:val="none" w:sz="0" w:space="0" w:color="auto"/>
                        <w:bottom w:val="none" w:sz="0" w:space="0" w:color="auto"/>
                        <w:right w:val="none" w:sz="0" w:space="0" w:color="auto"/>
                      </w:divBdr>
                      <w:divsChild>
                        <w:div w:id="294144872">
                          <w:marLeft w:val="0"/>
                          <w:marRight w:val="0"/>
                          <w:marTop w:val="0"/>
                          <w:marBottom w:val="0"/>
                          <w:divBdr>
                            <w:top w:val="none" w:sz="0" w:space="0" w:color="auto"/>
                            <w:left w:val="none" w:sz="0" w:space="0" w:color="auto"/>
                            <w:bottom w:val="none" w:sz="0" w:space="0" w:color="auto"/>
                            <w:right w:val="none" w:sz="0" w:space="0" w:color="auto"/>
                          </w:divBdr>
                        </w:div>
                      </w:divsChild>
                    </w:div>
                    <w:div w:id="294147652">
                      <w:marLeft w:val="0"/>
                      <w:marRight w:val="0"/>
                      <w:marTop w:val="0"/>
                      <w:marBottom w:val="0"/>
                      <w:divBdr>
                        <w:top w:val="none" w:sz="0" w:space="0" w:color="auto"/>
                        <w:left w:val="none" w:sz="0" w:space="0" w:color="auto"/>
                        <w:bottom w:val="none" w:sz="0" w:space="0" w:color="auto"/>
                        <w:right w:val="none" w:sz="0" w:space="0" w:color="auto"/>
                      </w:divBdr>
                    </w:div>
                    <w:div w:id="294147938">
                      <w:marLeft w:val="0"/>
                      <w:marRight w:val="0"/>
                      <w:marTop w:val="0"/>
                      <w:marBottom w:val="0"/>
                      <w:divBdr>
                        <w:top w:val="none" w:sz="0" w:space="0" w:color="auto"/>
                        <w:left w:val="none" w:sz="0" w:space="0" w:color="auto"/>
                        <w:bottom w:val="none" w:sz="0" w:space="0" w:color="auto"/>
                        <w:right w:val="none" w:sz="0" w:space="0" w:color="auto"/>
                      </w:divBdr>
                      <w:divsChild>
                        <w:div w:id="294152062">
                          <w:marLeft w:val="0"/>
                          <w:marRight w:val="0"/>
                          <w:marTop w:val="0"/>
                          <w:marBottom w:val="0"/>
                          <w:divBdr>
                            <w:top w:val="none" w:sz="0" w:space="0" w:color="auto"/>
                            <w:left w:val="none" w:sz="0" w:space="0" w:color="auto"/>
                            <w:bottom w:val="none" w:sz="0" w:space="0" w:color="auto"/>
                            <w:right w:val="none" w:sz="0" w:space="0" w:color="auto"/>
                          </w:divBdr>
                        </w:div>
                      </w:divsChild>
                    </w:div>
                    <w:div w:id="294148220">
                      <w:marLeft w:val="0"/>
                      <w:marRight w:val="0"/>
                      <w:marTop w:val="0"/>
                      <w:marBottom w:val="0"/>
                      <w:divBdr>
                        <w:top w:val="none" w:sz="0" w:space="0" w:color="auto"/>
                        <w:left w:val="none" w:sz="0" w:space="0" w:color="auto"/>
                        <w:bottom w:val="none" w:sz="0" w:space="0" w:color="auto"/>
                        <w:right w:val="none" w:sz="0" w:space="0" w:color="auto"/>
                      </w:divBdr>
                    </w:div>
                    <w:div w:id="294148367">
                      <w:marLeft w:val="0"/>
                      <w:marRight w:val="0"/>
                      <w:marTop w:val="0"/>
                      <w:marBottom w:val="0"/>
                      <w:divBdr>
                        <w:top w:val="none" w:sz="0" w:space="0" w:color="auto"/>
                        <w:left w:val="none" w:sz="0" w:space="0" w:color="auto"/>
                        <w:bottom w:val="none" w:sz="0" w:space="0" w:color="auto"/>
                        <w:right w:val="none" w:sz="0" w:space="0" w:color="auto"/>
                      </w:divBdr>
                      <w:divsChild>
                        <w:div w:id="294139847">
                          <w:marLeft w:val="0"/>
                          <w:marRight w:val="0"/>
                          <w:marTop w:val="0"/>
                          <w:marBottom w:val="0"/>
                          <w:divBdr>
                            <w:top w:val="none" w:sz="0" w:space="0" w:color="auto"/>
                            <w:left w:val="none" w:sz="0" w:space="0" w:color="auto"/>
                            <w:bottom w:val="none" w:sz="0" w:space="0" w:color="auto"/>
                            <w:right w:val="none" w:sz="0" w:space="0" w:color="auto"/>
                          </w:divBdr>
                        </w:div>
                      </w:divsChild>
                    </w:div>
                    <w:div w:id="294148455">
                      <w:marLeft w:val="0"/>
                      <w:marRight w:val="0"/>
                      <w:marTop w:val="0"/>
                      <w:marBottom w:val="0"/>
                      <w:divBdr>
                        <w:top w:val="none" w:sz="0" w:space="0" w:color="auto"/>
                        <w:left w:val="none" w:sz="0" w:space="0" w:color="auto"/>
                        <w:bottom w:val="none" w:sz="0" w:space="0" w:color="auto"/>
                        <w:right w:val="none" w:sz="0" w:space="0" w:color="auto"/>
                      </w:divBdr>
                      <w:divsChild>
                        <w:div w:id="294151927">
                          <w:marLeft w:val="0"/>
                          <w:marRight w:val="0"/>
                          <w:marTop w:val="0"/>
                          <w:marBottom w:val="0"/>
                          <w:divBdr>
                            <w:top w:val="none" w:sz="0" w:space="0" w:color="auto"/>
                            <w:left w:val="none" w:sz="0" w:space="0" w:color="auto"/>
                            <w:bottom w:val="none" w:sz="0" w:space="0" w:color="auto"/>
                            <w:right w:val="none" w:sz="0" w:space="0" w:color="auto"/>
                          </w:divBdr>
                        </w:div>
                      </w:divsChild>
                    </w:div>
                    <w:div w:id="294148458">
                      <w:marLeft w:val="0"/>
                      <w:marRight w:val="0"/>
                      <w:marTop w:val="0"/>
                      <w:marBottom w:val="0"/>
                      <w:divBdr>
                        <w:top w:val="none" w:sz="0" w:space="0" w:color="auto"/>
                        <w:left w:val="none" w:sz="0" w:space="0" w:color="auto"/>
                        <w:bottom w:val="none" w:sz="0" w:space="0" w:color="auto"/>
                        <w:right w:val="none" w:sz="0" w:space="0" w:color="auto"/>
                      </w:divBdr>
                    </w:div>
                    <w:div w:id="294148463">
                      <w:marLeft w:val="0"/>
                      <w:marRight w:val="0"/>
                      <w:marTop w:val="0"/>
                      <w:marBottom w:val="0"/>
                      <w:divBdr>
                        <w:top w:val="none" w:sz="0" w:space="0" w:color="auto"/>
                        <w:left w:val="none" w:sz="0" w:space="0" w:color="auto"/>
                        <w:bottom w:val="none" w:sz="0" w:space="0" w:color="auto"/>
                        <w:right w:val="none" w:sz="0" w:space="0" w:color="auto"/>
                      </w:divBdr>
                    </w:div>
                    <w:div w:id="294148580">
                      <w:marLeft w:val="0"/>
                      <w:marRight w:val="0"/>
                      <w:marTop w:val="0"/>
                      <w:marBottom w:val="0"/>
                      <w:divBdr>
                        <w:top w:val="none" w:sz="0" w:space="0" w:color="auto"/>
                        <w:left w:val="none" w:sz="0" w:space="0" w:color="auto"/>
                        <w:bottom w:val="none" w:sz="0" w:space="0" w:color="auto"/>
                        <w:right w:val="none" w:sz="0" w:space="0" w:color="auto"/>
                      </w:divBdr>
                    </w:div>
                    <w:div w:id="294148630">
                      <w:marLeft w:val="0"/>
                      <w:marRight w:val="0"/>
                      <w:marTop w:val="0"/>
                      <w:marBottom w:val="0"/>
                      <w:divBdr>
                        <w:top w:val="none" w:sz="0" w:space="0" w:color="auto"/>
                        <w:left w:val="none" w:sz="0" w:space="0" w:color="auto"/>
                        <w:bottom w:val="none" w:sz="0" w:space="0" w:color="auto"/>
                        <w:right w:val="none" w:sz="0" w:space="0" w:color="auto"/>
                      </w:divBdr>
                    </w:div>
                    <w:div w:id="294148642">
                      <w:marLeft w:val="0"/>
                      <w:marRight w:val="0"/>
                      <w:marTop w:val="0"/>
                      <w:marBottom w:val="0"/>
                      <w:divBdr>
                        <w:top w:val="none" w:sz="0" w:space="0" w:color="auto"/>
                        <w:left w:val="none" w:sz="0" w:space="0" w:color="auto"/>
                        <w:bottom w:val="none" w:sz="0" w:space="0" w:color="auto"/>
                        <w:right w:val="none" w:sz="0" w:space="0" w:color="auto"/>
                      </w:divBdr>
                      <w:divsChild>
                        <w:div w:id="294147322">
                          <w:marLeft w:val="0"/>
                          <w:marRight w:val="0"/>
                          <w:marTop w:val="0"/>
                          <w:marBottom w:val="0"/>
                          <w:divBdr>
                            <w:top w:val="none" w:sz="0" w:space="0" w:color="auto"/>
                            <w:left w:val="none" w:sz="0" w:space="0" w:color="auto"/>
                            <w:bottom w:val="none" w:sz="0" w:space="0" w:color="auto"/>
                            <w:right w:val="none" w:sz="0" w:space="0" w:color="auto"/>
                          </w:divBdr>
                        </w:div>
                      </w:divsChild>
                    </w:div>
                    <w:div w:id="294148715">
                      <w:marLeft w:val="0"/>
                      <w:marRight w:val="0"/>
                      <w:marTop w:val="0"/>
                      <w:marBottom w:val="0"/>
                      <w:divBdr>
                        <w:top w:val="none" w:sz="0" w:space="0" w:color="auto"/>
                        <w:left w:val="none" w:sz="0" w:space="0" w:color="auto"/>
                        <w:bottom w:val="none" w:sz="0" w:space="0" w:color="auto"/>
                        <w:right w:val="none" w:sz="0" w:space="0" w:color="auto"/>
                      </w:divBdr>
                    </w:div>
                    <w:div w:id="294148879">
                      <w:marLeft w:val="0"/>
                      <w:marRight w:val="0"/>
                      <w:marTop w:val="0"/>
                      <w:marBottom w:val="0"/>
                      <w:divBdr>
                        <w:top w:val="none" w:sz="0" w:space="0" w:color="auto"/>
                        <w:left w:val="none" w:sz="0" w:space="0" w:color="auto"/>
                        <w:bottom w:val="none" w:sz="0" w:space="0" w:color="auto"/>
                        <w:right w:val="none" w:sz="0" w:space="0" w:color="auto"/>
                      </w:divBdr>
                      <w:divsChild>
                        <w:div w:id="294140087">
                          <w:marLeft w:val="0"/>
                          <w:marRight w:val="0"/>
                          <w:marTop w:val="0"/>
                          <w:marBottom w:val="0"/>
                          <w:divBdr>
                            <w:top w:val="none" w:sz="0" w:space="0" w:color="auto"/>
                            <w:left w:val="none" w:sz="0" w:space="0" w:color="auto"/>
                            <w:bottom w:val="none" w:sz="0" w:space="0" w:color="auto"/>
                            <w:right w:val="none" w:sz="0" w:space="0" w:color="auto"/>
                          </w:divBdr>
                        </w:div>
                      </w:divsChild>
                    </w:div>
                    <w:div w:id="294148905">
                      <w:marLeft w:val="0"/>
                      <w:marRight w:val="0"/>
                      <w:marTop w:val="0"/>
                      <w:marBottom w:val="0"/>
                      <w:divBdr>
                        <w:top w:val="none" w:sz="0" w:space="0" w:color="auto"/>
                        <w:left w:val="none" w:sz="0" w:space="0" w:color="auto"/>
                        <w:bottom w:val="none" w:sz="0" w:space="0" w:color="auto"/>
                        <w:right w:val="none" w:sz="0" w:space="0" w:color="auto"/>
                      </w:divBdr>
                      <w:divsChild>
                        <w:div w:id="294153286">
                          <w:marLeft w:val="0"/>
                          <w:marRight w:val="0"/>
                          <w:marTop w:val="0"/>
                          <w:marBottom w:val="0"/>
                          <w:divBdr>
                            <w:top w:val="none" w:sz="0" w:space="0" w:color="auto"/>
                            <w:left w:val="none" w:sz="0" w:space="0" w:color="auto"/>
                            <w:bottom w:val="none" w:sz="0" w:space="0" w:color="auto"/>
                            <w:right w:val="none" w:sz="0" w:space="0" w:color="auto"/>
                          </w:divBdr>
                        </w:div>
                      </w:divsChild>
                    </w:div>
                    <w:div w:id="294149006">
                      <w:marLeft w:val="0"/>
                      <w:marRight w:val="0"/>
                      <w:marTop w:val="0"/>
                      <w:marBottom w:val="0"/>
                      <w:divBdr>
                        <w:top w:val="none" w:sz="0" w:space="0" w:color="auto"/>
                        <w:left w:val="none" w:sz="0" w:space="0" w:color="auto"/>
                        <w:bottom w:val="none" w:sz="0" w:space="0" w:color="auto"/>
                        <w:right w:val="none" w:sz="0" w:space="0" w:color="auto"/>
                      </w:divBdr>
                      <w:divsChild>
                        <w:div w:id="294153600">
                          <w:marLeft w:val="0"/>
                          <w:marRight w:val="0"/>
                          <w:marTop w:val="0"/>
                          <w:marBottom w:val="0"/>
                          <w:divBdr>
                            <w:top w:val="none" w:sz="0" w:space="0" w:color="auto"/>
                            <w:left w:val="none" w:sz="0" w:space="0" w:color="auto"/>
                            <w:bottom w:val="none" w:sz="0" w:space="0" w:color="auto"/>
                            <w:right w:val="none" w:sz="0" w:space="0" w:color="auto"/>
                          </w:divBdr>
                        </w:div>
                      </w:divsChild>
                    </w:div>
                    <w:div w:id="294149319">
                      <w:marLeft w:val="0"/>
                      <w:marRight w:val="0"/>
                      <w:marTop w:val="0"/>
                      <w:marBottom w:val="0"/>
                      <w:divBdr>
                        <w:top w:val="none" w:sz="0" w:space="0" w:color="auto"/>
                        <w:left w:val="none" w:sz="0" w:space="0" w:color="auto"/>
                        <w:bottom w:val="none" w:sz="0" w:space="0" w:color="auto"/>
                        <w:right w:val="none" w:sz="0" w:space="0" w:color="auto"/>
                      </w:divBdr>
                    </w:div>
                    <w:div w:id="294149348">
                      <w:marLeft w:val="0"/>
                      <w:marRight w:val="0"/>
                      <w:marTop w:val="0"/>
                      <w:marBottom w:val="0"/>
                      <w:divBdr>
                        <w:top w:val="none" w:sz="0" w:space="0" w:color="auto"/>
                        <w:left w:val="none" w:sz="0" w:space="0" w:color="auto"/>
                        <w:bottom w:val="none" w:sz="0" w:space="0" w:color="auto"/>
                        <w:right w:val="none" w:sz="0" w:space="0" w:color="auto"/>
                      </w:divBdr>
                      <w:divsChild>
                        <w:div w:id="294153992">
                          <w:marLeft w:val="0"/>
                          <w:marRight w:val="0"/>
                          <w:marTop w:val="0"/>
                          <w:marBottom w:val="0"/>
                          <w:divBdr>
                            <w:top w:val="none" w:sz="0" w:space="0" w:color="auto"/>
                            <w:left w:val="none" w:sz="0" w:space="0" w:color="auto"/>
                            <w:bottom w:val="none" w:sz="0" w:space="0" w:color="auto"/>
                            <w:right w:val="none" w:sz="0" w:space="0" w:color="auto"/>
                          </w:divBdr>
                        </w:div>
                      </w:divsChild>
                    </w:div>
                    <w:div w:id="294149386">
                      <w:marLeft w:val="0"/>
                      <w:marRight w:val="0"/>
                      <w:marTop w:val="0"/>
                      <w:marBottom w:val="0"/>
                      <w:divBdr>
                        <w:top w:val="none" w:sz="0" w:space="0" w:color="auto"/>
                        <w:left w:val="none" w:sz="0" w:space="0" w:color="auto"/>
                        <w:bottom w:val="none" w:sz="0" w:space="0" w:color="auto"/>
                        <w:right w:val="none" w:sz="0" w:space="0" w:color="auto"/>
                      </w:divBdr>
                    </w:div>
                    <w:div w:id="294149394">
                      <w:marLeft w:val="0"/>
                      <w:marRight w:val="0"/>
                      <w:marTop w:val="0"/>
                      <w:marBottom w:val="0"/>
                      <w:divBdr>
                        <w:top w:val="none" w:sz="0" w:space="0" w:color="auto"/>
                        <w:left w:val="none" w:sz="0" w:space="0" w:color="auto"/>
                        <w:bottom w:val="none" w:sz="0" w:space="0" w:color="auto"/>
                        <w:right w:val="none" w:sz="0" w:space="0" w:color="auto"/>
                      </w:divBdr>
                      <w:divsChild>
                        <w:div w:id="294149458">
                          <w:marLeft w:val="0"/>
                          <w:marRight w:val="0"/>
                          <w:marTop w:val="0"/>
                          <w:marBottom w:val="0"/>
                          <w:divBdr>
                            <w:top w:val="none" w:sz="0" w:space="0" w:color="auto"/>
                            <w:left w:val="none" w:sz="0" w:space="0" w:color="auto"/>
                            <w:bottom w:val="none" w:sz="0" w:space="0" w:color="auto"/>
                            <w:right w:val="none" w:sz="0" w:space="0" w:color="auto"/>
                          </w:divBdr>
                        </w:div>
                      </w:divsChild>
                    </w:div>
                    <w:div w:id="294149419">
                      <w:marLeft w:val="0"/>
                      <w:marRight w:val="0"/>
                      <w:marTop w:val="0"/>
                      <w:marBottom w:val="0"/>
                      <w:divBdr>
                        <w:top w:val="none" w:sz="0" w:space="0" w:color="auto"/>
                        <w:left w:val="none" w:sz="0" w:space="0" w:color="auto"/>
                        <w:bottom w:val="none" w:sz="0" w:space="0" w:color="auto"/>
                        <w:right w:val="none" w:sz="0" w:space="0" w:color="auto"/>
                      </w:divBdr>
                      <w:divsChild>
                        <w:div w:id="294157449">
                          <w:marLeft w:val="0"/>
                          <w:marRight w:val="0"/>
                          <w:marTop w:val="0"/>
                          <w:marBottom w:val="0"/>
                          <w:divBdr>
                            <w:top w:val="none" w:sz="0" w:space="0" w:color="auto"/>
                            <w:left w:val="none" w:sz="0" w:space="0" w:color="auto"/>
                            <w:bottom w:val="none" w:sz="0" w:space="0" w:color="auto"/>
                            <w:right w:val="none" w:sz="0" w:space="0" w:color="auto"/>
                          </w:divBdr>
                        </w:div>
                      </w:divsChild>
                    </w:div>
                    <w:div w:id="294149463">
                      <w:marLeft w:val="0"/>
                      <w:marRight w:val="0"/>
                      <w:marTop w:val="0"/>
                      <w:marBottom w:val="0"/>
                      <w:divBdr>
                        <w:top w:val="none" w:sz="0" w:space="0" w:color="auto"/>
                        <w:left w:val="none" w:sz="0" w:space="0" w:color="auto"/>
                        <w:bottom w:val="none" w:sz="0" w:space="0" w:color="auto"/>
                        <w:right w:val="none" w:sz="0" w:space="0" w:color="auto"/>
                      </w:divBdr>
                    </w:div>
                    <w:div w:id="294149537">
                      <w:marLeft w:val="0"/>
                      <w:marRight w:val="0"/>
                      <w:marTop w:val="0"/>
                      <w:marBottom w:val="0"/>
                      <w:divBdr>
                        <w:top w:val="none" w:sz="0" w:space="0" w:color="auto"/>
                        <w:left w:val="none" w:sz="0" w:space="0" w:color="auto"/>
                        <w:bottom w:val="none" w:sz="0" w:space="0" w:color="auto"/>
                        <w:right w:val="none" w:sz="0" w:space="0" w:color="auto"/>
                      </w:divBdr>
                    </w:div>
                    <w:div w:id="294149626">
                      <w:marLeft w:val="0"/>
                      <w:marRight w:val="0"/>
                      <w:marTop w:val="0"/>
                      <w:marBottom w:val="0"/>
                      <w:divBdr>
                        <w:top w:val="none" w:sz="0" w:space="0" w:color="auto"/>
                        <w:left w:val="none" w:sz="0" w:space="0" w:color="auto"/>
                        <w:bottom w:val="none" w:sz="0" w:space="0" w:color="auto"/>
                        <w:right w:val="none" w:sz="0" w:space="0" w:color="auto"/>
                      </w:divBdr>
                      <w:divsChild>
                        <w:div w:id="294138396">
                          <w:marLeft w:val="0"/>
                          <w:marRight w:val="0"/>
                          <w:marTop w:val="0"/>
                          <w:marBottom w:val="0"/>
                          <w:divBdr>
                            <w:top w:val="none" w:sz="0" w:space="0" w:color="auto"/>
                            <w:left w:val="none" w:sz="0" w:space="0" w:color="auto"/>
                            <w:bottom w:val="none" w:sz="0" w:space="0" w:color="auto"/>
                            <w:right w:val="none" w:sz="0" w:space="0" w:color="auto"/>
                          </w:divBdr>
                        </w:div>
                      </w:divsChild>
                    </w:div>
                    <w:div w:id="294149779">
                      <w:marLeft w:val="0"/>
                      <w:marRight w:val="0"/>
                      <w:marTop w:val="0"/>
                      <w:marBottom w:val="0"/>
                      <w:divBdr>
                        <w:top w:val="none" w:sz="0" w:space="0" w:color="auto"/>
                        <w:left w:val="none" w:sz="0" w:space="0" w:color="auto"/>
                        <w:bottom w:val="none" w:sz="0" w:space="0" w:color="auto"/>
                        <w:right w:val="none" w:sz="0" w:space="0" w:color="auto"/>
                      </w:divBdr>
                      <w:divsChild>
                        <w:div w:id="294146496">
                          <w:marLeft w:val="0"/>
                          <w:marRight w:val="0"/>
                          <w:marTop w:val="0"/>
                          <w:marBottom w:val="0"/>
                          <w:divBdr>
                            <w:top w:val="none" w:sz="0" w:space="0" w:color="auto"/>
                            <w:left w:val="none" w:sz="0" w:space="0" w:color="auto"/>
                            <w:bottom w:val="none" w:sz="0" w:space="0" w:color="auto"/>
                            <w:right w:val="none" w:sz="0" w:space="0" w:color="auto"/>
                          </w:divBdr>
                        </w:div>
                      </w:divsChild>
                    </w:div>
                    <w:div w:id="294149864">
                      <w:marLeft w:val="0"/>
                      <w:marRight w:val="0"/>
                      <w:marTop w:val="0"/>
                      <w:marBottom w:val="0"/>
                      <w:divBdr>
                        <w:top w:val="none" w:sz="0" w:space="0" w:color="auto"/>
                        <w:left w:val="none" w:sz="0" w:space="0" w:color="auto"/>
                        <w:bottom w:val="none" w:sz="0" w:space="0" w:color="auto"/>
                        <w:right w:val="none" w:sz="0" w:space="0" w:color="auto"/>
                      </w:divBdr>
                    </w:div>
                    <w:div w:id="294149872">
                      <w:marLeft w:val="0"/>
                      <w:marRight w:val="0"/>
                      <w:marTop w:val="0"/>
                      <w:marBottom w:val="0"/>
                      <w:divBdr>
                        <w:top w:val="none" w:sz="0" w:space="0" w:color="auto"/>
                        <w:left w:val="none" w:sz="0" w:space="0" w:color="auto"/>
                        <w:bottom w:val="none" w:sz="0" w:space="0" w:color="auto"/>
                        <w:right w:val="none" w:sz="0" w:space="0" w:color="auto"/>
                      </w:divBdr>
                    </w:div>
                    <w:div w:id="294149888">
                      <w:marLeft w:val="0"/>
                      <w:marRight w:val="0"/>
                      <w:marTop w:val="0"/>
                      <w:marBottom w:val="0"/>
                      <w:divBdr>
                        <w:top w:val="none" w:sz="0" w:space="0" w:color="auto"/>
                        <w:left w:val="none" w:sz="0" w:space="0" w:color="auto"/>
                        <w:bottom w:val="none" w:sz="0" w:space="0" w:color="auto"/>
                        <w:right w:val="none" w:sz="0" w:space="0" w:color="auto"/>
                      </w:divBdr>
                      <w:divsChild>
                        <w:div w:id="294151473">
                          <w:marLeft w:val="0"/>
                          <w:marRight w:val="0"/>
                          <w:marTop w:val="0"/>
                          <w:marBottom w:val="0"/>
                          <w:divBdr>
                            <w:top w:val="none" w:sz="0" w:space="0" w:color="auto"/>
                            <w:left w:val="none" w:sz="0" w:space="0" w:color="auto"/>
                            <w:bottom w:val="none" w:sz="0" w:space="0" w:color="auto"/>
                            <w:right w:val="none" w:sz="0" w:space="0" w:color="auto"/>
                          </w:divBdr>
                        </w:div>
                      </w:divsChild>
                    </w:div>
                    <w:div w:id="294150193">
                      <w:marLeft w:val="0"/>
                      <w:marRight w:val="0"/>
                      <w:marTop w:val="0"/>
                      <w:marBottom w:val="0"/>
                      <w:divBdr>
                        <w:top w:val="none" w:sz="0" w:space="0" w:color="auto"/>
                        <w:left w:val="none" w:sz="0" w:space="0" w:color="auto"/>
                        <w:bottom w:val="none" w:sz="0" w:space="0" w:color="auto"/>
                        <w:right w:val="none" w:sz="0" w:space="0" w:color="auto"/>
                      </w:divBdr>
                      <w:divsChild>
                        <w:div w:id="294143381">
                          <w:marLeft w:val="0"/>
                          <w:marRight w:val="0"/>
                          <w:marTop w:val="0"/>
                          <w:marBottom w:val="0"/>
                          <w:divBdr>
                            <w:top w:val="none" w:sz="0" w:space="0" w:color="auto"/>
                            <w:left w:val="none" w:sz="0" w:space="0" w:color="auto"/>
                            <w:bottom w:val="none" w:sz="0" w:space="0" w:color="auto"/>
                            <w:right w:val="none" w:sz="0" w:space="0" w:color="auto"/>
                          </w:divBdr>
                        </w:div>
                      </w:divsChild>
                    </w:div>
                    <w:div w:id="294150288">
                      <w:marLeft w:val="0"/>
                      <w:marRight w:val="0"/>
                      <w:marTop w:val="0"/>
                      <w:marBottom w:val="0"/>
                      <w:divBdr>
                        <w:top w:val="none" w:sz="0" w:space="0" w:color="auto"/>
                        <w:left w:val="none" w:sz="0" w:space="0" w:color="auto"/>
                        <w:bottom w:val="none" w:sz="0" w:space="0" w:color="auto"/>
                        <w:right w:val="none" w:sz="0" w:space="0" w:color="auto"/>
                      </w:divBdr>
                    </w:div>
                    <w:div w:id="294150332">
                      <w:marLeft w:val="0"/>
                      <w:marRight w:val="0"/>
                      <w:marTop w:val="0"/>
                      <w:marBottom w:val="0"/>
                      <w:divBdr>
                        <w:top w:val="none" w:sz="0" w:space="0" w:color="auto"/>
                        <w:left w:val="none" w:sz="0" w:space="0" w:color="auto"/>
                        <w:bottom w:val="none" w:sz="0" w:space="0" w:color="auto"/>
                        <w:right w:val="none" w:sz="0" w:space="0" w:color="auto"/>
                      </w:divBdr>
                    </w:div>
                    <w:div w:id="294150925">
                      <w:marLeft w:val="0"/>
                      <w:marRight w:val="0"/>
                      <w:marTop w:val="0"/>
                      <w:marBottom w:val="0"/>
                      <w:divBdr>
                        <w:top w:val="none" w:sz="0" w:space="0" w:color="auto"/>
                        <w:left w:val="none" w:sz="0" w:space="0" w:color="auto"/>
                        <w:bottom w:val="none" w:sz="0" w:space="0" w:color="auto"/>
                        <w:right w:val="none" w:sz="0" w:space="0" w:color="auto"/>
                      </w:divBdr>
                      <w:divsChild>
                        <w:div w:id="294138245">
                          <w:marLeft w:val="0"/>
                          <w:marRight w:val="0"/>
                          <w:marTop w:val="0"/>
                          <w:marBottom w:val="0"/>
                          <w:divBdr>
                            <w:top w:val="none" w:sz="0" w:space="0" w:color="auto"/>
                            <w:left w:val="none" w:sz="0" w:space="0" w:color="auto"/>
                            <w:bottom w:val="none" w:sz="0" w:space="0" w:color="auto"/>
                            <w:right w:val="none" w:sz="0" w:space="0" w:color="auto"/>
                          </w:divBdr>
                        </w:div>
                      </w:divsChild>
                    </w:div>
                    <w:div w:id="294151070">
                      <w:marLeft w:val="0"/>
                      <w:marRight w:val="0"/>
                      <w:marTop w:val="0"/>
                      <w:marBottom w:val="0"/>
                      <w:divBdr>
                        <w:top w:val="none" w:sz="0" w:space="0" w:color="auto"/>
                        <w:left w:val="none" w:sz="0" w:space="0" w:color="auto"/>
                        <w:bottom w:val="none" w:sz="0" w:space="0" w:color="auto"/>
                        <w:right w:val="none" w:sz="0" w:space="0" w:color="auto"/>
                      </w:divBdr>
                    </w:div>
                    <w:div w:id="294151087">
                      <w:marLeft w:val="0"/>
                      <w:marRight w:val="0"/>
                      <w:marTop w:val="0"/>
                      <w:marBottom w:val="0"/>
                      <w:divBdr>
                        <w:top w:val="none" w:sz="0" w:space="0" w:color="auto"/>
                        <w:left w:val="none" w:sz="0" w:space="0" w:color="auto"/>
                        <w:bottom w:val="none" w:sz="0" w:space="0" w:color="auto"/>
                        <w:right w:val="none" w:sz="0" w:space="0" w:color="auto"/>
                      </w:divBdr>
                      <w:divsChild>
                        <w:div w:id="294138174">
                          <w:marLeft w:val="0"/>
                          <w:marRight w:val="0"/>
                          <w:marTop w:val="0"/>
                          <w:marBottom w:val="0"/>
                          <w:divBdr>
                            <w:top w:val="none" w:sz="0" w:space="0" w:color="auto"/>
                            <w:left w:val="none" w:sz="0" w:space="0" w:color="auto"/>
                            <w:bottom w:val="none" w:sz="0" w:space="0" w:color="auto"/>
                            <w:right w:val="none" w:sz="0" w:space="0" w:color="auto"/>
                          </w:divBdr>
                        </w:div>
                      </w:divsChild>
                    </w:div>
                    <w:div w:id="294151132">
                      <w:marLeft w:val="0"/>
                      <w:marRight w:val="0"/>
                      <w:marTop w:val="0"/>
                      <w:marBottom w:val="0"/>
                      <w:divBdr>
                        <w:top w:val="none" w:sz="0" w:space="0" w:color="auto"/>
                        <w:left w:val="none" w:sz="0" w:space="0" w:color="auto"/>
                        <w:bottom w:val="none" w:sz="0" w:space="0" w:color="auto"/>
                        <w:right w:val="none" w:sz="0" w:space="0" w:color="auto"/>
                      </w:divBdr>
                    </w:div>
                    <w:div w:id="294151413">
                      <w:marLeft w:val="0"/>
                      <w:marRight w:val="0"/>
                      <w:marTop w:val="0"/>
                      <w:marBottom w:val="0"/>
                      <w:divBdr>
                        <w:top w:val="none" w:sz="0" w:space="0" w:color="auto"/>
                        <w:left w:val="none" w:sz="0" w:space="0" w:color="auto"/>
                        <w:bottom w:val="none" w:sz="0" w:space="0" w:color="auto"/>
                        <w:right w:val="none" w:sz="0" w:space="0" w:color="auto"/>
                      </w:divBdr>
                    </w:div>
                    <w:div w:id="294151421">
                      <w:marLeft w:val="0"/>
                      <w:marRight w:val="0"/>
                      <w:marTop w:val="0"/>
                      <w:marBottom w:val="0"/>
                      <w:divBdr>
                        <w:top w:val="none" w:sz="0" w:space="0" w:color="auto"/>
                        <w:left w:val="none" w:sz="0" w:space="0" w:color="auto"/>
                        <w:bottom w:val="none" w:sz="0" w:space="0" w:color="auto"/>
                        <w:right w:val="none" w:sz="0" w:space="0" w:color="auto"/>
                      </w:divBdr>
                    </w:div>
                    <w:div w:id="294151523">
                      <w:marLeft w:val="0"/>
                      <w:marRight w:val="0"/>
                      <w:marTop w:val="0"/>
                      <w:marBottom w:val="0"/>
                      <w:divBdr>
                        <w:top w:val="none" w:sz="0" w:space="0" w:color="auto"/>
                        <w:left w:val="none" w:sz="0" w:space="0" w:color="auto"/>
                        <w:bottom w:val="none" w:sz="0" w:space="0" w:color="auto"/>
                        <w:right w:val="none" w:sz="0" w:space="0" w:color="auto"/>
                      </w:divBdr>
                    </w:div>
                    <w:div w:id="294151540">
                      <w:marLeft w:val="0"/>
                      <w:marRight w:val="0"/>
                      <w:marTop w:val="0"/>
                      <w:marBottom w:val="0"/>
                      <w:divBdr>
                        <w:top w:val="none" w:sz="0" w:space="0" w:color="auto"/>
                        <w:left w:val="none" w:sz="0" w:space="0" w:color="auto"/>
                        <w:bottom w:val="none" w:sz="0" w:space="0" w:color="auto"/>
                        <w:right w:val="none" w:sz="0" w:space="0" w:color="auto"/>
                      </w:divBdr>
                      <w:divsChild>
                        <w:div w:id="294142636">
                          <w:marLeft w:val="0"/>
                          <w:marRight w:val="0"/>
                          <w:marTop w:val="0"/>
                          <w:marBottom w:val="0"/>
                          <w:divBdr>
                            <w:top w:val="none" w:sz="0" w:space="0" w:color="auto"/>
                            <w:left w:val="none" w:sz="0" w:space="0" w:color="auto"/>
                            <w:bottom w:val="none" w:sz="0" w:space="0" w:color="auto"/>
                            <w:right w:val="none" w:sz="0" w:space="0" w:color="auto"/>
                          </w:divBdr>
                        </w:div>
                      </w:divsChild>
                    </w:div>
                    <w:div w:id="294151734">
                      <w:marLeft w:val="0"/>
                      <w:marRight w:val="0"/>
                      <w:marTop w:val="0"/>
                      <w:marBottom w:val="0"/>
                      <w:divBdr>
                        <w:top w:val="none" w:sz="0" w:space="0" w:color="auto"/>
                        <w:left w:val="none" w:sz="0" w:space="0" w:color="auto"/>
                        <w:bottom w:val="none" w:sz="0" w:space="0" w:color="auto"/>
                        <w:right w:val="none" w:sz="0" w:space="0" w:color="auto"/>
                      </w:divBdr>
                      <w:divsChild>
                        <w:div w:id="294151480">
                          <w:marLeft w:val="0"/>
                          <w:marRight w:val="0"/>
                          <w:marTop w:val="0"/>
                          <w:marBottom w:val="0"/>
                          <w:divBdr>
                            <w:top w:val="none" w:sz="0" w:space="0" w:color="auto"/>
                            <w:left w:val="none" w:sz="0" w:space="0" w:color="auto"/>
                            <w:bottom w:val="none" w:sz="0" w:space="0" w:color="auto"/>
                            <w:right w:val="none" w:sz="0" w:space="0" w:color="auto"/>
                          </w:divBdr>
                        </w:div>
                      </w:divsChild>
                    </w:div>
                    <w:div w:id="294151832">
                      <w:marLeft w:val="0"/>
                      <w:marRight w:val="0"/>
                      <w:marTop w:val="0"/>
                      <w:marBottom w:val="0"/>
                      <w:divBdr>
                        <w:top w:val="none" w:sz="0" w:space="0" w:color="auto"/>
                        <w:left w:val="none" w:sz="0" w:space="0" w:color="auto"/>
                        <w:bottom w:val="none" w:sz="0" w:space="0" w:color="auto"/>
                        <w:right w:val="none" w:sz="0" w:space="0" w:color="auto"/>
                      </w:divBdr>
                      <w:divsChild>
                        <w:div w:id="294148753">
                          <w:marLeft w:val="0"/>
                          <w:marRight w:val="0"/>
                          <w:marTop w:val="0"/>
                          <w:marBottom w:val="0"/>
                          <w:divBdr>
                            <w:top w:val="none" w:sz="0" w:space="0" w:color="auto"/>
                            <w:left w:val="none" w:sz="0" w:space="0" w:color="auto"/>
                            <w:bottom w:val="none" w:sz="0" w:space="0" w:color="auto"/>
                            <w:right w:val="none" w:sz="0" w:space="0" w:color="auto"/>
                          </w:divBdr>
                        </w:div>
                      </w:divsChild>
                    </w:div>
                    <w:div w:id="294152022">
                      <w:marLeft w:val="0"/>
                      <w:marRight w:val="0"/>
                      <w:marTop w:val="0"/>
                      <w:marBottom w:val="0"/>
                      <w:divBdr>
                        <w:top w:val="none" w:sz="0" w:space="0" w:color="auto"/>
                        <w:left w:val="none" w:sz="0" w:space="0" w:color="auto"/>
                        <w:bottom w:val="none" w:sz="0" w:space="0" w:color="auto"/>
                        <w:right w:val="none" w:sz="0" w:space="0" w:color="auto"/>
                      </w:divBdr>
                      <w:divsChild>
                        <w:div w:id="294139885">
                          <w:marLeft w:val="0"/>
                          <w:marRight w:val="0"/>
                          <w:marTop w:val="0"/>
                          <w:marBottom w:val="0"/>
                          <w:divBdr>
                            <w:top w:val="none" w:sz="0" w:space="0" w:color="auto"/>
                            <w:left w:val="none" w:sz="0" w:space="0" w:color="auto"/>
                            <w:bottom w:val="none" w:sz="0" w:space="0" w:color="auto"/>
                            <w:right w:val="none" w:sz="0" w:space="0" w:color="auto"/>
                          </w:divBdr>
                        </w:div>
                      </w:divsChild>
                    </w:div>
                    <w:div w:id="294152172">
                      <w:marLeft w:val="0"/>
                      <w:marRight w:val="0"/>
                      <w:marTop w:val="0"/>
                      <w:marBottom w:val="0"/>
                      <w:divBdr>
                        <w:top w:val="none" w:sz="0" w:space="0" w:color="auto"/>
                        <w:left w:val="none" w:sz="0" w:space="0" w:color="auto"/>
                        <w:bottom w:val="none" w:sz="0" w:space="0" w:color="auto"/>
                        <w:right w:val="none" w:sz="0" w:space="0" w:color="auto"/>
                      </w:divBdr>
                      <w:divsChild>
                        <w:div w:id="294154919">
                          <w:marLeft w:val="0"/>
                          <w:marRight w:val="0"/>
                          <w:marTop w:val="0"/>
                          <w:marBottom w:val="0"/>
                          <w:divBdr>
                            <w:top w:val="none" w:sz="0" w:space="0" w:color="auto"/>
                            <w:left w:val="none" w:sz="0" w:space="0" w:color="auto"/>
                            <w:bottom w:val="none" w:sz="0" w:space="0" w:color="auto"/>
                            <w:right w:val="none" w:sz="0" w:space="0" w:color="auto"/>
                          </w:divBdr>
                        </w:div>
                      </w:divsChild>
                    </w:div>
                    <w:div w:id="294152226">
                      <w:marLeft w:val="0"/>
                      <w:marRight w:val="0"/>
                      <w:marTop w:val="0"/>
                      <w:marBottom w:val="0"/>
                      <w:divBdr>
                        <w:top w:val="none" w:sz="0" w:space="0" w:color="auto"/>
                        <w:left w:val="none" w:sz="0" w:space="0" w:color="auto"/>
                        <w:bottom w:val="none" w:sz="0" w:space="0" w:color="auto"/>
                        <w:right w:val="none" w:sz="0" w:space="0" w:color="auto"/>
                      </w:divBdr>
                      <w:divsChild>
                        <w:div w:id="294147365">
                          <w:marLeft w:val="0"/>
                          <w:marRight w:val="0"/>
                          <w:marTop w:val="0"/>
                          <w:marBottom w:val="0"/>
                          <w:divBdr>
                            <w:top w:val="none" w:sz="0" w:space="0" w:color="auto"/>
                            <w:left w:val="none" w:sz="0" w:space="0" w:color="auto"/>
                            <w:bottom w:val="none" w:sz="0" w:space="0" w:color="auto"/>
                            <w:right w:val="none" w:sz="0" w:space="0" w:color="auto"/>
                          </w:divBdr>
                        </w:div>
                      </w:divsChild>
                    </w:div>
                    <w:div w:id="294152431">
                      <w:marLeft w:val="0"/>
                      <w:marRight w:val="0"/>
                      <w:marTop w:val="0"/>
                      <w:marBottom w:val="0"/>
                      <w:divBdr>
                        <w:top w:val="none" w:sz="0" w:space="0" w:color="auto"/>
                        <w:left w:val="none" w:sz="0" w:space="0" w:color="auto"/>
                        <w:bottom w:val="none" w:sz="0" w:space="0" w:color="auto"/>
                        <w:right w:val="none" w:sz="0" w:space="0" w:color="auto"/>
                      </w:divBdr>
                      <w:divsChild>
                        <w:div w:id="294148664">
                          <w:marLeft w:val="0"/>
                          <w:marRight w:val="0"/>
                          <w:marTop w:val="0"/>
                          <w:marBottom w:val="0"/>
                          <w:divBdr>
                            <w:top w:val="none" w:sz="0" w:space="0" w:color="auto"/>
                            <w:left w:val="none" w:sz="0" w:space="0" w:color="auto"/>
                            <w:bottom w:val="none" w:sz="0" w:space="0" w:color="auto"/>
                            <w:right w:val="none" w:sz="0" w:space="0" w:color="auto"/>
                          </w:divBdr>
                        </w:div>
                      </w:divsChild>
                    </w:div>
                    <w:div w:id="294152440">
                      <w:marLeft w:val="0"/>
                      <w:marRight w:val="0"/>
                      <w:marTop w:val="0"/>
                      <w:marBottom w:val="0"/>
                      <w:divBdr>
                        <w:top w:val="none" w:sz="0" w:space="0" w:color="auto"/>
                        <w:left w:val="none" w:sz="0" w:space="0" w:color="auto"/>
                        <w:bottom w:val="none" w:sz="0" w:space="0" w:color="auto"/>
                        <w:right w:val="none" w:sz="0" w:space="0" w:color="auto"/>
                      </w:divBdr>
                      <w:divsChild>
                        <w:div w:id="294149818">
                          <w:marLeft w:val="0"/>
                          <w:marRight w:val="0"/>
                          <w:marTop w:val="0"/>
                          <w:marBottom w:val="0"/>
                          <w:divBdr>
                            <w:top w:val="none" w:sz="0" w:space="0" w:color="auto"/>
                            <w:left w:val="none" w:sz="0" w:space="0" w:color="auto"/>
                            <w:bottom w:val="none" w:sz="0" w:space="0" w:color="auto"/>
                            <w:right w:val="none" w:sz="0" w:space="0" w:color="auto"/>
                          </w:divBdr>
                        </w:div>
                      </w:divsChild>
                    </w:div>
                    <w:div w:id="294152485">
                      <w:marLeft w:val="0"/>
                      <w:marRight w:val="0"/>
                      <w:marTop w:val="0"/>
                      <w:marBottom w:val="0"/>
                      <w:divBdr>
                        <w:top w:val="none" w:sz="0" w:space="0" w:color="auto"/>
                        <w:left w:val="none" w:sz="0" w:space="0" w:color="auto"/>
                        <w:bottom w:val="none" w:sz="0" w:space="0" w:color="auto"/>
                        <w:right w:val="none" w:sz="0" w:space="0" w:color="auto"/>
                      </w:divBdr>
                      <w:divsChild>
                        <w:div w:id="294141915">
                          <w:marLeft w:val="0"/>
                          <w:marRight w:val="0"/>
                          <w:marTop w:val="0"/>
                          <w:marBottom w:val="0"/>
                          <w:divBdr>
                            <w:top w:val="none" w:sz="0" w:space="0" w:color="auto"/>
                            <w:left w:val="none" w:sz="0" w:space="0" w:color="auto"/>
                            <w:bottom w:val="none" w:sz="0" w:space="0" w:color="auto"/>
                            <w:right w:val="none" w:sz="0" w:space="0" w:color="auto"/>
                          </w:divBdr>
                        </w:div>
                      </w:divsChild>
                    </w:div>
                    <w:div w:id="294152522">
                      <w:marLeft w:val="0"/>
                      <w:marRight w:val="0"/>
                      <w:marTop w:val="0"/>
                      <w:marBottom w:val="0"/>
                      <w:divBdr>
                        <w:top w:val="none" w:sz="0" w:space="0" w:color="auto"/>
                        <w:left w:val="none" w:sz="0" w:space="0" w:color="auto"/>
                        <w:bottom w:val="none" w:sz="0" w:space="0" w:color="auto"/>
                        <w:right w:val="none" w:sz="0" w:space="0" w:color="auto"/>
                      </w:divBdr>
                    </w:div>
                    <w:div w:id="294152529">
                      <w:marLeft w:val="0"/>
                      <w:marRight w:val="0"/>
                      <w:marTop w:val="0"/>
                      <w:marBottom w:val="0"/>
                      <w:divBdr>
                        <w:top w:val="none" w:sz="0" w:space="0" w:color="auto"/>
                        <w:left w:val="none" w:sz="0" w:space="0" w:color="auto"/>
                        <w:bottom w:val="none" w:sz="0" w:space="0" w:color="auto"/>
                        <w:right w:val="none" w:sz="0" w:space="0" w:color="auto"/>
                      </w:divBdr>
                      <w:divsChild>
                        <w:div w:id="294139346">
                          <w:marLeft w:val="0"/>
                          <w:marRight w:val="0"/>
                          <w:marTop w:val="0"/>
                          <w:marBottom w:val="0"/>
                          <w:divBdr>
                            <w:top w:val="none" w:sz="0" w:space="0" w:color="auto"/>
                            <w:left w:val="none" w:sz="0" w:space="0" w:color="auto"/>
                            <w:bottom w:val="none" w:sz="0" w:space="0" w:color="auto"/>
                            <w:right w:val="none" w:sz="0" w:space="0" w:color="auto"/>
                          </w:divBdr>
                        </w:div>
                      </w:divsChild>
                    </w:div>
                    <w:div w:id="294152616">
                      <w:marLeft w:val="0"/>
                      <w:marRight w:val="0"/>
                      <w:marTop w:val="0"/>
                      <w:marBottom w:val="0"/>
                      <w:divBdr>
                        <w:top w:val="none" w:sz="0" w:space="0" w:color="auto"/>
                        <w:left w:val="none" w:sz="0" w:space="0" w:color="auto"/>
                        <w:bottom w:val="none" w:sz="0" w:space="0" w:color="auto"/>
                        <w:right w:val="none" w:sz="0" w:space="0" w:color="auto"/>
                      </w:divBdr>
                    </w:div>
                    <w:div w:id="294152781">
                      <w:marLeft w:val="0"/>
                      <w:marRight w:val="0"/>
                      <w:marTop w:val="0"/>
                      <w:marBottom w:val="0"/>
                      <w:divBdr>
                        <w:top w:val="none" w:sz="0" w:space="0" w:color="auto"/>
                        <w:left w:val="none" w:sz="0" w:space="0" w:color="auto"/>
                        <w:bottom w:val="none" w:sz="0" w:space="0" w:color="auto"/>
                        <w:right w:val="none" w:sz="0" w:space="0" w:color="auto"/>
                      </w:divBdr>
                      <w:divsChild>
                        <w:div w:id="294145803">
                          <w:marLeft w:val="0"/>
                          <w:marRight w:val="0"/>
                          <w:marTop w:val="0"/>
                          <w:marBottom w:val="0"/>
                          <w:divBdr>
                            <w:top w:val="none" w:sz="0" w:space="0" w:color="auto"/>
                            <w:left w:val="none" w:sz="0" w:space="0" w:color="auto"/>
                            <w:bottom w:val="none" w:sz="0" w:space="0" w:color="auto"/>
                            <w:right w:val="none" w:sz="0" w:space="0" w:color="auto"/>
                          </w:divBdr>
                        </w:div>
                      </w:divsChild>
                    </w:div>
                    <w:div w:id="294152904">
                      <w:marLeft w:val="0"/>
                      <w:marRight w:val="0"/>
                      <w:marTop w:val="0"/>
                      <w:marBottom w:val="0"/>
                      <w:divBdr>
                        <w:top w:val="none" w:sz="0" w:space="0" w:color="auto"/>
                        <w:left w:val="none" w:sz="0" w:space="0" w:color="auto"/>
                        <w:bottom w:val="none" w:sz="0" w:space="0" w:color="auto"/>
                        <w:right w:val="none" w:sz="0" w:space="0" w:color="auto"/>
                      </w:divBdr>
                    </w:div>
                    <w:div w:id="294153088">
                      <w:marLeft w:val="0"/>
                      <w:marRight w:val="0"/>
                      <w:marTop w:val="0"/>
                      <w:marBottom w:val="0"/>
                      <w:divBdr>
                        <w:top w:val="none" w:sz="0" w:space="0" w:color="auto"/>
                        <w:left w:val="none" w:sz="0" w:space="0" w:color="auto"/>
                        <w:bottom w:val="none" w:sz="0" w:space="0" w:color="auto"/>
                        <w:right w:val="none" w:sz="0" w:space="0" w:color="auto"/>
                      </w:divBdr>
                    </w:div>
                    <w:div w:id="294153148">
                      <w:marLeft w:val="0"/>
                      <w:marRight w:val="0"/>
                      <w:marTop w:val="0"/>
                      <w:marBottom w:val="0"/>
                      <w:divBdr>
                        <w:top w:val="none" w:sz="0" w:space="0" w:color="auto"/>
                        <w:left w:val="none" w:sz="0" w:space="0" w:color="auto"/>
                        <w:bottom w:val="none" w:sz="0" w:space="0" w:color="auto"/>
                        <w:right w:val="none" w:sz="0" w:space="0" w:color="auto"/>
                      </w:divBdr>
                      <w:divsChild>
                        <w:div w:id="294143269">
                          <w:marLeft w:val="0"/>
                          <w:marRight w:val="0"/>
                          <w:marTop w:val="0"/>
                          <w:marBottom w:val="0"/>
                          <w:divBdr>
                            <w:top w:val="none" w:sz="0" w:space="0" w:color="auto"/>
                            <w:left w:val="none" w:sz="0" w:space="0" w:color="auto"/>
                            <w:bottom w:val="none" w:sz="0" w:space="0" w:color="auto"/>
                            <w:right w:val="none" w:sz="0" w:space="0" w:color="auto"/>
                          </w:divBdr>
                        </w:div>
                      </w:divsChild>
                    </w:div>
                    <w:div w:id="294153152">
                      <w:marLeft w:val="0"/>
                      <w:marRight w:val="0"/>
                      <w:marTop w:val="0"/>
                      <w:marBottom w:val="0"/>
                      <w:divBdr>
                        <w:top w:val="none" w:sz="0" w:space="0" w:color="auto"/>
                        <w:left w:val="none" w:sz="0" w:space="0" w:color="auto"/>
                        <w:bottom w:val="none" w:sz="0" w:space="0" w:color="auto"/>
                        <w:right w:val="none" w:sz="0" w:space="0" w:color="auto"/>
                      </w:divBdr>
                      <w:divsChild>
                        <w:div w:id="294150984">
                          <w:marLeft w:val="0"/>
                          <w:marRight w:val="0"/>
                          <w:marTop w:val="0"/>
                          <w:marBottom w:val="0"/>
                          <w:divBdr>
                            <w:top w:val="none" w:sz="0" w:space="0" w:color="auto"/>
                            <w:left w:val="none" w:sz="0" w:space="0" w:color="auto"/>
                            <w:bottom w:val="none" w:sz="0" w:space="0" w:color="auto"/>
                            <w:right w:val="none" w:sz="0" w:space="0" w:color="auto"/>
                          </w:divBdr>
                        </w:div>
                      </w:divsChild>
                    </w:div>
                    <w:div w:id="294153180">
                      <w:marLeft w:val="0"/>
                      <w:marRight w:val="0"/>
                      <w:marTop w:val="0"/>
                      <w:marBottom w:val="0"/>
                      <w:divBdr>
                        <w:top w:val="none" w:sz="0" w:space="0" w:color="auto"/>
                        <w:left w:val="none" w:sz="0" w:space="0" w:color="auto"/>
                        <w:bottom w:val="none" w:sz="0" w:space="0" w:color="auto"/>
                        <w:right w:val="none" w:sz="0" w:space="0" w:color="auto"/>
                      </w:divBdr>
                      <w:divsChild>
                        <w:div w:id="294143130">
                          <w:marLeft w:val="0"/>
                          <w:marRight w:val="0"/>
                          <w:marTop w:val="0"/>
                          <w:marBottom w:val="0"/>
                          <w:divBdr>
                            <w:top w:val="none" w:sz="0" w:space="0" w:color="auto"/>
                            <w:left w:val="none" w:sz="0" w:space="0" w:color="auto"/>
                            <w:bottom w:val="none" w:sz="0" w:space="0" w:color="auto"/>
                            <w:right w:val="none" w:sz="0" w:space="0" w:color="auto"/>
                          </w:divBdr>
                        </w:div>
                      </w:divsChild>
                    </w:div>
                    <w:div w:id="294153465">
                      <w:marLeft w:val="0"/>
                      <w:marRight w:val="0"/>
                      <w:marTop w:val="0"/>
                      <w:marBottom w:val="0"/>
                      <w:divBdr>
                        <w:top w:val="none" w:sz="0" w:space="0" w:color="auto"/>
                        <w:left w:val="none" w:sz="0" w:space="0" w:color="auto"/>
                        <w:bottom w:val="none" w:sz="0" w:space="0" w:color="auto"/>
                        <w:right w:val="none" w:sz="0" w:space="0" w:color="auto"/>
                      </w:divBdr>
                      <w:divsChild>
                        <w:div w:id="294140676">
                          <w:marLeft w:val="0"/>
                          <w:marRight w:val="0"/>
                          <w:marTop w:val="0"/>
                          <w:marBottom w:val="0"/>
                          <w:divBdr>
                            <w:top w:val="none" w:sz="0" w:space="0" w:color="auto"/>
                            <w:left w:val="none" w:sz="0" w:space="0" w:color="auto"/>
                            <w:bottom w:val="none" w:sz="0" w:space="0" w:color="auto"/>
                            <w:right w:val="none" w:sz="0" w:space="0" w:color="auto"/>
                          </w:divBdr>
                        </w:div>
                      </w:divsChild>
                    </w:div>
                    <w:div w:id="294153547">
                      <w:marLeft w:val="0"/>
                      <w:marRight w:val="0"/>
                      <w:marTop w:val="0"/>
                      <w:marBottom w:val="0"/>
                      <w:divBdr>
                        <w:top w:val="none" w:sz="0" w:space="0" w:color="auto"/>
                        <w:left w:val="none" w:sz="0" w:space="0" w:color="auto"/>
                        <w:bottom w:val="none" w:sz="0" w:space="0" w:color="auto"/>
                        <w:right w:val="none" w:sz="0" w:space="0" w:color="auto"/>
                      </w:divBdr>
                    </w:div>
                    <w:div w:id="294153569">
                      <w:marLeft w:val="0"/>
                      <w:marRight w:val="0"/>
                      <w:marTop w:val="0"/>
                      <w:marBottom w:val="0"/>
                      <w:divBdr>
                        <w:top w:val="none" w:sz="0" w:space="0" w:color="auto"/>
                        <w:left w:val="none" w:sz="0" w:space="0" w:color="auto"/>
                        <w:bottom w:val="none" w:sz="0" w:space="0" w:color="auto"/>
                        <w:right w:val="none" w:sz="0" w:space="0" w:color="auto"/>
                      </w:divBdr>
                    </w:div>
                    <w:div w:id="294153830">
                      <w:marLeft w:val="0"/>
                      <w:marRight w:val="0"/>
                      <w:marTop w:val="0"/>
                      <w:marBottom w:val="0"/>
                      <w:divBdr>
                        <w:top w:val="none" w:sz="0" w:space="0" w:color="auto"/>
                        <w:left w:val="none" w:sz="0" w:space="0" w:color="auto"/>
                        <w:bottom w:val="none" w:sz="0" w:space="0" w:color="auto"/>
                        <w:right w:val="none" w:sz="0" w:space="0" w:color="auto"/>
                      </w:divBdr>
                      <w:divsChild>
                        <w:div w:id="294144288">
                          <w:marLeft w:val="0"/>
                          <w:marRight w:val="0"/>
                          <w:marTop w:val="0"/>
                          <w:marBottom w:val="0"/>
                          <w:divBdr>
                            <w:top w:val="none" w:sz="0" w:space="0" w:color="auto"/>
                            <w:left w:val="none" w:sz="0" w:space="0" w:color="auto"/>
                            <w:bottom w:val="none" w:sz="0" w:space="0" w:color="auto"/>
                            <w:right w:val="none" w:sz="0" w:space="0" w:color="auto"/>
                          </w:divBdr>
                        </w:div>
                      </w:divsChild>
                    </w:div>
                    <w:div w:id="294154024">
                      <w:marLeft w:val="0"/>
                      <w:marRight w:val="0"/>
                      <w:marTop w:val="0"/>
                      <w:marBottom w:val="0"/>
                      <w:divBdr>
                        <w:top w:val="none" w:sz="0" w:space="0" w:color="auto"/>
                        <w:left w:val="none" w:sz="0" w:space="0" w:color="auto"/>
                        <w:bottom w:val="none" w:sz="0" w:space="0" w:color="auto"/>
                        <w:right w:val="none" w:sz="0" w:space="0" w:color="auto"/>
                      </w:divBdr>
                    </w:div>
                    <w:div w:id="294154075">
                      <w:marLeft w:val="0"/>
                      <w:marRight w:val="0"/>
                      <w:marTop w:val="0"/>
                      <w:marBottom w:val="0"/>
                      <w:divBdr>
                        <w:top w:val="none" w:sz="0" w:space="0" w:color="auto"/>
                        <w:left w:val="none" w:sz="0" w:space="0" w:color="auto"/>
                        <w:bottom w:val="none" w:sz="0" w:space="0" w:color="auto"/>
                        <w:right w:val="none" w:sz="0" w:space="0" w:color="auto"/>
                      </w:divBdr>
                    </w:div>
                    <w:div w:id="294154127">
                      <w:marLeft w:val="0"/>
                      <w:marRight w:val="0"/>
                      <w:marTop w:val="0"/>
                      <w:marBottom w:val="0"/>
                      <w:divBdr>
                        <w:top w:val="none" w:sz="0" w:space="0" w:color="auto"/>
                        <w:left w:val="none" w:sz="0" w:space="0" w:color="auto"/>
                        <w:bottom w:val="none" w:sz="0" w:space="0" w:color="auto"/>
                        <w:right w:val="none" w:sz="0" w:space="0" w:color="auto"/>
                      </w:divBdr>
                    </w:div>
                    <w:div w:id="294154186">
                      <w:marLeft w:val="0"/>
                      <w:marRight w:val="0"/>
                      <w:marTop w:val="0"/>
                      <w:marBottom w:val="0"/>
                      <w:divBdr>
                        <w:top w:val="none" w:sz="0" w:space="0" w:color="auto"/>
                        <w:left w:val="none" w:sz="0" w:space="0" w:color="auto"/>
                        <w:bottom w:val="none" w:sz="0" w:space="0" w:color="auto"/>
                        <w:right w:val="none" w:sz="0" w:space="0" w:color="auto"/>
                      </w:divBdr>
                      <w:divsChild>
                        <w:div w:id="294143504">
                          <w:marLeft w:val="0"/>
                          <w:marRight w:val="0"/>
                          <w:marTop w:val="0"/>
                          <w:marBottom w:val="0"/>
                          <w:divBdr>
                            <w:top w:val="none" w:sz="0" w:space="0" w:color="auto"/>
                            <w:left w:val="none" w:sz="0" w:space="0" w:color="auto"/>
                            <w:bottom w:val="none" w:sz="0" w:space="0" w:color="auto"/>
                            <w:right w:val="none" w:sz="0" w:space="0" w:color="auto"/>
                          </w:divBdr>
                        </w:div>
                      </w:divsChild>
                    </w:div>
                    <w:div w:id="294154324">
                      <w:marLeft w:val="0"/>
                      <w:marRight w:val="0"/>
                      <w:marTop w:val="0"/>
                      <w:marBottom w:val="0"/>
                      <w:divBdr>
                        <w:top w:val="none" w:sz="0" w:space="0" w:color="auto"/>
                        <w:left w:val="none" w:sz="0" w:space="0" w:color="auto"/>
                        <w:bottom w:val="none" w:sz="0" w:space="0" w:color="auto"/>
                        <w:right w:val="none" w:sz="0" w:space="0" w:color="auto"/>
                      </w:divBdr>
                      <w:divsChild>
                        <w:div w:id="294143196">
                          <w:marLeft w:val="0"/>
                          <w:marRight w:val="0"/>
                          <w:marTop w:val="0"/>
                          <w:marBottom w:val="0"/>
                          <w:divBdr>
                            <w:top w:val="none" w:sz="0" w:space="0" w:color="auto"/>
                            <w:left w:val="none" w:sz="0" w:space="0" w:color="auto"/>
                            <w:bottom w:val="none" w:sz="0" w:space="0" w:color="auto"/>
                            <w:right w:val="none" w:sz="0" w:space="0" w:color="auto"/>
                          </w:divBdr>
                        </w:div>
                      </w:divsChild>
                    </w:div>
                    <w:div w:id="294154325">
                      <w:marLeft w:val="0"/>
                      <w:marRight w:val="0"/>
                      <w:marTop w:val="0"/>
                      <w:marBottom w:val="0"/>
                      <w:divBdr>
                        <w:top w:val="none" w:sz="0" w:space="0" w:color="auto"/>
                        <w:left w:val="none" w:sz="0" w:space="0" w:color="auto"/>
                        <w:bottom w:val="none" w:sz="0" w:space="0" w:color="auto"/>
                        <w:right w:val="none" w:sz="0" w:space="0" w:color="auto"/>
                      </w:divBdr>
                      <w:divsChild>
                        <w:div w:id="294145457">
                          <w:marLeft w:val="0"/>
                          <w:marRight w:val="0"/>
                          <w:marTop w:val="0"/>
                          <w:marBottom w:val="0"/>
                          <w:divBdr>
                            <w:top w:val="none" w:sz="0" w:space="0" w:color="auto"/>
                            <w:left w:val="none" w:sz="0" w:space="0" w:color="auto"/>
                            <w:bottom w:val="none" w:sz="0" w:space="0" w:color="auto"/>
                            <w:right w:val="none" w:sz="0" w:space="0" w:color="auto"/>
                          </w:divBdr>
                        </w:div>
                      </w:divsChild>
                    </w:div>
                    <w:div w:id="294154492">
                      <w:marLeft w:val="0"/>
                      <w:marRight w:val="0"/>
                      <w:marTop w:val="0"/>
                      <w:marBottom w:val="0"/>
                      <w:divBdr>
                        <w:top w:val="none" w:sz="0" w:space="0" w:color="auto"/>
                        <w:left w:val="none" w:sz="0" w:space="0" w:color="auto"/>
                        <w:bottom w:val="none" w:sz="0" w:space="0" w:color="auto"/>
                        <w:right w:val="none" w:sz="0" w:space="0" w:color="auto"/>
                      </w:divBdr>
                      <w:divsChild>
                        <w:div w:id="294151622">
                          <w:marLeft w:val="0"/>
                          <w:marRight w:val="0"/>
                          <w:marTop w:val="0"/>
                          <w:marBottom w:val="0"/>
                          <w:divBdr>
                            <w:top w:val="none" w:sz="0" w:space="0" w:color="auto"/>
                            <w:left w:val="none" w:sz="0" w:space="0" w:color="auto"/>
                            <w:bottom w:val="none" w:sz="0" w:space="0" w:color="auto"/>
                            <w:right w:val="none" w:sz="0" w:space="0" w:color="auto"/>
                          </w:divBdr>
                        </w:div>
                      </w:divsChild>
                    </w:div>
                    <w:div w:id="294154536">
                      <w:marLeft w:val="0"/>
                      <w:marRight w:val="0"/>
                      <w:marTop w:val="0"/>
                      <w:marBottom w:val="0"/>
                      <w:divBdr>
                        <w:top w:val="none" w:sz="0" w:space="0" w:color="auto"/>
                        <w:left w:val="none" w:sz="0" w:space="0" w:color="auto"/>
                        <w:bottom w:val="none" w:sz="0" w:space="0" w:color="auto"/>
                        <w:right w:val="none" w:sz="0" w:space="0" w:color="auto"/>
                      </w:divBdr>
                      <w:divsChild>
                        <w:div w:id="294140620">
                          <w:marLeft w:val="0"/>
                          <w:marRight w:val="0"/>
                          <w:marTop w:val="0"/>
                          <w:marBottom w:val="0"/>
                          <w:divBdr>
                            <w:top w:val="none" w:sz="0" w:space="0" w:color="auto"/>
                            <w:left w:val="none" w:sz="0" w:space="0" w:color="auto"/>
                            <w:bottom w:val="none" w:sz="0" w:space="0" w:color="auto"/>
                            <w:right w:val="none" w:sz="0" w:space="0" w:color="auto"/>
                          </w:divBdr>
                        </w:div>
                      </w:divsChild>
                    </w:div>
                    <w:div w:id="294154739">
                      <w:marLeft w:val="0"/>
                      <w:marRight w:val="0"/>
                      <w:marTop w:val="0"/>
                      <w:marBottom w:val="0"/>
                      <w:divBdr>
                        <w:top w:val="none" w:sz="0" w:space="0" w:color="auto"/>
                        <w:left w:val="none" w:sz="0" w:space="0" w:color="auto"/>
                        <w:bottom w:val="none" w:sz="0" w:space="0" w:color="auto"/>
                        <w:right w:val="none" w:sz="0" w:space="0" w:color="auto"/>
                      </w:divBdr>
                    </w:div>
                    <w:div w:id="294155459">
                      <w:marLeft w:val="0"/>
                      <w:marRight w:val="0"/>
                      <w:marTop w:val="0"/>
                      <w:marBottom w:val="0"/>
                      <w:divBdr>
                        <w:top w:val="none" w:sz="0" w:space="0" w:color="auto"/>
                        <w:left w:val="none" w:sz="0" w:space="0" w:color="auto"/>
                        <w:bottom w:val="none" w:sz="0" w:space="0" w:color="auto"/>
                        <w:right w:val="none" w:sz="0" w:space="0" w:color="auto"/>
                      </w:divBdr>
                      <w:divsChild>
                        <w:div w:id="294146321">
                          <w:marLeft w:val="0"/>
                          <w:marRight w:val="0"/>
                          <w:marTop w:val="0"/>
                          <w:marBottom w:val="0"/>
                          <w:divBdr>
                            <w:top w:val="none" w:sz="0" w:space="0" w:color="auto"/>
                            <w:left w:val="none" w:sz="0" w:space="0" w:color="auto"/>
                            <w:bottom w:val="none" w:sz="0" w:space="0" w:color="auto"/>
                            <w:right w:val="none" w:sz="0" w:space="0" w:color="auto"/>
                          </w:divBdr>
                        </w:div>
                      </w:divsChild>
                    </w:div>
                    <w:div w:id="294155480">
                      <w:marLeft w:val="0"/>
                      <w:marRight w:val="0"/>
                      <w:marTop w:val="0"/>
                      <w:marBottom w:val="0"/>
                      <w:divBdr>
                        <w:top w:val="none" w:sz="0" w:space="0" w:color="auto"/>
                        <w:left w:val="none" w:sz="0" w:space="0" w:color="auto"/>
                        <w:bottom w:val="none" w:sz="0" w:space="0" w:color="auto"/>
                        <w:right w:val="none" w:sz="0" w:space="0" w:color="auto"/>
                      </w:divBdr>
                    </w:div>
                    <w:div w:id="294155486">
                      <w:marLeft w:val="0"/>
                      <w:marRight w:val="0"/>
                      <w:marTop w:val="0"/>
                      <w:marBottom w:val="0"/>
                      <w:divBdr>
                        <w:top w:val="none" w:sz="0" w:space="0" w:color="auto"/>
                        <w:left w:val="none" w:sz="0" w:space="0" w:color="auto"/>
                        <w:bottom w:val="none" w:sz="0" w:space="0" w:color="auto"/>
                        <w:right w:val="none" w:sz="0" w:space="0" w:color="auto"/>
                      </w:divBdr>
                      <w:divsChild>
                        <w:div w:id="294156238">
                          <w:marLeft w:val="0"/>
                          <w:marRight w:val="0"/>
                          <w:marTop w:val="0"/>
                          <w:marBottom w:val="0"/>
                          <w:divBdr>
                            <w:top w:val="none" w:sz="0" w:space="0" w:color="auto"/>
                            <w:left w:val="none" w:sz="0" w:space="0" w:color="auto"/>
                            <w:bottom w:val="none" w:sz="0" w:space="0" w:color="auto"/>
                            <w:right w:val="none" w:sz="0" w:space="0" w:color="auto"/>
                          </w:divBdr>
                        </w:div>
                      </w:divsChild>
                    </w:div>
                    <w:div w:id="294155509">
                      <w:marLeft w:val="0"/>
                      <w:marRight w:val="0"/>
                      <w:marTop w:val="0"/>
                      <w:marBottom w:val="0"/>
                      <w:divBdr>
                        <w:top w:val="none" w:sz="0" w:space="0" w:color="auto"/>
                        <w:left w:val="none" w:sz="0" w:space="0" w:color="auto"/>
                        <w:bottom w:val="none" w:sz="0" w:space="0" w:color="auto"/>
                        <w:right w:val="none" w:sz="0" w:space="0" w:color="auto"/>
                      </w:divBdr>
                    </w:div>
                    <w:div w:id="294155563">
                      <w:marLeft w:val="0"/>
                      <w:marRight w:val="0"/>
                      <w:marTop w:val="0"/>
                      <w:marBottom w:val="0"/>
                      <w:divBdr>
                        <w:top w:val="none" w:sz="0" w:space="0" w:color="auto"/>
                        <w:left w:val="none" w:sz="0" w:space="0" w:color="auto"/>
                        <w:bottom w:val="none" w:sz="0" w:space="0" w:color="auto"/>
                        <w:right w:val="none" w:sz="0" w:space="0" w:color="auto"/>
                      </w:divBdr>
                      <w:divsChild>
                        <w:div w:id="294148624">
                          <w:marLeft w:val="0"/>
                          <w:marRight w:val="0"/>
                          <w:marTop w:val="0"/>
                          <w:marBottom w:val="0"/>
                          <w:divBdr>
                            <w:top w:val="none" w:sz="0" w:space="0" w:color="auto"/>
                            <w:left w:val="none" w:sz="0" w:space="0" w:color="auto"/>
                            <w:bottom w:val="none" w:sz="0" w:space="0" w:color="auto"/>
                            <w:right w:val="none" w:sz="0" w:space="0" w:color="auto"/>
                          </w:divBdr>
                        </w:div>
                      </w:divsChild>
                    </w:div>
                    <w:div w:id="294155712">
                      <w:marLeft w:val="0"/>
                      <w:marRight w:val="0"/>
                      <w:marTop w:val="0"/>
                      <w:marBottom w:val="0"/>
                      <w:divBdr>
                        <w:top w:val="none" w:sz="0" w:space="0" w:color="auto"/>
                        <w:left w:val="none" w:sz="0" w:space="0" w:color="auto"/>
                        <w:bottom w:val="none" w:sz="0" w:space="0" w:color="auto"/>
                        <w:right w:val="none" w:sz="0" w:space="0" w:color="auto"/>
                      </w:divBdr>
                    </w:div>
                    <w:div w:id="294155725">
                      <w:marLeft w:val="0"/>
                      <w:marRight w:val="0"/>
                      <w:marTop w:val="0"/>
                      <w:marBottom w:val="0"/>
                      <w:divBdr>
                        <w:top w:val="none" w:sz="0" w:space="0" w:color="auto"/>
                        <w:left w:val="none" w:sz="0" w:space="0" w:color="auto"/>
                        <w:bottom w:val="none" w:sz="0" w:space="0" w:color="auto"/>
                        <w:right w:val="none" w:sz="0" w:space="0" w:color="auto"/>
                      </w:divBdr>
                    </w:div>
                    <w:div w:id="294155788">
                      <w:marLeft w:val="0"/>
                      <w:marRight w:val="0"/>
                      <w:marTop w:val="0"/>
                      <w:marBottom w:val="0"/>
                      <w:divBdr>
                        <w:top w:val="none" w:sz="0" w:space="0" w:color="auto"/>
                        <w:left w:val="none" w:sz="0" w:space="0" w:color="auto"/>
                        <w:bottom w:val="none" w:sz="0" w:space="0" w:color="auto"/>
                        <w:right w:val="none" w:sz="0" w:space="0" w:color="auto"/>
                      </w:divBdr>
                      <w:divsChild>
                        <w:div w:id="294152252">
                          <w:marLeft w:val="0"/>
                          <w:marRight w:val="0"/>
                          <w:marTop w:val="0"/>
                          <w:marBottom w:val="0"/>
                          <w:divBdr>
                            <w:top w:val="none" w:sz="0" w:space="0" w:color="auto"/>
                            <w:left w:val="none" w:sz="0" w:space="0" w:color="auto"/>
                            <w:bottom w:val="none" w:sz="0" w:space="0" w:color="auto"/>
                            <w:right w:val="none" w:sz="0" w:space="0" w:color="auto"/>
                          </w:divBdr>
                        </w:div>
                      </w:divsChild>
                    </w:div>
                    <w:div w:id="294155861">
                      <w:marLeft w:val="0"/>
                      <w:marRight w:val="0"/>
                      <w:marTop w:val="0"/>
                      <w:marBottom w:val="0"/>
                      <w:divBdr>
                        <w:top w:val="none" w:sz="0" w:space="0" w:color="auto"/>
                        <w:left w:val="none" w:sz="0" w:space="0" w:color="auto"/>
                        <w:bottom w:val="none" w:sz="0" w:space="0" w:color="auto"/>
                        <w:right w:val="none" w:sz="0" w:space="0" w:color="auto"/>
                      </w:divBdr>
                      <w:divsChild>
                        <w:div w:id="294147977">
                          <w:marLeft w:val="0"/>
                          <w:marRight w:val="0"/>
                          <w:marTop w:val="0"/>
                          <w:marBottom w:val="0"/>
                          <w:divBdr>
                            <w:top w:val="none" w:sz="0" w:space="0" w:color="auto"/>
                            <w:left w:val="none" w:sz="0" w:space="0" w:color="auto"/>
                            <w:bottom w:val="none" w:sz="0" w:space="0" w:color="auto"/>
                            <w:right w:val="none" w:sz="0" w:space="0" w:color="auto"/>
                          </w:divBdr>
                        </w:div>
                      </w:divsChild>
                    </w:div>
                    <w:div w:id="294155886">
                      <w:marLeft w:val="0"/>
                      <w:marRight w:val="0"/>
                      <w:marTop w:val="0"/>
                      <w:marBottom w:val="0"/>
                      <w:divBdr>
                        <w:top w:val="none" w:sz="0" w:space="0" w:color="auto"/>
                        <w:left w:val="none" w:sz="0" w:space="0" w:color="auto"/>
                        <w:bottom w:val="none" w:sz="0" w:space="0" w:color="auto"/>
                        <w:right w:val="none" w:sz="0" w:space="0" w:color="auto"/>
                      </w:divBdr>
                    </w:div>
                    <w:div w:id="294155893">
                      <w:marLeft w:val="0"/>
                      <w:marRight w:val="0"/>
                      <w:marTop w:val="0"/>
                      <w:marBottom w:val="0"/>
                      <w:divBdr>
                        <w:top w:val="none" w:sz="0" w:space="0" w:color="auto"/>
                        <w:left w:val="none" w:sz="0" w:space="0" w:color="auto"/>
                        <w:bottom w:val="none" w:sz="0" w:space="0" w:color="auto"/>
                        <w:right w:val="none" w:sz="0" w:space="0" w:color="auto"/>
                      </w:divBdr>
                      <w:divsChild>
                        <w:div w:id="294148987">
                          <w:marLeft w:val="0"/>
                          <w:marRight w:val="0"/>
                          <w:marTop w:val="0"/>
                          <w:marBottom w:val="0"/>
                          <w:divBdr>
                            <w:top w:val="none" w:sz="0" w:space="0" w:color="auto"/>
                            <w:left w:val="none" w:sz="0" w:space="0" w:color="auto"/>
                            <w:bottom w:val="none" w:sz="0" w:space="0" w:color="auto"/>
                            <w:right w:val="none" w:sz="0" w:space="0" w:color="auto"/>
                          </w:divBdr>
                        </w:div>
                      </w:divsChild>
                    </w:div>
                    <w:div w:id="294156123">
                      <w:marLeft w:val="0"/>
                      <w:marRight w:val="0"/>
                      <w:marTop w:val="0"/>
                      <w:marBottom w:val="0"/>
                      <w:divBdr>
                        <w:top w:val="none" w:sz="0" w:space="0" w:color="auto"/>
                        <w:left w:val="none" w:sz="0" w:space="0" w:color="auto"/>
                        <w:bottom w:val="none" w:sz="0" w:space="0" w:color="auto"/>
                        <w:right w:val="none" w:sz="0" w:space="0" w:color="auto"/>
                      </w:divBdr>
                      <w:divsChild>
                        <w:div w:id="294150230">
                          <w:marLeft w:val="0"/>
                          <w:marRight w:val="0"/>
                          <w:marTop w:val="0"/>
                          <w:marBottom w:val="0"/>
                          <w:divBdr>
                            <w:top w:val="none" w:sz="0" w:space="0" w:color="auto"/>
                            <w:left w:val="none" w:sz="0" w:space="0" w:color="auto"/>
                            <w:bottom w:val="none" w:sz="0" w:space="0" w:color="auto"/>
                            <w:right w:val="none" w:sz="0" w:space="0" w:color="auto"/>
                          </w:divBdr>
                        </w:div>
                      </w:divsChild>
                    </w:div>
                    <w:div w:id="294156130">
                      <w:marLeft w:val="0"/>
                      <w:marRight w:val="0"/>
                      <w:marTop w:val="0"/>
                      <w:marBottom w:val="0"/>
                      <w:divBdr>
                        <w:top w:val="none" w:sz="0" w:space="0" w:color="auto"/>
                        <w:left w:val="none" w:sz="0" w:space="0" w:color="auto"/>
                        <w:bottom w:val="none" w:sz="0" w:space="0" w:color="auto"/>
                        <w:right w:val="none" w:sz="0" w:space="0" w:color="auto"/>
                      </w:divBdr>
                      <w:divsChild>
                        <w:div w:id="294148556">
                          <w:marLeft w:val="0"/>
                          <w:marRight w:val="0"/>
                          <w:marTop w:val="0"/>
                          <w:marBottom w:val="0"/>
                          <w:divBdr>
                            <w:top w:val="none" w:sz="0" w:space="0" w:color="auto"/>
                            <w:left w:val="none" w:sz="0" w:space="0" w:color="auto"/>
                            <w:bottom w:val="none" w:sz="0" w:space="0" w:color="auto"/>
                            <w:right w:val="none" w:sz="0" w:space="0" w:color="auto"/>
                          </w:divBdr>
                        </w:div>
                      </w:divsChild>
                    </w:div>
                    <w:div w:id="294156203">
                      <w:marLeft w:val="0"/>
                      <w:marRight w:val="0"/>
                      <w:marTop w:val="0"/>
                      <w:marBottom w:val="0"/>
                      <w:divBdr>
                        <w:top w:val="none" w:sz="0" w:space="0" w:color="auto"/>
                        <w:left w:val="none" w:sz="0" w:space="0" w:color="auto"/>
                        <w:bottom w:val="none" w:sz="0" w:space="0" w:color="auto"/>
                        <w:right w:val="none" w:sz="0" w:space="0" w:color="auto"/>
                      </w:divBdr>
                    </w:div>
                    <w:div w:id="294156211">
                      <w:marLeft w:val="0"/>
                      <w:marRight w:val="0"/>
                      <w:marTop w:val="0"/>
                      <w:marBottom w:val="0"/>
                      <w:divBdr>
                        <w:top w:val="none" w:sz="0" w:space="0" w:color="auto"/>
                        <w:left w:val="none" w:sz="0" w:space="0" w:color="auto"/>
                        <w:bottom w:val="none" w:sz="0" w:space="0" w:color="auto"/>
                        <w:right w:val="none" w:sz="0" w:space="0" w:color="auto"/>
                      </w:divBdr>
                    </w:div>
                    <w:div w:id="294156387">
                      <w:marLeft w:val="0"/>
                      <w:marRight w:val="0"/>
                      <w:marTop w:val="0"/>
                      <w:marBottom w:val="0"/>
                      <w:divBdr>
                        <w:top w:val="none" w:sz="0" w:space="0" w:color="auto"/>
                        <w:left w:val="none" w:sz="0" w:space="0" w:color="auto"/>
                        <w:bottom w:val="none" w:sz="0" w:space="0" w:color="auto"/>
                        <w:right w:val="none" w:sz="0" w:space="0" w:color="auto"/>
                      </w:divBdr>
                    </w:div>
                    <w:div w:id="294156389">
                      <w:marLeft w:val="0"/>
                      <w:marRight w:val="0"/>
                      <w:marTop w:val="0"/>
                      <w:marBottom w:val="0"/>
                      <w:divBdr>
                        <w:top w:val="none" w:sz="0" w:space="0" w:color="auto"/>
                        <w:left w:val="none" w:sz="0" w:space="0" w:color="auto"/>
                        <w:bottom w:val="none" w:sz="0" w:space="0" w:color="auto"/>
                        <w:right w:val="none" w:sz="0" w:space="0" w:color="auto"/>
                      </w:divBdr>
                    </w:div>
                    <w:div w:id="294156390">
                      <w:marLeft w:val="0"/>
                      <w:marRight w:val="0"/>
                      <w:marTop w:val="0"/>
                      <w:marBottom w:val="0"/>
                      <w:divBdr>
                        <w:top w:val="none" w:sz="0" w:space="0" w:color="auto"/>
                        <w:left w:val="none" w:sz="0" w:space="0" w:color="auto"/>
                        <w:bottom w:val="none" w:sz="0" w:space="0" w:color="auto"/>
                        <w:right w:val="none" w:sz="0" w:space="0" w:color="auto"/>
                      </w:divBdr>
                    </w:div>
                    <w:div w:id="294156473">
                      <w:marLeft w:val="0"/>
                      <w:marRight w:val="0"/>
                      <w:marTop w:val="0"/>
                      <w:marBottom w:val="0"/>
                      <w:divBdr>
                        <w:top w:val="none" w:sz="0" w:space="0" w:color="auto"/>
                        <w:left w:val="none" w:sz="0" w:space="0" w:color="auto"/>
                        <w:bottom w:val="none" w:sz="0" w:space="0" w:color="auto"/>
                        <w:right w:val="none" w:sz="0" w:space="0" w:color="auto"/>
                      </w:divBdr>
                      <w:divsChild>
                        <w:div w:id="294144550">
                          <w:marLeft w:val="0"/>
                          <w:marRight w:val="0"/>
                          <w:marTop w:val="0"/>
                          <w:marBottom w:val="0"/>
                          <w:divBdr>
                            <w:top w:val="none" w:sz="0" w:space="0" w:color="auto"/>
                            <w:left w:val="none" w:sz="0" w:space="0" w:color="auto"/>
                            <w:bottom w:val="none" w:sz="0" w:space="0" w:color="auto"/>
                            <w:right w:val="none" w:sz="0" w:space="0" w:color="auto"/>
                          </w:divBdr>
                        </w:div>
                      </w:divsChild>
                    </w:div>
                    <w:div w:id="294156530">
                      <w:marLeft w:val="0"/>
                      <w:marRight w:val="0"/>
                      <w:marTop w:val="0"/>
                      <w:marBottom w:val="0"/>
                      <w:divBdr>
                        <w:top w:val="none" w:sz="0" w:space="0" w:color="auto"/>
                        <w:left w:val="none" w:sz="0" w:space="0" w:color="auto"/>
                        <w:bottom w:val="none" w:sz="0" w:space="0" w:color="auto"/>
                        <w:right w:val="none" w:sz="0" w:space="0" w:color="auto"/>
                      </w:divBdr>
                    </w:div>
                    <w:div w:id="294156791">
                      <w:marLeft w:val="0"/>
                      <w:marRight w:val="0"/>
                      <w:marTop w:val="0"/>
                      <w:marBottom w:val="0"/>
                      <w:divBdr>
                        <w:top w:val="none" w:sz="0" w:space="0" w:color="auto"/>
                        <w:left w:val="none" w:sz="0" w:space="0" w:color="auto"/>
                        <w:bottom w:val="none" w:sz="0" w:space="0" w:color="auto"/>
                        <w:right w:val="none" w:sz="0" w:space="0" w:color="auto"/>
                      </w:divBdr>
                      <w:divsChild>
                        <w:div w:id="294156857">
                          <w:marLeft w:val="0"/>
                          <w:marRight w:val="0"/>
                          <w:marTop w:val="0"/>
                          <w:marBottom w:val="0"/>
                          <w:divBdr>
                            <w:top w:val="none" w:sz="0" w:space="0" w:color="auto"/>
                            <w:left w:val="none" w:sz="0" w:space="0" w:color="auto"/>
                            <w:bottom w:val="none" w:sz="0" w:space="0" w:color="auto"/>
                            <w:right w:val="none" w:sz="0" w:space="0" w:color="auto"/>
                          </w:divBdr>
                        </w:div>
                      </w:divsChild>
                    </w:div>
                    <w:div w:id="294156897">
                      <w:marLeft w:val="0"/>
                      <w:marRight w:val="0"/>
                      <w:marTop w:val="0"/>
                      <w:marBottom w:val="0"/>
                      <w:divBdr>
                        <w:top w:val="none" w:sz="0" w:space="0" w:color="auto"/>
                        <w:left w:val="none" w:sz="0" w:space="0" w:color="auto"/>
                        <w:bottom w:val="none" w:sz="0" w:space="0" w:color="auto"/>
                        <w:right w:val="none" w:sz="0" w:space="0" w:color="auto"/>
                      </w:divBdr>
                      <w:divsChild>
                        <w:div w:id="294156638">
                          <w:marLeft w:val="0"/>
                          <w:marRight w:val="0"/>
                          <w:marTop w:val="0"/>
                          <w:marBottom w:val="0"/>
                          <w:divBdr>
                            <w:top w:val="none" w:sz="0" w:space="0" w:color="auto"/>
                            <w:left w:val="none" w:sz="0" w:space="0" w:color="auto"/>
                            <w:bottom w:val="none" w:sz="0" w:space="0" w:color="auto"/>
                            <w:right w:val="none" w:sz="0" w:space="0" w:color="auto"/>
                          </w:divBdr>
                        </w:div>
                      </w:divsChild>
                    </w:div>
                    <w:div w:id="294157234">
                      <w:marLeft w:val="0"/>
                      <w:marRight w:val="0"/>
                      <w:marTop w:val="0"/>
                      <w:marBottom w:val="0"/>
                      <w:divBdr>
                        <w:top w:val="none" w:sz="0" w:space="0" w:color="auto"/>
                        <w:left w:val="none" w:sz="0" w:space="0" w:color="auto"/>
                        <w:bottom w:val="none" w:sz="0" w:space="0" w:color="auto"/>
                        <w:right w:val="none" w:sz="0" w:space="0" w:color="auto"/>
                      </w:divBdr>
                      <w:divsChild>
                        <w:div w:id="294151746">
                          <w:marLeft w:val="0"/>
                          <w:marRight w:val="0"/>
                          <w:marTop w:val="0"/>
                          <w:marBottom w:val="0"/>
                          <w:divBdr>
                            <w:top w:val="none" w:sz="0" w:space="0" w:color="auto"/>
                            <w:left w:val="none" w:sz="0" w:space="0" w:color="auto"/>
                            <w:bottom w:val="none" w:sz="0" w:space="0" w:color="auto"/>
                            <w:right w:val="none" w:sz="0" w:space="0" w:color="auto"/>
                          </w:divBdr>
                        </w:div>
                      </w:divsChild>
                    </w:div>
                    <w:div w:id="29415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39744">
      <w:marLeft w:val="0"/>
      <w:marRight w:val="0"/>
      <w:marTop w:val="0"/>
      <w:marBottom w:val="0"/>
      <w:divBdr>
        <w:top w:val="none" w:sz="0" w:space="0" w:color="auto"/>
        <w:left w:val="none" w:sz="0" w:space="0" w:color="auto"/>
        <w:bottom w:val="none" w:sz="0" w:space="0" w:color="auto"/>
        <w:right w:val="none" w:sz="0" w:space="0" w:color="auto"/>
      </w:divBdr>
    </w:div>
    <w:div w:id="294139749">
      <w:marLeft w:val="0"/>
      <w:marRight w:val="0"/>
      <w:marTop w:val="0"/>
      <w:marBottom w:val="0"/>
      <w:divBdr>
        <w:top w:val="none" w:sz="0" w:space="0" w:color="auto"/>
        <w:left w:val="none" w:sz="0" w:space="0" w:color="auto"/>
        <w:bottom w:val="none" w:sz="0" w:space="0" w:color="auto"/>
        <w:right w:val="none" w:sz="0" w:space="0" w:color="auto"/>
      </w:divBdr>
    </w:div>
    <w:div w:id="294139813">
      <w:marLeft w:val="0"/>
      <w:marRight w:val="0"/>
      <w:marTop w:val="0"/>
      <w:marBottom w:val="0"/>
      <w:divBdr>
        <w:top w:val="none" w:sz="0" w:space="0" w:color="auto"/>
        <w:left w:val="none" w:sz="0" w:space="0" w:color="auto"/>
        <w:bottom w:val="none" w:sz="0" w:space="0" w:color="auto"/>
        <w:right w:val="none" w:sz="0" w:space="0" w:color="auto"/>
      </w:divBdr>
    </w:div>
    <w:div w:id="294139864">
      <w:marLeft w:val="0"/>
      <w:marRight w:val="0"/>
      <w:marTop w:val="0"/>
      <w:marBottom w:val="0"/>
      <w:divBdr>
        <w:top w:val="none" w:sz="0" w:space="0" w:color="auto"/>
        <w:left w:val="none" w:sz="0" w:space="0" w:color="auto"/>
        <w:bottom w:val="none" w:sz="0" w:space="0" w:color="auto"/>
        <w:right w:val="none" w:sz="0" w:space="0" w:color="auto"/>
      </w:divBdr>
    </w:div>
    <w:div w:id="294139870">
      <w:marLeft w:val="0"/>
      <w:marRight w:val="0"/>
      <w:marTop w:val="0"/>
      <w:marBottom w:val="0"/>
      <w:divBdr>
        <w:top w:val="none" w:sz="0" w:space="0" w:color="auto"/>
        <w:left w:val="none" w:sz="0" w:space="0" w:color="auto"/>
        <w:bottom w:val="none" w:sz="0" w:space="0" w:color="auto"/>
        <w:right w:val="none" w:sz="0" w:space="0" w:color="auto"/>
      </w:divBdr>
      <w:divsChild>
        <w:div w:id="294143795">
          <w:marLeft w:val="0"/>
          <w:marRight w:val="0"/>
          <w:marTop w:val="0"/>
          <w:marBottom w:val="400"/>
          <w:divBdr>
            <w:top w:val="none" w:sz="0" w:space="0" w:color="auto"/>
            <w:left w:val="none" w:sz="0" w:space="0" w:color="auto"/>
            <w:bottom w:val="none" w:sz="0" w:space="0" w:color="auto"/>
            <w:right w:val="none" w:sz="0" w:space="0" w:color="auto"/>
          </w:divBdr>
        </w:div>
      </w:divsChild>
    </w:div>
    <w:div w:id="294139946">
      <w:marLeft w:val="0"/>
      <w:marRight w:val="0"/>
      <w:marTop w:val="0"/>
      <w:marBottom w:val="0"/>
      <w:divBdr>
        <w:top w:val="none" w:sz="0" w:space="0" w:color="auto"/>
        <w:left w:val="none" w:sz="0" w:space="0" w:color="auto"/>
        <w:bottom w:val="none" w:sz="0" w:space="0" w:color="auto"/>
        <w:right w:val="none" w:sz="0" w:space="0" w:color="auto"/>
      </w:divBdr>
      <w:divsChild>
        <w:div w:id="294141144">
          <w:marLeft w:val="965"/>
          <w:marRight w:val="0"/>
          <w:marTop w:val="134"/>
          <w:marBottom w:val="0"/>
          <w:divBdr>
            <w:top w:val="none" w:sz="0" w:space="0" w:color="auto"/>
            <w:left w:val="none" w:sz="0" w:space="0" w:color="auto"/>
            <w:bottom w:val="none" w:sz="0" w:space="0" w:color="auto"/>
            <w:right w:val="none" w:sz="0" w:space="0" w:color="auto"/>
          </w:divBdr>
        </w:div>
        <w:div w:id="294150398">
          <w:marLeft w:val="965"/>
          <w:marRight w:val="0"/>
          <w:marTop w:val="134"/>
          <w:marBottom w:val="0"/>
          <w:divBdr>
            <w:top w:val="none" w:sz="0" w:space="0" w:color="auto"/>
            <w:left w:val="none" w:sz="0" w:space="0" w:color="auto"/>
            <w:bottom w:val="none" w:sz="0" w:space="0" w:color="auto"/>
            <w:right w:val="none" w:sz="0" w:space="0" w:color="auto"/>
          </w:divBdr>
        </w:div>
      </w:divsChild>
    </w:div>
    <w:div w:id="294139981">
      <w:marLeft w:val="0"/>
      <w:marRight w:val="0"/>
      <w:marTop w:val="0"/>
      <w:marBottom w:val="0"/>
      <w:divBdr>
        <w:top w:val="none" w:sz="0" w:space="0" w:color="auto"/>
        <w:left w:val="none" w:sz="0" w:space="0" w:color="auto"/>
        <w:bottom w:val="none" w:sz="0" w:space="0" w:color="auto"/>
        <w:right w:val="none" w:sz="0" w:space="0" w:color="auto"/>
      </w:divBdr>
    </w:div>
    <w:div w:id="294140045">
      <w:marLeft w:val="0"/>
      <w:marRight w:val="0"/>
      <w:marTop w:val="0"/>
      <w:marBottom w:val="0"/>
      <w:divBdr>
        <w:top w:val="none" w:sz="0" w:space="0" w:color="auto"/>
        <w:left w:val="none" w:sz="0" w:space="0" w:color="auto"/>
        <w:bottom w:val="none" w:sz="0" w:space="0" w:color="auto"/>
        <w:right w:val="none" w:sz="0" w:space="0" w:color="auto"/>
      </w:divBdr>
    </w:div>
    <w:div w:id="294140129">
      <w:marLeft w:val="0"/>
      <w:marRight w:val="0"/>
      <w:marTop w:val="0"/>
      <w:marBottom w:val="0"/>
      <w:divBdr>
        <w:top w:val="none" w:sz="0" w:space="0" w:color="auto"/>
        <w:left w:val="none" w:sz="0" w:space="0" w:color="auto"/>
        <w:bottom w:val="none" w:sz="0" w:space="0" w:color="auto"/>
        <w:right w:val="none" w:sz="0" w:space="0" w:color="auto"/>
      </w:divBdr>
    </w:div>
    <w:div w:id="294140136">
      <w:marLeft w:val="0"/>
      <w:marRight w:val="0"/>
      <w:marTop w:val="0"/>
      <w:marBottom w:val="0"/>
      <w:divBdr>
        <w:top w:val="none" w:sz="0" w:space="0" w:color="auto"/>
        <w:left w:val="none" w:sz="0" w:space="0" w:color="auto"/>
        <w:bottom w:val="none" w:sz="0" w:space="0" w:color="auto"/>
        <w:right w:val="none" w:sz="0" w:space="0" w:color="auto"/>
      </w:divBdr>
    </w:div>
    <w:div w:id="294140145">
      <w:marLeft w:val="0"/>
      <w:marRight w:val="0"/>
      <w:marTop w:val="0"/>
      <w:marBottom w:val="0"/>
      <w:divBdr>
        <w:top w:val="none" w:sz="0" w:space="0" w:color="auto"/>
        <w:left w:val="none" w:sz="0" w:space="0" w:color="auto"/>
        <w:bottom w:val="none" w:sz="0" w:space="0" w:color="auto"/>
        <w:right w:val="none" w:sz="0" w:space="0" w:color="auto"/>
      </w:divBdr>
    </w:div>
    <w:div w:id="294140163">
      <w:marLeft w:val="0"/>
      <w:marRight w:val="0"/>
      <w:marTop w:val="0"/>
      <w:marBottom w:val="0"/>
      <w:divBdr>
        <w:top w:val="none" w:sz="0" w:space="0" w:color="auto"/>
        <w:left w:val="none" w:sz="0" w:space="0" w:color="auto"/>
        <w:bottom w:val="none" w:sz="0" w:space="0" w:color="auto"/>
        <w:right w:val="none" w:sz="0" w:space="0" w:color="auto"/>
      </w:divBdr>
    </w:div>
    <w:div w:id="294140167">
      <w:marLeft w:val="0"/>
      <w:marRight w:val="0"/>
      <w:marTop w:val="0"/>
      <w:marBottom w:val="0"/>
      <w:divBdr>
        <w:top w:val="none" w:sz="0" w:space="0" w:color="auto"/>
        <w:left w:val="none" w:sz="0" w:space="0" w:color="auto"/>
        <w:bottom w:val="none" w:sz="0" w:space="0" w:color="auto"/>
        <w:right w:val="none" w:sz="0" w:space="0" w:color="auto"/>
      </w:divBdr>
    </w:div>
    <w:div w:id="294140179">
      <w:marLeft w:val="0"/>
      <w:marRight w:val="0"/>
      <w:marTop w:val="0"/>
      <w:marBottom w:val="0"/>
      <w:divBdr>
        <w:top w:val="none" w:sz="0" w:space="0" w:color="auto"/>
        <w:left w:val="none" w:sz="0" w:space="0" w:color="auto"/>
        <w:bottom w:val="none" w:sz="0" w:space="0" w:color="auto"/>
        <w:right w:val="none" w:sz="0" w:space="0" w:color="auto"/>
      </w:divBdr>
    </w:div>
    <w:div w:id="294140202">
      <w:marLeft w:val="0"/>
      <w:marRight w:val="0"/>
      <w:marTop w:val="0"/>
      <w:marBottom w:val="0"/>
      <w:divBdr>
        <w:top w:val="none" w:sz="0" w:space="0" w:color="auto"/>
        <w:left w:val="none" w:sz="0" w:space="0" w:color="auto"/>
        <w:bottom w:val="none" w:sz="0" w:space="0" w:color="auto"/>
        <w:right w:val="none" w:sz="0" w:space="0" w:color="auto"/>
      </w:divBdr>
      <w:divsChild>
        <w:div w:id="294138124">
          <w:marLeft w:val="0"/>
          <w:marRight w:val="0"/>
          <w:marTop w:val="0"/>
          <w:marBottom w:val="0"/>
          <w:divBdr>
            <w:top w:val="none" w:sz="0" w:space="0" w:color="auto"/>
            <w:left w:val="none" w:sz="0" w:space="0" w:color="auto"/>
            <w:bottom w:val="none" w:sz="0" w:space="0" w:color="auto"/>
            <w:right w:val="none" w:sz="0" w:space="0" w:color="auto"/>
          </w:divBdr>
        </w:div>
        <w:div w:id="294138166">
          <w:marLeft w:val="0"/>
          <w:marRight w:val="0"/>
          <w:marTop w:val="0"/>
          <w:marBottom w:val="0"/>
          <w:divBdr>
            <w:top w:val="none" w:sz="0" w:space="0" w:color="auto"/>
            <w:left w:val="none" w:sz="0" w:space="0" w:color="auto"/>
            <w:bottom w:val="none" w:sz="0" w:space="0" w:color="auto"/>
            <w:right w:val="none" w:sz="0" w:space="0" w:color="auto"/>
          </w:divBdr>
        </w:div>
        <w:div w:id="294138286">
          <w:marLeft w:val="0"/>
          <w:marRight w:val="0"/>
          <w:marTop w:val="0"/>
          <w:marBottom w:val="0"/>
          <w:divBdr>
            <w:top w:val="none" w:sz="0" w:space="0" w:color="auto"/>
            <w:left w:val="none" w:sz="0" w:space="0" w:color="auto"/>
            <w:bottom w:val="none" w:sz="0" w:space="0" w:color="auto"/>
            <w:right w:val="none" w:sz="0" w:space="0" w:color="auto"/>
          </w:divBdr>
        </w:div>
        <w:div w:id="294138355">
          <w:marLeft w:val="0"/>
          <w:marRight w:val="0"/>
          <w:marTop w:val="0"/>
          <w:marBottom w:val="0"/>
          <w:divBdr>
            <w:top w:val="none" w:sz="0" w:space="0" w:color="auto"/>
            <w:left w:val="none" w:sz="0" w:space="0" w:color="auto"/>
            <w:bottom w:val="none" w:sz="0" w:space="0" w:color="auto"/>
            <w:right w:val="none" w:sz="0" w:space="0" w:color="auto"/>
          </w:divBdr>
        </w:div>
        <w:div w:id="294138434">
          <w:marLeft w:val="0"/>
          <w:marRight w:val="0"/>
          <w:marTop w:val="0"/>
          <w:marBottom w:val="0"/>
          <w:divBdr>
            <w:top w:val="none" w:sz="0" w:space="0" w:color="auto"/>
            <w:left w:val="none" w:sz="0" w:space="0" w:color="auto"/>
            <w:bottom w:val="none" w:sz="0" w:space="0" w:color="auto"/>
            <w:right w:val="none" w:sz="0" w:space="0" w:color="auto"/>
          </w:divBdr>
        </w:div>
        <w:div w:id="294138442">
          <w:marLeft w:val="0"/>
          <w:marRight w:val="0"/>
          <w:marTop w:val="0"/>
          <w:marBottom w:val="0"/>
          <w:divBdr>
            <w:top w:val="none" w:sz="0" w:space="0" w:color="auto"/>
            <w:left w:val="none" w:sz="0" w:space="0" w:color="auto"/>
            <w:bottom w:val="none" w:sz="0" w:space="0" w:color="auto"/>
            <w:right w:val="none" w:sz="0" w:space="0" w:color="auto"/>
          </w:divBdr>
        </w:div>
        <w:div w:id="294138520">
          <w:marLeft w:val="0"/>
          <w:marRight w:val="0"/>
          <w:marTop w:val="0"/>
          <w:marBottom w:val="0"/>
          <w:divBdr>
            <w:top w:val="none" w:sz="0" w:space="0" w:color="auto"/>
            <w:left w:val="none" w:sz="0" w:space="0" w:color="auto"/>
            <w:bottom w:val="none" w:sz="0" w:space="0" w:color="auto"/>
            <w:right w:val="none" w:sz="0" w:space="0" w:color="auto"/>
          </w:divBdr>
        </w:div>
        <w:div w:id="294138668">
          <w:marLeft w:val="0"/>
          <w:marRight w:val="0"/>
          <w:marTop w:val="0"/>
          <w:marBottom w:val="0"/>
          <w:divBdr>
            <w:top w:val="none" w:sz="0" w:space="0" w:color="auto"/>
            <w:left w:val="none" w:sz="0" w:space="0" w:color="auto"/>
            <w:bottom w:val="none" w:sz="0" w:space="0" w:color="auto"/>
            <w:right w:val="none" w:sz="0" w:space="0" w:color="auto"/>
          </w:divBdr>
        </w:div>
        <w:div w:id="294138670">
          <w:marLeft w:val="0"/>
          <w:marRight w:val="0"/>
          <w:marTop w:val="0"/>
          <w:marBottom w:val="0"/>
          <w:divBdr>
            <w:top w:val="none" w:sz="0" w:space="0" w:color="auto"/>
            <w:left w:val="none" w:sz="0" w:space="0" w:color="auto"/>
            <w:bottom w:val="none" w:sz="0" w:space="0" w:color="auto"/>
            <w:right w:val="none" w:sz="0" w:space="0" w:color="auto"/>
          </w:divBdr>
        </w:div>
        <w:div w:id="294139000">
          <w:marLeft w:val="0"/>
          <w:marRight w:val="0"/>
          <w:marTop w:val="0"/>
          <w:marBottom w:val="0"/>
          <w:divBdr>
            <w:top w:val="none" w:sz="0" w:space="0" w:color="auto"/>
            <w:left w:val="none" w:sz="0" w:space="0" w:color="auto"/>
            <w:bottom w:val="none" w:sz="0" w:space="0" w:color="auto"/>
            <w:right w:val="none" w:sz="0" w:space="0" w:color="auto"/>
          </w:divBdr>
        </w:div>
        <w:div w:id="294139268">
          <w:marLeft w:val="0"/>
          <w:marRight w:val="0"/>
          <w:marTop w:val="0"/>
          <w:marBottom w:val="0"/>
          <w:divBdr>
            <w:top w:val="none" w:sz="0" w:space="0" w:color="auto"/>
            <w:left w:val="none" w:sz="0" w:space="0" w:color="auto"/>
            <w:bottom w:val="none" w:sz="0" w:space="0" w:color="auto"/>
            <w:right w:val="none" w:sz="0" w:space="0" w:color="auto"/>
          </w:divBdr>
        </w:div>
        <w:div w:id="294139316">
          <w:marLeft w:val="0"/>
          <w:marRight w:val="0"/>
          <w:marTop w:val="0"/>
          <w:marBottom w:val="0"/>
          <w:divBdr>
            <w:top w:val="none" w:sz="0" w:space="0" w:color="auto"/>
            <w:left w:val="none" w:sz="0" w:space="0" w:color="auto"/>
            <w:bottom w:val="none" w:sz="0" w:space="0" w:color="auto"/>
            <w:right w:val="none" w:sz="0" w:space="0" w:color="auto"/>
          </w:divBdr>
        </w:div>
        <w:div w:id="294139371">
          <w:marLeft w:val="0"/>
          <w:marRight w:val="0"/>
          <w:marTop w:val="0"/>
          <w:marBottom w:val="0"/>
          <w:divBdr>
            <w:top w:val="none" w:sz="0" w:space="0" w:color="auto"/>
            <w:left w:val="none" w:sz="0" w:space="0" w:color="auto"/>
            <w:bottom w:val="none" w:sz="0" w:space="0" w:color="auto"/>
            <w:right w:val="none" w:sz="0" w:space="0" w:color="auto"/>
          </w:divBdr>
        </w:div>
        <w:div w:id="294139605">
          <w:marLeft w:val="0"/>
          <w:marRight w:val="0"/>
          <w:marTop w:val="0"/>
          <w:marBottom w:val="0"/>
          <w:divBdr>
            <w:top w:val="none" w:sz="0" w:space="0" w:color="auto"/>
            <w:left w:val="none" w:sz="0" w:space="0" w:color="auto"/>
            <w:bottom w:val="none" w:sz="0" w:space="0" w:color="auto"/>
            <w:right w:val="none" w:sz="0" w:space="0" w:color="auto"/>
          </w:divBdr>
        </w:div>
        <w:div w:id="294139801">
          <w:marLeft w:val="0"/>
          <w:marRight w:val="0"/>
          <w:marTop w:val="0"/>
          <w:marBottom w:val="0"/>
          <w:divBdr>
            <w:top w:val="none" w:sz="0" w:space="0" w:color="auto"/>
            <w:left w:val="none" w:sz="0" w:space="0" w:color="auto"/>
            <w:bottom w:val="none" w:sz="0" w:space="0" w:color="auto"/>
            <w:right w:val="none" w:sz="0" w:space="0" w:color="auto"/>
          </w:divBdr>
        </w:div>
        <w:div w:id="294139844">
          <w:marLeft w:val="0"/>
          <w:marRight w:val="0"/>
          <w:marTop w:val="0"/>
          <w:marBottom w:val="0"/>
          <w:divBdr>
            <w:top w:val="none" w:sz="0" w:space="0" w:color="auto"/>
            <w:left w:val="none" w:sz="0" w:space="0" w:color="auto"/>
            <w:bottom w:val="none" w:sz="0" w:space="0" w:color="auto"/>
            <w:right w:val="none" w:sz="0" w:space="0" w:color="auto"/>
          </w:divBdr>
        </w:div>
        <w:div w:id="294139902">
          <w:marLeft w:val="0"/>
          <w:marRight w:val="0"/>
          <w:marTop w:val="0"/>
          <w:marBottom w:val="0"/>
          <w:divBdr>
            <w:top w:val="none" w:sz="0" w:space="0" w:color="auto"/>
            <w:left w:val="none" w:sz="0" w:space="0" w:color="auto"/>
            <w:bottom w:val="none" w:sz="0" w:space="0" w:color="auto"/>
            <w:right w:val="none" w:sz="0" w:space="0" w:color="auto"/>
          </w:divBdr>
        </w:div>
        <w:div w:id="294140079">
          <w:marLeft w:val="0"/>
          <w:marRight w:val="0"/>
          <w:marTop w:val="0"/>
          <w:marBottom w:val="0"/>
          <w:divBdr>
            <w:top w:val="none" w:sz="0" w:space="0" w:color="auto"/>
            <w:left w:val="none" w:sz="0" w:space="0" w:color="auto"/>
            <w:bottom w:val="none" w:sz="0" w:space="0" w:color="auto"/>
            <w:right w:val="none" w:sz="0" w:space="0" w:color="auto"/>
          </w:divBdr>
        </w:div>
        <w:div w:id="294140166">
          <w:marLeft w:val="0"/>
          <w:marRight w:val="0"/>
          <w:marTop w:val="0"/>
          <w:marBottom w:val="0"/>
          <w:divBdr>
            <w:top w:val="none" w:sz="0" w:space="0" w:color="auto"/>
            <w:left w:val="none" w:sz="0" w:space="0" w:color="auto"/>
            <w:bottom w:val="none" w:sz="0" w:space="0" w:color="auto"/>
            <w:right w:val="none" w:sz="0" w:space="0" w:color="auto"/>
          </w:divBdr>
        </w:div>
        <w:div w:id="294140265">
          <w:marLeft w:val="0"/>
          <w:marRight w:val="0"/>
          <w:marTop w:val="0"/>
          <w:marBottom w:val="0"/>
          <w:divBdr>
            <w:top w:val="none" w:sz="0" w:space="0" w:color="auto"/>
            <w:left w:val="none" w:sz="0" w:space="0" w:color="auto"/>
            <w:bottom w:val="none" w:sz="0" w:space="0" w:color="auto"/>
            <w:right w:val="none" w:sz="0" w:space="0" w:color="auto"/>
          </w:divBdr>
        </w:div>
        <w:div w:id="294141005">
          <w:marLeft w:val="0"/>
          <w:marRight w:val="0"/>
          <w:marTop w:val="0"/>
          <w:marBottom w:val="0"/>
          <w:divBdr>
            <w:top w:val="none" w:sz="0" w:space="0" w:color="auto"/>
            <w:left w:val="none" w:sz="0" w:space="0" w:color="auto"/>
            <w:bottom w:val="none" w:sz="0" w:space="0" w:color="auto"/>
            <w:right w:val="none" w:sz="0" w:space="0" w:color="auto"/>
          </w:divBdr>
        </w:div>
        <w:div w:id="294141151">
          <w:marLeft w:val="0"/>
          <w:marRight w:val="0"/>
          <w:marTop w:val="0"/>
          <w:marBottom w:val="0"/>
          <w:divBdr>
            <w:top w:val="none" w:sz="0" w:space="0" w:color="auto"/>
            <w:left w:val="none" w:sz="0" w:space="0" w:color="auto"/>
            <w:bottom w:val="none" w:sz="0" w:space="0" w:color="auto"/>
            <w:right w:val="none" w:sz="0" w:space="0" w:color="auto"/>
          </w:divBdr>
        </w:div>
        <w:div w:id="294141155">
          <w:marLeft w:val="0"/>
          <w:marRight w:val="0"/>
          <w:marTop w:val="0"/>
          <w:marBottom w:val="0"/>
          <w:divBdr>
            <w:top w:val="none" w:sz="0" w:space="0" w:color="auto"/>
            <w:left w:val="none" w:sz="0" w:space="0" w:color="auto"/>
            <w:bottom w:val="none" w:sz="0" w:space="0" w:color="auto"/>
            <w:right w:val="none" w:sz="0" w:space="0" w:color="auto"/>
          </w:divBdr>
        </w:div>
        <w:div w:id="294141161">
          <w:marLeft w:val="0"/>
          <w:marRight w:val="0"/>
          <w:marTop w:val="0"/>
          <w:marBottom w:val="0"/>
          <w:divBdr>
            <w:top w:val="none" w:sz="0" w:space="0" w:color="auto"/>
            <w:left w:val="none" w:sz="0" w:space="0" w:color="auto"/>
            <w:bottom w:val="none" w:sz="0" w:space="0" w:color="auto"/>
            <w:right w:val="none" w:sz="0" w:space="0" w:color="auto"/>
          </w:divBdr>
        </w:div>
        <w:div w:id="294141289">
          <w:marLeft w:val="0"/>
          <w:marRight w:val="0"/>
          <w:marTop w:val="0"/>
          <w:marBottom w:val="0"/>
          <w:divBdr>
            <w:top w:val="none" w:sz="0" w:space="0" w:color="auto"/>
            <w:left w:val="none" w:sz="0" w:space="0" w:color="auto"/>
            <w:bottom w:val="none" w:sz="0" w:space="0" w:color="auto"/>
            <w:right w:val="none" w:sz="0" w:space="0" w:color="auto"/>
          </w:divBdr>
        </w:div>
        <w:div w:id="294141622">
          <w:marLeft w:val="0"/>
          <w:marRight w:val="0"/>
          <w:marTop w:val="0"/>
          <w:marBottom w:val="0"/>
          <w:divBdr>
            <w:top w:val="none" w:sz="0" w:space="0" w:color="auto"/>
            <w:left w:val="none" w:sz="0" w:space="0" w:color="auto"/>
            <w:bottom w:val="none" w:sz="0" w:space="0" w:color="auto"/>
            <w:right w:val="none" w:sz="0" w:space="0" w:color="auto"/>
          </w:divBdr>
        </w:div>
        <w:div w:id="294141638">
          <w:marLeft w:val="0"/>
          <w:marRight w:val="0"/>
          <w:marTop w:val="0"/>
          <w:marBottom w:val="0"/>
          <w:divBdr>
            <w:top w:val="none" w:sz="0" w:space="0" w:color="auto"/>
            <w:left w:val="none" w:sz="0" w:space="0" w:color="auto"/>
            <w:bottom w:val="none" w:sz="0" w:space="0" w:color="auto"/>
            <w:right w:val="none" w:sz="0" w:space="0" w:color="auto"/>
          </w:divBdr>
        </w:div>
        <w:div w:id="294141702">
          <w:marLeft w:val="0"/>
          <w:marRight w:val="0"/>
          <w:marTop w:val="0"/>
          <w:marBottom w:val="0"/>
          <w:divBdr>
            <w:top w:val="none" w:sz="0" w:space="0" w:color="auto"/>
            <w:left w:val="none" w:sz="0" w:space="0" w:color="auto"/>
            <w:bottom w:val="none" w:sz="0" w:space="0" w:color="auto"/>
            <w:right w:val="none" w:sz="0" w:space="0" w:color="auto"/>
          </w:divBdr>
        </w:div>
        <w:div w:id="294141727">
          <w:marLeft w:val="0"/>
          <w:marRight w:val="0"/>
          <w:marTop w:val="0"/>
          <w:marBottom w:val="0"/>
          <w:divBdr>
            <w:top w:val="none" w:sz="0" w:space="0" w:color="auto"/>
            <w:left w:val="none" w:sz="0" w:space="0" w:color="auto"/>
            <w:bottom w:val="none" w:sz="0" w:space="0" w:color="auto"/>
            <w:right w:val="none" w:sz="0" w:space="0" w:color="auto"/>
          </w:divBdr>
        </w:div>
        <w:div w:id="294141802">
          <w:marLeft w:val="0"/>
          <w:marRight w:val="0"/>
          <w:marTop w:val="0"/>
          <w:marBottom w:val="0"/>
          <w:divBdr>
            <w:top w:val="none" w:sz="0" w:space="0" w:color="auto"/>
            <w:left w:val="none" w:sz="0" w:space="0" w:color="auto"/>
            <w:bottom w:val="none" w:sz="0" w:space="0" w:color="auto"/>
            <w:right w:val="none" w:sz="0" w:space="0" w:color="auto"/>
          </w:divBdr>
        </w:div>
        <w:div w:id="294141910">
          <w:marLeft w:val="0"/>
          <w:marRight w:val="0"/>
          <w:marTop w:val="0"/>
          <w:marBottom w:val="0"/>
          <w:divBdr>
            <w:top w:val="none" w:sz="0" w:space="0" w:color="auto"/>
            <w:left w:val="none" w:sz="0" w:space="0" w:color="auto"/>
            <w:bottom w:val="none" w:sz="0" w:space="0" w:color="auto"/>
            <w:right w:val="none" w:sz="0" w:space="0" w:color="auto"/>
          </w:divBdr>
        </w:div>
        <w:div w:id="294141951">
          <w:marLeft w:val="0"/>
          <w:marRight w:val="0"/>
          <w:marTop w:val="0"/>
          <w:marBottom w:val="0"/>
          <w:divBdr>
            <w:top w:val="none" w:sz="0" w:space="0" w:color="auto"/>
            <w:left w:val="none" w:sz="0" w:space="0" w:color="auto"/>
            <w:bottom w:val="none" w:sz="0" w:space="0" w:color="auto"/>
            <w:right w:val="none" w:sz="0" w:space="0" w:color="auto"/>
          </w:divBdr>
        </w:div>
        <w:div w:id="294142089">
          <w:marLeft w:val="0"/>
          <w:marRight w:val="0"/>
          <w:marTop w:val="0"/>
          <w:marBottom w:val="0"/>
          <w:divBdr>
            <w:top w:val="none" w:sz="0" w:space="0" w:color="auto"/>
            <w:left w:val="none" w:sz="0" w:space="0" w:color="auto"/>
            <w:bottom w:val="none" w:sz="0" w:space="0" w:color="auto"/>
            <w:right w:val="none" w:sz="0" w:space="0" w:color="auto"/>
          </w:divBdr>
        </w:div>
        <w:div w:id="294142102">
          <w:marLeft w:val="0"/>
          <w:marRight w:val="0"/>
          <w:marTop w:val="0"/>
          <w:marBottom w:val="0"/>
          <w:divBdr>
            <w:top w:val="none" w:sz="0" w:space="0" w:color="auto"/>
            <w:left w:val="none" w:sz="0" w:space="0" w:color="auto"/>
            <w:bottom w:val="none" w:sz="0" w:space="0" w:color="auto"/>
            <w:right w:val="none" w:sz="0" w:space="0" w:color="auto"/>
          </w:divBdr>
        </w:div>
        <w:div w:id="294142109">
          <w:marLeft w:val="0"/>
          <w:marRight w:val="0"/>
          <w:marTop w:val="0"/>
          <w:marBottom w:val="0"/>
          <w:divBdr>
            <w:top w:val="none" w:sz="0" w:space="0" w:color="auto"/>
            <w:left w:val="none" w:sz="0" w:space="0" w:color="auto"/>
            <w:bottom w:val="none" w:sz="0" w:space="0" w:color="auto"/>
            <w:right w:val="none" w:sz="0" w:space="0" w:color="auto"/>
          </w:divBdr>
        </w:div>
        <w:div w:id="294142191">
          <w:marLeft w:val="0"/>
          <w:marRight w:val="0"/>
          <w:marTop w:val="0"/>
          <w:marBottom w:val="0"/>
          <w:divBdr>
            <w:top w:val="none" w:sz="0" w:space="0" w:color="auto"/>
            <w:left w:val="none" w:sz="0" w:space="0" w:color="auto"/>
            <w:bottom w:val="none" w:sz="0" w:space="0" w:color="auto"/>
            <w:right w:val="none" w:sz="0" w:space="0" w:color="auto"/>
          </w:divBdr>
        </w:div>
        <w:div w:id="294142252">
          <w:marLeft w:val="0"/>
          <w:marRight w:val="0"/>
          <w:marTop w:val="0"/>
          <w:marBottom w:val="0"/>
          <w:divBdr>
            <w:top w:val="none" w:sz="0" w:space="0" w:color="auto"/>
            <w:left w:val="none" w:sz="0" w:space="0" w:color="auto"/>
            <w:bottom w:val="none" w:sz="0" w:space="0" w:color="auto"/>
            <w:right w:val="none" w:sz="0" w:space="0" w:color="auto"/>
          </w:divBdr>
        </w:div>
        <w:div w:id="294142366">
          <w:marLeft w:val="0"/>
          <w:marRight w:val="0"/>
          <w:marTop w:val="0"/>
          <w:marBottom w:val="0"/>
          <w:divBdr>
            <w:top w:val="none" w:sz="0" w:space="0" w:color="auto"/>
            <w:left w:val="none" w:sz="0" w:space="0" w:color="auto"/>
            <w:bottom w:val="none" w:sz="0" w:space="0" w:color="auto"/>
            <w:right w:val="none" w:sz="0" w:space="0" w:color="auto"/>
          </w:divBdr>
        </w:div>
        <w:div w:id="294142478">
          <w:marLeft w:val="0"/>
          <w:marRight w:val="0"/>
          <w:marTop w:val="0"/>
          <w:marBottom w:val="0"/>
          <w:divBdr>
            <w:top w:val="none" w:sz="0" w:space="0" w:color="auto"/>
            <w:left w:val="none" w:sz="0" w:space="0" w:color="auto"/>
            <w:bottom w:val="none" w:sz="0" w:space="0" w:color="auto"/>
            <w:right w:val="none" w:sz="0" w:space="0" w:color="auto"/>
          </w:divBdr>
        </w:div>
        <w:div w:id="294142525">
          <w:marLeft w:val="0"/>
          <w:marRight w:val="0"/>
          <w:marTop w:val="0"/>
          <w:marBottom w:val="0"/>
          <w:divBdr>
            <w:top w:val="none" w:sz="0" w:space="0" w:color="auto"/>
            <w:left w:val="none" w:sz="0" w:space="0" w:color="auto"/>
            <w:bottom w:val="none" w:sz="0" w:space="0" w:color="auto"/>
            <w:right w:val="none" w:sz="0" w:space="0" w:color="auto"/>
          </w:divBdr>
        </w:div>
        <w:div w:id="294142653">
          <w:marLeft w:val="0"/>
          <w:marRight w:val="0"/>
          <w:marTop w:val="0"/>
          <w:marBottom w:val="0"/>
          <w:divBdr>
            <w:top w:val="none" w:sz="0" w:space="0" w:color="auto"/>
            <w:left w:val="none" w:sz="0" w:space="0" w:color="auto"/>
            <w:bottom w:val="none" w:sz="0" w:space="0" w:color="auto"/>
            <w:right w:val="none" w:sz="0" w:space="0" w:color="auto"/>
          </w:divBdr>
        </w:div>
        <w:div w:id="294142667">
          <w:marLeft w:val="0"/>
          <w:marRight w:val="0"/>
          <w:marTop w:val="0"/>
          <w:marBottom w:val="0"/>
          <w:divBdr>
            <w:top w:val="none" w:sz="0" w:space="0" w:color="auto"/>
            <w:left w:val="none" w:sz="0" w:space="0" w:color="auto"/>
            <w:bottom w:val="none" w:sz="0" w:space="0" w:color="auto"/>
            <w:right w:val="none" w:sz="0" w:space="0" w:color="auto"/>
          </w:divBdr>
        </w:div>
        <w:div w:id="294142855">
          <w:marLeft w:val="0"/>
          <w:marRight w:val="0"/>
          <w:marTop w:val="0"/>
          <w:marBottom w:val="0"/>
          <w:divBdr>
            <w:top w:val="none" w:sz="0" w:space="0" w:color="auto"/>
            <w:left w:val="none" w:sz="0" w:space="0" w:color="auto"/>
            <w:bottom w:val="none" w:sz="0" w:space="0" w:color="auto"/>
            <w:right w:val="none" w:sz="0" w:space="0" w:color="auto"/>
          </w:divBdr>
        </w:div>
        <w:div w:id="294142966">
          <w:marLeft w:val="0"/>
          <w:marRight w:val="0"/>
          <w:marTop w:val="0"/>
          <w:marBottom w:val="0"/>
          <w:divBdr>
            <w:top w:val="none" w:sz="0" w:space="0" w:color="auto"/>
            <w:left w:val="none" w:sz="0" w:space="0" w:color="auto"/>
            <w:bottom w:val="none" w:sz="0" w:space="0" w:color="auto"/>
            <w:right w:val="none" w:sz="0" w:space="0" w:color="auto"/>
          </w:divBdr>
        </w:div>
        <w:div w:id="294143100">
          <w:marLeft w:val="0"/>
          <w:marRight w:val="0"/>
          <w:marTop w:val="0"/>
          <w:marBottom w:val="0"/>
          <w:divBdr>
            <w:top w:val="none" w:sz="0" w:space="0" w:color="auto"/>
            <w:left w:val="none" w:sz="0" w:space="0" w:color="auto"/>
            <w:bottom w:val="none" w:sz="0" w:space="0" w:color="auto"/>
            <w:right w:val="none" w:sz="0" w:space="0" w:color="auto"/>
          </w:divBdr>
        </w:div>
        <w:div w:id="294143152">
          <w:marLeft w:val="0"/>
          <w:marRight w:val="0"/>
          <w:marTop w:val="0"/>
          <w:marBottom w:val="0"/>
          <w:divBdr>
            <w:top w:val="none" w:sz="0" w:space="0" w:color="auto"/>
            <w:left w:val="none" w:sz="0" w:space="0" w:color="auto"/>
            <w:bottom w:val="none" w:sz="0" w:space="0" w:color="auto"/>
            <w:right w:val="none" w:sz="0" w:space="0" w:color="auto"/>
          </w:divBdr>
        </w:div>
        <w:div w:id="294143223">
          <w:marLeft w:val="0"/>
          <w:marRight w:val="0"/>
          <w:marTop w:val="0"/>
          <w:marBottom w:val="0"/>
          <w:divBdr>
            <w:top w:val="none" w:sz="0" w:space="0" w:color="auto"/>
            <w:left w:val="none" w:sz="0" w:space="0" w:color="auto"/>
            <w:bottom w:val="none" w:sz="0" w:space="0" w:color="auto"/>
            <w:right w:val="none" w:sz="0" w:space="0" w:color="auto"/>
          </w:divBdr>
        </w:div>
        <w:div w:id="294143239">
          <w:marLeft w:val="0"/>
          <w:marRight w:val="0"/>
          <w:marTop w:val="0"/>
          <w:marBottom w:val="0"/>
          <w:divBdr>
            <w:top w:val="none" w:sz="0" w:space="0" w:color="auto"/>
            <w:left w:val="none" w:sz="0" w:space="0" w:color="auto"/>
            <w:bottom w:val="none" w:sz="0" w:space="0" w:color="auto"/>
            <w:right w:val="none" w:sz="0" w:space="0" w:color="auto"/>
          </w:divBdr>
        </w:div>
        <w:div w:id="294143399">
          <w:marLeft w:val="0"/>
          <w:marRight w:val="0"/>
          <w:marTop w:val="0"/>
          <w:marBottom w:val="0"/>
          <w:divBdr>
            <w:top w:val="none" w:sz="0" w:space="0" w:color="auto"/>
            <w:left w:val="none" w:sz="0" w:space="0" w:color="auto"/>
            <w:bottom w:val="none" w:sz="0" w:space="0" w:color="auto"/>
            <w:right w:val="none" w:sz="0" w:space="0" w:color="auto"/>
          </w:divBdr>
        </w:div>
        <w:div w:id="294143455">
          <w:marLeft w:val="0"/>
          <w:marRight w:val="0"/>
          <w:marTop w:val="0"/>
          <w:marBottom w:val="0"/>
          <w:divBdr>
            <w:top w:val="none" w:sz="0" w:space="0" w:color="auto"/>
            <w:left w:val="none" w:sz="0" w:space="0" w:color="auto"/>
            <w:bottom w:val="none" w:sz="0" w:space="0" w:color="auto"/>
            <w:right w:val="none" w:sz="0" w:space="0" w:color="auto"/>
          </w:divBdr>
        </w:div>
        <w:div w:id="294143457">
          <w:marLeft w:val="0"/>
          <w:marRight w:val="0"/>
          <w:marTop w:val="0"/>
          <w:marBottom w:val="0"/>
          <w:divBdr>
            <w:top w:val="none" w:sz="0" w:space="0" w:color="auto"/>
            <w:left w:val="none" w:sz="0" w:space="0" w:color="auto"/>
            <w:bottom w:val="none" w:sz="0" w:space="0" w:color="auto"/>
            <w:right w:val="none" w:sz="0" w:space="0" w:color="auto"/>
          </w:divBdr>
        </w:div>
        <w:div w:id="294143594">
          <w:marLeft w:val="0"/>
          <w:marRight w:val="0"/>
          <w:marTop w:val="0"/>
          <w:marBottom w:val="0"/>
          <w:divBdr>
            <w:top w:val="none" w:sz="0" w:space="0" w:color="auto"/>
            <w:left w:val="none" w:sz="0" w:space="0" w:color="auto"/>
            <w:bottom w:val="none" w:sz="0" w:space="0" w:color="auto"/>
            <w:right w:val="none" w:sz="0" w:space="0" w:color="auto"/>
          </w:divBdr>
        </w:div>
        <w:div w:id="294143701">
          <w:marLeft w:val="0"/>
          <w:marRight w:val="0"/>
          <w:marTop w:val="0"/>
          <w:marBottom w:val="0"/>
          <w:divBdr>
            <w:top w:val="none" w:sz="0" w:space="0" w:color="auto"/>
            <w:left w:val="none" w:sz="0" w:space="0" w:color="auto"/>
            <w:bottom w:val="none" w:sz="0" w:space="0" w:color="auto"/>
            <w:right w:val="none" w:sz="0" w:space="0" w:color="auto"/>
          </w:divBdr>
        </w:div>
        <w:div w:id="294143727">
          <w:marLeft w:val="0"/>
          <w:marRight w:val="0"/>
          <w:marTop w:val="0"/>
          <w:marBottom w:val="0"/>
          <w:divBdr>
            <w:top w:val="none" w:sz="0" w:space="0" w:color="auto"/>
            <w:left w:val="none" w:sz="0" w:space="0" w:color="auto"/>
            <w:bottom w:val="none" w:sz="0" w:space="0" w:color="auto"/>
            <w:right w:val="none" w:sz="0" w:space="0" w:color="auto"/>
          </w:divBdr>
        </w:div>
        <w:div w:id="294143808">
          <w:marLeft w:val="0"/>
          <w:marRight w:val="0"/>
          <w:marTop w:val="0"/>
          <w:marBottom w:val="0"/>
          <w:divBdr>
            <w:top w:val="none" w:sz="0" w:space="0" w:color="auto"/>
            <w:left w:val="none" w:sz="0" w:space="0" w:color="auto"/>
            <w:bottom w:val="none" w:sz="0" w:space="0" w:color="auto"/>
            <w:right w:val="none" w:sz="0" w:space="0" w:color="auto"/>
          </w:divBdr>
        </w:div>
        <w:div w:id="294143840">
          <w:marLeft w:val="0"/>
          <w:marRight w:val="0"/>
          <w:marTop w:val="0"/>
          <w:marBottom w:val="0"/>
          <w:divBdr>
            <w:top w:val="none" w:sz="0" w:space="0" w:color="auto"/>
            <w:left w:val="none" w:sz="0" w:space="0" w:color="auto"/>
            <w:bottom w:val="none" w:sz="0" w:space="0" w:color="auto"/>
            <w:right w:val="none" w:sz="0" w:space="0" w:color="auto"/>
          </w:divBdr>
        </w:div>
        <w:div w:id="294143888">
          <w:marLeft w:val="0"/>
          <w:marRight w:val="0"/>
          <w:marTop w:val="0"/>
          <w:marBottom w:val="0"/>
          <w:divBdr>
            <w:top w:val="none" w:sz="0" w:space="0" w:color="auto"/>
            <w:left w:val="none" w:sz="0" w:space="0" w:color="auto"/>
            <w:bottom w:val="none" w:sz="0" w:space="0" w:color="auto"/>
            <w:right w:val="none" w:sz="0" w:space="0" w:color="auto"/>
          </w:divBdr>
        </w:div>
        <w:div w:id="294144059">
          <w:marLeft w:val="0"/>
          <w:marRight w:val="0"/>
          <w:marTop w:val="0"/>
          <w:marBottom w:val="0"/>
          <w:divBdr>
            <w:top w:val="none" w:sz="0" w:space="0" w:color="auto"/>
            <w:left w:val="none" w:sz="0" w:space="0" w:color="auto"/>
            <w:bottom w:val="none" w:sz="0" w:space="0" w:color="auto"/>
            <w:right w:val="none" w:sz="0" w:space="0" w:color="auto"/>
          </w:divBdr>
        </w:div>
        <w:div w:id="294144322">
          <w:marLeft w:val="0"/>
          <w:marRight w:val="0"/>
          <w:marTop w:val="0"/>
          <w:marBottom w:val="0"/>
          <w:divBdr>
            <w:top w:val="none" w:sz="0" w:space="0" w:color="auto"/>
            <w:left w:val="none" w:sz="0" w:space="0" w:color="auto"/>
            <w:bottom w:val="none" w:sz="0" w:space="0" w:color="auto"/>
            <w:right w:val="none" w:sz="0" w:space="0" w:color="auto"/>
          </w:divBdr>
        </w:div>
        <w:div w:id="294144405">
          <w:marLeft w:val="0"/>
          <w:marRight w:val="0"/>
          <w:marTop w:val="0"/>
          <w:marBottom w:val="0"/>
          <w:divBdr>
            <w:top w:val="none" w:sz="0" w:space="0" w:color="auto"/>
            <w:left w:val="none" w:sz="0" w:space="0" w:color="auto"/>
            <w:bottom w:val="none" w:sz="0" w:space="0" w:color="auto"/>
            <w:right w:val="none" w:sz="0" w:space="0" w:color="auto"/>
          </w:divBdr>
        </w:div>
        <w:div w:id="294144493">
          <w:marLeft w:val="0"/>
          <w:marRight w:val="0"/>
          <w:marTop w:val="0"/>
          <w:marBottom w:val="0"/>
          <w:divBdr>
            <w:top w:val="none" w:sz="0" w:space="0" w:color="auto"/>
            <w:left w:val="none" w:sz="0" w:space="0" w:color="auto"/>
            <w:bottom w:val="none" w:sz="0" w:space="0" w:color="auto"/>
            <w:right w:val="none" w:sz="0" w:space="0" w:color="auto"/>
          </w:divBdr>
        </w:div>
        <w:div w:id="294144547">
          <w:marLeft w:val="0"/>
          <w:marRight w:val="0"/>
          <w:marTop w:val="0"/>
          <w:marBottom w:val="0"/>
          <w:divBdr>
            <w:top w:val="none" w:sz="0" w:space="0" w:color="auto"/>
            <w:left w:val="none" w:sz="0" w:space="0" w:color="auto"/>
            <w:bottom w:val="none" w:sz="0" w:space="0" w:color="auto"/>
            <w:right w:val="none" w:sz="0" w:space="0" w:color="auto"/>
          </w:divBdr>
        </w:div>
        <w:div w:id="294144647">
          <w:marLeft w:val="0"/>
          <w:marRight w:val="0"/>
          <w:marTop w:val="0"/>
          <w:marBottom w:val="0"/>
          <w:divBdr>
            <w:top w:val="none" w:sz="0" w:space="0" w:color="auto"/>
            <w:left w:val="none" w:sz="0" w:space="0" w:color="auto"/>
            <w:bottom w:val="none" w:sz="0" w:space="0" w:color="auto"/>
            <w:right w:val="none" w:sz="0" w:space="0" w:color="auto"/>
          </w:divBdr>
        </w:div>
        <w:div w:id="294144736">
          <w:marLeft w:val="0"/>
          <w:marRight w:val="0"/>
          <w:marTop w:val="0"/>
          <w:marBottom w:val="0"/>
          <w:divBdr>
            <w:top w:val="none" w:sz="0" w:space="0" w:color="auto"/>
            <w:left w:val="none" w:sz="0" w:space="0" w:color="auto"/>
            <w:bottom w:val="none" w:sz="0" w:space="0" w:color="auto"/>
            <w:right w:val="none" w:sz="0" w:space="0" w:color="auto"/>
          </w:divBdr>
        </w:div>
        <w:div w:id="294144964">
          <w:marLeft w:val="0"/>
          <w:marRight w:val="0"/>
          <w:marTop w:val="0"/>
          <w:marBottom w:val="0"/>
          <w:divBdr>
            <w:top w:val="none" w:sz="0" w:space="0" w:color="auto"/>
            <w:left w:val="none" w:sz="0" w:space="0" w:color="auto"/>
            <w:bottom w:val="none" w:sz="0" w:space="0" w:color="auto"/>
            <w:right w:val="none" w:sz="0" w:space="0" w:color="auto"/>
          </w:divBdr>
        </w:div>
        <w:div w:id="294144991">
          <w:marLeft w:val="0"/>
          <w:marRight w:val="0"/>
          <w:marTop w:val="0"/>
          <w:marBottom w:val="0"/>
          <w:divBdr>
            <w:top w:val="none" w:sz="0" w:space="0" w:color="auto"/>
            <w:left w:val="none" w:sz="0" w:space="0" w:color="auto"/>
            <w:bottom w:val="none" w:sz="0" w:space="0" w:color="auto"/>
            <w:right w:val="none" w:sz="0" w:space="0" w:color="auto"/>
          </w:divBdr>
        </w:div>
        <w:div w:id="294145040">
          <w:marLeft w:val="0"/>
          <w:marRight w:val="0"/>
          <w:marTop w:val="0"/>
          <w:marBottom w:val="0"/>
          <w:divBdr>
            <w:top w:val="none" w:sz="0" w:space="0" w:color="auto"/>
            <w:left w:val="none" w:sz="0" w:space="0" w:color="auto"/>
            <w:bottom w:val="none" w:sz="0" w:space="0" w:color="auto"/>
            <w:right w:val="none" w:sz="0" w:space="0" w:color="auto"/>
          </w:divBdr>
        </w:div>
        <w:div w:id="294145086">
          <w:marLeft w:val="0"/>
          <w:marRight w:val="0"/>
          <w:marTop w:val="0"/>
          <w:marBottom w:val="0"/>
          <w:divBdr>
            <w:top w:val="none" w:sz="0" w:space="0" w:color="auto"/>
            <w:left w:val="none" w:sz="0" w:space="0" w:color="auto"/>
            <w:bottom w:val="none" w:sz="0" w:space="0" w:color="auto"/>
            <w:right w:val="none" w:sz="0" w:space="0" w:color="auto"/>
          </w:divBdr>
        </w:div>
        <w:div w:id="294145181">
          <w:marLeft w:val="0"/>
          <w:marRight w:val="0"/>
          <w:marTop w:val="0"/>
          <w:marBottom w:val="0"/>
          <w:divBdr>
            <w:top w:val="none" w:sz="0" w:space="0" w:color="auto"/>
            <w:left w:val="none" w:sz="0" w:space="0" w:color="auto"/>
            <w:bottom w:val="none" w:sz="0" w:space="0" w:color="auto"/>
            <w:right w:val="none" w:sz="0" w:space="0" w:color="auto"/>
          </w:divBdr>
        </w:div>
        <w:div w:id="294145242">
          <w:marLeft w:val="0"/>
          <w:marRight w:val="0"/>
          <w:marTop w:val="0"/>
          <w:marBottom w:val="0"/>
          <w:divBdr>
            <w:top w:val="none" w:sz="0" w:space="0" w:color="auto"/>
            <w:left w:val="none" w:sz="0" w:space="0" w:color="auto"/>
            <w:bottom w:val="none" w:sz="0" w:space="0" w:color="auto"/>
            <w:right w:val="none" w:sz="0" w:space="0" w:color="auto"/>
          </w:divBdr>
        </w:div>
        <w:div w:id="294145492">
          <w:marLeft w:val="0"/>
          <w:marRight w:val="0"/>
          <w:marTop w:val="0"/>
          <w:marBottom w:val="0"/>
          <w:divBdr>
            <w:top w:val="none" w:sz="0" w:space="0" w:color="auto"/>
            <w:left w:val="none" w:sz="0" w:space="0" w:color="auto"/>
            <w:bottom w:val="none" w:sz="0" w:space="0" w:color="auto"/>
            <w:right w:val="none" w:sz="0" w:space="0" w:color="auto"/>
          </w:divBdr>
        </w:div>
        <w:div w:id="294145501">
          <w:marLeft w:val="0"/>
          <w:marRight w:val="0"/>
          <w:marTop w:val="0"/>
          <w:marBottom w:val="0"/>
          <w:divBdr>
            <w:top w:val="none" w:sz="0" w:space="0" w:color="auto"/>
            <w:left w:val="none" w:sz="0" w:space="0" w:color="auto"/>
            <w:bottom w:val="none" w:sz="0" w:space="0" w:color="auto"/>
            <w:right w:val="none" w:sz="0" w:space="0" w:color="auto"/>
          </w:divBdr>
        </w:div>
        <w:div w:id="294145602">
          <w:marLeft w:val="0"/>
          <w:marRight w:val="0"/>
          <w:marTop w:val="0"/>
          <w:marBottom w:val="0"/>
          <w:divBdr>
            <w:top w:val="none" w:sz="0" w:space="0" w:color="auto"/>
            <w:left w:val="none" w:sz="0" w:space="0" w:color="auto"/>
            <w:bottom w:val="none" w:sz="0" w:space="0" w:color="auto"/>
            <w:right w:val="none" w:sz="0" w:space="0" w:color="auto"/>
          </w:divBdr>
        </w:div>
        <w:div w:id="294145686">
          <w:marLeft w:val="0"/>
          <w:marRight w:val="0"/>
          <w:marTop w:val="0"/>
          <w:marBottom w:val="0"/>
          <w:divBdr>
            <w:top w:val="none" w:sz="0" w:space="0" w:color="auto"/>
            <w:left w:val="none" w:sz="0" w:space="0" w:color="auto"/>
            <w:bottom w:val="none" w:sz="0" w:space="0" w:color="auto"/>
            <w:right w:val="none" w:sz="0" w:space="0" w:color="auto"/>
          </w:divBdr>
        </w:div>
        <w:div w:id="294145823">
          <w:marLeft w:val="0"/>
          <w:marRight w:val="0"/>
          <w:marTop w:val="0"/>
          <w:marBottom w:val="0"/>
          <w:divBdr>
            <w:top w:val="none" w:sz="0" w:space="0" w:color="auto"/>
            <w:left w:val="none" w:sz="0" w:space="0" w:color="auto"/>
            <w:bottom w:val="none" w:sz="0" w:space="0" w:color="auto"/>
            <w:right w:val="none" w:sz="0" w:space="0" w:color="auto"/>
          </w:divBdr>
        </w:div>
        <w:div w:id="294145846">
          <w:marLeft w:val="0"/>
          <w:marRight w:val="0"/>
          <w:marTop w:val="0"/>
          <w:marBottom w:val="0"/>
          <w:divBdr>
            <w:top w:val="none" w:sz="0" w:space="0" w:color="auto"/>
            <w:left w:val="none" w:sz="0" w:space="0" w:color="auto"/>
            <w:bottom w:val="none" w:sz="0" w:space="0" w:color="auto"/>
            <w:right w:val="none" w:sz="0" w:space="0" w:color="auto"/>
          </w:divBdr>
        </w:div>
        <w:div w:id="294146027">
          <w:marLeft w:val="0"/>
          <w:marRight w:val="0"/>
          <w:marTop w:val="0"/>
          <w:marBottom w:val="0"/>
          <w:divBdr>
            <w:top w:val="none" w:sz="0" w:space="0" w:color="auto"/>
            <w:left w:val="none" w:sz="0" w:space="0" w:color="auto"/>
            <w:bottom w:val="none" w:sz="0" w:space="0" w:color="auto"/>
            <w:right w:val="none" w:sz="0" w:space="0" w:color="auto"/>
          </w:divBdr>
        </w:div>
        <w:div w:id="294146106">
          <w:marLeft w:val="0"/>
          <w:marRight w:val="0"/>
          <w:marTop w:val="0"/>
          <w:marBottom w:val="0"/>
          <w:divBdr>
            <w:top w:val="none" w:sz="0" w:space="0" w:color="auto"/>
            <w:left w:val="none" w:sz="0" w:space="0" w:color="auto"/>
            <w:bottom w:val="none" w:sz="0" w:space="0" w:color="auto"/>
            <w:right w:val="none" w:sz="0" w:space="0" w:color="auto"/>
          </w:divBdr>
        </w:div>
        <w:div w:id="294146171">
          <w:marLeft w:val="0"/>
          <w:marRight w:val="0"/>
          <w:marTop w:val="0"/>
          <w:marBottom w:val="0"/>
          <w:divBdr>
            <w:top w:val="none" w:sz="0" w:space="0" w:color="auto"/>
            <w:left w:val="none" w:sz="0" w:space="0" w:color="auto"/>
            <w:bottom w:val="none" w:sz="0" w:space="0" w:color="auto"/>
            <w:right w:val="none" w:sz="0" w:space="0" w:color="auto"/>
          </w:divBdr>
        </w:div>
        <w:div w:id="294146176">
          <w:marLeft w:val="0"/>
          <w:marRight w:val="0"/>
          <w:marTop w:val="0"/>
          <w:marBottom w:val="0"/>
          <w:divBdr>
            <w:top w:val="none" w:sz="0" w:space="0" w:color="auto"/>
            <w:left w:val="none" w:sz="0" w:space="0" w:color="auto"/>
            <w:bottom w:val="none" w:sz="0" w:space="0" w:color="auto"/>
            <w:right w:val="none" w:sz="0" w:space="0" w:color="auto"/>
          </w:divBdr>
        </w:div>
        <w:div w:id="294146206">
          <w:marLeft w:val="0"/>
          <w:marRight w:val="0"/>
          <w:marTop w:val="0"/>
          <w:marBottom w:val="0"/>
          <w:divBdr>
            <w:top w:val="none" w:sz="0" w:space="0" w:color="auto"/>
            <w:left w:val="none" w:sz="0" w:space="0" w:color="auto"/>
            <w:bottom w:val="none" w:sz="0" w:space="0" w:color="auto"/>
            <w:right w:val="none" w:sz="0" w:space="0" w:color="auto"/>
          </w:divBdr>
        </w:div>
        <w:div w:id="294146258">
          <w:marLeft w:val="0"/>
          <w:marRight w:val="0"/>
          <w:marTop w:val="0"/>
          <w:marBottom w:val="0"/>
          <w:divBdr>
            <w:top w:val="none" w:sz="0" w:space="0" w:color="auto"/>
            <w:left w:val="none" w:sz="0" w:space="0" w:color="auto"/>
            <w:bottom w:val="none" w:sz="0" w:space="0" w:color="auto"/>
            <w:right w:val="none" w:sz="0" w:space="0" w:color="auto"/>
          </w:divBdr>
        </w:div>
        <w:div w:id="294146317">
          <w:marLeft w:val="0"/>
          <w:marRight w:val="0"/>
          <w:marTop w:val="0"/>
          <w:marBottom w:val="0"/>
          <w:divBdr>
            <w:top w:val="none" w:sz="0" w:space="0" w:color="auto"/>
            <w:left w:val="none" w:sz="0" w:space="0" w:color="auto"/>
            <w:bottom w:val="none" w:sz="0" w:space="0" w:color="auto"/>
            <w:right w:val="none" w:sz="0" w:space="0" w:color="auto"/>
          </w:divBdr>
        </w:div>
        <w:div w:id="294146416">
          <w:marLeft w:val="0"/>
          <w:marRight w:val="0"/>
          <w:marTop w:val="0"/>
          <w:marBottom w:val="0"/>
          <w:divBdr>
            <w:top w:val="none" w:sz="0" w:space="0" w:color="auto"/>
            <w:left w:val="none" w:sz="0" w:space="0" w:color="auto"/>
            <w:bottom w:val="none" w:sz="0" w:space="0" w:color="auto"/>
            <w:right w:val="none" w:sz="0" w:space="0" w:color="auto"/>
          </w:divBdr>
        </w:div>
        <w:div w:id="294146594">
          <w:marLeft w:val="0"/>
          <w:marRight w:val="0"/>
          <w:marTop w:val="0"/>
          <w:marBottom w:val="0"/>
          <w:divBdr>
            <w:top w:val="none" w:sz="0" w:space="0" w:color="auto"/>
            <w:left w:val="none" w:sz="0" w:space="0" w:color="auto"/>
            <w:bottom w:val="none" w:sz="0" w:space="0" w:color="auto"/>
            <w:right w:val="none" w:sz="0" w:space="0" w:color="auto"/>
          </w:divBdr>
        </w:div>
        <w:div w:id="294146677">
          <w:marLeft w:val="0"/>
          <w:marRight w:val="0"/>
          <w:marTop w:val="0"/>
          <w:marBottom w:val="0"/>
          <w:divBdr>
            <w:top w:val="none" w:sz="0" w:space="0" w:color="auto"/>
            <w:left w:val="none" w:sz="0" w:space="0" w:color="auto"/>
            <w:bottom w:val="none" w:sz="0" w:space="0" w:color="auto"/>
            <w:right w:val="none" w:sz="0" w:space="0" w:color="auto"/>
          </w:divBdr>
        </w:div>
        <w:div w:id="294147088">
          <w:marLeft w:val="0"/>
          <w:marRight w:val="0"/>
          <w:marTop w:val="0"/>
          <w:marBottom w:val="0"/>
          <w:divBdr>
            <w:top w:val="none" w:sz="0" w:space="0" w:color="auto"/>
            <w:left w:val="none" w:sz="0" w:space="0" w:color="auto"/>
            <w:bottom w:val="none" w:sz="0" w:space="0" w:color="auto"/>
            <w:right w:val="none" w:sz="0" w:space="0" w:color="auto"/>
          </w:divBdr>
        </w:div>
        <w:div w:id="294147135">
          <w:marLeft w:val="0"/>
          <w:marRight w:val="0"/>
          <w:marTop w:val="0"/>
          <w:marBottom w:val="0"/>
          <w:divBdr>
            <w:top w:val="none" w:sz="0" w:space="0" w:color="auto"/>
            <w:left w:val="none" w:sz="0" w:space="0" w:color="auto"/>
            <w:bottom w:val="none" w:sz="0" w:space="0" w:color="auto"/>
            <w:right w:val="none" w:sz="0" w:space="0" w:color="auto"/>
          </w:divBdr>
        </w:div>
        <w:div w:id="294147423">
          <w:marLeft w:val="0"/>
          <w:marRight w:val="0"/>
          <w:marTop w:val="0"/>
          <w:marBottom w:val="0"/>
          <w:divBdr>
            <w:top w:val="none" w:sz="0" w:space="0" w:color="auto"/>
            <w:left w:val="none" w:sz="0" w:space="0" w:color="auto"/>
            <w:bottom w:val="none" w:sz="0" w:space="0" w:color="auto"/>
            <w:right w:val="none" w:sz="0" w:space="0" w:color="auto"/>
          </w:divBdr>
        </w:div>
        <w:div w:id="294147441">
          <w:marLeft w:val="0"/>
          <w:marRight w:val="0"/>
          <w:marTop w:val="0"/>
          <w:marBottom w:val="0"/>
          <w:divBdr>
            <w:top w:val="none" w:sz="0" w:space="0" w:color="auto"/>
            <w:left w:val="none" w:sz="0" w:space="0" w:color="auto"/>
            <w:bottom w:val="none" w:sz="0" w:space="0" w:color="auto"/>
            <w:right w:val="none" w:sz="0" w:space="0" w:color="auto"/>
          </w:divBdr>
        </w:div>
        <w:div w:id="294147468">
          <w:marLeft w:val="0"/>
          <w:marRight w:val="0"/>
          <w:marTop w:val="0"/>
          <w:marBottom w:val="0"/>
          <w:divBdr>
            <w:top w:val="none" w:sz="0" w:space="0" w:color="auto"/>
            <w:left w:val="none" w:sz="0" w:space="0" w:color="auto"/>
            <w:bottom w:val="none" w:sz="0" w:space="0" w:color="auto"/>
            <w:right w:val="none" w:sz="0" w:space="0" w:color="auto"/>
          </w:divBdr>
        </w:div>
        <w:div w:id="294147497">
          <w:marLeft w:val="0"/>
          <w:marRight w:val="0"/>
          <w:marTop w:val="0"/>
          <w:marBottom w:val="0"/>
          <w:divBdr>
            <w:top w:val="none" w:sz="0" w:space="0" w:color="auto"/>
            <w:left w:val="none" w:sz="0" w:space="0" w:color="auto"/>
            <w:bottom w:val="none" w:sz="0" w:space="0" w:color="auto"/>
            <w:right w:val="none" w:sz="0" w:space="0" w:color="auto"/>
          </w:divBdr>
        </w:div>
        <w:div w:id="294147766">
          <w:marLeft w:val="0"/>
          <w:marRight w:val="0"/>
          <w:marTop w:val="0"/>
          <w:marBottom w:val="0"/>
          <w:divBdr>
            <w:top w:val="none" w:sz="0" w:space="0" w:color="auto"/>
            <w:left w:val="none" w:sz="0" w:space="0" w:color="auto"/>
            <w:bottom w:val="none" w:sz="0" w:space="0" w:color="auto"/>
            <w:right w:val="none" w:sz="0" w:space="0" w:color="auto"/>
          </w:divBdr>
        </w:div>
        <w:div w:id="294147771">
          <w:marLeft w:val="0"/>
          <w:marRight w:val="0"/>
          <w:marTop w:val="0"/>
          <w:marBottom w:val="0"/>
          <w:divBdr>
            <w:top w:val="none" w:sz="0" w:space="0" w:color="auto"/>
            <w:left w:val="none" w:sz="0" w:space="0" w:color="auto"/>
            <w:bottom w:val="none" w:sz="0" w:space="0" w:color="auto"/>
            <w:right w:val="none" w:sz="0" w:space="0" w:color="auto"/>
          </w:divBdr>
        </w:div>
        <w:div w:id="294147927">
          <w:marLeft w:val="0"/>
          <w:marRight w:val="0"/>
          <w:marTop w:val="0"/>
          <w:marBottom w:val="0"/>
          <w:divBdr>
            <w:top w:val="none" w:sz="0" w:space="0" w:color="auto"/>
            <w:left w:val="none" w:sz="0" w:space="0" w:color="auto"/>
            <w:bottom w:val="none" w:sz="0" w:space="0" w:color="auto"/>
            <w:right w:val="none" w:sz="0" w:space="0" w:color="auto"/>
          </w:divBdr>
        </w:div>
        <w:div w:id="294147964">
          <w:marLeft w:val="0"/>
          <w:marRight w:val="0"/>
          <w:marTop w:val="0"/>
          <w:marBottom w:val="0"/>
          <w:divBdr>
            <w:top w:val="none" w:sz="0" w:space="0" w:color="auto"/>
            <w:left w:val="none" w:sz="0" w:space="0" w:color="auto"/>
            <w:bottom w:val="none" w:sz="0" w:space="0" w:color="auto"/>
            <w:right w:val="none" w:sz="0" w:space="0" w:color="auto"/>
          </w:divBdr>
        </w:div>
        <w:div w:id="294147970">
          <w:marLeft w:val="0"/>
          <w:marRight w:val="0"/>
          <w:marTop w:val="0"/>
          <w:marBottom w:val="0"/>
          <w:divBdr>
            <w:top w:val="none" w:sz="0" w:space="0" w:color="auto"/>
            <w:left w:val="none" w:sz="0" w:space="0" w:color="auto"/>
            <w:bottom w:val="none" w:sz="0" w:space="0" w:color="auto"/>
            <w:right w:val="none" w:sz="0" w:space="0" w:color="auto"/>
          </w:divBdr>
        </w:div>
        <w:div w:id="294148050">
          <w:marLeft w:val="0"/>
          <w:marRight w:val="0"/>
          <w:marTop w:val="0"/>
          <w:marBottom w:val="0"/>
          <w:divBdr>
            <w:top w:val="none" w:sz="0" w:space="0" w:color="auto"/>
            <w:left w:val="none" w:sz="0" w:space="0" w:color="auto"/>
            <w:bottom w:val="none" w:sz="0" w:space="0" w:color="auto"/>
            <w:right w:val="none" w:sz="0" w:space="0" w:color="auto"/>
          </w:divBdr>
        </w:div>
        <w:div w:id="294148097">
          <w:marLeft w:val="0"/>
          <w:marRight w:val="0"/>
          <w:marTop w:val="0"/>
          <w:marBottom w:val="0"/>
          <w:divBdr>
            <w:top w:val="none" w:sz="0" w:space="0" w:color="auto"/>
            <w:left w:val="none" w:sz="0" w:space="0" w:color="auto"/>
            <w:bottom w:val="none" w:sz="0" w:space="0" w:color="auto"/>
            <w:right w:val="none" w:sz="0" w:space="0" w:color="auto"/>
          </w:divBdr>
        </w:div>
        <w:div w:id="294148139">
          <w:marLeft w:val="0"/>
          <w:marRight w:val="0"/>
          <w:marTop w:val="0"/>
          <w:marBottom w:val="0"/>
          <w:divBdr>
            <w:top w:val="none" w:sz="0" w:space="0" w:color="auto"/>
            <w:left w:val="none" w:sz="0" w:space="0" w:color="auto"/>
            <w:bottom w:val="none" w:sz="0" w:space="0" w:color="auto"/>
            <w:right w:val="none" w:sz="0" w:space="0" w:color="auto"/>
          </w:divBdr>
        </w:div>
        <w:div w:id="294148230">
          <w:marLeft w:val="0"/>
          <w:marRight w:val="0"/>
          <w:marTop w:val="0"/>
          <w:marBottom w:val="0"/>
          <w:divBdr>
            <w:top w:val="none" w:sz="0" w:space="0" w:color="auto"/>
            <w:left w:val="none" w:sz="0" w:space="0" w:color="auto"/>
            <w:bottom w:val="none" w:sz="0" w:space="0" w:color="auto"/>
            <w:right w:val="none" w:sz="0" w:space="0" w:color="auto"/>
          </w:divBdr>
        </w:div>
        <w:div w:id="294148233">
          <w:marLeft w:val="0"/>
          <w:marRight w:val="0"/>
          <w:marTop w:val="0"/>
          <w:marBottom w:val="0"/>
          <w:divBdr>
            <w:top w:val="none" w:sz="0" w:space="0" w:color="auto"/>
            <w:left w:val="none" w:sz="0" w:space="0" w:color="auto"/>
            <w:bottom w:val="none" w:sz="0" w:space="0" w:color="auto"/>
            <w:right w:val="none" w:sz="0" w:space="0" w:color="auto"/>
          </w:divBdr>
        </w:div>
        <w:div w:id="294148346">
          <w:marLeft w:val="0"/>
          <w:marRight w:val="0"/>
          <w:marTop w:val="0"/>
          <w:marBottom w:val="0"/>
          <w:divBdr>
            <w:top w:val="none" w:sz="0" w:space="0" w:color="auto"/>
            <w:left w:val="none" w:sz="0" w:space="0" w:color="auto"/>
            <w:bottom w:val="none" w:sz="0" w:space="0" w:color="auto"/>
            <w:right w:val="none" w:sz="0" w:space="0" w:color="auto"/>
          </w:divBdr>
        </w:div>
        <w:div w:id="294148426">
          <w:marLeft w:val="0"/>
          <w:marRight w:val="0"/>
          <w:marTop w:val="0"/>
          <w:marBottom w:val="0"/>
          <w:divBdr>
            <w:top w:val="none" w:sz="0" w:space="0" w:color="auto"/>
            <w:left w:val="none" w:sz="0" w:space="0" w:color="auto"/>
            <w:bottom w:val="none" w:sz="0" w:space="0" w:color="auto"/>
            <w:right w:val="none" w:sz="0" w:space="0" w:color="auto"/>
          </w:divBdr>
        </w:div>
        <w:div w:id="294148439">
          <w:marLeft w:val="0"/>
          <w:marRight w:val="0"/>
          <w:marTop w:val="0"/>
          <w:marBottom w:val="0"/>
          <w:divBdr>
            <w:top w:val="none" w:sz="0" w:space="0" w:color="auto"/>
            <w:left w:val="none" w:sz="0" w:space="0" w:color="auto"/>
            <w:bottom w:val="none" w:sz="0" w:space="0" w:color="auto"/>
            <w:right w:val="none" w:sz="0" w:space="0" w:color="auto"/>
          </w:divBdr>
        </w:div>
        <w:div w:id="294148562">
          <w:marLeft w:val="0"/>
          <w:marRight w:val="0"/>
          <w:marTop w:val="0"/>
          <w:marBottom w:val="0"/>
          <w:divBdr>
            <w:top w:val="none" w:sz="0" w:space="0" w:color="auto"/>
            <w:left w:val="none" w:sz="0" w:space="0" w:color="auto"/>
            <w:bottom w:val="none" w:sz="0" w:space="0" w:color="auto"/>
            <w:right w:val="none" w:sz="0" w:space="0" w:color="auto"/>
          </w:divBdr>
        </w:div>
        <w:div w:id="294148606">
          <w:marLeft w:val="0"/>
          <w:marRight w:val="0"/>
          <w:marTop w:val="0"/>
          <w:marBottom w:val="0"/>
          <w:divBdr>
            <w:top w:val="none" w:sz="0" w:space="0" w:color="auto"/>
            <w:left w:val="none" w:sz="0" w:space="0" w:color="auto"/>
            <w:bottom w:val="none" w:sz="0" w:space="0" w:color="auto"/>
            <w:right w:val="none" w:sz="0" w:space="0" w:color="auto"/>
          </w:divBdr>
        </w:div>
        <w:div w:id="294148646">
          <w:marLeft w:val="0"/>
          <w:marRight w:val="0"/>
          <w:marTop w:val="0"/>
          <w:marBottom w:val="0"/>
          <w:divBdr>
            <w:top w:val="none" w:sz="0" w:space="0" w:color="auto"/>
            <w:left w:val="none" w:sz="0" w:space="0" w:color="auto"/>
            <w:bottom w:val="none" w:sz="0" w:space="0" w:color="auto"/>
            <w:right w:val="none" w:sz="0" w:space="0" w:color="auto"/>
          </w:divBdr>
        </w:div>
        <w:div w:id="294148713">
          <w:marLeft w:val="0"/>
          <w:marRight w:val="0"/>
          <w:marTop w:val="0"/>
          <w:marBottom w:val="0"/>
          <w:divBdr>
            <w:top w:val="none" w:sz="0" w:space="0" w:color="auto"/>
            <w:left w:val="none" w:sz="0" w:space="0" w:color="auto"/>
            <w:bottom w:val="none" w:sz="0" w:space="0" w:color="auto"/>
            <w:right w:val="none" w:sz="0" w:space="0" w:color="auto"/>
          </w:divBdr>
        </w:div>
        <w:div w:id="294148767">
          <w:marLeft w:val="0"/>
          <w:marRight w:val="0"/>
          <w:marTop w:val="0"/>
          <w:marBottom w:val="0"/>
          <w:divBdr>
            <w:top w:val="none" w:sz="0" w:space="0" w:color="auto"/>
            <w:left w:val="none" w:sz="0" w:space="0" w:color="auto"/>
            <w:bottom w:val="none" w:sz="0" w:space="0" w:color="auto"/>
            <w:right w:val="none" w:sz="0" w:space="0" w:color="auto"/>
          </w:divBdr>
        </w:div>
        <w:div w:id="294149164">
          <w:marLeft w:val="0"/>
          <w:marRight w:val="0"/>
          <w:marTop w:val="0"/>
          <w:marBottom w:val="0"/>
          <w:divBdr>
            <w:top w:val="none" w:sz="0" w:space="0" w:color="auto"/>
            <w:left w:val="none" w:sz="0" w:space="0" w:color="auto"/>
            <w:bottom w:val="none" w:sz="0" w:space="0" w:color="auto"/>
            <w:right w:val="none" w:sz="0" w:space="0" w:color="auto"/>
          </w:divBdr>
        </w:div>
        <w:div w:id="294149318">
          <w:marLeft w:val="0"/>
          <w:marRight w:val="0"/>
          <w:marTop w:val="0"/>
          <w:marBottom w:val="0"/>
          <w:divBdr>
            <w:top w:val="none" w:sz="0" w:space="0" w:color="auto"/>
            <w:left w:val="none" w:sz="0" w:space="0" w:color="auto"/>
            <w:bottom w:val="none" w:sz="0" w:space="0" w:color="auto"/>
            <w:right w:val="none" w:sz="0" w:space="0" w:color="auto"/>
          </w:divBdr>
        </w:div>
        <w:div w:id="294149350">
          <w:marLeft w:val="0"/>
          <w:marRight w:val="0"/>
          <w:marTop w:val="0"/>
          <w:marBottom w:val="0"/>
          <w:divBdr>
            <w:top w:val="none" w:sz="0" w:space="0" w:color="auto"/>
            <w:left w:val="none" w:sz="0" w:space="0" w:color="auto"/>
            <w:bottom w:val="none" w:sz="0" w:space="0" w:color="auto"/>
            <w:right w:val="none" w:sz="0" w:space="0" w:color="auto"/>
          </w:divBdr>
        </w:div>
        <w:div w:id="294149646">
          <w:marLeft w:val="0"/>
          <w:marRight w:val="0"/>
          <w:marTop w:val="0"/>
          <w:marBottom w:val="0"/>
          <w:divBdr>
            <w:top w:val="none" w:sz="0" w:space="0" w:color="auto"/>
            <w:left w:val="none" w:sz="0" w:space="0" w:color="auto"/>
            <w:bottom w:val="none" w:sz="0" w:space="0" w:color="auto"/>
            <w:right w:val="none" w:sz="0" w:space="0" w:color="auto"/>
          </w:divBdr>
        </w:div>
        <w:div w:id="294149652">
          <w:marLeft w:val="0"/>
          <w:marRight w:val="0"/>
          <w:marTop w:val="0"/>
          <w:marBottom w:val="0"/>
          <w:divBdr>
            <w:top w:val="none" w:sz="0" w:space="0" w:color="auto"/>
            <w:left w:val="none" w:sz="0" w:space="0" w:color="auto"/>
            <w:bottom w:val="none" w:sz="0" w:space="0" w:color="auto"/>
            <w:right w:val="none" w:sz="0" w:space="0" w:color="auto"/>
          </w:divBdr>
        </w:div>
        <w:div w:id="294149673">
          <w:marLeft w:val="0"/>
          <w:marRight w:val="0"/>
          <w:marTop w:val="0"/>
          <w:marBottom w:val="0"/>
          <w:divBdr>
            <w:top w:val="none" w:sz="0" w:space="0" w:color="auto"/>
            <w:left w:val="none" w:sz="0" w:space="0" w:color="auto"/>
            <w:bottom w:val="none" w:sz="0" w:space="0" w:color="auto"/>
            <w:right w:val="none" w:sz="0" w:space="0" w:color="auto"/>
          </w:divBdr>
        </w:div>
        <w:div w:id="294149745">
          <w:marLeft w:val="0"/>
          <w:marRight w:val="0"/>
          <w:marTop w:val="0"/>
          <w:marBottom w:val="0"/>
          <w:divBdr>
            <w:top w:val="none" w:sz="0" w:space="0" w:color="auto"/>
            <w:left w:val="none" w:sz="0" w:space="0" w:color="auto"/>
            <w:bottom w:val="none" w:sz="0" w:space="0" w:color="auto"/>
            <w:right w:val="none" w:sz="0" w:space="0" w:color="auto"/>
          </w:divBdr>
        </w:div>
        <w:div w:id="294149867">
          <w:marLeft w:val="0"/>
          <w:marRight w:val="0"/>
          <w:marTop w:val="0"/>
          <w:marBottom w:val="0"/>
          <w:divBdr>
            <w:top w:val="none" w:sz="0" w:space="0" w:color="auto"/>
            <w:left w:val="none" w:sz="0" w:space="0" w:color="auto"/>
            <w:bottom w:val="none" w:sz="0" w:space="0" w:color="auto"/>
            <w:right w:val="none" w:sz="0" w:space="0" w:color="auto"/>
          </w:divBdr>
        </w:div>
        <w:div w:id="294149885">
          <w:marLeft w:val="0"/>
          <w:marRight w:val="0"/>
          <w:marTop w:val="0"/>
          <w:marBottom w:val="0"/>
          <w:divBdr>
            <w:top w:val="none" w:sz="0" w:space="0" w:color="auto"/>
            <w:left w:val="none" w:sz="0" w:space="0" w:color="auto"/>
            <w:bottom w:val="none" w:sz="0" w:space="0" w:color="auto"/>
            <w:right w:val="none" w:sz="0" w:space="0" w:color="auto"/>
          </w:divBdr>
        </w:div>
        <w:div w:id="294149935">
          <w:marLeft w:val="0"/>
          <w:marRight w:val="0"/>
          <w:marTop w:val="0"/>
          <w:marBottom w:val="0"/>
          <w:divBdr>
            <w:top w:val="none" w:sz="0" w:space="0" w:color="auto"/>
            <w:left w:val="none" w:sz="0" w:space="0" w:color="auto"/>
            <w:bottom w:val="none" w:sz="0" w:space="0" w:color="auto"/>
            <w:right w:val="none" w:sz="0" w:space="0" w:color="auto"/>
          </w:divBdr>
        </w:div>
        <w:div w:id="294150123">
          <w:marLeft w:val="0"/>
          <w:marRight w:val="0"/>
          <w:marTop w:val="0"/>
          <w:marBottom w:val="0"/>
          <w:divBdr>
            <w:top w:val="none" w:sz="0" w:space="0" w:color="auto"/>
            <w:left w:val="none" w:sz="0" w:space="0" w:color="auto"/>
            <w:bottom w:val="none" w:sz="0" w:space="0" w:color="auto"/>
            <w:right w:val="none" w:sz="0" w:space="0" w:color="auto"/>
          </w:divBdr>
        </w:div>
        <w:div w:id="294150181">
          <w:marLeft w:val="0"/>
          <w:marRight w:val="0"/>
          <w:marTop w:val="0"/>
          <w:marBottom w:val="0"/>
          <w:divBdr>
            <w:top w:val="none" w:sz="0" w:space="0" w:color="auto"/>
            <w:left w:val="none" w:sz="0" w:space="0" w:color="auto"/>
            <w:bottom w:val="none" w:sz="0" w:space="0" w:color="auto"/>
            <w:right w:val="none" w:sz="0" w:space="0" w:color="auto"/>
          </w:divBdr>
        </w:div>
        <w:div w:id="294150287">
          <w:marLeft w:val="0"/>
          <w:marRight w:val="0"/>
          <w:marTop w:val="0"/>
          <w:marBottom w:val="0"/>
          <w:divBdr>
            <w:top w:val="none" w:sz="0" w:space="0" w:color="auto"/>
            <w:left w:val="none" w:sz="0" w:space="0" w:color="auto"/>
            <w:bottom w:val="none" w:sz="0" w:space="0" w:color="auto"/>
            <w:right w:val="none" w:sz="0" w:space="0" w:color="auto"/>
          </w:divBdr>
        </w:div>
        <w:div w:id="294150289">
          <w:marLeft w:val="0"/>
          <w:marRight w:val="0"/>
          <w:marTop w:val="0"/>
          <w:marBottom w:val="0"/>
          <w:divBdr>
            <w:top w:val="none" w:sz="0" w:space="0" w:color="auto"/>
            <w:left w:val="none" w:sz="0" w:space="0" w:color="auto"/>
            <w:bottom w:val="none" w:sz="0" w:space="0" w:color="auto"/>
            <w:right w:val="none" w:sz="0" w:space="0" w:color="auto"/>
          </w:divBdr>
        </w:div>
        <w:div w:id="294150414">
          <w:marLeft w:val="0"/>
          <w:marRight w:val="0"/>
          <w:marTop w:val="0"/>
          <w:marBottom w:val="0"/>
          <w:divBdr>
            <w:top w:val="none" w:sz="0" w:space="0" w:color="auto"/>
            <w:left w:val="none" w:sz="0" w:space="0" w:color="auto"/>
            <w:bottom w:val="none" w:sz="0" w:space="0" w:color="auto"/>
            <w:right w:val="none" w:sz="0" w:space="0" w:color="auto"/>
          </w:divBdr>
        </w:div>
        <w:div w:id="294150477">
          <w:marLeft w:val="0"/>
          <w:marRight w:val="0"/>
          <w:marTop w:val="0"/>
          <w:marBottom w:val="0"/>
          <w:divBdr>
            <w:top w:val="none" w:sz="0" w:space="0" w:color="auto"/>
            <w:left w:val="none" w:sz="0" w:space="0" w:color="auto"/>
            <w:bottom w:val="none" w:sz="0" w:space="0" w:color="auto"/>
            <w:right w:val="none" w:sz="0" w:space="0" w:color="auto"/>
          </w:divBdr>
        </w:div>
        <w:div w:id="294150535">
          <w:marLeft w:val="0"/>
          <w:marRight w:val="0"/>
          <w:marTop w:val="0"/>
          <w:marBottom w:val="0"/>
          <w:divBdr>
            <w:top w:val="none" w:sz="0" w:space="0" w:color="auto"/>
            <w:left w:val="none" w:sz="0" w:space="0" w:color="auto"/>
            <w:bottom w:val="none" w:sz="0" w:space="0" w:color="auto"/>
            <w:right w:val="none" w:sz="0" w:space="0" w:color="auto"/>
          </w:divBdr>
        </w:div>
        <w:div w:id="294150604">
          <w:marLeft w:val="0"/>
          <w:marRight w:val="0"/>
          <w:marTop w:val="0"/>
          <w:marBottom w:val="0"/>
          <w:divBdr>
            <w:top w:val="none" w:sz="0" w:space="0" w:color="auto"/>
            <w:left w:val="none" w:sz="0" w:space="0" w:color="auto"/>
            <w:bottom w:val="none" w:sz="0" w:space="0" w:color="auto"/>
            <w:right w:val="none" w:sz="0" w:space="0" w:color="auto"/>
          </w:divBdr>
        </w:div>
        <w:div w:id="294150638">
          <w:marLeft w:val="0"/>
          <w:marRight w:val="0"/>
          <w:marTop w:val="0"/>
          <w:marBottom w:val="0"/>
          <w:divBdr>
            <w:top w:val="none" w:sz="0" w:space="0" w:color="auto"/>
            <w:left w:val="none" w:sz="0" w:space="0" w:color="auto"/>
            <w:bottom w:val="none" w:sz="0" w:space="0" w:color="auto"/>
            <w:right w:val="none" w:sz="0" w:space="0" w:color="auto"/>
          </w:divBdr>
        </w:div>
        <w:div w:id="294150679">
          <w:marLeft w:val="0"/>
          <w:marRight w:val="0"/>
          <w:marTop w:val="0"/>
          <w:marBottom w:val="0"/>
          <w:divBdr>
            <w:top w:val="none" w:sz="0" w:space="0" w:color="auto"/>
            <w:left w:val="none" w:sz="0" w:space="0" w:color="auto"/>
            <w:bottom w:val="none" w:sz="0" w:space="0" w:color="auto"/>
            <w:right w:val="none" w:sz="0" w:space="0" w:color="auto"/>
          </w:divBdr>
        </w:div>
        <w:div w:id="294150814">
          <w:marLeft w:val="0"/>
          <w:marRight w:val="0"/>
          <w:marTop w:val="0"/>
          <w:marBottom w:val="0"/>
          <w:divBdr>
            <w:top w:val="none" w:sz="0" w:space="0" w:color="auto"/>
            <w:left w:val="none" w:sz="0" w:space="0" w:color="auto"/>
            <w:bottom w:val="none" w:sz="0" w:space="0" w:color="auto"/>
            <w:right w:val="none" w:sz="0" w:space="0" w:color="auto"/>
          </w:divBdr>
        </w:div>
        <w:div w:id="294150908">
          <w:marLeft w:val="0"/>
          <w:marRight w:val="0"/>
          <w:marTop w:val="0"/>
          <w:marBottom w:val="0"/>
          <w:divBdr>
            <w:top w:val="none" w:sz="0" w:space="0" w:color="auto"/>
            <w:left w:val="none" w:sz="0" w:space="0" w:color="auto"/>
            <w:bottom w:val="none" w:sz="0" w:space="0" w:color="auto"/>
            <w:right w:val="none" w:sz="0" w:space="0" w:color="auto"/>
          </w:divBdr>
        </w:div>
        <w:div w:id="294150977">
          <w:marLeft w:val="0"/>
          <w:marRight w:val="0"/>
          <w:marTop w:val="0"/>
          <w:marBottom w:val="0"/>
          <w:divBdr>
            <w:top w:val="none" w:sz="0" w:space="0" w:color="auto"/>
            <w:left w:val="none" w:sz="0" w:space="0" w:color="auto"/>
            <w:bottom w:val="none" w:sz="0" w:space="0" w:color="auto"/>
            <w:right w:val="none" w:sz="0" w:space="0" w:color="auto"/>
          </w:divBdr>
        </w:div>
        <w:div w:id="294151158">
          <w:marLeft w:val="0"/>
          <w:marRight w:val="0"/>
          <w:marTop w:val="0"/>
          <w:marBottom w:val="0"/>
          <w:divBdr>
            <w:top w:val="none" w:sz="0" w:space="0" w:color="auto"/>
            <w:left w:val="none" w:sz="0" w:space="0" w:color="auto"/>
            <w:bottom w:val="none" w:sz="0" w:space="0" w:color="auto"/>
            <w:right w:val="none" w:sz="0" w:space="0" w:color="auto"/>
          </w:divBdr>
        </w:div>
        <w:div w:id="294151276">
          <w:marLeft w:val="0"/>
          <w:marRight w:val="0"/>
          <w:marTop w:val="0"/>
          <w:marBottom w:val="0"/>
          <w:divBdr>
            <w:top w:val="none" w:sz="0" w:space="0" w:color="auto"/>
            <w:left w:val="none" w:sz="0" w:space="0" w:color="auto"/>
            <w:bottom w:val="none" w:sz="0" w:space="0" w:color="auto"/>
            <w:right w:val="none" w:sz="0" w:space="0" w:color="auto"/>
          </w:divBdr>
        </w:div>
        <w:div w:id="294151334">
          <w:marLeft w:val="0"/>
          <w:marRight w:val="0"/>
          <w:marTop w:val="0"/>
          <w:marBottom w:val="0"/>
          <w:divBdr>
            <w:top w:val="none" w:sz="0" w:space="0" w:color="auto"/>
            <w:left w:val="none" w:sz="0" w:space="0" w:color="auto"/>
            <w:bottom w:val="none" w:sz="0" w:space="0" w:color="auto"/>
            <w:right w:val="none" w:sz="0" w:space="0" w:color="auto"/>
          </w:divBdr>
        </w:div>
        <w:div w:id="294151710">
          <w:marLeft w:val="0"/>
          <w:marRight w:val="0"/>
          <w:marTop w:val="0"/>
          <w:marBottom w:val="0"/>
          <w:divBdr>
            <w:top w:val="none" w:sz="0" w:space="0" w:color="auto"/>
            <w:left w:val="none" w:sz="0" w:space="0" w:color="auto"/>
            <w:bottom w:val="none" w:sz="0" w:space="0" w:color="auto"/>
            <w:right w:val="none" w:sz="0" w:space="0" w:color="auto"/>
          </w:divBdr>
        </w:div>
        <w:div w:id="294151818">
          <w:marLeft w:val="0"/>
          <w:marRight w:val="0"/>
          <w:marTop w:val="0"/>
          <w:marBottom w:val="0"/>
          <w:divBdr>
            <w:top w:val="none" w:sz="0" w:space="0" w:color="auto"/>
            <w:left w:val="none" w:sz="0" w:space="0" w:color="auto"/>
            <w:bottom w:val="none" w:sz="0" w:space="0" w:color="auto"/>
            <w:right w:val="none" w:sz="0" w:space="0" w:color="auto"/>
          </w:divBdr>
        </w:div>
        <w:div w:id="294151987">
          <w:marLeft w:val="0"/>
          <w:marRight w:val="0"/>
          <w:marTop w:val="0"/>
          <w:marBottom w:val="0"/>
          <w:divBdr>
            <w:top w:val="none" w:sz="0" w:space="0" w:color="auto"/>
            <w:left w:val="none" w:sz="0" w:space="0" w:color="auto"/>
            <w:bottom w:val="none" w:sz="0" w:space="0" w:color="auto"/>
            <w:right w:val="none" w:sz="0" w:space="0" w:color="auto"/>
          </w:divBdr>
        </w:div>
        <w:div w:id="294151991">
          <w:marLeft w:val="0"/>
          <w:marRight w:val="0"/>
          <w:marTop w:val="0"/>
          <w:marBottom w:val="0"/>
          <w:divBdr>
            <w:top w:val="none" w:sz="0" w:space="0" w:color="auto"/>
            <w:left w:val="none" w:sz="0" w:space="0" w:color="auto"/>
            <w:bottom w:val="none" w:sz="0" w:space="0" w:color="auto"/>
            <w:right w:val="none" w:sz="0" w:space="0" w:color="auto"/>
          </w:divBdr>
        </w:div>
        <w:div w:id="294152123">
          <w:marLeft w:val="0"/>
          <w:marRight w:val="0"/>
          <w:marTop w:val="0"/>
          <w:marBottom w:val="0"/>
          <w:divBdr>
            <w:top w:val="none" w:sz="0" w:space="0" w:color="auto"/>
            <w:left w:val="none" w:sz="0" w:space="0" w:color="auto"/>
            <w:bottom w:val="none" w:sz="0" w:space="0" w:color="auto"/>
            <w:right w:val="none" w:sz="0" w:space="0" w:color="auto"/>
          </w:divBdr>
        </w:div>
        <w:div w:id="294152191">
          <w:marLeft w:val="0"/>
          <w:marRight w:val="0"/>
          <w:marTop w:val="0"/>
          <w:marBottom w:val="0"/>
          <w:divBdr>
            <w:top w:val="none" w:sz="0" w:space="0" w:color="auto"/>
            <w:left w:val="none" w:sz="0" w:space="0" w:color="auto"/>
            <w:bottom w:val="none" w:sz="0" w:space="0" w:color="auto"/>
            <w:right w:val="none" w:sz="0" w:space="0" w:color="auto"/>
          </w:divBdr>
        </w:div>
        <w:div w:id="294152286">
          <w:marLeft w:val="0"/>
          <w:marRight w:val="0"/>
          <w:marTop w:val="0"/>
          <w:marBottom w:val="0"/>
          <w:divBdr>
            <w:top w:val="none" w:sz="0" w:space="0" w:color="auto"/>
            <w:left w:val="none" w:sz="0" w:space="0" w:color="auto"/>
            <w:bottom w:val="none" w:sz="0" w:space="0" w:color="auto"/>
            <w:right w:val="none" w:sz="0" w:space="0" w:color="auto"/>
          </w:divBdr>
        </w:div>
        <w:div w:id="294152361">
          <w:marLeft w:val="0"/>
          <w:marRight w:val="0"/>
          <w:marTop w:val="0"/>
          <w:marBottom w:val="0"/>
          <w:divBdr>
            <w:top w:val="none" w:sz="0" w:space="0" w:color="auto"/>
            <w:left w:val="none" w:sz="0" w:space="0" w:color="auto"/>
            <w:bottom w:val="none" w:sz="0" w:space="0" w:color="auto"/>
            <w:right w:val="none" w:sz="0" w:space="0" w:color="auto"/>
          </w:divBdr>
        </w:div>
        <w:div w:id="294152599">
          <w:marLeft w:val="0"/>
          <w:marRight w:val="0"/>
          <w:marTop w:val="0"/>
          <w:marBottom w:val="0"/>
          <w:divBdr>
            <w:top w:val="none" w:sz="0" w:space="0" w:color="auto"/>
            <w:left w:val="none" w:sz="0" w:space="0" w:color="auto"/>
            <w:bottom w:val="none" w:sz="0" w:space="0" w:color="auto"/>
            <w:right w:val="none" w:sz="0" w:space="0" w:color="auto"/>
          </w:divBdr>
        </w:div>
        <w:div w:id="294152798">
          <w:marLeft w:val="0"/>
          <w:marRight w:val="0"/>
          <w:marTop w:val="0"/>
          <w:marBottom w:val="0"/>
          <w:divBdr>
            <w:top w:val="none" w:sz="0" w:space="0" w:color="auto"/>
            <w:left w:val="none" w:sz="0" w:space="0" w:color="auto"/>
            <w:bottom w:val="none" w:sz="0" w:space="0" w:color="auto"/>
            <w:right w:val="none" w:sz="0" w:space="0" w:color="auto"/>
          </w:divBdr>
        </w:div>
        <w:div w:id="294152901">
          <w:marLeft w:val="0"/>
          <w:marRight w:val="0"/>
          <w:marTop w:val="0"/>
          <w:marBottom w:val="0"/>
          <w:divBdr>
            <w:top w:val="none" w:sz="0" w:space="0" w:color="auto"/>
            <w:left w:val="none" w:sz="0" w:space="0" w:color="auto"/>
            <w:bottom w:val="none" w:sz="0" w:space="0" w:color="auto"/>
            <w:right w:val="none" w:sz="0" w:space="0" w:color="auto"/>
          </w:divBdr>
        </w:div>
        <w:div w:id="294152923">
          <w:marLeft w:val="0"/>
          <w:marRight w:val="0"/>
          <w:marTop w:val="0"/>
          <w:marBottom w:val="0"/>
          <w:divBdr>
            <w:top w:val="none" w:sz="0" w:space="0" w:color="auto"/>
            <w:left w:val="none" w:sz="0" w:space="0" w:color="auto"/>
            <w:bottom w:val="none" w:sz="0" w:space="0" w:color="auto"/>
            <w:right w:val="none" w:sz="0" w:space="0" w:color="auto"/>
          </w:divBdr>
        </w:div>
        <w:div w:id="294153056">
          <w:marLeft w:val="0"/>
          <w:marRight w:val="0"/>
          <w:marTop w:val="0"/>
          <w:marBottom w:val="0"/>
          <w:divBdr>
            <w:top w:val="none" w:sz="0" w:space="0" w:color="auto"/>
            <w:left w:val="none" w:sz="0" w:space="0" w:color="auto"/>
            <w:bottom w:val="none" w:sz="0" w:space="0" w:color="auto"/>
            <w:right w:val="none" w:sz="0" w:space="0" w:color="auto"/>
          </w:divBdr>
        </w:div>
        <w:div w:id="294153236">
          <w:marLeft w:val="0"/>
          <w:marRight w:val="0"/>
          <w:marTop w:val="0"/>
          <w:marBottom w:val="0"/>
          <w:divBdr>
            <w:top w:val="none" w:sz="0" w:space="0" w:color="auto"/>
            <w:left w:val="none" w:sz="0" w:space="0" w:color="auto"/>
            <w:bottom w:val="none" w:sz="0" w:space="0" w:color="auto"/>
            <w:right w:val="none" w:sz="0" w:space="0" w:color="auto"/>
          </w:divBdr>
        </w:div>
        <w:div w:id="294153310">
          <w:marLeft w:val="0"/>
          <w:marRight w:val="0"/>
          <w:marTop w:val="0"/>
          <w:marBottom w:val="0"/>
          <w:divBdr>
            <w:top w:val="none" w:sz="0" w:space="0" w:color="auto"/>
            <w:left w:val="none" w:sz="0" w:space="0" w:color="auto"/>
            <w:bottom w:val="none" w:sz="0" w:space="0" w:color="auto"/>
            <w:right w:val="none" w:sz="0" w:space="0" w:color="auto"/>
          </w:divBdr>
        </w:div>
        <w:div w:id="294153380">
          <w:marLeft w:val="0"/>
          <w:marRight w:val="0"/>
          <w:marTop w:val="0"/>
          <w:marBottom w:val="0"/>
          <w:divBdr>
            <w:top w:val="none" w:sz="0" w:space="0" w:color="auto"/>
            <w:left w:val="none" w:sz="0" w:space="0" w:color="auto"/>
            <w:bottom w:val="none" w:sz="0" w:space="0" w:color="auto"/>
            <w:right w:val="none" w:sz="0" w:space="0" w:color="auto"/>
          </w:divBdr>
        </w:div>
        <w:div w:id="294153532">
          <w:marLeft w:val="0"/>
          <w:marRight w:val="0"/>
          <w:marTop w:val="0"/>
          <w:marBottom w:val="0"/>
          <w:divBdr>
            <w:top w:val="none" w:sz="0" w:space="0" w:color="auto"/>
            <w:left w:val="none" w:sz="0" w:space="0" w:color="auto"/>
            <w:bottom w:val="none" w:sz="0" w:space="0" w:color="auto"/>
            <w:right w:val="none" w:sz="0" w:space="0" w:color="auto"/>
          </w:divBdr>
        </w:div>
        <w:div w:id="294153613">
          <w:marLeft w:val="0"/>
          <w:marRight w:val="0"/>
          <w:marTop w:val="0"/>
          <w:marBottom w:val="0"/>
          <w:divBdr>
            <w:top w:val="none" w:sz="0" w:space="0" w:color="auto"/>
            <w:left w:val="none" w:sz="0" w:space="0" w:color="auto"/>
            <w:bottom w:val="none" w:sz="0" w:space="0" w:color="auto"/>
            <w:right w:val="none" w:sz="0" w:space="0" w:color="auto"/>
          </w:divBdr>
        </w:div>
        <w:div w:id="294153870">
          <w:marLeft w:val="0"/>
          <w:marRight w:val="0"/>
          <w:marTop w:val="0"/>
          <w:marBottom w:val="0"/>
          <w:divBdr>
            <w:top w:val="none" w:sz="0" w:space="0" w:color="auto"/>
            <w:left w:val="none" w:sz="0" w:space="0" w:color="auto"/>
            <w:bottom w:val="none" w:sz="0" w:space="0" w:color="auto"/>
            <w:right w:val="none" w:sz="0" w:space="0" w:color="auto"/>
          </w:divBdr>
        </w:div>
        <w:div w:id="294153919">
          <w:marLeft w:val="0"/>
          <w:marRight w:val="0"/>
          <w:marTop w:val="0"/>
          <w:marBottom w:val="0"/>
          <w:divBdr>
            <w:top w:val="none" w:sz="0" w:space="0" w:color="auto"/>
            <w:left w:val="none" w:sz="0" w:space="0" w:color="auto"/>
            <w:bottom w:val="none" w:sz="0" w:space="0" w:color="auto"/>
            <w:right w:val="none" w:sz="0" w:space="0" w:color="auto"/>
          </w:divBdr>
        </w:div>
        <w:div w:id="294154001">
          <w:marLeft w:val="0"/>
          <w:marRight w:val="0"/>
          <w:marTop w:val="0"/>
          <w:marBottom w:val="0"/>
          <w:divBdr>
            <w:top w:val="none" w:sz="0" w:space="0" w:color="auto"/>
            <w:left w:val="none" w:sz="0" w:space="0" w:color="auto"/>
            <w:bottom w:val="none" w:sz="0" w:space="0" w:color="auto"/>
            <w:right w:val="none" w:sz="0" w:space="0" w:color="auto"/>
          </w:divBdr>
        </w:div>
        <w:div w:id="294154257">
          <w:marLeft w:val="0"/>
          <w:marRight w:val="0"/>
          <w:marTop w:val="0"/>
          <w:marBottom w:val="0"/>
          <w:divBdr>
            <w:top w:val="none" w:sz="0" w:space="0" w:color="auto"/>
            <w:left w:val="none" w:sz="0" w:space="0" w:color="auto"/>
            <w:bottom w:val="none" w:sz="0" w:space="0" w:color="auto"/>
            <w:right w:val="none" w:sz="0" w:space="0" w:color="auto"/>
          </w:divBdr>
        </w:div>
        <w:div w:id="294154320">
          <w:marLeft w:val="0"/>
          <w:marRight w:val="0"/>
          <w:marTop w:val="0"/>
          <w:marBottom w:val="0"/>
          <w:divBdr>
            <w:top w:val="none" w:sz="0" w:space="0" w:color="auto"/>
            <w:left w:val="none" w:sz="0" w:space="0" w:color="auto"/>
            <w:bottom w:val="none" w:sz="0" w:space="0" w:color="auto"/>
            <w:right w:val="none" w:sz="0" w:space="0" w:color="auto"/>
          </w:divBdr>
        </w:div>
        <w:div w:id="294154417">
          <w:marLeft w:val="0"/>
          <w:marRight w:val="0"/>
          <w:marTop w:val="0"/>
          <w:marBottom w:val="0"/>
          <w:divBdr>
            <w:top w:val="none" w:sz="0" w:space="0" w:color="auto"/>
            <w:left w:val="none" w:sz="0" w:space="0" w:color="auto"/>
            <w:bottom w:val="none" w:sz="0" w:space="0" w:color="auto"/>
            <w:right w:val="none" w:sz="0" w:space="0" w:color="auto"/>
          </w:divBdr>
        </w:div>
        <w:div w:id="294154434">
          <w:marLeft w:val="0"/>
          <w:marRight w:val="0"/>
          <w:marTop w:val="0"/>
          <w:marBottom w:val="0"/>
          <w:divBdr>
            <w:top w:val="none" w:sz="0" w:space="0" w:color="auto"/>
            <w:left w:val="none" w:sz="0" w:space="0" w:color="auto"/>
            <w:bottom w:val="none" w:sz="0" w:space="0" w:color="auto"/>
            <w:right w:val="none" w:sz="0" w:space="0" w:color="auto"/>
          </w:divBdr>
        </w:div>
        <w:div w:id="294154444">
          <w:marLeft w:val="0"/>
          <w:marRight w:val="0"/>
          <w:marTop w:val="0"/>
          <w:marBottom w:val="0"/>
          <w:divBdr>
            <w:top w:val="none" w:sz="0" w:space="0" w:color="auto"/>
            <w:left w:val="none" w:sz="0" w:space="0" w:color="auto"/>
            <w:bottom w:val="none" w:sz="0" w:space="0" w:color="auto"/>
            <w:right w:val="none" w:sz="0" w:space="0" w:color="auto"/>
          </w:divBdr>
        </w:div>
        <w:div w:id="294154446">
          <w:marLeft w:val="0"/>
          <w:marRight w:val="0"/>
          <w:marTop w:val="0"/>
          <w:marBottom w:val="0"/>
          <w:divBdr>
            <w:top w:val="none" w:sz="0" w:space="0" w:color="auto"/>
            <w:left w:val="none" w:sz="0" w:space="0" w:color="auto"/>
            <w:bottom w:val="none" w:sz="0" w:space="0" w:color="auto"/>
            <w:right w:val="none" w:sz="0" w:space="0" w:color="auto"/>
          </w:divBdr>
        </w:div>
        <w:div w:id="294154469">
          <w:marLeft w:val="0"/>
          <w:marRight w:val="0"/>
          <w:marTop w:val="0"/>
          <w:marBottom w:val="0"/>
          <w:divBdr>
            <w:top w:val="none" w:sz="0" w:space="0" w:color="auto"/>
            <w:left w:val="none" w:sz="0" w:space="0" w:color="auto"/>
            <w:bottom w:val="none" w:sz="0" w:space="0" w:color="auto"/>
            <w:right w:val="none" w:sz="0" w:space="0" w:color="auto"/>
          </w:divBdr>
        </w:div>
        <w:div w:id="294154493">
          <w:marLeft w:val="0"/>
          <w:marRight w:val="0"/>
          <w:marTop w:val="0"/>
          <w:marBottom w:val="0"/>
          <w:divBdr>
            <w:top w:val="none" w:sz="0" w:space="0" w:color="auto"/>
            <w:left w:val="none" w:sz="0" w:space="0" w:color="auto"/>
            <w:bottom w:val="none" w:sz="0" w:space="0" w:color="auto"/>
            <w:right w:val="none" w:sz="0" w:space="0" w:color="auto"/>
          </w:divBdr>
        </w:div>
        <w:div w:id="294154776">
          <w:marLeft w:val="0"/>
          <w:marRight w:val="0"/>
          <w:marTop w:val="0"/>
          <w:marBottom w:val="0"/>
          <w:divBdr>
            <w:top w:val="none" w:sz="0" w:space="0" w:color="auto"/>
            <w:left w:val="none" w:sz="0" w:space="0" w:color="auto"/>
            <w:bottom w:val="none" w:sz="0" w:space="0" w:color="auto"/>
            <w:right w:val="none" w:sz="0" w:space="0" w:color="auto"/>
          </w:divBdr>
        </w:div>
        <w:div w:id="294154872">
          <w:marLeft w:val="0"/>
          <w:marRight w:val="0"/>
          <w:marTop w:val="0"/>
          <w:marBottom w:val="0"/>
          <w:divBdr>
            <w:top w:val="none" w:sz="0" w:space="0" w:color="auto"/>
            <w:left w:val="none" w:sz="0" w:space="0" w:color="auto"/>
            <w:bottom w:val="none" w:sz="0" w:space="0" w:color="auto"/>
            <w:right w:val="none" w:sz="0" w:space="0" w:color="auto"/>
          </w:divBdr>
        </w:div>
        <w:div w:id="294154929">
          <w:marLeft w:val="0"/>
          <w:marRight w:val="0"/>
          <w:marTop w:val="0"/>
          <w:marBottom w:val="0"/>
          <w:divBdr>
            <w:top w:val="none" w:sz="0" w:space="0" w:color="auto"/>
            <w:left w:val="none" w:sz="0" w:space="0" w:color="auto"/>
            <w:bottom w:val="none" w:sz="0" w:space="0" w:color="auto"/>
            <w:right w:val="none" w:sz="0" w:space="0" w:color="auto"/>
          </w:divBdr>
        </w:div>
        <w:div w:id="294155357">
          <w:marLeft w:val="0"/>
          <w:marRight w:val="0"/>
          <w:marTop w:val="0"/>
          <w:marBottom w:val="0"/>
          <w:divBdr>
            <w:top w:val="none" w:sz="0" w:space="0" w:color="auto"/>
            <w:left w:val="none" w:sz="0" w:space="0" w:color="auto"/>
            <w:bottom w:val="none" w:sz="0" w:space="0" w:color="auto"/>
            <w:right w:val="none" w:sz="0" w:space="0" w:color="auto"/>
          </w:divBdr>
        </w:div>
        <w:div w:id="294155526">
          <w:marLeft w:val="0"/>
          <w:marRight w:val="0"/>
          <w:marTop w:val="0"/>
          <w:marBottom w:val="0"/>
          <w:divBdr>
            <w:top w:val="none" w:sz="0" w:space="0" w:color="auto"/>
            <w:left w:val="none" w:sz="0" w:space="0" w:color="auto"/>
            <w:bottom w:val="none" w:sz="0" w:space="0" w:color="auto"/>
            <w:right w:val="none" w:sz="0" w:space="0" w:color="auto"/>
          </w:divBdr>
        </w:div>
        <w:div w:id="294155580">
          <w:marLeft w:val="0"/>
          <w:marRight w:val="0"/>
          <w:marTop w:val="0"/>
          <w:marBottom w:val="0"/>
          <w:divBdr>
            <w:top w:val="none" w:sz="0" w:space="0" w:color="auto"/>
            <w:left w:val="none" w:sz="0" w:space="0" w:color="auto"/>
            <w:bottom w:val="none" w:sz="0" w:space="0" w:color="auto"/>
            <w:right w:val="none" w:sz="0" w:space="0" w:color="auto"/>
          </w:divBdr>
        </w:div>
        <w:div w:id="294155593">
          <w:marLeft w:val="0"/>
          <w:marRight w:val="0"/>
          <w:marTop w:val="0"/>
          <w:marBottom w:val="0"/>
          <w:divBdr>
            <w:top w:val="none" w:sz="0" w:space="0" w:color="auto"/>
            <w:left w:val="none" w:sz="0" w:space="0" w:color="auto"/>
            <w:bottom w:val="none" w:sz="0" w:space="0" w:color="auto"/>
            <w:right w:val="none" w:sz="0" w:space="0" w:color="auto"/>
          </w:divBdr>
        </w:div>
        <w:div w:id="294155707">
          <w:marLeft w:val="0"/>
          <w:marRight w:val="0"/>
          <w:marTop w:val="0"/>
          <w:marBottom w:val="0"/>
          <w:divBdr>
            <w:top w:val="none" w:sz="0" w:space="0" w:color="auto"/>
            <w:left w:val="none" w:sz="0" w:space="0" w:color="auto"/>
            <w:bottom w:val="none" w:sz="0" w:space="0" w:color="auto"/>
            <w:right w:val="none" w:sz="0" w:space="0" w:color="auto"/>
          </w:divBdr>
        </w:div>
        <w:div w:id="294155845">
          <w:marLeft w:val="0"/>
          <w:marRight w:val="0"/>
          <w:marTop w:val="0"/>
          <w:marBottom w:val="0"/>
          <w:divBdr>
            <w:top w:val="none" w:sz="0" w:space="0" w:color="auto"/>
            <w:left w:val="none" w:sz="0" w:space="0" w:color="auto"/>
            <w:bottom w:val="none" w:sz="0" w:space="0" w:color="auto"/>
            <w:right w:val="none" w:sz="0" w:space="0" w:color="auto"/>
          </w:divBdr>
        </w:div>
        <w:div w:id="294155862">
          <w:marLeft w:val="0"/>
          <w:marRight w:val="0"/>
          <w:marTop w:val="0"/>
          <w:marBottom w:val="0"/>
          <w:divBdr>
            <w:top w:val="none" w:sz="0" w:space="0" w:color="auto"/>
            <w:left w:val="none" w:sz="0" w:space="0" w:color="auto"/>
            <w:bottom w:val="none" w:sz="0" w:space="0" w:color="auto"/>
            <w:right w:val="none" w:sz="0" w:space="0" w:color="auto"/>
          </w:divBdr>
        </w:div>
        <w:div w:id="294155930">
          <w:marLeft w:val="0"/>
          <w:marRight w:val="0"/>
          <w:marTop w:val="0"/>
          <w:marBottom w:val="0"/>
          <w:divBdr>
            <w:top w:val="none" w:sz="0" w:space="0" w:color="auto"/>
            <w:left w:val="none" w:sz="0" w:space="0" w:color="auto"/>
            <w:bottom w:val="none" w:sz="0" w:space="0" w:color="auto"/>
            <w:right w:val="none" w:sz="0" w:space="0" w:color="auto"/>
          </w:divBdr>
        </w:div>
        <w:div w:id="294155943">
          <w:marLeft w:val="0"/>
          <w:marRight w:val="0"/>
          <w:marTop w:val="0"/>
          <w:marBottom w:val="0"/>
          <w:divBdr>
            <w:top w:val="none" w:sz="0" w:space="0" w:color="auto"/>
            <w:left w:val="none" w:sz="0" w:space="0" w:color="auto"/>
            <w:bottom w:val="none" w:sz="0" w:space="0" w:color="auto"/>
            <w:right w:val="none" w:sz="0" w:space="0" w:color="auto"/>
          </w:divBdr>
        </w:div>
        <w:div w:id="294155984">
          <w:marLeft w:val="0"/>
          <w:marRight w:val="0"/>
          <w:marTop w:val="0"/>
          <w:marBottom w:val="0"/>
          <w:divBdr>
            <w:top w:val="none" w:sz="0" w:space="0" w:color="auto"/>
            <w:left w:val="none" w:sz="0" w:space="0" w:color="auto"/>
            <w:bottom w:val="none" w:sz="0" w:space="0" w:color="auto"/>
            <w:right w:val="none" w:sz="0" w:space="0" w:color="auto"/>
          </w:divBdr>
        </w:div>
        <w:div w:id="294156008">
          <w:marLeft w:val="0"/>
          <w:marRight w:val="0"/>
          <w:marTop w:val="0"/>
          <w:marBottom w:val="0"/>
          <w:divBdr>
            <w:top w:val="none" w:sz="0" w:space="0" w:color="auto"/>
            <w:left w:val="none" w:sz="0" w:space="0" w:color="auto"/>
            <w:bottom w:val="none" w:sz="0" w:space="0" w:color="auto"/>
            <w:right w:val="none" w:sz="0" w:space="0" w:color="auto"/>
          </w:divBdr>
        </w:div>
        <w:div w:id="294156369">
          <w:marLeft w:val="0"/>
          <w:marRight w:val="0"/>
          <w:marTop w:val="0"/>
          <w:marBottom w:val="0"/>
          <w:divBdr>
            <w:top w:val="none" w:sz="0" w:space="0" w:color="auto"/>
            <w:left w:val="none" w:sz="0" w:space="0" w:color="auto"/>
            <w:bottom w:val="none" w:sz="0" w:space="0" w:color="auto"/>
            <w:right w:val="none" w:sz="0" w:space="0" w:color="auto"/>
          </w:divBdr>
        </w:div>
        <w:div w:id="294156370">
          <w:marLeft w:val="0"/>
          <w:marRight w:val="0"/>
          <w:marTop w:val="0"/>
          <w:marBottom w:val="0"/>
          <w:divBdr>
            <w:top w:val="none" w:sz="0" w:space="0" w:color="auto"/>
            <w:left w:val="none" w:sz="0" w:space="0" w:color="auto"/>
            <w:bottom w:val="none" w:sz="0" w:space="0" w:color="auto"/>
            <w:right w:val="none" w:sz="0" w:space="0" w:color="auto"/>
          </w:divBdr>
        </w:div>
        <w:div w:id="294156382">
          <w:marLeft w:val="0"/>
          <w:marRight w:val="0"/>
          <w:marTop w:val="0"/>
          <w:marBottom w:val="0"/>
          <w:divBdr>
            <w:top w:val="none" w:sz="0" w:space="0" w:color="auto"/>
            <w:left w:val="none" w:sz="0" w:space="0" w:color="auto"/>
            <w:bottom w:val="none" w:sz="0" w:space="0" w:color="auto"/>
            <w:right w:val="none" w:sz="0" w:space="0" w:color="auto"/>
          </w:divBdr>
        </w:div>
        <w:div w:id="294156624">
          <w:marLeft w:val="0"/>
          <w:marRight w:val="0"/>
          <w:marTop w:val="0"/>
          <w:marBottom w:val="0"/>
          <w:divBdr>
            <w:top w:val="none" w:sz="0" w:space="0" w:color="auto"/>
            <w:left w:val="none" w:sz="0" w:space="0" w:color="auto"/>
            <w:bottom w:val="none" w:sz="0" w:space="0" w:color="auto"/>
            <w:right w:val="none" w:sz="0" w:space="0" w:color="auto"/>
          </w:divBdr>
        </w:div>
        <w:div w:id="294156848">
          <w:marLeft w:val="0"/>
          <w:marRight w:val="0"/>
          <w:marTop w:val="0"/>
          <w:marBottom w:val="0"/>
          <w:divBdr>
            <w:top w:val="none" w:sz="0" w:space="0" w:color="auto"/>
            <w:left w:val="none" w:sz="0" w:space="0" w:color="auto"/>
            <w:bottom w:val="none" w:sz="0" w:space="0" w:color="auto"/>
            <w:right w:val="none" w:sz="0" w:space="0" w:color="auto"/>
          </w:divBdr>
        </w:div>
        <w:div w:id="294156902">
          <w:marLeft w:val="0"/>
          <w:marRight w:val="0"/>
          <w:marTop w:val="0"/>
          <w:marBottom w:val="0"/>
          <w:divBdr>
            <w:top w:val="none" w:sz="0" w:space="0" w:color="auto"/>
            <w:left w:val="none" w:sz="0" w:space="0" w:color="auto"/>
            <w:bottom w:val="none" w:sz="0" w:space="0" w:color="auto"/>
            <w:right w:val="none" w:sz="0" w:space="0" w:color="auto"/>
          </w:divBdr>
        </w:div>
        <w:div w:id="294156938">
          <w:marLeft w:val="0"/>
          <w:marRight w:val="0"/>
          <w:marTop w:val="0"/>
          <w:marBottom w:val="0"/>
          <w:divBdr>
            <w:top w:val="none" w:sz="0" w:space="0" w:color="auto"/>
            <w:left w:val="none" w:sz="0" w:space="0" w:color="auto"/>
            <w:bottom w:val="none" w:sz="0" w:space="0" w:color="auto"/>
            <w:right w:val="none" w:sz="0" w:space="0" w:color="auto"/>
          </w:divBdr>
        </w:div>
        <w:div w:id="294157022">
          <w:marLeft w:val="0"/>
          <w:marRight w:val="0"/>
          <w:marTop w:val="0"/>
          <w:marBottom w:val="0"/>
          <w:divBdr>
            <w:top w:val="none" w:sz="0" w:space="0" w:color="auto"/>
            <w:left w:val="none" w:sz="0" w:space="0" w:color="auto"/>
            <w:bottom w:val="none" w:sz="0" w:space="0" w:color="auto"/>
            <w:right w:val="none" w:sz="0" w:space="0" w:color="auto"/>
          </w:divBdr>
        </w:div>
        <w:div w:id="294157051">
          <w:marLeft w:val="0"/>
          <w:marRight w:val="0"/>
          <w:marTop w:val="0"/>
          <w:marBottom w:val="0"/>
          <w:divBdr>
            <w:top w:val="none" w:sz="0" w:space="0" w:color="auto"/>
            <w:left w:val="none" w:sz="0" w:space="0" w:color="auto"/>
            <w:bottom w:val="none" w:sz="0" w:space="0" w:color="auto"/>
            <w:right w:val="none" w:sz="0" w:space="0" w:color="auto"/>
          </w:divBdr>
        </w:div>
        <w:div w:id="294157136">
          <w:marLeft w:val="0"/>
          <w:marRight w:val="0"/>
          <w:marTop w:val="0"/>
          <w:marBottom w:val="0"/>
          <w:divBdr>
            <w:top w:val="none" w:sz="0" w:space="0" w:color="auto"/>
            <w:left w:val="none" w:sz="0" w:space="0" w:color="auto"/>
            <w:bottom w:val="none" w:sz="0" w:space="0" w:color="auto"/>
            <w:right w:val="none" w:sz="0" w:space="0" w:color="auto"/>
          </w:divBdr>
        </w:div>
        <w:div w:id="294157295">
          <w:marLeft w:val="0"/>
          <w:marRight w:val="0"/>
          <w:marTop w:val="0"/>
          <w:marBottom w:val="0"/>
          <w:divBdr>
            <w:top w:val="none" w:sz="0" w:space="0" w:color="auto"/>
            <w:left w:val="none" w:sz="0" w:space="0" w:color="auto"/>
            <w:bottom w:val="none" w:sz="0" w:space="0" w:color="auto"/>
            <w:right w:val="none" w:sz="0" w:space="0" w:color="auto"/>
          </w:divBdr>
        </w:div>
        <w:div w:id="294157369">
          <w:marLeft w:val="0"/>
          <w:marRight w:val="0"/>
          <w:marTop w:val="0"/>
          <w:marBottom w:val="0"/>
          <w:divBdr>
            <w:top w:val="none" w:sz="0" w:space="0" w:color="auto"/>
            <w:left w:val="none" w:sz="0" w:space="0" w:color="auto"/>
            <w:bottom w:val="none" w:sz="0" w:space="0" w:color="auto"/>
            <w:right w:val="none" w:sz="0" w:space="0" w:color="auto"/>
          </w:divBdr>
        </w:div>
        <w:div w:id="294157480">
          <w:marLeft w:val="0"/>
          <w:marRight w:val="0"/>
          <w:marTop w:val="0"/>
          <w:marBottom w:val="0"/>
          <w:divBdr>
            <w:top w:val="none" w:sz="0" w:space="0" w:color="auto"/>
            <w:left w:val="none" w:sz="0" w:space="0" w:color="auto"/>
            <w:bottom w:val="none" w:sz="0" w:space="0" w:color="auto"/>
            <w:right w:val="none" w:sz="0" w:space="0" w:color="auto"/>
          </w:divBdr>
        </w:div>
      </w:divsChild>
    </w:div>
    <w:div w:id="294140295">
      <w:marLeft w:val="0"/>
      <w:marRight w:val="0"/>
      <w:marTop w:val="0"/>
      <w:marBottom w:val="0"/>
      <w:divBdr>
        <w:top w:val="none" w:sz="0" w:space="0" w:color="auto"/>
        <w:left w:val="none" w:sz="0" w:space="0" w:color="auto"/>
        <w:bottom w:val="none" w:sz="0" w:space="0" w:color="auto"/>
        <w:right w:val="none" w:sz="0" w:space="0" w:color="auto"/>
      </w:divBdr>
    </w:div>
    <w:div w:id="294140303">
      <w:marLeft w:val="0"/>
      <w:marRight w:val="0"/>
      <w:marTop w:val="0"/>
      <w:marBottom w:val="0"/>
      <w:divBdr>
        <w:top w:val="none" w:sz="0" w:space="0" w:color="auto"/>
        <w:left w:val="none" w:sz="0" w:space="0" w:color="auto"/>
        <w:bottom w:val="none" w:sz="0" w:space="0" w:color="auto"/>
        <w:right w:val="none" w:sz="0" w:space="0" w:color="auto"/>
      </w:divBdr>
    </w:div>
    <w:div w:id="294140369">
      <w:marLeft w:val="0"/>
      <w:marRight w:val="0"/>
      <w:marTop w:val="0"/>
      <w:marBottom w:val="0"/>
      <w:divBdr>
        <w:top w:val="none" w:sz="0" w:space="0" w:color="auto"/>
        <w:left w:val="none" w:sz="0" w:space="0" w:color="auto"/>
        <w:bottom w:val="none" w:sz="0" w:space="0" w:color="auto"/>
        <w:right w:val="none" w:sz="0" w:space="0" w:color="auto"/>
      </w:divBdr>
    </w:div>
    <w:div w:id="294140426">
      <w:marLeft w:val="0"/>
      <w:marRight w:val="0"/>
      <w:marTop w:val="0"/>
      <w:marBottom w:val="0"/>
      <w:divBdr>
        <w:top w:val="none" w:sz="0" w:space="0" w:color="auto"/>
        <w:left w:val="none" w:sz="0" w:space="0" w:color="auto"/>
        <w:bottom w:val="none" w:sz="0" w:space="0" w:color="auto"/>
        <w:right w:val="none" w:sz="0" w:space="0" w:color="auto"/>
      </w:divBdr>
      <w:divsChild>
        <w:div w:id="294143665">
          <w:marLeft w:val="0"/>
          <w:marRight w:val="0"/>
          <w:marTop w:val="0"/>
          <w:marBottom w:val="0"/>
          <w:divBdr>
            <w:top w:val="none" w:sz="0" w:space="0" w:color="auto"/>
            <w:left w:val="none" w:sz="0" w:space="0" w:color="auto"/>
            <w:bottom w:val="none" w:sz="0" w:space="0" w:color="auto"/>
            <w:right w:val="none" w:sz="0" w:space="0" w:color="auto"/>
          </w:divBdr>
          <w:divsChild>
            <w:div w:id="294150261">
              <w:marLeft w:val="0"/>
              <w:marRight w:val="0"/>
              <w:marTop w:val="0"/>
              <w:marBottom w:val="0"/>
              <w:divBdr>
                <w:top w:val="none" w:sz="0" w:space="0" w:color="auto"/>
                <w:left w:val="none" w:sz="0" w:space="0" w:color="auto"/>
                <w:bottom w:val="none" w:sz="0" w:space="0" w:color="auto"/>
                <w:right w:val="none" w:sz="0" w:space="0" w:color="auto"/>
              </w:divBdr>
              <w:divsChild>
                <w:div w:id="294137988">
                  <w:marLeft w:val="0"/>
                  <w:marRight w:val="0"/>
                  <w:marTop w:val="0"/>
                  <w:marBottom w:val="0"/>
                  <w:divBdr>
                    <w:top w:val="none" w:sz="0" w:space="0" w:color="auto"/>
                    <w:left w:val="none" w:sz="0" w:space="0" w:color="auto"/>
                    <w:bottom w:val="none" w:sz="0" w:space="0" w:color="auto"/>
                    <w:right w:val="none" w:sz="0" w:space="0" w:color="auto"/>
                  </w:divBdr>
                </w:div>
                <w:div w:id="294138083">
                  <w:marLeft w:val="0"/>
                  <w:marRight w:val="0"/>
                  <w:marTop w:val="0"/>
                  <w:marBottom w:val="0"/>
                  <w:divBdr>
                    <w:top w:val="none" w:sz="0" w:space="0" w:color="auto"/>
                    <w:left w:val="none" w:sz="0" w:space="0" w:color="auto"/>
                    <w:bottom w:val="none" w:sz="0" w:space="0" w:color="auto"/>
                    <w:right w:val="none" w:sz="0" w:space="0" w:color="auto"/>
                  </w:divBdr>
                </w:div>
                <w:div w:id="294138222">
                  <w:marLeft w:val="0"/>
                  <w:marRight w:val="0"/>
                  <w:marTop w:val="0"/>
                  <w:marBottom w:val="0"/>
                  <w:divBdr>
                    <w:top w:val="none" w:sz="0" w:space="0" w:color="auto"/>
                    <w:left w:val="none" w:sz="0" w:space="0" w:color="auto"/>
                    <w:bottom w:val="none" w:sz="0" w:space="0" w:color="auto"/>
                    <w:right w:val="none" w:sz="0" w:space="0" w:color="auto"/>
                  </w:divBdr>
                </w:div>
                <w:div w:id="294138300">
                  <w:marLeft w:val="0"/>
                  <w:marRight w:val="0"/>
                  <w:marTop w:val="0"/>
                  <w:marBottom w:val="0"/>
                  <w:divBdr>
                    <w:top w:val="none" w:sz="0" w:space="0" w:color="auto"/>
                    <w:left w:val="none" w:sz="0" w:space="0" w:color="auto"/>
                    <w:bottom w:val="none" w:sz="0" w:space="0" w:color="auto"/>
                    <w:right w:val="none" w:sz="0" w:space="0" w:color="auto"/>
                  </w:divBdr>
                </w:div>
                <w:div w:id="294138601">
                  <w:marLeft w:val="0"/>
                  <w:marRight w:val="0"/>
                  <w:marTop w:val="0"/>
                  <w:marBottom w:val="0"/>
                  <w:divBdr>
                    <w:top w:val="none" w:sz="0" w:space="0" w:color="auto"/>
                    <w:left w:val="none" w:sz="0" w:space="0" w:color="auto"/>
                    <w:bottom w:val="none" w:sz="0" w:space="0" w:color="auto"/>
                    <w:right w:val="none" w:sz="0" w:space="0" w:color="auto"/>
                  </w:divBdr>
                </w:div>
                <w:div w:id="294138683">
                  <w:marLeft w:val="0"/>
                  <w:marRight w:val="0"/>
                  <w:marTop w:val="0"/>
                  <w:marBottom w:val="0"/>
                  <w:divBdr>
                    <w:top w:val="none" w:sz="0" w:space="0" w:color="auto"/>
                    <w:left w:val="none" w:sz="0" w:space="0" w:color="auto"/>
                    <w:bottom w:val="none" w:sz="0" w:space="0" w:color="auto"/>
                    <w:right w:val="none" w:sz="0" w:space="0" w:color="auto"/>
                  </w:divBdr>
                </w:div>
                <w:div w:id="294138716">
                  <w:marLeft w:val="0"/>
                  <w:marRight w:val="0"/>
                  <w:marTop w:val="0"/>
                  <w:marBottom w:val="0"/>
                  <w:divBdr>
                    <w:top w:val="none" w:sz="0" w:space="0" w:color="auto"/>
                    <w:left w:val="none" w:sz="0" w:space="0" w:color="auto"/>
                    <w:bottom w:val="none" w:sz="0" w:space="0" w:color="auto"/>
                    <w:right w:val="none" w:sz="0" w:space="0" w:color="auto"/>
                  </w:divBdr>
                </w:div>
                <w:div w:id="294138745">
                  <w:marLeft w:val="0"/>
                  <w:marRight w:val="0"/>
                  <w:marTop w:val="0"/>
                  <w:marBottom w:val="0"/>
                  <w:divBdr>
                    <w:top w:val="none" w:sz="0" w:space="0" w:color="auto"/>
                    <w:left w:val="none" w:sz="0" w:space="0" w:color="auto"/>
                    <w:bottom w:val="none" w:sz="0" w:space="0" w:color="auto"/>
                    <w:right w:val="none" w:sz="0" w:space="0" w:color="auto"/>
                  </w:divBdr>
                </w:div>
                <w:div w:id="294139038">
                  <w:marLeft w:val="0"/>
                  <w:marRight w:val="0"/>
                  <w:marTop w:val="0"/>
                  <w:marBottom w:val="0"/>
                  <w:divBdr>
                    <w:top w:val="none" w:sz="0" w:space="0" w:color="auto"/>
                    <w:left w:val="none" w:sz="0" w:space="0" w:color="auto"/>
                    <w:bottom w:val="none" w:sz="0" w:space="0" w:color="auto"/>
                    <w:right w:val="none" w:sz="0" w:space="0" w:color="auto"/>
                  </w:divBdr>
                </w:div>
                <w:div w:id="294139498">
                  <w:marLeft w:val="0"/>
                  <w:marRight w:val="0"/>
                  <w:marTop w:val="0"/>
                  <w:marBottom w:val="0"/>
                  <w:divBdr>
                    <w:top w:val="none" w:sz="0" w:space="0" w:color="auto"/>
                    <w:left w:val="none" w:sz="0" w:space="0" w:color="auto"/>
                    <w:bottom w:val="none" w:sz="0" w:space="0" w:color="auto"/>
                    <w:right w:val="none" w:sz="0" w:space="0" w:color="auto"/>
                  </w:divBdr>
                </w:div>
                <w:div w:id="294139726">
                  <w:marLeft w:val="0"/>
                  <w:marRight w:val="0"/>
                  <w:marTop w:val="0"/>
                  <w:marBottom w:val="0"/>
                  <w:divBdr>
                    <w:top w:val="none" w:sz="0" w:space="0" w:color="auto"/>
                    <w:left w:val="none" w:sz="0" w:space="0" w:color="auto"/>
                    <w:bottom w:val="none" w:sz="0" w:space="0" w:color="auto"/>
                    <w:right w:val="none" w:sz="0" w:space="0" w:color="auto"/>
                  </w:divBdr>
                </w:div>
                <w:div w:id="294139763">
                  <w:marLeft w:val="0"/>
                  <w:marRight w:val="0"/>
                  <w:marTop w:val="0"/>
                  <w:marBottom w:val="0"/>
                  <w:divBdr>
                    <w:top w:val="none" w:sz="0" w:space="0" w:color="auto"/>
                    <w:left w:val="none" w:sz="0" w:space="0" w:color="auto"/>
                    <w:bottom w:val="none" w:sz="0" w:space="0" w:color="auto"/>
                    <w:right w:val="none" w:sz="0" w:space="0" w:color="auto"/>
                  </w:divBdr>
                </w:div>
                <w:div w:id="294139770">
                  <w:marLeft w:val="0"/>
                  <w:marRight w:val="0"/>
                  <w:marTop w:val="0"/>
                  <w:marBottom w:val="0"/>
                  <w:divBdr>
                    <w:top w:val="none" w:sz="0" w:space="0" w:color="auto"/>
                    <w:left w:val="none" w:sz="0" w:space="0" w:color="auto"/>
                    <w:bottom w:val="none" w:sz="0" w:space="0" w:color="auto"/>
                    <w:right w:val="none" w:sz="0" w:space="0" w:color="auto"/>
                  </w:divBdr>
                </w:div>
                <w:div w:id="294139925">
                  <w:marLeft w:val="0"/>
                  <w:marRight w:val="0"/>
                  <w:marTop w:val="0"/>
                  <w:marBottom w:val="0"/>
                  <w:divBdr>
                    <w:top w:val="none" w:sz="0" w:space="0" w:color="auto"/>
                    <w:left w:val="none" w:sz="0" w:space="0" w:color="auto"/>
                    <w:bottom w:val="none" w:sz="0" w:space="0" w:color="auto"/>
                    <w:right w:val="none" w:sz="0" w:space="0" w:color="auto"/>
                  </w:divBdr>
                </w:div>
                <w:div w:id="294139954">
                  <w:marLeft w:val="0"/>
                  <w:marRight w:val="0"/>
                  <w:marTop w:val="0"/>
                  <w:marBottom w:val="0"/>
                  <w:divBdr>
                    <w:top w:val="none" w:sz="0" w:space="0" w:color="auto"/>
                    <w:left w:val="none" w:sz="0" w:space="0" w:color="auto"/>
                    <w:bottom w:val="none" w:sz="0" w:space="0" w:color="auto"/>
                    <w:right w:val="none" w:sz="0" w:space="0" w:color="auto"/>
                  </w:divBdr>
                </w:div>
                <w:div w:id="294140003">
                  <w:marLeft w:val="0"/>
                  <w:marRight w:val="0"/>
                  <w:marTop w:val="0"/>
                  <w:marBottom w:val="0"/>
                  <w:divBdr>
                    <w:top w:val="none" w:sz="0" w:space="0" w:color="auto"/>
                    <w:left w:val="none" w:sz="0" w:space="0" w:color="auto"/>
                    <w:bottom w:val="none" w:sz="0" w:space="0" w:color="auto"/>
                    <w:right w:val="none" w:sz="0" w:space="0" w:color="auto"/>
                  </w:divBdr>
                </w:div>
                <w:div w:id="294140059">
                  <w:marLeft w:val="0"/>
                  <w:marRight w:val="0"/>
                  <w:marTop w:val="0"/>
                  <w:marBottom w:val="0"/>
                  <w:divBdr>
                    <w:top w:val="none" w:sz="0" w:space="0" w:color="auto"/>
                    <w:left w:val="none" w:sz="0" w:space="0" w:color="auto"/>
                    <w:bottom w:val="none" w:sz="0" w:space="0" w:color="auto"/>
                    <w:right w:val="none" w:sz="0" w:space="0" w:color="auto"/>
                  </w:divBdr>
                </w:div>
                <w:div w:id="294140061">
                  <w:marLeft w:val="0"/>
                  <w:marRight w:val="0"/>
                  <w:marTop w:val="0"/>
                  <w:marBottom w:val="0"/>
                  <w:divBdr>
                    <w:top w:val="none" w:sz="0" w:space="0" w:color="auto"/>
                    <w:left w:val="none" w:sz="0" w:space="0" w:color="auto"/>
                    <w:bottom w:val="none" w:sz="0" w:space="0" w:color="auto"/>
                    <w:right w:val="none" w:sz="0" w:space="0" w:color="auto"/>
                  </w:divBdr>
                </w:div>
                <w:div w:id="294140098">
                  <w:marLeft w:val="0"/>
                  <w:marRight w:val="0"/>
                  <w:marTop w:val="0"/>
                  <w:marBottom w:val="0"/>
                  <w:divBdr>
                    <w:top w:val="none" w:sz="0" w:space="0" w:color="auto"/>
                    <w:left w:val="none" w:sz="0" w:space="0" w:color="auto"/>
                    <w:bottom w:val="none" w:sz="0" w:space="0" w:color="auto"/>
                    <w:right w:val="none" w:sz="0" w:space="0" w:color="auto"/>
                  </w:divBdr>
                </w:div>
                <w:div w:id="294140154">
                  <w:marLeft w:val="0"/>
                  <w:marRight w:val="0"/>
                  <w:marTop w:val="0"/>
                  <w:marBottom w:val="0"/>
                  <w:divBdr>
                    <w:top w:val="none" w:sz="0" w:space="0" w:color="auto"/>
                    <w:left w:val="none" w:sz="0" w:space="0" w:color="auto"/>
                    <w:bottom w:val="none" w:sz="0" w:space="0" w:color="auto"/>
                    <w:right w:val="none" w:sz="0" w:space="0" w:color="auto"/>
                  </w:divBdr>
                </w:div>
                <w:div w:id="294140239">
                  <w:marLeft w:val="0"/>
                  <w:marRight w:val="0"/>
                  <w:marTop w:val="0"/>
                  <w:marBottom w:val="0"/>
                  <w:divBdr>
                    <w:top w:val="none" w:sz="0" w:space="0" w:color="auto"/>
                    <w:left w:val="none" w:sz="0" w:space="0" w:color="auto"/>
                    <w:bottom w:val="none" w:sz="0" w:space="0" w:color="auto"/>
                    <w:right w:val="none" w:sz="0" w:space="0" w:color="auto"/>
                  </w:divBdr>
                </w:div>
                <w:div w:id="294140247">
                  <w:marLeft w:val="0"/>
                  <w:marRight w:val="0"/>
                  <w:marTop w:val="0"/>
                  <w:marBottom w:val="0"/>
                  <w:divBdr>
                    <w:top w:val="none" w:sz="0" w:space="0" w:color="auto"/>
                    <w:left w:val="none" w:sz="0" w:space="0" w:color="auto"/>
                    <w:bottom w:val="none" w:sz="0" w:space="0" w:color="auto"/>
                    <w:right w:val="none" w:sz="0" w:space="0" w:color="auto"/>
                  </w:divBdr>
                </w:div>
                <w:div w:id="294140512">
                  <w:marLeft w:val="0"/>
                  <w:marRight w:val="0"/>
                  <w:marTop w:val="0"/>
                  <w:marBottom w:val="0"/>
                  <w:divBdr>
                    <w:top w:val="none" w:sz="0" w:space="0" w:color="auto"/>
                    <w:left w:val="none" w:sz="0" w:space="0" w:color="auto"/>
                    <w:bottom w:val="none" w:sz="0" w:space="0" w:color="auto"/>
                    <w:right w:val="none" w:sz="0" w:space="0" w:color="auto"/>
                  </w:divBdr>
                </w:div>
                <w:div w:id="294140773">
                  <w:marLeft w:val="0"/>
                  <w:marRight w:val="0"/>
                  <w:marTop w:val="0"/>
                  <w:marBottom w:val="0"/>
                  <w:divBdr>
                    <w:top w:val="none" w:sz="0" w:space="0" w:color="auto"/>
                    <w:left w:val="none" w:sz="0" w:space="0" w:color="auto"/>
                    <w:bottom w:val="none" w:sz="0" w:space="0" w:color="auto"/>
                    <w:right w:val="none" w:sz="0" w:space="0" w:color="auto"/>
                  </w:divBdr>
                </w:div>
                <w:div w:id="294140925">
                  <w:marLeft w:val="0"/>
                  <w:marRight w:val="0"/>
                  <w:marTop w:val="0"/>
                  <w:marBottom w:val="0"/>
                  <w:divBdr>
                    <w:top w:val="none" w:sz="0" w:space="0" w:color="auto"/>
                    <w:left w:val="none" w:sz="0" w:space="0" w:color="auto"/>
                    <w:bottom w:val="none" w:sz="0" w:space="0" w:color="auto"/>
                    <w:right w:val="none" w:sz="0" w:space="0" w:color="auto"/>
                  </w:divBdr>
                </w:div>
                <w:div w:id="294141198">
                  <w:marLeft w:val="0"/>
                  <w:marRight w:val="0"/>
                  <w:marTop w:val="0"/>
                  <w:marBottom w:val="0"/>
                  <w:divBdr>
                    <w:top w:val="none" w:sz="0" w:space="0" w:color="auto"/>
                    <w:left w:val="none" w:sz="0" w:space="0" w:color="auto"/>
                    <w:bottom w:val="none" w:sz="0" w:space="0" w:color="auto"/>
                    <w:right w:val="none" w:sz="0" w:space="0" w:color="auto"/>
                  </w:divBdr>
                </w:div>
                <w:div w:id="294141324">
                  <w:marLeft w:val="0"/>
                  <w:marRight w:val="0"/>
                  <w:marTop w:val="0"/>
                  <w:marBottom w:val="0"/>
                  <w:divBdr>
                    <w:top w:val="none" w:sz="0" w:space="0" w:color="auto"/>
                    <w:left w:val="none" w:sz="0" w:space="0" w:color="auto"/>
                    <w:bottom w:val="none" w:sz="0" w:space="0" w:color="auto"/>
                    <w:right w:val="none" w:sz="0" w:space="0" w:color="auto"/>
                  </w:divBdr>
                </w:div>
                <w:div w:id="294141557">
                  <w:marLeft w:val="0"/>
                  <w:marRight w:val="0"/>
                  <w:marTop w:val="0"/>
                  <w:marBottom w:val="0"/>
                  <w:divBdr>
                    <w:top w:val="none" w:sz="0" w:space="0" w:color="auto"/>
                    <w:left w:val="none" w:sz="0" w:space="0" w:color="auto"/>
                    <w:bottom w:val="none" w:sz="0" w:space="0" w:color="auto"/>
                    <w:right w:val="none" w:sz="0" w:space="0" w:color="auto"/>
                  </w:divBdr>
                </w:div>
                <w:div w:id="294141608">
                  <w:marLeft w:val="0"/>
                  <w:marRight w:val="0"/>
                  <w:marTop w:val="0"/>
                  <w:marBottom w:val="0"/>
                  <w:divBdr>
                    <w:top w:val="none" w:sz="0" w:space="0" w:color="auto"/>
                    <w:left w:val="none" w:sz="0" w:space="0" w:color="auto"/>
                    <w:bottom w:val="none" w:sz="0" w:space="0" w:color="auto"/>
                    <w:right w:val="none" w:sz="0" w:space="0" w:color="auto"/>
                  </w:divBdr>
                </w:div>
                <w:div w:id="294141897">
                  <w:marLeft w:val="0"/>
                  <w:marRight w:val="0"/>
                  <w:marTop w:val="0"/>
                  <w:marBottom w:val="0"/>
                  <w:divBdr>
                    <w:top w:val="none" w:sz="0" w:space="0" w:color="auto"/>
                    <w:left w:val="none" w:sz="0" w:space="0" w:color="auto"/>
                    <w:bottom w:val="none" w:sz="0" w:space="0" w:color="auto"/>
                    <w:right w:val="none" w:sz="0" w:space="0" w:color="auto"/>
                  </w:divBdr>
                </w:div>
                <w:div w:id="294141926">
                  <w:marLeft w:val="0"/>
                  <w:marRight w:val="0"/>
                  <w:marTop w:val="0"/>
                  <w:marBottom w:val="0"/>
                  <w:divBdr>
                    <w:top w:val="none" w:sz="0" w:space="0" w:color="auto"/>
                    <w:left w:val="none" w:sz="0" w:space="0" w:color="auto"/>
                    <w:bottom w:val="none" w:sz="0" w:space="0" w:color="auto"/>
                    <w:right w:val="none" w:sz="0" w:space="0" w:color="auto"/>
                  </w:divBdr>
                </w:div>
                <w:div w:id="294142020">
                  <w:marLeft w:val="0"/>
                  <w:marRight w:val="0"/>
                  <w:marTop w:val="0"/>
                  <w:marBottom w:val="0"/>
                  <w:divBdr>
                    <w:top w:val="none" w:sz="0" w:space="0" w:color="auto"/>
                    <w:left w:val="none" w:sz="0" w:space="0" w:color="auto"/>
                    <w:bottom w:val="none" w:sz="0" w:space="0" w:color="auto"/>
                    <w:right w:val="none" w:sz="0" w:space="0" w:color="auto"/>
                  </w:divBdr>
                </w:div>
                <w:div w:id="294142093">
                  <w:marLeft w:val="0"/>
                  <w:marRight w:val="0"/>
                  <w:marTop w:val="0"/>
                  <w:marBottom w:val="0"/>
                  <w:divBdr>
                    <w:top w:val="none" w:sz="0" w:space="0" w:color="auto"/>
                    <w:left w:val="none" w:sz="0" w:space="0" w:color="auto"/>
                    <w:bottom w:val="none" w:sz="0" w:space="0" w:color="auto"/>
                    <w:right w:val="none" w:sz="0" w:space="0" w:color="auto"/>
                  </w:divBdr>
                </w:div>
                <w:div w:id="294142138">
                  <w:marLeft w:val="0"/>
                  <w:marRight w:val="0"/>
                  <w:marTop w:val="0"/>
                  <w:marBottom w:val="0"/>
                  <w:divBdr>
                    <w:top w:val="none" w:sz="0" w:space="0" w:color="auto"/>
                    <w:left w:val="none" w:sz="0" w:space="0" w:color="auto"/>
                    <w:bottom w:val="none" w:sz="0" w:space="0" w:color="auto"/>
                    <w:right w:val="none" w:sz="0" w:space="0" w:color="auto"/>
                  </w:divBdr>
                </w:div>
                <w:div w:id="294142295">
                  <w:marLeft w:val="0"/>
                  <w:marRight w:val="0"/>
                  <w:marTop w:val="0"/>
                  <w:marBottom w:val="0"/>
                  <w:divBdr>
                    <w:top w:val="none" w:sz="0" w:space="0" w:color="auto"/>
                    <w:left w:val="none" w:sz="0" w:space="0" w:color="auto"/>
                    <w:bottom w:val="none" w:sz="0" w:space="0" w:color="auto"/>
                    <w:right w:val="none" w:sz="0" w:space="0" w:color="auto"/>
                  </w:divBdr>
                </w:div>
                <w:div w:id="294142354">
                  <w:marLeft w:val="0"/>
                  <w:marRight w:val="0"/>
                  <w:marTop w:val="0"/>
                  <w:marBottom w:val="0"/>
                  <w:divBdr>
                    <w:top w:val="none" w:sz="0" w:space="0" w:color="auto"/>
                    <w:left w:val="none" w:sz="0" w:space="0" w:color="auto"/>
                    <w:bottom w:val="none" w:sz="0" w:space="0" w:color="auto"/>
                    <w:right w:val="none" w:sz="0" w:space="0" w:color="auto"/>
                  </w:divBdr>
                </w:div>
                <w:div w:id="294142397">
                  <w:marLeft w:val="0"/>
                  <w:marRight w:val="0"/>
                  <w:marTop w:val="0"/>
                  <w:marBottom w:val="0"/>
                  <w:divBdr>
                    <w:top w:val="none" w:sz="0" w:space="0" w:color="auto"/>
                    <w:left w:val="none" w:sz="0" w:space="0" w:color="auto"/>
                    <w:bottom w:val="none" w:sz="0" w:space="0" w:color="auto"/>
                    <w:right w:val="none" w:sz="0" w:space="0" w:color="auto"/>
                  </w:divBdr>
                </w:div>
                <w:div w:id="294142548">
                  <w:marLeft w:val="0"/>
                  <w:marRight w:val="0"/>
                  <w:marTop w:val="0"/>
                  <w:marBottom w:val="0"/>
                  <w:divBdr>
                    <w:top w:val="none" w:sz="0" w:space="0" w:color="auto"/>
                    <w:left w:val="none" w:sz="0" w:space="0" w:color="auto"/>
                    <w:bottom w:val="none" w:sz="0" w:space="0" w:color="auto"/>
                    <w:right w:val="none" w:sz="0" w:space="0" w:color="auto"/>
                  </w:divBdr>
                </w:div>
                <w:div w:id="294142602">
                  <w:marLeft w:val="0"/>
                  <w:marRight w:val="0"/>
                  <w:marTop w:val="0"/>
                  <w:marBottom w:val="0"/>
                  <w:divBdr>
                    <w:top w:val="none" w:sz="0" w:space="0" w:color="auto"/>
                    <w:left w:val="none" w:sz="0" w:space="0" w:color="auto"/>
                    <w:bottom w:val="none" w:sz="0" w:space="0" w:color="auto"/>
                    <w:right w:val="none" w:sz="0" w:space="0" w:color="auto"/>
                  </w:divBdr>
                </w:div>
                <w:div w:id="294142641">
                  <w:marLeft w:val="0"/>
                  <w:marRight w:val="0"/>
                  <w:marTop w:val="0"/>
                  <w:marBottom w:val="0"/>
                  <w:divBdr>
                    <w:top w:val="none" w:sz="0" w:space="0" w:color="auto"/>
                    <w:left w:val="none" w:sz="0" w:space="0" w:color="auto"/>
                    <w:bottom w:val="none" w:sz="0" w:space="0" w:color="auto"/>
                    <w:right w:val="none" w:sz="0" w:space="0" w:color="auto"/>
                  </w:divBdr>
                </w:div>
                <w:div w:id="294142670">
                  <w:marLeft w:val="0"/>
                  <w:marRight w:val="0"/>
                  <w:marTop w:val="0"/>
                  <w:marBottom w:val="0"/>
                  <w:divBdr>
                    <w:top w:val="none" w:sz="0" w:space="0" w:color="auto"/>
                    <w:left w:val="none" w:sz="0" w:space="0" w:color="auto"/>
                    <w:bottom w:val="none" w:sz="0" w:space="0" w:color="auto"/>
                    <w:right w:val="none" w:sz="0" w:space="0" w:color="auto"/>
                  </w:divBdr>
                </w:div>
                <w:div w:id="294142831">
                  <w:marLeft w:val="0"/>
                  <w:marRight w:val="0"/>
                  <w:marTop w:val="0"/>
                  <w:marBottom w:val="0"/>
                  <w:divBdr>
                    <w:top w:val="none" w:sz="0" w:space="0" w:color="auto"/>
                    <w:left w:val="none" w:sz="0" w:space="0" w:color="auto"/>
                    <w:bottom w:val="none" w:sz="0" w:space="0" w:color="auto"/>
                    <w:right w:val="none" w:sz="0" w:space="0" w:color="auto"/>
                  </w:divBdr>
                </w:div>
                <w:div w:id="294142906">
                  <w:marLeft w:val="0"/>
                  <w:marRight w:val="0"/>
                  <w:marTop w:val="0"/>
                  <w:marBottom w:val="0"/>
                  <w:divBdr>
                    <w:top w:val="none" w:sz="0" w:space="0" w:color="auto"/>
                    <w:left w:val="none" w:sz="0" w:space="0" w:color="auto"/>
                    <w:bottom w:val="none" w:sz="0" w:space="0" w:color="auto"/>
                    <w:right w:val="none" w:sz="0" w:space="0" w:color="auto"/>
                  </w:divBdr>
                </w:div>
                <w:div w:id="294143111">
                  <w:marLeft w:val="0"/>
                  <w:marRight w:val="0"/>
                  <w:marTop w:val="0"/>
                  <w:marBottom w:val="0"/>
                  <w:divBdr>
                    <w:top w:val="none" w:sz="0" w:space="0" w:color="auto"/>
                    <w:left w:val="none" w:sz="0" w:space="0" w:color="auto"/>
                    <w:bottom w:val="none" w:sz="0" w:space="0" w:color="auto"/>
                    <w:right w:val="none" w:sz="0" w:space="0" w:color="auto"/>
                  </w:divBdr>
                </w:div>
                <w:div w:id="294143471">
                  <w:marLeft w:val="0"/>
                  <w:marRight w:val="0"/>
                  <w:marTop w:val="0"/>
                  <w:marBottom w:val="0"/>
                  <w:divBdr>
                    <w:top w:val="none" w:sz="0" w:space="0" w:color="auto"/>
                    <w:left w:val="none" w:sz="0" w:space="0" w:color="auto"/>
                    <w:bottom w:val="none" w:sz="0" w:space="0" w:color="auto"/>
                    <w:right w:val="none" w:sz="0" w:space="0" w:color="auto"/>
                  </w:divBdr>
                </w:div>
                <w:div w:id="294143531">
                  <w:marLeft w:val="0"/>
                  <w:marRight w:val="0"/>
                  <w:marTop w:val="0"/>
                  <w:marBottom w:val="0"/>
                  <w:divBdr>
                    <w:top w:val="none" w:sz="0" w:space="0" w:color="auto"/>
                    <w:left w:val="none" w:sz="0" w:space="0" w:color="auto"/>
                    <w:bottom w:val="none" w:sz="0" w:space="0" w:color="auto"/>
                    <w:right w:val="none" w:sz="0" w:space="0" w:color="auto"/>
                  </w:divBdr>
                </w:div>
                <w:div w:id="294143651">
                  <w:marLeft w:val="0"/>
                  <w:marRight w:val="0"/>
                  <w:marTop w:val="0"/>
                  <w:marBottom w:val="0"/>
                  <w:divBdr>
                    <w:top w:val="none" w:sz="0" w:space="0" w:color="auto"/>
                    <w:left w:val="none" w:sz="0" w:space="0" w:color="auto"/>
                    <w:bottom w:val="none" w:sz="0" w:space="0" w:color="auto"/>
                    <w:right w:val="none" w:sz="0" w:space="0" w:color="auto"/>
                  </w:divBdr>
                </w:div>
                <w:div w:id="294143687">
                  <w:marLeft w:val="0"/>
                  <w:marRight w:val="0"/>
                  <w:marTop w:val="0"/>
                  <w:marBottom w:val="0"/>
                  <w:divBdr>
                    <w:top w:val="none" w:sz="0" w:space="0" w:color="auto"/>
                    <w:left w:val="none" w:sz="0" w:space="0" w:color="auto"/>
                    <w:bottom w:val="none" w:sz="0" w:space="0" w:color="auto"/>
                    <w:right w:val="none" w:sz="0" w:space="0" w:color="auto"/>
                  </w:divBdr>
                </w:div>
                <w:div w:id="294143812">
                  <w:marLeft w:val="0"/>
                  <w:marRight w:val="0"/>
                  <w:marTop w:val="0"/>
                  <w:marBottom w:val="0"/>
                  <w:divBdr>
                    <w:top w:val="none" w:sz="0" w:space="0" w:color="auto"/>
                    <w:left w:val="none" w:sz="0" w:space="0" w:color="auto"/>
                    <w:bottom w:val="none" w:sz="0" w:space="0" w:color="auto"/>
                    <w:right w:val="none" w:sz="0" w:space="0" w:color="auto"/>
                  </w:divBdr>
                </w:div>
                <w:div w:id="294143844">
                  <w:marLeft w:val="0"/>
                  <w:marRight w:val="0"/>
                  <w:marTop w:val="0"/>
                  <w:marBottom w:val="0"/>
                  <w:divBdr>
                    <w:top w:val="none" w:sz="0" w:space="0" w:color="auto"/>
                    <w:left w:val="none" w:sz="0" w:space="0" w:color="auto"/>
                    <w:bottom w:val="none" w:sz="0" w:space="0" w:color="auto"/>
                    <w:right w:val="none" w:sz="0" w:space="0" w:color="auto"/>
                  </w:divBdr>
                </w:div>
                <w:div w:id="294143934">
                  <w:marLeft w:val="0"/>
                  <w:marRight w:val="0"/>
                  <w:marTop w:val="0"/>
                  <w:marBottom w:val="0"/>
                  <w:divBdr>
                    <w:top w:val="none" w:sz="0" w:space="0" w:color="auto"/>
                    <w:left w:val="none" w:sz="0" w:space="0" w:color="auto"/>
                    <w:bottom w:val="none" w:sz="0" w:space="0" w:color="auto"/>
                    <w:right w:val="none" w:sz="0" w:space="0" w:color="auto"/>
                  </w:divBdr>
                </w:div>
                <w:div w:id="294144174">
                  <w:marLeft w:val="0"/>
                  <w:marRight w:val="0"/>
                  <w:marTop w:val="0"/>
                  <w:marBottom w:val="0"/>
                  <w:divBdr>
                    <w:top w:val="none" w:sz="0" w:space="0" w:color="auto"/>
                    <w:left w:val="none" w:sz="0" w:space="0" w:color="auto"/>
                    <w:bottom w:val="none" w:sz="0" w:space="0" w:color="auto"/>
                    <w:right w:val="none" w:sz="0" w:space="0" w:color="auto"/>
                  </w:divBdr>
                </w:div>
                <w:div w:id="294144259">
                  <w:marLeft w:val="0"/>
                  <w:marRight w:val="0"/>
                  <w:marTop w:val="0"/>
                  <w:marBottom w:val="0"/>
                  <w:divBdr>
                    <w:top w:val="none" w:sz="0" w:space="0" w:color="auto"/>
                    <w:left w:val="none" w:sz="0" w:space="0" w:color="auto"/>
                    <w:bottom w:val="none" w:sz="0" w:space="0" w:color="auto"/>
                    <w:right w:val="none" w:sz="0" w:space="0" w:color="auto"/>
                  </w:divBdr>
                </w:div>
                <w:div w:id="294144512">
                  <w:marLeft w:val="0"/>
                  <w:marRight w:val="0"/>
                  <w:marTop w:val="0"/>
                  <w:marBottom w:val="0"/>
                  <w:divBdr>
                    <w:top w:val="none" w:sz="0" w:space="0" w:color="auto"/>
                    <w:left w:val="none" w:sz="0" w:space="0" w:color="auto"/>
                    <w:bottom w:val="none" w:sz="0" w:space="0" w:color="auto"/>
                    <w:right w:val="none" w:sz="0" w:space="0" w:color="auto"/>
                  </w:divBdr>
                </w:div>
                <w:div w:id="294144540">
                  <w:marLeft w:val="0"/>
                  <w:marRight w:val="0"/>
                  <w:marTop w:val="0"/>
                  <w:marBottom w:val="0"/>
                  <w:divBdr>
                    <w:top w:val="none" w:sz="0" w:space="0" w:color="auto"/>
                    <w:left w:val="none" w:sz="0" w:space="0" w:color="auto"/>
                    <w:bottom w:val="none" w:sz="0" w:space="0" w:color="auto"/>
                    <w:right w:val="none" w:sz="0" w:space="0" w:color="auto"/>
                  </w:divBdr>
                </w:div>
                <w:div w:id="294144798">
                  <w:marLeft w:val="0"/>
                  <w:marRight w:val="0"/>
                  <w:marTop w:val="0"/>
                  <w:marBottom w:val="0"/>
                  <w:divBdr>
                    <w:top w:val="none" w:sz="0" w:space="0" w:color="auto"/>
                    <w:left w:val="none" w:sz="0" w:space="0" w:color="auto"/>
                    <w:bottom w:val="none" w:sz="0" w:space="0" w:color="auto"/>
                    <w:right w:val="none" w:sz="0" w:space="0" w:color="auto"/>
                  </w:divBdr>
                </w:div>
                <w:div w:id="294144929">
                  <w:marLeft w:val="0"/>
                  <w:marRight w:val="0"/>
                  <w:marTop w:val="0"/>
                  <w:marBottom w:val="0"/>
                  <w:divBdr>
                    <w:top w:val="none" w:sz="0" w:space="0" w:color="auto"/>
                    <w:left w:val="none" w:sz="0" w:space="0" w:color="auto"/>
                    <w:bottom w:val="none" w:sz="0" w:space="0" w:color="auto"/>
                    <w:right w:val="none" w:sz="0" w:space="0" w:color="auto"/>
                  </w:divBdr>
                </w:div>
                <w:div w:id="294144933">
                  <w:marLeft w:val="0"/>
                  <w:marRight w:val="0"/>
                  <w:marTop w:val="0"/>
                  <w:marBottom w:val="0"/>
                  <w:divBdr>
                    <w:top w:val="none" w:sz="0" w:space="0" w:color="auto"/>
                    <w:left w:val="none" w:sz="0" w:space="0" w:color="auto"/>
                    <w:bottom w:val="none" w:sz="0" w:space="0" w:color="auto"/>
                    <w:right w:val="none" w:sz="0" w:space="0" w:color="auto"/>
                  </w:divBdr>
                </w:div>
                <w:div w:id="294144976">
                  <w:marLeft w:val="0"/>
                  <w:marRight w:val="0"/>
                  <w:marTop w:val="0"/>
                  <w:marBottom w:val="0"/>
                  <w:divBdr>
                    <w:top w:val="none" w:sz="0" w:space="0" w:color="auto"/>
                    <w:left w:val="none" w:sz="0" w:space="0" w:color="auto"/>
                    <w:bottom w:val="none" w:sz="0" w:space="0" w:color="auto"/>
                    <w:right w:val="none" w:sz="0" w:space="0" w:color="auto"/>
                  </w:divBdr>
                </w:div>
                <w:div w:id="294145002">
                  <w:marLeft w:val="0"/>
                  <w:marRight w:val="0"/>
                  <w:marTop w:val="0"/>
                  <w:marBottom w:val="0"/>
                  <w:divBdr>
                    <w:top w:val="none" w:sz="0" w:space="0" w:color="auto"/>
                    <w:left w:val="none" w:sz="0" w:space="0" w:color="auto"/>
                    <w:bottom w:val="none" w:sz="0" w:space="0" w:color="auto"/>
                    <w:right w:val="none" w:sz="0" w:space="0" w:color="auto"/>
                  </w:divBdr>
                </w:div>
                <w:div w:id="294145333">
                  <w:marLeft w:val="0"/>
                  <w:marRight w:val="0"/>
                  <w:marTop w:val="0"/>
                  <w:marBottom w:val="0"/>
                  <w:divBdr>
                    <w:top w:val="none" w:sz="0" w:space="0" w:color="auto"/>
                    <w:left w:val="none" w:sz="0" w:space="0" w:color="auto"/>
                    <w:bottom w:val="none" w:sz="0" w:space="0" w:color="auto"/>
                    <w:right w:val="none" w:sz="0" w:space="0" w:color="auto"/>
                  </w:divBdr>
                </w:div>
                <w:div w:id="294145657">
                  <w:marLeft w:val="0"/>
                  <w:marRight w:val="0"/>
                  <w:marTop w:val="0"/>
                  <w:marBottom w:val="0"/>
                  <w:divBdr>
                    <w:top w:val="none" w:sz="0" w:space="0" w:color="auto"/>
                    <w:left w:val="none" w:sz="0" w:space="0" w:color="auto"/>
                    <w:bottom w:val="none" w:sz="0" w:space="0" w:color="auto"/>
                    <w:right w:val="none" w:sz="0" w:space="0" w:color="auto"/>
                  </w:divBdr>
                </w:div>
                <w:div w:id="294145765">
                  <w:marLeft w:val="0"/>
                  <w:marRight w:val="0"/>
                  <w:marTop w:val="0"/>
                  <w:marBottom w:val="0"/>
                  <w:divBdr>
                    <w:top w:val="none" w:sz="0" w:space="0" w:color="auto"/>
                    <w:left w:val="none" w:sz="0" w:space="0" w:color="auto"/>
                    <w:bottom w:val="none" w:sz="0" w:space="0" w:color="auto"/>
                    <w:right w:val="none" w:sz="0" w:space="0" w:color="auto"/>
                  </w:divBdr>
                </w:div>
                <w:div w:id="294145858">
                  <w:marLeft w:val="0"/>
                  <w:marRight w:val="0"/>
                  <w:marTop w:val="0"/>
                  <w:marBottom w:val="0"/>
                  <w:divBdr>
                    <w:top w:val="none" w:sz="0" w:space="0" w:color="auto"/>
                    <w:left w:val="none" w:sz="0" w:space="0" w:color="auto"/>
                    <w:bottom w:val="none" w:sz="0" w:space="0" w:color="auto"/>
                    <w:right w:val="none" w:sz="0" w:space="0" w:color="auto"/>
                  </w:divBdr>
                </w:div>
                <w:div w:id="294145930">
                  <w:marLeft w:val="0"/>
                  <w:marRight w:val="0"/>
                  <w:marTop w:val="0"/>
                  <w:marBottom w:val="0"/>
                  <w:divBdr>
                    <w:top w:val="none" w:sz="0" w:space="0" w:color="auto"/>
                    <w:left w:val="none" w:sz="0" w:space="0" w:color="auto"/>
                    <w:bottom w:val="none" w:sz="0" w:space="0" w:color="auto"/>
                    <w:right w:val="none" w:sz="0" w:space="0" w:color="auto"/>
                  </w:divBdr>
                </w:div>
                <w:div w:id="294146139">
                  <w:marLeft w:val="0"/>
                  <w:marRight w:val="0"/>
                  <w:marTop w:val="0"/>
                  <w:marBottom w:val="0"/>
                  <w:divBdr>
                    <w:top w:val="none" w:sz="0" w:space="0" w:color="auto"/>
                    <w:left w:val="none" w:sz="0" w:space="0" w:color="auto"/>
                    <w:bottom w:val="none" w:sz="0" w:space="0" w:color="auto"/>
                    <w:right w:val="none" w:sz="0" w:space="0" w:color="auto"/>
                  </w:divBdr>
                </w:div>
                <w:div w:id="294146617">
                  <w:marLeft w:val="0"/>
                  <w:marRight w:val="0"/>
                  <w:marTop w:val="0"/>
                  <w:marBottom w:val="0"/>
                  <w:divBdr>
                    <w:top w:val="none" w:sz="0" w:space="0" w:color="auto"/>
                    <w:left w:val="none" w:sz="0" w:space="0" w:color="auto"/>
                    <w:bottom w:val="none" w:sz="0" w:space="0" w:color="auto"/>
                    <w:right w:val="none" w:sz="0" w:space="0" w:color="auto"/>
                  </w:divBdr>
                </w:div>
                <w:div w:id="294146731">
                  <w:marLeft w:val="0"/>
                  <w:marRight w:val="0"/>
                  <w:marTop w:val="0"/>
                  <w:marBottom w:val="0"/>
                  <w:divBdr>
                    <w:top w:val="none" w:sz="0" w:space="0" w:color="auto"/>
                    <w:left w:val="none" w:sz="0" w:space="0" w:color="auto"/>
                    <w:bottom w:val="none" w:sz="0" w:space="0" w:color="auto"/>
                    <w:right w:val="none" w:sz="0" w:space="0" w:color="auto"/>
                  </w:divBdr>
                </w:div>
                <w:div w:id="294146732">
                  <w:marLeft w:val="0"/>
                  <w:marRight w:val="0"/>
                  <w:marTop w:val="0"/>
                  <w:marBottom w:val="0"/>
                  <w:divBdr>
                    <w:top w:val="none" w:sz="0" w:space="0" w:color="auto"/>
                    <w:left w:val="none" w:sz="0" w:space="0" w:color="auto"/>
                    <w:bottom w:val="none" w:sz="0" w:space="0" w:color="auto"/>
                    <w:right w:val="none" w:sz="0" w:space="0" w:color="auto"/>
                  </w:divBdr>
                </w:div>
                <w:div w:id="294146982">
                  <w:marLeft w:val="0"/>
                  <w:marRight w:val="0"/>
                  <w:marTop w:val="0"/>
                  <w:marBottom w:val="0"/>
                  <w:divBdr>
                    <w:top w:val="none" w:sz="0" w:space="0" w:color="auto"/>
                    <w:left w:val="none" w:sz="0" w:space="0" w:color="auto"/>
                    <w:bottom w:val="none" w:sz="0" w:space="0" w:color="auto"/>
                    <w:right w:val="none" w:sz="0" w:space="0" w:color="auto"/>
                  </w:divBdr>
                </w:div>
                <w:div w:id="294147293">
                  <w:marLeft w:val="0"/>
                  <w:marRight w:val="0"/>
                  <w:marTop w:val="0"/>
                  <w:marBottom w:val="0"/>
                  <w:divBdr>
                    <w:top w:val="none" w:sz="0" w:space="0" w:color="auto"/>
                    <w:left w:val="none" w:sz="0" w:space="0" w:color="auto"/>
                    <w:bottom w:val="none" w:sz="0" w:space="0" w:color="auto"/>
                    <w:right w:val="none" w:sz="0" w:space="0" w:color="auto"/>
                  </w:divBdr>
                </w:div>
                <w:div w:id="294147391">
                  <w:marLeft w:val="0"/>
                  <w:marRight w:val="0"/>
                  <w:marTop w:val="0"/>
                  <w:marBottom w:val="0"/>
                  <w:divBdr>
                    <w:top w:val="none" w:sz="0" w:space="0" w:color="auto"/>
                    <w:left w:val="none" w:sz="0" w:space="0" w:color="auto"/>
                    <w:bottom w:val="none" w:sz="0" w:space="0" w:color="auto"/>
                    <w:right w:val="none" w:sz="0" w:space="0" w:color="auto"/>
                  </w:divBdr>
                </w:div>
                <w:div w:id="294147635">
                  <w:marLeft w:val="0"/>
                  <w:marRight w:val="0"/>
                  <w:marTop w:val="0"/>
                  <w:marBottom w:val="0"/>
                  <w:divBdr>
                    <w:top w:val="none" w:sz="0" w:space="0" w:color="auto"/>
                    <w:left w:val="none" w:sz="0" w:space="0" w:color="auto"/>
                    <w:bottom w:val="none" w:sz="0" w:space="0" w:color="auto"/>
                    <w:right w:val="none" w:sz="0" w:space="0" w:color="auto"/>
                  </w:divBdr>
                </w:div>
                <w:div w:id="294147986">
                  <w:marLeft w:val="0"/>
                  <w:marRight w:val="0"/>
                  <w:marTop w:val="0"/>
                  <w:marBottom w:val="0"/>
                  <w:divBdr>
                    <w:top w:val="none" w:sz="0" w:space="0" w:color="auto"/>
                    <w:left w:val="none" w:sz="0" w:space="0" w:color="auto"/>
                    <w:bottom w:val="none" w:sz="0" w:space="0" w:color="auto"/>
                    <w:right w:val="none" w:sz="0" w:space="0" w:color="auto"/>
                  </w:divBdr>
                </w:div>
                <w:div w:id="294148090">
                  <w:marLeft w:val="0"/>
                  <w:marRight w:val="0"/>
                  <w:marTop w:val="0"/>
                  <w:marBottom w:val="0"/>
                  <w:divBdr>
                    <w:top w:val="none" w:sz="0" w:space="0" w:color="auto"/>
                    <w:left w:val="none" w:sz="0" w:space="0" w:color="auto"/>
                    <w:bottom w:val="none" w:sz="0" w:space="0" w:color="auto"/>
                    <w:right w:val="none" w:sz="0" w:space="0" w:color="auto"/>
                  </w:divBdr>
                </w:div>
                <w:div w:id="294148147">
                  <w:marLeft w:val="0"/>
                  <w:marRight w:val="0"/>
                  <w:marTop w:val="0"/>
                  <w:marBottom w:val="0"/>
                  <w:divBdr>
                    <w:top w:val="none" w:sz="0" w:space="0" w:color="auto"/>
                    <w:left w:val="none" w:sz="0" w:space="0" w:color="auto"/>
                    <w:bottom w:val="none" w:sz="0" w:space="0" w:color="auto"/>
                    <w:right w:val="none" w:sz="0" w:space="0" w:color="auto"/>
                  </w:divBdr>
                </w:div>
                <w:div w:id="294148307">
                  <w:marLeft w:val="0"/>
                  <w:marRight w:val="0"/>
                  <w:marTop w:val="0"/>
                  <w:marBottom w:val="0"/>
                  <w:divBdr>
                    <w:top w:val="none" w:sz="0" w:space="0" w:color="auto"/>
                    <w:left w:val="none" w:sz="0" w:space="0" w:color="auto"/>
                    <w:bottom w:val="none" w:sz="0" w:space="0" w:color="auto"/>
                    <w:right w:val="none" w:sz="0" w:space="0" w:color="auto"/>
                  </w:divBdr>
                </w:div>
                <w:div w:id="294148519">
                  <w:marLeft w:val="0"/>
                  <w:marRight w:val="0"/>
                  <w:marTop w:val="0"/>
                  <w:marBottom w:val="0"/>
                  <w:divBdr>
                    <w:top w:val="none" w:sz="0" w:space="0" w:color="auto"/>
                    <w:left w:val="none" w:sz="0" w:space="0" w:color="auto"/>
                    <w:bottom w:val="none" w:sz="0" w:space="0" w:color="auto"/>
                    <w:right w:val="none" w:sz="0" w:space="0" w:color="auto"/>
                  </w:divBdr>
                </w:div>
                <w:div w:id="294148573">
                  <w:marLeft w:val="0"/>
                  <w:marRight w:val="0"/>
                  <w:marTop w:val="0"/>
                  <w:marBottom w:val="0"/>
                  <w:divBdr>
                    <w:top w:val="none" w:sz="0" w:space="0" w:color="auto"/>
                    <w:left w:val="none" w:sz="0" w:space="0" w:color="auto"/>
                    <w:bottom w:val="none" w:sz="0" w:space="0" w:color="auto"/>
                    <w:right w:val="none" w:sz="0" w:space="0" w:color="auto"/>
                  </w:divBdr>
                </w:div>
                <w:div w:id="294148597">
                  <w:marLeft w:val="0"/>
                  <w:marRight w:val="0"/>
                  <w:marTop w:val="0"/>
                  <w:marBottom w:val="0"/>
                  <w:divBdr>
                    <w:top w:val="none" w:sz="0" w:space="0" w:color="auto"/>
                    <w:left w:val="none" w:sz="0" w:space="0" w:color="auto"/>
                    <w:bottom w:val="none" w:sz="0" w:space="0" w:color="auto"/>
                    <w:right w:val="none" w:sz="0" w:space="0" w:color="auto"/>
                  </w:divBdr>
                </w:div>
                <w:div w:id="294148603">
                  <w:marLeft w:val="0"/>
                  <w:marRight w:val="0"/>
                  <w:marTop w:val="0"/>
                  <w:marBottom w:val="0"/>
                  <w:divBdr>
                    <w:top w:val="none" w:sz="0" w:space="0" w:color="auto"/>
                    <w:left w:val="none" w:sz="0" w:space="0" w:color="auto"/>
                    <w:bottom w:val="none" w:sz="0" w:space="0" w:color="auto"/>
                    <w:right w:val="none" w:sz="0" w:space="0" w:color="auto"/>
                  </w:divBdr>
                </w:div>
                <w:div w:id="294148662">
                  <w:marLeft w:val="0"/>
                  <w:marRight w:val="0"/>
                  <w:marTop w:val="0"/>
                  <w:marBottom w:val="0"/>
                  <w:divBdr>
                    <w:top w:val="none" w:sz="0" w:space="0" w:color="auto"/>
                    <w:left w:val="none" w:sz="0" w:space="0" w:color="auto"/>
                    <w:bottom w:val="none" w:sz="0" w:space="0" w:color="auto"/>
                    <w:right w:val="none" w:sz="0" w:space="0" w:color="auto"/>
                  </w:divBdr>
                </w:div>
                <w:div w:id="294148803">
                  <w:marLeft w:val="0"/>
                  <w:marRight w:val="0"/>
                  <w:marTop w:val="0"/>
                  <w:marBottom w:val="0"/>
                  <w:divBdr>
                    <w:top w:val="none" w:sz="0" w:space="0" w:color="auto"/>
                    <w:left w:val="none" w:sz="0" w:space="0" w:color="auto"/>
                    <w:bottom w:val="none" w:sz="0" w:space="0" w:color="auto"/>
                    <w:right w:val="none" w:sz="0" w:space="0" w:color="auto"/>
                  </w:divBdr>
                </w:div>
                <w:div w:id="294148869">
                  <w:marLeft w:val="0"/>
                  <w:marRight w:val="0"/>
                  <w:marTop w:val="0"/>
                  <w:marBottom w:val="0"/>
                  <w:divBdr>
                    <w:top w:val="none" w:sz="0" w:space="0" w:color="auto"/>
                    <w:left w:val="none" w:sz="0" w:space="0" w:color="auto"/>
                    <w:bottom w:val="none" w:sz="0" w:space="0" w:color="auto"/>
                    <w:right w:val="none" w:sz="0" w:space="0" w:color="auto"/>
                  </w:divBdr>
                </w:div>
                <w:div w:id="294149074">
                  <w:marLeft w:val="0"/>
                  <w:marRight w:val="0"/>
                  <w:marTop w:val="0"/>
                  <w:marBottom w:val="0"/>
                  <w:divBdr>
                    <w:top w:val="none" w:sz="0" w:space="0" w:color="auto"/>
                    <w:left w:val="none" w:sz="0" w:space="0" w:color="auto"/>
                    <w:bottom w:val="none" w:sz="0" w:space="0" w:color="auto"/>
                    <w:right w:val="none" w:sz="0" w:space="0" w:color="auto"/>
                  </w:divBdr>
                </w:div>
                <w:div w:id="294149084">
                  <w:marLeft w:val="0"/>
                  <w:marRight w:val="0"/>
                  <w:marTop w:val="0"/>
                  <w:marBottom w:val="0"/>
                  <w:divBdr>
                    <w:top w:val="none" w:sz="0" w:space="0" w:color="auto"/>
                    <w:left w:val="none" w:sz="0" w:space="0" w:color="auto"/>
                    <w:bottom w:val="none" w:sz="0" w:space="0" w:color="auto"/>
                    <w:right w:val="none" w:sz="0" w:space="0" w:color="auto"/>
                  </w:divBdr>
                </w:div>
                <w:div w:id="294149128">
                  <w:marLeft w:val="0"/>
                  <w:marRight w:val="0"/>
                  <w:marTop w:val="0"/>
                  <w:marBottom w:val="0"/>
                  <w:divBdr>
                    <w:top w:val="none" w:sz="0" w:space="0" w:color="auto"/>
                    <w:left w:val="none" w:sz="0" w:space="0" w:color="auto"/>
                    <w:bottom w:val="none" w:sz="0" w:space="0" w:color="auto"/>
                    <w:right w:val="none" w:sz="0" w:space="0" w:color="auto"/>
                  </w:divBdr>
                </w:div>
                <w:div w:id="294149196">
                  <w:marLeft w:val="0"/>
                  <w:marRight w:val="0"/>
                  <w:marTop w:val="0"/>
                  <w:marBottom w:val="0"/>
                  <w:divBdr>
                    <w:top w:val="none" w:sz="0" w:space="0" w:color="auto"/>
                    <w:left w:val="none" w:sz="0" w:space="0" w:color="auto"/>
                    <w:bottom w:val="none" w:sz="0" w:space="0" w:color="auto"/>
                    <w:right w:val="none" w:sz="0" w:space="0" w:color="auto"/>
                  </w:divBdr>
                </w:div>
                <w:div w:id="294149262">
                  <w:marLeft w:val="0"/>
                  <w:marRight w:val="0"/>
                  <w:marTop w:val="0"/>
                  <w:marBottom w:val="0"/>
                  <w:divBdr>
                    <w:top w:val="none" w:sz="0" w:space="0" w:color="auto"/>
                    <w:left w:val="none" w:sz="0" w:space="0" w:color="auto"/>
                    <w:bottom w:val="none" w:sz="0" w:space="0" w:color="auto"/>
                    <w:right w:val="none" w:sz="0" w:space="0" w:color="auto"/>
                  </w:divBdr>
                </w:div>
                <w:div w:id="294149366">
                  <w:marLeft w:val="0"/>
                  <w:marRight w:val="0"/>
                  <w:marTop w:val="0"/>
                  <w:marBottom w:val="0"/>
                  <w:divBdr>
                    <w:top w:val="none" w:sz="0" w:space="0" w:color="auto"/>
                    <w:left w:val="none" w:sz="0" w:space="0" w:color="auto"/>
                    <w:bottom w:val="none" w:sz="0" w:space="0" w:color="auto"/>
                    <w:right w:val="none" w:sz="0" w:space="0" w:color="auto"/>
                  </w:divBdr>
                </w:div>
                <w:div w:id="294149416">
                  <w:marLeft w:val="0"/>
                  <w:marRight w:val="0"/>
                  <w:marTop w:val="0"/>
                  <w:marBottom w:val="0"/>
                  <w:divBdr>
                    <w:top w:val="none" w:sz="0" w:space="0" w:color="auto"/>
                    <w:left w:val="none" w:sz="0" w:space="0" w:color="auto"/>
                    <w:bottom w:val="none" w:sz="0" w:space="0" w:color="auto"/>
                    <w:right w:val="none" w:sz="0" w:space="0" w:color="auto"/>
                  </w:divBdr>
                </w:div>
                <w:div w:id="294149436">
                  <w:marLeft w:val="0"/>
                  <w:marRight w:val="0"/>
                  <w:marTop w:val="0"/>
                  <w:marBottom w:val="0"/>
                  <w:divBdr>
                    <w:top w:val="none" w:sz="0" w:space="0" w:color="auto"/>
                    <w:left w:val="none" w:sz="0" w:space="0" w:color="auto"/>
                    <w:bottom w:val="none" w:sz="0" w:space="0" w:color="auto"/>
                    <w:right w:val="none" w:sz="0" w:space="0" w:color="auto"/>
                  </w:divBdr>
                </w:div>
                <w:div w:id="294149497">
                  <w:marLeft w:val="0"/>
                  <w:marRight w:val="0"/>
                  <w:marTop w:val="0"/>
                  <w:marBottom w:val="0"/>
                  <w:divBdr>
                    <w:top w:val="none" w:sz="0" w:space="0" w:color="auto"/>
                    <w:left w:val="none" w:sz="0" w:space="0" w:color="auto"/>
                    <w:bottom w:val="none" w:sz="0" w:space="0" w:color="auto"/>
                    <w:right w:val="none" w:sz="0" w:space="0" w:color="auto"/>
                  </w:divBdr>
                </w:div>
                <w:div w:id="294149530">
                  <w:marLeft w:val="0"/>
                  <w:marRight w:val="0"/>
                  <w:marTop w:val="0"/>
                  <w:marBottom w:val="0"/>
                  <w:divBdr>
                    <w:top w:val="none" w:sz="0" w:space="0" w:color="auto"/>
                    <w:left w:val="none" w:sz="0" w:space="0" w:color="auto"/>
                    <w:bottom w:val="none" w:sz="0" w:space="0" w:color="auto"/>
                    <w:right w:val="none" w:sz="0" w:space="0" w:color="auto"/>
                  </w:divBdr>
                </w:div>
                <w:div w:id="294149764">
                  <w:marLeft w:val="0"/>
                  <w:marRight w:val="0"/>
                  <w:marTop w:val="0"/>
                  <w:marBottom w:val="0"/>
                  <w:divBdr>
                    <w:top w:val="none" w:sz="0" w:space="0" w:color="auto"/>
                    <w:left w:val="none" w:sz="0" w:space="0" w:color="auto"/>
                    <w:bottom w:val="none" w:sz="0" w:space="0" w:color="auto"/>
                    <w:right w:val="none" w:sz="0" w:space="0" w:color="auto"/>
                  </w:divBdr>
                </w:div>
                <w:div w:id="294149986">
                  <w:marLeft w:val="0"/>
                  <w:marRight w:val="0"/>
                  <w:marTop w:val="0"/>
                  <w:marBottom w:val="0"/>
                  <w:divBdr>
                    <w:top w:val="none" w:sz="0" w:space="0" w:color="auto"/>
                    <w:left w:val="none" w:sz="0" w:space="0" w:color="auto"/>
                    <w:bottom w:val="none" w:sz="0" w:space="0" w:color="auto"/>
                    <w:right w:val="none" w:sz="0" w:space="0" w:color="auto"/>
                  </w:divBdr>
                </w:div>
                <w:div w:id="294150247">
                  <w:marLeft w:val="0"/>
                  <w:marRight w:val="0"/>
                  <w:marTop w:val="0"/>
                  <w:marBottom w:val="0"/>
                  <w:divBdr>
                    <w:top w:val="none" w:sz="0" w:space="0" w:color="auto"/>
                    <w:left w:val="none" w:sz="0" w:space="0" w:color="auto"/>
                    <w:bottom w:val="none" w:sz="0" w:space="0" w:color="auto"/>
                    <w:right w:val="none" w:sz="0" w:space="0" w:color="auto"/>
                  </w:divBdr>
                </w:div>
                <w:div w:id="294150290">
                  <w:marLeft w:val="0"/>
                  <w:marRight w:val="0"/>
                  <w:marTop w:val="0"/>
                  <w:marBottom w:val="0"/>
                  <w:divBdr>
                    <w:top w:val="none" w:sz="0" w:space="0" w:color="auto"/>
                    <w:left w:val="none" w:sz="0" w:space="0" w:color="auto"/>
                    <w:bottom w:val="none" w:sz="0" w:space="0" w:color="auto"/>
                    <w:right w:val="none" w:sz="0" w:space="0" w:color="auto"/>
                  </w:divBdr>
                </w:div>
                <w:div w:id="294150413">
                  <w:marLeft w:val="0"/>
                  <w:marRight w:val="0"/>
                  <w:marTop w:val="0"/>
                  <w:marBottom w:val="0"/>
                  <w:divBdr>
                    <w:top w:val="none" w:sz="0" w:space="0" w:color="auto"/>
                    <w:left w:val="none" w:sz="0" w:space="0" w:color="auto"/>
                    <w:bottom w:val="none" w:sz="0" w:space="0" w:color="auto"/>
                    <w:right w:val="none" w:sz="0" w:space="0" w:color="auto"/>
                  </w:divBdr>
                </w:div>
                <w:div w:id="294150556">
                  <w:marLeft w:val="0"/>
                  <w:marRight w:val="0"/>
                  <w:marTop w:val="0"/>
                  <w:marBottom w:val="0"/>
                  <w:divBdr>
                    <w:top w:val="none" w:sz="0" w:space="0" w:color="auto"/>
                    <w:left w:val="none" w:sz="0" w:space="0" w:color="auto"/>
                    <w:bottom w:val="none" w:sz="0" w:space="0" w:color="auto"/>
                    <w:right w:val="none" w:sz="0" w:space="0" w:color="auto"/>
                  </w:divBdr>
                </w:div>
                <w:div w:id="294150801">
                  <w:marLeft w:val="0"/>
                  <w:marRight w:val="0"/>
                  <w:marTop w:val="0"/>
                  <w:marBottom w:val="0"/>
                  <w:divBdr>
                    <w:top w:val="none" w:sz="0" w:space="0" w:color="auto"/>
                    <w:left w:val="none" w:sz="0" w:space="0" w:color="auto"/>
                    <w:bottom w:val="none" w:sz="0" w:space="0" w:color="auto"/>
                    <w:right w:val="none" w:sz="0" w:space="0" w:color="auto"/>
                  </w:divBdr>
                </w:div>
                <w:div w:id="294150808">
                  <w:marLeft w:val="0"/>
                  <w:marRight w:val="0"/>
                  <w:marTop w:val="0"/>
                  <w:marBottom w:val="0"/>
                  <w:divBdr>
                    <w:top w:val="none" w:sz="0" w:space="0" w:color="auto"/>
                    <w:left w:val="none" w:sz="0" w:space="0" w:color="auto"/>
                    <w:bottom w:val="none" w:sz="0" w:space="0" w:color="auto"/>
                    <w:right w:val="none" w:sz="0" w:space="0" w:color="auto"/>
                  </w:divBdr>
                </w:div>
                <w:div w:id="294151014">
                  <w:marLeft w:val="0"/>
                  <w:marRight w:val="0"/>
                  <w:marTop w:val="0"/>
                  <w:marBottom w:val="0"/>
                  <w:divBdr>
                    <w:top w:val="none" w:sz="0" w:space="0" w:color="auto"/>
                    <w:left w:val="none" w:sz="0" w:space="0" w:color="auto"/>
                    <w:bottom w:val="none" w:sz="0" w:space="0" w:color="auto"/>
                    <w:right w:val="none" w:sz="0" w:space="0" w:color="auto"/>
                  </w:divBdr>
                </w:div>
                <w:div w:id="294151025">
                  <w:marLeft w:val="0"/>
                  <w:marRight w:val="0"/>
                  <w:marTop w:val="0"/>
                  <w:marBottom w:val="0"/>
                  <w:divBdr>
                    <w:top w:val="none" w:sz="0" w:space="0" w:color="auto"/>
                    <w:left w:val="none" w:sz="0" w:space="0" w:color="auto"/>
                    <w:bottom w:val="none" w:sz="0" w:space="0" w:color="auto"/>
                    <w:right w:val="none" w:sz="0" w:space="0" w:color="auto"/>
                  </w:divBdr>
                </w:div>
                <w:div w:id="294151263">
                  <w:marLeft w:val="0"/>
                  <w:marRight w:val="0"/>
                  <w:marTop w:val="0"/>
                  <w:marBottom w:val="0"/>
                  <w:divBdr>
                    <w:top w:val="none" w:sz="0" w:space="0" w:color="auto"/>
                    <w:left w:val="none" w:sz="0" w:space="0" w:color="auto"/>
                    <w:bottom w:val="none" w:sz="0" w:space="0" w:color="auto"/>
                    <w:right w:val="none" w:sz="0" w:space="0" w:color="auto"/>
                  </w:divBdr>
                </w:div>
                <w:div w:id="294151383">
                  <w:marLeft w:val="0"/>
                  <w:marRight w:val="0"/>
                  <w:marTop w:val="0"/>
                  <w:marBottom w:val="0"/>
                  <w:divBdr>
                    <w:top w:val="none" w:sz="0" w:space="0" w:color="auto"/>
                    <w:left w:val="none" w:sz="0" w:space="0" w:color="auto"/>
                    <w:bottom w:val="none" w:sz="0" w:space="0" w:color="auto"/>
                    <w:right w:val="none" w:sz="0" w:space="0" w:color="auto"/>
                  </w:divBdr>
                </w:div>
                <w:div w:id="294151807">
                  <w:marLeft w:val="0"/>
                  <w:marRight w:val="0"/>
                  <w:marTop w:val="0"/>
                  <w:marBottom w:val="0"/>
                  <w:divBdr>
                    <w:top w:val="none" w:sz="0" w:space="0" w:color="auto"/>
                    <w:left w:val="none" w:sz="0" w:space="0" w:color="auto"/>
                    <w:bottom w:val="none" w:sz="0" w:space="0" w:color="auto"/>
                    <w:right w:val="none" w:sz="0" w:space="0" w:color="auto"/>
                  </w:divBdr>
                </w:div>
                <w:div w:id="294151863">
                  <w:marLeft w:val="0"/>
                  <w:marRight w:val="0"/>
                  <w:marTop w:val="0"/>
                  <w:marBottom w:val="0"/>
                  <w:divBdr>
                    <w:top w:val="none" w:sz="0" w:space="0" w:color="auto"/>
                    <w:left w:val="none" w:sz="0" w:space="0" w:color="auto"/>
                    <w:bottom w:val="none" w:sz="0" w:space="0" w:color="auto"/>
                    <w:right w:val="none" w:sz="0" w:space="0" w:color="auto"/>
                  </w:divBdr>
                </w:div>
                <w:div w:id="294151919">
                  <w:marLeft w:val="0"/>
                  <w:marRight w:val="0"/>
                  <w:marTop w:val="0"/>
                  <w:marBottom w:val="0"/>
                  <w:divBdr>
                    <w:top w:val="none" w:sz="0" w:space="0" w:color="auto"/>
                    <w:left w:val="none" w:sz="0" w:space="0" w:color="auto"/>
                    <w:bottom w:val="none" w:sz="0" w:space="0" w:color="auto"/>
                    <w:right w:val="none" w:sz="0" w:space="0" w:color="auto"/>
                  </w:divBdr>
                </w:div>
                <w:div w:id="294151997">
                  <w:marLeft w:val="0"/>
                  <w:marRight w:val="0"/>
                  <w:marTop w:val="0"/>
                  <w:marBottom w:val="0"/>
                  <w:divBdr>
                    <w:top w:val="none" w:sz="0" w:space="0" w:color="auto"/>
                    <w:left w:val="none" w:sz="0" w:space="0" w:color="auto"/>
                    <w:bottom w:val="none" w:sz="0" w:space="0" w:color="auto"/>
                    <w:right w:val="none" w:sz="0" w:space="0" w:color="auto"/>
                  </w:divBdr>
                </w:div>
                <w:div w:id="294152033">
                  <w:marLeft w:val="0"/>
                  <w:marRight w:val="0"/>
                  <w:marTop w:val="0"/>
                  <w:marBottom w:val="0"/>
                  <w:divBdr>
                    <w:top w:val="none" w:sz="0" w:space="0" w:color="auto"/>
                    <w:left w:val="none" w:sz="0" w:space="0" w:color="auto"/>
                    <w:bottom w:val="none" w:sz="0" w:space="0" w:color="auto"/>
                    <w:right w:val="none" w:sz="0" w:space="0" w:color="auto"/>
                  </w:divBdr>
                </w:div>
                <w:div w:id="294152093">
                  <w:marLeft w:val="0"/>
                  <w:marRight w:val="0"/>
                  <w:marTop w:val="0"/>
                  <w:marBottom w:val="0"/>
                  <w:divBdr>
                    <w:top w:val="none" w:sz="0" w:space="0" w:color="auto"/>
                    <w:left w:val="none" w:sz="0" w:space="0" w:color="auto"/>
                    <w:bottom w:val="none" w:sz="0" w:space="0" w:color="auto"/>
                    <w:right w:val="none" w:sz="0" w:space="0" w:color="auto"/>
                  </w:divBdr>
                </w:div>
                <w:div w:id="294152135">
                  <w:marLeft w:val="0"/>
                  <w:marRight w:val="0"/>
                  <w:marTop w:val="0"/>
                  <w:marBottom w:val="0"/>
                  <w:divBdr>
                    <w:top w:val="none" w:sz="0" w:space="0" w:color="auto"/>
                    <w:left w:val="none" w:sz="0" w:space="0" w:color="auto"/>
                    <w:bottom w:val="none" w:sz="0" w:space="0" w:color="auto"/>
                    <w:right w:val="none" w:sz="0" w:space="0" w:color="auto"/>
                  </w:divBdr>
                </w:div>
                <w:div w:id="294152231">
                  <w:marLeft w:val="0"/>
                  <w:marRight w:val="0"/>
                  <w:marTop w:val="0"/>
                  <w:marBottom w:val="0"/>
                  <w:divBdr>
                    <w:top w:val="none" w:sz="0" w:space="0" w:color="auto"/>
                    <w:left w:val="none" w:sz="0" w:space="0" w:color="auto"/>
                    <w:bottom w:val="none" w:sz="0" w:space="0" w:color="auto"/>
                    <w:right w:val="none" w:sz="0" w:space="0" w:color="auto"/>
                  </w:divBdr>
                </w:div>
                <w:div w:id="294152457">
                  <w:marLeft w:val="0"/>
                  <w:marRight w:val="0"/>
                  <w:marTop w:val="0"/>
                  <w:marBottom w:val="0"/>
                  <w:divBdr>
                    <w:top w:val="none" w:sz="0" w:space="0" w:color="auto"/>
                    <w:left w:val="none" w:sz="0" w:space="0" w:color="auto"/>
                    <w:bottom w:val="none" w:sz="0" w:space="0" w:color="auto"/>
                    <w:right w:val="none" w:sz="0" w:space="0" w:color="auto"/>
                  </w:divBdr>
                </w:div>
                <w:div w:id="294152730">
                  <w:marLeft w:val="0"/>
                  <w:marRight w:val="0"/>
                  <w:marTop w:val="0"/>
                  <w:marBottom w:val="0"/>
                  <w:divBdr>
                    <w:top w:val="none" w:sz="0" w:space="0" w:color="auto"/>
                    <w:left w:val="none" w:sz="0" w:space="0" w:color="auto"/>
                    <w:bottom w:val="none" w:sz="0" w:space="0" w:color="auto"/>
                    <w:right w:val="none" w:sz="0" w:space="0" w:color="auto"/>
                  </w:divBdr>
                </w:div>
                <w:div w:id="294153137">
                  <w:marLeft w:val="0"/>
                  <w:marRight w:val="0"/>
                  <w:marTop w:val="0"/>
                  <w:marBottom w:val="0"/>
                  <w:divBdr>
                    <w:top w:val="none" w:sz="0" w:space="0" w:color="auto"/>
                    <w:left w:val="none" w:sz="0" w:space="0" w:color="auto"/>
                    <w:bottom w:val="none" w:sz="0" w:space="0" w:color="auto"/>
                    <w:right w:val="none" w:sz="0" w:space="0" w:color="auto"/>
                  </w:divBdr>
                </w:div>
                <w:div w:id="294153720">
                  <w:marLeft w:val="0"/>
                  <w:marRight w:val="0"/>
                  <w:marTop w:val="0"/>
                  <w:marBottom w:val="0"/>
                  <w:divBdr>
                    <w:top w:val="none" w:sz="0" w:space="0" w:color="auto"/>
                    <w:left w:val="none" w:sz="0" w:space="0" w:color="auto"/>
                    <w:bottom w:val="none" w:sz="0" w:space="0" w:color="auto"/>
                    <w:right w:val="none" w:sz="0" w:space="0" w:color="auto"/>
                  </w:divBdr>
                </w:div>
                <w:div w:id="294154122">
                  <w:marLeft w:val="0"/>
                  <w:marRight w:val="0"/>
                  <w:marTop w:val="0"/>
                  <w:marBottom w:val="0"/>
                  <w:divBdr>
                    <w:top w:val="none" w:sz="0" w:space="0" w:color="auto"/>
                    <w:left w:val="none" w:sz="0" w:space="0" w:color="auto"/>
                    <w:bottom w:val="none" w:sz="0" w:space="0" w:color="auto"/>
                    <w:right w:val="none" w:sz="0" w:space="0" w:color="auto"/>
                  </w:divBdr>
                </w:div>
                <w:div w:id="294154175">
                  <w:marLeft w:val="0"/>
                  <w:marRight w:val="0"/>
                  <w:marTop w:val="0"/>
                  <w:marBottom w:val="0"/>
                  <w:divBdr>
                    <w:top w:val="none" w:sz="0" w:space="0" w:color="auto"/>
                    <w:left w:val="none" w:sz="0" w:space="0" w:color="auto"/>
                    <w:bottom w:val="none" w:sz="0" w:space="0" w:color="auto"/>
                    <w:right w:val="none" w:sz="0" w:space="0" w:color="auto"/>
                  </w:divBdr>
                </w:div>
                <w:div w:id="294154271">
                  <w:marLeft w:val="0"/>
                  <w:marRight w:val="0"/>
                  <w:marTop w:val="0"/>
                  <w:marBottom w:val="0"/>
                  <w:divBdr>
                    <w:top w:val="none" w:sz="0" w:space="0" w:color="auto"/>
                    <w:left w:val="none" w:sz="0" w:space="0" w:color="auto"/>
                    <w:bottom w:val="none" w:sz="0" w:space="0" w:color="auto"/>
                    <w:right w:val="none" w:sz="0" w:space="0" w:color="auto"/>
                  </w:divBdr>
                </w:div>
                <w:div w:id="294154292">
                  <w:marLeft w:val="0"/>
                  <w:marRight w:val="0"/>
                  <w:marTop w:val="0"/>
                  <w:marBottom w:val="0"/>
                  <w:divBdr>
                    <w:top w:val="none" w:sz="0" w:space="0" w:color="auto"/>
                    <w:left w:val="none" w:sz="0" w:space="0" w:color="auto"/>
                    <w:bottom w:val="none" w:sz="0" w:space="0" w:color="auto"/>
                    <w:right w:val="none" w:sz="0" w:space="0" w:color="auto"/>
                  </w:divBdr>
                </w:div>
                <w:div w:id="294154447">
                  <w:marLeft w:val="0"/>
                  <w:marRight w:val="0"/>
                  <w:marTop w:val="0"/>
                  <w:marBottom w:val="0"/>
                  <w:divBdr>
                    <w:top w:val="none" w:sz="0" w:space="0" w:color="auto"/>
                    <w:left w:val="none" w:sz="0" w:space="0" w:color="auto"/>
                    <w:bottom w:val="none" w:sz="0" w:space="0" w:color="auto"/>
                    <w:right w:val="none" w:sz="0" w:space="0" w:color="auto"/>
                  </w:divBdr>
                </w:div>
                <w:div w:id="294154525">
                  <w:marLeft w:val="0"/>
                  <w:marRight w:val="0"/>
                  <w:marTop w:val="0"/>
                  <w:marBottom w:val="0"/>
                  <w:divBdr>
                    <w:top w:val="none" w:sz="0" w:space="0" w:color="auto"/>
                    <w:left w:val="none" w:sz="0" w:space="0" w:color="auto"/>
                    <w:bottom w:val="none" w:sz="0" w:space="0" w:color="auto"/>
                    <w:right w:val="none" w:sz="0" w:space="0" w:color="auto"/>
                  </w:divBdr>
                </w:div>
                <w:div w:id="294154545">
                  <w:marLeft w:val="0"/>
                  <w:marRight w:val="0"/>
                  <w:marTop w:val="0"/>
                  <w:marBottom w:val="0"/>
                  <w:divBdr>
                    <w:top w:val="none" w:sz="0" w:space="0" w:color="auto"/>
                    <w:left w:val="none" w:sz="0" w:space="0" w:color="auto"/>
                    <w:bottom w:val="none" w:sz="0" w:space="0" w:color="auto"/>
                    <w:right w:val="none" w:sz="0" w:space="0" w:color="auto"/>
                  </w:divBdr>
                </w:div>
                <w:div w:id="294154843">
                  <w:marLeft w:val="0"/>
                  <w:marRight w:val="0"/>
                  <w:marTop w:val="0"/>
                  <w:marBottom w:val="0"/>
                  <w:divBdr>
                    <w:top w:val="none" w:sz="0" w:space="0" w:color="auto"/>
                    <w:left w:val="none" w:sz="0" w:space="0" w:color="auto"/>
                    <w:bottom w:val="none" w:sz="0" w:space="0" w:color="auto"/>
                    <w:right w:val="none" w:sz="0" w:space="0" w:color="auto"/>
                  </w:divBdr>
                </w:div>
                <w:div w:id="294154926">
                  <w:marLeft w:val="0"/>
                  <w:marRight w:val="0"/>
                  <w:marTop w:val="0"/>
                  <w:marBottom w:val="0"/>
                  <w:divBdr>
                    <w:top w:val="none" w:sz="0" w:space="0" w:color="auto"/>
                    <w:left w:val="none" w:sz="0" w:space="0" w:color="auto"/>
                    <w:bottom w:val="none" w:sz="0" w:space="0" w:color="auto"/>
                    <w:right w:val="none" w:sz="0" w:space="0" w:color="auto"/>
                  </w:divBdr>
                </w:div>
                <w:div w:id="294155034">
                  <w:marLeft w:val="0"/>
                  <w:marRight w:val="0"/>
                  <w:marTop w:val="0"/>
                  <w:marBottom w:val="0"/>
                  <w:divBdr>
                    <w:top w:val="none" w:sz="0" w:space="0" w:color="auto"/>
                    <w:left w:val="none" w:sz="0" w:space="0" w:color="auto"/>
                    <w:bottom w:val="none" w:sz="0" w:space="0" w:color="auto"/>
                    <w:right w:val="none" w:sz="0" w:space="0" w:color="auto"/>
                  </w:divBdr>
                </w:div>
                <w:div w:id="294155122">
                  <w:marLeft w:val="0"/>
                  <w:marRight w:val="0"/>
                  <w:marTop w:val="0"/>
                  <w:marBottom w:val="0"/>
                  <w:divBdr>
                    <w:top w:val="none" w:sz="0" w:space="0" w:color="auto"/>
                    <w:left w:val="none" w:sz="0" w:space="0" w:color="auto"/>
                    <w:bottom w:val="none" w:sz="0" w:space="0" w:color="auto"/>
                    <w:right w:val="none" w:sz="0" w:space="0" w:color="auto"/>
                  </w:divBdr>
                </w:div>
                <w:div w:id="294155302">
                  <w:marLeft w:val="0"/>
                  <w:marRight w:val="0"/>
                  <w:marTop w:val="0"/>
                  <w:marBottom w:val="0"/>
                  <w:divBdr>
                    <w:top w:val="none" w:sz="0" w:space="0" w:color="auto"/>
                    <w:left w:val="none" w:sz="0" w:space="0" w:color="auto"/>
                    <w:bottom w:val="none" w:sz="0" w:space="0" w:color="auto"/>
                    <w:right w:val="none" w:sz="0" w:space="0" w:color="auto"/>
                  </w:divBdr>
                </w:div>
                <w:div w:id="294155308">
                  <w:marLeft w:val="0"/>
                  <w:marRight w:val="0"/>
                  <w:marTop w:val="0"/>
                  <w:marBottom w:val="0"/>
                  <w:divBdr>
                    <w:top w:val="none" w:sz="0" w:space="0" w:color="auto"/>
                    <w:left w:val="none" w:sz="0" w:space="0" w:color="auto"/>
                    <w:bottom w:val="none" w:sz="0" w:space="0" w:color="auto"/>
                    <w:right w:val="none" w:sz="0" w:space="0" w:color="auto"/>
                  </w:divBdr>
                </w:div>
                <w:div w:id="294155607">
                  <w:marLeft w:val="0"/>
                  <w:marRight w:val="0"/>
                  <w:marTop w:val="0"/>
                  <w:marBottom w:val="0"/>
                  <w:divBdr>
                    <w:top w:val="none" w:sz="0" w:space="0" w:color="auto"/>
                    <w:left w:val="none" w:sz="0" w:space="0" w:color="auto"/>
                    <w:bottom w:val="none" w:sz="0" w:space="0" w:color="auto"/>
                    <w:right w:val="none" w:sz="0" w:space="0" w:color="auto"/>
                  </w:divBdr>
                </w:div>
                <w:div w:id="294155939">
                  <w:marLeft w:val="0"/>
                  <w:marRight w:val="0"/>
                  <w:marTop w:val="0"/>
                  <w:marBottom w:val="0"/>
                  <w:divBdr>
                    <w:top w:val="none" w:sz="0" w:space="0" w:color="auto"/>
                    <w:left w:val="none" w:sz="0" w:space="0" w:color="auto"/>
                    <w:bottom w:val="none" w:sz="0" w:space="0" w:color="auto"/>
                    <w:right w:val="none" w:sz="0" w:space="0" w:color="auto"/>
                  </w:divBdr>
                </w:div>
                <w:div w:id="294156147">
                  <w:marLeft w:val="0"/>
                  <w:marRight w:val="0"/>
                  <w:marTop w:val="0"/>
                  <w:marBottom w:val="0"/>
                  <w:divBdr>
                    <w:top w:val="none" w:sz="0" w:space="0" w:color="auto"/>
                    <w:left w:val="none" w:sz="0" w:space="0" w:color="auto"/>
                    <w:bottom w:val="none" w:sz="0" w:space="0" w:color="auto"/>
                    <w:right w:val="none" w:sz="0" w:space="0" w:color="auto"/>
                  </w:divBdr>
                </w:div>
                <w:div w:id="294156177">
                  <w:marLeft w:val="0"/>
                  <w:marRight w:val="0"/>
                  <w:marTop w:val="0"/>
                  <w:marBottom w:val="0"/>
                  <w:divBdr>
                    <w:top w:val="none" w:sz="0" w:space="0" w:color="auto"/>
                    <w:left w:val="none" w:sz="0" w:space="0" w:color="auto"/>
                    <w:bottom w:val="none" w:sz="0" w:space="0" w:color="auto"/>
                    <w:right w:val="none" w:sz="0" w:space="0" w:color="auto"/>
                  </w:divBdr>
                </w:div>
                <w:div w:id="294156272">
                  <w:marLeft w:val="0"/>
                  <w:marRight w:val="0"/>
                  <w:marTop w:val="0"/>
                  <w:marBottom w:val="0"/>
                  <w:divBdr>
                    <w:top w:val="none" w:sz="0" w:space="0" w:color="auto"/>
                    <w:left w:val="none" w:sz="0" w:space="0" w:color="auto"/>
                    <w:bottom w:val="none" w:sz="0" w:space="0" w:color="auto"/>
                    <w:right w:val="none" w:sz="0" w:space="0" w:color="auto"/>
                  </w:divBdr>
                </w:div>
                <w:div w:id="294156324">
                  <w:marLeft w:val="0"/>
                  <w:marRight w:val="0"/>
                  <w:marTop w:val="0"/>
                  <w:marBottom w:val="0"/>
                  <w:divBdr>
                    <w:top w:val="none" w:sz="0" w:space="0" w:color="auto"/>
                    <w:left w:val="none" w:sz="0" w:space="0" w:color="auto"/>
                    <w:bottom w:val="none" w:sz="0" w:space="0" w:color="auto"/>
                    <w:right w:val="none" w:sz="0" w:space="0" w:color="auto"/>
                  </w:divBdr>
                </w:div>
                <w:div w:id="294156454">
                  <w:marLeft w:val="0"/>
                  <w:marRight w:val="0"/>
                  <w:marTop w:val="0"/>
                  <w:marBottom w:val="0"/>
                  <w:divBdr>
                    <w:top w:val="none" w:sz="0" w:space="0" w:color="auto"/>
                    <w:left w:val="none" w:sz="0" w:space="0" w:color="auto"/>
                    <w:bottom w:val="none" w:sz="0" w:space="0" w:color="auto"/>
                    <w:right w:val="none" w:sz="0" w:space="0" w:color="auto"/>
                  </w:divBdr>
                </w:div>
                <w:div w:id="294156588">
                  <w:marLeft w:val="0"/>
                  <w:marRight w:val="0"/>
                  <w:marTop w:val="0"/>
                  <w:marBottom w:val="0"/>
                  <w:divBdr>
                    <w:top w:val="none" w:sz="0" w:space="0" w:color="auto"/>
                    <w:left w:val="none" w:sz="0" w:space="0" w:color="auto"/>
                    <w:bottom w:val="none" w:sz="0" w:space="0" w:color="auto"/>
                    <w:right w:val="none" w:sz="0" w:space="0" w:color="auto"/>
                  </w:divBdr>
                </w:div>
                <w:div w:id="294156679">
                  <w:marLeft w:val="0"/>
                  <w:marRight w:val="0"/>
                  <w:marTop w:val="0"/>
                  <w:marBottom w:val="0"/>
                  <w:divBdr>
                    <w:top w:val="none" w:sz="0" w:space="0" w:color="auto"/>
                    <w:left w:val="none" w:sz="0" w:space="0" w:color="auto"/>
                    <w:bottom w:val="none" w:sz="0" w:space="0" w:color="auto"/>
                    <w:right w:val="none" w:sz="0" w:space="0" w:color="auto"/>
                  </w:divBdr>
                </w:div>
                <w:div w:id="294156719">
                  <w:marLeft w:val="0"/>
                  <w:marRight w:val="0"/>
                  <w:marTop w:val="0"/>
                  <w:marBottom w:val="0"/>
                  <w:divBdr>
                    <w:top w:val="none" w:sz="0" w:space="0" w:color="auto"/>
                    <w:left w:val="none" w:sz="0" w:space="0" w:color="auto"/>
                    <w:bottom w:val="none" w:sz="0" w:space="0" w:color="auto"/>
                    <w:right w:val="none" w:sz="0" w:space="0" w:color="auto"/>
                  </w:divBdr>
                </w:div>
                <w:div w:id="294156724">
                  <w:marLeft w:val="0"/>
                  <w:marRight w:val="0"/>
                  <w:marTop w:val="0"/>
                  <w:marBottom w:val="0"/>
                  <w:divBdr>
                    <w:top w:val="none" w:sz="0" w:space="0" w:color="auto"/>
                    <w:left w:val="none" w:sz="0" w:space="0" w:color="auto"/>
                    <w:bottom w:val="none" w:sz="0" w:space="0" w:color="auto"/>
                    <w:right w:val="none" w:sz="0" w:space="0" w:color="auto"/>
                  </w:divBdr>
                </w:div>
                <w:div w:id="294156728">
                  <w:marLeft w:val="0"/>
                  <w:marRight w:val="0"/>
                  <w:marTop w:val="0"/>
                  <w:marBottom w:val="0"/>
                  <w:divBdr>
                    <w:top w:val="none" w:sz="0" w:space="0" w:color="auto"/>
                    <w:left w:val="none" w:sz="0" w:space="0" w:color="auto"/>
                    <w:bottom w:val="none" w:sz="0" w:space="0" w:color="auto"/>
                    <w:right w:val="none" w:sz="0" w:space="0" w:color="auto"/>
                  </w:divBdr>
                </w:div>
                <w:div w:id="294156738">
                  <w:marLeft w:val="0"/>
                  <w:marRight w:val="0"/>
                  <w:marTop w:val="0"/>
                  <w:marBottom w:val="0"/>
                  <w:divBdr>
                    <w:top w:val="none" w:sz="0" w:space="0" w:color="auto"/>
                    <w:left w:val="none" w:sz="0" w:space="0" w:color="auto"/>
                    <w:bottom w:val="none" w:sz="0" w:space="0" w:color="auto"/>
                    <w:right w:val="none" w:sz="0" w:space="0" w:color="auto"/>
                  </w:divBdr>
                </w:div>
                <w:div w:id="294156818">
                  <w:marLeft w:val="0"/>
                  <w:marRight w:val="0"/>
                  <w:marTop w:val="0"/>
                  <w:marBottom w:val="0"/>
                  <w:divBdr>
                    <w:top w:val="none" w:sz="0" w:space="0" w:color="auto"/>
                    <w:left w:val="none" w:sz="0" w:space="0" w:color="auto"/>
                    <w:bottom w:val="none" w:sz="0" w:space="0" w:color="auto"/>
                    <w:right w:val="none" w:sz="0" w:space="0" w:color="auto"/>
                  </w:divBdr>
                </w:div>
                <w:div w:id="294156834">
                  <w:marLeft w:val="0"/>
                  <w:marRight w:val="0"/>
                  <w:marTop w:val="0"/>
                  <w:marBottom w:val="0"/>
                  <w:divBdr>
                    <w:top w:val="none" w:sz="0" w:space="0" w:color="auto"/>
                    <w:left w:val="none" w:sz="0" w:space="0" w:color="auto"/>
                    <w:bottom w:val="none" w:sz="0" w:space="0" w:color="auto"/>
                    <w:right w:val="none" w:sz="0" w:space="0" w:color="auto"/>
                  </w:divBdr>
                </w:div>
                <w:div w:id="294156887">
                  <w:marLeft w:val="0"/>
                  <w:marRight w:val="0"/>
                  <w:marTop w:val="0"/>
                  <w:marBottom w:val="0"/>
                  <w:divBdr>
                    <w:top w:val="none" w:sz="0" w:space="0" w:color="auto"/>
                    <w:left w:val="none" w:sz="0" w:space="0" w:color="auto"/>
                    <w:bottom w:val="none" w:sz="0" w:space="0" w:color="auto"/>
                    <w:right w:val="none" w:sz="0" w:space="0" w:color="auto"/>
                  </w:divBdr>
                </w:div>
                <w:div w:id="294157019">
                  <w:marLeft w:val="0"/>
                  <w:marRight w:val="0"/>
                  <w:marTop w:val="0"/>
                  <w:marBottom w:val="0"/>
                  <w:divBdr>
                    <w:top w:val="none" w:sz="0" w:space="0" w:color="auto"/>
                    <w:left w:val="none" w:sz="0" w:space="0" w:color="auto"/>
                    <w:bottom w:val="none" w:sz="0" w:space="0" w:color="auto"/>
                    <w:right w:val="none" w:sz="0" w:space="0" w:color="auto"/>
                  </w:divBdr>
                </w:div>
                <w:div w:id="29415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9103">
          <w:marLeft w:val="0"/>
          <w:marRight w:val="0"/>
          <w:marTop w:val="0"/>
          <w:marBottom w:val="0"/>
          <w:divBdr>
            <w:top w:val="none" w:sz="0" w:space="0" w:color="auto"/>
            <w:left w:val="none" w:sz="0" w:space="0" w:color="auto"/>
            <w:bottom w:val="none" w:sz="0" w:space="0" w:color="auto"/>
            <w:right w:val="none" w:sz="0" w:space="0" w:color="auto"/>
          </w:divBdr>
          <w:divsChild>
            <w:div w:id="294155069">
              <w:marLeft w:val="0"/>
              <w:marRight w:val="0"/>
              <w:marTop w:val="0"/>
              <w:marBottom w:val="0"/>
              <w:divBdr>
                <w:top w:val="none" w:sz="0" w:space="0" w:color="auto"/>
                <w:left w:val="none" w:sz="0" w:space="0" w:color="auto"/>
                <w:bottom w:val="none" w:sz="0" w:space="0" w:color="auto"/>
                <w:right w:val="none" w:sz="0" w:space="0" w:color="auto"/>
              </w:divBdr>
              <w:divsChild>
                <w:div w:id="29413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2864">
          <w:marLeft w:val="0"/>
          <w:marRight w:val="0"/>
          <w:marTop w:val="0"/>
          <w:marBottom w:val="0"/>
          <w:divBdr>
            <w:top w:val="none" w:sz="0" w:space="0" w:color="auto"/>
            <w:left w:val="none" w:sz="0" w:space="0" w:color="auto"/>
            <w:bottom w:val="none" w:sz="0" w:space="0" w:color="auto"/>
            <w:right w:val="none" w:sz="0" w:space="0" w:color="auto"/>
          </w:divBdr>
        </w:div>
      </w:divsChild>
    </w:div>
    <w:div w:id="294140436">
      <w:marLeft w:val="0"/>
      <w:marRight w:val="0"/>
      <w:marTop w:val="0"/>
      <w:marBottom w:val="0"/>
      <w:divBdr>
        <w:top w:val="none" w:sz="0" w:space="0" w:color="auto"/>
        <w:left w:val="none" w:sz="0" w:space="0" w:color="auto"/>
        <w:bottom w:val="none" w:sz="0" w:space="0" w:color="auto"/>
        <w:right w:val="none" w:sz="0" w:space="0" w:color="auto"/>
      </w:divBdr>
      <w:divsChild>
        <w:div w:id="294139603">
          <w:marLeft w:val="230"/>
          <w:marRight w:val="0"/>
          <w:marTop w:val="96"/>
          <w:marBottom w:val="0"/>
          <w:divBdr>
            <w:top w:val="none" w:sz="0" w:space="0" w:color="auto"/>
            <w:left w:val="none" w:sz="0" w:space="0" w:color="auto"/>
            <w:bottom w:val="none" w:sz="0" w:space="0" w:color="auto"/>
            <w:right w:val="none" w:sz="0" w:space="0" w:color="auto"/>
          </w:divBdr>
        </w:div>
        <w:div w:id="294145213">
          <w:marLeft w:val="230"/>
          <w:marRight w:val="0"/>
          <w:marTop w:val="96"/>
          <w:marBottom w:val="0"/>
          <w:divBdr>
            <w:top w:val="none" w:sz="0" w:space="0" w:color="auto"/>
            <w:left w:val="none" w:sz="0" w:space="0" w:color="auto"/>
            <w:bottom w:val="none" w:sz="0" w:space="0" w:color="auto"/>
            <w:right w:val="none" w:sz="0" w:space="0" w:color="auto"/>
          </w:divBdr>
        </w:div>
        <w:div w:id="294148622">
          <w:marLeft w:val="230"/>
          <w:marRight w:val="0"/>
          <w:marTop w:val="96"/>
          <w:marBottom w:val="0"/>
          <w:divBdr>
            <w:top w:val="none" w:sz="0" w:space="0" w:color="auto"/>
            <w:left w:val="none" w:sz="0" w:space="0" w:color="auto"/>
            <w:bottom w:val="none" w:sz="0" w:space="0" w:color="auto"/>
            <w:right w:val="none" w:sz="0" w:space="0" w:color="auto"/>
          </w:divBdr>
        </w:div>
        <w:div w:id="294150109">
          <w:marLeft w:val="230"/>
          <w:marRight w:val="0"/>
          <w:marTop w:val="96"/>
          <w:marBottom w:val="0"/>
          <w:divBdr>
            <w:top w:val="none" w:sz="0" w:space="0" w:color="auto"/>
            <w:left w:val="none" w:sz="0" w:space="0" w:color="auto"/>
            <w:bottom w:val="none" w:sz="0" w:space="0" w:color="auto"/>
            <w:right w:val="none" w:sz="0" w:space="0" w:color="auto"/>
          </w:divBdr>
        </w:div>
        <w:div w:id="294154242">
          <w:marLeft w:val="230"/>
          <w:marRight w:val="0"/>
          <w:marTop w:val="96"/>
          <w:marBottom w:val="0"/>
          <w:divBdr>
            <w:top w:val="none" w:sz="0" w:space="0" w:color="auto"/>
            <w:left w:val="none" w:sz="0" w:space="0" w:color="auto"/>
            <w:bottom w:val="none" w:sz="0" w:space="0" w:color="auto"/>
            <w:right w:val="none" w:sz="0" w:space="0" w:color="auto"/>
          </w:divBdr>
        </w:div>
      </w:divsChild>
    </w:div>
    <w:div w:id="294140458">
      <w:marLeft w:val="0"/>
      <w:marRight w:val="0"/>
      <w:marTop w:val="0"/>
      <w:marBottom w:val="0"/>
      <w:divBdr>
        <w:top w:val="none" w:sz="0" w:space="0" w:color="auto"/>
        <w:left w:val="none" w:sz="0" w:space="0" w:color="auto"/>
        <w:bottom w:val="none" w:sz="0" w:space="0" w:color="auto"/>
        <w:right w:val="none" w:sz="0" w:space="0" w:color="auto"/>
      </w:divBdr>
    </w:div>
    <w:div w:id="294140640">
      <w:marLeft w:val="0"/>
      <w:marRight w:val="0"/>
      <w:marTop w:val="0"/>
      <w:marBottom w:val="0"/>
      <w:divBdr>
        <w:top w:val="none" w:sz="0" w:space="0" w:color="auto"/>
        <w:left w:val="none" w:sz="0" w:space="0" w:color="auto"/>
        <w:bottom w:val="none" w:sz="0" w:space="0" w:color="auto"/>
        <w:right w:val="none" w:sz="0" w:space="0" w:color="auto"/>
      </w:divBdr>
    </w:div>
    <w:div w:id="294140699">
      <w:marLeft w:val="0"/>
      <w:marRight w:val="0"/>
      <w:marTop w:val="0"/>
      <w:marBottom w:val="0"/>
      <w:divBdr>
        <w:top w:val="none" w:sz="0" w:space="0" w:color="auto"/>
        <w:left w:val="none" w:sz="0" w:space="0" w:color="auto"/>
        <w:bottom w:val="none" w:sz="0" w:space="0" w:color="auto"/>
        <w:right w:val="none" w:sz="0" w:space="0" w:color="auto"/>
      </w:divBdr>
    </w:div>
    <w:div w:id="294140726">
      <w:marLeft w:val="0"/>
      <w:marRight w:val="0"/>
      <w:marTop w:val="0"/>
      <w:marBottom w:val="0"/>
      <w:divBdr>
        <w:top w:val="none" w:sz="0" w:space="0" w:color="auto"/>
        <w:left w:val="none" w:sz="0" w:space="0" w:color="auto"/>
        <w:bottom w:val="none" w:sz="0" w:space="0" w:color="auto"/>
        <w:right w:val="none" w:sz="0" w:space="0" w:color="auto"/>
      </w:divBdr>
    </w:div>
    <w:div w:id="294140750">
      <w:marLeft w:val="0"/>
      <w:marRight w:val="0"/>
      <w:marTop w:val="0"/>
      <w:marBottom w:val="0"/>
      <w:divBdr>
        <w:top w:val="none" w:sz="0" w:space="0" w:color="auto"/>
        <w:left w:val="none" w:sz="0" w:space="0" w:color="auto"/>
        <w:bottom w:val="none" w:sz="0" w:space="0" w:color="auto"/>
        <w:right w:val="none" w:sz="0" w:space="0" w:color="auto"/>
      </w:divBdr>
    </w:div>
    <w:div w:id="294140766">
      <w:marLeft w:val="0"/>
      <w:marRight w:val="0"/>
      <w:marTop w:val="0"/>
      <w:marBottom w:val="0"/>
      <w:divBdr>
        <w:top w:val="none" w:sz="0" w:space="0" w:color="auto"/>
        <w:left w:val="none" w:sz="0" w:space="0" w:color="auto"/>
        <w:bottom w:val="none" w:sz="0" w:space="0" w:color="auto"/>
        <w:right w:val="none" w:sz="0" w:space="0" w:color="auto"/>
      </w:divBdr>
      <w:divsChild>
        <w:div w:id="294141712">
          <w:marLeft w:val="0"/>
          <w:marRight w:val="0"/>
          <w:marTop w:val="0"/>
          <w:marBottom w:val="0"/>
          <w:divBdr>
            <w:top w:val="none" w:sz="0" w:space="0" w:color="auto"/>
            <w:left w:val="none" w:sz="0" w:space="0" w:color="auto"/>
            <w:bottom w:val="none" w:sz="0" w:space="0" w:color="auto"/>
            <w:right w:val="none" w:sz="0" w:space="0" w:color="auto"/>
          </w:divBdr>
          <w:divsChild>
            <w:div w:id="294144568">
              <w:marLeft w:val="0"/>
              <w:marRight w:val="0"/>
              <w:marTop w:val="0"/>
              <w:marBottom w:val="0"/>
              <w:divBdr>
                <w:top w:val="none" w:sz="0" w:space="0" w:color="auto"/>
                <w:left w:val="none" w:sz="0" w:space="0" w:color="auto"/>
                <w:bottom w:val="none" w:sz="0" w:space="0" w:color="auto"/>
                <w:right w:val="none" w:sz="0" w:space="0" w:color="auto"/>
              </w:divBdr>
              <w:divsChild>
                <w:div w:id="294146022">
                  <w:marLeft w:val="0"/>
                  <w:marRight w:val="0"/>
                  <w:marTop w:val="0"/>
                  <w:marBottom w:val="0"/>
                  <w:divBdr>
                    <w:top w:val="none" w:sz="0" w:space="0" w:color="auto"/>
                    <w:left w:val="none" w:sz="0" w:space="0" w:color="auto"/>
                    <w:bottom w:val="none" w:sz="0" w:space="0" w:color="auto"/>
                    <w:right w:val="none" w:sz="0" w:space="0" w:color="auto"/>
                  </w:divBdr>
                  <w:divsChild>
                    <w:div w:id="294138054">
                      <w:marLeft w:val="0"/>
                      <w:marRight w:val="0"/>
                      <w:marTop w:val="0"/>
                      <w:marBottom w:val="0"/>
                      <w:divBdr>
                        <w:top w:val="none" w:sz="0" w:space="0" w:color="auto"/>
                        <w:left w:val="none" w:sz="0" w:space="0" w:color="auto"/>
                        <w:bottom w:val="none" w:sz="0" w:space="0" w:color="auto"/>
                        <w:right w:val="none" w:sz="0" w:space="0" w:color="auto"/>
                      </w:divBdr>
                    </w:div>
                    <w:div w:id="294138100">
                      <w:marLeft w:val="0"/>
                      <w:marRight w:val="0"/>
                      <w:marTop w:val="0"/>
                      <w:marBottom w:val="0"/>
                      <w:divBdr>
                        <w:top w:val="none" w:sz="0" w:space="0" w:color="auto"/>
                        <w:left w:val="none" w:sz="0" w:space="0" w:color="auto"/>
                        <w:bottom w:val="none" w:sz="0" w:space="0" w:color="auto"/>
                        <w:right w:val="none" w:sz="0" w:space="0" w:color="auto"/>
                      </w:divBdr>
                    </w:div>
                    <w:div w:id="294138431">
                      <w:marLeft w:val="0"/>
                      <w:marRight w:val="0"/>
                      <w:marTop w:val="0"/>
                      <w:marBottom w:val="0"/>
                      <w:divBdr>
                        <w:top w:val="none" w:sz="0" w:space="0" w:color="auto"/>
                        <w:left w:val="none" w:sz="0" w:space="0" w:color="auto"/>
                        <w:bottom w:val="none" w:sz="0" w:space="0" w:color="auto"/>
                        <w:right w:val="none" w:sz="0" w:space="0" w:color="auto"/>
                      </w:divBdr>
                    </w:div>
                    <w:div w:id="294138636">
                      <w:marLeft w:val="0"/>
                      <w:marRight w:val="0"/>
                      <w:marTop w:val="0"/>
                      <w:marBottom w:val="0"/>
                      <w:divBdr>
                        <w:top w:val="none" w:sz="0" w:space="0" w:color="auto"/>
                        <w:left w:val="none" w:sz="0" w:space="0" w:color="auto"/>
                        <w:bottom w:val="none" w:sz="0" w:space="0" w:color="auto"/>
                        <w:right w:val="none" w:sz="0" w:space="0" w:color="auto"/>
                      </w:divBdr>
                      <w:divsChild>
                        <w:div w:id="294145399">
                          <w:marLeft w:val="0"/>
                          <w:marRight w:val="0"/>
                          <w:marTop w:val="0"/>
                          <w:marBottom w:val="0"/>
                          <w:divBdr>
                            <w:top w:val="none" w:sz="0" w:space="0" w:color="auto"/>
                            <w:left w:val="none" w:sz="0" w:space="0" w:color="auto"/>
                            <w:bottom w:val="none" w:sz="0" w:space="0" w:color="auto"/>
                            <w:right w:val="none" w:sz="0" w:space="0" w:color="auto"/>
                          </w:divBdr>
                        </w:div>
                      </w:divsChild>
                    </w:div>
                    <w:div w:id="294138667">
                      <w:marLeft w:val="0"/>
                      <w:marRight w:val="0"/>
                      <w:marTop w:val="0"/>
                      <w:marBottom w:val="0"/>
                      <w:divBdr>
                        <w:top w:val="none" w:sz="0" w:space="0" w:color="auto"/>
                        <w:left w:val="none" w:sz="0" w:space="0" w:color="auto"/>
                        <w:bottom w:val="none" w:sz="0" w:space="0" w:color="auto"/>
                        <w:right w:val="none" w:sz="0" w:space="0" w:color="auto"/>
                      </w:divBdr>
                      <w:divsChild>
                        <w:div w:id="294147245">
                          <w:marLeft w:val="0"/>
                          <w:marRight w:val="0"/>
                          <w:marTop w:val="0"/>
                          <w:marBottom w:val="0"/>
                          <w:divBdr>
                            <w:top w:val="none" w:sz="0" w:space="0" w:color="auto"/>
                            <w:left w:val="none" w:sz="0" w:space="0" w:color="auto"/>
                            <w:bottom w:val="none" w:sz="0" w:space="0" w:color="auto"/>
                            <w:right w:val="none" w:sz="0" w:space="0" w:color="auto"/>
                          </w:divBdr>
                        </w:div>
                      </w:divsChild>
                    </w:div>
                    <w:div w:id="294138877">
                      <w:marLeft w:val="0"/>
                      <w:marRight w:val="0"/>
                      <w:marTop w:val="0"/>
                      <w:marBottom w:val="0"/>
                      <w:divBdr>
                        <w:top w:val="none" w:sz="0" w:space="0" w:color="auto"/>
                        <w:left w:val="none" w:sz="0" w:space="0" w:color="auto"/>
                        <w:bottom w:val="none" w:sz="0" w:space="0" w:color="auto"/>
                        <w:right w:val="none" w:sz="0" w:space="0" w:color="auto"/>
                      </w:divBdr>
                      <w:divsChild>
                        <w:div w:id="294143969">
                          <w:marLeft w:val="0"/>
                          <w:marRight w:val="0"/>
                          <w:marTop w:val="0"/>
                          <w:marBottom w:val="0"/>
                          <w:divBdr>
                            <w:top w:val="none" w:sz="0" w:space="0" w:color="auto"/>
                            <w:left w:val="none" w:sz="0" w:space="0" w:color="auto"/>
                            <w:bottom w:val="none" w:sz="0" w:space="0" w:color="auto"/>
                            <w:right w:val="none" w:sz="0" w:space="0" w:color="auto"/>
                          </w:divBdr>
                        </w:div>
                      </w:divsChild>
                    </w:div>
                    <w:div w:id="294139138">
                      <w:marLeft w:val="0"/>
                      <w:marRight w:val="0"/>
                      <w:marTop w:val="0"/>
                      <w:marBottom w:val="0"/>
                      <w:divBdr>
                        <w:top w:val="none" w:sz="0" w:space="0" w:color="auto"/>
                        <w:left w:val="none" w:sz="0" w:space="0" w:color="auto"/>
                        <w:bottom w:val="none" w:sz="0" w:space="0" w:color="auto"/>
                        <w:right w:val="none" w:sz="0" w:space="0" w:color="auto"/>
                      </w:divBdr>
                    </w:div>
                    <w:div w:id="294139148">
                      <w:marLeft w:val="0"/>
                      <w:marRight w:val="0"/>
                      <w:marTop w:val="0"/>
                      <w:marBottom w:val="0"/>
                      <w:divBdr>
                        <w:top w:val="none" w:sz="0" w:space="0" w:color="auto"/>
                        <w:left w:val="none" w:sz="0" w:space="0" w:color="auto"/>
                        <w:bottom w:val="none" w:sz="0" w:space="0" w:color="auto"/>
                        <w:right w:val="none" w:sz="0" w:space="0" w:color="auto"/>
                      </w:divBdr>
                      <w:divsChild>
                        <w:div w:id="294139335">
                          <w:marLeft w:val="0"/>
                          <w:marRight w:val="0"/>
                          <w:marTop w:val="0"/>
                          <w:marBottom w:val="0"/>
                          <w:divBdr>
                            <w:top w:val="none" w:sz="0" w:space="0" w:color="auto"/>
                            <w:left w:val="none" w:sz="0" w:space="0" w:color="auto"/>
                            <w:bottom w:val="none" w:sz="0" w:space="0" w:color="auto"/>
                            <w:right w:val="none" w:sz="0" w:space="0" w:color="auto"/>
                          </w:divBdr>
                        </w:div>
                      </w:divsChild>
                    </w:div>
                    <w:div w:id="294139409">
                      <w:marLeft w:val="0"/>
                      <w:marRight w:val="0"/>
                      <w:marTop w:val="0"/>
                      <w:marBottom w:val="0"/>
                      <w:divBdr>
                        <w:top w:val="none" w:sz="0" w:space="0" w:color="auto"/>
                        <w:left w:val="none" w:sz="0" w:space="0" w:color="auto"/>
                        <w:bottom w:val="none" w:sz="0" w:space="0" w:color="auto"/>
                        <w:right w:val="none" w:sz="0" w:space="0" w:color="auto"/>
                      </w:divBdr>
                    </w:div>
                    <w:div w:id="294139482">
                      <w:marLeft w:val="0"/>
                      <w:marRight w:val="0"/>
                      <w:marTop w:val="0"/>
                      <w:marBottom w:val="0"/>
                      <w:divBdr>
                        <w:top w:val="none" w:sz="0" w:space="0" w:color="auto"/>
                        <w:left w:val="none" w:sz="0" w:space="0" w:color="auto"/>
                        <w:bottom w:val="none" w:sz="0" w:space="0" w:color="auto"/>
                        <w:right w:val="none" w:sz="0" w:space="0" w:color="auto"/>
                      </w:divBdr>
                    </w:div>
                    <w:div w:id="294139518">
                      <w:marLeft w:val="0"/>
                      <w:marRight w:val="0"/>
                      <w:marTop w:val="0"/>
                      <w:marBottom w:val="0"/>
                      <w:divBdr>
                        <w:top w:val="none" w:sz="0" w:space="0" w:color="auto"/>
                        <w:left w:val="none" w:sz="0" w:space="0" w:color="auto"/>
                        <w:bottom w:val="none" w:sz="0" w:space="0" w:color="auto"/>
                        <w:right w:val="none" w:sz="0" w:space="0" w:color="auto"/>
                      </w:divBdr>
                      <w:divsChild>
                        <w:div w:id="294157010">
                          <w:marLeft w:val="0"/>
                          <w:marRight w:val="0"/>
                          <w:marTop w:val="0"/>
                          <w:marBottom w:val="0"/>
                          <w:divBdr>
                            <w:top w:val="none" w:sz="0" w:space="0" w:color="auto"/>
                            <w:left w:val="none" w:sz="0" w:space="0" w:color="auto"/>
                            <w:bottom w:val="none" w:sz="0" w:space="0" w:color="auto"/>
                            <w:right w:val="none" w:sz="0" w:space="0" w:color="auto"/>
                          </w:divBdr>
                        </w:div>
                      </w:divsChild>
                    </w:div>
                    <w:div w:id="294139551">
                      <w:marLeft w:val="0"/>
                      <w:marRight w:val="0"/>
                      <w:marTop w:val="0"/>
                      <w:marBottom w:val="0"/>
                      <w:divBdr>
                        <w:top w:val="none" w:sz="0" w:space="0" w:color="auto"/>
                        <w:left w:val="none" w:sz="0" w:space="0" w:color="auto"/>
                        <w:bottom w:val="none" w:sz="0" w:space="0" w:color="auto"/>
                        <w:right w:val="none" w:sz="0" w:space="0" w:color="auto"/>
                      </w:divBdr>
                    </w:div>
                    <w:div w:id="294139624">
                      <w:marLeft w:val="0"/>
                      <w:marRight w:val="0"/>
                      <w:marTop w:val="0"/>
                      <w:marBottom w:val="0"/>
                      <w:divBdr>
                        <w:top w:val="none" w:sz="0" w:space="0" w:color="auto"/>
                        <w:left w:val="none" w:sz="0" w:space="0" w:color="auto"/>
                        <w:bottom w:val="none" w:sz="0" w:space="0" w:color="auto"/>
                        <w:right w:val="none" w:sz="0" w:space="0" w:color="auto"/>
                      </w:divBdr>
                    </w:div>
                    <w:div w:id="294139673">
                      <w:marLeft w:val="0"/>
                      <w:marRight w:val="0"/>
                      <w:marTop w:val="0"/>
                      <w:marBottom w:val="0"/>
                      <w:divBdr>
                        <w:top w:val="none" w:sz="0" w:space="0" w:color="auto"/>
                        <w:left w:val="none" w:sz="0" w:space="0" w:color="auto"/>
                        <w:bottom w:val="none" w:sz="0" w:space="0" w:color="auto"/>
                        <w:right w:val="none" w:sz="0" w:space="0" w:color="auto"/>
                      </w:divBdr>
                      <w:divsChild>
                        <w:div w:id="294143730">
                          <w:marLeft w:val="0"/>
                          <w:marRight w:val="0"/>
                          <w:marTop w:val="0"/>
                          <w:marBottom w:val="0"/>
                          <w:divBdr>
                            <w:top w:val="none" w:sz="0" w:space="0" w:color="auto"/>
                            <w:left w:val="none" w:sz="0" w:space="0" w:color="auto"/>
                            <w:bottom w:val="none" w:sz="0" w:space="0" w:color="auto"/>
                            <w:right w:val="none" w:sz="0" w:space="0" w:color="auto"/>
                          </w:divBdr>
                        </w:div>
                      </w:divsChild>
                    </w:div>
                    <w:div w:id="294139785">
                      <w:marLeft w:val="0"/>
                      <w:marRight w:val="0"/>
                      <w:marTop w:val="0"/>
                      <w:marBottom w:val="0"/>
                      <w:divBdr>
                        <w:top w:val="none" w:sz="0" w:space="0" w:color="auto"/>
                        <w:left w:val="none" w:sz="0" w:space="0" w:color="auto"/>
                        <w:bottom w:val="none" w:sz="0" w:space="0" w:color="auto"/>
                        <w:right w:val="none" w:sz="0" w:space="0" w:color="auto"/>
                      </w:divBdr>
                      <w:divsChild>
                        <w:div w:id="294143625">
                          <w:marLeft w:val="0"/>
                          <w:marRight w:val="0"/>
                          <w:marTop w:val="0"/>
                          <w:marBottom w:val="0"/>
                          <w:divBdr>
                            <w:top w:val="none" w:sz="0" w:space="0" w:color="auto"/>
                            <w:left w:val="none" w:sz="0" w:space="0" w:color="auto"/>
                            <w:bottom w:val="none" w:sz="0" w:space="0" w:color="auto"/>
                            <w:right w:val="none" w:sz="0" w:space="0" w:color="auto"/>
                          </w:divBdr>
                        </w:div>
                      </w:divsChild>
                    </w:div>
                    <w:div w:id="294139828">
                      <w:marLeft w:val="0"/>
                      <w:marRight w:val="0"/>
                      <w:marTop w:val="0"/>
                      <w:marBottom w:val="0"/>
                      <w:divBdr>
                        <w:top w:val="none" w:sz="0" w:space="0" w:color="auto"/>
                        <w:left w:val="none" w:sz="0" w:space="0" w:color="auto"/>
                        <w:bottom w:val="none" w:sz="0" w:space="0" w:color="auto"/>
                        <w:right w:val="none" w:sz="0" w:space="0" w:color="auto"/>
                      </w:divBdr>
                      <w:divsChild>
                        <w:div w:id="294145616">
                          <w:marLeft w:val="0"/>
                          <w:marRight w:val="0"/>
                          <w:marTop w:val="0"/>
                          <w:marBottom w:val="0"/>
                          <w:divBdr>
                            <w:top w:val="none" w:sz="0" w:space="0" w:color="auto"/>
                            <w:left w:val="none" w:sz="0" w:space="0" w:color="auto"/>
                            <w:bottom w:val="none" w:sz="0" w:space="0" w:color="auto"/>
                            <w:right w:val="none" w:sz="0" w:space="0" w:color="auto"/>
                          </w:divBdr>
                        </w:div>
                      </w:divsChild>
                    </w:div>
                    <w:div w:id="294140546">
                      <w:marLeft w:val="0"/>
                      <w:marRight w:val="0"/>
                      <w:marTop w:val="0"/>
                      <w:marBottom w:val="0"/>
                      <w:divBdr>
                        <w:top w:val="none" w:sz="0" w:space="0" w:color="auto"/>
                        <w:left w:val="none" w:sz="0" w:space="0" w:color="auto"/>
                        <w:bottom w:val="none" w:sz="0" w:space="0" w:color="auto"/>
                        <w:right w:val="none" w:sz="0" w:space="0" w:color="auto"/>
                      </w:divBdr>
                    </w:div>
                    <w:div w:id="294141509">
                      <w:marLeft w:val="0"/>
                      <w:marRight w:val="0"/>
                      <w:marTop w:val="0"/>
                      <w:marBottom w:val="0"/>
                      <w:divBdr>
                        <w:top w:val="none" w:sz="0" w:space="0" w:color="auto"/>
                        <w:left w:val="none" w:sz="0" w:space="0" w:color="auto"/>
                        <w:bottom w:val="none" w:sz="0" w:space="0" w:color="auto"/>
                        <w:right w:val="none" w:sz="0" w:space="0" w:color="auto"/>
                      </w:divBdr>
                    </w:div>
                    <w:div w:id="294142188">
                      <w:marLeft w:val="0"/>
                      <w:marRight w:val="0"/>
                      <w:marTop w:val="0"/>
                      <w:marBottom w:val="0"/>
                      <w:divBdr>
                        <w:top w:val="none" w:sz="0" w:space="0" w:color="auto"/>
                        <w:left w:val="none" w:sz="0" w:space="0" w:color="auto"/>
                        <w:bottom w:val="none" w:sz="0" w:space="0" w:color="auto"/>
                        <w:right w:val="none" w:sz="0" w:space="0" w:color="auto"/>
                      </w:divBdr>
                      <w:divsChild>
                        <w:div w:id="294144513">
                          <w:marLeft w:val="0"/>
                          <w:marRight w:val="0"/>
                          <w:marTop w:val="0"/>
                          <w:marBottom w:val="0"/>
                          <w:divBdr>
                            <w:top w:val="none" w:sz="0" w:space="0" w:color="auto"/>
                            <w:left w:val="none" w:sz="0" w:space="0" w:color="auto"/>
                            <w:bottom w:val="none" w:sz="0" w:space="0" w:color="auto"/>
                            <w:right w:val="none" w:sz="0" w:space="0" w:color="auto"/>
                          </w:divBdr>
                        </w:div>
                      </w:divsChild>
                    </w:div>
                    <w:div w:id="294142383">
                      <w:marLeft w:val="0"/>
                      <w:marRight w:val="0"/>
                      <w:marTop w:val="0"/>
                      <w:marBottom w:val="0"/>
                      <w:divBdr>
                        <w:top w:val="none" w:sz="0" w:space="0" w:color="auto"/>
                        <w:left w:val="none" w:sz="0" w:space="0" w:color="auto"/>
                        <w:bottom w:val="none" w:sz="0" w:space="0" w:color="auto"/>
                        <w:right w:val="none" w:sz="0" w:space="0" w:color="auto"/>
                      </w:divBdr>
                    </w:div>
                    <w:div w:id="294142557">
                      <w:marLeft w:val="0"/>
                      <w:marRight w:val="0"/>
                      <w:marTop w:val="0"/>
                      <w:marBottom w:val="0"/>
                      <w:divBdr>
                        <w:top w:val="none" w:sz="0" w:space="0" w:color="auto"/>
                        <w:left w:val="none" w:sz="0" w:space="0" w:color="auto"/>
                        <w:bottom w:val="none" w:sz="0" w:space="0" w:color="auto"/>
                        <w:right w:val="none" w:sz="0" w:space="0" w:color="auto"/>
                      </w:divBdr>
                    </w:div>
                    <w:div w:id="294142633">
                      <w:marLeft w:val="0"/>
                      <w:marRight w:val="0"/>
                      <w:marTop w:val="0"/>
                      <w:marBottom w:val="0"/>
                      <w:divBdr>
                        <w:top w:val="none" w:sz="0" w:space="0" w:color="auto"/>
                        <w:left w:val="none" w:sz="0" w:space="0" w:color="auto"/>
                        <w:bottom w:val="none" w:sz="0" w:space="0" w:color="auto"/>
                        <w:right w:val="none" w:sz="0" w:space="0" w:color="auto"/>
                      </w:divBdr>
                      <w:divsChild>
                        <w:div w:id="294145326">
                          <w:marLeft w:val="0"/>
                          <w:marRight w:val="0"/>
                          <w:marTop w:val="0"/>
                          <w:marBottom w:val="0"/>
                          <w:divBdr>
                            <w:top w:val="none" w:sz="0" w:space="0" w:color="auto"/>
                            <w:left w:val="none" w:sz="0" w:space="0" w:color="auto"/>
                            <w:bottom w:val="none" w:sz="0" w:space="0" w:color="auto"/>
                            <w:right w:val="none" w:sz="0" w:space="0" w:color="auto"/>
                          </w:divBdr>
                        </w:div>
                      </w:divsChild>
                    </w:div>
                    <w:div w:id="294142702">
                      <w:marLeft w:val="0"/>
                      <w:marRight w:val="0"/>
                      <w:marTop w:val="0"/>
                      <w:marBottom w:val="0"/>
                      <w:divBdr>
                        <w:top w:val="none" w:sz="0" w:space="0" w:color="auto"/>
                        <w:left w:val="none" w:sz="0" w:space="0" w:color="auto"/>
                        <w:bottom w:val="none" w:sz="0" w:space="0" w:color="auto"/>
                        <w:right w:val="none" w:sz="0" w:space="0" w:color="auto"/>
                      </w:divBdr>
                      <w:divsChild>
                        <w:div w:id="294153425">
                          <w:marLeft w:val="0"/>
                          <w:marRight w:val="0"/>
                          <w:marTop w:val="0"/>
                          <w:marBottom w:val="0"/>
                          <w:divBdr>
                            <w:top w:val="none" w:sz="0" w:space="0" w:color="auto"/>
                            <w:left w:val="none" w:sz="0" w:space="0" w:color="auto"/>
                            <w:bottom w:val="none" w:sz="0" w:space="0" w:color="auto"/>
                            <w:right w:val="none" w:sz="0" w:space="0" w:color="auto"/>
                          </w:divBdr>
                        </w:div>
                      </w:divsChild>
                    </w:div>
                    <w:div w:id="294142830">
                      <w:marLeft w:val="0"/>
                      <w:marRight w:val="0"/>
                      <w:marTop w:val="0"/>
                      <w:marBottom w:val="0"/>
                      <w:divBdr>
                        <w:top w:val="none" w:sz="0" w:space="0" w:color="auto"/>
                        <w:left w:val="none" w:sz="0" w:space="0" w:color="auto"/>
                        <w:bottom w:val="none" w:sz="0" w:space="0" w:color="auto"/>
                        <w:right w:val="none" w:sz="0" w:space="0" w:color="auto"/>
                      </w:divBdr>
                      <w:divsChild>
                        <w:div w:id="294152897">
                          <w:marLeft w:val="0"/>
                          <w:marRight w:val="0"/>
                          <w:marTop w:val="0"/>
                          <w:marBottom w:val="0"/>
                          <w:divBdr>
                            <w:top w:val="none" w:sz="0" w:space="0" w:color="auto"/>
                            <w:left w:val="none" w:sz="0" w:space="0" w:color="auto"/>
                            <w:bottom w:val="none" w:sz="0" w:space="0" w:color="auto"/>
                            <w:right w:val="none" w:sz="0" w:space="0" w:color="auto"/>
                          </w:divBdr>
                        </w:div>
                      </w:divsChild>
                    </w:div>
                    <w:div w:id="294142922">
                      <w:marLeft w:val="0"/>
                      <w:marRight w:val="0"/>
                      <w:marTop w:val="0"/>
                      <w:marBottom w:val="0"/>
                      <w:divBdr>
                        <w:top w:val="none" w:sz="0" w:space="0" w:color="auto"/>
                        <w:left w:val="none" w:sz="0" w:space="0" w:color="auto"/>
                        <w:bottom w:val="none" w:sz="0" w:space="0" w:color="auto"/>
                        <w:right w:val="none" w:sz="0" w:space="0" w:color="auto"/>
                      </w:divBdr>
                      <w:divsChild>
                        <w:div w:id="294151757">
                          <w:marLeft w:val="0"/>
                          <w:marRight w:val="0"/>
                          <w:marTop w:val="0"/>
                          <w:marBottom w:val="0"/>
                          <w:divBdr>
                            <w:top w:val="none" w:sz="0" w:space="0" w:color="auto"/>
                            <w:left w:val="none" w:sz="0" w:space="0" w:color="auto"/>
                            <w:bottom w:val="none" w:sz="0" w:space="0" w:color="auto"/>
                            <w:right w:val="none" w:sz="0" w:space="0" w:color="auto"/>
                          </w:divBdr>
                        </w:div>
                      </w:divsChild>
                    </w:div>
                    <w:div w:id="294143073">
                      <w:marLeft w:val="0"/>
                      <w:marRight w:val="0"/>
                      <w:marTop w:val="0"/>
                      <w:marBottom w:val="0"/>
                      <w:divBdr>
                        <w:top w:val="none" w:sz="0" w:space="0" w:color="auto"/>
                        <w:left w:val="none" w:sz="0" w:space="0" w:color="auto"/>
                        <w:bottom w:val="none" w:sz="0" w:space="0" w:color="auto"/>
                        <w:right w:val="none" w:sz="0" w:space="0" w:color="auto"/>
                      </w:divBdr>
                    </w:div>
                    <w:div w:id="294143289">
                      <w:marLeft w:val="0"/>
                      <w:marRight w:val="0"/>
                      <w:marTop w:val="0"/>
                      <w:marBottom w:val="0"/>
                      <w:divBdr>
                        <w:top w:val="none" w:sz="0" w:space="0" w:color="auto"/>
                        <w:left w:val="none" w:sz="0" w:space="0" w:color="auto"/>
                        <w:bottom w:val="none" w:sz="0" w:space="0" w:color="auto"/>
                        <w:right w:val="none" w:sz="0" w:space="0" w:color="auto"/>
                      </w:divBdr>
                    </w:div>
                    <w:div w:id="294143330">
                      <w:marLeft w:val="0"/>
                      <w:marRight w:val="0"/>
                      <w:marTop w:val="0"/>
                      <w:marBottom w:val="0"/>
                      <w:divBdr>
                        <w:top w:val="none" w:sz="0" w:space="0" w:color="auto"/>
                        <w:left w:val="none" w:sz="0" w:space="0" w:color="auto"/>
                        <w:bottom w:val="none" w:sz="0" w:space="0" w:color="auto"/>
                        <w:right w:val="none" w:sz="0" w:space="0" w:color="auto"/>
                      </w:divBdr>
                    </w:div>
                    <w:div w:id="294143336">
                      <w:marLeft w:val="0"/>
                      <w:marRight w:val="0"/>
                      <w:marTop w:val="0"/>
                      <w:marBottom w:val="0"/>
                      <w:divBdr>
                        <w:top w:val="none" w:sz="0" w:space="0" w:color="auto"/>
                        <w:left w:val="none" w:sz="0" w:space="0" w:color="auto"/>
                        <w:bottom w:val="none" w:sz="0" w:space="0" w:color="auto"/>
                        <w:right w:val="none" w:sz="0" w:space="0" w:color="auto"/>
                      </w:divBdr>
                      <w:divsChild>
                        <w:div w:id="294152149">
                          <w:marLeft w:val="0"/>
                          <w:marRight w:val="0"/>
                          <w:marTop w:val="0"/>
                          <w:marBottom w:val="0"/>
                          <w:divBdr>
                            <w:top w:val="none" w:sz="0" w:space="0" w:color="auto"/>
                            <w:left w:val="none" w:sz="0" w:space="0" w:color="auto"/>
                            <w:bottom w:val="none" w:sz="0" w:space="0" w:color="auto"/>
                            <w:right w:val="none" w:sz="0" w:space="0" w:color="auto"/>
                          </w:divBdr>
                        </w:div>
                      </w:divsChild>
                    </w:div>
                    <w:div w:id="294143537">
                      <w:marLeft w:val="0"/>
                      <w:marRight w:val="0"/>
                      <w:marTop w:val="0"/>
                      <w:marBottom w:val="0"/>
                      <w:divBdr>
                        <w:top w:val="none" w:sz="0" w:space="0" w:color="auto"/>
                        <w:left w:val="none" w:sz="0" w:space="0" w:color="auto"/>
                        <w:bottom w:val="none" w:sz="0" w:space="0" w:color="auto"/>
                        <w:right w:val="none" w:sz="0" w:space="0" w:color="auto"/>
                      </w:divBdr>
                      <w:divsChild>
                        <w:div w:id="294155022">
                          <w:marLeft w:val="0"/>
                          <w:marRight w:val="0"/>
                          <w:marTop w:val="0"/>
                          <w:marBottom w:val="0"/>
                          <w:divBdr>
                            <w:top w:val="none" w:sz="0" w:space="0" w:color="auto"/>
                            <w:left w:val="none" w:sz="0" w:space="0" w:color="auto"/>
                            <w:bottom w:val="none" w:sz="0" w:space="0" w:color="auto"/>
                            <w:right w:val="none" w:sz="0" w:space="0" w:color="auto"/>
                          </w:divBdr>
                        </w:div>
                      </w:divsChild>
                    </w:div>
                    <w:div w:id="294144677">
                      <w:marLeft w:val="0"/>
                      <w:marRight w:val="0"/>
                      <w:marTop w:val="0"/>
                      <w:marBottom w:val="0"/>
                      <w:divBdr>
                        <w:top w:val="none" w:sz="0" w:space="0" w:color="auto"/>
                        <w:left w:val="none" w:sz="0" w:space="0" w:color="auto"/>
                        <w:bottom w:val="none" w:sz="0" w:space="0" w:color="auto"/>
                        <w:right w:val="none" w:sz="0" w:space="0" w:color="auto"/>
                      </w:divBdr>
                    </w:div>
                    <w:div w:id="294144745">
                      <w:marLeft w:val="0"/>
                      <w:marRight w:val="0"/>
                      <w:marTop w:val="0"/>
                      <w:marBottom w:val="0"/>
                      <w:divBdr>
                        <w:top w:val="none" w:sz="0" w:space="0" w:color="auto"/>
                        <w:left w:val="none" w:sz="0" w:space="0" w:color="auto"/>
                        <w:bottom w:val="none" w:sz="0" w:space="0" w:color="auto"/>
                        <w:right w:val="none" w:sz="0" w:space="0" w:color="auto"/>
                      </w:divBdr>
                      <w:divsChild>
                        <w:div w:id="294156354">
                          <w:marLeft w:val="0"/>
                          <w:marRight w:val="0"/>
                          <w:marTop w:val="0"/>
                          <w:marBottom w:val="0"/>
                          <w:divBdr>
                            <w:top w:val="none" w:sz="0" w:space="0" w:color="auto"/>
                            <w:left w:val="none" w:sz="0" w:space="0" w:color="auto"/>
                            <w:bottom w:val="none" w:sz="0" w:space="0" w:color="auto"/>
                            <w:right w:val="none" w:sz="0" w:space="0" w:color="auto"/>
                          </w:divBdr>
                        </w:div>
                      </w:divsChild>
                    </w:div>
                    <w:div w:id="294144799">
                      <w:marLeft w:val="0"/>
                      <w:marRight w:val="0"/>
                      <w:marTop w:val="0"/>
                      <w:marBottom w:val="0"/>
                      <w:divBdr>
                        <w:top w:val="none" w:sz="0" w:space="0" w:color="auto"/>
                        <w:left w:val="none" w:sz="0" w:space="0" w:color="auto"/>
                        <w:bottom w:val="none" w:sz="0" w:space="0" w:color="auto"/>
                        <w:right w:val="none" w:sz="0" w:space="0" w:color="auto"/>
                      </w:divBdr>
                      <w:divsChild>
                        <w:div w:id="294151187">
                          <w:marLeft w:val="0"/>
                          <w:marRight w:val="0"/>
                          <w:marTop w:val="0"/>
                          <w:marBottom w:val="0"/>
                          <w:divBdr>
                            <w:top w:val="none" w:sz="0" w:space="0" w:color="auto"/>
                            <w:left w:val="none" w:sz="0" w:space="0" w:color="auto"/>
                            <w:bottom w:val="none" w:sz="0" w:space="0" w:color="auto"/>
                            <w:right w:val="none" w:sz="0" w:space="0" w:color="auto"/>
                          </w:divBdr>
                        </w:div>
                      </w:divsChild>
                    </w:div>
                    <w:div w:id="294144871">
                      <w:marLeft w:val="0"/>
                      <w:marRight w:val="0"/>
                      <w:marTop w:val="0"/>
                      <w:marBottom w:val="0"/>
                      <w:divBdr>
                        <w:top w:val="none" w:sz="0" w:space="0" w:color="auto"/>
                        <w:left w:val="none" w:sz="0" w:space="0" w:color="auto"/>
                        <w:bottom w:val="none" w:sz="0" w:space="0" w:color="auto"/>
                        <w:right w:val="none" w:sz="0" w:space="0" w:color="auto"/>
                      </w:divBdr>
                    </w:div>
                    <w:div w:id="294144874">
                      <w:marLeft w:val="0"/>
                      <w:marRight w:val="0"/>
                      <w:marTop w:val="0"/>
                      <w:marBottom w:val="0"/>
                      <w:divBdr>
                        <w:top w:val="none" w:sz="0" w:space="0" w:color="auto"/>
                        <w:left w:val="none" w:sz="0" w:space="0" w:color="auto"/>
                        <w:bottom w:val="none" w:sz="0" w:space="0" w:color="auto"/>
                        <w:right w:val="none" w:sz="0" w:space="0" w:color="auto"/>
                      </w:divBdr>
                    </w:div>
                    <w:div w:id="294145067">
                      <w:marLeft w:val="0"/>
                      <w:marRight w:val="0"/>
                      <w:marTop w:val="0"/>
                      <w:marBottom w:val="0"/>
                      <w:divBdr>
                        <w:top w:val="none" w:sz="0" w:space="0" w:color="auto"/>
                        <w:left w:val="none" w:sz="0" w:space="0" w:color="auto"/>
                        <w:bottom w:val="none" w:sz="0" w:space="0" w:color="auto"/>
                        <w:right w:val="none" w:sz="0" w:space="0" w:color="auto"/>
                      </w:divBdr>
                      <w:divsChild>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294145571">
                      <w:marLeft w:val="0"/>
                      <w:marRight w:val="0"/>
                      <w:marTop w:val="0"/>
                      <w:marBottom w:val="0"/>
                      <w:divBdr>
                        <w:top w:val="none" w:sz="0" w:space="0" w:color="auto"/>
                        <w:left w:val="none" w:sz="0" w:space="0" w:color="auto"/>
                        <w:bottom w:val="none" w:sz="0" w:space="0" w:color="auto"/>
                        <w:right w:val="none" w:sz="0" w:space="0" w:color="auto"/>
                      </w:divBdr>
                      <w:divsChild>
                        <w:div w:id="294148499">
                          <w:marLeft w:val="0"/>
                          <w:marRight w:val="0"/>
                          <w:marTop w:val="0"/>
                          <w:marBottom w:val="0"/>
                          <w:divBdr>
                            <w:top w:val="none" w:sz="0" w:space="0" w:color="auto"/>
                            <w:left w:val="none" w:sz="0" w:space="0" w:color="auto"/>
                            <w:bottom w:val="none" w:sz="0" w:space="0" w:color="auto"/>
                            <w:right w:val="none" w:sz="0" w:space="0" w:color="auto"/>
                          </w:divBdr>
                        </w:div>
                      </w:divsChild>
                    </w:div>
                    <w:div w:id="294145856">
                      <w:marLeft w:val="0"/>
                      <w:marRight w:val="0"/>
                      <w:marTop w:val="0"/>
                      <w:marBottom w:val="0"/>
                      <w:divBdr>
                        <w:top w:val="none" w:sz="0" w:space="0" w:color="auto"/>
                        <w:left w:val="none" w:sz="0" w:space="0" w:color="auto"/>
                        <w:bottom w:val="none" w:sz="0" w:space="0" w:color="auto"/>
                        <w:right w:val="none" w:sz="0" w:space="0" w:color="auto"/>
                      </w:divBdr>
                    </w:div>
                    <w:div w:id="294145857">
                      <w:marLeft w:val="0"/>
                      <w:marRight w:val="0"/>
                      <w:marTop w:val="0"/>
                      <w:marBottom w:val="0"/>
                      <w:divBdr>
                        <w:top w:val="none" w:sz="0" w:space="0" w:color="auto"/>
                        <w:left w:val="none" w:sz="0" w:space="0" w:color="auto"/>
                        <w:bottom w:val="none" w:sz="0" w:space="0" w:color="auto"/>
                        <w:right w:val="none" w:sz="0" w:space="0" w:color="auto"/>
                      </w:divBdr>
                      <w:divsChild>
                        <w:div w:id="294146582">
                          <w:marLeft w:val="0"/>
                          <w:marRight w:val="0"/>
                          <w:marTop w:val="0"/>
                          <w:marBottom w:val="0"/>
                          <w:divBdr>
                            <w:top w:val="none" w:sz="0" w:space="0" w:color="auto"/>
                            <w:left w:val="none" w:sz="0" w:space="0" w:color="auto"/>
                            <w:bottom w:val="none" w:sz="0" w:space="0" w:color="auto"/>
                            <w:right w:val="none" w:sz="0" w:space="0" w:color="auto"/>
                          </w:divBdr>
                        </w:div>
                      </w:divsChild>
                    </w:div>
                    <w:div w:id="294145964">
                      <w:marLeft w:val="0"/>
                      <w:marRight w:val="0"/>
                      <w:marTop w:val="0"/>
                      <w:marBottom w:val="0"/>
                      <w:divBdr>
                        <w:top w:val="none" w:sz="0" w:space="0" w:color="auto"/>
                        <w:left w:val="none" w:sz="0" w:space="0" w:color="auto"/>
                        <w:bottom w:val="none" w:sz="0" w:space="0" w:color="auto"/>
                        <w:right w:val="none" w:sz="0" w:space="0" w:color="auto"/>
                      </w:divBdr>
                    </w:div>
                    <w:div w:id="294146052">
                      <w:marLeft w:val="0"/>
                      <w:marRight w:val="0"/>
                      <w:marTop w:val="0"/>
                      <w:marBottom w:val="0"/>
                      <w:divBdr>
                        <w:top w:val="none" w:sz="0" w:space="0" w:color="auto"/>
                        <w:left w:val="none" w:sz="0" w:space="0" w:color="auto"/>
                        <w:bottom w:val="none" w:sz="0" w:space="0" w:color="auto"/>
                        <w:right w:val="none" w:sz="0" w:space="0" w:color="auto"/>
                      </w:divBdr>
                      <w:divsChild>
                        <w:div w:id="294140036">
                          <w:marLeft w:val="0"/>
                          <w:marRight w:val="0"/>
                          <w:marTop w:val="0"/>
                          <w:marBottom w:val="0"/>
                          <w:divBdr>
                            <w:top w:val="none" w:sz="0" w:space="0" w:color="auto"/>
                            <w:left w:val="none" w:sz="0" w:space="0" w:color="auto"/>
                            <w:bottom w:val="none" w:sz="0" w:space="0" w:color="auto"/>
                            <w:right w:val="none" w:sz="0" w:space="0" w:color="auto"/>
                          </w:divBdr>
                        </w:div>
                      </w:divsChild>
                    </w:div>
                    <w:div w:id="294146630">
                      <w:marLeft w:val="0"/>
                      <w:marRight w:val="0"/>
                      <w:marTop w:val="0"/>
                      <w:marBottom w:val="0"/>
                      <w:divBdr>
                        <w:top w:val="none" w:sz="0" w:space="0" w:color="auto"/>
                        <w:left w:val="none" w:sz="0" w:space="0" w:color="auto"/>
                        <w:bottom w:val="none" w:sz="0" w:space="0" w:color="auto"/>
                        <w:right w:val="none" w:sz="0" w:space="0" w:color="auto"/>
                      </w:divBdr>
                      <w:divsChild>
                        <w:div w:id="294152047">
                          <w:marLeft w:val="0"/>
                          <w:marRight w:val="0"/>
                          <w:marTop w:val="0"/>
                          <w:marBottom w:val="0"/>
                          <w:divBdr>
                            <w:top w:val="none" w:sz="0" w:space="0" w:color="auto"/>
                            <w:left w:val="none" w:sz="0" w:space="0" w:color="auto"/>
                            <w:bottom w:val="none" w:sz="0" w:space="0" w:color="auto"/>
                            <w:right w:val="none" w:sz="0" w:space="0" w:color="auto"/>
                          </w:divBdr>
                        </w:div>
                      </w:divsChild>
                    </w:div>
                    <w:div w:id="294146636">
                      <w:marLeft w:val="0"/>
                      <w:marRight w:val="0"/>
                      <w:marTop w:val="0"/>
                      <w:marBottom w:val="0"/>
                      <w:divBdr>
                        <w:top w:val="none" w:sz="0" w:space="0" w:color="auto"/>
                        <w:left w:val="none" w:sz="0" w:space="0" w:color="auto"/>
                        <w:bottom w:val="none" w:sz="0" w:space="0" w:color="auto"/>
                        <w:right w:val="none" w:sz="0" w:space="0" w:color="auto"/>
                      </w:divBdr>
                      <w:divsChild>
                        <w:div w:id="294140906">
                          <w:marLeft w:val="0"/>
                          <w:marRight w:val="0"/>
                          <w:marTop w:val="0"/>
                          <w:marBottom w:val="0"/>
                          <w:divBdr>
                            <w:top w:val="none" w:sz="0" w:space="0" w:color="auto"/>
                            <w:left w:val="none" w:sz="0" w:space="0" w:color="auto"/>
                            <w:bottom w:val="none" w:sz="0" w:space="0" w:color="auto"/>
                            <w:right w:val="none" w:sz="0" w:space="0" w:color="auto"/>
                          </w:divBdr>
                        </w:div>
                      </w:divsChild>
                    </w:div>
                    <w:div w:id="294146878">
                      <w:marLeft w:val="0"/>
                      <w:marRight w:val="0"/>
                      <w:marTop w:val="0"/>
                      <w:marBottom w:val="0"/>
                      <w:divBdr>
                        <w:top w:val="none" w:sz="0" w:space="0" w:color="auto"/>
                        <w:left w:val="none" w:sz="0" w:space="0" w:color="auto"/>
                        <w:bottom w:val="none" w:sz="0" w:space="0" w:color="auto"/>
                        <w:right w:val="none" w:sz="0" w:space="0" w:color="auto"/>
                      </w:divBdr>
                    </w:div>
                    <w:div w:id="294146903">
                      <w:marLeft w:val="0"/>
                      <w:marRight w:val="0"/>
                      <w:marTop w:val="0"/>
                      <w:marBottom w:val="0"/>
                      <w:divBdr>
                        <w:top w:val="none" w:sz="0" w:space="0" w:color="auto"/>
                        <w:left w:val="none" w:sz="0" w:space="0" w:color="auto"/>
                        <w:bottom w:val="none" w:sz="0" w:space="0" w:color="auto"/>
                        <w:right w:val="none" w:sz="0" w:space="0" w:color="auto"/>
                      </w:divBdr>
                    </w:div>
                    <w:div w:id="294147004">
                      <w:marLeft w:val="0"/>
                      <w:marRight w:val="0"/>
                      <w:marTop w:val="0"/>
                      <w:marBottom w:val="0"/>
                      <w:divBdr>
                        <w:top w:val="none" w:sz="0" w:space="0" w:color="auto"/>
                        <w:left w:val="none" w:sz="0" w:space="0" w:color="auto"/>
                        <w:bottom w:val="none" w:sz="0" w:space="0" w:color="auto"/>
                        <w:right w:val="none" w:sz="0" w:space="0" w:color="auto"/>
                      </w:divBdr>
                    </w:div>
                    <w:div w:id="294147047">
                      <w:marLeft w:val="0"/>
                      <w:marRight w:val="0"/>
                      <w:marTop w:val="0"/>
                      <w:marBottom w:val="0"/>
                      <w:divBdr>
                        <w:top w:val="none" w:sz="0" w:space="0" w:color="auto"/>
                        <w:left w:val="none" w:sz="0" w:space="0" w:color="auto"/>
                        <w:bottom w:val="none" w:sz="0" w:space="0" w:color="auto"/>
                        <w:right w:val="none" w:sz="0" w:space="0" w:color="auto"/>
                      </w:divBdr>
                      <w:divsChild>
                        <w:div w:id="294144599">
                          <w:marLeft w:val="0"/>
                          <w:marRight w:val="0"/>
                          <w:marTop w:val="0"/>
                          <w:marBottom w:val="0"/>
                          <w:divBdr>
                            <w:top w:val="none" w:sz="0" w:space="0" w:color="auto"/>
                            <w:left w:val="none" w:sz="0" w:space="0" w:color="auto"/>
                            <w:bottom w:val="none" w:sz="0" w:space="0" w:color="auto"/>
                            <w:right w:val="none" w:sz="0" w:space="0" w:color="auto"/>
                          </w:divBdr>
                        </w:div>
                      </w:divsChild>
                    </w:div>
                    <w:div w:id="294147154">
                      <w:marLeft w:val="0"/>
                      <w:marRight w:val="0"/>
                      <w:marTop w:val="0"/>
                      <w:marBottom w:val="0"/>
                      <w:divBdr>
                        <w:top w:val="none" w:sz="0" w:space="0" w:color="auto"/>
                        <w:left w:val="none" w:sz="0" w:space="0" w:color="auto"/>
                        <w:bottom w:val="none" w:sz="0" w:space="0" w:color="auto"/>
                        <w:right w:val="none" w:sz="0" w:space="0" w:color="auto"/>
                      </w:divBdr>
                      <w:divsChild>
                        <w:div w:id="294151648">
                          <w:marLeft w:val="0"/>
                          <w:marRight w:val="0"/>
                          <w:marTop w:val="0"/>
                          <w:marBottom w:val="0"/>
                          <w:divBdr>
                            <w:top w:val="none" w:sz="0" w:space="0" w:color="auto"/>
                            <w:left w:val="none" w:sz="0" w:space="0" w:color="auto"/>
                            <w:bottom w:val="none" w:sz="0" w:space="0" w:color="auto"/>
                            <w:right w:val="none" w:sz="0" w:space="0" w:color="auto"/>
                          </w:divBdr>
                        </w:div>
                      </w:divsChild>
                    </w:div>
                    <w:div w:id="294147263">
                      <w:marLeft w:val="0"/>
                      <w:marRight w:val="0"/>
                      <w:marTop w:val="0"/>
                      <w:marBottom w:val="0"/>
                      <w:divBdr>
                        <w:top w:val="none" w:sz="0" w:space="0" w:color="auto"/>
                        <w:left w:val="none" w:sz="0" w:space="0" w:color="auto"/>
                        <w:bottom w:val="none" w:sz="0" w:space="0" w:color="auto"/>
                        <w:right w:val="none" w:sz="0" w:space="0" w:color="auto"/>
                      </w:divBdr>
                      <w:divsChild>
                        <w:div w:id="294150191">
                          <w:marLeft w:val="0"/>
                          <w:marRight w:val="0"/>
                          <w:marTop w:val="0"/>
                          <w:marBottom w:val="0"/>
                          <w:divBdr>
                            <w:top w:val="none" w:sz="0" w:space="0" w:color="auto"/>
                            <w:left w:val="none" w:sz="0" w:space="0" w:color="auto"/>
                            <w:bottom w:val="none" w:sz="0" w:space="0" w:color="auto"/>
                            <w:right w:val="none" w:sz="0" w:space="0" w:color="auto"/>
                          </w:divBdr>
                        </w:div>
                      </w:divsChild>
                    </w:div>
                    <w:div w:id="294147417">
                      <w:marLeft w:val="0"/>
                      <w:marRight w:val="0"/>
                      <w:marTop w:val="0"/>
                      <w:marBottom w:val="0"/>
                      <w:divBdr>
                        <w:top w:val="none" w:sz="0" w:space="0" w:color="auto"/>
                        <w:left w:val="none" w:sz="0" w:space="0" w:color="auto"/>
                        <w:bottom w:val="none" w:sz="0" w:space="0" w:color="auto"/>
                        <w:right w:val="none" w:sz="0" w:space="0" w:color="auto"/>
                      </w:divBdr>
                    </w:div>
                    <w:div w:id="294147485">
                      <w:marLeft w:val="0"/>
                      <w:marRight w:val="0"/>
                      <w:marTop w:val="0"/>
                      <w:marBottom w:val="0"/>
                      <w:divBdr>
                        <w:top w:val="none" w:sz="0" w:space="0" w:color="auto"/>
                        <w:left w:val="none" w:sz="0" w:space="0" w:color="auto"/>
                        <w:bottom w:val="none" w:sz="0" w:space="0" w:color="auto"/>
                        <w:right w:val="none" w:sz="0" w:space="0" w:color="auto"/>
                      </w:divBdr>
                    </w:div>
                    <w:div w:id="294147793">
                      <w:marLeft w:val="0"/>
                      <w:marRight w:val="0"/>
                      <w:marTop w:val="0"/>
                      <w:marBottom w:val="0"/>
                      <w:divBdr>
                        <w:top w:val="none" w:sz="0" w:space="0" w:color="auto"/>
                        <w:left w:val="none" w:sz="0" w:space="0" w:color="auto"/>
                        <w:bottom w:val="none" w:sz="0" w:space="0" w:color="auto"/>
                        <w:right w:val="none" w:sz="0" w:space="0" w:color="auto"/>
                      </w:divBdr>
                      <w:divsChild>
                        <w:div w:id="294152585">
                          <w:marLeft w:val="0"/>
                          <w:marRight w:val="0"/>
                          <w:marTop w:val="0"/>
                          <w:marBottom w:val="0"/>
                          <w:divBdr>
                            <w:top w:val="none" w:sz="0" w:space="0" w:color="auto"/>
                            <w:left w:val="none" w:sz="0" w:space="0" w:color="auto"/>
                            <w:bottom w:val="none" w:sz="0" w:space="0" w:color="auto"/>
                            <w:right w:val="none" w:sz="0" w:space="0" w:color="auto"/>
                          </w:divBdr>
                        </w:div>
                      </w:divsChild>
                    </w:div>
                    <w:div w:id="294148334">
                      <w:marLeft w:val="0"/>
                      <w:marRight w:val="0"/>
                      <w:marTop w:val="0"/>
                      <w:marBottom w:val="0"/>
                      <w:divBdr>
                        <w:top w:val="none" w:sz="0" w:space="0" w:color="auto"/>
                        <w:left w:val="none" w:sz="0" w:space="0" w:color="auto"/>
                        <w:bottom w:val="none" w:sz="0" w:space="0" w:color="auto"/>
                        <w:right w:val="none" w:sz="0" w:space="0" w:color="auto"/>
                      </w:divBdr>
                    </w:div>
                    <w:div w:id="294148542">
                      <w:marLeft w:val="0"/>
                      <w:marRight w:val="0"/>
                      <w:marTop w:val="0"/>
                      <w:marBottom w:val="0"/>
                      <w:divBdr>
                        <w:top w:val="none" w:sz="0" w:space="0" w:color="auto"/>
                        <w:left w:val="none" w:sz="0" w:space="0" w:color="auto"/>
                        <w:bottom w:val="none" w:sz="0" w:space="0" w:color="auto"/>
                        <w:right w:val="none" w:sz="0" w:space="0" w:color="auto"/>
                      </w:divBdr>
                    </w:div>
                    <w:div w:id="294148824">
                      <w:marLeft w:val="0"/>
                      <w:marRight w:val="0"/>
                      <w:marTop w:val="0"/>
                      <w:marBottom w:val="0"/>
                      <w:divBdr>
                        <w:top w:val="none" w:sz="0" w:space="0" w:color="auto"/>
                        <w:left w:val="none" w:sz="0" w:space="0" w:color="auto"/>
                        <w:bottom w:val="none" w:sz="0" w:space="0" w:color="auto"/>
                        <w:right w:val="none" w:sz="0" w:space="0" w:color="auto"/>
                      </w:divBdr>
                      <w:divsChild>
                        <w:div w:id="294152090">
                          <w:marLeft w:val="0"/>
                          <w:marRight w:val="0"/>
                          <w:marTop w:val="0"/>
                          <w:marBottom w:val="0"/>
                          <w:divBdr>
                            <w:top w:val="none" w:sz="0" w:space="0" w:color="auto"/>
                            <w:left w:val="none" w:sz="0" w:space="0" w:color="auto"/>
                            <w:bottom w:val="none" w:sz="0" w:space="0" w:color="auto"/>
                            <w:right w:val="none" w:sz="0" w:space="0" w:color="auto"/>
                          </w:divBdr>
                        </w:div>
                      </w:divsChild>
                    </w:div>
                    <w:div w:id="294148891">
                      <w:marLeft w:val="0"/>
                      <w:marRight w:val="0"/>
                      <w:marTop w:val="0"/>
                      <w:marBottom w:val="0"/>
                      <w:divBdr>
                        <w:top w:val="none" w:sz="0" w:space="0" w:color="auto"/>
                        <w:left w:val="none" w:sz="0" w:space="0" w:color="auto"/>
                        <w:bottom w:val="none" w:sz="0" w:space="0" w:color="auto"/>
                        <w:right w:val="none" w:sz="0" w:space="0" w:color="auto"/>
                      </w:divBdr>
                    </w:div>
                    <w:div w:id="294148911">
                      <w:marLeft w:val="0"/>
                      <w:marRight w:val="0"/>
                      <w:marTop w:val="0"/>
                      <w:marBottom w:val="0"/>
                      <w:divBdr>
                        <w:top w:val="none" w:sz="0" w:space="0" w:color="auto"/>
                        <w:left w:val="none" w:sz="0" w:space="0" w:color="auto"/>
                        <w:bottom w:val="none" w:sz="0" w:space="0" w:color="auto"/>
                        <w:right w:val="none" w:sz="0" w:space="0" w:color="auto"/>
                      </w:divBdr>
                      <w:divsChild>
                        <w:div w:id="294146046">
                          <w:marLeft w:val="0"/>
                          <w:marRight w:val="0"/>
                          <w:marTop w:val="0"/>
                          <w:marBottom w:val="0"/>
                          <w:divBdr>
                            <w:top w:val="none" w:sz="0" w:space="0" w:color="auto"/>
                            <w:left w:val="none" w:sz="0" w:space="0" w:color="auto"/>
                            <w:bottom w:val="none" w:sz="0" w:space="0" w:color="auto"/>
                            <w:right w:val="none" w:sz="0" w:space="0" w:color="auto"/>
                          </w:divBdr>
                        </w:div>
                      </w:divsChild>
                    </w:div>
                    <w:div w:id="294149067">
                      <w:marLeft w:val="0"/>
                      <w:marRight w:val="0"/>
                      <w:marTop w:val="0"/>
                      <w:marBottom w:val="0"/>
                      <w:divBdr>
                        <w:top w:val="none" w:sz="0" w:space="0" w:color="auto"/>
                        <w:left w:val="none" w:sz="0" w:space="0" w:color="auto"/>
                        <w:bottom w:val="none" w:sz="0" w:space="0" w:color="auto"/>
                        <w:right w:val="none" w:sz="0" w:space="0" w:color="auto"/>
                      </w:divBdr>
                      <w:divsChild>
                        <w:div w:id="294145445">
                          <w:marLeft w:val="0"/>
                          <w:marRight w:val="0"/>
                          <w:marTop w:val="0"/>
                          <w:marBottom w:val="0"/>
                          <w:divBdr>
                            <w:top w:val="none" w:sz="0" w:space="0" w:color="auto"/>
                            <w:left w:val="none" w:sz="0" w:space="0" w:color="auto"/>
                            <w:bottom w:val="none" w:sz="0" w:space="0" w:color="auto"/>
                            <w:right w:val="none" w:sz="0" w:space="0" w:color="auto"/>
                          </w:divBdr>
                        </w:div>
                      </w:divsChild>
                    </w:div>
                    <w:div w:id="294149346">
                      <w:marLeft w:val="0"/>
                      <w:marRight w:val="0"/>
                      <w:marTop w:val="0"/>
                      <w:marBottom w:val="0"/>
                      <w:divBdr>
                        <w:top w:val="none" w:sz="0" w:space="0" w:color="auto"/>
                        <w:left w:val="none" w:sz="0" w:space="0" w:color="auto"/>
                        <w:bottom w:val="none" w:sz="0" w:space="0" w:color="auto"/>
                        <w:right w:val="none" w:sz="0" w:space="0" w:color="auto"/>
                      </w:divBdr>
                    </w:div>
                    <w:div w:id="294149371">
                      <w:marLeft w:val="0"/>
                      <w:marRight w:val="0"/>
                      <w:marTop w:val="0"/>
                      <w:marBottom w:val="0"/>
                      <w:divBdr>
                        <w:top w:val="none" w:sz="0" w:space="0" w:color="auto"/>
                        <w:left w:val="none" w:sz="0" w:space="0" w:color="auto"/>
                        <w:bottom w:val="none" w:sz="0" w:space="0" w:color="auto"/>
                        <w:right w:val="none" w:sz="0" w:space="0" w:color="auto"/>
                      </w:divBdr>
                    </w:div>
                    <w:div w:id="294149414">
                      <w:marLeft w:val="0"/>
                      <w:marRight w:val="0"/>
                      <w:marTop w:val="0"/>
                      <w:marBottom w:val="0"/>
                      <w:divBdr>
                        <w:top w:val="none" w:sz="0" w:space="0" w:color="auto"/>
                        <w:left w:val="none" w:sz="0" w:space="0" w:color="auto"/>
                        <w:bottom w:val="none" w:sz="0" w:space="0" w:color="auto"/>
                        <w:right w:val="none" w:sz="0" w:space="0" w:color="auto"/>
                      </w:divBdr>
                    </w:div>
                    <w:div w:id="294149990">
                      <w:marLeft w:val="0"/>
                      <w:marRight w:val="0"/>
                      <w:marTop w:val="0"/>
                      <w:marBottom w:val="0"/>
                      <w:divBdr>
                        <w:top w:val="none" w:sz="0" w:space="0" w:color="auto"/>
                        <w:left w:val="none" w:sz="0" w:space="0" w:color="auto"/>
                        <w:bottom w:val="none" w:sz="0" w:space="0" w:color="auto"/>
                        <w:right w:val="none" w:sz="0" w:space="0" w:color="auto"/>
                      </w:divBdr>
                    </w:div>
                    <w:div w:id="294150202">
                      <w:marLeft w:val="0"/>
                      <w:marRight w:val="0"/>
                      <w:marTop w:val="0"/>
                      <w:marBottom w:val="0"/>
                      <w:divBdr>
                        <w:top w:val="none" w:sz="0" w:space="0" w:color="auto"/>
                        <w:left w:val="none" w:sz="0" w:space="0" w:color="auto"/>
                        <w:bottom w:val="none" w:sz="0" w:space="0" w:color="auto"/>
                        <w:right w:val="none" w:sz="0" w:space="0" w:color="auto"/>
                      </w:divBdr>
                      <w:divsChild>
                        <w:div w:id="294150134">
                          <w:marLeft w:val="0"/>
                          <w:marRight w:val="0"/>
                          <w:marTop w:val="0"/>
                          <w:marBottom w:val="0"/>
                          <w:divBdr>
                            <w:top w:val="none" w:sz="0" w:space="0" w:color="auto"/>
                            <w:left w:val="none" w:sz="0" w:space="0" w:color="auto"/>
                            <w:bottom w:val="none" w:sz="0" w:space="0" w:color="auto"/>
                            <w:right w:val="none" w:sz="0" w:space="0" w:color="auto"/>
                          </w:divBdr>
                        </w:div>
                      </w:divsChild>
                    </w:div>
                    <w:div w:id="294150264">
                      <w:marLeft w:val="0"/>
                      <w:marRight w:val="0"/>
                      <w:marTop w:val="0"/>
                      <w:marBottom w:val="0"/>
                      <w:divBdr>
                        <w:top w:val="none" w:sz="0" w:space="0" w:color="auto"/>
                        <w:left w:val="none" w:sz="0" w:space="0" w:color="auto"/>
                        <w:bottom w:val="none" w:sz="0" w:space="0" w:color="auto"/>
                        <w:right w:val="none" w:sz="0" w:space="0" w:color="auto"/>
                      </w:divBdr>
                      <w:divsChild>
                        <w:div w:id="294138422">
                          <w:marLeft w:val="0"/>
                          <w:marRight w:val="0"/>
                          <w:marTop w:val="0"/>
                          <w:marBottom w:val="0"/>
                          <w:divBdr>
                            <w:top w:val="none" w:sz="0" w:space="0" w:color="auto"/>
                            <w:left w:val="none" w:sz="0" w:space="0" w:color="auto"/>
                            <w:bottom w:val="none" w:sz="0" w:space="0" w:color="auto"/>
                            <w:right w:val="none" w:sz="0" w:space="0" w:color="auto"/>
                          </w:divBdr>
                        </w:div>
                      </w:divsChild>
                    </w:div>
                    <w:div w:id="294150504">
                      <w:marLeft w:val="0"/>
                      <w:marRight w:val="0"/>
                      <w:marTop w:val="0"/>
                      <w:marBottom w:val="0"/>
                      <w:divBdr>
                        <w:top w:val="none" w:sz="0" w:space="0" w:color="auto"/>
                        <w:left w:val="none" w:sz="0" w:space="0" w:color="auto"/>
                        <w:bottom w:val="none" w:sz="0" w:space="0" w:color="auto"/>
                        <w:right w:val="none" w:sz="0" w:space="0" w:color="auto"/>
                      </w:divBdr>
                    </w:div>
                    <w:div w:id="294150550">
                      <w:marLeft w:val="0"/>
                      <w:marRight w:val="0"/>
                      <w:marTop w:val="0"/>
                      <w:marBottom w:val="0"/>
                      <w:divBdr>
                        <w:top w:val="none" w:sz="0" w:space="0" w:color="auto"/>
                        <w:left w:val="none" w:sz="0" w:space="0" w:color="auto"/>
                        <w:bottom w:val="none" w:sz="0" w:space="0" w:color="auto"/>
                        <w:right w:val="none" w:sz="0" w:space="0" w:color="auto"/>
                      </w:divBdr>
                    </w:div>
                    <w:div w:id="294150749">
                      <w:marLeft w:val="0"/>
                      <w:marRight w:val="0"/>
                      <w:marTop w:val="0"/>
                      <w:marBottom w:val="0"/>
                      <w:divBdr>
                        <w:top w:val="none" w:sz="0" w:space="0" w:color="auto"/>
                        <w:left w:val="none" w:sz="0" w:space="0" w:color="auto"/>
                        <w:bottom w:val="none" w:sz="0" w:space="0" w:color="auto"/>
                        <w:right w:val="none" w:sz="0" w:space="0" w:color="auto"/>
                      </w:divBdr>
                      <w:divsChild>
                        <w:div w:id="294138093">
                          <w:marLeft w:val="0"/>
                          <w:marRight w:val="0"/>
                          <w:marTop w:val="0"/>
                          <w:marBottom w:val="0"/>
                          <w:divBdr>
                            <w:top w:val="none" w:sz="0" w:space="0" w:color="auto"/>
                            <w:left w:val="none" w:sz="0" w:space="0" w:color="auto"/>
                            <w:bottom w:val="none" w:sz="0" w:space="0" w:color="auto"/>
                            <w:right w:val="none" w:sz="0" w:space="0" w:color="auto"/>
                          </w:divBdr>
                        </w:div>
                      </w:divsChild>
                    </w:div>
                    <w:div w:id="294150756">
                      <w:marLeft w:val="0"/>
                      <w:marRight w:val="0"/>
                      <w:marTop w:val="0"/>
                      <w:marBottom w:val="0"/>
                      <w:divBdr>
                        <w:top w:val="none" w:sz="0" w:space="0" w:color="auto"/>
                        <w:left w:val="none" w:sz="0" w:space="0" w:color="auto"/>
                        <w:bottom w:val="none" w:sz="0" w:space="0" w:color="auto"/>
                        <w:right w:val="none" w:sz="0" w:space="0" w:color="auto"/>
                      </w:divBdr>
                      <w:divsChild>
                        <w:div w:id="294146047">
                          <w:marLeft w:val="0"/>
                          <w:marRight w:val="0"/>
                          <w:marTop w:val="0"/>
                          <w:marBottom w:val="0"/>
                          <w:divBdr>
                            <w:top w:val="none" w:sz="0" w:space="0" w:color="auto"/>
                            <w:left w:val="none" w:sz="0" w:space="0" w:color="auto"/>
                            <w:bottom w:val="none" w:sz="0" w:space="0" w:color="auto"/>
                            <w:right w:val="none" w:sz="0" w:space="0" w:color="auto"/>
                          </w:divBdr>
                        </w:div>
                      </w:divsChild>
                    </w:div>
                    <w:div w:id="294150772">
                      <w:marLeft w:val="0"/>
                      <w:marRight w:val="0"/>
                      <w:marTop w:val="0"/>
                      <w:marBottom w:val="0"/>
                      <w:divBdr>
                        <w:top w:val="none" w:sz="0" w:space="0" w:color="auto"/>
                        <w:left w:val="none" w:sz="0" w:space="0" w:color="auto"/>
                        <w:bottom w:val="none" w:sz="0" w:space="0" w:color="auto"/>
                        <w:right w:val="none" w:sz="0" w:space="0" w:color="auto"/>
                      </w:divBdr>
                      <w:divsChild>
                        <w:div w:id="294154604">
                          <w:marLeft w:val="0"/>
                          <w:marRight w:val="0"/>
                          <w:marTop w:val="0"/>
                          <w:marBottom w:val="0"/>
                          <w:divBdr>
                            <w:top w:val="none" w:sz="0" w:space="0" w:color="auto"/>
                            <w:left w:val="none" w:sz="0" w:space="0" w:color="auto"/>
                            <w:bottom w:val="none" w:sz="0" w:space="0" w:color="auto"/>
                            <w:right w:val="none" w:sz="0" w:space="0" w:color="auto"/>
                          </w:divBdr>
                        </w:div>
                      </w:divsChild>
                    </w:div>
                    <w:div w:id="294150900">
                      <w:marLeft w:val="0"/>
                      <w:marRight w:val="0"/>
                      <w:marTop w:val="0"/>
                      <w:marBottom w:val="0"/>
                      <w:divBdr>
                        <w:top w:val="none" w:sz="0" w:space="0" w:color="auto"/>
                        <w:left w:val="none" w:sz="0" w:space="0" w:color="auto"/>
                        <w:bottom w:val="none" w:sz="0" w:space="0" w:color="auto"/>
                        <w:right w:val="none" w:sz="0" w:space="0" w:color="auto"/>
                      </w:divBdr>
                      <w:divsChild>
                        <w:div w:id="294142900">
                          <w:marLeft w:val="0"/>
                          <w:marRight w:val="0"/>
                          <w:marTop w:val="0"/>
                          <w:marBottom w:val="0"/>
                          <w:divBdr>
                            <w:top w:val="none" w:sz="0" w:space="0" w:color="auto"/>
                            <w:left w:val="none" w:sz="0" w:space="0" w:color="auto"/>
                            <w:bottom w:val="none" w:sz="0" w:space="0" w:color="auto"/>
                            <w:right w:val="none" w:sz="0" w:space="0" w:color="auto"/>
                          </w:divBdr>
                        </w:div>
                      </w:divsChild>
                    </w:div>
                    <w:div w:id="294151022">
                      <w:marLeft w:val="0"/>
                      <w:marRight w:val="0"/>
                      <w:marTop w:val="0"/>
                      <w:marBottom w:val="0"/>
                      <w:divBdr>
                        <w:top w:val="none" w:sz="0" w:space="0" w:color="auto"/>
                        <w:left w:val="none" w:sz="0" w:space="0" w:color="auto"/>
                        <w:bottom w:val="none" w:sz="0" w:space="0" w:color="auto"/>
                        <w:right w:val="none" w:sz="0" w:space="0" w:color="auto"/>
                      </w:divBdr>
                      <w:divsChild>
                        <w:div w:id="294148215">
                          <w:marLeft w:val="0"/>
                          <w:marRight w:val="0"/>
                          <w:marTop w:val="0"/>
                          <w:marBottom w:val="0"/>
                          <w:divBdr>
                            <w:top w:val="none" w:sz="0" w:space="0" w:color="auto"/>
                            <w:left w:val="none" w:sz="0" w:space="0" w:color="auto"/>
                            <w:bottom w:val="none" w:sz="0" w:space="0" w:color="auto"/>
                            <w:right w:val="none" w:sz="0" w:space="0" w:color="auto"/>
                          </w:divBdr>
                        </w:div>
                      </w:divsChild>
                    </w:div>
                    <w:div w:id="294151098">
                      <w:marLeft w:val="0"/>
                      <w:marRight w:val="0"/>
                      <w:marTop w:val="0"/>
                      <w:marBottom w:val="0"/>
                      <w:divBdr>
                        <w:top w:val="none" w:sz="0" w:space="0" w:color="auto"/>
                        <w:left w:val="none" w:sz="0" w:space="0" w:color="auto"/>
                        <w:bottom w:val="none" w:sz="0" w:space="0" w:color="auto"/>
                        <w:right w:val="none" w:sz="0" w:space="0" w:color="auto"/>
                      </w:divBdr>
                      <w:divsChild>
                        <w:div w:id="294153002">
                          <w:marLeft w:val="0"/>
                          <w:marRight w:val="0"/>
                          <w:marTop w:val="0"/>
                          <w:marBottom w:val="0"/>
                          <w:divBdr>
                            <w:top w:val="none" w:sz="0" w:space="0" w:color="auto"/>
                            <w:left w:val="none" w:sz="0" w:space="0" w:color="auto"/>
                            <w:bottom w:val="none" w:sz="0" w:space="0" w:color="auto"/>
                            <w:right w:val="none" w:sz="0" w:space="0" w:color="auto"/>
                          </w:divBdr>
                        </w:div>
                      </w:divsChild>
                    </w:div>
                    <w:div w:id="294151153">
                      <w:marLeft w:val="0"/>
                      <w:marRight w:val="0"/>
                      <w:marTop w:val="0"/>
                      <w:marBottom w:val="0"/>
                      <w:divBdr>
                        <w:top w:val="none" w:sz="0" w:space="0" w:color="auto"/>
                        <w:left w:val="none" w:sz="0" w:space="0" w:color="auto"/>
                        <w:bottom w:val="none" w:sz="0" w:space="0" w:color="auto"/>
                        <w:right w:val="none" w:sz="0" w:space="0" w:color="auto"/>
                      </w:divBdr>
                      <w:divsChild>
                        <w:div w:id="294148422">
                          <w:marLeft w:val="0"/>
                          <w:marRight w:val="0"/>
                          <w:marTop w:val="0"/>
                          <w:marBottom w:val="0"/>
                          <w:divBdr>
                            <w:top w:val="none" w:sz="0" w:space="0" w:color="auto"/>
                            <w:left w:val="none" w:sz="0" w:space="0" w:color="auto"/>
                            <w:bottom w:val="none" w:sz="0" w:space="0" w:color="auto"/>
                            <w:right w:val="none" w:sz="0" w:space="0" w:color="auto"/>
                          </w:divBdr>
                        </w:div>
                      </w:divsChild>
                    </w:div>
                    <w:div w:id="294151188">
                      <w:marLeft w:val="0"/>
                      <w:marRight w:val="0"/>
                      <w:marTop w:val="0"/>
                      <w:marBottom w:val="0"/>
                      <w:divBdr>
                        <w:top w:val="none" w:sz="0" w:space="0" w:color="auto"/>
                        <w:left w:val="none" w:sz="0" w:space="0" w:color="auto"/>
                        <w:bottom w:val="none" w:sz="0" w:space="0" w:color="auto"/>
                        <w:right w:val="none" w:sz="0" w:space="0" w:color="auto"/>
                      </w:divBdr>
                      <w:divsChild>
                        <w:div w:id="294139950">
                          <w:marLeft w:val="0"/>
                          <w:marRight w:val="0"/>
                          <w:marTop w:val="0"/>
                          <w:marBottom w:val="0"/>
                          <w:divBdr>
                            <w:top w:val="none" w:sz="0" w:space="0" w:color="auto"/>
                            <w:left w:val="none" w:sz="0" w:space="0" w:color="auto"/>
                            <w:bottom w:val="none" w:sz="0" w:space="0" w:color="auto"/>
                            <w:right w:val="none" w:sz="0" w:space="0" w:color="auto"/>
                          </w:divBdr>
                        </w:div>
                      </w:divsChild>
                    </w:div>
                    <w:div w:id="294151501">
                      <w:marLeft w:val="0"/>
                      <w:marRight w:val="0"/>
                      <w:marTop w:val="0"/>
                      <w:marBottom w:val="0"/>
                      <w:divBdr>
                        <w:top w:val="none" w:sz="0" w:space="0" w:color="auto"/>
                        <w:left w:val="none" w:sz="0" w:space="0" w:color="auto"/>
                        <w:bottom w:val="none" w:sz="0" w:space="0" w:color="auto"/>
                        <w:right w:val="none" w:sz="0" w:space="0" w:color="auto"/>
                      </w:divBdr>
                    </w:div>
                    <w:div w:id="294151564">
                      <w:marLeft w:val="0"/>
                      <w:marRight w:val="0"/>
                      <w:marTop w:val="0"/>
                      <w:marBottom w:val="0"/>
                      <w:divBdr>
                        <w:top w:val="none" w:sz="0" w:space="0" w:color="auto"/>
                        <w:left w:val="none" w:sz="0" w:space="0" w:color="auto"/>
                        <w:bottom w:val="none" w:sz="0" w:space="0" w:color="auto"/>
                        <w:right w:val="none" w:sz="0" w:space="0" w:color="auto"/>
                      </w:divBdr>
                      <w:divsChild>
                        <w:div w:id="294139103">
                          <w:marLeft w:val="0"/>
                          <w:marRight w:val="0"/>
                          <w:marTop w:val="0"/>
                          <w:marBottom w:val="0"/>
                          <w:divBdr>
                            <w:top w:val="none" w:sz="0" w:space="0" w:color="auto"/>
                            <w:left w:val="none" w:sz="0" w:space="0" w:color="auto"/>
                            <w:bottom w:val="none" w:sz="0" w:space="0" w:color="auto"/>
                            <w:right w:val="none" w:sz="0" w:space="0" w:color="auto"/>
                          </w:divBdr>
                        </w:div>
                      </w:divsChild>
                    </w:div>
                    <w:div w:id="294151813">
                      <w:marLeft w:val="0"/>
                      <w:marRight w:val="0"/>
                      <w:marTop w:val="0"/>
                      <w:marBottom w:val="0"/>
                      <w:divBdr>
                        <w:top w:val="none" w:sz="0" w:space="0" w:color="auto"/>
                        <w:left w:val="none" w:sz="0" w:space="0" w:color="auto"/>
                        <w:bottom w:val="none" w:sz="0" w:space="0" w:color="auto"/>
                        <w:right w:val="none" w:sz="0" w:space="0" w:color="auto"/>
                      </w:divBdr>
                    </w:div>
                    <w:div w:id="294152038">
                      <w:marLeft w:val="0"/>
                      <w:marRight w:val="0"/>
                      <w:marTop w:val="0"/>
                      <w:marBottom w:val="0"/>
                      <w:divBdr>
                        <w:top w:val="none" w:sz="0" w:space="0" w:color="auto"/>
                        <w:left w:val="none" w:sz="0" w:space="0" w:color="auto"/>
                        <w:bottom w:val="none" w:sz="0" w:space="0" w:color="auto"/>
                        <w:right w:val="none" w:sz="0" w:space="0" w:color="auto"/>
                      </w:divBdr>
                      <w:divsChild>
                        <w:div w:id="294155955">
                          <w:marLeft w:val="0"/>
                          <w:marRight w:val="0"/>
                          <w:marTop w:val="0"/>
                          <w:marBottom w:val="0"/>
                          <w:divBdr>
                            <w:top w:val="none" w:sz="0" w:space="0" w:color="auto"/>
                            <w:left w:val="none" w:sz="0" w:space="0" w:color="auto"/>
                            <w:bottom w:val="none" w:sz="0" w:space="0" w:color="auto"/>
                            <w:right w:val="none" w:sz="0" w:space="0" w:color="auto"/>
                          </w:divBdr>
                        </w:div>
                      </w:divsChild>
                    </w:div>
                    <w:div w:id="294152305">
                      <w:marLeft w:val="0"/>
                      <w:marRight w:val="0"/>
                      <w:marTop w:val="0"/>
                      <w:marBottom w:val="0"/>
                      <w:divBdr>
                        <w:top w:val="none" w:sz="0" w:space="0" w:color="auto"/>
                        <w:left w:val="none" w:sz="0" w:space="0" w:color="auto"/>
                        <w:bottom w:val="none" w:sz="0" w:space="0" w:color="auto"/>
                        <w:right w:val="none" w:sz="0" w:space="0" w:color="auto"/>
                      </w:divBdr>
                    </w:div>
                    <w:div w:id="294152421">
                      <w:marLeft w:val="0"/>
                      <w:marRight w:val="0"/>
                      <w:marTop w:val="0"/>
                      <w:marBottom w:val="0"/>
                      <w:divBdr>
                        <w:top w:val="none" w:sz="0" w:space="0" w:color="auto"/>
                        <w:left w:val="none" w:sz="0" w:space="0" w:color="auto"/>
                        <w:bottom w:val="none" w:sz="0" w:space="0" w:color="auto"/>
                        <w:right w:val="none" w:sz="0" w:space="0" w:color="auto"/>
                      </w:divBdr>
                    </w:div>
                    <w:div w:id="294152710">
                      <w:marLeft w:val="0"/>
                      <w:marRight w:val="0"/>
                      <w:marTop w:val="0"/>
                      <w:marBottom w:val="0"/>
                      <w:divBdr>
                        <w:top w:val="none" w:sz="0" w:space="0" w:color="auto"/>
                        <w:left w:val="none" w:sz="0" w:space="0" w:color="auto"/>
                        <w:bottom w:val="none" w:sz="0" w:space="0" w:color="auto"/>
                        <w:right w:val="none" w:sz="0" w:space="0" w:color="auto"/>
                      </w:divBdr>
                    </w:div>
                    <w:div w:id="294152809">
                      <w:marLeft w:val="0"/>
                      <w:marRight w:val="0"/>
                      <w:marTop w:val="0"/>
                      <w:marBottom w:val="0"/>
                      <w:divBdr>
                        <w:top w:val="none" w:sz="0" w:space="0" w:color="auto"/>
                        <w:left w:val="none" w:sz="0" w:space="0" w:color="auto"/>
                        <w:bottom w:val="none" w:sz="0" w:space="0" w:color="auto"/>
                        <w:right w:val="none" w:sz="0" w:space="0" w:color="auto"/>
                      </w:divBdr>
                    </w:div>
                    <w:div w:id="294152944">
                      <w:marLeft w:val="0"/>
                      <w:marRight w:val="0"/>
                      <w:marTop w:val="0"/>
                      <w:marBottom w:val="0"/>
                      <w:divBdr>
                        <w:top w:val="none" w:sz="0" w:space="0" w:color="auto"/>
                        <w:left w:val="none" w:sz="0" w:space="0" w:color="auto"/>
                        <w:bottom w:val="none" w:sz="0" w:space="0" w:color="auto"/>
                        <w:right w:val="none" w:sz="0" w:space="0" w:color="auto"/>
                      </w:divBdr>
                    </w:div>
                    <w:div w:id="294153110">
                      <w:marLeft w:val="0"/>
                      <w:marRight w:val="0"/>
                      <w:marTop w:val="0"/>
                      <w:marBottom w:val="0"/>
                      <w:divBdr>
                        <w:top w:val="none" w:sz="0" w:space="0" w:color="auto"/>
                        <w:left w:val="none" w:sz="0" w:space="0" w:color="auto"/>
                        <w:bottom w:val="none" w:sz="0" w:space="0" w:color="auto"/>
                        <w:right w:val="none" w:sz="0" w:space="0" w:color="auto"/>
                      </w:divBdr>
                    </w:div>
                    <w:div w:id="294153158">
                      <w:marLeft w:val="0"/>
                      <w:marRight w:val="0"/>
                      <w:marTop w:val="0"/>
                      <w:marBottom w:val="0"/>
                      <w:divBdr>
                        <w:top w:val="none" w:sz="0" w:space="0" w:color="auto"/>
                        <w:left w:val="none" w:sz="0" w:space="0" w:color="auto"/>
                        <w:bottom w:val="none" w:sz="0" w:space="0" w:color="auto"/>
                        <w:right w:val="none" w:sz="0" w:space="0" w:color="auto"/>
                      </w:divBdr>
                    </w:div>
                    <w:div w:id="294153215">
                      <w:marLeft w:val="0"/>
                      <w:marRight w:val="0"/>
                      <w:marTop w:val="0"/>
                      <w:marBottom w:val="0"/>
                      <w:divBdr>
                        <w:top w:val="none" w:sz="0" w:space="0" w:color="auto"/>
                        <w:left w:val="none" w:sz="0" w:space="0" w:color="auto"/>
                        <w:bottom w:val="none" w:sz="0" w:space="0" w:color="auto"/>
                        <w:right w:val="none" w:sz="0" w:space="0" w:color="auto"/>
                      </w:divBdr>
                      <w:divsChild>
                        <w:div w:id="294142878">
                          <w:marLeft w:val="0"/>
                          <w:marRight w:val="0"/>
                          <w:marTop w:val="0"/>
                          <w:marBottom w:val="0"/>
                          <w:divBdr>
                            <w:top w:val="none" w:sz="0" w:space="0" w:color="auto"/>
                            <w:left w:val="none" w:sz="0" w:space="0" w:color="auto"/>
                            <w:bottom w:val="none" w:sz="0" w:space="0" w:color="auto"/>
                            <w:right w:val="none" w:sz="0" w:space="0" w:color="auto"/>
                          </w:divBdr>
                        </w:div>
                      </w:divsChild>
                    </w:div>
                    <w:div w:id="294153755">
                      <w:marLeft w:val="0"/>
                      <w:marRight w:val="0"/>
                      <w:marTop w:val="0"/>
                      <w:marBottom w:val="0"/>
                      <w:divBdr>
                        <w:top w:val="none" w:sz="0" w:space="0" w:color="auto"/>
                        <w:left w:val="none" w:sz="0" w:space="0" w:color="auto"/>
                        <w:bottom w:val="none" w:sz="0" w:space="0" w:color="auto"/>
                        <w:right w:val="none" w:sz="0" w:space="0" w:color="auto"/>
                      </w:divBdr>
                    </w:div>
                    <w:div w:id="294154237">
                      <w:marLeft w:val="0"/>
                      <w:marRight w:val="0"/>
                      <w:marTop w:val="0"/>
                      <w:marBottom w:val="0"/>
                      <w:divBdr>
                        <w:top w:val="none" w:sz="0" w:space="0" w:color="auto"/>
                        <w:left w:val="none" w:sz="0" w:space="0" w:color="auto"/>
                        <w:bottom w:val="none" w:sz="0" w:space="0" w:color="auto"/>
                        <w:right w:val="none" w:sz="0" w:space="0" w:color="auto"/>
                      </w:divBdr>
                      <w:divsChild>
                        <w:div w:id="294153203">
                          <w:marLeft w:val="0"/>
                          <w:marRight w:val="0"/>
                          <w:marTop w:val="0"/>
                          <w:marBottom w:val="0"/>
                          <w:divBdr>
                            <w:top w:val="none" w:sz="0" w:space="0" w:color="auto"/>
                            <w:left w:val="none" w:sz="0" w:space="0" w:color="auto"/>
                            <w:bottom w:val="none" w:sz="0" w:space="0" w:color="auto"/>
                            <w:right w:val="none" w:sz="0" w:space="0" w:color="auto"/>
                          </w:divBdr>
                        </w:div>
                      </w:divsChild>
                    </w:div>
                    <w:div w:id="294154533">
                      <w:marLeft w:val="0"/>
                      <w:marRight w:val="0"/>
                      <w:marTop w:val="0"/>
                      <w:marBottom w:val="0"/>
                      <w:divBdr>
                        <w:top w:val="none" w:sz="0" w:space="0" w:color="auto"/>
                        <w:left w:val="none" w:sz="0" w:space="0" w:color="auto"/>
                        <w:bottom w:val="none" w:sz="0" w:space="0" w:color="auto"/>
                        <w:right w:val="none" w:sz="0" w:space="0" w:color="auto"/>
                      </w:divBdr>
                      <w:divsChild>
                        <w:div w:id="294139160">
                          <w:marLeft w:val="0"/>
                          <w:marRight w:val="0"/>
                          <w:marTop w:val="0"/>
                          <w:marBottom w:val="0"/>
                          <w:divBdr>
                            <w:top w:val="none" w:sz="0" w:space="0" w:color="auto"/>
                            <w:left w:val="none" w:sz="0" w:space="0" w:color="auto"/>
                            <w:bottom w:val="none" w:sz="0" w:space="0" w:color="auto"/>
                            <w:right w:val="none" w:sz="0" w:space="0" w:color="auto"/>
                          </w:divBdr>
                        </w:div>
                      </w:divsChild>
                    </w:div>
                    <w:div w:id="294154578">
                      <w:marLeft w:val="0"/>
                      <w:marRight w:val="0"/>
                      <w:marTop w:val="0"/>
                      <w:marBottom w:val="0"/>
                      <w:divBdr>
                        <w:top w:val="none" w:sz="0" w:space="0" w:color="auto"/>
                        <w:left w:val="none" w:sz="0" w:space="0" w:color="auto"/>
                        <w:bottom w:val="none" w:sz="0" w:space="0" w:color="auto"/>
                        <w:right w:val="none" w:sz="0" w:space="0" w:color="auto"/>
                      </w:divBdr>
                    </w:div>
                    <w:div w:id="294154655">
                      <w:marLeft w:val="0"/>
                      <w:marRight w:val="0"/>
                      <w:marTop w:val="0"/>
                      <w:marBottom w:val="0"/>
                      <w:divBdr>
                        <w:top w:val="none" w:sz="0" w:space="0" w:color="auto"/>
                        <w:left w:val="none" w:sz="0" w:space="0" w:color="auto"/>
                        <w:bottom w:val="none" w:sz="0" w:space="0" w:color="auto"/>
                        <w:right w:val="none" w:sz="0" w:space="0" w:color="auto"/>
                      </w:divBdr>
                    </w:div>
                    <w:div w:id="294155070">
                      <w:marLeft w:val="0"/>
                      <w:marRight w:val="0"/>
                      <w:marTop w:val="0"/>
                      <w:marBottom w:val="0"/>
                      <w:divBdr>
                        <w:top w:val="none" w:sz="0" w:space="0" w:color="auto"/>
                        <w:left w:val="none" w:sz="0" w:space="0" w:color="auto"/>
                        <w:bottom w:val="none" w:sz="0" w:space="0" w:color="auto"/>
                        <w:right w:val="none" w:sz="0" w:space="0" w:color="auto"/>
                      </w:divBdr>
                    </w:div>
                    <w:div w:id="294155665">
                      <w:marLeft w:val="0"/>
                      <w:marRight w:val="0"/>
                      <w:marTop w:val="0"/>
                      <w:marBottom w:val="0"/>
                      <w:divBdr>
                        <w:top w:val="none" w:sz="0" w:space="0" w:color="auto"/>
                        <w:left w:val="none" w:sz="0" w:space="0" w:color="auto"/>
                        <w:bottom w:val="none" w:sz="0" w:space="0" w:color="auto"/>
                        <w:right w:val="none" w:sz="0" w:space="0" w:color="auto"/>
                      </w:divBdr>
                      <w:divsChild>
                        <w:div w:id="294157306">
                          <w:marLeft w:val="0"/>
                          <w:marRight w:val="0"/>
                          <w:marTop w:val="0"/>
                          <w:marBottom w:val="0"/>
                          <w:divBdr>
                            <w:top w:val="none" w:sz="0" w:space="0" w:color="auto"/>
                            <w:left w:val="none" w:sz="0" w:space="0" w:color="auto"/>
                            <w:bottom w:val="none" w:sz="0" w:space="0" w:color="auto"/>
                            <w:right w:val="none" w:sz="0" w:space="0" w:color="auto"/>
                          </w:divBdr>
                        </w:div>
                      </w:divsChild>
                    </w:div>
                    <w:div w:id="294155869">
                      <w:marLeft w:val="0"/>
                      <w:marRight w:val="0"/>
                      <w:marTop w:val="0"/>
                      <w:marBottom w:val="0"/>
                      <w:divBdr>
                        <w:top w:val="none" w:sz="0" w:space="0" w:color="auto"/>
                        <w:left w:val="none" w:sz="0" w:space="0" w:color="auto"/>
                        <w:bottom w:val="none" w:sz="0" w:space="0" w:color="auto"/>
                        <w:right w:val="none" w:sz="0" w:space="0" w:color="auto"/>
                      </w:divBdr>
                      <w:divsChild>
                        <w:div w:id="294152470">
                          <w:marLeft w:val="0"/>
                          <w:marRight w:val="0"/>
                          <w:marTop w:val="0"/>
                          <w:marBottom w:val="0"/>
                          <w:divBdr>
                            <w:top w:val="none" w:sz="0" w:space="0" w:color="auto"/>
                            <w:left w:val="none" w:sz="0" w:space="0" w:color="auto"/>
                            <w:bottom w:val="none" w:sz="0" w:space="0" w:color="auto"/>
                            <w:right w:val="none" w:sz="0" w:space="0" w:color="auto"/>
                          </w:divBdr>
                        </w:div>
                      </w:divsChild>
                    </w:div>
                    <w:div w:id="294155938">
                      <w:marLeft w:val="0"/>
                      <w:marRight w:val="0"/>
                      <w:marTop w:val="0"/>
                      <w:marBottom w:val="0"/>
                      <w:divBdr>
                        <w:top w:val="none" w:sz="0" w:space="0" w:color="auto"/>
                        <w:left w:val="none" w:sz="0" w:space="0" w:color="auto"/>
                        <w:bottom w:val="none" w:sz="0" w:space="0" w:color="auto"/>
                        <w:right w:val="none" w:sz="0" w:space="0" w:color="auto"/>
                      </w:divBdr>
                      <w:divsChild>
                        <w:div w:id="294153353">
                          <w:marLeft w:val="0"/>
                          <w:marRight w:val="0"/>
                          <w:marTop w:val="0"/>
                          <w:marBottom w:val="0"/>
                          <w:divBdr>
                            <w:top w:val="none" w:sz="0" w:space="0" w:color="auto"/>
                            <w:left w:val="none" w:sz="0" w:space="0" w:color="auto"/>
                            <w:bottom w:val="none" w:sz="0" w:space="0" w:color="auto"/>
                            <w:right w:val="none" w:sz="0" w:space="0" w:color="auto"/>
                          </w:divBdr>
                        </w:div>
                      </w:divsChild>
                    </w:div>
                    <w:div w:id="294155941">
                      <w:marLeft w:val="0"/>
                      <w:marRight w:val="0"/>
                      <w:marTop w:val="0"/>
                      <w:marBottom w:val="0"/>
                      <w:divBdr>
                        <w:top w:val="none" w:sz="0" w:space="0" w:color="auto"/>
                        <w:left w:val="none" w:sz="0" w:space="0" w:color="auto"/>
                        <w:bottom w:val="none" w:sz="0" w:space="0" w:color="auto"/>
                        <w:right w:val="none" w:sz="0" w:space="0" w:color="auto"/>
                      </w:divBdr>
                    </w:div>
                    <w:div w:id="294155976">
                      <w:marLeft w:val="0"/>
                      <w:marRight w:val="0"/>
                      <w:marTop w:val="0"/>
                      <w:marBottom w:val="0"/>
                      <w:divBdr>
                        <w:top w:val="none" w:sz="0" w:space="0" w:color="auto"/>
                        <w:left w:val="none" w:sz="0" w:space="0" w:color="auto"/>
                        <w:bottom w:val="none" w:sz="0" w:space="0" w:color="auto"/>
                        <w:right w:val="none" w:sz="0" w:space="0" w:color="auto"/>
                      </w:divBdr>
                    </w:div>
                    <w:div w:id="294156699">
                      <w:marLeft w:val="0"/>
                      <w:marRight w:val="0"/>
                      <w:marTop w:val="0"/>
                      <w:marBottom w:val="0"/>
                      <w:divBdr>
                        <w:top w:val="none" w:sz="0" w:space="0" w:color="auto"/>
                        <w:left w:val="none" w:sz="0" w:space="0" w:color="auto"/>
                        <w:bottom w:val="none" w:sz="0" w:space="0" w:color="auto"/>
                        <w:right w:val="none" w:sz="0" w:space="0" w:color="auto"/>
                      </w:divBdr>
                      <w:divsChild>
                        <w:div w:id="294138821">
                          <w:marLeft w:val="0"/>
                          <w:marRight w:val="0"/>
                          <w:marTop w:val="0"/>
                          <w:marBottom w:val="0"/>
                          <w:divBdr>
                            <w:top w:val="none" w:sz="0" w:space="0" w:color="auto"/>
                            <w:left w:val="none" w:sz="0" w:space="0" w:color="auto"/>
                            <w:bottom w:val="none" w:sz="0" w:space="0" w:color="auto"/>
                            <w:right w:val="none" w:sz="0" w:space="0" w:color="auto"/>
                          </w:divBdr>
                        </w:div>
                      </w:divsChild>
                    </w:div>
                    <w:div w:id="294156811">
                      <w:marLeft w:val="0"/>
                      <w:marRight w:val="0"/>
                      <w:marTop w:val="0"/>
                      <w:marBottom w:val="0"/>
                      <w:divBdr>
                        <w:top w:val="none" w:sz="0" w:space="0" w:color="auto"/>
                        <w:left w:val="none" w:sz="0" w:space="0" w:color="auto"/>
                        <w:bottom w:val="none" w:sz="0" w:space="0" w:color="auto"/>
                        <w:right w:val="none" w:sz="0" w:space="0" w:color="auto"/>
                      </w:divBdr>
                      <w:divsChild>
                        <w:div w:id="294143255">
                          <w:marLeft w:val="0"/>
                          <w:marRight w:val="0"/>
                          <w:marTop w:val="0"/>
                          <w:marBottom w:val="0"/>
                          <w:divBdr>
                            <w:top w:val="none" w:sz="0" w:space="0" w:color="auto"/>
                            <w:left w:val="none" w:sz="0" w:space="0" w:color="auto"/>
                            <w:bottom w:val="none" w:sz="0" w:space="0" w:color="auto"/>
                            <w:right w:val="none" w:sz="0" w:space="0" w:color="auto"/>
                          </w:divBdr>
                        </w:div>
                      </w:divsChild>
                    </w:div>
                    <w:div w:id="29415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52104">
          <w:marLeft w:val="0"/>
          <w:marRight w:val="0"/>
          <w:marTop w:val="0"/>
          <w:marBottom w:val="0"/>
          <w:divBdr>
            <w:top w:val="none" w:sz="0" w:space="0" w:color="auto"/>
            <w:left w:val="none" w:sz="0" w:space="0" w:color="auto"/>
            <w:bottom w:val="none" w:sz="0" w:space="0" w:color="auto"/>
            <w:right w:val="none" w:sz="0" w:space="0" w:color="auto"/>
          </w:divBdr>
          <w:divsChild>
            <w:div w:id="294154243">
              <w:marLeft w:val="0"/>
              <w:marRight w:val="0"/>
              <w:marTop w:val="0"/>
              <w:marBottom w:val="0"/>
              <w:divBdr>
                <w:top w:val="none" w:sz="0" w:space="0" w:color="auto"/>
                <w:left w:val="none" w:sz="0" w:space="0" w:color="auto"/>
                <w:bottom w:val="none" w:sz="0" w:space="0" w:color="auto"/>
                <w:right w:val="none" w:sz="0" w:space="0" w:color="auto"/>
              </w:divBdr>
              <w:divsChild>
                <w:div w:id="294138168">
                  <w:marLeft w:val="0"/>
                  <w:marRight w:val="0"/>
                  <w:marTop w:val="0"/>
                  <w:marBottom w:val="0"/>
                  <w:divBdr>
                    <w:top w:val="none" w:sz="0" w:space="0" w:color="auto"/>
                    <w:left w:val="none" w:sz="0" w:space="0" w:color="auto"/>
                    <w:bottom w:val="none" w:sz="0" w:space="0" w:color="auto"/>
                    <w:right w:val="none" w:sz="0" w:space="0" w:color="auto"/>
                  </w:divBdr>
                </w:div>
                <w:div w:id="294138376">
                  <w:marLeft w:val="0"/>
                  <w:marRight w:val="0"/>
                  <w:marTop w:val="0"/>
                  <w:marBottom w:val="0"/>
                  <w:divBdr>
                    <w:top w:val="none" w:sz="0" w:space="0" w:color="auto"/>
                    <w:left w:val="none" w:sz="0" w:space="0" w:color="auto"/>
                    <w:bottom w:val="none" w:sz="0" w:space="0" w:color="auto"/>
                    <w:right w:val="none" w:sz="0" w:space="0" w:color="auto"/>
                  </w:divBdr>
                </w:div>
                <w:div w:id="294138479">
                  <w:marLeft w:val="0"/>
                  <w:marRight w:val="0"/>
                  <w:marTop w:val="0"/>
                  <w:marBottom w:val="0"/>
                  <w:divBdr>
                    <w:top w:val="none" w:sz="0" w:space="0" w:color="auto"/>
                    <w:left w:val="none" w:sz="0" w:space="0" w:color="auto"/>
                    <w:bottom w:val="none" w:sz="0" w:space="0" w:color="auto"/>
                    <w:right w:val="none" w:sz="0" w:space="0" w:color="auto"/>
                  </w:divBdr>
                </w:div>
                <w:div w:id="294138605">
                  <w:marLeft w:val="0"/>
                  <w:marRight w:val="0"/>
                  <w:marTop w:val="0"/>
                  <w:marBottom w:val="0"/>
                  <w:divBdr>
                    <w:top w:val="none" w:sz="0" w:space="0" w:color="auto"/>
                    <w:left w:val="none" w:sz="0" w:space="0" w:color="auto"/>
                    <w:bottom w:val="none" w:sz="0" w:space="0" w:color="auto"/>
                    <w:right w:val="none" w:sz="0" w:space="0" w:color="auto"/>
                  </w:divBdr>
                </w:div>
                <w:div w:id="294138650">
                  <w:marLeft w:val="0"/>
                  <w:marRight w:val="0"/>
                  <w:marTop w:val="0"/>
                  <w:marBottom w:val="0"/>
                  <w:divBdr>
                    <w:top w:val="none" w:sz="0" w:space="0" w:color="auto"/>
                    <w:left w:val="none" w:sz="0" w:space="0" w:color="auto"/>
                    <w:bottom w:val="none" w:sz="0" w:space="0" w:color="auto"/>
                    <w:right w:val="none" w:sz="0" w:space="0" w:color="auto"/>
                  </w:divBdr>
                </w:div>
                <w:div w:id="294138865">
                  <w:marLeft w:val="0"/>
                  <w:marRight w:val="0"/>
                  <w:marTop w:val="0"/>
                  <w:marBottom w:val="0"/>
                  <w:divBdr>
                    <w:top w:val="none" w:sz="0" w:space="0" w:color="auto"/>
                    <w:left w:val="none" w:sz="0" w:space="0" w:color="auto"/>
                    <w:bottom w:val="none" w:sz="0" w:space="0" w:color="auto"/>
                    <w:right w:val="none" w:sz="0" w:space="0" w:color="auto"/>
                  </w:divBdr>
                </w:div>
                <w:div w:id="294138868">
                  <w:marLeft w:val="0"/>
                  <w:marRight w:val="0"/>
                  <w:marTop w:val="0"/>
                  <w:marBottom w:val="0"/>
                  <w:divBdr>
                    <w:top w:val="none" w:sz="0" w:space="0" w:color="auto"/>
                    <w:left w:val="none" w:sz="0" w:space="0" w:color="auto"/>
                    <w:bottom w:val="none" w:sz="0" w:space="0" w:color="auto"/>
                    <w:right w:val="none" w:sz="0" w:space="0" w:color="auto"/>
                  </w:divBdr>
                </w:div>
                <w:div w:id="294138930">
                  <w:marLeft w:val="0"/>
                  <w:marRight w:val="0"/>
                  <w:marTop w:val="0"/>
                  <w:marBottom w:val="0"/>
                  <w:divBdr>
                    <w:top w:val="none" w:sz="0" w:space="0" w:color="auto"/>
                    <w:left w:val="none" w:sz="0" w:space="0" w:color="auto"/>
                    <w:bottom w:val="none" w:sz="0" w:space="0" w:color="auto"/>
                    <w:right w:val="none" w:sz="0" w:space="0" w:color="auto"/>
                  </w:divBdr>
                </w:div>
                <w:div w:id="294139059">
                  <w:marLeft w:val="0"/>
                  <w:marRight w:val="0"/>
                  <w:marTop w:val="0"/>
                  <w:marBottom w:val="0"/>
                  <w:divBdr>
                    <w:top w:val="none" w:sz="0" w:space="0" w:color="auto"/>
                    <w:left w:val="none" w:sz="0" w:space="0" w:color="auto"/>
                    <w:bottom w:val="none" w:sz="0" w:space="0" w:color="auto"/>
                    <w:right w:val="none" w:sz="0" w:space="0" w:color="auto"/>
                  </w:divBdr>
                </w:div>
                <w:div w:id="294139060">
                  <w:marLeft w:val="0"/>
                  <w:marRight w:val="0"/>
                  <w:marTop w:val="0"/>
                  <w:marBottom w:val="0"/>
                  <w:divBdr>
                    <w:top w:val="none" w:sz="0" w:space="0" w:color="auto"/>
                    <w:left w:val="none" w:sz="0" w:space="0" w:color="auto"/>
                    <w:bottom w:val="none" w:sz="0" w:space="0" w:color="auto"/>
                    <w:right w:val="none" w:sz="0" w:space="0" w:color="auto"/>
                  </w:divBdr>
                </w:div>
                <w:div w:id="294139090">
                  <w:marLeft w:val="0"/>
                  <w:marRight w:val="0"/>
                  <w:marTop w:val="0"/>
                  <w:marBottom w:val="0"/>
                  <w:divBdr>
                    <w:top w:val="none" w:sz="0" w:space="0" w:color="auto"/>
                    <w:left w:val="none" w:sz="0" w:space="0" w:color="auto"/>
                    <w:bottom w:val="none" w:sz="0" w:space="0" w:color="auto"/>
                    <w:right w:val="none" w:sz="0" w:space="0" w:color="auto"/>
                  </w:divBdr>
                </w:div>
                <w:div w:id="294139202">
                  <w:marLeft w:val="0"/>
                  <w:marRight w:val="0"/>
                  <w:marTop w:val="0"/>
                  <w:marBottom w:val="0"/>
                  <w:divBdr>
                    <w:top w:val="none" w:sz="0" w:space="0" w:color="auto"/>
                    <w:left w:val="none" w:sz="0" w:space="0" w:color="auto"/>
                    <w:bottom w:val="none" w:sz="0" w:space="0" w:color="auto"/>
                    <w:right w:val="none" w:sz="0" w:space="0" w:color="auto"/>
                  </w:divBdr>
                </w:div>
                <w:div w:id="294139543">
                  <w:marLeft w:val="0"/>
                  <w:marRight w:val="0"/>
                  <w:marTop w:val="0"/>
                  <w:marBottom w:val="0"/>
                  <w:divBdr>
                    <w:top w:val="none" w:sz="0" w:space="0" w:color="auto"/>
                    <w:left w:val="none" w:sz="0" w:space="0" w:color="auto"/>
                    <w:bottom w:val="none" w:sz="0" w:space="0" w:color="auto"/>
                    <w:right w:val="none" w:sz="0" w:space="0" w:color="auto"/>
                  </w:divBdr>
                </w:div>
                <w:div w:id="294139915">
                  <w:marLeft w:val="0"/>
                  <w:marRight w:val="0"/>
                  <w:marTop w:val="0"/>
                  <w:marBottom w:val="0"/>
                  <w:divBdr>
                    <w:top w:val="none" w:sz="0" w:space="0" w:color="auto"/>
                    <w:left w:val="none" w:sz="0" w:space="0" w:color="auto"/>
                    <w:bottom w:val="none" w:sz="0" w:space="0" w:color="auto"/>
                    <w:right w:val="none" w:sz="0" w:space="0" w:color="auto"/>
                  </w:divBdr>
                </w:div>
                <w:div w:id="294139931">
                  <w:marLeft w:val="0"/>
                  <w:marRight w:val="0"/>
                  <w:marTop w:val="0"/>
                  <w:marBottom w:val="0"/>
                  <w:divBdr>
                    <w:top w:val="none" w:sz="0" w:space="0" w:color="auto"/>
                    <w:left w:val="none" w:sz="0" w:space="0" w:color="auto"/>
                    <w:bottom w:val="none" w:sz="0" w:space="0" w:color="auto"/>
                    <w:right w:val="none" w:sz="0" w:space="0" w:color="auto"/>
                  </w:divBdr>
                </w:div>
                <w:div w:id="294139938">
                  <w:marLeft w:val="0"/>
                  <w:marRight w:val="0"/>
                  <w:marTop w:val="0"/>
                  <w:marBottom w:val="0"/>
                  <w:divBdr>
                    <w:top w:val="none" w:sz="0" w:space="0" w:color="auto"/>
                    <w:left w:val="none" w:sz="0" w:space="0" w:color="auto"/>
                    <w:bottom w:val="none" w:sz="0" w:space="0" w:color="auto"/>
                    <w:right w:val="none" w:sz="0" w:space="0" w:color="auto"/>
                  </w:divBdr>
                </w:div>
                <w:div w:id="294139953">
                  <w:marLeft w:val="0"/>
                  <w:marRight w:val="0"/>
                  <w:marTop w:val="0"/>
                  <w:marBottom w:val="0"/>
                  <w:divBdr>
                    <w:top w:val="none" w:sz="0" w:space="0" w:color="auto"/>
                    <w:left w:val="none" w:sz="0" w:space="0" w:color="auto"/>
                    <w:bottom w:val="none" w:sz="0" w:space="0" w:color="auto"/>
                    <w:right w:val="none" w:sz="0" w:space="0" w:color="auto"/>
                  </w:divBdr>
                </w:div>
                <w:div w:id="294140244">
                  <w:marLeft w:val="0"/>
                  <w:marRight w:val="0"/>
                  <w:marTop w:val="0"/>
                  <w:marBottom w:val="0"/>
                  <w:divBdr>
                    <w:top w:val="none" w:sz="0" w:space="0" w:color="auto"/>
                    <w:left w:val="none" w:sz="0" w:space="0" w:color="auto"/>
                    <w:bottom w:val="none" w:sz="0" w:space="0" w:color="auto"/>
                    <w:right w:val="none" w:sz="0" w:space="0" w:color="auto"/>
                  </w:divBdr>
                </w:div>
                <w:div w:id="294140276">
                  <w:marLeft w:val="0"/>
                  <w:marRight w:val="0"/>
                  <w:marTop w:val="0"/>
                  <w:marBottom w:val="0"/>
                  <w:divBdr>
                    <w:top w:val="none" w:sz="0" w:space="0" w:color="auto"/>
                    <w:left w:val="none" w:sz="0" w:space="0" w:color="auto"/>
                    <w:bottom w:val="none" w:sz="0" w:space="0" w:color="auto"/>
                    <w:right w:val="none" w:sz="0" w:space="0" w:color="auto"/>
                  </w:divBdr>
                </w:div>
                <w:div w:id="294140714">
                  <w:marLeft w:val="0"/>
                  <w:marRight w:val="0"/>
                  <w:marTop w:val="0"/>
                  <w:marBottom w:val="0"/>
                  <w:divBdr>
                    <w:top w:val="none" w:sz="0" w:space="0" w:color="auto"/>
                    <w:left w:val="none" w:sz="0" w:space="0" w:color="auto"/>
                    <w:bottom w:val="none" w:sz="0" w:space="0" w:color="auto"/>
                    <w:right w:val="none" w:sz="0" w:space="0" w:color="auto"/>
                  </w:divBdr>
                </w:div>
                <w:div w:id="294140839">
                  <w:marLeft w:val="0"/>
                  <w:marRight w:val="0"/>
                  <w:marTop w:val="0"/>
                  <w:marBottom w:val="0"/>
                  <w:divBdr>
                    <w:top w:val="none" w:sz="0" w:space="0" w:color="auto"/>
                    <w:left w:val="none" w:sz="0" w:space="0" w:color="auto"/>
                    <w:bottom w:val="none" w:sz="0" w:space="0" w:color="auto"/>
                    <w:right w:val="none" w:sz="0" w:space="0" w:color="auto"/>
                  </w:divBdr>
                </w:div>
                <w:div w:id="294141077">
                  <w:marLeft w:val="0"/>
                  <w:marRight w:val="0"/>
                  <w:marTop w:val="0"/>
                  <w:marBottom w:val="0"/>
                  <w:divBdr>
                    <w:top w:val="none" w:sz="0" w:space="0" w:color="auto"/>
                    <w:left w:val="none" w:sz="0" w:space="0" w:color="auto"/>
                    <w:bottom w:val="none" w:sz="0" w:space="0" w:color="auto"/>
                    <w:right w:val="none" w:sz="0" w:space="0" w:color="auto"/>
                  </w:divBdr>
                </w:div>
                <w:div w:id="294141131">
                  <w:marLeft w:val="0"/>
                  <w:marRight w:val="0"/>
                  <w:marTop w:val="0"/>
                  <w:marBottom w:val="0"/>
                  <w:divBdr>
                    <w:top w:val="none" w:sz="0" w:space="0" w:color="auto"/>
                    <w:left w:val="none" w:sz="0" w:space="0" w:color="auto"/>
                    <w:bottom w:val="none" w:sz="0" w:space="0" w:color="auto"/>
                    <w:right w:val="none" w:sz="0" w:space="0" w:color="auto"/>
                  </w:divBdr>
                </w:div>
                <w:div w:id="294141454">
                  <w:marLeft w:val="0"/>
                  <w:marRight w:val="0"/>
                  <w:marTop w:val="0"/>
                  <w:marBottom w:val="0"/>
                  <w:divBdr>
                    <w:top w:val="none" w:sz="0" w:space="0" w:color="auto"/>
                    <w:left w:val="none" w:sz="0" w:space="0" w:color="auto"/>
                    <w:bottom w:val="none" w:sz="0" w:space="0" w:color="auto"/>
                    <w:right w:val="none" w:sz="0" w:space="0" w:color="auto"/>
                  </w:divBdr>
                </w:div>
                <w:div w:id="294141505">
                  <w:marLeft w:val="0"/>
                  <w:marRight w:val="0"/>
                  <w:marTop w:val="0"/>
                  <w:marBottom w:val="0"/>
                  <w:divBdr>
                    <w:top w:val="none" w:sz="0" w:space="0" w:color="auto"/>
                    <w:left w:val="none" w:sz="0" w:space="0" w:color="auto"/>
                    <w:bottom w:val="none" w:sz="0" w:space="0" w:color="auto"/>
                    <w:right w:val="none" w:sz="0" w:space="0" w:color="auto"/>
                  </w:divBdr>
                </w:div>
                <w:div w:id="294141842">
                  <w:marLeft w:val="0"/>
                  <w:marRight w:val="0"/>
                  <w:marTop w:val="0"/>
                  <w:marBottom w:val="0"/>
                  <w:divBdr>
                    <w:top w:val="none" w:sz="0" w:space="0" w:color="auto"/>
                    <w:left w:val="none" w:sz="0" w:space="0" w:color="auto"/>
                    <w:bottom w:val="none" w:sz="0" w:space="0" w:color="auto"/>
                    <w:right w:val="none" w:sz="0" w:space="0" w:color="auto"/>
                  </w:divBdr>
                </w:div>
                <w:div w:id="294142028">
                  <w:marLeft w:val="0"/>
                  <w:marRight w:val="0"/>
                  <w:marTop w:val="0"/>
                  <w:marBottom w:val="0"/>
                  <w:divBdr>
                    <w:top w:val="none" w:sz="0" w:space="0" w:color="auto"/>
                    <w:left w:val="none" w:sz="0" w:space="0" w:color="auto"/>
                    <w:bottom w:val="none" w:sz="0" w:space="0" w:color="auto"/>
                    <w:right w:val="none" w:sz="0" w:space="0" w:color="auto"/>
                  </w:divBdr>
                </w:div>
                <w:div w:id="294142117">
                  <w:marLeft w:val="0"/>
                  <w:marRight w:val="0"/>
                  <w:marTop w:val="0"/>
                  <w:marBottom w:val="0"/>
                  <w:divBdr>
                    <w:top w:val="none" w:sz="0" w:space="0" w:color="auto"/>
                    <w:left w:val="none" w:sz="0" w:space="0" w:color="auto"/>
                    <w:bottom w:val="none" w:sz="0" w:space="0" w:color="auto"/>
                    <w:right w:val="none" w:sz="0" w:space="0" w:color="auto"/>
                  </w:divBdr>
                </w:div>
                <w:div w:id="294142251">
                  <w:marLeft w:val="0"/>
                  <w:marRight w:val="0"/>
                  <w:marTop w:val="0"/>
                  <w:marBottom w:val="0"/>
                  <w:divBdr>
                    <w:top w:val="none" w:sz="0" w:space="0" w:color="auto"/>
                    <w:left w:val="none" w:sz="0" w:space="0" w:color="auto"/>
                    <w:bottom w:val="none" w:sz="0" w:space="0" w:color="auto"/>
                    <w:right w:val="none" w:sz="0" w:space="0" w:color="auto"/>
                  </w:divBdr>
                </w:div>
                <w:div w:id="294142302">
                  <w:marLeft w:val="0"/>
                  <w:marRight w:val="0"/>
                  <w:marTop w:val="0"/>
                  <w:marBottom w:val="0"/>
                  <w:divBdr>
                    <w:top w:val="none" w:sz="0" w:space="0" w:color="auto"/>
                    <w:left w:val="none" w:sz="0" w:space="0" w:color="auto"/>
                    <w:bottom w:val="none" w:sz="0" w:space="0" w:color="auto"/>
                    <w:right w:val="none" w:sz="0" w:space="0" w:color="auto"/>
                  </w:divBdr>
                </w:div>
                <w:div w:id="294142595">
                  <w:marLeft w:val="0"/>
                  <w:marRight w:val="0"/>
                  <w:marTop w:val="0"/>
                  <w:marBottom w:val="0"/>
                  <w:divBdr>
                    <w:top w:val="none" w:sz="0" w:space="0" w:color="auto"/>
                    <w:left w:val="none" w:sz="0" w:space="0" w:color="auto"/>
                    <w:bottom w:val="none" w:sz="0" w:space="0" w:color="auto"/>
                    <w:right w:val="none" w:sz="0" w:space="0" w:color="auto"/>
                  </w:divBdr>
                </w:div>
                <w:div w:id="294142842">
                  <w:marLeft w:val="0"/>
                  <w:marRight w:val="0"/>
                  <w:marTop w:val="0"/>
                  <w:marBottom w:val="0"/>
                  <w:divBdr>
                    <w:top w:val="none" w:sz="0" w:space="0" w:color="auto"/>
                    <w:left w:val="none" w:sz="0" w:space="0" w:color="auto"/>
                    <w:bottom w:val="none" w:sz="0" w:space="0" w:color="auto"/>
                    <w:right w:val="none" w:sz="0" w:space="0" w:color="auto"/>
                  </w:divBdr>
                </w:div>
                <w:div w:id="294142891">
                  <w:marLeft w:val="0"/>
                  <w:marRight w:val="0"/>
                  <w:marTop w:val="0"/>
                  <w:marBottom w:val="0"/>
                  <w:divBdr>
                    <w:top w:val="none" w:sz="0" w:space="0" w:color="auto"/>
                    <w:left w:val="none" w:sz="0" w:space="0" w:color="auto"/>
                    <w:bottom w:val="none" w:sz="0" w:space="0" w:color="auto"/>
                    <w:right w:val="none" w:sz="0" w:space="0" w:color="auto"/>
                  </w:divBdr>
                </w:div>
                <w:div w:id="294143046">
                  <w:marLeft w:val="0"/>
                  <w:marRight w:val="0"/>
                  <w:marTop w:val="0"/>
                  <w:marBottom w:val="0"/>
                  <w:divBdr>
                    <w:top w:val="none" w:sz="0" w:space="0" w:color="auto"/>
                    <w:left w:val="none" w:sz="0" w:space="0" w:color="auto"/>
                    <w:bottom w:val="none" w:sz="0" w:space="0" w:color="auto"/>
                    <w:right w:val="none" w:sz="0" w:space="0" w:color="auto"/>
                  </w:divBdr>
                </w:div>
                <w:div w:id="294143061">
                  <w:marLeft w:val="0"/>
                  <w:marRight w:val="0"/>
                  <w:marTop w:val="0"/>
                  <w:marBottom w:val="0"/>
                  <w:divBdr>
                    <w:top w:val="none" w:sz="0" w:space="0" w:color="auto"/>
                    <w:left w:val="none" w:sz="0" w:space="0" w:color="auto"/>
                    <w:bottom w:val="none" w:sz="0" w:space="0" w:color="auto"/>
                    <w:right w:val="none" w:sz="0" w:space="0" w:color="auto"/>
                  </w:divBdr>
                </w:div>
                <w:div w:id="294143437">
                  <w:marLeft w:val="0"/>
                  <w:marRight w:val="0"/>
                  <w:marTop w:val="0"/>
                  <w:marBottom w:val="0"/>
                  <w:divBdr>
                    <w:top w:val="none" w:sz="0" w:space="0" w:color="auto"/>
                    <w:left w:val="none" w:sz="0" w:space="0" w:color="auto"/>
                    <w:bottom w:val="none" w:sz="0" w:space="0" w:color="auto"/>
                    <w:right w:val="none" w:sz="0" w:space="0" w:color="auto"/>
                  </w:divBdr>
                </w:div>
                <w:div w:id="294143519">
                  <w:marLeft w:val="0"/>
                  <w:marRight w:val="0"/>
                  <w:marTop w:val="0"/>
                  <w:marBottom w:val="0"/>
                  <w:divBdr>
                    <w:top w:val="none" w:sz="0" w:space="0" w:color="auto"/>
                    <w:left w:val="none" w:sz="0" w:space="0" w:color="auto"/>
                    <w:bottom w:val="none" w:sz="0" w:space="0" w:color="auto"/>
                    <w:right w:val="none" w:sz="0" w:space="0" w:color="auto"/>
                  </w:divBdr>
                </w:div>
                <w:div w:id="294143712">
                  <w:marLeft w:val="0"/>
                  <w:marRight w:val="0"/>
                  <w:marTop w:val="0"/>
                  <w:marBottom w:val="0"/>
                  <w:divBdr>
                    <w:top w:val="none" w:sz="0" w:space="0" w:color="auto"/>
                    <w:left w:val="none" w:sz="0" w:space="0" w:color="auto"/>
                    <w:bottom w:val="none" w:sz="0" w:space="0" w:color="auto"/>
                    <w:right w:val="none" w:sz="0" w:space="0" w:color="auto"/>
                  </w:divBdr>
                </w:div>
                <w:div w:id="294143749">
                  <w:marLeft w:val="0"/>
                  <w:marRight w:val="0"/>
                  <w:marTop w:val="0"/>
                  <w:marBottom w:val="0"/>
                  <w:divBdr>
                    <w:top w:val="none" w:sz="0" w:space="0" w:color="auto"/>
                    <w:left w:val="none" w:sz="0" w:space="0" w:color="auto"/>
                    <w:bottom w:val="none" w:sz="0" w:space="0" w:color="auto"/>
                    <w:right w:val="none" w:sz="0" w:space="0" w:color="auto"/>
                  </w:divBdr>
                </w:div>
                <w:div w:id="294144127">
                  <w:marLeft w:val="0"/>
                  <w:marRight w:val="0"/>
                  <w:marTop w:val="0"/>
                  <w:marBottom w:val="0"/>
                  <w:divBdr>
                    <w:top w:val="none" w:sz="0" w:space="0" w:color="auto"/>
                    <w:left w:val="none" w:sz="0" w:space="0" w:color="auto"/>
                    <w:bottom w:val="none" w:sz="0" w:space="0" w:color="auto"/>
                    <w:right w:val="none" w:sz="0" w:space="0" w:color="auto"/>
                  </w:divBdr>
                </w:div>
                <w:div w:id="294144373">
                  <w:marLeft w:val="0"/>
                  <w:marRight w:val="0"/>
                  <w:marTop w:val="0"/>
                  <w:marBottom w:val="0"/>
                  <w:divBdr>
                    <w:top w:val="none" w:sz="0" w:space="0" w:color="auto"/>
                    <w:left w:val="none" w:sz="0" w:space="0" w:color="auto"/>
                    <w:bottom w:val="none" w:sz="0" w:space="0" w:color="auto"/>
                    <w:right w:val="none" w:sz="0" w:space="0" w:color="auto"/>
                  </w:divBdr>
                </w:div>
                <w:div w:id="294144505">
                  <w:marLeft w:val="0"/>
                  <w:marRight w:val="0"/>
                  <w:marTop w:val="0"/>
                  <w:marBottom w:val="0"/>
                  <w:divBdr>
                    <w:top w:val="none" w:sz="0" w:space="0" w:color="auto"/>
                    <w:left w:val="none" w:sz="0" w:space="0" w:color="auto"/>
                    <w:bottom w:val="none" w:sz="0" w:space="0" w:color="auto"/>
                    <w:right w:val="none" w:sz="0" w:space="0" w:color="auto"/>
                  </w:divBdr>
                </w:div>
                <w:div w:id="294144645">
                  <w:marLeft w:val="0"/>
                  <w:marRight w:val="0"/>
                  <w:marTop w:val="0"/>
                  <w:marBottom w:val="0"/>
                  <w:divBdr>
                    <w:top w:val="none" w:sz="0" w:space="0" w:color="auto"/>
                    <w:left w:val="none" w:sz="0" w:space="0" w:color="auto"/>
                    <w:bottom w:val="none" w:sz="0" w:space="0" w:color="auto"/>
                    <w:right w:val="none" w:sz="0" w:space="0" w:color="auto"/>
                  </w:divBdr>
                </w:div>
                <w:div w:id="294144696">
                  <w:marLeft w:val="0"/>
                  <w:marRight w:val="0"/>
                  <w:marTop w:val="0"/>
                  <w:marBottom w:val="0"/>
                  <w:divBdr>
                    <w:top w:val="none" w:sz="0" w:space="0" w:color="auto"/>
                    <w:left w:val="none" w:sz="0" w:space="0" w:color="auto"/>
                    <w:bottom w:val="none" w:sz="0" w:space="0" w:color="auto"/>
                    <w:right w:val="none" w:sz="0" w:space="0" w:color="auto"/>
                  </w:divBdr>
                </w:div>
                <w:div w:id="294144756">
                  <w:marLeft w:val="0"/>
                  <w:marRight w:val="0"/>
                  <w:marTop w:val="0"/>
                  <w:marBottom w:val="0"/>
                  <w:divBdr>
                    <w:top w:val="none" w:sz="0" w:space="0" w:color="auto"/>
                    <w:left w:val="none" w:sz="0" w:space="0" w:color="auto"/>
                    <w:bottom w:val="none" w:sz="0" w:space="0" w:color="auto"/>
                    <w:right w:val="none" w:sz="0" w:space="0" w:color="auto"/>
                  </w:divBdr>
                </w:div>
                <w:div w:id="294144774">
                  <w:marLeft w:val="0"/>
                  <w:marRight w:val="0"/>
                  <w:marTop w:val="0"/>
                  <w:marBottom w:val="0"/>
                  <w:divBdr>
                    <w:top w:val="none" w:sz="0" w:space="0" w:color="auto"/>
                    <w:left w:val="none" w:sz="0" w:space="0" w:color="auto"/>
                    <w:bottom w:val="none" w:sz="0" w:space="0" w:color="auto"/>
                    <w:right w:val="none" w:sz="0" w:space="0" w:color="auto"/>
                  </w:divBdr>
                </w:div>
                <w:div w:id="294144813">
                  <w:marLeft w:val="0"/>
                  <w:marRight w:val="0"/>
                  <w:marTop w:val="0"/>
                  <w:marBottom w:val="0"/>
                  <w:divBdr>
                    <w:top w:val="none" w:sz="0" w:space="0" w:color="auto"/>
                    <w:left w:val="none" w:sz="0" w:space="0" w:color="auto"/>
                    <w:bottom w:val="none" w:sz="0" w:space="0" w:color="auto"/>
                    <w:right w:val="none" w:sz="0" w:space="0" w:color="auto"/>
                  </w:divBdr>
                </w:div>
                <w:div w:id="294144833">
                  <w:marLeft w:val="0"/>
                  <w:marRight w:val="0"/>
                  <w:marTop w:val="0"/>
                  <w:marBottom w:val="0"/>
                  <w:divBdr>
                    <w:top w:val="none" w:sz="0" w:space="0" w:color="auto"/>
                    <w:left w:val="none" w:sz="0" w:space="0" w:color="auto"/>
                    <w:bottom w:val="none" w:sz="0" w:space="0" w:color="auto"/>
                    <w:right w:val="none" w:sz="0" w:space="0" w:color="auto"/>
                  </w:divBdr>
                </w:div>
                <w:div w:id="294144851">
                  <w:marLeft w:val="0"/>
                  <w:marRight w:val="0"/>
                  <w:marTop w:val="0"/>
                  <w:marBottom w:val="0"/>
                  <w:divBdr>
                    <w:top w:val="none" w:sz="0" w:space="0" w:color="auto"/>
                    <w:left w:val="none" w:sz="0" w:space="0" w:color="auto"/>
                    <w:bottom w:val="none" w:sz="0" w:space="0" w:color="auto"/>
                    <w:right w:val="none" w:sz="0" w:space="0" w:color="auto"/>
                  </w:divBdr>
                </w:div>
                <w:div w:id="294145136">
                  <w:marLeft w:val="0"/>
                  <w:marRight w:val="0"/>
                  <w:marTop w:val="0"/>
                  <w:marBottom w:val="0"/>
                  <w:divBdr>
                    <w:top w:val="none" w:sz="0" w:space="0" w:color="auto"/>
                    <w:left w:val="none" w:sz="0" w:space="0" w:color="auto"/>
                    <w:bottom w:val="none" w:sz="0" w:space="0" w:color="auto"/>
                    <w:right w:val="none" w:sz="0" w:space="0" w:color="auto"/>
                  </w:divBdr>
                </w:div>
                <w:div w:id="294145597">
                  <w:marLeft w:val="0"/>
                  <w:marRight w:val="0"/>
                  <w:marTop w:val="0"/>
                  <w:marBottom w:val="0"/>
                  <w:divBdr>
                    <w:top w:val="none" w:sz="0" w:space="0" w:color="auto"/>
                    <w:left w:val="none" w:sz="0" w:space="0" w:color="auto"/>
                    <w:bottom w:val="none" w:sz="0" w:space="0" w:color="auto"/>
                    <w:right w:val="none" w:sz="0" w:space="0" w:color="auto"/>
                  </w:divBdr>
                </w:div>
                <w:div w:id="294145881">
                  <w:marLeft w:val="0"/>
                  <w:marRight w:val="0"/>
                  <w:marTop w:val="0"/>
                  <w:marBottom w:val="0"/>
                  <w:divBdr>
                    <w:top w:val="none" w:sz="0" w:space="0" w:color="auto"/>
                    <w:left w:val="none" w:sz="0" w:space="0" w:color="auto"/>
                    <w:bottom w:val="none" w:sz="0" w:space="0" w:color="auto"/>
                    <w:right w:val="none" w:sz="0" w:space="0" w:color="auto"/>
                  </w:divBdr>
                </w:div>
                <w:div w:id="294145897">
                  <w:marLeft w:val="0"/>
                  <w:marRight w:val="0"/>
                  <w:marTop w:val="0"/>
                  <w:marBottom w:val="0"/>
                  <w:divBdr>
                    <w:top w:val="none" w:sz="0" w:space="0" w:color="auto"/>
                    <w:left w:val="none" w:sz="0" w:space="0" w:color="auto"/>
                    <w:bottom w:val="none" w:sz="0" w:space="0" w:color="auto"/>
                    <w:right w:val="none" w:sz="0" w:space="0" w:color="auto"/>
                  </w:divBdr>
                </w:div>
                <w:div w:id="294146058">
                  <w:marLeft w:val="0"/>
                  <w:marRight w:val="0"/>
                  <w:marTop w:val="0"/>
                  <w:marBottom w:val="0"/>
                  <w:divBdr>
                    <w:top w:val="none" w:sz="0" w:space="0" w:color="auto"/>
                    <w:left w:val="none" w:sz="0" w:space="0" w:color="auto"/>
                    <w:bottom w:val="none" w:sz="0" w:space="0" w:color="auto"/>
                    <w:right w:val="none" w:sz="0" w:space="0" w:color="auto"/>
                  </w:divBdr>
                </w:div>
                <w:div w:id="294146948">
                  <w:marLeft w:val="0"/>
                  <w:marRight w:val="0"/>
                  <w:marTop w:val="0"/>
                  <w:marBottom w:val="0"/>
                  <w:divBdr>
                    <w:top w:val="none" w:sz="0" w:space="0" w:color="auto"/>
                    <w:left w:val="none" w:sz="0" w:space="0" w:color="auto"/>
                    <w:bottom w:val="none" w:sz="0" w:space="0" w:color="auto"/>
                    <w:right w:val="none" w:sz="0" w:space="0" w:color="auto"/>
                  </w:divBdr>
                </w:div>
                <w:div w:id="294147192">
                  <w:marLeft w:val="0"/>
                  <w:marRight w:val="0"/>
                  <w:marTop w:val="0"/>
                  <w:marBottom w:val="0"/>
                  <w:divBdr>
                    <w:top w:val="none" w:sz="0" w:space="0" w:color="auto"/>
                    <w:left w:val="none" w:sz="0" w:space="0" w:color="auto"/>
                    <w:bottom w:val="none" w:sz="0" w:space="0" w:color="auto"/>
                    <w:right w:val="none" w:sz="0" w:space="0" w:color="auto"/>
                  </w:divBdr>
                </w:div>
                <w:div w:id="294147209">
                  <w:marLeft w:val="0"/>
                  <w:marRight w:val="0"/>
                  <w:marTop w:val="0"/>
                  <w:marBottom w:val="0"/>
                  <w:divBdr>
                    <w:top w:val="none" w:sz="0" w:space="0" w:color="auto"/>
                    <w:left w:val="none" w:sz="0" w:space="0" w:color="auto"/>
                    <w:bottom w:val="none" w:sz="0" w:space="0" w:color="auto"/>
                    <w:right w:val="none" w:sz="0" w:space="0" w:color="auto"/>
                  </w:divBdr>
                </w:div>
                <w:div w:id="294147617">
                  <w:marLeft w:val="0"/>
                  <w:marRight w:val="0"/>
                  <w:marTop w:val="0"/>
                  <w:marBottom w:val="0"/>
                  <w:divBdr>
                    <w:top w:val="none" w:sz="0" w:space="0" w:color="auto"/>
                    <w:left w:val="none" w:sz="0" w:space="0" w:color="auto"/>
                    <w:bottom w:val="none" w:sz="0" w:space="0" w:color="auto"/>
                    <w:right w:val="none" w:sz="0" w:space="0" w:color="auto"/>
                  </w:divBdr>
                </w:div>
                <w:div w:id="294147900">
                  <w:marLeft w:val="0"/>
                  <w:marRight w:val="0"/>
                  <w:marTop w:val="0"/>
                  <w:marBottom w:val="0"/>
                  <w:divBdr>
                    <w:top w:val="none" w:sz="0" w:space="0" w:color="auto"/>
                    <w:left w:val="none" w:sz="0" w:space="0" w:color="auto"/>
                    <w:bottom w:val="none" w:sz="0" w:space="0" w:color="auto"/>
                    <w:right w:val="none" w:sz="0" w:space="0" w:color="auto"/>
                  </w:divBdr>
                </w:div>
                <w:div w:id="294148158">
                  <w:marLeft w:val="0"/>
                  <w:marRight w:val="0"/>
                  <w:marTop w:val="0"/>
                  <w:marBottom w:val="0"/>
                  <w:divBdr>
                    <w:top w:val="none" w:sz="0" w:space="0" w:color="auto"/>
                    <w:left w:val="none" w:sz="0" w:space="0" w:color="auto"/>
                    <w:bottom w:val="none" w:sz="0" w:space="0" w:color="auto"/>
                    <w:right w:val="none" w:sz="0" w:space="0" w:color="auto"/>
                  </w:divBdr>
                </w:div>
                <w:div w:id="294148335">
                  <w:marLeft w:val="0"/>
                  <w:marRight w:val="0"/>
                  <w:marTop w:val="0"/>
                  <w:marBottom w:val="0"/>
                  <w:divBdr>
                    <w:top w:val="none" w:sz="0" w:space="0" w:color="auto"/>
                    <w:left w:val="none" w:sz="0" w:space="0" w:color="auto"/>
                    <w:bottom w:val="none" w:sz="0" w:space="0" w:color="auto"/>
                    <w:right w:val="none" w:sz="0" w:space="0" w:color="auto"/>
                  </w:divBdr>
                </w:div>
                <w:div w:id="294148766">
                  <w:marLeft w:val="0"/>
                  <w:marRight w:val="0"/>
                  <w:marTop w:val="0"/>
                  <w:marBottom w:val="0"/>
                  <w:divBdr>
                    <w:top w:val="none" w:sz="0" w:space="0" w:color="auto"/>
                    <w:left w:val="none" w:sz="0" w:space="0" w:color="auto"/>
                    <w:bottom w:val="none" w:sz="0" w:space="0" w:color="auto"/>
                    <w:right w:val="none" w:sz="0" w:space="0" w:color="auto"/>
                  </w:divBdr>
                </w:div>
                <w:div w:id="294148779">
                  <w:marLeft w:val="0"/>
                  <w:marRight w:val="0"/>
                  <w:marTop w:val="0"/>
                  <w:marBottom w:val="0"/>
                  <w:divBdr>
                    <w:top w:val="none" w:sz="0" w:space="0" w:color="auto"/>
                    <w:left w:val="none" w:sz="0" w:space="0" w:color="auto"/>
                    <w:bottom w:val="none" w:sz="0" w:space="0" w:color="auto"/>
                    <w:right w:val="none" w:sz="0" w:space="0" w:color="auto"/>
                  </w:divBdr>
                </w:div>
                <w:div w:id="294148967">
                  <w:marLeft w:val="0"/>
                  <w:marRight w:val="0"/>
                  <w:marTop w:val="0"/>
                  <w:marBottom w:val="0"/>
                  <w:divBdr>
                    <w:top w:val="none" w:sz="0" w:space="0" w:color="auto"/>
                    <w:left w:val="none" w:sz="0" w:space="0" w:color="auto"/>
                    <w:bottom w:val="none" w:sz="0" w:space="0" w:color="auto"/>
                    <w:right w:val="none" w:sz="0" w:space="0" w:color="auto"/>
                  </w:divBdr>
                </w:div>
                <w:div w:id="294149104">
                  <w:marLeft w:val="0"/>
                  <w:marRight w:val="0"/>
                  <w:marTop w:val="0"/>
                  <w:marBottom w:val="0"/>
                  <w:divBdr>
                    <w:top w:val="none" w:sz="0" w:space="0" w:color="auto"/>
                    <w:left w:val="none" w:sz="0" w:space="0" w:color="auto"/>
                    <w:bottom w:val="none" w:sz="0" w:space="0" w:color="auto"/>
                    <w:right w:val="none" w:sz="0" w:space="0" w:color="auto"/>
                  </w:divBdr>
                </w:div>
                <w:div w:id="294149155">
                  <w:marLeft w:val="0"/>
                  <w:marRight w:val="0"/>
                  <w:marTop w:val="0"/>
                  <w:marBottom w:val="0"/>
                  <w:divBdr>
                    <w:top w:val="none" w:sz="0" w:space="0" w:color="auto"/>
                    <w:left w:val="none" w:sz="0" w:space="0" w:color="auto"/>
                    <w:bottom w:val="none" w:sz="0" w:space="0" w:color="auto"/>
                    <w:right w:val="none" w:sz="0" w:space="0" w:color="auto"/>
                  </w:divBdr>
                </w:div>
                <w:div w:id="294149360">
                  <w:marLeft w:val="0"/>
                  <w:marRight w:val="0"/>
                  <w:marTop w:val="0"/>
                  <w:marBottom w:val="0"/>
                  <w:divBdr>
                    <w:top w:val="none" w:sz="0" w:space="0" w:color="auto"/>
                    <w:left w:val="none" w:sz="0" w:space="0" w:color="auto"/>
                    <w:bottom w:val="none" w:sz="0" w:space="0" w:color="auto"/>
                    <w:right w:val="none" w:sz="0" w:space="0" w:color="auto"/>
                  </w:divBdr>
                </w:div>
                <w:div w:id="294149361">
                  <w:marLeft w:val="0"/>
                  <w:marRight w:val="0"/>
                  <w:marTop w:val="0"/>
                  <w:marBottom w:val="0"/>
                  <w:divBdr>
                    <w:top w:val="none" w:sz="0" w:space="0" w:color="auto"/>
                    <w:left w:val="none" w:sz="0" w:space="0" w:color="auto"/>
                    <w:bottom w:val="none" w:sz="0" w:space="0" w:color="auto"/>
                    <w:right w:val="none" w:sz="0" w:space="0" w:color="auto"/>
                  </w:divBdr>
                </w:div>
                <w:div w:id="294149557">
                  <w:marLeft w:val="0"/>
                  <w:marRight w:val="0"/>
                  <w:marTop w:val="0"/>
                  <w:marBottom w:val="0"/>
                  <w:divBdr>
                    <w:top w:val="none" w:sz="0" w:space="0" w:color="auto"/>
                    <w:left w:val="none" w:sz="0" w:space="0" w:color="auto"/>
                    <w:bottom w:val="none" w:sz="0" w:space="0" w:color="auto"/>
                    <w:right w:val="none" w:sz="0" w:space="0" w:color="auto"/>
                  </w:divBdr>
                </w:div>
                <w:div w:id="294149564">
                  <w:marLeft w:val="0"/>
                  <w:marRight w:val="0"/>
                  <w:marTop w:val="0"/>
                  <w:marBottom w:val="0"/>
                  <w:divBdr>
                    <w:top w:val="none" w:sz="0" w:space="0" w:color="auto"/>
                    <w:left w:val="none" w:sz="0" w:space="0" w:color="auto"/>
                    <w:bottom w:val="none" w:sz="0" w:space="0" w:color="auto"/>
                    <w:right w:val="none" w:sz="0" w:space="0" w:color="auto"/>
                  </w:divBdr>
                </w:div>
                <w:div w:id="294149580">
                  <w:marLeft w:val="0"/>
                  <w:marRight w:val="0"/>
                  <w:marTop w:val="0"/>
                  <w:marBottom w:val="0"/>
                  <w:divBdr>
                    <w:top w:val="none" w:sz="0" w:space="0" w:color="auto"/>
                    <w:left w:val="none" w:sz="0" w:space="0" w:color="auto"/>
                    <w:bottom w:val="none" w:sz="0" w:space="0" w:color="auto"/>
                    <w:right w:val="none" w:sz="0" w:space="0" w:color="auto"/>
                  </w:divBdr>
                </w:div>
                <w:div w:id="294150075">
                  <w:marLeft w:val="0"/>
                  <w:marRight w:val="0"/>
                  <w:marTop w:val="0"/>
                  <w:marBottom w:val="0"/>
                  <w:divBdr>
                    <w:top w:val="none" w:sz="0" w:space="0" w:color="auto"/>
                    <w:left w:val="none" w:sz="0" w:space="0" w:color="auto"/>
                    <w:bottom w:val="none" w:sz="0" w:space="0" w:color="auto"/>
                    <w:right w:val="none" w:sz="0" w:space="0" w:color="auto"/>
                  </w:divBdr>
                </w:div>
                <w:div w:id="294150159">
                  <w:marLeft w:val="0"/>
                  <w:marRight w:val="0"/>
                  <w:marTop w:val="0"/>
                  <w:marBottom w:val="0"/>
                  <w:divBdr>
                    <w:top w:val="none" w:sz="0" w:space="0" w:color="auto"/>
                    <w:left w:val="none" w:sz="0" w:space="0" w:color="auto"/>
                    <w:bottom w:val="none" w:sz="0" w:space="0" w:color="auto"/>
                    <w:right w:val="none" w:sz="0" w:space="0" w:color="auto"/>
                  </w:divBdr>
                </w:div>
                <w:div w:id="294150273">
                  <w:marLeft w:val="0"/>
                  <w:marRight w:val="0"/>
                  <w:marTop w:val="0"/>
                  <w:marBottom w:val="0"/>
                  <w:divBdr>
                    <w:top w:val="none" w:sz="0" w:space="0" w:color="auto"/>
                    <w:left w:val="none" w:sz="0" w:space="0" w:color="auto"/>
                    <w:bottom w:val="none" w:sz="0" w:space="0" w:color="auto"/>
                    <w:right w:val="none" w:sz="0" w:space="0" w:color="auto"/>
                  </w:divBdr>
                </w:div>
                <w:div w:id="294151193">
                  <w:marLeft w:val="0"/>
                  <w:marRight w:val="0"/>
                  <w:marTop w:val="0"/>
                  <w:marBottom w:val="0"/>
                  <w:divBdr>
                    <w:top w:val="none" w:sz="0" w:space="0" w:color="auto"/>
                    <w:left w:val="none" w:sz="0" w:space="0" w:color="auto"/>
                    <w:bottom w:val="none" w:sz="0" w:space="0" w:color="auto"/>
                    <w:right w:val="none" w:sz="0" w:space="0" w:color="auto"/>
                  </w:divBdr>
                </w:div>
                <w:div w:id="294151284">
                  <w:marLeft w:val="0"/>
                  <w:marRight w:val="0"/>
                  <w:marTop w:val="0"/>
                  <w:marBottom w:val="0"/>
                  <w:divBdr>
                    <w:top w:val="none" w:sz="0" w:space="0" w:color="auto"/>
                    <w:left w:val="none" w:sz="0" w:space="0" w:color="auto"/>
                    <w:bottom w:val="none" w:sz="0" w:space="0" w:color="auto"/>
                    <w:right w:val="none" w:sz="0" w:space="0" w:color="auto"/>
                  </w:divBdr>
                </w:div>
                <w:div w:id="294151348">
                  <w:marLeft w:val="0"/>
                  <w:marRight w:val="0"/>
                  <w:marTop w:val="0"/>
                  <w:marBottom w:val="0"/>
                  <w:divBdr>
                    <w:top w:val="none" w:sz="0" w:space="0" w:color="auto"/>
                    <w:left w:val="none" w:sz="0" w:space="0" w:color="auto"/>
                    <w:bottom w:val="none" w:sz="0" w:space="0" w:color="auto"/>
                    <w:right w:val="none" w:sz="0" w:space="0" w:color="auto"/>
                  </w:divBdr>
                </w:div>
                <w:div w:id="294151495">
                  <w:marLeft w:val="0"/>
                  <w:marRight w:val="0"/>
                  <w:marTop w:val="0"/>
                  <w:marBottom w:val="0"/>
                  <w:divBdr>
                    <w:top w:val="none" w:sz="0" w:space="0" w:color="auto"/>
                    <w:left w:val="none" w:sz="0" w:space="0" w:color="auto"/>
                    <w:bottom w:val="none" w:sz="0" w:space="0" w:color="auto"/>
                    <w:right w:val="none" w:sz="0" w:space="0" w:color="auto"/>
                  </w:divBdr>
                </w:div>
                <w:div w:id="294151663">
                  <w:marLeft w:val="0"/>
                  <w:marRight w:val="0"/>
                  <w:marTop w:val="0"/>
                  <w:marBottom w:val="0"/>
                  <w:divBdr>
                    <w:top w:val="none" w:sz="0" w:space="0" w:color="auto"/>
                    <w:left w:val="none" w:sz="0" w:space="0" w:color="auto"/>
                    <w:bottom w:val="none" w:sz="0" w:space="0" w:color="auto"/>
                    <w:right w:val="none" w:sz="0" w:space="0" w:color="auto"/>
                  </w:divBdr>
                </w:div>
                <w:div w:id="294151707">
                  <w:marLeft w:val="0"/>
                  <w:marRight w:val="0"/>
                  <w:marTop w:val="0"/>
                  <w:marBottom w:val="0"/>
                  <w:divBdr>
                    <w:top w:val="none" w:sz="0" w:space="0" w:color="auto"/>
                    <w:left w:val="none" w:sz="0" w:space="0" w:color="auto"/>
                    <w:bottom w:val="none" w:sz="0" w:space="0" w:color="auto"/>
                    <w:right w:val="none" w:sz="0" w:space="0" w:color="auto"/>
                  </w:divBdr>
                </w:div>
                <w:div w:id="294151812">
                  <w:marLeft w:val="0"/>
                  <w:marRight w:val="0"/>
                  <w:marTop w:val="0"/>
                  <w:marBottom w:val="0"/>
                  <w:divBdr>
                    <w:top w:val="none" w:sz="0" w:space="0" w:color="auto"/>
                    <w:left w:val="none" w:sz="0" w:space="0" w:color="auto"/>
                    <w:bottom w:val="none" w:sz="0" w:space="0" w:color="auto"/>
                    <w:right w:val="none" w:sz="0" w:space="0" w:color="auto"/>
                  </w:divBdr>
                </w:div>
                <w:div w:id="294152086">
                  <w:marLeft w:val="0"/>
                  <w:marRight w:val="0"/>
                  <w:marTop w:val="0"/>
                  <w:marBottom w:val="0"/>
                  <w:divBdr>
                    <w:top w:val="none" w:sz="0" w:space="0" w:color="auto"/>
                    <w:left w:val="none" w:sz="0" w:space="0" w:color="auto"/>
                    <w:bottom w:val="none" w:sz="0" w:space="0" w:color="auto"/>
                    <w:right w:val="none" w:sz="0" w:space="0" w:color="auto"/>
                  </w:divBdr>
                </w:div>
                <w:div w:id="294152106">
                  <w:marLeft w:val="0"/>
                  <w:marRight w:val="0"/>
                  <w:marTop w:val="0"/>
                  <w:marBottom w:val="0"/>
                  <w:divBdr>
                    <w:top w:val="none" w:sz="0" w:space="0" w:color="auto"/>
                    <w:left w:val="none" w:sz="0" w:space="0" w:color="auto"/>
                    <w:bottom w:val="none" w:sz="0" w:space="0" w:color="auto"/>
                    <w:right w:val="none" w:sz="0" w:space="0" w:color="auto"/>
                  </w:divBdr>
                </w:div>
                <w:div w:id="294152364">
                  <w:marLeft w:val="0"/>
                  <w:marRight w:val="0"/>
                  <w:marTop w:val="0"/>
                  <w:marBottom w:val="0"/>
                  <w:divBdr>
                    <w:top w:val="none" w:sz="0" w:space="0" w:color="auto"/>
                    <w:left w:val="none" w:sz="0" w:space="0" w:color="auto"/>
                    <w:bottom w:val="none" w:sz="0" w:space="0" w:color="auto"/>
                    <w:right w:val="none" w:sz="0" w:space="0" w:color="auto"/>
                  </w:divBdr>
                </w:div>
                <w:div w:id="294152547">
                  <w:marLeft w:val="0"/>
                  <w:marRight w:val="0"/>
                  <w:marTop w:val="0"/>
                  <w:marBottom w:val="0"/>
                  <w:divBdr>
                    <w:top w:val="none" w:sz="0" w:space="0" w:color="auto"/>
                    <w:left w:val="none" w:sz="0" w:space="0" w:color="auto"/>
                    <w:bottom w:val="none" w:sz="0" w:space="0" w:color="auto"/>
                    <w:right w:val="none" w:sz="0" w:space="0" w:color="auto"/>
                  </w:divBdr>
                </w:div>
                <w:div w:id="294152663">
                  <w:marLeft w:val="0"/>
                  <w:marRight w:val="0"/>
                  <w:marTop w:val="0"/>
                  <w:marBottom w:val="0"/>
                  <w:divBdr>
                    <w:top w:val="none" w:sz="0" w:space="0" w:color="auto"/>
                    <w:left w:val="none" w:sz="0" w:space="0" w:color="auto"/>
                    <w:bottom w:val="none" w:sz="0" w:space="0" w:color="auto"/>
                    <w:right w:val="none" w:sz="0" w:space="0" w:color="auto"/>
                  </w:divBdr>
                </w:div>
                <w:div w:id="294152731">
                  <w:marLeft w:val="0"/>
                  <w:marRight w:val="0"/>
                  <w:marTop w:val="0"/>
                  <w:marBottom w:val="0"/>
                  <w:divBdr>
                    <w:top w:val="none" w:sz="0" w:space="0" w:color="auto"/>
                    <w:left w:val="none" w:sz="0" w:space="0" w:color="auto"/>
                    <w:bottom w:val="none" w:sz="0" w:space="0" w:color="auto"/>
                    <w:right w:val="none" w:sz="0" w:space="0" w:color="auto"/>
                  </w:divBdr>
                </w:div>
                <w:div w:id="294152859">
                  <w:marLeft w:val="0"/>
                  <w:marRight w:val="0"/>
                  <w:marTop w:val="0"/>
                  <w:marBottom w:val="0"/>
                  <w:divBdr>
                    <w:top w:val="none" w:sz="0" w:space="0" w:color="auto"/>
                    <w:left w:val="none" w:sz="0" w:space="0" w:color="auto"/>
                    <w:bottom w:val="none" w:sz="0" w:space="0" w:color="auto"/>
                    <w:right w:val="none" w:sz="0" w:space="0" w:color="auto"/>
                  </w:divBdr>
                </w:div>
                <w:div w:id="294153169">
                  <w:marLeft w:val="0"/>
                  <w:marRight w:val="0"/>
                  <w:marTop w:val="0"/>
                  <w:marBottom w:val="0"/>
                  <w:divBdr>
                    <w:top w:val="none" w:sz="0" w:space="0" w:color="auto"/>
                    <w:left w:val="none" w:sz="0" w:space="0" w:color="auto"/>
                    <w:bottom w:val="none" w:sz="0" w:space="0" w:color="auto"/>
                    <w:right w:val="none" w:sz="0" w:space="0" w:color="auto"/>
                  </w:divBdr>
                </w:div>
                <w:div w:id="294153480">
                  <w:marLeft w:val="0"/>
                  <w:marRight w:val="0"/>
                  <w:marTop w:val="0"/>
                  <w:marBottom w:val="0"/>
                  <w:divBdr>
                    <w:top w:val="none" w:sz="0" w:space="0" w:color="auto"/>
                    <w:left w:val="none" w:sz="0" w:space="0" w:color="auto"/>
                    <w:bottom w:val="none" w:sz="0" w:space="0" w:color="auto"/>
                    <w:right w:val="none" w:sz="0" w:space="0" w:color="auto"/>
                  </w:divBdr>
                </w:div>
                <w:div w:id="294153862">
                  <w:marLeft w:val="0"/>
                  <w:marRight w:val="0"/>
                  <w:marTop w:val="0"/>
                  <w:marBottom w:val="0"/>
                  <w:divBdr>
                    <w:top w:val="none" w:sz="0" w:space="0" w:color="auto"/>
                    <w:left w:val="none" w:sz="0" w:space="0" w:color="auto"/>
                    <w:bottom w:val="none" w:sz="0" w:space="0" w:color="auto"/>
                    <w:right w:val="none" w:sz="0" w:space="0" w:color="auto"/>
                  </w:divBdr>
                </w:div>
                <w:div w:id="294153893">
                  <w:marLeft w:val="0"/>
                  <w:marRight w:val="0"/>
                  <w:marTop w:val="0"/>
                  <w:marBottom w:val="0"/>
                  <w:divBdr>
                    <w:top w:val="none" w:sz="0" w:space="0" w:color="auto"/>
                    <w:left w:val="none" w:sz="0" w:space="0" w:color="auto"/>
                    <w:bottom w:val="none" w:sz="0" w:space="0" w:color="auto"/>
                    <w:right w:val="none" w:sz="0" w:space="0" w:color="auto"/>
                  </w:divBdr>
                </w:div>
                <w:div w:id="294153998">
                  <w:marLeft w:val="0"/>
                  <w:marRight w:val="0"/>
                  <w:marTop w:val="0"/>
                  <w:marBottom w:val="0"/>
                  <w:divBdr>
                    <w:top w:val="none" w:sz="0" w:space="0" w:color="auto"/>
                    <w:left w:val="none" w:sz="0" w:space="0" w:color="auto"/>
                    <w:bottom w:val="none" w:sz="0" w:space="0" w:color="auto"/>
                    <w:right w:val="none" w:sz="0" w:space="0" w:color="auto"/>
                  </w:divBdr>
                </w:div>
                <w:div w:id="294154176">
                  <w:marLeft w:val="0"/>
                  <w:marRight w:val="0"/>
                  <w:marTop w:val="0"/>
                  <w:marBottom w:val="0"/>
                  <w:divBdr>
                    <w:top w:val="none" w:sz="0" w:space="0" w:color="auto"/>
                    <w:left w:val="none" w:sz="0" w:space="0" w:color="auto"/>
                    <w:bottom w:val="none" w:sz="0" w:space="0" w:color="auto"/>
                    <w:right w:val="none" w:sz="0" w:space="0" w:color="auto"/>
                  </w:divBdr>
                </w:div>
                <w:div w:id="294154413">
                  <w:marLeft w:val="0"/>
                  <w:marRight w:val="0"/>
                  <w:marTop w:val="0"/>
                  <w:marBottom w:val="0"/>
                  <w:divBdr>
                    <w:top w:val="none" w:sz="0" w:space="0" w:color="auto"/>
                    <w:left w:val="none" w:sz="0" w:space="0" w:color="auto"/>
                    <w:bottom w:val="none" w:sz="0" w:space="0" w:color="auto"/>
                    <w:right w:val="none" w:sz="0" w:space="0" w:color="auto"/>
                  </w:divBdr>
                </w:div>
                <w:div w:id="294154486">
                  <w:marLeft w:val="0"/>
                  <w:marRight w:val="0"/>
                  <w:marTop w:val="0"/>
                  <w:marBottom w:val="0"/>
                  <w:divBdr>
                    <w:top w:val="none" w:sz="0" w:space="0" w:color="auto"/>
                    <w:left w:val="none" w:sz="0" w:space="0" w:color="auto"/>
                    <w:bottom w:val="none" w:sz="0" w:space="0" w:color="auto"/>
                    <w:right w:val="none" w:sz="0" w:space="0" w:color="auto"/>
                  </w:divBdr>
                </w:div>
                <w:div w:id="294154588">
                  <w:marLeft w:val="0"/>
                  <w:marRight w:val="0"/>
                  <w:marTop w:val="0"/>
                  <w:marBottom w:val="0"/>
                  <w:divBdr>
                    <w:top w:val="none" w:sz="0" w:space="0" w:color="auto"/>
                    <w:left w:val="none" w:sz="0" w:space="0" w:color="auto"/>
                    <w:bottom w:val="none" w:sz="0" w:space="0" w:color="auto"/>
                    <w:right w:val="none" w:sz="0" w:space="0" w:color="auto"/>
                  </w:divBdr>
                </w:div>
                <w:div w:id="294154953">
                  <w:marLeft w:val="0"/>
                  <w:marRight w:val="0"/>
                  <w:marTop w:val="0"/>
                  <w:marBottom w:val="0"/>
                  <w:divBdr>
                    <w:top w:val="none" w:sz="0" w:space="0" w:color="auto"/>
                    <w:left w:val="none" w:sz="0" w:space="0" w:color="auto"/>
                    <w:bottom w:val="none" w:sz="0" w:space="0" w:color="auto"/>
                    <w:right w:val="none" w:sz="0" w:space="0" w:color="auto"/>
                  </w:divBdr>
                </w:div>
                <w:div w:id="294155002">
                  <w:marLeft w:val="0"/>
                  <w:marRight w:val="0"/>
                  <w:marTop w:val="0"/>
                  <w:marBottom w:val="0"/>
                  <w:divBdr>
                    <w:top w:val="none" w:sz="0" w:space="0" w:color="auto"/>
                    <w:left w:val="none" w:sz="0" w:space="0" w:color="auto"/>
                    <w:bottom w:val="none" w:sz="0" w:space="0" w:color="auto"/>
                    <w:right w:val="none" w:sz="0" w:space="0" w:color="auto"/>
                  </w:divBdr>
                </w:div>
                <w:div w:id="294155119">
                  <w:marLeft w:val="0"/>
                  <w:marRight w:val="0"/>
                  <w:marTop w:val="0"/>
                  <w:marBottom w:val="0"/>
                  <w:divBdr>
                    <w:top w:val="none" w:sz="0" w:space="0" w:color="auto"/>
                    <w:left w:val="none" w:sz="0" w:space="0" w:color="auto"/>
                    <w:bottom w:val="none" w:sz="0" w:space="0" w:color="auto"/>
                    <w:right w:val="none" w:sz="0" w:space="0" w:color="auto"/>
                  </w:divBdr>
                </w:div>
                <w:div w:id="294155233">
                  <w:marLeft w:val="0"/>
                  <w:marRight w:val="0"/>
                  <w:marTop w:val="0"/>
                  <w:marBottom w:val="0"/>
                  <w:divBdr>
                    <w:top w:val="none" w:sz="0" w:space="0" w:color="auto"/>
                    <w:left w:val="none" w:sz="0" w:space="0" w:color="auto"/>
                    <w:bottom w:val="none" w:sz="0" w:space="0" w:color="auto"/>
                    <w:right w:val="none" w:sz="0" w:space="0" w:color="auto"/>
                  </w:divBdr>
                </w:div>
                <w:div w:id="294155274">
                  <w:marLeft w:val="0"/>
                  <w:marRight w:val="0"/>
                  <w:marTop w:val="0"/>
                  <w:marBottom w:val="0"/>
                  <w:divBdr>
                    <w:top w:val="none" w:sz="0" w:space="0" w:color="auto"/>
                    <w:left w:val="none" w:sz="0" w:space="0" w:color="auto"/>
                    <w:bottom w:val="none" w:sz="0" w:space="0" w:color="auto"/>
                    <w:right w:val="none" w:sz="0" w:space="0" w:color="auto"/>
                  </w:divBdr>
                </w:div>
                <w:div w:id="294155487">
                  <w:marLeft w:val="0"/>
                  <w:marRight w:val="0"/>
                  <w:marTop w:val="0"/>
                  <w:marBottom w:val="0"/>
                  <w:divBdr>
                    <w:top w:val="none" w:sz="0" w:space="0" w:color="auto"/>
                    <w:left w:val="none" w:sz="0" w:space="0" w:color="auto"/>
                    <w:bottom w:val="none" w:sz="0" w:space="0" w:color="auto"/>
                    <w:right w:val="none" w:sz="0" w:space="0" w:color="auto"/>
                  </w:divBdr>
                </w:div>
                <w:div w:id="294156317">
                  <w:marLeft w:val="0"/>
                  <w:marRight w:val="0"/>
                  <w:marTop w:val="0"/>
                  <w:marBottom w:val="0"/>
                  <w:divBdr>
                    <w:top w:val="none" w:sz="0" w:space="0" w:color="auto"/>
                    <w:left w:val="none" w:sz="0" w:space="0" w:color="auto"/>
                    <w:bottom w:val="none" w:sz="0" w:space="0" w:color="auto"/>
                    <w:right w:val="none" w:sz="0" w:space="0" w:color="auto"/>
                  </w:divBdr>
                </w:div>
                <w:div w:id="294156587">
                  <w:marLeft w:val="0"/>
                  <w:marRight w:val="0"/>
                  <w:marTop w:val="0"/>
                  <w:marBottom w:val="0"/>
                  <w:divBdr>
                    <w:top w:val="none" w:sz="0" w:space="0" w:color="auto"/>
                    <w:left w:val="none" w:sz="0" w:space="0" w:color="auto"/>
                    <w:bottom w:val="none" w:sz="0" w:space="0" w:color="auto"/>
                    <w:right w:val="none" w:sz="0" w:space="0" w:color="auto"/>
                  </w:divBdr>
                </w:div>
                <w:div w:id="294156628">
                  <w:marLeft w:val="0"/>
                  <w:marRight w:val="0"/>
                  <w:marTop w:val="0"/>
                  <w:marBottom w:val="0"/>
                  <w:divBdr>
                    <w:top w:val="none" w:sz="0" w:space="0" w:color="auto"/>
                    <w:left w:val="none" w:sz="0" w:space="0" w:color="auto"/>
                    <w:bottom w:val="none" w:sz="0" w:space="0" w:color="auto"/>
                    <w:right w:val="none" w:sz="0" w:space="0" w:color="auto"/>
                  </w:divBdr>
                </w:div>
                <w:div w:id="294156693">
                  <w:marLeft w:val="0"/>
                  <w:marRight w:val="0"/>
                  <w:marTop w:val="0"/>
                  <w:marBottom w:val="0"/>
                  <w:divBdr>
                    <w:top w:val="none" w:sz="0" w:space="0" w:color="auto"/>
                    <w:left w:val="none" w:sz="0" w:space="0" w:color="auto"/>
                    <w:bottom w:val="none" w:sz="0" w:space="0" w:color="auto"/>
                    <w:right w:val="none" w:sz="0" w:space="0" w:color="auto"/>
                  </w:divBdr>
                </w:div>
                <w:div w:id="294156981">
                  <w:marLeft w:val="0"/>
                  <w:marRight w:val="0"/>
                  <w:marTop w:val="0"/>
                  <w:marBottom w:val="0"/>
                  <w:divBdr>
                    <w:top w:val="none" w:sz="0" w:space="0" w:color="auto"/>
                    <w:left w:val="none" w:sz="0" w:space="0" w:color="auto"/>
                    <w:bottom w:val="none" w:sz="0" w:space="0" w:color="auto"/>
                    <w:right w:val="none" w:sz="0" w:space="0" w:color="auto"/>
                  </w:divBdr>
                </w:div>
                <w:div w:id="294157099">
                  <w:marLeft w:val="0"/>
                  <w:marRight w:val="0"/>
                  <w:marTop w:val="0"/>
                  <w:marBottom w:val="0"/>
                  <w:divBdr>
                    <w:top w:val="none" w:sz="0" w:space="0" w:color="auto"/>
                    <w:left w:val="none" w:sz="0" w:space="0" w:color="auto"/>
                    <w:bottom w:val="none" w:sz="0" w:space="0" w:color="auto"/>
                    <w:right w:val="none" w:sz="0" w:space="0" w:color="auto"/>
                  </w:divBdr>
                </w:div>
                <w:div w:id="294157285">
                  <w:marLeft w:val="0"/>
                  <w:marRight w:val="0"/>
                  <w:marTop w:val="0"/>
                  <w:marBottom w:val="0"/>
                  <w:divBdr>
                    <w:top w:val="none" w:sz="0" w:space="0" w:color="auto"/>
                    <w:left w:val="none" w:sz="0" w:space="0" w:color="auto"/>
                    <w:bottom w:val="none" w:sz="0" w:space="0" w:color="auto"/>
                    <w:right w:val="none" w:sz="0" w:space="0" w:color="auto"/>
                  </w:divBdr>
                </w:div>
                <w:div w:id="294157358">
                  <w:marLeft w:val="0"/>
                  <w:marRight w:val="0"/>
                  <w:marTop w:val="0"/>
                  <w:marBottom w:val="0"/>
                  <w:divBdr>
                    <w:top w:val="none" w:sz="0" w:space="0" w:color="auto"/>
                    <w:left w:val="none" w:sz="0" w:space="0" w:color="auto"/>
                    <w:bottom w:val="none" w:sz="0" w:space="0" w:color="auto"/>
                    <w:right w:val="none" w:sz="0" w:space="0" w:color="auto"/>
                  </w:divBdr>
                </w:div>
                <w:div w:id="294157378">
                  <w:marLeft w:val="0"/>
                  <w:marRight w:val="0"/>
                  <w:marTop w:val="0"/>
                  <w:marBottom w:val="0"/>
                  <w:divBdr>
                    <w:top w:val="none" w:sz="0" w:space="0" w:color="auto"/>
                    <w:left w:val="none" w:sz="0" w:space="0" w:color="auto"/>
                    <w:bottom w:val="none" w:sz="0" w:space="0" w:color="auto"/>
                    <w:right w:val="none" w:sz="0" w:space="0" w:color="auto"/>
                  </w:divBdr>
                </w:div>
                <w:div w:id="29415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2437">
          <w:marLeft w:val="0"/>
          <w:marRight w:val="0"/>
          <w:marTop w:val="0"/>
          <w:marBottom w:val="300"/>
          <w:divBdr>
            <w:top w:val="none" w:sz="0" w:space="0" w:color="auto"/>
            <w:left w:val="none" w:sz="0" w:space="0" w:color="auto"/>
            <w:bottom w:val="none" w:sz="0" w:space="0" w:color="auto"/>
            <w:right w:val="none" w:sz="0" w:space="0" w:color="auto"/>
          </w:divBdr>
        </w:div>
        <w:div w:id="294155493">
          <w:marLeft w:val="0"/>
          <w:marRight w:val="0"/>
          <w:marTop w:val="0"/>
          <w:marBottom w:val="0"/>
          <w:divBdr>
            <w:top w:val="none" w:sz="0" w:space="0" w:color="auto"/>
            <w:left w:val="none" w:sz="0" w:space="0" w:color="auto"/>
            <w:bottom w:val="none" w:sz="0" w:space="0" w:color="auto"/>
            <w:right w:val="none" w:sz="0" w:space="0" w:color="auto"/>
          </w:divBdr>
          <w:divsChild>
            <w:div w:id="294144897">
              <w:marLeft w:val="0"/>
              <w:marRight w:val="0"/>
              <w:marTop w:val="0"/>
              <w:marBottom w:val="0"/>
              <w:divBdr>
                <w:top w:val="none" w:sz="0" w:space="0" w:color="auto"/>
                <w:left w:val="none" w:sz="0" w:space="0" w:color="auto"/>
                <w:bottom w:val="none" w:sz="0" w:space="0" w:color="auto"/>
                <w:right w:val="none" w:sz="0" w:space="0" w:color="auto"/>
              </w:divBdr>
              <w:divsChild>
                <w:div w:id="29414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40767">
      <w:marLeft w:val="0"/>
      <w:marRight w:val="0"/>
      <w:marTop w:val="0"/>
      <w:marBottom w:val="0"/>
      <w:divBdr>
        <w:top w:val="none" w:sz="0" w:space="0" w:color="auto"/>
        <w:left w:val="none" w:sz="0" w:space="0" w:color="auto"/>
        <w:bottom w:val="none" w:sz="0" w:space="0" w:color="auto"/>
        <w:right w:val="none" w:sz="0" w:space="0" w:color="auto"/>
      </w:divBdr>
    </w:div>
    <w:div w:id="294140777">
      <w:marLeft w:val="0"/>
      <w:marRight w:val="0"/>
      <w:marTop w:val="0"/>
      <w:marBottom w:val="0"/>
      <w:divBdr>
        <w:top w:val="none" w:sz="0" w:space="0" w:color="auto"/>
        <w:left w:val="none" w:sz="0" w:space="0" w:color="auto"/>
        <w:bottom w:val="none" w:sz="0" w:space="0" w:color="auto"/>
        <w:right w:val="none" w:sz="0" w:space="0" w:color="auto"/>
      </w:divBdr>
    </w:div>
    <w:div w:id="294140801">
      <w:marLeft w:val="0"/>
      <w:marRight w:val="0"/>
      <w:marTop w:val="0"/>
      <w:marBottom w:val="0"/>
      <w:divBdr>
        <w:top w:val="none" w:sz="0" w:space="0" w:color="auto"/>
        <w:left w:val="none" w:sz="0" w:space="0" w:color="auto"/>
        <w:bottom w:val="none" w:sz="0" w:space="0" w:color="auto"/>
        <w:right w:val="none" w:sz="0" w:space="0" w:color="auto"/>
      </w:divBdr>
      <w:divsChild>
        <w:div w:id="294145960">
          <w:marLeft w:val="0"/>
          <w:marRight w:val="0"/>
          <w:marTop w:val="0"/>
          <w:marBottom w:val="0"/>
          <w:divBdr>
            <w:top w:val="none" w:sz="0" w:space="0" w:color="auto"/>
            <w:left w:val="none" w:sz="0" w:space="0" w:color="auto"/>
            <w:bottom w:val="none" w:sz="0" w:space="0" w:color="auto"/>
            <w:right w:val="none" w:sz="0" w:space="0" w:color="auto"/>
          </w:divBdr>
          <w:divsChild>
            <w:div w:id="294138998">
              <w:marLeft w:val="0"/>
              <w:marRight w:val="0"/>
              <w:marTop w:val="0"/>
              <w:marBottom w:val="0"/>
              <w:divBdr>
                <w:top w:val="none" w:sz="0" w:space="0" w:color="auto"/>
                <w:left w:val="none" w:sz="0" w:space="0" w:color="auto"/>
                <w:bottom w:val="none" w:sz="0" w:space="0" w:color="auto"/>
                <w:right w:val="none" w:sz="0" w:space="0" w:color="auto"/>
              </w:divBdr>
            </w:div>
            <w:div w:id="294139411">
              <w:marLeft w:val="0"/>
              <w:marRight w:val="0"/>
              <w:marTop w:val="0"/>
              <w:marBottom w:val="0"/>
              <w:divBdr>
                <w:top w:val="none" w:sz="0" w:space="0" w:color="auto"/>
                <w:left w:val="none" w:sz="0" w:space="0" w:color="auto"/>
                <w:bottom w:val="none" w:sz="0" w:space="0" w:color="auto"/>
                <w:right w:val="none" w:sz="0" w:space="0" w:color="auto"/>
              </w:divBdr>
            </w:div>
            <w:div w:id="294140051">
              <w:marLeft w:val="0"/>
              <w:marRight w:val="0"/>
              <w:marTop w:val="0"/>
              <w:marBottom w:val="0"/>
              <w:divBdr>
                <w:top w:val="none" w:sz="0" w:space="0" w:color="auto"/>
                <w:left w:val="none" w:sz="0" w:space="0" w:color="auto"/>
                <w:bottom w:val="none" w:sz="0" w:space="0" w:color="auto"/>
                <w:right w:val="none" w:sz="0" w:space="0" w:color="auto"/>
              </w:divBdr>
            </w:div>
            <w:div w:id="294141084">
              <w:marLeft w:val="0"/>
              <w:marRight w:val="0"/>
              <w:marTop w:val="0"/>
              <w:marBottom w:val="0"/>
              <w:divBdr>
                <w:top w:val="none" w:sz="0" w:space="0" w:color="auto"/>
                <w:left w:val="none" w:sz="0" w:space="0" w:color="auto"/>
                <w:bottom w:val="none" w:sz="0" w:space="0" w:color="auto"/>
                <w:right w:val="none" w:sz="0" w:space="0" w:color="auto"/>
              </w:divBdr>
            </w:div>
            <w:div w:id="294142420">
              <w:marLeft w:val="0"/>
              <w:marRight w:val="0"/>
              <w:marTop w:val="0"/>
              <w:marBottom w:val="0"/>
              <w:divBdr>
                <w:top w:val="none" w:sz="0" w:space="0" w:color="auto"/>
                <w:left w:val="none" w:sz="0" w:space="0" w:color="auto"/>
                <w:bottom w:val="none" w:sz="0" w:space="0" w:color="auto"/>
                <w:right w:val="none" w:sz="0" w:space="0" w:color="auto"/>
              </w:divBdr>
            </w:div>
            <w:div w:id="294142809">
              <w:marLeft w:val="0"/>
              <w:marRight w:val="0"/>
              <w:marTop w:val="0"/>
              <w:marBottom w:val="0"/>
              <w:divBdr>
                <w:top w:val="none" w:sz="0" w:space="0" w:color="auto"/>
                <w:left w:val="none" w:sz="0" w:space="0" w:color="auto"/>
                <w:bottom w:val="none" w:sz="0" w:space="0" w:color="auto"/>
                <w:right w:val="none" w:sz="0" w:space="0" w:color="auto"/>
              </w:divBdr>
            </w:div>
            <w:div w:id="294144778">
              <w:marLeft w:val="0"/>
              <w:marRight w:val="0"/>
              <w:marTop w:val="0"/>
              <w:marBottom w:val="0"/>
              <w:divBdr>
                <w:top w:val="none" w:sz="0" w:space="0" w:color="auto"/>
                <w:left w:val="none" w:sz="0" w:space="0" w:color="auto"/>
                <w:bottom w:val="none" w:sz="0" w:space="0" w:color="auto"/>
                <w:right w:val="none" w:sz="0" w:space="0" w:color="auto"/>
              </w:divBdr>
            </w:div>
            <w:div w:id="294144816">
              <w:marLeft w:val="0"/>
              <w:marRight w:val="0"/>
              <w:marTop w:val="0"/>
              <w:marBottom w:val="100"/>
              <w:divBdr>
                <w:top w:val="none" w:sz="0" w:space="0" w:color="auto"/>
                <w:left w:val="none" w:sz="0" w:space="0" w:color="auto"/>
                <w:bottom w:val="none" w:sz="0" w:space="0" w:color="auto"/>
                <w:right w:val="none" w:sz="0" w:space="0" w:color="auto"/>
              </w:divBdr>
              <w:divsChild>
                <w:div w:id="294143973">
                  <w:marLeft w:val="0"/>
                  <w:marRight w:val="0"/>
                  <w:marTop w:val="0"/>
                  <w:marBottom w:val="0"/>
                  <w:divBdr>
                    <w:top w:val="none" w:sz="0" w:space="0" w:color="auto"/>
                    <w:left w:val="none" w:sz="0" w:space="0" w:color="auto"/>
                    <w:bottom w:val="none" w:sz="0" w:space="0" w:color="auto"/>
                    <w:right w:val="none" w:sz="0" w:space="0" w:color="auto"/>
                  </w:divBdr>
                  <w:divsChild>
                    <w:div w:id="294142678">
                      <w:marLeft w:val="0"/>
                      <w:marRight w:val="0"/>
                      <w:marTop w:val="0"/>
                      <w:marBottom w:val="0"/>
                      <w:divBdr>
                        <w:top w:val="none" w:sz="0" w:space="0" w:color="auto"/>
                        <w:left w:val="none" w:sz="0" w:space="0" w:color="auto"/>
                        <w:bottom w:val="none" w:sz="0" w:space="0" w:color="auto"/>
                        <w:right w:val="none" w:sz="0" w:space="0" w:color="auto"/>
                      </w:divBdr>
                    </w:div>
                    <w:div w:id="2941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6792">
              <w:marLeft w:val="0"/>
              <w:marRight w:val="0"/>
              <w:marTop w:val="0"/>
              <w:marBottom w:val="0"/>
              <w:divBdr>
                <w:top w:val="none" w:sz="0" w:space="0" w:color="auto"/>
                <w:left w:val="none" w:sz="0" w:space="0" w:color="auto"/>
                <w:bottom w:val="none" w:sz="0" w:space="0" w:color="auto"/>
                <w:right w:val="none" w:sz="0" w:space="0" w:color="auto"/>
              </w:divBdr>
            </w:div>
            <w:div w:id="294147087">
              <w:marLeft w:val="0"/>
              <w:marRight w:val="0"/>
              <w:marTop w:val="0"/>
              <w:marBottom w:val="0"/>
              <w:divBdr>
                <w:top w:val="none" w:sz="0" w:space="0" w:color="auto"/>
                <w:left w:val="none" w:sz="0" w:space="0" w:color="auto"/>
                <w:bottom w:val="none" w:sz="0" w:space="0" w:color="auto"/>
                <w:right w:val="none" w:sz="0" w:space="0" w:color="auto"/>
              </w:divBdr>
            </w:div>
            <w:div w:id="294147754">
              <w:marLeft w:val="0"/>
              <w:marRight w:val="0"/>
              <w:marTop w:val="0"/>
              <w:marBottom w:val="100"/>
              <w:divBdr>
                <w:top w:val="none" w:sz="0" w:space="0" w:color="auto"/>
                <w:left w:val="none" w:sz="0" w:space="0" w:color="auto"/>
                <w:bottom w:val="none" w:sz="0" w:space="0" w:color="auto"/>
                <w:right w:val="none" w:sz="0" w:space="0" w:color="auto"/>
              </w:divBdr>
              <w:divsChild>
                <w:div w:id="294146064">
                  <w:marLeft w:val="0"/>
                  <w:marRight w:val="0"/>
                  <w:marTop w:val="0"/>
                  <w:marBottom w:val="0"/>
                  <w:divBdr>
                    <w:top w:val="none" w:sz="0" w:space="0" w:color="auto"/>
                    <w:left w:val="none" w:sz="0" w:space="0" w:color="auto"/>
                    <w:bottom w:val="none" w:sz="0" w:space="0" w:color="auto"/>
                    <w:right w:val="none" w:sz="0" w:space="0" w:color="auto"/>
                  </w:divBdr>
                  <w:divsChild>
                    <w:div w:id="294146085">
                      <w:marLeft w:val="0"/>
                      <w:marRight w:val="0"/>
                      <w:marTop w:val="0"/>
                      <w:marBottom w:val="0"/>
                      <w:divBdr>
                        <w:top w:val="none" w:sz="0" w:space="0" w:color="auto"/>
                        <w:left w:val="none" w:sz="0" w:space="0" w:color="auto"/>
                        <w:bottom w:val="none" w:sz="0" w:space="0" w:color="auto"/>
                        <w:right w:val="none" w:sz="0" w:space="0" w:color="auto"/>
                      </w:divBdr>
                    </w:div>
                    <w:div w:id="29415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8850">
              <w:marLeft w:val="0"/>
              <w:marRight w:val="0"/>
              <w:marTop w:val="0"/>
              <w:marBottom w:val="0"/>
              <w:divBdr>
                <w:top w:val="none" w:sz="0" w:space="0" w:color="auto"/>
                <w:left w:val="none" w:sz="0" w:space="0" w:color="auto"/>
                <w:bottom w:val="none" w:sz="0" w:space="0" w:color="auto"/>
                <w:right w:val="none" w:sz="0" w:space="0" w:color="auto"/>
              </w:divBdr>
            </w:div>
            <w:div w:id="294149368">
              <w:marLeft w:val="0"/>
              <w:marRight w:val="0"/>
              <w:marTop w:val="0"/>
              <w:marBottom w:val="0"/>
              <w:divBdr>
                <w:top w:val="none" w:sz="0" w:space="0" w:color="auto"/>
                <w:left w:val="none" w:sz="0" w:space="0" w:color="auto"/>
                <w:bottom w:val="none" w:sz="0" w:space="0" w:color="auto"/>
                <w:right w:val="none" w:sz="0" w:space="0" w:color="auto"/>
              </w:divBdr>
            </w:div>
            <w:div w:id="294149776">
              <w:marLeft w:val="0"/>
              <w:marRight w:val="0"/>
              <w:marTop w:val="0"/>
              <w:marBottom w:val="100"/>
              <w:divBdr>
                <w:top w:val="none" w:sz="0" w:space="0" w:color="auto"/>
                <w:left w:val="none" w:sz="0" w:space="0" w:color="auto"/>
                <w:bottom w:val="none" w:sz="0" w:space="0" w:color="auto"/>
                <w:right w:val="none" w:sz="0" w:space="0" w:color="auto"/>
              </w:divBdr>
              <w:divsChild>
                <w:div w:id="294146832">
                  <w:marLeft w:val="0"/>
                  <w:marRight w:val="0"/>
                  <w:marTop w:val="0"/>
                  <w:marBottom w:val="0"/>
                  <w:divBdr>
                    <w:top w:val="none" w:sz="0" w:space="0" w:color="auto"/>
                    <w:left w:val="none" w:sz="0" w:space="0" w:color="auto"/>
                    <w:bottom w:val="none" w:sz="0" w:space="0" w:color="auto"/>
                    <w:right w:val="none" w:sz="0" w:space="0" w:color="auto"/>
                  </w:divBdr>
                  <w:divsChild>
                    <w:div w:id="294146487">
                      <w:marLeft w:val="0"/>
                      <w:marRight w:val="0"/>
                      <w:marTop w:val="0"/>
                      <w:marBottom w:val="0"/>
                      <w:divBdr>
                        <w:top w:val="none" w:sz="0" w:space="0" w:color="auto"/>
                        <w:left w:val="none" w:sz="0" w:space="0" w:color="auto"/>
                        <w:bottom w:val="none" w:sz="0" w:space="0" w:color="auto"/>
                        <w:right w:val="none" w:sz="0" w:space="0" w:color="auto"/>
                      </w:divBdr>
                    </w:div>
                    <w:div w:id="29415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9813">
              <w:marLeft w:val="0"/>
              <w:marRight w:val="0"/>
              <w:marTop w:val="0"/>
              <w:marBottom w:val="100"/>
              <w:divBdr>
                <w:top w:val="none" w:sz="0" w:space="0" w:color="auto"/>
                <w:left w:val="none" w:sz="0" w:space="0" w:color="auto"/>
                <w:bottom w:val="none" w:sz="0" w:space="0" w:color="auto"/>
                <w:right w:val="none" w:sz="0" w:space="0" w:color="auto"/>
              </w:divBdr>
              <w:divsChild>
                <w:div w:id="294146853">
                  <w:marLeft w:val="0"/>
                  <w:marRight w:val="0"/>
                  <w:marTop w:val="0"/>
                  <w:marBottom w:val="0"/>
                  <w:divBdr>
                    <w:top w:val="none" w:sz="0" w:space="0" w:color="auto"/>
                    <w:left w:val="none" w:sz="0" w:space="0" w:color="auto"/>
                    <w:bottom w:val="none" w:sz="0" w:space="0" w:color="auto"/>
                    <w:right w:val="none" w:sz="0" w:space="0" w:color="auto"/>
                  </w:divBdr>
                  <w:divsChild>
                    <w:div w:id="294147457">
                      <w:marLeft w:val="0"/>
                      <w:marRight w:val="0"/>
                      <w:marTop w:val="0"/>
                      <w:marBottom w:val="0"/>
                      <w:divBdr>
                        <w:top w:val="none" w:sz="0" w:space="0" w:color="auto"/>
                        <w:left w:val="none" w:sz="0" w:space="0" w:color="auto"/>
                        <w:bottom w:val="none" w:sz="0" w:space="0" w:color="auto"/>
                        <w:right w:val="none" w:sz="0" w:space="0" w:color="auto"/>
                      </w:divBdr>
                    </w:div>
                    <w:div w:id="29414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0167">
              <w:marLeft w:val="0"/>
              <w:marRight w:val="0"/>
              <w:marTop w:val="0"/>
              <w:marBottom w:val="100"/>
              <w:divBdr>
                <w:top w:val="none" w:sz="0" w:space="0" w:color="auto"/>
                <w:left w:val="none" w:sz="0" w:space="0" w:color="auto"/>
                <w:bottom w:val="none" w:sz="0" w:space="0" w:color="auto"/>
                <w:right w:val="none" w:sz="0" w:space="0" w:color="auto"/>
              </w:divBdr>
              <w:divsChild>
                <w:div w:id="294155998">
                  <w:marLeft w:val="0"/>
                  <w:marRight w:val="0"/>
                  <w:marTop w:val="0"/>
                  <w:marBottom w:val="0"/>
                  <w:divBdr>
                    <w:top w:val="none" w:sz="0" w:space="0" w:color="auto"/>
                    <w:left w:val="none" w:sz="0" w:space="0" w:color="auto"/>
                    <w:bottom w:val="none" w:sz="0" w:space="0" w:color="auto"/>
                    <w:right w:val="none" w:sz="0" w:space="0" w:color="auto"/>
                  </w:divBdr>
                  <w:divsChild>
                    <w:div w:id="294144197">
                      <w:marLeft w:val="0"/>
                      <w:marRight w:val="0"/>
                      <w:marTop w:val="0"/>
                      <w:marBottom w:val="0"/>
                      <w:divBdr>
                        <w:top w:val="none" w:sz="0" w:space="0" w:color="auto"/>
                        <w:left w:val="none" w:sz="0" w:space="0" w:color="auto"/>
                        <w:bottom w:val="none" w:sz="0" w:space="0" w:color="auto"/>
                        <w:right w:val="none" w:sz="0" w:space="0" w:color="auto"/>
                      </w:divBdr>
                    </w:div>
                    <w:div w:id="29414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1787">
              <w:marLeft w:val="0"/>
              <w:marRight w:val="0"/>
              <w:marTop w:val="0"/>
              <w:marBottom w:val="0"/>
              <w:divBdr>
                <w:top w:val="none" w:sz="0" w:space="0" w:color="auto"/>
                <w:left w:val="none" w:sz="0" w:space="0" w:color="auto"/>
                <w:bottom w:val="none" w:sz="0" w:space="0" w:color="auto"/>
                <w:right w:val="none" w:sz="0" w:space="0" w:color="auto"/>
              </w:divBdr>
            </w:div>
            <w:div w:id="294152341">
              <w:marLeft w:val="0"/>
              <w:marRight w:val="0"/>
              <w:marTop w:val="0"/>
              <w:marBottom w:val="100"/>
              <w:divBdr>
                <w:top w:val="none" w:sz="0" w:space="0" w:color="auto"/>
                <w:left w:val="none" w:sz="0" w:space="0" w:color="auto"/>
                <w:bottom w:val="none" w:sz="0" w:space="0" w:color="auto"/>
                <w:right w:val="none" w:sz="0" w:space="0" w:color="auto"/>
              </w:divBdr>
              <w:divsChild>
                <w:div w:id="294154038">
                  <w:marLeft w:val="0"/>
                  <w:marRight w:val="0"/>
                  <w:marTop w:val="0"/>
                  <w:marBottom w:val="0"/>
                  <w:divBdr>
                    <w:top w:val="none" w:sz="0" w:space="0" w:color="auto"/>
                    <w:left w:val="none" w:sz="0" w:space="0" w:color="auto"/>
                    <w:bottom w:val="none" w:sz="0" w:space="0" w:color="auto"/>
                    <w:right w:val="none" w:sz="0" w:space="0" w:color="auto"/>
                  </w:divBdr>
                  <w:divsChild>
                    <w:div w:id="294146660">
                      <w:marLeft w:val="0"/>
                      <w:marRight w:val="0"/>
                      <w:marTop w:val="0"/>
                      <w:marBottom w:val="0"/>
                      <w:divBdr>
                        <w:top w:val="none" w:sz="0" w:space="0" w:color="auto"/>
                        <w:left w:val="none" w:sz="0" w:space="0" w:color="auto"/>
                        <w:bottom w:val="none" w:sz="0" w:space="0" w:color="auto"/>
                        <w:right w:val="none" w:sz="0" w:space="0" w:color="auto"/>
                      </w:divBdr>
                    </w:div>
                    <w:div w:id="29415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3972">
              <w:marLeft w:val="0"/>
              <w:marRight w:val="0"/>
              <w:marTop w:val="0"/>
              <w:marBottom w:val="0"/>
              <w:divBdr>
                <w:top w:val="none" w:sz="0" w:space="0" w:color="auto"/>
                <w:left w:val="none" w:sz="0" w:space="0" w:color="auto"/>
                <w:bottom w:val="none" w:sz="0" w:space="0" w:color="auto"/>
                <w:right w:val="none" w:sz="0" w:space="0" w:color="auto"/>
              </w:divBdr>
            </w:div>
            <w:div w:id="294155864">
              <w:marLeft w:val="0"/>
              <w:marRight w:val="0"/>
              <w:marTop w:val="0"/>
              <w:marBottom w:val="0"/>
              <w:divBdr>
                <w:top w:val="none" w:sz="0" w:space="0" w:color="auto"/>
                <w:left w:val="none" w:sz="0" w:space="0" w:color="auto"/>
                <w:bottom w:val="none" w:sz="0" w:space="0" w:color="auto"/>
                <w:right w:val="none" w:sz="0" w:space="0" w:color="auto"/>
              </w:divBdr>
            </w:div>
            <w:div w:id="294156101">
              <w:marLeft w:val="0"/>
              <w:marRight w:val="0"/>
              <w:marTop w:val="0"/>
              <w:marBottom w:val="0"/>
              <w:divBdr>
                <w:top w:val="none" w:sz="0" w:space="0" w:color="auto"/>
                <w:left w:val="none" w:sz="0" w:space="0" w:color="auto"/>
                <w:bottom w:val="none" w:sz="0" w:space="0" w:color="auto"/>
                <w:right w:val="none" w:sz="0" w:space="0" w:color="auto"/>
              </w:divBdr>
            </w:div>
            <w:div w:id="294156593">
              <w:marLeft w:val="0"/>
              <w:marRight w:val="0"/>
              <w:marTop w:val="0"/>
              <w:marBottom w:val="0"/>
              <w:divBdr>
                <w:top w:val="none" w:sz="0" w:space="0" w:color="auto"/>
                <w:left w:val="none" w:sz="0" w:space="0" w:color="auto"/>
                <w:bottom w:val="none" w:sz="0" w:space="0" w:color="auto"/>
                <w:right w:val="none" w:sz="0" w:space="0" w:color="auto"/>
              </w:divBdr>
            </w:div>
            <w:div w:id="294156652">
              <w:marLeft w:val="0"/>
              <w:marRight w:val="0"/>
              <w:marTop w:val="0"/>
              <w:marBottom w:val="0"/>
              <w:divBdr>
                <w:top w:val="none" w:sz="0" w:space="0" w:color="auto"/>
                <w:left w:val="none" w:sz="0" w:space="0" w:color="auto"/>
                <w:bottom w:val="none" w:sz="0" w:space="0" w:color="auto"/>
                <w:right w:val="none" w:sz="0" w:space="0" w:color="auto"/>
              </w:divBdr>
            </w:div>
            <w:div w:id="294157381">
              <w:marLeft w:val="0"/>
              <w:marRight w:val="0"/>
              <w:marTop w:val="0"/>
              <w:marBottom w:val="0"/>
              <w:divBdr>
                <w:top w:val="none" w:sz="0" w:space="0" w:color="auto"/>
                <w:left w:val="none" w:sz="0" w:space="0" w:color="auto"/>
                <w:bottom w:val="none" w:sz="0" w:space="0" w:color="auto"/>
                <w:right w:val="none" w:sz="0" w:space="0" w:color="auto"/>
              </w:divBdr>
            </w:div>
          </w:divsChild>
        </w:div>
        <w:div w:id="294154284">
          <w:marLeft w:val="0"/>
          <w:marRight w:val="0"/>
          <w:marTop w:val="0"/>
          <w:marBottom w:val="0"/>
          <w:divBdr>
            <w:top w:val="none" w:sz="0" w:space="0" w:color="auto"/>
            <w:left w:val="none" w:sz="0" w:space="0" w:color="auto"/>
            <w:bottom w:val="none" w:sz="0" w:space="0" w:color="auto"/>
            <w:right w:val="none" w:sz="0" w:space="0" w:color="auto"/>
          </w:divBdr>
        </w:div>
      </w:divsChild>
    </w:div>
    <w:div w:id="294140811">
      <w:marLeft w:val="0"/>
      <w:marRight w:val="0"/>
      <w:marTop w:val="0"/>
      <w:marBottom w:val="0"/>
      <w:divBdr>
        <w:top w:val="none" w:sz="0" w:space="0" w:color="auto"/>
        <w:left w:val="none" w:sz="0" w:space="0" w:color="auto"/>
        <w:bottom w:val="none" w:sz="0" w:space="0" w:color="auto"/>
        <w:right w:val="none" w:sz="0" w:space="0" w:color="auto"/>
      </w:divBdr>
    </w:div>
    <w:div w:id="294140891">
      <w:marLeft w:val="0"/>
      <w:marRight w:val="0"/>
      <w:marTop w:val="0"/>
      <w:marBottom w:val="0"/>
      <w:divBdr>
        <w:top w:val="none" w:sz="0" w:space="0" w:color="auto"/>
        <w:left w:val="none" w:sz="0" w:space="0" w:color="auto"/>
        <w:bottom w:val="none" w:sz="0" w:space="0" w:color="auto"/>
        <w:right w:val="none" w:sz="0" w:space="0" w:color="auto"/>
      </w:divBdr>
    </w:div>
    <w:div w:id="294140897">
      <w:marLeft w:val="0"/>
      <w:marRight w:val="0"/>
      <w:marTop w:val="0"/>
      <w:marBottom w:val="0"/>
      <w:divBdr>
        <w:top w:val="none" w:sz="0" w:space="0" w:color="auto"/>
        <w:left w:val="none" w:sz="0" w:space="0" w:color="auto"/>
        <w:bottom w:val="none" w:sz="0" w:space="0" w:color="auto"/>
        <w:right w:val="none" w:sz="0" w:space="0" w:color="auto"/>
      </w:divBdr>
    </w:div>
    <w:div w:id="294140907">
      <w:marLeft w:val="0"/>
      <w:marRight w:val="0"/>
      <w:marTop w:val="0"/>
      <w:marBottom w:val="0"/>
      <w:divBdr>
        <w:top w:val="none" w:sz="0" w:space="0" w:color="auto"/>
        <w:left w:val="none" w:sz="0" w:space="0" w:color="auto"/>
        <w:bottom w:val="none" w:sz="0" w:space="0" w:color="auto"/>
        <w:right w:val="none" w:sz="0" w:space="0" w:color="auto"/>
      </w:divBdr>
    </w:div>
    <w:div w:id="294140922">
      <w:marLeft w:val="0"/>
      <w:marRight w:val="0"/>
      <w:marTop w:val="0"/>
      <w:marBottom w:val="0"/>
      <w:divBdr>
        <w:top w:val="none" w:sz="0" w:space="0" w:color="auto"/>
        <w:left w:val="none" w:sz="0" w:space="0" w:color="auto"/>
        <w:bottom w:val="none" w:sz="0" w:space="0" w:color="auto"/>
        <w:right w:val="none" w:sz="0" w:space="0" w:color="auto"/>
      </w:divBdr>
    </w:div>
    <w:div w:id="294140955">
      <w:marLeft w:val="0"/>
      <w:marRight w:val="0"/>
      <w:marTop w:val="0"/>
      <w:marBottom w:val="0"/>
      <w:divBdr>
        <w:top w:val="none" w:sz="0" w:space="0" w:color="auto"/>
        <w:left w:val="none" w:sz="0" w:space="0" w:color="auto"/>
        <w:bottom w:val="none" w:sz="0" w:space="0" w:color="auto"/>
        <w:right w:val="none" w:sz="0" w:space="0" w:color="auto"/>
      </w:divBdr>
    </w:div>
    <w:div w:id="294140962">
      <w:marLeft w:val="0"/>
      <w:marRight w:val="0"/>
      <w:marTop w:val="0"/>
      <w:marBottom w:val="0"/>
      <w:divBdr>
        <w:top w:val="none" w:sz="0" w:space="0" w:color="auto"/>
        <w:left w:val="none" w:sz="0" w:space="0" w:color="auto"/>
        <w:bottom w:val="none" w:sz="0" w:space="0" w:color="auto"/>
        <w:right w:val="none" w:sz="0" w:space="0" w:color="auto"/>
      </w:divBdr>
    </w:div>
    <w:div w:id="294140999">
      <w:marLeft w:val="0"/>
      <w:marRight w:val="0"/>
      <w:marTop w:val="0"/>
      <w:marBottom w:val="0"/>
      <w:divBdr>
        <w:top w:val="none" w:sz="0" w:space="0" w:color="auto"/>
        <w:left w:val="none" w:sz="0" w:space="0" w:color="auto"/>
        <w:bottom w:val="none" w:sz="0" w:space="0" w:color="auto"/>
        <w:right w:val="none" w:sz="0" w:space="0" w:color="auto"/>
      </w:divBdr>
    </w:div>
    <w:div w:id="294141066">
      <w:marLeft w:val="0"/>
      <w:marRight w:val="0"/>
      <w:marTop w:val="0"/>
      <w:marBottom w:val="0"/>
      <w:divBdr>
        <w:top w:val="none" w:sz="0" w:space="0" w:color="auto"/>
        <w:left w:val="none" w:sz="0" w:space="0" w:color="auto"/>
        <w:bottom w:val="none" w:sz="0" w:space="0" w:color="auto"/>
        <w:right w:val="none" w:sz="0" w:space="0" w:color="auto"/>
      </w:divBdr>
    </w:div>
    <w:div w:id="294141179">
      <w:marLeft w:val="0"/>
      <w:marRight w:val="0"/>
      <w:marTop w:val="0"/>
      <w:marBottom w:val="0"/>
      <w:divBdr>
        <w:top w:val="none" w:sz="0" w:space="0" w:color="auto"/>
        <w:left w:val="none" w:sz="0" w:space="0" w:color="auto"/>
        <w:bottom w:val="none" w:sz="0" w:space="0" w:color="auto"/>
        <w:right w:val="none" w:sz="0" w:space="0" w:color="auto"/>
      </w:divBdr>
    </w:div>
    <w:div w:id="294141226">
      <w:marLeft w:val="0"/>
      <w:marRight w:val="0"/>
      <w:marTop w:val="0"/>
      <w:marBottom w:val="0"/>
      <w:divBdr>
        <w:top w:val="none" w:sz="0" w:space="0" w:color="auto"/>
        <w:left w:val="none" w:sz="0" w:space="0" w:color="auto"/>
        <w:bottom w:val="none" w:sz="0" w:space="0" w:color="auto"/>
        <w:right w:val="none" w:sz="0" w:space="0" w:color="auto"/>
      </w:divBdr>
    </w:div>
    <w:div w:id="294141248">
      <w:marLeft w:val="0"/>
      <w:marRight w:val="0"/>
      <w:marTop w:val="0"/>
      <w:marBottom w:val="0"/>
      <w:divBdr>
        <w:top w:val="none" w:sz="0" w:space="0" w:color="auto"/>
        <w:left w:val="none" w:sz="0" w:space="0" w:color="auto"/>
        <w:bottom w:val="none" w:sz="0" w:space="0" w:color="auto"/>
        <w:right w:val="none" w:sz="0" w:space="0" w:color="auto"/>
      </w:divBdr>
      <w:divsChild>
        <w:div w:id="294142021">
          <w:marLeft w:val="0"/>
          <w:marRight w:val="0"/>
          <w:marTop w:val="0"/>
          <w:marBottom w:val="0"/>
          <w:divBdr>
            <w:top w:val="none" w:sz="0" w:space="0" w:color="auto"/>
            <w:left w:val="none" w:sz="0" w:space="0" w:color="auto"/>
            <w:bottom w:val="none" w:sz="0" w:space="0" w:color="auto"/>
            <w:right w:val="none" w:sz="0" w:space="0" w:color="auto"/>
          </w:divBdr>
        </w:div>
      </w:divsChild>
    </w:div>
    <w:div w:id="294141256">
      <w:marLeft w:val="0"/>
      <w:marRight w:val="0"/>
      <w:marTop w:val="0"/>
      <w:marBottom w:val="0"/>
      <w:divBdr>
        <w:top w:val="none" w:sz="0" w:space="0" w:color="auto"/>
        <w:left w:val="none" w:sz="0" w:space="0" w:color="auto"/>
        <w:bottom w:val="none" w:sz="0" w:space="0" w:color="auto"/>
        <w:right w:val="none" w:sz="0" w:space="0" w:color="auto"/>
      </w:divBdr>
    </w:div>
    <w:div w:id="294141302">
      <w:marLeft w:val="0"/>
      <w:marRight w:val="0"/>
      <w:marTop w:val="0"/>
      <w:marBottom w:val="0"/>
      <w:divBdr>
        <w:top w:val="none" w:sz="0" w:space="0" w:color="auto"/>
        <w:left w:val="none" w:sz="0" w:space="0" w:color="auto"/>
        <w:bottom w:val="none" w:sz="0" w:space="0" w:color="auto"/>
        <w:right w:val="none" w:sz="0" w:space="0" w:color="auto"/>
      </w:divBdr>
    </w:div>
    <w:div w:id="294141368">
      <w:marLeft w:val="0"/>
      <w:marRight w:val="0"/>
      <w:marTop w:val="0"/>
      <w:marBottom w:val="0"/>
      <w:divBdr>
        <w:top w:val="none" w:sz="0" w:space="0" w:color="auto"/>
        <w:left w:val="none" w:sz="0" w:space="0" w:color="auto"/>
        <w:bottom w:val="none" w:sz="0" w:space="0" w:color="auto"/>
        <w:right w:val="none" w:sz="0" w:space="0" w:color="auto"/>
      </w:divBdr>
    </w:div>
    <w:div w:id="294141379">
      <w:marLeft w:val="0"/>
      <w:marRight w:val="0"/>
      <w:marTop w:val="0"/>
      <w:marBottom w:val="0"/>
      <w:divBdr>
        <w:top w:val="none" w:sz="0" w:space="0" w:color="auto"/>
        <w:left w:val="none" w:sz="0" w:space="0" w:color="auto"/>
        <w:bottom w:val="none" w:sz="0" w:space="0" w:color="auto"/>
        <w:right w:val="none" w:sz="0" w:space="0" w:color="auto"/>
      </w:divBdr>
    </w:div>
    <w:div w:id="294141467">
      <w:marLeft w:val="0"/>
      <w:marRight w:val="0"/>
      <w:marTop w:val="0"/>
      <w:marBottom w:val="0"/>
      <w:divBdr>
        <w:top w:val="none" w:sz="0" w:space="0" w:color="auto"/>
        <w:left w:val="none" w:sz="0" w:space="0" w:color="auto"/>
        <w:bottom w:val="none" w:sz="0" w:space="0" w:color="auto"/>
        <w:right w:val="none" w:sz="0" w:space="0" w:color="auto"/>
      </w:divBdr>
    </w:div>
    <w:div w:id="294141517">
      <w:marLeft w:val="0"/>
      <w:marRight w:val="0"/>
      <w:marTop w:val="0"/>
      <w:marBottom w:val="0"/>
      <w:divBdr>
        <w:top w:val="none" w:sz="0" w:space="0" w:color="auto"/>
        <w:left w:val="none" w:sz="0" w:space="0" w:color="auto"/>
        <w:bottom w:val="none" w:sz="0" w:space="0" w:color="auto"/>
        <w:right w:val="none" w:sz="0" w:space="0" w:color="auto"/>
      </w:divBdr>
    </w:div>
    <w:div w:id="294141519">
      <w:marLeft w:val="0"/>
      <w:marRight w:val="0"/>
      <w:marTop w:val="0"/>
      <w:marBottom w:val="0"/>
      <w:divBdr>
        <w:top w:val="none" w:sz="0" w:space="0" w:color="auto"/>
        <w:left w:val="none" w:sz="0" w:space="0" w:color="auto"/>
        <w:bottom w:val="none" w:sz="0" w:space="0" w:color="auto"/>
        <w:right w:val="none" w:sz="0" w:space="0" w:color="auto"/>
      </w:divBdr>
      <w:divsChild>
        <w:div w:id="294143557">
          <w:marLeft w:val="0"/>
          <w:marRight w:val="0"/>
          <w:marTop w:val="0"/>
          <w:marBottom w:val="400"/>
          <w:divBdr>
            <w:top w:val="none" w:sz="0" w:space="0" w:color="auto"/>
            <w:left w:val="none" w:sz="0" w:space="0" w:color="auto"/>
            <w:bottom w:val="none" w:sz="0" w:space="0" w:color="auto"/>
            <w:right w:val="none" w:sz="0" w:space="0" w:color="auto"/>
          </w:divBdr>
        </w:div>
        <w:div w:id="294144188">
          <w:marLeft w:val="0"/>
          <w:marRight w:val="0"/>
          <w:marTop w:val="0"/>
          <w:marBottom w:val="200"/>
          <w:divBdr>
            <w:top w:val="none" w:sz="0" w:space="0" w:color="auto"/>
            <w:left w:val="none" w:sz="0" w:space="0" w:color="auto"/>
            <w:bottom w:val="none" w:sz="0" w:space="0" w:color="auto"/>
            <w:right w:val="none" w:sz="0" w:space="0" w:color="auto"/>
          </w:divBdr>
          <w:divsChild>
            <w:div w:id="294144639">
              <w:marLeft w:val="0"/>
              <w:marRight w:val="0"/>
              <w:marTop w:val="0"/>
              <w:marBottom w:val="0"/>
              <w:divBdr>
                <w:top w:val="none" w:sz="0" w:space="0" w:color="auto"/>
                <w:left w:val="none" w:sz="0" w:space="0" w:color="auto"/>
                <w:bottom w:val="single" w:sz="8" w:space="0" w:color="D7D1C5"/>
                <w:right w:val="none" w:sz="0" w:space="0" w:color="auto"/>
              </w:divBdr>
            </w:div>
          </w:divsChild>
        </w:div>
        <w:div w:id="294153121">
          <w:marLeft w:val="0"/>
          <w:marRight w:val="0"/>
          <w:marTop w:val="0"/>
          <w:marBottom w:val="0"/>
          <w:divBdr>
            <w:top w:val="none" w:sz="0" w:space="0" w:color="auto"/>
            <w:left w:val="none" w:sz="0" w:space="0" w:color="auto"/>
            <w:bottom w:val="none" w:sz="0" w:space="0" w:color="auto"/>
            <w:right w:val="none" w:sz="0" w:space="0" w:color="auto"/>
          </w:divBdr>
        </w:div>
        <w:div w:id="294154433">
          <w:marLeft w:val="200"/>
          <w:marRight w:val="0"/>
          <w:marTop w:val="60"/>
          <w:marBottom w:val="200"/>
          <w:divBdr>
            <w:top w:val="none" w:sz="0" w:space="0" w:color="auto"/>
            <w:left w:val="none" w:sz="0" w:space="0" w:color="auto"/>
            <w:bottom w:val="none" w:sz="0" w:space="0" w:color="auto"/>
            <w:right w:val="none" w:sz="0" w:space="0" w:color="auto"/>
          </w:divBdr>
          <w:divsChild>
            <w:div w:id="294154523">
              <w:marLeft w:val="0"/>
              <w:marRight w:val="0"/>
              <w:marTop w:val="0"/>
              <w:marBottom w:val="0"/>
              <w:divBdr>
                <w:top w:val="none" w:sz="0" w:space="0" w:color="auto"/>
                <w:left w:val="none" w:sz="0" w:space="0" w:color="auto"/>
                <w:bottom w:val="none" w:sz="0" w:space="0" w:color="auto"/>
                <w:right w:val="none" w:sz="0" w:space="0" w:color="auto"/>
              </w:divBdr>
              <w:divsChild>
                <w:div w:id="294147846">
                  <w:marLeft w:val="0"/>
                  <w:marRight w:val="0"/>
                  <w:marTop w:val="0"/>
                  <w:marBottom w:val="0"/>
                  <w:divBdr>
                    <w:top w:val="none" w:sz="0" w:space="0" w:color="auto"/>
                    <w:left w:val="none" w:sz="0" w:space="0" w:color="auto"/>
                    <w:bottom w:val="none" w:sz="0" w:space="0" w:color="auto"/>
                    <w:right w:val="none" w:sz="0" w:space="0" w:color="auto"/>
                  </w:divBdr>
                  <w:divsChild>
                    <w:div w:id="294148871">
                      <w:marLeft w:val="0"/>
                      <w:marRight w:val="0"/>
                      <w:marTop w:val="60"/>
                      <w:marBottom w:val="0"/>
                      <w:divBdr>
                        <w:top w:val="none" w:sz="0" w:space="0" w:color="auto"/>
                        <w:left w:val="none" w:sz="0" w:space="0" w:color="auto"/>
                        <w:bottom w:val="none" w:sz="0" w:space="0" w:color="auto"/>
                        <w:right w:val="none" w:sz="0" w:space="0" w:color="auto"/>
                      </w:divBdr>
                    </w:div>
                    <w:div w:id="294152384">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294141526">
      <w:marLeft w:val="0"/>
      <w:marRight w:val="0"/>
      <w:marTop w:val="0"/>
      <w:marBottom w:val="0"/>
      <w:divBdr>
        <w:top w:val="none" w:sz="0" w:space="0" w:color="auto"/>
        <w:left w:val="none" w:sz="0" w:space="0" w:color="auto"/>
        <w:bottom w:val="none" w:sz="0" w:space="0" w:color="auto"/>
        <w:right w:val="none" w:sz="0" w:space="0" w:color="auto"/>
      </w:divBdr>
    </w:div>
    <w:div w:id="294141531">
      <w:marLeft w:val="0"/>
      <w:marRight w:val="0"/>
      <w:marTop w:val="0"/>
      <w:marBottom w:val="0"/>
      <w:divBdr>
        <w:top w:val="none" w:sz="0" w:space="0" w:color="auto"/>
        <w:left w:val="none" w:sz="0" w:space="0" w:color="auto"/>
        <w:bottom w:val="none" w:sz="0" w:space="0" w:color="auto"/>
        <w:right w:val="none" w:sz="0" w:space="0" w:color="auto"/>
      </w:divBdr>
    </w:div>
    <w:div w:id="294141542">
      <w:marLeft w:val="0"/>
      <w:marRight w:val="0"/>
      <w:marTop w:val="0"/>
      <w:marBottom w:val="0"/>
      <w:divBdr>
        <w:top w:val="none" w:sz="0" w:space="0" w:color="auto"/>
        <w:left w:val="none" w:sz="0" w:space="0" w:color="auto"/>
        <w:bottom w:val="none" w:sz="0" w:space="0" w:color="auto"/>
        <w:right w:val="none" w:sz="0" w:space="0" w:color="auto"/>
      </w:divBdr>
    </w:div>
    <w:div w:id="294141668">
      <w:marLeft w:val="0"/>
      <w:marRight w:val="0"/>
      <w:marTop w:val="0"/>
      <w:marBottom w:val="0"/>
      <w:divBdr>
        <w:top w:val="none" w:sz="0" w:space="0" w:color="auto"/>
        <w:left w:val="none" w:sz="0" w:space="0" w:color="auto"/>
        <w:bottom w:val="none" w:sz="0" w:space="0" w:color="auto"/>
        <w:right w:val="none" w:sz="0" w:space="0" w:color="auto"/>
      </w:divBdr>
    </w:div>
    <w:div w:id="294141705">
      <w:marLeft w:val="0"/>
      <w:marRight w:val="0"/>
      <w:marTop w:val="0"/>
      <w:marBottom w:val="0"/>
      <w:divBdr>
        <w:top w:val="none" w:sz="0" w:space="0" w:color="auto"/>
        <w:left w:val="none" w:sz="0" w:space="0" w:color="auto"/>
        <w:bottom w:val="none" w:sz="0" w:space="0" w:color="auto"/>
        <w:right w:val="none" w:sz="0" w:space="0" w:color="auto"/>
      </w:divBdr>
    </w:div>
    <w:div w:id="294141750">
      <w:marLeft w:val="0"/>
      <w:marRight w:val="0"/>
      <w:marTop w:val="0"/>
      <w:marBottom w:val="0"/>
      <w:divBdr>
        <w:top w:val="none" w:sz="0" w:space="0" w:color="auto"/>
        <w:left w:val="none" w:sz="0" w:space="0" w:color="auto"/>
        <w:bottom w:val="none" w:sz="0" w:space="0" w:color="auto"/>
        <w:right w:val="none" w:sz="0" w:space="0" w:color="auto"/>
      </w:divBdr>
    </w:div>
    <w:div w:id="294141756">
      <w:marLeft w:val="0"/>
      <w:marRight w:val="0"/>
      <w:marTop w:val="0"/>
      <w:marBottom w:val="0"/>
      <w:divBdr>
        <w:top w:val="none" w:sz="0" w:space="0" w:color="auto"/>
        <w:left w:val="none" w:sz="0" w:space="0" w:color="auto"/>
        <w:bottom w:val="none" w:sz="0" w:space="0" w:color="auto"/>
        <w:right w:val="none" w:sz="0" w:space="0" w:color="auto"/>
      </w:divBdr>
      <w:divsChild>
        <w:div w:id="294138110">
          <w:marLeft w:val="0"/>
          <w:marRight w:val="0"/>
          <w:marTop w:val="0"/>
          <w:marBottom w:val="0"/>
          <w:divBdr>
            <w:top w:val="none" w:sz="0" w:space="0" w:color="auto"/>
            <w:left w:val="none" w:sz="0" w:space="0" w:color="auto"/>
            <w:bottom w:val="none" w:sz="0" w:space="0" w:color="auto"/>
            <w:right w:val="none" w:sz="0" w:space="0" w:color="auto"/>
          </w:divBdr>
        </w:div>
        <w:div w:id="294138349">
          <w:marLeft w:val="0"/>
          <w:marRight w:val="0"/>
          <w:marTop w:val="0"/>
          <w:marBottom w:val="0"/>
          <w:divBdr>
            <w:top w:val="none" w:sz="0" w:space="0" w:color="auto"/>
            <w:left w:val="none" w:sz="0" w:space="0" w:color="auto"/>
            <w:bottom w:val="none" w:sz="0" w:space="0" w:color="auto"/>
            <w:right w:val="none" w:sz="0" w:space="0" w:color="auto"/>
          </w:divBdr>
        </w:div>
        <w:div w:id="294138360">
          <w:marLeft w:val="0"/>
          <w:marRight w:val="0"/>
          <w:marTop w:val="0"/>
          <w:marBottom w:val="0"/>
          <w:divBdr>
            <w:top w:val="none" w:sz="0" w:space="0" w:color="auto"/>
            <w:left w:val="none" w:sz="0" w:space="0" w:color="auto"/>
            <w:bottom w:val="none" w:sz="0" w:space="0" w:color="auto"/>
            <w:right w:val="none" w:sz="0" w:space="0" w:color="auto"/>
          </w:divBdr>
        </w:div>
        <w:div w:id="294138374">
          <w:marLeft w:val="0"/>
          <w:marRight w:val="0"/>
          <w:marTop w:val="0"/>
          <w:marBottom w:val="0"/>
          <w:divBdr>
            <w:top w:val="none" w:sz="0" w:space="0" w:color="auto"/>
            <w:left w:val="none" w:sz="0" w:space="0" w:color="auto"/>
            <w:bottom w:val="none" w:sz="0" w:space="0" w:color="auto"/>
            <w:right w:val="none" w:sz="0" w:space="0" w:color="auto"/>
          </w:divBdr>
        </w:div>
        <w:div w:id="294138447">
          <w:marLeft w:val="0"/>
          <w:marRight w:val="0"/>
          <w:marTop w:val="0"/>
          <w:marBottom w:val="0"/>
          <w:divBdr>
            <w:top w:val="none" w:sz="0" w:space="0" w:color="auto"/>
            <w:left w:val="none" w:sz="0" w:space="0" w:color="auto"/>
            <w:bottom w:val="none" w:sz="0" w:space="0" w:color="auto"/>
            <w:right w:val="none" w:sz="0" w:space="0" w:color="auto"/>
          </w:divBdr>
        </w:div>
        <w:div w:id="294138523">
          <w:marLeft w:val="0"/>
          <w:marRight w:val="0"/>
          <w:marTop w:val="0"/>
          <w:marBottom w:val="0"/>
          <w:divBdr>
            <w:top w:val="none" w:sz="0" w:space="0" w:color="auto"/>
            <w:left w:val="none" w:sz="0" w:space="0" w:color="auto"/>
            <w:bottom w:val="none" w:sz="0" w:space="0" w:color="auto"/>
            <w:right w:val="none" w:sz="0" w:space="0" w:color="auto"/>
          </w:divBdr>
        </w:div>
        <w:div w:id="294138599">
          <w:marLeft w:val="0"/>
          <w:marRight w:val="0"/>
          <w:marTop w:val="0"/>
          <w:marBottom w:val="0"/>
          <w:divBdr>
            <w:top w:val="none" w:sz="0" w:space="0" w:color="auto"/>
            <w:left w:val="none" w:sz="0" w:space="0" w:color="auto"/>
            <w:bottom w:val="none" w:sz="0" w:space="0" w:color="auto"/>
            <w:right w:val="none" w:sz="0" w:space="0" w:color="auto"/>
          </w:divBdr>
        </w:div>
        <w:div w:id="294138634">
          <w:marLeft w:val="0"/>
          <w:marRight w:val="0"/>
          <w:marTop w:val="0"/>
          <w:marBottom w:val="0"/>
          <w:divBdr>
            <w:top w:val="none" w:sz="0" w:space="0" w:color="auto"/>
            <w:left w:val="none" w:sz="0" w:space="0" w:color="auto"/>
            <w:bottom w:val="none" w:sz="0" w:space="0" w:color="auto"/>
            <w:right w:val="none" w:sz="0" w:space="0" w:color="auto"/>
          </w:divBdr>
        </w:div>
        <w:div w:id="294138779">
          <w:marLeft w:val="0"/>
          <w:marRight w:val="0"/>
          <w:marTop w:val="0"/>
          <w:marBottom w:val="0"/>
          <w:divBdr>
            <w:top w:val="none" w:sz="0" w:space="0" w:color="auto"/>
            <w:left w:val="none" w:sz="0" w:space="0" w:color="auto"/>
            <w:bottom w:val="none" w:sz="0" w:space="0" w:color="auto"/>
            <w:right w:val="none" w:sz="0" w:space="0" w:color="auto"/>
          </w:divBdr>
        </w:div>
        <w:div w:id="294139001">
          <w:marLeft w:val="0"/>
          <w:marRight w:val="0"/>
          <w:marTop w:val="0"/>
          <w:marBottom w:val="0"/>
          <w:divBdr>
            <w:top w:val="none" w:sz="0" w:space="0" w:color="auto"/>
            <w:left w:val="none" w:sz="0" w:space="0" w:color="auto"/>
            <w:bottom w:val="none" w:sz="0" w:space="0" w:color="auto"/>
            <w:right w:val="none" w:sz="0" w:space="0" w:color="auto"/>
          </w:divBdr>
        </w:div>
        <w:div w:id="294139025">
          <w:marLeft w:val="0"/>
          <w:marRight w:val="0"/>
          <w:marTop w:val="0"/>
          <w:marBottom w:val="0"/>
          <w:divBdr>
            <w:top w:val="none" w:sz="0" w:space="0" w:color="auto"/>
            <w:left w:val="none" w:sz="0" w:space="0" w:color="auto"/>
            <w:bottom w:val="none" w:sz="0" w:space="0" w:color="auto"/>
            <w:right w:val="none" w:sz="0" w:space="0" w:color="auto"/>
          </w:divBdr>
        </w:div>
        <w:div w:id="294139065">
          <w:marLeft w:val="0"/>
          <w:marRight w:val="0"/>
          <w:marTop w:val="0"/>
          <w:marBottom w:val="0"/>
          <w:divBdr>
            <w:top w:val="none" w:sz="0" w:space="0" w:color="auto"/>
            <w:left w:val="none" w:sz="0" w:space="0" w:color="auto"/>
            <w:bottom w:val="none" w:sz="0" w:space="0" w:color="auto"/>
            <w:right w:val="none" w:sz="0" w:space="0" w:color="auto"/>
          </w:divBdr>
        </w:div>
        <w:div w:id="294139080">
          <w:marLeft w:val="0"/>
          <w:marRight w:val="0"/>
          <w:marTop w:val="0"/>
          <w:marBottom w:val="0"/>
          <w:divBdr>
            <w:top w:val="none" w:sz="0" w:space="0" w:color="auto"/>
            <w:left w:val="none" w:sz="0" w:space="0" w:color="auto"/>
            <w:bottom w:val="none" w:sz="0" w:space="0" w:color="auto"/>
            <w:right w:val="none" w:sz="0" w:space="0" w:color="auto"/>
          </w:divBdr>
        </w:div>
        <w:div w:id="294139158">
          <w:marLeft w:val="0"/>
          <w:marRight w:val="0"/>
          <w:marTop w:val="0"/>
          <w:marBottom w:val="0"/>
          <w:divBdr>
            <w:top w:val="none" w:sz="0" w:space="0" w:color="auto"/>
            <w:left w:val="none" w:sz="0" w:space="0" w:color="auto"/>
            <w:bottom w:val="none" w:sz="0" w:space="0" w:color="auto"/>
            <w:right w:val="none" w:sz="0" w:space="0" w:color="auto"/>
          </w:divBdr>
        </w:div>
        <w:div w:id="294139185">
          <w:marLeft w:val="0"/>
          <w:marRight w:val="0"/>
          <w:marTop w:val="0"/>
          <w:marBottom w:val="0"/>
          <w:divBdr>
            <w:top w:val="none" w:sz="0" w:space="0" w:color="auto"/>
            <w:left w:val="none" w:sz="0" w:space="0" w:color="auto"/>
            <w:bottom w:val="none" w:sz="0" w:space="0" w:color="auto"/>
            <w:right w:val="none" w:sz="0" w:space="0" w:color="auto"/>
          </w:divBdr>
        </w:div>
        <w:div w:id="294139343">
          <w:marLeft w:val="0"/>
          <w:marRight w:val="0"/>
          <w:marTop w:val="0"/>
          <w:marBottom w:val="0"/>
          <w:divBdr>
            <w:top w:val="none" w:sz="0" w:space="0" w:color="auto"/>
            <w:left w:val="none" w:sz="0" w:space="0" w:color="auto"/>
            <w:bottom w:val="none" w:sz="0" w:space="0" w:color="auto"/>
            <w:right w:val="none" w:sz="0" w:space="0" w:color="auto"/>
          </w:divBdr>
        </w:div>
        <w:div w:id="294139499">
          <w:marLeft w:val="0"/>
          <w:marRight w:val="0"/>
          <w:marTop w:val="0"/>
          <w:marBottom w:val="0"/>
          <w:divBdr>
            <w:top w:val="none" w:sz="0" w:space="0" w:color="auto"/>
            <w:left w:val="none" w:sz="0" w:space="0" w:color="auto"/>
            <w:bottom w:val="none" w:sz="0" w:space="0" w:color="auto"/>
            <w:right w:val="none" w:sz="0" w:space="0" w:color="auto"/>
          </w:divBdr>
        </w:div>
        <w:div w:id="294139732">
          <w:marLeft w:val="0"/>
          <w:marRight w:val="0"/>
          <w:marTop w:val="0"/>
          <w:marBottom w:val="0"/>
          <w:divBdr>
            <w:top w:val="none" w:sz="0" w:space="0" w:color="auto"/>
            <w:left w:val="none" w:sz="0" w:space="0" w:color="auto"/>
            <w:bottom w:val="none" w:sz="0" w:space="0" w:color="auto"/>
            <w:right w:val="none" w:sz="0" w:space="0" w:color="auto"/>
          </w:divBdr>
        </w:div>
        <w:div w:id="294139760">
          <w:marLeft w:val="0"/>
          <w:marRight w:val="0"/>
          <w:marTop w:val="0"/>
          <w:marBottom w:val="0"/>
          <w:divBdr>
            <w:top w:val="none" w:sz="0" w:space="0" w:color="auto"/>
            <w:left w:val="none" w:sz="0" w:space="0" w:color="auto"/>
            <w:bottom w:val="none" w:sz="0" w:space="0" w:color="auto"/>
            <w:right w:val="none" w:sz="0" w:space="0" w:color="auto"/>
          </w:divBdr>
        </w:div>
        <w:div w:id="294139867">
          <w:marLeft w:val="0"/>
          <w:marRight w:val="0"/>
          <w:marTop w:val="0"/>
          <w:marBottom w:val="0"/>
          <w:divBdr>
            <w:top w:val="none" w:sz="0" w:space="0" w:color="auto"/>
            <w:left w:val="none" w:sz="0" w:space="0" w:color="auto"/>
            <w:bottom w:val="none" w:sz="0" w:space="0" w:color="auto"/>
            <w:right w:val="none" w:sz="0" w:space="0" w:color="auto"/>
          </w:divBdr>
        </w:div>
        <w:div w:id="294139920">
          <w:marLeft w:val="0"/>
          <w:marRight w:val="0"/>
          <w:marTop w:val="0"/>
          <w:marBottom w:val="0"/>
          <w:divBdr>
            <w:top w:val="none" w:sz="0" w:space="0" w:color="auto"/>
            <w:left w:val="none" w:sz="0" w:space="0" w:color="auto"/>
            <w:bottom w:val="none" w:sz="0" w:space="0" w:color="auto"/>
            <w:right w:val="none" w:sz="0" w:space="0" w:color="auto"/>
          </w:divBdr>
        </w:div>
        <w:div w:id="294139999">
          <w:marLeft w:val="0"/>
          <w:marRight w:val="0"/>
          <w:marTop w:val="0"/>
          <w:marBottom w:val="0"/>
          <w:divBdr>
            <w:top w:val="none" w:sz="0" w:space="0" w:color="auto"/>
            <w:left w:val="none" w:sz="0" w:space="0" w:color="auto"/>
            <w:bottom w:val="none" w:sz="0" w:space="0" w:color="auto"/>
            <w:right w:val="none" w:sz="0" w:space="0" w:color="auto"/>
          </w:divBdr>
        </w:div>
        <w:div w:id="294140207">
          <w:marLeft w:val="0"/>
          <w:marRight w:val="0"/>
          <w:marTop w:val="0"/>
          <w:marBottom w:val="0"/>
          <w:divBdr>
            <w:top w:val="none" w:sz="0" w:space="0" w:color="auto"/>
            <w:left w:val="none" w:sz="0" w:space="0" w:color="auto"/>
            <w:bottom w:val="none" w:sz="0" w:space="0" w:color="auto"/>
            <w:right w:val="none" w:sz="0" w:space="0" w:color="auto"/>
          </w:divBdr>
        </w:div>
        <w:div w:id="294140214">
          <w:marLeft w:val="0"/>
          <w:marRight w:val="0"/>
          <w:marTop w:val="0"/>
          <w:marBottom w:val="0"/>
          <w:divBdr>
            <w:top w:val="none" w:sz="0" w:space="0" w:color="auto"/>
            <w:left w:val="none" w:sz="0" w:space="0" w:color="auto"/>
            <w:bottom w:val="none" w:sz="0" w:space="0" w:color="auto"/>
            <w:right w:val="none" w:sz="0" w:space="0" w:color="auto"/>
          </w:divBdr>
        </w:div>
        <w:div w:id="294140220">
          <w:marLeft w:val="0"/>
          <w:marRight w:val="0"/>
          <w:marTop w:val="0"/>
          <w:marBottom w:val="0"/>
          <w:divBdr>
            <w:top w:val="none" w:sz="0" w:space="0" w:color="auto"/>
            <w:left w:val="none" w:sz="0" w:space="0" w:color="auto"/>
            <w:bottom w:val="none" w:sz="0" w:space="0" w:color="auto"/>
            <w:right w:val="none" w:sz="0" w:space="0" w:color="auto"/>
          </w:divBdr>
        </w:div>
        <w:div w:id="294140255">
          <w:marLeft w:val="0"/>
          <w:marRight w:val="0"/>
          <w:marTop w:val="0"/>
          <w:marBottom w:val="0"/>
          <w:divBdr>
            <w:top w:val="none" w:sz="0" w:space="0" w:color="auto"/>
            <w:left w:val="none" w:sz="0" w:space="0" w:color="auto"/>
            <w:bottom w:val="none" w:sz="0" w:space="0" w:color="auto"/>
            <w:right w:val="none" w:sz="0" w:space="0" w:color="auto"/>
          </w:divBdr>
        </w:div>
        <w:div w:id="294140297">
          <w:marLeft w:val="0"/>
          <w:marRight w:val="0"/>
          <w:marTop w:val="0"/>
          <w:marBottom w:val="0"/>
          <w:divBdr>
            <w:top w:val="none" w:sz="0" w:space="0" w:color="auto"/>
            <w:left w:val="none" w:sz="0" w:space="0" w:color="auto"/>
            <w:bottom w:val="none" w:sz="0" w:space="0" w:color="auto"/>
            <w:right w:val="none" w:sz="0" w:space="0" w:color="auto"/>
          </w:divBdr>
        </w:div>
        <w:div w:id="294140331">
          <w:marLeft w:val="0"/>
          <w:marRight w:val="0"/>
          <w:marTop w:val="0"/>
          <w:marBottom w:val="0"/>
          <w:divBdr>
            <w:top w:val="none" w:sz="0" w:space="0" w:color="auto"/>
            <w:left w:val="none" w:sz="0" w:space="0" w:color="auto"/>
            <w:bottom w:val="none" w:sz="0" w:space="0" w:color="auto"/>
            <w:right w:val="none" w:sz="0" w:space="0" w:color="auto"/>
          </w:divBdr>
        </w:div>
        <w:div w:id="294140405">
          <w:marLeft w:val="0"/>
          <w:marRight w:val="0"/>
          <w:marTop w:val="0"/>
          <w:marBottom w:val="0"/>
          <w:divBdr>
            <w:top w:val="none" w:sz="0" w:space="0" w:color="auto"/>
            <w:left w:val="none" w:sz="0" w:space="0" w:color="auto"/>
            <w:bottom w:val="none" w:sz="0" w:space="0" w:color="auto"/>
            <w:right w:val="none" w:sz="0" w:space="0" w:color="auto"/>
          </w:divBdr>
        </w:div>
        <w:div w:id="294140475">
          <w:marLeft w:val="0"/>
          <w:marRight w:val="0"/>
          <w:marTop w:val="0"/>
          <w:marBottom w:val="0"/>
          <w:divBdr>
            <w:top w:val="none" w:sz="0" w:space="0" w:color="auto"/>
            <w:left w:val="none" w:sz="0" w:space="0" w:color="auto"/>
            <w:bottom w:val="none" w:sz="0" w:space="0" w:color="auto"/>
            <w:right w:val="none" w:sz="0" w:space="0" w:color="auto"/>
          </w:divBdr>
        </w:div>
        <w:div w:id="294140477">
          <w:marLeft w:val="0"/>
          <w:marRight w:val="0"/>
          <w:marTop w:val="0"/>
          <w:marBottom w:val="0"/>
          <w:divBdr>
            <w:top w:val="none" w:sz="0" w:space="0" w:color="auto"/>
            <w:left w:val="none" w:sz="0" w:space="0" w:color="auto"/>
            <w:bottom w:val="none" w:sz="0" w:space="0" w:color="auto"/>
            <w:right w:val="none" w:sz="0" w:space="0" w:color="auto"/>
          </w:divBdr>
        </w:div>
        <w:div w:id="294140495">
          <w:marLeft w:val="0"/>
          <w:marRight w:val="0"/>
          <w:marTop w:val="0"/>
          <w:marBottom w:val="0"/>
          <w:divBdr>
            <w:top w:val="none" w:sz="0" w:space="0" w:color="auto"/>
            <w:left w:val="none" w:sz="0" w:space="0" w:color="auto"/>
            <w:bottom w:val="none" w:sz="0" w:space="0" w:color="auto"/>
            <w:right w:val="none" w:sz="0" w:space="0" w:color="auto"/>
          </w:divBdr>
        </w:div>
        <w:div w:id="294140577">
          <w:marLeft w:val="0"/>
          <w:marRight w:val="0"/>
          <w:marTop w:val="0"/>
          <w:marBottom w:val="0"/>
          <w:divBdr>
            <w:top w:val="none" w:sz="0" w:space="0" w:color="auto"/>
            <w:left w:val="none" w:sz="0" w:space="0" w:color="auto"/>
            <w:bottom w:val="none" w:sz="0" w:space="0" w:color="auto"/>
            <w:right w:val="none" w:sz="0" w:space="0" w:color="auto"/>
          </w:divBdr>
        </w:div>
        <w:div w:id="294140675">
          <w:marLeft w:val="0"/>
          <w:marRight w:val="0"/>
          <w:marTop w:val="0"/>
          <w:marBottom w:val="0"/>
          <w:divBdr>
            <w:top w:val="none" w:sz="0" w:space="0" w:color="auto"/>
            <w:left w:val="none" w:sz="0" w:space="0" w:color="auto"/>
            <w:bottom w:val="none" w:sz="0" w:space="0" w:color="auto"/>
            <w:right w:val="none" w:sz="0" w:space="0" w:color="auto"/>
          </w:divBdr>
        </w:div>
        <w:div w:id="294140677">
          <w:marLeft w:val="0"/>
          <w:marRight w:val="0"/>
          <w:marTop w:val="0"/>
          <w:marBottom w:val="0"/>
          <w:divBdr>
            <w:top w:val="none" w:sz="0" w:space="0" w:color="auto"/>
            <w:left w:val="none" w:sz="0" w:space="0" w:color="auto"/>
            <w:bottom w:val="none" w:sz="0" w:space="0" w:color="auto"/>
            <w:right w:val="none" w:sz="0" w:space="0" w:color="auto"/>
          </w:divBdr>
        </w:div>
        <w:div w:id="294140745">
          <w:marLeft w:val="0"/>
          <w:marRight w:val="0"/>
          <w:marTop w:val="0"/>
          <w:marBottom w:val="0"/>
          <w:divBdr>
            <w:top w:val="none" w:sz="0" w:space="0" w:color="auto"/>
            <w:left w:val="none" w:sz="0" w:space="0" w:color="auto"/>
            <w:bottom w:val="none" w:sz="0" w:space="0" w:color="auto"/>
            <w:right w:val="none" w:sz="0" w:space="0" w:color="auto"/>
          </w:divBdr>
        </w:div>
        <w:div w:id="294140797">
          <w:marLeft w:val="0"/>
          <w:marRight w:val="0"/>
          <w:marTop w:val="0"/>
          <w:marBottom w:val="0"/>
          <w:divBdr>
            <w:top w:val="none" w:sz="0" w:space="0" w:color="auto"/>
            <w:left w:val="none" w:sz="0" w:space="0" w:color="auto"/>
            <w:bottom w:val="none" w:sz="0" w:space="0" w:color="auto"/>
            <w:right w:val="none" w:sz="0" w:space="0" w:color="auto"/>
          </w:divBdr>
        </w:div>
        <w:div w:id="294140997">
          <w:marLeft w:val="0"/>
          <w:marRight w:val="0"/>
          <w:marTop w:val="0"/>
          <w:marBottom w:val="0"/>
          <w:divBdr>
            <w:top w:val="none" w:sz="0" w:space="0" w:color="auto"/>
            <w:left w:val="none" w:sz="0" w:space="0" w:color="auto"/>
            <w:bottom w:val="none" w:sz="0" w:space="0" w:color="auto"/>
            <w:right w:val="none" w:sz="0" w:space="0" w:color="auto"/>
          </w:divBdr>
        </w:div>
        <w:div w:id="294141088">
          <w:marLeft w:val="0"/>
          <w:marRight w:val="0"/>
          <w:marTop w:val="0"/>
          <w:marBottom w:val="0"/>
          <w:divBdr>
            <w:top w:val="none" w:sz="0" w:space="0" w:color="auto"/>
            <w:left w:val="none" w:sz="0" w:space="0" w:color="auto"/>
            <w:bottom w:val="none" w:sz="0" w:space="0" w:color="auto"/>
            <w:right w:val="none" w:sz="0" w:space="0" w:color="auto"/>
          </w:divBdr>
        </w:div>
        <w:div w:id="294141096">
          <w:marLeft w:val="0"/>
          <w:marRight w:val="0"/>
          <w:marTop w:val="0"/>
          <w:marBottom w:val="0"/>
          <w:divBdr>
            <w:top w:val="none" w:sz="0" w:space="0" w:color="auto"/>
            <w:left w:val="none" w:sz="0" w:space="0" w:color="auto"/>
            <w:bottom w:val="none" w:sz="0" w:space="0" w:color="auto"/>
            <w:right w:val="none" w:sz="0" w:space="0" w:color="auto"/>
          </w:divBdr>
        </w:div>
        <w:div w:id="294141267">
          <w:marLeft w:val="0"/>
          <w:marRight w:val="0"/>
          <w:marTop w:val="0"/>
          <w:marBottom w:val="0"/>
          <w:divBdr>
            <w:top w:val="none" w:sz="0" w:space="0" w:color="auto"/>
            <w:left w:val="none" w:sz="0" w:space="0" w:color="auto"/>
            <w:bottom w:val="none" w:sz="0" w:space="0" w:color="auto"/>
            <w:right w:val="none" w:sz="0" w:space="0" w:color="auto"/>
          </w:divBdr>
        </w:div>
        <w:div w:id="294141303">
          <w:marLeft w:val="0"/>
          <w:marRight w:val="0"/>
          <w:marTop w:val="0"/>
          <w:marBottom w:val="0"/>
          <w:divBdr>
            <w:top w:val="none" w:sz="0" w:space="0" w:color="auto"/>
            <w:left w:val="none" w:sz="0" w:space="0" w:color="auto"/>
            <w:bottom w:val="none" w:sz="0" w:space="0" w:color="auto"/>
            <w:right w:val="none" w:sz="0" w:space="0" w:color="auto"/>
          </w:divBdr>
        </w:div>
        <w:div w:id="294141305">
          <w:marLeft w:val="0"/>
          <w:marRight w:val="0"/>
          <w:marTop w:val="0"/>
          <w:marBottom w:val="0"/>
          <w:divBdr>
            <w:top w:val="none" w:sz="0" w:space="0" w:color="auto"/>
            <w:left w:val="none" w:sz="0" w:space="0" w:color="auto"/>
            <w:bottom w:val="none" w:sz="0" w:space="0" w:color="auto"/>
            <w:right w:val="none" w:sz="0" w:space="0" w:color="auto"/>
          </w:divBdr>
        </w:div>
        <w:div w:id="294141377">
          <w:marLeft w:val="0"/>
          <w:marRight w:val="0"/>
          <w:marTop w:val="0"/>
          <w:marBottom w:val="0"/>
          <w:divBdr>
            <w:top w:val="none" w:sz="0" w:space="0" w:color="auto"/>
            <w:left w:val="none" w:sz="0" w:space="0" w:color="auto"/>
            <w:bottom w:val="none" w:sz="0" w:space="0" w:color="auto"/>
            <w:right w:val="none" w:sz="0" w:space="0" w:color="auto"/>
          </w:divBdr>
        </w:div>
        <w:div w:id="294141551">
          <w:marLeft w:val="0"/>
          <w:marRight w:val="0"/>
          <w:marTop w:val="0"/>
          <w:marBottom w:val="0"/>
          <w:divBdr>
            <w:top w:val="none" w:sz="0" w:space="0" w:color="auto"/>
            <w:left w:val="none" w:sz="0" w:space="0" w:color="auto"/>
            <w:bottom w:val="none" w:sz="0" w:space="0" w:color="auto"/>
            <w:right w:val="none" w:sz="0" w:space="0" w:color="auto"/>
          </w:divBdr>
        </w:div>
        <w:div w:id="294141703">
          <w:marLeft w:val="0"/>
          <w:marRight w:val="0"/>
          <w:marTop w:val="0"/>
          <w:marBottom w:val="0"/>
          <w:divBdr>
            <w:top w:val="none" w:sz="0" w:space="0" w:color="auto"/>
            <w:left w:val="none" w:sz="0" w:space="0" w:color="auto"/>
            <w:bottom w:val="none" w:sz="0" w:space="0" w:color="auto"/>
            <w:right w:val="none" w:sz="0" w:space="0" w:color="auto"/>
          </w:divBdr>
        </w:div>
        <w:div w:id="294141860">
          <w:marLeft w:val="0"/>
          <w:marRight w:val="0"/>
          <w:marTop w:val="0"/>
          <w:marBottom w:val="0"/>
          <w:divBdr>
            <w:top w:val="none" w:sz="0" w:space="0" w:color="auto"/>
            <w:left w:val="none" w:sz="0" w:space="0" w:color="auto"/>
            <w:bottom w:val="none" w:sz="0" w:space="0" w:color="auto"/>
            <w:right w:val="none" w:sz="0" w:space="0" w:color="auto"/>
          </w:divBdr>
        </w:div>
        <w:div w:id="294141936">
          <w:marLeft w:val="0"/>
          <w:marRight w:val="0"/>
          <w:marTop w:val="0"/>
          <w:marBottom w:val="0"/>
          <w:divBdr>
            <w:top w:val="none" w:sz="0" w:space="0" w:color="auto"/>
            <w:left w:val="none" w:sz="0" w:space="0" w:color="auto"/>
            <w:bottom w:val="none" w:sz="0" w:space="0" w:color="auto"/>
            <w:right w:val="none" w:sz="0" w:space="0" w:color="auto"/>
          </w:divBdr>
        </w:div>
        <w:div w:id="294141979">
          <w:marLeft w:val="0"/>
          <w:marRight w:val="0"/>
          <w:marTop w:val="0"/>
          <w:marBottom w:val="0"/>
          <w:divBdr>
            <w:top w:val="none" w:sz="0" w:space="0" w:color="auto"/>
            <w:left w:val="none" w:sz="0" w:space="0" w:color="auto"/>
            <w:bottom w:val="none" w:sz="0" w:space="0" w:color="auto"/>
            <w:right w:val="none" w:sz="0" w:space="0" w:color="auto"/>
          </w:divBdr>
        </w:div>
        <w:div w:id="294142088">
          <w:marLeft w:val="0"/>
          <w:marRight w:val="0"/>
          <w:marTop w:val="0"/>
          <w:marBottom w:val="0"/>
          <w:divBdr>
            <w:top w:val="none" w:sz="0" w:space="0" w:color="auto"/>
            <w:left w:val="none" w:sz="0" w:space="0" w:color="auto"/>
            <w:bottom w:val="none" w:sz="0" w:space="0" w:color="auto"/>
            <w:right w:val="none" w:sz="0" w:space="0" w:color="auto"/>
          </w:divBdr>
        </w:div>
        <w:div w:id="294142114">
          <w:marLeft w:val="0"/>
          <w:marRight w:val="0"/>
          <w:marTop w:val="0"/>
          <w:marBottom w:val="0"/>
          <w:divBdr>
            <w:top w:val="none" w:sz="0" w:space="0" w:color="auto"/>
            <w:left w:val="none" w:sz="0" w:space="0" w:color="auto"/>
            <w:bottom w:val="none" w:sz="0" w:space="0" w:color="auto"/>
            <w:right w:val="none" w:sz="0" w:space="0" w:color="auto"/>
          </w:divBdr>
        </w:div>
        <w:div w:id="294142161">
          <w:marLeft w:val="0"/>
          <w:marRight w:val="0"/>
          <w:marTop w:val="0"/>
          <w:marBottom w:val="0"/>
          <w:divBdr>
            <w:top w:val="none" w:sz="0" w:space="0" w:color="auto"/>
            <w:left w:val="none" w:sz="0" w:space="0" w:color="auto"/>
            <w:bottom w:val="none" w:sz="0" w:space="0" w:color="auto"/>
            <w:right w:val="none" w:sz="0" w:space="0" w:color="auto"/>
          </w:divBdr>
        </w:div>
        <w:div w:id="294142211">
          <w:marLeft w:val="0"/>
          <w:marRight w:val="0"/>
          <w:marTop w:val="0"/>
          <w:marBottom w:val="0"/>
          <w:divBdr>
            <w:top w:val="none" w:sz="0" w:space="0" w:color="auto"/>
            <w:left w:val="none" w:sz="0" w:space="0" w:color="auto"/>
            <w:bottom w:val="none" w:sz="0" w:space="0" w:color="auto"/>
            <w:right w:val="none" w:sz="0" w:space="0" w:color="auto"/>
          </w:divBdr>
        </w:div>
        <w:div w:id="294142216">
          <w:marLeft w:val="0"/>
          <w:marRight w:val="0"/>
          <w:marTop w:val="0"/>
          <w:marBottom w:val="0"/>
          <w:divBdr>
            <w:top w:val="none" w:sz="0" w:space="0" w:color="auto"/>
            <w:left w:val="none" w:sz="0" w:space="0" w:color="auto"/>
            <w:bottom w:val="none" w:sz="0" w:space="0" w:color="auto"/>
            <w:right w:val="none" w:sz="0" w:space="0" w:color="auto"/>
          </w:divBdr>
        </w:div>
        <w:div w:id="294142240">
          <w:marLeft w:val="0"/>
          <w:marRight w:val="0"/>
          <w:marTop w:val="0"/>
          <w:marBottom w:val="0"/>
          <w:divBdr>
            <w:top w:val="none" w:sz="0" w:space="0" w:color="auto"/>
            <w:left w:val="none" w:sz="0" w:space="0" w:color="auto"/>
            <w:bottom w:val="none" w:sz="0" w:space="0" w:color="auto"/>
            <w:right w:val="none" w:sz="0" w:space="0" w:color="auto"/>
          </w:divBdr>
        </w:div>
        <w:div w:id="294142305">
          <w:marLeft w:val="0"/>
          <w:marRight w:val="0"/>
          <w:marTop w:val="0"/>
          <w:marBottom w:val="0"/>
          <w:divBdr>
            <w:top w:val="none" w:sz="0" w:space="0" w:color="auto"/>
            <w:left w:val="none" w:sz="0" w:space="0" w:color="auto"/>
            <w:bottom w:val="none" w:sz="0" w:space="0" w:color="auto"/>
            <w:right w:val="none" w:sz="0" w:space="0" w:color="auto"/>
          </w:divBdr>
        </w:div>
        <w:div w:id="294142310">
          <w:marLeft w:val="0"/>
          <w:marRight w:val="0"/>
          <w:marTop w:val="0"/>
          <w:marBottom w:val="0"/>
          <w:divBdr>
            <w:top w:val="none" w:sz="0" w:space="0" w:color="auto"/>
            <w:left w:val="none" w:sz="0" w:space="0" w:color="auto"/>
            <w:bottom w:val="none" w:sz="0" w:space="0" w:color="auto"/>
            <w:right w:val="none" w:sz="0" w:space="0" w:color="auto"/>
          </w:divBdr>
        </w:div>
        <w:div w:id="294142431">
          <w:marLeft w:val="0"/>
          <w:marRight w:val="0"/>
          <w:marTop w:val="0"/>
          <w:marBottom w:val="0"/>
          <w:divBdr>
            <w:top w:val="none" w:sz="0" w:space="0" w:color="auto"/>
            <w:left w:val="none" w:sz="0" w:space="0" w:color="auto"/>
            <w:bottom w:val="none" w:sz="0" w:space="0" w:color="auto"/>
            <w:right w:val="none" w:sz="0" w:space="0" w:color="auto"/>
          </w:divBdr>
        </w:div>
        <w:div w:id="294142522">
          <w:marLeft w:val="0"/>
          <w:marRight w:val="0"/>
          <w:marTop w:val="0"/>
          <w:marBottom w:val="0"/>
          <w:divBdr>
            <w:top w:val="none" w:sz="0" w:space="0" w:color="auto"/>
            <w:left w:val="none" w:sz="0" w:space="0" w:color="auto"/>
            <w:bottom w:val="none" w:sz="0" w:space="0" w:color="auto"/>
            <w:right w:val="none" w:sz="0" w:space="0" w:color="auto"/>
          </w:divBdr>
        </w:div>
        <w:div w:id="294142565">
          <w:marLeft w:val="0"/>
          <w:marRight w:val="0"/>
          <w:marTop w:val="0"/>
          <w:marBottom w:val="0"/>
          <w:divBdr>
            <w:top w:val="none" w:sz="0" w:space="0" w:color="auto"/>
            <w:left w:val="none" w:sz="0" w:space="0" w:color="auto"/>
            <w:bottom w:val="none" w:sz="0" w:space="0" w:color="auto"/>
            <w:right w:val="none" w:sz="0" w:space="0" w:color="auto"/>
          </w:divBdr>
        </w:div>
        <w:div w:id="294142571">
          <w:marLeft w:val="0"/>
          <w:marRight w:val="0"/>
          <w:marTop w:val="0"/>
          <w:marBottom w:val="0"/>
          <w:divBdr>
            <w:top w:val="none" w:sz="0" w:space="0" w:color="auto"/>
            <w:left w:val="none" w:sz="0" w:space="0" w:color="auto"/>
            <w:bottom w:val="none" w:sz="0" w:space="0" w:color="auto"/>
            <w:right w:val="none" w:sz="0" w:space="0" w:color="auto"/>
          </w:divBdr>
        </w:div>
        <w:div w:id="294142712">
          <w:marLeft w:val="0"/>
          <w:marRight w:val="0"/>
          <w:marTop w:val="0"/>
          <w:marBottom w:val="0"/>
          <w:divBdr>
            <w:top w:val="none" w:sz="0" w:space="0" w:color="auto"/>
            <w:left w:val="none" w:sz="0" w:space="0" w:color="auto"/>
            <w:bottom w:val="none" w:sz="0" w:space="0" w:color="auto"/>
            <w:right w:val="none" w:sz="0" w:space="0" w:color="auto"/>
          </w:divBdr>
        </w:div>
        <w:div w:id="294142727">
          <w:marLeft w:val="0"/>
          <w:marRight w:val="0"/>
          <w:marTop w:val="0"/>
          <w:marBottom w:val="0"/>
          <w:divBdr>
            <w:top w:val="none" w:sz="0" w:space="0" w:color="auto"/>
            <w:left w:val="none" w:sz="0" w:space="0" w:color="auto"/>
            <w:bottom w:val="none" w:sz="0" w:space="0" w:color="auto"/>
            <w:right w:val="none" w:sz="0" w:space="0" w:color="auto"/>
          </w:divBdr>
        </w:div>
        <w:div w:id="294142814">
          <w:marLeft w:val="0"/>
          <w:marRight w:val="0"/>
          <w:marTop w:val="0"/>
          <w:marBottom w:val="0"/>
          <w:divBdr>
            <w:top w:val="none" w:sz="0" w:space="0" w:color="auto"/>
            <w:left w:val="none" w:sz="0" w:space="0" w:color="auto"/>
            <w:bottom w:val="none" w:sz="0" w:space="0" w:color="auto"/>
            <w:right w:val="none" w:sz="0" w:space="0" w:color="auto"/>
          </w:divBdr>
        </w:div>
        <w:div w:id="294142880">
          <w:marLeft w:val="0"/>
          <w:marRight w:val="0"/>
          <w:marTop w:val="0"/>
          <w:marBottom w:val="0"/>
          <w:divBdr>
            <w:top w:val="none" w:sz="0" w:space="0" w:color="auto"/>
            <w:left w:val="none" w:sz="0" w:space="0" w:color="auto"/>
            <w:bottom w:val="none" w:sz="0" w:space="0" w:color="auto"/>
            <w:right w:val="none" w:sz="0" w:space="0" w:color="auto"/>
          </w:divBdr>
        </w:div>
        <w:div w:id="294142921">
          <w:marLeft w:val="0"/>
          <w:marRight w:val="0"/>
          <w:marTop w:val="0"/>
          <w:marBottom w:val="0"/>
          <w:divBdr>
            <w:top w:val="none" w:sz="0" w:space="0" w:color="auto"/>
            <w:left w:val="none" w:sz="0" w:space="0" w:color="auto"/>
            <w:bottom w:val="none" w:sz="0" w:space="0" w:color="auto"/>
            <w:right w:val="none" w:sz="0" w:space="0" w:color="auto"/>
          </w:divBdr>
        </w:div>
        <w:div w:id="294143027">
          <w:marLeft w:val="0"/>
          <w:marRight w:val="0"/>
          <w:marTop w:val="0"/>
          <w:marBottom w:val="0"/>
          <w:divBdr>
            <w:top w:val="none" w:sz="0" w:space="0" w:color="auto"/>
            <w:left w:val="none" w:sz="0" w:space="0" w:color="auto"/>
            <w:bottom w:val="none" w:sz="0" w:space="0" w:color="auto"/>
            <w:right w:val="none" w:sz="0" w:space="0" w:color="auto"/>
          </w:divBdr>
        </w:div>
        <w:div w:id="294143116">
          <w:marLeft w:val="0"/>
          <w:marRight w:val="0"/>
          <w:marTop w:val="0"/>
          <w:marBottom w:val="0"/>
          <w:divBdr>
            <w:top w:val="none" w:sz="0" w:space="0" w:color="auto"/>
            <w:left w:val="none" w:sz="0" w:space="0" w:color="auto"/>
            <w:bottom w:val="none" w:sz="0" w:space="0" w:color="auto"/>
            <w:right w:val="none" w:sz="0" w:space="0" w:color="auto"/>
          </w:divBdr>
        </w:div>
        <w:div w:id="294143139">
          <w:marLeft w:val="0"/>
          <w:marRight w:val="0"/>
          <w:marTop w:val="0"/>
          <w:marBottom w:val="0"/>
          <w:divBdr>
            <w:top w:val="none" w:sz="0" w:space="0" w:color="auto"/>
            <w:left w:val="none" w:sz="0" w:space="0" w:color="auto"/>
            <w:bottom w:val="none" w:sz="0" w:space="0" w:color="auto"/>
            <w:right w:val="none" w:sz="0" w:space="0" w:color="auto"/>
          </w:divBdr>
        </w:div>
        <w:div w:id="294143368">
          <w:marLeft w:val="0"/>
          <w:marRight w:val="0"/>
          <w:marTop w:val="0"/>
          <w:marBottom w:val="0"/>
          <w:divBdr>
            <w:top w:val="none" w:sz="0" w:space="0" w:color="auto"/>
            <w:left w:val="none" w:sz="0" w:space="0" w:color="auto"/>
            <w:bottom w:val="none" w:sz="0" w:space="0" w:color="auto"/>
            <w:right w:val="none" w:sz="0" w:space="0" w:color="auto"/>
          </w:divBdr>
        </w:div>
        <w:div w:id="294143377">
          <w:marLeft w:val="0"/>
          <w:marRight w:val="0"/>
          <w:marTop w:val="0"/>
          <w:marBottom w:val="0"/>
          <w:divBdr>
            <w:top w:val="none" w:sz="0" w:space="0" w:color="auto"/>
            <w:left w:val="none" w:sz="0" w:space="0" w:color="auto"/>
            <w:bottom w:val="none" w:sz="0" w:space="0" w:color="auto"/>
            <w:right w:val="none" w:sz="0" w:space="0" w:color="auto"/>
          </w:divBdr>
        </w:div>
        <w:div w:id="294143436">
          <w:marLeft w:val="0"/>
          <w:marRight w:val="0"/>
          <w:marTop w:val="0"/>
          <w:marBottom w:val="0"/>
          <w:divBdr>
            <w:top w:val="none" w:sz="0" w:space="0" w:color="auto"/>
            <w:left w:val="none" w:sz="0" w:space="0" w:color="auto"/>
            <w:bottom w:val="none" w:sz="0" w:space="0" w:color="auto"/>
            <w:right w:val="none" w:sz="0" w:space="0" w:color="auto"/>
          </w:divBdr>
        </w:div>
        <w:div w:id="294143487">
          <w:marLeft w:val="0"/>
          <w:marRight w:val="0"/>
          <w:marTop w:val="0"/>
          <w:marBottom w:val="0"/>
          <w:divBdr>
            <w:top w:val="none" w:sz="0" w:space="0" w:color="auto"/>
            <w:left w:val="none" w:sz="0" w:space="0" w:color="auto"/>
            <w:bottom w:val="none" w:sz="0" w:space="0" w:color="auto"/>
            <w:right w:val="none" w:sz="0" w:space="0" w:color="auto"/>
          </w:divBdr>
        </w:div>
        <w:div w:id="294143498">
          <w:marLeft w:val="0"/>
          <w:marRight w:val="0"/>
          <w:marTop w:val="0"/>
          <w:marBottom w:val="0"/>
          <w:divBdr>
            <w:top w:val="none" w:sz="0" w:space="0" w:color="auto"/>
            <w:left w:val="none" w:sz="0" w:space="0" w:color="auto"/>
            <w:bottom w:val="none" w:sz="0" w:space="0" w:color="auto"/>
            <w:right w:val="none" w:sz="0" w:space="0" w:color="auto"/>
          </w:divBdr>
        </w:div>
        <w:div w:id="294143568">
          <w:marLeft w:val="0"/>
          <w:marRight w:val="0"/>
          <w:marTop w:val="0"/>
          <w:marBottom w:val="0"/>
          <w:divBdr>
            <w:top w:val="none" w:sz="0" w:space="0" w:color="auto"/>
            <w:left w:val="none" w:sz="0" w:space="0" w:color="auto"/>
            <w:bottom w:val="none" w:sz="0" w:space="0" w:color="auto"/>
            <w:right w:val="none" w:sz="0" w:space="0" w:color="auto"/>
          </w:divBdr>
        </w:div>
        <w:div w:id="294143580">
          <w:marLeft w:val="0"/>
          <w:marRight w:val="0"/>
          <w:marTop w:val="0"/>
          <w:marBottom w:val="0"/>
          <w:divBdr>
            <w:top w:val="none" w:sz="0" w:space="0" w:color="auto"/>
            <w:left w:val="none" w:sz="0" w:space="0" w:color="auto"/>
            <w:bottom w:val="none" w:sz="0" w:space="0" w:color="auto"/>
            <w:right w:val="none" w:sz="0" w:space="0" w:color="auto"/>
          </w:divBdr>
        </w:div>
        <w:div w:id="294143583">
          <w:marLeft w:val="0"/>
          <w:marRight w:val="0"/>
          <w:marTop w:val="0"/>
          <w:marBottom w:val="0"/>
          <w:divBdr>
            <w:top w:val="none" w:sz="0" w:space="0" w:color="auto"/>
            <w:left w:val="none" w:sz="0" w:space="0" w:color="auto"/>
            <w:bottom w:val="none" w:sz="0" w:space="0" w:color="auto"/>
            <w:right w:val="none" w:sz="0" w:space="0" w:color="auto"/>
          </w:divBdr>
        </w:div>
        <w:div w:id="294143621">
          <w:marLeft w:val="0"/>
          <w:marRight w:val="0"/>
          <w:marTop w:val="0"/>
          <w:marBottom w:val="0"/>
          <w:divBdr>
            <w:top w:val="none" w:sz="0" w:space="0" w:color="auto"/>
            <w:left w:val="none" w:sz="0" w:space="0" w:color="auto"/>
            <w:bottom w:val="none" w:sz="0" w:space="0" w:color="auto"/>
            <w:right w:val="none" w:sz="0" w:space="0" w:color="auto"/>
          </w:divBdr>
        </w:div>
        <w:div w:id="294143659">
          <w:marLeft w:val="0"/>
          <w:marRight w:val="0"/>
          <w:marTop w:val="0"/>
          <w:marBottom w:val="0"/>
          <w:divBdr>
            <w:top w:val="none" w:sz="0" w:space="0" w:color="auto"/>
            <w:left w:val="none" w:sz="0" w:space="0" w:color="auto"/>
            <w:bottom w:val="none" w:sz="0" w:space="0" w:color="auto"/>
            <w:right w:val="none" w:sz="0" w:space="0" w:color="auto"/>
          </w:divBdr>
        </w:div>
        <w:div w:id="294143664">
          <w:marLeft w:val="0"/>
          <w:marRight w:val="0"/>
          <w:marTop w:val="0"/>
          <w:marBottom w:val="0"/>
          <w:divBdr>
            <w:top w:val="none" w:sz="0" w:space="0" w:color="auto"/>
            <w:left w:val="none" w:sz="0" w:space="0" w:color="auto"/>
            <w:bottom w:val="none" w:sz="0" w:space="0" w:color="auto"/>
            <w:right w:val="none" w:sz="0" w:space="0" w:color="auto"/>
          </w:divBdr>
        </w:div>
        <w:div w:id="294143673">
          <w:marLeft w:val="0"/>
          <w:marRight w:val="0"/>
          <w:marTop w:val="0"/>
          <w:marBottom w:val="0"/>
          <w:divBdr>
            <w:top w:val="none" w:sz="0" w:space="0" w:color="auto"/>
            <w:left w:val="none" w:sz="0" w:space="0" w:color="auto"/>
            <w:bottom w:val="none" w:sz="0" w:space="0" w:color="auto"/>
            <w:right w:val="none" w:sz="0" w:space="0" w:color="auto"/>
          </w:divBdr>
        </w:div>
        <w:div w:id="294143686">
          <w:marLeft w:val="0"/>
          <w:marRight w:val="0"/>
          <w:marTop w:val="0"/>
          <w:marBottom w:val="0"/>
          <w:divBdr>
            <w:top w:val="none" w:sz="0" w:space="0" w:color="auto"/>
            <w:left w:val="none" w:sz="0" w:space="0" w:color="auto"/>
            <w:bottom w:val="none" w:sz="0" w:space="0" w:color="auto"/>
            <w:right w:val="none" w:sz="0" w:space="0" w:color="auto"/>
          </w:divBdr>
        </w:div>
        <w:div w:id="294143791">
          <w:marLeft w:val="0"/>
          <w:marRight w:val="0"/>
          <w:marTop w:val="0"/>
          <w:marBottom w:val="0"/>
          <w:divBdr>
            <w:top w:val="none" w:sz="0" w:space="0" w:color="auto"/>
            <w:left w:val="none" w:sz="0" w:space="0" w:color="auto"/>
            <w:bottom w:val="none" w:sz="0" w:space="0" w:color="auto"/>
            <w:right w:val="none" w:sz="0" w:space="0" w:color="auto"/>
          </w:divBdr>
        </w:div>
        <w:div w:id="294143868">
          <w:marLeft w:val="0"/>
          <w:marRight w:val="0"/>
          <w:marTop w:val="0"/>
          <w:marBottom w:val="0"/>
          <w:divBdr>
            <w:top w:val="none" w:sz="0" w:space="0" w:color="auto"/>
            <w:left w:val="none" w:sz="0" w:space="0" w:color="auto"/>
            <w:bottom w:val="none" w:sz="0" w:space="0" w:color="auto"/>
            <w:right w:val="none" w:sz="0" w:space="0" w:color="auto"/>
          </w:divBdr>
        </w:div>
        <w:div w:id="294143900">
          <w:marLeft w:val="0"/>
          <w:marRight w:val="0"/>
          <w:marTop w:val="0"/>
          <w:marBottom w:val="0"/>
          <w:divBdr>
            <w:top w:val="none" w:sz="0" w:space="0" w:color="auto"/>
            <w:left w:val="none" w:sz="0" w:space="0" w:color="auto"/>
            <w:bottom w:val="none" w:sz="0" w:space="0" w:color="auto"/>
            <w:right w:val="none" w:sz="0" w:space="0" w:color="auto"/>
          </w:divBdr>
        </w:div>
        <w:div w:id="294143983">
          <w:marLeft w:val="0"/>
          <w:marRight w:val="0"/>
          <w:marTop w:val="0"/>
          <w:marBottom w:val="0"/>
          <w:divBdr>
            <w:top w:val="none" w:sz="0" w:space="0" w:color="auto"/>
            <w:left w:val="none" w:sz="0" w:space="0" w:color="auto"/>
            <w:bottom w:val="none" w:sz="0" w:space="0" w:color="auto"/>
            <w:right w:val="none" w:sz="0" w:space="0" w:color="auto"/>
          </w:divBdr>
        </w:div>
        <w:div w:id="294143999">
          <w:marLeft w:val="0"/>
          <w:marRight w:val="0"/>
          <w:marTop w:val="0"/>
          <w:marBottom w:val="0"/>
          <w:divBdr>
            <w:top w:val="none" w:sz="0" w:space="0" w:color="auto"/>
            <w:left w:val="none" w:sz="0" w:space="0" w:color="auto"/>
            <w:bottom w:val="none" w:sz="0" w:space="0" w:color="auto"/>
            <w:right w:val="none" w:sz="0" w:space="0" w:color="auto"/>
          </w:divBdr>
        </w:div>
        <w:div w:id="294144196">
          <w:marLeft w:val="0"/>
          <w:marRight w:val="0"/>
          <w:marTop w:val="0"/>
          <w:marBottom w:val="0"/>
          <w:divBdr>
            <w:top w:val="none" w:sz="0" w:space="0" w:color="auto"/>
            <w:left w:val="none" w:sz="0" w:space="0" w:color="auto"/>
            <w:bottom w:val="none" w:sz="0" w:space="0" w:color="auto"/>
            <w:right w:val="none" w:sz="0" w:space="0" w:color="auto"/>
          </w:divBdr>
        </w:div>
        <w:div w:id="294144200">
          <w:marLeft w:val="0"/>
          <w:marRight w:val="0"/>
          <w:marTop w:val="0"/>
          <w:marBottom w:val="0"/>
          <w:divBdr>
            <w:top w:val="none" w:sz="0" w:space="0" w:color="auto"/>
            <w:left w:val="none" w:sz="0" w:space="0" w:color="auto"/>
            <w:bottom w:val="none" w:sz="0" w:space="0" w:color="auto"/>
            <w:right w:val="none" w:sz="0" w:space="0" w:color="auto"/>
          </w:divBdr>
        </w:div>
        <w:div w:id="294144268">
          <w:marLeft w:val="0"/>
          <w:marRight w:val="0"/>
          <w:marTop w:val="0"/>
          <w:marBottom w:val="0"/>
          <w:divBdr>
            <w:top w:val="none" w:sz="0" w:space="0" w:color="auto"/>
            <w:left w:val="none" w:sz="0" w:space="0" w:color="auto"/>
            <w:bottom w:val="none" w:sz="0" w:space="0" w:color="auto"/>
            <w:right w:val="none" w:sz="0" w:space="0" w:color="auto"/>
          </w:divBdr>
        </w:div>
        <w:div w:id="294144293">
          <w:marLeft w:val="0"/>
          <w:marRight w:val="0"/>
          <w:marTop w:val="0"/>
          <w:marBottom w:val="0"/>
          <w:divBdr>
            <w:top w:val="none" w:sz="0" w:space="0" w:color="auto"/>
            <w:left w:val="none" w:sz="0" w:space="0" w:color="auto"/>
            <w:bottom w:val="none" w:sz="0" w:space="0" w:color="auto"/>
            <w:right w:val="none" w:sz="0" w:space="0" w:color="auto"/>
          </w:divBdr>
        </w:div>
        <w:div w:id="294144343">
          <w:marLeft w:val="0"/>
          <w:marRight w:val="0"/>
          <w:marTop w:val="0"/>
          <w:marBottom w:val="0"/>
          <w:divBdr>
            <w:top w:val="none" w:sz="0" w:space="0" w:color="auto"/>
            <w:left w:val="none" w:sz="0" w:space="0" w:color="auto"/>
            <w:bottom w:val="none" w:sz="0" w:space="0" w:color="auto"/>
            <w:right w:val="none" w:sz="0" w:space="0" w:color="auto"/>
          </w:divBdr>
        </w:div>
        <w:div w:id="294144347">
          <w:marLeft w:val="0"/>
          <w:marRight w:val="0"/>
          <w:marTop w:val="0"/>
          <w:marBottom w:val="0"/>
          <w:divBdr>
            <w:top w:val="none" w:sz="0" w:space="0" w:color="auto"/>
            <w:left w:val="none" w:sz="0" w:space="0" w:color="auto"/>
            <w:bottom w:val="none" w:sz="0" w:space="0" w:color="auto"/>
            <w:right w:val="none" w:sz="0" w:space="0" w:color="auto"/>
          </w:divBdr>
        </w:div>
        <w:div w:id="294144440">
          <w:marLeft w:val="0"/>
          <w:marRight w:val="0"/>
          <w:marTop w:val="0"/>
          <w:marBottom w:val="0"/>
          <w:divBdr>
            <w:top w:val="none" w:sz="0" w:space="0" w:color="auto"/>
            <w:left w:val="none" w:sz="0" w:space="0" w:color="auto"/>
            <w:bottom w:val="none" w:sz="0" w:space="0" w:color="auto"/>
            <w:right w:val="none" w:sz="0" w:space="0" w:color="auto"/>
          </w:divBdr>
        </w:div>
        <w:div w:id="294144441">
          <w:marLeft w:val="0"/>
          <w:marRight w:val="0"/>
          <w:marTop w:val="0"/>
          <w:marBottom w:val="0"/>
          <w:divBdr>
            <w:top w:val="none" w:sz="0" w:space="0" w:color="auto"/>
            <w:left w:val="none" w:sz="0" w:space="0" w:color="auto"/>
            <w:bottom w:val="none" w:sz="0" w:space="0" w:color="auto"/>
            <w:right w:val="none" w:sz="0" w:space="0" w:color="auto"/>
          </w:divBdr>
        </w:div>
        <w:div w:id="294144489">
          <w:marLeft w:val="0"/>
          <w:marRight w:val="0"/>
          <w:marTop w:val="0"/>
          <w:marBottom w:val="0"/>
          <w:divBdr>
            <w:top w:val="none" w:sz="0" w:space="0" w:color="auto"/>
            <w:left w:val="none" w:sz="0" w:space="0" w:color="auto"/>
            <w:bottom w:val="none" w:sz="0" w:space="0" w:color="auto"/>
            <w:right w:val="none" w:sz="0" w:space="0" w:color="auto"/>
          </w:divBdr>
        </w:div>
        <w:div w:id="294144517">
          <w:marLeft w:val="0"/>
          <w:marRight w:val="0"/>
          <w:marTop w:val="0"/>
          <w:marBottom w:val="0"/>
          <w:divBdr>
            <w:top w:val="none" w:sz="0" w:space="0" w:color="auto"/>
            <w:left w:val="none" w:sz="0" w:space="0" w:color="auto"/>
            <w:bottom w:val="none" w:sz="0" w:space="0" w:color="auto"/>
            <w:right w:val="none" w:sz="0" w:space="0" w:color="auto"/>
          </w:divBdr>
        </w:div>
        <w:div w:id="294144518">
          <w:marLeft w:val="0"/>
          <w:marRight w:val="0"/>
          <w:marTop w:val="0"/>
          <w:marBottom w:val="0"/>
          <w:divBdr>
            <w:top w:val="none" w:sz="0" w:space="0" w:color="auto"/>
            <w:left w:val="none" w:sz="0" w:space="0" w:color="auto"/>
            <w:bottom w:val="none" w:sz="0" w:space="0" w:color="auto"/>
            <w:right w:val="none" w:sz="0" w:space="0" w:color="auto"/>
          </w:divBdr>
        </w:div>
        <w:div w:id="294144627">
          <w:marLeft w:val="0"/>
          <w:marRight w:val="0"/>
          <w:marTop w:val="0"/>
          <w:marBottom w:val="0"/>
          <w:divBdr>
            <w:top w:val="none" w:sz="0" w:space="0" w:color="auto"/>
            <w:left w:val="none" w:sz="0" w:space="0" w:color="auto"/>
            <w:bottom w:val="none" w:sz="0" w:space="0" w:color="auto"/>
            <w:right w:val="none" w:sz="0" w:space="0" w:color="auto"/>
          </w:divBdr>
        </w:div>
        <w:div w:id="294144804">
          <w:marLeft w:val="0"/>
          <w:marRight w:val="0"/>
          <w:marTop w:val="0"/>
          <w:marBottom w:val="0"/>
          <w:divBdr>
            <w:top w:val="none" w:sz="0" w:space="0" w:color="auto"/>
            <w:left w:val="none" w:sz="0" w:space="0" w:color="auto"/>
            <w:bottom w:val="none" w:sz="0" w:space="0" w:color="auto"/>
            <w:right w:val="none" w:sz="0" w:space="0" w:color="auto"/>
          </w:divBdr>
        </w:div>
        <w:div w:id="294144898">
          <w:marLeft w:val="0"/>
          <w:marRight w:val="0"/>
          <w:marTop w:val="0"/>
          <w:marBottom w:val="0"/>
          <w:divBdr>
            <w:top w:val="none" w:sz="0" w:space="0" w:color="auto"/>
            <w:left w:val="none" w:sz="0" w:space="0" w:color="auto"/>
            <w:bottom w:val="none" w:sz="0" w:space="0" w:color="auto"/>
            <w:right w:val="none" w:sz="0" w:space="0" w:color="auto"/>
          </w:divBdr>
        </w:div>
        <w:div w:id="294144944">
          <w:marLeft w:val="0"/>
          <w:marRight w:val="0"/>
          <w:marTop w:val="0"/>
          <w:marBottom w:val="0"/>
          <w:divBdr>
            <w:top w:val="none" w:sz="0" w:space="0" w:color="auto"/>
            <w:left w:val="none" w:sz="0" w:space="0" w:color="auto"/>
            <w:bottom w:val="none" w:sz="0" w:space="0" w:color="auto"/>
            <w:right w:val="none" w:sz="0" w:space="0" w:color="auto"/>
          </w:divBdr>
        </w:div>
        <w:div w:id="294145046">
          <w:marLeft w:val="0"/>
          <w:marRight w:val="0"/>
          <w:marTop w:val="0"/>
          <w:marBottom w:val="0"/>
          <w:divBdr>
            <w:top w:val="none" w:sz="0" w:space="0" w:color="auto"/>
            <w:left w:val="none" w:sz="0" w:space="0" w:color="auto"/>
            <w:bottom w:val="none" w:sz="0" w:space="0" w:color="auto"/>
            <w:right w:val="none" w:sz="0" w:space="0" w:color="auto"/>
          </w:divBdr>
        </w:div>
        <w:div w:id="294145068">
          <w:marLeft w:val="0"/>
          <w:marRight w:val="0"/>
          <w:marTop w:val="0"/>
          <w:marBottom w:val="0"/>
          <w:divBdr>
            <w:top w:val="none" w:sz="0" w:space="0" w:color="auto"/>
            <w:left w:val="none" w:sz="0" w:space="0" w:color="auto"/>
            <w:bottom w:val="none" w:sz="0" w:space="0" w:color="auto"/>
            <w:right w:val="none" w:sz="0" w:space="0" w:color="auto"/>
          </w:divBdr>
        </w:div>
        <w:div w:id="294145174">
          <w:marLeft w:val="0"/>
          <w:marRight w:val="0"/>
          <w:marTop w:val="0"/>
          <w:marBottom w:val="0"/>
          <w:divBdr>
            <w:top w:val="none" w:sz="0" w:space="0" w:color="auto"/>
            <w:left w:val="none" w:sz="0" w:space="0" w:color="auto"/>
            <w:bottom w:val="none" w:sz="0" w:space="0" w:color="auto"/>
            <w:right w:val="none" w:sz="0" w:space="0" w:color="auto"/>
          </w:divBdr>
        </w:div>
        <w:div w:id="294145397">
          <w:marLeft w:val="0"/>
          <w:marRight w:val="0"/>
          <w:marTop w:val="0"/>
          <w:marBottom w:val="0"/>
          <w:divBdr>
            <w:top w:val="none" w:sz="0" w:space="0" w:color="auto"/>
            <w:left w:val="none" w:sz="0" w:space="0" w:color="auto"/>
            <w:bottom w:val="none" w:sz="0" w:space="0" w:color="auto"/>
            <w:right w:val="none" w:sz="0" w:space="0" w:color="auto"/>
          </w:divBdr>
        </w:div>
        <w:div w:id="294145413">
          <w:marLeft w:val="0"/>
          <w:marRight w:val="0"/>
          <w:marTop w:val="0"/>
          <w:marBottom w:val="0"/>
          <w:divBdr>
            <w:top w:val="none" w:sz="0" w:space="0" w:color="auto"/>
            <w:left w:val="none" w:sz="0" w:space="0" w:color="auto"/>
            <w:bottom w:val="none" w:sz="0" w:space="0" w:color="auto"/>
            <w:right w:val="none" w:sz="0" w:space="0" w:color="auto"/>
          </w:divBdr>
        </w:div>
        <w:div w:id="294145478">
          <w:marLeft w:val="0"/>
          <w:marRight w:val="0"/>
          <w:marTop w:val="0"/>
          <w:marBottom w:val="0"/>
          <w:divBdr>
            <w:top w:val="none" w:sz="0" w:space="0" w:color="auto"/>
            <w:left w:val="none" w:sz="0" w:space="0" w:color="auto"/>
            <w:bottom w:val="none" w:sz="0" w:space="0" w:color="auto"/>
            <w:right w:val="none" w:sz="0" w:space="0" w:color="auto"/>
          </w:divBdr>
        </w:div>
        <w:div w:id="294145633">
          <w:marLeft w:val="0"/>
          <w:marRight w:val="0"/>
          <w:marTop w:val="0"/>
          <w:marBottom w:val="0"/>
          <w:divBdr>
            <w:top w:val="none" w:sz="0" w:space="0" w:color="auto"/>
            <w:left w:val="none" w:sz="0" w:space="0" w:color="auto"/>
            <w:bottom w:val="none" w:sz="0" w:space="0" w:color="auto"/>
            <w:right w:val="none" w:sz="0" w:space="0" w:color="auto"/>
          </w:divBdr>
        </w:div>
        <w:div w:id="294145667">
          <w:marLeft w:val="0"/>
          <w:marRight w:val="0"/>
          <w:marTop w:val="0"/>
          <w:marBottom w:val="0"/>
          <w:divBdr>
            <w:top w:val="none" w:sz="0" w:space="0" w:color="auto"/>
            <w:left w:val="none" w:sz="0" w:space="0" w:color="auto"/>
            <w:bottom w:val="none" w:sz="0" w:space="0" w:color="auto"/>
            <w:right w:val="none" w:sz="0" w:space="0" w:color="auto"/>
          </w:divBdr>
        </w:div>
        <w:div w:id="294145835">
          <w:marLeft w:val="0"/>
          <w:marRight w:val="0"/>
          <w:marTop w:val="0"/>
          <w:marBottom w:val="0"/>
          <w:divBdr>
            <w:top w:val="none" w:sz="0" w:space="0" w:color="auto"/>
            <w:left w:val="none" w:sz="0" w:space="0" w:color="auto"/>
            <w:bottom w:val="none" w:sz="0" w:space="0" w:color="auto"/>
            <w:right w:val="none" w:sz="0" w:space="0" w:color="auto"/>
          </w:divBdr>
        </w:div>
        <w:div w:id="294145848">
          <w:marLeft w:val="0"/>
          <w:marRight w:val="0"/>
          <w:marTop w:val="0"/>
          <w:marBottom w:val="0"/>
          <w:divBdr>
            <w:top w:val="none" w:sz="0" w:space="0" w:color="auto"/>
            <w:left w:val="none" w:sz="0" w:space="0" w:color="auto"/>
            <w:bottom w:val="none" w:sz="0" w:space="0" w:color="auto"/>
            <w:right w:val="none" w:sz="0" w:space="0" w:color="auto"/>
          </w:divBdr>
        </w:div>
        <w:div w:id="294145864">
          <w:marLeft w:val="0"/>
          <w:marRight w:val="0"/>
          <w:marTop w:val="0"/>
          <w:marBottom w:val="0"/>
          <w:divBdr>
            <w:top w:val="none" w:sz="0" w:space="0" w:color="auto"/>
            <w:left w:val="none" w:sz="0" w:space="0" w:color="auto"/>
            <w:bottom w:val="none" w:sz="0" w:space="0" w:color="auto"/>
            <w:right w:val="none" w:sz="0" w:space="0" w:color="auto"/>
          </w:divBdr>
        </w:div>
        <w:div w:id="294145866">
          <w:marLeft w:val="0"/>
          <w:marRight w:val="0"/>
          <w:marTop w:val="0"/>
          <w:marBottom w:val="0"/>
          <w:divBdr>
            <w:top w:val="none" w:sz="0" w:space="0" w:color="auto"/>
            <w:left w:val="none" w:sz="0" w:space="0" w:color="auto"/>
            <w:bottom w:val="none" w:sz="0" w:space="0" w:color="auto"/>
            <w:right w:val="none" w:sz="0" w:space="0" w:color="auto"/>
          </w:divBdr>
        </w:div>
        <w:div w:id="294145899">
          <w:marLeft w:val="0"/>
          <w:marRight w:val="0"/>
          <w:marTop w:val="0"/>
          <w:marBottom w:val="0"/>
          <w:divBdr>
            <w:top w:val="none" w:sz="0" w:space="0" w:color="auto"/>
            <w:left w:val="none" w:sz="0" w:space="0" w:color="auto"/>
            <w:bottom w:val="none" w:sz="0" w:space="0" w:color="auto"/>
            <w:right w:val="none" w:sz="0" w:space="0" w:color="auto"/>
          </w:divBdr>
        </w:div>
        <w:div w:id="294145901">
          <w:marLeft w:val="0"/>
          <w:marRight w:val="0"/>
          <w:marTop w:val="0"/>
          <w:marBottom w:val="0"/>
          <w:divBdr>
            <w:top w:val="none" w:sz="0" w:space="0" w:color="auto"/>
            <w:left w:val="none" w:sz="0" w:space="0" w:color="auto"/>
            <w:bottom w:val="none" w:sz="0" w:space="0" w:color="auto"/>
            <w:right w:val="none" w:sz="0" w:space="0" w:color="auto"/>
          </w:divBdr>
        </w:div>
        <w:div w:id="294145925">
          <w:marLeft w:val="0"/>
          <w:marRight w:val="0"/>
          <w:marTop w:val="0"/>
          <w:marBottom w:val="0"/>
          <w:divBdr>
            <w:top w:val="none" w:sz="0" w:space="0" w:color="auto"/>
            <w:left w:val="none" w:sz="0" w:space="0" w:color="auto"/>
            <w:bottom w:val="none" w:sz="0" w:space="0" w:color="auto"/>
            <w:right w:val="none" w:sz="0" w:space="0" w:color="auto"/>
          </w:divBdr>
        </w:div>
        <w:div w:id="294145928">
          <w:marLeft w:val="0"/>
          <w:marRight w:val="0"/>
          <w:marTop w:val="0"/>
          <w:marBottom w:val="0"/>
          <w:divBdr>
            <w:top w:val="none" w:sz="0" w:space="0" w:color="auto"/>
            <w:left w:val="none" w:sz="0" w:space="0" w:color="auto"/>
            <w:bottom w:val="none" w:sz="0" w:space="0" w:color="auto"/>
            <w:right w:val="none" w:sz="0" w:space="0" w:color="auto"/>
          </w:divBdr>
        </w:div>
        <w:div w:id="294145947">
          <w:marLeft w:val="0"/>
          <w:marRight w:val="0"/>
          <w:marTop w:val="0"/>
          <w:marBottom w:val="0"/>
          <w:divBdr>
            <w:top w:val="none" w:sz="0" w:space="0" w:color="auto"/>
            <w:left w:val="none" w:sz="0" w:space="0" w:color="auto"/>
            <w:bottom w:val="none" w:sz="0" w:space="0" w:color="auto"/>
            <w:right w:val="none" w:sz="0" w:space="0" w:color="auto"/>
          </w:divBdr>
        </w:div>
        <w:div w:id="294145971">
          <w:marLeft w:val="0"/>
          <w:marRight w:val="0"/>
          <w:marTop w:val="0"/>
          <w:marBottom w:val="0"/>
          <w:divBdr>
            <w:top w:val="none" w:sz="0" w:space="0" w:color="auto"/>
            <w:left w:val="none" w:sz="0" w:space="0" w:color="auto"/>
            <w:bottom w:val="none" w:sz="0" w:space="0" w:color="auto"/>
            <w:right w:val="none" w:sz="0" w:space="0" w:color="auto"/>
          </w:divBdr>
        </w:div>
        <w:div w:id="294146059">
          <w:marLeft w:val="0"/>
          <w:marRight w:val="0"/>
          <w:marTop w:val="0"/>
          <w:marBottom w:val="0"/>
          <w:divBdr>
            <w:top w:val="none" w:sz="0" w:space="0" w:color="auto"/>
            <w:left w:val="none" w:sz="0" w:space="0" w:color="auto"/>
            <w:bottom w:val="none" w:sz="0" w:space="0" w:color="auto"/>
            <w:right w:val="none" w:sz="0" w:space="0" w:color="auto"/>
          </w:divBdr>
        </w:div>
        <w:div w:id="294146077">
          <w:marLeft w:val="0"/>
          <w:marRight w:val="0"/>
          <w:marTop w:val="0"/>
          <w:marBottom w:val="0"/>
          <w:divBdr>
            <w:top w:val="none" w:sz="0" w:space="0" w:color="auto"/>
            <w:left w:val="none" w:sz="0" w:space="0" w:color="auto"/>
            <w:bottom w:val="none" w:sz="0" w:space="0" w:color="auto"/>
            <w:right w:val="none" w:sz="0" w:space="0" w:color="auto"/>
          </w:divBdr>
        </w:div>
        <w:div w:id="294146084">
          <w:marLeft w:val="0"/>
          <w:marRight w:val="0"/>
          <w:marTop w:val="0"/>
          <w:marBottom w:val="0"/>
          <w:divBdr>
            <w:top w:val="none" w:sz="0" w:space="0" w:color="auto"/>
            <w:left w:val="none" w:sz="0" w:space="0" w:color="auto"/>
            <w:bottom w:val="none" w:sz="0" w:space="0" w:color="auto"/>
            <w:right w:val="none" w:sz="0" w:space="0" w:color="auto"/>
          </w:divBdr>
        </w:div>
        <w:div w:id="294146098">
          <w:marLeft w:val="0"/>
          <w:marRight w:val="0"/>
          <w:marTop w:val="0"/>
          <w:marBottom w:val="0"/>
          <w:divBdr>
            <w:top w:val="none" w:sz="0" w:space="0" w:color="auto"/>
            <w:left w:val="none" w:sz="0" w:space="0" w:color="auto"/>
            <w:bottom w:val="none" w:sz="0" w:space="0" w:color="auto"/>
            <w:right w:val="none" w:sz="0" w:space="0" w:color="auto"/>
          </w:divBdr>
        </w:div>
        <w:div w:id="294146182">
          <w:marLeft w:val="0"/>
          <w:marRight w:val="0"/>
          <w:marTop w:val="0"/>
          <w:marBottom w:val="0"/>
          <w:divBdr>
            <w:top w:val="none" w:sz="0" w:space="0" w:color="auto"/>
            <w:left w:val="none" w:sz="0" w:space="0" w:color="auto"/>
            <w:bottom w:val="none" w:sz="0" w:space="0" w:color="auto"/>
            <w:right w:val="none" w:sz="0" w:space="0" w:color="auto"/>
          </w:divBdr>
        </w:div>
        <w:div w:id="294146207">
          <w:marLeft w:val="0"/>
          <w:marRight w:val="0"/>
          <w:marTop w:val="0"/>
          <w:marBottom w:val="0"/>
          <w:divBdr>
            <w:top w:val="none" w:sz="0" w:space="0" w:color="auto"/>
            <w:left w:val="none" w:sz="0" w:space="0" w:color="auto"/>
            <w:bottom w:val="none" w:sz="0" w:space="0" w:color="auto"/>
            <w:right w:val="none" w:sz="0" w:space="0" w:color="auto"/>
          </w:divBdr>
        </w:div>
        <w:div w:id="294146350">
          <w:marLeft w:val="0"/>
          <w:marRight w:val="0"/>
          <w:marTop w:val="0"/>
          <w:marBottom w:val="0"/>
          <w:divBdr>
            <w:top w:val="none" w:sz="0" w:space="0" w:color="auto"/>
            <w:left w:val="none" w:sz="0" w:space="0" w:color="auto"/>
            <w:bottom w:val="none" w:sz="0" w:space="0" w:color="auto"/>
            <w:right w:val="none" w:sz="0" w:space="0" w:color="auto"/>
          </w:divBdr>
        </w:div>
        <w:div w:id="294146355">
          <w:marLeft w:val="0"/>
          <w:marRight w:val="0"/>
          <w:marTop w:val="0"/>
          <w:marBottom w:val="0"/>
          <w:divBdr>
            <w:top w:val="none" w:sz="0" w:space="0" w:color="auto"/>
            <w:left w:val="none" w:sz="0" w:space="0" w:color="auto"/>
            <w:bottom w:val="none" w:sz="0" w:space="0" w:color="auto"/>
            <w:right w:val="none" w:sz="0" w:space="0" w:color="auto"/>
          </w:divBdr>
        </w:div>
        <w:div w:id="294146389">
          <w:marLeft w:val="0"/>
          <w:marRight w:val="0"/>
          <w:marTop w:val="0"/>
          <w:marBottom w:val="0"/>
          <w:divBdr>
            <w:top w:val="none" w:sz="0" w:space="0" w:color="auto"/>
            <w:left w:val="none" w:sz="0" w:space="0" w:color="auto"/>
            <w:bottom w:val="none" w:sz="0" w:space="0" w:color="auto"/>
            <w:right w:val="none" w:sz="0" w:space="0" w:color="auto"/>
          </w:divBdr>
        </w:div>
        <w:div w:id="294146475">
          <w:marLeft w:val="0"/>
          <w:marRight w:val="0"/>
          <w:marTop w:val="0"/>
          <w:marBottom w:val="0"/>
          <w:divBdr>
            <w:top w:val="none" w:sz="0" w:space="0" w:color="auto"/>
            <w:left w:val="none" w:sz="0" w:space="0" w:color="auto"/>
            <w:bottom w:val="none" w:sz="0" w:space="0" w:color="auto"/>
            <w:right w:val="none" w:sz="0" w:space="0" w:color="auto"/>
          </w:divBdr>
        </w:div>
        <w:div w:id="294146548">
          <w:marLeft w:val="0"/>
          <w:marRight w:val="0"/>
          <w:marTop w:val="0"/>
          <w:marBottom w:val="0"/>
          <w:divBdr>
            <w:top w:val="none" w:sz="0" w:space="0" w:color="auto"/>
            <w:left w:val="none" w:sz="0" w:space="0" w:color="auto"/>
            <w:bottom w:val="none" w:sz="0" w:space="0" w:color="auto"/>
            <w:right w:val="none" w:sz="0" w:space="0" w:color="auto"/>
          </w:divBdr>
        </w:div>
        <w:div w:id="294146581">
          <w:marLeft w:val="0"/>
          <w:marRight w:val="0"/>
          <w:marTop w:val="0"/>
          <w:marBottom w:val="0"/>
          <w:divBdr>
            <w:top w:val="none" w:sz="0" w:space="0" w:color="auto"/>
            <w:left w:val="none" w:sz="0" w:space="0" w:color="auto"/>
            <w:bottom w:val="none" w:sz="0" w:space="0" w:color="auto"/>
            <w:right w:val="none" w:sz="0" w:space="0" w:color="auto"/>
          </w:divBdr>
        </w:div>
        <w:div w:id="294146601">
          <w:marLeft w:val="0"/>
          <w:marRight w:val="0"/>
          <w:marTop w:val="0"/>
          <w:marBottom w:val="0"/>
          <w:divBdr>
            <w:top w:val="none" w:sz="0" w:space="0" w:color="auto"/>
            <w:left w:val="none" w:sz="0" w:space="0" w:color="auto"/>
            <w:bottom w:val="none" w:sz="0" w:space="0" w:color="auto"/>
            <w:right w:val="none" w:sz="0" w:space="0" w:color="auto"/>
          </w:divBdr>
        </w:div>
        <w:div w:id="294146693">
          <w:marLeft w:val="0"/>
          <w:marRight w:val="0"/>
          <w:marTop w:val="0"/>
          <w:marBottom w:val="0"/>
          <w:divBdr>
            <w:top w:val="none" w:sz="0" w:space="0" w:color="auto"/>
            <w:left w:val="none" w:sz="0" w:space="0" w:color="auto"/>
            <w:bottom w:val="none" w:sz="0" w:space="0" w:color="auto"/>
            <w:right w:val="none" w:sz="0" w:space="0" w:color="auto"/>
          </w:divBdr>
        </w:div>
        <w:div w:id="294146799">
          <w:marLeft w:val="0"/>
          <w:marRight w:val="0"/>
          <w:marTop w:val="0"/>
          <w:marBottom w:val="0"/>
          <w:divBdr>
            <w:top w:val="none" w:sz="0" w:space="0" w:color="auto"/>
            <w:left w:val="none" w:sz="0" w:space="0" w:color="auto"/>
            <w:bottom w:val="none" w:sz="0" w:space="0" w:color="auto"/>
            <w:right w:val="none" w:sz="0" w:space="0" w:color="auto"/>
          </w:divBdr>
        </w:div>
        <w:div w:id="294146938">
          <w:marLeft w:val="0"/>
          <w:marRight w:val="0"/>
          <w:marTop w:val="0"/>
          <w:marBottom w:val="0"/>
          <w:divBdr>
            <w:top w:val="none" w:sz="0" w:space="0" w:color="auto"/>
            <w:left w:val="none" w:sz="0" w:space="0" w:color="auto"/>
            <w:bottom w:val="none" w:sz="0" w:space="0" w:color="auto"/>
            <w:right w:val="none" w:sz="0" w:space="0" w:color="auto"/>
          </w:divBdr>
        </w:div>
        <w:div w:id="294146952">
          <w:marLeft w:val="0"/>
          <w:marRight w:val="0"/>
          <w:marTop w:val="0"/>
          <w:marBottom w:val="0"/>
          <w:divBdr>
            <w:top w:val="none" w:sz="0" w:space="0" w:color="auto"/>
            <w:left w:val="none" w:sz="0" w:space="0" w:color="auto"/>
            <w:bottom w:val="none" w:sz="0" w:space="0" w:color="auto"/>
            <w:right w:val="none" w:sz="0" w:space="0" w:color="auto"/>
          </w:divBdr>
        </w:div>
        <w:div w:id="294146992">
          <w:marLeft w:val="0"/>
          <w:marRight w:val="0"/>
          <w:marTop w:val="0"/>
          <w:marBottom w:val="0"/>
          <w:divBdr>
            <w:top w:val="none" w:sz="0" w:space="0" w:color="auto"/>
            <w:left w:val="none" w:sz="0" w:space="0" w:color="auto"/>
            <w:bottom w:val="none" w:sz="0" w:space="0" w:color="auto"/>
            <w:right w:val="none" w:sz="0" w:space="0" w:color="auto"/>
          </w:divBdr>
        </w:div>
        <w:div w:id="294147061">
          <w:marLeft w:val="0"/>
          <w:marRight w:val="0"/>
          <w:marTop w:val="0"/>
          <w:marBottom w:val="0"/>
          <w:divBdr>
            <w:top w:val="none" w:sz="0" w:space="0" w:color="auto"/>
            <w:left w:val="none" w:sz="0" w:space="0" w:color="auto"/>
            <w:bottom w:val="none" w:sz="0" w:space="0" w:color="auto"/>
            <w:right w:val="none" w:sz="0" w:space="0" w:color="auto"/>
          </w:divBdr>
        </w:div>
        <w:div w:id="294147075">
          <w:marLeft w:val="0"/>
          <w:marRight w:val="0"/>
          <w:marTop w:val="0"/>
          <w:marBottom w:val="0"/>
          <w:divBdr>
            <w:top w:val="none" w:sz="0" w:space="0" w:color="auto"/>
            <w:left w:val="none" w:sz="0" w:space="0" w:color="auto"/>
            <w:bottom w:val="none" w:sz="0" w:space="0" w:color="auto"/>
            <w:right w:val="none" w:sz="0" w:space="0" w:color="auto"/>
          </w:divBdr>
        </w:div>
        <w:div w:id="294147095">
          <w:marLeft w:val="0"/>
          <w:marRight w:val="0"/>
          <w:marTop w:val="0"/>
          <w:marBottom w:val="0"/>
          <w:divBdr>
            <w:top w:val="none" w:sz="0" w:space="0" w:color="auto"/>
            <w:left w:val="none" w:sz="0" w:space="0" w:color="auto"/>
            <w:bottom w:val="none" w:sz="0" w:space="0" w:color="auto"/>
            <w:right w:val="none" w:sz="0" w:space="0" w:color="auto"/>
          </w:divBdr>
        </w:div>
        <w:div w:id="294147148">
          <w:marLeft w:val="0"/>
          <w:marRight w:val="0"/>
          <w:marTop w:val="0"/>
          <w:marBottom w:val="0"/>
          <w:divBdr>
            <w:top w:val="none" w:sz="0" w:space="0" w:color="auto"/>
            <w:left w:val="none" w:sz="0" w:space="0" w:color="auto"/>
            <w:bottom w:val="none" w:sz="0" w:space="0" w:color="auto"/>
            <w:right w:val="none" w:sz="0" w:space="0" w:color="auto"/>
          </w:divBdr>
        </w:div>
        <w:div w:id="294147227">
          <w:marLeft w:val="0"/>
          <w:marRight w:val="0"/>
          <w:marTop w:val="0"/>
          <w:marBottom w:val="0"/>
          <w:divBdr>
            <w:top w:val="none" w:sz="0" w:space="0" w:color="auto"/>
            <w:left w:val="none" w:sz="0" w:space="0" w:color="auto"/>
            <w:bottom w:val="none" w:sz="0" w:space="0" w:color="auto"/>
            <w:right w:val="none" w:sz="0" w:space="0" w:color="auto"/>
          </w:divBdr>
        </w:div>
        <w:div w:id="294147320">
          <w:marLeft w:val="0"/>
          <w:marRight w:val="0"/>
          <w:marTop w:val="0"/>
          <w:marBottom w:val="0"/>
          <w:divBdr>
            <w:top w:val="none" w:sz="0" w:space="0" w:color="auto"/>
            <w:left w:val="none" w:sz="0" w:space="0" w:color="auto"/>
            <w:bottom w:val="none" w:sz="0" w:space="0" w:color="auto"/>
            <w:right w:val="none" w:sz="0" w:space="0" w:color="auto"/>
          </w:divBdr>
        </w:div>
        <w:div w:id="294147345">
          <w:marLeft w:val="0"/>
          <w:marRight w:val="0"/>
          <w:marTop w:val="0"/>
          <w:marBottom w:val="0"/>
          <w:divBdr>
            <w:top w:val="none" w:sz="0" w:space="0" w:color="auto"/>
            <w:left w:val="none" w:sz="0" w:space="0" w:color="auto"/>
            <w:bottom w:val="none" w:sz="0" w:space="0" w:color="auto"/>
            <w:right w:val="none" w:sz="0" w:space="0" w:color="auto"/>
          </w:divBdr>
        </w:div>
        <w:div w:id="294147362">
          <w:marLeft w:val="0"/>
          <w:marRight w:val="0"/>
          <w:marTop w:val="0"/>
          <w:marBottom w:val="0"/>
          <w:divBdr>
            <w:top w:val="none" w:sz="0" w:space="0" w:color="auto"/>
            <w:left w:val="none" w:sz="0" w:space="0" w:color="auto"/>
            <w:bottom w:val="none" w:sz="0" w:space="0" w:color="auto"/>
            <w:right w:val="none" w:sz="0" w:space="0" w:color="auto"/>
          </w:divBdr>
        </w:div>
        <w:div w:id="294147407">
          <w:marLeft w:val="0"/>
          <w:marRight w:val="0"/>
          <w:marTop w:val="0"/>
          <w:marBottom w:val="0"/>
          <w:divBdr>
            <w:top w:val="none" w:sz="0" w:space="0" w:color="auto"/>
            <w:left w:val="none" w:sz="0" w:space="0" w:color="auto"/>
            <w:bottom w:val="none" w:sz="0" w:space="0" w:color="auto"/>
            <w:right w:val="none" w:sz="0" w:space="0" w:color="auto"/>
          </w:divBdr>
        </w:div>
        <w:div w:id="294147446">
          <w:marLeft w:val="0"/>
          <w:marRight w:val="0"/>
          <w:marTop w:val="0"/>
          <w:marBottom w:val="0"/>
          <w:divBdr>
            <w:top w:val="none" w:sz="0" w:space="0" w:color="auto"/>
            <w:left w:val="none" w:sz="0" w:space="0" w:color="auto"/>
            <w:bottom w:val="none" w:sz="0" w:space="0" w:color="auto"/>
            <w:right w:val="none" w:sz="0" w:space="0" w:color="auto"/>
          </w:divBdr>
        </w:div>
        <w:div w:id="294147585">
          <w:marLeft w:val="0"/>
          <w:marRight w:val="0"/>
          <w:marTop w:val="0"/>
          <w:marBottom w:val="0"/>
          <w:divBdr>
            <w:top w:val="none" w:sz="0" w:space="0" w:color="auto"/>
            <w:left w:val="none" w:sz="0" w:space="0" w:color="auto"/>
            <w:bottom w:val="none" w:sz="0" w:space="0" w:color="auto"/>
            <w:right w:val="none" w:sz="0" w:space="0" w:color="auto"/>
          </w:divBdr>
        </w:div>
        <w:div w:id="294147657">
          <w:marLeft w:val="0"/>
          <w:marRight w:val="0"/>
          <w:marTop w:val="0"/>
          <w:marBottom w:val="0"/>
          <w:divBdr>
            <w:top w:val="none" w:sz="0" w:space="0" w:color="auto"/>
            <w:left w:val="none" w:sz="0" w:space="0" w:color="auto"/>
            <w:bottom w:val="none" w:sz="0" w:space="0" w:color="auto"/>
            <w:right w:val="none" w:sz="0" w:space="0" w:color="auto"/>
          </w:divBdr>
        </w:div>
        <w:div w:id="294147659">
          <w:marLeft w:val="0"/>
          <w:marRight w:val="0"/>
          <w:marTop w:val="0"/>
          <w:marBottom w:val="0"/>
          <w:divBdr>
            <w:top w:val="none" w:sz="0" w:space="0" w:color="auto"/>
            <w:left w:val="none" w:sz="0" w:space="0" w:color="auto"/>
            <w:bottom w:val="none" w:sz="0" w:space="0" w:color="auto"/>
            <w:right w:val="none" w:sz="0" w:space="0" w:color="auto"/>
          </w:divBdr>
        </w:div>
        <w:div w:id="294147679">
          <w:marLeft w:val="0"/>
          <w:marRight w:val="0"/>
          <w:marTop w:val="0"/>
          <w:marBottom w:val="0"/>
          <w:divBdr>
            <w:top w:val="none" w:sz="0" w:space="0" w:color="auto"/>
            <w:left w:val="none" w:sz="0" w:space="0" w:color="auto"/>
            <w:bottom w:val="none" w:sz="0" w:space="0" w:color="auto"/>
            <w:right w:val="none" w:sz="0" w:space="0" w:color="auto"/>
          </w:divBdr>
        </w:div>
        <w:div w:id="294147749">
          <w:marLeft w:val="0"/>
          <w:marRight w:val="0"/>
          <w:marTop w:val="0"/>
          <w:marBottom w:val="0"/>
          <w:divBdr>
            <w:top w:val="none" w:sz="0" w:space="0" w:color="auto"/>
            <w:left w:val="none" w:sz="0" w:space="0" w:color="auto"/>
            <w:bottom w:val="none" w:sz="0" w:space="0" w:color="auto"/>
            <w:right w:val="none" w:sz="0" w:space="0" w:color="auto"/>
          </w:divBdr>
        </w:div>
        <w:div w:id="294147753">
          <w:marLeft w:val="0"/>
          <w:marRight w:val="0"/>
          <w:marTop w:val="0"/>
          <w:marBottom w:val="0"/>
          <w:divBdr>
            <w:top w:val="none" w:sz="0" w:space="0" w:color="auto"/>
            <w:left w:val="none" w:sz="0" w:space="0" w:color="auto"/>
            <w:bottom w:val="none" w:sz="0" w:space="0" w:color="auto"/>
            <w:right w:val="none" w:sz="0" w:space="0" w:color="auto"/>
          </w:divBdr>
        </w:div>
        <w:div w:id="294147839">
          <w:marLeft w:val="0"/>
          <w:marRight w:val="0"/>
          <w:marTop w:val="0"/>
          <w:marBottom w:val="0"/>
          <w:divBdr>
            <w:top w:val="none" w:sz="0" w:space="0" w:color="auto"/>
            <w:left w:val="none" w:sz="0" w:space="0" w:color="auto"/>
            <w:bottom w:val="none" w:sz="0" w:space="0" w:color="auto"/>
            <w:right w:val="none" w:sz="0" w:space="0" w:color="auto"/>
          </w:divBdr>
        </w:div>
        <w:div w:id="294147842">
          <w:marLeft w:val="0"/>
          <w:marRight w:val="0"/>
          <w:marTop w:val="0"/>
          <w:marBottom w:val="0"/>
          <w:divBdr>
            <w:top w:val="none" w:sz="0" w:space="0" w:color="auto"/>
            <w:left w:val="none" w:sz="0" w:space="0" w:color="auto"/>
            <w:bottom w:val="none" w:sz="0" w:space="0" w:color="auto"/>
            <w:right w:val="none" w:sz="0" w:space="0" w:color="auto"/>
          </w:divBdr>
        </w:div>
        <w:div w:id="294147917">
          <w:marLeft w:val="0"/>
          <w:marRight w:val="0"/>
          <w:marTop w:val="0"/>
          <w:marBottom w:val="0"/>
          <w:divBdr>
            <w:top w:val="none" w:sz="0" w:space="0" w:color="auto"/>
            <w:left w:val="none" w:sz="0" w:space="0" w:color="auto"/>
            <w:bottom w:val="none" w:sz="0" w:space="0" w:color="auto"/>
            <w:right w:val="none" w:sz="0" w:space="0" w:color="auto"/>
          </w:divBdr>
        </w:div>
        <w:div w:id="294148073">
          <w:marLeft w:val="0"/>
          <w:marRight w:val="0"/>
          <w:marTop w:val="0"/>
          <w:marBottom w:val="0"/>
          <w:divBdr>
            <w:top w:val="none" w:sz="0" w:space="0" w:color="auto"/>
            <w:left w:val="none" w:sz="0" w:space="0" w:color="auto"/>
            <w:bottom w:val="none" w:sz="0" w:space="0" w:color="auto"/>
            <w:right w:val="none" w:sz="0" w:space="0" w:color="auto"/>
          </w:divBdr>
        </w:div>
        <w:div w:id="294148123">
          <w:marLeft w:val="0"/>
          <w:marRight w:val="0"/>
          <w:marTop w:val="0"/>
          <w:marBottom w:val="0"/>
          <w:divBdr>
            <w:top w:val="none" w:sz="0" w:space="0" w:color="auto"/>
            <w:left w:val="none" w:sz="0" w:space="0" w:color="auto"/>
            <w:bottom w:val="none" w:sz="0" w:space="0" w:color="auto"/>
            <w:right w:val="none" w:sz="0" w:space="0" w:color="auto"/>
          </w:divBdr>
        </w:div>
        <w:div w:id="294148325">
          <w:marLeft w:val="0"/>
          <w:marRight w:val="0"/>
          <w:marTop w:val="0"/>
          <w:marBottom w:val="0"/>
          <w:divBdr>
            <w:top w:val="none" w:sz="0" w:space="0" w:color="auto"/>
            <w:left w:val="none" w:sz="0" w:space="0" w:color="auto"/>
            <w:bottom w:val="none" w:sz="0" w:space="0" w:color="auto"/>
            <w:right w:val="none" w:sz="0" w:space="0" w:color="auto"/>
          </w:divBdr>
        </w:div>
        <w:div w:id="294148365">
          <w:marLeft w:val="0"/>
          <w:marRight w:val="0"/>
          <w:marTop w:val="0"/>
          <w:marBottom w:val="0"/>
          <w:divBdr>
            <w:top w:val="none" w:sz="0" w:space="0" w:color="auto"/>
            <w:left w:val="none" w:sz="0" w:space="0" w:color="auto"/>
            <w:bottom w:val="none" w:sz="0" w:space="0" w:color="auto"/>
            <w:right w:val="none" w:sz="0" w:space="0" w:color="auto"/>
          </w:divBdr>
        </w:div>
        <w:div w:id="294148610">
          <w:marLeft w:val="0"/>
          <w:marRight w:val="0"/>
          <w:marTop w:val="0"/>
          <w:marBottom w:val="0"/>
          <w:divBdr>
            <w:top w:val="none" w:sz="0" w:space="0" w:color="auto"/>
            <w:left w:val="none" w:sz="0" w:space="0" w:color="auto"/>
            <w:bottom w:val="none" w:sz="0" w:space="0" w:color="auto"/>
            <w:right w:val="none" w:sz="0" w:space="0" w:color="auto"/>
          </w:divBdr>
        </w:div>
        <w:div w:id="294148667">
          <w:marLeft w:val="0"/>
          <w:marRight w:val="0"/>
          <w:marTop w:val="0"/>
          <w:marBottom w:val="0"/>
          <w:divBdr>
            <w:top w:val="none" w:sz="0" w:space="0" w:color="auto"/>
            <w:left w:val="none" w:sz="0" w:space="0" w:color="auto"/>
            <w:bottom w:val="none" w:sz="0" w:space="0" w:color="auto"/>
            <w:right w:val="none" w:sz="0" w:space="0" w:color="auto"/>
          </w:divBdr>
        </w:div>
        <w:div w:id="294148677">
          <w:marLeft w:val="0"/>
          <w:marRight w:val="0"/>
          <w:marTop w:val="0"/>
          <w:marBottom w:val="0"/>
          <w:divBdr>
            <w:top w:val="none" w:sz="0" w:space="0" w:color="auto"/>
            <w:left w:val="none" w:sz="0" w:space="0" w:color="auto"/>
            <w:bottom w:val="none" w:sz="0" w:space="0" w:color="auto"/>
            <w:right w:val="none" w:sz="0" w:space="0" w:color="auto"/>
          </w:divBdr>
        </w:div>
        <w:div w:id="294148856">
          <w:marLeft w:val="0"/>
          <w:marRight w:val="0"/>
          <w:marTop w:val="0"/>
          <w:marBottom w:val="0"/>
          <w:divBdr>
            <w:top w:val="none" w:sz="0" w:space="0" w:color="auto"/>
            <w:left w:val="none" w:sz="0" w:space="0" w:color="auto"/>
            <w:bottom w:val="none" w:sz="0" w:space="0" w:color="auto"/>
            <w:right w:val="none" w:sz="0" w:space="0" w:color="auto"/>
          </w:divBdr>
        </w:div>
        <w:div w:id="294148884">
          <w:marLeft w:val="0"/>
          <w:marRight w:val="0"/>
          <w:marTop w:val="0"/>
          <w:marBottom w:val="0"/>
          <w:divBdr>
            <w:top w:val="none" w:sz="0" w:space="0" w:color="auto"/>
            <w:left w:val="none" w:sz="0" w:space="0" w:color="auto"/>
            <w:bottom w:val="none" w:sz="0" w:space="0" w:color="auto"/>
            <w:right w:val="none" w:sz="0" w:space="0" w:color="auto"/>
          </w:divBdr>
        </w:div>
        <w:div w:id="294148896">
          <w:marLeft w:val="0"/>
          <w:marRight w:val="0"/>
          <w:marTop w:val="0"/>
          <w:marBottom w:val="0"/>
          <w:divBdr>
            <w:top w:val="none" w:sz="0" w:space="0" w:color="auto"/>
            <w:left w:val="none" w:sz="0" w:space="0" w:color="auto"/>
            <w:bottom w:val="none" w:sz="0" w:space="0" w:color="auto"/>
            <w:right w:val="none" w:sz="0" w:space="0" w:color="auto"/>
          </w:divBdr>
        </w:div>
        <w:div w:id="294148919">
          <w:marLeft w:val="0"/>
          <w:marRight w:val="0"/>
          <w:marTop w:val="0"/>
          <w:marBottom w:val="0"/>
          <w:divBdr>
            <w:top w:val="none" w:sz="0" w:space="0" w:color="auto"/>
            <w:left w:val="none" w:sz="0" w:space="0" w:color="auto"/>
            <w:bottom w:val="none" w:sz="0" w:space="0" w:color="auto"/>
            <w:right w:val="none" w:sz="0" w:space="0" w:color="auto"/>
          </w:divBdr>
        </w:div>
        <w:div w:id="294149035">
          <w:marLeft w:val="0"/>
          <w:marRight w:val="0"/>
          <w:marTop w:val="0"/>
          <w:marBottom w:val="0"/>
          <w:divBdr>
            <w:top w:val="none" w:sz="0" w:space="0" w:color="auto"/>
            <w:left w:val="none" w:sz="0" w:space="0" w:color="auto"/>
            <w:bottom w:val="none" w:sz="0" w:space="0" w:color="auto"/>
            <w:right w:val="none" w:sz="0" w:space="0" w:color="auto"/>
          </w:divBdr>
        </w:div>
        <w:div w:id="294149043">
          <w:marLeft w:val="0"/>
          <w:marRight w:val="0"/>
          <w:marTop w:val="0"/>
          <w:marBottom w:val="0"/>
          <w:divBdr>
            <w:top w:val="none" w:sz="0" w:space="0" w:color="auto"/>
            <w:left w:val="none" w:sz="0" w:space="0" w:color="auto"/>
            <w:bottom w:val="none" w:sz="0" w:space="0" w:color="auto"/>
            <w:right w:val="none" w:sz="0" w:space="0" w:color="auto"/>
          </w:divBdr>
        </w:div>
        <w:div w:id="294149045">
          <w:marLeft w:val="0"/>
          <w:marRight w:val="0"/>
          <w:marTop w:val="0"/>
          <w:marBottom w:val="0"/>
          <w:divBdr>
            <w:top w:val="none" w:sz="0" w:space="0" w:color="auto"/>
            <w:left w:val="none" w:sz="0" w:space="0" w:color="auto"/>
            <w:bottom w:val="none" w:sz="0" w:space="0" w:color="auto"/>
            <w:right w:val="none" w:sz="0" w:space="0" w:color="auto"/>
          </w:divBdr>
        </w:div>
        <w:div w:id="294149046">
          <w:marLeft w:val="0"/>
          <w:marRight w:val="0"/>
          <w:marTop w:val="0"/>
          <w:marBottom w:val="0"/>
          <w:divBdr>
            <w:top w:val="none" w:sz="0" w:space="0" w:color="auto"/>
            <w:left w:val="none" w:sz="0" w:space="0" w:color="auto"/>
            <w:bottom w:val="none" w:sz="0" w:space="0" w:color="auto"/>
            <w:right w:val="none" w:sz="0" w:space="0" w:color="auto"/>
          </w:divBdr>
        </w:div>
        <w:div w:id="294149194">
          <w:marLeft w:val="0"/>
          <w:marRight w:val="0"/>
          <w:marTop w:val="0"/>
          <w:marBottom w:val="0"/>
          <w:divBdr>
            <w:top w:val="none" w:sz="0" w:space="0" w:color="auto"/>
            <w:left w:val="none" w:sz="0" w:space="0" w:color="auto"/>
            <w:bottom w:val="none" w:sz="0" w:space="0" w:color="auto"/>
            <w:right w:val="none" w:sz="0" w:space="0" w:color="auto"/>
          </w:divBdr>
        </w:div>
        <w:div w:id="294149195">
          <w:marLeft w:val="0"/>
          <w:marRight w:val="0"/>
          <w:marTop w:val="0"/>
          <w:marBottom w:val="0"/>
          <w:divBdr>
            <w:top w:val="none" w:sz="0" w:space="0" w:color="auto"/>
            <w:left w:val="none" w:sz="0" w:space="0" w:color="auto"/>
            <w:bottom w:val="none" w:sz="0" w:space="0" w:color="auto"/>
            <w:right w:val="none" w:sz="0" w:space="0" w:color="auto"/>
          </w:divBdr>
        </w:div>
        <w:div w:id="294149311">
          <w:marLeft w:val="0"/>
          <w:marRight w:val="0"/>
          <w:marTop w:val="0"/>
          <w:marBottom w:val="0"/>
          <w:divBdr>
            <w:top w:val="none" w:sz="0" w:space="0" w:color="auto"/>
            <w:left w:val="none" w:sz="0" w:space="0" w:color="auto"/>
            <w:bottom w:val="none" w:sz="0" w:space="0" w:color="auto"/>
            <w:right w:val="none" w:sz="0" w:space="0" w:color="auto"/>
          </w:divBdr>
        </w:div>
        <w:div w:id="294149317">
          <w:marLeft w:val="0"/>
          <w:marRight w:val="0"/>
          <w:marTop w:val="0"/>
          <w:marBottom w:val="0"/>
          <w:divBdr>
            <w:top w:val="none" w:sz="0" w:space="0" w:color="auto"/>
            <w:left w:val="none" w:sz="0" w:space="0" w:color="auto"/>
            <w:bottom w:val="none" w:sz="0" w:space="0" w:color="auto"/>
            <w:right w:val="none" w:sz="0" w:space="0" w:color="auto"/>
          </w:divBdr>
        </w:div>
        <w:div w:id="294149352">
          <w:marLeft w:val="0"/>
          <w:marRight w:val="0"/>
          <w:marTop w:val="0"/>
          <w:marBottom w:val="0"/>
          <w:divBdr>
            <w:top w:val="none" w:sz="0" w:space="0" w:color="auto"/>
            <w:left w:val="none" w:sz="0" w:space="0" w:color="auto"/>
            <w:bottom w:val="none" w:sz="0" w:space="0" w:color="auto"/>
            <w:right w:val="none" w:sz="0" w:space="0" w:color="auto"/>
          </w:divBdr>
        </w:div>
        <w:div w:id="294149383">
          <w:marLeft w:val="0"/>
          <w:marRight w:val="0"/>
          <w:marTop w:val="0"/>
          <w:marBottom w:val="0"/>
          <w:divBdr>
            <w:top w:val="none" w:sz="0" w:space="0" w:color="auto"/>
            <w:left w:val="none" w:sz="0" w:space="0" w:color="auto"/>
            <w:bottom w:val="none" w:sz="0" w:space="0" w:color="auto"/>
            <w:right w:val="none" w:sz="0" w:space="0" w:color="auto"/>
          </w:divBdr>
        </w:div>
        <w:div w:id="294149390">
          <w:marLeft w:val="0"/>
          <w:marRight w:val="0"/>
          <w:marTop w:val="0"/>
          <w:marBottom w:val="0"/>
          <w:divBdr>
            <w:top w:val="none" w:sz="0" w:space="0" w:color="auto"/>
            <w:left w:val="none" w:sz="0" w:space="0" w:color="auto"/>
            <w:bottom w:val="none" w:sz="0" w:space="0" w:color="auto"/>
            <w:right w:val="none" w:sz="0" w:space="0" w:color="auto"/>
          </w:divBdr>
        </w:div>
        <w:div w:id="294149459">
          <w:marLeft w:val="0"/>
          <w:marRight w:val="0"/>
          <w:marTop w:val="0"/>
          <w:marBottom w:val="0"/>
          <w:divBdr>
            <w:top w:val="none" w:sz="0" w:space="0" w:color="auto"/>
            <w:left w:val="none" w:sz="0" w:space="0" w:color="auto"/>
            <w:bottom w:val="none" w:sz="0" w:space="0" w:color="auto"/>
            <w:right w:val="none" w:sz="0" w:space="0" w:color="auto"/>
          </w:divBdr>
        </w:div>
        <w:div w:id="294149558">
          <w:marLeft w:val="0"/>
          <w:marRight w:val="0"/>
          <w:marTop w:val="0"/>
          <w:marBottom w:val="0"/>
          <w:divBdr>
            <w:top w:val="none" w:sz="0" w:space="0" w:color="auto"/>
            <w:left w:val="none" w:sz="0" w:space="0" w:color="auto"/>
            <w:bottom w:val="none" w:sz="0" w:space="0" w:color="auto"/>
            <w:right w:val="none" w:sz="0" w:space="0" w:color="auto"/>
          </w:divBdr>
        </w:div>
        <w:div w:id="294149629">
          <w:marLeft w:val="0"/>
          <w:marRight w:val="0"/>
          <w:marTop w:val="0"/>
          <w:marBottom w:val="0"/>
          <w:divBdr>
            <w:top w:val="none" w:sz="0" w:space="0" w:color="auto"/>
            <w:left w:val="none" w:sz="0" w:space="0" w:color="auto"/>
            <w:bottom w:val="none" w:sz="0" w:space="0" w:color="auto"/>
            <w:right w:val="none" w:sz="0" w:space="0" w:color="auto"/>
          </w:divBdr>
        </w:div>
        <w:div w:id="294149643">
          <w:marLeft w:val="0"/>
          <w:marRight w:val="0"/>
          <w:marTop w:val="0"/>
          <w:marBottom w:val="0"/>
          <w:divBdr>
            <w:top w:val="none" w:sz="0" w:space="0" w:color="auto"/>
            <w:left w:val="none" w:sz="0" w:space="0" w:color="auto"/>
            <w:bottom w:val="none" w:sz="0" w:space="0" w:color="auto"/>
            <w:right w:val="none" w:sz="0" w:space="0" w:color="auto"/>
          </w:divBdr>
        </w:div>
        <w:div w:id="294150015">
          <w:marLeft w:val="0"/>
          <w:marRight w:val="0"/>
          <w:marTop w:val="0"/>
          <w:marBottom w:val="0"/>
          <w:divBdr>
            <w:top w:val="none" w:sz="0" w:space="0" w:color="auto"/>
            <w:left w:val="none" w:sz="0" w:space="0" w:color="auto"/>
            <w:bottom w:val="none" w:sz="0" w:space="0" w:color="auto"/>
            <w:right w:val="none" w:sz="0" w:space="0" w:color="auto"/>
          </w:divBdr>
        </w:div>
        <w:div w:id="294150019">
          <w:marLeft w:val="0"/>
          <w:marRight w:val="0"/>
          <w:marTop w:val="0"/>
          <w:marBottom w:val="0"/>
          <w:divBdr>
            <w:top w:val="none" w:sz="0" w:space="0" w:color="auto"/>
            <w:left w:val="none" w:sz="0" w:space="0" w:color="auto"/>
            <w:bottom w:val="none" w:sz="0" w:space="0" w:color="auto"/>
            <w:right w:val="none" w:sz="0" w:space="0" w:color="auto"/>
          </w:divBdr>
        </w:div>
        <w:div w:id="294150140">
          <w:marLeft w:val="0"/>
          <w:marRight w:val="0"/>
          <w:marTop w:val="0"/>
          <w:marBottom w:val="0"/>
          <w:divBdr>
            <w:top w:val="none" w:sz="0" w:space="0" w:color="auto"/>
            <w:left w:val="none" w:sz="0" w:space="0" w:color="auto"/>
            <w:bottom w:val="none" w:sz="0" w:space="0" w:color="auto"/>
            <w:right w:val="none" w:sz="0" w:space="0" w:color="auto"/>
          </w:divBdr>
        </w:div>
        <w:div w:id="294150220">
          <w:marLeft w:val="0"/>
          <w:marRight w:val="0"/>
          <w:marTop w:val="0"/>
          <w:marBottom w:val="0"/>
          <w:divBdr>
            <w:top w:val="none" w:sz="0" w:space="0" w:color="auto"/>
            <w:left w:val="none" w:sz="0" w:space="0" w:color="auto"/>
            <w:bottom w:val="none" w:sz="0" w:space="0" w:color="auto"/>
            <w:right w:val="none" w:sz="0" w:space="0" w:color="auto"/>
          </w:divBdr>
        </w:div>
        <w:div w:id="294150285">
          <w:marLeft w:val="0"/>
          <w:marRight w:val="0"/>
          <w:marTop w:val="0"/>
          <w:marBottom w:val="0"/>
          <w:divBdr>
            <w:top w:val="none" w:sz="0" w:space="0" w:color="auto"/>
            <w:left w:val="none" w:sz="0" w:space="0" w:color="auto"/>
            <w:bottom w:val="none" w:sz="0" w:space="0" w:color="auto"/>
            <w:right w:val="none" w:sz="0" w:space="0" w:color="auto"/>
          </w:divBdr>
        </w:div>
        <w:div w:id="294150396">
          <w:marLeft w:val="0"/>
          <w:marRight w:val="0"/>
          <w:marTop w:val="0"/>
          <w:marBottom w:val="0"/>
          <w:divBdr>
            <w:top w:val="none" w:sz="0" w:space="0" w:color="auto"/>
            <w:left w:val="none" w:sz="0" w:space="0" w:color="auto"/>
            <w:bottom w:val="none" w:sz="0" w:space="0" w:color="auto"/>
            <w:right w:val="none" w:sz="0" w:space="0" w:color="auto"/>
          </w:divBdr>
        </w:div>
        <w:div w:id="294150432">
          <w:marLeft w:val="0"/>
          <w:marRight w:val="0"/>
          <w:marTop w:val="0"/>
          <w:marBottom w:val="0"/>
          <w:divBdr>
            <w:top w:val="none" w:sz="0" w:space="0" w:color="auto"/>
            <w:left w:val="none" w:sz="0" w:space="0" w:color="auto"/>
            <w:bottom w:val="none" w:sz="0" w:space="0" w:color="auto"/>
            <w:right w:val="none" w:sz="0" w:space="0" w:color="auto"/>
          </w:divBdr>
        </w:div>
        <w:div w:id="294150438">
          <w:marLeft w:val="0"/>
          <w:marRight w:val="0"/>
          <w:marTop w:val="0"/>
          <w:marBottom w:val="0"/>
          <w:divBdr>
            <w:top w:val="none" w:sz="0" w:space="0" w:color="auto"/>
            <w:left w:val="none" w:sz="0" w:space="0" w:color="auto"/>
            <w:bottom w:val="none" w:sz="0" w:space="0" w:color="auto"/>
            <w:right w:val="none" w:sz="0" w:space="0" w:color="auto"/>
          </w:divBdr>
        </w:div>
        <w:div w:id="294150495">
          <w:marLeft w:val="0"/>
          <w:marRight w:val="0"/>
          <w:marTop w:val="0"/>
          <w:marBottom w:val="0"/>
          <w:divBdr>
            <w:top w:val="none" w:sz="0" w:space="0" w:color="auto"/>
            <w:left w:val="none" w:sz="0" w:space="0" w:color="auto"/>
            <w:bottom w:val="none" w:sz="0" w:space="0" w:color="auto"/>
            <w:right w:val="none" w:sz="0" w:space="0" w:color="auto"/>
          </w:divBdr>
        </w:div>
        <w:div w:id="294150520">
          <w:marLeft w:val="0"/>
          <w:marRight w:val="0"/>
          <w:marTop w:val="0"/>
          <w:marBottom w:val="0"/>
          <w:divBdr>
            <w:top w:val="none" w:sz="0" w:space="0" w:color="auto"/>
            <w:left w:val="none" w:sz="0" w:space="0" w:color="auto"/>
            <w:bottom w:val="none" w:sz="0" w:space="0" w:color="auto"/>
            <w:right w:val="none" w:sz="0" w:space="0" w:color="auto"/>
          </w:divBdr>
        </w:div>
        <w:div w:id="294150554">
          <w:marLeft w:val="0"/>
          <w:marRight w:val="0"/>
          <w:marTop w:val="0"/>
          <w:marBottom w:val="0"/>
          <w:divBdr>
            <w:top w:val="none" w:sz="0" w:space="0" w:color="auto"/>
            <w:left w:val="none" w:sz="0" w:space="0" w:color="auto"/>
            <w:bottom w:val="none" w:sz="0" w:space="0" w:color="auto"/>
            <w:right w:val="none" w:sz="0" w:space="0" w:color="auto"/>
          </w:divBdr>
        </w:div>
        <w:div w:id="294150696">
          <w:marLeft w:val="0"/>
          <w:marRight w:val="0"/>
          <w:marTop w:val="0"/>
          <w:marBottom w:val="0"/>
          <w:divBdr>
            <w:top w:val="none" w:sz="0" w:space="0" w:color="auto"/>
            <w:left w:val="none" w:sz="0" w:space="0" w:color="auto"/>
            <w:bottom w:val="none" w:sz="0" w:space="0" w:color="auto"/>
            <w:right w:val="none" w:sz="0" w:space="0" w:color="auto"/>
          </w:divBdr>
        </w:div>
        <w:div w:id="294150701">
          <w:marLeft w:val="0"/>
          <w:marRight w:val="0"/>
          <w:marTop w:val="0"/>
          <w:marBottom w:val="0"/>
          <w:divBdr>
            <w:top w:val="none" w:sz="0" w:space="0" w:color="auto"/>
            <w:left w:val="none" w:sz="0" w:space="0" w:color="auto"/>
            <w:bottom w:val="none" w:sz="0" w:space="0" w:color="auto"/>
            <w:right w:val="none" w:sz="0" w:space="0" w:color="auto"/>
          </w:divBdr>
        </w:div>
        <w:div w:id="294150737">
          <w:marLeft w:val="0"/>
          <w:marRight w:val="0"/>
          <w:marTop w:val="0"/>
          <w:marBottom w:val="0"/>
          <w:divBdr>
            <w:top w:val="none" w:sz="0" w:space="0" w:color="auto"/>
            <w:left w:val="none" w:sz="0" w:space="0" w:color="auto"/>
            <w:bottom w:val="none" w:sz="0" w:space="0" w:color="auto"/>
            <w:right w:val="none" w:sz="0" w:space="0" w:color="auto"/>
          </w:divBdr>
        </w:div>
        <w:div w:id="294150847">
          <w:marLeft w:val="0"/>
          <w:marRight w:val="0"/>
          <w:marTop w:val="0"/>
          <w:marBottom w:val="0"/>
          <w:divBdr>
            <w:top w:val="none" w:sz="0" w:space="0" w:color="auto"/>
            <w:left w:val="none" w:sz="0" w:space="0" w:color="auto"/>
            <w:bottom w:val="none" w:sz="0" w:space="0" w:color="auto"/>
            <w:right w:val="none" w:sz="0" w:space="0" w:color="auto"/>
          </w:divBdr>
        </w:div>
        <w:div w:id="294150851">
          <w:marLeft w:val="0"/>
          <w:marRight w:val="0"/>
          <w:marTop w:val="0"/>
          <w:marBottom w:val="0"/>
          <w:divBdr>
            <w:top w:val="none" w:sz="0" w:space="0" w:color="auto"/>
            <w:left w:val="none" w:sz="0" w:space="0" w:color="auto"/>
            <w:bottom w:val="none" w:sz="0" w:space="0" w:color="auto"/>
            <w:right w:val="none" w:sz="0" w:space="0" w:color="auto"/>
          </w:divBdr>
        </w:div>
        <w:div w:id="294150935">
          <w:marLeft w:val="0"/>
          <w:marRight w:val="0"/>
          <w:marTop w:val="0"/>
          <w:marBottom w:val="0"/>
          <w:divBdr>
            <w:top w:val="none" w:sz="0" w:space="0" w:color="auto"/>
            <w:left w:val="none" w:sz="0" w:space="0" w:color="auto"/>
            <w:bottom w:val="none" w:sz="0" w:space="0" w:color="auto"/>
            <w:right w:val="none" w:sz="0" w:space="0" w:color="auto"/>
          </w:divBdr>
        </w:div>
        <w:div w:id="294151011">
          <w:marLeft w:val="0"/>
          <w:marRight w:val="0"/>
          <w:marTop w:val="0"/>
          <w:marBottom w:val="0"/>
          <w:divBdr>
            <w:top w:val="none" w:sz="0" w:space="0" w:color="auto"/>
            <w:left w:val="none" w:sz="0" w:space="0" w:color="auto"/>
            <w:bottom w:val="none" w:sz="0" w:space="0" w:color="auto"/>
            <w:right w:val="none" w:sz="0" w:space="0" w:color="auto"/>
          </w:divBdr>
        </w:div>
        <w:div w:id="294151031">
          <w:marLeft w:val="0"/>
          <w:marRight w:val="0"/>
          <w:marTop w:val="0"/>
          <w:marBottom w:val="0"/>
          <w:divBdr>
            <w:top w:val="none" w:sz="0" w:space="0" w:color="auto"/>
            <w:left w:val="none" w:sz="0" w:space="0" w:color="auto"/>
            <w:bottom w:val="none" w:sz="0" w:space="0" w:color="auto"/>
            <w:right w:val="none" w:sz="0" w:space="0" w:color="auto"/>
          </w:divBdr>
        </w:div>
        <w:div w:id="294151034">
          <w:marLeft w:val="0"/>
          <w:marRight w:val="0"/>
          <w:marTop w:val="0"/>
          <w:marBottom w:val="0"/>
          <w:divBdr>
            <w:top w:val="none" w:sz="0" w:space="0" w:color="auto"/>
            <w:left w:val="none" w:sz="0" w:space="0" w:color="auto"/>
            <w:bottom w:val="none" w:sz="0" w:space="0" w:color="auto"/>
            <w:right w:val="none" w:sz="0" w:space="0" w:color="auto"/>
          </w:divBdr>
        </w:div>
        <w:div w:id="294151135">
          <w:marLeft w:val="0"/>
          <w:marRight w:val="0"/>
          <w:marTop w:val="0"/>
          <w:marBottom w:val="0"/>
          <w:divBdr>
            <w:top w:val="none" w:sz="0" w:space="0" w:color="auto"/>
            <w:left w:val="none" w:sz="0" w:space="0" w:color="auto"/>
            <w:bottom w:val="none" w:sz="0" w:space="0" w:color="auto"/>
            <w:right w:val="none" w:sz="0" w:space="0" w:color="auto"/>
          </w:divBdr>
        </w:div>
        <w:div w:id="294151219">
          <w:marLeft w:val="0"/>
          <w:marRight w:val="0"/>
          <w:marTop w:val="0"/>
          <w:marBottom w:val="0"/>
          <w:divBdr>
            <w:top w:val="none" w:sz="0" w:space="0" w:color="auto"/>
            <w:left w:val="none" w:sz="0" w:space="0" w:color="auto"/>
            <w:bottom w:val="none" w:sz="0" w:space="0" w:color="auto"/>
            <w:right w:val="none" w:sz="0" w:space="0" w:color="auto"/>
          </w:divBdr>
        </w:div>
        <w:div w:id="294151278">
          <w:marLeft w:val="0"/>
          <w:marRight w:val="0"/>
          <w:marTop w:val="0"/>
          <w:marBottom w:val="0"/>
          <w:divBdr>
            <w:top w:val="none" w:sz="0" w:space="0" w:color="auto"/>
            <w:left w:val="none" w:sz="0" w:space="0" w:color="auto"/>
            <w:bottom w:val="none" w:sz="0" w:space="0" w:color="auto"/>
            <w:right w:val="none" w:sz="0" w:space="0" w:color="auto"/>
          </w:divBdr>
        </w:div>
        <w:div w:id="294151283">
          <w:marLeft w:val="0"/>
          <w:marRight w:val="0"/>
          <w:marTop w:val="0"/>
          <w:marBottom w:val="0"/>
          <w:divBdr>
            <w:top w:val="none" w:sz="0" w:space="0" w:color="auto"/>
            <w:left w:val="none" w:sz="0" w:space="0" w:color="auto"/>
            <w:bottom w:val="none" w:sz="0" w:space="0" w:color="auto"/>
            <w:right w:val="none" w:sz="0" w:space="0" w:color="auto"/>
          </w:divBdr>
        </w:div>
        <w:div w:id="294151374">
          <w:marLeft w:val="0"/>
          <w:marRight w:val="0"/>
          <w:marTop w:val="0"/>
          <w:marBottom w:val="0"/>
          <w:divBdr>
            <w:top w:val="none" w:sz="0" w:space="0" w:color="auto"/>
            <w:left w:val="none" w:sz="0" w:space="0" w:color="auto"/>
            <w:bottom w:val="none" w:sz="0" w:space="0" w:color="auto"/>
            <w:right w:val="none" w:sz="0" w:space="0" w:color="auto"/>
          </w:divBdr>
        </w:div>
        <w:div w:id="294151390">
          <w:marLeft w:val="0"/>
          <w:marRight w:val="0"/>
          <w:marTop w:val="0"/>
          <w:marBottom w:val="0"/>
          <w:divBdr>
            <w:top w:val="none" w:sz="0" w:space="0" w:color="auto"/>
            <w:left w:val="none" w:sz="0" w:space="0" w:color="auto"/>
            <w:bottom w:val="none" w:sz="0" w:space="0" w:color="auto"/>
            <w:right w:val="none" w:sz="0" w:space="0" w:color="auto"/>
          </w:divBdr>
        </w:div>
        <w:div w:id="294151451">
          <w:marLeft w:val="0"/>
          <w:marRight w:val="0"/>
          <w:marTop w:val="0"/>
          <w:marBottom w:val="0"/>
          <w:divBdr>
            <w:top w:val="none" w:sz="0" w:space="0" w:color="auto"/>
            <w:left w:val="none" w:sz="0" w:space="0" w:color="auto"/>
            <w:bottom w:val="none" w:sz="0" w:space="0" w:color="auto"/>
            <w:right w:val="none" w:sz="0" w:space="0" w:color="auto"/>
          </w:divBdr>
        </w:div>
        <w:div w:id="294151456">
          <w:marLeft w:val="0"/>
          <w:marRight w:val="0"/>
          <w:marTop w:val="0"/>
          <w:marBottom w:val="0"/>
          <w:divBdr>
            <w:top w:val="none" w:sz="0" w:space="0" w:color="auto"/>
            <w:left w:val="none" w:sz="0" w:space="0" w:color="auto"/>
            <w:bottom w:val="none" w:sz="0" w:space="0" w:color="auto"/>
            <w:right w:val="none" w:sz="0" w:space="0" w:color="auto"/>
          </w:divBdr>
        </w:div>
        <w:div w:id="294151571">
          <w:marLeft w:val="0"/>
          <w:marRight w:val="0"/>
          <w:marTop w:val="0"/>
          <w:marBottom w:val="0"/>
          <w:divBdr>
            <w:top w:val="none" w:sz="0" w:space="0" w:color="auto"/>
            <w:left w:val="none" w:sz="0" w:space="0" w:color="auto"/>
            <w:bottom w:val="none" w:sz="0" w:space="0" w:color="auto"/>
            <w:right w:val="none" w:sz="0" w:space="0" w:color="auto"/>
          </w:divBdr>
        </w:div>
        <w:div w:id="294151591">
          <w:marLeft w:val="0"/>
          <w:marRight w:val="0"/>
          <w:marTop w:val="0"/>
          <w:marBottom w:val="0"/>
          <w:divBdr>
            <w:top w:val="none" w:sz="0" w:space="0" w:color="auto"/>
            <w:left w:val="none" w:sz="0" w:space="0" w:color="auto"/>
            <w:bottom w:val="none" w:sz="0" w:space="0" w:color="auto"/>
            <w:right w:val="none" w:sz="0" w:space="0" w:color="auto"/>
          </w:divBdr>
        </w:div>
        <w:div w:id="294151632">
          <w:marLeft w:val="0"/>
          <w:marRight w:val="0"/>
          <w:marTop w:val="0"/>
          <w:marBottom w:val="0"/>
          <w:divBdr>
            <w:top w:val="none" w:sz="0" w:space="0" w:color="auto"/>
            <w:left w:val="none" w:sz="0" w:space="0" w:color="auto"/>
            <w:bottom w:val="none" w:sz="0" w:space="0" w:color="auto"/>
            <w:right w:val="none" w:sz="0" w:space="0" w:color="auto"/>
          </w:divBdr>
        </w:div>
        <w:div w:id="294151643">
          <w:marLeft w:val="0"/>
          <w:marRight w:val="0"/>
          <w:marTop w:val="0"/>
          <w:marBottom w:val="0"/>
          <w:divBdr>
            <w:top w:val="none" w:sz="0" w:space="0" w:color="auto"/>
            <w:left w:val="none" w:sz="0" w:space="0" w:color="auto"/>
            <w:bottom w:val="none" w:sz="0" w:space="0" w:color="auto"/>
            <w:right w:val="none" w:sz="0" w:space="0" w:color="auto"/>
          </w:divBdr>
        </w:div>
        <w:div w:id="294151894">
          <w:marLeft w:val="0"/>
          <w:marRight w:val="0"/>
          <w:marTop w:val="0"/>
          <w:marBottom w:val="0"/>
          <w:divBdr>
            <w:top w:val="none" w:sz="0" w:space="0" w:color="auto"/>
            <w:left w:val="none" w:sz="0" w:space="0" w:color="auto"/>
            <w:bottom w:val="none" w:sz="0" w:space="0" w:color="auto"/>
            <w:right w:val="none" w:sz="0" w:space="0" w:color="auto"/>
          </w:divBdr>
        </w:div>
        <w:div w:id="294151898">
          <w:marLeft w:val="0"/>
          <w:marRight w:val="0"/>
          <w:marTop w:val="0"/>
          <w:marBottom w:val="0"/>
          <w:divBdr>
            <w:top w:val="none" w:sz="0" w:space="0" w:color="auto"/>
            <w:left w:val="none" w:sz="0" w:space="0" w:color="auto"/>
            <w:bottom w:val="none" w:sz="0" w:space="0" w:color="auto"/>
            <w:right w:val="none" w:sz="0" w:space="0" w:color="auto"/>
          </w:divBdr>
        </w:div>
        <w:div w:id="294151914">
          <w:marLeft w:val="0"/>
          <w:marRight w:val="0"/>
          <w:marTop w:val="0"/>
          <w:marBottom w:val="0"/>
          <w:divBdr>
            <w:top w:val="none" w:sz="0" w:space="0" w:color="auto"/>
            <w:left w:val="none" w:sz="0" w:space="0" w:color="auto"/>
            <w:bottom w:val="none" w:sz="0" w:space="0" w:color="auto"/>
            <w:right w:val="none" w:sz="0" w:space="0" w:color="auto"/>
          </w:divBdr>
        </w:div>
        <w:div w:id="294151947">
          <w:marLeft w:val="0"/>
          <w:marRight w:val="0"/>
          <w:marTop w:val="0"/>
          <w:marBottom w:val="0"/>
          <w:divBdr>
            <w:top w:val="none" w:sz="0" w:space="0" w:color="auto"/>
            <w:left w:val="none" w:sz="0" w:space="0" w:color="auto"/>
            <w:bottom w:val="none" w:sz="0" w:space="0" w:color="auto"/>
            <w:right w:val="none" w:sz="0" w:space="0" w:color="auto"/>
          </w:divBdr>
        </w:div>
        <w:div w:id="294151984">
          <w:marLeft w:val="0"/>
          <w:marRight w:val="0"/>
          <w:marTop w:val="0"/>
          <w:marBottom w:val="0"/>
          <w:divBdr>
            <w:top w:val="none" w:sz="0" w:space="0" w:color="auto"/>
            <w:left w:val="none" w:sz="0" w:space="0" w:color="auto"/>
            <w:bottom w:val="none" w:sz="0" w:space="0" w:color="auto"/>
            <w:right w:val="none" w:sz="0" w:space="0" w:color="auto"/>
          </w:divBdr>
        </w:div>
        <w:div w:id="294152011">
          <w:marLeft w:val="0"/>
          <w:marRight w:val="0"/>
          <w:marTop w:val="0"/>
          <w:marBottom w:val="0"/>
          <w:divBdr>
            <w:top w:val="none" w:sz="0" w:space="0" w:color="auto"/>
            <w:left w:val="none" w:sz="0" w:space="0" w:color="auto"/>
            <w:bottom w:val="none" w:sz="0" w:space="0" w:color="auto"/>
            <w:right w:val="none" w:sz="0" w:space="0" w:color="auto"/>
          </w:divBdr>
        </w:div>
        <w:div w:id="294152019">
          <w:marLeft w:val="0"/>
          <w:marRight w:val="0"/>
          <w:marTop w:val="0"/>
          <w:marBottom w:val="0"/>
          <w:divBdr>
            <w:top w:val="none" w:sz="0" w:space="0" w:color="auto"/>
            <w:left w:val="none" w:sz="0" w:space="0" w:color="auto"/>
            <w:bottom w:val="none" w:sz="0" w:space="0" w:color="auto"/>
            <w:right w:val="none" w:sz="0" w:space="0" w:color="auto"/>
          </w:divBdr>
        </w:div>
        <w:div w:id="294152024">
          <w:marLeft w:val="0"/>
          <w:marRight w:val="0"/>
          <w:marTop w:val="0"/>
          <w:marBottom w:val="0"/>
          <w:divBdr>
            <w:top w:val="none" w:sz="0" w:space="0" w:color="auto"/>
            <w:left w:val="none" w:sz="0" w:space="0" w:color="auto"/>
            <w:bottom w:val="none" w:sz="0" w:space="0" w:color="auto"/>
            <w:right w:val="none" w:sz="0" w:space="0" w:color="auto"/>
          </w:divBdr>
        </w:div>
        <w:div w:id="294152044">
          <w:marLeft w:val="0"/>
          <w:marRight w:val="0"/>
          <w:marTop w:val="0"/>
          <w:marBottom w:val="0"/>
          <w:divBdr>
            <w:top w:val="none" w:sz="0" w:space="0" w:color="auto"/>
            <w:left w:val="none" w:sz="0" w:space="0" w:color="auto"/>
            <w:bottom w:val="none" w:sz="0" w:space="0" w:color="auto"/>
            <w:right w:val="none" w:sz="0" w:space="0" w:color="auto"/>
          </w:divBdr>
        </w:div>
        <w:div w:id="294152137">
          <w:marLeft w:val="0"/>
          <w:marRight w:val="0"/>
          <w:marTop w:val="0"/>
          <w:marBottom w:val="0"/>
          <w:divBdr>
            <w:top w:val="none" w:sz="0" w:space="0" w:color="auto"/>
            <w:left w:val="none" w:sz="0" w:space="0" w:color="auto"/>
            <w:bottom w:val="none" w:sz="0" w:space="0" w:color="auto"/>
            <w:right w:val="none" w:sz="0" w:space="0" w:color="auto"/>
          </w:divBdr>
        </w:div>
        <w:div w:id="294152153">
          <w:marLeft w:val="0"/>
          <w:marRight w:val="0"/>
          <w:marTop w:val="0"/>
          <w:marBottom w:val="0"/>
          <w:divBdr>
            <w:top w:val="none" w:sz="0" w:space="0" w:color="auto"/>
            <w:left w:val="none" w:sz="0" w:space="0" w:color="auto"/>
            <w:bottom w:val="none" w:sz="0" w:space="0" w:color="auto"/>
            <w:right w:val="none" w:sz="0" w:space="0" w:color="auto"/>
          </w:divBdr>
        </w:div>
        <w:div w:id="294152176">
          <w:marLeft w:val="0"/>
          <w:marRight w:val="0"/>
          <w:marTop w:val="0"/>
          <w:marBottom w:val="0"/>
          <w:divBdr>
            <w:top w:val="none" w:sz="0" w:space="0" w:color="auto"/>
            <w:left w:val="none" w:sz="0" w:space="0" w:color="auto"/>
            <w:bottom w:val="none" w:sz="0" w:space="0" w:color="auto"/>
            <w:right w:val="none" w:sz="0" w:space="0" w:color="auto"/>
          </w:divBdr>
        </w:div>
        <w:div w:id="294152266">
          <w:marLeft w:val="0"/>
          <w:marRight w:val="0"/>
          <w:marTop w:val="0"/>
          <w:marBottom w:val="0"/>
          <w:divBdr>
            <w:top w:val="none" w:sz="0" w:space="0" w:color="auto"/>
            <w:left w:val="none" w:sz="0" w:space="0" w:color="auto"/>
            <w:bottom w:val="none" w:sz="0" w:space="0" w:color="auto"/>
            <w:right w:val="none" w:sz="0" w:space="0" w:color="auto"/>
          </w:divBdr>
        </w:div>
        <w:div w:id="294152320">
          <w:marLeft w:val="0"/>
          <w:marRight w:val="0"/>
          <w:marTop w:val="0"/>
          <w:marBottom w:val="0"/>
          <w:divBdr>
            <w:top w:val="none" w:sz="0" w:space="0" w:color="auto"/>
            <w:left w:val="none" w:sz="0" w:space="0" w:color="auto"/>
            <w:bottom w:val="none" w:sz="0" w:space="0" w:color="auto"/>
            <w:right w:val="none" w:sz="0" w:space="0" w:color="auto"/>
          </w:divBdr>
        </w:div>
        <w:div w:id="294152358">
          <w:marLeft w:val="0"/>
          <w:marRight w:val="0"/>
          <w:marTop w:val="0"/>
          <w:marBottom w:val="0"/>
          <w:divBdr>
            <w:top w:val="none" w:sz="0" w:space="0" w:color="auto"/>
            <w:left w:val="none" w:sz="0" w:space="0" w:color="auto"/>
            <w:bottom w:val="none" w:sz="0" w:space="0" w:color="auto"/>
            <w:right w:val="none" w:sz="0" w:space="0" w:color="auto"/>
          </w:divBdr>
        </w:div>
        <w:div w:id="294152408">
          <w:marLeft w:val="0"/>
          <w:marRight w:val="0"/>
          <w:marTop w:val="0"/>
          <w:marBottom w:val="0"/>
          <w:divBdr>
            <w:top w:val="none" w:sz="0" w:space="0" w:color="auto"/>
            <w:left w:val="none" w:sz="0" w:space="0" w:color="auto"/>
            <w:bottom w:val="none" w:sz="0" w:space="0" w:color="auto"/>
            <w:right w:val="none" w:sz="0" w:space="0" w:color="auto"/>
          </w:divBdr>
        </w:div>
        <w:div w:id="294152417">
          <w:marLeft w:val="0"/>
          <w:marRight w:val="0"/>
          <w:marTop w:val="0"/>
          <w:marBottom w:val="0"/>
          <w:divBdr>
            <w:top w:val="none" w:sz="0" w:space="0" w:color="auto"/>
            <w:left w:val="none" w:sz="0" w:space="0" w:color="auto"/>
            <w:bottom w:val="none" w:sz="0" w:space="0" w:color="auto"/>
            <w:right w:val="none" w:sz="0" w:space="0" w:color="auto"/>
          </w:divBdr>
        </w:div>
        <w:div w:id="294152459">
          <w:marLeft w:val="0"/>
          <w:marRight w:val="0"/>
          <w:marTop w:val="0"/>
          <w:marBottom w:val="0"/>
          <w:divBdr>
            <w:top w:val="none" w:sz="0" w:space="0" w:color="auto"/>
            <w:left w:val="none" w:sz="0" w:space="0" w:color="auto"/>
            <w:bottom w:val="none" w:sz="0" w:space="0" w:color="auto"/>
            <w:right w:val="none" w:sz="0" w:space="0" w:color="auto"/>
          </w:divBdr>
        </w:div>
        <w:div w:id="294152480">
          <w:marLeft w:val="0"/>
          <w:marRight w:val="0"/>
          <w:marTop w:val="0"/>
          <w:marBottom w:val="0"/>
          <w:divBdr>
            <w:top w:val="none" w:sz="0" w:space="0" w:color="auto"/>
            <w:left w:val="none" w:sz="0" w:space="0" w:color="auto"/>
            <w:bottom w:val="none" w:sz="0" w:space="0" w:color="auto"/>
            <w:right w:val="none" w:sz="0" w:space="0" w:color="auto"/>
          </w:divBdr>
        </w:div>
        <w:div w:id="294152541">
          <w:marLeft w:val="0"/>
          <w:marRight w:val="0"/>
          <w:marTop w:val="0"/>
          <w:marBottom w:val="0"/>
          <w:divBdr>
            <w:top w:val="none" w:sz="0" w:space="0" w:color="auto"/>
            <w:left w:val="none" w:sz="0" w:space="0" w:color="auto"/>
            <w:bottom w:val="none" w:sz="0" w:space="0" w:color="auto"/>
            <w:right w:val="none" w:sz="0" w:space="0" w:color="auto"/>
          </w:divBdr>
        </w:div>
        <w:div w:id="294152546">
          <w:marLeft w:val="0"/>
          <w:marRight w:val="0"/>
          <w:marTop w:val="0"/>
          <w:marBottom w:val="0"/>
          <w:divBdr>
            <w:top w:val="none" w:sz="0" w:space="0" w:color="auto"/>
            <w:left w:val="none" w:sz="0" w:space="0" w:color="auto"/>
            <w:bottom w:val="none" w:sz="0" w:space="0" w:color="auto"/>
            <w:right w:val="none" w:sz="0" w:space="0" w:color="auto"/>
          </w:divBdr>
        </w:div>
        <w:div w:id="294152606">
          <w:marLeft w:val="0"/>
          <w:marRight w:val="0"/>
          <w:marTop w:val="0"/>
          <w:marBottom w:val="0"/>
          <w:divBdr>
            <w:top w:val="none" w:sz="0" w:space="0" w:color="auto"/>
            <w:left w:val="none" w:sz="0" w:space="0" w:color="auto"/>
            <w:bottom w:val="none" w:sz="0" w:space="0" w:color="auto"/>
            <w:right w:val="none" w:sz="0" w:space="0" w:color="auto"/>
          </w:divBdr>
        </w:div>
        <w:div w:id="294152670">
          <w:marLeft w:val="0"/>
          <w:marRight w:val="0"/>
          <w:marTop w:val="0"/>
          <w:marBottom w:val="0"/>
          <w:divBdr>
            <w:top w:val="none" w:sz="0" w:space="0" w:color="auto"/>
            <w:left w:val="none" w:sz="0" w:space="0" w:color="auto"/>
            <w:bottom w:val="none" w:sz="0" w:space="0" w:color="auto"/>
            <w:right w:val="none" w:sz="0" w:space="0" w:color="auto"/>
          </w:divBdr>
        </w:div>
        <w:div w:id="294152726">
          <w:marLeft w:val="0"/>
          <w:marRight w:val="0"/>
          <w:marTop w:val="0"/>
          <w:marBottom w:val="0"/>
          <w:divBdr>
            <w:top w:val="none" w:sz="0" w:space="0" w:color="auto"/>
            <w:left w:val="none" w:sz="0" w:space="0" w:color="auto"/>
            <w:bottom w:val="none" w:sz="0" w:space="0" w:color="auto"/>
            <w:right w:val="none" w:sz="0" w:space="0" w:color="auto"/>
          </w:divBdr>
        </w:div>
        <w:div w:id="294152751">
          <w:marLeft w:val="0"/>
          <w:marRight w:val="0"/>
          <w:marTop w:val="0"/>
          <w:marBottom w:val="0"/>
          <w:divBdr>
            <w:top w:val="none" w:sz="0" w:space="0" w:color="auto"/>
            <w:left w:val="none" w:sz="0" w:space="0" w:color="auto"/>
            <w:bottom w:val="none" w:sz="0" w:space="0" w:color="auto"/>
            <w:right w:val="none" w:sz="0" w:space="0" w:color="auto"/>
          </w:divBdr>
        </w:div>
        <w:div w:id="294152848">
          <w:marLeft w:val="0"/>
          <w:marRight w:val="0"/>
          <w:marTop w:val="0"/>
          <w:marBottom w:val="0"/>
          <w:divBdr>
            <w:top w:val="none" w:sz="0" w:space="0" w:color="auto"/>
            <w:left w:val="none" w:sz="0" w:space="0" w:color="auto"/>
            <w:bottom w:val="none" w:sz="0" w:space="0" w:color="auto"/>
            <w:right w:val="none" w:sz="0" w:space="0" w:color="auto"/>
          </w:divBdr>
        </w:div>
        <w:div w:id="294152893">
          <w:marLeft w:val="0"/>
          <w:marRight w:val="0"/>
          <w:marTop w:val="0"/>
          <w:marBottom w:val="0"/>
          <w:divBdr>
            <w:top w:val="none" w:sz="0" w:space="0" w:color="auto"/>
            <w:left w:val="none" w:sz="0" w:space="0" w:color="auto"/>
            <w:bottom w:val="none" w:sz="0" w:space="0" w:color="auto"/>
            <w:right w:val="none" w:sz="0" w:space="0" w:color="auto"/>
          </w:divBdr>
        </w:div>
        <w:div w:id="294152915">
          <w:marLeft w:val="0"/>
          <w:marRight w:val="0"/>
          <w:marTop w:val="0"/>
          <w:marBottom w:val="0"/>
          <w:divBdr>
            <w:top w:val="none" w:sz="0" w:space="0" w:color="auto"/>
            <w:left w:val="none" w:sz="0" w:space="0" w:color="auto"/>
            <w:bottom w:val="none" w:sz="0" w:space="0" w:color="auto"/>
            <w:right w:val="none" w:sz="0" w:space="0" w:color="auto"/>
          </w:divBdr>
        </w:div>
        <w:div w:id="294152926">
          <w:marLeft w:val="0"/>
          <w:marRight w:val="0"/>
          <w:marTop w:val="0"/>
          <w:marBottom w:val="0"/>
          <w:divBdr>
            <w:top w:val="none" w:sz="0" w:space="0" w:color="auto"/>
            <w:left w:val="none" w:sz="0" w:space="0" w:color="auto"/>
            <w:bottom w:val="none" w:sz="0" w:space="0" w:color="auto"/>
            <w:right w:val="none" w:sz="0" w:space="0" w:color="auto"/>
          </w:divBdr>
        </w:div>
        <w:div w:id="294153240">
          <w:marLeft w:val="0"/>
          <w:marRight w:val="0"/>
          <w:marTop w:val="0"/>
          <w:marBottom w:val="0"/>
          <w:divBdr>
            <w:top w:val="none" w:sz="0" w:space="0" w:color="auto"/>
            <w:left w:val="none" w:sz="0" w:space="0" w:color="auto"/>
            <w:bottom w:val="none" w:sz="0" w:space="0" w:color="auto"/>
            <w:right w:val="none" w:sz="0" w:space="0" w:color="auto"/>
          </w:divBdr>
        </w:div>
        <w:div w:id="294153242">
          <w:marLeft w:val="0"/>
          <w:marRight w:val="0"/>
          <w:marTop w:val="0"/>
          <w:marBottom w:val="0"/>
          <w:divBdr>
            <w:top w:val="none" w:sz="0" w:space="0" w:color="auto"/>
            <w:left w:val="none" w:sz="0" w:space="0" w:color="auto"/>
            <w:bottom w:val="none" w:sz="0" w:space="0" w:color="auto"/>
            <w:right w:val="none" w:sz="0" w:space="0" w:color="auto"/>
          </w:divBdr>
        </w:div>
        <w:div w:id="294153344">
          <w:marLeft w:val="0"/>
          <w:marRight w:val="0"/>
          <w:marTop w:val="0"/>
          <w:marBottom w:val="0"/>
          <w:divBdr>
            <w:top w:val="none" w:sz="0" w:space="0" w:color="auto"/>
            <w:left w:val="none" w:sz="0" w:space="0" w:color="auto"/>
            <w:bottom w:val="none" w:sz="0" w:space="0" w:color="auto"/>
            <w:right w:val="none" w:sz="0" w:space="0" w:color="auto"/>
          </w:divBdr>
        </w:div>
        <w:div w:id="294153345">
          <w:marLeft w:val="0"/>
          <w:marRight w:val="0"/>
          <w:marTop w:val="0"/>
          <w:marBottom w:val="0"/>
          <w:divBdr>
            <w:top w:val="none" w:sz="0" w:space="0" w:color="auto"/>
            <w:left w:val="none" w:sz="0" w:space="0" w:color="auto"/>
            <w:bottom w:val="none" w:sz="0" w:space="0" w:color="auto"/>
            <w:right w:val="none" w:sz="0" w:space="0" w:color="auto"/>
          </w:divBdr>
        </w:div>
        <w:div w:id="294153408">
          <w:marLeft w:val="0"/>
          <w:marRight w:val="0"/>
          <w:marTop w:val="0"/>
          <w:marBottom w:val="0"/>
          <w:divBdr>
            <w:top w:val="none" w:sz="0" w:space="0" w:color="auto"/>
            <w:left w:val="none" w:sz="0" w:space="0" w:color="auto"/>
            <w:bottom w:val="none" w:sz="0" w:space="0" w:color="auto"/>
            <w:right w:val="none" w:sz="0" w:space="0" w:color="auto"/>
          </w:divBdr>
        </w:div>
        <w:div w:id="294153433">
          <w:marLeft w:val="0"/>
          <w:marRight w:val="0"/>
          <w:marTop w:val="0"/>
          <w:marBottom w:val="0"/>
          <w:divBdr>
            <w:top w:val="none" w:sz="0" w:space="0" w:color="auto"/>
            <w:left w:val="none" w:sz="0" w:space="0" w:color="auto"/>
            <w:bottom w:val="none" w:sz="0" w:space="0" w:color="auto"/>
            <w:right w:val="none" w:sz="0" w:space="0" w:color="auto"/>
          </w:divBdr>
        </w:div>
        <w:div w:id="294153626">
          <w:marLeft w:val="0"/>
          <w:marRight w:val="0"/>
          <w:marTop w:val="0"/>
          <w:marBottom w:val="0"/>
          <w:divBdr>
            <w:top w:val="none" w:sz="0" w:space="0" w:color="auto"/>
            <w:left w:val="none" w:sz="0" w:space="0" w:color="auto"/>
            <w:bottom w:val="none" w:sz="0" w:space="0" w:color="auto"/>
            <w:right w:val="none" w:sz="0" w:space="0" w:color="auto"/>
          </w:divBdr>
        </w:div>
        <w:div w:id="294153630">
          <w:marLeft w:val="0"/>
          <w:marRight w:val="0"/>
          <w:marTop w:val="0"/>
          <w:marBottom w:val="0"/>
          <w:divBdr>
            <w:top w:val="none" w:sz="0" w:space="0" w:color="auto"/>
            <w:left w:val="none" w:sz="0" w:space="0" w:color="auto"/>
            <w:bottom w:val="none" w:sz="0" w:space="0" w:color="auto"/>
            <w:right w:val="none" w:sz="0" w:space="0" w:color="auto"/>
          </w:divBdr>
        </w:div>
        <w:div w:id="294153635">
          <w:marLeft w:val="0"/>
          <w:marRight w:val="0"/>
          <w:marTop w:val="0"/>
          <w:marBottom w:val="0"/>
          <w:divBdr>
            <w:top w:val="none" w:sz="0" w:space="0" w:color="auto"/>
            <w:left w:val="none" w:sz="0" w:space="0" w:color="auto"/>
            <w:bottom w:val="none" w:sz="0" w:space="0" w:color="auto"/>
            <w:right w:val="none" w:sz="0" w:space="0" w:color="auto"/>
          </w:divBdr>
        </w:div>
        <w:div w:id="294153651">
          <w:marLeft w:val="0"/>
          <w:marRight w:val="0"/>
          <w:marTop w:val="0"/>
          <w:marBottom w:val="0"/>
          <w:divBdr>
            <w:top w:val="none" w:sz="0" w:space="0" w:color="auto"/>
            <w:left w:val="none" w:sz="0" w:space="0" w:color="auto"/>
            <w:bottom w:val="none" w:sz="0" w:space="0" w:color="auto"/>
            <w:right w:val="none" w:sz="0" w:space="0" w:color="auto"/>
          </w:divBdr>
        </w:div>
        <w:div w:id="294153685">
          <w:marLeft w:val="0"/>
          <w:marRight w:val="0"/>
          <w:marTop w:val="0"/>
          <w:marBottom w:val="0"/>
          <w:divBdr>
            <w:top w:val="none" w:sz="0" w:space="0" w:color="auto"/>
            <w:left w:val="none" w:sz="0" w:space="0" w:color="auto"/>
            <w:bottom w:val="none" w:sz="0" w:space="0" w:color="auto"/>
            <w:right w:val="none" w:sz="0" w:space="0" w:color="auto"/>
          </w:divBdr>
        </w:div>
        <w:div w:id="294153740">
          <w:marLeft w:val="0"/>
          <w:marRight w:val="0"/>
          <w:marTop w:val="0"/>
          <w:marBottom w:val="0"/>
          <w:divBdr>
            <w:top w:val="none" w:sz="0" w:space="0" w:color="auto"/>
            <w:left w:val="none" w:sz="0" w:space="0" w:color="auto"/>
            <w:bottom w:val="none" w:sz="0" w:space="0" w:color="auto"/>
            <w:right w:val="none" w:sz="0" w:space="0" w:color="auto"/>
          </w:divBdr>
        </w:div>
        <w:div w:id="294153847">
          <w:marLeft w:val="0"/>
          <w:marRight w:val="0"/>
          <w:marTop w:val="0"/>
          <w:marBottom w:val="0"/>
          <w:divBdr>
            <w:top w:val="none" w:sz="0" w:space="0" w:color="auto"/>
            <w:left w:val="none" w:sz="0" w:space="0" w:color="auto"/>
            <w:bottom w:val="none" w:sz="0" w:space="0" w:color="auto"/>
            <w:right w:val="none" w:sz="0" w:space="0" w:color="auto"/>
          </w:divBdr>
        </w:div>
        <w:div w:id="294153923">
          <w:marLeft w:val="0"/>
          <w:marRight w:val="0"/>
          <w:marTop w:val="0"/>
          <w:marBottom w:val="0"/>
          <w:divBdr>
            <w:top w:val="none" w:sz="0" w:space="0" w:color="auto"/>
            <w:left w:val="none" w:sz="0" w:space="0" w:color="auto"/>
            <w:bottom w:val="none" w:sz="0" w:space="0" w:color="auto"/>
            <w:right w:val="none" w:sz="0" w:space="0" w:color="auto"/>
          </w:divBdr>
        </w:div>
        <w:div w:id="294154098">
          <w:marLeft w:val="0"/>
          <w:marRight w:val="0"/>
          <w:marTop w:val="0"/>
          <w:marBottom w:val="0"/>
          <w:divBdr>
            <w:top w:val="none" w:sz="0" w:space="0" w:color="auto"/>
            <w:left w:val="none" w:sz="0" w:space="0" w:color="auto"/>
            <w:bottom w:val="none" w:sz="0" w:space="0" w:color="auto"/>
            <w:right w:val="none" w:sz="0" w:space="0" w:color="auto"/>
          </w:divBdr>
        </w:div>
        <w:div w:id="294154205">
          <w:marLeft w:val="0"/>
          <w:marRight w:val="0"/>
          <w:marTop w:val="0"/>
          <w:marBottom w:val="0"/>
          <w:divBdr>
            <w:top w:val="none" w:sz="0" w:space="0" w:color="auto"/>
            <w:left w:val="none" w:sz="0" w:space="0" w:color="auto"/>
            <w:bottom w:val="none" w:sz="0" w:space="0" w:color="auto"/>
            <w:right w:val="none" w:sz="0" w:space="0" w:color="auto"/>
          </w:divBdr>
        </w:div>
        <w:div w:id="294154214">
          <w:marLeft w:val="0"/>
          <w:marRight w:val="0"/>
          <w:marTop w:val="0"/>
          <w:marBottom w:val="0"/>
          <w:divBdr>
            <w:top w:val="none" w:sz="0" w:space="0" w:color="auto"/>
            <w:left w:val="none" w:sz="0" w:space="0" w:color="auto"/>
            <w:bottom w:val="none" w:sz="0" w:space="0" w:color="auto"/>
            <w:right w:val="none" w:sz="0" w:space="0" w:color="auto"/>
          </w:divBdr>
        </w:div>
        <w:div w:id="294154265">
          <w:marLeft w:val="0"/>
          <w:marRight w:val="0"/>
          <w:marTop w:val="0"/>
          <w:marBottom w:val="0"/>
          <w:divBdr>
            <w:top w:val="none" w:sz="0" w:space="0" w:color="auto"/>
            <w:left w:val="none" w:sz="0" w:space="0" w:color="auto"/>
            <w:bottom w:val="none" w:sz="0" w:space="0" w:color="auto"/>
            <w:right w:val="none" w:sz="0" w:space="0" w:color="auto"/>
          </w:divBdr>
        </w:div>
        <w:div w:id="294154329">
          <w:marLeft w:val="0"/>
          <w:marRight w:val="0"/>
          <w:marTop w:val="0"/>
          <w:marBottom w:val="0"/>
          <w:divBdr>
            <w:top w:val="none" w:sz="0" w:space="0" w:color="auto"/>
            <w:left w:val="none" w:sz="0" w:space="0" w:color="auto"/>
            <w:bottom w:val="none" w:sz="0" w:space="0" w:color="auto"/>
            <w:right w:val="none" w:sz="0" w:space="0" w:color="auto"/>
          </w:divBdr>
        </w:div>
        <w:div w:id="294154403">
          <w:marLeft w:val="0"/>
          <w:marRight w:val="0"/>
          <w:marTop w:val="0"/>
          <w:marBottom w:val="0"/>
          <w:divBdr>
            <w:top w:val="none" w:sz="0" w:space="0" w:color="auto"/>
            <w:left w:val="none" w:sz="0" w:space="0" w:color="auto"/>
            <w:bottom w:val="none" w:sz="0" w:space="0" w:color="auto"/>
            <w:right w:val="none" w:sz="0" w:space="0" w:color="auto"/>
          </w:divBdr>
        </w:div>
        <w:div w:id="294154404">
          <w:marLeft w:val="0"/>
          <w:marRight w:val="0"/>
          <w:marTop w:val="0"/>
          <w:marBottom w:val="0"/>
          <w:divBdr>
            <w:top w:val="none" w:sz="0" w:space="0" w:color="auto"/>
            <w:left w:val="none" w:sz="0" w:space="0" w:color="auto"/>
            <w:bottom w:val="none" w:sz="0" w:space="0" w:color="auto"/>
            <w:right w:val="none" w:sz="0" w:space="0" w:color="auto"/>
          </w:divBdr>
        </w:div>
        <w:div w:id="294154409">
          <w:marLeft w:val="0"/>
          <w:marRight w:val="0"/>
          <w:marTop w:val="0"/>
          <w:marBottom w:val="0"/>
          <w:divBdr>
            <w:top w:val="none" w:sz="0" w:space="0" w:color="auto"/>
            <w:left w:val="none" w:sz="0" w:space="0" w:color="auto"/>
            <w:bottom w:val="none" w:sz="0" w:space="0" w:color="auto"/>
            <w:right w:val="none" w:sz="0" w:space="0" w:color="auto"/>
          </w:divBdr>
        </w:div>
        <w:div w:id="294154411">
          <w:marLeft w:val="0"/>
          <w:marRight w:val="0"/>
          <w:marTop w:val="0"/>
          <w:marBottom w:val="0"/>
          <w:divBdr>
            <w:top w:val="none" w:sz="0" w:space="0" w:color="auto"/>
            <w:left w:val="none" w:sz="0" w:space="0" w:color="auto"/>
            <w:bottom w:val="none" w:sz="0" w:space="0" w:color="auto"/>
            <w:right w:val="none" w:sz="0" w:space="0" w:color="auto"/>
          </w:divBdr>
        </w:div>
        <w:div w:id="294154505">
          <w:marLeft w:val="0"/>
          <w:marRight w:val="0"/>
          <w:marTop w:val="0"/>
          <w:marBottom w:val="0"/>
          <w:divBdr>
            <w:top w:val="none" w:sz="0" w:space="0" w:color="auto"/>
            <w:left w:val="none" w:sz="0" w:space="0" w:color="auto"/>
            <w:bottom w:val="none" w:sz="0" w:space="0" w:color="auto"/>
            <w:right w:val="none" w:sz="0" w:space="0" w:color="auto"/>
          </w:divBdr>
        </w:div>
        <w:div w:id="294154510">
          <w:marLeft w:val="0"/>
          <w:marRight w:val="0"/>
          <w:marTop w:val="0"/>
          <w:marBottom w:val="0"/>
          <w:divBdr>
            <w:top w:val="none" w:sz="0" w:space="0" w:color="auto"/>
            <w:left w:val="none" w:sz="0" w:space="0" w:color="auto"/>
            <w:bottom w:val="none" w:sz="0" w:space="0" w:color="auto"/>
            <w:right w:val="none" w:sz="0" w:space="0" w:color="auto"/>
          </w:divBdr>
        </w:div>
        <w:div w:id="294154573">
          <w:marLeft w:val="0"/>
          <w:marRight w:val="0"/>
          <w:marTop w:val="0"/>
          <w:marBottom w:val="0"/>
          <w:divBdr>
            <w:top w:val="none" w:sz="0" w:space="0" w:color="auto"/>
            <w:left w:val="none" w:sz="0" w:space="0" w:color="auto"/>
            <w:bottom w:val="none" w:sz="0" w:space="0" w:color="auto"/>
            <w:right w:val="none" w:sz="0" w:space="0" w:color="auto"/>
          </w:divBdr>
        </w:div>
        <w:div w:id="294154591">
          <w:marLeft w:val="0"/>
          <w:marRight w:val="0"/>
          <w:marTop w:val="0"/>
          <w:marBottom w:val="0"/>
          <w:divBdr>
            <w:top w:val="none" w:sz="0" w:space="0" w:color="auto"/>
            <w:left w:val="none" w:sz="0" w:space="0" w:color="auto"/>
            <w:bottom w:val="none" w:sz="0" w:space="0" w:color="auto"/>
            <w:right w:val="none" w:sz="0" w:space="0" w:color="auto"/>
          </w:divBdr>
        </w:div>
        <w:div w:id="294154690">
          <w:marLeft w:val="0"/>
          <w:marRight w:val="0"/>
          <w:marTop w:val="0"/>
          <w:marBottom w:val="0"/>
          <w:divBdr>
            <w:top w:val="none" w:sz="0" w:space="0" w:color="auto"/>
            <w:left w:val="none" w:sz="0" w:space="0" w:color="auto"/>
            <w:bottom w:val="none" w:sz="0" w:space="0" w:color="auto"/>
            <w:right w:val="none" w:sz="0" w:space="0" w:color="auto"/>
          </w:divBdr>
        </w:div>
        <w:div w:id="294154756">
          <w:marLeft w:val="0"/>
          <w:marRight w:val="0"/>
          <w:marTop w:val="0"/>
          <w:marBottom w:val="0"/>
          <w:divBdr>
            <w:top w:val="none" w:sz="0" w:space="0" w:color="auto"/>
            <w:left w:val="none" w:sz="0" w:space="0" w:color="auto"/>
            <w:bottom w:val="none" w:sz="0" w:space="0" w:color="auto"/>
            <w:right w:val="none" w:sz="0" w:space="0" w:color="auto"/>
          </w:divBdr>
        </w:div>
        <w:div w:id="294154769">
          <w:marLeft w:val="0"/>
          <w:marRight w:val="0"/>
          <w:marTop w:val="0"/>
          <w:marBottom w:val="0"/>
          <w:divBdr>
            <w:top w:val="none" w:sz="0" w:space="0" w:color="auto"/>
            <w:left w:val="none" w:sz="0" w:space="0" w:color="auto"/>
            <w:bottom w:val="none" w:sz="0" w:space="0" w:color="auto"/>
            <w:right w:val="none" w:sz="0" w:space="0" w:color="auto"/>
          </w:divBdr>
        </w:div>
        <w:div w:id="294155004">
          <w:marLeft w:val="0"/>
          <w:marRight w:val="0"/>
          <w:marTop w:val="0"/>
          <w:marBottom w:val="0"/>
          <w:divBdr>
            <w:top w:val="none" w:sz="0" w:space="0" w:color="auto"/>
            <w:left w:val="none" w:sz="0" w:space="0" w:color="auto"/>
            <w:bottom w:val="none" w:sz="0" w:space="0" w:color="auto"/>
            <w:right w:val="none" w:sz="0" w:space="0" w:color="auto"/>
          </w:divBdr>
        </w:div>
        <w:div w:id="294155112">
          <w:marLeft w:val="0"/>
          <w:marRight w:val="0"/>
          <w:marTop w:val="0"/>
          <w:marBottom w:val="0"/>
          <w:divBdr>
            <w:top w:val="none" w:sz="0" w:space="0" w:color="auto"/>
            <w:left w:val="none" w:sz="0" w:space="0" w:color="auto"/>
            <w:bottom w:val="none" w:sz="0" w:space="0" w:color="auto"/>
            <w:right w:val="none" w:sz="0" w:space="0" w:color="auto"/>
          </w:divBdr>
        </w:div>
        <w:div w:id="294155231">
          <w:marLeft w:val="0"/>
          <w:marRight w:val="0"/>
          <w:marTop w:val="0"/>
          <w:marBottom w:val="0"/>
          <w:divBdr>
            <w:top w:val="none" w:sz="0" w:space="0" w:color="auto"/>
            <w:left w:val="none" w:sz="0" w:space="0" w:color="auto"/>
            <w:bottom w:val="none" w:sz="0" w:space="0" w:color="auto"/>
            <w:right w:val="none" w:sz="0" w:space="0" w:color="auto"/>
          </w:divBdr>
        </w:div>
        <w:div w:id="294155250">
          <w:marLeft w:val="0"/>
          <w:marRight w:val="0"/>
          <w:marTop w:val="0"/>
          <w:marBottom w:val="0"/>
          <w:divBdr>
            <w:top w:val="none" w:sz="0" w:space="0" w:color="auto"/>
            <w:left w:val="none" w:sz="0" w:space="0" w:color="auto"/>
            <w:bottom w:val="none" w:sz="0" w:space="0" w:color="auto"/>
            <w:right w:val="none" w:sz="0" w:space="0" w:color="auto"/>
          </w:divBdr>
        </w:div>
        <w:div w:id="294155293">
          <w:marLeft w:val="0"/>
          <w:marRight w:val="0"/>
          <w:marTop w:val="0"/>
          <w:marBottom w:val="0"/>
          <w:divBdr>
            <w:top w:val="none" w:sz="0" w:space="0" w:color="auto"/>
            <w:left w:val="none" w:sz="0" w:space="0" w:color="auto"/>
            <w:bottom w:val="none" w:sz="0" w:space="0" w:color="auto"/>
            <w:right w:val="none" w:sz="0" w:space="0" w:color="auto"/>
          </w:divBdr>
        </w:div>
        <w:div w:id="294155624">
          <w:marLeft w:val="0"/>
          <w:marRight w:val="0"/>
          <w:marTop w:val="0"/>
          <w:marBottom w:val="0"/>
          <w:divBdr>
            <w:top w:val="none" w:sz="0" w:space="0" w:color="auto"/>
            <w:left w:val="none" w:sz="0" w:space="0" w:color="auto"/>
            <w:bottom w:val="none" w:sz="0" w:space="0" w:color="auto"/>
            <w:right w:val="none" w:sz="0" w:space="0" w:color="auto"/>
          </w:divBdr>
        </w:div>
        <w:div w:id="294155629">
          <w:marLeft w:val="0"/>
          <w:marRight w:val="0"/>
          <w:marTop w:val="0"/>
          <w:marBottom w:val="0"/>
          <w:divBdr>
            <w:top w:val="none" w:sz="0" w:space="0" w:color="auto"/>
            <w:left w:val="none" w:sz="0" w:space="0" w:color="auto"/>
            <w:bottom w:val="none" w:sz="0" w:space="0" w:color="auto"/>
            <w:right w:val="none" w:sz="0" w:space="0" w:color="auto"/>
          </w:divBdr>
        </w:div>
        <w:div w:id="294155672">
          <w:marLeft w:val="0"/>
          <w:marRight w:val="0"/>
          <w:marTop w:val="0"/>
          <w:marBottom w:val="0"/>
          <w:divBdr>
            <w:top w:val="none" w:sz="0" w:space="0" w:color="auto"/>
            <w:left w:val="none" w:sz="0" w:space="0" w:color="auto"/>
            <w:bottom w:val="none" w:sz="0" w:space="0" w:color="auto"/>
            <w:right w:val="none" w:sz="0" w:space="0" w:color="auto"/>
          </w:divBdr>
        </w:div>
        <w:div w:id="294155717">
          <w:marLeft w:val="0"/>
          <w:marRight w:val="0"/>
          <w:marTop w:val="0"/>
          <w:marBottom w:val="0"/>
          <w:divBdr>
            <w:top w:val="none" w:sz="0" w:space="0" w:color="auto"/>
            <w:left w:val="none" w:sz="0" w:space="0" w:color="auto"/>
            <w:bottom w:val="none" w:sz="0" w:space="0" w:color="auto"/>
            <w:right w:val="none" w:sz="0" w:space="0" w:color="auto"/>
          </w:divBdr>
        </w:div>
        <w:div w:id="294155758">
          <w:marLeft w:val="0"/>
          <w:marRight w:val="0"/>
          <w:marTop w:val="0"/>
          <w:marBottom w:val="0"/>
          <w:divBdr>
            <w:top w:val="none" w:sz="0" w:space="0" w:color="auto"/>
            <w:left w:val="none" w:sz="0" w:space="0" w:color="auto"/>
            <w:bottom w:val="none" w:sz="0" w:space="0" w:color="auto"/>
            <w:right w:val="none" w:sz="0" w:space="0" w:color="auto"/>
          </w:divBdr>
        </w:div>
        <w:div w:id="294155769">
          <w:marLeft w:val="0"/>
          <w:marRight w:val="0"/>
          <w:marTop w:val="0"/>
          <w:marBottom w:val="0"/>
          <w:divBdr>
            <w:top w:val="none" w:sz="0" w:space="0" w:color="auto"/>
            <w:left w:val="none" w:sz="0" w:space="0" w:color="auto"/>
            <w:bottom w:val="none" w:sz="0" w:space="0" w:color="auto"/>
            <w:right w:val="none" w:sz="0" w:space="0" w:color="auto"/>
          </w:divBdr>
        </w:div>
        <w:div w:id="294155849">
          <w:marLeft w:val="0"/>
          <w:marRight w:val="0"/>
          <w:marTop w:val="0"/>
          <w:marBottom w:val="0"/>
          <w:divBdr>
            <w:top w:val="none" w:sz="0" w:space="0" w:color="auto"/>
            <w:left w:val="none" w:sz="0" w:space="0" w:color="auto"/>
            <w:bottom w:val="none" w:sz="0" w:space="0" w:color="auto"/>
            <w:right w:val="none" w:sz="0" w:space="0" w:color="auto"/>
          </w:divBdr>
        </w:div>
        <w:div w:id="294155928">
          <w:marLeft w:val="0"/>
          <w:marRight w:val="0"/>
          <w:marTop w:val="0"/>
          <w:marBottom w:val="0"/>
          <w:divBdr>
            <w:top w:val="none" w:sz="0" w:space="0" w:color="auto"/>
            <w:left w:val="none" w:sz="0" w:space="0" w:color="auto"/>
            <w:bottom w:val="none" w:sz="0" w:space="0" w:color="auto"/>
            <w:right w:val="none" w:sz="0" w:space="0" w:color="auto"/>
          </w:divBdr>
        </w:div>
        <w:div w:id="294156014">
          <w:marLeft w:val="0"/>
          <w:marRight w:val="0"/>
          <w:marTop w:val="0"/>
          <w:marBottom w:val="0"/>
          <w:divBdr>
            <w:top w:val="none" w:sz="0" w:space="0" w:color="auto"/>
            <w:left w:val="none" w:sz="0" w:space="0" w:color="auto"/>
            <w:bottom w:val="none" w:sz="0" w:space="0" w:color="auto"/>
            <w:right w:val="none" w:sz="0" w:space="0" w:color="auto"/>
          </w:divBdr>
        </w:div>
        <w:div w:id="294156021">
          <w:marLeft w:val="0"/>
          <w:marRight w:val="0"/>
          <w:marTop w:val="0"/>
          <w:marBottom w:val="0"/>
          <w:divBdr>
            <w:top w:val="none" w:sz="0" w:space="0" w:color="auto"/>
            <w:left w:val="none" w:sz="0" w:space="0" w:color="auto"/>
            <w:bottom w:val="none" w:sz="0" w:space="0" w:color="auto"/>
            <w:right w:val="none" w:sz="0" w:space="0" w:color="auto"/>
          </w:divBdr>
        </w:div>
        <w:div w:id="294156155">
          <w:marLeft w:val="0"/>
          <w:marRight w:val="0"/>
          <w:marTop w:val="0"/>
          <w:marBottom w:val="0"/>
          <w:divBdr>
            <w:top w:val="none" w:sz="0" w:space="0" w:color="auto"/>
            <w:left w:val="none" w:sz="0" w:space="0" w:color="auto"/>
            <w:bottom w:val="none" w:sz="0" w:space="0" w:color="auto"/>
            <w:right w:val="none" w:sz="0" w:space="0" w:color="auto"/>
          </w:divBdr>
        </w:div>
        <w:div w:id="294156207">
          <w:marLeft w:val="0"/>
          <w:marRight w:val="0"/>
          <w:marTop w:val="0"/>
          <w:marBottom w:val="0"/>
          <w:divBdr>
            <w:top w:val="none" w:sz="0" w:space="0" w:color="auto"/>
            <w:left w:val="none" w:sz="0" w:space="0" w:color="auto"/>
            <w:bottom w:val="none" w:sz="0" w:space="0" w:color="auto"/>
            <w:right w:val="none" w:sz="0" w:space="0" w:color="auto"/>
          </w:divBdr>
        </w:div>
        <w:div w:id="294156339">
          <w:marLeft w:val="0"/>
          <w:marRight w:val="0"/>
          <w:marTop w:val="0"/>
          <w:marBottom w:val="0"/>
          <w:divBdr>
            <w:top w:val="none" w:sz="0" w:space="0" w:color="auto"/>
            <w:left w:val="none" w:sz="0" w:space="0" w:color="auto"/>
            <w:bottom w:val="none" w:sz="0" w:space="0" w:color="auto"/>
            <w:right w:val="none" w:sz="0" w:space="0" w:color="auto"/>
          </w:divBdr>
        </w:div>
        <w:div w:id="294156527">
          <w:marLeft w:val="0"/>
          <w:marRight w:val="0"/>
          <w:marTop w:val="0"/>
          <w:marBottom w:val="0"/>
          <w:divBdr>
            <w:top w:val="none" w:sz="0" w:space="0" w:color="auto"/>
            <w:left w:val="none" w:sz="0" w:space="0" w:color="auto"/>
            <w:bottom w:val="none" w:sz="0" w:space="0" w:color="auto"/>
            <w:right w:val="none" w:sz="0" w:space="0" w:color="auto"/>
          </w:divBdr>
        </w:div>
        <w:div w:id="294156552">
          <w:marLeft w:val="0"/>
          <w:marRight w:val="0"/>
          <w:marTop w:val="0"/>
          <w:marBottom w:val="0"/>
          <w:divBdr>
            <w:top w:val="none" w:sz="0" w:space="0" w:color="auto"/>
            <w:left w:val="none" w:sz="0" w:space="0" w:color="auto"/>
            <w:bottom w:val="none" w:sz="0" w:space="0" w:color="auto"/>
            <w:right w:val="none" w:sz="0" w:space="0" w:color="auto"/>
          </w:divBdr>
        </w:div>
        <w:div w:id="294156582">
          <w:marLeft w:val="0"/>
          <w:marRight w:val="0"/>
          <w:marTop w:val="0"/>
          <w:marBottom w:val="0"/>
          <w:divBdr>
            <w:top w:val="none" w:sz="0" w:space="0" w:color="auto"/>
            <w:left w:val="none" w:sz="0" w:space="0" w:color="auto"/>
            <w:bottom w:val="none" w:sz="0" w:space="0" w:color="auto"/>
            <w:right w:val="none" w:sz="0" w:space="0" w:color="auto"/>
          </w:divBdr>
        </w:div>
        <w:div w:id="294156687">
          <w:marLeft w:val="0"/>
          <w:marRight w:val="0"/>
          <w:marTop w:val="0"/>
          <w:marBottom w:val="0"/>
          <w:divBdr>
            <w:top w:val="none" w:sz="0" w:space="0" w:color="auto"/>
            <w:left w:val="none" w:sz="0" w:space="0" w:color="auto"/>
            <w:bottom w:val="none" w:sz="0" w:space="0" w:color="auto"/>
            <w:right w:val="none" w:sz="0" w:space="0" w:color="auto"/>
          </w:divBdr>
        </w:div>
        <w:div w:id="294156746">
          <w:marLeft w:val="0"/>
          <w:marRight w:val="0"/>
          <w:marTop w:val="0"/>
          <w:marBottom w:val="0"/>
          <w:divBdr>
            <w:top w:val="none" w:sz="0" w:space="0" w:color="auto"/>
            <w:left w:val="none" w:sz="0" w:space="0" w:color="auto"/>
            <w:bottom w:val="none" w:sz="0" w:space="0" w:color="auto"/>
            <w:right w:val="none" w:sz="0" w:space="0" w:color="auto"/>
          </w:divBdr>
        </w:div>
        <w:div w:id="294156810">
          <w:marLeft w:val="0"/>
          <w:marRight w:val="0"/>
          <w:marTop w:val="0"/>
          <w:marBottom w:val="0"/>
          <w:divBdr>
            <w:top w:val="none" w:sz="0" w:space="0" w:color="auto"/>
            <w:left w:val="none" w:sz="0" w:space="0" w:color="auto"/>
            <w:bottom w:val="none" w:sz="0" w:space="0" w:color="auto"/>
            <w:right w:val="none" w:sz="0" w:space="0" w:color="auto"/>
          </w:divBdr>
        </w:div>
        <w:div w:id="294156812">
          <w:marLeft w:val="0"/>
          <w:marRight w:val="0"/>
          <w:marTop w:val="0"/>
          <w:marBottom w:val="0"/>
          <w:divBdr>
            <w:top w:val="none" w:sz="0" w:space="0" w:color="auto"/>
            <w:left w:val="none" w:sz="0" w:space="0" w:color="auto"/>
            <w:bottom w:val="none" w:sz="0" w:space="0" w:color="auto"/>
            <w:right w:val="none" w:sz="0" w:space="0" w:color="auto"/>
          </w:divBdr>
        </w:div>
        <w:div w:id="294156860">
          <w:marLeft w:val="0"/>
          <w:marRight w:val="0"/>
          <w:marTop w:val="0"/>
          <w:marBottom w:val="0"/>
          <w:divBdr>
            <w:top w:val="none" w:sz="0" w:space="0" w:color="auto"/>
            <w:left w:val="none" w:sz="0" w:space="0" w:color="auto"/>
            <w:bottom w:val="none" w:sz="0" w:space="0" w:color="auto"/>
            <w:right w:val="none" w:sz="0" w:space="0" w:color="auto"/>
          </w:divBdr>
        </w:div>
        <w:div w:id="294156921">
          <w:marLeft w:val="0"/>
          <w:marRight w:val="0"/>
          <w:marTop w:val="0"/>
          <w:marBottom w:val="0"/>
          <w:divBdr>
            <w:top w:val="none" w:sz="0" w:space="0" w:color="auto"/>
            <w:left w:val="none" w:sz="0" w:space="0" w:color="auto"/>
            <w:bottom w:val="none" w:sz="0" w:space="0" w:color="auto"/>
            <w:right w:val="none" w:sz="0" w:space="0" w:color="auto"/>
          </w:divBdr>
        </w:div>
        <w:div w:id="294156936">
          <w:marLeft w:val="0"/>
          <w:marRight w:val="0"/>
          <w:marTop w:val="0"/>
          <w:marBottom w:val="0"/>
          <w:divBdr>
            <w:top w:val="none" w:sz="0" w:space="0" w:color="auto"/>
            <w:left w:val="none" w:sz="0" w:space="0" w:color="auto"/>
            <w:bottom w:val="none" w:sz="0" w:space="0" w:color="auto"/>
            <w:right w:val="none" w:sz="0" w:space="0" w:color="auto"/>
          </w:divBdr>
        </w:div>
        <w:div w:id="294156977">
          <w:marLeft w:val="0"/>
          <w:marRight w:val="0"/>
          <w:marTop w:val="0"/>
          <w:marBottom w:val="0"/>
          <w:divBdr>
            <w:top w:val="none" w:sz="0" w:space="0" w:color="auto"/>
            <w:left w:val="none" w:sz="0" w:space="0" w:color="auto"/>
            <w:bottom w:val="none" w:sz="0" w:space="0" w:color="auto"/>
            <w:right w:val="none" w:sz="0" w:space="0" w:color="auto"/>
          </w:divBdr>
        </w:div>
        <w:div w:id="294156997">
          <w:marLeft w:val="0"/>
          <w:marRight w:val="0"/>
          <w:marTop w:val="0"/>
          <w:marBottom w:val="0"/>
          <w:divBdr>
            <w:top w:val="none" w:sz="0" w:space="0" w:color="auto"/>
            <w:left w:val="none" w:sz="0" w:space="0" w:color="auto"/>
            <w:bottom w:val="none" w:sz="0" w:space="0" w:color="auto"/>
            <w:right w:val="none" w:sz="0" w:space="0" w:color="auto"/>
          </w:divBdr>
        </w:div>
        <w:div w:id="294157002">
          <w:marLeft w:val="0"/>
          <w:marRight w:val="0"/>
          <w:marTop w:val="0"/>
          <w:marBottom w:val="0"/>
          <w:divBdr>
            <w:top w:val="none" w:sz="0" w:space="0" w:color="auto"/>
            <w:left w:val="none" w:sz="0" w:space="0" w:color="auto"/>
            <w:bottom w:val="none" w:sz="0" w:space="0" w:color="auto"/>
            <w:right w:val="none" w:sz="0" w:space="0" w:color="auto"/>
          </w:divBdr>
        </w:div>
        <w:div w:id="294157070">
          <w:marLeft w:val="0"/>
          <w:marRight w:val="0"/>
          <w:marTop w:val="0"/>
          <w:marBottom w:val="0"/>
          <w:divBdr>
            <w:top w:val="none" w:sz="0" w:space="0" w:color="auto"/>
            <w:left w:val="none" w:sz="0" w:space="0" w:color="auto"/>
            <w:bottom w:val="none" w:sz="0" w:space="0" w:color="auto"/>
            <w:right w:val="none" w:sz="0" w:space="0" w:color="auto"/>
          </w:divBdr>
        </w:div>
        <w:div w:id="294157133">
          <w:marLeft w:val="0"/>
          <w:marRight w:val="0"/>
          <w:marTop w:val="0"/>
          <w:marBottom w:val="0"/>
          <w:divBdr>
            <w:top w:val="none" w:sz="0" w:space="0" w:color="auto"/>
            <w:left w:val="none" w:sz="0" w:space="0" w:color="auto"/>
            <w:bottom w:val="none" w:sz="0" w:space="0" w:color="auto"/>
            <w:right w:val="none" w:sz="0" w:space="0" w:color="auto"/>
          </w:divBdr>
        </w:div>
        <w:div w:id="294157144">
          <w:marLeft w:val="0"/>
          <w:marRight w:val="0"/>
          <w:marTop w:val="0"/>
          <w:marBottom w:val="0"/>
          <w:divBdr>
            <w:top w:val="none" w:sz="0" w:space="0" w:color="auto"/>
            <w:left w:val="none" w:sz="0" w:space="0" w:color="auto"/>
            <w:bottom w:val="none" w:sz="0" w:space="0" w:color="auto"/>
            <w:right w:val="none" w:sz="0" w:space="0" w:color="auto"/>
          </w:divBdr>
        </w:div>
        <w:div w:id="294157267">
          <w:marLeft w:val="0"/>
          <w:marRight w:val="0"/>
          <w:marTop w:val="0"/>
          <w:marBottom w:val="0"/>
          <w:divBdr>
            <w:top w:val="none" w:sz="0" w:space="0" w:color="auto"/>
            <w:left w:val="none" w:sz="0" w:space="0" w:color="auto"/>
            <w:bottom w:val="none" w:sz="0" w:space="0" w:color="auto"/>
            <w:right w:val="none" w:sz="0" w:space="0" w:color="auto"/>
          </w:divBdr>
        </w:div>
        <w:div w:id="294157283">
          <w:marLeft w:val="0"/>
          <w:marRight w:val="0"/>
          <w:marTop w:val="0"/>
          <w:marBottom w:val="0"/>
          <w:divBdr>
            <w:top w:val="none" w:sz="0" w:space="0" w:color="auto"/>
            <w:left w:val="none" w:sz="0" w:space="0" w:color="auto"/>
            <w:bottom w:val="none" w:sz="0" w:space="0" w:color="auto"/>
            <w:right w:val="none" w:sz="0" w:space="0" w:color="auto"/>
          </w:divBdr>
        </w:div>
        <w:div w:id="294157286">
          <w:marLeft w:val="0"/>
          <w:marRight w:val="0"/>
          <w:marTop w:val="0"/>
          <w:marBottom w:val="0"/>
          <w:divBdr>
            <w:top w:val="none" w:sz="0" w:space="0" w:color="auto"/>
            <w:left w:val="none" w:sz="0" w:space="0" w:color="auto"/>
            <w:bottom w:val="none" w:sz="0" w:space="0" w:color="auto"/>
            <w:right w:val="none" w:sz="0" w:space="0" w:color="auto"/>
          </w:divBdr>
        </w:div>
        <w:div w:id="294157291">
          <w:marLeft w:val="0"/>
          <w:marRight w:val="0"/>
          <w:marTop w:val="0"/>
          <w:marBottom w:val="0"/>
          <w:divBdr>
            <w:top w:val="none" w:sz="0" w:space="0" w:color="auto"/>
            <w:left w:val="none" w:sz="0" w:space="0" w:color="auto"/>
            <w:bottom w:val="none" w:sz="0" w:space="0" w:color="auto"/>
            <w:right w:val="none" w:sz="0" w:space="0" w:color="auto"/>
          </w:divBdr>
        </w:div>
        <w:div w:id="294157342">
          <w:marLeft w:val="0"/>
          <w:marRight w:val="0"/>
          <w:marTop w:val="0"/>
          <w:marBottom w:val="0"/>
          <w:divBdr>
            <w:top w:val="none" w:sz="0" w:space="0" w:color="auto"/>
            <w:left w:val="none" w:sz="0" w:space="0" w:color="auto"/>
            <w:bottom w:val="none" w:sz="0" w:space="0" w:color="auto"/>
            <w:right w:val="none" w:sz="0" w:space="0" w:color="auto"/>
          </w:divBdr>
        </w:div>
        <w:div w:id="294157357">
          <w:marLeft w:val="0"/>
          <w:marRight w:val="0"/>
          <w:marTop w:val="0"/>
          <w:marBottom w:val="0"/>
          <w:divBdr>
            <w:top w:val="none" w:sz="0" w:space="0" w:color="auto"/>
            <w:left w:val="none" w:sz="0" w:space="0" w:color="auto"/>
            <w:bottom w:val="none" w:sz="0" w:space="0" w:color="auto"/>
            <w:right w:val="none" w:sz="0" w:space="0" w:color="auto"/>
          </w:divBdr>
        </w:div>
        <w:div w:id="294157400">
          <w:marLeft w:val="0"/>
          <w:marRight w:val="0"/>
          <w:marTop w:val="0"/>
          <w:marBottom w:val="0"/>
          <w:divBdr>
            <w:top w:val="none" w:sz="0" w:space="0" w:color="auto"/>
            <w:left w:val="none" w:sz="0" w:space="0" w:color="auto"/>
            <w:bottom w:val="none" w:sz="0" w:space="0" w:color="auto"/>
            <w:right w:val="none" w:sz="0" w:space="0" w:color="auto"/>
          </w:divBdr>
        </w:div>
        <w:div w:id="294157438">
          <w:marLeft w:val="0"/>
          <w:marRight w:val="0"/>
          <w:marTop w:val="0"/>
          <w:marBottom w:val="0"/>
          <w:divBdr>
            <w:top w:val="none" w:sz="0" w:space="0" w:color="auto"/>
            <w:left w:val="none" w:sz="0" w:space="0" w:color="auto"/>
            <w:bottom w:val="none" w:sz="0" w:space="0" w:color="auto"/>
            <w:right w:val="none" w:sz="0" w:space="0" w:color="auto"/>
          </w:divBdr>
        </w:div>
        <w:div w:id="294157457">
          <w:marLeft w:val="0"/>
          <w:marRight w:val="0"/>
          <w:marTop w:val="0"/>
          <w:marBottom w:val="0"/>
          <w:divBdr>
            <w:top w:val="none" w:sz="0" w:space="0" w:color="auto"/>
            <w:left w:val="none" w:sz="0" w:space="0" w:color="auto"/>
            <w:bottom w:val="none" w:sz="0" w:space="0" w:color="auto"/>
            <w:right w:val="none" w:sz="0" w:space="0" w:color="auto"/>
          </w:divBdr>
        </w:div>
      </w:divsChild>
    </w:div>
    <w:div w:id="294141796">
      <w:marLeft w:val="0"/>
      <w:marRight w:val="0"/>
      <w:marTop w:val="0"/>
      <w:marBottom w:val="0"/>
      <w:divBdr>
        <w:top w:val="none" w:sz="0" w:space="0" w:color="auto"/>
        <w:left w:val="none" w:sz="0" w:space="0" w:color="auto"/>
        <w:bottom w:val="none" w:sz="0" w:space="0" w:color="auto"/>
        <w:right w:val="none" w:sz="0" w:space="0" w:color="auto"/>
      </w:divBdr>
    </w:div>
    <w:div w:id="294141806">
      <w:marLeft w:val="0"/>
      <w:marRight w:val="0"/>
      <w:marTop w:val="0"/>
      <w:marBottom w:val="0"/>
      <w:divBdr>
        <w:top w:val="none" w:sz="0" w:space="0" w:color="auto"/>
        <w:left w:val="none" w:sz="0" w:space="0" w:color="auto"/>
        <w:bottom w:val="none" w:sz="0" w:space="0" w:color="auto"/>
        <w:right w:val="none" w:sz="0" w:space="0" w:color="auto"/>
      </w:divBdr>
    </w:div>
    <w:div w:id="294141895">
      <w:marLeft w:val="0"/>
      <w:marRight w:val="0"/>
      <w:marTop w:val="0"/>
      <w:marBottom w:val="0"/>
      <w:divBdr>
        <w:top w:val="none" w:sz="0" w:space="0" w:color="auto"/>
        <w:left w:val="none" w:sz="0" w:space="0" w:color="auto"/>
        <w:bottom w:val="none" w:sz="0" w:space="0" w:color="auto"/>
        <w:right w:val="none" w:sz="0" w:space="0" w:color="auto"/>
      </w:divBdr>
    </w:div>
    <w:div w:id="294141903">
      <w:marLeft w:val="0"/>
      <w:marRight w:val="0"/>
      <w:marTop w:val="0"/>
      <w:marBottom w:val="0"/>
      <w:divBdr>
        <w:top w:val="none" w:sz="0" w:space="0" w:color="auto"/>
        <w:left w:val="none" w:sz="0" w:space="0" w:color="auto"/>
        <w:bottom w:val="none" w:sz="0" w:space="0" w:color="auto"/>
        <w:right w:val="none" w:sz="0" w:space="0" w:color="auto"/>
      </w:divBdr>
      <w:divsChild>
        <w:div w:id="294140300">
          <w:marLeft w:val="0"/>
          <w:marRight w:val="0"/>
          <w:marTop w:val="0"/>
          <w:marBottom w:val="0"/>
          <w:divBdr>
            <w:top w:val="none" w:sz="0" w:space="0" w:color="auto"/>
            <w:left w:val="none" w:sz="0" w:space="0" w:color="auto"/>
            <w:bottom w:val="none" w:sz="0" w:space="0" w:color="auto"/>
            <w:right w:val="none" w:sz="0" w:space="0" w:color="auto"/>
          </w:divBdr>
          <w:divsChild>
            <w:div w:id="294139845">
              <w:marLeft w:val="3156"/>
              <w:marRight w:val="0"/>
              <w:marTop w:val="0"/>
              <w:marBottom w:val="0"/>
              <w:divBdr>
                <w:top w:val="none" w:sz="0" w:space="0" w:color="auto"/>
                <w:left w:val="none" w:sz="0" w:space="0" w:color="auto"/>
                <w:bottom w:val="none" w:sz="0" w:space="0" w:color="auto"/>
                <w:right w:val="none" w:sz="0" w:space="0" w:color="auto"/>
              </w:divBdr>
            </w:div>
            <w:div w:id="294140198">
              <w:marLeft w:val="3156"/>
              <w:marRight w:val="3140"/>
              <w:marTop w:val="0"/>
              <w:marBottom w:val="0"/>
              <w:divBdr>
                <w:top w:val="none" w:sz="0" w:space="0" w:color="auto"/>
                <w:left w:val="none" w:sz="0" w:space="0" w:color="auto"/>
                <w:bottom w:val="none" w:sz="0" w:space="0" w:color="auto"/>
                <w:right w:val="none" w:sz="0" w:space="0" w:color="auto"/>
              </w:divBdr>
            </w:div>
            <w:div w:id="294140711">
              <w:marLeft w:val="0"/>
              <w:marRight w:val="0"/>
              <w:marTop w:val="0"/>
              <w:marBottom w:val="100"/>
              <w:divBdr>
                <w:top w:val="none" w:sz="0" w:space="0" w:color="auto"/>
                <w:left w:val="none" w:sz="0" w:space="0" w:color="auto"/>
                <w:bottom w:val="none" w:sz="0" w:space="0" w:color="auto"/>
                <w:right w:val="none" w:sz="0" w:space="0" w:color="auto"/>
              </w:divBdr>
              <w:divsChild>
                <w:div w:id="294153621">
                  <w:marLeft w:val="0"/>
                  <w:marRight w:val="0"/>
                  <w:marTop w:val="0"/>
                  <w:marBottom w:val="0"/>
                  <w:divBdr>
                    <w:top w:val="none" w:sz="0" w:space="0" w:color="auto"/>
                    <w:left w:val="none" w:sz="0" w:space="0" w:color="auto"/>
                    <w:bottom w:val="none" w:sz="0" w:space="0" w:color="auto"/>
                    <w:right w:val="none" w:sz="0" w:space="0" w:color="auto"/>
                  </w:divBdr>
                  <w:divsChild>
                    <w:div w:id="294151417">
                      <w:marLeft w:val="0"/>
                      <w:marRight w:val="0"/>
                      <w:marTop w:val="0"/>
                      <w:marBottom w:val="0"/>
                      <w:divBdr>
                        <w:top w:val="none" w:sz="0" w:space="0" w:color="auto"/>
                        <w:left w:val="none" w:sz="0" w:space="0" w:color="auto"/>
                        <w:bottom w:val="none" w:sz="0" w:space="0" w:color="auto"/>
                        <w:right w:val="none" w:sz="0" w:space="0" w:color="auto"/>
                      </w:divBdr>
                    </w:div>
                    <w:div w:id="29415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1653">
              <w:marLeft w:val="0"/>
              <w:marRight w:val="0"/>
              <w:marTop w:val="0"/>
              <w:marBottom w:val="0"/>
              <w:divBdr>
                <w:top w:val="none" w:sz="0" w:space="0" w:color="auto"/>
                <w:left w:val="none" w:sz="0" w:space="0" w:color="auto"/>
                <w:bottom w:val="none" w:sz="0" w:space="0" w:color="auto"/>
                <w:right w:val="none" w:sz="0" w:space="0" w:color="auto"/>
              </w:divBdr>
            </w:div>
            <w:div w:id="294144189">
              <w:marLeft w:val="0"/>
              <w:marRight w:val="0"/>
              <w:marTop w:val="0"/>
              <w:marBottom w:val="100"/>
              <w:divBdr>
                <w:top w:val="none" w:sz="0" w:space="0" w:color="auto"/>
                <w:left w:val="none" w:sz="0" w:space="0" w:color="auto"/>
                <w:bottom w:val="none" w:sz="0" w:space="0" w:color="auto"/>
                <w:right w:val="none" w:sz="0" w:space="0" w:color="auto"/>
              </w:divBdr>
              <w:divsChild>
                <w:div w:id="294154344">
                  <w:marLeft w:val="0"/>
                  <w:marRight w:val="0"/>
                  <w:marTop w:val="0"/>
                  <w:marBottom w:val="0"/>
                  <w:divBdr>
                    <w:top w:val="none" w:sz="0" w:space="0" w:color="auto"/>
                    <w:left w:val="none" w:sz="0" w:space="0" w:color="auto"/>
                    <w:bottom w:val="none" w:sz="0" w:space="0" w:color="auto"/>
                    <w:right w:val="none" w:sz="0" w:space="0" w:color="auto"/>
                  </w:divBdr>
                  <w:divsChild>
                    <w:div w:id="294156252">
                      <w:marLeft w:val="0"/>
                      <w:marRight w:val="0"/>
                      <w:marTop w:val="0"/>
                      <w:marBottom w:val="0"/>
                      <w:divBdr>
                        <w:top w:val="none" w:sz="0" w:space="0" w:color="auto"/>
                        <w:left w:val="none" w:sz="0" w:space="0" w:color="auto"/>
                        <w:bottom w:val="none" w:sz="0" w:space="0" w:color="auto"/>
                        <w:right w:val="none" w:sz="0" w:space="0" w:color="auto"/>
                      </w:divBdr>
                    </w:div>
                    <w:div w:id="29415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5551">
              <w:marLeft w:val="0"/>
              <w:marRight w:val="0"/>
              <w:marTop w:val="0"/>
              <w:marBottom w:val="100"/>
              <w:divBdr>
                <w:top w:val="none" w:sz="0" w:space="0" w:color="auto"/>
                <w:left w:val="none" w:sz="0" w:space="0" w:color="auto"/>
                <w:bottom w:val="none" w:sz="0" w:space="0" w:color="auto"/>
                <w:right w:val="none" w:sz="0" w:space="0" w:color="auto"/>
              </w:divBdr>
              <w:divsChild>
                <w:div w:id="294150707">
                  <w:marLeft w:val="0"/>
                  <w:marRight w:val="0"/>
                  <w:marTop w:val="0"/>
                  <w:marBottom w:val="0"/>
                  <w:divBdr>
                    <w:top w:val="none" w:sz="0" w:space="0" w:color="auto"/>
                    <w:left w:val="none" w:sz="0" w:space="0" w:color="auto"/>
                    <w:bottom w:val="none" w:sz="0" w:space="0" w:color="auto"/>
                    <w:right w:val="none" w:sz="0" w:space="0" w:color="auto"/>
                  </w:divBdr>
                  <w:divsChild>
                    <w:div w:id="294147642">
                      <w:marLeft w:val="0"/>
                      <w:marRight w:val="0"/>
                      <w:marTop w:val="0"/>
                      <w:marBottom w:val="0"/>
                      <w:divBdr>
                        <w:top w:val="none" w:sz="0" w:space="0" w:color="auto"/>
                        <w:left w:val="none" w:sz="0" w:space="0" w:color="auto"/>
                        <w:bottom w:val="none" w:sz="0" w:space="0" w:color="auto"/>
                        <w:right w:val="none" w:sz="0" w:space="0" w:color="auto"/>
                      </w:divBdr>
                    </w:div>
                    <w:div w:id="29415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6640">
              <w:marLeft w:val="0"/>
              <w:marRight w:val="0"/>
              <w:marTop w:val="0"/>
              <w:marBottom w:val="100"/>
              <w:divBdr>
                <w:top w:val="none" w:sz="0" w:space="0" w:color="auto"/>
                <w:left w:val="none" w:sz="0" w:space="0" w:color="auto"/>
                <w:bottom w:val="none" w:sz="0" w:space="0" w:color="auto"/>
                <w:right w:val="none" w:sz="0" w:space="0" w:color="auto"/>
              </w:divBdr>
              <w:divsChild>
                <w:div w:id="294151524">
                  <w:marLeft w:val="0"/>
                  <w:marRight w:val="0"/>
                  <w:marTop w:val="0"/>
                  <w:marBottom w:val="0"/>
                  <w:divBdr>
                    <w:top w:val="none" w:sz="0" w:space="0" w:color="auto"/>
                    <w:left w:val="none" w:sz="0" w:space="0" w:color="auto"/>
                    <w:bottom w:val="none" w:sz="0" w:space="0" w:color="auto"/>
                    <w:right w:val="none" w:sz="0" w:space="0" w:color="auto"/>
                  </w:divBdr>
                  <w:divsChild>
                    <w:div w:id="294142275">
                      <w:marLeft w:val="0"/>
                      <w:marRight w:val="0"/>
                      <w:marTop w:val="0"/>
                      <w:marBottom w:val="0"/>
                      <w:divBdr>
                        <w:top w:val="none" w:sz="0" w:space="0" w:color="auto"/>
                        <w:left w:val="none" w:sz="0" w:space="0" w:color="auto"/>
                        <w:bottom w:val="none" w:sz="0" w:space="0" w:color="auto"/>
                        <w:right w:val="none" w:sz="0" w:space="0" w:color="auto"/>
                      </w:divBdr>
                    </w:div>
                    <w:div w:id="29415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7305">
              <w:marLeft w:val="0"/>
              <w:marRight w:val="0"/>
              <w:marTop w:val="0"/>
              <w:marBottom w:val="0"/>
              <w:divBdr>
                <w:top w:val="none" w:sz="0" w:space="0" w:color="auto"/>
                <w:left w:val="none" w:sz="0" w:space="0" w:color="auto"/>
                <w:bottom w:val="none" w:sz="0" w:space="0" w:color="auto"/>
                <w:right w:val="none" w:sz="0" w:space="0" w:color="auto"/>
              </w:divBdr>
            </w:div>
            <w:div w:id="294147539">
              <w:marLeft w:val="0"/>
              <w:marRight w:val="0"/>
              <w:marTop w:val="0"/>
              <w:marBottom w:val="0"/>
              <w:divBdr>
                <w:top w:val="none" w:sz="0" w:space="0" w:color="auto"/>
                <w:left w:val="none" w:sz="0" w:space="0" w:color="auto"/>
                <w:bottom w:val="none" w:sz="0" w:space="0" w:color="auto"/>
                <w:right w:val="none" w:sz="0" w:space="0" w:color="auto"/>
              </w:divBdr>
            </w:div>
            <w:div w:id="294148826">
              <w:marLeft w:val="3156"/>
              <w:marRight w:val="3140"/>
              <w:marTop w:val="0"/>
              <w:marBottom w:val="0"/>
              <w:divBdr>
                <w:top w:val="none" w:sz="0" w:space="0" w:color="auto"/>
                <w:left w:val="none" w:sz="0" w:space="0" w:color="auto"/>
                <w:bottom w:val="none" w:sz="0" w:space="0" w:color="auto"/>
                <w:right w:val="none" w:sz="0" w:space="0" w:color="auto"/>
              </w:divBdr>
            </w:div>
            <w:div w:id="294149596">
              <w:marLeft w:val="3156"/>
              <w:marRight w:val="3140"/>
              <w:marTop w:val="0"/>
              <w:marBottom w:val="0"/>
              <w:divBdr>
                <w:top w:val="none" w:sz="0" w:space="0" w:color="auto"/>
                <w:left w:val="none" w:sz="0" w:space="0" w:color="auto"/>
                <w:bottom w:val="none" w:sz="0" w:space="0" w:color="auto"/>
                <w:right w:val="none" w:sz="0" w:space="0" w:color="auto"/>
              </w:divBdr>
            </w:div>
            <w:div w:id="294149826">
              <w:marLeft w:val="3156"/>
              <w:marRight w:val="3140"/>
              <w:marTop w:val="0"/>
              <w:marBottom w:val="0"/>
              <w:divBdr>
                <w:top w:val="none" w:sz="0" w:space="0" w:color="auto"/>
                <w:left w:val="none" w:sz="0" w:space="0" w:color="auto"/>
                <w:bottom w:val="none" w:sz="0" w:space="0" w:color="auto"/>
                <w:right w:val="none" w:sz="0" w:space="0" w:color="auto"/>
              </w:divBdr>
            </w:div>
            <w:div w:id="294150005">
              <w:marLeft w:val="0"/>
              <w:marRight w:val="0"/>
              <w:marTop w:val="0"/>
              <w:marBottom w:val="0"/>
              <w:divBdr>
                <w:top w:val="none" w:sz="0" w:space="0" w:color="auto"/>
                <w:left w:val="none" w:sz="0" w:space="0" w:color="auto"/>
                <w:bottom w:val="none" w:sz="0" w:space="0" w:color="auto"/>
                <w:right w:val="none" w:sz="0" w:space="0" w:color="auto"/>
              </w:divBdr>
            </w:div>
            <w:div w:id="294150484">
              <w:marLeft w:val="0"/>
              <w:marRight w:val="0"/>
              <w:marTop w:val="0"/>
              <w:marBottom w:val="0"/>
              <w:divBdr>
                <w:top w:val="none" w:sz="0" w:space="0" w:color="auto"/>
                <w:left w:val="none" w:sz="0" w:space="0" w:color="auto"/>
                <w:bottom w:val="none" w:sz="0" w:space="0" w:color="auto"/>
                <w:right w:val="none" w:sz="0" w:space="0" w:color="auto"/>
              </w:divBdr>
            </w:div>
            <w:div w:id="294151186">
              <w:marLeft w:val="3156"/>
              <w:marRight w:val="3140"/>
              <w:marTop w:val="0"/>
              <w:marBottom w:val="0"/>
              <w:divBdr>
                <w:top w:val="none" w:sz="0" w:space="0" w:color="auto"/>
                <w:left w:val="none" w:sz="0" w:space="0" w:color="auto"/>
                <w:bottom w:val="none" w:sz="0" w:space="0" w:color="auto"/>
                <w:right w:val="none" w:sz="0" w:space="0" w:color="auto"/>
              </w:divBdr>
            </w:div>
            <w:div w:id="294151653">
              <w:marLeft w:val="3156"/>
              <w:marRight w:val="0"/>
              <w:marTop w:val="0"/>
              <w:marBottom w:val="0"/>
              <w:divBdr>
                <w:top w:val="none" w:sz="0" w:space="0" w:color="auto"/>
                <w:left w:val="none" w:sz="0" w:space="0" w:color="auto"/>
                <w:bottom w:val="none" w:sz="0" w:space="0" w:color="auto"/>
                <w:right w:val="none" w:sz="0" w:space="0" w:color="auto"/>
              </w:divBdr>
            </w:div>
            <w:div w:id="294153709">
              <w:marLeft w:val="0"/>
              <w:marRight w:val="0"/>
              <w:marTop w:val="0"/>
              <w:marBottom w:val="0"/>
              <w:divBdr>
                <w:top w:val="none" w:sz="0" w:space="0" w:color="auto"/>
                <w:left w:val="none" w:sz="0" w:space="0" w:color="auto"/>
                <w:bottom w:val="none" w:sz="0" w:space="0" w:color="auto"/>
                <w:right w:val="none" w:sz="0" w:space="0" w:color="auto"/>
              </w:divBdr>
            </w:div>
            <w:div w:id="294154123">
              <w:marLeft w:val="0"/>
              <w:marRight w:val="0"/>
              <w:marTop w:val="0"/>
              <w:marBottom w:val="0"/>
              <w:divBdr>
                <w:top w:val="none" w:sz="0" w:space="0" w:color="auto"/>
                <w:left w:val="none" w:sz="0" w:space="0" w:color="auto"/>
                <w:bottom w:val="none" w:sz="0" w:space="0" w:color="auto"/>
                <w:right w:val="none" w:sz="0" w:space="0" w:color="auto"/>
              </w:divBdr>
            </w:div>
            <w:div w:id="294156296">
              <w:marLeft w:val="3156"/>
              <w:marRight w:val="0"/>
              <w:marTop w:val="0"/>
              <w:marBottom w:val="0"/>
              <w:divBdr>
                <w:top w:val="none" w:sz="0" w:space="0" w:color="auto"/>
                <w:left w:val="none" w:sz="0" w:space="0" w:color="auto"/>
                <w:bottom w:val="none" w:sz="0" w:space="0" w:color="auto"/>
                <w:right w:val="none" w:sz="0" w:space="0" w:color="auto"/>
              </w:divBdr>
            </w:div>
            <w:div w:id="294156778">
              <w:marLeft w:val="3156"/>
              <w:marRight w:val="0"/>
              <w:marTop w:val="0"/>
              <w:marBottom w:val="0"/>
              <w:divBdr>
                <w:top w:val="none" w:sz="0" w:space="0" w:color="auto"/>
                <w:left w:val="none" w:sz="0" w:space="0" w:color="auto"/>
                <w:bottom w:val="none" w:sz="0" w:space="0" w:color="auto"/>
                <w:right w:val="none" w:sz="0" w:space="0" w:color="auto"/>
              </w:divBdr>
            </w:div>
          </w:divsChild>
        </w:div>
        <w:div w:id="294144495">
          <w:marLeft w:val="0"/>
          <w:marRight w:val="0"/>
          <w:marTop w:val="0"/>
          <w:marBottom w:val="0"/>
          <w:divBdr>
            <w:top w:val="none" w:sz="0" w:space="0" w:color="auto"/>
            <w:left w:val="none" w:sz="0" w:space="0" w:color="auto"/>
            <w:bottom w:val="none" w:sz="0" w:space="0" w:color="auto"/>
            <w:right w:val="none" w:sz="0" w:space="0" w:color="auto"/>
          </w:divBdr>
        </w:div>
      </w:divsChild>
    </w:div>
    <w:div w:id="294141933">
      <w:marLeft w:val="0"/>
      <w:marRight w:val="0"/>
      <w:marTop w:val="0"/>
      <w:marBottom w:val="0"/>
      <w:divBdr>
        <w:top w:val="none" w:sz="0" w:space="0" w:color="auto"/>
        <w:left w:val="none" w:sz="0" w:space="0" w:color="auto"/>
        <w:bottom w:val="none" w:sz="0" w:space="0" w:color="auto"/>
        <w:right w:val="none" w:sz="0" w:space="0" w:color="auto"/>
      </w:divBdr>
    </w:div>
    <w:div w:id="294141996">
      <w:marLeft w:val="0"/>
      <w:marRight w:val="0"/>
      <w:marTop w:val="0"/>
      <w:marBottom w:val="0"/>
      <w:divBdr>
        <w:top w:val="none" w:sz="0" w:space="0" w:color="auto"/>
        <w:left w:val="none" w:sz="0" w:space="0" w:color="auto"/>
        <w:bottom w:val="none" w:sz="0" w:space="0" w:color="auto"/>
        <w:right w:val="none" w:sz="0" w:space="0" w:color="auto"/>
      </w:divBdr>
    </w:div>
    <w:div w:id="294142025">
      <w:marLeft w:val="0"/>
      <w:marRight w:val="0"/>
      <w:marTop w:val="0"/>
      <w:marBottom w:val="0"/>
      <w:divBdr>
        <w:top w:val="none" w:sz="0" w:space="0" w:color="auto"/>
        <w:left w:val="none" w:sz="0" w:space="0" w:color="auto"/>
        <w:bottom w:val="none" w:sz="0" w:space="0" w:color="auto"/>
        <w:right w:val="none" w:sz="0" w:space="0" w:color="auto"/>
      </w:divBdr>
    </w:div>
    <w:div w:id="294142035">
      <w:marLeft w:val="0"/>
      <w:marRight w:val="0"/>
      <w:marTop w:val="0"/>
      <w:marBottom w:val="0"/>
      <w:divBdr>
        <w:top w:val="none" w:sz="0" w:space="0" w:color="auto"/>
        <w:left w:val="none" w:sz="0" w:space="0" w:color="auto"/>
        <w:bottom w:val="none" w:sz="0" w:space="0" w:color="auto"/>
        <w:right w:val="none" w:sz="0" w:space="0" w:color="auto"/>
      </w:divBdr>
    </w:div>
    <w:div w:id="294142051">
      <w:marLeft w:val="0"/>
      <w:marRight w:val="0"/>
      <w:marTop w:val="0"/>
      <w:marBottom w:val="0"/>
      <w:divBdr>
        <w:top w:val="none" w:sz="0" w:space="0" w:color="auto"/>
        <w:left w:val="none" w:sz="0" w:space="0" w:color="auto"/>
        <w:bottom w:val="none" w:sz="0" w:space="0" w:color="auto"/>
        <w:right w:val="none" w:sz="0" w:space="0" w:color="auto"/>
      </w:divBdr>
      <w:divsChild>
        <w:div w:id="294137989">
          <w:marLeft w:val="0"/>
          <w:marRight w:val="0"/>
          <w:marTop w:val="134"/>
          <w:marBottom w:val="0"/>
          <w:divBdr>
            <w:top w:val="none" w:sz="0" w:space="0" w:color="auto"/>
            <w:left w:val="none" w:sz="0" w:space="0" w:color="auto"/>
            <w:bottom w:val="none" w:sz="0" w:space="0" w:color="auto"/>
            <w:right w:val="none" w:sz="0" w:space="0" w:color="auto"/>
          </w:divBdr>
        </w:div>
        <w:div w:id="294145641">
          <w:marLeft w:val="0"/>
          <w:marRight w:val="0"/>
          <w:marTop w:val="134"/>
          <w:marBottom w:val="0"/>
          <w:divBdr>
            <w:top w:val="none" w:sz="0" w:space="0" w:color="auto"/>
            <w:left w:val="none" w:sz="0" w:space="0" w:color="auto"/>
            <w:bottom w:val="none" w:sz="0" w:space="0" w:color="auto"/>
            <w:right w:val="none" w:sz="0" w:space="0" w:color="auto"/>
          </w:divBdr>
        </w:div>
        <w:div w:id="294146151">
          <w:marLeft w:val="0"/>
          <w:marRight w:val="0"/>
          <w:marTop w:val="134"/>
          <w:marBottom w:val="0"/>
          <w:divBdr>
            <w:top w:val="none" w:sz="0" w:space="0" w:color="auto"/>
            <w:left w:val="none" w:sz="0" w:space="0" w:color="auto"/>
            <w:bottom w:val="none" w:sz="0" w:space="0" w:color="auto"/>
            <w:right w:val="none" w:sz="0" w:space="0" w:color="auto"/>
          </w:divBdr>
        </w:div>
        <w:div w:id="294156923">
          <w:marLeft w:val="0"/>
          <w:marRight w:val="0"/>
          <w:marTop w:val="154"/>
          <w:marBottom w:val="0"/>
          <w:divBdr>
            <w:top w:val="none" w:sz="0" w:space="0" w:color="auto"/>
            <w:left w:val="none" w:sz="0" w:space="0" w:color="auto"/>
            <w:bottom w:val="none" w:sz="0" w:space="0" w:color="auto"/>
            <w:right w:val="none" w:sz="0" w:space="0" w:color="auto"/>
          </w:divBdr>
        </w:div>
      </w:divsChild>
    </w:div>
    <w:div w:id="294142121">
      <w:marLeft w:val="0"/>
      <w:marRight w:val="0"/>
      <w:marTop w:val="0"/>
      <w:marBottom w:val="0"/>
      <w:divBdr>
        <w:top w:val="none" w:sz="0" w:space="0" w:color="auto"/>
        <w:left w:val="none" w:sz="0" w:space="0" w:color="auto"/>
        <w:bottom w:val="none" w:sz="0" w:space="0" w:color="auto"/>
        <w:right w:val="none" w:sz="0" w:space="0" w:color="auto"/>
      </w:divBdr>
    </w:div>
    <w:div w:id="294142174">
      <w:marLeft w:val="0"/>
      <w:marRight w:val="0"/>
      <w:marTop w:val="0"/>
      <w:marBottom w:val="0"/>
      <w:divBdr>
        <w:top w:val="none" w:sz="0" w:space="0" w:color="auto"/>
        <w:left w:val="none" w:sz="0" w:space="0" w:color="auto"/>
        <w:bottom w:val="none" w:sz="0" w:space="0" w:color="auto"/>
        <w:right w:val="none" w:sz="0" w:space="0" w:color="auto"/>
      </w:divBdr>
      <w:divsChild>
        <w:div w:id="294143667">
          <w:marLeft w:val="0"/>
          <w:marRight w:val="0"/>
          <w:marTop w:val="0"/>
          <w:marBottom w:val="0"/>
          <w:divBdr>
            <w:top w:val="none" w:sz="0" w:space="0" w:color="auto"/>
            <w:left w:val="none" w:sz="0" w:space="0" w:color="auto"/>
            <w:bottom w:val="none" w:sz="0" w:space="0" w:color="auto"/>
            <w:right w:val="none" w:sz="0" w:space="0" w:color="auto"/>
          </w:divBdr>
        </w:div>
      </w:divsChild>
    </w:div>
    <w:div w:id="294142192">
      <w:marLeft w:val="0"/>
      <w:marRight w:val="0"/>
      <w:marTop w:val="0"/>
      <w:marBottom w:val="0"/>
      <w:divBdr>
        <w:top w:val="none" w:sz="0" w:space="0" w:color="auto"/>
        <w:left w:val="none" w:sz="0" w:space="0" w:color="auto"/>
        <w:bottom w:val="none" w:sz="0" w:space="0" w:color="auto"/>
        <w:right w:val="none" w:sz="0" w:space="0" w:color="auto"/>
      </w:divBdr>
    </w:div>
    <w:div w:id="294142248">
      <w:marLeft w:val="0"/>
      <w:marRight w:val="0"/>
      <w:marTop w:val="0"/>
      <w:marBottom w:val="0"/>
      <w:divBdr>
        <w:top w:val="none" w:sz="0" w:space="0" w:color="auto"/>
        <w:left w:val="none" w:sz="0" w:space="0" w:color="auto"/>
        <w:bottom w:val="none" w:sz="0" w:space="0" w:color="auto"/>
        <w:right w:val="none" w:sz="0" w:space="0" w:color="auto"/>
      </w:divBdr>
    </w:div>
    <w:div w:id="294142617">
      <w:marLeft w:val="0"/>
      <w:marRight w:val="0"/>
      <w:marTop w:val="0"/>
      <w:marBottom w:val="0"/>
      <w:divBdr>
        <w:top w:val="none" w:sz="0" w:space="0" w:color="auto"/>
        <w:left w:val="none" w:sz="0" w:space="0" w:color="auto"/>
        <w:bottom w:val="none" w:sz="0" w:space="0" w:color="auto"/>
        <w:right w:val="none" w:sz="0" w:space="0" w:color="auto"/>
      </w:divBdr>
    </w:div>
    <w:div w:id="294142643">
      <w:marLeft w:val="0"/>
      <w:marRight w:val="0"/>
      <w:marTop w:val="0"/>
      <w:marBottom w:val="0"/>
      <w:divBdr>
        <w:top w:val="none" w:sz="0" w:space="0" w:color="auto"/>
        <w:left w:val="none" w:sz="0" w:space="0" w:color="auto"/>
        <w:bottom w:val="none" w:sz="0" w:space="0" w:color="auto"/>
        <w:right w:val="none" w:sz="0" w:space="0" w:color="auto"/>
      </w:divBdr>
    </w:div>
    <w:div w:id="294142648">
      <w:marLeft w:val="0"/>
      <w:marRight w:val="0"/>
      <w:marTop w:val="0"/>
      <w:marBottom w:val="0"/>
      <w:divBdr>
        <w:top w:val="none" w:sz="0" w:space="0" w:color="auto"/>
        <w:left w:val="none" w:sz="0" w:space="0" w:color="auto"/>
        <w:bottom w:val="none" w:sz="0" w:space="0" w:color="auto"/>
        <w:right w:val="none" w:sz="0" w:space="0" w:color="auto"/>
      </w:divBdr>
      <w:divsChild>
        <w:div w:id="294139784">
          <w:marLeft w:val="0"/>
          <w:marRight w:val="0"/>
          <w:marTop w:val="0"/>
          <w:marBottom w:val="0"/>
          <w:divBdr>
            <w:top w:val="none" w:sz="0" w:space="0" w:color="auto"/>
            <w:left w:val="none" w:sz="0" w:space="0" w:color="auto"/>
            <w:bottom w:val="none" w:sz="0" w:space="0" w:color="auto"/>
            <w:right w:val="none" w:sz="0" w:space="0" w:color="auto"/>
          </w:divBdr>
        </w:div>
        <w:div w:id="294155598">
          <w:marLeft w:val="0"/>
          <w:marRight w:val="0"/>
          <w:marTop w:val="0"/>
          <w:marBottom w:val="0"/>
          <w:divBdr>
            <w:top w:val="none" w:sz="0" w:space="0" w:color="auto"/>
            <w:left w:val="none" w:sz="0" w:space="0" w:color="auto"/>
            <w:bottom w:val="none" w:sz="0" w:space="0" w:color="auto"/>
            <w:right w:val="none" w:sz="0" w:space="0" w:color="auto"/>
          </w:divBdr>
        </w:div>
      </w:divsChild>
    </w:div>
    <w:div w:id="294142740">
      <w:marLeft w:val="0"/>
      <w:marRight w:val="0"/>
      <w:marTop w:val="0"/>
      <w:marBottom w:val="0"/>
      <w:divBdr>
        <w:top w:val="none" w:sz="0" w:space="0" w:color="auto"/>
        <w:left w:val="none" w:sz="0" w:space="0" w:color="auto"/>
        <w:bottom w:val="none" w:sz="0" w:space="0" w:color="auto"/>
        <w:right w:val="none" w:sz="0" w:space="0" w:color="auto"/>
      </w:divBdr>
      <w:divsChild>
        <w:div w:id="294145732">
          <w:marLeft w:val="0"/>
          <w:marRight w:val="0"/>
          <w:marTop w:val="0"/>
          <w:marBottom w:val="0"/>
          <w:divBdr>
            <w:top w:val="none" w:sz="0" w:space="0" w:color="auto"/>
            <w:left w:val="none" w:sz="0" w:space="0" w:color="auto"/>
            <w:bottom w:val="none" w:sz="0" w:space="0" w:color="auto"/>
            <w:right w:val="none" w:sz="0" w:space="0" w:color="auto"/>
          </w:divBdr>
        </w:div>
        <w:div w:id="294157184">
          <w:marLeft w:val="0"/>
          <w:marRight w:val="0"/>
          <w:marTop w:val="0"/>
          <w:marBottom w:val="0"/>
          <w:divBdr>
            <w:top w:val="none" w:sz="0" w:space="0" w:color="auto"/>
            <w:left w:val="none" w:sz="0" w:space="0" w:color="auto"/>
            <w:bottom w:val="none" w:sz="0" w:space="0" w:color="auto"/>
            <w:right w:val="none" w:sz="0" w:space="0" w:color="auto"/>
          </w:divBdr>
        </w:div>
      </w:divsChild>
    </w:div>
    <w:div w:id="294142771">
      <w:marLeft w:val="0"/>
      <w:marRight w:val="0"/>
      <w:marTop w:val="0"/>
      <w:marBottom w:val="0"/>
      <w:divBdr>
        <w:top w:val="none" w:sz="0" w:space="0" w:color="auto"/>
        <w:left w:val="none" w:sz="0" w:space="0" w:color="auto"/>
        <w:bottom w:val="none" w:sz="0" w:space="0" w:color="auto"/>
        <w:right w:val="none" w:sz="0" w:space="0" w:color="auto"/>
      </w:divBdr>
    </w:div>
    <w:div w:id="294142779">
      <w:marLeft w:val="0"/>
      <w:marRight w:val="0"/>
      <w:marTop w:val="0"/>
      <w:marBottom w:val="0"/>
      <w:divBdr>
        <w:top w:val="none" w:sz="0" w:space="0" w:color="auto"/>
        <w:left w:val="none" w:sz="0" w:space="0" w:color="auto"/>
        <w:bottom w:val="none" w:sz="0" w:space="0" w:color="auto"/>
        <w:right w:val="none" w:sz="0" w:space="0" w:color="auto"/>
      </w:divBdr>
    </w:div>
    <w:div w:id="294142797">
      <w:marLeft w:val="0"/>
      <w:marRight w:val="0"/>
      <w:marTop w:val="0"/>
      <w:marBottom w:val="0"/>
      <w:divBdr>
        <w:top w:val="none" w:sz="0" w:space="0" w:color="auto"/>
        <w:left w:val="none" w:sz="0" w:space="0" w:color="auto"/>
        <w:bottom w:val="none" w:sz="0" w:space="0" w:color="auto"/>
        <w:right w:val="none" w:sz="0" w:space="0" w:color="auto"/>
      </w:divBdr>
    </w:div>
    <w:div w:id="294142860">
      <w:marLeft w:val="0"/>
      <w:marRight w:val="0"/>
      <w:marTop w:val="0"/>
      <w:marBottom w:val="0"/>
      <w:divBdr>
        <w:top w:val="none" w:sz="0" w:space="0" w:color="auto"/>
        <w:left w:val="none" w:sz="0" w:space="0" w:color="auto"/>
        <w:bottom w:val="none" w:sz="0" w:space="0" w:color="auto"/>
        <w:right w:val="none" w:sz="0" w:space="0" w:color="auto"/>
      </w:divBdr>
    </w:div>
    <w:div w:id="294142912">
      <w:marLeft w:val="0"/>
      <w:marRight w:val="0"/>
      <w:marTop w:val="0"/>
      <w:marBottom w:val="0"/>
      <w:divBdr>
        <w:top w:val="none" w:sz="0" w:space="0" w:color="auto"/>
        <w:left w:val="none" w:sz="0" w:space="0" w:color="auto"/>
        <w:bottom w:val="none" w:sz="0" w:space="0" w:color="auto"/>
        <w:right w:val="none" w:sz="0" w:space="0" w:color="auto"/>
      </w:divBdr>
    </w:div>
    <w:div w:id="294142962">
      <w:marLeft w:val="0"/>
      <w:marRight w:val="0"/>
      <w:marTop w:val="0"/>
      <w:marBottom w:val="0"/>
      <w:divBdr>
        <w:top w:val="none" w:sz="0" w:space="0" w:color="auto"/>
        <w:left w:val="none" w:sz="0" w:space="0" w:color="auto"/>
        <w:bottom w:val="none" w:sz="0" w:space="0" w:color="auto"/>
        <w:right w:val="none" w:sz="0" w:space="0" w:color="auto"/>
      </w:divBdr>
    </w:div>
    <w:div w:id="294142991">
      <w:marLeft w:val="0"/>
      <w:marRight w:val="0"/>
      <w:marTop w:val="0"/>
      <w:marBottom w:val="0"/>
      <w:divBdr>
        <w:top w:val="none" w:sz="0" w:space="0" w:color="auto"/>
        <w:left w:val="none" w:sz="0" w:space="0" w:color="auto"/>
        <w:bottom w:val="none" w:sz="0" w:space="0" w:color="auto"/>
        <w:right w:val="none" w:sz="0" w:space="0" w:color="auto"/>
      </w:divBdr>
      <w:divsChild>
        <w:div w:id="294152020">
          <w:marLeft w:val="0"/>
          <w:marRight w:val="0"/>
          <w:marTop w:val="0"/>
          <w:marBottom w:val="0"/>
          <w:divBdr>
            <w:top w:val="none" w:sz="0" w:space="0" w:color="auto"/>
            <w:left w:val="none" w:sz="0" w:space="0" w:color="auto"/>
            <w:bottom w:val="none" w:sz="0" w:space="0" w:color="auto"/>
            <w:right w:val="none" w:sz="0" w:space="0" w:color="auto"/>
          </w:divBdr>
          <w:divsChild>
            <w:div w:id="294139591">
              <w:marLeft w:val="0"/>
              <w:marRight w:val="0"/>
              <w:marTop w:val="0"/>
              <w:marBottom w:val="0"/>
              <w:divBdr>
                <w:top w:val="none" w:sz="0" w:space="0" w:color="auto"/>
                <w:left w:val="none" w:sz="0" w:space="0" w:color="auto"/>
                <w:bottom w:val="none" w:sz="0" w:space="0" w:color="auto"/>
                <w:right w:val="none" w:sz="0" w:space="0" w:color="auto"/>
              </w:divBdr>
              <w:divsChild>
                <w:div w:id="294156579">
                  <w:marLeft w:val="0"/>
                  <w:marRight w:val="0"/>
                  <w:marTop w:val="0"/>
                  <w:marBottom w:val="0"/>
                  <w:divBdr>
                    <w:top w:val="none" w:sz="0" w:space="0" w:color="auto"/>
                    <w:left w:val="none" w:sz="0" w:space="0" w:color="auto"/>
                    <w:bottom w:val="none" w:sz="0" w:space="0" w:color="auto"/>
                    <w:right w:val="none" w:sz="0" w:space="0" w:color="auto"/>
                  </w:divBdr>
                  <w:divsChild>
                    <w:div w:id="294138020">
                      <w:marLeft w:val="0"/>
                      <w:marRight w:val="0"/>
                      <w:marTop w:val="0"/>
                      <w:marBottom w:val="0"/>
                      <w:divBdr>
                        <w:top w:val="none" w:sz="0" w:space="0" w:color="auto"/>
                        <w:left w:val="none" w:sz="0" w:space="0" w:color="auto"/>
                        <w:bottom w:val="none" w:sz="0" w:space="0" w:color="auto"/>
                        <w:right w:val="none" w:sz="0" w:space="0" w:color="auto"/>
                      </w:divBdr>
                    </w:div>
                    <w:div w:id="294138102">
                      <w:marLeft w:val="0"/>
                      <w:marRight w:val="0"/>
                      <w:marTop w:val="0"/>
                      <w:marBottom w:val="0"/>
                      <w:divBdr>
                        <w:top w:val="none" w:sz="0" w:space="0" w:color="auto"/>
                        <w:left w:val="none" w:sz="0" w:space="0" w:color="auto"/>
                        <w:bottom w:val="none" w:sz="0" w:space="0" w:color="auto"/>
                        <w:right w:val="none" w:sz="0" w:space="0" w:color="auto"/>
                      </w:divBdr>
                      <w:divsChild>
                        <w:div w:id="294143219">
                          <w:marLeft w:val="0"/>
                          <w:marRight w:val="0"/>
                          <w:marTop w:val="0"/>
                          <w:marBottom w:val="0"/>
                          <w:divBdr>
                            <w:top w:val="none" w:sz="0" w:space="0" w:color="auto"/>
                            <w:left w:val="none" w:sz="0" w:space="0" w:color="auto"/>
                            <w:bottom w:val="none" w:sz="0" w:space="0" w:color="auto"/>
                            <w:right w:val="none" w:sz="0" w:space="0" w:color="auto"/>
                          </w:divBdr>
                        </w:div>
                      </w:divsChild>
                    </w:div>
                    <w:div w:id="294138157">
                      <w:marLeft w:val="0"/>
                      <w:marRight w:val="0"/>
                      <w:marTop w:val="0"/>
                      <w:marBottom w:val="0"/>
                      <w:divBdr>
                        <w:top w:val="none" w:sz="0" w:space="0" w:color="auto"/>
                        <w:left w:val="none" w:sz="0" w:space="0" w:color="auto"/>
                        <w:bottom w:val="none" w:sz="0" w:space="0" w:color="auto"/>
                        <w:right w:val="none" w:sz="0" w:space="0" w:color="auto"/>
                      </w:divBdr>
                    </w:div>
                    <w:div w:id="294138161">
                      <w:marLeft w:val="0"/>
                      <w:marRight w:val="0"/>
                      <w:marTop w:val="0"/>
                      <w:marBottom w:val="0"/>
                      <w:divBdr>
                        <w:top w:val="none" w:sz="0" w:space="0" w:color="auto"/>
                        <w:left w:val="none" w:sz="0" w:space="0" w:color="auto"/>
                        <w:bottom w:val="none" w:sz="0" w:space="0" w:color="auto"/>
                        <w:right w:val="none" w:sz="0" w:space="0" w:color="auto"/>
                      </w:divBdr>
                    </w:div>
                    <w:div w:id="294138195">
                      <w:marLeft w:val="0"/>
                      <w:marRight w:val="0"/>
                      <w:marTop w:val="0"/>
                      <w:marBottom w:val="0"/>
                      <w:divBdr>
                        <w:top w:val="none" w:sz="0" w:space="0" w:color="auto"/>
                        <w:left w:val="none" w:sz="0" w:space="0" w:color="auto"/>
                        <w:bottom w:val="none" w:sz="0" w:space="0" w:color="auto"/>
                        <w:right w:val="none" w:sz="0" w:space="0" w:color="auto"/>
                      </w:divBdr>
                      <w:divsChild>
                        <w:div w:id="294145204">
                          <w:marLeft w:val="0"/>
                          <w:marRight w:val="0"/>
                          <w:marTop w:val="0"/>
                          <w:marBottom w:val="0"/>
                          <w:divBdr>
                            <w:top w:val="none" w:sz="0" w:space="0" w:color="auto"/>
                            <w:left w:val="none" w:sz="0" w:space="0" w:color="auto"/>
                            <w:bottom w:val="none" w:sz="0" w:space="0" w:color="auto"/>
                            <w:right w:val="none" w:sz="0" w:space="0" w:color="auto"/>
                          </w:divBdr>
                        </w:div>
                      </w:divsChild>
                    </w:div>
                    <w:div w:id="294138299">
                      <w:marLeft w:val="0"/>
                      <w:marRight w:val="0"/>
                      <w:marTop w:val="0"/>
                      <w:marBottom w:val="0"/>
                      <w:divBdr>
                        <w:top w:val="none" w:sz="0" w:space="0" w:color="auto"/>
                        <w:left w:val="none" w:sz="0" w:space="0" w:color="auto"/>
                        <w:bottom w:val="none" w:sz="0" w:space="0" w:color="auto"/>
                        <w:right w:val="none" w:sz="0" w:space="0" w:color="auto"/>
                      </w:divBdr>
                    </w:div>
                    <w:div w:id="294138338">
                      <w:marLeft w:val="0"/>
                      <w:marRight w:val="0"/>
                      <w:marTop w:val="0"/>
                      <w:marBottom w:val="0"/>
                      <w:divBdr>
                        <w:top w:val="none" w:sz="0" w:space="0" w:color="auto"/>
                        <w:left w:val="none" w:sz="0" w:space="0" w:color="auto"/>
                        <w:bottom w:val="none" w:sz="0" w:space="0" w:color="auto"/>
                        <w:right w:val="none" w:sz="0" w:space="0" w:color="auto"/>
                      </w:divBdr>
                      <w:divsChild>
                        <w:div w:id="294149482">
                          <w:marLeft w:val="0"/>
                          <w:marRight w:val="0"/>
                          <w:marTop w:val="0"/>
                          <w:marBottom w:val="0"/>
                          <w:divBdr>
                            <w:top w:val="none" w:sz="0" w:space="0" w:color="auto"/>
                            <w:left w:val="none" w:sz="0" w:space="0" w:color="auto"/>
                            <w:bottom w:val="none" w:sz="0" w:space="0" w:color="auto"/>
                            <w:right w:val="none" w:sz="0" w:space="0" w:color="auto"/>
                          </w:divBdr>
                        </w:div>
                      </w:divsChild>
                    </w:div>
                    <w:div w:id="294138443">
                      <w:marLeft w:val="0"/>
                      <w:marRight w:val="0"/>
                      <w:marTop w:val="0"/>
                      <w:marBottom w:val="0"/>
                      <w:divBdr>
                        <w:top w:val="none" w:sz="0" w:space="0" w:color="auto"/>
                        <w:left w:val="none" w:sz="0" w:space="0" w:color="auto"/>
                        <w:bottom w:val="none" w:sz="0" w:space="0" w:color="auto"/>
                        <w:right w:val="none" w:sz="0" w:space="0" w:color="auto"/>
                      </w:divBdr>
                    </w:div>
                    <w:div w:id="294138519">
                      <w:marLeft w:val="0"/>
                      <w:marRight w:val="0"/>
                      <w:marTop w:val="0"/>
                      <w:marBottom w:val="0"/>
                      <w:divBdr>
                        <w:top w:val="none" w:sz="0" w:space="0" w:color="auto"/>
                        <w:left w:val="none" w:sz="0" w:space="0" w:color="auto"/>
                        <w:bottom w:val="none" w:sz="0" w:space="0" w:color="auto"/>
                        <w:right w:val="none" w:sz="0" w:space="0" w:color="auto"/>
                      </w:divBdr>
                      <w:divsChild>
                        <w:div w:id="294143761">
                          <w:marLeft w:val="0"/>
                          <w:marRight w:val="0"/>
                          <w:marTop w:val="0"/>
                          <w:marBottom w:val="0"/>
                          <w:divBdr>
                            <w:top w:val="none" w:sz="0" w:space="0" w:color="auto"/>
                            <w:left w:val="none" w:sz="0" w:space="0" w:color="auto"/>
                            <w:bottom w:val="none" w:sz="0" w:space="0" w:color="auto"/>
                            <w:right w:val="none" w:sz="0" w:space="0" w:color="auto"/>
                          </w:divBdr>
                        </w:div>
                      </w:divsChild>
                    </w:div>
                    <w:div w:id="294138521">
                      <w:marLeft w:val="0"/>
                      <w:marRight w:val="0"/>
                      <w:marTop w:val="0"/>
                      <w:marBottom w:val="0"/>
                      <w:divBdr>
                        <w:top w:val="none" w:sz="0" w:space="0" w:color="auto"/>
                        <w:left w:val="none" w:sz="0" w:space="0" w:color="auto"/>
                        <w:bottom w:val="none" w:sz="0" w:space="0" w:color="auto"/>
                        <w:right w:val="none" w:sz="0" w:space="0" w:color="auto"/>
                      </w:divBdr>
                      <w:divsChild>
                        <w:div w:id="294157456">
                          <w:marLeft w:val="0"/>
                          <w:marRight w:val="0"/>
                          <w:marTop w:val="0"/>
                          <w:marBottom w:val="0"/>
                          <w:divBdr>
                            <w:top w:val="none" w:sz="0" w:space="0" w:color="auto"/>
                            <w:left w:val="none" w:sz="0" w:space="0" w:color="auto"/>
                            <w:bottom w:val="none" w:sz="0" w:space="0" w:color="auto"/>
                            <w:right w:val="none" w:sz="0" w:space="0" w:color="auto"/>
                          </w:divBdr>
                        </w:div>
                      </w:divsChild>
                    </w:div>
                    <w:div w:id="294138545">
                      <w:marLeft w:val="0"/>
                      <w:marRight w:val="0"/>
                      <w:marTop w:val="0"/>
                      <w:marBottom w:val="0"/>
                      <w:divBdr>
                        <w:top w:val="none" w:sz="0" w:space="0" w:color="auto"/>
                        <w:left w:val="none" w:sz="0" w:space="0" w:color="auto"/>
                        <w:bottom w:val="none" w:sz="0" w:space="0" w:color="auto"/>
                        <w:right w:val="none" w:sz="0" w:space="0" w:color="auto"/>
                      </w:divBdr>
                      <w:divsChild>
                        <w:div w:id="294143443">
                          <w:marLeft w:val="0"/>
                          <w:marRight w:val="0"/>
                          <w:marTop w:val="0"/>
                          <w:marBottom w:val="0"/>
                          <w:divBdr>
                            <w:top w:val="none" w:sz="0" w:space="0" w:color="auto"/>
                            <w:left w:val="none" w:sz="0" w:space="0" w:color="auto"/>
                            <w:bottom w:val="none" w:sz="0" w:space="0" w:color="auto"/>
                            <w:right w:val="none" w:sz="0" w:space="0" w:color="auto"/>
                          </w:divBdr>
                        </w:div>
                      </w:divsChild>
                    </w:div>
                    <w:div w:id="294138593">
                      <w:marLeft w:val="0"/>
                      <w:marRight w:val="0"/>
                      <w:marTop w:val="0"/>
                      <w:marBottom w:val="0"/>
                      <w:divBdr>
                        <w:top w:val="none" w:sz="0" w:space="0" w:color="auto"/>
                        <w:left w:val="none" w:sz="0" w:space="0" w:color="auto"/>
                        <w:bottom w:val="none" w:sz="0" w:space="0" w:color="auto"/>
                        <w:right w:val="none" w:sz="0" w:space="0" w:color="auto"/>
                      </w:divBdr>
                      <w:divsChild>
                        <w:div w:id="294141892">
                          <w:marLeft w:val="0"/>
                          <w:marRight w:val="0"/>
                          <w:marTop w:val="0"/>
                          <w:marBottom w:val="0"/>
                          <w:divBdr>
                            <w:top w:val="none" w:sz="0" w:space="0" w:color="auto"/>
                            <w:left w:val="none" w:sz="0" w:space="0" w:color="auto"/>
                            <w:bottom w:val="none" w:sz="0" w:space="0" w:color="auto"/>
                            <w:right w:val="none" w:sz="0" w:space="0" w:color="auto"/>
                          </w:divBdr>
                        </w:div>
                      </w:divsChild>
                    </w:div>
                    <w:div w:id="294138694">
                      <w:marLeft w:val="0"/>
                      <w:marRight w:val="0"/>
                      <w:marTop w:val="0"/>
                      <w:marBottom w:val="0"/>
                      <w:divBdr>
                        <w:top w:val="none" w:sz="0" w:space="0" w:color="auto"/>
                        <w:left w:val="none" w:sz="0" w:space="0" w:color="auto"/>
                        <w:bottom w:val="none" w:sz="0" w:space="0" w:color="auto"/>
                        <w:right w:val="none" w:sz="0" w:space="0" w:color="auto"/>
                      </w:divBdr>
                      <w:divsChild>
                        <w:div w:id="294152674">
                          <w:marLeft w:val="0"/>
                          <w:marRight w:val="0"/>
                          <w:marTop w:val="0"/>
                          <w:marBottom w:val="0"/>
                          <w:divBdr>
                            <w:top w:val="none" w:sz="0" w:space="0" w:color="auto"/>
                            <w:left w:val="none" w:sz="0" w:space="0" w:color="auto"/>
                            <w:bottom w:val="none" w:sz="0" w:space="0" w:color="auto"/>
                            <w:right w:val="none" w:sz="0" w:space="0" w:color="auto"/>
                          </w:divBdr>
                        </w:div>
                      </w:divsChild>
                    </w:div>
                    <w:div w:id="294138708">
                      <w:marLeft w:val="0"/>
                      <w:marRight w:val="0"/>
                      <w:marTop w:val="0"/>
                      <w:marBottom w:val="0"/>
                      <w:divBdr>
                        <w:top w:val="none" w:sz="0" w:space="0" w:color="auto"/>
                        <w:left w:val="none" w:sz="0" w:space="0" w:color="auto"/>
                        <w:bottom w:val="none" w:sz="0" w:space="0" w:color="auto"/>
                        <w:right w:val="none" w:sz="0" w:space="0" w:color="auto"/>
                      </w:divBdr>
                      <w:divsChild>
                        <w:div w:id="294152743">
                          <w:marLeft w:val="0"/>
                          <w:marRight w:val="0"/>
                          <w:marTop w:val="0"/>
                          <w:marBottom w:val="0"/>
                          <w:divBdr>
                            <w:top w:val="none" w:sz="0" w:space="0" w:color="auto"/>
                            <w:left w:val="none" w:sz="0" w:space="0" w:color="auto"/>
                            <w:bottom w:val="none" w:sz="0" w:space="0" w:color="auto"/>
                            <w:right w:val="none" w:sz="0" w:space="0" w:color="auto"/>
                          </w:divBdr>
                        </w:div>
                      </w:divsChild>
                    </w:div>
                    <w:div w:id="294138715">
                      <w:marLeft w:val="0"/>
                      <w:marRight w:val="0"/>
                      <w:marTop w:val="0"/>
                      <w:marBottom w:val="0"/>
                      <w:divBdr>
                        <w:top w:val="none" w:sz="0" w:space="0" w:color="auto"/>
                        <w:left w:val="none" w:sz="0" w:space="0" w:color="auto"/>
                        <w:bottom w:val="none" w:sz="0" w:space="0" w:color="auto"/>
                        <w:right w:val="none" w:sz="0" w:space="0" w:color="auto"/>
                      </w:divBdr>
                    </w:div>
                    <w:div w:id="294138814">
                      <w:marLeft w:val="0"/>
                      <w:marRight w:val="0"/>
                      <w:marTop w:val="0"/>
                      <w:marBottom w:val="0"/>
                      <w:divBdr>
                        <w:top w:val="none" w:sz="0" w:space="0" w:color="auto"/>
                        <w:left w:val="none" w:sz="0" w:space="0" w:color="auto"/>
                        <w:bottom w:val="none" w:sz="0" w:space="0" w:color="auto"/>
                        <w:right w:val="none" w:sz="0" w:space="0" w:color="auto"/>
                      </w:divBdr>
                      <w:divsChild>
                        <w:div w:id="294148095">
                          <w:marLeft w:val="0"/>
                          <w:marRight w:val="0"/>
                          <w:marTop w:val="0"/>
                          <w:marBottom w:val="0"/>
                          <w:divBdr>
                            <w:top w:val="none" w:sz="0" w:space="0" w:color="auto"/>
                            <w:left w:val="none" w:sz="0" w:space="0" w:color="auto"/>
                            <w:bottom w:val="none" w:sz="0" w:space="0" w:color="auto"/>
                            <w:right w:val="none" w:sz="0" w:space="0" w:color="auto"/>
                          </w:divBdr>
                        </w:div>
                      </w:divsChild>
                    </w:div>
                    <w:div w:id="294138898">
                      <w:marLeft w:val="0"/>
                      <w:marRight w:val="0"/>
                      <w:marTop w:val="0"/>
                      <w:marBottom w:val="0"/>
                      <w:divBdr>
                        <w:top w:val="none" w:sz="0" w:space="0" w:color="auto"/>
                        <w:left w:val="none" w:sz="0" w:space="0" w:color="auto"/>
                        <w:bottom w:val="none" w:sz="0" w:space="0" w:color="auto"/>
                        <w:right w:val="none" w:sz="0" w:space="0" w:color="auto"/>
                      </w:divBdr>
                    </w:div>
                    <w:div w:id="294138933">
                      <w:marLeft w:val="0"/>
                      <w:marRight w:val="0"/>
                      <w:marTop w:val="0"/>
                      <w:marBottom w:val="0"/>
                      <w:divBdr>
                        <w:top w:val="none" w:sz="0" w:space="0" w:color="auto"/>
                        <w:left w:val="none" w:sz="0" w:space="0" w:color="auto"/>
                        <w:bottom w:val="none" w:sz="0" w:space="0" w:color="auto"/>
                        <w:right w:val="none" w:sz="0" w:space="0" w:color="auto"/>
                      </w:divBdr>
                    </w:div>
                    <w:div w:id="294138972">
                      <w:marLeft w:val="0"/>
                      <w:marRight w:val="0"/>
                      <w:marTop w:val="0"/>
                      <w:marBottom w:val="0"/>
                      <w:divBdr>
                        <w:top w:val="none" w:sz="0" w:space="0" w:color="auto"/>
                        <w:left w:val="none" w:sz="0" w:space="0" w:color="auto"/>
                        <w:bottom w:val="none" w:sz="0" w:space="0" w:color="auto"/>
                        <w:right w:val="none" w:sz="0" w:space="0" w:color="auto"/>
                      </w:divBdr>
                      <w:divsChild>
                        <w:div w:id="294154767">
                          <w:marLeft w:val="0"/>
                          <w:marRight w:val="0"/>
                          <w:marTop w:val="0"/>
                          <w:marBottom w:val="0"/>
                          <w:divBdr>
                            <w:top w:val="none" w:sz="0" w:space="0" w:color="auto"/>
                            <w:left w:val="none" w:sz="0" w:space="0" w:color="auto"/>
                            <w:bottom w:val="none" w:sz="0" w:space="0" w:color="auto"/>
                            <w:right w:val="none" w:sz="0" w:space="0" w:color="auto"/>
                          </w:divBdr>
                        </w:div>
                      </w:divsChild>
                    </w:div>
                    <w:div w:id="294138979">
                      <w:marLeft w:val="0"/>
                      <w:marRight w:val="0"/>
                      <w:marTop w:val="0"/>
                      <w:marBottom w:val="0"/>
                      <w:divBdr>
                        <w:top w:val="none" w:sz="0" w:space="0" w:color="auto"/>
                        <w:left w:val="none" w:sz="0" w:space="0" w:color="auto"/>
                        <w:bottom w:val="none" w:sz="0" w:space="0" w:color="auto"/>
                        <w:right w:val="none" w:sz="0" w:space="0" w:color="auto"/>
                      </w:divBdr>
                      <w:divsChild>
                        <w:div w:id="294149942">
                          <w:marLeft w:val="0"/>
                          <w:marRight w:val="0"/>
                          <w:marTop w:val="0"/>
                          <w:marBottom w:val="0"/>
                          <w:divBdr>
                            <w:top w:val="none" w:sz="0" w:space="0" w:color="auto"/>
                            <w:left w:val="none" w:sz="0" w:space="0" w:color="auto"/>
                            <w:bottom w:val="none" w:sz="0" w:space="0" w:color="auto"/>
                            <w:right w:val="none" w:sz="0" w:space="0" w:color="auto"/>
                          </w:divBdr>
                        </w:div>
                      </w:divsChild>
                    </w:div>
                    <w:div w:id="294138983">
                      <w:marLeft w:val="0"/>
                      <w:marRight w:val="0"/>
                      <w:marTop w:val="0"/>
                      <w:marBottom w:val="0"/>
                      <w:divBdr>
                        <w:top w:val="none" w:sz="0" w:space="0" w:color="auto"/>
                        <w:left w:val="none" w:sz="0" w:space="0" w:color="auto"/>
                        <w:bottom w:val="none" w:sz="0" w:space="0" w:color="auto"/>
                        <w:right w:val="none" w:sz="0" w:space="0" w:color="auto"/>
                      </w:divBdr>
                      <w:divsChild>
                        <w:div w:id="294139416">
                          <w:marLeft w:val="0"/>
                          <w:marRight w:val="0"/>
                          <w:marTop w:val="0"/>
                          <w:marBottom w:val="0"/>
                          <w:divBdr>
                            <w:top w:val="none" w:sz="0" w:space="0" w:color="auto"/>
                            <w:left w:val="none" w:sz="0" w:space="0" w:color="auto"/>
                            <w:bottom w:val="none" w:sz="0" w:space="0" w:color="auto"/>
                            <w:right w:val="none" w:sz="0" w:space="0" w:color="auto"/>
                          </w:divBdr>
                        </w:div>
                      </w:divsChild>
                    </w:div>
                    <w:div w:id="294139014">
                      <w:marLeft w:val="0"/>
                      <w:marRight w:val="0"/>
                      <w:marTop w:val="0"/>
                      <w:marBottom w:val="0"/>
                      <w:divBdr>
                        <w:top w:val="none" w:sz="0" w:space="0" w:color="auto"/>
                        <w:left w:val="none" w:sz="0" w:space="0" w:color="auto"/>
                        <w:bottom w:val="none" w:sz="0" w:space="0" w:color="auto"/>
                        <w:right w:val="none" w:sz="0" w:space="0" w:color="auto"/>
                      </w:divBdr>
                    </w:div>
                    <w:div w:id="294139030">
                      <w:marLeft w:val="0"/>
                      <w:marRight w:val="0"/>
                      <w:marTop w:val="0"/>
                      <w:marBottom w:val="0"/>
                      <w:divBdr>
                        <w:top w:val="none" w:sz="0" w:space="0" w:color="auto"/>
                        <w:left w:val="none" w:sz="0" w:space="0" w:color="auto"/>
                        <w:bottom w:val="none" w:sz="0" w:space="0" w:color="auto"/>
                        <w:right w:val="none" w:sz="0" w:space="0" w:color="auto"/>
                      </w:divBdr>
                    </w:div>
                    <w:div w:id="294139045">
                      <w:marLeft w:val="0"/>
                      <w:marRight w:val="0"/>
                      <w:marTop w:val="0"/>
                      <w:marBottom w:val="0"/>
                      <w:divBdr>
                        <w:top w:val="none" w:sz="0" w:space="0" w:color="auto"/>
                        <w:left w:val="none" w:sz="0" w:space="0" w:color="auto"/>
                        <w:bottom w:val="none" w:sz="0" w:space="0" w:color="auto"/>
                        <w:right w:val="none" w:sz="0" w:space="0" w:color="auto"/>
                      </w:divBdr>
                      <w:divsChild>
                        <w:div w:id="294139484">
                          <w:marLeft w:val="0"/>
                          <w:marRight w:val="0"/>
                          <w:marTop w:val="0"/>
                          <w:marBottom w:val="0"/>
                          <w:divBdr>
                            <w:top w:val="none" w:sz="0" w:space="0" w:color="auto"/>
                            <w:left w:val="none" w:sz="0" w:space="0" w:color="auto"/>
                            <w:bottom w:val="none" w:sz="0" w:space="0" w:color="auto"/>
                            <w:right w:val="none" w:sz="0" w:space="0" w:color="auto"/>
                          </w:divBdr>
                        </w:div>
                      </w:divsChild>
                    </w:div>
                    <w:div w:id="294139112">
                      <w:marLeft w:val="0"/>
                      <w:marRight w:val="0"/>
                      <w:marTop w:val="0"/>
                      <w:marBottom w:val="0"/>
                      <w:divBdr>
                        <w:top w:val="none" w:sz="0" w:space="0" w:color="auto"/>
                        <w:left w:val="none" w:sz="0" w:space="0" w:color="auto"/>
                        <w:bottom w:val="none" w:sz="0" w:space="0" w:color="auto"/>
                        <w:right w:val="none" w:sz="0" w:space="0" w:color="auto"/>
                      </w:divBdr>
                    </w:div>
                    <w:div w:id="294139137">
                      <w:marLeft w:val="0"/>
                      <w:marRight w:val="0"/>
                      <w:marTop w:val="0"/>
                      <w:marBottom w:val="0"/>
                      <w:divBdr>
                        <w:top w:val="none" w:sz="0" w:space="0" w:color="auto"/>
                        <w:left w:val="none" w:sz="0" w:space="0" w:color="auto"/>
                        <w:bottom w:val="none" w:sz="0" w:space="0" w:color="auto"/>
                        <w:right w:val="none" w:sz="0" w:space="0" w:color="auto"/>
                      </w:divBdr>
                    </w:div>
                    <w:div w:id="294139245">
                      <w:marLeft w:val="0"/>
                      <w:marRight w:val="0"/>
                      <w:marTop w:val="0"/>
                      <w:marBottom w:val="0"/>
                      <w:divBdr>
                        <w:top w:val="none" w:sz="0" w:space="0" w:color="auto"/>
                        <w:left w:val="none" w:sz="0" w:space="0" w:color="auto"/>
                        <w:bottom w:val="none" w:sz="0" w:space="0" w:color="auto"/>
                        <w:right w:val="none" w:sz="0" w:space="0" w:color="auto"/>
                      </w:divBdr>
                    </w:div>
                    <w:div w:id="294139251">
                      <w:marLeft w:val="0"/>
                      <w:marRight w:val="0"/>
                      <w:marTop w:val="0"/>
                      <w:marBottom w:val="0"/>
                      <w:divBdr>
                        <w:top w:val="none" w:sz="0" w:space="0" w:color="auto"/>
                        <w:left w:val="none" w:sz="0" w:space="0" w:color="auto"/>
                        <w:bottom w:val="none" w:sz="0" w:space="0" w:color="auto"/>
                        <w:right w:val="none" w:sz="0" w:space="0" w:color="auto"/>
                      </w:divBdr>
                    </w:div>
                    <w:div w:id="294139269">
                      <w:marLeft w:val="0"/>
                      <w:marRight w:val="0"/>
                      <w:marTop w:val="0"/>
                      <w:marBottom w:val="0"/>
                      <w:divBdr>
                        <w:top w:val="none" w:sz="0" w:space="0" w:color="auto"/>
                        <w:left w:val="none" w:sz="0" w:space="0" w:color="auto"/>
                        <w:bottom w:val="none" w:sz="0" w:space="0" w:color="auto"/>
                        <w:right w:val="none" w:sz="0" w:space="0" w:color="auto"/>
                      </w:divBdr>
                    </w:div>
                    <w:div w:id="294139324">
                      <w:marLeft w:val="0"/>
                      <w:marRight w:val="0"/>
                      <w:marTop w:val="0"/>
                      <w:marBottom w:val="0"/>
                      <w:divBdr>
                        <w:top w:val="none" w:sz="0" w:space="0" w:color="auto"/>
                        <w:left w:val="none" w:sz="0" w:space="0" w:color="auto"/>
                        <w:bottom w:val="none" w:sz="0" w:space="0" w:color="auto"/>
                        <w:right w:val="none" w:sz="0" w:space="0" w:color="auto"/>
                      </w:divBdr>
                      <w:divsChild>
                        <w:div w:id="294145934">
                          <w:marLeft w:val="0"/>
                          <w:marRight w:val="0"/>
                          <w:marTop w:val="0"/>
                          <w:marBottom w:val="0"/>
                          <w:divBdr>
                            <w:top w:val="none" w:sz="0" w:space="0" w:color="auto"/>
                            <w:left w:val="none" w:sz="0" w:space="0" w:color="auto"/>
                            <w:bottom w:val="none" w:sz="0" w:space="0" w:color="auto"/>
                            <w:right w:val="none" w:sz="0" w:space="0" w:color="auto"/>
                          </w:divBdr>
                        </w:div>
                      </w:divsChild>
                    </w:div>
                    <w:div w:id="294139414">
                      <w:marLeft w:val="0"/>
                      <w:marRight w:val="0"/>
                      <w:marTop w:val="0"/>
                      <w:marBottom w:val="0"/>
                      <w:divBdr>
                        <w:top w:val="none" w:sz="0" w:space="0" w:color="auto"/>
                        <w:left w:val="none" w:sz="0" w:space="0" w:color="auto"/>
                        <w:bottom w:val="none" w:sz="0" w:space="0" w:color="auto"/>
                        <w:right w:val="none" w:sz="0" w:space="0" w:color="auto"/>
                      </w:divBdr>
                      <w:divsChild>
                        <w:div w:id="294155060">
                          <w:marLeft w:val="0"/>
                          <w:marRight w:val="0"/>
                          <w:marTop w:val="0"/>
                          <w:marBottom w:val="0"/>
                          <w:divBdr>
                            <w:top w:val="none" w:sz="0" w:space="0" w:color="auto"/>
                            <w:left w:val="none" w:sz="0" w:space="0" w:color="auto"/>
                            <w:bottom w:val="none" w:sz="0" w:space="0" w:color="auto"/>
                            <w:right w:val="none" w:sz="0" w:space="0" w:color="auto"/>
                          </w:divBdr>
                        </w:div>
                      </w:divsChild>
                    </w:div>
                    <w:div w:id="294139476">
                      <w:marLeft w:val="0"/>
                      <w:marRight w:val="0"/>
                      <w:marTop w:val="0"/>
                      <w:marBottom w:val="0"/>
                      <w:divBdr>
                        <w:top w:val="none" w:sz="0" w:space="0" w:color="auto"/>
                        <w:left w:val="none" w:sz="0" w:space="0" w:color="auto"/>
                        <w:bottom w:val="none" w:sz="0" w:space="0" w:color="auto"/>
                        <w:right w:val="none" w:sz="0" w:space="0" w:color="auto"/>
                      </w:divBdr>
                      <w:divsChild>
                        <w:div w:id="294156060">
                          <w:marLeft w:val="0"/>
                          <w:marRight w:val="0"/>
                          <w:marTop w:val="0"/>
                          <w:marBottom w:val="0"/>
                          <w:divBdr>
                            <w:top w:val="none" w:sz="0" w:space="0" w:color="auto"/>
                            <w:left w:val="none" w:sz="0" w:space="0" w:color="auto"/>
                            <w:bottom w:val="none" w:sz="0" w:space="0" w:color="auto"/>
                            <w:right w:val="none" w:sz="0" w:space="0" w:color="auto"/>
                          </w:divBdr>
                        </w:div>
                      </w:divsChild>
                    </w:div>
                    <w:div w:id="294139514">
                      <w:marLeft w:val="0"/>
                      <w:marRight w:val="0"/>
                      <w:marTop w:val="0"/>
                      <w:marBottom w:val="0"/>
                      <w:divBdr>
                        <w:top w:val="none" w:sz="0" w:space="0" w:color="auto"/>
                        <w:left w:val="none" w:sz="0" w:space="0" w:color="auto"/>
                        <w:bottom w:val="none" w:sz="0" w:space="0" w:color="auto"/>
                        <w:right w:val="none" w:sz="0" w:space="0" w:color="auto"/>
                      </w:divBdr>
                    </w:div>
                    <w:div w:id="294139544">
                      <w:marLeft w:val="0"/>
                      <w:marRight w:val="0"/>
                      <w:marTop w:val="0"/>
                      <w:marBottom w:val="0"/>
                      <w:divBdr>
                        <w:top w:val="none" w:sz="0" w:space="0" w:color="auto"/>
                        <w:left w:val="none" w:sz="0" w:space="0" w:color="auto"/>
                        <w:bottom w:val="none" w:sz="0" w:space="0" w:color="auto"/>
                        <w:right w:val="none" w:sz="0" w:space="0" w:color="auto"/>
                      </w:divBdr>
                    </w:div>
                    <w:div w:id="294139727">
                      <w:marLeft w:val="0"/>
                      <w:marRight w:val="0"/>
                      <w:marTop w:val="0"/>
                      <w:marBottom w:val="0"/>
                      <w:divBdr>
                        <w:top w:val="none" w:sz="0" w:space="0" w:color="auto"/>
                        <w:left w:val="none" w:sz="0" w:space="0" w:color="auto"/>
                        <w:bottom w:val="none" w:sz="0" w:space="0" w:color="auto"/>
                        <w:right w:val="none" w:sz="0" w:space="0" w:color="auto"/>
                      </w:divBdr>
                    </w:div>
                    <w:div w:id="294139792">
                      <w:marLeft w:val="0"/>
                      <w:marRight w:val="0"/>
                      <w:marTop w:val="0"/>
                      <w:marBottom w:val="0"/>
                      <w:divBdr>
                        <w:top w:val="none" w:sz="0" w:space="0" w:color="auto"/>
                        <w:left w:val="none" w:sz="0" w:space="0" w:color="auto"/>
                        <w:bottom w:val="none" w:sz="0" w:space="0" w:color="auto"/>
                        <w:right w:val="none" w:sz="0" w:space="0" w:color="auto"/>
                      </w:divBdr>
                      <w:divsChild>
                        <w:div w:id="294138907">
                          <w:marLeft w:val="0"/>
                          <w:marRight w:val="0"/>
                          <w:marTop w:val="0"/>
                          <w:marBottom w:val="0"/>
                          <w:divBdr>
                            <w:top w:val="none" w:sz="0" w:space="0" w:color="auto"/>
                            <w:left w:val="none" w:sz="0" w:space="0" w:color="auto"/>
                            <w:bottom w:val="none" w:sz="0" w:space="0" w:color="auto"/>
                            <w:right w:val="none" w:sz="0" w:space="0" w:color="auto"/>
                          </w:divBdr>
                        </w:div>
                      </w:divsChild>
                    </w:div>
                    <w:div w:id="294139807">
                      <w:marLeft w:val="0"/>
                      <w:marRight w:val="0"/>
                      <w:marTop w:val="0"/>
                      <w:marBottom w:val="0"/>
                      <w:divBdr>
                        <w:top w:val="none" w:sz="0" w:space="0" w:color="auto"/>
                        <w:left w:val="none" w:sz="0" w:space="0" w:color="auto"/>
                        <w:bottom w:val="none" w:sz="0" w:space="0" w:color="auto"/>
                        <w:right w:val="none" w:sz="0" w:space="0" w:color="auto"/>
                      </w:divBdr>
                      <w:divsChild>
                        <w:div w:id="294153001">
                          <w:marLeft w:val="0"/>
                          <w:marRight w:val="0"/>
                          <w:marTop w:val="0"/>
                          <w:marBottom w:val="0"/>
                          <w:divBdr>
                            <w:top w:val="none" w:sz="0" w:space="0" w:color="auto"/>
                            <w:left w:val="none" w:sz="0" w:space="0" w:color="auto"/>
                            <w:bottom w:val="none" w:sz="0" w:space="0" w:color="auto"/>
                            <w:right w:val="none" w:sz="0" w:space="0" w:color="auto"/>
                          </w:divBdr>
                        </w:div>
                      </w:divsChild>
                    </w:div>
                    <w:div w:id="294139837">
                      <w:marLeft w:val="0"/>
                      <w:marRight w:val="0"/>
                      <w:marTop w:val="0"/>
                      <w:marBottom w:val="0"/>
                      <w:divBdr>
                        <w:top w:val="none" w:sz="0" w:space="0" w:color="auto"/>
                        <w:left w:val="none" w:sz="0" w:space="0" w:color="auto"/>
                        <w:bottom w:val="none" w:sz="0" w:space="0" w:color="auto"/>
                        <w:right w:val="none" w:sz="0" w:space="0" w:color="auto"/>
                      </w:divBdr>
                      <w:divsChild>
                        <w:div w:id="294155756">
                          <w:marLeft w:val="0"/>
                          <w:marRight w:val="0"/>
                          <w:marTop w:val="0"/>
                          <w:marBottom w:val="0"/>
                          <w:divBdr>
                            <w:top w:val="none" w:sz="0" w:space="0" w:color="auto"/>
                            <w:left w:val="none" w:sz="0" w:space="0" w:color="auto"/>
                            <w:bottom w:val="none" w:sz="0" w:space="0" w:color="auto"/>
                            <w:right w:val="none" w:sz="0" w:space="0" w:color="auto"/>
                          </w:divBdr>
                        </w:div>
                      </w:divsChild>
                    </w:div>
                    <w:div w:id="294140254">
                      <w:marLeft w:val="0"/>
                      <w:marRight w:val="0"/>
                      <w:marTop w:val="0"/>
                      <w:marBottom w:val="0"/>
                      <w:divBdr>
                        <w:top w:val="none" w:sz="0" w:space="0" w:color="auto"/>
                        <w:left w:val="none" w:sz="0" w:space="0" w:color="auto"/>
                        <w:bottom w:val="none" w:sz="0" w:space="0" w:color="auto"/>
                        <w:right w:val="none" w:sz="0" w:space="0" w:color="auto"/>
                      </w:divBdr>
                      <w:divsChild>
                        <w:div w:id="294144891">
                          <w:marLeft w:val="0"/>
                          <w:marRight w:val="0"/>
                          <w:marTop w:val="0"/>
                          <w:marBottom w:val="0"/>
                          <w:divBdr>
                            <w:top w:val="none" w:sz="0" w:space="0" w:color="auto"/>
                            <w:left w:val="none" w:sz="0" w:space="0" w:color="auto"/>
                            <w:bottom w:val="none" w:sz="0" w:space="0" w:color="auto"/>
                            <w:right w:val="none" w:sz="0" w:space="0" w:color="auto"/>
                          </w:divBdr>
                        </w:div>
                      </w:divsChild>
                    </w:div>
                    <w:div w:id="294140259">
                      <w:marLeft w:val="0"/>
                      <w:marRight w:val="0"/>
                      <w:marTop w:val="0"/>
                      <w:marBottom w:val="0"/>
                      <w:divBdr>
                        <w:top w:val="none" w:sz="0" w:space="0" w:color="auto"/>
                        <w:left w:val="none" w:sz="0" w:space="0" w:color="auto"/>
                        <w:bottom w:val="none" w:sz="0" w:space="0" w:color="auto"/>
                        <w:right w:val="none" w:sz="0" w:space="0" w:color="auto"/>
                      </w:divBdr>
                    </w:div>
                    <w:div w:id="294140355">
                      <w:marLeft w:val="0"/>
                      <w:marRight w:val="0"/>
                      <w:marTop w:val="0"/>
                      <w:marBottom w:val="0"/>
                      <w:divBdr>
                        <w:top w:val="none" w:sz="0" w:space="0" w:color="auto"/>
                        <w:left w:val="none" w:sz="0" w:space="0" w:color="auto"/>
                        <w:bottom w:val="none" w:sz="0" w:space="0" w:color="auto"/>
                        <w:right w:val="none" w:sz="0" w:space="0" w:color="auto"/>
                      </w:divBdr>
                    </w:div>
                    <w:div w:id="294140386">
                      <w:marLeft w:val="0"/>
                      <w:marRight w:val="0"/>
                      <w:marTop w:val="0"/>
                      <w:marBottom w:val="0"/>
                      <w:divBdr>
                        <w:top w:val="none" w:sz="0" w:space="0" w:color="auto"/>
                        <w:left w:val="none" w:sz="0" w:space="0" w:color="auto"/>
                        <w:bottom w:val="none" w:sz="0" w:space="0" w:color="auto"/>
                        <w:right w:val="none" w:sz="0" w:space="0" w:color="auto"/>
                      </w:divBdr>
                      <w:divsChild>
                        <w:div w:id="294143581">
                          <w:marLeft w:val="0"/>
                          <w:marRight w:val="0"/>
                          <w:marTop w:val="0"/>
                          <w:marBottom w:val="0"/>
                          <w:divBdr>
                            <w:top w:val="none" w:sz="0" w:space="0" w:color="auto"/>
                            <w:left w:val="none" w:sz="0" w:space="0" w:color="auto"/>
                            <w:bottom w:val="none" w:sz="0" w:space="0" w:color="auto"/>
                            <w:right w:val="none" w:sz="0" w:space="0" w:color="auto"/>
                          </w:divBdr>
                        </w:div>
                      </w:divsChild>
                    </w:div>
                    <w:div w:id="294140393">
                      <w:marLeft w:val="0"/>
                      <w:marRight w:val="0"/>
                      <w:marTop w:val="0"/>
                      <w:marBottom w:val="0"/>
                      <w:divBdr>
                        <w:top w:val="none" w:sz="0" w:space="0" w:color="auto"/>
                        <w:left w:val="none" w:sz="0" w:space="0" w:color="auto"/>
                        <w:bottom w:val="none" w:sz="0" w:space="0" w:color="auto"/>
                        <w:right w:val="none" w:sz="0" w:space="0" w:color="auto"/>
                      </w:divBdr>
                      <w:divsChild>
                        <w:div w:id="294156328">
                          <w:marLeft w:val="0"/>
                          <w:marRight w:val="0"/>
                          <w:marTop w:val="0"/>
                          <w:marBottom w:val="0"/>
                          <w:divBdr>
                            <w:top w:val="none" w:sz="0" w:space="0" w:color="auto"/>
                            <w:left w:val="none" w:sz="0" w:space="0" w:color="auto"/>
                            <w:bottom w:val="none" w:sz="0" w:space="0" w:color="auto"/>
                            <w:right w:val="none" w:sz="0" w:space="0" w:color="auto"/>
                          </w:divBdr>
                        </w:div>
                      </w:divsChild>
                    </w:div>
                    <w:div w:id="294140410">
                      <w:marLeft w:val="0"/>
                      <w:marRight w:val="0"/>
                      <w:marTop w:val="0"/>
                      <w:marBottom w:val="0"/>
                      <w:divBdr>
                        <w:top w:val="none" w:sz="0" w:space="0" w:color="auto"/>
                        <w:left w:val="none" w:sz="0" w:space="0" w:color="auto"/>
                        <w:bottom w:val="none" w:sz="0" w:space="0" w:color="auto"/>
                        <w:right w:val="none" w:sz="0" w:space="0" w:color="auto"/>
                      </w:divBdr>
                    </w:div>
                    <w:div w:id="294140659">
                      <w:marLeft w:val="0"/>
                      <w:marRight w:val="0"/>
                      <w:marTop w:val="0"/>
                      <w:marBottom w:val="0"/>
                      <w:divBdr>
                        <w:top w:val="none" w:sz="0" w:space="0" w:color="auto"/>
                        <w:left w:val="none" w:sz="0" w:space="0" w:color="auto"/>
                        <w:bottom w:val="none" w:sz="0" w:space="0" w:color="auto"/>
                        <w:right w:val="none" w:sz="0" w:space="0" w:color="auto"/>
                      </w:divBdr>
                    </w:div>
                    <w:div w:id="294140663">
                      <w:marLeft w:val="0"/>
                      <w:marRight w:val="0"/>
                      <w:marTop w:val="0"/>
                      <w:marBottom w:val="0"/>
                      <w:divBdr>
                        <w:top w:val="none" w:sz="0" w:space="0" w:color="auto"/>
                        <w:left w:val="none" w:sz="0" w:space="0" w:color="auto"/>
                        <w:bottom w:val="none" w:sz="0" w:space="0" w:color="auto"/>
                        <w:right w:val="none" w:sz="0" w:space="0" w:color="auto"/>
                      </w:divBdr>
                      <w:divsChild>
                        <w:div w:id="294141921">
                          <w:marLeft w:val="0"/>
                          <w:marRight w:val="0"/>
                          <w:marTop w:val="0"/>
                          <w:marBottom w:val="0"/>
                          <w:divBdr>
                            <w:top w:val="none" w:sz="0" w:space="0" w:color="auto"/>
                            <w:left w:val="none" w:sz="0" w:space="0" w:color="auto"/>
                            <w:bottom w:val="none" w:sz="0" w:space="0" w:color="auto"/>
                            <w:right w:val="none" w:sz="0" w:space="0" w:color="auto"/>
                          </w:divBdr>
                        </w:div>
                      </w:divsChild>
                    </w:div>
                    <w:div w:id="294140670">
                      <w:marLeft w:val="0"/>
                      <w:marRight w:val="0"/>
                      <w:marTop w:val="0"/>
                      <w:marBottom w:val="0"/>
                      <w:divBdr>
                        <w:top w:val="none" w:sz="0" w:space="0" w:color="auto"/>
                        <w:left w:val="none" w:sz="0" w:space="0" w:color="auto"/>
                        <w:bottom w:val="none" w:sz="0" w:space="0" w:color="auto"/>
                        <w:right w:val="none" w:sz="0" w:space="0" w:color="auto"/>
                      </w:divBdr>
                    </w:div>
                    <w:div w:id="294140795">
                      <w:marLeft w:val="0"/>
                      <w:marRight w:val="0"/>
                      <w:marTop w:val="0"/>
                      <w:marBottom w:val="0"/>
                      <w:divBdr>
                        <w:top w:val="none" w:sz="0" w:space="0" w:color="auto"/>
                        <w:left w:val="none" w:sz="0" w:space="0" w:color="auto"/>
                        <w:bottom w:val="none" w:sz="0" w:space="0" w:color="auto"/>
                        <w:right w:val="none" w:sz="0" w:space="0" w:color="auto"/>
                      </w:divBdr>
                    </w:div>
                    <w:div w:id="294140814">
                      <w:marLeft w:val="0"/>
                      <w:marRight w:val="0"/>
                      <w:marTop w:val="0"/>
                      <w:marBottom w:val="0"/>
                      <w:divBdr>
                        <w:top w:val="none" w:sz="0" w:space="0" w:color="auto"/>
                        <w:left w:val="none" w:sz="0" w:space="0" w:color="auto"/>
                        <w:bottom w:val="none" w:sz="0" w:space="0" w:color="auto"/>
                        <w:right w:val="none" w:sz="0" w:space="0" w:color="auto"/>
                      </w:divBdr>
                      <w:divsChild>
                        <w:div w:id="294149044">
                          <w:marLeft w:val="0"/>
                          <w:marRight w:val="0"/>
                          <w:marTop w:val="0"/>
                          <w:marBottom w:val="0"/>
                          <w:divBdr>
                            <w:top w:val="none" w:sz="0" w:space="0" w:color="auto"/>
                            <w:left w:val="none" w:sz="0" w:space="0" w:color="auto"/>
                            <w:bottom w:val="none" w:sz="0" w:space="0" w:color="auto"/>
                            <w:right w:val="none" w:sz="0" w:space="0" w:color="auto"/>
                          </w:divBdr>
                        </w:div>
                      </w:divsChild>
                    </w:div>
                    <w:div w:id="294140822">
                      <w:marLeft w:val="0"/>
                      <w:marRight w:val="0"/>
                      <w:marTop w:val="0"/>
                      <w:marBottom w:val="0"/>
                      <w:divBdr>
                        <w:top w:val="none" w:sz="0" w:space="0" w:color="auto"/>
                        <w:left w:val="none" w:sz="0" w:space="0" w:color="auto"/>
                        <w:bottom w:val="none" w:sz="0" w:space="0" w:color="auto"/>
                        <w:right w:val="none" w:sz="0" w:space="0" w:color="auto"/>
                      </w:divBdr>
                      <w:divsChild>
                        <w:div w:id="294153364">
                          <w:marLeft w:val="0"/>
                          <w:marRight w:val="0"/>
                          <w:marTop w:val="0"/>
                          <w:marBottom w:val="0"/>
                          <w:divBdr>
                            <w:top w:val="none" w:sz="0" w:space="0" w:color="auto"/>
                            <w:left w:val="none" w:sz="0" w:space="0" w:color="auto"/>
                            <w:bottom w:val="none" w:sz="0" w:space="0" w:color="auto"/>
                            <w:right w:val="none" w:sz="0" w:space="0" w:color="auto"/>
                          </w:divBdr>
                        </w:div>
                      </w:divsChild>
                    </w:div>
                    <w:div w:id="294140833">
                      <w:marLeft w:val="0"/>
                      <w:marRight w:val="0"/>
                      <w:marTop w:val="0"/>
                      <w:marBottom w:val="0"/>
                      <w:divBdr>
                        <w:top w:val="none" w:sz="0" w:space="0" w:color="auto"/>
                        <w:left w:val="none" w:sz="0" w:space="0" w:color="auto"/>
                        <w:bottom w:val="none" w:sz="0" w:space="0" w:color="auto"/>
                        <w:right w:val="none" w:sz="0" w:space="0" w:color="auto"/>
                      </w:divBdr>
                    </w:div>
                    <w:div w:id="294140871">
                      <w:marLeft w:val="0"/>
                      <w:marRight w:val="0"/>
                      <w:marTop w:val="0"/>
                      <w:marBottom w:val="0"/>
                      <w:divBdr>
                        <w:top w:val="none" w:sz="0" w:space="0" w:color="auto"/>
                        <w:left w:val="none" w:sz="0" w:space="0" w:color="auto"/>
                        <w:bottom w:val="none" w:sz="0" w:space="0" w:color="auto"/>
                        <w:right w:val="none" w:sz="0" w:space="0" w:color="auto"/>
                      </w:divBdr>
                    </w:div>
                    <w:div w:id="294140966">
                      <w:marLeft w:val="0"/>
                      <w:marRight w:val="0"/>
                      <w:marTop w:val="0"/>
                      <w:marBottom w:val="0"/>
                      <w:divBdr>
                        <w:top w:val="none" w:sz="0" w:space="0" w:color="auto"/>
                        <w:left w:val="none" w:sz="0" w:space="0" w:color="auto"/>
                        <w:bottom w:val="none" w:sz="0" w:space="0" w:color="auto"/>
                        <w:right w:val="none" w:sz="0" w:space="0" w:color="auto"/>
                      </w:divBdr>
                      <w:divsChild>
                        <w:div w:id="294139347">
                          <w:marLeft w:val="0"/>
                          <w:marRight w:val="0"/>
                          <w:marTop w:val="0"/>
                          <w:marBottom w:val="0"/>
                          <w:divBdr>
                            <w:top w:val="none" w:sz="0" w:space="0" w:color="auto"/>
                            <w:left w:val="none" w:sz="0" w:space="0" w:color="auto"/>
                            <w:bottom w:val="none" w:sz="0" w:space="0" w:color="auto"/>
                            <w:right w:val="none" w:sz="0" w:space="0" w:color="auto"/>
                          </w:divBdr>
                        </w:div>
                      </w:divsChild>
                    </w:div>
                    <w:div w:id="294141011">
                      <w:marLeft w:val="0"/>
                      <w:marRight w:val="0"/>
                      <w:marTop w:val="0"/>
                      <w:marBottom w:val="0"/>
                      <w:divBdr>
                        <w:top w:val="none" w:sz="0" w:space="0" w:color="auto"/>
                        <w:left w:val="none" w:sz="0" w:space="0" w:color="auto"/>
                        <w:bottom w:val="none" w:sz="0" w:space="0" w:color="auto"/>
                        <w:right w:val="none" w:sz="0" w:space="0" w:color="auto"/>
                      </w:divBdr>
                      <w:divsChild>
                        <w:div w:id="294152350">
                          <w:marLeft w:val="0"/>
                          <w:marRight w:val="0"/>
                          <w:marTop w:val="0"/>
                          <w:marBottom w:val="0"/>
                          <w:divBdr>
                            <w:top w:val="none" w:sz="0" w:space="0" w:color="auto"/>
                            <w:left w:val="none" w:sz="0" w:space="0" w:color="auto"/>
                            <w:bottom w:val="none" w:sz="0" w:space="0" w:color="auto"/>
                            <w:right w:val="none" w:sz="0" w:space="0" w:color="auto"/>
                          </w:divBdr>
                        </w:div>
                      </w:divsChild>
                    </w:div>
                    <w:div w:id="294141102">
                      <w:marLeft w:val="0"/>
                      <w:marRight w:val="0"/>
                      <w:marTop w:val="0"/>
                      <w:marBottom w:val="0"/>
                      <w:divBdr>
                        <w:top w:val="none" w:sz="0" w:space="0" w:color="auto"/>
                        <w:left w:val="none" w:sz="0" w:space="0" w:color="auto"/>
                        <w:bottom w:val="none" w:sz="0" w:space="0" w:color="auto"/>
                        <w:right w:val="none" w:sz="0" w:space="0" w:color="auto"/>
                      </w:divBdr>
                    </w:div>
                    <w:div w:id="294141124">
                      <w:marLeft w:val="0"/>
                      <w:marRight w:val="0"/>
                      <w:marTop w:val="0"/>
                      <w:marBottom w:val="0"/>
                      <w:divBdr>
                        <w:top w:val="none" w:sz="0" w:space="0" w:color="auto"/>
                        <w:left w:val="none" w:sz="0" w:space="0" w:color="auto"/>
                        <w:bottom w:val="none" w:sz="0" w:space="0" w:color="auto"/>
                        <w:right w:val="none" w:sz="0" w:space="0" w:color="auto"/>
                      </w:divBdr>
                      <w:divsChild>
                        <w:div w:id="294144759">
                          <w:marLeft w:val="0"/>
                          <w:marRight w:val="0"/>
                          <w:marTop w:val="0"/>
                          <w:marBottom w:val="0"/>
                          <w:divBdr>
                            <w:top w:val="none" w:sz="0" w:space="0" w:color="auto"/>
                            <w:left w:val="none" w:sz="0" w:space="0" w:color="auto"/>
                            <w:bottom w:val="none" w:sz="0" w:space="0" w:color="auto"/>
                            <w:right w:val="none" w:sz="0" w:space="0" w:color="auto"/>
                          </w:divBdr>
                        </w:div>
                      </w:divsChild>
                    </w:div>
                    <w:div w:id="294141315">
                      <w:marLeft w:val="0"/>
                      <w:marRight w:val="0"/>
                      <w:marTop w:val="0"/>
                      <w:marBottom w:val="0"/>
                      <w:divBdr>
                        <w:top w:val="none" w:sz="0" w:space="0" w:color="auto"/>
                        <w:left w:val="none" w:sz="0" w:space="0" w:color="auto"/>
                        <w:bottom w:val="none" w:sz="0" w:space="0" w:color="auto"/>
                        <w:right w:val="none" w:sz="0" w:space="0" w:color="auto"/>
                      </w:divBdr>
                    </w:div>
                    <w:div w:id="294141393">
                      <w:marLeft w:val="0"/>
                      <w:marRight w:val="0"/>
                      <w:marTop w:val="0"/>
                      <w:marBottom w:val="0"/>
                      <w:divBdr>
                        <w:top w:val="none" w:sz="0" w:space="0" w:color="auto"/>
                        <w:left w:val="none" w:sz="0" w:space="0" w:color="auto"/>
                        <w:bottom w:val="none" w:sz="0" w:space="0" w:color="auto"/>
                        <w:right w:val="none" w:sz="0" w:space="0" w:color="auto"/>
                      </w:divBdr>
                      <w:divsChild>
                        <w:div w:id="294150953">
                          <w:marLeft w:val="0"/>
                          <w:marRight w:val="0"/>
                          <w:marTop w:val="0"/>
                          <w:marBottom w:val="0"/>
                          <w:divBdr>
                            <w:top w:val="none" w:sz="0" w:space="0" w:color="auto"/>
                            <w:left w:val="none" w:sz="0" w:space="0" w:color="auto"/>
                            <w:bottom w:val="none" w:sz="0" w:space="0" w:color="auto"/>
                            <w:right w:val="none" w:sz="0" w:space="0" w:color="auto"/>
                          </w:divBdr>
                        </w:div>
                      </w:divsChild>
                    </w:div>
                    <w:div w:id="294141447">
                      <w:marLeft w:val="0"/>
                      <w:marRight w:val="0"/>
                      <w:marTop w:val="0"/>
                      <w:marBottom w:val="0"/>
                      <w:divBdr>
                        <w:top w:val="none" w:sz="0" w:space="0" w:color="auto"/>
                        <w:left w:val="none" w:sz="0" w:space="0" w:color="auto"/>
                        <w:bottom w:val="none" w:sz="0" w:space="0" w:color="auto"/>
                        <w:right w:val="none" w:sz="0" w:space="0" w:color="auto"/>
                      </w:divBdr>
                    </w:div>
                    <w:div w:id="294141494">
                      <w:marLeft w:val="0"/>
                      <w:marRight w:val="0"/>
                      <w:marTop w:val="0"/>
                      <w:marBottom w:val="0"/>
                      <w:divBdr>
                        <w:top w:val="none" w:sz="0" w:space="0" w:color="auto"/>
                        <w:left w:val="none" w:sz="0" w:space="0" w:color="auto"/>
                        <w:bottom w:val="none" w:sz="0" w:space="0" w:color="auto"/>
                        <w:right w:val="none" w:sz="0" w:space="0" w:color="auto"/>
                      </w:divBdr>
                      <w:divsChild>
                        <w:div w:id="294145766">
                          <w:marLeft w:val="0"/>
                          <w:marRight w:val="0"/>
                          <w:marTop w:val="0"/>
                          <w:marBottom w:val="0"/>
                          <w:divBdr>
                            <w:top w:val="none" w:sz="0" w:space="0" w:color="auto"/>
                            <w:left w:val="none" w:sz="0" w:space="0" w:color="auto"/>
                            <w:bottom w:val="none" w:sz="0" w:space="0" w:color="auto"/>
                            <w:right w:val="none" w:sz="0" w:space="0" w:color="auto"/>
                          </w:divBdr>
                        </w:div>
                      </w:divsChild>
                    </w:div>
                    <w:div w:id="294141498">
                      <w:marLeft w:val="0"/>
                      <w:marRight w:val="0"/>
                      <w:marTop w:val="0"/>
                      <w:marBottom w:val="0"/>
                      <w:divBdr>
                        <w:top w:val="none" w:sz="0" w:space="0" w:color="auto"/>
                        <w:left w:val="none" w:sz="0" w:space="0" w:color="auto"/>
                        <w:bottom w:val="none" w:sz="0" w:space="0" w:color="auto"/>
                        <w:right w:val="none" w:sz="0" w:space="0" w:color="auto"/>
                      </w:divBdr>
                      <w:divsChild>
                        <w:div w:id="294146546">
                          <w:marLeft w:val="0"/>
                          <w:marRight w:val="0"/>
                          <w:marTop w:val="0"/>
                          <w:marBottom w:val="0"/>
                          <w:divBdr>
                            <w:top w:val="none" w:sz="0" w:space="0" w:color="auto"/>
                            <w:left w:val="none" w:sz="0" w:space="0" w:color="auto"/>
                            <w:bottom w:val="none" w:sz="0" w:space="0" w:color="auto"/>
                            <w:right w:val="none" w:sz="0" w:space="0" w:color="auto"/>
                          </w:divBdr>
                        </w:div>
                      </w:divsChild>
                    </w:div>
                    <w:div w:id="294141511">
                      <w:marLeft w:val="0"/>
                      <w:marRight w:val="0"/>
                      <w:marTop w:val="0"/>
                      <w:marBottom w:val="0"/>
                      <w:divBdr>
                        <w:top w:val="none" w:sz="0" w:space="0" w:color="auto"/>
                        <w:left w:val="none" w:sz="0" w:space="0" w:color="auto"/>
                        <w:bottom w:val="none" w:sz="0" w:space="0" w:color="auto"/>
                        <w:right w:val="none" w:sz="0" w:space="0" w:color="auto"/>
                      </w:divBdr>
                      <w:divsChild>
                        <w:div w:id="294148763">
                          <w:marLeft w:val="0"/>
                          <w:marRight w:val="0"/>
                          <w:marTop w:val="0"/>
                          <w:marBottom w:val="0"/>
                          <w:divBdr>
                            <w:top w:val="none" w:sz="0" w:space="0" w:color="auto"/>
                            <w:left w:val="none" w:sz="0" w:space="0" w:color="auto"/>
                            <w:bottom w:val="none" w:sz="0" w:space="0" w:color="auto"/>
                            <w:right w:val="none" w:sz="0" w:space="0" w:color="auto"/>
                          </w:divBdr>
                        </w:div>
                      </w:divsChild>
                    </w:div>
                    <w:div w:id="294141567">
                      <w:marLeft w:val="0"/>
                      <w:marRight w:val="0"/>
                      <w:marTop w:val="0"/>
                      <w:marBottom w:val="0"/>
                      <w:divBdr>
                        <w:top w:val="none" w:sz="0" w:space="0" w:color="auto"/>
                        <w:left w:val="none" w:sz="0" w:space="0" w:color="auto"/>
                        <w:bottom w:val="none" w:sz="0" w:space="0" w:color="auto"/>
                        <w:right w:val="none" w:sz="0" w:space="0" w:color="auto"/>
                      </w:divBdr>
                      <w:divsChild>
                        <w:div w:id="294151039">
                          <w:marLeft w:val="0"/>
                          <w:marRight w:val="0"/>
                          <w:marTop w:val="0"/>
                          <w:marBottom w:val="0"/>
                          <w:divBdr>
                            <w:top w:val="none" w:sz="0" w:space="0" w:color="auto"/>
                            <w:left w:val="none" w:sz="0" w:space="0" w:color="auto"/>
                            <w:bottom w:val="none" w:sz="0" w:space="0" w:color="auto"/>
                            <w:right w:val="none" w:sz="0" w:space="0" w:color="auto"/>
                          </w:divBdr>
                        </w:div>
                      </w:divsChild>
                    </w:div>
                    <w:div w:id="294141598">
                      <w:marLeft w:val="0"/>
                      <w:marRight w:val="0"/>
                      <w:marTop w:val="0"/>
                      <w:marBottom w:val="0"/>
                      <w:divBdr>
                        <w:top w:val="none" w:sz="0" w:space="0" w:color="auto"/>
                        <w:left w:val="none" w:sz="0" w:space="0" w:color="auto"/>
                        <w:bottom w:val="none" w:sz="0" w:space="0" w:color="auto"/>
                        <w:right w:val="none" w:sz="0" w:space="0" w:color="auto"/>
                      </w:divBdr>
                      <w:divsChild>
                        <w:div w:id="294155156">
                          <w:marLeft w:val="0"/>
                          <w:marRight w:val="0"/>
                          <w:marTop w:val="0"/>
                          <w:marBottom w:val="0"/>
                          <w:divBdr>
                            <w:top w:val="none" w:sz="0" w:space="0" w:color="auto"/>
                            <w:left w:val="none" w:sz="0" w:space="0" w:color="auto"/>
                            <w:bottom w:val="none" w:sz="0" w:space="0" w:color="auto"/>
                            <w:right w:val="none" w:sz="0" w:space="0" w:color="auto"/>
                          </w:divBdr>
                        </w:div>
                      </w:divsChild>
                    </w:div>
                    <w:div w:id="294141646">
                      <w:marLeft w:val="0"/>
                      <w:marRight w:val="0"/>
                      <w:marTop w:val="0"/>
                      <w:marBottom w:val="0"/>
                      <w:divBdr>
                        <w:top w:val="none" w:sz="0" w:space="0" w:color="auto"/>
                        <w:left w:val="none" w:sz="0" w:space="0" w:color="auto"/>
                        <w:bottom w:val="none" w:sz="0" w:space="0" w:color="auto"/>
                        <w:right w:val="none" w:sz="0" w:space="0" w:color="auto"/>
                      </w:divBdr>
                    </w:div>
                    <w:div w:id="294141685">
                      <w:marLeft w:val="0"/>
                      <w:marRight w:val="0"/>
                      <w:marTop w:val="0"/>
                      <w:marBottom w:val="0"/>
                      <w:divBdr>
                        <w:top w:val="none" w:sz="0" w:space="0" w:color="auto"/>
                        <w:left w:val="none" w:sz="0" w:space="0" w:color="auto"/>
                        <w:bottom w:val="none" w:sz="0" w:space="0" w:color="auto"/>
                        <w:right w:val="none" w:sz="0" w:space="0" w:color="auto"/>
                      </w:divBdr>
                      <w:divsChild>
                        <w:div w:id="294138111">
                          <w:marLeft w:val="0"/>
                          <w:marRight w:val="0"/>
                          <w:marTop w:val="0"/>
                          <w:marBottom w:val="0"/>
                          <w:divBdr>
                            <w:top w:val="none" w:sz="0" w:space="0" w:color="auto"/>
                            <w:left w:val="none" w:sz="0" w:space="0" w:color="auto"/>
                            <w:bottom w:val="none" w:sz="0" w:space="0" w:color="auto"/>
                            <w:right w:val="none" w:sz="0" w:space="0" w:color="auto"/>
                          </w:divBdr>
                        </w:div>
                      </w:divsChild>
                    </w:div>
                    <w:div w:id="294141724">
                      <w:marLeft w:val="0"/>
                      <w:marRight w:val="0"/>
                      <w:marTop w:val="0"/>
                      <w:marBottom w:val="0"/>
                      <w:divBdr>
                        <w:top w:val="none" w:sz="0" w:space="0" w:color="auto"/>
                        <w:left w:val="none" w:sz="0" w:space="0" w:color="auto"/>
                        <w:bottom w:val="none" w:sz="0" w:space="0" w:color="auto"/>
                        <w:right w:val="none" w:sz="0" w:space="0" w:color="auto"/>
                      </w:divBdr>
                      <w:divsChild>
                        <w:div w:id="294149631">
                          <w:marLeft w:val="0"/>
                          <w:marRight w:val="0"/>
                          <w:marTop w:val="0"/>
                          <w:marBottom w:val="0"/>
                          <w:divBdr>
                            <w:top w:val="none" w:sz="0" w:space="0" w:color="auto"/>
                            <w:left w:val="none" w:sz="0" w:space="0" w:color="auto"/>
                            <w:bottom w:val="none" w:sz="0" w:space="0" w:color="auto"/>
                            <w:right w:val="none" w:sz="0" w:space="0" w:color="auto"/>
                          </w:divBdr>
                        </w:div>
                      </w:divsChild>
                    </w:div>
                    <w:div w:id="294141801">
                      <w:marLeft w:val="0"/>
                      <w:marRight w:val="0"/>
                      <w:marTop w:val="0"/>
                      <w:marBottom w:val="0"/>
                      <w:divBdr>
                        <w:top w:val="none" w:sz="0" w:space="0" w:color="auto"/>
                        <w:left w:val="none" w:sz="0" w:space="0" w:color="auto"/>
                        <w:bottom w:val="none" w:sz="0" w:space="0" w:color="auto"/>
                        <w:right w:val="none" w:sz="0" w:space="0" w:color="auto"/>
                      </w:divBdr>
                      <w:divsChild>
                        <w:div w:id="294140182">
                          <w:marLeft w:val="0"/>
                          <w:marRight w:val="0"/>
                          <w:marTop w:val="0"/>
                          <w:marBottom w:val="0"/>
                          <w:divBdr>
                            <w:top w:val="none" w:sz="0" w:space="0" w:color="auto"/>
                            <w:left w:val="none" w:sz="0" w:space="0" w:color="auto"/>
                            <w:bottom w:val="none" w:sz="0" w:space="0" w:color="auto"/>
                            <w:right w:val="none" w:sz="0" w:space="0" w:color="auto"/>
                          </w:divBdr>
                        </w:div>
                      </w:divsChild>
                    </w:div>
                    <w:div w:id="294141858">
                      <w:marLeft w:val="0"/>
                      <w:marRight w:val="0"/>
                      <w:marTop w:val="0"/>
                      <w:marBottom w:val="0"/>
                      <w:divBdr>
                        <w:top w:val="none" w:sz="0" w:space="0" w:color="auto"/>
                        <w:left w:val="none" w:sz="0" w:space="0" w:color="auto"/>
                        <w:bottom w:val="none" w:sz="0" w:space="0" w:color="auto"/>
                        <w:right w:val="none" w:sz="0" w:space="0" w:color="auto"/>
                      </w:divBdr>
                    </w:div>
                    <w:div w:id="294141875">
                      <w:marLeft w:val="0"/>
                      <w:marRight w:val="0"/>
                      <w:marTop w:val="0"/>
                      <w:marBottom w:val="0"/>
                      <w:divBdr>
                        <w:top w:val="none" w:sz="0" w:space="0" w:color="auto"/>
                        <w:left w:val="none" w:sz="0" w:space="0" w:color="auto"/>
                        <w:bottom w:val="none" w:sz="0" w:space="0" w:color="auto"/>
                        <w:right w:val="none" w:sz="0" w:space="0" w:color="auto"/>
                      </w:divBdr>
                      <w:divsChild>
                        <w:div w:id="294151213">
                          <w:marLeft w:val="0"/>
                          <w:marRight w:val="0"/>
                          <w:marTop w:val="0"/>
                          <w:marBottom w:val="0"/>
                          <w:divBdr>
                            <w:top w:val="none" w:sz="0" w:space="0" w:color="auto"/>
                            <w:left w:val="none" w:sz="0" w:space="0" w:color="auto"/>
                            <w:bottom w:val="none" w:sz="0" w:space="0" w:color="auto"/>
                            <w:right w:val="none" w:sz="0" w:space="0" w:color="auto"/>
                          </w:divBdr>
                        </w:div>
                      </w:divsChild>
                    </w:div>
                    <w:div w:id="294141886">
                      <w:marLeft w:val="0"/>
                      <w:marRight w:val="0"/>
                      <w:marTop w:val="0"/>
                      <w:marBottom w:val="0"/>
                      <w:divBdr>
                        <w:top w:val="none" w:sz="0" w:space="0" w:color="auto"/>
                        <w:left w:val="none" w:sz="0" w:space="0" w:color="auto"/>
                        <w:bottom w:val="none" w:sz="0" w:space="0" w:color="auto"/>
                        <w:right w:val="none" w:sz="0" w:space="0" w:color="auto"/>
                      </w:divBdr>
                      <w:divsChild>
                        <w:div w:id="294140627">
                          <w:marLeft w:val="0"/>
                          <w:marRight w:val="0"/>
                          <w:marTop w:val="0"/>
                          <w:marBottom w:val="0"/>
                          <w:divBdr>
                            <w:top w:val="none" w:sz="0" w:space="0" w:color="auto"/>
                            <w:left w:val="none" w:sz="0" w:space="0" w:color="auto"/>
                            <w:bottom w:val="none" w:sz="0" w:space="0" w:color="auto"/>
                            <w:right w:val="none" w:sz="0" w:space="0" w:color="auto"/>
                          </w:divBdr>
                        </w:div>
                      </w:divsChild>
                    </w:div>
                    <w:div w:id="294141909">
                      <w:marLeft w:val="0"/>
                      <w:marRight w:val="0"/>
                      <w:marTop w:val="0"/>
                      <w:marBottom w:val="0"/>
                      <w:divBdr>
                        <w:top w:val="none" w:sz="0" w:space="0" w:color="auto"/>
                        <w:left w:val="none" w:sz="0" w:space="0" w:color="auto"/>
                        <w:bottom w:val="none" w:sz="0" w:space="0" w:color="auto"/>
                        <w:right w:val="none" w:sz="0" w:space="0" w:color="auto"/>
                      </w:divBdr>
                    </w:div>
                    <w:div w:id="294141913">
                      <w:marLeft w:val="0"/>
                      <w:marRight w:val="0"/>
                      <w:marTop w:val="0"/>
                      <w:marBottom w:val="0"/>
                      <w:divBdr>
                        <w:top w:val="none" w:sz="0" w:space="0" w:color="auto"/>
                        <w:left w:val="none" w:sz="0" w:space="0" w:color="auto"/>
                        <w:bottom w:val="none" w:sz="0" w:space="0" w:color="auto"/>
                        <w:right w:val="none" w:sz="0" w:space="0" w:color="auto"/>
                      </w:divBdr>
                    </w:div>
                    <w:div w:id="294141946">
                      <w:marLeft w:val="0"/>
                      <w:marRight w:val="0"/>
                      <w:marTop w:val="0"/>
                      <w:marBottom w:val="0"/>
                      <w:divBdr>
                        <w:top w:val="none" w:sz="0" w:space="0" w:color="auto"/>
                        <w:left w:val="none" w:sz="0" w:space="0" w:color="auto"/>
                        <w:bottom w:val="none" w:sz="0" w:space="0" w:color="auto"/>
                        <w:right w:val="none" w:sz="0" w:space="0" w:color="auto"/>
                      </w:divBdr>
                      <w:divsChild>
                        <w:div w:id="294151104">
                          <w:marLeft w:val="0"/>
                          <w:marRight w:val="0"/>
                          <w:marTop w:val="0"/>
                          <w:marBottom w:val="0"/>
                          <w:divBdr>
                            <w:top w:val="none" w:sz="0" w:space="0" w:color="auto"/>
                            <w:left w:val="none" w:sz="0" w:space="0" w:color="auto"/>
                            <w:bottom w:val="none" w:sz="0" w:space="0" w:color="auto"/>
                            <w:right w:val="none" w:sz="0" w:space="0" w:color="auto"/>
                          </w:divBdr>
                        </w:div>
                      </w:divsChild>
                    </w:div>
                    <w:div w:id="294141969">
                      <w:marLeft w:val="0"/>
                      <w:marRight w:val="0"/>
                      <w:marTop w:val="0"/>
                      <w:marBottom w:val="0"/>
                      <w:divBdr>
                        <w:top w:val="none" w:sz="0" w:space="0" w:color="auto"/>
                        <w:left w:val="none" w:sz="0" w:space="0" w:color="auto"/>
                        <w:bottom w:val="none" w:sz="0" w:space="0" w:color="auto"/>
                        <w:right w:val="none" w:sz="0" w:space="0" w:color="auto"/>
                      </w:divBdr>
                      <w:divsChild>
                        <w:div w:id="294138755">
                          <w:marLeft w:val="0"/>
                          <w:marRight w:val="0"/>
                          <w:marTop w:val="0"/>
                          <w:marBottom w:val="0"/>
                          <w:divBdr>
                            <w:top w:val="none" w:sz="0" w:space="0" w:color="auto"/>
                            <w:left w:val="none" w:sz="0" w:space="0" w:color="auto"/>
                            <w:bottom w:val="none" w:sz="0" w:space="0" w:color="auto"/>
                            <w:right w:val="none" w:sz="0" w:space="0" w:color="auto"/>
                          </w:divBdr>
                        </w:div>
                      </w:divsChild>
                    </w:div>
                    <w:div w:id="294142041">
                      <w:marLeft w:val="0"/>
                      <w:marRight w:val="0"/>
                      <w:marTop w:val="0"/>
                      <w:marBottom w:val="0"/>
                      <w:divBdr>
                        <w:top w:val="none" w:sz="0" w:space="0" w:color="auto"/>
                        <w:left w:val="none" w:sz="0" w:space="0" w:color="auto"/>
                        <w:bottom w:val="none" w:sz="0" w:space="0" w:color="auto"/>
                        <w:right w:val="none" w:sz="0" w:space="0" w:color="auto"/>
                      </w:divBdr>
                    </w:div>
                    <w:div w:id="294142178">
                      <w:marLeft w:val="0"/>
                      <w:marRight w:val="0"/>
                      <w:marTop w:val="0"/>
                      <w:marBottom w:val="0"/>
                      <w:divBdr>
                        <w:top w:val="none" w:sz="0" w:space="0" w:color="auto"/>
                        <w:left w:val="none" w:sz="0" w:space="0" w:color="auto"/>
                        <w:bottom w:val="none" w:sz="0" w:space="0" w:color="auto"/>
                        <w:right w:val="none" w:sz="0" w:space="0" w:color="auto"/>
                      </w:divBdr>
                    </w:div>
                    <w:div w:id="294142197">
                      <w:marLeft w:val="0"/>
                      <w:marRight w:val="0"/>
                      <w:marTop w:val="0"/>
                      <w:marBottom w:val="0"/>
                      <w:divBdr>
                        <w:top w:val="none" w:sz="0" w:space="0" w:color="auto"/>
                        <w:left w:val="none" w:sz="0" w:space="0" w:color="auto"/>
                        <w:bottom w:val="none" w:sz="0" w:space="0" w:color="auto"/>
                        <w:right w:val="none" w:sz="0" w:space="0" w:color="auto"/>
                      </w:divBdr>
                      <w:divsChild>
                        <w:div w:id="294142140">
                          <w:marLeft w:val="0"/>
                          <w:marRight w:val="0"/>
                          <w:marTop w:val="0"/>
                          <w:marBottom w:val="0"/>
                          <w:divBdr>
                            <w:top w:val="none" w:sz="0" w:space="0" w:color="auto"/>
                            <w:left w:val="none" w:sz="0" w:space="0" w:color="auto"/>
                            <w:bottom w:val="none" w:sz="0" w:space="0" w:color="auto"/>
                            <w:right w:val="none" w:sz="0" w:space="0" w:color="auto"/>
                          </w:divBdr>
                        </w:div>
                      </w:divsChild>
                    </w:div>
                    <w:div w:id="294142205">
                      <w:marLeft w:val="0"/>
                      <w:marRight w:val="0"/>
                      <w:marTop w:val="0"/>
                      <w:marBottom w:val="0"/>
                      <w:divBdr>
                        <w:top w:val="none" w:sz="0" w:space="0" w:color="auto"/>
                        <w:left w:val="none" w:sz="0" w:space="0" w:color="auto"/>
                        <w:bottom w:val="none" w:sz="0" w:space="0" w:color="auto"/>
                        <w:right w:val="none" w:sz="0" w:space="0" w:color="auto"/>
                      </w:divBdr>
                      <w:divsChild>
                        <w:div w:id="294157454">
                          <w:marLeft w:val="0"/>
                          <w:marRight w:val="0"/>
                          <w:marTop w:val="0"/>
                          <w:marBottom w:val="0"/>
                          <w:divBdr>
                            <w:top w:val="none" w:sz="0" w:space="0" w:color="auto"/>
                            <w:left w:val="none" w:sz="0" w:space="0" w:color="auto"/>
                            <w:bottom w:val="none" w:sz="0" w:space="0" w:color="auto"/>
                            <w:right w:val="none" w:sz="0" w:space="0" w:color="auto"/>
                          </w:divBdr>
                        </w:div>
                      </w:divsChild>
                    </w:div>
                    <w:div w:id="294142250">
                      <w:marLeft w:val="0"/>
                      <w:marRight w:val="0"/>
                      <w:marTop w:val="0"/>
                      <w:marBottom w:val="0"/>
                      <w:divBdr>
                        <w:top w:val="none" w:sz="0" w:space="0" w:color="auto"/>
                        <w:left w:val="none" w:sz="0" w:space="0" w:color="auto"/>
                        <w:bottom w:val="none" w:sz="0" w:space="0" w:color="auto"/>
                        <w:right w:val="none" w:sz="0" w:space="0" w:color="auto"/>
                      </w:divBdr>
                      <w:divsChild>
                        <w:div w:id="294139852">
                          <w:marLeft w:val="0"/>
                          <w:marRight w:val="0"/>
                          <w:marTop w:val="0"/>
                          <w:marBottom w:val="0"/>
                          <w:divBdr>
                            <w:top w:val="none" w:sz="0" w:space="0" w:color="auto"/>
                            <w:left w:val="none" w:sz="0" w:space="0" w:color="auto"/>
                            <w:bottom w:val="none" w:sz="0" w:space="0" w:color="auto"/>
                            <w:right w:val="none" w:sz="0" w:space="0" w:color="auto"/>
                          </w:divBdr>
                        </w:div>
                      </w:divsChild>
                    </w:div>
                    <w:div w:id="294142330">
                      <w:marLeft w:val="0"/>
                      <w:marRight w:val="0"/>
                      <w:marTop w:val="0"/>
                      <w:marBottom w:val="0"/>
                      <w:divBdr>
                        <w:top w:val="none" w:sz="0" w:space="0" w:color="auto"/>
                        <w:left w:val="none" w:sz="0" w:space="0" w:color="auto"/>
                        <w:bottom w:val="none" w:sz="0" w:space="0" w:color="auto"/>
                        <w:right w:val="none" w:sz="0" w:space="0" w:color="auto"/>
                      </w:divBdr>
                    </w:div>
                    <w:div w:id="294142376">
                      <w:marLeft w:val="0"/>
                      <w:marRight w:val="0"/>
                      <w:marTop w:val="0"/>
                      <w:marBottom w:val="0"/>
                      <w:divBdr>
                        <w:top w:val="none" w:sz="0" w:space="0" w:color="auto"/>
                        <w:left w:val="none" w:sz="0" w:space="0" w:color="auto"/>
                        <w:bottom w:val="none" w:sz="0" w:space="0" w:color="auto"/>
                        <w:right w:val="none" w:sz="0" w:space="0" w:color="auto"/>
                      </w:divBdr>
                    </w:div>
                    <w:div w:id="294142436">
                      <w:marLeft w:val="0"/>
                      <w:marRight w:val="0"/>
                      <w:marTop w:val="0"/>
                      <w:marBottom w:val="0"/>
                      <w:divBdr>
                        <w:top w:val="none" w:sz="0" w:space="0" w:color="auto"/>
                        <w:left w:val="none" w:sz="0" w:space="0" w:color="auto"/>
                        <w:bottom w:val="none" w:sz="0" w:space="0" w:color="auto"/>
                        <w:right w:val="none" w:sz="0" w:space="0" w:color="auto"/>
                      </w:divBdr>
                      <w:divsChild>
                        <w:div w:id="294139052">
                          <w:marLeft w:val="0"/>
                          <w:marRight w:val="0"/>
                          <w:marTop w:val="0"/>
                          <w:marBottom w:val="0"/>
                          <w:divBdr>
                            <w:top w:val="none" w:sz="0" w:space="0" w:color="auto"/>
                            <w:left w:val="none" w:sz="0" w:space="0" w:color="auto"/>
                            <w:bottom w:val="none" w:sz="0" w:space="0" w:color="auto"/>
                            <w:right w:val="none" w:sz="0" w:space="0" w:color="auto"/>
                          </w:divBdr>
                        </w:div>
                      </w:divsChild>
                    </w:div>
                    <w:div w:id="294142464">
                      <w:marLeft w:val="0"/>
                      <w:marRight w:val="0"/>
                      <w:marTop w:val="0"/>
                      <w:marBottom w:val="0"/>
                      <w:divBdr>
                        <w:top w:val="none" w:sz="0" w:space="0" w:color="auto"/>
                        <w:left w:val="none" w:sz="0" w:space="0" w:color="auto"/>
                        <w:bottom w:val="none" w:sz="0" w:space="0" w:color="auto"/>
                        <w:right w:val="none" w:sz="0" w:space="0" w:color="auto"/>
                      </w:divBdr>
                      <w:divsChild>
                        <w:div w:id="294146471">
                          <w:marLeft w:val="0"/>
                          <w:marRight w:val="0"/>
                          <w:marTop w:val="0"/>
                          <w:marBottom w:val="0"/>
                          <w:divBdr>
                            <w:top w:val="none" w:sz="0" w:space="0" w:color="auto"/>
                            <w:left w:val="none" w:sz="0" w:space="0" w:color="auto"/>
                            <w:bottom w:val="none" w:sz="0" w:space="0" w:color="auto"/>
                            <w:right w:val="none" w:sz="0" w:space="0" w:color="auto"/>
                          </w:divBdr>
                        </w:div>
                      </w:divsChild>
                    </w:div>
                    <w:div w:id="294142486">
                      <w:marLeft w:val="0"/>
                      <w:marRight w:val="0"/>
                      <w:marTop w:val="0"/>
                      <w:marBottom w:val="0"/>
                      <w:divBdr>
                        <w:top w:val="none" w:sz="0" w:space="0" w:color="auto"/>
                        <w:left w:val="none" w:sz="0" w:space="0" w:color="auto"/>
                        <w:bottom w:val="none" w:sz="0" w:space="0" w:color="auto"/>
                        <w:right w:val="none" w:sz="0" w:space="0" w:color="auto"/>
                      </w:divBdr>
                      <w:divsChild>
                        <w:div w:id="294148545">
                          <w:marLeft w:val="0"/>
                          <w:marRight w:val="0"/>
                          <w:marTop w:val="0"/>
                          <w:marBottom w:val="0"/>
                          <w:divBdr>
                            <w:top w:val="none" w:sz="0" w:space="0" w:color="auto"/>
                            <w:left w:val="none" w:sz="0" w:space="0" w:color="auto"/>
                            <w:bottom w:val="none" w:sz="0" w:space="0" w:color="auto"/>
                            <w:right w:val="none" w:sz="0" w:space="0" w:color="auto"/>
                          </w:divBdr>
                        </w:div>
                      </w:divsChild>
                    </w:div>
                    <w:div w:id="294142671">
                      <w:marLeft w:val="0"/>
                      <w:marRight w:val="0"/>
                      <w:marTop w:val="0"/>
                      <w:marBottom w:val="0"/>
                      <w:divBdr>
                        <w:top w:val="none" w:sz="0" w:space="0" w:color="auto"/>
                        <w:left w:val="none" w:sz="0" w:space="0" w:color="auto"/>
                        <w:bottom w:val="none" w:sz="0" w:space="0" w:color="auto"/>
                        <w:right w:val="none" w:sz="0" w:space="0" w:color="auto"/>
                      </w:divBdr>
                      <w:divsChild>
                        <w:div w:id="294152723">
                          <w:marLeft w:val="0"/>
                          <w:marRight w:val="0"/>
                          <w:marTop w:val="0"/>
                          <w:marBottom w:val="0"/>
                          <w:divBdr>
                            <w:top w:val="none" w:sz="0" w:space="0" w:color="auto"/>
                            <w:left w:val="none" w:sz="0" w:space="0" w:color="auto"/>
                            <w:bottom w:val="none" w:sz="0" w:space="0" w:color="auto"/>
                            <w:right w:val="none" w:sz="0" w:space="0" w:color="auto"/>
                          </w:divBdr>
                        </w:div>
                      </w:divsChild>
                    </w:div>
                    <w:div w:id="294142682">
                      <w:marLeft w:val="0"/>
                      <w:marRight w:val="0"/>
                      <w:marTop w:val="0"/>
                      <w:marBottom w:val="0"/>
                      <w:divBdr>
                        <w:top w:val="none" w:sz="0" w:space="0" w:color="auto"/>
                        <w:left w:val="none" w:sz="0" w:space="0" w:color="auto"/>
                        <w:bottom w:val="none" w:sz="0" w:space="0" w:color="auto"/>
                        <w:right w:val="none" w:sz="0" w:space="0" w:color="auto"/>
                      </w:divBdr>
                      <w:divsChild>
                        <w:div w:id="294140413">
                          <w:marLeft w:val="0"/>
                          <w:marRight w:val="0"/>
                          <w:marTop w:val="0"/>
                          <w:marBottom w:val="0"/>
                          <w:divBdr>
                            <w:top w:val="none" w:sz="0" w:space="0" w:color="auto"/>
                            <w:left w:val="none" w:sz="0" w:space="0" w:color="auto"/>
                            <w:bottom w:val="none" w:sz="0" w:space="0" w:color="auto"/>
                            <w:right w:val="none" w:sz="0" w:space="0" w:color="auto"/>
                          </w:divBdr>
                        </w:div>
                      </w:divsChild>
                    </w:div>
                    <w:div w:id="294142759">
                      <w:marLeft w:val="0"/>
                      <w:marRight w:val="0"/>
                      <w:marTop w:val="0"/>
                      <w:marBottom w:val="0"/>
                      <w:divBdr>
                        <w:top w:val="none" w:sz="0" w:space="0" w:color="auto"/>
                        <w:left w:val="none" w:sz="0" w:space="0" w:color="auto"/>
                        <w:bottom w:val="none" w:sz="0" w:space="0" w:color="auto"/>
                        <w:right w:val="none" w:sz="0" w:space="0" w:color="auto"/>
                      </w:divBdr>
                    </w:div>
                    <w:div w:id="294142795">
                      <w:marLeft w:val="0"/>
                      <w:marRight w:val="0"/>
                      <w:marTop w:val="0"/>
                      <w:marBottom w:val="0"/>
                      <w:divBdr>
                        <w:top w:val="none" w:sz="0" w:space="0" w:color="auto"/>
                        <w:left w:val="none" w:sz="0" w:space="0" w:color="auto"/>
                        <w:bottom w:val="none" w:sz="0" w:space="0" w:color="auto"/>
                        <w:right w:val="none" w:sz="0" w:space="0" w:color="auto"/>
                      </w:divBdr>
                      <w:divsChild>
                        <w:div w:id="294146987">
                          <w:marLeft w:val="0"/>
                          <w:marRight w:val="0"/>
                          <w:marTop w:val="0"/>
                          <w:marBottom w:val="0"/>
                          <w:divBdr>
                            <w:top w:val="none" w:sz="0" w:space="0" w:color="auto"/>
                            <w:left w:val="none" w:sz="0" w:space="0" w:color="auto"/>
                            <w:bottom w:val="none" w:sz="0" w:space="0" w:color="auto"/>
                            <w:right w:val="none" w:sz="0" w:space="0" w:color="auto"/>
                          </w:divBdr>
                        </w:div>
                      </w:divsChild>
                    </w:div>
                    <w:div w:id="294142803">
                      <w:marLeft w:val="0"/>
                      <w:marRight w:val="0"/>
                      <w:marTop w:val="0"/>
                      <w:marBottom w:val="0"/>
                      <w:divBdr>
                        <w:top w:val="none" w:sz="0" w:space="0" w:color="auto"/>
                        <w:left w:val="none" w:sz="0" w:space="0" w:color="auto"/>
                        <w:bottom w:val="none" w:sz="0" w:space="0" w:color="auto"/>
                        <w:right w:val="none" w:sz="0" w:space="0" w:color="auto"/>
                      </w:divBdr>
                      <w:divsChild>
                        <w:div w:id="294138819">
                          <w:marLeft w:val="0"/>
                          <w:marRight w:val="0"/>
                          <w:marTop w:val="0"/>
                          <w:marBottom w:val="0"/>
                          <w:divBdr>
                            <w:top w:val="none" w:sz="0" w:space="0" w:color="auto"/>
                            <w:left w:val="none" w:sz="0" w:space="0" w:color="auto"/>
                            <w:bottom w:val="none" w:sz="0" w:space="0" w:color="auto"/>
                            <w:right w:val="none" w:sz="0" w:space="0" w:color="auto"/>
                          </w:divBdr>
                        </w:div>
                      </w:divsChild>
                    </w:div>
                    <w:div w:id="294142821">
                      <w:marLeft w:val="0"/>
                      <w:marRight w:val="0"/>
                      <w:marTop w:val="0"/>
                      <w:marBottom w:val="0"/>
                      <w:divBdr>
                        <w:top w:val="none" w:sz="0" w:space="0" w:color="auto"/>
                        <w:left w:val="none" w:sz="0" w:space="0" w:color="auto"/>
                        <w:bottom w:val="none" w:sz="0" w:space="0" w:color="auto"/>
                        <w:right w:val="none" w:sz="0" w:space="0" w:color="auto"/>
                      </w:divBdr>
                    </w:div>
                    <w:div w:id="294142823">
                      <w:marLeft w:val="0"/>
                      <w:marRight w:val="0"/>
                      <w:marTop w:val="0"/>
                      <w:marBottom w:val="0"/>
                      <w:divBdr>
                        <w:top w:val="none" w:sz="0" w:space="0" w:color="auto"/>
                        <w:left w:val="none" w:sz="0" w:space="0" w:color="auto"/>
                        <w:bottom w:val="none" w:sz="0" w:space="0" w:color="auto"/>
                        <w:right w:val="none" w:sz="0" w:space="0" w:color="auto"/>
                      </w:divBdr>
                      <w:divsChild>
                        <w:div w:id="294141127">
                          <w:marLeft w:val="0"/>
                          <w:marRight w:val="0"/>
                          <w:marTop w:val="0"/>
                          <w:marBottom w:val="0"/>
                          <w:divBdr>
                            <w:top w:val="none" w:sz="0" w:space="0" w:color="auto"/>
                            <w:left w:val="none" w:sz="0" w:space="0" w:color="auto"/>
                            <w:bottom w:val="none" w:sz="0" w:space="0" w:color="auto"/>
                            <w:right w:val="none" w:sz="0" w:space="0" w:color="auto"/>
                          </w:divBdr>
                        </w:div>
                      </w:divsChild>
                    </w:div>
                    <w:div w:id="294142851">
                      <w:marLeft w:val="0"/>
                      <w:marRight w:val="0"/>
                      <w:marTop w:val="0"/>
                      <w:marBottom w:val="0"/>
                      <w:divBdr>
                        <w:top w:val="none" w:sz="0" w:space="0" w:color="auto"/>
                        <w:left w:val="none" w:sz="0" w:space="0" w:color="auto"/>
                        <w:bottom w:val="none" w:sz="0" w:space="0" w:color="auto"/>
                        <w:right w:val="none" w:sz="0" w:space="0" w:color="auto"/>
                      </w:divBdr>
                    </w:div>
                    <w:div w:id="294142853">
                      <w:marLeft w:val="0"/>
                      <w:marRight w:val="0"/>
                      <w:marTop w:val="0"/>
                      <w:marBottom w:val="0"/>
                      <w:divBdr>
                        <w:top w:val="none" w:sz="0" w:space="0" w:color="auto"/>
                        <w:left w:val="none" w:sz="0" w:space="0" w:color="auto"/>
                        <w:bottom w:val="none" w:sz="0" w:space="0" w:color="auto"/>
                        <w:right w:val="none" w:sz="0" w:space="0" w:color="auto"/>
                      </w:divBdr>
                      <w:divsChild>
                        <w:div w:id="294146413">
                          <w:marLeft w:val="0"/>
                          <w:marRight w:val="0"/>
                          <w:marTop w:val="0"/>
                          <w:marBottom w:val="0"/>
                          <w:divBdr>
                            <w:top w:val="none" w:sz="0" w:space="0" w:color="auto"/>
                            <w:left w:val="none" w:sz="0" w:space="0" w:color="auto"/>
                            <w:bottom w:val="none" w:sz="0" w:space="0" w:color="auto"/>
                            <w:right w:val="none" w:sz="0" w:space="0" w:color="auto"/>
                          </w:divBdr>
                        </w:div>
                      </w:divsChild>
                    </w:div>
                    <w:div w:id="294142857">
                      <w:marLeft w:val="0"/>
                      <w:marRight w:val="0"/>
                      <w:marTop w:val="0"/>
                      <w:marBottom w:val="0"/>
                      <w:divBdr>
                        <w:top w:val="none" w:sz="0" w:space="0" w:color="auto"/>
                        <w:left w:val="none" w:sz="0" w:space="0" w:color="auto"/>
                        <w:bottom w:val="none" w:sz="0" w:space="0" w:color="auto"/>
                        <w:right w:val="none" w:sz="0" w:space="0" w:color="auto"/>
                      </w:divBdr>
                    </w:div>
                    <w:div w:id="294142887">
                      <w:marLeft w:val="0"/>
                      <w:marRight w:val="0"/>
                      <w:marTop w:val="0"/>
                      <w:marBottom w:val="0"/>
                      <w:divBdr>
                        <w:top w:val="none" w:sz="0" w:space="0" w:color="auto"/>
                        <w:left w:val="none" w:sz="0" w:space="0" w:color="auto"/>
                        <w:bottom w:val="none" w:sz="0" w:space="0" w:color="auto"/>
                        <w:right w:val="none" w:sz="0" w:space="0" w:color="auto"/>
                      </w:divBdr>
                      <w:divsChild>
                        <w:div w:id="294147841">
                          <w:marLeft w:val="0"/>
                          <w:marRight w:val="0"/>
                          <w:marTop w:val="0"/>
                          <w:marBottom w:val="0"/>
                          <w:divBdr>
                            <w:top w:val="none" w:sz="0" w:space="0" w:color="auto"/>
                            <w:left w:val="none" w:sz="0" w:space="0" w:color="auto"/>
                            <w:bottom w:val="none" w:sz="0" w:space="0" w:color="auto"/>
                            <w:right w:val="none" w:sz="0" w:space="0" w:color="auto"/>
                          </w:divBdr>
                        </w:div>
                      </w:divsChild>
                    </w:div>
                    <w:div w:id="294142894">
                      <w:marLeft w:val="0"/>
                      <w:marRight w:val="0"/>
                      <w:marTop w:val="0"/>
                      <w:marBottom w:val="0"/>
                      <w:divBdr>
                        <w:top w:val="none" w:sz="0" w:space="0" w:color="auto"/>
                        <w:left w:val="none" w:sz="0" w:space="0" w:color="auto"/>
                        <w:bottom w:val="none" w:sz="0" w:space="0" w:color="auto"/>
                        <w:right w:val="none" w:sz="0" w:space="0" w:color="auto"/>
                      </w:divBdr>
                      <w:divsChild>
                        <w:div w:id="294151602">
                          <w:marLeft w:val="0"/>
                          <w:marRight w:val="0"/>
                          <w:marTop w:val="0"/>
                          <w:marBottom w:val="0"/>
                          <w:divBdr>
                            <w:top w:val="none" w:sz="0" w:space="0" w:color="auto"/>
                            <w:left w:val="none" w:sz="0" w:space="0" w:color="auto"/>
                            <w:bottom w:val="none" w:sz="0" w:space="0" w:color="auto"/>
                            <w:right w:val="none" w:sz="0" w:space="0" w:color="auto"/>
                          </w:divBdr>
                        </w:div>
                      </w:divsChild>
                    </w:div>
                    <w:div w:id="294142905">
                      <w:marLeft w:val="0"/>
                      <w:marRight w:val="0"/>
                      <w:marTop w:val="0"/>
                      <w:marBottom w:val="0"/>
                      <w:divBdr>
                        <w:top w:val="none" w:sz="0" w:space="0" w:color="auto"/>
                        <w:left w:val="none" w:sz="0" w:space="0" w:color="auto"/>
                        <w:bottom w:val="none" w:sz="0" w:space="0" w:color="auto"/>
                        <w:right w:val="none" w:sz="0" w:space="0" w:color="auto"/>
                      </w:divBdr>
                      <w:divsChild>
                        <w:div w:id="294148428">
                          <w:marLeft w:val="0"/>
                          <w:marRight w:val="0"/>
                          <w:marTop w:val="0"/>
                          <w:marBottom w:val="0"/>
                          <w:divBdr>
                            <w:top w:val="none" w:sz="0" w:space="0" w:color="auto"/>
                            <w:left w:val="none" w:sz="0" w:space="0" w:color="auto"/>
                            <w:bottom w:val="none" w:sz="0" w:space="0" w:color="auto"/>
                            <w:right w:val="none" w:sz="0" w:space="0" w:color="auto"/>
                          </w:divBdr>
                        </w:div>
                      </w:divsChild>
                    </w:div>
                    <w:div w:id="294142957">
                      <w:marLeft w:val="0"/>
                      <w:marRight w:val="0"/>
                      <w:marTop w:val="0"/>
                      <w:marBottom w:val="0"/>
                      <w:divBdr>
                        <w:top w:val="none" w:sz="0" w:space="0" w:color="auto"/>
                        <w:left w:val="none" w:sz="0" w:space="0" w:color="auto"/>
                        <w:bottom w:val="none" w:sz="0" w:space="0" w:color="auto"/>
                        <w:right w:val="none" w:sz="0" w:space="0" w:color="auto"/>
                      </w:divBdr>
                    </w:div>
                    <w:div w:id="294142963">
                      <w:marLeft w:val="0"/>
                      <w:marRight w:val="0"/>
                      <w:marTop w:val="0"/>
                      <w:marBottom w:val="0"/>
                      <w:divBdr>
                        <w:top w:val="none" w:sz="0" w:space="0" w:color="auto"/>
                        <w:left w:val="none" w:sz="0" w:space="0" w:color="auto"/>
                        <w:bottom w:val="none" w:sz="0" w:space="0" w:color="auto"/>
                        <w:right w:val="none" w:sz="0" w:space="0" w:color="auto"/>
                      </w:divBdr>
                    </w:div>
                    <w:div w:id="294142973">
                      <w:marLeft w:val="0"/>
                      <w:marRight w:val="0"/>
                      <w:marTop w:val="0"/>
                      <w:marBottom w:val="0"/>
                      <w:divBdr>
                        <w:top w:val="none" w:sz="0" w:space="0" w:color="auto"/>
                        <w:left w:val="none" w:sz="0" w:space="0" w:color="auto"/>
                        <w:bottom w:val="none" w:sz="0" w:space="0" w:color="auto"/>
                        <w:right w:val="none" w:sz="0" w:space="0" w:color="auto"/>
                      </w:divBdr>
                      <w:divsChild>
                        <w:div w:id="294142930">
                          <w:marLeft w:val="0"/>
                          <w:marRight w:val="0"/>
                          <w:marTop w:val="0"/>
                          <w:marBottom w:val="0"/>
                          <w:divBdr>
                            <w:top w:val="none" w:sz="0" w:space="0" w:color="auto"/>
                            <w:left w:val="none" w:sz="0" w:space="0" w:color="auto"/>
                            <w:bottom w:val="none" w:sz="0" w:space="0" w:color="auto"/>
                            <w:right w:val="none" w:sz="0" w:space="0" w:color="auto"/>
                          </w:divBdr>
                        </w:div>
                      </w:divsChild>
                    </w:div>
                    <w:div w:id="294142976">
                      <w:marLeft w:val="0"/>
                      <w:marRight w:val="0"/>
                      <w:marTop w:val="0"/>
                      <w:marBottom w:val="0"/>
                      <w:divBdr>
                        <w:top w:val="none" w:sz="0" w:space="0" w:color="auto"/>
                        <w:left w:val="none" w:sz="0" w:space="0" w:color="auto"/>
                        <w:bottom w:val="none" w:sz="0" w:space="0" w:color="auto"/>
                        <w:right w:val="none" w:sz="0" w:space="0" w:color="auto"/>
                      </w:divBdr>
                      <w:divsChild>
                        <w:div w:id="294154657">
                          <w:marLeft w:val="0"/>
                          <w:marRight w:val="0"/>
                          <w:marTop w:val="0"/>
                          <w:marBottom w:val="0"/>
                          <w:divBdr>
                            <w:top w:val="none" w:sz="0" w:space="0" w:color="auto"/>
                            <w:left w:val="none" w:sz="0" w:space="0" w:color="auto"/>
                            <w:bottom w:val="none" w:sz="0" w:space="0" w:color="auto"/>
                            <w:right w:val="none" w:sz="0" w:space="0" w:color="auto"/>
                          </w:divBdr>
                        </w:div>
                      </w:divsChild>
                    </w:div>
                    <w:div w:id="294143054">
                      <w:marLeft w:val="0"/>
                      <w:marRight w:val="0"/>
                      <w:marTop w:val="0"/>
                      <w:marBottom w:val="0"/>
                      <w:divBdr>
                        <w:top w:val="none" w:sz="0" w:space="0" w:color="auto"/>
                        <w:left w:val="none" w:sz="0" w:space="0" w:color="auto"/>
                        <w:bottom w:val="none" w:sz="0" w:space="0" w:color="auto"/>
                        <w:right w:val="none" w:sz="0" w:space="0" w:color="auto"/>
                      </w:divBdr>
                    </w:div>
                    <w:div w:id="294143079">
                      <w:marLeft w:val="0"/>
                      <w:marRight w:val="0"/>
                      <w:marTop w:val="0"/>
                      <w:marBottom w:val="0"/>
                      <w:divBdr>
                        <w:top w:val="none" w:sz="0" w:space="0" w:color="auto"/>
                        <w:left w:val="none" w:sz="0" w:space="0" w:color="auto"/>
                        <w:bottom w:val="none" w:sz="0" w:space="0" w:color="auto"/>
                        <w:right w:val="none" w:sz="0" w:space="0" w:color="auto"/>
                      </w:divBdr>
                      <w:divsChild>
                        <w:div w:id="294139734">
                          <w:marLeft w:val="0"/>
                          <w:marRight w:val="0"/>
                          <w:marTop w:val="0"/>
                          <w:marBottom w:val="0"/>
                          <w:divBdr>
                            <w:top w:val="none" w:sz="0" w:space="0" w:color="auto"/>
                            <w:left w:val="none" w:sz="0" w:space="0" w:color="auto"/>
                            <w:bottom w:val="none" w:sz="0" w:space="0" w:color="auto"/>
                            <w:right w:val="none" w:sz="0" w:space="0" w:color="auto"/>
                          </w:divBdr>
                        </w:div>
                      </w:divsChild>
                    </w:div>
                    <w:div w:id="294143159">
                      <w:marLeft w:val="0"/>
                      <w:marRight w:val="0"/>
                      <w:marTop w:val="0"/>
                      <w:marBottom w:val="0"/>
                      <w:divBdr>
                        <w:top w:val="none" w:sz="0" w:space="0" w:color="auto"/>
                        <w:left w:val="none" w:sz="0" w:space="0" w:color="auto"/>
                        <w:bottom w:val="none" w:sz="0" w:space="0" w:color="auto"/>
                        <w:right w:val="none" w:sz="0" w:space="0" w:color="auto"/>
                      </w:divBdr>
                      <w:divsChild>
                        <w:div w:id="294154077">
                          <w:marLeft w:val="0"/>
                          <w:marRight w:val="0"/>
                          <w:marTop w:val="0"/>
                          <w:marBottom w:val="0"/>
                          <w:divBdr>
                            <w:top w:val="none" w:sz="0" w:space="0" w:color="auto"/>
                            <w:left w:val="none" w:sz="0" w:space="0" w:color="auto"/>
                            <w:bottom w:val="none" w:sz="0" w:space="0" w:color="auto"/>
                            <w:right w:val="none" w:sz="0" w:space="0" w:color="auto"/>
                          </w:divBdr>
                        </w:div>
                      </w:divsChild>
                    </w:div>
                    <w:div w:id="294143295">
                      <w:marLeft w:val="0"/>
                      <w:marRight w:val="0"/>
                      <w:marTop w:val="0"/>
                      <w:marBottom w:val="0"/>
                      <w:divBdr>
                        <w:top w:val="none" w:sz="0" w:space="0" w:color="auto"/>
                        <w:left w:val="none" w:sz="0" w:space="0" w:color="auto"/>
                        <w:bottom w:val="none" w:sz="0" w:space="0" w:color="auto"/>
                        <w:right w:val="none" w:sz="0" w:space="0" w:color="auto"/>
                      </w:divBdr>
                    </w:div>
                    <w:div w:id="294143306">
                      <w:marLeft w:val="0"/>
                      <w:marRight w:val="0"/>
                      <w:marTop w:val="0"/>
                      <w:marBottom w:val="0"/>
                      <w:divBdr>
                        <w:top w:val="none" w:sz="0" w:space="0" w:color="auto"/>
                        <w:left w:val="none" w:sz="0" w:space="0" w:color="auto"/>
                        <w:bottom w:val="none" w:sz="0" w:space="0" w:color="auto"/>
                        <w:right w:val="none" w:sz="0" w:space="0" w:color="auto"/>
                      </w:divBdr>
                    </w:div>
                    <w:div w:id="294143379">
                      <w:marLeft w:val="0"/>
                      <w:marRight w:val="0"/>
                      <w:marTop w:val="0"/>
                      <w:marBottom w:val="0"/>
                      <w:divBdr>
                        <w:top w:val="none" w:sz="0" w:space="0" w:color="auto"/>
                        <w:left w:val="none" w:sz="0" w:space="0" w:color="auto"/>
                        <w:bottom w:val="none" w:sz="0" w:space="0" w:color="auto"/>
                        <w:right w:val="none" w:sz="0" w:space="0" w:color="auto"/>
                      </w:divBdr>
                      <w:divsChild>
                        <w:div w:id="294141562">
                          <w:marLeft w:val="0"/>
                          <w:marRight w:val="0"/>
                          <w:marTop w:val="0"/>
                          <w:marBottom w:val="0"/>
                          <w:divBdr>
                            <w:top w:val="none" w:sz="0" w:space="0" w:color="auto"/>
                            <w:left w:val="none" w:sz="0" w:space="0" w:color="auto"/>
                            <w:bottom w:val="none" w:sz="0" w:space="0" w:color="auto"/>
                            <w:right w:val="none" w:sz="0" w:space="0" w:color="auto"/>
                          </w:divBdr>
                        </w:div>
                      </w:divsChild>
                    </w:div>
                    <w:div w:id="294143396">
                      <w:marLeft w:val="0"/>
                      <w:marRight w:val="0"/>
                      <w:marTop w:val="0"/>
                      <w:marBottom w:val="0"/>
                      <w:divBdr>
                        <w:top w:val="none" w:sz="0" w:space="0" w:color="auto"/>
                        <w:left w:val="none" w:sz="0" w:space="0" w:color="auto"/>
                        <w:bottom w:val="none" w:sz="0" w:space="0" w:color="auto"/>
                        <w:right w:val="none" w:sz="0" w:space="0" w:color="auto"/>
                      </w:divBdr>
                    </w:div>
                    <w:div w:id="294143398">
                      <w:marLeft w:val="0"/>
                      <w:marRight w:val="0"/>
                      <w:marTop w:val="0"/>
                      <w:marBottom w:val="0"/>
                      <w:divBdr>
                        <w:top w:val="none" w:sz="0" w:space="0" w:color="auto"/>
                        <w:left w:val="none" w:sz="0" w:space="0" w:color="auto"/>
                        <w:bottom w:val="none" w:sz="0" w:space="0" w:color="auto"/>
                        <w:right w:val="none" w:sz="0" w:space="0" w:color="auto"/>
                      </w:divBdr>
                      <w:divsChild>
                        <w:div w:id="294152868">
                          <w:marLeft w:val="0"/>
                          <w:marRight w:val="0"/>
                          <w:marTop w:val="0"/>
                          <w:marBottom w:val="0"/>
                          <w:divBdr>
                            <w:top w:val="none" w:sz="0" w:space="0" w:color="auto"/>
                            <w:left w:val="none" w:sz="0" w:space="0" w:color="auto"/>
                            <w:bottom w:val="none" w:sz="0" w:space="0" w:color="auto"/>
                            <w:right w:val="none" w:sz="0" w:space="0" w:color="auto"/>
                          </w:divBdr>
                        </w:div>
                      </w:divsChild>
                    </w:div>
                    <w:div w:id="294143477">
                      <w:marLeft w:val="0"/>
                      <w:marRight w:val="0"/>
                      <w:marTop w:val="0"/>
                      <w:marBottom w:val="0"/>
                      <w:divBdr>
                        <w:top w:val="none" w:sz="0" w:space="0" w:color="auto"/>
                        <w:left w:val="none" w:sz="0" w:space="0" w:color="auto"/>
                        <w:bottom w:val="none" w:sz="0" w:space="0" w:color="auto"/>
                        <w:right w:val="none" w:sz="0" w:space="0" w:color="auto"/>
                      </w:divBdr>
                    </w:div>
                    <w:div w:id="294143560">
                      <w:marLeft w:val="0"/>
                      <w:marRight w:val="0"/>
                      <w:marTop w:val="0"/>
                      <w:marBottom w:val="0"/>
                      <w:divBdr>
                        <w:top w:val="none" w:sz="0" w:space="0" w:color="auto"/>
                        <w:left w:val="none" w:sz="0" w:space="0" w:color="auto"/>
                        <w:bottom w:val="none" w:sz="0" w:space="0" w:color="auto"/>
                        <w:right w:val="none" w:sz="0" w:space="0" w:color="auto"/>
                      </w:divBdr>
                      <w:divsChild>
                        <w:div w:id="294145879">
                          <w:marLeft w:val="0"/>
                          <w:marRight w:val="0"/>
                          <w:marTop w:val="0"/>
                          <w:marBottom w:val="0"/>
                          <w:divBdr>
                            <w:top w:val="none" w:sz="0" w:space="0" w:color="auto"/>
                            <w:left w:val="none" w:sz="0" w:space="0" w:color="auto"/>
                            <w:bottom w:val="none" w:sz="0" w:space="0" w:color="auto"/>
                            <w:right w:val="none" w:sz="0" w:space="0" w:color="auto"/>
                          </w:divBdr>
                        </w:div>
                      </w:divsChild>
                    </w:div>
                    <w:div w:id="294143602">
                      <w:marLeft w:val="0"/>
                      <w:marRight w:val="0"/>
                      <w:marTop w:val="0"/>
                      <w:marBottom w:val="0"/>
                      <w:divBdr>
                        <w:top w:val="none" w:sz="0" w:space="0" w:color="auto"/>
                        <w:left w:val="none" w:sz="0" w:space="0" w:color="auto"/>
                        <w:bottom w:val="none" w:sz="0" w:space="0" w:color="auto"/>
                        <w:right w:val="none" w:sz="0" w:space="0" w:color="auto"/>
                      </w:divBdr>
                      <w:divsChild>
                        <w:div w:id="294149357">
                          <w:marLeft w:val="0"/>
                          <w:marRight w:val="0"/>
                          <w:marTop w:val="0"/>
                          <w:marBottom w:val="0"/>
                          <w:divBdr>
                            <w:top w:val="none" w:sz="0" w:space="0" w:color="auto"/>
                            <w:left w:val="none" w:sz="0" w:space="0" w:color="auto"/>
                            <w:bottom w:val="none" w:sz="0" w:space="0" w:color="auto"/>
                            <w:right w:val="none" w:sz="0" w:space="0" w:color="auto"/>
                          </w:divBdr>
                        </w:div>
                      </w:divsChild>
                    </w:div>
                    <w:div w:id="294143646">
                      <w:marLeft w:val="0"/>
                      <w:marRight w:val="0"/>
                      <w:marTop w:val="0"/>
                      <w:marBottom w:val="0"/>
                      <w:divBdr>
                        <w:top w:val="none" w:sz="0" w:space="0" w:color="auto"/>
                        <w:left w:val="none" w:sz="0" w:space="0" w:color="auto"/>
                        <w:bottom w:val="none" w:sz="0" w:space="0" w:color="auto"/>
                        <w:right w:val="none" w:sz="0" w:space="0" w:color="auto"/>
                      </w:divBdr>
                    </w:div>
                    <w:div w:id="294143758">
                      <w:marLeft w:val="0"/>
                      <w:marRight w:val="0"/>
                      <w:marTop w:val="0"/>
                      <w:marBottom w:val="0"/>
                      <w:divBdr>
                        <w:top w:val="none" w:sz="0" w:space="0" w:color="auto"/>
                        <w:left w:val="none" w:sz="0" w:space="0" w:color="auto"/>
                        <w:bottom w:val="none" w:sz="0" w:space="0" w:color="auto"/>
                        <w:right w:val="none" w:sz="0" w:space="0" w:color="auto"/>
                      </w:divBdr>
                    </w:div>
                    <w:div w:id="294143794">
                      <w:marLeft w:val="0"/>
                      <w:marRight w:val="0"/>
                      <w:marTop w:val="0"/>
                      <w:marBottom w:val="0"/>
                      <w:divBdr>
                        <w:top w:val="none" w:sz="0" w:space="0" w:color="auto"/>
                        <w:left w:val="none" w:sz="0" w:space="0" w:color="auto"/>
                        <w:bottom w:val="none" w:sz="0" w:space="0" w:color="auto"/>
                        <w:right w:val="none" w:sz="0" w:space="0" w:color="auto"/>
                      </w:divBdr>
                      <w:divsChild>
                        <w:div w:id="294140748">
                          <w:marLeft w:val="0"/>
                          <w:marRight w:val="0"/>
                          <w:marTop w:val="0"/>
                          <w:marBottom w:val="0"/>
                          <w:divBdr>
                            <w:top w:val="none" w:sz="0" w:space="0" w:color="auto"/>
                            <w:left w:val="none" w:sz="0" w:space="0" w:color="auto"/>
                            <w:bottom w:val="none" w:sz="0" w:space="0" w:color="auto"/>
                            <w:right w:val="none" w:sz="0" w:space="0" w:color="auto"/>
                          </w:divBdr>
                        </w:div>
                      </w:divsChild>
                    </w:div>
                    <w:div w:id="294143803">
                      <w:marLeft w:val="0"/>
                      <w:marRight w:val="0"/>
                      <w:marTop w:val="0"/>
                      <w:marBottom w:val="0"/>
                      <w:divBdr>
                        <w:top w:val="none" w:sz="0" w:space="0" w:color="auto"/>
                        <w:left w:val="none" w:sz="0" w:space="0" w:color="auto"/>
                        <w:bottom w:val="none" w:sz="0" w:space="0" w:color="auto"/>
                        <w:right w:val="none" w:sz="0" w:space="0" w:color="auto"/>
                      </w:divBdr>
                    </w:div>
                    <w:div w:id="294143819">
                      <w:marLeft w:val="0"/>
                      <w:marRight w:val="0"/>
                      <w:marTop w:val="0"/>
                      <w:marBottom w:val="0"/>
                      <w:divBdr>
                        <w:top w:val="none" w:sz="0" w:space="0" w:color="auto"/>
                        <w:left w:val="none" w:sz="0" w:space="0" w:color="auto"/>
                        <w:bottom w:val="none" w:sz="0" w:space="0" w:color="auto"/>
                        <w:right w:val="none" w:sz="0" w:space="0" w:color="auto"/>
                      </w:divBdr>
                      <w:divsChild>
                        <w:div w:id="294150542">
                          <w:marLeft w:val="0"/>
                          <w:marRight w:val="0"/>
                          <w:marTop w:val="0"/>
                          <w:marBottom w:val="0"/>
                          <w:divBdr>
                            <w:top w:val="none" w:sz="0" w:space="0" w:color="auto"/>
                            <w:left w:val="none" w:sz="0" w:space="0" w:color="auto"/>
                            <w:bottom w:val="none" w:sz="0" w:space="0" w:color="auto"/>
                            <w:right w:val="none" w:sz="0" w:space="0" w:color="auto"/>
                          </w:divBdr>
                        </w:div>
                      </w:divsChild>
                    </w:div>
                    <w:div w:id="294143854">
                      <w:marLeft w:val="0"/>
                      <w:marRight w:val="0"/>
                      <w:marTop w:val="0"/>
                      <w:marBottom w:val="0"/>
                      <w:divBdr>
                        <w:top w:val="none" w:sz="0" w:space="0" w:color="auto"/>
                        <w:left w:val="none" w:sz="0" w:space="0" w:color="auto"/>
                        <w:bottom w:val="none" w:sz="0" w:space="0" w:color="auto"/>
                        <w:right w:val="none" w:sz="0" w:space="0" w:color="auto"/>
                      </w:divBdr>
                    </w:div>
                    <w:div w:id="294143933">
                      <w:marLeft w:val="0"/>
                      <w:marRight w:val="0"/>
                      <w:marTop w:val="0"/>
                      <w:marBottom w:val="0"/>
                      <w:divBdr>
                        <w:top w:val="none" w:sz="0" w:space="0" w:color="auto"/>
                        <w:left w:val="none" w:sz="0" w:space="0" w:color="auto"/>
                        <w:bottom w:val="none" w:sz="0" w:space="0" w:color="auto"/>
                        <w:right w:val="none" w:sz="0" w:space="0" w:color="auto"/>
                      </w:divBdr>
                      <w:divsChild>
                        <w:div w:id="294138281">
                          <w:marLeft w:val="0"/>
                          <w:marRight w:val="0"/>
                          <w:marTop w:val="0"/>
                          <w:marBottom w:val="0"/>
                          <w:divBdr>
                            <w:top w:val="none" w:sz="0" w:space="0" w:color="auto"/>
                            <w:left w:val="none" w:sz="0" w:space="0" w:color="auto"/>
                            <w:bottom w:val="none" w:sz="0" w:space="0" w:color="auto"/>
                            <w:right w:val="none" w:sz="0" w:space="0" w:color="auto"/>
                          </w:divBdr>
                        </w:div>
                      </w:divsChild>
                    </w:div>
                    <w:div w:id="294143952">
                      <w:marLeft w:val="0"/>
                      <w:marRight w:val="0"/>
                      <w:marTop w:val="0"/>
                      <w:marBottom w:val="0"/>
                      <w:divBdr>
                        <w:top w:val="none" w:sz="0" w:space="0" w:color="auto"/>
                        <w:left w:val="none" w:sz="0" w:space="0" w:color="auto"/>
                        <w:bottom w:val="none" w:sz="0" w:space="0" w:color="auto"/>
                        <w:right w:val="none" w:sz="0" w:space="0" w:color="auto"/>
                      </w:divBdr>
                    </w:div>
                    <w:div w:id="294143956">
                      <w:marLeft w:val="0"/>
                      <w:marRight w:val="0"/>
                      <w:marTop w:val="0"/>
                      <w:marBottom w:val="0"/>
                      <w:divBdr>
                        <w:top w:val="none" w:sz="0" w:space="0" w:color="auto"/>
                        <w:left w:val="none" w:sz="0" w:space="0" w:color="auto"/>
                        <w:bottom w:val="none" w:sz="0" w:space="0" w:color="auto"/>
                        <w:right w:val="none" w:sz="0" w:space="0" w:color="auto"/>
                      </w:divBdr>
                    </w:div>
                    <w:div w:id="294144063">
                      <w:marLeft w:val="0"/>
                      <w:marRight w:val="0"/>
                      <w:marTop w:val="0"/>
                      <w:marBottom w:val="0"/>
                      <w:divBdr>
                        <w:top w:val="none" w:sz="0" w:space="0" w:color="auto"/>
                        <w:left w:val="none" w:sz="0" w:space="0" w:color="auto"/>
                        <w:bottom w:val="none" w:sz="0" w:space="0" w:color="auto"/>
                        <w:right w:val="none" w:sz="0" w:space="0" w:color="auto"/>
                      </w:divBdr>
                    </w:div>
                    <w:div w:id="294144066">
                      <w:marLeft w:val="0"/>
                      <w:marRight w:val="0"/>
                      <w:marTop w:val="0"/>
                      <w:marBottom w:val="0"/>
                      <w:divBdr>
                        <w:top w:val="none" w:sz="0" w:space="0" w:color="auto"/>
                        <w:left w:val="none" w:sz="0" w:space="0" w:color="auto"/>
                        <w:bottom w:val="none" w:sz="0" w:space="0" w:color="auto"/>
                        <w:right w:val="none" w:sz="0" w:space="0" w:color="auto"/>
                      </w:divBdr>
                    </w:div>
                    <w:div w:id="294144134">
                      <w:marLeft w:val="0"/>
                      <w:marRight w:val="0"/>
                      <w:marTop w:val="0"/>
                      <w:marBottom w:val="0"/>
                      <w:divBdr>
                        <w:top w:val="none" w:sz="0" w:space="0" w:color="auto"/>
                        <w:left w:val="none" w:sz="0" w:space="0" w:color="auto"/>
                        <w:bottom w:val="none" w:sz="0" w:space="0" w:color="auto"/>
                        <w:right w:val="none" w:sz="0" w:space="0" w:color="auto"/>
                      </w:divBdr>
                    </w:div>
                    <w:div w:id="294144157">
                      <w:marLeft w:val="0"/>
                      <w:marRight w:val="0"/>
                      <w:marTop w:val="0"/>
                      <w:marBottom w:val="0"/>
                      <w:divBdr>
                        <w:top w:val="none" w:sz="0" w:space="0" w:color="auto"/>
                        <w:left w:val="none" w:sz="0" w:space="0" w:color="auto"/>
                        <w:bottom w:val="none" w:sz="0" w:space="0" w:color="auto"/>
                        <w:right w:val="none" w:sz="0" w:space="0" w:color="auto"/>
                      </w:divBdr>
                      <w:divsChild>
                        <w:div w:id="294143265">
                          <w:marLeft w:val="0"/>
                          <w:marRight w:val="0"/>
                          <w:marTop w:val="0"/>
                          <w:marBottom w:val="0"/>
                          <w:divBdr>
                            <w:top w:val="none" w:sz="0" w:space="0" w:color="auto"/>
                            <w:left w:val="none" w:sz="0" w:space="0" w:color="auto"/>
                            <w:bottom w:val="none" w:sz="0" w:space="0" w:color="auto"/>
                            <w:right w:val="none" w:sz="0" w:space="0" w:color="auto"/>
                          </w:divBdr>
                        </w:div>
                      </w:divsChild>
                    </w:div>
                    <w:div w:id="294144246">
                      <w:marLeft w:val="0"/>
                      <w:marRight w:val="0"/>
                      <w:marTop w:val="0"/>
                      <w:marBottom w:val="0"/>
                      <w:divBdr>
                        <w:top w:val="none" w:sz="0" w:space="0" w:color="auto"/>
                        <w:left w:val="none" w:sz="0" w:space="0" w:color="auto"/>
                        <w:bottom w:val="none" w:sz="0" w:space="0" w:color="auto"/>
                        <w:right w:val="none" w:sz="0" w:space="0" w:color="auto"/>
                      </w:divBdr>
                      <w:divsChild>
                        <w:div w:id="294143453">
                          <w:marLeft w:val="0"/>
                          <w:marRight w:val="0"/>
                          <w:marTop w:val="0"/>
                          <w:marBottom w:val="0"/>
                          <w:divBdr>
                            <w:top w:val="none" w:sz="0" w:space="0" w:color="auto"/>
                            <w:left w:val="none" w:sz="0" w:space="0" w:color="auto"/>
                            <w:bottom w:val="none" w:sz="0" w:space="0" w:color="auto"/>
                            <w:right w:val="none" w:sz="0" w:space="0" w:color="auto"/>
                          </w:divBdr>
                        </w:div>
                      </w:divsChild>
                    </w:div>
                    <w:div w:id="294144309">
                      <w:marLeft w:val="0"/>
                      <w:marRight w:val="0"/>
                      <w:marTop w:val="0"/>
                      <w:marBottom w:val="0"/>
                      <w:divBdr>
                        <w:top w:val="none" w:sz="0" w:space="0" w:color="auto"/>
                        <w:left w:val="none" w:sz="0" w:space="0" w:color="auto"/>
                        <w:bottom w:val="none" w:sz="0" w:space="0" w:color="auto"/>
                        <w:right w:val="none" w:sz="0" w:space="0" w:color="auto"/>
                      </w:divBdr>
                      <w:divsChild>
                        <w:div w:id="294155736">
                          <w:marLeft w:val="0"/>
                          <w:marRight w:val="0"/>
                          <w:marTop w:val="0"/>
                          <w:marBottom w:val="0"/>
                          <w:divBdr>
                            <w:top w:val="none" w:sz="0" w:space="0" w:color="auto"/>
                            <w:left w:val="none" w:sz="0" w:space="0" w:color="auto"/>
                            <w:bottom w:val="none" w:sz="0" w:space="0" w:color="auto"/>
                            <w:right w:val="none" w:sz="0" w:space="0" w:color="auto"/>
                          </w:divBdr>
                        </w:div>
                      </w:divsChild>
                    </w:div>
                    <w:div w:id="294144484">
                      <w:marLeft w:val="0"/>
                      <w:marRight w:val="0"/>
                      <w:marTop w:val="0"/>
                      <w:marBottom w:val="0"/>
                      <w:divBdr>
                        <w:top w:val="none" w:sz="0" w:space="0" w:color="auto"/>
                        <w:left w:val="none" w:sz="0" w:space="0" w:color="auto"/>
                        <w:bottom w:val="none" w:sz="0" w:space="0" w:color="auto"/>
                        <w:right w:val="none" w:sz="0" w:space="0" w:color="auto"/>
                      </w:divBdr>
                      <w:divsChild>
                        <w:div w:id="294156322">
                          <w:marLeft w:val="0"/>
                          <w:marRight w:val="0"/>
                          <w:marTop w:val="0"/>
                          <w:marBottom w:val="0"/>
                          <w:divBdr>
                            <w:top w:val="none" w:sz="0" w:space="0" w:color="auto"/>
                            <w:left w:val="none" w:sz="0" w:space="0" w:color="auto"/>
                            <w:bottom w:val="none" w:sz="0" w:space="0" w:color="auto"/>
                            <w:right w:val="none" w:sz="0" w:space="0" w:color="auto"/>
                          </w:divBdr>
                        </w:div>
                      </w:divsChild>
                    </w:div>
                    <w:div w:id="294144585">
                      <w:marLeft w:val="0"/>
                      <w:marRight w:val="0"/>
                      <w:marTop w:val="0"/>
                      <w:marBottom w:val="0"/>
                      <w:divBdr>
                        <w:top w:val="none" w:sz="0" w:space="0" w:color="auto"/>
                        <w:left w:val="none" w:sz="0" w:space="0" w:color="auto"/>
                        <w:bottom w:val="none" w:sz="0" w:space="0" w:color="auto"/>
                        <w:right w:val="none" w:sz="0" w:space="0" w:color="auto"/>
                      </w:divBdr>
                      <w:divsChild>
                        <w:div w:id="294152611">
                          <w:marLeft w:val="0"/>
                          <w:marRight w:val="0"/>
                          <w:marTop w:val="0"/>
                          <w:marBottom w:val="0"/>
                          <w:divBdr>
                            <w:top w:val="none" w:sz="0" w:space="0" w:color="auto"/>
                            <w:left w:val="none" w:sz="0" w:space="0" w:color="auto"/>
                            <w:bottom w:val="none" w:sz="0" w:space="0" w:color="auto"/>
                            <w:right w:val="none" w:sz="0" w:space="0" w:color="auto"/>
                          </w:divBdr>
                        </w:div>
                      </w:divsChild>
                    </w:div>
                    <w:div w:id="294144619">
                      <w:marLeft w:val="0"/>
                      <w:marRight w:val="0"/>
                      <w:marTop w:val="0"/>
                      <w:marBottom w:val="0"/>
                      <w:divBdr>
                        <w:top w:val="none" w:sz="0" w:space="0" w:color="auto"/>
                        <w:left w:val="none" w:sz="0" w:space="0" w:color="auto"/>
                        <w:bottom w:val="none" w:sz="0" w:space="0" w:color="auto"/>
                        <w:right w:val="none" w:sz="0" w:space="0" w:color="auto"/>
                      </w:divBdr>
                    </w:div>
                    <w:div w:id="294144686">
                      <w:marLeft w:val="0"/>
                      <w:marRight w:val="0"/>
                      <w:marTop w:val="0"/>
                      <w:marBottom w:val="0"/>
                      <w:divBdr>
                        <w:top w:val="none" w:sz="0" w:space="0" w:color="auto"/>
                        <w:left w:val="none" w:sz="0" w:space="0" w:color="auto"/>
                        <w:bottom w:val="none" w:sz="0" w:space="0" w:color="auto"/>
                        <w:right w:val="none" w:sz="0" w:space="0" w:color="auto"/>
                      </w:divBdr>
                    </w:div>
                    <w:div w:id="294144703">
                      <w:marLeft w:val="0"/>
                      <w:marRight w:val="0"/>
                      <w:marTop w:val="0"/>
                      <w:marBottom w:val="0"/>
                      <w:divBdr>
                        <w:top w:val="none" w:sz="0" w:space="0" w:color="auto"/>
                        <w:left w:val="none" w:sz="0" w:space="0" w:color="auto"/>
                        <w:bottom w:val="none" w:sz="0" w:space="0" w:color="auto"/>
                        <w:right w:val="none" w:sz="0" w:space="0" w:color="auto"/>
                      </w:divBdr>
                    </w:div>
                    <w:div w:id="294144730">
                      <w:marLeft w:val="0"/>
                      <w:marRight w:val="0"/>
                      <w:marTop w:val="0"/>
                      <w:marBottom w:val="0"/>
                      <w:divBdr>
                        <w:top w:val="none" w:sz="0" w:space="0" w:color="auto"/>
                        <w:left w:val="none" w:sz="0" w:space="0" w:color="auto"/>
                        <w:bottom w:val="none" w:sz="0" w:space="0" w:color="auto"/>
                        <w:right w:val="none" w:sz="0" w:space="0" w:color="auto"/>
                      </w:divBdr>
                    </w:div>
                    <w:div w:id="294144794">
                      <w:marLeft w:val="0"/>
                      <w:marRight w:val="0"/>
                      <w:marTop w:val="0"/>
                      <w:marBottom w:val="0"/>
                      <w:divBdr>
                        <w:top w:val="none" w:sz="0" w:space="0" w:color="auto"/>
                        <w:left w:val="none" w:sz="0" w:space="0" w:color="auto"/>
                        <w:bottom w:val="none" w:sz="0" w:space="0" w:color="auto"/>
                        <w:right w:val="none" w:sz="0" w:space="0" w:color="auto"/>
                      </w:divBdr>
                      <w:divsChild>
                        <w:div w:id="294151411">
                          <w:marLeft w:val="0"/>
                          <w:marRight w:val="0"/>
                          <w:marTop w:val="0"/>
                          <w:marBottom w:val="0"/>
                          <w:divBdr>
                            <w:top w:val="none" w:sz="0" w:space="0" w:color="auto"/>
                            <w:left w:val="none" w:sz="0" w:space="0" w:color="auto"/>
                            <w:bottom w:val="none" w:sz="0" w:space="0" w:color="auto"/>
                            <w:right w:val="none" w:sz="0" w:space="0" w:color="auto"/>
                          </w:divBdr>
                        </w:div>
                      </w:divsChild>
                    </w:div>
                    <w:div w:id="294144827">
                      <w:marLeft w:val="0"/>
                      <w:marRight w:val="0"/>
                      <w:marTop w:val="0"/>
                      <w:marBottom w:val="0"/>
                      <w:divBdr>
                        <w:top w:val="none" w:sz="0" w:space="0" w:color="auto"/>
                        <w:left w:val="none" w:sz="0" w:space="0" w:color="auto"/>
                        <w:bottom w:val="none" w:sz="0" w:space="0" w:color="auto"/>
                        <w:right w:val="none" w:sz="0" w:space="0" w:color="auto"/>
                      </w:divBdr>
                      <w:divsChild>
                        <w:div w:id="294150212">
                          <w:marLeft w:val="0"/>
                          <w:marRight w:val="0"/>
                          <w:marTop w:val="0"/>
                          <w:marBottom w:val="0"/>
                          <w:divBdr>
                            <w:top w:val="none" w:sz="0" w:space="0" w:color="auto"/>
                            <w:left w:val="none" w:sz="0" w:space="0" w:color="auto"/>
                            <w:bottom w:val="none" w:sz="0" w:space="0" w:color="auto"/>
                            <w:right w:val="none" w:sz="0" w:space="0" w:color="auto"/>
                          </w:divBdr>
                        </w:div>
                      </w:divsChild>
                    </w:div>
                    <w:div w:id="294144992">
                      <w:marLeft w:val="0"/>
                      <w:marRight w:val="0"/>
                      <w:marTop w:val="0"/>
                      <w:marBottom w:val="0"/>
                      <w:divBdr>
                        <w:top w:val="none" w:sz="0" w:space="0" w:color="auto"/>
                        <w:left w:val="none" w:sz="0" w:space="0" w:color="auto"/>
                        <w:bottom w:val="none" w:sz="0" w:space="0" w:color="auto"/>
                        <w:right w:val="none" w:sz="0" w:space="0" w:color="auto"/>
                      </w:divBdr>
                      <w:divsChild>
                        <w:div w:id="294154909">
                          <w:marLeft w:val="0"/>
                          <w:marRight w:val="0"/>
                          <w:marTop w:val="0"/>
                          <w:marBottom w:val="0"/>
                          <w:divBdr>
                            <w:top w:val="none" w:sz="0" w:space="0" w:color="auto"/>
                            <w:left w:val="none" w:sz="0" w:space="0" w:color="auto"/>
                            <w:bottom w:val="none" w:sz="0" w:space="0" w:color="auto"/>
                            <w:right w:val="none" w:sz="0" w:space="0" w:color="auto"/>
                          </w:divBdr>
                        </w:div>
                      </w:divsChild>
                    </w:div>
                    <w:div w:id="294145011">
                      <w:marLeft w:val="0"/>
                      <w:marRight w:val="0"/>
                      <w:marTop w:val="0"/>
                      <w:marBottom w:val="0"/>
                      <w:divBdr>
                        <w:top w:val="none" w:sz="0" w:space="0" w:color="auto"/>
                        <w:left w:val="none" w:sz="0" w:space="0" w:color="auto"/>
                        <w:bottom w:val="none" w:sz="0" w:space="0" w:color="auto"/>
                        <w:right w:val="none" w:sz="0" w:space="0" w:color="auto"/>
                      </w:divBdr>
                      <w:divsChild>
                        <w:div w:id="294142378">
                          <w:marLeft w:val="0"/>
                          <w:marRight w:val="0"/>
                          <w:marTop w:val="0"/>
                          <w:marBottom w:val="0"/>
                          <w:divBdr>
                            <w:top w:val="none" w:sz="0" w:space="0" w:color="auto"/>
                            <w:left w:val="none" w:sz="0" w:space="0" w:color="auto"/>
                            <w:bottom w:val="none" w:sz="0" w:space="0" w:color="auto"/>
                            <w:right w:val="none" w:sz="0" w:space="0" w:color="auto"/>
                          </w:divBdr>
                        </w:div>
                      </w:divsChild>
                    </w:div>
                    <w:div w:id="294145032">
                      <w:marLeft w:val="0"/>
                      <w:marRight w:val="0"/>
                      <w:marTop w:val="0"/>
                      <w:marBottom w:val="0"/>
                      <w:divBdr>
                        <w:top w:val="none" w:sz="0" w:space="0" w:color="auto"/>
                        <w:left w:val="none" w:sz="0" w:space="0" w:color="auto"/>
                        <w:bottom w:val="none" w:sz="0" w:space="0" w:color="auto"/>
                        <w:right w:val="none" w:sz="0" w:space="0" w:color="auto"/>
                      </w:divBdr>
                      <w:divsChild>
                        <w:div w:id="294150581">
                          <w:marLeft w:val="0"/>
                          <w:marRight w:val="0"/>
                          <w:marTop w:val="0"/>
                          <w:marBottom w:val="0"/>
                          <w:divBdr>
                            <w:top w:val="none" w:sz="0" w:space="0" w:color="auto"/>
                            <w:left w:val="none" w:sz="0" w:space="0" w:color="auto"/>
                            <w:bottom w:val="none" w:sz="0" w:space="0" w:color="auto"/>
                            <w:right w:val="none" w:sz="0" w:space="0" w:color="auto"/>
                          </w:divBdr>
                        </w:div>
                      </w:divsChild>
                    </w:div>
                    <w:div w:id="294145152">
                      <w:marLeft w:val="0"/>
                      <w:marRight w:val="0"/>
                      <w:marTop w:val="0"/>
                      <w:marBottom w:val="0"/>
                      <w:divBdr>
                        <w:top w:val="none" w:sz="0" w:space="0" w:color="auto"/>
                        <w:left w:val="none" w:sz="0" w:space="0" w:color="auto"/>
                        <w:bottom w:val="none" w:sz="0" w:space="0" w:color="auto"/>
                        <w:right w:val="none" w:sz="0" w:space="0" w:color="auto"/>
                      </w:divBdr>
                      <w:divsChild>
                        <w:div w:id="294154445">
                          <w:marLeft w:val="0"/>
                          <w:marRight w:val="0"/>
                          <w:marTop w:val="0"/>
                          <w:marBottom w:val="0"/>
                          <w:divBdr>
                            <w:top w:val="none" w:sz="0" w:space="0" w:color="auto"/>
                            <w:left w:val="none" w:sz="0" w:space="0" w:color="auto"/>
                            <w:bottom w:val="none" w:sz="0" w:space="0" w:color="auto"/>
                            <w:right w:val="none" w:sz="0" w:space="0" w:color="auto"/>
                          </w:divBdr>
                        </w:div>
                      </w:divsChild>
                    </w:div>
                    <w:div w:id="294145158">
                      <w:marLeft w:val="0"/>
                      <w:marRight w:val="0"/>
                      <w:marTop w:val="0"/>
                      <w:marBottom w:val="0"/>
                      <w:divBdr>
                        <w:top w:val="none" w:sz="0" w:space="0" w:color="auto"/>
                        <w:left w:val="none" w:sz="0" w:space="0" w:color="auto"/>
                        <w:bottom w:val="none" w:sz="0" w:space="0" w:color="auto"/>
                        <w:right w:val="none" w:sz="0" w:space="0" w:color="auto"/>
                      </w:divBdr>
                      <w:divsChild>
                        <w:div w:id="294157209">
                          <w:marLeft w:val="0"/>
                          <w:marRight w:val="0"/>
                          <w:marTop w:val="0"/>
                          <w:marBottom w:val="0"/>
                          <w:divBdr>
                            <w:top w:val="none" w:sz="0" w:space="0" w:color="auto"/>
                            <w:left w:val="none" w:sz="0" w:space="0" w:color="auto"/>
                            <w:bottom w:val="none" w:sz="0" w:space="0" w:color="auto"/>
                            <w:right w:val="none" w:sz="0" w:space="0" w:color="auto"/>
                          </w:divBdr>
                        </w:div>
                      </w:divsChild>
                    </w:div>
                    <w:div w:id="294145259">
                      <w:marLeft w:val="0"/>
                      <w:marRight w:val="0"/>
                      <w:marTop w:val="0"/>
                      <w:marBottom w:val="0"/>
                      <w:divBdr>
                        <w:top w:val="none" w:sz="0" w:space="0" w:color="auto"/>
                        <w:left w:val="none" w:sz="0" w:space="0" w:color="auto"/>
                        <w:bottom w:val="none" w:sz="0" w:space="0" w:color="auto"/>
                        <w:right w:val="none" w:sz="0" w:space="0" w:color="auto"/>
                      </w:divBdr>
                    </w:div>
                    <w:div w:id="294145317">
                      <w:marLeft w:val="0"/>
                      <w:marRight w:val="0"/>
                      <w:marTop w:val="0"/>
                      <w:marBottom w:val="0"/>
                      <w:divBdr>
                        <w:top w:val="none" w:sz="0" w:space="0" w:color="auto"/>
                        <w:left w:val="none" w:sz="0" w:space="0" w:color="auto"/>
                        <w:bottom w:val="none" w:sz="0" w:space="0" w:color="auto"/>
                        <w:right w:val="none" w:sz="0" w:space="0" w:color="auto"/>
                      </w:divBdr>
                    </w:div>
                    <w:div w:id="294145324">
                      <w:marLeft w:val="0"/>
                      <w:marRight w:val="0"/>
                      <w:marTop w:val="0"/>
                      <w:marBottom w:val="0"/>
                      <w:divBdr>
                        <w:top w:val="none" w:sz="0" w:space="0" w:color="auto"/>
                        <w:left w:val="none" w:sz="0" w:space="0" w:color="auto"/>
                        <w:bottom w:val="none" w:sz="0" w:space="0" w:color="auto"/>
                        <w:right w:val="none" w:sz="0" w:space="0" w:color="auto"/>
                      </w:divBdr>
                    </w:div>
                    <w:div w:id="294145340">
                      <w:marLeft w:val="0"/>
                      <w:marRight w:val="0"/>
                      <w:marTop w:val="0"/>
                      <w:marBottom w:val="0"/>
                      <w:divBdr>
                        <w:top w:val="none" w:sz="0" w:space="0" w:color="auto"/>
                        <w:left w:val="none" w:sz="0" w:space="0" w:color="auto"/>
                        <w:bottom w:val="none" w:sz="0" w:space="0" w:color="auto"/>
                        <w:right w:val="none" w:sz="0" w:space="0" w:color="auto"/>
                      </w:divBdr>
                    </w:div>
                    <w:div w:id="294145509">
                      <w:marLeft w:val="0"/>
                      <w:marRight w:val="0"/>
                      <w:marTop w:val="0"/>
                      <w:marBottom w:val="0"/>
                      <w:divBdr>
                        <w:top w:val="none" w:sz="0" w:space="0" w:color="auto"/>
                        <w:left w:val="none" w:sz="0" w:space="0" w:color="auto"/>
                        <w:bottom w:val="none" w:sz="0" w:space="0" w:color="auto"/>
                        <w:right w:val="none" w:sz="0" w:space="0" w:color="auto"/>
                      </w:divBdr>
                    </w:div>
                    <w:div w:id="294145591">
                      <w:marLeft w:val="0"/>
                      <w:marRight w:val="0"/>
                      <w:marTop w:val="0"/>
                      <w:marBottom w:val="0"/>
                      <w:divBdr>
                        <w:top w:val="none" w:sz="0" w:space="0" w:color="auto"/>
                        <w:left w:val="none" w:sz="0" w:space="0" w:color="auto"/>
                        <w:bottom w:val="none" w:sz="0" w:space="0" w:color="auto"/>
                        <w:right w:val="none" w:sz="0" w:space="0" w:color="auto"/>
                      </w:divBdr>
                    </w:div>
                    <w:div w:id="294145603">
                      <w:marLeft w:val="0"/>
                      <w:marRight w:val="0"/>
                      <w:marTop w:val="0"/>
                      <w:marBottom w:val="0"/>
                      <w:divBdr>
                        <w:top w:val="none" w:sz="0" w:space="0" w:color="auto"/>
                        <w:left w:val="none" w:sz="0" w:space="0" w:color="auto"/>
                        <w:bottom w:val="none" w:sz="0" w:space="0" w:color="auto"/>
                        <w:right w:val="none" w:sz="0" w:space="0" w:color="auto"/>
                      </w:divBdr>
                    </w:div>
                    <w:div w:id="294145611">
                      <w:marLeft w:val="0"/>
                      <w:marRight w:val="0"/>
                      <w:marTop w:val="0"/>
                      <w:marBottom w:val="0"/>
                      <w:divBdr>
                        <w:top w:val="none" w:sz="0" w:space="0" w:color="auto"/>
                        <w:left w:val="none" w:sz="0" w:space="0" w:color="auto"/>
                        <w:bottom w:val="none" w:sz="0" w:space="0" w:color="auto"/>
                        <w:right w:val="none" w:sz="0" w:space="0" w:color="auto"/>
                      </w:divBdr>
                    </w:div>
                    <w:div w:id="294145638">
                      <w:marLeft w:val="0"/>
                      <w:marRight w:val="0"/>
                      <w:marTop w:val="0"/>
                      <w:marBottom w:val="0"/>
                      <w:divBdr>
                        <w:top w:val="none" w:sz="0" w:space="0" w:color="auto"/>
                        <w:left w:val="none" w:sz="0" w:space="0" w:color="auto"/>
                        <w:bottom w:val="none" w:sz="0" w:space="0" w:color="auto"/>
                        <w:right w:val="none" w:sz="0" w:space="0" w:color="auto"/>
                      </w:divBdr>
                      <w:divsChild>
                        <w:div w:id="294150478">
                          <w:marLeft w:val="0"/>
                          <w:marRight w:val="0"/>
                          <w:marTop w:val="0"/>
                          <w:marBottom w:val="0"/>
                          <w:divBdr>
                            <w:top w:val="none" w:sz="0" w:space="0" w:color="auto"/>
                            <w:left w:val="none" w:sz="0" w:space="0" w:color="auto"/>
                            <w:bottom w:val="none" w:sz="0" w:space="0" w:color="auto"/>
                            <w:right w:val="none" w:sz="0" w:space="0" w:color="auto"/>
                          </w:divBdr>
                        </w:div>
                      </w:divsChild>
                    </w:div>
                    <w:div w:id="294145643">
                      <w:marLeft w:val="0"/>
                      <w:marRight w:val="0"/>
                      <w:marTop w:val="0"/>
                      <w:marBottom w:val="0"/>
                      <w:divBdr>
                        <w:top w:val="none" w:sz="0" w:space="0" w:color="auto"/>
                        <w:left w:val="none" w:sz="0" w:space="0" w:color="auto"/>
                        <w:bottom w:val="none" w:sz="0" w:space="0" w:color="auto"/>
                        <w:right w:val="none" w:sz="0" w:space="0" w:color="auto"/>
                      </w:divBdr>
                      <w:divsChild>
                        <w:div w:id="294156059">
                          <w:marLeft w:val="0"/>
                          <w:marRight w:val="0"/>
                          <w:marTop w:val="0"/>
                          <w:marBottom w:val="0"/>
                          <w:divBdr>
                            <w:top w:val="none" w:sz="0" w:space="0" w:color="auto"/>
                            <w:left w:val="none" w:sz="0" w:space="0" w:color="auto"/>
                            <w:bottom w:val="none" w:sz="0" w:space="0" w:color="auto"/>
                            <w:right w:val="none" w:sz="0" w:space="0" w:color="auto"/>
                          </w:divBdr>
                        </w:div>
                      </w:divsChild>
                    </w:div>
                    <w:div w:id="294145855">
                      <w:marLeft w:val="0"/>
                      <w:marRight w:val="0"/>
                      <w:marTop w:val="0"/>
                      <w:marBottom w:val="0"/>
                      <w:divBdr>
                        <w:top w:val="none" w:sz="0" w:space="0" w:color="auto"/>
                        <w:left w:val="none" w:sz="0" w:space="0" w:color="auto"/>
                        <w:bottom w:val="none" w:sz="0" w:space="0" w:color="auto"/>
                        <w:right w:val="none" w:sz="0" w:space="0" w:color="auto"/>
                      </w:divBdr>
                    </w:div>
                    <w:div w:id="294146137">
                      <w:marLeft w:val="0"/>
                      <w:marRight w:val="0"/>
                      <w:marTop w:val="0"/>
                      <w:marBottom w:val="0"/>
                      <w:divBdr>
                        <w:top w:val="none" w:sz="0" w:space="0" w:color="auto"/>
                        <w:left w:val="none" w:sz="0" w:space="0" w:color="auto"/>
                        <w:bottom w:val="none" w:sz="0" w:space="0" w:color="auto"/>
                        <w:right w:val="none" w:sz="0" w:space="0" w:color="auto"/>
                      </w:divBdr>
                    </w:div>
                    <w:div w:id="294146159">
                      <w:marLeft w:val="0"/>
                      <w:marRight w:val="0"/>
                      <w:marTop w:val="0"/>
                      <w:marBottom w:val="0"/>
                      <w:divBdr>
                        <w:top w:val="none" w:sz="0" w:space="0" w:color="auto"/>
                        <w:left w:val="none" w:sz="0" w:space="0" w:color="auto"/>
                        <w:bottom w:val="none" w:sz="0" w:space="0" w:color="auto"/>
                        <w:right w:val="none" w:sz="0" w:space="0" w:color="auto"/>
                      </w:divBdr>
                    </w:div>
                    <w:div w:id="294146184">
                      <w:marLeft w:val="0"/>
                      <w:marRight w:val="0"/>
                      <w:marTop w:val="0"/>
                      <w:marBottom w:val="0"/>
                      <w:divBdr>
                        <w:top w:val="none" w:sz="0" w:space="0" w:color="auto"/>
                        <w:left w:val="none" w:sz="0" w:space="0" w:color="auto"/>
                        <w:bottom w:val="none" w:sz="0" w:space="0" w:color="auto"/>
                        <w:right w:val="none" w:sz="0" w:space="0" w:color="auto"/>
                      </w:divBdr>
                      <w:divsChild>
                        <w:div w:id="294143053">
                          <w:marLeft w:val="0"/>
                          <w:marRight w:val="0"/>
                          <w:marTop w:val="0"/>
                          <w:marBottom w:val="0"/>
                          <w:divBdr>
                            <w:top w:val="none" w:sz="0" w:space="0" w:color="auto"/>
                            <w:left w:val="none" w:sz="0" w:space="0" w:color="auto"/>
                            <w:bottom w:val="none" w:sz="0" w:space="0" w:color="auto"/>
                            <w:right w:val="none" w:sz="0" w:space="0" w:color="auto"/>
                          </w:divBdr>
                        </w:div>
                      </w:divsChild>
                    </w:div>
                    <w:div w:id="294146233">
                      <w:marLeft w:val="0"/>
                      <w:marRight w:val="0"/>
                      <w:marTop w:val="0"/>
                      <w:marBottom w:val="0"/>
                      <w:divBdr>
                        <w:top w:val="none" w:sz="0" w:space="0" w:color="auto"/>
                        <w:left w:val="none" w:sz="0" w:space="0" w:color="auto"/>
                        <w:bottom w:val="none" w:sz="0" w:space="0" w:color="auto"/>
                        <w:right w:val="none" w:sz="0" w:space="0" w:color="auto"/>
                      </w:divBdr>
                      <w:divsChild>
                        <w:div w:id="294149713">
                          <w:marLeft w:val="0"/>
                          <w:marRight w:val="0"/>
                          <w:marTop w:val="0"/>
                          <w:marBottom w:val="0"/>
                          <w:divBdr>
                            <w:top w:val="none" w:sz="0" w:space="0" w:color="auto"/>
                            <w:left w:val="none" w:sz="0" w:space="0" w:color="auto"/>
                            <w:bottom w:val="none" w:sz="0" w:space="0" w:color="auto"/>
                            <w:right w:val="none" w:sz="0" w:space="0" w:color="auto"/>
                          </w:divBdr>
                        </w:div>
                      </w:divsChild>
                    </w:div>
                    <w:div w:id="294146250">
                      <w:marLeft w:val="0"/>
                      <w:marRight w:val="0"/>
                      <w:marTop w:val="0"/>
                      <w:marBottom w:val="0"/>
                      <w:divBdr>
                        <w:top w:val="none" w:sz="0" w:space="0" w:color="auto"/>
                        <w:left w:val="none" w:sz="0" w:space="0" w:color="auto"/>
                        <w:bottom w:val="none" w:sz="0" w:space="0" w:color="auto"/>
                        <w:right w:val="none" w:sz="0" w:space="0" w:color="auto"/>
                      </w:divBdr>
                    </w:div>
                    <w:div w:id="294146293">
                      <w:marLeft w:val="0"/>
                      <w:marRight w:val="0"/>
                      <w:marTop w:val="0"/>
                      <w:marBottom w:val="0"/>
                      <w:divBdr>
                        <w:top w:val="none" w:sz="0" w:space="0" w:color="auto"/>
                        <w:left w:val="none" w:sz="0" w:space="0" w:color="auto"/>
                        <w:bottom w:val="none" w:sz="0" w:space="0" w:color="auto"/>
                        <w:right w:val="none" w:sz="0" w:space="0" w:color="auto"/>
                      </w:divBdr>
                    </w:div>
                    <w:div w:id="294146365">
                      <w:marLeft w:val="0"/>
                      <w:marRight w:val="0"/>
                      <w:marTop w:val="0"/>
                      <w:marBottom w:val="0"/>
                      <w:divBdr>
                        <w:top w:val="none" w:sz="0" w:space="0" w:color="auto"/>
                        <w:left w:val="none" w:sz="0" w:space="0" w:color="auto"/>
                        <w:bottom w:val="none" w:sz="0" w:space="0" w:color="auto"/>
                        <w:right w:val="none" w:sz="0" w:space="0" w:color="auto"/>
                      </w:divBdr>
                    </w:div>
                    <w:div w:id="294146385">
                      <w:marLeft w:val="0"/>
                      <w:marRight w:val="0"/>
                      <w:marTop w:val="0"/>
                      <w:marBottom w:val="0"/>
                      <w:divBdr>
                        <w:top w:val="none" w:sz="0" w:space="0" w:color="auto"/>
                        <w:left w:val="none" w:sz="0" w:space="0" w:color="auto"/>
                        <w:bottom w:val="none" w:sz="0" w:space="0" w:color="auto"/>
                        <w:right w:val="none" w:sz="0" w:space="0" w:color="auto"/>
                      </w:divBdr>
                    </w:div>
                    <w:div w:id="294146619">
                      <w:marLeft w:val="0"/>
                      <w:marRight w:val="0"/>
                      <w:marTop w:val="0"/>
                      <w:marBottom w:val="0"/>
                      <w:divBdr>
                        <w:top w:val="none" w:sz="0" w:space="0" w:color="auto"/>
                        <w:left w:val="none" w:sz="0" w:space="0" w:color="auto"/>
                        <w:bottom w:val="none" w:sz="0" w:space="0" w:color="auto"/>
                        <w:right w:val="none" w:sz="0" w:space="0" w:color="auto"/>
                      </w:divBdr>
                      <w:divsChild>
                        <w:div w:id="294142176">
                          <w:marLeft w:val="0"/>
                          <w:marRight w:val="0"/>
                          <w:marTop w:val="0"/>
                          <w:marBottom w:val="0"/>
                          <w:divBdr>
                            <w:top w:val="none" w:sz="0" w:space="0" w:color="auto"/>
                            <w:left w:val="none" w:sz="0" w:space="0" w:color="auto"/>
                            <w:bottom w:val="none" w:sz="0" w:space="0" w:color="auto"/>
                            <w:right w:val="none" w:sz="0" w:space="0" w:color="auto"/>
                          </w:divBdr>
                        </w:div>
                      </w:divsChild>
                    </w:div>
                    <w:div w:id="294146625">
                      <w:marLeft w:val="0"/>
                      <w:marRight w:val="0"/>
                      <w:marTop w:val="0"/>
                      <w:marBottom w:val="0"/>
                      <w:divBdr>
                        <w:top w:val="none" w:sz="0" w:space="0" w:color="auto"/>
                        <w:left w:val="none" w:sz="0" w:space="0" w:color="auto"/>
                        <w:bottom w:val="none" w:sz="0" w:space="0" w:color="auto"/>
                        <w:right w:val="none" w:sz="0" w:space="0" w:color="auto"/>
                      </w:divBdr>
                      <w:divsChild>
                        <w:div w:id="294148778">
                          <w:marLeft w:val="0"/>
                          <w:marRight w:val="0"/>
                          <w:marTop w:val="0"/>
                          <w:marBottom w:val="0"/>
                          <w:divBdr>
                            <w:top w:val="none" w:sz="0" w:space="0" w:color="auto"/>
                            <w:left w:val="none" w:sz="0" w:space="0" w:color="auto"/>
                            <w:bottom w:val="none" w:sz="0" w:space="0" w:color="auto"/>
                            <w:right w:val="none" w:sz="0" w:space="0" w:color="auto"/>
                          </w:divBdr>
                        </w:div>
                      </w:divsChild>
                    </w:div>
                    <w:div w:id="294146626">
                      <w:marLeft w:val="0"/>
                      <w:marRight w:val="0"/>
                      <w:marTop w:val="0"/>
                      <w:marBottom w:val="0"/>
                      <w:divBdr>
                        <w:top w:val="none" w:sz="0" w:space="0" w:color="auto"/>
                        <w:left w:val="none" w:sz="0" w:space="0" w:color="auto"/>
                        <w:bottom w:val="none" w:sz="0" w:space="0" w:color="auto"/>
                        <w:right w:val="none" w:sz="0" w:space="0" w:color="auto"/>
                      </w:divBdr>
                    </w:div>
                    <w:div w:id="294146687">
                      <w:marLeft w:val="0"/>
                      <w:marRight w:val="0"/>
                      <w:marTop w:val="0"/>
                      <w:marBottom w:val="0"/>
                      <w:divBdr>
                        <w:top w:val="none" w:sz="0" w:space="0" w:color="auto"/>
                        <w:left w:val="none" w:sz="0" w:space="0" w:color="auto"/>
                        <w:bottom w:val="none" w:sz="0" w:space="0" w:color="auto"/>
                        <w:right w:val="none" w:sz="0" w:space="0" w:color="auto"/>
                      </w:divBdr>
                    </w:div>
                    <w:div w:id="294146725">
                      <w:marLeft w:val="0"/>
                      <w:marRight w:val="0"/>
                      <w:marTop w:val="0"/>
                      <w:marBottom w:val="0"/>
                      <w:divBdr>
                        <w:top w:val="none" w:sz="0" w:space="0" w:color="auto"/>
                        <w:left w:val="none" w:sz="0" w:space="0" w:color="auto"/>
                        <w:bottom w:val="none" w:sz="0" w:space="0" w:color="auto"/>
                        <w:right w:val="none" w:sz="0" w:space="0" w:color="auto"/>
                      </w:divBdr>
                      <w:divsChild>
                        <w:div w:id="294146524">
                          <w:marLeft w:val="0"/>
                          <w:marRight w:val="0"/>
                          <w:marTop w:val="0"/>
                          <w:marBottom w:val="0"/>
                          <w:divBdr>
                            <w:top w:val="none" w:sz="0" w:space="0" w:color="auto"/>
                            <w:left w:val="none" w:sz="0" w:space="0" w:color="auto"/>
                            <w:bottom w:val="none" w:sz="0" w:space="0" w:color="auto"/>
                            <w:right w:val="none" w:sz="0" w:space="0" w:color="auto"/>
                          </w:divBdr>
                        </w:div>
                      </w:divsChild>
                    </w:div>
                    <w:div w:id="294146736">
                      <w:marLeft w:val="0"/>
                      <w:marRight w:val="0"/>
                      <w:marTop w:val="0"/>
                      <w:marBottom w:val="0"/>
                      <w:divBdr>
                        <w:top w:val="none" w:sz="0" w:space="0" w:color="auto"/>
                        <w:left w:val="none" w:sz="0" w:space="0" w:color="auto"/>
                        <w:bottom w:val="none" w:sz="0" w:space="0" w:color="auto"/>
                        <w:right w:val="none" w:sz="0" w:space="0" w:color="auto"/>
                      </w:divBdr>
                      <w:divsChild>
                        <w:div w:id="294138481">
                          <w:marLeft w:val="0"/>
                          <w:marRight w:val="0"/>
                          <w:marTop w:val="0"/>
                          <w:marBottom w:val="0"/>
                          <w:divBdr>
                            <w:top w:val="none" w:sz="0" w:space="0" w:color="auto"/>
                            <w:left w:val="none" w:sz="0" w:space="0" w:color="auto"/>
                            <w:bottom w:val="none" w:sz="0" w:space="0" w:color="auto"/>
                            <w:right w:val="none" w:sz="0" w:space="0" w:color="auto"/>
                          </w:divBdr>
                        </w:div>
                      </w:divsChild>
                    </w:div>
                    <w:div w:id="294146744">
                      <w:marLeft w:val="0"/>
                      <w:marRight w:val="0"/>
                      <w:marTop w:val="0"/>
                      <w:marBottom w:val="0"/>
                      <w:divBdr>
                        <w:top w:val="none" w:sz="0" w:space="0" w:color="auto"/>
                        <w:left w:val="none" w:sz="0" w:space="0" w:color="auto"/>
                        <w:bottom w:val="none" w:sz="0" w:space="0" w:color="auto"/>
                        <w:right w:val="none" w:sz="0" w:space="0" w:color="auto"/>
                      </w:divBdr>
                    </w:div>
                    <w:div w:id="294146758">
                      <w:marLeft w:val="0"/>
                      <w:marRight w:val="0"/>
                      <w:marTop w:val="0"/>
                      <w:marBottom w:val="0"/>
                      <w:divBdr>
                        <w:top w:val="none" w:sz="0" w:space="0" w:color="auto"/>
                        <w:left w:val="none" w:sz="0" w:space="0" w:color="auto"/>
                        <w:bottom w:val="none" w:sz="0" w:space="0" w:color="auto"/>
                        <w:right w:val="none" w:sz="0" w:space="0" w:color="auto"/>
                      </w:divBdr>
                      <w:divsChild>
                        <w:div w:id="294155050">
                          <w:marLeft w:val="0"/>
                          <w:marRight w:val="0"/>
                          <w:marTop w:val="0"/>
                          <w:marBottom w:val="0"/>
                          <w:divBdr>
                            <w:top w:val="none" w:sz="0" w:space="0" w:color="auto"/>
                            <w:left w:val="none" w:sz="0" w:space="0" w:color="auto"/>
                            <w:bottom w:val="none" w:sz="0" w:space="0" w:color="auto"/>
                            <w:right w:val="none" w:sz="0" w:space="0" w:color="auto"/>
                          </w:divBdr>
                        </w:div>
                      </w:divsChild>
                    </w:div>
                    <w:div w:id="294146781">
                      <w:marLeft w:val="0"/>
                      <w:marRight w:val="0"/>
                      <w:marTop w:val="0"/>
                      <w:marBottom w:val="0"/>
                      <w:divBdr>
                        <w:top w:val="none" w:sz="0" w:space="0" w:color="auto"/>
                        <w:left w:val="none" w:sz="0" w:space="0" w:color="auto"/>
                        <w:bottom w:val="none" w:sz="0" w:space="0" w:color="auto"/>
                        <w:right w:val="none" w:sz="0" w:space="0" w:color="auto"/>
                      </w:divBdr>
                    </w:div>
                    <w:div w:id="294146788">
                      <w:marLeft w:val="0"/>
                      <w:marRight w:val="0"/>
                      <w:marTop w:val="0"/>
                      <w:marBottom w:val="0"/>
                      <w:divBdr>
                        <w:top w:val="none" w:sz="0" w:space="0" w:color="auto"/>
                        <w:left w:val="none" w:sz="0" w:space="0" w:color="auto"/>
                        <w:bottom w:val="none" w:sz="0" w:space="0" w:color="auto"/>
                        <w:right w:val="none" w:sz="0" w:space="0" w:color="auto"/>
                      </w:divBdr>
                    </w:div>
                    <w:div w:id="294146798">
                      <w:marLeft w:val="0"/>
                      <w:marRight w:val="0"/>
                      <w:marTop w:val="0"/>
                      <w:marBottom w:val="0"/>
                      <w:divBdr>
                        <w:top w:val="none" w:sz="0" w:space="0" w:color="auto"/>
                        <w:left w:val="none" w:sz="0" w:space="0" w:color="auto"/>
                        <w:bottom w:val="none" w:sz="0" w:space="0" w:color="auto"/>
                        <w:right w:val="none" w:sz="0" w:space="0" w:color="auto"/>
                      </w:divBdr>
                      <w:divsChild>
                        <w:div w:id="294145303">
                          <w:marLeft w:val="0"/>
                          <w:marRight w:val="0"/>
                          <w:marTop w:val="0"/>
                          <w:marBottom w:val="0"/>
                          <w:divBdr>
                            <w:top w:val="none" w:sz="0" w:space="0" w:color="auto"/>
                            <w:left w:val="none" w:sz="0" w:space="0" w:color="auto"/>
                            <w:bottom w:val="none" w:sz="0" w:space="0" w:color="auto"/>
                            <w:right w:val="none" w:sz="0" w:space="0" w:color="auto"/>
                          </w:divBdr>
                        </w:div>
                      </w:divsChild>
                    </w:div>
                    <w:div w:id="294146844">
                      <w:marLeft w:val="0"/>
                      <w:marRight w:val="0"/>
                      <w:marTop w:val="0"/>
                      <w:marBottom w:val="0"/>
                      <w:divBdr>
                        <w:top w:val="none" w:sz="0" w:space="0" w:color="auto"/>
                        <w:left w:val="none" w:sz="0" w:space="0" w:color="auto"/>
                        <w:bottom w:val="none" w:sz="0" w:space="0" w:color="auto"/>
                        <w:right w:val="none" w:sz="0" w:space="0" w:color="auto"/>
                      </w:divBdr>
                      <w:divsChild>
                        <w:div w:id="294151797">
                          <w:marLeft w:val="0"/>
                          <w:marRight w:val="0"/>
                          <w:marTop w:val="0"/>
                          <w:marBottom w:val="0"/>
                          <w:divBdr>
                            <w:top w:val="none" w:sz="0" w:space="0" w:color="auto"/>
                            <w:left w:val="none" w:sz="0" w:space="0" w:color="auto"/>
                            <w:bottom w:val="none" w:sz="0" w:space="0" w:color="auto"/>
                            <w:right w:val="none" w:sz="0" w:space="0" w:color="auto"/>
                          </w:divBdr>
                        </w:div>
                      </w:divsChild>
                    </w:div>
                    <w:div w:id="294146931">
                      <w:marLeft w:val="0"/>
                      <w:marRight w:val="0"/>
                      <w:marTop w:val="0"/>
                      <w:marBottom w:val="0"/>
                      <w:divBdr>
                        <w:top w:val="none" w:sz="0" w:space="0" w:color="auto"/>
                        <w:left w:val="none" w:sz="0" w:space="0" w:color="auto"/>
                        <w:bottom w:val="none" w:sz="0" w:space="0" w:color="auto"/>
                        <w:right w:val="none" w:sz="0" w:space="0" w:color="auto"/>
                      </w:divBdr>
                      <w:divsChild>
                        <w:div w:id="294145462">
                          <w:marLeft w:val="0"/>
                          <w:marRight w:val="0"/>
                          <w:marTop w:val="0"/>
                          <w:marBottom w:val="0"/>
                          <w:divBdr>
                            <w:top w:val="none" w:sz="0" w:space="0" w:color="auto"/>
                            <w:left w:val="none" w:sz="0" w:space="0" w:color="auto"/>
                            <w:bottom w:val="none" w:sz="0" w:space="0" w:color="auto"/>
                            <w:right w:val="none" w:sz="0" w:space="0" w:color="auto"/>
                          </w:divBdr>
                        </w:div>
                      </w:divsChild>
                    </w:div>
                    <w:div w:id="294147033">
                      <w:marLeft w:val="0"/>
                      <w:marRight w:val="0"/>
                      <w:marTop w:val="0"/>
                      <w:marBottom w:val="0"/>
                      <w:divBdr>
                        <w:top w:val="none" w:sz="0" w:space="0" w:color="auto"/>
                        <w:left w:val="none" w:sz="0" w:space="0" w:color="auto"/>
                        <w:bottom w:val="none" w:sz="0" w:space="0" w:color="auto"/>
                        <w:right w:val="none" w:sz="0" w:space="0" w:color="auto"/>
                      </w:divBdr>
                    </w:div>
                    <w:div w:id="294147160">
                      <w:marLeft w:val="0"/>
                      <w:marRight w:val="0"/>
                      <w:marTop w:val="0"/>
                      <w:marBottom w:val="0"/>
                      <w:divBdr>
                        <w:top w:val="none" w:sz="0" w:space="0" w:color="auto"/>
                        <w:left w:val="none" w:sz="0" w:space="0" w:color="auto"/>
                        <w:bottom w:val="none" w:sz="0" w:space="0" w:color="auto"/>
                        <w:right w:val="none" w:sz="0" w:space="0" w:color="auto"/>
                      </w:divBdr>
                    </w:div>
                    <w:div w:id="294147187">
                      <w:marLeft w:val="0"/>
                      <w:marRight w:val="0"/>
                      <w:marTop w:val="0"/>
                      <w:marBottom w:val="0"/>
                      <w:divBdr>
                        <w:top w:val="none" w:sz="0" w:space="0" w:color="auto"/>
                        <w:left w:val="none" w:sz="0" w:space="0" w:color="auto"/>
                        <w:bottom w:val="none" w:sz="0" w:space="0" w:color="auto"/>
                        <w:right w:val="none" w:sz="0" w:space="0" w:color="auto"/>
                      </w:divBdr>
                      <w:divsChild>
                        <w:div w:id="294146715">
                          <w:marLeft w:val="0"/>
                          <w:marRight w:val="0"/>
                          <w:marTop w:val="0"/>
                          <w:marBottom w:val="0"/>
                          <w:divBdr>
                            <w:top w:val="none" w:sz="0" w:space="0" w:color="auto"/>
                            <w:left w:val="none" w:sz="0" w:space="0" w:color="auto"/>
                            <w:bottom w:val="none" w:sz="0" w:space="0" w:color="auto"/>
                            <w:right w:val="none" w:sz="0" w:space="0" w:color="auto"/>
                          </w:divBdr>
                        </w:div>
                      </w:divsChild>
                    </w:div>
                    <w:div w:id="294147225">
                      <w:marLeft w:val="0"/>
                      <w:marRight w:val="0"/>
                      <w:marTop w:val="0"/>
                      <w:marBottom w:val="0"/>
                      <w:divBdr>
                        <w:top w:val="none" w:sz="0" w:space="0" w:color="auto"/>
                        <w:left w:val="none" w:sz="0" w:space="0" w:color="auto"/>
                        <w:bottom w:val="none" w:sz="0" w:space="0" w:color="auto"/>
                        <w:right w:val="none" w:sz="0" w:space="0" w:color="auto"/>
                      </w:divBdr>
                      <w:divsChild>
                        <w:div w:id="294150985">
                          <w:marLeft w:val="0"/>
                          <w:marRight w:val="0"/>
                          <w:marTop w:val="0"/>
                          <w:marBottom w:val="0"/>
                          <w:divBdr>
                            <w:top w:val="none" w:sz="0" w:space="0" w:color="auto"/>
                            <w:left w:val="none" w:sz="0" w:space="0" w:color="auto"/>
                            <w:bottom w:val="none" w:sz="0" w:space="0" w:color="auto"/>
                            <w:right w:val="none" w:sz="0" w:space="0" w:color="auto"/>
                          </w:divBdr>
                        </w:div>
                      </w:divsChild>
                    </w:div>
                    <w:div w:id="294147273">
                      <w:marLeft w:val="0"/>
                      <w:marRight w:val="0"/>
                      <w:marTop w:val="0"/>
                      <w:marBottom w:val="0"/>
                      <w:divBdr>
                        <w:top w:val="none" w:sz="0" w:space="0" w:color="auto"/>
                        <w:left w:val="none" w:sz="0" w:space="0" w:color="auto"/>
                        <w:bottom w:val="none" w:sz="0" w:space="0" w:color="auto"/>
                        <w:right w:val="none" w:sz="0" w:space="0" w:color="auto"/>
                      </w:divBdr>
                    </w:div>
                    <w:div w:id="294147279">
                      <w:marLeft w:val="0"/>
                      <w:marRight w:val="0"/>
                      <w:marTop w:val="0"/>
                      <w:marBottom w:val="0"/>
                      <w:divBdr>
                        <w:top w:val="none" w:sz="0" w:space="0" w:color="auto"/>
                        <w:left w:val="none" w:sz="0" w:space="0" w:color="auto"/>
                        <w:bottom w:val="none" w:sz="0" w:space="0" w:color="auto"/>
                        <w:right w:val="none" w:sz="0" w:space="0" w:color="auto"/>
                      </w:divBdr>
                    </w:div>
                    <w:div w:id="294147282">
                      <w:marLeft w:val="0"/>
                      <w:marRight w:val="0"/>
                      <w:marTop w:val="0"/>
                      <w:marBottom w:val="0"/>
                      <w:divBdr>
                        <w:top w:val="none" w:sz="0" w:space="0" w:color="auto"/>
                        <w:left w:val="none" w:sz="0" w:space="0" w:color="auto"/>
                        <w:bottom w:val="none" w:sz="0" w:space="0" w:color="auto"/>
                        <w:right w:val="none" w:sz="0" w:space="0" w:color="auto"/>
                      </w:divBdr>
                      <w:divsChild>
                        <w:div w:id="294145315">
                          <w:marLeft w:val="0"/>
                          <w:marRight w:val="0"/>
                          <w:marTop w:val="0"/>
                          <w:marBottom w:val="0"/>
                          <w:divBdr>
                            <w:top w:val="none" w:sz="0" w:space="0" w:color="auto"/>
                            <w:left w:val="none" w:sz="0" w:space="0" w:color="auto"/>
                            <w:bottom w:val="none" w:sz="0" w:space="0" w:color="auto"/>
                            <w:right w:val="none" w:sz="0" w:space="0" w:color="auto"/>
                          </w:divBdr>
                        </w:div>
                      </w:divsChild>
                    </w:div>
                    <w:div w:id="294147313">
                      <w:marLeft w:val="0"/>
                      <w:marRight w:val="0"/>
                      <w:marTop w:val="0"/>
                      <w:marBottom w:val="0"/>
                      <w:divBdr>
                        <w:top w:val="none" w:sz="0" w:space="0" w:color="auto"/>
                        <w:left w:val="none" w:sz="0" w:space="0" w:color="auto"/>
                        <w:bottom w:val="none" w:sz="0" w:space="0" w:color="auto"/>
                        <w:right w:val="none" w:sz="0" w:space="0" w:color="auto"/>
                      </w:divBdr>
                    </w:div>
                    <w:div w:id="294147371">
                      <w:marLeft w:val="0"/>
                      <w:marRight w:val="0"/>
                      <w:marTop w:val="0"/>
                      <w:marBottom w:val="0"/>
                      <w:divBdr>
                        <w:top w:val="none" w:sz="0" w:space="0" w:color="auto"/>
                        <w:left w:val="none" w:sz="0" w:space="0" w:color="auto"/>
                        <w:bottom w:val="none" w:sz="0" w:space="0" w:color="auto"/>
                        <w:right w:val="none" w:sz="0" w:space="0" w:color="auto"/>
                      </w:divBdr>
                      <w:divsChild>
                        <w:div w:id="294147428">
                          <w:marLeft w:val="0"/>
                          <w:marRight w:val="0"/>
                          <w:marTop w:val="0"/>
                          <w:marBottom w:val="0"/>
                          <w:divBdr>
                            <w:top w:val="none" w:sz="0" w:space="0" w:color="auto"/>
                            <w:left w:val="none" w:sz="0" w:space="0" w:color="auto"/>
                            <w:bottom w:val="none" w:sz="0" w:space="0" w:color="auto"/>
                            <w:right w:val="none" w:sz="0" w:space="0" w:color="auto"/>
                          </w:divBdr>
                        </w:div>
                      </w:divsChild>
                    </w:div>
                    <w:div w:id="294147429">
                      <w:marLeft w:val="0"/>
                      <w:marRight w:val="0"/>
                      <w:marTop w:val="0"/>
                      <w:marBottom w:val="0"/>
                      <w:divBdr>
                        <w:top w:val="none" w:sz="0" w:space="0" w:color="auto"/>
                        <w:left w:val="none" w:sz="0" w:space="0" w:color="auto"/>
                        <w:bottom w:val="none" w:sz="0" w:space="0" w:color="auto"/>
                        <w:right w:val="none" w:sz="0" w:space="0" w:color="auto"/>
                      </w:divBdr>
                    </w:div>
                    <w:div w:id="294147532">
                      <w:marLeft w:val="0"/>
                      <w:marRight w:val="0"/>
                      <w:marTop w:val="0"/>
                      <w:marBottom w:val="0"/>
                      <w:divBdr>
                        <w:top w:val="none" w:sz="0" w:space="0" w:color="auto"/>
                        <w:left w:val="none" w:sz="0" w:space="0" w:color="auto"/>
                        <w:bottom w:val="none" w:sz="0" w:space="0" w:color="auto"/>
                        <w:right w:val="none" w:sz="0" w:space="0" w:color="auto"/>
                      </w:divBdr>
                    </w:div>
                    <w:div w:id="294147616">
                      <w:marLeft w:val="0"/>
                      <w:marRight w:val="0"/>
                      <w:marTop w:val="0"/>
                      <w:marBottom w:val="0"/>
                      <w:divBdr>
                        <w:top w:val="none" w:sz="0" w:space="0" w:color="auto"/>
                        <w:left w:val="none" w:sz="0" w:space="0" w:color="auto"/>
                        <w:bottom w:val="none" w:sz="0" w:space="0" w:color="auto"/>
                        <w:right w:val="none" w:sz="0" w:space="0" w:color="auto"/>
                      </w:divBdr>
                    </w:div>
                    <w:div w:id="294147673">
                      <w:marLeft w:val="0"/>
                      <w:marRight w:val="0"/>
                      <w:marTop w:val="0"/>
                      <w:marBottom w:val="0"/>
                      <w:divBdr>
                        <w:top w:val="none" w:sz="0" w:space="0" w:color="auto"/>
                        <w:left w:val="none" w:sz="0" w:space="0" w:color="auto"/>
                        <w:bottom w:val="none" w:sz="0" w:space="0" w:color="auto"/>
                        <w:right w:val="none" w:sz="0" w:space="0" w:color="auto"/>
                      </w:divBdr>
                      <w:divsChild>
                        <w:div w:id="294146394">
                          <w:marLeft w:val="0"/>
                          <w:marRight w:val="0"/>
                          <w:marTop w:val="0"/>
                          <w:marBottom w:val="0"/>
                          <w:divBdr>
                            <w:top w:val="none" w:sz="0" w:space="0" w:color="auto"/>
                            <w:left w:val="none" w:sz="0" w:space="0" w:color="auto"/>
                            <w:bottom w:val="none" w:sz="0" w:space="0" w:color="auto"/>
                            <w:right w:val="none" w:sz="0" w:space="0" w:color="auto"/>
                          </w:divBdr>
                        </w:div>
                      </w:divsChild>
                    </w:div>
                    <w:div w:id="294147688">
                      <w:marLeft w:val="0"/>
                      <w:marRight w:val="0"/>
                      <w:marTop w:val="0"/>
                      <w:marBottom w:val="0"/>
                      <w:divBdr>
                        <w:top w:val="none" w:sz="0" w:space="0" w:color="auto"/>
                        <w:left w:val="none" w:sz="0" w:space="0" w:color="auto"/>
                        <w:bottom w:val="none" w:sz="0" w:space="0" w:color="auto"/>
                        <w:right w:val="none" w:sz="0" w:space="0" w:color="auto"/>
                      </w:divBdr>
                      <w:divsChild>
                        <w:div w:id="294152008">
                          <w:marLeft w:val="0"/>
                          <w:marRight w:val="0"/>
                          <w:marTop w:val="0"/>
                          <w:marBottom w:val="0"/>
                          <w:divBdr>
                            <w:top w:val="none" w:sz="0" w:space="0" w:color="auto"/>
                            <w:left w:val="none" w:sz="0" w:space="0" w:color="auto"/>
                            <w:bottom w:val="none" w:sz="0" w:space="0" w:color="auto"/>
                            <w:right w:val="none" w:sz="0" w:space="0" w:color="auto"/>
                          </w:divBdr>
                        </w:div>
                      </w:divsChild>
                    </w:div>
                    <w:div w:id="294147763">
                      <w:marLeft w:val="0"/>
                      <w:marRight w:val="0"/>
                      <w:marTop w:val="0"/>
                      <w:marBottom w:val="0"/>
                      <w:divBdr>
                        <w:top w:val="none" w:sz="0" w:space="0" w:color="auto"/>
                        <w:left w:val="none" w:sz="0" w:space="0" w:color="auto"/>
                        <w:bottom w:val="none" w:sz="0" w:space="0" w:color="auto"/>
                        <w:right w:val="none" w:sz="0" w:space="0" w:color="auto"/>
                      </w:divBdr>
                    </w:div>
                    <w:div w:id="294147767">
                      <w:marLeft w:val="0"/>
                      <w:marRight w:val="0"/>
                      <w:marTop w:val="0"/>
                      <w:marBottom w:val="0"/>
                      <w:divBdr>
                        <w:top w:val="none" w:sz="0" w:space="0" w:color="auto"/>
                        <w:left w:val="none" w:sz="0" w:space="0" w:color="auto"/>
                        <w:bottom w:val="none" w:sz="0" w:space="0" w:color="auto"/>
                        <w:right w:val="none" w:sz="0" w:space="0" w:color="auto"/>
                      </w:divBdr>
                    </w:div>
                    <w:div w:id="294147782">
                      <w:marLeft w:val="0"/>
                      <w:marRight w:val="0"/>
                      <w:marTop w:val="0"/>
                      <w:marBottom w:val="0"/>
                      <w:divBdr>
                        <w:top w:val="none" w:sz="0" w:space="0" w:color="auto"/>
                        <w:left w:val="none" w:sz="0" w:space="0" w:color="auto"/>
                        <w:bottom w:val="none" w:sz="0" w:space="0" w:color="auto"/>
                        <w:right w:val="none" w:sz="0" w:space="0" w:color="auto"/>
                      </w:divBdr>
                      <w:divsChild>
                        <w:div w:id="294146819">
                          <w:marLeft w:val="0"/>
                          <w:marRight w:val="0"/>
                          <w:marTop w:val="0"/>
                          <w:marBottom w:val="0"/>
                          <w:divBdr>
                            <w:top w:val="none" w:sz="0" w:space="0" w:color="auto"/>
                            <w:left w:val="none" w:sz="0" w:space="0" w:color="auto"/>
                            <w:bottom w:val="none" w:sz="0" w:space="0" w:color="auto"/>
                            <w:right w:val="none" w:sz="0" w:space="0" w:color="auto"/>
                          </w:divBdr>
                        </w:div>
                      </w:divsChild>
                    </w:div>
                    <w:div w:id="294147831">
                      <w:marLeft w:val="0"/>
                      <w:marRight w:val="0"/>
                      <w:marTop w:val="0"/>
                      <w:marBottom w:val="0"/>
                      <w:divBdr>
                        <w:top w:val="none" w:sz="0" w:space="0" w:color="auto"/>
                        <w:left w:val="none" w:sz="0" w:space="0" w:color="auto"/>
                        <w:bottom w:val="none" w:sz="0" w:space="0" w:color="auto"/>
                        <w:right w:val="none" w:sz="0" w:space="0" w:color="auto"/>
                      </w:divBdr>
                      <w:divsChild>
                        <w:div w:id="294151280">
                          <w:marLeft w:val="0"/>
                          <w:marRight w:val="0"/>
                          <w:marTop w:val="0"/>
                          <w:marBottom w:val="0"/>
                          <w:divBdr>
                            <w:top w:val="none" w:sz="0" w:space="0" w:color="auto"/>
                            <w:left w:val="none" w:sz="0" w:space="0" w:color="auto"/>
                            <w:bottom w:val="none" w:sz="0" w:space="0" w:color="auto"/>
                            <w:right w:val="none" w:sz="0" w:space="0" w:color="auto"/>
                          </w:divBdr>
                        </w:div>
                      </w:divsChild>
                    </w:div>
                    <w:div w:id="294147856">
                      <w:marLeft w:val="0"/>
                      <w:marRight w:val="0"/>
                      <w:marTop w:val="0"/>
                      <w:marBottom w:val="0"/>
                      <w:divBdr>
                        <w:top w:val="none" w:sz="0" w:space="0" w:color="auto"/>
                        <w:left w:val="none" w:sz="0" w:space="0" w:color="auto"/>
                        <w:bottom w:val="none" w:sz="0" w:space="0" w:color="auto"/>
                        <w:right w:val="none" w:sz="0" w:space="0" w:color="auto"/>
                      </w:divBdr>
                    </w:div>
                    <w:div w:id="294147899">
                      <w:marLeft w:val="0"/>
                      <w:marRight w:val="0"/>
                      <w:marTop w:val="0"/>
                      <w:marBottom w:val="0"/>
                      <w:divBdr>
                        <w:top w:val="none" w:sz="0" w:space="0" w:color="auto"/>
                        <w:left w:val="none" w:sz="0" w:space="0" w:color="auto"/>
                        <w:bottom w:val="none" w:sz="0" w:space="0" w:color="auto"/>
                        <w:right w:val="none" w:sz="0" w:space="0" w:color="auto"/>
                      </w:divBdr>
                    </w:div>
                    <w:div w:id="294147903">
                      <w:marLeft w:val="0"/>
                      <w:marRight w:val="0"/>
                      <w:marTop w:val="0"/>
                      <w:marBottom w:val="0"/>
                      <w:divBdr>
                        <w:top w:val="none" w:sz="0" w:space="0" w:color="auto"/>
                        <w:left w:val="none" w:sz="0" w:space="0" w:color="auto"/>
                        <w:bottom w:val="none" w:sz="0" w:space="0" w:color="auto"/>
                        <w:right w:val="none" w:sz="0" w:space="0" w:color="auto"/>
                      </w:divBdr>
                      <w:divsChild>
                        <w:div w:id="294142243">
                          <w:marLeft w:val="0"/>
                          <w:marRight w:val="0"/>
                          <w:marTop w:val="0"/>
                          <w:marBottom w:val="0"/>
                          <w:divBdr>
                            <w:top w:val="none" w:sz="0" w:space="0" w:color="auto"/>
                            <w:left w:val="none" w:sz="0" w:space="0" w:color="auto"/>
                            <w:bottom w:val="none" w:sz="0" w:space="0" w:color="auto"/>
                            <w:right w:val="none" w:sz="0" w:space="0" w:color="auto"/>
                          </w:divBdr>
                        </w:div>
                      </w:divsChild>
                    </w:div>
                    <w:div w:id="294147930">
                      <w:marLeft w:val="0"/>
                      <w:marRight w:val="0"/>
                      <w:marTop w:val="0"/>
                      <w:marBottom w:val="0"/>
                      <w:divBdr>
                        <w:top w:val="none" w:sz="0" w:space="0" w:color="auto"/>
                        <w:left w:val="none" w:sz="0" w:space="0" w:color="auto"/>
                        <w:bottom w:val="none" w:sz="0" w:space="0" w:color="auto"/>
                        <w:right w:val="none" w:sz="0" w:space="0" w:color="auto"/>
                      </w:divBdr>
                    </w:div>
                    <w:div w:id="294148019">
                      <w:marLeft w:val="0"/>
                      <w:marRight w:val="0"/>
                      <w:marTop w:val="0"/>
                      <w:marBottom w:val="0"/>
                      <w:divBdr>
                        <w:top w:val="none" w:sz="0" w:space="0" w:color="auto"/>
                        <w:left w:val="none" w:sz="0" w:space="0" w:color="auto"/>
                        <w:bottom w:val="none" w:sz="0" w:space="0" w:color="auto"/>
                        <w:right w:val="none" w:sz="0" w:space="0" w:color="auto"/>
                      </w:divBdr>
                    </w:div>
                    <w:div w:id="294148262">
                      <w:marLeft w:val="0"/>
                      <w:marRight w:val="0"/>
                      <w:marTop w:val="0"/>
                      <w:marBottom w:val="0"/>
                      <w:divBdr>
                        <w:top w:val="none" w:sz="0" w:space="0" w:color="auto"/>
                        <w:left w:val="none" w:sz="0" w:space="0" w:color="auto"/>
                        <w:bottom w:val="none" w:sz="0" w:space="0" w:color="auto"/>
                        <w:right w:val="none" w:sz="0" w:space="0" w:color="auto"/>
                      </w:divBdr>
                      <w:divsChild>
                        <w:div w:id="294150238">
                          <w:marLeft w:val="0"/>
                          <w:marRight w:val="0"/>
                          <w:marTop w:val="0"/>
                          <w:marBottom w:val="0"/>
                          <w:divBdr>
                            <w:top w:val="none" w:sz="0" w:space="0" w:color="auto"/>
                            <w:left w:val="none" w:sz="0" w:space="0" w:color="auto"/>
                            <w:bottom w:val="none" w:sz="0" w:space="0" w:color="auto"/>
                            <w:right w:val="none" w:sz="0" w:space="0" w:color="auto"/>
                          </w:divBdr>
                        </w:div>
                      </w:divsChild>
                    </w:div>
                    <w:div w:id="294148283">
                      <w:marLeft w:val="0"/>
                      <w:marRight w:val="0"/>
                      <w:marTop w:val="0"/>
                      <w:marBottom w:val="0"/>
                      <w:divBdr>
                        <w:top w:val="none" w:sz="0" w:space="0" w:color="auto"/>
                        <w:left w:val="none" w:sz="0" w:space="0" w:color="auto"/>
                        <w:bottom w:val="none" w:sz="0" w:space="0" w:color="auto"/>
                        <w:right w:val="none" w:sz="0" w:space="0" w:color="auto"/>
                      </w:divBdr>
                      <w:divsChild>
                        <w:div w:id="294141044">
                          <w:marLeft w:val="0"/>
                          <w:marRight w:val="0"/>
                          <w:marTop w:val="0"/>
                          <w:marBottom w:val="0"/>
                          <w:divBdr>
                            <w:top w:val="none" w:sz="0" w:space="0" w:color="auto"/>
                            <w:left w:val="none" w:sz="0" w:space="0" w:color="auto"/>
                            <w:bottom w:val="none" w:sz="0" w:space="0" w:color="auto"/>
                            <w:right w:val="none" w:sz="0" w:space="0" w:color="auto"/>
                          </w:divBdr>
                        </w:div>
                      </w:divsChild>
                    </w:div>
                    <w:div w:id="294148296">
                      <w:marLeft w:val="0"/>
                      <w:marRight w:val="0"/>
                      <w:marTop w:val="0"/>
                      <w:marBottom w:val="0"/>
                      <w:divBdr>
                        <w:top w:val="none" w:sz="0" w:space="0" w:color="auto"/>
                        <w:left w:val="none" w:sz="0" w:space="0" w:color="auto"/>
                        <w:bottom w:val="none" w:sz="0" w:space="0" w:color="auto"/>
                        <w:right w:val="none" w:sz="0" w:space="0" w:color="auto"/>
                      </w:divBdr>
                      <w:divsChild>
                        <w:div w:id="294141904">
                          <w:marLeft w:val="0"/>
                          <w:marRight w:val="0"/>
                          <w:marTop w:val="0"/>
                          <w:marBottom w:val="0"/>
                          <w:divBdr>
                            <w:top w:val="none" w:sz="0" w:space="0" w:color="auto"/>
                            <w:left w:val="none" w:sz="0" w:space="0" w:color="auto"/>
                            <w:bottom w:val="none" w:sz="0" w:space="0" w:color="auto"/>
                            <w:right w:val="none" w:sz="0" w:space="0" w:color="auto"/>
                          </w:divBdr>
                        </w:div>
                      </w:divsChild>
                    </w:div>
                    <w:div w:id="294148301">
                      <w:marLeft w:val="0"/>
                      <w:marRight w:val="0"/>
                      <w:marTop w:val="0"/>
                      <w:marBottom w:val="0"/>
                      <w:divBdr>
                        <w:top w:val="none" w:sz="0" w:space="0" w:color="auto"/>
                        <w:left w:val="none" w:sz="0" w:space="0" w:color="auto"/>
                        <w:bottom w:val="none" w:sz="0" w:space="0" w:color="auto"/>
                        <w:right w:val="none" w:sz="0" w:space="0" w:color="auto"/>
                      </w:divBdr>
                    </w:div>
                    <w:div w:id="294148322">
                      <w:marLeft w:val="0"/>
                      <w:marRight w:val="0"/>
                      <w:marTop w:val="0"/>
                      <w:marBottom w:val="0"/>
                      <w:divBdr>
                        <w:top w:val="none" w:sz="0" w:space="0" w:color="auto"/>
                        <w:left w:val="none" w:sz="0" w:space="0" w:color="auto"/>
                        <w:bottom w:val="none" w:sz="0" w:space="0" w:color="auto"/>
                        <w:right w:val="none" w:sz="0" w:space="0" w:color="auto"/>
                      </w:divBdr>
                    </w:div>
                    <w:div w:id="294148323">
                      <w:marLeft w:val="0"/>
                      <w:marRight w:val="0"/>
                      <w:marTop w:val="0"/>
                      <w:marBottom w:val="0"/>
                      <w:divBdr>
                        <w:top w:val="none" w:sz="0" w:space="0" w:color="auto"/>
                        <w:left w:val="none" w:sz="0" w:space="0" w:color="auto"/>
                        <w:bottom w:val="none" w:sz="0" w:space="0" w:color="auto"/>
                        <w:right w:val="none" w:sz="0" w:space="0" w:color="auto"/>
                      </w:divBdr>
                      <w:divsChild>
                        <w:div w:id="294140995">
                          <w:marLeft w:val="0"/>
                          <w:marRight w:val="0"/>
                          <w:marTop w:val="0"/>
                          <w:marBottom w:val="0"/>
                          <w:divBdr>
                            <w:top w:val="none" w:sz="0" w:space="0" w:color="auto"/>
                            <w:left w:val="none" w:sz="0" w:space="0" w:color="auto"/>
                            <w:bottom w:val="none" w:sz="0" w:space="0" w:color="auto"/>
                            <w:right w:val="none" w:sz="0" w:space="0" w:color="auto"/>
                          </w:divBdr>
                        </w:div>
                      </w:divsChild>
                    </w:div>
                    <w:div w:id="294148330">
                      <w:marLeft w:val="0"/>
                      <w:marRight w:val="0"/>
                      <w:marTop w:val="0"/>
                      <w:marBottom w:val="0"/>
                      <w:divBdr>
                        <w:top w:val="none" w:sz="0" w:space="0" w:color="auto"/>
                        <w:left w:val="none" w:sz="0" w:space="0" w:color="auto"/>
                        <w:bottom w:val="none" w:sz="0" w:space="0" w:color="auto"/>
                        <w:right w:val="none" w:sz="0" w:space="0" w:color="auto"/>
                      </w:divBdr>
                      <w:divsChild>
                        <w:div w:id="294139701">
                          <w:marLeft w:val="0"/>
                          <w:marRight w:val="0"/>
                          <w:marTop w:val="0"/>
                          <w:marBottom w:val="0"/>
                          <w:divBdr>
                            <w:top w:val="none" w:sz="0" w:space="0" w:color="auto"/>
                            <w:left w:val="none" w:sz="0" w:space="0" w:color="auto"/>
                            <w:bottom w:val="none" w:sz="0" w:space="0" w:color="auto"/>
                            <w:right w:val="none" w:sz="0" w:space="0" w:color="auto"/>
                          </w:divBdr>
                        </w:div>
                      </w:divsChild>
                    </w:div>
                    <w:div w:id="294148343">
                      <w:marLeft w:val="0"/>
                      <w:marRight w:val="0"/>
                      <w:marTop w:val="0"/>
                      <w:marBottom w:val="0"/>
                      <w:divBdr>
                        <w:top w:val="none" w:sz="0" w:space="0" w:color="auto"/>
                        <w:left w:val="none" w:sz="0" w:space="0" w:color="auto"/>
                        <w:bottom w:val="none" w:sz="0" w:space="0" w:color="auto"/>
                        <w:right w:val="none" w:sz="0" w:space="0" w:color="auto"/>
                      </w:divBdr>
                    </w:div>
                    <w:div w:id="294148532">
                      <w:marLeft w:val="0"/>
                      <w:marRight w:val="0"/>
                      <w:marTop w:val="0"/>
                      <w:marBottom w:val="0"/>
                      <w:divBdr>
                        <w:top w:val="none" w:sz="0" w:space="0" w:color="auto"/>
                        <w:left w:val="none" w:sz="0" w:space="0" w:color="auto"/>
                        <w:bottom w:val="none" w:sz="0" w:space="0" w:color="auto"/>
                        <w:right w:val="none" w:sz="0" w:space="0" w:color="auto"/>
                      </w:divBdr>
                      <w:divsChild>
                        <w:div w:id="294139849">
                          <w:marLeft w:val="0"/>
                          <w:marRight w:val="0"/>
                          <w:marTop w:val="0"/>
                          <w:marBottom w:val="0"/>
                          <w:divBdr>
                            <w:top w:val="none" w:sz="0" w:space="0" w:color="auto"/>
                            <w:left w:val="none" w:sz="0" w:space="0" w:color="auto"/>
                            <w:bottom w:val="none" w:sz="0" w:space="0" w:color="auto"/>
                            <w:right w:val="none" w:sz="0" w:space="0" w:color="auto"/>
                          </w:divBdr>
                        </w:div>
                      </w:divsChild>
                    </w:div>
                    <w:div w:id="294148587">
                      <w:marLeft w:val="0"/>
                      <w:marRight w:val="0"/>
                      <w:marTop w:val="0"/>
                      <w:marBottom w:val="0"/>
                      <w:divBdr>
                        <w:top w:val="none" w:sz="0" w:space="0" w:color="auto"/>
                        <w:left w:val="none" w:sz="0" w:space="0" w:color="auto"/>
                        <w:bottom w:val="none" w:sz="0" w:space="0" w:color="auto"/>
                        <w:right w:val="none" w:sz="0" w:space="0" w:color="auto"/>
                      </w:divBdr>
                      <w:divsChild>
                        <w:div w:id="294148052">
                          <w:marLeft w:val="0"/>
                          <w:marRight w:val="0"/>
                          <w:marTop w:val="0"/>
                          <w:marBottom w:val="0"/>
                          <w:divBdr>
                            <w:top w:val="none" w:sz="0" w:space="0" w:color="auto"/>
                            <w:left w:val="none" w:sz="0" w:space="0" w:color="auto"/>
                            <w:bottom w:val="none" w:sz="0" w:space="0" w:color="auto"/>
                            <w:right w:val="none" w:sz="0" w:space="0" w:color="auto"/>
                          </w:divBdr>
                        </w:div>
                      </w:divsChild>
                    </w:div>
                    <w:div w:id="294148598">
                      <w:marLeft w:val="0"/>
                      <w:marRight w:val="0"/>
                      <w:marTop w:val="0"/>
                      <w:marBottom w:val="0"/>
                      <w:divBdr>
                        <w:top w:val="none" w:sz="0" w:space="0" w:color="auto"/>
                        <w:left w:val="none" w:sz="0" w:space="0" w:color="auto"/>
                        <w:bottom w:val="none" w:sz="0" w:space="0" w:color="auto"/>
                        <w:right w:val="none" w:sz="0" w:space="0" w:color="auto"/>
                      </w:divBdr>
                    </w:div>
                    <w:div w:id="294148719">
                      <w:marLeft w:val="0"/>
                      <w:marRight w:val="0"/>
                      <w:marTop w:val="0"/>
                      <w:marBottom w:val="0"/>
                      <w:divBdr>
                        <w:top w:val="none" w:sz="0" w:space="0" w:color="auto"/>
                        <w:left w:val="none" w:sz="0" w:space="0" w:color="auto"/>
                        <w:bottom w:val="none" w:sz="0" w:space="0" w:color="auto"/>
                        <w:right w:val="none" w:sz="0" w:space="0" w:color="auto"/>
                      </w:divBdr>
                      <w:divsChild>
                        <w:div w:id="294138208">
                          <w:marLeft w:val="0"/>
                          <w:marRight w:val="0"/>
                          <w:marTop w:val="0"/>
                          <w:marBottom w:val="0"/>
                          <w:divBdr>
                            <w:top w:val="none" w:sz="0" w:space="0" w:color="auto"/>
                            <w:left w:val="none" w:sz="0" w:space="0" w:color="auto"/>
                            <w:bottom w:val="none" w:sz="0" w:space="0" w:color="auto"/>
                            <w:right w:val="none" w:sz="0" w:space="0" w:color="auto"/>
                          </w:divBdr>
                        </w:div>
                      </w:divsChild>
                    </w:div>
                    <w:div w:id="294148740">
                      <w:marLeft w:val="0"/>
                      <w:marRight w:val="0"/>
                      <w:marTop w:val="0"/>
                      <w:marBottom w:val="0"/>
                      <w:divBdr>
                        <w:top w:val="none" w:sz="0" w:space="0" w:color="auto"/>
                        <w:left w:val="none" w:sz="0" w:space="0" w:color="auto"/>
                        <w:bottom w:val="none" w:sz="0" w:space="0" w:color="auto"/>
                        <w:right w:val="none" w:sz="0" w:space="0" w:color="auto"/>
                      </w:divBdr>
                    </w:div>
                    <w:div w:id="294148742">
                      <w:marLeft w:val="0"/>
                      <w:marRight w:val="0"/>
                      <w:marTop w:val="0"/>
                      <w:marBottom w:val="0"/>
                      <w:divBdr>
                        <w:top w:val="none" w:sz="0" w:space="0" w:color="auto"/>
                        <w:left w:val="none" w:sz="0" w:space="0" w:color="auto"/>
                        <w:bottom w:val="none" w:sz="0" w:space="0" w:color="auto"/>
                        <w:right w:val="none" w:sz="0" w:space="0" w:color="auto"/>
                      </w:divBdr>
                    </w:div>
                    <w:div w:id="294148804">
                      <w:marLeft w:val="0"/>
                      <w:marRight w:val="0"/>
                      <w:marTop w:val="0"/>
                      <w:marBottom w:val="0"/>
                      <w:divBdr>
                        <w:top w:val="none" w:sz="0" w:space="0" w:color="auto"/>
                        <w:left w:val="none" w:sz="0" w:space="0" w:color="auto"/>
                        <w:bottom w:val="none" w:sz="0" w:space="0" w:color="auto"/>
                        <w:right w:val="none" w:sz="0" w:space="0" w:color="auto"/>
                      </w:divBdr>
                    </w:div>
                    <w:div w:id="294148907">
                      <w:marLeft w:val="0"/>
                      <w:marRight w:val="0"/>
                      <w:marTop w:val="0"/>
                      <w:marBottom w:val="0"/>
                      <w:divBdr>
                        <w:top w:val="none" w:sz="0" w:space="0" w:color="auto"/>
                        <w:left w:val="none" w:sz="0" w:space="0" w:color="auto"/>
                        <w:bottom w:val="none" w:sz="0" w:space="0" w:color="auto"/>
                        <w:right w:val="none" w:sz="0" w:space="0" w:color="auto"/>
                      </w:divBdr>
                      <w:divsChild>
                        <w:div w:id="294148321">
                          <w:marLeft w:val="0"/>
                          <w:marRight w:val="0"/>
                          <w:marTop w:val="0"/>
                          <w:marBottom w:val="0"/>
                          <w:divBdr>
                            <w:top w:val="none" w:sz="0" w:space="0" w:color="auto"/>
                            <w:left w:val="none" w:sz="0" w:space="0" w:color="auto"/>
                            <w:bottom w:val="none" w:sz="0" w:space="0" w:color="auto"/>
                            <w:right w:val="none" w:sz="0" w:space="0" w:color="auto"/>
                          </w:divBdr>
                        </w:div>
                      </w:divsChild>
                    </w:div>
                    <w:div w:id="294148981">
                      <w:marLeft w:val="0"/>
                      <w:marRight w:val="0"/>
                      <w:marTop w:val="0"/>
                      <w:marBottom w:val="0"/>
                      <w:divBdr>
                        <w:top w:val="none" w:sz="0" w:space="0" w:color="auto"/>
                        <w:left w:val="none" w:sz="0" w:space="0" w:color="auto"/>
                        <w:bottom w:val="none" w:sz="0" w:space="0" w:color="auto"/>
                        <w:right w:val="none" w:sz="0" w:space="0" w:color="auto"/>
                      </w:divBdr>
                    </w:div>
                    <w:div w:id="294149018">
                      <w:marLeft w:val="0"/>
                      <w:marRight w:val="0"/>
                      <w:marTop w:val="0"/>
                      <w:marBottom w:val="0"/>
                      <w:divBdr>
                        <w:top w:val="none" w:sz="0" w:space="0" w:color="auto"/>
                        <w:left w:val="none" w:sz="0" w:space="0" w:color="auto"/>
                        <w:bottom w:val="none" w:sz="0" w:space="0" w:color="auto"/>
                        <w:right w:val="none" w:sz="0" w:space="0" w:color="auto"/>
                      </w:divBdr>
                      <w:divsChild>
                        <w:div w:id="294148018">
                          <w:marLeft w:val="0"/>
                          <w:marRight w:val="0"/>
                          <w:marTop w:val="0"/>
                          <w:marBottom w:val="0"/>
                          <w:divBdr>
                            <w:top w:val="none" w:sz="0" w:space="0" w:color="auto"/>
                            <w:left w:val="none" w:sz="0" w:space="0" w:color="auto"/>
                            <w:bottom w:val="none" w:sz="0" w:space="0" w:color="auto"/>
                            <w:right w:val="none" w:sz="0" w:space="0" w:color="auto"/>
                          </w:divBdr>
                        </w:div>
                      </w:divsChild>
                    </w:div>
                    <w:div w:id="294149064">
                      <w:marLeft w:val="0"/>
                      <w:marRight w:val="0"/>
                      <w:marTop w:val="0"/>
                      <w:marBottom w:val="0"/>
                      <w:divBdr>
                        <w:top w:val="none" w:sz="0" w:space="0" w:color="auto"/>
                        <w:left w:val="none" w:sz="0" w:space="0" w:color="auto"/>
                        <w:bottom w:val="none" w:sz="0" w:space="0" w:color="auto"/>
                        <w:right w:val="none" w:sz="0" w:space="0" w:color="auto"/>
                      </w:divBdr>
                      <w:divsChild>
                        <w:div w:id="294144368">
                          <w:marLeft w:val="0"/>
                          <w:marRight w:val="0"/>
                          <w:marTop w:val="0"/>
                          <w:marBottom w:val="0"/>
                          <w:divBdr>
                            <w:top w:val="none" w:sz="0" w:space="0" w:color="auto"/>
                            <w:left w:val="none" w:sz="0" w:space="0" w:color="auto"/>
                            <w:bottom w:val="none" w:sz="0" w:space="0" w:color="auto"/>
                            <w:right w:val="none" w:sz="0" w:space="0" w:color="auto"/>
                          </w:divBdr>
                        </w:div>
                      </w:divsChild>
                    </w:div>
                    <w:div w:id="294149081">
                      <w:marLeft w:val="0"/>
                      <w:marRight w:val="0"/>
                      <w:marTop w:val="0"/>
                      <w:marBottom w:val="0"/>
                      <w:divBdr>
                        <w:top w:val="none" w:sz="0" w:space="0" w:color="auto"/>
                        <w:left w:val="none" w:sz="0" w:space="0" w:color="auto"/>
                        <w:bottom w:val="none" w:sz="0" w:space="0" w:color="auto"/>
                        <w:right w:val="none" w:sz="0" w:space="0" w:color="auto"/>
                      </w:divBdr>
                      <w:divsChild>
                        <w:div w:id="294154141">
                          <w:marLeft w:val="0"/>
                          <w:marRight w:val="0"/>
                          <w:marTop w:val="0"/>
                          <w:marBottom w:val="0"/>
                          <w:divBdr>
                            <w:top w:val="none" w:sz="0" w:space="0" w:color="auto"/>
                            <w:left w:val="none" w:sz="0" w:space="0" w:color="auto"/>
                            <w:bottom w:val="none" w:sz="0" w:space="0" w:color="auto"/>
                            <w:right w:val="none" w:sz="0" w:space="0" w:color="auto"/>
                          </w:divBdr>
                        </w:div>
                      </w:divsChild>
                    </w:div>
                    <w:div w:id="294149093">
                      <w:marLeft w:val="0"/>
                      <w:marRight w:val="0"/>
                      <w:marTop w:val="0"/>
                      <w:marBottom w:val="0"/>
                      <w:divBdr>
                        <w:top w:val="none" w:sz="0" w:space="0" w:color="auto"/>
                        <w:left w:val="none" w:sz="0" w:space="0" w:color="auto"/>
                        <w:bottom w:val="none" w:sz="0" w:space="0" w:color="auto"/>
                        <w:right w:val="none" w:sz="0" w:space="0" w:color="auto"/>
                      </w:divBdr>
                      <w:divsChild>
                        <w:div w:id="294145247">
                          <w:marLeft w:val="0"/>
                          <w:marRight w:val="0"/>
                          <w:marTop w:val="0"/>
                          <w:marBottom w:val="0"/>
                          <w:divBdr>
                            <w:top w:val="none" w:sz="0" w:space="0" w:color="auto"/>
                            <w:left w:val="none" w:sz="0" w:space="0" w:color="auto"/>
                            <w:bottom w:val="none" w:sz="0" w:space="0" w:color="auto"/>
                            <w:right w:val="none" w:sz="0" w:space="0" w:color="auto"/>
                          </w:divBdr>
                        </w:div>
                      </w:divsChild>
                    </w:div>
                    <w:div w:id="294149116">
                      <w:marLeft w:val="0"/>
                      <w:marRight w:val="0"/>
                      <w:marTop w:val="0"/>
                      <w:marBottom w:val="0"/>
                      <w:divBdr>
                        <w:top w:val="none" w:sz="0" w:space="0" w:color="auto"/>
                        <w:left w:val="none" w:sz="0" w:space="0" w:color="auto"/>
                        <w:bottom w:val="none" w:sz="0" w:space="0" w:color="auto"/>
                        <w:right w:val="none" w:sz="0" w:space="0" w:color="auto"/>
                      </w:divBdr>
                    </w:div>
                    <w:div w:id="294149279">
                      <w:marLeft w:val="0"/>
                      <w:marRight w:val="0"/>
                      <w:marTop w:val="0"/>
                      <w:marBottom w:val="0"/>
                      <w:divBdr>
                        <w:top w:val="none" w:sz="0" w:space="0" w:color="auto"/>
                        <w:left w:val="none" w:sz="0" w:space="0" w:color="auto"/>
                        <w:bottom w:val="none" w:sz="0" w:space="0" w:color="auto"/>
                        <w:right w:val="none" w:sz="0" w:space="0" w:color="auto"/>
                      </w:divBdr>
                    </w:div>
                    <w:div w:id="294149339">
                      <w:marLeft w:val="0"/>
                      <w:marRight w:val="0"/>
                      <w:marTop w:val="0"/>
                      <w:marBottom w:val="0"/>
                      <w:divBdr>
                        <w:top w:val="none" w:sz="0" w:space="0" w:color="auto"/>
                        <w:left w:val="none" w:sz="0" w:space="0" w:color="auto"/>
                        <w:bottom w:val="none" w:sz="0" w:space="0" w:color="auto"/>
                        <w:right w:val="none" w:sz="0" w:space="0" w:color="auto"/>
                      </w:divBdr>
                    </w:div>
                    <w:div w:id="294149379">
                      <w:marLeft w:val="0"/>
                      <w:marRight w:val="0"/>
                      <w:marTop w:val="0"/>
                      <w:marBottom w:val="0"/>
                      <w:divBdr>
                        <w:top w:val="none" w:sz="0" w:space="0" w:color="auto"/>
                        <w:left w:val="none" w:sz="0" w:space="0" w:color="auto"/>
                        <w:bottom w:val="none" w:sz="0" w:space="0" w:color="auto"/>
                        <w:right w:val="none" w:sz="0" w:space="0" w:color="auto"/>
                      </w:divBdr>
                      <w:divsChild>
                        <w:div w:id="294156506">
                          <w:marLeft w:val="0"/>
                          <w:marRight w:val="0"/>
                          <w:marTop w:val="0"/>
                          <w:marBottom w:val="0"/>
                          <w:divBdr>
                            <w:top w:val="none" w:sz="0" w:space="0" w:color="auto"/>
                            <w:left w:val="none" w:sz="0" w:space="0" w:color="auto"/>
                            <w:bottom w:val="none" w:sz="0" w:space="0" w:color="auto"/>
                            <w:right w:val="none" w:sz="0" w:space="0" w:color="auto"/>
                          </w:divBdr>
                        </w:div>
                      </w:divsChild>
                    </w:div>
                    <w:div w:id="294149418">
                      <w:marLeft w:val="0"/>
                      <w:marRight w:val="0"/>
                      <w:marTop w:val="0"/>
                      <w:marBottom w:val="0"/>
                      <w:divBdr>
                        <w:top w:val="none" w:sz="0" w:space="0" w:color="auto"/>
                        <w:left w:val="none" w:sz="0" w:space="0" w:color="auto"/>
                        <w:bottom w:val="none" w:sz="0" w:space="0" w:color="auto"/>
                        <w:right w:val="none" w:sz="0" w:space="0" w:color="auto"/>
                      </w:divBdr>
                    </w:div>
                    <w:div w:id="294149441">
                      <w:marLeft w:val="0"/>
                      <w:marRight w:val="0"/>
                      <w:marTop w:val="0"/>
                      <w:marBottom w:val="0"/>
                      <w:divBdr>
                        <w:top w:val="none" w:sz="0" w:space="0" w:color="auto"/>
                        <w:left w:val="none" w:sz="0" w:space="0" w:color="auto"/>
                        <w:bottom w:val="none" w:sz="0" w:space="0" w:color="auto"/>
                        <w:right w:val="none" w:sz="0" w:space="0" w:color="auto"/>
                      </w:divBdr>
                      <w:divsChild>
                        <w:div w:id="294156917">
                          <w:marLeft w:val="0"/>
                          <w:marRight w:val="0"/>
                          <w:marTop w:val="0"/>
                          <w:marBottom w:val="0"/>
                          <w:divBdr>
                            <w:top w:val="none" w:sz="0" w:space="0" w:color="auto"/>
                            <w:left w:val="none" w:sz="0" w:space="0" w:color="auto"/>
                            <w:bottom w:val="none" w:sz="0" w:space="0" w:color="auto"/>
                            <w:right w:val="none" w:sz="0" w:space="0" w:color="auto"/>
                          </w:divBdr>
                        </w:div>
                      </w:divsChild>
                    </w:div>
                    <w:div w:id="294149500">
                      <w:marLeft w:val="0"/>
                      <w:marRight w:val="0"/>
                      <w:marTop w:val="0"/>
                      <w:marBottom w:val="0"/>
                      <w:divBdr>
                        <w:top w:val="none" w:sz="0" w:space="0" w:color="auto"/>
                        <w:left w:val="none" w:sz="0" w:space="0" w:color="auto"/>
                        <w:bottom w:val="none" w:sz="0" w:space="0" w:color="auto"/>
                        <w:right w:val="none" w:sz="0" w:space="0" w:color="auto"/>
                      </w:divBdr>
                    </w:div>
                    <w:div w:id="294149538">
                      <w:marLeft w:val="0"/>
                      <w:marRight w:val="0"/>
                      <w:marTop w:val="0"/>
                      <w:marBottom w:val="0"/>
                      <w:divBdr>
                        <w:top w:val="none" w:sz="0" w:space="0" w:color="auto"/>
                        <w:left w:val="none" w:sz="0" w:space="0" w:color="auto"/>
                        <w:bottom w:val="none" w:sz="0" w:space="0" w:color="auto"/>
                        <w:right w:val="none" w:sz="0" w:space="0" w:color="auto"/>
                      </w:divBdr>
                    </w:div>
                    <w:div w:id="294149567">
                      <w:marLeft w:val="0"/>
                      <w:marRight w:val="0"/>
                      <w:marTop w:val="0"/>
                      <w:marBottom w:val="0"/>
                      <w:divBdr>
                        <w:top w:val="none" w:sz="0" w:space="0" w:color="auto"/>
                        <w:left w:val="none" w:sz="0" w:space="0" w:color="auto"/>
                        <w:bottom w:val="none" w:sz="0" w:space="0" w:color="auto"/>
                        <w:right w:val="none" w:sz="0" w:space="0" w:color="auto"/>
                      </w:divBdr>
                      <w:divsChild>
                        <w:div w:id="294141152">
                          <w:marLeft w:val="0"/>
                          <w:marRight w:val="0"/>
                          <w:marTop w:val="0"/>
                          <w:marBottom w:val="0"/>
                          <w:divBdr>
                            <w:top w:val="none" w:sz="0" w:space="0" w:color="auto"/>
                            <w:left w:val="none" w:sz="0" w:space="0" w:color="auto"/>
                            <w:bottom w:val="none" w:sz="0" w:space="0" w:color="auto"/>
                            <w:right w:val="none" w:sz="0" w:space="0" w:color="auto"/>
                          </w:divBdr>
                        </w:div>
                      </w:divsChild>
                    </w:div>
                    <w:div w:id="294149597">
                      <w:marLeft w:val="0"/>
                      <w:marRight w:val="0"/>
                      <w:marTop w:val="0"/>
                      <w:marBottom w:val="0"/>
                      <w:divBdr>
                        <w:top w:val="none" w:sz="0" w:space="0" w:color="auto"/>
                        <w:left w:val="none" w:sz="0" w:space="0" w:color="auto"/>
                        <w:bottom w:val="none" w:sz="0" w:space="0" w:color="auto"/>
                        <w:right w:val="none" w:sz="0" w:space="0" w:color="auto"/>
                      </w:divBdr>
                      <w:divsChild>
                        <w:div w:id="294156172">
                          <w:marLeft w:val="0"/>
                          <w:marRight w:val="0"/>
                          <w:marTop w:val="0"/>
                          <w:marBottom w:val="0"/>
                          <w:divBdr>
                            <w:top w:val="none" w:sz="0" w:space="0" w:color="auto"/>
                            <w:left w:val="none" w:sz="0" w:space="0" w:color="auto"/>
                            <w:bottom w:val="none" w:sz="0" w:space="0" w:color="auto"/>
                            <w:right w:val="none" w:sz="0" w:space="0" w:color="auto"/>
                          </w:divBdr>
                        </w:div>
                      </w:divsChild>
                    </w:div>
                    <w:div w:id="294149619">
                      <w:marLeft w:val="0"/>
                      <w:marRight w:val="0"/>
                      <w:marTop w:val="0"/>
                      <w:marBottom w:val="0"/>
                      <w:divBdr>
                        <w:top w:val="none" w:sz="0" w:space="0" w:color="auto"/>
                        <w:left w:val="none" w:sz="0" w:space="0" w:color="auto"/>
                        <w:bottom w:val="none" w:sz="0" w:space="0" w:color="auto"/>
                        <w:right w:val="none" w:sz="0" w:space="0" w:color="auto"/>
                      </w:divBdr>
                      <w:divsChild>
                        <w:div w:id="294145923">
                          <w:marLeft w:val="0"/>
                          <w:marRight w:val="0"/>
                          <w:marTop w:val="0"/>
                          <w:marBottom w:val="0"/>
                          <w:divBdr>
                            <w:top w:val="none" w:sz="0" w:space="0" w:color="auto"/>
                            <w:left w:val="none" w:sz="0" w:space="0" w:color="auto"/>
                            <w:bottom w:val="none" w:sz="0" w:space="0" w:color="auto"/>
                            <w:right w:val="none" w:sz="0" w:space="0" w:color="auto"/>
                          </w:divBdr>
                        </w:div>
                      </w:divsChild>
                    </w:div>
                    <w:div w:id="294149742">
                      <w:marLeft w:val="0"/>
                      <w:marRight w:val="0"/>
                      <w:marTop w:val="0"/>
                      <w:marBottom w:val="0"/>
                      <w:divBdr>
                        <w:top w:val="none" w:sz="0" w:space="0" w:color="auto"/>
                        <w:left w:val="none" w:sz="0" w:space="0" w:color="auto"/>
                        <w:bottom w:val="none" w:sz="0" w:space="0" w:color="auto"/>
                        <w:right w:val="none" w:sz="0" w:space="0" w:color="auto"/>
                      </w:divBdr>
                    </w:div>
                    <w:div w:id="294149753">
                      <w:marLeft w:val="0"/>
                      <w:marRight w:val="0"/>
                      <w:marTop w:val="0"/>
                      <w:marBottom w:val="0"/>
                      <w:divBdr>
                        <w:top w:val="none" w:sz="0" w:space="0" w:color="auto"/>
                        <w:left w:val="none" w:sz="0" w:space="0" w:color="auto"/>
                        <w:bottom w:val="none" w:sz="0" w:space="0" w:color="auto"/>
                        <w:right w:val="none" w:sz="0" w:space="0" w:color="auto"/>
                      </w:divBdr>
                      <w:divsChild>
                        <w:div w:id="294156313">
                          <w:marLeft w:val="0"/>
                          <w:marRight w:val="0"/>
                          <w:marTop w:val="0"/>
                          <w:marBottom w:val="0"/>
                          <w:divBdr>
                            <w:top w:val="none" w:sz="0" w:space="0" w:color="auto"/>
                            <w:left w:val="none" w:sz="0" w:space="0" w:color="auto"/>
                            <w:bottom w:val="none" w:sz="0" w:space="0" w:color="auto"/>
                            <w:right w:val="none" w:sz="0" w:space="0" w:color="auto"/>
                          </w:divBdr>
                        </w:div>
                      </w:divsChild>
                    </w:div>
                    <w:div w:id="294149792">
                      <w:marLeft w:val="0"/>
                      <w:marRight w:val="0"/>
                      <w:marTop w:val="0"/>
                      <w:marBottom w:val="0"/>
                      <w:divBdr>
                        <w:top w:val="none" w:sz="0" w:space="0" w:color="auto"/>
                        <w:left w:val="none" w:sz="0" w:space="0" w:color="auto"/>
                        <w:bottom w:val="none" w:sz="0" w:space="0" w:color="auto"/>
                        <w:right w:val="none" w:sz="0" w:space="0" w:color="auto"/>
                      </w:divBdr>
                      <w:divsChild>
                        <w:div w:id="294152785">
                          <w:marLeft w:val="0"/>
                          <w:marRight w:val="0"/>
                          <w:marTop w:val="0"/>
                          <w:marBottom w:val="0"/>
                          <w:divBdr>
                            <w:top w:val="none" w:sz="0" w:space="0" w:color="auto"/>
                            <w:left w:val="none" w:sz="0" w:space="0" w:color="auto"/>
                            <w:bottom w:val="none" w:sz="0" w:space="0" w:color="auto"/>
                            <w:right w:val="none" w:sz="0" w:space="0" w:color="auto"/>
                          </w:divBdr>
                        </w:div>
                      </w:divsChild>
                    </w:div>
                    <w:div w:id="294149815">
                      <w:marLeft w:val="0"/>
                      <w:marRight w:val="0"/>
                      <w:marTop w:val="0"/>
                      <w:marBottom w:val="0"/>
                      <w:divBdr>
                        <w:top w:val="none" w:sz="0" w:space="0" w:color="auto"/>
                        <w:left w:val="none" w:sz="0" w:space="0" w:color="auto"/>
                        <w:bottom w:val="none" w:sz="0" w:space="0" w:color="auto"/>
                        <w:right w:val="none" w:sz="0" w:space="0" w:color="auto"/>
                      </w:divBdr>
                      <w:divsChild>
                        <w:div w:id="294150970">
                          <w:marLeft w:val="0"/>
                          <w:marRight w:val="0"/>
                          <w:marTop w:val="0"/>
                          <w:marBottom w:val="0"/>
                          <w:divBdr>
                            <w:top w:val="none" w:sz="0" w:space="0" w:color="auto"/>
                            <w:left w:val="none" w:sz="0" w:space="0" w:color="auto"/>
                            <w:bottom w:val="none" w:sz="0" w:space="0" w:color="auto"/>
                            <w:right w:val="none" w:sz="0" w:space="0" w:color="auto"/>
                          </w:divBdr>
                        </w:div>
                      </w:divsChild>
                    </w:div>
                    <w:div w:id="294149819">
                      <w:marLeft w:val="0"/>
                      <w:marRight w:val="0"/>
                      <w:marTop w:val="0"/>
                      <w:marBottom w:val="0"/>
                      <w:divBdr>
                        <w:top w:val="none" w:sz="0" w:space="0" w:color="auto"/>
                        <w:left w:val="none" w:sz="0" w:space="0" w:color="auto"/>
                        <w:bottom w:val="none" w:sz="0" w:space="0" w:color="auto"/>
                        <w:right w:val="none" w:sz="0" w:space="0" w:color="auto"/>
                      </w:divBdr>
                      <w:divsChild>
                        <w:div w:id="294154828">
                          <w:marLeft w:val="0"/>
                          <w:marRight w:val="0"/>
                          <w:marTop w:val="0"/>
                          <w:marBottom w:val="0"/>
                          <w:divBdr>
                            <w:top w:val="none" w:sz="0" w:space="0" w:color="auto"/>
                            <w:left w:val="none" w:sz="0" w:space="0" w:color="auto"/>
                            <w:bottom w:val="none" w:sz="0" w:space="0" w:color="auto"/>
                            <w:right w:val="none" w:sz="0" w:space="0" w:color="auto"/>
                          </w:divBdr>
                        </w:div>
                      </w:divsChild>
                    </w:div>
                    <w:div w:id="294149923">
                      <w:marLeft w:val="0"/>
                      <w:marRight w:val="0"/>
                      <w:marTop w:val="0"/>
                      <w:marBottom w:val="0"/>
                      <w:divBdr>
                        <w:top w:val="none" w:sz="0" w:space="0" w:color="auto"/>
                        <w:left w:val="none" w:sz="0" w:space="0" w:color="auto"/>
                        <w:bottom w:val="none" w:sz="0" w:space="0" w:color="auto"/>
                        <w:right w:val="none" w:sz="0" w:space="0" w:color="auto"/>
                      </w:divBdr>
                      <w:divsChild>
                        <w:div w:id="294148862">
                          <w:marLeft w:val="0"/>
                          <w:marRight w:val="0"/>
                          <w:marTop w:val="0"/>
                          <w:marBottom w:val="0"/>
                          <w:divBdr>
                            <w:top w:val="none" w:sz="0" w:space="0" w:color="auto"/>
                            <w:left w:val="none" w:sz="0" w:space="0" w:color="auto"/>
                            <w:bottom w:val="none" w:sz="0" w:space="0" w:color="auto"/>
                            <w:right w:val="none" w:sz="0" w:space="0" w:color="auto"/>
                          </w:divBdr>
                        </w:div>
                      </w:divsChild>
                    </w:div>
                    <w:div w:id="294149944">
                      <w:marLeft w:val="0"/>
                      <w:marRight w:val="0"/>
                      <w:marTop w:val="0"/>
                      <w:marBottom w:val="0"/>
                      <w:divBdr>
                        <w:top w:val="none" w:sz="0" w:space="0" w:color="auto"/>
                        <w:left w:val="none" w:sz="0" w:space="0" w:color="auto"/>
                        <w:bottom w:val="none" w:sz="0" w:space="0" w:color="auto"/>
                        <w:right w:val="none" w:sz="0" w:space="0" w:color="auto"/>
                      </w:divBdr>
                      <w:divsChild>
                        <w:div w:id="294147529">
                          <w:marLeft w:val="0"/>
                          <w:marRight w:val="0"/>
                          <w:marTop w:val="0"/>
                          <w:marBottom w:val="0"/>
                          <w:divBdr>
                            <w:top w:val="none" w:sz="0" w:space="0" w:color="auto"/>
                            <w:left w:val="none" w:sz="0" w:space="0" w:color="auto"/>
                            <w:bottom w:val="none" w:sz="0" w:space="0" w:color="auto"/>
                            <w:right w:val="none" w:sz="0" w:space="0" w:color="auto"/>
                          </w:divBdr>
                        </w:div>
                      </w:divsChild>
                    </w:div>
                    <w:div w:id="294149959">
                      <w:marLeft w:val="0"/>
                      <w:marRight w:val="0"/>
                      <w:marTop w:val="0"/>
                      <w:marBottom w:val="0"/>
                      <w:divBdr>
                        <w:top w:val="none" w:sz="0" w:space="0" w:color="auto"/>
                        <w:left w:val="none" w:sz="0" w:space="0" w:color="auto"/>
                        <w:bottom w:val="none" w:sz="0" w:space="0" w:color="auto"/>
                        <w:right w:val="none" w:sz="0" w:space="0" w:color="auto"/>
                      </w:divBdr>
                      <w:divsChild>
                        <w:div w:id="294141495">
                          <w:marLeft w:val="0"/>
                          <w:marRight w:val="0"/>
                          <w:marTop w:val="0"/>
                          <w:marBottom w:val="0"/>
                          <w:divBdr>
                            <w:top w:val="none" w:sz="0" w:space="0" w:color="auto"/>
                            <w:left w:val="none" w:sz="0" w:space="0" w:color="auto"/>
                            <w:bottom w:val="none" w:sz="0" w:space="0" w:color="auto"/>
                            <w:right w:val="none" w:sz="0" w:space="0" w:color="auto"/>
                          </w:divBdr>
                        </w:div>
                      </w:divsChild>
                    </w:div>
                    <w:div w:id="294149996">
                      <w:marLeft w:val="0"/>
                      <w:marRight w:val="0"/>
                      <w:marTop w:val="0"/>
                      <w:marBottom w:val="0"/>
                      <w:divBdr>
                        <w:top w:val="none" w:sz="0" w:space="0" w:color="auto"/>
                        <w:left w:val="none" w:sz="0" w:space="0" w:color="auto"/>
                        <w:bottom w:val="none" w:sz="0" w:space="0" w:color="auto"/>
                        <w:right w:val="none" w:sz="0" w:space="0" w:color="auto"/>
                      </w:divBdr>
                      <w:divsChild>
                        <w:div w:id="294138461">
                          <w:marLeft w:val="0"/>
                          <w:marRight w:val="0"/>
                          <w:marTop w:val="0"/>
                          <w:marBottom w:val="0"/>
                          <w:divBdr>
                            <w:top w:val="none" w:sz="0" w:space="0" w:color="auto"/>
                            <w:left w:val="none" w:sz="0" w:space="0" w:color="auto"/>
                            <w:bottom w:val="none" w:sz="0" w:space="0" w:color="auto"/>
                            <w:right w:val="none" w:sz="0" w:space="0" w:color="auto"/>
                          </w:divBdr>
                        </w:div>
                      </w:divsChild>
                    </w:div>
                    <w:div w:id="294150083">
                      <w:marLeft w:val="0"/>
                      <w:marRight w:val="0"/>
                      <w:marTop w:val="0"/>
                      <w:marBottom w:val="0"/>
                      <w:divBdr>
                        <w:top w:val="none" w:sz="0" w:space="0" w:color="auto"/>
                        <w:left w:val="none" w:sz="0" w:space="0" w:color="auto"/>
                        <w:bottom w:val="none" w:sz="0" w:space="0" w:color="auto"/>
                        <w:right w:val="none" w:sz="0" w:space="0" w:color="auto"/>
                      </w:divBdr>
                    </w:div>
                    <w:div w:id="294150232">
                      <w:marLeft w:val="0"/>
                      <w:marRight w:val="0"/>
                      <w:marTop w:val="0"/>
                      <w:marBottom w:val="0"/>
                      <w:divBdr>
                        <w:top w:val="none" w:sz="0" w:space="0" w:color="auto"/>
                        <w:left w:val="none" w:sz="0" w:space="0" w:color="auto"/>
                        <w:bottom w:val="none" w:sz="0" w:space="0" w:color="auto"/>
                        <w:right w:val="none" w:sz="0" w:space="0" w:color="auto"/>
                      </w:divBdr>
                    </w:div>
                    <w:div w:id="294150263">
                      <w:marLeft w:val="0"/>
                      <w:marRight w:val="0"/>
                      <w:marTop w:val="0"/>
                      <w:marBottom w:val="0"/>
                      <w:divBdr>
                        <w:top w:val="none" w:sz="0" w:space="0" w:color="auto"/>
                        <w:left w:val="none" w:sz="0" w:space="0" w:color="auto"/>
                        <w:bottom w:val="none" w:sz="0" w:space="0" w:color="auto"/>
                        <w:right w:val="none" w:sz="0" w:space="0" w:color="auto"/>
                      </w:divBdr>
                    </w:div>
                    <w:div w:id="294150319">
                      <w:marLeft w:val="0"/>
                      <w:marRight w:val="0"/>
                      <w:marTop w:val="0"/>
                      <w:marBottom w:val="0"/>
                      <w:divBdr>
                        <w:top w:val="none" w:sz="0" w:space="0" w:color="auto"/>
                        <w:left w:val="none" w:sz="0" w:space="0" w:color="auto"/>
                        <w:bottom w:val="none" w:sz="0" w:space="0" w:color="auto"/>
                        <w:right w:val="none" w:sz="0" w:space="0" w:color="auto"/>
                      </w:divBdr>
                      <w:divsChild>
                        <w:div w:id="294143631">
                          <w:marLeft w:val="0"/>
                          <w:marRight w:val="0"/>
                          <w:marTop w:val="0"/>
                          <w:marBottom w:val="0"/>
                          <w:divBdr>
                            <w:top w:val="none" w:sz="0" w:space="0" w:color="auto"/>
                            <w:left w:val="none" w:sz="0" w:space="0" w:color="auto"/>
                            <w:bottom w:val="none" w:sz="0" w:space="0" w:color="auto"/>
                            <w:right w:val="none" w:sz="0" w:space="0" w:color="auto"/>
                          </w:divBdr>
                        </w:div>
                      </w:divsChild>
                    </w:div>
                    <w:div w:id="294150334">
                      <w:marLeft w:val="0"/>
                      <w:marRight w:val="0"/>
                      <w:marTop w:val="0"/>
                      <w:marBottom w:val="0"/>
                      <w:divBdr>
                        <w:top w:val="none" w:sz="0" w:space="0" w:color="auto"/>
                        <w:left w:val="none" w:sz="0" w:space="0" w:color="auto"/>
                        <w:bottom w:val="none" w:sz="0" w:space="0" w:color="auto"/>
                        <w:right w:val="none" w:sz="0" w:space="0" w:color="auto"/>
                      </w:divBdr>
                    </w:div>
                    <w:div w:id="294150340">
                      <w:marLeft w:val="0"/>
                      <w:marRight w:val="0"/>
                      <w:marTop w:val="0"/>
                      <w:marBottom w:val="0"/>
                      <w:divBdr>
                        <w:top w:val="none" w:sz="0" w:space="0" w:color="auto"/>
                        <w:left w:val="none" w:sz="0" w:space="0" w:color="auto"/>
                        <w:bottom w:val="none" w:sz="0" w:space="0" w:color="auto"/>
                        <w:right w:val="none" w:sz="0" w:space="0" w:color="auto"/>
                      </w:divBdr>
                    </w:div>
                    <w:div w:id="294150355">
                      <w:marLeft w:val="0"/>
                      <w:marRight w:val="0"/>
                      <w:marTop w:val="0"/>
                      <w:marBottom w:val="0"/>
                      <w:divBdr>
                        <w:top w:val="none" w:sz="0" w:space="0" w:color="auto"/>
                        <w:left w:val="none" w:sz="0" w:space="0" w:color="auto"/>
                        <w:bottom w:val="none" w:sz="0" w:space="0" w:color="auto"/>
                        <w:right w:val="none" w:sz="0" w:space="0" w:color="auto"/>
                      </w:divBdr>
                    </w:div>
                    <w:div w:id="294150401">
                      <w:marLeft w:val="0"/>
                      <w:marRight w:val="0"/>
                      <w:marTop w:val="0"/>
                      <w:marBottom w:val="0"/>
                      <w:divBdr>
                        <w:top w:val="none" w:sz="0" w:space="0" w:color="auto"/>
                        <w:left w:val="none" w:sz="0" w:space="0" w:color="auto"/>
                        <w:bottom w:val="none" w:sz="0" w:space="0" w:color="auto"/>
                        <w:right w:val="none" w:sz="0" w:space="0" w:color="auto"/>
                      </w:divBdr>
                      <w:divsChild>
                        <w:div w:id="294143875">
                          <w:marLeft w:val="0"/>
                          <w:marRight w:val="0"/>
                          <w:marTop w:val="0"/>
                          <w:marBottom w:val="0"/>
                          <w:divBdr>
                            <w:top w:val="none" w:sz="0" w:space="0" w:color="auto"/>
                            <w:left w:val="none" w:sz="0" w:space="0" w:color="auto"/>
                            <w:bottom w:val="none" w:sz="0" w:space="0" w:color="auto"/>
                            <w:right w:val="none" w:sz="0" w:space="0" w:color="auto"/>
                          </w:divBdr>
                        </w:div>
                      </w:divsChild>
                    </w:div>
                    <w:div w:id="294150549">
                      <w:marLeft w:val="0"/>
                      <w:marRight w:val="0"/>
                      <w:marTop w:val="0"/>
                      <w:marBottom w:val="0"/>
                      <w:divBdr>
                        <w:top w:val="none" w:sz="0" w:space="0" w:color="auto"/>
                        <w:left w:val="none" w:sz="0" w:space="0" w:color="auto"/>
                        <w:bottom w:val="none" w:sz="0" w:space="0" w:color="auto"/>
                        <w:right w:val="none" w:sz="0" w:space="0" w:color="auto"/>
                      </w:divBdr>
                    </w:div>
                    <w:div w:id="294150598">
                      <w:marLeft w:val="0"/>
                      <w:marRight w:val="0"/>
                      <w:marTop w:val="0"/>
                      <w:marBottom w:val="0"/>
                      <w:divBdr>
                        <w:top w:val="none" w:sz="0" w:space="0" w:color="auto"/>
                        <w:left w:val="none" w:sz="0" w:space="0" w:color="auto"/>
                        <w:bottom w:val="none" w:sz="0" w:space="0" w:color="auto"/>
                        <w:right w:val="none" w:sz="0" w:space="0" w:color="auto"/>
                      </w:divBdr>
                    </w:div>
                    <w:div w:id="294150622">
                      <w:marLeft w:val="0"/>
                      <w:marRight w:val="0"/>
                      <w:marTop w:val="0"/>
                      <w:marBottom w:val="0"/>
                      <w:divBdr>
                        <w:top w:val="none" w:sz="0" w:space="0" w:color="auto"/>
                        <w:left w:val="none" w:sz="0" w:space="0" w:color="auto"/>
                        <w:bottom w:val="none" w:sz="0" w:space="0" w:color="auto"/>
                        <w:right w:val="none" w:sz="0" w:space="0" w:color="auto"/>
                      </w:divBdr>
                      <w:divsChild>
                        <w:div w:id="294143045">
                          <w:marLeft w:val="0"/>
                          <w:marRight w:val="0"/>
                          <w:marTop w:val="0"/>
                          <w:marBottom w:val="0"/>
                          <w:divBdr>
                            <w:top w:val="none" w:sz="0" w:space="0" w:color="auto"/>
                            <w:left w:val="none" w:sz="0" w:space="0" w:color="auto"/>
                            <w:bottom w:val="none" w:sz="0" w:space="0" w:color="auto"/>
                            <w:right w:val="none" w:sz="0" w:space="0" w:color="auto"/>
                          </w:divBdr>
                        </w:div>
                      </w:divsChild>
                    </w:div>
                    <w:div w:id="294150708">
                      <w:marLeft w:val="0"/>
                      <w:marRight w:val="0"/>
                      <w:marTop w:val="0"/>
                      <w:marBottom w:val="0"/>
                      <w:divBdr>
                        <w:top w:val="none" w:sz="0" w:space="0" w:color="auto"/>
                        <w:left w:val="none" w:sz="0" w:space="0" w:color="auto"/>
                        <w:bottom w:val="none" w:sz="0" w:space="0" w:color="auto"/>
                        <w:right w:val="none" w:sz="0" w:space="0" w:color="auto"/>
                      </w:divBdr>
                    </w:div>
                    <w:div w:id="294150753">
                      <w:marLeft w:val="0"/>
                      <w:marRight w:val="0"/>
                      <w:marTop w:val="0"/>
                      <w:marBottom w:val="0"/>
                      <w:divBdr>
                        <w:top w:val="none" w:sz="0" w:space="0" w:color="auto"/>
                        <w:left w:val="none" w:sz="0" w:space="0" w:color="auto"/>
                        <w:bottom w:val="none" w:sz="0" w:space="0" w:color="auto"/>
                        <w:right w:val="none" w:sz="0" w:space="0" w:color="auto"/>
                      </w:divBdr>
                    </w:div>
                    <w:div w:id="294150792">
                      <w:marLeft w:val="0"/>
                      <w:marRight w:val="0"/>
                      <w:marTop w:val="0"/>
                      <w:marBottom w:val="0"/>
                      <w:divBdr>
                        <w:top w:val="none" w:sz="0" w:space="0" w:color="auto"/>
                        <w:left w:val="none" w:sz="0" w:space="0" w:color="auto"/>
                        <w:bottom w:val="none" w:sz="0" w:space="0" w:color="auto"/>
                        <w:right w:val="none" w:sz="0" w:space="0" w:color="auto"/>
                      </w:divBdr>
                    </w:div>
                    <w:div w:id="294150826">
                      <w:marLeft w:val="0"/>
                      <w:marRight w:val="0"/>
                      <w:marTop w:val="0"/>
                      <w:marBottom w:val="0"/>
                      <w:divBdr>
                        <w:top w:val="none" w:sz="0" w:space="0" w:color="auto"/>
                        <w:left w:val="none" w:sz="0" w:space="0" w:color="auto"/>
                        <w:bottom w:val="none" w:sz="0" w:space="0" w:color="auto"/>
                        <w:right w:val="none" w:sz="0" w:space="0" w:color="auto"/>
                      </w:divBdr>
                      <w:divsChild>
                        <w:div w:id="294155711">
                          <w:marLeft w:val="0"/>
                          <w:marRight w:val="0"/>
                          <w:marTop w:val="0"/>
                          <w:marBottom w:val="0"/>
                          <w:divBdr>
                            <w:top w:val="none" w:sz="0" w:space="0" w:color="auto"/>
                            <w:left w:val="none" w:sz="0" w:space="0" w:color="auto"/>
                            <w:bottom w:val="none" w:sz="0" w:space="0" w:color="auto"/>
                            <w:right w:val="none" w:sz="0" w:space="0" w:color="auto"/>
                          </w:divBdr>
                        </w:div>
                      </w:divsChild>
                    </w:div>
                    <w:div w:id="294150827">
                      <w:marLeft w:val="0"/>
                      <w:marRight w:val="0"/>
                      <w:marTop w:val="0"/>
                      <w:marBottom w:val="0"/>
                      <w:divBdr>
                        <w:top w:val="none" w:sz="0" w:space="0" w:color="auto"/>
                        <w:left w:val="none" w:sz="0" w:space="0" w:color="auto"/>
                        <w:bottom w:val="none" w:sz="0" w:space="0" w:color="auto"/>
                        <w:right w:val="none" w:sz="0" w:space="0" w:color="auto"/>
                      </w:divBdr>
                      <w:divsChild>
                        <w:div w:id="294154302">
                          <w:marLeft w:val="0"/>
                          <w:marRight w:val="0"/>
                          <w:marTop w:val="0"/>
                          <w:marBottom w:val="0"/>
                          <w:divBdr>
                            <w:top w:val="none" w:sz="0" w:space="0" w:color="auto"/>
                            <w:left w:val="none" w:sz="0" w:space="0" w:color="auto"/>
                            <w:bottom w:val="none" w:sz="0" w:space="0" w:color="auto"/>
                            <w:right w:val="none" w:sz="0" w:space="0" w:color="auto"/>
                          </w:divBdr>
                        </w:div>
                      </w:divsChild>
                    </w:div>
                    <w:div w:id="294150888">
                      <w:marLeft w:val="0"/>
                      <w:marRight w:val="0"/>
                      <w:marTop w:val="0"/>
                      <w:marBottom w:val="0"/>
                      <w:divBdr>
                        <w:top w:val="none" w:sz="0" w:space="0" w:color="auto"/>
                        <w:left w:val="none" w:sz="0" w:space="0" w:color="auto"/>
                        <w:bottom w:val="none" w:sz="0" w:space="0" w:color="auto"/>
                        <w:right w:val="none" w:sz="0" w:space="0" w:color="auto"/>
                      </w:divBdr>
                    </w:div>
                    <w:div w:id="294150902">
                      <w:marLeft w:val="0"/>
                      <w:marRight w:val="0"/>
                      <w:marTop w:val="0"/>
                      <w:marBottom w:val="0"/>
                      <w:divBdr>
                        <w:top w:val="none" w:sz="0" w:space="0" w:color="auto"/>
                        <w:left w:val="none" w:sz="0" w:space="0" w:color="auto"/>
                        <w:bottom w:val="none" w:sz="0" w:space="0" w:color="auto"/>
                        <w:right w:val="none" w:sz="0" w:space="0" w:color="auto"/>
                      </w:divBdr>
                    </w:div>
                    <w:div w:id="294150913">
                      <w:marLeft w:val="0"/>
                      <w:marRight w:val="0"/>
                      <w:marTop w:val="0"/>
                      <w:marBottom w:val="0"/>
                      <w:divBdr>
                        <w:top w:val="none" w:sz="0" w:space="0" w:color="auto"/>
                        <w:left w:val="none" w:sz="0" w:space="0" w:color="auto"/>
                        <w:bottom w:val="none" w:sz="0" w:space="0" w:color="auto"/>
                        <w:right w:val="none" w:sz="0" w:space="0" w:color="auto"/>
                      </w:divBdr>
                    </w:div>
                    <w:div w:id="294150972">
                      <w:marLeft w:val="0"/>
                      <w:marRight w:val="0"/>
                      <w:marTop w:val="0"/>
                      <w:marBottom w:val="0"/>
                      <w:divBdr>
                        <w:top w:val="none" w:sz="0" w:space="0" w:color="auto"/>
                        <w:left w:val="none" w:sz="0" w:space="0" w:color="auto"/>
                        <w:bottom w:val="none" w:sz="0" w:space="0" w:color="auto"/>
                        <w:right w:val="none" w:sz="0" w:space="0" w:color="auto"/>
                      </w:divBdr>
                      <w:divsChild>
                        <w:div w:id="294140984">
                          <w:marLeft w:val="0"/>
                          <w:marRight w:val="0"/>
                          <w:marTop w:val="0"/>
                          <w:marBottom w:val="0"/>
                          <w:divBdr>
                            <w:top w:val="none" w:sz="0" w:space="0" w:color="auto"/>
                            <w:left w:val="none" w:sz="0" w:space="0" w:color="auto"/>
                            <w:bottom w:val="none" w:sz="0" w:space="0" w:color="auto"/>
                            <w:right w:val="none" w:sz="0" w:space="0" w:color="auto"/>
                          </w:divBdr>
                        </w:div>
                      </w:divsChild>
                    </w:div>
                    <w:div w:id="294151097">
                      <w:marLeft w:val="0"/>
                      <w:marRight w:val="0"/>
                      <w:marTop w:val="0"/>
                      <w:marBottom w:val="0"/>
                      <w:divBdr>
                        <w:top w:val="none" w:sz="0" w:space="0" w:color="auto"/>
                        <w:left w:val="none" w:sz="0" w:space="0" w:color="auto"/>
                        <w:bottom w:val="none" w:sz="0" w:space="0" w:color="auto"/>
                        <w:right w:val="none" w:sz="0" w:space="0" w:color="auto"/>
                      </w:divBdr>
                      <w:divsChild>
                        <w:div w:id="294143809">
                          <w:marLeft w:val="0"/>
                          <w:marRight w:val="0"/>
                          <w:marTop w:val="0"/>
                          <w:marBottom w:val="0"/>
                          <w:divBdr>
                            <w:top w:val="none" w:sz="0" w:space="0" w:color="auto"/>
                            <w:left w:val="none" w:sz="0" w:space="0" w:color="auto"/>
                            <w:bottom w:val="none" w:sz="0" w:space="0" w:color="auto"/>
                            <w:right w:val="none" w:sz="0" w:space="0" w:color="auto"/>
                          </w:divBdr>
                        </w:div>
                      </w:divsChild>
                    </w:div>
                    <w:div w:id="294151144">
                      <w:marLeft w:val="0"/>
                      <w:marRight w:val="0"/>
                      <w:marTop w:val="0"/>
                      <w:marBottom w:val="0"/>
                      <w:divBdr>
                        <w:top w:val="none" w:sz="0" w:space="0" w:color="auto"/>
                        <w:left w:val="none" w:sz="0" w:space="0" w:color="auto"/>
                        <w:bottom w:val="none" w:sz="0" w:space="0" w:color="auto"/>
                        <w:right w:val="none" w:sz="0" w:space="0" w:color="auto"/>
                      </w:divBdr>
                      <w:divsChild>
                        <w:div w:id="294152839">
                          <w:marLeft w:val="0"/>
                          <w:marRight w:val="0"/>
                          <w:marTop w:val="0"/>
                          <w:marBottom w:val="0"/>
                          <w:divBdr>
                            <w:top w:val="none" w:sz="0" w:space="0" w:color="auto"/>
                            <w:left w:val="none" w:sz="0" w:space="0" w:color="auto"/>
                            <w:bottom w:val="none" w:sz="0" w:space="0" w:color="auto"/>
                            <w:right w:val="none" w:sz="0" w:space="0" w:color="auto"/>
                          </w:divBdr>
                        </w:div>
                      </w:divsChild>
                    </w:div>
                    <w:div w:id="294151171">
                      <w:marLeft w:val="0"/>
                      <w:marRight w:val="0"/>
                      <w:marTop w:val="0"/>
                      <w:marBottom w:val="0"/>
                      <w:divBdr>
                        <w:top w:val="none" w:sz="0" w:space="0" w:color="auto"/>
                        <w:left w:val="none" w:sz="0" w:space="0" w:color="auto"/>
                        <w:bottom w:val="none" w:sz="0" w:space="0" w:color="auto"/>
                        <w:right w:val="none" w:sz="0" w:space="0" w:color="auto"/>
                      </w:divBdr>
                      <w:divsChild>
                        <w:div w:id="294151442">
                          <w:marLeft w:val="0"/>
                          <w:marRight w:val="0"/>
                          <w:marTop w:val="0"/>
                          <w:marBottom w:val="0"/>
                          <w:divBdr>
                            <w:top w:val="none" w:sz="0" w:space="0" w:color="auto"/>
                            <w:left w:val="none" w:sz="0" w:space="0" w:color="auto"/>
                            <w:bottom w:val="none" w:sz="0" w:space="0" w:color="auto"/>
                            <w:right w:val="none" w:sz="0" w:space="0" w:color="auto"/>
                          </w:divBdr>
                        </w:div>
                      </w:divsChild>
                    </w:div>
                    <w:div w:id="294151195">
                      <w:marLeft w:val="0"/>
                      <w:marRight w:val="0"/>
                      <w:marTop w:val="0"/>
                      <w:marBottom w:val="0"/>
                      <w:divBdr>
                        <w:top w:val="none" w:sz="0" w:space="0" w:color="auto"/>
                        <w:left w:val="none" w:sz="0" w:space="0" w:color="auto"/>
                        <w:bottom w:val="none" w:sz="0" w:space="0" w:color="auto"/>
                        <w:right w:val="none" w:sz="0" w:space="0" w:color="auto"/>
                      </w:divBdr>
                      <w:divsChild>
                        <w:div w:id="294153091">
                          <w:marLeft w:val="0"/>
                          <w:marRight w:val="0"/>
                          <w:marTop w:val="0"/>
                          <w:marBottom w:val="0"/>
                          <w:divBdr>
                            <w:top w:val="none" w:sz="0" w:space="0" w:color="auto"/>
                            <w:left w:val="none" w:sz="0" w:space="0" w:color="auto"/>
                            <w:bottom w:val="none" w:sz="0" w:space="0" w:color="auto"/>
                            <w:right w:val="none" w:sz="0" w:space="0" w:color="auto"/>
                          </w:divBdr>
                        </w:div>
                      </w:divsChild>
                    </w:div>
                    <w:div w:id="294151228">
                      <w:marLeft w:val="0"/>
                      <w:marRight w:val="0"/>
                      <w:marTop w:val="0"/>
                      <w:marBottom w:val="0"/>
                      <w:divBdr>
                        <w:top w:val="none" w:sz="0" w:space="0" w:color="auto"/>
                        <w:left w:val="none" w:sz="0" w:space="0" w:color="auto"/>
                        <w:bottom w:val="none" w:sz="0" w:space="0" w:color="auto"/>
                        <w:right w:val="none" w:sz="0" w:space="0" w:color="auto"/>
                      </w:divBdr>
                    </w:div>
                    <w:div w:id="294151239">
                      <w:marLeft w:val="0"/>
                      <w:marRight w:val="0"/>
                      <w:marTop w:val="0"/>
                      <w:marBottom w:val="0"/>
                      <w:divBdr>
                        <w:top w:val="none" w:sz="0" w:space="0" w:color="auto"/>
                        <w:left w:val="none" w:sz="0" w:space="0" w:color="auto"/>
                        <w:bottom w:val="none" w:sz="0" w:space="0" w:color="auto"/>
                        <w:right w:val="none" w:sz="0" w:space="0" w:color="auto"/>
                      </w:divBdr>
                      <w:divsChild>
                        <w:div w:id="294146918">
                          <w:marLeft w:val="0"/>
                          <w:marRight w:val="0"/>
                          <w:marTop w:val="0"/>
                          <w:marBottom w:val="0"/>
                          <w:divBdr>
                            <w:top w:val="none" w:sz="0" w:space="0" w:color="auto"/>
                            <w:left w:val="none" w:sz="0" w:space="0" w:color="auto"/>
                            <w:bottom w:val="none" w:sz="0" w:space="0" w:color="auto"/>
                            <w:right w:val="none" w:sz="0" w:space="0" w:color="auto"/>
                          </w:divBdr>
                        </w:div>
                      </w:divsChild>
                    </w:div>
                    <w:div w:id="294151254">
                      <w:marLeft w:val="0"/>
                      <w:marRight w:val="0"/>
                      <w:marTop w:val="0"/>
                      <w:marBottom w:val="0"/>
                      <w:divBdr>
                        <w:top w:val="none" w:sz="0" w:space="0" w:color="auto"/>
                        <w:left w:val="none" w:sz="0" w:space="0" w:color="auto"/>
                        <w:bottom w:val="none" w:sz="0" w:space="0" w:color="auto"/>
                        <w:right w:val="none" w:sz="0" w:space="0" w:color="auto"/>
                      </w:divBdr>
                      <w:divsChild>
                        <w:div w:id="294148434">
                          <w:marLeft w:val="0"/>
                          <w:marRight w:val="0"/>
                          <w:marTop w:val="0"/>
                          <w:marBottom w:val="0"/>
                          <w:divBdr>
                            <w:top w:val="none" w:sz="0" w:space="0" w:color="auto"/>
                            <w:left w:val="none" w:sz="0" w:space="0" w:color="auto"/>
                            <w:bottom w:val="none" w:sz="0" w:space="0" w:color="auto"/>
                            <w:right w:val="none" w:sz="0" w:space="0" w:color="auto"/>
                          </w:divBdr>
                        </w:div>
                      </w:divsChild>
                    </w:div>
                    <w:div w:id="294151287">
                      <w:marLeft w:val="0"/>
                      <w:marRight w:val="0"/>
                      <w:marTop w:val="0"/>
                      <w:marBottom w:val="0"/>
                      <w:divBdr>
                        <w:top w:val="none" w:sz="0" w:space="0" w:color="auto"/>
                        <w:left w:val="none" w:sz="0" w:space="0" w:color="auto"/>
                        <w:bottom w:val="none" w:sz="0" w:space="0" w:color="auto"/>
                        <w:right w:val="none" w:sz="0" w:space="0" w:color="auto"/>
                      </w:divBdr>
                      <w:divsChild>
                        <w:div w:id="294156276">
                          <w:marLeft w:val="0"/>
                          <w:marRight w:val="0"/>
                          <w:marTop w:val="0"/>
                          <w:marBottom w:val="0"/>
                          <w:divBdr>
                            <w:top w:val="none" w:sz="0" w:space="0" w:color="auto"/>
                            <w:left w:val="none" w:sz="0" w:space="0" w:color="auto"/>
                            <w:bottom w:val="none" w:sz="0" w:space="0" w:color="auto"/>
                            <w:right w:val="none" w:sz="0" w:space="0" w:color="auto"/>
                          </w:divBdr>
                        </w:div>
                      </w:divsChild>
                    </w:div>
                    <w:div w:id="294151340">
                      <w:marLeft w:val="0"/>
                      <w:marRight w:val="0"/>
                      <w:marTop w:val="0"/>
                      <w:marBottom w:val="0"/>
                      <w:divBdr>
                        <w:top w:val="none" w:sz="0" w:space="0" w:color="auto"/>
                        <w:left w:val="none" w:sz="0" w:space="0" w:color="auto"/>
                        <w:bottom w:val="none" w:sz="0" w:space="0" w:color="auto"/>
                        <w:right w:val="none" w:sz="0" w:space="0" w:color="auto"/>
                      </w:divBdr>
                    </w:div>
                    <w:div w:id="294151503">
                      <w:marLeft w:val="0"/>
                      <w:marRight w:val="0"/>
                      <w:marTop w:val="0"/>
                      <w:marBottom w:val="0"/>
                      <w:divBdr>
                        <w:top w:val="none" w:sz="0" w:space="0" w:color="auto"/>
                        <w:left w:val="none" w:sz="0" w:space="0" w:color="auto"/>
                        <w:bottom w:val="none" w:sz="0" w:space="0" w:color="auto"/>
                        <w:right w:val="none" w:sz="0" w:space="0" w:color="auto"/>
                      </w:divBdr>
                      <w:divsChild>
                        <w:div w:id="294139778">
                          <w:marLeft w:val="0"/>
                          <w:marRight w:val="0"/>
                          <w:marTop w:val="0"/>
                          <w:marBottom w:val="0"/>
                          <w:divBdr>
                            <w:top w:val="none" w:sz="0" w:space="0" w:color="auto"/>
                            <w:left w:val="none" w:sz="0" w:space="0" w:color="auto"/>
                            <w:bottom w:val="none" w:sz="0" w:space="0" w:color="auto"/>
                            <w:right w:val="none" w:sz="0" w:space="0" w:color="auto"/>
                          </w:divBdr>
                        </w:div>
                      </w:divsChild>
                    </w:div>
                    <w:div w:id="294151552">
                      <w:marLeft w:val="0"/>
                      <w:marRight w:val="0"/>
                      <w:marTop w:val="0"/>
                      <w:marBottom w:val="0"/>
                      <w:divBdr>
                        <w:top w:val="none" w:sz="0" w:space="0" w:color="auto"/>
                        <w:left w:val="none" w:sz="0" w:space="0" w:color="auto"/>
                        <w:bottom w:val="none" w:sz="0" w:space="0" w:color="auto"/>
                        <w:right w:val="none" w:sz="0" w:space="0" w:color="auto"/>
                      </w:divBdr>
                    </w:div>
                    <w:div w:id="294151638">
                      <w:marLeft w:val="0"/>
                      <w:marRight w:val="0"/>
                      <w:marTop w:val="0"/>
                      <w:marBottom w:val="0"/>
                      <w:divBdr>
                        <w:top w:val="none" w:sz="0" w:space="0" w:color="auto"/>
                        <w:left w:val="none" w:sz="0" w:space="0" w:color="auto"/>
                        <w:bottom w:val="none" w:sz="0" w:space="0" w:color="auto"/>
                        <w:right w:val="none" w:sz="0" w:space="0" w:color="auto"/>
                      </w:divBdr>
                      <w:divsChild>
                        <w:div w:id="294139439">
                          <w:marLeft w:val="0"/>
                          <w:marRight w:val="0"/>
                          <w:marTop w:val="0"/>
                          <w:marBottom w:val="0"/>
                          <w:divBdr>
                            <w:top w:val="none" w:sz="0" w:space="0" w:color="auto"/>
                            <w:left w:val="none" w:sz="0" w:space="0" w:color="auto"/>
                            <w:bottom w:val="none" w:sz="0" w:space="0" w:color="auto"/>
                            <w:right w:val="none" w:sz="0" w:space="0" w:color="auto"/>
                          </w:divBdr>
                        </w:div>
                      </w:divsChild>
                    </w:div>
                    <w:div w:id="294151738">
                      <w:marLeft w:val="0"/>
                      <w:marRight w:val="0"/>
                      <w:marTop w:val="0"/>
                      <w:marBottom w:val="0"/>
                      <w:divBdr>
                        <w:top w:val="none" w:sz="0" w:space="0" w:color="auto"/>
                        <w:left w:val="none" w:sz="0" w:space="0" w:color="auto"/>
                        <w:bottom w:val="none" w:sz="0" w:space="0" w:color="auto"/>
                        <w:right w:val="none" w:sz="0" w:space="0" w:color="auto"/>
                      </w:divBdr>
                    </w:div>
                    <w:div w:id="294151791">
                      <w:marLeft w:val="0"/>
                      <w:marRight w:val="0"/>
                      <w:marTop w:val="0"/>
                      <w:marBottom w:val="0"/>
                      <w:divBdr>
                        <w:top w:val="none" w:sz="0" w:space="0" w:color="auto"/>
                        <w:left w:val="none" w:sz="0" w:space="0" w:color="auto"/>
                        <w:bottom w:val="none" w:sz="0" w:space="0" w:color="auto"/>
                        <w:right w:val="none" w:sz="0" w:space="0" w:color="auto"/>
                      </w:divBdr>
                      <w:divsChild>
                        <w:div w:id="294141279">
                          <w:marLeft w:val="0"/>
                          <w:marRight w:val="0"/>
                          <w:marTop w:val="0"/>
                          <w:marBottom w:val="0"/>
                          <w:divBdr>
                            <w:top w:val="none" w:sz="0" w:space="0" w:color="auto"/>
                            <w:left w:val="none" w:sz="0" w:space="0" w:color="auto"/>
                            <w:bottom w:val="none" w:sz="0" w:space="0" w:color="auto"/>
                            <w:right w:val="none" w:sz="0" w:space="0" w:color="auto"/>
                          </w:divBdr>
                        </w:div>
                      </w:divsChild>
                    </w:div>
                    <w:div w:id="294151829">
                      <w:marLeft w:val="0"/>
                      <w:marRight w:val="0"/>
                      <w:marTop w:val="0"/>
                      <w:marBottom w:val="0"/>
                      <w:divBdr>
                        <w:top w:val="none" w:sz="0" w:space="0" w:color="auto"/>
                        <w:left w:val="none" w:sz="0" w:space="0" w:color="auto"/>
                        <w:bottom w:val="none" w:sz="0" w:space="0" w:color="auto"/>
                        <w:right w:val="none" w:sz="0" w:space="0" w:color="auto"/>
                      </w:divBdr>
                      <w:divsChild>
                        <w:div w:id="294147574">
                          <w:marLeft w:val="0"/>
                          <w:marRight w:val="0"/>
                          <w:marTop w:val="0"/>
                          <w:marBottom w:val="0"/>
                          <w:divBdr>
                            <w:top w:val="none" w:sz="0" w:space="0" w:color="auto"/>
                            <w:left w:val="none" w:sz="0" w:space="0" w:color="auto"/>
                            <w:bottom w:val="none" w:sz="0" w:space="0" w:color="auto"/>
                            <w:right w:val="none" w:sz="0" w:space="0" w:color="auto"/>
                          </w:divBdr>
                        </w:div>
                      </w:divsChild>
                    </w:div>
                    <w:div w:id="294151951">
                      <w:marLeft w:val="0"/>
                      <w:marRight w:val="0"/>
                      <w:marTop w:val="0"/>
                      <w:marBottom w:val="0"/>
                      <w:divBdr>
                        <w:top w:val="none" w:sz="0" w:space="0" w:color="auto"/>
                        <w:left w:val="none" w:sz="0" w:space="0" w:color="auto"/>
                        <w:bottom w:val="none" w:sz="0" w:space="0" w:color="auto"/>
                        <w:right w:val="none" w:sz="0" w:space="0" w:color="auto"/>
                      </w:divBdr>
                    </w:div>
                    <w:div w:id="294151956">
                      <w:marLeft w:val="0"/>
                      <w:marRight w:val="0"/>
                      <w:marTop w:val="0"/>
                      <w:marBottom w:val="0"/>
                      <w:divBdr>
                        <w:top w:val="none" w:sz="0" w:space="0" w:color="auto"/>
                        <w:left w:val="none" w:sz="0" w:space="0" w:color="auto"/>
                        <w:bottom w:val="none" w:sz="0" w:space="0" w:color="auto"/>
                        <w:right w:val="none" w:sz="0" w:space="0" w:color="auto"/>
                      </w:divBdr>
                    </w:div>
                    <w:div w:id="294151983">
                      <w:marLeft w:val="0"/>
                      <w:marRight w:val="0"/>
                      <w:marTop w:val="0"/>
                      <w:marBottom w:val="0"/>
                      <w:divBdr>
                        <w:top w:val="none" w:sz="0" w:space="0" w:color="auto"/>
                        <w:left w:val="none" w:sz="0" w:space="0" w:color="auto"/>
                        <w:bottom w:val="none" w:sz="0" w:space="0" w:color="auto"/>
                        <w:right w:val="none" w:sz="0" w:space="0" w:color="auto"/>
                      </w:divBdr>
                    </w:div>
                    <w:div w:id="294151992">
                      <w:marLeft w:val="0"/>
                      <w:marRight w:val="0"/>
                      <w:marTop w:val="0"/>
                      <w:marBottom w:val="0"/>
                      <w:divBdr>
                        <w:top w:val="none" w:sz="0" w:space="0" w:color="auto"/>
                        <w:left w:val="none" w:sz="0" w:space="0" w:color="auto"/>
                        <w:bottom w:val="none" w:sz="0" w:space="0" w:color="auto"/>
                        <w:right w:val="none" w:sz="0" w:space="0" w:color="auto"/>
                      </w:divBdr>
                      <w:divsChild>
                        <w:div w:id="294141334">
                          <w:marLeft w:val="0"/>
                          <w:marRight w:val="0"/>
                          <w:marTop w:val="0"/>
                          <w:marBottom w:val="0"/>
                          <w:divBdr>
                            <w:top w:val="none" w:sz="0" w:space="0" w:color="auto"/>
                            <w:left w:val="none" w:sz="0" w:space="0" w:color="auto"/>
                            <w:bottom w:val="none" w:sz="0" w:space="0" w:color="auto"/>
                            <w:right w:val="none" w:sz="0" w:space="0" w:color="auto"/>
                          </w:divBdr>
                        </w:div>
                      </w:divsChild>
                    </w:div>
                    <w:div w:id="294152053">
                      <w:marLeft w:val="0"/>
                      <w:marRight w:val="0"/>
                      <w:marTop w:val="0"/>
                      <w:marBottom w:val="0"/>
                      <w:divBdr>
                        <w:top w:val="none" w:sz="0" w:space="0" w:color="auto"/>
                        <w:left w:val="none" w:sz="0" w:space="0" w:color="auto"/>
                        <w:bottom w:val="none" w:sz="0" w:space="0" w:color="auto"/>
                        <w:right w:val="none" w:sz="0" w:space="0" w:color="auto"/>
                      </w:divBdr>
                      <w:divsChild>
                        <w:div w:id="294138860">
                          <w:marLeft w:val="0"/>
                          <w:marRight w:val="0"/>
                          <w:marTop w:val="0"/>
                          <w:marBottom w:val="0"/>
                          <w:divBdr>
                            <w:top w:val="none" w:sz="0" w:space="0" w:color="auto"/>
                            <w:left w:val="none" w:sz="0" w:space="0" w:color="auto"/>
                            <w:bottom w:val="none" w:sz="0" w:space="0" w:color="auto"/>
                            <w:right w:val="none" w:sz="0" w:space="0" w:color="auto"/>
                          </w:divBdr>
                        </w:div>
                      </w:divsChild>
                    </w:div>
                    <w:div w:id="294152134">
                      <w:marLeft w:val="0"/>
                      <w:marRight w:val="0"/>
                      <w:marTop w:val="0"/>
                      <w:marBottom w:val="0"/>
                      <w:divBdr>
                        <w:top w:val="none" w:sz="0" w:space="0" w:color="auto"/>
                        <w:left w:val="none" w:sz="0" w:space="0" w:color="auto"/>
                        <w:bottom w:val="none" w:sz="0" w:space="0" w:color="auto"/>
                        <w:right w:val="none" w:sz="0" w:space="0" w:color="auto"/>
                      </w:divBdr>
                      <w:divsChild>
                        <w:div w:id="294142578">
                          <w:marLeft w:val="0"/>
                          <w:marRight w:val="0"/>
                          <w:marTop w:val="0"/>
                          <w:marBottom w:val="0"/>
                          <w:divBdr>
                            <w:top w:val="none" w:sz="0" w:space="0" w:color="auto"/>
                            <w:left w:val="none" w:sz="0" w:space="0" w:color="auto"/>
                            <w:bottom w:val="none" w:sz="0" w:space="0" w:color="auto"/>
                            <w:right w:val="none" w:sz="0" w:space="0" w:color="auto"/>
                          </w:divBdr>
                        </w:div>
                      </w:divsChild>
                    </w:div>
                    <w:div w:id="294152163">
                      <w:marLeft w:val="0"/>
                      <w:marRight w:val="0"/>
                      <w:marTop w:val="0"/>
                      <w:marBottom w:val="0"/>
                      <w:divBdr>
                        <w:top w:val="none" w:sz="0" w:space="0" w:color="auto"/>
                        <w:left w:val="none" w:sz="0" w:space="0" w:color="auto"/>
                        <w:bottom w:val="none" w:sz="0" w:space="0" w:color="auto"/>
                        <w:right w:val="none" w:sz="0" w:space="0" w:color="auto"/>
                      </w:divBdr>
                    </w:div>
                    <w:div w:id="294152165">
                      <w:marLeft w:val="0"/>
                      <w:marRight w:val="0"/>
                      <w:marTop w:val="0"/>
                      <w:marBottom w:val="0"/>
                      <w:divBdr>
                        <w:top w:val="none" w:sz="0" w:space="0" w:color="auto"/>
                        <w:left w:val="none" w:sz="0" w:space="0" w:color="auto"/>
                        <w:bottom w:val="none" w:sz="0" w:space="0" w:color="auto"/>
                        <w:right w:val="none" w:sz="0" w:space="0" w:color="auto"/>
                      </w:divBdr>
                      <w:divsChild>
                        <w:div w:id="294153054">
                          <w:marLeft w:val="0"/>
                          <w:marRight w:val="0"/>
                          <w:marTop w:val="0"/>
                          <w:marBottom w:val="0"/>
                          <w:divBdr>
                            <w:top w:val="none" w:sz="0" w:space="0" w:color="auto"/>
                            <w:left w:val="none" w:sz="0" w:space="0" w:color="auto"/>
                            <w:bottom w:val="none" w:sz="0" w:space="0" w:color="auto"/>
                            <w:right w:val="none" w:sz="0" w:space="0" w:color="auto"/>
                          </w:divBdr>
                        </w:div>
                      </w:divsChild>
                    </w:div>
                    <w:div w:id="294152168">
                      <w:marLeft w:val="0"/>
                      <w:marRight w:val="0"/>
                      <w:marTop w:val="0"/>
                      <w:marBottom w:val="0"/>
                      <w:divBdr>
                        <w:top w:val="none" w:sz="0" w:space="0" w:color="auto"/>
                        <w:left w:val="none" w:sz="0" w:space="0" w:color="auto"/>
                        <w:bottom w:val="none" w:sz="0" w:space="0" w:color="auto"/>
                        <w:right w:val="none" w:sz="0" w:space="0" w:color="auto"/>
                      </w:divBdr>
                      <w:divsChild>
                        <w:div w:id="294153530">
                          <w:marLeft w:val="0"/>
                          <w:marRight w:val="0"/>
                          <w:marTop w:val="0"/>
                          <w:marBottom w:val="0"/>
                          <w:divBdr>
                            <w:top w:val="none" w:sz="0" w:space="0" w:color="auto"/>
                            <w:left w:val="none" w:sz="0" w:space="0" w:color="auto"/>
                            <w:bottom w:val="none" w:sz="0" w:space="0" w:color="auto"/>
                            <w:right w:val="none" w:sz="0" w:space="0" w:color="auto"/>
                          </w:divBdr>
                        </w:div>
                      </w:divsChild>
                    </w:div>
                    <w:div w:id="294152174">
                      <w:marLeft w:val="0"/>
                      <w:marRight w:val="0"/>
                      <w:marTop w:val="0"/>
                      <w:marBottom w:val="0"/>
                      <w:divBdr>
                        <w:top w:val="none" w:sz="0" w:space="0" w:color="auto"/>
                        <w:left w:val="none" w:sz="0" w:space="0" w:color="auto"/>
                        <w:bottom w:val="none" w:sz="0" w:space="0" w:color="auto"/>
                        <w:right w:val="none" w:sz="0" w:space="0" w:color="auto"/>
                      </w:divBdr>
                      <w:divsChild>
                        <w:div w:id="294156649">
                          <w:marLeft w:val="0"/>
                          <w:marRight w:val="0"/>
                          <w:marTop w:val="0"/>
                          <w:marBottom w:val="0"/>
                          <w:divBdr>
                            <w:top w:val="none" w:sz="0" w:space="0" w:color="auto"/>
                            <w:left w:val="none" w:sz="0" w:space="0" w:color="auto"/>
                            <w:bottom w:val="none" w:sz="0" w:space="0" w:color="auto"/>
                            <w:right w:val="none" w:sz="0" w:space="0" w:color="auto"/>
                          </w:divBdr>
                        </w:div>
                      </w:divsChild>
                    </w:div>
                    <w:div w:id="294152329">
                      <w:marLeft w:val="0"/>
                      <w:marRight w:val="0"/>
                      <w:marTop w:val="0"/>
                      <w:marBottom w:val="0"/>
                      <w:divBdr>
                        <w:top w:val="none" w:sz="0" w:space="0" w:color="auto"/>
                        <w:left w:val="none" w:sz="0" w:space="0" w:color="auto"/>
                        <w:bottom w:val="none" w:sz="0" w:space="0" w:color="auto"/>
                        <w:right w:val="none" w:sz="0" w:space="0" w:color="auto"/>
                      </w:divBdr>
                    </w:div>
                    <w:div w:id="294152349">
                      <w:marLeft w:val="0"/>
                      <w:marRight w:val="0"/>
                      <w:marTop w:val="0"/>
                      <w:marBottom w:val="0"/>
                      <w:divBdr>
                        <w:top w:val="none" w:sz="0" w:space="0" w:color="auto"/>
                        <w:left w:val="none" w:sz="0" w:space="0" w:color="auto"/>
                        <w:bottom w:val="none" w:sz="0" w:space="0" w:color="auto"/>
                        <w:right w:val="none" w:sz="0" w:space="0" w:color="auto"/>
                      </w:divBdr>
                    </w:div>
                    <w:div w:id="294152355">
                      <w:marLeft w:val="0"/>
                      <w:marRight w:val="0"/>
                      <w:marTop w:val="0"/>
                      <w:marBottom w:val="0"/>
                      <w:divBdr>
                        <w:top w:val="none" w:sz="0" w:space="0" w:color="auto"/>
                        <w:left w:val="none" w:sz="0" w:space="0" w:color="auto"/>
                        <w:bottom w:val="none" w:sz="0" w:space="0" w:color="auto"/>
                        <w:right w:val="none" w:sz="0" w:space="0" w:color="auto"/>
                      </w:divBdr>
                    </w:div>
                    <w:div w:id="294152375">
                      <w:marLeft w:val="0"/>
                      <w:marRight w:val="0"/>
                      <w:marTop w:val="0"/>
                      <w:marBottom w:val="0"/>
                      <w:divBdr>
                        <w:top w:val="none" w:sz="0" w:space="0" w:color="auto"/>
                        <w:left w:val="none" w:sz="0" w:space="0" w:color="auto"/>
                        <w:bottom w:val="none" w:sz="0" w:space="0" w:color="auto"/>
                        <w:right w:val="none" w:sz="0" w:space="0" w:color="auto"/>
                      </w:divBdr>
                    </w:div>
                    <w:div w:id="294152385">
                      <w:marLeft w:val="0"/>
                      <w:marRight w:val="0"/>
                      <w:marTop w:val="0"/>
                      <w:marBottom w:val="0"/>
                      <w:divBdr>
                        <w:top w:val="none" w:sz="0" w:space="0" w:color="auto"/>
                        <w:left w:val="none" w:sz="0" w:space="0" w:color="auto"/>
                        <w:bottom w:val="none" w:sz="0" w:space="0" w:color="auto"/>
                        <w:right w:val="none" w:sz="0" w:space="0" w:color="auto"/>
                      </w:divBdr>
                    </w:div>
                    <w:div w:id="294152464">
                      <w:marLeft w:val="0"/>
                      <w:marRight w:val="0"/>
                      <w:marTop w:val="0"/>
                      <w:marBottom w:val="0"/>
                      <w:divBdr>
                        <w:top w:val="none" w:sz="0" w:space="0" w:color="auto"/>
                        <w:left w:val="none" w:sz="0" w:space="0" w:color="auto"/>
                        <w:bottom w:val="none" w:sz="0" w:space="0" w:color="auto"/>
                        <w:right w:val="none" w:sz="0" w:space="0" w:color="auto"/>
                      </w:divBdr>
                    </w:div>
                    <w:div w:id="294152466">
                      <w:marLeft w:val="0"/>
                      <w:marRight w:val="0"/>
                      <w:marTop w:val="0"/>
                      <w:marBottom w:val="0"/>
                      <w:divBdr>
                        <w:top w:val="none" w:sz="0" w:space="0" w:color="auto"/>
                        <w:left w:val="none" w:sz="0" w:space="0" w:color="auto"/>
                        <w:bottom w:val="none" w:sz="0" w:space="0" w:color="auto"/>
                        <w:right w:val="none" w:sz="0" w:space="0" w:color="auto"/>
                      </w:divBdr>
                    </w:div>
                    <w:div w:id="294152516">
                      <w:marLeft w:val="0"/>
                      <w:marRight w:val="0"/>
                      <w:marTop w:val="0"/>
                      <w:marBottom w:val="0"/>
                      <w:divBdr>
                        <w:top w:val="none" w:sz="0" w:space="0" w:color="auto"/>
                        <w:left w:val="none" w:sz="0" w:space="0" w:color="auto"/>
                        <w:bottom w:val="none" w:sz="0" w:space="0" w:color="auto"/>
                        <w:right w:val="none" w:sz="0" w:space="0" w:color="auto"/>
                      </w:divBdr>
                    </w:div>
                    <w:div w:id="294152534">
                      <w:marLeft w:val="0"/>
                      <w:marRight w:val="0"/>
                      <w:marTop w:val="0"/>
                      <w:marBottom w:val="0"/>
                      <w:divBdr>
                        <w:top w:val="none" w:sz="0" w:space="0" w:color="auto"/>
                        <w:left w:val="none" w:sz="0" w:space="0" w:color="auto"/>
                        <w:bottom w:val="none" w:sz="0" w:space="0" w:color="auto"/>
                        <w:right w:val="none" w:sz="0" w:space="0" w:color="auto"/>
                      </w:divBdr>
                    </w:div>
                    <w:div w:id="294152612">
                      <w:marLeft w:val="0"/>
                      <w:marRight w:val="0"/>
                      <w:marTop w:val="0"/>
                      <w:marBottom w:val="0"/>
                      <w:divBdr>
                        <w:top w:val="none" w:sz="0" w:space="0" w:color="auto"/>
                        <w:left w:val="none" w:sz="0" w:space="0" w:color="auto"/>
                        <w:bottom w:val="none" w:sz="0" w:space="0" w:color="auto"/>
                        <w:right w:val="none" w:sz="0" w:space="0" w:color="auto"/>
                      </w:divBdr>
                    </w:div>
                    <w:div w:id="294152615">
                      <w:marLeft w:val="0"/>
                      <w:marRight w:val="0"/>
                      <w:marTop w:val="0"/>
                      <w:marBottom w:val="0"/>
                      <w:divBdr>
                        <w:top w:val="none" w:sz="0" w:space="0" w:color="auto"/>
                        <w:left w:val="none" w:sz="0" w:space="0" w:color="auto"/>
                        <w:bottom w:val="none" w:sz="0" w:space="0" w:color="auto"/>
                        <w:right w:val="none" w:sz="0" w:space="0" w:color="auto"/>
                      </w:divBdr>
                      <w:divsChild>
                        <w:div w:id="294138151">
                          <w:marLeft w:val="0"/>
                          <w:marRight w:val="0"/>
                          <w:marTop w:val="0"/>
                          <w:marBottom w:val="0"/>
                          <w:divBdr>
                            <w:top w:val="none" w:sz="0" w:space="0" w:color="auto"/>
                            <w:left w:val="none" w:sz="0" w:space="0" w:color="auto"/>
                            <w:bottom w:val="none" w:sz="0" w:space="0" w:color="auto"/>
                            <w:right w:val="none" w:sz="0" w:space="0" w:color="auto"/>
                          </w:divBdr>
                        </w:div>
                      </w:divsChild>
                    </w:div>
                    <w:div w:id="294152621">
                      <w:marLeft w:val="0"/>
                      <w:marRight w:val="0"/>
                      <w:marTop w:val="0"/>
                      <w:marBottom w:val="0"/>
                      <w:divBdr>
                        <w:top w:val="none" w:sz="0" w:space="0" w:color="auto"/>
                        <w:left w:val="none" w:sz="0" w:space="0" w:color="auto"/>
                        <w:bottom w:val="none" w:sz="0" w:space="0" w:color="auto"/>
                        <w:right w:val="none" w:sz="0" w:space="0" w:color="auto"/>
                      </w:divBdr>
                    </w:div>
                    <w:div w:id="294152729">
                      <w:marLeft w:val="0"/>
                      <w:marRight w:val="0"/>
                      <w:marTop w:val="0"/>
                      <w:marBottom w:val="0"/>
                      <w:divBdr>
                        <w:top w:val="none" w:sz="0" w:space="0" w:color="auto"/>
                        <w:left w:val="none" w:sz="0" w:space="0" w:color="auto"/>
                        <w:bottom w:val="none" w:sz="0" w:space="0" w:color="auto"/>
                        <w:right w:val="none" w:sz="0" w:space="0" w:color="auto"/>
                      </w:divBdr>
                      <w:divsChild>
                        <w:div w:id="294152072">
                          <w:marLeft w:val="0"/>
                          <w:marRight w:val="0"/>
                          <w:marTop w:val="0"/>
                          <w:marBottom w:val="0"/>
                          <w:divBdr>
                            <w:top w:val="none" w:sz="0" w:space="0" w:color="auto"/>
                            <w:left w:val="none" w:sz="0" w:space="0" w:color="auto"/>
                            <w:bottom w:val="none" w:sz="0" w:space="0" w:color="auto"/>
                            <w:right w:val="none" w:sz="0" w:space="0" w:color="auto"/>
                          </w:divBdr>
                        </w:div>
                      </w:divsChild>
                    </w:div>
                    <w:div w:id="294152794">
                      <w:marLeft w:val="0"/>
                      <w:marRight w:val="0"/>
                      <w:marTop w:val="0"/>
                      <w:marBottom w:val="0"/>
                      <w:divBdr>
                        <w:top w:val="none" w:sz="0" w:space="0" w:color="auto"/>
                        <w:left w:val="none" w:sz="0" w:space="0" w:color="auto"/>
                        <w:bottom w:val="none" w:sz="0" w:space="0" w:color="auto"/>
                        <w:right w:val="none" w:sz="0" w:space="0" w:color="auto"/>
                      </w:divBdr>
                    </w:div>
                    <w:div w:id="294152824">
                      <w:marLeft w:val="0"/>
                      <w:marRight w:val="0"/>
                      <w:marTop w:val="0"/>
                      <w:marBottom w:val="0"/>
                      <w:divBdr>
                        <w:top w:val="none" w:sz="0" w:space="0" w:color="auto"/>
                        <w:left w:val="none" w:sz="0" w:space="0" w:color="auto"/>
                        <w:bottom w:val="none" w:sz="0" w:space="0" w:color="auto"/>
                        <w:right w:val="none" w:sz="0" w:space="0" w:color="auto"/>
                      </w:divBdr>
                      <w:divsChild>
                        <w:div w:id="294153772">
                          <w:marLeft w:val="0"/>
                          <w:marRight w:val="0"/>
                          <w:marTop w:val="0"/>
                          <w:marBottom w:val="0"/>
                          <w:divBdr>
                            <w:top w:val="none" w:sz="0" w:space="0" w:color="auto"/>
                            <w:left w:val="none" w:sz="0" w:space="0" w:color="auto"/>
                            <w:bottom w:val="none" w:sz="0" w:space="0" w:color="auto"/>
                            <w:right w:val="none" w:sz="0" w:space="0" w:color="auto"/>
                          </w:divBdr>
                        </w:div>
                      </w:divsChild>
                    </w:div>
                    <w:div w:id="294152832">
                      <w:marLeft w:val="0"/>
                      <w:marRight w:val="0"/>
                      <w:marTop w:val="0"/>
                      <w:marBottom w:val="0"/>
                      <w:divBdr>
                        <w:top w:val="none" w:sz="0" w:space="0" w:color="auto"/>
                        <w:left w:val="none" w:sz="0" w:space="0" w:color="auto"/>
                        <w:bottom w:val="none" w:sz="0" w:space="0" w:color="auto"/>
                        <w:right w:val="none" w:sz="0" w:space="0" w:color="auto"/>
                      </w:divBdr>
                      <w:divsChild>
                        <w:div w:id="294154210">
                          <w:marLeft w:val="0"/>
                          <w:marRight w:val="0"/>
                          <w:marTop w:val="0"/>
                          <w:marBottom w:val="0"/>
                          <w:divBdr>
                            <w:top w:val="none" w:sz="0" w:space="0" w:color="auto"/>
                            <w:left w:val="none" w:sz="0" w:space="0" w:color="auto"/>
                            <w:bottom w:val="none" w:sz="0" w:space="0" w:color="auto"/>
                            <w:right w:val="none" w:sz="0" w:space="0" w:color="auto"/>
                          </w:divBdr>
                        </w:div>
                      </w:divsChild>
                    </w:div>
                    <w:div w:id="294152833">
                      <w:marLeft w:val="0"/>
                      <w:marRight w:val="0"/>
                      <w:marTop w:val="0"/>
                      <w:marBottom w:val="0"/>
                      <w:divBdr>
                        <w:top w:val="none" w:sz="0" w:space="0" w:color="auto"/>
                        <w:left w:val="none" w:sz="0" w:space="0" w:color="auto"/>
                        <w:bottom w:val="none" w:sz="0" w:space="0" w:color="auto"/>
                        <w:right w:val="none" w:sz="0" w:space="0" w:color="auto"/>
                      </w:divBdr>
                    </w:div>
                    <w:div w:id="294152837">
                      <w:marLeft w:val="0"/>
                      <w:marRight w:val="0"/>
                      <w:marTop w:val="0"/>
                      <w:marBottom w:val="0"/>
                      <w:divBdr>
                        <w:top w:val="none" w:sz="0" w:space="0" w:color="auto"/>
                        <w:left w:val="none" w:sz="0" w:space="0" w:color="auto"/>
                        <w:bottom w:val="none" w:sz="0" w:space="0" w:color="auto"/>
                        <w:right w:val="none" w:sz="0" w:space="0" w:color="auto"/>
                      </w:divBdr>
                      <w:divsChild>
                        <w:div w:id="294153374">
                          <w:marLeft w:val="0"/>
                          <w:marRight w:val="0"/>
                          <w:marTop w:val="0"/>
                          <w:marBottom w:val="0"/>
                          <w:divBdr>
                            <w:top w:val="none" w:sz="0" w:space="0" w:color="auto"/>
                            <w:left w:val="none" w:sz="0" w:space="0" w:color="auto"/>
                            <w:bottom w:val="none" w:sz="0" w:space="0" w:color="auto"/>
                            <w:right w:val="none" w:sz="0" w:space="0" w:color="auto"/>
                          </w:divBdr>
                        </w:div>
                      </w:divsChild>
                    </w:div>
                    <w:div w:id="294152841">
                      <w:marLeft w:val="0"/>
                      <w:marRight w:val="0"/>
                      <w:marTop w:val="0"/>
                      <w:marBottom w:val="0"/>
                      <w:divBdr>
                        <w:top w:val="none" w:sz="0" w:space="0" w:color="auto"/>
                        <w:left w:val="none" w:sz="0" w:space="0" w:color="auto"/>
                        <w:bottom w:val="none" w:sz="0" w:space="0" w:color="auto"/>
                        <w:right w:val="none" w:sz="0" w:space="0" w:color="auto"/>
                      </w:divBdr>
                    </w:div>
                    <w:div w:id="294152922">
                      <w:marLeft w:val="0"/>
                      <w:marRight w:val="0"/>
                      <w:marTop w:val="0"/>
                      <w:marBottom w:val="0"/>
                      <w:divBdr>
                        <w:top w:val="none" w:sz="0" w:space="0" w:color="auto"/>
                        <w:left w:val="none" w:sz="0" w:space="0" w:color="auto"/>
                        <w:bottom w:val="none" w:sz="0" w:space="0" w:color="auto"/>
                        <w:right w:val="none" w:sz="0" w:space="0" w:color="auto"/>
                      </w:divBdr>
                      <w:divsChild>
                        <w:div w:id="294138513">
                          <w:marLeft w:val="0"/>
                          <w:marRight w:val="0"/>
                          <w:marTop w:val="0"/>
                          <w:marBottom w:val="0"/>
                          <w:divBdr>
                            <w:top w:val="none" w:sz="0" w:space="0" w:color="auto"/>
                            <w:left w:val="none" w:sz="0" w:space="0" w:color="auto"/>
                            <w:bottom w:val="none" w:sz="0" w:space="0" w:color="auto"/>
                            <w:right w:val="none" w:sz="0" w:space="0" w:color="auto"/>
                          </w:divBdr>
                        </w:div>
                      </w:divsChild>
                    </w:div>
                    <w:div w:id="294152957">
                      <w:marLeft w:val="0"/>
                      <w:marRight w:val="0"/>
                      <w:marTop w:val="0"/>
                      <w:marBottom w:val="0"/>
                      <w:divBdr>
                        <w:top w:val="none" w:sz="0" w:space="0" w:color="auto"/>
                        <w:left w:val="none" w:sz="0" w:space="0" w:color="auto"/>
                        <w:bottom w:val="none" w:sz="0" w:space="0" w:color="auto"/>
                        <w:right w:val="none" w:sz="0" w:space="0" w:color="auto"/>
                      </w:divBdr>
                      <w:divsChild>
                        <w:div w:id="294150156">
                          <w:marLeft w:val="0"/>
                          <w:marRight w:val="0"/>
                          <w:marTop w:val="0"/>
                          <w:marBottom w:val="0"/>
                          <w:divBdr>
                            <w:top w:val="none" w:sz="0" w:space="0" w:color="auto"/>
                            <w:left w:val="none" w:sz="0" w:space="0" w:color="auto"/>
                            <w:bottom w:val="none" w:sz="0" w:space="0" w:color="auto"/>
                            <w:right w:val="none" w:sz="0" w:space="0" w:color="auto"/>
                          </w:divBdr>
                        </w:div>
                      </w:divsChild>
                    </w:div>
                    <w:div w:id="294152966">
                      <w:marLeft w:val="0"/>
                      <w:marRight w:val="0"/>
                      <w:marTop w:val="0"/>
                      <w:marBottom w:val="0"/>
                      <w:divBdr>
                        <w:top w:val="none" w:sz="0" w:space="0" w:color="auto"/>
                        <w:left w:val="none" w:sz="0" w:space="0" w:color="auto"/>
                        <w:bottom w:val="none" w:sz="0" w:space="0" w:color="auto"/>
                        <w:right w:val="none" w:sz="0" w:space="0" w:color="auto"/>
                      </w:divBdr>
                    </w:div>
                    <w:div w:id="294152986">
                      <w:marLeft w:val="0"/>
                      <w:marRight w:val="0"/>
                      <w:marTop w:val="0"/>
                      <w:marBottom w:val="0"/>
                      <w:divBdr>
                        <w:top w:val="none" w:sz="0" w:space="0" w:color="auto"/>
                        <w:left w:val="none" w:sz="0" w:space="0" w:color="auto"/>
                        <w:bottom w:val="none" w:sz="0" w:space="0" w:color="auto"/>
                        <w:right w:val="none" w:sz="0" w:space="0" w:color="auto"/>
                      </w:divBdr>
                      <w:divsChild>
                        <w:div w:id="294156975">
                          <w:marLeft w:val="0"/>
                          <w:marRight w:val="0"/>
                          <w:marTop w:val="0"/>
                          <w:marBottom w:val="0"/>
                          <w:divBdr>
                            <w:top w:val="none" w:sz="0" w:space="0" w:color="auto"/>
                            <w:left w:val="none" w:sz="0" w:space="0" w:color="auto"/>
                            <w:bottom w:val="none" w:sz="0" w:space="0" w:color="auto"/>
                            <w:right w:val="none" w:sz="0" w:space="0" w:color="auto"/>
                          </w:divBdr>
                        </w:div>
                      </w:divsChild>
                    </w:div>
                    <w:div w:id="294152988">
                      <w:marLeft w:val="0"/>
                      <w:marRight w:val="0"/>
                      <w:marTop w:val="0"/>
                      <w:marBottom w:val="0"/>
                      <w:divBdr>
                        <w:top w:val="none" w:sz="0" w:space="0" w:color="auto"/>
                        <w:left w:val="none" w:sz="0" w:space="0" w:color="auto"/>
                        <w:bottom w:val="none" w:sz="0" w:space="0" w:color="auto"/>
                        <w:right w:val="none" w:sz="0" w:space="0" w:color="auto"/>
                      </w:divBdr>
                    </w:div>
                    <w:div w:id="294153131">
                      <w:marLeft w:val="0"/>
                      <w:marRight w:val="0"/>
                      <w:marTop w:val="0"/>
                      <w:marBottom w:val="0"/>
                      <w:divBdr>
                        <w:top w:val="none" w:sz="0" w:space="0" w:color="auto"/>
                        <w:left w:val="none" w:sz="0" w:space="0" w:color="auto"/>
                        <w:bottom w:val="none" w:sz="0" w:space="0" w:color="auto"/>
                        <w:right w:val="none" w:sz="0" w:space="0" w:color="auto"/>
                      </w:divBdr>
                      <w:divsChild>
                        <w:div w:id="294154606">
                          <w:marLeft w:val="0"/>
                          <w:marRight w:val="0"/>
                          <w:marTop w:val="0"/>
                          <w:marBottom w:val="0"/>
                          <w:divBdr>
                            <w:top w:val="none" w:sz="0" w:space="0" w:color="auto"/>
                            <w:left w:val="none" w:sz="0" w:space="0" w:color="auto"/>
                            <w:bottom w:val="none" w:sz="0" w:space="0" w:color="auto"/>
                            <w:right w:val="none" w:sz="0" w:space="0" w:color="auto"/>
                          </w:divBdr>
                        </w:div>
                      </w:divsChild>
                    </w:div>
                    <w:div w:id="294153153">
                      <w:marLeft w:val="0"/>
                      <w:marRight w:val="0"/>
                      <w:marTop w:val="0"/>
                      <w:marBottom w:val="0"/>
                      <w:divBdr>
                        <w:top w:val="none" w:sz="0" w:space="0" w:color="auto"/>
                        <w:left w:val="none" w:sz="0" w:space="0" w:color="auto"/>
                        <w:bottom w:val="none" w:sz="0" w:space="0" w:color="auto"/>
                        <w:right w:val="none" w:sz="0" w:space="0" w:color="auto"/>
                      </w:divBdr>
                    </w:div>
                    <w:div w:id="294153289">
                      <w:marLeft w:val="0"/>
                      <w:marRight w:val="0"/>
                      <w:marTop w:val="0"/>
                      <w:marBottom w:val="0"/>
                      <w:divBdr>
                        <w:top w:val="none" w:sz="0" w:space="0" w:color="auto"/>
                        <w:left w:val="none" w:sz="0" w:space="0" w:color="auto"/>
                        <w:bottom w:val="none" w:sz="0" w:space="0" w:color="auto"/>
                        <w:right w:val="none" w:sz="0" w:space="0" w:color="auto"/>
                      </w:divBdr>
                      <w:divsChild>
                        <w:div w:id="294142729">
                          <w:marLeft w:val="0"/>
                          <w:marRight w:val="0"/>
                          <w:marTop w:val="0"/>
                          <w:marBottom w:val="0"/>
                          <w:divBdr>
                            <w:top w:val="none" w:sz="0" w:space="0" w:color="auto"/>
                            <w:left w:val="none" w:sz="0" w:space="0" w:color="auto"/>
                            <w:bottom w:val="none" w:sz="0" w:space="0" w:color="auto"/>
                            <w:right w:val="none" w:sz="0" w:space="0" w:color="auto"/>
                          </w:divBdr>
                        </w:div>
                      </w:divsChild>
                    </w:div>
                    <w:div w:id="294153441">
                      <w:marLeft w:val="0"/>
                      <w:marRight w:val="0"/>
                      <w:marTop w:val="0"/>
                      <w:marBottom w:val="0"/>
                      <w:divBdr>
                        <w:top w:val="none" w:sz="0" w:space="0" w:color="auto"/>
                        <w:left w:val="none" w:sz="0" w:space="0" w:color="auto"/>
                        <w:bottom w:val="none" w:sz="0" w:space="0" w:color="auto"/>
                        <w:right w:val="none" w:sz="0" w:space="0" w:color="auto"/>
                      </w:divBdr>
                    </w:div>
                    <w:div w:id="294153464">
                      <w:marLeft w:val="0"/>
                      <w:marRight w:val="0"/>
                      <w:marTop w:val="0"/>
                      <w:marBottom w:val="0"/>
                      <w:divBdr>
                        <w:top w:val="none" w:sz="0" w:space="0" w:color="auto"/>
                        <w:left w:val="none" w:sz="0" w:space="0" w:color="auto"/>
                        <w:bottom w:val="none" w:sz="0" w:space="0" w:color="auto"/>
                        <w:right w:val="none" w:sz="0" w:space="0" w:color="auto"/>
                      </w:divBdr>
                    </w:div>
                    <w:div w:id="294153525">
                      <w:marLeft w:val="0"/>
                      <w:marRight w:val="0"/>
                      <w:marTop w:val="0"/>
                      <w:marBottom w:val="0"/>
                      <w:divBdr>
                        <w:top w:val="none" w:sz="0" w:space="0" w:color="auto"/>
                        <w:left w:val="none" w:sz="0" w:space="0" w:color="auto"/>
                        <w:bottom w:val="none" w:sz="0" w:space="0" w:color="auto"/>
                        <w:right w:val="none" w:sz="0" w:space="0" w:color="auto"/>
                      </w:divBdr>
                      <w:divsChild>
                        <w:div w:id="294142888">
                          <w:marLeft w:val="0"/>
                          <w:marRight w:val="0"/>
                          <w:marTop w:val="0"/>
                          <w:marBottom w:val="0"/>
                          <w:divBdr>
                            <w:top w:val="none" w:sz="0" w:space="0" w:color="auto"/>
                            <w:left w:val="none" w:sz="0" w:space="0" w:color="auto"/>
                            <w:bottom w:val="none" w:sz="0" w:space="0" w:color="auto"/>
                            <w:right w:val="none" w:sz="0" w:space="0" w:color="auto"/>
                          </w:divBdr>
                        </w:div>
                      </w:divsChild>
                    </w:div>
                    <w:div w:id="294153658">
                      <w:marLeft w:val="0"/>
                      <w:marRight w:val="0"/>
                      <w:marTop w:val="0"/>
                      <w:marBottom w:val="0"/>
                      <w:divBdr>
                        <w:top w:val="none" w:sz="0" w:space="0" w:color="auto"/>
                        <w:left w:val="none" w:sz="0" w:space="0" w:color="auto"/>
                        <w:bottom w:val="none" w:sz="0" w:space="0" w:color="auto"/>
                        <w:right w:val="none" w:sz="0" w:space="0" w:color="auto"/>
                      </w:divBdr>
                    </w:div>
                    <w:div w:id="294153659">
                      <w:marLeft w:val="0"/>
                      <w:marRight w:val="0"/>
                      <w:marTop w:val="0"/>
                      <w:marBottom w:val="0"/>
                      <w:divBdr>
                        <w:top w:val="none" w:sz="0" w:space="0" w:color="auto"/>
                        <w:left w:val="none" w:sz="0" w:space="0" w:color="auto"/>
                        <w:bottom w:val="none" w:sz="0" w:space="0" w:color="auto"/>
                        <w:right w:val="none" w:sz="0" w:space="0" w:color="auto"/>
                      </w:divBdr>
                      <w:divsChild>
                        <w:div w:id="294139848">
                          <w:marLeft w:val="0"/>
                          <w:marRight w:val="0"/>
                          <w:marTop w:val="0"/>
                          <w:marBottom w:val="0"/>
                          <w:divBdr>
                            <w:top w:val="none" w:sz="0" w:space="0" w:color="auto"/>
                            <w:left w:val="none" w:sz="0" w:space="0" w:color="auto"/>
                            <w:bottom w:val="none" w:sz="0" w:space="0" w:color="auto"/>
                            <w:right w:val="none" w:sz="0" w:space="0" w:color="auto"/>
                          </w:divBdr>
                        </w:div>
                      </w:divsChild>
                    </w:div>
                    <w:div w:id="294153695">
                      <w:marLeft w:val="0"/>
                      <w:marRight w:val="0"/>
                      <w:marTop w:val="0"/>
                      <w:marBottom w:val="0"/>
                      <w:divBdr>
                        <w:top w:val="none" w:sz="0" w:space="0" w:color="auto"/>
                        <w:left w:val="none" w:sz="0" w:space="0" w:color="auto"/>
                        <w:bottom w:val="none" w:sz="0" w:space="0" w:color="auto"/>
                        <w:right w:val="none" w:sz="0" w:space="0" w:color="auto"/>
                      </w:divBdr>
                    </w:div>
                    <w:div w:id="294153745">
                      <w:marLeft w:val="0"/>
                      <w:marRight w:val="0"/>
                      <w:marTop w:val="0"/>
                      <w:marBottom w:val="0"/>
                      <w:divBdr>
                        <w:top w:val="none" w:sz="0" w:space="0" w:color="auto"/>
                        <w:left w:val="none" w:sz="0" w:space="0" w:color="auto"/>
                        <w:bottom w:val="none" w:sz="0" w:space="0" w:color="auto"/>
                        <w:right w:val="none" w:sz="0" w:space="0" w:color="auto"/>
                      </w:divBdr>
                      <w:divsChild>
                        <w:div w:id="294152712">
                          <w:marLeft w:val="0"/>
                          <w:marRight w:val="0"/>
                          <w:marTop w:val="0"/>
                          <w:marBottom w:val="0"/>
                          <w:divBdr>
                            <w:top w:val="none" w:sz="0" w:space="0" w:color="auto"/>
                            <w:left w:val="none" w:sz="0" w:space="0" w:color="auto"/>
                            <w:bottom w:val="none" w:sz="0" w:space="0" w:color="auto"/>
                            <w:right w:val="none" w:sz="0" w:space="0" w:color="auto"/>
                          </w:divBdr>
                        </w:div>
                      </w:divsChild>
                    </w:div>
                    <w:div w:id="294153777">
                      <w:marLeft w:val="0"/>
                      <w:marRight w:val="0"/>
                      <w:marTop w:val="0"/>
                      <w:marBottom w:val="0"/>
                      <w:divBdr>
                        <w:top w:val="none" w:sz="0" w:space="0" w:color="auto"/>
                        <w:left w:val="none" w:sz="0" w:space="0" w:color="auto"/>
                        <w:bottom w:val="none" w:sz="0" w:space="0" w:color="auto"/>
                        <w:right w:val="none" w:sz="0" w:space="0" w:color="auto"/>
                      </w:divBdr>
                    </w:div>
                    <w:div w:id="294153792">
                      <w:marLeft w:val="0"/>
                      <w:marRight w:val="0"/>
                      <w:marTop w:val="0"/>
                      <w:marBottom w:val="0"/>
                      <w:divBdr>
                        <w:top w:val="none" w:sz="0" w:space="0" w:color="auto"/>
                        <w:left w:val="none" w:sz="0" w:space="0" w:color="auto"/>
                        <w:bottom w:val="none" w:sz="0" w:space="0" w:color="auto"/>
                        <w:right w:val="none" w:sz="0" w:space="0" w:color="auto"/>
                      </w:divBdr>
                      <w:divsChild>
                        <w:div w:id="294149614">
                          <w:marLeft w:val="0"/>
                          <w:marRight w:val="0"/>
                          <w:marTop w:val="0"/>
                          <w:marBottom w:val="0"/>
                          <w:divBdr>
                            <w:top w:val="none" w:sz="0" w:space="0" w:color="auto"/>
                            <w:left w:val="none" w:sz="0" w:space="0" w:color="auto"/>
                            <w:bottom w:val="none" w:sz="0" w:space="0" w:color="auto"/>
                            <w:right w:val="none" w:sz="0" w:space="0" w:color="auto"/>
                          </w:divBdr>
                        </w:div>
                      </w:divsChild>
                    </w:div>
                    <w:div w:id="294153838">
                      <w:marLeft w:val="0"/>
                      <w:marRight w:val="0"/>
                      <w:marTop w:val="0"/>
                      <w:marBottom w:val="0"/>
                      <w:divBdr>
                        <w:top w:val="none" w:sz="0" w:space="0" w:color="auto"/>
                        <w:left w:val="none" w:sz="0" w:space="0" w:color="auto"/>
                        <w:bottom w:val="none" w:sz="0" w:space="0" w:color="auto"/>
                        <w:right w:val="none" w:sz="0" w:space="0" w:color="auto"/>
                      </w:divBdr>
                      <w:divsChild>
                        <w:div w:id="294155940">
                          <w:marLeft w:val="0"/>
                          <w:marRight w:val="0"/>
                          <w:marTop w:val="0"/>
                          <w:marBottom w:val="0"/>
                          <w:divBdr>
                            <w:top w:val="none" w:sz="0" w:space="0" w:color="auto"/>
                            <w:left w:val="none" w:sz="0" w:space="0" w:color="auto"/>
                            <w:bottom w:val="none" w:sz="0" w:space="0" w:color="auto"/>
                            <w:right w:val="none" w:sz="0" w:space="0" w:color="auto"/>
                          </w:divBdr>
                        </w:div>
                      </w:divsChild>
                    </w:div>
                    <w:div w:id="294153950">
                      <w:marLeft w:val="0"/>
                      <w:marRight w:val="0"/>
                      <w:marTop w:val="0"/>
                      <w:marBottom w:val="0"/>
                      <w:divBdr>
                        <w:top w:val="none" w:sz="0" w:space="0" w:color="auto"/>
                        <w:left w:val="none" w:sz="0" w:space="0" w:color="auto"/>
                        <w:bottom w:val="none" w:sz="0" w:space="0" w:color="auto"/>
                        <w:right w:val="none" w:sz="0" w:space="0" w:color="auto"/>
                      </w:divBdr>
                      <w:divsChild>
                        <w:div w:id="294148047">
                          <w:marLeft w:val="0"/>
                          <w:marRight w:val="0"/>
                          <w:marTop w:val="0"/>
                          <w:marBottom w:val="0"/>
                          <w:divBdr>
                            <w:top w:val="none" w:sz="0" w:space="0" w:color="auto"/>
                            <w:left w:val="none" w:sz="0" w:space="0" w:color="auto"/>
                            <w:bottom w:val="none" w:sz="0" w:space="0" w:color="auto"/>
                            <w:right w:val="none" w:sz="0" w:space="0" w:color="auto"/>
                          </w:divBdr>
                        </w:div>
                      </w:divsChild>
                    </w:div>
                    <w:div w:id="294153990">
                      <w:marLeft w:val="0"/>
                      <w:marRight w:val="0"/>
                      <w:marTop w:val="0"/>
                      <w:marBottom w:val="0"/>
                      <w:divBdr>
                        <w:top w:val="none" w:sz="0" w:space="0" w:color="auto"/>
                        <w:left w:val="none" w:sz="0" w:space="0" w:color="auto"/>
                        <w:bottom w:val="none" w:sz="0" w:space="0" w:color="auto"/>
                        <w:right w:val="none" w:sz="0" w:space="0" w:color="auto"/>
                      </w:divBdr>
                      <w:divsChild>
                        <w:div w:id="294138340">
                          <w:marLeft w:val="0"/>
                          <w:marRight w:val="0"/>
                          <w:marTop w:val="0"/>
                          <w:marBottom w:val="0"/>
                          <w:divBdr>
                            <w:top w:val="none" w:sz="0" w:space="0" w:color="auto"/>
                            <w:left w:val="none" w:sz="0" w:space="0" w:color="auto"/>
                            <w:bottom w:val="none" w:sz="0" w:space="0" w:color="auto"/>
                            <w:right w:val="none" w:sz="0" w:space="0" w:color="auto"/>
                          </w:divBdr>
                        </w:div>
                      </w:divsChild>
                    </w:div>
                    <w:div w:id="294154022">
                      <w:marLeft w:val="0"/>
                      <w:marRight w:val="0"/>
                      <w:marTop w:val="0"/>
                      <w:marBottom w:val="0"/>
                      <w:divBdr>
                        <w:top w:val="none" w:sz="0" w:space="0" w:color="auto"/>
                        <w:left w:val="none" w:sz="0" w:space="0" w:color="auto"/>
                        <w:bottom w:val="none" w:sz="0" w:space="0" w:color="auto"/>
                        <w:right w:val="none" w:sz="0" w:space="0" w:color="auto"/>
                      </w:divBdr>
                      <w:divsChild>
                        <w:div w:id="294148209">
                          <w:marLeft w:val="0"/>
                          <w:marRight w:val="0"/>
                          <w:marTop w:val="0"/>
                          <w:marBottom w:val="0"/>
                          <w:divBdr>
                            <w:top w:val="none" w:sz="0" w:space="0" w:color="auto"/>
                            <w:left w:val="none" w:sz="0" w:space="0" w:color="auto"/>
                            <w:bottom w:val="none" w:sz="0" w:space="0" w:color="auto"/>
                            <w:right w:val="none" w:sz="0" w:space="0" w:color="auto"/>
                          </w:divBdr>
                        </w:div>
                      </w:divsChild>
                    </w:div>
                    <w:div w:id="294154160">
                      <w:marLeft w:val="0"/>
                      <w:marRight w:val="0"/>
                      <w:marTop w:val="0"/>
                      <w:marBottom w:val="0"/>
                      <w:divBdr>
                        <w:top w:val="none" w:sz="0" w:space="0" w:color="auto"/>
                        <w:left w:val="none" w:sz="0" w:space="0" w:color="auto"/>
                        <w:bottom w:val="none" w:sz="0" w:space="0" w:color="auto"/>
                        <w:right w:val="none" w:sz="0" w:space="0" w:color="auto"/>
                      </w:divBdr>
                    </w:div>
                    <w:div w:id="294154161">
                      <w:marLeft w:val="0"/>
                      <w:marRight w:val="0"/>
                      <w:marTop w:val="0"/>
                      <w:marBottom w:val="0"/>
                      <w:divBdr>
                        <w:top w:val="none" w:sz="0" w:space="0" w:color="auto"/>
                        <w:left w:val="none" w:sz="0" w:space="0" w:color="auto"/>
                        <w:bottom w:val="none" w:sz="0" w:space="0" w:color="auto"/>
                        <w:right w:val="none" w:sz="0" w:space="0" w:color="auto"/>
                      </w:divBdr>
                      <w:divsChild>
                        <w:div w:id="294146784">
                          <w:marLeft w:val="0"/>
                          <w:marRight w:val="0"/>
                          <w:marTop w:val="0"/>
                          <w:marBottom w:val="0"/>
                          <w:divBdr>
                            <w:top w:val="none" w:sz="0" w:space="0" w:color="auto"/>
                            <w:left w:val="none" w:sz="0" w:space="0" w:color="auto"/>
                            <w:bottom w:val="none" w:sz="0" w:space="0" w:color="auto"/>
                            <w:right w:val="none" w:sz="0" w:space="0" w:color="auto"/>
                          </w:divBdr>
                        </w:div>
                      </w:divsChild>
                    </w:div>
                    <w:div w:id="294154173">
                      <w:marLeft w:val="0"/>
                      <w:marRight w:val="0"/>
                      <w:marTop w:val="0"/>
                      <w:marBottom w:val="0"/>
                      <w:divBdr>
                        <w:top w:val="none" w:sz="0" w:space="0" w:color="auto"/>
                        <w:left w:val="none" w:sz="0" w:space="0" w:color="auto"/>
                        <w:bottom w:val="none" w:sz="0" w:space="0" w:color="auto"/>
                        <w:right w:val="none" w:sz="0" w:space="0" w:color="auto"/>
                      </w:divBdr>
                    </w:div>
                    <w:div w:id="294154209">
                      <w:marLeft w:val="0"/>
                      <w:marRight w:val="0"/>
                      <w:marTop w:val="0"/>
                      <w:marBottom w:val="0"/>
                      <w:divBdr>
                        <w:top w:val="none" w:sz="0" w:space="0" w:color="auto"/>
                        <w:left w:val="none" w:sz="0" w:space="0" w:color="auto"/>
                        <w:bottom w:val="none" w:sz="0" w:space="0" w:color="auto"/>
                        <w:right w:val="none" w:sz="0" w:space="0" w:color="auto"/>
                      </w:divBdr>
                    </w:div>
                    <w:div w:id="294154293">
                      <w:marLeft w:val="0"/>
                      <w:marRight w:val="0"/>
                      <w:marTop w:val="0"/>
                      <w:marBottom w:val="0"/>
                      <w:divBdr>
                        <w:top w:val="none" w:sz="0" w:space="0" w:color="auto"/>
                        <w:left w:val="none" w:sz="0" w:space="0" w:color="auto"/>
                        <w:bottom w:val="none" w:sz="0" w:space="0" w:color="auto"/>
                        <w:right w:val="none" w:sz="0" w:space="0" w:color="auto"/>
                      </w:divBdr>
                    </w:div>
                    <w:div w:id="294154303">
                      <w:marLeft w:val="0"/>
                      <w:marRight w:val="0"/>
                      <w:marTop w:val="0"/>
                      <w:marBottom w:val="0"/>
                      <w:divBdr>
                        <w:top w:val="none" w:sz="0" w:space="0" w:color="auto"/>
                        <w:left w:val="none" w:sz="0" w:space="0" w:color="auto"/>
                        <w:bottom w:val="none" w:sz="0" w:space="0" w:color="auto"/>
                        <w:right w:val="none" w:sz="0" w:space="0" w:color="auto"/>
                      </w:divBdr>
                    </w:div>
                    <w:div w:id="294154317">
                      <w:marLeft w:val="0"/>
                      <w:marRight w:val="0"/>
                      <w:marTop w:val="0"/>
                      <w:marBottom w:val="0"/>
                      <w:divBdr>
                        <w:top w:val="none" w:sz="0" w:space="0" w:color="auto"/>
                        <w:left w:val="none" w:sz="0" w:space="0" w:color="auto"/>
                        <w:bottom w:val="none" w:sz="0" w:space="0" w:color="auto"/>
                        <w:right w:val="none" w:sz="0" w:space="0" w:color="auto"/>
                      </w:divBdr>
                    </w:div>
                    <w:div w:id="294154336">
                      <w:marLeft w:val="0"/>
                      <w:marRight w:val="0"/>
                      <w:marTop w:val="0"/>
                      <w:marBottom w:val="0"/>
                      <w:divBdr>
                        <w:top w:val="none" w:sz="0" w:space="0" w:color="auto"/>
                        <w:left w:val="none" w:sz="0" w:space="0" w:color="auto"/>
                        <w:bottom w:val="none" w:sz="0" w:space="0" w:color="auto"/>
                        <w:right w:val="none" w:sz="0" w:space="0" w:color="auto"/>
                      </w:divBdr>
                      <w:divsChild>
                        <w:div w:id="294156952">
                          <w:marLeft w:val="0"/>
                          <w:marRight w:val="0"/>
                          <w:marTop w:val="0"/>
                          <w:marBottom w:val="0"/>
                          <w:divBdr>
                            <w:top w:val="none" w:sz="0" w:space="0" w:color="auto"/>
                            <w:left w:val="none" w:sz="0" w:space="0" w:color="auto"/>
                            <w:bottom w:val="none" w:sz="0" w:space="0" w:color="auto"/>
                            <w:right w:val="none" w:sz="0" w:space="0" w:color="auto"/>
                          </w:divBdr>
                        </w:div>
                      </w:divsChild>
                    </w:div>
                    <w:div w:id="294154396">
                      <w:marLeft w:val="0"/>
                      <w:marRight w:val="0"/>
                      <w:marTop w:val="0"/>
                      <w:marBottom w:val="0"/>
                      <w:divBdr>
                        <w:top w:val="none" w:sz="0" w:space="0" w:color="auto"/>
                        <w:left w:val="none" w:sz="0" w:space="0" w:color="auto"/>
                        <w:bottom w:val="none" w:sz="0" w:space="0" w:color="auto"/>
                        <w:right w:val="none" w:sz="0" w:space="0" w:color="auto"/>
                      </w:divBdr>
                    </w:div>
                    <w:div w:id="294154499">
                      <w:marLeft w:val="0"/>
                      <w:marRight w:val="0"/>
                      <w:marTop w:val="0"/>
                      <w:marBottom w:val="0"/>
                      <w:divBdr>
                        <w:top w:val="none" w:sz="0" w:space="0" w:color="auto"/>
                        <w:left w:val="none" w:sz="0" w:space="0" w:color="auto"/>
                        <w:bottom w:val="none" w:sz="0" w:space="0" w:color="auto"/>
                        <w:right w:val="none" w:sz="0" w:space="0" w:color="auto"/>
                      </w:divBdr>
                    </w:div>
                    <w:div w:id="294154509">
                      <w:marLeft w:val="0"/>
                      <w:marRight w:val="0"/>
                      <w:marTop w:val="0"/>
                      <w:marBottom w:val="0"/>
                      <w:divBdr>
                        <w:top w:val="none" w:sz="0" w:space="0" w:color="auto"/>
                        <w:left w:val="none" w:sz="0" w:space="0" w:color="auto"/>
                        <w:bottom w:val="none" w:sz="0" w:space="0" w:color="auto"/>
                        <w:right w:val="none" w:sz="0" w:space="0" w:color="auto"/>
                      </w:divBdr>
                      <w:divsChild>
                        <w:div w:id="294146417">
                          <w:marLeft w:val="0"/>
                          <w:marRight w:val="0"/>
                          <w:marTop w:val="0"/>
                          <w:marBottom w:val="0"/>
                          <w:divBdr>
                            <w:top w:val="none" w:sz="0" w:space="0" w:color="auto"/>
                            <w:left w:val="none" w:sz="0" w:space="0" w:color="auto"/>
                            <w:bottom w:val="none" w:sz="0" w:space="0" w:color="auto"/>
                            <w:right w:val="none" w:sz="0" w:space="0" w:color="auto"/>
                          </w:divBdr>
                        </w:div>
                      </w:divsChild>
                    </w:div>
                    <w:div w:id="294154572">
                      <w:marLeft w:val="0"/>
                      <w:marRight w:val="0"/>
                      <w:marTop w:val="0"/>
                      <w:marBottom w:val="0"/>
                      <w:divBdr>
                        <w:top w:val="none" w:sz="0" w:space="0" w:color="auto"/>
                        <w:left w:val="none" w:sz="0" w:space="0" w:color="auto"/>
                        <w:bottom w:val="none" w:sz="0" w:space="0" w:color="auto"/>
                        <w:right w:val="none" w:sz="0" w:space="0" w:color="auto"/>
                      </w:divBdr>
                    </w:div>
                    <w:div w:id="294154575">
                      <w:marLeft w:val="0"/>
                      <w:marRight w:val="0"/>
                      <w:marTop w:val="0"/>
                      <w:marBottom w:val="0"/>
                      <w:divBdr>
                        <w:top w:val="none" w:sz="0" w:space="0" w:color="auto"/>
                        <w:left w:val="none" w:sz="0" w:space="0" w:color="auto"/>
                        <w:bottom w:val="none" w:sz="0" w:space="0" w:color="auto"/>
                        <w:right w:val="none" w:sz="0" w:space="0" w:color="auto"/>
                      </w:divBdr>
                    </w:div>
                    <w:div w:id="294154742">
                      <w:marLeft w:val="0"/>
                      <w:marRight w:val="0"/>
                      <w:marTop w:val="0"/>
                      <w:marBottom w:val="0"/>
                      <w:divBdr>
                        <w:top w:val="none" w:sz="0" w:space="0" w:color="auto"/>
                        <w:left w:val="none" w:sz="0" w:space="0" w:color="auto"/>
                        <w:bottom w:val="none" w:sz="0" w:space="0" w:color="auto"/>
                        <w:right w:val="none" w:sz="0" w:space="0" w:color="auto"/>
                      </w:divBdr>
                      <w:divsChild>
                        <w:div w:id="294146429">
                          <w:marLeft w:val="0"/>
                          <w:marRight w:val="0"/>
                          <w:marTop w:val="0"/>
                          <w:marBottom w:val="0"/>
                          <w:divBdr>
                            <w:top w:val="none" w:sz="0" w:space="0" w:color="auto"/>
                            <w:left w:val="none" w:sz="0" w:space="0" w:color="auto"/>
                            <w:bottom w:val="none" w:sz="0" w:space="0" w:color="auto"/>
                            <w:right w:val="none" w:sz="0" w:space="0" w:color="auto"/>
                          </w:divBdr>
                        </w:div>
                      </w:divsChild>
                    </w:div>
                    <w:div w:id="294154814">
                      <w:marLeft w:val="0"/>
                      <w:marRight w:val="0"/>
                      <w:marTop w:val="0"/>
                      <w:marBottom w:val="0"/>
                      <w:divBdr>
                        <w:top w:val="none" w:sz="0" w:space="0" w:color="auto"/>
                        <w:left w:val="none" w:sz="0" w:space="0" w:color="auto"/>
                        <w:bottom w:val="none" w:sz="0" w:space="0" w:color="auto"/>
                        <w:right w:val="none" w:sz="0" w:space="0" w:color="auto"/>
                      </w:divBdr>
                    </w:div>
                    <w:div w:id="294154911">
                      <w:marLeft w:val="0"/>
                      <w:marRight w:val="0"/>
                      <w:marTop w:val="0"/>
                      <w:marBottom w:val="0"/>
                      <w:divBdr>
                        <w:top w:val="none" w:sz="0" w:space="0" w:color="auto"/>
                        <w:left w:val="none" w:sz="0" w:space="0" w:color="auto"/>
                        <w:bottom w:val="none" w:sz="0" w:space="0" w:color="auto"/>
                        <w:right w:val="none" w:sz="0" w:space="0" w:color="auto"/>
                      </w:divBdr>
                    </w:div>
                    <w:div w:id="294154943">
                      <w:marLeft w:val="0"/>
                      <w:marRight w:val="0"/>
                      <w:marTop w:val="0"/>
                      <w:marBottom w:val="0"/>
                      <w:divBdr>
                        <w:top w:val="none" w:sz="0" w:space="0" w:color="auto"/>
                        <w:left w:val="none" w:sz="0" w:space="0" w:color="auto"/>
                        <w:bottom w:val="none" w:sz="0" w:space="0" w:color="auto"/>
                        <w:right w:val="none" w:sz="0" w:space="0" w:color="auto"/>
                      </w:divBdr>
                    </w:div>
                    <w:div w:id="294154958">
                      <w:marLeft w:val="0"/>
                      <w:marRight w:val="0"/>
                      <w:marTop w:val="0"/>
                      <w:marBottom w:val="0"/>
                      <w:divBdr>
                        <w:top w:val="none" w:sz="0" w:space="0" w:color="auto"/>
                        <w:left w:val="none" w:sz="0" w:space="0" w:color="auto"/>
                        <w:bottom w:val="none" w:sz="0" w:space="0" w:color="auto"/>
                        <w:right w:val="none" w:sz="0" w:space="0" w:color="auto"/>
                      </w:divBdr>
                      <w:divsChild>
                        <w:div w:id="294148016">
                          <w:marLeft w:val="0"/>
                          <w:marRight w:val="0"/>
                          <w:marTop w:val="0"/>
                          <w:marBottom w:val="0"/>
                          <w:divBdr>
                            <w:top w:val="none" w:sz="0" w:space="0" w:color="auto"/>
                            <w:left w:val="none" w:sz="0" w:space="0" w:color="auto"/>
                            <w:bottom w:val="none" w:sz="0" w:space="0" w:color="auto"/>
                            <w:right w:val="none" w:sz="0" w:space="0" w:color="auto"/>
                          </w:divBdr>
                        </w:div>
                      </w:divsChild>
                    </w:div>
                    <w:div w:id="294154997">
                      <w:marLeft w:val="0"/>
                      <w:marRight w:val="0"/>
                      <w:marTop w:val="0"/>
                      <w:marBottom w:val="0"/>
                      <w:divBdr>
                        <w:top w:val="none" w:sz="0" w:space="0" w:color="auto"/>
                        <w:left w:val="none" w:sz="0" w:space="0" w:color="auto"/>
                        <w:bottom w:val="none" w:sz="0" w:space="0" w:color="auto"/>
                        <w:right w:val="none" w:sz="0" w:space="0" w:color="auto"/>
                      </w:divBdr>
                    </w:div>
                    <w:div w:id="294155005">
                      <w:marLeft w:val="0"/>
                      <w:marRight w:val="0"/>
                      <w:marTop w:val="0"/>
                      <w:marBottom w:val="0"/>
                      <w:divBdr>
                        <w:top w:val="none" w:sz="0" w:space="0" w:color="auto"/>
                        <w:left w:val="none" w:sz="0" w:space="0" w:color="auto"/>
                        <w:bottom w:val="none" w:sz="0" w:space="0" w:color="auto"/>
                        <w:right w:val="none" w:sz="0" w:space="0" w:color="auto"/>
                      </w:divBdr>
                    </w:div>
                    <w:div w:id="294155065">
                      <w:marLeft w:val="0"/>
                      <w:marRight w:val="0"/>
                      <w:marTop w:val="0"/>
                      <w:marBottom w:val="0"/>
                      <w:divBdr>
                        <w:top w:val="none" w:sz="0" w:space="0" w:color="auto"/>
                        <w:left w:val="none" w:sz="0" w:space="0" w:color="auto"/>
                        <w:bottom w:val="none" w:sz="0" w:space="0" w:color="auto"/>
                        <w:right w:val="none" w:sz="0" w:space="0" w:color="auto"/>
                      </w:divBdr>
                    </w:div>
                    <w:div w:id="294155080">
                      <w:marLeft w:val="0"/>
                      <w:marRight w:val="0"/>
                      <w:marTop w:val="0"/>
                      <w:marBottom w:val="0"/>
                      <w:divBdr>
                        <w:top w:val="none" w:sz="0" w:space="0" w:color="auto"/>
                        <w:left w:val="none" w:sz="0" w:space="0" w:color="auto"/>
                        <w:bottom w:val="none" w:sz="0" w:space="0" w:color="auto"/>
                        <w:right w:val="none" w:sz="0" w:space="0" w:color="auto"/>
                      </w:divBdr>
                    </w:div>
                    <w:div w:id="294155085">
                      <w:marLeft w:val="0"/>
                      <w:marRight w:val="0"/>
                      <w:marTop w:val="0"/>
                      <w:marBottom w:val="0"/>
                      <w:divBdr>
                        <w:top w:val="none" w:sz="0" w:space="0" w:color="auto"/>
                        <w:left w:val="none" w:sz="0" w:space="0" w:color="auto"/>
                        <w:bottom w:val="none" w:sz="0" w:space="0" w:color="auto"/>
                        <w:right w:val="none" w:sz="0" w:space="0" w:color="auto"/>
                      </w:divBdr>
                      <w:divsChild>
                        <w:div w:id="294157125">
                          <w:marLeft w:val="0"/>
                          <w:marRight w:val="0"/>
                          <w:marTop w:val="0"/>
                          <w:marBottom w:val="0"/>
                          <w:divBdr>
                            <w:top w:val="none" w:sz="0" w:space="0" w:color="auto"/>
                            <w:left w:val="none" w:sz="0" w:space="0" w:color="auto"/>
                            <w:bottom w:val="none" w:sz="0" w:space="0" w:color="auto"/>
                            <w:right w:val="none" w:sz="0" w:space="0" w:color="auto"/>
                          </w:divBdr>
                        </w:div>
                      </w:divsChild>
                    </w:div>
                    <w:div w:id="294155130">
                      <w:marLeft w:val="0"/>
                      <w:marRight w:val="0"/>
                      <w:marTop w:val="0"/>
                      <w:marBottom w:val="0"/>
                      <w:divBdr>
                        <w:top w:val="none" w:sz="0" w:space="0" w:color="auto"/>
                        <w:left w:val="none" w:sz="0" w:space="0" w:color="auto"/>
                        <w:bottom w:val="none" w:sz="0" w:space="0" w:color="auto"/>
                        <w:right w:val="none" w:sz="0" w:space="0" w:color="auto"/>
                      </w:divBdr>
                    </w:div>
                    <w:div w:id="294155132">
                      <w:marLeft w:val="0"/>
                      <w:marRight w:val="0"/>
                      <w:marTop w:val="0"/>
                      <w:marBottom w:val="0"/>
                      <w:divBdr>
                        <w:top w:val="none" w:sz="0" w:space="0" w:color="auto"/>
                        <w:left w:val="none" w:sz="0" w:space="0" w:color="auto"/>
                        <w:bottom w:val="none" w:sz="0" w:space="0" w:color="auto"/>
                        <w:right w:val="none" w:sz="0" w:space="0" w:color="auto"/>
                      </w:divBdr>
                    </w:div>
                    <w:div w:id="294155246">
                      <w:marLeft w:val="0"/>
                      <w:marRight w:val="0"/>
                      <w:marTop w:val="0"/>
                      <w:marBottom w:val="0"/>
                      <w:divBdr>
                        <w:top w:val="none" w:sz="0" w:space="0" w:color="auto"/>
                        <w:left w:val="none" w:sz="0" w:space="0" w:color="auto"/>
                        <w:bottom w:val="none" w:sz="0" w:space="0" w:color="auto"/>
                        <w:right w:val="none" w:sz="0" w:space="0" w:color="auto"/>
                      </w:divBdr>
                    </w:div>
                    <w:div w:id="294155264">
                      <w:marLeft w:val="0"/>
                      <w:marRight w:val="0"/>
                      <w:marTop w:val="0"/>
                      <w:marBottom w:val="0"/>
                      <w:divBdr>
                        <w:top w:val="none" w:sz="0" w:space="0" w:color="auto"/>
                        <w:left w:val="none" w:sz="0" w:space="0" w:color="auto"/>
                        <w:bottom w:val="none" w:sz="0" w:space="0" w:color="auto"/>
                        <w:right w:val="none" w:sz="0" w:space="0" w:color="auto"/>
                      </w:divBdr>
                      <w:divsChild>
                        <w:div w:id="294155561">
                          <w:marLeft w:val="0"/>
                          <w:marRight w:val="0"/>
                          <w:marTop w:val="0"/>
                          <w:marBottom w:val="0"/>
                          <w:divBdr>
                            <w:top w:val="none" w:sz="0" w:space="0" w:color="auto"/>
                            <w:left w:val="none" w:sz="0" w:space="0" w:color="auto"/>
                            <w:bottom w:val="none" w:sz="0" w:space="0" w:color="auto"/>
                            <w:right w:val="none" w:sz="0" w:space="0" w:color="auto"/>
                          </w:divBdr>
                        </w:div>
                      </w:divsChild>
                    </w:div>
                    <w:div w:id="294155320">
                      <w:marLeft w:val="0"/>
                      <w:marRight w:val="0"/>
                      <w:marTop w:val="0"/>
                      <w:marBottom w:val="0"/>
                      <w:divBdr>
                        <w:top w:val="none" w:sz="0" w:space="0" w:color="auto"/>
                        <w:left w:val="none" w:sz="0" w:space="0" w:color="auto"/>
                        <w:bottom w:val="none" w:sz="0" w:space="0" w:color="auto"/>
                        <w:right w:val="none" w:sz="0" w:space="0" w:color="auto"/>
                      </w:divBdr>
                      <w:divsChild>
                        <w:div w:id="294143292">
                          <w:marLeft w:val="0"/>
                          <w:marRight w:val="0"/>
                          <w:marTop w:val="0"/>
                          <w:marBottom w:val="0"/>
                          <w:divBdr>
                            <w:top w:val="none" w:sz="0" w:space="0" w:color="auto"/>
                            <w:left w:val="none" w:sz="0" w:space="0" w:color="auto"/>
                            <w:bottom w:val="none" w:sz="0" w:space="0" w:color="auto"/>
                            <w:right w:val="none" w:sz="0" w:space="0" w:color="auto"/>
                          </w:divBdr>
                        </w:div>
                      </w:divsChild>
                    </w:div>
                    <w:div w:id="294155359">
                      <w:marLeft w:val="0"/>
                      <w:marRight w:val="0"/>
                      <w:marTop w:val="0"/>
                      <w:marBottom w:val="0"/>
                      <w:divBdr>
                        <w:top w:val="none" w:sz="0" w:space="0" w:color="auto"/>
                        <w:left w:val="none" w:sz="0" w:space="0" w:color="auto"/>
                        <w:bottom w:val="none" w:sz="0" w:space="0" w:color="auto"/>
                        <w:right w:val="none" w:sz="0" w:space="0" w:color="auto"/>
                      </w:divBdr>
                    </w:div>
                    <w:div w:id="294155434">
                      <w:marLeft w:val="0"/>
                      <w:marRight w:val="0"/>
                      <w:marTop w:val="0"/>
                      <w:marBottom w:val="0"/>
                      <w:divBdr>
                        <w:top w:val="none" w:sz="0" w:space="0" w:color="auto"/>
                        <w:left w:val="none" w:sz="0" w:space="0" w:color="auto"/>
                        <w:bottom w:val="none" w:sz="0" w:space="0" w:color="auto"/>
                        <w:right w:val="none" w:sz="0" w:space="0" w:color="auto"/>
                      </w:divBdr>
                      <w:divsChild>
                        <w:div w:id="294146110">
                          <w:marLeft w:val="0"/>
                          <w:marRight w:val="0"/>
                          <w:marTop w:val="0"/>
                          <w:marBottom w:val="0"/>
                          <w:divBdr>
                            <w:top w:val="none" w:sz="0" w:space="0" w:color="auto"/>
                            <w:left w:val="none" w:sz="0" w:space="0" w:color="auto"/>
                            <w:bottom w:val="none" w:sz="0" w:space="0" w:color="auto"/>
                            <w:right w:val="none" w:sz="0" w:space="0" w:color="auto"/>
                          </w:divBdr>
                        </w:div>
                      </w:divsChild>
                    </w:div>
                    <w:div w:id="294155464">
                      <w:marLeft w:val="0"/>
                      <w:marRight w:val="0"/>
                      <w:marTop w:val="0"/>
                      <w:marBottom w:val="0"/>
                      <w:divBdr>
                        <w:top w:val="none" w:sz="0" w:space="0" w:color="auto"/>
                        <w:left w:val="none" w:sz="0" w:space="0" w:color="auto"/>
                        <w:bottom w:val="none" w:sz="0" w:space="0" w:color="auto"/>
                        <w:right w:val="none" w:sz="0" w:space="0" w:color="auto"/>
                      </w:divBdr>
                    </w:div>
                    <w:div w:id="294155511">
                      <w:marLeft w:val="0"/>
                      <w:marRight w:val="0"/>
                      <w:marTop w:val="0"/>
                      <w:marBottom w:val="0"/>
                      <w:divBdr>
                        <w:top w:val="none" w:sz="0" w:space="0" w:color="auto"/>
                        <w:left w:val="none" w:sz="0" w:space="0" w:color="auto"/>
                        <w:bottom w:val="none" w:sz="0" w:space="0" w:color="auto"/>
                        <w:right w:val="none" w:sz="0" w:space="0" w:color="auto"/>
                      </w:divBdr>
                      <w:divsChild>
                        <w:div w:id="294150555">
                          <w:marLeft w:val="0"/>
                          <w:marRight w:val="0"/>
                          <w:marTop w:val="0"/>
                          <w:marBottom w:val="0"/>
                          <w:divBdr>
                            <w:top w:val="none" w:sz="0" w:space="0" w:color="auto"/>
                            <w:left w:val="none" w:sz="0" w:space="0" w:color="auto"/>
                            <w:bottom w:val="none" w:sz="0" w:space="0" w:color="auto"/>
                            <w:right w:val="none" w:sz="0" w:space="0" w:color="auto"/>
                          </w:divBdr>
                        </w:div>
                      </w:divsChild>
                    </w:div>
                    <w:div w:id="294155569">
                      <w:marLeft w:val="0"/>
                      <w:marRight w:val="0"/>
                      <w:marTop w:val="0"/>
                      <w:marBottom w:val="0"/>
                      <w:divBdr>
                        <w:top w:val="none" w:sz="0" w:space="0" w:color="auto"/>
                        <w:left w:val="none" w:sz="0" w:space="0" w:color="auto"/>
                        <w:bottom w:val="none" w:sz="0" w:space="0" w:color="auto"/>
                        <w:right w:val="none" w:sz="0" w:space="0" w:color="auto"/>
                      </w:divBdr>
                      <w:divsChild>
                        <w:div w:id="294138419">
                          <w:marLeft w:val="0"/>
                          <w:marRight w:val="0"/>
                          <w:marTop w:val="0"/>
                          <w:marBottom w:val="0"/>
                          <w:divBdr>
                            <w:top w:val="none" w:sz="0" w:space="0" w:color="auto"/>
                            <w:left w:val="none" w:sz="0" w:space="0" w:color="auto"/>
                            <w:bottom w:val="none" w:sz="0" w:space="0" w:color="auto"/>
                            <w:right w:val="none" w:sz="0" w:space="0" w:color="auto"/>
                          </w:divBdr>
                        </w:div>
                      </w:divsChild>
                    </w:div>
                    <w:div w:id="294155611">
                      <w:marLeft w:val="0"/>
                      <w:marRight w:val="0"/>
                      <w:marTop w:val="0"/>
                      <w:marBottom w:val="0"/>
                      <w:divBdr>
                        <w:top w:val="none" w:sz="0" w:space="0" w:color="auto"/>
                        <w:left w:val="none" w:sz="0" w:space="0" w:color="auto"/>
                        <w:bottom w:val="none" w:sz="0" w:space="0" w:color="auto"/>
                        <w:right w:val="none" w:sz="0" w:space="0" w:color="auto"/>
                      </w:divBdr>
                    </w:div>
                    <w:div w:id="294155651">
                      <w:marLeft w:val="0"/>
                      <w:marRight w:val="0"/>
                      <w:marTop w:val="0"/>
                      <w:marBottom w:val="0"/>
                      <w:divBdr>
                        <w:top w:val="none" w:sz="0" w:space="0" w:color="auto"/>
                        <w:left w:val="none" w:sz="0" w:space="0" w:color="auto"/>
                        <w:bottom w:val="none" w:sz="0" w:space="0" w:color="auto"/>
                        <w:right w:val="none" w:sz="0" w:space="0" w:color="auto"/>
                      </w:divBdr>
                      <w:divsChild>
                        <w:div w:id="294141841">
                          <w:marLeft w:val="0"/>
                          <w:marRight w:val="0"/>
                          <w:marTop w:val="0"/>
                          <w:marBottom w:val="0"/>
                          <w:divBdr>
                            <w:top w:val="none" w:sz="0" w:space="0" w:color="auto"/>
                            <w:left w:val="none" w:sz="0" w:space="0" w:color="auto"/>
                            <w:bottom w:val="none" w:sz="0" w:space="0" w:color="auto"/>
                            <w:right w:val="none" w:sz="0" w:space="0" w:color="auto"/>
                          </w:divBdr>
                        </w:div>
                      </w:divsChild>
                    </w:div>
                    <w:div w:id="294155657">
                      <w:marLeft w:val="0"/>
                      <w:marRight w:val="0"/>
                      <w:marTop w:val="0"/>
                      <w:marBottom w:val="0"/>
                      <w:divBdr>
                        <w:top w:val="none" w:sz="0" w:space="0" w:color="auto"/>
                        <w:left w:val="none" w:sz="0" w:space="0" w:color="auto"/>
                        <w:bottom w:val="none" w:sz="0" w:space="0" w:color="auto"/>
                        <w:right w:val="none" w:sz="0" w:space="0" w:color="auto"/>
                      </w:divBdr>
                      <w:divsChild>
                        <w:div w:id="294142409">
                          <w:marLeft w:val="0"/>
                          <w:marRight w:val="0"/>
                          <w:marTop w:val="0"/>
                          <w:marBottom w:val="0"/>
                          <w:divBdr>
                            <w:top w:val="none" w:sz="0" w:space="0" w:color="auto"/>
                            <w:left w:val="none" w:sz="0" w:space="0" w:color="auto"/>
                            <w:bottom w:val="none" w:sz="0" w:space="0" w:color="auto"/>
                            <w:right w:val="none" w:sz="0" w:space="0" w:color="auto"/>
                          </w:divBdr>
                        </w:div>
                      </w:divsChild>
                    </w:div>
                    <w:div w:id="294155675">
                      <w:marLeft w:val="0"/>
                      <w:marRight w:val="0"/>
                      <w:marTop w:val="0"/>
                      <w:marBottom w:val="0"/>
                      <w:divBdr>
                        <w:top w:val="none" w:sz="0" w:space="0" w:color="auto"/>
                        <w:left w:val="none" w:sz="0" w:space="0" w:color="auto"/>
                        <w:bottom w:val="none" w:sz="0" w:space="0" w:color="auto"/>
                        <w:right w:val="none" w:sz="0" w:space="0" w:color="auto"/>
                      </w:divBdr>
                      <w:divsChild>
                        <w:div w:id="294146694">
                          <w:marLeft w:val="0"/>
                          <w:marRight w:val="0"/>
                          <w:marTop w:val="0"/>
                          <w:marBottom w:val="0"/>
                          <w:divBdr>
                            <w:top w:val="none" w:sz="0" w:space="0" w:color="auto"/>
                            <w:left w:val="none" w:sz="0" w:space="0" w:color="auto"/>
                            <w:bottom w:val="none" w:sz="0" w:space="0" w:color="auto"/>
                            <w:right w:val="none" w:sz="0" w:space="0" w:color="auto"/>
                          </w:divBdr>
                        </w:div>
                      </w:divsChild>
                    </w:div>
                    <w:div w:id="294155713">
                      <w:marLeft w:val="0"/>
                      <w:marRight w:val="0"/>
                      <w:marTop w:val="0"/>
                      <w:marBottom w:val="0"/>
                      <w:divBdr>
                        <w:top w:val="none" w:sz="0" w:space="0" w:color="auto"/>
                        <w:left w:val="none" w:sz="0" w:space="0" w:color="auto"/>
                        <w:bottom w:val="none" w:sz="0" w:space="0" w:color="auto"/>
                        <w:right w:val="none" w:sz="0" w:space="0" w:color="auto"/>
                      </w:divBdr>
                    </w:div>
                    <w:div w:id="294155837">
                      <w:marLeft w:val="0"/>
                      <w:marRight w:val="0"/>
                      <w:marTop w:val="0"/>
                      <w:marBottom w:val="0"/>
                      <w:divBdr>
                        <w:top w:val="none" w:sz="0" w:space="0" w:color="auto"/>
                        <w:left w:val="none" w:sz="0" w:space="0" w:color="auto"/>
                        <w:bottom w:val="none" w:sz="0" w:space="0" w:color="auto"/>
                        <w:right w:val="none" w:sz="0" w:space="0" w:color="auto"/>
                      </w:divBdr>
                      <w:divsChild>
                        <w:div w:id="294153140">
                          <w:marLeft w:val="0"/>
                          <w:marRight w:val="0"/>
                          <w:marTop w:val="0"/>
                          <w:marBottom w:val="0"/>
                          <w:divBdr>
                            <w:top w:val="none" w:sz="0" w:space="0" w:color="auto"/>
                            <w:left w:val="none" w:sz="0" w:space="0" w:color="auto"/>
                            <w:bottom w:val="none" w:sz="0" w:space="0" w:color="auto"/>
                            <w:right w:val="none" w:sz="0" w:space="0" w:color="auto"/>
                          </w:divBdr>
                        </w:div>
                      </w:divsChild>
                    </w:div>
                    <w:div w:id="294155847">
                      <w:marLeft w:val="0"/>
                      <w:marRight w:val="0"/>
                      <w:marTop w:val="0"/>
                      <w:marBottom w:val="0"/>
                      <w:divBdr>
                        <w:top w:val="none" w:sz="0" w:space="0" w:color="auto"/>
                        <w:left w:val="none" w:sz="0" w:space="0" w:color="auto"/>
                        <w:bottom w:val="none" w:sz="0" w:space="0" w:color="auto"/>
                        <w:right w:val="none" w:sz="0" w:space="0" w:color="auto"/>
                      </w:divBdr>
                      <w:divsChild>
                        <w:div w:id="294152007">
                          <w:marLeft w:val="0"/>
                          <w:marRight w:val="0"/>
                          <w:marTop w:val="0"/>
                          <w:marBottom w:val="0"/>
                          <w:divBdr>
                            <w:top w:val="none" w:sz="0" w:space="0" w:color="auto"/>
                            <w:left w:val="none" w:sz="0" w:space="0" w:color="auto"/>
                            <w:bottom w:val="none" w:sz="0" w:space="0" w:color="auto"/>
                            <w:right w:val="none" w:sz="0" w:space="0" w:color="auto"/>
                          </w:divBdr>
                        </w:div>
                      </w:divsChild>
                    </w:div>
                    <w:div w:id="294155867">
                      <w:marLeft w:val="0"/>
                      <w:marRight w:val="0"/>
                      <w:marTop w:val="0"/>
                      <w:marBottom w:val="0"/>
                      <w:divBdr>
                        <w:top w:val="none" w:sz="0" w:space="0" w:color="auto"/>
                        <w:left w:val="none" w:sz="0" w:space="0" w:color="auto"/>
                        <w:bottom w:val="none" w:sz="0" w:space="0" w:color="auto"/>
                        <w:right w:val="none" w:sz="0" w:space="0" w:color="auto"/>
                      </w:divBdr>
                      <w:divsChild>
                        <w:div w:id="294148008">
                          <w:marLeft w:val="0"/>
                          <w:marRight w:val="0"/>
                          <w:marTop w:val="0"/>
                          <w:marBottom w:val="0"/>
                          <w:divBdr>
                            <w:top w:val="none" w:sz="0" w:space="0" w:color="auto"/>
                            <w:left w:val="none" w:sz="0" w:space="0" w:color="auto"/>
                            <w:bottom w:val="none" w:sz="0" w:space="0" w:color="auto"/>
                            <w:right w:val="none" w:sz="0" w:space="0" w:color="auto"/>
                          </w:divBdr>
                        </w:div>
                      </w:divsChild>
                    </w:div>
                    <w:div w:id="294155871">
                      <w:marLeft w:val="0"/>
                      <w:marRight w:val="0"/>
                      <w:marTop w:val="0"/>
                      <w:marBottom w:val="0"/>
                      <w:divBdr>
                        <w:top w:val="none" w:sz="0" w:space="0" w:color="auto"/>
                        <w:left w:val="none" w:sz="0" w:space="0" w:color="auto"/>
                        <w:bottom w:val="none" w:sz="0" w:space="0" w:color="auto"/>
                        <w:right w:val="none" w:sz="0" w:space="0" w:color="auto"/>
                      </w:divBdr>
                    </w:div>
                    <w:div w:id="294155873">
                      <w:marLeft w:val="0"/>
                      <w:marRight w:val="0"/>
                      <w:marTop w:val="0"/>
                      <w:marBottom w:val="0"/>
                      <w:divBdr>
                        <w:top w:val="none" w:sz="0" w:space="0" w:color="auto"/>
                        <w:left w:val="none" w:sz="0" w:space="0" w:color="auto"/>
                        <w:bottom w:val="none" w:sz="0" w:space="0" w:color="auto"/>
                        <w:right w:val="none" w:sz="0" w:space="0" w:color="auto"/>
                      </w:divBdr>
                      <w:divsChild>
                        <w:div w:id="294139361">
                          <w:marLeft w:val="0"/>
                          <w:marRight w:val="0"/>
                          <w:marTop w:val="0"/>
                          <w:marBottom w:val="0"/>
                          <w:divBdr>
                            <w:top w:val="none" w:sz="0" w:space="0" w:color="auto"/>
                            <w:left w:val="none" w:sz="0" w:space="0" w:color="auto"/>
                            <w:bottom w:val="none" w:sz="0" w:space="0" w:color="auto"/>
                            <w:right w:val="none" w:sz="0" w:space="0" w:color="auto"/>
                          </w:divBdr>
                        </w:div>
                      </w:divsChild>
                    </w:div>
                    <w:div w:id="294155946">
                      <w:marLeft w:val="0"/>
                      <w:marRight w:val="0"/>
                      <w:marTop w:val="0"/>
                      <w:marBottom w:val="0"/>
                      <w:divBdr>
                        <w:top w:val="none" w:sz="0" w:space="0" w:color="auto"/>
                        <w:left w:val="none" w:sz="0" w:space="0" w:color="auto"/>
                        <w:bottom w:val="none" w:sz="0" w:space="0" w:color="auto"/>
                        <w:right w:val="none" w:sz="0" w:space="0" w:color="auto"/>
                      </w:divBdr>
                      <w:divsChild>
                        <w:div w:id="294152728">
                          <w:marLeft w:val="0"/>
                          <w:marRight w:val="0"/>
                          <w:marTop w:val="0"/>
                          <w:marBottom w:val="0"/>
                          <w:divBdr>
                            <w:top w:val="none" w:sz="0" w:space="0" w:color="auto"/>
                            <w:left w:val="none" w:sz="0" w:space="0" w:color="auto"/>
                            <w:bottom w:val="none" w:sz="0" w:space="0" w:color="auto"/>
                            <w:right w:val="none" w:sz="0" w:space="0" w:color="auto"/>
                          </w:divBdr>
                        </w:div>
                      </w:divsChild>
                    </w:div>
                    <w:div w:id="294155950">
                      <w:marLeft w:val="0"/>
                      <w:marRight w:val="0"/>
                      <w:marTop w:val="0"/>
                      <w:marBottom w:val="0"/>
                      <w:divBdr>
                        <w:top w:val="none" w:sz="0" w:space="0" w:color="auto"/>
                        <w:left w:val="none" w:sz="0" w:space="0" w:color="auto"/>
                        <w:bottom w:val="none" w:sz="0" w:space="0" w:color="auto"/>
                        <w:right w:val="none" w:sz="0" w:space="0" w:color="auto"/>
                      </w:divBdr>
                    </w:div>
                    <w:div w:id="294155977">
                      <w:marLeft w:val="0"/>
                      <w:marRight w:val="0"/>
                      <w:marTop w:val="0"/>
                      <w:marBottom w:val="0"/>
                      <w:divBdr>
                        <w:top w:val="none" w:sz="0" w:space="0" w:color="auto"/>
                        <w:left w:val="none" w:sz="0" w:space="0" w:color="auto"/>
                        <w:bottom w:val="none" w:sz="0" w:space="0" w:color="auto"/>
                        <w:right w:val="none" w:sz="0" w:space="0" w:color="auto"/>
                      </w:divBdr>
                    </w:div>
                    <w:div w:id="294155993">
                      <w:marLeft w:val="0"/>
                      <w:marRight w:val="0"/>
                      <w:marTop w:val="0"/>
                      <w:marBottom w:val="0"/>
                      <w:divBdr>
                        <w:top w:val="none" w:sz="0" w:space="0" w:color="auto"/>
                        <w:left w:val="none" w:sz="0" w:space="0" w:color="auto"/>
                        <w:bottom w:val="none" w:sz="0" w:space="0" w:color="auto"/>
                        <w:right w:val="none" w:sz="0" w:space="0" w:color="auto"/>
                      </w:divBdr>
                      <w:divsChild>
                        <w:div w:id="294155844">
                          <w:marLeft w:val="0"/>
                          <w:marRight w:val="0"/>
                          <w:marTop w:val="0"/>
                          <w:marBottom w:val="0"/>
                          <w:divBdr>
                            <w:top w:val="none" w:sz="0" w:space="0" w:color="auto"/>
                            <w:left w:val="none" w:sz="0" w:space="0" w:color="auto"/>
                            <w:bottom w:val="none" w:sz="0" w:space="0" w:color="auto"/>
                            <w:right w:val="none" w:sz="0" w:space="0" w:color="auto"/>
                          </w:divBdr>
                        </w:div>
                      </w:divsChild>
                    </w:div>
                    <w:div w:id="294155995">
                      <w:marLeft w:val="0"/>
                      <w:marRight w:val="0"/>
                      <w:marTop w:val="0"/>
                      <w:marBottom w:val="0"/>
                      <w:divBdr>
                        <w:top w:val="none" w:sz="0" w:space="0" w:color="auto"/>
                        <w:left w:val="none" w:sz="0" w:space="0" w:color="auto"/>
                        <w:bottom w:val="none" w:sz="0" w:space="0" w:color="auto"/>
                        <w:right w:val="none" w:sz="0" w:space="0" w:color="auto"/>
                      </w:divBdr>
                    </w:div>
                    <w:div w:id="294156037">
                      <w:marLeft w:val="0"/>
                      <w:marRight w:val="0"/>
                      <w:marTop w:val="0"/>
                      <w:marBottom w:val="0"/>
                      <w:divBdr>
                        <w:top w:val="none" w:sz="0" w:space="0" w:color="auto"/>
                        <w:left w:val="none" w:sz="0" w:space="0" w:color="auto"/>
                        <w:bottom w:val="none" w:sz="0" w:space="0" w:color="auto"/>
                        <w:right w:val="none" w:sz="0" w:space="0" w:color="auto"/>
                      </w:divBdr>
                    </w:div>
                    <w:div w:id="294156054">
                      <w:marLeft w:val="0"/>
                      <w:marRight w:val="0"/>
                      <w:marTop w:val="0"/>
                      <w:marBottom w:val="0"/>
                      <w:divBdr>
                        <w:top w:val="none" w:sz="0" w:space="0" w:color="auto"/>
                        <w:left w:val="none" w:sz="0" w:space="0" w:color="auto"/>
                        <w:bottom w:val="none" w:sz="0" w:space="0" w:color="auto"/>
                        <w:right w:val="none" w:sz="0" w:space="0" w:color="auto"/>
                      </w:divBdr>
                      <w:divsChild>
                        <w:div w:id="294151513">
                          <w:marLeft w:val="0"/>
                          <w:marRight w:val="0"/>
                          <w:marTop w:val="0"/>
                          <w:marBottom w:val="0"/>
                          <w:divBdr>
                            <w:top w:val="none" w:sz="0" w:space="0" w:color="auto"/>
                            <w:left w:val="none" w:sz="0" w:space="0" w:color="auto"/>
                            <w:bottom w:val="none" w:sz="0" w:space="0" w:color="auto"/>
                            <w:right w:val="none" w:sz="0" w:space="0" w:color="auto"/>
                          </w:divBdr>
                        </w:div>
                      </w:divsChild>
                    </w:div>
                    <w:div w:id="294156088">
                      <w:marLeft w:val="0"/>
                      <w:marRight w:val="0"/>
                      <w:marTop w:val="0"/>
                      <w:marBottom w:val="0"/>
                      <w:divBdr>
                        <w:top w:val="none" w:sz="0" w:space="0" w:color="auto"/>
                        <w:left w:val="none" w:sz="0" w:space="0" w:color="auto"/>
                        <w:bottom w:val="none" w:sz="0" w:space="0" w:color="auto"/>
                        <w:right w:val="none" w:sz="0" w:space="0" w:color="auto"/>
                      </w:divBdr>
                    </w:div>
                    <w:div w:id="294156256">
                      <w:marLeft w:val="0"/>
                      <w:marRight w:val="0"/>
                      <w:marTop w:val="0"/>
                      <w:marBottom w:val="0"/>
                      <w:divBdr>
                        <w:top w:val="none" w:sz="0" w:space="0" w:color="auto"/>
                        <w:left w:val="none" w:sz="0" w:space="0" w:color="auto"/>
                        <w:bottom w:val="none" w:sz="0" w:space="0" w:color="auto"/>
                        <w:right w:val="none" w:sz="0" w:space="0" w:color="auto"/>
                      </w:divBdr>
                      <w:divsChild>
                        <w:div w:id="294154897">
                          <w:marLeft w:val="0"/>
                          <w:marRight w:val="0"/>
                          <w:marTop w:val="0"/>
                          <w:marBottom w:val="0"/>
                          <w:divBdr>
                            <w:top w:val="none" w:sz="0" w:space="0" w:color="auto"/>
                            <w:left w:val="none" w:sz="0" w:space="0" w:color="auto"/>
                            <w:bottom w:val="none" w:sz="0" w:space="0" w:color="auto"/>
                            <w:right w:val="none" w:sz="0" w:space="0" w:color="auto"/>
                          </w:divBdr>
                        </w:div>
                      </w:divsChild>
                    </w:div>
                    <w:div w:id="294156260">
                      <w:marLeft w:val="0"/>
                      <w:marRight w:val="0"/>
                      <w:marTop w:val="0"/>
                      <w:marBottom w:val="0"/>
                      <w:divBdr>
                        <w:top w:val="none" w:sz="0" w:space="0" w:color="auto"/>
                        <w:left w:val="none" w:sz="0" w:space="0" w:color="auto"/>
                        <w:bottom w:val="none" w:sz="0" w:space="0" w:color="auto"/>
                        <w:right w:val="none" w:sz="0" w:space="0" w:color="auto"/>
                      </w:divBdr>
                    </w:div>
                    <w:div w:id="294156451">
                      <w:marLeft w:val="0"/>
                      <w:marRight w:val="0"/>
                      <w:marTop w:val="0"/>
                      <w:marBottom w:val="0"/>
                      <w:divBdr>
                        <w:top w:val="none" w:sz="0" w:space="0" w:color="auto"/>
                        <w:left w:val="none" w:sz="0" w:space="0" w:color="auto"/>
                        <w:bottom w:val="none" w:sz="0" w:space="0" w:color="auto"/>
                        <w:right w:val="none" w:sz="0" w:space="0" w:color="auto"/>
                      </w:divBdr>
                      <w:divsChild>
                        <w:div w:id="294144206">
                          <w:marLeft w:val="0"/>
                          <w:marRight w:val="0"/>
                          <w:marTop w:val="0"/>
                          <w:marBottom w:val="0"/>
                          <w:divBdr>
                            <w:top w:val="none" w:sz="0" w:space="0" w:color="auto"/>
                            <w:left w:val="none" w:sz="0" w:space="0" w:color="auto"/>
                            <w:bottom w:val="none" w:sz="0" w:space="0" w:color="auto"/>
                            <w:right w:val="none" w:sz="0" w:space="0" w:color="auto"/>
                          </w:divBdr>
                        </w:div>
                      </w:divsChild>
                    </w:div>
                    <w:div w:id="294156461">
                      <w:marLeft w:val="0"/>
                      <w:marRight w:val="0"/>
                      <w:marTop w:val="0"/>
                      <w:marBottom w:val="0"/>
                      <w:divBdr>
                        <w:top w:val="none" w:sz="0" w:space="0" w:color="auto"/>
                        <w:left w:val="none" w:sz="0" w:space="0" w:color="auto"/>
                        <w:bottom w:val="none" w:sz="0" w:space="0" w:color="auto"/>
                        <w:right w:val="none" w:sz="0" w:space="0" w:color="auto"/>
                      </w:divBdr>
                    </w:div>
                    <w:div w:id="294156711">
                      <w:marLeft w:val="0"/>
                      <w:marRight w:val="0"/>
                      <w:marTop w:val="0"/>
                      <w:marBottom w:val="0"/>
                      <w:divBdr>
                        <w:top w:val="none" w:sz="0" w:space="0" w:color="auto"/>
                        <w:left w:val="none" w:sz="0" w:space="0" w:color="auto"/>
                        <w:bottom w:val="none" w:sz="0" w:space="0" w:color="auto"/>
                        <w:right w:val="none" w:sz="0" w:space="0" w:color="auto"/>
                      </w:divBdr>
                      <w:divsChild>
                        <w:div w:id="294140281">
                          <w:marLeft w:val="0"/>
                          <w:marRight w:val="0"/>
                          <w:marTop w:val="0"/>
                          <w:marBottom w:val="0"/>
                          <w:divBdr>
                            <w:top w:val="none" w:sz="0" w:space="0" w:color="auto"/>
                            <w:left w:val="none" w:sz="0" w:space="0" w:color="auto"/>
                            <w:bottom w:val="none" w:sz="0" w:space="0" w:color="auto"/>
                            <w:right w:val="none" w:sz="0" w:space="0" w:color="auto"/>
                          </w:divBdr>
                        </w:div>
                      </w:divsChild>
                    </w:div>
                    <w:div w:id="294156725">
                      <w:marLeft w:val="0"/>
                      <w:marRight w:val="0"/>
                      <w:marTop w:val="0"/>
                      <w:marBottom w:val="0"/>
                      <w:divBdr>
                        <w:top w:val="none" w:sz="0" w:space="0" w:color="auto"/>
                        <w:left w:val="none" w:sz="0" w:space="0" w:color="auto"/>
                        <w:bottom w:val="none" w:sz="0" w:space="0" w:color="auto"/>
                        <w:right w:val="none" w:sz="0" w:space="0" w:color="auto"/>
                      </w:divBdr>
                      <w:divsChild>
                        <w:div w:id="294147116">
                          <w:marLeft w:val="0"/>
                          <w:marRight w:val="0"/>
                          <w:marTop w:val="0"/>
                          <w:marBottom w:val="0"/>
                          <w:divBdr>
                            <w:top w:val="none" w:sz="0" w:space="0" w:color="auto"/>
                            <w:left w:val="none" w:sz="0" w:space="0" w:color="auto"/>
                            <w:bottom w:val="none" w:sz="0" w:space="0" w:color="auto"/>
                            <w:right w:val="none" w:sz="0" w:space="0" w:color="auto"/>
                          </w:divBdr>
                        </w:div>
                      </w:divsChild>
                    </w:div>
                    <w:div w:id="294156735">
                      <w:marLeft w:val="0"/>
                      <w:marRight w:val="0"/>
                      <w:marTop w:val="0"/>
                      <w:marBottom w:val="0"/>
                      <w:divBdr>
                        <w:top w:val="none" w:sz="0" w:space="0" w:color="auto"/>
                        <w:left w:val="none" w:sz="0" w:space="0" w:color="auto"/>
                        <w:bottom w:val="none" w:sz="0" w:space="0" w:color="auto"/>
                        <w:right w:val="none" w:sz="0" w:space="0" w:color="auto"/>
                      </w:divBdr>
                      <w:divsChild>
                        <w:div w:id="294139082">
                          <w:marLeft w:val="0"/>
                          <w:marRight w:val="0"/>
                          <w:marTop w:val="0"/>
                          <w:marBottom w:val="0"/>
                          <w:divBdr>
                            <w:top w:val="none" w:sz="0" w:space="0" w:color="auto"/>
                            <w:left w:val="none" w:sz="0" w:space="0" w:color="auto"/>
                            <w:bottom w:val="none" w:sz="0" w:space="0" w:color="auto"/>
                            <w:right w:val="none" w:sz="0" w:space="0" w:color="auto"/>
                          </w:divBdr>
                        </w:div>
                      </w:divsChild>
                    </w:div>
                    <w:div w:id="294156764">
                      <w:marLeft w:val="0"/>
                      <w:marRight w:val="0"/>
                      <w:marTop w:val="0"/>
                      <w:marBottom w:val="0"/>
                      <w:divBdr>
                        <w:top w:val="none" w:sz="0" w:space="0" w:color="auto"/>
                        <w:left w:val="none" w:sz="0" w:space="0" w:color="auto"/>
                        <w:bottom w:val="none" w:sz="0" w:space="0" w:color="auto"/>
                        <w:right w:val="none" w:sz="0" w:space="0" w:color="auto"/>
                      </w:divBdr>
                    </w:div>
                    <w:div w:id="294156799">
                      <w:marLeft w:val="0"/>
                      <w:marRight w:val="0"/>
                      <w:marTop w:val="0"/>
                      <w:marBottom w:val="0"/>
                      <w:divBdr>
                        <w:top w:val="none" w:sz="0" w:space="0" w:color="auto"/>
                        <w:left w:val="none" w:sz="0" w:space="0" w:color="auto"/>
                        <w:bottom w:val="none" w:sz="0" w:space="0" w:color="auto"/>
                        <w:right w:val="none" w:sz="0" w:space="0" w:color="auto"/>
                      </w:divBdr>
                      <w:divsChild>
                        <w:div w:id="294141411">
                          <w:marLeft w:val="0"/>
                          <w:marRight w:val="0"/>
                          <w:marTop w:val="0"/>
                          <w:marBottom w:val="0"/>
                          <w:divBdr>
                            <w:top w:val="none" w:sz="0" w:space="0" w:color="auto"/>
                            <w:left w:val="none" w:sz="0" w:space="0" w:color="auto"/>
                            <w:bottom w:val="none" w:sz="0" w:space="0" w:color="auto"/>
                            <w:right w:val="none" w:sz="0" w:space="0" w:color="auto"/>
                          </w:divBdr>
                        </w:div>
                      </w:divsChild>
                    </w:div>
                    <w:div w:id="294156820">
                      <w:marLeft w:val="0"/>
                      <w:marRight w:val="0"/>
                      <w:marTop w:val="0"/>
                      <w:marBottom w:val="0"/>
                      <w:divBdr>
                        <w:top w:val="none" w:sz="0" w:space="0" w:color="auto"/>
                        <w:left w:val="none" w:sz="0" w:space="0" w:color="auto"/>
                        <w:bottom w:val="none" w:sz="0" w:space="0" w:color="auto"/>
                        <w:right w:val="none" w:sz="0" w:space="0" w:color="auto"/>
                      </w:divBdr>
                    </w:div>
                    <w:div w:id="294156826">
                      <w:marLeft w:val="0"/>
                      <w:marRight w:val="0"/>
                      <w:marTop w:val="0"/>
                      <w:marBottom w:val="0"/>
                      <w:divBdr>
                        <w:top w:val="none" w:sz="0" w:space="0" w:color="auto"/>
                        <w:left w:val="none" w:sz="0" w:space="0" w:color="auto"/>
                        <w:bottom w:val="none" w:sz="0" w:space="0" w:color="auto"/>
                        <w:right w:val="none" w:sz="0" w:space="0" w:color="auto"/>
                      </w:divBdr>
                    </w:div>
                    <w:div w:id="294156868">
                      <w:marLeft w:val="0"/>
                      <w:marRight w:val="0"/>
                      <w:marTop w:val="0"/>
                      <w:marBottom w:val="0"/>
                      <w:divBdr>
                        <w:top w:val="none" w:sz="0" w:space="0" w:color="auto"/>
                        <w:left w:val="none" w:sz="0" w:space="0" w:color="auto"/>
                        <w:bottom w:val="none" w:sz="0" w:space="0" w:color="auto"/>
                        <w:right w:val="none" w:sz="0" w:space="0" w:color="auto"/>
                      </w:divBdr>
                      <w:divsChild>
                        <w:div w:id="294143324">
                          <w:marLeft w:val="0"/>
                          <w:marRight w:val="0"/>
                          <w:marTop w:val="0"/>
                          <w:marBottom w:val="0"/>
                          <w:divBdr>
                            <w:top w:val="none" w:sz="0" w:space="0" w:color="auto"/>
                            <w:left w:val="none" w:sz="0" w:space="0" w:color="auto"/>
                            <w:bottom w:val="none" w:sz="0" w:space="0" w:color="auto"/>
                            <w:right w:val="none" w:sz="0" w:space="0" w:color="auto"/>
                          </w:divBdr>
                        </w:div>
                      </w:divsChild>
                    </w:div>
                    <w:div w:id="294156893">
                      <w:marLeft w:val="0"/>
                      <w:marRight w:val="0"/>
                      <w:marTop w:val="0"/>
                      <w:marBottom w:val="0"/>
                      <w:divBdr>
                        <w:top w:val="none" w:sz="0" w:space="0" w:color="auto"/>
                        <w:left w:val="none" w:sz="0" w:space="0" w:color="auto"/>
                        <w:bottom w:val="none" w:sz="0" w:space="0" w:color="auto"/>
                        <w:right w:val="none" w:sz="0" w:space="0" w:color="auto"/>
                      </w:divBdr>
                      <w:divsChild>
                        <w:div w:id="294147066">
                          <w:marLeft w:val="0"/>
                          <w:marRight w:val="0"/>
                          <w:marTop w:val="0"/>
                          <w:marBottom w:val="0"/>
                          <w:divBdr>
                            <w:top w:val="none" w:sz="0" w:space="0" w:color="auto"/>
                            <w:left w:val="none" w:sz="0" w:space="0" w:color="auto"/>
                            <w:bottom w:val="none" w:sz="0" w:space="0" w:color="auto"/>
                            <w:right w:val="none" w:sz="0" w:space="0" w:color="auto"/>
                          </w:divBdr>
                        </w:div>
                      </w:divsChild>
                    </w:div>
                    <w:div w:id="294156900">
                      <w:marLeft w:val="0"/>
                      <w:marRight w:val="0"/>
                      <w:marTop w:val="0"/>
                      <w:marBottom w:val="0"/>
                      <w:divBdr>
                        <w:top w:val="none" w:sz="0" w:space="0" w:color="auto"/>
                        <w:left w:val="none" w:sz="0" w:space="0" w:color="auto"/>
                        <w:bottom w:val="none" w:sz="0" w:space="0" w:color="auto"/>
                        <w:right w:val="none" w:sz="0" w:space="0" w:color="auto"/>
                      </w:divBdr>
                    </w:div>
                    <w:div w:id="294156910">
                      <w:marLeft w:val="0"/>
                      <w:marRight w:val="0"/>
                      <w:marTop w:val="0"/>
                      <w:marBottom w:val="0"/>
                      <w:divBdr>
                        <w:top w:val="none" w:sz="0" w:space="0" w:color="auto"/>
                        <w:left w:val="none" w:sz="0" w:space="0" w:color="auto"/>
                        <w:bottom w:val="none" w:sz="0" w:space="0" w:color="auto"/>
                        <w:right w:val="none" w:sz="0" w:space="0" w:color="auto"/>
                      </w:divBdr>
                      <w:divsChild>
                        <w:div w:id="294157292">
                          <w:marLeft w:val="0"/>
                          <w:marRight w:val="0"/>
                          <w:marTop w:val="0"/>
                          <w:marBottom w:val="0"/>
                          <w:divBdr>
                            <w:top w:val="none" w:sz="0" w:space="0" w:color="auto"/>
                            <w:left w:val="none" w:sz="0" w:space="0" w:color="auto"/>
                            <w:bottom w:val="none" w:sz="0" w:space="0" w:color="auto"/>
                            <w:right w:val="none" w:sz="0" w:space="0" w:color="auto"/>
                          </w:divBdr>
                        </w:div>
                      </w:divsChild>
                    </w:div>
                    <w:div w:id="294156940">
                      <w:marLeft w:val="0"/>
                      <w:marRight w:val="0"/>
                      <w:marTop w:val="0"/>
                      <w:marBottom w:val="0"/>
                      <w:divBdr>
                        <w:top w:val="none" w:sz="0" w:space="0" w:color="auto"/>
                        <w:left w:val="none" w:sz="0" w:space="0" w:color="auto"/>
                        <w:bottom w:val="none" w:sz="0" w:space="0" w:color="auto"/>
                        <w:right w:val="none" w:sz="0" w:space="0" w:color="auto"/>
                      </w:divBdr>
                    </w:div>
                    <w:div w:id="294156943">
                      <w:marLeft w:val="0"/>
                      <w:marRight w:val="0"/>
                      <w:marTop w:val="0"/>
                      <w:marBottom w:val="0"/>
                      <w:divBdr>
                        <w:top w:val="none" w:sz="0" w:space="0" w:color="auto"/>
                        <w:left w:val="none" w:sz="0" w:space="0" w:color="auto"/>
                        <w:bottom w:val="none" w:sz="0" w:space="0" w:color="auto"/>
                        <w:right w:val="none" w:sz="0" w:space="0" w:color="auto"/>
                      </w:divBdr>
                    </w:div>
                    <w:div w:id="294157195">
                      <w:marLeft w:val="0"/>
                      <w:marRight w:val="0"/>
                      <w:marTop w:val="0"/>
                      <w:marBottom w:val="0"/>
                      <w:divBdr>
                        <w:top w:val="none" w:sz="0" w:space="0" w:color="auto"/>
                        <w:left w:val="none" w:sz="0" w:space="0" w:color="auto"/>
                        <w:bottom w:val="none" w:sz="0" w:space="0" w:color="auto"/>
                        <w:right w:val="none" w:sz="0" w:space="0" w:color="auto"/>
                      </w:divBdr>
                    </w:div>
                    <w:div w:id="294157280">
                      <w:marLeft w:val="0"/>
                      <w:marRight w:val="0"/>
                      <w:marTop w:val="0"/>
                      <w:marBottom w:val="0"/>
                      <w:divBdr>
                        <w:top w:val="none" w:sz="0" w:space="0" w:color="auto"/>
                        <w:left w:val="none" w:sz="0" w:space="0" w:color="auto"/>
                        <w:bottom w:val="none" w:sz="0" w:space="0" w:color="auto"/>
                        <w:right w:val="none" w:sz="0" w:space="0" w:color="auto"/>
                      </w:divBdr>
                    </w:div>
                    <w:div w:id="294157303">
                      <w:marLeft w:val="0"/>
                      <w:marRight w:val="0"/>
                      <w:marTop w:val="0"/>
                      <w:marBottom w:val="0"/>
                      <w:divBdr>
                        <w:top w:val="none" w:sz="0" w:space="0" w:color="auto"/>
                        <w:left w:val="none" w:sz="0" w:space="0" w:color="auto"/>
                        <w:bottom w:val="none" w:sz="0" w:space="0" w:color="auto"/>
                        <w:right w:val="none" w:sz="0" w:space="0" w:color="auto"/>
                      </w:divBdr>
                      <w:divsChild>
                        <w:div w:id="294147615">
                          <w:marLeft w:val="0"/>
                          <w:marRight w:val="0"/>
                          <w:marTop w:val="0"/>
                          <w:marBottom w:val="0"/>
                          <w:divBdr>
                            <w:top w:val="none" w:sz="0" w:space="0" w:color="auto"/>
                            <w:left w:val="none" w:sz="0" w:space="0" w:color="auto"/>
                            <w:bottom w:val="none" w:sz="0" w:space="0" w:color="auto"/>
                            <w:right w:val="none" w:sz="0" w:space="0" w:color="auto"/>
                          </w:divBdr>
                        </w:div>
                      </w:divsChild>
                    </w:div>
                    <w:div w:id="294157351">
                      <w:marLeft w:val="0"/>
                      <w:marRight w:val="0"/>
                      <w:marTop w:val="0"/>
                      <w:marBottom w:val="0"/>
                      <w:divBdr>
                        <w:top w:val="none" w:sz="0" w:space="0" w:color="auto"/>
                        <w:left w:val="none" w:sz="0" w:space="0" w:color="auto"/>
                        <w:bottom w:val="none" w:sz="0" w:space="0" w:color="auto"/>
                        <w:right w:val="none" w:sz="0" w:space="0" w:color="auto"/>
                      </w:divBdr>
                    </w:div>
                    <w:div w:id="294157415">
                      <w:marLeft w:val="0"/>
                      <w:marRight w:val="0"/>
                      <w:marTop w:val="0"/>
                      <w:marBottom w:val="0"/>
                      <w:divBdr>
                        <w:top w:val="none" w:sz="0" w:space="0" w:color="auto"/>
                        <w:left w:val="none" w:sz="0" w:space="0" w:color="auto"/>
                        <w:bottom w:val="none" w:sz="0" w:space="0" w:color="auto"/>
                        <w:right w:val="none" w:sz="0" w:space="0" w:color="auto"/>
                      </w:divBdr>
                    </w:div>
                    <w:div w:id="294157421">
                      <w:marLeft w:val="0"/>
                      <w:marRight w:val="0"/>
                      <w:marTop w:val="0"/>
                      <w:marBottom w:val="0"/>
                      <w:divBdr>
                        <w:top w:val="none" w:sz="0" w:space="0" w:color="auto"/>
                        <w:left w:val="none" w:sz="0" w:space="0" w:color="auto"/>
                        <w:bottom w:val="none" w:sz="0" w:space="0" w:color="auto"/>
                        <w:right w:val="none" w:sz="0" w:space="0" w:color="auto"/>
                      </w:divBdr>
                    </w:div>
                    <w:div w:id="294157445">
                      <w:marLeft w:val="0"/>
                      <w:marRight w:val="0"/>
                      <w:marTop w:val="0"/>
                      <w:marBottom w:val="0"/>
                      <w:divBdr>
                        <w:top w:val="none" w:sz="0" w:space="0" w:color="auto"/>
                        <w:left w:val="none" w:sz="0" w:space="0" w:color="auto"/>
                        <w:bottom w:val="none" w:sz="0" w:space="0" w:color="auto"/>
                        <w:right w:val="none" w:sz="0" w:space="0" w:color="auto"/>
                      </w:divBdr>
                    </w:div>
                    <w:div w:id="29415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43006">
      <w:marLeft w:val="0"/>
      <w:marRight w:val="0"/>
      <w:marTop w:val="0"/>
      <w:marBottom w:val="0"/>
      <w:divBdr>
        <w:top w:val="none" w:sz="0" w:space="0" w:color="auto"/>
        <w:left w:val="none" w:sz="0" w:space="0" w:color="auto"/>
        <w:bottom w:val="none" w:sz="0" w:space="0" w:color="auto"/>
        <w:right w:val="none" w:sz="0" w:space="0" w:color="auto"/>
      </w:divBdr>
    </w:div>
    <w:div w:id="294143021">
      <w:marLeft w:val="0"/>
      <w:marRight w:val="0"/>
      <w:marTop w:val="0"/>
      <w:marBottom w:val="0"/>
      <w:divBdr>
        <w:top w:val="none" w:sz="0" w:space="0" w:color="auto"/>
        <w:left w:val="none" w:sz="0" w:space="0" w:color="auto"/>
        <w:bottom w:val="none" w:sz="0" w:space="0" w:color="auto"/>
        <w:right w:val="none" w:sz="0" w:space="0" w:color="auto"/>
      </w:divBdr>
    </w:div>
    <w:div w:id="294143041">
      <w:marLeft w:val="0"/>
      <w:marRight w:val="0"/>
      <w:marTop w:val="0"/>
      <w:marBottom w:val="0"/>
      <w:divBdr>
        <w:top w:val="none" w:sz="0" w:space="0" w:color="auto"/>
        <w:left w:val="none" w:sz="0" w:space="0" w:color="auto"/>
        <w:bottom w:val="none" w:sz="0" w:space="0" w:color="auto"/>
        <w:right w:val="none" w:sz="0" w:space="0" w:color="auto"/>
      </w:divBdr>
    </w:div>
    <w:div w:id="294143103">
      <w:marLeft w:val="0"/>
      <w:marRight w:val="0"/>
      <w:marTop w:val="0"/>
      <w:marBottom w:val="0"/>
      <w:divBdr>
        <w:top w:val="none" w:sz="0" w:space="0" w:color="auto"/>
        <w:left w:val="none" w:sz="0" w:space="0" w:color="auto"/>
        <w:bottom w:val="none" w:sz="0" w:space="0" w:color="auto"/>
        <w:right w:val="none" w:sz="0" w:space="0" w:color="auto"/>
      </w:divBdr>
    </w:div>
    <w:div w:id="294143110">
      <w:marLeft w:val="0"/>
      <w:marRight w:val="0"/>
      <w:marTop w:val="0"/>
      <w:marBottom w:val="0"/>
      <w:divBdr>
        <w:top w:val="none" w:sz="0" w:space="0" w:color="auto"/>
        <w:left w:val="none" w:sz="0" w:space="0" w:color="auto"/>
        <w:bottom w:val="none" w:sz="0" w:space="0" w:color="auto"/>
        <w:right w:val="none" w:sz="0" w:space="0" w:color="auto"/>
      </w:divBdr>
      <w:divsChild>
        <w:div w:id="294138115">
          <w:marLeft w:val="0"/>
          <w:marRight w:val="0"/>
          <w:marTop w:val="0"/>
          <w:marBottom w:val="0"/>
          <w:divBdr>
            <w:top w:val="none" w:sz="0" w:space="0" w:color="auto"/>
            <w:left w:val="none" w:sz="0" w:space="0" w:color="auto"/>
            <w:bottom w:val="none" w:sz="0" w:space="0" w:color="auto"/>
            <w:right w:val="none" w:sz="0" w:space="0" w:color="auto"/>
          </w:divBdr>
        </w:div>
        <w:div w:id="294138203">
          <w:marLeft w:val="0"/>
          <w:marRight w:val="0"/>
          <w:marTop w:val="0"/>
          <w:marBottom w:val="0"/>
          <w:divBdr>
            <w:top w:val="none" w:sz="0" w:space="0" w:color="auto"/>
            <w:left w:val="none" w:sz="0" w:space="0" w:color="auto"/>
            <w:bottom w:val="none" w:sz="0" w:space="0" w:color="auto"/>
            <w:right w:val="none" w:sz="0" w:space="0" w:color="auto"/>
          </w:divBdr>
        </w:div>
        <w:div w:id="294138206">
          <w:marLeft w:val="0"/>
          <w:marRight w:val="0"/>
          <w:marTop w:val="0"/>
          <w:marBottom w:val="0"/>
          <w:divBdr>
            <w:top w:val="none" w:sz="0" w:space="0" w:color="auto"/>
            <w:left w:val="none" w:sz="0" w:space="0" w:color="auto"/>
            <w:bottom w:val="none" w:sz="0" w:space="0" w:color="auto"/>
            <w:right w:val="none" w:sz="0" w:space="0" w:color="auto"/>
          </w:divBdr>
        </w:div>
        <w:div w:id="294138254">
          <w:marLeft w:val="0"/>
          <w:marRight w:val="0"/>
          <w:marTop w:val="0"/>
          <w:marBottom w:val="0"/>
          <w:divBdr>
            <w:top w:val="none" w:sz="0" w:space="0" w:color="auto"/>
            <w:left w:val="none" w:sz="0" w:space="0" w:color="auto"/>
            <w:bottom w:val="none" w:sz="0" w:space="0" w:color="auto"/>
            <w:right w:val="none" w:sz="0" w:space="0" w:color="auto"/>
          </w:divBdr>
        </w:div>
        <w:div w:id="294138381">
          <w:marLeft w:val="0"/>
          <w:marRight w:val="0"/>
          <w:marTop w:val="0"/>
          <w:marBottom w:val="0"/>
          <w:divBdr>
            <w:top w:val="none" w:sz="0" w:space="0" w:color="auto"/>
            <w:left w:val="none" w:sz="0" w:space="0" w:color="auto"/>
            <w:bottom w:val="none" w:sz="0" w:space="0" w:color="auto"/>
            <w:right w:val="none" w:sz="0" w:space="0" w:color="auto"/>
          </w:divBdr>
        </w:div>
        <w:div w:id="294138566">
          <w:marLeft w:val="0"/>
          <w:marRight w:val="0"/>
          <w:marTop w:val="0"/>
          <w:marBottom w:val="0"/>
          <w:divBdr>
            <w:top w:val="none" w:sz="0" w:space="0" w:color="auto"/>
            <w:left w:val="none" w:sz="0" w:space="0" w:color="auto"/>
            <w:bottom w:val="none" w:sz="0" w:space="0" w:color="auto"/>
            <w:right w:val="none" w:sz="0" w:space="0" w:color="auto"/>
          </w:divBdr>
        </w:div>
        <w:div w:id="294138639">
          <w:marLeft w:val="0"/>
          <w:marRight w:val="0"/>
          <w:marTop w:val="0"/>
          <w:marBottom w:val="0"/>
          <w:divBdr>
            <w:top w:val="none" w:sz="0" w:space="0" w:color="auto"/>
            <w:left w:val="none" w:sz="0" w:space="0" w:color="auto"/>
            <w:bottom w:val="none" w:sz="0" w:space="0" w:color="auto"/>
            <w:right w:val="none" w:sz="0" w:space="0" w:color="auto"/>
          </w:divBdr>
        </w:div>
        <w:div w:id="294138740">
          <w:marLeft w:val="0"/>
          <w:marRight w:val="0"/>
          <w:marTop w:val="0"/>
          <w:marBottom w:val="0"/>
          <w:divBdr>
            <w:top w:val="none" w:sz="0" w:space="0" w:color="auto"/>
            <w:left w:val="none" w:sz="0" w:space="0" w:color="auto"/>
            <w:bottom w:val="none" w:sz="0" w:space="0" w:color="auto"/>
            <w:right w:val="none" w:sz="0" w:space="0" w:color="auto"/>
          </w:divBdr>
        </w:div>
        <w:div w:id="294138970">
          <w:marLeft w:val="0"/>
          <w:marRight w:val="0"/>
          <w:marTop w:val="0"/>
          <w:marBottom w:val="0"/>
          <w:divBdr>
            <w:top w:val="none" w:sz="0" w:space="0" w:color="auto"/>
            <w:left w:val="none" w:sz="0" w:space="0" w:color="auto"/>
            <w:bottom w:val="none" w:sz="0" w:space="0" w:color="auto"/>
            <w:right w:val="none" w:sz="0" w:space="0" w:color="auto"/>
          </w:divBdr>
        </w:div>
        <w:div w:id="294139072">
          <w:marLeft w:val="0"/>
          <w:marRight w:val="0"/>
          <w:marTop w:val="0"/>
          <w:marBottom w:val="0"/>
          <w:divBdr>
            <w:top w:val="none" w:sz="0" w:space="0" w:color="auto"/>
            <w:left w:val="none" w:sz="0" w:space="0" w:color="auto"/>
            <w:bottom w:val="none" w:sz="0" w:space="0" w:color="auto"/>
            <w:right w:val="none" w:sz="0" w:space="0" w:color="auto"/>
          </w:divBdr>
        </w:div>
        <w:div w:id="294139228">
          <w:marLeft w:val="0"/>
          <w:marRight w:val="0"/>
          <w:marTop w:val="0"/>
          <w:marBottom w:val="0"/>
          <w:divBdr>
            <w:top w:val="none" w:sz="0" w:space="0" w:color="auto"/>
            <w:left w:val="none" w:sz="0" w:space="0" w:color="auto"/>
            <w:bottom w:val="none" w:sz="0" w:space="0" w:color="auto"/>
            <w:right w:val="none" w:sz="0" w:space="0" w:color="auto"/>
          </w:divBdr>
        </w:div>
        <w:div w:id="294139345">
          <w:marLeft w:val="0"/>
          <w:marRight w:val="0"/>
          <w:marTop w:val="0"/>
          <w:marBottom w:val="0"/>
          <w:divBdr>
            <w:top w:val="none" w:sz="0" w:space="0" w:color="auto"/>
            <w:left w:val="none" w:sz="0" w:space="0" w:color="auto"/>
            <w:bottom w:val="none" w:sz="0" w:space="0" w:color="auto"/>
            <w:right w:val="none" w:sz="0" w:space="0" w:color="auto"/>
          </w:divBdr>
        </w:div>
        <w:div w:id="294139490">
          <w:marLeft w:val="0"/>
          <w:marRight w:val="0"/>
          <w:marTop w:val="0"/>
          <w:marBottom w:val="0"/>
          <w:divBdr>
            <w:top w:val="none" w:sz="0" w:space="0" w:color="auto"/>
            <w:left w:val="none" w:sz="0" w:space="0" w:color="auto"/>
            <w:bottom w:val="none" w:sz="0" w:space="0" w:color="auto"/>
            <w:right w:val="none" w:sz="0" w:space="0" w:color="auto"/>
          </w:divBdr>
        </w:div>
        <w:div w:id="294139580">
          <w:marLeft w:val="0"/>
          <w:marRight w:val="0"/>
          <w:marTop w:val="0"/>
          <w:marBottom w:val="0"/>
          <w:divBdr>
            <w:top w:val="none" w:sz="0" w:space="0" w:color="auto"/>
            <w:left w:val="none" w:sz="0" w:space="0" w:color="auto"/>
            <w:bottom w:val="none" w:sz="0" w:space="0" w:color="auto"/>
            <w:right w:val="none" w:sz="0" w:space="0" w:color="auto"/>
          </w:divBdr>
        </w:div>
        <w:div w:id="294139709">
          <w:marLeft w:val="0"/>
          <w:marRight w:val="0"/>
          <w:marTop w:val="0"/>
          <w:marBottom w:val="0"/>
          <w:divBdr>
            <w:top w:val="none" w:sz="0" w:space="0" w:color="auto"/>
            <w:left w:val="none" w:sz="0" w:space="0" w:color="auto"/>
            <w:bottom w:val="none" w:sz="0" w:space="0" w:color="auto"/>
            <w:right w:val="none" w:sz="0" w:space="0" w:color="auto"/>
          </w:divBdr>
        </w:div>
        <w:div w:id="294139745">
          <w:marLeft w:val="0"/>
          <w:marRight w:val="0"/>
          <w:marTop w:val="0"/>
          <w:marBottom w:val="0"/>
          <w:divBdr>
            <w:top w:val="none" w:sz="0" w:space="0" w:color="auto"/>
            <w:left w:val="none" w:sz="0" w:space="0" w:color="auto"/>
            <w:bottom w:val="none" w:sz="0" w:space="0" w:color="auto"/>
            <w:right w:val="none" w:sz="0" w:space="0" w:color="auto"/>
          </w:divBdr>
        </w:div>
        <w:div w:id="294139751">
          <w:marLeft w:val="0"/>
          <w:marRight w:val="0"/>
          <w:marTop w:val="0"/>
          <w:marBottom w:val="0"/>
          <w:divBdr>
            <w:top w:val="none" w:sz="0" w:space="0" w:color="auto"/>
            <w:left w:val="none" w:sz="0" w:space="0" w:color="auto"/>
            <w:bottom w:val="none" w:sz="0" w:space="0" w:color="auto"/>
            <w:right w:val="none" w:sz="0" w:space="0" w:color="auto"/>
          </w:divBdr>
        </w:div>
        <w:div w:id="294139795">
          <w:marLeft w:val="0"/>
          <w:marRight w:val="0"/>
          <w:marTop w:val="0"/>
          <w:marBottom w:val="0"/>
          <w:divBdr>
            <w:top w:val="none" w:sz="0" w:space="0" w:color="auto"/>
            <w:left w:val="none" w:sz="0" w:space="0" w:color="auto"/>
            <w:bottom w:val="none" w:sz="0" w:space="0" w:color="auto"/>
            <w:right w:val="none" w:sz="0" w:space="0" w:color="auto"/>
          </w:divBdr>
        </w:div>
        <w:div w:id="294139989">
          <w:marLeft w:val="0"/>
          <w:marRight w:val="0"/>
          <w:marTop w:val="0"/>
          <w:marBottom w:val="0"/>
          <w:divBdr>
            <w:top w:val="none" w:sz="0" w:space="0" w:color="auto"/>
            <w:left w:val="none" w:sz="0" w:space="0" w:color="auto"/>
            <w:bottom w:val="none" w:sz="0" w:space="0" w:color="auto"/>
            <w:right w:val="none" w:sz="0" w:space="0" w:color="auto"/>
          </w:divBdr>
        </w:div>
        <w:div w:id="294140124">
          <w:marLeft w:val="0"/>
          <w:marRight w:val="0"/>
          <w:marTop w:val="0"/>
          <w:marBottom w:val="0"/>
          <w:divBdr>
            <w:top w:val="none" w:sz="0" w:space="0" w:color="auto"/>
            <w:left w:val="none" w:sz="0" w:space="0" w:color="auto"/>
            <w:bottom w:val="none" w:sz="0" w:space="0" w:color="auto"/>
            <w:right w:val="none" w:sz="0" w:space="0" w:color="auto"/>
          </w:divBdr>
        </w:div>
        <w:div w:id="294140739">
          <w:marLeft w:val="0"/>
          <w:marRight w:val="0"/>
          <w:marTop w:val="0"/>
          <w:marBottom w:val="0"/>
          <w:divBdr>
            <w:top w:val="none" w:sz="0" w:space="0" w:color="auto"/>
            <w:left w:val="none" w:sz="0" w:space="0" w:color="auto"/>
            <w:bottom w:val="none" w:sz="0" w:space="0" w:color="auto"/>
            <w:right w:val="none" w:sz="0" w:space="0" w:color="auto"/>
          </w:divBdr>
        </w:div>
        <w:div w:id="294140896">
          <w:marLeft w:val="0"/>
          <w:marRight w:val="0"/>
          <w:marTop w:val="0"/>
          <w:marBottom w:val="0"/>
          <w:divBdr>
            <w:top w:val="none" w:sz="0" w:space="0" w:color="auto"/>
            <w:left w:val="none" w:sz="0" w:space="0" w:color="auto"/>
            <w:bottom w:val="none" w:sz="0" w:space="0" w:color="auto"/>
            <w:right w:val="none" w:sz="0" w:space="0" w:color="auto"/>
          </w:divBdr>
        </w:div>
        <w:div w:id="294140928">
          <w:marLeft w:val="0"/>
          <w:marRight w:val="0"/>
          <w:marTop w:val="0"/>
          <w:marBottom w:val="0"/>
          <w:divBdr>
            <w:top w:val="none" w:sz="0" w:space="0" w:color="auto"/>
            <w:left w:val="none" w:sz="0" w:space="0" w:color="auto"/>
            <w:bottom w:val="none" w:sz="0" w:space="0" w:color="auto"/>
            <w:right w:val="none" w:sz="0" w:space="0" w:color="auto"/>
          </w:divBdr>
        </w:div>
        <w:div w:id="294141140">
          <w:marLeft w:val="0"/>
          <w:marRight w:val="0"/>
          <w:marTop w:val="0"/>
          <w:marBottom w:val="0"/>
          <w:divBdr>
            <w:top w:val="none" w:sz="0" w:space="0" w:color="auto"/>
            <w:left w:val="none" w:sz="0" w:space="0" w:color="auto"/>
            <w:bottom w:val="none" w:sz="0" w:space="0" w:color="auto"/>
            <w:right w:val="none" w:sz="0" w:space="0" w:color="auto"/>
          </w:divBdr>
        </w:div>
        <w:div w:id="294141174">
          <w:marLeft w:val="0"/>
          <w:marRight w:val="0"/>
          <w:marTop w:val="0"/>
          <w:marBottom w:val="0"/>
          <w:divBdr>
            <w:top w:val="none" w:sz="0" w:space="0" w:color="auto"/>
            <w:left w:val="none" w:sz="0" w:space="0" w:color="auto"/>
            <w:bottom w:val="none" w:sz="0" w:space="0" w:color="auto"/>
            <w:right w:val="none" w:sz="0" w:space="0" w:color="auto"/>
          </w:divBdr>
        </w:div>
        <w:div w:id="294141225">
          <w:marLeft w:val="0"/>
          <w:marRight w:val="0"/>
          <w:marTop w:val="0"/>
          <w:marBottom w:val="0"/>
          <w:divBdr>
            <w:top w:val="none" w:sz="0" w:space="0" w:color="auto"/>
            <w:left w:val="none" w:sz="0" w:space="0" w:color="auto"/>
            <w:bottom w:val="none" w:sz="0" w:space="0" w:color="auto"/>
            <w:right w:val="none" w:sz="0" w:space="0" w:color="auto"/>
          </w:divBdr>
        </w:div>
        <w:div w:id="294141591">
          <w:marLeft w:val="0"/>
          <w:marRight w:val="0"/>
          <w:marTop w:val="0"/>
          <w:marBottom w:val="0"/>
          <w:divBdr>
            <w:top w:val="none" w:sz="0" w:space="0" w:color="auto"/>
            <w:left w:val="none" w:sz="0" w:space="0" w:color="auto"/>
            <w:bottom w:val="none" w:sz="0" w:space="0" w:color="auto"/>
            <w:right w:val="none" w:sz="0" w:space="0" w:color="auto"/>
          </w:divBdr>
        </w:div>
        <w:div w:id="294141676">
          <w:marLeft w:val="0"/>
          <w:marRight w:val="0"/>
          <w:marTop w:val="0"/>
          <w:marBottom w:val="0"/>
          <w:divBdr>
            <w:top w:val="none" w:sz="0" w:space="0" w:color="auto"/>
            <w:left w:val="none" w:sz="0" w:space="0" w:color="auto"/>
            <w:bottom w:val="none" w:sz="0" w:space="0" w:color="auto"/>
            <w:right w:val="none" w:sz="0" w:space="0" w:color="auto"/>
          </w:divBdr>
        </w:div>
        <w:div w:id="294141721">
          <w:marLeft w:val="0"/>
          <w:marRight w:val="0"/>
          <w:marTop w:val="0"/>
          <w:marBottom w:val="0"/>
          <w:divBdr>
            <w:top w:val="none" w:sz="0" w:space="0" w:color="auto"/>
            <w:left w:val="none" w:sz="0" w:space="0" w:color="auto"/>
            <w:bottom w:val="none" w:sz="0" w:space="0" w:color="auto"/>
            <w:right w:val="none" w:sz="0" w:space="0" w:color="auto"/>
          </w:divBdr>
        </w:div>
        <w:div w:id="294141893">
          <w:marLeft w:val="0"/>
          <w:marRight w:val="0"/>
          <w:marTop w:val="0"/>
          <w:marBottom w:val="0"/>
          <w:divBdr>
            <w:top w:val="none" w:sz="0" w:space="0" w:color="auto"/>
            <w:left w:val="none" w:sz="0" w:space="0" w:color="auto"/>
            <w:bottom w:val="none" w:sz="0" w:space="0" w:color="auto"/>
            <w:right w:val="none" w:sz="0" w:space="0" w:color="auto"/>
          </w:divBdr>
        </w:div>
        <w:div w:id="294142141">
          <w:marLeft w:val="0"/>
          <w:marRight w:val="0"/>
          <w:marTop w:val="0"/>
          <w:marBottom w:val="0"/>
          <w:divBdr>
            <w:top w:val="none" w:sz="0" w:space="0" w:color="auto"/>
            <w:left w:val="none" w:sz="0" w:space="0" w:color="auto"/>
            <w:bottom w:val="none" w:sz="0" w:space="0" w:color="auto"/>
            <w:right w:val="none" w:sz="0" w:space="0" w:color="auto"/>
          </w:divBdr>
        </w:div>
        <w:div w:id="294142424">
          <w:marLeft w:val="0"/>
          <w:marRight w:val="0"/>
          <w:marTop w:val="0"/>
          <w:marBottom w:val="0"/>
          <w:divBdr>
            <w:top w:val="none" w:sz="0" w:space="0" w:color="auto"/>
            <w:left w:val="none" w:sz="0" w:space="0" w:color="auto"/>
            <w:bottom w:val="none" w:sz="0" w:space="0" w:color="auto"/>
            <w:right w:val="none" w:sz="0" w:space="0" w:color="auto"/>
          </w:divBdr>
        </w:div>
        <w:div w:id="294142508">
          <w:marLeft w:val="0"/>
          <w:marRight w:val="0"/>
          <w:marTop w:val="0"/>
          <w:marBottom w:val="0"/>
          <w:divBdr>
            <w:top w:val="none" w:sz="0" w:space="0" w:color="auto"/>
            <w:left w:val="none" w:sz="0" w:space="0" w:color="auto"/>
            <w:bottom w:val="none" w:sz="0" w:space="0" w:color="auto"/>
            <w:right w:val="none" w:sz="0" w:space="0" w:color="auto"/>
          </w:divBdr>
        </w:div>
        <w:div w:id="294142661">
          <w:marLeft w:val="0"/>
          <w:marRight w:val="0"/>
          <w:marTop w:val="0"/>
          <w:marBottom w:val="0"/>
          <w:divBdr>
            <w:top w:val="none" w:sz="0" w:space="0" w:color="auto"/>
            <w:left w:val="none" w:sz="0" w:space="0" w:color="auto"/>
            <w:bottom w:val="none" w:sz="0" w:space="0" w:color="auto"/>
            <w:right w:val="none" w:sz="0" w:space="0" w:color="auto"/>
          </w:divBdr>
        </w:div>
        <w:div w:id="294143040">
          <w:marLeft w:val="0"/>
          <w:marRight w:val="0"/>
          <w:marTop w:val="0"/>
          <w:marBottom w:val="0"/>
          <w:divBdr>
            <w:top w:val="none" w:sz="0" w:space="0" w:color="auto"/>
            <w:left w:val="none" w:sz="0" w:space="0" w:color="auto"/>
            <w:bottom w:val="none" w:sz="0" w:space="0" w:color="auto"/>
            <w:right w:val="none" w:sz="0" w:space="0" w:color="auto"/>
          </w:divBdr>
        </w:div>
        <w:div w:id="294143129">
          <w:marLeft w:val="0"/>
          <w:marRight w:val="0"/>
          <w:marTop w:val="0"/>
          <w:marBottom w:val="0"/>
          <w:divBdr>
            <w:top w:val="none" w:sz="0" w:space="0" w:color="auto"/>
            <w:left w:val="none" w:sz="0" w:space="0" w:color="auto"/>
            <w:bottom w:val="none" w:sz="0" w:space="0" w:color="auto"/>
            <w:right w:val="none" w:sz="0" w:space="0" w:color="auto"/>
          </w:divBdr>
        </w:div>
        <w:div w:id="294143355">
          <w:marLeft w:val="0"/>
          <w:marRight w:val="0"/>
          <w:marTop w:val="0"/>
          <w:marBottom w:val="0"/>
          <w:divBdr>
            <w:top w:val="none" w:sz="0" w:space="0" w:color="auto"/>
            <w:left w:val="none" w:sz="0" w:space="0" w:color="auto"/>
            <w:bottom w:val="none" w:sz="0" w:space="0" w:color="auto"/>
            <w:right w:val="none" w:sz="0" w:space="0" w:color="auto"/>
          </w:divBdr>
        </w:div>
        <w:div w:id="294143417">
          <w:marLeft w:val="0"/>
          <w:marRight w:val="0"/>
          <w:marTop w:val="0"/>
          <w:marBottom w:val="0"/>
          <w:divBdr>
            <w:top w:val="none" w:sz="0" w:space="0" w:color="auto"/>
            <w:left w:val="none" w:sz="0" w:space="0" w:color="auto"/>
            <w:bottom w:val="none" w:sz="0" w:space="0" w:color="auto"/>
            <w:right w:val="none" w:sz="0" w:space="0" w:color="auto"/>
          </w:divBdr>
        </w:div>
        <w:div w:id="294143606">
          <w:marLeft w:val="0"/>
          <w:marRight w:val="0"/>
          <w:marTop w:val="0"/>
          <w:marBottom w:val="0"/>
          <w:divBdr>
            <w:top w:val="none" w:sz="0" w:space="0" w:color="auto"/>
            <w:left w:val="none" w:sz="0" w:space="0" w:color="auto"/>
            <w:bottom w:val="none" w:sz="0" w:space="0" w:color="auto"/>
            <w:right w:val="none" w:sz="0" w:space="0" w:color="auto"/>
          </w:divBdr>
        </w:div>
        <w:div w:id="294143611">
          <w:marLeft w:val="0"/>
          <w:marRight w:val="0"/>
          <w:marTop w:val="0"/>
          <w:marBottom w:val="0"/>
          <w:divBdr>
            <w:top w:val="none" w:sz="0" w:space="0" w:color="auto"/>
            <w:left w:val="none" w:sz="0" w:space="0" w:color="auto"/>
            <w:bottom w:val="none" w:sz="0" w:space="0" w:color="auto"/>
            <w:right w:val="none" w:sz="0" w:space="0" w:color="auto"/>
          </w:divBdr>
        </w:div>
        <w:div w:id="294143752">
          <w:marLeft w:val="0"/>
          <w:marRight w:val="0"/>
          <w:marTop w:val="0"/>
          <w:marBottom w:val="0"/>
          <w:divBdr>
            <w:top w:val="none" w:sz="0" w:space="0" w:color="auto"/>
            <w:left w:val="none" w:sz="0" w:space="0" w:color="auto"/>
            <w:bottom w:val="none" w:sz="0" w:space="0" w:color="auto"/>
            <w:right w:val="none" w:sz="0" w:space="0" w:color="auto"/>
          </w:divBdr>
        </w:div>
        <w:div w:id="294143918">
          <w:marLeft w:val="0"/>
          <w:marRight w:val="0"/>
          <w:marTop w:val="0"/>
          <w:marBottom w:val="0"/>
          <w:divBdr>
            <w:top w:val="none" w:sz="0" w:space="0" w:color="auto"/>
            <w:left w:val="none" w:sz="0" w:space="0" w:color="auto"/>
            <w:bottom w:val="none" w:sz="0" w:space="0" w:color="auto"/>
            <w:right w:val="none" w:sz="0" w:space="0" w:color="auto"/>
          </w:divBdr>
        </w:div>
        <w:div w:id="294144177">
          <w:marLeft w:val="0"/>
          <w:marRight w:val="0"/>
          <w:marTop w:val="0"/>
          <w:marBottom w:val="0"/>
          <w:divBdr>
            <w:top w:val="none" w:sz="0" w:space="0" w:color="auto"/>
            <w:left w:val="none" w:sz="0" w:space="0" w:color="auto"/>
            <w:bottom w:val="none" w:sz="0" w:space="0" w:color="auto"/>
            <w:right w:val="none" w:sz="0" w:space="0" w:color="auto"/>
          </w:divBdr>
        </w:div>
        <w:div w:id="294144395">
          <w:marLeft w:val="0"/>
          <w:marRight w:val="0"/>
          <w:marTop w:val="0"/>
          <w:marBottom w:val="0"/>
          <w:divBdr>
            <w:top w:val="none" w:sz="0" w:space="0" w:color="auto"/>
            <w:left w:val="none" w:sz="0" w:space="0" w:color="auto"/>
            <w:bottom w:val="none" w:sz="0" w:space="0" w:color="auto"/>
            <w:right w:val="none" w:sz="0" w:space="0" w:color="auto"/>
          </w:divBdr>
        </w:div>
        <w:div w:id="294144425">
          <w:marLeft w:val="0"/>
          <w:marRight w:val="0"/>
          <w:marTop w:val="0"/>
          <w:marBottom w:val="0"/>
          <w:divBdr>
            <w:top w:val="none" w:sz="0" w:space="0" w:color="auto"/>
            <w:left w:val="none" w:sz="0" w:space="0" w:color="auto"/>
            <w:bottom w:val="none" w:sz="0" w:space="0" w:color="auto"/>
            <w:right w:val="none" w:sz="0" w:space="0" w:color="auto"/>
          </w:divBdr>
        </w:div>
        <w:div w:id="294144695">
          <w:marLeft w:val="0"/>
          <w:marRight w:val="0"/>
          <w:marTop w:val="0"/>
          <w:marBottom w:val="0"/>
          <w:divBdr>
            <w:top w:val="none" w:sz="0" w:space="0" w:color="auto"/>
            <w:left w:val="none" w:sz="0" w:space="0" w:color="auto"/>
            <w:bottom w:val="none" w:sz="0" w:space="0" w:color="auto"/>
            <w:right w:val="none" w:sz="0" w:space="0" w:color="auto"/>
          </w:divBdr>
        </w:div>
        <w:div w:id="294144901">
          <w:marLeft w:val="0"/>
          <w:marRight w:val="0"/>
          <w:marTop w:val="0"/>
          <w:marBottom w:val="0"/>
          <w:divBdr>
            <w:top w:val="none" w:sz="0" w:space="0" w:color="auto"/>
            <w:left w:val="none" w:sz="0" w:space="0" w:color="auto"/>
            <w:bottom w:val="none" w:sz="0" w:space="0" w:color="auto"/>
            <w:right w:val="none" w:sz="0" w:space="0" w:color="auto"/>
          </w:divBdr>
        </w:div>
        <w:div w:id="294144920">
          <w:marLeft w:val="0"/>
          <w:marRight w:val="0"/>
          <w:marTop w:val="0"/>
          <w:marBottom w:val="0"/>
          <w:divBdr>
            <w:top w:val="none" w:sz="0" w:space="0" w:color="auto"/>
            <w:left w:val="none" w:sz="0" w:space="0" w:color="auto"/>
            <w:bottom w:val="none" w:sz="0" w:space="0" w:color="auto"/>
            <w:right w:val="none" w:sz="0" w:space="0" w:color="auto"/>
          </w:divBdr>
        </w:div>
        <w:div w:id="294145033">
          <w:marLeft w:val="0"/>
          <w:marRight w:val="0"/>
          <w:marTop w:val="0"/>
          <w:marBottom w:val="0"/>
          <w:divBdr>
            <w:top w:val="none" w:sz="0" w:space="0" w:color="auto"/>
            <w:left w:val="none" w:sz="0" w:space="0" w:color="auto"/>
            <w:bottom w:val="none" w:sz="0" w:space="0" w:color="auto"/>
            <w:right w:val="none" w:sz="0" w:space="0" w:color="auto"/>
          </w:divBdr>
        </w:div>
        <w:div w:id="294145237">
          <w:marLeft w:val="0"/>
          <w:marRight w:val="0"/>
          <w:marTop w:val="0"/>
          <w:marBottom w:val="0"/>
          <w:divBdr>
            <w:top w:val="none" w:sz="0" w:space="0" w:color="auto"/>
            <w:left w:val="none" w:sz="0" w:space="0" w:color="auto"/>
            <w:bottom w:val="none" w:sz="0" w:space="0" w:color="auto"/>
            <w:right w:val="none" w:sz="0" w:space="0" w:color="auto"/>
          </w:divBdr>
        </w:div>
        <w:div w:id="294145357">
          <w:marLeft w:val="0"/>
          <w:marRight w:val="0"/>
          <w:marTop w:val="0"/>
          <w:marBottom w:val="0"/>
          <w:divBdr>
            <w:top w:val="none" w:sz="0" w:space="0" w:color="auto"/>
            <w:left w:val="none" w:sz="0" w:space="0" w:color="auto"/>
            <w:bottom w:val="none" w:sz="0" w:space="0" w:color="auto"/>
            <w:right w:val="none" w:sz="0" w:space="0" w:color="auto"/>
          </w:divBdr>
        </w:div>
        <w:div w:id="294145376">
          <w:marLeft w:val="0"/>
          <w:marRight w:val="0"/>
          <w:marTop w:val="0"/>
          <w:marBottom w:val="0"/>
          <w:divBdr>
            <w:top w:val="none" w:sz="0" w:space="0" w:color="auto"/>
            <w:left w:val="none" w:sz="0" w:space="0" w:color="auto"/>
            <w:bottom w:val="none" w:sz="0" w:space="0" w:color="auto"/>
            <w:right w:val="none" w:sz="0" w:space="0" w:color="auto"/>
          </w:divBdr>
        </w:div>
        <w:div w:id="294145390">
          <w:marLeft w:val="0"/>
          <w:marRight w:val="0"/>
          <w:marTop w:val="0"/>
          <w:marBottom w:val="0"/>
          <w:divBdr>
            <w:top w:val="none" w:sz="0" w:space="0" w:color="auto"/>
            <w:left w:val="none" w:sz="0" w:space="0" w:color="auto"/>
            <w:bottom w:val="none" w:sz="0" w:space="0" w:color="auto"/>
            <w:right w:val="none" w:sz="0" w:space="0" w:color="auto"/>
          </w:divBdr>
        </w:div>
        <w:div w:id="294145440">
          <w:marLeft w:val="0"/>
          <w:marRight w:val="0"/>
          <w:marTop w:val="0"/>
          <w:marBottom w:val="0"/>
          <w:divBdr>
            <w:top w:val="none" w:sz="0" w:space="0" w:color="auto"/>
            <w:left w:val="none" w:sz="0" w:space="0" w:color="auto"/>
            <w:bottom w:val="none" w:sz="0" w:space="0" w:color="auto"/>
            <w:right w:val="none" w:sz="0" w:space="0" w:color="auto"/>
          </w:divBdr>
        </w:div>
        <w:div w:id="294145444">
          <w:marLeft w:val="0"/>
          <w:marRight w:val="0"/>
          <w:marTop w:val="0"/>
          <w:marBottom w:val="0"/>
          <w:divBdr>
            <w:top w:val="none" w:sz="0" w:space="0" w:color="auto"/>
            <w:left w:val="none" w:sz="0" w:space="0" w:color="auto"/>
            <w:bottom w:val="none" w:sz="0" w:space="0" w:color="auto"/>
            <w:right w:val="none" w:sz="0" w:space="0" w:color="auto"/>
          </w:divBdr>
        </w:div>
        <w:div w:id="294145518">
          <w:marLeft w:val="0"/>
          <w:marRight w:val="0"/>
          <w:marTop w:val="0"/>
          <w:marBottom w:val="0"/>
          <w:divBdr>
            <w:top w:val="none" w:sz="0" w:space="0" w:color="auto"/>
            <w:left w:val="none" w:sz="0" w:space="0" w:color="auto"/>
            <w:bottom w:val="none" w:sz="0" w:space="0" w:color="auto"/>
            <w:right w:val="none" w:sz="0" w:space="0" w:color="auto"/>
          </w:divBdr>
        </w:div>
        <w:div w:id="294145619">
          <w:marLeft w:val="0"/>
          <w:marRight w:val="0"/>
          <w:marTop w:val="0"/>
          <w:marBottom w:val="0"/>
          <w:divBdr>
            <w:top w:val="none" w:sz="0" w:space="0" w:color="auto"/>
            <w:left w:val="none" w:sz="0" w:space="0" w:color="auto"/>
            <w:bottom w:val="none" w:sz="0" w:space="0" w:color="auto"/>
            <w:right w:val="none" w:sz="0" w:space="0" w:color="auto"/>
          </w:divBdr>
        </w:div>
        <w:div w:id="294145700">
          <w:marLeft w:val="0"/>
          <w:marRight w:val="0"/>
          <w:marTop w:val="0"/>
          <w:marBottom w:val="0"/>
          <w:divBdr>
            <w:top w:val="none" w:sz="0" w:space="0" w:color="auto"/>
            <w:left w:val="none" w:sz="0" w:space="0" w:color="auto"/>
            <w:bottom w:val="none" w:sz="0" w:space="0" w:color="auto"/>
            <w:right w:val="none" w:sz="0" w:space="0" w:color="auto"/>
          </w:divBdr>
        </w:div>
        <w:div w:id="294145728">
          <w:marLeft w:val="0"/>
          <w:marRight w:val="0"/>
          <w:marTop w:val="0"/>
          <w:marBottom w:val="0"/>
          <w:divBdr>
            <w:top w:val="none" w:sz="0" w:space="0" w:color="auto"/>
            <w:left w:val="none" w:sz="0" w:space="0" w:color="auto"/>
            <w:bottom w:val="none" w:sz="0" w:space="0" w:color="auto"/>
            <w:right w:val="none" w:sz="0" w:space="0" w:color="auto"/>
          </w:divBdr>
        </w:div>
        <w:div w:id="294145834">
          <w:marLeft w:val="0"/>
          <w:marRight w:val="0"/>
          <w:marTop w:val="0"/>
          <w:marBottom w:val="0"/>
          <w:divBdr>
            <w:top w:val="none" w:sz="0" w:space="0" w:color="auto"/>
            <w:left w:val="none" w:sz="0" w:space="0" w:color="auto"/>
            <w:bottom w:val="none" w:sz="0" w:space="0" w:color="auto"/>
            <w:right w:val="none" w:sz="0" w:space="0" w:color="auto"/>
          </w:divBdr>
        </w:div>
        <w:div w:id="294146055">
          <w:marLeft w:val="0"/>
          <w:marRight w:val="0"/>
          <w:marTop w:val="0"/>
          <w:marBottom w:val="0"/>
          <w:divBdr>
            <w:top w:val="none" w:sz="0" w:space="0" w:color="auto"/>
            <w:left w:val="none" w:sz="0" w:space="0" w:color="auto"/>
            <w:bottom w:val="none" w:sz="0" w:space="0" w:color="auto"/>
            <w:right w:val="none" w:sz="0" w:space="0" w:color="auto"/>
          </w:divBdr>
        </w:div>
        <w:div w:id="294146341">
          <w:marLeft w:val="0"/>
          <w:marRight w:val="0"/>
          <w:marTop w:val="0"/>
          <w:marBottom w:val="0"/>
          <w:divBdr>
            <w:top w:val="none" w:sz="0" w:space="0" w:color="auto"/>
            <w:left w:val="none" w:sz="0" w:space="0" w:color="auto"/>
            <w:bottom w:val="none" w:sz="0" w:space="0" w:color="auto"/>
            <w:right w:val="none" w:sz="0" w:space="0" w:color="auto"/>
          </w:divBdr>
        </w:div>
        <w:div w:id="294146415">
          <w:marLeft w:val="0"/>
          <w:marRight w:val="0"/>
          <w:marTop w:val="0"/>
          <w:marBottom w:val="0"/>
          <w:divBdr>
            <w:top w:val="none" w:sz="0" w:space="0" w:color="auto"/>
            <w:left w:val="none" w:sz="0" w:space="0" w:color="auto"/>
            <w:bottom w:val="none" w:sz="0" w:space="0" w:color="auto"/>
            <w:right w:val="none" w:sz="0" w:space="0" w:color="auto"/>
          </w:divBdr>
        </w:div>
        <w:div w:id="294146522">
          <w:marLeft w:val="0"/>
          <w:marRight w:val="0"/>
          <w:marTop w:val="0"/>
          <w:marBottom w:val="0"/>
          <w:divBdr>
            <w:top w:val="none" w:sz="0" w:space="0" w:color="auto"/>
            <w:left w:val="none" w:sz="0" w:space="0" w:color="auto"/>
            <w:bottom w:val="none" w:sz="0" w:space="0" w:color="auto"/>
            <w:right w:val="none" w:sz="0" w:space="0" w:color="auto"/>
          </w:divBdr>
        </w:div>
        <w:div w:id="294146769">
          <w:marLeft w:val="0"/>
          <w:marRight w:val="0"/>
          <w:marTop w:val="0"/>
          <w:marBottom w:val="0"/>
          <w:divBdr>
            <w:top w:val="none" w:sz="0" w:space="0" w:color="auto"/>
            <w:left w:val="none" w:sz="0" w:space="0" w:color="auto"/>
            <w:bottom w:val="none" w:sz="0" w:space="0" w:color="auto"/>
            <w:right w:val="none" w:sz="0" w:space="0" w:color="auto"/>
          </w:divBdr>
        </w:div>
        <w:div w:id="294147013">
          <w:marLeft w:val="0"/>
          <w:marRight w:val="0"/>
          <w:marTop w:val="0"/>
          <w:marBottom w:val="0"/>
          <w:divBdr>
            <w:top w:val="none" w:sz="0" w:space="0" w:color="auto"/>
            <w:left w:val="none" w:sz="0" w:space="0" w:color="auto"/>
            <w:bottom w:val="none" w:sz="0" w:space="0" w:color="auto"/>
            <w:right w:val="none" w:sz="0" w:space="0" w:color="auto"/>
          </w:divBdr>
        </w:div>
        <w:div w:id="294147182">
          <w:marLeft w:val="0"/>
          <w:marRight w:val="0"/>
          <w:marTop w:val="0"/>
          <w:marBottom w:val="0"/>
          <w:divBdr>
            <w:top w:val="none" w:sz="0" w:space="0" w:color="auto"/>
            <w:left w:val="none" w:sz="0" w:space="0" w:color="auto"/>
            <w:bottom w:val="none" w:sz="0" w:space="0" w:color="auto"/>
            <w:right w:val="none" w:sz="0" w:space="0" w:color="auto"/>
          </w:divBdr>
        </w:div>
        <w:div w:id="294147235">
          <w:marLeft w:val="0"/>
          <w:marRight w:val="0"/>
          <w:marTop w:val="0"/>
          <w:marBottom w:val="0"/>
          <w:divBdr>
            <w:top w:val="none" w:sz="0" w:space="0" w:color="auto"/>
            <w:left w:val="none" w:sz="0" w:space="0" w:color="auto"/>
            <w:bottom w:val="none" w:sz="0" w:space="0" w:color="auto"/>
            <w:right w:val="none" w:sz="0" w:space="0" w:color="auto"/>
          </w:divBdr>
        </w:div>
        <w:div w:id="294147270">
          <w:marLeft w:val="0"/>
          <w:marRight w:val="0"/>
          <w:marTop w:val="0"/>
          <w:marBottom w:val="0"/>
          <w:divBdr>
            <w:top w:val="none" w:sz="0" w:space="0" w:color="auto"/>
            <w:left w:val="none" w:sz="0" w:space="0" w:color="auto"/>
            <w:bottom w:val="none" w:sz="0" w:space="0" w:color="auto"/>
            <w:right w:val="none" w:sz="0" w:space="0" w:color="auto"/>
          </w:divBdr>
        </w:div>
        <w:div w:id="294147385">
          <w:marLeft w:val="0"/>
          <w:marRight w:val="0"/>
          <w:marTop w:val="0"/>
          <w:marBottom w:val="0"/>
          <w:divBdr>
            <w:top w:val="none" w:sz="0" w:space="0" w:color="auto"/>
            <w:left w:val="none" w:sz="0" w:space="0" w:color="auto"/>
            <w:bottom w:val="none" w:sz="0" w:space="0" w:color="auto"/>
            <w:right w:val="none" w:sz="0" w:space="0" w:color="auto"/>
          </w:divBdr>
        </w:div>
        <w:div w:id="294147412">
          <w:marLeft w:val="0"/>
          <w:marRight w:val="0"/>
          <w:marTop w:val="0"/>
          <w:marBottom w:val="0"/>
          <w:divBdr>
            <w:top w:val="none" w:sz="0" w:space="0" w:color="auto"/>
            <w:left w:val="none" w:sz="0" w:space="0" w:color="auto"/>
            <w:bottom w:val="none" w:sz="0" w:space="0" w:color="auto"/>
            <w:right w:val="none" w:sz="0" w:space="0" w:color="auto"/>
          </w:divBdr>
        </w:div>
        <w:div w:id="294147645">
          <w:marLeft w:val="0"/>
          <w:marRight w:val="0"/>
          <w:marTop w:val="0"/>
          <w:marBottom w:val="0"/>
          <w:divBdr>
            <w:top w:val="none" w:sz="0" w:space="0" w:color="auto"/>
            <w:left w:val="none" w:sz="0" w:space="0" w:color="auto"/>
            <w:bottom w:val="none" w:sz="0" w:space="0" w:color="auto"/>
            <w:right w:val="none" w:sz="0" w:space="0" w:color="auto"/>
          </w:divBdr>
        </w:div>
        <w:div w:id="294147925">
          <w:marLeft w:val="0"/>
          <w:marRight w:val="0"/>
          <w:marTop w:val="0"/>
          <w:marBottom w:val="0"/>
          <w:divBdr>
            <w:top w:val="none" w:sz="0" w:space="0" w:color="auto"/>
            <w:left w:val="none" w:sz="0" w:space="0" w:color="auto"/>
            <w:bottom w:val="none" w:sz="0" w:space="0" w:color="auto"/>
            <w:right w:val="none" w:sz="0" w:space="0" w:color="auto"/>
          </w:divBdr>
        </w:div>
        <w:div w:id="294147937">
          <w:marLeft w:val="0"/>
          <w:marRight w:val="0"/>
          <w:marTop w:val="0"/>
          <w:marBottom w:val="0"/>
          <w:divBdr>
            <w:top w:val="none" w:sz="0" w:space="0" w:color="auto"/>
            <w:left w:val="none" w:sz="0" w:space="0" w:color="auto"/>
            <w:bottom w:val="none" w:sz="0" w:space="0" w:color="auto"/>
            <w:right w:val="none" w:sz="0" w:space="0" w:color="auto"/>
          </w:divBdr>
        </w:div>
        <w:div w:id="294148014">
          <w:marLeft w:val="0"/>
          <w:marRight w:val="0"/>
          <w:marTop w:val="0"/>
          <w:marBottom w:val="0"/>
          <w:divBdr>
            <w:top w:val="none" w:sz="0" w:space="0" w:color="auto"/>
            <w:left w:val="none" w:sz="0" w:space="0" w:color="auto"/>
            <w:bottom w:val="none" w:sz="0" w:space="0" w:color="auto"/>
            <w:right w:val="none" w:sz="0" w:space="0" w:color="auto"/>
          </w:divBdr>
        </w:div>
        <w:div w:id="294148138">
          <w:marLeft w:val="0"/>
          <w:marRight w:val="0"/>
          <w:marTop w:val="0"/>
          <w:marBottom w:val="0"/>
          <w:divBdr>
            <w:top w:val="none" w:sz="0" w:space="0" w:color="auto"/>
            <w:left w:val="none" w:sz="0" w:space="0" w:color="auto"/>
            <w:bottom w:val="none" w:sz="0" w:space="0" w:color="auto"/>
            <w:right w:val="none" w:sz="0" w:space="0" w:color="auto"/>
          </w:divBdr>
        </w:div>
        <w:div w:id="294148184">
          <w:marLeft w:val="0"/>
          <w:marRight w:val="0"/>
          <w:marTop w:val="0"/>
          <w:marBottom w:val="0"/>
          <w:divBdr>
            <w:top w:val="none" w:sz="0" w:space="0" w:color="auto"/>
            <w:left w:val="none" w:sz="0" w:space="0" w:color="auto"/>
            <w:bottom w:val="none" w:sz="0" w:space="0" w:color="auto"/>
            <w:right w:val="none" w:sz="0" w:space="0" w:color="auto"/>
          </w:divBdr>
        </w:div>
        <w:div w:id="294149918">
          <w:marLeft w:val="0"/>
          <w:marRight w:val="0"/>
          <w:marTop w:val="0"/>
          <w:marBottom w:val="0"/>
          <w:divBdr>
            <w:top w:val="none" w:sz="0" w:space="0" w:color="auto"/>
            <w:left w:val="none" w:sz="0" w:space="0" w:color="auto"/>
            <w:bottom w:val="none" w:sz="0" w:space="0" w:color="auto"/>
            <w:right w:val="none" w:sz="0" w:space="0" w:color="auto"/>
          </w:divBdr>
        </w:div>
        <w:div w:id="294150327">
          <w:marLeft w:val="0"/>
          <w:marRight w:val="0"/>
          <w:marTop w:val="0"/>
          <w:marBottom w:val="0"/>
          <w:divBdr>
            <w:top w:val="none" w:sz="0" w:space="0" w:color="auto"/>
            <w:left w:val="none" w:sz="0" w:space="0" w:color="auto"/>
            <w:bottom w:val="none" w:sz="0" w:space="0" w:color="auto"/>
            <w:right w:val="none" w:sz="0" w:space="0" w:color="auto"/>
          </w:divBdr>
        </w:div>
        <w:div w:id="294150487">
          <w:marLeft w:val="0"/>
          <w:marRight w:val="0"/>
          <w:marTop w:val="0"/>
          <w:marBottom w:val="0"/>
          <w:divBdr>
            <w:top w:val="none" w:sz="0" w:space="0" w:color="auto"/>
            <w:left w:val="none" w:sz="0" w:space="0" w:color="auto"/>
            <w:bottom w:val="none" w:sz="0" w:space="0" w:color="auto"/>
            <w:right w:val="none" w:sz="0" w:space="0" w:color="auto"/>
          </w:divBdr>
        </w:div>
        <w:div w:id="294150662">
          <w:marLeft w:val="0"/>
          <w:marRight w:val="0"/>
          <w:marTop w:val="0"/>
          <w:marBottom w:val="0"/>
          <w:divBdr>
            <w:top w:val="none" w:sz="0" w:space="0" w:color="auto"/>
            <w:left w:val="none" w:sz="0" w:space="0" w:color="auto"/>
            <w:bottom w:val="none" w:sz="0" w:space="0" w:color="auto"/>
            <w:right w:val="none" w:sz="0" w:space="0" w:color="auto"/>
          </w:divBdr>
        </w:div>
        <w:div w:id="294150692">
          <w:marLeft w:val="0"/>
          <w:marRight w:val="0"/>
          <w:marTop w:val="0"/>
          <w:marBottom w:val="0"/>
          <w:divBdr>
            <w:top w:val="none" w:sz="0" w:space="0" w:color="auto"/>
            <w:left w:val="none" w:sz="0" w:space="0" w:color="auto"/>
            <w:bottom w:val="none" w:sz="0" w:space="0" w:color="auto"/>
            <w:right w:val="none" w:sz="0" w:space="0" w:color="auto"/>
          </w:divBdr>
        </w:div>
        <w:div w:id="294150872">
          <w:marLeft w:val="0"/>
          <w:marRight w:val="0"/>
          <w:marTop w:val="0"/>
          <w:marBottom w:val="0"/>
          <w:divBdr>
            <w:top w:val="none" w:sz="0" w:space="0" w:color="auto"/>
            <w:left w:val="none" w:sz="0" w:space="0" w:color="auto"/>
            <w:bottom w:val="none" w:sz="0" w:space="0" w:color="auto"/>
            <w:right w:val="none" w:sz="0" w:space="0" w:color="auto"/>
          </w:divBdr>
        </w:div>
        <w:div w:id="294150990">
          <w:marLeft w:val="0"/>
          <w:marRight w:val="0"/>
          <w:marTop w:val="0"/>
          <w:marBottom w:val="0"/>
          <w:divBdr>
            <w:top w:val="none" w:sz="0" w:space="0" w:color="auto"/>
            <w:left w:val="none" w:sz="0" w:space="0" w:color="auto"/>
            <w:bottom w:val="none" w:sz="0" w:space="0" w:color="auto"/>
            <w:right w:val="none" w:sz="0" w:space="0" w:color="auto"/>
          </w:divBdr>
        </w:div>
        <w:div w:id="294151106">
          <w:marLeft w:val="0"/>
          <w:marRight w:val="0"/>
          <w:marTop w:val="0"/>
          <w:marBottom w:val="0"/>
          <w:divBdr>
            <w:top w:val="none" w:sz="0" w:space="0" w:color="auto"/>
            <w:left w:val="none" w:sz="0" w:space="0" w:color="auto"/>
            <w:bottom w:val="none" w:sz="0" w:space="0" w:color="auto"/>
            <w:right w:val="none" w:sz="0" w:space="0" w:color="auto"/>
          </w:divBdr>
        </w:div>
        <w:div w:id="294151231">
          <w:marLeft w:val="0"/>
          <w:marRight w:val="0"/>
          <w:marTop w:val="0"/>
          <w:marBottom w:val="0"/>
          <w:divBdr>
            <w:top w:val="none" w:sz="0" w:space="0" w:color="auto"/>
            <w:left w:val="none" w:sz="0" w:space="0" w:color="auto"/>
            <w:bottom w:val="none" w:sz="0" w:space="0" w:color="auto"/>
            <w:right w:val="none" w:sz="0" w:space="0" w:color="auto"/>
          </w:divBdr>
        </w:div>
        <w:div w:id="294151279">
          <w:marLeft w:val="0"/>
          <w:marRight w:val="0"/>
          <w:marTop w:val="0"/>
          <w:marBottom w:val="0"/>
          <w:divBdr>
            <w:top w:val="none" w:sz="0" w:space="0" w:color="auto"/>
            <w:left w:val="none" w:sz="0" w:space="0" w:color="auto"/>
            <w:bottom w:val="none" w:sz="0" w:space="0" w:color="auto"/>
            <w:right w:val="none" w:sz="0" w:space="0" w:color="auto"/>
          </w:divBdr>
        </w:div>
        <w:div w:id="294151295">
          <w:marLeft w:val="0"/>
          <w:marRight w:val="0"/>
          <w:marTop w:val="0"/>
          <w:marBottom w:val="0"/>
          <w:divBdr>
            <w:top w:val="none" w:sz="0" w:space="0" w:color="auto"/>
            <w:left w:val="none" w:sz="0" w:space="0" w:color="auto"/>
            <w:bottom w:val="none" w:sz="0" w:space="0" w:color="auto"/>
            <w:right w:val="none" w:sz="0" w:space="0" w:color="auto"/>
          </w:divBdr>
        </w:div>
        <w:div w:id="294151328">
          <w:marLeft w:val="0"/>
          <w:marRight w:val="0"/>
          <w:marTop w:val="0"/>
          <w:marBottom w:val="0"/>
          <w:divBdr>
            <w:top w:val="none" w:sz="0" w:space="0" w:color="auto"/>
            <w:left w:val="none" w:sz="0" w:space="0" w:color="auto"/>
            <w:bottom w:val="none" w:sz="0" w:space="0" w:color="auto"/>
            <w:right w:val="none" w:sz="0" w:space="0" w:color="auto"/>
          </w:divBdr>
        </w:div>
        <w:div w:id="294151357">
          <w:marLeft w:val="0"/>
          <w:marRight w:val="0"/>
          <w:marTop w:val="0"/>
          <w:marBottom w:val="0"/>
          <w:divBdr>
            <w:top w:val="none" w:sz="0" w:space="0" w:color="auto"/>
            <w:left w:val="none" w:sz="0" w:space="0" w:color="auto"/>
            <w:bottom w:val="none" w:sz="0" w:space="0" w:color="auto"/>
            <w:right w:val="none" w:sz="0" w:space="0" w:color="auto"/>
          </w:divBdr>
        </w:div>
        <w:div w:id="294151395">
          <w:marLeft w:val="0"/>
          <w:marRight w:val="0"/>
          <w:marTop w:val="0"/>
          <w:marBottom w:val="0"/>
          <w:divBdr>
            <w:top w:val="none" w:sz="0" w:space="0" w:color="auto"/>
            <w:left w:val="none" w:sz="0" w:space="0" w:color="auto"/>
            <w:bottom w:val="none" w:sz="0" w:space="0" w:color="auto"/>
            <w:right w:val="none" w:sz="0" w:space="0" w:color="auto"/>
          </w:divBdr>
        </w:div>
        <w:div w:id="294151535">
          <w:marLeft w:val="0"/>
          <w:marRight w:val="0"/>
          <w:marTop w:val="0"/>
          <w:marBottom w:val="0"/>
          <w:divBdr>
            <w:top w:val="none" w:sz="0" w:space="0" w:color="auto"/>
            <w:left w:val="none" w:sz="0" w:space="0" w:color="auto"/>
            <w:bottom w:val="none" w:sz="0" w:space="0" w:color="auto"/>
            <w:right w:val="none" w:sz="0" w:space="0" w:color="auto"/>
          </w:divBdr>
        </w:div>
        <w:div w:id="294151568">
          <w:marLeft w:val="0"/>
          <w:marRight w:val="0"/>
          <w:marTop w:val="0"/>
          <w:marBottom w:val="0"/>
          <w:divBdr>
            <w:top w:val="none" w:sz="0" w:space="0" w:color="auto"/>
            <w:left w:val="none" w:sz="0" w:space="0" w:color="auto"/>
            <w:bottom w:val="none" w:sz="0" w:space="0" w:color="auto"/>
            <w:right w:val="none" w:sz="0" w:space="0" w:color="auto"/>
          </w:divBdr>
        </w:div>
        <w:div w:id="294151681">
          <w:marLeft w:val="0"/>
          <w:marRight w:val="0"/>
          <w:marTop w:val="0"/>
          <w:marBottom w:val="0"/>
          <w:divBdr>
            <w:top w:val="none" w:sz="0" w:space="0" w:color="auto"/>
            <w:left w:val="none" w:sz="0" w:space="0" w:color="auto"/>
            <w:bottom w:val="none" w:sz="0" w:space="0" w:color="auto"/>
            <w:right w:val="none" w:sz="0" w:space="0" w:color="auto"/>
          </w:divBdr>
        </w:div>
        <w:div w:id="294152197">
          <w:marLeft w:val="0"/>
          <w:marRight w:val="0"/>
          <w:marTop w:val="0"/>
          <w:marBottom w:val="0"/>
          <w:divBdr>
            <w:top w:val="none" w:sz="0" w:space="0" w:color="auto"/>
            <w:left w:val="none" w:sz="0" w:space="0" w:color="auto"/>
            <w:bottom w:val="none" w:sz="0" w:space="0" w:color="auto"/>
            <w:right w:val="none" w:sz="0" w:space="0" w:color="auto"/>
          </w:divBdr>
        </w:div>
        <w:div w:id="294152229">
          <w:marLeft w:val="0"/>
          <w:marRight w:val="0"/>
          <w:marTop w:val="0"/>
          <w:marBottom w:val="0"/>
          <w:divBdr>
            <w:top w:val="none" w:sz="0" w:space="0" w:color="auto"/>
            <w:left w:val="none" w:sz="0" w:space="0" w:color="auto"/>
            <w:bottom w:val="none" w:sz="0" w:space="0" w:color="auto"/>
            <w:right w:val="none" w:sz="0" w:space="0" w:color="auto"/>
          </w:divBdr>
        </w:div>
        <w:div w:id="294152427">
          <w:marLeft w:val="0"/>
          <w:marRight w:val="0"/>
          <w:marTop w:val="0"/>
          <w:marBottom w:val="0"/>
          <w:divBdr>
            <w:top w:val="none" w:sz="0" w:space="0" w:color="auto"/>
            <w:left w:val="none" w:sz="0" w:space="0" w:color="auto"/>
            <w:bottom w:val="none" w:sz="0" w:space="0" w:color="auto"/>
            <w:right w:val="none" w:sz="0" w:space="0" w:color="auto"/>
          </w:divBdr>
        </w:div>
        <w:div w:id="294152673">
          <w:marLeft w:val="0"/>
          <w:marRight w:val="0"/>
          <w:marTop w:val="0"/>
          <w:marBottom w:val="0"/>
          <w:divBdr>
            <w:top w:val="none" w:sz="0" w:space="0" w:color="auto"/>
            <w:left w:val="none" w:sz="0" w:space="0" w:color="auto"/>
            <w:bottom w:val="none" w:sz="0" w:space="0" w:color="auto"/>
            <w:right w:val="none" w:sz="0" w:space="0" w:color="auto"/>
          </w:divBdr>
        </w:div>
        <w:div w:id="294152748">
          <w:marLeft w:val="0"/>
          <w:marRight w:val="0"/>
          <w:marTop w:val="0"/>
          <w:marBottom w:val="0"/>
          <w:divBdr>
            <w:top w:val="none" w:sz="0" w:space="0" w:color="auto"/>
            <w:left w:val="none" w:sz="0" w:space="0" w:color="auto"/>
            <w:bottom w:val="none" w:sz="0" w:space="0" w:color="auto"/>
            <w:right w:val="none" w:sz="0" w:space="0" w:color="auto"/>
          </w:divBdr>
        </w:div>
        <w:div w:id="294152917">
          <w:marLeft w:val="0"/>
          <w:marRight w:val="0"/>
          <w:marTop w:val="0"/>
          <w:marBottom w:val="0"/>
          <w:divBdr>
            <w:top w:val="none" w:sz="0" w:space="0" w:color="auto"/>
            <w:left w:val="none" w:sz="0" w:space="0" w:color="auto"/>
            <w:bottom w:val="none" w:sz="0" w:space="0" w:color="auto"/>
            <w:right w:val="none" w:sz="0" w:space="0" w:color="auto"/>
          </w:divBdr>
        </w:div>
        <w:div w:id="294152930">
          <w:marLeft w:val="0"/>
          <w:marRight w:val="0"/>
          <w:marTop w:val="0"/>
          <w:marBottom w:val="0"/>
          <w:divBdr>
            <w:top w:val="none" w:sz="0" w:space="0" w:color="auto"/>
            <w:left w:val="none" w:sz="0" w:space="0" w:color="auto"/>
            <w:bottom w:val="none" w:sz="0" w:space="0" w:color="auto"/>
            <w:right w:val="none" w:sz="0" w:space="0" w:color="auto"/>
          </w:divBdr>
        </w:div>
        <w:div w:id="294153680">
          <w:marLeft w:val="0"/>
          <w:marRight w:val="0"/>
          <w:marTop w:val="0"/>
          <w:marBottom w:val="0"/>
          <w:divBdr>
            <w:top w:val="none" w:sz="0" w:space="0" w:color="auto"/>
            <w:left w:val="none" w:sz="0" w:space="0" w:color="auto"/>
            <w:bottom w:val="none" w:sz="0" w:space="0" w:color="auto"/>
            <w:right w:val="none" w:sz="0" w:space="0" w:color="auto"/>
          </w:divBdr>
        </w:div>
        <w:div w:id="294154227">
          <w:marLeft w:val="0"/>
          <w:marRight w:val="0"/>
          <w:marTop w:val="0"/>
          <w:marBottom w:val="0"/>
          <w:divBdr>
            <w:top w:val="none" w:sz="0" w:space="0" w:color="auto"/>
            <w:left w:val="none" w:sz="0" w:space="0" w:color="auto"/>
            <w:bottom w:val="none" w:sz="0" w:space="0" w:color="auto"/>
            <w:right w:val="none" w:sz="0" w:space="0" w:color="auto"/>
          </w:divBdr>
        </w:div>
        <w:div w:id="294154248">
          <w:marLeft w:val="0"/>
          <w:marRight w:val="0"/>
          <w:marTop w:val="0"/>
          <w:marBottom w:val="0"/>
          <w:divBdr>
            <w:top w:val="none" w:sz="0" w:space="0" w:color="auto"/>
            <w:left w:val="none" w:sz="0" w:space="0" w:color="auto"/>
            <w:bottom w:val="none" w:sz="0" w:space="0" w:color="auto"/>
            <w:right w:val="none" w:sz="0" w:space="0" w:color="auto"/>
          </w:divBdr>
        </w:div>
        <w:div w:id="294154461">
          <w:marLeft w:val="0"/>
          <w:marRight w:val="0"/>
          <w:marTop w:val="0"/>
          <w:marBottom w:val="0"/>
          <w:divBdr>
            <w:top w:val="none" w:sz="0" w:space="0" w:color="auto"/>
            <w:left w:val="none" w:sz="0" w:space="0" w:color="auto"/>
            <w:bottom w:val="none" w:sz="0" w:space="0" w:color="auto"/>
            <w:right w:val="none" w:sz="0" w:space="0" w:color="auto"/>
          </w:divBdr>
        </w:div>
        <w:div w:id="294154487">
          <w:marLeft w:val="0"/>
          <w:marRight w:val="0"/>
          <w:marTop w:val="0"/>
          <w:marBottom w:val="0"/>
          <w:divBdr>
            <w:top w:val="none" w:sz="0" w:space="0" w:color="auto"/>
            <w:left w:val="none" w:sz="0" w:space="0" w:color="auto"/>
            <w:bottom w:val="none" w:sz="0" w:space="0" w:color="auto"/>
            <w:right w:val="none" w:sz="0" w:space="0" w:color="auto"/>
          </w:divBdr>
        </w:div>
        <w:div w:id="294154514">
          <w:marLeft w:val="0"/>
          <w:marRight w:val="0"/>
          <w:marTop w:val="0"/>
          <w:marBottom w:val="0"/>
          <w:divBdr>
            <w:top w:val="none" w:sz="0" w:space="0" w:color="auto"/>
            <w:left w:val="none" w:sz="0" w:space="0" w:color="auto"/>
            <w:bottom w:val="none" w:sz="0" w:space="0" w:color="auto"/>
            <w:right w:val="none" w:sz="0" w:space="0" w:color="auto"/>
          </w:divBdr>
        </w:div>
        <w:div w:id="294154727">
          <w:marLeft w:val="0"/>
          <w:marRight w:val="0"/>
          <w:marTop w:val="0"/>
          <w:marBottom w:val="0"/>
          <w:divBdr>
            <w:top w:val="none" w:sz="0" w:space="0" w:color="auto"/>
            <w:left w:val="none" w:sz="0" w:space="0" w:color="auto"/>
            <w:bottom w:val="none" w:sz="0" w:space="0" w:color="auto"/>
            <w:right w:val="none" w:sz="0" w:space="0" w:color="auto"/>
          </w:divBdr>
        </w:div>
        <w:div w:id="294154750">
          <w:marLeft w:val="0"/>
          <w:marRight w:val="0"/>
          <w:marTop w:val="0"/>
          <w:marBottom w:val="0"/>
          <w:divBdr>
            <w:top w:val="none" w:sz="0" w:space="0" w:color="auto"/>
            <w:left w:val="none" w:sz="0" w:space="0" w:color="auto"/>
            <w:bottom w:val="none" w:sz="0" w:space="0" w:color="auto"/>
            <w:right w:val="none" w:sz="0" w:space="0" w:color="auto"/>
          </w:divBdr>
        </w:div>
        <w:div w:id="294154823">
          <w:marLeft w:val="0"/>
          <w:marRight w:val="0"/>
          <w:marTop w:val="0"/>
          <w:marBottom w:val="0"/>
          <w:divBdr>
            <w:top w:val="none" w:sz="0" w:space="0" w:color="auto"/>
            <w:left w:val="none" w:sz="0" w:space="0" w:color="auto"/>
            <w:bottom w:val="none" w:sz="0" w:space="0" w:color="auto"/>
            <w:right w:val="none" w:sz="0" w:space="0" w:color="auto"/>
          </w:divBdr>
        </w:div>
        <w:div w:id="294154921">
          <w:marLeft w:val="0"/>
          <w:marRight w:val="0"/>
          <w:marTop w:val="0"/>
          <w:marBottom w:val="0"/>
          <w:divBdr>
            <w:top w:val="none" w:sz="0" w:space="0" w:color="auto"/>
            <w:left w:val="none" w:sz="0" w:space="0" w:color="auto"/>
            <w:bottom w:val="none" w:sz="0" w:space="0" w:color="auto"/>
            <w:right w:val="none" w:sz="0" w:space="0" w:color="auto"/>
          </w:divBdr>
        </w:div>
        <w:div w:id="294155237">
          <w:marLeft w:val="0"/>
          <w:marRight w:val="0"/>
          <w:marTop w:val="0"/>
          <w:marBottom w:val="0"/>
          <w:divBdr>
            <w:top w:val="none" w:sz="0" w:space="0" w:color="auto"/>
            <w:left w:val="none" w:sz="0" w:space="0" w:color="auto"/>
            <w:bottom w:val="none" w:sz="0" w:space="0" w:color="auto"/>
            <w:right w:val="none" w:sz="0" w:space="0" w:color="auto"/>
          </w:divBdr>
        </w:div>
        <w:div w:id="294155281">
          <w:marLeft w:val="0"/>
          <w:marRight w:val="0"/>
          <w:marTop w:val="0"/>
          <w:marBottom w:val="0"/>
          <w:divBdr>
            <w:top w:val="none" w:sz="0" w:space="0" w:color="auto"/>
            <w:left w:val="none" w:sz="0" w:space="0" w:color="auto"/>
            <w:bottom w:val="none" w:sz="0" w:space="0" w:color="auto"/>
            <w:right w:val="none" w:sz="0" w:space="0" w:color="auto"/>
          </w:divBdr>
        </w:div>
        <w:div w:id="294155333">
          <w:marLeft w:val="0"/>
          <w:marRight w:val="0"/>
          <w:marTop w:val="0"/>
          <w:marBottom w:val="0"/>
          <w:divBdr>
            <w:top w:val="none" w:sz="0" w:space="0" w:color="auto"/>
            <w:left w:val="none" w:sz="0" w:space="0" w:color="auto"/>
            <w:bottom w:val="none" w:sz="0" w:space="0" w:color="auto"/>
            <w:right w:val="none" w:sz="0" w:space="0" w:color="auto"/>
          </w:divBdr>
        </w:div>
        <w:div w:id="294155978">
          <w:marLeft w:val="0"/>
          <w:marRight w:val="0"/>
          <w:marTop w:val="0"/>
          <w:marBottom w:val="0"/>
          <w:divBdr>
            <w:top w:val="none" w:sz="0" w:space="0" w:color="auto"/>
            <w:left w:val="none" w:sz="0" w:space="0" w:color="auto"/>
            <w:bottom w:val="none" w:sz="0" w:space="0" w:color="auto"/>
            <w:right w:val="none" w:sz="0" w:space="0" w:color="auto"/>
          </w:divBdr>
        </w:div>
        <w:div w:id="294156009">
          <w:marLeft w:val="0"/>
          <w:marRight w:val="0"/>
          <w:marTop w:val="0"/>
          <w:marBottom w:val="0"/>
          <w:divBdr>
            <w:top w:val="none" w:sz="0" w:space="0" w:color="auto"/>
            <w:left w:val="none" w:sz="0" w:space="0" w:color="auto"/>
            <w:bottom w:val="none" w:sz="0" w:space="0" w:color="auto"/>
            <w:right w:val="none" w:sz="0" w:space="0" w:color="auto"/>
          </w:divBdr>
        </w:div>
        <w:div w:id="294156105">
          <w:marLeft w:val="0"/>
          <w:marRight w:val="0"/>
          <w:marTop w:val="0"/>
          <w:marBottom w:val="0"/>
          <w:divBdr>
            <w:top w:val="none" w:sz="0" w:space="0" w:color="auto"/>
            <w:left w:val="none" w:sz="0" w:space="0" w:color="auto"/>
            <w:bottom w:val="none" w:sz="0" w:space="0" w:color="auto"/>
            <w:right w:val="none" w:sz="0" w:space="0" w:color="auto"/>
          </w:divBdr>
        </w:div>
        <w:div w:id="294156162">
          <w:marLeft w:val="0"/>
          <w:marRight w:val="0"/>
          <w:marTop w:val="0"/>
          <w:marBottom w:val="0"/>
          <w:divBdr>
            <w:top w:val="none" w:sz="0" w:space="0" w:color="auto"/>
            <w:left w:val="none" w:sz="0" w:space="0" w:color="auto"/>
            <w:bottom w:val="none" w:sz="0" w:space="0" w:color="auto"/>
            <w:right w:val="none" w:sz="0" w:space="0" w:color="auto"/>
          </w:divBdr>
        </w:div>
        <w:div w:id="294156362">
          <w:marLeft w:val="0"/>
          <w:marRight w:val="0"/>
          <w:marTop w:val="0"/>
          <w:marBottom w:val="0"/>
          <w:divBdr>
            <w:top w:val="none" w:sz="0" w:space="0" w:color="auto"/>
            <w:left w:val="none" w:sz="0" w:space="0" w:color="auto"/>
            <w:bottom w:val="none" w:sz="0" w:space="0" w:color="auto"/>
            <w:right w:val="none" w:sz="0" w:space="0" w:color="auto"/>
          </w:divBdr>
        </w:div>
        <w:div w:id="294156446">
          <w:marLeft w:val="0"/>
          <w:marRight w:val="0"/>
          <w:marTop w:val="0"/>
          <w:marBottom w:val="0"/>
          <w:divBdr>
            <w:top w:val="none" w:sz="0" w:space="0" w:color="auto"/>
            <w:left w:val="none" w:sz="0" w:space="0" w:color="auto"/>
            <w:bottom w:val="none" w:sz="0" w:space="0" w:color="auto"/>
            <w:right w:val="none" w:sz="0" w:space="0" w:color="auto"/>
          </w:divBdr>
        </w:div>
        <w:div w:id="294156485">
          <w:marLeft w:val="0"/>
          <w:marRight w:val="0"/>
          <w:marTop w:val="0"/>
          <w:marBottom w:val="0"/>
          <w:divBdr>
            <w:top w:val="none" w:sz="0" w:space="0" w:color="auto"/>
            <w:left w:val="none" w:sz="0" w:space="0" w:color="auto"/>
            <w:bottom w:val="none" w:sz="0" w:space="0" w:color="auto"/>
            <w:right w:val="none" w:sz="0" w:space="0" w:color="auto"/>
          </w:divBdr>
        </w:div>
        <w:div w:id="294156514">
          <w:marLeft w:val="0"/>
          <w:marRight w:val="0"/>
          <w:marTop w:val="0"/>
          <w:marBottom w:val="0"/>
          <w:divBdr>
            <w:top w:val="none" w:sz="0" w:space="0" w:color="auto"/>
            <w:left w:val="none" w:sz="0" w:space="0" w:color="auto"/>
            <w:bottom w:val="none" w:sz="0" w:space="0" w:color="auto"/>
            <w:right w:val="none" w:sz="0" w:space="0" w:color="auto"/>
          </w:divBdr>
        </w:div>
        <w:div w:id="294156595">
          <w:marLeft w:val="0"/>
          <w:marRight w:val="0"/>
          <w:marTop w:val="0"/>
          <w:marBottom w:val="0"/>
          <w:divBdr>
            <w:top w:val="none" w:sz="0" w:space="0" w:color="auto"/>
            <w:left w:val="none" w:sz="0" w:space="0" w:color="auto"/>
            <w:bottom w:val="none" w:sz="0" w:space="0" w:color="auto"/>
            <w:right w:val="none" w:sz="0" w:space="0" w:color="auto"/>
          </w:divBdr>
        </w:div>
        <w:div w:id="294156663">
          <w:marLeft w:val="0"/>
          <w:marRight w:val="0"/>
          <w:marTop w:val="0"/>
          <w:marBottom w:val="0"/>
          <w:divBdr>
            <w:top w:val="none" w:sz="0" w:space="0" w:color="auto"/>
            <w:left w:val="none" w:sz="0" w:space="0" w:color="auto"/>
            <w:bottom w:val="none" w:sz="0" w:space="0" w:color="auto"/>
            <w:right w:val="none" w:sz="0" w:space="0" w:color="auto"/>
          </w:divBdr>
        </w:div>
        <w:div w:id="294156673">
          <w:marLeft w:val="0"/>
          <w:marRight w:val="0"/>
          <w:marTop w:val="0"/>
          <w:marBottom w:val="0"/>
          <w:divBdr>
            <w:top w:val="none" w:sz="0" w:space="0" w:color="auto"/>
            <w:left w:val="none" w:sz="0" w:space="0" w:color="auto"/>
            <w:bottom w:val="none" w:sz="0" w:space="0" w:color="auto"/>
            <w:right w:val="none" w:sz="0" w:space="0" w:color="auto"/>
          </w:divBdr>
        </w:div>
        <w:div w:id="294156709">
          <w:marLeft w:val="0"/>
          <w:marRight w:val="0"/>
          <w:marTop w:val="0"/>
          <w:marBottom w:val="0"/>
          <w:divBdr>
            <w:top w:val="none" w:sz="0" w:space="0" w:color="auto"/>
            <w:left w:val="none" w:sz="0" w:space="0" w:color="auto"/>
            <w:bottom w:val="none" w:sz="0" w:space="0" w:color="auto"/>
            <w:right w:val="none" w:sz="0" w:space="0" w:color="auto"/>
          </w:divBdr>
        </w:div>
        <w:div w:id="294156937">
          <w:marLeft w:val="0"/>
          <w:marRight w:val="0"/>
          <w:marTop w:val="0"/>
          <w:marBottom w:val="0"/>
          <w:divBdr>
            <w:top w:val="none" w:sz="0" w:space="0" w:color="auto"/>
            <w:left w:val="none" w:sz="0" w:space="0" w:color="auto"/>
            <w:bottom w:val="none" w:sz="0" w:space="0" w:color="auto"/>
            <w:right w:val="none" w:sz="0" w:space="0" w:color="auto"/>
          </w:divBdr>
        </w:div>
        <w:div w:id="294157082">
          <w:marLeft w:val="0"/>
          <w:marRight w:val="0"/>
          <w:marTop w:val="0"/>
          <w:marBottom w:val="0"/>
          <w:divBdr>
            <w:top w:val="none" w:sz="0" w:space="0" w:color="auto"/>
            <w:left w:val="none" w:sz="0" w:space="0" w:color="auto"/>
            <w:bottom w:val="none" w:sz="0" w:space="0" w:color="auto"/>
            <w:right w:val="none" w:sz="0" w:space="0" w:color="auto"/>
          </w:divBdr>
        </w:div>
        <w:div w:id="294157246">
          <w:marLeft w:val="0"/>
          <w:marRight w:val="0"/>
          <w:marTop w:val="0"/>
          <w:marBottom w:val="0"/>
          <w:divBdr>
            <w:top w:val="none" w:sz="0" w:space="0" w:color="auto"/>
            <w:left w:val="none" w:sz="0" w:space="0" w:color="auto"/>
            <w:bottom w:val="none" w:sz="0" w:space="0" w:color="auto"/>
            <w:right w:val="none" w:sz="0" w:space="0" w:color="auto"/>
          </w:divBdr>
        </w:div>
        <w:div w:id="294157289">
          <w:marLeft w:val="0"/>
          <w:marRight w:val="0"/>
          <w:marTop w:val="0"/>
          <w:marBottom w:val="0"/>
          <w:divBdr>
            <w:top w:val="none" w:sz="0" w:space="0" w:color="auto"/>
            <w:left w:val="none" w:sz="0" w:space="0" w:color="auto"/>
            <w:bottom w:val="none" w:sz="0" w:space="0" w:color="auto"/>
            <w:right w:val="none" w:sz="0" w:space="0" w:color="auto"/>
          </w:divBdr>
        </w:div>
        <w:div w:id="294157407">
          <w:marLeft w:val="0"/>
          <w:marRight w:val="0"/>
          <w:marTop w:val="0"/>
          <w:marBottom w:val="0"/>
          <w:divBdr>
            <w:top w:val="none" w:sz="0" w:space="0" w:color="auto"/>
            <w:left w:val="none" w:sz="0" w:space="0" w:color="auto"/>
            <w:bottom w:val="none" w:sz="0" w:space="0" w:color="auto"/>
            <w:right w:val="none" w:sz="0" w:space="0" w:color="auto"/>
          </w:divBdr>
        </w:div>
        <w:div w:id="294157434">
          <w:marLeft w:val="0"/>
          <w:marRight w:val="0"/>
          <w:marTop w:val="0"/>
          <w:marBottom w:val="0"/>
          <w:divBdr>
            <w:top w:val="none" w:sz="0" w:space="0" w:color="auto"/>
            <w:left w:val="none" w:sz="0" w:space="0" w:color="auto"/>
            <w:bottom w:val="none" w:sz="0" w:space="0" w:color="auto"/>
            <w:right w:val="none" w:sz="0" w:space="0" w:color="auto"/>
          </w:divBdr>
        </w:div>
        <w:div w:id="294157477">
          <w:marLeft w:val="0"/>
          <w:marRight w:val="0"/>
          <w:marTop w:val="0"/>
          <w:marBottom w:val="0"/>
          <w:divBdr>
            <w:top w:val="none" w:sz="0" w:space="0" w:color="auto"/>
            <w:left w:val="none" w:sz="0" w:space="0" w:color="auto"/>
            <w:bottom w:val="none" w:sz="0" w:space="0" w:color="auto"/>
            <w:right w:val="none" w:sz="0" w:space="0" w:color="auto"/>
          </w:divBdr>
        </w:div>
      </w:divsChild>
    </w:div>
    <w:div w:id="294143126">
      <w:marLeft w:val="0"/>
      <w:marRight w:val="0"/>
      <w:marTop w:val="0"/>
      <w:marBottom w:val="0"/>
      <w:divBdr>
        <w:top w:val="none" w:sz="0" w:space="0" w:color="auto"/>
        <w:left w:val="none" w:sz="0" w:space="0" w:color="auto"/>
        <w:bottom w:val="none" w:sz="0" w:space="0" w:color="auto"/>
        <w:right w:val="none" w:sz="0" w:space="0" w:color="auto"/>
      </w:divBdr>
    </w:div>
    <w:div w:id="294143137">
      <w:marLeft w:val="0"/>
      <w:marRight w:val="0"/>
      <w:marTop w:val="0"/>
      <w:marBottom w:val="0"/>
      <w:divBdr>
        <w:top w:val="none" w:sz="0" w:space="0" w:color="auto"/>
        <w:left w:val="none" w:sz="0" w:space="0" w:color="auto"/>
        <w:bottom w:val="none" w:sz="0" w:space="0" w:color="auto"/>
        <w:right w:val="none" w:sz="0" w:space="0" w:color="auto"/>
      </w:divBdr>
    </w:div>
    <w:div w:id="294143165">
      <w:marLeft w:val="0"/>
      <w:marRight w:val="0"/>
      <w:marTop w:val="0"/>
      <w:marBottom w:val="0"/>
      <w:divBdr>
        <w:top w:val="none" w:sz="0" w:space="0" w:color="auto"/>
        <w:left w:val="none" w:sz="0" w:space="0" w:color="auto"/>
        <w:bottom w:val="none" w:sz="0" w:space="0" w:color="auto"/>
        <w:right w:val="none" w:sz="0" w:space="0" w:color="auto"/>
      </w:divBdr>
      <w:divsChild>
        <w:div w:id="294142690">
          <w:marLeft w:val="0"/>
          <w:marRight w:val="0"/>
          <w:marTop w:val="0"/>
          <w:marBottom w:val="0"/>
          <w:divBdr>
            <w:top w:val="none" w:sz="0" w:space="0" w:color="auto"/>
            <w:left w:val="none" w:sz="0" w:space="0" w:color="auto"/>
            <w:bottom w:val="none" w:sz="0" w:space="0" w:color="auto"/>
            <w:right w:val="none" w:sz="0" w:space="0" w:color="auto"/>
          </w:divBdr>
          <w:divsChild>
            <w:div w:id="294156298">
              <w:marLeft w:val="0"/>
              <w:marRight w:val="0"/>
              <w:marTop w:val="0"/>
              <w:marBottom w:val="0"/>
              <w:divBdr>
                <w:top w:val="none" w:sz="0" w:space="0" w:color="auto"/>
                <w:left w:val="none" w:sz="0" w:space="0" w:color="auto"/>
                <w:bottom w:val="none" w:sz="0" w:space="0" w:color="auto"/>
                <w:right w:val="none" w:sz="0" w:space="0" w:color="auto"/>
              </w:divBdr>
              <w:divsChild>
                <w:div w:id="29414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7473">
          <w:marLeft w:val="0"/>
          <w:marRight w:val="0"/>
          <w:marTop w:val="0"/>
          <w:marBottom w:val="0"/>
          <w:divBdr>
            <w:top w:val="none" w:sz="0" w:space="0" w:color="auto"/>
            <w:left w:val="none" w:sz="0" w:space="0" w:color="auto"/>
            <w:bottom w:val="none" w:sz="0" w:space="0" w:color="auto"/>
            <w:right w:val="none" w:sz="0" w:space="0" w:color="auto"/>
          </w:divBdr>
          <w:divsChild>
            <w:div w:id="294138250">
              <w:marLeft w:val="0"/>
              <w:marRight w:val="0"/>
              <w:marTop w:val="0"/>
              <w:marBottom w:val="0"/>
              <w:divBdr>
                <w:top w:val="none" w:sz="0" w:space="0" w:color="auto"/>
                <w:left w:val="none" w:sz="0" w:space="0" w:color="auto"/>
                <w:bottom w:val="none" w:sz="0" w:space="0" w:color="auto"/>
                <w:right w:val="none" w:sz="0" w:space="0" w:color="auto"/>
              </w:divBdr>
              <w:divsChild>
                <w:div w:id="294138040">
                  <w:marLeft w:val="0"/>
                  <w:marRight w:val="0"/>
                  <w:marTop w:val="0"/>
                  <w:marBottom w:val="0"/>
                  <w:divBdr>
                    <w:top w:val="none" w:sz="0" w:space="0" w:color="auto"/>
                    <w:left w:val="none" w:sz="0" w:space="0" w:color="auto"/>
                    <w:bottom w:val="none" w:sz="0" w:space="0" w:color="auto"/>
                    <w:right w:val="none" w:sz="0" w:space="0" w:color="auto"/>
                  </w:divBdr>
                </w:div>
                <w:div w:id="294138325">
                  <w:marLeft w:val="0"/>
                  <w:marRight w:val="0"/>
                  <w:marTop w:val="0"/>
                  <w:marBottom w:val="0"/>
                  <w:divBdr>
                    <w:top w:val="none" w:sz="0" w:space="0" w:color="auto"/>
                    <w:left w:val="none" w:sz="0" w:space="0" w:color="auto"/>
                    <w:bottom w:val="none" w:sz="0" w:space="0" w:color="auto"/>
                    <w:right w:val="none" w:sz="0" w:space="0" w:color="auto"/>
                  </w:divBdr>
                </w:div>
                <w:div w:id="294138387">
                  <w:marLeft w:val="0"/>
                  <w:marRight w:val="0"/>
                  <w:marTop w:val="0"/>
                  <w:marBottom w:val="0"/>
                  <w:divBdr>
                    <w:top w:val="none" w:sz="0" w:space="0" w:color="auto"/>
                    <w:left w:val="none" w:sz="0" w:space="0" w:color="auto"/>
                    <w:bottom w:val="none" w:sz="0" w:space="0" w:color="auto"/>
                    <w:right w:val="none" w:sz="0" w:space="0" w:color="auto"/>
                  </w:divBdr>
                </w:div>
                <w:div w:id="294138564">
                  <w:marLeft w:val="0"/>
                  <w:marRight w:val="0"/>
                  <w:marTop w:val="0"/>
                  <w:marBottom w:val="0"/>
                  <w:divBdr>
                    <w:top w:val="none" w:sz="0" w:space="0" w:color="auto"/>
                    <w:left w:val="none" w:sz="0" w:space="0" w:color="auto"/>
                    <w:bottom w:val="none" w:sz="0" w:space="0" w:color="auto"/>
                    <w:right w:val="none" w:sz="0" w:space="0" w:color="auto"/>
                  </w:divBdr>
                </w:div>
                <w:div w:id="294138861">
                  <w:marLeft w:val="0"/>
                  <w:marRight w:val="0"/>
                  <w:marTop w:val="0"/>
                  <w:marBottom w:val="0"/>
                  <w:divBdr>
                    <w:top w:val="none" w:sz="0" w:space="0" w:color="auto"/>
                    <w:left w:val="none" w:sz="0" w:space="0" w:color="auto"/>
                    <w:bottom w:val="none" w:sz="0" w:space="0" w:color="auto"/>
                    <w:right w:val="none" w:sz="0" w:space="0" w:color="auto"/>
                  </w:divBdr>
                </w:div>
                <w:div w:id="294139070">
                  <w:marLeft w:val="0"/>
                  <w:marRight w:val="0"/>
                  <w:marTop w:val="0"/>
                  <w:marBottom w:val="0"/>
                  <w:divBdr>
                    <w:top w:val="none" w:sz="0" w:space="0" w:color="auto"/>
                    <w:left w:val="none" w:sz="0" w:space="0" w:color="auto"/>
                    <w:bottom w:val="none" w:sz="0" w:space="0" w:color="auto"/>
                    <w:right w:val="none" w:sz="0" w:space="0" w:color="auto"/>
                  </w:divBdr>
                </w:div>
                <w:div w:id="294139164">
                  <w:marLeft w:val="0"/>
                  <w:marRight w:val="0"/>
                  <w:marTop w:val="0"/>
                  <w:marBottom w:val="0"/>
                  <w:divBdr>
                    <w:top w:val="none" w:sz="0" w:space="0" w:color="auto"/>
                    <w:left w:val="none" w:sz="0" w:space="0" w:color="auto"/>
                    <w:bottom w:val="none" w:sz="0" w:space="0" w:color="auto"/>
                    <w:right w:val="none" w:sz="0" w:space="0" w:color="auto"/>
                  </w:divBdr>
                </w:div>
                <w:div w:id="294139378">
                  <w:marLeft w:val="0"/>
                  <w:marRight w:val="0"/>
                  <w:marTop w:val="0"/>
                  <w:marBottom w:val="0"/>
                  <w:divBdr>
                    <w:top w:val="none" w:sz="0" w:space="0" w:color="auto"/>
                    <w:left w:val="none" w:sz="0" w:space="0" w:color="auto"/>
                    <w:bottom w:val="none" w:sz="0" w:space="0" w:color="auto"/>
                    <w:right w:val="none" w:sz="0" w:space="0" w:color="auto"/>
                  </w:divBdr>
                </w:div>
                <w:div w:id="294139638">
                  <w:marLeft w:val="0"/>
                  <w:marRight w:val="0"/>
                  <w:marTop w:val="0"/>
                  <w:marBottom w:val="0"/>
                  <w:divBdr>
                    <w:top w:val="none" w:sz="0" w:space="0" w:color="auto"/>
                    <w:left w:val="none" w:sz="0" w:space="0" w:color="auto"/>
                    <w:bottom w:val="none" w:sz="0" w:space="0" w:color="auto"/>
                    <w:right w:val="none" w:sz="0" w:space="0" w:color="auto"/>
                  </w:divBdr>
                </w:div>
                <w:div w:id="294139678">
                  <w:marLeft w:val="0"/>
                  <w:marRight w:val="0"/>
                  <w:marTop w:val="0"/>
                  <w:marBottom w:val="0"/>
                  <w:divBdr>
                    <w:top w:val="none" w:sz="0" w:space="0" w:color="auto"/>
                    <w:left w:val="none" w:sz="0" w:space="0" w:color="auto"/>
                    <w:bottom w:val="none" w:sz="0" w:space="0" w:color="auto"/>
                    <w:right w:val="none" w:sz="0" w:space="0" w:color="auto"/>
                  </w:divBdr>
                </w:div>
                <w:div w:id="294139702">
                  <w:marLeft w:val="0"/>
                  <w:marRight w:val="0"/>
                  <w:marTop w:val="0"/>
                  <w:marBottom w:val="0"/>
                  <w:divBdr>
                    <w:top w:val="none" w:sz="0" w:space="0" w:color="auto"/>
                    <w:left w:val="none" w:sz="0" w:space="0" w:color="auto"/>
                    <w:bottom w:val="none" w:sz="0" w:space="0" w:color="auto"/>
                    <w:right w:val="none" w:sz="0" w:space="0" w:color="auto"/>
                  </w:divBdr>
                </w:div>
                <w:div w:id="294139799">
                  <w:marLeft w:val="0"/>
                  <w:marRight w:val="0"/>
                  <w:marTop w:val="0"/>
                  <w:marBottom w:val="0"/>
                  <w:divBdr>
                    <w:top w:val="none" w:sz="0" w:space="0" w:color="auto"/>
                    <w:left w:val="none" w:sz="0" w:space="0" w:color="auto"/>
                    <w:bottom w:val="none" w:sz="0" w:space="0" w:color="auto"/>
                    <w:right w:val="none" w:sz="0" w:space="0" w:color="auto"/>
                  </w:divBdr>
                </w:div>
                <w:div w:id="294140221">
                  <w:marLeft w:val="0"/>
                  <w:marRight w:val="0"/>
                  <w:marTop w:val="0"/>
                  <w:marBottom w:val="0"/>
                  <w:divBdr>
                    <w:top w:val="none" w:sz="0" w:space="0" w:color="auto"/>
                    <w:left w:val="none" w:sz="0" w:space="0" w:color="auto"/>
                    <w:bottom w:val="none" w:sz="0" w:space="0" w:color="auto"/>
                    <w:right w:val="none" w:sz="0" w:space="0" w:color="auto"/>
                  </w:divBdr>
                </w:div>
                <w:div w:id="294140407">
                  <w:marLeft w:val="0"/>
                  <w:marRight w:val="0"/>
                  <w:marTop w:val="0"/>
                  <w:marBottom w:val="0"/>
                  <w:divBdr>
                    <w:top w:val="none" w:sz="0" w:space="0" w:color="auto"/>
                    <w:left w:val="none" w:sz="0" w:space="0" w:color="auto"/>
                    <w:bottom w:val="none" w:sz="0" w:space="0" w:color="auto"/>
                    <w:right w:val="none" w:sz="0" w:space="0" w:color="auto"/>
                  </w:divBdr>
                </w:div>
                <w:div w:id="294140510">
                  <w:marLeft w:val="0"/>
                  <w:marRight w:val="0"/>
                  <w:marTop w:val="0"/>
                  <w:marBottom w:val="0"/>
                  <w:divBdr>
                    <w:top w:val="none" w:sz="0" w:space="0" w:color="auto"/>
                    <w:left w:val="none" w:sz="0" w:space="0" w:color="auto"/>
                    <w:bottom w:val="none" w:sz="0" w:space="0" w:color="auto"/>
                    <w:right w:val="none" w:sz="0" w:space="0" w:color="auto"/>
                  </w:divBdr>
                </w:div>
                <w:div w:id="294140845">
                  <w:marLeft w:val="0"/>
                  <w:marRight w:val="0"/>
                  <w:marTop w:val="0"/>
                  <w:marBottom w:val="0"/>
                  <w:divBdr>
                    <w:top w:val="none" w:sz="0" w:space="0" w:color="auto"/>
                    <w:left w:val="none" w:sz="0" w:space="0" w:color="auto"/>
                    <w:bottom w:val="none" w:sz="0" w:space="0" w:color="auto"/>
                    <w:right w:val="none" w:sz="0" w:space="0" w:color="auto"/>
                  </w:divBdr>
                </w:div>
                <w:div w:id="294140915">
                  <w:marLeft w:val="0"/>
                  <w:marRight w:val="0"/>
                  <w:marTop w:val="0"/>
                  <w:marBottom w:val="0"/>
                  <w:divBdr>
                    <w:top w:val="none" w:sz="0" w:space="0" w:color="auto"/>
                    <w:left w:val="none" w:sz="0" w:space="0" w:color="auto"/>
                    <w:bottom w:val="none" w:sz="0" w:space="0" w:color="auto"/>
                    <w:right w:val="none" w:sz="0" w:space="0" w:color="auto"/>
                  </w:divBdr>
                </w:div>
                <w:div w:id="294140918">
                  <w:marLeft w:val="0"/>
                  <w:marRight w:val="0"/>
                  <w:marTop w:val="0"/>
                  <w:marBottom w:val="0"/>
                  <w:divBdr>
                    <w:top w:val="none" w:sz="0" w:space="0" w:color="auto"/>
                    <w:left w:val="none" w:sz="0" w:space="0" w:color="auto"/>
                    <w:bottom w:val="none" w:sz="0" w:space="0" w:color="auto"/>
                    <w:right w:val="none" w:sz="0" w:space="0" w:color="auto"/>
                  </w:divBdr>
                </w:div>
                <w:div w:id="294140924">
                  <w:marLeft w:val="0"/>
                  <w:marRight w:val="0"/>
                  <w:marTop w:val="0"/>
                  <w:marBottom w:val="0"/>
                  <w:divBdr>
                    <w:top w:val="none" w:sz="0" w:space="0" w:color="auto"/>
                    <w:left w:val="none" w:sz="0" w:space="0" w:color="auto"/>
                    <w:bottom w:val="none" w:sz="0" w:space="0" w:color="auto"/>
                    <w:right w:val="none" w:sz="0" w:space="0" w:color="auto"/>
                  </w:divBdr>
                </w:div>
                <w:div w:id="294141051">
                  <w:marLeft w:val="0"/>
                  <w:marRight w:val="0"/>
                  <w:marTop w:val="0"/>
                  <w:marBottom w:val="0"/>
                  <w:divBdr>
                    <w:top w:val="none" w:sz="0" w:space="0" w:color="auto"/>
                    <w:left w:val="none" w:sz="0" w:space="0" w:color="auto"/>
                    <w:bottom w:val="none" w:sz="0" w:space="0" w:color="auto"/>
                    <w:right w:val="none" w:sz="0" w:space="0" w:color="auto"/>
                  </w:divBdr>
                </w:div>
                <w:div w:id="294141228">
                  <w:marLeft w:val="0"/>
                  <w:marRight w:val="0"/>
                  <w:marTop w:val="0"/>
                  <w:marBottom w:val="0"/>
                  <w:divBdr>
                    <w:top w:val="none" w:sz="0" w:space="0" w:color="auto"/>
                    <w:left w:val="none" w:sz="0" w:space="0" w:color="auto"/>
                    <w:bottom w:val="none" w:sz="0" w:space="0" w:color="auto"/>
                    <w:right w:val="none" w:sz="0" w:space="0" w:color="auto"/>
                  </w:divBdr>
                </w:div>
                <w:div w:id="294141286">
                  <w:marLeft w:val="0"/>
                  <w:marRight w:val="0"/>
                  <w:marTop w:val="0"/>
                  <w:marBottom w:val="0"/>
                  <w:divBdr>
                    <w:top w:val="none" w:sz="0" w:space="0" w:color="auto"/>
                    <w:left w:val="none" w:sz="0" w:space="0" w:color="auto"/>
                    <w:bottom w:val="none" w:sz="0" w:space="0" w:color="auto"/>
                    <w:right w:val="none" w:sz="0" w:space="0" w:color="auto"/>
                  </w:divBdr>
                </w:div>
                <w:div w:id="294141354">
                  <w:marLeft w:val="0"/>
                  <w:marRight w:val="0"/>
                  <w:marTop w:val="0"/>
                  <w:marBottom w:val="0"/>
                  <w:divBdr>
                    <w:top w:val="none" w:sz="0" w:space="0" w:color="auto"/>
                    <w:left w:val="none" w:sz="0" w:space="0" w:color="auto"/>
                    <w:bottom w:val="none" w:sz="0" w:space="0" w:color="auto"/>
                    <w:right w:val="none" w:sz="0" w:space="0" w:color="auto"/>
                  </w:divBdr>
                </w:div>
                <w:div w:id="294141356">
                  <w:marLeft w:val="0"/>
                  <w:marRight w:val="0"/>
                  <w:marTop w:val="0"/>
                  <w:marBottom w:val="0"/>
                  <w:divBdr>
                    <w:top w:val="none" w:sz="0" w:space="0" w:color="auto"/>
                    <w:left w:val="none" w:sz="0" w:space="0" w:color="auto"/>
                    <w:bottom w:val="none" w:sz="0" w:space="0" w:color="auto"/>
                    <w:right w:val="none" w:sz="0" w:space="0" w:color="auto"/>
                  </w:divBdr>
                </w:div>
                <w:div w:id="294141429">
                  <w:marLeft w:val="0"/>
                  <w:marRight w:val="0"/>
                  <w:marTop w:val="0"/>
                  <w:marBottom w:val="0"/>
                  <w:divBdr>
                    <w:top w:val="none" w:sz="0" w:space="0" w:color="auto"/>
                    <w:left w:val="none" w:sz="0" w:space="0" w:color="auto"/>
                    <w:bottom w:val="none" w:sz="0" w:space="0" w:color="auto"/>
                    <w:right w:val="none" w:sz="0" w:space="0" w:color="auto"/>
                  </w:divBdr>
                </w:div>
                <w:div w:id="294142056">
                  <w:marLeft w:val="0"/>
                  <w:marRight w:val="0"/>
                  <w:marTop w:val="0"/>
                  <w:marBottom w:val="0"/>
                  <w:divBdr>
                    <w:top w:val="none" w:sz="0" w:space="0" w:color="auto"/>
                    <w:left w:val="none" w:sz="0" w:space="0" w:color="auto"/>
                    <w:bottom w:val="none" w:sz="0" w:space="0" w:color="auto"/>
                    <w:right w:val="none" w:sz="0" w:space="0" w:color="auto"/>
                  </w:divBdr>
                </w:div>
                <w:div w:id="294142300">
                  <w:marLeft w:val="0"/>
                  <w:marRight w:val="0"/>
                  <w:marTop w:val="0"/>
                  <w:marBottom w:val="0"/>
                  <w:divBdr>
                    <w:top w:val="none" w:sz="0" w:space="0" w:color="auto"/>
                    <w:left w:val="none" w:sz="0" w:space="0" w:color="auto"/>
                    <w:bottom w:val="none" w:sz="0" w:space="0" w:color="auto"/>
                    <w:right w:val="none" w:sz="0" w:space="0" w:color="auto"/>
                  </w:divBdr>
                </w:div>
                <w:div w:id="294142502">
                  <w:marLeft w:val="0"/>
                  <w:marRight w:val="0"/>
                  <w:marTop w:val="0"/>
                  <w:marBottom w:val="0"/>
                  <w:divBdr>
                    <w:top w:val="none" w:sz="0" w:space="0" w:color="auto"/>
                    <w:left w:val="none" w:sz="0" w:space="0" w:color="auto"/>
                    <w:bottom w:val="none" w:sz="0" w:space="0" w:color="auto"/>
                    <w:right w:val="none" w:sz="0" w:space="0" w:color="auto"/>
                  </w:divBdr>
                </w:div>
                <w:div w:id="294142537">
                  <w:marLeft w:val="0"/>
                  <w:marRight w:val="0"/>
                  <w:marTop w:val="0"/>
                  <w:marBottom w:val="0"/>
                  <w:divBdr>
                    <w:top w:val="none" w:sz="0" w:space="0" w:color="auto"/>
                    <w:left w:val="none" w:sz="0" w:space="0" w:color="auto"/>
                    <w:bottom w:val="none" w:sz="0" w:space="0" w:color="auto"/>
                    <w:right w:val="none" w:sz="0" w:space="0" w:color="auto"/>
                  </w:divBdr>
                </w:div>
                <w:div w:id="294142699">
                  <w:marLeft w:val="0"/>
                  <w:marRight w:val="0"/>
                  <w:marTop w:val="0"/>
                  <w:marBottom w:val="0"/>
                  <w:divBdr>
                    <w:top w:val="none" w:sz="0" w:space="0" w:color="auto"/>
                    <w:left w:val="none" w:sz="0" w:space="0" w:color="auto"/>
                    <w:bottom w:val="none" w:sz="0" w:space="0" w:color="auto"/>
                    <w:right w:val="none" w:sz="0" w:space="0" w:color="auto"/>
                  </w:divBdr>
                </w:div>
                <w:div w:id="294142739">
                  <w:marLeft w:val="0"/>
                  <w:marRight w:val="0"/>
                  <w:marTop w:val="0"/>
                  <w:marBottom w:val="0"/>
                  <w:divBdr>
                    <w:top w:val="none" w:sz="0" w:space="0" w:color="auto"/>
                    <w:left w:val="none" w:sz="0" w:space="0" w:color="auto"/>
                    <w:bottom w:val="none" w:sz="0" w:space="0" w:color="auto"/>
                    <w:right w:val="none" w:sz="0" w:space="0" w:color="auto"/>
                  </w:divBdr>
                </w:div>
                <w:div w:id="294142764">
                  <w:marLeft w:val="0"/>
                  <w:marRight w:val="0"/>
                  <w:marTop w:val="0"/>
                  <w:marBottom w:val="0"/>
                  <w:divBdr>
                    <w:top w:val="none" w:sz="0" w:space="0" w:color="auto"/>
                    <w:left w:val="none" w:sz="0" w:space="0" w:color="auto"/>
                    <w:bottom w:val="none" w:sz="0" w:space="0" w:color="auto"/>
                    <w:right w:val="none" w:sz="0" w:space="0" w:color="auto"/>
                  </w:divBdr>
                </w:div>
                <w:div w:id="294142845">
                  <w:marLeft w:val="0"/>
                  <w:marRight w:val="0"/>
                  <w:marTop w:val="0"/>
                  <w:marBottom w:val="0"/>
                  <w:divBdr>
                    <w:top w:val="none" w:sz="0" w:space="0" w:color="auto"/>
                    <w:left w:val="none" w:sz="0" w:space="0" w:color="auto"/>
                    <w:bottom w:val="none" w:sz="0" w:space="0" w:color="auto"/>
                    <w:right w:val="none" w:sz="0" w:space="0" w:color="auto"/>
                  </w:divBdr>
                </w:div>
                <w:div w:id="294143031">
                  <w:marLeft w:val="0"/>
                  <w:marRight w:val="0"/>
                  <w:marTop w:val="0"/>
                  <w:marBottom w:val="0"/>
                  <w:divBdr>
                    <w:top w:val="none" w:sz="0" w:space="0" w:color="auto"/>
                    <w:left w:val="none" w:sz="0" w:space="0" w:color="auto"/>
                    <w:bottom w:val="none" w:sz="0" w:space="0" w:color="auto"/>
                    <w:right w:val="none" w:sz="0" w:space="0" w:color="auto"/>
                  </w:divBdr>
                </w:div>
                <w:div w:id="294143118">
                  <w:marLeft w:val="0"/>
                  <w:marRight w:val="0"/>
                  <w:marTop w:val="0"/>
                  <w:marBottom w:val="0"/>
                  <w:divBdr>
                    <w:top w:val="none" w:sz="0" w:space="0" w:color="auto"/>
                    <w:left w:val="none" w:sz="0" w:space="0" w:color="auto"/>
                    <w:bottom w:val="none" w:sz="0" w:space="0" w:color="auto"/>
                    <w:right w:val="none" w:sz="0" w:space="0" w:color="auto"/>
                  </w:divBdr>
                </w:div>
                <w:div w:id="294143385">
                  <w:marLeft w:val="0"/>
                  <w:marRight w:val="0"/>
                  <w:marTop w:val="0"/>
                  <w:marBottom w:val="0"/>
                  <w:divBdr>
                    <w:top w:val="none" w:sz="0" w:space="0" w:color="auto"/>
                    <w:left w:val="none" w:sz="0" w:space="0" w:color="auto"/>
                    <w:bottom w:val="none" w:sz="0" w:space="0" w:color="auto"/>
                    <w:right w:val="none" w:sz="0" w:space="0" w:color="auto"/>
                  </w:divBdr>
                </w:div>
                <w:div w:id="294143493">
                  <w:marLeft w:val="0"/>
                  <w:marRight w:val="0"/>
                  <w:marTop w:val="0"/>
                  <w:marBottom w:val="0"/>
                  <w:divBdr>
                    <w:top w:val="none" w:sz="0" w:space="0" w:color="auto"/>
                    <w:left w:val="none" w:sz="0" w:space="0" w:color="auto"/>
                    <w:bottom w:val="none" w:sz="0" w:space="0" w:color="auto"/>
                    <w:right w:val="none" w:sz="0" w:space="0" w:color="auto"/>
                  </w:divBdr>
                </w:div>
                <w:div w:id="294144088">
                  <w:marLeft w:val="0"/>
                  <w:marRight w:val="0"/>
                  <w:marTop w:val="0"/>
                  <w:marBottom w:val="0"/>
                  <w:divBdr>
                    <w:top w:val="none" w:sz="0" w:space="0" w:color="auto"/>
                    <w:left w:val="none" w:sz="0" w:space="0" w:color="auto"/>
                    <w:bottom w:val="none" w:sz="0" w:space="0" w:color="auto"/>
                    <w:right w:val="none" w:sz="0" w:space="0" w:color="auto"/>
                  </w:divBdr>
                </w:div>
                <w:div w:id="294144094">
                  <w:marLeft w:val="0"/>
                  <w:marRight w:val="0"/>
                  <w:marTop w:val="0"/>
                  <w:marBottom w:val="0"/>
                  <w:divBdr>
                    <w:top w:val="none" w:sz="0" w:space="0" w:color="auto"/>
                    <w:left w:val="none" w:sz="0" w:space="0" w:color="auto"/>
                    <w:bottom w:val="none" w:sz="0" w:space="0" w:color="auto"/>
                    <w:right w:val="none" w:sz="0" w:space="0" w:color="auto"/>
                  </w:divBdr>
                </w:div>
                <w:div w:id="294144877">
                  <w:marLeft w:val="0"/>
                  <w:marRight w:val="0"/>
                  <w:marTop w:val="0"/>
                  <w:marBottom w:val="0"/>
                  <w:divBdr>
                    <w:top w:val="none" w:sz="0" w:space="0" w:color="auto"/>
                    <w:left w:val="none" w:sz="0" w:space="0" w:color="auto"/>
                    <w:bottom w:val="none" w:sz="0" w:space="0" w:color="auto"/>
                    <w:right w:val="none" w:sz="0" w:space="0" w:color="auto"/>
                  </w:divBdr>
                </w:div>
                <w:div w:id="294144884">
                  <w:marLeft w:val="0"/>
                  <w:marRight w:val="0"/>
                  <w:marTop w:val="0"/>
                  <w:marBottom w:val="0"/>
                  <w:divBdr>
                    <w:top w:val="none" w:sz="0" w:space="0" w:color="auto"/>
                    <w:left w:val="none" w:sz="0" w:space="0" w:color="auto"/>
                    <w:bottom w:val="none" w:sz="0" w:space="0" w:color="auto"/>
                    <w:right w:val="none" w:sz="0" w:space="0" w:color="auto"/>
                  </w:divBdr>
                </w:div>
                <w:div w:id="294145001">
                  <w:marLeft w:val="0"/>
                  <w:marRight w:val="0"/>
                  <w:marTop w:val="0"/>
                  <w:marBottom w:val="0"/>
                  <w:divBdr>
                    <w:top w:val="none" w:sz="0" w:space="0" w:color="auto"/>
                    <w:left w:val="none" w:sz="0" w:space="0" w:color="auto"/>
                    <w:bottom w:val="none" w:sz="0" w:space="0" w:color="auto"/>
                    <w:right w:val="none" w:sz="0" w:space="0" w:color="auto"/>
                  </w:divBdr>
                </w:div>
                <w:div w:id="294145017">
                  <w:marLeft w:val="0"/>
                  <w:marRight w:val="0"/>
                  <w:marTop w:val="0"/>
                  <w:marBottom w:val="0"/>
                  <w:divBdr>
                    <w:top w:val="none" w:sz="0" w:space="0" w:color="auto"/>
                    <w:left w:val="none" w:sz="0" w:space="0" w:color="auto"/>
                    <w:bottom w:val="none" w:sz="0" w:space="0" w:color="auto"/>
                    <w:right w:val="none" w:sz="0" w:space="0" w:color="auto"/>
                  </w:divBdr>
                </w:div>
                <w:div w:id="294145082">
                  <w:marLeft w:val="0"/>
                  <w:marRight w:val="0"/>
                  <w:marTop w:val="0"/>
                  <w:marBottom w:val="0"/>
                  <w:divBdr>
                    <w:top w:val="none" w:sz="0" w:space="0" w:color="auto"/>
                    <w:left w:val="none" w:sz="0" w:space="0" w:color="auto"/>
                    <w:bottom w:val="none" w:sz="0" w:space="0" w:color="auto"/>
                    <w:right w:val="none" w:sz="0" w:space="0" w:color="auto"/>
                  </w:divBdr>
                </w:div>
                <w:div w:id="294145125">
                  <w:marLeft w:val="0"/>
                  <w:marRight w:val="0"/>
                  <w:marTop w:val="0"/>
                  <w:marBottom w:val="0"/>
                  <w:divBdr>
                    <w:top w:val="none" w:sz="0" w:space="0" w:color="auto"/>
                    <w:left w:val="none" w:sz="0" w:space="0" w:color="auto"/>
                    <w:bottom w:val="none" w:sz="0" w:space="0" w:color="auto"/>
                    <w:right w:val="none" w:sz="0" w:space="0" w:color="auto"/>
                  </w:divBdr>
                </w:div>
                <w:div w:id="294145227">
                  <w:marLeft w:val="0"/>
                  <w:marRight w:val="0"/>
                  <w:marTop w:val="0"/>
                  <w:marBottom w:val="0"/>
                  <w:divBdr>
                    <w:top w:val="none" w:sz="0" w:space="0" w:color="auto"/>
                    <w:left w:val="none" w:sz="0" w:space="0" w:color="auto"/>
                    <w:bottom w:val="none" w:sz="0" w:space="0" w:color="auto"/>
                    <w:right w:val="none" w:sz="0" w:space="0" w:color="auto"/>
                  </w:divBdr>
                </w:div>
                <w:div w:id="294145389">
                  <w:marLeft w:val="0"/>
                  <w:marRight w:val="0"/>
                  <w:marTop w:val="0"/>
                  <w:marBottom w:val="0"/>
                  <w:divBdr>
                    <w:top w:val="none" w:sz="0" w:space="0" w:color="auto"/>
                    <w:left w:val="none" w:sz="0" w:space="0" w:color="auto"/>
                    <w:bottom w:val="none" w:sz="0" w:space="0" w:color="auto"/>
                    <w:right w:val="none" w:sz="0" w:space="0" w:color="auto"/>
                  </w:divBdr>
                </w:div>
                <w:div w:id="294145839">
                  <w:marLeft w:val="0"/>
                  <w:marRight w:val="0"/>
                  <w:marTop w:val="0"/>
                  <w:marBottom w:val="0"/>
                  <w:divBdr>
                    <w:top w:val="none" w:sz="0" w:space="0" w:color="auto"/>
                    <w:left w:val="none" w:sz="0" w:space="0" w:color="auto"/>
                    <w:bottom w:val="none" w:sz="0" w:space="0" w:color="auto"/>
                    <w:right w:val="none" w:sz="0" w:space="0" w:color="auto"/>
                  </w:divBdr>
                </w:div>
                <w:div w:id="294146048">
                  <w:marLeft w:val="0"/>
                  <w:marRight w:val="0"/>
                  <w:marTop w:val="0"/>
                  <w:marBottom w:val="0"/>
                  <w:divBdr>
                    <w:top w:val="none" w:sz="0" w:space="0" w:color="auto"/>
                    <w:left w:val="none" w:sz="0" w:space="0" w:color="auto"/>
                    <w:bottom w:val="none" w:sz="0" w:space="0" w:color="auto"/>
                    <w:right w:val="none" w:sz="0" w:space="0" w:color="auto"/>
                  </w:divBdr>
                </w:div>
                <w:div w:id="294146087">
                  <w:marLeft w:val="0"/>
                  <w:marRight w:val="0"/>
                  <w:marTop w:val="0"/>
                  <w:marBottom w:val="0"/>
                  <w:divBdr>
                    <w:top w:val="none" w:sz="0" w:space="0" w:color="auto"/>
                    <w:left w:val="none" w:sz="0" w:space="0" w:color="auto"/>
                    <w:bottom w:val="none" w:sz="0" w:space="0" w:color="auto"/>
                    <w:right w:val="none" w:sz="0" w:space="0" w:color="auto"/>
                  </w:divBdr>
                </w:div>
                <w:div w:id="294146150">
                  <w:marLeft w:val="0"/>
                  <w:marRight w:val="0"/>
                  <w:marTop w:val="0"/>
                  <w:marBottom w:val="0"/>
                  <w:divBdr>
                    <w:top w:val="none" w:sz="0" w:space="0" w:color="auto"/>
                    <w:left w:val="none" w:sz="0" w:space="0" w:color="auto"/>
                    <w:bottom w:val="none" w:sz="0" w:space="0" w:color="auto"/>
                    <w:right w:val="none" w:sz="0" w:space="0" w:color="auto"/>
                  </w:divBdr>
                </w:div>
                <w:div w:id="294146309">
                  <w:marLeft w:val="0"/>
                  <w:marRight w:val="0"/>
                  <w:marTop w:val="0"/>
                  <w:marBottom w:val="0"/>
                  <w:divBdr>
                    <w:top w:val="none" w:sz="0" w:space="0" w:color="auto"/>
                    <w:left w:val="none" w:sz="0" w:space="0" w:color="auto"/>
                    <w:bottom w:val="none" w:sz="0" w:space="0" w:color="auto"/>
                    <w:right w:val="none" w:sz="0" w:space="0" w:color="auto"/>
                  </w:divBdr>
                </w:div>
                <w:div w:id="294146356">
                  <w:marLeft w:val="0"/>
                  <w:marRight w:val="0"/>
                  <w:marTop w:val="0"/>
                  <w:marBottom w:val="0"/>
                  <w:divBdr>
                    <w:top w:val="none" w:sz="0" w:space="0" w:color="auto"/>
                    <w:left w:val="none" w:sz="0" w:space="0" w:color="auto"/>
                    <w:bottom w:val="none" w:sz="0" w:space="0" w:color="auto"/>
                    <w:right w:val="none" w:sz="0" w:space="0" w:color="auto"/>
                  </w:divBdr>
                </w:div>
                <w:div w:id="294146665">
                  <w:marLeft w:val="0"/>
                  <w:marRight w:val="0"/>
                  <w:marTop w:val="0"/>
                  <w:marBottom w:val="0"/>
                  <w:divBdr>
                    <w:top w:val="none" w:sz="0" w:space="0" w:color="auto"/>
                    <w:left w:val="none" w:sz="0" w:space="0" w:color="auto"/>
                    <w:bottom w:val="none" w:sz="0" w:space="0" w:color="auto"/>
                    <w:right w:val="none" w:sz="0" w:space="0" w:color="auto"/>
                  </w:divBdr>
                </w:div>
                <w:div w:id="294147054">
                  <w:marLeft w:val="0"/>
                  <w:marRight w:val="0"/>
                  <w:marTop w:val="0"/>
                  <w:marBottom w:val="0"/>
                  <w:divBdr>
                    <w:top w:val="none" w:sz="0" w:space="0" w:color="auto"/>
                    <w:left w:val="none" w:sz="0" w:space="0" w:color="auto"/>
                    <w:bottom w:val="none" w:sz="0" w:space="0" w:color="auto"/>
                    <w:right w:val="none" w:sz="0" w:space="0" w:color="auto"/>
                  </w:divBdr>
                </w:div>
                <w:div w:id="294147290">
                  <w:marLeft w:val="0"/>
                  <w:marRight w:val="0"/>
                  <w:marTop w:val="0"/>
                  <w:marBottom w:val="0"/>
                  <w:divBdr>
                    <w:top w:val="none" w:sz="0" w:space="0" w:color="auto"/>
                    <w:left w:val="none" w:sz="0" w:space="0" w:color="auto"/>
                    <w:bottom w:val="none" w:sz="0" w:space="0" w:color="auto"/>
                    <w:right w:val="none" w:sz="0" w:space="0" w:color="auto"/>
                  </w:divBdr>
                </w:div>
                <w:div w:id="294147389">
                  <w:marLeft w:val="0"/>
                  <w:marRight w:val="0"/>
                  <w:marTop w:val="0"/>
                  <w:marBottom w:val="0"/>
                  <w:divBdr>
                    <w:top w:val="none" w:sz="0" w:space="0" w:color="auto"/>
                    <w:left w:val="none" w:sz="0" w:space="0" w:color="auto"/>
                    <w:bottom w:val="none" w:sz="0" w:space="0" w:color="auto"/>
                    <w:right w:val="none" w:sz="0" w:space="0" w:color="auto"/>
                  </w:divBdr>
                </w:div>
                <w:div w:id="294147786">
                  <w:marLeft w:val="0"/>
                  <w:marRight w:val="0"/>
                  <w:marTop w:val="0"/>
                  <w:marBottom w:val="0"/>
                  <w:divBdr>
                    <w:top w:val="none" w:sz="0" w:space="0" w:color="auto"/>
                    <w:left w:val="none" w:sz="0" w:space="0" w:color="auto"/>
                    <w:bottom w:val="none" w:sz="0" w:space="0" w:color="auto"/>
                    <w:right w:val="none" w:sz="0" w:space="0" w:color="auto"/>
                  </w:divBdr>
                </w:div>
                <w:div w:id="294148007">
                  <w:marLeft w:val="0"/>
                  <w:marRight w:val="0"/>
                  <w:marTop w:val="0"/>
                  <w:marBottom w:val="0"/>
                  <w:divBdr>
                    <w:top w:val="none" w:sz="0" w:space="0" w:color="auto"/>
                    <w:left w:val="none" w:sz="0" w:space="0" w:color="auto"/>
                    <w:bottom w:val="none" w:sz="0" w:space="0" w:color="auto"/>
                    <w:right w:val="none" w:sz="0" w:space="0" w:color="auto"/>
                  </w:divBdr>
                </w:div>
                <w:div w:id="294148187">
                  <w:marLeft w:val="0"/>
                  <w:marRight w:val="0"/>
                  <w:marTop w:val="0"/>
                  <w:marBottom w:val="0"/>
                  <w:divBdr>
                    <w:top w:val="none" w:sz="0" w:space="0" w:color="auto"/>
                    <w:left w:val="none" w:sz="0" w:space="0" w:color="auto"/>
                    <w:bottom w:val="none" w:sz="0" w:space="0" w:color="auto"/>
                    <w:right w:val="none" w:sz="0" w:space="0" w:color="auto"/>
                  </w:divBdr>
                </w:div>
                <w:div w:id="294148241">
                  <w:marLeft w:val="0"/>
                  <w:marRight w:val="0"/>
                  <w:marTop w:val="0"/>
                  <w:marBottom w:val="0"/>
                  <w:divBdr>
                    <w:top w:val="none" w:sz="0" w:space="0" w:color="auto"/>
                    <w:left w:val="none" w:sz="0" w:space="0" w:color="auto"/>
                    <w:bottom w:val="none" w:sz="0" w:space="0" w:color="auto"/>
                    <w:right w:val="none" w:sz="0" w:space="0" w:color="auto"/>
                  </w:divBdr>
                </w:div>
                <w:div w:id="294148506">
                  <w:marLeft w:val="0"/>
                  <w:marRight w:val="0"/>
                  <w:marTop w:val="0"/>
                  <w:marBottom w:val="0"/>
                  <w:divBdr>
                    <w:top w:val="none" w:sz="0" w:space="0" w:color="auto"/>
                    <w:left w:val="none" w:sz="0" w:space="0" w:color="auto"/>
                    <w:bottom w:val="none" w:sz="0" w:space="0" w:color="auto"/>
                    <w:right w:val="none" w:sz="0" w:space="0" w:color="auto"/>
                  </w:divBdr>
                </w:div>
                <w:div w:id="294148807">
                  <w:marLeft w:val="0"/>
                  <w:marRight w:val="0"/>
                  <w:marTop w:val="0"/>
                  <w:marBottom w:val="0"/>
                  <w:divBdr>
                    <w:top w:val="none" w:sz="0" w:space="0" w:color="auto"/>
                    <w:left w:val="none" w:sz="0" w:space="0" w:color="auto"/>
                    <w:bottom w:val="none" w:sz="0" w:space="0" w:color="auto"/>
                    <w:right w:val="none" w:sz="0" w:space="0" w:color="auto"/>
                  </w:divBdr>
                </w:div>
                <w:div w:id="294148978">
                  <w:marLeft w:val="0"/>
                  <w:marRight w:val="0"/>
                  <w:marTop w:val="0"/>
                  <w:marBottom w:val="0"/>
                  <w:divBdr>
                    <w:top w:val="none" w:sz="0" w:space="0" w:color="auto"/>
                    <w:left w:val="none" w:sz="0" w:space="0" w:color="auto"/>
                    <w:bottom w:val="none" w:sz="0" w:space="0" w:color="auto"/>
                    <w:right w:val="none" w:sz="0" w:space="0" w:color="auto"/>
                  </w:divBdr>
                </w:div>
                <w:div w:id="294149024">
                  <w:marLeft w:val="0"/>
                  <w:marRight w:val="0"/>
                  <w:marTop w:val="0"/>
                  <w:marBottom w:val="0"/>
                  <w:divBdr>
                    <w:top w:val="none" w:sz="0" w:space="0" w:color="auto"/>
                    <w:left w:val="none" w:sz="0" w:space="0" w:color="auto"/>
                    <w:bottom w:val="none" w:sz="0" w:space="0" w:color="auto"/>
                    <w:right w:val="none" w:sz="0" w:space="0" w:color="auto"/>
                  </w:divBdr>
                </w:div>
                <w:div w:id="294149624">
                  <w:marLeft w:val="0"/>
                  <w:marRight w:val="0"/>
                  <w:marTop w:val="0"/>
                  <w:marBottom w:val="0"/>
                  <w:divBdr>
                    <w:top w:val="none" w:sz="0" w:space="0" w:color="auto"/>
                    <w:left w:val="none" w:sz="0" w:space="0" w:color="auto"/>
                    <w:bottom w:val="none" w:sz="0" w:space="0" w:color="auto"/>
                    <w:right w:val="none" w:sz="0" w:space="0" w:color="auto"/>
                  </w:divBdr>
                </w:div>
                <w:div w:id="294149689">
                  <w:marLeft w:val="0"/>
                  <w:marRight w:val="0"/>
                  <w:marTop w:val="0"/>
                  <w:marBottom w:val="0"/>
                  <w:divBdr>
                    <w:top w:val="none" w:sz="0" w:space="0" w:color="auto"/>
                    <w:left w:val="none" w:sz="0" w:space="0" w:color="auto"/>
                    <w:bottom w:val="none" w:sz="0" w:space="0" w:color="auto"/>
                    <w:right w:val="none" w:sz="0" w:space="0" w:color="auto"/>
                  </w:divBdr>
                </w:div>
                <w:div w:id="294150063">
                  <w:marLeft w:val="0"/>
                  <w:marRight w:val="0"/>
                  <w:marTop w:val="0"/>
                  <w:marBottom w:val="0"/>
                  <w:divBdr>
                    <w:top w:val="none" w:sz="0" w:space="0" w:color="auto"/>
                    <w:left w:val="none" w:sz="0" w:space="0" w:color="auto"/>
                    <w:bottom w:val="none" w:sz="0" w:space="0" w:color="auto"/>
                    <w:right w:val="none" w:sz="0" w:space="0" w:color="auto"/>
                  </w:divBdr>
                </w:div>
                <w:div w:id="294150154">
                  <w:marLeft w:val="0"/>
                  <w:marRight w:val="0"/>
                  <w:marTop w:val="0"/>
                  <w:marBottom w:val="0"/>
                  <w:divBdr>
                    <w:top w:val="none" w:sz="0" w:space="0" w:color="auto"/>
                    <w:left w:val="none" w:sz="0" w:space="0" w:color="auto"/>
                    <w:bottom w:val="none" w:sz="0" w:space="0" w:color="auto"/>
                    <w:right w:val="none" w:sz="0" w:space="0" w:color="auto"/>
                  </w:divBdr>
                </w:div>
                <w:div w:id="294150169">
                  <w:marLeft w:val="0"/>
                  <w:marRight w:val="0"/>
                  <w:marTop w:val="0"/>
                  <w:marBottom w:val="0"/>
                  <w:divBdr>
                    <w:top w:val="none" w:sz="0" w:space="0" w:color="auto"/>
                    <w:left w:val="none" w:sz="0" w:space="0" w:color="auto"/>
                    <w:bottom w:val="none" w:sz="0" w:space="0" w:color="auto"/>
                    <w:right w:val="none" w:sz="0" w:space="0" w:color="auto"/>
                  </w:divBdr>
                </w:div>
                <w:div w:id="294150268">
                  <w:marLeft w:val="0"/>
                  <w:marRight w:val="0"/>
                  <w:marTop w:val="0"/>
                  <w:marBottom w:val="0"/>
                  <w:divBdr>
                    <w:top w:val="none" w:sz="0" w:space="0" w:color="auto"/>
                    <w:left w:val="none" w:sz="0" w:space="0" w:color="auto"/>
                    <w:bottom w:val="none" w:sz="0" w:space="0" w:color="auto"/>
                    <w:right w:val="none" w:sz="0" w:space="0" w:color="auto"/>
                  </w:divBdr>
                </w:div>
                <w:div w:id="294150385">
                  <w:marLeft w:val="0"/>
                  <w:marRight w:val="0"/>
                  <w:marTop w:val="0"/>
                  <w:marBottom w:val="0"/>
                  <w:divBdr>
                    <w:top w:val="none" w:sz="0" w:space="0" w:color="auto"/>
                    <w:left w:val="none" w:sz="0" w:space="0" w:color="auto"/>
                    <w:bottom w:val="none" w:sz="0" w:space="0" w:color="auto"/>
                    <w:right w:val="none" w:sz="0" w:space="0" w:color="auto"/>
                  </w:divBdr>
                </w:div>
                <w:div w:id="294150617">
                  <w:marLeft w:val="0"/>
                  <w:marRight w:val="0"/>
                  <w:marTop w:val="0"/>
                  <w:marBottom w:val="0"/>
                  <w:divBdr>
                    <w:top w:val="none" w:sz="0" w:space="0" w:color="auto"/>
                    <w:left w:val="none" w:sz="0" w:space="0" w:color="auto"/>
                    <w:bottom w:val="none" w:sz="0" w:space="0" w:color="auto"/>
                    <w:right w:val="none" w:sz="0" w:space="0" w:color="auto"/>
                  </w:divBdr>
                </w:div>
                <w:div w:id="294150669">
                  <w:marLeft w:val="0"/>
                  <w:marRight w:val="0"/>
                  <w:marTop w:val="0"/>
                  <w:marBottom w:val="0"/>
                  <w:divBdr>
                    <w:top w:val="none" w:sz="0" w:space="0" w:color="auto"/>
                    <w:left w:val="none" w:sz="0" w:space="0" w:color="auto"/>
                    <w:bottom w:val="none" w:sz="0" w:space="0" w:color="auto"/>
                    <w:right w:val="none" w:sz="0" w:space="0" w:color="auto"/>
                  </w:divBdr>
                </w:div>
                <w:div w:id="294150765">
                  <w:marLeft w:val="0"/>
                  <w:marRight w:val="0"/>
                  <w:marTop w:val="0"/>
                  <w:marBottom w:val="0"/>
                  <w:divBdr>
                    <w:top w:val="none" w:sz="0" w:space="0" w:color="auto"/>
                    <w:left w:val="none" w:sz="0" w:space="0" w:color="auto"/>
                    <w:bottom w:val="none" w:sz="0" w:space="0" w:color="auto"/>
                    <w:right w:val="none" w:sz="0" w:space="0" w:color="auto"/>
                  </w:divBdr>
                </w:div>
                <w:div w:id="294150816">
                  <w:marLeft w:val="0"/>
                  <w:marRight w:val="0"/>
                  <w:marTop w:val="0"/>
                  <w:marBottom w:val="0"/>
                  <w:divBdr>
                    <w:top w:val="none" w:sz="0" w:space="0" w:color="auto"/>
                    <w:left w:val="none" w:sz="0" w:space="0" w:color="auto"/>
                    <w:bottom w:val="none" w:sz="0" w:space="0" w:color="auto"/>
                    <w:right w:val="none" w:sz="0" w:space="0" w:color="auto"/>
                  </w:divBdr>
                </w:div>
                <w:div w:id="294151088">
                  <w:marLeft w:val="0"/>
                  <w:marRight w:val="0"/>
                  <w:marTop w:val="0"/>
                  <w:marBottom w:val="0"/>
                  <w:divBdr>
                    <w:top w:val="none" w:sz="0" w:space="0" w:color="auto"/>
                    <w:left w:val="none" w:sz="0" w:space="0" w:color="auto"/>
                    <w:bottom w:val="none" w:sz="0" w:space="0" w:color="auto"/>
                    <w:right w:val="none" w:sz="0" w:space="0" w:color="auto"/>
                  </w:divBdr>
                </w:div>
                <w:div w:id="294151718">
                  <w:marLeft w:val="0"/>
                  <w:marRight w:val="0"/>
                  <w:marTop w:val="0"/>
                  <w:marBottom w:val="0"/>
                  <w:divBdr>
                    <w:top w:val="none" w:sz="0" w:space="0" w:color="auto"/>
                    <w:left w:val="none" w:sz="0" w:space="0" w:color="auto"/>
                    <w:bottom w:val="none" w:sz="0" w:space="0" w:color="auto"/>
                    <w:right w:val="none" w:sz="0" w:space="0" w:color="auto"/>
                  </w:divBdr>
                </w:div>
                <w:div w:id="294151732">
                  <w:marLeft w:val="0"/>
                  <w:marRight w:val="0"/>
                  <w:marTop w:val="0"/>
                  <w:marBottom w:val="0"/>
                  <w:divBdr>
                    <w:top w:val="none" w:sz="0" w:space="0" w:color="auto"/>
                    <w:left w:val="none" w:sz="0" w:space="0" w:color="auto"/>
                    <w:bottom w:val="none" w:sz="0" w:space="0" w:color="auto"/>
                    <w:right w:val="none" w:sz="0" w:space="0" w:color="auto"/>
                  </w:divBdr>
                </w:div>
                <w:div w:id="294152014">
                  <w:marLeft w:val="0"/>
                  <w:marRight w:val="0"/>
                  <w:marTop w:val="0"/>
                  <w:marBottom w:val="0"/>
                  <w:divBdr>
                    <w:top w:val="none" w:sz="0" w:space="0" w:color="auto"/>
                    <w:left w:val="none" w:sz="0" w:space="0" w:color="auto"/>
                    <w:bottom w:val="none" w:sz="0" w:space="0" w:color="auto"/>
                    <w:right w:val="none" w:sz="0" w:space="0" w:color="auto"/>
                  </w:divBdr>
                </w:div>
                <w:div w:id="294152313">
                  <w:marLeft w:val="0"/>
                  <w:marRight w:val="0"/>
                  <w:marTop w:val="0"/>
                  <w:marBottom w:val="0"/>
                  <w:divBdr>
                    <w:top w:val="none" w:sz="0" w:space="0" w:color="auto"/>
                    <w:left w:val="none" w:sz="0" w:space="0" w:color="auto"/>
                    <w:bottom w:val="none" w:sz="0" w:space="0" w:color="auto"/>
                    <w:right w:val="none" w:sz="0" w:space="0" w:color="auto"/>
                  </w:divBdr>
                </w:div>
                <w:div w:id="294152339">
                  <w:marLeft w:val="0"/>
                  <w:marRight w:val="0"/>
                  <w:marTop w:val="0"/>
                  <w:marBottom w:val="0"/>
                  <w:divBdr>
                    <w:top w:val="none" w:sz="0" w:space="0" w:color="auto"/>
                    <w:left w:val="none" w:sz="0" w:space="0" w:color="auto"/>
                    <w:bottom w:val="none" w:sz="0" w:space="0" w:color="auto"/>
                    <w:right w:val="none" w:sz="0" w:space="0" w:color="auto"/>
                  </w:divBdr>
                </w:div>
                <w:div w:id="294152360">
                  <w:marLeft w:val="0"/>
                  <w:marRight w:val="0"/>
                  <w:marTop w:val="0"/>
                  <w:marBottom w:val="0"/>
                  <w:divBdr>
                    <w:top w:val="none" w:sz="0" w:space="0" w:color="auto"/>
                    <w:left w:val="none" w:sz="0" w:space="0" w:color="auto"/>
                    <w:bottom w:val="none" w:sz="0" w:space="0" w:color="auto"/>
                    <w:right w:val="none" w:sz="0" w:space="0" w:color="auto"/>
                  </w:divBdr>
                </w:div>
                <w:div w:id="294152499">
                  <w:marLeft w:val="0"/>
                  <w:marRight w:val="0"/>
                  <w:marTop w:val="0"/>
                  <w:marBottom w:val="0"/>
                  <w:divBdr>
                    <w:top w:val="none" w:sz="0" w:space="0" w:color="auto"/>
                    <w:left w:val="none" w:sz="0" w:space="0" w:color="auto"/>
                    <w:bottom w:val="none" w:sz="0" w:space="0" w:color="auto"/>
                    <w:right w:val="none" w:sz="0" w:space="0" w:color="auto"/>
                  </w:divBdr>
                </w:div>
                <w:div w:id="294152514">
                  <w:marLeft w:val="0"/>
                  <w:marRight w:val="0"/>
                  <w:marTop w:val="0"/>
                  <w:marBottom w:val="0"/>
                  <w:divBdr>
                    <w:top w:val="none" w:sz="0" w:space="0" w:color="auto"/>
                    <w:left w:val="none" w:sz="0" w:space="0" w:color="auto"/>
                    <w:bottom w:val="none" w:sz="0" w:space="0" w:color="auto"/>
                    <w:right w:val="none" w:sz="0" w:space="0" w:color="auto"/>
                  </w:divBdr>
                </w:div>
                <w:div w:id="294152550">
                  <w:marLeft w:val="0"/>
                  <w:marRight w:val="0"/>
                  <w:marTop w:val="0"/>
                  <w:marBottom w:val="0"/>
                  <w:divBdr>
                    <w:top w:val="none" w:sz="0" w:space="0" w:color="auto"/>
                    <w:left w:val="none" w:sz="0" w:space="0" w:color="auto"/>
                    <w:bottom w:val="none" w:sz="0" w:space="0" w:color="auto"/>
                    <w:right w:val="none" w:sz="0" w:space="0" w:color="auto"/>
                  </w:divBdr>
                </w:div>
                <w:div w:id="294152589">
                  <w:marLeft w:val="0"/>
                  <w:marRight w:val="0"/>
                  <w:marTop w:val="0"/>
                  <w:marBottom w:val="0"/>
                  <w:divBdr>
                    <w:top w:val="none" w:sz="0" w:space="0" w:color="auto"/>
                    <w:left w:val="none" w:sz="0" w:space="0" w:color="auto"/>
                    <w:bottom w:val="none" w:sz="0" w:space="0" w:color="auto"/>
                    <w:right w:val="none" w:sz="0" w:space="0" w:color="auto"/>
                  </w:divBdr>
                </w:div>
                <w:div w:id="294152654">
                  <w:marLeft w:val="0"/>
                  <w:marRight w:val="0"/>
                  <w:marTop w:val="0"/>
                  <w:marBottom w:val="0"/>
                  <w:divBdr>
                    <w:top w:val="none" w:sz="0" w:space="0" w:color="auto"/>
                    <w:left w:val="none" w:sz="0" w:space="0" w:color="auto"/>
                    <w:bottom w:val="none" w:sz="0" w:space="0" w:color="auto"/>
                    <w:right w:val="none" w:sz="0" w:space="0" w:color="auto"/>
                  </w:divBdr>
                </w:div>
                <w:div w:id="294152688">
                  <w:marLeft w:val="0"/>
                  <w:marRight w:val="0"/>
                  <w:marTop w:val="0"/>
                  <w:marBottom w:val="0"/>
                  <w:divBdr>
                    <w:top w:val="none" w:sz="0" w:space="0" w:color="auto"/>
                    <w:left w:val="none" w:sz="0" w:space="0" w:color="auto"/>
                    <w:bottom w:val="none" w:sz="0" w:space="0" w:color="auto"/>
                    <w:right w:val="none" w:sz="0" w:space="0" w:color="auto"/>
                  </w:divBdr>
                </w:div>
                <w:div w:id="294152806">
                  <w:marLeft w:val="0"/>
                  <w:marRight w:val="0"/>
                  <w:marTop w:val="0"/>
                  <w:marBottom w:val="0"/>
                  <w:divBdr>
                    <w:top w:val="none" w:sz="0" w:space="0" w:color="auto"/>
                    <w:left w:val="none" w:sz="0" w:space="0" w:color="auto"/>
                    <w:bottom w:val="none" w:sz="0" w:space="0" w:color="auto"/>
                    <w:right w:val="none" w:sz="0" w:space="0" w:color="auto"/>
                  </w:divBdr>
                </w:div>
                <w:div w:id="294152983">
                  <w:marLeft w:val="0"/>
                  <w:marRight w:val="0"/>
                  <w:marTop w:val="0"/>
                  <w:marBottom w:val="0"/>
                  <w:divBdr>
                    <w:top w:val="none" w:sz="0" w:space="0" w:color="auto"/>
                    <w:left w:val="none" w:sz="0" w:space="0" w:color="auto"/>
                    <w:bottom w:val="none" w:sz="0" w:space="0" w:color="auto"/>
                    <w:right w:val="none" w:sz="0" w:space="0" w:color="auto"/>
                  </w:divBdr>
                </w:div>
                <w:div w:id="294153097">
                  <w:marLeft w:val="0"/>
                  <w:marRight w:val="0"/>
                  <w:marTop w:val="0"/>
                  <w:marBottom w:val="0"/>
                  <w:divBdr>
                    <w:top w:val="none" w:sz="0" w:space="0" w:color="auto"/>
                    <w:left w:val="none" w:sz="0" w:space="0" w:color="auto"/>
                    <w:bottom w:val="none" w:sz="0" w:space="0" w:color="auto"/>
                    <w:right w:val="none" w:sz="0" w:space="0" w:color="auto"/>
                  </w:divBdr>
                </w:div>
                <w:div w:id="294153609">
                  <w:marLeft w:val="0"/>
                  <w:marRight w:val="0"/>
                  <w:marTop w:val="0"/>
                  <w:marBottom w:val="0"/>
                  <w:divBdr>
                    <w:top w:val="none" w:sz="0" w:space="0" w:color="auto"/>
                    <w:left w:val="none" w:sz="0" w:space="0" w:color="auto"/>
                    <w:bottom w:val="none" w:sz="0" w:space="0" w:color="auto"/>
                    <w:right w:val="none" w:sz="0" w:space="0" w:color="auto"/>
                  </w:divBdr>
                </w:div>
                <w:div w:id="294153781">
                  <w:marLeft w:val="0"/>
                  <w:marRight w:val="0"/>
                  <w:marTop w:val="0"/>
                  <w:marBottom w:val="0"/>
                  <w:divBdr>
                    <w:top w:val="none" w:sz="0" w:space="0" w:color="auto"/>
                    <w:left w:val="none" w:sz="0" w:space="0" w:color="auto"/>
                    <w:bottom w:val="none" w:sz="0" w:space="0" w:color="auto"/>
                    <w:right w:val="none" w:sz="0" w:space="0" w:color="auto"/>
                  </w:divBdr>
                </w:div>
                <w:div w:id="294153935">
                  <w:marLeft w:val="0"/>
                  <w:marRight w:val="0"/>
                  <w:marTop w:val="0"/>
                  <w:marBottom w:val="0"/>
                  <w:divBdr>
                    <w:top w:val="none" w:sz="0" w:space="0" w:color="auto"/>
                    <w:left w:val="none" w:sz="0" w:space="0" w:color="auto"/>
                    <w:bottom w:val="none" w:sz="0" w:space="0" w:color="auto"/>
                    <w:right w:val="none" w:sz="0" w:space="0" w:color="auto"/>
                  </w:divBdr>
                </w:div>
                <w:div w:id="294154013">
                  <w:marLeft w:val="0"/>
                  <w:marRight w:val="0"/>
                  <w:marTop w:val="0"/>
                  <w:marBottom w:val="0"/>
                  <w:divBdr>
                    <w:top w:val="none" w:sz="0" w:space="0" w:color="auto"/>
                    <w:left w:val="none" w:sz="0" w:space="0" w:color="auto"/>
                    <w:bottom w:val="none" w:sz="0" w:space="0" w:color="auto"/>
                    <w:right w:val="none" w:sz="0" w:space="0" w:color="auto"/>
                  </w:divBdr>
                </w:div>
                <w:div w:id="294154051">
                  <w:marLeft w:val="0"/>
                  <w:marRight w:val="0"/>
                  <w:marTop w:val="0"/>
                  <w:marBottom w:val="0"/>
                  <w:divBdr>
                    <w:top w:val="none" w:sz="0" w:space="0" w:color="auto"/>
                    <w:left w:val="none" w:sz="0" w:space="0" w:color="auto"/>
                    <w:bottom w:val="none" w:sz="0" w:space="0" w:color="auto"/>
                    <w:right w:val="none" w:sz="0" w:space="0" w:color="auto"/>
                  </w:divBdr>
                </w:div>
                <w:div w:id="294154180">
                  <w:marLeft w:val="0"/>
                  <w:marRight w:val="0"/>
                  <w:marTop w:val="0"/>
                  <w:marBottom w:val="0"/>
                  <w:divBdr>
                    <w:top w:val="none" w:sz="0" w:space="0" w:color="auto"/>
                    <w:left w:val="none" w:sz="0" w:space="0" w:color="auto"/>
                    <w:bottom w:val="none" w:sz="0" w:space="0" w:color="auto"/>
                    <w:right w:val="none" w:sz="0" w:space="0" w:color="auto"/>
                  </w:divBdr>
                </w:div>
                <w:div w:id="294154182">
                  <w:marLeft w:val="0"/>
                  <w:marRight w:val="0"/>
                  <w:marTop w:val="0"/>
                  <w:marBottom w:val="0"/>
                  <w:divBdr>
                    <w:top w:val="none" w:sz="0" w:space="0" w:color="auto"/>
                    <w:left w:val="none" w:sz="0" w:space="0" w:color="auto"/>
                    <w:bottom w:val="none" w:sz="0" w:space="0" w:color="auto"/>
                    <w:right w:val="none" w:sz="0" w:space="0" w:color="auto"/>
                  </w:divBdr>
                </w:div>
                <w:div w:id="294154394">
                  <w:marLeft w:val="0"/>
                  <w:marRight w:val="0"/>
                  <w:marTop w:val="0"/>
                  <w:marBottom w:val="0"/>
                  <w:divBdr>
                    <w:top w:val="none" w:sz="0" w:space="0" w:color="auto"/>
                    <w:left w:val="none" w:sz="0" w:space="0" w:color="auto"/>
                    <w:bottom w:val="none" w:sz="0" w:space="0" w:color="auto"/>
                    <w:right w:val="none" w:sz="0" w:space="0" w:color="auto"/>
                  </w:divBdr>
                </w:div>
                <w:div w:id="294154725">
                  <w:marLeft w:val="0"/>
                  <w:marRight w:val="0"/>
                  <w:marTop w:val="0"/>
                  <w:marBottom w:val="0"/>
                  <w:divBdr>
                    <w:top w:val="none" w:sz="0" w:space="0" w:color="auto"/>
                    <w:left w:val="none" w:sz="0" w:space="0" w:color="auto"/>
                    <w:bottom w:val="none" w:sz="0" w:space="0" w:color="auto"/>
                    <w:right w:val="none" w:sz="0" w:space="0" w:color="auto"/>
                  </w:divBdr>
                </w:div>
                <w:div w:id="294154980">
                  <w:marLeft w:val="0"/>
                  <w:marRight w:val="0"/>
                  <w:marTop w:val="0"/>
                  <w:marBottom w:val="0"/>
                  <w:divBdr>
                    <w:top w:val="none" w:sz="0" w:space="0" w:color="auto"/>
                    <w:left w:val="none" w:sz="0" w:space="0" w:color="auto"/>
                    <w:bottom w:val="none" w:sz="0" w:space="0" w:color="auto"/>
                    <w:right w:val="none" w:sz="0" w:space="0" w:color="auto"/>
                  </w:divBdr>
                </w:div>
                <w:div w:id="294155039">
                  <w:marLeft w:val="0"/>
                  <w:marRight w:val="0"/>
                  <w:marTop w:val="0"/>
                  <w:marBottom w:val="0"/>
                  <w:divBdr>
                    <w:top w:val="none" w:sz="0" w:space="0" w:color="auto"/>
                    <w:left w:val="none" w:sz="0" w:space="0" w:color="auto"/>
                    <w:bottom w:val="none" w:sz="0" w:space="0" w:color="auto"/>
                    <w:right w:val="none" w:sz="0" w:space="0" w:color="auto"/>
                  </w:divBdr>
                </w:div>
                <w:div w:id="294155057">
                  <w:marLeft w:val="0"/>
                  <w:marRight w:val="0"/>
                  <w:marTop w:val="0"/>
                  <w:marBottom w:val="0"/>
                  <w:divBdr>
                    <w:top w:val="none" w:sz="0" w:space="0" w:color="auto"/>
                    <w:left w:val="none" w:sz="0" w:space="0" w:color="auto"/>
                    <w:bottom w:val="none" w:sz="0" w:space="0" w:color="auto"/>
                    <w:right w:val="none" w:sz="0" w:space="0" w:color="auto"/>
                  </w:divBdr>
                </w:div>
                <w:div w:id="294155163">
                  <w:marLeft w:val="0"/>
                  <w:marRight w:val="0"/>
                  <w:marTop w:val="0"/>
                  <w:marBottom w:val="0"/>
                  <w:divBdr>
                    <w:top w:val="none" w:sz="0" w:space="0" w:color="auto"/>
                    <w:left w:val="none" w:sz="0" w:space="0" w:color="auto"/>
                    <w:bottom w:val="none" w:sz="0" w:space="0" w:color="auto"/>
                    <w:right w:val="none" w:sz="0" w:space="0" w:color="auto"/>
                  </w:divBdr>
                </w:div>
                <w:div w:id="294155461">
                  <w:marLeft w:val="0"/>
                  <w:marRight w:val="0"/>
                  <w:marTop w:val="0"/>
                  <w:marBottom w:val="0"/>
                  <w:divBdr>
                    <w:top w:val="none" w:sz="0" w:space="0" w:color="auto"/>
                    <w:left w:val="none" w:sz="0" w:space="0" w:color="auto"/>
                    <w:bottom w:val="none" w:sz="0" w:space="0" w:color="auto"/>
                    <w:right w:val="none" w:sz="0" w:space="0" w:color="auto"/>
                  </w:divBdr>
                </w:div>
                <w:div w:id="294155572">
                  <w:marLeft w:val="0"/>
                  <w:marRight w:val="0"/>
                  <w:marTop w:val="0"/>
                  <w:marBottom w:val="0"/>
                  <w:divBdr>
                    <w:top w:val="none" w:sz="0" w:space="0" w:color="auto"/>
                    <w:left w:val="none" w:sz="0" w:space="0" w:color="auto"/>
                    <w:bottom w:val="none" w:sz="0" w:space="0" w:color="auto"/>
                    <w:right w:val="none" w:sz="0" w:space="0" w:color="auto"/>
                  </w:divBdr>
                </w:div>
                <w:div w:id="294155785">
                  <w:marLeft w:val="0"/>
                  <w:marRight w:val="0"/>
                  <w:marTop w:val="0"/>
                  <w:marBottom w:val="0"/>
                  <w:divBdr>
                    <w:top w:val="none" w:sz="0" w:space="0" w:color="auto"/>
                    <w:left w:val="none" w:sz="0" w:space="0" w:color="auto"/>
                    <w:bottom w:val="none" w:sz="0" w:space="0" w:color="auto"/>
                    <w:right w:val="none" w:sz="0" w:space="0" w:color="auto"/>
                  </w:divBdr>
                </w:div>
                <w:div w:id="294155792">
                  <w:marLeft w:val="0"/>
                  <w:marRight w:val="0"/>
                  <w:marTop w:val="0"/>
                  <w:marBottom w:val="0"/>
                  <w:divBdr>
                    <w:top w:val="none" w:sz="0" w:space="0" w:color="auto"/>
                    <w:left w:val="none" w:sz="0" w:space="0" w:color="auto"/>
                    <w:bottom w:val="none" w:sz="0" w:space="0" w:color="auto"/>
                    <w:right w:val="none" w:sz="0" w:space="0" w:color="auto"/>
                  </w:divBdr>
                </w:div>
                <w:div w:id="294155945">
                  <w:marLeft w:val="0"/>
                  <w:marRight w:val="0"/>
                  <w:marTop w:val="0"/>
                  <w:marBottom w:val="0"/>
                  <w:divBdr>
                    <w:top w:val="none" w:sz="0" w:space="0" w:color="auto"/>
                    <w:left w:val="none" w:sz="0" w:space="0" w:color="auto"/>
                    <w:bottom w:val="none" w:sz="0" w:space="0" w:color="auto"/>
                    <w:right w:val="none" w:sz="0" w:space="0" w:color="auto"/>
                  </w:divBdr>
                </w:div>
                <w:div w:id="294155959">
                  <w:marLeft w:val="0"/>
                  <w:marRight w:val="0"/>
                  <w:marTop w:val="0"/>
                  <w:marBottom w:val="0"/>
                  <w:divBdr>
                    <w:top w:val="none" w:sz="0" w:space="0" w:color="auto"/>
                    <w:left w:val="none" w:sz="0" w:space="0" w:color="auto"/>
                    <w:bottom w:val="none" w:sz="0" w:space="0" w:color="auto"/>
                    <w:right w:val="none" w:sz="0" w:space="0" w:color="auto"/>
                  </w:divBdr>
                </w:div>
                <w:div w:id="294156228">
                  <w:marLeft w:val="0"/>
                  <w:marRight w:val="0"/>
                  <w:marTop w:val="0"/>
                  <w:marBottom w:val="0"/>
                  <w:divBdr>
                    <w:top w:val="none" w:sz="0" w:space="0" w:color="auto"/>
                    <w:left w:val="none" w:sz="0" w:space="0" w:color="auto"/>
                    <w:bottom w:val="none" w:sz="0" w:space="0" w:color="auto"/>
                    <w:right w:val="none" w:sz="0" w:space="0" w:color="auto"/>
                  </w:divBdr>
                </w:div>
                <w:div w:id="294156290">
                  <w:marLeft w:val="0"/>
                  <w:marRight w:val="0"/>
                  <w:marTop w:val="0"/>
                  <w:marBottom w:val="0"/>
                  <w:divBdr>
                    <w:top w:val="none" w:sz="0" w:space="0" w:color="auto"/>
                    <w:left w:val="none" w:sz="0" w:space="0" w:color="auto"/>
                    <w:bottom w:val="none" w:sz="0" w:space="0" w:color="auto"/>
                    <w:right w:val="none" w:sz="0" w:space="0" w:color="auto"/>
                  </w:divBdr>
                </w:div>
                <w:div w:id="294156337">
                  <w:marLeft w:val="0"/>
                  <w:marRight w:val="0"/>
                  <w:marTop w:val="0"/>
                  <w:marBottom w:val="0"/>
                  <w:divBdr>
                    <w:top w:val="none" w:sz="0" w:space="0" w:color="auto"/>
                    <w:left w:val="none" w:sz="0" w:space="0" w:color="auto"/>
                    <w:bottom w:val="none" w:sz="0" w:space="0" w:color="auto"/>
                    <w:right w:val="none" w:sz="0" w:space="0" w:color="auto"/>
                  </w:divBdr>
                </w:div>
                <w:div w:id="294156374">
                  <w:marLeft w:val="0"/>
                  <w:marRight w:val="0"/>
                  <w:marTop w:val="0"/>
                  <w:marBottom w:val="0"/>
                  <w:divBdr>
                    <w:top w:val="none" w:sz="0" w:space="0" w:color="auto"/>
                    <w:left w:val="none" w:sz="0" w:space="0" w:color="auto"/>
                    <w:bottom w:val="none" w:sz="0" w:space="0" w:color="auto"/>
                    <w:right w:val="none" w:sz="0" w:space="0" w:color="auto"/>
                  </w:divBdr>
                </w:div>
                <w:div w:id="294156409">
                  <w:marLeft w:val="0"/>
                  <w:marRight w:val="0"/>
                  <w:marTop w:val="0"/>
                  <w:marBottom w:val="0"/>
                  <w:divBdr>
                    <w:top w:val="none" w:sz="0" w:space="0" w:color="auto"/>
                    <w:left w:val="none" w:sz="0" w:space="0" w:color="auto"/>
                    <w:bottom w:val="none" w:sz="0" w:space="0" w:color="auto"/>
                    <w:right w:val="none" w:sz="0" w:space="0" w:color="auto"/>
                  </w:divBdr>
                </w:div>
                <w:div w:id="294156568">
                  <w:marLeft w:val="0"/>
                  <w:marRight w:val="0"/>
                  <w:marTop w:val="0"/>
                  <w:marBottom w:val="0"/>
                  <w:divBdr>
                    <w:top w:val="none" w:sz="0" w:space="0" w:color="auto"/>
                    <w:left w:val="none" w:sz="0" w:space="0" w:color="auto"/>
                    <w:bottom w:val="none" w:sz="0" w:space="0" w:color="auto"/>
                    <w:right w:val="none" w:sz="0" w:space="0" w:color="auto"/>
                  </w:divBdr>
                </w:div>
                <w:div w:id="294156621">
                  <w:marLeft w:val="0"/>
                  <w:marRight w:val="0"/>
                  <w:marTop w:val="0"/>
                  <w:marBottom w:val="0"/>
                  <w:divBdr>
                    <w:top w:val="none" w:sz="0" w:space="0" w:color="auto"/>
                    <w:left w:val="none" w:sz="0" w:space="0" w:color="auto"/>
                    <w:bottom w:val="none" w:sz="0" w:space="0" w:color="auto"/>
                    <w:right w:val="none" w:sz="0" w:space="0" w:color="auto"/>
                  </w:divBdr>
                </w:div>
                <w:div w:id="294156732">
                  <w:marLeft w:val="0"/>
                  <w:marRight w:val="0"/>
                  <w:marTop w:val="0"/>
                  <w:marBottom w:val="0"/>
                  <w:divBdr>
                    <w:top w:val="none" w:sz="0" w:space="0" w:color="auto"/>
                    <w:left w:val="none" w:sz="0" w:space="0" w:color="auto"/>
                    <w:bottom w:val="none" w:sz="0" w:space="0" w:color="auto"/>
                    <w:right w:val="none" w:sz="0" w:space="0" w:color="auto"/>
                  </w:divBdr>
                </w:div>
                <w:div w:id="294156772">
                  <w:marLeft w:val="0"/>
                  <w:marRight w:val="0"/>
                  <w:marTop w:val="0"/>
                  <w:marBottom w:val="0"/>
                  <w:divBdr>
                    <w:top w:val="none" w:sz="0" w:space="0" w:color="auto"/>
                    <w:left w:val="none" w:sz="0" w:space="0" w:color="auto"/>
                    <w:bottom w:val="none" w:sz="0" w:space="0" w:color="auto"/>
                    <w:right w:val="none" w:sz="0" w:space="0" w:color="auto"/>
                  </w:divBdr>
                </w:div>
                <w:div w:id="294156801">
                  <w:marLeft w:val="0"/>
                  <w:marRight w:val="0"/>
                  <w:marTop w:val="0"/>
                  <w:marBottom w:val="0"/>
                  <w:divBdr>
                    <w:top w:val="none" w:sz="0" w:space="0" w:color="auto"/>
                    <w:left w:val="none" w:sz="0" w:space="0" w:color="auto"/>
                    <w:bottom w:val="none" w:sz="0" w:space="0" w:color="auto"/>
                    <w:right w:val="none" w:sz="0" w:space="0" w:color="auto"/>
                  </w:divBdr>
                </w:div>
                <w:div w:id="29415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5212">
          <w:marLeft w:val="0"/>
          <w:marRight w:val="0"/>
          <w:marTop w:val="0"/>
          <w:marBottom w:val="0"/>
          <w:divBdr>
            <w:top w:val="none" w:sz="0" w:space="0" w:color="auto"/>
            <w:left w:val="none" w:sz="0" w:space="0" w:color="auto"/>
            <w:bottom w:val="none" w:sz="0" w:space="0" w:color="auto"/>
            <w:right w:val="none" w:sz="0" w:space="0" w:color="auto"/>
          </w:divBdr>
        </w:div>
        <w:div w:id="294156730">
          <w:marLeft w:val="0"/>
          <w:marRight w:val="0"/>
          <w:marTop w:val="0"/>
          <w:marBottom w:val="0"/>
          <w:divBdr>
            <w:top w:val="none" w:sz="0" w:space="0" w:color="auto"/>
            <w:left w:val="none" w:sz="0" w:space="0" w:color="auto"/>
            <w:bottom w:val="none" w:sz="0" w:space="0" w:color="auto"/>
            <w:right w:val="none" w:sz="0" w:space="0" w:color="auto"/>
          </w:divBdr>
          <w:divsChild>
            <w:div w:id="294155597">
              <w:marLeft w:val="0"/>
              <w:marRight w:val="0"/>
              <w:marTop w:val="0"/>
              <w:marBottom w:val="0"/>
              <w:divBdr>
                <w:top w:val="none" w:sz="0" w:space="0" w:color="auto"/>
                <w:left w:val="none" w:sz="0" w:space="0" w:color="auto"/>
                <w:bottom w:val="none" w:sz="0" w:space="0" w:color="auto"/>
                <w:right w:val="none" w:sz="0" w:space="0" w:color="auto"/>
              </w:divBdr>
              <w:divsChild>
                <w:div w:id="294147136">
                  <w:marLeft w:val="0"/>
                  <w:marRight w:val="0"/>
                  <w:marTop w:val="0"/>
                  <w:marBottom w:val="0"/>
                  <w:divBdr>
                    <w:top w:val="none" w:sz="0" w:space="0" w:color="auto"/>
                    <w:left w:val="none" w:sz="0" w:space="0" w:color="auto"/>
                    <w:bottom w:val="none" w:sz="0" w:space="0" w:color="auto"/>
                    <w:right w:val="none" w:sz="0" w:space="0" w:color="auto"/>
                  </w:divBdr>
                  <w:divsChild>
                    <w:div w:id="294138251">
                      <w:marLeft w:val="0"/>
                      <w:marRight w:val="0"/>
                      <w:marTop w:val="0"/>
                      <w:marBottom w:val="0"/>
                      <w:divBdr>
                        <w:top w:val="none" w:sz="0" w:space="0" w:color="auto"/>
                        <w:left w:val="none" w:sz="0" w:space="0" w:color="auto"/>
                        <w:bottom w:val="none" w:sz="0" w:space="0" w:color="auto"/>
                        <w:right w:val="none" w:sz="0" w:space="0" w:color="auto"/>
                      </w:divBdr>
                      <w:divsChild>
                        <w:div w:id="294151273">
                          <w:marLeft w:val="0"/>
                          <w:marRight w:val="0"/>
                          <w:marTop w:val="0"/>
                          <w:marBottom w:val="0"/>
                          <w:divBdr>
                            <w:top w:val="none" w:sz="0" w:space="0" w:color="auto"/>
                            <w:left w:val="none" w:sz="0" w:space="0" w:color="auto"/>
                            <w:bottom w:val="none" w:sz="0" w:space="0" w:color="auto"/>
                            <w:right w:val="none" w:sz="0" w:space="0" w:color="auto"/>
                          </w:divBdr>
                        </w:div>
                      </w:divsChild>
                    </w:div>
                    <w:div w:id="294138369">
                      <w:marLeft w:val="0"/>
                      <w:marRight w:val="0"/>
                      <w:marTop w:val="0"/>
                      <w:marBottom w:val="0"/>
                      <w:divBdr>
                        <w:top w:val="none" w:sz="0" w:space="0" w:color="auto"/>
                        <w:left w:val="none" w:sz="0" w:space="0" w:color="auto"/>
                        <w:bottom w:val="none" w:sz="0" w:space="0" w:color="auto"/>
                        <w:right w:val="none" w:sz="0" w:space="0" w:color="auto"/>
                      </w:divBdr>
                      <w:divsChild>
                        <w:div w:id="294141274">
                          <w:marLeft w:val="0"/>
                          <w:marRight w:val="0"/>
                          <w:marTop w:val="0"/>
                          <w:marBottom w:val="0"/>
                          <w:divBdr>
                            <w:top w:val="none" w:sz="0" w:space="0" w:color="auto"/>
                            <w:left w:val="none" w:sz="0" w:space="0" w:color="auto"/>
                            <w:bottom w:val="none" w:sz="0" w:space="0" w:color="auto"/>
                            <w:right w:val="none" w:sz="0" w:space="0" w:color="auto"/>
                          </w:divBdr>
                        </w:div>
                      </w:divsChild>
                    </w:div>
                    <w:div w:id="294138391">
                      <w:marLeft w:val="0"/>
                      <w:marRight w:val="0"/>
                      <w:marTop w:val="0"/>
                      <w:marBottom w:val="0"/>
                      <w:divBdr>
                        <w:top w:val="none" w:sz="0" w:space="0" w:color="auto"/>
                        <w:left w:val="none" w:sz="0" w:space="0" w:color="auto"/>
                        <w:bottom w:val="none" w:sz="0" w:space="0" w:color="auto"/>
                        <w:right w:val="none" w:sz="0" w:space="0" w:color="auto"/>
                      </w:divBdr>
                      <w:divsChild>
                        <w:div w:id="294150837">
                          <w:marLeft w:val="0"/>
                          <w:marRight w:val="0"/>
                          <w:marTop w:val="0"/>
                          <w:marBottom w:val="0"/>
                          <w:divBdr>
                            <w:top w:val="none" w:sz="0" w:space="0" w:color="auto"/>
                            <w:left w:val="none" w:sz="0" w:space="0" w:color="auto"/>
                            <w:bottom w:val="none" w:sz="0" w:space="0" w:color="auto"/>
                            <w:right w:val="none" w:sz="0" w:space="0" w:color="auto"/>
                          </w:divBdr>
                        </w:div>
                      </w:divsChild>
                    </w:div>
                    <w:div w:id="294138621">
                      <w:marLeft w:val="0"/>
                      <w:marRight w:val="0"/>
                      <w:marTop w:val="0"/>
                      <w:marBottom w:val="0"/>
                      <w:divBdr>
                        <w:top w:val="none" w:sz="0" w:space="0" w:color="auto"/>
                        <w:left w:val="none" w:sz="0" w:space="0" w:color="auto"/>
                        <w:bottom w:val="none" w:sz="0" w:space="0" w:color="auto"/>
                        <w:right w:val="none" w:sz="0" w:space="0" w:color="auto"/>
                      </w:divBdr>
                    </w:div>
                    <w:div w:id="294138704">
                      <w:marLeft w:val="0"/>
                      <w:marRight w:val="0"/>
                      <w:marTop w:val="0"/>
                      <w:marBottom w:val="0"/>
                      <w:divBdr>
                        <w:top w:val="none" w:sz="0" w:space="0" w:color="auto"/>
                        <w:left w:val="none" w:sz="0" w:space="0" w:color="auto"/>
                        <w:bottom w:val="none" w:sz="0" w:space="0" w:color="auto"/>
                        <w:right w:val="none" w:sz="0" w:space="0" w:color="auto"/>
                      </w:divBdr>
                    </w:div>
                    <w:div w:id="294138750">
                      <w:marLeft w:val="0"/>
                      <w:marRight w:val="0"/>
                      <w:marTop w:val="0"/>
                      <w:marBottom w:val="0"/>
                      <w:divBdr>
                        <w:top w:val="none" w:sz="0" w:space="0" w:color="auto"/>
                        <w:left w:val="none" w:sz="0" w:space="0" w:color="auto"/>
                        <w:bottom w:val="none" w:sz="0" w:space="0" w:color="auto"/>
                        <w:right w:val="none" w:sz="0" w:space="0" w:color="auto"/>
                      </w:divBdr>
                      <w:divsChild>
                        <w:div w:id="294153550">
                          <w:marLeft w:val="0"/>
                          <w:marRight w:val="0"/>
                          <w:marTop w:val="0"/>
                          <w:marBottom w:val="0"/>
                          <w:divBdr>
                            <w:top w:val="none" w:sz="0" w:space="0" w:color="auto"/>
                            <w:left w:val="none" w:sz="0" w:space="0" w:color="auto"/>
                            <w:bottom w:val="none" w:sz="0" w:space="0" w:color="auto"/>
                            <w:right w:val="none" w:sz="0" w:space="0" w:color="auto"/>
                          </w:divBdr>
                        </w:div>
                      </w:divsChild>
                    </w:div>
                    <w:div w:id="294138852">
                      <w:marLeft w:val="0"/>
                      <w:marRight w:val="0"/>
                      <w:marTop w:val="0"/>
                      <w:marBottom w:val="0"/>
                      <w:divBdr>
                        <w:top w:val="none" w:sz="0" w:space="0" w:color="auto"/>
                        <w:left w:val="none" w:sz="0" w:space="0" w:color="auto"/>
                        <w:bottom w:val="none" w:sz="0" w:space="0" w:color="auto"/>
                        <w:right w:val="none" w:sz="0" w:space="0" w:color="auto"/>
                      </w:divBdr>
                    </w:div>
                    <w:div w:id="294138869">
                      <w:marLeft w:val="0"/>
                      <w:marRight w:val="0"/>
                      <w:marTop w:val="0"/>
                      <w:marBottom w:val="0"/>
                      <w:divBdr>
                        <w:top w:val="none" w:sz="0" w:space="0" w:color="auto"/>
                        <w:left w:val="none" w:sz="0" w:space="0" w:color="auto"/>
                        <w:bottom w:val="none" w:sz="0" w:space="0" w:color="auto"/>
                        <w:right w:val="none" w:sz="0" w:space="0" w:color="auto"/>
                      </w:divBdr>
                      <w:divsChild>
                        <w:div w:id="294144900">
                          <w:marLeft w:val="0"/>
                          <w:marRight w:val="0"/>
                          <w:marTop w:val="0"/>
                          <w:marBottom w:val="0"/>
                          <w:divBdr>
                            <w:top w:val="none" w:sz="0" w:space="0" w:color="auto"/>
                            <w:left w:val="none" w:sz="0" w:space="0" w:color="auto"/>
                            <w:bottom w:val="none" w:sz="0" w:space="0" w:color="auto"/>
                            <w:right w:val="none" w:sz="0" w:space="0" w:color="auto"/>
                          </w:divBdr>
                        </w:div>
                      </w:divsChild>
                    </w:div>
                    <w:div w:id="294139131">
                      <w:marLeft w:val="0"/>
                      <w:marRight w:val="0"/>
                      <w:marTop w:val="0"/>
                      <w:marBottom w:val="0"/>
                      <w:divBdr>
                        <w:top w:val="none" w:sz="0" w:space="0" w:color="auto"/>
                        <w:left w:val="none" w:sz="0" w:space="0" w:color="auto"/>
                        <w:bottom w:val="none" w:sz="0" w:space="0" w:color="auto"/>
                        <w:right w:val="none" w:sz="0" w:space="0" w:color="auto"/>
                      </w:divBdr>
                    </w:div>
                    <w:div w:id="294139236">
                      <w:marLeft w:val="0"/>
                      <w:marRight w:val="0"/>
                      <w:marTop w:val="0"/>
                      <w:marBottom w:val="0"/>
                      <w:divBdr>
                        <w:top w:val="none" w:sz="0" w:space="0" w:color="auto"/>
                        <w:left w:val="none" w:sz="0" w:space="0" w:color="auto"/>
                        <w:bottom w:val="none" w:sz="0" w:space="0" w:color="auto"/>
                        <w:right w:val="none" w:sz="0" w:space="0" w:color="auto"/>
                      </w:divBdr>
                    </w:div>
                    <w:div w:id="294139385">
                      <w:marLeft w:val="0"/>
                      <w:marRight w:val="0"/>
                      <w:marTop w:val="0"/>
                      <w:marBottom w:val="0"/>
                      <w:divBdr>
                        <w:top w:val="none" w:sz="0" w:space="0" w:color="auto"/>
                        <w:left w:val="none" w:sz="0" w:space="0" w:color="auto"/>
                        <w:bottom w:val="none" w:sz="0" w:space="0" w:color="auto"/>
                        <w:right w:val="none" w:sz="0" w:space="0" w:color="auto"/>
                      </w:divBdr>
                      <w:divsChild>
                        <w:div w:id="294139163">
                          <w:marLeft w:val="0"/>
                          <w:marRight w:val="0"/>
                          <w:marTop w:val="0"/>
                          <w:marBottom w:val="0"/>
                          <w:divBdr>
                            <w:top w:val="none" w:sz="0" w:space="0" w:color="auto"/>
                            <w:left w:val="none" w:sz="0" w:space="0" w:color="auto"/>
                            <w:bottom w:val="none" w:sz="0" w:space="0" w:color="auto"/>
                            <w:right w:val="none" w:sz="0" w:space="0" w:color="auto"/>
                          </w:divBdr>
                        </w:div>
                      </w:divsChild>
                    </w:div>
                    <w:div w:id="294139771">
                      <w:marLeft w:val="0"/>
                      <w:marRight w:val="0"/>
                      <w:marTop w:val="0"/>
                      <w:marBottom w:val="0"/>
                      <w:divBdr>
                        <w:top w:val="none" w:sz="0" w:space="0" w:color="auto"/>
                        <w:left w:val="none" w:sz="0" w:space="0" w:color="auto"/>
                        <w:bottom w:val="none" w:sz="0" w:space="0" w:color="auto"/>
                        <w:right w:val="none" w:sz="0" w:space="0" w:color="auto"/>
                      </w:divBdr>
                    </w:div>
                    <w:div w:id="294139830">
                      <w:marLeft w:val="0"/>
                      <w:marRight w:val="0"/>
                      <w:marTop w:val="0"/>
                      <w:marBottom w:val="0"/>
                      <w:divBdr>
                        <w:top w:val="none" w:sz="0" w:space="0" w:color="auto"/>
                        <w:left w:val="none" w:sz="0" w:space="0" w:color="auto"/>
                        <w:bottom w:val="none" w:sz="0" w:space="0" w:color="auto"/>
                        <w:right w:val="none" w:sz="0" w:space="0" w:color="auto"/>
                      </w:divBdr>
                      <w:divsChild>
                        <w:div w:id="294145586">
                          <w:marLeft w:val="0"/>
                          <w:marRight w:val="0"/>
                          <w:marTop w:val="0"/>
                          <w:marBottom w:val="0"/>
                          <w:divBdr>
                            <w:top w:val="none" w:sz="0" w:space="0" w:color="auto"/>
                            <w:left w:val="none" w:sz="0" w:space="0" w:color="auto"/>
                            <w:bottom w:val="none" w:sz="0" w:space="0" w:color="auto"/>
                            <w:right w:val="none" w:sz="0" w:space="0" w:color="auto"/>
                          </w:divBdr>
                        </w:div>
                      </w:divsChild>
                    </w:div>
                    <w:div w:id="294139956">
                      <w:marLeft w:val="0"/>
                      <w:marRight w:val="0"/>
                      <w:marTop w:val="0"/>
                      <w:marBottom w:val="0"/>
                      <w:divBdr>
                        <w:top w:val="none" w:sz="0" w:space="0" w:color="auto"/>
                        <w:left w:val="none" w:sz="0" w:space="0" w:color="auto"/>
                        <w:bottom w:val="none" w:sz="0" w:space="0" w:color="auto"/>
                        <w:right w:val="none" w:sz="0" w:space="0" w:color="auto"/>
                      </w:divBdr>
                    </w:div>
                    <w:div w:id="294139961">
                      <w:marLeft w:val="0"/>
                      <w:marRight w:val="0"/>
                      <w:marTop w:val="0"/>
                      <w:marBottom w:val="0"/>
                      <w:divBdr>
                        <w:top w:val="none" w:sz="0" w:space="0" w:color="auto"/>
                        <w:left w:val="none" w:sz="0" w:space="0" w:color="auto"/>
                        <w:bottom w:val="none" w:sz="0" w:space="0" w:color="auto"/>
                        <w:right w:val="none" w:sz="0" w:space="0" w:color="auto"/>
                      </w:divBdr>
                      <w:divsChild>
                        <w:div w:id="294147007">
                          <w:marLeft w:val="0"/>
                          <w:marRight w:val="0"/>
                          <w:marTop w:val="0"/>
                          <w:marBottom w:val="0"/>
                          <w:divBdr>
                            <w:top w:val="none" w:sz="0" w:space="0" w:color="auto"/>
                            <w:left w:val="none" w:sz="0" w:space="0" w:color="auto"/>
                            <w:bottom w:val="none" w:sz="0" w:space="0" w:color="auto"/>
                            <w:right w:val="none" w:sz="0" w:space="0" w:color="auto"/>
                          </w:divBdr>
                        </w:div>
                      </w:divsChild>
                    </w:div>
                    <w:div w:id="294140159">
                      <w:marLeft w:val="0"/>
                      <w:marRight w:val="0"/>
                      <w:marTop w:val="0"/>
                      <w:marBottom w:val="0"/>
                      <w:divBdr>
                        <w:top w:val="none" w:sz="0" w:space="0" w:color="auto"/>
                        <w:left w:val="none" w:sz="0" w:space="0" w:color="auto"/>
                        <w:bottom w:val="none" w:sz="0" w:space="0" w:color="auto"/>
                        <w:right w:val="none" w:sz="0" w:space="0" w:color="auto"/>
                      </w:divBdr>
                      <w:divsChild>
                        <w:div w:id="294156145">
                          <w:marLeft w:val="0"/>
                          <w:marRight w:val="0"/>
                          <w:marTop w:val="0"/>
                          <w:marBottom w:val="0"/>
                          <w:divBdr>
                            <w:top w:val="none" w:sz="0" w:space="0" w:color="auto"/>
                            <w:left w:val="none" w:sz="0" w:space="0" w:color="auto"/>
                            <w:bottom w:val="none" w:sz="0" w:space="0" w:color="auto"/>
                            <w:right w:val="none" w:sz="0" w:space="0" w:color="auto"/>
                          </w:divBdr>
                        </w:div>
                      </w:divsChild>
                    </w:div>
                    <w:div w:id="294140271">
                      <w:marLeft w:val="0"/>
                      <w:marRight w:val="0"/>
                      <w:marTop w:val="0"/>
                      <w:marBottom w:val="0"/>
                      <w:divBdr>
                        <w:top w:val="none" w:sz="0" w:space="0" w:color="auto"/>
                        <w:left w:val="none" w:sz="0" w:space="0" w:color="auto"/>
                        <w:bottom w:val="none" w:sz="0" w:space="0" w:color="auto"/>
                        <w:right w:val="none" w:sz="0" w:space="0" w:color="auto"/>
                      </w:divBdr>
                    </w:div>
                    <w:div w:id="294140302">
                      <w:marLeft w:val="0"/>
                      <w:marRight w:val="0"/>
                      <w:marTop w:val="0"/>
                      <w:marBottom w:val="0"/>
                      <w:divBdr>
                        <w:top w:val="none" w:sz="0" w:space="0" w:color="auto"/>
                        <w:left w:val="none" w:sz="0" w:space="0" w:color="auto"/>
                        <w:bottom w:val="none" w:sz="0" w:space="0" w:color="auto"/>
                        <w:right w:val="none" w:sz="0" w:space="0" w:color="auto"/>
                      </w:divBdr>
                      <w:divsChild>
                        <w:div w:id="294155036">
                          <w:marLeft w:val="0"/>
                          <w:marRight w:val="0"/>
                          <w:marTop w:val="0"/>
                          <w:marBottom w:val="0"/>
                          <w:divBdr>
                            <w:top w:val="none" w:sz="0" w:space="0" w:color="auto"/>
                            <w:left w:val="none" w:sz="0" w:space="0" w:color="auto"/>
                            <w:bottom w:val="none" w:sz="0" w:space="0" w:color="auto"/>
                            <w:right w:val="none" w:sz="0" w:space="0" w:color="auto"/>
                          </w:divBdr>
                        </w:div>
                      </w:divsChild>
                    </w:div>
                    <w:div w:id="294140391">
                      <w:marLeft w:val="0"/>
                      <w:marRight w:val="0"/>
                      <w:marTop w:val="0"/>
                      <w:marBottom w:val="0"/>
                      <w:divBdr>
                        <w:top w:val="none" w:sz="0" w:space="0" w:color="auto"/>
                        <w:left w:val="none" w:sz="0" w:space="0" w:color="auto"/>
                        <w:bottom w:val="none" w:sz="0" w:space="0" w:color="auto"/>
                        <w:right w:val="none" w:sz="0" w:space="0" w:color="auto"/>
                      </w:divBdr>
                      <w:divsChild>
                        <w:div w:id="294146241">
                          <w:marLeft w:val="0"/>
                          <w:marRight w:val="0"/>
                          <w:marTop w:val="0"/>
                          <w:marBottom w:val="0"/>
                          <w:divBdr>
                            <w:top w:val="none" w:sz="0" w:space="0" w:color="auto"/>
                            <w:left w:val="none" w:sz="0" w:space="0" w:color="auto"/>
                            <w:bottom w:val="none" w:sz="0" w:space="0" w:color="auto"/>
                            <w:right w:val="none" w:sz="0" w:space="0" w:color="auto"/>
                          </w:divBdr>
                        </w:div>
                      </w:divsChild>
                    </w:div>
                    <w:div w:id="294140476">
                      <w:marLeft w:val="0"/>
                      <w:marRight w:val="0"/>
                      <w:marTop w:val="0"/>
                      <w:marBottom w:val="0"/>
                      <w:divBdr>
                        <w:top w:val="none" w:sz="0" w:space="0" w:color="auto"/>
                        <w:left w:val="none" w:sz="0" w:space="0" w:color="auto"/>
                        <w:bottom w:val="none" w:sz="0" w:space="0" w:color="auto"/>
                        <w:right w:val="none" w:sz="0" w:space="0" w:color="auto"/>
                      </w:divBdr>
                      <w:divsChild>
                        <w:div w:id="294149609">
                          <w:marLeft w:val="0"/>
                          <w:marRight w:val="0"/>
                          <w:marTop w:val="0"/>
                          <w:marBottom w:val="0"/>
                          <w:divBdr>
                            <w:top w:val="none" w:sz="0" w:space="0" w:color="auto"/>
                            <w:left w:val="none" w:sz="0" w:space="0" w:color="auto"/>
                            <w:bottom w:val="none" w:sz="0" w:space="0" w:color="auto"/>
                            <w:right w:val="none" w:sz="0" w:space="0" w:color="auto"/>
                          </w:divBdr>
                        </w:div>
                      </w:divsChild>
                    </w:div>
                    <w:div w:id="294140647">
                      <w:marLeft w:val="0"/>
                      <w:marRight w:val="0"/>
                      <w:marTop w:val="0"/>
                      <w:marBottom w:val="0"/>
                      <w:divBdr>
                        <w:top w:val="none" w:sz="0" w:space="0" w:color="auto"/>
                        <w:left w:val="none" w:sz="0" w:space="0" w:color="auto"/>
                        <w:bottom w:val="none" w:sz="0" w:space="0" w:color="auto"/>
                        <w:right w:val="none" w:sz="0" w:space="0" w:color="auto"/>
                      </w:divBdr>
                    </w:div>
                    <w:div w:id="294140652">
                      <w:marLeft w:val="0"/>
                      <w:marRight w:val="0"/>
                      <w:marTop w:val="0"/>
                      <w:marBottom w:val="0"/>
                      <w:divBdr>
                        <w:top w:val="none" w:sz="0" w:space="0" w:color="auto"/>
                        <w:left w:val="none" w:sz="0" w:space="0" w:color="auto"/>
                        <w:bottom w:val="none" w:sz="0" w:space="0" w:color="auto"/>
                        <w:right w:val="none" w:sz="0" w:space="0" w:color="auto"/>
                      </w:divBdr>
                      <w:divsChild>
                        <w:div w:id="294141266">
                          <w:marLeft w:val="0"/>
                          <w:marRight w:val="0"/>
                          <w:marTop w:val="0"/>
                          <w:marBottom w:val="0"/>
                          <w:divBdr>
                            <w:top w:val="none" w:sz="0" w:space="0" w:color="auto"/>
                            <w:left w:val="none" w:sz="0" w:space="0" w:color="auto"/>
                            <w:bottom w:val="none" w:sz="0" w:space="0" w:color="auto"/>
                            <w:right w:val="none" w:sz="0" w:space="0" w:color="auto"/>
                          </w:divBdr>
                        </w:div>
                      </w:divsChild>
                    </w:div>
                    <w:div w:id="294140877">
                      <w:marLeft w:val="0"/>
                      <w:marRight w:val="0"/>
                      <w:marTop w:val="0"/>
                      <w:marBottom w:val="0"/>
                      <w:divBdr>
                        <w:top w:val="none" w:sz="0" w:space="0" w:color="auto"/>
                        <w:left w:val="none" w:sz="0" w:space="0" w:color="auto"/>
                        <w:bottom w:val="none" w:sz="0" w:space="0" w:color="auto"/>
                        <w:right w:val="none" w:sz="0" w:space="0" w:color="auto"/>
                      </w:divBdr>
                      <w:divsChild>
                        <w:div w:id="294140390">
                          <w:marLeft w:val="0"/>
                          <w:marRight w:val="0"/>
                          <w:marTop w:val="0"/>
                          <w:marBottom w:val="0"/>
                          <w:divBdr>
                            <w:top w:val="none" w:sz="0" w:space="0" w:color="auto"/>
                            <w:left w:val="none" w:sz="0" w:space="0" w:color="auto"/>
                            <w:bottom w:val="none" w:sz="0" w:space="0" w:color="auto"/>
                            <w:right w:val="none" w:sz="0" w:space="0" w:color="auto"/>
                          </w:divBdr>
                        </w:div>
                      </w:divsChild>
                    </w:div>
                    <w:div w:id="294140900">
                      <w:marLeft w:val="0"/>
                      <w:marRight w:val="0"/>
                      <w:marTop w:val="0"/>
                      <w:marBottom w:val="0"/>
                      <w:divBdr>
                        <w:top w:val="none" w:sz="0" w:space="0" w:color="auto"/>
                        <w:left w:val="none" w:sz="0" w:space="0" w:color="auto"/>
                        <w:bottom w:val="none" w:sz="0" w:space="0" w:color="auto"/>
                        <w:right w:val="none" w:sz="0" w:space="0" w:color="auto"/>
                      </w:divBdr>
                      <w:divsChild>
                        <w:div w:id="294153422">
                          <w:marLeft w:val="0"/>
                          <w:marRight w:val="0"/>
                          <w:marTop w:val="0"/>
                          <w:marBottom w:val="0"/>
                          <w:divBdr>
                            <w:top w:val="none" w:sz="0" w:space="0" w:color="auto"/>
                            <w:left w:val="none" w:sz="0" w:space="0" w:color="auto"/>
                            <w:bottom w:val="none" w:sz="0" w:space="0" w:color="auto"/>
                            <w:right w:val="none" w:sz="0" w:space="0" w:color="auto"/>
                          </w:divBdr>
                        </w:div>
                      </w:divsChild>
                    </w:div>
                    <w:div w:id="294141235">
                      <w:marLeft w:val="0"/>
                      <w:marRight w:val="0"/>
                      <w:marTop w:val="0"/>
                      <w:marBottom w:val="0"/>
                      <w:divBdr>
                        <w:top w:val="none" w:sz="0" w:space="0" w:color="auto"/>
                        <w:left w:val="none" w:sz="0" w:space="0" w:color="auto"/>
                        <w:bottom w:val="none" w:sz="0" w:space="0" w:color="auto"/>
                        <w:right w:val="none" w:sz="0" w:space="0" w:color="auto"/>
                      </w:divBdr>
                      <w:divsChild>
                        <w:div w:id="294149066">
                          <w:marLeft w:val="0"/>
                          <w:marRight w:val="0"/>
                          <w:marTop w:val="0"/>
                          <w:marBottom w:val="0"/>
                          <w:divBdr>
                            <w:top w:val="none" w:sz="0" w:space="0" w:color="auto"/>
                            <w:left w:val="none" w:sz="0" w:space="0" w:color="auto"/>
                            <w:bottom w:val="none" w:sz="0" w:space="0" w:color="auto"/>
                            <w:right w:val="none" w:sz="0" w:space="0" w:color="auto"/>
                          </w:divBdr>
                        </w:div>
                      </w:divsChild>
                    </w:div>
                    <w:div w:id="294141251">
                      <w:marLeft w:val="0"/>
                      <w:marRight w:val="0"/>
                      <w:marTop w:val="0"/>
                      <w:marBottom w:val="0"/>
                      <w:divBdr>
                        <w:top w:val="none" w:sz="0" w:space="0" w:color="auto"/>
                        <w:left w:val="none" w:sz="0" w:space="0" w:color="auto"/>
                        <w:bottom w:val="none" w:sz="0" w:space="0" w:color="auto"/>
                        <w:right w:val="none" w:sz="0" w:space="0" w:color="auto"/>
                      </w:divBdr>
                    </w:div>
                    <w:div w:id="294141479">
                      <w:marLeft w:val="0"/>
                      <w:marRight w:val="0"/>
                      <w:marTop w:val="0"/>
                      <w:marBottom w:val="0"/>
                      <w:divBdr>
                        <w:top w:val="none" w:sz="0" w:space="0" w:color="auto"/>
                        <w:left w:val="none" w:sz="0" w:space="0" w:color="auto"/>
                        <w:bottom w:val="none" w:sz="0" w:space="0" w:color="auto"/>
                        <w:right w:val="none" w:sz="0" w:space="0" w:color="auto"/>
                      </w:divBdr>
                      <w:divsChild>
                        <w:div w:id="294150308">
                          <w:marLeft w:val="0"/>
                          <w:marRight w:val="0"/>
                          <w:marTop w:val="0"/>
                          <w:marBottom w:val="0"/>
                          <w:divBdr>
                            <w:top w:val="none" w:sz="0" w:space="0" w:color="auto"/>
                            <w:left w:val="none" w:sz="0" w:space="0" w:color="auto"/>
                            <w:bottom w:val="none" w:sz="0" w:space="0" w:color="auto"/>
                            <w:right w:val="none" w:sz="0" w:space="0" w:color="auto"/>
                          </w:divBdr>
                        </w:div>
                      </w:divsChild>
                    </w:div>
                    <w:div w:id="294141538">
                      <w:marLeft w:val="0"/>
                      <w:marRight w:val="0"/>
                      <w:marTop w:val="0"/>
                      <w:marBottom w:val="0"/>
                      <w:divBdr>
                        <w:top w:val="none" w:sz="0" w:space="0" w:color="auto"/>
                        <w:left w:val="none" w:sz="0" w:space="0" w:color="auto"/>
                        <w:bottom w:val="none" w:sz="0" w:space="0" w:color="auto"/>
                        <w:right w:val="none" w:sz="0" w:space="0" w:color="auto"/>
                      </w:divBdr>
                    </w:div>
                    <w:div w:id="294141555">
                      <w:marLeft w:val="0"/>
                      <w:marRight w:val="0"/>
                      <w:marTop w:val="0"/>
                      <w:marBottom w:val="0"/>
                      <w:divBdr>
                        <w:top w:val="none" w:sz="0" w:space="0" w:color="auto"/>
                        <w:left w:val="none" w:sz="0" w:space="0" w:color="auto"/>
                        <w:bottom w:val="none" w:sz="0" w:space="0" w:color="auto"/>
                        <w:right w:val="none" w:sz="0" w:space="0" w:color="auto"/>
                      </w:divBdr>
                      <w:divsChild>
                        <w:div w:id="294140279">
                          <w:marLeft w:val="0"/>
                          <w:marRight w:val="0"/>
                          <w:marTop w:val="0"/>
                          <w:marBottom w:val="0"/>
                          <w:divBdr>
                            <w:top w:val="none" w:sz="0" w:space="0" w:color="auto"/>
                            <w:left w:val="none" w:sz="0" w:space="0" w:color="auto"/>
                            <w:bottom w:val="none" w:sz="0" w:space="0" w:color="auto"/>
                            <w:right w:val="none" w:sz="0" w:space="0" w:color="auto"/>
                          </w:divBdr>
                        </w:div>
                      </w:divsChild>
                    </w:div>
                    <w:div w:id="294141888">
                      <w:marLeft w:val="0"/>
                      <w:marRight w:val="0"/>
                      <w:marTop w:val="0"/>
                      <w:marBottom w:val="0"/>
                      <w:divBdr>
                        <w:top w:val="none" w:sz="0" w:space="0" w:color="auto"/>
                        <w:left w:val="none" w:sz="0" w:space="0" w:color="auto"/>
                        <w:bottom w:val="none" w:sz="0" w:space="0" w:color="auto"/>
                        <w:right w:val="none" w:sz="0" w:space="0" w:color="auto"/>
                      </w:divBdr>
                    </w:div>
                    <w:div w:id="294141985">
                      <w:marLeft w:val="0"/>
                      <w:marRight w:val="0"/>
                      <w:marTop w:val="0"/>
                      <w:marBottom w:val="0"/>
                      <w:divBdr>
                        <w:top w:val="none" w:sz="0" w:space="0" w:color="auto"/>
                        <w:left w:val="none" w:sz="0" w:space="0" w:color="auto"/>
                        <w:bottom w:val="none" w:sz="0" w:space="0" w:color="auto"/>
                        <w:right w:val="none" w:sz="0" w:space="0" w:color="auto"/>
                      </w:divBdr>
                      <w:divsChild>
                        <w:div w:id="294145341">
                          <w:marLeft w:val="0"/>
                          <w:marRight w:val="0"/>
                          <w:marTop w:val="0"/>
                          <w:marBottom w:val="0"/>
                          <w:divBdr>
                            <w:top w:val="none" w:sz="0" w:space="0" w:color="auto"/>
                            <w:left w:val="none" w:sz="0" w:space="0" w:color="auto"/>
                            <w:bottom w:val="none" w:sz="0" w:space="0" w:color="auto"/>
                            <w:right w:val="none" w:sz="0" w:space="0" w:color="auto"/>
                          </w:divBdr>
                        </w:div>
                      </w:divsChild>
                    </w:div>
                    <w:div w:id="294141999">
                      <w:marLeft w:val="0"/>
                      <w:marRight w:val="0"/>
                      <w:marTop w:val="0"/>
                      <w:marBottom w:val="0"/>
                      <w:divBdr>
                        <w:top w:val="none" w:sz="0" w:space="0" w:color="auto"/>
                        <w:left w:val="none" w:sz="0" w:space="0" w:color="auto"/>
                        <w:bottom w:val="none" w:sz="0" w:space="0" w:color="auto"/>
                        <w:right w:val="none" w:sz="0" w:space="0" w:color="auto"/>
                      </w:divBdr>
                      <w:divsChild>
                        <w:div w:id="294144982">
                          <w:marLeft w:val="0"/>
                          <w:marRight w:val="0"/>
                          <w:marTop w:val="0"/>
                          <w:marBottom w:val="0"/>
                          <w:divBdr>
                            <w:top w:val="none" w:sz="0" w:space="0" w:color="auto"/>
                            <w:left w:val="none" w:sz="0" w:space="0" w:color="auto"/>
                            <w:bottom w:val="none" w:sz="0" w:space="0" w:color="auto"/>
                            <w:right w:val="none" w:sz="0" w:space="0" w:color="auto"/>
                          </w:divBdr>
                        </w:div>
                      </w:divsChild>
                    </w:div>
                    <w:div w:id="294142080">
                      <w:marLeft w:val="0"/>
                      <w:marRight w:val="0"/>
                      <w:marTop w:val="0"/>
                      <w:marBottom w:val="0"/>
                      <w:divBdr>
                        <w:top w:val="none" w:sz="0" w:space="0" w:color="auto"/>
                        <w:left w:val="none" w:sz="0" w:space="0" w:color="auto"/>
                        <w:bottom w:val="none" w:sz="0" w:space="0" w:color="auto"/>
                        <w:right w:val="none" w:sz="0" w:space="0" w:color="auto"/>
                      </w:divBdr>
                    </w:div>
                    <w:div w:id="294142459">
                      <w:marLeft w:val="0"/>
                      <w:marRight w:val="0"/>
                      <w:marTop w:val="0"/>
                      <w:marBottom w:val="0"/>
                      <w:divBdr>
                        <w:top w:val="none" w:sz="0" w:space="0" w:color="auto"/>
                        <w:left w:val="none" w:sz="0" w:space="0" w:color="auto"/>
                        <w:bottom w:val="none" w:sz="0" w:space="0" w:color="auto"/>
                        <w:right w:val="none" w:sz="0" w:space="0" w:color="auto"/>
                      </w:divBdr>
                      <w:divsChild>
                        <w:div w:id="294147142">
                          <w:marLeft w:val="0"/>
                          <w:marRight w:val="0"/>
                          <w:marTop w:val="0"/>
                          <w:marBottom w:val="0"/>
                          <w:divBdr>
                            <w:top w:val="none" w:sz="0" w:space="0" w:color="auto"/>
                            <w:left w:val="none" w:sz="0" w:space="0" w:color="auto"/>
                            <w:bottom w:val="none" w:sz="0" w:space="0" w:color="auto"/>
                            <w:right w:val="none" w:sz="0" w:space="0" w:color="auto"/>
                          </w:divBdr>
                        </w:div>
                      </w:divsChild>
                    </w:div>
                    <w:div w:id="294142483">
                      <w:marLeft w:val="0"/>
                      <w:marRight w:val="0"/>
                      <w:marTop w:val="0"/>
                      <w:marBottom w:val="0"/>
                      <w:divBdr>
                        <w:top w:val="none" w:sz="0" w:space="0" w:color="auto"/>
                        <w:left w:val="none" w:sz="0" w:space="0" w:color="auto"/>
                        <w:bottom w:val="none" w:sz="0" w:space="0" w:color="auto"/>
                        <w:right w:val="none" w:sz="0" w:space="0" w:color="auto"/>
                      </w:divBdr>
                      <w:divsChild>
                        <w:div w:id="294141798">
                          <w:marLeft w:val="0"/>
                          <w:marRight w:val="0"/>
                          <w:marTop w:val="0"/>
                          <w:marBottom w:val="0"/>
                          <w:divBdr>
                            <w:top w:val="none" w:sz="0" w:space="0" w:color="auto"/>
                            <w:left w:val="none" w:sz="0" w:space="0" w:color="auto"/>
                            <w:bottom w:val="none" w:sz="0" w:space="0" w:color="auto"/>
                            <w:right w:val="none" w:sz="0" w:space="0" w:color="auto"/>
                          </w:divBdr>
                        </w:div>
                      </w:divsChild>
                    </w:div>
                    <w:div w:id="294142487">
                      <w:marLeft w:val="0"/>
                      <w:marRight w:val="0"/>
                      <w:marTop w:val="0"/>
                      <w:marBottom w:val="0"/>
                      <w:divBdr>
                        <w:top w:val="none" w:sz="0" w:space="0" w:color="auto"/>
                        <w:left w:val="none" w:sz="0" w:space="0" w:color="auto"/>
                        <w:bottom w:val="none" w:sz="0" w:space="0" w:color="auto"/>
                        <w:right w:val="none" w:sz="0" w:space="0" w:color="auto"/>
                      </w:divBdr>
                    </w:div>
                    <w:div w:id="294142505">
                      <w:marLeft w:val="0"/>
                      <w:marRight w:val="0"/>
                      <w:marTop w:val="0"/>
                      <w:marBottom w:val="0"/>
                      <w:divBdr>
                        <w:top w:val="none" w:sz="0" w:space="0" w:color="auto"/>
                        <w:left w:val="none" w:sz="0" w:space="0" w:color="auto"/>
                        <w:bottom w:val="none" w:sz="0" w:space="0" w:color="auto"/>
                        <w:right w:val="none" w:sz="0" w:space="0" w:color="auto"/>
                      </w:divBdr>
                    </w:div>
                    <w:div w:id="294142613">
                      <w:marLeft w:val="0"/>
                      <w:marRight w:val="0"/>
                      <w:marTop w:val="0"/>
                      <w:marBottom w:val="0"/>
                      <w:divBdr>
                        <w:top w:val="none" w:sz="0" w:space="0" w:color="auto"/>
                        <w:left w:val="none" w:sz="0" w:space="0" w:color="auto"/>
                        <w:bottom w:val="none" w:sz="0" w:space="0" w:color="auto"/>
                        <w:right w:val="none" w:sz="0" w:space="0" w:color="auto"/>
                      </w:divBdr>
                    </w:div>
                    <w:div w:id="294142651">
                      <w:marLeft w:val="0"/>
                      <w:marRight w:val="0"/>
                      <w:marTop w:val="0"/>
                      <w:marBottom w:val="0"/>
                      <w:divBdr>
                        <w:top w:val="none" w:sz="0" w:space="0" w:color="auto"/>
                        <w:left w:val="none" w:sz="0" w:space="0" w:color="auto"/>
                        <w:bottom w:val="none" w:sz="0" w:space="0" w:color="auto"/>
                        <w:right w:val="none" w:sz="0" w:space="0" w:color="auto"/>
                      </w:divBdr>
                    </w:div>
                    <w:div w:id="294142725">
                      <w:marLeft w:val="0"/>
                      <w:marRight w:val="0"/>
                      <w:marTop w:val="0"/>
                      <w:marBottom w:val="0"/>
                      <w:divBdr>
                        <w:top w:val="none" w:sz="0" w:space="0" w:color="auto"/>
                        <w:left w:val="none" w:sz="0" w:space="0" w:color="auto"/>
                        <w:bottom w:val="none" w:sz="0" w:space="0" w:color="auto"/>
                        <w:right w:val="none" w:sz="0" w:space="0" w:color="auto"/>
                      </w:divBdr>
                    </w:div>
                    <w:div w:id="294142735">
                      <w:marLeft w:val="0"/>
                      <w:marRight w:val="0"/>
                      <w:marTop w:val="0"/>
                      <w:marBottom w:val="0"/>
                      <w:divBdr>
                        <w:top w:val="none" w:sz="0" w:space="0" w:color="auto"/>
                        <w:left w:val="none" w:sz="0" w:space="0" w:color="auto"/>
                        <w:bottom w:val="none" w:sz="0" w:space="0" w:color="auto"/>
                        <w:right w:val="none" w:sz="0" w:space="0" w:color="auto"/>
                      </w:divBdr>
                      <w:divsChild>
                        <w:div w:id="294149851">
                          <w:marLeft w:val="0"/>
                          <w:marRight w:val="0"/>
                          <w:marTop w:val="0"/>
                          <w:marBottom w:val="0"/>
                          <w:divBdr>
                            <w:top w:val="none" w:sz="0" w:space="0" w:color="auto"/>
                            <w:left w:val="none" w:sz="0" w:space="0" w:color="auto"/>
                            <w:bottom w:val="none" w:sz="0" w:space="0" w:color="auto"/>
                            <w:right w:val="none" w:sz="0" w:space="0" w:color="auto"/>
                          </w:divBdr>
                        </w:div>
                      </w:divsChild>
                    </w:div>
                    <w:div w:id="294143025">
                      <w:marLeft w:val="0"/>
                      <w:marRight w:val="0"/>
                      <w:marTop w:val="0"/>
                      <w:marBottom w:val="0"/>
                      <w:divBdr>
                        <w:top w:val="none" w:sz="0" w:space="0" w:color="auto"/>
                        <w:left w:val="none" w:sz="0" w:space="0" w:color="auto"/>
                        <w:bottom w:val="none" w:sz="0" w:space="0" w:color="auto"/>
                        <w:right w:val="none" w:sz="0" w:space="0" w:color="auto"/>
                      </w:divBdr>
                    </w:div>
                    <w:div w:id="294143320">
                      <w:marLeft w:val="0"/>
                      <w:marRight w:val="0"/>
                      <w:marTop w:val="0"/>
                      <w:marBottom w:val="0"/>
                      <w:divBdr>
                        <w:top w:val="none" w:sz="0" w:space="0" w:color="auto"/>
                        <w:left w:val="none" w:sz="0" w:space="0" w:color="auto"/>
                        <w:bottom w:val="none" w:sz="0" w:space="0" w:color="auto"/>
                        <w:right w:val="none" w:sz="0" w:space="0" w:color="auto"/>
                      </w:divBdr>
                      <w:divsChild>
                        <w:div w:id="294146452">
                          <w:marLeft w:val="0"/>
                          <w:marRight w:val="0"/>
                          <w:marTop w:val="0"/>
                          <w:marBottom w:val="0"/>
                          <w:divBdr>
                            <w:top w:val="none" w:sz="0" w:space="0" w:color="auto"/>
                            <w:left w:val="none" w:sz="0" w:space="0" w:color="auto"/>
                            <w:bottom w:val="none" w:sz="0" w:space="0" w:color="auto"/>
                            <w:right w:val="none" w:sz="0" w:space="0" w:color="auto"/>
                          </w:divBdr>
                        </w:div>
                      </w:divsChild>
                    </w:div>
                    <w:div w:id="294143321">
                      <w:marLeft w:val="0"/>
                      <w:marRight w:val="0"/>
                      <w:marTop w:val="0"/>
                      <w:marBottom w:val="0"/>
                      <w:divBdr>
                        <w:top w:val="none" w:sz="0" w:space="0" w:color="auto"/>
                        <w:left w:val="none" w:sz="0" w:space="0" w:color="auto"/>
                        <w:bottom w:val="none" w:sz="0" w:space="0" w:color="auto"/>
                        <w:right w:val="none" w:sz="0" w:space="0" w:color="auto"/>
                      </w:divBdr>
                    </w:div>
                    <w:div w:id="294143364">
                      <w:marLeft w:val="0"/>
                      <w:marRight w:val="0"/>
                      <w:marTop w:val="0"/>
                      <w:marBottom w:val="0"/>
                      <w:divBdr>
                        <w:top w:val="none" w:sz="0" w:space="0" w:color="auto"/>
                        <w:left w:val="none" w:sz="0" w:space="0" w:color="auto"/>
                        <w:bottom w:val="none" w:sz="0" w:space="0" w:color="auto"/>
                        <w:right w:val="none" w:sz="0" w:space="0" w:color="auto"/>
                      </w:divBdr>
                    </w:div>
                    <w:div w:id="294143816">
                      <w:marLeft w:val="0"/>
                      <w:marRight w:val="0"/>
                      <w:marTop w:val="0"/>
                      <w:marBottom w:val="0"/>
                      <w:divBdr>
                        <w:top w:val="none" w:sz="0" w:space="0" w:color="auto"/>
                        <w:left w:val="none" w:sz="0" w:space="0" w:color="auto"/>
                        <w:bottom w:val="none" w:sz="0" w:space="0" w:color="auto"/>
                        <w:right w:val="none" w:sz="0" w:space="0" w:color="auto"/>
                      </w:divBdr>
                    </w:div>
                    <w:div w:id="294143858">
                      <w:marLeft w:val="0"/>
                      <w:marRight w:val="0"/>
                      <w:marTop w:val="0"/>
                      <w:marBottom w:val="0"/>
                      <w:divBdr>
                        <w:top w:val="none" w:sz="0" w:space="0" w:color="auto"/>
                        <w:left w:val="none" w:sz="0" w:space="0" w:color="auto"/>
                        <w:bottom w:val="none" w:sz="0" w:space="0" w:color="auto"/>
                        <w:right w:val="none" w:sz="0" w:space="0" w:color="auto"/>
                      </w:divBdr>
                    </w:div>
                    <w:div w:id="294143879">
                      <w:marLeft w:val="0"/>
                      <w:marRight w:val="0"/>
                      <w:marTop w:val="0"/>
                      <w:marBottom w:val="0"/>
                      <w:divBdr>
                        <w:top w:val="none" w:sz="0" w:space="0" w:color="auto"/>
                        <w:left w:val="none" w:sz="0" w:space="0" w:color="auto"/>
                        <w:bottom w:val="none" w:sz="0" w:space="0" w:color="auto"/>
                        <w:right w:val="none" w:sz="0" w:space="0" w:color="auto"/>
                      </w:divBdr>
                      <w:divsChild>
                        <w:div w:id="294148165">
                          <w:marLeft w:val="0"/>
                          <w:marRight w:val="0"/>
                          <w:marTop w:val="0"/>
                          <w:marBottom w:val="0"/>
                          <w:divBdr>
                            <w:top w:val="none" w:sz="0" w:space="0" w:color="auto"/>
                            <w:left w:val="none" w:sz="0" w:space="0" w:color="auto"/>
                            <w:bottom w:val="none" w:sz="0" w:space="0" w:color="auto"/>
                            <w:right w:val="none" w:sz="0" w:space="0" w:color="auto"/>
                          </w:divBdr>
                        </w:div>
                      </w:divsChild>
                    </w:div>
                    <w:div w:id="294144185">
                      <w:marLeft w:val="0"/>
                      <w:marRight w:val="0"/>
                      <w:marTop w:val="0"/>
                      <w:marBottom w:val="0"/>
                      <w:divBdr>
                        <w:top w:val="none" w:sz="0" w:space="0" w:color="auto"/>
                        <w:left w:val="none" w:sz="0" w:space="0" w:color="auto"/>
                        <w:bottom w:val="none" w:sz="0" w:space="0" w:color="auto"/>
                        <w:right w:val="none" w:sz="0" w:space="0" w:color="auto"/>
                      </w:divBdr>
                      <w:divsChild>
                        <w:div w:id="294154040">
                          <w:marLeft w:val="0"/>
                          <w:marRight w:val="0"/>
                          <w:marTop w:val="0"/>
                          <w:marBottom w:val="0"/>
                          <w:divBdr>
                            <w:top w:val="none" w:sz="0" w:space="0" w:color="auto"/>
                            <w:left w:val="none" w:sz="0" w:space="0" w:color="auto"/>
                            <w:bottom w:val="none" w:sz="0" w:space="0" w:color="auto"/>
                            <w:right w:val="none" w:sz="0" w:space="0" w:color="auto"/>
                          </w:divBdr>
                        </w:div>
                      </w:divsChild>
                    </w:div>
                    <w:div w:id="294144299">
                      <w:marLeft w:val="0"/>
                      <w:marRight w:val="0"/>
                      <w:marTop w:val="0"/>
                      <w:marBottom w:val="0"/>
                      <w:divBdr>
                        <w:top w:val="none" w:sz="0" w:space="0" w:color="auto"/>
                        <w:left w:val="none" w:sz="0" w:space="0" w:color="auto"/>
                        <w:bottom w:val="none" w:sz="0" w:space="0" w:color="auto"/>
                        <w:right w:val="none" w:sz="0" w:space="0" w:color="auto"/>
                      </w:divBdr>
                      <w:divsChild>
                        <w:div w:id="294147709">
                          <w:marLeft w:val="0"/>
                          <w:marRight w:val="0"/>
                          <w:marTop w:val="0"/>
                          <w:marBottom w:val="0"/>
                          <w:divBdr>
                            <w:top w:val="none" w:sz="0" w:space="0" w:color="auto"/>
                            <w:left w:val="none" w:sz="0" w:space="0" w:color="auto"/>
                            <w:bottom w:val="none" w:sz="0" w:space="0" w:color="auto"/>
                            <w:right w:val="none" w:sz="0" w:space="0" w:color="auto"/>
                          </w:divBdr>
                        </w:div>
                      </w:divsChild>
                    </w:div>
                    <w:div w:id="294144306">
                      <w:marLeft w:val="0"/>
                      <w:marRight w:val="0"/>
                      <w:marTop w:val="0"/>
                      <w:marBottom w:val="0"/>
                      <w:divBdr>
                        <w:top w:val="none" w:sz="0" w:space="0" w:color="auto"/>
                        <w:left w:val="none" w:sz="0" w:space="0" w:color="auto"/>
                        <w:bottom w:val="none" w:sz="0" w:space="0" w:color="auto"/>
                        <w:right w:val="none" w:sz="0" w:space="0" w:color="auto"/>
                      </w:divBdr>
                    </w:div>
                    <w:div w:id="294144344">
                      <w:marLeft w:val="0"/>
                      <w:marRight w:val="0"/>
                      <w:marTop w:val="0"/>
                      <w:marBottom w:val="0"/>
                      <w:divBdr>
                        <w:top w:val="none" w:sz="0" w:space="0" w:color="auto"/>
                        <w:left w:val="none" w:sz="0" w:space="0" w:color="auto"/>
                        <w:bottom w:val="none" w:sz="0" w:space="0" w:color="auto"/>
                        <w:right w:val="none" w:sz="0" w:space="0" w:color="auto"/>
                      </w:divBdr>
                    </w:div>
                    <w:div w:id="294144362">
                      <w:marLeft w:val="0"/>
                      <w:marRight w:val="0"/>
                      <w:marTop w:val="0"/>
                      <w:marBottom w:val="0"/>
                      <w:divBdr>
                        <w:top w:val="none" w:sz="0" w:space="0" w:color="auto"/>
                        <w:left w:val="none" w:sz="0" w:space="0" w:color="auto"/>
                        <w:bottom w:val="none" w:sz="0" w:space="0" w:color="auto"/>
                        <w:right w:val="none" w:sz="0" w:space="0" w:color="auto"/>
                      </w:divBdr>
                      <w:divsChild>
                        <w:div w:id="294152521">
                          <w:marLeft w:val="0"/>
                          <w:marRight w:val="0"/>
                          <w:marTop w:val="0"/>
                          <w:marBottom w:val="0"/>
                          <w:divBdr>
                            <w:top w:val="none" w:sz="0" w:space="0" w:color="auto"/>
                            <w:left w:val="none" w:sz="0" w:space="0" w:color="auto"/>
                            <w:bottom w:val="none" w:sz="0" w:space="0" w:color="auto"/>
                            <w:right w:val="none" w:sz="0" w:space="0" w:color="auto"/>
                          </w:divBdr>
                        </w:div>
                      </w:divsChild>
                    </w:div>
                    <w:div w:id="294144474">
                      <w:marLeft w:val="0"/>
                      <w:marRight w:val="0"/>
                      <w:marTop w:val="0"/>
                      <w:marBottom w:val="0"/>
                      <w:divBdr>
                        <w:top w:val="none" w:sz="0" w:space="0" w:color="auto"/>
                        <w:left w:val="none" w:sz="0" w:space="0" w:color="auto"/>
                        <w:bottom w:val="none" w:sz="0" w:space="0" w:color="auto"/>
                        <w:right w:val="none" w:sz="0" w:space="0" w:color="auto"/>
                      </w:divBdr>
                    </w:div>
                    <w:div w:id="294145015">
                      <w:marLeft w:val="0"/>
                      <w:marRight w:val="0"/>
                      <w:marTop w:val="0"/>
                      <w:marBottom w:val="0"/>
                      <w:divBdr>
                        <w:top w:val="none" w:sz="0" w:space="0" w:color="auto"/>
                        <w:left w:val="none" w:sz="0" w:space="0" w:color="auto"/>
                        <w:bottom w:val="none" w:sz="0" w:space="0" w:color="auto"/>
                        <w:right w:val="none" w:sz="0" w:space="0" w:color="auto"/>
                      </w:divBdr>
                      <w:divsChild>
                        <w:div w:id="294138012">
                          <w:marLeft w:val="0"/>
                          <w:marRight w:val="0"/>
                          <w:marTop w:val="0"/>
                          <w:marBottom w:val="0"/>
                          <w:divBdr>
                            <w:top w:val="none" w:sz="0" w:space="0" w:color="auto"/>
                            <w:left w:val="none" w:sz="0" w:space="0" w:color="auto"/>
                            <w:bottom w:val="none" w:sz="0" w:space="0" w:color="auto"/>
                            <w:right w:val="none" w:sz="0" w:space="0" w:color="auto"/>
                          </w:divBdr>
                        </w:div>
                      </w:divsChild>
                    </w:div>
                    <w:div w:id="294145023">
                      <w:marLeft w:val="0"/>
                      <w:marRight w:val="0"/>
                      <w:marTop w:val="0"/>
                      <w:marBottom w:val="0"/>
                      <w:divBdr>
                        <w:top w:val="none" w:sz="0" w:space="0" w:color="auto"/>
                        <w:left w:val="none" w:sz="0" w:space="0" w:color="auto"/>
                        <w:bottom w:val="none" w:sz="0" w:space="0" w:color="auto"/>
                        <w:right w:val="none" w:sz="0" w:space="0" w:color="auto"/>
                      </w:divBdr>
                      <w:divsChild>
                        <w:div w:id="294147792">
                          <w:marLeft w:val="0"/>
                          <w:marRight w:val="0"/>
                          <w:marTop w:val="0"/>
                          <w:marBottom w:val="0"/>
                          <w:divBdr>
                            <w:top w:val="none" w:sz="0" w:space="0" w:color="auto"/>
                            <w:left w:val="none" w:sz="0" w:space="0" w:color="auto"/>
                            <w:bottom w:val="none" w:sz="0" w:space="0" w:color="auto"/>
                            <w:right w:val="none" w:sz="0" w:space="0" w:color="auto"/>
                          </w:divBdr>
                        </w:div>
                      </w:divsChild>
                    </w:div>
                    <w:div w:id="294145615">
                      <w:marLeft w:val="0"/>
                      <w:marRight w:val="0"/>
                      <w:marTop w:val="0"/>
                      <w:marBottom w:val="0"/>
                      <w:divBdr>
                        <w:top w:val="none" w:sz="0" w:space="0" w:color="auto"/>
                        <w:left w:val="none" w:sz="0" w:space="0" w:color="auto"/>
                        <w:bottom w:val="none" w:sz="0" w:space="0" w:color="auto"/>
                        <w:right w:val="none" w:sz="0" w:space="0" w:color="auto"/>
                      </w:divBdr>
                    </w:div>
                    <w:div w:id="294145660">
                      <w:marLeft w:val="0"/>
                      <w:marRight w:val="0"/>
                      <w:marTop w:val="0"/>
                      <w:marBottom w:val="0"/>
                      <w:divBdr>
                        <w:top w:val="none" w:sz="0" w:space="0" w:color="auto"/>
                        <w:left w:val="none" w:sz="0" w:space="0" w:color="auto"/>
                        <w:bottom w:val="none" w:sz="0" w:space="0" w:color="auto"/>
                        <w:right w:val="none" w:sz="0" w:space="0" w:color="auto"/>
                      </w:divBdr>
                      <w:divsChild>
                        <w:div w:id="294150730">
                          <w:marLeft w:val="0"/>
                          <w:marRight w:val="0"/>
                          <w:marTop w:val="0"/>
                          <w:marBottom w:val="0"/>
                          <w:divBdr>
                            <w:top w:val="none" w:sz="0" w:space="0" w:color="auto"/>
                            <w:left w:val="none" w:sz="0" w:space="0" w:color="auto"/>
                            <w:bottom w:val="none" w:sz="0" w:space="0" w:color="auto"/>
                            <w:right w:val="none" w:sz="0" w:space="0" w:color="auto"/>
                          </w:divBdr>
                        </w:div>
                      </w:divsChild>
                    </w:div>
                    <w:div w:id="294145682">
                      <w:marLeft w:val="0"/>
                      <w:marRight w:val="0"/>
                      <w:marTop w:val="0"/>
                      <w:marBottom w:val="0"/>
                      <w:divBdr>
                        <w:top w:val="none" w:sz="0" w:space="0" w:color="auto"/>
                        <w:left w:val="none" w:sz="0" w:space="0" w:color="auto"/>
                        <w:bottom w:val="none" w:sz="0" w:space="0" w:color="auto"/>
                        <w:right w:val="none" w:sz="0" w:space="0" w:color="auto"/>
                      </w:divBdr>
                    </w:div>
                    <w:div w:id="294145746">
                      <w:marLeft w:val="0"/>
                      <w:marRight w:val="0"/>
                      <w:marTop w:val="0"/>
                      <w:marBottom w:val="0"/>
                      <w:divBdr>
                        <w:top w:val="none" w:sz="0" w:space="0" w:color="auto"/>
                        <w:left w:val="none" w:sz="0" w:space="0" w:color="auto"/>
                        <w:bottom w:val="none" w:sz="0" w:space="0" w:color="auto"/>
                        <w:right w:val="none" w:sz="0" w:space="0" w:color="auto"/>
                      </w:divBdr>
                      <w:divsChild>
                        <w:div w:id="294156343">
                          <w:marLeft w:val="0"/>
                          <w:marRight w:val="0"/>
                          <w:marTop w:val="0"/>
                          <w:marBottom w:val="0"/>
                          <w:divBdr>
                            <w:top w:val="none" w:sz="0" w:space="0" w:color="auto"/>
                            <w:left w:val="none" w:sz="0" w:space="0" w:color="auto"/>
                            <w:bottom w:val="none" w:sz="0" w:space="0" w:color="auto"/>
                            <w:right w:val="none" w:sz="0" w:space="0" w:color="auto"/>
                          </w:divBdr>
                        </w:div>
                      </w:divsChild>
                    </w:div>
                    <w:div w:id="294145799">
                      <w:marLeft w:val="0"/>
                      <w:marRight w:val="0"/>
                      <w:marTop w:val="0"/>
                      <w:marBottom w:val="0"/>
                      <w:divBdr>
                        <w:top w:val="none" w:sz="0" w:space="0" w:color="auto"/>
                        <w:left w:val="none" w:sz="0" w:space="0" w:color="auto"/>
                        <w:bottom w:val="none" w:sz="0" w:space="0" w:color="auto"/>
                        <w:right w:val="none" w:sz="0" w:space="0" w:color="auto"/>
                      </w:divBdr>
                    </w:div>
                    <w:div w:id="294145880">
                      <w:marLeft w:val="0"/>
                      <w:marRight w:val="0"/>
                      <w:marTop w:val="0"/>
                      <w:marBottom w:val="0"/>
                      <w:divBdr>
                        <w:top w:val="none" w:sz="0" w:space="0" w:color="auto"/>
                        <w:left w:val="none" w:sz="0" w:space="0" w:color="auto"/>
                        <w:bottom w:val="none" w:sz="0" w:space="0" w:color="auto"/>
                        <w:right w:val="none" w:sz="0" w:space="0" w:color="auto"/>
                      </w:divBdr>
                      <w:divsChild>
                        <w:div w:id="294138356">
                          <w:marLeft w:val="0"/>
                          <w:marRight w:val="0"/>
                          <w:marTop w:val="0"/>
                          <w:marBottom w:val="0"/>
                          <w:divBdr>
                            <w:top w:val="none" w:sz="0" w:space="0" w:color="auto"/>
                            <w:left w:val="none" w:sz="0" w:space="0" w:color="auto"/>
                            <w:bottom w:val="none" w:sz="0" w:space="0" w:color="auto"/>
                            <w:right w:val="none" w:sz="0" w:space="0" w:color="auto"/>
                          </w:divBdr>
                        </w:div>
                      </w:divsChild>
                    </w:div>
                    <w:div w:id="294146021">
                      <w:marLeft w:val="0"/>
                      <w:marRight w:val="0"/>
                      <w:marTop w:val="0"/>
                      <w:marBottom w:val="0"/>
                      <w:divBdr>
                        <w:top w:val="none" w:sz="0" w:space="0" w:color="auto"/>
                        <w:left w:val="none" w:sz="0" w:space="0" w:color="auto"/>
                        <w:bottom w:val="none" w:sz="0" w:space="0" w:color="auto"/>
                        <w:right w:val="none" w:sz="0" w:space="0" w:color="auto"/>
                      </w:divBdr>
                      <w:divsChild>
                        <w:div w:id="294156069">
                          <w:marLeft w:val="0"/>
                          <w:marRight w:val="0"/>
                          <w:marTop w:val="0"/>
                          <w:marBottom w:val="0"/>
                          <w:divBdr>
                            <w:top w:val="none" w:sz="0" w:space="0" w:color="auto"/>
                            <w:left w:val="none" w:sz="0" w:space="0" w:color="auto"/>
                            <w:bottom w:val="none" w:sz="0" w:space="0" w:color="auto"/>
                            <w:right w:val="none" w:sz="0" w:space="0" w:color="auto"/>
                          </w:divBdr>
                        </w:div>
                      </w:divsChild>
                    </w:div>
                    <w:div w:id="294146063">
                      <w:marLeft w:val="0"/>
                      <w:marRight w:val="0"/>
                      <w:marTop w:val="0"/>
                      <w:marBottom w:val="0"/>
                      <w:divBdr>
                        <w:top w:val="none" w:sz="0" w:space="0" w:color="auto"/>
                        <w:left w:val="none" w:sz="0" w:space="0" w:color="auto"/>
                        <w:bottom w:val="none" w:sz="0" w:space="0" w:color="auto"/>
                        <w:right w:val="none" w:sz="0" w:space="0" w:color="auto"/>
                      </w:divBdr>
                      <w:divsChild>
                        <w:div w:id="294145078">
                          <w:marLeft w:val="0"/>
                          <w:marRight w:val="0"/>
                          <w:marTop w:val="0"/>
                          <w:marBottom w:val="0"/>
                          <w:divBdr>
                            <w:top w:val="none" w:sz="0" w:space="0" w:color="auto"/>
                            <w:left w:val="none" w:sz="0" w:space="0" w:color="auto"/>
                            <w:bottom w:val="none" w:sz="0" w:space="0" w:color="auto"/>
                            <w:right w:val="none" w:sz="0" w:space="0" w:color="auto"/>
                          </w:divBdr>
                        </w:div>
                      </w:divsChild>
                    </w:div>
                    <w:div w:id="294146421">
                      <w:marLeft w:val="0"/>
                      <w:marRight w:val="0"/>
                      <w:marTop w:val="0"/>
                      <w:marBottom w:val="0"/>
                      <w:divBdr>
                        <w:top w:val="none" w:sz="0" w:space="0" w:color="auto"/>
                        <w:left w:val="none" w:sz="0" w:space="0" w:color="auto"/>
                        <w:bottom w:val="none" w:sz="0" w:space="0" w:color="auto"/>
                        <w:right w:val="none" w:sz="0" w:space="0" w:color="auto"/>
                      </w:divBdr>
                    </w:div>
                    <w:div w:id="294146436">
                      <w:marLeft w:val="0"/>
                      <w:marRight w:val="0"/>
                      <w:marTop w:val="0"/>
                      <w:marBottom w:val="0"/>
                      <w:divBdr>
                        <w:top w:val="none" w:sz="0" w:space="0" w:color="auto"/>
                        <w:left w:val="none" w:sz="0" w:space="0" w:color="auto"/>
                        <w:bottom w:val="none" w:sz="0" w:space="0" w:color="auto"/>
                        <w:right w:val="none" w:sz="0" w:space="0" w:color="auto"/>
                      </w:divBdr>
                    </w:div>
                    <w:div w:id="294146478">
                      <w:marLeft w:val="0"/>
                      <w:marRight w:val="0"/>
                      <w:marTop w:val="0"/>
                      <w:marBottom w:val="0"/>
                      <w:divBdr>
                        <w:top w:val="none" w:sz="0" w:space="0" w:color="auto"/>
                        <w:left w:val="none" w:sz="0" w:space="0" w:color="auto"/>
                        <w:bottom w:val="none" w:sz="0" w:space="0" w:color="auto"/>
                        <w:right w:val="none" w:sz="0" w:space="0" w:color="auto"/>
                      </w:divBdr>
                      <w:divsChild>
                        <w:div w:id="294140932">
                          <w:marLeft w:val="0"/>
                          <w:marRight w:val="0"/>
                          <w:marTop w:val="0"/>
                          <w:marBottom w:val="0"/>
                          <w:divBdr>
                            <w:top w:val="none" w:sz="0" w:space="0" w:color="auto"/>
                            <w:left w:val="none" w:sz="0" w:space="0" w:color="auto"/>
                            <w:bottom w:val="none" w:sz="0" w:space="0" w:color="auto"/>
                            <w:right w:val="none" w:sz="0" w:space="0" w:color="auto"/>
                          </w:divBdr>
                        </w:div>
                      </w:divsChild>
                    </w:div>
                    <w:div w:id="294146492">
                      <w:marLeft w:val="0"/>
                      <w:marRight w:val="0"/>
                      <w:marTop w:val="0"/>
                      <w:marBottom w:val="0"/>
                      <w:divBdr>
                        <w:top w:val="none" w:sz="0" w:space="0" w:color="auto"/>
                        <w:left w:val="none" w:sz="0" w:space="0" w:color="auto"/>
                        <w:bottom w:val="none" w:sz="0" w:space="0" w:color="auto"/>
                        <w:right w:val="none" w:sz="0" w:space="0" w:color="auto"/>
                      </w:divBdr>
                    </w:div>
                    <w:div w:id="294146493">
                      <w:marLeft w:val="0"/>
                      <w:marRight w:val="0"/>
                      <w:marTop w:val="0"/>
                      <w:marBottom w:val="0"/>
                      <w:divBdr>
                        <w:top w:val="none" w:sz="0" w:space="0" w:color="auto"/>
                        <w:left w:val="none" w:sz="0" w:space="0" w:color="auto"/>
                        <w:bottom w:val="none" w:sz="0" w:space="0" w:color="auto"/>
                        <w:right w:val="none" w:sz="0" w:space="0" w:color="auto"/>
                      </w:divBdr>
                    </w:div>
                    <w:div w:id="294146768">
                      <w:marLeft w:val="0"/>
                      <w:marRight w:val="0"/>
                      <w:marTop w:val="0"/>
                      <w:marBottom w:val="0"/>
                      <w:divBdr>
                        <w:top w:val="none" w:sz="0" w:space="0" w:color="auto"/>
                        <w:left w:val="none" w:sz="0" w:space="0" w:color="auto"/>
                        <w:bottom w:val="none" w:sz="0" w:space="0" w:color="auto"/>
                        <w:right w:val="none" w:sz="0" w:space="0" w:color="auto"/>
                      </w:divBdr>
                      <w:divsChild>
                        <w:div w:id="294148297">
                          <w:marLeft w:val="0"/>
                          <w:marRight w:val="0"/>
                          <w:marTop w:val="0"/>
                          <w:marBottom w:val="0"/>
                          <w:divBdr>
                            <w:top w:val="none" w:sz="0" w:space="0" w:color="auto"/>
                            <w:left w:val="none" w:sz="0" w:space="0" w:color="auto"/>
                            <w:bottom w:val="none" w:sz="0" w:space="0" w:color="auto"/>
                            <w:right w:val="none" w:sz="0" w:space="0" w:color="auto"/>
                          </w:divBdr>
                        </w:div>
                      </w:divsChild>
                    </w:div>
                    <w:div w:id="294146786">
                      <w:marLeft w:val="0"/>
                      <w:marRight w:val="0"/>
                      <w:marTop w:val="0"/>
                      <w:marBottom w:val="0"/>
                      <w:divBdr>
                        <w:top w:val="none" w:sz="0" w:space="0" w:color="auto"/>
                        <w:left w:val="none" w:sz="0" w:space="0" w:color="auto"/>
                        <w:bottom w:val="none" w:sz="0" w:space="0" w:color="auto"/>
                        <w:right w:val="none" w:sz="0" w:space="0" w:color="auto"/>
                      </w:divBdr>
                    </w:div>
                    <w:div w:id="294146870">
                      <w:marLeft w:val="0"/>
                      <w:marRight w:val="0"/>
                      <w:marTop w:val="0"/>
                      <w:marBottom w:val="0"/>
                      <w:divBdr>
                        <w:top w:val="none" w:sz="0" w:space="0" w:color="auto"/>
                        <w:left w:val="none" w:sz="0" w:space="0" w:color="auto"/>
                        <w:bottom w:val="none" w:sz="0" w:space="0" w:color="auto"/>
                        <w:right w:val="none" w:sz="0" w:space="0" w:color="auto"/>
                      </w:divBdr>
                      <w:divsChild>
                        <w:div w:id="294153154">
                          <w:marLeft w:val="0"/>
                          <w:marRight w:val="0"/>
                          <w:marTop w:val="0"/>
                          <w:marBottom w:val="0"/>
                          <w:divBdr>
                            <w:top w:val="none" w:sz="0" w:space="0" w:color="auto"/>
                            <w:left w:val="none" w:sz="0" w:space="0" w:color="auto"/>
                            <w:bottom w:val="none" w:sz="0" w:space="0" w:color="auto"/>
                            <w:right w:val="none" w:sz="0" w:space="0" w:color="auto"/>
                          </w:divBdr>
                        </w:div>
                      </w:divsChild>
                    </w:div>
                    <w:div w:id="294146893">
                      <w:marLeft w:val="0"/>
                      <w:marRight w:val="0"/>
                      <w:marTop w:val="0"/>
                      <w:marBottom w:val="0"/>
                      <w:divBdr>
                        <w:top w:val="none" w:sz="0" w:space="0" w:color="auto"/>
                        <w:left w:val="none" w:sz="0" w:space="0" w:color="auto"/>
                        <w:bottom w:val="none" w:sz="0" w:space="0" w:color="auto"/>
                        <w:right w:val="none" w:sz="0" w:space="0" w:color="auto"/>
                      </w:divBdr>
                      <w:divsChild>
                        <w:div w:id="294146400">
                          <w:marLeft w:val="0"/>
                          <w:marRight w:val="0"/>
                          <w:marTop w:val="0"/>
                          <w:marBottom w:val="0"/>
                          <w:divBdr>
                            <w:top w:val="none" w:sz="0" w:space="0" w:color="auto"/>
                            <w:left w:val="none" w:sz="0" w:space="0" w:color="auto"/>
                            <w:bottom w:val="none" w:sz="0" w:space="0" w:color="auto"/>
                            <w:right w:val="none" w:sz="0" w:space="0" w:color="auto"/>
                          </w:divBdr>
                        </w:div>
                      </w:divsChild>
                    </w:div>
                    <w:div w:id="294146951">
                      <w:marLeft w:val="0"/>
                      <w:marRight w:val="0"/>
                      <w:marTop w:val="0"/>
                      <w:marBottom w:val="0"/>
                      <w:divBdr>
                        <w:top w:val="none" w:sz="0" w:space="0" w:color="auto"/>
                        <w:left w:val="none" w:sz="0" w:space="0" w:color="auto"/>
                        <w:bottom w:val="none" w:sz="0" w:space="0" w:color="auto"/>
                        <w:right w:val="none" w:sz="0" w:space="0" w:color="auto"/>
                      </w:divBdr>
                    </w:div>
                    <w:div w:id="294146995">
                      <w:marLeft w:val="0"/>
                      <w:marRight w:val="0"/>
                      <w:marTop w:val="0"/>
                      <w:marBottom w:val="0"/>
                      <w:divBdr>
                        <w:top w:val="none" w:sz="0" w:space="0" w:color="auto"/>
                        <w:left w:val="none" w:sz="0" w:space="0" w:color="auto"/>
                        <w:bottom w:val="none" w:sz="0" w:space="0" w:color="auto"/>
                        <w:right w:val="none" w:sz="0" w:space="0" w:color="auto"/>
                      </w:divBdr>
                      <w:divsChild>
                        <w:div w:id="294145729">
                          <w:marLeft w:val="0"/>
                          <w:marRight w:val="0"/>
                          <w:marTop w:val="0"/>
                          <w:marBottom w:val="0"/>
                          <w:divBdr>
                            <w:top w:val="none" w:sz="0" w:space="0" w:color="auto"/>
                            <w:left w:val="none" w:sz="0" w:space="0" w:color="auto"/>
                            <w:bottom w:val="none" w:sz="0" w:space="0" w:color="auto"/>
                            <w:right w:val="none" w:sz="0" w:space="0" w:color="auto"/>
                          </w:divBdr>
                        </w:div>
                      </w:divsChild>
                    </w:div>
                    <w:div w:id="294147150">
                      <w:marLeft w:val="0"/>
                      <w:marRight w:val="0"/>
                      <w:marTop w:val="0"/>
                      <w:marBottom w:val="0"/>
                      <w:divBdr>
                        <w:top w:val="none" w:sz="0" w:space="0" w:color="auto"/>
                        <w:left w:val="none" w:sz="0" w:space="0" w:color="auto"/>
                        <w:bottom w:val="none" w:sz="0" w:space="0" w:color="auto"/>
                        <w:right w:val="none" w:sz="0" w:space="0" w:color="auto"/>
                      </w:divBdr>
                    </w:div>
                    <w:div w:id="294147267">
                      <w:marLeft w:val="0"/>
                      <w:marRight w:val="0"/>
                      <w:marTop w:val="0"/>
                      <w:marBottom w:val="0"/>
                      <w:divBdr>
                        <w:top w:val="none" w:sz="0" w:space="0" w:color="auto"/>
                        <w:left w:val="none" w:sz="0" w:space="0" w:color="auto"/>
                        <w:bottom w:val="none" w:sz="0" w:space="0" w:color="auto"/>
                        <w:right w:val="none" w:sz="0" w:space="0" w:color="auto"/>
                      </w:divBdr>
                      <w:divsChild>
                        <w:div w:id="294143722">
                          <w:marLeft w:val="0"/>
                          <w:marRight w:val="0"/>
                          <w:marTop w:val="0"/>
                          <w:marBottom w:val="0"/>
                          <w:divBdr>
                            <w:top w:val="none" w:sz="0" w:space="0" w:color="auto"/>
                            <w:left w:val="none" w:sz="0" w:space="0" w:color="auto"/>
                            <w:bottom w:val="none" w:sz="0" w:space="0" w:color="auto"/>
                            <w:right w:val="none" w:sz="0" w:space="0" w:color="auto"/>
                          </w:divBdr>
                        </w:div>
                      </w:divsChild>
                    </w:div>
                    <w:div w:id="294147373">
                      <w:marLeft w:val="0"/>
                      <w:marRight w:val="0"/>
                      <w:marTop w:val="0"/>
                      <w:marBottom w:val="0"/>
                      <w:divBdr>
                        <w:top w:val="none" w:sz="0" w:space="0" w:color="auto"/>
                        <w:left w:val="none" w:sz="0" w:space="0" w:color="auto"/>
                        <w:bottom w:val="none" w:sz="0" w:space="0" w:color="auto"/>
                        <w:right w:val="none" w:sz="0" w:space="0" w:color="auto"/>
                      </w:divBdr>
                      <w:divsChild>
                        <w:div w:id="294148185">
                          <w:marLeft w:val="0"/>
                          <w:marRight w:val="0"/>
                          <w:marTop w:val="0"/>
                          <w:marBottom w:val="0"/>
                          <w:divBdr>
                            <w:top w:val="none" w:sz="0" w:space="0" w:color="auto"/>
                            <w:left w:val="none" w:sz="0" w:space="0" w:color="auto"/>
                            <w:bottom w:val="none" w:sz="0" w:space="0" w:color="auto"/>
                            <w:right w:val="none" w:sz="0" w:space="0" w:color="auto"/>
                          </w:divBdr>
                        </w:div>
                      </w:divsChild>
                    </w:div>
                    <w:div w:id="294147459">
                      <w:marLeft w:val="0"/>
                      <w:marRight w:val="0"/>
                      <w:marTop w:val="0"/>
                      <w:marBottom w:val="0"/>
                      <w:divBdr>
                        <w:top w:val="none" w:sz="0" w:space="0" w:color="auto"/>
                        <w:left w:val="none" w:sz="0" w:space="0" w:color="auto"/>
                        <w:bottom w:val="none" w:sz="0" w:space="0" w:color="auto"/>
                        <w:right w:val="none" w:sz="0" w:space="0" w:color="auto"/>
                      </w:divBdr>
                      <w:divsChild>
                        <w:div w:id="294155911">
                          <w:marLeft w:val="0"/>
                          <w:marRight w:val="0"/>
                          <w:marTop w:val="0"/>
                          <w:marBottom w:val="0"/>
                          <w:divBdr>
                            <w:top w:val="none" w:sz="0" w:space="0" w:color="auto"/>
                            <w:left w:val="none" w:sz="0" w:space="0" w:color="auto"/>
                            <w:bottom w:val="none" w:sz="0" w:space="0" w:color="auto"/>
                            <w:right w:val="none" w:sz="0" w:space="0" w:color="auto"/>
                          </w:divBdr>
                        </w:div>
                      </w:divsChild>
                    </w:div>
                    <w:div w:id="294147528">
                      <w:marLeft w:val="0"/>
                      <w:marRight w:val="0"/>
                      <w:marTop w:val="0"/>
                      <w:marBottom w:val="0"/>
                      <w:divBdr>
                        <w:top w:val="none" w:sz="0" w:space="0" w:color="auto"/>
                        <w:left w:val="none" w:sz="0" w:space="0" w:color="auto"/>
                        <w:bottom w:val="none" w:sz="0" w:space="0" w:color="auto"/>
                        <w:right w:val="none" w:sz="0" w:space="0" w:color="auto"/>
                      </w:divBdr>
                      <w:divsChild>
                        <w:div w:id="294148922">
                          <w:marLeft w:val="0"/>
                          <w:marRight w:val="0"/>
                          <w:marTop w:val="0"/>
                          <w:marBottom w:val="0"/>
                          <w:divBdr>
                            <w:top w:val="none" w:sz="0" w:space="0" w:color="auto"/>
                            <w:left w:val="none" w:sz="0" w:space="0" w:color="auto"/>
                            <w:bottom w:val="none" w:sz="0" w:space="0" w:color="auto"/>
                            <w:right w:val="none" w:sz="0" w:space="0" w:color="auto"/>
                          </w:divBdr>
                        </w:div>
                      </w:divsChild>
                    </w:div>
                    <w:div w:id="294147548">
                      <w:marLeft w:val="0"/>
                      <w:marRight w:val="0"/>
                      <w:marTop w:val="0"/>
                      <w:marBottom w:val="0"/>
                      <w:divBdr>
                        <w:top w:val="none" w:sz="0" w:space="0" w:color="auto"/>
                        <w:left w:val="none" w:sz="0" w:space="0" w:color="auto"/>
                        <w:bottom w:val="none" w:sz="0" w:space="0" w:color="auto"/>
                        <w:right w:val="none" w:sz="0" w:space="0" w:color="auto"/>
                      </w:divBdr>
                      <w:divsChild>
                        <w:div w:id="294151191">
                          <w:marLeft w:val="0"/>
                          <w:marRight w:val="0"/>
                          <w:marTop w:val="0"/>
                          <w:marBottom w:val="0"/>
                          <w:divBdr>
                            <w:top w:val="none" w:sz="0" w:space="0" w:color="auto"/>
                            <w:left w:val="none" w:sz="0" w:space="0" w:color="auto"/>
                            <w:bottom w:val="none" w:sz="0" w:space="0" w:color="auto"/>
                            <w:right w:val="none" w:sz="0" w:space="0" w:color="auto"/>
                          </w:divBdr>
                        </w:div>
                      </w:divsChild>
                    </w:div>
                    <w:div w:id="294147629">
                      <w:marLeft w:val="0"/>
                      <w:marRight w:val="0"/>
                      <w:marTop w:val="0"/>
                      <w:marBottom w:val="0"/>
                      <w:divBdr>
                        <w:top w:val="none" w:sz="0" w:space="0" w:color="auto"/>
                        <w:left w:val="none" w:sz="0" w:space="0" w:color="auto"/>
                        <w:bottom w:val="none" w:sz="0" w:space="0" w:color="auto"/>
                        <w:right w:val="none" w:sz="0" w:space="0" w:color="auto"/>
                      </w:divBdr>
                    </w:div>
                    <w:div w:id="294147772">
                      <w:marLeft w:val="0"/>
                      <w:marRight w:val="0"/>
                      <w:marTop w:val="0"/>
                      <w:marBottom w:val="0"/>
                      <w:divBdr>
                        <w:top w:val="none" w:sz="0" w:space="0" w:color="auto"/>
                        <w:left w:val="none" w:sz="0" w:space="0" w:color="auto"/>
                        <w:bottom w:val="none" w:sz="0" w:space="0" w:color="auto"/>
                        <w:right w:val="none" w:sz="0" w:space="0" w:color="auto"/>
                      </w:divBdr>
                      <w:divsChild>
                        <w:div w:id="294148410">
                          <w:marLeft w:val="0"/>
                          <w:marRight w:val="0"/>
                          <w:marTop w:val="0"/>
                          <w:marBottom w:val="0"/>
                          <w:divBdr>
                            <w:top w:val="none" w:sz="0" w:space="0" w:color="auto"/>
                            <w:left w:val="none" w:sz="0" w:space="0" w:color="auto"/>
                            <w:bottom w:val="none" w:sz="0" w:space="0" w:color="auto"/>
                            <w:right w:val="none" w:sz="0" w:space="0" w:color="auto"/>
                          </w:divBdr>
                        </w:div>
                      </w:divsChild>
                    </w:div>
                    <w:div w:id="294147920">
                      <w:marLeft w:val="0"/>
                      <w:marRight w:val="0"/>
                      <w:marTop w:val="0"/>
                      <w:marBottom w:val="0"/>
                      <w:divBdr>
                        <w:top w:val="none" w:sz="0" w:space="0" w:color="auto"/>
                        <w:left w:val="none" w:sz="0" w:space="0" w:color="auto"/>
                        <w:bottom w:val="none" w:sz="0" w:space="0" w:color="auto"/>
                        <w:right w:val="none" w:sz="0" w:space="0" w:color="auto"/>
                      </w:divBdr>
                    </w:div>
                    <w:div w:id="294147982">
                      <w:marLeft w:val="0"/>
                      <w:marRight w:val="0"/>
                      <w:marTop w:val="0"/>
                      <w:marBottom w:val="0"/>
                      <w:divBdr>
                        <w:top w:val="none" w:sz="0" w:space="0" w:color="auto"/>
                        <w:left w:val="none" w:sz="0" w:space="0" w:color="auto"/>
                        <w:bottom w:val="none" w:sz="0" w:space="0" w:color="auto"/>
                        <w:right w:val="none" w:sz="0" w:space="0" w:color="auto"/>
                      </w:divBdr>
                    </w:div>
                    <w:div w:id="294148078">
                      <w:marLeft w:val="0"/>
                      <w:marRight w:val="0"/>
                      <w:marTop w:val="0"/>
                      <w:marBottom w:val="0"/>
                      <w:divBdr>
                        <w:top w:val="none" w:sz="0" w:space="0" w:color="auto"/>
                        <w:left w:val="none" w:sz="0" w:space="0" w:color="auto"/>
                        <w:bottom w:val="none" w:sz="0" w:space="0" w:color="auto"/>
                        <w:right w:val="none" w:sz="0" w:space="0" w:color="auto"/>
                      </w:divBdr>
                      <w:divsChild>
                        <w:div w:id="294140308">
                          <w:marLeft w:val="0"/>
                          <w:marRight w:val="0"/>
                          <w:marTop w:val="0"/>
                          <w:marBottom w:val="0"/>
                          <w:divBdr>
                            <w:top w:val="none" w:sz="0" w:space="0" w:color="auto"/>
                            <w:left w:val="none" w:sz="0" w:space="0" w:color="auto"/>
                            <w:bottom w:val="none" w:sz="0" w:space="0" w:color="auto"/>
                            <w:right w:val="none" w:sz="0" w:space="0" w:color="auto"/>
                          </w:divBdr>
                        </w:div>
                      </w:divsChild>
                    </w:div>
                    <w:div w:id="294148087">
                      <w:marLeft w:val="0"/>
                      <w:marRight w:val="0"/>
                      <w:marTop w:val="0"/>
                      <w:marBottom w:val="0"/>
                      <w:divBdr>
                        <w:top w:val="none" w:sz="0" w:space="0" w:color="auto"/>
                        <w:left w:val="none" w:sz="0" w:space="0" w:color="auto"/>
                        <w:bottom w:val="none" w:sz="0" w:space="0" w:color="auto"/>
                        <w:right w:val="none" w:sz="0" w:space="0" w:color="auto"/>
                      </w:divBdr>
                      <w:divsChild>
                        <w:div w:id="294147704">
                          <w:marLeft w:val="0"/>
                          <w:marRight w:val="0"/>
                          <w:marTop w:val="0"/>
                          <w:marBottom w:val="0"/>
                          <w:divBdr>
                            <w:top w:val="none" w:sz="0" w:space="0" w:color="auto"/>
                            <w:left w:val="none" w:sz="0" w:space="0" w:color="auto"/>
                            <w:bottom w:val="none" w:sz="0" w:space="0" w:color="auto"/>
                            <w:right w:val="none" w:sz="0" w:space="0" w:color="auto"/>
                          </w:divBdr>
                        </w:div>
                      </w:divsChild>
                    </w:div>
                    <w:div w:id="294148329">
                      <w:marLeft w:val="0"/>
                      <w:marRight w:val="0"/>
                      <w:marTop w:val="0"/>
                      <w:marBottom w:val="0"/>
                      <w:divBdr>
                        <w:top w:val="none" w:sz="0" w:space="0" w:color="auto"/>
                        <w:left w:val="none" w:sz="0" w:space="0" w:color="auto"/>
                        <w:bottom w:val="none" w:sz="0" w:space="0" w:color="auto"/>
                        <w:right w:val="none" w:sz="0" w:space="0" w:color="auto"/>
                      </w:divBdr>
                      <w:divsChild>
                        <w:div w:id="294138071">
                          <w:marLeft w:val="0"/>
                          <w:marRight w:val="0"/>
                          <w:marTop w:val="0"/>
                          <w:marBottom w:val="0"/>
                          <w:divBdr>
                            <w:top w:val="none" w:sz="0" w:space="0" w:color="auto"/>
                            <w:left w:val="none" w:sz="0" w:space="0" w:color="auto"/>
                            <w:bottom w:val="none" w:sz="0" w:space="0" w:color="auto"/>
                            <w:right w:val="none" w:sz="0" w:space="0" w:color="auto"/>
                          </w:divBdr>
                        </w:div>
                      </w:divsChild>
                    </w:div>
                    <w:div w:id="294148380">
                      <w:marLeft w:val="0"/>
                      <w:marRight w:val="0"/>
                      <w:marTop w:val="0"/>
                      <w:marBottom w:val="0"/>
                      <w:divBdr>
                        <w:top w:val="none" w:sz="0" w:space="0" w:color="auto"/>
                        <w:left w:val="none" w:sz="0" w:space="0" w:color="auto"/>
                        <w:bottom w:val="none" w:sz="0" w:space="0" w:color="auto"/>
                        <w:right w:val="none" w:sz="0" w:space="0" w:color="auto"/>
                      </w:divBdr>
                    </w:div>
                    <w:div w:id="294148491">
                      <w:marLeft w:val="0"/>
                      <w:marRight w:val="0"/>
                      <w:marTop w:val="0"/>
                      <w:marBottom w:val="0"/>
                      <w:divBdr>
                        <w:top w:val="none" w:sz="0" w:space="0" w:color="auto"/>
                        <w:left w:val="none" w:sz="0" w:space="0" w:color="auto"/>
                        <w:bottom w:val="none" w:sz="0" w:space="0" w:color="auto"/>
                        <w:right w:val="none" w:sz="0" w:space="0" w:color="auto"/>
                      </w:divBdr>
                      <w:divsChild>
                        <w:div w:id="294142616">
                          <w:marLeft w:val="0"/>
                          <w:marRight w:val="0"/>
                          <w:marTop w:val="0"/>
                          <w:marBottom w:val="0"/>
                          <w:divBdr>
                            <w:top w:val="none" w:sz="0" w:space="0" w:color="auto"/>
                            <w:left w:val="none" w:sz="0" w:space="0" w:color="auto"/>
                            <w:bottom w:val="none" w:sz="0" w:space="0" w:color="auto"/>
                            <w:right w:val="none" w:sz="0" w:space="0" w:color="auto"/>
                          </w:divBdr>
                        </w:div>
                      </w:divsChild>
                    </w:div>
                    <w:div w:id="294148512">
                      <w:marLeft w:val="0"/>
                      <w:marRight w:val="0"/>
                      <w:marTop w:val="0"/>
                      <w:marBottom w:val="0"/>
                      <w:divBdr>
                        <w:top w:val="none" w:sz="0" w:space="0" w:color="auto"/>
                        <w:left w:val="none" w:sz="0" w:space="0" w:color="auto"/>
                        <w:bottom w:val="none" w:sz="0" w:space="0" w:color="auto"/>
                        <w:right w:val="none" w:sz="0" w:space="0" w:color="auto"/>
                      </w:divBdr>
                    </w:div>
                    <w:div w:id="294148626">
                      <w:marLeft w:val="0"/>
                      <w:marRight w:val="0"/>
                      <w:marTop w:val="0"/>
                      <w:marBottom w:val="0"/>
                      <w:divBdr>
                        <w:top w:val="none" w:sz="0" w:space="0" w:color="auto"/>
                        <w:left w:val="none" w:sz="0" w:space="0" w:color="auto"/>
                        <w:bottom w:val="none" w:sz="0" w:space="0" w:color="auto"/>
                        <w:right w:val="none" w:sz="0" w:space="0" w:color="auto"/>
                      </w:divBdr>
                    </w:div>
                    <w:div w:id="294148755">
                      <w:marLeft w:val="0"/>
                      <w:marRight w:val="0"/>
                      <w:marTop w:val="0"/>
                      <w:marBottom w:val="0"/>
                      <w:divBdr>
                        <w:top w:val="none" w:sz="0" w:space="0" w:color="auto"/>
                        <w:left w:val="none" w:sz="0" w:space="0" w:color="auto"/>
                        <w:bottom w:val="none" w:sz="0" w:space="0" w:color="auto"/>
                        <w:right w:val="none" w:sz="0" w:space="0" w:color="auto"/>
                      </w:divBdr>
                    </w:div>
                    <w:div w:id="294148846">
                      <w:marLeft w:val="0"/>
                      <w:marRight w:val="0"/>
                      <w:marTop w:val="0"/>
                      <w:marBottom w:val="0"/>
                      <w:divBdr>
                        <w:top w:val="none" w:sz="0" w:space="0" w:color="auto"/>
                        <w:left w:val="none" w:sz="0" w:space="0" w:color="auto"/>
                        <w:bottom w:val="none" w:sz="0" w:space="0" w:color="auto"/>
                        <w:right w:val="none" w:sz="0" w:space="0" w:color="auto"/>
                      </w:divBdr>
                      <w:divsChild>
                        <w:div w:id="294150762">
                          <w:marLeft w:val="0"/>
                          <w:marRight w:val="0"/>
                          <w:marTop w:val="0"/>
                          <w:marBottom w:val="0"/>
                          <w:divBdr>
                            <w:top w:val="none" w:sz="0" w:space="0" w:color="auto"/>
                            <w:left w:val="none" w:sz="0" w:space="0" w:color="auto"/>
                            <w:bottom w:val="none" w:sz="0" w:space="0" w:color="auto"/>
                            <w:right w:val="none" w:sz="0" w:space="0" w:color="auto"/>
                          </w:divBdr>
                        </w:div>
                      </w:divsChild>
                    </w:div>
                    <w:div w:id="294148872">
                      <w:marLeft w:val="0"/>
                      <w:marRight w:val="0"/>
                      <w:marTop w:val="0"/>
                      <w:marBottom w:val="0"/>
                      <w:divBdr>
                        <w:top w:val="none" w:sz="0" w:space="0" w:color="auto"/>
                        <w:left w:val="none" w:sz="0" w:space="0" w:color="auto"/>
                        <w:bottom w:val="none" w:sz="0" w:space="0" w:color="auto"/>
                        <w:right w:val="none" w:sz="0" w:space="0" w:color="auto"/>
                      </w:divBdr>
                      <w:divsChild>
                        <w:div w:id="294140012">
                          <w:marLeft w:val="0"/>
                          <w:marRight w:val="0"/>
                          <w:marTop w:val="0"/>
                          <w:marBottom w:val="0"/>
                          <w:divBdr>
                            <w:top w:val="none" w:sz="0" w:space="0" w:color="auto"/>
                            <w:left w:val="none" w:sz="0" w:space="0" w:color="auto"/>
                            <w:bottom w:val="none" w:sz="0" w:space="0" w:color="auto"/>
                            <w:right w:val="none" w:sz="0" w:space="0" w:color="auto"/>
                          </w:divBdr>
                        </w:div>
                      </w:divsChild>
                    </w:div>
                    <w:div w:id="294149034">
                      <w:marLeft w:val="0"/>
                      <w:marRight w:val="0"/>
                      <w:marTop w:val="0"/>
                      <w:marBottom w:val="0"/>
                      <w:divBdr>
                        <w:top w:val="none" w:sz="0" w:space="0" w:color="auto"/>
                        <w:left w:val="none" w:sz="0" w:space="0" w:color="auto"/>
                        <w:bottom w:val="none" w:sz="0" w:space="0" w:color="auto"/>
                        <w:right w:val="none" w:sz="0" w:space="0" w:color="auto"/>
                      </w:divBdr>
                      <w:divsChild>
                        <w:div w:id="294153642">
                          <w:marLeft w:val="0"/>
                          <w:marRight w:val="0"/>
                          <w:marTop w:val="0"/>
                          <w:marBottom w:val="0"/>
                          <w:divBdr>
                            <w:top w:val="none" w:sz="0" w:space="0" w:color="auto"/>
                            <w:left w:val="none" w:sz="0" w:space="0" w:color="auto"/>
                            <w:bottom w:val="none" w:sz="0" w:space="0" w:color="auto"/>
                            <w:right w:val="none" w:sz="0" w:space="0" w:color="auto"/>
                          </w:divBdr>
                        </w:div>
                      </w:divsChild>
                    </w:div>
                    <w:div w:id="294149068">
                      <w:marLeft w:val="0"/>
                      <w:marRight w:val="0"/>
                      <w:marTop w:val="0"/>
                      <w:marBottom w:val="0"/>
                      <w:divBdr>
                        <w:top w:val="none" w:sz="0" w:space="0" w:color="auto"/>
                        <w:left w:val="none" w:sz="0" w:space="0" w:color="auto"/>
                        <w:bottom w:val="none" w:sz="0" w:space="0" w:color="auto"/>
                        <w:right w:val="none" w:sz="0" w:space="0" w:color="auto"/>
                      </w:divBdr>
                    </w:div>
                    <w:div w:id="294149100">
                      <w:marLeft w:val="0"/>
                      <w:marRight w:val="0"/>
                      <w:marTop w:val="0"/>
                      <w:marBottom w:val="0"/>
                      <w:divBdr>
                        <w:top w:val="none" w:sz="0" w:space="0" w:color="auto"/>
                        <w:left w:val="none" w:sz="0" w:space="0" w:color="auto"/>
                        <w:bottom w:val="none" w:sz="0" w:space="0" w:color="auto"/>
                        <w:right w:val="none" w:sz="0" w:space="0" w:color="auto"/>
                      </w:divBdr>
                      <w:divsChild>
                        <w:div w:id="294143572">
                          <w:marLeft w:val="0"/>
                          <w:marRight w:val="0"/>
                          <w:marTop w:val="0"/>
                          <w:marBottom w:val="0"/>
                          <w:divBdr>
                            <w:top w:val="none" w:sz="0" w:space="0" w:color="auto"/>
                            <w:left w:val="none" w:sz="0" w:space="0" w:color="auto"/>
                            <w:bottom w:val="none" w:sz="0" w:space="0" w:color="auto"/>
                            <w:right w:val="none" w:sz="0" w:space="0" w:color="auto"/>
                          </w:divBdr>
                        </w:div>
                      </w:divsChild>
                    </w:div>
                    <w:div w:id="294149149">
                      <w:marLeft w:val="0"/>
                      <w:marRight w:val="0"/>
                      <w:marTop w:val="0"/>
                      <w:marBottom w:val="0"/>
                      <w:divBdr>
                        <w:top w:val="none" w:sz="0" w:space="0" w:color="auto"/>
                        <w:left w:val="none" w:sz="0" w:space="0" w:color="auto"/>
                        <w:bottom w:val="none" w:sz="0" w:space="0" w:color="auto"/>
                        <w:right w:val="none" w:sz="0" w:space="0" w:color="auto"/>
                      </w:divBdr>
                    </w:div>
                    <w:div w:id="294149305">
                      <w:marLeft w:val="0"/>
                      <w:marRight w:val="0"/>
                      <w:marTop w:val="0"/>
                      <w:marBottom w:val="0"/>
                      <w:divBdr>
                        <w:top w:val="none" w:sz="0" w:space="0" w:color="auto"/>
                        <w:left w:val="none" w:sz="0" w:space="0" w:color="auto"/>
                        <w:bottom w:val="none" w:sz="0" w:space="0" w:color="auto"/>
                        <w:right w:val="none" w:sz="0" w:space="0" w:color="auto"/>
                      </w:divBdr>
                    </w:div>
                    <w:div w:id="294149351">
                      <w:marLeft w:val="0"/>
                      <w:marRight w:val="0"/>
                      <w:marTop w:val="0"/>
                      <w:marBottom w:val="0"/>
                      <w:divBdr>
                        <w:top w:val="none" w:sz="0" w:space="0" w:color="auto"/>
                        <w:left w:val="none" w:sz="0" w:space="0" w:color="auto"/>
                        <w:bottom w:val="none" w:sz="0" w:space="0" w:color="auto"/>
                        <w:right w:val="none" w:sz="0" w:space="0" w:color="auto"/>
                      </w:divBdr>
                    </w:div>
                    <w:div w:id="294149524">
                      <w:marLeft w:val="0"/>
                      <w:marRight w:val="0"/>
                      <w:marTop w:val="0"/>
                      <w:marBottom w:val="0"/>
                      <w:divBdr>
                        <w:top w:val="none" w:sz="0" w:space="0" w:color="auto"/>
                        <w:left w:val="none" w:sz="0" w:space="0" w:color="auto"/>
                        <w:bottom w:val="none" w:sz="0" w:space="0" w:color="auto"/>
                        <w:right w:val="none" w:sz="0" w:space="0" w:color="auto"/>
                      </w:divBdr>
                    </w:div>
                    <w:div w:id="294149759">
                      <w:marLeft w:val="0"/>
                      <w:marRight w:val="0"/>
                      <w:marTop w:val="0"/>
                      <w:marBottom w:val="0"/>
                      <w:divBdr>
                        <w:top w:val="none" w:sz="0" w:space="0" w:color="auto"/>
                        <w:left w:val="none" w:sz="0" w:space="0" w:color="auto"/>
                        <w:bottom w:val="none" w:sz="0" w:space="0" w:color="auto"/>
                        <w:right w:val="none" w:sz="0" w:space="0" w:color="auto"/>
                      </w:divBdr>
                    </w:div>
                    <w:div w:id="294149868">
                      <w:marLeft w:val="0"/>
                      <w:marRight w:val="0"/>
                      <w:marTop w:val="0"/>
                      <w:marBottom w:val="0"/>
                      <w:divBdr>
                        <w:top w:val="none" w:sz="0" w:space="0" w:color="auto"/>
                        <w:left w:val="none" w:sz="0" w:space="0" w:color="auto"/>
                        <w:bottom w:val="none" w:sz="0" w:space="0" w:color="auto"/>
                        <w:right w:val="none" w:sz="0" w:space="0" w:color="auto"/>
                      </w:divBdr>
                    </w:div>
                    <w:div w:id="294149973">
                      <w:marLeft w:val="0"/>
                      <w:marRight w:val="0"/>
                      <w:marTop w:val="0"/>
                      <w:marBottom w:val="0"/>
                      <w:divBdr>
                        <w:top w:val="none" w:sz="0" w:space="0" w:color="auto"/>
                        <w:left w:val="none" w:sz="0" w:space="0" w:color="auto"/>
                        <w:bottom w:val="none" w:sz="0" w:space="0" w:color="auto"/>
                        <w:right w:val="none" w:sz="0" w:space="0" w:color="auto"/>
                      </w:divBdr>
                      <w:divsChild>
                        <w:div w:id="294150864">
                          <w:marLeft w:val="0"/>
                          <w:marRight w:val="0"/>
                          <w:marTop w:val="0"/>
                          <w:marBottom w:val="0"/>
                          <w:divBdr>
                            <w:top w:val="none" w:sz="0" w:space="0" w:color="auto"/>
                            <w:left w:val="none" w:sz="0" w:space="0" w:color="auto"/>
                            <w:bottom w:val="none" w:sz="0" w:space="0" w:color="auto"/>
                            <w:right w:val="none" w:sz="0" w:space="0" w:color="auto"/>
                          </w:divBdr>
                        </w:div>
                      </w:divsChild>
                    </w:div>
                    <w:div w:id="294150150">
                      <w:marLeft w:val="0"/>
                      <w:marRight w:val="0"/>
                      <w:marTop w:val="0"/>
                      <w:marBottom w:val="0"/>
                      <w:divBdr>
                        <w:top w:val="none" w:sz="0" w:space="0" w:color="auto"/>
                        <w:left w:val="none" w:sz="0" w:space="0" w:color="auto"/>
                        <w:bottom w:val="none" w:sz="0" w:space="0" w:color="auto"/>
                        <w:right w:val="none" w:sz="0" w:space="0" w:color="auto"/>
                      </w:divBdr>
                    </w:div>
                    <w:div w:id="294150206">
                      <w:marLeft w:val="0"/>
                      <w:marRight w:val="0"/>
                      <w:marTop w:val="0"/>
                      <w:marBottom w:val="0"/>
                      <w:divBdr>
                        <w:top w:val="none" w:sz="0" w:space="0" w:color="auto"/>
                        <w:left w:val="none" w:sz="0" w:space="0" w:color="auto"/>
                        <w:bottom w:val="none" w:sz="0" w:space="0" w:color="auto"/>
                        <w:right w:val="none" w:sz="0" w:space="0" w:color="auto"/>
                      </w:divBdr>
                    </w:div>
                    <w:div w:id="294150208">
                      <w:marLeft w:val="0"/>
                      <w:marRight w:val="0"/>
                      <w:marTop w:val="0"/>
                      <w:marBottom w:val="0"/>
                      <w:divBdr>
                        <w:top w:val="none" w:sz="0" w:space="0" w:color="auto"/>
                        <w:left w:val="none" w:sz="0" w:space="0" w:color="auto"/>
                        <w:bottom w:val="none" w:sz="0" w:space="0" w:color="auto"/>
                        <w:right w:val="none" w:sz="0" w:space="0" w:color="auto"/>
                      </w:divBdr>
                      <w:divsChild>
                        <w:div w:id="294143150">
                          <w:marLeft w:val="0"/>
                          <w:marRight w:val="0"/>
                          <w:marTop w:val="0"/>
                          <w:marBottom w:val="0"/>
                          <w:divBdr>
                            <w:top w:val="none" w:sz="0" w:space="0" w:color="auto"/>
                            <w:left w:val="none" w:sz="0" w:space="0" w:color="auto"/>
                            <w:bottom w:val="none" w:sz="0" w:space="0" w:color="auto"/>
                            <w:right w:val="none" w:sz="0" w:space="0" w:color="auto"/>
                          </w:divBdr>
                        </w:div>
                      </w:divsChild>
                    </w:div>
                    <w:div w:id="294150255">
                      <w:marLeft w:val="0"/>
                      <w:marRight w:val="0"/>
                      <w:marTop w:val="0"/>
                      <w:marBottom w:val="0"/>
                      <w:divBdr>
                        <w:top w:val="none" w:sz="0" w:space="0" w:color="auto"/>
                        <w:left w:val="none" w:sz="0" w:space="0" w:color="auto"/>
                        <w:bottom w:val="none" w:sz="0" w:space="0" w:color="auto"/>
                        <w:right w:val="none" w:sz="0" w:space="0" w:color="auto"/>
                      </w:divBdr>
                    </w:div>
                    <w:div w:id="294150464">
                      <w:marLeft w:val="0"/>
                      <w:marRight w:val="0"/>
                      <w:marTop w:val="0"/>
                      <w:marBottom w:val="0"/>
                      <w:divBdr>
                        <w:top w:val="none" w:sz="0" w:space="0" w:color="auto"/>
                        <w:left w:val="none" w:sz="0" w:space="0" w:color="auto"/>
                        <w:bottom w:val="none" w:sz="0" w:space="0" w:color="auto"/>
                        <w:right w:val="none" w:sz="0" w:space="0" w:color="auto"/>
                      </w:divBdr>
                    </w:div>
                    <w:div w:id="294150603">
                      <w:marLeft w:val="0"/>
                      <w:marRight w:val="0"/>
                      <w:marTop w:val="0"/>
                      <w:marBottom w:val="0"/>
                      <w:divBdr>
                        <w:top w:val="none" w:sz="0" w:space="0" w:color="auto"/>
                        <w:left w:val="none" w:sz="0" w:space="0" w:color="auto"/>
                        <w:bottom w:val="none" w:sz="0" w:space="0" w:color="auto"/>
                        <w:right w:val="none" w:sz="0" w:space="0" w:color="auto"/>
                      </w:divBdr>
                      <w:divsChild>
                        <w:div w:id="294156157">
                          <w:marLeft w:val="0"/>
                          <w:marRight w:val="0"/>
                          <w:marTop w:val="0"/>
                          <w:marBottom w:val="0"/>
                          <w:divBdr>
                            <w:top w:val="none" w:sz="0" w:space="0" w:color="auto"/>
                            <w:left w:val="none" w:sz="0" w:space="0" w:color="auto"/>
                            <w:bottom w:val="none" w:sz="0" w:space="0" w:color="auto"/>
                            <w:right w:val="none" w:sz="0" w:space="0" w:color="auto"/>
                          </w:divBdr>
                        </w:div>
                      </w:divsChild>
                    </w:div>
                    <w:div w:id="294151012">
                      <w:marLeft w:val="0"/>
                      <w:marRight w:val="0"/>
                      <w:marTop w:val="0"/>
                      <w:marBottom w:val="0"/>
                      <w:divBdr>
                        <w:top w:val="none" w:sz="0" w:space="0" w:color="auto"/>
                        <w:left w:val="none" w:sz="0" w:space="0" w:color="auto"/>
                        <w:bottom w:val="none" w:sz="0" w:space="0" w:color="auto"/>
                        <w:right w:val="none" w:sz="0" w:space="0" w:color="auto"/>
                      </w:divBdr>
                      <w:divsChild>
                        <w:div w:id="294156769">
                          <w:marLeft w:val="0"/>
                          <w:marRight w:val="0"/>
                          <w:marTop w:val="0"/>
                          <w:marBottom w:val="0"/>
                          <w:divBdr>
                            <w:top w:val="none" w:sz="0" w:space="0" w:color="auto"/>
                            <w:left w:val="none" w:sz="0" w:space="0" w:color="auto"/>
                            <w:bottom w:val="none" w:sz="0" w:space="0" w:color="auto"/>
                            <w:right w:val="none" w:sz="0" w:space="0" w:color="auto"/>
                          </w:divBdr>
                        </w:div>
                      </w:divsChild>
                    </w:div>
                    <w:div w:id="294151258">
                      <w:marLeft w:val="0"/>
                      <w:marRight w:val="0"/>
                      <w:marTop w:val="0"/>
                      <w:marBottom w:val="0"/>
                      <w:divBdr>
                        <w:top w:val="none" w:sz="0" w:space="0" w:color="auto"/>
                        <w:left w:val="none" w:sz="0" w:space="0" w:color="auto"/>
                        <w:bottom w:val="none" w:sz="0" w:space="0" w:color="auto"/>
                        <w:right w:val="none" w:sz="0" w:space="0" w:color="auto"/>
                      </w:divBdr>
                      <w:divsChild>
                        <w:div w:id="294154941">
                          <w:marLeft w:val="0"/>
                          <w:marRight w:val="0"/>
                          <w:marTop w:val="0"/>
                          <w:marBottom w:val="0"/>
                          <w:divBdr>
                            <w:top w:val="none" w:sz="0" w:space="0" w:color="auto"/>
                            <w:left w:val="none" w:sz="0" w:space="0" w:color="auto"/>
                            <w:bottom w:val="none" w:sz="0" w:space="0" w:color="auto"/>
                            <w:right w:val="none" w:sz="0" w:space="0" w:color="auto"/>
                          </w:divBdr>
                        </w:div>
                      </w:divsChild>
                    </w:div>
                    <w:div w:id="294151269">
                      <w:marLeft w:val="0"/>
                      <w:marRight w:val="0"/>
                      <w:marTop w:val="0"/>
                      <w:marBottom w:val="0"/>
                      <w:divBdr>
                        <w:top w:val="none" w:sz="0" w:space="0" w:color="auto"/>
                        <w:left w:val="none" w:sz="0" w:space="0" w:color="auto"/>
                        <w:bottom w:val="none" w:sz="0" w:space="0" w:color="auto"/>
                        <w:right w:val="none" w:sz="0" w:space="0" w:color="auto"/>
                      </w:divBdr>
                    </w:div>
                    <w:div w:id="294151418">
                      <w:marLeft w:val="0"/>
                      <w:marRight w:val="0"/>
                      <w:marTop w:val="0"/>
                      <w:marBottom w:val="0"/>
                      <w:divBdr>
                        <w:top w:val="none" w:sz="0" w:space="0" w:color="auto"/>
                        <w:left w:val="none" w:sz="0" w:space="0" w:color="auto"/>
                        <w:bottom w:val="none" w:sz="0" w:space="0" w:color="auto"/>
                        <w:right w:val="none" w:sz="0" w:space="0" w:color="auto"/>
                      </w:divBdr>
                    </w:div>
                    <w:div w:id="294151531">
                      <w:marLeft w:val="0"/>
                      <w:marRight w:val="0"/>
                      <w:marTop w:val="0"/>
                      <w:marBottom w:val="0"/>
                      <w:divBdr>
                        <w:top w:val="none" w:sz="0" w:space="0" w:color="auto"/>
                        <w:left w:val="none" w:sz="0" w:space="0" w:color="auto"/>
                        <w:bottom w:val="none" w:sz="0" w:space="0" w:color="auto"/>
                        <w:right w:val="none" w:sz="0" w:space="0" w:color="auto"/>
                      </w:divBdr>
                    </w:div>
                    <w:div w:id="294151572">
                      <w:marLeft w:val="0"/>
                      <w:marRight w:val="0"/>
                      <w:marTop w:val="0"/>
                      <w:marBottom w:val="0"/>
                      <w:divBdr>
                        <w:top w:val="none" w:sz="0" w:space="0" w:color="auto"/>
                        <w:left w:val="none" w:sz="0" w:space="0" w:color="auto"/>
                        <w:bottom w:val="none" w:sz="0" w:space="0" w:color="auto"/>
                        <w:right w:val="none" w:sz="0" w:space="0" w:color="auto"/>
                      </w:divBdr>
                    </w:div>
                    <w:div w:id="294152188">
                      <w:marLeft w:val="0"/>
                      <w:marRight w:val="0"/>
                      <w:marTop w:val="0"/>
                      <w:marBottom w:val="0"/>
                      <w:divBdr>
                        <w:top w:val="none" w:sz="0" w:space="0" w:color="auto"/>
                        <w:left w:val="none" w:sz="0" w:space="0" w:color="auto"/>
                        <w:bottom w:val="none" w:sz="0" w:space="0" w:color="auto"/>
                        <w:right w:val="none" w:sz="0" w:space="0" w:color="auto"/>
                      </w:divBdr>
                      <w:divsChild>
                        <w:div w:id="294152441">
                          <w:marLeft w:val="0"/>
                          <w:marRight w:val="0"/>
                          <w:marTop w:val="0"/>
                          <w:marBottom w:val="0"/>
                          <w:divBdr>
                            <w:top w:val="none" w:sz="0" w:space="0" w:color="auto"/>
                            <w:left w:val="none" w:sz="0" w:space="0" w:color="auto"/>
                            <w:bottom w:val="none" w:sz="0" w:space="0" w:color="auto"/>
                            <w:right w:val="none" w:sz="0" w:space="0" w:color="auto"/>
                          </w:divBdr>
                        </w:div>
                      </w:divsChild>
                    </w:div>
                    <w:div w:id="294152324">
                      <w:marLeft w:val="0"/>
                      <w:marRight w:val="0"/>
                      <w:marTop w:val="0"/>
                      <w:marBottom w:val="0"/>
                      <w:divBdr>
                        <w:top w:val="none" w:sz="0" w:space="0" w:color="auto"/>
                        <w:left w:val="none" w:sz="0" w:space="0" w:color="auto"/>
                        <w:bottom w:val="none" w:sz="0" w:space="0" w:color="auto"/>
                        <w:right w:val="none" w:sz="0" w:space="0" w:color="auto"/>
                      </w:divBdr>
                      <w:divsChild>
                        <w:div w:id="294146235">
                          <w:marLeft w:val="0"/>
                          <w:marRight w:val="0"/>
                          <w:marTop w:val="0"/>
                          <w:marBottom w:val="0"/>
                          <w:divBdr>
                            <w:top w:val="none" w:sz="0" w:space="0" w:color="auto"/>
                            <w:left w:val="none" w:sz="0" w:space="0" w:color="auto"/>
                            <w:bottom w:val="none" w:sz="0" w:space="0" w:color="auto"/>
                            <w:right w:val="none" w:sz="0" w:space="0" w:color="auto"/>
                          </w:divBdr>
                        </w:div>
                      </w:divsChild>
                    </w:div>
                    <w:div w:id="294152344">
                      <w:marLeft w:val="0"/>
                      <w:marRight w:val="0"/>
                      <w:marTop w:val="0"/>
                      <w:marBottom w:val="0"/>
                      <w:divBdr>
                        <w:top w:val="none" w:sz="0" w:space="0" w:color="auto"/>
                        <w:left w:val="none" w:sz="0" w:space="0" w:color="auto"/>
                        <w:bottom w:val="none" w:sz="0" w:space="0" w:color="auto"/>
                        <w:right w:val="none" w:sz="0" w:space="0" w:color="auto"/>
                      </w:divBdr>
                    </w:div>
                    <w:div w:id="294152359">
                      <w:marLeft w:val="0"/>
                      <w:marRight w:val="0"/>
                      <w:marTop w:val="0"/>
                      <w:marBottom w:val="0"/>
                      <w:divBdr>
                        <w:top w:val="none" w:sz="0" w:space="0" w:color="auto"/>
                        <w:left w:val="none" w:sz="0" w:space="0" w:color="auto"/>
                        <w:bottom w:val="none" w:sz="0" w:space="0" w:color="auto"/>
                        <w:right w:val="none" w:sz="0" w:space="0" w:color="auto"/>
                      </w:divBdr>
                    </w:div>
                    <w:div w:id="294152448">
                      <w:marLeft w:val="0"/>
                      <w:marRight w:val="0"/>
                      <w:marTop w:val="0"/>
                      <w:marBottom w:val="0"/>
                      <w:divBdr>
                        <w:top w:val="none" w:sz="0" w:space="0" w:color="auto"/>
                        <w:left w:val="none" w:sz="0" w:space="0" w:color="auto"/>
                        <w:bottom w:val="none" w:sz="0" w:space="0" w:color="auto"/>
                        <w:right w:val="none" w:sz="0" w:space="0" w:color="auto"/>
                      </w:divBdr>
                    </w:div>
                    <w:div w:id="294152582">
                      <w:marLeft w:val="0"/>
                      <w:marRight w:val="0"/>
                      <w:marTop w:val="0"/>
                      <w:marBottom w:val="0"/>
                      <w:divBdr>
                        <w:top w:val="none" w:sz="0" w:space="0" w:color="auto"/>
                        <w:left w:val="none" w:sz="0" w:space="0" w:color="auto"/>
                        <w:bottom w:val="none" w:sz="0" w:space="0" w:color="auto"/>
                        <w:right w:val="none" w:sz="0" w:space="0" w:color="auto"/>
                      </w:divBdr>
                    </w:div>
                    <w:div w:id="294152721">
                      <w:marLeft w:val="0"/>
                      <w:marRight w:val="0"/>
                      <w:marTop w:val="0"/>
                      <w:marBottom w:val="0"/>
                      <w:divBdr>
                        <w:top w:val="none" w:sz="0" w:space="0" w:color="auto"/>
                        <w:left w:val="none" w:sz="0" w:space="0" w:color="auto"/>
                        <w:bottom w:val="none" w:sz="0" w:space="0" w:color="auto"/>
                        <w:right w:val="none" w:sz="0" w:space="0" w:color="auto"/>
                      </w:divBdr>
                      <w:divsChild>
                        <w:div w:id="294148105">
                          <w:marLeft w:val="0"/>
                          <w:marRight w:val="0"/>
                          <w:marTop w:val="0"/>
                          <w:marBottom w:val="0"/>
                          <w:divBdr>
                            <w:top w:val="none" w:sz="0" w:space="0" w:color="auto"/>
                            <w:left w:val="none" w:sz="0" w:space="0" w:color="auto"/>
                            <w:bottom w:val="none" w:sz="0" w:space="0" w:color="auto"/>
                            <w:right w:val="none" w:sz="0" w:space="0" w:color="auto"/>
                          </w:divBdr>
                        </w:div>
                      </w:divsChild>
                    </w:div>
                    <w:div w:id="294152736">
                      <w:marLeft w:val="0"/>
                      <w:marRight w:val="0"/>
                      <w:marTop w:val="0"/>
                      <w:marBottom w:val="0"/>
                      <w:divBdr>
                        <w:top w:val="none" w:sz="0" w:space="0" w:color="auto"/>
                        <w:left w:val="none" w:sz="0" w:space="0" w:color="auto"/>
                        <w:bottom w:val="none" w:sz="0" w:space="0" w:color="auto"/>
                        <w:right w:val="none" w:sz="0" w:space="0" w:color="auto"/>
                      </w:divBdr>
                    </w:div>
                    <w:div w:id="294152790">
                      <w:marLeft w:val="0"/>
                      <w:marRight w:val="0"/>
                      <w:marTop w:val="0"/>
                      <w:marBottom w:val="0"/>
                      <w:divBdr>
                        <w:top w:val="none" w:sz="0" w:space="0" w:color="auto"/>
                        <w:left w:val="none" w:sz="0" w:space="0" w:color="auto"/>
                        <w:bottom w:val="none" w:sz="0" w:space="0" w:color="auto"/>
                        <w:right w:val="none" w:sz="0" w:space="0" w:color="auto"/>
                      </w:divBdr>
                      <w:divsChild>
                        <w:div w:id="294147943">
                          <w:marLeft w:val="0"/>
                          <w:marRight w:val="0"/>
                          <w:marTop w:val="0"/>
                          <w:marBottom w:val="0"/>
                          <w:divBdr>
                            <w:top w:val="none" w:sz="0" w:space="0" w:color="auto"/>
                            <w:left w:val="none" w:sz="0" w:space="0" w:color="auto"/>
                            <w:bottom w:val="none" w:sz="0" w:space="0" w:color="auto"/>
                            <w:right w:val="none" w:sz="0" w:space="0" w:color="auto"/>
                          </w:divBdr>
                        </w:div>
                      </w:divsChild>
                    </w:div>
                    <w:div w:id="294152800">
                      <w:marLeft w:val="0"/>
                      <w:marRight w:val="0"/>
                      <w:marTop w:val="0"/>
                      <w:marBottom w:val="0"/>
                      <w:divBdr>
                        <w:top w:val="none" w:sz="0" w:space="0" w:color="auto"/>
                        <w:left w:val="none" w:sz="0" w:space="0" w:color="auto"/>
                        <w:bottom w:val="none" w:sz="0" w:space="0" w:color="auto"/>
                        <w:right w:val="none" w:sz="0" w:space="0" w:color="auto"/>
                      </w:divBdr>
                    </w:div>
                    <w:div w:id="294152978">
                      <w:marLeft w:val="0"/>
                      <w:marRight w:val="0"/>
                      <w:marTop w:val="0"/>
                      <w:marBottom w:val="0"/>
                      <w:divBdr>
                        <w:top w:val="none" w:sz="0" w:space="0" w:color="auto"/>
                        <w:left w:val="none" w:sz="0" w:space="0" w:color="auto"/>
                        <w:bottom w:val="none" w:sz="0" w:space="0" w:color="auto"/>
                        <w:right w:val="none" w:sz="0" w:space="0" w:color="auto"/>
                      </w:divBdr>
                      <w:divsChild>
                        <w:div w:id="294141419">
                          <w:marLeft w:val="0"/>
                          <w:marRight w:val="0"/>
                          <w:marTop w:val="0"/>
                          <w:marBottom w:val="0"/>
                          <w:divBdr>
                            <w:top w:val="none" w:sz="0" w:space="0" w:color="auto"/>
                            <w:left w:val="none" w:sz="0" w:space="0" w:color="auto"/>
                            <w:bottom w:val="none" w:sz="0" w:space="0" w:color="auto"/>
                            <w:right w:val="none" w:sz="0" w:space="0" w:color="auto"/>
                          </w:divBdr>
                        </w:div>
                      </w:divsChild>
                    </w:div>
                    <w:div w:id="294153006">
                      <w:marLeft w:val="0"/>
                      <w:marRight w:val="0"/>
                      <w:marTop w:val="0"/>
                      <w:marBottom w:val="0"/>
                      <w:divBdr>
                        <w:top w:val="none" w:sz="0" w:space="0" w:color="auto"/>
                        <w:left w:val="none" w:sz="0" w:space="0" w:color="auto"/>
                        <w:bottom w:val="none" w:sz="0" w:space="0" w:color="auto"/>
                        <w:right w:val="none" w:sz="0" w:space="0" w:color="auto"/>
                      </w:divBdr>
                      <w:divsChild>
                        <w:div w:id="294141184">
                          <w:marLeft w:val="0"/>
                          <w:marRight w:val="0"/>
                          <w:marTop w:val="0"/>
                          <w:marBottom w:val="0"/>
                          <w:divBdr>
                            <w:top w:val="none" w:sz="0" w:space="0" w:color="auto"/>
                            <w:left w:val="none" w:sz="0" w:space="0" w:color="auto"/>
                            <w:bottom w:val="none" w:sz="0" w:space="0" w:color="auto"/>
                            <w:right w:val="none" w:sz="0" w:space="0" w:color="auto"/>
                          </w:divBdr>
                        </w:div>
                      </w:divsChild>
                    </w:div>
                    <w:div w:id="294153253">
                      <w:marLeft w:val="0"/>
                      <w:marRight w:val="0"/>
                      <w:marTop w:val="0"/>
                      <w:marBottom w:val="0"/>
                      <w:divBdr>
                        <w:top w:val="none" w:sz="0" w:space="0" w:color="auto"/>
                        <w:left w:val="none" w:sz="0" w:space="0" w:color="auto"/>
                        <w:bottom w:val="none" w:sz="0" w:space="0" w:color="auto"/>
                        <w:right w:val="none" w:sz="0" w:space="0" w:color="auto"/>
                      </w:divBdr>
                    </w:div>
                    <w:div w:id="294153279">
                      <w:marLeft w:val="0"/>
                      <w:marRight w:val="0"/>
                      <w:marTop w:val="0"/>
                      <w:marBottom w:val="0"/>
                      <w:divBdr>
                        <w:top w:val="none" w:sz="0" w:space="0" w:color="auto"/>
                        <w:left w:val="none" w:sz="0" w:space="0" w:color="auto"/>
                        <w:bottom w:val="none" w:sz="0" w:space="0" w:color="auto"/>
                        <w:right w:val="none" w:sz="0" w:space="0" w:color="auto"/>
                      </w:divBdr>
                      <w:divsChild>
                        <w:div w:id="294152816">
                          <w:marLeft w:val="0"/>
                          <w:marRight w:val="0"/>
                          <w:marTop w:val="0"/>
                          <w:marBottom w:val="0"/>
                          <w:divBdr>
                            <w:top w:val="none" w:sz="0" w:space="0" w:color="auto"/>
                            <w:left w:val="none" w:sz="0" w:space="0" w:color="auto"/>
                            <w:bottom w:val="none" w:sz="0" w:space="0" w:color="auto"/>
                            <w:right w:val="none" w:sz="0" w:space="0" w:color="auto"/>
                          </w:divBdr>
                        </w:div>
                      </w:divsChild>
                    </w:div>
                    <w:div w:id="294153312">
                      <w:marLeft w:val="0"/>
                      <w:marRight w:val="0"/>
                      <w:marTop w:val="0"/>
                      <w:marBottom w:val="0"/>
                      <w:divBdr>
                        <w:top w:val="none" w:sz="0" w:space="0" w:color="auto"/>
                        <w:left w:val="none" w:sz="0" w:space="0" w:color="auto"/>
                        <w:bottom w:val="none" w:sz="0" w:space="0" w:color="auto"/>
                        <w:right w:val="none" w:sz="0" w:space="0" w:color="auto"/>
                      </w:divBdr>
                      <w:divsChild>
                        <w:div w:id="294145156">
                          <w:marLeft w:val="0"/>
                          <w:marRight w:val="0"/>
                          <w:marTop w:val="0"/>
                          <w:marBottom w:val="0"/>
                          <w:divBdr>
                            <w:top w:val="none" w:sz="0" w:space="0" w:color="auto"/>
                            <w:left w:val="none" w:sz="0" w:space="0" w:color="auto"/>
                            <w:bottom w:val="none" w:sz="0" w:space="0" w:color="auto"/>
                            <w:right w:val="none" w:sz="0" w:space="0" w:color="auto"/>
                          </w:divBdr>
                        </w:div>
                      </w:divsChild>
                    </w:div>
                    <w:div w:id="294153418">
                      <w:marLeft w:val="0"/>
                      <w:marRight w:val="0"/>
                      <w:marTop w:val="0"/>
                      <w:marBottom w:val="0"/>
                      <w:divBdr>
                        <w:top w:val="none" w:sz="0" w:space="0" w:color="auto"/>
                        <w:left w:val="none" w:sz="0" w:space="0" w:color="auto"/>
                        <w:bottom w:val="none" w:sz="0" w:space="0" w:color="auto"/>
                        <w:right w:val="none" w:sz="0" w:space="0" w:color="auto"/>
                      </w:divBdr>
                    </w:div>
                    <w:div w:id="294153498">
                      <w:marLeft w:val="0"/>
                      <w:marRight w:val="0"/>
                      <w:marTop w:val="0"/>
                      <w:marBottom w:val="0"/>
                      <w:divBdr>
                        <w:top w:val="none" w:sz="0" w:space="0" w:color="auto"/>
                        <w:left w:val="none" w:sz="0" w:space="0" w:color="auto"/>
                        <w:bottom w:val="none" w:sz="0" w:space="0" w:color="auto"/>
                        <w:right w:val="none" w:sz="0" w:space="0" w:color="auto"/>
                      </w:divBdr>
                      <w:divsChild>
                        <w:div w:id="294151579">
                          <w:marLeft w:val="0"/>
                          <w:marRight w:val="0"/>
                          <w:marTop w:val="0"/>
                          <w:marBottom w:val="0"/>
                          <w:divBdr>
                            <w:top w:val="none" w:sz="0" w:space="0" w:color="auto"/>
                            <w:left w:val="none" w:sz="0" w:space="0" w:color="auto"/>
                            <w:bottom w:val="none" w:sz="0" w:space="0" w:color="auto"/>
                            <w:right w:val="none" w:sz="0" w:space="0" w:color="auto"/>
                          </w:divBdr>
                        </w:div>
                      </w:divsChild>
                    </w:div>
                    <w:div w:id="294153537">
                      <w:marLeft w:val="0"/>
                      <w:marRight w:val="0"/>
                      <w:marTop w:val="0"/>
                      <w:marBottom w:val="0"/>
                      <w:divBdr>
                        <w:top w:val="none" w:sz="0" w:space="0" w:color="auto"/>
                        <w:left w:val="none" w:sz="0" w:space="0" w:color="auto"/>
                        <w:bottom w:val="none" w:sz="0" w:space="0" w:color="auto"/>
                        <w:right w:val="none" w:sz="0" w:space="0" w:color="auto"/>
                      </w:divBdr>
                      <w:divsChild>
                        <w:div w:id="294139594">
                          <w:marLeft w:val="0"/>
                          <w:marRight w:val="0"/>
                          <w:marTop w:val="0"/>
                          <w:marBottom w:val="0"/>
                          <w:divBdr>
                            <w:top w:val="none" w:sz="0" w:space="0" w:color="auto"/>
                            <w:left w:val="none" w:sz="0" w:space="0" w:color="auto"/>
                            <w:bottom w:val="none" w:sz="0" w:space="0" w:color="auto"/>
                            <w:right w:val="none" w:sz="0" w:space="0" w:color="auto"/>
                          </w:divBdr>
                        </w:div>
                      </w:divsChild>
                    </w:div>
                    <w:div w:id="294153670">
                      <w:marLeft w:val="0"/>
                      <w:marRight w:val="0"/>
                      <w:marTop w:val="0"/>
                      <w:marBottom w:val="0"/>
                      <w:divBdr>
                        <w:top w:val="none" w:sz="0" w:space="0" w:color="auto"/>
                        <w:left w:val="none" w:sz="0" w:space="0" w:color="auto"/>
                        <w:bottom w:val="none" w:sz="0" w:space="0" w:color="auto"/>
                        <w:right w:val="none" w:sz="0" w:space="0" w:color="auto"/>
                      </w:divBdr>
                      <w:divsChild>
                        <w:div w:id="294148225">
                          <w:marLeft w:val="0"/>
                          <w:marRight w:val="0"/>
                          <w:marTop w:val="0"/>
                          <w:marBottom w:val="0"/>
                          <w:divBdr>
                            <w:top w:val="none" w:sz="0" w:space="0" w:color="auto"/>
                            <w:left w:val="none" w:sz="0" w:space="0" w:color="auto"/>
                            <w:bottom w:val="none" w:sz="0" w:space="0" w:color="auto"/>
                            <w:right w:val="none" w:sz="0" w:space="0" w:color="auto"/>
                          </w:divBdr>
                        </w:div>
                      </w:divsChild>
                    </w:div>
                    <w:div w:id="294153691">
                      <w:marLeft w:val="0"/>
                      <w:marRight w:val="0"/>
                      <w:marTop w:val="0"/>
                      <w:marBottom w:val="0"/>
                      <w:divBdr>
                        <w:top w:val="none" w:sz="0" w:space="0" w:color="auto"/>
                        <w:left w:val="none" w:sz="0" w:space="0" w:color="auto"/>
                        <w:bottom w:val="none" w:sz="0" w:space="0" w:color="auto"/>
                        <w:right w:val="none" w:sz="0" w:space="0" w:color="auto"/>
                      </w:divBdr>
                    </w:div>
                    <w:div w:id="294153806">
                      <w:marLeft w:val="0"/>
                      <w:marRight w:val="0"/>
                      <w:marTop w:val="0"/>
                      <w:marBottom w:val="0"/>
                      <w:divBdr>
                        <w:top w:val="none" w:sz="0" w:space="0" w:color="auto"/>
                        <w:left w:val="none" w:sz="0" w:space="0" w:color="auto"/>
                        <w:bottom w:val="none" w:sz="0" w:space="0" w:color="auto"/>
                        <w:right w:val="none" w:sz="0" w:space="0" w:color="auto"/>
                      </w:divBdr>
                    </w:div>
                    <w:div w:id="294153904">
                      <w:marLeft w:val="0"/>
                      <w:marRight w:val="0"/>
                      <w:marTop w:val="0"/>
                      <w:marBottom w:val="0"/>
                      <w:divBdr>
                        <w:top w:val="none" w:sz="0" w:space="0" w:color="auto"/>
                        <w:left w:val="none" w:sz="0" w:space="0" w:color="auto"/>
                        <w:bottom w:val="none" w:sz="0" w:space="0" w:color="auto"/>
                        <w:right w:val="none" w:sz="0" w:space="0" w:color="auto"/>
                      </w:divBdr>
                    </w:div>
                    <w:div w:id="294154058">
                      <w:marLeft w:val="0"/>
                      <w:marRight w:val="0"/>
                      <w:marTop w:val="0"/>
                      <w:marBottom w:val="0"/>
                      <w:divBdr>
                        <w:top w:val="none" w:sz="0" w:space="0" w:color="auto"/>
                        <w:left w:val="none" w:sz="0" w:space="0" w:color="auto"/>
                        <w:bottom w:val="none" w:sz="0" w:space="0" w:color="auto"/>
                        <w:right w:val="none" w:sz="0" w:space="0" w:color="auto"/>
                      </w:divBdr>
                    </w:div>
                    <w:div w:id="294154064">
                      <w:marLeft w:val="0"/>
                      <w:marRight w:val="0"/>
                      <w:marTop w:val="0"/>
                      <w:marBottom w:val="0"/>
                      <w:divBdr>
                        <w:top w:val="none" w:sz="0" w:space="0" w:color="auto"/>
                        <w:left w:val="none" w:sz="0" w:space="0" w:color="auto"/>
                        <w:bottom w:val="none" w:sz="0" w:space="0" w:color="auto"/>
                        <w:right w:val="none" w:sz="0" w:space="0" w:color="auto"/>
                      </w:divBdr>
                      <w:divsChild>
                        <w:div w:id="294147789">
                          <w:marLeft w:val="0"/>
                          <w:marRight w:val="0"/>
                          <w:marTop w:val="0"/>
                          <w:marBottom w:val="0"/>
                          <w:divBdr>
                            <w:top w:val="none" w:sz="0" w:space="0" w:color="auto"/>
                            <w:left w:val="none" w:sz="0" w:space="0" w:color="auto"/>
                            <w:bottom w:val="none" w:sz="0" w:space="0" w:color="auto"/>
                            <w:right w:val="none" w:sz="0" w:space="0" w:color="auto"/>
                          </w:divBdr>
                        </w:div>
                      </w:divsChild>
                    </w:div>
                    <w:div w:id="294154263">
                      <w:marLeft w:val="0"/>
                      <w:marRight w:val="0"/>
                      <w:marTop w:val="0"/>
                      <w:marBottom w:val="0"/>
                      <w:divBdr>
                        <w:top w:val="none" w:sz="0" w:space="0" w:color="auto"/>
                        <w:left w:val="none" w:sz="0" w:space="0" w:color="auto"/>
                        <w:bottom w:val="none" w:sz="0" w:space="0" w:color="auto"/>
                        <w:right w:val="none" w:sz="0" w:space="0" w:color="auto"/>
                      </w:divBdr>
                      <w:divsChild>
                        <w:div w:id="294151048">
                          <w:marLeft w:val="0"/>
                          <w:marRight w:val="0"/>
                          <w:marTop w:val="0"/>
                          <w:marBottom w:val="0"/>
                          <w:divBdr>
                            <w:top w:val="none" w:sz="0" w:space="0" w:color="auto"/>
                            <w:left w:val="none" w:sz="0" w:space="0" w:color="auto"/>
                            <w:bottom w:val="none" w:sz="0" w:space="0" w:color="auto"/>
                            <w:right w:val="none" w:sz="0" w:space="0" w:color="auto"/>
                          </w:divBdr>
                        </w:div>
                      </w:divsChild>
                    </w:div>
                    <w:div w:id="294154297">
                      <w:marLeft w:val="0"/>
                      <w:marRight w:val="0"/>
                      <w:marTop w:val="0"/>
                      <w:marBottom w:val="0"/>
                      <w:divBdr>
                        <w:top w:val="none" w:sz="0" w:space="0" w:color="auto"/>
                        <w:left w:val="none" w:sz="0" w:space="0" w:color="auto"/>
                        <w:bottom w:val="none" w:sz="0" w:space="0" w:color="auto"/>
                        <w:right w:val="none" w:sz="0" w:space="0" w:color="auto"/>
                      </w:divBdr>
                    </w:div>
                    <w:div w:id="294154364">
                      <w:marLeft w:val="0"/>
                      <w:marRight w:val="0"/>
                      <w:marTop w:val="0"/>
                      <w:marBottom w:val="0"/>
                      <w:divBdr>
                        <w:top w:val="none" w:sz="0" w:space="0" w:color="auto"/>
                        <w:left w:val="none" w:sz="0" w:space="0" w:color="auto"/>
                        <w:bottom w:val="none" w:sz="0" w:space="0" w:color="auto"/>
                        <w:right w:val="none" w:sz="0" w:space="0" w:color="auto"/>
                      </w:divBdr>
                    </w:div>
                    <w:div w:id="294154467">
                      <w:marLeft w:val="0"/>
                      <w:marRight w:val="0"/>
                      <w:marTop w:val="0"/>
                      <w:marBottom w:val="0"/>
                      <w:divBdr>
                        <w:top w:val="none" w:sz="0" w:space="0" w:color="auto"/>
                        <w:left w:val="none" w:sz="0" w:space="0" w:color="auto"/>
                        <w:bottom w:val="none" w:sz="0" w:space="0" w:color="auto"/>
                        <w:right w:val="none" w:sz="0" w:space="0" w:color="auto"/>
                      </w:divBdr>
                      <w:divsChild>
                        <w:div w:id="294155553">
                          <w:marLeft w:val="0"/>
                          <w:marRight w:val="0"/>
                          <w:marTop w:val="0"/>
                          <w:marBottom w:val="0"/>
                          <w:divBdr>
                            <w:top w:val="none" w:sz="0" w:space="0" w:color="auto"/>
                            <w:left w:val="none" w:sz="0" w:space="0" w:color="auto"/>
                            <w:bottom w:val="none" w:sz="0" w:space="0" w:color="auto"/>
                            <w:right w:val="none" w:sz="0" w:space="0" w:color="auto"/>
                          </w:divBdr>
                        </w:div>
                      </w:divsChild>
                    </w:div>
                    <w:div w:id="294154850">
                      <w:marLeft w:val="0"/>
                      <w:marRight w:val="0"/>
                      <w:marTop w:val="0"/>
                      <w:marBottom w:val="0"/>
                      <w:divBdr>
                        <w:top w:val="none" w:sz="0" w:space="0" w:color="auto"/>
                        <w:left w:val="none" w:sz="0" w:space="0" w:color="auto"/>
                        <w:bottom w:val="none" w:sz="0" w:space="0" w:color="auto"/>
                        <w:right w:val="none" w:sz="0" w:space="0" w:color="auto"/>
                      </w:divBdr>
                      <w:divsChild>
                        <w:div w:id="294155499">
                          <w:marLeft w:val="0"/>
                          <w:marRight w:val="0"/>
                          <w:marTop w:val="0"/>
                          <w:marBottom w:val="0"/>
                          <w:divBdr>
                            <w:top w:val="none" w:sz="0" w:space="0" w:color="auto"/>
                            <w:left w:val="none" w:sz="0" w:space="0" w:color="auto"/>
                            <w:bottom w:val="none" w:sz="0" w:space="0" w:color="auto"/>
                            <w:right w:val="none" w:sz="0" w:space="0" w:color="auto"/>
                          </w:divBdr>
                        </w:div>
                      </w:divsChild>
                    </w:div>
                    <w:div w:id="294154887">
                      <w:marLeft w:val="0"/>
                      <w:marRight w:val="0"/>
                      <w:marTop w:val="0"/>
                      <w:marBottom w:val="0"/>
                      <w:divBdr>
                        <w:top w:val="none" w:sz="0" w:space="0" w:color="auto"/>
                        <w:left w:val="none" w:sz="0" w:space="0" w:color="auto"/>
                        <w:bottom w:val="none" w:sz="0" w:space="0" w:color="auto"/>
                        <w:right w:val="none" w:sz="0" w:space="0" w:color="auto"/>
                      </w:divBdr>
                    </w:div>
                    <w:div w:id="294155020">
                      <w:marLeft w:val="0"/>
                      <w:marRight w:val="0"/>
                      <w:marTop w:val="0"/>
                      <w:marBottom w:val="0"/>
                      <w:divBdr>
                        <w:top w:val="none" w:sz="0" w:space="0" w:color="auto"/>
                        <w:left w:val="none" w:sz="0" w:space="0" w:color="auto"/>
                        <w:bottom w:val="none" w:sz="0" w:space="0" w:color="auto"/>
                        <w:right w:val="none" w:sz="0" w:space="0" w:color="auto"/>
                      </w:divBdr>
                    </w:div>
                    <w:div w:id="294155040">
                      <w:marLeft w:val="0"/>
                      <w:marRight w:val="0"/>
                      <w:marTop w:val="0"/>
                      <w:marBottom w:val="0"/>
                      <w:divBdr>
                        <w:top w:val="none" w:sz="0" w:space="0" w:color="auto"/>
                        <w:left w:val="none" w:sz="0" w:space="0" w:color="auto"/>
                        <w:bottom w:val="none" w:sz="0" w:space="0" w:color="auto"/>
                        <w:right w:val="none" w:sz="0" w:space="0" w:color="auto"/>
                      </w:divBdr>
                    </w:div>
                    <w:div w:id="294155067">
                      <w:marLeft w:val="0"/>
                      <w:marRight w:val="0"/>
                      <w:marTop w:val="0"/>
                      <w:marBottom w:val="0"/>
                      <w:divBdr>
                        <w:top w:val="none" w:sz="0" w:space="0" w:color="auto"/>
                        <w:left w:val="none" w:sz="0" w:space="0" w:color="auto"/>
                        <w:bottom w:val="none" w:sz="0" w:space="0" w:color="auto"/>
                        <w:right w:val="none" w:sz="0" w:space="0" w:color="auto"/>
                      </w:divBdr>
                      <w:divsChild>
                        <w:div w:id="294147311">
                          <w:marLeft w:val="0"/>
                          <w:marRight w:val="0"/>
                          <w:marTop w:val="0"/>
                          <w:marBottom w:val="0"/>
                          <w:divBdr>
                            <w:top w:val="none" w:sz="0" w:space="0" w:color="auto"/>
                            <w:left w:val="none" w:sz="0" w:space="0" w:color="auto"/>
                            <w:bottom w:val="none" w:sz="0" w:space="0" w:color="auto"/>
                            <w:right w:val="none" w:sz="0" w:space="0" w:color="auto"/>
                          </w:divBdr>
                        </w:div>
                      </w:divsChild>
                    </w:div>
                    <w:div w:id="294155161">
                      <w:marLeft w:val="0"/>
                      <w:marRight w:val="0"/>
                      <w:marTop w:val="0"/>
                      <w:marBottom w:val="0"/>
                      <w:divBdr>
                        <w:top w:val="none" w:sz="0" w:space="0" w:color="auto"/>
                        <w:left w:val="none" w:sz="0" w:space="0" w:color="auto"/>
                        <w:bottom w:val="none" w:sz="0" w:space="0" w:color="auto"/>
                        <w:right w:val="none" w:sz="0" w:space="0" w:color="auto"/>
                      </w:divBdr>
                      <w:divsChild>
                        <w:div w:id="294143695">
                          <w:marLeft w:val="0"/>
                          <w:marRight w:val="0"/>
                          <w:marTop w:val="0"/>
                          <w:marBottom w:val="0"/>
                          <w:divBdr>
                            <w:top w:val="none" w:sz="0" w:space="0" w:color="auto"/>
                            <w:left w:val="none" w:sz="0" w:space="0" w:color="auto"/>
                            <w:bottom w:val="none" w:sz="0" w:space="0" w:color="auto"/>
                            <w:right w:val="none" w:sz="0" w:space="0" w:color="auto"/>
                          </w:divBdr>
                        </w:div>
                      </w:divsChild>
                    </w:div>
                    <w:div w:id="294155269">
                      <w:marLeft w:val="0"/>
                      <w:marRight w:val="0"/>
                      <w:marTop w:val="0"/>
                      <w:marBottom w:val="0"/>
                      <w:divBdr>
                        <w:top w:val="none" w:sz="0" w:space="0" w:color="auto"/>
                        <w:left w:val="none" w:sz="0" w:space="0" w:color="auto"/>
                        <w:bottom w:val="none" w:sz="0" w:space="0" w:color="auto"/>
                        <w:right w:val="none" w:sz="0" w:space="0" w:color="auto"/>
                      </w:divBdr>
                      <w:divsChild>
                        <w:div w:id="294144961">
                          <w:marLeft w:val="0"/>
                          <w:marRight w:val="0"/>
                          <w:marTop w:val="0"/>
                          <w:marBottom w:val="0"/>
                          <w:divBdr>
                            <w:top w:val="none" w:sz="0" w:space="0" w:color="auto"/>
                            <w:left w:val="none" w:sz="0" w:space="0" w:color="auto"/>
                            <w:bottom w:val="none" w:sz="0" w:space="0" w:color="auto"/>
                            <w:right w:val="none" w:sz="0" w:space="0" w:color="auto"/>
                          </w:divBdr>
                        </w:div>
                      </w:divsChild>
                    </w:div>
                    <w:div w:id="294155387">
                      <w:marLeft w:val="0"/>
                      <w:marRight w:val="0"/>
                      <w:marTop w:val="0"/>
                      <w:marBottom w:val="0"/>
                      <w:divBdr>
                        <w:top w:val="none" w:sz="0" w:space="0" w:color="auto"/>
                        <w:left w:val="none" w:sz="0" w:space="0" w:color="auto"/>
                        <w:bottom w:val="none" w:sz="0" w:space="0" w:color="auto"/>
                        <w:right w:val="none" w:sz="0" w:space="0" w:color="auto"/>
                      </w:divBdr>
                    </w:div>
                    <w:div w:id="294155448">
                      <w:marLeft w:val="0"/>
                      <w:marRight w:val="0"/>
                      <w:marTop w:val="0"/>
                      <w:marBottom w:val="0"/>
                      <w:divBdr>
                        <w:top w:val="none" w:sz="0" w:space="0" w:color="auto"/>
                        <w:left w:val="none" w:sz="0" w:space="0" w:color="auto"/>
                        <w:bottom w:val="none" w:sz="0" w:space="0" w:color="auto"/>
                        <w:right w:val="none" w:sz="0" w:space="0" w:color="auto"/>
                      </w:divBdr>
                      <w:divsChild>
                        <w:div w:id="294155054">
                          <w:marLeft w:val="0"/>
                          <w:marRight w:val="0"/>
                          <w:marTop w:val="0"/>
                          <w:marBottom w:val="0"/>
                          <w:divBdr>
                            <w:top w:val="none" w:sz="0" w:space="0" w:color="auto"/>
                            <w:left w:val="none" w:sz="0" w:space="0" w:color="auto"/>
                            <w:bottom w:val="none" w:sz="0" w:space="0" w:color="auto"/>
                            <w:right w:val="none" w:sz="0" w:space="0" w:color="auto"/>
                          </w:divBdr>
                        </w:div>
                      </w:divsChild>
                    </w:div>
                    <w:div w:id="294155472">
                      <w:marLeft w:val="0"/>
                      <w:marRight w:val="0"/>
                      <w:marTop w:val="0"/>
                      <w:marBottom w:val="0"/>
                      <w:divBdr>
                        <w:top w:val="none" w:sz="0" w:space="0" w:color="auto"/>
                        <w:left w:val="none" w:sz="0" w:space="0" w:color="auto"/>
                        <w:bottom w:val="none" w:sz="0" w:space="0" w:color="auto"/>
                        <w:right w:val="none" w:sz="0" w:space="0" w:color="auto"/>
                      </w:divBdr>
                      <w:divsChild>
                        <w:div w:id="294148898">
                          <w:marLeft w:val="0"/>
                          <w:marRight w:val="0"/>
                          <w:marTop w:val="0"/>
                          <w:marBottom w:val="0"/>
                          <w:divBdr>
                            <w:top w:val="none" w:sz="0" w:space="0" w:color="auto"/>
                            <w:left w:val="none" w:sz="0" w:space="0" w:color="auto"/>
                            <w:bottom w:val="none" w:sz="0" w:space="0" w:color="auto"/>
                            <w:right w:val="none" w:sz="0" w:space="0" w:color="auto"/>
                          </w:divBdr>
                        </w:div>
                      </w:divsChild>
                    </w:div>
                    <w:div w:id="294155676">
                      <w:marLeft w:val="0"/>
                      <w:marRight w:val="0"/>
                      <w:marTop w:val="0"/>
                      <w:marBottom w:val="0"/>
                      <w:divBdr>
                        <w:top w:val="none" w:sz="0" w:space="0" w:color="auto"/>
                        <w:left w:val="none" w:sz="0" w:space="0" w:color="auto"/>
                        <w:bottom w:val="none" w:sz="0" w:space="0" w:color="auto"/>
                        <w:right w:val="none" w:sz="0" w:space="0" w:color="auto"/>
                      </w:divBdr>
                      <w:divsChild>
                        <w:div w:id="294154159">
                          <w:marLeft w:val="0"/>
                          <w:marRight w:val="0"/>
                          <w:marTop w:val="0"/>
                          <w:marBottom w:val="0"/>
                          <w:divBdr>
                            <w:top w:val="none" w:sz="0" w:space="0" w:color="auto"/>
                            <w:left w:val="none" w:sz="0" w:space="0" w:color="auto"/>
                            <w:bottom w:val="none" w:sz="0" w:space="0" w:color="auto"/>
                            <w:right w:val="none" w:sz="0" w:space="0" w:color="auto"/>
                          </w:divBdr>
                        </w:div>
                      </w:divsChild>
                    </w:div>
                    <w:div w:id="294155698">
                      <w:marLeft w:val="0"/>
                      <w:marRight w:val="0"/>
                      <w:marTop w:val="0"/>
                      <w:marBottom w:val="0"/>
                      <w:divBdr>
                        <w:top w:val="none" w:sz="0" w:space="0" w:color="auto"/>
                        <w:left w:val="none" w:sz="0" w:space="0" w:color="auto"/>
                        <w:bottom w:val="none" w:sz="0" w:space="0" w:color="auto"/>
                        <w:right w:val="none" w:sz="0" w:space="0" w:color="auto"/>
                      </w:divBdr>
                      <w:divsChild>
                        <w:div w:id="294140312">
                          <w:marLeft w:val="0"/>
                          <w:marRight w:val="0"/>
                          <w:marTop w:val="0"/>
                          <w:marBottom w:val="0"/>
                          <w:divBdr>
                            <w:top w:val="none" w:sz="0" w:space="0" w:color="auto"/>
                            <w:left w:val="none" w:sz="0" w:space="0" w:color="auto"/>
                            <w:bottom w:val="none" w:sz="0" w:space="0" w:color="auto"/>
                            <w:right w:val="none" w:sz="0" w:space="0" w:color="auto"/>
                          </w:divBdr>
                        </w:div>
                      </w:divsChild>
                    </w:div>
                    <w:div w:id="294155715">
                      <w:marLeft w:val="0"/>
                      <w:marRight w:val="0"/>
                      <w:marTop w:val="0"/>
                      <w:marBottom w:val="0"/>
                      <w:divBdr>
                        <w:top w:val="none" w:sz="0" w:space="0" w:color="auto"/>
                        <w:left w:val="none" w:sz="0" w:space="0" w:color="auto"/>
                        <w:bottom w:val="none" w:sz="0" w:space="0" w:color="auto"/>
                        <w:right w:val="none" w:sz="0" w:space="0" w:color="auto"/>
                      </w:divBdr>
                      <w:divsChild>
                        <w:div w:id="294143185">
                          <w:marLeft w:val="0"/>
                          <w:marRight w:val="0"/>
                          <w:marTop w:val="0"/>
                          <w:marBottom w:val="0"/>
                          <w:divBdr>
                            <w:top w:val="none" w:sz="0" w:space="0" w:color="auto"/>
                            <w:left w:val="none" w:sz="0" w:space="0" w:color="auto"/>
                            <w:bottom w:val="none" w:sz="0" w:space="0" w:color="auto"/>
                            <w:right w:val="none" w:sz="0" w:space="0" w:color="auto"/>
                          </w:divBdr>
                        </w:div>
                      </w:divsChild>
                    </w:div>
                    <w:div w:id="294156049">
                      <w:marLeft w:val="0"/>
                      <w:marRight w:val="0"/>
                      <w:marTop w:val="0"/>
                      <w:marBottom w:val="0"/>
                      <w:divBdr>
                        <w:top w:val="none" w:sz="0" w:space="0" w:color="auto"/>
                        <w:left w:val="none" w:sz="0" w:space="0" w:color="auto"/>
                        <w:bottom w:val="none" w:sz="0" w:space="0" w:color="auto"/>
                        <w:right w:val="none" w:sz="0" w:space="0" w:color="auto"/>
                      </w:divBdr>
                    </w:div>
                    <w:div w:id="294156219">
                      <w:marLeft w:val="0"/>
                      <w:marRight w:val="0"/>
                      <w:marTop w:val="0"/>
                      <w:marBottom w:val="0"/>
                      <w:divBdr>
                        <w:top w:val="none" w:sz="0" w:space="0" w:color="auto"/>
                        <w:left w:val="none" w:sz="0" w:space="0" w:color="auto"/>
                        <w:bottom w:val="none" w:sz="0" w:space="0" w:color="auto"/>
                        <w:right w:val="none" w:sz="0" w:space="0" w:color="auto"/>
                      </w:divBdr>
                    </w:div>
                    <w:div w:id="294156248">
                      <w:marLeft w:val="0"/>
                      <w:marRight w:val="0"/>
                      <w:marTop w:val="0"/>
                      <w:marBottom w:val="0"/>
                      <w:divBdr>
                        <w:top w:val="none" w:sz="0" w:space="0" w:color="auto"/>
                        <w:left w:val="none" w:sz="0" w:space="0" w:color="auto"/>
                        <w:bottom w:val="none" w:sz="0" w:space="0" w:color="auto"/>
                        <w:right w:val="none" w:sz="0" w:space="0" w:color="auto"/>
                      </w:divBdr>
                    </w:div>
                    <w:div w:id="294156363">
                      <w:marLeft w:val="0"/>
                      <w:marRight w:val="0"/>
                      <w:marTop w:val="0"/>
                      <w:marBottom w:val="0"/>
                      <w:divBdr>
                        <w:top w:val="none" w:sz="0" w:space="0" w:color="auto"/>
                        <w:left w:val="none" w:sz="0" w:space="0" w:color="auto"/>
                        <w:bottom w:val="none" w:sz="0" w:space="0" w:color="auto"/>
                        <w:right w:val="none" w:sz="0" w:space="0" w:color="auto"/>
                      </w:divBdr>
                    </w:div>
                    <w:div w:id="294156520">
                      <w:marLeft w:val="0"/>
                      <w:marRight w:val="0"/>
                      <w:marTop w:val="0"/>
                      <w:marBottom w:val="0"/>
                      <w:divBdr>
                        <w:top w:val="none" w:sz="0" w:space="0" w:color="auto"/>
                        <w:left w:val="none" w:sz="0" w:space="0" w:color="auto"/>
                        <w:bottom w:val="none" w:sz="0" w:space="0" w:color="auto"/>
                        <w:right w:val="none" w:sz="0" w:space="0" w:color="auto"/>
                      </w:divBdr>
                    </w:div>
                    <w:div w:id="294156601">
                      <w:marLeft w:val="0"/>
                      <w:marRight w:val="0"/>
                      <w:marTop w:val="0"/>
                      <w:marBottom w:val="0"/>
                      <w:divBdr>
                        <w:top w:val="none" w:sz="0" w:space="0" w:color="auto"/>
                        <w:left w:val="none" w:sz="0" w:space="0" w:color="auto"/>
                        <w:bottom w:val="none" w:sz="0" w:space="0" w:color="auto"/>
                        <w:right w:val="none" w:sz="0" w:space="0" w:color="auto"/>
                      </w:divBdr>
                    </w:div>
                    <w:div w:id="294156619">
                      <w:marLeft w:val="0"/>
                      <w:marRight w:val="0"/>
                      <w:marTop w:val="0"/>
                      <w:marBottom w:val="0"/>
                      <w:divBdr>
                        <w:top w:val="none" w:sz="0" w:space="0" w:color="auto"/>
                        <w:left w:val="none" w:sz="0" w:space="0" w:color="auto"/>
                        <w:bottom w:val="none" w:sz="0" w:space="0" w:color="auto"/>
                        <w:right w:val="none" w:sz="0" w:space="0" w:color="auto"/>
                      </w:divBdr>
                    </w:div>
                    <w:div w:id="294156782">
                      <w:marLeft w:val="0"/>
                      <w:marRight w:val="0"/>
                      <w:marTop w:val="0"/>
                      <w:marBottom w:val="0"/>
                      <w:divBdr>
                        <w:top w:val="none" w:sz="0" w:space="0" w:color="auto"/>
                        <w:left w:val="none" w:sz="0" w:space="0" w:color="auto"/>
                        <w:bottom w:val="none" w:sz="0" w:space="0" w:color="auto"/>
                        <w:right w:val="none" w:sz="0" w:space="0" w:color="auto"/>
                      </w:divBdr>
                      <w:divsChild>
                        <w:div w:id="294142718">
                          <w:marLeft w:val="0"/>
                          <w:marRight w:val="0"/>
                          <w:marTop w:val="0"/>
                          <w:marBottom w:val="0"/>
                          <w:divBdr>
                            <w:top w:val="none" w:sz="0" w:space="0" w:color="auto"/>
                            <w:left w:val="none" w:sz="0" w:space="0" w:color="auto"/>
                            <w:bottom w:val="none" w:sz="0" w:space="0" w:color="auto"/>
                            <w:right w:val="none" w:sz="0" w:space="0" w:color="auto"/>
                          </w:divBdr>
                        </w:div>
                      </w:divsChild>
                    </w:div>
                    <w:div w:id="294156895">
                      <w:marLeft w:val="0"/>
                      <w:marRight w:val="0"/>
                      <w:marTop w:val="0"/>
                      <w:marBottom w:val="0"/>
                      <w:divBdr>
                        <w:top w:val="none" w:sz="0" w:space="0" w:color="auto"/>
                        <w:left w:val="none" w:sz="0" w:space="0" w:color="auto"/>
                        <w:bottom w:val="none" w:sz="0" w:space="0" w:color="auto"/>
                        <w:right w:val="none" w:sz="0" w:space="0" w:color="auto"/>
                      </w:divBdr>
                    </w:div>
                    <w:div w:id="294156913">
                      <w:marLeft w:val="0"/>
                      <w:marRight w:val="0"/>
                      <w:marTop w:val="0"/>
                      <w:marBottom w:val="0"/>
                      <w:divBdr>
                        <w:top w:val="none" w:sz="0" w:space="0" w:color="auto"/>
                        <w:left w:val="none" w:sz="0" w:space="0" w:color="auto"/>
                        <w:bottom w:val="none" w:sz="0" w:space="0" w:color="auto"/>
                        <w:right w:val="none" w:sz="0" w:space="0" w:color="auto"/>
                      </w:divBdr>
                      <w:divsChild>
                        <w:div w:id="294142704">
                          <w:marLeft w:val="0"/>
                          <w:marRight w:val="0"/>
                          <w:marTop w:val="0"/>
                          <w:marBottom w:val="0"/>
                          <w:divBdr>
                            <w:top w:val="none" w:sz="0" w:space="0" w:color="auto"/>
                            <w:left w:val="none" w:sz="0" w:space="0" w:color="auto"/>
                            <w:bottom w:val="none" w:sz="0" w:space="0" w:color="auto"/>
                            <w:right w:val="none" w:sz="0" w:space="0" w:color="auto"/>
                          </w:divBdr>
                        </w:div>
                      </w:divsChild>
                    </w:div>
                    <w:div w:id="294157049">
                      <w:marLeft w:val="0"/>
                      <w:marRight w:val="0"/>
                      <w:marTop w:val="0"/>
                      <w:marBottom w:val="0"/>
                      <w:divBdr>
                        <w:top w:val="none" w:sz="0" w:space="0" w:color="auto"/>
                        <w:left w:val="none" w:sz="0" w:space="0" w:color="auto"/>
                        <w:bottom w:val="none" w:sz="0" w:space="0" w:color="auto"/>
                        <w:right w:val="none" w:sz="0" w:space="0" w:color="auto"/>
                      </w:divBdr>
                    </w:div>
                    <w:div w:id="294157106">
                      <w:marLeft w:val="0"/>
                      <w:marRight w:val="0"/>
                      <w:marTop w:val="0"/>
                      <w:marBottom w:val="0"/>
                      <w:divBdr>
                        <w:top w:val="none" w:sz="0" w:space="0" w:color="auto"/>
                        <w:left w:val="none" w:sz="0" w:space="0" w:color="auto"/>
                        <w:bottom w:val="none" w:sz="0" w:space="0" w:color="auto"/>
                        <w:right w:val="none" w:sz="0" w:space="0" w:color="auto"/>
                      </w:divBdr>
                    </w:div>
                    <w:div w:id="294157130">
                      <w:marLeft w:val="0"/>
                      <w:marRight w:val="0"/>
                      <w:marTop w:val="0"/>
                      <w:marBottom w:val="0"/>
                      <w:divBdr>
                        <w:top w:val="none" w:sz="0" w:space="0" w:color="auto"/>
                        <w:left w:val="none" w:sz="0" w:space="0" w:color="auto"/>
                        <w:bottom w:val="none" w:sz="0" w:space="0" w:color="auto"/>
                        <w:right w:val="none" w:sz="0" w:space="0" w:color="auto"/>
                      </w:divBdr>
                      <w:divsChild>
                        <w:div w:id="294153334">
                          <w:marLeft w:val="0"/>
                          <w:marRight w:val="0"/>
                          <w:marTop w:val="0"/>
                          <w:marBottom w:val="0"/>
                          <w:divBdr>
                            <w:top w:val="none" w:sz="0" w:space="0" w:color="auto"/>
                            <w:left w:val="none" w:sz="0" w:space="0" w:color="auto"/>
                            <w:bottom w:val="none" w:sz="0" w:space="0" w:color="auto"/>
                            <w:right w:val="none" w:sz="0" w:space="0" w:color="auto"/>
                          </w:divBdr>
                        </w:div>
                      </w:divsChild>
                    </w:div>
                    <w:div w:id="294157305">
                      <w:marLeft w:val="0"/>
                      <w:marRight w:val="0"/>
                      <w:marTop w:val="0"/>
                      <w:marBottom w:val="0"/>
                      <w:divBdr>
                        <w:top w:val="none" w:sz="0" w:space="0" w:color="auto"/>
                        <w:left w:val="none" w:sz="0" w:space="0" w:color="auto"/>
                        <w:bottom w:val="none" w:sz="0" w:space="0" w:color="auto"/>
                        <w:right w:val="none" w:sz="0" w:space="0" w:color="auto"/>
                      </w:divBdr>
                      <w:divsChild>
                        <w:div w:id="2941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143174">
      <w:marLeft w:val="0"/>
      <w:marRight w:val="0"/>
      <w:marTop w:val="0"/>
      <w:marBottom w:val="0"/>
      <w:divBdr>
        <w:top w:val="none" w:sz="0" w:space="0" w:color="auto"/>
        <w:left w:val="none" w:sz="0" w:space="0" w:color="auto"/>
        <w:bottom w:val="none" w:sz="0" w:space="0" w:color="auto"/>
        <w:right w:val="none" w:sz="0" w:space="0" w:color="auto"/>
      </w:divBdr>
    </w:div>
    <w:div w:id="294143192">
      <w:marLeft w:val="0"/>
      <w:marRight w:val="0"/>
      <w:marTop w:val="0"/>
      <w:marBottom w:val="0"/>
      <w:divBdr>
        <w:top w:val="none" w:sz="0" w:space="0" w:color="auto"/>
        <w:left w:val="none" w:sz="0" w:space="0" w:color="auto"/>
        <w:bottom w:val="none" w:sz="0" w:space="0" w:color="auto"/>
        <w:right w:val="none" w:sz="0" w:space="0" w:color="auto"/>
      </w:divBdr>
    </w:div>
    <w:div w:id="294143217">
      <w:marLeft w:val="0"/>
      <w:marRight w:val="0"/>
      <w:marTop w:val="0"/>
      <w:marBottom w:val="0"/>
      <w:divBdr>
        <w:top w:val="none" w:sz="0" w:space="0" w:color="auto"/>
        <w:left w:val="none" w:sz="0" w:space="0" w:color="auto"/>
        <w:bottom w:val="none" w:sz="0" w:space="0" w:color="auto"/>
        <w:right w:val="none" w:sz="0" w:space="0" w:color="auto"/>
      </w:divBdr>
    </w:div>
    <w:div w:id="294143256">
      <w:marLeft w:val="0"/>
      <w:marRight w:val="0"/>
      <w:marTop w:val="0"/>
      <w:marBottom w:val="0"/>
      <w:divBdr>
        <w:top w:val="none" w:sz="0" w:space="0" w:color="auto"/>
        <w:left w:val="none" w:sz="0" w:space="0" w:color="auto"/>
        <w:bottom w:val="none" w:sz="0" w:space="0" w:color="auto"/>
        <w:right w:val="none" w:sz="0" w:space="0" w:color="auto"/>
      </w:divBdr>
    </w:div>
    <w:div w:id="294143304">
      <w:marLeft w:val="0"/>
      <w:marRight w:val="0"/>
      <w:marTop w:val="0"/>
      <w:marBottom w:val="0"/>
      <w:divBdr>
        <w:top w:val="none" w:sz="0" w:space="0" w:color="auto"/>
        <w:left w:val="none" w:sz="0" w:space="0" w:color="auto"/>
        <w:bottom w:val="none" w:sz="0" w:space="0" w:color="auto"/>
        <w:right w:val="none" w:sz="0" w:space="0" w:color="auto"/>
      </w:divBdr>
    </w:div>
    <w:div w:id="294143305">
      <w:marLeft w:val="0"/>
      <w:marRight w:val="0"/>
      <w:marTop w:val="0"/>
      <w:marBottom w:val="0"/>
      <w:divBdr>
        <w:top w:val="none" w:sz="0" w:space="0" w:color="auto"/>
        <w:left w:val="none" w:sz="0" w:space="0" w:color="auto"/>
        <w:bottom w:val="none" w:sz="0" w:space="0" w:color="auto"/>
        <w:right w:val="none" w:sz="0" w:space="0" w:color="auto"/>
      </w:divBdr>
      <w:divsChild>
        <w:div w:id="294141327">
          <w:marLeft w:val="0"/>
          <w:marRight w:val="0"/>
          <w:marTop w:val="0"/>
          <w:marBottom w:val="300"/>
          <w:divBdr>
            <w:top w:val="none" w:sz="0" w:space="0" w:color="auto"/>
            <w:left w:val="none" w:sz="0" w:space="0" w:color="auto"/>
            <w:bottom w:val="none" w:sz="0" w:space="0" w:color="auto"/>
            <w:right w:val="none" w:sz="0" w:space="0" w:color="auto"/>
          </w:divBdr>
        </w:div>
        <w:div w:id="294148429">
          <w:marLeft w:val="0"/>
          <w:marRight w:val="0"/>
          <w:marTop w:val="0"/>
          <w:marBottom w:val="0"/>
          <w:divBdr>
            <w:top w:val="none" w:sz="0" w:space="0" w:color="auto"/>
            <w:left w:val="none" w:sz="0" w:space="0" w:color="auto"/>
            <w:bottom w:val="none" w:sz="0" w:space="0" w:color="auto"/>
            <w:right w:val="none" w:sz="0" w:space="0" w:color="auto"/>
          </w:divBdr>
          <w:divsChild>
            <w:div w:id="294151387">
              <w:marLeft w:val="0"/>
              <w:marRight w:val="0"/>
              <w:marTop w:val="0"/>
              <w:marBottom w:val="0"/>
              <w:divBdr>
                <w:top w:val="none" w:sz="0" w:space="0" w:color="auto"/>
                <w:left w:val="none" w:sz="0" w:space="0" w:color="auto"/>
                <w:bottom w:val="none" w:sz="0" w:space="0" w:color="auto"/>
                <w:right w:val="none" w:sz="0" w:space="0" w:color="auto"/>
              </w:divBdr>
              <w:divsChild>
                <w:div w:id="294138154">
                  <w:marLeft w:val="0"/>
                  <w:marRight w:val="0"/>
                  <w:marTop w:val="0"/>
                  <w:marBottom w:val="0"/>
                  <w:divBdr>
                    <w:top w:val="none" w:sz="0" w:space="0" w:color="auto"/>
                    <w:left w:val="none" w:sz="0" w:space="0" w:color="auto"/>
                    <w:bottom w:val="none" w:sz="0" w:space="0" w:color="auto"/>
                    <w:right w:val="none" w:sz="0" w:space="0" w:color="auto"/>
                  </w:divBdr>
                </w:div>
                <w:div w:id="294138253">
                  <w:marLeft w:val="0"/>
                  <w:marRight w:val="0"/>
                  <w:marTop w:val="0"/>
                  <w:marBottom w:val="0"/>
                  <w:divBdr>
                    <w:top w:val="none" w:sz="0" w:space="0" w:color="auto"/>
                    <w:left w:val="none" w:sz="0" w:space="0" w:color="auto"/>
                    <w:bottom w:val="none" w:sz="0" w:space="0" w:color="auto"/>
                    <w:right w:val="none" w:sz="0" w:space="0" w:color="auto"/>
                  </w:divBdr>
                </w:div>
                <w:div w:id="294138308">
                  <w:marLeft w:val="0"/>
                  <w:marRight w:val="0"/>
                  <w:marTop w:val="0"/>
                  <w:marBottom w:val="0"/>
                  <w:divBdr>
                    <w:top w:val="none" w:sz="0" w:space="0" w:color="auto"/>
                    <w:left w:val="none" w:sz="0" w:space="0" w:color="auto"/>
                    <w:bottom w:val="none" w:sz="0" w:space="0" w:color="auto"/>
                    <w:right w:val="none" w:sz="0" w:space="0" w:color="auto"/>
                  </w:divBdr>
                </w:div>
                <w:div w:id="294138375">
                  <w:marLeft w:val="0"/>
                  <w:marRight w:val="0"/>
                  <w:marTop w:val="0"/>
                  <w:marBottom w:val="0"/>
                  <w:divBdr>
                    <w:top w:val="none" w:sz="0" w:space="0" w:color="auto"/>
                    <w:left w:val="none" w:sz="0" w:space="0" w:color="auto"/>
                    <w:bottom w:val="none" w:sz="0" w:space="0" w:color="auto"/>
                    <w:right w:val="none" w:sz="0" w:space="0" w:color="auto"/>
                  </w:divBdr>
                </w:div>
                <w:div w:id="294138390">
                  <w:marLeft w:val="0"/>
                  <w:marRight w:val="0"/>
                  <w:marTop w:val="0"/>
                  <w:marBottom w:val="0"/>
                  <w:divBdr>
                    <w:top w:val="none" w:sz="0" w:space="0" w:color="auto"/>
                    <w:left w:val="none" w:sz="0" w:space="0" w:color="auto"/>
                    <w:bottom w:val="none" w:sz="0" w:space="0" w:color="auto"/>
                    <w:right w:val="none" w:sz="0" w:space="0" w:color="auto"/>
                  </w:divBdr>
                </w:div>
                <w:div w:id="294138480">
                  <w:marLeft w:val="0"/>
                  <w:marRight w:val="0"/>
                  <w:marTop w:val="0"/>
                  <w:marBottom w:val="0"/>
                  <w:divBdr>
                    <w:top w:val="none" w:sz="0" w:space="0" w:color="auto"/>
                    <w:left w:val="none" w:sz="0" w:space="0" w:color="auto"/>
                    <w:bottom w:val="none" w:sz="0" w:space="0" w:color="auto"/>
                    <w:right w:val="none" w:sz="0" w:space="0" w:color="auto"/>
                  </w:divBdr>
                </w:div>
                <w:div w:id="294138660">
                  <w:marLeft w:val="0"/>
                  <w:marRight w:val="0"/>
                  <w:marTop w:val="0"/>
                  <w:marBottom w:val="0"/>
                  <w:divBdr>
                    <w:top w:val="none" w:sz="0" w:space="0" w:color="auto"/>
                    <w:left w:val="none" w:sz="0" w:space="0" w:color="auto"/>
                    <w:bottom w:val="none" w:sz="0" w:space="0" w:color="auto"/>
                    <w:right w:val="none" w:sz="0" w:space="0" w:color="auto"/>
                  </w:divBdr>
                </w:div>
                <w:div w:id="294138763">
                  <w:marLeft w:val="0"/>
                  <w:marRight w:val="0"/>
                  <w:marTop w:val="0"/>
                  <w:marBottom w:val="0"/>
                  <w:divBdr>
                    <w:top w:val="none" w:sz="0" w:space="0" w:color="auto"/>
                    <w:left w:val="none" w:sz="0" w:space="0" w:color="auto"/>
                    <w:bottom w:val="none" w:sz="0" w:space="0" w:color="auto"/>
                    <w:right w:val="none" w:sz="0" w:space="0" w:color="auto"/>
                  </w:divBdr>
                </w:div>
                <w:div w:id="294138811">
                  <w:marLeft w:val="0"/>
                  <w:marRight w:val="0"/>
                  <w:marTop w:val="0"/>
                  <w:marBottom w:val="0"/>
                  <w:divBdr>
                    <w:top w:val="none" w:sz="0" w:space="0" w:color="auto"/>
                    <w:left w:val="none" w:sz="0" w:space="0" w:color="auto"/>
                    <w:bottom w:val="none" w:sz="0" w:space="0" w:color="auto"/>
                    <w:right w:val="none" w:sz="0" w:space="0" w:color="auto"/>
                  </w:divBdr>
                </w:div>
                <w:div w:id="294139053">
                  <w:marLeft w:val="0"/>
                  <w:marRight w:val="0"/>
                  <w:marTop w:val="0"/>
                  <w:marBottom w:val="0"/>
                  <w:divBdr>
                    <w:top w:val="none" w:sz="0" w:space="0" w:color="auto"/>
                    <w:left w:val="none" w:sz="0" w:space="0" w:color="auto"/>
                    <w:bottom w:val="none" w:sz="0" w:space="0" w:color="auto"/>
                    <w:right w:val="none" w:sz="0" w:space="0" w:color="auto"/>
                  </w:divBdr>
                </w:div>
                <w:div w:id="294139064">
                  <w:marLeft w:val="0"/>
                  <w:marRight w:val="0"/>
                  <w:marTop w:val="0"/>
                  <w:marBottom w:val="0"/>
                  <w:divBdr>
                    <w:top w:val="none" w:sz="0" w:space="0" w:color="auto"/>
                    <w:left w:val="none" w:sz="0" w:space="0" w:color="auto"/>
                    <w:bottom w:val="none" w:sz="0" w:space="0" w:color="auto"/>
                    <w:right w:val="none" w:sz="0" w:space="0" w:color="auto"/>
                  </w:divBdr>
                </w:div>
                <w:div w:id="294139276">
                  <w:marLeft w:val="0"/>
                  <w:marRight w:val="0"/>
                  <w:marTop w:val="0"/>
                  <w:marBottom w:val="0"/>
                  <w:divBdr>
                    <w:top w:val="none" w:sz="0" w:space="0" w:color="auto"/>
                    <w:left w:val="none" w:sz="0" w:space="0" w:color="auto"/>
                    <w:bottom w:val="none" w:sz="0" w:space="0" w:color="auto"/>
                    <w:right w:val="none" w:sz="0" w:space="0" w:color="auto"/>
                  </w:divBdr>
                </w:div>
                <w:div w:id="294139497">
                  <w:marLeft w:val="0"/>
                  <w:marRight w:val="0"/>
                  <w:marTop w:val="0"/>
                  <w:marBottom w:val="0"/>
                  <w:divBdr>
                    <w:top w:val="none" w:sz="0" w:space="0" w:color="auto"/>
                    <w:left w:val="none" w:sz="0" w:space="0" w:color="auto"/>
                    <w:bottom w:val="none" w:sz="0" w:space="0" w:color="auto"/>
                    <w:right w:val="none" w:sz="0" w:space="0" w:color="auto"/>
                  </w:divBdr>
                </w:div>
                <w:div w:id="294139855">
                  <w:marLeft w:val="0"/>
                  <w:marRight w:val="0"/>
                  <w:marTop w:val="0"/>
                  <w:marBottom w:val="0"/>
                  <w:divBdr>
                    <w:top w:val="none" w:sz="0" w:space="0" w:color="auto"/>
                    <w:left w:val="none" w:sz="0" w:space="0" w:color="auto"/>
                    <w:bottom w:val="none" w:sz="0" w:space="0" w:color="auto"/>
                    <w:right w:val="none" w:sz="0" w:space="0" w:color="auto"/>
                  </w:divBdr>
                </w:div>
                <w:div w:id="294139859">
                  <w:marLeft w:val="0"/>
                  <w:marRight w:val="0"/>
                  <w:marTop w:val="0"/>
                  <w:marBottom w:val="0"/>
                  <w:divBdr>
                    <w:top w:val="none" w:sz="0" w:space="0" w:color="auto"/>
                    <w:left w:val="none" w:sz="0" w:space="0" w:color="auto"/>
                    <w:bottom w:val="none" w:sz="0" w:space="0" w:color="auto"/>
                    <w:right w:val="none" w:sz="0" w:space="0" w:color="auto"/>
                  </w:divBdr>
                </w:div>
                <w:div w:id="294139888">
                  <w:marLeft w:val="0"/>
                  <w:marRight w:val="0"/>
                  <w:marTop w:val="0"/>
                  <w:marBottom w:val="0"/>
                  <w:divBdr>
                    <w:top w:val="none" w:sz="0" w:space="0" w:color="auto"/>
                    <w:left w:val="none" w:sz="0" w:space="0" w:color="auto"/>
                    <w:bottom w:val="none" w:sz="0" w:space="0" w:color="auto"/>
                    <w:right w:val="none" w:sz="0" w:space="0" w:color="auto"/>
                  </w:divBdr>
                </w:div>
                <w:div w:id="294139969">
                  <w:marLeft w:val="0"/>
                  <w:marRight w:val="0"/>
                  <w:marTop w:val="0"/>
                  <w:marBottom w:val="0"/>
                  <w:divBdr>
                    <w:top w:val="none" w:sz="0" w:space="0" w:color="auto"/>
                    <w:left w:val="none" w:sz="0" w:space="0" w:color="auto"/>
                    <w:bottom w:val="none" w:sz="0" w:space="0" w:color="auto"/>
                    <w:right w:val="none" w:sz="0" w:space="0" w:color="auto"/>
                  </w:divBdr>
                </w:div>
                <w:div w:id="294140043">
                  <w:marLeft w:val="0"/>
                  <w:marRight w:val="0"/>
                  <w:marTop w:val="0"/>
                  <w:marBottom w:val="0"/>
                  <w:divBdr>
                    <w:top w:val="none" w:sz="0" w:space="0" w:color="auto"/>
                    <w:left w:val="none" w:sz="0" w:space="0" w:color="auto"/>
                    <w:bottom w:val="none" w:sz="0" w:space="0" w:color="auto"/>
                    <w:right w:val="none" w:sz="0" w:space="0" w:color="auto"/>
                  </w:divBdr>
                </w:div>
                <w:div w:id="294140181">
                  <w:marLeft w:val="0"/>
                  <w:marRight w:val="0"/>
                  <w:marTop w:val="0"/>
                  <w:marBottom w:val="0"/>
                  <w:divBdr>
                    <w:top w:val="none" w:sz="0" w:space="0" w:color="auto"/>
                    <w:left w:val="none" w:sz="0" w:space="0" w:color="auto"/>
                    <w:bottom w:val="none" w:sz="0" w:space="0" w:color="auto"/>
                    <w:right w:val="none" w:sz="0" w:space="0" w:color="auto"/>
                  </w:divBdr>
                </w:div>
                <w:div w:id="294140272">
                  <w:marLeft w:val="0"/>
                  <w:marRight w:val="0"/>
                  <w:marTop w:val="0"/>
                  <w:marBottom w:val="0"/>
                  <w:divBdr>
                    <w:top w:val="none" w:sz="0" w:space="0" w:color="auto"/>
                    <w:left w:val="none" w:sz="0" w:space="0" w:color="auto"/>
                    <w:bottom w:val="none" w:sz="0" w:space="0" w:color="auto"/>
                    <w:right w:val="none" w:sz="0" w:space="0" w:color="auto"/>
                  </w:divBdr>
                </w:div>
                <w:div w:id="294140298">
                  <w:marLeft w:val="0"/>
                  <w:marRight w:val="0"/>
                  <w:marTop w:val="0"/>
                  <w:marBottom w:val="0"/>
                  <w:divBdr>
                    <w:top w:val="none" w:sz="0" w:space="0" w:color="auto"/>
                    <w:left w:val="none" w:sz="0" w:space="0" w:color="auto"/>
                    <w:bottom w:val="none" w:sz="0" w:space="0" w:color="auto"/>
                    <w:right w:val="none" w:sz="0" w:space="0" w:color="auto"/>
                  </w:divBdr>
                </w:div>
                <w:div w:id="294140344">
                  <w:marLeft w:val="0"/>
                  <w:marRight w:val="0"/>
                  <w:marTop w:val="0"/>
                  <w:marBottom w:val="0"/>
                  <w:divBdr>
                    <w:top w:val="none" w:sz="0" w:space="0" w:color="auto"/>
                    <w:left w:val="none" w:sz="0" w:space="0" w:color="auto"/>
                    <w:bottom w:val="none" w:sz="0" w:space="0" w:color="auto"/>
                    <w:right w:val="none" w:sz="0" w:space="0" w:color="auto"/>
                  </w:divBdr>
                </w:div>
                <w:div w:id="294140611">
                  <w:marLeft w:val="0"/>
                  <w:marRight w:val="0"/>
                  <w:marTop w:val="0"/>
                  <w:marBottom w:val="0"/>
                  <w:divBdr>
                    <w:top w:val="none" w:sz="0" w:space="0" w:color="auto"/>
                    <w:left w:val="none" w:sz="0" w:space="0" w:color="auto"/>
                    <w:bottom w:val="none" w:sz="0" w:space="0" w:color="auto"/>
                    <w:right w:val="none" w:sz="0" w:space="0" w:color="auto"/>
                  </w:divBdr>
                </w:div>
                <w:div w:id="294141083">
                  <w:marLeft w:val="0"/>
                  <w:marRight w:val="0"/>
                  <w:marTop w:val="0"/>
                  <w:marBottom w:val="0"/>
                  <w:divBdr>
                    <w:top w:val="none" w:sz="0" w:space="0" w:color="auto"/>
                    <w:left w:val="none" w:sz="0" w:space="0" w:color="auto"/>
                    <w:bottom w:val="none" w:sz="0" w:space="0" w:color="auto"/>
                    <w:right w:val="none" w:sz="0" w:space="0" w:color="auto"/>
                  </w:divBdr>
                </w:div>
                <w:div w:id="294141371">
                  <w:marLeft w:val="0"/>
                  <w:marRight w:val="0"/>
                  <w:marTop w:val="0"/>
                  <w:marBottom w:val="0"/>
                  <w:divBdr>
                    <w:top w:val="none" w:sz="0" w:space="0" w:color="auto"/>
                    <w:left w:val="none" w:sz="0" w:space="0" w:color="auto"/>
                    <w:bottom w:val="none" w:sz="0" w:space="0" w:color="auto"/>
                    <w:right w:val="none" w:sz="0" w:space="0" w:color="auto"/>
                  </w:divBdr>
                </w:div>
                <w:div w:id="294141373">
                  <w:marLeft w:val="0"/>
                  <w:marRight w:val="0"/>
                  <w:marTop w:val="0"/>
                  <w:marBottom w:val="0"/>
                  <w:divBdr>
                    <w:top w:val="none" w:sz="0" w:space="0" w:color="auto"/>
                    <w:left w:val="none" w:sz="0" w:space="0" w:color="auto"/>
                    <w:bottom w:val="none" w:sz="0" w:space="0" w:color="auto"/>
                    <w:right w:val="none" w:sz="0" w:space="0" w:color="auto"/>
                  </w:divBdr>
                </w:div>
                <w:div w:id="294141380">
                  <w:marLeft w:val="0"/>
                  <w:marRight w:val="0"/>
                  <w:marTop w:val="0"/>
                  <w:marBottom w:val="0"/>
                  <w:divBdr>
                    <w:top w:val="none" w:sz="0" w:space="0" w:color="auto"/>
                    <w:left w:val="none" w:sz="0" w:space="0" w:color="auto"/>
                    <w:bottom w:val="none" w:sz="0" w:space="0" w:color="auto"/>
                    <w:right w:val="none" w:sz="0" w:space="0" w:color="auto"/>
                  </w:divBdr>
                </w:div>
                <w:div w:id="294141536">
                  <w:marLeft w:val="0"/>
                  <w:marRight w:val="0"/>
                  <w:marTop w:val="0"/>
                  <w:marBottom w:val="0"/>
                  <w:divBdr>
                    <w:top w:val="none" w:sz="0" w:space="0" w:color="auto"/>
                    <w:left w:val="none" w:sz="0" w:space="0" w:color="auto"/>
                    <w:bottom w:val="none" w:sz="0" w:space="0" w:color="auto"/>
                    <w:right w:val="none" w:sz="0" w:space="0" w:color="auto"/>
                  </w:divBdr>
                </w:div>
                <w:div w:id="294141636">
                  <w:marLeft w:val="0"/>
                  <w:marRight w:val="0"/>
                  <w:marTop w:val="0"/>
                  <w:marBottom w:val="0"/>
                  <w:divBdr>
                    <w:top w:val="none" w:sz="0" w:space="0" w:color="auto"/>
                    <w:left w:val="none" w:sz="0" w:space="0" w:color="auto"/>
                    <w:bottom w:val="none" w:sz="0" w:space="0" w:color="auto"/>
                    <w:right w:val="none" w:sz="0" w:space="0" w:color="auto"/>
                  </w:divBdr>
                </w:div>
                <w:div w:id="294141793">
                  <w:marLeft w:val="0"/>
                  <w:marRight w:val="0"/>
                  <w:marTop w:val="0"/>
                  <w:marBottom w:val="0"/>
                  <w:divBdr>
                    <w:top w:val="none" w:sz="0" w:space="0" w:color="auto"/>
                    <w:left w:val="none" w:sz="0" w:space="0" w:color="auto"/>
                    <w:bottom w:val="none" w:sz="0" w:space="0" w:color="auto"/>
                    <w:right w:val="none" w:sz="0" w:space="0" w:color="auto"/>
                  </w:divBdr>
                </w:div>
                <w:div w:id="294141817">
                  <w:marLeft w:val="0"/>
                  <w:marRight w:val="0"/>
                  <w:marTop w:val="0"/>
                  <w:marBottom w:val="0"/>
                  <w:divBdr>
                    <w:top w:val="none" w:sz="0" w:space="0" w:color="auto"/>
                    <w:left w:val="none" w:sz="0" w:space="0" w:color="auto"/>
                    <w:bottom w:val="none" w:sz="0" w:space="0" w:color="auto"/>
                    <w:right w:val="none" w:sz="0" w:space="0" w:color="auto"/>
                  </w:divBdr>
                </w:div>
                <w:div w:id="294141819">
                  <w:marLeft w:val="0"/>
                  <w:marRight w:val="0"/>
                  <w:marTop w:val="0"/>
                  <w:marBottom w:val="0"/>
                  <w:divBdr>
                    <w:top w:val="none" w:sz="0" w:space="0" w:color="auto"/>
                    <w:left w:val="none" w:sz="0" w:space="0" w:color="auto"/>
                    <w:bottom w:val="none" w:sz="0" w:space="0" w:color="auto"/>
                    <w:right w:val="none" w:sz="0" w:space="0" w:color="auto"/>
                  </w:divBdr>
                </w:div>
                <w:div w:id="294142068">
                  <w:marLeft w:val="0"/>
                  <w:marRight w:val="0"/>
                  <w:marTop w:val="0"/>
                  <w:marBottom w:val="0"/>
                  <w:divBdr>
                    <w:top w:val="none" w:sz="0" w:space="0" w:color="auto"/>
                    <w:left w:val="none" w:sz="0" w:space="0" w:color="auto"/>
                    <w:bottom w:val="none" w:sz="0" w:space="0" w:color="auto"/>
                    <w:right w:val="none" w:sz="0" w:space="0" w:color="auto"/>
                  </w:divBdr>
                </w:div>
                <w:div w:id="294142082">
                  <w:marLeft w:val="0"/>
                  <w:marRight w:val="0"/>
                  <w:marTop w:val="0"/>
                  <w:marBottom w:val="0"/>
                  <w:divBdr>
                    <w:top w:val="none" w:sz="0" w:space="0" w:color="auto"/>
                    <w:left w:val="none" w:sz="0" w:space="0" w:color="auto"/>
                    <w:bottom w:val="none" w:sz="0" w:space="0" w:color="auto"/>
                    <w:right w:val="none" w:sz="0" w:space="0" w:color="auto"/>
                  </w:divBdr>
                </w:div>
                <w:div w:id="294142685">
                  <w:marLeft w:val="0"/>
                  <w:marRight w:val="0"/>
                  <w:marTop w:val="0"/>
                  <w:marBottom w:val="0"/>
                  <w:divBdr>
                    <w:top w:val="none" w:sz="0" w:space="0" w:color="auto"/>
                    <w:left w:val="none" w:sz="0" w:space="0" w:color="auto"/>
                    <w:bottom w:val="none" w:sz="0" w:space="0" w:color="auto"/>
                    <w:right w:val="none" w:sz="0" w:space="0" w:color="auto"/>
                  </w:divBdr>
                </w:div>
                <w:div w:id="294142695">
                  <w:marLeft w:val="0"/>
                  <w:marRight w:val="0"/>
                  <w:marTop w:val="0"/>
                  <w:marBottom w:val="0"/>
                  <w:divBdr>
                    <w:top w:val="none" w:sz="0" w:space="0" w:color="auto"/>
                    <w:left w:val="none" w:sz="0" w:space="0" w:color="auto"/>
                    <w:bottom w:val="none" w:sz="0" w:space="0" w:color="auto"/>
                    <w:right w:val="none" w:sz="0" w:space="0" w:color="auto"/>
                  </w:divBdr>
                </w:div>
                <w:div w:id="294142783">
                  <w:marLeft w:val="0"/>
                  <w:marRight w:val="0"/>
                  <w:marTop w:val="0"/>
                  <w:marBottom w:val="0"/>
                  <w:divBdr>
                    <w:top w:val="none" w:sz="0" w:space="0" w:color="auto"/>
                    <w:left w:val="none" w:sz="0" w:space="0" w:color="auto"/>
                    <w:bottom w:val="none" w:sz="0" w:space="0" w:color="auto"/>
                    <w:right w:val="none" w:sz="0" w:space="0" w:color="auto"/>
                  </w:divBdr>
                </w:div>
                <w:div w:id="294142807">
                  <w:marLeft w:val="0"/>
                  <w:marRight w:val="0"/>
                  <w:marTop w:val="0"/>
                  <w:marBottom w:val="0"/>
                  <w:divBdr>
                    <w:top w:val="none" w:sz="0" w:space="0" w:color="auto"/>
                    <w:left w:val="none" w:sz="0" w:space="0" w:color="auto"/>
                    <w:bottom w:val="none" w:sz="0" w:space="0" w:color="auto"/>
                    <w:right w:val="none" w:sz="0" w:space="0" w:color="auto"/>
                  </w:divBdr>
                </w:div>
                <w:div w:id="294143024">
                  <w:marLeft w:val="0"/>
                  <w:marRight w:val="0"/>
                  <w:marTop w:val="0"/>
                  <w:marBottom w:val="0"/>
                  <w:divBdr>
                    <w:top w:val="none" w:sz="0" w:space="0" w:color="auto"/>
                    <w:left w:val="none" w:sz="0" w:space="0" w:color="auto"/>
                    <w:bottom w:val="none" w:sz="0" w:space="0" w:color="auto"/>
                    <w:right w:val="none" w:sz="0" w:space="0" w:color="auto"/>
                  </w:divBdr>
                </w:div>
                <w:div w:id="294143067">
                  <w:marLeft w:val="0"/>
                  <w:marRight w:val="0"/>
                  <w:marTop w:val="0"/>
                  <w:marBottom w:val="0"/>
                  <w:divBdr>
                    <w:top w:val="none" w:sz="0" w:space="0" w:color="auto"/>
                    <w:left w:val="none" w:sz="0" w:space="0" w:color="auto"/>
                    <w:bottom w:val="none" w:sz="0" w:space="0" w:color="auto"/>
                    <w:right w:val="none" w:sz="0" w:space="0" w:color="auto"/>
                  </w:divBdr>
                </w:div>
                <w:div w:id="294143188">
                  <w:marLeft w:val="0"/>
                  <w:marRight w:val="0"/>
                  <w:marTop w:val="0"/>
                  <w:marBottom w:val="0"/>
                  <w:divBdr>
                    <w:top w:val="none" w:sz="0" w:space="0" w:color="auto"/>
                    <w:left w:val="none" w:sz="0" w:space="0" w:color="auto"/>
                    <w:bottom w:val="none" w:sz="0" w:space="0" w:color="auto"/>
                    <w:right w:val="none" w:sz="0" w:space="0" w:color="auto"/>
                  </w:divBdr>
                </w:div>
                <w:div w:id="294143211">
                  <w:marLeft w:val="0"/>
                  <w:marRight w:val="0"/>
                  <w:marTop w:val="0"/>
                  <w:marBottom w:val="0"/>
                  <w:divBdr>
                    <w:top w:val="none" w:sz="0" w:space="0" w:color="auto"/>
                    <w:left w:val="none" w:sz="0" w:space="0" w:color="auto"/>
                    <w:bottom w:val="none" w:sz="0" w:space="0" w:color="auto"/>
                    <w:right w:val="none" w:sz="0" w:space="0" w:color="auto"/>
                  </w:divBdr>
                </w:div>
                <w:div w:id="294143224">
                  <w:marLeft w:val="0"/>
                  <w:marRight w:val="0"/>
                  <w:marTop w:val="0"/>
                  <w:marBottom w:val="0"/>
                  <w:divBdr>
                    <w:top w:val="none" w:sz="0" w:space="0" w:color="auto"/>
                    <w:left w:val="none" w:sz="0" w:space="0" w:color="auto"/>
                    <w:bottom w:val="none" w:sz="0" w:space="0" w:color="auto"/>
                    <w:right w:val="none" w:sz="0" w:space="0" w:color="auto"/>
                  </w:divBdr>
                </w:div>
                <w:div w:id="294143312">
                  <w:marLeft w:val="0"/>
                  <w:marRight w:val="0"/>
                  <w:marTop w:val="0"/>
                  <w:marBottom w:val="0"/>
                  <w:divBdr>
                    <w:top w:val="none" w:sz="0" w:space="0" w:color="auto"/>
                    <w:left w:val="none" w:sz="0" w:space="0" w:color="auto"/>
                    <w:bottom w:val="none" w:sz="0" w:space="0" w:color="auto"/>
                    <w:right w:val="none" w:sz="0" w:space="0" w:color="auto"/>
                  </w:divBdr>
                </w:div>
                <w:div w:id="294143680">
                  <w:marLeft w:val="0"/>
                  <w:marRight w:val="0"/>
                  <w:marTop w:val="0"/>
                  <w:marBottom w:val="0"/>
                  <w:divBdr>
                    <w:top w:val="none" w:sz="0" w:space="0" w:color="auto"/>
                    <w:left w:val="none" w:sz="0" w:space="0" w:color="auto"/>
                    <w:bottom w:val="none" w:sz="0" w:space="0" w:color="auto"/>
                    <w:right w:val="none" w:sz="0" w:space="0" w:color="auto"/>
                  </w:divBdr>
                </w:div>
                <w:div w:id="294144014">
                  <w:marLeft w:val="0"/>
                  <w:marRight w:val="0"/>
                  <w:marTop w:val="0"/>
                  <w:marBottom w:val="0"/>
                  <w:divBdr>
                    <w:top w:val="none" w:sz="0" w:space="0" w:color="auto"/>
                    <w:left w:val="none" w:sz="0" w:space="0" w:color="auto"/>
                    <w:bottom w:val="none" w:sz="0" w:space="0" w:color="auto"/>
                    <w:right w:val="none" w:sz="0" w:space="0" w:color="auto"/>
                  </w:divBdr>
                </w:div>
                <w:div w:id="294144267">
                  <w:marLeft w:val="0"/>
                  <w:marRight w:val="0"/>
                  <w:marTop w:val="0"/>
                  <w:marBottom w:val="0"/>
                  <w:divBdr>
                    <w:top w:val="none" w:sz="0" w:space="0" w:color="auto"/>
                    <w:left w:val="none" w:sz="0" w:space="0" w:color="auto"/>
                    <w:bottom w:val="none" w:sz="0" w:space="0" w:color="auto"/>
                    <w:right w:val="none" w:sz="0" w:space="0" w:color="auto"/>
                  </w:divBdr>
                </w:div>
                <w:div w:id="294144406">
                  <w:marLeft w:val="0"/>
                  <w:marRight w:val="0"/>
                  <w:marTop w:val="0"/>
                  <w:marBottom w:val="0"/>
                  <w:divBdr>
                    <w:top w:val="none" w:sz="0" w:space="0" w:color="auto"/>
                    <w:left w:val="none" w:sz="0" w:space="0" w:color="auto"/>
                    <w:bottom w:val="none" w:sz="0" w:space="0" w:color="auto"/>
                    <w:right w:val="none" w:sz="0" w:space="0" w:color="auto"/>
                  </w:divBdr>
                </w:div>
                <w:div w:id="294144475">
                  <w:marLeft w:val="0"/>
                  <w:marRight w:val="0"/>
                  <w:marTop w:val="0"/>
                  <w:marBottom w:val="0"/>
                  <w:divBdr>
                    <w:top w:val="none" w:sz="0" w:space="0" w:color="auto"/>
                    <w:left w:val="none" w:sz="0" w:space="0" w:color="auto"/>
                    <w:bottom w:val="none" w:sz="0" w:space="0" w:color="auto"/>
                    <w:right w:val="none" w:sz="0" w:space="0" w:color="auto"/>
                  </w:divBdr>
                </w:div>
                <w:div w:id="294144591">
                  <w:marLeft w:val="0"/>
                  <w:marRight w:val="0"/>
                  <w:marTop w:val="0"/>
                  <w:marBottom w:val="0"/>
                  <w:divBdr>
                    <w:top w:val="none" w:sz="0" w:space="0" w:color="auto"/>
                    <w:left w:val="none" w:sz="0" w:space="0" w:color="auto"/>
                    <w:bottom w:val="none" w:sz="0" w:space="0" w:color="auto"/>
                    <w:right w:val="none" w:sz="0" w:space="0" w:color="auto"/>
                  </w:divBdr>
                </w:div>
                <w:div w:id="294144687">
                  <w:marLeft w:val="0"/>
                  <w:marRight w:val="0"/>
                  <w:marTop w:val="0"/>
                  <w:marBottom w:val="0"/>
                  <w:divBdr>
                    <w:top w:val="none" w:sz="0" w:space="0" w:color="auto"/>
                    <w:left w:val="none" w:sz="0" w:space="0" w:color="auto"/>
                    <w:bottom w:val="none" w:sz="0" w:space="0" w:color="auto"/>
                    <w:right w:val="none" w:sz="0" w:space="0" w:color="auto"/>
                  </w:divBdr>
                </w:div>
                <w:div w:id="294144721">
                  <w:marLeft w:val="0"/>
                  <w:marRight w:val="0"/>
                  <w:marTop w:val="0"/>
                  <w:marBottom w:val="0"/>
                  <w:divBdr>
                    <w:top w:val="none" w:sz="0" w:space="0" w:color="auto"/>
                    <w:left w:val="none" w:sz="0" w:space="0" w:color="auto"/>
                    <w:bottom w:val="none" w:sz="0" w:space="0" w:color="auto"/>
                    <w:right w:val="none" w:sz="0" w:space="0" w:color="auto"/>
                  </w:divBdr>
                </w:div>
                <w:div w:id="294144775">
                  <w:marLeft w:val="0"/>
                  <w:marRight w:val="0"/>
                  <w:marTop w:val="0"/>
                  <w:marBottom w:val="0"/>
                  <w:divBdr>
                    <w:top w:val="none" w:sz="0" w:space="0" w:color="auto"/>
                    <w:left w:val="none" w:sz="0" w:space="0" w:color="auto"/>
                    <w:bottom w:val="none" w:sz="0" w:space="0" w:color="auto"/>
                    <w:right w:val="none" w:sz="0" w:space="0" w:color="auto"/>
                  </w:divBdr>
                </w:div>
                <w:div w:id="294145368">
                  <w:marLeft w:val="0"/>
                  <w:marRight w:val="0"/>
                  <w:marTop w:val="0"/>
                  <w:marBottom w:val="0"/>
                  <w:divBdr>
                    <w:top w:val="none" w:sz="0" w:space="0" w:color="auto"/>
                    <w:left w:val="none" w:sz="0" w:space="0" w:color="auto"/>
                    <w:bottom w:val="none" w:sz="0" w:space="0" w:color="auto"/>
                    <w:right w:val="none" w:sz="0" w:space="0" w:color="auto"/>
                  </w:divBdr>
                </w:div>
                <w:div w:id="294145516">
                  <w:marLeft w:val="0"/>
                  <w:marRight w:val="0"/>
                  <w:marTop w:val="0"/>
                  <w:marBottom w:val="0"/>
                  <w:divBdr>
                    <w:top w:val="none" w:sz="0" w:space="0" w:color="auto"/>
                    <w:left w:val="none" w:sz="0" w:space="0" w:color="auto"/>
                    <w:bottom w:val="none" w:sz="0" w:space="0" w:color="auto"/>
                    <w:right w:val="none" w:sz="0" w:space="0" w:color="auto"/>
                  </w:divBdr>
                </w:div>
                <w:div w:id="294146165">
                  <w:marLeft w:val="0"/>
                  <w:marRight w:val="0"/>
                  <w:marTop w:val="0"/>
                  <w:marBottom w:val="0"/>
                  <w:divBdr>
                    <w:top w:val="none" w:sz="0" w:space="0" w:color="auto"/>
                    <w:left w:val="none" w:sz="0" w:space="0" w:color="auto"/>
                    <w:bottom w:val="none" w:sz="0" w:space="0" w:color="auto"/>
                    <w:right w:val="none" w:sz="0" w:space="0" w:color="auto"/>
                  </w:divBdr>
                </w:div>
                <w:div w:id="294146248">
                  <w:marLeft w:val="0"/>
                  <w:marRight w:val="0"/>
                  <w:marTop w:val="0"/>
                  <w:marBottom w:val="0"/>
                  <w:divBdr>
                    <w:top w:val="none" w:sz="0" w:space="0" w:color="auto"/>
                    <w:left w:val="none" w:sz="0" w:space="0" w:color="auto"/>
                    <w:bottom w:val="none" w:sz="0" w:space="0" w:color="auto"/>
                    <w:right w:val="none" w:sz="0" w:space="0" w:color="auto"/>
                  </w:divBdr>
                </w:div>
                <w:div w:id="294146614">
                  <w:marLeft w:val="0"/>
                  <w:marRight w:val="0"/>
                  <w:marTop w:val="0"/>
                  <w:marBottom w:val="0"/>
                  <w:divBdr>
                    <w:top w:val="none" w:sz="0" w:space="0" w:color="auto"/>
                    <w:left w:val="none" w:sz="0" w:space="0" w:color="auto"/>
                    <w:bottom w:val="none" w:sz="0" w:space="0" w:color="auto"/>
                    <w:right w:val="none" w:sz="0" w:space="0" w:color="auto"/>
                  </w:divBdr>
                </w:div>
                <w:div w:id="294146954">
                  <w:marLeft w:val="0"/>
                  <w:marRight w:val="0"/>
                  <w:marTop w:val="0"/>
                  <w:marBottom w:val="0"/>
                  <w:divBdr>
                    <w:top w:val="none" w:sz="0" w:space="0" w:color="auto"/>
                    <w:left w:val="none" w:sz="0" w:space="0" w:color="auto"/>
                    <w:bottom w:val="none" w:sz="0" w:space="0" w:color="auto"/>
                    <w:right w:val="none" w:sz="0" w:space="0" w:color="auto"/>
                  </w:divBdr>
                </w:div>
                <w:div w:id="294147171">
                  <w:marLeft w:val="0"/>
                  <w:marRight w:val="0"/>
                  <w:marTop w:val="0"/>
                  <w:marBottom w:val="0"/>
                  <w:divBdr>
                    <w:top w:val="none" w:sz="0" w:space="0" w:color="auto"/>
                    <w:left w:val="none" w:sz="0" w:space="0" w:color="auto"/>
                    <w:bottom w:val="none" w:sz="0" w:space="0" w:color="auto"/>
                    <w:right w:val="none" w:sz="0" w:space="0" w:color="auto"/>
                  </w:divBdr>
                </w:div>
                <w:div w:id="294147299">
                  <w:marLeft w:val="0"/>
                  <w:marRight w:val="0"/>
                  <w:marTop w:val="0"/>
                  <w:marBottom w:val="0"/>
                  <w:divBdr>
                    <w:top w:val="none" w:sz="0" w:space="0" w:color="auto"/>
                    <w:left w:val="none" w:sz="0" w:space="0" w:color="auto"/>
                    <w:bottom w:val="none" w:sz="0" w:space="0" w:color="auto"/>
                    <w:right w:val="none" w:sz="0" w:space="0" w:color="auto"/>
                  </w:divBdr>
                </w:div>
                <w:div w:id="294147361">
                  <w:marLeft w:val="0"/>
                  <w:marRight w:val="0"/>
                  <w:marTop w:val="0"/>
                  <w:marBottom w:val="0"/>
                  <w:divBdr>
                    <w:top w:val="none" w:sz="0" w:space="0" w:color="auto"/>
                    <w:left w:val="none" w:sz="0" w:space="0" w:color="auto"/>
                    <w:bottom w:val="none" w:sz="0" w:space="0" w:color="auto"/>
                    <w:right w:val="none" w:sz="0" w:space="0" w:color="auto"/>
                  </w:divBdr>
                </w:div>
                <w:div w:id="294147394">
                  <w:marLeft w:val="0"/>
                  <w:marRight w:val="0"/>
                  <w:marTop w:val="0"/>
                  <w:marBottom w:val="0"/>
                  <w:divBdr>
                    <w:top w:val="none" w:sz="0" w:space="0" w:color="auto"/>
                    <w:left w:val="none" w:sz="0" w:space="0" w:color="auto"/>
                    <w:bottom w:val="none" w:sz="0" w:space="0" w:color="auto"/>
                    <w:right w:val="none" w:sz="0" w:space="0" w:color="auto"/>
                  </w:divBdr>
                </w:div>
                <w:div w:id="294147399">
                  <w:marLeft w:val="0"/>
                  <w:marRight w:val="0"/>
                  <w:marTop w:val="0"/>
                  <w:marBottom w:val="0"/>
                  <w:divBdr>
                    <w:top w:val="none" w:sz="0" w:space="0" w:color="auto"/>
                    <w:left w:val="none" w:sz="0" w:space="0" w:color="auto"/>
                    <w:bottom w:val="none" w:sz="0" w:space="0" w:color="auto"/>
                    <w:right w:val="none" w:sz="0" w:space="0" w:color="auto"/>
                  </w:divBdr>
                </w:div>
                <w:div w:id="294147511">
                  <w:marLeft w:val="0"/>
                  <w:marRight w:val="0"/>
                  <w:marTop w:val="0"/>
                  <w:marBottom w:val="0"/>
                  <w:divBdr>
                    <w:top w:val="none" w:sz="0" w:space="0" w:color="auto"/>
                    <w:left w:val="none" w:sz="0" w:space="0" w:color="auto"/>
                    <w:bottom w:val="none" w:sz="0" w:space="0" w:color="auto"/>
                    <w:right w:val="none" w:sz="0" w:space="0" w:color="auto"/>
                  </w:divBdr>
                </w:div>
                <w:div w:id="294147612">
                  <w:marLeft w:val="0"/>
                  <w:marRight w:val="0"/>
                  <w:marTop w:val="0"/>
                  <w:marBottom w:val="0"/>
                  <w:divBdr>
                    <w:top w:val="none" w:sz="0" w:space="0" w:color="auto"/>
                    <w:left w:val="none" w:sz="0" w:space="0" w:color="auto"/>
                    <w:bottom w:val="none" w:sz="0" w:space="0" w:color="auto"/>
                    <w:right w:val="none" w:sz="0" w:space="0" w:color="auto"/>
                  </w:divBdr>
                </w:div>
                <w:div w:id="294147758">
                  <w:marLeft w:val="0"/>
                  <w:marRight w:val="0"/>
                  <w:marTop w:val="0"/>
                  <w:marBottom w:val="0"/>
                  <w:divBdr>
                    <w:top w:val="none" w:sz="0" w:space="0" w:color="auto"/>
                    <w:left w:val="none" w:sz="0" w:space="0" w:color="auto"/>
                    <w:bottom w:val="none" w:sz="0" w:space="0" w:color="auto"/>
                    <w:right w:val="none" w:sz="0" w:space="0" w:color="auto"/>
                  </w:divBdr>
                </w:div>
                <w:div w:id="294148348">
                  <w:marLeft w:val="0"/>
                  <w:marRight w:val="0"/>
                  <w:marTop w:val="0"/>
                  <w:marBottom w:val="0"/>
                  <w:divBdr>
                    <w:top w:val="none" w:sz="0" w:space="0" w:color="auto"/>
                    <w:left w:val="none" w:sz="0" w:space="0" w:color="auto"/>
                    <w:bottom w:val="none" w:sz="0" w:space="0" w:color="auto"/>
                    <w:right w:val="none" w:sz="0" w:space="0" w:color="auto"/>
                  </w:divBdr>
                </w:div>
                <w:div w:id="294148653">
                  <w:marLeft w:val="0"/>
                  <w:marRight w:val="0"/>
                  <w:marTop w:val="0"/>
                  <w:marBottom w:val="0"/>
                  <w:divBdr>
                    <w:top w:val="none" w:sz="0" w:space="0" w:color="auto"/>
                    <w:left w:val="none" w:sz="0" w:space="0" w:color="auto"/>
                    <w:bottom w:val="none" w:sz="0" w:space="0" w:color="auto"/>
                    <w:right w:val="none" w:sz="0" w:space="0" w:color="auto"/>
                  </w:divBdr>
                </w:div>
                <w:div w:id="294148748">
                  <w:marLeft w:val="0"/>
                  <w:marRight w:val="0"/>
                  <w:marTop w:val="0"/>
                  <w:marBottom w:val="0"/>
                  <w:divBdr>
                    <w:top w:val="none" w:sz="0" w:space="0" w:color="auto"/>
                    <w:left w:val="none" w:sz="0" w:space="0" w:color="auto"/>
                    <w:bottom w:val="none" w:sz="0" w:space="0" w:color="auto"/>
                    <w:right w:val="none" w:sz="0" w:space="0" w:color="auto"/>
                  </w:divBdr>
                </w:div>
                <w:div w:id="294148756">
                  <w:marLeft w:val="0"/>
                  <w:marRight w:val="0"/>
                  <w:marTop w:val="0"/>
                  <w:marBottom w:val="0"/>
                  <w:divBdr>
                    <w:top w:val="none" w:sz="0" w:space="0" w:color="auto"/>
                    <w:left w:val="none" w:sz="0" w:space="0" w:color="auto"/>
                    <w:bottom w:val="none" w:sz="0" w:space="0" w:color="auto"/>
                    <w:right w:val="none" w:sz="0" w:space="0" w:color="auto"/>
                  </w:divBdr>
                </w:div>
                <w:div w:id="294148890">
                  <w:marLeft w:val="0"/>
                  <w:marRight w:val="0"/>
                  <w:marTop w:val="0"/>
                  <w:marBottom w:val="0"/>
                  <w:divBdr>
                    <w:top w:val="none" w:sz="0" w:space="0" w:color="auto"/>
                    <w:left w:val="none" w:sz="0" w:space="0" w:color="auto"/>
                    <w:bottom w:val="none" w:sz="0" w:space="0" w:color="auto"/>
                    <w:right w:val="none" w:sz="0" w:space="0" w:color="auto"/>
                  </w:divBdr>
                </w:div>
                <w:div w:id="294149163">
                  <w:marLeft w:val="0"/>
                  <w:marRight w:val="0"/>
                  <w:marTop w:val="0"/>
                  <w:marBottom w:val="0"/>
                  <w:divBdr>
                    <w:top w:val="none" w:sz="0" w:space="0" w:color="auto"/>
                    <w:left w:val="none" w:sz="0" w:space="0" w:color="auto"/>
                    <w:bottom w:val="none" w:sz="0" w:space="0" w:color="auto"/>
                    <w:right w:val="none" w:sz="0" w:space="0" w:color="auto"/>
                  </w:divBdr>
                </w:div>
                <w:div w:id="294149522">
                  <w:marLeft w:val="0"/>
                  <w:marRight w:val="0"/>
                  <w:marTop w:val="0"/>
                  <w:marBottom w:val="0"/>
                  <w:divBdr>
                    <w:top w:val="none" w:sz="0" w:space="0" w:color="auto"/>
                    <w:left w:val="none" w:sz="0" w:space="0" w:color="auto"/>
                    <w:bottom w:val="none" w:sz="0" w:space="0" w:color="auto"/>
                    <w:right w:val="none" w:sz="0" w:space="0" w:color="auto"/>
                  </w:divBdr>
                </w:div>
                <w:div w:id="294149575">
                  <w:marLeft w:val="0"/>
                  <w:marRight w:val="0"/>
                  <w:marTop w:val="0"/>
                  <w:marBottom w:val="0"/>
                  <w:divBdr>
                    <w:top w:val="none" w:sz="0" w:space="0" w:color="auto"/>
                    <w:left w:val="none" w:sz="0" w:space="0" w:color="auto"/>
                    <w:bottom w:val="none" w:sz="0" w:space="0" w:color="auto"/>
                    <w:right w:val="none" w:sz="0" w:space="0" w:color="auto"/>
                  </w:divBdr>
                </w:div>
                <w:div w:id="294149971">
                  <w:marLeft w:val="0"/>
                  <w:marRight w:val="0"/>
                  <w:marTop w:val="0"/>
                  <w:marBottom w:val="0"/>
                  <w:divBdr>
                    <w:top w:val="none" w:sz="0" w:space="0" w:color="auto"/>
                    <w:left w:val="none" w:sz="0" w:space="0" w:color="auto"/>
                    <w:bottom w:val="none" w:sz="0" w:space="0" w:color="auto"/>
                    <w:right w:val="none" w:sz="0" w:space="0" w:color="auto"/>
                  </w:divBdr>
                </w:div>
                <w:div w:id="294150352">
                  <w:marLeft w:val="0"/>
                  <w:marRight w:val="0"/>
                  <w:marTop w:val="0"/>
                  <w:marBottom w:val="0"/>
                  <w:divBdr>
                    <w:top w:val="none" w:sz="0" w:space="0" w:color="auto"/>
                    <w:left w:val="none" w:sz="0" w:space="0" w:color="auto"/>
                    <w:bottom w:val="none" w:sz="0" w:space="0" w:color="auto"/>
                    <w:right w:val="none" w:sz="0" w:space="0" w:color="auto"/>
                  </w:divBdr>
                </w:div>
                <w:div w:id="294150894">
                  <w:marLeft w:val="0"/>
                  <w:marRight w:val="0"/>
                  <w:marTop w:val="0"/>
                  <w:marBottom w:val="0"/>
                  <w:divBdr>
                    <w:top w:val="none" w:sz="0" w:space="0" w:color="auto"/>
                    <w:left w:val="none" w:sz="0" w:space="0" w:color="auto"/>
                    <w:bottom w:val="none" w:sz="0" w:space="0" w:color="auto"/>
                    <w:right w:val="none" w:sz="0" w:space="0" w:color="auto"/>
                  </w:divBdr>
                </w:div>
                <w:div w:id="294150914">
                  <w:marLeft w:val="0"/>
                  <w:marRight w:val="0"/>
                  <w:marTop w:val="0"/>
                  <w:marBottom w:val="0"/>
                  <w:divBdr>
                    <w:top w:val="none" w:sz="0" w:space="0" w:color="auto"/>
                    <w:left w:val="none" w:sz="0" w:space="0" w:color="auto"/>
                    <w:bottom w:val="none" w:sz="0" w:space="0" w:color="auto"/>
                    <w:right w:val="none" w:sz="0" w:space="0" w:color="auto"/>
                  </w:divBdr>
                </w:div>
                <w:div w:id="294150971">
                  <w:marLeft w:val="0"/>
                  <w:marRight w:val="0"/>
                  <w:marTop w:val="0"/>
                  <w:marBottom w:val="0"/>
                  <w:divBdr>
                    <w:top w:val="none" w:sz="0" w:space="0" w:color="auto"/>
                    <w:left w:val="none" w:sz="0" w:space="0" w:color="auto"/>
                    <w:bottom w:val="none" w:sz="0" w:space="0" w:color="auto"/>
                    <w:right w:val="none" w:sz="0" w:space="0" w:color="auto"/>
                  </w:divBdr>
                </w:div>
                <w:div w:id="294151013">
                  <w:marLeft w:val="0"/>
                  <w:marRight w:val="0"/>
                  <w:marTop w:val="0"/>
                  <w:marBottom w:val="0"/>
                  <w:divBdr>
                    <w:top w:val="none" w:sz="0" w:space="0" w:color="auto"/>
                    <w:left w:val="none" w:sz="0" w:space="0" w:color="auto"/>
                    <w:bottom w:val="none" w:sz="0" w:space="0" w:color="auto"/>
                    <w:right w:val="none" w:sz="0" w:space="0" w:color="auto"/>
                  </w:divBdr>
                </w:div>
                <w:div w:id="294151023">
                  <w:marLeft w:val="0"/>
                  <w:marRight w:val="0"/>
                  <w:marTop w:val="0"/>
                  <w:marBottom w:val="0"/>
                  <w:divBdr>
                    <w:top w:val="none" w:sz="0" w:space="0" w:color="auto"/>
                    <w:left w:val="none" w:sz="0" w:space="0" w:color="auto"/>
                    <w:bottom w:val="none" w:sz="0" w:space="0" w:color="auto"/>
                    <w:right w:val="none" w:sz="0" w:space="0" w:color="auto"/>
                  </w:divBdr>
                </w:div>
                <w:div w:id="294151121">
                  <w:marLeft w:val="0"/>
                  <w:marRight w:val="0"/>
                  <w:marTop w:val="0"/>
                  <w:marBottom w:val="0"/>
                  <w:divBdr>
                    <w:top w:val="none" w:sz="0" w:space="0" w:color="auto"/>
                    <w:left w:val="none" w:sz="0" w:space="0" w:color="auto"/>
                    <w:bottom w:val="none" w:sz="0" w:space="0" w:color="auto"/>
                    <w:right w:val="none" w:sz="0" w:space="0" w:color="auto"/>
                  </w:divBdr>
                </w:div>
                <w:div w:id="294151529">
                  <w:marLeft w:val="0"/>
                  <w:marRight w:val="0"/>
                  <w:marTop w:val="0"/>
                  <w:marBottom w:val="0"/>
                  <w:divBdr>
                    <w:top w:val="none" w:sz="0" w:space="0" w:color="auto"/>
                    <w:left w:val="none" w:sz="0" w:space="0" w:color="auto"/>
                    <w:bottom w:val="none" w:sz="0" w:space="0" w:color="auto"/>
                    <w:right w:val="none" w:sz="0" w:space="0" w:color="auto"/>
                  </w:divBdr>
                </w:div>
                <w:div w:id="294152016">
                  <w:marLeft w:val="0"/>
                  <w:marRight w:val="0"/>
                  <w:marTop w:val="0"/>
                  <w:marBottom w:val="0"/>
                  <w:divBdr>
                    <w:top w:val="none" w:sz="0" w:space="0" w:color="auto"/>
                    <w:left w:val="none" w:sz="0" w:space="0" w:color="auto"/>
                    <w:bottom w:val="none" w:sz="0" w:space="0" w:color="auto"/>
                    <w:right w:val="none" w:sz="0" w:space="0" w:color="auto"/>
                  </w:divBdr>
                </w:div>
                <w:div w:id="294152460">
                  <w:marLeft w:val="0"/>
                  <w:marRight w:val="0"/>
                  <w:marTop w:val="0"/>
                  <w:marBottom w:val="0"/>
                  <w:divBdr>
                    <w:top w:val="none" w:sz="0" w:space="0" w:color="auto"/>
                    <w:left w:val="none" w:sz="0" w:space="0" w:color="auto"/>
                    <w:bottom w:val="none" w:sz="0" w:space="0" w:color="auto"/>
                    <w:right w:val="none" w:sz="0" w:space="0" w:color="auto"/>
                  </w:divBdr>
                </w:div>
                <w:div w:id="294152668">
                  <w:marLeft w:val="0"/>
                  <w:marRight w:val="0"/>
                  <w:marTop w:val="0"/>
                  <w:marBottom w:val="0"/>
                  <w:divBdr>
                    <w:top w:val="none" w:sz="0" w:space="0" w:color="auto"/>
                    <w:left w:val="none" w:sz="0" w:space="0" w:color="auto"/>
                    <w:bottom w:val="none" w:sz="0" w:space="0" w:color="auto"/>
                    <w:right w:val="none" w:sz="0" w:space="0" w:color="auto"/>
                  </w:divBdr>
                </w:div>
                <w:div w:id="294153462">
                  <w:marLeft w:val="0"/>
                  <w:marRight w:val="0"/>
                  <w:marTop w:val="0"/>
                  <w:marBottom w:val="0"/>
                  <w:divBdr>
                    <w:top w:val="none" w:sz="0" w:space="0" w:color="auto"/>
                    <w:left w:val="none" w:sz="0" w:space="0" w:color="auto"/>
                    <w:bottom w:val="none" w:sz="0" w:space="0" w:color="auto"/>
                    <w:right w:val="none" w:sz="0" w:space="0" w:color="auto"/>
                  </w:divBdr>
                </w:div>
                <w:div w:id="294153768">
                  <w:marLeft w:val="0"/>
                  <w:marRight w:val="0"/>
                  <w:marTop w:val="0"/>
                  <w:marBottom w:val="0"/>
                  <w:divBdr>
                    <w:top w:val="none" w:sz="0" w:space="0" w:color="auto"/>
                    <w:left w:val="none" w:sz="0" w:space="0" w:color="auto"/>
                    <w:bottom w:val="none" w:sz="0" w:space="0" w:color="auto"/>
                    <w:right w:val="none" w:sz="0" w:space="0" w:color="auto"/>
                  </w:divBdr>
                </w:div>
                <w:div w:id="294153859">
                  <w:marLeft w:val="0"/>
                  <w:marRight w:val="0"/>
                  <w:marTop w:val="0"/>
                  <w:marBottom w:val="0"/>
                  <w:divBdr>
                    <w:top w:val="none" w:sz="0" w:space="0" w:color="auto"/>
                    <w:left w:val="none" w:sz="0" w:space="0" w:color="auto"/>
                    <w:bottom w:val="none" w:sz="0" w:space="0" w:color="auto"/>
                    <w:right w:val="none" w:sz="0" w:space="0" w:color="auto"/>
                  </w:divBdr>
                </w:div>
                <w:div w:id="294153881">
                  <w:marLeft w:val="0"/>
                  <w:marRight w:val="0"/>
                  <w:marTop w:val="0"/>
                  <w:marBottom w:val="0"/>
                  <w:divBdr>
                    <w:top w:val="none" w:sz="0" w:space="0" w:color="auto"/>
                    <w:left w:val="none" w:sz="0" w:space="0" w:color="auto"/>
                    <w:bottom w:val="none" w:sz="0" w:space="0" w:color="auto"/>
                    <w:right w:val="none" w:sz="0" w:space="0" w:color="auto"/>
                  </w:divBdr>
                </w:div>
                <w:div w:id="294153967">
                  <w:marLeft w:val="0"/>
                  <w:marRight w:val="0"/>
                  <w:marTop w:val="0"/>
                  <w:marBottom w:val="0"/>
                  <w:divBdr>
                    <w:top w:val="none" w:sz="0" w:space="0" w:color="auto"/>
                    <w:left w:val="none" w:sz="0" w:space="0" w:color="auto"/>
                    <w:bottom w:val="none" w:sz="0" w:space="0" w:color="auto"/>
                    <w:right w:val="none" w:sz="0" w:space="0" w:color="auto"/>
                  </w:divBdr>
                </w:div>
                <w:div w:id="294154097">
                  <w:marLeft w:val="0"/>
                  <w:marRight w:val="0"/>
                  <w:marTop w:val="0"/>
                  <w:marBottom w:val="0"/>
                  <w:divBdr>
                    <w:top w:val="none" w:sz="0" w:space="0" w:color="auto"/>
                    <w:left w:val="none" w:sz="0" w:space="0" w:color="auto"/>
                    <w:bottom w:val="none" w:sz="0" w:space="0" w:color="auto"/>
                    <w:right w:val="none" w:sz="0" w:space="0" w:color="auto"/>
                  </w:divBdr>
                </w:div>
                <w:div w:id="294154203">
                  <w:marLeft w:val="0"/>
                  <w:marRight w:val="0"/>
                  <w:marTop w:val="0"/>
                  <w:marBottom w:val="0"/>
                  <w:divBdr>
                    <w:top w:val="none" w:sz="0" w:space="0" w:color="auto"/>
                    <w:left w:val="none" w:sz="0" w:space="0" w:color="auto"/>
                    <w:bottom w:val="none" w:sz="0" w:space="0" w:color="auto"/>
                    <w:right w:val="none" w:sz="0" w:space="0" w:color="auto"/>
                  </w:divBdr>
                </w:div>
                <w:div w:id="294154282">
                  <w:marLeft w:val="0"/>
                  <w:marRight w:val="0"/>
                  <w:marTop w:val="0"/>
                  <w:marBottom w:val="0"/>
                  <w:divBdr>
                    <w:top w:val="none" w:sz="0" w:space="0" w:color="auto"/>
                    <w:left w:val="none" w:sz="0" w:space="0" w:color="auto"/>
                    <w:bottom w:val="none" w:sz="0" w:space="0" w:color="auto"/>
                    <w:right w:val="none" w:sz="0" w:space="0" w:color="auto"/>
                  </w:divBdr>
                </w:div>
                <w:div w:id="294154483">
                  <w:marLeft w:val="0"/>
                  <w:marRight w:val="0"/>
                  <w:marTop w:val="0"/>
                  <w:marBottom w:val="0"/>
                  <w:divBdr>
                    <w:top w:val="none" w:sz="0" w:space="0" w:color="auto"/>
                    <w:left w:val="none" w:sz="0" w:space="0" w:color="auto"/>
                    <w:bottom w:val="none" w:sz="0" w:space="0" w:color="auto"/>
                    <w:right w:val="none" w:sz="0" w:space="0" w:color="auto"/>
                  </w:divBdr>
                </w:div>
                <w:div w:id="294154558">
                  <w:marLeft w:val="0"/>
                  <w:marRight w:val="0"/>
                  <w:marTop w:val="0"/>
                  <w:marBottom w:val="0"/>
                  <w:divBdr>
                    <w:top w:val="none" w:sz="0" w:space="0" w:color="auto"/>
                    <w:left w:val="none" w:sz="0" w:space="0" w:color="auto"/>
                    <w:bottom w:val="none" w:sz="0" w:space="0" w:color="auto"/>
                    <w:right w:val="none" w:sz="0" w:space="0" w:color="auto"/>
                  </w:divBdr>
                </w:div>
                <w:div w:id="294154654">
                  <w:marLeft w:val="0"/>
                  <w:marRight w:val="0"/>
                  <w:marTop w:val="0"/>
                  <w:marBottom w:val="0"/>
                  <w:divBdr>
                    <w:top w:val="none" w:sz="0" w:space="0" w:color="auto"/>
                    <w:left w:val="none" w:sz="0" w:space="0" w:color="auto"/>
                    <w:bottom w:val="none" w:sz="0" w:space="0" w:color="auto"/>
                    <w:right w:val="none" w:sz="0" w:space="0" w:color="auto"/>
                  </w:divBdr>
                </w:div>
                <w:div w:id="294154700">
                  <w:marLeft w:val="0"/>
                  <w:marRight w:val="0"/>
                  <w:marTop w:val="0"/>
                  <w:marBottom w:val="0"/>
                  <w:divBdr>
                    <w:top w:val="none" w:sz="0" w:space="0" w:color="auto"/>
                    <w:left w:val="none" w:sz="0" w:space="0" w:color="auto"/>
                    <w:bottom w:val="none" w:sz="0" w:space="0" w:color="auto"/>
                    <w:right w:val="none" w:sz="0" w:space="0" w:color="auto"/>
                  </w:divBdr>
                </w:div>
                <w:div w:id="294154746">
                  <w:marLeft w:val="0"/>
                  <w:marRight w:val="0"/>
                  <w:marTop w:val="0"/>
                  <w:marBottom w:val="0"/>
                  <w:divBdr>
                    <w:top w:val="none" w:sz="0" w:space="0" w:color="auto"/>
                    <w:left w:val="none" w:sz="0" w:space="0" w:color="auto"/>
                    <w:bottom w:val="none" w:sz="0" w:space="0" w:color="auto"/>
                    <w:right w:val="none" w:sz="0" w:space="0" w:color="auto"/>
                  </w:divBdr>
                </w:div>
                <w:div w:id="294154833">
                  <w:marLeft w:val="0"/>
                  <w:marRight w:val="0"/>
                  <w:marTop w:val="0"/>
                  <w:marBottom w:val="0"/>
                  <w:divBdr>
                    <w:top w:val="none" w:sz="0" w:space="0" w:color="auto"/>
                    <w:left w:val="none" w:sz="0" w:space="0" w:color="auto"/>
                    <w:bottom w:val="none" w:sz="0" w:space="0" w:color="auto"/>
                    <w:right w:val="none" w:sz="0" w:space="0" w:color="auto"/>
                  </w:divBdr>
                </w:div>
                <w:div w:id="294154896">
                  <w:marLeft w:val="0"/>
                  <w:marRight w:val="0"/>
                  <w:marTop w:val="0"/>
                  <w:marBottom w:val="0"/>
                  <w:divBdr>
                    <w:top w:val="none" w:sz="0" w:space="0" w:color="auto"/>
                    <w:left w:val="none" w:sz="0" w:space="0" w:color="auto"/>
                    <w:bottom w:val="none" w:sz="0" w:space="0" w:color="auto"/>
                    <w:right w:val="none" w:sz="0" w:space="0" w:color="auto"/>
                  </w:divBdr>
                </w:div>
                <w:div w:id="294155045">
                  <w:marLeft w:val="0"/>
                  <w:marRight w:val="0"/>
                  <w:marTop w:val="0"/>
                  <w:marBottom w:val="0"/>
                  <w:divBdr>
                    <w:top w:val="none" w:sz="0" w:space="0" w:color="auto"/>
                    <w:left w:val="none" w:sz="0" w:space="0" w:color="auto"/>
                    <w:bottom w:val="none" w:sz="0" w:space="0" w:color="auto"/>
                    <w:right w:val="none" w:sz="0" w:space="0" w:color="auto"/>
                  </w:divBdr>
                </w:div>
                <w:div w:id="294155126">
                  <w:marLeft w:val="0"/>
                  <w:marRight w:val="0"/>
                  <w:marTop w:val="0"/>
                  <w:marBottom w:val="0"/>
                  <w:divBdr>
                    <w:top w:val="none" w:sz="0" w:space="0" w:color="auto"/>
                    <w:left w:val="none" w:sz="0" w:space="0" w:color="auto"/>
                    <w:bottom w:val="none" w:sz="0" w:space="0" w:color="auto"/>
                    <w:right w:val="none" w:sz="0" w:space="0" w:color="auto"/>
                  </w:divBdr>
                </w:div>
                <w:div w:id="294155199">
                  <w:marLeft w:val="0"/>
                  <w:marRight w:val="0"/>
                  <w:marTop w:val="0"/>
                  <w:marBottom w:val="0"/>
                  <w:divBdr>
                    <w:top w:val="none" w:sz="0" w:space="0" w:color="auto"/>
                    <w:left w:val="none" w:sz="0" w:space="0" w:color="auto"/>
                    <w:bottom w:val="none" w:sz="0" w:space="0" w:color="auto"/>
                    <w:right w:val="none" w:sz="0" w:space="0" w:color="auto"/>
                  </w:divBdr>
                </w:div>
                <w:div w:id="294155541">
                  <w:marLeft w:val="0"/>
                  <w:marRight w:val="0"/>
                  <w:marTop w:val="0"/>
                  <w:marBottom w:val="0"/>
                  <w:divBdr>
                    <w:top w:val="none" w:sz="0" w:space="0" w:color="auto"/>
                    <w:left w:val="none" w:sz="0" w:space="0" w:color="auto"/>
                    <w:bottom w:val="none" w:sz="0" w:space="0" w:color="auto"/>
                    <w:right w:val="none" w:sz="0" w:space="0" w:color="auto"/>
                  </w:divBdr>
                </w:div>
                <w:div w:id="294155594">
                  <w:marLeft w:val="0"/>
                  <w:marRight w:val="0"/>
                  <w:marTop w:val="0"/>
                  <w:marBottom w:val="0"/>
                  <w:divBdr>
                    <w:top w:val="none" w:sz="0" w:space="0" w:color="auto"/>
                    <w:left w:val="none" w:sz="0" w:space="0" w:color="auto"/>
                    <w:bottom w:val="none" w:sz="0" w:space="0" w:color="auto"/>
                    <w:right w:val="none" w:sz="0" w:space="0" w:color="auto"/>
                  </w:divBdr>
                </w:div>
                <w:div w:id="294155637">
                  <w:marLeft w:val="0"/>
                  <w:marRight w:val="0"/>
                  <w:marTop w:val="0"/>
                  <w:marBottom w:val="0"/>
                  <w:divBdr>
                    <w:top w:val="none" w:sz="0" w:space="0" w:color="auto"/>
                    <w:left w:val="none" w:sz="0" w:space="0" w:color="auto"/>
                    <w:bottom w:val="none" w:sz="0" w:space="0" w:color="auto"/>
                    <w:right w:val="none" w:sz="0" w:space="0" w:color="auto"/>
                  </w:divBdr>
                </w:div>
                <w:div w:id="294155901">
                  <w:marLeft w:val="0"/>
                  <w:marRight w:val="0"/>
                  <w:marTop w:val="0"/>
                  <w:marBottom w:val="0"/>
                  <w:divBdr>
                    <w:top w:val="none" w:sz="0" w:space="0" w:color="auto"/>
                    <w:left w:val="none" w:sz="0" w:space="0" w:color="auto"/>
                    <w:bottom w:val="none" w:sz="0" w:space="0" w:color="auto"/>
                    <w:right w:val="none" w:sz="0" w:space="0" w:color="auto"/>
                  </w:divBdr>
                </w:div>
                <w:div w:id="294156068">
                  <w:marLeft w:val="0"/>
                  <w:marRight w:val="0"/>
                  <w:marTop w:val="0"/>
                  <w:marBottom w:val="0"/>
                  <w:divBdr>
                    <w:top w:val="none" w:sz="0" w:space="0" w:color="auto"/>
                    <w:left w:val="none" w:sz="0" w:space="0" w:color="auto"/>
                    <w:bottom w:val="none" w:sz="0" w:space="0" w:color="auto"/>
                    <w:right w:val="none" w:sz="0" w:space="0" w:color="auto"/>
                  </w:divBdr>
                </w:div>
                <w:div w:id="294156085">
                  <w:marLeft w:val="0"/>
                  <w:marRight w:val="0"/>
                  <w:marTop w:val="0"/>
                  <w:marBottom w:val="0"/>
                  <w:divBdr>
                    <w:top w:val="none" w:sz="0" w:space="0" w:color="auto"/>
                    <w:left w:val="none" w:sz="0" w:space="0" w:color="auto"/>
                    <w:bottom w:val="none" w:sz="0" w:space="0" w:color="auto"/>
                    <w:right w:val="none" w:sz="0" w:space="0" w:color="auto"/>
                  </w:divBdr>
                </w:div>
                <w:div w:id="294156133">
                  <w:marLeft w:val="0"/>
                  <w:marRight w:val="0"/>
                  <w:marTop w:val="0"/>
                  <w:marBottom w:val="0"/>
                  <w:divBdr>
                    <w:top w:val="none" w:sz="0" w:space="0" w:color="auto"/>
                    <w:left w:val="none" w:sz="0" w:space="0" w:color="auto"/>
                    <w:bottom w:val="none" w:sz="0" w:space="0" w:color="auto"/>
                    <w:right w:val="none" w:sz="0" w:space="0" w:color="auto"/>
                  </w:divBdr>
                </w:div>
                <w:div w:id="294156202">
                  <w:marLeft w:val="0"/>
                  <w:marRight w:val="0"/>
                  <w:marTop w:val="0"/>
                  <w:marBottom w:val="0"/>
                  <w:divBdr>
                    <w:top w:val="none" w:sz="0" w:space="0" w:color="auto"/>
                    <w:left w:val="none" w:sz="0" w:space="0" w:color="auto"/>
                    <w:bottom w:val="none" w:sz="0" w:space="0" w:color="auto"/>
                    <w:right w:val="none" w:sz="0" w:space="0" w:color="auto"/>
                  </w:divBdr>
                </w:div>
                <w:div w:id="294156355">
                  <w:marLeft w:val="0"/>
                  <w:marRight w:val="0"/>
                  <w:marTop w:val="0"/>
                  <w:marBottom w:val="0"/>
                  <w:divBdr>
                    <w:top w:val="none" w:sz="0" w:space="0" w:color="auto"/>
                    <w:left w:val="none" w:sz="0" w:space="0" w:color="auto"/>
                    <w:bottom w:val="none" w:sz="0" w:space="0" w:color="auto"/>
                    <w:right w:val="none" w:sz="0" w:space="0" w:color="auto"/>
                  </w:divBdr>
                </w:div>
                <w:div w:id="294156413">
                  <w:marLeft w:val="0"/>
                  <w:marRight w:val="0"/>
                  <w:marTop w:val="0"/>
                  <w:marBottom w:val="0"/>
                  <w:divBdr>
                    <w:top w:val="none" w:sz="0" w:space="0" w:color="auto"/>
                    <w:left w:val="none" w:sz="0" w:space="0" w:color="auto"/>
                    <w:bottom w:val="none" w:sz="0" w:space="0" w:color="auto"/>
                    <w:right w:val="none" w:sz="0" w:space="0" w:color="auto"/>
                  </w:divBdr>
                </w:div>
                <w:div w:id="294156482">
                  <w:marLeft w:val="0"/>
                  <w:marRight w:val="0"/>
                  <w:marTop w:val="0"/>
                  <w:marBottom w:val="0"/>
                  <w:divBdr>
                    <w:top w:val="none" w:sz="0" w:space="0" w:color="auto"/>
                    <w:left w:val="none" w:sz="0" w:space="0" w:color="auto"/>
                    <w:bottom w:val="none" w:sz="0" w:space="0" w:color="auto"/>
                    <w:right w:val="none" w:sz="0" w:space="0" w:color="auto"/>
                  </w:divBdr>
                </w:div>
                <w:div w:id="294156511">
                  <w:marLeft w:val="0"/>
                  <w:marRight w:val="0"/>
                  <w:marTop w:val="0"/>
                  <w:marBottom w:val="0"/>
                  <w:divBdr>
                    <w:top w:val="none" w:sz="0" w:space="0" w:color="auto"/>
                    <w:left w:val="none" w:sz="0" w:space="0" w:color="auto"/>
                    <w:bottom w:val="none" w:sz="0" w:space="0" w:color="auto"/>
                    <w:right w:val="none" w:sz="0" w:space="0" w:color="auto"/>
                  </w:divBdr>
                </w:div>
                <w:div w:id="294156756">
                  <w:marLeft w:val="0"/>
                  <w:marRight w:val="0"/>
                  <w:marTop w:val="0"/>
                  <w:marBottom w:val="0"/>
                  <w:divBdr>
                    <w:top w:val="none" w:sz="0" w:space="0" w:color="auto"/>
                    <w:left w:val="none" w:sz="0" w:space="0" w:color="auto"/>
                    <w:bottom w:val="none" w:sz="0" w:space="0" w:color="auto"/>
                    <w:right w:val="none" w:sz="0" w:space="0" w:color="auto"/>
                  </w:divBdr>
                </w:div>
                <w:div w:id="294156854">
                  <w:marLeft w:val="0"/>
                  <w:marRight w:val="0"/>
                  <w:marTop w:val="0"/>
                  <w:marBottom w:val="0"/>
                  <w:divBdr>
                    <w:top w:val="none" w:sz="0" w:space="0" w:color="auto"/>
                    <w:left w:val="none" w:sz="0" w:space="0" w:color="auto"/>
                    <w:bottom w:val="none" w:sz="0" w:space="0" w:color="auto"/>
                    <w:right w:val="none" w:sz="0" w:space="0" w:color="auto"/>
                  </w:divBdr>
                </w:div>
                <w:div w:id="294157151">
                  <w:marLeft w:val="0"/>
                  <w:marRight w:val="0"/>
                  <w:marTop w:val="0"/>
                  <w:marBottom w:val="0"/>
                  <w:divBdr>
                    <w:top w:val="none" w:sz="0" w:space="0" w:color="auto"/>
                    <w:left w:val="none" w:sz="0" w:space="0" w:color="auto"/>
                    <w:bottom w:val="none" w:sz="0" w:space="0" w:color="auto"/>
                    <w:right w:val="none" w:sz="0" w:space="0" w:color="auto"/>
                  </w:divBdr>
                </w:div>
                <w:div w:id="294157159">
                  <w:marLeft w:val="0"/>
                  <w:marRight w:val="0"/>
                  <w:marTop w:val="0"/>
                  <w:marBottom w:val="0"/>
                  <w:divBdr>
                    <w:top w:val="none" w:sz="0" w:space="0" w:color="auto"/>
                    <w:left w:val="none" w:sz="0" w:space="0" w:color="auto"/>
                    <w:bottom w:val="none" w:sz="0" w:space="0" w:color="auto"/>
                    <w:right w:val="none" w:sz="0" w:space="0" w:color="auto"/>
                  </w:divBdr>
                </w:div>
                <w:div w:id="2941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3311">
          <w:marLeft w:val="0"/>
          <w:marRight w:val="0"/>
          <w:marTop w:val="0"/>
          <w:marBottom w:val="0"/>
          <w:divBdr>
            <w:top w:val="none" w:sz="0" w:space="0" w:color="auto"/>
            <w:left w:val="none" w:sz="0" w:space="0" w:color="auto"/>
            <w:bottom w:val="none" w:sz="0" w:space="0" w:color="auto"/>
            <w:right w:val="none" w:sz="0" w:space="0" w:color="auto"/>
          </w:divBdr>
          <w:divsChild>
            <w:div w:id="294148571">
              <w:marLeft w:val="0"/>
              <w:marRight w:val="0"/>
              <w:marTop w:val="0"/>
              <w:marBottom w:val="0"/>
              <w:divBdr>
                <w:top w:val="none" w:sz="0" w:space="0" w:color="auto"/>
                <w:left w:val="none" w:sz="0" w:space="0" w:color="auto"/>
                <w:bottom w:val="none" w:sz="0" w:space="0" w:color="auto"/>
                <w:right w:val="none" w:sz="0" w:space="0" w:color="auto"/>
              </w:divBdr>
              <w:divsChild>
                <w:div w:id="294151608">
                  <w:marLeft w:val="0"/>
                  <w:marRight w:val="0"/>
                  <w:marTop w:val="0"/>
                  <w:marBottom w:val="0"/>
                  <w:divBdr>
                    <w:top w:val="none" w:sz="0" w:space="0" w:color="auto"/>
                    <w:left w:val="none" w:sz="0" w:space="0" w:color="auto"/>
                    <w:bottom w:val="none" w:sz="0" w:space="0" w:color="auto"/>
                    <w:right w:val="none" w:sz="0" w:space="0" w:color="auto"/>
                  </w:divBdr>
                  <w:divsChild>
                    <w:div w:id="294138002">
                      <w:marLeft w:val="0"/>
                      <w:marRight w:val="0"/>
                      <w:marTop w:val="0"/>
                      <w:marBottom w:val="0"/>
                      <w:divBdr>
                        <w:top w:val="none" w:sz="0" w:space="0" w:color="auto"/>
                        <w:left w:val="none" w:sz="0" w:space="0" w:color="auto"/>
                        <w:bottom w:val="none" w:sz="0" w:space="0" w:color="auto"/>
                        <w:right w:val="none" w:sz="0" w:space="0" w:color="auto"/>
                      </w:divBdr>
                      <w:divsChild>
                        <w:div w:id="294141135">
                          <w:marLeft w:val="0"/>
                          <w:marRight w:val="0"/>
                          <w:marTop w:val="0"/>
                          <w:marBottom w:val="0"/>
                          <w:divBdr>
                            <w:top w:val="none" w:sz="0" w:space="0" w:color="auto"/>
                            <w:left w:val="none" w:sz="0" w:space="0" w:color="auto"/>
                            <w:bottom w:val="none" w:sz="0" w:space="0" w:color="auto"/>
                            <w:right w:val="none" w:sz="0" w:space="0" w:color="auto"/>
                          </w:divBdr>
                        </w:div>
                      </w:divsChild>
                    </w:div>
                    <w:div w:id="294138049">
                      <w:marLeft w:val="0"/>
                      <w:marRight w:val="0"/>
                      <w:marTop w:val="0"/>
                      <w:marBottom w:val="0"/>
                      <w:divBdr>
                        <w:top w:val="none" w:sz="0" w:space="0" w:color="auto"/>
                        <w:left w:val="none" w:sz="0" w:space="0" w:color="auto"/>
                        <w:bottom w:val="none" w:sz="0" w:space="0" w:color="auto"/>
                        <w:right w:val="none" w:sz="0" w:space="0" w:color="auto"/>
                      </w:divBdr>
                    </w:div>
                    <w:div w:id="294138080">
                      <w:marLeft w:val="0"/>
                      <w:marRight w:val="0"/>
                      <w:marTop w:val="0"/>
                      <w:marBottom w:val="0"/>
                      <w:divBdr>
                        <w:top w:val="none" w:sz="0" w:space="0" w:color="auto"/>
                        <w:left w:val="none" w:sz="0" w:space="0" w:color="auto"/>
                        <w:bottom w:val="none" w:sz="0" w:space="0" w:color="auto"/>
                        <w:right w:val="none" w:sz="0" w:space="0" w:color="auto"/>
                      </w:divBdr>
                    </w:div>
                    <w:div w:id="294138275">
                      <w:marLeft w:val="0"/>
                      <w:marRight w:val="0"/>
                      <w:marTop w:val="0"/>
                      <w:marBottom w:val="0"/>
                      <w:divBdr>
                        <w:top w:val="none" w:sz="0" w:space="0" w:color="auto"/>
                        <w:left w:val="none" w:sz="0" w:space="0" w:color="auto"/>
                        <w:bottom w:val="none" w:sz="0" w:space="0" w:color="auto"/>
                        <w:right w:val="none" w:sz="0" w:space="0" w:color="auto"/>
                      </w:divBdr>
                    </w:div>
                    <w:div w:id="294138316">
                      <w:marLeft w:val="0"/>
                      <w:marRight w:val="0"/>
                      <w:marTop w:val="0"/>
                      <w:marBottom w:val="0"/>
                      <w:divBdr>
                        <w:top w:val="none" w:sz="0" w:space="0" w:color="auto"/>
                        <w:left w:val="none" w:sz="0" w:space="0" w:color="auto"/>
                        <w:bottom w:val="none" w:sz="0" w:space="0" w:color="auto"/>
                        <w:right w:val="none" w:sz="0" w:space="0" w:color="auto"/>
                      </w:divBdr>
                      <w:divsChild>
                        <w:div w:id="294153159">
                          <w:marLeft w:val="0"/>
                          <w:marRight w:val="0"/>
                          <w:marTop w:val="0"/>
                          <w:marBottom w:val="0"/>
                          <w:divBdr>
                            <w:top w:val="none" w:sz="0" w:space="0" w:color="auto"/>
                            <w:left w:val="none" w:sz="0" w:space="0" w:color="auto"/>
                            <w:bottom w:val="none" w:sz="0" w:space="0" w:color="auto"/>
                            <w:right w:val="none" w:sz="0" w:space="0" w:color="auto"/>
                          </w:divBdr>
                        </w:div>
                      </w:divsChild>
                    </w:div>
                    <w:div w:id="294138332">
                      <w:marLeft w:val="0"/>
                      <w:marRight w:val="0"/>
                      <w:marTop w:val="0"/>
                      <w:marBottom w:val="0"/>
                      <w:divBdr>
                        <w:top w:val="none" w:sz="0" w:space="0" w:color="auto"/>
                        <w:left w:val="none" w:sz="0" w:space="0" w:color="auto"/>
                        <w:bottom w:val="none" w:sz="0" w:space="0" w:color="auto"/>
                        <w:right w:val="none" w:sz="0" w:space="0" w:color="auto"/>
                      </w:divBdr>
                      <w:divsChild>
                        <w:div w:id="294141449">
                          <w:marLeft w:val="0"/>
                          <w:marRight w:val="0"/>
                          <w:marTop w:val="0"/>
                          <w:marBottom w:val="0"/>
                          <w:divBdr>
                            <w:top w:val="none" w:sz="0" w:space="0" w:color="auto"/>
                            <w:left w:val="none" w:sz="0" w:space="0" w:color="auto"/>
                            <w:bottom w:val="none" w:sz="0" w:space="0" w:color="auto"/>
                            <w:right w:val="none" w:sz="0" w:space="0" w:color="auto"/>
                          </w:divBdr>
                        </w:div>
                      </w:divsChild>
                    </w:div>
                    <w:div w:id="294138352">
                      <w:marLeft w:val="0"/>
                      <w:marRight w:val="0"/>
                      <w:marTop w:val="0"/>
                      <w:marBottom w:val="0"/>
                      <w:divBdr>
                        <w:top w:val="none" w:sz="0" w:space="0" w:color="auto"/>
                        <w:left w:val="none" w:sz="0" w:space="0" w:color="auto"/>
                        <w:bottom w:val="none" w:sz="0" w:space="0" w:color="auto"/>
                        <w:right w:val="none" w:sz="0" w:space="0" w:color="auto"/>
                      </w:divBdr>
                    </w:div>
                    <w:div w:id="294138785">
                      <w:marLeft w:val="0"/>
                      <w:marRight w:val="0"/>
                      <w:marTop w:val="0"/>
                      <w:marBottom w:val="0"/>
                      <w:divBdr>
                        <w:top w:val="none" w:sz="0" w:space="0" w:color="auto"/>
                        <w:left w:val="none" w:sz="0" w:space="0" w:color="auto"/>
                        <w:bottom w:val="none" w:sz="0" w:space="0" w:color="auto"/>
                        <w:right w:val="none" w:sz="0" w:space="0" w:color="auto"/>
                      </w:divBdr>
                      <w:divsChild>
                        <w:div w:id="294155234">
                          <w:marLeft w:val="0"/>
                          <w:marRight w:val="0"/>
                          <w:marTop w:val="0"/>
                          <w:marBottom w:val="0"/>
                          <w:divBdr>
                            <w:top w:val="none" w:sz="0" w:space="0" w:color="auto"/>
                            <w:left w:val="none" w:sz="0" w:space="0" w:color="auto"/>
                            <w:bottom w:val="none" w:sz="0" w:space="0" w:color="auto"/>
                            <w:right w:val="none" w:sz="0" w:space="0" w:color="auto"/>
                          </w:divBdr>
                        </w:div>
                      </w:divsChild>
                    </w:div>
                    <w:div w:id="294138843">
                      <w:marLeft w:val="0"/>
                      <w:marRight w:val="0"/>
                      <w:marTop w:val="0"/>
                      <w:marBottom w:val="0"/>
                      <w:divBdr>
                        <w:top w:val="none" w:sz="0" w:space="0" w:color="auto"/>
                        <w:left w:val="none" w:sz="0" w:space="0" w:color="auto"/>
                        <w:bottom w:val="none" w:sz="0" w:space="0" w:color="auto"/>
                        <w:right w:val="none" w:sz="0" w:space="0" w:color="auto"/>
                      </w:divBdr>
                      <w:divsChild>
                        <w:div w:id="294153223">
                          <w:marLeft w:val="0"/>
                          <w:marRight w:val="0"/>
                          <w:marTop w:val="0"/>
                          <w:marBottom w:val="0"/>
                          <w:divBdr>
                            <w:top w:val="none" w:sz="0" w:space="0" w:color="auto"/>
                            <w:left w:val="none" w:sz="0" w:space="0" w:color="auto"/>
                            <w:bottom w:val="none" w:sz="0" w:space="0" w:color="auto"/>
                            <w:right w:val="none" w:sz="0" w:space="0" w:color="auto"/>
                          </w:divBdr>
                        </w:div>
                      </w:divsChild>
                    </w:div>
                    <w:div w:id="294139074">
                      <w:marLeft w:val="0"/>
                      <w:marRight w:val="0"/>
                      <w:marTop w:val="0"/>
                      <w:marBottom w:val="0"/>
                      <w:divBdr>
                        <w:top w:val="none" w:sz="0" w:space="0" w:color="auto"/>
                        <w:left w:val="none" w:sz="0" w:space="0" w:color="auto"/>
                        <w:bottom w:val="none" w:sz="0" w:space="0" w:color="auto"/>
                        <w:right w:val="none" w:sz="0" w:space="0" w:color="auto"/>
                      </w:divBdr>
                      <w:divsChild>
                        <w:div w:id="294151972">
                          <w:marLeft w:val="0"/>
                          <w:marRight w:val="0"/>
                          <w:marTop w:val="0"/>
                          <w:marBottom w:val="0"/>
                          <w:divBdr>
                            <w:top w:val="none" w:sz="0" w:space="0" w:color="auto"/>
                            <w:left w:val="none" w:sz="0" w:space="0" w:color="auto"/>
                            <w:bottom w:val="none" w:sz="0" w:space="0" w:color="auto"/>
                            <w:right w:val="none" w:sz="0" w:space="0" w:color="auto"/>
                          </w:divBdr>
                        </w:div>
                      </w:divsChild>
                    </w:div>
                    <w:div w:id="294139313">
                      <w:marLeft w:val="0"/>
                      <w:marRight w:val="0"/>
                      <w:marTop w:val="0"/>
                      <w:marBottom w:val="0"/>
                      <w:divBdr>
                        <w:top w:val="none" w:sz="0" w:space="0" w:color="auto"/>
                        <w:left w:val="none" w:sz="0" w:space="0" w:color="auto"/>
                        <w:bottom w:val="none" w:sz="0" w:space="0" w:color="auto"/>
                        <w:right w:val="none" w:sz="0" w:space="0" w:color="auto"/>
                      </w:divBdr>
                    </w:div>
                    <w:div w:id="294140024">
                      <w:marLeft w:val="0"/>
                      <w:marRight w:val="0"/>
                      <w:marTop w:val="0"/>
                      <w:marBottom w:val="0"/>
                      <w:divBdr>
                        <w:top w:val="none" w:sz="0" w:space="0" w:color="auto"/>
                        <w:left w:val="none" w:sz="0" w:space="0" w:color="auto"/>
                        <w:bottom w:val="none" w:sz="0" w:space="0" w:color="auto"/>
                        <w:right w:val="none" w:sz="0" w:space="0" w:color="auto"/>
                      </w:divBdr>
                      <w:divsChild>
                        <w:div w:id="294147718">
                          <w:marLeft w:val="0"/>
                          <w:marRight w:val="0"/>
                          <w:marTop w:val="0"/>
                          <w:marBottom w:val="0"/>
                          <w:divBdr>
                            <w:top w:val="none" w:sz="0" w:space="0" w:color="auto"/>
                            <w:left w:val="none" w:sz="0" w:space="0" w:color="auto"/>
                            <w:bottom w:val="none" w:sz="0" w:space="0" w:color="auto"/>
                            <w:right w:val="none" w:sz="0" w:space="0" w:color="auto"/>
                          </w:divBdr>
                        </w:div>
                      </w:divsChild>
                    </w:div>
                    <w:div w:id="294140260">
                      <w:marLeft w:val="0"/>
                      <w:marRight w:val="0"/>
                      <w:marTop w:val="0"/>
                      <w:marBottom w:val="0"/>
                      <w:divBdr>
                        <w:top w:val="none" w:sz="0" w:space="0" w:color="auto"/>
                        <w:left w:val="none" w:sz="0" w:space="0" w:color="auto"/>
                        <w:bottom w:val="none" w:sz="0" w:space="0" w:color="auto"/>
                        <w:right w:val="none" w:sz="0" w:space="0" w:color="auto"/>
                      </w:divBdr>
                    </w:div>
                    <w:div w:id="294140294">
                      <w:marLeft w:val="0"/>
                      <w:marRight w:val="0"/>
                      <w:marTop w:val="0"/>
                      <w:marBottom w:val="0"/>
                      <w:divBdr>
                        <w:top w:val="none" w:sz="0" w:space="0" w:color="auto"/>
                        <w:left w:val="none" w:sz="0" w:space="0" w:color="auto"/>
                        <w:bottom w:val="none" w:sz="0" w:space="0" w:color="auto"/>
                        <w:right w:val="none" w:sz="0" w:space="0" w:color="auto"/>
                      </w:divBdr>
                    </w:div>
                    <w:div w:id="294140840">
                      <w:marLeft w:val="0"/>
                      <w:marRight w:val="0"/>
                      <w:marTop w:val="0"/>
                      <w:marBottom w:val="0"/>
                      <w:divBdr>
                        <w:top w:val="none" w:sz="0" w:space="0" w:color="auto"/>
                        <w:left w:val="none" w:sz="0" w:space="0" w:color="auto"/>
                        <w:bottom w:val="none" w:sz="0" w:space="0" w:color="auto"/>
                        <w:right w:val="none" w:sz="0" w:space="0" w:color="auto"/>
                      </w:divBdr>
                      <w:divsChild>
                        <w:div w:id="294150799">
                          <w:marLeft w:val="0"/>
                          <w:marRight w:val="0"/>
                          <w:marTop w:val="0"/>
                          <w:marBottom w:val="0"/>
                          <w:divBdr>
                            <w:top w:val="none" w:sz="0" w:space="0" w:color="auto"/>
                            <w:left w:val="none" w:sz="0" w:space="0" w:color="auto"/>
                            <w:bottom w:val="none" w:sz="0" w:space="0" w:color="auto"/>
                            <w:right w:val="none" w:sz="0" w:space="0" w:color="auto"/>
                          </w:divBdr>
                        </w:div>
                      </w:divsChild>
                    </w:div>
                    <w:div w:id="294140858">
                      <w:marLeft w:val="0"/>
                      <w:marRight w:val="0"/>
                      <w:marTop w:val="0"/>
                      <w:marBottom w:val="0"/>
                      <w:divBdr>
                        <w:top w:val="none" w:sz="0" w:space="0" w:color="auto"/>
                        <w:left w:val="none" w:sz="0" w:space="0" w:color="auto"/>
                        <w:bottom w:val="none" w:sz="0" w:space="0" w:color="auto"/>
                        <w:right w:val="none" w:sz="0" w:space="0" w:color="auto"/>
                      </w:divBdr>
                      <w:divsChild>
                        <w:div w:id="294153046">
                          <w:marLeft w:val="0"/>
                          <w:marRight w:val="0"/>
                          <w:marTop w:val="0"/>
                          <w:marBottom w:val="0"/>
                          <w:divBdr>
                            <w:top w:val="none" w:sz="0" w:space="0" w:color="auto"/>
                            <w:left w:val="none" w:sz="0" w:space="0" w:color="auto"/>
                            <w:bottom w:val="none" w:sz="0" w:space="0" w:color="auto"/>
                            <w:right w:val="none" w:sz="0" w:space="0" w:color="auto"/>
                          </w:divBdr>
                        </w:div>
                      </w:divsChild>
                    </w:div>
                    <w:div w:id="294140986">
                      <w:marLeft w:val="0"/>
                      <w:marRight w:val="0"/>
                      <w:marTop w:val="0"/>
                      <w:marBottom w:val="0"/>
                      <w:divBdr>
                        <w:top w:val="none" w:sz="0" w:space="0" w:color="auto"/>
                        <w:left w:val="none" w:sz="0" w:space="0" w:color="auto"/>
                        <w:bottom w:val="none" w:sz="0" w:space="0" w:color="auto"/>
                        <w:right w:val="none" w:sz="0" w:space="0" w:color="auto"/>
                      </w:divBdr>
                    </w:div>
                    <w:div w:id="294141202">
                      <w:marLeft w:val="0"/>
                      <w:marRight w:val="0"/>
                      <w:marTop w:val="0"/>
                      <w:marBottom w:val="0"/>
                      <w:divBdr>
                        <w:top w:val="none" w:sz="0" w:space="0" w:color="auto"/>
                        <w:left w:val="none" w:sz="0" w:space="0" w:color="auto"/>
                        <w:bottom w:val="none" w:sz="0" w:space="0" w:color="auto"/>
                        <w:right w:val="none" w:sz="0" w:space="0" w:color="auto"/>
                      </w:divBdr>
                    </w:div>
                    <w:div w:id="294141588">
                      <w:marLeft w:val="0"/>
                      <w:marRight w:val="0"/>
                      <w:marTop w:val="0"/>
                      <w:marBottom w:val="0"/>
                      <w:divBdr>
                        <w:top w:val="none" w:sz="0" w:space="0" w:color="auto"/>
                        <w:left w:val="none" w:sz="0" w:space="0" w:color="auto"/>
                        <w:bottom w:val="none" w:sz="0" w:space="0" w:color="auto"/>
                        <w:right w:val="none" w:sz="0" w:space="0" w:color="auto"/>
                      </w:divBdr>
                      <w:divsChild>
                        <w:div w:id="294149292">
                          <w:marLeft w:val="0"/>
                          <w:marRight w:val="0"/>
                          <w:marTop w:val="0"/>
                          <w:marBottom w:val="0"/>
                          <w:divBdr>
                            <w:top w:val="none" w:sz="0" w:space="0" w:color="auto"/>
                            <w:left w:val="none" w:sz="0" w:space="0" w:color="auto"/>
                            <w:bottom w:val="none" w:sz="0" w:space="0" w:color="auto"/>
                            <w:right w:val="none" w:sz="0" w:space="0" w:color="auto"/>
                          </w:divBdr>
                        </w:div>
                      </w:divsChild>
                    </w:div>
                    <w:div w:id="294141621">
                      <w:marLeft w:val="0"/>
                      <w:marRight w:val="0"/>
                      <w:marTop w:val="0"/>
                      <w:marBottom w:val="0"/>
                      <w:divBdr>
                        <w:top w:val="none" w:sz="0" w:space="0" w:color="auto"/>
                        <w:left w:val="none" w:sz="0" w:space="0" w:color="auto"/>
                        <w:bottom w:val="none" w:sz="0" w:space="0" w:color="auto"/>
                        <w:right w:val="none" w:sz="0" w:space="0" w:color="auto"/>
                      </w:divBdr>
                    </w:div>
                    <w:div w:id="294141635">
                      <w:marLeft w:val="0"/>
                      <w:marRight w:val="0"/>
                      <w:marTop w:val="0"/>
                      <w:marBottom w:val="0"/>
                      <w:divBdr>
                        <w:top w:val="none" w:sz="0" w:space="0" w:color="auto"/>
                        <w:left w:val="none" w:sz="0" w:space="0" w:color="auto"/>
                        <w:bottom w:val="none" w:sz="0" w:space="0" w:color="auto"/>
                        <w:right w:val="none" w:sz="0" w:space="0" w:color="auto"/>
                      </w:divBdr>
                      <w:divsChild>
                        <w:div w:id="294144583">
                          <w:marLeft w:val="0"/>
                          <w:marRight w:val="0"/>
                          <w:marTop w:val="0"/>
                          <w:marBottom w:val="0"/>
                          <w:divBdr>
                            <w:top w:val="none" w:sz="0" w:space="0" w:color="auto"/>
                            <w:left w:val="none" w:sz="0" w:space="0" w:color="auto"/>
                            <w:bottom w:val="none" w:sz="0" w:space="0" w:color="auto"/>
                            <w:right w:val="none" w:sz="0" w:space="0" w:color="auto"/>
                          </w:divBdr>
                        </w:div>
                      </w:divsChild>
                    </w:div>
                    <w:div w:id="294141664">
                      <w:marLeft w:val="0"/>
                      <w:marRight w:val="0"/>
                      <w:marTop w:val="0"/>
                      <w:marBottom w:val="0"/>
                      <w:divBdr>
                        <w:top w:val="none" w:sz="0" w:space="0" w:color="auto"/>
                        <w:left w:val="none" w:sz="0" w:space="0" w:color="auto"/>
                        <w:bottom w:val="none" w:sz="0" w:space="0" w:color="auto"/>
                        <w:right w:val="none" w:sz="0" w:space="0" w:color="auto"/>
                      </w:divBdr>
                      <w:divsChild>
                        <w:div w:id="294145307">
                          <w:marLeft w:val="0"/>
                          <w:marRight w:val="0"/>
                          <w:marTop w:val="0"/>
                          <w:marBottom w:val="0"/>
                          <w:divBdr>
                            <w:top w:val="none" w:sz="0" w:space="0" w:color="auto"/>
                            <w:left w:val="none" w:sz="0" w:space="0" w:color="auto"/>
                            <w:bottom w:val="none" w:sz="0" w:space="0" w:color="auto"/>
                            <w:right w:val="none" w:sz="0" w:space="0" w:color="auto"/>
                          </w:divBdr>
                        </w:div>
                      </w:divsChild>
                    </w:div>
                    <w:div w:id="294141701">
                      <w:marLeft w:val="0"/>
                      <w:marRight w:val="0"/>
                      <w:marTop w:val="0"/>
                      <w:marBottom w:val="0"/>
                      <w:divBdr>
                        <w:top w:val="none" w:sz="0" w:space="0" w:color="auto"/>
                        <w:left w:val="none" w:sz="0" w:space="0" w:color="auto"/>
                        <w:bottom w:val="none" w:sz="0" w:space="0" w:color="auto"/>
                        <w:right w:val="none" w:sz="0" w:space="0" w:color="auto"/>
                      </w:divBdr>
                    </w:div>
                    <w:div w:id="294142226">
                      <w:marLeft w:val="0"/>
                      <w:marRight w:val="0"/>
                      <w:marTop w:val="0"/>
                      <w:marBottom w:val="0"/>
                      <w:divBdr>
                        <w:top w:val="none" w:sz="0" w:space="0" w:color="auto"/>
                        <w:left w:val="none" w:sz="0" w:space="0" w:color="auto"/>
                        <w:bottom w:val="none" w:sz="0" w:space="0" w:color="auto"/>
                        <w:right w:val="none" w:sz="0" w:space="0" w:color="auto"/>
                      </w:divBdr>
                    </w:div>
                    <w:div w:id="294142355">
                      <w:marLeft w:val="0"/>
                      <w:marRight w:val="0"/>
                      <w:marTop w:val="0"/>
                      <w:marBottom w:val="0"/>
                      <w:divBdr>
                        <w:top w:val="none" w:sz="0" w:space="0" w:color="auto"/>
                        <w:left w:val="none" w:sz="0" w:space="0" w:color="auto"/>
                        <w:bottom w:val="none" w:sz="0" w:space="0" w:color="auto"/>
                        <w:right w:val="none" w:sz="0" w:space="0" w:color="auto"/>
                      </w:divBdr>
                      <w:divsChild>
                        <w:div w:id="294148336">
                          <w:marLeft w:val="0"/>
                          <w:marRight w:val="0"/>
                          <w:marTop w:val="0"/>
                          <w:marBottom w:val="0"/>
                          <w:divBdr>
                            <w:top w:val="none" w:sz="0" w:space="0" w:color="auto"/>
                            <w:left w:val="none" w:sz="0" w:space="0" w:color="auto"/>
                            <w:bottom w:val="none" w:sz="0" w:space="0" w:color="auto"/>
                            <w:right w:val="none" w:sz="0" w:space="0" w:color="auto"/>
                          </w:divBdr>
                        </w:div>
                      </w:divsChild>
                    </w:div>
                    <w:div w:id="294142373">
                      <w:marLeft w:val="0"/>
                      <w:marRight w:val="0"/>
                      <w:marTop w:val="0"/>
                      <w:marBottom w:val="0"/>
                      <w:divBdr>
                        <w:top w:val="none" w:sz="0" w:space="0" w:color="auto"/>
                        <w:left w:val="none" w:sz="0" w:space="0" w:color="auto"/>
                        <w:bottom w:val="none" w:sz="0" w:space="0" w:color="auto"/>
                        <w:right w:val="none" w:sz="0" w:space="0" w:color="auto"/>
                      </w:divBdr>
                      <w:divsChild>
                        <w:div w:id="294143362">
                          <w:marLeft w:val="0"/>
                          <w:marRight w:val="0"/>
                          <w:marTop w:val="0"/>
                          <w:marBottom w:val="0"/>
                          <w:divBdr>
                            <w:top w:val="none" w:sz="0" w:space="0" w:color="auto"/>
                            <w:left w:val="none" w:sz="0" w:space="0" w:color="auto"/>
                            <w:bottom w:val="none" w:sz="0" w:space="0" w:color="auto"/>
                            <w:right w:val="none" w:sz="0" w:space="0" w:color="auto"/>
                          </w:divBdr>
                        </w:div>
                      </w:divsChild>
                    </w:div>
                    <w:div w:id="294142426">
                      <w:marLeft w:val="0"/>
                      <w:marRight w:val="0"/>
                      <w:marTop w:val="0"/>
                      <w:marBottom w:val="0"/>
                      <w:divBdr>
                        <w:top w:val="none" w:sz="0" w:space="0" w:color="auto"/>
                        <w:left w:val="none" w:sz="0" w:space="0" w:color="auto"/>
                        <w:bottom w:val="none" w:sz="0" w:space="0" w:color="auto"/>
                        <w:right w:val="none" w:sz="0" w:space="0" w:color="auto"/>
                      </w:divBdr>
                      <w:divsChild>
                        <w:div w:id="294140561">
                          <w:marLeft w:val="0"/>
                          <w:marRight w:val="0"/>
                          <w:marTop w:val="0"/>
                          <w:marBottom w:val="0"/>
                          <w:divBdr>
                            <w:top w:val="none" w:sz="0" w:space="0" w:color="auto"/>
                            <w:left w:val="none" w:sz="0" w:space="0" w:color="auto"/>
                            <w:bottom w:val="none" w:sz="0" w:space="0" w:color="auto"/>
                            <w:right w:val="none" w:sz="0" w:space="0" w:color="auto"/>
                          </w:divBdr>
                        </w:div>
                      </w:divsChild>
                    </w:div>
                    <w:div w:id="294142430">
                      <w:marLeft w:val="0"/>
                      <w:marRight w:val="0"/>
                      <w:marTop w:val="0"/>
                      <w:marBottom w:val="0"/>
                      <w:divBdr>
                        <w:top w:val="none" w:sz="0" w:space="0" w:color="auto"/>
                        <w:left w:val="none" w:sz="0" w:space="0" w:color="auto"/>
                        <w:bottom w:val="none" w:sz="0" w:space="0" w:color="auto"/>
                        <w:right w:val="none" w:sz="0" w:space="0" w:color="auto"/>
                      </w:divBdr>
                      <w:divsChild>
                        <w:div w:id="294138311">
                          <w:marLeft w:val="0"/>
                          <w:marRight w:val="0"/>
                          <w:marTop w:val="0"/>
                          <w:marBottom w:val="0"/>
                          <w:divBdr>
                            <w:top w:val="none" w:sz="0" w:space="0" w:color="auto"/>
                            <w:left w:val="none" w:sz="0" w:space="0" w:color="auto"/>
                            <w:bottom w:val="none" w:sz="0" w:space="0" w:color="auto"/>
                            <w:right w:val="none" w:sz="0" w:space="0" w:color="auto"/>
                          </w:divBdr>
                        </w:div>
                      </w:divsChild>
                    </w:div>
                    <w:div w:id="294142693">
                      <w:marLeft w:val="0"/>
                      <w:marRight w:val="0"/>
                      <w:marTop w:val="0"/>
                      <w:marBottom w:val="0"/>
                      <w:divBdr>
                        <w:top w:val="none" w:sz="0" w:space="0" w:color="auto"/>
                        <w:left w:val="none" w:sz="0" w:space="0" w:color="auto"/>
                        <w:bottom w:val="none" w:sz="0" w:space="0" w:color="auto"/>
                        <w:right w:val="none" w:sz="0" w:space="0" w:color="auto"/>
                      </w:divBdr>
                      <w:divsChild>
                        <w:div w:id="294155986">
                          <w:marLeft w:val="0"/>
                          <w:marRight w:val="0"/>
                          <w:marTop w:val="0"/>
                          <w:marBottom w:val="0"/>
                          <w:divBdr>
                            <w:top w:val="none" w:sz="0" w:space="0" w:color="auto"/>
                            <w:left w:val="none" w:sz="0" w:space="0" w:color="auto"/>
                            <w:bottom w:val="none" w:sz="0" w:space="0" w:color="auto"/>
                            <w:right w:val="none" w:sz="0" w:space="0" w:color="auto"/>
                          </w:divBdr>
                        </w:div>
                      </w:divsChild>
                    </w:div>
                    <w:div w:id="294142730">
                      <w:marLeft w:val="0"/>
                      <w:marRight w:val="0"/>
                      <w:marTop w:val="0"/>
                      <w:marBottom w:val="0"/>
                      <w:divBdr>
                        <w:top w:val="none" w:sz="0" w:space="0" w:color="auto"/>
                        <w:left w:val="none" w:sz="0" w:space="0" w:color="auto"/>
                        <w:bottom w:val="none" w:sz="0" w:space="0" w:color="auto"/>
                        <w:right w:val="none" w:sz="0" w:space="0" w:color="auto"/>
                      </w:divBdr>
                    </w:div>
                    <w:div w:id="294142862">
                      <w:marLeft w:val="0"/>
                      <w:marRight w:val="0"/>
                      <w:marTop w:val="0"/>
                      <w:marBottom w:val="0"/>
                      <w:divBdr>
                        <w:top w:val="none" w:sz="0" w:space="0" w:color="auto"/>
                        <w:left w:val="none" w:sz="0" w:space="0" w:color="auto"/>
                        <w:bottom w:val="none" w:sz="0" w:space="0" w:color="auto"/>
                        <w:right w:val="none" w:sz="0" w:space="0" w:color="auto"/>
                      </w:divBdr>
                    </w:div>
                    <w:div w:id="294142908">
                      <w:marLeft w:val="0"/>
                      <w:marRight w:val="0"/>
                      <w:marTop w:val="0"/>
                      <w:marBottom w:val="0"/>
                      <w:divBdr>
                        <w:top w:val="none" w:sz="0" w:space="0" w:color="auto"/>
                        <w:left w:val="none" w:sz="0" w:space="0" w:color="auto"/>
                        <w:bottom w:val="none" w:sz="0" w:space="0" w:color="auto"/>
                        <w:right w:val="none" w:sz="0" w:space="0" w:color="auto"/>
                      </w:divBdr>
                      <w:divsChild>
                        <w:div w:id="294153882">
                          <w:marLeft w:val="0"/>
                          <w:marRight w:val="0"/>
                          <w:marTop w:val="0"/>
                          <w:marBottom w:val="0"/>
                          <w:divBdr>
                            <w:top w:val="none" w:sz="0" w:space="0" w:color="auto"/>
                            <w:left w:val="none" w:sz="0" w:space="0" w:color="auto"/>
                            <w:bottom w:val="none" w:sz="0" w:space="0" w:color="auto"/>
                            <w:right w:val="none" w:sz="0" w:space="0" w:color="auto"/>
                          </w:divBdr>
                        </w:div>
                      </w:divsChild>
                    </w:div>
                    <w:div w:id="294142920">
                      <w:marLeft w:val="0"/>
                      <w:marRight w:val="0"/>
                      <w:marTop w:val="0"/>
                      <w:marBottom w:val="0"/>
                      <w:divBdr>
                        <w:top w:val="none" w:sz="0" w:space="0" w:color="auto"/>
                        <w:left w:val="none" w:sz="0" w:space="0" w:color="auto"/>
                        <w:bottom w:val="none" w:sz="0" w:space="0" w:color="auto"/>
                        <w:right w:val="none" w:sz="0" w:space="0" w:color="auto"/>
                      </w:divBdr>
                      <w:divsChild>
                        <w:div w:id="294143145">
                          <w:marLeft w:val="0"/>
                          <w:marRight w:val="0"/>
                          <w:marTop w:val="0"/>
                          <w:marBottom w:val="0"/>
                          <w:divBdr>
                            <w:top w:val="none" w:sz="0" w:space="0" w:color="auto"/>
                            <w:left w:val="none" w:sz="0" w:space="0" w:color="auto"/>
                            <w:bottom w:val="none" w:sz="0" w:space="0" w:color="auto"/>
                            <w:right w:val="none" w:sz="0" w:space="0" w:color="auto"/>
                          </w:divBdr>
                        </w:div>
                      </w:divsChild>
                    </w:div>
                    <w:div w:id="294143052">
                      <w:marLeft w:val="0"/>
                      <w:marRight w:val="0"/>
                      <w:marTop w:val="0"/>
                      <w:marBottom w:val="0"/>
                      <w:divBdr>
                        <w:top w:val="none" w:sz="0" w:space="0" w:color="auto"/>
                        <w:left w:val="none" w:sz="0" w:space="0" w:color="auto"/>
                        <w:bottom w:val="none" w:sz="0" w:space="0" w:color="auto"/>
                        <w:right w:val="none" w:sz="0" w:space="0" w:color="auto"/>
                      </w:divBdr>
                    </w:div>
                    <w:div w:id="294143164">
                      <w:marLeft w:val="0"/>
                      <w:marRight w:val="0"/>
                      <w:marTop w:val="0"/>
                      <w:marBottom w:val="0"/>
                      <w:divBdr>
                        <w:top w:val="none" w:sz="0" w:space="0" w:color="auto"/>
                        <w:left w:val="none" w:sz="0" w:space="0" w:color="auto"/>
                        <w:bottom w:val="none" w:sz="0" w:space="0" w:color="auto"/>
                        <w:right w:val="none" w:sz="0" w:space="0" w:color="auto"/>
                      </w:divBdr>
                    </w:div>
                    <w:div w:id="294143205">
                      <w:marLeft w:val="0"/>
                      <w:marRight w:val="0"/>
                      <w:marTop w:val="0"/>
                      <w:marBottom w:val="0"/>
                      <w:divBdr>
                        <w:top w:val="none" w:sz="0" w:space="0" w:color="auto"/>
                        <w:left w:val="none" w:sz="0" w:space="0" w:color="auto"/>
                        <w:bottom w:val="none" w:sz="0" w:space="0" w:color="auto"/>
                        <w:right w:val="none" w:sz="0" w:space="0" w:color="auto"/>
                      </w:divBdr>
                    </w:div>
                    <w:div w:id="294143567">
                      <w:marLeft w:val="0"/>
                      <w:marRight w:val="0"/>
                      <w:marTop w:val="0"/>
                      <w:marBottom w:val="0"/>
                      <w:divBdr>
                        <w:top w:val="none" w:sz="0" w:space="0" w:color="auto"/>
                        <w:left w:val="none" w:sz="0" w:space="0" w:color="auto"/>
                        <w:bottom w:val="none" w:sz="0" w:space="0" w:color="auto"/>
                        <w:right w:val="none" w:sz="0" w:space="0" w:color="auto"/>
                      </w:divBdr>
                      <w:divsChild>
                        <w:div w:id="294153357">
                          <w:marLeft w:val="0"/>
                          <w:marRight w:val="0"/>
                          <w:marTop w:val="0"/>
                          <w:marBottom w:val="0"/>
                          <w:divBdr>
                            <w:top w:val="none" w:sz="0" w:space="0" w:color="auto"/>
                            <w:left w:val="none" w:sz="0" w:space="0" w:color="auto"/>
                            <w:bottom w:val="none" w:sz="0" w:space="0" w:color="auto"/>
                            <w:right w:val="none" w:sz="0" w:space="0" w:color="auto"/>
                          </w:divBdr>
                        </w:div>
                      </w:divsChild>
                    </w:div>
                    <w:div w:id="294143601">
                      <w:marLeft w:val="0"/>
                      <w:marRight w:val="0"/>
                      <w:marTop w:val="0"/>
                      <w:marBottom w:val="0"/>
                      <w:divBdr>
                        <w:top w:val="none" w:sz="0" w:space="0" w:color="auto"/>
                        <w:left w:val="none" w:sz="0" w:space="0" w:color="auto"/>
                        <w:bottom w:val="none" w:sz="0" w:space="0" w:color="auto"/>
                        <w:right w:val="none" w:sz="0" w:space="0" w:color="auto"/>
                      </w:divBdr>
                    </w:div>
                    <w:div w:id="294143737">
                      <w:marLeft w:val="0"/>
                      <w:marRight w:val="0"/>
                      <w:marTop w:val="0"/>
                      <w:marBottom w:val="0"/>
                      <w:divBdr>
                        <w:top w:val="none" w:sz="0" w:space="0" w:color="auto"/>
                        <w:left w:val="none" w:sz="0" w:space="0" w:color="auto"/>
                        <w:bottom w:val="none" w:sz="0" w:space="0" w:color="auto"/>
                        <w:right w:val="none" w:sz="0" w:space="0" w:color="auto"/>
                      </w:divBdr>
                    </w:div>
                    <w:div w:id="294143817">
                      <w:marLeft w:val="0"/>
                      <w:marRight w:val="0"/>
                      <w:marTop w:val="0"/>
                      <w:marBottom w:val="0"/>
                      <w:divBdr>
                        <w:top w:val="none" w:sz="0" w:space="0" w:color="auto"/>
                        <w:left w:val="none" w:sz="0" w:space="0" w:color="auto"/>
                        <w:bottom w:val="none" w:sz="0" w:space="0" w:color="auto"/>
                        <w:right w:val="none" w:sz="0" w:space="0" w:color="auto"/>
                      </w:divBdr>
                    </w:div>
                    <w:div w:id="294143921">
                      <w:marLeft w:val="0"/>
                      <w:marRight w:val="0"/>
                      <w:marTop w:val="0"/>
                      <w:marBottom w:val="0"/>
                      <w:divBdr>
                        <w:top w:val="none" w:sz="0" w:space="0" w:color="auto"/>
                        <w:left w:val="none" w:sz="0" w:space="0" w:color="auto"/>
                        <w:bottom w:val="none" w:sz="0" w:space="0" w:color="auto"/>
                        <w:right w:val="none" w:sz="0" w:space="0" w:color="auto"/>
                      </w:divBdr>
                    </w:div>
                    <w:div w:id="294144015">
                      <w:marLeft w:val="0"/>
                      <w:marRight w:val="0"/>
                      <w:marTop w:val="0"/>
                      <w:marBottom w:val="0"/>
                      <w:divBdr>
                        <w:top w:val="none" w:sz="0" w:space="0" w:color="auto"/>
                        <w:left w:val="none" w:sz="0" w:space="0" w:color="auto"/>
                        <w:bottom w:val="none" w:sz="0" w:space="0" w:color="auto"/>
                        <w:right w:val="none" w:sz="0" w:space="0" w:color="auto"/>
                      </w:divBdr>
                      <w:divsChild>
                        <w:div w:id="294145769">
                          <w:marLeft w:val="0"/>
                          <w:marRight w:val="0"/>
                          <w:marTop w:val="0"/>
                          <w:marBottom w:val="0"/>
                          <w:divBdr>
                            <w:top w:val="none" w:sz="0" w:space="0" w:color="auto"/>
                            <w:left w:val="none" w:sz="0" w:space="0" w:color="auto"/>
                            <w:bottom w:val="none" w:sz="0" w:space="0" w:color="auto"/>
                            <w:right w:val="none" w:sz="0" w:space="0" w:color="auto"/>
                          </w:divBdr>
                        </w:div>
                      </w:divsChild>
                    </w:div>
                    <w:div w:id="294144286">
                      <w:marLeft w:val="0"/>
                      <w:marRight w:val="0"/>
                      <w:marTop w:val="0"/>
                      <w:marBottom w:val="0"/>
                      <w:divBdr>
                        <w:top w:val="none" w:sz="0" w:space="0" w:color="auto"/>
                        <w:left w:val="none" w:sz="0" w:space="0" w:color="auto"/>
                        <w:bottom w:val="none" w:sz="0" w:space="0" w:color="auto"/>
                        <w:right w:val="none" w:sz="0" w:space="0" w:color="auto"/>
                      </w:divBdr>
                      <w:divsChild>
                        <w:div w:id="294148825">
                          <w:marLeft w:val="0"/>
                          <w:marRight w:val="0"/>
                          <w:marTop w:val="0"/>
                          <w:marBottom w:val="0"/>
                          <w:divBdr>
                            <w:top w:val="none" w:sz="0" w:space="0" w:color="auto"/>
                            <w:left w:val="none" w:sz="0" w:space="0" w:color="auto"/>
                            <w:bottom w:val="none" w:sz="0" w:space="0" w:color="auto"/>
                            <w:right w:val="none" w:sz="0" w:space="0" w:color="auto"/>
                          </w:divBdr>
                        </w:div>
                      </w:divsChild>
                    </w:div>
                    <w:div w:id="294144397">
                      <w:marLeft w:val="0"/>
                      <w:marRight w:val="0"/>
                      <w:marTop w:val="0"/>
                      <w:marBottom w:val="0"/>
                      <w:divBdr>
                        <w:top w:val="none" w:sz="0" w:space="0" w:color="auto"/>
                        <w:left w:val="none" w:sz="0" w:space="0" w:color="auto"/>
                        <w:bottom w:val="none" w:sz="0" w:space="0" w:color="auto"/>
                        <w:right w:val="none" w:sz="0" w:space="0" w:color="auto"/>
                      </w:divBdr>
                    </w:div>
                    <w:div w:id="294144445">
                      <w:marLeft w:val="0"/>
                      <w:marRight w:val="0"/>
                      <w:marTop w:val="0"/>
                      <w:marBottom w:val="0"/>
                      <w:divBdr>
                        <w:top w:val="none" w:sz="0" w:space="0" w:color="auto"/>
                        <w:left w:val="none" w:sz="0" w:space="0" w:color="auto"/>
                        <w:bottom w:val="none" w:sz="0" w:space="0" w:color="auto"/>
                        <w:right w:val="none" w:sz="0" w:space="0" w:color="auto"/>
                      </w:divBdr>
                      <w:divsChild>
                        <w:div w:id="294155451">
                          <w:marLeft w:val="0"/>
                          <w:marRight w:val="0"/>
                          <w:marTop w:val="0"/>
                          <w:marBottom w:val="0"/>
                          <w:divBdr>
                            <w:top w:val="none" w:sz="0" w:space="0" w:color="auto"/>
                            <w:left w:val="none" w:sz="0" w:space="0" w:color="auto"/>
                            <w:bottom w:val="none" w:sz="0" w:space="0" w:color="auto"/>
                            <w:right w:val="none" w:sz="0" w:space="0" w:color="auto"/>
                          </w:divBdr>
                        </w:div>
                      </w:divsChild>
                    </w:div>
                    <w:div w:id="294144893">
                      <w:marLeft w:val="0"/>
                      <w:marRight w:val="0"/>
                      <w:marTop w:val="0"/>
                      <w:marBottom w:val="0"/>
                      <w:divBdr>
                        <w:top w:val="none" w:sz="0" w:space="0" w:color="auto"/>
                        <w:left w:val="none" w:sz="0" w:space="0" w:color="auto"/>
                        <w:bottom w:val="none" w:sz="0" w:space="0" w:color="auto"/>
                        <w:right w:val="none" w:sz="0" w:space="0" w:color="auto"/>
                      </w:divBdr>
                      <w:divsChild>
                        <w:div w:id="294147271">
                          <w:marLeft w:val="0"/>
                          <w:marRight w:val="0"/>
                          <w:marTop w:val="0"/>
                          <w:marBottom w:val="0"/>
                          <w:divBdr>
                            <w:top w:val="none" w:sz="0" w:space="0" w:color="auto"/>
                            <w:left w:val="none" w:sz="0" w:space="0" w:color="auto"/>
                            <w:bottom w:val="none" w:sz="0" w:space="0" w:color="auto"/>
                            <w:right w:val="none" w:sz="0" w:space="0" w:color="auto"/>
                          </w:divBdr>
                        </w:div>
                      </w:divsChild>
                    </w:div>
                    <w:div w:id="294145217">
                      <w:marLeft w:val="0"/>
                      <w:marRight w:val="0"/>
                      <w:marTop w:val="0"/>
                      <w:marBottom w:val="0"/>
                      <w:divBdr>
                        <w:top w:val="none" w:sz="0" w:space="0" w:color="auto"/>
                        <w:left w:val="none" w:sz="0" w:space="0" w:color="auto"/>
                        <w:bottom w:val="none" w:sz="0" w:space="0" w:color="auto"/>
                        <w:right w:val="none" w:sz="0" w:space="0" w:color="auto"/>
                      </w:divBdr>
                      <w:divsChild>
                        <w:div w:id="294147091">
                          <w:marLeft w:val="0"/>
                          <w:marRight w:val="0"/>
                          <w:marTop w:val="0"/>
                          <w:marBottom w:val="0"/>
                          <w:divBdr>
                            <w:top w:val="none" w:sz="0" w:space="0" w:color="auto"/>
                            <w:left w:val="none" w:sz="0" w:space="0" w:color="auto"/>
                            <w:bottom w:val="none" w:sz="0" w:space="0" w:color="auto"/>
                            <w:right w:val="none" w:sz="0" w:space="0" w:color="auto"/>
                          </w:divBdr>
                        </w:div>
                      </w:divsChild>
                    </w:div>
                    <w:div w:id="294145425">
                      <w:marLeft w:val="0"/>
                      <w:marRight w:val="0"/>
                      <w:marTop w:val="0"/>
                      <w:marBottom w:val="0"/>
                      <w:divBdr>
                        <w:top w:val="none" w:sz="0" w:space="0" w:color="auto"/>
                        <w:left w:val="none" w:sz="0" w:space="0" w:color="auto"/>
                        <w:bottom w:val="none" w:sz="0" w:space="0" w:color="auto"/>
                        <w:right w:val="none" w:sz="0" w:space="0" w:color="auto"/>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5487">
                      <w:marLeft w:val="0"/>
                      <w:marRight w:val="0"/>
                      <w:marTop w:val="0"/>
                      <w:marBottom w:val="0"/>
                      <w:divBdr>
                        <w:top w:val="none" w:sz="0" w:space="0" w:color="auto"/>
                        <w:left w:val="none" w:sz="0" w:space="0" w:color="auto"/>
                        <w:bottom w:val="none" w:sz="0" w:space="0" w:color="auto"/>
                        <w:right w:val="none" w:sz="0" w:space="0" w:color="auto"/>
                      </w:divBdr>
                      <w:divsChild>
                        <w:div w:id="294145241">
                          <w:marLeft w:val="0"/>
                          <w:marRight w:val="0"/>
                          <w:marTop w:val="0"/>
                          <w:marBottom w:val="0"/>
                          <w:divBdr>
                            <w:top w:val="none" w:sz="0" w:space="0" w:color="auto"/>
                            <w:left w:val="none" w:sz="0" w:space="0" w:color="auto"/>
                            <w:bottom w:val="none" w:sz="0" w:space="0" w:color="auto"/>
                            <w:right w:val="none" w:sz="0" w:space="0" w:color="auto"/>
                          </w:divBdr>
                        </w:div>
                      </w:divsChild>
                    </w:div>
                    <w:div w:id="294145560">
                      <w:marLeft w:val="0"/>
                      <w:marRight w:val="0"/>
                      <w:marTop w:val="0"/>
                      <w:marBottom w:val="0"/>
                      <w:divBdr>
                        <w:top w:val="none" w:sz="0" w:space="0" w:color="auto"/>
                        <w:left w:val="none" w:sz="0" w:space="0" w:color="auto"/>
                        <w:bottom w:val="none" w:sz="0" w:space="0" w:color="auto"/>
                        <w:right w:val="none" w:sz="0" w:space="0" w:color="auto"/>
                      </w:divBdr>
                    </w:div>
                    <w:div w:id="294145624">
                      <w:marLeft w:val="0"/>
                      <w:marRight w:val="0"/>
                      <w:marTop w:val="0"/>
                      <w:marBottom w:val="0"/>
                      <w:divBdr>
                        <w:top w:val="none" w:sz="0" w:space="0" w:color="auto"/>
                        <w:left w:val="none" w:sz="0" w:space="0" w:color="auto"/>
                        <w:bottom w:val="none" w:sz="0" w:space="0" w:color="auto"/>
                        <w:right w:val="none" w:sz="0" w:space="0" w:color="auto"/>
                      </w:divBdr>
                      <w:divsChild>
                        <w:div w:id="294150376">
                          <w:marLeft w:val="0"/>
                          <w:marRight w:val="0"/>
                          <w:marTop w:val="0"/>
                          <w:marBottom w:val="0"/>
                          <w:divBdr>
                            <w:top w:val="none" w:sz="0" w:space="0" w:color="auto"/>
                            <w:left w:val="none" w:sz="0" w:space="0" w:color="auto"/>
                            <w:bottom w:val="none" w:sz="0" w:space="0" w:color="auto"/>
                            <w:right w:val="none" w:sz="0" w:space="0" w:color="auto"/>
                          </w:divBdr>
                        </w:div>
                      </w:divsChild>
                    </w:div>
                    <w:div w:id="294145796">
                      <w:marLeft w:val="0"/>
                      <w:marRight w:val="0"/>
                      <w:marTop w:val="0"/>
                      <w:marBottom w:val="0"/>
                      <w:divBdr>
                        <w:top w:val="none" w:sz="0" w:space="0" w:color="auto"/>
                        <w:left w:val="none" w:sz="0" w:space="0" w:color="auto"/>
                        <w:bottom w:val="none" w:sz="0" w:space="0" w:color="auto"/>
                        <w:right w:val="none" w:sz="0" w:space="0" w:color="auto"/>
                      </w:divBdr>
                    </w:div>
                    <w:div w:id="294145841">
                      <w:marLeft w:val="0"/>
                      <w:marRight w:val="0"/>
                      <w:marTop w:val="0"/>
                      <w:marBottom w:val="0"/>
                      <w:divBdr>
                        <w:top w:val="none" w:sz="0" w:space="0" w:color="auto"/>
                        <w:left w:val="none" w:sz="0" w:space="0" w:color="auto"/>
                        <w:bottom w:val="none" w:sz="0" w:space="0" w:color="auto"/>
                        <w:right w:val="none" w:sz="0" w:space="0" w:color="auto"/>
                      </w:divBdr>
                      <w:divsChild>
                        <w:div w:id="294140382">
                          <w:marLeft w:val="0"/>
                          <w:marRight w:val="0"/>
                          <w:marTop w:val="0"/>
                          <w:marBottom w:val="0"/>
                          <w:divBdr>
                            <w:top w:val="none" w:sz="0" w:space="0" w:color="auto"/>
                            <w:left w:val="none" w:sz="0" w:space="0" w:color="auto"/>
                            <w:bottom w:val="none" w:sz="0" w:space="0" w:color="auto"/>
                            <w:right w:val="none" w:sz="0" w:space="0" w:color="auto"/>
                          </w:divBdr>
                        </w:div>
                      </w:divsChild>
                    </w:div>
                    <w:div w:id="294145938">
                      <w:marLeft w:val="0"/>
                      <w:marRight w:val="0"/>
                      <w:marTop w:val="0"/>
                      <w:marBottom w:val="0"/>
                      <w:divBdr>
                        <w:top w:val="none" w:sz="0" w:space="0" w:color="auto"/>
                        <w:left w:val="none" w:sz="0" w:space="0" w:color="auto"/>
                        <w:bottom w:val="none" w:sz="0" w:space="0" w:color="auto"/>
                        <w:right w:val="none" w:sz="0" w:space="0" w:color="auto"/>
                      </w:divBdr>
                    </w:div>
                    <w:div w:id="294146009">
                      <w:marLeft w:val="0"/>
                      <w:marRight w:val="0"/>
                      <w:marTop w:val="0"/>
                      <w:marBottom w:val="0"/>
                      <w:divBdr>
                        <w:top w:val="none" w:sz="0" w:space="0" w:color="auto"/>
                        <w:left w:val="none" w:sz="0" w:space="0" w:color="auto"/>
                        <w:bottom w:val="none" w:sz="0" w:space="0" w:color="auto"/>
                        <w:right w:val="none" w:sz="0" w:space="0" w:color="auto"/>
                      </w:divBdr>
                      <w:divsChild>
                        <w:div w:id="294149516">
                          <w:marLeft w:val="0"/>
                          <w:marRight w:val="0"/>
                          <w:marTop w:val="0"/>
                          <w:marBottom w:val="0"/>
                          <w:divBdr>
                            <w:top w:val="none" w:sz="0" w:space="0" w:color="auto"/>
                            <w:left w:val="none" w:sz="0" w:space="0" w:color="auto"/>
                            <w:bottom w:val="none" w:sz="0" w:space="0" w:color="auto"/>
                            <w:right w:val="none" w:sz="0" w:space="0" w:color="auto"/>
                          </w:divBdr>
                        </w:div>
                      </w:divsChild>
                    </w:div>
                    <w:div w:id="294146026">
                      <w:marLeft w:val="0"/>
                      <w:marRight w:val="0"/>
                      <w:marTop w:val="0"/>
                      <w:marBottom w:val="0"/>
                      <w:divBdr>
                        <w:top w:val="none" w:sz="0" w:space="0" w:color="auto"/>
                        <w:left w:val="none" w:sz="0" w:space="0" w:color="auto"/>
                        <w:bottom w:val="none" w:sz="0" w:space="0" w:color="auto"/>
                        <w:right w:val="none" w:sz="0" w:space="0" w:color="auto"/>
                      </w:divBdr>
                      <w:divsChild>
                        <w:div w:id="294156797">
                          <w:marLeft w:val="0"/>
                          <w:marRight w:val="0"/>
                          <w:marTop w:val="0"/>
                          <w:marBottom w:val="0"/>
                          <w:divBdr>
                            <w:top w:val="none" w:sz="0" w:space="0" w:color="auto"/>
                            <w:left w:val="none" w:sz="0" w:space="0" w:color="auto"/>
                            <w:bottom w:val="none" w:sz="0" w:space="0" w:color="auto"/>
                            <w:right w:val="none" w:sz="0" w:space="0" w:color="auto"/>
                          </w:divBdr>
                        </w:div>
                      </w:divsChild>
                    </w:div>
                    <w:div w:id="294146045">
                      <w:marLeft w:val="0"/>
                      <w:marRight w:val="0"/>
                      <w:marTop w:val="0"/>
                      <w:marBottom w:val="0"/>
                      <w:divBdr>
                        <w:top w:val="none" w:sz="0" w:space="0" w:color="auto"/>
                        <w:left w:val="none" w:sz="0" w:space="0" w:color="auto"/>
                        <w:bottom w:val="none" w:sz="0" w:space="0" w:color="auto"/>
                        <w:right w:val="none" w:sz="0" w:space="0" w:color="auto"/>
                      </w:divBdr>
                      <w:divsChild>
                        <w:div w:id="294143037">
                          <w:marLeft w:val="0"/>
                          <w:marRight w:val="0"/>
                          <w:marTop w:val="0"/>
                          <w:marBottom w:val="0"/>
                          <w:divBdr>
                            <w:top w:val="none" w:sz="0" w:space="0" w:color="auto"/>
                            <w:left w:val="none" w:sz="0" w:space="0" w:color="auto"/>
                            <w:bottom w:val="none" w:sz="0" w:space="0" w:color="auto"/>
                            <w:right w:val="none" w:sz="0" w:space="0" w:color="auto"/>
                          </w:divBdr>
                        </w:div>
                      </w:divsChild>
                    </w:div>
                    <w:div w:id="294146163">
                      <w:marLeft w:val="0"/>
                      <w:marRight w:val="0"/>
                      <w:marTop w:val="0"/>
                      <w:marBottom w:val="0"/>
                      <w:divBdr>
                        <w:top w:val="none" w:sz="0" w:space="0" w:color="auto"/>
                        <w:left w:val="none" w:sz="0" w:space="0" w:color="auto"/>
                        <w:bottom w:val="none" w:sz="0" w:space="0" w:color="auto"/>
                        <w:right w:val="none" w:sz="0" w:space="0" w:color="auto"/>
                      </w:divBdr>
                    </w:div>
                    <w:div w:id="294146209">
                      <w:marLeft w:val="0"/>
                      <w:marRight w:val="0"/>
                      <w:marTop w:val="0"/>
                      <w:marBottom w:val="0"/>
                      <w:divBdr>
                        <w:top w:val="none" w:sz="0" w:space="0" w:color="auto"/>
                        <w:left w:val="none" w:sz="0" w:space="0" w:color="auto"/>
                        <w:bottom w:val="none" w:sz="0" w:space="0" w:color="auto"/>
                        <w:right w:val="none" w:sz="0" w:space="0" w:color="auto"/>
                      </w:divBdr>
                    </w:div>
                    <w:div w:id="294146281">
                      <w:marLeft w:val="0"/>
                      <w:marRight w:val="0"/>
                      <w:marTop w:val="0"/>
                      <w:marBottom w:val="0"/>
                      <w:divBdr>
                        <w:top w:val="none" w:sz="0" w:space="0" w:color="auto"/>
                        <w:left w:val="none" w:sz="0" w:space="0" w:color="auto"/>
                        <w:bottom w:val="none" w:sz="0" w:space="0" w:color="auto"/>
                        <w:right w:val="none" w:sz="0" w:space="0" w:color="auto"/>
                      </w:divBdr>
                    </w:div>
                    <w:div w:id="294146577">
                      <w:marLeft w:val="0"/>
                      <w:marRight w:val="0"/>
                      <w:marTop w:val="0"/>
                      <w:marBottom w:val="0"/>
                      <w:divBdr>
                        <w:top w:val="none" w:sz="0" w:space="0" w:color="auto"/>
                        <w:left w:val="none" w:sz="0" w:space="0" w:color="auto"/>
                        <w:bottom w:val="none" w:sz="0" w:space="0" w:color="auto"/>
                        <w:right w:val="none" w:sz="0" w:space="0" w:color="auto"/>
                      </w:divBdr>
                      <w:divsChild>
                        <w:div w:id="294156669">
                          <w:marLeft w:val="0"/>
                          <w:marRight w:val="0"/>
                          <w:marTop w:val="0"/>
                          <w:marBottom w:val="0"/>
                          <w:divBdr>
                            <w:top w:val="none" w:sz="0" w:space="0" w:color="auto"/>
                            <w:left w:val="none" w:sz="0" w:space="0" w:color="auto"/>
                            <w:bottom w:val="none" w:sz="0" w:space="0" w:color="auto"/>
                            <w:right w:val="none" w:sz="0" w:space="0" w:color="auto"/>
                          </w:divBdr>
                        </w:div>
                      </w:divsChild>
                    </w:div>
                    <w:div w:id="294146651">
                      <w:marLeft w:val="0"/>
                      <w:marRight w:val="0"/>
                      <w:marTop w:val="0"/>
                      <w:marBottom w:val="0"/>
                      <w:divBdr>
                        <w:top w:val="none" w:sz="0" w:space="0" w:color="auto"/>
                        <w:left w:val="none" w:sz="0" w:space="0" w:color="auto"/>
                        <w:bottom w:val="none" w:sz="0" w:space="0" w:color="auto"/>
                        <w:right w:val="none" w:sz="0" w:space="0" w:color="auto"/>
                      </w:divBdr>
                    </w:div>
                    <w:div w:id="294146655">
                      <w:marLeft w:val="0"/>
                      <w:marRight w:val="0"/>
                      <w:marTop w:val="0"/>
                      <w:marBottom w:val="0"/>
                      <w:divBdr>
                        <w:top w:val="none" w:sz="0" w:space="0" w:color="auto"/>
                        <w:left w:val="none" w:sz="0" w:space="0" w:color="auto"/>
                        <w:bottom w:val="none" w:sz="0" w:space="0" w:color="auto"/>
                        <w:right w:val="none" w:sz="0" w:space="0" w:color="auto"/>
                      </w:divBdr>
                    </w:div>
                    <w:div w:id="294146864">
                      <w:marLeft w:val="0"/>
                      <w:marRight w:val="0"/>
                      <w:marTop w:val="0"/>
                      <w:marBottom w:val="0"/>
                      <w:divBdr>
                        <w:top w:val="none" w:sz="0" w:space="0" w:color="auto"/>
                        <w:left w:val="none" w:sz="0" w:space="0" w:color="auto"/>
                        <w:bottom w:val="none" w:sz="0" w:space="0" w:color="auto"/>
                        <w:right w:val="none" w:sz="0" w:space="0" w:color="auto"/>
                      </w:divBdr>
                    </w:div>
                    <w:div w:id="294146877">
                      <w:marLeft w:val="0"/>
                      <w:marRight w:val="0"/>
                      <w:marTop w:val="0"/>
                      <w:marBottom w:val="0"/>
                      <w:divBdr>
                        <w:top w:val="none" w:sz="0" w:space="0" w:color="auto"/>
                        <w:left w:val="none" w:sz="0" w:space="0" w:color="auto"/>
                        <w:bottom w:val="none" w:sz="0" w:space="0" w:color="auto"/>
                        <w:right w:val="none" w:sz="0" w:space="0" w:color="auto"/>
                      </w:divBdr>
                    </w:div>
                    <w:div w:id="294146929">
                      <w:marLeft w:val="0"/>
                      <w:marRight w:val="0"/>
                      <w:marTop w:val="0"/>
                      <w:marBottom w:val="0"/>
                      <w:divBdr>
                        <w:top w:val="none" w:sz="0" w:space="0" w:color="auto"/>
                        <w:left w:val="none" w:sz="0" w:space="0" w:color="auto"/>
                        <w:bottom w:val="none" w:sz="0" w:space="0" w:color="auto"/>
                        <w:right w:val="none" w:sz="0" w:space="0" w:color="auto"/>
                      </w:divBdr>
                      <w:divsChild>
                        <w:div w:id="294140187">
                          <w:marLeft w:val="0"/>
                          <w:marRight w:val="0"/>
                          <w:marTop w:val="0"/>
                          <w:marBottom w:val="0"/>
                          <w:divBdr>
                            <w:top w:val="none" w:sz="0" w:space="0" w:color="auto"/>
                            <w:left w:val="none" w:sz="0" w:space="0" w:color="auto"/>
                            <w:bottom w:val="none" w:sz="0" w:space="0" w:color="auto"/>
                            <w:right w:val="none" w:sz="0" w:space="0" w:color="auto"/>
                          </w:divBdr>
                        </w:div>
                      </w:divsChild>
                    </w:div>
                    <w:div w:id="294147000">
                      <w:marLeft w:val="0"/>
                      <w:marRight w:val="0"/>
                      <w:marTop w:val="0"/>
                      <w:marBottom w:val="0"/>
                      <w:divBdr>
                        <w:top w:val="none" w:sz="0" w:space="0" w:color="auto"/>
                        <w:left w:val="none" w:sz="0" w:space="0" w:color="auto"/>
                        <w:bottom w:val="none" w:sz="0" w:space="0" w:color="auto"/>
                        <w:right w:val="none" w:sz="0" w:space="0" w:color="auto"/>
                      </w:divBdr>
                    </w:div>
                    <w:div w:id="294147109">
                      <w:marLeft w:val="0"/>
                      <w:marRight w:val="0"/>
                      <w:marTop w:val="0"/>
                      <w:marBottom w:val="0"/>
                      <w:divBdr>
                        <w:top w:val="none" w:sz="0" w:space="0" w:color="auto"/>
                        <w:left w:val="none" w:sz="0" w:space="0" w:color="auto"/>
                        <w:bottom w:val="none" w:sz="0" w:space="0" w:color="auto"/>
                        <w:right w:val="none" w:sz="0" w:space="0" w:color="auto"/>
                      </w:divBdr>
                      <w:divsChild>
                        <w:div w:id="294156927">
                          <w:marLeft w:val="0"/>
                          <w:marRight w:val="0"/>
                          <w:marTop w:val="0"/>
                          <w:marBottom w:val="0"/>
                          <w:divBdr>
                            <w:top w:val="none" w:sz="0" w:space="0" w:color="auto"/>
                            <w:left w:val="none" w:sz="0" w:space="0" w:color="auto"/>
                            <w:bottom w:val="none" w:sz="0" w:space="0" w:color="auto"/>
                            <w:right w:val="none" w:sz="0" w:space="0" w:color="auto"/>
                          </w:divBdr>
                        </w:div>
                      </w:divsChild>
                    </w:div>
                    <w:div w:id="294147408">
                      <w:marLeft w:val="0"/>
                      <w:marRight w:val="0"/>
                      <w:marTop w:val="0"/>
                      <w:marBottom w:val="0"/>
                      <w:divBdr>
                        <w:top w:val="none" w:sz="0" w:space="0" w:color="auto"/>
                        <w:left w:val="none" w:sz="0" w:space="0" w:color="auto"/>
                        <w:bottom w:val="none" w:sz="0" w:space="0" w:color="auto"/>
                        <w:right w:val="none" w:sz="0" w:space="0" w:color="auto"/>
                      </w:divBdr>
                      <w:divsChild>
                        <w:div w:id="294155777">
                          <w:marLeft w:val="0"/>
                          <w:marRight w:val="0"/>
                          <w:marTop w:val="0"/>
                          <w:marBottom w:val="0"/>
                          <w:divBdr>
                            <w:top w:val="none" w:sz="0" w:space="0" w:color="auto"/>
                            <w:left w:val="none" w:sz="0" w:space="0" w:color="auto"/>
                            <w:bottom w:val="none" w:sz="0" w:space="0" w:color="auto"/>
                            <w:right w:val="none" w:sz="0" w:space="0" w:color="auto"/>
                          </w:divBdr>
                        </w:div>
                      </w:divsChild>
                    </w:div>
                    <w:div w:id="294147440">
                      <w:marLeft w:val="0"/>
                      <w:marRight w:val="0"/>
                      <w:marTop w:val="0"/>
                      <w:marBottom w:val="0"/>
                      <w:divBdr>
                        <w:top w:val="none" w:sz="0" w:space="0" w:color="auto"/>
                        <w:left w:val="none" w:sz="0" w:space="0" w:color="auto"/>
                        <w:bottom w:val="none" w:sz="0" w:space="0" w:color="auto"/>
                        <w:right w:val="none" w:sz="0" w:space="0" w:color="auto"/>
                      </w:divBdr>
                    </w:div>
                    <w:div w:id="294147954">
                      <w:marLeft w:val="0"/>
                      <w:marRight w:val="0"/>
                      <w:marTop w:val="0"/>
                      <w:marBottom w:val="0"/>
                      <w:divBdr>
                        <w:top w:val="none" w:sz="0" w:space="0" w:color="auto"/>
                        <w:left w:val="none" w:sz="0" w:space="0" w:color="auto"/>
                        <w:bottom w:val="none" w:sz="0" w:space="0" w:color="auto"/>
                        <w:right w:val="none" w:sz="0" w:space="0" w:color="auto"/>
                      </w:divBdr>
                    </w:div>
                    <w:div w:id="294148001">
                      <w:marLeft w:val="0"/>
                      <w:marRight w:val="0"/>
                      <w:marTop w:val="0"/>
                      <w:marBottom w:val="0"/>
                      <w:divBdr>
                        <w:top w:val="none" w:sz="0" w:space="0" w:color="auto"/>
                        <w:left w:val="none" w:sz="0" w:space="0" w:color="auto"/>
                        <w:bottom w:val="none" w:sz="0" w:space="0" w:color="auto"/>
                        <w:right w:val="none" w:sz="0" w:space="0" w:color="auto"/>
                      </w:divBdr>
                    </w:div>
                    <w:div w:id="294148205">
                      <w:marLeft w:val="0"/>
                      <w:marRight w:val="0"/>
                      <w:marTop w:val="0"/>
                      <w:marBottom w:val="0"/>
                      <w:divBdr>
                        <w:top w:val="none" w:sz="0" w:space="0" w:color="auto"/>
                        <w:left w:val="none" w:sz="0" w:space="0" w:color="auto"/>
                        <w:bottom w:val="none" w:sz="0" w:space="0" w:color="auto"/>
                        <w:right w:val="none" w:sz="0" w:space="0" w:color="auto"/>
                      </w:divBdr>
                    </w:div>
                    <w:div w:id="294148227">
                      <w:marLeft w:val="0"/>
                      <w:marRight w:val="0"/>
                      <w:marTop w:val="0"/>
                      <w:marBottom w:val="0"/>
                      <w:divBdr>
                        <w:top w:val="none" w:sz="0" w:space="0" w:color="auto"/>
                        <w:left w:val="none" w:sz="0" w:space="0" w:color="auto"/>
                        <w:bottom w:val="none" w:sz="0" w:space="0" w:color="auto"/>
                        <w:right w:val="none" w:sz="0" w:space="0" w:color="auto"/>
                      </w:divBdr>
                    </w:div>
                    <w:div w:id="294148364">
                      <w:marLeft w:val="0"/>
                      <w:marRight w:val="0"/>
                      <w:marTop w:val="0"/>
                      <w:marBottom w:val="0"/>
                      <w:divBdr>
                        <w:top w:val="none" w:sz="0" w:space="0" w:color="auto"/>
                        <w:left w:val="none" w:sz="0" w:space="0" w:color="auto"/>
                        <w:bottom w:val="none" w:sz="0" w:space="0" w:color="auto"/>
                        <w:right w:val="none" w:sz="0" w:space="0" w:color="auto"/>
                      </w:divBdr>
                      <w:divsChild>
                        <w:div w:id="294150905">
                          <w:marLeft w:val="0"/>
                          <w:marRight w:val="0"/>
                          <w:marTop w:val="0"/>
                          <w:marBottom w:val="0"/>
                          <w:divBdr>
                            <w:top w:val="none" w:sz="0" w:space="0" w:color="auto"/>
                            <w:left w:val="none" w:sz="0" w:space="0" w:color="auto"/>
                            <w:bottom w:val="none" w:sz="0" w:space="0" w:color="auto"/>
                            <w:right w:val="none" w:sz="0" w:space="0" w:color="auto"/>
                          </w:divBdr>
                        </w:div>
                      </w:divsChild>
                    </w:div>
                    <w:div w:id="294148444">
                      <w:marLeft w:val="0"/>
                      <w:marRight w:val="0"/>
                      <w:marTop w:val="0"/>
                      <w:marBottom w:val="0"/>
                      <w:divBdr>
                        <w:top w:val="none" w:sz="0" w:space="0" w:color="auto"/>
                        <w:left w:val="none" w:sz="0" w:space="0" w:color="auto"/>
                        <w:bottom w:val="none" w:sz="0" w:space="0" w:color="auto"/>
                        <w:right w:val="none" w:sz="0" w:space="0" w:color="auto"/>
                      </w:divBdr>
                    </w:div>
                    <w:div w:id="294148535">
                      <w:marLeft w:val="0"/>
                      <w:marRight w:val="0"/>
                      <w:marTop w:val="0"/>
                      <w:marBottom w:val="0"/>
                      <w:divBdr>
                        <w:top w:val="none" w:sz="0" w:space="0" w:color="auto"/>
                        <w:left w:val="none" w:sz="0" w:space="0" w:color="auto"/>
                        <w:bottom w:val="none" w:sz="0" w:space="0" w:color="auto"/>
                        <w:right w:val="none" w:sz="0" w:space="0" w:color="auto"/>
                      </w:divBdr>
                      <w:divsChild>
                        <w:div w:id="294150589">
                          <w:marLeft w:val="0"/>
                          <w:marRight w:val="0"/>
                          <w:marTop w:val="0"/>
                          <w:marBottom w:val="0"/>
                          <w:divBdr>
                            <w:top w:val="none" w:sz="0" w:space="0" w:color="auto"/>
                            <w:left w:val="none" w:sz="0" w:space="0" w:color="auto"/>
                            <w:bottom w:val="none" w:sz="0" w:space="0" w:color="auto"/>
                            <w:right w:val="none" w:sz="0" w:space="0" w:color="auto"/>
                          </w:divBdr>
                        </w:div>
                      </w:divsChild>
                    </w:div>
                    <w:div w:id="294148706">
                      <w:marLeft w:val="0"/>
                      <w:marRight w:val="0"/>
                      <w:marTop w:val="0"/>
                      <w:marBottom w:val="0"/>
                      <w:divBdr>
                        <w:top w:val="none" w:sz="0" w:space="0" w:color="auto"/>
                        <w:left w:val="none" w:sz="0" w:space="0" w:color="auto"/>
                        <w:bottom w:val="none" w:sz="0" w:space="0" w:color="auto"/>
                        <w:right w:val="none" w:sz="0" w:space="0" w:color="auto"/>
                      </w:divBdr>
                      <w:divsChild>
                        <w:div w:id="294140946">
                          <w:marLeft w:val="0"/>
                          <w:marRight w:val="0"/>
                          <w:marTop w:val="0"/>
                          <w:marBottom w:val="0"/>
                          <w:divBdr>
                            <w:top w:val="none" w:sz="0" w:space="0" w:color="auto"/>
                            <w:left w:val="none" w:sz="0" w:space="0" w:color="auto"/>
                            <w:bottom w:val="none" w:sz="0" w:space="0" w:color="auto"/>
                            <w:right w:val="none" w:sz="0" w:space="0" w:color="auto"/>
                          </w:divBdr>
                        </w:div>
                      </w:divsChild>
                    </w:div>
                    <w:div w:id="294148781">
                      <w:marLeft w:val="0"/>
                      <w:marRight w:val="0"/>
                      <w:marTop w:val="0"/>
                      <w:marBottom w:val="0"/>
                      <w:divBdr>
                        <w:top w:val="none" w:sz="0" w:space="0" w:color="auto"/>
                        <w:left w:val="none" w:sz="0" w:space="0" w:color="auto"/>
                        <w:bottom w:val="none" w:sz="0" w:space="0" w:color="auto"/>
                        <w:right w:val="none" w:sz="0" w:space="0" w:color="auto"/>
                      </w:divBdr>
                    </w:div>
                    <w:div w:id="294149029">
                      <w:marLeft w:val="0"/>
                      <w:marRight w:val="0"/>
                      <w:marTop w:val="0"/>
                      <w:marBottom w:val="0"/>
                      <w:divBdr>
                        <w:top w:val="none" w:sz="0" w:space="0" w:color="auto"/>
                        <w:left w:val="none" w:sz="0" w:space="0" w:color="auto"/>
                        <w:bottom w:val="none" w:sz="0" w:space="0" w:color="auto"/>
                        <w:right w:val="none" w:sz="0" w:space="0" w:color="auto"/>
                      </w:divBdr>
                      <w:divsChild>
                        <w:div w:id="294146361">
                          <w:marLeft w:val="0"/>
                          <w:marRight w:val="0"/>
                          <w:marTop w:val="0"/>
                          <w:marBottom w:val="0"/>
                          <w:divBdr>
                            <w:top w:val="none" w:sz="0" w:space="0" w:color="auto"/>
                            <w:left w:val="none" w:sz="0" w:space="0" w:color="auto"/>
                            <w:bottom w:val="none" w:sz="0" w:space="0" w:color="auto"/>
                            <w:right w:val="none" w:sz="0" w:space="0" w:color="auto"/>
                          </w:divBdr>
                        </w:div>
                      </w:divsChild>
                    </w:div>
                    <w:div w:id="294149061">
                      <w:marLeft w:val="0"/>
                      <w:marRight w:val="0"/>
                      <w:marTop w:val="0"/>
                      <w:marBottom w:val="0"/>
                      <w:divBdr>
                        <w:top w:val="none" w:sz="0" w:space="0" w:color="auto"/>
                        <w:left w:val="none" w:sz="0" w:space="0" w:color="auto"/>
                        <w:bottom w:val="none" w:sz="0" w:space="0" w:color="auto"/>
                        <w:right w:val="none" w:sz="0" w:space="0" w:color="auto"/>
                      </w:divBdr>
                      <w:divsChild>
                        <w:div w:id="294152013">
                          <w:marLeft w:val="0"/>
                          <w:marRight w:val="0"/>
                          <w:marTop w:val="0"/>
                          <w:marBottom w:val="0"/>
                          <w:divBdr>
                            <w:top w:val="none" w:sz="0" w:space="0" w:color="auto"/>
                            <w:left w:val="none" w:sz="0" w:space="0" w:color="auto"/>
                            <w:bottom w:val="none" w:sz="0" w:space="0" w:color="auto"/>
                            <w:right w:val="none" w:sz="0" w:space="0" w:color="auto"/>
                          </w:divBdr>
                        </w:div>
                      </w:divsChild>
                    </w:div>
                    <w:div w:id="294149143">
                      <w:marLeft w:val="0"/>
                      <w:marRight w:val="0"/>
                      <w:marTop w:val="0"/>
                      <w:marBottom w:val="0"/>
                      <w:divBdr>
                        <w:top w:val="none" w:sz="0" w:space="0" w:color="auto"/>
                        <w:left w:val="none" w:sz="0" w:space="0" w:color="auto"/>
                        <w:bottom w:val="none" w:sz="0" w:space="0" w:color="auto"/>
                        <w:right w:val="none" w:sz="0" w:space="0" w:color="auto"/>
                      </w:divBdr>
                    </w:div>
                    <w:div w:id="294149233">
                      <w:marLeft w:val="0"/>
                      <w:marRight w:val="0"/>
                      <w:marTop w:val="0"/>
                      <w:marBottom w:val="0"/>
                      <w:divBdr>
                        <w:top w:val="none" w:sz="0" w:space="0" w:color="auto"/>
                        <w:left w:val="none" w:sz="0" w:space="0" w:color="auto"/>
                        <w:bottom w:val="none" w:sz="0" w:space="0" w:color="auto"/>
                        <w:right w:val="none" w:sz="0" w:space="0" w:color="auto"/>
                      </w:divBdr>
                      <w:divsChild>
                        <w:div w:id="294151892">
                          <w:marLeft w:val="0"/>
                          <w:marRight w:val="0"/>
                          <w:marTop w:val="0"/>
                          <w:marBottom w:val="0"/>
                          <w:divBdr>
                            <w:top w:val="none" w:sz="0" w:space="0" w:color="auto"/>
                            <w:left w:val="none" w:sz="0" w:space="0" w:color="auto"/>
                            <w:bottom w:val="none" w:sz="0" w:space="0" w:color="auto"/>
                            <w:right w:val="none" w:sz="0" w:space="0" w:color="auto"/>
                          </w:divBdr>
                        </w:div>
                      </w:divsChild>
                    </w:div>
                    <w:div w:id="294149282">
                      <w:marLeft w:val="0"/>
                      <w:marRight w:val="0"/>
                      <w:marTop w:val="0"/>
                      <w:marBottom w:val="0"/>
                      <w:divBdr>
                        <w:top w:val="none" w:sz="0" w:space="0" w:color="auto"/>
                        <w:left w:val="none" w:sz="0" w:space="0" w:color="auto"/>
                        <w:bottom w:val="none" w:sz="0" w:space="0" w:color="auto"/>
                        <w:right w:val="none" w:sz="0" w:space="0" w:color="auto"/>
                      </w:divBdr>
                    </w:div>
                    <w:div w:id="294149385">
                      <w:marLeft w:val="0"/>
                      <w:marRight w:val="0"/>
                      <w:marTop w:val="0"/>
                      <w:marBottom w:val="0"/>
                      <w:divBdr>
                        <w:top w:val="none" w:sz="0" w:space="0" w:color="auto"/>
                        <w:left w:val="none" w:sz="0" w:space="0" w:color="auto"/>
                        <w:bottom w:val="none" w:sz="0" w:space="0" w:color="auto"/>
                        <w:right w:val="none" w:sz="0" w:space="0" w:color="auto"/>
                      </w:divBdr>
                    </w:div>
                    <w:div w:id="294149651">
                      <w:marLeft w:val="0"/>
                      <w:marRight w:val="0"/>
                      <w:marTop w:val="0"/>
                      <w:marBottom w:val="0"/>
                      <w:divBdr>
                        <w:top w:val="none" w:sz="0" w:space="0" w:color="auto"/>
                        <w:left w:val="none" w:sz="0" w:space="0" w:color="auto"/>
                        <w:bottom w:val="none" w:sz="0" w:space="0" w:color="auto"/>
                        <w:right w:val="none" w:sz="0" w:space="0" w:color="auto"/>
                      </w:divBdr>
                    </w:div>
                    <w:div w:id="294149762">
                      <w:marLeft w:val="0"/>
                      <w:marRight w:val="0"/>
                      <w:marTop w:val="0"/>
                      <w:marBottom w:val="0"/>
                      <w:divBdr>
                        <w:top w:val="none" w:sz="0" w:space="0" w:color="auto"/>
                        <w:left w:val="none" w:sz="0" w:space="0" w:color="auto"/>
                        <w:bottom w:val="none" w:sz="0" w:space="0" w:color="auto"/>
                        <w:right w:val="none" w:sz="0" w:space="0" w:color="auto"/>
                      </w:divBdr>
                      <w:divsChild>
                        <w:div w:id="294138330">
                          <w:marLeft w:val="0"/>
                          <w:marRight w:val="0"/>
                          <w:marTop w:val="0"/>
                          <w:marBottom w:val="0"/>
                          <w:divBdr>
                            <w:top w:val="none" w:sz="0" w:space="0" w:color="auto"/>
                            <w:left w:val="none" w:sz="0" w:space="0" w:color="auto"/>
                            <w:bottom w:val="none" w:sz="0" w:space="0" w:color="auto"/>
                            <w:right w:val="none" w:sz="0" w:space="0" w:color="auto"/>
                          </w:divBdr>
                        </w:div>
                      </w:divsChild>
                    </w:div>
                    <w:div w:id="294149852">
                      <w:marLeft w:val="0"/>
                      <w:marRight w:val="0"/>
                      <w:marTop w:val="0"/>
                      <w:marBottom w:val="0"/>
                      <w:divBdr>
                        <w:top w:val="none" w:sz="0" w:space="0" w:color="auto"/>
                        <w:left w:val="none" w:sz="0" w:space="0" w:color="auto"/>
                        <w:bottom w:val="none" w:sz="0" w:space="0" w:color="auto"/>
                        <w:right w:val="none" w:sz="0" w:space="0" w:color="auto"/>
                      </w:divBdr>
                    </w:div>
                    <w:div w:id="294149895">
                      <w:marLeft w:val="0"/>
                      <w:marRight w:val="0"/>
                      <w:marTop w:val="0"/>
                      <w:marBottom w:val="0"/>
                      <w:divBdr>
                        <w:top w:val="none" w:sz="0" w:space="0" w:color="auto"/>
                        <w:left w:val="none" w:sz="0" w:space="0" w:color="auto"/>
                        <w:bottom w:val="none" w:sz="0" w:space="0" w:color="auto"/>
                        <w:right w:val="none" w:sz="0" w:space="0" w:color="auto"/>
                      </w:divBdr>
                    </w:div>
                    <w:div w:id="294150122">
                      <w:marLeft w:val="0"/>
                      <w:marRight w:val="0"/>
                      <w:marTop w:val="0"/>
                      <w:marBottom w:val="0"/>
                      <w:divBdr>
                        <w:top w:val="none" w:sz="0" w:space="0" w:color="auto"/>
                        <w:left w:val="none" w:sz="0" w:space="0" w:color="auto"/>
                        <w:bottom w:val="none" w:sz="0" w:space="0" w:color="auto"/>
                        <w:right w:val="none" w:sz="0" w:space="0" w:color="auto"/>
                      </w:divBdr>
                      <w:divsChild>
                        <w:div w:id="294141031">
                          <w:marLeft w:val="0"/>
                          <w:marRight w:val="0"/>
                          <w:marTop w:val="0"/>
                          <w:marBottom w:val="0"/>
                          <w:divBdr>
                            <w:top w:val="none" w:sz="0" w:space="0" w:color="auto"/>
                            <w:left w:val="none" w:sz="0" w:space="0" w:color="auto"/>
                            <w:bottom w:val="none" w:sz="0" w:space="0" w:color="auto"/>
                            <w:right w:val="none" w:sz="0" w:space="0" w:color="auto"/>
                          </w:divBdr>
                        </w:div>
                      </w:divsChild>
                    </w:div>
                    <w:div w:id="294150133">
                      <w:marLeft w:val="0"/>
                      <w:marRight w:val="0"/>
                      <w:marTop w:val="0"/>
                      <w:marBottom w:val="0"/>
                      <w:divBdr>
                        <w:top w:val="none" w:sz="0" w:space="0" w:color="auto"/>
                        <w:left w:val="none" w:sz="0" w:space="0" w:color="auto"/>
                        <w:bottom w:val="none" w:sz="0" w:space="0" w:color="auto"/>
                        <w:right w:val="none" w:sz="0" w:space="0" w:color="auto"/>
                      </w:divBdr>
                      <w:divsChild>
                        <w:div w:id="294138899">
                          <w:marLeft w:val="0"/>
                          <w:marRight w:val="0"/>
                          <w:marTop w:val="0"/>
                          <w:marBottom w:val="0"/>
                          <w:divBdr>
                            <w:top w:val="none" w:sz="0" w:space="0" w:color="auto"/>
                            <w:left w:val="none" w:sz="0" w:space="0" w:color="auto"/>
                            <w:bottom w:val="none" w:sz="0" w:space="0" w:color="auto"/>
                            <w:right w:val="none" w:sz="0" w:space="0" w:color="auto"/>
                          </w:divBdr>
                        </w:div>
                      </w:divsChild>
                    </w:div>
                    <w:div w:id="294150146">
                      <w:marLeft w:val="0"/>
                      <w:marRight w:val="0"/>
                      <w:marTop w:val="0"/>
                      <w:marBottom w:val="0"/>
                      <w:divBdr>
                        <w:top w:val="none" w:sz="0" w:space="0" w:color="auto"/>
                        <w:left w:val="none" w:sz="0" w:space="0" w:color="auto"/>
                        <w:bottom w:val="none" w:sz="0" w:space="0" w:color="auto"/>
                        <w:right w:val="none" w:sz="0" w:space="0" w:color="auto"/>
                      </w:divBdr>
                      <w:divsChild>
                        <w:div w:id="294151508">
                          <w:marLeft w:val="0"/>
                          <w:marRight w:val="0"/>
                          <w:marTop w:val="0"/>
                          <w:marBottom w:val="0"/>
                          <w:divBdr>
                            <w:top w:val="none" w:sz="0" w:space="0" w:color="auto"/>
                            <w:left w:val="none" w:sz="0" w:space="0" w:color="auto"/>
                            <w:bottom w:val="none" w:sz="0" w:space="0" w:color="auto"/>
                            <w:right w:val="none" w:sz="0" w:space="0" w:color="auto"/>
                          </w:divBdr>
                        </w:div>
                      </w:divsChild>
                    </w:div>
                    <w:div w:id="294150286">
                      <w:marLeft w:val="0"/>
                      <w:marRight w:val="0"/>
                      <w:marTop w:val="0"/>
                      <w:marBottom w:val="0"/>
                      <w:divBdr>
                        <w:top w:val="none" w:sz="0" w:space="0" w:color="auto"/>
                        <w:left w:val="none" w:sz="0" w:space="0" w:color="auto"/>
                        <w:bottom w:val="none" w:sz="0" w:space="0" w:color="auto"/>
                        <w:right w:val="none" w:sz="0" w:space="0" w:color="auto"/>
                      </w:divBdr>
                    </w:div>
                    <w:div w:id="294150348">
                      <w:marLeft w:val="0"/>
                      <w:marRight w:val="0"/>
                      <w:marTop w:val="0"/>
                      <w:marBottom w:val="0"/>
                      <w:divBdr>
                        <w:top w:val="none" w:sz="0" w:space="0" w:color="auto"/>
                        <w:left w:val="none" w:sz="0" w:space="0" w:color="auto"/>
                        <w:bottom w:val="none" w:sz="0" w:space="0" w:color="auto"/>
                        <w:right w:val="none" w:sz="0" w:space="0" w:color="auto"/>
                      </w:divBdr>
                      <w:divsChild>
                        <w:div w:id="294154206">
                          <w:marLeft w:val="0"/>
                          <w:marRight w:val="0"/>
                          <w:marTop w:val="0"/>
                          <w:marBottom w:val="0"/>
                          <w:divBdr>
                            <w:top w:val="none" w:sz="0" w:space="0" w:color="auto"/>
                            <w:left w:val="none" w:sz="0" w:space="0" w:color="auto"/>
                            <w:bottom w:val="none" w:sz="0" w:space="0" w:color="auto"/>
                            <w:right w:val="none" w:sz="0" w:space="0" w:color="auto"/>
                          </w:divBdr>
                        </w:div>
                      </w:divsChild>
                    </w:div>
                    <w:div w:id="294150356">
                      <w:marLeft w:val="0"/>
                      <w:marRight w:val="0"/>
                      <w:marTop w:val="0"/>
                      <w:marBottom w:val="0"/>
                      <w:divBdr>
                        <w:top w:val="none" w:sz="0" w:space="0" w:color="auto"/>
                        <w:left w:val="none" w:sz="0" w:space="0" w:color="auto"/>
                        <w:bottom w:val="none" w:sz="0" w:space="0" w:color="auto"/>
                        <w:right w:val="none" w:sz="0" w:space="0" w:color="auto"/>
                      </w:divBdr>
                      <w:divsChild>
                        <w:div w:id="294144387">
                          <w:marLeft w:val="0"/>
                          <w:marRight w:val="0"/>
                          <w:marTop w:val="0"/>
                          <w:marBottom w:val="0"/>
                          <w:divBdr>
                            <w:top w:val="none" w:sz="0" w:space="0" w:color="auto"/>
                            <w:left w:val="none" w:sz="0" w:space="0" w:color="auto"/>
                            <w:bottom w:val="none" w:sz="0" w:space="0" w:color="auto"/>
                            <w:right w:val="none" w:sz="0" w:space="0" w:color="auto"/>
                          </w:divBdr>
                        </w:div>
                      </w:divsChild>
                    </w:div>
                    <w:div w:id="294150369">
                      <w:marLeft w:val="0"/>
                      <w:marRight w:val="0"/>
                      <w:marTop w:val="0"/>
                      <w:marBottom w:val="0"/>
                      <w:divBdr>
                        <w:top w:val="none" w:sz="0" w:space="0" w:color="auto"/>
                        <w:left w:val="none" w:sz="0" w:space="0" w:color="auto"/>
                        <w:bottom w:val="none" w:sz="0" w:space="0" w:color="auto"/>
                        <w:right w:val="none" w:sz="0" w:space="0" w:color="auto"/>
                      </w:divBdr>
                    </w:div>
                    <w:div w:id="294150472">
                      <w:marLeft w:val="0"/>
                      <w:marRight w:val="0"/>
                      <w:marTop w:val="0"/>
                      <w:marBottom w:val="0"/>
                      <w:divBdr>
                        <w:top w:val="none" w:sz="0" w:space="0" w:color="auto"/>
                        <w:left w:val="none" w:sz="0" w:space="0" w:color="auto"/>
                        <w:bottom w:val="none" w:sz="0" w:space="0" w:color="auto"/>
                        <w:right w:val="none" w:sz="0" w:space="0" w:color="auto"/>
                      </w:divBdr>
                    </w:div>
                    <w:div w:id="294150518">
                      <w:marLeft w:val="0"/>
                      <w:marRight w:val="0"/>
                      <w:marTop w:val="0"/>
                      <w:marBottom w:val="0"/>
                      <w:divBdr>
                        <w:top w:val="none" w:sz="0" w:space="0" w:color="auto"/>
                        <w:left w:val="none" w:sz="0" w:space="0" w:color="auto"/>
                        <w:bottom w:val="none" w:sz="0" w:space="0" w:color="auto"/>
                        <w:right w:val="none" w:sz="0" w:space="0" w:color="auto"/>
                      </w:divBdr>
                    </w:div>
                    <w:div w:id="294150649">
                      <w:marLeft w:val="0"/>
                      <w:marRight w:val="0"/>
                      <w:marTop w:val="0"/>
                      <w:marBottom w:val="0"/>
                      <w:divBdr>
                        <w:top w:val="none" w:sz="0" w:space="0" w:color="auto"/>
                        <w:left w:val="none" w:sz="0" w:space="0" w:color="auto"/>
                        <w:bottom w:val="none" w:sz="0" w:space="0" w:color="auto"/>
                        <w:right w:val="none" w:sz="0" w:space="0" w:color="auto"/>
                      </w:divBdr>
                      <w:divsChild>
                        <w:div w:id="294142361">
                          <w:marLeft w:val="0"/>
                          <w:marRight w:val="0"/>
                          <w:marTop w:val="0"/>
                          <w:marBottom w:val="0"/>
                          <w:divBdr>
                            <w:top w:val="none" w:sz="0" w:space="0" w:color="auto"/>
                            <w:left w:val="none" w:sz="0" w:space="0" w:color="auto"/>
                            <w:bottom w:val="none" w:sz="0" w:space="0" w:color="auto"/>
                            <w:right w:val="none" w:sz="0" w:space="0" w:color="auto"/>
                          </w:divBdr>
                        </w:div>
                      </w:divsChild>
                    </w:div>
                    <w:div w:id="294150668">
                      <w:marLeft w:val="0"/>
                      <w:marRight w:val="0"/>
                      <w:marTop w:val="0"/>
                      <w:marBottom w:val="0"/>
                      <w:divBdr>
                        <w:top w:val="none" w:sz="0" w:space="0" w:color="auto"/>
                        <w:left w:val="none" w:sz="0" w:space="0" w:color="auto"/>
                        <w:bottom w:val="none" w:sz="0" w:space="0" w:color="auto"/>
                        <w:right w:val="none" w:sz="0" w:space="0" w:color="auto"/>
                      </w:divBdr>
                    </w:div>
                    <w:div w:id="294150974">
                      <w:marLeft w:val="0"/>
                      <w:marRight w:val="0"/>
                      <w:marTop w:val="0"/>
                      <w:marBottom w:val="0"/>
                      <w:divBdr>
                        <w:top w:val="none" w:sz="0" w:space="0" w:color="auto"/>
                        <w:left w:val="none" w:sz="0" w:space="0" w:color="auto"/>
                        <w:bottom w:val="none" w:sz="0" w:space="0" w:color="auto"/>
                        <w:right w:val="none" w:sz="0" w:space="0" w:color="auto"/>
                      </w:divBdr>
                    </w:div>
                    <w:div w:id="294151093">
                      <w:marLeft w:val="0"/>
                      <w:marRight w:val="0"/>
                      <w:marTop w:val="0"/>
                      <w:marBottom w:val="0"/>
                      <w:divBdr>
                        <w:top w:val="none" w:sz="0" w:space="0" w:color="auto"/>
                        <w:left w:val="none" w:sz="0" w:space="0" w:color="auto"/>
                        <w:bottom w:val="none" w:sz="0" w:space="0" w:color="auto"/>
                        <w:right w:val="none" w:sz="0" w:space="0" w:color="auto"/>
                      </w:divBdr>
                    </w:div>
                    <w:div w:id="294151288">
                      <w:marLeft w:val="0"/>
                      <w:marRight w:val="0"/>
                      <w:marTop w:val="0"/>
                      <w:marBottom w:val="0"/>
                      <w:divBdr>
                        <w:top w:val="none" w:sz="0" w:space="0" w:color="auto"/>
                        <w:left w:val="none" w:sz="0" w:space="0" w:color="auto"/>
                        <w:bottom w:val="none" w:sz="0" w:space="0" w:color="auto"/>
                        <w:right w:val="none" w:sz="0" w:space="0" w:color="auto"/>
                      </w:divBdr>
                    </w:div>
                    <w:div w:id="294151302">
                      <w:marLeft w:val="0"/>
                      <w:marRight w:val="0"/>
                      <w:marTop w:val="0"/>
                      <w:marBottom w:val="0"/>
                      <w:divBdr>
                        <w:top w:val="none" w:sz="0" w:space="0" w:color="auto"/>
                        <w:left w:val="none" w:sz="0" w:space="0" w:color="auto"/>
                        <w:bottom w:val="none" w:sz="0" w:space="0" w:color="auto"/>
                        <w:right w:val="none" w:sz="0" w:space="0" w:color="auto"/>
                      </w:divBdr>
                      <w:divsChild>
                        <w:div w:id="294150781">
                          <w:marLeft w:val="0"/>
                          <w:marRight w:val="0"/>
                          <w:marTop w:val="0"/>
                          <w:marBottom w:val="0"/>
                          <w:divBdr>
                            <w:top w:val="none" w:sz="0" w:space="0" w:color="auto"/>
                            <w:left w:val="none" w:sz="0" w:space="0" w:color="auto"/>
                            <w:bottom w:val="none" w:sz="0" w:space="0" w:color="auto"/>
                            <w:right w:val="none" w:sz="0" w:space="0" w:color="auto"/>
                          </w:divBdr>
                        </w:div>
                      </w:divsChild>
                    </w:div>
                    <w:div w:id="294151541">
                      <w:marLeft w:val="0"/>
                      <w:marRight w:val="0"/>
                      <w:marTop w:val="0"/>
                      <w:marBottom w:val="0"/>
                      <w:divBdr>
                        <w:top w:val="none" w:sz="0" w:space="0" w:color="auto"/>
                        <w:left w:val="none" w:sz="0" w:space="0" w:color="auto"/>
                        <w:bottom w:val="none" w:sz="0" w:space="0" w:color="auto"/>
                        <w:right w:val="none" w:sz="0" w:space="0" w:color="auto"/>
                      </w:divBdr>
                      <w:divsChild>
                        <w:div w:id="294157338">
                          <w:marLeft w:val="0"/>
                          <w:marRight w:val="0"/>
                          <w:marTop w:val="0"/>
                          <w:marBottom w:val="0"/>
                          <w:divBdr>
                            <w:top w:val="none" w:sz="0" w:space="0" w:color="auto"/>
                            <w:left w:val="none" w:sz="0" w:space="0" w:color="auto"/>
                            <w:bottom w:val="none" w:sz="0" w:space="0" w:color="auto"/>
                            <w:right w:val="none" w:sz="0" w:space="0" w:color="auto"/>
                          </w:divBdr>
                        </w:div>
                      </w:divsChild>
                    </w:div>
                    <w:div w:id="294151637">
                      <w:marLeft w:val="0"/>
                      <w:marRight w:val="0"/>
                      <w:marTop w:val="0"/>
                      <w:marBottom w:val="0"/>
                      <w:divBdr>
                        <w:top w:val="none" w:sz="0" w:space="0" w:color="auto"/>
                        <w:left w:val="none" w:sz="0" w:space="0" w:color="auto"/>
                        <w:bottom w:val="none" w:sz="0" w:space="0" w:color="auto"/>
                        <w:right w:val="none" w:sz="0" w:space="0" w:color="auto"/>
                      </w:divBdr>
                    </w:div>
                    <w:div w:id="294151901">
                      <w:marLeft w:val="0"/>
                      <w:marRight w:val="0"/>
                      <w:marTop w:val="0"/>
                      <w:marBottom w:val="0"/>
                      <w:divBdr>
                        <w:top w:val="none" w:sz="0" w:space="0" w:color="auto"/>
                        <w:left w:val="none" w:sz="0" w:space="0" w:color="auto"/>
                        <w:bottom w:val="none" w:sz="0" w:space="0" w:color="auto"/>
                        <w:right w:val="none" w:sz="0" w:space="0" w:color="auto"/>
                      </w:divBdr>
                      <w:divsChild>
                        <w:div w:id="294150863">
                          <w:marLeft w:val="0"/>
                          <w:marRight w:val="0"/>
                          <w:marTop w:val="0"/>
                          <w:marBottom w:val="0"/>
                          <w:divBdr>
                            <w:top w:val="none" w:sz="0" w:space="0" w:color="auto"/>
                            <w:left w:val="none" w:sz="0" w:space="0" w:color="auto"/>
                            <w:bottom w:val="none" w:sz="0" w:space="0" w:color="auto"/>
                            <w:right w:val="none" w:sz="0" w:space="0" w:color="auto"/>
                          </w:divBdr>
                        </w:div>
                      </w:divsChild>
                    </w:div>
                    <w:div w:id="294151908">
                      <w:marLeft w:val="0"/>
                      <w:marRight w:val="0"/>
                      <w:marTop w:val="0"/>
                      <w:marBottom w:val="0"/>
                      <w:divBdr>
                        <w:top w:val="none" w:sz="0" w:space="0" w:color="auto"/>
                        <w:left w:val="none" w:sz="0" w:space="0" w:color="auto"/>
                        <w:bottom w:val="none" w:sz="0" w:space="0" w:color="auto"/>
                        <w:right w:val="none" w:sz="0" w:space="0" w:color="auto"/>
                      </w:divBdr>
                      <w:divsChild>
                        <w:div w:id="294153688">
                          <w:marLeft w:val="0"/>
                          <w:marRight w:val="0"/>
                          <w:marTop w:val="0"/>
                          <w:marBottom w:val="0"/>
                          <w:divBdr>
                            <w:top w:val="none" w:sz="0" w:space="0" w:color="auto"/>
                            <w:left w:val="none" w:sz="0" w:space="0" w:color="auto"/>
                            <w:bottom w:val="none" w:sz="0" w:space="0" w:color="auto"/>
                            <w:right w:val="none" w:sz="0" w:space="0" w:color="auto"/>
                          </w:divBdr>
                        </w:div>
                      </w:divsChild>
                    </w:div>
                    <w:div w:id="294151926">
                      <w:marLeft w:val="0"/>
                      <w:marRight w:val="0"/>
                      <w:marTop w:val="0"/>
                      <w:marBottom w:val="0"/>
                      <w:divBdr>
                        <w:top w:val="none" w:sz="0" w:space="0" w:color="auto"/>
                        <w:left w:val="none" w:sz="0" w:space="0" w:color="auto"/>
                        <w:bottom w:val="none" w:sz="0" w:space="0" w:color="auto"/>
                        <w:right w:val="none" w:sz="0" w:space="0" w:color="auto"/>
                      </w:divBdr>
                      <w:divsChild>
                        <w:div w:id="294145515">
                          <w:marLeft w:val="0"/>
                          <w:marRight w:val="0"/>
                          <w:marTop w:val="0"/>
                          <w:marBottom w:val="0"/>
                          <w:divBdr>
                            <w:top w:val="none" w:sz="0" w:space="0" w:color="auto"/>
                            <w:left w:val="none" w:sz="0" w:space="0" w:color="auto"/>
                            <w:bottom w:val="none" w:sz="0" w:space="0" w:color="auto"/>
                            <w:right w:val="none" w:sz="0" w:space="0" w:color="auto"/>
                          </w:divBdr>
                        </w:div>
                      </w:divsChild>
                    </w:div>
                    <w:div w:id="294152001">
                      <w:marLeft w:val="0"/>
                      <w:marRight w:val="0"/>
                      <w:marTop w:val="0"/>
                      <w:marBottom w:val="0"/>
                      <w:divBdr>
                        <w:top w:val="none" w:sz="0" w:space="0" w:color="auto"/>
                        <w:left w:val="none" w:sz="0" w:space="0" w:color="auto"/>
                        <w:bottom w:val="none" w:sz="0" w:space="0" w:color="auto"/>
                        <w:right w:val="none" w:sz="0" w:space="0" w:color="auto"/>
                      </w:divBdr>
                    </w:div>
                    <w:div w:id="294152110">
                      <w:marLeft w:val="0"/>
                      <w:marRight w:val="0"/>
                      <w:marTop w:val="0"/>
                      <w:marBottom w:val="0"/>
                      <w:divBdr>
                        <w:top w:val="none" w:sz="0" w:space="0" w:color="auto"/>
                        <w:left w:val="none" w:sz="0" w:space="0" w:color="auto"/>
                        <w:bottom w:val="none" w:sz="0" w:space="0" w:color="auto"/>
                        <w:right w:val="none" w:sz="0" w:space="0" w:color="auto"/>
                      </w:divBdr>
                    </w:div>
                    <w:div w:id="294152199">
                      <w:marLeft w:val="0"/>
                      <w:marRight w:val="0"/>
                      <w:marTop w:val="0"/>
                      <w:marBottom w:val="0"/>
                      <w:divBdr>
                        <w:top w:val="none" w:sz="0" w:space="0" w:color="auto"/>
                        <w:left w:val="none" w:sz="0" w:space="0" w:color="auto"/>
                        <w:bottom w:val="none" w:sz="0" w:space="0" w:color="auto"/>
                        <w:right w:val="none" w:sz="0" w:space="0" w:color="auto"/>
                      </w:divBdr>
                      <w:divsChild>
                        <w:div w:id="294150809">
                          <w:marLeft w:val="0"/>
                          <w:marRight w:val="0"/>
                          <w:marTop w:val="0"/>
                          <w:marBottom w:val="0"/>
                          <w:divBdr>
                            <w:top w:val="none" w:sz="0" w:space="0" w:color="auto"/>
                            <w:left w:val="none" w:sz="0" w:space="0" w:color="auto"/>
                            <w:bottom w:val="none" w:sz="0" w:space="0" w:color="auto"/>
                            <w:right w:val="none" w:sz="0" w:space="0" w:color="auto"/>
                          </w:divBdr>
                        </w:div>
                      </w:divsChild>
                    </w:div>
                    <w:div w:id="294152239">
                      <w:marLeft w:val="0"/>
                      <w:marRight w:val="0"/>
                      <w:marTop w:val="0"/>
                      <w:marBottom w:val="0"/>
                      <w:divBdr>
                        <w:top w:val="none" w:sz="0" w:space="0" w:color="auto"/>
                        <w:left w:val="none" w:sz="0" w:space="0" w:color="auto"/>
                        <w:bottom w:val="none" w:sz="0" w:space="0" w:color="auto"/>
                        <w:right w:val="none" w:sz="0" w:space="0" w:color="auto"/>
                      </w:divBdr>
                    </w:div>
                    <w:div w:id="294152261">
                      <w:marLeft w:val="0"/>
                      <w:marRight w:val="0"/>
                      <w:marTop w:val="0"/>
                      <w:marBottom w:val="0"/>
                      <w:divBdr>
                        <w:top w:val="none" w:sz="0" w:space="0" w:color="auto"/>
                        <w:left w:val="none" w:sz="0" w:space="0" w:color="auto"/>
                        <w:bottom w:val="none" w:sz="0" w:space="0" w:color="auto"/>
                        <w:right w:val="none" w:sz="0" w:space="0" w:color="auto"/>
                      </w:divBdr>
                      <w:divsChild>
                        <w:div w:id="294153895">
                          <w:marLeft w:val="0"/>
                          <w:marRight w:val="0"/>
                          <w:marTop w:val="0"/>
                          <w:marBottom w:val="0"/>
                          <w:divBdr>
                            <w:top w:val="none" w:sz="0" w:space="0" w:color="auto"/>
                            <w:left w:val="none" w:sz="0" w:space="0" w:color="auto"/>
                            <w:bottom w:val="none" w:sz="0" w:space="0" w:color="auto"/>
                            <w:right w:val="none" w:sz="0" w:space="0" w:color="auto"/>
                          </w:divBdr>
                        </w:div>
                      </w:divsChild>
                    </w:div>
                    <w:div w:id="294152279">
                      <w:marLeft w:val="0"/>
                      <w:marRight w:val="0"/>
                      <w:marTop w:val="0"/>
                      <w:marBottom w:val="0"/>
                      <w:divBdr>
                        <w:top w:val="none" w:sz="0" w:space="0" w:color="auto"/>
                        <w:left w:val="none" w:sz="0" w:space="0" w:color="auto"/>
                        <w:bottom w:val="none" w:sz="0" w:space="0" w:color="auto"/>
                        <w:right w:val="none" w:sz="0" w:space="0" w:color="auto"/>
                      </w:divBdr>
                      <w:divsChild>
                        <w:div w:id="294142481">
                          <w:marLeft w:val="0"/>
                          <w:marRight w:val="0"/>
                          <w:marTop w:val="0"/>
                          <w:marBottom w:val="0"/>
                          <w:divBdr>
                            <w:top w:val="none" w:sz="0" w:space="0" w:color="auto"/>
                            <w:left w:val="none" w:sz="0" w:space="0" w:color="auto"/>
                            <w:bottom w:val="none" w:sz="0" w:space="0" w:color="auto"/>
                            <w:right w:val="none" w:sz="0" w:space="0" w:color="auto"/>
                          </w:divBdr>
                        </w:div>
                      </w:divsChild>
                    </w:div>
                    <w:div w:id="294152281">
                      <w:marLeft w:val="0"/>
                      <w:marRight w:val="0"/>
                      <w:marTop w:val="0"/>
                      <w:marBottom w:val="0"/>
                      <w:divBdr>
                        <w:top w:val="none" w:sz="0" w:space="0" w:color="auto"/>
                        <w:left w:val="none" w:sz="0" w:space="0" w:color="auto"/>
                        <w:bottom w:val="none" w:sz="0" w:space="0" w:color="auto"/>
                        <w:right w:val="none" w:sz="0" w:space="0" w:color="auto"/>
                      </w:divBdr>
                      <w:divsChild>
                        <w:div w:id="294145186">
                          <w:marLeft w:val="0"/>
                          <w:marRight w:val="0"/>
                          <w:marTop w:val="0"/>
                          <w:marBottom w:val="0"/>
                          <w:divBdr>
                            <w:top w:val="none" w:sz="0" w:space="0" w:color="auto"/>
                            <w:left w:val="none" w:sz="0" w:space="0" w:color="auto"/>
                            <w:bottom w:val="none" w:sz="0" w:space="0" w:color="auto"/>
                            <w:right w:val="none" w:sz="0" w:space="0" w:color="auto"/>
                          </w:divBdr>
                        </w:div>
                      </w:divsChild>
                    </w:div>
                    <w:div w:id="294152342">
                      <w:marLeft w:val="0"/>
                      <w:marRight w:val="0"/>
                      <w:marTop w:val="0"/>
                      <w:marBottom w:val="0"/>
                      <w:divBdr>
                        <w:top w:val="none" w:sz="0" w:space="0" w:color="auto"/>
                        <w:left w:val="none" w:sz="0" w:space="0" w:color="auto"/>
                        <w:bottom w:val="none" w:sz="0" w:space="0" w:color="auto"/>
                        <w:right w:val="none" w:sz="0" w:space="0" w:color="auto"/>
                      </w:divBdr>
                      <w:divsChild>
                        <w:div w:id="294156583">
                          <w:marLeft w:val="0"/>
                          <w:marRight w:val="0"/>
                          <w:marTop w:val="0"/>
                          <w:marBottom w:val="0"/>
                          <w:divBdr>
                            <w:top w:val="none" w:sz="0" w:space="0" w:color="auto"/>
                            <w:left w:val="none" w:sz="0" w:space="0" w:color="auto"/>
                            <w:bottom w:val="none" w:sz="0" w:space="0" w:color="auto"/>
                            <w:right w:val="none" w:sz="0" w:space="0" w:color="auto"/>
                          </w:divBdr>
                        </w:div>
                      </w:divsChild>
                    </w:div>
                    <w:div w:id="294152378">
                      <w:marLeft w:val="0"/>
                      <w:marRight w:val="0"/>
                      <w:marTop w:val="0"/>
                      <w:marBottom w:val="0"/>
                      <w:divBdr>
                        <w:top w:val="none" w:sz="0" w:space="0" w:color="auto"/>
                        <w:left w:val="none" w:sz="0" w:space="0" w:color="auto"/>
                        <w:bottom w:val="none" w:sz="0" w:space="0" w:color="auto"/>
                        <w:right w:val="none" w:sz="0" w:space="0" w:color="auto"/>
                      </w:divBdr>
                    </w:div>
                    <w:div w:id="294152458">
                      <w:marLeft w:val="0"/>
                      <w:marRight w:val="0"/>
                      <w:marTop w:val="0"/>
                      <w:marBottom w:val="0"/>
                      <w:divBdr>
                        <w:top w:val="none" w:sz="0" w:space="0" w:color="auto"/>
                        <w:left w:val="none" w:sz="0" w:space="0" w:color="auto"/>
                        <w:bottom w:val="none" w:sz="0" w:space="0" w:color="auto"/>
                        <w:right w:val="none" w:sz="0" w:space="0" w:color="auto"/>
                      </w:divBdr>
                    </w:div>
                    <w:div w:id="294152575">
                      <w:marLeft w:val="0"/>
                      <w:marRight w:val="0"/>
                      <w:marTop w:val="0"/>
                      <w:marBottom w:val="0"/>
                      <w:divBdr>
                        <w:top w:val="none" w:sz="0" w:space="0" w:color="auto"/>
                        <w:left w:val="none" w:sz="0" w:space="0" w:color="auto"/>
                        <w:bottom w:val="none" w:sz="0" w:space="0" w:color="auto"/>
                        <w:right w:val="none" w:sz="0" w:space="0" w:color="auto"/>
                      </w:divBdr>
                      <w:divsChild>
                        <w:div w:id="294156280">
                          <w:marLeft w:val="0"/>
                          <w:marRight w:val="0"/>
                          <w:marTop w:val="0"/>
                          <w:marBottom w:val="0"/>
                          <w:divBdr>
                            <w:top w:val="none" w:sz="0" w:space="0" w:color="auto"/>
                            <w:left w:val="none" w:sz="0" w:space="0" w:color="auto"/>
                            <w:bottom w:val="none" w:sz="0" w:space="0" w:color="auto"/>
                            <w:right w:val="none" w:sz="0" w:space="0" w:color="auto"/>
                          </w:divBdr>
                        </w:div>
                      </w:divsChild>
                    </w:div>
                    <w:div w:id="294152737">
                      <w:marLeft w:val="0"/>
                      <w:marRight w:val="0"/>
                      <w:marTop w:val="0"/>
                      <w:marBottom w:val="0"/>
                      <w:divBdr>
                        <w:top w:val="none" w:sz="0" w:space="0" w:color="auto"/>
                        <w:left w:val="none" w:sz="0" w:space="0" w:color="auto"/>
                        <w:bottom w:val="none" w:sz="0" w:space="0" w:color="auto"/>
                        <w:right w:val="none" w:sz="0" w:space="0" w:color="auto"/>
                      </w:divBdr>
                      <w:divsChild>
                        <w:div w:id="294138130">
                          <w:marLeft w:val="0"/>
                          <w:marRight w:val="0"/>
                          <w:marTop w:val="0"/>
                          <w:marBottom w:val="0"/>
                          <w:divBdr>
                            <w:top w:val="none" w:sz="0" w:space="0" w:color="auto"/>
                            <w:left w:val="none" w:sz="0" w:space="0" w:color="auto"/>
                            <w:bottom w:val="none" w:sz="0" w:space="0" w:color="auto"/>
                            <w:right w:val="none" w:sz="0" w:space="0" w:color="auto"/>
                          </w:divBdr>
                        </w:div>
                      </w:divsChild>
                    </w:div>
                    <w:div w:id="294152777">
                      <w:marLeft w:val="0"/>
                      <w:marRight w:val="0"/>
                      <w:marTop w:val="0"/>
                      <w:marBottom w:val="0"/>
                      <w:divBdr>
                        <w:top w:val="none" w:sz="0" w:space="0" w:color="auto"/>
                        <w:left w:val="none" w:sz="0" w:space="0" w:color="auto"/>
                        <w:bottom w:val="none" w:sz="0" w:space="0" w:color="auto"/>
                        <w:right w:val="none" w:sz="0" w:space="0" w:color="auto"/>
                      </w:divBdr>
                    </w:div>
                    <w:div w:id="294152964">
                      <w:marLeft w:val="0"/>
                      <w:marRight w:val="0"/>
                      <w:marTop w:val="0"/>
                      <w:marBottom w:val="0"/>
                      <w:divBdr>
                        <w:top w:val="none" w:sz="0" w:space="0" w:color="auto"/>
                        <w:left w:val="none" w:sz="0" w:space="0" w:color="auto"/>
                        <w:bottom w:val="none" w:sz="0" w:space="0" w:color="auto"/>
                        <w:right w:val="none" w:sz="0" w:space="0" w:color="auto"/>
                      </w:divBdr>
                    </w:div>
                    <w:div w:id="294153014">
                      <w:marLeft w:val="0"/>
                      <w:marRight w:val="0"/>
                      <w:marTop w:val="0"/>
                      <w:marBottom w:val="0"/>
                      <w:divBdr>
                        <w:top w:val="none" w:sz="0" w:space="0" w:color="auto"/>
                        <w:left w:val="none" w:sz="0" w:space="0" w:color="auto"/>
                        <w:bottom w:val="none" w:sz="0" w:space="0" w:color="auto"/>
                        <w:right w:val="none" w:sz="0" w:space="0" w:color="auto"/>
                      </w:divBdr>
                    </w:div>
                    <w:div w:id="294153037">
                      <w:marLeft w:val="0"/>
                      <w:marRight w:val="0"/>
                      <w:marTop w:val="0"/>
                      <w:marBottom w:val="0"/>
                      <w:divBdr>
                        <w:top w:val="none" w:sz="0" w:space="0" w:color="auto"/>
                        <w:left w:val="none" w:sz="0" w:space="0" w:color="auto"/>
                        <w:bottom w:val="none" w:sz="0" w:space="0" w:color="auto"/>
                        <w:right w:val="none" w:sz="0" w:space="0" w:color="auto"/>
                      </w:divBdr>
                      <w:divsChild>
                        <w:div w:id="294143647">
                          <w:marLeft w:val="0"/>
                          <w:marRight w:val="0"/>
                          <w:marTop w:val="0"/>
                          <w:marBottom w:val="0"/>
                          <w:divBdr>
                            <w:top w:val="none" w:sz="0" w:space="0" w:color="auto"/>
                            <w:left w:val="none" w:sz="0" w:space="0" w:color="auto"/>
                            <w:bottom w:val="none" w:sz="0" w:space="0" w:color="auto"/>
                            <w:right w:val="none" w:sz="0" w:space="0" w:color="auto"/>
                          </w:divBdr>
                        </w:div>
                      </w:divsChild>
                    </w:div>
                    <w:div w:id="294153063">
                      <w:marLeft w:val="0"/>
                      <w:marRight w:val="0"/>
                      <w:marTop w:val="0"/>
                      <w:marBottom w:val="0"/>
                      <w:divBdr>
                        <w:top w:val="none" w:sz="0" w:space="0" w:color="auto"/>
                        <w:left w:val="none" w:sz="0" w:space="0" w:color="auto"/>
                        <w:bottom w:val="none" w:sz="0" w:space="0" w:color="auto"/>
                        <w:right w:val="none" w:sz="0" w:space="0" w:color="auto"/>
                      </w:divBdr>
                      <w:divsChild>
                        <w:div w:id="294146502">
                          <w:marLeft w:val="0"/>
                          <w:marRight w:val="0"/>
                          <w:marTop w:val="0"/>
                          <w:marBottom w:val="0"/>
                          <w:divBdr>
                            <w:top w:val="none" w:sz="0" w:space="0" w:color="auto"/>
                            <w:left w:val="none" w:sz="0" w:space="0" w:color="auto"/>
                            <w:bottom w:val="none" w:sz="0" w:space="0" w:color="auto"/>
                            <w:right w:val="none" w:sz="0" w:space="0" w:color="auto"/>
                          </w:divBdr>
                        </w:div>
                      </w:divsChild>
                    </w:div>
                    <w:div w:id="294153139">
                      <w:marLeft w:val="0"/>
                      <w:marRight w:val="0"/>
                      <w:marTop w:val="0"/>
                      <w:marBottom w:val="0"/>
                      <w:divBdr>
                        <w:top w:val="none" w:sz="0" w:space="0" w:color="auto"/>
                        <w:left w:val="none" w:sz="0" w:space="0" w:color="auto"/>
                        <w:bottom w:val="none" w:sz="0" w:space="0" w:color="auto"/>
                        <w:right w:val="none" w:sz="0" w:space="0" w:color="auto"/>
                      </w:divBdr>
                    </w:div>
                    <w:div w:id="294153193">
                      <w:marLeft w:val="0"/>
                      <w:marRight w:val="0"/>
                      <w:marTop w:val="0"/>
                      <w:marBottom w:val="0"/>
                      <w:divBdr>
                        <w:top w:val="none" w:sz="0" w:space="0" w:color="auto"/>
                        <w:left w:val="none" w:sz="0" w:space="0" w:color="auto"/>
                        <w:bottom w:val="none" w:sz="0" w:space="0" w:color="auto"/>
                        <w:right w:val="none" w:sz="0" w:space="0" w:color="auto"/>
                      </w:divBdr>
                    </w:div>
                    <w:div w:id="294153487">
                      <w:marLeft w:val="0"/>
                      <w:marRight w:val="0"/>
                      <w:marTop w:val="0"/>
                      <w:marBottom w:val="0"/>
                      <w:divBdr>
                        <w:top w:val="none" w:sz="0" w:space="0" w:color="auto"/>
                        <w:left w:val="none" w:sz="0" w:space="0" w:color="auto"/>
                        <w:bottom w:val="none" w:sz="0" w:space="0" w:color="auto"/>
                        <w:right w:val="none" w:sz="0" w:space="0" w:color="auto"/>
                      </w:divBdr>
                    </w:div>
                    <w:div w:id="294153765">
                      <w:marLeft w:val="0"/>
                      <w:marRight w:val="0"/>
                      <w:marTop w:val="0"/>
                      <w:marBottom w:val="0"/>
                      <w:divBdr>
                        <w:top w:val="none" w:sz="0" w:space="0" w:color="auto"/>
                        <w:left w:val="none" w:sz="0" w:space="0" w:color="auto"/>
                        <w:bottom w:val="none" w:sz="0" w:space="0" w:color="auto"/>
                        <w:right w:val="none" w:sz="0" w:space="0" w:color="auto"/>
                      </w:divBdr>
                      <w:divsChild>
                        <w:div w:id="294146934">
                          <w:marLeft w:val="0"/>
                          <w:marRight w:val="0"/>
                          <w:marTop w:val="0"/>
                          <w:marBottom w:val="0"/>
                          <w:divBdr>
                            <w:top w:val="none" w:sz="0" w:space="0" w:color="auto"/>
                            <w:left w:val="none" w:sz="0" w:space="0" w:color="auto"/>
                            <w:bottom w:val="none" w:sz="0" w:space="0" w:color="auto"/>
                            <w:right w:val="none" w:sz="0" w:space="0" w:color="auto"/>
                          </w:divBdr>
                        </w:div>
                      </w:divsChild>
                    </w:div>
                    <w:div w:id="294153776">
                      <w:marLeft w:val="0"/>
                      <w:marRight w:val="0"/>
                      <w:marTop w:val="0"/>
                      <w:marBottom w:val="0"/>
                      <w:divBdr>
                        <w:top w:val="none" w:sz="0" w:space="0" w:color="auto"/>
                        <w:left w:val="none" w:sz="0" w:space="0" w:color="auto"/>
                        <w:bottom w:val="none" w:sz="0" w:space="0" w:color="auto"/>
                        <w:right w:val="none" w:sz="0" w:space="0" w:color="auto"/>
                      </w:divBdr>
                    </w:div>
                    <w:div w:id="294154005">
                      <w:marLeft w:val="0"/>
                      <w:marRight w:val="0"/>
                      <w:marTop w:val="0"/>
                      <w:marBottom w:val="0"/>
                      <w:divBdr>
                        <w:top w:val="none" w:sz="0" w:space="0" w:color="auto"/>
                        <w:left w:val="none" w:sz="0" w:space="0" w:color="auto"/>
                        <w:bottom w:val="none" w:sz="0" w:space="0" w:color="auto"/>
                        <w:right w:val="none" w:sz="0" w:space="0" w:color="auto"/>
                      </w:divBdr>
                    </w:div>
                    <w:div w:id="294154126">
                      <w:marLeft w:val="0"/>
                      <w:marRight w:val="0"/>
                      <w:marTop w:val="0"/>
                      <w:marBottom w:val="0"/>
                      <w:divBdr>
                        <w:top w:val="none" w:sz="0" w:space="0" w:color="auto"/>
                        <w:left w:val="none" w:sz="0" w:space="0" w:color="auto"/>
                        <w:bottom w:val="none" w:sz="0" w:space="0" w:color="auto"/>
                        <w:right w:val="none" w:sz="0" w:space="0" w:color="auto"/>
                      </w:divBdr>
                    </w:div>
                    <w:div w:id="294154436">
                      <w:marLeft w:val="0"/>
                      <w:marRight w:val="0"/>
                      <w:marTop w:val="0"/>
                      <w:marBottom w:val="0"/>
                      <w:divBdr>
                        <w:top w:val="none" w:sz="0" w:space="0" w:color="auto"/>
                        <w:left w:val="none" w:sz="0" w:space="0" w:color="auto"/>
                        <w:bottom w:val="none" w:sz="0" w:space="0" w:color="auto"/>
                        <w:right w:val="none" w:sz="0" w:space="0" w:color="auto"/>
                      </w:divBdr>
                      <w:divsChild>
                        <w:div w:id="294153542">
                          <w:marLeft w:val="0"/>
                          <w:marRight w:val="0"/>
                          <w:marTop w:val="0"/>
                          <w:marBottom w:val="0"/>
                          <w:divBdr>
                            <w:top w:val="none" w:sz="0" w:space="0" w:color="auto"/>
                            <w:left w:val="none" w:sz="0" w:space="0" w:color="auto"/>
                            <w:bottom w:val="none" w:sz="0" w:space="0" w:color="auto"/>
                            <w:right w:val="none" w:sz="0" w:space="0" w:color="auto"/>
                          </w:divBdr>
                        </w:div>
                      </w:divsChild>
                    </w:div>
                    <w:div w:id="294154713">
                      <w:marLeft w:val="0"/>
                      <w:marRight w:val="0"/>
                      <w:marTop w:val="0"/>
                      <w:marBottom w:val="0"/>
                      <w:divBdr>
                        <w:top w:val="none" w:sz="0" w:space="0" w:color="auto"/>
                        <w:left w:val="none" w:sz="0" w:space="0" w:color="auto"/>
                        <w:bottom w:val="none" w:sz="0" w:space="0" w:color="auto"/>
                        <w:right w:val="none" w:sz="0" w:space="0" w:color="auto"/>
                      </w:divBdr>
                    </w:div>
                    <w:div w:id="294154741">
                      <w:marLeft w:val="0"/>
                      <w:marRight w:val="0"/>
                      <w:marTop w:val="0"/>
                      <w:marBottom w:val="0"/>
                      <w:divBdr>
                        <w:top w:val="none" w:sz="0" w:space="0" w:color="auto"/>
                        <w:left w:val="none" w:sz="0" w:space="0" w:color="auto"/>
                        <w:bottom w:val="none" w:sz="0" w:space="0" w:color="auto"/>
                        <w:right w:val="none" w:sz="0" w:space="0" w:color="auto"/>
                      </w:divBdr>
                      <w:divsChild>
                        <w:div w:id="294147582">
                          <w:marLeft w:val="0"/>
                          <w:marRight w:val="0"/>
                          <w:marTop w:val="0"/>
                          <w:marBottom w:val="0"/>
                          <w:divBdr>
                            <w:top w:val="none" w:sz="0" w:space="0" w:color="auto"/>
                            <w:left w:val="none" w:sz="0" w:space="0" w:color="auto"/>
                            <w:bottom w:val="none" w:sz="0" w:space="0" w:color="auto"/>
                            <w:right w:val="none" w:sz="0" w:space="0" w:color="auto"/>
                          </w:divBdr>
                        </w:div>
                      </w:divsChild>
                    </w:div>
                    <w:div w:id="294154779">
                      <w:marLeft w:val="0"/>
                      <w:marRight w:val="0"/>
                      <w:marTop w:val="0"/>
                      <w:marBottom w:val="0"/>
                      <w:divBdr>
                        <w:top w:val="none" w:sz="0" w:space="0" w:color="auto"/>
                        <w:left w:val="none" w:sz="0" w:space="0" w:color="auto"/>
                        <w:bottom w:val="none" w:sz="0" w:space="0" w:color="auto"/>
                        <w:right w:val="none" w:sz="0" w:space="0" w:color="auto"/>
                      </w:divBdr>
                    </w:div>
                    <w:div w:id="294155270">
                      <w:marLeft w:val="0"/>
                      <w:marRight w:val="0"/>
                      <w:marTop w:val="0"/>
                      <w:marBottom w:val="0"/>
                      <w:divBdr>
                        <w:top w:val="none" w:sz="0" w:space="0" w:color="auto"/>
                        <w:left w:val="none" w:sz="0" w:space="0" w:color="auto"/>
                        <w:bottom w:val="none" w:sz="0" w:space="0" w:color="auto"/>
                        <w:right w:val="none" w:sz="0" w:space="0" w:color="auto"/>
                      </w:divBdr>
                      <w:divsChild>
                        <w:div w:id="294149505">
                          <w:marLeft w:val="0"/>
                          <w:marRight w:val="0"/>
                          <w:marTop w:val="0"/>
                          <w:marBottom w:val="0"/>
                          <w:divBdr>
                            <w:top w:val="none" w:sz="0" w:space="0" w:color="auto"/>
                            <w:left w:val="none" w:sz="0" w:space="0" w:color="auto"/>
                            <w:bottom w:val="none" w:sz="0" w:space="0" w:color="auto"/>
                            <w:right w:val="none" w:sz="0" w:space="0" w:color="auto"/>
                          </w:divBdr>
                        </w:div>
                      </w:divsChild>
                    </w:div>
                    <w:div w:id="294155303">
                      <w:marLeft w:val="0"/>
                      <w:marRight w:val="0"/>
                      <w:marTop w:val="0"/>
                      <w:marBottom w:val="0"/>
                      <w:divBdr>
                        <w:top w:val="none" w:sz="0" w:space="0" w:color="auto"/>
                        <w:left w:val="none" w:sz="0" w:space="0" w:color="auto"/>
                        <w:bottom w:val="none" w:sz="0" w:space="0" w:color="auto"/>
                        <w:right w:val="none" w:sz="0" w:space="0" w:color="auto"/>
                      </w:divBdr>
                    </w:div>
                    <w:div w:id="294155363">
                      <w:marLeft w:val="0"/>
                      <w:marRight w:val="0"/>
                      <w:marTop w:val="0"/>
                      <w:marBottom w:val="0"/>
                      <w:divBdr>
                        <w:top w:val="none" w:sz="0" w:space="0" w:color="auto"/>
                        <w:left w:val="none" w:sz="0" w:space="0" w:color="auto"/>
                        <w:bottom w:val="none" w:sz="0" w:space="0" w:color="auto"/>
                        <w:right w:val="none" w:sz="0" w:space="0" w:color="auto"/>
                      </w:divBdr>
                    </w:div>
                    <w:div w:id="294155626">
                      <w:marLeft w:val="0"/>
                      <w:marRight w:val="0"/>
                      <w:marTop w:val="0"/>
                      <w:marBottom w:val="0"/>
                      <w:divBdr>
                        <w:top w:val="none" w:sz="0" w:space="0" w:color="auto"/>
                        <w:left w:val="none" w:sz="0" w:space="0" w:color="auto"/>
                        <w:bottom w:val="none" w:sz="0" w:space="0" w:color="auto"/>
                        <w:right w:val="none" w:sz="0" w:space="0" w:color="auto"/>
                      </w:divBdr>
                      <w:divsChild>
                        <w:div w:id="294154400">
                          <w:marLeft w:val="0"/>
                          <w:marRight w:val="0"/>
                          <w:marTop w:val="0"/>
                          <w:marBottom w:val="0"/>
                          <w:divBdr>
                            <w:top w:val="none" w:sz="0" w:space="0" w:color="auto"/>
                            <w:left w:val="none" w:sz="0" w:space="0" w:color="auto"/>
                            <w:bottom w:val="none" w:sz="0" w:space="0" w:color="auto"/>
                            <w:right w:val="none" w:sz="0" w:space="0" w:color="auto"/>
                          </w:divBdr>
                        </w:div>
                      </w:divsChild>
                    </w:div>
                    <w:div w:id="294155648">
                      <w:marLeft w:val="0"/>
                      <w:marRight w:val="0"/>
                      <w:marTop w:val="0"/>
                      <w:marBottom w:val="0"/>
                      <w:divBdr>
                        <w:top w:val="none" w:sz="0" w:space="0" w:color="auto"/>
                        <w:left w:val="none" w:sz="0" w:space="0" w:color="auto"/>
                        <w:bottom w:val="none" w:sz="0" w:space="0" w:color="auto"/>
                        <w:right w:val="none" w:sz="0" w:space="0" w:color="auto"/>
                      </w:divBdr>
                    </w:div>
                    <w:div w:id="294155663">
                      <w:marLeft w:val="0"/>
                      <w:marRight w:val="0"/>
                      <w:marTop w:val="0"/>
                      <w:marBottom w:val="0"/>
                      <w:divBdr>
                        <w:top w:val="none" w:sz="0" w:space="0" w:color="auto"/>
                        <w:left w:val="none" w:sz="0" w:space="0" w:color="auto"/>
                        <w:bottom w:val="none" w:sz="0" w:space="0" w:color="auto"/>
                        <w:right w:val="none" w:sz="0" w:space="0" w:color="auto"/>
                      </w:divBdr>
                      <w:divsChild>
                        <w:div w:id="294147470">
                          <w:marLeft w:val="0"/>
                          <w:marRight w:val="0"/>
                          <w:marTop w:val="0"/>
                          <w:marBottom w:val="0"/>
                          <w:divBdr>
                            <w:top w:val="none" w:sz="0" w:space="0" w:color="auto"/>
                            <w:left w:val="none" w:sz="0" w:space="0" w:color="auto"/>
                            <w:bottom w:val="none" w:sz="0" w:space="0" w:color="auto"/>
                            <w:right w:val="none" w:sz="0" w:space="0" w:color="auto"/>
                          </w:divBdr>
                        </w:div>
                      </w:divsChild>
                    </w:div>
                    <w:div w:id="294155859">
                      <w:marLeft w:val="0"/>
                      <w:marRight w:val="0"/>
                      <w:marTop w:val="0"/>
                      <w:marBottom w:val="0"/>
                      <w:divBdr>
                        <w:top w:val="none" w:sz="0" w:space="0" w:color="auto"/>
                        <w:left w:val="none" w:sz="0" w:space="0" w:color="auto"/>
                        <w:bottom w:val="none" w:sz="0" w:space="0" w:color="auto"/>
                        <w:right w:val="none" w:sz="0" w:space="0" w:color="auto"/>
                      </w:divBdr>
                    </w:div>
                    <w:div w:id="294155897">
                      <w:marLeft w:val="0"/>
                      <w:marRight w:val="0"/>
                      <w:marTop w:val="0"/>
                      <w:marBottom w:val="0"/>
                      <w:divBdr>
                        <w:top w:val="none" w:sz="0" w:space="0" w:color="auto"/>
                        <w:left w:val="none" w:sz="0" w:space="0" w:color="auto"/>
                        <w:bottom w:val="none" w:sz="0" w:space="0" w:color="auto"/>
                        <w:right w:val="none" w:sz="0" w:space="0" w:color="auto"/>
                      </w:divBdr>
                      <w:divsChild>
                        <w:div w:id="294143565">
                          <w:marLeft w:val="0"/>
                          <w:marRight w:val="0"/>
                          <w:marTop w:val="0"/>
                          <w:marBottom w:val="0"/>
                          <w:divBdr>
                            <w:top w:val="none" w:sz="0" w:space="0" w:color="auto"/>
                            <w:left w:val="none" w:sz="0" w:space="0" w:color="auto"/>
                            <w:bottom w:val="none" w:sz="0" w:space="0" w:color="auto"/>
                            <w:right w:val="none" w:sz="0" w:space="0" w:color="auto"/>
                          </w:divBdr>
                        </w:div>
                      </w:divsChild>
                    </w:div>
                    <w:div w:id="294156042">
                      <w:marLeft w:val="0"/>
                      <w:marRight w:val="0"/>
                      <w:marTop w:val="0"/>
                      <w:marBottom w:val="0"/>
                      <w:divBdr>
                        <w:top w:val="none" w:sz="0" w:space="0" w:color="auto"/>
                        <w:left w:val="none" w:sz="0" w:space="0" w:color="auto"/>
                        <w:bottom w:val="none" w:sz="0" w:space="0" w:color="auto"/>
                        <w:right w:val="none" w:sz="0" w:space="0" w:color="auto"/>
                      </w:divBdr>
                    </w:div>
                    <w:div w:id="294156146">
                      <w:marLeft w:val="0"/>
                      <w:marRight w:val="0"/>
                      <w:marTop w:val="0"/>
                      <w:marBottom w:val="0"/>
                      <w:divBdr>
                        <w:top w:val="none" w:sz="0" w:space="0" w:color="auto"/>
                        <w:left w:val="none" w:sz="0" w:space="0" w:color="auto"/>
                        <w:bottom w:val="none" w:sz="0" w:space="0" w:color="auto"/>
                        <w:right w:val="none" w:sz="0" w:space="0" w:color="auto"/>
                      </w:divBdr>
                      <w:divsChild>
                        <w:div w:id="294144925">
                          <w:marLeft w:val="0"/>
                          <w:marRight w:val="0"/>
                          <w:marTop w:val="0"/>
                          <w:marBottom w:val="0"/>
                          <w:divBdr>
                            <w:top w:val="none" w:sz="0" w:space="0" w:color="auto"/>
                            <w:left w:val="none" w:sz="0" w:space="0" w:color="auto"/>
                            <w:bottom w:val="none" w:sz="0" w:space="0" w:color="auto"/>
                            <w:right w:val="none" w:sz="0" w:space="0" w:color="auto"/>
                          </w:divBdr>
                        </w:div>
                      </w:divsChild>
                    </w:div>
                    <w:div w:id="294156170">
                      <w:marLeft w:val="0"/>
                      <w:marRight w:val="0"/>
                      <w:marTop w:val="0"/>
                      <w:marBottom w:val="0"/>
                      <w:divBdr>
                        <w:top w:val="none" w:sz="0" w:space="0" w:color="auto"/>
                        <w:left w:val="none" w:sz="0" w:space="0" w:color="auto"/>
                        <w:bottom w:val="none" w:sz="0" w:space="0" w:color="auto"/>
                        <w:right w:val="none" w:sz="0" w:space="0" w:color="auto"/>
                      </w:divBdr>
                    </w:div>
                    <w:div w:id="294156209">
                      <w:marLeft w:val="0"/>
                      <w:marRight w:val="0"/>
                      <w:marTop w:val="0"/>
                      <w:marBottom w:val="0"/>
                      <w:divBdr>
                        <w:top w:val="none" w:sz="0" w:space="0" w:color="auto"/>
                        <w:left w:val="none" w:sz="0" w:space="0" w:color="auto"/>
                        <w:bottom w:val="none" w:sz="0" w:space="0" w:color="auto"/>
                        <w:right w:val="none" w:sz="0" w:space="0" w:color="auto"/>
                      </w:divBdr>
                    </w:div>
                    <w:div w:id="294156221">
                      <w:marLeft w:val="0"/>
                      <w:marRight w:val="0"/>
                      <w:marTop w:val="0"/>
                      <w:marBottom w:val="0"/>
                      <w:divBdr>
                        <w:top w:val="none" w:sz="0" w:space="0" w:color="auto"/>
                        <w:left w:val="none" w:sz="0" w:space="0" w:color="auto"/>
                        <w:bottom w:val="none" w:sz="0" w:space="0" w:color="auto"/>
                        <w:right w:val="none" w:sz="0" w:space="0" w:color="auto"/>
                      </w:divBdr>
                      <w:divsChild>
                        <w:div w:id="294155279">
                          <w:marLeft w:val="0"/>
                          <w:marRight w:val="0"/>
                          <w:marTop w:val="0"/>
                          <w:marBottom w:val="0"/>
                          <w:divBdr>
                            <w:top w:val="none" w:sz="0" w:space="0" w:color="auto"/>
                            <w:left w:val="none" w:sz="0" w:space="0" w:color="auto"/>
                            <w:bottom w:val="none" w:sz="0" w:space="0" w:color="auto"/>
                            <w:right w:val="none" w:sz="0" w:space="0" w:color="auto"/>
                          </w:divBdr>
                        </w:div>
                      </w:divsChild>
                    </w:div>
                    <w:div w:id="294156388">
                      <w:marLeft w:val="0"/>
                      <w:marRight w:val="0"/>
                      <w:marTop w:val="0"/>
                      <w:marBottom w:val="0"/>
                      <w:divBdr>
                        <w:top w:val="none" w:sz="0" w:space="0" w:color="auto"/>
                        <w:left w:val="none" w:sz="0" w:space="0" w:color="auto"/>
                        <w:bottom w:val="none" w:sz="0" w:space="0" w:color="auto"/>
                        <w:right w:val="none" w:sz="0" w:space="0" w:color="auto"/>
                      </w:divBdr>
                      <w:divsChild>
                        <w:div w:id="294154709">
                          <w:marLeft w:val="0"/>
                          <w:marRight w:val="0"/>
                          <w:marTop w:val="0"/>
                          <w:marBottom w:val="0"/>
                          <w:divBdr>
                            <w:top w:val="none" w:sz="0" w:space="0" w:color="auto"/>
                            <w:left w:val="none" w:sz="0" w:space="0" w:color="auto"/>
                            <w:bottom w:val="none" w:sz="0" w:space="0" w:color="auto"/>
                            <w:right w:val="none" w:sz="0" w:space="0" w:color="auto"/>
                          </w:divBdr>
                        </w:div>
                      </w:divsChild>
                    </w:div>
                    <w:div w:id="294156467">
                      <w:marLeft w:val="0"/>
                      <w:marRight w:val="0"/>
                      <w:marTop w:val="0"/>
                      <w:marBottom w:val="0"/>
                      <w:divBdr>
                        <w:top w:val="none" w:sz="0" w:space="0" w:color="auto"/>
                        <w:left w:val="none" w:sz="0" w:space="0" w:color="auto"/>
                        <w:bottom w:val="none" w:sz="0" w:space="0" w:color="auto"/>
                        <w:right w:val="none" w:sz="0" w:space="0" w:color="auto"/>
                      </w:divBdr>
                      <w:divsChild>
                        <w:div w:id="294149478">
                          <w:marLeft w:val="0"/>
                          <w:marRight w:val="0"/>
                          <w:marTop w:val="0"/>
                          <w:marBottom w:val="0"/>
                          <w:divBdr>
                            <w:top w:val="none" w:sz="0" w:space="0" w:color="auto"/>
                            <w:left w:val="none" w:sz="0" w:space="0" w:color="auto"/>
                            <w:bottom w:val="none" w:sz="0" w:space="0" w:color="auto"/>
                            <w:right w:val="none" w:sz="0" w:space="0" w:color="auto"/>
                          </w:divBdr>
                        </w:div>
                      </w:divsChild>
                    </w:div>
                    <w:div w:id="294156476">
                      <w:marLeft w:val="0"/>
                      <w:marRight w:val="0"/>
                      <w:marTop w:val="0"/>
                      <w:marBottom w:val="0"/>
                      <w:divBdr>
                        <w:top w:val="none" w:sz="0" w:space="0" w:color="auto"/>
                        <w:left w:val="none" w:sz="0" w:space="0" w:color="auto"/>
                        <w:bottom w:val="none" w:sz="0" w:space="0" w:color="auto"/>
                        <w:right w:val="none" w:sz="0" w:space="0" w:color="auto"/>
                      </w:divBdr>
                    </w:div>
                    <w:div w:id="294156651">
                      <w:marLeft w:val="0"/>
                      <w:marRight w:val="0"/>
                      <w:marTop w:val="0"/>
                      <w:marBottom w:val="0"/>
                      <w:divBdr>
                        <w:top w:val="none" w:sz="0" w:space="0" w:color="auto"/>
                        <w:left w:val="none" w:sz="0" w:space="0" w:color="auto"/>
                        <w:bottom w:val="none" w:sz="0" w:space="0" w:color="auto"/>
                        <w:right w:val="none" w:sz="0" w:space="0" w:color="auto"/>
                      </w:divBdr>
                      <w:divsChild>
                        <w:div w:id="294152727">
                          <w:marLeft w:val="0"/>
                          <w:marRight w:val="0"/>
                          <w:marTop w:val="0"/>
                          <w:marBottom w:val="0"/>
                          <w:divBdr>
                            <w:top w:val="none" w:sz="0" w:space="0" w:color="auto"/>
                            <w:left w:val="none" w:sz="0" w:space="0" w:color="auto"/>
                            <w:bottom w:val="none" w:sz="0" w:space="0" w:color="auto"/>
                            <w:right w:val="none" w:sz="0" w:space="0" w:color="auto"/>
                          </w:divBdr>
                        </w:div>
                      </w:divsChild>
                    </w:div>
                    <w:div w:id="294156783">
                      <w:marLeft w:val="0"/>
                      <w:marRight w:val="0"/>
                      <w:marTop w:val="0"/>
                      <w:marBottom w:val="0"/>
                      <w:divBdr>
                        <w:top w:val="none" w:sz="0" w:space="0" w:color="auto"/>
                        <w:left w:val="none" w:sz="0" w:space="0" w:color="auto"/>
                        <w:bottom w:val="none" w:sz="0" w:space="0" w:color="auto"/>
                        <w:right w:val="none" w:sz="0" w:space="0" w:color="auto"/>
                      </w:divBdr>
                      <w:divsChild>
                        <w:div w:id="294145286">
                          <w:marLeft w:val="0"/>
                          <w:marRight w:val="0"/>
                          <w:marTop w:val="0"/>
                          <w:marBottom w:val="0"/>
                          <w:divBdr>
                            <w:top w:val="none" w:sz="0" w:space="0" w:color="auto"/>
                            <w:left w:val="none" w:sz="0" w:space="0" w:color="auto"/>
                            <w:bottom w:val="none" w:sz="0" w:space="0" w:color="auto"/>
                            <w:right w:val="none" w:sz="0" w:space="0" w:color="auto"/>
                          </w:divBdr>
                        </w:div>
                      </w:divsChild>
                    </w:div>
                    <w:div w:id="294156823">
                      <w:marLeft w:val="0"/>
                      <w:marRight w:val="0"/>
                      <w:marTop w:val="0"/>
                      <w:marBottom w:val="0"/>
                      <w:divBdr>
                        <w:top w:val="none" w:sz="0" w:space="0" w:color="auto"/>
                        <w:left w:val="none" w:sz="0" w:space="0" w:color="auto"/>
                        <w:bottom w:val="none" w:sz="0" w:space="0" w:color="auto"/>
                        <w:right w:val="none" w:sz="0" w:space="0" w:color="auto"/>
                      </w:divBdr>
                      <w:divsChild>
                        <w:div w:id="294154955">
                          <w:marLeft w:val="0"/>
                          <w:marRight w:val="0"/>
                          <w:marTop w:val="0"/>
                          <w:marBottom w:val="0"/>
                          <w:divBdr>
                            <w:top w:val="none" w:sz="0" w:space="0" w:color="auto"/>
                            <w:left w:val="none" w:sz="0" w:space="0" w:color="auto"/>
                            <w:bottom w:val="none" w:sz="0" w:space="0" w:color="auto"/>
                            <w:right w:val="none" w:sz="0" w:space="0" w:color="auto"/>
                          </w:divBdr>
                        </w:div>
                      </w:divsChild>
                    </w:div>
                    <w:div w:id="294157108">
                      <w:marLeft w:val="0"/>
                      <w:marRight w:val="0"/>
                      <w:marTop w:val="0"/>
                      <w:marBottom w:val="0"/>
                      <w:divBdr>
                        <w:top w:val="none" w:sz="0" w:space="0" w:color="auto"/>
                        <w:left w:val="none" w:sz="0" w:space="0" w:color="auto"/>
                        <w:bottom w:val="none" w:sz="0" w:space="0" w:color="auto"/>
                        <w:right w:val="none" w:sz="0" w:space="0" w:color="auto"/>
                      </w:divBdr>
                      <w:divsChild>
                        <w:div w:id="294155635">
                          <w:marLeft w:val="0"/>
                          <w:marRight w:val="0"/>
                          <w:marTop w:val="0"/>
                          <w:marBottom w:val="0"/>
                          <w:divBdr>
                            <w:top w:val="none" w:sz="0" w:space="0" w:color="auto"/>
                            <w:left w:val="none" w:sz="0" w:space="0" w:color="auto"/>
                            <w:bottom w:val="none" w:sz="0" w:space="0" w:color="auto"/>
                            <w:right w:val="none" w:sz="0" w:space="0" w:color="auto"/>
                          </w:divBdr>
                        </w:div>
                      </w:divsChild>
                    </w:div>
                    <w:div w:id="294157281">
                      <w:marLeft w:val="0"/>
                      <w:marRight w:val="0"/>
                      <w:marTop w:val="0"/>
                      <w:marBottom w:val="0"/>
                      <w:divBdr>
                        <w:top w:val="none" w:sz="0" w:space="0" w:color="auto"/>
                        <w:left w:val="none" w:sz="0" w:space="0" w:color="auto"/>
                        <w:bottom w:val="none" w:sz="0" w:space="0" w:color="auto"/>
                        <w:right w:val="none" w:sz="0" w:space="0" w:color="auto"/>
                      </w:divBdr>
                      <w:divsChild>
                        <w:div w:id="294150475">
                          <w:marLeft w:val="0"/>
                          <w:marRight w:val="0"/>
                          <w:marTop w:val="0"/>
                          <w:marBottom w:val="0"/>
                          <w:divBdr>
                            <w:top w:val="none" w:sz="0" w:space="0" w:color="auto"/>
                            <w:left w:val="none" w:sz="0" w:space="0" w:color="auto"/>
                            <w:bottom w:val="none" w:sz="0" w:space="0" w:color="auto"/>
                            <w:right w:val="none" w:sz="0" w:space="0" w:color="auto"/>
                          </w:divBdr>
                        </w:div>
                      </w:divsChild>
                    </w:div>
                    <w:div w:id="294157347">
                      <w:marLeft w:val="0"/>
                      <w:marRight w:val="0"/>
                      <w:marTop w:val="0"/>
                      <w:marBottom w:val="0"/>
                      <w:divBdr>
                        <w:top w:val="none" w:sz="0" w:space="0" w:color="auto"/>
                        <w:left w:val="none" w:sz="0" w:space="0" w:color="auto"/>
                        <w:bottom w:val="none" w:sz="0" w:space="0" w:color="auto"/>
                        <w:right w:val="none" w:sz="0" w:space="0" w:color="auto"/>
                      </w:divBdr>
                      <w:divsChild>
                        <w:div w:id="294149814">
                          <w:marLeft w:val="0"/>
                          <w:marRight w:val="0"/>
                          <w:marTop w:val="0"/>
                          <w:marBottom w:val="0"/>
                          <w:divBdr>
                            <w:top w:val="none" w:sz="0" w:space="0" w:color="auto"/>
                            <w:left w:val="none" w:sz="0" w:space="0" w:color="auto"/>
                            <w:bottom w:val="none" w:sz="0" w:space="0" w:color="auto"/>
                            <w:right w:val="none" w:sz="0" w:space="0" w:color="auto"/>
                          </w:divBdr>
                        </w:div>
                      </w:divsChild>
                    </w:div>
                    <w:div w:id="294157366">
                      <w:marLeft w:val="0"/>
                      <w:marRight w:val="0"/>
                      <w:marTop w:val="0"/>
                      <w:marBottom w:val="0"/>
                      <w:divBdr>
                        <w:top w:val="none" w:sz="0" w:space="0" w:color="auto"/>
                        <w:left w:val="none" w:sz="0" w:space="0" w:color="auto"/>
                        <w:bottom w:val="none" w:sz="0" w:space="0" w:color="auto"/>
                        <w:right w:val="none" w:sz="0" w:space="0" w:color="auto"/>
                      </w:divBdr>
                      <w:divsChild>
                        <w:div w:id="294152580">
                          <w:marLeft w:val="0"/>
                          <w:marRight w:val="0"/>
                          <w:marTop w:val="0"/>
                          <w:marBottom w:val="0"/>
                          <w:divBdr>
                            <w:top w:val="none" w:sz="0" w:space="0" w:color="auto"/>
                            <w:left w:val="none" w:sz="0" w:space="0" w:color="auto"/>
                            <w:bottom w:val="none" w:sz="0" w:space="0" w:color="auto"/>
                            <w:right w:val="none" w:sz="0" w:space="0" w:color="auto"/>
                          </w:divBdr>
                        </w:div>
                      </w:divsChild>
                    </w:div>
                    <w:div w:id="294157466">
                      <w:marLeft w:val="0"/>
                      <w:marRight w:val="0"/>
                      <w:marTop w:val="0"/>
                      <w:marBottom w:val="0"/>
                      <w:divBdr>
                        <w:top w:val="none" w:sz="0" w:space="0" w:color="auto"/>
                        <w:left w:val="none" w:sz="0" w:space="0" w:color="auto"/>
                        <w:bottom w:val="none" w:sz="0" w:space="0" w:color="auto"/>
                        <w:right w:val="none" w:sz="0" w:space="0" w:color="auto"/>
                      </w:divBdr>
                      <w:divsChild>
                        <w:div w:id="2941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55693">
          <w:marLeft w:val="0"/>
          <w:marRight w:val="0"/>
          <w:marTop w:val="0"/>
          <w:marBottom w:val="0"/>
          <w:divBdr>
            <w:top w:val="none" w:sz="0" w:space="0" w:color="auto"/>
            <w:left w:val="none" w:sz="0" w:space="0" w:color="auto"/>
            <w:bottom w:val="none" w:sz="0" w:space="0" w:color="auto"/>
            <w:right w:val="none" w:sz="0" w:space="0" w:color="auto"/>
          </w:divBdr>
          <w:divsChild>
            <w:div w:id="294145931">
              <w:marLeft w:val="0"/>
              <w:marRight w:val="0"/>
              <w:marTop w:val="0"/>
              <w:marBottom w:val="0"/>
              <w:divBdr>
                <w:top w:val="none" w:sz="0" w:space="0" w:color="auto"/>
                <w:left w:val="none" w:sz="0" w:space="0" w:color="auto"/>
                <w:bottom w:val="none" w:sz="0" w:space="0" w:color="auto"/>
                <w:right w:val="none" w:sz="0" w:space="0" w:color="auto"/>
              </w:divBdr>
              <w:divsChild>
                <w:div w:id="29415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43407">
      <w:marLeft w:val="0"/>
      <w:marRight w:val="0"/>
      <w:marTop w:val="0"/>
      <w:marBottom w:val="0"/>
      <w:divBdr>
        <w:top w:val="none" w:sz="0" w:space="0" w:color="auto"/>
        <w:left w:val="none" w:sz="0" w:space="0" w:color="auto"/>
        <w:bottom w:val="none" w:sz="0" w:space="0" w:color="auto"/>
        <w:right w:val="none" w:sz="0" w:space="0" w:color="auto"/>
      </w:divBdr>
    </w:div>
    <w:div w:id="294143515">
      <w:marLeft w:val="0"/>
      <w:marRight w:val="0"/>
      <w:marTop w:val="0"/>
      <w:marBottom w:val="0"/>
      <w:divBdr>
        <w:top w:val="none" w:sz="0" w:space="0" w:color="auto"/>
        <w:left w:val="none" w:sz="0" w:space="0" w:color="auto"/>
        <w:bottom w:val="none" w:sz="0" w:space="0" w:color="auto"/>
        <w:right w:val="none" w:sz="0" w:space="0" w:color="auto"/>
      </w:divBdr>
    </w:div>
    <w:div w:id="294143520">
      <w:marLeft w:val="0"/>
      <w:marRight w:val="0"/>
      <w:marTop w:val="0"/>
      <w:marBottom w:val="0"/>
      <w:divBdr>
        <w:top w:val="none" w:sz="0" w:space="0" w:color="auto"/>
        <w:left w:val="none" w:sz="0" w:space="0" w:color="auto"/>
        <w:bottom w:val="none" w:sz="0" w:space="0" w:color="auto"/>
        <w:right w:val="none" w:sz="0" w:space="0" w:color="auto"/>
      </w:divBdr>
    </w:div>
    <w:div w:id="294143564">
      <w:marLeft w:val="0"/>
      <w:marRight w:val="0"/>
      <w:marTop w:val="0"/>
      <w:marBottom w:val="0"/>
      <w:divBdr>
        <w:top w:val="none" w:sz="0" w:space="0" w:color="auto"/>
        <w:left w:val="none" w:sz="0" w:space="0" w:color="auto"/>
        <w:bottom w:val="none" w:sz="0" w:space="0" w:color="auto"/>
        <w:right w:val="none" w:sz="0" w:space="0" w:color="auto"/>
      </w:divBdr>
    </w:div>
    <w:div w:id="294143585">
      <w:marLeft w:val="0"/>
      <w:marRight w:val="0"/>
      <w:marTop w:val="0"/>
      <w:marBottom w:val="0"/>
      <w:divBdr>
        <w:top w:val="none" w:sz="0" w:space="0" w:color="auto"/>
        <w:left w:val="none" w:sz="0" w:space="0" w:color="auto"/>
        <w:bottom w:val="none" w:sz="0" w:space="0" w:color="auto"/>
        <w:right w:val="none" w:sz="0" w:space="0" w:color="auto"/>
      </w:divBdr>
    </w:div>
    <w:div w:id="294143586">
      <w:marLeft w:val="0"/>
      <w:marRight w:val="0"/>
      <w:marTop w:val="0"/>
      <w:marBottom w:val="0"/>
      <w:divBdr>
        <w:top w:val="none" w:sz="0" w:space="0" w:color="auto"/>
        <w:left w:val="none" w:sz="0" w:space="0" w:color="auto"/>
        <w:bottom w:val="none" w:sz="0" w:space="0" w:color="auto"/>
        <w:right w:val="none" w:sz="0" w:space="0" w:color="auto"/>
      </w:divBdr>
    </w:div>
    <w:div w:id="294143669">
      <w:marLeft w:val="0"/>
      <w:marRight w:val="0"/>
      <w:marTop w:val="0"/>
      <w:marBottom w:val="0"/>
      <w:divBdr>
        <w:top w:val="none" w:sz="0" w:space="0" w:color="auto"/>
        <w:left w:val="none" w:sz="0" w:space="0" w:color="auto"/>
        <w:bottom w:val="none" w:sz="0" w:space="0" w:color="auto"/>
        <w:right w:val="none" w:sz="0" w:space="0" w:color="auto"/>
      </w:divBdr>
    </w:div>
    <w:div w:id="294143707">
      <w:marLeft w:val="0"/>
      <w:marRight w:val="0"/>
      <w:marTop w:val="0"/>
      <w:marBottom w:val="0"/>
      <w:divBdr>
        <w:top w:val="none" w:sz="0" w:space="0" w:color="auto"/>
        <w:left w:val="none" w:sz="0" w:space="0" w:color="auto"/>
        <w:bottom w:val="none" w:sz="0" w:space="0" w:color="auto"/>
        <w:right w:val="none" w:sz="0" w:space="0" w:color="auto"/>
      </w:divBdr>
    </w:div>
    <w:div w:id="294143753">
      <w:marLeft w:val="0"/>
      <w:marRight w:val="0"/>
      <w:marTop w:val="0"/>
      <w:marBottom w:val="0"/>
      <w:divBdr>
        <w:top w:val="none" w:sz="0" w:space="0" w:color="auto"/>
        <w:left w:val="none" w:sz="0" w:space="0" w:color="auto"/>
        <w:bottom w:val="none" w:sz="0" w:space="0" w:color="auto"/>
        <w:right w:val="none" w:sz="0" w:space="0" w:color="auto"/>
      </w:divBdr>
      <w:divsChild>
        <w:div w:id="294153614">
          <w:marLeft w:val="0"/>
          <w:marRight w:val="0"/>
          <w:marTop w:val="0"/>
          <w:marBottom w:val="0"/>
          <w:divBdr>
            <w:top w:val="none" w:sz="0" w:space="0" w:color="auto"/>
            <w:left w:val="none" w:sz="0" w:space="0" w:color="auto"/>
            <w:bottom w:val="none" w:sz="0" w:space="0" w:color="auto"/>
            <w:right w:val="none" w:sz="0" w:space="0" w:color="auto"/>
          </w:divBdr>
        </w:div>
      </w:divsChild>
    </w:div>
    <w:div w:id="294143781">
      <w:marLeft w:val="0"/>
      <w:marRight w:val="0"/>
      <w:marTop w:val="0"/>
      <w:marBottom w:val="0"/>
      <w:divBdr>
        <w:top w:val="none" w:sz="0" w:space="0" w:color="auto"/>
        <w:left w:val="none" w:sz="0" w:space="0" w:color="auto"/>
        <w:bottom w:val="none" w:sz="0" w:space="0" w:color="auto"/>
        <w:right w:val="none" w:sz="0" w:space="0" w:color="auto"/>
      </w:divBdr>
      <w:divsChild>
        <w:div w:id="294153524">
          <w:marLeft w:val="0"/>
          <w:marRight w:val="0"/>
          <w:marTop w:val="0"/>
          <w:marBottom w:val="0"/>
          <w:divBdr>
            <w:top w:val="none" w:sz="0" w:space="0" w:color="auto"/>
            <w:left w:val="none" w:sz="0" w:space="0" w:color="auto"/>
            <w:bottom w:val="none" w:sz="0" w:space="0" w:color="auto"/>
            <w:right w:val="none" w:sz="0" w:space="0" w:color="auto"/>
          </w:divBdr>
        </w:div>
      </w:divsChild>
    </w:div>
    <w:div w:id="294143797">
      <w:marLeft w:val="0"/>
      <w:marRight w:val="0"/>
      <w:marTop w:val="0"/>
      <w:marBottom w:val="0"/>
      <w:divBdr>
        <w:top w:val="none" w:sz="0" w:space="0" w:color="auto"/>
        <w:left w:val="none" w:sz="0" w:space="0" w:color="auto"/>
        <w:bottom w:val="none" w:sz="0" w:space="0" w:color="auto"/>
        <w:right w:val="none" w:sz="0" w:space="0" w:color="auto"/>
      </w:divBdr>
    </w:div>
    <w:div w:id="294143845">
      <w:marLeft w:val="0"/>
      <w:marRight w:val="0"/>
      <w:marTop w:val="0"/>
      <w:marBottom w:val="0"/>
      <w:divBdr>
        <w:top w:val="none" w:sz="0" w:space="0" w:color="auto"/>
        <w:left w:val="none" w:sz="0" w:space="0" w:color="auto"/>
        <w:bottom w:val="none" w:sz="0" w:space="0" w:color="auto"/>
        <w:right w:val="none" w:sz="0" w:space="0" w:color="auto"/>
      </w:divBdr>
    </w:div>
    <w:div w:id="294143896">
      <w:marLeft w:val="0"/>
      <w:marRight w:val="0"/>
      <w:marTop w:val="0"/>
      <w:marBottom w:val="0"/>
      <w:divBdr>
        <w:top w:val="none" w:sz="0" w:space="0" w:color="auto"/>
        <w:left w:val="none" w:sz="0" w:space="0" w:color="auto"/>
        <w:bottom w:val="none" w:sz="0" w:space="0" w:color="auto"/>
        <w:right w:val="none" w:sz="0" w:space="0" w:color="auto"/>
      </w:divBdr>
    </w:div>
    <w:div w:id="294143902">
      <w:marLeft w:val="0"/>
      <w:marRight w:val="0"/>
      <w:marTop w:val="0"/>
      <w:marBottom w:val="0"/>
      <w:divBdr>
        <w:top w:val="none" w:sz="0" w:space="0" w:color="auto"/>
        <w:left w:val="none" w:sz="0" w:space="0" w:color="auto"/>
        <w:bottom w:val="none" w:sz="0" w:space="0" w:color="auto"/>
        <w:right w:val="none" w:sz="0" w:space="0" w:color="auto"/>
      </w:divBdr>
    </w:div>
    <w:div w:id="294143944">
      <w:marLeft w:val="0"/>
      <w:marRight w:val="0"/>
      <w:marTop w:val="0"/>
      <w:marBottom w:val="0"/>
      <w:divBdr>
        <w:top w:val="none" w:sz="0" w:space="0" w:color="auto"/>
        <w:left w:val="none" w:sz="0" w:space="0" w:color="auto"/>
        <w:bottom w:val="none" w:sz="0" w:space="0" w:color="auto"/>
        <w:right w:val="none" w:sz="0" w:space="0" w:color="auto"/>
      </w:divBdr>
    </w:div>
    <w:div w:id="294144121">
      <w:marLeft w:val="0"/>
      <w:marRight w:val="0"/>
      <w:marTop w:val="0"/>
      <w:marBottom w:val="0"/>
      <w:divBdr>
        <w:top w:val="none" w:sz="0" w:space="0" w:color="auto"/>
        <w:left w:val="none" w:sz="0" w:space="0" w:color="auto"/>
        <w:bottom w:val="none" w:sz="0" w:space="0" w:color="auto"/>
        <w:right w:val="none" w:sz="0" w:space="0" w:color="auto"/>
      </w:divBdr>
    </w:div>
    <w:div w:id="294144124">
      <w:marLeft w:val="0"/>
      <w:marRight w:val="0"/>
      <w:marTop w:val="0"/>
      <w:marBottom w:val="0"/>
      <w:divBdr>
        <w:top w:val="none" w:sz="0" w:space="0" w:color="auto"/>
        <w:left w:val="none" w:sz="0" w:space="0" w:color="auto"/>
        <w:bottom w:val="none" w:sz="0" w:space="0" w:color="auto"/>
        <w:right w:val="none" w:sz="0" w:space="0" w:color="auto"/>
      </w:divBdr>
    </w:div>
    <w:div w:id="294144146">
      <w:marLeft w:val="0"/>
      <w:marRight w:val="0"/>
      <w:marTop w:val="0"/>
      <w:marBottom w:val="0"/>
      <w:divBdr>
        <w:top w:val="none" w:sz="0" w:space="0" w:color="auto"/>
        <w:left w:val="none" w:sz="0" w:space="0" w:color="auto"/>
        <w:bottom w:val="none" w:sz="0" w:space="0" w:color="auto"/>
        <w:right w:val="none" w:sz="0" w:space="0" w:color="auto"/>
      </w:divBdr>
    </w:div>
    <w:div w:id="294144148">
      <w:marLeft w:val="0"/>
      <w:marRight w:val="0"/>
      <w:marTop w:val="0"/>
      <w:marBottom w:val="0"/>
      <w:divBdr>
        <w:top w:val="none" w:sz="0" w:space="0" w:color="auto"/>
        <w:left w:val="none" w:sz="0" w:space="0" w:color="auto"/>
        <w:bottom w:val="none" w:sz="0" w:space="0" w:color="auto"/>
        <w:right w:val="none" w:sz="0" w:space="0" w:color="auto"/>
      </w:divBdr>
    </w:div>
    <w:div w:id="294144162">
      <w:marLeft w:val="0"/>
      <w:marRight w:val="0"/>
      <w:marTop w:val="0"/>
      <w:marBottom w:val="0"/>
      <w:divBdr>
        <w:top w:val="none" w:sz="0" w:space="0" w:color="auto"/>
        <w:left w:val="none" w:sz="0" w:space="0" w:color="auto"/>
        <w:bottom w:val="none" w:sz="0" w:space="0" w:color="auto"/>
        <w:right w:val="none" w:sz="0" w:space="0" w:color="auto"/>
      </w:divBdr>
    </w:div>
    <w:div w:id="294144218">
      <w:marLeft w:val="0"/>
      <w:marRight w:val="0"/>
      <w:marTop w:val="0"/>
      <w:marBottom w:val="0"/>
      <w:divBdr>
        <w:top w:val="none" w:sz="0" w:space="0" w:color="auto"/>
        <w:left w:val="none" w:sz="0" w:space="0" w:color="auto"/>
        <w:bottom w:val="none" w:sz="0" w:space="0" w:color="auto"/>
        <w:right w:val="none" w:sz="0" w:space="0" w:color="auto"/>
      </w:divBdr>
    </w:div>
    <w:div w:id="294144253">
      <w:marLeft w:val="0"/>
      <w:marRight w:val="0"/>
      <w:marTop w:val="0"/>
      <w:marBottom w:val="0"/>
      <w:divBdr>
        <w:top w:val="none" w:sz="0" w:space="0" w:color="auto"/>
        <w:left w:val="none" w:sz="0" w:space="0" w:color="auto"/>
        <w:bottom w:val="none" w:sz="0" w:space="0" w:color="auto"/>
        <w:right w:val="none" w:sz="0" w:space="0" w:color="auto"/>
      </w:divBdr>
    </w:div>
    <w:div w:id="294144256">
      <w:marLeft w:val="0"/>
      <w:marRight w:val="0"/>
      <w:marTop w:val="0"/>
      <w:marBottom w:val="0"/>
      <w:divBdr>
        <w:top w:val="none" w:sz="0" w:space="0" w:color="auto"/>
        <w:left w:val="none" w:sz="0" w:space="0" w:color="auto"/>
        <w:bottom w:val="none" w:sz="0" w:space="0" w:color="auto"/>
        <w:right w:val="none" w:sz="0" w:space="0" w:color="auto"/>
      </w:divBdr>
    </w:div>
    <w:div w:id="294144261">
      <w:marLeft w:val="0"/>
      <w:marRight w:val="0"/>
      <w:marTop w:val="0"/>
      <w:marBottom w:val="0"/>
      <w:divBdr>
        <w:top w:val="none" w:sz="0" w:space="0" w:color="auto"/>
        <w:left w:val="none" w:sz="0" w:space="0" w:color="auto"/>
        <w:bottom w:val="none" w:sz="0" w:space="0" w:color="auto"/>
        <w:right w:val="none" w:sz="0" w:space="0" w:color="auto"/>
      </w:divBdr>
    </w:div>
    <w:div w:id="294144290">
      <w:marLeft w:val="0"/>
      <w:marRight w:val="0"/>
      <w:marTop w:val="0"/>
      <w:marBottom w:val="0"/>
      <w:divBdr>
        <w:top w:val="none" w:sz="0" w:space="0" w:color="auto"/>
        <w:left w:val="none" w:sz="0" w:space="0" w:color="auto"/>
        <w:bottom w:val="none" w:sz="0" w:space="0" w:color="auto"/>
        <w:right w:val="none" w:sz="0" w:space="0" w:color="auto"/>
      </w:divBdr>
    </w:div>
    <w:div w:id="294144304">
      <w:marLeft w:val="0"/>
      <w:marRight w:val="0"/>
      <w:marTop w:val="0"/>
      <w:marBottom w:val="0"/>
      <w:divBdr>
        <w:top w:val="none" w:sz="0" w:space="0" w:color="auto"/>
        <w:left w:val="none" w:sz="0" w:space="0" w:color="auto"/>
        <w:bottom w:val="none" w:sz="0" w:space="0" w:color="auto"/>
        <w:right w:val="none" w:sz="0" w:space="0" w:color="auto"/>
      </w:divBdr>
    </w:div>
    <w:div w:id="294144427">
      <w:marLeft w:val="0"/>
      <w:marRight w:val="0"/>
      <w:marTop w:val="0"/>
      <w:marBottom w:val="0"/>
      <w:divBdr>
        <w:top w:val="none" w:sz="0" w:space="0" w:color="auto"/>
        <w:left w:val="none" w:sz="0" w:space="0" w:color="auto"/>
        <w:bottom w:val="none" w:sz="0" w:space="0" w:color="auto"/>
        <w:right w:val="none" w:sz="0" w:space="0" w:color="auto"/>
      </w:divBdr>
    </w:div>
    <w:div w:id="294144430">
      <w:marLeft w:val="0"/>
      <w:marRight w:val="0"/>
      <w:marTop w:val="0"/>
      <w:marBottom w:val="0"/>
      <w:divBdr>
        <w:top w:val="none" w:sz="0" w:space="0" w:color="auto"/>
        <w:left w:val="none" w:sz="0" w:space="0" w:color="auto"/>
        <w:bottom w:val="none" w:sz="0" w:space="0" w:color="auto"/>
        <w:right w:val="none" w:sz="0" w:space="0" w:color="auto"/>
      </w:divBdr>
    </w:div>
    <w:div w:id="294144460">
      <w:marLeft w:val="0"/>
      <w:marRight w:val="0"/>
      <w:marTop w:val="0"/>
      <w:marBottom w:val="0"/>
      <w:divBdr>
        <w:top w:val="none" w:sz="0" w:space="0" w:color="auto"/>
        <w:left w:val="none" w:sz="0" w:space="0" w:color="auto"/>
        <w:bottom w:val="none" w:sz="0" w:space="0" w:color="auto"/>
        <w:right w:val="none" w:sz="0" w:space="0" w:color="auto"/>
      </w:divBdr>
    </w:div>
    <w:div w:id="294144487">
      <w:marLeft w:val="0"/>
      <w:marRight w:val="0"/>
      <w:marTop w:val="0"/>
      <w:marBottom w:val="0"/>
      <w:divBdr>
        <w:top w:val="none" w:sz="0" w:space="0" w:color="auto"/>
        <w:left w:val="none" w:sz="0" w:space="0" w:color="auto"/>
        <w:bottom w:val="none" w:sz="0" w:space="0" w:color="auto"/>
        <w:right w:val="none" w:sz="0" w:space="0" w:color="auto"/>
      </w:divBdr>
    </w:div>
    <w:div w:id="294144519">
      <w:marLeft w:val="0"/>
      <w:marRight w:val="0"/>
      <w:marTop w:val="0"/>
      <w:marBottom w:val="0"/>
      <w:divBdr>
        <w:top w:val="none" w:sz="0" w:space="0" w:color="auto"/>
        <w:left w:val="none" w:sz="0" w:space="0" w:color="auto"/>
        <w:bottom w:val="none" w:sz="0" w:space="0" w:color="auto"/>
        <w:right w:val="none" w:sz="0" w:space="0" w:color="auto"/>
      </w:divBdr>
    </w:div>
    <w:div w:id="294144545">
      <w:marLeft w:val="0"/>
      <w:marRight w:val="0"/>
      <w:marTop w:val="0"/>
      <w:marBottom w:val="0"/>
      <w:divBdr>
        <w:top w:val="none" w:sz="0" w:space="0" w:color="auto"/>
        <w:left w:val="none" w:sz="0" w:space="0" w:color="auto"/>
        <w:bottom w:val="none" w:sz="0" w:space="0" w:color="auto"/>
        <w:right w:val="none" w:sz="0" w:space="0" w:color="auto"/>
      </w:divBdr>
      <w:divsChild>
        <w:div w:id="294138339">
          <w:marLeft w:val="0"/>
          <w:marRight w:val="0"/>
          <w:marTop w:val="0"/>
          <w:marBottom w:val="0"/>
          <w:divBdr>
            <w:top w:val="none" w:sz="0" w:space="0" w:color="auto"/>
            <w:left w:val="none" w:sz="0" w:space="0" w:color="auto"/>
            <w:bottom w:val="none" w:sz="0" w:space="0" w:color="auto"/>
            <w:right w:val="none" w:sz="0" w:space="0" w:color="auto"/>
          </w:divBdr>
        </w:div>
        <w:div w:id="294138562">
          <w:marLeft w:val="0"/>
          <w:marRight w:val="0"/>
          <w:marTop w:val="0"/>
          <w:marBottom w:val="0"/>
          <w:divBdr>
            <w:top w:val="none" w:sz="0" w:space="0" w:color="auto"/>
            <w:left w:val="none" w:sz="0" w:space="0" w:color="auto"/>
            <w:bottom w:val="none" w:sz="0" w:space="0" w:color="auto"/>
            <w:right w:val="none" w:sz="0" w:space="0" w:color="auto"/>
          </w:divBdr>
        </w:div>
        <w:div w:id="294138607">
          <w:marLeft w:val="0"/>
          <w:marRight w:val="0"/>
          <w:marTop w:val="0"/>
          <w:marBottom w:val="0"/>
          <w:divBdr>
            <w:top w:val="none" w:sz="0" w:space="0" w:color="auto"/>
            <w:left w:val="none" w:sz="0" w:space="0" w:color="auto"/>
            <w:bottom w:val="none" w:sz="0" w:space="0" w:color="auto"/>
            <w:right w:val="none" w:sz="0" w:space="0" w:color="auto"/>
          </w:divBdr>
        </w:div>
        <w:div w:id="294139033">
          <w:marLeft w:val="0"/>
          <w:marRight w:val="0"/>
          <w:marTop w:val="0"/>
          <w:marBottom w:val="0"/>
          <w:divBdr>
            <w:top w:val="none" w:sz="0" w:space="0" w:color="auto"/>
            <w:left w:val="none" w:sz="0" w:space="0" w:color="auto"/>
            <w:bottom w:val="none" w:sz="0" w:space="0" w:color="auto"/>
            <w:right w:val="none" w:sz="0" w:space="0" w:color="auto"/>
          </w:divBdr>
        </w:div>
        <w:div w:id="294139250">
          <w:marLeft w:val="0"/>
          <w:marRight w:val="0"/>
          <w:marTop w:val="0"/>
          <w:marBottom w:val="0"/>
          <w:divBdr>
            <w:top w:val="none" w:sz="0" w:space="0" w:color="auto"/>
            <w:left w:val="none" w:sz="0" w:space="0" w:color="auto"/>
            <w:bottom w:val="none" w:sz="0" w:space="0" w:color="auto"/>
            <w:right w:val="none" w:sz="0" w:space="0" w:color="auto"/>
          </w:divBdr>
        </w:div>
        <w:div w:id="294139322">
          <w:marLeft w:val="0"/>
          <w:marRight w:val="0"/>
          <w:marTop w:val="0"/>
          <w:marBottom w:val="0"/>
          <w:divBdr>
            <w:top w:val="none" w:sz="0" w:space="0" w:color="auto"/>
            <w:left w:val="none" w:sz="0" w:space="0" w:color="auto"/>
            <w:bottom w:val="none" w:sz="0" w:space="0" w:color="auto"/>
            <w:right w:val="none" w:sz="0" w:space="0" w:color="auto"/>
          </w:divBdr>
        </w:div>
        <w:div w:id="294139404">
          <w:marLeft w:val="0"/>
          <w:marRight w:val="0"/>
          <w:marTop w:val="0"/>
          <w:marBottom w:val="0"/>
          <w:divBdr>
            <w:top w:val="none" w:sz="0" w:space="0" w:color="auto"/>
            <w:left w:val="none" w:sz="0" w:space="0" w:color="auto"/>
            <w:bottom w:val="none" w:sz="0" w:space="0" w:color="auto"/>
            <w:right w:val="none" w:sz="0" w:space="0" w:color="auto"/>
          </w:divBdr>
        </w:div>
        <w:div w:id="294139905">
          <w:marLeft w:val="0"/>
          <w:marRight w:val="0"/>
          <w:marTop w:val="0"/>
          <w:marBottom w:val="0"/>
          <w:divBdr>
            <w:top w:val="none" w:sz="0" w:space="0" w:color="auto"/>
            <w:left w:val="none" w:sz="0" w:space="0" w:color="auto"/>
            <w:bottom w:val="none" w:sz="0" w:space="0" w:color="auto"/>
            <w:right w:val="none" w:sz="0" w:space="0" w:color="auto"/>
          </w:divBdr>
        </w:div>
        <w:div w:id="294140724">
          <w:marLeft w:val="0"/>
          <w:marRight w:val="0"/>
          <w:marTop w:val="0"/>
          <w:marBottom w:val="0"/>
          <w:divBdr>
            <w:top w:val="none" w:sz="0" w:space="0" w:color="auto"/>
            <w:left w:val="none" w:sz="0" w:space="0" w:color="auto"/>
            <w:bottom w:val="none" w:sz="0" w:space="0" w:color="auto"/>
            <w:right w:val="none" w:sz="0" w:space="0" w:color="auto"/>
          </w:divBdr>
        </w:div>
        <w:div w:id="294140786">
          <w:marLeft w:val="0"/>
          <w:marRight w:val="0"/>
          <w:marTop w:val="0"/>
          <w:marBottom w:val="0"/>
          <w:divBdr>
            <w:top w:val="none" w:sz="0" w:space="0" w:color="auto"/>
            <w:left w:val="none" w:sz="0" w:space="0" w:color="auto"/>
            <w:bottom w:val="none" w:sz="0" w:space="0" w:color="auto"/>
            <w:right w:val="none" w:sz="0" w:space="0" w:color="auto"/>
          </w:divBdr>
        </w:div>
        <w:div w:id="294141157">
          <w:marLeft w:val="0"/>
          <w:marRight w:val="0"/>
          <w:marTop w:val="0"/>
          <w:marBottom w:val="0"/>
          <w:divBdr>
            <w:top w:val="none" w:sz="0" w:space="0" w:color="auto"/>
            <w:left w:val="none" w:sz="0" w:space="0" w:color="auto"/>
            <w:bottom w:val="none" w:sz="0" w:space="0" w:color="auto"/>
            <w:right w:val="none" w:sz="0" w:space="0" w:color="auto"/>
          </w:divBdr>
        </w:div>
        <w:div w:id="294141306">
          <w:marLeft w:val="0"/>
          <w:marRight w:val="0"/>
          <w:marTop w:val="0"/>
          <w:marBottom w:val="0"/>
          <w:divBdr>
            <w:top w:val="none" w:sz="0" w:space="0" w:color="auto"/>
            <w:left w:val="none" w:sz="0" w:space="0" w:color="auto"/>
            <w:bottom w:val="none" w:sz="0" w:space="0" w:color="auto"/>
            <w:right w:val="none" w:sz="0" w:space="0" w:color="auto"/>
          </w:divBdr>
        </w:div>
        <w:div w:id="294141430">
          <w:marLeft w:val="0"/>
          <w:marRight w:val="0"/>
          <w:marTop w:val="0"/>
          <w:marBottom w:val="0"/>
          <w:divBdr>
            <w:top w:val="none" w:sz="0" w:space="0" w:color="auto"/>
            <w:left w:val="none" w:sz="0" w:space="0" w:color="auto"/>
            <w:bottom w:val="none" w:sz="0" w:space="0" w:color="auto"/>
            <w:right w:val="none" w:sz="0" w:space="0" w:color="auto"/>
          </w:divBdr>
        </w:div>
        <w:div w:id="294141651">
          <w:marLeft w:val="0"/>
          <w:marRight w:val="0"/>
          <w:marTop w:val="0"/>
          <w:marBottom w:val="0"/>
          <w:divBdr>
            <w:top w:val="none" w:sz="0" w:space="0" w:color="auto"/>
            <w:left w:val="none" w:sz="0" w:space="0" w:color="auto"/>
            <w:bottom w:val="none" w:sz="0" w:space="0" w:color="auto"/>
            <w:right w:val="none" w:sz="0" w:space="0" w:color="auto"/>
          </w:divBdr>
        </w:div>
        <w:div w:id="294141837">
          <w:marLeft w:val="0"/>
          <w:marRight w:val="0"/>
          <w:marTop w:val="0"/>
          <w:marBottom w:val="0"/>
          <w:divBdr>
            <w:top w:val="none" w:sz="0" w:space="0" w:color="auto"/>
            <w:left w:val="none" w:sz="0" w:space="0" w:color="auto"/>
            <w:bottom w:val="none" w:sz="0" w:space="0" w:color="auto"/>
            <w:right w:val="none" w:sz="0" w:space="0" w:color="auto"/>
          </w:divBdr>
        </w:div>
        <w:div w:id="294141967">
          <w:marLeft w:val="0"/>
          <w:marRight w:val="0"/>
          <w:marTop w:val="0"/>
          <w:marBottom w:val="0"/>
          <w:divBdr>
            <w:top w:val="none" w:sz="0" w:space="0" w:color="auto"/>
            <w:left w:val="none" w:sz="0" w:space="0" w:color="auto"/>
            <w:bottom w:val="none" w:sz="0" w:space="0" w:color="auto"/>
            <w:right w:val="none" w:sz="0" w:space="0" w:color="auto"/>
          </w:divBdr>
        </w:div>
        <w:div w:id="294142147">
          <w:marLeft w:val="0"/>
          <w:marRight w:val="0"/>
          <w:marTop w:val="0"/>
          <w:marBottom w:val="0"/>
          <w:divBdr>
            <w:top w:val="none" w:sz="0" w:space="0" w:color="auto"/>
            <w:left w:val="none" w:sz="0" w:space="0" w:color="auto"/>
            <w:bottom w:val="none" w:sz="0" w:space="0" w:color="auto"/>
            <w:right w:val="none" w:sz="0" w:space="0" w:color="auto"/>
          </w:divBdr>
        </w:div>
        <w:div w:id="294144056">
          <w:marLeft w:val="0"/>
          <w:marRight w:val="0"/>
          <w:marTop w:val="0"/>
          <w:marBottom w:val="0"/>
          <w:divBdr>
            <w:top w:val="none" w:sz="0" w:space="0" w:color="auto"/>
            <w:left w:val="none" w:sz="0" w:space="0" w:color="auto"/>
            <w:bottom w:val="none" w:sz="0" w:space="0" w:color="auto"/>
            <w:right w:val="none" w:sz="0" w:space="0" w:color="auto"/>
          </w:divBdr>
        </w:div>
        <w:div w:id="294145531">
          <w:marLeft w:val="0"/>
          <w:marRight w:val="0"/>
          <w:marTop w:val="0"/>
          <w:marBottom w:val="0"/>
          <w:divBdr>
            <w:top w:val="none" w:sz="0" w:space="0" w:color="auto"/>
            <w:left w:val="none" w:sz="0" w:space="0" w:color="auto"/>
            <w:bottom w:val="none" w:sz="0" w:space="0" w:color="auto"/>
            <w:right w:val="none" w:sz="0" w:space="0" w:color="auto"/>
          </w:divBdr>
        </w:div>
        <w:div w:id="294145679">
          <w:marLeft w:val="0"/>
          <w:marRight w:val="0"/>
          <w:marTop w:val="0"/>
          <w:marBottom w:val="0"/>
          <w:divBdr>
            <w:top w:val="none" w:sz="0" w:space="0" w:color="auto"/>
            <w:left w:val="none" w:sz="0" w:space="0" w:color="auto"/>
            <w:bottom w:val="none" w:sz="0" w:space="0" w:color="auto"/>
            <w:right w:val="none" w:sz="0" w:space="0" w:color="auto"/>
          </w:divBdr>
        </w:div>
        <w:div w:id="294146425">
          <w:marLeft w:val="0"/>
          <w:marRight w:val="0"/>
          <w:marTop w:val="0"/>
          <w:marBottom w:val="0"/>
          <w:divBdr>
            <w:top w:val="none" w:sz="0" w:space="0" w:color="auto"/>
            <w:left w:val="none" w:sz="0" w:space="0" w:color="auto"/>
            <w:bottom w:val="none" w:sz="0" w:space="0" w:color="auto"/>
            <w:right w:val="none" w:sz="0" w:space="0" w:color="auto"/>
          </w:divBdr>
        </w:div>
        <w:div w:id="294146624">
          <w:marLeft w:val="0"/>
          <w:marRight w:val="0"/>
          <w:marTop w:val="0"/>
          <w:marBottom w:val="0"/>
          <w:divBdr>
            <w:top w:val="none" w:sz="0" w:space="0" w:color="auto"/>
            <w:left w:val="none" w:sz="0" w:space="0" w:color="auto"/>
            <w:bottom w:val="none" w:sz="0" w:space="0" w:color="auto"/>
            <w:right w:val="none" w:sz="0" w:space="0" w:color="auto"/>
          </w:divBdr>
        </w:div>
        <w:div w:id="294147059">
          <w:marLeft w:val="0"/>
          <w:marRight w:val="0"/>
          <w:marTop w:val="0"/>
          <w:marBottom w:val="0"/>
          <w:divBdr>
            <w:top w:val="none" w:sz="0" w:space="0" w:color="auto"/>
            <w:left w:val="none" w:sz="0" w:space="0" w:color="auto"/>
            <w:bottom w:val="none" w:sz="0" w:space="0" w:color="auto"/>
            <w:right w:val="none" w:sz="0" w:space="0" w:color="auto"/>
          </w:divBdr>
        </w:div>
        <w:div w:id="294147292">
          <w:marLeft w:val="0"/>
          <w:marRight w:val="0"/>
          <w:marTop w:val="0"/>
          <w:marBottom w:val="0"/>
          <w:divBdr>
            <w:top w:val="none" w:sz="0" w:space="0" w:color="auto"/>
            <w:left w:val="none" w:sz="0" w:space="0" w:color="auto"/>
            <w:bottom w:val="none" w:sz="0" w:space="0" w:color="auto"/>
            <w:right w:val="none" w:sz="0" w:space="0" w:color="auto"/>
          </w:divBdr>
        </w:div>
        <w:div w:id="294148104">
          <w:marLeft w:val="0"/>
          <w:marRight w:val="0"/>
          <w:marTop w:val="0"/>
          <w:marBottom w:val="0"/>
          <w:divBdr>
            <w:top w:val="none" w:sz="0" w:space="0" w:color="auto"/>
            <w:left w:val="none" w:sz="0" w:space="0" w:color="auto"/>
            <w:bottom w:val="none" w:sz="0" w:space="0" w:color="auto"/>
            <w:right w:val="none" w:sz="0" w:space="0" w:color="auto"/>
          </w:divBdr>
        </w:div>
        <w:div w:id="294148161">
          <w:marLeft w:val="0"/>
          <w:marRight w:val="0"/>
          <w:marTop w:val="0"/>
          <w:marBottom w:val="0"/>
          <w:divBdr>
            <w:top w:val="none" w:sz="0" w:space="0" w:color="auto"/>
            <w:left w:val="none" w:sz="0" w:space="0" w:color="auto"/>
            <w:bottom w:val="none" w:sz="0" w:space="0" w:color="auto"/>
            <w:right w:val="none" w:sz="0" w:space="0" w:color="auto"/>
          </w:divBdr>
        </w:div>
        <w:div w:id="294148438">
          <w:marLeft w:val="0"/>
          <w:marRight w:val="0"/>
          <w:marTop w:val="0"/>
          <w:marBottom w:val="0"/>
          <w:divBdr>
            <w:top w:val="none" w:sz="0" w:space="0" w:color="auto"/>
            <w:left w:val="none" w:sz="0" w:space="0" w:color="auto"/>
            <w:bottom w:val="none" w:sz="0" w:space="0" w:color="auto"/>
            <w:right w:val="none" w:sz="0" w:space="0" w:color="auto"/>
          </w:divBdr>
        </w:div>
        <w:div w:id="294148839">
          <w:marLeft w:val="0"/>
          <w:marRight w:val="0"/>
          <w:marTop w:val="0"/>
          <w:marBottom w:val="0"/>
          <w:divBdr>
            <w:top w:val="none" w:sz="0" w:space="0" w:color="auto"/>
            <w:left w:val="none" w:sz="0" w:space="0" w:color="auto"/>
            <w:bottom w:val="none" w:sz="0" w:space="0" w:color="auto"/>
            <w:right w:val="none" w:sz="0" w:space="0" w:color="auto"/>
          </w:divBdr>
        </w:div>
        <w:div w:id="294149274">
          <w:marLeft w:val="0"/>
          <w:marRight w:val="0"/>
          <w:marTop w:val="0"/>
          <w:marBottom w:val="0"/>
          <w:divBdr>
            <w:top w:val="none" w:sz="0" w:space="0" w:color="auto"/>
            <w:left w:val="none" w:sz="0" w:space="0" w:color="auto"/>
            <w:bottom w:val="none" w:sz="0" w:space="0" w:color="auto"/>
            <w:right w:val="none" w:sz="0" w:space="0" w:color="auto"/>
          </w:divBdr>
        </w:div>
        <w:div w:id="294149718">
          <w:marLeft w:val="0"/>
          <w:marRight w:val="0"/>
          <w:marTop w:val="0"/>
          <w:marBottom w:val="0"/>
          <w:divBdr>
            <w:top w:val="none" w:sz="0" w:space="0" w:color="auto"/>
            <w:left w:val="none" w:sz="0" w:space="0" w:color="auto"/>
            <w:bottom w:val="none" w:sz="0" w:space="0" w:color="auto"/>
            <w:right w:val="none" w:sz="0" w:space="0" w:color="auto"/>
          </w:divBdr>
        </w:div>
        <w:div w:id="294149828">
          <w:marLeft w:val="0"/>
          <w:marRight w:val="0"/>
          <w:marTop w:val="0"/>
          <w:marBottom w:val="0"/>
          <w:divBdr>
            <w:top w:val="none" w:sz="0" w:space="0" w:color="auto"/>
            <w:left w:val="none" w:sz="0" w:space="0" w:color="auto"/>
            <w:bottom w:val="none" w:sz="0" w:space="0" w:color="auto"/>
            <w:right w:val="none" w:sz="0" w:space="0" w:color="auto"/>
          </w:divBdr>
        </w:div>
        <w:div w:id="294150260">
          <w:marLeft w:val="0"/>
          <w:marRight w:val="0"/>
          <w:marTop w:val="0"/>
          <w:marBottom w:val="0"/>
          <w:divBdr>
            <w:top w:val="none" w:sz="0" w:space="0" w:color="auto"/>
            <w:left w:val="none" w:sz="0" w:space="0" w:color="auto"/>
            <w:bottom w:val="none" w:sz="0" w:space="0" w:color="auto"/>
            <w:right w:val="none" w:sz="0" w:space="0" w:color="auto"/>
          </w:divBdr>
        </w:div>
        <w:div w:id="294150594">
          <w:marLeft w:val="0"/>
          <w:marRight w:val="0"/>
          <w:marTop w:val="0"/>
          <w:marBottom w:val="0"/>
          <w:divBdr>
            <w:top w:val="none" w:sz="0" w:space="0" w:color="auto"/>
            <w:left w:val="none" w:sz="0" w:space="0" w:color="auto"/>
            <w:bottom w:val="none" w:sz="0" w:space="0" w:color="auto"/>
            <w:right w:val="none" w:sz="0" w:space="0" w:color="auto"/>
          </w:divBdr>
        </w:div>
        <w:div w:id="294150778">
          <w:marLeft w:val="0"/>
          <w:marRight w:val="0"/>
          <w:marTop w:val="0"/>
          <w:marBottom w:val="0"/>
          <w:divBdr>
            <w:top w:val="none" w:sz="0" w:space="0" w:color="auto"/>
            <w:left w:val="none" w:sz="0" w:space="0" w:color="auto"/>
            <w:bottom w:val="none" w:sz="0" w:space="0" w:color="auto"/>
            <w:right w:val="none" w:sz="0" w:space="0" w:color="auto"/>
          </w:divBdr>
        </w:div>
        <w:div w:id="294151002">
          <w:marLeft w:val="0"/>
          <w:marRight w:val="0"/>
          <w:marTop w:val="0"/>
          <w:marBottom w:val="0"/>
          <w:divBdr>
            <w:top w:val="none" w:sz="0" w:space="0" w:color="auto"/>
            <w:left w:val="none" w:sz="0" w:space="0" w:color="auto"/>
            <w:bottom w:val="none" w:sz="0" w:space="0" w:color="auto"/>
            <w:right w:val="none" w:sz="0" w:space="0" w:color="auto"/>
          </w:divBdr>
        </w:div>
        <w:div w:id="294151301">
          <w:marLeft w:val="0"/>
          <w:marRight w:val="0"/>
          <w:marTop w:val="0"/>
          <w:marBottom w:val="0"/>
          <w:divBdr>
            <w:top w:val="none" w:sz="0" w:space="0" w:color="auto"/>
            <w:left w:val="none" w:sz="0" w:space="0" w:color="auto"/>
            <w:bottom w:val="none" w:sz="0" w:space="0" w:color="auto"/>
            <w:right w:val="none" w:sz="0" w:space="0" w:color="auto"/>
          </w:divBdr>
        </w:div>
        <w:div w:id="294151796">
          <w:marLeft w:val="0"/>
          <w:marRight w:val="0"/>
          <w:marTop w:val="0"/>
          <w:marBottom w:val="0"/>
          <w:divBdr>
            <w:top w:val="none" w:sz="0" w:space="0" w:color="auto"/>
            <w:left w:val="none" w:sz="0" w:space="0" w:color="auto"/>
            <w:bottom w:val="none" w:sz="0" w:space="0" w:color="auto"/>
            <w:right w:val="none" w:sz="0" w:space="0" w:color="auto"/>
          </w:divBdr>
        </w:div>
        <w:div w:id="294151965">
          <w:marLeft w:val="0"/>
          <w:marRight w:val="0"/>
          <w:marTop w:val="0"/>
          <w:marBottom w:val="0"/>
          <w:divBdr>
            <w:top w:val="none" w:sz="0" w:space="0" w:color="auto"/>
            <w:left w:val="none" w:sz="0" w:space="0" w:color="auto"/>
            <w:bottom w:val="none" w:sz="0" w:space="0" w:color="auto"/>
            <w:right w:val="none" w:sz="0" w:space="0" w:color="auto"/>
          </w:divBdr>
        </w:div>
        <w:div w:id="294152304">
          <w:marLeft w:val="0"/>
          <w:marRight w:val="0"/>
          <w:marTop w:val="0"/>
          <w:marBottom w:val="0"/>
          <w:divBdr>
            <w:top w:val="none" w:sz="0" w:space="0" w:color="auto"/>
            <w:left w:val="none" w:sz="0" w:space="0" w:color="auto"/>
            <w:bottom w:val="none" w:sz="0" w:space="0" w:color="auto"/>
            <w:right w:val="none" w:sz="0" w:space="0" w:color="auto"/>
          </w:divBdr>
        </w:div>
        <w:div w:id="294152588">
          <w:marLeft w:val="0"/>
          <w:marRight w:val="0"/>
          <w:marTop w:val="0"/>
          <w:marBottom w:val="0"/>
          <w:divBdr>
            <w:top w:val="none" w:sz="0" w:space="0" w:color="auto"/>
            <w:left w:val="none" w:sz="0" w:space="0" w:color="auto"/>
            <w:bottom w:val="none" w:sz="0" w:space="0" w:color="auto"/>
            <w:right w:val="none" w:sz="0" w:space="0" w:color="auto"/>
          </w:divBdr>
        </w:div>
        <w:div w:id="294152686">
          <w:marLeft w:val="0"/>
          <w:marRight w:val="0"/>
          <w:marTop w:val="0"/>
          <w:marBottom w:val="0"/>
          <w:divBdr>
            <w:top w:val="none" w:sz="0" w:space="0" w:color="auto"/>
            <w:left w:val="none" w:sz="0" w:space="0" w:color="auto"/>
            <w:bottom w:val="none" w:sz="0" w:space="0" w:color="auto"/>
            <w:right w:val="none" w:sz="0" w:space="0" w:color="auto"/>
          </w:divBdr>
        </w:div>
        <w:div w:id="294153373">
          <w:marLeft w:val="0"/>
          <w:marRight w:val="0"/>
          <w:marTop w:val="0"/>
          <w:marBottom w:val="0"/>
          <w:divBdr>
            <w:top w:val="none" w:sz="0" w:space="0" w:color="auto"/>
            <w:left w:val="none" w:sz="0" w:space="0" w:color="auto"/>
            <w:bottom w:val="none" w:sz="0" w:space="0" w:color="auto"/>
            <w:right w:val="none" w:sz="0" w:space="0" w:color="auto"/>
          </w:divBdr>
        </w:div>
        <w:div w:id="294155024">
          <w:marLeft w:val="0"/>
          <w:marRight w:val="0"/>
          <w:marTop w:val="0"/>
          <w:marBottom w:val="0"/>
          <w:divBdr>
            <w:top w:val="none" w:sz="0" w:space="0" w:color="auto"/>
            <w:left w:val="none" w:sz="0" w:space="0" w:color="auto"/>
            <w:bottom w:val="none" w:sz="0" w:space="0" w:color="auto"/>
            <w:right w:val="none" w:sz="0" w:space="0" w:color="auto"/>
          </w:divBdr>
        </w:div>
        <w:div w:id="294155801">
          <w:marLeft w:val="0"/>
          <w:marRight w:val="0"/>
          <w:marTop w:val="0"/>
          <w:marBottom w:val="0"/>
          <w:divBdr>
            <w:top w:val="none" w:sz="0" w:space="0" w:color="auto"/>
            <w:left w:val="none" w:sz="0" w:space="0" w:color="auto"/>
            <w:bottom w:val="none" w:sz="0" w:space="0" w:color="auto"/>
            <w:right w:val="none" w:sz="0" w:space="0" w:color="auto"/>
          </w:divBdr>
        </w:div>
        <w:div w:id="294156002">
          <w:marLeft w:val="0"/>
          <w:marRight w:val="0"/>
          <w:marTop w:val="0"/>
          <w:marBottom w:val="0"/>
          <w:divBdr>
            <w:top w:val="none" w:sz="0" w:space="0" w:color="auto"/>
            <w:left w:val="none" w:sz="0" w:space="0" w:color="auto"/>
            <w:bottom w:val="none" w:sz="0" w:space="0" w:color="auto"/>
            <w:right w:val="none" w:sz="0" w:space="0" w:color="auto"/>
          </w:divBdr>
        </w:div>
        <w:div w:id="294156933">
          <w:marLeft w:val="0"/>
          <w:marRight w:val="0"/>
          <w:marTop w:val="0"/>
          <w:marBottom w:val="0"/>
          <w:divBdr>
            <w:top w:val="none" w:sz="0" w:space="0" w:color="auto"/>
            <w:left w:val="none" w:sz="0" w:space="0" w:color="auto"/>
            <w:bottom w:val="none" w:sz="0" w:space="0" w:color="auto"/>
            <w:right w:val="none" w:sz="0" w:space="0" w:color="auto"/>
          </w:divBdr>
        </w:div>
        <w:div w:id="294157072">
          <w:marLeft w:val="0"/>
          <w:marRight w:val="0"/>
          <w:marTop w:val="0"/>
          <w:marBottom w:val="0"/>
          <w:divBdr>
            <w:top w:val="none" w:sz="0" w:space="0" w:color="auto"/>
            <w:left w:val="none" w:sz="0" w:space="0" w:color="auto"/>
            <w:bottom w:val="none" w:sz="0" w:space="0" w:color="auto"/>
            <w:right w:val="none" w:sz="0" w:space="0" w:color="auto"/>
          </w:divBdr>
        </w:div>
        <w:div w:id="294157206">
          <w:marLeft w:val="0"/>
          <w:marRight w:val="0"/>
          <w:marTop w:val="0"/>
          <w:marBottom w:val="0"/>
          <w:divBdr>
            <w:top w:val="none" w:sz="0" w:space="0" w:color="auto"/>
            <w:left w:val="none" w:sz="0" w:space="0" w:color="auto"/>
            <w:bottom w:val="none" w:sz="0" w:space="0" w:color="auto"/>
            <w:right w:val="none" w:sz="0" w:space="0" w:color="auto"/>
          </w:divBdr>
        </w:div>
        <w:div w:id="294157252">
          <w:marLeft w:val="0"/>
          <w:marRight w:val="0"/>
          <w:marTop w:val="0"/>
          <w:marBottom w:val="0"/>
          <w:divBdr>
            <w:top w:val="none" w:sz="0" w:space="0" w:color="auto"/>
            <w:left w:val="none" w:sz="0" w:space="0" w:color="auto"/>
            <w:bottom w:val="none" w:sz="0" w:space="0" w:color="auto"/>
            <w:right w:val="none" w:sz="0" w:space="0" w:color="auto"/>
          </w:divBdr>
        </w:div>
      </w:divsChild>
    </w:div>
    <w:div w:id="294144590">
      <w:marLeft w:val="0"/>
      <w:marRight w:val="0"/>
      <w:marTop w:val="0"/>
      <w:marBottom w:val="0"/>
      <w:divBdr>
        <w:top w:val="none" w:sz="0" w:space="0" w:color="auto"/>
        <w:left w:val="none" w:sz="0" w:space="0" w:color="auto"/>
        <w:bottom w:val="none" w:sz="0" w:space="0" w:color="auto"/>
        <w:right w:val="none" w:sz="0" w:space="0" w:color="auto"/>
      </w:divBdr>
    </w:div>
    <w:div w:id="294144650">
      <w:marLeft w:val="0"/>
      <w:marRight w:val="0"/>
      <w:marTop w:val="0"/>
      <w:marBottom w:val="0"/>
      <w:divBdr>
        <w:top w:val="none" w:sz="0" w:space="0" w:color="auto"/>
        <w:left w:val="none" w:sz="0" w:space="0" w:color="auto"/>
        <w:bottom w:val="none" w:sz="0" w:space="0" w:color="auto"/>
        <w:right w:val="none" w:sz="0" w:space="0" w:color="auto"/>
      </w:divBdr>
    </w:div>
    <w:div w:id="294144658">
      <w:marLeft w:val="0"/>
      <w:marRight w:val="0"/>
      <w:marTop w:val="0"/>
      <w:marBottom w:val="0"/>
      <w:divBdr>
        <w:top w:val="none" w:sz="0" w:space="0" w:color="auto"/>
        <w:left w:val="none" w:sz="0" w:space="0" w:color="auto"/>
        <w:bottom w:val="none" w:sz="0" w:space="0" w:color="auto"/>
        <w:right w:val="none" w:sz="0" w:space="0" w:color="auto"/>
      </w:divBdr>
    </w:div>
    <w:div w:id="294144692">
      <w:marLeft w:val="0"/>
      <w:marRight w:val="0"/>
      <w:marTop w:val="0"/>
      <w:marBottom w:val="0"/>
      <w:divBdr>
        <w:top w:val="none" w:sz="0" w:space="0" w:color="auto"/>
        <w:left w:val="none" w:sz="0" w:space="0" w:color="auto"/>
        <w:bottom w:val="none" w:sz="0" w:space="0" w:color="auto"/>
        <w:right w:val="none" w:sz="0" w:space="0" w:color="auto"/>
      </w:divBdr>
    </w:div>
    <w:div w:id="294144701">
      <w:marLeft w:val="0"/>
      <w:marRight w:val="0"/>
      <w:marTop w:val="0"/>
      <w:marBottom w:val="0"/>
      <w:divBdr>
        <w:top w:val="none" w:sz="0" w:space="0" w:color="auto"/>
        <w:left w:val="none" w:sz="0" w:space="0" w:color="auto"/>
        <w:bottom w:val="none" w:sz="0" w:space="0" w:color="auto"/>
        <w:right w:val="none" w:sz="0" w:space="0" w:color="auto"/>
      </w:divBdr>
      <w:divsChild>
        <w:div w:id="294147764">
          <w:marLeft w:val="0"/>
          <w:marRight w:val="0"/>
          <w:marTop w:val="0"/>
          <w:marBottom w:val="100"/>
          <w:divBdr>
            <w:top w:val="none" w:sz="0" w:space="0" w:color="auto"/>
            <w:left w:val="none" w:sz="0" w:space="0" w:color="auto"/>
            <w:bottom w:val="none" w:sz="0" w:space="0" w:color="auto"/>
            <w:right w:val="none" w:sz="0" w:space="0" w:color="auto"/>
          </w:divBdr>
          <w:divsChild>
            <w:div w:id="294150919">
              <w:marLeft w:val="0"/>
              <w:marRight w:val="0"/>
              <w:marTop w:val="0"/>
              <w:marBottom w:val="0"/>
              <w:divBdr>
                <w:top w:val="none" w:sz="0" w:space="0" w:color="auto"/>
                <w:left w:val="none" w:sz="0" w:space="0" w:color="auto"/>
                <w:bottom w:val="none" w:sz="0" w:space="0" w:color="auto"/>
                <w:right w:val="none" w:sz="0" w:space="0" w:color="auto"/>
              </w:divBdr>
              <w:divsChild>
                <w:div w:id="29415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44731">
      <w:marLeft w:val="0"/>
      <w:marRight w:val="0"/>
      <w:marTop w:val="0"/>
      <w:marBottom w:val="0"/>
      <w:divBdr>
        <w:top w:val="none" w:sz="0" w:space="0" w:color="auto"/>
        <w:left w:val="none" w:sz="0" w:space="0" w:color="auto"/>
        <w:bottom w:val="none" w:sz="0" w:space="0" w:color="auto"/>
        <w:right w:val="none" w:sz="0" w:space="0" w:color="auto"/>
      </w:divBdr>
    </w:div>
    <w:div w:id="294144755">
      <w:marLeft w:val="0"/>
      <w:marRight w:val="0"/>
      <w:marTop w:val="0"/>
      <w:marBottom w:val="0"/>
      <w:divBdr>
        <w:top w:val="none" w:sz="0" w:space="0" w:color="auto"/>
        <w:left w:val="none" w:sz="0" w:space="0" w:color="auto"/>
        <w:bottom w:val="none" w:sz="0" w:space="0" w:color="auto"/>
        <w:right w:val="none" w:sz="0" w:space="0" w:color="auto"/>
      </w:divBdr>
    </w:div>
    <w:div w:id="294144763">
      <w:marLeft w:val="0"/>
      <w:marRight w:val="0"/>
      <w:marTop w:val="0"/>
      <w:marBottom w:val="0"/>
      <w:divBdr>
        <w:top w:val="none" w:sz="0" w:space="0" w:color="auto"/>
        <w:left w:val="none" w:sz="0" w:space="0" w:color="auto"/>
        <w:bottom w:val="none" w:sz="0" w:space="0" w:color="auto"/>
        <w:right w:val="none" w:sz="0" w:space="0" w:color="auto"/>
      </w:divBdr>
    </w:div>
    <w:div w:id="294144767">
      <w:marLeft w:val="0"/>
      <w:marRight w:val="0"/>
      <w:marTop w:val="0"/>
      <w:marBottom w:val="0"/>
      <w:divBdr>
        <w:top w:val="none" w:sz="0" w:space="0" w:color="auto"/>
        <w:left w:val="none" w:sz="0" w:space="0" w:color="auto"/>
        <w:bottom w:val="none" w:sz="0" w:space="0" w:color="auto"/>
        <w:right w:val="none" w:sz="0" w:space="0" w:color="auto"/>
      </w:divBdr>
    </w:div>
    <w:div w:id="294144793">
      <w:marLeft w:val="0"/>
      <w:marRight w:val="0"/>
      <w:marTop w:val="0"/>
      <w:marBottom w:val="0"/>
      <w:divBdr>
        <w:top w:val="none" w:sz="0" w:space="0" w:color="auto"/>
        <w:left w:val="none" w:sz="0" w:space="0" w:color="auto"/>
        <w:bottom w:val="none" w:sz="0" w:space="0" w:color="auto"/>
        <w:right w:val="none" w:sz="0" w:space="0" w:color="auto"/>
      </w:divBdr>
    </w:div>
    <w:div w:id="294144809">
      <w:marLeft w:val="0"/>
      <w:marRight w:val="0"/>
      <w:marTop w:val="0"/>
      <w:marBottom w:val="0"/>
      <w:divBdr>
        <w:top w:val="none" w:sz="0" w:space="0" w:color="auto"/>
        <w:left w:val="none" w:sz="0" w:space="0" w:color="auto"/>
        <w:bottom w:val="none" w:sz="0" w:space="0" w:color="auto"/>
        <w:right w:val="none" w:sz="0" w:space="0" w:color="auto"/>
      </w:divBdr>
    </w:div>
    <w:div w:id="294144875">
      <w:marLeft w:val="0"/>
      <w:marRight w:val="0"/>
      <w:marTop w:val="0"/>
      <w:marBottom w:val="0"/>
      <w:divBdr>
        <w:top w:val="none" w:sz="0" w:space="0" w:color="auto"/>
        <w:left w:val="none" w:sz="0" w:space="0" w:color="auto"/>
        <w:bottom w:val="none" w:sz="0" w:space="0" w:color="auto"/>
        <w:right w:val="none" w:sz="0" w:space="0" w:color="auto"/>
      </w:divBdr>
    </w:div>
    <w:div w:id="294144927">
      <w:marLeft w:val="0"/>
      <w:marRight w:val="0"/>
      <w:marTop w:val="0"/>
      <w:marBottom w:val="0"/>
      <w:divBdr>
        <w:top w:val="none" w:sz="0" w:space="0" w:color="auto"/>
        <w:left w:val="none" w:sz="0" w:space="0" w:color="auto"/>
        <w:bottom w:val="none" w:sz="0" w:space="0" w:color="auto"/>
        <w:right w:val="none" w:sz="0" w:space="0" w:color="auto"/>
      </w:divBdr>
    </w:div>
    <w:div w:id="294144968">
      <w:marLeft w:val="0"/>
      <w:marRight w:val="0"/>
      <w:marTop w:val="0"/>
      <w:marBottom w:val="0"/>
      <w:divBdr>
        <w:top w:val="none" w:sz="0" w:space="0" w:color="auto"/>
        <w:left w:val="none" w:sz="0" w:space="0" w:color="auto"/>
        <w:bottom w:val="none" w:sz="0" w:space="0" w:color="auto"/>
        <w:right w:val="none" w:sz="0" w:space="0" w:color="auto"/>
      </w:divBdr>
      <w:divsChild>
        <w:div w:id="294138991">
          <w:marLeft w:val="0"/>
          <w:marRight w:val="0"/>
          <w:marTop w:val="108"/>
          <w:marBottom w:val="0"/>
          <w:divBdr>
            <w:top w:val="none" w:sz="0" w:space="0" w:color="auto"/>
            <w:left w:val="none" w:sz="0" w:space="0" w:color="auto"/>
            <w:bottom w:val="none" w:sz="0" w:space="0" w:color="auto"/>
            <w:right w:val="none" w:sz="0" w:space="0" w:color="auto"/>
          </w:divBdr>
        </w:div>
        <w:div w:id="294141385">
          <w:marLeft w:val="0"/>
          <w:marRight w:val="0"/>
          <w:marTop w:val="108"/>
          <w:marBottom w:val="0"/>
          <w:divBdr>
            <w:top w:val="none" w:sz="0" w:space="0" w:color="auto"/>
            <w:left w:val="none" w:sz="0" w:space="0" w:color="auto"/>
            <w:bottom w:val="none" w:sz="0" w:space="0" w:color="auto"/>
            <w:right w:val="none" w:sz="0" w:space="0" w:color="auto"/>
          </w:divBdr>
        </w:div>
        <w:div w:id="294147382">
          <w:marLeft w:val="0"/>
          <w:marRight w:val="0"/>
          <w:marTop w:val="108"/>
          <w:marBottom w:val="0"/>
          <w:divBdr>
            <w:top w:val="none" w:sz="0" w:space="0" w:color="auto"/>
            <w:left w:val="none" w:sz="0" w:space="0" w:color="auto"/>
            <w:bottom w:val="none" w:sz="0" w:space="0" w:color="auto"/>
            <w:right w:val="none" w:sz="0" w:space="0" w:color="auto"/>
          </w:divBdr>
        </w:div>
        <w:div w:id="294147820">
          <w:marLeft w:val="0"/>
          <w:marRight w:val="0"/>
          <w:marTop w:val="108"/>
          <w:marBottom w:val="0"/>
          <w:divBdr>
            <w:top w:val="none" w:sz="0" w:space="0" w:color="auto"/>
            <w:left w:val="none" w:sz="0" w:space="0" w:color="auto"/>
            <w:bottom w:val="none" w:sz="0" w:space="0" w:color="auto"/>
            <w:right w:val="none" w:sz="0" w:space="0" w:color="auto"/>
          </w:divBdr>
        </w:div>
        <w:div w:id="294148418">
          <w:marLeft w:val="0"/>
          <w:marRight w:val="0"/>
          <w:marTop w:val="108"/>
          <w:marBottom w:val="0"/>
          <w:divBdr>
            <w:top w:val="none" w:sz="0" w:space="0" w:color="auto"/>
            <w:left w:val="none" w:sz="0" w:space="0" w:color="auto"/>
            <w:bottom w:val="none" w:sz="0" w:space="0" w:color="auto"/>
            <w:right w:val="none" w:sz="0" w:space="0" w:color="auto"/>
          </w:divBdr>
        </w:div>
        <w:div w:id="294148874">
          <w:marLeft w:val="0"/>
          <w:marRight w:val="0"/>
          <w:marTop w:val="108"/>
          <w:marBottom w:val="0"/>
          <w:divBdr>
            <w:top w:val="none" w:sz="0" w:space="0" w:color="auto"/>
            <w:left w:val="none" w:sz="0" w:space="0" w:color="auto"/>
            <w:bottom w:val="none" w:sz="0" w:space="0" w:color="auto"/>
            <w:right w:val="none" w:sz="0" w:space="0" w:color="auto"/>
          </w:divBdr>
        </w:div>
        <w:div w:id="294150293">
          <w:marLeft w:val="0"/>
          <w:marRight w:val="0"/>
          <w:marTop w:val="108"/>
          <w:marBottom w:val="0"/>
          <w:divBdr>
            <w:top w:val="none" w:sz="0" w:space="0" w:color="auto"/>
            <w:left w:val="none" w:sz="0" w:space="0" w:color="auto"/>
            <w:bottom w:val="none" w:sz="0" w:space="0" w:color="auto"/>
            <w:right w:val="none" w:sz="0" w:space="0" w:color="auto"/>
          </w:divBdr>
        </w:div>
      </w:divsChild>
    </w:div>
    <w:div w:id="294144996">
      <w:marLeft w:val="0"/>
      <w:marRight w:val="0"/>
      <w:marTop w:val="0"/>
      <w:marBottom w:val="0"/>
      <w:divBdr>
        <w:top w:val="none" w:sz="0" w:space="0" w:color="auto"/>
        <w:left w:val="none" w:sz="0" w:space="0" w:color="auto"/>
        <w:bottom w:val="none" w:sz="0" w:space="0" w:color="auto"/>
        <w:right w:val="none" w:sz="0" w:space="0" w:color="auto"/>
      </w:divBdr>
    </w:div>
    <w:div w:id="294145000">
      <w:marLeft w:val="0"/>
      <w:marRight w:val="0"/>
      <w:marTop w:val="0"/>
      <w:marBottom w:val="0"/>
      <w:divBdr>
        <w:top w:val="none" w:sz="0" w:space="0" w:color="auto"/>
        <w:left w:val="none" w:sz="0" w:space="0" w:color="auto"/>
        <w:bottom w:val="none" w:sz="0" w:space="0" w:color="auto"/>
        <w:right w:val="none" w:sz="0" w:space="0" w:color="auto"/>
      </w:divBdr>
    </w:div>
    <w:div w:id="294145066">
      <w:marLeft w:val="0"/>
      <w:marRight w:val="0"/>
      <w:marTop w:val="0"/>
      <w:marBottom w:val="0"/>
      <w:divBdr>
        <w:top w:val="none" w:sz="0" w:space="0" w:color="auto"/>
        <w:left w:val="none" w:sz="0" w:space="0" w:color="auto"/>
        <w:bottom w:val="none" w:sz="0" w:space="0" w:color="auto"/>
        <w:right w:val="none" w:sz="0" w:space="0" w:color="auto"/>
      </w:divBdr>
    </w:div>
    <w:div w:id="294145109">
      <w:marLeft w:val="0"/>
      <w:marRight w:val="0"/>
      <w:marTop w:val="0"/>
      <w:marBottom w:val="0"/>
      <w:divBdr>
        <w:top w:val="none" w:sz="0" w:space="0" w:color="auto"/>
        <w:left w:val="none" w:sz="0" w:space="0" w:color="auto"/>
        <w:bottom w:val="none" w:sz="0" w:space="0" w:color="auto"/>
        <w:right w:val="none" w:sz="0" w:space="0" w:color="auto"/>
      </w:divBdr>
    </w:div>
    <w:div w:id="294145159">
      <w:marLeft w:val="0"/>
      <w:marRight w:val="0"/>
      <w:marTop w:val="0"/>
      <w:marBottom w:val="0"/>
      <w:divBdr>
        <w:top w:val="none" w:sz="0" w:space="0" w:color="auto"/>
        <w:left w:val="none" w:sz="0" w:space="0" w:color="auto"/>
        <w:bottom w:val="none" w:sz="0" w:space="0" w:color="auto"/>
        <w:right w:val="none" w:sz="0" w:space="0" w:color="auto"/>
      </w:divBdr>
    </w:div>
    <w:div w:id="294145189">
      <w:marLeft w:val="0"/>
      <w:marRight w:val="0"/>
      <w:marTop w:val="0"/>
      <w:marBottom w:val="0"/>
      <w:divBdr>
        <w:top w:val="none" w:sz="0" w:space="0" w:color="auto"/>
        <w:left w:val="none" w:sz="0" w:space="0" w:color="auto"/>
        <w:bottom w:val="none" w:sz="0" w:space="0" w:color="auto"/>
        <w:right w:val="none" w:sz="0" w:space="0" w:color="auto"/>
      </w:divBdr>
    </w:div>
    <w:div w:id="294145221">
      <w:marLeft w:val="0"/>
      <w:marRight w:val="0"/>
      <w:marTop w:val="0"/>
      <w:marBottom w:val="0"/>
      <w:divBdr>
        <w:top w:val="none" w:sz="0" w:space="0" w:color="auto"/>
        <w:left w:val="none" w:sz="0" w:space="0" w:color="auto"/>
        <w:bottom w:val="none" w:sz="0" w:space="0" w:color="auto"/>
        <w:right w:val="none" w:sz="0" w:space="0" w:color="auto"/>
      </w:divBdr>
    </w:div>
    <w:div w:id="294145253">
      <w:marLeft w:val="0"/>
      <w:marRight w:val="0"/>
      <w:marTop w:val="0"/>
      <w:marBottom w:val="0"/>
      <w:divBdr>
        <w:top w:val="none" w:sz="0" w:space="0" w:color="auto"/>
        <w:left w:val="none" w:sz="0" w:space="0" w:color="auto"/>
        <w:bottom w:val="none" w:sz="0" w:space="0" w:color="auto"/>
        <w:right w:val="none" w:sz="0" w:space="0" w:color="auto"/>
      </w:divBdr>
    </w:div>
    <w:div w:id="294145279">
      <w:marLeft w:val="0"/>
      <w:marRight w:val="0"/>
      <w:marTop w:val="0"/>
      <w:marBottom w:val="0"/>
      <w:divBdr>
        <w:top w:val="none" w:sz="0" w:space="0" w:color="auto"/>
        <w:left w:val="none" w:sz="0" w:space="0" w:color="auto"/>
        <w:bottom w:val="none" w:sz="0" w:space="0" w:color="auto"/>
        <w:right w:val="none" w:sz="0" w:space="0" w:color="auto"/>
      </w:divBdr>
    </w:div>
    <w:div w:id="294145316">
      <w:marLeft w:val="0"/>
      <w:marRight w:val="0"/>
      <w:marTop w:val="0"/>
      <w:marBottom w:val="0"/>
      <w:divBdr>
        <w:top w:val="none" w:sz="0" w:space="0" w:color="auto"/>
        <w:left w:val="none" w:sz="0" w:space="0" w:color="auto"/>
        <w:bottom w:val="none" w:sz="0" w:space="0" w:color="auto"/>
        <w:right w:val="none" w:sz="0" w:space="0" w:color="auto"/>
      </w:divBdr>
    </w:div>
    <w:div w:id="294145318">
      <w:marLeft w:val="0"/>
      <w:marRight w:val="0"/>
      <w:marTop w:val="0"/>
      <w:marBottom w:val="0"/>
      <w:divBdr>
        <w:top w:val="none" w:sz="0" w:space="0" w:color="auto"/>
        <w:left w:val="none" w:sz="0" w:space="0" w:color="auto"/>
        <w:bottom w:val="none" w:sz="0" w:space="0" w:color="auto"/>
        <w:right w:val="none" w:sz="0" w:space="0" w:color="auto"/>
      </w:divBdr>
    </w:div>
    <w:div w:id="294145320">
      <w:marLeft w:val="0"/>
      <w:marRight w:val="0"/>
      <w:marTop w:val="0"/>
      <w:marBottom w:val="0"/>
      <w:divBdr>
        <w:top w:val="none" w:sz="0" w:space="0" w:color="auto"/>
        <w:left w:val="none" w:sz="0" w:space="0" w:color="auto"/>
        <w:bottom w:val="none" w:sz="0" w:space="0" w:color="auto"/>
        <w:right w:val="none" w:sz="0" w:space="0" w:color="auto"/>
      </w:divBdr>
      <w:divsChild>
        <w:div w:id="294141122">
          <w:marLeft w:val="0"/>
          <w:marRight w:val="0"/>
          <w:marTop w:val="0"/>
          <w:marBottom w:val="0"/>
          <w:divBdr>
            <w:top w:val="none" w:sz="0" w:space="0" w:color="auto"/>
            <w:left w:val="none" w:sz="0" w:space="0" w:color="auto"/>
            <w:bottom w:val="none" w:sz="0" w:space="0" w:color="auto"/>
            <w:right w:val="none" w:sz="0" w:space="0" w:color="auto"/>
          </w:divBdr>
          <w:divsChild>
            <w:div w:id="294148449">
              <w:marLeft w:val="0"/>
              <w:marRight w:val="0"/>
              <w:marTop w:val="0"/>
              <w:marBottom w:val="0"/>
              <w:divBdr>
                <w:top w:val="none" w:sz="0" w:space="0" w:color="auto"/>
                <w:left w:val="none" w:sz="0" w:space="0" w:color="auto"/>
                <w:bottom w:val="none" w:sz="0" w:space="0" w:color="auto"/>
                <w:right w:val="none" w:sz="0" w:space="0" w:color="auto"/>
              </w:divBdr>
              <w:divsChild>
                <w:div w:id="294138235">
                  <w:marLeft w:val="0"/>
                  <w:marRight w:val="0"/>
                  <w:marTop w:val="0"/>
                  <w:marBottom w:val="0"/>
                  <w:divBdr>
                    <w:top w:val="none" w:sz="0" w:space="0" w:color="auto"/>
                    <w:left w:val="none" w:sz="0" w:space="0" w:color="auto"/>
                    <w:bottom w:val="none" w:sz="0" w:space="0" w:color="auto"/>
                    <w:right w:val="none" w:sz="0" w:space="0" w:color="auto"/>
                  </w:divBdr>
                </w:div>
                <w:div w:id="294138388">
                  <w:marLeft w:val="0"/>
                  <w:marRight w:val="0"/>
                  <w:marTop w:val="0"/>
                  <w:marBottom w:val="0"/>
                  <w:divBdr>
                    <w:top w:val="none" w:sz="0" w:space="0" w:color="auto"/>
                    <w:left w:val="none" w:sz="0" w:space="0" w:color="auto"/>
                    <w:bottom w:val="none" w:sz="0" w:space="0" w:color="auto"/>
                    <w:right w:val="none" w:sz="0" w:space="0" w:color="auto"/>
                  </w:divBdr>
                </w:div>
                <w:div w:id="294138563">
                  <w:marLeft w:val="0"/>
                  <w:marRight w:val="0"/>
                  <w:marTop w:val="0"/>
                  <w:marBottom w:val="0"/>
                  <w:divBdr>
                    <w:top w:val="none" w:sz="0" w:space="0" w:color="auto"/>
                    <w:left w:val="none" w:sz="0" w:space="0" w:color="auto"/>
                    <w:bottom w:val="none" w:sz="0" w:space="0" w:color="auto"/>
                    <w:right w:val="none" w:sz="0" w:space="0" w:color="auto"/>
                  </w:divBdr>
                </w:div>
                <w:div w:id="294138584">
                  <w:marLeft w:val="0"/>
                  <w:marRight w:val="0"/>
                  <w:marTop w:val="0"/>
                  <w:marBottom w:val="0"/>
                  <w:divBdr>
                    <w:top w:val="none" w:sz="0" w:space="0" w:color="auto"/>
                    <w:left w:val="none" w:sz="0" w:space="0" w:color="auto"/>
                    <w:bottom w:val="none" w:sz="0" w:space="0" w:color="auto"/>
                    <w:right w:val="none" w:sz="0" w:space="0" w:color="auto"/>
                  </w:divBdr>
                </w:div>
                <w:div w:id="294139153">
                  <w:marLeft w:val="0"/>
                  <w:marRight w:val="0"/>
                  <w:marTop w:val="0"/>
                  <w:marBottom w:val="0"/>
                  <w:divBdr>
                    <w:top w:val="none" w:sz="0" w:space="0" w:color="auto"/>
                    <w:left w:val="none" w:sz="0" w:space="0" w:color="auto"/>
                    <w:bottom w:val="none" w:sz="0" w:space="0" w:color="auto"/>
                    <w:right w:val="none" w:sz="0" w:space="0" w:color="auto"/>
                  </w:divBdr>
                </w:div>
                <w:div w:id="294139162">
                  <w:marLeft w:val="0"/>
                  <w:marRight w:val="0"/>
                  <w:marTop w:val="0"/>
                  <w:marBottom w:val="0"/>
                  <w:divBdr>
                    <w:top w:val="none" w:sz="0" w:space="0" w:color="auto"/>
                    <w:left w:val="none" w:sz="0" w:space="0" w:color="auto"/>
                    <w:bottom w:val="none" w:sz="0" w:space="0" w:color="auto"/>
                    <w:right w:val="none" w:sz="0" w:space="0" w:color="auto"/>
                  </w:divBdr>
                </w:div>
                <w:div w:id="294139352">
                  <w:marLeft w:val="0"/>
                  <w:marRight w:val="0"/>
                  <w:marTop w:val="0"/>
                  <w:marBottom w:val="0"/>
                  <w:divBdr>
                    <w:top w:val="none" w:sz="0" w:space="0" w:color="auto"/>
                    <w:left w:val="none" w:sz="0" w:space="0" w:color="auto"/>
                    <w:bottom w:val="none" w:sz="0" w:space="0" w:color="auto"/>
                    <w:right w:val="none" w:sz="0" w:space="0" w:color="auto"/>
                  </w:divBdr>
                </w:div>
                <w:div w:id="294139443">
                  <w:marLeft w:val="0"/>
                  <w:marRight w:val="0"/>
                  <w:marTop w:val="0"/>
                  <w:marBottom w:val="0"/>
                  <w:divBdr>
                    <w:top w:val="none" w:sz="0" w:space="0" w:color="auto"/>
                    <w:left w:val="none" w:sz="0" w:space="0" w:color="auto"/>
                    <w:bottom w:val="none" w:sz="0" w:space="0" w:color="auto"/>
                    <w:right w:val="none" w:sz="0" w:space="0" w:color="auto"/>
                  </w:divBdr>
                </w:div>
                <w:div w:id="294139470">
                  <w:marLeft w:val="0"/>
                  <w:marRight w:val="0"/>
                  <w:marTop w:val="0"/>
                  <w:marBottom w:val="0"/>
                  <w:divBdr>
                    <w:top w:val="none" w:sz="0" w:space="0" w:color="auto"/>
                    <w:left w:val="none" w:sz="0" w:space="0" w:color="auto"/>
                    <w:bottom w:val="none" w:sz="0" w:space="0" w:color="auto"/>
                    <w:right w:val="none" w:sz="0" w:space="0" w:color="auto"/>
                  </w:divBdr>
                </w:div>
                <w:div w:id="294139608">
                  <w:marLeft w:val="0"/>
                  <w:marRight w:val="0"/>
                  <w:marTop w:val="0"/>
                  <w:marBottom w:val="0"/>
                  <w:divBdr>
                    <w:top w:val="none" w:sz="0" w:space="0" w:color="auto"/>
                    <w:left w:val="none" w:sz="0" w:space="0" w:color="auto"/>
                    <w:bottom w:val="none" w:sz="0" w:space="0" w:color="auto"/>
                    <w:right w:val="none" w:sz="0" w:space="0" w:color="auto"/>
                  </w:divBdr>
                </w:div>
                <w:div w:id="294140273">
                  <w:marLeft w:val="0"/>
                  <w:marRight w:val="0"/>
                  <w:marTop w:val="0"/>
                  <w:marBottom w:val="0"/>
                  <w:divBdr>
                    <w:top w:val="none" w:sz="0" w:space="0" w:color="auto"/>
                    <w:left w:val="none" w:sz="0" w:space="0" w:color="auto"/>
                    <w:bottom w:val="none" w:sz="0" w:space="0" w:color="auto"/>
                    <w:right w:val="none" w:sz="0" w:space="0" w:color="auto"/>
                  </w:divBdr>
                </w:div>
                <w:div w:id="294140342">
                  <w:marLeft w:val="0"/>
                  <w:marRight w:val="0"/>
                  <w:marTop w:val="0"/>
                  <w:marBottom w:val="0"/>
                  <w:divBdr>
                    <w:top w:val="none" w:sz="0" w:space="0" w:color="auto"/>
                    <w:left w:val="none" w:sz="0" w:space="0" w:color="auto"/>
                    <w:bottom w:val="none" w:sz="0" w:space="0" w:color="auto"/>
                    <w:right w:val="none" w:sz="0" w:space="0" w:color="auto"/>
                  </w:divBdr>
                </w:div>
                <w:div w:id="294140636">
                  <w:marLeft w:val="0"/>
                  <w:marRight w:val="0"/>
                  <w:marTop w:val="0"/>
                  <w:marBottom w:val="0"/>
                  <w:divBdr>
                    <w:top w:val="none" w:sz="0" w:space="0" w:color="auto"/>
                    <w:left w:val="none" w:sz="0" w:space="0" w:color="auto"/>
                    <w:bottom w:val="none" w:sz="0" w:space="0" w:color="auto"/>
                    <w:right w:val="none" w:sz="0" w:space="0" w:color="auto"/>
                  </w:divBdr>
                </w:div>
                <w:div w:id="294140651">
                  <w:marLeft w:val="0"/>
                  <w:marRight w:val="0"/>
                  <w:marTop w:val="0"/>
                  <w:marBottom w:val="0"/>
                  <w:divBdr>
                    <w:top w:val="none" w:sz="0" w:space="0" w:color="auto"/>
                    <w:left w:val="none" w:sz="0" w:space="0" w:color="auto"/>
                    <w:bottom w:val="none" w:sz="0" w:space="0" w:color="auto"/>
                    <w:right w:val="none" w:sz="0" w:space="0" w:color="auto"/>
                  </w:divBdr>
                </w:div>
                <w:div w:id="294140686">
                  <w:marLeft w:val="0"/>
                  <w:marRight w:val="0"/>
                  <w:marTop w:val="0"/>
                  <w:marBottom w:val="0"/>
                  <w:divBdr>
                    <w:top w:val="none" w:sz="0" w:space="0" w:color="auto"/>
                    <w:left w:val="none" w:sz="0" w:space="0" w:color="auto"/>
                    <w:bottom w:val="none" w:sz="0" w:space="0" w:color="auto"/>
                    <w:right w:val="none" w:sz="0" w:space="0" w:color="auto"/>
                  </w:divBdr>
                </w:div>
                <w:div w:id="294140844">
                  <w:marLeft w:val="0"/>
                  <w:marRight w:val="0"/>
                  <w:marTop w:val="0"/>
                  <w:marBottom w:val="0"/>
                  <w:divBdr>
                    <w:top w:val="none" w:sz="0" w:space="0" w:color="auto"/>
                    <w:left w:val="none" w:sz="0" w:space="0" w:color="auto"/>
                    <w:bottom w:val="none" w:sz="0" w:space="0" w:color="auto"/>
                    <w:right w:val="none" w:sz="0" w:space="0" w:color="auto"/>
                  </w:divBdr>
                </w:div>
                <w:div w:id="294141398">
                  <w:marLeft w:val="0"/>
                  <w:marRight w:val="0"/>
                  <w:marTop w:val="0"/>
                  <w:marBottom w:val="0"/>
                  <w:divBdr>
                    <w:top w:val="none" w:sz="0" w:space="0" w:color="auto"/>
                    <w:left w:val="none" w:sz="0" w:space="0" w:color="auto"/>
                    <w:bottom w:val="none" w:sz="0" w:space="0" w:color="auto"/>
                    <w:right w:val="none" w:sz="0" w:space="0" w:color="auto"/>
                  </w:divBdr>
                </w:div>
                <w:div w:id="294141399">
                  <w:marLeft w:val="0"/>
                  <w:marRight w:val="0"/>
                  <w:marTop w:val="0"/>
                  <w:marBottom w:val="0"/>
                  <w:divBdr>
                    <w:top w:val="none" w:sz="0" w:space="0" w:color="auto"/>
                    <w:left w:val="none" w:sz="0" w:space="0" w:color="auto"/>
                    <w:bottom w:val="none" w:sz="0" w:space="0" w:color="auto"/>
                    <w:right w:val="none" w:sz="0" w:space="0" w:color="auto"/>
                  </w:divBdr>
                </w:div>
                <w:div w:id="294141736">
                  <w:marLeft w:val="0"/>
                  <w:marRight w:val="0"/>
                  <w:marTop w:val="0"/>
                  <w:marBottom w:val="0"/>
                  <w:divBdr>
                    <w:top w:val="none" w:sz="0" w:space="0" w:color="auto"/>
                    <w:left w:val="none" w:sz="0" w:space="0" w:color="auto"/>
                    <w:bottom w:val="none" w:sz="0" w:space="0" w:color="auto"/>
                    <w:right w:val="none" w:sz="0" w:space="0" w:color="auto"/>
                  </w:divBdr>
                </w:div>
                <w:div w:id="294141766">
                  <w:marLeft w:val="0"/>
                  <w:marRight w:val="0"/>
                  <w:marTop w:val="0"/>
                  <w:marBottom w:val="0"/>
                  <w:divBdr>
                    <w:top w:val="none" w:sz="0" w:space="0" w:color="auto"/>
                    <w:left w:val="none" w:sz="0" w:space="0" w:color="auto"/>
                    <w:bottom w:val="none" w:sz="0" w:space="0" w:color="auto"/>
                    <w:right w:val="none" w:sz="0" w:space="0" w:color="auto"/>
                  </w:divBdr>
                </w:div>
                <w:div w:id="294141831">
                  <w:marLeft w:val="0"/>
                  <w:marRight w:val="0"/>
                  <w:marTop w:val="0"/>
                  <w:marBottom w:val="0"/>
                  <w:divBdr>
                    <w:top w:val="none" w:sz="0" w:space="0" w:color="auto"/>
                    <w:left w:val="none" w:sz="0" w:space="0" w:color="auto"/>
                    <w:bottom w:val="none" w:sz="0" w:space="0" w:color="auto"/>
                    <w:right w:val="none" w:sz="0" w:space="0" w:color="auto"/>
                  </w:divBdr>
                </w:div>
                <w:div w:id="294141974">
                  <w:marLeft w:val="0"/>
                  <w:marRight w:val="0"/>
                  <w:marTop w:val="0"/>
                  <w:marBottom w:val="0"/>
                  <w:divBdr>
                    <w:top w:val="none" w:sz="0" w:space="0" w:color="auto"/>
                    <w:left w:val="none" w:sz="0" w:space="0" w:color="auto"/>
                    <w:bottom w:val="none" w:sz="0" w:space="0" w:color="auto"/>
                    <w:right w:val="none" w:sz="0" w:space="0" w:color="auto"/>
                  </w:divBdr>
                </w:div>
                <w:div w:id="294142039">
                  <w:marLeft w:val="0"/>
                  <w:marRight w:val="0"/>
                  <w:marTop w:val="0"/>
                  <w:marBottom w:val="0"/>
                  <w:divBdr>
                    <w:top w:val="none" w:sz="0" w:space="0" w:color="auto"/>
                    <w:left w:val="none" w:sz="0" w:space="0" w:color="auto"/>
                    <w:bottom w:val="none" w:sz="0" w:space="0" w:color="auto"/>
                    <w:right w:val="none" w:sz="0" w:space="0" w:color="auto"/>
                  </w:divBdr>
                </w:div>
                <w:div w:id="294142127">
                  <w:marLeft w:val="0"/>
                  <w:marRight w:val="0"/>
                  <w:marTop w:val="0"/>
                  <w:marBottom w:val="0"/>
                  <w:divBdr>
                    <w:top w:val="none" w:sz="0" w:space="0" w:color="auto"/>
                    <w:left w:val="none" w:sz="0" w:space="0" w:color="auto"/>
                    <w:bottom w:val="none" w:sz="0" w:space="0" w:color="auto"/>
                    <w:right w:val="none" w:sz="0" w:space="0" w:color="auto"/>
                  </w:divBdr>
                </w:div>
                <w:div w:id="294142280">
                  <w:marLeft w:val="0"/>
                  <w:marRight w:val="0"/>
                  <w:marTop w:val="0"/>
                  <w:marBottom w:val="0"/>
                  <w:divBdr>
                    <w:top w:val="none" w:sz="0" w:space="0" w:color="auto"/>
                    <w:left w:val="none" w:sz="0" w:space="0" w:color="auto"/>
                    <w:bottom w:val="none" w:sz="0" w:space="0" w:color="auto"/>
                    <w:right w:val="none" w:sz="0" w:space="0" w:color="auto"/>
                  </w:divBdr>
                </w:div>
                <w:div w:id="294142877">
                  <w:marLeft w:val="0"/>
                  <w:marRight w:val="0"/>
                  <w:marTop w:val="0"/>
                  <w:marBottom w:val="0"/>
                  <w:divBdr>
                    <w:top w:val="none" w:sz="0" w:space="0" w:color="auto"/>
                    <w:left w:val="none" w:sz="0" w:space="0" w:color="auto"/>
                    <w:bottom w:val="none" w:sz="0" w:space="0" w:color="auto"/>
                    <w:right w:val="none" w:sz="0" w:space="0" w:color="auto"/>
                  </w:divBdr>
                </w:div>
                <w:div w:id="294142884">
                  <w:marLeft w:val="0"/>
                  <w:marRight w:val="0"/>
                  <w:marTop w:val="0"/>
                  <w:marBottom w:val="0"/>
                  <w:divBdr>
                    <w:top w:val="none" w:sz="0" w:space="0" w:color="auto"/>
                    <w:left w:val="none" w:sz="0" w:space="0" w:color="auto"/>
                    <w:bottom w:val="none" w:sz="0" w:space="0" w:color="auto"/>
                    <w:right w:val="none" w:sz="0" w:space="0" w:color="auto"/>
                  </w:divBdr>
                </w:div>
                <w:div w:id="294142989">
                  <w:marLeft w:val="0"/>
                  <w:marRight w:val="0"/>
                  <w:marTop w:val="0"/>
                  <w:marBottom w:val="0"/>
                  <w:divBdr>
                    <w:top w:val="none" w:sz="0" w:space="0" w:color="auto"/>
                    <w:left w:val="none" w:sz="0" w:space="0" w:color="auto"/>
                    <w:bottom w:val="none" w:sz="0" w:space="0" w:color="auto"/>
                    <w:right w:val="none" w:sz="0" w:space="0" w:color="auto"/>
                  </w:divBdr>
                </w:div>
                <w:div w:id="294143088">
                  <w:marLeft w:val="0"/>
                  <w:marRight w:val="0"/>
                  <w:marTop w:val="0"/>
                  <w:marBottom w:val="0"/>
                  <w:divBdr>
                    <w:top w:val="none" w:sz="0" w:space="0" w:color="auto"/>
                    <w:left w:val="none" w:sz="0" w:space="0" w:color="auto"/>
                    <w:bottom w:val="none" w:sz="0" w:space="0" w:color="auto"/>
                    <w:right w:val="none" w:sz="0" w:space="0" w:color="auto"/>
                  </w:divBdr>
                </w:div>
                <w:div w:id="294143267">
                  <w:marLeft w:val="0"/>
                  <w:marRight w:val="0"/>
                  <w:marTop w:val="0"/>
                  <w:marBottom w:val="0"/>
                  <w:divBdr>
                    <w:top w:val="none" w:sz="0" w:space="0" w:color="auto"/>
                    <w:left w:val="none" w:sz="0" w:space="0" w:color="auto"/>
                    <w:bottom w:val="none" w:sz="0" w:space="0" w:color="auto"/>
                    <w:right w:val="none" w:sz="0" w:space="0" w:color="auto"/>
                  </w:divBdr>
                </w:div>
                <w:div w:id="294143349">
                  <w:marLeft w:val="0"/>
                  <w:marRight w:val="0"/>
                  <w:marTop w:val="0"/>
                  <w:marBottom w:val="0"/>
                  <w:divBdr>
                    <w:top w:val="none" w:sz="0" w:space="0" w:color="auto"/>
                    <w:left w:val="none" w:sz="0" w:space="0" w:color="auto"/>
                    <w:bottom w:val="none" w:sz="0" w:space="0" w:color="auto"/>
                    <w:right w:val="none" w:sz="0" w:space="0" w:color="auto"/>
                  </w:divBdr>
                </w:div>
                <w:div w:id="294143401">
                  <w:marLeft w:val="0"/>
                  <w:marRight w:val="0"/>
                  <w:marTop w:val="0"/>
                  <w:marBottom w:val="0"/>
                  <w:divBdr>
                    <w:top w:val="none" w:sz="0" w:space="0" w:color="auto"/>
                    <w:left w:val="none" w:sz="0" w:space="0" w:color="auto"/>
                    <w:bottom w:val="none" w:sz="0" w:space="0" w:color="auto"/>
                    <w:right w:val="none" w:sz="0" w:space="0" w:color="auto"/>
                  </w:divBdr>
                </w:div>
                <w:div w:id="294143495">
                  <w:marLeft w:val="0"/>
                  <w:marRight w:val="0"/>
                  <w:marTop w:val="0"/>
                  <w:marBottom w:val="0"/>
                  <w:divBdr>
                    <w:top w:val="none" w:sz="0" w:space="0" w:color="auto"/>
                    <w:left w:val="none" w:sz="0" w:space="0" w:color="auto"/>
                    <w:bottom w:val="none" w:sz="0" w:space="0" w:color="auto"/>
                    <w:right w:val="none" w:sz="0" w:space="0" w:color="auto"/>
                  </w:divBdr>
                </w:div>
                <w:div w:id="294143612">
                  <w:marLeft w:val="0"/>
                  <w:marRight w:val="0"/>
                  <w:marTop w:val="0"/>
                  <w:marBottom w:val="0"/>
                  <w:divBdr>
                    <w:top w:val="none" w:sz="0" w:space="0" w:color="auto"/>
                    <w:left w:val="none" w:sz="0" w:space="0" w:color="auto"/>
                    <w:bottom w:val="none" w:sz="0" w:space="0" w:color="auto"/>
                    <w:right w:val="none" w:sz="0" w:space="0" w:color="auto"/>
                  </w:divBdr>
                </w:div>
                <w:div w:id="294143719">
                  <w:marLeft w:val="0"/>
                  <w:marRight w:val="0"/>
                  <w:marTop w:val="0"/>
                  <w:marBottom w:val="0"/>
                  <w:divBdr>
                    <w:top w:val="none" w:sz="0" w:space="0" w:color="auto"/>
                    <w:left w:val="none" w:sz="0" w:space="0" w:color="auto"/>
                    <w:bottom w:val="none" w:sz="0" w:space="0" w:color="auto"/>
                    <w:right w:val="none" w:sz="0" w:space="0" w:color="auto"/>
                  </w:divBdr>
                </w:div>
                <w:div w:id="294143904">
                  <w:marLeft w:val="0"/>
                  <w:marRight w:val="0"/>
                  <w:marTop w:val="0"/>
                  <w:marBottom w:val="0"/>
                  <w:divBdr>
                    <w:top w:val="none" w:sz="0" w:space="0" w:color="auto"/>
                    <w:left w:val="none" w:sz="0" w:space="0" w:color="auto"/>
                    <w:bottom w:val="none" w:sz="0" w:space="0" w:color="auto"/>
                    <w:right w:val="none" w:sz="0" w:space="0" w:color="auto"/>
                  </w:divBdr>
                </w:div>
                <w:div w:id="294143982">
                  <w:marLeft w:val="0"/>
                  <w:marRight w:val="0"/>
                  <w:marTop w:val="0"/>
                  <w:marBottom w:val="0"/>
                  <w:divBdr>
                    <w:top w:val="none" w:sz="0" w:space="0" w:color="auto"/>
                    <w:left w:val="none" w:sz="0" w:space="0" w:color="auto"/>
                    <w:bottom w:val="none" w:sz="0" w:space="0" w:color="auto"/>
                    <w:right w:val="none" w:sz="0" w:space="0" w:color="auto"/>
                  </w:divBdr>
                </w:div>
                <w:div w:id="294144096">
                  <w:marLeft w:val="0"/>
                  <w:marRight w:val="0"/>
                  <w:marTop w:val="0"/>
                  <w:marBottom w:val="0"/>
                  <w:divBdr>
                    <w:top w:val="none" w:sz="0" w:space="0" w:color="auto"/>
                    <w:left w:val="none" w:sz="0" w:space="0" w:color="auto"/>
                    <w:bottom w:val="none" w:sz="0" w:space="0" w:color="auto"/>
                    <w:right w:val="none" w:sz="0" w:space="0" w:color="auto"/>
                  </w:divBdr>
                </w:div>
                <w:div w:id="294144225">
                  <w:marLeft w:val="0"/>
                  <w:marRight w:val="0"/>
                  <w:marTop w:val="0"/>
                  <w:marBottom w:val="0"/>
                  <w:divBdr>
                    <w:top w:val="none" w:sz="0" w:space="0" w:color="auto"/>
                    <w:left w:val="none" w:sz="0" w:space="0" w:color="auto"/>
                    <w:bottom w:val="none" w:sz="0" w:space="0" w:color="auto"/>
                    <w:right w:val="none" w:sz="0" w:space="0" w:color="auto"/>
                  </w:divBdr>
                </w:div>
                <w:div w:id="294144241">
                  <w:marLeft w:val="0"/>
                  <w:marRight w:val="0"/>
                  <w:marTop w:val="0"/>
                  <w:marBottom w:val="0"/>
                  <w:divBdr>
                    <w:top w:val="none" w:sz="0" w:space="0" w:color="auto"/>
                    <w:left w:val="none" w:sz="0" w:space="0" w:color="auto"/>
                    <w:bottom w:val="none" w:sz="0" w:space="0" w:color="auto"/>
                    <w:right w:val="none" w:sz="0" w:space="0" w:color="auto"/>
                  </w:divBdr>
                </w:div>
                <w:div w:id="294144251">
                  <w:marLeft w:val="0"/>
                  <w:marRight w:val="0"/>
                  <w:marTop w:val="0"/>
                  <w:marBottom w:val="0"/>
                  <w:divBdr>
                    <w:top w:val="none" w:sz="0" w:space="0" w:color="auto"/>
                    <w:left w:val="none" w:sz="0" w:space="0" w:color="auto"/>
                    <w:bottom w:val="none" w:sz="0" w:space="0" w:color="auto"/>
                    <w:right w:val="none" w:sz="0" w:space="0" w:color="auto"/>
                  </w:divBdr>
                </w:div>
                <w:div w:id="294144274">
                  <w:marLeft w:val="0"/>
                  <w:marRight w:val="0"/>
                  <w:marTop w:val="0"/>
                  <w:marBottom w:val="0"/>
                  <w:divBdr>
                    <w:top w:val="none" w:sz="0" w:space="0" w:color="auto"/>
                    <w:left w:val="none" w:sz="0" w:space="0" w:color="auto"/>
                    <w:bottom w:val="none" w:sz="0" w:space="0" w:color="auto"/>
                    <w:right w:val="none" w:sz="0" w:space="0" w:color="auto"/>
                  </w:divBdr>
                </w:div>
                <w:div w:id="294144443">
                  <w:marLeft w:val="0"/>
                  <w:marRight w:val="0"/>
                  <w:marTop w:val="0"/>
                  <w:marBottom w:val="0"/>
                  <w:divBdr>
                    <w:top w:val="none" w:sz="0" w:space="0" w:color="auto"/>
                    <w:left w:val="none" w:sz="0" w:space="0" w:color="auto"/>
                    <w:bottom w:val="none" w:sz="0" w:space="0" w:color="auto"/>
                    <w:right w:val="none" w:sz="0" w:space="0" w:color="auto"/>
                  </w:divBdr>
                </w:div>
                <w:div w:id="294144578">
                  <w:marLeft w:val="0"/>
                  <w:marRight w:val="0"/>
                  <w:marTop w:val="0"/>
                  <w:marBottom w:val="0"/>
                  <w:divBdr>
                    <w:top w:val="none" w:sz="0" w:space="0" w:color="auto"/>
                    <w:left w:val="none" w:sz="0" w:space="0" w:color="auto"/>
                    <w:bottom w:val="none" w:sz="0" w:space="0" w:color="auto"/>
                    <w:right w:val="none" w:sz="0" w:space="0" w:color="auto"/>
                  </w:divBdr>
                </w:div>
                <w:div w:id="294144626">
                  <w:marLeft w:val="0"/>
                  <w:marRight w:val="0"/>
                  <w:marTop w:val="0"/>
                  <w:marBottom w:val="0"/>
                  <w:divBdr>
                    <w:top w:val="none" w:sz="0" w:space="0" w:color="auto"/>
                    <w:left w:val="none" w:sz="0" w:space="0" w:color="auto"/>
                    <w:bottom w:val="none" w:sz="0" w:space="0" w:color="auto"/>
                    <w:right w:val="none" w:sz="0" w:space="0" w:color="auto"/>
                  </w:divBdr>
                </w:div>
                <w:div w:id="294144800">
                  <w:marLeft w:val="0"/>
                  <w:marRight w:val="0"/>
                  <w:marTop w:val="0"/>
                  <w:marBottom w:val="0"/>
                  <w:divBdr>
                    <w:top w:val="none" w:sz="0" w:space="0" w:color="auto"/>
                    <w:left w:val="none" w:sz="0" w:space="0" w:color="auto"/>
                    <w:bottom w:val="none" w:sz="0" w:space="0" w:color="auto"/>
                    <w:right w:val="none" w:sz="0" w:space="0" w:color="auto"/>
                  </w:divBdr>
                </w:div>
                <w:div w:id="294144802">
                  <w:marLeft w:val="0"/>
                  <w:marRight w:val="0"/>
                  <w:marTop w:val="0"/>
                  <w:marBottom w:val="0"/>
                  <w:divBdr>
                    <w:top w:val="none" w:sz="0" w:space="0" w:color="auto"/>
                    <w:left w:val="none" w:sz="0" w:space="0" w:color="auto"/>
                    <w:bottom w:val="none" w:sz="0" w:space="0" w:color="auto"/>
                    <w:right w:val="none" w:sz="0" w:space="0" w:color="auto"/>
                  </w:divBdr>
                </w:div>
                <w:div w:id="294144990">
                  <w:marLeft w:val="0"/>
                  <w:marRight w:val="0"/>
                  <w:marTop w:val="0"/>
                  <w:marBottom w:val="0"/>
                  <w:divBdr>
                    <w:top w:val="none" w:sz="0" w:space="0" w:color="auto"/>
                    <w:left w:val="none" w:sz="0" w:space="0" w:color="auto"/>
                    <w:bottom w:val="none" w:sz="0" w:space="0" w:color="auto"/>
                    <w:right w:val="none" w:sz="0" w:space="0" w:color="auto"/>
                  </w:divBdr>
                </w:div>
                <w:div w:id="294145314">
                  <w:marLeft w:val="0"/>
                  <w:marRight w:val="0"/>
                  <w:marTop w:val="0"/>
                  <w:marBottom w:val="0"/>
                  <w:divBdr>
                    <w:top w:val="none" w:sz="0" w:space="0" w:color="auto"/>
                    <w:left w:val="none" w:sz="0" w:space="0" w:color="auto"/>
                    <w:bottom w:val="none" w:sz="0" w:space="0" w:color="auto"/>
                    <w:right w:val="none" w:sz="0" w:space="0" w:color="auto"/>
                  </w:divBdr>
                </w:div>
                <w:div w:id="294145322">
                  <w:marLeft w:val="0"/>
                  <w:marRight w:val="0"/>
                  <w:marTop w:val="0"/>
                  <w:marBottom w:val="0"/>
                  <w:divBdr>
                    <w:top w:val="none" w:sz="0" w:space="0" w:color="auto"/>
                    <w:left w:val="none" w:sz="0" w:space="0" w:color="auto"/>
                    <w:bottom w:val="none" w:sz="0" w:space="0" w:color="auto"/>
                    <w:right w:val="none" w:sz="0" w:space="0" w:color="auto"/>
                  </w:divBdr>
                </w:div>
                <w:div w:id="294145472">
                  <w:marLeft w:val="0"/>
                  <w:marRight w:val="0"/>
                  <w:marTop w:val="0"/>
                  <w:marBottom w:val="0"/>
                  <w:divBdr>
                    <w:top w:val="none" w:sz="0" w:space="0" w:color="auto"/>
                    <w:left w:val="none" w:sz="0" w:space="0" w:color="auto"/>
                    <w:bottom w:val="none" w:sz="0" w:space="0" w:color="auto"/>
                    <w:right w:val="none" w:sz="0" w:space="0" w:color="auto"/>
                  </w:divBdr>
                </w:div>
                <w:div w:id="294145617">
                  <w:marLeft w:val="0"/>
                  <w:marRight w:val="0"/>
                  <w:marTop w:val="0"/>
                  <w:marBottom w:val="0"/>
                  <w:divBdr>
                    <w:top w:val="none" w:sz="0" w:space="0" w:color="auto"/>
                    <w:left w:val="none" w:sz="0" w:space="0" w:color="auto"/>
                    <w:bottom w:val="none" w:sz="0" w:space="0" w:color="auto"/>
                    <w:right w:val="none" w:sz="0" w:space="0" w:color="auto"/>
                  </w:divBdr>
                </w:div>
                <w:div w:id="294145789">
                  <w:marLeft w:val="0"/>
                  <w:marRight w:val="0"/>
                  <w:marTop w:val="0"/>
                  <w:marBottom w:val="0"/>
                  <w:divBdr>
                    <w:top w:val="none" w:sz="0" w:space="0" w:color="auto"/>
                    <w:left w:val="none" w:sz="0" w:space="0" w:color="auto"/>
                    <w:bottom w:val="none" w:sz="0" w:space="0" w:color="auto"/>
                    <w:right w:val="none" w:sz="0" w:space="0" w:color="auto"/>
                  </w:divBdr>
                </w:div>
                <w:div w:id="294146212">
                  <w:marLeft w:val="0"/>
                  <w:marRight w:val="0"/>
                  <w:marTop w:val="0"/>
                  <w:marBottom w:val="0"/>
                  <w:divBdr>
                    <w:top w:val="none" w:sz="0" w:space="0" w:color="auto"/>
                    <w:left w:val="none" w:sz="0" w:space="0" w:color="auto"/>
                    <w:bottom w:val="none" w:sz="0" w:space="0" w:color="auto"/>
                    <w:right w:val="none" w:sz="0" w:space="0" w:color="auto"/>
                  </w:divBdr>
                </w:div>
                <w:div w:id="294146284">
                  <w:marLeft w:val="0"/>
                  <w:marRight w:val="0"/>
                  <w:marTop w:val="0"/>
                  <w:marBottom w:val="0"/>
                  <w:divBdr>
                    <w:top w:val="none" w:sz="0" w:space="0" w:color="auto"/>
                    <w:left w:val="none" w:sz="0" w:space="0" w:color="auto"/>
                    <w:bottom w:val="none" w:sz="0" w:space="0" w:color="auto"/>
                    <w:right w:val="none" w:sz="0" w:space="0" w:color="auto"/>
                  </w:divBdr>
                </w:div>
                <w:div w:id="294146908">
                  <w:marLeft w:val="0"/>
                  <w:marRight w:val="0"/>
                  <w:marTop w:val="0"/>
                  <w:marBottom w:val="0"/>
                  <w:divBdr>
                    <w:top w:val="none" w:sz="0" w:space="0" w:color="auto"/>
                    <w:left w:val="none" w:sz="0" w:space="0" w:color="auto"/>
                    <w:bottom w:val="none" w:sz="0" w:space="0" w:color="auto"/>
                    <w:right w:val="none" w:sz="0" w:space="0" w:color="auto"/>
                  </w:divBdr>
                </w:div>
                <w:div w:id="294147401">
                  <w:marLeft w:val="0"/>
                  <w:marRight w:val="0"/>
                  <w:marTop w:val="0"/>
                  <w:marBottom w:val="0"/>
                  <w:divBdr>
                    <w:top w:val="none" w:sz="0" w:space="0" w:color="auto"/>
                    <w:left w:val="none" w:sz="0" w:space="0" w:color="auto"/>
                    <w:bottom w:val="none" w:sz="0" w:space="0" w:color="auto"/>
                    <w:right w:val="none" w:sz="0" w:space="0" w:color="auto"/>
                  </w:divBdr>
                </w:div>
                <w:div w:id="294147452">
                  <w:marLeft w:val="0"/>
                  <w:marRight w:val="0"/>
                  <w:marTop w:val="0"/>
                  <w:marBottom w:val="0"/>
                  <w:divBdr>
                    <w:top w:val="none" w:sz="0" w:space="0" w:color="auto"/>
                    <w:left w:val="none" w:sz="0" w:space="0" w:color="auto"/>
                    <w:bottom w:val="none" w:sz="0" w:space="0" w:color="auto"/>
                    <w:right w:val="none" w:sz="0" w:space="0" w:color="auto"/>
                  </w:divBdr>
                </w:div>
                <w:div w:id="294147608">
                  <w:marLeft w:val="0"/>
                  <w:marRight w:val="0"/>
                  <w:marTop w:val="0"/>
                  <w:marBottom w:val="0"/>
                  <w:divBdr>
                    <w:top w:val="none" w:sz="0" w:space="0" w:color="auto"/>
                    <w:left w:val="none" w:sz="0" w:space="0" w:color="auto"/>
                    <w:bottom w:val="none" w:sz="0" w:space="0" w:color="auto"/>
                    <w:right w:val="none" w:sz="0" w:space="0" w:color="auto"/>
                  </w:divBdr>
                </w:div>
                <w:div w:id="294147844">
                  <w:marLeft w:val="0"/>
                  <w:marRight w:val="0"/>
                  <w:marTop w:val="0"/>
                  <w:marBottom w:val="0"/>
                  <w:divBdr>
                    <w:top w:val="none" w:sz="0" w:space="0" w:color="auto"/>
                    <w:left w:val="none" w:sz="0" w:space="0" w:color="auto"/>
                    <w:bottom w:val="none" w:sz="0" w:space="0" w:color="auto"/>
                    <w:right w:val="none" w:sz="0" w:space="0" w:color="auto"/>
                  </w:divBdr>
                </w:div>
                <w:div w:id="294147891">
                  <w:marLeft w:val="0"/>
                  <w:marRight w:val="0"/>
                  <w:marTop w:val="0"/>
                  <w:marBottom w:val="0"/>
                  <w:divBdr>
                    <w:top w:val="none" w:sz="0" w:space="0" w:color="auto"/>
                    <w:left w:val="none" w:sz="0" w:space="0" w:color="auto"/>
                    <w:bottom w:val="none" w:sz="0" w:space="0" w:color="auto"/>
                    <w:right w:val="none" w:sz="0" w:space="0" w:color="auto"/>
                  </w:divBdr>
                </w:div>
                <w:div w:id="294148043">
                  <w:marLeft w:val="0"/>
                  <w:marRight w:val="0"/>
                  <w:marTop w:val="0"/>
                  <w:marBottom w:val="0"/>
                  <w:divBdr>
                    <w:top w:val="none" w:sz="0" w:space="0" w:color="auto"/>
                    <w:left w:val="none" w:sz="0" w:space="0" w:color="auto"/>
                    <w:bottom w:val="none" w:sz="0" w:space="0" w:color="auto"/>
                    <w:right w:val="none" w:sz="0" w:space="0" w:color="auto"/>
                  </w:divBdr>
                </w:div>
                <w:div w:id="294148116">
                  <w:marLeft w:val="0"/>
                  <w:marRight w:val="0"/>
                  <w:marTop w:val="0"/>
                  <w:marBottom w:val="0"/>
                  <w:divBdr>
                    <w:top w:val="none" w:sz="0" w:space="0" w:color="auto"/>
                    <w:left w:val="none" w:sz="0" w:space="0" w:color="auto"/>
                    <w:bottom w:val="none" w:sz="0" w:space="0" w:color="auto"/>
                    <w:right w:val="none" w:sz="0" w:space="0" w:color="auto"/>
                  </w:divBdr>
                </w:div>
                <w:div w:id="294148538">
                  <w:marLeft w:val="0"/>
                  <w:marRight w:val="0"/>
                  <w:marTop w:val="0"/>
                  <w:marBottom w:val="0"/>
                  <w:divBdr>
                    <w:top w:val="none" w:sz="0" w:space="0" w:color="auto"/>
                    <w:left w:val="none" w:sz="0" w:space="0" w:color="auto"/>
                    <w:bottom w:val="none" w:sz="0" w:space="0" w:color="auto"/>
                    <w:right w:val="none" w:sz="0" w:space="0" w:color="auto"/>
                  </w:divBdr>
                </w:div>
                <w:div w:id="294149144">
                  <w:marLeft w:val="0"/>
                  <w:marRight w:val="0"/>
                  <w:marTop w:val="0"/>
                  <w:marBottom w:val="0"/>
                  <w:divBdr>
                    <w:top w:val="none" w:sz="0" w:space="0" w:color="auto"/>
                    <w:left w:val="none" w:sz="0" w:space="0" w:color="auto"/>
                    <w:bottom w:val="none" w:sz="0" w:space="0" w:color="auto"/>
                    <w:right w:val="none" w:sz="0" w:space="0" w:color="auto"/>
                  </w:divBdr>
                </w:div>
                <w:div w:id="294149192">
                  <w:marLeft w:val="0"/>
                  <w:marRight w:val="0"/>
                  <w:marTop w:val="0"/>
                  <w:marBottom w:val="0"/>
                  <w:divBdr>
                    <w:top w:val="none" w:sz="0" w:space="0" w:color="auto"/>
                    <w:left w:val="none" w:sz="0" w:space="0" w:color="auto"/>
                    <w:bottom w:val="none" w:sz="0" w:space="0" w:color="auto"/>
                    <w:right w:val="none" w:sz="0" w:space="0" w:color="auto"/>
                  </w:divBdr>
                </w:div>
                <w:div w:id="294149244">
                  <w:marLeft w:val="0"/>
                  <w:marRight w:val="0"/>
                  <w:marTop w:val="0"/>
                  <w:marBottom w:val="0"/>
                  <w:divBdr>
                    <w:top w:val="none" w:sz="0" w:space="0" w:color="auto"/>
                    <w:left w:val="none" w:sz="0" w:space="0" w:color="auto"/>
                    <w:bottom w:val="none" w:sz="0" w:space="0" w:color="auto"/>
                    <w:right w:val="none" w:sz="0" w:space="0" w:color="auto"/>
                  </w:divBdr>
                </w:div>
                <w:div w:id="294149290">
                  <w:marLeft w:val="0"/>
                  <w:marRight w:val="0"/>
                  <w:marTop w:val="0"/>
                  <w:marBottom w:val="0"/>
                  <w:divBdr>
                    <w:top w:val="none" w:sz="0" w:space="0" w:color="auto"/>
                    <w:left w:val="none" w:sz="0" w:space="0" w:color="auto"/>
                    <w:bottom w:val="none" w:sz="0" w:space="0" w:color="auto"/>
                    <w:right w:val="none" w:sz="0" w:space="0" w:color="auto"/>
                  </w:divBdr>
                </w:div>
                <w:div w:id="294149313">
                  <w:marLeft w:val="0"/>
                  <w:marRight w:val="0"/>
                  <w:marTop w:val="0"/>
                  <w:marBottom w:val="0"/>
                  <w:divBdr>
                    <w:top w:val="none" w:sz="0" w:space="0" w:color="auto"/>
                    <w:left w:val="none" w:sz="0" w:space="0" w:color="auto"/>
                    <w:bottom w:val="none" w:sz="0" w:space="0" w:color="auto"/>
                    <w:right w:val="none" w:sz="0" w:space="0" w:color="auto"/>
                  </w:divBdr>
                </w:div>
                <w:div w:id="294149381">
                  <w:marLeft w:val="0"/>
                  <w:marRight w:val="0"/>
                  <w:marTop w:val="0"/>
                  <w:marBottom w:val="0"/>
                  <w:divBdr>
                    <w:top w:val="none" w:sz="0" w:space="0" w:color="auto"/>
                    <w:left w:val="none" w:sz="0" w:space="0" w:color="auto"/>
                    <w:bottom w:val="none" w:sz="0" w:space="0" w:color="auto"/>
                    <w:right w:val="none" w:sz="0" w:space="0" w:color="auto"/>
                  </w:divBdr>
                </w:div>
                <w:div w:id="294149588">
                  <w:marLeft w:val="0"/>
                  <w:marRight w:val="0"/>
                  <w:marTop w:val="0"/>
                  <w:marBottom w:val="0"/>
                  <w:divBdr>
                    <w:top w:val="none" w:sz="0" w:space="0" w:color="auto"/>
                    <w:left w:val="none" w:sz="0" w:space="0" w:color="auto"/>
                    <w:bottom w:val="none" w:sz="0" w:space="0" w:color="auto"/>
                    <w:right w:val="none" w:sz="0" w:space="0" w:color="auto"/>
                  </w:divBdr>
                </w:div>
                <w:div w:id="294149641">
                  <w:marLeft w:val="0"/>
                  <w:marRight w:val="0"/>
                  <w:marTop w:val="0"/>
                  <w:marBottom w:val="0"/>
                  <w:divBdr>
                    <w:top w:val="none" w:sz="0" w:space="0" w:color="auto"/>
                    <w:left w:val="none" w:sz="0" w:space="0" w:color="auto"/>
                    <w:bottom w:val="none" w:sz="0" w:space="0" w:color="auto"/>
                    <w:right w:val="none" w:sz="0" w:space="0" w:color="auto"/>
                  </w:divBdr>
                </w:div>
                <w:div w:id="294149721">
                  <w:marLeft w:val="0"/>
                  <w:marRight w:val="0"/>
                  <w:marTop w:val="0"/>
                  <w:marBottom w:val="0"/>
                  <w:divBdr>
                    <w:top w:val="none" w:sz="0" w:space="0" w:color="auto"/>
                    <w:left w:val="none" w:sz="0" w:space="0" w:color="auto"/>
                    <w:bottom w:val="none" w:sz="0" w:space="0" w:color="auto"/>
                    <w:right w:val="none" w:sz="0" w:space="0" w:color="auto"/>
                  </w:divBdr>
                </w:div>
                <w:div w:id="294150163">
                  <w:marLeft w:val="0"/>
                  <w:marRight w:val="0"/>
                  <w:marTop w:val="0"/>
                  <w:marBottom w:val="0"/>
                  <w:divBdr>
                    <w:top w:val="none" w:sz="0" w:space="0" w:color="auto"/>
                    <w:left w:val="none" w:sz="0" w:space="0" w:color="auto"/>
                    <w:bottom w:val="none" w:sz="0" w:space="0" w:color="auto"/>
                    <w:right w:val="none" w:sz="0" w:space="0" w:color="auto"/>
                  </w:divBdr>
                </w:div>
                <w:div w:id="294150606">
                  <w:marLeft w:val="0"/>
                  <w:marRight w:val="0"/>
                  <w:marTop w:val="0"/>
                  <w:marBottom w:val="0"/>
                  <w:divBdr>
                    <w:top w:val="none" w:sz="0" w:space="0" w:color="auto"/>
                    <w:left w:val="none" w:sz="0" w:space="0" w:color="auto"/>
                    <w:bottom w:val="none" w:sz="0" w:space="0" w:color="auto"/>
                    <w:right w:val="none" w:sz="0" w:space="0" w:color="auto"/>
                  </w:divBdr>
                </w:div>
                <w:div w:id="294150718">
                  <w:marLeft w:val="0"/>
                  <w:marRight w:val="0"/>
                  <w:marTop w:val="0"/>
                  <w:marBottom w:val="0"/>
                  <w:divBdr>
                    <w:top w:val="none" w:sz="0" w:space="0" w:color="auto"/>
                    <w:left w:val="none" w:sz="0" w:space="0" w:color="auto"/>
                    <w:bottom w:val="none" w:sz="0" w:space="0" w:color="auto"/>
                    <w:right w:val="none" w:sz="0" w:space="0" w:color="auto"/>
                  </w:divBdr>
                </w:div>
                <w:div w:id="294150748">
                  <w:marLeft w:val="0"/>
                  <w:marRight w:val="0"/>
                  <w:marTop w:val="0"/>
                  <w:marBottom w:val="0"/>
                  <w:divBdr>
                    <w:top w:val="none" w:sz="0" w:space="0" w:color="auto"/>
                    <w:left w:val="none" w:sz="0" w:space="0" w:color="auto"/>
                    <w:bottom w:val="none" w:sz="0" w:space="0" w:color="auto"/>
                    <w:right w:val="none" w:sz="0" w:space="0" w:color="auto"/>
                  </w:divBdr>
                </w:div>
                <w:div w:id="294150930">
                  <w:marLeft w:val="0"/>
                  <w:marRight w:val="0"/>
                  <w:marTop w:val="0"/>
                  <w:marBottom w:val="0"/>
                  <w:divBdr>
                    <w:top w:val="none" w:sz="0" w:space="0" w:color="auto"/>
                    <w:left w:val="none" w:sz="0" w:space="0" w:color="auto"/>
                    <w:bottom w:val="none" w:sz="0" w:space="0" w:color="auto"/>
                    <w:right w:val="none" w:sz="0" w:space="0" w:color="auto"/>
                  </w:divBdr>
                </w:div>
                <w:div w:id="294151042">
                  <w:marLeft w:val="0"/>
                  <w:marRight w:val="0"/>
                  <w:marTop w:val="0"/>
                  <w:marBottom w:val="0"/>
                  <w:divBdr>
                    <w:top w:val="none" w:sz="0" w:space="0" w:color="auto"/>
                    <w:left w:val="none" w:sz="0" w:space="0" w:color="auto"/>
                    <w:bottom w:val="none" w:sz="0" w:space="0" w:color="auto"/>
                    <w:right w:val="none" w:sz="0" w:space="0" w:color="auto"/>
                  </w:divBdr>
                </w:div>
                <w:div w:id="294151047">
                  <w:marLeft w:val="0"/>
                  <w:marRight w:val="0"/>
                  <w:marTop w:val="0"/>
                  <w:marBottom w:val="0"/>
                  <w:divBdr>
                    <w:top w:val="none" w:sz="0" w:space="0" w:color="auto"/>
                    <w:left w:val="none" w:sz="0" w:space="0" w:color="auto"/>
                    <w:bottom w:val="none" w:sz="0" w:space="0" w:color="auto"/>
                    <w:right w:val="none" w:sz="0" w:space="0" w:color="auto"/>
                  </w:divBdr>
                </w:div>
                <w:div w:id="294151067">
                  <w:marLeft w:val="0"/>
                  <w:marRight w:val="0"/>
                  <w:marTop w:val="0"/>
                  <w:marBottom w:val="0"/>
                  <w:divBdr>
                    <w:top w:val="none" w:sz="0" w:space="0" w:color="auto"/>
                    <w:left w:val="none" w:sz="0" w:space="0" w:color="auto"/>
                    <w:bottom w:val="none" w:sz="0" w:space="0" w:color="auto"/>
                    <w:right w:val="none" w:sz="0" w:space="0" w:color="auto"/>
                  </w:divBdr>
                </w:div>
                <w:div w:id="294151074">
                  <w:marLeft w:val="0"/>
                  <w:marRight w:val="0"/>
                  <w:marTop w:val="0"/>
                  <w:marBottom w:val="0"/>
                  <w:divBdr>
                    <w:top w:val="none" w:sz="0" w:space="0" w:color="auto"/>
                    <w:left w:val="none" w:sz="0" w:space="0" w:color="auto"/>
                    <w:bottom w:val="none" w:sz="0" w:space="0" w:color="auto"/>
                    <w:right w:val="none" w:sz="0" w:space="0" w:color="auto"/>
                  </w:divBdr>
                </w:div>
                <w:div w:id="294151169">
                  <w:marLeft w:val="0"/>
                  <w:marRight w:val="0"/>
                  <w:marTop w:val="0"/>
                  <w:marBottom w:val="0"/>
                  <w:divBdr>
                    <w:top w:val="none" w:sz="0" w:space="0" w:color="auto"/>
                    <w:left w:val="none" w:sz="0" w:space="0" w:color="auto"/>
                    <w:bottom w:val="none" w:sz="0" w:space="0" w:color="auto"/>
                    <w:right w:val="none" w:sz="0" w:space="0" w:color="auto"/>
                  </w:divBdr>
                </w:div>
                <w:div w:id="294151339">
                  <w:marLeft w:val="0"/>
                  <w:marRight w:val="0"/>
                  <w:marTop w:val="0"/>
                  <w:marBottom w:val="0"/>
                  <w:divBdr>
                    <w:top w:val="none" w:sz="0" w:space="0" w:color="auto"/>
                    <w:left w:val="none" w:sz="0" w:space="0" w:color="auto"/>
                    <w:bottom w:val="none" w:sz="0" w:space="0" w:color="auto"/>
                    <w:right w:val="none" w:sz="0" w:space="0" w:color="auto"/>
                  </w:divBdr>
                </w:div>
                <w:div w:id="294151488">
                  <w:marLeft w:val="0"/>
                  <w:marRight w:val="0"/>
                  <w:marTop w:val="0"/>
                  <w:marBottom w:val="0"/>
                  <w:divBdr>
                    <w:top w:val="none" w:sz="0" w:space="0" w:color="auto"/>
                    <w:left w:val="none" w:sz="0" w:space="0" w:color="auto"/>
                    <w:bottom w:val="none" w:sz="0" w:space="0" w:color="auto"/>
                    <w:right w:val="none" w:sz="0" w:space="0" w:color="auto"/>
                  </w:divBdr>
                </w:div>
                <w:div w:id="294151745">
                  <w:marLeft w:val="0"/>
                  <w:marRight w:val="0"/>
                  <w:marTop w:val="0"/>
                  <w:marBottom w:val="0"/>
                  <w:divBdr>
                    <w:top w:val="none" w:sz="0" w:space="0" w:color="auto"/>
                    <w:left w:val="none" w:sz="0" w:space="0" w:color="auto"/>
                    <w:bottom w:val="none" w:sz="0" w:space="0" w:color="auto"/>
                    <w:right w:val="none" w:sz="0" w:space="0" w:color="auto"/>
                  </w:divBdr>
                </w:div>
                <w:div w:id="294151854">
                  <w:marLeft w:val="0"/>
                  <w:marRight w:val="0"/>
                  <w:marTop w:val="0"/>
                  <w:marBottom w:val="0"/>
                  <w:divBdr>
                    <w:top w:val="none" w:sz="0" w:space="0" w:color="auto"/>
                    <w:left w:val="none" w:sz="0" w:space="0" w:color="auto"/>
                    <w:bottom w:val="none" w:sz="0" w:space="0" w:color="auto"/>
                    <w:right w:val="none" w:sz="0" w:space="0" w:color="auto"/>
                  </w:divBdr>
                </w:div>
                <w:div w:id="294152263">
                  <w:marLeft w:val="0"/>
                  <w:marRight w:val="0"/>
                  <w:marTop w:val="0"/>
                  <w:marBottom w:val="0"/>
                  <w:divBdr>
                    <w:top w:val="none" w:sz="0" w:space="0" w:color="auto"/>
                    <w:left w:val="none" w:sz="0" w:space="0" w:color="auto"/>
                    <w:bottom w:val="none" w:sz="0" w:space="0" w:color="auto"/>
                    <w:right w:val="none" w:sz="0" w:space="0" w:color="auto"/>
                  </w:divBdr>
                </w:div>
                <w:div w:id="294152454">
                  <w:marLeft w:val="0"/>
                  <w:marRight w:val="0"/>
                  <w:marTop w:val="0"/>
                  <w:marBottom w:val="0"/>
                  <w:divBdr>
                    <w:top w:val="none" w:sz="0" w:space="0" w:color="auto"/>
                    <w:left w:val="none" w:sz="0" w:space="0" w:color="auto"/>
                    <w:bottom w:val="none" w:sz="0" w:space="0" w:color="auto"/>
                    <w:right w:val="none" w:sz="0" w:space="0" w:color="auto"/>
                  </w:divBdr>
                </w:div>
                <w:div w:id="294152467">
                  <w:marLeft w:val="0"/>
                  <w:marRight w:val="0"/>
                  <w:marTop w:val="0"/>
                  <w:marBottom w:val="0"/>
                  <w:divBdr>
                    <w:top w:val="none" w:sz="0" w:space="0" w:color="auto"/>
                    <w:left w:val="none" w:sz="0" w:space="0" w:color="auto"/>
                    <w:bottom w:val="none" w:sz="0" w:space="0" w:color="auto"/>
                    <w:right w:val="none" w:sz="0" w:space="0" w:color="auto"/>
                  </w:divBdr>
                </w:div>
                <w:div w:id="294152500">
                  <w:marLeft w:val="0"/>
                  <w:marRight w:val="0"/>
                  <w:marTop w:val="0"/>
                  <w:marBottom w:val="0"/>
                  <w:divBdr>
                    <w:top w:val="none" w:sz="0" w:space="0" w:color="auto"/>
                    <w:left w:val="none" w:sz="0" w:space="0" w:color="auto"/>
                    <w:bottom w:val="none" w:sz="0" w:space="0" w:color="auto"/>
                    <w:right w:val="none" w:sz="0" w:space="0" w:color="auto"/>
                  </w:divBdr>
                </w:div>
                <w:div w:id="294152791">
                  <w:marLeft w:val="0"/>
                  <w:marRight w:val="0"/>
                  <w:marTop w:val="0"/>
                  <w:marBottom w:val="0"/>
                  <w:divBdr>
                    <w:top w:val="none" w:sz="0" w:space="0" w:color="auto"/>
                    <w:left w:val="none" w:sz="0" w:space="0" w:color="auto"/>
                    <w:bottom w:val="none" w:sz="0" w:space="0" w:color="auto"/>
                    <w:right w:val="none" w:sz="0" w:space="0" w:color="auto"/>
                  </w:divBdr>
                </w:div>
                <w:div w:id="294152947">
                  <w:marLeft w:val="0"/>
                  <w:marRight w:val="0"/>
                  <w:marTop w:val="0"/>
                  <w:marBottom w:val="0"/>
                  <w:divBdr>
                    <w:top w:val="none" w:sz="0" w:space="0" w:color="auto"/>
                    <w:left w:val="none" w:sz="0" w:space="0" w:color="auto"/>
                    <w:bottom w:val="none" w:sz="0" w:space="0" w:color="auto"/>
                    <w:right w:val="none" w:sz="0" w:space="0" w:color="auto"/>
                  </w:divBdr>
                </w:div>
                <w:div w:id="294152961">
                  <w:marLeft w:val="0"/>
                  <w:marRight w:val="0"/>
                  <w:marTop w:val="0"/>
                  <w:marBottom w:val="0"/>
                  <w:divBdr>
                    <w:top w:val="none" w:sz="0" w:space="0" w:color="auto"/>
                    <w:left w:val="none" w:sz="0" w:space="0" w:color="auto"/>
                    <w:bottom w:val="none" w:sz="0" w:space="0" w:color="auto"/>
                    <w:right w:val="none" w:sz="0" w:space="0" w:color="auto"/>
                  </w:divBdr>
                </w:div>
                <w:div w:id="294153157">
                  <w:marLeft w:val="0"/>
                  <w:marRight w:val="0"/>
                  <w:marTop w:val="0"/>
                  <w:marBottom w:val="0"/>
                  <w:divBdr>
                    <w:top w:val="none" w:sz="0" w:space="0" w:color="auto"/>
                    <w:left w:val="none" w:sz="0" w:space="0" w:color="auto"/>
                    <w:bottom w:val="none" w:sz="0" w:space="0" w:color="auto"/>
                    <w:right w:val="none" w:sz="0" w:space="0" w:color="auto"/>
                  </w:divBdr>
                </w:div>
                <w:div w:id="294153202">
                  <w:marLeft w:val="0"/>
                  <w:marRight w:val="0"/>
                  <w:marTop w:val="0"/>
                  <w:marBottom w:val="0"/>
                  <w:divBdr>
                    <w:top w:val="none" w:sz="0" w:space="0" w:color="auto"/>
                    <w:left w:val="none" w:sz="0" w:space="0" w:color="auto"/>
                    <w:bottom w:val="none" w:sz="0" w:space="0" w:color="auto"/>
                    <w:right w:val="none" w:sz="0" w:space="0" w:color="auto"/>
                  </w:divBdr>
                </w:div>
                <w:div w:id="294153386">
                  <w:marLeft w:val="0"/>
                  <w:marRight w:val="0"/>
                  <w:marTop w:val="0"/>
                  <w:marBottom w:val="0"/>
                  <w:divBdr>
                    <w:top w:val="none" w:sz="0" w:space="0" w:color="auto"/>
                    <w:left w:val="none" w:sz="0" w:space="0" w:color="auto"/>
                    <w:bottom w:val="none" w:sz="0" w:space="0" w:color="auto"/>
                    <w:right w:val="none" w:sz="0" w:space="0" w:color="auto"/>
                  </w:divBdr>
                </w:div>
                <w:div w:id="294153702">
                  <w:marLeft w:val="0"/>
                  <w:marRight w:val="0"/>
                  <w:marTop w:val="0"/>
                  <w:marBottom w:val="0"/>
                  <w:divBdr>
                    <w:top w:val="none" w:sz="0" w:space="0" w:color="auto"/>
                    <w:left w:val="none" w:sz="0" w:space="0" w:color="auto"/>
                    <w:bottom w:val="none" w:sz="0" w:space="0" w:color="auto"/>
                    <w:right w:val="none" w:sz="0" w:space="0" w:color="auto"/>
                  </w:divBdr>
                </w:div>
                <w:div w:id="294153730">
                  <w:marLeft w:val="0"/>
                  <w:marRight w:val="0"/>
                  <w:marTop w:val="0"/>
                  <w:marBottom w:val="0"/>
                  <w:divBdr>
                    <w:top w:val="none" w:sz="0" w:space="0" w:color="auto"/>
                    <w:left w:val="none" w:sz="0" w:space="0" w:color="auto"/>
                    <w:bottom w:val="none" w:sz="0" w:space="0" w:color="auto"/>
                    <w:right w:val="none" w:sz="0" w:space="0" w:color="auto"/>
                  </w:divBdr>
                </w:div>
                <w:div w:id="294153879">
                  <w:marLeft w:val="0"/>
                  <w:marRight w:val="0"/>
                  <w:marTop w:val="0"/>
                  <w:marBottom w:val="0"/>
                  <w:divBdr>
                    <w:top w:val="none" w:sz="0" w:space="0" w:color="auto"/>
                    <w:left w:val="none" w:sz="0" w:space="0" w:color="auto"/>
                    <w:bottom w:val="none" w:sz="0" w:space="0" w:color="auto"/>
                    <w:right w:val="none" w:sz="0" w:space="0" w:color="auto"/>
                  </w:divBdr>
                </w:div>
                <w:div w:id="294154305">
                  <w:marLeft w:val="0"/>
                  <w:marRight w:val="0"/>
                  <w:marTop w:val="0"/>
                  <w:marBottom w:val="0"/>
                  <w:divBdr>
                    <w:top w:val="none" w:sz="0" w:space="0" w:color="auto"/>
                    <w:left w:val="none" w:sz="0" w:space="0" w:color="auto"/>
                    <w:bottom w:val="none" w:sz="0" w:space="0" w:color="auto"/>
                    <w:right w:val="none" w:sz="0" w:space="0" w:color="auto"/>
                  </w:divBdr>
                </w:div>
                <w:div w:id="294154734">
                  <w:marLeft w:val="0"/>
                  <w:marRight w:val="0"/>
                  <w:marTop w:val="0"/>
                  <w:marBottom w:val="0"/>
                  <w:divBdr>
                    <w:top w:val="none" w:sz="0" w:space="0" w:color="auto"/>
                    <w:left w:val="none" w:sz="0" w:space="0" w:color="auto"/>
                    <w:bottom w:val="none" w:sz="0" w:space="0" w:color="auto"/>
                    <w:right w:val="none" w:sz="0" w:space="0" w:color="auto"/>
                  </w:divBdr>
                </w:div>
                <w:div w:id="294154761">
                  <w:marLeft w:val="0"/>
                  <w:marRight w:val="0"/>
                  <w:marTop w:val="0"/>
                  <w:marBottom w:val="0"/>
                  <w:divBdr>
                    <w:top w:val="none" w:sz="0" w:space="0" w:color="auto"/>
                    <w:left w:val="none" w:sz="0" w:space="0" w:color="auto"/>
                    <w:bottom w:val="none" w:sz="0" w:space="0" w:color="auto"/>
                    <w:right w:val="none" w:sz="0" w:space="0" w:color="auto"/>
                  </w:divBdr>
                </w:div>
                <w:div w:id="294154968">
                  <w:marLeft w:val="0"/>
                  <w:marRight w:val="0"/>
                  <w:marTop w:val="0"/>
                  <w:marBottom w:val="0"/>
                  <w:divBdr>
                    <w:top w:val="none" w:sz="0" w:space="0" w:color="auto"/>
                    <w:left w:val="none" w:sz="0" w:space="0" w:color="auto"/>
                    <w:bottom w:val="none" w:sz="0" w:space="0" w:color="auto"/>
                    <w:right w:val="none" w:sz="0" w:space="0" w:color="auto"/>
                  </w:divBdr>
                </w:div>
                <w:div w:id="294155048">
                  <w:marLeft w:val="0"/>
                  <w:marRight w:val="0"/>
                  <w:marTop w:val="0"/>
                  <w:marBottom w:val="0"/>
                  <w:divBdr>
                    <w:top w:val="none" w:sz="0" w:space="0" w:color="auto"/>
                    <w:left w:val="none" w:sz="0" w:space="0" w:color="auto"/>
                    <w:bottom w:val="none" w:sz="0" w:space="0" w:color="auto"/>
                    <w:right w:val="none" w:sz="0" w:space="0" w:color="auto"/>
                  </w:divBdr>
                </w:div>
                <w:div w:id="294155068">
                  <w:marLeft w:val="0"/>
                  <w:marRight w:val="0"/>
                  <w:marTop w:val="0"/>
                  <w:marBottom w:val="0"/>
                  <w:divBdr>
                    <w:top w:val="none" w:sz="0" w:space="0" w:color="auto"/>
                    <w:left w:val="none" w:sz="0" w:space="0" w:color="auto"/>
                    <w:bottom w:val="none" w:sz="0" w:space="0" w:color="auto"/>
                    <w:right w:val="none" w:sz="0" w:space="0" w:color="auto"/>
                  </w:divBdr>
                </w:div>
                <w:div w:id="294155397">
                  <w:marLeft w:val="0"/>
                  <w:marRight w:val="0"/>
                  <w:marTop w:val="0"/>
                  <w:marBottom w:val="0"/>
                  <w:divBdr>
                    <w:top w:val="none" w:sz="0" w:space="0" w:color="auto"/>
                    <w:left w:val="none" w:sz="0" w:space="0" w:color="auto"/>
                    <w:bottom w:val="none" w:sz="0" w:space="0" w:color="auto"/>
                    <w:right w:val="none" w:sz="0" w:space="0" w:color="auto"/>
                  </w:divBdr>
                </w:div>
                <w:div w:id="294155557">
                  <w:marLeft w:val="0"/>
                  <w:marRight w:val="0"/>
                  <w:marTop w:val="0"/>
                  <w:marBottom w:val="0"/>
                  <w:divBdr>
                    <w:top w:val="none" w:sz="0" w:space="0" w:color="auto"/>
                    <w:left w:val="none" w:sz="0" w:space="0" w:color="auto"/>
                    <w:bottom w:val="none" w:sz="0" w:space="0" w:color="auto"/>
                    <w:right w:val="none" w:sz="0" w:space="0" w:color="auto"/>
                  </w:divBdr>
                </w:div>
                <w:div w:id="294155782">
                  <w:marLeft w:val="0"/>
                  <w:marRight w:val="0"/>
                  <w:marTop w:val="0"/>
                  <w:marBottom w:val="0"/>
                  <w:divBdr>
                    <w:top w:val="none" w:sz="0" w:space="0" w:color="auto"/>
                    <w:left w:val="none" w:sz="0" w:space="0" w:color="auto"/>
                    <w:bottom w:val="none" w:sz="0" w:space="0" w:color="auto"/>
                    <w:right w:val="none" w:sz="0" w:space="0" w:color="auto"/>
                  </w:divBdr>
                </w:div>
                <w:div w:id="294155858">
                  <w:marLeft w:val="0"/>
                  <w:marRight w:val="0"/>
                  <w:marTop w:val="0"/>
                  <w:marBottom w:val="0"/>
                  <w:divBdr>
                    <w:top w:val="none" w:sz="0" w:space="0" w:color="auto"/>
                    <w:left w:val="none" w:sz="0" w:space="0" w:color="auto"/>
                    <w:bottom w:val="none" w:sz="0" w:space="0" w:color="auto"/>
                    <w:right w:val="none" w:sz="0" w:space="0" w:color="auto"/>
                  </w:divBdr>
                </w:div>
                <w:div w:id="294156045">
                  <w:marLeft w:val="0"/>
                  <w:marRight w:val="0"/>
                  <w:marTop w:val="0"/>
                  <w:marBottom w:val="0"/>
                  <w:divBdr>
                    <w:top w:val="none" w:sz="0" w:space="0" w:color="auto"/>
                    <w:left w:val="none" w:sz="0" w:space="0" w:color="auto"/>
                    <w:bottom w:val="none" w:sz="0" w:space="0" w:color="auto"/>
                    <w:right w:val="none" w:sz="0" w:space="0" w:color="auto"/>
                  </w:divBdr>
                </w:div>
                <w:div w:id="294156093">
                  <w:marLeft w:val="0"/>
                  <w:marRight w:val="0"/>
                  <w:marTop w:val="0"/>
                  <w:marBottom w:val="0"/>
                  <w:divBdr>
                    <w:top w:val="none" w:sz="0" w:space="0" w:color="auto"/>
                    <w:left w:val="none" w:sz="0" w:space="0" w:color="auto"/>
                    <w:bottom w:val="none" w:sz="0" w:space="0" w:color="auto"/>
                    <w:right w:val="none" w:sz="0" w:space="0" w:color="auto"/>
                  </w:divBdr>
                </w:div>
                <w:div w:id="294156153">
                  <w:marLeft w:val="0"/>
                  <w:marRight w:val="0"/>
                  <w:marTop w:val="0"/>
                  <w:marBottom w:val="0"/>
                  <w:divBdr>
                    <w:top w:val="none" w:sz="0" w:space="0" w:color="auto"/>
                    <w:left w:val="none" w:sz="0" w:space="0" w:color="auto"/>
                    <w:bottom w:val="none" w:sz="0" w:space="0" w:color="auto"/>
                    <w:right w:val="none" w:sz="0" w:space="0" w:color="auto"/>
                  </w:divBdr>
                </w:div>
                <w:div w:id="294156192">
                  <w:marLeft w:val="0"/>
                  <w:marRight w:val="0"/>
                  <w:marTop w:val="0"/>
                  <w:marBottom w:val="0"/>
                  <w:divBdr>
                    <w:top w:val="none" w:sz="0" w:space="0" w:color="auto"/>
                    <w:left w:val="none" w:sz="0" w:space="0" w:color="auto"/>
                    <w:bottom w:val="none" w:sz="0" w:space="0" w:color="auto"/>
                    <w:right w:val="none" w:sz="0" w:space="0" w:color="auto"/>
                  </w:divBdr>
                </w:div>
                <w:div w:id="294156213">
                  <w:marLeft w:val="0"/>
                  <w:marRight w:val="0"/>
                  <w:marTop w:val="0"/>
                  <w:marBottom w:val="0"/>
                  <w:divBdr>
                    <w:top w:val="none" w:sz="0" w:space="0" w:color="auto"/>
                    <w:left w:val="none" w:sz="0" w:space="0" w:color="auto"/>
                    <w:bottom w:val="none" w:sz="0" w:space="0" w:color="auto"/>
                    <w:right w:val="none" w:sz="0" w:space="0" w:color="auto"/>
                  </w:divBdr>
                </w:div>
                <w:div w:id="294156273">
                  <w:marLeft w:val="0"/>
                  <w:marRight w:val="0"/>
                  <w:marTop w:val="0"/>
                  <w:marBottom w:val="0"/>
                  <w:divBdr>
                    <w:top w:val="none" w:sz="0" w:space="0" w:color="auto"/>
                    <w:left w:val="none" w:sz="0" w:space="0" w:color="auto"/>
                    <w:bottom w:val="none" w:sz="0" w:space="0" w:color="auto"/>
                    <w:right w:val="none" w:sz="0" w:space="0" w:color="auto"/>
                  </w:divBdr>
                </w:div>
                <w:div w:id="294156521">
                  <w:marLeft w:val="0"/>
                  <w:marRight w:val="0"/>
                  <w:marTop w:val="0"/>
                  <w:marBottom w:val="0"/>
                  <w:divBdr>
                    <w:top w:val="none" w:sz="0" w:space="0" w:color="auto"/>
                    <w:left w:val="none" w:sz="0" w:space="0" w:color="auto"/>
                    <w:bottom w:val="none" w:sz="0" w:space="0" w:color="auto"/>
                    <w:right w:val="none" w:sz="0" w:space="0" w:color="auto"/>
                  </w:divBdr>
                </w:div>
                <w:div w:id="294156694">
                  <w:marLeft w:val="0"/>
                  <w:marRight w:val="0"/>
                  <w:marTop w:val="0"/>
                  <w:marBottom w:val="0"/>
                  <w:divBdr>
                    <w:top w:val="none" w:sz="0" w:space="0" w:color="auto"/>
                    <w:left w:val="none" w:sz="0" w:space="0" w:color="auto"/>
                    <w:bottom w:val="none" w:sz="0" w:space="0" w:color="auto"/>
                    <w:right w:val="none" w:sz="0" w:space="0" w:color="auto"/>
                  </w:divBdr>
                </w:div>
                <w:div w:id="294156739">
                  <w:marLeft w:val="0"/>
                  <w:marRight w:val="0"/>
                  <w:marTop w:val="0"/>
                  <w:marBottom w:val="0"/>
                  <w:divBdr>
                    <w:top w:val="none" w:sz="0" w:space="0" w:color="auto"/>
                    <w:left w:val="none" w:sz="0" w:space="0" w:color="auto"/>
                    <w:bottom w:val="none" w:sz="0" w:space="0" w:color="auto"/>
                    <w:right w:val="none" w:sz="0" w:space="0" w:color="auto"/>
                  </w:divBdr>
                </w:div>
                <w:div w:id="294157190">
                  <w:marLeft w:val="0"/>
                  <w:marRight w:val="0"/>
                  <w:marTop w:val="0"/>
                  <w:marBottom w:val="0"/>
                  <w:divBdr>
                    <w:top w:val="none" w:sz="0" w:space="0" w:color="auto"/>
                    <w:left w:val="none" w:sz="0" w:space="0" w:color="auto"/>
                    <w:bottom w:val="none" w:sz="0" w:space="0" w:color="auto"/>
                    <w:right w:val="none" w:sz="0" w:space="0" w:color="auto"/>
                  </w:divBdr>
                </w:div>
                <w:div w:id="294157261">
                  <w:marLeft w:val="0"/>
                  <w:marRight w:val="0"/>
                  <w:marTop w:val="0"/>
                  <w:marBottom w:val="0"/>
                  <w:divBdr>
                    <w:top w:val="none" w:sz="0" w:space="0" w:color="auto"/>
                    <w:left w:val="none" w:sz="0" w:space="0" w:color="auto"/>
                    <w:bottom w:val="none" w:sz="0" w:space="0" w:color="auto"/>
                    <w:right w:val="none" w:sz="0" w:space="0" w:color="auto"/>
                  </w:divBdr>
                </w:div>
                <w:div w:id="29415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3193">
          <w:marLeft w:val="0"/>
          <w:marRight w:val="0"/>
          <w:marTop w:val="0"/>
          <w:marBottom w:val="0"/>
          <w:divBdr>
            <w:top w:val="none" w:sz="0" w:space="0" w:color="auto"/>
            <w:left w:val="none" w:sz="0" w:space="0" w:color="auto"/>
            <w:bottom w:val="none" w:sz="0" w:space="0" w:color="auto"/>
            <w:right w:val="none" w:sz="0" w:space="0" w:color="auto"/>
          </w:divBdr>
          <w:divsChild>
            <w:div w:id="294154617">
              <w:marLeft w:val="0"/>
              <w:marRight w:val="0"/>
              <w:marTop w:val="0"/>
              <w:marBottom w:val="0"/>
              <w:divBdr>
                <w:top w:val="none" w:sz="0" w:space="0" w:color="auto"/>
                <w:left w:val="none" w:sz="0" w:space="0" w:color="auto"/>
                <w:bottom w:val="none" w:sz="0" w:space="0" w:color="auto"/>
                <w:right w:val="none" w:sz="0" w:space="0" w:color="auto"/>
              </w:divBdr>
              <w:divsChild>
                <w:div w:id="294153883">
                  <w:marLeft w:val="0"/>
                  <w:marRight w:val="0"/>
                  <w:marTop w:val="0"/>
                  <w:marBottom w:val="0"/>
                  <w:divBdr>
                    <w:top w:val="none" w:sz="0" w:space="0" w:color="auto"/>
                    <w:left w:val="none" w:sz="0" w:space="0" w:color="auto"/>
                    <w:bottom w:val="none" w:sz="0" w:space="0" w:color="auto"/>
                    <w:right w:val="none" w:sz="0" w:space="0" w:color="auto"/>
                  </w:divBdr>
                  <w:divsChild>
                    <w:div w:id="294138033">
                      <w:marLeft w:val="0"/>
                      <w:marRight w:val="0"/>
                      <w:marTop w:val="0"/>
                      <w:marBottom w:val="0"/>
                      <w:divBdr>
                        <w:top w:val="none" w:sz="0" w:space="0" w:color="auto"/>
                        <w:left w:val="none" w:sz="0" w:space="0" w:color="auto"/>
                        <w:bottom w:val="none" w:sz="0" w:space="0" w:color="auto"/>
                        <w:right w:val="none" w:sz="0" w:space="0" w:color="auto"/>
                      </w:divBdr>
                      <w:divsChild>
                        <w:div w:id="294156099">
                          <w:marLeft w:val="0"/>
                          <w:marRight w:val="0"/>
                          <w:marTop w:val="0"/>
                          <w:marBottom w:val="0"/>
                          <w:divBdr>
                            <w:top w:val="none" w:sz="0" w:space="0" w:color="auto"/>
                            <w:left w:val="none" w:sz="0" w:space="0" w:color="auto"/>
                            <w:bottom w:val="none" w:sz="0" w:space="0" w:color="auto"/>
                            <w:right w:val="none" w:sz="0" w:space="0" w:color="auto"/>
                          </w:divBdr>
                        </w:div>
                      </w:divsChild>
                    </w:div>
                    <w:div w:id="294138129">
                      <w:marLeft w:val="0"/>
                      <w:marRight w:val="0"/>
                      <w:marTop w:val="0"/>
                      <w:marBottom w:val="0"/>
                      <w:divBdr>
                        <w:top w:val="none" w:sz="0" w:space="0" w:color="auto"/>
                        <w:left w:val="none" w:sz="0" w:space="0" w:color="auto"/>
                        <w:bottom w:val="none" w:sz="0" w:space="0" w:color="auto"/>
                        <w:right w:val="none" w:sz="0" w:space="0" w:color="auto"/>
                      </w:divBdr>
                      <w:divsChild>
                        <w:div w:id="294146215">
                          <w:marLeft w:val="0"/>
                          <w:marRight w:val="0"/>
                          <w:marTop w:val="0"/>
                          <w:marBottom w:val="0"/>
                          <w:divBdr>
                            <w:top w:val="none" w:sz="0" w:space="0" w:color="auto"/>
                            <w:left w:val="none" w:sz="0" w:space="0" w:color="auto"/>
                            <w:bottom w:val="none" w:sz="0" w:space="0" w:color="auto"/>
                            <w:right w:val="none" w:sz="0" w:space="0" w:color="auto"/>
                          </w:divBdr>
                        </w:div>
                      </w:divsChild>
                    </w:div>
                    <w:div w:id="294138138">
                      <w:marLeft w:val="0"/>
                      <w:marRight w:val="0"/>
                      <w:marTop w:val="0"/>
                      <w:marBottom w:val="0"/>
                      <w:divBdr>
                        <w:top w:val="none" w:sz="0" w:space="0" w:color="auto"/>
                        <w:left w:val="none" w:sz="0" w:space="0" w:color="auto"/>
                        <w:bottom w:val="none" w:sz="0" w:space="0" w:color="auto"/>
                        <w:right w:val="none" w:sz="0" w:space="0" w:color="auto"/>
                      </w:divBdr>
                    </w:div>
                    <w:div w:id="294138176">
                      <w:marLeft w:val="0"/>
                      <w:marRight w:val="0"/>
                      <w:marTop w:val="0"/>
                      <w:marBottom w:val="0"/>
                      <w:divBdr>
                        <w:top w:val="none" w:sz="0" w:space="0" w:color="auto"/>
                        <w:left w:val="none" w:sz="0" w:space="0" w:color="auto"/>
                        <w:bottom w:val="none" w:sz="0" w:space="0" w:color="auto"/>
                        <w:right w:val="none" w:sz="0" w:space="0" w:color="auto"/>
                      </w:divBdr>
                    </w:div>
                    <w:div w:id="294138207">
                      <w:marLeft w:val="0"/>
                      <w:marRight w:val="0"/>
                      <w:marTop w:val="0"/>
                      <w:marBottom w:val="0"/>
                      <w:divBdr>
                        <w:top w:val="none" w:sz="0" w:space="0" w:color="auto"/>
                        <w:left w:val="none" w:sz="0" w:space="0" w:color="auto"/>
                        <w:bottom w:val="none" w:sz="0" w:space="0" w:color="auto"/>
                        <w:right w:val="none" w:sz="0" w:space="0" w:color="auto"/>
                      </w:divBdr>
                      <w:divsChild>
                        <w:div w:id="294151369">
                          <w:marLeft w:val="0"/>
                          <w:marRight w:val="0"/>
                          <w:marTop w:val="0"/>
                          <w:marBottom w:val="0"/>
                          <w:divBdr>
                            <w:top w:val="none" w:sz="0" w:space="0" w:color="auto"/>
                            <w:left w:val="none" w:sz="0" w:space="0" w:color="auto"/>
                            <w:bottom w:val="none" w:sz="0" w:space="0" w:color="auto"/>
                            <w:right w:val="none" w:sz="0" w:space="0" w:color="auto"/>
                          </w:divBdr>
                        </w:div>
                      </w:divsChild>
                    </w:div>
                    <w:div w:id="294138246">
                      <w:marLeft w:val="0"/>
                      <w:marRight w:val="0"/>
                      <w:marTop w:val="0"/>
                      <w:marBottom w:val="0"/>
                      <w:divBdr>
                        <w:top w:val="none" w:sz="0" w:space="0" w:color="auto"/>
                        <w:left w:val="none" w:sz="0" w:space="0" w:color="auto"/>
                        <w:bottom w:val="none" w:sz="0" w:space="0" w:color="auto"/>
                        <w:right w:val="none" w:sz="0" w:space="0" w:color="auto"/>
                      </w:divBdr>
                    </w:div>
                    <w:div w:id="294138255">
                      <w:marLeft w:val="0"/>
                      <w:marRight w:val="0"/>
                      <w:marTop w:val="0"/>
                      <w:marBottom w:val="0"/>
                      <w:divBdr>
                        <w:top w:val="none" w:sz="0" w:space="0" w:color="auto"/>
                        <w:left w:val="none" w:sz="0" w:space="0" w:color="auto"/>
                        <w:bottom w:val="none" w:sz="0" w:space="0" w:color="auto"/>
                        <w:right w:val="none" w:sz="0" w:space="0" w:color="auto"/>
                      </w:divBdr>
                      <w:divsChild>
                        <w:div w:id="294152185">
                          <w:marLeft w:val="0"/>
                          <w:marRight w:val="0"/>
                          <w:marTop w:val="0"/>
                          <w:marBottom w:val="0"/>
                          <w:divBdr>
                            <w:top w:val="none" w:sz="0" w:space="0" w:color="auto"/>
                            <w:left w:val="none" w:sz="0" w:space="0" w:color="auto"/>
                            <w:bottom w:val="none" w:sz="0" w:space="0" w:color="auto"/>
                            <w:right w:val="none" w:sz="0" w:space="0" w:color="auto"/>
                          </w:divBdr>
                        </w:div>
                      </w:divsChild>
                    </w:div>
                    <w:div w:id="294138326">
                      <w:marLeft w:val="0"/>
                      <w:marRight w:val="0"/>
                      <w:marTop w:val="0"/>
                      <w:marBottom w:val="0"/>
                      <w:divBdr>
                        <w:top w:val="none" w:sz="0" w:space="0" w:color="auto"/>
                        <w:left w:val="none" w:sz="0" w:space="0" w:color="auto"/>
                        <w:bottom w:val="none" w:sz="0" w:space="0" w:color="auto"/>
                        <w:right w:val="none" w:sz="0" w:space="0" w:color="auto"/>
                      </w:divBdr>
                      <w:divsChild>
                        <w:div w:id="294145394">
                          <w:marLeft w:val="0"/>
                          <w:marRight w:val="0"/>
                          <w:marTop w:val="0"/>
                          <w:marBottom w:val="0"/>
                          <w:divBdr>
                            <w:top w:val="none" w:sz="0" w:space="0" w:color="auto"/>
                            <w:left w:val="none" w:sz="0" w:space="0" w:color="auto"/>
                            <w:bottom w:val="none" w:sz="0" w:space="0" w:color="auto"/>
                            <w:right w:val="none" w:sz="0" w:space="0" w:color="auto"/>
                          </w:divBdr>
                        </w:div>
                      </w:divsChild>
                    </w:div>
                    <w:div w:id="294138441">
                      <w:marLeft w:val="0"/>
                      <w:marRight w:val="0"/>
                      <w:marTop w:val="0"/>
                      <w:marBottom w:val="0"/>
                      <w:divBdr>
                        <w:top w:val="none" w:sz="0" w:space="0" w:color="auto"/>
                        <w:left w:val="none" w:sz="0" w:space="0" w:color="auto"/>
                        <w:bottom w:val="none" w:sz="0" w:space="0" w:color="auto"/>
                        <w:right w:val="none" w:sz="0" w:space="0" w:color="auto"/>
                      </w:divBdr>
                      <w:divsChild>
                        <w:div w:id="294146627">
                          <w:marLeft w:val="0"/>
                          <w:marRight w:val="0"/>
                          <w:marTop w:val="0"/>
                          <w:marBottom w:val="0"/>
                          <w:divBdr>
                            <w:top w:val="none" w:sz="0" w:space="0" w:color="auto"/>
                            <w:left w:val="none" w:sz="0" w:space="0" w:color="auto"/>
                            <w:bottom w:val="none" w:sz="0" w:space="0" w:color="auto"/>
                            <w:right w:val="none" w:sz="0" w:space="0" w:color="auto"/>
                          </w:divBdr>
                        </w:div>
                      </w:divsChild>
                    </w:div>
                    <w:div w:id="294138460">
                      <w:marLeft w:val="0"/>
                      <w:marRight w:val="0"/>
                      <w:marTop w:val="0"/>
                      <w:marBottom w:val="0"/>
                      <w:divBdr>
                        <w:top w:val="none" w:sz="0" w:space="0" w:color="auto"/>
                        <w:left w:val="none" w:sz="0" w:space="0" w:color="auto"/>
                        <w:bottom w:val="none" w:sz="0" w:space="0" w:color="auto"/>
                        <w:right w:val="none" w:sz="0" w:space="0" w:color="auto"/>
                      </w:divBdr>
                      <w:divsChild>
                        <w:div w:id="294147670">
                          <w:marLeft w:val="0"/>
                          <w:marRight w:val="0"/>
                          <w:marTop w:val="0"/>
                          <w:marBottom w:val="0"/>
                          <w:divBdr>
                            <w:top w:val="none" w:sz="0" w:space="0" w:color="auto"/>
                            <w:left w:val="none" w:sz="0" w:space="0" w:color="auto"/>
                            <w:bottom w:val="none" w:sz="0" w:space="0" w:color="auto"/>
                            <w:right w:val="none" w:sz="0" w:space="0" w:color="auto"/>
                          </w:divBdr>
                        </w:div>
                      </w:divsChild>
                    </w:div>
                    <w:div w:id="294138469">
                      <w:marLeft w:val="0"/>
                      <w:marRight w:val="0"/>
                      <w:marTop w:val="0"/>
                      <w:marBottom w:val="0"/>
                      <w:divBdr>
                        <w:top w:val="none" w:sz="0" w:space="0" w:color="auto"/>
                        <w:left w:val="none" w:sz="0" w:space="0" w:color="auto"/>
                        <w:bottom w:val="none" w:sz="0" w:space="0" w:color="auto"/>
                        <w:right w:val="none" w:sz="0" w:space="0" w:color="auto"/>
                      </w:divBdr>
                    </w:div>
                    <w:div w:id="294138552">
                      <w:marLeft w:val="0"/>
                      <w:marRight w:val="0"/>
                      <w:marTop w:val="0"/>
                      <w:marBottom w:val="0"/>
                      <w:divBdr>
                        <w:top w:val="none" w:sz="0" w:space="0" w:color="auto"/>
                        <w:left w:val="none" w:sz="0" w:space="0" w:color="auto"/>
                        <w:bottom w:val="none" w:sz="0" w:space="0" w:color="auto"/>
                        <w:right w:val="none" w:sz="0" w:space="0" w:color="auto"/>
                      </w:divBdr>
                    </w:div>
                    <w:div w:id="294138587">
                      <w:marLeft w:val="0"/>
                      <w:marRight w:val="0"/>
                      <w:marTop w:val="0"/>
                      <w:marBottom w:val="0"/>
                      <w:divBdr>
                        <w:top w:val="none" w:sz="0" w:space="0" w:color="auto"/>
                        <w:left w:val="none" w:sz="0" w:space="0" w:color="auto"/>
                        <w:bottom w:val="none" w:sz="0" w:space="0" w:color="auto"/>
                        <w:right w:val="none" w:sz="0" w:space="0" w:color="auto"/>
                      </w:divBdr>
                    </w:div>
                    <w:div w:id="294138629">
                      <w:marLeft w:val="0"/>
                      <w:marRight w:val="0"/>
                      <w:marTop w:val="0"/>
                      <w:marBottom w:val="0"/>
                      <w:divBdr>
                        <w:top w:val="none" w:sz="0" w:space="0" w:color="auto"/>
                        <w:left w:val="none" w:sz="0" w:space="0" w:color="auto"/>
                        <w:bottom w:val="none" w:sz="0" w:space="0" w:color="auto"/>
                        <w:right w:val="none" w:sz="0" w:space="0" w:color="auto"/>
                      </w:divBdr>
                      <w:divsChild>
                        <w:div w:id="294147318">
                          <w:marLeft w:val="0"/>
                          <w:marRight w:val="0"/>
                          <w:marTop w:val="0"/>
                          <w:marBottom w:val="0"/>
                          <w:divBdr>
                            <w:top w:val="none" w:sz="0" w:space="0" w:color="auto"/>
                            <w:left w:val="none" w:sz="0" w:space="0" w:color="auto"/>
                            <w:bottom w:val="none" w:sz="0" w:space="0" w:color="auto"/>
                            <w:right w:val="none" w:sz="0" w:space="0" w:color="auto"/>
                          </w:divBdr>
                        </w:div>
                      </w:divsChild>
                    </w:div>
                    <w:div w:id="294138697">
                      <w:marLeft w:val="0"/>
                      <w:marRight w:val="0"/>
                      <w:marTop w:val="0"/>
                      <w:marBottom w:val="0"/>
                      <w:divBdr>
                        <w:top w:val="none" w:sz="0" w:space="0" w:color="auto"/>
                        <w:left w:val="none" w:sz="0" w:space="0" w:color="auto"/>
                        <w:bottom w:val="none" w:sz="0" w:space="0" w:color="auto"/>
                        <w:right w:val="none" w:sz="0" w:space="0" w:color="auto"/>
                      </w:divBdr>
                    </w:div>
                    <w:div w:id="294138891">
                      <w:marLeft w:val="0"/>
                      <w:marRight w:val="0"/>
                      <w:marTop w:val="0"/>
                      <w:marBottom w:val="0"/>
                      <w:divBdr>
                        <w:top w:val="none" w:sz="0" w:space="0" w:color="auto"/>
                        <w:left w:val="none" w:sz="0" w:space="0" w:color="auto"/>
                        <w:bottom w:val="none" w:sz="0" w:space="0" w:color="auto"/>
                        <w:right w:val="none" w:sz="0" w:space="0" w:color="auto"/>
                      </w:divBdr>
                    </w:div>
                    <w:div w:id="294138925">
                      <w:marLeft w:val="0"/>
                      <w:marRight w:val="0"/>
                      <w:marTop w:val="0"/>
                      <w:marBottom w:val="0"/>
                      <w:divBdr>
                        <w:top w:val="none" w:sz="0" w:space="0" w:color="auto"/>
                        <w:left w:val="none" w:sz="0" w:space="0" w:color="auto"/>
                        <w:bottom w:val="none" w:sz="0" w:space="0" w:color="auto"/>
                        <w:right w:val="none" w:sz="0" w:space="0" w:color="auto"/>
                      </w:divBdr>
                    </w:div>
                    <w:div w:id="294138968">
                      <w:marLeft w:val="0"/>
                      <w:marRight w:val="0"/>
                      <w:marTop w:val="0"/>
                      <w:marBottom w:val="0"/>
                      <w:divBdr>
                        <w:top w:val="none" w:sz="0" w:space="0" w:color="auto"/>
                        <w:left w:val="none" w:sz="0" w:space="0" w:color="auto"/>
                        <w:bottom w:val="none" w:sz="0" w:space="0" w:color="auto"/>
                        <w:right w:val="none" w:sz="0" w:space="0" w:color="auto"/>
                      </w:divBdr>
                      <w:divsChild>
                        <w:div w:id="294151735">
                          <w:marLeft w:val="0"/>
                          <w:marRight w:val="0"/>
                          <w:marTop w:val="0"/>
                          <w:marBottom w:val="0"/>
                          <w:divBdr>
                            <w:top w:val="none" w:sz="0" w:space="0" w:color="auto"/>
                            <w:left w:val="none" w:sz="0" w:space="0" w:color="auto"/>
                            <w:bottom w:val="none" w:sz="0" w:space="0" w:color="auto"/>
                            <w:right w:val="none" w:sz="0" w:space="0" w:color="auto"/>
                          </w:divBdr>
                        </w:div>
                      </w:divsChild>
                    </w:div>
                    <w:div w:id="294138981">
                      <w:marLeft w:val="0"/>
                      <w:marRight w:val="0"/>
                      <w:marTop w:val="0"/>
                      <w:marBottom w:val="0"/>
                      <w:divBdr>
                        <w:top w:val="none" w:sz="0" w:space="0" w:color="auto"/>
                        <w:left w:val="none" w:sz="0" w:space="0" w:color="auto"/>
                        <w:bottom w:val="none" w:sz="0" w:space="0" w:color="auto"/>
                        <w:right w:val="none" w:sz="0" w:space="0" w:color="auto"/>
                      </w:divBdr>
                      <w:divsChild>
                        <w:div w:id="294145105">
                          <w:marLeft w:val="0"/>
                          <w:marRight w:val="0"/>
                          <w:marTop w:val="0"/>
                          <w:marBottom w:val="0"/>
                          <w:divBdr>
                            <w:top w:val="none" w:sz="0" w:space="0" w:color="auto"/>
                            <w:left w:val="none" w:sz="0" w:space="0" w:color="auto"/>
                            <w:bottom w:val="none" w:sz="0" w:space="0" w:color="auto"/>
                            <w:right w:val="none" w:sz="0" w:space="0" w:color="auto"/>
                          </w:divBdr>
                        </w:div>
                      </w:divsChild>
                    </w:div>
                    <w:div w:id="294138992">
                      <w:marLeft w:val="0"/>
                      <w:marRight w:val="0"/>
                      <w:marTop w:val="0"/>
                      <w:marBottom w:val="0"/>
                      <w:divBdr>
                        <w:top w:val="none" w:sz="0" w:space="0" w:color="auto"/>
                        <w:left w:val="none" w:sz="0" w:space="0" w:color="auto"/>
                        <w:bottom w:val="none" w:sz="0" w:space="0" w:color="auto"/>
                        <w:right w:val="none" w:sz="0" w:space="0" w:color="auto"/>
                      </w:divBdr>
                      <w:divsChild>
                        <w:div w:id="294148260">
                          <w:marLeft w:val="0"/>
                          <w:marRight w:val="0"/>
                          <w:marTop w:val="0"/>
                          <w:marBottom w:val="0"/>
                          <w:divBdr>
                            <w:top w:val="none" w:sz="0" w:space="0" w:color="auto"/>
                            <w:left w:val="none" w:sz="0" w:space="0" w:color="auto"/>
                            <w:bottom w:val="none" w:sz="0" w:space="0" w:color="auto"/>
                            <w:right w:val="none" w:sz="0" w:space="0" w:color="auto"/>
                          </w:divBdr>
                        </w:div>
                      </w:divsChild>
                    </w:div>
                    <w:div w:id="294139027">
                      <w:marLeft w:val="0"/>
                      <w:marRight w:val="0"/>
                      <w:marTop w:val="0"/>
                      <w:marBottom w:val="0"/>
                      <w:divBdr>
                        <w:top w:val="none" w:sz="0" w:space="0" w:color="auto"/>
                        <w:left w:val="none" w:sz="0" w:space="0" w:color="auto"/>
                        <w:bottom w:val="none" w:sz="0" w:space="0" w:color="auto"/>
                        <w:right w:val="none" w:sz="0" w:space="0" w:color="auto"/>
                      </w:divBdr>
                    </w:div>
                    <w:div w:id="294139063">
                      <w:marLeft w:val="0"/>
                      <w:marRight w:val="0"/>
                      <w:marTop w:val="0"/>
                      <w:marBottom w:val="0"/>
                      <w:divBdr>
                        <w:top w:val="none" w:sz="0" w:space="0" w:color="auto"/>
                        <w:left w:val="none" w:sz="0" w:space="0" w:color="auto"/>
                        <w:bottom w:val="none" w:sz="0" w:space="0" w:color="auto"/>
                        <w:right w:val="none" w:sz="0" w:space="0" w:color="auto"/>
                      </w:divBdr>
                      <w:divsChild>
                        <w:div w:id="294155793">
                          <w:marLeft w:val="0"/>
                          <w:marRight w:val="0"/>
                          <w:marTop w:val="0"/>
                          <w:marBottom w:val="0"/>
                          <w:divBdr>
                            <w:top w:val="none" w:sz="0" w:space="0" w:color="auto"/>
                            <w:left w:val="none" w:sz="0" w:space="0" w:color="auto"/>
                            <w:bottom w:val="none" w:sz="0" w:space="0" w:color="auto"/>
                            <w:right w:val="none" w:sz="0" w:space="0" w:color="auto"/>
                          </w:divBdr>
                        </w:div>
                      </w:divsChild>
                    </w:div>
                    <w:div w:id="294139349">
                      <w:marLeft w:val="0"/>
                      <w:marRight w:val="0"/>
                      <w:marTop w:val="0"/>
                      <w:marBottom w:val="0"/>
                      <w:divBdr>
                        <w:top w:val="none" w:sz="0" w:space="0" w:color="auto"/>
                        <w:left w:val="none" w:sz="0" w:space="0" w:color="auto"/>
                        <w:bottom w:val="none" w:sz="0" w:space="0" w:color="auto"/>
                        <w:right w:val="none" w:sz="0" w:space="0" w:color="auto"/>
                      </w:divBdr>
                      <w:divsChild>
                        <w:div w:id="294155755">
                          <w:marLeft w:val="0"/>
                          <w:marRight w:val="0"/>
                          <w:marTop w:val="0"/>
                          <w:marBottom w:val="0"/>
                          <w:divBdr>
                            <w:top w:val="none" w:sz="0" w:space="0" w:color="auto"/>
                            <w:left w:val="none" w:sz="0" w:space="0" w:color="auto"/>
                            <w:bottom w:val="none" w:sz="0" w:space="0" w:color="auto"/>
                            <w:right w:val="none" w:sz="0" w:space="0" w:color="auto"/>
                          </w:divBdr>
                        </w:div>
                      </w:divsChild>
                    </w:div>
                    <w:div w:id="294139389">
                      <w:marLeft w:val="0"/>
                      <w:marRight w:val="0"/>
                      <w:marTop w:val="0"/>
                      <w:marBottom w:val="0"/>
                      <w:divBdr>
                        <w:top w:val="none" w:sz="0" w:space="0" w:color="auto"/>
                        <w:left w:val="none" w:sz="0" w:space="0" w:color="auto"/>
                        <w:bottom w:val="none" w:sz="0" w:space="0" w:color="auto"/>
                        <w:right w:val="none" w:sz="0" w:space="0" w:color="auto"/>
                      </w:divBdr>
                      <w:divsChild>
                        <w:div w:id="294141764">
                          <w:marLeft w:val="0"/>
                          <w:marRight w:val="0"/>
                          <w:marTop w:val="0"/>
                          <w:marBottom w:val="0"/>
                          <w:divBdr>
                            <w:top w:val="none" w:sz="0" w:space="0" w:color="auto"/>
                            <w:left w:val="none" w:sz="0" w:space="0" w:color="auto"/>
                            <w:bottom w:val="none" w:sz="0" w:space="0" w:color="auto"/>
                            <w:right w:val="none" w:sz="0" w:space="0" w:color="auto"/>
                          </w:divBdr>
                        </w:div>
                      </w:divsChild>
                    </w:div>
                    <w:div w:id="294139390">
                      <w:marLeft w:val="0"/>
                      <w:marRight w:val="0"/>
                      <w:marTop w:val="0"/>
                      <w:marBottom w:val="0"/>
                      <w:divBdr>
                        <w:top w:val="none" w:sz="0" w:space="0" w:color="auto"/>
                        <w:left w:val="none" w:sz="0" w:space="0" w:color="auto"/>
                        <w:bottom w:val="none" w:sz="0" w:space="0" w:color="auto"/>
                        <w:right w:val="none" w:sz="0" w:space="0" w:color="auto"/>
                      </w:divBdr>
                      <w:divsChild>
                        <w:div w:id="294142199">
                          <w:marLeft w:val="0"/>
                          <w:marRight w:val="0"/>
                          <w:marTop w:val="0"/>
                          <w:marBottom w:val="0"/>
                          <w:divBdr>
                            <w:top w:val="none" w:sz="0" w:space="0" w:color="auto"/>
                            <w:left w:val="none" w:sz="0" w:space="0" w:color="auto"/>
                            <w:bottom w:val="none" w:sz="0" w:space="0" w:color="auto"/>
                            <w:right w:val="none" w:sz="0" w:space="0" w:color="auto"/>
                          </w:divBdr>
                        </w:div>
                      </w:divsChild>
                    </w:div>
                    <w:div w:id="294139420">
                      <w:marLeft w:val="0"/>
                      <w:marRight w:val="0"/>
                      <w:marTop w:val="0"/>
                      <w:marBottom w:val="0"/>
                      <w:divBdr>
                        <w:top w:val="none" w:sz="0" w:space="0" w:color="auto"/>
                        <w:left w:val="none" w:sz="0" w:space="0" w:color="auto"/>
                        <w:bottom w:val="none" w:sz="0" w:space="0" w:color="auto"/>
                        <w:right w:val="none" w:sz="0" w:space="0" w:color="auto"/>
                      </w:divBdr>
                    </w:div>
                    <w:div w:id="294139472">
                      <w:marLeft w:val="0"/>
                      <w:marRight w:val="0"/>
                      <w:marTop w:val="0"/>
                      <w:marBottom w:val="0"/>
                      <w:divBdr>
                        <w:top w:val="none" w:sz="0" w:space="0" w:color="auto"/>
                        <w:left w:val="none" w:sz="0" w:space="0" w:color="auto"/>
                        <w:bottom w:val="none" w:sz="0" w:space="0" w:color="auto"/>
                        <w:right w:val="none" w:sz="0" w:space="0" w:color="auto"/>
                      </w:divBdr>
                    </w:div>
                    <w:div w:id="294139483">
                      <w:marLeft w:val="0"/>
                      <w:marRight w:val="0"/>
                      <w:marTop w:val="0"/>
                      <w:marBottom w:val="0"/>
                      <w:divBdr>
                        <w:top w:val="none" w:sz="0" w:space="0" w:color="auto"/>
                        <w:left w:val="none" w:sz="0" w:space="0" w:color="auto"/>
                        <w:bottom w:val="none" w:sz="0" w:space="0" w:color="auto"/>
                        <w:right w:val="none" w:sz="0" w:space="0" w:color="auto"/>
                      </w:divBdr>
                    </w:div>
                    <w:div w:id="294139509">
                      <w:marLeft w:val="0"/>
                      <w:marRight w:val="0"/>
                      <w:marTop w:val="0"/>
                      <w:marBottom w:val="0"/>
                      <w:divBdr>
                        <w:top w:val="none" w:sz="0" w:space="0" w:color="auto"/>
                        <w:left w:val="none" w:sz="0" w:space="0" w:color="auto"/>
                        <w:bottom w:val="none" w:sz="0" w:space="0" w:color="auto"/>
                        <w:right w:val="none" w:sz="0" w:space="0" w:color="auto"/>
                      </w:divBdr>
                    </w:div>
                    <w:div w:id="294139548">
                      <w:marLeft w:val="0"/>
                      <w:marRight w:val="0"/>
                      <w:marTop w:val="0"/>
                      <w:marBottom w:val="0"/>
                      <w:divBdr>
                        <w:top w:val="none" w:sz="0" w:space="0" w:color="auto"/>
                        <w:left w:val="none" w:sz="0" w:space="0" w:color="auto"/>
                        <w:bottom w:val="none" w:sz="0" w:space="0" w:color="auto"/>
                        <w:right w:val="none" w:sz="0" w:space="0" w:color="auto"/>
                      </w:divBdr>
                      <w:divsChild>
                        <w:div w:id="294156242">
                          <w:marLeft w:val="0"/>
                          <w:marRight w:val="0"/>
                          <w:marTop w:val="0"/>
                          <w:marBottom w:val="0"/>
                          <w:divBdr>
                            <w:top w:val="none" w:sz="0" w:space="0" w:color="auto"/>
                            <w:left w:val="none" w:sz="0" w:space="0" w:color="auto"/>
                            <w:bottom w:val="none" w:sz="0" w:space="0" w:color="auto"/>
                            <w:right w:val="none" w:sz="0" w:space="0" w:color="auto"/>
                          </w:divBdr>
                        </w:div>
                      </w:divsChild>
                    </w:div>
                    <w:div w:id="294139606">
                      <w:marLeft w:val="0"/>
                      <w:marRight w:val="0"/>
                      <w:marTop w:val="0"/>
                      <w:marBottom w:val="0"/>
                      <w:divBdr>
                        <w:top w:val="none" w:sz="0" w:space="0" w:color="auto"/>
                        <w:left w:val="none" w:sz="0" w:space="0" w:color="auto"/>
                        <w:bottom w:val="none" w:sz="0" w:space="0" w:color="auto"/>
                        <w:right w:val="none" w:sz="0" w:space="0" w:color="auto"/>
                      </w:divBdr>
                    </w:div>
                    <w:div w:id="294139708">
                      <w:marLeft w:val="0"/>
                      <w:marRight w:val="0"/>
                      <w:marTop w:val="0"/>
                      <w:marBottom w:val="0"/>
                      <w:divBdr>
                        <w:top w:val="none" w:sz="0" w:space="0" w:color="auto"/>
                        <w:left w:val="none" w:sz="0" w:space="0" w:color="auto"/>
                        <w:bottom w:val="none" w:sz="0" w:space="0" w:color="auto"/>
                        <w:right w:val="none" w:sz="0" w:space="0" w:color="auto"/>
                      </w:divBdr>
                    </w:div>
                    <w:div w:id="294139793">
                      <w:marLeft w:val="0"/>
                      <w:marRight w:val="0"/>
                      <w:marTop w:val="0"/>
                      <w:marBottom w:val="0"/>
                      <w:divBdr>
                        <w:top w:val="none" w:sz="0" w:space="0" w:color="auto"/>
                        <w:left w:val="none" w:sz="0" w:space="0" w:color="auto"/>
                        <w:bottom w:val="none" w:sz="0" w:space="0" w:color="auto"/>
                        <w:right w:val="none" w:sz="0" w:space="0" w:color="auto"/>
                      </w:divBdr>
                    </w:div>
                    <w:div w:id="294139839">
                      <w:marLeft w:val="0"/>
                      <w:marRight w:val="0"/>
                      <w:marTop w:val="0"/>
                      <w:marBottom w:val="0"/>
                      <w:divBdr>
                        <w:top w:val="none" w:sz="0" w:space="0" w:color="auto"/>
                        <w:left w:val="none" w:sz="0" w:space="0" w:color="auto"/>
                        <w:bottom w:val="none" w:sz="0" w:space="0" w:color="auto"/>
                        <w:right w:val="none" w:sz="0" w:space="0" w:color="auto"/>
                      </w:divBdr>
                    </w:div>
                    <w:div w:id="294139874">
                      <w:marLeft w:val="0"/>
                      <w:marRight w:val="0"/>
                      <w:marTop w:val="0"/>
                      <w:marBottom w:val="0"/>
                      <w:divBdr>
                        <w:top w:val="none" w:sz="0" w:space="0" w:color="auto"/>
                        <w:left w:val="none" w:sz="0" w:space="0" w:color="auto"/>
                        <w:bottom w:val="none" w:sz="0" w:space="0" w:color="auto"/>
                        <w:right w:val="none" w:sz="0" w:space="0" w:color="auto"/>
                      </w:divBdr>
                      <w:divsChild>
                        <w:div w:id="294148349">
                          <w:marLeft w:val="0"/>
                          <w:marRight w:val="0"/>
                          <w:marTop w:val="0"/>
                          <w:marBottom w:val="0"/>
                          <w:divBdr>
                            <w:top w:val="none" w:sz="0" w:space="0" w:color="auto"/>
                            <w:left w:val="none" w:sz="0" w:space="0" w:color="auto"/>
                            <w:bottom w:val="none" w:sz="0" w:space="0" w:color="auto"/>
                            <w:right w:val="none" w:sz="0" w:space="0" w:color="auto"/>
                          </w:divBdr>
                        </w:div>
                      </w:divsChild>
                    </w:div>
                    <w:div w:id="294139901">
                      <w:marLeft w:val="0"/>
                      <w:marRight w:val="0"/>
                      <w:marTop w:val="0"/>
                      <w:marBottom w:val="0"/>
                      <w:divBdr>
                        <w:top w:val="none" w:sz="0" w:space="0" w:color="auto"/>
                        <w:left w:val="none" w:sz="0" w:space="0" w:color="auto"/>
                        <w:bottom w:val="none" w:sz="0" w:space="0" w:color="auto"/>
                        <w:right w:val="none" w:sz="0" w:space="0" w:color="auto"/>
                      </w:divBdr>
                      <w:divsChild>
                        <w:div w:id="294151351">
                          <w:marLeft w:val="0"/>
                          <w:marRight w:val="0"/>
                          <w:marTop w:val="0"/>
                          <w:marBottom w:val="0"/>
                          <w:divBdr>
                            <w:top w:val="none" w:sz="0" w:space="0" w:color="auto"/>
                            <w:left w:val="none" w:sz="0" w:space="0" w:color="auto"/>
                            <w:bottom w:val="none" w:sz="0" w:space="0" w:color="auto"/>
                            <w:right w:val="none" w:sz="0" w:space="0" w:color="auto"/>
                          </w:divBdr>
                        </w:div>
                      </w:divsChild>
                    </w:div>
                    <w:div w:id="294139927">
                      <w:marLeft w:val="0"/>
                      <w:marRight w:val="0"/>
                      <w:marTop w:val="0"/>
                      <w:marBottom w:val="0"/>
                      <w:divBdr>
                        <w:top w:val="none" w:sz="0" w:space="0" w:color="auto"/>
                        <w:left w:val="none" w:sz="0" w:space="0" w:color="auto"/>
                        <w:bottom w:val="none" w:sz="0" w:space="0" w:color="auto"/>
                        <w:right w:val="none" w:sz="0" w:space="0" w:color="auto"/>
                      </w:divBdr>
                      <w:divsChild>
                        <w:div w:id="294150292">
                          <w:marLeft w:val="0"/>
                          <w:marRight w:val="0"/>
                          <w:marTop w:val="0"/>
                          <w:marBottom w:val="0"/>
                          <w:divBdr>
                            <w:top w:val="none" w:sz="0" w:space="0" w:color="auto"/>
                            <w:left w:val="none" w:sz="0" w:space="0" w:color="auto"/>
                            <w:bottom w:val="none" w:sz="0" w:space="0" w:color="auto"/>
                            <w:right w:val="none" w:sz="0" w:space="0" w:color="auto"/>
                          </w:divBdr>
                        </w:div>
                      </w:divsChild>
                    </w:div>
                    <w:div w:id="294140094">
                      <w:marLeft w:val="0"/>
                      <w:marRight w:val="0"/>
                      <w:marTop w:val="0"/>
                      <w:marBottom w:val="0"/>
                      <w:divBdr>
                        <w:top w:val="none" w:sz="0" w:space="0" w:color="auto"/>
                        <w:left w:val="none" w:sz="0" w:space="0" w:color="auto"/>
                        <w:bottom w:val="none" w:sz="0" w:space="0" w:color="auto"/>
                        <w:right w:val="none" w:sz="0" w:space="0" w:color="auto"/>
                      </w:divBdr>
                    </w:div>
                    <w:div w:id="294140155">
                      <w:marLeft w:val="0"/>
                      <w:marRight w:val="0"/>
                      <w:marTop w:val="0"/>
                      <w:marBottom w:val="0"/>
                      <w:divBdr>
                        <w:top w:val="none" w:sz="0" w:space="0" w:color="auto"/>
                        <w:left w:val="none" w:sz="0" w:space="0" w:color="auto"/>
                        <w:bottom w:val="none" w:sz="0" w:space="0" w:color="auto"/>
                        <w:right w:val="none" w:sz="0" w:space="0" w:color="auto"/>
                      </w:divBdr>
                    </w:div>
                    <w:div w:id="294140192">
                      <w:marLeft w:val="0"/>
                      <w:marRight w:val="0"/>
                      <w:marTop w:val="0"/>
                      <w:marBottom w:val="0"/>
                      <w:divBdr>
                        <w:top w:val="none" w:sz="0" w:space="0" w:color="auto"/>
                        <w:left w:val="none" w:sz="0" w:space="0" w:color="auto"/>
                        <w:bottom w:val="none" w:sz="0" w:space="0" w:color="auto"/>
                        <w:right w:val="none" w:sz="0" w:space="0" w:color="auto"/>
                      </w:divBdr>
                      <w:divsChild>
                        <w:div w:id="294139897">
                          <w:marLeft w:val="0"/>
                          <w:marRight w:val="0"/>
                          <w:marTop w:val="0"/>
                          <w:marBottom w:val="0"/>
                          <w:divBdr>
                            <w:top w:val="none" w:sz="0" w:space="0" w:color="auto"/>
                            <w:left w:val="none" w:sz="0" w:space="0" w:color="auto"/>
                            <w:bottom w:val="none" w:sz="0" w:space="0" w:color="auto"/>
                            <w:right w:val="none" w:sz="0" w:space="0" w:color="auto"/>
                          </w:divBdr>
                        </w:div>
                      </w:divsChild>
                    </w:div>
                    <w:div w:id="294140326">
                      <w:marLeft w:val="0"/>
                      <w:marRight w:val="0"/>
                      <w:marTop w:val="0"/>
                      <w:marBottom w:val="0"/>
                      <w:divBdr>
                        <w:top w:val="none" w:sz="0" w:space="0" w:color="auto"/>
                        <w:left w:val="none" w:sz="0" w:space="0" w:color="auto"/>
                        <w:bottom w:val="none" w:sz="0" w:space="0" w:color="auto"/>
                        <w:right w:val="none" w:sz="0" w:space="0" w:color="auto"/>
                      </w:divBdr>
                    </w:div>
                    <w:div w:id="294140358">
                      <w:marLeft w:val="0"/>
                      <w:marRight w:val="0"/>
                      <w:marTop w:val="0"/>
                      <w:marBottom w:val="0"/>
                      <w:divBdr>
                        <w:top w:val="none" w:sz="0" w:space="0" w:color="auto"/>
                        <w:left w:val="none" w:sz="0" w:space="0" w:color="auto"/>
                        <w:bottom w:val="none" w:sz="0" w:space="0" w:color="auto"/>
                        <w:right w:val="none" w:sz="0" w:space="0" w:color="auto"/>
                      </w:divBdr>
                    </w:div>
                    <w:div w:id="294140387">
                      <w:marLeft w:val="0"/>
                      <w:marRight w:val="0"/>
                      <w:marTop w:val="0"/>
                      <w:marBottom w:val="0"/>
                      <w:divBdr>
                        <w:top w:val="none" w:sz="0" w:space="0" w:color="auto"/>
                        <w:left w:val="none" w:sz="0" w:space="0" w:color="auto"/>
                        <w:bottom w:val="none" w:sz="0" w:space="0" w:color="auto"/>
                        <w:right w:val="none" w:sz="0" w:space="0" w:color="auto"/>
                      </w:divBdr>
                      <w:divsChild>
                        <w:div w:id="294155813">
                          <w:marLeft w:val="0"/>
                          <w:marRight w:val="0"/>
                          <w:marTop w:val="0"/>
                          <w:marBottom w:val="0"/>
                          <w:divBdr>
                            <w:top w:val="none" w:sz="0" w:space="0" w:color="auto"/>
                            <w:left w:val="none" w:sz="0" w:space="0" w:color="auto"/>
                            <w:bottom w:val="none" w:sz="0" w:space="0" w:color="auto"/>
                            <w:right w:val="none" w:sz="0" w:space="0" w:color="auto"/>
                          </w:divBdr>
                        </w:div>
                      </w:divsChild>
                    </w:div>
                    <w:div w:id="294140547">
                      <w:marLeft w:val="0"/>
                      <w:marRight w:val="0"/>
                      <w:marTop w:val="0"/>
                      <w:marBottom w:val="0"/>
                      <w:divBdr>
                        <w:top w:val="none" w:sz="0" w:space="0" w:color="auto"/>
                        <w:left w:val="none" w:sz="0" w:space="0" w:color="auto"/>
                        <w:bottom w:val="none" w:sz="0" w:space="0" w:color="auto"/>
                        <w:right w:val="none" w:sz="0" w:space="0" w:color="auto"/>
                      </w:divBdr>
                      <w:divsChild>
                        <w:div w:id="294139120">
                          <w:marLeft w:val="0"/>
                          <w:marRight w:val="0"/>
                          <w:marTop w:val="0"/>
                          <w:marBottom w:val="0"/>
                          <w:divBdr>
                            <w:top w:val="none" w:sz="0" w:space="0" w:color="auto"/>
                            <w:left w:val="none" w:sz="0" w:space="0" w:color="auto"/>
                            <w:bottom w:val="none" w:sz="0" w:space="0" w:color="auto"/>
                            <w:right w:val="none" w:sz="0" w:space="0" w:color="auto"/>
                          </w:divBdr>
                        </w:div>
                      </w:divsChild>
                    </w:div>
                    <w:div w:id="294140680">
                      <w:marLeft w:val="0"/>
                      <w:marRight w:val="0"/>
                      <w:marTop w:val="0"/>
                      <w:marBottom w:val="0"/>
                      <w:divBdr>
                        <w:top w:val="none" w:sz="0" w:space="0" w:color="auto"/>
                        <w:left w:val="none" w:sz="0" w:space="0" w:color="auto"/>
                        <w:bottom w:val="none" w:sz="0" w:space="0" w:color="auto"/>
                        <w:right w:val="none" w:sz="0" w:space="0" w:color="auto"/>
                      </w:divBdr>
                    </w:div>
                    <w:div w:id="294140727">
                      <w:marLeft w:val="0"/>
                      <w:marRight w:val="0"/>
                      <w:marTop w:val="0"/>
                      <w:marBottom w:val="0"/>
                      <w:divBdr>
                        <w:top w:val="none" w:sz="0" w:space="0" w:color="auto"/>
                        <w:left w:val="none" w:sz="0" w:space="0" w:color="auto"/>
                        <w:bottom w:val="none" w:sz="0" w:space="0" w:color="auto"/>
                        <w:right w:val="none" w:sz="0" w:space="0" w:color="auto"/>
                      </w:divBdr>
                      <w:divsChild>
                        <w:div w:id="294153733">
                          <w:marLeft w:val="0"/>
                          <w:marRight w:val="0"/>
                          <w:marTop w:val="0"/>
                          <w:marBottom w:val="0"/>
                          <w:divBdr>
                            <w:top w:val="none" w:sz="0" w:space="0" w:color="auto"/>
                            <w:left w:val="none" w:sz="0" w:space="0" w:color="auto"/>
                            <w:bottom w:val="none" w:sz="0" w:space="0" w:color="auto"/>
                            <w:right w:val="none" w:sz="0" w:space="0" w:color="auto"/>
                          </w:divBdr>
                        </w:div>
                      </w:divsChild>
                    </w:div>
                    <w:div w:id="294140735">
                      <w:marLeft w:val="0"/>
                      <w:marRight w:val="0"/>
                      <w:marTop w:val="0"/>
                      <w:marBottom w:val="0"/>
                      <w:divBdr>
                        <w:top w:val="none" w:sz="0" w:space="0" w:color="auto"/>
                        <w:left w:val="none" w:sz="0" w:space="0" w:color="auto"/>
                        <w:bottom w:val="none" w:sz="0" w:space="0" w:color="auto"/>
                        <w:right w:val="none" w:sz="0" w:space="0" w:color="auto"/>
                      </w:divBdr>
                      <w:divsChild>
                        <w:div w:id="294138882">
                          <w:marLeft w:val="0"/>
                          <w:marRight w:val="0"/>
                          <w:marTop w:val="0"/>
                          <w:marBottom w:val="0"/>
                          <w:divBdr>
                            <w:top w:val="none" w:sz="0" w:space="0" w:color="auto"/>
                            <w:left w:val="none" w:sz="0" w:space="0" w:color="auto"/>
                            <w:bottom w:val="none" w:sz="0" w:space="0" w:color="auto"/>
                            <w:right w:val="none" w:sz="0" w:space="0" w:color="auto"/>
                          </w:divBdr>
                        </w:div>
                      </w:divsChild>
                    </w:div>
                    <w:div w:id="294140760">
                      <w:marLeft w:val="0"/>
                      <w:marRight w:val="0"/>
                      <w:marTop w:val="0"/>
                      <w:marBottom w:val="0"/>
                      <w:divBdr>
                        <w:top w:val="none" w:sz="0" w:space="0" w:color="auto"/>
                        <w:left w:val="none" w:sz="0" w:space="0" w:color="auto"/>
                        <w:bottom w:val="none" w:sz="0" w:space="0" w:color="auto"/>
                        <w:right w:val="none" w:sz="0" w:space="0" w:color="auto"/>
                      </w:divBdr>
                      <w:divsChild>
                        <w:div w:id="294139782">
                          <w:marLeft w:val="0"/>
                          <w:marRight w:val="0"/>
                          <w:marTop w:val="0"/>
                          <w:marBottom w:val="0"/>
                          <w:divBdr>
                            <w:top w:val="none" w:sz="0" w:space="0" w:color="auto"/>
                            <w:left w:val="none" w:sz="0" w:space="0" w:color="auto"/>
                            <w:bottom w:val="none" w:sz="0" w:space="0" w:color="auto"/>
                            <w:right w:val="none" w:sz="0" w:space="0" w:color="auto"/>
                          </w:divBdr>
                        </w:div>
                      </w:divsChild>
                    </w:div>
                    <w:div w:id="294140875">
                      <w:marLeft w:val="0"/>
                      <w:marRight w:val="0"/>
                      <w:marTop w:val="0"/>
                      <w:marBottom w:val="0"/>
                      <w:divBdr>
                        <w:top w:val="none" w:sz="0" w:space="0" w:color="auto"/>
                        <w:left w:val="none" w:sz="0" w:space="0" w:color="auto"/>
                        <w:bottom w:val="none" w:sz="0" w:space="0" w:color="auto"/>
                        <w:right w:val="none" w:sz="0" w:space="0" w:color="auto"/>
                      </w:divBdr>
                      <w:divsChild>
                        <w:div w:id="294140707">
                          <w:marLeft w:val="0"/>
                          <w:marRight w:val="0"/>
                          <w:marTop w:val="0"/>
                          <w:marBottom w:val="0"/>
                          <w:divBdr>
                            <w:top w:val="none" w:sz="0" w:space="0" w:color="auto"/>
                            <w:left w:val="none" w:sz="0" w:space="0" w:color="auto"/>
                            <w:bottom w:val="none" w:sz="0" w:space="0" w:color="auto"/>
                            <w:right w:val="none" w:sz="0" w:space="0" w:color="auto"/>
                          </w:divBdr>
                        </w:div>
                      </w:divsChild>
                    </w:div>
                    <w:div w:id="294140980">
                      <w:marLeft w:val="0"/>
                      <w:marRight w:val="0"/>
                      <w:marTop w:val="0"/>
                      <w:marBottom w:val="0"/>
                      <w:divBdr>
                        <w:top w:val="none" w:sz="0" w:space="0" w:color="auto"/>
                        <w:left w:val="none" w:sz="0" w:space="0" w:color="auto"/>
                        <w:bottom w:val="none" w:sz="0" w:space="0" w:color="auto"/>
                        <w:right w:val="none" w:sz="0" w:space="0" w:color="auto"/>
                      </w:divBdr>
                      <w:divsChild>
                        <w:div w:id="294150909">
                          <w:marLeft w:val="0"/>
                          <w:marRight w:val="0"/>
                          <w:marTop w:val="0"/>
                          <w:marBottom w:val="0"/>
                          <w:divBdr>
                            <w:top w:val="none" w:sz="0" w:space="0" w:color="auto"/>
                            <w:left w:val="none" w:sz="0" w:space="0" w:color="auto"/>
                            <w:bottom w:val="none" w:sz="0" w:space="0" w:color="auto"/>
                            <w:right w:val="none" w:sz="0" w:space="0" w:color="auto"/>
                          </w:divBdr>
                        </w:div>
                      </w:divsChild>
                    </w:div>
                    <w:div w:id="294140985">
                      <w:marLeft w:val="0"/>
                      <w:marRight w:val="0"/>
                      <w:marTop w:val="0"/>
                      <w:marBottom w:val="0"/>
                      <w:divBdr>
                        <w:top w:val="none" w:sz="0" w:space="0" w:color="auto"/>
                        <w:left w:val="none" w:sz="0" w:space="0" w:color="auto"/>
                        <w:bottom w:val="none" w:sz="0" w:space="0" w:color="auto"/>
                        <w:right w:val="none" w:sz="0" w:space="0" w:color="auto"/>
                      </w:divBdr>
                    </w:div>
                    <w:div w:id="294141027">
                      <w:marLeft w:val="0"/>
                      <w:marRight w:val="0"/>
                      <w:marTop w:val="0"/>
                      <w:marBottom w:val="0"/>
                      <w:divBdr>
                        <w:top w:val="none" w:sz="0" w:space="0" w:color="auto"/>
                        <w:left w:val="none" w:sz="0" w:space="0" w:color="auto"/>
                        <w:bottom w:val="none" w:sz="0" w:space="0" w:color="auto"/>
                        <w:right w:val="none" w:sz="0" w:space="0" w:color="auto"/>
                      </w:divBdr>
                      <w:divsChild>
                        <w:div w:id="294153736">
                          <w:marLeft w:val="0"/>
                          <w:marRight w:val="0"/>
                          <w:marTop w:val="0"/>
                          <w:marBottom w:val="0"/>
                          <w:divBdr>
                            <w:top w:val="none" w:sz="0" w:space="0" w:color="auto"/>
                            <w:left w:val="none" w:sz="0" w:space="0" w:color="auto"/>
                            <w:bottom w:val="none" w:sz="0" w:space="0" w:color="auto"/>
                            <w:right w:val="none" w:sz="0" w:space="0" w:color="auto"/>
                          </w:divBdr>
                        </w:div>
                      </w:divsChild>
                    </w:div>
                    <w:div w:id="294141040">
                      <w:marLeft w:val="0"/>
                      <w:marRight w:val="0"/>
                      <w:marTop w:val="0"/>
                      <w:marBottom w:val="0"/>
                      <w:divBdr>
                        <w:top w:val="none" w:sz="0" w:space="0" w:color="auto"/>
                        <w:left w:val="none" w:sz="0" w:space="0" w:color="auto"/>
                        <w:bottom w:val="none" w:sz="0" w:space="0" w:color="auto"/>
                        <w:right w:val="none" w:sz="0" w:space="0" w:color="auto"/>
                      </w:divBdr>
                      <w:divsChild>
                        <w:div w:id="294150367">
                          <w:marLeft w:val="0"/>
                          <w:marRight w:val="0"/>
                          <w:marTop w:val="0"/>
                          <w:marBottom w:val="0"/>
                          <w:divBdr>
                            <w:top w:val="none" w:sz="0" w:space="0" w:color="auto"/>
                            <w:left w:val="none" w:sz="0" w:space="0" w:color="auto"/>
                            <w:bottom w:val="none" w:sz="0" w:space="0" w:color="auto"/>
                            <w:right w:val="none" w:sz="0" w:space="0" w:color="auto"/>
                          </w:divBdr>
                        </w:div>
                      </w:divsChild>
                    </w:div>
                    <w:div w:id="294141158">
                      <w:marLeft w:val="0"/>
                      <w:marRight w:val="0"/>
                      <w:marTop w:val="0"/>
                      <w:marBottom w:val="0"/>
                      <w:divBdr>
                        <w:top w:val="none" w:sz="0" w:space="0" w:color="auto"/>
                        <w:left w:val="none" w:sz="0" w:space="0" w:color="auto"/>
                        <w:bottom w:val="none" w:sz="0" w:space="0" w:color="auto"/>
                        <w:right w:val="none" w:sz="0" w:space="0" w:color="auto"/>
                      </w:divBdr>
                      <w:divsChild>
                        <w:div w:id="294138678">
                          <w:marLeft w:val="0"/>
                          <w:marRight w:val="0"/>
                          <w:marTop w:val="0"/>
                          <w:marBottom w:val="0"/>
                          <w:divBdr>
                            <w:top w:val="none" w:sz="0" w:space="0" w:color="auto"/>
                            <w:left w:val="none" w:sz="0" w:space="0" w:color="auto"/>
                            <w:bottom w:val="none" w:sz="0" w:space="0" w:color="auto"/>
                            <w:right w:val="none" w:sz="0" w:space="0" w:color="auto"/>
                          </w:divBdr>
                        </w:div>
                      </w:divsChild>
                    </w:div>
                    <w:div w:id="294141177">
                      <w:marLeft w:val="0"/>
                      <w:marRight w:val="0"/>
                      <w:marTop w:val="0"/>
                      <w:marBottom w:val="0"/>
                      <w:divBdr>
                        <w:top w:val="none" w:sz="0" w:space="0" w:color="auto"/>
                        <w:left w:val="none" w:sz="0" w:space="0" w:color="auto"/>
                        <w:bottom w:val="none" w:sz="0" w:space="0" w:color="auto"/>
                        <w:right w:val="none" w:sz="0" w:space="0" w:color="auto"/>
                      </w:divBdr>
                    </w:div>
                    <w:div w:id="294141183">
                      <w:marLeft w:val="0"/>
                      <w:marRight w:val="0"/>
                      <w:marTop w:val="0"/>
                      <w:marBottom w:val="0"/>
                      <w:divBdr>
                        <w:top w:val="none" w:sz="0" w:space="0" w:color="auto"/>
                        <w:left w:val="none" w:sz="0" w:space="0" w:color="auto"/>
                        <w:bottom w:val="none" w:sz="0" w:space="0" w:color="auto"/>
                        <w:right w:val="none" w:sz="0" w:space="0" w:color="auto"/>
                      </w:divBdr>
                    </w:div>
                    <w:div w:id="294141192">
                      <w:marLeft w:val="0"/>
                      <w:marRight w:val="0"/>
                      <w:marTop w:val="0"/>
                      <w:marBottom w:val="0"/>
                      <w:divBdr>
                        <w:top w:val="none" w:sz="0" w:space="0" w:color="auto"/>
                        <w:left w:val="none" w:sz="0" w:space="0" w:color="auto"/>
                        <w:bottom w:val="none" w:sz="0" w:space="0" w:color="auto"/>
                        <w:right w:val="none" w:sz="0" w:space="0" w:color="auto"/>
                      </w:divBdr>
                      <w:divsChild>
                        <w:div w:id="294152250">
                          <w:marLeft w:val="0"/>
                          <w:marRight w:val="0"/>
                          <w:marTop w:val="0"/>
                          <w:marBottom w:val="0"/>
                          <w:divBdr>
                            <w:top w:val="none" w:sz="0" w:space="0" w:color="auto"/>
                            <w:left w:val="none" w:sz="0" w:space="0" w:color="auto"/>
                            <w:bottom w:val="none" w:sz="0" w:space="0" w:color="auto"/>
                            <w:right w:val="none" w:sz="0" w:space="0" w:color="auto"/>
                          </w:divBdr>
                        </w:div>
                      </w:divsChild>
                    </w:div>
                    <w:div w:id="294141246">
                      <w:marLeft w:val="0"/>
                      <w:marRight w:val="0"/>
                      <w:marTop w:val="0"/>
                      <w:marBottom w:val="0"/>
                      <w:divBdr>
                        <w:top w:val="none" w:sz="0" w:space="0" w:color="auto"/>
                        <w:left w:val="none" w:sz="0" w:space="0" w:color="auto"/>
                        <w:bottom w:val="none" w:sz="0" w:space="0" w:color="auto"/>
                        <w:right w:val="none" w:sz="0" w:space="0" w:color="auto"/>
                      </w:divBdr>
                    </w:div>
                    <w:div w:id="294141280">
                      <w:marLeft w:val="0"/>
                      <w:marRight w:val="0"/>
                      <w:marTop w:val="0"/>
                      <w:marBottom w:val="0"/>
                      <w:divBdr>
                        <w:top w:val="none" w:sz="0" w:space="0" w:color="auto"/>
                        <w:left w:val="none" w:sz="0" w:space="0" w:color="auto"/>
                        <w:bottom w:val="none" w:sz="0" w:space="0" w:color="auto"/>
                        <w:right w:val="none" w:sz="0" w:space="0" w:color="auto"/>
                      </w:divBdr>
                      <w:divsChild>
                        <w:div w:id="294145545">
                          <w:marLeft w:val="0"/>
                          <w:marRight w:val="0"/>
                          <w:marTop w:val="0"/>
                          <w:marBottom w:val="0"/>
                          <w:divBdr>
                            <w:top w:val="none" w:sz="0" w:space="0" w:color="auto"/>
                            <w:left w:val="none" w:sz="0" w:space="0" w:color="auto"/>
                            <w:bottom w:val="none" w:sz="0" w:space="0" w:color="auto"/>
                            <w:right w:val="none" w:sz="0" w:space="0" w:color="auto"/>
                          </w:divBdr>
                        </w:div>
                      </w:divsChild>
                    </w:div>
                    <w:div w:id="294141330">
                      <w:marLeft w:val="0"/>
                      <w:marRight w:val="0"/>
                      <w:marTop w:val="0"/>
                      <w:marBottom w:val="0"/>
                      <w:divBdr>
                        <w:top w:val="none" w:sz="0" w:space="0" w:color="auto"/>
                        <w:left w:val="none" w:sz="0" w:space="0" w:color="auto"/>
                        <w:bottom w:val="none" w:sz="0" w:space="0" w:color="auto"/>
                        <w:right w:val="none" w:sz="0" w:space="0" w:color="auto"/>
                      </w:divBdr>
                    </w:div>
                    <w:div w:id="294141484">
                      <w:marLeft w:val="0"/>
                      <w:marRight w:val="0"/>
                      <w:marTop w:val="0"/>
                      <w:marBottom w:val="0"/>
                      <w:divBdr>
                        <w:top w:val="none" w:sz="0" w:space="0" w:color="auto"/>
                        <w:left w:val="none" w:sz="0" w:space="0" w:color="auto"/>
                        <w:bottom w:val="none" w:sz="0" w:space="0" w:color="auto"/>
                        <w:right w:val="none" w:sz="0" w:space="0" w:color="auto"/>
                      </w:divBdr>
                      <w:divsChild>
                        <w:div w:id="294151544">
                          <w:marLeft w:val="0"/>
                          <w:marRight w:val="0"/>
                          <w:marTop w:val="0"/>
                          <w:marBottom w:val="0"/>
                          <w:divBdr>
                            <w:top w:val="none" w:sz="0" w:space="0" w:color="auto"/>
                            <w:left w:val="none" w:sz="0" w:space="0" w:color="auto"/>
                            <w:bottom w:val="none" w:sz="0" w:space="0" w:color="auto"/>
                            <w:right w:val="none" w:sz="0" w:space="0" w:color="auto"/>
                          </w:divBdr>
                        </w:div>
                      </w:divsChild>
                    </w:div>
                    <w:div w:id="294141528">
                      <w:marLeft w:val="0"/>
                      <w:marRight w:val="0"/>
                      <w:marTop w:val="0"/>
                      <w:marBottom w:val="0"/>
                      <w:divBdr>
                        <w:top w:val="none" w:sz="0" w:space="0" w:color="auto"/>
                        <w:left w:val="none" w:sz="0" w:space="0" w:color="auto"/>
                        <w:bottom w:val="none" w:sz="0" w:space="0" w:color="auto"/>
                        <w:right w:val="none" w:sz="0" w:space="0" w:color="auto"/>
                      </w:divBdr>
                      <w:divsChild>
                        <w:div w:id="294143866">
                          <w:marLeft w:val="0"/>
                          <w:marRight w:val="0"/>
                          <w:marTop w:val="0"/>
                          <w:marBottom w:val="0"/>
                          <w:divBdr>
                            <w:top w:val="none" w:sz="0" w:space="0" w:color="auto"/>
                            <w:left w:val="none" w:sz="0" w:space="0" w:color="auto"/>
                            <w:bottom w:val="none" w:sz="0" w:space="0" w:color="auto"/>
                            <w:right w:val="none" w:sz="0" w:space="0" w:color="auto"/>
                          </w:divBdr>
                        </w:div>
                      </w:divsChild>
                    </w:div>
                    <w:div w:id="294141639">
                      <w:marLeft w:val="0"/>
                      <w:marRight w:val="0"/>
                      <w:marTop w:val="0"/>
                      <w:marBottom w:val="0"/>
                      <w:divBdr>
                        <w:top w:val="none" w:sz="0" w:space="0" w:color="auto"/>
                        <w:left w:val="none" w:sz="0" w:space="0" w:color="auto"/>
                        <w:bottom w:val="none" w:sz="0" w:space="0" w:color="auto"/>
                        <w:right w:val="none" w:sz="0" w:space="0" w:color="auto"/>
                      </w:divBdr>
                      <w:divsChild>
                        <w:div w:id="294146905">
                          <w:marLeft w:val="0"/>
                          <w:marRight w:val="0"/>
                          <w:marTop w:val="0"/>
                          <w:marBottom w:val="0"/>
                          <w:divBdr>
                            <w:top w:val="none" w:sz="0" w:space="0" w:color="auto"/>
                            <w:left w:val="none" w:sz="0" w:space="0" w:color="auto"/>
                            <w:bottom w:val="none" w:sz="0" w:space="0" w:color="auto"/>
                            <w:right w:val="none" w:sz="0" w:space="0" w:color="auto"/>
                          </w:divBdr>
                        </w:div>
                      </w:divsChild>
                    </w:div>
                    <w:div w:id="294141657">
                      <w:marLeft w:val="0"/>
                      <w:marRight w:val="0"/>
                      <w:marTop w:val="0"/>
                      <w:marBottom w:val="0"/>
                      <w:divBdr>
                        <w:top w:val="none" w:sz="0" w:space="0" w:color="auto"/>
                        <w:left w:val="none" w:sz="0" w:space="0" w:color="auto"/>
                        <w:bottom w:val="none" w:sz="0" w:space="0" w:color="auto"/>
                        <w:right w:val="none" w:sz="0" w:space="0" w:color="auto"/>
                      </w:divBdr>
                    </w:div>
                    <w:div w:id="294141662">
                      <w:marLeft w:val="0"/>
                      <w:marRight w:val="0"/>
                      <w:marTop w:val="0"/>
                      <w:marBottom w:val="0"/>
                      <w:divBdr>
                        <w:top w:val="none" w:sz="0" w:space="0" w:color="auto"/>
                        <w:left w:val="none" w:sz="0" w:space="0" w:color="auto"/>
                        <w:bottom w:val="none" w:sz="0" w:space="0" w:color="auto"/>
                        <w:right w:val="none" w:sz="0" w:space="0" w:color="auto"/>
                      </w:divBdr>
                    </w:div>
                    <w:div w:id="294141730">
                      <w:marLeft w:val="0"/>
                      <w:marRight w:val="0"/>
                      <w:marTop w:val="0"/>
                      <w:marBottom w:val="0"/>
                      <w:divBdr>
                        <w:top w:val="none" w:sz="0" w:space="0" w:color="auto"/>
                        <w:left w:val="none" w:sz="0" w:space="0" w:color="auto"/>
                        <w:bottom w:val="none" w:sz="0" w:space="0" w:color="auto"/>
                        <w:right w:val="none" w:sz="0" w:space="0" w:color="auto"/>
                      </w:divBdr>
                      <w:divsChild>
                        <w:div w:id="294141121">
                          <w:marLeft w:val="0"/>
                          <w:marRight w:val="0"/>
                          <w:marTop w:val="0"/>
                          <w:marBottom w:val="0"/>
                          <w:divBdr>
                            <w:top w:val="none" w:sz="0" w:space="0" w:color="auto"/>
                            <w:left w:val="none" w:sz="0" w:space="0" w:color="auto"/>
                            <w:bottom w:val="none" w:sz="0" w:space="0" w:color="auto"/>
                            <w:right w:val="none" w:sz="0" w:space="0" w:color="auto"/>
                          </w:divBdr>
                        </w:div>
                      </w:divsChild>
                    </w:div>
                    <w:div w:id="294141885">
                      <w:marLeft w:val="0"/>
                      <w:marRight w:val="0"/>
                      <w:marTop w:val="0"/>
                      <w:marBottom w:val="0"/>
                      <w:divBdr>
                        <w:top w:val="none" w:sz="0" w:space="0" w:color="auto"/>
                        <w:left w:val="none" w:sz="0" w:space="0" w:color="auto"/>
                        <w:bottom w:val="none" w:sz="0" w:space="0" w:color="auto"/>
                        <w:right w:val="none" w:sz="0" w:space="0" w:color="auto"/>
                      </w:divBdr>
                    </w:div>
                    <w:div w:id="294141906">
                      <w:marLeft w:val="0"/>
                      <w:marRight w:val="0"/>
                      <w:marTop w:val="0"/>
                      <w:marBottom w:val="0"/>
                      <w:divBdr>
                        <w:top w:val="none" w:sz="0" w:space="0" w:color="auto"/>
                        <w:left w:val="none" w:sz="0" w:space="0" w:color="auto"/>
                        <w:bottom w:val="none" w:sz="0" w:space="0" w:color="auto"/>
                        <w:right w:val="none" w:sz="0" w:space="0" w:color="auto"/>
                      </w:divBdr>
                    </w:div>
                    <w:div w:id="294141943">
                      <w:marLeft w:val="0"/>
                      <w:marRight w:val="0"/>
                      <w:marTop w:val="0"/>
                      <w:marBottom w:val="0"/>
                      <w:divBdr>
                        <w:top w:val="none" w:sz="0" w:space="0" w:color="auto"/>
                        <w:left w:val="none" w:sz="0" w:space="0" w:color="auto"/>
                        <w:bottom w:val="none" w:sz="0" w:space="0" w:color="auto"/>
                        <w:right w:val="none" w:sz="0" w:space="0" w:color="auto"/>
                      </w:divBdr>
                      <w:divsChild>
                        <w:div w:id="294153739">
                          <w:marLeft w:val="0"/>
                          <w:marRight w:val="0"/>
                          <w:marTop w:val="0"/>
                          <w:marBottom w:val="0"/>
                          <w:divBdr>
                            <w:top w:val="none" w:sz="0" w:space="0" w:color="auto"/>
                            <w:left w:val="none" w:sz="0" w:space="0" w:color="auto"/>
                            <w:bottom w:val="none" w:sz="0" w:space="0" w:color="auto"/>
                            <w:right w:val="none" w:sz="0" w:space="0" w:color="auto"/>
                          </w:divBdr>
                        </w:div>
                      </w:divsChild>
                    </w:div>
                    <w:div w:id="294141953">
                      <w:marLeft w:val="0"/>
                      <w:marRight w:val="0"/>
                      <w:marTop w:val="0"/>
                      <w:marBottom w:val="0"/>
                      <w:divBdr>
                        <w:top w:val="none" w:sz="0" w:space="0" w:color="auto"/>
                        <w:left w:val="none" w:sz="0" w:space="0" w:color="auto"/>
                        <w:bottom w:val="none" w:sz="0" w:space="0" w:color="auto"/>
                        <w:right w:val="none" w:sz="0" w:space="0" w:color="auto"/>
                      </w:divBdr>
                    </w:div>
                    <w:div w:id="294142115">
                      <w:marLeft w:val="0"/>
                      <w:marRight w:val="0"/>
                      <w:marTop w:val="0"/>
                      <w:marBottom w:val="0"/>
                      <w:divBdr>
                        <w:top w:val="none" w:sz="0" w:space="0" w:color="auto"/>
                        <w:left w:val="none" w:sz="0" w:space="0" w:color="auto"/>
                        <w:bottom w:val="none" w:sz="0" w:space="0" w:color="auto"/>
                        <w:right w:val="none" w:sz="0" w:space="0" w:color="auto"/>
                      </w:divBdr>
                    </w:div>
                    <w:div w:id="294142443">
                      <w:marLeft w:val="0"/>
                      <w:marRight w:val="0"/>
                      <w:marTop w:val="0"/>
                      <w:marBottom w:val="0"/>
                      <w:divBdr>
                        <w:top w:val="none" w:sz="0" w:space="0" w:color="auto"/>
                        <w:left w:val="none" w:sz="0" w:space="0" w:color="auto"/>
                        <w:bottom w:val="none" w:sz="0" w:space="0" w:color="auto"/>
                        <w:right w:val="none" w:sz="0" w:space="0" w:color="auto"/>
                      </w:divBdr>
                    </w:div>
                    <w:div w:id="294142491">
                      <w:marLeft w:val="0"/>
                      <w:marRight w:val="0"/>
                      <w:marTop w:val="0"/>
                      <w:marBottom w:val="0"/>
                      <w:divBdr>
                        <w:top w:val="none" w:sz="0" w:space="0" w:color="auto"/>
                        <w:left w:val="none" w:sz="0" w:space="0" w:color="auto"/>
                        <w:bottom w:val="none" w:sz="0" w:space="0" w:color="auto"/>
                        <w:right w:val="none" w:sz="0" w:space="0" w:color="auto"/>
                      </w:divBdr>
                      <w:divsChild>
                        <w:div w:id="294142422">
                          <w:marLeft w:val="0"/>
                          <w:marRight w:val="0"/>
                          <w:marTop w:val="0"/>
                          <w:marBottom w:val="0"/>
                          <w:divBdr>
                            <w:top w:val="none" w:sz="0" w:space="0" w:color="auto"/>
                            <w:left w:val="none" w:sz="0" w:space="0" w:color="auto"/>
                            <w:bottom w:val="none" w:sz="0" w:space="0" w:color="auto"/>
                            <w:right w:val="none" w:sz="0" w:space="0" w:color="auto"/>
                          </w:divBdr>
                        </w:div>
                      </w:divsChild>
                    </w:div>
                    <w:div w:id="294142619">
                      <w:marLeft w:val="0"/>
                      <w:marRight w:val="0"/>
                      <w:marTop w:val="0"/>
                      <w:marBottom w:val="0"/>
                      <w:divBdr>
                        <w:top w:val="none" w:sz="0" w:space="0" w:color="auto"/>
                        <w:left w:val="none" w:sz="0" w:space="0" w:color="auto"/>
                        <w:bottom w:val="none" w:sz="0" w:space="0" w:color="auto"/>
                        <w:right w:val="none" w:sz="0" w:space="0" w:color="auto"/>
                      </w:divBdr>
                      <w:divsChild>
                        <w:div w:id="294144175">
                          <w:marLeft w:val="0"/>
                          <w:marRight w:val="0"/>
                          <w:marTop w:val="0"/>
                          <w:marBottom w:val="0"/>
                          <w:divBdr>
                            <w:top w:val="none" w:sz="0" w:space="0" w:color="auto"/>
                            <w:left w:val="none" w:sz="0" w:space="0" w:color="auto"/>
                            <w:bottom w:val="none" w:sz="0" w:space="0" w:color="auto"/>
                            <w:right w:val="none" w:sz="0" w:space="0" w:color="auto"/>
                          </w:divBdr>
                        </w:div>
                      </w:divsChild>
                    </w:div>
                    <w:div w:id="294142632">
                      <w:marLeft w:val="0"/>
                      <w:marRight w:val="0"/>
                      <w:marTop w:val="0"/>
                      <w:marBottom w:val="0"/>
                      <w:divBdr>
                        <w:top w:val="none" w:sz="0" w:space="0" w:color="auto"/>
                        <w:left w:val="none" w:sz="0" w:space="0" w:color="auto"/>
                        <w:bottom w:val="none" w:sz="0" w:space="0" w:color="auto"/>
                        <w:right w:val="none" w:sz="0" w:space="0" w:color="auto"/>
                      </w:divBdr>
                    </w:div>
                    <w:div w:id="294142734">
                      <w:marLeft w:val="0"/>
                      <w:marRight w:val="0"/>
                      <w:marTop w:val="0"/>
                      <w:marBottom w:val="0"/>
                      <w:divBdr>
                        <w:top w:val="none" w:sz="0" w:space="0" w:color="auto"/>
                        <w:left w:val="none" w:sz="0" w:space="0" w:color="auto"/>
                        <w:bottom w:val="none" w:sz="0" w:space="0" w:color="auto"/>
                        <w:right w:val="none" w:sz="0" w:space="0" w:color="auto"/>
                      </w:divBdr>
                      <w:divsChild>
                        <w:div w:id="294148880">
                          <w:marLeft w:val="0"/>
                          <w:marRight w:val="0"/>
                          <w:marTop w:val="0"/>
                          <w:marBottom w:val="0"/>
                          <w:divBdr>
                            <w:top w:val="none" w:sz="0" w:space="0" w:color="auto"/>
                            <w:left w:val="none" w:sz="0" w:space="0" w:color="auto"/>
                            <w:bottom w:val="none" w:sz="0" w:space="0" w:color="auto"/>
                            <w:right w:val="none" w:sz="0" w:space="0" w:color="auto"/>
                          </w:divBdr>
                        </w:div>
                      </w:divsChild>
                    </w:div>
                    <w:div w:id="294143228">
                      <w:marLeft w:val="0"/>
                      <w:marRight w:val="0"/>
                      <w:marTop w:val="0"/>
                      <w:marBottom w:val="0"/>
                      <w:divBdr>
                        <w:top w:val="none" w:sz="0" w:space="0" w:color="auto"/>
                        <w:left w:val="none" w:sz="0" w:space="0" w:color="auto"/>
                        <w:bottom w:val="none" w:sz="0" w:space="0" w:color="auto"/>
                        <w:right w:val="none" w:sz="0" w:space="0" w:color="auto"/>
                      </w:divBdr>
                    </w:div>
                    <w:div w:id="294143319">
                      <w:marLeft w:val="0"/>
                      <w:marRight w:val="0"/>
                      <w:marTop w:val="0"/>
                      <w:marBottom w:val="0"/>
                      <w:divBdr>
                        <w:top w:val="none" w:sz="0" w:space="0" w:color="auto"/>
                        <w:left w:val="none" w:sz="0" w:space="0" w:color="auto"/>
                        <w:bottom w:val="none" w:sz="0" w:space="0" w:color="auto"/>
                        <w:right w:val="none" w:sz="0" w:space="0" w:color="auto"/>
                      </w:divBdr>
                    </w:div>
                    <w:div w:id="294143328">
                      <w:marLeft w:val="0"/>
                      <w:marRight w:val="0"/>
                      <w:marTop w:val="0"/>
                      <w:marBottom w:val="0"/>
                      <w:divBdr>
                        <w:top w:val="none" w:sz="0" w:space="0" w:color="auto"/>
                        <w:left w:val="none" w:sz="0" w:space="0" w:color="auto"/>
                        <w:bottom w:val="none" w:sz="0" w:space="0" w:color="auto"/>
                        <w:right w:val="none" w:sz="0" w:space="0" w:color="auto"/>
                      </w:divBdr>
                      <w:divsChild>
                        <w:div w:id="294145431">
                          <w:marLeft w:val="0"/>
                          <w:marRight w:val="0"/>
                          <w:marTop w:val="0"/>
                          <w:marBottom w:val="0"/>
                          <w:divBdr>
                            <w:top w:val="none" w:sz="0" w:space="0" w:color="auto"/>
                            <w:left w:val="none" w:sz="0" w:space="0" w:color="auto"/>
                            <w:bottom w:val="none" w:sz="0" w:space="0" w:color="auto"/>
                            <w:right w:val="none" w:sz="0" w:space="0" w:color="auto"/>
                          </w:divBdr>
                        </w:div>
                      </w:divsChild>
                    </w:div>
                    <w:div w:id="294143600">
                      <w:marLeft w:val="0"/>
                      <w:marRight w:val="0"/>
                      <w:marTop w:val="0"/>
                      <w:marBottom w:val="0"/>
                      <w:divBdr>
                        <w:top w:val="none" w:sz="0" w:space="0" w:color="auto"/>
                        <w:left w:val="none" w:sz="0" w:space="0" w:color="auto"/>
                        <w:bottom w:val="none" w:sz="0" w:space="0" w:color="auto"/>
                        <w:right w:val="none" w:sz="0" w:space="0" w:color="auto"/>
                      </w:divBdr>
                      <w:divsChild>
                        <w:div w:id="294143357">
                          <w:marLeft w:val="0"/>
                          <w:marRight w:val="0"/>
                          <w:marTop w:val="0"/>
                          <w:marBottom w:val="0"/>
                          <w:divBdr>
                            <w:top w:val="none" w:sz="0" w:space="0" w:color="auto"/>
                            <w:left w:val="none" w:sz="0" w:space="0" w:color="auto"/>
                            <w:bottom w:val="none" w:sz="0" w:space="0" w:color="auto"/>
                            <w:right w:val="none" w:sz="0" w:space="0" w:color="auto"/>
                          </w:divBdr>
                        </w:div>
                      </w:divsChild>
                    </w:div>
                    <w:div w:id="294143616">
                      <w:marLeft w:val="0"/>
                      <w:marRight w:val="0"/>
                      <w:marTop w:val="0"/>
                      <w:marBottom w:val="0"/>
                      <w:divBdr>
                        <w:top w:val="none" w:sz="0" w:space="0" w:color="auto"/>
                        <w:left w:val="none" w:sz="0" w:space="0" w:color="auto"/>
                        <w:bottom w:val="none" w:sz="0" w:space="0" w:color="auto"/>
                        <w:right w:val="none" w:sz="0" w:space="0" w:color="auto"/>
                      </w:divBdr>
                    </w:div>
                    <w:div w:id="294143732">
                      <w:marLeft w:val="0"/>
                      <w:marRight w:val="0"/>
                      <w:marTop w:val="0"/>
                      <w:marBottom w:val="0"/>
                      <w:divBdr>
                        <w:top w:val="none" w:sz="0" w:space="0" w:color="auto"/>
                        <w:left w:val="none" w:sz="0" w:space="0" w:color="auto"/>
                        <w:bottom w:val="none" w:sz="0" w:space="0" w:color="auto"/>
                        <w:right w:val="none" w:sz="0" w:space="0" w:color="auto"/>
                      </w:divBdr>
                    </w:div>
                    <w:div w:id="294143779">
                      <w:marLeft w:val="0"/>
                      <w:marRight w:val="0"/>
                      <w:marTop w:val="0"/>
                      <w:marBottom w:val="0"/>
                      <w:divBdr>
                        <w:top w:val="none" w:sz="0" w:space="0" w:color="auto"/>
                        <w:left w:val="none" w:sz="0" w:space="0" w:color="auto"/>
                        <w:bottom w:val="none" w:sz="0" w:space="0" w:color="auto"/>
                        <w:right w:val="none" w:sz="0" w:space="0" w:color="auto"/>
                      </w:divBdr>
                    </w:div>
                    <w:div w:id="294143823">
                      <w:marLeft w:val="0"/>
                      <w:marRight w:val="0"/>
                      <w:marTop w:val="0"/>
                      <w:marBottom w:val="0"/>
                      <w:divBdr>
                        <w:top w:val="none" w:sz="0" w:space="0" w:color="auto"/>
                        <w:left w:val="none" w:sz="0" w:space="0" w:color="auto"/>
                        <w:bottom w:val="none" w:sz="0" w:space="0" w:color="auto"/>
                        <w:right w:val="none" w:sz="0" w:space="0" w:color="auto"/>
                      </w:divBdr>
                    </w:div>
                    <w:div w:id="294143917">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
                      </w:divsChild>
                    </w:div>
                    <w:div w:id="294144060">
                      <w:marLeft w:val="0"/>
                      <w:marRight w:val="0"/>
                      <w:marTop w:val="0"/>
                      <w:marBottom w:val="0"/>
                      <w:divBdr>
                        <w:top w:val="none" w:sz="0" w:space="0" w:color="auto"/>
                        <w:left w:val="none" w:sz="0" w:space="0" w:color="auto"/>
                        <w:bottom w:val="none" w:sz="0" w:space="0" w:color="auto"/>
                        <w:right w:val="none" w:sz="0" w:space="0" w:color="auto"/>
                      </w:divBdr>
                      <w:divsChild>
                        <w:div w:id="294142210">
                          <w:marLeft w:val="0"/>
                          <w:marRight w:val="0"/>
                          <w:marTop w:val="0"/>
                          <w:marBottom w:val="0"/>
                          <w:divBdr>
                            <w:top w:val="none" w:sz="0" w:space="0" w:color="auto"/>
                            <w:left w:val="none" w:sz="0" w:space="0" w:color="auto"/>
                            <w:bottom w:val="none" w:sz="0" w:space="0" w:color="auto"/>
                            <w:right w:val="none" w:sz="0" w:space="0" w:color="auto"/>
                          </w:divBdr>
                        </w:div>
                      </w:divsChild>
                    </w:div>
                    <w:div w:id="294144181">
                      <w:marLeft w:val="0"/>
                      <w:marRight w:val="0"/>
                      <w:marTop w:val="0"/>
                      <w:marBottom w:val="0"/>
                      <w:divBdr>
                        <w:top w:val="none" w:sz="0" w:space="0" w:color="auto"/>
                        <w:left w:val="none" w:sz="0" w:space="0" w:color="auto"/>
                        <w:bottom w:val="none" w:sz="0" w:space="0" w:color="auto"/>
                        <w:right w:val="none" w:sz="0" w:space="0" w:color="auto"/>
                      </w:divBdr>
                    </w:div>
                    <w:div w:id="294144224">
                      <w:marLeft w:val="0"/>
                      <w:marRight w:val="0"/>
                      <w:marTop w:val="0"/>
                      <w:marBottom w:val="0"/>
                      <w:divBdr>
                        <w:top w:val="none" w:sz="0" w:space="0" w:color="auto"/>
                        <w:left w:val="none" w:sz="0" w:space="0" w:color="auto"/>
                        <w:bottom w:val="none" w:sz="0" w:space="0" w:color="auto"/>
                        <w:right w:val="none" w:sz="0" w:space="0" w:color="auto"/>
                      </w:divBdr>
                    </w:div>
                    <w:div w:id="294144296">
                      <w:marLeft w:val="0"/>
                      <w:marRight w:val="0"/>
                      <w:marTop w:val="0"/>
                      <w:marBottom w:val="0"/>
                      <w:divBdr>
                        <w:top w:val="none" w:sz="0" w:space="0" w:color="auto"/>
                        <w:left w:val="none" w:sz="0" w:space="0" w:color="auto"/>
                        <w:bottom w:val="none" w:sz="0" w:space="0" w:color="auto"/>
                        <w:right w:val="none" w:sz="0" w:space="0" w:color="auto"/>
                      </w:divBdr>
                    </w:div>
                    <w:div w:id="294144297">
                      <w:marLeft w:val="0"/>
                      <w:marRight w:val="0"/>
                      <w:marTop w:val="0"/>
                      <w:marBottom w:val="0"/>
                      <w:divBdr>
                        <w:top w:val="none" w:sz="0" w:space="0" w:color="auto"/>
                        <w:left w:val="none" w:sz="0" w:space="0" w:color="auto"/>
                        <w:bottom w:val="none" w:sz="0" w:space="0" w:color="auto"/>
                        <w:right w:val="none" w:sz="0" w:space="0" w:color="auto"/>
                      </w:divBdr>
                      <w:divsChild>
                        <w:div w:id="294146015">
                          <w:marLeft w:val="0"/>
                          <w:marRight w:val="0"/>
                          <w:marTop w:val="0"/>
                          <w:marBottom w:val="0"/>
                          <w:divBdr>
                            <w:top w:val="none" w:sz="0" w:space="0" w:color="auto"/>
                            <w:left w:val="none" w:sz="0" w:space="0" w:color="auto"/>
                            <w:bottom w:val="none" w:sz="0" w:space="0" w:color="auto"/>
                            <w:right w:val="none" w:sz="0" w:space="0" w:color="auto"/>
                          </w:divBdr>
                        </w:div>
                      </w:divsChild>
                    </w:div>
                    <w:div w:id="294144327">
                      <w:marLeft w:val="0"/>
                      <w:marRight w:val="0"/>
                      <w:marTop w:val="0"/>
                      <w:marBottom w:val="0"/>
                      <w:divBdr>
                        <w:top w:val="none" w:sz="0" w:space="0" w:color="auto"/>
                        <w:left w:val="none" w:sz="0" w:space="0" w:color="auto"/>
                        <w:bottom w:val="none" w:sz="0" w:space="0" w:color="auto"/>
                        <w:right w:val="none" w:sz="0" w:space="0" w:color="auto"/>
                      </w:divBdr>
                    </w:div>
                    <w:div w:id="294144346">
                      <w:marLeft w:val="0"/>
                      <w:marRight w:val="0"/>
                      <w:marTop w:val="0"/>
                      <w:marBottom w:val="0"/>
                      <w:divBdr>
                        <w:top w:val="none" w:sz="0" w:space="0" w:color="auto"/>
                        <w:left w:val="none" w:sz="0" w:space="0" w:color="auto"/>
                        <w:bottom w:val="none" w:sz="0" w:space="0" w:color="auto"/>
                        <w:right w:val="none" w:sz="0" w:space="0" w:color="auto"/>
                      </w:divBdr>
                      <w:divsChild>
                        <w:div w:id="294143579">
                          <w:marLeft w:val="0"/>
                          <w:marRight w:val="0"/>
                          <w:marTop w:val="0"/>
                          <w:marBottom w:val="0"/>
                          <w:divBdr>
                            <w:top w:val="none" w:sz="0" w:space="0" w:color="auto"/>
                            <w:left w:val="none" w:sz="0" w:space="0" w:color="auto"/>
                            <w:bottom w:val="none" w:sz="0" w:space="0" w:color="auto"/>
                            <w:right w:val="none" w:sz="0" w:space="0" w:color="auto"/>
                          </w:divBdr>
                        </w:div>
                      </w:divsChild>
                    </w:div>
                    <w:div w:id="294144414">
                      <w:marLeft w:val="0"/>
                      <w:marRight w:val="0"/>
                      <w:marTop w:val="0"/>
                      <w:marBottom w:val="0"/>
                      <w:divBdr>
                        <w:top w:val="none" w:sz="0" w:space="0" w:color="auto"/>
                        <w:left w:val="none" w:sz="0" w:space="0" w:color="auto"/>
                        <w:bottom w:val="none" w:sz="0" w:space="0" w:color="auto"/>
                        <w:right w:val="none" w:sz="0" w:space="0" w:color="auto"/>
                      </w:divBdr>
                    </w:div>
                    <w:div w:id="294144433">
                      <w:marLeft w:val="0"/>
                      <w:marRight w:val="0"/>
                      <w:marTop w:val="0"/>
                      <w:marBottom w:val="0"/>
                      <w:divBdr>
                        <w:top w:val="none" w:sz="0" w:space="0" w:color="auto"/>
                        <w:left w:val="none" w:sz="0" w:space="0" w:color="auto"/>
                        <w:bottom w:val="none" w:sz="0" w:space="0" w:color="auto"/>
                        <w:right w:val="none" w:sz="0" w:space="0" w:color="auto"/>
                      </w:divBdr>
                      <w:divsChild>
                        <w:div w:id="294147215">
                          <w:marLeft w:val="0"/>
                          <w:marRight w:val="0"/>
                          <w:marTop w:val="0"/>
                          <w:marBottom w:val="0"/>
                          <w:divBdr>
                            <w:top w:val="none" w:sz="0" w:space="0" w:color="auto"/>
                            <w:left w:val="none" w:sz="0" w:space="0" w:color="auto"/>
                            <w:bottom w:val="none" w:sz="0" w:space="0" w:color="auto"/>
                            <w:right w:val="none" w:sz="0" w:space="0" w:color="auto"/>
                          </w:divBdr>
                        </w:div>
                      </w:divsChild>
                    </w:div>
                    <w:div w:id="294144511">
                      <w:marLeft w:val="0"/>
                      <w:marRight w:val="0"/>
                      <w:marTop w:val="0"/>
                      <w:marBottom w:val="0"/>
                      <w:divBdr>
                        <w:top w:val="none" w:sz="0" w:space="0" w:color="auto"/>
                        <w:left w:val="none" w:sz="0" w:space="0" w:color="auto"/>
                        <w:bottom w:val="none" w:sz="0" w:space="0" w:color="auto"/>
                        <w:right w:val="none" w:sz="0" w:space="0" w:color="auto"/>
                      </w:divBdr>
                    </w:div>
                    <w:div w:id="294144554">
                      <w:marLeft w:val="0"/>
                      <w:marRight w:val="0"/>
                      <w:marTop w:val="0"/>
                      <w:marBottom w:val="0"/>
                      <w:divBdr>
                        <w:top w:val="none" w:sz="0" w:space="0" w:color="auto"/>
                        <w:left w:val="none" w:sz="0" w:space="0" w:color="auto"/>
                        <w:bottom w:val="none" w:sz="0" w:space="0" w:color="auto"/>
                        <w:right w:val="none" w:sz="0" w:space="0" w:color="auto"/>
                      </w:divBdr>
                      <w:divsChild>
                        <w:div w:id="294149224">
                          <w:marLeft w:val="0"/>
                          <w:marRight w:val="0"/>
                          <w:marTop w:val="0"/>
                          <w:marBottom w:val="0"/>
                          <w:divBdr>
                            <w:top w:val="none" w:sz="0" w:space="0" w:color="auto"/>
                            <w:left w:val="none" w:sz="0" w:space="0" w:color="auto"/>
                            <w:bottom w:val="none" w:sz="0" w:space="0" w:color="auto"/>
                            <w:right w:val="none" w:sz="0" w:space="0" w:color="auto"/>
                          </w:divBdr>
                        </w:div>
                      </w:divsChild>
                    </w:div>
                    <w:div w:id="294144555">
                      <w:marLeft w:val="0"/>
                      <w:marRight w:val="0"/>
                      <w:marTop w:val="0"/>
                      <w:marBottom w:val="0"/>
                      <w:divBdr>
                        <w:top w:val="none" w:sz="0" w:space="0" w:color="auto"/>
                        <w:left w:val="none" w:sz="0" w:space="0" w:color="auto"/>
                        <w:bottom w:val="none" w:sz="0" w:space="0" w:color="auto"/>
                        <w:right w:val="none" w:sz="0" w:space="0" w:color="auto"/>
                      </w:divBdr>
                      <w:divsChild>
                        <w:div w:id="294143643">
                          <w:marLeft w:val="0"/>
                          <w:marRight w:val="0"/>
                          <w:marTop w:val="0"/>
                          <w:marBottom w:val="0"/>
                          <w:divBdr>
                            <w:top w:val="none" w:sz="0" w:space="0" w:color="auto"/>
                            <w:left w:val="none" w:sz="0" w:space="0" w:color="auto"/>
                            <w:bottom w:val="none" w:sz="0" w:space="0" w:color="auto"/>
                            <w:right w:val="none" w:sz="0" w:space="0" w:color="auto"/>
                          </w:divBdr>
                        </w:div>
                      </w:divsChild>
                    </w:div>
                    <w:div w:id="294144580">
                      <w:marLeft w:val="0"/>
                      <w:marRight w:val="0"/>
                      <w:marTop w:val="0"/>
                      <w:marBottom w:val="0"/>
                      <w:divBdr>
                        <w:top w:val="none" w:sz="0" w:space="0" w:color="auto"/>
                        <w:left w:val="none" w:sz="0" w:space="0" w:color="auto"/>
                        <w:bottom w:val="none" w:sz="0" w:space="0" w:color="auto"/>
                        <w:right w:val="none" w:sz="0" w:space="0" w:color="auto"/>
                      </w:divBdr>
                    </w:div>
                    <w:div w:id="294144592">
                      <w:marLeft w:val="0"/>
                      <w:marRight w:val="0"/>
                      <w:marTop w:val="0"/>
                      <w:marBottom w:val="0"/>
                      <w:divBdr>
                        <w:top w:val="none" w:sz="0" w:space="0" w:color="auto"/>
                        <w:left w:val="none" w:sz="0" w:space="0" w:color="auto"/>
                        <w:bottom w:val="none" w:sz="0" w:space="0" w:color="auto"/>
                        <w:right w:val="none" w:sz="0" w:space="0" w:color="auto"/>
                      </w:divBdr>
                      <w:divsChild>
                        <w:div w:id="294154454">
                          <w:marLeft w:val="0"/>
                          <w:marRight w:val="0"/>
                          <w:marTop w:val="0"/>
                          <w:marBottom w:val="0"/>
                          <w:divBdr>
                            <w:top w:val="none" w:sz="0" w:space="0" w:color="auto"/>
                            <w:left w:val="none" w:sz="0" w:space="0" w:color="auto"/>
                            <w:bottom w:val="none" w:sz="0" w:space="0" w:color="auto"/>
                            <w:right w:val="none" w:sz="0" w:space="0" w:color="auto"/>
                          </w:divBdr>
                        </w:div>
                      </w:divsChild>
                    </w:div>
                    <w:div w:id="294144609">
                      <w:marLeft w:val="0"/>
                      <w:marRight w:val="0"/>
                      <w:marTop w:val="0"/>
                      <w:marBottom w:val="0"/>
                      <w:divBdr>
                        <w:top w:val="none" w:sz="0" w:space="0" w:color="auto"/>
                        <w:left w:val="none" w:sz="0" w:space="0" w:color="auto"/>
                        <w:bottom w:val="none" w:sz="0" w:space="0" w:color="auto"/>
                        <w:right w:val="none" w:sz="0" w:space="0" w:color="auto"/>
                      </w:divBdr>
                    </w:div>
                    <w:div w:id="294144634">
                      <w:marLeft w:val="0"/>
                      <w:marRight w:val="0"/>
                      <w:marTop w:val="0"/>
                      <w:marBottom w:val="0"/>
                      <w:divBdr>
                        <w:top w:val="none" w:sz="0" w:space="0" w:color="auto"/>
                        <w:left w:val="none" w:sz="0" w:space="0" w:color="auto"/>
                        <w:bottom w:val="none" w:sz="0" w:space="0" w:color="auto"/>
                        <w:right w:val="none" w:sz="0" w:space="0" w:color="auto"/>
                      </w:divBdr>
                      <w:divsChild>
                        <w:div w:id="294149602">
                          <w:marLeft w:val="0"/>
                          <w:marRight w:val="0"/>
                          <w:marTop w:val="0"/>
                          <w:marBottom w:val="0"/>
                          <w:divBdr>
                            <w:top w:val="none" w:sz="0" w:space="0" w:color="auto"/>
                            <w:left w:val="none" w:sz="0" w:space="0" w:color="auto"/>
                            <w:bottom w:val="none" w:sz="0" w:space="0" w:color="auto"/>
                            <w:right w:val="none" w:sz="0" w:space="0" w:color="auto"/>
                          </w:divBdr>
                        </w:div>
                      </w:divsChild>
                    </w:div>
                    <w:div w:id="294144637">
                      <w:marLeft w:val="0"/>
                      <w:marRight w:val="0"/>
                      <w:marTop w:val="0"/>
                      <w:marBottom w:val="0"/>
                      <w:divBdr>
                        <w:top w:val="none" w:sz="0" w:space="0" w:color="auto"/>
                        <w:left w:val="none" w:sz="0" w:space="0" w:color="auto"/>
                        <w:bottom w:val="none" w:sz="0" w:space="0" w:color="auto"/>
                        <w:right w:val="none" w:sz="0" w:space="0" w:color="auto"/>
                      </w:divBdr>
                    </w:div>
                    <w:div w:id="294144713">
                      <w:marLeft w:val="0"/>
                      <w:marRight w:val="0"/>
                      <w:marTop w:val="0"/>
                      <w:marBottom w:val="0"/>
                      <w:divBdr>
                        <w:top w:val="none" w:sz="0" w:space="0" w:color="auto"/>
                        <w:left w:val="none" w:sz="0" w:space="0" w:color="auto"/>
                        <w:bottom w:val="none" w:sz="0" w:space="0" w:color="auto"/>
                        <w:right w:val="none" w:sz="0" w:space="0" w:color="auto"/>
                      </w:divBdr>
                    </w:div>
                    <w:div w:id="294144808">
                      <w:marLeft w:val="0"/>
                      <w:marRight w:val="0"/>
                      <w:marTop w:val="0"/>
                      <w:marBottom w:val="0"/>
                      <w:divBdr>
                        <w:top w:val="none" w:sz="0" w:space="0" w:color="auto"/>
                        <w:left w:val="none" w:sz="0" w:space="0" w:color="auto"/>
                        <w:bottom w:val="none" w:sz="0" w:space="0" w:color="auto"/>
                        <w:right w:val="none" w:sz="0" w:space="0" w:color="auto"/>
                      </w:divBdr>
                      <w:divsChild>
                        <w:div w:id="294153167">
                          <w:marLeft w:val="0"/>
                          <w:marRight w:val="0"/>
                          <w:marTop w:val="0"/>
                          <w:marBottom w:val="0"/>
                          <w:divBdr>
                            <w:top w:val="none" w:sz="0" w:space="0" w:color="auto"/>
                            <w:left w:val="none" w:sz="0" w:space="0" w:color="auto"/>
                            <w:bottom w:val="none" w:sz="0" w:space="0" w:color="auto"/>
                            <w:right w:val="none" w:sz="0" w:space="0" w:color="auto"/>
                          </w:divBdr>
                        </w:div>
                      </w:divsChild>
                    </w:div>
                    <w:div w:id="294144914">
                      <w:marLeft w:val="0"/>
                      <w:marRight w:val="0"/>
                      <w:marTop w:val="0"/>
                      <w:marBottom w:val="0"/>
                      <w:divBdr>
                        <w:top w:val="none" w:sz="0" w:space="0" w:color="auto"/>
                        <w:left w:val="none" w:sz="0" w:space="0" w:color="auto"/>
                        <w:bottom w:val="none" w:sz="0" w:space="0" w:color="auto"/>
                        <w:right w:val="none" w:sz="0" w:space="0" w:color="auto"/>
                      </w:divBdr>
                      <w:divsChild>
                        <w:div w:id="294142781">
                          <w:marLeft w:val="0"/>
                          <w:marRight w:val="0"/>
                          <w:marTop w:val="0"/>
                          <w:marBottom w:val="0"/>
                          <w:divBdr>
                            <w:top w:val="none" w:sz="0" w:space="0" w:color="auto"/>
                            <w:left w:val="none" w:sz="0" w:space="0" w:color="auto"/>
                            <w:bottom w:val="none" w:sz="0" w:space="0" w:color="auto"/>
                            <w:right w:val="none" w:sz="0" w:space="0" w:color="auto"/>
                          </w:divBdr>
                        </w:div>
                      </w:divsChild>
                    </w:div>
                    <w:div w:id="294144958">
                      <w:marLeft w:val="0"/>
                      <w:marRight w:val="0"/>
                      <w:marTop w:val="0"/>
                      <w:marBottom w:val="0"/>
                      <w:divBdr>
                        <w:top w:val="none" w:sz="0" w:space="0" w:color="auto"/>
                        <w:left w:val="none" w:sz="0" w:space="0" w:color="auto"/>
                        <w:bottom w:val="none" w:sz="0" w:space="0" w:color="auto"/>
                        <w:right w:val="none" w:sz="0" w:space="0" w:color="auto"/>
                      </w:divBdr>
                      <w:divsChild>
                        <w:div w:id="294145295">
                          <w:marLeft w:val="0"/>
                          <w:marRight w:val="0"/>
                          <w:marTop w:val="0"/>
                          <w:marBottom w:val="0"/>
                          <w:divBdr>
                            <w:top w:val="none" w:sz="0" w:space="0" w:color="auto"/>
                            <w:left w:val="none" w:sz="0" w:space="0" w:color="auto"/>
                            <w:bottom w:val="none" w:sz="0" w:space="0" w:color="auto"/>
                            <w:right w:val="none" w:sz="0" w:space="0" w:color="auto"/>
                          </w:divBdr>
                        </w:div>
                      </w:divsChild>
                    </w:div>
                    <w:div w:id="294144960">
                      <w:marLeft w:val="0"/>
                      <w:marRight w:val="0"/>
                      <w:marTop w:val="0"/>
                      <w:marBottom w:val="0"/>
                      <w:divBdr>
                        <w:top w:val="none" w:sz="0" w:space="0" w:color="auto"/>
                        <w:left w:val="none" w:sz="0" w:space="0" w:color="auto"/>
                        <w:bottom w:val="none" w:sz="0" w:space="0" w:color="auto"/>
                        <w:right w:val="none" w:sz="0" w:space="0" w:color="auto"/>
                      </w:divBdr>
                    </w:div>
                    <w:div w:id="294145008">
                      <w:marLeft w:val="0"/>
                      <w:marRight w:val="0"/>
                      <w:marTop w:val="0"/>
                      <w:marBottom w:val="0"/>
                      <w:divBdr>
                        <w:top w:val="none" w:sz="0" w:space="0" w:color="auto"/>
                        <w:left w:val="none" w:sz="0" w:space="0" w:color="auto"/>
                        <w:bottom w:val="none" w:sz="0" w:space="0" w:color="auto"/>
                        <w:right w:val="none" w:sz="0" w:space="0" w:color="auto"/>
                      </w:divBdr>
                      <w:divsChild>
                        <w:div w:id="294147376">
                          <w:marLeft w:val="0"/>
                          <w:marRight w:val="0"/>
                          <w:marTop w:val="0"/>
                          <w:marBottom w:val="0"/>
                          <w:divBdr>
                            <w:top w:val="none" w:sz="0" w:space="0" w:color="auto"/>
                            <w:left w:val="none" w:sz="0" w:space="0" w:color="auto"/>
                            <w:bottom w:val="none" w:sz="0" w:space="0" w:color="auto"/>
                            <w:right w:val="none" w:sz="0" w:space="0" w:color="auto"/>
                          </w:divBdr>
                        </w:div>
                      </w:divsChild>
                    </w:div>
                    <w:div w:id="294145025">
                      <w:marLeft w:val="0"/>
                      <w:marRight w:val="0"/>
                      <w:marTop w:val="0"/>
                      <w:marBottom w:val="0"/>
                      <w:divBdr>
                        <w:top w:val="none" w:sz="0" w:space="0" w:color="auto"/>
                        <w:left w:val="none" w:sz="0" w:space="0" w:color="auto"/>
                        <w:bottom w:val="none" w:sz="0" w:space="0" w:color="auto"/>
                        <w:right w:val="none" w:sz="0" w:space="0" w:color="auto"/>
                      </w:divBdr>
                    </w:div>
                    <w:div w:id="294145045">
                      <w:marLeft w:val="0"/>
                      <w:marRight w:val="0"/>
                      <w:marTop w:val="0"/>
                      <w:marBottom w:val="0"/>
                      <w:divBdr>
                        <w:top w:val="none" w:sz="0" w:space="0" w:color="auto"/>
                        <w:left w:val="none" w:sz="0" w:space="0" w:color="auto"/>
                        <w:bottom w:val="none" w:sz="0" w:space="0" w:color="auto"/>
                        <w:right w:val="none" w:sz="0" w:space="0" w:color="auto"/>
                      </w:divBdr>
                      <w:divsChild>
                        <w:div w:id="294156212">
                          <w:marLeft w:val="0"/>
                          <w:marRight w:val="0"/>
                          <w:marTop w:val="0"/>
                          <w:marBottom w:val="0"/>
                          <w:divBdr>
                            <w:top w:val="none" w:sz="0" w:space="0" w:color="auto"/>
                            <w:left w:val="none" w:sz="0" w:space="0" w:color="auto"/>
                            <w:bottom w:val="none" w:sz="0" w:space="0" w:color="auto"/>
                            <w:right w:val="none" w:sz="0" w:space="0" w:color="auto"/>
                          </w:divBdr>
                        </w:div>
                      </w:divsChild>
                    </w:div>
                    <w:div w:id="294145096">
                      <w:marLeft w:val="0"/>
                      <w:marRight w:val="0"/>
                      <w:marTop w:val="0"/>
                      <w:marBottom w:val="0"/>
                      <w:divBdr>
                        <w:top w:val="none" w:sz="0" w:space="0" w:color="auto"/>
                        <w:left w:val="none" w:sz="0" w:space="0" w:color="auto"/>
                        <w:bottom w:val="none" w:sz="0" w:space="0" w:color="auto"/>
                        <w:right w:val="none" w:sz="0" w:space="0" w:color="auto"/>
                      </w:divBdr>
                      <w:divsChild>
                        <w:div w:id="294149009">
                          <w:marLeft w:val="0"/>
                          <w:marRight w:val="0"/>
                          <w:marTop w:val="0"/>
                          <w:marBottom w:val="0"/>
                          <w:divBdr>
                            <w:top w:val="none" w:sz="0" w:space="0" w:color="auto"/>
                            <w:left w:val="none" w:sz="0" w:space="0" w:color="auto"/>
                            <w:bottom w:val="none" w:sz="0" w:space="0" w:color="auto"/>
                            <w:right w:val="none" w:sz="0" w:space="0" w:color="auto"/>
                          </w:divBdr>
                        </w:div>
                      </w:divsChild>
                    </w:div>
                    <w:div w:id="294145140">
                      <w:marLeft w:val="0"/>
                      <w:marRight w:val="0"/>
                      <w:marTop w:val="0"/>
                      <w:marBottom w:val="0"/>
                      <w:divBdr>
                        <w:top w:val="none" w:sz="0" w:space="0" w:color="auto"/>
                        <w:left w:val="none" w:sz="0" w:space="0" w:color="auto"/>
                        <w:bottom w:val="none" w:sz="0" w:space="0" w:color="auto"/>
                        <w:right w:val="none" w:sz="0" w:space="0" w:color="auto"/>
                      </w:divBdr>
                      <w:divsChild>
                        <w:div w:id="294148002">
                          <w:marLeft w:val="0"/>
                          <w:marRight w:val="0"/>
                          <w:marTop w:val="0"/>
                          <w:marBottom w:val="0"/>
                          <w:divBdr>
                            <w:top w:val="none" w:sz="0" w:space="0" w:color="auto"/>
                            <w:left w:val="none" w:sz="0" w:space="0" w:color="auto"/>
                            <w:bottom w:val="none" w:sz="0" w:space="0" w:color="auto"/>
                            <w:right w:val="none" w:sz="0" w:space="0" w:color="auto"/>
                          </w:divBdr>
                        </w:div>
                      </w:divsChild>
                    </w:div>
                    <w:div w:id="294145284">
                      <w:marLeft w:val="0"/>
                      <w:marRight w:val="0"/>
                      <w:marTop w:val="0"/>
                      <w:marBottom w:val="0"/>
                      <w:divBdr>
                        <w:top w:val="none" w:sz="0" w:space="0" w:color="auto"/>
                        <w:left w:val="none" w:sz="0" w:space="0" w:color="auto"/>
                        <w:bottom w:val="none" w:sz="0" w:space="0" w:color="auto"/>
                        <w:right w:val="none" w:sz="0" w:space="0" w:color="auto"/>
                      </w:divBdr>
                    </w:div>
                    <w:div w:id="294145496">
                      <w:marLeft w:val="0"/>
                      <w:marRight w:val="0"/>
                      <w:marTop w:val="0"/>
                      <w:marBottom w:val="0"/>
                      <w:divBdr>
                        <w:top w:val="none" w:sz="0" w:space="0" w:color="auto"/>
                        <w:left w:val="none" w:sz="0" w:space="0" w:color="auto"/>
                        <w:bottom w:val="none" w:sz="0" w:space="0" w:color="auto"/>
                        <w:right w:val="none" w:sz="0" w:space="0" w:color="auto"/>
                      </w:divBdr>
                      <w:divsChild>
                        <w:div w:id="294146562">
                          <w:marLeft w:val="0"/>
                          <w:marRight w:val="0"/>
                          <w:marTop w:val="0"/>
                          <w:marBottom w:val="0"/>
                          <w:divBdr>
                            <w:top w:val="none" w:sz="0" w:space="0" w:color="auto"/>
                            <w:left w:val="none" w:sz="0" w:space="0" w:color="auto"/>
                            <w:bottom w:val="none" w:sz="0" w:space="0" w:color="auto"/>
                            <w:right w:val="none" w:sz="0" w:space="0" w:color="auto"/>
                          </w:divBdr>
                        </w:div>
                      </w:divsChild>
                    </w:div>
                    <w:div w:id="294145593">
                      <w:marLeft w:val="0"/>
                      <w:marRight w:val="0"/>
                      <w:marTop w:val="0"/>
                      <w:marBottom w:val="0"/>
                      <w:divBdr>
                        <w:top w:val="none" w:sz="0" w:space="0" w:color="auto"/>
                        <w:left w:val="none" w:sz="0" w:space="0" w:color="auto"/>
                        <w:bottom w:val="none" w:sz="0" w:space="0" w:color="auto"/>
                        <w:right w:val="none" w:sz="0" w:space="0" w:color="auto"/>
                      </w:divBdr>
                    </w:div>
                    <w:div w:id="294145658">
                      <w:marLeft w:val="0"/>
                      <w:marRight w:val="0"/>
                      <w:marTop w:val="0"/>
                      <w:marBottom w:val="0"/>
                      <w:divBdr>
                        <w:top w:val="none" w:sz="0" w:space="0" w:color="auto"/>
                        <w:left w:val="none" w:sz="0" w:space="0" w:color="auto"/>
                        <w:bottom w:val="none" w:sz="0" w:space="0" w:color="auto"/>
                        <w:right w:val="none" w:sz="0" w:space="0" w:color="auto"/>
                      </w:divBdr>
                    </w:div>
                    <w:div w:id="294145678">
                      <w:marLeft w:val="0"/>
                      <w:marRight w:val="0"/>
                      <w:marTop w:val="0"/>
                      <w:marBottom w:val="0"/>
                      <w:divBdr>
                        <w:top w:val="none" w:sz="0" w:space="0" w:color="auto"/>
                        <w:left w:val="none" w:sz="0" w:space="0" w:color="auto"/>
                        <w:bottom w:val="none" w:sz="0" w:space="0" w:color="auto"/>
                        <w:right w:val="none" w:sz="0" w:space="0" w:color="auto"/>
                      </w:divBdr>
                    </w:div>
                    <w:div w:id="294145725">
                      <w:marLeft w:val="0"/>
                      <w:marRight w:val="0"/>
                      <w:marTop w:val="0"/>
                      <w:marBottom w:val="0"/>
                      <w:divBdr>
                        <w:top w:val="none" w:sz="0" w:space="0" w:color="auto"/>
                        <w:left w:val="none" w:sz="0" w:space="0" w:color="auto"/>
                        <w:bottom w:val="none" w:sz="0" w:space="0" w:color="auto"/>
                        <w:right w:val="none" w:sz="0" w:space="0" w:color="auto"/>
                      </w:divBdr>
                    </w:div>
                    <w:div w:id="294146033">
                      <w:marLeft w:val="0"/>
                      <w:marRight w:val="0"/>
                      <w:marTop w:val="0"/>
                      <w:marBottom w:val="0"/>
                      <w:divBdr>
                        <w:top w:val="none" w:sz="0" w:space="0" w:color="auto"/>
                        <w:left w:val="none" w:sz="0" w:space="0" w:color="auto"/>
                        <w:bottom w:val="none" w:sz="0" w:space="0" w:color="auto"/>
                        <w:right w:val="none" w:sz="0" w:space="0" w:color="auto"/>
                      </w:divBdr>
                      <w:divsChild>
                        <w:div w:id="294147216">
                          <w:marLeft w:val="0"/>
                          <w:marRight w:val="0"/>
                          <w:marTop w:val="0"/>
                          <w:marBottom w:val="0"/>
                          <w:divBdr>
                            <w:top w:val="none" w:sz="0" w:space="0" w:color="auto"/>
                            <w:left w:val="none" w:sz="0" w:space="0" w:color="auto"/>
                            <w:bottom w:val="none" w:sz="0" w:space="0" w:color="auto"/>
                            <w:right w:val="none" w:sz="0" w:space="0" w:color="auto"/>
                          </w:divBdr>
                        </w:div>
                      </w:divsChild>
                    </w:div>
                    <w:div w:id="294146174">
                      <w:marLeft w:val="0"/>
                      <w:marRight w:val="0"/>
                      <w:marTop w:val="0"/>
                      <w:marBottom w:val="0"/>
                      <w:divBdr>
                        <w:top w:val="none" w:sz="0" w:space="0" w:color="auto"/>
                        <w:left w:val="none" w:sz="0" w:space="0" w:color="auto"/>
                        <w:bottom w:val="none" w:sz="0" w:space="0" w:color="auto"/>
                        <w:right w:val="none" w:sz="0" w:space="0" w:color="auto"/>
                      </w:divBdr>
                      <w:divsChild>
                        <w:div w:id="294156000">
                          <w:marLeft w:val="0"/>
                          <w:marRight w:val="0"/>
                          <w:marTop w:val="0"/>
                          <w:marBottom w:val="0"/>
                          <w:divBdr>
                            <w:top w:val="none" w:sz="0" w:space="0" w:color="auto"/>
                            <w:left w:val="none" w:sz="0" w:space="0" w:color="auto"/>
                            <w:bottom w:val="none" w:sz="0" w:space="0" w:color="auto"/>
                            <w:right w:val="none" w:sz="0" w:space="0" w:color="auto"/>
                          </w:divBdr>
                        </w:div>
                      </w:divsChild>
                    </w:div>
                    <w:div w:id="294146246">
                      <w:marLeft w:val="0"/>
                      <w:marRight w:val="0"/>
                      <w:marTop w:val="0"/>
                      <w:marBottom w:val="0"/>
                      <w:divBdr>
                        <w:top w:val="none" w:sz="0" w:space="0" w:color="auto"/>
                        <w:left w:val="none" w:sz="0" w:space="0" w:color="auto"/>
                        <w:bottom w:val="none" w:sz="0" w:space="0" w:color="auto"/>
                        <w:right w:val="none" w:sz="0" w:space="0" w:color="auto"/>
                      </w:divBdr>
                    </w:div>
                    <w:div w:id="294146325">
                      <w:marLeft w:val="0"/>
                      <w:marRight w:val="0"/>
                      <w:marTop w:val="0"/>
                      <w:marBottom w:val="0"/>
                      <w:divBdr>
                        <w:top w:val="none" w:sz="0" w:space="0" w:color="auto"/>
                        <w:left w:val="none" w:sz="0" w:space="0" w:color="auto"/>
                        <w:bottom w:val="none" w:sz="0" w:space="0" w:color="auto"/>
                        <w:right w:val="none" w:sz="0" w:space="0" w:color="auto"/>
                      </w:divBdr>
                      <w:divsChild>
                        <w:div w:id="294150680">
                          <w:marLeft w:val="0"/>
                          <w:marRight w:val="0"/>
                          <w:marTop w:val="0"/>
                          <w:marBottom w:val="0"/>
                          <w:divBdr>
                            <w:top w:val="none" w:sz="0" w:space="0" w:color="auto"/>
                            <w:left w:val="none" w:sz="0" w:space="0" w:color="auto"/>
                            <w:bottom w:val="none" w:sz="0" w:space="0" w:color="auto"/>
                            <w:right w:val="none" w:sz="0" w:space="0" w:color="auto"/>
                          </w:divBdr>
                        </w:div>
                      </w:divsChild>
                    </w:div>
                    <w:div w:id="294146457">
                      <w:marLeft w:val="0"/>
                      <w:marRight w:val="0"/>
                      <w:marTop w:val="0"/>
                      <w:marBottom w:val="0"/>
                      <w:divBdr>
                        <w:top w:val="none" w:sz="0" w:space="0" w:color="auto"/>
                        <w:left w:val="none" w:sz="0" w:space="0" w:color="auto"/>
                        <w:bottom w:val="none" w:sz="0" w:space="0" w:color="auto"/>
                        <w:right w:val="none" w:sz="0" w:space="0" w:color="auto"/>
                      </w:divBdr>
                      <w:divsChild>
                        <w:div w:id="294155118">
                          <w:marLeft w:val="0"/>
                          <w:marRight w:val="0"/>
                          <w:marTop w:val="0"/>
                          <w:marBottom w:val="0"/>
                          <w:divBdr>
                            <w:top w:val="none" w:sz="0" w:space="0" w:color="auto"/>
                            <w:left w:val="none" w:sz="0" w:space="0" w:color="auto"/>
                            <w:bottom w:val="none" w:sz="0" w:space="0" w:color="auto"/>
                            <w:right w:val="none" w:sz="0" w:space="0" w:color="auto"/>
                          </w:divBdr>
                        </w:div>
                      </w:divsChild>
                    </w:div>
                    <w:div w:id="294146485">
                      <w:marLeft w:val="0"/>
                      <w:marRight w:val="0"/>
                      <w:marTop w:val="0"/>
                      <w:marBottom w:val="0"/>
                      <w:divBdr>
                        <w:top w:val="none" w:sz="0" w:space="0" w:color="auto"/>
                        <w:left w:val="none" w:sz="0" w:space="0" w:color="auto"/>
                        <w:bottom w:val="none" w:sz="0" w:space="0" w:color="auto"/>
                        <w:right w:val="none" w:sz="0" w:space="0" w:color="auto"/>
                      </w:divBdr>
                    </w:div>
                    <w:div w:id="294146504">
                      <w:marLeft w:val="0"/>
                      <w:marRight w:val="0"/>
                      <w:marTop w:val="0"/>
                      <w:marBottom w:val="0"/>
                      <w:divBdr>
                        <w:top w:val="none" w:sz="0" w:space="0" w:color="auto"/>
                        <w:left w:val="none" w:sz="0" w:space="0" w:color="auto"/>
                        <w:bottom w:val="none" w:sz="0" w:space="0" w:color="auto"/>
                        <w:right w:val="none" w:sz="0" w:space="0" w:color="auto"/>
                      </w:divBdr>
                      <w:divsChild>
                        <w:div w:id="294155522">
                          <w:marLeft w:val="0"/>
                          <w:marRight w:val="0"/>
                          <w:marTop w:val="0"/>
                          <w:marBottom w:val="0"/>
                          <w:divBdr>
                            <w:top w:val="none" w:sz="0" w:space="0" w:color="auto"/>
                            <w:left w:val="none" w:sz="0" w:space="0" w:color="auto"/>
                            <w:bottom w:val="none" w:sz="0" w:space="0" w:color="auto"/>
                            <w:right w:val="none" w:sz="0" w:space="0" w:color="auto"/>
                          </w:divBdr>
                        </w:div>
                      </w:divsChild>
                    </w:div>
                    <w:div w:id="294146527">
                      <w:marLeft w:val="0"/>
                      <w:marRight w:val="0"/>
                      <w:marTop w:val="0"/>
                      <w:marBottom w:val="0"/>
                      <w:divBdr>
                        <w:top w:val="none" w:sz="0" w:space="0" w:color="auto"/>
                        <w:left w:val="none" w:sz="0" w:space="0" w:color="auto"/>
                        <w:bottom w:val="none" w:sz="0" w:space="0" w:color="auto"/>
                        <w:right w:val="none" w:sz="0" w:space="0" w:color="auto"/>
                      </w:divBdr>
                    </w:div>
                    <w:div w:id="294146686">
                      <w:marLeft w:val="0"/>
                      <w:marRight w:val="0"/>
                      <w:marTop w:val="0"/>
                      <w:marBottom w:val="0"/>
                      <w:divBdr>
                        <w:top w:val="none" w:sz="0" w:space="0" w:color="auto"/>
                        <w:left w:val="none" w:sz="0" w:space="0" w:color="auto"/>
                        <w:bottom w:val="none" w:sz="0" w:space="0" w:color="auto"/>
                        <w:right w:val="none" w:sz="0" w:space="0" w:color="auto"/>
                      </w:divBdr>
                      <w:divsChild>
                        <w:div w:id="294142840">
                          <w:marLeft w:val="0"/>
                          <w:marRight w:val="0"/>
                          <w:marTop w:val="0"/>
                          <w:marBottom w:val="0"/>
                          <w:divBdr>
                            <w:top w:val="none" w:sz="0" w:space="0" w:color="auto"/>
                            <w:left w:val="none" w:sz="0" w:space="0" w:color="auto"/>
                            <w:bottom w:val="none" w:sz="0" w:space="0" w:color="auto"/>
                            <w:right w:val="none" w:sz="0" w:space="0" w:color="auto"/>
                          </w:divBdr>
                        </w:div>
                      </w:divsChild>
                    </w:div>
                    <w:div w:id="294146818">
                      <w:marLeft w:val="0"/>
                      <w:marRight w:val="0"/>
                      <w:marTop w:val="0"/>
                      <w:marBottom w:val="0"/>
                      <w:divBdr>
                        <w:top w:val="none" w:sz="0" w:space="0" w:color="auto"/>
                        <w:left w:val="none" w:sz="0" w:space="0" w:color="auto"/>
                        <w:bottom w:val="none" w:sz="0" w:space="0" w:color="auto"/>
                        <w:right w:val="none" w:sz="0" w:space="0" w:color="auto"/>
                      </w:divBdr>
                      <w:divsChild>
                        <w:div w:id="294142345">
                          <w:marLeft w:val="0"/>
                          <w:marRight w:val="0"/>
                          <w:marTop w:val="0"/>
                          <w:marBottom w:val="0"/>
                          <w:divBdr>
                            <w:top w:val="none" w:sz="0" w:space="0" w:color="auto"/>
                            <w:left w:val="none" w:sz="0" w:space="0" w:color="auto"/>
                            <w:bottom w:val="none" w:sz="0" w:space="0" w:color="auto"/>
                            <w:right w:val="none" w:sz="0" w:space="0" w:color="auto"/>
                          </w:divBdr>
                        </w:div>
                      </w:divsChild>
                    </w:div>
                    <w:div w:id="294146997">
                      <w:marLeft w:val="0"/>
                      <w:marRight w:val="0"/>
                      <w:marTop w:val="0"/>
                      <w:marBottom w:val="0"/>
                      <w:divBdr>
                        <w:top w:val="none" w:sz="0" w:space="0" w:color="auto"/>
                        <w:left w:val="none" w:sz="0" w:space="0" w:color="auto"/>
                        <w:bottom w:val="none" w:sz="0" w:space="0" w:color="auto"/>
                        <w:right w:val="none" w:sz="0" w:space="0" w:color="auto"/>
                      </w:divBdr>
                      <w:divsChild>
                        <w:div w:id="294144045">
                          <w:marLeft w:val="0"/>
                          <w:marRight w:val="0"/>
                          <w:marTop w:val="0"/>
                          <w:marBottom w:val="0"/>
                          <w:divBdr>
                            <w:top w:val="none" w:sz="0" w:space="0" w:color="auto"/>
                            <w:left w:val="none" w:sz="0" w:space="0" w:color="auto"/>
                            <w:bottom w:val="none" w:sz="0" w:space="0" w:color="auto"/>
                            <w:right w:val="none" w:sz="0" w:space="0" w:color="auto"/>
                          </w:divBdr>
                        </w:div>
                      </w:divsChild>
                    </w:div>
                    <w:div w:id="294147028">
                      <w:marLeft w:val="0"/>
                      <w:marRight w:val="0"/>
                      <w:marTop w:val="0"/>
                      <w:marBottom w:val="0"/>
                      <w:divBdr>
                        <w:top w:val="none" w:sz="0" w:space="0" w:color="auto"/>
                        <w:left w:val="none" w:sz="0" w:space="0" w:color="auto"/>
                        <w:bottom w:val="none" w:sz="0" w:space="0" w:color="auto"/>
                        <w:right w:val="none" w:sz="0" w:space="0" w:color="auto"/>
                      </w:divBdr>
                    </w:div>
                    <w:div w:id="294147197">
                      <w:marLeft w:val="0"/>
                      <w:marRight w:val="0"/>
                      <w:marTop w:val="0"/>
                      <w:marBottom w:val="0"/>
                      <w:divBdr>
                        <w:top w:val="none" w:sz="0" w:space="0" w:color="auto"/>
                        <w:left w:val="none" w:sz="0" w:space="0" w:color="auto"/>
                        <w:bottom w:val="none" w:sz="0" w:space="0" w:color="auto"/>
                        <w:right w:val="none" w:sz="0" w:space="0" w:color="auto"/>
                      </w:divBdr>
                      <w:divsChild>
                        <w:div w:id="294142113">
                          <w:marLeft w:val="0"/>
                          <w:marRight w:val="0"/>
                          <w:marTop w:val="0"/>
                          <w:marBottom w:val="0"/>
                          <w:divBdr>
                            <w:top w:val="none" w:sz="0" w:space="0" w:color="auto"/>
                            <w:left w:val="none" w:sz="0" w:space="0" w:color="auto"/>
                            <w:bottom w:val="none" w:sz="0" w:space="0" w:color="auto"/>
                            <w:right w:val="none" w:sz="0" w:space="0" w:color="auto"/>
                          </w:divBdr>
                        </w:div>
                      </w:divsChild>
                    </w:div>
                    <w:div w:id="294147344">
                      <w:marLeft w:val="0"/>
                      <w:marRight w:val="0"/>
                      <w:marTop w:val="0"/>
                      <w:marBottom w:val="0"/>
                      <w:divBdr>
                        <w:top w:val="none" w:sz="0" w:space="0" w:color="auto"/>
                        <w:left w:val="none" w:sz="0" w:space="0" w:color="auto"/>
                        <w:bottom w:val="none" w:sz="0" w:space="0" w:color="auto"/>
                        <w:right w:val="none" w:sz="0" w:space="0" w:color="auto"/>
                      </w:divBdr>
                      <w:divsChild>
                        <w:div w:id="294144582">
                          <w:marLeft w:val="0"/>
                          <w:marRight w:val="0"/>
                          <w:marTop w:val="0"/>
                          <w:marBottom w:val="0"/>
                          <w:divBdr>
                            <w:top w:val="none" w:sz="0" w:space="0" w:color="auto"/>
                            <w:left w:val="none" w:sz="0" w:space="0" w:color="auto"/>
                            <w:bottom w:val="none" w:sz="0" w:space="0" w:color="auto"/>
                            <w:right w:val="none" w:sz="0" w:space="0" w:color="auto"/>
                          </w:divBdr>
                        </w:div>
                      </w:divsChild>
                    </w:div>
                    <w:div w:id="294147420">
                      <w:marLeft w:val="0"/>
                      <w:marRight w:val="0"/>
                      <w:marTop w:val="0"/>
                      <w:marBottom w:val="0"/>
                      <w:divBdr>
                        <w:top w:val="none" w:sz="0" w:space="0" w:color="auto"/>
                        <w:left w:val="none" w:sz="0" w:space="0" w:color="auto"/>
                        <w:bottom w:val="none" w:sz="0" w:space="0" w:color="auto"/>
                        <w:right w:val="none" w:sz="0" w:space="0" w:color="auto"/>
                      </w:divBdr>
                      <w:divsChild>
                        <w:div w:id="294154208">
                          <w:marLeft w:val="0"/>
                          <w:marRight w:val="0"/>
                          <w:marTop w:val="0"/>
                          <w:marBottom w:val="0"/>
                          <w:divBdr>
                            <w:top w:val="none" w:sz="0" w:space="0" w:color="auto"/>
                            <w:left w:val="none" w:sz="0" w:space="0" w:color="auto"/>
                            <w:bottom w:val="none" w:sz="0" w:space="0" w:color="auto"/>
                            <w:right w:val="none" w:sz="0" w:space="0" w:color="auto"/>
                          </w:divBdr>
                        </w:div>
                      </w:divsChild>
                    </w:div>
                    <w:div w:id="294147534">
                      <w:marLeft w:val="0"/>
                      <w:marRight w:val="0"/>
                      <w:marTop w:val="0"/>
                      <w:marBottom w:val="0"/>
                      <w:divBdr>
                        <w:top w:val="none" w:sz="0" w:space="0" w:color="auto"/>
                        <w:left w:val="none" w:sz="0" w:space="0" w:color="auto"/>
                        <w:bottom w:val="none" w:sz="0" w:space="0" w:color="auto"/>
                        <w:right w:val="none" w:sz="0" w:space="0" w:color="auto"/>
                      </w:divBdr>
                    </w:div>
                    <w:div w:id="294147569">
                      <w:marLeft w:val="0"/>
                      <w:marRight w:val="0"/>
                      <w:marTop w:val="0"/>
                      <w:marBottom w:val="0"/>
                      <w:divBdr>
                        <w:top w:val="none" w:sz="0" w:space="0" w:color="auto"/>
                        <w:left w:val="none" w:sz="0" w:space="0" w:color="auto"/>
                        <w:bottom w:val="none" w:sz="0" w:space="0" w:color="auto"/>
                        <w:right w:val="none" w:sz="0" w:space="0" w:color="auto"/>
                      </w:divBdr>
                    </w:div>
                    <w:div w:id="294147600">
                      <w:marLeft w:val="0"/>
                      <w:marRight w:val="0"/>
                      <w:marTop w:val="0"/>
                      <w:marBottom w:val="0"/>
                      <w:divBdr>
                        <w:top w:val="none" w:sz="0" w:space="0" w:color="auto"/>
                        <w:left w:val="none" w:sz="0" w:space="0" w:color="auto"/>
                        <w:bottom w:val="none" w:sz="0" w:space="0" w:color="auto"/>
                        <w:right w:val="none" w:sz="0" w:space="0" w:color="auto"/>
                      </w:divBdr>
                    </w:div>
                    <w:div w:id="294147714">
                      <w:marLeft w:val="0"/>
                      <w:marRight w:val="0"/>
                      <w:marTop w:val="0"/>
                      <w:marBottom w:val="0"/>
                      <w:divBdr>
                        <w:top w:val="none" w:sz="0" w:space="0" w:color="auto"/>
                        <w:left w:val="none" w:sz="0" w:space="0" w:color="auto"/>
                        <w:bottom w:val="none" w:sz="0" w:space="0" w:color="auto"/>
                        <w:right w:val="none" w:sz="0" w:space="0" w:color="auto"/>
                      </w:divBdr>
                    </w:div>
                    <w:div w:id="294147833">
                      <w:marLeft w:val="0"/>
                      <w:marRight w:val="0"/>
                      <w:marTop w:val="0"/>
                      <w:marBottom w:val="0"/>
                      <w:divBdr>
                        <w:top w:val="none" w:sz="0" w:space="0" w:color="auto"/>
                        <w:left w:val="none" w:sz="0" w:space="0" w:color="auto"/>
                        <w:bottom w:val="none" w:sz="0" w:space="0" w:color="auto"/>
                        <w:right w:val="none" w:sz="0" w:space="0" w:color="auto"/>
                      </w:divBdr>
                    </w:div>
                    <w:div w:id="294148049">
                      <w:marLeft w:val="0"/>
                      <w:marRight w:val="0"/>
                      <w:marTop w:val="0"/>
                      <w:marBottom w:val="0"/>
                      <w:divBdr>
                        <w:top w:val="none" w:sz="0" w:space="0" w:color="auto"/>
                        <w:left w:val="none" w:sz="0" w:space="0" w:color="auto"/>
                        <w:bottom w:val="none" w:sz="0" w:space="0" w:color="auto"/>
                        <w:right w:val="none" w:sz="0" w:space="0" w:color="auto"/>
                      </w:divBdr>
                      <w:divsChild>
                        <w:div w:id="294154319">
                          <w:marLeft w:val="0"/>
                          <w:marRight w:val="0"/>
                          <w:marTop w:val="0"/>
                          <w:marBottom w:val="0"/>
                          <w:divBdr>
                            <w:top w:val="none" w:sz="0" w:space="0" w:color="auto"/>
                            <w:left w:val="none" w:sz="0" w:space="0" w:color="auto"/>
                            <w:bottom w:val="none" w:sz="0" w:space="0" w:color="auto"/>
                            <w:right w:val="none" w:sz="0" w:space="0" w:color="auto"/>
                          </w:divBdr>
                        </w:div>
                      </w:divsChild>
                    </w:div>
                    <w:div w:id="294148245">
                      <w:marLeft w:val="0"/>
                      <w:marRight w:val="0"/>
                      <w:marTop w:val="0"/>
                      <w:marBottom w:val="0"/>
                      <w:divBdr>
                        <w:top w:val="none" w:sz="0" w:space="0" w:color="auto"/>
                        <w:left w:val="none" w:sz="0" w:space="0" w:color="auto"/>
                        <w:bottom w:val="none" w:sz="0" w:space="0" w:color="auto"/>
                        <w:right w:val="none" w:sz="0" w:space="0" w:color="auto"/>
                      </w:divBdr>
                    </w:div>
                    <w:div w:id="294148287">
                      <w:marLeft w:val="0"/>
                      <w:marRight w:val="0"/>
                      <w:marTop w:val="0"/>
                      <w:marBottom w:val="0"/>
                      <w:divBdr>
                        <w:top w:val="none" w:sz="0" w:space="0" w:color="auto"/>
                        <w:left w:val="none" w:sz="0" w:space="0" w:color="auto"/>
                        <w:bottom w:val="none" w:sz="0" w:space="0" w:color="auto"/>
                        <w:right w:val="none" w:sz="0" w:space="0" w:color="auto"/>
                      </w:divBdr>
                    </w:div>
                    <w:div w:id="294148310">
                      <w:marLeft w:val="0"/>
                      <w:marRight w:val="0"/>
                      <w:marTop w:val="0"/>
                      <w:marBottom w:val="0"/>
                      <w:divBdr>
                        <w:top w:val="none" w:sz="0" w:space="0" w:color="auto"/>
                        <w:left w:val="none" w:sz="0" w:space="0" w:color="auto"/>
                        <w:bottom w:val="none" w:sz="0" w:space="0" w:color="auto"/>
                        <w:right w:val="none" w:sz="0" w:space="0" w:color="auto"/>
                      </w:divBdr>
                    </w:div>
                    <w:div w:id="294148377">
                      <w:marLeft w:val="0"/>
                      <w:marRight w:val="0"/>
                      <w:marTop w:val="0"/>
                      <w:marBottom w:val="0"/>
                      <w:divBdr>
                        <w:top w:val="none" w:sz="0" w:space="0" w:color="auto"/>
                        <w:left w:val="none" w:sz="0" w:space="0" w:color="auto"/>
                        <w:bottom w:val="none" w:sz="0" w:space="0" w:color="auto"/>
                        <w:right w:val="none" w:sz="0" w:space="0" w:color="auto"/>
                      </w:divBdr>
                      <w:divsChild>
                        <w:div w:id="294150392">
                          <w:marLeft w:val="0"/>
                          <w:marRight w:val="0"/>
                          <w:marTop w:val="0"/>
                          <w:marBottom w:val="0"/>
                          <w:divBdr>
                            <w:top w:val="none" w:sz="0" w:space="0" w:color="auto"/>
                            <w:left w:val="none" w:sz="0" w:space="0" w:color="auto"/>
                            <w:bottom w:val="none" w:sz="0" w:space="0" w:color="auto"/>
                            <w:right w:val="none" w:sz="0" w:space="0" w:color="auto"/>
                          </w:divBdr>
                        </w:div>
                      </w:divsChild>
                    </w:div>
                    <w:div w:id="294148397">
                      <w:marLeft w:val="0"/>
                      <w:marRight w:val="0"/>
                      <w:marTop w:val="0"/>
                      <w:marBottom w:val="0"/>
                      <w:divBdr>
                        <w:top w:val="none" w:sz="0" w:space="0" w:color="auto"/>
                        <w:left w:val="none" w:sz="0" w:space="0" w:color="auto"/>
                        <w:bottom w:val="none" w:sz="0" w:space="0" w:color="auto"/>
                        <w:right w:val="none" w:sz="0" w:space="0" w:color="auto"/>
                      </w:divBdr>
                      <w:divsChild>
                        <w:div w:id="294147813">
                          <w:marLeft w:val="0"/>
                          <w:marRight w:val="0"/>
                          <w:marTop w:val="0"/>
                          <w:marBottom w:val="0"/>
                          <w:divBdr>
                            <w:top w:val="none" w:sz="0" w:space="0" w:color="auto"/>
                            <w:left w:val="none" w:sz="0" w:space="0" w:color="auto"/>
                            <w:bottom w:val="none" w:sz="0" w:space="0" w:color="auto"/>
                            <w:right w:val="none" w:sz="0" w:space="0" w:color="auto"/>
                          </w:divBdr>
                        </w:div>
                      </w:divsChild>
                    </w:div>
                    <w:div w:id="294148441">
                      <w:marLeft w:val="0"/>
                      <w:marRight w:val="0"/>
                      <w:marTop w:val="0"/>
                      <w:marBottom w:val="0"/>
                      <w:divBdr>
                        <w:top w:val="none" w:sz="0" w:space="0" w:color="auto"/>
                        <w:left w:val="none" w:sz="0" w:space="0" w:color="auto"/>
                        <w:bottom w:val="none" w:sz="0" w:space="0" w:color="auto"/>
                        <w:right w:val="none" w:sz="0" w:space="0" w:color="auto"/>
                      </w:divBdr>
                      <w:divsChild>
                        <w:div w:id="294150842">
                          <w:marLeft w:val="0"/>
                          <w:marRight w:val="0"/>
                          <w:marTop w:val="0"/>
                          <w:marBottom w:val="0"/>
                          <w:divBdr>
                            <w:top w:val="none" w:sz="0" w:space="0" w:color="auto"/>
                            <w:left w:val="none" w:sz="0" w:space="0" w:color="auto"/>
                            <w:bottom w:val="none" w:sz="0" w:space="0" w:color="auto"/>
                            <w:right w:val="none" w:sz="0" w:space="0" w:color="auto"/>
                          </w:divBdr>
                        </w:div>
                      </w:divsChild>
                    </w:div>
                    <w:div w:id="294148539">
                      <w:marLeft w:val="0"/>
                      <w:marRight w:val="0"/>
                      <w:marTop w:val="0"/>
                      <w:marBottom w:val="0"/>
                      <w:divBdr>
                        <w:top w:val="none" w:sz="0" w:space="0" w:color="auto"/>
                        <w:left w:val="none" w:sz="0" w:space="0" w:color="auto"/>
                        <w:bottom w:val="none" w:sz="0" w:space="0" w:color="auto"/>
                        <w:right w:val="none" w:sz="0" w:space="0" w:color="auto"/>
                      </w:divBdr>
                    </w:div>
                    <w:div w:id="294148544">
                      <w:marLeft w:val="0"/>
                      <w:marRight w:val="0"/>
                      <w:marTop w:val="0"/>
                      <w:marBottom w:val="0"/>
                      <w:divBdr>
                        <w:top w:val="none" w:sz="0" w:space="0" w:color="auto"/>
                        <w:left w:val="none" w:sz="0" w:space="0" w:color="auto"/>
                        <w:bottom w:val="none" w:sz="0" w:space="0" w:color="auto"/>
                        <w:right w:val="none" w:sz="0" w:space="0" w:color="auto"/>
                      </w:divBdr>
                    </w:div>
                    <w:div w:id="294148728">
                      <w:marLeft w:val="0"/>
                      <w:marRight w:val="0"/>
                      <w:marTop w:val="0"/>
                      <w:marBottom w:val="0"/>
                      <w:divBdr>
                        <w:top w:val="none" w:sz="0" w:space="0" w:color="auto"/>
                        <w:left w:val="none" w:sz="0" w:space="0" w:color="auto"/>
                        <w:bottom w:val="none" w:sz="0" w:space="0" w:color="auto"/>
                        <w:right w:val="none" w:sz="0" w:space="0" w:color="auto"/>
                      </w:divBdr>
                      <w:divsChild>
                        <w:div w:id="294141678">
                          <w:marLeft w:val="0"/>
                          <w:marRight w:val="0"/>
                          <w:marTop w:val="0"/>
                          <w:marBottom w:val="0"/>
                          <w:divBdr>
                            <w:top w:val="none" w:sz="0" w:space="0" w:color="auto"/>
                            <w:left w:val="none" w:sz="0" w:space="0" w:color="auto"/>
                            <w:bottom w:val="none" w:sz="0" w:space="0" w:color="auto"/>
                            <w:right w:val="none" w:sz="0" w:space="0" w:color="auto"/>
                          </w:divBdr>
                        </w:div>
                      </w:divsChild>
                    </w:div>
                    <w:div w:id="294148827">
                      <w:marLeft w:val="0"/>
                      <w:marRight w:val="0"/>
                      <w:marTop w:val="0"/>
                      <w:marBottom w:val="0"/>
                      <w:divBdr>
                        <w:top w:val="none" w:sz="0" w:space="0" w:color="auto"/>
                        <w:left w:val="none" w:sz="0" w:space="0" w:color="auto"/>
                        <w:bottom w:val="none" w:sz="0" w:space="0" w:color="auto"/>
                        <w:right w:val="none" w:sz="0" w:space="0" w:color="auto"/>
                      </w:divBdr>
                      <w:divsChild>
                        <w:div w:id="294155411">
                          <w:marLeft w:val="0"/>
                          <w:marRight w:val="0"/>
                          <w:marTop w:val="0"/>
                          <w:marBottom w:val="0"/>
                          <w:divBdr>
                            <w:top w:val="none" w:sz="0" w:space="0" w:color="auto"/>
                            <w:left w:val="none" w:sz="0" w:space="0" w:color="auto"/>
                            <w:bottom w:val="none" w:sz="0" w:space="0" w:color="auto"/>
                            <w:right w:val="none" w:sz="0" w:space="0" w:color="auto"/>
                          </w:divBdr>
                        </w:div>
                      </w:divsChild>
                    </w:div>
                    <w:div w:id="294148899">
                      <w:marLeft w:val="0"/>
                      <w:marRight w:val="0"/>
                      <w:marTop w:val="0"/>
                      <w:marBottom w:val="0"/>
                      <w:divBdr>
                        <w:top w:val="none" w:sz="0" w:space="0" w:color="auto"/>
                        <w:left w:val="none" w:sz="0" w:space="0" w:color="auto"/>
                        <w:bottom w:val="none" w:sz="0" w:space="0" w:color="auto"/>
                        <w:right w:val="none" w:sz="0" w:space="0" w:color="auto"/>
                      </w:divBdr>
                    </w:div>
                    <w:div w:id="294149202">
                      <w:marLeft w:val="0"/>
                      <w:marRight w:val="0"/>
                      <w:marTop w:val="0"/>
                      <w:marBottom w:val="0"/>
                      <w:divBdr>
                        <w:top w:val="none" w:sz="0" w:space="0" w:color="auto"/>
                        <w:left w:val="none" w:sz="0" w:space="0" w:color="auto"/>
                        <w:bottom w:val="none" w:sz="0" w:space="0" w:color="auto"/>
                        <w:right w:val="none" w:sz="0" w:space="0" w:color="auto"/>
                      </w:divBdr>
                    </w:div>
                    <w:div w:id="294149240">
                      <w:marLeft w:val="0"/>
                      <w:marRight w:val="0"/>
                      <w:marTop w:val="0"/>
                      <w:marBottom w:val="0"/>
                      <w:divBdr>
                        <w:top w:val="none" w:sz="0" w:space="0" w:color="auto"/>
                        <w:left w:val="none" w:sz="0" w:space="0" w:color="auto"/>
                        <w:bottom w:val="none" w:sz="0" w:space="0" w:color="auto"/>
                        <w:right w:val="none" w:sz="0" w:space="0" w:color="auto"/>
                      </w:divBdr>
                    </w:div>
                    <w:div w:id="294149342">
                      <w:marLeft w:val="0"/>
                      <w:marRight w:val="0"/>
                      <w:marTop w:val="0"/>
                      <w:marBottom w:val="0"/>
                      <w:divBdr>
                        <w:top w:val="none" w:sz="0" w:space="0" w:color="auto"/>
                        <w:left w:val="none" w:sz="0" w:space="0" w:color="auto"/>
                        <w:bottom w:val="none" w:sz="0" w:space="0" w:color="auto"/>
                        <w:right w:val="none" w:sz="0" w:space="0" w:color="auto"/>
                      </w:divBdr>
                    </w:div>
                    <w:div w:id="294149343">
                      <w:marLeft w:val="0"/>
                      <w:marRight w:val="0"/>
                      <w:marTop w:val="0"/>
                      <w:marBottom w:val="0"/>
                      <w:divBdr>
                        <w:top w:val="none" w:sz="0" w:space="0" w:color="auto"/>
                        <w:left w:val="none" w:sz="0" w:space="0" w:color="auto"/>
                        <w:bottom w:val="none" w:sz="0" w:space="0" w:color="auto"/>
                        <w:right w:val="none" w:sz="0" w:space="0" w:color="auto"/>
                      </w:divBdr>
                    </w:div>
                    <w:div w:id="294149373">
                      <w:marLeft w:val="0"/>
                      <w:marRight w:val="0"/>
                      <w:marTop w:val="0"/>
                      <w:marBottom w:val="0"/>
                      <w:divBdr>
                        <w:top w:val="none" w:sz="0" w:space="0" w:color="auto"/>
                        <w:left w:val="none" w:sz="0" w:space="0" w:color="auto"/>
                        <w:bottom w:val="none" w:sz="0" w:space="0" w:color="auto"/>
                        <w:right w:val="none" w:sz="0" w:space="0" w:color="auto"/>
                      </w:divBdr>
                      <w:divsChild>
                        <w:div w:id="294150362">
                          <w:marLeft w:val="0"/>
                          <w:marRight w:val="0"/>
                          <w:marTop w:val="0"/>
                          <w:marBottom w:val="0"/>
                          <w:divBdr>
                            <w:top w:val="none" w:sz="0" w:space="0" w:color="auto"/>
                            <w:left w:val="none" w:sz="0" w:space="0" w:color="auto"/>
                            <w:bottom w:val="none" w:sz="0" w:space="0" w:color="auto"/>
                            <w:right w:val="none" w:sz="0" w:space="0" w:color="auto"/>
                          </w:divBdr>
                        </w:div>
                      </w:divsChild>
                    </w:div>
                    <w:div w:id="294149508">
                      <w:marLeft w:val="0"/>
                      <w:marRight w:val="0"/>
                      <w:marTop w:val="0"/>
                      <w:marBottom w:val="0"/>
                      <w:divBdr>
                        <w:top w:val="none" w:sz="0" w:space="0" w:color="auto"/>
                        <w:left w:val="none" w:sz="0" w:space="0" w:color="auto"/>
                        <w:bottom w:val="none" w:sz="0" w:space="0" w:color="auto"/>
                        <w:right w:val="none" w:sz="0" w:space="0" w:color="auto"/>
                      </w:divBdr>
                    </w:div>
                    <w:div w:id="294149546">
                      <w:marLeft w:val="0"/>
                      <w:marRight w:val="0"/>
                      <w:marTop w:val="0"/>
                      <w:marBottom w:val="0"/>
                      <w:divBdr>
                        <w:top w:val="none" w:sz="0" w:space="0" w:color="auto"/>
                        <w:left w:val="none" w:sz="0" w:space="0" w:color="auto"/>
                        <w:bottom w:val="none" w:sz="0" w:space="0" w:color="auto"/>
                        <w:right w:val="none" w:sz="0" w:space="0" w:color="auto"/>
                      </w:divBdr>
                    </w:div>
                    <w:div w:id="294149595">
                      <w:marLeft w:val="0"/>
                      <w:marRight w:val="0"/>
                      <w:marTop w:val="0"/>
                      <w:marBottom w:val="0"/>
                      <w:divBdr>
                        <w:top w:val="none" w:sz="0" w:space="0" w:color="auto"/>
                        <w:left w:val="none" w:sz="0" w:space="0" w:color="auto"/>
                        <w:bottom w:val="none" w:sz="0" w:space="0" w:color="auto"/>
                        <w:right w:val="none" w:sz="0" w:space="0" w:color="auto"/>
                      </w:divBdr>
                    </w:div>
                    <w:div w:id="294149636">
                      <w:marLeft w:val="0"/>
                      <w:marRight w:val="0"/>
                      <w:marTop w:val="0"/>
                      <w:marBottom w:val="0"/>
                      <w:divBdr>
                        <w:top w:val="none" w:sz="0" w:space="0" w:color="auto"/>
                        <w:left w:val="none" w:sz="0" w:space="0" w:color="auto"/>
                        <w:bottom w:val="none" w:sz="0" w:space="0" w:color="auto"/>
                        <w:right w:val="none" w:sz="0" w:space="0" w:color="auto"/>
                      </w:divBdr>
                    </w:div>
                    <w:div w:id="294149727">
                      <w:marLeft w:val="0"/>
                      <w:marRight w:val="0"/>
                      <w:marTop w:val="0"/>
                      <w:marBottom w:val="0"/>
                      <w:divBdr>
                        <w:top w:val="none" w:sz="0" w:space="0" w:color="auto"/>
                        <w:left w:val="none" w:sz="0" w:space="0" w:color="auto"/>
                        <w:bottom w:val="none" w:sz="0" w:space="0" w:color="auto"/>
                        <w:right w:val="none" w:sz="0" w:space="0" w:color="auto"/>
                      </w:divBdr>
                    </w:div>
                    <w:div w:id="294149748">
                      <w:marLeft w:val="0"/>
                      <w:marRight w:val="0"/>
                      <w:marTop w:val="0"/>
                      <w:marBottom w:val="0"/>
                      <w:divBdr>
                        <w:top w:val="none" w:sz="0" w:space="0" w:color="auto"/>
                        <w:left w:val="none" w:sz="0" w:space="0" w:color="auto"/>
                        <w:bottom w:val="none" w:sz="0" w:space="0" w:color="auto"/>
                        <w:right w:val="none" w:sz="0" w:space="0" w:color="auto"/>
                      </w:divBdr>
                    </w:div>
                    <w:div w:id="294149856">
                      <w:marLeft w:val="0"/>
                      <w:marRight w:val="0"/>
                      <w:marTop w:val="0"/>
                      <w:marBottom w:val="0"/>
                      <w:divBdr>
                        <w:top w:val="none" w:sz="0" w:space="0" w:color="auto"/>
                        <w:left w:val="none" w:sz="0" w:space="0" w:color="auto"/>
                        <w:bottom w:val="none" w:sz="0" w:space="0" w:color="auto"/>
                        <w:right w:val="none" w:sz="0" w:space="0" w:color="auto"/>
                      </w:divBdr>
                      <w:divsChild>
                        <w:div w:id="294142836">
                          <w:marLeft w:val="0"/>
                          <w:marRight w:val="0"/>
                          <w:marTop w:val="0"/>
                          <w:marBottom w:val="0"/>
                          <w:divBdr>
                            <w:top w:val="none" w:sz="0" w:space="0" w:color="auto"/>
                            <w:left w:val="none" w:sz="0" w:space="0" w:color="auto"/>
                            <w:bottom w:val="none" w:sz="0" w:space="0" w:color="auto"/>
                            <w:right w:val="none" w:sz="0" w:space="0" w:color="auto"/>
                          </w:divBdr>
                        </w:div>
                      </w:divsChild>
                    </w:div>
                    <w:div w:id="294149953">
                      <w:marLeft w:val="0"/>
                      <w:marRight w:val="0"/>
                      <w:marTop w:val="0"/>
                      <w:marBottom w:val="0"/>
                      <w:divBdr>
                        <w:top w:val="none" w:sz="0" w:space="0" w:color="auto"/>
                        <w:left w:val="none" w:sz="0" w:space="0" w:color="auto"/>
                        <w:bottom w:val="none" w:sz="0" w:space="0" w:color="auto"/>
                        <w:right w:val="none" w:sz="0" w:space="0" w:color="auto"/>
                      </w:divBdr>
                    </w:div>
                    <w:div w:id="294149958">
                      <w:marLeft w:val="0"/>
                      <w:marRight w:val="0"/>
                      <w:marTop w:val="0"/>
                      <w:marBottom w:val="0"/>
                      <w:divBdr>
                        <w:top w:val="none" w:sz="0" w:space="0" w:color="auto"/>
                        <w:left w:val="none" w:sz="0" w:space="0" w:color="auto"/>
                        <w:bottom w:val="none" w:sz="0" w:space="0" w:color="auto"/>
                        <w:right w:val="none" w:sz="0" w:space="0" w:color="auto"/>
                      </w:divBdr>
                      <w:divsChild>
                        <w:div w:id="294151229">
                          <w:marLeft w:val="0"/>
                          <w:marRight w:val="0"/>
                          <w:marTop w:val="0"/>
                          <w:marBottom w:val="0"/>
                          <w:divBdr>
                            <w:top w:val="none" w:sz="0" w:space="0" w:color="auto"/>
                            <w:left w:val="none" w:sz="0" w:space="0" w:color="auto"/>
                            <w:bottom w:val="none" w:sz="0" w:space="0" w:color="auto"/>
                            <w:right w:val="none" w:sz="0" w:space="0" w:color="auto"/>
                          </w:divBdr>
                        </w:div>
                      </w:divsChild>
                    </w:div>
                    <w:div w:id="294150006">
                      <w:marLeft w:val="0"/>
                      <w:marRight w:val="0"/>
                      <w:marTop w:val="0"/>
                      <w:marBottom w:val="0"/>
                      <w:divBdr>
                        <w:top w:val="none" w:sz="0" w:space="0" w:color="auto"/>
                        <w:left w:val="none" w:sz="0" w:space="0" w:color="auto"/>
                        <w:bottom w:val="none" w:sz="0" w:space="0" w:color="auto"/>
                        <w:right w:val="none" w:sz="0" w:space="0" w:color="auto"/>
                      </w:divBdr>
                      <w:divsChild>
                        <w:div w:id="294146422">
                          <w:marLeft w:val="0"/>
                          <w:marRight w:val="0"/>
                          <w:marTop w:val="0"/>
                          <w:marBottom w:val="0"/>
                          <w:divBdr>
                            <w:top w:val="none" w:sz="0" w:space="0" w:color="auto"/>
                            <w:left w:val="none" w:sz="0" w:space="0" w:color="auto"/>
                            <w:bottom w:val="none" w:sz="0" w:space="0" w:color="auto"/>
                            <w:right w:val="none" w:sz="0" w:space="0" w:color="auto"/>
                          </w:divBdr>
                        </w:div>
                      </w:divsChild>
                    </w:div>
                    <w:div w:id="294150045">
                      <w:marLeft w:val="0"/>
                      <w:marRight w:val="0"/>
                      <w:marTop w:val="0"/>
                      <w:marBottom w:val="0"/>
                      <w:divBdr>
                        <w:top w:val="none" w:sz="0" w:space="0" w:color="auto"/>
                        <w:left w:val="none" w:sz="0" w:space="0" w:color="auto"/>
                        <w:bottom w:val="none" w:sz="0" w:space="0" w:color="auto"/>
                        <w:right w:val="none" w:sz="0" w:space="0" w:color="auto"/>
                      </w:divBdr>
                      <w:divsChild>
                        <w:div w:id="294143789">
                          <w:marLeft w:val="0"/>
                          <w:marRight w:val="0"/>
                          <w:marTop w:val="0"/>
                          <w:marBottom w:val="0"/>
                          <w:divBdr>
                            <w:top w:val="none" w:sz="0" w:space="0" w:color="auto"/>
                            <w:left w:val="none" w:sz="0" w:space="0" w:color="auto"/>
                            <w:bottom w:val="none" w:sz="0" w:space="0" w:color="auto"/>
                            <w:right w:val="none" w:sz="0" w:space="0" w:color="auto"/>
                          </w:divBdr>
                        </w:div>
                      </w:divsChild>
                    </w:div>
                    <w:div w:id="294150087">
                      <w:marLeft w:val="0"/>
                      <w:marRight w:val="0"/>
                      <w:marTop w:val="0"/>
                      <w:marBottom w:val="0"/>
                      <w:divBdr>
                        <w:top w:val="none" w:sz="0" w:space="0" w:color="auto"/>
                        <w:left w:val="none" w:sz="0" w:space="0" w:color="auto"/>
                        <w:bottom w:val="none" w:sz="0" w:space="0" w:color="auto"/>
                        <w:right w:val="none" w:sz="0" w:space="0" w:color="auto"/>
                      </w:divBdr>
                    </w:div>
                    <w:div w:id="294150272">
                      <w:marLeft w:val="0"/>
                      <w:marRight w:val="0"/>
                      <w:marTop w:val="0"/>
                      <w:marBottom w:val="0"/>
                      <w:divBdr>
                        <w:top w:val="none" w:sz="0" w:space="0" w:color="auto"/>
                        <w:left w:val="none" w:sz="0" w:space="0" w:color="auto"/>
                        <w:bottom w:val="none" w:sz="0" w:space="0" w:color="auto"/>
                        <w:right w:val="none" w:sz="0" w:space="0" w:color="auto"/>
                      </w:divBdr>
                      <w:divsChild>
                        <w:div w:id="294142137">
                          <w:marLeft w:val="0"/>
                          <w:marRight w:val="0"/>
                          <w:marTop w:val="0"/>
                          <w:marBottom w:val="0"/>
                          <w:divBdr>
                            <w:top w:val="none" w:sz="0" w:space="0" w:color="auto"/>
                            <w:left w:val="none" w:sz="0" w:space="0" w:color="auto"/>
                            <w:bottom w:val="none" w:sz="0" w:space="0" w:color="auto"/>
                            <w:right w:val="none" w:sz="0" w:space="0" w:color="auto"/>
                          </w:divBdr>
                        </w:div>
                      </w:divsChild>
                    </w:div>
                    <w:div w:id="294150331">
                      <w:marLeft w:val="0"/>
                      <w:marRight w:val="0"/>
                      <w:marTop w:val="0"/>
                      <w:marBottom w:val="0"/>
                      <w:divBdr>
                        <w:top w:val="none" w:sz="0" w:space="0" w:color="auto"/>
                        <w:left w:val="none" w:sz="0" w:space="0" w:color="auto"/>
                        <w:bottom w:val="none" w:sz="0" w:space="0" w:color="auto"/>
                        <w:right w:val="none" w:sz="0" w:space="0" w:color="auto"/>
                      </w:divBdr>
                      <w:divsChild>
                        <w:div w:id="294153831">
                          <w:marLeft w:val="0"/>
                          <w:marRight w:val="0"/>
                          <w:marTop w:val="0"/>
                          <w:marBottom w:val="0"/>
                          <w:divBdr>
                            <w:top w:val="none" w:sz="0" w:space="0" w:color="auto"/>
                            <w:left w:val="none" w:sz="0" w:space="0" w:color="auto"/>
                            <w:bottom w:val="none" w:sz="0" w:space="0" w:color="auto"/>
                            <w:right w:val="none" w:sz="0" w:space="0" w:color="auto"/>
                          </w:divBdr>
                        </w:div>
                      </w:divsChild>
                    </w:div>
                    <w:div w:id="294150374">
                      <w:marLeft w:val="0"/>
                      <w:marRight w:val="0"/>
                      <w:marTop w:val="0"/>
                      <w:marBottom w:val="0"/>
                      <w:divBdr>
                        <w:top w:val="none" w:sz="0" w:space="0" w:color="auto"/>
                        <w:left w:val="none" w:sz="0" w:space="0" w:color="auto"/>
                        <w:bottom w:val="none" w:sz="0" w:space="0" w:color="auto"/>
                        <w:right w:val="none" w:sz="0" w:space="0" w:color="auto"/>
                      </w:divBdr>
                      <w:divsChild>
                        <w:div w:id="294148305">
                          <w:marLeft w:val="0"/>
                          <w:marRight w:val="0"/>
                          <w:marTop w:val="0"/>
                          <w:marBottom w:val="0"/>
                          <w:divBdr>
                            <w:top w:val="none" w:sz="0" w:space="0" w:color="auto"/>
                            <w:left w:val="none" w:sz="0" w:space="0" w:color="auto"/>
                            <w:bottom w:val="none" w:sz="0" w:space="0" w:color="auto"/>
                            <w:right w:val="none" w:sz="0" w:space="0" w:color="auto"/>
                          </w:divBdr>
                        </w:div>
                      </w:divsChild>
                    </w:div>
                    <w:div w:id="294150476">
                      <w:marLeft w:val="0"/>
                      <w:marRight w:val="0"/>
                      <w:marTop w:val="0"/>
                      <w:marBottom w:val="0"/>
                      <w:divBdr>
                        <w:top w:val="none" w:sz="0" w:space="0" w:color="auto"/>
                        <w:left w:val="none" w:sz="0" w:space="0" w:color="auto"/>
                        <w:bottom w:val="none" w:sz="0" w:space="0" w:color="auto"/>
                        <w:right w:val="none" w:sz="0" w:space="0" w:color="auto"/>
                      </w:divBdr>
                    </w:div>
                    <w:div w:id="294150501">
                      <w:marLeft w:val="0"/>
                      <w:marRight w:val="0"/>
                      <w:marTop w:val="0"/>
                      <w:marBottom w:val="0"/>
                      <w:divBdr>
                        <w:top w:val="none" w:sz="0" w:space="0" w:color="auto"/>
                        <w:left w:val="none" w:sz="0" w:space="0" w:color="auto"/>
                        <w:bottom w:val="none" w:sz="0" w:space="0" w:color="auto"/>
                        <w:right w:val="none" w:sz="0" w:space="0" w:color="auto"/>
                      </w:divBdr>
                    </w:div>
                    <w:div w:id="294150722">
                      <w:marLeft w:val="0"/>
                      <w:marRight w:val="0"/>
                      <w:marTop w:val="0"/>
                      <w:marBottom w:val="0"/>
                      <w:divBdr>
                        <w:top w:val="none" w:sz="0" w:space="0" w:color="auto"/>
                        <w:left w:val="none" w:sz="0" w:space="0" w:color="auto"/>
                        <w:bottom w:val="none" w:sz="0" w:space="0" w:color="auto"/>
                        <w:right w:val="none" w:sz="0" w:space="0" w:color="auto"/>
                      </w:divBdr>
                      <w:divsChild>
                        <w:div w:id="294139942">
                          <w:marLeft w:val="0"/>
                          <w:marRight w:val="0"/>
                          <w:marTop w:val="0"/>
                          <w:marBottom w:val="0"/>
                          <w:divBdr>
                            <w:top w:val="none" w:sz="0" w:space="0" w:color="auto"/>
                            <w:left w:val="none" w:sz="0" w:space="0" w:color="auto"/>
                            <w:bottom w:val="none" w:sz="0" w:space="0" w:color="auto"/>
                            <w:right w:val="none" w:sz="0" w:space="0" w:color="auto"/>
                          </w:divBdr>
                        </w:div>
                      </w:divsChild>
                    </w:div>
                    <w:div w:id="294150787">
                      <w:marLeft w:val="0"/>
                      <w:marRight w:val="0"/>
                      <w:marTop w:val="0"/>
                      <w:marBottom w:val="0"/>
                      <w:divBdr>
                        <w:top w:val="none" w:sz="0" w:space="0" w:color="auto"/>
                        <w:left w:val="none" w:sz="0" w:space="0" w:color="auto"/>
                        <w:bottom w:val="none" w:sz="0" w:space="0" w:color="auto"/>
                        <w:right w:val="none" w:sz="0" w:space="0" w:color="auto"/>
                      </w:divBdr>
                    </w:div>
                    <w:div w:id="294150841">
                      <w:marLeft w:val="0"/>
                      <w:marRight w:val="0"/>
                      <w:marTop w:val="0"/>
                      <w:marBottom w:val="0"/>
                      <w:divBdr>
                        <w:top w:val="none" w:sz="0" w:space="0" w:color="auto"/>
                        <w:left w:val="none" w:sz="0" w:space="0" w:color="auto"/>
                        <w:bottom w:val="none" w:sz="0" w:space="0" w:color="auto"/>
                        <w:right w:val="none" w:sz="0" w:space="0" w:color="auto"/>
                      </w:divBdr>
                    </w:div>
                    <w:div w:id="294150866">
                      <w:marLeft w:val="0"/>
                      <w:marRight w:val="0"/>
                      <w:marTop w:val="0"/>
                      <w:marBottom w:val="0"/>
                      <w:divBdr>
                        <w:top w:val="none" w:sz="0" w:space="0" w:color="auto"/>
                        <w:left w:val="none" w:sz="0" w:space="0" w:color="auto"/>
                        <w:bottom w:val="none" w:sz="0" w:space="0" w:color="auto"/>
                        <w:right w:val="none" w:sz="0" w:space="0" w:color="auto"/>
                      </w:divBdr>
                      <w:divsChild>
                        <w:div w:id="294153100">
                          <w:marLeft w:val="0"/>
                          <w:marRight w:val="0"/>
                          <w:marTop w:val="0"/>
                          <w:marBottom w:val="0"/>
                          <w:divBdr>
                            <w:top w:val="none" w:sz="0" w:space="0" w:color="auto"/>
                            <w:left w:val="none" w:sz="0" w:space="0" w:color="auto"/>
                            <w:bottom w:val="none" w:sz="0" w:space="0" w:color="auto"/>
                            <w:right w:val="none" w:sz="0" w:space="0" w:color="auto"/>
                          </w:divBdr>
                        </w:div>
                      </w:divsChild>
                    </w:div>
                    <w:div w:id="294150891">
                      <w:marLeft w:val="0"/>
                      <w:marRight w:val="0"/>
                      <w:marTop w:val="0"/>
                      <w:marBottom w:val="0"/>
                      <w:divBdr>
                        <w:top w:val="none" w:sz="0" w:space="0" w:color="auto"/>
                        <w:left w:val="none" w:sz="0" w:space="0" w:color="auto"/>
                        <w:bottom w:val="none" w:sz="0" w:space="0" w:color="auto"/>
                        <w:right w:val="none" w:sz="0" w:space="0" w:color="auto"/>
                      </w:divBdr>
                      <w:divsChild>
                        <w:div w:id="294151920">
                          <w:marLeft w:val="0"/>
                          <w:marRight w:val="0"/>
                          <w:marTop w:val="0"/>
                          <w:marBottom w:val="0"/>
                          <w:divBdr>
                            <w:top w:val="none" w:sz="0" w:space="0" w:color="auto"/>
                            <w:left w:val="none" w:sz="0" w:space="0" w:color="auto"/>
                            <w:bottom w:val="none" w:sz="0" w:space="0" w:color="auto"/>
                            <w:right w:val="none" w:sz="0" w:space="0" w:color="auto"/>
                          </w:divBdr>
                        </w:div>
                      </w:divsChild>
                    </w:div>
                    <w:div w:id="294151057">
                      <w:marLeft w:val="0"/>
                      <w:marRight w:val="0"/>
                      <w:marTop w:val="0"/>
                      <w:marBottom w:val="0"/>
                      <w:divBdr>
                        <w:top w:val="none" w:sz="0" w:space="0" w:color="auto"/>
                        <w:left w:val="none" w:sz="0" w:space="0" w:color="auto"/>
                        <w:bottom w:val="none" w:sz="0" w:space="0" w:color="auto"/>
                        <w:right w:val="none" w:sz="0" w:space="0" w:color="auto"/>
                      </w:divBdr>
                      <w:divsChild>
                        <w:div w:id="294138777">
                          <w:marLeft w:val="0"/>
                          <w:marRight w:val="0"/>
                          <w:marTop w:val="0"/>
                          <w:marBottom w:val="0"/>
                          <w:divBdr>
                            <w:top w:val="none" w:sz="0" w:space="0" w:color="auto"/>
                            <w:left w:val="none" w:sz="0" w:space="0" w:color="auto"/>
                            <w:bottom w:val="none" w:sz="0" w:space="0" w:color="auto"/>
                            <w:right w:val="none" w:sz="0" w:space="0" w:color="auto"/>
                          </w:divBdr>
                        </w:div>
                      </w:divsChild>
                    </w:div>
                    <w:div w:id="294151145">
                      <w:marLeft w:val="0"/>
                      <w:marRight w:val="0"/>
                      <w:marTop w:val="0"/>
                      <w:marBottom w:val="0"/>
                      <w:divBdr>
                        <w:top w:val="none" w:sz="0" w:space="0" w:color="auto"/>
                        <w:left w:val="none" w:sz="0" w:space="0" w:color="auto"/>
                        <w:bottom w:val="none" w:sz="0" w:space="0" w:color="auto"/>
                        <w:right w:val="none" w:sz="0" w:space="0" w:color="auto"/>
                      </w:divBdr>
                    </w:div>
                    <w:div w:id="294151349">
                      <w:marLeft w:val="0"/>
                      <w:marRight w:val="0"/>
                      <w:marTop w:val="0"/>
                      <w:marBottom w:val="0"/>
                      <w:divBdr>
                        <w:top w:val="none" w:sz="0" w:space="0" w:color="auto"/>
                        <w:left w:val="none" w:sz="0" w:space="0" w:color="auto"/>
                        <w:bottom w:val="none" w:sz="0" w:space="0" w:color="auto"/>
                        <w:right w:val="none" w:sz="0" w:space="0" w:color="auto"/>
                      </w:divBdr>
                    </w:div>
                    <w:div w:id="294151405">
                      <w:marLeft w:val="0"/>
                      <w:marRight w:val="0"/>
                      <w:marTop w:val="0"/>
                      <w:marBottom w:val="0"/>
                      <w:divBdr>
                        <w:top w:val="none" w:sz="0" w:space="0" w:color="auto"/>
                        <w:left w:val="none" w:sz="0" w:space="0" w:color="auto"/>
                        <w:bottom w:val="none" w:sz="0" w:space="0" w:color="auto"/>
                        <w:right w:val="none" w:sz="0" w:space="0" w:color="auto"/>
                      </w:divBdr>
                      <w:divsChild>
                        <w:div w:id="294153944">
                          <w:marLeft w:val="0"/>
                          <w:marRight w:val="0"/>
                          <w:marTop w:val="0"/>
                          <w:marBottom w:val="0"/>
                          <w:divBdr>
                            <w:top w:val="none" w:sz="0" w:space="0" w:color="auto"/>
                            <w:left w:val="none" w:sz="0" w:space="0" w:color="auto"/>
                            <w:bottom w:val="none" w:sz="0" w:space="0" w:color="auto"/>
                            <w:right w:val="none" w:sz="0" w:space="0" w:color="auto"/>
                          </w:divBdr>
                        </w:div>
                      </w:divsChild>
                    </w:div>
                    <w:div w:id="294151447">
                      <w:marLeft w:val="0"/>
                      <w:marRight w:val="0"/>
                      <w:marTop w:val="0"/>
                      <w:marBottom w:val="0"/>
                      <w:divBdr>
                        <w:top w:val="none" w:sz="0" w:space="0" w:color="auto"/>
                        <w:left w:val="none" w:sz="0" w:space="0" w:color="auto"/>
                        <w:bottom w:val="none" w:sz="0" w:space="0" w:color="auto"/>
                        <w:right w:val="none" w:sz="0" w:space="0" w:color="auto"/>
                      </w:divBdr>
                    </w:div>
                    <w:div w:id="294151487">
                      <w:marLeft w:val="0"/>
                      <w:marRight w:val="0"/>
                      <w:marTop w:val="0"/>
                      <w:marBottom w:val="0"/>
                      <w:divBdr>
                        <w:top w:val="none" w:sz="0" w:space="0" w:color="auto"/>
                        <w:left w:val="none" w:sz="0" w:space="0" w:color="auto"/>
                        <w:bottom w:val="none" w:sz="0" w:space="0" w:color="auto"/>
                        <w:right w:val="none" w:sz="0" w:space="0" w:color="auto"/>
                      </w:divBdr>
                      <w:divsChild>
                        <w:div w:id="294138511">
                          <w:marLeft w:val="0"/>
                          <w:marRight w:val="0"/>
                          <w:marTop w:val="0"/>
                          <w:marBottom w:val="0"/>
                          <w:divBdr>
                            <w:top w:val="none" w:sz="0" w:space="0" w:color="auto"/>
                            <w:left w:val="none" w:sz="0" w:space="0" w:color="auto"/>
                            <w:bottom w:val="none" w:sz="0" w:space="0" w:color="auto"/>
                            <w:right w:val="none" w:sz="0" w:space="0" w:color="auto"/>
                          </w:divBdr>
                        </w:div>
                      </w:divsChild>
                    </w:div>
                    <w:div w:id="294151584">
                      <w:marLeft w:val="0"/>
                      <w:marRight w:val="0"/>
                      <w:marTop w:val="0"/>
                      <w:marBottom w:val="0"/>
                      <w:divBdr>
                        <w:top w:val="none" w:sz="0" w:space="0" w:color="auto"/>
                        <w:left w:val="none" w:sz="0" w:space="0" w:color="auto"/>
                        <w:bottom w:val="none" w:sz="0" w:space="0" w:color="auto"/>
                        <w:right w:val="none" w:sz="0" w:space="0" w:color="auto"/>
                      </w:divBdr>
                      <w:divsChild>
                        <w:div w:id="294146547">
                          <w:marLeft w:val="0"/>
                          <w:marRight w:val="0"/>
                          <w:marTop w:val="0"/>
                          <w:marBottom w:val="0"/>
                          <w:divBdr>
                            <w:top w:val="none" w:sz="0" w:space="0" w:color="auto"/>
                            <w:left w:val="none" w:sz="0" w:space="0" w:color="auto"/>
                            <w:bottom w:val="none" w:sz="0" w:space="0" w:color="auto"/>
                            <w:right w:val="none" w:sz="0" w:space="0" w:color="auto"/>
                          </w:divBdr>
                        </w:div>
                      </w:divsChild>
                    </w:div>
                    <w:div w:id="294151593">
                      <w:marLeft w:val="0"/>
                      <w:marRight w:val="0"/>
                      <w:marTop w:val="0"/>
                      <w:marBottom w:val="0"/>
                      <w:divBdr>
                        <w:top w:val="none" w:sz="0" w:space="0" w:color="auto"/>
                        <w:left w:val="none" w:sz="0" w:space="0" w:color="auto"/>
                        <w:bottom w:val="none" w:sz="0" w:space="0" w:color="auto"/>
                        <w:right w:val="none" w:sz="0" w:space="0" w:color="auto"/>
                      </w:divBdr>
                    </w:div>
                    <w:div w:id="294151694">
                      <w:marLeft w:val="0"/>
                      <w:marRight w:val="0"/>
                      <w:marTop w:val="0"/>
                      <w:marBottom w:val="0"/>
                      <w:divBdr>
                        <w:top w:val="none" w:sz="0" w:space="0" w:color="auto"/>
                        <w:left w:val="none" w:sz="0" w:space="0" w:color="auto"/>
                        <w:bottom w:val="none" w:sz="0" w:space="0" w:color="auto"/>
                        <w:right w:val="none" w:sz="0" w:space="0" w:color="auto"/>
                      </w:divBdr>
                    </w:div>
                    <w:div w:id="294151743">
                      <w:marLeft w:val="0"/>
                      <w:marRight w:val="0"/>
                      <w:marTop w:val="0"/>
                      <w:marBottom w:val="0"/>
                      <w:divBdr>
                        <w:top w:val="none" w:sz="0" w:space="0" w:color="auto"/>
                        <w:left w:val="none" w:sz="0" w:space="0" w:color="auto"/>
                        <w:bottom w:val="none" w:sz="0" w:space="0" w:color="auto"/>
                        <w:right w:val="none" w:sz="0" w:space="0" w:color="auto"/>
                      </w:divBdr>
                      <w:divsChild>
                        <w:div w:id="294156286">
                          <w:marLeft w:val="0"/>
                          <w:marRight w:val="0"/>
                          <w:marTop w:val="0"/>
                          <w:marBottom w:val="0"/>
                          <w:divBdr>
                            <w:top w:val="none" w:sz="0" w:space="0" w:color="auto"/>
                            <w:left w:val="none" w:sz="0" w:space="0" w:color="auto"/>
                            <w:bottom w:val="none" w:sz="0" w:space="0" w:color="auto"/>
                            <w:right w:val="none" w:sz="0" w:space="0" w:color="auto"/>
                          </w:divBdr>
                        </w:div>
                      </w:divsChild>
                    </w:div>
                    <w:div w:id="294151838">
                      <w:marLeft w:val="0"/>
                      <w:marRight w:val="0"/>
                      <w:marTop w:val="0"/>
                      <w:marBottom w:val="0"/>
                      <w:divBdr>
                        <w:top w:val="none" w:sz="0" w:space="0" w:color="auto"/>
                        <w:left w:val="none" w:sz="0" w:space="0" w:color="auto"/>
                        <w:bottom w:val="none" w:sz="0" w:space="0" w:color="auto"/>
                        <w:right w:val="none" w:sz="0" w:space="0" w:color="auto"/>
                      </w:divBdr>
                    </w:div>
                    <w:div w:id="294152180">
                      <w:marLeft w:val="0"/>
                      <w:marRight w:val="0"/>
                      <w:marTop w:val="0"/>
                      <w:marBottom w:val="0"/>
                      <w:divBdr>
                        <w:top w:val="none" w:sz="0" w:space="0" w:color="auto"/>
                        <w:left w:val="none" w:sz="0" w:space="0" w:color="auto"/>
                        <w:bottom w:val="none" w:sz="0" w:space="0" w:color="auto"/>
                        <w:right w:val="none" w:sz="0" w:space="0" w:color="auto"/>
                      </w:divBdr>
                      <w:divsChild>
                        <w:div w:id="294145369">
                          <w:marLeft w:val="0"/>
                          <w:marRight w:val="0"/>
                          <w:marTop w:val="0"/>
                          <w:marBottom w:val="0"/>
                          <w:divBdr>
                            <w:top w:val="none" w:sz="0" w:space="0" w:color="auto"/>
                            <w:left w:val="none" w:sz="0" w:space="0" w:color="auto"/>
                            <w:bottom w:val="none" w:sz="0" w:space="0" w:color="auto"/>
                            <w:right w:val="none" w:sz="0" w:space="0" w:color="auto"/>
                          </w:divBdr>
                        </w:div>
                      </w:divsChild>
                    </w:div>
                    <w:div w:id="294152192">
                      <w:marLeft w:val="0"/>
                      <w:marRight w:val="0"/>
                      <w:marTop w:val="0"/>
                      <w:marBottom w:val="0"/>
                      <w:divBdr>
                        <w:top w:val="none" w:sz="0" w:space="0" w:color="auto"/>
                        <w:left w:val="none" w:sz="0" w:space="0" w:color="auto"/>
                        <w:bottom w:val="none" w:sz="0" w:space="0" w:color="auto"/>
                        <w:right w:val="none" w:sz="0" w:space="0" w:color="auto"/>
                      </w:divBdr>
                    </w:div>
                    <w:div w:id="294152201">
                      <w:marLeft w:val="0"/>
                      <w:marRight w:val="0"/>
                      <w:marTop w:val="0"/>
                      <w:marBottom w:val="0"/>
                      <w:divBdr>
                        <w:top w:val="none" w:sz="0" w:space="0" w:color="auto"/>
                        <w:left w:val="none" w:sz="0" w:space="0" w:color="auto"/>
                        <w:bottom w:val="none" w:sz="0" w:space="0" w:color="auto"/>
                        <w:right w:val="none" w:sz="0" w:space="0" w:color="auto"/>
                      </w:divBdr>
                      <w:divsChild>
                        <w:div w:id="294153447">
                          <w:marLeft w:val="0"/>
                          <w:marRight w:val="0"/>
                          <w:marTop w:val="0"/>
                          <w:marBottom w:val="0"/>
                          <w:divBdr>
                            <w:top w:val="none" w:sz="0" w:space="0" w:color="auto"/>
                            <w:left w:val="none" w:sz="0" w:space="0" w:color="auto"/>
                            <w:bottom w:val="none" w:sz="0" w:space="0" w:color="auto"/>
                            <w:right w:val="none" w:sz="0" w:space="0" w:color="auto"/>
                          </w:divBdr>
                        </w:div>
                      </w:divsChild>
                    </w:div>
                    <w:div w:id="294152301">
                      <w:marLeft w:val="0"/>
                      <w:marRight w:val="0"/>
                      <w:marTop w:val="0"/>
                      <w:marBottom w:val="0"/>
                      <w:divBdr>
                        <w:top w:val="none" w:sz="0" w:space="0" w:color="auto"/>
                        <w:left w:val="none" w:sz="0" w:space="0" w:color="auto"/>
                        <w:bottom w:val="none" w:sz="0" w:space="0" w:color="auto"/>
                        <w:right w:val="none" w:sz="0" w:space="0" w:color="auto"/>
                      </w:divBdr>
                    </w:div>
                    <w:div w:id="294152420">
                      <w:marLeft w:val="0"/>
                      <w:marRight w:val="0"/>
                      <w:marTop w:val="0"/>
                      <w:marBottom w:val="0"/>
                      <w:divBdr>
                        <w:top w:val="none" w:sz="0" w:space="0" w:color="auto"/>
                        <w:left w:val="none" w:sz="0" w:space="0" w:color="auto"/>
                        <w:bottom w:val="none" w:sz="0" w:space="0" w:color="auto"/>
                        <w:right w:val="none" w:sz="0" w:space="0" w:color="auto"/>
                      </w:divBdr>
                    </w:div>
                    <w:div w:id="294152626">
                      <w:marLeft w:val="0"/>
                      <w:marRight w:val="0"/>
                      <w:marTop w:val="0"/>
                      <w:marBottom w:val="0"/>
                      <w:divBdr>
                        <w:top w:val="none" w:sz="0" w:space="0" w:color="auto"/>
                        <w:left w:val="none" w:sz="0" w:space="0" w:color="auto"/>
                        <w:bottom w:val="none" w:sz="0" w:space="0" w:color="auto"/>
                        <w:right w:val="none" w:sz="0" w:space="0" w:color="auto"/>
                      </w:divBdr>
                    </w:div>
                    <w:div w:id="294152630">
                      <w:marLeft w:val="0"/>
                      <w:marRight w:val="0"/>
                      <w:marTop w:val="0"/>
                      <w:marBottom w:val="0"/>
                      <w:divBdr>
                        <w:top w:val="none" w:sz="0" w:space="0" w:color="auto"/>
                        <w:left w:val="none" w:sz="0" w:space="0" w:color="auto"/>
                        <w:bottom w:val="none" w:sz="0" w:space="0" w:color="auto"/>
                        <w:right w:val="none" w:sz="0" w:space="0" w:color="auto"/>
                      </w:divBdr>
                      <w:divsChild>
                        <w:div w:id="294150445">
                          <w:marLeft w:val="0"/>
                          <w:marRight w:val="0"/>
                          <w:marTop w:val="0"/>
                          <w:marBottom w:val="0"/>
                          <w:divBdr>
                            <w:top w:val="none" w:sz="0" w:space="0" w:color="auto"/>
                            <w:left w:val="none" w:sz="0" w:space="0" w:color="auto"/>
                            <w:bottom w:val="none" w:sz="0" w:space="0" w:color="auto"/>
                            <w:right w:val="none" w:sz="0" w:space="0" w:color="auto"/>
                          </w:divBdr>
                        </w:div>
                      </w:divsChild>
                    </w:div>
                    <w:div w:id="294152867">
                      <w:marLeft w:val="0"/>
                      <w:marRight w:val="0"/>
                      <w:marTop w:val="0"/>
                      <w:marBottom w:val="0"/>
                      <w:divBdr>
                        <w:top w:val="none" w:sz="0" w:space="0" w:color="auto"/>
                        <w:left w:val="none" w:sz="0" w:space="0" w:color="auto"/>
                        <w:bottom w:val="none" w:sz="0" w:space="0" w:color="auto"/>
                        <w:right w:val="none" w:sz="0" w:space="0" w:color="auto"/>
                      </w:divBdr>
                    </w:div>
                    <w:div w:id="294153047">
                      <w:marLeft w:val="0"/>
                      <w:marRight w:val="0"/>
                      <w:marTop w:val="0"/>
                      <w:marBottom w:val="0"/>
                      <w:divBdr>
                        <w:top w:val="none" w:sz="0" w:space="0" w:color="auto"/>
                        <w:left w:val="none" w:sz="0" w:space="0" w:color="auto"/>
                        <w:bottom w:val="none" w:sz="0" w:space="0" w:color="auto"/>
                        <w:right w:val="none" w:sz="0" w:space="0" w:color="auto"/>
                      </w:divBdr>
                    </w:div>
                    <w:div w:id="294153066">
                      <w:marLeft w:val="0"/>
                      <w:marRight w:val="0"/>
                      <w:marTop w:val="0"/>
                      <w:marBottom w:val="0"/>
                      <w:divBdr>
                        <w:top w:val="none" w:sz="0" w:space="0" w:color="auto"/>
                        <w:left w:val="none" w:sz="0" w:space="0" w:color="auto"/>
                        <w:bottom w:val="none" w:sz="0" w:space="0" w:color="auto"/>
                        <w:right w:val="none" w:sz="0" w:space="0" w:color="auto"/>
                      </w:divBdr>
                      <w:divsChild>
                        <w:div w:id="294140322">
                          <w:marLeft w:val="0"/>
                          <w:marRight w:val="0"/>
                          <w:marTop w:val="0"/>
                          <w:marBottom w:val="0"/>
                          <w:divBdr>
                            <w:top w:val="none" w:sz="0" w:space="0" w:color="auto"/>
                            <w:left w:val="none" w:sz="0" w:space="0" w:color="auto"/>
                            <w:bottom w:val="none" w:sz="0" w:space="0" w:color="auto"/>
                            <w:right w:val="none" w:sz="0" w:space="0" w:color="auto"/>
                          </w:divBdr>
                        </w:div>
                      </w:divsChild>
                    </w:div>
                    <w:div w:id="294153078">
                      <w:marLeft w:val="0"/>
                      <w:marRight w:val="0"/>
                      <w:marTop w:val="0"/>
                      <w:marBottom w:val="0"/>
                      <w:divBdr>
                        <w:top w:val="none" w:sz="0" w:space="0" w:color="auto"/>
                        <w:left w:val="none" w:sz="0" w:space="0" w:color="auto"/>
                        <w:bottom w:val="none" w:sz="0" w:space="0" w:color="auto"/>
                        <w:right w:val="none" w:sz="0" w:space="0" w:color="auto"/>
                      </w:divBdr>
                      <w:divsChild>
                        <w:div w:id="294145290">
                          <w:marLeft w:val="0"/>
                          <w:marRight w:val="0"/>
                          <w:marTop w:val="0"/>
                          <w:marBottom w:val="0"/>
                          <w:divBdr>
                            <w:top w:val="none" w:sz="0" w:space="0" w:color="auto"/>
                            <w:left w:val="none" w:sz="0" w:space="0" w:color="auto"/>
                            <w:bottom w:val="none" w:sz="0" w:space="0" w:color="auto"/>
                            <w:right w:val="none" w:sz="0" w:space="0" w:color="auto"/>
                          </w:divBdr>
                        </w:div>
                      </w:divsChild>
                    </w:div>
                    <w:div w:id="294153119">
                      <w:marLeft w:val="0"/>
                      <w:marRight w:val="0"/>
                      <w:marTop w:val="0"/>
                      <w:marBottom w:val="0"/>
                      <w:divBdr>
                        <w:top w:val="none" w:sz="0" w:space="0" w:color="auto"/>
                        <w:left w:val="none" w:sz="0" w:space="0" w:color="auto"/>
                        <w:bottom w:val="none" w:sz="0" w:space="0" w:color="auto"/>
                        <w:right w:val="none" w:sz="0" w:space="0" w:color="auto"/>
                      </w:divBdr>
                      <w:divsChild>
                        <w:div w:id="294144524">
                          <w:marLeft w:val="0"/>
                          <w:marRight w:val="0"/>
                          <w:marTop w:val="0"/>
                          <w:marBottom w:val="0"/>
                          <w:divBdr>
                            <w:top w:val="none" w:sz="0" w:space="0" w:color="auto"/>
                            <w:left w:val="none" w:sz="0" w:space="0" w:color="auto"/>
                            <w:bottom w:val="none" w:sz="0" w:space="0" w:color="auto"/>
                            <w:right w:val="none" w:sz="0" w:space="0" w:color="auto"/>
                          </w:divBdr>
                        </w:div>
                      </w:divsChild>
                    </w:div>
                    <w:div w:id="294153219">
                      <w:marLeft w:val="0"/>
                      <w:marRight w:val="0"/>
                      <w:marTop w:val="0"/>
                      <w:marBottom w:val="0"/>
                      <w:divBdr>
                        <w:top w:val="none" w:sz="0" w:space="0" w:color="auto"/>
                        <w:left w:val="none" w:sz="0" w:space="0" w:color="auto"/>
                        <w:bottom w:val="none" w:sz="0" w:space="0" w:color="auto"/>
                        <w:right w:val="none" w:sz="0" w:space="0" w:color="auto"/>
                      </w:divBdr>
                      <w:divsChild>
                        <w:div w:id="294149026">
                          <w:marLeft w:val="0"/>
                          <w:marRight w:val="0"/>
                          <w:marTop w:val="0"/>
                          <w:marBottom w:val="0"/>
                          <w:divBdr>
                            <w:top w:val="none" w:sz="0" w:space="0" w:color="auto"/>
                            <w:left w:val="none" w:sz="0" w:space="0" w:color="auto"/>
                            <w:bottom w:val="none" w:sz="0" w:space="0" w:color="auto"/>
                            <w:right w:val="none" w:sz="0" w:space="0" w:color="auto"/>
                          </w:divBdr>
                        </w:div>
                      </w:divsChild>
                    </w:div>
                    <w:div w:id="294153263">
                      <w:marLeft w:val="0"/>
                      <w:marRight w:val="0"/>
                      <w:marTop w:val="0"/>
                      <w:marBottom w:val="0"/>
                      <w:divBdr>
                        <w:top w:val="none" w:sz="0" w:space="0" w:color="auto"/>
                        <w:left w:val="none" w:sz="0" w:space="0" w:color="auto"/>
                        <w:bottom w:val="none" w:sz="0" w:space="0" w:color="auto"/>
                        <w:right w:val="none" w:sz="0" w:space="0" w:color="auto"/>
                      </w:divBdr>
                    </w:div>
                    <w:div w:id="294153365">
                      <w:marLeft w:val="0"/>
                      <w:marRight w:val="0"/>
                      <w:marTop w:val="0"/>
                      <w:marBottom w:val="0"/>
                      <w:divBdr>
                        <w:top w:val="none" w:sz="0" w:space="0" w:color="auto"/>
                        <w:left w:val="none" w:sz="0" w:space="0" w:color="auto"/>
                        <w:bottom w:val="none" w:sz="0" w:space="0" w:color="auto"/>
                        <w:right w:val="none" w:sz="0" w:space="0" w:color="auto"/>
                      </w:divBdr>
                      <w:divsChild>
                        <w:div w:id="294146602">
                          <w:marLeft w:val="0"/>
                          <w:marRight w:val="0"/>
                          <w:marTop w:val="0"/>
                          <w:marBottom w:val="0"/>
                          <w:divBdr>
                            <w:top w:val="none" w:sz="0" w:space="0" w:color="auto"/>
                            <w:left w:val="none" w:sz="0" w:space="0" w:color="auto"/>
                            <w:bottom w:val="none" w:sz="0" w:space="0" w:color="auto"/>
                            <w:right w:val="none" w:sz="0" w:space="0" w:color="auto"/>
                          </w:divBdr>
                        </w:div>
                      </w:divsChild>
                    </w:div>
                    <w:div w:id="294153410">
                      <w:marLeft w:val="0"/>
                      <w:marRight w:val="0"/>
                      <w:marTop w:val="0"/>
                      <w:marBottom w:val="0"/>
                      <w:divBdr>
                        <w:top w:val="none" w:sz="0" w:space="0" w:color="auto"/>
                        <w:left w:val="none" w:sz="0" w:space="0" w:color="auto"/>
                        <w:bottom w:val="none" w:sz="0" w:space="0" w:color="auto"/>
                        <w:right w:val="none" w:sz="0" w:space="0" w:color="auto"/>
                      </w:divBdr>
                      <w:divsChild>
                        <w:div w:id="294140585">
                          <w:marLeft w:val="0"/>
                          <w:marRight w:val="0"/>
                          <w:marTop w:val="0"/>
                          <w:marBottom w:val="0"/>
                          <w:divBdr>
                            <w:top w:val="none" w:sz="0" w:space="0" w:color="auto"/>
                            <w:left w:val="none" w:sz="0" w:space="0" w:color="auto"/>
                            <w:bottom w:val="none" w:sz="0" w:space="0" w:color="auto"/>
                            <w:right w:val="none" w:sz="0" w:space="0" w:color="auto"/>
                          </w:divBdr>
                        </w:div>
                      </w:divsChild>
                    </w:div>
                    <w:div w:id="294153470">
                      <w:marLeft w:val="0"/>
                      <w:marRight w:val="0"/>
                      <w:marTop w:val="0"/>
                      <w:marBottom w:val="0"/>
                      <w:divBdr>
                        <w:top w:val="none" w:sz="0" w:space="0" w:color="auto"/>
                        <w:left w:val="none" w:sz="0" w:space="0" w:color="auto"/>
                        <w:bottom w:val="none" w:sz="0" w:space="0" w:color="auto"/>
                        <w:right w:val="none" w:sz="0" w:space="0" w:color="auto"/>
                      </w:divBdr>
                    </w:div>
                    <w:div w:id="294153481">
                      <w:marLeft w:val="0"/>
                      <w:marRight w:val="0"/>
                      <w:marTop w:val="0"/>
                      <w:marBottom w:val="0"/>
                      <w:divBdr>
                        <w:top w:val="none" w:sz="0" w:space="0" w:color="auto"/>
                        <w:left w:val="none" w:sz="0" w:space="0" w:color="auto"/>
                        <w:bottom w:val="none" w:sz="0" w:space="0" w:color="auto"/>
                        <w:right w:val="none" w:sz="0" w:space="0" w:color="auto"/>
                      </w:divBdr>
                      <w:divsChild>
                        <w:div w:id="294150302">
                          <w:marLeft w:val="0"/>
                          <w:marRight w:val="0"/>
                          <w:marTop w:val="0"/>
                          <w:marBottom w:val="0"/>
                          <w:divBdr>
                            <w:top w:val="none" w:sz="0" w:space="0" w:color="auto"/>
                            <w:left w:val="none" w:sz="0" w:space="0" w:color="auto"/>
                            <w:bottom w:val="none" w:sz="0" w:space="0" w:color="auto"/>
                            <w:right w:val="none" w:sz="0" w:space="0" w:color="auto"/>
                          </w:divBdr>
                        </w:div>
                      </w:divsChild>
                    </w:div>
                    <w:div w:id="294153754">
                      <w:marLeft w:val="0"/>
                      <w:marRight w:val="0"/>
                      <w:marTop w:val="0"/>
                      <w:marBottom w:val="0"/>
                      <w:divBdr>
                        <w:top w:val="none" w:sz="0" w:space="0" w:color="auto"/>
                        <w:left w:val="none" w:sz="0" w:space="0" w:color="auto"/>
                        <w:bottom w:val="none" w:sz="0" w:space="0" w:color="auto"/>
                        <w:right w:val="none" w:sz="0" w:space="0" w:color="auto"/>
                      </w:divBdr>
                      <w:divsChild>
                        <w:div w:id="294155071">
                          <w:marLeft w:val="0"/>
                          <w:marRight w:val="0"/>
                          <w:marTop w:val="0"/>
                          <w:marBottom w:val="0"/>
                          <w:divBdr>
                            <w:top w:val="none" w:sz="0" w:space="0" w:color="auto"/>
                            <w:left w:val="none" w:sz="0" w:space="0" w:color="auto"/>
                            <w:bottom w:val="none" w:sz="0" w:space="0" w:color="auto"/>
                            <w:right w:val="none" w:sz="0" w:space="0" w:color="auto"/>
                          </w:divBdr>
                        </w:div>
                      </w:divsChild>
                    </w:div>
                    <w:div w:id="294153832">
                      <w:marLeft w:val="0"/>
                      <w:marRight w:val="0"/>
                      <w:marTop w:val="0"/>
                      <w:marBottom w:val="0"/>
                      <w:divBdr>
                        <w:top w:val="none" w:sz="0" w:space="0" w:color="auto"/>
                        <w:left w:val="none" w:sz="0" w:space="0" w:color="auto"/>
                        <w:bottom w:val="none" w:sz="0" w:space="0" w:color="auto"/>
                        <w:right w:val="none" w:sz="0" w:space="0" w:color="auto"/>
                      </w:divBdr>
                    </w:div>
                    <w:div w:id="294153866">
                      <w:marLeft w:val="0"/>
                      <w:marRight w:val="0"/>
                      <w:marTop w:val="0"/>
                      <w:marBottom w:val="0"/>
                      <w:divBdr>
                        <w:top w:val="none" w:sz="0" w:space="0" w:color="auto"/>
                        <w:left w:val="none" w:sz="0" w:space="0" w:color="auto"/>
                        <w:bottom w:val="none" w:sz="0" w:space="0" w:color="auto"/>
                        <w:right w:val="none" w:sz="0" w:space="0" w:color="auto"/>
                      </w:divBdr>
                    </w:div>
                    <w:div w:id="294153915">
                      <w:marLeft w:val="0"/>
                      <w:marRight w:val="0"/>
                      <w:marTop w:val="0"/>
                      <w:marBottom w:val="0"/>
                      <w:divBdr>
                        <w:top w:val="none" w:sz="0" w:space="0" w:color="auto"/>
                        <w:left w:val="none" w:sz="0" w:space="0" w:color="auto"/>
                        <w:bottom w:val="none" w:sz="0" w:space="0" w:color="auto"/>
                        <w:right w:val="none" w:sz="0" w:space="0" w:color="auto"/>
                      </w:divBdr>
                      <w:divsChild>
                        <w:div w:id="294149182">
                          <w:marLeft w:val="0"/>
                          <w:marRight w:val="0"/>
                          <w:marTop w:val="0"/>
                          <w:marBottom w:val="0"/>
                          <w:divBdr>
                            <w:top w:val="none" w:sz="0" w:space="0" w:color="auto"/>
                            <w:left w:val="none" w:sz="0" w:space="0" w:color="auto"/>
                            <w:bottom w:val="none" w:sz="0" w:space="0" w:color="auto"/>
                            <w:right w:val="none" w:sz="0" w:space="0" w:color="auto"/>
                          </w:divBdr>
                        </w:div>
                      </w:divsChild>
                    </w:div>
                    <w:div w:id="294153938">
                      <w:marLeft w:val="0"/>
                      <w:marRight w:val="0"/>
                      <w:marTop w:val="0"/>
                      <w:marBottom w:val="0"/>
                      <w:divBdr>
                        <w:top w:val="none" w:sz="0" w:space="0" w:color="auto"/>
                        <w:left w:val="none" w:sz="0" w:space="0" w:color="auto"/>
                        <w:bottom w:val="none" w:sz="0" w:space="0" w:color="auto"/>
                        <w:right w:val="none" w:sz="0" w:space="0" w:color="auto"/>
                      </w:divBdr>
                      <w:divsChild>
                        <w:div w:id="294144615">
                          <w:marLeft w:val="0"/>
                          <w:marRight w:val="0"/>
                          <w:marTop w:val="0"/>
                          <w:marBottom w:val="0"/>
                          <w:divBdr>
                            <w:top w:val="none" w:sz="0" w:space="0" w:color="auto"/>
                            <w:left w:val="none" w:sz="0" w:space="0" w:color="auto"/>
                            <w:bottom w:val="none" w:sz="0" w:space="0" w:color="auto"/>
                            <w:right w:val="none" w:sz="0" w:space="0" w:color="auto"/>
                          </w:divBdr>
                        </w:div>
                      </w:divsChild>
                    </w:div>
                    <w:div w:id="294154171">
                      <w:marLeft w:val="0"/>
                      <w:marRight w:val="0"/>
                      <w:marTop w:val="0"/>
                      <w:marBottom w:val="0"/>
                      <w:divBdr>
                        <w:top w:val="none" w:sz="0" w:space="0" w:color="auto"/>
                        <w:left w:val="none" w:sz="0" w:space="0" w:color="auto"/>
                        <w:bottom w:val="none" w:sz="0" w:space="0" w:color="auto"/>
                        <w:right w:val="none" w:sz="0" w:space="0" w:color="auto"/>
                      </w:divBdr>
                      <w:divsChild>
                        <w:div w:id="294153197">
                          <w:marLeft w:val="0"/>
                          <w:marRight w:val="0"/>
                          <w:marTop w:val="0"/>
                          <w:marBottom w:val="0"/>
                          <w:divBdr>
                            <w:top w:val="none" w:sz="0" w:space="0" w:color="auto"/>
                            <w:left w:val="none" w:sz="0" w:space="0" w:color="auto"/>
                            <w:bottom w:val="none" w:sz="0" w:space="0" w:color="auto"/>
                            <w:right w:val="none" w:sz="0" w:space="0" w:color="auto"/>
                          </w:divBdr>
                        </w:div>
                      </w:divsChild>
                    </w:div>
                    <w:div w:id="294154178">
                      <w:marLeft w:val="0"/>
                      <w:marRight w:val="0"/>
                      <w:marTop w:val="0"/>
                      <w:marBottom w:val="0"/>
                      <w:divBdr>
                        <w:top w:val="none" w:sz="0" w:space="0" w:color="auto"/>
                        <w:left w:val="none" w:sz="0" w:space="0" w:color="auto"/>
                        <w:bottom w:val="none" w:sz="0" w:space="0" w:color="auto"/>
                        <w:right w:val="none" w:sz="0" w:space="0" w:color="auto"/>
                      </w:divBdr>
                      <w:divsChild>
                        <w:div w:id="294144633">
                          <w:marLeft w:val="0"/>
                          <w:marRight w:val="0"/>
                          <w:marTop w:val="0"/>
                          <w:marBottom w:val="0"/>
                          <w:divBdr>
                            <w:top w:val="none" w:sz="0" w:space="0" w:color="auto"/>
                            <w:left w:val="none" w:sz="0" w:space="0" w:color="auto"/>
                            <w:bottom w:val="none" w:sz="0" w:space="0" w:color="auto"/>
                            <w:right w:val="none" w:sz="0" w:space="0" w:color="auto"/>
                          </w:divBdr>
                        </w:div>
                      </w:divsChild>
                    </w:div>
                    <w:div w:id="294154353">
                      <w:marLeft w:val="0"/>
                      <w:marRight w:val="0"/>
                      <w:marTop w:val="0"/>
                      <w:marBottom w:val="0"/>
                      <w:divBdr>
                        <w:top w:val="none" w:sz="0" w:space="0" w:color="auto"/>
                        <w:left w:val="none" w:sz="0" w:space="0" w:color="auto"/>
                        <w:bottom w:val="none" w:sz="0" w:space="0" w:color="auto"/>
                        <w:right w:val="none" w:sz="0" w:space="0" w:color="auto"/>
                      </w:divBdr>
                      <w:divsChild>
                        <w:div w:id="294139474">
                          <w:marLeft w:val="0"/>
                          <w:marRight w:val="0"/>
                          <w:marTop w:val="0"/>
                          <w:marBottom w:val="0"/>
                          <w:divBdr>
                            <w:top w:val="none" w:sz="0" w:space="0" w:color="auto"/>
                            <w:left w:val="none" w:sz="0" w:space="0" w:color="auto"/>
                            <w:bottom w:val="none" w:sz="0" w:space="0" w:color="auto"/>
                            <w:right w:val="none" w:sz="0" w:space="0" w:color="auto"/>
                          </w:divBdr>
                        </w:div>
                      </w:divsChild>
                    </w:div>
                    <w:div w:id="294154590">
                      <w:marLeft w:val="0"/>
                      <w:marRight w:val="0"/>
                      <w:marTop w:val="0"/>
                      <w:marBottom w:val="0"/>
                      <w:divBdr>
                        <w:top w:val="none" w:sz="0" w:space="0" w:color="auto"/>
                        <w:left w:val="none" w:sz="0" w:space="0" w:color="auto"/>
                        <w:bottom w:val="none" w:sz="0" w:space="0" w:color="auto"/>
                        <w:right w:val="none" w:sz="0" w:space="0" w:color="auto"/>
                      </w:divBdr>
                    </w:div>
                    <w:div w:id="294154614">
                      <w:marLeft w:val="0"/>
                      <w:marRight w:val="0"/>
                      <w:marTop w:val="0"/>
                      <w:marBottom w:val="0"/>
                      <w:divBdr>
                        <w:top w:val="none" w:sz="0" w:space="0" w:color="auto"/>
                        <w:left w:val="none" w:sz="0" w:space="0" w:color="auto"/>
                        <w:bottom w:val="none" w:sz="0" w:space="0" w:color="auto"/>
                        <w:right w:val="none" w:sz="0" w:space="0" w:color="auto"/>
                      </w:divBdr>
                      <w:divsChild>
                        <w:div w:id="294138796">
                          <w:marLeft w:val="0"/>
                          <w:marRight w:val="0"/>
                          <w:marTop w:val="0"/>
                          <w:marBottom w:val="0"/>
                          <w:divBdr>
                            <w:top w:val="none" w:sz="0" w:space="0" w:color="auto"/>
                            <w:left w:val="none" w:sz="0" w:space="0" w:color="auto"/>
                            <w:bottom w:val="none" w:sz="0" w:space="0" w:color="auto"/>
                            <w:right w:val="none" w:sz="0" w:space="0" w:color="auto"/>
                          </w:divBdr>
                        </w:div>
                      </w:divsChild>
                    </w:div>
                    <w:div w:id="294154665">
                      <w:marLeft w:val="0"/>
                      <w:marRight w:val="0"/>
                      <w:marTop w:val="0"/>
                      <w:marBottom w:val="0"/>
                      <w:divBdr>
                        <w:top w:val="none" w:sz="0" w:space="0" w:color="auto"/>
                        <w:left w:val="none" w:sz="0" w:space="0" w:color="auto"/>
                        <w:bottom w:val="none" w:sz="0" w:space="0" w:color="auto"/>
                        <w:right w:val="none" w:sz="0" w:space="0" w:color="auto"/>
                      </w:divBdr>
                    </w:div>
                    <w:div w:id="294154692">
                      <w:marLeft w:val="0"/>
                      <w:marRight w:val="0"/>
                      <w:marTop w:val="0"/>
                      <w:marBottom w:val="0"/>
                      <w:divBdr>
                        <w:top w:val="none" w:sz="0" w:space="0" w:color="auto"/>
                        <w:left w:val="none" w:sz="0" w:space="0" w:color="auto"/>
                        <w:bottom w:val="none" w:sz="0" w:space="0" w:color="auto"/>
                        <w:right w:val="none" w:sz="0" w:space="0" w:color="auto"/>
                      </w:divBdr>
                    </w:div>
                    <w:div w:id="294154758">
                      <w:marLeft w:val="0"/>
                      <w:marRight w:val="0"/>
                      <w:marTop w:val="0"/>
                      <w:marBottom w:val="0"/>
                      <w:divBdr>
                        <w:top w:val="none" w:sz="0" w:space="0" w:color="auto"/>
                        <w:left w:val="none" w:sz="0" w:space="0" w:color="auto"/>
                        <w:bottom w:val="none" w:sz="0" w:space="0" w:color="auto"/>
                        <w:right w:val="none" w:sz="0" w:space="0" w:color="auto"/>
                      </w:divBdr>
                      <w:divsChild>
                        <w:div w:id="294145446">
                          <w:marLeft w:val="0"/>
                          <w:marRight w:val="0"/>
                          <w:marTop w:val="0"/>
                          <w:marBottom w:val="0"/>
                          <w:divBdr>
                            <w:top w:val="none" w:sz="0" w:space="0" w:color="auto"/>
                            <w:left w:val="none" w:sz="0" w:space="0" w:color="auto"/>
                            <w:bottom w:val="none" w:sz="0" w:space="0" w:color="auto"/>
                            <w:right w:val="none" w:sz="0" w:space="0" w:color="auto"/>
                          </w:divBdr>
                        </w:div>
                      </w:divsChild>
                    </w:div>
                    <w:div w:id="294154762">
                      <w:marLeft w:val="0"/>
                      <w:marRight w:val="0"/>
                      <w:marTop w:val="0"/>
                      <w:marBottom w:val="0"/>
                      <w:divBdr>
                        <w:top w:val="none" w:sz="0" w:space="0" w:color="auto"/>
                        <w:left w:val="none" w:sz="0" w:space="0" w:color="auto"/>
                        <w:bottom w:val="none" w:sz="0" w:space="0" w:color="auto"/>
                        <w:right w:val="none" w:sz="0" w:space="0" w:color="auto"/>
                      </w:divBdr>
                      <w:divsChild>
                        <w:div w:id="294147005">
                          <w:marLeft w:val="0"/>
                          <w:marRight w:val="0"/>
                          <w:marTop w:val="0"/>
                          <w:marBottom w:val="0"/>
                          <w:divBdr>
                            <w:top w:val="none" w:sz="0" w:space="0" w:color="auto"/>
                            <w:left w:val="none" w:sz="0" w:space="0" w:color="auto"/>
                            <w:bottom w:val="none" w:sz="0" w:space="0" w:color="auto"/>
                            <w:right w:val="none" w:sz="0" w:space="0" w:color="auto"/>
                          </w:divBdr>
                        </w:div>
                      </w:divsChild>
                    </w:div>
                    <w:div w:id="294154876">
                      <w:marLeft w:val="0"/>
                      <w:marRight w:val="0"/>
                      <w:marTop w:val="0"/>
                      <w:marBottom w:val="0"/>
                      <w:divBdr>
                        <w:top w:val="none" w:sz="0" w:space="0" w:color="auto"/>
                        <w:left w:val="none" w:sz="0" w:space="0" w:color="auto"/>
                        <w:bottom w:val="none" w:sz="0" w:space="0" w:color="auto"/>
                        <w:right w:val="none" w:sz="0" w:space="0" w:color="auto"/>
                      </w:divBdr>
                    </w:div>
                    <w:div w:id="294155019">
                      <w:marLeft w:val="0"/>
                      <w:marRight w:val="0"/>
                      <w:marTop w:val="0"/>
                      <w:marBottom w:val="0"/>
                      <w:divBdr>
                        <w:top w:val="none" w:sz="0" w:space="0" w:color="auto"/>
                        <w:left w:val="none" w:sz="0" w:space="0" w:color="auto"/>
                        <w:bottom w:val="none" w:sz="0" w:space="0" w:color="auto"/>
                        <w:right w:val="none" w:sz="0" w:space="0" w:color="auto"/>
                      </w:divBdr>
                    </w:div>
                    <w:div w:id="294155059">
                      <w:marLeft w:val="0"/>
                      <w:marRight w:val="0"/>
                      <w:marTop w:val="0"/>
                      <w:marBottom w:val="0"/>
                      <w:divBdr>
                        <w:top w:val="none" w:sz="0" w:space="0" w:color="auto"/>
                        <w:left w:val="none" w:sz="0" w:space="0" w:color="auto"/>
                        <w:bottom w:val="none" w:sz="0" w:space="0" w:color="auto"/>
                        <w:right w:val="none" w:sz="0" w:space="0" w:color="auto"/>
                      </w:divBdr>
                      <w:divsChild>
                        <w:div w:id="294157463">
                          <w:marLeft w:val="0"/>
                          <w:marRight w:val="0"/>
                          <w:marTop w:val="0"/>
                          <w:marBottom w:val="0"/>
                          <w:divBdr>
                            <w:top w:val="none" w:sz="0" w:space="0" w:color="auto"/>
                            <w:left w:val="none" w:sz="0" w:space="0" w:color="auto"/>
                            <w:bottom w:val="none" w:sz="0" w:space="0" w:color="auto"/>
                            <w:right w:val="none" w:sz="0" w:space="0" w:color="auto"/>
                          </w:divBdr>
                        </w:div>
                      </w:divsChild>
                    </w:div>
                    <w:div w:id="294155091">
                      <w:marLeft w:val="0"/>
                      <w:marRight w:val="0"/>
                      <w:marTop w:val="0"/>
                      <w:marBottom w:val="0"/>
                      <w:divBdr>
                        <w:top w:val="none" w:sz="0" w:space="0" w:color="auto"/>
                        <w:left w:val="none" w:sz="0" w:space="0" w:color="auto"/>
                        <w:bottom w:val="none" w:sz="0" w:space="0" w:color="auto"/>
                        <w:right w:val="none" w:sz="0" w:space="0" w:color="auto"/>
                      </w:divBdr>
                    </w:div>
                    <w:div w:id="294155167">
                      <w:marLeft w:val="0"/>
                      <w:marRight w:val="0"/>
                      <w:marTop w:val="0"/>
                      <w:marBottom w:val="0"/>
                      <w:divBdr>
                        <w:top w:val="none" w:sz="0" w:space="0" w:color="auto"/>
                        <w:left w:val="none" w:sz="0" w:space="0" w:color="auto"/>
                        <w:bottom w:val="none" w:sz="0" w:space="0" w:color="auto"/>
                        <w:right w:val="none" w:sz="0" w:space="0" w:color="auto"/>
                      </w:divBdr>
                      <w:divsChild>
                        <w:div w:id="294141026">
                          <w:marLeft w:val="0"/>
                          <w:marRight w:val="0"/>
                          <w:marTop w:val="0"/>
                          <w:marBottom w:val="0"/>
                          <w:divBdr>
                            <w:top w:val="none" w:sz="0" w:space="0" w:color="auto"/>
                            <w:left w:val="none" w:sz="0" w:space="0" w:color="auto"/>
                            <w:bottom w:val="none" w:sz="0" w:space="0" w:color="auto"/>
                            <w:right w:val="none" w:sz="0" w:space="0" w:color="auto"/>
                          </w:divBdr>
                        </w:div>
                      </w:divsChild>
                    </w:div>
                    <w:div w:id="294155192">
                      <w:marLeft w:val="0"/>
                      <w:marRight w:val="0"/>
                      <w:marTop w:val="0"/>
                      <w:marBottom w:val="0"/>
                      <w:divBdr>
                        <w:top w:val="none" w:sz="0" w:space="0" w:color="auto"/>
                        <w:left w:val="none" w:sz="0" w:space="0" w:color="auto"/>
                        <w:bottom w:val="none" w:sz="0" w:space="0" w:color="auto"/>
                        <w:right w:val="none" w:sz="0" w:space="0" w:color="auto"/>
                      </w:divBdr>
                    </w:div>
                    <w:div w:id="294155247">
                      <w:marLeft w:val="0"/>
                      <w:marRight w:val="0"/>
                      <w:marTop w:val="0"/>
                      <w:marBottom w:val="0"/>
                      <w:divBdr>
                        <w:top w:val="none" w:sz="0" w:space="0" w:color="auto"/>
                        <w:left w:val="none" w:sz="0" w:space="0" w:color="auto"/>
                        <w:bottom w:val="none" w:sz="0" w:space="0" w:color="auto"/>
                        <w:right w:val="none" w:sz="0" w:space="0" w:color="auto"/>
                      </w:divBdr>
                    </w:div>
                    <w:div w:id="294155292">
                      <w:marLeft w:val="0"/>
                      <w:marRight w:val="0"/>
                      <w:marTop w:val="0"/>
                      <w:marBottom w:val="0"/>
                      <w:divBdr>
                        <w:top w:val="none" w:sz="0" w:space="0" w:color="auto"/>
                        <w:left w:val="none" w:sz="0" w:space="0" w:color="auto"/>
                        <w:bottom w:val="none" w:sz="0" w:space="0" w:color="auto"/>
                        <w:right w:val="none" w:sz="0" w:space="0" w:color="auto"/>
                      </w:divBdr>
                    </w:div>
                    <w:div w:id="294155337">
                      <w:marLeft w:val="0"/>
                      <w:marRight w:val="0"/>
                      <w:marTop w:val="0"/>
                      <w:marBottom w:val="0"/>
                      <w:divBdr>
                        <w:top w:val="none" w:sz="0" w:space="0" w:color="auto"/>
                        <w:left w:val="none" w:sz="0" w:space="0" w:color="auto"/>
                        <w:bottom w:val="none" w:sz="0" w:space="0" w:color="auto"/>
                        <w:right w:val="none" w:sz="0" w:space="0" w:color="auto"/>
                      </w:divBdr>
                    </w:div>
                    <w:div w:id="294155368">
                      <w:marLeft w:val="0"/>
                      <w:marRight w:val="0"/>
                      <w:marTop w:val="0"/>
                      <w:marBottom w:val="0"/>
                      <w:divBdr>
                        <w:top w:val="none" w:sz="0" w:space="0" w:color="auto"/>
                        <w:left w:val="none" w:sz="0" w:space="0" w:color="auto"/>
                        <w:bottom w:val="none" w:sz="0" w:space="0" w:color="auto"/>
                        <w:right w:val="none" w:sz="0" w:space="0" w:color="auto"/>
                      </w:divBdr>
                    </w:div>
                    <w:div w:id="294155377">
                      <w:marLeft w:val="0"/>
                      <w:marRight w:val="0"/>
                      <w:marTop w:val="0"/>
                      <w:marBottom w:val="0"/>
                      <w:divBdr>
                        <w:top w:val="none" w:sz="0" w:space="0" w:color="auto"/>
                        <w:left w:val="none" w:sz="0" w:space="0" w:color="auto"/>
                        <w:bottom w:val="none" w:sz="0" w:space="0" w:color="auto"/>
                        <w:right w:val="none" w:sz="0" w:space="0" w:color="auto"/>
                      </w:divBdr>
                      <w:divsChild>
                        <w:div w:id="294155512">
                          <w:marLeft w:val="0"/>
                          <w:marRight w:val="0"/>
                          <w:marTop w:val="0"/>
                          <w:marBottom w:val="0"/>
                          <w:divBdr>
                            <w:top w:val="none" w:sz="0" w:space="0" w:color="auto"/>
                            <w:left w:val="none" w:sz="0" w:space="0" w:color="auto"/>
                            <w:bottom w:val="none" w:sz="0" w:space="0" w:color="auto"/>
                            <w:right w:val="none" w:sz="0" w:space="0" w:color="auto"/>
                          </w:divBdr>
                        </w:div>
                      </w:divsChild>
                    </w:div>
                    <w:div w:id="294155530">
                      <w:marLeft w:val="0"/>
                      <w:marRight w:val="0"/>
                      <w:marTop w:val="0"/>
                      <w:marBottom w:val="0"/>
                      <w:divBdr>
                        <w:top w:val="none" w:sz="0" w:space="0" w:color="auto"/>
                        <w:left w:val="none" w:sz="0" w:space="0" w:color="auto"/>
                        <w:bottom w:val="none" w:sz="0" w:space="0" w:color="auto"/>
                        <w:right w:val="none" w:sz="0" w:space="0" w:color="auto"/>
                      </w:divBdr>
                      <w:divsChild>
                        <w:div w:id="294148188">
                          <w:marLeft w:val="0"/>
                          <w:marRight w:val="0"/>
                          <w:marTop w:val="0"/>
                          <w:marBottom w:val="0"/>
                          <w:divBdr>
                            <w:top w:val="none" w:sz="0" w:space="0" w:color="auto"/>
                            <w:left w:val="none" w:sz="0" w:space="0" w:color="auto"/>
                            <w:bottom w:val="none" w:sz="0" w:space="0" w:color="auto"/>
                            <w:right w:val="none" w:sz="0" w:space="0" w:color="auto"/>
                          </w:divBdr>
                        </w:div>
                      </w:divsChild>
                    </w:div>
                    <w:div w:id="294155547">
                      <w:marLeft w:val="0"/>
                      <w:marRight w:val="0"/>
                      <w:marTop w:val="0"/>
                      <w:marBottom w:val="0"/>
                      <w:divBdr>
                        <w:top w:val="none" w:sz="0" w:space="0" w:color="auto"/>
                        <w:left w:val="none" w:sz="0" w:space="0" w:color="auto"/>
                        <w:bottom w:val="none" w:sz="0" w:space="0" w:color="auto"/>
                        <w:right w:val="none" w:sz="0" w:space="0" w:color="auto"/>
                      </w:divBdr>
                      <w:divsChild>
                        <w:div w:id="294154111">
                          <w:marLeft w:val="0"/>
                          <w:marRight w:val="0"/>
                          <w:marTop w:val="0"/>
                          <w:marBottom w:val="0"/>
                          <w:divBdr>
                            <w:top w:val="none" w:sz="0" w:space="0" w:color="auto"/>
                            <w:left w:val="none" w:sz="0" w:space="0" w:color="auto"/>
                            <w:bottom w:val="none" w:sz="0" w:space="0" w:color="auto"/>
                            <w:right w:val="none" w:sz="0" w:space="0" w:color="auto"/>
                          </w:divBdr>
                        </w:div>
                      </w:divsChild>
                    </w:div>
                    <w:div w:id="294155618">
                      <w:marLeft w:val="0"/>
                      <w:marRight w:val="0"/>
                      <w:marTop w:val="0"/>
                      <w:marBottom w:val="0"/>
                      <w:divBdr>
                        <w:top w:val="none" w:sz="0" w:space="0" w:color="auto"/>
                        <w:left w:val="none" w:sz="0" w:space="0" w:color="auto"/>
                        <w:bottom w:val="none" w:sz="0" w:space="0" w:color="auto"/>
                        <w:right w:val="none" w:sz="0" w:space="0" w:color="auto"/>
                      </w:divBdr>
                      <w:divsChild>
                        <w:div w:id="294145458">
                          <w:marLeft w:val="0"/>
                          <w:marRight w:val="0"/>
                          <w:marTop w:val="0"/>
                          <w:marBottom w:val="0"/>
                          <w:divBdr>
                            <w:top w:val="none" w:sz="0" w:space="0" w:color="auto"/>
                            <w:left w:val="none" w:sz="0" w:space="0" w:color="auto"/>
                            <w:bottom w:val="none" w:sz="0" w:space="0" w:color="auto"/>
                            <w:right w:val="none" w:sz="0" w:space="0" w:color="auto"/>
                          </w:divBdr>
                        </w:div>
                      </w:divsChild>
                    </w:div>
                    <w:div w:id="294155670">
                      <w:marLeft w:val="0"/>
                      <w:marRight w:val="0"/>
                      <w:marTop w:val="0"/>
                      <w:marBottom w:val="0"/>
                      <w:divBdr>
                        <w:top w:val="none" w:sz="0" w:space="0" w:color="auto"/>
                        <w:left w:val="none" w:sz="0" w:space="0" w:color="auto"/>
                        <w:bottom w:val="none" w:sz="0" w:space="0" w:color="auto"/>
                        <w:right w:val="none" w:sz="0" w:space="0" w:color="auto"/>
                      </w:divBdr>
                    </w:div>
                    <w:div w:id="294155852">
                      <w:marLeft w:val="0"/>
                      <w:marRight w:val="0"/>
                      <w:marTop w:val="0"/>
                      <w:marBottom w:val="0"/>
                      <w:divBdr>
                        <w:top w:val="none" w:sz="0" w:space="0" w:color="auto"/>
                        <w:left w:val="none" w:sz="0" w:space="0" w:color="auto"/>
                        <w:bottom w:val="none" w:sz="0" w:space="0" w:color="auto"/>
                        <w:right w:val="none" w:sz="0" w:space="0" w:color="auto"/>
                      </w:divBdr>
                    </w:div>
                    <w:div w:id="294155933">
                      <w:marLeft w:val="0"/>
                      <w:marRight w:val="0"/>
                      <w:marTop w:val="0"/>
                      <w:marBottom w:val="0"/>
                      <w:divBdr>
                        <w:top w:val="none" w:sz="0" w:space="0" w:color="auto"/>
                        <w:left w:val="none" w:sz="0" w:space="0" w:color="auto"/>
                        <w:bottom w:val="none" w:sz="0" w:space="0" w:color="auto"/>
                        <w:right w:val="none" w:sz="0" w:space="0" w:color="auto"/>
                      </w:divBdr>
                    </w:div>
                    <w:div w:id="294156039">
                      <w:marLeft w:val="0"/>
                      <w:marRight w:val="0"/>
                      <w:marTop w:val="0"/>
                      <w:marBottom w:val="0"/>
                      <w:divBdr>
                        <w:top w:val="none" w:sz="0" w:space="0" w:color="auto"/>
                        <w:left w:val="none" w:sz="0" w:space="0" w:color="auto"/>
                        <w:bottom w:val="none" w:sz="0" w:space="0" w:color="auto"/>
                        <w:right w:val="none" w:sz="0" w:space="0" w:color="auto"/>
                      </w:divBdr>
                      <w:divsChild>
                        <w:div w:id="294149185">
                          <w:marLeft w:val="0"/>
                          <w:marRight w:val="0"/>
                          <w:marTop w:val="0"/>
                          <w:marBottom w:val="0"/>
                          <w:divBdr>
                            <w:top w:val="none" w:sz="0" w:space="0" w:color="auto"/>
                            <w:left w:val="none" w:sz="0" w:space="0" w:color="auto"/>
                            <w:bottom w:val="none" w:sz="0" w:space="0" w:color="auto"/>
                            <w:right w:val="none" w:sz="0" w:space="0" w:color="auto"/>
                          </w:divBdr>
                        </w:div>
                      </w:divsChild>
                    </w:div>
                    <w:div w:id="294156055">
                      <w:marLeft w:val="0"/>
                      <w:marRight w:val="0"/>
                      <w:marTop w:val="0"/>
                      <w:marBottom w:val="0"/>
                      <w:divBdr>
                        <w:top w:val="none" w:sz="0" w:space="0" w:color="auto"/>
                        <w:left w:val="none" w:sz="0" w:space="0" w:color="auto"/>
                        <w:bottom w:val="none" w:sz="0" w:space="0" w:color="auto"/>
                        <w:right w:val="none" w:sz="0" w:space="0" w:color="auto"/>
                      </w:divBdr>
                      <w:divsChild>
                        <w:div w:id="294150944">
                          <w:marLeft w:val="0"/>
                          <w:marRight w:val="0"/>
                          <w:marTop w:val="0"/>
                          <w:marBottom w:val="0"/>
                          <w:divBdr>
                            <w:top w:val="none" w:sz="0" w:space="0" w:color="auto"/>
                            <w:left w:val="none" w:sz="0" w:space="0" w:color="auto"/>
                            <w:bottom w:val="none" w:sz="0" w:space="0" w:color="auto"/>
                            <w:right w:val="none" w:sz="0" w:space="0" w:color="auto"/>
                          </w:divBdr>
                        </w:div>
                      </w:divsChild>
                    </w:div>
                    <w:div w:id="294156283">
                      <w:marLeft w:val="0"/>
                      <w:marRight w:val="0"/>
                      <w:marTop w:val="0"/>
                      <w:marBottom w:val="0"/>
                      <w:divBdr>
                        <w:top w:val="none" w:sz="0" w:space="0" w:color="auto"/>
                        <w:left w:val="none" w:sz="0" w:space="0" w:color="auto"/>
                        <w:bottom w:val="none" w:sz="0" w:space="0" w:color="auto"/>
                        <w:right w:val="none" w:sz="0" w:space="0" w:color="auto"/>
                      </w:divBdr>
                    </w:div>
                    <w:div w:id="294156586">
                      <w:marLeft w:val="0"/>
                      <w:marRight w:val="0"/>
                      <w:marTop w:val="0"/>
                      <w:marBottom w:val="0"/>
                      <w:divBdr>
                        <w:top w:val="none" w:sz="0" w:space="0" w:color="auto"/>
                        <w:left w:val="none" w:sz="0" w:space="0" w:color="auto"/>
                        <w:bottom w:val="none" w:sz="0" w:space="0" w:color="auto"/>
                        <w:right w:val="none" w:sz="0" w:space="0" w:color="auto"/>
                      </w:divBdr>
                      <w:divsChild>
                        <w:div w:id="294149430">
                          <w:marLeft w:val="0"/>
                          <w:marRight w:val="0"/>
                          <w:marTop w:val="0"/>
                          <w:marBottom w:val="0"/>
                          <w:divBdr>
                            <w:top w:val="none" w:sz="0" w:space="0" w:color="auto"/>
                            <w:left w:val="none" w:sz="0" w:space="0" w:color="auto"/>
                            <w:bottom w:val="none" w:sz="0" w:space="0" w:color="auto"/>
                            <w:right w:val="none" w:sz="0" w:space="0" w:color="auto"/>
                          </w:divBdr>
                        </w:div>
                      </w:divsChild>
                    </w:div>
                    <w:div w:id="294156644">
                      <w:marLeft w:val="0"/>
                      <w:marRight w:val="0"/>
                      <w:marTop w:val="0"/>
                      <w:marBottom w:val="0"/>
                      <w:divBdr>
                        <w:top w:val="none" w:sz="0" w:space="0" w:color="auto"/>
                        <w:left w:val="none" w:sz="0" w:space="0" w:color="auto"/>
                        <w:bottom w:val="none" w:sz="0" w:space="0" w:color="auto"/>
                        <w:right w:val="none" w:sz="0" w:space="0" w:color="auto"/>
                      </w:divBdr>
                    </w:div>
                    <w:div w:id="294156766">
                      <w:marLeft w:val="0"/>
                      <w:marRight w:val="0"/>
                      <w:marTop w:val="0"/>
                      <w:marBottom w:val="0"/>
                      <w:divBdr>
                        <w:top w:val="none" w:sz="0" w:space="0" w:color="auto"/>
                        <w:left w:val="none" w:sz="0" w:space="0" w:color="auto"/>
                        <w:bottom w:val="none" w:sz="0" w:space="0" w:color="auto"/>
                        <w:right w:val="none" w:sz="0" w:space="0" w:color="auto"/>
                      </w:divBdr>
                    </w:div>
                    <w:div w:id="294156851">
                      <w:marLeft w:val="0"/>
                      <w:marRight w:val="0"/>
                      <w:marTop w:val="0"/>
                      <w:marBottom w:val="0"/>
                      <w:divBdr>
                        <w:top w:val="none" w:sz="0" w:space="0" w:color="auto"/>
                        <w:left w:val="none" w:sz="0" w:space="0" w:color="auto"/>
                        <w:bottom w:val="none" w:sz="0" w:space="0" w:color="auto"/>
                        <w:right w:val="none" w:sz="0" w:space="0" w:color="auto"/>
                      </w:divBdr>
                    </w:div>
                    <w:div w:id="294156873">
                      <w:marLeft w:val="0"/>
                      <w:marRight w:val="0"/>
                      <w:marTop w:val="0"/>
                      <w:marBottom w:val="0"/>
                      <w:divBdr>
                        <w:top w:val="none" w:sz="0" w:space="0" w:color="auto"/>
                        <w:left w:val="none" w:sz="0" w:space="0" w:color="auto"/>
                        <w:bottom w:val="none" w:sz="0" w:space="0" w:color="auto"/>
                        <w:right w:val="none" w:sz="0" w:space="0" w:color="auto"/>
                      </w:divBdr>
                      <w:divsChild>
                        <w:div w:id="294155466">
                          <w:marLeft w:val="0"/>
                          <w:marRight w:val="0"/>
                          <w:marTop w:val="0"/>
                          <w:marBottom w:val="0"/>
                          <w:divBdr>
                            <w:top w:val="none" w:sz="0" w:space="0" w:color="auto"/>
                            <w:left w:val="none" w:sz="0" w:space="0" w:color="auto"/>
                            <w:bottom w:val="none" w:sz="0" w:space="0" w:color="auto"/>
                            <w:right w:val="none" w:sz="0" w:space="0" w:color="auto"/>
                          </w:divBdr>
                        </w:div>
                      </w:divsChild>
                    </w:div>
                    <w:div w:id="294156874">
                      <w:marLeft w:val="0"/>
                      <w:marRight w:val="0"/>
                      <w:marTop w:val="0"/>
                      <w:marBottom w:val="0"/>
                      <w:divBdr>
                        <w:top w:val="none" w:sz="0" w:space="0" w:color="auto"/>
                        <w:left w:val="none" w:sz="0" w:space="0" w:color="auto"/>
                        <w:bottom w:val="none" w:sz="0" w:space="0" w:color="auto"/>
                        <w:right w:val="none" w:sz="0" w:space="0" w:color="auto"/>
                      </w:divBdr>
                    </w:div>
                    <w:div w:id="294156880">
                      <w:marLeft w:val="0"/>
                      <w:marRight w:val="0"/>
                      <w:marTop w:val="0"/>
                      <w:marBottom w:val="0"/>
                      <w:divBdr>
                        <w:top w:val="none" w:sz="0" w:space="0" w:color="auto"/>
                        <w:left w:val="none" w:sz="0" w:space="0" w:color="auto"/>
                        <w:bottom w:val="none" w:sz="0" w:space="0" w:color="auto"/>
                        <w:right w:val="none" w:sz="0" w:space="0" w:color="auto"/>
                      </w:divBdr>
                    </w:div>
                    <w:div w:id="294156990">
                      <w:marLeft w:val="0"/>
                      <w:marRight w:val="0"/>
                      <w:marTop w:val="0"/>
                      <w:marBottom w:val="0"/>
                      <w:divBdr>
                        <w:top w:val="none" w:sz="0" w:space="0" w:color="auto"/>
                        <w:left w:val="none" w:sz="0" w:space="0" w:color="auto"/>
                        <w:bottom w:val="none" w:sz="0" w:space="0" w:color="auto"/>
                        <w:right w:val="none" w:sz="0" w:space="0" w:color="auto"/>
                      </w:divBdr>
                      <w:divsChild>
                        <w:div w:id="294154507">
                          <w:marLeft w:val="0"/>
                          <w:marRight w:val="0"/>
                          <w:marTop w:val="0"/>
                          <w:marBottom w:val="0"/>
                          <w:divBdr>
                            <w:top w:val="none" w:sz="0" w:space="0" w:color="auto"/>
                            <w:left w:val="none" w:sz="0" w:space="0" w:color="auto"/>
                            <w:bottom w:val="none" w:sz="0" w:space="0" w:color="auto"/>
                            <w:right w:val="none" w:sz="0" w:space="0" w:color="auto"/>
                          </w:divBdr>
                        </w:div>
                      </w:divsChild>
                    </w:div>
                    <w:div w:id="294157012">
                      <w:marLeft w:val="0"/>
                      <w:marRight w:val="0"/>
                      <w:marTop w:val="0"/>
                      <w:marBottom w:val="0"/>
                      <w:divBdr>
                        <w:top w:val="none" w:sz="0" w:space="0" w:color="auto"/>
                        <w:left w:val="none" w:sz="0" w:space="0" w:color="auto"/>
                        <w:bottom w:val="none" w:sz="0" w:space="0" w:color="auto"/>
                        <w:right w:val="none" w:sz="0" w:space="0" w:color="auto"/>
                      </w:divBdr>
                      <w:divsChild>
                        <w:div w:id="294145957">
                          <w:marLeft w:val="0"/>
                          <w:marRight w:val="0"/>
                          <w:marTop w:val="0"/>
                          <w:marBottom w:val="0"/>
                          <w:divBdr>
                            <w:top w:val="none" w:sz="0" w:space="0" w:color="auto"/>
                            <w:left w:val="none" w:sz="0" w:space="0" w:color="auto"/>
                            <w:bottom w:val="none" w:sz="0" w:space="0" w:color="auto"/>
                            <w:right w:val="none" w:sz="0" w:space="0" w:color="auto"/>
                          </w:divBdr>
                        </w:div>
                      </w:divsChild>
                    </w:div>
                    <w:div w:id="294157059">
                      <w:marLeft w:val="0"/>
                      <w:marRight w:val="0"/>
                      <w:marTop w:val="0"/>
                      <w:marBottom w:val="0"/>
                      <w:divBdr>
                        <w:top w:val="none" w:sz="0" w:space="0" w:color="auto"/>
                        <w:left w:val="none" w:sz="0" w:space="0" w:color="auto"/>
                        <w:bottom w:val="none" w:sz="0" w:space="0" w:color="auto"/>
                        <w:right w:val="none" w:sz="0" w:space="0" w:color="auto"/>
                      </w:divBdr>
                    </w:div>
                    <w:div w:id="294157088">
                      <w:marLeft w:val="0"/>
                      <w:marRight w:val="0"/>
                      <w:marTop w:val="0"/>
                      <w:marBottom w:val="0"/>
                      <w:divBdr>
                        <w:top w:val="none" w:sz="0" w:space="0" w:color="auto"/>
                        <w:left w:val="none" w:sz="0" w:space="0" w:color="auto"/>
                        <w:bottom w:val="none" w:sz="0" w:space="0" w:color="auto"/>
                        <w:right w:val="none" w:sz="0" w:space="0" w:color="auto"/>
                      </w:divBdr>
                    </w:div>
                    <w:div w:id="294157101">
                      <w:marLeft w:val="0"/>
                      <w:marRight w:val="0"/>
                      <w:marTop w:val="0"/>
                      <w:marBottom w:val="0"/>
                      <w:divBdr>
                        <w:top w:val="none" w:sz="0" w:space="0" w:color="auto"/>
                        <w:left w:val="none" w:sz="0" w:space="0" w:color="auto"/>
                        <w:bottom w:val="none" w:sz="0" w:space="0" w:color="auto"/>
                        <w:right w:val="none" w:sz="0" w:space="0" w:color="auto"/>
                      </w:divBdr>
                      <w:divsChild>
                        <w:div w:id="294138556">
                          <w:marLeft w:val="0"/>
                          <w:marRight w:val="0"/>
                          <w:marTop w:val="0"/>
                          <w:marBottom w:val="0"/>
                          <w:divBdr>
                            <w:top w:val="none" w:sz="0" w:space="0" w:color="auto"/>
                            <w:left w:val="none" w:sz="0" w:space="0" w:color="auto"/>
                            <w:bottom w:val="none" w:sz="0" w:space="0" w:color="auto"/>
                            <w:right w:val="none" w:sz="0" w:space="0" w:color="auto"/>
                          </w:divBdr>
                        </w:div>
                      </w:divsChild>
                    </w:div>
                    <w:div w:id="294157102">
                      <w:marLeft w:val="0"/>
                      <w:marRight w:val="0"/>
                      <w:marTop w:val="0"/>
                      <w:marBottom w:val="0"/>
                      <w:divBdr>
                        <w:top w:val="none" w:sz="0" w:space="0" w:color="auto"/>
                        <w:left w:val="none" w:sz="0" w:space="0" w:color="auto"/>
                        <w:bottom w:val="none" w:sz="0" w:space="0" w:color="auto"/>
                        <w:right w:val="none" w:sz="0" w:space="0" w:color="auto"/>
                      </w:divBdr>
                      <w:divsChild>
                        <w:div w:id="294149003">
                          <w:marLeft w:val="0"/>
                          <w:marRight w:val="0"/>
                          <w:marTop w:val="0"/>
                          <w:marBottom w:val="0"/>
                          <w:divBdr>
                            <w:top w:val="none" w:sz="0" w:space="0" w:color="auto"/>
                            <w:left w:val="none" w:sz="0" w:space="0" w:color="auto"/>
                            <w:bottom w:val="none" w:sz="0" w:space="0" w:color="auto"/>
                            <w:right w:val="none" w:sz="0" w:space="0" w:color="auto"/>
                          </w:divBdr>
                        </w:div>
                      </w:divsChild>
                    </w:div>
                    <w:div w:id="294157170">
                      <w:marLeft w:val="0"/>
                      <w:marRight w:val="0"/>
                      <w:marTop w:val="0"/>
                      <w:marBottom w:val="0"/>
                      <w:divBdr>
                        <w:top w:val="none" w:sz="0" w:space="0" w:color="auto"/>
                        <w:left w:val="none" w:sz="0" w:space="0" w:color="auto"/>
                        <w:bottom w:val="none" w:sz="0" w:space="0" w:color="auto"/>
                        <w:right w:val="none" w:sz="0" w:space="0" w:color="auto"/>
                      </w:divBdr>
                      <w:divsChild>
                        <w:div w:id="294150061">
                          <w:marLeft w:val="0"/>
                          <w:marRight w:val="0"/>
                          <w:marTop w:val="0"/>
                          <w:marBottom w:val="0"/>
                          <w:divBdr>
                            <w:top w:val="none" w:sz="0" w:space="0" w:color="auto"/>
                            <w:left w:val="none" w:sz="0" w:space="0" w:color="auto"/>
                            <w:bottom w:val="none" w:sz="0" w:space="0" w:color="auto"/>
                            <w:right w:val="none" w:sz="0" w:space="0" w:color="auto"/>
                          </w:divBdr>
                        </w:div>
                      </w:divsChild>
                    </w:div>
                    <w:div w:id="294157223">
                      <w:marLeft w:val="0"/>
                      <w:marRight w:val="0"/>
                      <w:marTop w:val="0"/>
                      <w:marBottom w:val="0"/>
                      <w:divBdr>
                        <w:top w:val="none" w:sz="0" w:space="0" w:color="auto"/>
                        <w:left w:val="none" w:sz="0" w:space="0" w:color="auto"/>
                        <w:bottom w:val="none" w:sz="0" w:space="0" w:color="auto"/>
                        <w:right w:val="none" w:sz="0" w:space="0" w:color="auto"/>
                      </w:divBdr>
                    </w:div>
                    <w:div w:id="294157320">
                      <w:marLeft w:val="0"/>
                      <w:marRight w:val="0"/>
                      <w:marTop w:val="0"/>
                      <w:marBottom w:val="0"/>
                      <w:divBdr>
                        <w:top w:val="none" w:sz="0" w:space="0" w:color="auto"/>
                        <w:left w:val="none" w:sz="0" w:space="0" w:color="auto"/>
                        <w:bottom w:val="none" w:sz="0" w:space="0" w:color="auto"/>
                        <w:right w:val="none" w:sz="0" w:space="0" w:color="auto"/>
                      </w:divBdr>
                      <w:divsChild>
                        <w:div w:id="294146829">
                          <w:marLeft w:val="0"/>
                          <w:marRight w:val="0"/>
                          <w:marTop w:val="0"/>
                          <w:marBottom w:val="0"/>
                          <w:divBdr>
                            <w:top w:val="none" w:sz="0" w:space="0" w:color="auto"/>
                            <w:left w:val="none" w:sz="0" w:space="0" w:color="auto"/>
                            <w:bottom w:val="none" w:sz="0" w:space="0" w:color="auto"/>
                            <w:right w:val="none" w:sz="0" w:space="0" w:color="auto"/>
                          </w:divBdr>
                        </w:div>
                      </w:divsChild>
                    </w:div>
                    <w:div w:id="294157411">
                      <w:marLeft w:val="0"/>
                      <w:marRight w:val="0"/>
                      <w:marTop w:val="0"/>
                      <w:marBottom w:val="0"/>
                      <w:divBdr>
                        <w:top w:val="none" w:sz="0" w:space="0" w:color="auto"/>
                        <w:left w:val="none" w:sz="0" w:space="0" w:color="auto"/>
                        <w:bottom w:val="none" w:sz="0" w:space="0" w:color="auto"/>
                        <w:right w:val="none" w:sz="0" w:space="0" w:color="auto"/>
                      </w:divBdr>
                      <w:divsChild>
                        <w:div w:id="294146157">
                          <w:marLeft w:val="0"/>
                          <w:marRight w:val="0"/>
                          <w:marTop w:val="0"/>
                          <w:marBottom w:val="0"/>
                          <w:divBdr>
                            <w:top w:val="none" w:sz="0" w:space="0" w:color="auto"/>
                            <w:left w:val="none" w:sz="0" w:space="0" w:color="auto"/>
                            <w:bottom w:val="none" w:sz="0" w:space="0" w:color="auto"/>
                            <w:right w:val="none" w:sz="0" w:space="0" w:color="auto"/>
                          </w:divBdr>
                        </w:div>
                      </w:divsChild>
                    </w:div>
                    <w:div w:id="294157473">
                      <w:marLeft w:val="0"/>
                      <w:marRight w:val="0"/>
                      <w:marTop w:val="0"/>
                      <w:marBottom w:val="0"/>
                      <w:divBdr>
                        <w:top w:val="none" w:sz="0" w:space="0" w:color="auto"/>
                        <w:left w:val="none" w:sz="0" w:space="0" w:color="auto"/>
                        <w:bottom w:val="none" w:sz="0" w:space="0" w:color="auto"/>
                        <w:right w:val="none" w:sz="0" w:space="0" w:color="auto"/>
                      </w:divBdr>
                      <w:divsChild>
                        <w:div w:id="29414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44593">
          <w:marLeft w:val="0"/>
          <w:marRight w:val="0"/>
          <w:marTop w:val="0"/>
          <w:marBottom w:val="0"/>
          <w:divBdr>
            <w:top w:val="none" w:sz="0" w:space="0" w:color="auto"/>
            <w:left w:val="none" w:sz="0" w:space="0" w:color="auto"/>
            <w:bottom w:val="none" w:sz="0" w:space="0" w:color="auto"/>
            <w:right w:val="none" w:sz="0" w:space="0" w:color="auto"/>
          </w:divBdr>
          <w:divsChild>
            <w:div w:id="294156237">
              <w:marLeft w:val="0"/>
              <w:marRight w:val="0"/>
              <w:marTop w:val="0"/>
              <w:marBottom w:val="0"/>
              <w:divBdr>
                <w:top w:val="none" w:sz="0" w:space="0" w:color="auto"/>
                <w:left w:val="none" w:sz="0" w:space="0" w:color="auto"/>
                <w:bottom w:val="none" w:sz="0" w:space="0" w:color="auto"/>
                <w:right w:val="none" w:sz="0" w:space="0" w:color="auto"/>
              </w:divBdr>
              <w:divsChild>
                <w:div w:id="2941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45337">
      <w:marLeft w:val="0"/>
      <w:marRight w:val="0"/>
      <w:marTop w:val="0"/>
      <w:marBottom w:val="0"/>
      <w:divBdr>
        <w:top w:val="none" w:sz="0" w:space="0" w:color="auto"/>
        <w:left w:val="none" w:sz="0" w:space="0" w:color="auto"/>
        <w:bottom w:val="none" w:sz="0" w:space="0" w:color="auto"/>
        <w:right w:val="none" w:sz="0" w:space="0" w:color="auto"/>
      </w:divBdr>
      <w:divsChild>
        <w:div w:id="294148853">
          <w:marLeft w:val="1920"/>
          <w:marRight w:val="720"/>
          <w:marTop w:val="100"/>
          <w:marBottom w:val="100"/>
          <w:divBdr>
            <w:top w:val="none" w:sz="0" w:space="0" w:color="auto"/>
            <w:left w:val="none" w:sz="0" w:space="0" w:color="auto"/>
            <w:bottom w:val="none" w:sz="0" w:space="0" w:color="auto"/>
            <w:right w:val="none" w:sz="0" w:space="0" w:color="auto"/>
          </w:divBdr>
        </w:div>
        <w:div w:id="294154688">
          <w:marLeft w:val="720"/>
          <w:marRight w:val="720"/>
          <w:marTop w:val="100"/>
          <w:marBottom w:val="100"/>
          <w:divBdr>
            <w:top w:val="none" w:sz="0" w:space="0" w:color="auto"/>
            <w:left w:val="none" w:sz="0" w:space="0" w:color="auto"/>
            <w:bottom w:val="none" w:sz="0" w:space="0" w:color="auto"/>
            <w:right w:val="none" w:sz="0" w:space="0" w:color="auto"/>
          </w:divBdr>
        </w:div>
      </w:divsChild>
    </w:div>
    <w:div w:id="294145338">
      <w:marLeft w:val="0"/>
      <w:marRight w:val="0"/>
      <w:marTop w:val="0"/>
      <w:marBottom w:val="0"/>
      <w:divBdr>
        <w:top w:val="none" w:sz="0" w:space="0" w:color="auto"/>
        <w:left w:val="none" w:sz="0" w:space="0" w:color="auto"/>
        <w:bottom w:val="none" w:sz="0" w:space="0" w:color="auto"/>
        <w:right w:val="none" w:sz="0" w:space="0" w:color="auto"/>
      </w:divBdr>
    </w:div>
    <w:div w:id="294145482">
      <w:marLeft w:val="0"/>
      <w:marRight w:val="0"/>
      <w:marTop w:val="0"/>
      <w:marBottom w:val="0"/>
      <w:divBdr>
        <w:top w:val="none" w:sz="0" w:space="0" w:color="auto"/>
        <w:left w:val="none" w:sz="0" w:space="0" w:color="auto"/>
        <w:bottom w:val="none" w:sz="0" w:space="0" w:color="auto"/>
        <w:right w:val="none" w:sz="0" w:space="0" w:color="auto"/>
      </w:divBdr>
    </w:div>
    <w:div w:id="294145493">
      <w:marLeft w:val="0"/>
      <w:marRight w:val="0"/>
      <w:marTop w:val="0"/>
      <w:marBottom w:val="0"/>
      <w:divBdr>
        <w:top w:val="none" w:sz="0" w:space="0" w:color="auto"/>
        <w:left w:val="none" w:sz="0" w:space="0" w:color="auto"/>
        <w:bottom w:val="none" w:sz="0" w:space="0" w:color="auto"/>
        <w:right w:val="none" w:sz="0" w:space="0" w:color="auto"/>
      </w:divBdr>
    </w:div>
    <w:div w:id="294145503">
      <w:marLeft w:val="0"/>
      <w:marRight w:val="0"/>
      <w:marTop w:val="0"/>
      <w:marBottom w:val="0"/>
      <w:divBdr>
        <w:top w:val="none" w:sz="0" w:space="0" w:color="auto"/>
        <w:left w:val="none" w:sz="0" w:space="0" w:color="auto"/>
        <w:bottom w:val="none" w:sz="0" w:space="0" w:color="auto"/>
        <w:right w:val="none" w:sz="0" w:space="0" w:color="auto"/>
      </w:divBdr>
      <w:divsChild>
        <w:div w:id="294138055">
          <w:marLeft w:val="0"/>
          <w:marRight w:val="0"/>
          <w:marTop w:val="0"/>
          <w:marBottom w:val="0"/>
          <w:divBdr>
            <w:top w:val="none" w:sz="0" w:space="0" w:color="auto"/>
            <w:left w:val="none" w:sz="0" w:space="0" w:color="auto"/>
            <w:bottom w:val="none" w:sz="0" w:space="0" w:color="auto"/>
            <w:right w:val="none" w:sz="0" w:space="0" w:color="auto"/>
          </w:divBdr>
        </w:div>
        <w:div w:id="294138884">
          <w:marLeft w:val="0"/>
          <w:marRight w:val="0"/>
          <w:marTop w:val="0"/>
          <w:marBottom w:val="0"/>
          <w:divBdr>
            <w:top w:val="none" w:sz="0" w:space="0" w:color="auto"/>
            <w:left w:val="none" w:sz="0" w:space="0" w:color="auto"/>
            <w:bottom w:val="none" w:sz="0" w:space="0" w:color="auto"/>
            <w:right w:val="none" w:sz="0" w:space="0" w:color="auto"/>
          </w:divBdr>
        </w:div>
        <w:div w:id="294139190">
          <w:marLeft w:val="0"/>
          <w:marRight w:val="0"/>
          <w:marTop w:val="0"/>
          <w:marBottom w:val="0"/>
          <w:divBdr>
            <w:top w:val="none" w:sz="0" w:space="0" w:color="auto"/>
            <w:left w:val="none" w:sz="0" w:space="0" w:color="auto"/>
            <w:bottom w:val="none" w:sz="0" w:space="0" w:color="auto"/>
            <w:right w:val="none" w:sz="0" w:space="0" w:color="auto"/>
          </w:divBdr>
        </w:div>
        <w:div w:id="294139209">
          <w:marLeft w:val="0"/>
          <w:marRight w:val="0"/>
          <w:marTop w:val="0"/>
          <w:marBottom w:val="0"/>
          <w:divBdr>
            <w:top w:val="none" w:sz="0" w:space="0" w:color="auto"/>
            <w:left w:val="none" w:sz="0" w:space="0" w:color="auto"/>
            <w:bottom w:val="none" w:sz="0" w:space="0" w:color="auto"/>
            <w:right w:val="none" w:sz="0" w:space="0" w:color="auto"/>
          </w:divBdr>
        </w:div>
        <w:div w:id="294139238">
          <w:marLeft w:val="0"/>
          <w:marRight w:val="0"/>
          <w:marTop w:val="0"/>
          <w:marBottom w:val="0"/>
          <w:divBdr>
            <w:top w:val="none" w:sz="0" w:space="0" w:color="auto"/>
            <w:left w:val="none" w:sz="0" w:space="0" w:color="auto"/>
            <w:bottom w:val="none" w:sz="0" w:space="0" w:color="auto"/>
            <w:right w:val="none" w:sz="0" w:space="0" w:color="auto"/>
          </w:divBdr>
        </w:div>
        <w:div w:id="294139949">
          <w:marLeft w:val="0"/>
          <w:marRight w:val="0"/>
          <w:marTop w:val="0"/>
          <w:marBottom w:val="0"/>
          <w:divBdr>
            <w:top w:val="none" w:sz="0" w:space="0" w:color="auto"/>
            <w:left w:val="none" w:sz="0" w:space="0" w:color="auto"/>
            <w:bottom w:val="none" w:sz="0" w:space="0" w:color="auto"/>
            <w:right w:val="none" w:sz="0" w:space="0" w:color="auto"/>
          </w:divBdr>
        </w:div>
        <w:div w:id="294141828">
          <w:marLeft w:val="0"/>
          <w:marRight w:val="0"/>
          <w:marTop w:val="0"/>
          <w:marBottom w:val="0"/>
          <w:divBdr>
            <w:top w:val="none" w:sz="0" w:space="0" w:color="auto"/>
            <w:left w:val="none" w:sz="0" w:space="0" w:color="auto"/>
            <w:bottom w:val="none" w:sz="0" w:space="0" w:color="auto"/>
            <w:right w:val="none" w:sz="0" w:space="0" w:color="auto"/>
          </w:divBdr>
        </w:div>
        <w:div w:id="294141980">
          <w:marLeft w:val="0"/>
          <w:marRight w:val="0"/>
          <w:marTop w:val="0"/>
          <w:marBottom w:val="0"/>
          <w:divBdr>
            <w:top w:val="none" w:sz="0" w:space="0" w:color="auto"/>
            <w:left w:val="none" w:sz="0" w:space="0" w:color="auto"/>
            <w:bottom w:val="none" w:sz="0" w:space="0" w:color="auto"/>
            <w:right w:val="none" w:sz="0" w:space="0" w:color="auto"/>
          </w:divBdr>
        </w:div>
        <w:div w:id="294142029">
          <w:marLeft w:val="0"/>
          <w:marRight w:val="0"/>
          <w:marTop w:val="0"/>
          <w:marBottom w:val="0"/>
          <w:divBdr>
            <w:top w:val="none" w:sz="0" w:space="0" w:color="auto"/>
            <w:left w:val="none" w:sz="0" w:space="0" w:color="auto"/>
            <w:bottom w:val="none" w:sz="0" w:space="0" w:color="auto"/>
            <w:right w:val="none" w:sz="0" w:space="0" w:color="auto"/>
          </w:divBdr>
        </w:div>
        <w:div w:id="294142158">
          <w:marLeft w:val="0"/>
          <w:marRight w:val="0"/>
          <w:marTop w:val="0"/>
          <w:marBottom w:val="0"/>
          <w:divBdr>
            <w:top w:val="none" w:sz="0" w:space="0" w:color="auto"/>
            <w:left w:val="none" w:sz="0" w:space="0" w:color="auto"/>
            <w:bottom w:val="none" w:sz="0" w:space="0" w:color="auto"/>
            <w:right w:val="none" w:sz="0" w:space="0" w:color="auto"/>
          </w:divBdr>
        </w:div>
        <w:div w:id="294142462">
          <w:marLeft w:val="0"/>
          <w:marRight w:val="0"/>
          <w:marTop w:val="0"/>
          <w:marBottom w:val="0"/>
          <w:divBdr>
            <w:top w:val="none" w:sz="0" w:space="0" w:color="auto"/>
            <w:left w:val="none" w:sz="0" w:space="0" w:color="auto"/>
            <w:bottom w:val="none" w:sz="0" w:space="0" w:color="auto"/>
            <w:right w:val="none" w:sz="0" w:space="0" w:color="auto"/>
          </w:divBdr>
        </w:div>
        <w:div w:id="294142754">
          <w:marLeft w:val="0"/>
          <w:marRight w:val="0"/>
          <w:marTop w:val="0"/>
          <w:marBottom w:val="0"/>
          <w:divBdr>
            <w:top w:val="none" w:sz="0" w:space="0" w:color="auto"/>
            <w:left w:val="none" w:sz="0" w:space="0" w:color="auto"/>
            <w:bottom w:val="none" w:sz="0" w:space="0" w:color="auto"/>
            <w:right w:val="none" w:sz="0" w:space="0" w:color="auto"/>
          </w:divBdr>
        </w:div>
        <w:div w:id="294142873">
          <w:marLeft w:val="0"/>
          <w:marRight w:val="0"/>
          <w:marTop w:val="0"/>
          <w:marBottom w:val="0"/>
          <w:divBdr>
            <w:top w:val="none" w:sz="0" w:space="0" w:color="auto"/>
            <w:left w:val="none" w:sz="0" w:space="0" w:color="auto"/>
            <w:bottom w:val="none" w:sz="0" w:space="0" w:color="auto"/>
            <w:right w:val="none" w:sz="0" w:space="0" w:color="auto"/>
          </w:divBdr>
        </w:div>
        <w:div w:id="294143062">
          <w:marLeft w:val="0"/>
          <w:marRight w:val="0"/>
          <w:marTop w:val="0"/>
          <w:marBottom w:val="0"/>
          <w:divBdr>
            <w:top w:val="none" w:sz="0" w:space="0" w:color="auto"/>
            <w:left w:val="none" w:sz="0" w:space="0" w:color="auto"/>
            <w:bottom w:val="none" w:sz="0" w:space="0" w:color="auto"/>
            <w:right w:val="none" w:sz="0" w:space="0" w:color="auto"/>
          </w:divBdr>
        </w:div>
        <w:div w:id="294143268">
          <w:marLeft w:val="0"/>
          <w:marRight w:val="0"/>
          <w:marTop w:val="0"/>
          <w:marBottom w:val="0"/>
          <w:divBdr>
            <w:top w:val="none" w:sz="0" w:space="0" w:color="auto"/>
            <w:left w:val="none" w:sz="0" w:space="0" w:color="auto"/>
            <w:bottom w:val="none" w:sz="0" w:space="0" w:color="auto"/>
            <w:right w:val="none" w:sz="0" w:space="0" w:color="auto"/>
          </w:divBdr>
        </w:div>
        <w:div w:id="294143472">
          <w:marLeft w:val="0"/>
          <w:marRight w:val="0"/>
          <w:marTop w:val="0"/>
          <w:marBottom w:val="0"/>
          <w:divBdr>
            <w:top w:val="none" w:sz="0" w:space="0" w:color="auto"/>
            <w:left w:val="none" w:sz="0" w:space="0" w:color="auto"/>
            <w:bottom w:val="none" w:sz="0" w:space="0" w:color="auto"/>
            <w:right w:val="none" w:sz="0" w:space="0" w:color="auto"/>
          </w:divBdr>
        </w:div>
        <w:div w:id="294143474">
          <w:marLeft w:val="0"/>
          <w:marRight w:val="0"/>
          <w:marTop w:val="0"/>
          <w:marBottom w:val="0"/>
          <w:divBdr>
            <w:top w:val="none" w:sz="0" w:space="0" w:color="auto"/>
            <w:left w:val="none" w:sz="0" w:space="0" w:color="auto"/>
            <w:bottom w:val="none" w:sz="0" w:space="0" w:color="auto"/>
            <w:right w:val="none" w:sz="0" w:space="0" w:color="auto"/>
          </w:divBdr>
        </w:div>
        <w:div w:id="294143696">
          <w:marLeft w:val="0"/>
          <w:marRight w:val="0"/>
          <w:marTop w:val="0"/>
          <w:marBottom w:val="0"/>
          <w:divBdr>
            <w:top w:val="none" w:sz="0" w:space="0" w:color="auto"/>
            <w:left w:val="none" w:sz="0" w:space="0" w:color="auto"/>
            <w:bottom w:val="none" w:sz="0" w:space="0" w:color="auto"/>
            <w:right w:val="none" w:sz="0" w:space="0" w:color="auto"/>
          </w:divBdr>
        </w:div>
        <w:div w:id="294144147">
          <w:marLeft w:val="0"/>
          <w:marRight w:val="0"/>
          <w:marTop w:val="0"/>
          <w:marBottom w:val="0"/>
          <w:divBdr>
            <w:top w:val="none" w:sz="0" w:space="0" w:color="auto"/>
            <w:left w:val="none" w:sz="0" w:space="0" w:color="auto"/>
            <w:bottom w:val="none" w:sz="0" w:space="0" w:color="auto"/>
            <w:right w:val="none" w:sz="0" w:space="0" w:color="auto"/>
          </w:divBdr>
        </w:div>
        <w:div w:id="294144410">
          <w:marLeft w:val="0"/>
          <w:marRight w:val="0"/>
          <w:marTop w:val="0"/>
          <w:marBottom w:val="0"/>
          <w:divBdr>
            <w:top w:val="none" w:sz="0" w:space="0" w:color="auto"/>
            <w:left w:val="none" w:sz="0" w:space="0" w:color="auto"/>
            <w:bottom w:val="none" w:sz="0" w:space="0" w:color="auto"/>
            <w:right w:val="none" w:sz="0" w:space="0" w:color="auto"/>
          </w:divBdr>
        </w:div>
        <w:div w:id="294145177">
          <w:marLeft w:val="0"/>
          <w:marRight w:val="0"/>
          <w:marTop w:val="0"/>
          <w:marBottom w:val="0"/>
          <w:divBdr>
            <w:top w:val="none" w:sz="0" w:space="0" w:color="auto"/>
            <w:left w:val="none" w:sz="0" w:space="0" w:color="auto"/>
            <w:bottom w:val="none" w:sz="0" w:space="0" w:color="auto"/>
            <w:right w:val="none" w:sz="0" w:space="0" w:color="auto"/>
          </w:divBdr>
        </w:div>
        <w:div w:id="294145428">
          <w:marLeft w:val="0"/>
          <w:marRight w:val="0"/>
          <w:marTop w:val="0"/>
          <w:marBottom w:val="0"/>
          <w:divBdr>
            <w:top w:val="none" w:sz="0" w:space="0" w:color="auto"/>
            <w:left w:val="none" w:sz="0" w:space="0" w:color="auto"/>
            <w:bottom w:val="none" w:sz="0" w:space="0" w:color="auto"/>
            <w:right w:val="none" w:sz="0" w:space="0" w:color="auto"/>
          </w:divBdr>
        </w:div>
        <w:div w:id="294146164">
          <w:marLeft w:val="0"/>
          <w:marRight w:val="0"/>
          <w:marTop w:val="0"/>
          <w:marBottom w:val="0"/>
          <w:divBdr>
            <w:top w:val="none" w:sz="0" w:space="0" w:color="auto"/>
            <w:left w:val="none" w:sz="0" w:space="0" w:color="auto"/>
            <w:bottom w:val="none" w:sz="0" w:space="0" w:color="auto"/>
            <w:right w:val="none" w:sz="0" w:space="0" w:color="auto"/>
          </w:divBdr>
        </w:div>
        <w:div w:id="294146558">
          <w:marLeft w:val="0"/>
          <w:marRight w:val="0"/>
          <w:marTop w:val="0"/>
          <w:marBottom w:val="0"/>
          <w:divBdr>
            <w:top w:val="none" w:sz="0" w:space="0" w:color="auto"/>
            <w:left w:val="none" w:sz="0" w:space="0" w:color="auto"/>
            <w:bottom w:val="none" w:sz="0" w:space="0" w:color="auto"/>
            <w:right w:val="none" w:sz="0" w:space="0" w:color="auto"/>
          </w:divBdr>
        </w:div>
        <w:div w:id="294146649">
          <w:marLeft w:val="0"/>
          <w:marRight w:val="0"/>
          <w:marTop w:val="0"/>
          <w:marBottom w:val="0"/>
          <w:divBdr>
            <w:top w:val="none" w:sz="0" w:space="0" w:color="auto"/>
            <w:left w:val="none" w:sz="0" w:space="0" w:color="auto"/>
            <w:bottom w:val="none" w:sz="0" w:space="0" w:color="auto"/>
            <w:right w:val="none" w:sz="0" w:space="0" w:color="auto"/>
          </w:divBdr>
        </w:div>
        <w:div w:id="294147161">
          <w:marLeft w:val="0"/>
          <w:marRight w:val="0"/>
          <w:marTop w:val="0"/>
          <w:marBottom w:val="0"/>
          <w:divBdr>
            <w:top w:val="none" w:sz="0" w:space="0" w:color="auto"/>
            <w:left w:val="none" w:sz="0" w:space="0" w:color="auto"/>
            <w:bottom w:val="none" w:sz="0" w:space="0" w:color="auto"/>
            <w:right w:val="none" w:sz="0" w:space="0" w:color="auto"/>
          </w:divBdr>
        </w:div>
        <w:div w:id="294147623">
          <w:marLeft w:val="0"/>
          <w:marRight w:val="0"/>
          <w:marTop w:val="0"/>
          <w:marBottom w:val="0"/>
          <w:divBdr>
            <w:top w:val="none" w:sz="0" w:space="0" w:color="auto"/>
            <w:left w:val="none" w:sz="0" w:space="0" w:color="auto"/>
            <w:bottom w:val="none" w:sz="0" w:space="0" w:color="auto"/>
            <w:right w:val="none" w:sz="0" w:space="0" w:color="auto"/>
          </w:divBdr>
        </w:div>
        <w:div w:id="294147876">
          <w:marLeft w:val="0"/>
          <w:marRight w:val="0"/>
          <w:marTop w:val="0"/>
          <w:marBottom w:val="0"/>
          <w:divBdr>
            <w:top w:val="none" w:sz="0" w:space="0" w:color="auto"/>
            <w:left w:val="none" w:sz="0" w:space="0" w:color="auto"/>
            <w:bottom w:val="none" w:sz="0" w:space="0" w:color="auto"/>
            <w:right w:val="none" w:sz="0" w:space="0" w:color="auto"/>
          </w:divBdr>
        </w:div>
        <w:div w:id="294148178">
          <w:marLeft w:val="0"/>
          <w:marRight w:val="0"/>
          <w:marTop w:val="0"/>
          <w:marBottom w:val="0"/>
          <w:divBdr>
            <w:top w:val="none" w:sz="0" w:space="0" w:color="auto"/>
            <w:left w:val="none" w:sz="0" w:space="0" w:color="auto"/>
            <w:bottom w:val="none" w:sz="0" w:space="0" w:color="auto"/>
            <w:right w:val="none" w:sz="0" w:space="0" w:color="auto"/>
          </w:divBdr>
        </w:div>
        <w:div w:id="294148650">
          <w:marLeft w:val="0"/>
          <w:marRight w:val="0"/>
          <w:marTop w:val="0"/>
          <w:marBottom w:val="0"/>
          <w:divBdr>
            <w:top w:val="none" w:sz="0" w:space="0" w:color="auto"/>
            <w:left w:val="none" w:sz="0" w:space="0" w:color="auto"/>
            <w:bottom w:val="none" w:sz="0" w:space="0" w:color="auto"/>
            <w:right w:val="none" w:sz="0" w:space="0" w:color="auto"/>
          </w:divBdr>
        </w:div>
        <w:div w:id="294148691">
          <w:marLeft w:val="0"/>
          <w:marRight w:val="0"/>
          <w:marTop w:val="0"/>
          <w:marBottom w:val="0"/>
          <w:divBdr>
            <w:top w:val="none" w:sz="0" w:space="0" w:color="auto"/>
            <w:left w:val="none" w:sz="0" w:space="0" w:color="auto"/>
            <w:bottom w:val="none" w:sz="0" w:space="0" w:color="auto"/>
            <w:right w:val="none" w:sz="0" w:space="0" w:color="auto"/>
          </w:divBdr>
        </w:div>
        <w:div w:id="294149028">
          <w:marLeft w:val="0"/>
          <w:marRight w:val="0"/>
          <w:marTop w:val="0"/>
          <w:marBottom w:val="0"/>
          <w:divBdr>
            <w:top w:val="none" w:sz="0" w:space="0" w:color="auto"/>
            <w:left w:val="none" w:sz="0" w:space="0" w:color="auto"/>
            <w:bottom w:val="none" w:sz="0" w:space="0" w:color="auto"/>
            <w:right w:val="none" w:sz="0" w:space="0" w:color="auto"/>
          </w:divBdr>
        </w:div>
        <w:div w:id="294150026">
          <w:marLeft w:val="0"/>
          <w:marRight w:val="0"/>
          <w:marTop w:val="0"/>
          <w:marBottom w:val="0"/>
          <w:divBdr>
            <w:top w:val="none" w:sz="0" w:space="0" w:color="auto"/>
            <w:left w:val="none" w:sz="0" w:space="0" w:color="auto"/>
            <w:bottom w:val="none" w:sz="0" w:space="0" w:color="auto"/>
            <w:right w:val="none" w:sz="0" w:space="0" w:color="auto"/>
          </w:divBdr>
        </w:div>
        <w:div w:id="294150602">
          <w:marLeft w:val="0"/>
          <w:marRight w:val="0"/>
          <w:marTop w:val="0"/>
          <w:marBottom w:val="0"/>
          <w:divBdr>
            <w:top w:val="none" w:sz="0" w:space="0" w:color="auto"/>
            <w:left w:val="none" w:sz="0" w:space="0" w:color="auto"/>
            <w:bottom w:val="none" w:sz="0" w:space="0" w:color="auto"/>
            <w:right w:val="none" w:sz="0" w:space="0" w:color="auto"/>
          </w:divBdr>
        </w:div>
        <w:div w:id="294150647">
          <w:marLeft w:val="0"/>
          <w:marRight w:val="0"/>
          <w:marTop w:val="0"/>
          <w:marBottom w:val="0"/>
          <w:divBdr>
            <w:top w:val="none" w:sz="0" w:space="0" w:color="auto"/>
            <w:left w:val="none" w:sz="0" w:space="0" w:color="auto"/>
            <w:bottom w:val="none" w:sz="0" w:space="0" w:color="auto"/>
            <w:right w:val="none" w:sz="0" w:space="0" w:color="auto"/>
          </w:divBdr>
        </w:div>
        <w:div w:id="294150760">
          <w:marLeft w:val="0"/>
          <w:marRight w:val="0"/>
          <w:marTop w:val="0"/>
          <w:marBottom w:val="0"/>
          <w:divBdr>
            <w:top w:val="none" w:sz="0" w:space="0" w:color="auto"/>
            <w:left w:val="none" w:sz="0" w:space="0" w:color="auto"/>
            <w:bottom w:val="none" w:sz="0" w:space="0" w:color="auto"/>
            <w:right w:val="none" w:sz="0" w:space="0" w:color="auto"/>
          </w:divBdr>
        </w:div>
        <w:div w:id="294150857">
          <w:marLeft w:val="0"/>
          <w:marRight w:val="0"/>
          <w:marTop w:val="0"/>
          <w:marBottom w:val="0"/>
          <w:divBdr>
            <w:top w:val="none" w:sz="0" w:space="0" w:color="auto"/>
            <w:left w:val="none" w:sz="0" w:space="0" w:color="auto"/>
            <w:bottom w:val="none" w:sz="0" w:space="0" w:color="auto"/>
            <w:right w:val="none" w:sz="0" w:space="0" w:color="auto"/>
          </w:divBdr>
        </w:div>
        <w:div w:id="294151050">
          <w:marLeft w:val="0"/>
          <w:marRight w:val="0"/>
          <w:marTop w:val="0"/>
          <w:marBottom w:val="0"/>
          <w:divBdr>
            <w:top w:val="none" w:sz="0" w:space="0" w:color="auto"/>
            <w:left w:val="none" w:sz="0" w:space="0" w:color="auto"/>
            <w:bottom w:val="none" w:sz="0" w:space="0" w:color="auto"/>
            <w:right w:val="none" w:sz="0" w:space="0" w:color="auto"/>
          </w:divBdr>
        </w:div>
        <w:div w:id="294151147">
          <w:marLeft w:val="0"/>
          <w:marRight w:val="0"/>
          <w:marTop w:val="0"/>
          <w:marBottom w:val="0"/>
          <w:divBdr>
            <w:top w:val="none" w:sz="0" w:space="0" w:color="auto"/>
            <w:left w:val="none" w:sz="0" w:space="0" w:color="auto"/>
            <w:bottom w:val="none" w:sz="0" w:space="0" w:color="auto"/>
            <w:right w:val="none" w:sz="0" w:space="0" w:color="auto"/>
          </w:divBdr>
        </w:div>
        <w:div w:id="294152089">
          <w:marLeft w:val="0"/>
          <w:marRight w:val="0"/>
          <w:marTop w:val="0"/>
          <w:marBottom w:val="0"/>
          <w:divBdr>
            <w:top w:val="none" w:sz="0" w:space="0" w:color="auto"/>
            <w:left w:val="none" w:sz="0" w:space="0" w:color="auto"/>
            <w:bottom w:val="none" w:sz="0" w:space="0" w:color="auto"/>
            <w:right w:val="none" w:sz="0" w:space="0" w:color="auto"/>
          </w:divBdr>
        </w:div>
        <w:div w:id="294152284">
          <w:marLeft w:val="0"/>
          <w:marRight w:val="0"/>
          <w:marTop w:val="0"/>
          <w:marBottom w:val="0"/>
          <w:divBdr>
            <w:top w:val="none" w:sz="0" w:space="0" w:color="auto"/>
            <w:left w:val="none" w:sz="0" w:space="0" w:color="auto"/>
            <w:bottom w:val="none" w:sz="0" w:space="0" w:color="auto"/>
            <w:right w:val="none" w:sz="0" w:space="0" w:color="auto"/>
          </w:divBdr>
        </w:div>
        <w:div w:id="294152680">
          <w:marLeft w:val="0"/>
          <w:marRight w:val="0"/>
          <w:marTop w:val="0"/>
          <w:marBottom w:val="0"/>
          <w:divBdr>
            <w:top w:val="none" w:sz="0" w:space="0" w:color="auto"/>
            <w:left w:val="none" w:sz="0" w:space="0" w:color="auto"/>
            <w:bottom w:val="none" w:sz="0" w:space="0" w:color="auto"/>
            <w:right w:val="none" w:sz="0" w:space="0" w:color="auto"/>
          </w:divBdr>
        </w:div>
        <w:div w:id="294152772">
          <w:marLeft w:val="0"/>
          <w:marRight w:val="0"/>
          <w:marTop w:val="0"/>
          <w:marBottom w:val="0"/>
          <w:divBdr>
            <w:top w:val="none" w:sz="0" w:space="0" w:color="auto"/>
            <w:left w:val="none" w:sz="0" w:space="0" w:color="auto"/>
            <w:bottom w:val="none" w:sz="0" w:space="0" w:color="auto"/>
            <w:right w:val="none" w:sz="0" w:space="0" w:color="auto"/>
          </w:divBdr>
        </w:div>
        <w:div w:id="294152936">
          <w:marLeft w:val="0"/>
          <w:marRight w:val="0"/>
          <w:marTop w:val="0"/>
          <w:marBottom w:val="0"/>
          <w:divBdr>
            <w:top w:val="none" w:sz="0" w:space="0" w:color="auto"/>
            <w:left w:val="none" w:sz="0" w:space="0" w:color="auto"/>
            <w:bottom w:val="none" w:sz="0" w:space="0" w:color="auto"/>
            <w:right w:val="none" w:sz="0" w:space="0" w:color="auto"/>
          </w:divBdr>
        </w:div>
        <w:div w:id="294152987">
          <w:marLeft w:val="0"/>
          <w:marRight w:val="0"/>
          <w:marTop w:val="0"/>
          <w:marBottom w:val="0"/>
          <w:divBdr>
            <w:top w:val="none" w:sz="0" w:space="0" w:color="auto"/>
            <w:left w:val="none" w:sz="0" w:space="0" w:color="auto"/>
            <w:bottom w:val="none" w:sz="0" w:space="0" w:color="auto"/>
            <w:right w:val="none" w:sz="0" w:space="0" w:color="auto"/>
          </w:divBdr>
        </w:div>
        <w:div w:id="294153379">
          <w:marLeft w:val="0"/>
          <w:marRight w:val="0"/>
          <w:marTop w:val="0"/>
          <w:marBottom w:val="0"/>
          <w:divBdr>
            <w:top w:val="none" w:sz="0" w:space="0" w:color="auto"/>
            <w:left w:val="none" w:sz="0" w:space="0" w:color="auto"/>
            <w:bottom w:val="none" w:sz="0" w:space="0" w:color="auto"/>
            <w:right w:val="none" w:sz="0" w:space="0" w:color="auto"/>
          </w:divBdr>
        </w:div>
        <w:div w:id="294153761">
          <w:marLeft w:val="0"/>
          <w:marRight w:val="0"/>
          <w:marTop w:val="0"/>
          <w:marBottom w:val="0"/>
          <w:divBdr>
            <w:top w:val="none" w:sz="0" w:space="0" w:color="auto"/>
            <w:left w:val="none" w:sz="0" w:space="0" w:color="auto"/>
            <w:bottom w:val="none" w:sz="0" w:space="0" w:color="auto"/>
            <w:right w:val="none" w:sz="0" w:space="0" w:color="auto"/>
          </w:divBdr>
        </w:div>
        <w:div w:id="294153869">
          <w:marLeft w:val="0"/>
          <w:marRight w:val="0"/>
          <w:marTop w:val="0"/>
          <w:marBottom w:val="0"/>
          <w:divBdr>
            <w:top w:val="none" w:sz="0" w:space="0" w:color="auto"/>
            <w:left w:val="none" w:sz="0" w:space="0" w:color="auto"/>
            <w:bottom w:val="none" w:sz="0" w:space="0" w:color="auto"/>
            <w:right w:val="none" w:sz="0" w:space="0" w:color="auto"/>
          </w:divBdr>
        </w:div>
        <w:div w:id="294154129">
          <w:marLeft w:val="0"/>
          <w:marRight w:val="0"/>
          <w:marTop w:val="0"/>
          <w:marBottom w:val="0"/>
          <w:divBdr>
            <w:top w:val="none" w:sz="0" w:space="0" w:color="auto"/>
            <w:left w:val="none" w:sz="0" w:space="0" w:color="auto"/>
            <w:bottom w:val="none" w:sz="0" w:space="0" w:color="auto"/>
            <w:right w:val="none" w:sz="0" w:space="0" w:color="auto"/>
          </w:divBdr>
        </w:div>
        <w:div w:id="294154852">
          <w:marLeft w:val="0"/>
          <w:marRight w:val="0"/>
          <w:marTop w:val="0"/>
          <w:marBottom w:val="0"/>
          <w:divBdr>
            <w:top w:val="none" w:sz="0" w:space="0" w:color="auto"/>
            <w:left w:val="none" w:sz="0" w:space="0" w:color="auto"/>
            <w:bottom w:val="none" w:sz="0" w:space="0" w:color="auto"/>
            <w:right w:val="none" w:sz="0" w:space="0" w:color="auto"/>
          </w:divBdr>
        </w:div>
        <w:div w:id="294155096">
          <w:marLeft w:val="0"/>
          <w:marRight w:val="0"/>
          <w:marTop w:val="0"/>
          <w:marBottom w:val="0"/>
          <w:divBdr>
            <w:top w:val="none" w:sz="0" w:space="0" w:color="auto"/>
            <w:left w:val="none" w:sz="0" w:space="0" w:color="auto"/>
            <w:bottom w:val="none" w:sz="0" w:space="0" w:color="auto"/>
            <w:right w:val="none" w:sz="0" w:space="0" w:color="auto"/>
          </w:divBdr>
        </w:div>
        <w:div w:id="294155754">
          <w:marLeft w:val="0"/>
          <w:marRight w:val="0"/>
          <w:marTop w:val="0"/>
          <w:marBottom w:val="0"/>
          <w:divBdr>
            <w:top w:val="none" w:sz="0" w:space="0" w:color="auto"/>
            <w:left w:val="none" w:sz="0" w:space="0" w:color="auto"/>
            <w:bottom w:val="none" w:sz="0" w:space="0" w:color="auto"/>
            <w:right w:val="none" w:sz="0" w:space="0" w:color="auto"/>
          </w:divBdr>
        </w:div>
        <w:div w:id="294155987">
          <w:marLeft w:val="0"/>
          <w:marRight w:val="0"/>
          <w:marTop w:val="0"/>
          <w:marBottom w:val="0"/>
          <w:divBdr>
            <w:top w:val="none" w:sz="0" w:space="0" w:color="auto"/>
            <w:left w:val="none" w:sz="0" w:space="0" w:color="auto"/>
            <w:bottom w:val="none" w:sz="0" w:space="0" w:color="auto"/>
            <w:right w:val="none" w:sz="0" w:space="0" w:color="auto"/>
          </w:divBdr>
        </w:div>
        <w:div w:id="294156479">
          <w:marLeft w:val="0"/>
          <w:marRight w:val="0"/>
          <w:marTop w:val="0"/>
          <w:marBottom w:val="0"/>
          <w:divBdr>
            <w:top w:val="none" w:sz="0" w:space="0" w:color="auto"/>
            <w:left w:val="none" w:sz="0" w:space="0" w:color="auto"/>
            <w:bottom w:val="none" w:sz="0" w:space="0" w:color="auto"/>
            <w:right w:val="none" w:sz="0" w:space="0" w:color="auto"/>
          </w:divBdr>
        </w:div>
        <w:div w:id="294156689">
          <w:marLeft w:val="0"/>
          <w:marRight w:val="0"/>
          <w:marTop w:val="0"/>
          <w:marBottom w:val="0"/>
          <w:divBdr>
            <w:top w:val="none" w:sz="0" w:space="0" w:color="auto"/>
            <w:left w:val="none" w:sz="0" w:space="0" w:color="auto"/>
            <w:bottom w:val="none" w:sz="0" w:space="0" w:color="auto"/>
            <w:right w:val="none" w:sz="0" w:space="0" w:color="auto"/>
          </w:divBdr>
        </w:div>
        <w:div w:id="294156775">
          <w:marLeft w:val="0"/>
          <w:marRight w:val="0"/>
          <w:marTop w:val="0"/>
          <w:marBottom w:val="0"/>
          <w:divBdr>
            <w:top w:val="none" w:sz="0" w:space="0" w:color="auto"/>
            <w:left w:val="none" w:sz="0" w:space="0" w:color="auto"/>
            <w:bottom w:val="none" w:sz="0" w:space="0" w:color="auto"/>
            <w:right w:val="none" w:sz="0" w:space="0" w:color="auto"/>
          </w:divBdr>
        </w:div>
        <w:div w:id="294156813">
          <w:marLeft w:val="0"/>
          <w:marRight w:val="0"/>
          <w:marTop w:val="0"/>
          <w:marBottom w:val="0"/>
          <w:divBdr>
            <w:top w:val="none" w:sz="0" w:space="0" w:color="auto"/>
            <w:left w:val="none" w:sz="0" w:space="0" w:color="auto"/>
            <w:bottom w:val="none" w:sz="0" w:space="0" w:color="auto"/>
            <w:right w:val="none" w:sz="0" w:space="0" w:color="auto"/>
          </w:divBdr>
        </w:div>
        <w:div w:id="294156903">
          <w:marLeft w:val="0"/>
          <w:marRight w:val="0"/>
          <w:marTop w:val="0"/>
          <w:marBottom w:val="0"/>
          <w:divBdr>
            <w:top w:val="none" w:sz="0" w:space="0" w:color="auto"/>
            <w:left w:val="none" w:sz="0" w:space="0" w:color="auto"/>
            <w:bottom w:val="none" w:sz="0" w:space="0" w:color="auto"/>
            <w:right w:val="none" w:sz="0" w:space="0" w:color="auto"/>
          </w:divBdr>
        </w:div>
        <w:div w:id="294156988">
          <w:marLeft w:val="0"/>
          <w:marRight w:val="0"/>
          <w:marTop w:val="0"/>
          <w:marBottom w:val="0"/>
          <w:divBdr>
            <w:top w:val="none" w:sz="0" w:space="0" w:color="auto"/>
            <w:left w:val="none" w:sz="0" w:space="0" w:color="auto"/>
            <w:bottom w:val="none" w:sz="0" w:space="0" w:color="auto"/>
            <w:right w:val="none" w:sz="0" w:space="0" w:color="auto"/>
          </w:divBdr>
        </w:div>
        <w:div w:id="294157160">
          <w:marLeft w:val="0"/>
          <w:marRight w:val="0"/>
          <w:marTop w:val="0"/>
          <w:marBottom w:val="0"/>
          <w:divBdr>
            <w:top w:val="none" w:sz="0" w:space="0" w:color="auto"/>
            <w:left w:val="none" w:sz="0" w:space="0" w:color="auto"/>
            <w:bottom w:val="none" w:sz="0" w:space="0" w:color="auto"/>
            <w:right w:val="none" w:sz="0" w:space="0" w:color="auto"/>
          </w:divBdr>
        </w:div>
      </w:divsChild>
    </w:div>
    <w:div w:id="294145573">
      <w:marLeft w:val="0"/>
      <w:marRight w:val="0"/>
      <w:marTop w:val="0"/>
      <w:marBottom w:val="0"/>
      <w:divBdr>
        <w:top w:val="none" w:sz="0" w:space="0" w:color="auto"/>
        <w:left w:val="none" w:sz="0" w:space="0" w:color="auto"/>
        <w:bottom w:val="none" w:sz="0" w:space="0" w:color="auto"/>
        <w:right w:val="none" w:sz="0" w:space="0" w:color="auto"/>
      </w:divBdr>
      <w:divsChild>
        <w:div w:id="294147940">
          <w:marLeft w:val="0"/>
          <w:marRight w:val="0"/>
          <w:marTop w:val="0"/>
          <w:marBottom w:val="400"/>
          <w:divBdr>
            <w:top w:val="none" w:sz="0" w:space="0" w:color="auto"/>
            <w:left w:val="none" w:sz="0" w:space="0" w:color="auto"/>
            <w:bottom w:val="none" w:sz="0" w:space="0" w:color="auto"/>
            <w:right w:val="none" w:sz="0" w:space="0" w:color="auto"/>
          </w:divBdr>
        </w:div>
      </w:divsChild>
    </w:div>
    <w:div w:id="294145581">
      <w:marLeft w:val="0"/>
      <w:marRight w:val="0"/>
      <w:marTop w:val="0"/>
      <w:marBottom w:val="0"/>
      <w:divBdr>
        <w:top w:val="none" w:sz="0" w:space="0" w:color="auto"/>
        <w:left w:val="none" w:sz="0" w:space="0" w:color="auto"/>
        <w:bottom w:val="none" w:sz="0" w:space="0" w:color="auto"/>
        <w:right w:val="none" w:sz="0" w:space="0" w:color="auto"/>
      </w:divBdr>
    </w:div>
    <w:div w:id="294145647">
      <w:marLeft w:val="0"/>
      <w:marRight w:val="0"/>
      <w:marTop w:val="0"/>
      <w:marBottom w:val="0"/>
      <w:divBdr>
        <w:top w:val="none" w:sz="0" w:space="0" w:color="auto"/>
        <w:left w:val="none" w:sz="0" w:space="0" w:color="auto"/>
        <w:bottom w:val="none" w:sz="0" w:space="0" w:color="auto"/>
        <w:right w:val="none" w:sz="0" w:space="0" w:color="auto"/>
      </w:divBdr>
    </w:div>
    <w:div w:id="294145649">
      <w:marLeft w:val="0"/>
      <w:marRight w:val="0"/>
      <w:marTop w:val="0"/>
      <w:marBottom w:val="0"/>
      <w:divBdr>
        <w:top w:val="none" w:sz="0" w:space="0" w:color="auto"/>
        <w:left w:val="none" w:sz="0" w:space="0" w:color="auto"/>
        <w:bottom w:val="none" w:sz="0" w:space="0" w:color="auto"/>
        <w:right w:val="none" w:sz="0" w:space="0" w:color="auto"/>
      </w:divBdr>
      <w:divsChild>
        <w:div w:id="294155610">
          <w:marLeft w:val="0"/>
          <w:marRight w:val="0"/>
          <w:marTop w:val="0"/>
          <w:marBottom w:val="0"/>
          <w:divBdr>
            <w:top w:val="none" w:sz="0" w:space="0" w:color="auto"/>
            <w:left w:val="none" w:sz="0" w:space="0" w:color="auto"/>
            <w:bottom w:val="none" w:sz="0" w:space="0" w:color="auto"/>
            <w:right w:val="none" w:sz="0" w:space="0" w:color="auto"/>
          </w:divBdr>
        </w:div>
      </w:divsChild>
    </w:div>
    <w:div w:id="294145704">
      <w:marLeft w:val="0"/>
      <w:marRight w:val="0"/>
      <w:marTop w:val="0"/>
      <w:marBottom w:val="0"/>
      <w:divBdr>
        <w:top w:val="none" w:sz="0" w:space="0" w:color="auto"/>
        <w:left w:val="none" w:sz="0" w:space="0" w:color="auto"/>
        <w:bottom w:val="none" w:sz="0" w:space="0" w:color="auto"/>
        <w:right w:val="none" w:sz="0" w:space="0" w:color="auto"/>
      </w:divBdr>
    </w:div>
    <w:div w:id="294145705">
      <w:marLeft w:val="0"/>
      <w:marRight w:val="0"/>
      <w:marTop w:val="0"/>
      <w:marBottom w:val="0"/>
      <w:divBdr>
        <w:top w:val="none" w:sz="0" w:space="0" w:color="auto"/>
        <w:left w:val="none" w:sz="0" w:space="0" w:color="auto"/>
        <w:bottom w:val="none" w:sz="0" w:space="0" w:color="auto"/>
        <w:right w:val="none" w:sz="0" w:space="0" w:color="auto"/>
      </w:divBdr>
    </w:div>
    <w:div w:id="294145718">
      <w:marLeft w:val="0"/>
      <w:marRight w:val="0"/>
      <w:marTop w:val="0"/>
      <w:marBottom w:val="0"/>
      <w:divBdr>
        <w:top w:val="none" w:sz="0" w:space="0" w:color="auto"/>
        <w:left w:val="none" w:sz="0" w:space="0" w:color="auto"/>
        <w:bottom w:val="none" w:sz="0" w:space="0" w:color="auto"/>
        <w:right w:val="none" w:sz="0" w:space="0" w:color="auto"/>
      </w:divBdr>
    </w:div>
    <w:div w:id="294145735">
      <w:marLeft w:val="0"/>
      <w:marRight w:val="0"/>
      <w:marTop w:val="0"/>
      <w:marBottom w:val="0"/>
      <w:divBdr>
        <w:top w:val="none" w:sz="0" w:space="0" w:color="auto"/>
        <w:left w:val="none" w:sz="0" w:space="0" w:color="auto"/>
        <w:bottom w:val="none" w:sz="0" w:space="0" w:color="auto"/>
        <w:right w:val="none" w:sz="0" w:space="0" w:color="auto"/>
      </w:divBdr>
    </w:div>
    <w:div w:id="294145763">
      <w:marLeft w:val="0"/>
      <w:marRight w:val="0"/>
      <w:marTop w:val="0"/>
      <w:marBottom w:val="0"/>
      <w:divBdr>
        <w:top w:val="none" w:sz="0" w:space="0" w:color="auto"/>
        <w:left w:val="none" w:sz="0" w:space="0" w:color="auto"/>
        <w:bottom w:val="none" w:sz="0" w:space="0" w:color="auto"/>
        <w:right w:val="none" w:sz="0" w:space="0" w:color="auto"/>
      </w:divBdr>
    </w:div>
    <w:div w:id="294145790">
      <w:marLeft w:val="0"/>
      <w:marRight w:val="0"/>
      <w:marTop w:val="0"/>
      <w:marBottom w:val="0"/>
      <w:divBdr>
        <w:top w:val="none" w:sz="0" w:space="0" w:color="auto"/>
        <w:left w:val="none" w:sz="0" w:space="0" w:color="auto"/>
        <w:bottom w:val="none" w:sz="0" w:space="0" w:color="auto"/>
        <w:right w:val="none" w:sz="0" w:space="0" w:color="auto"/>
      </w:divBdr>
    </w:div>
    <w:div w:id="294145840">
      <w:marLeft w:val="0"/>
      <w:marRight w:val="0"/>
      <w:marTop w:val="0"/>
      <w:marBottom w:val="0"/>
      <w:divBdr>
        <w:top w:val="none" w:sz="0" w:space="0" w:color="auto"/>
        <w:left w:val="none" w:sz="0" w:space="0" w:color="auto"/>
        <w:bottom w:val="none" w:sz="0" w:space="0" w:color="auto"/>
        <w:right w:val="none" w:sz="0" w:space="0" w:color="auto"/>
      </w:divBdr>
    </w:div>
    <w:div w:id="294145854">
      <w:marLeft w:val="0"/>
      <w:marRight w:val="0"/>
      <w:marTop w:val="0"/>
      <w:marBottom w:val="0"/>
      <w:divBdr>
        <w:top w:val="none" w:sz="0" w:space="0" w:color="auto"/>
        <w:left w:val="none" w:sz="0" w:space="0" w:color="auto"/>
        <w:bottom w:val="none" w:sz="0" w:space="0" w:color="auto"/>
        <w:right w:val="none" w:sz="0" w:space="0" w:color="auto"/>
      </w:divBdr>
      <w:divsChild>
        <w:div w:id="294139375">
          <w:marLeft w:val="0"/>
          <w:marRight w:val="0"/>
          <w:marTop w:val="0"/>
          <w:marBottom w:val="0"/>
          <w:divBdr>
            <w:top w:val="none" w:sz="0" w:space="0" w:color="auto"/>
            <w:left w:val="none" w:sz="0" w:space="0" w:color="auto"/>
            <w:bottom w:val="none" w:sz="0" w:space="0" w:color="auto"/>
            <w:right w:val="none" w:sz="0" w:space="0" w:color="auto"/>
          </w:divBdr>
        </w:div>
        <w:div w:id="294145883">
          <w:marLeft w:val="0"/>
          <w:marRight w:val="0"/>
          <w:marTop w:val="0"/>
          <w:marBottom w:val="0"/>
          <w:divBdr>
            <w:top w:val="none" w:sz="0" w:space="0" w:color="auto"/>
            <w:left w:val="none" w:sz="0" w:space="0" w:color="auto"/>
            <w:bottom w:val="none" w:sz="0" w:space="0" w:color="auto"/>
            <w:right w:val="none" w:sz="0" w:space="0" w:color="auto"/>
          </w:divBdr>
          <w:divsChild>
            <w:div w:id="294147189">
              <w:marLeft w:val="0"/>
              <w:marRight w:val="0"/>
              <w:marTop w:val="0"/>
              <w:marBottom w:val="0"/>
              <w:divBdr>
                <w:top w:val="none" w:sz="0" w:space="0" w:color="auto"/>
                <w:left w:val="none" w:sz="0" w:space="0" w:color="auto"/>
                <w:bottom w:val="none" w:sz="0" w:space="0" w:color="auto"/>
                <w:right w:val="none" w:sz="0" w:space="0" w:color="auto"/>
              </w:divBdr>
              <w:divsChild>
                <w:div w:id="2941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3499">
          <w:marLeft w:val="0"/>
          <w:marRight w:val="0"/>
          <w:marTop w:val="0"/>
          <w:marBottom w:val="0"/>
          <w:divBdr>
            <w:top w:val="none" w:sz="0" w:space="0" w:color="auto"/>
            <w:left w:val="none" w:sz="0" w:space="0" w:color="auto"/>
            <w:bottom w:val="none" w:sz="0" w:space="0" w:color="auto"/>
            <w:right w:val="none" w:sz="0" w:space="0" w:color="auto"/>
          </w:divBdr>
          <w:divsChild>
            <w:div w:id="294149731">
              <w:marLeft w:val="0"/>
              <w:marRight w:val="0"/>
              <w:marTop w:val="0"/>
              <w:marBottom w:val="0"/>
              <w:divBdr>
                <w:top w:val="none" w:sz="0" w:space="0" w:color="auto"/>
                <w:left w:val="none" w:sz="0" w:space="0" w:color="auto"/>
                <w:bottom w:val="none" w:sz="0" w:space="0" w:color="auto"/>
                <w:right w:val="none" w:sz="0" w:space="0" w:color="auto"/>
              </w:divBdr>
              <w:divsChild>
                <w:div w:id="294151063">
                  <w:marLeft w:val="0"/>
                  <w:marRight w:val="0"/>
                  <w:marTop w:val="0"/>
                  <w:marBottom w:val="0"/>
                  <w:divBdr>
                    <w:top w:val="none" w:sz="0" w:space="0" w:color="auto"/>
                    <w:left w:val="none" w:sz="0" w:space="0" w:color="auto"/>
                    <w:bottom w:val="none" w:sz="0" w:space="0" w:color="auto"/>
                    <w:right w:val="none" w:sz="0" w:space="0" w:color="auto"/>
                  </w:divBdr>
                  <w:divsChild>
                    <w:div w:id="294138053">
                      <w:marLeft w:val="0"/>
                      <w:marRight w:val="0"/>
                      <w:marTop w:val="0"/>
                      <w:marBottom w:val="0"/>
                      <w:divBdr>
                        <w:top w:val="none" w:sz="0" w:space="0" w:color="auto"/>
                        <w:left w:val="none" w:sz="0" w:space="0" w:color="auto"/>
                        <w:bottom w:val="none" w:sz="0" w:space="0" w:color="auto"/>
                        <w:right w:val="none" w:sz="0" w:space="0" w:color="auto"/>
                      </w:divBdr>
                    </w:div>
                    <w:div w:id="294138073">
                      <w:marLeft w:val="0"/>
                      <w:marRight w:val="0"/>
                      <w:marTop w:val="0"/>
                      <w:marBottom w:val="0"/>
                      <w:divBdr>
                        <w:top w:val="none" w:sz="0" w:space="0" w:color="auto"/>
                        <w:left w:val="none" w:sz="0" w:space="0" w:color="auto"/>
                        <w:bottom w:val="none" w:sz="0" w:space="0" w:color="auto"/>
                        <w:right w:val="none" w:sz="0" w:space="0" w:color="auto"/>
                      </w:divBdr>
                      <w:divsChild>
                        <w:div w:id="294155353">
                          <w:marLeft w:val="0"/>
                          <w:marRight w:val="0"/>
                          <w:marTop w:val="0"/>
                          <w:marBottom w:val="0"/>
                          <w:divBdr>
                            <w:top w:val="none" w:sz="0" w:space="0" w:color="auto"/>
                            <w:left w:val="none" w:sz="0" w:space="0" w:color="auto"/>
                            <w:bottom w:val="none" w:sz="0" w:space="0" w:color="auto"/>
                            <w:right w:val="none" w:sz="0" w:space="0" w:color="auto"/>
                          </w:divBdr>
                        </w:div>
                      </w:divsChild>
                    </w:div>
                    <w:div w:id="294138118">
                      <w:marLeft w:val="0"/>
                      <w:marRight w:val="0"/>
                      <w:marTop w:val="0"/>
                      <w:marBottom w:val="0"/>
                      <w:divBdr>
                        <w:top w:val="none" w:sz="0" w:space="0" w:color="auto"/>
                        <w:left w:val="none" w:sz="0" w:space="0" w:color="auto"/>
                        <w:bottom w:val="none" w:sz="0" w:space="0" w:color="auto"/>
                        <w:right w:val="none" w:sz="0" w:space="0" w:color="auto"/>
                      </w:divBdr>
                    </w:div>
                    <w:div w:id="294138146">
                      <w:marLeft w:val="0"/>
                      <w:marRight w:val="0"/>
                      <w:marTop w:val="0"/>
                      <w:marBottom w:val="0"/>
                      <w:divBdr>
                        <w:top w:val="none" w:sz="0" w:space="0" w:color="auto"/>
                        <w:left w:val="none" w:sz="0" w:space="0" w:color="auto"/>
                        <w:bottom w:val="none" w:sz="0" w:space="0" w:color="auto"/>
                        <w:right w:val="none" w:sz="0" w:space="0" w:color="auto"/>
                      </w:divBdr>
                    </w:div>
                    <w:div w:id="294138194">
                      <w:marLeft w:val="0"/>
                      <w:marRight w:val="0"/>
                      <w:marTop w:val="0"/>
                      <w:marBottom w:val="0"/>
                      <w:divBdr>
                        <w:top w:val="none" w:sz="0" w:space="0" w:color="auto"/>
                        <w:left w:val="none" w:sz="0" w:space="0" w:color="auto"/>
                        <w:bottom w:val="none" w:sz="0" w:space="0" w:color="auto"/>
                        <w:right w:val="none" w:sz="0" w:space="0" w:color="auto"/>
                      </w:divBdr>
                      <w:divsChild>
                        <w:div w:id="294155200">
                          <w:marLeft w:val="0"/>
                          <w:marRight w:val="0"/>
                          <w:marTop w:val="0"/>
                          <w:marBottom w:val="0"/>
                          <w:divBdr>
                            <w:top w:val="none" w:sz="0" w:space="0" w:color="auto"/>
                            <w:left w:val="none" w:sz="0" w:space="0" w:color="auto"/>
                            <w:bottom w:val="none" w:sz="0" w:space="0" w:color="auto"/>
                            <w:right w:val="none" w:sz="0" w:space="0" w:color="auto"/>
                          </w:divBdr>
                        </w:div>
                      </w:divsChild>
                    </w:div>
                    <w:div w:id="294138234">
                      <w:marLeft w:val="0"/>
                      <w:marRight w:val="0"/>
                      <w:marTop w:val="0"/>
                      <w:marBottom w:val="0"/>
                      <w:divBdr>
                        <w:top w:val="none" w:sz="0" w:space="0" w:color="auto"/>
                        <w:left w:val="none" w:sz="0" w:space="0" w:color="auto"/>
                        <w:bottom w:val="none" w:sz="0" w:space="0" w:color="auto"/>
                        <w:right w:val="none" w:sz="0" w:space="0" w:color="auto"/>
                      </w:divBdr>
                    </w:div>
                    <w:div w:id="294138271">
                      <w:marLeft w:val="0"/>
                      <w:marRight w:val="0"/>
                      <w:marTop w:val="0"/>
                      <w:marBottom w:val="0"/>
                      <w:divBdr>
                        <w:top w:val="none" w:sz="0" w:space="0" w:color="auto"/>
                        <w:left w:val="none" w:sz="0" w:space="0" w:color="auto"/>
                        <w:bottom w:val="none" w:sz="0" w:space="0" w:color="auto"/>
                        <w:right w:val="none" w:sz="0" w:space="0" w:color="auto"/>
                      </w:divBdr>
                      <w:divsChild>
                        <w:div w:id="294153417">
                          <w:marLeft w:val="0"/>
                          <w:marRight w:val="0"/>
                          <w:marTop w:val="0"/>
                          <w:marBottom w:val="0"/>
                          <w:divBdr>
                            <w:top w:val="none" w:sz="0" w:space="0" w:color="auto"/>
                            <w:left w:val="none" w:sz="0" w:space="0" w:color="auto"/>
                            <w:bottom w:val="none" w:sz="0" w:space="0" w:color="auto"/>
                            <w:right w:val="none" w:sz="0" w:space="0" w:color="auto"/>
                          </w:divBdr>
                        </w:div>
                      </w:divsChild>
                    </w:div>
                    <w:div w:id="294138345">
                      <w:marLeft w:val="0"/>
                      <w:marRight w:val="0"/>
                      <w:marTop w:val="0"/>
                      <w:marBottom w:val="0"/>
                      <w:divBdr>
                        <w:top w:val="none" w:sz="0" w:space="0" w:color="auto"/>
                        <w:left w:val="none" w:sz="0" w:space="0" w:color="auto"/>
                        <w:bottom w:val="none" w:sz="0" w:space="0" w:color="auto"/>
                        <w:right w:val="none" w:sz="0" w:space="0" w:color="auto"/>
                      </w:divBdr>
                    </w:div>
                    <w:div w:id="294138454">
                      <w:marLeft w:val="0"/>
                      <w:marRight w:val="0"/>
                      <w:marTop w:val="0"/>
                      <w:marBottom w:val="0"/>
                      <w:divBdr>
                        <w:top w:val="none" w:sz="0" w:space="0" w:color="auto"/>
                        <w:left w:val="none" w:sz="0" w:space="0" w:color="auto"/>
                        <w:bottom w:val="none" w:sz="0" w:space="0" w:color="auto"/>
                        <w:right w:val="none" w:sz="0" w:space="0" w:color="auto"/>
                      </w:divBdr>
                      <w:divsChild>
                        <w:div w:id="294144689">
                          <w:marLeft w:val="0"/>
                          <w:marRight w:val="0"/>
                          <w:marTop w:val="0"/>
                          <w:marBottom w:val="0"/>
                          <w:divBdr>
                            <w:top w:val="none" w:sz="0" w:space="0" w:color="auto"/>
                            <w:left w:val="none" w:sz="0" w:space="0" w:color="auto"/>
                            <w:bottom w:val="none" w:sz="0" w:space="0" w:color="auto"/>
                            <w:right w:val="none" w:sz="0" w:space="0" w:color="auto"/>
                          </w:divBdr>
                        </w:div>
                      </w:divsChild>
                    </w:div>
                    <w:div w:id="294138477">
                      <w:marLeft w:val="0"/>
                      <w:marRight w:val="0"/>
                      <w:marTop w:val="0"/>
                      <w:marBottom w:val="0"/>
                      <w:divBdr>
                        <w:top w:val="none" w:sz="0" w:space="0" w:color="auto"/>
                        <w:left w:val="none" w:sz="0" w:space="0" w:color="auto"/>
                        <w:bottom w:val="none" w:sz="0" w:space="0" w:color="auto"/>
                        <w:right w:val="none" w:sz="0" w:space="0" w:color="auto"/>
                      </w:divBdr>
                      <w:divsChild>
                        <w:div w:id="294139068">
                          <w:marLeft w:val="0"/>
                          <w:marRight w:val="0"/>
                          <w:marTop w:val="0"/>
                          <w:marBottom w:val="0"/>
                          <w:divBdr>
                            <w:top w:val="none" w:sz="0" w:space="0" w:color="auto"/>
                            <w:left w:val="none" w:sz="0" w:space="0" w:color="auto"/>
                            <w:bottom w:val="none" w:sz="0" w:space="0" w:color="auto"/>
                            <w:right w:val="none" w:sz="0" w:space="0" w:color="auto"/>
                          </w:divBdr>
                        </w:div>
                      </w:divsChild>
                    </w:div>
                    <w:div w:id="294138489">
                      <w:marLeft w:val="0"/>
                      <w:marRight w:val="0"/>
                      <w:marTop w:val="0"/>
                      <w:marBottom w:val="0"/>
                      <w:divBdr>
                        <w:top w:val="none" w:sz="0" w:space="0" w:color="auto"/>
                        <w:left w:val="none" w:sz="0" w:space="0" w:color="auto"/>
                        <w:bottom w:val="none" w:sz="0" w:space="0" w:color="auto"/>
                        <w:right w:val="none" w:sz="0" w:space="0" w:color="auto"/>
                      </w:divBdr>
                      <w:divsChild>
                        <w:div w:id="294155668">
                          <w:marLeft w:val="0"/>
                          <w:marRight w:val="0"/>
                          <w:marTop w:val="0"/>
                          <w:marBottom w:val="0"/>
                          <w:divBdr>
                            <w:top w:val="none" w:sz="0" w:space="0" w:color="auto"/>
                            <w:left w:val="none" w:sz="0" w:space="0" w:color="auto"/>
                            <w:bottom w:val="none" w:sz="0" w:space="0" w:color="auto"/>
                            <w:right w:val="none" w:sz="0" w:space="0" w:color="auto"/>
                          </w:divBdr>
                        </w:div>
                      </w:divsChild>
                    </w:div>
                    <w:div w:id="294138494">
                      <w:marLeft w:val="0"/>
                      <w:marRight w:val="0"/>
                      <w:marTop w:val="0"/>
                      <w:marBottom w:val="0"/>
                      <w:divBdr>
                        <w:top w:val="none" w:sz="0" w:space="0" w:color="auto"/>
                        <w:left w:val="none" w:sz="0" w:space="0" w:color="auto"/>
                        <w:bottom w:val="none" w:sz="0" w:space="0" w:color="auto"/>
                        <w:right w:val="none" w:sz="0" w:space="0" w:color="auto"/>
                      </w:divBdr>
                      <w:divsChild>
                        <w:div w:id="294149126">
                          <w:marLeft w:val="0"/>
                          <w:marRight w:val="0"/>
                          <w:marTop w:val="0"/>
                          <w:marBottom w:val="0"/>
                          <w:divBdr>
                            <w:top w:val="none" w:sz="0" w:space="0" w:color="auto"/>
                            <w:left w:val="none" w:sz="0" w:space="0" w:color="auto"/>
                            <w:bottom w:val="none" w:sz="0" w:space="0" w:color="auto"/>
                            <w:right w:val="none" w:sz="0" w:space="0" w:color="auto"/>
                          </w:divBdr>
                        </w:div>
                      </w:divsChild>
                    </w:div>
                    <w:div w:id="294138498">
                      <w:marLeft w:val="0"/>
                      <w:marRight w:val="0"/>
                      <w:marTop w:val="0"/>
                      <w:marBottom w:val="0"/>
                      <w:divBdr>
                        <w:top w:val="none" w:sz="0" w:space="0" w:color="auto"/>
                        <w:left w:val="none" w:sz="0" w:space="0" w:color="auto"/>
                        <w:bottom w:val="none" w:sz="0" w:space="0" w:color="auto"/>
                        <w:right w:val="none" w:sz="0" w:space="0" w:color="auto"/>
                      </w:divBdr>
                    </w:div>
                    <w:div w:id="294138510">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0"/>
                      <w:divBdr>
                        <w:top w:val="none" w:sz="0" w:space="0" w:color="auto"/>
                        <w:left w:val="none" w:sz="0" w:space="0" w:color="auto"/>
                        <w:bottom w:val="none" w:sz="0" w:space="0" w:color="auto"/>
                        <w:right w:val="none" w:sz="0" w:space="0" w:color="auto"/>
                      </w:divBdr>
                    </w:div>
                    <w:div w:id="294138673">
                      <w:marLeft w:val="0"/>
                      <w:marRight w:val="0"/>
                      <w:marTop w:val="0"/>
                      <w:marBottom w:val="0"/>
                      <w:divBdr>
                        <w:top w:val="none" w:sz="0" w:space="0" w:color="auto"/>
                        <w:left w:val="none" w:sz="0" w:space="0" w:color="auto"/>
                        <w:bottom w:val="none" w:sz="0" w:space="0" w:color="auto"/>
                        <w:right w:val="none" w:sz="0" w:space="0" w:color="auto"/>
                      </w:divBdr>
                      <w:divsChild>
                        <w:div w:id="294148216">
                          <w:marLeft w:val="0"/>
                          <w:marRight w:val="0"/>
                          <w:marTop w:val="0"/>
                          <w:marBottom w:val="0"/>
                          <w:divBdr>
                            <w:top w:val="none" w:sz="0" w:space="0" w:color="auto"/>
                            <w:left w:val="none" w:sz="0" w:space="0" w:color="auto"/>
                            <w:bottom w:val="none" w:sz="0" w:space="0" w:color="auto"/>
                            <w:right w:val="none" w:sz="0" w:space="0" w:color="auto"/>
                          </w:divBdr>
                        </w:div>
                      </w:divsChild>
                    </w:div>
                    <w:div w:id="294138722">
                      <w:marLeft w:val="0"/>
                      <w:marRight w:val="0"/>
                      <w:marTop w:val="0"/>
                      <w:marBottom w:val="0"/>
                      <w:divBdr>
                        <w:top w:val="none" w:sz="0" w:space="0" w:color="auto"/>
                        <w:left w:val="none" w:sz="0" w:space="0" w:color="auto"/>
                        <w:bottom w:val="none" w:sz="0" w:space="0" w:color="auto"/>
                        <w:right w:val="none" w:sz="0" w:space="0" w:color="auto"/>
                      </w:divBdr>
                      <w:divsChild>
                        <w:div w:id="294150395">
                          <w:marLeft w:val="0"/>
                          <w:marRight w:val="0"/>
                          <w:marTop w:val="0"/>
                          <w:marBottom w:val="0"/>
                          <w:divBdr>
                            <w:top w:val="none" w:sz="0" w:space="0" w:color="auto"/>
                            <w:left w:val="none" w:sz="0" w:space="0" w:color="auto"/>
                            <w:bottom w:val="none" w:sz="0" w:space="0" w:color="auto"/>
                            <w:right w:val="none" w:sz="0" w:space="0" w:color="auto"/>
                          </w:divBdr>
                        </w:div>
                      </w:divsChild>
                    </w:div>
                    <w:div w:id="294138760">
                      <w:marLeft w:val="0"/>
                      <w:marRight w:val="0"/>
                      <w:marTop w:val="0"/>
                      <w:marBottom w:val="0"/>
                      <w:divBdr>
                        <w:top w:val="none" w:sz="0" w:space="0" w:color="auto"/>
                        <w:left w:val="none" w:sz="0" w:space="0" w:color="auto"/>
                        <w:bottom w:val="none" w:sz="0" w:space="0" w:color="auto"/>
                        <w:right w:val="none" w:sz="0" w:space="0" w:color="auto"/>
                      </w:divBdr>
                      <w:divsChild>
                        <w:div w:id="294139524">
                          <w:marLeft w:val="0"/>
                          <w:marRight w:val="0"/>
                          <w:marTop w:val="0"/>
                          <w:marBottom w:val="0"/>
                          <w:divBdr>
                            <w:top w:val="none" w:sz="0" w:space="0" w:color="auto"/>
                            <w:left w:val="none" w:sz="0" w:space="0" w:color="auto"/>
                            <w:bottom w:val="none" w:sz="0" w:space="0" w:color="auto"/>
                            <w:right w:val="none" w:sz="0" w:space="0" w:color="auto"/>
                          </w:divBdr>
                        </w:div>
                      </w:divsChild>
                    </w:div>
                    <w:div w:id="294138792">
                      <w:marLeft w:val="0"/>
                      <w:marRight w:val="0"/>
                      <w:marTop w:val="0"/>
                      <w:marBottom w:val="0"/>
                      <w:divBdr>
                        <w:top w:val="none" w:sz="0" w:space="0" w:color="auto"/>
                        <w:left w:val="none" w:sz="0" w:space="0" w:color="auto"/>
                        <w:bottom w:val="none" w:sz="0" w:space="0" w:color="auto"/>
                        <w:right w:val="none" w:sz="0" w:space="0" w:color="auto"/>
                      </w:divBdr>
                      <w:divsChild>
                        <w:div w:id="294140242">
                          <w:marLeft w:val="0"/>
                          <w:marRight w:val="0"/>
                          <w:marTop w:val="0"/>
                          <w:marBottom w:val="0"/>
                          <w:divBdr>
                            <w:top w:val="none" w:sz="0" w:space="0" w:color="auto"/>
                            <w:left w:val="none" w:sz="0" w:space="0" w:color="auto"/>
                            <w:bottom w:val="none" w:sz="0" w:space="0" w:color="auto"/>
                            <w:right w:val="none" w:sz="0" w:space="0" w:color="auto"/>
                          </w:divBdr>
                        </w:div>
                      </w:divsChild>
                    </w:div>
                    <w:div w:id="294138872">
                      <w:marLeft w:val="0"/>
                      <w:marRight w:val="0"/>
                      <w:marTop w:val="0"/>
                      <w:marBottom w:val="0"/>
                      <w:divBdr>
                        <w:top w:val="none" w:sz="0" w:space="0" w:color="auto"/>
                        <w:left w:val="none" w:sz="0" w:space="0" w:color="auto"/>
                        <w:bottom w:val="none" w:sz="0" w:space="0" w:color="auto"/>
                        <w:right w:val="none" w:sz="0" w:space="0" w:color="auto"/>
                      </w:divBdr>
                    </w:div>
                    <w:div w:id="294138893">
                      <w:marLeft w:val="0"/>
                      <w:marRight w:val="0"/>
                      <w:marTop w:val="0"/>
                      <w:marBottom w:val="0"/>
                      <w:divBdr>
                        <w:top w:val="none" w:sz="0" w:space="0" w:color="auto"/>
                        <w:left w:val="none" w:sz="0" w:space="0" w:color="auto"/>
                        <w:bottom w:val="none" w:sz="0" w:space="0" w:color="auto"/>
                        <w:right w:val="none" w:sz="0" w:space="0" w:color="auto"/>
                      </w:divBdr>
                      <w:divsChild>
                        <w:div w:id="294138780">
                          <w:marLeft w:val="0"/>
                          <w:marRight w:val="0"/>
                          <w:marTop w:val="0"/>
                          <w:marBottom w:val="0"/>
                          <w:divBdr>
                            <w:top w:val="none" w:sz="0" w:space="0" w:color="auto"/>
                            <w:left w:val="none" w:sz="0" w:space="0" w:color="auto"/>
                            <w:bottom w:val="none" w:sz="0" w:space="0" w:color="auto"/>
                            <w:right w:val="none" w:sz="0" w:space="0" w:color="auto"/>
                          </w:divBdr>
                        </w:div>
                      </w:divsChild>
                    </w:div>
                    <w:div w:id="294138914">
                      <w:marLeft w:val="0"/>
                      <w:marRight w:val="0"/>
                      <w:marTop w:val="0"/>
                      <w:marBottom w:val="0"/>
                      <w:divBdr>
                        <w:top w:val="none" w:sz="0" w:space="0" w:color="auto"/>
                        <w:left w:val="none" w:sz="0" w:space="0" w:color="auto"/>
                        <w:bottom w:val="none" w:sz="0" w:space="0" w:color="auto"/>
                        <w:right w:val="none" w:sz="0" w:space="0" w:color="auto"/>
                      </w:divBdr>
                    </w:div>
                    <w:div w:id="294138948">
                      <w:marLeft w:val="0"/>
                      <w:marRight w:val="0"/>
                      <w:marTop w:val="0"/>
                      <w:marBottom w:val="0"/>
                      <w:divBdr>
                        <w:top w:val="none" w:sz="0" w:space="0" w:color="auto"/>
                        <w:left w:val="none" w:sz="0" w:space="0" w:color="auto"/>
                        <w:bottom w:val="none" w:sz="0" w:space="0" w:color="auto"/>
                        <w:right w:val="none" w:sz="0" w:space="0" w:color="auto"/>
                      </w:divBdr>
                      <w:divsChild>
                        <w:div w:id="294151497">
                          <w:marLeft w:val="0"/>
                          <w:marRight w:val="0"/>
                          <w:marTop w:val="0"/>
                          <w:marBottom w:val="0"/>
                          <w:divBdr>
                            <w:top w:val="none" w:sz="0" w:space="0" w:color="auto"/>
                            <w:left w:val="none" w:sz="0" w:space="0" w:color="auto"/>
                            <w:bottom w:val="none" w:sz="0" w:space="0" w:color="auto"/>
                            <w:right w:val="none" w:sz="0" w:space="0" w:color="auto"/>
                          </w:divBdr>
                        </w:div>
                      </w:divsChild>
                    </w:div>
                    <w:div w:id="294138953">
                      <w:marLeft w:val="0"/>
                      <w:marRight w:val="0"/>
                      <w:marTop w:val="0"/>
                      <w:marBottom w:val="0"/>
                      <w:divBdr>
                        <w:top w:val="none" w:sz="0" w:space="0" w:color="auto"/>
                        <w:left w:val="none" w:sz="0" w:space="0" w:color="auto"/>
                        <w:bottom w:val="none" w:sz="0" w:space="0" w:color="auto"/>
                        <w:right w:val="none" w:sz="0" w:space="0" w:color="auto"/>
                      </w:divBdr>
                      <w:divsChild>
                        <w:div w:id="294147165">
                          <w:marLeft w:val="0"/>
                          <w:marRight w:val="0"/>
                          <w:marTop w:val="0"/>
                          <w:marBottom w:val="0"/>
                          <w:divBdr>
                            <w:top w:val="none" w:sz="0" w:space="0" w:color="auto"/>
                            <w:left w:val="none" w:sz="0" w:space="0" w:color="auto"/>
                            <w:bottom w:val="none" w:sz="0" w:space="0" w:color="auto"/>
                            <w:right w:val="none" w:sz="0" w:space="0" w:color="auto"/>
                          </w:divBdr>
                        </w:div>
                      </w:divsChild>
                    </w:div>
                    <w:div w:id="294138963">
                      <w:marLeft w:val="0"/>
                      <w:marRight w:val="0"/>
                      <w:marTop w:val="0"/>
                      <w:marBottom w:val="0"/>
                      <w:divBdr>
                        <w:top w:val="none" w:sz="0" w:space="0" w:color="auto"/>
                        <w:left w:val="none" w:sz="0" w:space="0" w:color="auto"/>
                        <w:bottom w:val="none" w:sz="0" w:space="0" w:color="auto"/>
                        <w:right w:val="none" w:sz="0" w:space="0" w:color="auto"/>
                      </w:divBdr>
                      <w:divsChild>
                        <w:div w:id="294142419">
                          <w:marLeft w:val="0"/>
                          <w:marRight w:val="0"/>
                          <w:marTop w:val="0"/>
                          <w:marBottom w:val="0"/>
                          <w:divBdr>
                            <w:top w:val="none" w:sz="0" w:space="0" w:color="auto"/>
                            <w:left w:val="none" w:sz="0" w:space="0" w:color="auto"/>
                            <w:bottom w:val="none" w:sz="0" w:space="0" w:color="auto"/>
                            <w:right w:val="none" w:sz="0" w:space="0" w:color="auto"/>
                          </w:divBdr>
                        </w:div>
                      </w:divsChild>
                    </w:div>
                    <w:div w:id="294138964">
                      <w:marLeft w:val="0"/>
                      <w:marRight w:val="0"/>
                      <w:marTop w:val="0"/>
                      <w:marBottom w:val="0"/>
                      <w:divBdr>
                        <w:top w:val="none" w:sz="0" w:space="0" w:color="auto"/>
                        <w:left w:val="none" w:sz="0" w:space="0" w:color="auto"/>
                        <w:bottom w:val="none" w:sz="0" w:space="0" w:color="auto"/>
                        <w:right w:val="none" w:sz="0" w:space="0" w:color="auto"/>
                      </w:divBdr>
                    </w:div>
                    <w:div w:id="294139011">
                      <w:marLeft w:val="0"/>
                      <w:marRight w:val="0"/>
                      <w:marTop w:val="0"/>
                      <w:marBottom w:val="0"/>
                      <w:divBdr>
                        <w:top w:val="none" w:sz="0" w:space="0" w:color="auto"/>
                        <w:left w:val="none" w:sz="0" w:space="0" w:color="auto"/>
                        <w:bottom w:val="none" w:sz="0" w:space="0" w:color="auto"/>
                        <w:right w:val="none" w:sz="0" w:space="0" w:color="auto"/>
                      </w:divBdr>
                    </w:div>
                    <w:div w:id="294139017">
                      <w:marLeft w:val="0"/>
                      <w:marRight w:val="0"/>
                      <w:marTop w:val="0"/>
                      <w:marBottom w:val="0"/>
                      <w:divBdr>
                        <w:top w:val="none" w:sz="0" w:space="0" w:color="auto"/>
                        <w:left w:val="none" w:sz="0" w:space="0" w:color="auto"/>
                        <w:bottom w:val="none" w:sz="0" w:space="0" w:color="auto"/>
                        <w:right w:val="none" w:sz="0" w:space="0" w:color="auto"/>
                      </w:divBdr>
                      <w:divsChild>
                        <w:div w:id="294147217">
                          <w:marLeft w:val="0"/>
                          <w:marRight w:val="0"/>
                          <w:marTop w:val="0"/>
                          <w:marBottom w:val="0"/>
                          <w:divBdr>
                            <w:top w:val="none" w:sz="0" w:space="0" w:color="auto"/>
                            <w:left w:val="none" w:sz="0" w:space="0" w:color="auto"/>
                            <w:bottom w:val="none" w:sz="0" w:space="0" w:color="auto"/>
                            <w:right w:val="none" w:sz="0" w:space="0" w:color="auto"/>
                          </w:divBdr>
                        </w:div>
                      </w:divsChild>
                    </w:div>
                    <w:div w:id="294139078">
                      <w:marLeft w:val="0"/>
                      <w:marRight w:val="0"/>
                      <w:marTop w:val="0"/>
                      <w:marBottom w:val="0"/>
                      <w:divBdr>
                        <w:top w:val="none" w:sz="0" w:space="0" w:color="auto"/>
                        <w:left w:val="none" w:sz="0" w:space="0" w:color="auto"/>
                        <w:bottom w:val="none" w:sz="0" w:space="0" w:color="auto"/>
                        <w:right w:val="none" w:sz="0" w:space="0" w:color="auto"/>
                      </w:divBdr>
                      <w:divsChild>
                        <w:div w:id="294147021">
                          <w:marLeft w:val="0"/>
                          <w:marRight w:val="0"/>
                          <w:marTop w:val="0"/>
                          <w:marBottom w:val="0"/>
                          <w:divBdr>
                            <w:top w:val="none" w:sz="0" w:space="0" w:color="auto"/>
                            <w:left w:val="none" w:sz="0" w:space="0" w:color="auto"/>
                            <w:bottom w:val="none" w:sz="0" w:space="0" w:color="auto"/>
                            <w:right w:val="none" w:sz="0" w:space="0" w:color="auto"/>
                          </w:divBdr>
                        </w:div>
                      </w:divsChild>
                    </w:div>
                    <w:div w:id="294139083">
                      <w:marLeft w:val="0"/>
                      <w:marRight w:val="0"/>
                      <w:marTop w:val="0"/>
                      <w:marBottom w:val="0"/>
                      <w:divBdr>
                        <w:top w:val="none" w:sz="0" w:space="0" w:color="auto"/>
                        <w:left w:val="none" w:sz="0" w:space="0" w:color="auto"/>
                        <w:bottom w:val="none" w:sz="0" w:space="0" w:color="auto"/>
                        <w:right w:val="none" w:sz="0" w:space="0" w:color="auto"/>
                      </w:divBdr>
                      <w:divsChild>
                        <w:div w:id="294154737">
                          <w:marLeft w:val="0"/>
                          <w:marRight w:val="0"/>
                          <w:marTop w:val="0"/>
                          <w:marBottom w:val="0"/>
                          <w:divBdr>
                            <w:top w:val="none" w:sz="0" w:space="0" w:color="auto"/>
                            <w:left w:val="none" w:sz="0" w:space="0" w:color="auto"/>
                            <w:bottom w:val="none" w:sz="0" w:space="0" w:color="auto"/>
                            <w:right w:val="none" w:sz="0" w:space="0" w:color="auto"/>
                          </w:divBdr>
                        </w:div>
                      </w:divsChild>
                    </w:div>
                    <w:div w:id="294139136">
                      <w:marLeft w:val="0"/>
                      <w:marRight w:val="0"/>
                      <w:marTop w:val="0"/>
                      <w:marBottom w:val="0"/>
                      <w:divBdr>
                        <w:top w:val="none" w:sz="0" w:space="0" w:color="auto"/>
                        <w:left w:val="none" w:sz="0" w:space="0" w:color="auto"/>
                        <w:bottom w:val="none" w:sz="0" w:space="0" w:color="auto"/>
                        <w:right w:val="none" w:sz="0" w:space="0" w:color="auto"/>
                      </w:divBdr>
                    </w:div>
                    <w:div w:id="294139189">
                      <w:marLeft w:val="0"/>
                      <w:marRight w:val="0"/>
                      <w:marTop w:val="0"/>
                      <w:marBottom w:val="0"/>
                      <w:divBdr>
                        <w:top w:val="none" w:sz="0" w:space="0" w:color="auto"/>
                        <w:left w:val="none" w:sz="0" w:space="0" w:color="auto"/>
                        <w:bottom w:val="none" w:sz="0" w:space="0" w:color="auto"/>
                        <w:right w:val="none" w:sz="0" w:space="0" w:color="auto"/>
                      </w:divBdr>
                    </w:div>
                    <w:div w:id="294139218">
                      <w:marLeft w:val="0"/>
                      <w:marRight w:val="0"/>
                      <w:marTop w:val="0"/>
                      <w:marBottom w:val="0"/>
                      <w:divBdr>
                        <w:top w:val="none" w:sz="0" w:space="0" w:color="auto"/>
                        <w:left w:val="none" w:sz="0" w:space="0" w:color="auto"/>
                        <w:bottom w:val="none" w:sz="0" w:space="0" w:color="auto"/>
                        <w:right w:val="none" w:sz="0" w:space="0" w:color="auto"/>
                      </w:divBdr>
                      <w:divsChild>
                        <w:div w:id="294139688">
                          <w:marLeft w:val="0"/>
                          <w:marRight w:val="0"/>
                          <w:marTop w:val="0"/>
                          <w:marBottom w:val="0"/>
                          <w:divBdr>
                            <w:top w:val="none" w:sz="0" w:space="0" w:color="auto"/>
                            <w:left w:val="none" w:sz="0" w:space="0" w:color="auto"/>
                            <w:bottom w:val="none" w:sz="0" w:space="0" w:color="auto"/>
                            <w:right w:val="none" w:sz="0" w:space="0" w:color="auto"/>
                          </w:divBdr>
                        </w:div>
                      </w:divsChild>
                    </w:div>
                    <w:div w:id="294139356">
                      <w:marLeft w:val="0"/>
                      <w:marRight w:val="0"/>
                      <w:marTop w:val="0"/>
                      <w:marBottom w:val="0"/>
                      <w:divBdr>
                        <w:top w:val="none" w:sz="0" w:space="0" w:color="auto"/>
                        <w:left w:val="none" w:sz="0" w:space="0" w:color="auto"/>
                        <w:bottom w:val="none" w:sz="0" w:space="0" w:color="auto"/>
                        <w:right w:val="none" w:sz="0" w:space="0" w:color="auto"/>
                      </w:divBdr>
                    </w:div>
                    <w:div w:id="294139360">
                      <w:marLeft w:val="0"/>
                      <w:marRight w:val="0"/>
                      <w:marTop w:val="0"/>
                      <w:marBottom w:val="0"/>
                      <w:divBdr>
                        <w:top w:val="none" w:sz="0" w:space="0" w:color="auto"/>
                        <w:left w:val="none" w:sz="0" w:space="0" w:color="auto"/>
                        <w:bottom w:val="none" w:sz="0" w:space="0" w:color="auto"/>
                        <w:right w:val="none" w:sz="0" w:space="0" w:color="auto"/>
                      </w:divBdr>
                      <w:divsChild>
                        <w:div w:id="294154244">
                          <w:marLeft w:val="0"/>
                          <w:marRight w:val="0"/>
                          <w:marTop w:val="0"/>
                          <w:marBottom w:val="0"/>
                          <w:divBdr>
                            <w:top w:val="none" w:sz="0" w:space="0" w:color="auto"/>
                            <w:left w:val="none" w:sz="0" w:space="0" w:color="auto"/>
                            <w:bottom w:val="none" w:sz="0" w:space="0" w:color="auto"/>
                            <w:right w:val="none" w:sz="0" w:space="0" w:color="auto"/>
                          </w:divBdr>
                        </w:div>
                      </w:divsChild>
                    </w:div>
                    <w:div w:id="294139407">
                      <w:marLeft w:val="0"/>
                      <w:marRight w:val="0"/>
                      <w:marTop w:val="0"/>
                      <w:marBottom w:val="0"/>
                      <w:divBdr>
                        <w:top w:val="none" w:sz="0" w:space="0" w:color="auto"/>
                        <w:left w:val="none" w:sz="0" w:space="0" w:color="auto"/>
                        <w:bottom w:val="none" w:sz="0" w:space="0" w:color="auto"/>
                        <w:right w:val="none" w:sz="0" w:space="0" w:color="auto"/>
                      </w:divBdr>
                    </w:div>
                    <w:div w:id="294139428">
                      <w:marLeft w:val="0"/>
                      <w:marRight w:val="0"/>
                      <w:marTop w:val="0"/>
                      <w:marBottom w:val="0"/>
                      <w:divBdr>
                        <w:top w:val="none" w:sz="0" w:space="0" w:color="auto"/>
                        <w:left w:val="none" w:sz="0" w:space="0" w:color="auto"/>
                        <w:bottom w:val="none" w:sz="0" w:space="0" w:color="auto"/>
                        <w:right w:val="none" w:sz="0" w:space="0" w:color="auto"/>
                      </w:divBdr>
                      <w:divsChild>
                        <w:div w:id="294154972">
                          <w:marLeft w:val="0"/>
                          <w:marRight w:val="0"/>
                          <w:marTop w:val="0"/>
                          <w:marBottom w:val="0"/>
                          <w:divBdr>
                            <w:top w:val="none" w:sz="0" w:space="0" w:color="auto"/>
                            <w:left w:val="none" w:sz="0" w:space="0" w:color="auto"/>
                            <w:bottom w:val="none" w:sz="0" w:space="0" w:color="auto"/>
                            <w:right w:val="none" w:sz="0" w:space="0" w:color="auto"/>
                          </w:divBdr>
                        </w:div>
                      </w:divsChild>
                    </w:div>
                    <w:div w:id="294139458">
                      <w:marLeft w:val="0"/>
                      <w:marRight w:val="0"/>
                      <w:marTop w:val="0"/>
                      <w:marBottom w:val="0"/>
                      <w:divBdr>
                        <w:top w:val="none" w:sz="0" w:space="0" w:color="auto"/>
                        <w:left w:val="none" w:sz="0" w:space="0" w:color="auto"/>
                        <w:bottom w:val="none" w:sz="0" w:space="0" w:color="auto"/>
                        <w:right w:val="none" w:sz="0" w:space="0" w:color="auto"/>
                      </w:divBdr>
                      <w:divsChild>
                        <w:div w:id="294145755">
                          <w:marLeft w:val="0"/>
                          <w:marRight w:val="0"/>
                          <w:marTop w:val="0"/>
                          <w:marBottom w:val="0"/>
                          <w:divBdr>
                            <w:top w:val="none" w:sz="0" w:space="0" w:color="auto"/>
                            <w:left w:val="none" w:sz="0" w:space="0" w:color="auto"/>
                            <w:bottom w:val="none" w:sz="0" w:space="0" w:color="auto"/>
                            <w:right w:val="none" w:sz="0" w:space="0" w:color="auto"/>
                          </w:divBdr>
                        </w:div>
                      </w:divsChild>
                    </w:div>
                    <w:div w:id="294139523">
                      <w:marLeft w:val="0"/>
                      <w:marRight w:val="0"/>
                      <w:marTop w:val="0"/>
                      <w:marBottom w:val="0"/>
                      <w:divBdr>
                        <w:top w:val="none" w:sz="0" w:space="0" w:color="auto"/>
                        <w:left w:val="none" w:sz="0" w:space="0" w:color="auto"/>
                        <w:bottom w:val="none" w:sz="0" w:space="0" w:color="auto"/>
                        <w:right w:val="none" w:sz="0" w:space="0" w:color="auto"/>
                      </w:divBdr>
                      <w:divsChild>
                        <w:div w:id="294145590">
                          <w:marLeft w:val="0"/>
                          <w:marRight w:val="0"/>
                          <w:marTop w:val="0"/>
                          <w:marBottom w:val="0"/>
                          <w:divBdr>
                            <w:top w:val="none" w:sz="0" w:space="0" w:color="auto"/>
                            <w:left w:val="none" w:sz="0" w:space="0" w:color="auto"/>
                            <w:bottom w:val="none" w:sz="0" w:space="0" w:color="auto"/>
                            <w:right w:val="none" w:sz="0" w:space="0" w:color="auto"/>
                          </w:divBdr>
                        </w:div>
                      </w:divsChild>
                    </w:div>
                    <w:div w:id="294139588">
                      <w:marLeft w:val="0"/>
                      <w:marRight w:val="0"/>
                      <w:marTop w:val="0"/>
                      <w:marBottom w:val="0"/>
                      <w:divBdr>
                        <w:top w:val="none" w:sz="0" w:space="0" w:color="auto"/>
                        <w:left w:val="none" w:sz="0" w:space="0" w:color="auto"/>
                        <w:bottom w:val="none" w:sz="0" w:space="0" w:color="auto"/>
                        <w:right w:val="none" w:sz="0" w:space="0" w:color="auto"/>
                      </w:divBdr>
                      <w:divsChild>
                        <w:div w:id="294147705">
                          <w:marLeft w:val="0"/>
                          <w:marRight w:val="0"/>
                          <w:marTop w:val="0"/>
                          <w:marBottom w:val="0"/>
                          <w:divBdr>
                            <w:top w:val="none" w:sz="0" w:space="0" w:color="auto"/>
                            <w:left w:val="none" w:sz="0" w:space="0" w:color="auto"/>
                            <w:bottom w:val="none" w:sz="0" w:space="0" w:color="auto"/>
                            <w:right w:val="none" w:sz="0" w:space="0" w:color="auto"/>
                          </w:divBdr>
                        </w:div>
                      </w:divsChild>
                    </w:div>
                    <w:div w:id="294139621">
                      <w:marLeft w:val="0"/>
                      <w:marRight w:val="0"/>
                      <w:marTop w:val="0"/>
                      <w:marBottom w:val="0"/>
                      <w:divBdr>
                        <w:top w:val="none" w:sz="0" w:space="0" w:color="auto"/>
                        <w:left w:val="none" w:sz="0" w:space="0" w:color="auto"/>
                        <w:bottom w:val="none" w:sz="0" w:space="0" w:color="auto"/>
                        <w:right w:val="none" w:sz="0" w:space="0" w:color="auto"/>
                      </w:divBdr>
                      <w:divsChild>
                        <w:div w:id="294147919">
                          <w:marLeft w:val="0"/>
                          <w:marRight w:val="0"/>
                          <w:marTop w:val="0"/>
                          <w:marBottom w:val="0"/>
                          <w:divBdr>
                            <w:top w:val="none" w:sz="0" w:space="0" w:color="auto"/>
                            <w:left w:val="none" w:sz="0" w:space="0" w:color="auto"/>
                            <w:bottom w:val="none" w:sz="0" w:space="0" w:color="auto"/>
                            <w:right w:val="none" w:sz="0" w:space="0" w:color="auto"/>
                          </w:divBdr>
                        </w:div>
                      </w:divsChild>
                    </w:div>
                    <w:div w:id="294139626">
                      <w:marLeft w:val="0"/>
                      <w:marRight w:val="0"/>
                      <w:marTop w:val="0"/>
                      <w:marBottom w:val="0"/>
                      <w:divBdr>
                        <w:top w:val="none" w:sz="0" w:space="0" w:color="auto"/>
                        <w:left w:val="none" w:sz="0" w:space="0" w:color="auto"/>
                        <w:bottom w:val="none" w:sz="0" w:space="0" w:color="auto"/>
                        <w:right w:val="none" w:sz="0" w:space="0" w:color="auto"/>
                      </w:divBdr>
                    </w:div>
                    <w:div w:id="294139630">
                      <w:marLeft w:val="0"/>
                      <w:marRight w:val="0"/>
                      <w:marTop w:val="0"/>
                      <w:marBottom w:val="0"/>
                      <w:divBdr>
                        <w:top w:val="none" w:sz="0" w:space="0" w:color="auto"/>
                        <w:left w:val="none" w:sz="0" w:space="0" w:color="auto"/>
                        <w:bottom w:val="none" w:sz="0" w:space="0" w:color="auto"/>
                        <w:right w:val="none" w:sz="0" w:space="0" w:color="auto"/>
                      </w:divBdr>
                    </w:div>
                    <w:div w:id="294139788">
                      <w:marLeft w:val="0"/>
                      <w:marRight w:val="0"/>
                      <w:marTop w:val="0"/>
                      <w:marBottom w:val="0"/>
                      <w:divBdr>
                        <w:top w:val="none" w:sz="0" w:space="0" w:color="auto"/>
                        <w:left w:val="none" w:sz="0" w:space="0" w:color="auto"/>
                        <w:bottom w:val="none" w:sz="0" w:space="0" w:color="auto"/>
                        <w:right w:val="none" w:sz="0" w:space="0" w:color="auto"/>
                      </w:divBdr>
                    </w:div>
                    <w:div w:id="294139858">
                      <w:marLeft w:val="0"/>
                      <w:marRight w:val="0"/>
                      <w:marTop w:val="0"/>
                      <w:marBottom w:val="0"/>
                      <w:divBdr>
                        <w:top w:val="none" w:sz="0" w:space="0" w:color="auto"/>
                        <w:left w:val="none" w:sz="0" w:space="0" w:color="auto"/>
                        <w:bottom w:val="none" w:sz="0" w:space="0" w:color="auto"/>
                        <w:right w:val="none" w:sz="0" w:space="0" w:color="auto"/>
                      </w:divBdr>
                    </w:div>
                    <w:div w:id="294139861">
                      <w:marLeft w:val="0"/>
                      <w:marRight w:val="0"/>
                      <w:marTop w:val="0"/>
                      <w:marBottom w:val="0"/>
                      <w:divBdr>
                        <w:top w:val="none" w:sz="0" w:space="0" w:color="auto"/>
                        <w:left w:val="none" w:sz="0" w:space="0" w:color="auto"/>
                        <w:bottom w:val="none" w:sz="0" w:space="0" w:color="auto"/>
                        <w:right w:val="none" w:sz="0" w:space="0" w:color="auto"/>
                      </w:divBdr>
                    </w:div>
                    <w:div w:id="294139899">
                      <w:marLeft w:val="0"/>
                      <w:marRight w:val="0"/>
                      <w:marTop w:val="0"/>
                      <w:marBottom w:val="0"/>
                      <w:divBdr>
                        <w:top w:val="none" w:sz="0" w:space="0" w:color="auto"/>
                        <w:left w:val="none" w:sz="0" w:space="0" w:color="auto"/>
                        <w:bottom w:val="none" w:sz="0" w:space="0" w:color="auto"/>
                        <w:right w:val="none" w:sz="0" w:space="0" w:color="auto"/>
                      </w:divBdr>
                    </w:div>
                    <w:div w:id="294139928">
                      <w:marLeft w:val="0"/>
                      <w:marRight w:val="0"/>
                      <w:marTop w:val="0"/>
                      <w:marBottom w:val="0"/>
                      <w:divBdr>
                        <w:top w:val="none" w:sz="0" w:space="0" w:color="auto"/>
                        <w:left w:val="none" w:sz="0" w:space="0" w:color="auto"/>
                        <w:bottom w:val="none" w:sz="0" w:space="0" w:color="auto"/>
                        <w:right w:val="none" w:sz="0" w:space="0" w:color="auto"/>
                      </w:divBdr>
                    </w:div>
                    <w:div w:id="294139991">
                      <w:marLeft w:val="0"/>
                      <w:marRight w:val="0"/>
                      <w:marTop w:val="0"/>
                      <w:marBottom w:val="0"/>
                      <w:divBdr>
                        <w:top w:val="none" w:sz="0" w:space="0" w:color="auto"/>
                        <w:left w:val="none" w:sz="0" w:space="0" w:color="auto"/>
                        <w:bottom w:val="none" w:sz="0" w:space="0" w:color="auto"/>
                        <w:right w:val="none" w:sz="0" w:space="0" w:color="auto"/>
                      </w:divBdr>
                    </w:div>
                    <w:div w:id="294140028">
                      <w:marLeft w:val="0"/>
                      <w:marRight w:val="0"/>
                      <w:marTop w:val="0"/>
                      <w:marBottom w:val="0"/>
                      <w:divBdr>
                        <w:top w:val="none" w:sz="0" w:space="0" w:color="auto"/>
                        <w:left w:val="none" w:sz="0" w:space="0" w:color="auto"/>
                        <w:bottom w:val="none" w:sz="0" w:space="0" w:color="auto"/>
                        <w:right w:val="none" w:sz="0" w:space="0" w:color="auto"/>
                      </w:divBdr>
                      <w:divsChild>
                        <w:div w:id="294142932">
                          <w:marLeft w:val="0"/>
                          <w:marRight w:val="0"/>
                          <w:marTop w:val="0"/>
                          <w:marBottom w:val="0"/>
                          <w:divBdr>
                            <w:top w:val="none" w:sz="0" w:space="0" w:color="auto"/>
                            <w:left w:val="none" w:sz="0" w:space="0" w:color="auto"/>
                            <w:bottom w:val="none" w:sz="0" w:space="0" w:color="auto"/>
                            <w:right w:val="none" w:sz="0" w:space="0" w:color="auto"/>
                          </w:divBdr>
                        </w:div>
                      </w:divsChild>
                    </w:div>
                    <w:div w:id="294140056">
                      <w:marLeft w:val="0"/>
                      <w:marRight w:val="0"/>
                      <w:marTop w:val="0"/>
                      <w:marBottom w:val="0"/>
                      <w:divBdr>
                        <w:top w:val="none" w:sz="0" w:space="0" w:color="auto"/>
                        <w:left w:val="none" w:sz="0" w:space="0" w:color="auto"/>
                        <w:bottom w:val="none" w:sz="0" w:space="0" w:color="auto"/>
                        <w:right w:val="none" w:sz="0" w:space="0" w:color="auto"/>
                      </w:divBdr>
                    </w:div>
                    <w:div w:id="294140067">
                      <w:marLeft w:val="0"/>
                      <w:marRight w:val="0"/>
                      <w:marTop w:val="0"/>
                      <w:marBottom w:val="0"/>
                      <w:divBdr>
                        <w:top w:val="none" w:sz="0" w:space="0" w:color="auto"/>
                        <w:left w:val="none" w:sz="0" w:space="0" w:color="auto"/>
                        <w:bottom w:val="none" w:sz="0" w:space="0" w:color="auto"/>
                        <w:right w:val="none" w:sz="0" w:space="0" w:color="auto"/>
                      </w:divBdr>
                      <w:divsChild>
                        <w:div w:id="294150384">
                          <w:marLeft w:val="0"/>
                          <w:marRight w:val="0"/>
                          <w:marTop w:val="0"/>
                          <w:marBottom w:val="0"/>
                          <w:divBdr>
                            <w:top w:val="none" w:sz="0" w:space="0" w:color="auto"/>
                            <w:left w:val="none" w:sz="0" w:space="0" w:color="auto"/>
                            <w:bottom w:val="none" w:sz="0" w:space="0" w:color="auto"/>
                            <w:right w:val="none" w:sz="0" w:space="0" w:color="auto"/>
                          </w:divBdr>
                        </w:div>
                      </w:divsChild>
                    </w:div>
                    <w:div w:id="294140132">
                      <w:marLeft w:val="0"/>
                      <w:marRight w:val="0"/>
                      <w:marTop w:val="0"/>
                      <w:marBottom w:val="0"/>
                      <w:divBdr>
                        <w:top w:val="none" w:sz="0" w:space="0" w:color="auto"/>
                        <w:left w:val="none" w:sz="0" w:space="0" w:color="auto"/>
                        <w:bottom w:val="none" w:sz="0" w:space="0" w:color="auto"/>
                        <w:right w:val="none" w:sz="0" w:space="0" w:color="auto"/>
                      </w:divBdr>
                    </w:div>
                    <w:div w:id="294140177">
                      <w:marLeft w:val="0"/>
                      <w:marRight w:val="0"/>
                      <w:marTop w:val="0"/>
                      <w:marBottom w:val="0"/>
                      <w:divBdr>
                        <w:top w:val="none" w:sz="0" w:space="0" w:color="auto"/>
                        <w:left w:val="none" w:sz="0" w:space="0" w:color="auto"/>
                        <w:bottom w:val="none" w:sz="0" w:space="0" w:color="auto"/>
                        <w:right w:val="none" w:sz="0" w:space="0" w:color="auto"/>
                      </w:divBdr>
                    </w:div>
                    <w:div w:id="294140230">
                      <w:marLeft w:val="0"/>
                      <w:marRight w:val="0"/>
                      <w:marTop w:val="0"/>
                      <w:marBottom w:val="0"/>
                      <w:divBdr>
                        <w:top w:val="none" w:sz="0" w:space="0" w:color="auto"/>
                        <w:left w:val="none" w:sz="0" w:space="0" w:color="auto"/>
                        <w:bottom w:val="none" w:sz="0" w:space="0" w:color="auto"/>
                        <w:right w:val="none" w:sz="0" w:space="0" w:color="auto"/>
                      </w:divBdr>
                      <w:divsChild>
                        <w:div w:id="294139144">
                          <w:marLeft w:val="0"/>
                          <w:marRight w:val="0"/>
                          <w:marTop w:val="0"/>
                          <w:marBottom w:val="0"/>
                          <w:divBdr>
                            <w:top w:val="none" w:sz="0" w:space="0" w:color="auto"/>
                            <w:left w:val="none" w:sz="0" w:space="0" w:color="auto"/>
                            <w:bottom w:val="none" w:sz="0" w:space="0" w:color="auto"/>
                            <w:right w:val="none" w:sz="0" w:space="0" w:color="auto"/>
                          </w:divBdr>
                        </w:div>
                      </w:divsChild>
                    </w:div>
                    <w:div w:id="294140234">
                      <w:marLeft w:val="0"/>
                      <w:marRight w:val="0"/>
                      <w:marTop w:val="0"/>
                      <w:marBottom w:val="0"/>
                      <w:divBdr>
                        <w:top w:val="none" w:sz="0" w:space="0" w:color="auto"/>
                        <w:left w:val="none" w:sz="0" w:space="0" w:color="auto"/>
                        <w:bottom w:val="none" w:sz="0" w:space="0" w:color="auto"/>
                        <w:right w:val="none" w:sz="0" w:space="0" w:color="auto"/>
                      </w:divBdr>
                    </w:div>
                    <w:div w:id="294140321">
                      <w:marLeft w:val="0"/>
                      <w:marRight w:val="0"/>
                      <w:marTop w:val="0"/>
                      <w:marBottom w:val="0"/>
                      <w:divBdr>
                        <w:top w:val="none" w:sz="0" w:space="0" w:color="auto"/>
                        <w:left w:val="none" w:sz="0" w:space="0" w:color="auto"/>
                        <w:bottom w:val="none" w:sz="0" w:space="0" w:color="auto"/>
                        <w:right w:val="none" w:sz="0" w:space="0" w:color="auto"/>
                      </w:divBdr>
                      <w:divsChild>
                        <w:div w:id="294150531">
                          <w:marLeft w:val="0"/>
                          <w:marRight w:val="0"/>
                          <w:marTop w:val="0"/>
                          <w:marBottom w:val="0"/>
                          <w:divBdr>
                            <w:top w:val="none" w:sz="0" w:space="0" w:color="auto"/>
                            <w:left w:val="none" w:sz="0" w:space="0" w:color="auto"/>
                            <w:bottom w:val="none" w:sz="0" w:space="0" w:color="auto"/>
                            <w:right w:val="none" w:sz="0" w:space="0" w:color="auto"/>
                          </w:divBdr>
                        </w:div>
                      </w:divsChild>
                    </w:div>
                    <w:div w:id="294140352">
                      <w:marLeft w:val="0"/>
                      <w:marRight w:val="0"/>
                      <w:marTop w:val="0"/>
                      <w:marBottom w:val="0"/>
                      <w:divBdr>
                        <w:top w:val="none" w:sz="0" w:space="0" w:color="auto"/>
                        <w:left w:val="none" w:sz="0" w:space="0" w:color="auto"/>
                        <w:bottom w:val="none" w:sz="0" w:space="0" w:color="auto"/>
                        <w:right w:val="none" w:sz="0" w:space="0" w:color="auto"/>
                      </w:divBdr>
                    </w:div>
                    <w:div w:id="294140399">
                      <w:marLeft w:val="0"/>
                      <w:marRight w:val="0"/>
                      <w:marTop w:val="0"/>
                      <w:marBottom w:val="0"/>
                      <w:divBdr>
                        <w:top w:val="none" w:sz="0" w:space="0" w:color="auto"/>
                        <w:left w:val="none" w:sz="0" w:space="0" w:color="auto"/>
                        <w:bottom w:val="none" w:sz="0" w:space="0" w:color="auto"/>
                        <w:right w:val="none" w:sz="0" w:space="0" w:color="auto"/>
                      </w:divBdr>
                      <w:divsChild>
                        <w:div w:id="294152004">
                          <w:marLeft w:val="0"/>
                          <w:marRight w:val="0"/>
                          <w:marTop w:val="0"/>
                          <w:marBottom w:val="0"/>
                          <w:divBdr>
                            <w:top w:val="none" w:sz="0" w:space="0" w:color="auto"/>
                            <w:left w:val="none" w:sz="0" w:space="0" w:color="auto"/>
                            <w:bottom w:val="none" w:sz="0" w:space="0" w:color="auto"/>
                            <w:right w:val="none" w:sz="0" w:space="0" w:color="auto"/>
                          </w:divBdr>
                        </w:div>
                      </w:divsChild>
                    </w:div>
                    <w:div w:id="294140472">
                      <w:marLeft w:val="0"/>
                      <w:marRight w:val="0"/>
                      <w:marTop w:val="0"/>
                      <w:marBottom w:val="0"/>
                      <w:divBdr>
                        <w:top w:val="none" w:sz="0" w:space="0" w:color="auto"/>
                        <w:left w:val="none" w:sz="0" w:space="0" w:color="auto"/>
                        <w:bottom w:val="none" w:sz="0" w:space="0" w:color="auto"/>
                        <w:right w:val="none" w:sz="0" w:space="0" w:color="auto"/>
                      </w:divBdr>
                      <w:divsChild>
                        <w:div w:id="294153216">
                          <w:marLeft w:val="0"/>
                          <w:marRight w:val="0"/>
                          <w:marTop w:val="0"/>
                          <w:marBottom w:val="0"/>
                          <w:divBdr>
                            <w:top w:val="none" w:sz="0" w:space="0" w:color="auto"/>
                            <w:left w:val="none" w:sz="0" w:space="0" w:color="auto"/>
                            <w:bottom w:val="none" w:sz="0" w:space="0" w:color="auto"/>
                            <w:right w:val="none" w:sz="0" w:space="0" w:color="auto"/>
                          </w:divBdr>
                        </w:div>
                      </w:divsChild>
                    </w:div>
                    <w:div w:id="294140566">
                      <w:marLeft w:val="0"/>
                      <w:marRight w:val="0"/>
                      <w:marTop w:val="0"/>
                      <w:marBottom w:val="0"/>
                      <w:divBdr>
                        <w:top w:val="none" w:sz="0" w:space="0" w:color="auto"/>
                        <w:left w:val="none" w:sz="0" w:space="0" w:color="auto"/>
                        <w:bottom w:val="none" w:sz="0" w:space="0" w:color="auto"/>
                        <w:right w:val="none" w:sz="0" w:space="0" w:color="auto"/>
                      </w:divBdr>
                    </w:div>
                    <w:div w:id="294140592">
                      <w:marLeft w:val="0"/>
                      <w:marRight w:val="0"/>
                      <w:marTop w:val="0"/>
                      <w:marBottom w:val="0"/>
                      <w:divBdr>
                        <w:top w:val="none" w:sz="0" w:space="0" w:color="auto"/>
                        <w:left w:val="none" w:sz="0" w:space="0" w:color="auto"/>
                        <w:bottom w:val="none" w:sz="0" w:space="0" w:color="auto"/>
                        <w:right w:val="none" w:sz="0" w:space="0" w:color="auto"/>
                      </w:divBdr>
                      <w:divsChild>
                        <w:div w:id="294149816">
                          <w:marLeft w:val="0"/>
                          <w:marRight w:val="0"/>
                          <w:marTop w:val="0"/>
                          <w:marBottom w:val="0"/>
                          <w:divBdr>
                            <w:top w:val="none" w:sz="0" w:space="0" w:color="auto"/>
                            <w:left w:val="none" w:sz="0" w:space="0" w:color="auto"/>
                            <w:bottom w:val="none" w:sz="0" w:space="0" w:color="auto"/>
                            <w:right w:val="none" w:sz="0" w:space="0" w:color="auto"/>
                          </w:divBdr>
                        </w:div>
                      </w:divsChild>
                    </w:div>
                    <w:div w:id="294140690">
                      <w:marLeft w:val="0"/>
                      <w:marRight w:val="0"/>
                      <w:marTop w:val="0"/>
                      <w:marBottom w:val="0"/>
                      <w:divBdr>
                        <w:top w:val="none" w:sz="0" w:space="0" w:color="auto"/>
                        <w:left w:val="none" w:sz="0" w:space="0" w:color="auto"/>
                        <w:bottom w:val="none" w:sz="0" w:space="0" w:color="auto"/>
                        <w:right w:val="none" w:sz="0" w:space="0" w:color="auto"/>
                      </w:divBdr>
                      <w:divsChild>
                        <w:div w:id="294148149">
                          <w:marLeft w:val="0"/>
                          <w:marRight w:val="0"/>
                          <w:marTop w:val="0"/>
                          <w:marBottom w:val="0"/>
                          <w:divBdr>
                            <w:top w:val="none" w:sz="0" w:space="0" w:color="auto"/>
                            <w:left w:val="none" w:sz="0" w:space="0" w:color="auto"/>
                            <w:bottom w:val="none" w:sz="0" w:space="0" w:color="auto"/>
                            <w:right w:val="none" w:sz="0" w:space="0" w:color="auto"/>
                          </w:divBdr>
                        </w:div>
                      </w:divsChild>
                    </w:div>
                    <w:div w:id="294140785">
                      <w:marLeft w:val="0"/>
                      <w:marRight w:val="0"/>
                      <w:marTop w:val="0"/>
                      <w:marBottom w:val="0"/>
                      <w:divBdr>
                        <w:top w:val="none" w:sz="0" w:space="0" w:color="auto"/>
                        <w:left w:val="none" w:sz="0" w:space="0" w:color="auto"/>
                        <w:bottom w:val="none" w:sz="0" w:space="0" w:color="auto"/>
                        <w:right w:val="none" w:sz="0" w:space="0" w:color="auto"/>
                      </w:divBdr>
                    </w:div>
                    <w:div w:id="294140793">
                      <w:marLeft w:val="0"/>
                      <w:marRight w:val="0"/>
                      <w:marTop w:val="0"/>
                      <w:marBottom w:val="0"/>
                      <w:divBdr>
                        <w:top w:val="none" w:sz="0" w:space="0" w:color="auto"/>
                        <w:left w:val="none" w:sz="0" w:space="0" w:color="auto"/>
                        <w:bottom w:val="none" w:sz="0" w:space="0" w:color="auto"/>
                        <w:right w:val="none" w:sz="0" w:space="0" w:color="auto"/>
                      </w:divBdr>
                    </w:div>
                    <w:div w:id="294140847">
                      <w:marLeft w:val="0"/>
                      <w:marRight w:val="0"/>
                      <w:marTop w:val="0"/>
                      <w:marBottom w:val="0"/>
                      <w:divBdr>
                        <w:top w:val="none" w:sz="0" w:space="0" w:color="auto"/>
                        <w:left w:val="none" w:sz="0" w:space="0" w:color="auto"/>
                        <w:bottom w:val="none" w:sz="0" w:space="0" w:color="auto"/>
                        <w:right w:val="none" w:sz="0" w:space="0" w:color="auto"/>
                      </w:divBdr>
                      <w:divsChild>
                        <w:div w:id="294149766">
                          <w:marLeft w:val="0"/>
                          <w:marRight w:val="0"/>
                          <w:marTop w:val="0"/>
                          <w:marBottom w:val="0"/>
                          <w:divBdr>
                            <w:top w:val="none" w:sz="0" w:space="0" w:color="auto"/>
                            <w:left w:val="none" w:sz="0" w:space="0" w:color="auto"/>
                            <w:bottom w:val="none" w:sz="0" w:space="0" w:color="auto"/>
                            <w:right w:val="none" w:sz="0" w:space="0" w:color="auto"/>
                          </w:divBdr>
                        </w:div>
                      </w:divsChild>
                    </w:div>
                    <w:div w:id="294140930">
                      <w:marLeft w:val="0"/>
                      <w:marRight w:val="0"/>
                      <w:marTop w:val="0"/>
                      <w:marBottom w:val="0"/>
                      <w:divBdr>
                        <w:top w:val="none" w:sz="0" w:space="0" w:color="auto"/>
                        <w:left w:val="none" w:sz="0" w:space="0" w:color="auto"/>
                        <w:bottom w:val="none" w:sz="0" w:space="0" w:color="auto"/>
                        <w:right w:val="none" w:sz="0" w:space="0" w:color="auto"/>
                      </w:divBdr>
                    </w:div>
                    <w:div w:id="294140970">
                      <w:marLeft w:val="0"/>
                      <w:marRight w:val="0"/>
                      <w:marTop w:val="0"/>
                      <w:marBottom w:val="0"/>
                      <w:divBdr>
                        <w:top w:val="none" w:sz="0" w:space="0" w:color="auto"/>
                        <w:left w:val="none" w:sz="0" w:space="0" w:color="auto"/>
                        <w:bottom w:val="none" w:sz="0" w:space="0" w:color="auto"/>
                        <w:right w:val="none" w:sz="0" w:space="0" w:color="auto"/>
                      </w:divBdr>
                    </w:div>
                    <w:div w:id="294140988">
                      <w:marLeft w:val="0"/>
                      <w:marRight w:val="0"/>
                      <w:marTop w:val="0"/>
                      <w:marBottom w:val="0"/>
                      <w:divBdr>
                        <w:top w:val="none" w:sz="0" w:space="0" w:color="auto"/>
                        <w:left w:val="none" w:sz="0" w:space="0" w:color="auto"/>
                        <w:bottom w:val="none" w:sz="0" w:space="0" w:color="auto"/>
                        <w:right w:val="none" w:sz="0" w:space="0" w:color="auto"/>
                      </w:divBdr>
                    </w:div>
                    <w:div w:id="294141055">
                      <w:marLeft w:val="0"/>
                      <w:marRight w:val="0"/>
                      <w:marTop w:val="0"/>
                      <w:marBottom w:val="0"/>
                      <w:divBdr>
                        <w:top w:val="none" w:sz="0" w:space="0" w:color="auto"/>
                        <w:left w:val="none" w:sz="0" w:space="0" w:color="auto"/>
                        <w:bottom w:val="none" w:sz="0" w:space="0" w:color="auto"/>
                        <w:right w:val="none" w:sz="0" w:space="0" w:color="auto"/>
                      </w:divBdr>
                      <w:divsChild>
                        <w:div w:id="294139171">
                          <w:marLeft w:val="0"/>
                          <w:marRight w:val="0"/>
                          <w:marTop w:val="0"/>
                          <w:marBottom w:val="0"/>
                          <w:divBdr>
                            <w:top w:val="none" w:sz="0" w:space="0" w:color="auto"/>
                            <w:left w:val="none" w:sz="0" w:space="0" w:color="auto"/>
                            <w:bottom w:val="none" w:sz="0" w:space="0" w:color="auto"/>
                            <w:right w:val="none" w:sz="0" w:space="0" w:color="auto"/>
                          </w:divBdr>
                        </w:div>
                      </w:divsChild>
                    </w:div>
                    <w:div w:id="294141119">
                      <w:marLeft w:val="0"/>
                      <w:marRight w:val="0"/>
                      <w:marTop w:val="0"/>
                      <w:marBottom w:val="0"/>
                      <w:divBdr>
                        <w:top w:val="none" w:sz="0" w:space="0" w:color="auto"/>
                        <w:left w:val="none" w:sz="0" w:space="0" w:color="auto"/>
                        <w:bottom w:val="none" w:sz="0" w:space="0" w:color="auto"/>
                        <w:right w:val="none" w:sz="0" w:space="0" w:color="auto"/>
                      </w:divBdr>
                      <w:divsChild>
                        <w:div w:id="294142400">
                          <w:marLeft w:val="0"/>
                          <w:marRight w:val="0"/>
                          <w:marTop w:val="0"/>
                          <w:marBottom w:val="0"/>
                          <w:divBdr>
                            <w:top w:val="none" w:sz="0" w:space="0" w:color="auto"/>
                            <w:left w:val="none" w:sz="0" w:space="0" w:color="auto"/>
                            <w:bottom w:val="none" w:sz="0" w:space="0" w:color="auto"/>
                            <w:right w:val="none" w:sz="0" w:space="0" w:color="auto"/>
                          </w:divBdr>
                        </w:div>
                      </w:divsChild>
                    </w:div>
                    <w:div w:id="294141164">
                      <w:marLeft w:val="0"/>
                      <w:marRight w:val="0"/>
                      <w:marTop w:val="0"/>
                      <w:marBottom w:val="0"/>
                      <w:divBdr>
                        <w:top w:val="none" w:sz="0" w:space="0" w:color="auto"/>
                        <w:left w:val="none" w:sz="0" w:space="0" w:color="auto"/>
                        <w:bottom w:val="none" w:sz="0" w:space="0" w:color="auto"/>
                        <w:right w:val="none" w:sz="0" w:space="0" w:color="auto"/>
                      </w:divBdr>
                      <w:divsChild>
                        <w:div w:id="294145135">
                          <w:marLeft w:val="0"/>
                          <w:marRight w:val="0"/>
                          <w:marTop w:val="0"/>
                          <w:marBottom w:val="0"/>
                          <w:divBdr>
                            <w:top w:val="none" w:sz="0" w:space="0" w:color="auto"/>
                            <w:left w:val="none" w:sz="0" w:space="0" w:color="auto"/>
                            <w:bottom w:val="none" w:sz="0" w:space="0" w:color="auto"/>
                            <w:right w:val="none" w:sz="0" w:space="0" w:color="auto"/>
                          </w:divBdr>
                        </w:div>
                      </w:divsChild>
                    </w:div>
                    <w:div w:id="294141199">
                      <w:marLeft w:val="0"/>
                      <w:marRight w:val="0"/>
                      <w:marTop w:val="0"/>
                      <w:marBottom w:val="0"/>
                      <w:divBdr>
                        <w:top w:val="none" w:sz="0" w:space="0" w:color="auto"/>
                        <w:left w:val="none" w:sz="0" w:space="0" w:color="auto"/>
                        <w:bottom w:val="none" w:sz="0" w:space="0" w:color="auto"/>
                        <w:right w:val="none" w:sz="0" w:space="0" w:color="auto"/>
                      </w:divBdr>
                    </w:div>
                    <w:div w:id="294141230">
                      <w:marLeft w:val="0"/>
                      <w:marRight w:val="0"/>
                      <w:marTop w:val="0"/>
                      <w:marBottom w:val="0"/>
                      <w:divBdr>
                        <w:top w:val="none" w:sz="0" w:space="0" w:color="auto"/>
                        <w:left w:val="none" w:sz="0" w:space="0" w:color="auto"/>
                        <w:bottom w:val="none" w:sz="0" w:space="0" w:color="auto"/>
                        <w:right w:val="none" w:sz="0" w:space="0" w:color="auto"/>
                      </w:divBdr>
                      <w:divsChild>
                        <w:div w:id="294146737">
                          <w:marLeft w:val="0"/>
                          <w:marRight w:val="0"/>
                          <w:marTop w:val="0"/>
                          <w:marBottom w:val="0"/>
                          <w:divBdr>
                            <w:top w:val="none" w:sz="0" w:space="0" w:color="auto"/>
                            <w:left w:val="none" w:sz="0" w:space="0" w:color="auto"/>
                            <w:bottom w:val="none" w:sz="0" w:space="0" w:color="auto"/>
                            <w:right w:val="none" w:sz="0" w:space="0" w:color="auto"/>
                          </w:divBdr>
                        </w:div>
                      </w:divsChild>
                    </w:div>
                    <w:div w:id="294141249">
                      <w:marLeft w:val="0"/>
                      <w:marRight w:val="0"/>
                      <w:marTop w:val="0"/>
                      <w:marBottom w:val="0"/>
                      <w:divBdr>
                        <w:top w:val="none" w:sz="0" w:space="0" w:color="auto"/>
                        <w:left w:val="none" w:sz="0" w:space="0" w:color="auto"/>
                        <w:bottom w:val="none" w:sz="0" w:space="0" w:color="auto"/>
                        <w:right w:val="none" w:sz="0" w:space="0" w:color="auto"/>
                      </w:divBdr>
                      <w:divsChild>
                        <w:div w:id="294147784">
                          <w:marLeft w:val="0"/>
                          <w:marRight w:val="0"/>
                          <w:marTop w:val="0"/>
                          <w:marBottom w:val="0"/>
                          <w:divBdr>
                            <w:top w:val="none" w:sz="0" w:space="0" w:color="auto"/>
                            <w:left w:val="none" w:sz="0" w:space="0" w:color="auto"/>
                            <w:bottom w:val="none" w:sz="0" w:space="0" w:color="auto"/>
                            <w:right w:val="none" w:sz="0" w:space="0" w:color="auto"/>
                          </w:divBdr>
                        </w:div>
                      </w:divsChild>
                    </w:div>
                    <w:div w:id="294141252">
                      <w:marLeft w:val="0"/>
                      <w:marRight w:val="0"/>
                      <w:marTop w:val="0"/>
                      <w:marBottom w:val="0"/>
                      <w:divBdr>
                        <w:top w:val="none" w:sz="0" w:space="0" w:color="auto"/>
                        <w:left w:val="none" w:sz="0" w:space="0" w:color="auto"/>
                        <w:bottom w:val="none" w:sz="0" w:space="0" w:color="auto"/>
                        <w:right w:val="none" w:sz="0" w:space="0" w:color="auto"/>
                      </w:divBdr>
                      <w:divsChild>
                        <w:div w:id="294146590">
                          <w:marLeft w:val="0"/>
                          <w:marRight w:val="0"/>
                          <w:marTop w:val="0"/>
                          <w:marBottom w:val="0"/>
                          <w:divBdr>
                            <w:top w:val="none" w:sz="0" w:space="0" w:color="auto"/>
                            <w:left w:val="none" w:sz="0" w:space="0" w:color="auto"/>
                            <w:bottom w:val="none" w:sz="0" w:space="0" w:color="auto"/>
                            <w:right w:val="none" w:sz="0" w:space="0" w:color="auto"/>
                          </w:divBdr>
                        </w:div>
                      </w:divsChild>
                    </w:div>
                    <w:div w:id="294141257">
                      <w:marLeft w:val="0"/>
                      <w:marRight w:val="0"/>
                      <w:marTop w:val="0"/>
                      <w:marBottom w:val="0"/>
                      <w:divBdr>
                        <w:top w:val="none" w:sz="0" w:space="0" w:color="auto"/>
                        <w:left w:val="none" w:sz="0" w:space="0" w:color="auto"/>
                        <w:bottom w:val="none" w:sz="0" w:space="0" w:color="auto"/>
                        <w:right w:val="none" w:sz="0" w:space="0" w:color="auto"/>
                      </w:divBdr>
                      <w:divsChild>
                        <w:div w:id="294138248">
                          <w:marLeft w:val="0"/>
                          <w:marRight w:val="0"/>
                          <w:marTop w:val="0"/>
                          <w:marBottom w:val="0"/>
                          <w:divBdr>
                            <w:top w:val="none" w:sz="0" w:space="0" w:color="auto"/>
                            <w:left w:val="none" w:sz="0" w:space="0" w:color="auto"/>
                            <w:bottom w:val="none" w:sz="0" w:space="0" w:color="auto"/>
                            <w:right w:val="none" w:sz="0" w:space="0" w:color="auto"/>
                          </w:divBdr>
                        </w:div>
                      </w:divsChild>
                    </w:div>
                    <w:div w:id="294141360">
                      <w:marLeft w:val="0"/>
                      <w:marRight w:val="0"/>
                      <w:marTop w:val="0"/>
                      <w:marBottom w:val="0"/>
                      <w:divBdr>
                        <w:top w:val="none" w:sz="0" w:space="0" w:color="auto"/>
                        <w:left w:val="none" w:sz="0" w:space="0" w:color="auto"/>
                        <w:bottom w:val="none" w:sz="0" w:space="0" w:color="auto"/>
                        <w:right w:val="none" w:sz="0" w:space="0" w:color="auto"/>
                      </w:divBdr>
                    </w:div>
                    <w:div w:id="294141425">
                      <w:marLeft w:val="0"/>
                      <w:marRight w:val="0"/>
                      <w:marTop w:val="0"/>
                      <w:marBottom w:val="0"/>
                      <w:divBdr>
                        <w:top w:val="none" w:sz="0" w:space="0" w:color="auto"/>
                        <w:left w:val="none" w:sz="0" w:space="0" w:color="auto"/>
                        <w:bottom w:val="none" w:sz="0" w:space="0" w:color="auto"/>
                        <w:right w:val="none" w:sz="0" w:space="0" w:color="auto"/>
                      </w:divBdr>
                      <w:divsChild>
                        <w:div w:id="294143222">
                          <w:marLeft w:val="0"/>
                          <w:marRight w:val="0"/>
                          <w:marTop w:val="0"/>
                          <w:marBottom w:val="0"/>
                          <w:divBdr>
                            <w:top w:val="none" w:sz="0" w:space="0" w:color="auto"/>
                            <w:left w:val="none" w:sz="0" w:space="0" w:color="auto"/>
                            <w:bottom w:val="none" w:sz="0" w:space="0" w:color="auto"/>
                            <w:right w:val="none" w:sz="0" w:space="0" w:color="auto"/>
                          </w:divBdr>
                        </w:div>
                      </w:divsChild>
                    </w:div>
                    <w:div w:id="294141452">
                      <w:marLeft w:val="0"/>
                      <w:marRight w:val="0"/>
                      <w:marTop w:val="0"/>
                      <w:marBottom w:val="0"/>
                      <w:divBdr>
                        <w:top w:val="none" w:sz="0" w:space="0" w:color="auto"/>
                        <w:left w:val="none" w:sz="0" w:space="0" w:color="auto"/>
                        <w:bottom w:val="none" w:sz="0" w:space="0" w:color="auto"/>
                        <w:right w:val="none" w:sz="0" w:space="0" w:color="auto"/>
                      </w:divBdr>
                    </w:div>
                    <w:div w:id="294141455">
                      <w:marLeft w:val="0"/>
                      <w:marRight w:val="0"/>
                      <w:marTop w:val="0"/>
                      <w:marBottom w:val="0"/>
                      <w:divBdr>
                        <w:top w:val="none" w:sz="0" w:space="0" w:color="auto"/>
                        <w:left w:val="none" w:sz="0" w:space="0" w:color="auto"/>
                        <w:bottom w:val="none" w:sz="0" w:space="0" w:color="auto"/>
                        <w:right w:val="none" w:sz="0" w:space="0" w:color="auto"/>
                      </w:divBdr>
                      <w:divsChild>
                        <w:div w:id="294147419">
                          <w:marLeft w:val="0"/>
                          <w:marRight w:val="0"/>
                          <w:marTop w:val="0"/>
                          <w:marBottom w:val="0"/>
                          <w:divBdr>
                            <w:top w:val="none" w:sz="0" w:space="0" w:color="auto"/>
                            <w:left w:val="none" w:sz="0" w:space="0" w:color="auto"/>
                            <w:bottom w:val="none" w:sz="0" w:space="0" w:color="auto"/>
                            <w:right w:val="none" w:sz="0" w:space="0" w:color="auto"/>
                          </w:divBdr>
                        </w:div>
                      </w:divsChild>
                    </w:div>
                    <w:div w:id="294141459">
                      <w:marLeft w:val="0"/>
                      <w:marRight w:val="0"/>
                      <w:marTop w:val="0"/>
                      <w:marBottom w:val="0"/>
                      <w:divBdr>
                        <w:top w:val="none" w:sz="0" w:space="0" w:color="auto"/>
                        <w:left w:val="none" w:sz="0" w:space="0" w:color="auto"/>
                        <w:bottom w:val="none" w:sz="0" w:space="0" w:color="auto"/>
                        <w:right w:val="none" w:sz="0" w:space="0" w:color="auto"/>
                      </w:divBdr>
                    </w:div>
                    <w:div w:id="294141516">
                      <w:marLeft w:val="0"/>
                      <w:marRight w:val="0"/>
                      <w:marTop w:val="0"/>
                      <w:marBottom w:val="0"/>
                      <w:divBdr>
                        <w:top w:val="none" w:sz="0" w:space="0" w:color="auto"/>
                        <w:left w:val="none" w:sz="0" w:space="0" w:color="auto"/>
                        <w:bottom w:val="none" w:sz="0" w:space="0" w:color="auto"/>
                        <w:right w:val="none" w:sz="0" w:space="0" w:color="auto"/>
                      </w:divBdr>
                    </w:div>
                    <w:div w:id="294141548">
                      <w:marLeft w:val="0"/>
                      <w:marRight w:val="0"/>
                      <w:marTop w:val="0"/>
                      <w:marBottom w:val="0"/>
                      <w:divBdr>
                        <w:top w:val="none" w:sz="0" w:space="0" w:color="auto"/>
                        <w:left w:val="none" w:sz="0" w:space="0" w:color="auto"/>
                        <w:bottom w:val="none" w:sz="0" w:space="0" w:color="auto"/>
                        <w:right w:val="none" w:sz="0" w:space="0" w:color="auto"/>
                      </w:divBdr>
                    </w:div>
                    <w:div w:id="294141568">
                      <w:marLeft w:val="0"/>
                      <w:marRight w:val="0"/>
                      <w:marTop w:val="0"/>
                      <w:marBottom w:val="0"/>
                      <w:divBdr>
                        <w:top w:val="none" w:sz="0" w:space="0" w:color="auto"/>
                        <w:left w:val="none" w:sz="0" w:space="0" w:color="auto"/>
                        <w:bottom w:val="none" w:sz="0" w:space="0" w:color="auto"/>
                        <w:right w:val="none" w:sz="0" w:space="0" w:color="auto"/>
                      </w:divBdr>
                      <w:divsChild>
                        <w:div w:id="294147550">
                          <w:marLeft w:val="0"/>
                          <w:marRight w:val="0"/>
                          <w:marTop w:val="0"/>
                          <w:marBottom w:val="0"/>
                          <w:divBdr>
                            <w:top w:val="none" w:sz="0" w:space="0" w:color="auto"/>
                            <w:left w:val="none" w:sz="0" w:space="0" w:color="auto"/>
                            <w:bottom w:val="none" w:sz="0" w:space="0" w:color="auto"/>
                            <w:right w:val="none" w:sz="0" w:space="0" w:color="auto"/>
                          </w:divBdr>
                        </w:div>
                      </w:divsChild>
                    </w:div>
                    <w:div w:id="294141697">
                      <w:marLeft w:val="0"/>
                      <w:marRight w:val="0"/>
                      <w:marTop w:val="0"/>
                      <w:marBottom w:val="0"/>
                      <w:divBdr>
                        <w:top w:val="none" w:sz="0" w:space="0" w:color="auto"/>
                        <w:left w:val="none" w:sz="0" w:space="0" w:color="auto"/>
                        <w:bottom w:val="none" w:sz="0" w:space="0" w:color="auto"/>
                        <w:right w:val="none" w:sz="0" w:space="0" w:color="auto"/>
                      </w:divBdr>
                    </w:div>
                    <w:div w:id="294141821">
                      <w:marLeft w:val="0"/>
                      <w:marRight w:val="0"/>
                      <w:marTop w:val="0"/>
                      <w:marBottom w:val="0"/>
                      <w:divBdr>
                        <w:top w:val="none" w:sz="0" w:space="0" w:color="auto"/>
                        <w:left w:val="none" w:sz="0" w:space="0" w:color="auto"/>
                        <w:bottom w:val="none" w:sz="0" w:space="0" w:color="auto"/>
                        <w:right w:val="none" w:sz="0" w:space="0" w:color="auto"/>
                      </w:divBdr>
                    </w:div>
                    <w:div w:id="294141870">
                      <w:marLeft w:val="0"/>
                      <w:marRight w:val="0"/>
                      <w:marTop w:val="0"/>
                      <w:marBottom w:val="0"/>
                      <w:divBdr>
                        <w:top w:val="none" w:sz="0" w:space="0" w:color="auto"/>
                        <w:left w:val="none" w:sz="0" w:space="0" w:color="auto"/>
                        <w:bottom w:val="none" w:sz="0" w:space="0" w:color="auto"/>
                        <w:right w:val="none" w:sz="0" w:space="0" w:color="auto"/>
                      </w:divBdr>
                      <w:divsChild>
                        <w:div w:id="294141214">
                          <w:marLeft w:val="0"/>
                          <w:marRight w:val="0"/>
                          <w:marTop w:val="0"/>
                          <w:marBottom w:val="0"/>
                          <w:divBdr>
                            <w:top w:val="none" w:sz="0" w:space="0" w:color="auto"/>
                            <w:left w:val="none" w:sz="0" w:space="0" w:color="auto"/>
                            <w:bottom w:val="none" w:sz="0" w:space="0" w:color="auto"/>
                            <w:right w:val="none" w:sz="0" w:space="0" w:color="auto"/>
                          </w:divBdr>
                        </w:div>
                      </w:divsChild>
                    </w:div>
                    <w:div w:id="294141894">
                      <w:marLeft w:val="0"/>
                      <w:marRight w:val="0"/>
                      <w:marTop w:val="0"/>
                      <w:marBottom w:val="0"/>
                      <w:divBdr>
                        <w:top w:val="none" w:sz="0" w:space="0" w:color="auto"/>
                        <w:left w:val="none" w:sz="0" w:space="0" w:color="auto"/>
                        <w:bottom w:val="none" w:sz="0" w:space="0" w:color="auto"/>
                        <w:right w:val="none" w:sz="0" w:space="0" w:color="auto"/>
                      </w:divBdr>
                      <w:divsChild>
                        <w:div w:id="294151558">
                          <w:marLeft w:val="0"/>
                          <w:marRight w:val="0"/>
                          <w:marTop w:val="0"/>
                          <w:marBottom w:val="0"/>
                          <w:divBdr>
                            <w:top w:val="none" w:sz="0" w:space="0" w:color="auto"/>
                            <w:left w:val="none" w:sz="0" w:space="0" w:color="auto"/>
                            <w:bottom w:val="none" w:sz="0" w:space="0" w:color="auto"/>
                            <w:right w:val="none" w:sz="0" w:space="0" w:color="auto"/>
                          </w:divBdr>
                        </w:div>
                      </w:divsChild>
                    </w:div>
                    <w:div w:id="294141896">
                      <w:marLeft w:val="0"/>
                      <w:marRight w:val="0"/>
                      <w:marTop w:val="0"/>
                      <w:marBottom w:val="0"/>
                      <w:divBdr>
                        <w:top w:val="none" w:sz="0" w:space="0" w:color="auto"/>
                        <w:left w:val="none" w:sz="0" w:space="0" w:color="auto"/>
                        <w:bottom w:val="none" w:sz="0" w:space="0" w:color="auto"/>
                        <w:right w:val="none" w:sz="0" w:space="0" w:color="auto"/>
                      </w:divBdr>
                    </w:div>
                    <w:div w:id="294141982">
                      <w:marLeft w:val="0"/>
                      <w:marRight w:val="0"/>
                      <w:marTop w:val="0"/>
                      <w:marBottom w:val="0"/>
                      <w:divBdr>
                        <w:top w:val="none" w:sz="0" w:space="0" w:color="auto"/>
                        <w:left w:val="none" w:sz="0" w:space="0" w:color="auto"/>
                        <w:bottom w:val="none" w:sz="0" w:space="0" w:color="auto"/>
                        <w:right w:val="none" w:sz="0" w:space="0" w:color="auto"/>
                      </w:divBdr>
                    </w:div>
                    <w:div w:id="294142062">
                      <w:marLeft w:val="0"/>
                      <w:marRight w:val="0"/>
                      <w:marTop w:val="0"/>
                      <w:marBottom w:val="0"/>
                      <w:divBdr>
                        <w:top w:val="none" w:sz="0" w:space="0" w:color="auto"/>
                        <w:left w:val="none" w:sz="0" w:space="0" w:color="auto"/>
                        <w:bottom w:val="none" w:sz="0" w:space="0" w:color="auto"/>
                        <w:right w:val="none" w:sz="0" w:space="0" w:color="auto"/>
                      </w:divBdr>
                    </w:div>
                    <w:div w:id="294142107">
                      <w:marLeft w:val="0"/>
                      <w:marRight w:val="0"/>
                      <w:marTop w:val="0"/>
                      <w:marBottom w:val="0"/>
                      <w:divBdr>
                        <w:top w:val="none" w:sz="0" w:space="0" w:color="auto"/>
                        <w:left w:val="none" w:sz="0" w:space="0" w:color="auto"/>
                        <w:bottom w:val="none" w:sz="0" w:space="0" w:color="auto"/>
                        <w:right w:val="none" w:sz="0" w:space="0" w:color="auto"/>
                      </w:divBdr>
                    </w:div>
                    <w:div w:id="294142194">
                      <w:marLeft w:val="0"/>
                      <w:marRight w:val="0"/>
                      <w:marTop w:val="0"/>
                      <w:marBottom w:val="0"/>
                      <w:divBdr>
                        <w:top w:val="none" w:sz="0" w:space="0" w:color="auto"/>
                        <w:left w:val="none" w:sz="0" w:space="0" w:color="auto"/>
                        <w:bottom w:val="none" w:sz="0" w:space="0" w:color="auto"/>
                        <w:right w:val="none" w:sz="0" w:space="0" w:color="auto"/>
                      </w:divBdr>
                      <w:divsChild>
                        <w:div w:id="294141866">
                          <w:marLeft w:val="0"/>
                          <w:marRight w:val="0"/>
                          <w:marTop w:val="0"/>
                          <w:marBottom w:val="0"/>
                          <w:divBdr>
                            <w:top w:val="none" w:sz="0" w:space="0" w:color="auto"/>
                            <w:left w:val="none" w:sz="0" w:space="0" w:color="auto"/>
                            <w:bottom w:val="none" w:sz="0" w:space="0" w:color="auto"/>
                            <w:right w:val="none" w:sz="0" w:space="0" w:color="auto"/>
                          </w:divBdr>
                        </w:div>
                      </w:divsChild>
                    </w:div>
                    <w:div w:id="294142437">
                      <w:marLeft w:val="0"/>
                      <w:marRight w:val="0"/>
                      <w:marTop w:val="0"/>
                      <w:marBottom w:val="0"/>
                      <w:divBdr>
                        <w:top w:val="none" w:sz="0" w:space="0" w:color="auto"/>
                        <w:left w:val="none" w:sz="0" w:space="0" w:color="auto"/>
                        <w:bottom w:val="none" w:sz="0" w:space="0" w:color="auto"/>
                        <w:right w:val="none" w:sz="0" w:space="0" w:color="auto"/>
                      </w:divBdr>
                      <w:divsChild>
                        <w:div w:id="294150256">
                          <w:marLeft w:val="0"/>
                          <w:marRight w:val="0"/>
                          <w:marTop w:val="0"/>
                          <w:marBottom w:val="0"/>
                          <w:divBdr>
                            <w:top w:val="none" w:sz="0" w:space="0" w:color="auto"/>
                            <w:left w:val="none" w:sz="0" w:space="0" w:color="auto"/>
                            <w:bottom w:val="none" w:sz="0" w:space="0" w:color="auto"/>
                            <w:right w:val="none" w:sz="0" w:space="0" w:color="auto"/>
                          </w:divBdr>
                        </w:div>
                      </w:divsChild>
                    </w:div>
                    <w:div w:id="294142500">
                      <w:marLeft w:val="0"/>
                      <w:marRight w:val="0"/>
                      <w:marTop w:val="0"/>
                      <w:marBottom w:val="0"/>
                      <w:divBdr>
                        <w:top w:val="none" w:sz="0" w:space="0" w:color="auto"/>
                        <w:left w:val="none" w:sz="0" w:space="0" w:color="auto"/>
                        <w:bottom w:val="none" w:sz="0" w:space="0" w:color="auto"/>
                        <w:right w:val="none" w:sz="0" w:space="0" w:color="auto"/>
                      </w:divBdr>
                    </w:div>
                    <w:div w:id="294142504">
                      <w:marLeft w:val="0"/>
                      <w:marRight w:val="0"/>
                      <w:marTop w:val="0"/>
                      <w:marBottom w:val="0"/>
                      <w:divBdr>
                        <w:top w:val="none" w:sz="0" w:space="0" w:color="auto"/>
                        <w:left w:val="none" w:sz="0" w:space="0" w:color="auto"/>
                        <w:bottom w:val="none" w:sz="0" w:space="0" w:color="auto"/>
                        <w:right w:val="none" w:sz="0" w:space="0" w:color="auto"/>
                      </w:divBdr>
                      <w:divsChild>
                        <w:div w:id="294151185">
                          <w:marLeft w:val="0"/>
                          <w:marRight w:val="0"/>
                          <w:marTop w:val="0"/>
                          <w:marBottom w:val="0"/>
                          <w:divBdr>
                            <w:top w:val="none" w:sz="0" w:space="0" w:color="auto"/>
                            <w:left w:val="none" w:sz="0" w:space="0" w:color="auto"/>
                            <w:bottom w:val="none" w:sz="0" w:space="0" w:color="auto"/>
                            <w:right w:val="none" w:sz="0" w:space="0" w:color="auto"/>
                          </w:divBdr>
                        </w:div>
                      </w:divsChild>
                    </w:div>
                    <w:div w:id="294142520">
                      <w:marLeft w:val="0"/>
                      <w:marRight w:val="0"/>
                      <w:marTop w:val="0"/>
                      <w:marBottom w:val="0"/>
                      <w:divBdr>
                        <w:top w:val="none" w:sz="0" w:space="0" w:color="auto"/>
                        <w:left w:val="none" w:sz="0" w:space="0" w:color="auto"/>
                        <w:bottom w:val="none" w:sz="0" w:space="0" w:color="auto"/>
                        <w:right w:val="none" w:sz="0" w:space="0" w:color="auto"/>
                      </w:divBdr>
                    </w:div>
                    <w:div w:id="294142521">
                      <w:marLeft w:val="0"/>
                      <w:marRight w:val="0"/>
                      <w:marTop w:val="0"/>
                      <w:marBottom w:val="0"/>
                      <w:divBdr>
                        <w:top w:val="none" w:sz="0" w:space="0" w:color="auto"/>
                        <w:left w:val="none" w:sz="0" w:space="0" w:color="auto"/>
                        <w:bottom w:val="none" w:sz="0" w:space="0" w:color="auto"/>
                        <w:right w:val="none" w:sz="0" w:space="0" w:color="auto"/>
                      </w:divBdr>
                      <w:divsChild>
                        <w:div w:id="294153021">
                          <w:marLeft w:val="0"/>
                          <w:marRight w:val="0"/>
                          <w:marTop w:val="0"/>
                          <w:marBottom w:val="0"/>
                          <w:divBdr>
                            <w:top w:val="none" w:sz="0" w:space="0" w:color="auto"/>
                            <w:left w:val="none" w:sz="0" w:space="0" w:color="auto"/>
                            <w:bottom w:val="none" w:sz="0" w:space="0" w:color="auto"/>
                            <w:right w:val="none" w:sz="0" w:space="0" w:color="auto"/>
                          </w:divBdr>
                        </w:div>
                      </w:divsChild>
                    </w:div>
                    <w:div w:id="294142564">
                      <w:marLeft w:val="0"/>
                      <w:marRight w:val="0"/>
                      <w:marTop w:val="0"/>
                      <w:marBottom w:val="0"/>
                      <w:divBdr>
                        <w:top w:val="none" w:sz="0" w:space="0" w:color="auto"/>
                        <w:left w:val="none" w:sz="0" w:space="0" w:color="auto"/>
                        <w:bottom w:val="none" w:sz="0" w:space="0" w:color="auto"/>
                        <w:right w:val="none" w:sz="0" w:space="0" w:color="auto"/>
                      </w:divBdr>
                      <w:divsChild>
                        <w:div w:id="294139918">
                          <w:marLeft w:val="0"/>
                          <w:marRight w:val="0"/>
                          <w:marTop w:val="0"/>
                          <w:marBottom w:val="0"/>
                          <w:divBdr>
                            <w:top w:val="none" w:sz="0" w:space="0" w:color="auto"/>
                            <w:left w:val="none" w:sz="0" w:space="0" w:color="auto"/>
                            <w:bottom w:val="none" w:sz="0" w:space="0" w:color="auto"/>
                            <w:right w:val="none" w:sz="0" w:space="0" w:color="auto"/>
                          </w:divBdr>
                        </w:div>
                      </w:divsChild>
                    </w:div>
                    <w:div w:id="294142569">
                      <w:marLeft w:val="0"/>
                      <w:marRight w:val="0"/>
                      <w:marTop w:val="0"/>
                      <w:marBottom w:val="0"/>
                      <w:divBdr>
                        <w:top w:val="none" w:sz="0" w:space="0" w:color="auto"/>
                        <w:left w:val="none" w:sz="0" w:space="0" w:color="auto"/>
                        <w:bottom w:val="none" w:sz="0" w:space="0" w:color="auto"/>
                        <w:right w:val="none" w:sz="0" w:space="0" w:color="auto"/>
                      </w:divBdr>
                      <w:divsChild>
                        <w:div w:id="294143774">
                          <w:marLeft w:val="0"/>
                          <w:marRight w:val="0"/>
                          <w:marTop w:val="0"/>
                          <w:marBottom w:val="0"/>
                          <w:divBdr>
                            <w:top w:val="none" w:sz="0" w:space="0" w:color="auto"/>
                            <w:left w:val="none" w:sz="0" w:space="0" w:color="auto"/>
                            <w:bottom w:val="none" w:sz="0" w:space="0" w:color="auto"/>
                            <w:right w:val="none" w:sz="0" w:space="0" w:color="auto"/>
                          </w:divBdr>
                        </w:div>
                      </w:divsChild>
                    </w:div>
                    <w:div w:id="294142576">
                      <w:marLeft w:val="0"/>
                      <w:marRight w:val="0"/>
                      <w:marTop w:val="0"/>
                      <w:marBottom w:val="0"/>
                      <w:divBdr>
                        <w:top w:val="none" w:sz="0" w:space="0" w:color="auto"/>
                        <w:left w:val="none" w:sz="0" w:space="0" w:color="auto"/>
                        <w:bottom w:val="none" w:sz="0" w:space="0" w:color="auto"/>
                        <w:right w:val="none" w:sz="0" w:space="0" w:color="auto"/>
                      </w:divBdr>
                    </w:div>
                    <w:div w:id="294142581">
                      <w:marLeft w:val="0"/>
                      <w:marRight w:val="0"/>
                      <w:marTop w:val="0"/>
                      <w:marBottom w:val="0"/>
                      <w:divBdr>
                        <w:top w:val="none" w:sz="0" w:space="0" w:color="auto"/>
                        <w:left w:val="none" w:sz="0" w:space="0" w:color="auto"/>
                        <w:bottom w:val="none" w:sz="0" w:space="0" w:color="auto"/>
                        <w:right w:val="none" w:sz="0" w:space="0" w:color="auto"/>
                      </w:divBdr>
                    </w:div>
                    <w:div w:id="294142597">
                      <w:marLeft w:val="0"/>
                      <w:marRight w:val="0"/>
                      <w:marTop w:val="0"/>
                      <w:marBottom w:val="0"/>
                      <w:divBdr>
                        <w:top w:val="none" w:sz="0" w:space="0" w:color="auto"/>
                        <w:left w:val="none" w:sz="0" w:space="0" w:color="auto"/>
                        <w:bottom w:val="none" w:sz="0" w:space="0" w:color="auto"/>
                        <w:right w:val="none" w:sz="0" w:space="0" w:color="auto"/>
                      </w:divBdr>
                    </w:div>
                    <w:div w:id="294142607">
                      <w:marLeft w:val="0"/>
                      <w:marRight w:val="0"/>
                      <w:marTop w:val="0"/>
                      <w:marBottom w:val="0"/>
                      <w:divBdr>
                        <w:top w:val="none" w:sz="0" w:space="0" w:color="auto"/>
                        <w:left w:val="none" w:sz="0" w:space="0" w:color="auto"/>
                        <w:bottom w:val="none" w:sz="0" w:space="0" w:color="auto"/>
                        <w:right w:val="none" w:sz="0" w:space="0" w:color="auto"/>
                      </w:divBdr>
                      <w:divsChild>
                        <w:div w:id="294154910">
                          <w:marLeft w:val="0"/>
                          <w:marRight w:val="0"/>
                          <w:marTop w:val="0"/>
                          <w:marBottom w:val="0"/>
                          <w:divBdr>
                            <w:top w:val="none" w:sz="0" w:space="0" w:color="auto"/>
                            <w:left w:val="none" w:sz="0" w:space="0" w:color="auto"/>
                            <w:bottom w:val="none" w:sz="0" w:space="0" w:color="auto"/>
                            <w:right w:val="none" w:sz="0" w:space="0" w:color="auto"/>
                          </w:divBdr>
                        </w:div>
                      </w:divsChild>
                    </w:div>
                    <w:div w:id="294142645">
                      <w:marLeft w:val="0"/>
                      <w:marRight w:val="0"/>
                      <w:marTop w:val="0"/>
                      <w:marBottom w:val="0"/>
                      <w:divBdr>
                        <w:top w:val="none" w:sz="0" w:space="0" w:color="auto"/>
                        <w:left w:val="none" w:sz="0" w:space="0" w:color="auto"/>
                        <w:bottom w:val="none" w:sz="0" w:space="0" w:color="auto"/>
                        <w:right w:val="none" w:sz="0" w:space="0" w:color="auto"/>
                      </w:divBdr>
                    </w:div>
                    <w:div w:id="294142669">
                      <w:marLeft w:val="0"/>
                      <w:marRight w:val="0"/>
                      <w:marTop w:val="0"/>
                      <w:marBottom w:val="0"/>
                      <w:divBdr>
                        <w:top w:val="none" w:sz="0" w:space="0" w:color="auto"/>
                        <w:left w:val="none" w:sz="0" w:space="0" w:color="auto"/>
                        <w:bottom w:val="none" w:sz="0" w:space="0" w:color="auto"/>
                        <w:right w:val="none" w:sz="0" w:space="0" w:color="auto"/>
                      </w:divBdr>
                    </w:div>
                    <w:div w:id="294142677">
                      <w:marLeft w:val="0"/>
                      <w:marRight w:val="0"/>
                      <w:marTop w:val="0"/>
                      <w:marBottom w:val="0"/>
                      <w:divBdr>
                        <w:top w:val="none" w:sz="0" w:space="0" w:color="auto"/>
                        <w:left w:val="none" w:sz="0" w:space="0" w:color="auto"/>
                        <w:bottom w:val="none" w:sz="0" w:space="0" w:color="auto"/>
                        <w:right w:val="none" w:sz="0" w:space="0" w:color="auto"/>
                      </w:divBdr>
                      <w:divsChild>
                        <w:div w:id="294138809">
                          <w:marLeft w:val="0"/>
                          <w:marRight w:val="0"/>
                          <w:marTop w:val="0"/>
                          <w:marBottom w:val="0"/>
                          <w:divBdr>
                            <w:top w:val="none" w:sz="0" w:space="0" w:color="auto"/>
                            <w:left w:val="none" w:sz="0" w:space="0" w:color="auto"/>
                            <w:bottom w:val="none" w:sz="0" w:space="0" w:color="auto"/>
                            <w:right w:val="none" w:sz="0" w:space="0" w:color="auto"/>
                          </w:divBdr>
                        </w:div>
                      </w:divsChild>
                    </w:div>
                    <w:div w:id="294142686">
                      <w:marLeft w:val="0"/>
                      <w:marRight w:val="0"/>
                      <w:marTop w:val="0"/>
                      <w:marBottom w:val="0"/>
                      <w:divBdr>
                        <w:top w:val="none" w:sz="0" w:space="0" w:color="auto"/>
                        <w:left w:val="none" w:sz="0" w:space="0" w:color="auto"/>
                        <w:bottom w:val="none" w:sz="0" w:space="0" w:color="auto"/>
                        <w:right w:val="none" w:sz="0" w:space="0" w:color="auto"/>
                      </w:divBdr>
                    </w:div>
                    <w:div w:id="294142706">
                      <w:marLeft w:val="0"/>
                      <w:marRight w:val="0"/>
                      <w:marTop w:val="0"/>
                      <w:marBottom w:val="0"/>
                      <w:divBdr>
                        <w:top w:val="none" w:sz="0" w:space="0" w:color="auto"/>
                        <w:left w:val="none" w:sz="0" w:space="0" w:color="auto"/>
                        <w:bottom w:val="none" w:sz="0" w:space="0" w:color="auto"/>
                        <w:right w:val="none" w:sz="0" w:space="0" w:color="auto"/>
                      </w:divBdr>
                    </w:div>
                    <w:div w:id="294142769">
                      <w:marLeft w:val="0"/>
                      <w:marRight w:val="0"/>
                      <w:marTop w:val="0"/>
                      <w:marBottom w:val="0"/>
                      <w:divBdr>
                        <w:top w:val="none" w:sz="0" w:space="0" w:color="auto"/>
                        <w:left w:val="none" w:sz="0" w:space="0" w:color="auto"/>
                        <w:bottom w:val="none" w:sz="0" w:space="0" w:color="auto"/>
                        <w:right w:val="none" w:sz="0" w:space="0" w:color="auto"/>
                      </w:divBdr>
                    </w:div>
                    <w:div w:id="294142788">
                      <w:marLeft w:val="0"/>
                      <w:marRight w:val="0"/>
                      <w:marTop w:val="0"/>
                      <w:marBottom w:val="0"/>
                      <w:divBdr>
                        <w:top w:val="none" w:sz="0" w:space="0" w:color="auto"/>
                        <w:left w:val="none" w:sz="0" w:space="0" w:color="auto"/>
                        <w:bottom w:val="none" w:sz="0" w:space="0" w:color="auto"/>
                        <w:right w:val="none" w:sz="0" w:space="0" w:color="auto"/>
                      </w:divBdr>
                      <w:divsChild>
                        <w:div w:id="294140701">
                          <w:marLeft w:val="0"/>
                          <w:marRight w:val="0"/>
                          <w:marTop w:val="0"/>
                          <w:marBottom w:val="0"/>
                          <w:divBdr>
                            <w:top w:val="none" w:sz="0" w:space="0" w:color="auto"/>
                            <w:left w:val="none" w:sz="0" w:space="0" w:color="auto"/>
                            <w:bottom w:val="none" w:sz="0" w:space="0" w:color="auto"/>
                            <w:right w:val="none" w:sz="0" w:space="0" w:color="auto"/>
                          </w:divBdr>
                        </w:div>
                      </w:divsChild>
                    </w:div>
                    <w:div w:id="294142822">
                      <w:marLeft w:val="0"/>
                      <w:marRight w:val="0"/>
                      <w:marTop w:val="0"/>
                      <w:marBottom w:val="0"/>
                      <w:divBdr>
                        <w:top w:val="none" w:sz="0" w:space="0" w:color="auto"/>
                        <w:left w:val="none" w:sz="0" w:space="0" w:color="auto"/>
                        <w:bottom w:val="none" w:sz="0" w:space="0" w:color="auto"/>
                        <w:right w:val="none" w:sz="0" w:space="0" w:color="auto"/>
                      </w:divBdr>
                    </w:div>
                    <w:div w:id="294142910">
                      <w:marLeft w:val="0"/>
                      <w:marRight w:val="0"/>
                      <w:marTop w:val="0"/>
                      <w:marBottom w:val="0"/>
                      <w:divBdr>
                        <w:top w:val="none" w:sz="0" w:space="0" w:color="auto"/>
                        <w:left w:val="none" w:sz="0" w:space="0" w:color="auto"/>
                        <w:bottom w:val="none" w:sz="0" w:space="0" w:color="auto"/>
                        <w:right w:val="none" w:sz="0" w:space="0" w:color="auto"/>
                      </w:divBdr>
                      <w:divsChild>
                        <w:div w:id="294149788">
                          <w:marLeft w:val="0"/>
                          <w:marRight w:val="0"/>
                          <w:marTop w:val="0"/>
                          <w:marBottom w:val="0"/>
                          <w:divBdr>
                            <w:top w:val="none" w:sz="0" w:space="0" w:color="auto"/>
                            <w:left w:val="none" w:sz="0" w:space="0" w:color="auto"/>
                            <w:bottom w:val="none" w:sz="0" w:space="0" w:color="auto"/>
                            <w:right w:val="none" w:sz="0" w:space="0" w:color="auto"/>
                          </w:divBdr>
                        </w:div>
                      </w:divsChild>
                    </w:div>
                    <w:div w:id="294142948">
                      <w:marLeft w:val="0"/>
                      <w:marRight w:val="0"/>
                      <w:marTop w:val="0"/>
                      <w:marBottom w:val="0"/>
                      <w:divBdr>
                        <w:top w:val="none" w:sz="0" w:space="0" w:color="auto"/>
                        <w:left w:val="none" w:sz="0" w:space="0" w:color="auto"/>
                        <w:bottom w:val="none" w:sz="0" w:space="0" w:color="auto"/>
                        <w:right w:val="none" w:sz="0" w:space="0" w:color="auto"/>
                      </w:divBdr>
                      <w:divsChild>
                        <w:div w:id="294151308">
                          <w:marLeft w:val="0"/>
                          <w:marRight w:val="0"/>
                          <w:marTop w:val="0"/>
                          <w:marBottom w:val="0"/>
                          <w:divBdr>
                            <w:top w:val="none" w:sz="0" w:space="0" w:color="auto"/>
                            <w:left w:val="none" w:sz="0" w:space="0" w:color="auto"/>
                            <w:bottom w:val="none" w:sz="0" w:space="0" w:color="auto"/>
                            <w:right w:val="none" w:sz="0" w:space="0" w:color="auto"/>
                          </w:divBdr>
                        </w:div>
                      </w:divsChild>
                    </w:div>
                    <w:div w:id="294143056">
                      <w:marLeft w:val="0"/>
                      <w:marRight w:val="0"/>
                      <w:marTop w:val="0"/>
                      <w:marBottom w:val="0"/>
                      <w:divBdr>
                        <w:top w:val="none" w:sz="0" w:space="0" w:color="auto"/>
                        <w:left w:val="none" w:sz="0" w:space="0" w:color="auto"/>
                        <w:bottom w:val="none" w:sz="0" w:space="0" w:color="auto"/>
                        <w:right w:val="none" w:sz="0" w:space="0" w:color="auto"/>
                      </w:divBdr>
                      <w:divsChild>
                        <w:div w:id="294156650">
                          <w:marLeft w:val="0"/>
                          <w:marRight w:val="0"/>
                          <w:marTop w:val="0"/>
                          <w:marBottom w:val="0"/>
                          <w:divBdr>
                            <w:top w:val="none" w:sz="0" w:space="0" w:color="auto"/>
                            <w:left w:val="none" w:sz="0" w:space="0" w:color="auto"/>
                            <w:bottom w:val="none" w:sz="0" w:space="0" w:color="auto"/>
                            <w:right w:val="none" w:sz="0" w:space="0" w:color="auto"/>
                          </w:divBdr>
                        </w:div>
                      </w:divsChild>
                    </w:div>
                    <w:div w:id="294143158">
                      <w:marLeft w:val="0"/>
                      <w:marRight w:val="0"/>
                      <w:marTop w:val="0"/>
                      <w:marBottom w:val="0"/>
                      <w:divBdr>
                        <w:top w:val="none" w:sz="0" w:space="0" w:color="auto"/>
                        <w:left w:val="none" w:sz="0" w:space="0" w:color="auto"/>
                        <w:bottom w:val="none" w:sz="0" w:space="0" w:color="auto"/>
                        <w:right w:val="none" w:sz="0" w:space="0" w:color="auto"/>
                      </w:divBdr>
                    </w:div>
                    <w:div w:id="294143207">
                      <w:marLeft w:val="0"/>
                      <w:marRight w:val="0"/>
                      <w:marTop w:val="0"/>
                      <w:marBottom w:val="0"/>
                      <w:divBdr>
                        <w:top w:val="none" w:sz="0" w:space="0" w:color="auto"/>
                        <w:left w:val="none" w:sz="0" w:space="0" w:color="auto"/>
                        <w:bottom w:val="none" w:sz="0" w:space="0" w:color="auto"/>
                        <w:right w:val="none" w:sz="0" w:space="0" w:color="auto"/>
                      </w:divBdr>
                    </w:div>
                    <w:div w:id="294143214">
                      <w:marLeft w:val="0"/>
                      <w:marRight w:val="0"/>
                      <w:marTop w:val="0"/>
                      <w:marBottom w:val="0"/>
                      <w:divBdr>
                        <w:top w:val="none" w:sz="0" w:space="0" w:color="auto"/>
                        <w:left w:val="none" w:sz="0" w:space="0" w:color="auto"/>
                        <w:bottom w:val="none" w:sz="0" w:space="0" w:color="auto"/>
                        <w:right w:val="none" w:sz="0" w:space="0" w:color="auto"/>
                      </w:divBdr>
                    </w:div>
                    <w:div w:id="294143226">
                      <w:marLeft w:val="0"/>
                      <w:marRight w:val="0"/>
                      <w:marTop w:val="0"/>
                      <w:marBottom w:val="0"/>
                      <w:divBdr>
                        <w:top w:val="none" w:sz="0" w:space="0" w:color="auto"/>
                        <w:left w:val="none" w:sz="0" w:space="0" w:color="auto"/>
                        <w:bottom w:val="none" w:sz="0" w:space="0" w:color="auto"/>
                        <w:right w:val="none" w:sz="0" w:space="0" w:color="auto"/>
                      </w:divBdr>
                    </w:div>
                    <w:div w:id="294143266">
                      <w:marLeft w:val="0"/>
                      <w:marRight w:val="0"/>
                      <w:marTop w:val="0"/>
                      <w:marBottom w:val="0"/>
                      <w:divBdr>
                        <w:top w:val="none" w:sz="0" w:space="0" w:color="auto"/>
                        <w:left w:val="none" w:sz="0" w:space="0" w:color="auto"/>
                        <w:bottom w:val="none" w:sz="0" w:space="0" w:color="auto"/>
                        <w:right w:val="none" w:sz="0" w:space="0" w:color="auto"/>
                      </w:divBdr>
                      <w:divsChild>
                        <w:div w:id="294139647">
                          <w:marLeft w:val="0"/>
                          <w:marRight w:val="0"/>
                          <w:marTop w:val="0"/>
                          <w:marBottom w:val="0"/>
                          <w:divBdr>
                            <w:top w:val="none" w:sz="0" w:space="0" w:color="auto"/>
                            <w:left w:val="none" w:sz="0" w:space="0" w:color="auto"/>
                            <w:bottom w:val="none" w:sz="0" w:space="0" w:color="auto"/>
                            <w:right w:val="none" w:sz="0" w:space="0" w:color="auto"/>
                          </w:divBdr>
                        </w:div>
                      </w:divsChild>
                    </w:div>
                    <w:div w:id="294143427">
                      <w:marLeft w:val="0"/>
                      <w:marRight w:val="0"/>
                      <w:marTop w:val="0"/>
                      <w:marBottom w:val="0"/>
                      <w:divBdr>
                        <w:top w:val="none" w:sz="0" w:space="0" w:color="auto"/>
                        <w:left w:val="none" w:sz="0" w:space="0" w:color="auto"/>
                        <w:bottom w:val="none" w:sz="0" w:space="0" w:color="auto"/>
                        <w:right w:val="none" w:sz="0" w:space="0" w:color="auto"/>
                      </w:divBdr>
                    </w:div>
                    <w:div w:id="294143461">
                      <w:marLeft w:val="0"/>
                      <w:marRight w:val="0"/>
                      <w:marTop w:val="0"/>
                      <w:marBottom w:val="0"/>
                      <w:divBdr>
                        <w:top w:val="none" w:sz="0" w:space="0" w:color="auto"/>
                        <w:left w:val="none" w:sz="0" w:space="0" w:color="auto"/>
                        <w:bottom w:val="none" w:sz="0" w:space="0" w:color="auto"/>
                        <w:right w:val="none" w:sz="0" w:space="0" w:color="auto"/>
                      </w:divBdr>
                    </w:div>
                    <w:div w:id="294143533">
                      <w:marLeft w:val="0"/>
                      <w:marRight w:val="0"/>
                      <w:marTop w:val="0"/>
                      <w:marBottom w:val="0"/>
                      <w:divBdr>
                        <w:top w:val="none" w:sz="0" w:space="0" w:color="auto"/>
                        <w:left w:val="none" w:sz="0" w:space="0" w:color="auto"/>
                        <w:bottom w:val="none" w:sz="0" w:space="0" w:color="auto"/>
                        <w:right w:val="none" w:sz="0" w:space="0" w:color="auto"/>
                      </w:divBdr>
                    </w:div>
                    <w:div w:id="294143539">
                      <w:marLeft w:val="0"/>
                      <w:marRight w:val="0"/>
                      <w:marTop w:val="0"/>
                      <w:marBottom w:val="0"/>
                      <w:divBdr>
                        <w:top w:val="none" w:sz="0" w:space="0" w:color="auto"/>
                        <w:left w:val="none" w:sz="0" w:space="0" w:color="auto"/>
                        <w:bottom w:val="none" w:sz="0" w:space="0" w:color="auto"/>
                        <w:right w:val="none" w:sz="0" w:space="0" w:color="auto"/>
                      </w:divBdr>
                      <w:divsChild>
                        <w:div w:id="294147097">
                          <w:marLeft w:val="0"/>
                          <w:marRight w:val="0"/>
                          <w:marTop w:val="0"/>
                          <w:marBottom w:val="0"/>
                          <w:divBdr>
                            <w:top w:val="none" w:sz="0" w:space="0" w:color="auto"/>
                            <w:left w:val="none" w:sz="0" w:space="0" w:color="auto"/>
                            <w:bottom w:val="none" w:sz="0" w:space="0" w:color="auto"/>
                            <w:right w:val="none" w:sz="0" w:space="0" w:color="auto"/>
                          </w:divBdr>
                        </w:div>
                      </w:divsChild>
                    </w:div>
                    <w:div w:id="294143562">
                      <w:marLeft w:val="0"/>
                      <w:marRight w:val="0"/>
                      <w:marTop w:val="0"/>
                      <w:marBottom w:val="0"/>
                      <w:divBdr>
                        <w:top w:val="none" w:sz="0" w:space="0" w:color="auto"/>
                        <w:left w:val="none" w:sz="0" w:space="0" w:color="auto"/>
                        <w:bottom w:val="none" w:sz="0" w:space="0" w:color="auto"/>
                        <w:right w:val="none" w:sz="0" w:space="0" w:color="auto"/>
                      </w:divBdr>
                    </w:div>
                    <w:div w:id="294143575">
                      <w:marLeft w:val="0"/>
                      <w:marRight w:val="0"/>
                      <w:marTop w:val="0"/>
                      <w:marBottom w:val="0"/>
                      <w:divBdr>
                        <w:top w:val="none" w:sz="0" w:space="0" w:color="auto"/>
                        <w:left w:val="none" w:sz="0" w:space="0" w:color="auto"/>
                        <w:bottom w:val="none" w:sz="0" w:space="0" w:color="auto"/>
                        <w:right w:val="none" w:sz="0" w:space="0" w:color="auto"/>
                      </w:divBdr>
                      <w:divsChild>
                        <w:div w:id="294140778">
                          <w:marLeft w:val="0"/>
                          <w:marRight w:val="0"/>
                          <w:marTop w:val="0"/>
                          <w:marBottom w:val="0"/>
                          <w:divBdr>
                            <w:top w:val="none" w:sz="0" w:space="0" w:color="auto"/>
                            <w:left w:val="none" w:sz="0" w:space="0" w:color="auto"/>
                            <w:bottom w:val="none" w:sz="0" w:space="0" w:color="auto"/>
                            <w:right w:val="none" w:sz="0" w:space="0" w:color="auto"/>
                          </w:divBdr>
                        </w:div>
                      </w:divsChild>
                    </w:div>
                    <w:div w:id="294143609">
                      <w:marLeft w:val="0"/>
                      <w:marRight w:val="0"/>
                      <w:marTop w:val="0"/>
                      <w:marBottom w:val="0"/>
                      <w:divBdr>
                        <w:top w:val="none" w:sz="0" w:space="0" w:color="auto"/>
                        <w:left w:val="none" w:sz="0" w:space="0" w:color="auto"/>
                        <w:bottom w:val="none" w:sz="0" w:space="0" w:color="auto"/>
                        <w:right w:val="none" w:sz="0" w:space="0" w:color="auto"/>
                      </w:divBdr>
                      <w:divsChild>
                        <w:div w:id="294148091">
                          <w:marLeft w:val="0"/>
                          <w:marRight w:val="0"/>
                          <w:marTop w:val="0"/>
                          <w:marBottom w:val="0"/>
                          <w:divBdr>
                            <w:top w:val="none" w:sz="0" w:space="0" w:color="auto"/>
                            <w:left w:val="none" w:sz="0" w:space="0" w:color="auto"/>
                            <w:bottom w:val="none" w:sz="0" w:space="0" w:color="auto"/>
                            <w:right w:val="none" w:sz="0" w:space="0" w:color="auto"/>
                          </w:divBdr>
                        </w:div>
                      </w:divsChild>
                    </w:div>
                    <w:div w:id="294143630">
                      <w:marLeft w:val="0"/>
                      <w:marRight w:val="0"/>
                      <w:marTop w:val="0"/>
                      <w:marBottom w:val="0"/>
                      <w:divBdr>
                        <w:top w:val="none" w:sz="0" w:space="0" w:color="auto"/>
                        <w:left w:val="none" w:sz="0" w:space="0" w:color="auto"/>
                        <w:bottom w:val="none" w:sz="0" w:space="0" w:color="auto"/>
                        <w:right w:val="none" w:sz="0" w:space="0" w:color="auto"/>
                      </w:divBdr>
                      <w:divsChild>
                        <w:div w:id="294140284">
                          <w:marLeft w:val="0"/>
                          <w:marRight w:val="0"/>
                          <w:marTop w:val="0"/>
                          <w:marBottom w:val="0"/>
                          <w:divBdr>
                            <w:top w:val="none" w:sz="0" w:space="0" w:color="auto"/>
                            <w:left w:val="none" w:sz="0" w:space="0" w:color="auto"/>
                            <w:bottom w:val="none" w:sz="0" w:space="0" w:color="auto"/>
                            <w:right w:val="none" w:sz="0" w:space="0" w:color="auto"/>
                          </w:divBdr>
                        </w:div>
                      </w:divsChild>
                    </w:div>
                    <w:div w:id="294143684">
                      <w:marLeft w:val="0"/>
                      <w:marRight w:val="0"/>
                      <w:marTop w:val="0"/>
                      <w:marBottom w:val="0"/>
                      <w:divBdr>
                        <w:top w:val="none" w:sz="0" w:space="0" w:color="auto"/>
                        <w:left w:val="none" w:sz="0" w:space="0" w:color="auto"/>
                        <w:bottom w:val="none" w:sz="0" w:space="0" w:color="auto"/>
                        <w:right w:val="none" w:sz="0" w:space="0" w:color="auto"/>
                      </w:divBdr>
                    </w:div>
                    <w:div w:id="294143821">
                      <w:marLeft w:val="0"/>
                      <w:marRight w:val="0"/>
                      <w:marTop w:val="0"/>
                      <w:marBottom w:val="0"/>
                      <w:divBdr>
                        <w:top w:val="none" w:sz="0" w:space="0" w:color="auto"/>
                        <w:left w:val="none" w:sz="0" w:space="0" w:color="auto"/>
                        <w:bottom w:val="none" w:sz="0" w:space="0" w:color="auto"/>
                        <w:right w:val="none" w:sz="0" w:space="0" w:color="auto"/>
                      </w:divBdr>
                    </w:div>
                    <w:div w:id="294143867">
                      <w:marLeft w:val="0"/>
                      <w:marRight w:val="0"/>
                      <w:marTop w:val="0"/>
                      <w:marBottom w:val="0"/>
                      <w:divBdr>
                        <w:top w:val="none" w:sz="0" w:space="0" w:color="auto"/>
                        <w:left w:val="none" w:sz="0" w:space="0" w:color="auto"/>
                        <w:bottom w:val="none" w:sz="0" w:space="0" w:color="auto"/>
                        <w:right w:val="none" w:sz="0" w:space="0" w:color="auto"/>
                      </w:divBdr>
                      <w:divsChild>
                        <w:div w:id="294143162">
                          <w:marLeft w:val="0"/>
                          <w:marRight w:val="0"/>
                          <w:marTop w:val="0"/>
                          <w:marBottom w:val="0"/>
                          <w:divBdr>
                            <w:top w:val="none" w:sz="0" w:space="0" w:color="auto"/>
                            <w:left w:val="none" w:sz="0" w:space="0" w:color="auto"/>
                            <w:bottom w:val="none" w:sz="0" w:space="0" w:color="auto"/>
                            <w:right w:val="none" w:sz="0" w:space="0" w:color="auto"/>
                          </w:divBdr>
                        </w:div>
                      </w:divsChild>
                    </w:div>
                    <w:div w:id="294143883">
                      <w:marLeft w:val="0"/>
                      <w:marRight w:val="0"/>
                      <w:marTop w:val="0"/>
                      <w:marBottom w:val="0"/>
                      <w:divBdr>
                        <w:top w:val="none" w:sz="0" w:space="0" w:color="auto"/>
                        <w:left w:val="none" w:sz="0" w:space="0" w:color="auto"/>
                        <w:bottom w:val="none" w:sz="0" w:space="0" w:color="auto"/>
                        <w:right w:val="none" w:sz="0" w:space="0" w:color="auto"/>
                      </w:divBdr>
                    </w:div>
                    <w:div w:id="294143911">
                      <w:marLeft w:val="0"/>
                      <w:marRight w:val="0"/>
                      <w:marTop w:val="0"/>
                      <w:marBottom w:val="0"/>
                      <w:divBdr>
                        <w:top w:val="none" w:sz="0" w:space="0" w:color="auto"/>
                        <w:left w:val="none" w:sz="0" w:space="0" w:color="auto"/>
                        <w:bottom w:val="none" w:sz="0" w:space="0" w:color="auto"/>
                        <w:right w:val="none" w:sz="0" w:space="0" w:color="auto"/>
                      </w:divBdr>
                    </w:div>
                    <w:div w:id="294143943">
                      <w:marLeft w:val="0"/>
                      <w:marRight w:val="0"/>
                      <w:marTop w:val="0"/>
                      <w:marBottom w:val="0"/>
                      <w:divBdr>
                        <w:top w:val="none" w:sz="0" w:space="0" w:color="auto"/>
                        <w:left w:val="none" w:sz="0" w:space="0" w:color="auto"/>
                        <w:bottom w:val="none" w:sz="0" w:space="0" w:color="auto"/>
                        <w:right w:val="none" w:sz="0" w:space="0" w:color="auto"/>
                      </w:divBdr>
                    </w:div>
                    <w:div w:id="294144024">
                      <w:marLeft w:val="0"/>
                      <w:marRight w:val="0"/>
                      <w:marTop w:val="0"/>
                      <w:marBottom w:val="0"/>
                      <w:divBdr>
                        <w:top w:val="none" w:sz="0" w:space="0" w:color="auto"/>
                        <w:left w:val="none" w:sz="0" w:space="0" w:color="auto"/>
                        <w:bottom w:val="none" w:sz="0" w:space="0" w:color="auto"/>
                        <w:right w:val="none" w:sz="0" w:space="0" w:color="auto"/>
                      </w:divBdr>
                      <w:divsChild>
                        <w:div w:id="294150002">
                          <w:marLeft w:val="0"/>
                          <w:marRight w:val="0"/>
                          <w:marTop w:val="0"/>
                          <w:marBottom w:val="0"/>
                          <w:divBdr>
                            <w:top w:val="none" w:sz="0" w:space="0" w:color="auto"/>
                            <w:left w:val="none" w:sz="0" w:space="0" w:color="auto"/>
                            <w:bottom w:val="none" w:sz="0" w:space="0" w:color="auto"/>
                            <w:right w:val="none" w:sz="0" w:space="0" w:color="auto"/>
                          </w:divBdr>
                        </w:div>
                      </w:divsChild>
                    </w:div>
                    <w:div w:id="294144034">
                      <w:marLeft w:val="0"/>
                      <w:marRight w:val="0"/>
                      <w:marTop w:val="0"/>
                      <w:marBottom w:val="0"/>
                      <w:divBdr>
                        <w:top w:val="none" w:sz="0" w:space="0" w:color="auto"/>
                        <w:left w:val="none" w:sz="0" w:space="0" w:color="auto"/>
                        <w:bottom w:val="none" w:sz="0" w:space="0" w:color="auto"/>
                        <w:right w:val="none" w:sz="0" w:space="0" w:color="auto"/>
                      </w:divBdr>
                      <w:divsChild>
                        <w:div w:id="294140493">
                          <w:marLeft w:val="0"/>
                          <w:marRight w:val="0"/>
                          <w:marTop w:val="0"/>
                          <w:marBottom w:val="0"/>
                          <w:divBdr>
                            <w:top w:val="none" w:sz="0" w:space="0" w:color="auto"/>
                            <w:left w:val="none" w:sz="0" w:space="0" w:color="auto"/>
                            <w:bottom w:val="none" w:sz="0" w:space="0" w:color="auto"/>
                            <w:right w:val="none" w:sz="0" w:space="0" w:color="auto"/>
                          </w:divBdr>
                        </w:div>
                      </w:divsChild>
                    </w:div>
                    <w:div w:id="294144035">
                      <w:marLeft w:val="0"/>
                      <w:marRight w:val="0"/>
                      <w:marTop w:val="0"/>
                      <w:marBottom w:val="0"/>
                      <w:divBdr>
                        <w:top w:val="none" w:sz="0" w:space="0" w:color="auto"/>
                        <w:left w:val="none" w:sz="0" w:space="0" w:color="auto"/>
                        <w:bottom w:val="none" w:sz="0" w:space="0" w:color="auto"/>
                        <w:right w:val="none" w:sz="0" w:space="0" w:color="auto"/>
                      </w:divBdr>
                      <w:divsChild>
                        <w:div w:id="294147177">
                          <w:marLeft w:val="0"/>
                          <w:marRight w:val="0"/>
                          <w:marTop w:val="0"/>
                          <w:marBottom w:val="0"/>
                          <w:divBdr>
                            <w:top w:val="none" w:sz="0" w:space="0" w:color="auto"/>
                            <w:left w:val="none" w:sz="0" w:space="0" w:color="auto"/>
                            <w:bottom w:val="none" w:sz="0" w:space="0" w:color="auto"/>
                            <w:right w:val="none" w:sz="0" w:space="0" w:color="auto"/>
                          </w:divBdr>
                        </w:div>
                      </w:divsChild>
                    </w:div>
                    <w:div w:id="294144044">
                      <w:marLeft w:val="0"/>
                      <w:marRight w:val="0"/>
                      <w:marTop w:val="0"/>
                      <w:marBottom w:val="0"/>
                      <w:divBdr>
                        <w:top w:val="none" w:sz="0" w:space="0" w:color="auto"/>
                        <w:left w:val="none" w:sz="0" w:space="0" w:color="auto"/>
                        <w:bottom w:val="none" w:sz="0" w:space="0" w:color="auto"/>
                        <w:right w:val="none" w:sz="0" w:space="0" w:color="auto"/>
                      </w:divBdr>
                    </w:div>
                    <w:div w:id="294144212">
                      <w:marLeft w:val="0"/>
                      <w:marRight w:val="0"/>
                      <w:marTop w:val="0"/>
                      <w:marBottom w:val="0"/>
                      <w:divBdr>
                        <w:top w:val="none" w:sz="0" w:space="0" w:color="auto"/>
                        <w:left w:val="none" w:sz="0" w:space="0" w:color="auto"/>
                        <w:bottom w:val="none" w:sz="0" w:space="0" w:color="auto"/>
                        <w:right w:val="none" w:sz="0" w:space="0" w:color="auto"/>
                      </w:divBdr>
                    </w:div>
                    <w:div w:id="294144222">
                      <w:marLeft w:val="0"/>
                      <w:marRight w:val="0"/>
                      <w:marTop w:val="0"/>
                      <w:marBottom w:val="0"/>
                      <w:divBdr>
                        <w:top w:val="none" w:sz="0" w:space="0" w:color="auto"/>
                        <w:left w:val="none" w:sz="0" w:space="0" w:color="auto"/>
                        <w:bottom w:val="none" w:sz="0" w:space="0" w:color="auto"/>
                        <w:right w:val="none" w:sz="0" w:space="0" w:color="auto"/>
                      </w:divBdr>
                    </w:div>
                    <w:div w:id="294144226">
                      <w:marLeft w:val="0"/>
                      <w:marRight w:val="0"/>
                      <w:marTop w:val="0"/>
                      <w:marBottom w:val="0"/>
                      <w:divBdr>
                        <w:top w:val="none" w:sz="0" w:space="0" w:color="auto"/>
                        <w:left w:val="none" w:sz="0" w:space="0" w:color="auto"/>
                        <w:bottom w:val="none" w:sz="0" w:space="0" w:color="auto"/>
                        <w:right w:val="none" w:sz="0" w:space="0" w:color="auto"/>
                      </w:divBdr>
                      <w:divsChild>
                        <w:div w:id="294153206">
                          <w:marLeft w:val="0"/>
                          <w:marRight w:val="0"/>
                          <w:marTop w:val="0"/>
                          <w:marBottom w:val="0"/>
                          <w:divBdr>
                            <w:top w:val="none" w:sz="0" w:space="0" w:color="auto"/>
                            <w:left w:val="none" w:sz="0" w:space="0" w:color="auto"/>
                            <w:bottom w:val="none" w:sz="0" w:space="0" w:color="auto"/>
                            <w:right w:val="none" w:sz="0" w:space="0" w:color="auto"/>
                          </w:divBdr>
                        </w:div>
                      </w:divsChild>
                    </w:div>
                    <w:div w:id="294144277">
                      <w:marLeft w:val="0"/>
                      <w:marRight w:val="0"/>
                      <w:marTop w:val="0"/>
                      <w:marBottom w:val="0"/>
                      <w:divBdr>
                        <w:top w:val="none" w:sz="0" w:space="0" w:color="auto"/>
                        <w:left w:val="none" w:sz="0" w:space="0" w:color="auto"/>
                        <w:bottom w:val="none" w:sz="0" w:space="0" w:color="auto"/>
                        <w:right w:val="none" w:sz="0" w:space="0" w:color="auto"/>
                      </w:divBdr>
                    </w:div>
                    <w:div w:id="294144284">
                      <w:marLeft w:val="0"/>
                      <w:marRight w:val="0"/>
                      <w:marTop w:val="0"/>
                      <w:marBottom w:val="0"/>
                      <w:divBdr>
                        <w:top w:val="none" w:sz="0" w:space="0" w:color="auto"/>
                        <w:left w:val="none" w:sz="0" w:space="0" w:color="auto"/>
                        <w:bottom w:val="none" w:sz="0" w:space="0" w:color="auto"/>
                        <w:right w:val="none" w:sz="0" w:space="0" w:color="auto"/>
                      </w:divBdr>
                      <w:divsChild>
                        <w:div w:id="294149476">
                          <w:marLeft w:val="0"/>
                          <w:marRight w:val="0"/>
                          <w:marTop w:val="0"/>
                          <w:marBottom w:val="0"/>
                          <w:divBdr>
                            <w:top w:val="none" w:sz="0" w:space="0" w:color="auto"/>
                            <w:left w:val="none" w:sz="0" w:space="0" w:color="auto"/>
                            <w:bottom w:val="none" w:sz="0" w:space="0" w:color="auto"/>
                            <w:right w:val="none" w:sz="0" w:space="0" w:color="auto"/>
                          </w:divBdr>
                        </w:div>
                      </w:divsChild>
                    </w:div>
                    <w:div w:id="294144308">
                      <w:marLeft w:val="0"/>
                      <w:marRight w:val="0"/>
                      <w:marTop w:val="0"/>
                      <w:marBottom w:val="0"/>
                      <w:divBdr>
                        <w:top w:val="none" w:sz="0" w:space="0" w:color="auto"/>
                        <w:left w:val="none" w:sz="0" w:space="0" w:color="auto"/>
                        <w:bottom w:val="none" w:sz="0" w:space="0" w:color="auto"/>
                        <w:right w:val="none" w:sz="0" w:space="0" w:color="auto"/>
                      </w:divBdr>
                    </w:div>
                    <w:div w:id="294144313">
                      <w:marLeft w:val="0"/>
                      <w:marRight w:val="0"/>
                      <w:marTop w:val="0"/>
                      <w:marBottom w:val="0"/>
                      <w:divBdr>
                        <w:top w:val="none" w:sz="0" w:space="0" w:color="auto"/>
                        <w:left w:val="none" w:sz="0" w:space="0" w:color="auto"/>
                        <w:bottom w:val="none" w:sz="0" w:space="0" w:color="auto"/>
                        <w:right w:val="none" w:sz="0" w:space="0" w:color="auto"/>
                      </w:divBdr>
                      <w:divsChild>
                        <w:div w:id="294152346">
                          <w:marLeft w:val="0"/>
                          <w:marRight w:val="0"/>
                          <w:marTop w:val="0"/>
                          <w:marBottom w:val="0"/>
                          <w:divBdr>
                            <w:top w:val="none" w:sz="0" w:space="0" w:color="auto"/>
                            <w:left w:val="none" w:sz="0" w:space="0" w:color="auto"/>
                            <w:bottom w:val="none" w:sz="0" w:space="0" w:color="auto"/>
                            <w:right w:val="none" w:sz="0" w:space="0" w:color="auto"/>
                          </w:divBdr>
                        </w:div>
                      </w:divsChild>
                    </w:div>
                    <w:div w:id="294144318">
                      <w:marLeft w:val="0"/>
                      <w:marRight w:val="0"/>
                      <w:marTop w:val="0"/>
                      <w:marBottom w:val="0"/>
                      <w:divBdr>
                        <w:top w:val="none" w:sz="0" w:space="0" w:color="auto"/>
                        <w:left w:val="none" w:sz="0" w:space="0" w:color="auto"/>
                        <w:bottom w:val="none" w:sz="0" w:space="0" w:color="auto"/>
                        <w:right w:val="none" w:sz="0" w:space="0" w:color="auto"/>
                      </w:divBdr>
                      <w:divsChild>
                        <w:div w:id="294138404">
                          <w:marLeft w:val="0"/>
                          <w:marRight w:val="0"/>
                          <w:marTop w:val="0"/>
                          <w:marBottom w:val="0"/>
                          <w:divBdr>
                            <w:top w:val="none" w:sz="0" w:space="0" w:color="auto"/>
                            <w:left w:val="none" w:sz="0" w:space="0" w:color="auto"/>
                            <w:bottom w:val="none" w:sz="0" w:space="0" w:color="auto"/>
                            <w:right w:val="none" w:sz="0" w:space="0" w:color="auto"/>
                          </w:divBdr>
                        </w:div>
                      </w:divsChild>
                    </w:div>
                    <w:div w:id="294144334">
                      <w:marLeft w:val="0"/>
                      <w:marRight w:val="0"/>
                      <w:marTop w:val="0"/>
                      <w:marBottom w:val="0"/>
                      <w:divBdr>
                        <w:top w:val="none" w:sz="0" w:space="0" w:color="auto"/>
                        <w:left w:val="none" w:sz="0" w:space="0" w:color="auto"/>
                        <w:bottom w:val="none" w:sz="0" w:space="0" w:color="auto"/>
                        <w:right w:val="none" w:sz="0" w:space="0" w:color="auto"/>
                      </w:divBdr>
                    </w:div>
                    <w:div w:id="294144338">
                      <w:marLeft w:val="0"/>
                      <w:marRight w:val="0"/>
                      <w:marTop w:val="0"/>
                      <w:marBottom w:val="0"/>
                      <w:divBdr>
                        <w:top w:val="none" w:sz="0" w:space="0" w:color="auto"/>
                        <w:left w:val="none" w:sz="0" w:space="0" w:color="auto"/>
                        <w:bottom w:val="none" w:sz="0" w:space="0" w:color="auto"/>
                        <w:right w:val="none" w:sz="0" w:space="0" w:color="auto"/>
                      </w:divBdr>
                    </w:div>
                    <w:div w:id="294144364">
                      <w:marLeft w:val="0"/>
                      <w:marRight w:val="0"/>
                      <w:marTop w:val="0"/>
                      <w:marBottom w:val="0"/>
                      <w:divBdr>
                        <w:top w:val="none" w:sz="0" w:space="0" w:color="auto"/>
                        <w:left w:val="none" w:sz="0" w:space="0" w:color="auto"/>
                        <w:bottom w:val="none" w:sz="0" w:space="0" w:color="auto"/>
                        <w:right w:val="none" w:sz="0" w:space="0" w:color="auto"/>
                      </w:divBdr>
                    </w:div>
                    <w:div w:id="294144385">
                      <w:marLeft w:val="0"/>
                      <w:marRight w:val="0"/>
                      <w:marTop w:val="0"/>
                      <w:marBottom w:val="0"/>
                      <w:divBdr>
                        <w:top w:val="none" w:sz="0" w:space="0" w:color="auto"/>
                        <w:left w:val="none" w:sz="0" w:space="0" w:color="auto"/>
                        <w:bottom w:val="none" w:sz="0" w:space="0" w:color="auto"/>
                        <w:right w:val="none" w:sz="0" w:space="0" w:color="auto"/>
                      </w:divBdr>
                      <w:divsChild>
                        <w:div w:id="294142001">
                          <w:marLeft w:val="0"/>
                          <w:marRight w:val="0"/>
                          <w:marTop w:val="0"/>
                          <w:marBottom w:val="0"/>
                          <w:divBdr>
                            <w:top w:val="none" w:sz="0" w:space="0" w:color="auto"/>
                            <w:left w:val="none" w:sz="0" w:space="0" w:color="auto"/>
                            <w:bottom w:val="none" w:sz="0" w:space="0" w:color="auto"/>
                            <w:right w:val="none" w:sz="0" w:space="0" w:color="auto"/>
                          </w:divBdr>
                        </w:div>
                      </w:divsChild>
                    </w:div>
                    <w:div w:id="294144398">
                      <w:marLeft w:val="0"/>
                      <w:marRight w:val="0"/>
                      <w:marTop w:val="0"/>
                      <w:marBottom w:val="0"/>
                      <w:divBdr>
                        <w:top w:val="none" w:sz="0" w:space="0" w:color="auto"/>
                        <w:left w:val="none" w:sz="0" w:space="0" w:color="auto"/>
                        <w:bottom w:val="none" w:sz="0" w:space="0" w:color="auto"/>
                        <w:right w:val="none" w:sz="0" w:space="0" w:color="auto"/>
                      </w:divBdr>
                      <w:divsChild>
                        <w:div w:id="294138041">
                          <w:marLeft w:val="0"/>
                          <w:marRight w:val="0"/>
                          <w:marTop w:val="0"/>
                          <w:marBottom w:val="0"/>
                          <w:divBdr>
                            <w:top w:val="none" w:sz="0" w:space="0" w:color="auto"/>
                            <w:left w:val="none" w:sz="0" w:space="0" w:color="auto"/>
                            <w:bottom w:val="none" w:sz="0" w:space="0" w:color="auto"/>
                            <w:right w:val="none" w:sz="0" w:space="0" w:color="auto"/>
                          </w:divBdr>
                        </w:div>
                      </w:divsChild>
                    </w:div>
                    <w:div w:id="294144452">
                      <w:marLeft w:val="0"/>
                      <w:marRight w:val="0"/>
                      <w:marTop w:val="0"/>
                      <w:marBottom w:val="0"/>
                      <w:divBdr>
                        <w:top w:val="none" w:sz="0" w:space="0" w:color="auto"/>
                        <w:left w:val="none" w:sz="0" w:space="0" w:color="auto"/>
                        <w:bottom w:val="none" w:sz="0" w:space="0" w:color="auto"/>
                        <w:right w:val="none" w:sz="0" w:space="0" w:color="auto"/>
                      </w:divBdr>
                    </w:div>
                    <w:div w:id="294144464">
                      <w:marLeft w:val="0"/>
                      <w:marRight w:val="0"/>
                      <w:marTop w:val="0"/>
                      <w:marBottom w:val="0"/>
                      <w:divBdr>
                        <w:top w:val="none" w:sz="0" w:space="0" w:color="auto"/>
                        <w:left w:val="none" w:sz="0" w:space="0" w:color="auto"/>
                        <w:bottom w:val="none" w:sz="0" w:space="0" w:color="auto"/>
                        <w:right w:val="none" w:sz="0" w:space="0" w:color="auto"/>
                      </w:divBdr>
                    </w:div>
                    <w:div w:id="294144522">
                      <w:marLeft w:val="0"/>
                      <w:marRight w:val="0"/>
                      <w:marTop w:val="0"/>
                      <w:marBottom w:val="0"/>
                      <w:divBdr>
                        <w:top w:val="none" w:sz="0" w:space="0" w:color="auto"/>
                        <w:left w:val="none" w:sz="0" w:space="0" w:color="auto"/>
                        <w:bottom w:val="none" w:sz="0" w:space="0" w:color="auto"/>
                        <w:right w:val="none" w:sz="0" w:space="0" w:color="auto"/>
                      </w:divBdr>
                      <w:divsChild>
                        <w:div w:id="294148183">
                          <w:marLeft w:val="0"/>
                          <w:marRight w:val="0"/>
                          <w:marTop w:val="0"/>
                          <w:marBottom w:val="0"/>
                          <w:divBdr>
                            <w:top w:val="none" w:sz="0" w:space="0" w:color="auto"/>
                            <w:left w:val="none" w:sz="0" w:space="0" w:color="auto"/>
                            <w:bottom w:val="none" w:sz="0" w:space="0" w:color="auto"/>
                            <w:right w:val="none" w:sz="0" w:space="0" w:color="auto"/>
                          </w:divBdr>
                        </w:div>
                      </w:divsChild>
                    </w:div>
                    <w:div w:id="294144533">
                      <w:marLeft w:val="0"/>
                      <w:marRight w:val="0"/>
                      <w:marTop w:val="0"/>
                      <w:marBottom w:val="0"/>
                      <w:divBdr>
                        <w:top w:val="none" w:sz="0" w:space="0" w:color="auto"/>
                        <w:left w:val="none" w:sz="0" w:space="0" w:color="auto"/>
                        <w:bottom w:val="none" w:sz="0" w:space="0" w:color="auto"/>
                        <w:right w:val="none" w:sz="0" w:space="0" w:color="auto"/>
                      </w:divBdr>
                    </w:div>
                    <w:div w:id="294144534">
                      <w:marLeft w:val="0"/>
                      <w:marRight w:val="0"/>
                      <w:marTop w:val="0"/>
                      <w:marBottom w:val="0"/>
                      <w:divBdr>
                        <w:top w:val="none" w:sz="0" w:space="0" w:color="auto"/>
                        <w:left w:val="none" w:sz="0" w:space="0" w:color="auto"/>
                        <w:bottom w:val="none" w:sz="0" w:space="0" w:color="auto"/>
                        <w:right w:val="none" w:sz="0" w:space="0" w:color="auto"/>
                      </w:divBdr>
                    </w:div>
                    <w:div w:id="294144548">
                      <w:marLeft w:val="0"/>
                      <w:marRight w:val="0"/>
                      <w:marTop w:val="0"/>
                      <w:marBottom w:val="0"/>
                      <w:divBdr>
                        <w:top w:val="none" w:sz="0" w:space="0" w:color="auto"/>
                        <w:left w:val="none" w:sz="0" w:space="0" w:color="auto"/>
                        <w:bottom w:val="none" w:sz="0" w:space="0" w:color="auto"/>
                        <w:right w:val="none" w:sz="0" w:space="0" w:color="auto"/>
                      </w:divBdr>
                    </w:div>
                    <w:div w:id="294144556">
                      <w:marLeft w:val="0"/>
                      <w:marRight w:val="0"/>
                      <w:marTop w:val="0"/>
                      <w:marBottom w:val="0"/>
                      <w:divBdr>
                        <w:top w:val="none" w:sz="0" w:space="0" w:color="auto"/>
                        <w:left w:val="none" w:sz="0" w:space="0" w:color="auto"/>
                        <w:bottom w:val="none" w:sz="0" w:space="0" w:color="auto"/>
                        <w:right w:val="none" w:sz="0" w:space="0" w:color="auto"/>
                      </w:divBdr>
                      <w:divsChild>
                        <w:div w:id="294143244">
                          <w:marLeft w:val="0"/>
                          <w:marRight w:val="0"/>
                          <w:marTop w:val="0"/>
                          <w:marBottom w:val="0"/>
                          <w:divBdr>
                            <w:top w:val="none" w:sz="0" w:space="0" w:color="auto"/>
                            <w:left w:val="none" w:sz="0" w:space="0" w:color="auto"/>
                            <w:bottom w:val="none" w:sz="0" w:space="0" w:color="auto"/>
                            <w:right w:val="none" w:sz="0" w:space="0" w:color="auto"/>
                          </w:divBdr>
                        </w:div>
                      </w:divsChild>
                    </w:div>
                    <w:div w:id="294144579">
                      <w:marLeft w:val="0"/>
                      <w:marRight w:val="0"/>
                      <w:marTop w:val="0"/>
                      <w:marBottom w:val="0"/>
                      <w:divBdr>
                        <w:top w:val="none" w:sz="0" w:space="0" w:color="auto"/>
                        <w:left w:val="none" w:sz="0" w:space="0" w:color="auto"/>
                        <w:bottom w:val="none" w:sz="0" w:space="0" w:color="auto"/>
                        <w:right w:val="none" w:sz="0" w:space="0" w:color="auto"/>
                      </w:divBdr>
                      <w:divsChild>
                        <w:div w:id="294143970">
                          <w:marLeft w:val="0"/>
                          <w:marRight w:val="0"/>
                          <w:marTop w:val="0"/>
                          <w:marBottom w:val="0"/>
                          <w:divBdr>
                            <w:top w:val="none" w:sz="0" w:space="0" w:color="auto"/>
                            <w:left w:val="none" w:sz="0" w:space="0" w:color="auto"/>
                            <w:bottom w:val="none" w:sz="0" w:space="0" w:color="auto"/>
                            <w:right w:val="none" w:sz="0" w:space="0" w:color="auto"/>
                          </w:divBdr>
                        </w:div>
                      </w:divsChild>
                    </w:div>
                    <w:div w:id="294144638">
                      <w:marLeft w:val="0"/>
                      <w:marRight w:val="0"/>
                      <w:marTop w:val="0"/>
                      <w:marBottom w:val="0"/>
                      <w:divBdr>
                        <w:top w:val="none" w:sz="0" w:space="0" w:color="auto"/>
                        <w:left w:val="none" w:sz="0" w:space="0" w:color="auto"/>
                        <w:bottom w:val="none" w:sz="0" w:space="0" w:color="auto"/>
                        <w:right w:val="none" w:sz="0" w:space="0" w:color="auto"/>
                      </w:divBdr>
                      <w:divsChild>
                        <w:div w:id="294155408">
                          <w:marLeft w:val="0"/>
                          <w:marRight w:val="0"/>
                          <w:marTop w:val="0"/>
                          <w:marBottom w:val="0"/>
                          <w:divBdr>
                            <w:top w:val="none" w:sz="0" w:space="0" w:color="auto"/>
                            <w:left w:val="none" w:sz="0" w:space="0" w:color="auto"/>
                            <w:bottom w:val="none" w:sz="0" w:space="0" w:color="auto"/>
                            <w:right w:val="none" w:sz="0" w:space="0" w:color="auto"/>
                          </w:divBdr>
                        </w:div>
                      </w:divsChild>
                    </w:div>
                    <w:div w:id="294144653">
                      <w:marLeft w:val="0"/>
                      <w:marRight w:val="0"/>
                      <w:marTop w:val="0"/>
                      <w:marBottom w:val="0"/>
                      <w:divBdr>
                        <w:top w:val="none" w:sz="0" w:space="0" w:color="auto"/>
                        <w:left w:val="none" w:sz="0" w:space="0" w:color="auto"/>
                        <w:bottom w:val="none" w:sz="0" w:space="0" w:color="auto"/>
                        <w:right w:val="none" w:sz="0" w:space="0" w:color="auto"/>
                      </w:divBdr>
                      <w:divsChild>
                        <w:div w:id="294139826">
                          <w:marLeft w:val="0"/>
                          <w:marRight w:val="0"/>
                          <w:marTop w:val="0"/>
                          <w:marBottom w:val="0"/>
                          <w:divBdr>
                            <w:top w:val="none" w:sz="0" w:space="0" w:color="auto"/>
                            <w:left w:val="none" w:sz="0" w:space="0" w:color="auto"/>
                            <w:bottom w:val="none" w:sz="0" w:space="0" w:color="auto"/>
                            <w:right w:val="none" w:sz="0" w:space="0" w:color="auto"/>
                          </w:divBdr>
                        </w:div>
                      </w:divsChild>
                    </w:div>
                    <w:div w:id="294144673">
                      <w:marLeft w:val="0"/>
                      <w:marRight w:val="0"/>
                      <w:marTop w:val="0"/>
                      <w:marBottom w:val="0"/>
                      <w:divBdr>
                        <w:top w:val="none" w:sz="0" w:space="0" w:color="auto"/>
                        <w:left w:val="none" w:sz="0" w:space="0" w:color="auto"/>
                        <w:bottom w:val="none" w:sz="0" w:space="0" w:color="auto"/>
                        <w:right w:val="none" w:sz="0" w:space="0" w:color="auto"/>
                      </w:divBdr>
                    </w:div>
                    <w:div w:id="294144693">
                      <w:marLeft w:val="0"/>
                      <w:marRight w:val="0"/>
                      <w:marTop w:val="0"/>
                      <w:marBottom w:val="0"/>
                      <w:divBdr>
                        <w:top w:val="none" w:sz="0" w:space="0" w:color="auto"/>
                        <w:left w:val="none" w:sz="0" w:space="0" w:color="auto"/>
                        <w:bottom w:val="none" w:sz="0" w:space="0" w:color="auto"/>
                        <w:right w:val="none" w:sz="0" w:space="0" w:color="auto"/>
                      </w:divBdr>
                    </w:div>
                    <w:div w:id="294144697">
                      <w:marLeft w:val="0"/>
                      <w:marRight w:val="0"/>
                      <w:marTop w:val="0"/>
                      <w:marBottom w:val="0"/>
                      <w:divBdr>
                        <w:top w:val="none" w:sz="0" w:space="0" w:color="auto"/>
                        <w:left w:val="none" w:sz="0" w:space="0" w:color="auto"/>
                        <w:bottom w:val="none" w:sz="0" w:space="0" w:color="auto"/>
                        <w:right w:val="none" w:sz="0" w:space="0" w:color="auto"/>
                      </w:divBdr>
                      <w:divsChild>
                        <w:div w:id="294152018">
                          <w:marLeft w:val="0"/>
                          <w:marRight w:val="0"/>
                          <w:marTop w:val="0"/>
                          <w:marBottom w:val="0"/>
                          <w:divBdr>
                            <w:top w:val="none" w:sz="0" w:space="0" w:color="auto"/>
                            <w:left w:val="none" w:sz="0" w:space="0" w:color="auto"/>
                            <w:bottom w:val="none" w:sz="0" w:space="0" w:color="auto"/>
                            <w:right w:val="none" w:sz="0" w:space="0" w:color="auto"/>
                          </w:divBdr>
                        </w:div>
                      </w:divsChild>
                    </w:div>
                    <w:div w:id="294144711">
                      <w:marLeft w:val="0"/>
                      <w:marRight w:val="0"/>
                      <w:marTop w:val="0"/>
                      <w:marBottom w:val="0"/>
                      <w:divBdr>
                        <w:top w:val="none" w:sz="0" w:space="0" w:color="auto"/>
                        <w:left w:val="none" w:sz="0" w:space="0" w:color="auto"/>
                        <w:bottom w:val="none" w:sz="0" w:space="0" w:color="auto"/>
                        <w:right w:val="none" w:sz="0" w:space="0" w:color="auto"/>
                      </w:divBdr>
                      <w:divsChild>
                        <w:div w:id="294146536">
                          <w:marLeft w:val="0"/>
                          <w:marRight w:val="0"/>
                          <w:marTop w:val="0"/>
                          <w:marBottom w:val="0"/>
                          <w:divBdr>
                            <w:top w:val="none" w:sz="0" w:space="0" w:color="auto"/>
                            <w:left w:val="none" w:sz="0" w:space="0" w:color="auto"/>
                            <w:bottom w:val="none" w:sz="0" w:space="0" w:color="auto"/>
                            <w:right w:val="none" w:sz="0" w:space="0" w:color="auto"/>
                          </w:divBdr>
                        </w:div>
                      </w:divsChild>
                    </w:div>
                    <w:div w:id="294144722">
                      <w:marLeft w:val="0"/>
                      <w:marRight w:val="0"/>
                      <w:marTop w:val="0"/>
                      <w:marBottom w:val="0"/>
                      <w:divBdr>
                        <w:top w:val="none" w:sz="0" w:space="0" w:color="auto"/>
                        <w:left w:val="none" w:sz="0" w:space="0" w:color="auto"/>
                        <w:bottom w:val="none" w:sz="0" w:space="0" w:color="auto"/>
                        <w:right w:val="none" w:sz="0" w:space="0" w:color="auto"/>
                      </w:divBdr>
                      <w:divsChild>
                        <w:div w:id="294151733">
                          <w:marLeft w:val="0"/>
                          <w:marRight w:val="0"/>
                          <w:marTop w:val="0"/>
                          <w:marBottom w:val="0"/>
                          <w:divBdr>
                            <w:top w:val="none" w:sz="0" w:space="0" w:color="auto"/>
                            <w:left w:val="none" w:sz="0" w:space="0" w:color="auto"/>
                            <w:bottom w:val="none" w:sz="0" w:space="0" w:color="auto"/>
                            <w:right w:val="none" w:sz="0" w:space="0" w:color="auto"/>
                          </w:divBdr>
                        </w:div>
                      </w:divsChild>
                    </w:div>
                    <w:div w:id="294144729">
                      <w:marLeft w:val="0"/>
                      <w:marRight w:val="0"/>
                      <w:marTop w:val="0"/>
                      <w:marBottom w:val="0"/>
                      <w:divBdr>
                        <w:top w:val="none" w:sz="0" w:space="0" w:color="auto"/>
                        <w:left w:val="none" w:sz="0" w:space="0" w:color="auto"/>
                        <w:bottom w:val="none" w:sz="0" w:space="0" w:color="auto"/>
                        <w:right w:val="none" w:sz="0" w:space="0" w:color="auto"/>
                      </w:divBdr>
                    </w:div>
                    <w:div w:id="294144749">
                      <w:marLeft w:val="0"/>
                      <w:marRight w:val="0"/>
                      <w:marTop w:val="0"/>
                      <w:marBottom w:val="0"/>
                      <w:divBdr>
                        <w:top w:val="none" w:sz="0" w:space="0" w:color="auto"/>
                        <w:left w:val="none" w:sz="0" w:space="0" w:color="auto"/>
                        <w:bottom w:val="none" w:sz="0" w:space="0" w:color="auto"/>
                        <w:right w:val="none" w:sz="0" w:space="0" w:color="auto"/>
                      </w:divBdr>
                      <w:divsChild>
                        <w:div w:id="294138457">
                          <w:marLeft w:val="0"/>
                          <w:marRight w:val="0"/>
                          <w:marTop w:val="0"/>
                          <w:marBottom w:val="0"/>
                          <w:divBdr>
                            <w:top w:val="none" w:sz="0" w:space="0" w:color="auto"/>
                            <w:left w:val="none" w:sz="0" w:space="0" w:color="auto"/>
                            <w:bottom w:val="none" w:sz="0" w:space="0" w:color="auto"/>
                            <w:right w:val="none" w:sz="0" w:space="0" w:color="auto"/>
                          </w:divBdr>
                        </w:div>
                      </w:divsChild>
                    </w:div>
                    <w:div w:id="294144760">
                      <w:marLeft w:val="0"/>
                      <w:marRight w:val="0"/>
                      <w:marTop w:val="0"/>
                      <w:marBottom w:val="0"/>
                      <w:divBdr>
                        <w:top w:val="none" w:sz="0" w:space="0" w:color="auto"/>
                        <w:left w:val="none" w:sz="0" w:space="0" w:color="auto"/>
                        <w:bottom w:val="none" w:sz="0" w:space="0" w:color="auto"/>
                        <w:right w:val="none" w:sz="0" w:space="0" w:color="auto"/>
                      </w:divBdr>
                    </w:div>
                    <w:div w:id="294144803">
                      <w:marLeft w:val="0"/>
                      <w:marRight w:val="0"/>
                      <w:marTop w:val="0"/>
                      <w:marBottom w:val="0"/>
                      <w:divBdr>
                        <w:top w:val="none" w:sz="0" w:space="0" w:color="auto"/>
                        <w:left w:val="none" w:sz="0" w:space="0" w:color="auto"/>
                        <w:bottom w:val="none" w:sz="0" w:space="0" w:color="auto"/>
                        <w:right w:val="none" w:sz="0" w:space="0" w:color="auto"/>
                      </w:divBdr>
                      <w:divsChild>
                        <w:div w:id="294146081">
                          <w:marLeft w:val="0"/>
                          <w:marRight w:val="0"/>
                          <w:marTop w:val="0"/>
                          <w:marBottom w:val="0"/>
                          <w:divBdr>
                            <w:top w:val="none" w:sz="0" w:space="0" w:color="auto"/>
                            <w:left w:val="none" w:sz="0" w:space="0" w:color="auto"/>
                            <w:bottom w:val="none" w:sz="0" w:space="0" w:color="auto"/>
                            <w:right w:val="none" w:sz="0" w:space="0" w:color="auto"/>
                          </w:divBdr>
                        </w:div>
                      </w:divsChild>
                    </w:div>
                    <w:div w:id="294144815">
                      <w:marLeft w:val="0"/>
                      <w:marRight w:val="0"/>
                      <w:marTop w:val="0"/>
                      <w:marBottom w:val="0"/>
                      <w:divBdr>
                        <w:top w:val="none" w:sz="0" w:space="0" w:color="auto"/>
                        <w:left w:val="none" w:sz="0" w:space="0" w:color="auto"/>
                        <w:bottom w:val="none" w:sz="0" w:space="0" w:color="auto"/>
                        <w:right w:val="none" w:sz="0" w:space="0" w:color="auto"/>
                      </w:divBdr>
                    </w:div>
                    <w:div w:id="294144885">
                      <w:marLeft w:val="0"/>
                      <w:marRight w:val="0"/>
                      <w:marTop w:val="0"/>
                      <w:marBottom w:val="0"/>
                      <w:divBdr>
                        <w:top w:val="none" w:sz="0" w:space="0" w:color="auto"/>
                        <w:left w:val="none" w:sz="0" w:space="0" w:color="auto"/>
                        <w:bottom w:val="none" w:sz="0" w:space="0" w:color="auto"/>
                        <w:right w:val="none" w:sz="0" w:space="0" w:color="auto"/>
                      </w:divBdr>
                    </w:div>
                    <w:div w:id="294144886">
                      <w:marLeft w:val="0"/>
                      <w:marRight w:val="0"/>
                      <w:marTop w:val="0"/>
                      <w:marBottom w:val="0"/>
                      <w:divBdr>
                        <w:top w:val="none" w:sz="0" w:space="0" w:color="auto"/>
                        <w:left w:val="none" w:sz="0" w:space="0" w:color="auto"/>
                        <w:bottom w:val="none" w:sz="0" w:space="0" w:color="auto"/>
                        <w:right w:val="none" w:sz="0" w:space="0" w:color="auto"/>
                      </w:divBdr>
                      <w:divsChild>
                        <w:div w:id="294154871">
                          <w:marLeft w:val="0"/>
                          <w:marRight w:val="0"/>
                          <w:marTop w:val="0"/>
                          <w:marBottom w:val="0"/>
                          <w:divBdr>
                            <w:top w:val="none" w:sz="0" w:space="0" w:color="auto"/>
                            <w:left w:val="none" w:sz="0" w:space="0" w:color="auto"/>
                            <w:bottom w:val="none" w:sz="0" w:space="0" w:color="auto"/>
                            <w:right w:val="none" w:sz="0" w:space="0" w:color="auto"/>
                          </w:divBdr>
                        </w:div>
                      </w:divsChild>
                    </w:div>
                    <w:div w:id="294144890">
                      <w:marLeft w:val="0"/>
                      <w:marRight w:val="0"/>
                      <w:marTop w:val="0"/>
                      <w:marBottom w:val="0"/>
                      <w:divBdr>
                        <w:top w:val="none" w:sz="0" w:space="0" w:color="auto"/>
                        <w:left w:val="none" w:sz="0" w:space="0" w:color="auto"/>
                        <w:bottom w:val="none" w:sz="0" w:space="0" w:color="auto"/>
                        <w:right w:val="none" w:sz="0" w:space="0" w:color="auto"/>
                      </w:divBdr>
                    </w:div>
                    <w:div w:id="294144932">
                      <w:marLeft w:val="0"/>
                      <w:marRight w:val="0"/>
                      <w:marTop w:val="0"/>
                      <w:marBottom w:val="0"/>
                      <w:divBdr>
                        <w:top w:val="none" w:sz="0" w:space="0" w:color="auto"/>
                        <w:left w:val="none" w:sz="0" w:space="0" w:color="auto"/>
                        <w:bottom w:val="none" w:sz="0" w:space="0" w:color="auto"/>
                        <w:right w:val="none" w:sz="0" w:space="0" w:color="auto"/>
                      </w:divBdr>
                      <w:divsChild>
                        <w:div w:id="294156806">
                          <w:marLeft w:val="0"/>
                          <w:marRight w:val="0"/>
                          <w:marTop w:val="0"/>
                          <w:marBottom w:val="0"/>
                          <w:divBdr>
                            <w:top w:val="none" w:sz="0" w:space="0" w:color="auto"/>
                            <w:left w:val="none" w:sz="0" w:space="0" w:color="auto"/>
                            <w:bottom w:val="none" w:sz="0" w:space="0" w:color="auto"/>
                            <w:right w:val="none" w:sz="0" w:space="0" w:color="auto"/>
                          </w:divBdr>
                        </w:div>
                      </w:divsChild>
                    </w:div>
                    <w:div w:id="294144998">
                      <w:marLeft w:val="0"/>
                      <w:marRight w:val="0"/>
                      <w:marTop w:val="0"/>
                      <w:marBottom w:val="0"/>
                      <w:divBdr>
                        <w:top w:val="none" w:sz="0" w:space="0" w:color="auto"/>
                        <w:left w:val="none" w:sz="0" w:space="0" w:color="auto"/>
                        <w:bottom w:val="none" w:sz="0" w:space="0" w:color="auto"/>
                        <w:right w:val="none" w:sz="0" w:space="0" w:color="auto"/>
                      </w:divBdr>
                    </w:div>
                    <w:div w:id="294145005">
                      <w:marLeft w:val="0"/>
                      <w:marRight w:val="0"/>
                      <w:marTop w:val="0"/>
                      <w:marBottom w:val="0"/>
                      <w:divBdr>
                        <w:top w:val="none" w:sz="0" w:space="0" w:color="auto"/>
                        <w:left w:val="none" w:sz="0" w:space="0" w:color="auto"/>
                        <w:bottom w:val="none" w:sz="0" w:space="0" w:color="auto"/>
                        <w:right w:val="none" w:sz="0" w:space="0" w:color="auto"/>
                      </w:divBdr>
                      <w:divsChild>
                        <w:div w:id="294144399">
                          <w:marLeft w:val="0"/>
                          <w:marRight w:val="0"/>
                          <w:marTop w:val="0"/>
                          <w:marBottom w:val="0"/>
                          <w:divBdr>
                            <w:top w:val="none" w:sz="0" w:space="0" w:color="auto"/>
                            <w:left w:val="none" w:sz="0" w:space="0" w:color="auto"/>
                            <w:bottom w:val="none" w:sz="0" w:space="0" w:color="auto"/>
                            <w:right w:val="none" w:sz="0" w:space="0" w:color="auto"/>
                          </w:divBdr>
                        </w:div>
                      </w:divsChild>
                    </w:div>
                    <w:div w:id="294145013">
                      <w:marLeft w:val="0"/>
                      <w:marRight w:val="0"/>
                      <w:marTop w:val="0"/>
                      <w:marBottom w:val="0"/>
                      <w:divBdr>
                        <w:top w:val="none" w:sz="0" w:space="0" w:color="auto"/>
                        <w:left w:val="none" w:sz="0" w:space="0" w:color="auto"/>
                        <w:bottom w:val="none" w:sz="0" w:space="0" w:color="auto"/>
                        <w:right w:val="none" w:sz="0" w:space="0" w:color="auto"/>
                      </w:divBdr>
                      <w:divsChild>
                        <w:div w:id="294145122">
                          <w:marLeft w:val="0"/>
                          <w:marRight w:val="0"/>
                          <w:marTop w:val="0"/>
                          <w:marBottom w:val="0"/>
                          <w:divBdr>
                            <w:top w:val="none" w:sz="0" w:space="0" w:color="auto"/>
                            <w:left w:val="none" w:sz="0" w:space="0" w:color="auto"/>
                            <w:bottom w:val="none" w:sz="0" w:space="0" w:color="auto"/>
                            <w:right w:val="none" w:sz="0" w:space="0" w:color="auto"/>
                          </w:divBdr>
                        </w:div>
                      </w:divsChild>
                    </w:div>
                    <w:div w:id="294145091">
                      <w:marLeft w:val="0"/>
                      <w:marRight w:val="0"/>
                      <w:marTop w:val="0"/>
                      <w:marBottom w:val="0"/>
                      <w:divBdr>
                        <w:top w:val="none" w:sz="0" w:space="0" w:color="auto"/>
                        <w:left w:val="none" w:sz="0" w:space="0" w:color="auto"/>
                        <w:bottom w:val="none" w:sz="0" w:space="0" w:color="auto"/>
                        <w:right w:val="none" w:sz="0" w:space="0" w:color="auto"/>
                      </w:divBdr>
                    </w:div>
                    <w:div w:id="294145110">
                      <w:marLeft w:val="0"/>
                      <w:marRight w:val="0"/>
                      <w:marTop w:val="0"/>
                      <w:marBottom w:val="0"/>
                      <w:divBdr>
                        <w:top w:val="none" w:sz="0" w:space="0" w:color="auto"/>
                        <w:left w:val="none" w:sz="0" w:space="0" w:color="auto"/>
                        <w:bottom w:val="none" w:sz="0" w:space="0" w:color="auto"/>
                        <w:right w:val="none" w:sz="0" w:space="0" w:color="auto"/>
                      </w:divBdr>
                    </w:div>
                    <w:div w:id="294145115">
                      <w:marLeft w:val="0"/>
                      <w:marRight w:val="0"/>
                      <w:marTop w:val="0"/>
                      <w:marBottom w:val="0"/>
                      <w:divBdr>
                        <w:top w:val="none" w:sz="0" w:space="0" w:color="auto"/>
                        <w:left w:val="none" w:sz="0" w:space="0" w:color="auto"/>
                        <w:bottom w:val="none" w:sz="0" w:space="0" w:color="auto"/>
                        <w:right w:val="none" w:sz="0" w:space="0" w:color="auto"/>
                      </w:divBdr>
                      <w:divsChild>
                        <w:div w:id="294150070">
                          <w:marLeft w:val="0"/>
                          <w:marRight w:val="0"/>
                          <w:marTop w:val="0"/>
                          <w:marBottom w:val="0"/>
                          <w:divBdr>
                            <w:top w:val="none" w:sz="0" w:space="0" w:color="auto"/>
                            <w:left w:val="none" w:sz="0" w:space="0" w:color="auto"/>
                            <w:bottom w:val="none" w:sz="0" w:space="0" w:color="auto"/>
                            <w:right w:val="none" w:sz="0" w:space="0" w:color="auto"/>
                          </w:divBdr>
                        </w:div>
                      </w:divsChild>
                    </w:div>
                    <w:div w:id="294145211">
                      <w:marLeft w:val="0"/>
                      <w:marRight w:val="0"/>
                      <w:marTop w:val="0"/>
                      <w:marBottom w:val="0"/>
                      <w:divBdr>
                        <w:top w:val="none" w:sz="0" w:space="0" w:color="auto"/>
                        <w:left w:val="none" w:sz="0" w:space="0" w:color="auto"/>
                        <w:bottom w:val="none" w:sz="0" w:space="0" w:color="auto"/>
                        <w:right w:val="none" w:sz="0" w:space="0" w:color="auto"/>
                      </w:divBdr>
                    </w:div>
                    <w:div w:id="294145231">
                      <w:marLeft w:val="0"/>
                      <w:marRight w:val="0"/>
                      <w:marTop w:val="0"/>
                      <w:marBottom w:val="0"/>
                      <w:divBdr>
                        <w:top w:val="none" w:sz="0" w:space="0" w:color="auto"/>
                        <w:left w:val="none" w:sz="0" w:space="0" w:color="auto"/>
                        <w:bottom w:val="none" w:sz="0" w:space="0" w:color="auto"/>
                        <w:right w:val="none" w:sz="0" w:space="0" w:color="auto"/>
                      </w:divBdr>
                    </w:div>
                    <w:div w:id="294145281">
                      <w:marLeft w:val="0"/>
                      <w:marRight w:val="0"/>
                      <w:marTop w:val="0"/>
                      <w:marBottom w:val="0"/>
                      <w:divBdr>
                        <w:top w:val="none" w:sz="0" w:space="0" w:color="auto"/>
                        <w:left w:val="none" w:sz="0" w:space="0" w:color="auto"/>
                        <w:bottom w:val="none" w:sz="0" w:space="0" w:color="auto"/>
                        <w:right w:val="none" w:sz="0" w:space="0" w:color="auto"/>
                      </w:divBdr>
                    </w:div>
                    <w:div w:id="294145292">
                      <w:marLeft w:val="0"/>
                      <w:marRight w:val="0"/>
                      <w:marTop w:val="0"/>
                      <w:marBottom w:val="0"/>
                      <w:divBdr>
                        <w:top w:val="none" w:sz="0" w:space="0" w:color="auto"/>
                        <w:left w:val="none" w:sz="0" w:space="0" w:color="auto"/>
                        <w:bottom w:val="none" w:sz="0" w:space="0" w:color="auto"/>
                        <w:right w:val="none" w:sz="0" w:space="0" w:color="auto"/>
                      </w:divBdr>
                      <w:divsChild>
                        <w:div w:id="294142772">
                          <w:marLeft w:val="0"/>
                          <w:marRight w:val="0"/>
                          <w:marTop w:val="0"/>
                          <w:marBottom w:val="0"/>
                          <w:divBdr>
                            <w:top w:val="none" w:sz="0" w:space="0" w:color="auto"/>
                            <w:left w:val="none" w:sz="0" w:space="0" w:color="auto"/>
                            <w:bottom w:val="none" w:sz="0" w:space="0" w:color="auto"/>
                            <w:right w:val="none" w:sz="0" w:space="0" w:color="auto"/>
                          </w:divBdr>
                        </w:div>
                      </w:divsChild>
                    </w:div>
                    <w:div w:id="294145297">
                      <w:marLeft w:val="0"/>
                      <w:marRight w:val="0"/>
                      <w:marTop w:val="0"/>
                      <w:marBottom w:val="0"/>
                      <w:divBdr>
                        <w:top w:val="none" w:sz="0" w:space="0" w:color="auto"/>
                        <w:left w:val="none" w:sz="0" w:space="0" w:color="auto"/>
                        <w:bottom w:val="none" w:sz="0" w:space="0" w:color="auto"/>
                        <w:right w:val="none" w:sz="0" w:space="0" w:color="auto"/>
                      </w:divBdr>
                      <w:divsChild>
                        <w:div w:id="294150251">
                          <w:marLeft w:val="0"/>
                          <w:marRight w:val="0"/>
                          <w:marTop w:val="0"/>
                          <w:marBottom w:val="0"/>
                          <w:divBdr>
                            <w:top w:val="none" w:sz="0" w:space="0" w:color="auto"/>
                            <w:left w:val="none" w:sz="0" w:space="0" w:color="auto"/>
                            <w:bottom w:val="none" w:sz="0" w:space="0" w:color="auto"/>
                            <w:right w:val="none" w:sz="0" w:space="0" w:color="auto"/>
                          </w:divBdr>
                        </w:div>
                      </w:divsChild>
                    </w:div>
                    <w:div w:id="294145336">
                      <w:marLeft w:val="0"/>
                      <w:marRight w:val="0"/>
                      <w:marTop w:val="0"/>
                      <w:marBottom w:val="0"/>
                      <w:divBdr>
                        <w:top w:val="none" w:sz="0" w:space="0" w:color="auto"/>
                        <w:left w:val="none" w:sz="0" w:space="0" w:color="auto"/>
                        <w:bottom w:val="none" w:sz="0" w:space="0" w:color="auto"/>
                        <w:right w:val="none" w:sz="0" w:space="0" w:color="auto"/>
                      </w:divBdr>
                    </w:div>
                    <w:div w:id="294145395">
                      <w:marLeft w:val="0"/>
                      <w:marRight w:val="0"/>
                      <w:marTop w:val="0"/>
                      <w:marBottom w:val="0"/>
                      <w:divBdr>
                        <w:top w:val="none" w:sz="0" w:space="0" w:color="auto"/>
                        <w:left w:val="none" w:sz="0" w:space="0" w:color="auto"/>
                        <w:bottom w:val="none" w:sz="0" w:space="0" w:color="auto"/>
                        <w:right w:val="none" w:sz="0" w:space="0" w:color="auto"/>
                      </w:divBdr>
                      <w:divsChild>
                        <w:div w:id="294141441">
                          <w:marLeft w:val="0"/>
                          <w:marRight w:val="0"/>
                          <w:marTop w:val="0"/>
                          <w:marBottom w:val="0"/>
                          <w:divBdr>
                            <w:top w:val="none" w:sz="0" w:space="0" w:color="auto"/>
                            <w:left w:val="none" w:sz="0" w:space="0" w:color="auto"/>
                            <w:bottom w:val="none" w:sz="0" w:space="0" w:color="auto"/>
                            <w:right w:val="none" w:sz="0" w:space="0" w:color="auto"/>
                          </w:divBdr>
                        </w:div>
                      </w:divsChild>
                    </w:div>
                    <w:div w:id="294145429">
                      <w:marLeft w:val="0"/>
                      <w:marRight w:val="0"/>
                      <w:marTop w:val="0"/>
                      <w:marBottom w:val="0"/>
                      <w:divBdr>
                        <w:top w:val="none" w:sz="0" w:space="0" w:color="auto"/>
                        <w:left w:val="none" w:sz="0" w:space="0" w:color="auto"/>
                        <w:bottom w:val="none" w:sz="0" w:space="0" w:color="auto"/>
                        <w:right w:val="none" w:sz="0" w:space="0" w:color="auto"/>
                      </w:divBdr>
                    </w:div>
                    <w:div w:id="294145456">
                      <w:marLeft w:val="0"/>
                      <w:marRight w:val="0"/>
                      <w:marTop w:val="0"/>
                      <w:marBottom w:val="0"/>
                      <w:divBdr>
                        <w:top w:val="none" w:sz="0" w:space="0" w:color="auto"/>
                        <w:left w:val="none" w:sz="0" w:space="0" w:color="auto"/>
                        <w:bottom w:val="none" w:sz="0" w:space="0" w:color="auto"/>
                        <w:right w:val="none" w:sz="0" w:space="0" w:color="auto"/>
                      </w:divBdr>
                      <w:divsChild>
                        <w:div w:id="294156492">
                          <w:marLeft w:val="0"/>
                          <w:marRight w:val="0"/>
                          <w:marTop w:val="0"/>
                          <w:marBottom w:val="0"/>
                          <w:divBdr>
                            <w:top w:val="none" w:sz="0" w:space="0" w:color="auto"/>
                            <w:left w:val="none" w:sz="0" w:space="0" w:color="auto"/>
                            <w:bottom w:val="none" w:sz="0" w:space="0" w:color="auto"/>
                            <w:right w:val="none" w:sz="0" w:space="0" w:color="auto"/>
                          </w:divBdr>
                        </w:div>
                      </w:divsChild>
                    </w:div>
                    <w:div w:id="294145553">
                      <w:marLeft w:val="0"/>
                      <w:marRight w:val="0"/>
                      <w:marTop w:val="0"/>
                      <w:marBottom w:val="0"/>
                      <w:divBdr>
                        <w:top w:val="none" w:sz="0" w:space="0" w:color="auto"/>
                        <w:left w:val="none" w:sz="0" w:space="0" w:color="auto"/>
                        <w:bottom w:val="none" w:sz="0" w:space="0" w:color="auto"/>
                        <w:right w:val="none" w:sz="0" w:space="0" w:color="auto"/>
                      </w:divBdr>
                      <w:divsChild>
                        <w:div w:id="294147985">
                          <w:marLeft w:val="0"/>
                          <w:marRight w:val="0"/>
                          <w:marTop w:val="0"/>
                          <w:marBottom w:val="0"/>
                          <w:divBdr>
                            <w:top w:val="none" w:sz="0" w:space="0" w:color="auto"/>
                            <w:left w:val="none" w:sz="0" w:space="0" w:color="auto"/>
                            <w:bottom w:val="none" w:sz="0" w:space="0" w:color="auto"/>
                            <w:right w:val="none" w:sz="0" w:space="0" w:color="auto"/>
                          </w:divBdr>
                        </w:div>
                      </w:divsChild>
                    </w:div>
                    <w:div w:id="294145588">
                      <w:marLeft w:val="0"/>
                      <w:marRight w:val="0"/>
                      <w:marTop w:val="0"/>
                      <w:marBottom w:val="0"/>
                      <w:divBdr>
                        <w:top w:val="none" w:sz="0" w:space="0" w:color="auto"/>
                        <w:left w:val="none" w:sz="0" w:space="0" w:color="auto"/>
                        <w:bottom w:val="none" w:sz="0" w:space="0" w:color="auto"/>
                        <w:right w:val="none" w:sz="0" w:space="0" w:color="auto"/>
                      </w:divBdr>
                      <w:divsChild>
                        <w:div w:id="294144359">
                          <w:marLeft w:val="0"/>
                          <w:marRight w:val="0"/>
                          <w:marTop w:val="0"/>
                          <w:marBottom w:val="0"/>
                          <w:divBdr>
                            <w:top w:val="none" w:sz="0" w:space="0" w:color="auto"/>
                            <w:left w:val="none" w:sz="0" w:space="0" w:color="auto"/>
                            <w:bottom w:val="none" w:sz="0" w:space="0" w:color="auto"/>
                            <w:right w:val="none" w:sz="0" w:space="0" w:color="auto"/>
                          </w:divBdr>
                        </w:div>
                      </w:divsChild>
                    </w:div>
                    <w:div w:id="294145614">
                      <w:marLeft w:val="0"/>
                      <w:marRight w:val="0"/>
                      <w:marTop w:val="0"/>
                      <w:marBottom w:val="0"/>
                      <w:divBdr>
                        <w:top w:val="none" w:sz="0" w:space="0" w:color="auto"/>
                        <w:left w:val="none" w:sz="0" w:space="0" w:color="auto"/>
                        <w:bottom w:val="none" w:sz="0" w:space="0" w:color="auto"/>
                        <w:right w:val="none" w:sz="0" w:space="0" w:color="auto"/>
                      </w:divBdr>
                      <w:divsChild>
                        <w:div w:id="294148529">
                          <w:marLeft w:val="0"/>
                          <w:marRight w:val="0"/>
                          <w:marTop w:val="0"/>
                          <w:marBottom w:val="0"/>
                          <w:divBdr>
                            <w:top w:val="none" w:sz="0" w:space="0" w:color="auto"/>
                            <w:left w:val="none" w:sz="0" w:space="0" w:color="auto"/>
                            <w:bottom w:val="none" w:sz="0" w:space="0" w:color="auto"/>
                            <w:right w:val="none" w:sz="0" w:space="0" w:color="auto"/>
                          </w:divBdr>
                        </w:div>
                      </w:divsChild>
                    </w:div>
                    <w:div w:id="294145691">
                      <w:marLeft w:val="0"/>
                      <w:marRight w:val="0"/>
                      <w:marTop w:val="0"/>
                      <w:marBottom w:val="0"/>
                      <w:divBdr>
                        <w:top w:val="none" w:sz="0" w:space="0" w:color="auto"/>
                        <w:left w:val="none" w:sz="0" w:space="0" w:color="auto"/>
                        <w:bottom w:val="none" w:sz="0" w:space="0" w:color="auto"/>
                        <w:right w:val="none" w:sz="0" w:space="0" w:color="auto"/>
                      </w:divBdr>
                      <w:divsChild>
                        <w:div w:id="294140336">
                          <w:marLeft w:val="0"/>
                          <w:marRight w:val="0"/>
                          <w:marTop w:val="0"/>
                          <w:marBottom w:val="0"/>
                          <w:divBdr>
                            <w:top w:val="none" w:sz="0" w:space="0" w:color="auto"/>
                            <w:left w:val="none" w:sz="0" w:space="0" w:color="auto"/>
                            <w:bottom w:val="none" w:sz="0" w:space="0" w:color="auto"/>
                            <w:right w:val="none" w:sz="0" w:space="0" w:color="auto"/>
                          </w:divBdr>
                        </w:div>
                      </w:divsChild>
                    </w:div>
                    <w:div w:id="294145810">
                      <w:marLeft w:val="0"/>
                      <w:marRight w:val="0"/>
                      <w:marTop w:val="0"/>
                      <w:marBottom w:val="0"/>
                      <w:divBdr>
                        <w:top w:val="none" w:sz="0" w:space="0" w:color="auto"/>
                        <w:left w:val="none" w:sz="0" w:space="0" w:color="auto"/>
                        <w:bottom w:val="none" w:sz="0" w:space="0" w:color="auto"/>
                        <w:right w:val="none" w:sz="0" w:space="0" w:color="auto"/>
                      </w:divBdr>
                      <w:divsChild>
                        <w:div w:id="294139460">
                          <w:marLeft w:val="0"/>
                          <w:marRight w:val="0"/>
                          <w:marTop w:val="0"/>
                          <w:marBottom w:val="0"/>
                          <w:divBdr>
                            <w:top w:val="none" w:sz="0" w:space="0" w:color="auto"/>
                            <w:left w:val="none" w:sz="0" w:space="0" w:color="auto"/>
                            <w:bottom w:val="none" w:sz="0" w:space="0" w:color="auto"/>
                            <w:right w:val="none" w:sz="0" w:space="0" w:color="auto"/>
                          </w:divBdr>
                        </w:div>
                      </w:divsChild>
                    </w:div>
                    <w:div w:id="294145916">
                      <w:marLeft w:val="0"/>
                      <w:marRight w:val="0"/>
                      <w:marTop w:val="0"/>
                      <w:marBottom w:val="0"/>
                      <w:divBdr>
                        <w:top w:val="none" w:sz="0" w:space="0" w:color="auto"/>
                        <w:left w:val="none" w:sz="0" w:space="0" w:color="auto"/>
                        <w:bottom w:val="none" w:sz="0" w:space="0" w:color="auto"/>
                        <w:right w:val="none" w:sz="0" w:space="0" w:color="auto"/>
                      </w:divBdr>
                      <w:divsChild>
                        <w:div w:id="294147296">
                          <w:marLeft w:val="0"/>
                          <w:marRight w:val="0"/>
                          <w:marTop w:val="0"/>
                          <w:marBottom w:val="0"/>
                          <w:divBdr>
                            <w:top w:val="none" w:sz="0" w:space="0" w:color="auto"/>
                            <w:left w:val="none" w:sz="0" w:space="0" w:color="auto"/>
                            <w:bottom w:val="none" w:sz="0" w:space="0" w:color="auto"/>
                            <w:right w:val="none" w:sz="0" w:space="0" w:color="auto"/>
                          </w:divBdr>
                        </w:div>
                      </w:divsChild>
                    </w:div>
                    <w:div w:id="294146074">
                      <w:marLeft w:val="0"/>
                      <w:marRight w:val="0"/>
                      <w:marTop w:val="0"/>
                      <w:marBottom w:val="0"/>
                      <w:divBdr>
                        <w:top w:val="none" w:sz="0" w:space="0" w:color="auto"/>
                        <w:left w:val="none" w:sz="0" w:space="0" w:color="auto"/>
                        <w:bottom w:val="none" w:sz="0" w:space="0" w:color="auto"/>
                        <w:right w:val="none" w:sz="0" w:space="0" w:color="auto"/>
                      </w:divBdr>
                      <w:divsChild>
                        <w:div w:id="294155418">
                          <w:marLeft w:val="0"/>
                          <w:marRight w:val="0"/>
                          <w:marTop w:val="0"/>
                          <w:marBottom w:val="0"/>
                          <w:divBdr>
                            <w:top w:val="none" w:sz="0" w:space="0" w:color="auto"/>
                            <w:left w:val="none" w:sz="0" w:space="0" w:color="auto"/>
                            <w:bottom w:val="none" w:sz="0" w:space="0" w:color="auto"/>
                            <w:right w:val="none" w:sz="0" w:space="0" w:color="auto"/>
                          </w:divBdr>
                        </w:div>
                      </w:divsChild>
                    </w:div>
                    <w:div w:id="294146076">
                      <w:marLeft w:val="0"/>
                      <w:marRight w:val="0"/>
                      <w:marTop w:val="0"/>
                      <w:marBottom w:val="0"/>
                      <w:divBdr>
                        <w:top w:val="none" w:sz="0" w:space="0" w:color="auto"/>
                        <w:left w:val="none" w:sz="0" w:space="0" w:color="auto"/>
                        <w:bottom w:val="none" w:sz="0" w:space="0" w:color="auto"/>
                        <w:right w:val="none" w:sz="0" w:space="0" w:color="auto"/>
                      </w:divBdr>
                    </w:div>
                    <w:div w:id="294146138">
                      <w:marLeft w:val="0"/>
                      <w:marRight w:val="0"/>
                      <w:marTop w:val="0"/>
                      <w:marBottom w:val="0"/>
                      <w:divBdr>
                        <w:top w:val="none" w:sz="0" w:space="0" w:color="auto"/>
                        <w:left w:val="none" w:sz="0" w:space="0" w:color="auto"/>
                        <w:bottom w:val="none" w:sz="0" w:space="0" w:color="auto"/>
                        <w:right w:val="none" w:sz="0" w:space="0" w:color="auto"/>
                      </w:divBdr>
                      <w:divsChild>
                        <w:div w:id="294143212">
                          <w:marLeft w:val="0"/>
                          <w:marRight w:val="0"/>
                          <w:marTop w:val="0"/>
                          <w:marBottom w:val="0"/>
                          <w:divBdr>
                            <w:top w:val="none" w:sz="0" w:space="0" w:color="auto"/>
                            <w:left w:val="none" w:sz="0" w:space="0" w:color="auto"/>
                            <w:bottom w:val="none" w:sz="0" w:space="0" w:color="auto"/>
                            <w:right w:val="none" w:sz="0" w:space="0" w:color="auto"/>
                          </w:divBdr>
                        </w:div>
                      </w:divsChild>
                    </w:div>
                    <w:div w:id="294146291">
                      <w:marLeft w:val="0"/>
                      <w:marRight w:val="0"/>
                      <w:marTop w:val="0"/>
                      <w:marBottom w:val="0"/>
                      <w:divBdr>
                        <w:top w:val="none" w:sz="0" w:space="0" w:color="auto"/>
                        <w:left w:val="none" w:sz="0" w:space="0" w:color="auto"/>
                        <w:bottom w:val="none" w:sz="0" w:space="0" w:color="auto"/>
                        <w:right w:val="none" w:sz="0" w:space="0" w:color="auto"/>
                      </w:divBdr>
                      <w:divsChild>
                        <w:div w:id="294140598">
                          <w:marLeft w:val="0"/>
                          <w:marRight w:val="0"/>
                          <w:marTop w:val="0"/>
                          <w:marBottom w:val="0"/>
                          <w:divBdr>
                            <w:top w:val="none" w:sz="0" w:space="0" w:color="auto"/>
                            <w:left w:val="none" w:sz="0" w:space="0" w:color="auto"/>
                            <w:bottom w:val="none" w:sz="0" w:space="0" w:color="auto"/>
                            <w:right w:val="none" w:sz="0" w:space="0" w:color="auto"/>
                          </w:divBdr>
                        </w:div>
                      </w:divsChild>
                    </w:div>
                    <w:div w:id="294146292">
                      <w:marLeft w:val="0"/>
                      <w:marRight w:val="0"/>
                      <w:marTop w:val="0"/>
                      <w:marBottom w:val="0"/>
                      <w:divBdr>
                        <w:top w:val="none" w:sz="0" w:space="0" w:color="auto"/>
                        <w:left w:val="none" w:sz="0" w:space="0" w:color="auto"/>
                        <w:bottom w:val="none" w:sz="0" w:space="0" w:color="auto"/>
                        <w:right w:val="none" w:sz="0" w:space="0" w:color="auto"/>
                      </w:divBdr>
                      <w:divsChild>
                        <w:div w:id="294143939">
                          <w:marLeft w:val="0"/>
                          <w:marRight w:val="0"/>
                          <w:marTop w:val="0"/>
                          <w:marBottom w:val="0"/>
                          <w:divBdr>
                            <w:top w:val="none" w:sz="0" w:space="0" w:color="auto"/>
                            <w:left w:val="none" w:sz="0" w:space="0" w:color="auto"/>
                            <w:bottom w:val="none" w:sz="0" w:space="0" w:color="auto"/>
                            <w:right w:val="none" w:sz="0" w:space="0" w:color="auto"/>
                          </w:divBdr>
                        </w:div>
                      </w:divsChild>
                    </w:div>
                    <w:div w:id="294146383">
                      <w:marLeft w:val="0"/>
                      <w:marRight w:val="0"/>
                      <w:marTop w:val="0"/>
                      <w:marBottom w:val="0"/>
                      <w:divBdr>
                        <w:top w:val="none" w:sz="0" w:space="0" w:color="auto"/>
                        <w:left w:val="none" w:sz="0" w:space="0" w:color="auto"/>
                        <w:bottom w:val="none" w:sz="0" w:space="0" w:color="auto"/>
                        <w:right w:val="none" w:sz="0" w:space="0" w:color="auto"/>
                      </w:divBdr>
                      <w:divsChild>
                        <w:div w:id="294139170">
                          <w:marLeft w:val="0"/>
                          <w:marRight w:val="0"/>
                          <w:marTop w:val="0"/>
                          <w:marBottom w:val="0"/>
                          <w:divBdr>
                            <w:top w:val="none" w:sz="0" w:space="0" w:color="auto"/>
                            <w:left w:val="none" w:sz="0" w:space="0" w:color="auto"/>
                            <w:bottom w:val="none" w:sz="0" w:space="0" w:color="auto"/>
                            <w:right w:val="none" w:sz="0" w:space="0" w:color="auto"/>
                          </w:divBdr>
                        </w:div>
                      </w:divsChild>
                    </w:div>
                    <w:div w:id="294146409">
                      <w:marLeft w:val="0"/>
                      <w:marRight w:val="0"/>
                      <w:marTop w:val="0"/>
                      <w:marBottom w:val="0"/>
                      <w:divBdr>
                        <w:top w:val="none" w:sz="0" w:space="0" w:color="auto"/>
                        <w:left w:val="none" w:sz="0" w:space="0" w:color="auto"/>
                        <w:bottom w:val="none" w:sz="0" w:space="0" w:color="auto"/>
                        <w:right w:val="none" w:sz="0" w:space="0" w:color="auto"/>
                      </w:divBdr>
                      <w:divsChild>
                        <w:div w:id="294146759">
                          <w:marLeft w:val="0"/>
                          <w:marRight w:val="0"/>
                          <w:marTop w:val="0"/>
                          <w:marBottom w:val="0"/>
                          <w:divBdr>
                            <w:top w:val="none" w:sz="0" w:space="0" w:color="auto"/>
                            <w:left w:val="none" w:sz="0" w:space="0" w:color="auto"/>
                            <w:bottom w:val="none" w:sz="0" w:space="0" w:color="auto"/>
                            <w:right w:val="none" w:sz="0" w:space="0" w:color="auto"/>
                          </w:divBdr>
                        </w:div>
                      </w:divsChild>
                    </w:div>
                    <w:div w:id="294146412">
                      <w:marLeft w:val="0"/>
                      <w:marRight w:val="0"/>
                      <w:marTop w:val="0"/>
                      <w:marBottom w:val="0"/>
                      <w:divBdr>
                        <w:top w:val="none" w:sz="0" w:space="0" w:color="auto"/>
                        <w:left w:val="none" w:sz="0" w:space="0" w:color="auto"/>
                        <w:bottom w:val="none" w:sz="0" w:space="0" w:color="auto"/>
                        <w:right w:val="none" w:sz="0" w:space="0" w:color="auto"/>
                      </w:divBdr>
                    </w:div>
                    <w:div w:id="294146463">
                      <w:marLeft w:val="0"/>
                      <w:marRight w:val="0"/>
                      <w:marTop w:val="0"/>
                      <w:marBottom w:val="0"/>
                      <w:divBdr>
                        <w:top w:val="none" w:sz="0" w:space="0" w:color="auto"/>
                        <w:left w:val="none" w:sz="0" w:space="0" w:color="auto"/>
                        <w:bottom w:val="none" w:sz="0" w:space="0" w:color="auto"/>
                        <w:right w:val="none" w:sz="0" w:space="0" w:color="auto"/>
                      </w:divBdr>
                      <w:divsChild>
                        <w:div w:id="294145754">
                          <w:marLeft w:val="0"/>
                          <w:marRight w:val="0"/>
                          <w:marTop w:val="0"/>
                          <w:marBottom w:val="0"/>
                          <w:divBdr>
                            <w:top w:val="none" w:sz="0" w:space="0" w:color="auto"/>
                            <w:left w:val="none" w:sz="0" w:space="0" w:color="auto"/>
                            <w:bottom w:val="none" w:sz="0" w:space="0" w:color="auto"/>
                            <w:right w:val="none" w:sz="0" w:space="0" w:color="auto"/>
                          </w:divBdr>
                        </w:div>
                      </w:divsChild>
                    </w:div>
                    <w:div w:id="294146486">
                      <w:marLeft w:val="0"/>
                      <w:marRight w:val="0"/>
                      <w:marTop w:val="0"/>
                      <w:marBottom w:val="0"/>
                      <w:divBdr>
                        <w:top w:val="none" w:sz="0" w:space="0" w:color="auto"/>
                        <w:left w:val="none" w:sz="0" w:space="0" w:color="auto"/>
                        <w:bottom w:val="none" w:sz="0" w:space="0" w:color="auto"/>
                        <w:right w:val="none" w:sz="0" w:space="0" w:color="auto"/>
                      </w:divBdr>
                    </w:div>
                    <w:div w:id="294146513">
                      <w:marLeft w:val="0"/>
                      <w:marRight w:val="0"/>
                      <w:marTop w:val="0"/>
                      <w:marBottom w:val="0"/>
                      <w:divBdr>
                        <w:top w:val="none" w:sz="0" w:space="0" w:color="auto"/>
                        <w:left w:val="none" w:sz="0" w:space="0" w:color="auto"/>
                        <w:bottom w:val="none" w:sz="0" w:space="0" w:color="auto"/>
                        <w:right w:val="none" w:sz="0" w:space="0" w:color="auto"/>
                      </w:divBdr>
                    </w:div>
                    <w:div w:id="294146537">
                      <w:marLeft w:val="0"/>
                      <w:marRight w:val="0"/>
                      <w:marTop w:val="0"/>
                      <w:marBottom w:val="0"/>
                      <w:divBdr>
                        <w:top w:val="none" w:sz="0" w:space="0" w:color="auto"/>
                        <w:left w:val="none" w:sz="0" w:space="0" w:color="auto"/>
                        <w:bottom w:val="none" w:sz="0" w:space="0" w:color="auto"/>
                        <w:right w:val="none" w:sz="0" w:space="0" w:color="auto"/>
                      </w:divBdr>
                    </w:div>
                    <w:div w:id="294146613">
                      <w:marLeft w:val="0"/>
                      <w:marRight w:val="0"/>
                      <w:marTop w:val="0"/>
                      <w:marBottom w:val="0"/>
                      <w:divBdr>
                        <w:top w:val="none" w:sz="0" w:space="0" w:color="auto"/>
                        <w:left w:val="none" w:sz="0" w:space="0" w:color="auto"/>
                        <w:bottom w:val="none" w:sz="0" w:space="0" w:color="auto"/>
                        <w:right w:val="none" w:sz="0" w:space="0" w:color="auto"/>
                      </w:divBdr>
                    </w:div>
                    <w:div w:id="294146637">
                      <w:marLeft w:val="0"/>
                      <w:marRight w:val="0"/>
                      <w:marTop w:val="0"/>
                      <w:marBottom w:val="0"/>
                      <w:divBdr>
                        <w:top w:val="none" w:sz="0" w:space="0" w:color="auto"/>
                        <w:left w:val="none" w:sz="0" w:space="0" w:color="auto"/>
                        <w:bottom w:val="none" w:sz="0" w:space="0" w:color="auto"/>
                        <w:right w:val="none" w:sz="0" w:space="0" w:color="auto"/>
                      </w:divBdr>
                      <w:divsChild>
                        <w:div w:id="294143892">
                          <w:marLeft w:val="0"/>
                          <w:marRight w:val="0"/>
                          <w:marTop w:val="0"/>
                          <w:marBottom w:val="0"/>
                          <w:divBdr>
                            <w:top w:val="none" w:sz="0" w:space="0" w:color="auto"/>
                            <w:left w:val="none" w:sz="0" w:space="0" w:color="auto"/>
                            <w:bottom w:val="none" w:sz="0" w:space="0" w:color="auto"/>
                            <w:right w:val="none" w:sz="0" w:space="0" w:color="auto"/>
                          </w:divBdr>
                        </w:div>
                      </w:divsChild>
                    </w:div>
                    <w:div w:id="294146688">
                      <w:marLeft w:val="0"/>
                      <w:marRight w:val="0"/>
                      <w:marTop w:val="0"/>
                      <w:marBottom w:val="0"/>
                      <w:divBdr>
                        <w:top w:val="none" w:sz="0" w:space="0" w:color="auto"/>
                        <w:left w:val="none" w:sz="0" w:space="0" w:color="auto"/>
                        <w:bottom w:val="none" w:sz="0" w:space="0" w:color="auto"/>
                        <w:right w:val="none" w:sz="0" w:space="0" w:color="auto"/>
                      </w:divBdr>
                    </w:div>
                    <w:div w:id="294146691">
                      <w:marLeft w:val="0"/>
                      <w:marRight w:val="0"/>
                      <w:marTop w:val="0"/>
                      <w:marBottom w:val="0"/>
                      <w:divBdr>
                        <w:top w:val="none" w:sz="0" w:space="0" w:color="auto"/>
                        <w:left w:val="none" w:sz="0" w:space="0" w:color="auto"/>
                        <w:bottom w:val="none" w:sz="0" w:space="0" w:color="auto"/>
                        <w:right w:val="none" w:sz="0" w:space="0" w:color="auto"/>
                      </w:divBdr>
                      <w:divsChild>
                        <w:div w:id="294153288">
                          <w:marLeft w:val="0"/>
                          <w:marRight w:val="0"/>
                          <w:marTop w:val="0"/>
                          <w:marBottom w:val="0"/>
                          <w:divBdr>
                            <w:top w:val="none" w:sz="0" w:space="0" w:color="auto"/>
                            <w:left w:val="none" w:sz="0" w:space="0" w:color="auto"/>
                            <w:bottom w:val="none" w:sz="0" w:space="0" w:color="auto"/>
                            <w:right w:val="none" w:sz="0" w:space="0" w:color="auto"/>
                          </w:divBdr>
                        </w:div>
                      </w:divsChild>
                    </w:div>
                    <w:div w:id="294146839">
                      <w:marLeft w:val="0"/>
                      <w:marRight w:val="0"/>
                      <w:marTop w:val="0"/>
                      <w:marBottom w:val="0"/>
                      <w:divBdr>
                        <w:top w:val="none" w:sz="0" w:space="0" w:color="auto"/>
                        <w:left w:val="none" w:sz="0" w:space="0" w:color="auto"/>
                        <w:bottom w:val="none" w:sz="0" w:space="0" w:color="auto"/>
                        <w:right w:val="none" w:sz="0" w:space="0" w:color="auto"/>
                      </w:divBdr>
                    </w:div>
                    <w:div w:id="294146898">
                      <w:marLeft w:val="0"/>
                      <w:marRight w:val="0"/>
                      <w:marTop w:val="0"/>
                      <w:marBottom w:val="0"/>
                      <w:divBdr>
                        <w:top w:val="none" w:sz="0" w:space="0" w:color="auto"/>
                        <w:left w:val="none" w:sz="0" w:space="0" w:color="auto"/>
                        <w:bottom w:val="none" w:sz="0" w:space="0" w:color="auto"/>
                        <w:right w:val="none" w:sz="0" w:space="0" w:color="auto"/>
                      </w:divBdr>
                    </w:div>
                    <w:div w:id="294147030">
                      <w:marLeft w:val="0"/>
                      <w:marRight w:val="0"/>
                      <w:marTop w:val="0"/>
                      <w:marBottom w:val="0"/>
                      <w:divBdr>
                        <w:top w:val="none" w:sz="0" w:space="0" w:color="auto"/>
                        <w:left w:val="none" w:sz="0" w:space="0" w:color="auto"/>
                        <w:bottom w:val="none" w:sz="0" w:space="0" w:color="auto"/>
                        <w:right w:val="none" w:sz="0" w:space="0" w:color="auto"/>
                      </w:divBdr>
                    </w:div>
                    <w:div w:id="294147086">
                      <w:marLeft w:val="0"/>
                      <w:marRight w:val="0"/>
                      <w:marTop w:val="0"/>
                      <w:marBottom w:val="0"/>
                      <w:divBdr>
                        <w:top w:val="none" w:sz="0" w:space="0" w:color="auto"/>
                        <w:left w:val="none" w:sz="0" w:space="0" w:color="auto"/>
                        <w:bottom w:val="none" w:sz="0" w:space="0" w:color="auto"/>
                        <w:right w:val="none" w:sz="0" w:space="0" w:color="auto"/>
                      </w:divBdr>
                      <w:divsChild>
                        <w:div w:id="294151033">
                          <w:marLeft w:val="0"/>
                          <w:marRight w:val="0"/>
                          <w:marTop w:val="0"/>
                          <w:marBottom w:val="0"/>
                          <w:divBdr>
                            <w:top w:val="none" w:sz="0" w:space="0" w:color="auto"/>
                            <w:left w:val="none" w:sz="0" w:space="0" w:color="auto"/>
                            <w:bottom w:val="none" w:sz="0" w:space="0" w:color="auto"/>
                            <w:right w:val="none" w:sz="0" w:space="0" w:color="auto"/>
                          </w:divBdr>
                        </w:div>
                      </w:divsChild>
                    </w:div>
                    <w:div w:id="294147101">
                      <w:marLeft w:val="0"/>
                      <w:marRight w:val="0"/>
                      <w:marTop w:val="0"/>
                      <w:marBottom w:val="0"/>
                      <w:divBdr>
                        <w:top w:val="none" w:sz="0" w:space="0" w:color="auto"/>
                        <w:left w:val="none" w:sz="0" w:space="0" w:color="auto"/>
                        <w:bottom w:val="none" w:sz="0" w:space="0" w:color="auto"/>
                        <w:right w:val="none" w:sz="0" w:space="0" w:color="auto"/>
                      </w:divBdr>
                      <w:divsChild>
                        <w:div w:id="294140837">
                          <w:marLeft w:val="0"/>
                          <w:marRight w:val="0"/>
                          <w:marTop w:val="0"/>
                          <w:marBottom w:val="0"/>
                          <w:divBdr>
                            <w:top w:val="none" w:sz="0" w:space="0" w:color="auto"/>
                            <w:left w:val="none" w:sz="0" w:space="0" w:color="auto"/>
                            <w:bottom w:val="none" w:sz="0" w:space="0" w:color="auto"/>
                            <w:right w:val="none" w:sz="0" w:space="0" w:color="auto"/>
                          </w:divBdr>
                        </w:div>
                      </w:divsChild>
                    </w:div>
                    <w:div w:id="294147224">
                      <w:marLeft w:val="0"/>
                      <w:marRight w:val="0"/>
                      <w:marTop w:val="0"/>
                      <w:marBottom w:val="0"/>
                      <w:divBdr>
                        <w:top w:val="none" w:sz="0" w:space="0" w:color="auto"/>
                        <w:left w:val="none" w:sz="0" w:space="0" w:color="auto"/>
                        <w:bottom w:val="none" w:sz="0" w:space="0" w:color="auto"/>
                        <w:right w:val="none" w:sz="0" w:space="0" w:color="auto"/>
                      </w:divBdr>
                    </w:div>
                    <w:div w:id="294147298">
                      <w:marLeft w:val="0"/>
                      <w:marRight w:val="0"/>
                      <w:marTop w:val="0"/>
                      <w:marBottom w:val="0"/>
                      <w:divBdr>
                        <w:top w:val="none" w:sz="0" w:space="0" w:color="auto"/>
                        <w:left w:val="none" w:sz="0" w:space="0" w:color="auto"/>
                        <w:bottom w:val="none" w:sz="0" w:space="0" w:color="auto"/>
                        <w:right w:val="none" w:sz="0" w:space="0" w:color="auto"/>
                      </w:divBdr>
                    </w:div>
                    <w:div w:id="294147325">
                      <w:marLeft w:val="0"/>
                      <w:marRight w:val="0"/>
                      <w:marTop w:val="0"/>
                      <w:marBottom w:val="0"/>
                      <w:divBdr>
                        <w:top w:val="none" w:sz="0" w:space="0" w:color="auto"/>
                        <w:left w:val="none" w:sz="0" w:space="0" w:color="auto"/>
                        <w:bottom w:val="none" w:sz="0" w:space="0" w:color="auto"/>
                        <w:right w:val="none" w:sz="0" w:space="0" w:color="auto"/>
                      </w:divBdr>
                    </w:div>
                    <w:div w:id="294147432">
                      <w:marLeft w:val="0"/>
                      <w:marRight w:val="0"/>
                      <w:marTop w:val="0"/>
                      <w:marBottom w:val="0"/>
                      <w:divBdr>
                        <w:top w:val="none" w:sz="0" w:space="0" w:color="auto"/>
                        <w:left w:val="none" w:sz="0" w:space="0" w:color="auto"/>
                        <w:bottom w:val="none" w:sz="0" w:space="0" w:color="auto"/>
                        <w:right w:val="none" w:sz="0" w:space="0" w:color="auto"/>
                      </w:divBdr>
                    </w:div>
                    <w:div w:id="294147460">
                      <w:marLeft w:val="0"/>
                      <w:marRight w:val="0"/>
                      <w:marTop w:val="0"/>
                      <w:marBottom w:val="0"/>
                      <w:divBdr>
                        <w:top w:val="none" w:sz="0" w:space="0" w:color="auto"/>
                        <w:left w:val="none" w:sz="0" w:space="0" w:color="auto"/>
                        <w:bottom w:val="none" w:sz="0" w:space="0" w:color="auto"/>
                        <w:right w:val="none" w:sz="0" w:space="0" w:color="auto"/>
                      </w:divBdr>
                      <w:divsChild>
                        <w:div w:id="294153835">
                          <w:marLeft w:val="0"/>
                          <w:marRight w:val="0"/>
                          <w:marTop w:val="0"/>
                          <w:marBottom w:val="0"/>
                          <w:divBdr>
                            <w:top w:val="none" w:sz="0" w:space="0" w:color="auto"/>
                            <w:left w:val="none" w:sz="0" w:space="0" w:color="auto"/>
                            <w:bottom w:val="none" w:sz="0" w:space="0" w:color="auto"/>
                            <w:right w:val="none" w:sz="0" w:space="0" w:color="auto"/>
                          </w:divBdr>
                        </w:div>
                      </w:divsChild>
                    </w:div>
                    <w:div w:id="294147493">
                      <w:marLeft w:val="0"/>
                      <w:marRight w:val="0"/>
                      <w:marTop w:val="0"/>
                      <w:marBottom w:val="0"/>
                      <w:divBdr>
                        <w:top w:val="none" w:sz="0" w:space="0" w:color="auto"/>
                        <w:left w:val="none" w:sz="0" w:space="0" w:color="auto"/>
                        <w:bottom w:val="none" w:sz="0" w:space="0" w:color="auto"/>
                        <w:right w:val="none" w:sz="0" w:space="0" w:color="auto"/>
                      </w:divBdr>
                    </w:div>
                    <w:div w:id="294147518">
                      <w:marLeft w:val="0"/>
                      <w:marRight w:val="0"/>
                      <w:marTop w:val="0"/>
                      <w:marBottom w:val="0"/>
                      <w:divBdr>
                        <w:top w:val="none" w:sz="0" w:space="0" w:color="auto"/>
                        <w:left w:val="none" w:sz="0" w:space="0" w:color="auto"/>
                        <w:bottom w:val="none" w:sz="0" w:space="0" w:color="auto"/>
                        <w:right w:val="none" w:sz="0" w:space="0" w:color="auto"/>
                      </w:divBdr>
                      <w:divsChild>
                        <w:div w:id="294148237">
                          <w:marLeft w:val="0"/>
                          <w:marRight w:val="0"/>
                          <w:marTop w:val="0"/>
                          <w:marBottom w:val="0"/>
                          <w:divBdr>
                            <w:top w:val="none" w:sz="0" w:space="0" w:color="auto"/>
                            <w:left w:val="none" w:sz="0" w:space="0" w:color="auto"/>
                            <w:bottom w:val="none" w:sz="0" w:space="0" w:color="auto"/>
                            <w:right w:val="none" w:sz="0" w:space="0" w:color="auto"/>
                          </w:divBdr>
                        </w:div>
                      </w:divsChild>
                    </w:div>
                    <w:div w:id="294147545">
                      <w:marLeft w:val="0"/>
                      <w:marRight w:val="0"/>
                      <w:marTop w:val="0"/>
                      <w:marBottom w:val="0"/>
                      <w:divBdr>
                        <w:top w:val="none" w:sz="0" w:space="0" w:color="auto"/>
                        <w:left w:val="none" w:sz="0" w:space="0" w:color="auto"/>
                        <w:bottom w:val="none" w:sz="0" w:space="0" w:color="auto"/>
                        <w:right w:val="none" w:sz="0" w:space="0" w:color="auto"/>
                      </w:divBdr>
                    </w:div>
                    <w:div w:id="294147707">
                      <w:marLeft w:val="0"/>
                      <w:marRight w:val="0"/>
                      <w:marTop w:val="0"/>
                      <w:marBottom w:val="0"/>
                      <w:divBdr>
                        <w:top w:val="none" w:sz="0" w:space="0" w:color="auto"/>
                        <w:left w:val="none" w:sz="0" w:space="0" w:color="auto"/>
                        <w:bottom w:val="none" w:sz="0" w:space="0" w:color="auto"/>
                        <w:right w:val="none" w:sz="0" w:space="0" w:color="auto"/>
                      </w:divBdr>
                      <w:divsChild>
                        <w:div w:id="294144168">
                          <w:marLeft w:val="0"/>
                          <w:marRight w:val="0"/>
                          <w:marTop w:val="0"/>
                          <w:marBottom w:val="0"/>
                          <w:divBdr>
                            <w:top w:val="none" w:sz="0" w:space="0" w:color="auto"/>
                            <w:left w:val="none" w:sz="0" w:space="0" w:color="auto"/>
                            <w:bottom w:val="none" w:sz="0" w:space="0" w:color="auto"/>
                            <w:right w:val="none" w:sz="0" w:space="0" w:color="auto"/>
                          </w:divBdr>
                        </w:div>
                      </w:divsChild>
                    </w:div>
                    <w:div w:id="294147871">
                      <w:marLeft w:val="0"/>
                      <w:marRight w:val="0"/>
                      <w:marTop w:val="0"/>
                      <w:marBottom w:val="0"/>
                      <w:divBdr>
                        <w:top w:val="none" w:sz="0" w:space="0" w:color="auto"/>
                        <w:left w:val="none" w:sz="0" w:space="0" w:color="auto"/>
                        <w:bottom w:val="none" w:sz="0" w:space="0" w:color="auto"/>
                        <w:right w:val="none" w:sz="0" w:space="0" w:color="auto"/>
                      </w:divBdr>
                    </w:div>
                    <w:div w:id="294147933">
                      <w:marLeft w:val="0"/>
                      <w:marRight w:val="0"/>
                      <w:marTop w:val="0"/>
                      <w:marBottom w:val="0"/>
                      <w:divBdr>
                        <w:top w:val="none" w:sz="0" w:space="0" w:color="auto"/>
                        <w:left w:val="none" w:sz="0" w:space="0" w:color="auto"/>
                        <w:bottom w:val="none" w:sz="0" w:space="0" w:color="auto"/>
                        <w:right w:val="none" w:sz="0" w:space="0" w:color="auto"/>
                      </w:divBdr>
                    </w:div>
                    <w:div w:id="294147946">
                      <w:marLeft w:val="0"/>
                      <w:marRight w:val="0"/>
                      <w:marTop w:val="0"/>
                      <w:marBottom w:val="0"/>
                      <w:divBdr>
                        <w:top w:val="none" w:sz="0" w:space="0" w:color="auto"/>
                        <w:left w:val="none" w:sz="0" w:space="0" w:color="auto"/>
                        <w:bottom w:val="none" w:sz="0" w:space="0" w:color="auto"/>
                        <w:right w:val="none" w:sz="0" w:space="0" w:color="auto"/>
                      </w:divBdr>
                      <w:divsChild>
                        <w:div w:id="294155273">
                          <w:marLeft w:val="0"/>
                          <w:marRight w:val="0"/>
                          <w:marTop w:val="0"/>
                          <w:marBottom w:val="0"/>
                          <w:divBdr>
                            <w:top w:val="none" w:sz="0" w:space="0" w:color="auto"/>
                            <w:left w:val="none" w:sz="0" w:space="0" w:color="auto"/>
                            <w:bottom w:val="none" w:sz="0" w:space="0" w:color="auto"/>
                            <w:right w:val="none" w:sz="0" w:space="0" w:color="auto"/>
                          </w:divBdr>
                        </w:div>
                      </w:divsChild>
                    </w:div>
                    <w:div w:id="294147991">
                      <w:marLeft w:val="0"/>
                      <w:marRight w:val="0"/>
                      <w:marTop w:val="0"/>
                      <w:marBottom w:val="0"/>
                      <w:divBdr>
                        <w:top w:val="none" w:sz="0" w:space="0" w:color="auto"/>
                        <w:left w:val="none" w:sz="0" w:space="0" w:color="auto"/>
                        <w:bottom w:val="none" w:sz="0" w:space="0" w:color="auto"/>
                        <w:right w:val="none" w:sz="0" w:space="0" w:color="auto"/>
                      </w:divBdr>
                    </w:div>
                    <w:div w:id="294148027">
                      <w:marLeft w:val="0"/>
                      <w:marRight w:val="0"/>
                      <w:marTop w:val="0"/>
                      <w:marBottom w:val="0"/>
                      <w:divBdr>
                        <w:top w:val="none" w:sz="0" w:space="0" w:color="auto"/>
                        <w:left w:val="none" w:sz="0" w:space="0" w:color="auto"/>
                        <w:bottom w:val="none" w:sz="0" w:space="0" w:color="auto"/>
                        <w:right w:val="none" w:sz="0" w:space="0" w:color="auto"/>
                      </w:divBdr>
                      <w:divsChild>
                        <w:div w:id="294151440">
                          <w:marLeft w:val="0"/>
                          <w:marRight w:val="0"/>
                          <w:marTop w:val="0"/>
                          <w:marBottom w:val="0"/>
                          <w:divBdr>
                            <w:top w:val="none" w:sz="0" w:space="0" w:color="auto"/>
                            <w:left w:val="none" w:sz="0" w:space="0" w:color="auto"/>
                            <w:bottom w:val="none" w:sz="0" w:space="0" w:color="auto"/>
                            <w:right w:val="none" w:sz="0" w:space="0" w:color="auto"/>
                          </w:divBdr>
                        </w:div>
                      </w:divsChild>
                    </w:div>
                    <w:div w:id="294148064">
                      <w:marLeft w:val="0"/>
                      <w:marRight w:val="0"/>
                      <w:marTop w:val="0"/>
                      <w:marBottom w:val="0"/>
                      <w:divBdr>
                        <w:top w:val="none" w:sz="0" w:space="0" w:color="auto"/>
                        <w:left w:val="none" w:sz="0" w:space="0" w:color="auto"/>
                        <w:bottom w:val="none" w:sz="0" w:space="0" w:color="auto"/>
                        <w:right w:val="none" w:sz="0" w:space="0" w:color="auto"/>
                      </w:divBdr>
                      <w:divsChild>
                        <w:div w:id="294144178">
                          <w:marLeft w:val="0"/>
                          <w:marRight w:val="0"/>
                          <w:marTop w:val="0"/>
                          <w:marBottom w:val="0"/>
                          <w:divBdr>
                            <w:top w:val="none" w:sz="0" w:space="0" w:color="auto"/>
                            <w:left w:val="none" w:sz="0" w:space="0" w:color="auto"/>
                            <w:bottom w:val="none" w:sz="0" w:space="0" w:color="auto"/>
                            <w:right w:val="none" w:sz="0" w:space="0" w:color="auto"/>
                          </w:divBdr>
                        </w:div>
                      </w:divsChild>
                    </w:div>
                    <w:div w:id="294148103">
                      <w:marLeft w:val="0"/>
                      <w:marRight w:val="0"/>
                      <w:marTop w:val="0"/>
                      <w:marBottom w:val="0"/>
                      <w:divBdr>
                        <w:top w:val="none" w:sz="0" w:space="0" w:color="auto"/>
                        <w:left w:val="none" w:sz="0" w:space="0" w:color="auto"/>
                        <w:bottom w:val="none" w:sz="0" w:space="0" w:color="auto"/>
                        <w:right w:val="none" w:sz="0" w:space="0" w:color="auto"/>
                      </w:divBdr>
                      <w:divsChild>
                        <w:div w:id="294141918">
                          <w:marLeft w:val="0"/>
                          <w:marRight w:val="0"/>
                          <w:marTop w:val="0"/>
                          <w:marBottom w:val="0"/>
                          <w:divBdr>
                            <w:top w:val="none" w:sz="0" w:space="0" w:color="auto"/>
                            <w:left w:val="none" w:sz="0" w:space="0" w:color="auto"/>
                            <w:bottom w:val="none" w:sz="0" w:space="0" w:color="auto"/>
                            <w:right w:val="none" w:sz="0" w:space="0" w:color="auto"/>
                          </w:divBdr>
                        </w:div>
                      </w:divsChild>
                    </w:div>
                    <w:div w:id="294148133">
                      <w:marLeft w:val="0"/>
                      <w:marRight w:val="0"/>
                      <w:marTop w:val="0"/>
                      <w:marBottom w:val="0"/>
                      <w:divBdr>
                        <w:top w:val="none" w:sz="0" w:space="0" w:color="auto"/>
                        <w:left w:val="none" w:sz="0" w:space="0" w:color="auto"/>
                        <w:bottom w:val="none" w:sz="0" w:space="0" w:color="auto"/>
                        <w:right w:val="none" w:sz="0" w:space="0" w:color="auto"/>
                      </w:divBdr>
                      <w:divsChild>
                        <w:div w:id="294155206">
                          <w:marLeft w:val="0"/>
                          <w:marRight w:val="0"/>
                          <w:marTop w:val="0"/>
                          <w:marBottom w:val="0"/>
                          <w:divBdr>
                            <w:top w:val="none" w:sz="0" w:space="0" w:color="auto"/>
                            <w:left w:val="none" w:sz="0" w:space="0" w:color="auto"/>
                            <w:bottom w:val="none" w:sz="0" w:space="0" w:color="auto"/>
                            <w:right w:val="none" w:sz="0" w:space="0" w:color="auto"/>
                          </w:divBdr>
                        </w:div>
                      </w:divsChild>
                    </w:div>
                    <w:div w:id="294148211">
                      <w:marLeft w:val="0"/>
                      <w:marRight w:val="0"/>
                      <w:marTop w:val="0"/>
                      <w:marBottom w:val="0"/>
                      <w:divBdr>
                        <w:top w:val="none" w:sz="0" w:space="0" w:color="auto"/>
                        <w:left w:val="none" w:sz="0" w:space="0" w:color="auto"/>
                        <w:bottom w:val="none" w:sz="0" w:space="0" w:color="auto"/>
                        <w:right w:val="none" w:sz="0" w:space="0" w:color="auto"/>
                      </w:divBdr>
                      <w:divsChild>
                        <w:div w:id="294139614">
                          <w:marLeft w:val="0"/>
                          <w:marRight w:val="0"/>
                          <w:marTop w:val="0"/>
                          <w:marBottom w:val="0"/>
                          <w:divBdr>
                            <w:top w:val="none" w:sz="0" w:space="0" w:color="auto"/>
                            <w:left w:val="none" w:sz="0" w:space="0" w:color="auto"/>
                            <w:bottom w:val="none" w:sz="0" w:space="0" w:color="auto"/>
                            <w:right w:val="none" w:sz="0" w:space="0" w:color="auto"/>
                          </w:divBdr>
                        </w:div>
                      </w:divsChild>
                    </w:div>
                    <w:div w:id="294148229">
                      <w:marLeft w:val="0"/>
                      <w:marRight w:val="0"/>
                      <w:marTop w:val="0"/>
                      <w:marBottom w:val="0"/>
                      <w:divBdr>
                        <w:top w:val="none" w:sz="0" w:space="0" w:color="auto"/>
                        <w:left w:val="none" w:sz="0" w:space="0" w:color="auto"/>
                        <w:bottom w:val="none" w:sz="0" w:space="0" w:color="auto"/>
                        <w:right w:val="none" w:sz="0" w:space="0" w:color="auto"/>
                      </w:divBdr>
                    </w:div>
                    <w:div w:id="294148279">
                      <w:marLeft w:val="0"/>
                      <w:marRight w:val="0"/>
                      <w:marTop w:val="0"/>
                      <w:marBottom w:val="0"/>
                      <w:divBdr>
                        <w:top w:val="none" w:sz="0" w:space="0" w:color="auto"/>
                        <w:left w:val="none" w:sz="0" w:space="0" w:color="auto"/>
                        <w:bottom w:val="none" w:sz="0" w:space="0" w:color="auto"/>
                        <w:right w:val="none" w:sz="0" w:space="0" w:color="auto"/>
                      </w:divBdr>
                      <w:divsChild>
                        <w:div w:id="294156381">
                          <w:marLeft w:val="0"/>
                          <w:marRight w:val="0"/>
                          <w:marTop w:val="0"/>
                          <w:marBottom w:val="0"/>
                          <w:divBdr>
                            <w:top w:val="none" w:sz="0" w:space="0" w:color="auto"/>
                            <w:left w:val="none" w:sz="0" w:space="0" w:color="auto"/>
                            <w:bottom w:val="none" w:sz="0" w:space="0" w:color="auto"/>
                            <w:right w:val="none" w:sz="0" w:space="0" w:color="auto"/>
                          </w:divBdr>
                        </w:div>
                      </w:divsChild>
                    </w:div>
                    <w:div w:id="294148454">
                      <w:marLeft w:val="0"/>
                      <w:marRight w:val="0"/>
                      <w:marTop w:val="0"/>
                      <w:marBottom w:val="0"/>
                      <w:divBdr>
                        <w:top w:val="none" w:sz="0" w:space="0" w:color="auto"/>
                        <w:left w:val="none" w:sz="0" w:space="0" w:color="auto"/>
                        <w:bottom w:val="none" w:sz="0" w:space="0" w:color="auto"/>
                        <w:right w:val="none" w:sz="0" w:space="0" w:color="auto"/>
                      </w:divBdr>
                      <w:divsChild>
                        <w:div w:id="294153070">
                          <w:marLeft w:val="0"/>
                          <w:marRight w:val="0"/>
                          <w:marTop w:val="0"/>
                          <w:marBottom w:val="0"/>
                          <w:divBdr>
                            <w:top w:val="none" w:sz="0" w:space="0" w:color="auto"/>
                            <w:left w:val="none" w:sz="0" w:space="0" w:color="auto"/>
                            <w:bottom w:val="none" w:sz="0" w:space="0" w:color="auto"/>
                            <w:right w:val="none" w:sz="0" w:space="0" w:color="auto"/>
                          </w:divBdr>
                        </w:div>
                      </w:divsChild>
                    </w:div>
                    <w:div w:id="294148468">
                      <w:marLeft w:val="0"/>
                      <w:marRight w:val="0"/>
                      <w:marTop w:val="0"/>
                      <w:marBottom w:val="0"/>
                      <w:divBdr>
                        <w:top w:val="none" w:sz="0" w:space="0" w:color="auto"/>
                        <w:left w:val="none" w:sz="0" w:space="0" w:color="auto"/>
                        <w:bottom w:val="none" w:sz="0" w:space="0" w:color="auto"/>
                        <w:right w:val="none" w:sz="0" w:space="0" w:color="auto"/>
                      </w:divBdr>
                    </w:div>
                    <w:div w:id="294148474">
                      <w:marLeft w:val="0"/>
                      <w:marRight w:val="0"/>
                      <w:marTop w:val="0"/>
                      <w:marBottom w:val="0"/>
                      <w:divBdr>
                        <w:top w:val="none" w:sz="0" w:space="0" w:color="auto"/>
                        <w:left w:val="none" w:sz="0" w:space="0" w:color="auto"/>
                        <w:bottom w:val="none" w:sz="0" w:space="0" w:color="auto"/>
                        <w:right w:val="none" w:sz="0" w:space="0" w:color="auto"/>
                      </w:divBdr>
                      <w:divsChild>
                        <w:div w:id="294153789">
                          <w:marLeft w:val="0"/>
                          <w:marRight w:val="0"/>
                          <w:marTop w:val="0"/>
                          <w:marBottom w:val="0"/>
                          <w:divBdr>
                            <w:top w:val="none" w:sz="0" w:space="0" w:color="auto"/>
                            <w:left w:val="none" w:sz="0" w:space="0" w:color="auto"/>
                            <w:bottom w:val="none" w:sz="0" w:space="0" w:color="auto"/>
                            <w:right w:val="none" w:sz="0" w:space="0" w:color="auto"/>
                          </w:divBdr>
                        </w:div>
                      </w:divsChild>
                    </w:div>
                    <w:div w:id="294148675">
                      <w:marLeft w:val="0"/>
                      <w:marRight w:val="0"/>
                      <w:marTop w:val="0"/>
                      <w:marBottom w:val="0"/>
                      <w:divBdr>
                        <w:top w:val="none" w:sz="0" w:space="0" w:color="auto"/>
                        <w:left w:val="none" w:sz="0" w:space="0" w:color="auto"/>
                        <w:bottom w:val="none" w:sz="0" w:space="0" w:color="auto"/>
                        <w:right w:val="none" w:sz="0" w:space="0" w:color="auto"/>
                      </w:divBdr>
                      <w:divsChild>
                        <w:div w:id="294155757">
                          <w:marLeft w:val="0"/>
                          <w:marRight w:val="0"/>
                          <w:marTop w:val="0"/>
                          <w:marBottom w:val="0"/>
                          <w:divBdr>
                            <w:top w:val="none" w:sz="0" w:space="0" w:color="auto"/>
                            <w:left w:val="none" w:sz="0" w:space="0" w:color="auto"/>
                            <w:bottom w:val="none" w:sz="0" w:space="0" w:color="auto"/>
                            <w:right w:val="none" w:sz="0" w:space="0" w:color="auto"/>
                          </w:divBdr>
                        </w:div>
                      </w:divsChild>
                    </w:div>
                    <w:div w:id="294148708">
                      <w:marLeft w:val="0"/>
                      <w:marRight w:val="0"/>
                      <w:marTop w:val="0"/>
                      <w:marBottom w:val="0"/>
                      <w:divBdr>
                        <w:top w:val="none" w:sz="0" w:space="0" w:color="auto"/>
                        <w:left w:val="none" w:sz="0" w:space="0" w:color="auto"/>
                        <w:bottom w:val="none" w:sz="0" w:space="0" w:color="auto"/>
                        <w:right w:val="none" w:sz="0" w:space="0" w:color="auto"/>
                      </w:divBdr>
                    </w:div>
                    <w:div w:id="294148720">
                      <w:marLeft w:val="0"/>
                      <w:marRight w:val="0"/>
                      <w:marTop w:val="0"/>
                      <w:marBottom w:val="0"/>
                      <w:divBdr>
                        <w:top w:val="none" w:sz="0" w:space="0" w:color="auto"/>
                        <w:left w:val="none" w:sz="0" w:space="0" w:color="auto"/>
                        <w:bottom w:val="none" w:sz="0" w:space="0" w:color="auto"/>
                        <w:right w:val="none" w:sz="0" w:space="0" w:color="auto"/>
                      </w:divBdr>
                    </w:div>
                    <w:div w:id="294148801">
                      <w:marLeft w:val="0"/>
                      <w:marRight w:val="0"/>
                      <w:marTop w:val="0"/>
                      <w:marBottom w:val="0"/>
                      <w:divBdr>
                        <w:top w:val="none" w:sz="0" w:space="0" w:color="auto"/>
                        <w:left w:val="none" w:sz="0" w:space="0" w:color="auto"/>
                        <w:bottom w:val="none" w:sz="0" w:space="0" w:color="auto"/>
                        <w:right w:val="none" w:sz="0" w:space="0" w:color="auto"/>
                      </w:divBdr>
                    </w:div>
                    <w:div w:id="294148808">
                      <w:marLeft w:val="0"/>
                      <w:marRight w:val="0"/>
                      <w:marTop w:val="0"/>
                      <w:marBottom w:val="0"/>
                      <w:divBdr>
                        <w:top w:val="none" w:sz="0" w:space="0" w:color="auto"/>
                        <w:left w:val="none" w:sz="0" w:space="0" w:color="auto"/>
                        <w:bottom w:val="none" w:sz="0" w:space="0" w:color="auto"/>
                        <w:right w:val="none" w:sz="0" w:space="0" w:color="auto"/>
                      </w:divBdr>
                      <w:divsChild>
                        <w:div w:id="294156597">
                          <w:marLeft w:val="0"/>
                          <w:marRight w:val="0"/>
                          <w:marTop w:val="0"/>
                          <w:marBottom w:val="0"/>
                          <w:divBdr>
                            <w:top w:val="none" w:sz="0" w:space="0" w:color="auto"/>
                            <w:left w:val="none" w:sz="0" w:space="0" w:color="auto"/>
                            <w:bottom w:val="none" w:sz="0" w:space="0" w:color="auto"/>
                            <w:right w:val="none" w:sz="0" w:space="0" w:color="auto"/>
                          </w:divBdr>
                        </w:div>
                      </w:divsChild>
                    </w:div>
                    <w:div w:id="294148873">
                      <w:marLeft w:val="0"/>
                      <w:marRight w:val="0"/>
                      <w:marTop w:val="0"/>
                      <w:marBottom w:val="0"/>
                      <w:divBdr>
                        <w:top w:val="none" w:sz="0" w:space="0" w:color="auto"/>
                        <w:left w:val="none" w:sz="0" w:space="0" w:color="auto"/>
                        <w:bottom w:val="none" w:sz="0" w:space="0" w:color="auto"/>
                        <w:right w:val="none" w:sz="0" w:space="0" w:color="auto"/>
                      </w:divBdr>
                      <w:divsChild>
                        <w:div w:id="294157401">
                          <w:marLeft w:val="0"/>
                          <w:marRight w:val="0"/>
                          <w:marTop w:val="0"/>
                          <w:marBottom w:val="0"/>
                          <w:divBdr>
                            <w:top w:val="none" w:sz="0" w:space="0" w:color="auto"/>
                            <w:left w:val="none" w:sz="0" w:space="0" w:color="auto"/>
                            <w:bottom w:val="none" w:sz="0" w:space="0" w:color="auto"/>
                            <w:right w:val="none" w:sz="0" w:space="0" w:color="auto"/>
                          </w:divBdr>
                        </w:div>
                      </w:divsChild>
                    </w:div>
                    <w:div w:id="294149247">
                      <w:marLeft w:val="0"/>
                      <w:marRight w:val="0"/>
                      <w:marTop w:val="0"/>
                      <w:marBottom w:val="0"/>
                      <w:divBdr>
                        <w:top w:val="none" w:sz="0" w:space="0" w:color="auto"/>
                        <w:left w:val="none" w:sz="0" w:space="0" w:color="auto"/>
                        <w:bottom w:val="none" w:sz="0" w:space="0" w:color="auto"/>
                        <w:right w:val="none" w:sz="0" w:space="0" w:color="auto"/>
                      </w:divBdr>
                      <w:divsChild>
                        <w:div w:id="294150259">
                          <w:marLeft w:val="0"/>
                          <w:marRight w:val="0"/>
                          <w:marTop w:val="0"/>
                          <w:marBottom w:val="0"/>
                          <w:divBdr>
                            <w:top w:val="none" w:sz="0" w:space="0" w:color="auto"/>
                            <w:left w:val="none" w:sz="0" w:space="0" w:color="auto"/>
                            <w:bottom w:val="none" w:sz="0" w:space="0" w:color="auto"/>
                            <w:right w:val="none" w:sz="0" w:space="0" w:color="auto"/>
                          </w:divBdr>
                        </w:div>
                      </w:divsChild>
                    </w:div>
                    <w:div w:id="294149268">
                      <w:marLeft w:val="0"/>
                      <w:marRight w:val="0"/>
                      <w:marTop w:val="0"/>
                      <w:marBottom w:val="0"/>
                      <w:divBdr>
                        <w:top w:val="none" w:sz="0" w:space="0" w:color="auto"/>
                        <w:left w:val="none" w:sz="0" w:space="0" w:color="auto"/>
                        <w:bottom w:val="none" w:sz="0" w:space="0" w:color="auto"/>
                        <w:right w:val="none" w:sz="0" w:space="0" w:color="auto"/>
                      </w:divBdr>
                      <w:divsChild>
                        <w:div w:id="294149701">
                          <w:marLeft w:val="0"/>
                          <w:marRight w:val="0"/>
                          <w:marTop w:val="0"/>
                          <w:marBottom w:val="0"/>
                          <w:divBdr>
                            <w:top w:val="none" w:sz="0" w:space="0" w:color="auto"/>
                            <w:left w:val="none" w:sz="0" w:space="0" w:color="auto"/>
                            <w:bottom w:val="none" w:sz="0" w:space="0" w:color="auto"/>
                            <w:right w:val="none" w:sz="0" w:space="0" w:color="auto"/>
                          </w:divBdr>
                        </w:div>
                      </w:divsChild>
                    </w:div>
                    <w:div w:id="294149338">
                      <w:marLeft w:val="0"/>
                      <w:marRight w:val="0"/>
                      <w:marTop w:val="0"/>
                      <w:marBottom w:val="0"/>
                      <w:divBdr>
                        <w:top w:val="none" w:sz="0" w:space="0" w:color="auto"/>
                        <w:left w:val="none" w:sz="0" w:space="0" w:color="auto"/>
                        <w:bottom w:val="none" w:sz="0" w:space="0" w:color="auto"/>
                        <w:right w:val="none" w:sz="0" w:space="0" w:color="auto"/>
                      </w:divBdr>
                      <w:divsChild>
                        <w:div w:id="294142213">
                          <w:marLeft w:val="0"/>
                          <w:marRight w:val="0"/>
                          <w:marTop w:val="0"/>
                          <w:marBottom w:val="0"/>
                          <w:divBdr>
                            <w:top w:val="none" w:sz="0" w:space="0" w:color="auto"/>
                            <w:left w:val="none" w:sz="0" w:space="0" w:color="auto"/>
                            <w:bottom w:val="none" w:sz="0" w:space="0" w:color="auto"/>
                            <w:right w:val="none" w:sz="0" w:space="0" w:color="auto"/>
                          </w:divBdr>
                        </w:div>
                      </w:divsChild>
                    </w:div>
                    <w:div w:id="294149358">
                      <w:marLeft w:val="0"/>
                      <w:marRight w:val="0"/>
                      <w:marTop w:val="0"/>
                      <w:marBottom w:val="0"/>
                      <w:divBdr>
                        <w:top w:val="none" w:sz="0" w:space="0" w:color="auto"/>
                        <w:left w:val="none" w:sz="0" w:space="0" w:color="auto"/>
                        <w:bottom w:val="none" w:sz="0" w:space="0" w:color="auto"/>
                        <w:right w:val="none" w:sz="0" w:space="0" w:color="auto"/>
                      </w:divBdr>
                      <w:divsChild>
                        <w:div w:id="294150064">
                          <w:marLeft w:val="0"/>
                          <w:marRight w:val="0"/>
                          <w:marTop w:val="0"/>
                          <w:marBottom w:val="0"/>
                          <w:divBdr>
                            <w:top w:val="none" w:sz="0" w:space="0" w:color="auto"/>
                            <w:left w:val="none" w:sz="0" w:space="0" w:color="auto"/>
                            <w:bottom w:val="none" w:sz="0" w:space="0" w:color="auto"/>
                            <w:right w:val="none" w:sz="0" w:space="0" w:color="auto"/>
                          </w:divBdr>
                        </w:div>
                      </w:divsChild>
                    </w:div>
                    <w:div w:id="294149413">
                      <w:marLeft w:val="0"/>
                      <w:marRight w:val="0"/>
                      <w:marTop w:val="0"/>
                      <w:marBottom w:val="0"/>
                      <w:divBdr>
                        <w:top w:val="none" w:sz="0" w:space="0" w:color="auto"/>
                        <w:left w:val="none" w:sz="0" w:space="0" w:color="auto"/>
                        <w:bottom w:val="none" w:sz="0" w:space="0" w:color="auto"/>
                        <w:right w:val="none" w:sz="0" w:space="0" w:color="auto"/>
                      </w:divBdr>
                    </w:div>
                    <w:div w:id="294149496">
                      <w:marLeft w:val="0"/>
                      <w:marRight w:val="0"/>
                      <w:marTop w:val="0"/>
                      <w:marBottom w:val="0"/>
                      <w:divBdr>
                        <w:top w:val="none" w:sz="0" w:space="0" w:color="auto"/>
                        <w:left w:val="none" w:sz="0" w:space="0" w:color="auto"/>
                        <w:bottom w:val="none" w:sz="0" w:space="0" w:color="auto"/>
                        <w:right w:val="none" w:sz="0" w:space="0" w:color="auto"/>
                      </w:divBdr>
                      <w:divsChild>
                        <w:div w:id="294153030">
                          <w:marLeft w:val="0"/>
                          <w:marRight w:val="0"/>
                          <w:marTop w:val="0"/>
                          <w:marBottom w:val="0"/>
                          <w:divBdr>
                            <w:top w:val="none" w:sz="0" w:space="0" w:color="auto"/>
                            <w:left w:val="none" w:sz="0" w:space="0" w:color="auto"/>
                            <w:bottom w:val="none" w:sz="0" w:space="0" w:color="auto"/>
                            <w:right w:val="none" w:sz="0" w:space="0" w:color="auto"/>
                          </w:divBdr>
                        </w:div>
                      </w:divsChild>
                    </w:div>
                    <w:div w:id="294149499">
                      <w:marLeft w:val="0"/>
                      <w:marRight w:val="0"/>
                      <w:marTop w:val="0"/>
                      <w:marBottom w:val="0"/>
                      <w:divBdr>
                        <w:top w:val="none" w:sz="0" w:space="0" w:color="auto"/>
                        <w:left w:val="none" w:sz="0" w:space="0" w:color="auto"/>
                        <w:bottom w:val="none" w:sz="0" w:space="0" w:color="auto"/>
                        <w:right w:val="none" w:sz="0" w:space="0" w:color="auto"/>
                      </w:divBdr>
                    </w:div>
                    <w:div w:id="294149540">
                      <w:marLeft w:val="0"/>
                      <w:marRight w:val="0"/>
                      <w:marTop w:val="0"/>
                      <w:marBottom w:val="0"/>
                      <w:divBdr>
                        <w:top w:val="none" w:sz="0" w:space="0" w:color="auto"/>
                        <w:left w:val="none" w:sz="0" w:space="0" w:color="auto"/>
                        <w:bottom w:val="none" w:sz="0" w:space="0" w:color="auto"/>
                        <w:right w:val="none" w:sz="0" w:space="0" w:color="auto"/>
                      </w:divBdr>
                    </w:div>
                    <w:div w:id="294149548">
                      <w:marLeft w:val="0"/>
                      <w:marRight w:val="0"/>
                      <w:marTop w:val="0"/>
                      <w:marBottom w:val="0"/>
                      <w:divBdr>
                        <w:top w:val="none" w:sz="0" w:space="0" w:color="auto"/>
                        <w:left w:val="none" w:sz="0" w:space="0" w:color="auto"/>
                        <w:bottom w:val="none" w:sz="0" w:space="0" w:color="auto"/>
                        <w:right w:val="none" w:sz="0" w:space="0" w:color="auto"/>
                      </w:divBdr>
                      <w:divsChild>
                        <w:div w:id="294156455">
                          <w:marLeft w:val="0"/>
                          <w:marRight w:val="0"/>
                          <w:marTop w:val="0"/>
                          <w:marBottom w:val="0"/>
                          <w:divBdr>
                            <w:top w:val="none" w:sz="0" w:space="0" w:color="auto"/>
                            <w:left w:val="none" w:sz="0" w:space="0" w:color="auto"/>
                            <w:bottom w:val="none" w:sz="0" w:space="0" w:color="auto"/>
                            <w:right w:val="none" w:sz="0" w:space="0" w:color="auto"/>
                          </w:divBdr>
                        </w:div>
                      </w:divsChild>
                    </w:div>
                    <w:div w:id="294149574">
                      <w:marLeft w:val="0"/>
                      <w:marRight w:val="0"/>
                      <w:marTop w:val="0"/>
                      <w:marBottom w:val="0"/>
                      <w:divBdr>
                        <w:top w:val="none" w:sz="0" w:space="0" w:color="auto"/>
                        <w:left w:val="none" w:sz="0" w:space="0" w:color="auto"/>
                        <w:bottom w:val="none" w:sz="0" w:space="0" w:color="auto"/>
                        <w:right w:val="none" w:sz="0" w:space="0" w:color="auto"/>
                      </w:divBdr>
                    </w:div>
                    <w:div w:id="294149617">
                      <w:marLeft w:val="0"/>
                      <w:marRight w:val="0"/>
                      <w:marTop w:val="0"/>
                      <w:marBottom w:val="0"/>
                      <w:divBdr>
                        <w:top w:val="none" w:sz="0" w:space="0" w:color="auto"/>
                        <w:left w:val="none" w:sz="0" w:space="0" w:color="auto"/>
                        <w:bottom w:val="none" w:sz="0" w:space="0" w:color="auto"/>
                        <w:right w:val="none" w:sz="0" w:space="0" w:color="auto"/>
                      </w:divBdr>
                      <w:divsChild>
                        <w:div w:id="294148614">
                          <w:marLeft w:val="0"/>
                          <w:marRight w:val="0"/>
                          <w:marTop w:val="0"/>
                          <w:marBottom w:val="0"/>
                          <w:divBdr>
                            <w:top w:val="none" w:sz="0" w:space="0" w:color="auto"/>
                            <w:left w:val="none" w:sz="0" w:space="0" w:color="auto"/>
                            <w:bottom w:val="none" w:sz="0" w:space="0" w:color="auto"/>
                            <w:right w:val="none" w:sz="0" w:space="0" w:color="auto"/>
                          </w:divBdr>
                        </w:div>
                      </w:divsChild>
                    </w:div>
                    <w:div w:id="294149662">
                      <w:marLeft w:val="0"/>
                      <w:marRight w:val="0"/>
                      <w:marTop w:val="0"/>
                      <w:marBottom w:val="0"/>
                      <w:divBdr>
                        <w:top w:val="none" w:sz="0" w:space="0" w:color="auto"/>
                        <w:left w:val="none" w:sz="0" w:space="0" w:color="auto"/>
                        <w:bottom w:val="none" w:sz="0" w:space="0" w:color="auto"/>
                        <w:right w:val="none" w:sz="0" w:space="0" w:color="auto"/>
                      </w:divBdr>
                    </w:div>
                    <w:div w:id="294149679">
                      <w:marLeft w:val="0"/>
                      <w:marRight w:val="0"/>
                      <w:marTop w:val="0"/>
                      <w:marBottom w:val="0"/>
                      <w:divBdr>
                        <w:top w:val="none" w:sz="0" w:space="0" w:color="auto"/>
                        <w:left w:val="none" w:sz="0" w:space="0" w:color="auto"/>
                        <w:bottom w:val="none" w:sz="0" w:space="0" w:color="auto"/>
                        <w:right w:val="none" w:sz="0" w:space="0" w:color="auto"/>
                      </w:divBdr>
                    </w:div>
                    <w:div w:id="294149690">
                      <w:marLeft w:val="0"/>
                      <w:marRight w:val="0"/>
                      <w:marTop w:val="0"/>
                      <w:marBottom w:val="0"/>
                      <w:divBdr>
                        <w:top w:val="none" w:sz="0" w:space="0" w:color="auto"/>
                        <w:left w:val="none" w:sz="0" w:space="0" w:color="auto"/>
                        <w:bottom w:val="none" w:sz="0" w:space="0" w:color="auto"/>
                        <w:right w:val="none" w:sz="0" w:space="0" w:color="auto"/>
                      </w:divBdr>
                    </w:div>
                    <w:div w:id="294149740">
                      <w:marLeft w:val="0"/>
                      <w:marRight w:val="0"/>
                      <w:marTop w:val="0"/>
                      <w:marBottom w:val="0"/>
                      <w:divBdr>
                        <w:top w:val="none" w:sz="0" w:space="0" w:color="auto"/>
                        <w:left w:val="none" w:sz="0" w:space="0" w:color="auto"/>
                        <w:bottom w:val="none" w:sz="0" w:space="0" w:color="auto"/>
                        <w:right w:val="none" w:sz="0" w:space="0" w:color="auto"/>
                      </w:divBdr>
                    </w:div>
                    <w:div w:id="294149775">
                      <w:marLeft w:val="0"/>
                      <w:marRight w:val="0"/>
                      <w:marTop w:val="0"/>
                      <w:marBottom w:val="0"/>
                      <w:divBdr>
                        <w:top w:val="none" w:sz="0" w:space="0" w:color="auto"/>
                        <w:left w:val="none" w:sz="0" w:space="0" w:color="auto"/>
                        <w:bottom w:val="none" w:sz="0" w:space="0" w:color="auto"/>
                        <w:right w:val="none" w:sz="0" w:space="0" w:color="auto"/>
                      </w:divBdr>
                    </w:div>
                    <w:div w:id="294149797">
                      <w:marLeft w:val="0"/>
                      <w:marRight w:val="0"/>
                      <w:marTop w:val="0"/>
                      <w:marBottom w:val="0"/>
                      <w:divBdr>
                        <w:top w:val="none" w:sz="0" w:space="0" w:color="auto"/>
                        <w:left w:val="none" w:sz="0" w:space="0" w:color="auto"/>
                        <w:bottom w:val="none" w:sz="0" w:space="0" w:color="auto"/>
                        <w:right w:val="none" w:sz="0" w:space="0" w:color="auto"/>
                      </w:divBdr>
                    </w:div>
                    <w:div w:id="294149809">
                      <w:marLeft w:val="0"/>
                      <w:marRight w:val="0"/>
                      <w:marTop w:val="0"/>
                      <w:marBottom w:val="0"/>
                      <w:divBdr>
                        <w:top w:val="none" w:sz="0" w:space="0" w:color="auto"/>
                        <w:left w:val="none" w:sz="0" w:space="0" w:color="auto"/>
                        <w:bottom w:val="none" w:sz="0" w:space="0" w:color="auto"/>
                        <w:right w:val="none" w:sz="0" w:space="0" w:color="auto"/>
                      </w:divBdr>
                    </w:div>
                    <w:div w:id="294149812">
                      <w:marLeft w:val="0"/>
                      <w:marRight w:val="0"/>
                      <w:marTop w:val="0"/>
                      <w:marBottom w:val="0"/>
                      <w:divBdr>
                        <w:top w:val="none" w:sz="0" w:space="0" w:color="auto"/>
                        <w:left w:val="none" w:sz="0" w:space="0" w:color="auto"/>
                        <w:bottom w:val="none" w:sz="0" w:space="0" w:color="auto"/>
                        <w:right w:val="none" w:sz="0" w:space="0" w:color="auto"/>
                      </w:divBdr>
                    </w:div>
                    <w:div w:id="294149853">
                      <w:marLeft w:val="0"/>
                      <w:marRight w:val="0"/>
                      <w:marTop w:val="0"/>
                      <w:marBottom w:val="0"/>
                      <w:divBdr>
                        <w:top w:val="none" w:sz="0" w:space="0" w:color="auto"/>
                        <w:left w:val="none" w:sz="0" w:space="0" w:color="auto"/>
                        <w:bottom w:val="none" w:sz="0" w:space="0" w:color="auto"/>
                        <w:right w:val="none" w:sz="0" w:space="0" w:color="auto"/>
                      </w:divBdr>
                      <w:divsChild>
                        <w:div w:id="294146431">
                          <w:marLeft w:val="0"/>
                          <w:marRight w:val="0"/>
                          <w:marTop w:val="0"/>
                          <w:marBottom w:val="0"/>
                          <w:divBdr>
                            <w:top w:val="none" w:sz="0" w:space="0" w:color="auto"/>
                            <w:left w:val="none" w:sz="0" w:space="0" w:color="auto"/>
                            <w:bottom w:val="none" w:sz="0" w:space="0" w:color="auto"/>
                            <w:right w:val="none" w:sz="0" w:space="0" w:color="auto"/>
                          </w:divBdr>
                        </w:div>
                      </w:divsChild>
                    </w:div>
                    <w:div w:id="294149874">
                      <w:marLeft w:val="0"/>
                      <w:marRight w:val="0"/>
                      <w:marTop w:val="0"/>
                      <w:marBottom w:val="0"/>
                      <w:divBdr>
                        <w:top w:val="none" w:sz="0" w:space="0" w:color="auto"/>
                        <w:left w:val="none" w:sz="0" w:space="0" w:color="auto"/>
                        <w:bottom w:val="none" w:sz="0" w:space="0" w:color="auto"/>
                        <w:right w:val="none" w:sz="0" w:space="0" w:color="auto"/>
                      </w:divBdr>
                      <w:divsChild>
                        <w:div w:id="294155136">
                          <w:marLeft w:val="0"/>
                          <w:marRight w:val="0"/>
                          <w:marTop w:val="0"/>
                          <w:marBottom w:val="0"/>
                          <w:divBdr>
                            <w:top w:val="none" w:sz="0" w:space="0" w:color="auto"/>
                            <w:left w:val="none" w:sz="0" w:space="0" w:color="auto"/>
                            <w:bottom w:val="none" w:sz="0" w:space="0" w:color="auto"/>
                            <w:right w:val="none" w:sz="0" w:space="0" w:color="auto"/>
                          </w:divBdr>
                        </w:div>
                      </w:divsChild>
                    </w:div>
                    <w:div w:id="294149880">
                      <w:marLeft w:val="0"/>
                      <w:marRight w:val="0"/>
                      <w:marTop w:val="0"/>
                      <w:marBottom w:val="0"/>
                      <w:divBdr>
                        <w:top w:val="none" w:sz="0" w:space="0" w:color="auto"/>
                        <w:left w:val="none" w:sz="0" w:space="0" w:color="auto"/>
                        <w:bottom w:val="none" w:sz="0" w:space="0" w:color="auto"/>
                        <w:right w:val="none" w:sz="0" w:space="0" w:color="auto"/>
                      </w:divBdr>
                    </w:div>
                    <w:div w:id="294149930">
                      <w:marLeft w:val="0"/>
                      <w:marRight w:val="0"/>
                      <w:marTop w:val="0"/>
                      <w:marBottom w:val="0"/>
                      <w:divBdr>
                        <w:top w:val="none" w:sz="0" w:space="0" w:color="auto"/>
                        <w:left w:val="none" w:sz="0" w:space="0" w:color="auto"/>
                        <w:bottom w:val="none" w:sz="0" w:space="0" w:color="auto"/>
                        <w:right w:val="none" w:sz="0" w:space="0" w:color="auto"/>
                      </w:divBdr>
                      <w:divsChild>
                        <w:div w:id="294152899">
                          <w:marLeft w:val="0"/>
                          <w:marRight w:val="0"/>
                          <w:marTop w:val="0"/>
                          <w:marBottom w:val="0"/>
                          <w:divBdr>
                            <w:top w:val="none" w:sz="0" w:space="0" w:color="auto"/>
                            <w:left w:val="none" w:sz="0" w:space="0" w:color="auto"/>
                            <w:bottom w:val="none" w:sz="0" w:space="0" w:color="auto"/>
                            <w:right w:val="none" w:sz="0" w:space="0" w:color="auto"/>
                          </w:divBdr>
                        </w:div>
                      </w:divsChild>
                    </w:div>
                    <w:div w:id="294149934">
                      <w:marLeft w:val="0"/>
                      <w:marRight w:val="0"/>
                      <w:marTop w:val="0"/>
                      <w:marBottom w:val="0"/>
                      <w:divBdr>
                        <w:top w:val="none" w:sz="0" w:space="0" w:color="auto"/>
                        <w:left w:val="none" w:sz="0" w:space="0" w:color="auto"/>
                        <w:bottom w:val="none" w:sz="0" w:space="0" w:color="auto"/>
                        <w:right w:val="none" w:sz="0" w:space="0" w:color="auto"/>
                      </w:divBdr>
                    </w:div>
                    <w:div w:id="294149960">
                      <w:marLeft w:val="0"/>
                      <w:marRight w:val="0"/>
                      <w:marTop w:val="0"/>
                      <w:marBottom w:val="0"/>
                      <w:divBdr>
                        <w:top w:val="none" w:sz="0" w:space="0" w:color="auto"/>
                        <w:left w:val="none" w:sz="0" w:space="0" w:color="auto"/>
                        <w:bottom w:val="none" w:sz="0" w:space="0" w:color="auto"/>
                        <w:right w:val="none" w:sz="0" w:space="0" w:color="auto"/>
                      </w:divBdr>
                    </w:div>
                    <w:div w:id="294149962">
                      <w:marLeft w:val="0"/>
                      <w:marRight w:val="0"/>
                      <w:marTop w:val="0"/>
                      <w:marBottom w:val="0"/>
                      <w:divBdr>
                        <w:top w:val="none" w:sz="0" w:space="0" w:color="auto"/>
                        <w:left w:val="none" w:sz="0" w:space="0" w:color="auto"/>
                        <w:bottom w:val="none" w:sz="0" w:space="0" w:color="auto"/>
                        <w:right w:val="none" w:sz="0" w:space="0" w:color="auto"/>
                      </w:divBdr>
                      <w:divsChild>
                        <w:div w:id="294151652">
                          <w:marLeft w:val="0"/>
                          <w:marRight w:val="0"/>
                          <w:marTop w:val="0"/>
                          <w:marBottom w:val="0"/>
                          <w:divBdr>
                            <w:top w:val="none" w:sz="0" w:space="0" w:color="auto"/>
                            <w:left w:val="none" w:sz="0" w:space="0" w:color="auto"/>
                            <w:bottom w:val="none" w:sz="0" w:space="0" w:color="auto"/>
                            <w:right w:val="none" w:sz="0" w:space="0" w:color="auto"/>
                          </w:divBdr>
                        </w:div>
                      </w:divsChild>
                    </w:div>
                    <w:div w:id="294150008">
                      <w:marLeft w:val="0"/>
                      <w:marRight w:val="0"/>
                      <w:marTop w:val="0"/>
                      <w:marBottom w:val="0"/>
                      <w:divBdr>
                        <w:top w:val="none" w:sz="0" w:space="0" w:color="auto"/>
                        <w:left w:val="none" w:sz="0" w:space="0" w:color="auto"/>
                        <w:bottom w:val="none" w:sz="0" w:space="0" w:color="auto"/>
                        <w:right w:val="none" w:sz="0" w:space="0" w:color="auto"/>
                      </w:divBdr>
                      <w:divsChild>
                        <w:div w:id="294157391">
                          <w:marLeft w:val="0"/>
                          <w:marRight w:val="0"/>
                          <w:marTop w:val="0"/>
                          <w:marBottom w:val="0"/>
                          <w:divBdr>
                            <w:top w:val="none" w:sz="0" w:space="0" w:color="auto"/>
                            <w:left w:val="none" w:sz="0" w:space="0" w:color="auto"/>
                            <w:bottom w:val="none" w:sz="0" w:space="0" w:color="auto"/>
                            <w:right w:val="none" w:sz="0" w:space="0" w:color="auto"/>
                          </w:divBdr>
                        </w:div>
                      </w:divsChild>
                    </w:div>
                    <w:div w:id="294150059">
                      <w:marLeft w:val="0"/>
                      <w:marRight w:val="0"/>
                      <w:marTop w:val="0"/>
                      <w:marBottom w:val="0"/>
                      <w:divBdr>
                        <w:top w:val="none" w:sz="0" w:space="0" w:color="auto"/>
                        <w:left w:val="none" w:sz="0" w:space="0" w:color="auto"/>
                        <w:bottom w:val="none" w:sz="0" w:space="0" w:color="auto"/>
                        <w:right w:val="none" w:sz="0" w:space="0" w:color="auto"/>
                      </w:divBdr>
                    </w:div>
                    <w:div w:id="294150116">
                      <w:marLeft w:val="0"/>
                      <w:marRight w:val="0"/>
                      <w:marTop w:val="0"/>
                      <w:marBottom w:val="0"/>
                      <w:divBdr>
                        <w:top w:val="none" w:sz="0" w:space="0" w:color="auto"/>
                        <w:left w:val="none" w:sz="0" w:space="0" w:color="auto"/>
                        <w:bottom w:val="none" w:sz="0" w:space="0" w:color="auto"/>
                        <w:right w:val="none" w:sz="0" w:space="0" w:color="auto"/>
                      </w:divBdr>
                    </w:div>
                    <w:div w:id="294150145">
                      <w:marLeft w:val="0"/>
                      <w:marRight w:val="0"/>
                      <w:marTop w:val="0"/>
                      <w:marBottom w:val="0"/>
                      <w:divBdr>
                        <w:top w:val="none" w:sz="0" w:space="0" w:color="auto"/>
                        <w:left w:val="none" w:sz="0" w:space="0" w:color="auto"/>
                        <w:bottom w:val="none" w:sz="0" w:space="0" w:color="auto"/>
                        <w:right w:val="none" w:sz="0" w:space="0" w:color="auto"/>
                      </w:divBdr>
                      <w:divsChild>
                        <w:div w:id="294155739">
                          <w:marLeft w:val="0"/>
                          <w:marRight w:val="0"/>
                          <w:marTop w:val="0"/>
                          <w:marBottom w:val="0"/>
                          <w:divBdr>
                            <w:top w:val="none" w:sz="0" w:space="0" w:color="auto"/>
                            <w:left w:val="none" w:sz="0" w:space="0" w:color="auto"/>
                            <w:bottom w:val="none" w:sz="0" w:space="0" w:color="auto"/>
                            <w:right w:val="none" w:sz="0" w:space="0" w:color="auto"/>
                          </w:divBdr>
                        </w:div>
                      </w:divsChild>
                    </w:div>
                    <w:div w:id="294150155">
                      <w:marLeft w:val="0"/>
                      <w:marRight w:val="0"/>
                      <w:marTop w:val="0"/>
                      <w:marBottom w:val="0"/>
                      <w:divBdr>
                        <w:top w:val="none" w:sz="0" w:space="0" w:color="auto"/>
                        <w:left w:val="none" w:sz="0" w:space="0" w:color="auto"/>
                        <w:bottom w:val="none" w:sz="0" w:space="0" w:color="auto"/>
                        <w:right w:val="none" w:sz="0" w:space="0" w:color="auto"/>
                      </w:divBdr>
                    </w:div>
                    <w:div w:id="294150161">
                      <w:marLeft w:val="0"/>
                      <w:marRight w:val="0"/>
                      <w:marTop w:val="0"/>
                      <w:marBottom w:val="0"/>
                      <w:divBdr>
                        <w:top w:val="none" w:sz="0" w:space="0" w:color="auto"/>
                        <w:left w:val="none" w:sz="0" w:space="0" w:color="auto"/>
                        <w:bottom w:val="none" w:sz="0" w:space="0" w:color="auto"/>
                        <w:right w:val="none" w:sz="0" w:space="0" w:color="auto"/>
                      </w:divBdr>
                      <w:divsChild>
                        <w:div w:id="294154457">
                          <w:marLeft w:val="0"/>
                          <w:marRight w:val="0"/>
                          <w:marTop w:val="0"/>
                          <w:marBottom w:val="0"/>
                          <w:divBdr>
                            <w:top w:val="none" w:sz="0" w:space="0" w:color="auto"/>
                            <w:left w:val="none" w:sz="0" w:space="0" w:color="auto"/>
                            <w:bottom w:val="none" w:sz="0" w:space="0" w:color="auto"/>
                            <w:right w:val="none" w:sz="0" w:space="0" w:color="auto"/>
                          </w:divBdr>
                        </w:div>
                      </w:divsChild>
                    </w:div>
                    <w:div w:id="294150297">
                      <w:marLeft w:val="0"/>
                      <w:marRight w:val="0"/>
                      <w:marTop w:val="0"/>
                      <w:marBottom w:val="0"/>
                      <w:divBdr>
                        <w:top w:val="none" w:sz="0" w:space="0" w:color="auto"/>
                        <w:left w:val="none" w:sz="0" w:space="0" w:color="auto"/>
                        <w:bottom w:val="none" w:sz="0" w:space="0" w:color="auto"/>
                        <w:right w:val="none" w:sz="0" w:space="0" w:color="auto"/>
                      </w:divBdr>
                      <w:divsChild>
                        <w:div w:id="294153860">
                          <w:marLeft w:val="0"/>
                          <w:marRight w:val="0"/>
                          <w:marTop w:val="0"/>
                          <w:marBottom w:val="0"/>
                          <w:divBdr>
                            <w:top w:val="none" w:sz="0" w:space="0" w:color="auto"/>
                            <w:left w:val="none" w:sz="0" w:space="0" w:color="auto"/>
                            <w:bottom w:val="none" w:sz="0" w:space="0" w:color="auto"/>
                            <w:right w:val="none" w:sz="0" w:space="0" w:color="auto"/>
                          </w:divBdr>
                        </w:div>
                      </w:divsChild>
                    </w:div>
                    <w:div w:id="294150357">
                      <w:marLeft w:val="0"/>
                      <w:marRight w:val="0"/>
                      <w:marTop w:val="0"/>
                      <w:marBottom w:val="0"/>
                      <w:divBdr>
                        <w:top w:val="none" w:sz="0" w:space="0" w:color="auto"/>
                        <w:left w:val="none" w:sz="0" w:space="0" w:color="auto"/>
                        <w:bottom w:val="none" w:sz="0" w:space="0" w:color="auto"/>
                        <w:right w:val="none" w:sz="0" w:space="0" w:color="auto"/>
                      </w:divBdr>
                      <w:divsChild>
                        <w:div w:id="294154399">
                          <w:marLeft w:val="0"/>
                          <w:marRight w:val="0"/>
                          <w:marTop w:val="0"/>
                          <w:marBottom w:val="0"/>
                          <w:divBdr>
                            <w:top w:val="none" w:sz="0" w:space="0" w:color="auto"/>
                            <w:left w:val="none" w:sz="0" w:space="0" w:color="auto"/>
                            <w:bottom w:val="none" w:sz="0" w:space="0" w:color="auto"/>
                            <w:right w:val="none" w:sz="0" w:space="0" w:color="auto"/>
                          </w:divBdr>
                        </w:div>
                      </w:divsChild>
                    </w:div>
                    <w:div w:id="294150361">
                      <w:marLeft w:val="0"/>
                      <w:marRight w:val="0"/>
                      <w:marTop w:val="0"/>
                      <w:marBottom w:val="0"/>
                      <w:divBdr>
                        <w:top w:val="none" w:sz="0" w:space="0" w:color="auto"/>
                        <w:left w:val="none" w:sz="0" w:space="0" w:color="auto"/>
                        <w:bottom w:val="none" w:sz="0" w:space="0" w:color="auto"/>
                        <w:right w:val="none" w:sz="0" w:space="0" w:color="auto"/>
                      </w:divBdr>
                      <w:divsChild>
                        <w:div w:id="294152788">
                          <w:marLeft w:val="0"/>
                          <w:marRight w:val="0"/>
                          <w:marTop w:val="0"/>
                          <w:marBottom w:val="0"/>
                          <w:divBdr>
                            <w:top w:val="none" w:sz="0" w:space="0" w:color="auto"/>
                            <w:left w:val="none" w:sz="0" w:space="0" w:color="auto"/>
                            <w:bottom w:val="none" w:sz="0" w:space="0" w:color="auto"/>
                            <w:right w:val="none" w:sz="0" w:space="0" w:color="auto"/>
                          </w:divBdr>
                        </w:div>
                      </w:divsChild>
                    </w:div>
                    <w:div w:id="294150391">
                      <w:marLeft w:val="0"/>
                      <w:marRight w:val="0"/>
                      <w:marTop w:val="0"/>
                      <w:marBottom w:val="0"/>
                      <w:divBdr>
                        <w:top w:val="none" w:sz="0" w:space="0" w:color="auto"/>
                        <w:left w:val="none" w:sz="0" w:space="0" w:color="auto"/>
                        <w:bottom w:val="none" w:sz="0" w:space="0" w:color="auto"/>
                        <w:right w:val="none" w:sz="0" w:space="0" w:color="auto"/>
                      </w:divBdr>
                    </w:div>
                    <w:div w:id="294150466">
                      <w:marLeft w:val="0"/>
                      <w:marRight w:val="0"/>
                      <w:marTop w:val="0"/>
                      <w:marBottom w:val="0"/>
                      <w:divBdr>
                        <w:top w:val="none" w:sz="0" w:space="0" w:color="auto"/>
                        <w:left w:val="none" w:sz="0" w:space="0" w:color="auto"/>
                        <w:bottom w:val="none" w:sz="0" w:space="0" w:color="auto"/>
                        <w:right w:val="none" w:sz="0" w:space="0" w:color="auto"/>
                      </w:divBdr>
                    </w:div>
                    <w:div w:id="294150471">
                      <w:marLeft w:val="0"/>
                      <w:marRight w:val="0"/>
                      <w:marTop w:val="0"/>
                      <w:marBottom w:val="0"/>
                      <w:divBdr>
                        <w:top w:val="none" w:sz="0" w:space="0" w:color="auto"/>
                        <w:left w:val="none" w:sz="0" w:space="0" w:color="auto"/>
                        <w:bottom w:val="none" w:sz="0" w:space="0" w:color="auto"/>
                        <w:right w:val="none" w:sz="0" w:space="0" w:color="auto"/>
                      </w:divBdr>
                    </w:div>
                    <w:div w:id="294150494">
                      <w:marLeft w:val="0"/>
                      <w:marRight w:val="0"/>
                      <w:marTop w:val="0"/>
                      <w:marBottom w:val="0"/>
                      <w:divBdr>
                        <w:top w:val="none" w:sz="0" w:space="0" w:color="auto"/>
                        <w:left w:val="none" w:sz="0" w:space="0" w:color="auto"/>
                        <w:bottom w:val="none" w:sz="0" w:space="0" w:color="auto"/>
                        <w:right w:val="none" w:sz="0" w:space="0" w:color="auto"/>
                      </w:divBdr>
                      <w:divsChild>
                        <w:div w:id="294151307">
                          <w:marLeft w:val="0"/>
                          <w:marRight w:val="0"/>
                          <w:marTop w:val="0"/>
                          <w:marBottom w:val="0"/>
                          <w:divBdr>
                            <w:top w:val="none" w:sz="0" w:space="0" w:color="auto"/>
                            <w:left w:val="none" w:sz="0" w:space="0" w:color="auto"/>
                            <w:bottom w:val="none" w:sz="0" w:space="0" w:color="auto"/>
                            <w:right w:val="none" w:sz="0" w:space="0" w:color="auto"/>
                          </w:divBdr>
                        </w:div>
                      </w:divsChild>
                    </w:div>
                    <w:div w:id="294150500">
                      <w:marLeft w:val="0"/>
                      <w:marRight w:val="0"/>
                      <w:marTop w:val="0"/>
                      <w:marBottom w:val="0"/>
                      <w:divBdr>
                        <w:top w:val="none" w:sz="0" w:space="0" w:color="auto"/>
                        <w:left w:val="none" w:sz="0" w:space="0" w:color="auto"/>
                        <w:bottom w:val="none" w:sz="0" w:space="0" w:color="auto"/>
                        <w:right w:val="none" w:sz="0" w:space="0" w:color="auto"/>
                      </w:divBdr>
                    </w:div>
                    <w:div w:id="294150505">
                      <w:marLeft w:val="0"/>
                      <w:marRight w:val="0"/>
                      <w:marTop w:val="0"/>
                      <w:marBottom w:val="0"/>
                      <w:divBdr>
                        <w:top w:val="none" w:sz="0" w:space="0" w:color="auto"/>
                        <w:left w:val="none" w:sz="0" w:space="0" w:color="auto"/>
                        <w:bottom w:val="none" w:sz="0" w:space="0" w:color="auto"/>
                        <w:right w:val="none" w:sz="0" w:space="0" w:color="auto"/>
                      </w:divBdr>
                      <w:divsChild>
                        <w:div w:id="294141670">
                          <w:marLeft w:val="0"/>
                          <w:marRight w:val="0"/>
                          <w:marTop w:val="0"/>
                          <w:marBottom w:val="0"/>
                          <w:divBdr>
                            <w:top w:val="none" w:sz="0" w:space="0" w:color="auto"/>
                            <w:left w:val="none" w:sz="0" w:space="0" w:color="auto"/>
                            <w:bottom w:val="none" w:sz="0" w:space="0" w:color="auto"/>
                            <w:right w:val="none" w:sz="0" w:space="0" w:color="auto"/>
                          </w:divBdr>
                        </w:div>
                      </w:divsChild>
                    </w:div>
                    <w:div w:id="294150570">
                      <w:marLeft w:val="0"/>
                      <w:marRight w:val="0"/>
                      <w:marTop w:val="0"/>
                      <w:marBottom w:val="0"/>
                      <w:divBdr>
                        <w:top w:val="none" w:sz="0" w:space="0" w:color="auto"/>
                        <w:left w:val="none" w:sz="0" w:space="0" w:color="auto"/>
                        <w:bottom w:val="none" w:sz="0" w:space="0" w:color="auto"/>
                        <w:right w:val="none" w:sz="0" w:space="0" w:color="auto"/>
                      </w:divBdr>
                      <w:divsChild>
                        <w:div w:id="294148705">
                          <w:marLeft w:val="0"/>
                          <w:marRight w:val="0"/>
                          <w:marTop w:val="0"/>
                          <w:marBottom w:val="0"/>
                          <w:divBdr>
                            <w:top w:val="none" w:sz="0" w:space="0" w:color="auto"/>
                            <w:left w:val="none" w:sz="0" w:space="0" w:color="auto"/>
                            <w:bottom w:val="none" w:sz="0" w:space="0" w:color="auto"/>
                            <w:right w:val="none" w:sz="0" w:space="0" w:color="auto"/>
                          </w:divBdr>
                        </w:div>
                      </w:divsChild>
                    </w:div>
                    <w:div w:id="294150580">
                      <w:marLeft w:val="0"/>
                      <w:marRight w:val="0"/>
                      <w:marTop w:val="0"/>
                      <w:marBottom w:val="0"/>
                      <w:divBdr>
                        <w:top w:val="none" w:sz="0" w:space="0" w:color="auto"/>
                        <w:left w:val="none" w:sz="0" w:space="0" w:color="auto"/>
                        <w:bottom w:val="none" w:sz="0" w:space="0" w:color="auto"/>
                        <w:right w:val="none" w:sz="0" w:space="0" w:color="auto"/>
                      </w:divBdr>
                    </w:div>
                    <w:div w:id="294150616">
                      <w:marLeft w:val="0"/>
                      <w:marRight w:val="0"/>
                      <w:marTop w:val="0"/>
                      <w:marBottom w:val="0"/>
                      <w:divBdr>
                        <w:top w:val="none" w:sz="0" w:space="0" w:color="auto"/>
                        <w:left w:val="none" w:sz="0" w:space="0" w:color="auto"/>
                        <w:bottom w:val="none" w:sz="0" w:space="0" w:color="auto"/>
                        <w:right w:val="none" w:sz="0" w:space="0" w:color="auto"/>
                      </w:divBdr>
                    </w:div>
                    <w:div w:id="294150636">
                      <w:marLeft w:val="0"/>
                      <w:marRight w:val="0"/>
                      <w:marTop w:val="0"/>
                      <w:marBottom w:val="0"/>
                      <w:divBdr>
                        <w:top w:val="none" w:sz="0" w:space="0" w:color="auto"/>
                        <w:left w:val="none" w:sz="0" w:space="0" w:color="auto"/>
                        <w:bottom w:val="none" w:sz="0" w:space="0" w:color="auto"/>
                        <w:right w:val="none" w:sz="0" w:space="0" w:color="auto"/>
                      </w:divBdr>
                    </w:div>
                    <w:div w:id="294150648">
                      <w:marLeft w:val="0"/>
                      <w:marRight w:val="0"/>
                      <w:marTop w:val="0"/>
                      <w:marBottom w:val="0"/>
                      <w:divBdr>
                        <w:top w:val="none" w:sz="0" w:space="0" w:color="auto"/>
                        <w:left w:val="none" w:sz="0" w:space="0" w:color="auto"/>
                        <w:bottom w:val="none" w:sz="0" w:space="0" w:color="auto"/>
                        <w:right w:val="none" w:sz="0" w:space="0" w:color="auto"/>
                      </w:divBdr>
                    </w:div>
                    <w:div w:id="294150745">
                      <w:marLeft w:val="0"/>
                      <w:marRight w:val="0"/>
                      <w:marTop w:val="0"/>
                      <w:marBottom w:val="0"/>
                      <w:divBdr>
                        <w:top w:val="none" w:sz="0" w:space="0" w:color="auto"/>
                        <w:left w:val="none" w:sz="0" w:space="0" w:color="auto"/>
                        <w:bottom w:val="none" w:sz="0" w:space="0" w:color="auto"/>
                        <w:right w:val="none" w:sz="0" w:space="0" w:color="auto"/>
                      </w:divBdr>
                    </w:div>
                    <w:div w:id="294150811">
                      <w:marLeft w:val="0"/>
                      <w:marRight w:val="0"/>
                      <w:marTop w:val="0"/>
                      <w:marBottom w:val="0"/>
                      <w:divBdr>
                        <w:top w:val="none" w:sz="0" w:space="0" w:color="auto"/>
                        <w:left w:val="none" w:sz="0" w:space="0" w:color="auto"/>
                        <w:bottom w:val="none" w:sz="0" w:space="0" w:color="auto"/>
                        <w:right w:val="none" w:sz="0" w:space="0" w:color="auto"/>
                      </w:divBdr>
                    </w:div>
                    <w:div w:id="294150860">
                      <w:marLeft w:val="0"/>
                      <w:marRight w:val="0"/>
                      <w:marTop w:val="0"/>
                      <w:marBottom w:val="0"/>
                      <w:divBdr>
                        <w:top w:val="none" w:sz="0" w:space="0" w:color="auto"/>
                        <w:left w:val="none" w:sz="0" w:space="0" w:color="auto"/>
                        <w:bottom w:val="none" w:sz="0" w:space="0" w:color="auto"/>
                        <w:right w:val="none" w:sz="0" w:space="0" w:color="auto"/>
                      </w:divBdr>
                    </w:div>
                    <w:div w:id="294150861">
                      <w:marLeft w:val="0"/>
                      <w:marRight w:val="0"/>
                      <w:marTop w:val="0"/>
                      <w:marBottom w:val="0"/>
                      <w:divBdr>
                        <w:top w:val="none" w:sz="0" w:space="0" w:color="auto"/>
                        <w:left w:val="none" w:sz="0" w:space="0" w:color="auto"/>
                        <w:bottom w:val="none" w:sz="0" w:space="0" w:color="auto"/>
                        <w:right w:val="none" w:sz="0" w:space="0" w:color="auto"/>
                      </w:divBdr>
                      <w:divsChild>
                        <w:div w:id="294154295">
                          <w:marLeft w:val="0"/>
                          <w:marRight w:val="0"/>
                          <w:marTop w:val="0"/>
                          <w:marBottom w:val="0"/>
                          <w:divBdr>
                            <w:top w:val="none" w:sz="0" w:space="0" w:color="auto"/>
                            <w:left w:val="none" w:sz="0" w:space="0" w:color="auto"/>
                            <w:bottom w:val="none" w:sz="0" w:space="0" w:color="auto"/>
                            <w:right w:val="none" w:sz="0" w:space="0" w:color="auto"/>
                          </w:divBdr>
                        </w:div>
                      </w:divsChild>
                    </w:div>
                    <w:div w:id="294150898">
                      <w:marLeft w:val="0"/>
                      <w:marRight w:val="0"/>
                      <w:marTop w:val="0"/>
                      <w:marBottom w:val="0"/>
                      <w:divBdr>
                        <w:top w:val="none" w:sz="0" w:space="0" w:color="auto"/>
                        <w:left w:val="none" w:sz="0" w:space="0" w:color="auto"/>
                        <w:bottom w:val="none" w:sz="0" w:space="0" w:color="auto"/>
                        <w:right w:val="none" w:sz="0" w:space="0" w:color="auto"/>
                      </w:divBdr>
                      <w:divsChild>
                        <w:div w:id="294146061">
                          <w:marLeft w:val="0"/>
                          <w:marRight w:val="0"/>
                          <w:marTop w:val="0"/>
                          <w:marBottom w:val="0"/>
                          <w:divBdr>
                            <w:top w:val="none" w:sz="0" w:space="0" w:color="auto"/>
                            <w:left w:val="none" w:sz="0" w:space="0" w:color="auto"/>
                            <w:bottom w:val="none" w:sz="0" w:space="0" w:color="auto"/>
                            <w:right w:val="none" w:sz="0" w:space="0" w:color="auto"/>
                          </w:divBdr>
                        </w:div>
                      </w:divsChild>
                    </w:div>
                    <w:div w:id="294150903">
                      <w:marLeft w:val="0"/>
                      <w:marRight w:val="0"/>
                      <w:marTop w:val="0"/>
                      <w:marBottom w:val="0"/>
                      <w:divBdr>
                        <w:top w:val="none" w:sz="0" w:space="0" w:color="auto"/>
                        <w:left w:val="none" w:sz="0" w:space="0" w:color="auto"/>
                        <w:bottom w:val="none" w:sz="0" w:space="0" w:color="auto"/>
                        <w:right w:val="none" w:sz="0" w:space="0" w:color="auto"/>
                      </w:divBdr>
                    </w:div>
                    <w:div w:id="294150957">
                      <w:marLeft w:val="0"/>
                      <w:marRight w:val="0"/>
                      <w:marTop w:val="0"/>
                      <w:marBottom w:val="0"/>
                      <w:divBdr>
                        <w:top w:val="none" w:sz="0" w:space="0" w:color="auto"/>
                        <w:left w:val="none" w:sz="0" w:space="0" w:color="auto"/>
                        <w:bottom w:val="none" w:sz="0" w:space="0" w:color="auto"/>
                        <w:right w:val="none" w:sz="0" w:space="0" w:color="auto"/>
                      </w:divBdr>
                      <w:divsChild>
                        <w:div w:id="294145342">
                          <w:marLeft w:val="0"/>
                          <w:marRight w:val="0"/>
                          <w:marTop w:val="0"/>
                          <w:marBottom w:val="0"/>
                          <w:divBdr>
                            <w:top w:val="none" w:sz="0" w:space="0" w:color="auto"/>
                            <w:left w:val="none" w:sz="0" w:space="0" w:color="auto"/>
                            <w:bottom w:val="none" w:sz="0" w:space="0" w:color="auto"/>
                            <w:right w:val="none" w:sz="0" w:space="0" w:color="auto"/>
                          </w:divBdr>
                        </w:div>
                      </w:divsChild>
                    </w:div>
                    <w:div w:id="294150976">
                      <w:marLeft w:val="0"/>
                      <w:marRight w:val="0"/>
                      <w:marTop w:val="0"/>
                      <w:marBottom w:val="0"/>
                      <w:divBdr>
                        <w:top w:val="none" w:sz="0" w:space="0" w:color="auto"/>
                        <w:left w:val="none" w:sz="0" w:space="0" w:color="auto"/>
                        <w:bottom w:val="none" w:sz="0" w:space="0" w:color="auto"/>
                        <w:right w:val="none" w:sz="0" w:space="0" w:color="auto"/>
                      </w:divBdr>
                      <w:divsChild>
                        <w:div w:id="294140551">
                          <w:marLeft w:val="0"/>
                          <w:marRight w:val="0"/>
                          <w:marTop w:val="0"/>
                          <w:marBottom w:val="0"/>
                          <w:divBdr>
                            <w:top w:val="none" w:sz="0" w:space="0" w:color="auto"/>
                            <w:left w:val="none" w:sz="0" w:space="0" w:color="auto"/>
                            <w:bottom w:val="none" w:sz="0" w:space="0" w:color="auto"/>
                            <w:right w:val="none" w:sz="0" w:space="0" w:color="auto"/>
                          </w:divBdr>
                        </w:div>
                      </w:divsChild>
                    </w:div>
                    <w:div w:id="294151092">
                      <w:marLeft w:val="0"/>
                      <w:marRight w:val="0"/>
                      <w:marTop w:val="0"/>
                      <w:marBottom w:val="0"/>
                      <w:divBdr>
                        <w:top w:val="none" w:sz="0" w:space="0" w:color="auto"/>
                        <w:left w:val="none" w:sz="0" w:space="0" w:color="auto"/>
                        <w:bottom w:val="none" w:sz="0" w:space="0" w:color="auto"/>
                        <w:right w:val="none" w:sz="0" w:space="0" w:color="auto"/>
                      </w:divBdr>
                      <w:divsChild>
                        <w:div w:id="294147555">
                          <w:marLeft w:val="0"/>
                          <w:marRight w:val="0"/>
                          <w:marTop w:val="0"/>
                          <w:marBottom w:val="0"/>
                          <w:divBdr>
                            <w:top w:val="none" w:sz="0" w:space="0" w:color="auto"/>
                            <w:left w:val="none" w:sz="0" w:space="0" w:color="auto"/>
                            <w:bottom w:val="none" w:sz="0" w:space="0" w:color="auto"/>
                            <w:right w:val="none" w:sz="0" w:space="0" w:color="auto"/>
                          </w:divBdr>
                        </w:div>
                      </w:divsChild>
                    </w:div>
                    <w:div w:id="294151094">
                      <w:marLeft w:val="0"/>
                      <w:marRight w:val="0"/>
                      <w:marTop w:val="0"/>
                      <w:marBottom w:val="0"/>
                      <w:divBdr>
                        <w:top w:val="none" w:sz="0" w:space="0" w:color="auto"/>
                        <w:left w:val="none" w:sz="0" w:space="0" w:color="auto"/>
                        <w:bottom w:val="none" w:sz="0" w:space="0" w:color="auto"/>
                        <w:right w:val="none" w:sz="0" w:space="0" w:color="auto"/>
                      </w:divBdr>
                    </w:div>
                    <w:div w:id="294151146">
                      <w:marLeft w:val="0"/>
                      <w:marRight w:val="0"/>
                      <w:marTop w:val="0"/>
                      <w:marBottom w:val="0"/>
                      <w:divBdr>
                        <w:top w:val="none" w:sz="0" w:space="0" w:color="auto"/>
                        <w:left w:val="none" w:sz="0" w:space="0" w:color="auto"/>
                        <w:bottom w:val="none" w:sz="0" w:space="0" w:color="auto"/>
                        <w:right w:val="none" w:sz="0" w:space="0" w:color="auto"/>
                      </w:divBdr>
                    </w:div>
                    <w:div w:id="294151189">
                      <w:marLeft w:val="0"/>
                      <w:marRight w:val="0"/>
                      <w:marTop w:val="0"/>
                      <w:marBottom w:val="0"/>
                      <w:divBdr>
                        <w:top w:val="none" w:sz="0" w:space="0" w:color="auto"/>
                        <w:left w:val="none" w:sz="0" w:space="0" w:color="auto"/>
                        <w:bottom w:val="none" w:sz="0" w:space="0" w:color="auto"/>
                        <w:right w:val="none" w:sz="0" w:space="0" w:color="auto"/>
                      </w:divBdr>
                      <w:divsChild>
                        <w:div w:id="294144312">
                          <w:marLeft w:val="0"/>
                          <w:marRight w:val="0"/>
                          <w:marTop w:val="0"/>
                          <w:marBottom w:val="0"/>
                          <w:divBdr>
                            <w:top w:val="none" w:sz="0" w:space="0" w:color="auto"/>
                            <w:left w:val="none" w:sz="0" w:space="0" w:color="auto"/>
                            <w:bottom w:val="none" w:sz="0" w:space="0" w:color="auto"/>
                            <w:right w:val="none" w:sz="0" w:space="0" w:color="auto"/>
                          </w:divBdr>
                        </w:div>
                      </w:divsChild>
                    </w:div>
                    <w:div w:id="294151206">
                      <w:marLeft w:val="0"/>
                      <w:marRight w:val="0"/>
                      <w:marTop w:val="0"/>
                      <w:marBottom w:val="0"/>
                      <w:divBdr>
                        <w:top w:val="none" w:sz="0" w:space="0" w:color="auto"/>
                        <w:left w:val="none" w:sz="0" w:space="0" w:color="auto"/>
                        <w:bottom w:val="none" w:sz="0" w:space="0" w:color="auto"/>
                        <w:right w:val="none" w:sz="0" w:space="0" w:color="auto"/>
                      </w:divBdr>
                      <w:divsChild>
                        <w:div w:id="294147994">
                          <w:marLeft w:val="0"/>
                          <w:marRight w:val="0"/>
                          <w:marTop w:val="0"/>
                          <w:marBottom w:val="0"/>
                          <w:divBdr>
                            <w:top w:val="none" w:sz="0" w:space="0" w:color="auto"/>
                            <w:left w:val="none" w:sz="0" w:space="0" w:color="auto"/>
                            <w:bottom w:val="none" w:sz="0" w:space="0" w:color="auto"/>
                            <w:right w:val="none" w:sz="0" w:space="0" w:color="auto"/>
                          </w:divBdr>
                        </w:div>
                      </w:divsChild>
                    </w:div>
                    <w:div w:id="294151237">
                      <w:marLeft w:val="0"/>
                      <w:marRight w:val="0"/>
                      <w:marTop w:val="0"/>
                      <w:marBottom w:val="0"/>
                      <w:divBdr>
                        <w:top w:val="none" w:sz="0" w:space="0" w:color="auto"/>
                        <w:left w:val="none" w:sz="0" w:space="0" w:color="auto"/>
                        <w:bottom w:val="none" w:sz="0" w:space="0" w:color="auto"/>
                        <w:right w:val="none" w:sz="0" w:space="0" w:color="auto"/>
                      </w:divBdr>
                    </w:div>
                    <w:div w:id="294151282">
                      <w:marLeft w:val="0"/>
                      <w:marRight w:val="0"/>
                      <w:marTop w:val="0"/>
                      <w:marBottom w:val="0"/>
                      <w:divBdr>
                        <w:top w:val="none" w:sz="0" w:space="0" w:color="auto"/>
                        <w:left w:val="none" w:sz="0" w:space="0" w:color="auto"/>
                        <w:bottom w:val="none" w:sz="0" w:space="0" w:color="auto"/>
                        <w:right w:val="none" w:sz="0" w:space="0" w:color="auto"/>
                      </w:divBdr>
                    </w:div>
                    <w:div w:id="294151335">
                      <w:marLeft w:val="0"/>
                      <w:marRight w:val="0"/>
                      <w:marTop w:val="0"/>
                      <w:marBottom w:val="0"/>
                      <w:divBdr>
                        <w:top w:val="none" w:sz="0" w:space="0" w:color="auto"/>
                        <w:left w:val="none" w:sz="0" w:space="0" w:color="auto"/>
                        <w:bottom w:val="none" w:sz="0" w:space="0" w:color="auto"/>
                        <w:right w:val="none" w:sz="0" w:space="0" w:color="auto"/>
                      </w:divBdr>
                    </w:div>
                    <w:div w:id="294151336">
                      <w:marLeft w:val="0"/>
                      <w:marRight w:val="0"/>
                      <w:marTop w:val="0"/>
                      <w:marBottom w:val="0"/>
                      <w:divBdr>
                        <w:top w:val="none" w:sz="0" w:space="0" w:color="auto"/>
                        <w:left w:val="none" w:sz="0" w:space="0" w:color="auto"/>
                        <w:bottom w:val="none" w:sz="0" w:space="0" w:color="auto"/>
                        <w:right w:val="none" w:sz="0" w:space="0" w:color="auto"/>
                      </w:divBdr>
                      <w:divsChild>
                        <w:div w:id="294153837">
                          <w:marLeft w:val="0"/>
                          <w:marRight w:val="0"/>
                          <w:marTop w:val="0"/>
                          <w:marBottom w:val="0"/>
                          <w:divBdr>
                            <w:top w:val="none" w:sz="0" w:space="0" w:color="auto"/>
                            <w:left w:val="none" w:sz="0" w:space="0" w:color="auto"/>
                            <w:bottom w:val="none" w:sz="0" w:space="0" w:color="auto"/>
                            <w:right w:val="none" w:sz="0" w:space="0" w:color="auto"/>
                          </w:divBdr>
                        </w:div>
                      </w:divsChild>
                    </w:div>
                    <w:div w:id="294151337">
                      <w:marLeft w:val="0"/>
                      <w:marRight w:val="0"/>
                      <w:marTop w:val="0"/>
                      <w:marBottom w:val="0"/>
                      <w:divBdr>
                        <w:top w:val="none" w:sz="0" w:space="0" w:color="auto"/>
                        <w:left w:val="none" w:sz="0" w:space="0" w:color="auto"/>
                        <w:bottom w:val="none" w:sz="0" w:space="0" w:color="auto"/>
                        <w:right w:val="none" w:sz="0" w:space="0" w:color="auto"/>
                      </w:divBdr>
                      <w:divsChild>
                        <w:div w:id="294147228">
                          <w:marLeft w:val="0"/>
                          <w:marRight w:val="0"/>
                          <w:marTop w:val="0"/>
                          <w:marBottom w:val="0"/>
                          <w:divBdr>
                            <w:top w:val="none" w:sz="0" w:space="0" w:color="auto"/>
                            <w:left w:val="none" w:sz="0" w:space="0" w:color="auto"/>
                            <w:bottom w:val="none" w:sz="0" w:space="0" w:color="auto"/>
                            <w:right w:val="none" w:sz="0" w:space="0" w:color="auto"/>
                          </w:divBdr>
                        </w:div>
                      </w:divsChild>
                    </w:div>
                    <w:div w:id="294151355">
                      <w:marLeft w:val="0"/>
                      <w:marRight w:val="0"/>
                      <w:marTop w:val="0"/>
                      <w:marBottom w:val="0"/>
                      <w:divBdr>
                        <w:top w:val="none" w:sz="0" w:space="0" w:color="auto"/>
                        <w:left w:val="none" w:sz="0" w:space="0" w:color="auto"/>
                        <w:bottom w:val="none" w:sz="0" w:space="0" w:color="auto"/>
                        <w:right w:val="none" w:sz="0" w:space="0" w:color="auto"/>
                      </w:divBdr>
                      <w:divsChild>
                        <w:div w:id="294148298">
                          <w:marLeft w:val="0"/>
                          <w:marRight w:val="0"/>
                          <w:marTop w:val="0"/>
                          <w:marBottom w:val="0"/>
                          <w:divBdr>
                            <w:top w:val="none" w:sz="0" w:space="0" w:color="auto"/>
                            <w:left w:val="none" w:sz="0" w:space="0" w:color="auto"/>
                            <w:bottom w:val="none" w:sz="0" w:space="0" w:color="auto"/>
                            <w:right w:val="none" w:sz="0" w:space="0" w:color="auto"/>
                          </w:divBdr>
                        </w:div>
                      </w:divsChild>
                    </w:div>
                    <w:div w:id="294151359">
                      <w:marLeft w:val="0"/>
                      <w:marRight w:val="0"/>
                      <w:marTop w:val="0"/>
                      <w:marBottom w:val="0"/>
                      <w:divBdr>
                        <w:top w:val="none" w:sz="0" w:space="0" w:color="auto"/>
                        <w:left w:val="none" w:sz="0" w:space="0" w:color="auto"/>
                        <w:bottom w:val="none" w:sz="0" w:space="0" w:color="auto"/>
                        <w:right w:val="none" w:sz="0" w:space="0" w:color="auto"/>
                      </w:divBdr>
                      <w:divsChild>
                        <w:div w:id="294145895">
                          <w:marLeft w:val="0"/>
                          <w:marRight w:val="0"/>
                          <w:marTop w:val="0"/>
                          <w:marBottom w:val="0"/>
                          <w:divBdr>
                            <w:top w:val="none" w:sz="0" w:space="0" w:color="auto"/>
                            <w:left w:val="none" w:sz="0" w:space="0" w:color="auto"/>
                            <w:bottom w:val="none" w:sz="0" w:space="0" w:color="auto"/>
                            <w:right w:val="none" w:sz="0" w:space="0" w:color="auto"/>
                          </w:divBdr>
                        </w:div>
                      </w:divsChild>
                    </w:div>
                    <w:div w:id="294151368">
                      <w:marLeft w:val="0"/>
                      <w:marRight w:val="0"/>
                      <w:marTop w:val="0"/>
                      <w:marBottom w:val="0"/>
                      <w:divBdr>
                        <w:top w:val="none" w:sz="0" w:space="0" w:color="auto"/>
                        <w:left w:val="none" w:sz="0" w:space="0" w:color="auto"/>
                        <w:bottom w:val="none" w:sz="0" w:space="0" w:color="auto"/>
                        <w:right w:val="none" w:sz="0" w:space="0" w:color="auto"/>
                      </w:divBdr>
                      <w:divsChild>
                        <w:div w:id="294149147">
                          <w:marLeft w:val="0"/>
                          <w:marRight w:val="0"/>
                          <w:marTop w:val="0"/>
                          <w:marBottom w:val="0"/>
                          <w:divBdr>
                            <w:top w:val="none" w:sz="0" w:space="0" w:color="auto"/>
                            <w:left w:val="none" w:sz="0" w:space="0" w:color="auto"/>
                            <w:bottom w:val="none" w:sz="0" w:space="0" w:color="auto"/>
                            <w:right w:val="none" w:sz="0" w:space="0" w:color="auto"/>
                          </w:divBdr>
                        </w:div>
                      </w:divsChild>
                    </w:div>
                    <w:div w:id="294151416">
                      <w:marLeft w:val="0"/>
                      <w:marRight w:val="0"/>
                      <w:marTop w:val="0"/>
                      <w:marBottom w:val="0"/>
                      <w:divBdr>
                        <w:top w:val="none" w:sz="0" w:space="0" w:color="auto"/>
                        <w:left w:val="none" w:sz="0" w:space="0" w:color="auto"/>
                        <w:bottom w:val="none" w:sz="0" w:space="0" w:color="auto"/>
                        <w:right w:val="none" w:sz="0" w:space="0" w:color="auto"/>
                      </w:divBdr>
                      <w:divsChild>
                        <w:div w:id="294140990">
                          <w:marLeft w:val="0"/>
                          <w:marRight w:val="0"/>
                          <w:marTop w:val="0"/>
                          <w:marBottom w:val="0"/>
                          <w:divBdr>
                            <w:top w:val="none" w:sz="0" w:space="0" w:color="auto"/>
                            <w:left w:val="none" w:sz="0" w:space="0" w:color="auto"/>
                            <w:bottom w:val="none" w:sz="0" w:space="0" w:color="auto"/>
                            <w:right w:val="none" w:sz="0" w:space="0" w:color="auto"/>
                          </w:divBdr>
                        </w:div>
                      </w:divsChild>
                    </w:div>
                    <w:div w:id="294151422">
                      <w:marLeft w:val="0"/>
                      <w:marRight w:val="0"/>
                      <w:marTop w:val="0"/>
                      <w:marBottom w:val="0"/>
                      <w:divBdr>
                        <w:top w:val="none" w:sz="0" w:space="0" w:color="auto"/>
                        <w:left w:val="none" w:sz="0" w:space="0" w:color="auto"/>
                        <w:bottom w:val="none" w:sz="0" w:space="0" w:color="auto"/>
                        <w:right w:val="none" w:sz="0" w:space="0" w:color="auto"/>
                      </w:divBdr>
                    </w:div>
                    <w:div w:id="294151502">
                      <w:marLeft w:val="0"/>
                      <w:marRight w:val="0"/>
                      <w:marTop w:val="0"/>
                      <w:marBottom w:val="0"/>
                      <w:divBdr>
                        <w:top w:val="none" w:sz="0" w:space="0" w:color="auto"/>
                        <w:left w:val="none" w:sz="0" w:space="0" w:color="auto"/>
                        <w:bottom w:val="none" w:sz="0" w:space="0" w:color="auto"/>
                        <w:right w:val="none" w:sz="0" w:space="0" w:color="auto"/>
                      </w:divBdr>
                      <w:divsChild>
                        <w:div w:id="294156660">
                          <w:marLeft w:val="0"/>
                          <w:marRight w:val="0"/>
                          <w:marTop w:val="0"/>
                          <w:marBottom w:val="0"/>
                          <w:divBdr>
                            <w:top w:val="none" w:sz="0" w:space="0" w:color="auto"/>
                            <w:left w:val="none" w:sz="0" w:space="0" w:color="auto"/>
                            <w:bottom w:val="none" w:sz="0" w:space="0" w:color="auto"/>
                            <w:right w:val="none" w:sz="0" w:space="0" w:color="auto"/>
                          </w:divBdr>
                        </w:div>
                      </w:divsChild>
                    </w:div>
                    <w:div w:id="294151597">
                      <w:marLeft w:val="0"/>
                      <w:marRight w:val="0"/>
                      <w:marTop w:val="0"/>
                      <w:marBottom w:val="0"/>
                      <w:divBdr>
                        <w:top w:val="none" w:sz="0" w:space="0" w:color="auto"/>
                        <w:left w:val="none" w:sz="0" w:space="0" w:color="auto"/>
                        <w:bottom w:val="none" w:sz="0" w:space="0" w:color="auto"/>
                        <w:right w:val="none" w:sz="0" w:space="0" w:color="auto"/>
                      </w:divBdr>
                      <w:divsChild>
                        <w:div w:id="294143861">
                          <w:marLeft w:val="0"/>
                          <w:marRight w:val="0"/>
                          <w:marTop w:val="0"/>
                          <w:marBottom w:val="0"/>
                          <w:divBdr>
                            <w:top w:val="none" w:sz="0" w:space="0" w:color="auto"/>
                            <w:left w:val="none" w:sz="0" w:space="0" w:color="auto"/>
                            <w:bottom w:val="none" w:sz="0" w:space="0" w:color="auto"/>
                            <w:right w:val="none" w:sz="0" w:space="0" w:color="auto"/>
                          </w:divBdr>
                        </w:div>
                      </w:divsChild>
                    </w:div>
                    <w:div w:id="294151700">
                      <w:marLeft w:val="0"/>
                      <w:marRight w:val="0"/>
                      <w:marTop w:val="0"/>
                      <w:marBottom w:val="0"/>
                      <w:divBdr>
                        <w:top w:val="none" w:sz="0" w:space="0" w:color="auto"/>
                        <w:left w:val="none" w:sz="0" w:space="0" w:color="auto"/>
                        <w:bottom w:val="none" w:sz="0" w:space="0" w:color="auto"/>
                        <w:right w:val="none" w:sz="0" w:space="0" w:color="auto"/>
                      </w:divBdr>
                    </w:div>
                    <w:div w:id="294151759">
                      <w:marLeft w:val="0"/>
                      <w:marRight w:val="0"/>
                      <w:marTop w:val="0"/>
                      <w:marBottom w:val="0"/>
                      <w:divBdr>
                        <w:top w:val="none" w:sz="0" w:space="0" w:color="auto"/>
                        <w:left w:val="none" w:sz="0" w:space="0" w:color="auto"/>
                        <w:bottom w:val="none" w:sz="0" w:space="0" w:color="auto"/>
                        <w:right w:val="none" w:sz="0" w:space="0" w:color="auto"/>
                      </w:divBdr>
                      <w:divsChild>
                        <w:div w:id="294146351">
                          <w:marLeft w:val="0"/>
                          <w:marRight w:val="0"/>
                          <w:marTop w:val="0"/>
                          <w:marBottom w:val="0"/>
                          <w:divBdr>
                            <w:top w:val="none" w:sz="0" w:space="0" w:color="auto"/>
                            <w:left w:val="none" w:sz="0" w:space="0" w:color="auto"/>
                            <w:bottom w:val="none" w:sz="0" w:space="0" w:color="auto"/>
                            <w:right w:val="none" w:sz="0" w:space="0" w:color="auto"/>
                          </w:divBdr>
                        </w:div>
                      </w:divsChild>
                    </w:div>
                    <w:div w:id="294151785">
                      <w:marLeft w:val="0"/>
                      <w:marRight w:val="0"/>
                      <w:marTop w:val="0"/>
                      <w:marBottom w:val="0"/>
                      <w:divBdr>
                        <w:top w:val="none" w:sz="0" w:space="0" w:color="auto"/>
                        <w:left w:val="none" w:sz="0" w:space="0" w:color="auto"/>
                        <w:bottom w:val="none" w:sz="0" w:space="0" w:color="auto"/>
                        <w:right w:val="none" w:sz="0" w:space="0" w:color="auto"/>
                      </w:divBdr>
                      <w:divsChild>
                        <w:div w:id="294138912">
                          <w:marLeft w:val="0"/>
                          <w:marRight w:val="0"/>
                          <w:marTop w:val="0"/>
                          <w:marBottom w:val="0"/>
                          <w:divBdr>
                            <w:top w:val="none" w:sz="0" w:space="0" w:color="auto"/>
                            <w:left w:val="none" w:sz="0" w:space="0" w:color="auto"/>
                            <w:bottom w:val="none" w:sz="0" w:space="0" w:color="auto"/>
                            <w:right w:val="none" w:sz="0" w:space="0" w:color="auto"/>
                          </w:divBdr>
                        </w:div>
                      </w:divsChild>
                    </w:div>
                    <w:div w:id="294151793">
                      <w:marLeft w:val="0"/>
                      <w:marRight w:val="0"/>
                      <w:marTop w:val="0"/>
                      <w:marBottom w:val="0"/>
                      <w:divBdr>
                        <w:top w:val="none" w:sz="0" w:space="0" w:color="auto"/>
                        <w:left w:val="none" w:sz="0" w:space="0" w:color="auto"/>
                        <w:bottom w:val="none" w:sz="0" w:space="0" w:color="auto"/>
                        <w:right w:val="none" w:sz="0" w:space="0" w:color="auto"/>
                      </w:divBdr>
                    </w:div>
                    <w:div w:id="294151843">
                      <w:marLeft w:val="0"/>
                      <w:marRight w:val="0"/>
                      <w:marTop w:val="0"/>
                      <w:marBottom w:val="0"/>
                      <w:divBdr>
                        <w:top w:val="none" w:sz="0" w:space="0" w:color="auto"/>
                        <w:left w:val="none" w:sz="0" w:space="0" w:color="auto"/>
                        <w:bottom w:val="none" w:sz="0" w:space="0" w:color="auto"/>
                        <w:right w:val="none" w:sz="0" w:space="0" w:color="auto"/>
                      </w:divBdr>
                      <w:divsChild>
                        <w:div w:id="294151615">
                          <w:marLeft w:val="0"/>
                          <w:marRight w:val="0"/>
                          <w:marTop w:val="0"/>
                          <w:marBottom w:val="0"/>
                          <w:divBdr>
                            <w:top w:val="none" w:sz="0" w:space="0" w:color="auto"/>
                            <w:left w:val="none" w:sz="0" w:space="0" w:color="auto"/>
                            <w:bottom w:val="none" w:sz="0" w:space="0" w:color="auto"/>
                            <w:right w:val="none" w:sz="0" w:space="0" w:color="auto"/>
                          </w:divBdr>
                        </w:div>
                      </w:divsChild>
                    </w:div>
                    <w:div w:id="294151870">
                      <w:marLeft w:val="0"/>
                      <w:marRight w:val="0"/>
                      <w:marTop w:val="0"/>
                      <w:marBottom w:val="0"/>
                      <w:divBdr>
                        <w:top w:val="none" w:sz="0" w:space="0" w:color="auto"/>
                        <w:left w:val="none" w:sz="0" w:space="0" w:color="auto"/>
                        <w:bottom w:val="none" w:sz="0" w:space="0" w:color="auto"/>
                        <w:right w:val="none" w:sz="0" w:space="0" w:color="auto"/>
                      </w:divBdr>
                    </w:div>
                    <w:div w:id="294151944">
                      <w:marLeft w:val="0"/>
                      <w:marRight w:val="0"/>
                      <w:marTop w:val="0"/>
                      <w:marBottom w:val="0"/>
                      <w:divBdr>
                        <w:top w:val="none" w:sz="0" w:space="0" w:color="auto"/>
                        <w:left w:val="none" w:sz="0" w:space="0" w:color="auto"/>
                        <w:bottom w:val="none" w:sz="0" w:space="0" w:color="auto"/>
                        <w:right w:val="none" w:sz="0" w:space="0" w:color="auto"/>
                      </w:divBdr>
                    </w:div>
                    <w:div w:id="294151964">
                      <w:marLeft w:val="0"/>
                      <w:marRight w:val="0"/>
                      <w:marTop w:val="0"/>
                      <w:marBottom w:val="0"/>
                      <w:divBdr>
                        <w:top w:val="none" w:sz="0" w:space="0" w:color="auto"/>
                        <w:left w:val="none" w:sz="0" w:space="0" w:color="auto"/>
                        <w:bottom w:val="none" w:sz="0" w:space="0" w:color="auto"/>
                        <w:right w:val="none" w:sz="0" w:space="0" w:color="auto"/>
                      </w:divBdr>
                    </w:div>
                    <w:div w:id="294152039">
                      <w:marLeft w:val="0"/>
                      <w:marRight w:val="0"/>
                      <w:marTop w:val="0"/>
                      <w:marBottom w:val="0"/>
                      <w:divBdr>
                        <w:top w:val="none" w:sz="0" w:space="0" w:color="auto"/>
                        <w:left w:val="none" w:sz="0" w:space="0" w:color="auto"/>
                        <w:bottom w:val="none" w:sz="0" w:space="0" w:color="auto"/>
                        <w:right w:val="none" w:sz="0" w:space="0" w:color="auto"/>
                      </w:divBdr>
                    </w:div>
                    <w:div w:id="294152041">
                      <w:marLeft w:val="0"/>
                      <w:marRight w:val="0"/>
                      <w:marTop w:val="0"/>
                      <w:marBottom w:val="0"/>
                      <w:divBdr>
                        <w:top w:val="none" w:sz="0" w:space="0" w:color="auto"/>
                        <w:left w:val="none" w:sz="0" w:space="0" w:color="auto"/>
                        <w:bottom w:val="none" w:sz="0" w:space="0" w:color="auto"/>
                        <w:right w:val="none" w:sz="0" w:space="0" w:color="auto"/>
                      </w:divBdr>
                      <w:divsChild>
                        <w:div w:id="294157251">
                          <w:marLeft w:val="0"/>
                          <w:marRight w:val="0"/>
                          <w:marTop w:val="0"/>
                          <w:marBottom w:val="0"/>
                          <w:divBdr>
                            <w:top w:val="none" w:sz="0" w:space="0" w:color="auto"/>
                            <w:left w:val="none" w:sz="0" w:space="0" w:color="auto"/>
                            <w:bottom w:val="none" w:sz="0" w:space="0" w:color="auto"/>
                            <w:right w:val="none" w:sz="0" w:space="0" w:color="auto"/>
                          </w:divBdr>
                        </w:div>
                      </w:divsChild>
                    </w:div>
                    <w:div w:id="294152073">
                      <w:marLeft w:val="0"/>
                      <w:marRight w:val="0"/>
                      <w:marTop w:val="0"/>
                      <w:marBottom w:val="0"/>
                      <w:divBdr>
                        <w:top w:val="none" w:sz="0" w:space="0" w:color="auto"/>
                        <w:left w:val="none" w:sz="0" w:space="0" w:color="auto"/>
                        <w:bottom w:val="none" w:sz="0" w:space="0" w:color="auto"/>
                        <w:right w:val="none" w:sz="0" w:space="0" w:color="auto"/>
                      </w:divBdr>
                    </w:div>
                    <w:div w:id="294152092">
                      <w:marLeft w:val="0"/>
                      <w:marRight w:val="0"/>
                      <w:marTop w:val="0"/>
                      <w:marBottom w:val="0"/>
                      <w:divBdr>
                        <w:top w:val="none" w:sz="0" w:space="0" w:color="auto"/>
                        <w:left w:val="none" w:sz="0" w:space="0" w:color="auto"/>
                        <w:bottom w:val="none" w:sz="0" w:space="0" w:color="auto"/>
                        <w:right w:val="none" w:sz="0" w:space="0" w:color="auto"/>
                      </w:divBdr>
                      <w:divsChild>
                        <w:div w:id="294149056">
                          <w:marLeft w:val="0"/>
                          <w:marRight w:val="0"/>
                          <w:marTop w:val="0"/>
                          <w:marBottom w:val="0"/>
                          <w:divBdr>
                            <w:top w:val="none" w:sz="0" w:space="0" w:color="auto"/>
                            <w:left w:val="none" w:sz="0" w:space="0" w:color="auto"/>
                            <w:bottom w:val="none" w:sz="0" w:space="0" w:color="auto"/>
                            <w:right w:val="none" w:sz="0" w:space="0" w:color="auto"/>
                          </w:divBdr>
                        </w:div>
                      </w:divsChild>
                    </w:div>
                    <w:div w:id="294152105">
                      <w:marLeft w:val="0"/>
                      <w:marRight w:val="0"/>
                      <w:marTop w:val="0"/>
                      <w:marBottom w:val="0"/>
                      <w:divBdr>
                        <w:top w:val="none" w:sz="0" w:space="0" w:color="auto"/>
                        <w:left w:val="none" w:sz="0" w:space="0" w:color="auto"/>
                        <w:bottom w:val="none" w:sz="0" w:space="0" w:color="auto"/>
                        <w:right w:val="none" w:sz="0" w:space="0" w:color="auto"/>
                      </w:divBdr>
                      <w:divsChild>
                        <w:div w:id="294153284">
                          <w:marLeft w:val="0"/>
                          <w:marRight w:val="0"/>
                          <w:marTop w:val="0"/>
                          <w:marBottom w:val="0"/>
                          <w:divBdr>
                            <w:top w:val="none" w:sz="0" w:space="0" w:color="auto"/>
                            <w:left w:val="none" w:sz="0" w:space="0" w:color="auto"/>
                            <w:bottom w:val="none" w:sz="0" w:space="0" w:color="auto"/>
                            <w:right w:val="none" w:sz="0" w:space="0" w:color="auto"/>
                          </w:divBdr>
                        </w:div>
                      </w:divsChild>
                    </w:div>
                    <w:div w:id="294152148">
                      <w:marLeft w:val="0"/>
                      <w:marRight w:val="0"/>
                      <w:marTop w:val="0"/>
                      <w:marBottom w:val="0"/>
                      <w:divBdr>
                        <w:top w:val="none" w:sz="0" w:space="0" w:color="auto"/>
                        <w:left w:val="none" w:sz="0" w:space="0" w:color="auto"/>
                        <w:bottom w:val="none" w:sz="0" w:space="0" w:color="auto"/>
                        <w:right w:val="none" w:sz="0" w:space="0" w:color="auto"/>
                      </w:divBdr>
                      <w:divsChild>
                        <w:div w:id="294155981">
                          <w:marLeft w:val="0"/>
                          <w:marRight w:val="0"/>
                          <w:marTop w:val="0"/>
                          <w:marBottom w:val="0"/>
                          <w:divBdr>
                            <w:top w:val="none" w:sz="0" w:space="0" w:color="auto"/>
                            <w:left w:val="none" w:sz="0" w:space="0" w:color="auto"/>
                            <w:bottom w:val="none" w:sz="0" w:space="0" w:color="auto"/>
                            <w:right w:val="none" w:sz="0" w:space="0" w:color="auto"/>
                          </w:divBdr>
                        </w:div>
                      </w:divsChild>
                    </w:div>
                    <w:div w:id="294152150">
                      <w:marLeft w:val="0"/>
                      <w:marRight w:val="0"/>
                      <w:marTop w:val="0"/>
                      <w:marBottom w:val="0"/>
                      <w:divBdr>
                        <w:top w:val="none" w:sz="0" w:space="0" w:color="auto"/>
                        <w:left w:val="none" w:sz="0" w:space="0" w:color="auto"/>
                        <w:bottom w:val="none" w:sz="0" w:space="0" w:color="auto"/>
                        <w:right w:val="none" w:sz="0" w:space="0" w:color="auto"/>
                      </w:divBdr>
                      <w:divsChild>
                        <w:div w:id="294152843">
                          <w:marLeft w:val="0"/>
                          <w:marRight w:val="0"/>
                          <w:marTop w:val="0"/>
                          <w:marBottom w:val="0"/>
                          <w:divBdr>
                            <w:top w:val="none" w:sz="0" w:space="0" w:color="auto"/>
                            <w:left w:val="none" w:sz="0" w:space="0" w:color="auto"/>
                            <w:bottom w:val="none" w:sz="0" w:space="0" w:color="auto"/>
                            <w:right w:val="none" w:sz="0" w:space="0" w:color="auto"/>
                          </w:divBdr>
                        </w:div>
                      </w:divsChild>
                    </w:div>
                    <w:div w:id="294152167">
                      <w:marLeft w:val="0"/>
                      <w:marRight w:val="0"/>
                      <w:marTop w:val="0"/>
                      <w:marBottom w:val="0"/>
                      <w:divBdr>
                        <w:top w:val="none" w:sz="0" w:space="0" w:color="auto"/>
                        <w:left w:val="none" w:sz="0" w:space="0" w:color="auto"/>
                        <w:bottom w:val="none" w:sz="0" w:space="0" w:color="auto"/>
                        <w:right w:val="none" w:sz="0" w:space="0" w:color="auto"/>
                      </w:divBdr>
                      <w:divsChild>
                        <w:div w:id="294157453">
                          <w:marLeft w:val="0"/>
                          <w:marRight w:val="0"/>
                          <w:marTop w:val="0"/>
                          <w:marBottom w:val="0"/>
                          <w:divBdr>
                            <w:top w:val="none" w:sz="0" w:space="0" w:color="auto"/>
                            <w:left w:val="none" w:sz="0" w:space="0" w:color="auto"/>
                            <w:bottom w:val="none" w:sz="0" w:space="0" w:color="auto"/>
                            <w:right w:val="none" w:sz="0" w:space="0" w:color="auto"/>
                          </w:divBdr>
                        </w:div>
                      </w:divsChild>
                    </w:div>
                    <w:div w:id="294152264">
                      <w:marLeft w:val="0"/>
                      <w:marRight w:val="0"/>
                      <w:marTop w:val="0"/>
                      <w:marBottom w:val="0"/>
                      <w:divBdr>
                        <w:top w:val="none" w:sz="0" w:space="0" w:color="auto"/>
                        <w:left w:val="none" w:sz="0" w:space="0" w:color="auto"/>
                        <w:bottom w:val="none" w:sz="0" w:space="0" w:color="auto"/>
                        <w:right w:val="none" w:sz="0" w:space="0" w:color="auto"/>
                      </w:divBdr>
                    </w:div>
                    <w:div w:id="294152381">
                      <w:marLeft w:val="0"/>
                      <w:marRight w:val="0"/>
                      <w:marTop w:val="0"/>
                      <w:marBottom w:val="0"/>
                      <w:divBdr>
                        <w:top w:val="none" w:sz="0" w:space="0" w:color="auto"/>
                        <w:left w:val="none" w:sz="0" w:space="0" w:color="auto"/>
                        <w:bottom w:val="none" w:sz="0" w:space="0" w:color="auto"/>
                        <w:right w:val="none" w:sz="0" w:space="0" w:color="auto"/>
                      </w:divBdr>
                    </w:div>
                    <w:div w:id="294152424">
                      <w:marLeft w:val="0"/>
                      <w:marRight w:val="0"/>
                      <w:marTop w:val="0"/>
                      <w:marBottom w:val="0"/>
                      <w:divBdr>
                        <w:top w:val="none" w:sz="0" w:space="0" w:color="auto"/>
                        <w:left w:val="none" w:sz="0" w:space="0" w:color="auto"/>
                        <w:bottom w:val="none" w:sz="0" w:space="0" w:color="auto"/>
                        <w:right w:val="none" w:sz="0" w:space="0" w:color="auto"/>
                      </w:divBdr>
                      <w:divsChild>
                        <w:div w:id="294151317">
                          <w:marLeft w:val="0"/>
                          <w:marRight w:val="0"/>
                          <w:marTop w:val="0"/>
                          <w:marBottom w:val="0"/>
                          <w:divBdr>
                            <w:top w:val="none" w:sz="0" w:space="0" w:color="auto"/>
                            <w:left w:val="none" w:sz="0" w:space="0" w:color="auto"/>
                            <w:bottom w:val="none" w:sz="0" w:space="0" w:color="auto"/>
                            <w:right w:val="none" w:sz="0" w:space="0" w:color="auto"/>
                          </w:divBdr>
                        </w:div>
                      </w:divsChild>
                    </w:div>
                    <w:div w:id="294152444">
                      <w:marLeft w:val="0"/>
                      <w:marRight w:val="0"/>
                      <w:marTop w:val="0"/>
                      <w:marBottom w:val="0"/>
                      <w:divBdr>
                        <w:top w:val="none" w:sz="0" w:space="0" w:color="auto"/>
                        <w:left w:val="none" w:sz="0" w:space="0" w:color="auto"/>
                        <w:bottom w:val="none" w:sz="0" w:space="0" w:color="auto"/>
                        <w:right w:val="none" w:sz="0" w:space="0" w:color="auto"/>
                      </w:divBdr>
                    </w:div>
                    <w:div w:id="294152515">
                      <w:marLeft w:val="0"/>
                      <w:marRight w:val="0"/>
                      <w:marTop w:val="0"/>
                      <w:marBottom w:val="0"/>
                      <w:divBdr>
                        <w:top w:val="none" w:sz="0" w:space="0" w:color="auto"/>
                        <w:left w:val="none" w:sz="0" w:space="0" w:color="auto"/>
                        <w:bottom w:val="none" w:sz="0" w:space="0" w:color="auto"/>
                        <w:right w:val="none" w:sz="0" w:space="0" w:color="auto"/>
                      </w:divBdr>
                      <w:divsChild>
                        <w:div w:id="294156275">
                          <w:marLeft w:val="0"/>
                          <w:marRight w:val="0"/>
                          <w:marTop w:val="0"/>
                          <w:marBottom w:val="0"/>
                          <w:divBdr>
                            <w:top w:val="none" w:sz="0" w:space="0" w:color="auto"/>
                            <w:left w:val="none" w:sz="0" w:space="0" w:color="auto"/>
                            <w:bottom w:val="none" w:sz="0" w:space="0" w:color="auto"/>
                            <w:right w:val="none" w:sz="0" w:space="0" w:color="auto"/>
                          </w:divBdr>
                        </w:div>
                      </w:divsChild>
                    </w:div>
                    <w:div w:id="294152629">
                      <w:marLeft w:val="0"/>
                      <w:marRight w:val="0"/>
                      <w:marTop w:val="0"/>
                      <w:marBottom w:val="0"/>
                      <w:divBdr>
                        <w:top w:val="none" w:sz="0" w:space="0" w:color="auto"/>
                        <w:left w:val="none" w:sz="0" w:space="0" w:color="auto"/>
                        <w:bottom w:val="none" w:sz="0" w:space="0" w:color="auto"/>
                        <w:right w:val="none" w:sz="0" w:space="0" w:color="auto"/>
                      </w:divBdr>
                    </w:div>
                    <w:div w:id="294152958">
                      <w:marLeft w:val="0"/>
                      <w:marRight w:val="0"/>
                      <w:marTop w:val="0"/>
                      <w:marBottom w:val="0"/>
                      <w:divBdr>
                        <w:top w:val="none" w:sz="0" w:space="0" w:color="auto"/>
                        <w:left w:val="none" w:sz="0" w:space="0" w:color="auto"/>
                        <w:bottom w:val="none" w:sz="0" w:space="0" w:color="auto"/>
                        <w:right w:val="none" w:sz="0" w:space="0" w:color="auto"/>
                      </w:divBdr>
                    </w:div>
                    <w:div w:id="294152977">
                      <w:marLeft w:val="0"/>
                      <w:marRight w:val="0"/>
                      <w:marTop w:val="0"/>
                      <w:marBottom w:val="0"/>
                      <w:divBdr>
                        <w:top w:val="none" w:sz="0" w:space="0" w:color="auto"/>
                        <w:left w:val="none" w:sz="0" w:space="0" w:color="auto"/>
                        <w:bottom w:val="none" w:sz="0" w:space="0" w:color="auto"/>
                        <w:right w:val="none" w:sz="0" w:space="0" w:color="auto"/>
                      </w:divBdr>
                    </w:div>
                    <w:div w:id="294152982">
                      <w:marLeft w:val="0"/>
                      <w:marRight w:val="0"/>
                      <w:marTop w:val="0"/>
                      <w:marBottom w:val="0"/>
                      <w:divBdr>
                        <w:top w:val="none" w:sz="0" w:space="0" w:color="auto"/>
                        <w:left w:val="none" w:sz="0" w:space="0" w:color="auto"/>
                        <w:bottom w:val="none" w:sz="0" w:space="0" w:color="auto"/>
                        <w:right w:val="none" w:sz="0" w:space="0" w:color="auto"/>
                      </w:divBdr>
                      <w:divsChild>
                        <w:div w:id="294151563">
                          <w:marLeft w:val="0"/>
                          <w:marRight w:val="0"/>
                          <w:marTop w:val="0"/>
                          <w:marBottom w:val="0"/>
                          <w:divBdr>
                            <w:top w:val="none" w:sz="0" w:space="0" w:color="auto"/>
                            <w:left w:val="none" w:sz="0" w:space="0" w:color="auto"/>
                            <w:bottom w:val="none" w:sz="0" w:space="0" w:color="auto"/>
                            <w:right w:val="none" w:sz="0" w:space="0" w:color="auto"/>
                          </w:divBdr>
                        </w:div>
                      </w:divsChild>
                    </w:div>
                    <w:div w:id="294153009">
                      <w:marLeft w:val="0"/>
                      <w:marRight w:val="0"/>
                      <w:marTop w:val="0"/>
                      <w:marBottom w:val="0"/>
                      <w:divBdr>
                        <w:top w:val="none" w:sz="0" w:space="0" w:color="auto"/>
                        <w:left w:val="none" w:sz="0" w:space="0" w:color="auto"/>
                        <w:bottom w:val="none" w:sz="0" w:space="0" w:color="auto"/>
                        <w:right w:val="none" w:sz="0" w:space="0" w:color="auto"/>
                      </w:divBdr>
                      <w:divsChild>
                        <w:div w:id="294156510">
                          <w:marLeft w:val="0"/>
                          <w:marRight w:val="0"/>
                          <w:marTop w:val="0"/>
                          <w:marBottom w:val="0"/>
                          <w:divBdr>
                            <w:top w:val="none" w:sz="0" w:space="0" w:color="auto"/>
                            <w:left w:val="none" w:sz="0" w:space="0" w:color="auto"/>
                            <w:bottom w:val="none" w:sz="0" w:space="0" w:color="auto"/>
                            <w:right w:val="none" w:sz="0" w:space="0" w:color="auto"/>
                          </w:divBdr>
                        </w:div>
                      </w:divsChild>
                    </w:div>
                    <w:div w:id="294153010">
                      <w:marLeft w:val="0"/>
                      <w:marRight w:val="0"/>
                      <w:marTop w:val="0"/>
                      <w:marBottom w:val="0"/>
                      <w:divBdr>
                        <w:top w:val="none" w:sz="0" w:space="0" w:color="auto"/>
                        <w:left w:val="none" w:sz="0" w:space="0" w:color="auto"/>
                        <w:bottom w:val="none" w:sz="0" w:space="0" w:color="auto"/>
                        <w:right w:val="none" w:sz="0" w:space="0" w:color="auto"/>
                      </w:divBdr>
                      <w:divsChild>
                        <w:div w:id="294153738">
                          <w:marLeft w:val="0"/>
                          <w:marRight w:val="0"/>
                          <w:marTop w:val="0"/>
                          <w:marBottom w:val="0"/>
                          <w:divBdr>
                            <w:top w:val="none" w:sz="0" w:space="0" w:color="auto"/>
                            <w:left w:val="none" w:sz="0" w:space="0" w:color="auto"/>
                            <w:bottom w:val="none" w:sz="0" w:space="0" w:color="auto"/>
                            <w:right w:val="none" w:sz="0" w:space="0" w:color="auto"/>
                          </w:divBdr>
                        </w:div>
                      </w:divsChild>
                    </w:div>
                    <w:div w:id="294153049">
                      <w:marLeft w:val="0"/>
                      <w:marRight w:val="0"/>
                      <w:marTop w:val="0"/>
                      <w:marBottom w:val="0"/>
                      <w:divBdr>
                        <w:top w:val="none" w:sz="0" w:space="0" w:color="auto"/>
                        <w:left w:val="none" w:sz="0" w:space="0" w:color="auto"/>
                        <w:bottom w:val="none" w:sz="0" w:space="0" w:color="auto"/>
                        <w:right w:val="none" w:sz="0" w:space="0" w:color="auto"/>
                      </w:divBdr>
                      <w:divsChild>
                        <w:div w:id="294157257">
                          <w:marLeft w:val="0"/>
                          <w:marRight w:val="0"/>
                          <w:marTop w:val="0"/>
                          <w:marBottom w:val="0"/>
                          <w:divBdr>
                            <w:top w:val="none" w:sz="0" w:space="0" w:color="auto"/>
                            <w:left w:val="none" w:sz="0" w:space="0" w:color="auto"/>
                            <w:bottom w:val="none" w:sz="0" w:space="0" w:color="auto"/>
                            <w:right w:val="none" w:sz="0" w:space="0" w:color="auto"/>
                          </w:divBdr>
                        </w:div>
                      </w:divsChild>
                    </w:div>
                    <w:div w:id="294153141">
                      <w:marLeft w:val="0"/>
                      <w:marRight w:val="0"/>
                      <w:marTop w:val="0"/>
                      <w:marBottom w:val="0"/>
                      <w:divBdr>
                        <w:top w:val="none" w:sz="0" w:space="0" w:color="auto"/>
                        <w:left w:val="none" w:sz="0" w:space="0" w:color="auto"/>
                        <w:bottom w:val="none" w:sz="0" w:space="0" w:color="auto"/>
                        <w:right w:val="none" w:sz="0" w:space="0" w:color="auto"/>
                      </w:divBdr>
                    </w:div>
                    <w:div w:id="294153199">
                      <w:marLeft w:val="0"/>
                      <w:marRight w:val="0"/>
                      <w:marTop w:val="0"/>
                      <w:marBottom w:val="0"/>
                      <w:divBdr>
                        <w:top w:val="none" w:sz="0" w:space="0" w:color="auto"/>
                        <w:left w:val="none" w:sz="0" w:space="0" w:color="auto"/>
                        <w:bottom w:val="none" w:sz="0" w:space="0" w:color="auto"/>
                        <w:right w:val="none" w:sz="0" w:space="0" w:color="auto"/>
                      </w:divBdr>
                    </w:div>
                    <w:div w:id="294153234">
                      <w:marLeft w:val="0"/>
                      <w:marRight w:val="0"/>
                      <w:marTop w:val="0"/>
                      <w:marBottom w:val="0"/>
                      <w:divBdr>
                        <w:top w:val="none" w:sz="0" w:space="0" w:color="auto"/>
                        <w:left w:val="none" w:sz="0" w:space="0" w:color="auto"/>
                        <w:bottom w:val="none" w:sz="0" w:space="0" w:color="auto"/>
                        <w:right w:val="none" w:sz="0" w:space="0" w:color="auto"/>
                      </w:divBdr>
                      <w:divsChild>
                        <w:div w:id="294142867">
                          <w:marLeft w:val="0"/>
                          <w:marRight w:val="0"/>
                          <w:marTop w:val="0"/>
                          <w:marBottom w:val="0"/>
                          <w:divBdr>
                            <w:top w:val="none" w:sz="0" w:space="0" w:color="auto"/>
                            <w:left w:val="none" w:sz="0" w:space="0" w:color="auto"/>
                            <w:bottom w:val="none" w:sz="0" w:space="0" w:color="auto"/>
                            <w:right w:val="none" w:sz="0" w:space="0" w:color="auto"/>
                          </w:divBdr>
                        </w:div>
                      </w:divsChild>
                    </w:div>
                    <w:div w:id="294153257">
                      <w:marLeft w:val="0"/>
                      <w:marRight w:val="0"/>
                      <w:marTop w:val="0"/>
                      <w:marBottom w:val="0"/>
                      <w:divBdr>
                        <w:top w:val="none" w:sz="0" w:space="0" w:color="auto"/>
                        <w:left w:val="none" w:sz="0" w:space="0" w:color="auto"/>
                        <w:bottom w:val="none" w:sz="0" w:space="0" w:color="auto"/>
                        <w:right w:val="none" w:sz="0" w:space="0" w:color="auto"/>
                      </w:divBdr>
                      <w:divsChild>
                        <w:div w:id="294144258">
                          <w:marLeft w:val="0"/>
                          <w:marRight w:val="0"/>
                          <w:marTop w:val="0"/>
                          <w:marBottom w:val="0"/>
                          <w:divBdr>
                            <w:top w:val="none" w:sz="0" w:space="0" w:color="auto"/>
                            <w:left w:val="none" w:sz="0" w:space="0" w:color="auto"/>
                            <w:bottom w:val="none" w:sz="0" w:space="0" w:color="auto"/>
                            <w:right w:val="none" w:sz="0" w:space="0" w:color="auto"/>
                          </w:divBdr>
                        </w:div>
                      </w:divsChild>
                    </w:div>
                    <w:div w:id="294153291">
                      <w:marLeft w:val="0"/>
                      <w:marRight w:val="0"/>
                      <w:marTop w:val="0"/>
                      <w:marBottom w:val="0"/>
                      <w:divBdr>
                        <w:top w:val="none" w:sz="0" w:space="0" w:color="auto"/>
                        <w:left w:val="none" w:sz="0" w:space="0" w:color="auto"/>
                        <w:bottom w:val="none" w:sz="0" w:space="0" w:color="auto"/>
                        <w:right w:val="none" w:sz="0" w:space="0" w:color="auto"/>
                      </w:divBdr>
                      <w:divsChild>
                        <w:div w:id="294154351">
                          <w:marLeft w:val="0"/>
                          <w:marRight w:val="0"/>
                          <w:marTop w:val="0"/>
                          <w:marBottom w:val="0"/>
                          <w:divBdr>
                            <w:top w:val="none" w:sz="0" w:space="0" w:color="auto"/>
                            <w:left w:val="none" w:sz="0" w:space="0" w:color="auto"/>
                            <w:bottom w:val="none" w:sz="0" w:space="0" w:color="auto"/>
                            <w:right w:val="none" w:sz="0" w:space="0" w:color="auto"/>
                          </w:divBdr>
                        </w:div>
                      </w:divsChild>
                    </w:div>
                    <w:div w:id="294153371">
                      <w:marLeft w:val="0"/>
                      <w:marRight w:val="0"/>
                      <w:marTop w:val="0"/>
                      <w:marBottom w:val="0"/>
                      <w:divBdr>
                        <w:top w:val="none" w:sz="0" w:space="0" w:color="auto"/>
                        <w:left w:val="none" w:sz="0" w:space="0" w:color="auto"/>
                        <w:bottom w:val="none" w:sz="0" w:space="0" w:color="auto"/>
                        <w:right w:val="none" w:sz="0" w:space="0" w:color="auto"/>
                      </w:divBdr>
                      <w:divsChild>
                        <w:div w:id="294141085">
                          <w:marLeft w:val="0"/>
                          <w:marRight w:val="0"/>
                          <w:marTop w:val="0"/>
                          <w:marBottom w:val="0"/>
                          <w:divBdr>
                            <w:top w:val="none" w:sz="0" w:space="0" w:color="auto"/>
                            <w:left w:val="none" w:sz="0" w:space="0" w:color="auto"/>
                            <w:bottom w:val="none" w:sz="0" w:space="0" w:color="auto"/>
                            <w:right w:val="none" w:sz="0" w:space="0" w:color="auto"/>
                          </w:divBdr>
                        </w:div>
                      </w:divsChild>
                    </w:div>
                    <w:div w:id="294153451">
                      <w:marLeft w:val="0"/>
                      <w:marRight w:val="0"/>
                      <w:marTop w:val="0"/>
                      <w:marBottom w:val="0"/>
                      <w:divBdr>
                        <w:top w:val="none" w:sz="0" w:space="0" w:color="auto"/>
                        <w:left w:val="none" w:sz="0" w:space="0" w:color="auto"/>
                        <w:bottom w:val="none" w:sz="0" w:space="0" w:color="auto"/>
                        <w:right w:val="none" w:sz="0" w:space="0" w:color="auto"/>
                      </w:divBdr>
                      <w:divsChild>
                        <w:div w:id="294140737">
                          <w:marLeft w:val="0"/>
                          <w:marRight w:val="0"/>
                          <w:marTop w:val="0"/>
                          <w:marBottom w:val="0"/>
                          <w:divBdr>
                            <w:top w:val="none" w:sz="0" w:space="0" w:color="auto"/>
                            <w:left w:val="none" w:sz="0" w:space="0" w:color="auto"/>
                            <w:bottom w:val="none" w:sz="0" w:space="0" w:color="auto"/>
                            <w:right w:val="none" w:sz="0" w:space="0" w:color="auto"/>
                          </w:divBdr>
                        </w:div>
                      </w:divsChild>
                    </w:div>
                    <w:div w:id="294153511">
                      <w:marLeft w:val="0"/>
                      <w:marRight w:val="0"/>
                      <w:marTop w:val="0"/>
                      <w:marBottom w:val="0"/>
                      <w:divBdr>
                        <w:top w:val="none" w:sz="0" w:space="0" w:color="auto"/>
                        <w:left w:val="none" w:sz="0" w:space="0" w:color="auto"/>
                        <w:bottom w:val="none" w:sz="0" w:space="0" w:color="auto"/>
                        <w:right w:val="none" w:sz="0" w:space="0" w:color="auto"/>
                      </w:divBdr>
                      <w:divsChild>
                        <w:div w:id="294154422">
                          <w:marLeft w:val="0"/>
                          <w:marRight w:val="0"/>
                          <w:marTop w:val="0"/>
                          <w:marBottom w:val="0"/>
                          <w:divBdr>
                            <w:top w:val="none" w:sz="0" w:space="0" w:color="auto"/>
                            <w:left w:val="none" w:sz="0" w:space="0" w:color="auto"/>
                            <w:bottom w:val="none" w:sz="0" w:space="0" w:color="auto"/>
                            <w:right w:val="none" w:sz="0" w:space="0" w:color="auto"/>
                          </w:divBdr>
                        </w:div>
                      </w:divsChild>
                    </w:div>
                    <w:div w:id="294153531">
                      <w:marLeft w:val="0"/>
                      <w:marRight w:val="0"/>
                      <w:marTop w:val="0"/>
                      <w:marBottom w:val="0"/>
                      <w:divBdr>
                        <w:top w:val="none" w:sz="0" w:space="0" w:color="auto"/>
                        <w:left w:val="none" w:sz="0" w:space="0" w:color="auto"/>
                        <w:bottom w:val="none" w:sz="0" w:space="0" w:color="auto"/>
                        <w:right w:val="none" w:sz="0" w:space="0" w:color="auto"/>
                      </w:divBdr>
                      <w:divsChild>
                        <w:div w:id="294151419">
                          <w:marLeft w:val="0"/>
                          <w:marRight w:val="0"/>
                          <w:marTop w:val="0"/>
                          <w:marBottom w:val="0"/>
                          <w:divBdr>
                            <w:top w:val="none" w:sz="0" w:space="0" w:color="auto"/>
                            <w:left w:val="none" w:sz="0" w:space="0" w:color="auto"/>
                            <w:bottom w:val="none" w:sz="0" w:space="0" w:color="auto"/>
                            <w:right w:val="none" w:sz="0" w:space="0" w:color="auto"/>
                          </w:divBdr>
                        </w:div>
                      </w:divsChild>
                    </w:div>
                    <w:div w:id="294153629">
                      <w:marLeft w:val="0"/>
                      <w:marRight w:val="0"/>
                      <w:marTop w:val="0"/>
                      <w:marBottom w:val="0"/>
                      <w:divBdr>
                        <w:top w:val="none" w:sz="0" w:space="0" w:color="auto"/>
                        <w:left w:val="none" w:sz="0" w:space="0" w:color="auto"/>
                        <w:bottom w:val="none" w:sz="0" w:space="0" w:color="auto"/>
                        <w:right w:val="none" w:sz="0" w:space="0" w:color="auto"/>
                      </w:divBdr>
                      <w:divsChild>
                        <w:div w:id="294153686">
                          <w:marLeft w:val="0"/>
                          <w:marRight w:val="0"/>
                          <w:marTop w:val="0"/>
                          <w:marBottom w:val="0"/>
                          <w:divBdr>
                            <w:top w:val="none" w:sz="0" w:space="0" w:color="auto"/>
                            <w:left w:val="none" w:sz="0" w:space="0" w:color="auto"/>
                            <w:bottom w:val="none" w:sz="0" w:space="0" w:color="auto"/>
                            <w:right w:val="none" w:sz="0" w:space="0" w:color="auto"/>
                          </w:divBdr>
                        </w:div>
                      </w:divsChild>
                    </w:div>
                    <w:div w:id="294153638">
                      <w:marLeft w:val="0"/>
                      <w:marRight w:val="0"/>
                      <w:marTop w:val="0"/>
                      <w:marBottom w:val="0"/>
                      <w:divBdr>
                        <w:top w:val="none" w:sz="0" w:space="0" w:color="auto"/>
                        <w:left w:val="none" w:sz="0" w:space="0" w:color="auto"/>
                        <w:bottom w:val="none" w:sz="0" w:space="0" w:color="auto"/>
                        <w:right w:val="none" w:sz="0" w:space="0" w:color="auto"/>
                      </w:divBdr>
                      <w:divsChild>
                        <w:div w:id="294156103">
                          <w:marLeft w:val="0"/>
                          <w:marRight w:val="0"/>
                          <w:marTop w:val="0"/>
                          <w:marBottom w:val="0"/>
                          <w:divBdr>
                            <w:top w:val="none" w:sz="0" w:space="0" w:color="auto"/>
                            <w:left w:val="none" w:sz="0" w:space="0" w:color="auto"/>
                            <w:bottom w:val="none" w:sz="0" w:space="0" w:color="auto"/>
                            <w:right w:val="none" w:sz="0" w:space="0" w:color="auto"/>
                          </w:divBdr>
                        </w:div>
                      </w:divsChild>
                    </w:div>
                    <w:div w:id="294153697">
                      <w:marLeft w:val="0"/>
                      <w:marRight w:val="0"/>
                      <w:marTop w:val="0"/>
                      <w:marBottom w:val="0"/>
                      <w:divBdr>
                        <w:top w:val="none" w:sz="0" w:space="0" w:color="auto"/>
                        <w:left w:val="none" w:sz="0" w:space="0" w:color="auto"/>
                        <w:bottom w:val="none" w:sz="0" w:space="0" w:color="auto"/>
                        <w:right w:val="none" w:sz="0" w:space="0" w:color="auto"/>
                      </w:divBdr>
                    </w:div>
                    <w:div w:id="294153737">
                      <w:marLeft w:val="0"/>
                      <w:marRight w:val="0"/>
                      <w:marTop w:val="0"/>
                      <w:marBottom w:val="0"/>
                      <w:divBdr>
                        <w:top w:val="none" w:sz="0" w:space="0" w:color="auto"/>
                        <w:left w:val="none" w:sz="0" w:space="0" w:color="auto"/>
                        <w:bottom w:val="none" w:sz="0" w:space="0" w:color="auto"/>
                        <w:right w:val="none" w:sz="0" w:space="0" w:color="auto"/>
                      </w:divBdr>
                    </w:div>
                    <w:div w:id="294153770">
                      <w:marLeft w:val="0"/>
                      <w:marRight w:val="0"/>
                      <w:marTop w:val="0"/>
                      <w:marBottom w:val="0"/>
                      <w:divBdr>
                        <w:top w:val="none" w:sz="0" w:space="0" w:color="auto"/>
                        <w:left w:val="none" w:sz="0" w:space="0" w:color="auto"/>
                        <w:bottom w:val="none" w:sz="0" w:space="0" w:color="auto"/>
                        <w:right w:val="none" w:sz="0" w:space="0" w:color="auto"/>
                      </w:divBdr>
                    </w:div>
                    <w:div w:id="294153802">
                      <w:marLeft w:val="0"/>
                      <w:marRight w:val="0"/>
                      <w:marTop w:val="0"/>
                      <w:marBottom w:val="0"/>
                      <w:divBdr>
                        <w:top w:val="none" w:sz="0" w:space="0" w:color="auto"/>
                        <w:left w:val="none" w:sz="0" w:space="0" w:color="auto"/>
                        <w:bottom w:val="none" w:sz="0" w:space="0" w:color="auto"/>
                        <w:right w:val="none" w:sz="0" w:space="0" w:color="auto"/>
                      </w:divBdr>
                      <w:divsChild>
                        <w:div w:id="294147469">
                          <w:marLeft w:val="0"/>
                          <w:marRight w:val="0"/>
                          <w:marTop w:val="0"/>
                          <w:marBottom w:val="0"/>
                          <w:divBdr>
                            <w:top w:val="none" w:sz="0" w:space="0" w:color="auto"/>
                            <w:left w:val="none" w:sz="0" w:space="0" w:color="auto"/>
                            <w:bottom w:val="none" w:sz="0" w:space="0" w:color="auto"/>
                            <w:right w:val="none" w:sz="0" w:space="0" w:color="auto"/>
                          </w:divBdr>
                        </w:div>
                      </w:divsChild>
                    </w:div>
                    <w:div w:id="294153821">
                      <w:marLeft w:val="0"/>
                      <w:marRight w:val="0"/>
                      <w:marTop w:val="0"/>
                      <w:marBottom w:val="0"/>
                      <w:divBdr>
                        <w:top w:val="none" w:sz="0" w:space="0" w:color="auto"/>
                        <w:left w:val="none" w:sz="0" w:space="0" w:color="auto"/>
                        <w:bottom w:val="none" w:sz="0" w:space="0" w:color="auto"/>
                        <w:right w:val="none" w:sz="0" w:space="0" w:color="auto"/>
                      </w:divBdr>
                      <w:divsChild>
                        <w:div w:id="294138789">
                          <w:marLeft w:val="0"/>
                          <w:marRight w:val="0"/>
                          <w:marTop w:val="0"/>
                          <w:marBottom w:val="0"/>
                          <w:divBdr>
                            <w:top w:val="none" w:sz="0" w:space="0" w:color="auto"/>
                            <w:left w:val="none" w:sz="0" w:space="0" w:color="auto"/>
                            <w:bottom w:val="none" w:sz="0" w:space="0" w:color="auto"/>
                            <w:right w:val="none" w:sz="0" w:space="0" w:color="auto"/>
                          </w:divBdr>
                        </w:div>
                      </w:divsChild>
                    </w:div>
                    <w:div w:id="294153861">
                      <w:marLeft w:val="0"/>
                      <w:marRight w:val="0"/>
                      <w:marTop w:val="0"/>
                      <w:marBottom w:val="0"/>
                      <w:divBdr>
                        <w:top w:val="none" w:sz="0" w:space="0" w:color="auto"/>
                        <w:left w:val="none" w:sz="0" w:space="0" w:color="auto"/>
                        <w:bottom w:val="none" w:sz="0" w:space="0" w:color="auto"/>
                        <w:right w:val="none" w:sz="0" w:space="0" w:color="auto"/>
                      </w:divBdr>
                    </w:div>
                    <w:div w:id="294153937">
                      <w:marLeft w:val="0"/>
                      <w:marRight w:val="0"/>
                      <w:marTop w:val="0"/>
                      <w:marBottom w:val="0"/>
                      <w:divBdr>
                        <w:top w:val="none" w:sz="0" w:space="0" w:color="auto"/>
                        <w:left w:val="none" w:sz="0" w:space="0" w:color="auto"/>
                        <w:bottom w:val="none" w:sz="0" w:space="0" w:color="auto"/>
                        <w:right w:val="none" w:sz="0" w:space="0" w:color="auto"/>
                      </w:divBdr>
                      <w:divsChild>
                        <w:div w:id="294139109">
                          <w:marLeft w:val="0"/>
                          <w:marRight w:val="0"/>
                          <w:marTop w:val="0"/>
                          <w:marBottom w:val="0"/>
                          <w:divBdr>
                            <w:top w:val="none" w:sz="0" w:space="0" w:color="auto"/>
                            <w:left w:val="none" w:sz="0" w:space="0" w:color="auto"/>
                            <w:bottom w:val="none" w:sz="0" w:space="0" w:color="auto"/>
                            <w:right w:val="none" w:sz="0" w:space="0" w:color="auto"/>
                          </w:divBdr>
                        </w:div>
                      </w:divsChild>
                    </w:div>
                    <w:div w:id="294153977">
                      <w:marLeft w:val="0"/>
                      <w:marRight w:val="0"/>
                      <w:marTop w:val="0"/>
                      <w:marBottom w:val="0"/>
                      <w:divBdr>
                        <w:top w:val="none" w:sz="0" w:space="0" w:color="auto"/>
                        <w:left w:val="none" w:sz="0" w:space="0" w:color="auto"/>
                        <w:bottom w:val="none" w:sz="0" w:space="0" w:color="auto"/>
                        <w:right w:val="none" w:sz="0" w:space="0" w:color="auto"/>
                      </w:divBdr>
                    </w:div>
                    <w:div w:id="294154046">
                      <w:marLeft w:val="0"/>
                      <w:marRight w:val="0"/>
                      <w:marTop w:val="0"/>
                      <w:marBottom w:val="0"/>
                      <w:divBdr>
                        <w:top w:val="none" w:sz="0" w:space="0" w:color="auto"/>
                        <w:left w:val="none" w:sz="0" w:space="0" w:color="auto"/>
                        <w:bottom w:val="none" w:sz="0" w:space="0" w:color="auto"/>
                        <w:right w:val="none" w:sz="0" w:space="0" w:color="auto"/>
                      </w:divBdr>
                    </w:div>
                    <w:div w:id="294154066">
                      <w:marLeft w:val="0"/>
                      <w:marRight w:val="0"/>
                      <w:marTop w:val="0"/>
                      <w:marBottom w:val="0"/>
                      <w:divBdr>
                        <w:top w:val="none" w:sz="0" w:space="0" w:color="auto"/>
                        <w:left w:val="none" w:sz="0" w:space="0" w:color="auto"/>
                        <w:bottom w:val="none" w:sz="0" w:space="0" w:color="auto"/>
                        <w:right w:val="none" w:sz="0" w:space="0" w:color="auto"/>
                      </w:divBdr>
                      <w:divsChild>
                        <w:div w:id="294154350">
                          <w:marLeft w:val="0"/>
                          <w:marRight w:val="0"/>
                          <w:marTop w:val="0"/>
                          <w:marBottom w:val="0"/>
                          <w:divBdr>
                            <w:top w:val="none" w:sz="0" w:space="0" w:color="auto"/>
                            <w:left w:val="none" w:sz="0" w:space="0" w:color="auto"/>
                            <w:bottom w:val="none" w:sz="0" w:space="0" w:color="auto"/>
                            <w:right w:val="none" w:sz="0" w:space="0" w:color="auto"/>
                          </w:divBdr>
                        </w:div>
                      </w:divsChild>
                    </w:div>
                    <w:div w:id="294154080">
                      <w:marLeft w:val="0"/>
                      <w:marRight w:val="0"/>
                      <w:marTop w:val="0"/>
                      <w:marBottom w:val="0"/>
                      <w:divBdr>
                        <w:top w:val="none" w:sz="0" w:space="0" w:color="auto"/>
                        <w:left w:val="none" w:sz="0" w:space="0" w:color="auto"/>
                        <w:bottom w:val="none" w:sz="0" w:space="0" w:color="auto"/>
                        <w:right w:val="none" w:sz="0" w:space="0" w:color="auto"/>
                      </w:divBdr>
                      <w:divsChild>
                        <w:div w:id="294152734">
                          <w:marLeft w:val="0"/>
                          <w:marRight w:val="0"/>
                          <w:marTop w:val="0"/>
                          <w:marBottom w:val="0"/>
                          <w:divBdr>
                            <w:top w:val="none" w:sz="0" w:space="0" w:color="auto"/>
                            <w:left w:val="none" w:sz="0" w:space="0" w:color="auto"/>
                            <w:bottom w:val="none" w:sz="0" w:space="0" w:color="auto"/>
                            <w:right w:val="none" w:sz="0" w:space="0" w:color="auto"/>
                          </w:divBdr>
                        </w:div>
                      </w:divsChild>
                    </w:div>
                    <w:div w:id="294154081">
                      <w:marLeft w:val="0"/>
                      <w:marRight w:val="0"/>
                      <w:marTop w:val="0"/>
                      <w:marBottom w:val="0"/>
                      <w:divBdr>
                        <w:top w:val="none" w:sz="0" w:space="0" w:color="auto"/>
                        <w:left w:val="none" w:sz="0" w:space="0" w:color="auto"/>
                        <w:bottom w:val="none" w:sz="0" w:space="0" w:color="auto"/>
                        <w:right w:val="none" w:sz="0" w:space="0" w:color="auto"/>
                      </w:divBdr>
                    </w:div>
                    <w:div w:id="294154101">
                      <w:marLeft w:val="0"/>
                      <w:marRight w:val="0"/>
                      <w:marTop w:val="0"/>
                      <w:marBottom w:val="0"/>
                      <w:divBdr>
                        <w:top w:val="none" w:sz="0" w:space="0" w:color="auto"/>
                        <w:left w:val="none" w:sz="0" w:space="0" w:color="auto"/>
                        <w:bottom w:val="none" w:sz="0" w:space="0" w:color="auto"/>
                        <w:right w:val="none" w:sz="0" w:space="0" w:color="auto"/>
                      </w:divBdr>
                    </w:div>
                    <w:div w:id="294154213">
                      <w:marLeft w:val="0"/>
                      <w:marRight w:val="0"/>
                      <w:marTop w:val="0"/>
                      <w:marBottom w:val="0"/>
                      <w:divBdr>
                        <w:top w:val="none" w:sz="0" w:space="0" w:color="auto"/>
                        <w:left w:val="none" w:sz="0" w:space="0" w:color="auto"/>
                        <w:bottom w:val="none" w:sz="0" w:space="0" w:color="auto"/>
                        <w:right w:val="none" w:sz="0" w:space="0" w:color="auto"/>
                      </w:divBdr>
                    </w:div>
                    <w:div w:id="294154310">
                      <w:marLeft w:val="0"/>
                      <w:marRight w:val="0"/>
                      <w:marTop w:val="0"/>
                      <w:marBottom w:val="0"/>
                      <w:divBdr>
                        <w:top w:val="none" w:sz="0" w:space="0" w:color="auto"/>
                        <w:left w:val="none" w:sz="0" w:space="0" w:color="auto"/>
                        <w:bottom w:val="none" w:sz="0" w:space="0" w:color="auto"/>
                        <w:right w:val="none" w:sz="0" w:space="0" w:color="auto"/>
                      </w:divBdr>
                    </w:div>
                    <w:div w:id="294154332">
                      <w:marLeft w:val="0"/>
                      <w:marRight w:val="0"/>
                      <w:marTop w:val="0"/>
                      <w:marBottom w:val="0"/>
                      <w:divBdr>
                        <w:top w:val="none" w:sz="0" w:space="0" w:color="auto"/>
                        <w:left w:val="none" w:sz="0" w:space="0" w:color="auto"/>
                        <w:bottom w:val="none" w:sz="0" w:space="0" w:color="auto"/>
                        <w:right w:val="none" w:sz="0" w:space="0" w:color="auto"/>
                      </w:divBdr>
                    </w:div>
                    <w:div w:id="294154378">
                      <w:marLeft w:val="0"/>
                      <w:marRight w:val="0"/>
                      <w:marTop w:val="0"/>
                      <w:marBottom w:val="0"/>
                      <w:divBdr>
                        <w:top w:val="none" w:sz="0" w:space="0" w:color="auto"/>
                        <w:left w:val="none" w:sz="0" w:space="0" w:color="auto"/>
                        <w:bottom w:val="none" w:sz="0" w:space="0" w:color="auto"/>
                        <w:right w:val="none" w:sz="0" w:space="0" w:color="auto"/>
                      </w:divBdr>
                      <w:divsChild>
                        <w:div w:id="294153661">
                          <w:marLeft w:val="0"/>
                          <w:marRight w:val="0"/>
                          <w:marTop w:val="0"/>
                          <w:marBottom w:val="0"/>
                          <w:divBdr>
                            <w:top w:val="none" w:sz="0" w:space="0" w:color="auto"/>
                            <w:left w:val="none" w:sz="0" w:space="0" w:color="auto"/>
                            <w:bottom w:val="none" w:sz="0" w:space="0" w:color="auto"/>
                            <w:right w:val="none" w:sz="0" w:space="0" w:color="auto"/>
                          </w:divBdr>
                        </w:div>
                      </w:divsChild>
                    </w:div>
                    <w:div w:id="294154620">
                      <w:marLeft w:val="0"/>
                      <w:marRight w:val="0"/>
                      <w:marTop w:val="0"/>
                      <w:marBottom w:val="0"/>
                      <w:divBdr>
                        <w:top w:val="none" w:sz="0" w:space="0" w:color="auto"/>
                        <w:left w:val="none" w:sz="0" w:space="0" w:color="auto"/>
                        <w:bottom w:val="none" w:sz="0" w:space="0" w:color="auto"/>
                        <w:right w:val="none" w:sz="0" w:space="0" w:color="auto"/>
                      </w:divBdr>
                    </w:div>
                    <w:div w:id="294154652">
                      <w:marLeft w:val="0"/>
                      <w:marRight w:val="0"/>
                      <w:marTop w:val="0"/>
                      <w:marBottom w:val="0"/>
                      <w:divBdr>
                        <w:top w:val="none" w:sz="0" w:space="0" w:color="auto"/>
                        <w:left w:val="none" w:sz="0" w:space="0" w:color="auto"/>
                        <w:bottom w:val="none" w:sz="0" w:space="0" w:color="auto"/>
                        <w:right w:val="none" w:sz="0" w:space="0" w:color="auto"/>
                      </w:divBdr>
                    </w:div>
                    <w:div w:id="294154722">
                      <w:marLeft w:val="0"/>
                      <w:marRight w:val="0"/>
                      <w:marTop w:val="0"/>
                      <w:marBottom w:val="0"/>
                      <w:divBdr>
                        <w:top w:val="none" w:sz="0" w:space="0" w:color="auto"/>
                        <w:left w:val="none" w:sz="0" w:space="0" w:color="auto"/>
                        <w:bottom w:val="none" w:sz="0" w:space="0" w:color="auto"/>
                        <w:right w:val="none" w:sz="0" w:space="0" w:color="auto"/>
                      </w:divBdr>
                      <w:divsChild>
                        <w:div w:id="294151329">
                          <w:marLeft w:val="0"/>
                          <w:marRight w:val="0"/>
                          <w:marTop w:val="0"/>
                          <w:marBottom w:val="0"/>
                          <w:divBdr>
                            <w:top w:val="none" w:sz="0" w:space="0" w:color="auto"/>
                            <w:left w:val="none" w:sz="0" w:space="0" w:color="auto"/>
                            <w:bottom w:val="none" w:sz="0" w:space="0" w:color="auto"/>
                            <w:right w:val="none" w:sz="0" w:space="0" w:color="auto"/>
                          </w:divBdr>
                        </w:div>
                      </w:divsChild>
                    </w:div>
                    <w:div w:id="294154731">
                      <w:marLeft w:val="0"/>
                      <w:marRight w:val="0"/>
                      <w:marTop w:val="0"/>
                      <w:marBottom w:val="0"/>
                      <w:divBdr>
                        <w:top w:val="none" w:sz="0" w:space="0" w:color="auto"/>
                        <w:left w:val="none" w:sz="0" w:space="0" w:color="auto"/>
                        <w:bottom w:val="none" w:sz="0" w:space="0" w:color="auto"/>
                        <w:right w:val="none" w:sz="0" w:space="0" w:color="auto"/>
                      </w:divBdr>
                    </w:div>
                    <w:div w:id="294154747">
                      <w:marLeft w:val="0"/>
                      <w:marRight w:val="0"/>
                      <w:marTop w:val="0"/>
                      <w:marBottom w:val="0"/>
                      <w:divBdr>
                        <w:top w:val="none" w:sz="0" w:space="0" w:color="auto"/>
                        <w:left w:val="none" w:sz="0" w:space="0" w:color="auto"/>
                        <w:bottom w:val="none" w:sz="0" w:space="0" w:color="auto"/>
                        <w:right w:val="none" w:sz="0" w:space="0" w:color="auto"/>
                      </w:divBdr>
                    </w:div>
                    <w:div w:id="294154789">
                      <w:marLeft w:val="0"/>
                      <w:marRight w:val="0"/>
                      <w:marTop w:val="0"/>
                      <w:marBottom w:val="0"/>
                      <w:divBdr>
                        <w:top w:val="none" w:sz="0" w:space="0" w:color="auto"/>
                        <w:left w:val="none" w:sz="0" w:space="0" w:color="auto"/>
                        <w:bottom w:val="none" w:sz="0" w:space="0" w:color="auto"/>
                        <w:right w:val="none" w:sz="0" w:space="0" w:color="auto"/>
                      </w:divBdr>
                      <w:divsChild>
                        <w:div w:id="294144018">
                          <w:marLeft w:val="0"/>
                          <w:marRight w:val="0"/>
                          <w:marTop w:val="0"/>
                          <w:marBottom w:val="0"/>
                          <w:divBdr>
                            <w:top w:val="none" w:sz="0" w:space="0" w:color="auto"/>
                            <w:left w:val="none" w:sz="0" w:space="0" w:color="auto"/>
                            <w:bottom w:val="none" w:sz="0" w:space="0" w:color="auto"/>
                            <w:right w:val="none" w:sz="0" w:space="0" w:color="auto"/>
                          </w:divBdr>
                        </w:div>
                      </w:divsChild>
                    </w:div>
                    <w:div w:id="294154798">
                      <w:marLeft w:val="0"/>
                      <w:marRight w:val="0"/>
                      <w:marTop w:val="0"/>
                      <w:marBottom w:val="0"/>
                      <w:divBdr>
                        <w:top w:val="none" w:sz="0" w:space="0" w:color="auto"/>
                        <w:left w:val="none" w:sz="0" w:space="0" w:color="auto"/>
                        <w:bottom w:val="none" w:sz="0" w:space="0" w:color="auto"/>
                        <w:right w:val="none" w:sz="0" w:space="0" w:color="auto"/>
                      </w:divBdr>
                      <w:divsChild>
                        <w:div w:id="294149002">
                          <w:marLeft w:val="0"/>
                          <w:marRight w:val="0"/>
                          <w:marTop w:val="0"/>
                          <w:marBottom w:val="0"/>
                          <w:divBdr>
                            <w:top w:val="none" w:sz="0" w:space="0" w:color="auto"/>
                            <w:left w:val="none" w:sz="0" w:space="0" w:color="auto"/>
                            <w:bottom w:val="none" w:sz="0" w:space="0" w:color="auto"/>
                            <w:right w:val="none" w:sz="0" w:space="0" w:color="auto"/>
                          </w:divBdr>
                        </w:div>
                      </w:divsChild>
                    </w:div>
                    <w:div w:id="294154808">
                      <w:marLeft w:val="0"/>
                      <w:marRight w:val="0"/>
                      <w:marTop w:val="0"/>
                      <w:marBottom w:val="0"/>
                      <w:divBdr>
                        <w:top w:val="none" w:sz="0" w:space="0" w:color="auto"/>
                        <w:left w:val="none" w:sz="0" w:space="0" w:color="auto"/>
                        <w:bottom w:val="none" w:sz="0" w:space="0" w:color="auto"/>
                        <w:right w:val="none" w:sz="0" w:space="0" w:color="auto"/>
                      </w:divBdr>
                      <w:divsChild>
                        <w:div w:id="294144842">
                          <w:marLeft w:val="0"/>
                          <w:marRight w:val="0"/>
                          <w:marTop w:val="0"/>
                          <w:marBottom w:val="0"/>
                          <w:divBdr>
                            <w:top w:val="none" w:sz="0" w:space="0" w:color="auto"/>
                            <w:left w:val="none" w:sz="0" w:space="0" w:color="auto"/>
                            <w:bottom w:val="none" w:sz="0" w:space="0" w:color="auto"/>
                            <w:right w:val="none" w:sz="0" w:space="0" w:color="auto"/>
                          </w:divBdr>
                        </w:div>
                      </w:divsChild>
                    </w:div>
                    <w:div w:id="294154856">
                      <w:marLeft w:val="0"/>
                      <w:marRight w:val="0"/>
                      <w:marTop w:val="0"/>
                      <w:marBottom w:val="0"/>
                      <w:divBdr>
                        <w:top w:val="none" w:sz="0" w:space="0" w:color="auto"/>
                        <w:left w:val="none" w:sz="0" w:space="0" w:color="auto"/>
                        <w:bottom w:val="none" w:sz="0" w:space="0" w:color="auto"/>
                        <w:right w:val="none" w:sz="0" w:space="0" w:color="auto"/>
                      </w:divBdr>
                    </w:div>
                    <w:div w:id="294154901">
                      <w:marLeft w:val="0"/>
                      <w:marRight w:val="0"/>
                      <w:marTop w:val="0"/>
                      <w:marBottom w:val="0"/>
                      <w:divBdr>
                        <w:top w:val="none" w:sz="0" w:space="0" w:color="auto"/>
                        <w:left w:val="none" w:sz="0" w:space="0" w:color="auto"/>
                        <w:bottom w:val="none" w:sz="0" w:space="0" w:color="auto"/>
                        <w:right w:val="none" w:sz="0" w:space="0" w:color="auto"/>
                      </w:divBdr>
                      <w:divsChild>
                        <w:div w:id="294147598">
                          <w:marLeft w:val="0"/>
                          <w:marRight w:val="0"/>
                          <w:marTop w:val="0"/>
                          <w:marBottom w:val="0"/>
                          <w:divBdr>
                            <w:top w:val="none" w:sz="0" w:space="0" w:color="auto"/>
                            <w:left w:val="none" w:sz="0" w:space="0" w:color="auto"/>
                            <w:bottom w:val="none" w:sz="0" w:space="0" w:color="auto"/>
                            <w:right w:val="none" w:sz="0" w:space="0" w:color="auto"/>
                          </w:divBdr>
                        </w:div>
                      </w:divsChild>
                    </w:div>
                    <w:div w:id="294154946">
                      <w:marLeft w:val="0"/>
                      <w:marRight w:val="0"/>
                      <w:marTop w:val="0"/>
                      <w:marBottom w:val="0"/>
                      <w:divBdr>
                        <w:top w:val="none" w:sz="0" w:space="0" w:color="auto"/>
                        <w:left w:val="none" w:sz="0" w:space="0" w:color="auto"/>
                        <w:bottom w:val="none" w:sz="0" w:space="0" w:color="auto"/>
                        <w:right w:val="none" w:sz="0" w:space="0" w:color="auto"/>
                      </w:divBdr>
                    </w:div>
                    <w:div w:id="294154951">
                      <w:marLeft w:val="0"/>
                      <w:marRight w:val="0"/>
                      <w:marTop w:val="0"/>
                      <w:marBottom w:val="0"/>
                      <w:divBdr>
                        <w:top w:val="none" w:sz="0" w:space="0" w:color="auto"/>
                        <w:left w:val="none" w:sz="0" w:space="0" w:color="auto"/>
                        <w:bottom w:val="none" w:sz="0" w:space="0" w:color="auto"/>
                        <w:right w:val="none" w:sz="0" w:space="0" w:color="auto"/>
                      </w:divBdr>
                    </w:div>
                    <w:div w:id="294154979">
                      <w:marLeft w:val="0"/>
                      <w:marRight w:val="0"/>
                      <w:marTop w:val="0"/>
                      <w:marBottom w:val="0"/>
                      <w:divBdr>
                        <w:top w:val="none" w:sz="0" w:space="0" w:color="auto"/>
                        <w:left w:val="none" w:sz="0" w:space="0" w:color="auto"/>
                        <w:bottom w:val="none" w:sz="0" w:space="0" w:color="auto"/>
                        <w:right w:val="none" w:sz="0" w:space="0" w:color="auto"/>
                      </w:divBdr>
                    </w:div>
                    <w:div w:id="294154989">
                      <w:marLeft w:val="0"/>
                      <w:marRight w:val="0"/>
                      <w:marTop w:val="0"/>
                      <w:marBottom w:val="0"/>
                      <w:divBdr>
                        <w:top w:val="none" w:sz="0" w:space="0" w:color="auto"/>
                        <w:left w:val="none" w:sz="0" w:space="0" w:color="auto"/>
                        <w:bottom w:val="none" w:sz="0" w:space="0" w:color="auto"/>
                        <w:right w:val="none" w:sz="0" w:space="0" w:color="auto"/>
                      </w:divBdr>
                    </w:div>
                    <w:div w:id="294155033">
                      <w:marLeft w:val="0"/>
                      <w:marRight w:val="0"/>
                      <w:marTop w:val="0"/>
                      <w:marBottom w:val="0"/>
                      <w:divBdr>
                        <w:top w:val="none" w:sz="0" w:space="0" w:color="auto"/>
                        <w:left w:val="none" w:sz="0" w:space="0" w:color="auto"/>
                        <w:bottom w:val="none" w:sz="0" w:space="0" w:color="auto"/>
                        <w:right w:val="none" w:sz="0" w:space="0" w:color="auto"/>
                      </w:divBdr>
                    </w:div>
                    <w:div w:id="294155157">
                      <w:marLeft w:val="0"/>
                      <w:marRight w:val="0"/>
                      <w:marTop w:val="0"/>
                      <w:marBottom w:val="0"/>
                      <w:divBdr>
                        <w:top w:val="none" w:sz="0" w:space="0" w:color="auto"/>
                        <w:left w:val="none" w:sz="0" w:space="0" w:color="auto"/>
                        <w:bottom w:val="none" w:sz="0" w:space="0" w:color="auto"/>
                        <w:right w:val="none" w:sz="0" w:space="0" w:color="auto"/>
                      </w:divBdr>
                    </w:div>
                    <w:div w:id="294155164">
                      <w:marLeft w:val="0"/>
                      <w:marRight w:val="0"/>
                      <w:marTop w:val="0"/>
                      <w:marBottom w:val="0"/>
                      <w:divBdr>
                        <w:top w:val="none" w:sz="0" w:space="0" w:color="auto"/>
                        <w:left w:val="none" w:sz="0" w:space="0" w:color="auto"/>
                        <w:bottom w:val="none" w:sz="0" w:space="0" w:color="auto"/>
                        <w:right w:val="none" w:sz="0" w:space="0" w:color="auto"/>
                      </w:divBdr>
                      <w:divsChild>
                        <w:div w:id="294140557">
                          <w:marLeft w:val="0"/>
                          <w:marRight w:val="0"/>
                          <w:marTop w:val="0"/>
                          <w:marBottom w:val="0"/>
                          <w:divBdr>
                            <w:top w:val="none" w:sz="0" w:space="0" w:color="auto"/>
                            <w:left w:val="none" w:sz="0" w:space="0" w:color="auto"/>
                            <w:bottom w:val="none" w:sz="0" w:space="0" w:color="auto"/>
                            <w:right w:val="none" w:sz="0" w:space="0" w:color="auto"/>
                          </w:divBdr>
                        </w:div>
                      </w:divsChild>
                    </w:div>
                    <w:div w:id="294155229">
                      <w:marLeft w:val="0"/>
                      <w:marRight w:val="0"/>
                      <w:marTop w:val="0"/>
                      <w:marBottom w:val="0"/>
                      <w:divBdr>
                        <w:top w:val="none" w:sz="0" w:space="0" w:color="auto"/>
                        <w:left w:val="none" w:sz="0" w:space="0" w:color="auto"/>
                        <w:bottom w:val="none" w:sz="0" w:space="0" w:color="auto"/>
                        <w:right w:val="none" w:sz="0" w:space="0" w:color="auto"/>
                      </w:divBdr>
                    </w:div>
                    <w:div w:id="294155244">
                      <w:marLeft w:val="0"/>
                      <w:marRight w:val="0"/>
                      <w:marTop w:val="0"/>
                      <w:marBottom w:val="0"/>
                      <w:divBdr>
                        <w:top w:val="none" w:sz="0" w:space="0" w:color="auto"/>
                        <w:left w:val="none" w:sz="0" w:space="0" w:color="auto"/>
                        <w:bottom w:val="none" w:sz="0" w:space="0" w:color="auto"/>
                        <w:right w:val="none" w:sz="0" w:space="0" w:color="auto"/>
                      </w:divBdr>
                      <w:divsChild>
                        <w:div w:id="294144301">
                          <w:marLeft w:val="0"/>
                          <w:marRight w:val="0"/>
                          <w:marTop w:val="0"/>
                          <w:marBottom w:val="0"/>
                          <w:divBdr>
                            <w:top w:val="none" w:sz="0" w:space="0" w:color="auto"/>
                            <w:left w:val="none" w:sz="0" w:space="0" w:color="auto"/>
                            <w:bottom w:val="none" w:sz="0" w:space="0" w:color="auto"/>
                            <w:right w:val="none" w:sz="0" w:space="0" w:color="auto"/>
                          </w:divBdr>
                        </w:div>
                      </w:divsChild>
                    </w:div>
                    <w:div w:id="294155276">
                      <w:marLeft w:val="0"/>
                      <w:marRight w:val="0"/>
                      <w:marTop w:val="0"/>
                      <w:marBottom w:val="0"/>
                      <w:divBdr>
                        <w:top w:val="none" w:sz="0" w:space="0" w:color="auto"/>
                        <w:left w:val="none" w:sz="0" w:space="0" w:color="auto"/>
                        <w:bottom w:val="none" w:sz="0" w:space="0" w:color="auto"/>
                        <w:right w:val="none" w:sz="0" w:space="0" w:color="auto"/>
                      </w:divBdr>
                      <w:divsChild>
                        <w:div w:id="294141038">
                          <w:marLeft w:val="0"/>
                          <w:marRight w:val="0"/>
                          <w:marTop w:val="0"/>
                          <w:marBottom w:val="0"/>
                          <w:divBdr>
                            <w:top w:val="none" w:sz="0" w:space="0" w:color="auto"/>
                            <w:left w:val="none" w:sz="0" w:space="0" w:color="auto"/>
                            <w:bottom w:val="none" w:sz="0" w:space="0" w:color="auto"/>
                            <w:right w:val="none" w:sz="0" w:space="0" w:color="auto"/>
                          </w:divBdr>
                        </w:div>
                      </w:divsChild>
                    </w:div>
                    <w:div w:id="294155280">
                      <w:marLeft w:val="0"/>
                      <w:marRight w:val="0"/>
                      <w:marTop w:val="0"/>
                      <w:marBottom w:val="0"/>
                      <w:divBdr>
                        <w:top w:val="none" w:sz="0" w:space="0" w:color="auto"/>
                        <w:left w:val="none" w:sz="0" w:space="0" w:color="auto"/>
                        <w:bottom w:val="none" w:sz="0" w:space="0" w:color="auto"/>
                        <w:right w:val="none" w:sz="0" w:space="0" w:color="auto"/>
                      </w:divBdr>
                      <w:divsChild>
                        <w:div w:id="294140878">
                          <w:marLeft w:val="0"/>
                          <w:marRight w:val="0"/>
                          <w:marTop w:val="0"/>
                          <w:marBottom w:val="0"/>
                          <w:divBdr>
                            <w:top w:val="none" w:sz="0" w:space="0" w:color="auto"/>
                            <w:left w:val="none" w:sz="0" w:space="0" w:color="auto"/>
                            <w:bottom w:val="none" w:sz="0" w:space="0" w:color="auto"/>
                            <w:right w:val="none" w:sz="0" w:space="0" w:color="auto"/>
                          </w:divBdr>
                        </w:div>
                      </w:divsChild>
                    </w:div>
                    <w:div w:id="294155307">
                      <w:marLeft w:val="0"/>
                      <w:marRight w:val="0"/>
                      <w:marTop w:val="0"/>
                      <w:marBottom w:val="0"/>
                      <w:divBdr>
                        <w:top w:val="none" w:sz="0" w:space="0" w:color="auto"/>
                        <w:left w:val="none" w:sz="0" w:space="0" w:color="auto"/>
                        <w:bottom w:val="none" w:sz="0" w:space="0" w:color="auto"/>
                        <w:right w:val="none" w:sz="0" w:space="0" w:color="auto"/>
                      </w:divBdr>
                    </w:div>
                    <w:div w:id="294155344">
                      <w:marLeft w:val="0"/>
                      <w:marRight w:val="0"/>
                      <w:marTop w:val="0"/>
                      <w:marBottom w:val="0"/>
                      <w:divBdr>
                        <w:top w:val="none" w:sz="0" w:space="0" w:color="auto"/>
                        <w:left w:val="none" w:sz="0" w:space="0" w:color="auto"/>
                        <w:bottom w:val="none" w:sz="0" w:space="0" w:color="auto"/>
                        <w:right w:val="none" w:sz="0" w:space="0" w:color="auto"/>
                      </w:divBdr>
                    </w:div>
                    <w:div w:id="294155420">
                      <w:marLeft w:val="0"/>
                      <w:marRight w:val="0"/>
                      <w:marTop w:val="0"/>
                      <w:marBottom w:val="0"/>
                      <w:divBdr>
                        <w:top w:val="none" w:sz="0" w:space="0" w:color="auto"/>
                        <w:left w:val="none" w:sz="0" w:space="0" w:color="auto"/>
                        <w:bottom w:val="none" w:sz="0" w:space="0" w:color="auto"/>
                        <w:right w:val="none" w:sz="0" w:space="0" w:color="auto"/>
                      </w:divBdr>
                    </w:div>
                    <w:div w:id="294155424">
                      <w:marLeft w:val="0"/>
                      <w:marRight w:val="0"/>
                      <w:marTop w:val="0"/>
                      <w:marBottom w:val="0"/>
                      <w:divBdr>
                        <w:top w:val="none" w:sz="0" w:space="0" w:color="auto"/>
                        <w:left w:val="none" w:sz="0" w:space="0" w:color="auto"/>
                        <w:bottom w:val="none" w:sz="0" w:space="0" w:color="auto"/>
                        <w:right w:val="none" w:sz="0" w:space="0" w:color="auto"/>
                      </w:divBdr>
                    </w:div>
                    <w:div w:id="294155425">
                      <w:marLeft w:val="0"/>
                      <w:marRight w:val="0"/>
                      <w:marTop w:val="0"/>
                      <w:marBottom w:val="0"/>
                      <w:divBdr>
                        <w:top w:val="none" w:sz="0" w:space="0" w:color="auto"/>
                        <w:left w:val="none" w:sz="0" w:space="0" w:color="auto"/>
                        <w:bottom w:val="none" w:sz="0" w:space="0" w:color="auto"/>
                        <w:right w:val="none" w:sz="0" w:space="0" w:color="auto"/>
                      </w:divBdr>
                      <w:divsChild>
                        <w:div w:id="294148851">
                          <w:marLeft w:val="0"/>
                          <w:marRight w:val="0"/>
                          <w:marTop w:val="0"/>
                          <w:marBottom w:val="0"/>
                          <w:divBdr>
                            <w:top w:val="none" w:sz="0" w:space="0" w:color="auto"/>
                            <w:left w:val="none" w:sz="0" w:space="0" w:color="auto"/>
                            <w:bottom w:val="none" w:sz="0" w:space="0" w:color="auto"/>
                            <w:right w:val="none" w:sz="0" w:space="0" w:color="auto"/>
                          </w:divBdr>
                        </w:div>
                      </w:divsChild>
                    </w:div>
                    <w:div w:id="294155458">
                      <w:marLeft w:val="0"/>
                      <w:marRight w:val="0"/>
                      <w:marTop w:val="0"/>
                      <w:marBottom w:val="0"/>
                      <w:divBdr>
                        <w:top w:val="none" w:sz="0" w:space="0" w:color="auto"/>
                        <w:left w:val="none" w:sz="0" w:space="0" w:color="auto"/>
                        <w:bottom w:val="none" w:sz="0" w:space="0" w:color="auto"/>
                        <w:right w:val="none" w:sz="0" w:space="0" w:color="auto"/>
                      </w:divBdr>
                      <w:divsChild>
                        <w:div w:id="294138682">
                          <w:marLeft w:val="0"/>
                          <w:marRight w:val="0"/>
                          <w:marTop w:val="0"/>
                          <w:marBottom w:val="0"/>
                          <w:divBdr>
                            <w:top w:val="none" w:sz="0" w:space="0" w:color="auto"/>
                            <w:left w:val="none" w:sz="0" w:space="0" w:color="auto"/>
                            <w:bottom w:val="none" w:sz="0" w:space="0" w:color="auto"/>
                            <w:right w:val="none" w:sz="0" w:space="0" w:color="auto"/>
                          </w:divBdr>
                        </w:div>
                      </w:divsChild>
                    </w:div>
                    <w:div w:id="294155463">
                      <w:marLeft w:val="0"/>
                      <w:marRight w:val="0"/>
                      <w:marTop w:val="0"/>
                      <w:marBottom w:val="0"/>
                      <w:divBdr>
                        <w:top w:val="none" w:sz="0" w:space="0" w:color="auto"/>
                        <w:left w:val="none" w:sz="0" w:space="0" w:color="auto"/>
                        <w:bottom w:val="none" w:sz="0" w:space="0" w:color="auto"/>
                        <w:right w:val="none" w:sz="0" w:space="0" w:color="auto"/>
                      </w:divBdr>
                    </w:div>
                    <w:div w:id="294155467">
                      <w:marLeft w:val="0"/>
                      <w:marRight w:val="0"/>
                      <w:marTop w:val="0"/>
                      <w:marBottom w:val="0"/>
                      <w:divBdr>
                        <w:top w:val="none" w:sz="0" w:space="0" w:color="auto"/>
                        <w:left w:val="none" w:sz="0" w:space="0" w:color="auto"/>
                        <w:bottom w:val="none" w:sz="0" w:space="0" w:color="auto"/>
                        <w:right w:val="none" w:sz="0" w:space="0" w:color="auto"/>
                      </w:divBdr>
                      <w:divsChild>
                        <w:div w:id="294143751">
                          <w:marLeft w:val="0"/>
                          <w:marRight w:val="0"/>
                          <w:marTop w:val="0"/>
                          <w:marBottom w:val="0"/>
                          <w:divBdr>
                            <w:top w:val="none" w:sz="0" w:space="0" w:color="auto"/>
                            <w:left w:val="none" w:sz="0" w:space="0" w:color="auto"/>
                            <w:bottom w:val="none" w:sz="0" w:space="0" w:color="auto"/>
                            <w:right w:val="none" w:sz="0" w:space="0" w:color="auto"/>
                          </w:divBdr>
                        </w:div>
                      </w:divsChild>
                    </w:div>
                    <w:div w:id="294155492">
                      <w:marLeft w:val="0"/>
                      <w:marRight w:val="0"/>
                      <w:marTop w:val="0"/>
                      <w:marBottom w:val="0"/>
                      <w:divBdr>
                        <w:top w:val="none" w:sz="0" w:space="0" w:color="auto"/>
                        <w:left w:val="none" w:sz="0" w:space="0" w:color="auto"/>
                        <w:bottom w:val="none" w:sz="0" w:space="0" w:color="auto"/>
                        <w:right w:val="none" w:sz="0" w:space="0" w:color="auto"/>
                      </w:divBdr>
                    </w:div>
                    <w:div w:id="294155521">
                      <w:marLeft w:val="0"/>
                      <w:marRight w:val="0"/>
                      <w:marTop w:val="0"/>
                      <w:marBottom w:val="0"/>
                      <w:divBdr>
                        <w:top w:val="none" w:sz="0" w:space="0" w:color="auto"/>
                        <w:left w:val="none" w:sz="0" w:space="0" w:color="auto"/>
                        <w:bottom w:val="none" w:sz="0" w:space="0" w:color="auto"/>
                        <w:right w:val="none" w:sz="0" w:space="0" w:color="auto"/>
                      </w:divBdr>
                    </w:div>
                    <w:div w:id="294155533">
                      <w:marLeft w:val="0"/>
                      <w:marRight w:val="0"/>
                      <w:marTop w:val="0"/>
                      <w:marBottom w:val="0"/>
                      <w:divBdr>
                        <w:top w:val="none" w:sz="0" w:space="0" w:color="auto"/>
                        <w:left w:val="none" w:sz="0" w:space="0" w:color="auto"/>
                        <w:bottom w:val="none" w:sz="0" w:space="0" w:color="auto"/>
                        <w:right w:val="none" w:sz="0" w:space="0" w:color="auto"/>
                      </w:divBdr>
                      <w:divsChild>
                        <w:div w:id="294149901">
                          <w:marLeft w:val="0"/>
                          <w:marRight w:val="0"/>
                          <w:marTop w:val="0"/>
                          <w:marBottom w:val="0"/>
                          <w:divBdr>
                            <w:top w:val="none" w:sz="0" w:space="0" w:color="auto"/>
                            <w:left w:val="none" w:sz="0" w:space="0" w:color="auto"/>
                            <w:bottom w:val="none" w:sz="0" w:space="0" w:color="auto"/>
                            <w:right w:val="none" w:sz="0" w:space="0" w:color="auto"/>
                          </w:divBdr>
                        </w:div>
                      </w:divsChild>
                    </w:div>
                    <w:div w:id="294155552">
                      <w:marLeft w:val="0"/>
                      <w:marRight w:val="0"/>
                      <w:marTop w:val="0"/>
                      <w:marBottom w:val="0"/>
                      <w:divBdr>
                        <w:top w:val="none" w:sz="0" w:space="0" w:color="auto"/>
                        <w:left w:val="none" w:sz="0" w:space="0" w:color="auto"/>
                        <w:bottom w:val="none" w:sz="0" w:space="0" w:color="auto"/>
                        <w:right w:val="none" w:sz="0" w:space="0" w:color="auto"/>
                      </w:divBdr>
                    </w:div>
                    <w:div w:id="294155566">
                      <w:marLeft w:val="0"/>
                      <w:marRight w:val="0"/>
                      <w:marTop w:val="0"/>
                      <w:marBottom w:val="0"/>
                      <w:divBdr>
                        <w:top w:val="none" w:sz="0" w:space="0" w:color="auto"/>
                        <w:left w:val="none" w:sz="0" w:space="0" w:color="auto"/>
                        <w:bottom w:val="none" w:sz="0" w:space="0" w:color="auto"/>
                        <w:right w:val="none" w:sz="0" w:space="0" w:color="auto"/>
                      </w:divBdr>
                    </w:div>
                    <w:div w:id="294155638">
                      <w:marLeft w:val="0"/>
                      <w:marRight w:val="0"/>
                      <w:marTop w:val="0"/>
                      <w:marBottom w:val="0"/>
                      <w:divBdr>
                        <w:top w:val="none" w:sz="0" w:space="0" w:color="auto"/>
                        <w:left w:val="none" w:sz="0" w:space="0" w:color="auto"/>
                        <w:bottom w:val="none" w:sz="0" w:space="0" w:color="auto"/>
                        <w:right w:val="none" w:sz="0" w:space="0" w:color="auto"/>
                      </w:divBdr>
                      <w:divsChild>
                        <w:div w:id="294138795">
                          <w:marLeft w:val="0"/>
                          <w:marRight w:val="0"/>
                          <w:marTop w:val="0"/>
                          <w:marBottom w:val="0"/>
                          <w:divBdr>
                            <w:top w:val="none" w:sz="0" w:space="0" w:color="auto"/>
                            <w:left w:val="none" w:sz="0" w:space="0" w:color="auto"/>
                            <w:bottom w:val="none" w:sz="0" w:space="0" w:color="auto"/>
                            <w:right w:val="none" w:sz="0" w:space="0" w:color="auto"/>
                          </w:divBdr>
                        </w:div>
                      </w:divsChild>
                    </w:div>
                    <w:div w:id="294155744">
                      <w:marLeft w:val="0"/>
                      <w:marRight w:val="0"/>
                      <w:marTop w:val="0"/>
                      <w:marBottom w:val="0"/>
                      <w:divBdr>
                        <w:top w:val="none" w:sz="0" w:space="0" w:color="auto"/>
                        <w:left w:val="none" w:sz="0" w:space="0" w:color="auto"/>
                        <w:bottom w:val="none" w:sz="0" w:space="0" w:color="auto"/>
                        <w:right w:val="none" w:sz="0" w:space="0" w:color="auto"/>
                      </w:divBdr>
                    </w:div>
                    <w:div w:id="294155768">
                      <w:marLeft w:val="0"/>
                      <w:marRight w:val="0"/>
                      <w:marTop w:val="0"/>
                      <w:marBottom w:val="0"/>
                      <w:divBdr>
                        <w:top w:val="none" w:sz="0" w:space="0" w:color="auto"/>
                        <w:left w:val="none" w:sz="0" w:space="0" w:color="auto"/>
                        <w:bottom w:val="none" w:sz="0" w:space="0" w:color="auto"/>
                        <w:right w:val="none" w:sz="0" w:space="0" w:color="auto"/>
                      </w:divBdr>
                      <w:divsChild>
                        <w:div w:id="294141159">
                          <w:marLeft w:val="0"/>
                          <w:marRight w:val="0"/>
                          <w:marTop w:val="0"/>
                          <w:marBottom w:val="0"/>
                          <w:divBdr>
                            <w:top w:val="none" w:sz="0" w:space="0" w:color="auto"/>
                            <w:left w:val="none" w:sz="0" w:space="0" w:color="auto"/>
                            <w:bottom w:val="none" w:sz="0" w:space="0" w:color="auto"/>
                            <w:right w:val="none" w:sz="0" w:space="0" w:color="auto"/>
                          </w:divBdr>
                        </w:div>
                      </w:divsChild>
                    </w:div>
                    <w:div w:id="294155797">
                      <w:marLeft w:val="0"/>
                      <w:marRight w:val="0"/>
                      <w:marTop w:val="0"/>
                      <w:marBottom w:val="0"/>
                      <w:divBdr>
                        <w:top w:val="none" w:sz="0" w:space="0" w:color="auto"/>
                        <w:left w:val="none" w:sz="0" w:space="0" w:color="auto"/>
                        <w:bottom w:val="none" w:sz="0" w:space="0" w:color="auto"/>
                        <w:right w:val="none" w:sz="0" w:space="0" w:color="auto"/>
                      </w:divBdr>
                      <w:divsChild>
                        <w:div w:id="294156421">
                          <w:marLeft w:val="0"/>
                          <w:marRight w:val="0"/>
                          <w:marTop w:val="0"/>
                          <w:marBottom w:val="0"/>
                          <w:divBdr>
                            <w:top w:val="none" w:sz="0" w:space="0" w:color="auto"/>
                            <w:left w:val="none" w:sz="0" w:space="0" w:color="auto"/>
                            <w:bottom w:val="none" w:sz="0" w:space="0" w:color="auto"/>
                            <w:right w:val="none" w:sz="0" w:space="0" w:color="auto"/>
                          </w:divBdr>
                        </w:div>
                      </w:divsChild>
                    </w:div>
                    <w:div w:id="294155821">
                      <w:marLeft w:val="0"/>
                      <w:marRight w:val="0"/>
                      <w:marTop w:val="0"/>
                      <w:marBottom w:val="0"/>
                      <w:divBdr>
                        <w:top w:val="none" w:sz="0" w:space="0" w:color="auto"/>
                        <w:left w:val="none" w:sz="0" w:space="0" w:color="auto"/>
                        <w:bottom w:val="none" w:sz="0" w:space="0" w:color="auto"/>
                        <w:right w:val="none" w:sz="0" w:space="0" w:color="auto"/>
                      </w:divBdr>
                    </w:div>
                    <w:div w:id="294155836">
                      <w:marLeft w:val="0"/>
                      <w:marRight w:val="0"/>
                      <w:marTop w:val="0"/>
                      <w:marBottom w:val="0"/>
                      <w:divBdr>
                        <w:top w:val="none" w:sz="0" w:space="0" w:color="auto"/>
                        <w:left w:val="none" w:sz="0" w:space="0" w:color="auto"/>
                        <w:bottom w:val="none" w:sz="0" w:space="0" w:color="auto"/>
                        <w:right w:val="none" w:sz="0" w:space="0" w:color="auto"/>
                      </w:divBdr>
                      <w:divsChild>
                        <w:div w:id="294146742">
                          <w:marLeft w:val="0"/>
                          <w:marRight w:val="0"/>
                          <w:marTop w:val="0"/>
                          <w:marBottom w:val="0"/>
                          <w:divBdr>
                            <w:top w:val="none" w:sz="0" w:space="0" w:color="auto"/>
                            <w:left w:val="none" w:sz="0" w:space="0" w:color="auto"/>
                            <w:bottom w:val="none" w:sz="0" w:space="0" w:color="auto"/>
                            <w:right w:val="none" w:sz="0" w:space="0" w:color="auto"/>
                          </w:divBdr>
                        </w:div>
                      </w:divsChild>
                    </w:div>
                    <w:div w:id="294155840">
                      <w:marLeft w:val="0"/>
                      <w:marRight w:val="0"/>
                      <w:marTop w:val="0"/>
                      <w:marBottom w:val="0"/>
                      <w:divBdr>
                        <w:top w:val="none" w:sz="0" w:space="0" w:color="auto"/>
                        <w:left w:val="none" w:sz="0" w:space="0" w:color="auto"/>
                        <w:bottom w:val="none" w:sz="0" w:space="0" w:color="auto"/>
                        <w:right w:val="none" w:sz="0" w:space="0" w:color="auto"/>
                      </w:divBdr>
                    </w:div>
                    <w:div w:id="294155843">
                      <w:marLeft w:val="0"/>
                      <w:marRight w:val="0"/>
                      <w:marTop w:val="0"/>
                      <w:marBottom w:val="0"/>
                      <w:divBdr>
                        <w:top w:val="none" w:sz="0" w:space="0" w:color="auto"/>
                        <w:left w:val="none" w:sz="0" w:space="0" w:color="auto"/>
                        <w:bottom w:val="none" w:sz="0" w:space="0" w:color="auto"/>
                        <w:right w:val="none" w:sz="0" w:space="0" w:color="auto"/>
                      </w:divBdr>
                      <w:divsChild>
                        <w:div w:id="294155266">
                          <w:marLeft w:val="0"/>
                          <w:marRight w:val="0"/>
                          <w:marTop w:val="0"/>
                          <w:marBottom w:val="0"/>
                          <w:divBdr>
                            <w:top w:val="none" w:sz="0" w:space="0" w:color="auto"/>
                            <w:left w:val="none" w:sz="0" w:space="0" w:color="auto"/>
                            <w:bottom w:val="none" w:sz="0" w:space="0" w:color="auto"/>
                            <w:right w:val="none" w:sz="0" w:space="0" w:color="auto"/>
                          </w:divBdr>
                        </w:div>
                      </w:divsChild>
                    </w:div>
                    <w:div w:id="294155887">
                      <w:marLeft w:val="0"/>
                      <w:marRight w:val="0"/>
                      <w:marTop w:val="0"/>
                      <w:marBottom w:val="0"/>
                      <w:divBdr>
                        <w:top w:val="none" w:sz="0" w:space="0" w:color="auto"/>
                        <w:left w:val="none" w:sz="0" w:space="0" w:color="auto"/>
                        <w:bottom w:val="none" w:sz="0" w:space="0" w:color="auto"/>
                        <w:right w:val="none" w:sz="0" w:space="0" w:color="auto"/>
                      </w:divBdr>
                      <w:divsChild>
                        <w:div w:id="294153164">
                          <w:marLeft w:val="0"/>
                          <w:marRight w:val="0"/>
                          <w:marTop w:val="0"/>
                          <w:marBottom w:val="0"/>
                          <w:divBdr>
                            <w:top w:val="none" w:sz="0" w:space="0" w:color="auto"/>
                            <w:left w:val="none" w:sz="0" w:space="0" w:color="auto"/>
                            <w:bottom w:val="none" w:sz="0" w:space="0" w:color="auto"/>
                            <w:right w:val="none" w:sz="0" w:space="0" w:color="auto"/>
                          </w:divBdr>
                        </w:div>
                      </w:divsChild>
                    </w:div>
                    <w:div w:id="294155924">
                      <w:marLeft w:val="0"/>
                      <w:marRight w:val="0"/>
                      <w:marTop w:val="0"/>
                      <w:marBottom w:val="0"/>
                      <w:divBdr>
                        <w:top w:val="none" w:sz="0" w:space="0" w:color="auto"/>
                        <w:left w:val="none" w:sz="0" w:space="0" w:color="auto"/>
                        <w:bottom w:val="none" w:sz="0" w:space="0" w:color="auto"/>
                        <w:right w:val="none" w:sz="0" w:space="0" w:color="auto"/>
                      </w:divBdr>
                      <w:divsChild>
                        <w:div w:id="294153987">
                          <w:marLeft w:val="0"/>
                          <w:marRight w:val="0"/>
                          <w:marTop w:val="0"/>
                          <w:marBottom w:val="0"/>
                          <w:divBdr>
                            <w:top w:val="none" w:sz="0" w:space="0" w:color="auto"/>
                            <w:left w:val="none" w:sz="0" w:space="0" w:color="auto"/>
                            <w:bottom w:val="none" w:sz="0" w:space="0" w:color="auto"/>
                            <w:right w:val="none" w:sz="0" w:space="0" w:color="auto"/>
                          </w:divBdr>
                        </w:div>
                      </w:divsChild>
                    </w:div>
                    <w:div w:id="294155935">
                      <w:marLeft w:val="0"/>
                      <w:marRight w:val="0"/>
                      <w:marTop w:val="0"/>
                      <w:marBottom w:val="0"/>
                      <w:divBdr>
                        <w:top w:val="none" w:sz="0" w:space="0" w:color="auto"/>
                        <w:left w:val="none" w:sz="0" w:space="0" w:color="auto"/>
                        <w:bottom w:val="none" w:sz="0" w:space="0" w:color="auto"/>
                        <w:right w:val="none" w:sz="0" w:space="0" w:color="auto"/>
                      </w:divBdr>
                    </w:div>
                    <w:div w:id="294155956">
                      <w:marLeft w:val="0"/>
                      <w:marRight w:val="0"/>
                      <w:marTop w:val="0"/>
                      <w:marBottom w:val="0"/>
                      <w:divBdr>
                        <w:top w:val="none" w:sz="0" w:space="0" w:color="auto"/>
                        <w:left w:val="none" w:sz="0" w:space="0" w:color="auto"/>
                        <w:bottom w:val="none" w:sz="0" w:space="0" w:color="auto"/>
                        <w:right w:val="none" w:sz="0" w:space="0" w:color="auto"/>
                      </w:divBdr>
                      <w:divsChild>
                        <w:div w:id="294141948">
                          <w:marLeft w:val="0"/>
                          <w:marRight w:val="0"/>
                          <w:marTop w:val="0"/>
                          <w:marBottom w:val="0"/>
                          <w:divBdr>
                            <w:top w:val="none" w:sz="0" w:space="0" w:color="auto"/>
                            <w:left w:val="none" w:sz="0" w:space="0" w:color="auto"/>
                            <w:bottom w:val="none" w:sz="0" w:space="0" w:color="auto"/>
                            <w:right w:val="none" w:sz="0" w:space="0" w:color="auto"/>
                          </w:divBdr>
                        </w:div>
                      </w:divsChild>
                    </w:div>
                    <w:div w:id="294156004">
                      <w:marLeft w:val="0"/>
                      <w:marRight w:val="0"/>
                      <w:marTop w:val="0"/>
                      <w:marBottom w:val="0"/>
                      <w:divBdr>
                        <w:top w:val="none" w:sz="0" w:space="0" w:color="auto"/>
                        <w:left w:val="none" w:sz="0" w:space="0" w:color="auto"/>
                        <w:bottom w:val="none" w:sz="0" w:space="0" w:color="auto"/>
                        <w:right w:val="none" w:sz="0" w:space="0" w:color="auto"/>
                      </w:divBdr>
                      <w:divsChild>
                        <w:div w:id="294144085">
                          <w:marLeft w:val="0"/>
                          <w:marRight w:val="0"/>
                          <w:marTop w:val="0"/>
                          <w:marBottom w:val="0"/>
                          <w:divBdr>
                            <w:top w:val="none" w:sz="0" w:space="0" w:color="auto"/>
                            <w:left w:val="none" w:sz="0" w:space="0" w:color="auto"/>
                            <w:bottom w:val="none" w:sz="0" w:space="0" w:color="auto"/>
                            <w:right w:val="none" w:sz="0" w:space="0" w:color="auto"/>
                          </w:divBdr>
                        </w:div>
                      </w:divsChild>
                    </w:div>
                    <w:div w:id="294156078">
                      <w:marLeft w:val="0"/>
                      <w:marRight w:val="0"/>
                      <w:marTop w:val="0"/>
                      <w:marBottom w:val="0"/>
                      <w:divBdr>
                        <w:top w:val="none" w:sz="0" w:space="0" w:color="auto"/>
                        <w:left w:val="none" w:sz="0" w:space="0" w:color="auto"/>
                        <w:bottom w:val="none" w:sz="0" w:space="0" w:color="auto"/>
                        <w:right w:val="none" w:sz="0" w:space="0" w:color="auto"/>
                      </w:divBdr>
                    </w:div>
                    <w:div w:id="294156127">
                      <w:marLeft w:val="0"/>
                      <w:marRight w:val="0"/>
                      <w:marTop w:val="0"/>
                      <w:marBottom w:val="0"/>
                      <w:divBdr>
                        <w:top w:val="none" w:sz="0" w:space="0" w:color="auto"/>
                        <w:left w:val="none" w:sz="0" w:space="0" w:color="auto"/>
                        <w:bottom w:val="none" w:sz="0" w:space="0" w:color="auto"/>
                        <w:right w:val="none" w:sz="0" w:space="0" w:color="auto"/>
                      </w:divBdr>
                      <w:divsChild>
                        <w:div w:id="294149909">
                          <w:marLeft w:val="0"/>
                          <w:marRight w:val="0"/>
                          <w:marTop w:val="0"/>
                          <w:marBottom w:val="0"/>
                          <w:divBdr>
                            <w:top w:val="none" w:sz="0" w:space="0" w:color="auto"/>
                            <w:left w:val="none" w:sz="0" w:space="0" w:color="auto"/>
                            <w:bottom w:val="none" w:sz="0" w:space="0" w:color="auto"/>
                            <w:right w:val="none" w:sz="0" w:space="0" w:color="auto"/>
                          </w:divBdr>
                        </w:div>
                      </w:divsChild>
                    </w:div>
                    <w:div w:id="294156186">
                      <w:marLeft w:val="0"/>
                      <w:marRight w:val="0"/>
                      <w:marTop w:val="0"/>
                      <w:marBottom w:val="0"/>
                      <w:divBdr>
                        <w:top w:val="none" w:sz="0" w:space="0" w:color="auto"/>
                        <w:left w:val="none" w:sz="0" w:space="0" w:color="auto"/>
                        <w:bottom w:val="none" w:sz="0" w:space="0" w:color="auto"/>
                        <w:right w:val="none" w:sz="0" w:space="0" w:color="auto"/>
                      </w:divBdr>
                    </w:div>
                    <w:div w:id="294156206">
                      <w:marLeft w:val="0"/>
                      <w:marRight w:val="0"/>
                      <w:marTop w:val="0"/>
                      <w:marBottom w:val="0"/>
                      <w:divBdr>
                        <w:top w:val="none" w:sz="0" w:space="0" w:color="auto"/>
                        <w:left w:val="none" w:sz="0" w:space="0" w:color="auto"/>
                        <w:bottom w:val="none" w:sz="0" w:space="0" w:color="auto"/>
                        <w:right w:val="none" w:sz="0" w:space="0" w:color="auto"/>
                      </w:divBdr>
                    </w:div>
                    <w:div w:id="294156263">
                      <w:marLeft w:val="0"/>
                      <w:marRight w:val="0"/>
                      <w:marTop w:val="0"/>
                      <w:marBottom w:val="0"/>
                      <w:divBdr>
                        <w:top w:val="none" w:sz="0" w:space="0" w:color="auto"/>
                        <w:left w:val="none" w:sz="0" w:space="0" w:color="auto"/>
                        <w:bottom w:val="none" w:sz="0" w:space="0" w:color="auto"/>
                        <w:right w:val="none" w:sz="0" w:space="0" w:color="auto"/>
                      </w:divBdr>
                    </w:div>
                    <w:div w:id="294156419">
                      <w:marLeft w:val="0"/>
                      <w:marRight w:val="0"/>
                      <w:marTop w:val="0"/>
                      <w:marBottom w:val="0"/>
                      <w:divBdr>
                        <w:top w:val="none" w:sz="0" w:space="0" w:color="auto"/>
                        <w:left w:val="none" w:sz="0" w:space="0" w:color="auto"/>
                        <w:bottom w:val="none" w:sz="0" w:space="0" w:color="auto"/>
                        <w:right w:val="none" w:sz="0" w:space="0" w:color="auto"/>
                      </w:divBdr>
                      <w:divsChild>
                        <w:div w:id="294150831">
                          <w:marLeft w:val="0"/>
                          <w:marRight w:val="0"/>
                          <w:marTop w:val="0"/>
                          <w:marBottom w:val="0"/>
                          <w:divBdr>
                            <w:top w:val="none" w:sz="0" w:space="0" w:color="auto"/>
                            <w:left w:val="none" w:sz="0" w:space="0" w:color="auto"/>
                            <w:bottom w:val="none" w:sz="0" w:space="0" w:color="auto"/>
                            <w:right w:val="none" w:sz="0" w:space="0" w:color="auto"/>
                          </w:divBdr>
                        </w:div>
                      </w:divsChild>
                    </w:div>
                    <w:div w:id="294156431">
                      <w:marLeft w:val="0"/>
                      <w:marRight w:val="0"/>
                      <w:marTop w:val="0"/>
                      <w:marBottom w:val="0"/>
                      <w:divBdr>
                        <w:top w:val="none" w:sz="0" w:space="0" w:color="auto"/>
                        <w:left w:val="none" w:sz="0" w:space="0" w:color="auto"/>
                        <w:bottom w:val="none" w:sz="0" w:space="0" w:color="auto"/>
                        <w:right w:val="none" w:sz="0" w:space="0" w:color="auto"/>
                      </w:divBdr>
                    </w:div>
                    <w:div w:id="294156483">
                      <w:marLeft w:val="0"/>
                      <w:marRight w:val="0"/>
                      <w:marTop w:val="0"/>
                      <w:marBottom w:val="0"/>
                      <w:divBdr>
                        <w:top w:val="none" w:sz="0" w:space="0" w:color="auto"/>
                        <w:left w:val="none" w:sz="0" w:space="0" w:color="auto"/>
                        <w:bottom w:val="none" w:sz="0" w:space="0" w:color="auto"/>
                        <w:right w:val="none" w:sz="0" w:space="0" w:color="auto"/>
                      </w:divBdr>
                    </w:div>
                    <w:div w:id="294156488">
                      <w:marLeft w:val="0"/>
                      <w:marRight w:val="0"/>
                      <w:marTop w:val="0"/>
                      <w:marBottom w:val="0"/>
                      <w:divBdr>
                        <w:top w:val="none" w:sz="0" w:space="0" w:color="auto"/>
                        <w:left w:val="none" w:sz="0" w:space="0" w:color="auto"/>
                        <w:bottom w:val="none" w:sz="0" w:space="0" w:color="auto"/>
                        <w:right w:val="none" w:sz="0" w:space="0" w:color="auto"/>
                      </w:divBdr>
                      <w:divsChild>
                        <w:div w:id="294146269">
                          <w:marLeft w:val="0"/>
                          <w:marRight w:val="0"/>
                          <w:marTop w:val="0"/>
                          <w:marBottom w:val="0"/>
                          <w:divBdr>
                            <w:top w:val="none" w:sz="0" w:space="0" w:color="auto"/>
                            <w:left w:val="none" w:sz="0" w:space="0" w:color="auto"/>
                            <w:bottom w:val="none" w:sz="0" w:space="0" w:color="auto"/>
                            <w:right w:val="none" w:sz="0" w:space="0" w:color="auto"/>
                          </w:divBdr>
                        </w:div>
                      </w:divsChild>
                    </w:div>
                    <w:div w:id="294156505">
                      <w:marLeft w:val="0"/>
                      <w:marRight w:val="0"/>
                      <w:marTop w:val="0"/>
                      <w:marBottom w:val="0"/>
                      <w:divBdr>
                        <w:top w:val="none" w:sz="0" w:space="0" w:color="auto"/>
                        <w:left w:val="none" w:sz="0" w:space="0" w:color="auto"/>
                        <w:bottom w:val="none" w:sz="0" w:space="0" w:color="auto"/>
                        <w:right w:val="none" w:sz="0" w:space="0" w:color="auto"/>
                      </w:divBdr>
                      <w:divsChild>
                        <w:div w:id="294151364">
                          <w:marLeft w:val="0"/>
                          <w:marRight w:val="0"/>
                          <w:marTop w:val="0"/>
                          <w:marBottom w:val="0"/>
                          <w:divBdr>
                            <w:top w:val="none" w:sz="0" w:space="0" w:color="auto"/>
                            <w:left w:val="none" w:sz="0" w:space="0" w:color="auto"/>
                            <w:bottom w:val="none" w:sz="0" w:space="0" w:color="auto"/>
                            <w:right w:val="none" w:sz="0" w:space="0" w:color="auto"/>
                          </w:divBdr>
                        </w:div>
                      </w:divsChild>
                    </w:div>
                    <w:div w:id="294156570">
                      <w:marLeft w:val="0"/>
                      <w:marRight w:val="0"/>
                      <w:marTop w:val="0"/>
                      <w:marBottom w:val="0"/>
                      <w:divBdr>
                        <w:top w:val="none" w:sz="0" w:space="0" w:color="auto"/>
                        <w:left w:val="none" w:sz="0" w:space="0" w:color="auto"/>
                        <w:bottom w:val="none" w:sz="0" w:space="0" w:color="auto"/>
                        <w:right w:val="none" w:sz="0" w:space="0" w:color="auto"/>
                      </w:divBdr>
                      <w:divsChild>
                        <w:div w:id="294157163">
                          <w:marLeft w:val="0"/>
                          <w:marRight w:val="0"/>
                          <w:marTop w:val="0"/>
                          <w:marBottom w:val="0"/>
                          <w:divBdr>
                            <w:top w:val="none" w:sz="0" w:space="0" w:color="auto"/>
                            <w:left w:val="none" w:sz="0" w:space="0" w:color="auto"/>
                            <w:bottom w:val="none" w:sz="0" w:space="0" w:color="auto"/>
                            <w:right w:val="none" w:sz="0" w:space="0" w:color="auto"/>
                          </w:divBdr>
                        </w:div>
                      </w:divsChild>
                    </w:div>
                    <w:div w:id="294156580">
                      <w:marLeft w:val="0"/>
                      <w:marRight w:val="0"/>
                      <w:marTop w:val="0"/>
                      <w:marBottom w:val="0"/>
                      <w:divBdr>
                        <w:top w:val="none" w:sz="0" w:space="0" w:color="auto"/>
                        <w:left w:val="none" w:sz="0" w:space="0" w:color="auto"/>
                        <w:bottom w:val="none" w:sz="0" w:space="0" w:color="auto"/>
                        <w:right w:val="none" w:sz="0" w:space="0" w:color="auto"/>
                      </w:divBdr>
                    </w:div>
                    <w:div w:id="294156590">
                      <w:marLeft w:val="0"/>
                      <w:marRight w:val="0"/>
                      <w:marTop w:val="0"/>
                      <w:marBottom w:val="0"/>
                      <w:divBdr>
                        <w:top w:val="none" w:sz="0" w:space="0" w:color="auto"/>
                        <w:left w:val="none" w:sz="0" w:space="0" w:color="auto"/>
                        <w:bottom w:val="none" w:sz="0" w:space="0" w:color="auto"/>
                        <w:right w:val="none" w:sz="0" w:space="0" w:color="auto"/>
                      </w:divBdr>
                    </w:div>
                    <w:div w:id="294156591">
                      <w:marLeft w:val="0"/>
                      <w:marRight w:val="0"/>
                      <w:marTop w:val="0"/>
                      <w:marBottom w:val="0"/>
                      <w:divBdr>
                        <w:top w:val="none" w:sz="0" w:space="0" w:color="auto"/>
                        <w:left w:val="none" w:sz="0" w:space="0" w:color="auto"/>
                        <w:bottom w:val="none" w:sz="0" w:space="0" w:color="auto"/>
                        <w:right w:val="none" w:sz="0" w:space="0" w:color="auto"/>
                      </w:divBdr>
                    </w:div>
                    <w:div w:id="294156605">
                      <w:marLeft w:val="0"/>
                      <w:marRight w:val="0"/>
                      <w:marTop w:val="0"/>
                      <w:marBottom w:val="0"/>
                      <w:divBdr>
                        <w:top w:val="none" w:sz="0" w:space="0" w:color="auto"/>
                        <w:left w:val="none" w:sz="0" w:space="0" w:color="auto"/>
                        <w:bottom w:val="none" w:sz="0" w:space="0" w:color="auto"/>
                        <w:right w:val="none" w:sz="0" w:space="0" w:color="auto"/>
                      </w:divBdr>
                      <w:divsChild>
                        <w:div w:id="294140096">
                          <w:marLeft w:val="0"/>
                          <w:marRight w:val="0"/>
                          <w:marTop w:val="0"/>
                          <w:marBottom w:val="0"/>
                          <w:divBdr>
                            <w:top w:val="none" w:sz="0" w:space="0" w:color="auto"/>
                            <w:left w:val="none" w:sz="0" w:space="0" w:color="auto"/>
                            <w:bottom w:val="none" w:sz="0" w:space="0" w:color="auto"/>
                            <w:right w:val="none" w:sz="0" w:space="0" w:color="auto"/>
                          </w:divBdr>
                        </w:div>
                      </w:divsChild>
                    </w:div>
                    <w:div w:id="294156620">
                      <w:marLeft w:val="0"/>
                      <w:marRight w:val="0"/>
                      <w:marTop w:val="0"/>
                      <w:marBottom w:val="0"/>
                      <w:divBdr>
                        <w:top w:val="none" w:sz="0" w:space="0" w:color="auto"/>
                        <w:left w:val="none" w:sz="0" w:space="0" w:color="auto"/>
                        <w:bottom w:val="none" w:sz="0" w:space="0" w:color="auto"/>
                        <w:right w:val="none" w:sz="0" w:space="0" w:color="auto"/>
                      </w:divBdr>
                    </w:div>
                    <w:div w:id="294156630">
                      <w:marLeft w:val="0"/>
                      <w:marRight w:val="0"/>
                      <w:marTop w:val="0"/>
                      <w:marBottom w:val="0"/>
                      <w:divBdr>
                        <w:top w:val="none" w:sz="0" w:space="0" w:color="auto"/>
                        <w:left w:val="none" w:sz="0" w:space="0" w:color="auto"/>
                        <w:bottom w:val="none" w:sz="0" w:space="0" w:color="auto"/>
                        <w:right w:val="none" w:sz="0" w:space="0" w:color="auto"/>
                      </w:divBdr>
                      <w:divsChild>
                        <w:div w:id="294141669">
                          <w:marLeft w:val="0"/>
                          <w:marRight w:val="0"/>
                          <w:marTop w:val="0"/>
                          <w:marBottom w:val="0"/>
                          <w:divBdr>
                            <w:top w:val="none" w:sz="0" w:space="0" w:color="auto"/>
                            <w:left w:val="none" w:sz="0" w:space="0" w:color="auto"/>
                            <w:bottom w:val="none" w:sz="0" w:space="0" w:color="auto"/>
                            <w:right w:val="none" w:sz="0" w:space="0" w:color="auto"/>
                          </w:divBdr>
                        </w:div>
                      </w:divsChild>
                    </w:div>
                    <w:div w:id="294156654">
                      <w:marLeft w:val="0"/>
                      <w:marRight w:val="0"/>
                      <w:marTop w:val="0"/>
                      <w:marBottom w:val="0"/>
                      <w:divBdr>
                        <w:top w:val="none" w:sz="0" w:space="0" w:color="auto"/>
                        <w:left w:val="none" w:sz="0" w:space="0" w:color="auto"/>
                        <w:bottom w:val="none" w:sz="0" w:space="0" w:color="auto"/>
                        <w:right w:val="none" w:sz="0" w:space="0" w:color="auto"/>
                      </w:divBdr>
                    </w:div>
                    <w:div w:id="294156796">
                      <w:marLeft w:val="0"/>
                      <w:marRight w:val="0"/>
                      <w:marTop w:val="0"/>
                      <w:marBottom w:val="0"/>
                      <w:divBdr>
                        <w:top w:val="none" w:sz="0" w:space="0" w:color="auto"/>
                        <w:left w:val="none" w:sz="0" w:space="0" w:color="auto"/>
                        <w:bottom w:val="none" w:sz="0" w:space="0" w:color="auto"/>
                        <w:right w:val="none" w:sz="0" w:space="0" w:color="auto"/>
                      </w:divBdr>
                    </w:div>
                    <w:div w:id="294156901">
                      <w:marLeft w:val="0"/>
                      <w:marRight w:val="0"/>
                      <w:marTop w:val="0"/>
                      <w:marBottom w:val="0"/>
                      <w:divBdr>
                        <w:top w:val="none" w:sz="0" w:space="0" w:color="auto"/>
                        <w:left w:val="none" w:sz="0" w:space="0" w:color="auto"/>
                        <w:bottom w:val="none" w:sz="0" w:space="0" w:color="auto"/>
                        <w:right w:val="none" w:sz="0" w:space="0" w:color="auto"/>
                      </w:divBdr>
                      <w:divsChild>
                        <w:div w:id="294150511">
                          <w:marLeft w:val="0"/>
                          <w:marRight w:val="0"/>
                          <w:marTop w:val="0"/>
                          <w:marBottom w:val="0"/>
                          <w:divBdr>
                            <w:top w:val="none" w:sz="0" w:space="0" w:color="auto"/>
                            <w:left w:val="none" w:sz="0" w:space="0" w:color="auto"/>
                            <w:bottom w:val="none" w:sz="0" w:space="0" w:color="auto"/>
                            <w:right w:val="none" w:sz="0" w:space="0" w:color="auto"/>
                          </w:divBdr>
                        </w:div>
                      </w:divsChild>
                    </w:div>
                    <w:div w:id="294156929">
                      <w:marLeft w:val="0"/>
                      <w:marRight w:val="0"/>
                      <w:marTop w:val="0"/>
                      <w:marBottom w:val="0"/>
                      <w:divBdr>
                        <w:top w:val="none" w:sz="0" w:space="0" w:color="auto"/>
                        <w:left w:val="none" w:sz="0" w:space="0" w:color="auto"/>
                        <w:bottom w:val="none" w:sz="0" w:space="0" w:color="auto"/>
                        <w:right w:val="none" w:sz="0" w:space="0" w:color="auto"/>
                      </w:divBdr>
                      <w:divsChild>
                        <w:div w:id="294155592">
                          <w:marLeft w:val="0"/>
                          <w:marRight w:val="0"/>
                          <w:marTop w:val="0"/>
                          <w:marBottom w:val="0"/>
                          <w:divBdr>
                            <w:top w:val="none" w:sz="0" w:space="0" w:color="auto"/>
                            <w:left w:val="none" w:sz="0" w:space="0" w:color="auto"/>
                            <w:bottom w:val="none" w:sz="0" w:space="0" w:color="auto"/>
                            <w:right w:val="none" w:sz="0" w:space="0" w:color="auto"/>
                          </w:divBdr>
                        </w:div>
                      </w:divsChild>
                    </w:div>
                    <w:div w:id="294156951">
                      <w:marLeft w:val="0"/>
                      <w:marRight w:val="0"/>
                      <w:marTop w:val="0"/>
                      <w:marBottom w:val="0"/>
                      <w:divBdr>
                        <w:top w:val="none" w:sz="0" w:space="0" w:color="auto"/>
                        <w:left w:val="none" w:sz="0" w:space="0" w:color="auto"/>
                        <w:bottom w:val="none" w:sz="0" w:space="0" w:color="auto"/>
                        <w:right w:val="none" w:sz="0" w:space="0" w:color="auto"/>
                      </w:divBdr>
                    </w:div>
                    <w:div w:id="294157029">
                      <w:marLeft w:val="0"/>
                      <w:marRight w:val="0"/>
                      <w:marTop w:val="0"/>
                      <w:marBottom w:val="0"/>
                      <w:divBdr>
                        <w:top w:val="none" w:sz="0" w:space="0" w:color="auto"/>
                        <w:left w:val="none" w:sz="0" w:space="0" w:color="auto"/>
                        <w:bottom w:val="none" w:sz="0" w:space="0" w:color="auto"/>
                        <w:right w:val="none" w:sz="0" w:space="0" w:color="auto"/>
                      </w:divBdr>
                      <w:divsChild>
                        <w:div w:id="294150211">
                          <w:marLeft w:val="0"/>
                          <w:marRight w:val="0"/>
                          <w:marTop w:val="0"/>
                          <w:marBottom w:val="0"/>
                          <w:divBdr>
                            <w:top w:val="none" w:sz="0" w:space="0" w:color="auto"/>
                            <w:left w:val="none" w:sz="0" w:space="0" w:color="auto"/>
                            <w:bottom w:val="none" w:sz="0" w:space="0" w:color="auto"/>
                            <w:right w:val="none" w:sz="0" w:space="0" w:color="auto"/>
                          </w:divBdr>
                        </w:div>
                      </w:divsChild>
                    </w:div>
                    <w:div w:id="294157043">
                      <w:marLeft w:val="0"/>
                      <w:marRight w:val="0"/>
                      <w:marTop w:val="0"/>
                      <w:marBottom w:val="0"/>
                      <w:divBdr>
                        <w:top w:val="none" w:sz="0" w:space="0" w:color="auto"/>
                        <w:left w:val="none" w:sz="0" w:space="0" w:color="auto"/>
                        <w:bottom w:val="none" w:sz="0" w:space="0" w:color="auto"/>
                        <w:right w:val="none" w:sz="0" w:space="0" w:color="auto"/>
                      </w:divBdr>
                      <w:divsChild>
                        <w:div w:id="294151767">
                          <w:marLeft w:val="0"/>
                          <w:marRight w:val="0"/>
                          <w:marTop w:val="0"/>
                          <w:marBottom w:val="0"/>
                          <w:divBdr>
                            <w:top w:val="none" w:sz="0" w:space="0" w:color="auto"/>
                            <w:left w:val="none" w:sz="0" w:space="0" w:color="auto"/>
                            <w:bottom w:val="none" w:sz="0" w:space="0" w:color="auto"/>
                            <w:right w:val="none" w:sz="0" w:space="0" w:color="auto"/>
                          </w:divBdr>
                        </w:div>
                      </w:divsChild>
                    </w:div>
                    <w:div w:id="294157076">
                      <w:marLeft w:val="0"/>
                      <w:marRight w:val="0"/>
                      <w:marTop w:val="0"/>
                      <w:marBottom w:val="0"/>
                      <w:divBdr>
                        <w:top w:val="none" w:sz="0" w:space="0" w:color="auto"/>
                        <w:left w:val="none" w:sz="0" w:space="0" w:color="auto"/>
                        <w:bottom w:val="none" w:sz="0" w:space="0" w:color="auto"/>
                        <w:right w:val="none" w:sz="0" w:space="0" w:color="auto"/>
                      </w:divBdr>
                      <w:divsChild>
                        <w:div w:id="294143895">
                          <w:marLeft w:val="0"/>
                          <w:marRight w:val="0"/>
                          <w:marTop w:val="0"/>
                          <w:marBottom w:val="0"/>
                          <w:divBdr>
                            <w:top w:val="none" w:sz="0" w:space="0" w:color="auto"/>
                            <w:left w:val="none" w:sz="0" w:space="0" w:color="auto"/>
                            <w:bottom w:val="none" w:sz="0" w:space="0" w:color="auto"/>
                            <w:right w:val="none" w:sz="0" w:space="0" w:color="auto"/>
                          </w:divBdr>
                        </w:div>
                      </w:divsChild>
                    </w:div>
                    <w:div w:id="294157085">
                      <w:marLeft w:val="0"/>
                      <w:marRight w:val="0"/>
                      <w:marTop w:val="0"/>
                      <w:marBottom w:val="0"/>
                      <w:divBdr>
                        <w:top w:val="none" w:sz="0" w:space="0" w:color="auto"/>
                        <w:left w:val="none" w:sz="0" w:space="0" w:color="auto"/>
                        <w:bottom w:val="none" w:sz="0" w:space="0" w:color="auto"/>
                        <w:right w:val="none" w:sz="0" w:space="0" w:color="auto"/>
                      </w:divBdr>
                      <w:divsChild>
                        <w:div w:id="294143912">
                          <w:marLeft w:val="0"/>
                          <w:marRight w:val="0"/>
                          <w:marTop w:val="0"/>
                          <w:marBottom w:val="0"/>
                          <w:divBdr>
                            <w:top w:val="none" w:sz="0" w:space="0" w:color="auto"/>
                            <w:left w:val="none" w:sz="0" w:space="0" w:color="auto"/>
                            <w:bottom w:val="none" w:sz="0" w:space="0" w:color="auto"/>
                            <w:right w:val="none" w:sz="0" w:space="0" w:color="auto"/>
                          </w:divBdr>
                        </w:div>
                      </w:divsChild>
                    </w:div>
                    <w:div w:id="294157092">
                      <w:marLeft w:val="0"/>
                      <w:marRight w:val="0"/>
                      <w:marTop w:val="0"/>
                      <w:marBottom w:val="0"/>
                      <w:divBdr>
                        <w:top w:val="none" w:sz="0" w:space="0" w:color="auto"/>
                        <w:left w:val="none" w:sz="0" w:space="0" w:color="auto"/>
                        <w:bottom w:val="none" w:sz="0" w:space="0" w:color="auto"/>
                        <w:right w:val="none" w:sz="0" w:space="0" w:color="auto"/>
                      </w:divBdr>
                    </w:div>
                    <w:div w:id="294157242">
                      <w:marLeft w:val="0"/>
                      <w:marRight w:val="0"/>
                      <w:marTop w:val="0"/>
                      <w:marBottom w:val="0"/>
                      <w:divBdr>
                        <w:top w:val="none" w:sz="0" w:space="0" w:color="auto"/>
                        <w:left w:val="none" w:sz="0" w:space="0" w:color="auto"/>
                        <w:bottom w:val="none" w:sz="0" w:space="0" w:color="auto"/>
                        <w:right w:val="none" w:sz="0" w:space="0" w:color="auto"/>
                      </w:divBdr>
                      <w:divsChild>
                        <w:div w:id="294154222">
                          <w:marLeft w:val="0"/>
                          <w:marRight w:val="0"/>
                          <w:marTop w:val="0"/>
                          <w:marBottom w:val="0"/>
                          <w:divBdr>
                            <w:top w:val="none" w:sz="0" w:space="0" w:color="auto"/>
                            <w:left w:val="none" w:sz="0" w:space="0" w:color="auto"/>
                            <w:bottom w:val="none" w:sz="0" w:space="0" w:color="auto"/>
                            <w:right w:val="none" w:sz="0" w:space="0" w:color="auto"/>
                          </w:divBdr>
                        </w:div>
                      </w:divsChild>
                    </w:div>
                    <w:div w:id="294157398">
                      <w:marLeft w:val="0"/>
                      <w:marRight w:val="0"/>
                      <w:marTop w:val="0"/>
                      <w:marBottom w:val="0"/>
                      <w:divBdr>
                        <w:top w:val="none" w:sz="0" w:space="0" w:color="auto"/>
                        <w:left w:val="none" w:sz="0" w:space="0" w:color="auto"/>
                        <w:bottom w:val="none" w:sz="0" w:space="0" w:color="auto"/>
                        <w:right w:val="none" w:sz="0" w:space="0" w:color="auto"/>
                      </w:divBdr>
                    </w:div>
                    <w:div w:id="294157426">
                      <w:marLeft w:val="0"/>
                      <w:marRight w:val="0"/>
                      <w:marTop w:val="0"/>
                      <w:marBottom w:val="0"/>
                      <w:divBdr>
                        <w:top w:val="none" w:sz="0" w:space="0" w:color="auto"/>
                        <w:left w:val="none" w:sz="0" w:space="0" w:color="auto"/>
                        <w:bottom w:val="none" w:sz="0" w:space="0" w:color="auto"/>
                        <w:right w:val="none" w:sz="0" w:space="0" w:color="auto"/>
                      </w:divBdr>
                      <w:divsChild>
                        <w:div w:id="294155914">
                          <w:marLeft w:val="0"/>
                          <w:marRight w:val="0"/>
                          <w:marTop w:val="0"/>
                          <w:marBottom w:val="0"/>
                          <w:divBdr>
                            <w:top w:val="none" w:sz="0" w:space="0" w:color="auto"/>
                            <w:left w:val="none" w:sz="0" w:space="0" w:color="auto"/>
                            <w:bottom w:val="none" w:sz="0" w:space="0" w:color="auto"/>
                            <w:right w:val="none" w:sz="0" w:space="0" w:color="auto"/>
                          </w:divBdr>
                        </w:div>
                      </w:divsChild>
                    </w:div>
                    <w:div w:id="29415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56546">
          <w:marLeft w:val="0"/>
          <w:marRight w:val="0"/>
          <w:marTop w:val="0"/>
          <w:marBottom w:val="0"/>
          <w:divBdr>
            <w:top w:val="none" w:sz="0" w:space="0" w:color="auto"/>
            <w:left w:val="none" w:sz="0" w:space="0" w:color="auto"/>
            <w:bottom w:val="none" w:sz="0" w:space="0" w:color="auto"/>
            <w:right w:val="none" w:sz="0" w:space="0" w:color="auto"/>
          </w:divBdr>
          <w:divsChild>
            <w:div w:id="294140575">
              <w:marLeft w:val="0"/>
              <w:marRight w:val="0"/>
              <w:marTop w:val="0"/>
              <w:marBottom w:val="0"/>
              <w:divBdr>
                <w:top w:val="none" w:sz="0" w:space="0" w:color="auto"/>
                <w:left w:val="none" w:sz="0" w:space="0" w:color="auto"/>
                <w:bottom w:val="none" w:sz="0" w:space="0" w:color="auto"/>
                <w:right w:val="none" w:sz="0" w:space="0" w:color="auto"/>
              </w:divBdr>
              <w:divsChild>
                <w:div w:id="294138383">
                  <w:marLeft w:val="0"/>
                  <w:marRight w:val="0"/>
                  <w:marTop w:val="0"/>
                  <w:marBottom w:val="0"/>
                  <w:divBdr>
                    <w:top w:val="none" w:sz="0" w:space="0" w:color="auto"/>
                    <w:left w:val="none" w:sz="0" w:space="0" w:color="auto"/>
                    <w:bottom w:val="none" w:sz="0" w:space="0" w:color="auto"/>
                    <w:right w:val="none" w:sz="0" w:space="0" w:color="auto"/>
                  </w:divBdr>
                </w:div>
                <w:div w:id="294138589">
                  <w:marLeft w:val="0"/>
                  <w:marRight w:val="0"/>
                  <w:marTop w:val="0"/>
                  <w:marBottom w:val="0"/>
                  <w:divBdr>
                    <w:top w:val="none" w:sz="0" w:space="0" w:color="auto"/>
                    <w:left w:val="none" w:sz="0" w:space="0" w:color="auto"/>
                    <w:bottom w:val="none" w:sz="0" w:space="0" w:color="auto"/>
                    <w:right w:val="none" w:sz="0" w:space="0" w:color="auto"/>
                  </w:divBdr>
                </w:div>
                <w:div w:id="294138831">
                  <w:marLeft w:val="0"/>
                  <w:marRight w:val="0"/>
                  <w:marTop w:val="0"/>
                  <w:marBottom w:val="0"/>
                  <w:divBdr>
                    <w:top w:val="none" w:sz="0" w:space="0" w:color="auto"/>
                    <w:left w:val="none" w:sz="0" w:space="0" w:color="auto"/>
                    <w:bottom w:val="none" w:sz="0" w:space="0" w:color="auto"/>
                    <w:right w:val="none" w:sz="0" w:space="0" w:color="auto"/>
                  </w:divBdr>
                </w:div>
                <w:div w:id="294139002">
                  <w:marLeft w:val="0"/>
                  <w:marRight w:val="0"/>
                  <w:marTop w:val="0"/>
                  <w:marBottom w:val="0"/>
                  <w:divBdr>
                    <w:top w:val="none" w:sz="0" w:space="0" w:color="auto"/>
                    <w:left w:val="none" w:sz="0" w:space="0" w:color="auto"/>
                    <w:bottom w:val="none" w:sz="0" w:space="0" w:color="auto"/>
                    <w:right w:val="none" w:sz="0" w:space="0" w:color="auto"/>
                  </w:divBdr>
                </w:div>
                <w:div w:id="294139005">
                  <w:marLeft w:val="0"/>
                  <w:marRight w:val="0"/>
                  <w:marTop w:val="0"/>
                  <w:marBottom w:val="0"/>
                  <w:divBdr>
                    <w:top w:val="none" w:sz="0" w:space="0" w:color="auto"/>
                    <w:left w:val="none" w:sz="0" w:space="0" w:color="auto"/>
                    <w:bottom w:val="none" w:sz="0" w:space="0" w:color="auto"/>
                    <w:right w:val="none" w:sz="0" w:space="0" w:color="auto"/>
                  </w:divBdr>
                </w:div>
                <w:div w:id="294139028">
                  <w:marLeft w:val="0"/>
                  <w:marRight w:val="0"/>
                  <w:marTop w:val="0"/>
                  <w:marBottom w:val="0"/>
                  <w:divBdr>
                    <w:top w:val="none" w:sz="0" w:space="0" w:color="auto"/>
                    <w:left w:val="none" w:sz="0" w:space="0" w:color="auto"/>
                    <w:bottom w:val="none" w:sz="0" w:space="0" w:color="auto"/>
                    <w:right w:val="none" w:sz="0" w:space="0" w:color="auto"/>
                  </w:divBdr>
                </w:div>
                <w:div w:id="294139415">
                  <w:marLeft w:val="0"/>
                  <w:marRight w:val="0"/>
                  <w:marTop w:val="0"/>
                  <w:marBottom w:val="0"/>
                  <w:divBdr>
                    <w:top w:val="none" w:sz="0" w:space="0" w:color="auto"/>
                    <w:left w:val="none" w:sz="0" w:space="0" w:color="auto"/>
                    <w:bottom w:val="none" w:sz="0" w:space="0" w:color="auto"/>
                    <w:right w:val="none" w:sz="0" w:space="0" w:color="auto"/>
                  </w:divBdr>
                </w:div>
                <w:div w:id="294139559">
                  <w:marLeft w:val="0"/>
                  <w:marRight w:val="0"/>
                  <w:marTop w:val="0"/>
                  <w:marBottom w:val="0"/>
                  <w:divBdr>
                    <w:top w:val="none" w:sz="0" w:space="0" w:color="auto"/>
                    <w:left w:val="none" w:sz="0" w:space="0" w:color="auto"/>
                    <w:bottom w:val="none" w:sz="0" w:space="0" w:color="auto"/>
                    <w:right w:val="none" w:sz="0" w:space="0" w:color="auto"/>
                  </w:divBdr>
                </w:div>
                <w:div w:id="294139607">
                  <w:marLeft w:val="0"/>
                  <w:marRight w:val="0"/>
                  <w:marTop w:val="0"/>
                  <w:marBottom w:val="0"/>
                  <w:divBdr>
                    <w:top w:val="none" w:sz="0" w:space="0" w:color="auto"/>
                    <w:left w:val="none" w:sz="0" w:space="0" w:color="auto"/>
                    <w:bottom w:val="none" w:sz="0" w:space="0" w:color="auto"/>
                    <w:right w:val="none" w:sz="0" w:space="0" w:color="auto"/>
                  </w:divBdr>
                </w:div>
                <w:div w:id="294139936">
                  <w:marLeft w:val="0"/>
                  <w:marRight w:val="0"/>
                  <w:marTop w:val="0"/>
                  <w:marBottom w:val="0"/>
                  <w:divBdr>
                    <w:top w:val="none" w:sz="0" w:space="0" w:color="auto"/>
                    <w:left w:val="none" w:sz="0" w:space="0" w:color="auto"/>
                    <w:bottom w:val="none" w:sz="0" w:space="0" w:color="auto"/>
                    <w:right w:val="none" w:sz="0" w:space="0" w:color="auto"/>
                  </w:divBdr>
                </w:div>
                <w:div w:id="294140091">
                  <w:marLeft w:val="0"/>
                  <w:marRight w:val="0"/>
                  <w:marTop w:val="0"/>
                  <w:marBottom w:val="0"/>
                  <w:divBdr>
                    <w:top w:val="none" w:sz="0" w:space="0" w:color="auto"/>
                    <w:left w:val="none" w:sz="0" w:space="0" w:color="auto"/>
                    <w:bottom w:val="none" w:sz="0" w:space="0" w:color="auto"/>
                    <w:right w:val="none" w:sz="0" w:space="0" w:color="auto"/>
                  </w:divBdr>
                </w:div>
                <w:div w:id="294140315">
                  <w:marLeft w:val="0"/>
                  <w:marRight w:val="0"/>
                  <w:marTop w:val="0"/>
                  <w:marBottom w:val="0"/>
                  <w:divBdr>
                    <w:top w:val="none" w:sz="0" w:space="0" w:color="auto"/>
                    <w:left w:val="none" w:sz="0" w:space="0" w:color="auto"/>
                    <w:bottom w:val="none" w:sz="0" w:space="0" w:color="auto"/>
                    <w:right w:val="none" w:sz="0" w:space="0" w:color="auto"/>
                  </w:divBdr>
                </w:div>
                <w:div w:id="294140351">
                  <w:marLeft w:val="0"/>
                  <w:marRight w:val="0"/>
                  <w:marTop w:val="0"/>
                  <w:marBottom w:val="0"/>
                  <w:divBdr>
                    <w:top w:val="none" w:sz="0" w:space="0" w:color="auto"/>
                    <w:left w:val="none" w:sz="0" w:space="0" w:color="auto"/>
                    <w:bottom w:val="none" w:sz="0" w:space="0" w:color="auto"/>
                    <w:right w:val="none" w:sz="0" w:space="0" w:color="auto"/>
                  </w:divBdr>
                </w:div>
                <w:div w:id="294140522">
                  <w:marLeft w:val="0"/>
                  <w:marRight w:val="0"/>
                  <w:marTop w:val="0"/>
                  <w:marBottom w:val="0"/>
                  <w:divBdr>
                    <w:top w:val="none" w:sz="0" w:space="0" w:color="auto"/>
                    <w:left w:val="none" w:sz="0" w:space="0" w:color="auto"/>
                    <w:bottom w:val="none" w:sz="0" w:space="0" w:color="auto"/>
                    <w:right w:val="none" w:sz="0" w:space="0" w:color="auto"/>
                  </w:divBdr>
                </w:div>
                <w:div w:id="294140612">
                  <w:marLeft w:val="0"/>
                  <w:marRight w:val="0"/>
                  <w:marTop w:val="0"/>
                  <w:marBottom w:val="0"/>
                  <w:divBdr>
                    <w:top w:val="none" w:sz="0" w:space="0" w:color="auto"/>
                    <w:left w:val="none" w:sz="0" w:space="0" w:color="auto"/>
                    <w:bottom w:val="none" w:sz="0" w:space="0" w:color="auto"/>
                    <w:right w:val="none" w:sz="0" w:space="0" w:color="auto"/>
                  </w:divBdr>
                </w:div>
                <w:div w:id="294140618">
                  <w:marLeft w:val="0"/>
                  <w:marRight w:val="0"/>
                  <w:marTop w:val="0"/>
                  <w:marBottom w:val="0"/>
                  <w:divBdr>
                    <w:top w:val="none" w:sz="0" w:space="0" w:color="auto"/>
                    <w:left w:val="none" w:sz="0" w:space="0" w:color="auto"/>
                    <w:bottom w:val="none" w:sz="0" w:space="0" w:color="auto"/>
                    <w:right w:val="none" w:sz="0" w:space="0" w:color="auto"/>
                  </w:divBdr>
                </w:div>
                <w:div w:id="294140632">
                  <w:marLeft w:val="0"/>
                  <w:marRight w:val="0"/>
                  <w:marTop w:val="0"/>
                  <w:marBottom w:val="0"/>
                  <w:divBdr>
                    <w:top w:val="none" w:sz="0" w:space="0" w:color="auto"/>
                    <w:left w:val="none" w:sz="0" w:space="0" w:color="auto"/>
                    <w:bottom w:val="none" w:sz="0" w:space="0" w:color="auto"/>
                    <w:right w:val="none" w:sz="0" w:space="0" w:color="auto"/>
                  </w:divBdr>
                </w:div>
                <w:div w:id="294140964">
                  <w:marLeft w:val="0"/>
                  <w:marRight w:val="0"/>
                  <w:marTop w:val="0"/>
                  <w:marBottom w:val="0"/>
                  <w:divBdr>
                    <w:top w:val="none" w:sz="0" w:space="0" w:color="auto"/>
                    <w:left w:val="none" w:sz="0" w:space="0" w:color="auto"/>
                    <w:bottom w:val="none" w:sz="0" w:space="0" w:color="auto"/>
                    <w:right w:val="none" w:sz="0" w:space="0" w:color="auto"/>
                  </w:divBdr>
                </w:div>
                <w:div w:id="294141022">
                  <w:marLeft w:val="0"/>
                  <w:marRight w:val="0"/>
                  <w:marTop w:val="0"/>
                  <w:marBottom w:val="0"/>
                  <w:divBdr>
                    <w:top w:val="none" w:sz="0" w:space="0" w:color="auto"/>
                    <w:left w:val="none" w:sz="0" w:space="0" w:color="auto"/>
                    <w:bottom w:val="none" w:sz="0" w:space="0" w:color="auto"/>
                    <w:right w:val="none" w:sz="0" w:space="0" w:color="auto"/>
                  </w:divBdr>
                </w:div>
                <w:div w:id="294141035">
                  <w:marLeft w:val="0"/>
                  <w:marRight w:val="0"/>
                  <w:marTop w:val="0"/>
                  <w:marBottom w:val="0"/>
                  <w:divBdr>
                    <w:top w:val="none" w:sz="0" w:space="0" w:color="auto"/>
                    <w:left w:val="none" w:sz="0" w:space="0" w:color="auto"/>
                    <w:bottom w:val="none" w:sz="0" w:space="0" w:color="auto"/>
                    <w:right w:val="none" w:sz="0" w:space="0" w:color="auto"/>
                  </w:divBdr>
                </w:div>
                <w:div w:id="294141111">
                  <w:marLeft w:val="0"/>
                  <w:marRight w:val="0"/>
                  <w:marTop w:val="0"/>
                  <w:marBottom w:val="0"/>
                  <w:divBdr>
                    <w:top w:val="none" w:sz="0" w:space="0" w:color="auto"/>
                    <w:left w:val="none" w:sz="0" w:space="0" w:color="auto"/>
                    <w:bottom w:val="none" w:sz="0" w:space="0" w:color="auto"/>
                    <w:right w:val="none" w:sz="0" w:space="0" w:color="auto"/>
                  </w:divBdr>
                </w:div>
                <w:div w:id="294141423">
                  <w:marLeft w:val="0"/>
                  <w:marRight w:val="0"/>
                  <w:marTop w:val="0"/>
                  <w:marBottom w:val="0"/>
                  <w:divBdr>
                    <w:top w:val="none" w:sz="0" w:space="0" w:color="auto"/>
                    <w:left w:val="none" w:sz="0" w:space="0" w:color="auto"/>
                    <w:bottom w:val="none" w:sz="0" w:space="0" w:color="auto"/>
                    <w:right w:val="none" w:sz="0" w:space="0" w:color="auto"/>
                  </w:divBdr>
                </w:div>
                <w:div w:id="294141925">
                  <w:marLeft w:val="0"/>
                  <w:marRight w:val="0"/>
                  <w:marTop w:val="0"/>
                  <w:marBottom w:val="0"/>
                  <w:divBdr>
                    <w:top w:val="none" w:sz="0" w:space="0" w:color="auto"/>
                    <w:left w:val="none" w:sz="0" w:space="0" w:color="auto"/>
                    <w:bottom w:val="none" w:sz="0" w:space="0" w:color="auto"/>
                    <w:right w:val="none" w:sz="0" w:space="0" w:color="auto"/>
                  </w:divBdr>
                </w:div>
                <w:div w:id="294141945">
                  <w:marLeft w:val="0"/>
                  <w:marRight w:val="0"/>
                  <w:marTop w:val="0"/>
                  <w:marBottom w:val="0"/>
                  <w:divBdr>
                    <w:top w:val="none" w:sz="0" w:space="0" w:color="auto"/>
                    <w:left w:val="none" w:sz="0" w:space="0" w:color="auto"/>
                    <w:bottom w:val="none" w:sz="0" w:space="0" w:color="auto"/>
                    <w:right w:val="none" w:sz="0" w:space="0" w:color="auto"/>
                  </w:divBdr>
                </w:div>
                <w:div w:id="294142013">
                  <w:marLeft w:val="0"/>
                  <w:marRight w:val="0"/>
                  <w:marTop w:val="0"/>
                  <w:marBottom w:val="0"/>
                  <w:divBdr>
                    <w:top w:val="none" w:sz="0" w:space="0" w:color="auto"/>
                    <w:left w:val="none" w:sz="0" w:space="0" w:color="auto"/>
                    <w:bottom w:val="none" w:sz="0" w:space="0" w:color="auto"/>
                    <w:right w:val="none" w:sz="0" w:space="0" w:color="auto"/>
                  </w:divBdr>
                </w:div>
                <w:div w:id="294142159">
                  <w:marLeft w:val="0"/>
                  <w:marRight w:val="0"/>
                  <w:marTop w:val="0"/>
                  <w:marBottom w:val="0"/>
                  <w:divBdr>
                    <w:top w:val="none" w:sz="0" w:space="0" w:color="auto"/>
                    <w:left w:val="none" w:sz="0" w:space="0" w:color="auto"/>
                    <w:bottom w:val="none" w:sz="0" w:space="0" w:color="auto"/>
                    <w:right w:val="none" w:sz="0" w:space="0" w:color="auto"/>
                  </w:divBdr>
                </w:div>
                <w:div w:id="294142184">
                  <w:marLeft w:val="0"/>
                  <w:marRight w:val="0"/>
                  <w:marTop w:val="0"/>
                  <w:marBottom w:val="0"/>
                  <w:divBdr>
                    <w:top w:val="none" w:sz="0" w:space="0" w:color="auto"/>
                    <w:left w:val="none" w:sz="0" w:space="0" w:color="auto"/>
                    <w:bottom w:val="none" w:sz="0" w:space="0" w:color="auto"/>
                    <w:right w:val="none" w:sz="0" w:space="0" w:color="auto"/>
                  </w:divBdr>
                </w:div>
                <w:div w:id="294142209">
                  <w:marLeft w:val="0"/>
                  <w:marRight w:val="0"/>
                  <w:marTop w:val="0"/>
                  <w:marBottom w:val="0"/>
                  <w:divBdr>
                    <w:top w:val="none" w:sz="0" w:space="0" w:color="auto"/>
                    <w:left w:val="none" w:sz="0" w:space="0" w:color="auto"/>
                    <w:bottom w:val="none" w:sz="0" w:space="0" w:color="auto"/>
                    <w:right w:val="none" w:sz="0" w:space="0" w:color="auto"/>
                  </w:divBdr>
                </w:div>
                <w:div w:id="294142319">
                  <w:marLeft w:val="0"/>
                  <w:marRight w:val="0"/>
                  <w:marTop w:val="0"/>
                  <w:marBottom w:val="0"/>
                  <w:divBdr>
                    <w:top w:val="none" w:sz="0" w:space="0" w:color="auto"/>
                    <w:left w:val="none" w:sz="0" w:space="0" w:color="auto"/>
                    <w:bottom w:val="none" w:sz="0" w:space="0" w:color="auto"/>
                    <w:right w:val="none" w:sz="0" w:space="0" w:color="auto"/>
                  </w:divBdr>
                </w:div>
                <w:div w:id="294142485">
                  <w:marLeft w:val="0"/>
                  <w:marRight w:val="0"/>
                  <w:marTop w:val="0"/>
                  <w:marBottom w:val="0"/>
                  <w:divBdr>
                    <w:top w:val="none" w:sz="0" w:space="0" w:color="auto"/>
                    <w:left w:val="none" w:sz="0" w:space="0" w:color="auto"/>
                    <w:bottom w:val="none" w:sz="0" w:space="0" w:color="auto"/>
                    <w:right w:val="none" w:sz="0" w:space="0" w:color="auto"/>
                  </w:divBdr>
                </w:div>
                <w:div w:id="294142745">
                  <w:marLeft w:val="0"/>
                  <w:marRight w:val="0"/>
                  <w:marTop w:val="0"/>
                  <w:marBottom w:val="0"/>
                  <w:divBdr>
                    <w:top w:val="none" w:sz="0" w:space="0" w:color="auto"/>
                    <w:left w:val="none" w:sz="0" w:space="0" w:color="auto"/>
                    <w:bottom w:val="none" w:sz="0" w:space="0" w:color="auto"/>
                    <w:right w:val="none" w:sz="0" w:space="0" w:color="auto"/>
                  </w:divBdr>
                </w:div>
                <w:div w:id="294142928">
                  <w:marLeft w:val="0"/>
                  <w:marRight w:val="0"/>
                  <w:marTop w:val="0"/>
                  <w:marBottom w:val="0"/>
                  <w:divBdr>
                    <w:top w:val="none" w:sz="0" w:space="0" w:color="auto"/>
                    <w:left w:val="none" w:sz="0" w:space="0" w:color="auto"/>
                    <w:bottom w:val="none" w:sz="0" w:space="0" w:color="auto"/>
                    <w:right w:val="none" w:sz="0" w:space="0" w:color="auto"/>
                  </w:divBdr>
                </w:div>
                <w:div w:id="294144005">
                  <w:marLeft w:val="0"/>
                  <w:marRight w:val="0"/>
                  <w:marTop w:val="0"/>
                  <w:marBottom w:val="0"/>
                  <w:divBdr>
                    <w:top w:val="none" w:sz="0" w:space="0" w:color="auto"/>
                    <w:left w:val="none" w:sz="0" w:space="0" w:color="auto"/>
                    <w:bottom w:val="none" w:sz="0" w:space="0" w:color="auto"/>
                    <w:right w:val="none" w:sz="0" w:space="0" w:color="auto"/>
                  </w:divBdr>
                </w:div>
                <w:div w:id="294144101">
                  <w:marLeft w:val="0"/>
                  <w:marRight w:val="0"/>
                  <w:marTop w:val="0"/>
                  <w:marBottom w:val="0"/>
                  <w:divBdr>
                    <w:top w:val="none" w:sz="0" w:space="0" w:color="auto"/>
                    <w:left w:val="none" w:sz="0" w:space="0" w:color="auto"/>
                    <w:bottom w:val="none" w:sz="0" w:space="0" w:color="auto"/>
                    <w:right w:val="none" w:sz="0" w:space="0" w:color="auto"/>
                  </w:divBdr>
                </w:div>
                <w:div w:id="294144104">
                  <w:marLeft w:val="0"/>
                  <w:marRight w:val="0"/>
                  <w:marTop w:val="0"/>
                  <w:marBottom w:val="0"/>
                  <w:divBdr>
                    <w:top w:val="none" w:sz="0" w:space="0" w:color="auto"/>
                    <w:left w:val="none" w:sz="0" w:space="0" w:color="auto"/>
                    <w:bottom w:val="none" w:sz="0" w:space="0" w:color="auto"/>
                    <w:right w:val="none" w:sz="0" w:space="0" w:color="auto"/>
                  </w:divBdr>
                </w:div>
                <w:div w:id="294144160">
                  <w:marLeft w:val="0"/>
                  <w:marRight w:val="0"/>
                  <w:marTop w:val="0"/>
                  <w:marBottom w:val="0"/>
                  <w:divBdr>
                    <w:top w:val="none" w:sz="0" w:space="0" w:color="auto"/>
                    <w:left w:val="none" w:sz="0" w:space="0" w:color="auto"/>
                    <w:bottom w:val="none" w:sz="0" w:space="0" w:color="auto"/>
                    <w:right w:val="none" w:sz="0" w:space="0" w:color="auto"/>
                  </w:divBdr>
                </w:div>
                <w:div w:id="294144544">
                  <w:marLeft w:val="0"/>
                  <w:marRight w:val="0"/>
                  <w:marTop w:val="0"/>
                  <w:marBottom w:val="0"/>
                  <w:divBdr>
                    <w:top w:val="none" w:sz="0" w:space="0" w:color="auto"/>
                    <w:left w:val="none" w:sz="0" w:space="0" w:color="auto"/>
                    <w:bottom w:val="none" w:sz="0" w:space="0" w:color="auto"/>
                    <w:right w:val="none" w:sz="0" w:space="0" w:color="auto"/>
                  </w:divBdr>
                </w:div>
                <w:div w:id="294145056">
                  <w:marLeft w:val="0"/>
                  <w:marRight w:val="0"/>
                  <w:marTop w:val="0"/>
                  <w:marBottom w:val="0"/>
                  <w:divBdr>
                    <w:top w:val="none" w:sz="0" w:space="0" w:color="auto"/>
                    <w:left w:val="none" w:sz="0" w:space="0" w:color="auto"/>
                    <w:bottom w:val="none" w:sz="0" w:space="0" w:color="auto"/>
                    <w:right w:val="none" w:sz="0" w:space="0" w:color="auto"/>
                  </w:divBdr>
                </w:div>
                <w:div w:id="294145248">
                  <w:marLeft w:val="0"/>
                  <w:marRight w:val="0"/>
                  <w:marTop w:val="0"/>
                  <w:marBottom w:val="0"/>
                  <w:divBdr>
                    <w:top w:val="none" w:sz="0" w:space="0" w:color="auto"/>
                    <w:left w:val="none" w:sz="0" w:space="0" w:color="auto"/>
                    <w:bottom w:val="none" w:sz="0" w:space="0" w:color="auto"/>
                    <w:right w:val="none" w:sz="0" w:space="0" w:color="auto"/>
                  </w:divBdr>
                </w:div>
                <w:div w:id="294145812">
                  <w:marLeft w:val="0"/>
                  <w:marRight w:val="0"/>
                  <w:marTop w:val="0"/>
                  <w:marBottom w:val="0"/>
                  <w:divBdr>
                    <w:top w:val="none" w:sz="0" w:space="0" w:color="auto"/>
                    <w:left w:val="none" w:sz="0" w:space="0" w:color="auto"/>
                    <w:bottom w:val="none" w:sz="0" w:space="0" w:color="auto"/>
                    <w:right w:val="none" w:sz="0" w:space="0" w:color="auto"/>
                  </w:divBdr>
                </w:div>
                <w:div w:id="294145824">
                  <w:marLeft w:val="0"/>
                  <w:marRight w:val="0"/>
                  <w:marTop w:val="0"/>
                  <w:marBottom w:val="0"/>
                  <w:divBdr>
                    <w:top w:val="none" w:sz="0" w:space="0" w:color="auto"/>
                    <w:left w:val="none" w:sz="0" w:space="0" w:color="auto"/>
                    <w:bottom w:val="none" w:sz="0" w:space="0" w:color="auto"/>
                    <w:right w:val="none" w:sz="0" w:space="0" w:color="auto"/>
                  </w:divBdr>
                </w:div>
                <w:div w:id="294145955">
                  <w:marLeft w:val="0"/>
                  <w:marRight w:val="0"/>
                  <w:marTop w:val="0"/>
                  <w:marBottom w:val="0"/>
                  <w:divBdr>
                    <w:top w:val="none" w:sz="0" w:space="0" w:color="auto"/>
                    <w:left w:val="none" w:sz="0" w:space="0" w:color="auto"/>
                    <w:bottom w:val="none" w:sz="0" w:space="0" w:color="auto"/>
                    <w:right w:val="none" w:sz="0" w:space="0" w:color="auto"/>
                  </w:divBdr>
                </w:div>
                <w:div w:id="294146028">
                  <w:marLeft w:val="0"/>
                  <w:marRight w:val="0"/>
                  <w:marTop w:val="0"/>
                  <w:marBottom w:val="0"/>
                  <w:divBdr>
                    <w:top w:val="none" w:sz="0" w:space="0" w:color="auto"/>
                    <w:left w:val="none" w:sz="0" w:space="0" w:color="auto"/>
                    <w:bottom w:val="none" w:sz="0" w:space="0" w:color="auto"/>
                    <w:right w:val="none" w:sz="0" w:space="0" w:color="auto"/>
                  </w:divBdr>
                </w:div>
                <w:div w:id="294146145">
                  <w:marLeft w:val="0"/>
                  <w:marRight w:val="0"/>
                  <w:marTop w:val="0"/>
                  <w:marBottom w:val="0"/>
                  <w:divBdr>
                    <w:top w:val="none" w:sz="0" w:space="0" w:color="auto"/>
                    <w:left w:val="none" w:sz="0" w:space="0" w:color="auto"/>
                    <w:bottom w:val="none" w:sz="0" w:space="0" w:color="auto"/>
                    <w:right w:val="none" w:sz="0" w:space="0" w:color="auto"/>
                  </w:divBdr>
                </w:div>
                <w:div w:id="294146191">
                  <w:marLeft w:val="0"/>
                  <w:marRight w:val="0"/>
                  <w:marTop w:val="0"/>
                  <w:marBottom w:val="0"/>
                  <w:divBdr>
                    <w:top w:val="none" w:sz="0" w:space="0" w:color="auto"/>
                    <w:left w:val="none" w:sz="0" w:space="0" w:color="auto"/>
                    <w:bottom w:val="none" w:sz="0" w:space="0" w:color="auto"/>
                    <w:right w:val="none" w:sz="0" w:space="0" w:color="auto"/>
                  </w:divBdr>
                </w:div>
                <w:div w:id="294146495">
                  <w:marLeft w:val="0"/>
                  <w:marRight w:val="0"/>
                  <w:marTop w:val="0"/>
                  <w:marBottom w:val="0"/>
                  <w:divBdr>
                    <w:top w:val="none" w:sz="0" w:space="0" w:color="auto"/>
                    <w:left w:val="none" w:sz="0" w:space="0" w:color="auto"/>
                    <w:bottom w:val="none" w:sz="0" w:space="0" w:color="auto"/>
                    <w:right w:val="none" w:sz="0" w:space="0" w:color="auto"/>
                  </w:divBdr>
                </w:div>
                <w:div w:id="294146525">
                  <w:marLeft w:val="0"/>
                  <w:marRight w:val="0"/>
                  <w:marTop w:val="0"/>
                  <w:marBottom w:val="0"/>
                  <w:divBdr>
                    <w:top w:val="none" w:sz="0" w:space="0" w:color="auto"/>
                    <w:left w:val="none" w:sz="0" w:space="0" w:color="auto"/>
                    <w:bottom w:val="none" w:sz="0" w:space="0" w:color="auto"/>
                    <w:right w:val="none" w:sz="0" w:space="0" w:color="auto"/>
                  </w:divBdr>
                </w:div>
                <w:div w:id="294146773">
                  <w:marLeft w:val="0"/>
                  <w:marRight w:val="0"/>
                  <w:marTop w:val="0"/>
                  <w:marBottom w:val="0"/>
                  <w:divBdr>
                    <w:top w:val="none" w:sz="0" w:space="0" w:color="auto"/>
                    <w:left w:val="none" w:sz="0" w:space="0" w:color="auto"/>
                    <w:bottom w:val="none" w:sz="0" w:space="0" w:color="auto"/>
                    <w:right w:val="none" w:sz="0" w:space="0" w:color="auto"/>
                  </w:divBdr>
                </w:div>
                <w:div w:id="294146860">
                  <w:marLeft w:val="0"/>
                  <w:marRight w:val="0"/>
                  <w:marTop w:val="0"/>
                  <w:marBottom w:val="0"/>
                  <w:divBdr>
                    <w:top w:val="none" w:sz="0" w:space="0" w:color="auto"/>
                    <w:left w:val="none" w:sz="0" w:space="0" w:color="auto"/>
                    <w:bottom w:val="none" w:sz="0" w:space="0" w:color="auto"/>
                    <w:right w:val="none" w:sz="0" w:space="0" w:color="auto"/>
                  </w:divBdr>
                </w:div>
                <w:div w:id="294146882">
                  <w:marLeft w:val="0"/>
                  <w:marRight w:val="0"/>
                  <w:marTop w:val="0"/>
                  <w:marBottom w:val="0"/>
                  <w:divBdr>
                    <w:top w:val="none" w:sz="0" w:space="0" w:color="auto"/>
                    <w:left w:val="none" w:sz="0" w:space="0" w:color="auto"/>
                    <w:bottom w:val="none" w:sz="0" w:space="0" w:color="auto"/>
                    <w:right w:val="none" w:sz="0" w:space="0" w:color="auto"/>
                  </w:divBdr>
                </w:div>
                <w:div w:id="294146942">
                  <w:marLeft w:val="0"/>
                  <w:marRight w:val="0"/>
                  <w:marTop w:val="0"/>
                  <w:marBottom w:val="0"/>
                  <w:divBdr>
                    <w:top w:val="none" w:sz="0" w:space="0" w:color="auto"/>
                    <w:left w:val="none" w:sz="0" w:space="0" w:color="auto"/>
                    <w:bottom w:val="none" w:sz="0" w:space="0" w:color="auto"/>
                    <w:right w:val="none" w:sz="0" w:space="0" w:color="auto"/>
                  </w:divBdr>
                </w:div>
                <w:div w:id="294147701">
                  <w:marLeft w:val="0"/>
                  <w:marRight w:val="0"/>
                  <w:marTop w:val="0"/>
                  <w:marBottom w:val="0"/>
                  <w:divBdr>
                    <w:top w:val="none" w:sz="0" w:space="0" w:color="auto"/>
                    <w:left w:val="none" w:sz="0" w:space="0" w:color="auto"/>
                    <w:bottom w:val="none" w:sz="0" w:space="0" w:color="auto"/>
                    <w:right w:val="none" w:sz="0" w:space="0" w:color="auto"/>
                  </w:divBdr>
                </w:div>
                <w:div w:id="294148231">
                  <w:marLeft w:val="0"/>
                  <w:marRight w:val="0"/>
                  <w:marTop w:val="0"/>
                  <w:marBottom w:val="0"/>
                  <w:divBdr>
                    <w:top w:val="none" w:sz="0" w:space="0" w:color="auto"/>
                    <w:left w:val="none" w:sz="0" w:space="0" w:color="auto"/>
                    <w:bottom w:val="none" w:sz="0" w:space="0" w:color="auto"/>
                    <w:right w:val="none" w:sz="0" w:space="0" w:color="auto"/>
                  </w:divBdr>
                </w:div>
                <w:div w:id="294148381">
                  <w:marLeft w:val="0"/>
                  <w:marRight w:val="0"/>
                  <w:marTop w:val="0"/>
                  <w:marBottom w:val="0"/>
                  <w:divBdr>
                    <w:top w:val="none" w:sz="0" w:space="0" w:color="auto"/>
                    <w:left w:val="none" w:sz="0" w:space="0" w:color="auto"/>
                    <w:bottom w:val="none" w:sz="0" w:space="0" w:color="auto"/>
                    <w:right w:val="none" w:sz="0" w:space="0" w:color="auto"/>
                  </w:divBdr>
                </w:div>
                <w:div w:id="294148407">
                  <w:marLeft w:val="0"/>
                  <w:marRight w:val="0"/>
                  <w:marTop w:val="0"/>
                  <w:marBottom w:val="0"/>
                  <w:divBdr>
                    <w:top w:val="none" w:sz="0" w:space="0" w:color="auto"/>
                    <w:left w:val="none" w:sz="0" w:space="0" w:color="auto"/>
                    <w:bottom w:val="none" w:sz="0" w:space="0" w:color="auto"/>
                    <w:right w:val="none" w:sz="0" w:space="0" w:color="auto"/>
                  </w:divBdr>
                </w:div>
                <w:div w:id="294148446">
                  <w:marLeft w:val="0"/>
                  <w:marRight w:val="0"/>
                  <w:marTop w:val="0"/>
                  <w:marBottom w:val="0"/>
                  <w:divBdr>
                    <w:top w:val="none" w:sz="0" w:space="0" w:color="auto"/>
                    <w:left w:val="none" w:sz="0" w:space="0" w:color="auto"/>
                    <w:bottom w:val="none" w:sz="0" w:space="0" w:color="auto"/>
                    <w:right w:val="none" w:sz="0" w:space="0" w:color="auto"/>
                  </w:divBdr>
                </w:div>
                <w:div w:id="294148490">
                  <w:marLeft w:val="0"/>
                  <w:marRight w:val="0"/>
                  <w:marTop w:val="0"/>
                  <w:marBottom w:val="0"/>
                  <w:divBdr>
                    <w:top w:val="none" w:sz="0" w:space="0" w:color="auto"/>
                    <w:left w:val="none" w:sz="0" w:space="0" w:color="auto"/>
                    <w:bottom w:val="none" w:sz="0" w:space="0" w:color="auto"/>
                    <w:right w:val="none" w:sz="0" w:space="0" w:color="auto"/>
                  </w:divBdr>
                </w:div>
                <w:div w:id="294148672">
                  <w:marLeft w:val="0"/>
                  <w:marRight w:val="0"/>
                  <w:marTop w:val="0"/>
                  <w:marBottom w:val="0"/>
                  <w:divBdr>
                    <w:top w:val="none" w:sz="0" w:space="0" w:color="auto"/>
                    <w:left w:val="none" w:sz="0" w:space="0" w:color="auto"/>
                    <w:bottom w:val="none" w:sz="0" w:space="0" w:color="auto"/>
                    <w:right w:val="none" w:sz="0" w:space="0" w:color="auto"/>
                  </w:divBdr>
                </w:div>
                <w:div w:id="294148679">
                  <w:marLeft w:val="0"/>
                  <w:marRight w:val="0"/>
                  <w:marTop w:val="0"/>
                  <w:marBottom w:val="0"/>
                  <w:divBdr>
                    <w:top w:val="none" w:sz="0" w:space="0" w:color="auto"/>
                    <w:left w:val="none" w:sz="0" w:space="0" w:color="auto"/>
                    <w:bottom w:val="none" w:sz="0" w:space="0" w:color="auto"/>
                    <w:right w:val="none" w:sz="0" w:space="0" w:color="auto"/>
                  </w:divBdr>
                </w:div>
                <w:div w:id="294148942">
                  <w:marLeft w:val="0"/>
                  <w:marRight w:val="0"/>
                  <w:marTop w:val="0"/>
                  <w:marBottom w:val="0"/>
                  <w:divBdr>
                    <w:top w:val="none" w:sz="0" w:space="0" w:color="auto"/>
                    <w:left w:val="none" w:sz="0" w:space="0" w:color="auto"/>
                    <w:bottom w:val="none" w:sz="0" w:space="0" w:color="auto"/>
                    <w:right w:val="none" w:sz="0" w:space="0" w:color="auto"/>
                  </w:divBdr>
                </w:div>
                <w:div w:id="294149019">
                  <w:marLeft w:val="0"/>
                  <w:marRight w:val="0"/>
                  <w:marTop w:val="0"/>
                  <w:marBottom w:val="0"/>
                  <w:divBdr>
                    <w:top w:val="none" w:sz="0" w:space="0" w:color="auto"/>
                    <w:left w:val="none" w:sz="0" w:space="0" w:color="auto"/>
                    <w:bottom w:val="none" w:sz="0" w:space="0" w:color="auto"/>
                    <w:right w:val="none" w:sz="0" w:space="0" w:color="auto"/>
                  </w:divBdr>
                </w:div>
                <w:div w:id="294149141">
                  <w:marLeft w:val="0"/>
                  <w:marRight w:val="0"/>
                  <w:marTop w:val="0"/>
                  <w:marBottom w:val="0"/>
                  <w:divBdr>
                    <w:top w:val="none" w:sz="0" w:space="0" w:color="auto"/>
                    <w:left w:val="none" w:sz="0" w:space="0" w:color="auto"/>
                    <w:bottom w:val="none" w:sz="0" w:space="0" w:color="auto"/>
                    <w:right w:val="none" w:sz="0" w:space="0" w:color="auto"/>
                  </w:divBdr>
                </w:div>
                <w:div w:id="294149410">
                  <w:marLeft w:val="0"/>
                  <w:marRight w:val="0"/>
                  <w:marTop w:val="0"/>
                  <w:marBottom w:val="0"/>
                  <w:divBdr>
                    <w:top w:val="none" w:sz="0" w:space="0" w:color="auto"/>
                    <w:left w:val="none" w:sz="0" w:space="0" w:color="auto"/>
                    <w:bottom w:val="none" w:sz="0" w:space="0" w:color="auto"/>
                    <w:right w:val="none" w:sz="0" w:space="0" w:color="auto"/>
                  </w:divBdr>
                </w:div>
                <w:div w:id="294149437">
                  <w:marLeft w:val="0"/>
                  <w:marRight w:val="0"/>
                  <w:marTop w:val="0"/>
                  <w:marBottom w:val="0"/>
                  <w:divBdr>
                    <w:top w:val="none" w:sz="0" w:space="0" w:color="auto"/>
                    <w:left w:val="none" w:sz="0" w:space="0" w:color="auto"/>
                    <w:bottom w:val="none" w:sz="0" w:space="0" w:color="auto"/>
                    <w:right w:val="none" w:sz="0" w:space="0" w:color="auto"/>
                  </w:divBdr>
                </w:div>
                <w:div w:id="294149639">
                  <w:marLeft w:val="0"/>
                  <w:marRight w:val="0"/>
                  <w:marTop w:val="0"/>
                  <w:marBottom w:val="0"/>
                  <w:divBdr>
                    <w:top w:val="none" w:sz="0" w:space="0" w:color="auto"/>
                    <w:left w:val="none" w:sz="0" w:space="0" w:color="auto"/>
                    <w:bottom w:val="none" w:sz="0" w:space="0" w:color="auto"/>
                    <w:right w:val="none" w:sz="0" w:space="0" w:color="auto"/>
                  </w:divBdr>
                </w:div>
                <w:div w:id="294149839">
                  <w:marLeft w:val="0"/>
                  <w:marRight w:val="0"/>
                  <w:marTop w:val="0"/>
                  <w:marBottom w:val="0"/>
                  <w:divBdr>
                    <w:top w:val="none" w:sz="0" w:space="0" w:color="auto"/>
                    <w:left w:val="none" w:sz="0" w:space="0" w:color="auto"/>
                    <w:bottom w:val="none" w:sz="0" w:space="0" w:color="auto"/>
                    <w:right w:val="none" w:sz="0" w:space="0" w:color="auto"/>
                  </w:divBdr>
                </w:div>
                <w:div w:id="294150262">
                  <w:marLeft w:val="0"/>
                  <w:marRight w:val="0"/>
                  <w:marTop w:val="0"/>
                  <w:marBottom w:val="0"/>
                  <w:divBdr>
                    <w:top w:val="none" w:sz="0" w:space="0" w:color="auto"/>
                    <w:left w:val="none" w:sz="0" w:space="0" w:color="auto"/>
                    <w:bottom w:val="none" w:sz="0" w:space="0" w:color="auto"/>
                    <w:right w:val="none" w:sz="0" w:space="0" w:color="auto"/>
                  </w:divBdr>
                </w:div>
                <w:div w:id="294150380">
                  <w:marLeft w:val="0"/>
                  <w:marRight w:val="0"/>
                  <w:marTop w:val="0"/>
                  <w:marBottom w:val="0"/>
                  <w:divBdr>
                    <w:top w:val="none" w:sz="0" w:space="0" w:color="auto"/>
                    <w:left w:val="none" w:sz="0" w:space="0" w:color="auto"/>
                    <w:bottom w:val="none" w:sz="0" w:space="0" w:color="auto"/>
                    <w:right w:val="none" w:sz="0" w:space="0" w:color="auto"/>
                  </w:divBdr>
                </w:div>
                <w:div w:id="294150704">
                  <w:marLeft w:val="0"/>
                  <w:marRight w:val="0"/>
                  <w:marTop w:val="0"/>
                  <w:marBottom w:val="0"/>
                  <w:divBdr>
                    <w:top w:val="none" w:sz="0" w:space="0" w:color="auto"/>
                    <w:left w:val="none" w:sz="0" w:space="0" w:color="auto"/>
                    <w:bottom w:val="none" w:sz="0" w:space="0" w:color="auto"/>
                    <w:right w:val="none" w:sz="0" w:space="0" w:color="auto"/>
                  </w:divBdr>
                </w:div>
                <w:div w:id="294150759">
                  <w:marLeft w:val="0"/>
                  <w:marRight w:val="0"/>
                  <w:marTop w:val="0"/>
                  <w:marBottom w:val="0"/>
                  <w:divBdr>
                    <w:top w:val="none" w:sz="0" w:space="0" w:color="auto"/>
                    <w:left w:val="none" w:sz="0" w:space="0" w:color="auto"/>
                    <w:bottom w:val="none" w:sz="0" w:space="0" w:color="auto"/>
                    <w:right w:val="none" w:sz="0" w:space="0" w:color="auto"/>
                  </w:divBdr>
                </w:div>
                <w:div w:id="294150910">
                  <w:marLeft w:val="0"/>
                  <w:marRight w:val="0"/>
                  <w:marTop w:val="0"/>
                  <w:marBottom w:val="0"/>
                  <w:divBdr>
                    <w:top w:val="none" w:sz="0" w:space="0" w:color="auto"/>
                    <w:left w:val="none" w:sz="0" w:space="0" w:color="auto"/>
                    <w:bottom w:val="none" w:sz="0" w:space="0" w:color="auto"/>
                    <w:right w:val="none" w:sz="0" w:space="0" w:color="auto"/>
                  </w:divBdr>
                </w:div>
                <w:div w:id="294151565">
                  <w:marLeft w:val="0"/>
                  <w:marRight w:val="0"/>
                  <w:marTop w:val="0"/>
                  <w:marBottom w:val="0"/>
                  <w:divBdr>
                    <w:top w:val="none" w:sz="0" w:space="0" w:color="auto"/>
                    <w:left w:val="none" w:sz="0" w:space="0" w:color="auto"/>
                    <w:bottom w:val="none" w:sz="0" w:space="0" w:color="auto"/>
                    <w:right w:val="none" w:sz="0" w:space="0" w:color="auto"/>
                  </w:divBdr>
                </w:div>
                <w:div w:id="294151925">
                  <w:marLeft w:val="0"/>
                  <w:marRight w:val="0"/>
                  <w:marTop w:val="0"/>
                  <w:marBottom w:val="0"/>
                  <w:divBdr>
                    <w:top w:val="none" w:sz="0" w:space="0" w:color="auto"/>
                    <w:left w:val="none" w:sz="0" w:space="0" w:color="auto"/>
                    <w:bottom w:val="none" w:sz="0" w:space="0" w:color="auto"/>
                    <w:right w:val="none" w:sz="0" w:space="0" w:color="auto"/>
                  </w:divBdr>
                </w:div>
                <w:div w:id="294152012">
                  <w:marLeft w:val="0"/>
                  <w:marRight w:val="0"/>
                  <w:marTop w:val="0"/>
                  <w:marBottom w:val="0"/>
                  <w:divBdr>
                    <w:top w:val="none" w:sz="0" w:space="0" w:color="auto"/>
                    <w:left w:val="none" w:sz="0" w:space="0" w:color="auto"/>
                    <w:bottom w:val="none" w:sz="0" w:space="0" w:color="auto"/>
                    <w:right w:val="none" w:sz="0" w:space="0" w:color="auto"/>
                  </w:divBdr>
                </w:div>
                <w:div w:id="294152218">
                  <w:marLeft w:val="0"/>
                  <w:marRight w:val="0"/>
                  <w:marTop w:val="0"/>
                  <w:marBottom w:val="0"/>
                  <w:divBdr>
                    <w:top w:val="none" w:sz="0" w:space="0" w:color="auto"/>
                    <w:left w:val="none" w:sz="0" w:space="0" w:color="auto"/>
                    <w:bottom w:val="none" w:sz="0" w:space="0" w:color="auto"/>
                    <w:right w:val="none" w:sz="0" w:space="0" w:color="auto"/>
                  </w:divBdr>
                </w:div>
                <w:div w:id="294152236">
                  <w:marLeft w:val="0"/>
                  <w:marRight w:val="0"/>
                  <w:marTop w:val="0"/>
                  <w:marBottom w:val="0"/>
                  <w:divBdr>
                    <w:top w:val="none" w:sz="0" w:space="0" w:color="auto"/>
                    <w:left w:val="none" w:sz="0" w:space="0" w:color="auto"/>
                    <w:bottom w:val="none" w:sz="0" w:space="0" w:color="auto"/>
                    <w:right w:val="none" w:sz="0" w:space="0" w:color="auto"/>
                  </w:divBdr>
                </w:div>
                <w:div w:id="294152463">
                  <w:marLeft w:val="0"/>
                  <w:marRight w:val="0"/>
                  <w:marTop w:val="0"/>
                  <w:marBottom w:val="0"/>
                  <w:divBdr>
                    <w:top w:val="none" w:sz="0" w:space="0" w:color="auto"/>
                    <w:left w:val="none" w:sz="0" w:space="0" w:color="auto"/>
                    <w:bottom w:val="none" w:sz="0" w:space="0" w:color="auto"/>
                    <w:right w:val="none" w:sz="0" w:space="0" w:color="auto"/>
                  </w:divBdr>
                </w:div>
                <w:div w:id="294152475">
                  <w:marLeft w:val="0"/>
                  <w:marRight w:val="0"/>
                  <w:marTop w:val="0"/>
                  <w:marBottom w:val="0"/>
                  <w:divBdr>
                    <w:top w:val="none" w:sz="0" w:space="0" w:color="auto"/>
                    <w:left w:val="none" w:sz="0" w:space="0" w:color="auto"/>
                    <w:bottom w:val="none" w:sz="0" w:space="0" w:color="auto"/>
                    <w:right w:val="none" w:sz="0" w:space="0" w:color="auto"/>
                  </w:divBdr>
                </w:div>
                <w:div w:id="294152765">
                  <w:marLeft w:val="0"/>
                  <w:marRight w:val="0"/>
                  <w:marTop w:val="0"/>
                  <w:marBottom w:val="0"/>
                  <w:divBdr>
                    <w:top w:val="none" w:sz="0" w:space="0" w:color="auto"/>
                    <w:left w:val="none" w:sz="0" w:space="0" w:color="auto"/>
                    <w:bottom w:val="none" w:sz="0" w:space="0" w:color="auto"/>
                    <w:right w:val="none" w:sz="0" w:space="0" w:color="auto"/>
                  </w:divBdr>
                </w:div>
                <w:div w:id="294153013">
                  <w:marLeft w:val="0"/>
                  <w:marRight w:val="0"/>
                  <w:marTop w:val="0"/>
                  <w:marBottom w:val="0"/>
                  <w:divBdr>
                    <w:top w:val="none" w:sz="0" w:space="0" w:color="auto"/>
                    <w:left w:val="none" w:sz="0" w:space="0" w:color="auto"/>
                    <w:bottom w:val="none" w:sz="0" w:space="0" w:color="auto"/>
                    <w:right w:val="none" w:sz="0" w:space="0" w:color="auto"/>
                  </w:divBdr>
                </w:div>
                <w:div w:id="294153036">
                  <w:marLeft w:val="0"/>
                  <w:marRight w:val="0"/>
                  <w:marTop w:val="0"/>
                  <w:marBottom w:val="0"/>
                  <w:divBdr>
                    <w:top w:val="none" w:sz="0" w:space="0" w:color="auto"/>
                    <w:left w:val="none" w:sz="0" w:space="0" w:color="auto"/>
                    <w:bottom w:val="none" w:sz="0" w:space="0" w:color="auto"/>
                    <w:right w:val="none" w:sz="0" w:space="0" w:color="auto"/>
                  </w:divBdr>
                </w:div>
                <w:div w:id="294153361">
                  <w:marLeft w:val="0"/>
                  <w:marRight w:val="0"/>
                  <w:marTop w:val="0"/>
                  <w:marBottom w:val="0"/>
                  <w:divBdr>
                    <w:top w:val="none" w:sz="0" w:space="0" w:color="auto"/>
                    <w:left w:val="none" w:sz="0" w:space="0" w:color="auto"/>
                    <w:bottom w:val="none" w:sz="0" w:space="0" w:color="auto"/>
                    <w:right w:val="none" w:sz="0" w:space="0" w:color="auto"/>
                  </w:divBdr>
                </w:div>
                <w:div w:id="294153375">
                  <w:marLeft w:val="0"/>
                  <w:marRight w:val="0"/>
                  <w:marTop w:val="0"/>
                  <w:marBottom w:val="0"/>
                  <w:divBdr>
                    <w:top w:val="none" w:sz="0" w:space="0" w:color="auto"/>
                    <w:left w:val="none" w:sz="0" w:space="0" w:color="auto"/>
                    <w:bottom w:val="none" w:sz="0" w:space="0" w:color="auto"/>
                    <w:right w:val="none" w:sz="0" w:space="0" w:color="auto"/>
                  </w:divBdr>
                </w:div>
                <w:div w:id="294153390">
                  <w:marLeft w:val="0"/>
                  <w:marRight w:val="0"/>
                  <w:marTop w:val="0"/>
                  <w:marBottom w:val="0"/>
                  <w:divBdr>
                    <w:top w:val="none" w:sz="0" w:space="0" w:color="auto"/>
                    <w:left w:val="none" w:sz="0" w:space="0" w:color="auto"/>
                    <w:bottom w:val="none" w:sz="0" w:space="0" w:color="auto"/>
                    <w:right w:val="none" w:sz="0" w:space="0" w:color="auto"/>
                  </w:divBdr>
                </w:div>
                <w:div w:id="294153486">
                  <w:marLeft w:val="0"/>
                  <w:marRight w:val="0"/>
                  <w:marTop w:val="0"/>
                  <w:marBottom w:val="0"/>
                  <w:divBdr>
                    <w:top w:val="none" w:sz="0" w:space="0" w:color="auto"/>
                    <w:left w:val="none" w:sz="0" w:space="0" w:color="auto"/>
                    <w:bottom w:val="none" w:sz="0" w:space="0" w:color="auto"/>
                    <w:right w:val="none" w:sz="0" w:space="0" w:color="auto"/>
                  </w:divBdr>
                </w:div>
                <w:div w:id="294153713">
                  <w:marLeft w:val="0"/>
                  <w:marRight w:val="0"/>
                  <w:marTop w:val="0"/>
                  <w:marBottom w:val="0"/>
                  <w:divBdr>
                    <w:top w:val="none" w:sz="0" w:space="0" w:color="auto"/>
                    <w:left w:val="none" w:sz="0" w:space="0" w:color="auto"/>
                    <w:bottom w:val="none" w:sz="0" w:space="0" w:color="auto"/>
                    <w:right w:val="none" w:sz="0" w:space="0" w:color="auto"/>
                  </w:divBdr>
                </w:div>
                <w:div w:id="294153829">
                  <w:marLeft w:val="0"/>
                  <w:marRight w:val="0"/>
                  <w:marTop w:val="0"/>
                  <w:marBottom w:val="0"/>
                  <w:divBdr>
                    <w:top w:val="none" w:sz="0" w:space="0" w:color="auto"/>
                    <w:left w:val="none" w:sz="0" w:space="0" w:color="auto"/>
                    <w:bottom w:val="none" w:sz="0" w:space="0" w:color="auto"/>
                    <w:right w:val="none" w:sz="0" w:space="0" w:color="auto"/>
                  </w:divBdr>
                </w:div>
                <w:div w:id="294153894">
                  <w:marLeft w:val="0"/>
                  <w:marRight w:val="0"/>
                  <w:marTop w:val="0"/>
                  <w:marBottom w:val="0"/>
                  <w:divBdr>
                    <w:top w:val="none" w:sz="0" w:space="0" w:color="auto"/>
                    <w:left w:val="none" w:sz="0" w:space="0" w:color="auto"/>
                    <w:bottom w:val="none" w:sz="0" w:space="0" w:color="auto"/>
                    <w:right w:val="none" w:sz="0" w:space="0" w:color="auto"/>
                  </w:divBdr>
                </w:div>
                <w:div w:id="294153910">
                  <w:marLeft w:val="0"/>
                  <w:marRight w:val="0"/>
                  <w:marTop w:val="0"/>
                  <w:marBottom w:val="0"/>
                  <w:divBdr>
                    <w:top w:val="none" w:sz="0" w:space="0" w:color="auto"/>
                    <w:left w:val="none" w:sz="0" w:space="0" w:color="auto"/>
                    <w:bottom w:val="none" w:sz="0" w:space="0" w:color="auto"/>
                    <w:right w:val="none" w:sz="0" w:space="0" w:color="auto"/>
                  </w:divBdr>
                </w:div>
                <w:div w:id="294153973">
                  <w:marLeft w:val="0"/>
                  <w:marRight w:val="0"/>
                  <w:marTop w:val="0"/>
                  <w:marBottom w:val="0"/>
                  <w:divBdr>
                    <w:top w:val="none" w:sz="0" w:space="0" w:color="auto"/>
                    <w:left w:val="none" w:sz="0" w:space="0" w:color="auto"/>
                    <w:bottom w:val="none" w:sz="0" w:space="0" w:color="auto"/>
                    <w:right w:val="none" w:sz="0" w:space="0" w:color="auto"/>
                  </w:divBdr>
                </w:div>
                <w:div w:id="294153996">
                  <w:marLeft w:val="0"/>
                  <w:marRight w:val="0"/>
                  <w:marTop w:val="0"/>
                  <w:marBottom w:val="0"/>
                  <w:divBdr>
                    <w:top w:val="none" w:sz="0" w:space="0" w:color="auto"/>
                    <w:left w:val="none" w:sz="0" w:space="0" w:color="auto"/>
                    <w:bottom w:val="none" w:sz="0" w:space="0" w:color="auto"/>
                    <w:right w:val="none" w:sz="0" w:space="0" w:color="auto"/>
                  </w:divBdr>
                </w:div>
                <w:div w:id="294154188">
                  <w:marLeft w:val="0"/>
                  <w:marRight w:val="0"/>
                  <w:marTop w:val="0"/>
                  <w:marBottom w:val="0"/>
                  <w:divBdr>
                    <w:top w:val="none" w:sz="0" w:space="0" w:color="auto"/>
                    <w:left w:val="none" w:sz="0" w:space="0" w:color="auto"/>
                    <w:bottom w:val="none" w:sz="0" w:space="0" w:color="auto"/>
                    <w:right w:val="none" w:sz="0" w:space="0" w:color="auto"/>
                  </w:divBdr>
                </w:div>
                <w:div w:id="294154323">
                  <w:marLeft w:val="0"/>
                  <w:marRight w:val="0"/>
                  <w:marTop w:val="0"/>
                  <w:marBottom w:val="0"/>
                  <w:divBdr>
                    <w:top w:val="none" w:sz="0" w:space="0" w:color="auto"/>
                    <w:left w:val="none" w:sz="0" w:space="0" w:color="auto"/>
                    <w:bottom w:val="none" w:sz="0" w:space="0" w:color="auto"/>
                    <w:right w:val="none" w:sz="0" w:space="0" w:color="auto"/>
                  </w:divBdr>
                </w:div>
                <w:div w:id="294154420">
                  <w:marLeft w:val="0"/>
                  <w:marRight w:val="0"/>
                  <w:marTop w:val="0"/>
                  <w:marBottom w:val="0"/>
                  <w:divBdr>
                    <w:top w:val="none" w:sz="0" w:space="0" w:color="auto"/>
                    <w:left w:val="none" w:sz="0" w:space="0" w:color="auto"/>
                    <w:bottom w:val="none" w:sz="0" w:space="0" w:color="auto"/>
                    <w:right w:val="none" w:sz="0" w:space="0" w:color="auto"/>
                  </w:divBdr>
                </w:div>
                <w:div w:id="294154718">
                  <w:marLeft w:val="0"/>
                  <w:marRight w:val="0"/>
                  <w:marTop w:val="0"/>
                  <w:marBottom w:val="0"/>
                  <w:divBdr>
                    <w:top w:val="none" w:sz="0" w:space="0" w:color="auto"/>
                    <w:left w:val="none" w:sz="0" w:space="0" w:color="auto"/>
                    <w:bottom w:val="none" w:sz="0" w:space="0" w:color="auto"/>
                    <w:right w:val="none" w:sz="0" w:space="0" w:color="auto"/>
                  </w:divBdr>
                </w:div>
                <w:div w:id="294154970">
                  <w:marLeft w:val="0"/>
                  <w:marRight w:val="0"/>
                  <w:marTop w:val="0"/>
                  <w:marBottom w:val="0"/>
                  <w:divBdr>
                    <w:top w:val="none" w:sz="0" w:space="0" w:color="auto"/>
                    <w:left w:val="none" w:sz="0" w:space="0" w:color="auto"/>
                    <w:bottom w:val="none" w:sz="0" w:space="0" w:color="auto"/>
                    <w:right w:val="none" w:sz="0" w:space="0" w:color="auto"/>
                  </w:divBdr>
                </w:div>
                <w:div w:id="294155187">
                  <w:marLeft w:val="0"/>
                  <w:marRight w:val="0"/>
                  <w:marTop w:val="0"/>
                  <w:marBottom w:val="0"/>
                  <w:divBdr>
                    <w:top w:val="none" w:sz="0" w:space="0" w:color="auto"/>
                    <w:left w:val="none" w:sz="0" w:space="0" w:color="auto"/>
                    <w:bottom w:val="none" w:sz="0" w:space="0" w:color="auto"/>
                    <w:right w:val="none" w:sz="0" w:space="0" w:color="auto"/>
                  </w:divBdr>
                </w:div>
                <w:div w:id="294155312">
                  <w:marLeft w:val="0"/>
                  <w:marRight w:val="0"/>
                  <w:marTop w:val="0"/>
                  <w:marBottom w:val="0"/>
                  <w:divBdr>
                    <w:top w:val="none" w:sz="0" w:space="0" w:color="auto"/>
                    <w:left w:val="none" w:sz="0" w:space="0" w:color="auto"/>
                    <w:bottom w:val="none" w:sz="0" w:space="0" w:color="auto"/>
                    <w:right w:val="none" w:sz="0" w:space="0" w:color="auto"/>
                  </w:divBdr>
                </w:div>
                <w:div w:id="294155381">
                  <w:marLeft w:val="0"/>
                  <w:marRight w:val="0"/>
                  <w:marTop w:val="0"/>
                  <w:marBottom w:val="0"/>
                  <w:divBdr>
                    <w:top w:val="none" w:sz="0" w:space="0" w:color="auto"/>
                    <w:left w:val="none" w:sz="0" w:space="0" w:color="auto"/>
                    <w:bottom w:val="none" w:sz="0" w:space="0" w:color="auto"/>
                    <w:right w:val="none" w:sz="0" w:space="0" w:color="auto"/>
                  </w:divBdr>
                </w:div>
                <w:div w:id="294155384">
                  <w:marLeft w:val="0"/>
                  <w:marRight w:val="0"/>
                  <w:marTop w:val="0"/>
                  <w:marBottom w:val="0"/>
                  <w:divBdr>
                    <w:top w:val="none" w:sz="0" w:space="0" w:color="auto"/>
                    <w:left w:val="none" w:sz="0" w:space="0" w:color="auto"/>
                    <w:bottom w:val="none" w:sz="0" w:space="0" w:color="auto"/>
                    <w:right w:val="none" w:sz="0" w:space="0" w:color="auto"/>
                  </w:divBdr>
                </w:div>
                <w:div w:id="294155419">
                  <w:marLeft w:val="0"/>
                  <w:marRight w:val="0"/>
                  <w:marTop w:val="0"/>
                  <w:marBottom w:val="0"/>
                  <w:divBdr>
                    <w:top w:val="none" w:sz="0" w:space="0" w:color="auto"/>
                    <w:left w:val="none" w:sz="0" w:space="0" w:color="auto"/>
                    <w:bottom w:val="none" w:sz="0" w:space="0" w:color="auto"/>
                    <w:right w:val="none" w:sz="0" w:space="0" w:color="auto"/>
                  </w:divBdr>
                </w:div>
                <w:div w:id="294155455">
                  <w:marLeft w:val="0"/>
                  <w:marRight w:val="0"/>
                  <w:marTop w:val="0"/>
                  <w:marBottom w:val="0"/>
                  <w:divBdr>
                    <w:top w:val="none" w:sz="0" w:space="0" w:color="auto"/>
                    <w:left w:val="none" w:sz="0" w:space="0" w:color="auto"/>
                    <w:bottom w:val="none" w:sz="0" w:space="0" w:color="auto"/>
                    <w:right w:val="none" w:sz="0" w:space="0" w:color="auto"/>
                  </w:divBdr>
                </w:div>
                <w:div w:id="294155554">
                  <w:marLeft w:val="0"/>
                  <w:marRight w:val="0"/>
                  <w:marTop w:val="0"/>
                  <w:marBottom w:val="0"/>
                  <w:divBdr>
                    <w:top w:val="none" w:sz="0" w:space="0" w:color="auto"/>
                    <w:left w:val="none" w:sz="0" w:space="0" w:color="auto"/>
                    <w:bottom w:val="none" w:sz="0" w:space="0" w:color="auto"/>
                    <w:right w:val="none" w:sz="0" w:space="0" w:color="auto"/>
                  </w:divBdr>
                </w:div>
                <w:div w:id="294155574">
                  <w:marLeft w:val="0"/>
                  <w:marRight w:val="0"/>
                  <w:marTop w:val="0"/>
                  <w:marBottom w:val="0"/>
                  <w:divBdr>
                    <w:top w:val="none" w:sz="0" w:space="0" w:color="auto"/>
                    <w:left w:val="none" w:sz="0" w:space="0" w:color="auto"/>
                    <w:bottom w:val="none" w:sz="0" w:space="0" w:color="auto"/>
                    <w:right w:val="none" w:sz="0" w:space="0" w:color="auto"/>
                  </w:divBdr>
                </w:div>
                <w:div w:id="294155780">
                  <w:marLeft w:val="0"/>
                  <w:marRight w:val="0"/>
                  <w:marTop w:val="0"/>
                  <w:marBottom w:val="0"/>
                  <w:divBdr>
                    <w:top w:val="none" w:sz="0" w:space="0" w:color="auto"/>
                    <w:left w:val="none" w:sz="0" w:space="0" w:color="auto"/>
                    <w:bottom w:val="none" w:sz="0" w:space="0" w:color="auto"/>
                    <w:right w:val="none" w:sz="0" w:space="0" w:color="auto"/>
                  </w:divBdr>
                </w:div>
                <w:div w:id="294155857">
                  <w:marLeft w:val="0"/>
                  <w:marRight w:val="0"/>
                  <w:marTop w:val="0"/>
                  <w:marBottom w:val="0"/>
                  <w:divBdr>
                    <w:top w:val="none" w:sz="0" w:space="0" w:color="auto"/>
                    <w:left w:val="none" w:sz="0" w:space="0" w:color="auto"/>
                    <w:bottom w:val="none" w:sz="0" w:space="0" w:color="auto"/>
                    <w:right w:val="none" w:sz="0" w:space="0" w:color="auto"/>
                  </w:divBdr>
                </w:div>
                <w:div w:id="294155905">
                  <w:marLeft w:val="0"/>
                  <w:marRight w:val="0"/>
                  <w:marTop w:val="0"/>
                  <w:marBottom w:val="0"/>
                  <w:divBdr>
                    <w:top w:val="none" w:sz="0" w:space="0" w:color="auto"/>
                    <w:left w:val="none" w:sz="0" w:space="0" w:color="auto"/>
                    <w:bottom w:val="none" w:sz="0" w:space="0" w:color="auto"/>
                    <w:right w:val="none" w:sz="0" w:space="0" w:color="auto"/>
                  </w:divBdr>
                </w:div>
                <w:div w:id="294155975">
                  <w:marLeft w:val="0"/>
                  <w:marRight w:val="0"/>
                  <w:marTop w:val="0"/>
                  <w:marBottom w:val="0"/>
                  <w:divBdr>
                    <w:top w:val="none" w:sz="0" w:space="0" w:color="auto"/>
                    <w:left w:val="none" w:sz="0" w:space="0" w:color="auto"/>
                    <w:bottom w:val="none" w:sz="0" w:space="0" w:color="auto"/>
                    <w:right w:val="none" w:sz="0" w:space="0" w:color="auto"/>
                  </w:divBdr>
                </w:div>
                <w:div w:id="294156057">
                  <w:marLeft w:val="0"/>
                  <w:marRight w:val="0"/>
                  <w:marTop w:val="0"/>
                  <w:marBottom w:val="0"/>
                  <w:divBdr>
                    <w:top w:val="none" w:sz="0" w:space="0" w:color="auto"/>
                    <w:left w:val="none" w:sz="0" w:space="0" w:color="auto"/>
                    <w:bottom w:val="none" w:sz="0" w:space="0" w:color="auto"/>
                    <w:right w:val="none" w:sz="0" w:space="0" w:color="auto"/>
                  </w:divBdr>
                </w:div>
                <w:div w:id="294156139">
                  <w:marLeft w:val="0"/>
                  <w:marRight w:val="0"/>
                  <w:marTop w:val="0"/>
                  <w:marBottom w:val="0"/>
                  <w:divBdr>
                    <w:top w:val="none" w:sz="0" w:space="0" w:color="auto"/>
                    <w:left w:val="none" w:sz="0" w:space="0" w:color="auto"/>
                    <w:bottom w:val="none" w:sz="0" w:space="0" w:color="auto"/>
                    <w:right w:val="none" w:sz="0" w:space="0" w:color="auto"/>
                  </w:divBdr>
                </w:div>
                <w:div w:id="294156259">
                  <w:marLeft w:val="0"/>
                  <w:marRight w:val="0"/>
                  <w:marTop w:val="0"/>
                  <w:marBottom w:val="0"/>
                  <w:divBdr>
                    <w:top w:val="none" w:sz="0" w:space="0" w:color="auto"/>
                    <w:left w:val="none" w:sz="0" w:space="0" w:color="auto"/>
                    <w:bottom w:val="none" w:sz="0" w:space="0" w:color="auto"/>
                    <w:right w:val="none" w:sz="0" w:space="0" w:color="auto"/>
                  </w:divBdr>
                </w:div>
                <w:div w:id="294156264">
                  <w:marLeft w:val="0"/>
                  <w:marRight w:val="0"/>
                  <w:marTop w:val="0"/>
                  <w:marBottom w:val="0"/>
                  <w:divBdr>
                    <w:top w:val="none" w:sz="0" w:space="0" w:color="auto"/>
                    <w:left w:val="none" w:sz="0" w:space="0" w:color="auto"/>
                    <w:bottom w:val="none" w:sz="0" w:space="0" w:color="auto"/>
                    <w:right w:val="none" w:sz="0" w:space="0" w:color="auto"/>
                  </w:divBdr>
                </w:div>
                <w:div w:id="294156306">
                  <w:marLeft w:val="0"/>
                  <w:marRight w:val="0"/>
                  <w:marTop w:val="0"/>
                  <w:marBottom w:val="0"/>
                  <w:divBdr>
                    <w:top w:val="none" w:sz="0" w:space="0" w:color="auto"/>
                    <w:left w:val="none" w:sz="0" w:space="0" w:color="auto"/>
                    <w:bottom w:val="none" w:sz="0" w:space="0" w:color="auto"/>
                    <w:right w:val="none" w:sz="0" w:space="0" w:color="auto"/>
                  </w:divBdr>
                </w:div>
                <w:div w:id="294156365">
                  <w:marLeft w:val="0"/>
                  <w:marRight w:val="0"/>
                  <w:marTop w:val="0"/>
                  <w:marBottom w:val="0"/>
                  <w:divBdr>
                    <w:top w:val="none" w:sz="0" w:space="0" w:color="auto"/>
                    <w:left w:val="none" w:sz="0" w:space="0" w:color="auto"/>
                    <w:bottom w:val="none" w:sz="0" w:space="0" w:color="auto"/>
                    <w:right w:val="none" w:sz="0" w:space="0" w:color="auto"/>
                  </w:divBdr>
                </w:div>
                <w:div w:id="294156565">
                  <w:marLeft w:val="0"/>
                  <w:marRight w:val="0"/>
                  <w:marTop w:val="0"/>
                  <w:marBottom w:val="0"/>
                  <w:divBdr>
                    <w:top w:val="none" w:sz="0" w:space="0" w:color="auto"/>
                    <w:left w:val="none" w:sz="0" w:space="0" w:color="auto"/>
                    <w:bottom w:val="none" w:sz="0" w:space="0" w:color="auto"/>
                    <w:right w:val="none" w:sz="0" w:space="0" w:color="auto"/>
                  </w:divBdr>
                </w:div>
                <w:div w:id="294156839">
                  <w:marLeft w:val="0"/>
                  <w:marRight w:val="0"/>
                  <w:marTop w:val="0"/>
                  <w:marBottom w:val="0"/>
                  <w:divBdr>
                    <w:top w:val="none" w:sz="0" w:space="0" w:color="auto"/>
                    <w:left w:val="none" w:sz="0" w:space="0" w:color="auto"/>
                    <w:bottom w:val="none" w:sz="0" w:space="0" w:color="auto"/>
                    <w:right w:val="none" w:sz="0" w:space="0" w:color="auto"/>
                  </w:divBdr>
                </w:div>
                <w:div w:id="294156916">
                  <w:marLeft w:val="0"/>
                  <w:marRight w:val="0"/>
                  <w:marTop w:val="0"/>
                  <w:marBottom w:val="0"/>
                  <w:divBdr>
                    <w:top w:val="none" w:sz="0" w:space="0" w:color="auto"/>
                    <w:left w:val="none" w:sz="0" w:space="0" w:color="auto"/>
                    <w:bottom w:val="none" w:sz="0" w:space="0" w:color="auto"/>
                    <w:right w:val="none" w:sz="0" w:space="0" w:color="auto"/>
                  </w:divBdr>
                </w:div>
                <w:div w:id="294156991">
                  <w:marLeft w:val="0"/>
                  <w:marRight w:val="0"/>
                  <w:marTop w:val="0"/>
                  <w:marBottom w:val="0"/>
                  <w:divBdr>
                    <w:top w:val="none" w:sz="0" w:space="0" w:color="auto"/>
                    <w:left w:val="none" w:sz="0" w:space="0" w:color="auto"/>
                    <w:bottom w:val="none" w:sz="0" w:space="0" w:color="auto"/>
                    <w:right w:val="none" w:sz="0" w:space="0" w:color="auto"/>
                  </w:divBdr>
                </w:div>
                <w:div w:id="294157112">
                  <w:marLeft w:val="0"/>
                  <w:marRight w:val="0"/>
                  <w:marTop w:val="0"/>
                  <w:marBottom w:val="0"/>
                  <w:divBdr>
                    <w:top w:val="none" w:sz="0" w:space="0" w:color="auto"/>
                    <w:left w:val="none" w:sz="0" w:space="0" w:color="auto"/>
                    <w:bottom w:val="none" w:sz="0" w:space="0" w:color="auto"/>
                    <w:right w:val="none" w:sz="0" w:space="0" w:color="auto"/>
                  </w:divBdr>
                </w:div>
                <w:div w:id="294157215">
                  <w:marLeft w:val="0"/>
                  <w:marRight w:val="0"/>
                  <w:marTop w:val="0"/>
                  <w:marBottom w:val="0"/>
                  <w:divBdr>
                    <w:top w:val="none" w:sz="0" w:space="0" w:color="auto"/>
                    <w:left w:val="none" w:sz="0" w:space="0" w:color="auto"/>
                    <w:bottom w:val="none" w:sz="0" w:space="0" w:color="auto"/>
                    <w:right w:val="none" w:sz="0" w:space="0" w:color="auto"/>
                  </w:divBdr>
                </w:div>
                <w:div w:id="294157298">
                  <w:marLeft w:val="0"/>
                  <w:marRight w:val="0"/>
                  <w:marTop w:val="0"/>
                  <w:marBottom w:val="0"/>
                  <w:divBdr>
                    <w:top w:val="none" w:sz="0" w:space="0" w:color="auto"/>
                    <w:left w:val="none" w:sz="0" w:space="0" w:color="auto"/>
                    <w:bottom w:val="none" w:sz="0" w:space="0" w:color="auto"/>
                    <w:right w:val="none" w:sz="0" w:space="0" w:color="auto"/>
                  </w:divBdr>
                </w:div>
                <w:div w:id="29415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45970">
      <w:marLeft w:val="0"/>
      <w:marRight w:val="0"/>
      <w:marTop w:val="0"/>
      <w:marBottom w:val="0"/>
      <w:divBdr>
        <w:top w:val="none" w:sz="0" w:space="0" w:color="auto"/>
        <w:left w:val="none" w:sz="0" w:space="0" w:color="auto"/>
        <w:bottom w:val="none" w:sz="0" w:space="0" w:color="auto"/>
        <w:right w:val="none" w:sz="0" w:space="0" w:color="auto"/>
      </w:divBdr>
    </w:div>
    <w:div w:id="294145977">
      <w:marLeft w:val="0"/>
      <w:marRight w:val="0"/>
      <w:marTop w:val="0"/>
      <w:marBottom w:val="0"/>
      <w:divBdr>
        <w:top w:val="none" w:sz="0" w:space="0" w:color="auto"/>
        <w:left w:val="none" w:sz="0" w:space="0" w:color="auto"/>
        <w:bottom w:val="none" w:sz="0" w:space="0" w:color="auto"/>
        <w:right w:val="none" w:sz="0" w:space="0" w:color="auto"/>
      </w:divBdr>
    </w:div>
    <w:div w:id="294145998">
      <w:marLeft w:val="0"/>
      <w:marRight w:val="0"/>
      <w:marTop w:val="0"/>
      <w:marBottom w:val="0"/>
      <w:divBdr>
        <w:top w:val="none" w:sz="0" w:space="0" w:color="auto"/>
        <w:left w:val="none" w:sz="0" w:space="0" w:color="auto"/>
        <w:bottom w:val="none" w:sz="0" w:space="0" w:color="auto"/>
        <w:right w:val="none" w:sz="0" w:space="0" w:color="auto"/>
      </w:divBdr>
    </w:div>
    <w:div w:id="294146000">
      <w:marLeft w:val="0"/>
      <w:marRight w:val="0"/>
      <w:marTop w:val="0"/>
      <w:marBottom w:val="0"/>
      <w:divBdr>
        <w:top w:val="none" w:sz="0" w:space="0" w:color="auto"/>
        <w:left w:val="none" w:sz="0" w:space="0" w:color="auto"/>
        <w:bottom w:val="none" w:sz="0" w:space="0" w:color="auto"/>
        <w:right w:val="none" w:sz="0" w:space="0" w:color="auto"/>
      </w:divBdr>
    </w:div>
    <w:div w:id="294146091">
      <w:marLeft w:val="0"/>
      <w:marRight w:val="0"/>
      <w:marTop w:val="0"/>
      <w:marBottom w:val="0"/>
      <w:divBdr>
        <w:top w:val="none" w:sz="0" w:space="0" w:color="auto"/>
        <w:left w:val="none" w:sz="0" w:space="0" w:color="auto"/>
        <w:bottom w:val="none" w:sz="0" w:space="0" w:color="auto"/>
        <w:right w:val="none" w:sz="0" w:space="0" w:color="auto"/>
      </w:divBdr>
    </w:div>
    <w:div w:id="294146116">
      <w:marLeft w:val="0"/>
      <w:marRight w:val="0"/>
      <w:marTop w:val="0"/>
      <w:marBottom w:val="0"/>
      <w:divBdr>
        <w:top w:val="none" w:sz="0" w:space="0" w:color="auto"/>
        <w:left w:val="none" w:sz="0" w:space="0" w:color="auto"/>
        <w:bottom w:val="none" w:sz="0" w:space="0" w:color="auto"/>
        <w:right w:val="none" w:sz="0" w:space="0" w:color="auto"/>
      </w:divBdr>
    </w:div>
    <w:div w:id="294146131">
      <w:marLeft w:val="0"/>
      <w:marRight w:val="0"/>
      <w:marTop w:val="0"/>
      <w:marBottom w:val="0"/>
      <w:divBdr>
        <w:top w:val="none" w:sz="0" w:space="0" w:color="auto"/>
        <w:left w:val="none" w:sz="0" w:space="0" w:color="auto"/>
        <w:bottom w:val="none" w:sz="0" w:space="0" w:color="auto"/>
        <w:right w:val="none" w:sz="0" w:space="0" w:color="auto"/>
      </w:divBdr>
    </w:div>
    <w:div w:id="294146153">
      <w:marLeft w:val="0"/>
      <w:marRight w:val="0"/>
      <w:marTop w:val="0"/>
      <w:marBottom w:val="0"/>
      <w:divBdr>
        <w:top w:val="none" w:sz="0" w:space="0" w:color="auto"/>
        <w:left w:val="none" w:sz="0" w:space="0" w:color="auto"/>
        <w:bottom w:val="none" w:sz="0" w:space="0" w:color="auto"/>
        <w:right w:val="none" w:sz="0" w:space="0" w:color="auto"/>
      </w:divBdr>
    </w:div>
    <w:div w:id="294146195">
      <w:marLeft w:val="0"/>
      <w:marRight w:val="0"/>
      <w:marTop w:val="0"/>
      <w:marBottom w:val="0"/>
      <w:divBdr>
        <w:top w:val="none" w:sz="0" w:space="0" w:color="auto"/>
        <w:left w:val="none" w:sz="0" w:space="0" w:color="auto"/>
        <w:bottom w:val="none" w:sz="0" w:space="0" w:color="auto"/>
        <w:right w:val="none" w:sz="0" w:space="0" w:color="auto"/>
      </w:divBdr>
    </w:div>
    <w:div w:id="294146213">
      <w:marLeft w:val="0"/>
      <w:marRight w:val="0"/>
      <w:marTop w:val="0"/>
      <w:marBottom w:val="0"/>
      <w:divBdr>
        <w:top w:val="none" w:sz="0" w:space="0" w:color="auto"/>
        <w:left w:val="none" w:sz="0" w:space="0" w:color="auto"/>
        <w:bottom w:val="none" w:sz="0" w:space="0" w:color="auto"/>
        <w:right w:val="none" w:sz="0" w:space="0" w:color="auto"/>
      </w:divBdr>
      <w:divsChild>
        <w:div w:id="294144230">
          <w:marLeft w:val="0"/>
          <w:marRight w:val="0"/>
          <w:marTop w:val="0"/>
          <w:marBottom w:val="0"/>
          <w:divBdr>
            <w:top w:val="none" w:sz="0" w:space="0" w:color="auto"/>
            <w:left w:val="none" w:sz="0" w:space="0" w:color="auto"/>
            <w:bottom w:val="none" w:sz="0" w:space="0" w:color="auto"/>
            <w:right w:val="none" w:sz="0" w:space="0" w:color="auto"/>
          </w:divBdr>
        </w:div>
      </w:divsChild>
    </w:div>
    <w:div w:id="294146217">
      <w:marLeft w:val="0"/>
      <w:marRight w:val="0"/>
      <w:marTop w:val="0"/>
      <w:marBottom w:val="0"/>
      <w:divBdr>
        <w:top w:val="none" w:sz="0" w:space="0" w:color="auto"/>
        <w:left w:val="none" w:sz="0" w:space="0" w:color="auto"/>
        <w:bottom w:val="none" w:sz="0" w:space="0" w:color="auto"/>
        <w:right w:val="none" w:sz="0" w:space="0" w:color="auto"/>
      </w:divBdr>
    </w:div>
    <w:div w:id="294146238">
      <w:marLeft w:val="0"/>
      <w:marRight w:val="0"/>
      <w:marTop w:val="0"/>
      <w:marBottom w:val="0"/>
      <w:divBdr>
        <w:top w:val="none" w:sz="0" w:space="0" w:color="auto"/>
        <w:left w:val="none" w:sz="0" w:space="0" w:color="auto"/>
        <w:bottom w:val="none" w:sz="0" w:space="0" w:color="auto"/>
        <w:right w:val="none" w:sz="0" w:space="0" w:color="auto"/>
      </w:divBdr>
      <w:divsChild>
        <w:div w:id="294149477">
          <w:marLeft w:val="0"/>
          <w:marRight w:val="0"/>
          <w:marTop w:val="0"/>
          <w:marBottom w:val="0"/>
          <w:divBdr>
            <w:top w:val="none" w:sz="0" w:space="0" w:color="auto"/>
            <w:left w:val="none" w:sz="0" w:space="0" w:color="auto"/>
            <w:bottom w:val="none" w:sz="0" w:space="0" w:color="auto"/>
            <w:right w:val="none" w:sz="0" w:space="0" w:color="auto"/>
          </w:divBdr>
        </w:div>
        <w:div w:id="294154947">
          <w:marLeft w:val="0"/>
          <w:marRight w:val="0"/>
          <w:marTop w:val="0"/>
          <w:marBottom w:val="0"/>
          <w:divBdr>
            <w:top w:val="none" w:sz="0" w:space="0" w:color="auto"/>
            <w:left w:val="none" w:sz="0" w:space="0" w:color="auto"/>
            <w:bottom w:val="none" w:sz="0" w:space="0" w:color="auto"/>
            <w:right w:val="none" w:sz="0" w:space="0" w:color="auto"/>
          </w:divBdr>
        </w:div>
      </w:divsChild>
    </w:div>
    <w:div w:id="294146329">
      <w:marLeft w:val="0"/>
      <w:marRight w:val="0"/>
      <w:marTop w:val="0"/>
      <w:marBottom w:val="0"/>
      <w:divBdr>
        <w:top w:val="none" w:sz="0" w:space="0" w:color="auto"/>
        <w:left w:val="none" w:sz="0" w:space="0" w:color="auto"/>
        <w:bottom w:val="none" w:sz="0" w:space="0" w:color="auto"/>
        <w:right w:val="none" w:sz="0" w:space="0" w:color="auto"/>
      </w:divBdr>
    </w:div>
    <w:div w:id="294146346">
      <w:marLeft w:val="0"/>
      <w:marRight w:val="0"/>
      <w:marTop w:val="0"/>
      <w:marBottom w:val="0"/>
      <w:divBdr>
        <w:top w:val="none" w:sz="0" w:space="0" w:color="auto"/>
        <w:left w:val="none" w:sz="0" w:space="0" w:color="auto"/>
        <w:bottom w:val="none" w:sz="0" w:space="0" w:color="auto"/>
        <w:right w:val="none" w:sz="0" w:space="0" w:color="auto"/>
      </w:divBdr>
    </w:div>
    <w:div w:id="294146404">
      <w:marLeft w:val="0"/>
      <w:marRight w:val="0"/>
      <w:marTop w:val="0"/>
      <w:marBottom w:val="0"/>
      <w:divBdr>
        <w:top w:val="none" w:sz="0" w:space="0" w:color="auto"/>
        <w:left w:val="none" w:sz="0" w:space="0" w:color="auto"/>
        <w:bottom w:val="none" w:sz="0" w:space="0" w:color="auto"/>
        <w:right w:val="none" w:sz="0" w:space="0" w:color="auto"/>
      </w:divBdr>
    </w:div>
    <w:div w:id="294146410">
      <w:marLeft w:val="0"/>
      <w:marRight w:val="0"/>
      <w:marTop w:val="0"/>
      <w:marBottom w:val="0"/>
      <w:divBdr>
        <w:top w:val="none" w:sz="0" w:space="0" w:color="auto"/>
        <w:left w:val="none" w:sz="0" w:space="0" w:color="auto"/>
        <w:bottom w:val="none" w:sz="0" w:space="0" w:color="auto"/>
        <w:right w:val="none" w:sz="0" w:space="0" w:color="auto"/>
      </w:divBdr>
      <w:divsChild>
        <w:div w:id="294146873">
          <w:marLeft w:val="0"/>
          <w:marRight w:val="0"/>
          <w:marTop w:val="0"/>
          <w:marBottom w:val="0"/>
          <w:divBdr>
            <w:top w:val="none" w:sz="0" w:space="0" w:color="auto"/>
            <w:left w:val="none" w:sz="0" w:space="0" w:color="auto"/>
            <w:bottom w:val="none" w:sz="0" w:space="0" w:color="auto"/>
            <w:right w:val="none" w:sz="0" w:space="0" w:color="auto"/>
          </w:divBdr>
          <w:divsChild>
            <w:div w:id="294148270">
              <w:marLeft w:val="0"/>
              <w:marRight w:val="0"/>
              <w:marTop w:val="0"/>
              <w:marBottom w:val="0"/>
              <w:divBdr>
                <w:top w:val="none" w:sz="0" w:space="0" w:color="auto"/>
                <w:left w:val="none" w:sz="0" w:space="0" w:color="auto"/>
                <w:bottom w:val="none" w:sz="0" w:space="0" w:color="auto"/>
                <w:right w:val="none" w:sz="0" w:space="0" w:color="auto"/>
              </w:divBdr>
              <w:divsChild>
                <w:div w:id="2941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9501">
          <w:marLeft w:val="0"/>
          <w:marRight w:val="0"/>
          <w:marTop w:val="0"/>
          <w:marBottom w:val="0"/>
          <w:divBdr>
            <w:top w:val="none" w:sz="0" w:space="0" w:color="auto"/>
            <w:left w:val="none" w:sz="0" w:space="0" w:color="auto"/>
            <w:bottom w:val="none" w:sz="0" w:space="0" w:color="auto"/>
            <w:right w:val="none" w:sz="0" w:space="0" w:color="auto"/>
          </w:divBdr>
          <w:divsChild>
            <w:div w:id="294142539">
              <w:marLeft w:val="0"/>
              <w:marRight w:val="0"/>
              <w:marTop w:val="0"/>
              <w:marBottom w:val="0"/>
              <w:divBdr>
                <w:top w:val="none" w:sz="0" w:space="0" w:color="auto"/>
                <w:left w:val="none" w:sz="0" w:space="0" w:color="auto"/>
                <w:bottom w:val="none" w:sz="0" w:space="0" w:color="auto"/>
                <w:right w:val="none" w:sz="0" w:space="0" w:color="auto"/>
              </w:divBdr>
              <w:divsChild>
                <w:div w:id="294138778">
                  <w:marLeft w:val="0"/>
                  <w:marRight w:val="0"/>
                  <w:marTop w:val="0"/>
                  <w:marBottom w:val="0"/>
                  <w:divBdr>
                    <w:top w:val="none" w:sz="0" w:space="0" w:color="auto"/>
                    <w:left w:val="none" w:sz="0" w:space="0" w:color="auto"/>
                    <w:bottom w:val="none" w:sz="0" w:space="0" w:color="auto"/>
                    <w:right w:val="none" w:sz="0" w:space="0" w:color="auto"/>
                  </w:divBdr>
                  <w:divsChild>
                    <w:div w:id="294138021">
                      <w:marLeft w:val="0"/>
                      <w:marRight w:val="0"/>
                      <w:marTop w:val="0"/>
                      <w:marBottom w:val="0"/>
                      <w:divBdr>
                        <w:top w:val="none" w:sz="0" w:space="0" w:color="auto"/>
                        <w:left w:val="none" w:sz="0" w:space="0" w:color="auto"/>
                        <w:bottom w:val="none" w:sz="0" w:space="0" w:color="auto"/>
                        <w:right w:val="none" w:sz="0" w:space="0" w:color="auto"/>
                      </w:divBdr>
                      <w:divsChild>
                        <w:div w:id="294156499">
                          <w:marLeft w:val="0"/>
                          <w:marRight w:val="0"/>
                          <w:marTop w:val="0"/>
                          <w:marBottom w:val="0"/>
                          <w:divBdr>
                            <w:top w:val="none" w:sz="0" w:space="0" w:color="auto"/>
                            <w:left w:val="none" w:sz="0" w:space="0" w:color="auto"/>
                            <w:bottom w:val="none" w:sz="0" w:space="0" w:color="auto"/>
                            <w:right w:val="none" w:sz="0" w:space="0" w:color="auto"/>
                          </w:divBdr>
                        </w:div>
                      </w:divsChild>
                    </w:div>
                    <w:div w:id="294138029">
                      <w:marLeft w:val="0"/>
                      <w:marRight w:val="0"/>
                      <w:marTop w:val="0"/>
                      <w:marBottom w:val="0"/>
                      <w:divBdr>
                        <w:top w:val="none" w:sz="0" w:space="0" w:color="auto"/>
                        <w:left w:val="none" w:sz="0" w:space="0" w:color="auto"/>
                        <w:bottom w:val="none" w:sz="0" w:space="0" w:color="auto"/>
                        <w:right w:val="none" w:sz="0" w:space="0" w:color="auto"/>
                      </w:divBdr>
                    </w:div>
                    <w:div w:id="294138084">
                      <w:marLeft w:val="0"/>
                      <w:marRight w:val="0"/>
                      <w:marTop w:val="0"/>
                      <w:marBottom w:val="0"/>
                      <w:divBdr>
                        <w:top w:val="none" w:sz="0" w:space="0" w:color="auto"/>
                        <w:left w:val="none" w:sz="0" w:space="0" w:color="auto"/>
                        <w:bottom w:val="none" w:sz="0" w:space="0" w:color="auto"/>
                        <w:right w:val="none" w:sz="0" w:space="0" w:color="auto"/>
                      </w:divBdr>
                    </w:div>
                    <w:div w:id="294138113">
                      <w:marLeft w:val="0"/>
                      <w:marRight w:val="0"/>
                      <w:marTop w:val="0"/>
                      <w:marBottom w:val="0"/>
                      <w:divBdr>
                        <w:top w:val="none" w:sz="0" w:space="0" w:color="auto"/>
                        <w:left w:val="none" w:sz="0" w:space="0" w:color="auto"/>
                        <w:bottom w:val="none" w:sz="0" w:space="0" w:color="auto"/>
                        <w:right w:val="none" w:sz="0" w:space="0" w:color="auto"/>
                      </w:divBdr>
                    </w:div>
                    <w:div w:id="294138126">
                      <w:marLeft w:val="0"/>
                      <w:marRight w:val="0"/>
                      <w:marTop w:val="0"/>
                      <w:marBottom w:val="0"/>
                      <w:divBdr>
                        <w:top w:val="none" w:sz="0" w:space="0" w:color="auto"/>
                        <w:left w:val="none" w:sz="0" w:space="0" w:color="auto"/>
                        <w:bottom w:val="none" w:sz="0" w:space="0" w:color="auto"/>
                        <w:right w:val="none" w:sz="0" w:space="0" w:color="auto"/>
                      </w:divBdr>
                    </w:div>
                    <w:div w:id="294138160">
                      <w:marLeft w:val="0"/>
                      <w:marRight w:val="0"/>
                      <w:marTop w:val="0"/>
                      <w:marBottom w:val="0"/>
                      <w:divBdr>
                        <w:top w:val="none" w:sz="0" w:space="0" w:color="auto"/>
                        <w:left w:val="none" w:sz="0" w:space="0" w:color="auto"/>
                        <w:bottom w:val="none" w:sz="0" w:space="0" w:color="auto"/>
                        <w:right w:val="none" w:sz="0" w:space="0" w:color="auto"/>
                      </w:divBdr>
                      <w:divsChild>
                        <w:div w:id="294152058">
                          <w:marLeft w:val="0"/>
                          <w:marRight w:val="0"/>
                          <w:marTop w:val="0"/>
                          <w:marBottom w:val="0"/>
                          <w:divBdr>
                            <w:top w:val="none" w:sz="0" w:space="0" w:color="auto"/>
                            <w:left w:val="none" w:sz="0" w:space="0" w:color="auto"/>
                            <w:bottom w:val="none" w:sz="0" w:space="0" w:color="auto"/>
                            <w:right w:val="none" w:sz="0" w:space="0" w:color="auto"/>
                          </w:divBdr>
                        </w:div>
                      </w:divsChild>
                    </w:div>
                    <w:div w:id="294138167">
                      <w:marLeft w:val="0"/>
                      <w:marRight w:val="0"/>
                      <w:marTop w:val="0"/>
                      <w:marBottom w:val="0"/>
                      <w:divBdr>
                        <w:top w:val="none" w:sz="0" w:space="0" w:color="auto"/>
                        <w:left w:val="none" w:sz="0" w:space="0" w:color="auto"/>
                        <w:bottom w:val="none" w:sz="0" w:space="0" w:color="auto"/>
                        <w:right w:val="none" w:sz="0" w:space="0" w:color="auto"/>
                      </w:divBdr>
                    </w:div>
                    <w:div w:id="294138186">
                      <w:marLeft w:val="0"/>
                      <w:marRight w:val="0"/>
                      <w:marTop w:val="0"/>
                      <w:marBottom w:val="0"/>
                      <w:divBdr>
                        <w:top w:val="none" w:sz="0" w:space="0" w:color="auto"/>
                        <w:left w:val="none" w:sz="0" w:space="0" w:color="auto"/>
                        <w:bottom w:val="none" w:sz="0" w:space="0" w:color="auto"/>
                        <w:right w:val="none" w:sz="0" w:space="0" w:color="auto"/>
                      </w:divBdr>
                    </w:div>
                    <w:div w:id="294138192">
                      <w:marLeft w:val="0"/>
                      <w:marRight w:val="0"/>
                      <w:marTop w:val="0"/>
                      <w:marBottom w:val="0"/>
                      <w:divBdr>
                        <w:top w:val="none" w:sz="0" w:space="0" w:color="auto"/>
                        <w:left w:val="none" w:sz="0" w:space="0" w:color="auto"/>
                        <w:bottom w:val="none" w:sz="0" w:space="0" w:color="auto"/>
                        <w:right w:val="none" w:sz="0" w:space="0" w:color="auto"/>
                      </w:divBdr>
                    </w:div>
                    <w:div w:id="294138239">
                      <w:marLeft w:val="0"/>
                      <w:marRight w:val="0"/>
                      <w:marTop w:val="0"/>
                      <w:marBottom w:val="0"/>
                      <w:divBdr>
                        <w:top w:val="none" w:sz="0" w:space="0" w:color="auto"/>
                        <w:left w:val="none" w:sz="0" w:space="0" w:color="auto"/>
                        <w:bottom w:val="none" w:sz="0" w:space="0" w:color="auto"/>
                        <w:right w:val="none" w:sz="0" w:space="0" w:color="auto"/>
                      </w:divBdr>
                      <w:divsChild>
                        <w:div w:id="294147175">
                          <w:marLeft w:val="0"/>
                          <w:marRight w:val="0"/>
                          <w:marTop w:val="0"/>
                          <w:marBottom w:val="0"/>
                          <w:divBdr>
                            <w:top w:val="none" w:sz="0" w:space="0" w:color="auto"/>
                            <w:left w:val="none" w:sz="0" w:space="0" w:color="auto"/>
                            <w:bottom w:val="none" w:sz="0" w:space="0" w:color="auto"/>
                            <w:right w:val="none" w:sz="0" w:space="0" w:color="auto"/>
                          </w:divBdr>
                        </w:div>
                      </w:divsChild>
                    </w:div>
                    <w:div w:id="294138247">
                      <w:marLeft w:val="0"/>
                      <w:marRight w:val="0"/>
                      <w:marTop w:val="0"/>
                      <w:marBottom w:val="0"/>
                      <w:divBdr>
                        <w:top w:val="none" w:sz="0" w:space="0" w:color="auto"/>
                        <w:left w:val="none" w:sz="0" w:space="0" w:color="auto"/>
                        <w:bottom w:val="none" w:sz="0" w:space="0" w:color="auto"/>
                        <w:right w:val="none" w:sz="0" w:space="0" w:color="auto"/>
                      </w:divBdr>
                    </w:div>
                    <w:div w:id="294138261">
                      <w:marLeft w:val="0"/>
                      <w:marRight w:val="0"/>
                      <w:marTop w:val="0"/>
                      <w:marBottom w:val="0"/>
                      <w:divBdr>
                        <w:top w:val="none" w:sz="0" w:space="0" w:color="auto"/>
                        <w:left w:val="none" w:sz="0" w:space="0" w:color="auto"/>
                        <w:bottom w:val="none" w:sz="0" w:space="0" w:color="auto"/>
                        <w:right w:val="none" w:sz="0" w:space="0" w:color="auto"/>
                      </w:divBdr>
                      <w:divsChild>
                        <w:div w:id="294143435">
                          <w:marLeft w:val="0"/>
                          <w:marRight w:val="0"/>
                          <w:marTop w:val="0"/>
                          <w:marBottom w:val="0"/>
                          <w:divBdr>
                            <w:top w:val="none" w:sz="0" w:space="0" w:color="auto"/>
                            <w:left w:val="none" w:sz="0" w:space="0" w:color="auto"/>
                            <w:bottom w:val="none" w:sz="0" w:space="0" w:color="auto"/>
                            <w:right w:val="none" w:sz="0" w:space="0" w:color="auto"/>
                          </w:divBdr>
                        </w:div>
                      </w:divsChild>
                    </w:div>
                    <w:div w:id="294138267">
                      <w:marLeft w:val="0"/>
                      <w:marRight w:val="0"/>
                      <w:marTop w:val="0"/>
                      <w:marBottom w:val="0"/>
                      <w:divBdr>
                        <w:top w:val="none" w:sz="0" w:space="0" w:color="auto"/>
                        <w:left w:val="none" w:sz="0" w:space="0" w:color="auto"/>
                        <w:bottom w:val="none" w:sz="0" w:space="0" w:color="auto"/>
                        <w:right w:val="none" w:sz="0" w:space="0" w:color="auto"/>
                      </w:divBdr>
                      <w:divsChild>
                        <w:div w:id="294152590">
                          <w:marLeft w:val="0"/>
                          <w:marRight w:val="0"/>
                          <w:marTop w:val="0"/>
                          <w:marBottom w:val="0"/>
                          <w:divBdr>
                            <w:top w:val="none" w:sz="0" w:space="0" w:color="auto"/>
                            <w:left w:val="none" w:sz="0" w:space="0" w:color="auto"/>
                            <w:bottom w:val="none" w:sz="0" w:space="0" w:color="auto"/>
                            <w:right w:val="none" w:sz="0" w:space="0" w:color="auto"/>
                          </w:divBdr>
                        </w:div>
                      </w:divsChild>
                    </w:div>
                    <w:div w:id="294138283">
                      <w:marLeft w:val="0"/>
                      <w:marRight w:val="0"/>
                      <w:marTop w:val="0"/>
                      <w:marBottom w:val="0"/>
                      <w:divBdr>
                        <w:top w:val="none" w:sz="0" w:space="0" w:color="auto"/>
                        <w:left w:val="none" w:sz="0" w:space="0" w:color="auto"/>
                        <w:bottom w:val="none" w:sz="0" w:space="0" w:color="auto"/>
                        <w:right w:val="none" w:sz="0" w:space="0" w:color="auto"/>
                      </w:divBdr>
                      <w:divsChild>
                        <w:div w:id="294155912">
                          <w:marLeft w:val="0"/>
                          <w:marRight w:val="0"/>
                          <w:marTop w:val="0"/>
                          <w:marBottom w:val="0"/>
                          <w:divBdr>
                            <w:top w:val="none" w:sz="0" w:space="0" w:color="auto"/>
                            <w:left w:val="none" w:sz="0" w:space="0" w:color="auto"/>
                            <w:bottom w:val="none" w:sz="0" w:space="0" w:color="auto"/>
                            <w:right w:val="none" w:sz="0" w:space="0" w:color="auto"/>
                          </w:divBdr>
                        </w:div>
                      </w:divsChild>
                    </w:div>
                    <w:div w:id="294138362">
                      <w:marLeft w:val="0"/>
                      <w:marRight w:val="0"/>
                      <w:marTop w:val="0"/>
                      <w:marBottom w:val="0"/>
                      <w:divBdr>
                        <w:top w:val="none" w:sz="0" w:space="0" w:color="auto"/>
                        <w:left w:val="none" w:sz="0" w:space="0" w:color="auto"/>
                        <w:bottom w:val="none" w:sz="0" w:space="0" w:color="auto"/>
                        <w:right w:val="none" w:sz="0" w:space="0" w:color="auto"/>
                      </w:divBdr>
                    </w:div>
                    <w:div w:id="294138386">
                      <w:marLeft w:val="0"/>
                      <w:marRight w:val="0"/>
                      <w:marTop w:val="0"/>
                      <w:marBottom w:val="0"/>
                      <w:divBdr>
                        <w:top w:val="none" w:sz="0" w:space="0" w:color="auto"/>
                        <w:left w:val="none" w:sz="0" w:space="0" w:color="auto"/>
                        <w:bottom w:val="none" w:sz="0" w:space="0" w:color="auto"/>
                        <w:right w:val="none" w:sz="0" w:space="0" w:color="auto"/>
                      </w:divBdr>
                    </w:div>
                    <w:div w:id="294138436">
                      <w:marLeft w:val="0"/>
                      <w:marRight w:val="0"/>
                      <w:marTop w:val="0"/>
                      <w:marBottom w:val="0"/>
                      <w:divBdr>
                        <w:top w:val="none" w:sz="0" w:space="0" w:color="auto"/>
                        <w:left w:val="none" w:sz="0" w:space="0" w:color="auto"/>
                        <w:bottom w:val="none" w:sz="0" w:space="0" w:color="auto"/>
                        <w:right w:val="none" w:sz="0" w:space="0" w:color="auto"/>
                      </w:divBdr>
                      <w:divsChild>
                        <w:div w:id="294151078">
                          <w:marLeft w:val="0"/>
                          <w:marRight w:val="0"/>
                          <w:marTop w:val="0"/>
                          <w:marBottom w:val="0"/>
                          <w:divBdr>
                            <w:top w:val="none" w:sz="0" w:space="0" w:color="auto"/>
                            <w:left w:val="none" w:sz="0" w:space="0" w:color="auto"/>
                            <w:bottom w:val="none" w:sz="0" w:space="0" w:color="auto"/>
                            <w:right w:val="none" w:sz="0" w:space="0" w:color="auto"/>
                          </w:divBdr>
                        </w:div>
                      </w:divsChild>
                    </w:div>
                    <w:div w:id="294138463">
                      <w:marLeft w:val="0"/>
                      <w:marRight w:val="0"/>
                      <w:marTop w:val="0"/>
                      <w:marBottom w:val="0"/>
                      <w:divBdr>
                        <w:top w:val="none" w:sz="0" w:space="0" w:color="auto"/>
                        <w:left w:val="none" w:sz="0" w:space="0" w:color="auto"/>
                        <w:bottom w:val="none" w:sz="0" w:space="0" w:color="auto"/>
                        <w:right w:val="none" w:sz="0" w:space="0" w:color="auto"/>
                      </w:divBdr>
                    </w:div>
                    <w:div w:id="294138464">
                      <w:marLeft w:val="0"/>
                      <w:marRight w:val="0"/>
                      <w:marTop w:val="0"/>
                      <w:marBottom w:val="0"/>
                      <w:divBdr>
                        <w:top w:val="none" w:sz="0" w:space="0" w:color="auto"/>
                        <w:left w:val="none" w:sz="0" w:space="0" w:color="auto"/>
                        <w:bottom w:val="none" w:sz="0" w:space="0" w:color="auto"/>
                        <w:right w:val="none" w:sz="0" w:space="0" w:color="auto"/>
                      </w:divBdr>
                    </w:div>
                    <w:div w:id="294138509">
                      <w:marLeft w:val="0"/>
                      <w:marRight w:val="0"/>
                      <w:marTop w:val="0"/>
                      <w:marBottom w:val="0"/>
                      <w:divBdr>
                        <w:top w:val="none" w:sz="0" w:space="0" w:color="auto"/>
                        <w:left w:val="none" w:sz="0" w:space="0" w:color="auto"/>
                        <w:bottom w:val="none" w:sz="0" w:space="0" w:color="auto"/>
                        <w:right w:val="none" w:sz="0" w:space="0" w:color="auto"/>
                      </w:divBdr>
                    </w:div>
                    <w:div w:id="294138540">
                      <w:marLeft w:val="0"/>
                      <w:marRight w:val="0"/>
                      <w:marTop w:val="0"/>
                      <w:marBottom w:val="0"/>
                      <w:divBdr>
                        <w:top w:val="none" w:sz="0" w:space="0" w:color="auto"/>
                        <w:left w:val="none" w:sz="0" w:space="0" w:color="auto"/>
                        <w:bottom w:val="none" w:sz="0" w:space="0" w:color="auto"/>
                        <w:right w:val="none" w:sz="0" w:space="0" w:color="auto"/>
                      </w:divBdr>
                    </w:div>
                    <w:div w:id="294138571">
                      <w:marLeft w:val="0"/>
                      <w:marRight w:val="0"/>
                      <w:marTop w:val="0"/>
                      <w:marBottom w:val="0"/>
                      <w:divBdr>
                        <w:top w:val="none" w:sz="0" w:space="0" w:color="auto"/>
                        <w:left w:val="none" w:sz="0" w:space="0" w:color="auto"/>
                        <w:bottom w:val="none" w:sz="0" w:space="0" w:color="auto"/>
                        <w:right w:val="none" w:sz="0" w:space="0" w:color="auto"/>
                      </w:divBdr>
                    </w:div>
                    <w:div w:id="294138597">
                      <w:marLeft w:val="0"/>
                      <w:marRight w:val="0"/>
                      <w:marTop w:val="0"/>
                      <w:marBottom w:val="0"/>
                      <w:divBdr>
                        <w:top w:val="none" w:sz="0" w:space="0" w:color="auto"/>
                        <w:left w:val="none" w:sz="0" w:space="0" w:color="auto"/>
                        <w:bottom w:val="none" w:sz="0" w:space="0" w:color="auto"/>
                        <w:right w:val="none" w:sz="0" w:space="0" w:color="auto"/>
                      </w:divBdr>
                    </w:div>
                    <w:div w:id="294138645">
                      <w:marLeft w:val="0"/>
                      <w:marRight w:val="0"/>
                      <w:marTop w:val="0"/>
                      <w:marBottom w:val="0"/>
                      <w:divBdr>
                        <w:top w:val="none" w:sz="0" w:space="0" w:color="auto"/>
                        <w:left w:val="none" w:sz="0" w:space="0" w:color="auto"/>
                        <w:bottom w:val="none" w:sz="0" w:space="0" w:color="auto"/>
                        <w:right w:val="none" w:sz="0" w:space="0" w:color="auto"/>
                      </w:divBdr>
                      <w:divsChild>
                        <w:div w:id="294140354">
                          <w:marLeft w:val="0"/>
                          <w:marRight w:val="0"/>
                          <w:marTop w:val="0"/>
                          <w:marBottom w:val="0"/>
                          <w:divBdr>
                            <w:top w:val="none" w:sz="0" w:space="0" w:color="auto"/>
                            <w:left w:val="none" w:sz="0" w:space="0" w:color="auto"/>
                            <w:bottom w:val="none" w:sz="0" w:space="0" w:color="auto"/>
                            <w:right w:val="none" w:sz="0" w:space="0" w:color="auto"/>
                          </w:divBdr>
                        </w:div>
                      </w:divsChild>
                    </w:div>
                    <w:div w:id="294138690">
                      <w:marLeft w:val="0"/>
                      <w:marRight w:val="0"/>
                      <w:marTop w:val="0"/>
                      <w:marBottom w:val="0"/>
                      <w:divBdr>
                        <w:top w:val="none" w:sz="0" w:space="0" w:color="auto"/>
                        <w:left w:val="none" w:sz="0" w:space="0" w:color="auto"/>
                        <w:bottom w:val="none" w:sz="0" w:space="0" w:color="auto"/>
                        <w:right w:val="none" w:sz="0" w:space="0" w:color="auto"/>
                      </w:divBdr>
                      <w:divsChild>
                        <w:div w:id="294153246">
                          <w:marLeft w:val="0"/>
                          <w:marRight w:val="0"/>
                          <w:marTop w:val="0"/>
                          <w:marBottom w:val="0"/>
                          <w:divBdr>
                            <w:top w:val="none" w:sz="0" w:space="0" w:color="auto"/>
                            <w:left w:val="none" w:sz="0" w:space="0" w:color="auto"/>
                            <w:bottom w:val="none" w:sz="0" w:space="0" w:color="auto"/>
                            <w:right w:val="none" w:sz="0" w:space="0" w:color="auto"/>
                          </w:divBdr>
                        </w:div>
                      </w:divsChild>
                    </w:div>
                    <w:div w:id="294138696">
                      <w:marLeft w:val="0"/>
                      <w:marRight w:val="0"/>
                      <w:marTop w:val="0"/>
                      <w:marBottom w:val="0"/>
                      <w:divBdr>
                        <w:top w:val="none" w:sz="0" w:space="0" w:color="auto"/>
                        <w:left w:val="none" w:sz="0" w:space="0" w:color="auto"/>
                        <w:bottom w:val="none" w:sz="0" w:space="0" w:color="auto"/>
                        <w:right w:val="none" w:sz="0" w:space="0" w:color="auto"/>
                      </w:divBdr>
                      <w:divsChild>
                        <w:div w:id="294138001">
                          <w:marLeft w:val="0"/>
                          <w:marRight w:val="0"/>
                          <w:marTop w:val="0"/>
                          <w:marBottom w:val="0"/>
                          <w:divBdr>
                            <w:top w:val="none" w:sz="0" w:space="0" w:color="auto"/>
                            <w:left w:val="none" w:sz="0" w:space="0" w:color="auto"/>
                            <w:bottom w:val="none" w:sz="0" w:space="0" w:color="auto"/>
                            <w:right w:val="none" w:sz="0" w:space="0" w:color="auto"/>
                          </w:divBdr>
                        </w:div>
                      </w:divsChild>
                    </w:div>
                    <w:div w:id="294138714">
                      <w:marLeft w:val="0"/>
                      <w:marRight w:val="0"/>
                      <w:marTop w:val="0"/>
                      <w:marBottom w:val="0"/>
                      <w:divBdr>
                        <w:top w:val="none" w:sz="0" w:space="0" w:color="auto"/>
                        <w:left w:val="none" w:sz="0" w:space="0" w:color="auto"/>
                        <w:bottom w:val="none" w:sz="0" w:space="0" w:color="auto"/>
                        <w:right w:val="none" w:sz="0" w:space="0" w:color="auto"/>
                      </w:divBdr>
                    </w:div>
                    <w:div w:id="294138848">
                      <w:marLeft w:val="0"/>
                      <w:marRight w:val="0"/>
                      <w:marTop w:val="0"/>
                      <w:marBottom w:val="0"/>
                      <w:divBdr>
                        <w:top w:val="none" w:sz="0" w:space="0" w:color="auto"/>
                        <w:left w:val="none" w:sz="0" w:space="0" w:color="auto"/>
                        <w:bottom w:val="none" w:sz="0" w:space="0" w:color="auto"/>
                        <w:right w:val="none" w:sz="0" w:space="0" w:color="auto"/>
                      </w:divBdr>
                    </w:div>
                    <w:div w:id="294138875">
                      <w:marLeft w:val="0"/>
                      <w:marRight w:val="0"/>
                      <w:marTop w:val="0"/>
                      <w:marBottom w:val="0"/>
                      <w:divBdr>
                        <w:top w:val="none" w:sz="0" w:space="0" w:color="auto"/>
                        <w:left w:val="none" w:sz="0" w:space="0" w:color="auto"/>
                        <w:bottom w:val="none" w:sz="0" w:space="0" w:color="auto"/>
                        <w:right w:val="none" w:sz="0" w:space="0" w:color="auto"/>
                      </w:divBdr>
                      <w:divsChild>
                        <w:div w:id="294145484">
                          <w:marLeft w:val="0"/>
                          <w:marRight w:val="0"/>
                          <w:marTop w:val="0"/>
                          <w:marBottom w:val="0"/>
                          <w:divBdr>
                            <w:top w:val="none" w:sz="0" w:space="0" w:color="auto"/>
                            <w:left w:val="none" w:sz="0" w:space="0" w:color="auto"/>
                            <w:bottom w:val="none" w:sz="0" w:space="0" w:color="auto"/>
                            <w:right w:val="none" w:sz="0" w:space="0" w:color="auto"/>
                          </w:divBdr>
                        </w:div>
                      </w:divsChild>
                    </w:div>
                    <w:div w:id="294138881">
                      <w:marLeft w:val="0"/>
                      <w:marRight w:val="0"/>
                      <w:marTop w:val="0"/>
                      <w:marBottom w:val="0"/>
                      <w:divBdr>
                        <w:top w:val="none" w:sz="0" w:space="0" w:color="auto"/>
                        <w:left w:val="none" w:sz="0" w:space="0" w:color="auto"/>
                        <w:bottom w:val="none" w:sz="0" w:space="0" w:color="auto"/>
                        <w:right w:val="none" w:sz="0" w:space="0" w:color="auto"/>
                      </w:divBdr>
                      <w:divsChild>
                        <w:div w:id="294154169">
                          <w:marLeft w:val="0"/>
                          <w:marRight w:val="0"/>
                          <w:marTop w:val="0"/>
                          <w:marBottom w:val="0"/>
                          <w:divBdr>
                            <w:top w:val="none" w:sz="0" w:space="0" w:color="auto"/>
                            <w:left w:val="none" w:sz="0" w:space="0" w:color="auto"/>
                            <w:bottom w:val="none" w:sz="0" w:space="0" w:color="auto"/>
                            <w:right w:val="none" w:sz="0" w:space="0" w:color="auto"/>
                          </w:divBdr>
                        </w:div>
                      </w:divsChild>
                    </w:div>
                    <w:div w:id="294138885">
                      <w:marLeft w:val="0"/>
                      <w:marRight w:val="0"/>
                      <w:marTop w:val="0"/>
                      <w:marBottom w:val="0"/>
                      <w:divBdr>
                        <w:top w:val="none" w:sz="0" w:space="0" w:color="auto"/>
                        <w:left w:val="none" w:sz="0" w:space="0" w:color="auto"/>
                        <w:bottom w:val="none" w:sz="0" w:space="0" w:color="auto"/>
                        <w:right w:val="none" w:sz="0" w:space="0" w:color="auto"/>
                      </w:divBdr>
                      <w:divsChild>
                        <w:div w:id="294145298">
                          <w:marLeft w:val="0"/>
                          <w:marRight w:val="0"/>
                          <w:marTop w:val="0"/>
                          <w:marBottom w:val="0"/>
                          <w:divBdr>
                            <w:top w:val="none" w:sz="0" w:space="0" w:color="auto"/>
                            <w:left w:val="none" w:sz="0" w:space="0" w:color="auto"/>
                            <w:bottom w:val="none" w:sz="0" w:space="0" w:color="auto"/>
                            <w:right w:val="none" w:sz="0" w:space="0" w:color="auto"/>
                          </w:divBdr>
                        </w:div>
                      </w:divsChild>
                    </w:div>
                    <w:div w:id="294138889">
                      <w:marLeft w:val="0"/>
                      <w:marRight w:val="0"/>
                      <w:marTop w:val="0"/>
                      <w:marBottom w:val="0"/>
                      <w:divBdr>
                        <w:top w:val="none" w:sz="0" w:space="0" w:color="auto"/>
                        <w:left w:val="none" w:sz="0" w:space="0" w:color="auto"/>
                        <w:bottom w:val="none" w:sz="0" w:space="0" w:color="auto"/>
                        <w:right w:val="none" w:sz="0" w:space="0" w:color="auto"/>
                      </w:divBdr>
                    </w:div>
                    <w:div w:id="294138952">
                      <w:marLeft w:val="0"/>
                      <w:marRight w:val="0"/>
                      <w:marTop w:val="0"/>
                      <w:marBottom w:val="0"/>
                      <w:divBdr>
                        <w:top w:val="none" w:sz="0" w:space="0" w:color="auto"/>
                        <w:left w:val="none" w:sz="0" w:space="0" w:color="auto"/>
                        <w:bottom w:val="none" w:sz="0" w:space="0" w:color="auto"/>
                        <w:right w:val="none" w:sz="0" w:space="0" w:color="auto"/>
                      </w:divBdr>
                      <w:divsChild>
                        <w:div w:id="294139284">
                          <w:marLeft w:val="0"/>
                          <w:marRight w:val="0"/>
                          <w:marTop w:val="0"/>
                          <w:marBottom w:val="0"/>
                          <w:divBdr>
                            <w:top w:val="none" w:sz="0" w:space="0" w:color="auto"/>
                            <w:left w:val="none" w:sz="0" w:space="0" w:color="auto"/>
                            <w:bottom w:val="none" w:sz="0" w:space="0" w:color="auto"/>
                            <w:right w:val="none" w:sz="0" w:space="0" w:color="auto"/>
                          </w:divBdr>
                        </w:div>
                      </w:divsChild>
                    </w:div>
                    <w:div w:id="294139098">
                      <w:marLeft w:val="0"/>
                      <w:marRight w:val="0"/>
                      <w:marTop w:val="0"/>
                      <w:marBottom w:val="0"/>
                      <w:divBdr>
                        <w:top w:val="none" w:sz="0" w:space="0" w:color="auto"/>
                        <w:left w:val="none" w:sz="0" w:space="0" w:color="auto"/>
                        <w:bottom w:val="none" w:sz="0" w:space="0" w:color="auto"/>
                        <w:right w:val="none" w:sz="0" w:space="0" w:color="auto"/>
                      </w:divBdr>
                    </w:div>
                    <w:div w:id="294139099">
                      <w:marLeft w:val="0"/>
                      <w:marRight w:val="0"/>
                      <w:marTop w:val="0"/>
                      <w:marBottom w:val="0"/>
                      <w:divBdr>
                        <w:top w:val="none" w:sz="0" w:space="0" w:color="auto"/>
                        <w:left w:val="none" w:sz="0" w:space="0" w:color="auto"/>
                        <w:bottom w:val="none" w:sz="0" w:space="0" w:color="auto"/>
                        <w:right w:val="none" w:sz="0" w:space="0" w:color="auto"/>
                      </w:divBdr>
                      <w:divsChild>
                        <w:div w:id="294149650">
                          <w:marLeft w:val="0"/>
                          <w:marRight w:val="0"/>
                          <w:marTop w:val="0"/>
                          <w:marBottom w:val="0"/>
                          <w:divBdr>
                            <w:top w:val="none" w:sz="0" w:space="0" w:color="auto"/>
                            <w:left w:val="none" w:sz="0" w:space="0" w:color="auto"/>
                            <w:bottom w:val="none" w:sz="0" w:space="0" w:color="auto"/>
                            <w:right w:val="none" w:sz="0" w:space="0" w:color="auto"/>
                          </w:divBdr>
                        </w:div>
                      </w:divsChild>
                    </w:div>
                    <w:div w:id="294139151">
                      <w:marLeft w:val="0"/>
                      <w:marRight w:val="0"/>
                      <w:marTop w:val="0"/>
                      <w:marBottom w:val="0"/>
                      <w:divBdr>
                        <w:top w:val="none" w:sz="0" w:space="0" w:color="auto"/>
                        <w:left w:val="none" w:sz="0" w:space="0" w:color="auto"/>
                        <w:bottom w:val="none" w:sz="0" w:space="0" w:color="auto"/>
                        <w:right w:val="none" w:sz="0" w:space="0" w:color="auto"/>
                      </w:divBdr>
                      <w:divsChild>
                        <w:div w:id="294139125">
                          <w:marLeft w:val="0"/>
                          <w:marRight w:val="0"/>
                          <w:marTop w:val="0"/>
                          <w:marBottom w:val="0"/>
                          <w:divBdr>
                            <w:top w:val="none" w:sz="0" w:space="0" w:color="auto"/>
                            <w:left w:val="none" w:sz="0" w:space="0" w:color="auto"/>
                            <w:bottom w:val="none" w:sz="0" w:space="0" w:color="auto"/>
                            <w:right w:val="none" w:sz="0" w:space="0" w:color="auto"/>
                          </w:divBdr>
                        </w:div>
                      </w:divsChild>
                    </w:div>
                    <w:div w:id="294139181">
                      <w:marLeft w:val="0"/>
                      <w:marRight w:val="0"/>
                      <w:marTop w:val="0"/>
                      <w:marBottom w:val="0"/>
                      <w:divBdr>
                        <w:top w:val="none" w:sz="0" w:space="0" w:color="auto"/>
                        <w:left w:val="none" w:sz="0" w:space="0" w:color="auto"/>
                        <w:bottom w:val="none" w:sz="0" w:space="0" w:color="auto"/>
                        <w:right w:val="none" w:sz="0" w:space="0" w:color="auto"/>
                      </w:divBdr>
                      <w:divsChild>
                        <w:div w:id="294138591">
                          <w:marLeft w:val="0"/>
                          <w:marRight w:val="0"/>
                          <w:marTop w:val="0"/>
                          <w:marBottom w:val="0"/>
                          <w:divBdr>
                            <w:top w:val="none" w:sz="0" w:space="0" w:color="auto"/>
                            <w:left w:val="none" w:sz="0" w:space="0" w:color="auto"/>
                            <w:bottom w:val="none" w:sz="0" w:space="0" w:color="auto"/>
                            <w:right w:val="none" w:sz="0" w:space="0" w:color="auto"/>
                          </w:divBdr>
                        </w:div>
                      </w:divsChild>
                    </w:div>
                    <w:div w:id="294139257">
                      <w:marLeft w:val="0"/>
                      <w:marRight w:val="0"/>
                      <w:marTop w:val="0"/>
                      <w:marBottom w:val="0"/>
                      <w:divBdr>
                        <w:top w:val="none" w:sz="0" w:space="0" w:color="auto"/>
                        <w:left w:val="none" w:sz="0" w:space="0" w:color="auto"/>
                        <w:bottom w:val="none" w:sz="0" w:space="0" w:color="auto"/>
                        <w:right w:val="none" w:sz="0" w:space="0" w:color="auto"/>
                      </w:divBdr>
                      <w:divsChild>
                        <w:div w:id="294139055">
                          <w:marLeft w:val="0"/>
                          <w:marRight w:val="0"/>
                          <w:marTop w:val="0"/>
                          <w:marBottom w:val="0"/>
                          <w:divBdr>
                            <w:top w:val="none" w:sz="0" w:space="0" w:color="auto"/>
                            <w:left w:val="none" w:sz="0" w:space="0" w:color="auto"/>
                            <w:bottom w:val="none" w:sz="0" w:space="0" w:color="auto"/>
                            <w:right w:val="none" w:sz="0" w:space="0" w:color="auto"/>
                          </w:divBdr>
                        </w:div>
                      </w:divsChild>
                    </w:div>
                    <w:div w:id="294139307">
                      <w:marLeft w:val="0"/>
                      <w:marRight w:val="0"/>
                      <w:marTop w:val="0"/>
                      <w:marBottom w:val="0"/>
                      <w:divBdr>
                        <w:top w:val="none" w:sz="0" w:space="0" w:color="auto"/>
                        <w:left w:val="none" w:sz="0" w:space="0" w:color="auto"/>
                        <w:bottom w:val="none" w:sz="0" w:space="0" w:color="auto"/>
                        <w:right w:val="none" w:sz="0" w:space="0" w:color="auto"/>
                      </w:divBdr>
                    </w:div>
                    <w:div w:id="294139308">
                      <w:marLeft w:val="0"/>
                      <w:marRight w:val="0"/>
                      <w:marTop w:val="0"/>
                      <w:marBottom w:val="0"/>
                      <w:divBdr>
                        <w:top w:val="none" w:sz="0" w:space="0" w:color="auto"/>
                        <w:left w:val="none" w:sz="0" w:space="0" w:color="auto"/>
                        <w:bottom w:val="none" w:sz="0" w:space="0" w:color="auto"/>
                        <w:right w:val="none" w:sz="0" w:space="0" w:color="auto"/>
                      </w:divBdr>
                    </w:div>
                    <w:div w:id="294139338">
                      <w:marLeft w:val="0"/>
                      <w:marRight w:val="0"/>
                      <w:marTop w:val="0"/>
                      <w:marBottom w:val="0"/>
                      <w:divBdr>
                        <w:top w:val="none" w:sz="0" w:space="0" w:color="auto"/>
                        <w:left w:val="none" w:sz="0" w:space="0" w:color="auto"/>
                        <w:bottom w:val="none" w:sz="0" w:space="0" w:color="auto"/>
                        <w:right w:val="none" w:sz="0" w:space="0" w:color="auto"/>
                      </w:divBdr>
                      <w:divsChild>
                        <w:div w:id="294149640">
                          <w:marLeft w:val="0"/>
                          <w:marRight w:val="0"/>
                          <w:marTop w:val="0"/>
                          <w:marBottom w:val="0"/>
                          <w:divBdr>
                            <w:top w:val="none" w:sz="0" w:space="0" w:color="auto"/>
                            <w:left w:val="none" w:sz="0" w:space="0" w:color="auto"/>
                            <w:bottom w:val="none" w:sz="0" w:space="0" w:color="auto"/>
                            <w:right w:val="none" w:sz="0" w:space="0" w:color="auto"/>
                          </w:divBdr>
                        </w:div>
                      </w:divsChild>
                    </w:div>
                    <w:div w:id="294139365">
                      <w:marLeft w:val="0"/>
                      <w:marRight w:val="0"/>
                      <w:marTop w:val="0"/>
                      <w:marBottom w:val="0"/>
                      <w:divBdr>
                        <w:top w:val="none" w:sz="0" w:space="0" w:color="auto"/>
                        <w:left w:val="none" w:sz="0" w:space="0" w:color="auto"/>
                        <w:bottom w:val="none" w:sz="0" w:space="0" w:color="auto"/>
                        <w:right w:val="none" w:sz="0" w:space="0" w:color="auto"/>
                      </w:divBdr>
                    </w:div>
                    <w:div w:id="294139406">
                      <w:marLeft w:val="0"/>
                      <w:marRight w:val="0"/>
                      <w:marTop w:val="0"/>
                      <w:marBottom w:val="0"/>
                      <w:divBdr>
                        <w:top w:val="none" w:sz="0" w:space="0" w:color="auto"/>
                        <w:left w:val="none" w:sz="0" w:space="0" w:color="auto"/>
                        <w:bottom w:val="none" w:sz="0" w:space="0" w:color="auto"/>
                        <w:right w:val="none" w:sz="0" w:space="0" w:color="auto"/>
                      </w:divBdr>
                      <w:divsChild>
                        <w:div w:id="294150335">
                          <w:marLeft w:val="0"/>
                          <w:marRight w:val="0"/>
                          <w:marTop w:val="0"/>
                          <w:marBottom w:val="0"/>
                          <w:divBdr>
                            <w:top w:val="none" w:sz="0" w:space="0" w:color="auto"/>
                            <w:left w:val="none" w:sz="0" w:space="0" w:color="auto"/>
                            <w:bottom w:val="none" w:sz="0" w:space="0" w:color="auto"/>
                            <w:right w:val="none" w:sz="0" w:space="0" w:color="auto"/>
                          </w:divBdr>
                        </w:div>
                      </w:divsChild>
                    </w:div>
                    <w:div w:id="294139448">
                      <w:marLeft w:val="0"/>
                      <w:marRight w:val="0"/>
                      <w:marTop w:val="0"/>
                      <w:marBottom w:val="0"/>
                      <w:divBdr>
                        <w:top w:val="none" w:sz="0" w:space="0" w:color="auto"/>
                        <w:left w:val="none" w:sz="0" w:space="0" w:color="auto"/>
                        <w:bottom w:val="none" w:sz="0" w:space="0" w:color="auto"/>
                        <w:right w:val="none" w:sz="0" w:space="0" w:color="auto"/>
                      </w:divBdr>
                      <w:divsChild>
                        <w:div w:id="294142480">
                          <w:marLeft w:val="0"/>
                          <w:marRight w:val="0"/>
                          <w:marTop w:val="0"/>
                          <w:marBottom w:val="0"/>
                          <w:divBdr>
                            <w:top w:val="none" w:sz="0" w:space="0" w:color="auto"/>
                            <w:left w:val="none" w:sz="0" w:space="0" w:color="auto"/>
                            <w:bottom w:val="none" w:sz="0" w:space="0" w:color="auto"/>
                            <w:right w:val="none" w:sz="0" w:space="0" w:color="auto"/>
                          </w:divBdr>
                        </w:div>
                      </w:divsChild>
                    </w:div>
                    <w:div w:id="294139451">
                      <w:marLeft w:val="0"/>
                      <w:marRight w:val="0"/>
                      <w:marTop w:val="0"/>
                      <w:marBottom w:val="0"/>
                      <w:divBdr>
                        <w:top w:val="none" w:sz="0" w:space="0" w:color="auto"/>
                        <w:left w:val="none" w:sz="0" w:space="0" w:color="auto"/>
                        <w:bottom w:val="none" w:sz="0" w:space="0" w:color="auto"/>
                        <w:right w:val="none" w:sz="0" w:space="0" w:color="auto"/>
                      </w:divBdr>
                    </w:div>
                    <w:div w:id="294139506">
                      <w:marLeft w:val="0"/>
                      <w:marRight w:val="0"/>
                      <w:marTop w:val="0"/>
                      <w:marBottom w:val="0"/>
                      <w:divBdr>
                        <w:top w:val="none" w:sz="0" w:space="0" w:color="auto"/>
                        <w:left w:val="none" w:sz="0" w:space="0" w:color="auto"/>
                        <w:bottom w:val="none" w:sz="0" w:space="0" w:color="auto"/>
                        <w:right w:val="none" w:sz="0" w:space="0" w:color="auto"/>
                      </w:divBdr>
                    </w:div>
                    <w:div w:id="294139528">
                      <w:marLeft w:val="0"/>
                      <w:marRight w:val="0"/>
                      <w:marTop w:val="0"/>
                      <w:marBottom w:val="0"/>
                      <w:divBdr>
                        <w:top w:val="none" w:sz="0" w:space="0" w:color="auto"/>
                        <w:left w:val="none" w:sz="0" w:space="0" w:color="auto"/>
                        <w:bottom w:val="none" w:sz="0" w:space="0" w:color="auto"/>
                        <w:right w:val="none" w:sz="0" w:space="0" w:color="auto"/>
                      </w:divBdr>
                      <w:divsChild>
                        <w:div w:id="294139913">
                          <w:marLeft w:val="0"/>
                          <w:marRight w:val="0"/>
                          <w:marTop w:val="0"/>
                          <w:marBottom w:val="0"/>
                          <w:divBdr>
                            <w:top w:val="none" w:sz="0" w:space="0" w:color="auto"/>
                            <w:left w:val="none" w:sz="0" w:space="0" w:color="auto"/>
                            <w:bottom w:val="none" w:sz="0" w:space="0" w:color="auto"/>
                            <w:right w:val="none" w:sz="0" w:space="0" w:color="auto"/>
                          </w:divBdr>
                        </w:div>
                      </w:divsChild>
                    </w:div>
                    <w:div w:id="294139540">
                      <w:marLeft w:val="0"/>
                      <w:marRight w:val="0"/>
                      <w:marTop w:val="0"/>
                      <w:marBottom w:val="0"/>
                      <w:divBdr>
                        <w:top w:val="none" w:sz="0" w:space="0" w:color="auto"/>
                        <w:left w:val="none" w:sz="0" w:space="0" w:color="auto"/>
                        <w:bottom w:val="none" w:sz="0" w:space="0" w:color="auto"/>
                        <w:right w:val="none" w:sz="0" w:space="0" w:color="auto"/>
                      </w:divBdr>
                      <w:divsChild>
                        <w:div w:id="294147003">
                          <w:marLeft w:val="0"/>
                          <w:marRight w:val="0"/>
                          <w:marTop w:val="0"/>
                          <w:marBottom w:val="0"/>
                          <w:divBdr>
                            <w:top w:val="none" w:sz="0" w:space="0" w:color="auto"/>
                            <w:left w:val="none" w:sz="0" w:space="0" w:color="auto"/>
                            <w:bottom w:val="none" w:sz="0" w:space="0" w:color="auto"/>
                            <w:right w:val="none" w:sz="0" w:space="0" w:color="auto"/>
                          </w:divBdr>
                        </w:div>
                      </w:divsChild>
                    </w:div>
                    <w:div w:id="294139554">
                      <w:marLeft w:val="0"/>
                      <w:marRight w:val="0"/>
                      <w:marTop w:val="0"/>
                      <w:marBottom w:val="0"/>
                      <w:divBdr>
                        <w:top w:val="none" w:sz="0" w:space="0" w:color="auto"/>
                        <w:left w:val="none" w:sz="0" w:space="0" w:color="auto"/>
                        <w:bottom w:val="none" w:sz="0" w:space="0" w:color="auto"/>
                        <w:right w:val="none" w:sz="0" w:space="0" w:color="auto"/>
                      </w:divBdr>
                    </w:div>
                    <w:div w:id="294139652">
                      <w:marLeft w:val="0"/>
                      <w:marRight w:val="0"/>
                      <w:marTop w:val="0"/>
                      <w:marBottom w:val="0"/>
                      <w:divBdr>
                        <w:top w:val="none" w:sz="0" w:space="0" w:color="auto"/>
                        <w:left w:val="none" w:sz="0" w:space="0" w:color="auto"/>
                        <w:bottom w:val="none" w:sz="0" w:space="0" w:color="auto"/>
                        <w:right w:val="none" w:sz="0" w:space="0" w:color="auto"/>
                      </w:divBdr>
                    </w:div>
                    <w:div w:id="294139654">
                      <w:marLeft w:val="0"/>
                      <w:marRight w:val="0"/>
                      <w:marTop w:val="0"/>
                      <w:marBottom w:val="0"/>
                      <w:divBdr>
                        <w:top w:val="none" w:sz="0" w:space="0" w:color="auto"/>
                        <w:left w:val="none" w:sz="0" w:space="0" w:color="auto"/>
                        <w:bottom w:val="none" w:sz="0" w:space="0" w:color="auto"/>
                        <w:right w:val="none" w:sz="0" w:space="0" w:color="auto"/>
                      </w:divBdr>
                    </w:div>
                    <w:div w:id="294139703">
                      <w:marLeft w:val="0"/>
                      <w:marRight w:val="0"/>
                      <w:marTop w:val="0"/>
                      <w:marBottom w:val="0"/>
                      <w:divBdr>
                        <w:top w:val="none" w:sz="0" w:space="0" w:color="auto"/>
                        <w:left w:val="none" w:sz="0" w:space="0" w:color="auto"/>
                        <w:bottom w:val="none" w:sz="0" w:space="0" w:color="auto"/>
                        <w:right w:val="none" w:sz="0" w:space="0" w:color="auto"/>
                      </w:divBdr>
                      <w:divsChild>
                        <w:div w:id="294148200">
                          <w:marLeft w:val="0"/>
                          <w:marRight w:val="0"/>
                          <w:marTop w:val="0"/>
                          <w:marBottom w:val="0"/>
                          <w:divBdr>
                            <w:top w:val="none" w:sz="0" w:space="0" w:color="auto"/>
                            <w:left w:val="none" w:sz="0" w:space="0" w:color="auto"/>
                            <w:bottom w:val="none" w:sz="0" w:space="0" w:color="auto"/>
                            <w:right w:val="none" w:sz="0" w:space="0" w:color="auto"/>
                          </w:divBdr>
                        </w:div>
                      </w:divsChild>
                    </w:div>
                    <w:div w:id="294139722">
                      <w:marLeft w:val="0"/>
                      <w:marRight w:val="0"/>
                      <w:marTop w:val="0"/>
                      <w:marBottom w:val="0"/>
                      <w:divBdr>
                        <w:top w:val="none" w:sz="0" w:space="0" w:color="auto"/>
                        <w:left w:val="none" w:sz="0" w:space="0" w:color="auto"/>
                        <w:bottom w:val="none" w:sz="0" w:space="0" w:color="auto"/>
                        <w:right w:val="none" w:sz="0" w:space="0" w:color="auto"/>
                      </w:divBdr>
                    </w:div>
                    <w:div w:id="294139821">
                      <w:marLeft w:val="0"/>
                      <w:marRight w:val="0"/>
                      <w:marTop w:val="0"/>
                      <w:marBottom w:val="0"/>
                      <w:divBdr>
                        <w:top w:val="none" w:sz="0" w:space="0" w:color="auto"/>
                        <w:left w:val="none" w:sz="0" w:space="0" w:color="auto"/>
                        <w:bottom w:val="none" w:sz="0" w:space="0" w:color="auto"/>
                        <w:right w:val="none" w:sz="0" w:space="0" w:color="auto"/>
                      </w:divBdr>
                    </w:div>
                    <w:div w:id="294139889">
                      <w:marLeft w:val="0"/>
                      <w:marRight w:val="0"/>
                      <w:marTop w:val="0"/>
                      <w:marBottom w:val="0"/>
                      <w:divBdr>
                        <w:top w:val="none" w:sz="0" w:space="0" w:color="auto"/>
                        <w:left w:val="none" w:sz="0" w:space="0" w:color="auto"/>
                        <w:bottom w:val="none" w:sz="0" w:space="0" w:color="auto"/>
                        <w:right w:val="none" w:sz="0" w:space="0" w:color="auto"/>
                      </w:divBdr>
                    </w:div>
                    <w:div w:id="294139903">
                      <w:marLeft w:val="0"/>
                      <w:marRight w:val="0"/>
                      <w:marTop w:val="0"/>
                      <w:marBottom w:val="0"/>
                      <w:divBdr>
                        <w:top w:val="none" w:sz="0" w:space="0" w:color="auto"/>
                        <w:left w:val="none" w:sz="0" w:space="0" w:color="auto"/>
                        <w:bottom w:val="none" w:sz="0" w:space="0" w:color="auto"/>
                        <w:right w:val="none" w:sz="0" w:space="0" w:color="auto"/>
                      </w:divBdr>
                    </w:div>
                    <w:div w:id="294139907">
                      <w:marLeft w:val="0"/>
                      <w:marRight w:val="0"/>
                      <w:marTop w:val="0"/>
                      <w:marBottom w:val="0"/>
                      <w:divBdr>
                        <w:top w:val="none" w:sz="0" w:space="0" w:color="auto"/>
                        <w:left w:val="none" w:sz="0" w:space="0" w:color="auto"/>
                        <w:bottom w:val="none" w:sz="0" w:space="0" w:color="auto"/>
                        <w:right w:val="none" w:sz="0" w:space="0" w:color="auto"/>
                      </w:divBdr>
                    </w:div>
                    <w:div w:id="294139937">
                      <w:marLeft w:val="0"/>
                      <w:marRight w:val="0"/>
                      <w:marTop w:val="0"/>
                      <w:marBottom w:val="0"/>
                      <w:divBdr>
                        <w:top w:val="none" w:sz="0" w:space="0" w:color="auto"/>
                        <w:left w:val="none" w:sz="0" w:space="0" w:color="auto"/>
                        <w:bottom w:val="none" w:sz="0" w:space="0" w:color="auto"/>
                        <w:right w:val="none" w:sz="0" w:space="0" w:color="auto"/>
                      </w:divBdr>
                      <w:divsChild>
                        <w:div w:id="294143042">
                          <w:marLeft w:val="0"/>
                          <w:marRight w:val="0"/>
                          <w:marTop w:val="0"/>
                          <w:marBottom w:val="0"/>
                          <w:divBdr>
                            <w:top w:val="none" w:sz="0" w:space="0" w:color="auto"/>
                            <w:left w:val="none" w:sz="0" w:space="0" w:color="auto"/>
                            <w:bottom w:val="none" w:sz="0" w:space="0" w:color="auto"/>
                            <w:right w:val="none" w:sz="0" w:space="0" w:color="auto"/>
                          </w:divBdr>
                        </w:div>
                      </w:divsChild>
                    </w:div>
                    <w:div w:id="294139951">
                      <w:marLeft w:val="0"/>
                      <w:marRight w:val="0"/>
                      <w:marTop w:val="0"/>
                      <w:marBottom w:val="0"/>
                      <w:divBdr>
                        <w:top w:val="none" w:sz="0" w:space="0" w:color="auto"/>
                        <w:left w:val="none" w:sz="0" w:space="0" w:color="auto"/>
                        <w:bottom w:val="none" w:sz="0" w:space="0" w:color="auto"/>
                        <w:right w:val="none" w:sz="0" w:space="0" w:color="auto"/>
                      </w:divBdr>
                      <w:divsChild>
                        <w:div w:id="294143138">
                          <w:marLeft w:val="0"/>
                          <w:marRight w:val="0"/>
                          <w:marTop w:val="0"/>
                          <w:marBottom w:val="0"/>
                          <w:divBdr>
                            <w:top w:val="none" w:sz="0" w:space="0" w:color="auto"/>
                            <w:left w:val="none" w:sz="0" w:space="0" w:color="auto"/>
                            <w:bottom w:val="none" w:sz="0" w:space="0" w:color="auto"/>
                            <w:right w:val="none" w:sz="0" w:space="0" w:color="auto"/>
                          </w:divBdr>
                        </w:div>
                      </w:divsChild>
                    </w:div>
                    <w:div w:id="294139988">
                      <w:marLeft w:val="0"/>
                      <w:marRight w:val="0"/>
                      <w:marTop w:val="0"/>
                      <w:marBottom w:val="0"/>
                      <w:divBdr>
                        <w:top w:val="none" w:sz="0" w:space="0" w:color="auto"/>
                        <w:left w:val="none" w:sz="0" w:space="0" w:color="auto"/>
                        <w:bottom w:val="none" w:sz="0" w:space="0" w:color="auto"/>
                        <w:right w:val="none" w:sz="0" w:space="0" w:color="auto"/>
                      </w:divBdr>
                    </w:div>
                    <w:div w:id="294140042">
                      <w:marLeft w:val="0"/>
                      <w:marRight w:val="0"/>
                      <w:marTop w:val="0"/>
                      <w:marBottom w:val="0"/>
                      <w:divBdr>
                        <w:top w:val="none" w:sz="0" w:space="0" w:color="auto"/>
                        <w:left w:val="none" w:sz="0" w:space="0" w:color="auto"/>
                        <w:bottom w:val="none" w:sz="0" w:space="0" w:color="auto"/>
                        <w:right w:val="none" w:sz="0" w:space="0" w:color="auto"/>
                      </w:divBdr>
                      <w:divsChild>
                        <w:div w:id="294148724">
                          <w:marLeft w:val="0"/>
                          <w:marRight w:val="0"/>
                          <w:marTop w:val="0"/>
                          <w:marBottom w:val="0"/>
                          <w:divBdr>
                            <w:top w:val="none" w:sz="0" w:space="0" w:color="auto"/>
                            <w:left w:val="none" w:sz="0" w:space="0" w:color="auto"/>
                            <w:bottom w:val="none" w:sz="0" w:space="0" w:color="auto"/>
                            <w:right w:val="none" w:sz="0" w:space="0" w:color="auto"/>
                          </w:divBdr>
                        </w:div>
                      </w:divsChild>
                    </w:div>
                    <w:div w:id="294140097">
                      <w:marLeft w:val="0"/>
                      <w:marRight w:val="0"/>
                      <w:marTop w:val="0"/>
                      <w:marBottom w:val="0"/>
                      <w:divBdr>
                        <w:top w:val="none" w:sz="0" w:space="0" w:color="auto"/>
                        <w:left w:val="none" w:sz="0" w:space="0" w:color="auto"/>
                        <w:bottom w:val="none" w:sz="0" w:space="0" w:color="auto"/>
                        <w:right w:val="none" w:sz="0" w:space="0" w:color="auto"/>
                      </w:divBdr>
                      <w:divsChild>
                        <w:div w:id="294143877">
                          <w:marLeft w:val="0"/>
                          <w:marRight w:val="0"/>
                          <w:marTop w:val="0"/>
                          <w:marBottom w:val="0"/>
                          <w:divBdr>
                            <w:top w:val="none" w:sz="0" w:space="0" w:color="auto"/>
                            <w:left w:val="none" w:sz="0" w:space="0" w:color="auto"/>
                            <w:bottom w:val="none" w:sz="0" w:space="0" w:color="auto"/>
                            <w:right w:val="none" w:sz="0" w:space="0" w:color="auto"/>
                          </w:divBdr>
                        </w:div>
                      </w:divsChild>
                    </w:div>
                    <w:div w:id="294140120">
                      <w:marLeft w:val="0"/>
                      <w:marRight w:val="0"/>
                      <w:marTop w:val="0"/>
                      <w:marBottom w:val="0"/>
                      <w:divBdr>
                        <w:top w:val="none" w:sz="0" w:space="0" w:color="auto"/>
                        <w:left w:val="none" w:sz="0" w:space="0" w:color="auto"/>
                        <w:bottom w:val="none" w:sz="0" w:space="0" w:color="auto"/>
                        <w:right w:val="none" w:sz="0" w:space="0" w:color="auto"/>
                      </w:divBdr>
                    </w:div>
                    <w:div w:id="294140164">
                      <w:marLeft w:val="0"/>
                      <w:marRight w:val="0"/>
                      <w:marTop w:val="0"/>
                      <w:marBottom w:val="0"/>
                      <w:divBdr>
                        <w:top w:val="none" w:sz="0" w:space="0" w:color="auto"/>
                        <w:left w:val="none" w:sz="0" w:space="0" w:color="auto"/>
                        <w:bottom w:val="none" w:sz="0" w:space="0" w:color="auto"/>
                        <w:right w:val="none" w:sz="0" w:space="0" w:color="auto"/>
                      </w:divBdr>
                      <w:divsChild>
                        <w:div w:id="294140400">
                          <w:marLeft w:val="0"/>
                          <w:marRight w:val="0"/>
                          <w:marTop w:val="0"/>
                          <w:marBottom w:val="0"/>
                          <w:divBdr>
                            <w:top w:val="none" w:sz="0" w:space="0" w:color="auto"/>
                            <w:left w:val="none" w:sz="0" w:space="0" w:color="auto"/>
                            <w:bottom w:val="none" w:sz="0" w:space="0" w:color="auto"/>
                            <w:right w:val="none" w:sz="0" w:space="0" w:color="auto"/>
                          </w:divBdr>
                        </w:div>
                      </w:divsChild>
                    </w:div>
                    <w:div w:id="294140195">
                      <w:marLeft w:val="0"/>
                      <w:marRight w:val="0"/>
                      <w:marTop w:val="0"/>
                      <w:marBottom w:val="0"/>
                      <w:divBdr>
                        <w:top w:val="none" w:sz="0" w:space="0" w:color="auto"/>
                        <w:left w:val="none" w:sz="0" w:space="0" w:color="auto"/>
                        <w:bottom w:val="none" w:sz="0" w:space="0" w:color="auto"/>
                        <w:right w:val="none" w:sz="0" w:space="0" w:color="auto"/>
                      </w:divBdr>
                      <w:divsChild>
                        <w:div w:id="294139457">
                          <w:marLeft w:val="0"/>
                          <w:marRight w:val="0"/>
                          <w:marTop w:val="0"/>
                          <w:marBottom w:val="0"/>
                          <w:divBdr>
                            <w:top w:val="none" w:sz="0" w:space="0" w:color="auto"/>
                            <w:left w:val="none" w:sz="0" w:space="0" w:color="auto"/>
                            <w:bottom w:val="none" w:sz="0" w:space="0" w:color="auto"/>
                            <w:right w:val="none" w:sz="0" w:space="0" w:color="auto"/>
                          </w:divBdr>
                        </w:div>
                      </w:divsChild>
                    </w:div>
                    <w:div w:id="294140257">
                      <w:marLeft w:val="0"/>
                      <w:marRight w:val="0"/>
                      <w:marTop w:val="0"/>
                      <w:marBottom w:val="0"/>
                      <w:divBdr>
                        <w:top w:val="none" w:sz="0" w:space="0" w:color="auto"/>
                        <w:left w:val="none" w:sz="0" w:space="0" w:color="auto"/>
                        <w:bottom w:val="none" w:sz="0" w:space="0" w:color="auto"/>
                        <w:right w:val="none" w:sz="0" w:space="0" w:color="auto"/>
                      </w:divBdr>
                      <w:divsChild>
                        <w:div w:id="294148694">
                          <w:marLeft w:val="0"/>
                          <w:marRight w:val="0"/>
                          <w:marTop w:val="0"/>
                          <w:marBottom w:val="0"/>
                          <w:divBdr>
                            <w:top w:val="none" w:sz="0" w:space="0" w:color="auto"/>
                            <w:left w:val="none" w:sz="0" w:space="0" w:color="auto"/>
                            <w:bottom w:val="none" w:sz="0" w:space="0" w:color="auto"/>
                            <w:right w:val="none" w:sz="0" w:space="0" w:color="auto"/>
                          </w:divBdr>
                        </w:div>
                      </w:divsChild>
                    </w:div>
                    <w:div w:id="294140277">
                      <w:marLeft w:val="0"/>
                      <w:marRight w:val="0"/>
                      <w:marTop w:val="0"/>
                      <w:marBottom w:val="0"/>
                      <w:divBdr>
                        <w:top w:val="none" w:sz="0" w:space="0" w:color="auto"/>
                        <w:left w:val="none" w:sz="0" w:space="0" w:color="auto"/>
                        <w:bottom w:val="none" w:sz="0" w:space="0" w:color="auto"/>
                        <w:right w:val="none" w:sz="0" w:space="0" w:color="auto"/>
                      </w:divBdr>
                      <w:divsChild>
                        <w:div w:id="294141795">
                          <w:marLeft w:val="0"/>
                          <w:marRight w:val="0"/>
                          <w:marTop w:val="0"/>
                          <w:marBottom w:val="0"/>
                          <w:divBdr>
                            <w:top w:val="none" w:sz="0" w:space="0" w:color="auto"/>
                            <w:left w:val="none" w:sz="0" w:space="0" w:color="auto"/>
                            <w:bottom w:val="none" w:sz="0" w:space="0" w:color="auto"/>
                            <w:right w:val="none" w:sz="0" w:space="0" w:color="auto"/>
                          </w:divBdr>
                        </w:div>
                      </w:divsChild>
                    </w:div>
                    <w:div w:id="294140286">
                      <w:marLeft w:val="0"/>
                      <w:marRight w:val="0"/>
                      <w:marTop w:val="0"/>
                      <w:marBottom w:val="0"/>
                      <w:divBdr>
                        <w:top w:val="none" w:sz="0" w:space="0" w:color="auto"/>
                        <w:left w:val="none" w:sz="0" w:space="0" w:color="auto"/>
                        <w:bottom w:val="none" w:sz="0" w:space="0" w:color="auto"/>
                        <w:right w:val="none" w:sz="0" w:space="0" w:color="auto"/>
                      </w:divBdr>
                      <w:divsChild>
                        <w:div w:id="294140363">
                          <w:marLeft w:val="0"/>
                          <w:marRight w:val="0"/>
                          <w:marTop w:val="0"/>
                          <w:marBottom w:val="0"/>
                          <w:divBdr>
                            <w:top w:val="none" w:sz="0" w:space="0" w:color="auto"/>
                            <w:left w:val="none" w:sz="0" w:space="0" w:color="auto"/>
                            <w:bottom w:val="none" w:sz="0" w:space="0" w:color="auto"/>
                            <w:right w:val="none" w:sz="0" w:space="0" w:color="auto"/>
                          </w:divBdr>
                        </w:div>
                      </w:divsChild>
                    </w:div>
                    <w:div w:id="294140417">
                      <w:marLeft w:val="0"/>
                      <w:marRight w:val="0"/>
                      <w:marTop w:val="0"/>
                      <w:marBottom w:val="0"/>
                      <w:divBdr>
                        <w:top w:val="none" w:sz="0" w:space="0" w:color="auto"/>
                        <w:left w:val="none" w:sz="0" w:space="0" w:color="auto"/>
                        <w:bottom w:val="none" w:sz="0" w:space="0" w:color="auto"/>
                        <w:right w:val="none" w:sz="0" w:space="0" w:color="auto"/>
                      </w:divBdr>
                      <w:divsChild>
                        <w:div w:id="294151311">
                          <w:marLeft w:val="0"/>
                          <w:marRight w:val="0"/>
                          <w:marTop w:val="0"/>
                          <w:marBottom w:val="0"/>
                          <w:divBdr>
                            <w:top w:val="none" w:sz="0" w:space="0" w:color="auto"/>
                            <w:left w:val="none" w:sz="0" w:space="0" w:color="auto"/>
                            <w:bottom w:val="none" w:sz="0" w:space="0" w:color="auto"/>
                            <w:right w:val="none" w:sz="0" w:space="0" w:color="auto"/>
                          </w:divBdr>
                        </w:div>
                      </w:divsChild>
                    </w:div>
                    <w:div w:id="294140445">
                      <w:marLeft w:val="0"/>
                      <w:marRight w:val="0"/>
                      <w:marTop w:val="0"/>
                      <w:marBottom w:val="0"/>
                      <w:divBdr>
                        <w:top w:val="none" w:sz="0" w:space="0" w:color="auto"/>
                        <w:left w:val="none" w:sz="0" w:space="0" w:color="auto"/>
                        <w:bottom w:val="none" w:sz="0" w:space="0" w:color="auto"/>
                        <w:right w:val="none" w:sz="0" w:space="0" w:color="auto"/>
                      </w:divBdr>
                      <w:divsChild>
                        <w:div w:id="294155219">
                          <w:marLeft w:val="0"/>
                          <w:marRight w:val="0"/>
                          <w:marTop w:val="0"/>
                          <w:marBottom w:val="0"/>
                          <w:divBdr>
                            <w:top w:val="none" w:sz="0" w:space="0" w:color="auto"/>
                            <w:left w:val="none" w:sz="0" w:space="0" w:color="auto"/>
                            <w:bottom w:val="none" w:sz="0" w:space="0" w:color="auto"/>
                            <w:right w:val="none" w:sz="0" w:space="0" w:color="auto"/>
                          </w:divBdr>
                        </w:div>
                      </w:divsChild>
                    </w:div>
                    <w:div w:id="294140468">
                      <w:marLeft w:val="0"/>
                      <w:marRight w:val="0"/>
                      <w:marTop w:val="0"/>
                      <w:marBottom w:val="0"/>
                      <w:divBdr>
                        <w:top w:val="none" w:sz="0" w:space="0" w:color="auto"/>
                        <w:left w:val="none" w:sz="0" w:space="0" w:color="auto"/>
                        <w:bottom w:val="none" w:sz="0" w:space="0" w:color="auto"/>
                        <w:right w:val="none" w:sz="0" w:space="0" w:color="auto"/>
                      </w:divBdr>
                      <w:divsChild>
                        <w:div w:id="294149367">
                          <w:marLeft w:val="0"/>
                          <w:marRight w:val="0"/>
                          <w:marTop w:val="0"/>
                          <w:marBottom w:val="0"/>
                          <w:divBdr>
                            <w:top w:val="none" w:sz="0" w:space="0" w:color="auto"/>
                            <w:left w:val="none" w:sz="0" w:space="0" w:color="auto"/>
                            <w:bottom w:val="none" w:sz="0" w:space="0" w:color="auto"/>
                            <w:right w:val="none" w:sz="0" w:space="0" w:color="auto"/>
                          </w:divBdr>
                        </w:div>
                      </w:divsChild>
                    </w:div>
                    <w:div w:id="294140484">
                      <w:marLeft w:val="0"/>
                      <w:marRight w:val="0"/>
                      <w:marTop w:val="0"/>
                      <w:marBottom w:val="0"/>
                      <w:divBdr>
                        <w:top w:val="none" w:sz="0" w:space="0" w:color="auto"/>
                        <w:left w:val="none" w:sz="0" w:space="0" w:color="auto"/>
                        <w:bottom w:val="none" w:sz="0" w:space="0" w:color="auto"/>
                        <w:right w:val="none" w:sz="0" w:space="0" w:color="auto"/>
                      </w:divBdr>
                    </w:div>
                    <w:div w:id="294140530">
                      <w:marLeft w:val="0"/>
                      <w:marRight w:val="0"/>
                      <w:marTop w:val="0"/>
                      <w:marBottom w:val="0"/>
                      <w:divBdr>
                        <w:top w:val="none" w:sz="0" w:space="0" w:color="auto"/>
                        <w:left w:val="none" w:sz="0" w:space="0" w:color="auto"/>
                        <w:bottom w:val="none" w:sz="0" w:space="0" w:color="auto"/>
                        <w:right w:val="none" w:sz="0" w:space="0" w:color="auto"/>
                      </w:divBdr>
                    </w:div>
                    <w:div w:id="294140531">
                      <w:marLeft w:val="0"/>
                      <w:marRight w:val="0"/>
                      <w:marTop w:val="0"/>
                      <w:marBottom w:val="0"/>
                      <w:divBdr>
                        <w:top w:val="none" w:sz="0" w:space="0" w:color="auto"/>
                        <w:left w:val="none" w:sz="0" w:space="0" w:color="auto"/>
                        <w:bottom w:val="none" w:sz="0" w:space="0" w:color="auto"/>
                        <w:right w:val="none" w:sz="0" w:space="0" w:color="auto"/>
                      </w:divBdr>
                      <w:divsChild>
                        <w:div w:id="294144485">
                          <w:marLeft w:val="0"/>
                          <w:marRight w:val="0"/>
                          <w:marTop w:val="0"/>
                          <w:marBottom w:val="0"/>
                          <w:divBdr>
                            <w:top w:val="none" w:sz="0" w:space="0" w:color="auto"/>
                            <w:left w:val="none" w:sz="0" w:space="0" w:color="auto"/>
                            <w:bottom w:val="none" w:sz="0" w:space="0" w:color="auto"/>
                            <w:right w:val="none" w:sz="0" w:space="0" w:color="auto"/>
                          </w:divBdr>
                        </w:div>
                      </w:divsChild>
                    </w:div>
                    <w:div w:id="294140615">
                      <w:marLeft w:val="0"/>
                      <w:marRight w:val="0"/>
                      <w:marTop w:val="0"/>
                      <w:marBottom w:val="0"/>
                      <w:divBdr>
                        <w:top w:val="none" w:sz="0" w:space="0" w:color="auto"/>
                        <w:left w:val="none" w:sz="0" w:space="0" w:color="auto"/>
                        <w:bottom w:val="none" w:sz="0" w:space="0" w:color="auto"/>
                        <w:right w:val="none" w:sz="0" w:space="0" w:color="auto"/>
                      </w:divBdr>
                    </w:div>
                    <w:div w:id="294140625">
                      <w:marLeft w:val="0"/>
                      <w:marRight w:val="0"/>
                      <w:marTop w:val="0"/>
                      <w:marBottom w:val="0"/>
                      <w:divBdr>
                        <w:top w:val="none" w:sz="0" w:space="0" w:color="auto"/>
                        <w:left w:val="none" w:sz="0" w:space="0" w:color="auto"/>
                        <w:bottom w:val="none" w:sz="0" w:space="0" w:color="auto"/>
                        <w:right w:val="none" w:sz="0" w:space="0" w:color="auto"/>
                      </w:divBdr>
                    </w:div>
                    <w:div w:id="294140657">
                      <w:marLeft w:val="0"/>
                      <w:marRight w:val="0"/>
                      <w:marTop w:val="0"/>
                      <w:marBottom w:val="0"/>
                      <w:divBdr>
                        <w:top w:val="none" w:sz="0" w:space="0" w:color="auto"/>
                        <w:left w:val="none" w:sz="0" w:space="0" w:color="auto"/>
                        <w:bottom w:val="none" w:sz="0" w:space="0" w:color="auto"/>
                        <w:right w:val="none" w:sz="0" w:space="0" w:color="auto"/>
                      </w:divBdr>
                      <w:divsChild>
                        <w:div w:id="294154288">
                          <w:marLeft w:val="0"/>
                          <w:marRight w:val="0"/>
                          <w:marTop w:val="0"/>
                          <w:marBottom w:val="0"/>
                          <w:divBdr>
                            <w:top w:val="none" w:sz="0" w:space="0" w:color="auto"/>
                            <w:left w:val="none" w:sz="0" w:space="0" w:color="auto"/>
                            <w:bottom w:val="none" w:sz="0" w:space="0" w:color="auto"/>
                            <w:right w:val="none" w:sz="0" w:space="0" w:color="auto"/>
                          </w:divBdr>
                        </w:div>
                      </w:divsChild>
                    </w:div>
                    <w:div w:id="294140669">
                      <w:marLeft w:val="0"/>
                      <w:marRight w:val="0"/>
                      <w:marTop w:val="0"/>
                      <w:marBottom w:val="0"/>
                      <w:divBdr>
                        <w:top w:val="none" w:sz="0" w:space="0" w:color="auto"/>
                        <w:left w:val="none" w:sz="0" w:space="0" w:color="auto"/>
                        <w:bottom w:val="none" w:sz="0" w:space="0" w:color="auto"/>
                        <w:right w:val="none" w:sz="0" w:space="0" w:color="auto"/>
                      </w:divBdr>
                      <w:divsChild>
                        <w:div w:id="294154026">
                          <w:marLeft w:val="0"/>
                          <w:marRight w:val="0"/>
                          <w:marTop w:val="0"/>
                          <w:marBottom w:val="0"/>
                          <w:divBdr>
                            <w:top w:val="none" w:sz="0" w:space="0" w:color="auto"/>
                            <w:left w:val="none" w:sz="0" w:space="0" w:color="auto"/>
                            <w:bottom w:val="none" w:sz="0" w:space="0" w:color="auto"/>
                            <w:right w:val="none" w:sz="0" w:space="0" w:color="auto"/>
                          </w:divBdr>
                        </w:div>
                      </w:divsChild>
                    </w:div>
                    <w:div w:id="294140672">
                      <w:marLeft w:val="0"/>
                      <w:marRight w:val="0"/>
                      <w:marTop w:val="0"/>
                      <w:marBottom w:val="0"/>
                      <w:divBdr>
                        <w:top w:val="none" w:sz="0" w:space="0" w:color="auto"/>
                        <w:left w:val="none" w:sz="0" w:space="0" w:color="auto"/>
                        <w:bottom w:val="none" w:sz="0" w:space="0" w:color="auto"/>
                        <w:right w:val="none" w:sz="0" w:space="0" w:color="auto"/>
                      </w:divBdr>
                    </w:div>
                    <w:div w:id="294140684">
                      <w:marLeft w:val="0"/>
                      <w:marRight w:val="0"/>
                      <w:marTop w:val="0"/>
                      <w:marBottom w:val="0"/>
                      <w:divBdr>
                        <w:top w:val="none" w:sz="0" w:space="0" w:color="auto"/>
                        <w:left w:val="none" w:sz="0" w:space="0" w:color="auto"/>
                        <w:bottom w:val="none" w:sz="0" w:space="0" w:color="auto"/>
                        <w:right w:val="none" w:sz="0" w:space="0" w:color="auto"/>
                      </w:divBdr>
                      <w:divsChild>
                        <w:div w:id="294153093">
                          <w:marLeft w:val="0"/>
                          <w:marRight w:val="0"/>
                          <w:marTop w:val="0"/>
                          <w:marBottom w:val="0"/>
                          <w:divBdr>
                            <w:top w:val="none" w:sz="0" w:space="0" w:color="auto"/>
                            <w:left w:val="none" w:sz="0" w:space="0" w:color="auto"/>
                            <w:bottom w:val="none" w:sz="0" w:space="0" w:color="auto"/>
                            <w:right w:val="none" w:sz="0" w:space="0" w:color="auto"/>
                          </w:divBdr>
                        </w:div>
                      </w:divsChild>
                    </w:div>
                    <w:div w:id="294140753">
                      <w:marLeft w:val="0"/>
                      <w:marRight w:val="0"/>
                      <w:marTop w:val="0"/>
                      <w:marBottom w:val="0"/>
                      <w:divBdr>
                        <w:top w:val="none" w:sz="0" w:space="0" w:color="auto"/>
                        <w:left w:val="none" w:sz="0" w:space="0" w:color="auto"/>
                        <w:bottom w:val="none" w:sz="0" w:space="0" w:color="auto"/>
                        <w:right w:val="none" w:sz="0" w:space="0" w:color="auto"/>
                      </w:divBdr>
                    </w:div>
                    <w:div w:id="294140881">
                      <w:marLeft w:val="0"/>
                      <w:marRight w:val="0"/>
                      <w:marTop w:val="0"/>
                      <w:marBottom w:val="0"/>
                      <w:divBdr>
                        <w:top w:val="none" w:sz="0" w:space="0" w:color="auto"/>
                        <w:left w:val="none" w:sz="0" w:space="0" w:color="auto"/>
                        <w:bottom w:val="none" w:sz="0" w:space="0" w:color="auto"/>
                        <w:right w:val="none" w:sz="0" w:space="0" w:color="auto"/>
                      </w:divBdr>
                      <w:divsChild>
                        <w:div w:id="294155650">
                          <w:marLeft w:val="0"/>
                          <w:marRight w:val="0"/>
                          <w:marTop w:val="0"/>
                          <w:marBottom w:val="0"/>
                          <w:divBdr>
                            <w:top w:val="none" w:sz="0" w:space="0" w:color="auto"/>
                            <w:left w:val="none" w:sz="0" w:space="0" w:color="auto"/>
                            <w:bottom w:val="none" w:sz="0" w:space="0" w:color="auto"/>
                            <w:right w:val="none" w:sz="0" w:space="0" w:color="auto"/>
                          </w:divBdr>
                        </w:div>
                      </w:divsChild>
                    </w:div>
                    <w:div w:id="294140885">
                      <w:marLeft w:val="0"/>
                      <w:marRight w:val="0"/>
                      <w:marTop w:val="0"/>
                      <w:marBottom w:val="0"/>
                      <w:divBdr>
                        <w:top w:val="none" w:sz="0" w:space="0" w:color="auto"/>
                        <w:left w:val="none" w:sz="0" w:space="0" w:color="auto"/>
                        <w:bottom w:val="none" w:sz="0" w:space="0" w:color="auto"/>
                        <w:right w:val="none" w:sz="0" w:space="0" w:color="auto"/>
                      </w:divBdr>
                    </w:div>
                    <w:div w:id="294140919">
                      <w:marLeft w:val="0"/>
                      <w:marRight w:val="0"/>
                      <w:marTop w:val="0"/>
                      <w:marBottom w:val="0"/>
                      <w:divBdr>
                        <w:top w:val="none" w:sz="0" w:space="0" w:color="auto"/>
                        <w:left w:val="none" w:sz="0" w:space="0" w:color="auto"/>
                        <w:bottom w:val="none" w:sz="0" w:space="0" w:color="auto"/>
                        <w:right w:val="none" w:sz="0" w:space="0" w:color="auto"/>
                      </w:divBdr>
                    </w:div>
                    <w:div w:id="294140920">
                      <w:marLeft w:val="0"/>
                      <w:marRight w:val="0"/>
                      <w:marTop w:val="0"/>
                      <w:marBottom w:val="0"/>
                      <w:divBdr>
                        <w:top w:val="none" w:sz="0" w:space="0" w:color="auto"/>
                        <w:left w:val="none" w:sz="0" w:space="0" w:color="auto"/>
                        <w:bottom w:val="none" w:sz="0" w:space="0" w:color="auto"/>
                        <w:right w:val="none" w:sz="0" w:space="0" w:color="auto"/>
                      </w:divBdr>
                    </w:div>
                    <w:div w:id="294140948">
                      <w:marLeft w:val="0"/>
                      <w:marRight w:val="0"/>
                      <w:marTop w:val="0"/>
                      <w:marBottom w:val="0"/>
                      <w:divBdr>
                        <w:top w:val="none" w:sz="0" w:space="0" w:color="auto"/>
                        <w:left w:val="none" w:sz="0" w:space="0" w:color="auto"/>
                        <w:bottom w:val="none" w:sz="0" w:space="0" w:color="auto"/>
                        <w:right w:val="none" w:sz="0" w:space="0" w:color="auto"/>
                      </w:divBdr>
                    </w:div>
                    <w:div w:id="294141078">
                      <w:marLeft w:val="0"/>
                      <w:marRight w:val="0"/>
                      <w:marTop w:val="0"/>
                      <w:marBottom w:val="0"/>
                      <w:divBdr>
                        <w:top w:val="none" w:sz="0" w:space="0" w:color="auto"/>
                        <w:left w:val="none" w:sz="0" w:space="0" w:color="auto"/>
                        <w:bottom w:val="none" w:sz="0" w:space="0" w:color="auto"/>
                        <w:right w:val="none" w:sz="0" w:space="0" w:color="auto"/>
                      </w:divBdr>
                      <w:divsChild>
                        <w:div w:id="294139896">
                          <w:marLeft w:val="0"/>
                          <w:marRight w:val="0"/>
                          <w:marTop w:val="0"/>
                          <w:marBottom w:val="0"/>
                          <w:divBdr>
                            <w:top w:val="none" w:sz="0" w:space="0" w:color="auto"/>
                            <w:left w:val="none" w:sz="0" w:space="0" w:color="auto"/>
                            <w:bottom w:val="none" w:sz="0" w:space="0" w:color="auto"/>
                            <w:right w:val="none" w:sz="0" w:space="0" w:color="auto"/>
                          </w:divBdr>
                        </w:div>
                      </w:divsChild>
                    </w:div>
                    <w:div w:id="294141103">
                      <w:marLeft w:val="0"/>
                      <w:marRight w:val="0"/>
                      <w:marTop w:val="0"/>
                      <w:marBottom w:val="0"/>
                      <w:divBdr>
                        <w:top w:val="none" w:sz="0" w:space="0" w:color="auto"/>
                        <w:left w:val="none" w:sz="0" w:space="0" w:color="auto"/>
                        <w:bottom w:val="none" w:sz="0" w:space="0" w:color="auto"/>
                        <w:right w:val="none" w:sz="0" w:space="0" w:color="auto"/>
                      </w:divBdr>
                    </w:div>
                    <w:div w:id="294141113">
                      <w:marLeft w:val="0"/>
                      <w:marRight w:val="0"/>
                      <w:marTop w:val="0"/>
                      <w:marBottom w:val="0"/>
                      <w:divBdr>
                        <w:top w:val="none" w:sz="0" w:space="0" w:color="auto"/>
                        <w:left w:val="none" w:sz="0" w:space="0" w:color="auto"/>
                        <w:bottom w:val="none" w:sz="0" w:space="0" w:color="auto"/>
                        <w:right w:val="none" w:sz="0" w:space="0" w:color="auto"/>
                      </w:divBdr>
                    </w:div>
                    <w:div w:id="294141233">
                      <w:marLeft w:val="0"/>
                      <w:marRight w:val="0"/>
                      <w:marTop w:val="0"/>
                      <w:marBottom w:val="0"/>
                      <w:divBdr>
                        <w:top w:val="none" w:sz="0" w:space="0" w:color="auto"/>
                        <w:left w:val="none" w:sz="0" w:space="0" w:color="auto"/>
                        <w:bottom w:val="none" w:sz="0" w:space="0" w:color="auto"/>
                        <w:right w:val="none" w:sz="0" w:space="0" w:color="auto"/>
                      </w:divBdr>
                    </w:div>
                    <w:div w:id="294141244">
                      <w:marLeft w:val="0"/>
                      <w:marRight w:val="0"/>
                      <w:marTop w:val="0"/>
                      <w:marBottom w:val="0"/>
                      <w:divBdr>
                        <w:top w:val="none" w:sz="0" w:space="0" w:color="auto"/>
                        <w:left w:val="none" w:sz="0" w:space="0" w:color="auto"/>
                        <w:bottom w:val="none" w:sz="0" w:space="0" w:color="auto"/>
                        <w:right w:val="none" w:sz="0" w:space="0" w:color="auto"/>
                      </w:divBdr>
                      <w:divsChild>
                        <w:div w:id="294139979">
                          <w:marLeft w:val="0"/>
                          <w:marRight w:val="0"/>
                          <w:marTop w:val="0"/>
                          <w:marBottom w:val="0"/>
                          <w:divBdr>
                            <w:top w:val="none" w:sz="0" w:space="0" w:color="auto"/>
                            <w:left w:val="none" w:sz="0" w:space="0" w:color="auto"/>
                            <w:bottom w:val="none" w:sz="0" w:space="0" w:color="auto"/>
                            <w:right w:val="none" w:sz="0" w:space="0" w:color="auto"/>
                          </w:divBdr>
                        </w:div>
                      </w:divsChild>
                    </w:div>
                    <w:div w:id="294141291">
                      <w:marLeft w:val="0"/>
                      <w:marRight w:val="0"/>
                      <w:marTop w:val="0"/>
                      <w:marBottom w:val="0"/>
                      <w:divBdr>
                        <w:top w:val="none" w:sz="0" w:space="0" w:color="auto"/>
                        <w:left w:val="none" w:sz="0" w:space="0" w:color="auto"/>
                        <w:bottom w:val="none" w:sz="0" w:space="0" w:color="auto"/>
                        <w:right w:val="none" w:sz="0" w:space="0" w:color="auto"/>
                      </w:divBdr>
                    </w:div>
                    <w:div w:id="294141344">
                      <w:marLeft w:val="0"/>
                      <w:marRight w:val="0"/>
                      <w:marTop w:val="0"/>
                      <w:marBottom w:val="0"/>
                      <w:divBdr>
                        <w:top w:val="none" w:sz="0" w:space="0" w:color="auto"/>
                        <w:left w:val="none" w:sz="0" w:space="0" w:color="auto"/>
                        <w:bottom w:val="none" w:sz="0" w:space="0" w:color="auto"/>
                        <w:right w:val="none" w:sz="0" w:space="0" w:color="auto"/>
                      </w:divBdr>
                    </w:div>
                    <w:div w:id="294141363">
                      <w:marLeft w:val="0"/>
                      <w:marRight w:val="0"/>
                      <w:marTop w:val="0"/>
                      <w:marBottom w:val="0"/>
                      <w:divBdr>
                        <w:top w:val="none" w:sz="0" w:space="0" w:color="auto"/>
                        <w:left w:val="none" w:sz="0" w:space="0" w:color="auto"/>
                        <w:bottom w:val="none" w:sz="0" w:space="0" w:color="auto"/>
                        <w:right w:val="none" w:sz="0" w:space="0" w:color="auto"/>
                      </w:divBdr>
                    </w:div>
                    <w:div w:id="294141458">
                      <w:marLeft w:val="0"/>
                      <w:marRight w:val="0"/>
                      <w:marTop w:val="0"/>
                      <w:marBottom w:val="0"/>
                      <w:divBdr>
                        <w:top w:val="none" w:sz="0" w:space="0" w:color="auto"/>
                        <w:left w:val="none" w:sz="0" w:space="0" w:color="auto"/>
                        <w:bottom w:val="none" w:sz="0" w:space="0" w:color="auto"/>
                        <w:right w:val="none" w:sz="0" w:space="0" w:color="auto"/>
                      </w:divBdr>
                    </w:div>
                    <w:div w:id="294141490">
                      <w:marLeft w:val="0"/>
                      <w:marRight w:val="0"/>
                      <w:marTop w:val="0"/>
                      <w:marBottom w:val="0"/>
                      <w:divBdr>
                        <w:top w:val="none" w:sz="0" w:space="0" w:color="auto"/>
                        <w:left w:val="none" w:sz="0" w:space="0" w:color="auto"/>
                        <w:bottom w:val="none" w:sz="0" w:space="0" w:color="auto"/>
                        <w:right w:val="none" w:sz="0" w:space="0" w:color="auto"/>
                      </w:divBdr>
                      <w:divsChild>
                        <w:div w:id="294141090">
                          <w:marLeft w:val="0"/>
                          <w:marRight w:val="0"/>
                          <w:marTop w:val="0"/>
                          <w:marBottom w:val="0"/>
                          <w:divBdr>
                            <w:top w:val="none" w:sz="0" w:space="0" w:color="auto"/>
                            <w:left w:val="none" w:sz="0" w:space="0" w:color="auto"/>
                            <w:bottom w:val="none" w:sz="0" w:space="0" w:color="auto"/>
                            <w:right w:val="none" w:sz="0" w:space="0" w:color="auto"/>
                          </w:divBdr>
                        </w:div>
                      </w:divsChild>
                    </w:div>
                    <w:div w:id="294141508">
                      <w:marLeft w:val="0"/>
                      <w:marRight w:val="0"/>
                      <w:marTop w:val="0"/>
                      <w:marBottom w:val="0"/>
                      <w:divBdr>
                        <w:top w:val="none" w:sz="0" w:space="0" w:color="auto"/>
                        <w:left w:val="none" w:sz="0" w:space="0" w:color="auto"/>
                        <w:bottom w:val="none" w:sz="0" w:space="0" w:color="auto"/>
                        <w:right w:val="none" w:sz="0" w:space="0" w:color="auto"/>
                      </w:divBdr>
                    </w:div>
                    <w:div w:id="294141593">
                      <w:marLeft w:val="0"/>
                      <w:marRight w:val="0"/>
                      <w:marTop w:val="0"/>
                      <w:marBottom w:val="0"/>
                      <w:divBdr>
                        <w:top w:val="none" w:sz="0" w:space="0" w:color="auto"/>
                        <w:left w:val="none" w:sz="0" w:space="0" w:color="auto"/>
                        <w:bottom w:val="none" w:sz="0" w:space="0" w:color="auto"/>
                        <w:right w:val="none" w:sz="0" w:space="0" w:color="auto"/>
                      </w:divBdr>
                      <w:divsChild>
                        <w:div w:id="294139786">
                          <w:marLeft w:val="0"/>
                          <w:marRight w:val="0"/>
                          <w:marTop w:val="0"/>
                          <w:marBottom w:val="0"/>
                          <w:divBdr>
                            <w:top w:val="none" w:sz="0" w:space="0" w:color="auto"/>
                            <w:left w:val="none" w:sz="0" w:space="0" w:color="auto"/>
                            <w:bottom w:val="none" w:sz="0" w:space="0" w:color="auto"/>
                            <w:right w:val="none" w:sz="0" w:space="0" w:color="auto"/>
                          </w:divBdr>
                        </w:div>
                      </w:divsChild>
                    </w:div>
                    <w:div w:id="294141650">
                      <w:marLeft w:val="0"/>
                      <w:marRight w:val="0"/>
                      <w:marTop w:val="0"/>
                      <w:marBottom w:val="0"/>
                      <w:divBdr>
                        <w:top w:val="none" w:sz="0" w:space="0" w:color="auto"/>
                        <w:left w:val="none" w:sz="0" w:space="0" w:color="auto"/>
                        <w:bottom w:val="none" w:sz="0" w:space="0" w:color="auto"/>
                        <w:right w:val="none" w:sz="0" w:space="0" w:color="auto"/>
                      </w:divBdr>
                      <w:divsChild>
                        <w:div w:id="294156721">
                          <w:marLeft w:val="0"/>
                          <w:marRight w:val="0"/>
                          <w:marTop w:val="0"/>
                          <w:marBottom w:val="0"/>
                          <w:divBdr>
                            <w:top w:val="none" w:sz="0" w:space="0" w:color="auto"/>
                            <w:left w:val="none" w:sz="0" w:space="0" w:color="auto"/>
                            <w:bottom w:val="none" w:sz="0" w:space="0" w:color="auto"/>
                            <w:right w:val="none" w:sz="0" w:space="0" w:color="auto"/>
                          </w:divBdr>
                        </w:div>
                      </w:divsChild>
                    </w:div>
                    <w:div w:id="294141734">
                      <w:marLeft w:val="0"/>
                      <w:marRight w:val="0"/>
                      <w:marTop w:val="0"/>
                      <w:marBottom w:val="0"/>
                      <w:divBdr>
                        <w:top w:val="none" w:sz="0" w:space="0" w:color="auto"/>
                        <w:left w:val="none" w:sz="0" w:space="0" w:color="auto"/>
                        <w:bottom w:val="none" w:sz="0" w:space="0" w:color="auto"/>
                        <w:right w:val="none" w:sz="0" w:space="0" w:color="auto"/>
                      </w:divBdr>
                    </w:div>
                    <w:div w:id="294141735">
                      <w:marLeft w:val="0"/>
                      <w:marRight w:val="0"/>
                      <w:marTop w:val="0"/>
                      <w:marBottom w:val="0"/>
                      <w:divBdr>
                        <w:top w:val="none" w:sz="0" w:space="0" w:color="auto"/>
                        <w:left w:val="none" w:sz="0" w:space="0" w:color="auto"/>
                        <w:bottom w:val="none" w:sz="0" w:space="0" w:color="auto"/>
                        <w:right w:val="none" w:sz="0" w:space="0" w:color="auto"/>
                      </w:divBdr>
                      <w:divsChild>
                        <w:div w:id="294151391">
                          <w:marLeft w:val="0"/>
                          <w:marRight w:val="0"/>
                          <w:marTop w:val="0"/>
                          <w:marBottom w:val="0"/>
                          <w:divBdr>
                            <w:top w:val="none" w:sz="0" w:space="0" w:color="auto"/>
                            <w:left w:val="none" w:sz="0" w:space="0" w:color="auto"/>
                            <w:bottom w:val="none" w:sz="0" w:space="0" w:color="auto"/>
                            <w:right w:val="none" w:sz="0" w:space="0" w:color="auto"/>
                          </w:divBdr>
                        </w:div>
                      </w:divsChild>
                    </w:div>
                    <w:div w:id="294141743">
                      <w:marLeft w:val="0"/>
                      <w:marRight w:val="0"/>
                      <w:marTop w:val="0"/>
                      <w:marBottom w:val="0"/>
                      <w:divBdr>
                        <w:top w:val="none" w:sz="0" w:space="0" w:color="auto"/>
                        <w:left w:val="none" w:sz="0" w:space="0" w:color="auto"/>
                        <w:bottom w:val="none" w:sz="0" w:space="0" w:color="auto"/>
                        <w:right w:val="none" w:sz="0" w:space="0" w:color="auto"/>
                      </w:divBdr>
                    </w:div>
                    <w:div w:id="294141757">
                      <w:marLeft w:val="0"/>
                      <w:marRight w:val="0"/>
                      <w:marTop w:val="0"/>
                      <w:marBottom w:val="0"/>
                      <w:divBdr>
                        <w:top w:val="none" w:sz="0" w:space="0" w:color="auto"/>
                        <w:left w:val="none" w:sz="0" w:space="0" w:color="auto"/>
                        <w:bottom w:val="none" w:sz="0" w:space="0" w:color="auto"/>
                        <w:right w:val="none" w:sz="0" w:space="0" w:color="auto"/>
                      </w:divBdr>
                    </w:div>
                    <w:div w:id="294141789">
                      <w:marLeft w:val="0"/>
                      <w:marRight w:val="0"/>
                      <w:marTop w:val="0"/>
                      <w:marBottom w:val="0"/>
                      <w:divBdr>
                        <w:top w:val="none" w:sz="0" w:space="0" w:color="auto"/>
                        <w:left w:val="none" w:sz="0" w:space="0" w:color="auto"/>
                        <w:bottom w:val="none" w:sz="0" w:space="0" w:color="auto"/>
                        <w:right w:val="none" w:sz="0" w:space="0" w:color="auto"/>
                      </w:divBdr>
                    </w:div>
                    <w:div w:id="294141794">
                      <w:marLeft w:val="0"/>
                      <w:marRight w:val="0"/>
                      <w:marTop w:val="0"/>
                      <w:marBottom w:val="0"/>
                      <w:divBdr>
                        <w:top w:val="none" w:sz="0" w:space="0" w:color="auto"/>
                        <w:left w:val="none" w:sz="0" w:space="0" w:color="auto"/>
                        <w:bottom w:val="none" w:sz="0" w:space="0" w:color="auto"/>
                        <w:right w:val="none" w:sz="0" w:space="0" w:color="auto"/>
                      </w:divBdr>
                    </w:div>
                    <w:div w:id="294141809">
                      <w:marLeft w:val="0"/>
                      <w:marRight w:val="0"/>
                      <w:marTop w:val="0"/>
                      <w:marBottom w:val="0"/>
                      <w:divBdr>
                        <w:top w:val="none" w:sz="0" w:space="0" w:color="auto"/>
                        <w:left w:val="none" w:sz="0" w:space="0" w:color="auto"/>
                        <w:bottom w:val="none" w:sz="0" w:space="0" w:color="auto"/>
                        <w:right w:val="none" w:sz="0" w:space="0" w:color="auto"/>
                      </w:divBdr>
                    </w:div>
                    <w:div w:id="294141820">
                      <w:marLeft w:val="0"/>
                      <w:marRight w:val="0"/>
                      <w:marTop w:val="0"/>
                      <w:marBottom w:val="0"/>
                      <w:divBdr>
                        <w:top w:val="none" w:sz="0" w:space="0" w:color="auto"/>
                        <w:left w:val="none" w:sz="0" w:space="0" w:color="auto"/>
                        <w:bottom w:val="none" w:sz="0" w:space="0" w:color="auto"/>
                        <w:right w:val="none" w:sz="0" w:space="0" w:color="auto"/>
                      </w:divBdr>
                    </w:div>
                    <w:div w:id="294141855">
                      <w:marLeft w:val="0"/>
                      <w:marRight w:val="0"/>
                      <w:marTop w:val="0"/>
                      <w:marBottom w:val="0"/>
                      <w:divBdr>
                        <w:top w:val="none" w:sz="0" w:space="0" w:color="auto"/>
                        <w:left w:val="none" w:sz="0" w:space="0" w:color="auto"/>
                        <w:bottom w:val="none" w:sz="0" w:space="0" w:color="auto"/>
                        <w:right w:val="none" w:sz="0" w:space="0" w:color="auto"/>
                      </w:divBdr>
                    </w:div>
                    <w:div w:id="294141927">
                      <w:marLeft w:val="0"/>
                      <w:marRight w:val="0"/>
                      <w:marTop w:val="0"/>
                      <w:marBottom w:val="0"/>
                      <w:divBdr>
                        <w:top w:val="none" w:sz="0" w:space="0" w:color="auto"/>
                        <w:left w:val="none" w:sz="0" w:space="0" w:color="auto"/>
                        <w:bottom w:val="none" w:sz="0" w:space="0" w:color="auto"/>
                        <w:right w:val="none" w:sz="0" w:space="0" w:color="auto"/>
                      </w:divBdr>
                      <w:divsChild>
                        <w:div w:id="294153546">
                          <w:marLeft w:val="0"/>
                          <w:marRight w:val="0"/>
                          <w:marTop w:val="0"/>
                          <w:marBottom w:val="0"/>
                          <w:divBdr>
                            <w:top w:val="none" w:sz="0" w:space="0" w:color="auto"/>
                            <w:left w:val="none" w:sz="0" w:space="0" w:color="auto"/>
                            <w:bottom w:val="none" w:sz="0" w:space="0" w:color="auto"/>
                            <w:right w:val="none" w:sz="0" w:space="0" w:color="auto"/>
                          </w:divBdr>
                        </w:div>
                      </w:divsChild>
                    </w:div>
                    <w:div w:id="294141972">
                      <w:marLeft w:val="0"/>
                      <w:marRight w:val="0"/>
                      <w:marTop w:val="0"/>
                      <w:marBottom w:val="0"/>
                      <w:divBdr>
                        <w:top w:val="none" w:sz="0" w:space="0" w:color="auto"/>
                        <w:left w:val="none" w:sz="0" w:space="0" w:color="auto"/>
                        <w:bottom w:val="none" w:sz="0" w:space="0" w:color="auto"/>
                        <w:right w:val="none" w:sz="0" w:space="0" w:color="auto"/>
                      </w:divBdr>
                      <w:divsChild>
                        <w:div w:id="294146899">
                          <w:marLeft w:val="0"/>
                          <w:marRight w:val="0"/>
                          <w:marTop w:val="0"/>
                          <w:marBottom w:val="0"/>
                          <w:divBdr>
                            <w:top w:val="none" w:sz="0" w:space="0" w:color="auto"/>
                            <w:left w:val="none" w:sz="0" w:space="0" w:color="auto"/>
                            <w:bottom w:val="none" w:sz="0" w:space="0" w:color="auto"/>
                            <w:right w:val="none" w:sz="0" w:space="0" w:color="auto"/>
                          </w:divBdr>
                        </w:div>
                      </w:divsChild>
                    </w:div>
                    <w:div w:id="294142003">
                      <w:marLeft w:val="0"/>
                      <w:marRight w:val="0"/>
                      <w:marTop w:val="0"/>
                      <w:marBottom w:val="0"/>
                      <w:divBdr>
                        <w:top w:val="none" w:sz="0" w:space="0" w:color="auto"/>
                        <w:left w:val="none" w:sz="0" w:space="0" w:color="auto"/>
                        <w:bottom w:val="none" w:sz="0" w:space="0" w:color="auto"/>
                        <w:right w:val="none" w:sz="0" w:space="0" w:color="auto"/>
                      </w:divBdr>
                    </w:div>
                    <w:div w:id="294142009">
                      <w:marLeft w:val="0"/>
                      <w:marRight w:val="0"/>
                      <w:marTop w:val="0"/>
                      <w:marBottom w:val="0"/>
                      <w:divBdr>
                        <w:top w:val="none" w:sz="0" w:space="0" w:color="auto"/>
                        <w:left w:val="none" w:sz="0" w:space="0" w:color="auto"/>
                        <w:bottom w:val="none" w:sz="0" w:space="0" w:color="auto"/>
                        <w:right w:val="none" w:sz="0" w:space="0" w:color="auto"/>
                      </w:divBdr>
                      <w:divsChild>
                        <w:div w:id="294138942">
                          <w:marLeft w:val="0"/>
                          <w:marRight w:val="0"/>
                          <w:marTop w:val="0"/>
                          <w:marBottom w:val="0"/>
                          <w:divBdr>
                            <w:top w:val="none" w:sz="0" w:space="0" w:color="auto"/>
                            <w:left w:val="none" w:sz="0" w:space="0" w:color="auto"/>
                            <w:bottom w:val="none" w:sz="0" w:space="0" w:color="auto"/>
                            <w:right w:val="none" w:sz="0" w:space="0" w:color="auto"/>
                          </w:divBdr>
                        </w:div>
                      </w:divsChild>
                    </w:div>
                    <w:div w:id="294142132">
                      <w:marLeft w:val="0"/>
                      <w:marRight w:val="0"/>
                      <w:marTop w:val="0"/>
                      <w:marBottom w:val="0"/>
                      <w:divBdr>
                        <w:top w:val="none" w:sz="0" w:space="0" w:color="auto"/>
                        <w:left w:val="none" w:sz="0" w:space="0" w:color="auto"/>
                        <w:bottom w:val="none" w:sz="0" w:space="0" w:color="auto"/>
                        <w:right w:val="none" w:sz="0" w:space="0" w:color="auto"/>
                      </w:divBdr>
                    </w:div>
                    <w:div w:id="294142204">
                      <w:marLeft w:val="0"/>
                      <w:marRight w:val="0"/>
                      <w:marTop w:val="0"/>
                      <w:marBottom w:val="0"/>
                      <w:divBdr>
                        <w:top w:val="none" w:sz="0" w:space="0" w:color="auto"/>
                        <w:left w:val="none" w:sz="0" w:space="0" w:color="auto"/>
                        <w:bottom w:val="none" w:sz="0" w:space="0" w:color="auto"/>
                        <w:right w:val="none" w:sz="0" w:space="0" w:color="auto"/>
                      </w:divBdr>
                    </w:div>
                    <w:div w:id="294142238">
                      <w:marLeft w:val="0"/>
                      <w:marRight w:val="0"/>
                      <w:marTop w:val="0"/>
                      <w:marBottom w:val="0"/>
                      <w:divBdr>
                        <w:top w:val="none" w:sz="0" w:space="0" w:color="auto"/>
                        <w:left w:val="none" w:sz="0" w:space="0" w:color="auto"/>
                        <w:bottom w:val="none" w:sz="0" w:space="0" w:color="auto"/>
                        <w:right w:val="none" w:sz="0" w:space="0" w:color="auto"/>
                      </w:divBdr>
                    </w:div>
                    <w:div w:id="294142246">
                      <w:marLeft w:val="0"/>
                      <w:marRight w:val="0"/>
                      <w:marTop w:val="0"/>
                      <w:marBottom w:val="0"/>
                      <w:divBdr>
                        <w:top w:val="none" w:sz="0" w:space="0" w:color="auto"/>
                        <w:left w:val="none" w:sz="0" w:space="0" w:color="auto"/>
                        <w:bottom w:val="none" w:sz="0" w:space="0" w:color="auto"/>
                        <w:right w:val="none" w:sz="0" w:space="0" w:color="auto"/>
                      </w:divBdr>
                    </w:div>
                    <w:div w:id="294142265">
                      <w:marLeft w:val="0"/>
                      <w:marRight w:val="0"/>
                      <w:marTop w:val="0"/>
                      <w:marBottom w:val="0"/>
                      <w:divBdr>
                        <w:top w:val="none" w:sz="0" w:space="0" w:color="auto"/>
                        <w:left w:val="none" w:sz="0" w:space="0" w:color="auto"/>
                        <w:bottom w:val="none" w:sz="0" w:space="0" w:color="auto"/>
                        <w:right w:val="none" w:sz="0" w:space="0" w:color="auto"/>
                      </w:divBdr>
                      <w:divsChild>
                        <w:div w:id="294151820">
                          <w:marLeft w:val="0"/>
                          <w:marRight w:val="0"/>
                          <w:marTop w:val="0"/>
                          <w:marBottom w:val="0"/>
                          <w:divBdr>
                            <w:top w:val="none" w:sz="0" w:space="0" w:color="auto"/>
                            <w:left w:val="none" w:sz="0" w:space="0" w:color="auto"/>
                            <w:bottom w:val="none" w:sz="0" w:space="0" w:color="auto"/>
                            <w:right w:val="none" w:sz="0" w:space="0" w:color="auto"/>
                          </w:divBdr>
                        </w:div>
                      </w:divsChild>
                    </w:div>
                    <w:div w:id="294142282">
                      <w:marLeft w:val="0"/>
                      <w:marRight w:val="0"/>
                      <w:marTop w:val="0"/>
                      <w:marBottom w:val="0"/>
                      <w:divBdr>
                        <w:top w:val="none" w:sz="0" w:space="0" w:color="auto"/>
                        <w:left w:val="none" w:sz="0" w:space="0" w:color="auto"/>
                        <w:bottom w:val="none" w:sz="0" w:space="0" w:color="auto"/>
                        <w:right w:val="none" w:sz="0" w:space="0" w:color="auto"/>
                      </w:divBdr>
                    </w:div>
                    <w:div w:id="294142369">
                      <w:marLeft w:val="0"/>
                      <w:marRight w:val="0"/>
                      <w:marTop w:val="0"/>
                      <w:marBottom w:val="0"/>
                      <w:divBdr>
                        <w:top w:val="none" w:sz="0" w:space="0" w:color="auto"/>
                        <w:left w:val="none" w:sz="0" w:space="0" w:color="auto"/>
                        <w:bottom w:val="none" w:sz="0" w:space="0" w:color="auto"/>
                        <w:right w:val="none" w:sz="0" w:space="0" w:color="auto"/>
                      </w:divBdr>
                    </w:div>
                    <w:div w:id="294142412">
                      <w:marLeft w:val="0"/>
                      <w:marRight w:val="0"/>
                      <w:marTop w:val="0"/>
                      <w:marBottom w:val="0"/>
                      <w:divBdr>
                        <w:top w:val="none" w:sz="0" w:space="0" w:color="auto"/>
                        <w:left w:val="none" w:sz="0" w:space="0" w:color="auto"/>
                        <w:bottom w:val="none" w:sz="0" w:space="0" w:color="auto"/>
                        <w:right w:val="none" w:sz="0" w:space="0" w:color="auto"/>
                      </w:divBdr>
                    </w:div>
                    <w:div w:id="294142418">
                      <w:marLeft w:val="0"/>
                      <w:marRight w:val="0"/>
                      <w:marTop w:val="0"/>
                      <w:marBottom w:val="0"/>
                      <w:divBdr>
                        <w:top w:val="none" w:sz="0" w:space="0" w:color="auto"/>
                        <w:left w:val="none" w:sz="0" w:space="0" w:color="auto"/>
                        <w:bottom w:val="none" w:sz="0" w:space="0" w:color="auto"/>
                        <w:right w:val="none" w:sz="0" w:space="0" w:color="auto"/>
                      </w:divBdr>
                    </w:div>
                    <w:div w:id="294142423">
                      <w:marLeft w:val="0"/>
                      <w:marRight w:val="0"/>
                      <w:marTop w:val="0"/>
                      <w:marBottom w:val="0"/>
                      <w:divBdr>
                        <w:top w:val="none" w:sz="0" w:space="0" w:color="auto"/>
                        <w:left w:val="none" w:sz="0" w:space="0" w:color="auto"/>
                        <w:bottom w:val="none" w:sz="0" w:space="0" w:color="auto"/>
                        <w:right w:val="none" w:sz="0" w:space="0" w:color="auto"/>
                      </w:divBdr>
                      <w:divsChild>
                        <w:div w:id="294142599">
                          <w:marLeft w:val="0"/>
                          <w:marRight w:val="0"/>
                          <w:marTop w:val="0"/>
                          <w:marBottom w:val="0"/>
                          <w:divBdr>
                            <w:top w:val="none" w:sz="0" w:space="0" w:color="auto"/>
                            <w:left w:val="none" w:sz="0" w:space="0" w:color="auto"/>
                            <w:bottom w:val="none" w:sz="0" w:space="0" w:color="auto"/>
                            <w:right w:val="none" w:sz="0" w:space="0" w:color="auto"/>
                          </w:divBdr>
                        </w:div>
                      </w:divsChild>
                    </w:div>
                    <w:div w:id="294142453">
                      <w:marLeft w:val="0"/>
                      <w:marRight w:val="0"/>
                      <w:marTop w:val="0"/>
                      <w:marBottom w:val="0"/>
                      <w:divBdr>
                        <w:top w:val="none" w:sz="0" w:space="0" w:color="auto"/>
                        <w:left w:val="none" w:sz="0" w:space="0" w:color="auto"/>
                        <w:bottom w:val="none" w:sz="0" w:space="0" w:color="auto"/>
                        <w:right w:val="none" w:sz="0" w:space="0" w:color="auto"/>
                      </w:divBdr>
                      <w:divsChild>
                        <w:div w:id="294153301">
                          <w:marLeft w:val="0"/>
                          <w:marRight w:val="0"/>
                          <w:marTop w:val="0"/>
                          <w:marBottom w:val="0"/>
                          <w:divBdr>
                            <w:top w:val="none" w:sz="0" w:space="0" w:color="auto"/>
                            <w:left w:val="none" w:sz="0" w:space="0" w:color="auto"/>
                            <w:bottom w:val="none" w:sz="0" w:space="0" w:color="auto"/>
                            <w:right w:val="none" w:sz="0" w:space="0" w:color="auto"/>
                          </w:divBdr>
                        </w:div>
                      </w:divsChild>
                    </w:div>
                    <w:div w:id="294142499">
                      <w:marLeft w:val="0"/>
                      <w:marRight w:val="0"/>
                      <w:marTop w:val="0"/>
                      <w:marBottom w:val="0"/>
                      <w:divBdr>
                        <w:top w:val="none" w:sz="0" w:space="0" w:color="auto"/>
                        <w:left w:val="none" w:sz="0" w:space="0" w:color="auto"/>
                        <w:bottom w:val="none" w:sz="0" w:space="0" w:color="auto"/>
                        <w:right w:val="none" w:sz="0" w:space="0" w:color="auto"/>
                      </w:divBdr>
                      <w:divsChild>
                        <w:div w:id="294142309">
                          <w:marLeft w:val="0"/>
                          <w:marRight w:val="0"/>
                          <w:marTop w:val="0"/>
                          <w:marBottom w:val="0"/>
                          <w:divBdr>
                            <w:top w:val="none" w:sz="0" w:space="0" w:color="auto"/>
                            <w:left w:val="none" w:sz="0" w:space="0" w:color="auto"/>
                            <w:bottom w:val="none" w:sz="0" w:space="0" w:color="auto"/>
                            <w:right w:val="none" w:sz="0" w:space="0" w:color="auto"/>
                          </w:divBdr>
                        </w:div>
                      </w:divsChild>
                    </w:div>
                    <w:div w:id="294142518">
                      <w:marLeft w:val="0"/>
                      <w:marRight w:val="0"/>
                      <w:marTop w:val="0"/>
                      <w:marBottom w:val="0"/>
                      <w:divBdr>
                        <w:top w:val="none" w:sz="0" w:space="0" w:color="auto"/>
                        <w:left w:val="none" w:sz="0" w:space="0" w:color="auto"/>
                        <w:bottom w:val="none" w:sz="0" w:space="0" w:color="auto"/>
                        <w:right w:val="none" w:sz="0" w:space="0" w:color="auto"/>
                      </w:divBdr>
                      <w:divsChild>
                        <w:div w:id="294156397">
                          <w:marLeft w:val="0"/>
                          <w:marRight w:val="0"/>
                          <w:marTop w:val="0"/>
                          <w:marBottom w:val="0"/>
                          <w:divBdr>
                            <w:top w:val="none" w:sz="0" w:space="0" w:color="auto"/>
                            <w:left w:val="none" w:sz="0" w:space="0" w:color="auto"/>
                            <w:bottom w:val="none" w:sz="0" w:space="0" w:color="auto"/>
                            <w:right w:val="none" w:sz="0" w:space="0" w:color="auto"/>
                          </w:divBdr>
                        </w:div>
                      </w:divsChild>
                    </w:div>
                    <w:div w:id="294142556">
                      <w:marLeft w:val="0"/>
                      <w:marRight w:val="0"/>
                      <w:marTop w:val="0"/>
                      <w:marBottom w:val="0"/>
                      <w:divBdr>
                        <w:top w:val="none" w:sz="0" w:space="0" w:color="auto"/>
                        <w:left w:val="none" w:sz="0" w:space="0" w:color="auto"/>
                        <w:bottom w:val="none" w:sz="0" w:space="0" w:color="auto"/>
                        <w:right w:val="none" w:sz="0" w:space="0" w:color="auto"/>
                      </w:divBdr>
                      <w:divsChild>
                        <w:div w:id="294151709">
                          <w:marLeft w:val="0"/>
                          <w:marRight w:val="0"/>
                          <w:marTop w:val="0"/>
                          <w:marBottom w:val="0"/>
                          <w:divBdr>
                            <w:top w:val="none" w:sz="0" w:space="0" w:color="auto"/>
                            <w:left w:val="none" w:sz="0" w:space="0" w:color="auto"/>
                            <w:bottom w:val="none" w:sz="0" w:space="0" w:color="auto"/>
                            <w:right w:val="none" w:sz="0" w:space="0" w:color="auto"/>
                          </w:divBdr>
                        </w:div>
                      </w:divsChild>
                    </w:div>
                    <w:div w:id="294142559">
                      <w:marLeft w:val="0"/>
                      <w:marRight w:val="0"/>
                      <w:marTop w:val="0"/>
                      <w:marBottom w:val="0"/>
                      <w:divBdr>
                        <w:top w:val="none" w:sz="0" w:space="0" w:color="auto"/>
                        <w:left w:val="none" w:sz="0" w:space="0" w:color="auto"/>
                        <w:bottom w:val="none" w:sz="0" w:space="0" w:color="auto"/>
                        <w:right w:val="none" w:sz="0" w:space="0" w:color="auto"/>
                      </w:divBdr>
                    </w:div>
                    <w:div w:id="294142673">
                      <w:marLeft w:val="0"/>
                      <w:marRight w:val="0"/>
                      <w:marTop w:val="0"/>
                      <w:marBottom w:val="0"/>
                      <w:divBdr>
                        <w:top w:val="none" w:sz="0" w:space="0" w:color="auto"/>
                        <w:left w:val="none" w:sz="0" w:space="0" w:color="auto"/>
                        <w:bottom w:val="none" w:sz="0" w:space="0" w:color="auto"/>
                        <w:right w:val="none" w:sz="0" w:space="0" w:color="auto"/>
                      </w:divBdr>
                      <w:divsChild>
                        <w:div w:id="294147238">
                          <w:marLeft w:val="0"/>
                          <w:marRight w:val="0"/>
                          <w:marTop w:val="0"/>
                          <w:marBottom w:val="0"/>
                          <w:divBdr>
                            <w:top w:val="none" w:sz="0" w:space="0" w:color="auto"/>
                            <w:left w:val="none" w:sz="0" w:space="0" w:color="auto"/>
                            <w:bottom w:val="none" w:sz="0" w:space="0" w:color="auto"/>
                            <w:right w:val="none" w:sz="0" w:space="0" w:color="auto"/>
                          </w:divBdr>
                        </w:div>
                      </w:divsChild>
                    </w:div>
                    <w:div w:id="294142763">
                      <w:marLeft w:val="0"/>
                      <w:marRight w:val="0"/>
                      <w:marTop w:val="0"/>
                      <w:marBottom w:val="0"/>
                      <w:divBdr>
                        <w:top w:val="none" w:sz="0" w:space="0" w:color="auto"/>
                        <w:left w:val="none" w:sz="0" w:space="0" w:color="auto"/>
                        <w:bottom w:val="none" w:sz="0" w:space="0" w:color="auto"/>
                        <w:right w:val="none" w:sz="0" w:space="0" w:color="auto"/>
                      </w:divBdr>
                    </w:div>
                    <w:div w:id="294142770">
                      <w:marLeft w:val="0"/>
                      <w:marRight w:val="0"/>
                      <w:marTop w:val="0"/>
                      <w:marBottom w:val="0"/>
                      <w:divBdr>
                        <w:top w:val="none" w:sz="0" w:space="0" w:color="auto"/>
                        <w:left w:val="none" w:sz="0" w:space="0" w:color="auto"/>
                        <w:bottom w:val="none" w:sz="0" w:space="0" w:color="auto"/>
                        <w:right w:val="none" w:sz="0" w:space="0" w:color="auto"/>
                      </w:divBdr>
                      <w:divsChild>
                        <w:div w:id="294153617">
                          <w:marLeft w:val="0"/>
                          <w:marRight w:val="0"/>
                          <w:marTop w:val="0"/>
                          <w:marBottom w:val="0"/>
                          <w:divBdr>
                            <w:top w:val="none" w:sz="0" w:space="0" w:color="auto"/>
                            <w:left w:val="none" w:sz="0" w:space="0" w:color="auto"/>
                            <w:bottom w:val="none" w:sz="0" w:space="0" w:color="auto"/>
                            <w:right w:val="none" w:sz="0" w:space="0" w:color="auto"/>
                          </w:divBdr>
                        </w:div>
                      </w:divsChild>
                    </w:div>
                    <w:div w:id="294142828">
                      <w:marLeft w:val="0"/>
                      <w:marRight w:val="0"/>
                      <w:marTop w:val="0"/>
                      <w:marBottom w:val="0"/>
                      <w:divBdr>
                        <w:top w:val="none" w:sz="0" w:space="0" w:color="auto"/>
                        <w:left w:val="none" w:sz="0" w:space="0" w:color="auto"/>
                        <w:bottom w:val="none" w:sz="0" w:space="0" w:color="auto"/>
                        <w:right w:val="none" w:sz="0" w:space="0" w:color="auto"/>
                      </w:divBdr>
                      <w:divsChild>
                        <w:div w:id="294154157">
                          <w:marLeft w:val="0"/>
                          <w:marRight w:val="0"/>
                          <w:marTop w:val="0"/>
                          <w:marBottom w:val="0"/>
                          <w:divBdr>
                            <w:top w:val="none" w:sz="0" w:space="0" w:color="auto"/>
                            <w:left w:val="none" w:sz="0" w:space="0" w:color="auto"/>
                            <w:bottom w:val="none" w:sz="0" w:space="0" w:color="auto"/>
                            <w:right w:val="none" w:sz="0" w:space="0" w:color="auto"/>
                          </w:divBdr>
                        </w:div>
                      </w:divsChild>
                    </w:div>
                    <w:div w:id="294142983">
                      <w:marLeft w:val="0"/>
                      <w:marRight w:val="0"/>
                      <w:marTop w:val="0"/>
                      <w:marBottom w:val="0"/>
                      <w:divBdr>
                        <w:top w:val="none" w:sz="0" w:space="0" w:color="auto"/>
                        <w:left w:val="none" w:sz="0" w:space="0" w:color="auto"/>
                        <w:bottom w:val="none" w:sz="0" w:space="0" w:color="auto"/>
                        <w:right w:val="none" w:sz="0" w:space="0" w:color="auto"/>
                      </w:divBdr>
                    </w:div>
                    <w:div w:id="294143048">
                      <w:marLeft w:val="0"/>
                      <w:marRight w:val="0"/>
                      <w:marTop w:val="0"/>
                      <w:marBottom w:val="0"/>
                      <w:divBdr>
                        <w:top w:val="none" w:sz="0" w:space="0" w:color="auto"/>
                        <w:left w:val="none" w:sz="0" w:space="0" w:color="auto"/>
                        <w:bottom w:val="none" w:sz="0" w:space="0" w:color="auto"/>
                        <w:right w:val="none" w:sz="0" w:space="0" w:color="auto"/>
                      </w:divBdr>
                    </w:div>
                    <w:div w:id="294143068">
                      <w:marLeft w:val="0"/>
                      <w:marRight w:val="0"/>
                      <w:marTop w:val="0"/>
                      <w:marBottom w:val="0"/>
                      <w:divBdr>
                        <w:top w:val="none" w:sz="0" w:space="0" w:color="auto"/>
                        <w:left w:val="none" w:sz="0" w:space="0" w:color="auto"/>
                        <w:bottom w:val="none" w:sz="0" w:space="0" w:color="auto"/>
                        <w:right w:val="none" w:sz="0" w:space="0" w:color="auto"/>
                      </w:divBdr>
                      <w:divsChild>
                        <w:div w:id="294141469">
                          <w:marLeft w:val="0"/>
                          <w:marRight w:val="0"/>
                          <w:marTop w:val="0"/>
                          <w:marBottom w:val="0"/>
                          <w:divBdr>
                            <w:top w:val="none" w:sz="0" w:space="0" w:color="auto"/>
                            <w:left w:val="none" w:sz="0" w:space="0" w:color="auto"/>
                            <w:bottom w:val="none" w:sz="0" w:space="0" w:color="auto"/>
                            <w:right w:val="none" w:sz="0" w:space="0" w:color="auto"/>
                          </w:divBdr>
                        </w:div>
                      </w:divsChild>
                    </w:div>
                    <w:div w:id="294143074">
                      <w:marLeft w:val="0"/>
                      <w:marRight w:val="0"/>
                      <w:marTop w:val="0"/>
                      <w:marBottom w:val="0"/>
                      <w:divBdr>
                        <w:top w:val="none" w:sz="0" w:space="0" w:color="auto"/>
                        <w:left w:val="none" w:sz="0" w:space="0" w:color="auto"/>
                        <w:bottom w:val="none" w:sz="0" w:space="0" w:color="auto"/>
                        <w:right w:val="none" w:sz="0" w:space="0" w:color="auto"/>
                      </w:divBdr>
                      <w:divsChild>
                        <w:div w:id="294146362">
                          <w:marLeft w:val="0"/>
                          <w:marRight w:val="0"/>
                          <w:marTop w:val="0"/>
                          <w:marBottom w:val="0"/>
                          <w:divBdr>
                            <w:top w:val="none" w:sz="0" w:space="0" w:color="auto"/>
                            <w:left w:val="none" w:sz="0" w:space="0" w:color="auto"/>
                            <w:bottom w:val="none" w:sz="0" w:space="0" w:color="auto"/>
                            <w:right w:val="none" w:sz="0" w:space="0" w:color="auto"/>
                          </w:divBdr>
                        </w:div>
                      </w:divsChild>
                    </w:div>
                    <w:div w:id="294143134">
                      <w:marLeft w:val="0"/>
                      <w:marRight w:val="0"/>
                      <w:marTop w:val="0"/>
                      <w:marBottom w:val="0"/>
                      <w:divBdr>
                        <w:top w:val="none" w:sz="0" w:space="0" w:color="auto"/>
                        <w:left w:val="none" w:sz="0" w:space="0" w:color="auto"/>
                        <w:bottom w:val="none" w:sz="0" w:space="0" w:color="auto"/>
                        <w:right w:val="none" w:sz="0" w:space="0" w:color="auto"/>
                      </w:divBdr>
                    </w:div>
                    <w:div w:id="294143153">
                      <w:marLeft w:val="0"/>
                      <w:marRight w:val="0"/>
                      <w:marTop w:val="0"/>
                      <w:marBottom w:val="0"/>
                      <w:divBdr>
                        <w:top w:val="none" w:sz="0" w:space="0" w:color="auto"/>
                        <w:left w:val="none" w:sz="0" w:space="0" w:color="auto"/>
                        <w:bottom w:val="none" w:sz="0" w:space="0" w:color="auto"/>
                        <w:right w:val="none" w:sz="0" w:space="0" w:color="auto"/>
                      </w:divBdr>
                    </w:div>
                    <w:div w:id="294143168">
                      <w:marLeft w:val="0"/>
                      <w:marRight w:val="0"/>
                      <w:marTop w:val="0"/>
                      <w:marBottom w:val="0"/>
                      <w:divBdr>
                        <w:top w:val="none" w:sz="0" w:space="0" w:color="auto"/>
                        <w:left w:val="none" w:sz="0" w:space="0" w:color="auto"/>
                        <w:bottom w:val="none" w:sz="0" w:space="0" w:color="auto"/>
                        <w:right w:val="none" w:sz="0" w:space="0" w:color="auto"/>
                      </w:divBdr>
                      <w:divsChild>
                        <w:div w:id="294146718">
                          <w:marLeft w:val="0"/>
                          <w:marRight w:val="0"/>
                          <w:marTop w:val="0"/>
                          <w:marBottom w:val="0"/>
                          <w:divBdr>
                            <w:top w:val="none" w:sz="0" w:space="0" w:color="auto"/>
                            <w:left w:val="none" w:sz="0" w:space="0" w:color="auto"/>
                            <w:bottom w:val="none" w:sz="0" w:space="0" w:color="auto"/>
                            <w:right w:val="none" w:sz="0" w:space="0" w:color="auto"/>
                          </w:divBdr>
                        </w:div>
                      </w:divsChild>
                    </w:div>
                    <w:div w:id="294143203">
                      <w:marLeft w:val="0"/>
                      <w:marRight w:val="0"/>
                      <w:marTop w:val="0"/>
                      <w:marBottom w:val="0"/>
                      <w:divBdr>
                        <w:top w:val="none" w:sz="0" w:space="0" w:color="auto"/>
                        <w:left w:val="none" w:sz="0" w:space="0" w:color="auto"/>
                        <w:bottom w:val="none" w:sz="0" w:space="0" w:color="auto"/>
                        <w:right w:val="none" w:sz="0" w:space="0" w:color="auto"/>
                      </w:divBdr>
                      <w:divsChild>
                        <w:div w:id="294147342">
                          <w:marLeft w:val="0"/>
                          <w:marRight w:val="0"/>
                          <w:marTop w:val="0"/>
                          <w:marBottom w:val="0"/>
                          <w:divBdr>
                            <w:top w:val="none" w:sz="0" w:space="0" w:color="auto"/>
                            <w:left w:val="none" w:sz="0" w:space="0" w:color="auto"/>
                            <w:bottom w:val="none" w:sz="0" w:space="0" w:color="auto"/>
                            <w:right w:val="none" w:sz="0" w:space="0" w:color="auto"/>
                          </w:divBdr>
                        </w:div>
                      </w:divsChild>
                    </w:div>
                    <w:div w:id="294143206">
                      <w:marLeft w:val="0"/>
                      <w:marRight w:val="0"/>
                      <w:marTop w:val="0"/>
                      <w:marBottom w:val="0"/>
                      <w:divBdr>
                        <w:top w:val="none" w:sz="0" w:space="0" w:color="auto"/>
                        <w:left w:val="none" w:sz="0" w:space="0" w:color="auto"/>
                        <w:bottom w:val="none" w:sz="0" w:space="0" w:color="auto"/>
                        <w:right w:val="none" w:sz="0" w:space="0" w:color="auto"/>
                      </w:divBdr>
                    </w:div>
                    <w:div w:id="294143230">
                      <w:marLeft w:val="0"/>
                      <w:marRight w:val="0"/>
                      <w:marTop w:val="0"/>
                      <w:marBottom w:val="0"/>
                      <w:divBdr>
                        <w:top w:val="none" w:sz="0" w:space="0" w:color="auto"/>
                        <w:left w:val="none" w:sz="0" w:space="0" w:color="auto"/>
                        <w:bottom w:val="none" w:sz="0" w:space="0" w:color="auto"/>
                        <w:right w:val="none" w:sz="0" w:space="0" w:color="auto"/>
                      </w:divBdr>
                    </w:div>
                    <w:div w:id="294143294">
                      <w:marLeft w:val="0"/>
                      <w:marRight w:val="0"/>
                      <w:marTop w:val="0"/>
                      <w:marBottom w:val="0"/>
                      <w:divBdr>
                        <w:top w:val="none" w:sz="0" w:space="0" w:color="auto"/>
                        <w:left w:val="none" w:sz="0" w:space="0" w:color="auto"/>
                        <w:bottom w:val="none" w:sz="0" w:space="0" w:color="auto"/>
                        <w:right w:val="none" w:sz="0" w:space="0" w:color="auto"/>
                      </w:divBdr>
                      <w:divsChild>
                        <w:div w:id="294147866">
                          <w:marLeft w:val="0"/>
                          <w:marRight w:val="0"/>
                          <w:marTop w:val="0"/>
                          <w:marBottom w:val="0"/>
                          <w:divBdr>
                            <w:top w:val="none" w:sz="0" w:space="0" w:color="auto"/>
                            <w:left w:val="none" w:sz="0" w:space="0" w:color="auto"/>
                            <w:bottom w:val="none" w:sz="0" w:space="0" w:color="auto"/>
                            <w:right w:val="none" w:sz="0" w:space="0" w:color="auto"/>
                          </w:divBdr>
                        </w:div>
                      </w:divsChild>
                    </w:div>
                    <w:div w:id="294143350">
                      <w:marLeft w:val="0"/>
                      <w:marRight w:val="0"/>
                      <w:marTop w:val="0"/>
                      <w:marBottom w:val="0"/>
                      <w:divBdr>
                        <w:top w:val="none" w:sz="0" w:space="0" w:color="auto"/>
                        <w:left w:val="none" w:sz="0" w:space="0" w:color="auto"/>
                        <w:bottom w:val="none" w:sz="0" w:space="0" w:color="auto"/>
                        <w:right w:val="none" w:sz="0" w:space="0" w:color="auto"/>
                      </w:divBdr>
                      <w:divsChild>
                        <w:div w:id="294142786">
                          <w:marLeft w:val="0"/>
                          <w:marRight w:val="0"/>
                          <w:marTop w:val="0"/>
                          <w:marBottom w:val="0"/>
                          <w:divBdr>
                            <w:top w:val="none" w:sz="0" w:space="0" w:color="auto"/>
                            <w:left w:val="none" w:sz="0" w:space="0" w:color="auto"/>
                            <w:bottom w:val="none" w:sz="0" w:space="0" w:color="auto"/>
                            <w:right w:val="none" w:sz="0" w:space="0" w:color="auto"/>
                          </w:divBdr>
                        </w:div>
                      </w:divsChild>
                    </w:div>
                    <w:div w:id="294143388">
                      <w:marLeft w:val="0"/>
                      <w:marRight w:val="0"/>
                      <w:marTop w:val="0"/>
                      <w:marBottom w:val="0"/>
                      <w:divBdr>
                        <w:top w:val="none" w:sz="0" w:space="0" w:color="auto"/>
                        <w:left w:val="none" w:sz="0" w:space="0" w:color="auto"/>
                        <w:bottom w:val="none" w:sz="0" w:space="0" w:color="auto"/>
                        <w:right w:val="none" w:sz="0" w:space="0" w:color="auto"/>
                      </w:divBdr>
                      <w:divsChild>
                        <w:div w:id="294141273">
                          <w:marLeft w:val="0"/>
                          <w:marRight w:val="0"/>
                          <w:marTop w:val="0"/>
                          <w:marBottom w:val="0"/>
                          <w:divBdr>
                            <w:top w:val="none" w:sz="0" w:space="0" w:color="auto"/>
                            <w:left w:val="none" w:sz="0" w:space="0" w:color="auto"/>
                            <w:bottom w:val="none" w:sz="0" w:space="0" w:color="auto"/>
                            <w:right w:val="none" w:sz="0" w:space="0" w:color="auto"/>
                          </w:divBdr>
                        </w:div>
                      </w:divsChild>
                    </w:div>
                    <w:div w:id="294143490">
                      <w:marLeft w:val="0"/>
                      <w:marRight w:val="0"/>
                      <w:marTop w:val="0"/>
                      <w:marBottom w:val="0"/>
                      <w:divBdr>
                        <w:top w:val="none" w:sz="0" w:space="0" w:color="auto"/>
                        <w:left w:val="none" w:sz="0" w:space="0" w:color="auto"/>
                        <w:bottom w:val="none" w:sz="0" w:space="0" w:color="auto"/>
                        <w:right w:val="none" w:sz="0" w:space="0" w:color="auto"/>
                      </w:divBdr>
                    </w:div>
                    <w:div w:id="294143543">
                      <w:marLeft w:val="0"/>
                      <w:marRight w:val="0"/>
                      <w:marTop w:val="0"/>
                      <w:marBottom w:val="0"/>
                      <w:divBdr>
                        <w:top w:val="none" w:sz="0" w:space="0" w:color="auto"/>
                        <w:left w:val="none" w:sz="0" w:space="0" w:color="auto"/>
                        <w:bottom w:val="none" w:sz="0" w:space="0" w:color="auto"/>
                        <w:right w:val="none" w:sz="0" w:space="0" w:color="auto"/>
                      </w:divBdr>
                    </w:div>
                    <w:div w:id="294143573">
                      <w:marLeft w:val="0"/>
                      <w:marRight w:val="0"/>
                      <w:marTop w:val="0"/>
                      <w:marBottom w:val="0"/>
                      <w:divBdr>
                        <w:top w:val="none" w:sz="0" w:space="0" w:color="auto"/>
                        <w:left w:val="none" w:sz="0" w:space="0" w:color="auto"/>
                        <w:bottom w:val="none" w:sz="0" w:space="0" w:color="auto"/>
                        <w:right w:val="none" w:sz="0" w:space="0" w:color="auto"/>
                      </w:divBdr>
                      <w:divsChild>
                        <w:div w:id="294142915">
                          <w:marLeft w:val="0"/>
                          <w:marRight w:val="0"/>
                          <w:marTop w:val="0"/>
                          <w:marBottom w:val="0"/>
                          <w:divBdr>
                            <w:top w:val="none" w:sz="0" w:space="0" w:color="auto"/>
                            <w:left w:val="none" w:sz="0" w:space="0" w:color="auto"/>
                            <w:bottom w:val="none" w:sz="0" w:space="0" w:color="auto"/>
                            <w:right w:val="none" w:sz="0" w:space="0" w:color="auto"/>
                          </w:divBdr>
                        </w:div>
                      </w:divsChild>
                    </w:div>
                    <w:div w:id="294143588">
                      <w:marLeft w:val="0"/>
                      <w:marRight w:val="0"/>
                      <w:marTop w:val="0"/>
                      <w:marBottom w:val="0"/>
                      <w:divBdr>
                        <w:top w:val="none" w:sz="0" w:space="0" w:color="auto"/>
                        <w:left w:val="none" w:sz="0" w:space="0" w:color="auto"/>
                        <w:bottom w:val="none" w:sz="0" w:space="0" w:color="auto"/>
                        <w:right w:val="none" w:sz="0" w:space="0" w:color="auto"/>
                      </w:divBdr>
                    </w:div>
                    <w:div w:id="294143657">
                      <w:marLeft w:val="0"/>
                      <w:marRight w:val="0"/>
                      <w:marTop w:val="0"/>
                      <w:marBottom w:val="0"/>
                      <w:divBdr>
                        <w:top w:val="none" w:sz="0" w:space="0" w:color="auto"/>
                        <w:left w:val="none" w:sz="0" w:space="0" w:color="auto"/>
                        <w:bottom w:val="none" w:sz="0" w:space="0" w:color="auto"/>
                        <w:right w:val="none" w:sz="0" w:space="0" w:color="auto"/>
                      </w:divBdr>
                      <w:divsChild>
                        <w:div w:id="294147685">
                          <w:marLeft w:val="0"/>
                          <w:marRight w:val="0"/>
                          <w:marTop w:val="0"/>
                          <w:marBottom w:val="0"/>
                          <w:divBdr>
                            <w:top w:val="none" w:sz="0" w:space="0" w:color="auto"/>
                            <w:left w:val="none" w:sz="0" w:space="0" w:color="auto"/>
                            <w:bottom w:val="none" w:sz="0" w:space="0" w:color="auto"/>
                            <w:right w:val="none" w:sz="0" w:space="0" w:color="auto"/>
                          </w:divBdr>
                        </w:div>
                      </w:divsChild>
                    </w:div>
                    <w:div w:id="294143694">
                      <w:marLeft w:val="0"/>
                      <w:marRight w:val="0"/>
                      <w:marTop w:val="0"/>
                      <w:marBottom w:val="0"/>
                      <w:divBdr>
                        <w:top w:val="none" w:sz="0" w:space="0" w:color="auto"/>
                        <w:left w:val="none" w:sz="0" w:space="0" w:color="auto"/>
                        <w:bottom w:val="none" w:sz="0" w:space="0" w:color="auto"/>
                        <w:right w:val="none" w:sz="0" w:space="0" w:color="auto"/>
                      </w:divBdr>
                    </w:div>
                    <w:div w:id="294143716">
                      <w:marLeft w:val="0"/>
                      <w:marRight w:val="0"/>
                      <w:marTop w:val="0"/>
                      <w:marBottom w:val="0"/>
                      <w:divBdr>
                        <w:top w:val="none" w:sz="0" w:space="0" w:color="auto"/>
                        <w:left w:val="none" w:sz="0" w:space="0" w:color="auto"/>
                        <w:bottom w:val="none" w:sz="0" w:space="0" w:color="auto"/>
                        <w:right w:val="none" w:sz="0" w:space="0" w:color="auto"/>
                      </w:divBdr>
                      <w:divsChild>
                        <w:div w:id="294150825">
                          <w:marLeft w:val="0"/>
                          <w:marRight w:val="0"/>
                          <w:marTop w:val="0"/>
                          <w:marBottom w:val="0"/>
                          <w:divBdr>
                            <w:top w:val="none" w:sz="0" w:space="0" w:color="auto"/>
                            <w:left w:val="none" w:sz="0" w:space="0" w:color="auto"/>
                            <w:bottom w:val="none" w:sz="0" w:space="0" w:color="auto"/>
                            <w:right w:val="none" w:sz="0" w:space="0" w:color="auto"/>
                          </w:divBdr>
                        </w:div>
                      </w:divsChild>
                    </w:div>
                    <w:div w:id="294143724">
                      <w:marLeft w:val="0"/>
                      <w:marRight w:val="0"/>
                      <w:marTop w:val="0"/>
                      <w:marBottom w:val="0"/>
                      <w:divBdr>
                        <w:top w:val="none" w:sz="0" w:space="0" w:color="auto"/>
                        <w:left w:val="none" w:sz="0" w:space="0" w:color="auto"/>
                        <w:bottom w:val="none" w:sz="0" w:space="0" w:color="auto"/>
                        <w:right w:val="none" w:sz="0" w:space="0" w:color="auto"/>
                      </w:divBdr>
                      <w:divsChild>
                        <w:div w:id="294156680">
                          <w:marLeft w:val="0"/>
                          <w:marRight w:val="0"/>
                          <w:marTop w:val="0"/>
                          <w:marBottom w:val="0"/>
                          <w:divBdr>
                            <w:top w:val="none" w:sz="0" w:space="0" w:color="auto"/>
                            <w:left w:val="none" w:sz="0" w:space="0" w:color="auto"/>
                            <w:bottom w:val="none" w:sz="0" w:space="0" w:color="auto"/>
                            <w:right w:val="none" w:sz="0" w:space="0" w:color="auto"/>
                          </w:divBdr>
                        </w:div>
                      </w:divsChild>
                    </w:div>
                    <w:div w:id="294143835">
                      <w:marLeft w:val="0"/>
                      <w:marRight w:val="0"/>
                      <w:marTop w:val="0"/>
                      <w:marBottom w:val="0"/>
                      <w:divBdr>
                        <w:top w:val="none" w:sz="0" w:space="0" w:color="auto"/>
                        <w:left w:val="none" w:sz="0" w:space="0" w:color="auto"/>
                        <w:bottom w:val="none" w:sz="0" w:space="0" w:color="auto"/>
                        <w:right w:val="none" w:sz="0" w:space="0" w:color="auto"/>
                      </w:divBdr>
                    </w:div>
                    <w:div w:id="294143890">
                      <w:marLeft w:val="0"/>
                      <w:marRight w:val="0"/>
                      <w:marTop w:val="0"/>
                      <w:marBottom w:val="0"/>
                      <w:divBdr>
                        <w:top w:val="none" w:sz="0" w:space="0" w:color="auto"/>
                        <w:left w:val="none" w:sz="0" w:space="0" w:color="auto"/>
                        <w:bottom w:val="none" w:sz="0" w:space="0" w:color="auto"/>
                        <w:right w:val="none" w:sz="0" w:space="0" w:color="auto"/>
                      </w:divBdr>
                      <w:divsChild>
                        <w:div w:id="294145582">
                          <w:marLeft w:val="0"/>
                          <w:marRight w:val="0"/>
                          <w:marTop w:val="0"/>
                          <w:marBottom w:val="0"/>
                          <w:divBdr>
                            <w:top w:val="none" w:sz="0" w:space="0" w:color="auto"/>
                            <w:left w:val="none" w:sz="0" w:space="0" w:color="auto"/>
                            <w:bottom w:val="none" w:sz="0" w:space="0" w:color="auto"/>
                            <w:right w:val="none" w:sz="0" w:space="0" w:color="auto"/>
                          </w:divBdr>
                        </w:div>
                      </w:divsChild>
                    </w:div>
                    <w:div w:id="294143915">
                      <w:marLeft w:val="0"/>
                      <w:marRight w:val="0"/>
                      <w:marTop w:val="0"/>
                      <w:marBottom w:val="0"/>
                      <w:divBdr>
                        <w:top w:val="none" w:sz="0" w:space="0" w:color="auto"/>
                        <w:left w:val="none" w:sz="0" w:space="0" w:color="auto"/>
                        <w:bottom w:val="none" w:sz="0" w:space="0" w:color="auto"/>
                        <w:right w:val="none" w:sz="0" w:space="0" w:color="auto"/>
                      </w:divBdr>
                    </w:div>
                    <w:div w:id="294143968">
                      <w:marLeft w:val="0"/>
                      <w:marRight w:val="0"/>
                      <w:marTop w:val="0"/>
                      <w:marBottom w:val="0"/>
                      <w:divBdr>
                        <w:top w:val="none" w:sz="0" w:space="0" w:color="auto"/>
                        <w:left w:val="none" w:sz="0" w:space="0" w:color="auto"/>
                        <w:bottom w:val="none" w:sz="0" w:space="0" w:color="auto"/>
                        <w:right w:val="none" w:sz="0" w:space="0" w:color="auto"/>
                      </w:divBdr>
                    </w:div>
                    <w:div w:id="294143997">
                      <w:marLeft w:val="0"/>
                      <w:marRight w:val="0"/>
                      <w:marTop w:val="0"/>
                      <w:marBottom w:val="0"/>
                      <w:divBdr>
                        <w:top w:val="none" w:sz="0" w:space="0" w:color="auto"/>
                        <w:left w:val="none" w:sz="0" w:space="0" w:color="auto"/>
                        <w:bottom w:val="none" w:sz="0" w:space="0" w:color="auto"/>
                        <w:right w:val="none" w:sz="0" w:space="0" w:color="auto"/>
                      </w:divBdr>
                      <w:divsChild>
                        <w:div w:id="294140081">
                          <w:marLeft w:val="0"/>
                          <w:marRight w:val="0"/>
                          <w:marTop w:val="0"/>
                          <w:marBottom w:val="0"/>
                          <w:divBdr>
                            <w:top w:val="none" w:sz="0" w:space="0" w:color="auto"/>
                            <w:left w:val="none" w:sz="0" w:space="0" w:color="auto"/>
                            <w:bottom w:val="none" w:sz="0" w:space="0" w:color="auto"/>
                            <w:right w:val="none" w:sz="0" w:space="0" w:color="auto"/>
                          </w:divBdr>
                        </w:div>
                      </w:divsChild>
                    </w:div>
                    <w:div w:id="294144032">
                      <w:marLeft w:val="0"/>
                      <w:marRight w:val="0"/>
                      <w:marTop w:val="0"/>
                      <w:marBottom w:val="0"/>
                      <w:divBdr>
                        <w:top w:val="none" w:sz="0" w:space="0" w:color="auto"/>
                        <w:left w:val="none" w:sz="0" w:space="0" w:color="auto"/>
                        <w:bottom w:val="none" w:sz="0" w:space="0" w:color="auto"/>
                        <w:right w:val="none" w:sz="0" w:space="0" w:color="auto"/>
                      </w:divBdr>
                    </w:div>
                    <w:div w:id="294144164">
                      <w:marLeft w:val="0"/>
                      <w:marRight w:val="0"/>
                      <w:marTop w:val="0"/>
                      <w:marBottom w:val="0"/>
                      <w:divBdr>
                        <w:top w:val="none" w:sz="0" w:space="0" w:color="auto"/>
                        <w:left w:val="none" w:sz="0" w:space="0" w:color="auto"/>
                        <w:bottom w:val="none" w:sz="0" w:space="0" w:color="auto"/>
                        <w:right w:val="none" w:sz="0" w:space="0" w:color="auto"/>
                      </w:divBdr>
                    </w:div>
                    <w:div w:id="294144205">
                      <w:marLeft w:val="0"/>
                      <w:marRight w:val="0"/>
                      <w:marTop w:val="0"/>
                      <w:marBottom w:val="0"/>
                      <w:divBdr>
                        <w:top w:val="none" w:sz="0" w:space="0" w:color="auto"/>
                        <w:left w:val="none" w:sz="0" w:space="0" w:color="auto"/>
                        <w:bottom w:val="none" w:sz="0" w:space="0" w:color="auto"/>
                        <w:right w:val="none" w:sz="0" w:space="0" w:color="auto"/>
                      </w:divBdr>
                      <w:divsChild>
                        <w:div w:id="294150209">
                          <w:marLeft w:val="0"/>
                          <w:marRight w:val="0"/>
                          <w:marTop w:val="0"/>
                          <w:marBottom w:val="0"/>
                          <w:divBdr>
                            <w:top w:val="none" w:sz="0" w:space="0" w:color="auto"/>
                            <w:left w:val="none" w:sz="0" w:space="0" w:color="auto"/>
                            <w:bottom w:val="none" w:sz="0" w:space="0" w:color="auto"/>
                            <w:right w:val="none" w:sz="0" w:space="0" w:color="auto"/>
                          </w:divBdr>
                        </w:div>
                      </w:divsChild>
                    </w:div>
                    <w:div w:id="294144273">
                      <w:marLeft w:val="0"/>
                      <w:marRight w:val="0"/>
                      <w:marTop w:val="0"/>
                      <w:marBottom w:val="0"/>
                      <w:divBdr>
                        <w:top w:val="none" w:sz="0" w:space="0" w:color="auto"/>
                        <w:left w:val="none" w:sz="0" w:space="0" w:color="auto"/>
                        <w:bottom w:val="none" w:sz="0" w:space="0" w:color="auto"/>
                        <w:right w:val="none" w:sz="0" w:space="0" w:color="auto"/>
                      </w:divBdr>
                    </w:div>
                    <w:div w:id="294144348">
                      <w:marLeft w:val="0"/>
                      <w:marRight w:val="0"/>
                      <w:marTop w:val="0"/>
                      <w:marBottom w:val="0"/>
                      <w:divBdr>
                        <w:top w:val="none" w:sz="0" w:space="0" w:color="auto"/>
                        <w:left w:val="none" w:sz="0" w:space="0" w:color="auto"/>
                        <w:bottom w:val="none" w:sz="0" w:space="0" w:color="auto"/>
                        <w:right w:val="none" w:sz="0" w:space="0" w:color="auto"/>
                      </w:divBdr>
                      <w:divsChild>
                        <w:div w:id="294143439">
                          <w:marLeft w:val="0"/>
                          <w:marRight w:val="0"/>
                          <w:marTop w:val="0"/>
                          <w:marBottom w:val="0"/>
                          <w:divBdr>
                            <w:top w:val="none" w:sz="0" w:space="0" w:color="auto"/>
                            <w:left w:val="none" w:sz="0" w:space="0" w:color="auto"/>
                            <w:bottom w:val="none" w:sz="0" w:space="0" w:color="auto"/>
                            <w:right w:val="none" w:sz="0" w:space="0" w:color="auto"/>
                          </w:divBdr>
                        </w:div>
                      </w:divsChild>
                    </w:div>
                    <w:div w:id="294144455">
                      <w:marLeft w:val="0"/>
                      <w:marRight w:val="0"/>
                      <w:marTop w:val="0"/>
                      <w:marBottom w:val="0"/>
                      <w:divBdr>
                        <w:top w:val="none" w:sz="0" w:space="0" w:color="auto"/>
                        <w:left w:val="none" w:sz="0" w:space="0" w:color="auto"/>
                        <w:bottom w:val="none" w:sz="0" w:space="0" w:color="auto"/>
                        <w:right w:val="none" w:sz="0" w:space="0" w:color="auto"/>
                      </w:divBdr>
                    </w:div>
                    <w:div w:id="294144490">
                      <w:marLeft w:val="0"/>
                      <w:marRight w:val="0"/>
                      <w:marTop w:val="0"/>
                      <w:marBottom w:val="0"/>
                      <w:divBdr>
                        <w:top w:val="none" w:sz="0" w:space="0" w:color="auto"/>
                        <w:left w:val="none" w:sz="0" w:space="0" w:color="auto"/>
                        <w:bottom w:val="none" w:sz="0" w:space="0" w:color="auto"/>
                        <w:right w:val="none" w:sz="0" w:space="0" w:color="auto"/>
                      </w:divBdr>
                    </w:div>
                    <w:div w:id="294144500">
                      <w:marLeft w:val="0"/>
                      <w:marRight w:val="0"/>
                      <w:marTop w:val="0"/>
                      <w:marBottom w:val="0"/>
                      <w:divBdr>
                        <w:top w:val="none" w:sz="0" w:space="0" w:color="auto"/>
                        <w:left w:val="none" w:sz="0" w:space="0" w:color="auto"/>
                        <w:bottom w:val="none" w:sz="0" w:space="0" w:color="auto"/>
                        <w:right w:val="none" w:sz="0" w:space="0" w:color="auto"/>
                      </w:divBdr>
                      <w:divsChild>
                        <w:div w:id="294141264">
                          <w:marLeft w:val="0"/>
                          <w:marRight w:val="0"/>
                          <w:marTop w:val="0"/>
                          <w:marBottom w:val="0"/>
                          <w:divBdr>
                            <w:top w:val="none" w:sz="0" w:space="0" w:color="auto"/>
                            <w:left w:val="none" w:sz="0" w:space="0" w:color="auto"/>
                            <w:bottom w:val="none" w:sz="0" w:space="0" w:color="auto"/>
                            <w:right w:val="none" w:sz="0" w:space="0" w:color="auto"/>
                          </w:divBdr>
                        </w:div>
                      </w:divsChild>
                    </w:div>
                    <w:div w:id="294144537">
                      <w:marLeft w:val="0"/>
                      <w:marRight w:val="0"/>
                      <w:marTop w:val="0"/>
                      <w:marBottom w:val="0"/>
                      <w:divBdr>
                        <w:top w:val="none" w:sz="0" w:space="0" w:color="auto"/>
                        <w:left w:val="none" w:sz="0" w:space="0" w:color="auto"/>
                        <w:bottom w:val="none" w:sz="0" w:space="0" w:color="auto"/>
                        <w:right w:val="none" w:sz="0" w:space="0" w:color="auto"/>
                      </w:divBdr>
                    </w:div>
                    <w:div w:id="294144539">
                      <w:marLeft w:val="0"/>
                      <w:marRight w:val="0"/>
                      <w:marTop w:val="0"/>
                      <w:marBottom w:val="0"/>
                      <w:divBdr>
                        <w:top w:val="none" w:sz="0" w:space="0" w:color="auto"/>
                        <w:left w:val="none" w:sz="0" w:space="0" w:color="auto"/>
                        <w:bottom w:val="none" w:sz="0" w:space="0" w:color="auto"/>
                        <w:right w:val="none" w:sz="0" w:space="0" w:color="auto"/>
                      </w:divBdr>
                    </w:div>
                    <w:div w:id="294144605">
                      <w:marLeft w:val="0"/>
                      <w:marRight w:val="0"/>
                      <w:marTop w:val="0"/>
                      <w:marBottom w:val="0"/>
                      <w:divBdr>
                        <w:top w:val="none" w:sz="0" w:space="0" w:color="auto"/>
                        <w:left w:val="none" w:sz="0" w:space="0" w:color="auto"/>
                        <w:bottom w:val="none" w:sz="0" w:space="0" w:color="auto"/>
                        <w:right w:val="none" w:sz="0" w:space="0" w:color="auto"/>
                      </w:divBdr>
                    </w:div>
                    <w:div w:id="294144635">
                      <w:marLeft w:val="0"/>
                      <w:marRight w:val="0"/>
                      <w:marTop w:val="0"/>
                      <w:marBottom w:val="0"/>
                      <w:divBdr>
                        <w:top w:val="none" w:sz="0" w:space="0" w:color="auto"/>
                        <w:left w:val="none" w:sz="0" w:space="0" w:color="auto"/>
                        <w:bottom w:val="none" w:sz="0" w:space="0" w:color="auto"/>
                        <w:right w:val="none" w:sz="0" w:space="0" w:color="auto"/>
                      </w:divBdr>
                      <w:divsChild>
                        <w:div w:id="294142886">
                          <w:marLeft w:val="0"/>
                          <w:marRight w:val="0"/>
                          <w:marTop w:val="0"/>
                          <w:marBottom w:val="0"/>
                          <w:divBdr>
                            <w:top w:val="none" w:sz="0" w:space="0" w:color="auto"/>
                            <w:left w:val="none" w:sz="0" w:space="0" w:color="auto"/>
                            <w:bottom w:val="none" w:sz="0" w:space="0" w:color="auto"/>
                            <w:right w:val="none" w:sz="0" w:space="0" w:color="auto"/>
                          </w:divBdr>
                        </w:div>
                      </w:divsChild>
                    </w:div>
                    <w:div w:id="294144646">
                      <w:marLeft w:val="0"/>
                      <w:marRight w:val="0"/>
                      <w:marTop w:val="0"/>
                      <w:marBottom w:val="0"/>
                      <w:divBdr>
                        <w:top w:val="none" w:sz="0" w:space="0" w:color="auto"/>
                        <w:left w:val="none" w:sz="0" w:space="0" w:color="auto"/>
                        <w:bottom w:val="none" w:sz="0" w:space="0" w:color="auto"/>
                        <w:right w:val="none" w:sz="0" w:space="0" w:color="auto"/>
                      </w:divBdr>
                      <w:divsChild>
                        <w:div w:id="294139461">
                          <w:marLeft w:val="0"/>
                          <w:marRight w:val="0"/>
                          <w:marTop w:val="0"/>
                          <w:marBottom w:val="0"/>
                          <w:divBdr>
                            <w:top w:val="none" w:sz="0" w:space="0" w:color="auto"/>
                            <w:left w:val="none" w:sz="0" w:space="0" w:color="auto"/>
                            <w:bottom w:val="none" w:sz="0" w:space="0" w:color="auto"/>
                            <w:right w:val="none" w:sz="0" w:space="0" w:color="auto"/>
                          </w:divBdr>
                        </w:div>
                      </w:divsChild>
                    </w:div>
                    <w:div w:id="294144660">
                      <w:marLeft w:val="0"/>
                      <w:marRight w:val="0"/>
                      <w:marTop w:val="0"/>
                      <w:marBottom w:val="0"/>
                      <w:divBdr>
                        <w:top w:val="none" w:sz="0" w:space="0" w:color="auto"/>
                        <w:left w:val="none" w:sz="0" w:space="0" w:color="auto"/>
                        <w:bottom w:val="none" w:sz="0" w:space="0" w:color="auto"/>
                        <w:right w:val="none" w:sz="0" w:space="0" w:color="auto"/>
                      </w:divBdr>
                      <w:divsChild>
                        <w:div w:id="294152211">
                          <w:marLeft w:val="0"/>
                          <w:marRight w:val="0"/>
                          <w:marTop w:val="0"/>
                          <w:marBottom w:val="0"/>
                          <w:divBdr>
                            <w:top w:val="none" w:sz="0" w:space="0" w:color="auto"/>
                            <w:left w:val="none" w:sz="0" w:space="0" w:color="auto"/>
                            <w:bottom w:val="none" w:sz="0" w:space="0" w:color="auto"/>
                            <w:right w:val="none" w:sz="0" w:space="0" w:color="auto"/>
                          </w:divBdr>
                        </w:div>
                      </w:divsChild>
                    </w:div>
                    <w:div w:id="294144707">
                      <w:marLeft w:val="0"/>
                      <w:marRight w:val="0"/>
                      <w:marTop w:val="0"/>
                      <w:marBottom w:val="0"/>
                      <w:divBdr>
                        <w:top w:val="none" w:sz="0" w:space="0" w:color="auto"/>
                        <w:left w:val="none" w:sz="0" w:space="0" w:color="auto"/>
                        <w:bottom w:val="none" w:sz="0" w:space="0" w:color="auto"/>
                        <w:right w:val="none" w:sz="0" w:space="0" w:color="auto"/>
                      </w:divBdr>
                      <w:divsChild>
                        <w:div w:id="294149786">
                          <w:marLeft w:val="0"/>
                          <w:marRight w:val="0"/>
                          <w:marTop w:val="0"/>
                          <w:marBottom w:val="0"/>
                          <w:divBdr>
                            <w:top w:val="none" w:sz="0" w:space="0" w:color="auto"/>
                            <w:left w:val="none" w:sz="0" w:space="0" w:color="auto"/>
                            <w:bottom w:val="none" w:sz="0" w:space="0" w:color="auto"/>
                            <w:right w:val="none" w:sz="0" w:space="0" w:color="auto"/>
                          </w:divBdr>
                        </w:div>
                      </w:divsChild>
                    </w:div>
                    <w:div w:id="294144791">
                      <w:marLeft w:val="0"/>
                      <w:marRight w:val="0"/>
                      <w:marTop w:val="0"/>
                      <w:marBottom w:val="0"/>
                      <w:divBdr>
                        <w:top w:val="none" w:sz="0" w:space="0" w:color="auto"/>
                        <w:left w:val="none" w:sz="0" w:space="0" w:color="auto"/>
                        <w:bottom w:val="none" w:sz="0" w:space="0" w:color="auto"/>
                        <w:right w:val="none" w:sz="0" w:space="0" w:color="auto"/>
                      </w:divBdr>
                      <w:divsChild>
                        <w:div w:id="294150325">
                          <w:marLeft w:val="0"/>
                          <w:marRight w:val="0"/>
                          <w:marTop w:val="0"/>
                          <w:marBottom w:val="0"/>
                          <w:divBdr>
                            <w:top w:val="none" w:sz="0" w:space="0" w:color="auto"/>
                            <w:left w:val="none" w:sz="0" w:space="0" w:color="auto"/>
                            <w:bottom w:val="none" w:sz="0" w:space="0" w:color="auto"/>
                            <w:right w:val="none" w:sz="0" w:space="0" w:color="auto"/>
                          </w:divBdr>
                        </w:div>
                      </w:divsChild>
                    </w:div>
                    <w:div w:id="294144829">
                      <w:marLeft w:val="0"/>
                      <w:marRight w:val="0"/>
                      <w:marTop w:val="0"/>
                      <w:marBottom w:val="0"/>
                      <w:divBdr>
                        <w:top w:val="none" w:sz="0" w:space="0" w:color="auto"/>
                        <w:left w:val="none" w:sz="0" w:space="0" w:color="auto"/>
                        <w:bottom w:val="none" w:sz="0" w:space="0" w:color="auto"/>
                        <w:right w:val="none" w:sz="0" w:space="0" w:color="auto"/>
                      </w:divBdr>
                    </w:div>
                    <w:div w:id="294144837">
                      <w:marLeft w:val="0"/>
                      <w:marRight w:val="0"/>
                      <w:marTop w:val="0"/>
                      <w:marBottom w:val="0"/>
                      <w:divBdr>
                        <w:top w:val="none" w:sz="0" w:space="0" w:color="auto"/>
                        <w:left w:val="none" w:sz="0" w:space="0" w:color="auto"/>
                        <w:bottom w:val="none" w:sz="0" w:space="0" w:color="auto"/>
                        <w:right w:val="none" w:sz="0" w:space="0" w:color="auto"/>
                      </w:divBdr>
                      <w:divsChild>
                        <w:div w:id="294150614">
                          <w:marLeft w:val="0"/>
                          <w:marRight w:val="0"/>
                          <w:marTop w:val="0"/>
                          <w:marBottom w:val="0"/>
                          <w:divBdr>
                            <w:top w:val="none" w:sz="0" w:space="0" w:color="auto"/>
                            <w:left w:val="none" w:sz="0" w:space="0" w:color="auto"/>
                            <w:bottom w:val="none" w:sz="0" w:space="0" w:color="auto"/>
                            <w:right w:val="none" w:sz="0" w:space="0" w:color="auto"/>
                          </w:divBdr>
                        </w:div>
                      </w:divsChild>
                    </w:div>
                    <w:div w:id="294144876">
                      <w:marLeft w:val="0"/>
                      <w:marRight w:val="0"/>
                      <w:marTop w:val="0"/>
                      <w:marBottom w:val="0"/>
                      <w:divBdr>
                        <w:top w:val="none" w:sz="0" w:space="0" w:color="auto"/>
                        <w:left w:val="none" w:sz="0" w:space="0" w:color="auto"/>
                        <w:bottom w:val="none" w:sz="0" w:space="0" w:color="auto"/>
                        <w:right w:val="none" w:sz="0" w:space="0" w:color="auto"/>
                      </w:divBdr>
                    </w:div>
                    <w:div w:id="294144955">
                      <w:marLeft w:val="0"/>
                      <w:marRight w:val="0"/>
                      <w:marTop w:val="0"/>
                      <w:marBottom w:val="0"/>
                      <w:divBdr>
                        <w:top w:val="none" w:sz="0" w:space="0" w:color="auto"/>
                        <w:left w:val="none" w:sz="0" w:space="0" w:color="auto"/>
                        <w:bottom w:val="none" w:sz="0" w:space="0" w:color="auto"/>
                        <w:right w:val="none" w:sz="0" w:space="0" w:color="auto"/>
                      </w:divBdr>
                      <w:divsChild>
                        <w:div w:id="294143988">
                          <w:marLeft w:val="0"/>
                          <w:marRight w:val="0"/>
                          <w:marTop w:val="0"/>
                          <w:marBottom w:val="0"/>
                          <w:divBdr>
                            <w:top w:val="none" w:sz="0" w:space="0" w:color="auto"/>
                            <w:left w:val="none" w:sz="0" w:space="0" w:color="auto"/>
                            <w:bottom w:val="none" w:sz="0" w:space="0" w:color="auto"/>
                            <w:right w:val="none" w:sz="0" w:space="0" w:color="auto"/>
                          </w:divBdr>
                        </w:div>
                      </w:divsChild>
                    </w:div>
                    <w:div w:id="294144997">
                      <w:marLeft w:val="0"/>
                      <w:marRight w:val="0"/>
                      <w:marTop w:val="0"/>
                      <w:marBottom w:val="0"/>
                      <w:divBdr>
                        <w:top w:val="none" w:sz="0" w:space="0" w:color="auto"/>
                        <w:left w:val="none" w:sz="0" w:space="0" w:color="auto"/>
                        <w:bottom w:val="none" w:sz="0" w:space="0" w:color="auto"/>
                        <w:right w:val="none" w:sz="0" w:space="0" w:color="auto"/>
                      </w:divBdr>
                      <w:divsChild>
                        <w:div w:id="294153665">
                          <w:marLeft w:val="0"/>
                          <w:marRight w:val="0"/>
                          <w:marTop w:val="0"/>
                          <w:marBottom w:val="0"/>
                          <w:divBdr>
                            <w:top w:val="none" w:sz="0" w:space="0" w:color="auto"/>
                            <w:left w:val="none" w:sz="0" w:space="0" w:color="auto"/>
                            <w:bottom w:val="none" w:sz="0" w:space="0" w:color="auto"/>
                            <w:right w:val="none" w:sz="0" w:space="0" w:color="auto"/>
                          </w:divBdr>
                        </w:div>
                      </w:divsChild>
                    </w:div>
                    <w:div w:id="294145004">
                      <w:marLeft w:val="0"/>
                      <w:marRight w:val="0"/>
                      <w:marTop w:val="0"/>
                      <w:marBottom w:val="0"/>
                      <w:divBdr>
                        <w:top w:val="none" w:sz="0" w:space="0" w:color="auto"/>
                        <w:left w:val="none" w:sz="0" w:space="0" w:color="auto"/>
                        <w:bottom w:val="none" w:sz="0" w:space="0" w:color="auto"/>
                        <w:right w:val="none" w:sz="0" w:space="0" w:color="auto"/>
                      </w:divBdr>
                    </w:div>
                    <w:div w:id="294145065">
                      <w:marLeft w:val="0"/>
                      <w:marRight w:val="0"/>
                      <w:marTop w:val="0"/>
                      <w:marBottom w:val="0"/>
                      <w:divBdr>
                        <w:top w:val="none" w:sz="0" w:space="0" w:color="auto"/>
                        <w:left w:val="none" w:sz="0" w:space="0" w:color="auto"/>
                        <w:bottom w:val="none" w:sz="0" w:space="0" w:color="auto"/>
                        <w:right w:val="none" w:sz="0" w:space="0" w:color="auto"/>
                      </w:divBdr>
                      <w:divsChild>
                        <w:div w:id="294147029">
                          <w:marLeft w:val="0"/>
                          <w:marRight w:val="0"/>
                          <w:marTop w:val="0"/>
                          <w:marBottom w:val="0"/>
                          <w:divBdr>
                            <w:top w:val="none" w:sz="0" w:space="0" w:color="auto"/>
                            <w:left w:val="none" w:sz="0" w:space="0" w:color="auto"/>
                            <w:bottom w:val="none" w:sz="0" w:space="0" w:color="auto"/>
                            <w:right w:val="none" w:sz="0" w:space="0" w:color="auto"/>
                          </w:divBdr>
                        </w:div>
                      </w:divsChild>
                    </w:div>
                    <w:div w:id="294145114">
                      <w:marLeft w:val="0"/>
                      <w:marRight w:val="0"/>
                      <w:marTop w:val="0"/>
                      <w:marBottom w:val="0"/>
                      <w:divBdr>
                        <w:top w:val="none" w:sz="0" w:space="0" w:color="auto"/>
                        <w:left w:val="none" w:sz="0" w:space="0" w:color="auto"/>
                        <w:bottom w:val="none" w:sz="0" w:space="0" w:color="auto"/>
                        <w:right w:val="none" w:sz="0" w:space="0" w:color="auto"/>
                      </w:divBdr>
                      <w:divsChild>
                        <w:div w:id="294149894">
                          <w:marLeft w:val="0"/>
                          <w:marRight w:val="0"/>
                          <w:marTop w:val="0"/>
                          <w:marBottom w:val="0"/>
                          <w:divBdr>
                            <w:top w:val="none" w:sz="0" w:space="0" w:color="auto"/>
                            <w:left w:val="none" w:sz="0" w:space="0" w:color="auto"/>
                            <w:bottom w:val="none" w:sz="0" w:space="0" w:color="auto"/>
                            <w:right w:val="none" w:sz="0" w:space="0" w:color="auto"/>
                          </w:divBdr>
                        </w:div>
                      </w:divsChild>
                    </w:div>
                    <w:div w:id="294145132">
                      <w:marLeft w:val="0"/>
                      <w:marRight w:val="0"/>
                      <w:marTop w:val="0"/>
                      <w:marBottom w:val="0"/>
                      <w:divBdr>
                        <w:top w:val="none" w:sz="0" w:space="0" w:color="auto"/>
                        <w:left w:val="none" w:sz="0" w:space="0" w:color="auto"/>
                        <w:bottom w:val="none" w:sz="0" w:space="0" w:color="auto"/>
                        <w:right w:val="none" w:sz="0" w:space="0" w:color="auto"/>
                      </w:divBdr>
                      <w:divsChild>
                        <w:div w:id="294153510">
                          <w:marLeft w:val="0"/>
                          <w:marRight w:val="0"/>
                          <w:marTop w:val="0"/>
                          <w:marBottom w:val="0"/>
                          <w:divBdr>
                            <w:top w:val="none" w:sz="0" w:space="0" w:color="auto"/>
                            <w:left w:val="none" w:sz="0" w:space="0" w:color="auto"/>
                            <w:bottom w:val="none" w:sz="0" w:space="0" w:color="auto"/>
                            <w:right w:val="none" w:sz="0" w:space="0" w:color="auto"/>
                          </w:divBdr>
                        </w:div>
                      </w:divsChild>
                    </w:div>
                    <w:div w:id="294145142">
                      <w:marLeft w:val="0"/>
                      <w:marRight w:val="0"/>
                      <w:marTop w:val="0"/>
                      <w:marBottom w:val="0"/>
                      <w:divBdr>
                        <w:top w:val="none" w:sz="0" w:space="0" w:color="auto"/>
                        <w:left w:val="none" w:sz="0" w:space="0" w:color="auto"/>
                        <w:bottom w:val="none" w:sz="0" w:space="0" w:color="auto"/>
                        <w:right w:val="none" w:sz="0" w:space="0" w:color="auto"/>
                      </w:divBdr>
                      <w:divsChild>
                        <w:div w:id="294142327">
                          <w:marLeft w:val="0"/>
                          <w:marRight w:val="0"/>
                          <w:marTop w:val="0"/>
                          <w:marBottom w:val="0"/>
                          <w:divBdr>
                            <w:top w:val="none" w:sz="0" w:space="0" w:color="auto"/>
                            <w:left w:val="none" w:sz="0" w:space="0" w:color="auto"/>
                            <w:bottom w:val="none" w:sz="0" w:space="0" w:color="auto"/>
                            <w:right w:val="none" w:sz="0" w:space="0" w:color="auto"/>
                          </w:divBdr>
                        </w:div>
                      </w:divsChild>
                    </w:div>
                    <w:div w:id="294145145">
                      <w:marLeft w:val="0"/>
                      <w:marRight w:val="0"/>
                      <w:marTop w:val="0"/>
                      <w:marBottom w:val="0"/>
                      <w:divBdr>
                        <w:top w:val="none" w:sz="0" w:space="0" w:color="auto"/>
                        <w:left w:val="none" w:sz="0" w:space="0" w:color="auto"/>
                        <w:bottom w:val="none" w:sz="0" w:space="0" w:color="auto"/>
                        <w:right w:val="none" w:sz="0" w:space="0" w:color="auto"/>
                      </w:divBdr>
                      <w:divsChild>
                        <w:div w:id="294153886">
                          <w:marLeft w:val="0"/>
                          <w:marRight w:val="0"/>
                          <w:marTop w:val="0"/>
                          <w:marBottom w:val="0"/>
                          <w:divBdr>
                            <w:top w:val="none" w:sz="0" w:space="0" w:color="auto"/>
                            <w:left w:val="none" w:sz="0" w:space="0" w:color="auto"/>
                            <w:bottom w:val="none" w:sz="0" w:space="0" w:color="auto"/>
                            <w:right w:val="none" w:sz="0" w:space="0" w:color="auto"/>
                          </w:divBdr>
                        </w:div>
                      </w:divsChild>
                    </w:div>
                    <w:div w:id="294145194">
                      <w:marLeft w:val="0"/>
                      <w:marRight w:val="0"/>
                      <w:marTop w:val="0"/>
                      <w:marBottom w:val="0"/>
                      <w:divBdr>
                        <w:top w:val="none" w:sz="0" w:space="0" w:color="auto"/>
                        <w:left w:val="none" w:sz="0" w:space="0" w:color="auto"/>
                        <w:bottom w:val="none" w:sz="0" w:space="0" w:color="auto"/>
                        <w:right w:val="none" w:sz="0" w:space="0" w:color="auto"/>
                      </w:divBdr>
                    </w:div>
                    <w:div w:id="294145200">
                      <w:marLeft w:val="0"/>
                      <w:marRight w:val="0"/>
                      <w:marTop w:val="0"/>
                      <w:marBottom w:val="0"/>
                      <w:divBdr>
                        <w:top w:val="none" w:sz="0" w:space="0" w:color="auto"/>
                        <w:left w:val="none" w:sz="0" w:space="0" w:color="auto"/>
                        <w:bottom w:val="none" w:sz="0" w:space="0" w:color="auto"/>
                        <w:right w:val="none" w:sz="0" w:space="0" w:color="auto"/>
                      </w:divBdr>
                      <w:divsChild>
                        <w:div w:id="294138836">
                          <w:marLeft w:val="0"/>
                          <w:marRight w:val="0"/>
                          <w:marTop w:val="0"/>
                          <w:marBottom w:val="0"/>
                          <w:divBdr>
                            <w:top w:val="none" w:sz="0" w:space="0" w:color="auto"/>
                            <w:left w:val="none" w:sz="0" w:space="0" w:color="auto"/>
                            <w:bottom w:val="none" w:sz="0" w:space="0" w:color="auto"/>
                            <w:right w:val="none" w:sz="0" w:space="0" w:color="auto"/>
                          </w:divBdr>
                        </w:div>
                      </w:divsChild>
                    </w:div>
                    <w:div w:id="294145236">
                      <w:marLeft w:val="0"/>
                      <w:marRight w:val="0"/>
                      <w:marTop w:val="0"/>
                      <w:marBottom w:val="0"/>
                      <w:divBdr>
                        <w:top w:val="none" w:sz="0" w:space="0" w:color="auto"/>
                        <w:left w:val="none" w:sz="0" w:space="0" w:color="auto"/>
                        <w:bottom w:val="none" w:sz="0" w:space="0" w:color="auto"/>
                        <w:right w:val="none" w:sz="0" w:space="0" w:color="auto"/>
                      </w:divBdr>
                    </w:div>
                    <w:div w:id="294145263">
                      <w:marLeft w:val="0"/>
                      <w:marRight w:val="0"/>
                      <w:marTop w:val="0"/>
                      <w:marBottom w:val="0"/>
                      <w:divBdr>
                        <w:top w:val="none" w:sz="0" w:space="0" w:color="auto"/>
                        <w:left w:val="none" w:sz="0" w:space="0" w:color="auto"/>
                        <w:bottom w:val="none" w:sz="0" w:space="0" w:color="auto"/>
                        <w:right w:val="none" w:sz="0" w:space="0" w:color="auto"/>
                      </w:divBdr>
                      <w:divsChild>
                        <w:div w:id="294138315">
                          <w:marLeft w:val="0"/>
                          <w:marRight w:val="0"/>
                          <w:marTop w:val="0"/>
                          <w:marBottom w:val="0"/>
                          <w:divBdr>
                            <w:top w:val="none" w:sz="0" w:space="0" w:color="auto"/>
                            <w:left w:val="none" w:sz="0" w:space="0" w:color="auto"/>
                            <w:bottom w:val="none" w:sz="0" w:space="0" w:color="auto"/>
                            <w:right w:val="none" w:sz="0" w:space="0" w:color="auto"/>
                          </w:divBdr>
                        </w:div>
                      </w:divsChild>
                    </w:div>
                    <w:div w:id="294145287">
                      <w:marLeft w:val="0"/>
                      <w:marRight w:val="0"/>
                      <w:marTop w:val="0"/>
                      <w:marBottom w:val="0"/>
                      <w:divBdr>
                        <w:top w:val="none" w:sz="0" w:space="0" w:color="auto"/>
                        <w:left w:val="none" w:sz="0" w:space="0" w:color="auto"/>
                        <w:bottom w:val="none" w:sz="0" w:space="0" w:color="auto"/>
                        <w:right w:val="none" w:sz="0" w:space="0" w:color="auto"/>
                      </w:divBdr>
                    </w:div>
                    <w:div w:id="294145291">
                      <w:marLeft w:val="0"/>
                      <w:marRight w:val="0"/>
                      <w:marTop w:val="0"/>
                      <w:marBottom w:val="0"/>
                      <w:divBdr>
                        <w:top w:val="none" w:sz="0" w:space="0" w:color="auto"/>
                        <w:left w:val="none" w:sz="0" w:space="0" w:color="auto"/>
                        <w:bottom w:val="none" w:sz="0" w:space="0" w:color="auto"/>
                        <w:right w:val="none" w:sz="0" w:space="0" w:color="auto"/>
                      </w:divBdr>
                    </w:div>
                    <w:div w:id="294145299">
                      <w:marLeft w:val="0"/>
                      <w:marRight w:val="0"/>
                      <w:marTop w:val="0"/>
                      <w:marBottom w:val="0"/>
                      <w:divBdr>
                        <w:top w:val="none" w:sz="0" w:space="0" w:color="auto"/>
                        <w:left w:val="none" w:sz="0" w:space="0" w:color="auto"/>
                        <w:bottom w:val="none" w:sz="0" w:space="0" w:color="auto"/>
                        <w:right w:val="none" w:sz="0" w:space="0" w:color="auto"/>
                      </w:divBdr>
                    </w:div>
                    <w:div w:id="294145400">
                      <w:marLeft w:val="0"/>
                      <w:marRight w:val="0"/>
                      <w:marTop w:val="0"/>
                      <w:marBottom w:val="0"/>
                      <w:divBdr>
                        <w:top w:val="none" w:sz="0" w:space="0" w:color="auto"/>
                        <w:left w:val="none" w:sz="0" w:space="0" w:color="auto"/>
                        <w:bottom w:val="none" w:sz="0" w:space="0" w:color="auto"/>
                        <w:right w:val="none" w:sz="0" w:space="0" w:color="auto"/>
                      </w:divBdr>
                      <w:divsChild>
                        <w:div w:id="294149293">
                          <w:marLeft w:val="0"/>
                          <w:marRight w:val="0"/>
                          <w:marTop w:val="0"/>
                          <w:marBottom w:val="0"/>
                          <w:divBdr>
                            <w:top w:val="none" w:sz="0" w:space="0" w:color="auto"/>
                            <w:left w:val="none" w:sz="0" w:space="0" w:color="auto"/>
                            <w:bottom w:val="none" w:sz="0" w:space="0" w:color="auto"/>
                            <w:right w:val="none" w:sz="0" w:space="0" w:color="auto"/>
                          </w:divBdr>
                        </w:div>
                      </w:divsChild>
                    </w:div>
                    <w:div w:id="294145410">
                      <w:marLeft w:val="0"/>
                      <w:marRight w:val="0"/>
                      <w:marTop w:val="0"/>
                      <w:marBottom w:val="0"/>
                      <w:divBdr>
                        <w:top w:val="none" w:sz="0" w:space="0" w:color="auto"/>
                        <w:left w:val="none" w:sz="0" w:space="0" w:color="auto"/>
                        <w:bottom w:val="none" w:sz="0" w:space="0" w:color="auto"/>
                        <w:right w:val="none" w:sz="0" w:space="0" w:color="auto"/>
                      </w:divBdr>
                      <w:divsChild>
                        <w:div w:id="294142352">
                          <w:marLeft w:val="0"/>
                          <w:marRight w:val="0"/>
                          <w:marTop w:val="0"/>
                          <w:marBottom w:val="0"/>
                          <w:divBdr>
                            <w:top w:val="none" w:sz="0" w:space="0" w:color="auto"/>
                            <w:left w:val="none" w:sz="0" w:space="0" w:color="auto"/>
                            <w:bottom w:val="none" w:sz="0" w:space="0" w:color="auto"/>
                            <w:right w:val="none" w:sz="0" w:space="0" w:color="auto"/>
                          </w:divBdr>
                        </w:div>
                      </w:divsChild>
                    </w:div>
                    <w:div w:id="294145417">
                      <w:marLeft w:val="0"/>
                      <w:marRight w:val="0"/>
                      <w:marTop w:val="0"/>
                      <w:marBottom w:val="0"/>
                      <w:divBdr>
                        <w:top w:val="none" w:sz="0" w:space="0" w:color="auto"/>
                        <w:left w:val="none" w:sz="0" w:space="0" w:color="auto"/>
                        <w:bottom w:val="none" w:sz="0" w:space="0" w:color="auto"/>
                        <w:right w:val="none" w:sz="0" w:space="0" w:color="auto"/>
                      </w:divBdr>
                      <w:divsChild>
                        <w:div w:id="294149945">
                          <w:marLeft w:val="0"/>
                          <w:marRight w:val="0"/>
                          <w:marTop w:val="0"/>
                          <w:marBottom w:val="0"/>
                          <w:divBdr>
                            <w:top w:val="none" w:sz="0" w:space="0" w:color="auto"/>
                            <w:left w:val="none" w:sz="0" w:space="0" w:color="auto"/>
                            <w:bottom w:val="none" w:sz="0" w:space="0" w:color="auto"/>
                            <w:right w:val="none" w:sz="0" w:space="0" w:color="auto"/>
                          </w:divBdr>
                        </w:div>
                      </w:divsChild>
                    </w:div>
                    <w:div w:id="294145423">
                      <w:marLeft w:val="0"/>
                      <w:marRight w:val="0"/>
                      <w:marTop w:val="0"/>
                      <w:marBottom w:val="0"/>
                      <w:divBdr>
                        <w:top w:val="none" w:sz="0" w:space="0" w:color="auto"/>
                        <w:left w:val="none" w:sz="0" w:space="0" w:color="auto"/>
                        <w:bottom w:val="none" w:sz="0" w:space="0" w:color="auto"/>
                        <w:right w:val="none" w:sz="0" w:space="0" w:color="auto"/>
                      </w:divBdr>
                    </w:div>
                    <w:div w:id="294145448">
                      <w:marLeft w:val="0"/>
                      <w:marRight w:val="0"/>
                      <w:marTop w:val="0"/>
                      <w:marBottom w:val="0"/>
                      <w:divBdr>
                        <w:top w:val="none" w:sz="0" w:space="0" w:color="auto"/>
                        <w:left w:val="none" w:sz="0" w:space="0" w:color="auto"/>
                        <w:bottom w:val="none" w:sz="0" w:space="0" w:color="auto"/>
                        <w:right w:val="none" w:sz="0" w:space="0" w:color="auto"/>
                      </w:divBdr>
                    </w:div>
                    <w:div w:id="294145460">
                      <w:marLeft w:val="0"/>
                      <w:marRight w:val="0"/>
                      <w:marTop w:val="0"/>
                      <w:marBottom w:val="0"/>
                      <w:divBdr>
                        <w:top w:val="none" w:sz="0" w:space="0" w:color="auto"/>
                        <w:left w:val="none" w:sz="0" w:space="0" w:color="auto"/>
                        <w:bottom w:val="none" w:sz="0" w:space="0" w:color="auto"/>
                        <w:right w:val="none" w:sz="0" w:space="0" w:color="auto"/>
                      </w:divBdr>
                      <w:divsChild>
                        <w:div w:id="294146484">
                          <w:marLeft w:val="0"/>
                          <w:marRight w:val="0"/>
                          <w:marTop w:val="0"/>
                          <w:marBottom w:val="0"/>
                          <w:divBdr>
                            <w:top w:val="none" w:sz="0" w:space="0" w:color="auto"/>
                            <w:left w:val="none" w:sz="0" w:space="0" w:color="auto"/>
                            <w:bottom w:val="none" w:sz="0" w:space="0" w:color="auto"/>
                            <w:right w:val="none" w:sz="0" w:space="0" w:color="auto"/>
                          </w:divBdr>
                        </w:div>
                      </w:divsChild>
                    </w:div>
                    <w:div w:id="294145467">
                      <w:marLeft w:val="0"/>
                      <w:marRight w:val="0"/>
                      <w:marTop w:val="0"/>
                      <w:marBottom w:val="0"/>
                      <w:divBdr>
                        <w:top w:val="none" w:sz="0" w:space="0" w:color="auto"/>
                        <w:left w:val="none" w:sz="0" w:space="0" w:color="auto"/>
                        <w:bottom w:val="none" w:sz="0" w:space="0" w:color="auto"/>
                        <w:right w:val="none" w:sz="0" w:space="0" w:color="auto"/>
                      </w:divBdr>
                      <w:divsChild>
                        <w:div w:id="294148030">
                          <w:marLeft w:val="0"/>
                          <w:marRight w:val="0"/>
                          <w:marTop w:val="0"/>
                          <w:marBottom w:val="0"/>
                          <w:divBdr>
                            <w:top w:val="none" w:sz="0" w:space="0" w:color="auto"/>
                            <w:left w:val="none" w:sz="0" w:space="0" w:color="auto"/>
                            <w:bottom w:val="none" w:sz="0" w:space="0" w:color="auto"/>
                            <w:right w:val="none" w:sz="0" w:space="0" w:color="auto"/>
                          </w:divBdr>
                        </w:div>
                      </w:divsChild>
                    </w:div>
                    <w:div w:id="294145485">
                      <w:marLeft w:val="0"/>
                      <w:marRight w:val="0"/>
                      <w:marTop w:val="0"/>
                      <w:marBottom w:val="0"/>
                      <w:divBdr>
                        <w:top w:val="none" w:sz="0" w:space="0" w:color="auto"/>
                        <w:left w:val="none" w:sz="0" w:space="0" w:color="auto"/>
                        <w:bottom w:val="none" w:sz="0" w:space="0" w:color="auto"/>
                        <w:right w:val="none" w:sz="0" w:space="0" w:color="auto"/>
                      </w:divBdr>
                      <w:divsChild>
                        <w:div w:id="294149610">
                          <w:marLeft w:val="0"/>
                          <w:marRight w:val="0"/>
                          <w:marTop w:val="0"/>
                          <w:marBottom w:val="0"/>
                          <w:divBdr>
                            <w:top w:val="none" w:sz="0" w:space="0" w:color="auto"/>
                            <w:left w:val="none" w:sz="0" w:space="0" w:color="auto"/>
                            <w:bottom w:val="none" w:sz="0" w:space="0" w:color="auto"/>
                            <w:right w:val="none" w:sz="0" w:space="0" w:color="auto"/>
                          </w:divBdr>
                        </w:div>
                      </w:divsChild>
                    </w:div>
                    <w:div w:id="294145523">
                      <w:marLeft w:val="0"/>
                      <w:marRight w:val="0"/>
                      <w:marTop w:val="0"/>
                      <w:marBottom w:val="0"/>
                      <w:divBdr>
                        <w:top w:val="none" w:sz="0" w:space="0" w:color="auto"/>
                        <w:left w:val="none" w:sz="0" w:space="0" w:color="auto"/>
                        <w:bottom w:val="none" w:sz="0" w:space="0" w:color="auto"/>
                        <w:right w:val="none" w:sz="0" w:space="0" w:color="auto"/>
                      </w:divBdr>
                      <w:divsChild>
                        <w:div w:id="294144220">
                          <w:marLeft w:val="0"/>
                          <w:marRight w:val="0"/>
                          <w:marTop w:val="0"/>
                          <w:marBottom w:val="0"/>
                          <w:divBdr>
                            <w:top w:val="none" w:sz="0" w:space="0" w:color="auto"/>
                            <w:left w:val="none" w:sz="0" w:space="0" w:color="auto"/>
                            <w:bottom w:val="none" w:sz="0" w:space="0" w:color="auto"/>
                            <w:right w:val="none" w:sz="0" w:space="0" w:color="auto"/>
                          </w:divBdr>
                        </w:div>
                      </w:divsChild>
                    </w:div>
                    <w:div w:id="294145530">
                      <w:marLeft w:val="0"/>
                      <w:marRight w:val="0"/>
                      <w:marTop w:val="0"/>
                      <w:marBottom w:val="0"/>
                      <w:divBdr>
                        <w:top w:val="none" w:sz="0" w:space="0" w:color="auto"/>
                        <w:left w:val="none" w:sz="0" w:space="0" w:color="auto"/>
                        <w:bottom w:val="none" w:sz="0" w:space="0" w:color="auto"/>
                        <w:right w:val="none" w:sz="0" w:space="0" w:color="auto"/>
                      </w:divBdr>
                    </w:div>
                    <w:div w:id="294145549">
                      <w:marLeft w:val="0"/>
                      <w:marRight w:val="0"/>
                      <w:marTop w:val="0"/>
                      <w:marBottom w:val="0"/>
                      <w:divBdr>
                        <w:top w:val="none" w:sz="0" w:space="0" w:color="auto"/>
                        <w:left w:val="none" w:sz="0" w:space="0" w:color="auto"/>
                        <w:bottom w:val="none" w:sz="0" w:space="0" w:color="auto"/>
                        <w:right w:val="none" w:sz="0" w:space="0" w:color="auto"/>
                      </w:divBdr>
                      <w:divsChild>
                        <w:div w:id="294150849">
                          <w:marLeft w:val="0"/>
                          <w:marRight w:val="0"/>
                          <w:marTop w:val="0"/>
                          <w:marBottom w:val="0"/>
                          <w:divBdr>
                            <w:top w:val="none" w:sz="0" w:space="0" w:color="auto"/>
                            <w:left w:val="none" w:sz="0" w:space="0" w:color="auto"/>
                            <w:bottom w:val="none" w:sz="0" w:space="0" w:color="auto"/>
                            <w:right w:val="none" w:sz="0" w:space="0" w:color="auto"/>
                          </w:divBdr>
                        </w:div>
                      </w:divsChild>
                    </w:div>
                    <w:div w:id="294145554">
                      <w:marLeft w:val="0"/>
                      <w:marRight w:val="0"/>
                      <w:marTop w:val="0"/>
                      <w:marBottom w:val="0"/>
                      <w:divBdr>
                        <w:top w:val="none" w:sz="0" w:space="0" w:color="auto"/>
                        <w:left w:val="none" w:sz="0" w:space="0" w:color="auto"/>
                        <w:bottom w:val="none" w:sz="0" w:space="0" w:color="auto"/>
                        <w:right w:val="none" w:sz="0" w:space="0" w:color="auto"/>
                      </w:divBdr>
                    </w:div>
                    <w:div w:id="294145621">
                      <w:marLeft w:val="0"/>
                      <w:marRight w:val="0"/>
                      <w:marTop w:val="0"/>
                      <w:marBottom w:val="0"/>
                      <w:divBdr>
                        <w:top w:val="none" w:sz="0" w:space="0" w:color="auto"/>
                        <w:left w:val="none" w:sz="0" w:space="0" w:color="auto"/>
                        <w:bottom w:val="none" w:sz="0" w:space="0" w:color="auto"/>
                        <w:right w:val="none" w:sz="0" w:space="0" w:color="auto"/>
                      </w:divBdr>
                    </w:div>
                    <w:div w:id="294145654">
                      <w:marLeft w:val="0"/>
                      <w:marRight w:val="0"/>
                      <w:marTop w:val="0"/>
                      <w:marBottom w:val="0"/>
                      <w:divBdr>
                        <w:top w:val="none" w:sz="0" w:space="0" w:color="auto"/>
                        <w:left w:val="none" w:sz="0" w:space="0" w:color="auto"/>
                        <w:bottom w:val="none" w:sz="0" w:space="0" w:color="auto"/>
                        <w:right w:val="none" w:sz="0" w:space="0" w:color="auto"/>
                      </w:divBdr>
                      <w:divsChild>
                        <w:div w:id="294146345">
                          <w:marLeft w:val="0"/>
                          <w:marRight w:val="0"/>
                          <w:marTop w:val="0"/>
                          <w:marBottom w:val="0"/>
                          <w:divBdr>
                            <w:top w:val="none" w:sz="0" w:space="0" w:color="auto"/>
                            <w:left w:val="none" w:sz="0" w:space="0" w:color="auto"/>
                            <w:bottom w:val="none" w:sz="0" w:space="0" w:color="auto"/>
                            <w:right w:val="none" w:sz="0" w:space="0" w:color="auto"/>
                          </w:divBdr>
                        </w:div>
                      </w:divsChild>
                    </w:div>
                    <w:div w:id="294145693">
                      <w:marLeft w:val="0"/>
                      <w:marRight w:val="0"/>
                      <w:marTop w:val="0"/>
                      <w:marBottom w:val="0"/>
                      <w:divBdr>
                        <w:top w:val="none" w:sz="0" w:space="0" w:color="auto"/>
                        <w:left w:val="none" w:sz="0" w:space="0" w:color="auto"/>
                        <w:bottom w:val="none" w:sz="0" w:space="0" w:color="auto"/>
                        <w:right w:val="none" w:sz="0" w:space="0" w:color="auto"/>
                      </w:divBdr>
                    </w:div>
                    <w:div w:id="294145736">
                      <w:marLeft w:val="0"/>
                      <w:marRight w:val="0"/>
                      <w:marTop w:val="0"/>
                      <w:marBottom w:val="0"/>
                      <w:divBdr>
                        <w:top w:val="none" w:sz="0" w:space="0" w:color="auto"/>
                        <w:left w:val="none" w:sz="0" w:space="0" w:color="auto"/>
                        <w:bottom w:val="none" w:sz="0" w:space="0" w:color="auto"/>
                        <w:right w:val="none" w:sz="0" w:space="0" w:color="auto"/>
                      </w:divBdr>
                      <w:divsChild>
                        <w:div w:id="294155470">
                          <w:marLeft w:val="0"/>
                          <w:marRight w:val="0"/>
                          <w:marTop w:val="0"/>
                          <w:marBottom w:val="0"/>
                          <w:divBdr>
                            <w:top w:val="none" w:sz="0" w:space="0" w:color="auto"/>
                            <w:left w:val="none" w:sz="0" w:space="0" w:color="auto"/>
                            <w:bottom w:val="none" w:sz="0" w:space="0" w:color="auto"/>
                            <w:right w:val="none" w:sz="0" w:space="0" w:color="auto"/>
                          </w:divBdr>
                        </w:div>
                      </w:divsChild>
                    </w:div>
                    <w:div w:id="294145756">
                      <w:marLeft w:val="0"/>
                      <w:marRight w:val="0"/>
                      <w:marTop w:val="0"/>
                      <w:marBottom w:val="0"/>
                      <w:divBdr>
                        <w:top w:val="none" w:sz="0" w:space="0" w:color="auto"/>
                        <w:left w:val="none" w:sz="0" w:space="0" w:color="auto"/>
                        <w:bottom w:val="none" w:sz="0" w:space="0" w:color="auto"/>
                        <w:right w:val="none" w:sz="0" w:space="0" w:color="auto"/>
                      </w:divBdr>
                    </w:div>
                    <w:div w:id="294145817">
                      <w:marLeft w:val="0"/>
                      <w:marRight w:val="0"/>
                      <w:marTop w:val="0"/>
                      <w:marBottom w:val="0"/>
                      <w:divBdr>
                        <w:top w:val="none" w:sz="0" w:space="0" w:color="auto"/>
                        <w:left w:val="none" w:sz="0" w:space="0" w:color="auto"/>
                        <w:bottom w:val="none" w:sz="0" w:space="0" w:color="auto"/>
                        <w:right w:val="none" w:sz="0" w:space="0" w:color="auto"/>
                      </w:divBdr>
                      <w:divsChild>
                        <w:div w:id="294148897">
                          <w:marLeft w:val="0"/>
                          <w:marRight w:val="0"/>
                          <w:marTop w:val="0"/>
                          <w:marBottom w:val="0"/>
                          <w:divBdr>
                            <w:top w:val="none" w:sz="0" w:space="0" w:color="auto"/>
                            <w:left w:val="none" w:sz="0" w:space="0" w:color="auto"/>
                            <w:bottom w:val="none" w:sz="0" w:space="0" w:color="auto"/>
                            <w:right w:val="none" w:sz="0" w:space="0" w:color="auto"/>
                          </w:divBdr>
                        </w:div>
                      </w:divsChild>
                    </w:div>
                    <w:div w:id="294145859">
                      <w:marLeft w:val="0"/>
                      <w:marRight w:val="0"/>
                      <w:marTop w:val="0"/>
                      <w:marBottom w:val="0"/>
                      <w:divBdr>
                        <w:top w:val="none" w:sz="0" w:space="0" w:color="auto"/>
                        <w:left w:val="none" w:sz="0" w:space="0" w:color="auto"/>
                        <w:bottom w:val="none" w:sz="0" w:space="0" w:color="auto"/>
                        <w:right w:val="none" w:sz="0" w:space="0" w:color="auto"/>
                      </w:divBdr>
                    </w:div>
                    <w:div w:id="294145963">
                      <w:marLeft w:val="0"/>
                      <w:marRight w:val="0"/>
                      <w:marTop w:val="0"/>
                      <w:marBottom w:val="0"/>
                      <w:divBdr>
                        <w:top w:val="none" w:sz="0" w:space="0" w:color="auto"/>
                        <w:left w:val="none" w:sz="0" w:space="0" w:color="auto"/>
                        <w:bottom w:val="none" w:sz="0" w:space="0" w:color="auto"/>
                        <w:right w:val="none" w:sz="0" w:space="0" w:color="auto"/>
                      </w:divBdr>
                      <w:divsChild>
                        <w:div w:id="294146175">
                          <w:marLeft w:val="0"/>
                          <w:marRight w:val="0"/>
                          <w:marTop w:val="0"/>
                          <w:marBottom w:val="0"/>
                          <w:divBdr>
                            <w:top w:val="none" w:sz="0" w:space="0" w:color="auto"/>
                            <w:left w:val="none" w:sz="0" w:space="0" w:color="auto"/>
                            <w:bottom w:val="none" w:sz="0" w:space="0" w:color="auto"/>
                            <w:right w:val="none" w:sz="0" w:space="0" w:color="auto"/>
                          </w:divBdr>
                        </w:div>
                      </w:divsChild>
                    </w:div>
                    <w:div w:id="294145969">
                      <w:marLeft w:val="0"/>
                      <w:marRight w:val="0"/>
                      <w:marTop w:val="0"/>
                      <w:marBottom w:val="0"/>
                      <w:divBdr>
                        <w:top w:val="none" w:sz="0" w:space="0" w:color="auto"/>
                        <w:left w:val="none" w:sz="0" w:space="0" w:color="auto"/>
                        <w:bottom w:val="none" w:sz="0" w:space="0" w:color="auto"/>
                        <w:right w:val="none" w:sz="0" w:space="0" w:color="auto"/>
                      </w:divBdr>
                    </w:div>
                    <w:div w:id="294145975">
                      <w:marLeft w:val="0"/>
                      <w:marRight w:val="0"/>
                      <w:marTop w:val="0"/>
                      <w:marBottom w:val="0"/>
                      <w:divBdr>
                        <w:top w:val="none" w:sz="0" w:space="0" w:color="auto"/>
                        <w:left w:val="none" w:sz="0" w:space="0" w:color="auto"/>
                        <w:bottom w:val="none" w:sz="0" w:space="0" w:color="auto"/>
                        <w:right w:val="none" w:sz="0" w:space="0" w:color="auto"/>
                      </w:divBdr>
                      <w:divsChild>
                        <w:div w:id="294155734">
                          <w:marLeft w:val="0"/>
                          <w:marRight w:val="0"/>
                          <w:marTop w:val="0"/>
                          <w:marBottom w:val="0"/>
                          <w:divBdr>
                            <w:top w:val="none" w:sz="0" w:space="0" w:color="auto"/>
                            <w:left w:val="none" w:sz="0" w:space="0" w:color="auto"/>
                            <w:bottom w:val="none" w:sz="0" w:space="0" w:color="auto"/>
                            <w:right w:val="none" w:sz="0" w:space="0" w:color="auto"/>
                          </w:divBdr>
                        </w:div>
                      </w:divsChild>
                    </w:div>
                    <w:div w:id="294146004">
                      <w:marLeft w:val="0"/>
                      <w:marRight w:val="0"/>
                      <w:marTop w:val="0"/>
                      <w:marBottom w:val="0"/>
                      <w:divBdr>
                        <w:top w:val="none" w:sz="0" w:space="0" w:color="auto"/>
                        <w:left w:val="none" w:sz="0" w:space="0" w:color="auto"/>
                        <w:bottom w:val="none" w:sz="0" w:space="0" w:color="auto"/>
                        <w:right w:val="none" w:sz="0" w:space="0" w:color="auto"/>
                      </w:divBdr>
                      <w:divsChild>
                        <w:div w:id="294152912">
                          <w:marLeft w:val="0"/>
                          <w:marRight w:val="0"/>
                          <w:marTop w:val="0"/>
                          <w:marBottom w:val="0"/>
                          <w:divBdr>
                            <w:top w:val="none" w:sz="0" w:space="0" w:color="auto"/>
                            <w:left w:val="none" w:sz="0" w:space="0" w:color="auto"/>
                            <w:bottom w:val="none" w:sz="0" w:space="0" w:color="auto"/>
                            <w:right w:val="none" w:sz="0" w:space="0" w:color="auto"/>
                          </w:divBdr>
                        </w:div>
                      </w:divsChild>
                    </w:div>
                    <w:div w:id="294146128">
                      <w:marLeft w:val="0"/>
                      <w:marRight w:val="0"/>
                      <w:marTop w:val="0"/>
                      <w:marBottom w:val="0"/>
                      <w:divBdr>
                        <w:top w:val="none" w:sz="0" w:space="0" w:color="auto"/>
                        <w:left w:val="none" w:sz="0" w:space="0" w:color="auto"/>
                        <w:bottom w:val="none" w:sz="0" w:space="0" w:color="auto"/>
                        <w:right w:val="none" w:sz="0" w:space="0" w:color="auto"/>
                      </w:divBdr>
                    </w:div>
                    <w:div w:id="294146186">
                      <w:marLeft w:val="0"/>
                      <w:marRight w:val="0"/>
                      <w:marTop w:val="0"/>
                      <w:marBottom w:val="0"/>
                      <w:divBdr>
                        <w:top w:val="none" w:sz="0" w:space="0" w:color="auto"/>
                        <w:left w:val="none" w:sz="0" w:space="0" w:color="auto"/>
                        <w:bottom w:val="none" w:sz="0" w:space="0" w:color="auto"/>
                        <w:right w:val="none" w:sz="0" w:space="0" w:color="auto"/>
                      </w:divBdr>
                    </w:div>
                    <w:div w:id="294146196">
                      <w:marLeft w:val="0"/>
                      <w:marRight w:val="0"/>
                      <w:marTop w:val="0"/>
                      <w:marBottom w:val="0"/>
                      <w:divBdr>
                        <w:top w:val="none" w:sz="0" w:space="0" w:color="auto"/>
                        <w:left w:val="none" w:sz="0" w:space="0" w:color="auto"/>
                        <w:bottom w:val="none" w:sz="0" w:space="0" w:color="auto"/>
                        <w:right w:val="none" w:sz="0" w:space="0" w:color="auto"/>
                      </w:divBdr>
                      <w:divsChild>
                        <w:div w:id="294141812">
                          <w:marLeft w:val="0"/>
                          <w:marRight w:val="0"/>
                          <w:marTop w:val="0"/>
                          <w:marBottom w:val="0"/>
                          <w:divBdr>
                            <w:top w:val="none" w:sz="0" w:space="0" w:color="auto"/>
                            <w:left w:val="none" w:sz="0" w:space="0" w:color="auto"/>
                            <w:bottom w:val="none" w:sz="0" w:space="0" w:color="auto"/>
                            <w:right w:val="none" w:sz="0" w:space="0" w:color="auto"/>
                          </w:divBdr>
                        </w:div>
                      </w:divsChild>
                    </w:div>
                    <w:div w:id="294146199">
                      <w:marLeft w:val="0"/>
                      <w:marRight w:val="0"/>
                      <w:marTop w:val="0"/>
                      <w:marBottom w:val="0"/>
                      <w:divBdr>
                        <w:top w:val="none" w:sz="0" w:space="0" w:color="auto"/>
                        <w:left w:val="none" w:sz="0" w:space="0" w:color="auto"/>
                        <w:bottom w:val="none" w:sz="0" w:space="0" w:color="auto"/>
                        <w:right w:val="none" w:sz="0" w:space="0" w:color="auto"/>
                      </w:divBdr>
                    </w:div>
                    <w:div w:id="294146223">
                      <w:marLeft w:val="0"/>
                      <w:marRight w:val="0"/>
                      <w:marTop w:val="0"/>
                      <w:marBottom w:val="0"/>
                      <w:divBdr>
                        <w:top w:val="none" w:sz="0" w:space="0" w:color="auto"/>
                        <w:left w:val="none" w:sz="0" w:space="0" w:color="auto"/>
                        <w:bottom w:val="none" w:sz="0" w:space="0" w:color="auto"/>
                        <w:right w:val="none" w:sz="0" w:space="0" w:color="auto"/>
                      </w:divBdr>
                    </w:div>
                    <w:div w:id="294146229">
                      <w:marLeft w:val="0"/>
                      <w:marRight w:val="0"/>
                      <w:marTop w:val="0"/>
                      <w:marBottom w:val="0"/>
                      <w:divBdr>
                        <w:top w:val="none" w:sz="0" w:space="0" w:color="auto"/>
                        <w:left w:val="none" w:sz="0" w:space="0" w:color="auto"/>
                        <w:bottom w:val="none" w:sz="0" w:space="0" w:color="auto"/>
                        <w:right w:val="none" w:sz="0" w:space="0" w:color="auto"/>
                      </w:divBdr>
                    </w:div>
                    <w:div w:id="294146373">
                      <w:marLeft w:val="0"/>
                      <w:marRight w:val="0"/>
                      <w:marTop w:val="0"/>
                      <w:marBottom w:val="0"/>
                      <w:divBdr>
                        <w:top w:val="none" w:sz="0" w:space="0" w:color="auto"/>
                        <w:left w:val="none" w:sz="0" w:space="0" w:color="auto"/>
                        <w:bottom w:val="none" w:sz="0" w:space="0" w:color="auto"/>
                        <w:right w:val="none" w:sz="0" w:space="0" w:color="auto"/>
                      </w:divBdr>
                    </w:div>
                    <w:div w:id="294146374">
                      <w:marLeft w:val="0"/>
                      <w:marRight w:val="0"/>
                      <w:marTop w:val="0"/>
                      <w:marBottom w:val="0"/>
                      <w:divBdr>
                        <w:top w:val="none" w:sz="0" w:space="0" w:color="auto"/>
                        <w:left w:val="none" w:sz="0" w:space="0" w:color="auto"/>
                        <w:bottom w:val="none" w:sz="0" w:space="0" w:color="auto"/>
                        <w:right w:val="none" w:sz="0" w:space="0" w:color="auto"/>
                      </w:divBdr>
                    </w:div>
                    <w:div w:id="294146395">
                      <w:marLeft w:val="0"/>
                      <w:marRight w:val="0"/>
                      <w:marTop w:val="0"/>
                      <w:marBottom w:val="0"/>
                      <w:divBdr>
                        <w:top w:val="none" w:sz="0" w:space="0" w:color="auto"/>
                        <w:left w:val="none" w:sz="0" w:space="0" w:color="auto"/>
                        <w:bottom w:val="none" w:sz="0" w:space="0" w:color="auto"/>
                        <w:right w:val="none" w:sz="0" w:space="0" w:color="auto"/>
                      </w:divBdr>
                    </w:div>
                    <w:div w:id="294146435">
                      <w:marLeft w:val="0"/>
                      <w:marRight w:val="0"/>
                      <w:marTop w:val="0"/>
                      <w:marBottom w:val="0"/>
                      <w:divBdr>
                        <w:top w:val="none" w:sz="0" w:space="0" w:color="auto"/>
                        <w:left w:val="none" w:sz="0" w:space="0" w:color="auto"/>
                        <w:bottom w:val="none" w:sz="0" w:space="0" w:color="auto"/>
                        <w:right w:val="none" w:sz="0" w:space="0" w:color="auto"/>
                      </w:divBdr>
                      <w:divsChild>
                        <w:div w:id="294154892">
                          <w:marLeft w:val="0"/>
                          <w:marRight w:val="0"/>
                          <w:marTop w:val="0"/>
                          <w:marBottom w:val="0"/>
                          <w:divBdr>
                            <w:top w:val="none" w:sz="0" w:space="0" w:color="auto"/>
                            <w:left w:val="none" w:sz="0" w:space="0" w:color="auto"/>
                            <w:bottom w:val="none" w:sz="0" w:space="0" w:color="auto"/>
                            <w:right w:val="none" w:sz="0" w:space="0" w:color="auto"/>
                          </w:divBdr>
                        </w:div>
                      </w:divsChild>
                    </w:div>
                    <w:div w:id="294146437">
                      <w:marLeft w:val="0"/>
                      <w:marRight w:val="0"/>
                      <w:marTop w:val="0"/>
                      <w:marBottom w:val="0"/>
                      <w:divBdr>
                        <w:top w:val="none" w:sz="0" w:space="0" w:color="auto"/>
                        <w:left w:val="none" w:sz="0" w:space="0" w:color="auto"/>
                        <w:bottom w:val="none" w:sz="0" w:space="0" w:color="auto"/>
                        <w:right w:val="none" w:sz="0" w:space="0" w:color="auto"/>
                      </w:divBdr>
                    </w:div>
                    <w:div w:id="294146521">
                      <w:marLeft w:val="0"/>
                      <w:marRight w:val="0"/>
                      <w:marTop w:val="0"/>
                      <w:marBottom w:val="0"/>
                      <w:divBdr>
                        <w:top w:val="none" w:sz="0" w:space="0" w:color="auto"/>
                        <w:left w:val="none" w:sz="0" w:space="0" w:color="auto"/>
                        <w:bottom w:val="none" w:sz="0" w:space="0" w:color="auto"/>
                        <w:right w:val="none" w:sz="0" w:space="0" w:color="auto"/>
                      </w:divBdr>
                      <w:divsChild>
                        <w:div w:id="294146606">
                          <w:marLeft w:val="0"/>
                          <w:marRight w:val="0"/>
                          <w:marTop w:val="0"/>
                          <w:marBottom w:val="0"/>
                          <w:divBdr>
                            <w:top w:val="none" w:sz="0" w:space="0" w:color="auto"/>
                            <w:left w:val="none" w:sz="0" w:space="0" w:color="auto"/>
                            <w:bottom w:val="none" w:sz="0" w:space="0" w:color="auto"/>
                            <w:right w:val="none" w:sz="0" w:space="0" w:color="auto"/>
                          </w:divBdr>
                        </w:div>
                      </w:divsChild>
                    </w:div>
                    <w:div w:id="294146526">
                      <w:marLeft w:val="0"/>
                      <w:marRight w:val="0"/>
                      <w:marTop w:val="0"/>
                      <w:marBottom w:val="0"/>
                      <w:divBdr>
                        <w:top w:val="none" w:sz="0" w:space="0" w:color="auto"/>
                        <w:left w:val="none" w:sz="0" w:space="0" w:color="auto"/>
                        <w:bottom w:val="none" w:sz="0" w:space="0" w:color="auto"/>
                        <w:right w:val="none" w:sz="0" w:space="0" w:color="auto"/>
                      </w:divBdr>
                    </w:div>
                    <w:div w:id="294146544">
                      <w:marLeft w:val="0"/>
                      <w:marRight w:val="0"/>
                      <w:marTop w:val="0"/>
                      <w:marBottom w:val="0"/>
                      <w:divBdr>
                        <w:top w:val="none" w:sz="0" w:space="0" w:color="auto"/>
                        <w:left w:val="none" w:sz="0" w:space="0" w:color="auto"/>
                        <w:bottom w:val="none" w:sz="0" w:space="0" w:color="auto"/>
                        <w:right w:val="none" w:sz="0" w:space="0" w:color="auto"/>
                      </w:divBdr>
                    </w:div>
                    <w:div w:id="294146620">
                      <w:marLeft w:val="0"/>
                      <w:marRight w:val="0"/>
                      <w:marTop w:val="0"/>
                      <w:marBottom w:val="0"/>
                      <w:divBdr>
                        <w:top w:val="none" w:sz="0" w:space="0" w:color="auto"/>
                        <w:left w:val="none" w:sz="0" w:space="0" w:color="auto"/>
                        <w:bottom w:val="none" w:sz="0" w:space="0" w:color="auto"/>
                        <w:right w:val="none" w:sz="0" w:space="0" w:color="auto"/>
                      </w:divBdr>
                    </w:div>
                    <w:div w:id="294146656">
                      <w:marLeft w:val="0"/>
                      <w:marRight w:val="0"/>
                      <w:marTop w:val="0"/>
                      <w:marBottom w:val="0"/>
                      <w:divBdr>
                        <w:top w:val="none" w:sz="0" w:space="0" w:color="auto"/>
                        <w:left w:val="none" w:sz="0" w:space="0" w:color="auto"/>
                        <w:bottom w:val="none" w:sz="0" w:space="0" w:color="auto"/>
                        <w:right w:val="none" w:sz="0" w:space="0" w:color="auto"/>
                      </w:divBdr>
                      <w:divsChild>
                        <w:div w:id="294144807">
                          <w:marLeft w:val="0"/>
                          <w:marRight w:val="0"/>
                          <w:marTop w:val="0"/>
                          <w:marBottom w:val="0"/>
                          <w:divBdr>
                            <w:top w:val="none" w:sz="0" w:space="0" w:color="auto"/>
                            <w:left w:val="none" w:sz="0" w:space="0" w:color="auto"/>
                            <w:bottom w:val="none" w:sz="0" w:space="0" w:color="auto"/>
                            <w:right w:val="none" w:sz="0" w:space="0" w:color="auto"/>
                          </w:divBdr>
                        </w:div>
                      </w:divsChild>
                    </w:div>
                    <w:div w:id="294146753">
                      <w:marLeft w:val="0"/>
                      <w:marRight w:val="0"/>
                      <w:marTop w:val="0"/>
                      <w:marBottom w:val="0"/>
                      <w:divBdr>
                        <w:top w:val="none" w:sz="0" w:space="0" w:color="auto"/>
                        <w:left w:val="none" w:sz="0" w:space="0" w:color="auto"/>
                        <w:bottom w:val="none" w:sz="0" w:space="0" w:color="auto"/>
                        <w:right w:val="none" w:sz="0" w:space="0" w:color="auto"/>
                      </w:divBdr>
                      <w:divsChild>
                        <w:div w:id="294149545">
                          <w:marLeft w:val="0"/>
                          <w:marRight w:val="0"/>
                          <w:marTop w:val="0"/>
                          <w:marBottom w:val="0"/>
                          <w:divBdr>
                            <w:top w:val="none" w:sz="0" w:space="0" w:color="auto"/>
                            <w:left w:val="none" w:sz="0" w:space="0" w:color="auto"/>
                            <w:bottom w:val="none" w:sz="0" w:space="0" w:color="auto"/>
                            <w:right w:val="none" w:sz="0" w:space="0" w:color="auto"/>
                          </w:divBdr>
                        </w:div>
                      </w:divsChild>
                    </w:div>
                    <w:div w:id="294146789">
                      <w:marLeft w:val="0"/>
                      <w:marRight w:val="0"/>
                      <w:marTop w:val="0"/>
                      <w:marBottom w:val="0"/>
                      <w:divBdr>
                        <w:top w:val="none" w:sz="0" w:space="0" w:color="auto"/>
                        <w:left w:val="none" w:sz="0" w:space="0" w:color="auto"/>
                        <w:bottom w:val="none" w:sz="0" w:space="0" w:color="auto"/>
                        <w:right w:val="none" w:sz="0" w:space="0" w:color="auto"/>
                      </w:divBdr>
                    </w:div>
                    <w:div w:id="294146817">
                      <w:marLeft w:val="0"/>
                      <w:marRight w:val="0"/>
                      <w:marTop w:val="0"/>
                      <w:marBottom w:val="0"/>
                      <w:divBdr>
                        <w:top w:val="none" w:sz="0" w:space="0" w:color="auto"/>
                        <w:left w:val="none" w:sz="0" w:space="0" w:color="auto"/>
                        <w:bottom w:val="none" w:sz="0" w:space="0" w:color="auto"/>
                        <w:right w:val="none" w:sz="0" w:space="0" w:color="auto"/>
                      </w:divBdr>
                      <w:divsChild>
                        <w:div w:id="294139965">
                          <w:marLeft w:val="0"/>
                          <w:marRight w:val="0"/>
                          <w:marTop w:val="0"/>
                          <w:marBottom w:val="0"/>
                          <w:divBdr>
                            <w:top w:val="none" w:sz="0" w:space="0" w:color="auto"/>
                            <w:left w:val="none" w:sz="0" w:space="0" w:color="auto"/>
                            <w:bottom w:val="none" w:sz="0" w:space="0" w:color="auto"/>
                            <w:right w:val="none" w:sz="0" w:space="0" w:color="auto"/>
                          </w:divBdr>
                        </w:div>
                      </w:divsChild>
                    </w:div>
                    <w:div w:id="294146865">
                      <w:marLeft w:val="0"/>
                      <w:marRight w:val="0"/>
                      <w:marTop w:val="0"/>
                      <w:marBottom w:val="0"/>
                      <w:divBdr>
                        <w:top w:val="none" w:sz="0" w:space="0" w:color="auto"/>
                        <w:left w:val="none" w:sz="0" w:space="0" w:color="auto"/>
                        <w:bottom w:val="none" w:sz="0" w:space="0" w:color="auto"/>
                        <w:right w:val="none" w:sz="0" w:space="0" w:color="auto"/>
                      </w:divBdr>
                    </w:div>
                    <w:div w:id="294146881">
                      <w:marLeft w:val="0"/>
                      <w:marRight w:val="0"/>
                      <w:marTop w:val="0"/>
                      <w:marBottom w:val="0"/>
                      <w:divBdr>
                        <w:top w:val="none" w:sz="0" w:space="0" w:color="auto"/>
                        <w:left w:val="none" w:sz="0" w:space="0" w:color="auto"/>
                        <w:bottom w:val="none" w:sz="0" w:space="0" w:color="auto"/>
                        <w:right w:val="none" w:sz="0" w:space="0" w:color="auto"/>
                      </w:divBdr>
                    </w:div>
                    <w:div w:id="294146896">
                      <w:marLeft w:val="0"/>
                      <w:marRight w:val="0"/>
                      <w:marTop w:val="0"/>
                      <w:marBottom w:val="0"/>
                      <w:divBdr>
                        <w:top w:val="none" w:sz="0" w:space="0" w:color="auto"/>
                        <w:left w:val="none" w:sz="0" w:space="0" w:color="auto"/>
                        <w:bottom w:val="none" w:sz="0" w:space="0" w:color="auto"/>
                        <w:right w:val="none" w:sz="0" w:space="0" w:color="auto"/>
                      </w:divBdr>
                      <w:divsChild>
                        <w:div w:id="294148921">
                          <w:marLeft w:val="0"/>
                          <w:marRight w:val="0"/>
                          <w:marTop w:val="0"/>
                          <w:marBottom w:val="0"/>
                          <w:divBdr>
                            <w:top w:val="none" w:sz="0" w:space="0" w:color="auto"/>
                            <w:left w:val="none" w:sz="0" w:space="0" w:color="auto"/>
                            <w:bottom w:val="none" w:sz="0" w:space="0" w:color="auto"/>
                            <w:right w:val="none" w:sz="0" w:space="0" w:color="auto"/>
                          </w:divBdr>
                        </w:div>
                      </w:divsChild>
                    </w:div>
                    <w:div w:id="294146966">
                      <w:marLeft w:val="0"/>
                      <w:marRight w:val="0"/>
                      <w:marTop w:val="0"/>
                      <w:marBottom w:val="0"/>
                      <w:divBdr>
                        <w:top w:val="none" w:sz="0" w:space="0" w:color="auto"/>
                        <w:left w:val="none" w:sz="0" w:space="0" w:color="auto"/>
                        <w:bottom w:val="none" w:sz="0" w:space="0" w:color="auto"/>
                        <w:right w:val="none" w:sz="0" w:space="0" w:color="auto"/>
                      </w:divBdr>
                    </w:div>
                    <w:div w:id="294146971">
                      <w:marLeft w:val="0"/>
                      <w:marRight w:val="0"/>
                      <w:marTop w:val="0"/>
                      <w:marBottom w:val="0"/>
                      <w:divBdr>
                        <w:top w:val="none" w:sz="0" w:space="0" w:color="auto"/>
                        <w:left w:val="none" w:sz="0" w:space="0" w:color="auto"/>
                        <w:bottom w:val="none" w:sz="0" w:space="0" w:color="auto"/>
                        <w:right w:val="none" w:sz="0" w:space="0" w:color="auto"/>
                      </w:divBdr>
                      <w:divsChild>
                        <w:div w:id="294147222">
                          <w:marLeft w:val="0"/>
                          <w:marRight w:val="0"/>
                          <w:marTop w:val="0"/>
                          <w:marBottom w:val="0"/>
                          <w:divBdr>
                            <w:top w:val="none" w:sz="0" w:space="0" w:color="auto"/>
                            <w:left w:val="none" w:sz="0" w:space="0" w:color="auto"/>
                            <w:bottom w:val="none" w:sz="0" w:space="0" w:color="auto"/>
                            <w:right w:val="none" w:sz="0" w:space="0" w:color="auto"/>
                          </w:divBdr>
                        </w:div>
                      </w:divsChild>
                    </w:div>
                    <w:div w:id="294146999">
                      <w:marLeft w:val="0"/>
                      <w:marRight w:val="0"/>
                      <w:marTop w:val="0"/>
                      <w:marBottom w:val="0"/>
                      <w:divBdr>
                        <w:top w:val="none" w:sz="0" w:space="0" w:color="auto"/>
                        <w:left w:val="none" w:sz="0" w:space="0" w:color="auto"/>
                        <w:bottom w:val="none" w:sz="0" w:space="0" w:color="auto"/>
                        <w:right w:val="none" w:sz="0" w:space="0" w:color="auto"/>
                      </w:divBdr>
                    </w:div>
                    <w:div w:id="294147070">
                      <w:marLeft w:val="0"/>
                      <w:marRight w:val="0"/>
                      <w:marTop w:val="0"/>
                      <w:marBottom w:val="0"/>
                      <w:divBdr>
                        <w:top w:val="none" w:sz="0" w:space="0" w:color="auto"/>
                        <w:left w:val="none" w:sz="0" w:space="0" w:color="auto"/>
                        <w:bottom w:val="none" w:sz="0" w:space="0" w:color="auto"/>
                        <w:right w:val="none" w:sz="0" w:space="0" w:color="auto"/>
                      </w:divBdr>
                      <w:divsChild>
                        <w:div w:id="294150954">
                          <w:marLeft w:val="0"/>
                          <w:marRight w:val="0"/>
                          <w:marTop w:val="0"/>
                          <w:marBottom w:val="0"/>
                          <w:divBdr>
                            <w:top w:val="none" w:sz="0" w:space="0" w:color="auto"/>
                            <w:left w:val="none" w:sz="0" w:space="0" w:color="auto"/>
                            <w:bottom w:val="none" w:sz="0" w:space="0" w:color="auto"/>
                            <w:right w:val="none" w:sz="0" w:space="0" w:color="auto"/>
                          </w:divBdr>
                        </w:div>
                      </w:divsChild>
                    </w:div>
                    <w:div w:id="294147092">
                      <w:marLeft w:val="0"/>
                      <w:marRight w:val="0"/>
                      <w:marTop w:val="0"/>
                      <w:marBottom w:val="0"/>
                      <w:divBdr>
                        <w:top w:val="none" w:sz="0" w:space="0" w:color="auto"/>
                        <w:left w:val="none" w:sz="0" w:space="0" w:color="auto"/>
                        <w:bottom w:val="none" w:sz="0" w:space="0" w:color="auto"/>
                        <w:right w:val="none" w:sz="0" w:space="0" w:color="auto"/>
                      </w:divBdr>
                      <w:divsChild>
                        <w:div w:id="294138378">
                          <w:marLeft w:val="0"/>
                          <w:marRight w:val="0"/>
                          <w:marTop w:val="0"/>
                          <w:marBottom w:val="0"/>
                          <w:divBdr>
                            <w:top w:val="none" w:sz="0" w:space="0" w:color="auto"/>
                            <w:left w:val="none" w:sz="0" w:space="0" w:color="auto"/>
                            <w:bottom w:val="none" w:sz="0" w:space="0" w:color="auto"/>
                            <w:right w:val="none" w:sz="0" w:space="0" w:color="auto"/>
                          </w:divBdr>
                        </w:div>
                      </w:divsChild>
                    </w:div>
                    <w:div w:id="294147100">
                      <w:marLeft w:val="0"/>
                      <w:marRight w:val="0"/>
                      <w:marTop w:val="0"/>
                      <w:marBottom w:val="0"/>
                      <w:divBdr>
                        <w:top w:val="none" w:sz="0" w:space="0" w:color="auto"/>
                        <w:left w:val="none" w:sz="0" w:space="0" w:color="auto"/>
                        <w:bottom w:val="none" w:sz="0" w:space="0" w:color="auto"/>
                        <w:right w:val="none" w:sz="0" w:space="0" w:color="auto"/>
                      </w:divBdr>
                    </w:div>
                    <w:div w:id="294147102">
                      <w:marLeft w:val="0"/>
                      <w:marRight w:val="0"/>
                      <w:marTop w:val="0"/>
                      <w:marBottom w:val="0"/>
                      <w:divBdr>
                        <w:top w:val="none" w:sz="0" w:space="0" w:color="auto"/>
                        <w:left w:val="none" w:sz="0" w:space="0" w:color="auto"/>
                        <w:bottom w:val="none" w:sz="0" w:space="0" w:color="auto"/>
                        <w:right w:val="none" w:sz="0" w:space="0" w:color="auto"/>
                      </w:divBdr>
                      <w:divsChild>
                        <w:div w:id="294153612">
                          <w:marLeft w:val="0"/>
                          <w:marRight w:val="0"/>
                          <w:marTop w:val="0"/>
                          <w:marBottom w:val="0"/>
                          <w:divBdr>
                            <w:top w:val="none" w:sz="0" w:space="0" w:color="auto"/>
                            <w:left w:val="none" w:sz="0" w:space="0" w:color="auto"/>
                            <w:bottom w:val="none" w:sz="0" w:space="0" w:color="auto"/>
                            <w:right w:val="none" w:sz="0" w:space="0" w:color="auto"/>
                          </w:divBdr>
                        </w:div>
                      </w:divsChild>
                    </w:div>
                    <w:div w:id="294147110">
                      <w:marLeft w:val="0"/>
                      <w:marRight w:val="0"/>
                      <w:marTop w:val="0"/>
                      <w:marBottom w:val="0"/>
                      <w:divBdr>
                        <w:top w:val="none" w:sz="0" w:space="0" w:color="auto"/>
                        <w:left w:val="none" w:sz="0" w:space="0" w:color="auto"/>
                        <w:bottom w:val="none" w:sz="0" w:space="0" w:color="auto"/>
                        <w:right w:val="none" w:sz="0" w:space="0" w:color="auto"/>
                      </w:divBdr>
                    </w:div>
                    <w:div w:id="294147131">
                      <w:marLeft w:val="0"/>
                      <w:marRight w:val="0"/>
                      <w:marTop w:val="0"/>
                      <w:marBottom w:val="0"/>
                      <w:divBdr>
                        <w:top w:val="none" w:sz="0" w:space="0" w:color="auto"/>
                        <w:left w:val="none" w:sz="0" w:space="0" w:color="auto"/>
                        <w:bottom w:val="none" w:sz="0" w:space="0" w:color="auto"/>
                        <w:right w:val="none" w:sz="0" w:space="0" w:color="auto"/>
                      </w:divBdr>
                      <w:divsChild>
                        <w:div w:id="294143090">
                          <w:marLeft w:val="0"/>
                          <w:marRight w:val="0"/>
                          <w:marTop w:val="0"/>
                          <w:marBottom w:val="0"/>
                          <w:divBdr>
                            <w:top w:val="none" w:sz="0" w:space="0" w:color="auto"/>
                            <w:left w:val="none" w:sz="0" w:space="0" w:color="auto"/>
                            <w:bottom w:val="none" w:sz="0" w:space="0" w:color="auto"/>
                            <w:right w:val="none" w:sz="0" w:space="0" w:color="auto"/>
                          </w:divBdr>
                        </w:div>
                      </w:divsChild>
                    </w:div>
                    <w:div w:id="294147304">
                      <w:marLeft w:val="0"/>
                      <w:marRight w:val="0"/>
                      <w:marTop w:val="0"/>
                      <w:marBottom w:val="0"/>
                      <w:divBdr>
                        <w:top w:val="none" w:sz="0" w:space="0" w:color="auto"/>
                        <w:left w:val="none" w:sz="0" w:space="0" w:color="auto"/>
                        <w:bottom w:val="none" w:sz="0" w:space="0" w:color="auto"/>
                        <w:right w:val="none" w:sz="0" w:space="0" w:color="auto"/>
                      </w:divBdr>
                      <w:divsChild>
                        <w:div w:id="294157057">
                          <w:marLeft w:val="0"/>
                          <w:marRight w:val="0"/>
                          <w:marTop w:val="0"/>
                          <w:marBottom w:val="0"/>
                          <w:divBdr>
                            <w:top w:val="none" w:sz="0" w:space="0" w:color="auto"/>
                            <w:left w:val="none" w:sz="0" w:space="0" w:color="auto"/>
                            <w:bottom w:val="none" w:sz="0" w:space="0" w:color="auto"/>
                            <w:right w:val="none" w:sz="0" w:space="0" w:color="auto"/>
                          </w:divBdr>
                        </w:div>
                      </w:divsChild>
                    </w:div>
                    <w:div w:id="294147435">
                      <w:marLeft w:val="0"/>
                      <w:marRight w:val="0"/>
                      <w:marTop w:val="0"/>
                      <w:marBottom w:val="0"/>
                      <w:divBdr>
                        <w:top w:val="none" w:sz="0" w:space="0" w:color="auto"/>
                        <w:left w:val="none" w:sz="0" w:space="0" w:color="auto"/>
                        <w:bottom w:val="none" w:sz="0" w:space="0" w:color="auto"/>
                        <w:right w:val="none" w:sz="0" w:space="0" w:color="auto"/>
                      </w:divBdr>
                    </w:div>
                    <w:div w:id="294147489">
                      <w:marLeft w:val="0"/>
                      <w:marRight w:val="0"/>
                      <w:marTop w:val="0"/>
                      <w:marBottom w:val="0"/>
                      <w:divBdr>
                        <w:top w:val="none" w:sz="0" w:space="0" w:color="auto"/>
                        <w:left w:val="none" w:sz="0" w:space="0" w:color="auto"/>
                        <w:bottom w:val="none" w:sz="0" w:space="0" w:color="auto"/>
                        <w:right w:val="none" w:sz="0" w:space="0" w:color="auto"/>
                      </w:divBdr>
                    </w:div>
                    <w:div w:id="294147579">
                      <w:marLeft w:val="0"/>
                      <w:marRight w:val="0"/>
                      <w:marTop w:val="0"/>
                      <w:marBottom w:val="0"/>
                      <w:divBdr>
                        <w:top w:val="none" w:sz="0" w:space="0" w:color="auto"/>
                        <w:left w:val="none" w:sz="0" w:space="0" w:color="auto"/>
                        <w:bottom w:val="none" w:sz="0" w:space="0" w:color="auto"/>
                        <w:right w:val="none" w:sz="0" w:space="0" w:color="auto"/>
                      </w:divBdr>
                      <w:divsChild>
                        <w:div w:id="294150597">
                          <w:marLeft w:val="0"/>
                          <w:marRight w:val="0"/>
                          <w:marTop w:val="0"/>
                          <w:marBottom w:val="0"/>
                          <w:divBdr>
                            <w:top w:val="none" w:sz="0" w:space="0" w:color="auto"/>
                            <w:left w:val="none" w:sz="0" w:space="0" w:color="auto"/>
                            <w:bottom w:val="none" w:sz="0" w:space="0" w:color="auto"/>
                            <w:right w:val="none" w:sz="0" w:space="0" w:color="auto"/>
                          </w:divBdr>
                        </w:div>
                      </w:divsChild>
                    </w:div>
                    <w:div w:id="294147604">
                      <w:marLeft w:val="0"/>
                      <w:marRight w:val="0"/>
                      <w:marTop w:val="0"/>
                      <w:marBottom w:val="0"/>
                      <w:divBdr>
                        <w:top w:val="none" w:sz="0" w:space="0" w:color="auto"/>
                        <w:left w:val="none" w:sz="0" w:space="0" w:color="auto"/>
                        <w:bottom w:val="none" w:sz="0" w:space="0" w:color="auto"/>
                        <w:right w:val="none" w:sz="0" w:space="0" w:color="auto"/>
                      </w:divBdr>
                      <w:divsChild>
                        <w:div w:id="294145215">
                          <w:marLeft w:val="0"/>
                          <w:marRight w:val="0"/>
                          <w:marTop w:val="0"/>
                          <w:marBottom w:val="0"/>
                          <w:divBdr>
                            <w:top w:val="none" w:sz="0" w:space="0" w:color="auto"/>
                            <w:left w:val="none" w:sz="0" w:space="0" w:color="auto"/>
                            <w:bottom w:val="none" w:sz="0" w:space="0" w:color="auto"/>
                            <w:right w:val="none" w:sz="0" w:space="0" w:color="auto"/>
                          </w:divBdr>
                        </w:div>
                      </w:divsChild>
                    </w:div>
                    <w:div w:id="294147691">
                      <w:marLeft w:val="0"/>
                      <w:marRight w:val="0"/>
                      <w:marTop w:val="0"/>
                      <w:marBottom w:val="0"/>
                      <w:divBdr>
                        <w:top w:val="none" w:sz="0" w:space="0" w:color="auto"/>
                        <w:left w:val="none" w:sz="0" w:space="0" w:color="auto"/>
                        <w:bottom w:val="none" w:sz="0" w:space="0" w:color="auto"/>
                        <w:right w:val="none" w:sz="0" w:space="0" w:color="auto"/>
                      </w:divBdr>
                      <w:divsChild>
                        <w:div w:id="294144073">
                          <w:marLeft w:val="0"/>
                          <w:marRight w:val="0"/>
                          <w:marTop w:val="0"/>
                          <w:marBottom w:val="0"/>
                          <w:divBdr>
                            <w:top w:val="none" w:sz="0" w:space="0" w:color="auto"/>
                            <w:left w:val="none" w:sz="0" w:space="0" w:color="auto"/>
                            <w:bottom w:val="none" w:sz="0" w:space="0" w:color="auto"/>
                            <w:right w:val="none" w:sz="0" w:space="0" w:color="auto"/>
                          </w:divBdr>
                        </w:div>
                      </w:divsChild>
                    </w:div>
                    <w:div w:id="294147710">
                      <w:marLeft w:val="0"/>
                      <w:marRight w:val="0"/>
                      <w:marTop w:val="0"/>
                      <w:marBottom w:val="0"/>
                      <w:divBdr>
                        <w:top w:val="none" w:sz="0" w:space="0" w:color="auto"/>
                        <w:left w:val="none" w:sz="0" w:space="0" w:color="auto"/>
                        <w:bottom w:val="none" w:sz="0" w:space="0" w:color="auto"/>
                        <w:right w:val="none" w:sz="0" w:space="0" w:color="auto"/>
                      </w:divBdr>
                      <w:divsChild>
                        <w:div w:id="294143146">
                          <w:marLeft w:val="0"/>
                          <w:marRight w:val="0"/>
                          <w:marTop w:val="0"/>
                          <w:marBottom w:val="0"/>
                          <w:divBdr>
                            <w:top w:val="none" w:sz="0" w:space="0" w:color="auto"/>
                            <w:left w:val="none" w:sz="0" w:space="0" w:color="auto"/>
                            <w:bottom w:val="none" w:sz="0" w:space="0" w:color="auto"/>
                            <w:right w:val="none" w:sz="0" w:space="0" w:color="auto"/>
                          </w:divBdr>
                        </w:div>
                      </w:divsChild>
                    </w:div>
                    <w:div w:id="294147725">
                      <w:marLeft w:val="0"/>
                      <w:marRight w:val="0"/>
                      <w:marTop w:val="0"/>
                      <w:marBottom w:val="0"/>
                      <w:divBdr>
                        <w:top w:val="none" w:sz="0" w:space="0" w:color="auto"/>
                        <w:left w:val="none" w:sz="0" w:space="0" w:color="auto"/>
                        <w:bottom w:val="none" w:sz="0" w:space="0" w:color="auto"/>
                        <w:right w:val="none" w:sz="0" w:space="0" w:color="auto"/>
                      </w:divBdr>
                    </w:div>
                    <w:div w:id="294147730">
                      <w:marLeft w:val="0"/>
                      <w:marRight w:val="0"/>
                      <w:marTop w:val="0"/>
                      <w:marBottom w:val="0"/>
                      <w:divBdr>
                        <w:top w:val="none" w:sz="0" w:space="0" w:color="auto"/>
                        <w:left w:val="none" w:sz="0" w:space="0" w:color="auto"/>
                        <w:bottom w:val="none" w:sz="0" w:space="0" w:color="auto"/>
                        <w:right w:val="none" w:sz="0" w:space="0" w:color="auto"/>
                      </w:divBdr>
                    </w:div>
                    <w:div w:id="294147748">
                      <w:marLeft w:val="0"/>
                      <w:marRight w:val="0"/>
                      <w:marTop w:val="0"/>
                      <w:marBottom w:val="0"/>
                      <w:divBdr>
                        <w:top w:val="none" w:sz="0" w:space="0" w:color="auto"/>
                        <w:left w:val="none" w:sz="0" w:space="0" w:color="auto"/>
                        <w:bottom w:val="none" w:sz="0" w:space="0" w:color="auto"/>
                        <w:right w:val="none" w:sz="0" w:space="0" w:color="auto"/>
                      </w:divBdr>
                      <w:divsChild>
                        <w:div w:id="294146372">
                          <w:marLeft w:val="0"/>
                          <w:marRight w:val="0"/>
                          <w:marTop w:val="0"/>
                          <w:marBottom w:val="0"/>
                          <w:divBdr>
                            <w:top w:val="none" w:sz="0" w:space="0" w:color="auto"/>
                            <w:left w:val="none" w:sz="0" w:space="0" w:color="auto"/>
                            <w:bottom w:val="none" w:sz="0" w:space="0" w:color="auto"/>
                            <w:right w:val="none" w:sz="0" w:space="0" w:color="auto"/>
                          </w:divBdr>
                        </w:div>
                      </w:divsChild>
                    </w:div>
                    <w:div w:id="294147762">
                      <w:marLeft w:val="0"/>
                      <w:marRight w:val="0"/>
                      <w:marTop w:val="0"/>
                      <w:marBottom w:val="0"/>
                      <w:divBdr>
                        <w:top w:val="none" w:sz="0" w:space="0" w:color="auto"/>
                        <w:left w:val="none" w:sz="0" w:space="0" w:color="auto"/>
                        <w:bottom w:val="none" w:sz="0" w:space="0" w:color="auto"/>
                        <w:right w:val="none" w:sz="0" w:space="0" w:color="auto"/>
                      </w:divBdr>
                      <w:divsChild>
                        <w:div w:id="294139121">
                          <w:marLeft w:val="0"/>
                          <w:marRight w:val="0"/>
                          <w:marTop w:val="0"/>
                          <w:marBottom w:val="0"/>
                          <w:divBdr>
                            <w:top w:val="none" w:sz="0" w:space="0" w:color="auto"/>
                            <w:left w:val="none" w:sz="0" w:space="0" w:color="auto"/>
                            <w:bottom w:val="none" w:sz="0" w:space="0" w:color="auto"/>
                            <w:right w:val="none" w:sz="0" w:space="0" w:color="auto"/>
                          </w:divBdr>
                        </w:div>
                      </w:divsChild>
                    </w:div>
                    <w:div w:id="294147800">
                      <w:marLeft w:val="0"/>
                      <w:marRight w:val="0"/>
                      <w:marTop w:val="0"/>
                      <w:marBottom w:val="0"/>
                      <w:divBdr>
                        <w:top w:val="none" w:sz="0" w:space="0" w:color="auto"/>
                        <w:left w:val="none" w:sz="0" w:space="0" w:color="auto"/>
                        <w:bottom w:val="none" w:sz="0" w:space="0" w:color="auto"/>
                        <w:right w:val="none" w:sz="0" w:space="0" w:color="auto"/>
                      </w:divBdr>
                    </w:div>
                    <w:div w:id="294147807">
                      <w:marLeft w:val="0"/>
                      <w:marRight w:val="0"/>
                      <w:marTop w:val="0"/>
                      <w:marBottom w:val="0"/>
                      <w:divBdr>
                        <w:top w:val="none" w:sz="0" w:space="0" w:color="auto"/>
                        <w:left w:val="none" w:sz="0" w:space="0" w:color="auto"/>
                        <w:bottom w:val="none" w:sz="0" w:space="0" w:color="auto"/>
                        <w:right w:val="none" w:sz="0" w:space="0" w:color="auto"/>
                      </w:divBdr>
                      <w:divsChild>
                        <w:div w:id="294140931">
                          <w:marLeft w:val="0"/>
                          <w:marRight w:val="0"/>
                          <w:marTop w:val="0"/>
                          <w:marBottom w:val="0"/>
                          <w:divBdr>
                            <w:top w:val="none" w:sz="0" w:space="0" w:color="auto"/>
                            <w:left w:val="none" w:sz="0" w:space="0" w:color="auto"/>
                            <w:bottom w:val="none" w:sz="0" w:space="0" w:color="auto"/>
                            <w:right w:val="none" w:sz="0" w:space="0" w:color="auto"/>
                          </w:divBdr>
                        </w:div>
                      </w:divsChild>
                    </w:div>
                    <w:div w:id="294147818">
                      <w:marLeft w:val="0"/>
                      <w:marRight w:val="0"/>
                      <w:marTop w:val="0"/>
                      <w:marBottom w:val="0"/>
                      <w:divBdr>
                        <w:top w:val="none" w:sz="0" w:space="0" w:color="auto"/>
                        <w:left w:val="none" w:sz="0" w:space="0" w:color="auto"/>
                        <w:bottom w:val="none" w:sz="0" w:space="0" w:color="auto"/>
                        <w:right w:val="none" w:sz="0" w:space="0" w:color="auto"/>
                      </w:divBdr>
                    </w:div>
                    <w:div w:id="294147827">
                      <w:marLeft w:val="0"/>
                      <w:marRight w:val="0"/>
                      <w:marTop w:val="0"/>
                      <w:marBottom w:val="0"/>
                      <w:divBdr>
                        <w:top w:val="none" w:sz="0" w:space="0" w:color="auto"/>
                        <w:left w:val="none" w:sz="0" w:space="0" w:color="auto"/>
                        <w:bottom w:val="none" w:sz="0" w:space="0" w:color="auto"/>
                        <w:right w:val="none" w:sz="0" w:space="0" w:color="auto"/>
                      </w:divBdr>
                    </w:div>
                    <w:div w:id="294147885">
                      <w:marLeft w:val="0"/>
                      <w:marRight w:val="0"/>
                      <w:marTop w:val="0"/>
                      <w:marBottom w:val="0"/>
                      <w:divBdr>
                        <w:top w:val="none" w:sz="0" w:space="0" w:color="auto"/>
                        <w:left w:val="none" w:sz="0" w:space="0" w:color="auto"/>
                        <w:bottom w:val="none" w:sz="0" w:space="0" w:color="auto"/>
                        <w:right w:val="none" w:sz="0" w:space="0" w:color="auto"/>
                      </w:divBdr>
                    </w:div>
                    <w:div w:id="294147894">
                      <w:marLeft w:val="0"/>
                      <w:marRight w:val="0"/>
                      <w:marTop w:val="0"/>
                      <w:marBottom w:val="0"/>
                      <w:divBdr>
                        <w:top w:val="none" w:sz="0" w:space="0" w:color="auto"/>
                        <w:left w:val="none" w:sz="0" w:space="0" w:color="auto"/>
                        <w:bottom w:val="none" w:sz="0" w:space="0" w:color="auto"/>
                        <w:right w:val="none" w:sz="0" w:space="0" w:color="auto"/>
                      </w:divBdr>
                      <w:divsChild>
                        <w:div w:id="294154238">
                          <w:marLeft w:val="0"/>
                          <w:marRight w:val="0"/>
                          <w:marTop w:val="0"/>
                          <w:marBottom w:val="0"/>
                          <w:divBdr>
                            <w:top w:val="none" w:sz="0" w:space="0" w:color="auto"/>
                            <w:left w:val="none" w:sz="0" w:space="0" w:color="auto"/>
                            <w:bottom w:val="none" w:sz="0" w:space="0" w:color="auto"/>
                            <w:right w:val="none" w:sz="0" w:space="0" w:color="auto"/>
                          </w:divBdr>
                        </w:div>
                      </w:divsChild>
                    </w:div>
                    <w:div w:id="294147896">
                      <w:marLeft w:val="0"/>
                      <w:marRight w:val="0"/>
                      <w:marTop w:val="0"/>
                      <w:marBottom w:val="0"/>
                      <w:divBdr>
                        <w:top w:val="none" w:sz="0" w:space="0" w:color="auto"/>
                        <w:left w:val="none" w:sz="0" w:space="0" w:color="auto"/>
                        <w:bottom w:val="none" w:sz="0" w:space="0" w:color="auto"/>
                        <w:right w:val="none" w:sz="0" w:space="0" w:color="auto"/>
                      </w:divBdr>
                      <w:divsChild>
                        <w:div w:id="294153184">
                          <w:marLeft w:val="0"/>
                          <w:marRight w:val="0"/>
                          <w:marTop w:val="0"/>
                          <w:marBottom w:val="0"/>
                          <w:divBdr>
                            <w:top w:val="none" w:sz="0" w:space="0" w:color="auto"/>
                            <w:left w:val="none" w:sz="0" w:space="0" w:color="auto"/>
                            <w:bottom w:val="none" w:sz="0" w:space="0" w:color="auto"/>
                            <w:right w:val="none" w:sz="0" w:space="0" w:color="auto"/>
                          </w:divBdr>
                        </w:div>
                      </w:divsChild>
                    </w:div>
                    <w:div w:id="294147904">
                      <w:marLeft w:val="0"/>
                      <w:marRight w:val="0"/>
                      <w:marTop w:val="0"/>
                      <w:marBottom w:val="0"/>
                      <w:divBdr>
                        <w:top w:val="none" w:sz="0" w:space="0" w:color="auto"/>
                        <w:left w:val="none" w:sz="0" w:space="0" w:color="auto"/>
                        <w:bottom w:val="none" w:sz="0" w:space="0" w:color="auto"/>
                        <w:right w:val="none" w:sz="0" w:space="0" w:color="auto"/>
                      </w:divBdr>
                    </w:div>
                    <w:div w:id="294147935">
                      <w:marLeft w:val="0"/>
                      <w:marRight w:val="0"/>
                      <w:marTop w:val="0"/>
                      <w:marBottom w:val="0"/>
                      <w:divBdr>
                        <w:top w:val="none" w:sz="0" w:space="0" w:color="auto"/>
                        <w:left w:val="none" w:sz="0" w:space="0" w:color="auto"/>
                        <w:bottom w:val="none" w:sz="0" w:space="0" w:color="auto"/>
                        <w:right w:val="none" w:sz="0" w:space="0" w:color="auto"/>
                      </w:divBdr>
                    </w:div>
                    <w:div w:id="294147971">
                      <w:marLeft w:val="0"/>
                      <w:marRight w:val="0"/>
                      <w:marTop w:val="0"/>
                      <w:marBottom w:val="0"/>
                      <w:divBdr>
                        <w:top w:val="none" w:sz="0" w:space="0" w:color="auto"/>
                        <w:left w:val="none" w:sz="0" w:space="0" w:color="auto"/>
                        <w:bottom w:val="none" w:sz="0" w:space="0" w:color="auto"/>
                        <w:right w:val="none" w:sz="0" w:space="0" w:color="auto"/>
                      </w:divBdr>
                      <w:divsChild>
                        <w:div w:id="294145300">
                          <w:marLeft w:val="0"/>
                          <w:marRight w:val="0"/>
                          <w:marTop w:val="0"/>
                          <w:marBottom w:val="0"/>
                          <w:divBdr>
                            <w:top w:val="none" w:sz="0" w:space="0" w:color="auto"/>
                            <w:left w:val="none" w:sz="0" w:space="0" w:color="auto"/>
                            <w:bottom w:val="none" w:sz="0" w:space="0" w:color="auto"/>
                            <w:right w:val="none" w:sz="0" w:space="0" w:color="auto"/>
                          </w:divBdr>
                        </w:div>
                      </w:divsChild>
                    </w:div>
                    <w:div w:id="294147975">
                      <w:marLeft w:val="0"/>
                      <w:marRight w:val="0"/>
                      <w:marTop w:val="0"/>
                      <w:marBottom w:val="0"/>
                      <w:divBdr>
                        <w:top w:val="none" w:sz="0" w:space="0" w:color="auto"/>
                        <w:left w:val="none" w:sz="0" w:space="0" w:color="auto"/>
                        <w:bottom w:val="none" w:sz="0" w:space="0" w:color="auto"/>
                        <w:right w:val="none" w:sz="0" w:space="0" w:color="auto"/>
                      </w:divBdr>
                    </w:div>
                    <w:div w:id="294148012">
                      <w:marLeft w:val="0"/>
                      <w:marRight w:val="0"/>
                      <w:marTop w:val="0"/>
                      <w:marBottom w:val="0"/>
                      <w:divBdr>
                        <w:top w:val="none" w:sz="0" w:space="0" w:color="auto"/>
                        <w:left w:val="none" w:sz="0" w:space="0" w:color="auto"/>
                        <w:bottom w:val="none" w:sz="0" w:space="0" w:color="auto"/>
                        <w:right w:val="none" w:sz="0" w:space="0" w:color="auto"/>
                      </w:divBdr>
                    </w:div>
                    <w:div w:id="294148065">
                      <w:marLeft w:val="0"/>
                      <w:marRight w:val="0"/>
                      <w:marTop w:val="0"/>
                      <w:marBottom w:val="0"/>
                      <w:divBdr>
                        <w:top w:val="none" w:sz="0" w:space="0" w:color="auto"/>
                        <w:left w:val="none" w:sz="0" w:space="0" w:color="auto"/>
                        <w:bottom w:val="none" w:sz="0" w:space="0" w:color="auto"/>
                        <w:right w:val="none" w:sz="0" w:space="0" w:color="auto"/>
                      </w:divBdr>
                      <w:divsChild>
                        <w:div w:id="294150540">
                          <w:marLeft w:val="0"/>
                          <w:marRight w:val="0"/>
                          <w:marTop w:val="0"/>
                          <w:marBottom w:val="0"/>
                          <w:divBdr>
                            <w:top w:val="none" w:sz="0" w:space="0" w:color="auto"/>
                            <w:left w:val="none" w:sz="0" w:space="0" w:color="auto"/>
                            <w:bottom w:val="none" w:sz="0" w:space="0" w:color="auto"/>
                            <w:right w:val="none" w:sz="0" w:space="0" w:color="auto"/>
                          </w:divBdr>
                        </w:div>
                      </w:divsChild>
                    </w:div>
                    <w:div w:id="294148137">
                      <w:marLeft w:val="0"/>
                      <w:marRight w:val="0"/>
                      <w:marTop w:val="0"/>
                      <w:marBottom w:val="0"/>
                      <w:divBdr>
                        <w:top w:val="none" w:sz="0" w:space="0" w:color="auto"/>
                        <w:left w:val="none" w:sz="0" w:space="0" w:color="auto"/>
                        <w:bottom w:val="none" w:sz="0" w:space="0" w:color="auto"/>
                        <w:right w:val="none" w:sz="0" w:space="0" w:color="auto"/>
                      </w:divBdr>
                      <w:divsChild>
                        <w:div w:id="294140004">
                          <w:marLeft w:val="0"/>
                          <w:marRight w:val="0"/>
                          <w:marTop w:val="0"/>
                          <w:marBottom w:val="0"/>
                          <w:divBdr>
                            <w:top w:val="none" w:sz="0" w:space="0" w:color="auto"/>
                            <w:left w:val="none" w:sz="0" w:space="0" w:color="auto"/>
                            <w:bottom w:val="none" w:sz="0" w:space="0" w:color="auto"/>
                            <w:right w:val="none" w:sz="0" w:space="0" w:color="auto"/>
                          </w:divBdr>
                        </w:div>
                      </w:divsChild>
                    </w:div>
                    <w:div w:id="294148148">
                      <w:marLeft w:val="0"/>
                      <w:marRight w:val="0"/>
                      <w:marTop w:val="0"/>
                      <w:marBottom w:val="0"/>
                      <w:divBdr>
                        <w:top w:val="none" w:sz="0" w:space="0" w:color="auto"/>
                        <w:left w:val="none" w:sz="0" w:space="0" w:color="auto"/>
                        <w:bottom w:val="none" w:sz="0" w:space="0" w:color="auto"/>
                        <w:right w:val="none" w:sz="0" w:space="0" w:color="auto"/>
                      </w:divBdr>
                    </w:div>
                    <w:div w:id="294148195">
                      <w:marLeft w:val="0"/>
                      <w:marRight w:val="0"/>
                      <w:marTop w:val="0"/>
                      <w:marBottom w:val="0"/>
                      <w:divBdr>
                        <w:top w:val="none" w:sz="0" w:space="0" w:color="auto"/>
                        <w:left w:val="none" w:sz="0" w:space="0" w:color="auto"/>
                        <w:bottom w:val="none" w:sz="0" w:space="0" w:color="auto"/>
                        <w:right w:val="none" w:sz="0" w:space="0" w:color="auto"/>
                      </w:divBdr>
                    </w:div>
                    <w:div w:id="294148286">
                      <w:marLeft w:val="0"/>
                      <w:marRight w:val="0"/>
                      <w:marTop w:val="0"/>
                      <w:marBottom w:val="0"/>
                      <w:divBdr>
                        <w:top w:val="none" w:sz="0" w:space="0" w:color="auto"/>
                        <w:left w:val="none" w:sz="0" w:space="0" w:color="auto"/>
                        <w:bottom w:val="none" w:sz="0" w:space="0" w:color="auto"/>
                        <w:right w:val="none" w:sz="0" w:space="0" w:color="auto"/>
                      </w:divBdr>
                    </w:div>
                    <w:div w:id="294148338">
                      <w:marLeft w:val="0"/>
                      <w:marRight w:val="0"/>
                      <w:marTop w:val="0"/>
                      <w:marBottom w:val="0"/>
                      <w:divBdr>
                        <w:top w:val="none" w:sz="0" w:space="0" w:color="auto"/>
                        <w:left w:val="none" w:sz="0" w:space="0" w:color="auto"/>
                        <w:bottom w:val="none" w:sz="0" w:space="0" w:color="auto"/>
                        <w:right w:val="none" w:sz="0" w:space="0" w:color="auto"/>
                      </w:divBdr>
                      <w:divsChild>
                        <w:div w:id="294152866">
                          <w:marLeft w:val="0"/>
                          <w:marRight w:val="0"/>
                          <w:marTop w:val="0"/>
                          <w:marBottom w:val="0"/>
                          <w:divBdr>
                            <w:top w:val="none" w:sz="0" w:space="0" w:color="auto"/>
                            <w:left w:val="none" w:sz="0" w:space="0" w:color="auto"/>
                            <w:bottom w:val="none" w:sz="0" w:space="0" w:color="auto"/>
                            <w:right w:val="none" w:sz="0" w:space="0" w:color="auto"/>
                          </w:divBdr>
                        </w:div>
                      </w:divsChild>
                    </w:div>
                    <w:div w:id="294148359">
                      <w:marLeft w:val="0"/>
                      <w:marRight w:val="0"/>
                      <w:marTop w:val="0"/>
                      <w:marBottom w:val="0"/>
                      <w:divBdr>
                        <w:top w:val="none" w:sz="0" w:space="0" w:color="auto"/>
                        <w:left w:val="none" w:sz="0" w:space="0" w:color="auto"/>
                        <w:bottom w:val="none" w:sz="0" w:space="0" w:color="auto"/>
                        <w:right w:val="none" w:sz="0" w:space="0" w:color="auto"/>
                      </w:divBdr>
                      <w:divsChild>
                        <w:div w:id="294153479">
                          <w:marLeft w:val="0"/>
                          <w:marRight w:val="0"/>
                          <w:marTop w:val="0"/>
                          <w:marBottom w:val="0"/>
                          <w:divBdr>
                            <w:top w:val="none" w:sz="0" w:space="0" w:color="auto"/>
                            <w:left w:val="none" w:sz="0" w:space="0" w:color="auto"/>
                            <w:bottom w:val="none" w:sz="0" w:space="0" w:color="auto"/>
                            <w:right w:val="none" w:sz="0" w:space="0" w:color="auto"/>
                          </w:divBdr>
                        </w:div>
                      </w:divsChild>
                    </w:div>
                    <w:div w:id="294148368">
                      <w:marLeft w:val="0"/>
                      <w:marRight w:val="0"/>
                      <w:marTop w:val="0"/>
                      <w:marBottom w:val="0"/>
                      <w:divBdr>
                        <w:top w:val="none" w:sz="0" w:space="0" w:color="auto"/>
                        <w:left w:val="none" w:sz="0" w:space="0" w:color="auto"/>
                        <w:bottom w:val="none" w:sz="0" w:space="0" w:color="auto"/>
                        <w:right w:val="none" w:sz="0" w:space="0" w:color="auto"/>
                      </w:divBdr>
                      <w:divsChild>
                        <w:div w:id="294156429">
                          <w:marLeft w:val="0"/>
                          <w:marRight w:val="0"/>
                          <w:marTop w:val="0"/>
                          <w:marBottom w:val="0"/>
                          <w:divBdr>
                            <w:top w:val="none" w:sz="0" w:space="0" w:color="auto"/>
                            <w:left w:val="none" w:sz="0" w:space="0" w:color="auto"/>
                            <w:bottom w:val="none" w:sz="0" w:space="0" w:color="auto"/>
                            <w:right w:val="none" w:sz="0" w:space="0" w:color="auto"/>
                          </w:divBdr>
                        </w:div>
                      </w:divsChild>
                    </w:div>
                    <w:div w:id="294148387">
                      <w:marLeft w:val="0"/>
                      <w:marRight w:val="0"/>
                      <w:marTop w:val="0"/>
                      <w:marBottom w:val="0"/>
                      <w:divBdr>
                        <w:top w:val="none" w:sz="0" w:space="0" w:color="auto"/>
                        <w:left w:val="none" w:sz="0" w:space="0" w:color="auto"/>
                        <w:bottom w:val="none" w:sz="0" w:space="0" w:color="auto"/>
                        <w:right w:val="none" w:sz="0" w:space="0" w:color="auto"/>
                      </w:divBdr>
                      <w:divsChild>
                        <w:div w:id="294148440">
                          <w:marLeft w:val="0"/>
                          <w:marRight w:val="0"/>
                          <w:marTop w:val="0"/>
                          <w:marBottom w:val="0"/>
                          <w:divBdr>
                            <w:top w:val="none" w:sz="0" w:space="0" w:color="auto"/>
                            <w:left w:val="none" w:sz="0" w:space="0" w:color="auto"/>
                            <w:bottom w:val="none" w:sz="0" w:space="0" w:color="auto"/>
                            <w:right w:val="none" w:sz="0" w:space="0" w:color="auto"/>
                          </w:divBdr>
                        </w:div>
                      </w:divsChild>
                    </w:div>
                    <w:div w:id="294148389">
                      <w:marLeft w:val="0"/>
                      <w:marRight w:val="0"/>
                      <w:marTop w:val="0"/>
                      <w:marBottom w:val="0"/>
                      <w:divBdr>
                        <w:top w:val="none" w:sz="0" w:space="0" w:color="auto"/>
                        <w:left w:val="none" w:sz="0" w:space="0" w:color="auto"/>
                        <w:bottom w:val="none" w:sz="0" w:space="0" w:color="auto"/>
                        <w:right w:val="none" w:sz="0" w:space="0" w:color="auto"/>
                      </w:divBdr>
                    </w:div>
                    <w:div w:id="294148462">
                      <w:marLeft w:val="0"/>
                      <w:marRight w:val="0"/>
                      <w:marTop w:val="0"/>
                      <w:marBottom w:val="0"/>
                      <w:divBdr>
                        <w:top w:val="none" w:sz="0" w:space="0" w:color="auto"/>
                        <w:left w:val="none" w:sz="0" w:space="0" w:color="auto"/>
                        <w:bottom w:val="none" w:sz="0" w:space="0" w:color="auto"/>
                        <w:right w:val="none" w:sz="0" w:space="0" w:color="auto"/>
                      </w:divBdr>
                    </w:div>
                    <w:div w:id="294148494">
                      <w:marLeft w:val="0"/>
                      <w:marRight w:val="0"/>
                      <w:marTop w:val="0"/>
                      <w:marBottom w:val="0"/>
                      <w:divBdr>
                        <w:top w:val="none" w:sz="0" w:space="0" w:color="auto"/>
                        <w:left w:val="none" w:sz="0" w:space="0" w:color="auto"/>
                        <w:bottom w:val="none" w:sz="0" w:space="0" w:color="auto"/>
                        <w:right w:val="none" w:sz="0" w:space="0" w:color="auto"/>
                      </w:divBdr>
                      <w:divsChild>
                        <w:div w:id="294154695">
                          <w:marLeft w:val="0"/>
                          <w:marRight w:val="0"/>
                          <w:marTop w:val="0"/>
                          <w:marBottom w:val="0"/>
                          <w:divBdr>
                            <w:top w:val="none" w:sz="0" w:space="0" w:color="auto"/>
                            <w:left w:val="none" w:sz="0" w:space="0" w:color="auto"/>
                            <w:bottom w:val="none" w:sz="0" w:space="0" w:color="auto"/>
                            <w:right w:val="none" w:sz="0" w:space="0" w:color="auto"/>
                          </w:divBdr>
                        </w:div>
                      </w:divsChild>
                    </w:div>
                    <w:div w:id="294148501">
                      <w:marLeft w:val="0"/>
                      <w:marRight w:val="0"/>
                      <w:marTop w:val="0"/>
                      <w:marBottom w:val="0"/>
                      <w:divBdr>
                        <w:top w:val="none" w:sz="0" w:space="0" w:color="auto"/>
                        <w:left w:val="none" w:sz="0" w:space="0" w:color="auto"/>
                        <w:bottom w:val="none" w:sz="0" w:space="0" w:color="auto"/>
                        <w:right w:val="none" w:sz="0" w:space="0" w:color="auto"/>
                      </w:divBdr>
                      <w:divsChild>
                        <w:div w:id="294156779">
                          <w:marLeft w:val="0"/>
                          <w:marRight w:val="0"/>
                          <w:marTop w:val="0"/>
                          <w:marBottom w:val="0"/>
                          <w:divBdr>
                            <w:top w:val="none" w:sz="0" w:space="0" w:color="auto"/>
                            <w:left w:val="none" w:sz="0" w:space="0" w:color="auto"/>
                            <w:bottom w:val="none" w:sz="0" w:space="0" w:color="auto"/>
                            <w:right w:val="none" w:sz="0" w:space="0" w:color="auto"/>
                          </w:divBdr>
                        </w:div>
                      </w:divsChild>
                    </w:div>
                    <w:div w:id="294148555">
                      <w:marLeft w:val="0"/>
                      <w:marRight w:val="0"/>
                      <w:marTop w:val="0"/>
                      <w:marBottom w:val="0"/>
                      <w:divBdr>
                        <w:top w:val="none" w:sz="0" w:space="0" w:color="auto"/>
                        <w:left w:val="none" w:sz="0" w:space="0" w:color="auto"/>
                        <w:bottom w:val="none" w:sz="0" w:space="0" w:color="auto"/>
                        <w:right w:val="none" w:sz="0" w:space="0" w:color="auto"/>
                      </w:divBdr>
                      <w:divsChild>
                        <w:div w:id="294140622">
                          <w:marLeft w:val="0"/>
                          <w:marRight w:val="0"/>
                          <w:marTop w:val="0"/>
                          <w:marBottom w:val="0"/>
                          <w:divBdr>
                            <w:top w:val="none" w:sz="0" w:space="0" w:color="auto"/>
                            <w:left w:val="none" w:sz="0" w:space="0" w:color="auto"/>
                            <w:bottom w:val="none" w:sz="0" w:space="0" w:color="auto"/>
                            <w:right w:val="none" w:sz="0" w:space="0" w:color="auto"/>
                          </w:divBdr>
                        </w:div>
                      </w:divsChild>
                    </w:div>
                    <w:div w:id="294148575">
                      <w:marLeft w:val="0"/>
                      <w:marRight w:val="0"/>
                      <w:marTop w:val="0"/>
                      <w:marBottom w:val="0"/>
                      <w:divBdr>
                        <w:top w:val="none" w:sz="0" w:space="0" w:color="auto"/>
                        <w:left w:val="none" w:sz="0" w:space="0" w:color="auto"/>
                        <w:bottom w:val="none" w:sz="0" w:space="0" w:color="auto"/>
                        <w:right w:val="none" w:sz="0" w:space="0" w:color="auto"/>
                      </w:divBdr>
                    </w:div>
                    <w:div w:id="294148592">
                      <w:marLeft w:val="0"/>
                      <w:marRight w:val="0"/>
                      <w:marTop w:val="0"/>
                      <w:marBottom w:val="0"/>
                      <w:divBdr>
                        <w:top w:val="none" w:sz="0" w:space="0" w:color="auto"/>
                        <w:left w:val="none" w:sz="0" w:space="0" w:color="auto"/>
                        <w:bottom w:val="none" w:sz="0" w:space="0" w:color="auto"/>
                        <w:right w:val="none" w:sz="0" w:space="0" w:color="auto"/>
                      </w:divBdr>
                    </w:div>
                    <w:div w:id="294148616">
                      <w:marLeft w:val="0"/>
                      <w:marRight w:val="0"/>
                      <w:marTop w:val="0"/>
                      <w:marBottom w:val="0"/>
                      <w:divBdr>
                        <w:top w:val="none" w:sz="0" w:space="0" w:color="auto"/>
                        <w:left w:val="none" w:sz="0" w:space="0" w:color="auto"/>
                        <w:bottom w:val="none" w:sz="0" w:space="0" w:color="auto"/>
                        <w:right w:val="none" w:sz="0" w:space="0" w:color="auto"/>
                      </w:divBdr>
                    </w:div>
                    <w:div w:id="294148636">
                      <w:marLeft w:val="0"/>
                      <w:marRight w:val="0"/>
                      <w:marTop w:val="0"/>
                      <w:marBottom w:val="0"/>
                      <w:divBdr>
                        <w:top w:val="none" w:sz="0" w:space="0" w:color="auto"/>
                        <w:left w:val="none" w:sz="0" w:space="0" w:color="auto"/>
                        <w:bottom w:val="none" w:sz="0" w:space="0" w:color="auto"/>
                        <w:right w:val="none" w:sz="0" w:space="0" w:color="auto"/>
                      </w:divBdr>
                      <w:divsChild>
                        <w:div w:id="294141058">
                          <w:marLeft w:val="0"/>
                          <w:marRight w:val="0"/>
                          <w:marTop w:val="0"/>
                          <w:marBottom w:val="0"/>
                          <w:divBdr>
                            <w:top w:val="none" w:sz="0" w:space="0" w:color="auto"/>
                            <w:left w:val="none" w:sz="0" w:space="0" w:color="auto"/>
                            <w:bottom w:val="none" w:sz="0" w:space="0" w:color="auto"/>
                            <w:right w:val="none" w:sz="0" w:space="0" w:color="auto"/>
                          </w:divBdr>
                        </w:div>
                      </w:divsChild>
                    </w:div>
                    <w:div w:id="294148663">
                      <w:marLeft w:val="0"/>
                      <w:marRight w:val="0"/>
                      <w:marTop w:val="0"/>
                      <w:marBottom w:val="0"/>
                      <w:divBdr>
                        <w:top w:val="none" w:sz="0" w:space="0" w:color="auto"/>
                        <w:left w:val="none" w:sz="0" w:space="0" w:color="auto"/>
                        <w:bottom w:val="none" w:sz="0" w:space="0" w:color="auto"/>
                        <w:right w:val="none" w:sz="0" w:space="0" w:color="auto"/>
                      </w:divBdr>
                    </w:div>
                    <w:div w:id="294148718">
                      <w:marLeft w:val="0"/>
                      <w:marRight w:val="0"/>
                      <w:marTop w:val="0"/>
                      <w:marBottom w:val="0"/>
                      <w:divBdr>
                        <w:top w:val="none" w:sz="0" w:space="0" w:color="auto"/>
                        <w:left w:val="none" w:sz="0" w:space="0" w:color="auto"/>
                        <w:bottom w:val="none" w:sz="0" w:space="0" w:color="auto"/>
                        <w:right w:val="none" w:sz="0" w:space="0" w:color="auto"/>
                      </w:divBdr>
                    </w:div>
                    <w:div w:id="294148741">
                      <w:marLeft w:val="0"/>
                      <w:marRight w:val="0"/>
                      <w:marTop w:val="0"/>
                      <w:marBottom w:val="0"/>
                      <w:divBdr>
                        <w:top w:val="none" w:sz="0" w:space="0" w:color="auto"/>
                        <w:left w:val="none" w:sz="0" w:space="0" w:color="auto"/>
                        <w:bottom w:val="none" w:sz="0" w:space="0" w:color="auto"/>
                        <w:right w:val="none" w:sz="0" w:space="0" w:color="auto"/>
                      </w:divBdr>
                      <w:divsChild>
                        <w:div w:id="294139434">
                          <w:marLeft w:val="0"/>
                          <w:marRight w:val="0"/>
                          <w:marTop w:val="0"/>
                          <w:marBottom w:val="0"/>
                          <w:divBdr>
                            <w:top w:val="none" w:sz="0" w:space="0" w:color="auto"/>
                            <w:left w:val="none" w:sz="0" w:space="0" w:color="auto"/>
                            <w:bottom w:val="none" w:sz="0" w:space="0" w:color="auto"/>
                            <w:right w:val="none" w:sz="0" w:space="0" w:color="auto"/>
                          </w:divBdr>
                        </w:div>
                      </w:divsChild>
                    </w:div>
                    <w:div w:id="294148760">
                      <w:marLeft w:val="0"/>
                      <w:marRight w:val="0"/>
                      <w:marTop w:val="0"/>
                      <w:marBottom w:val="0"/>
                      <w:divBdr>
                        <w:top w:val="none" w:sz="0" w:space="0" w:color="auto"/>
                        <w:left w:val="none" w:sz="0" w:space="0" w:color="auto"/>
                        <w:bottom w:val="none" w:sz="0" w:space="0" w:color="auto"/>
                        <w:right w:val="none" w:sz="0" w:space="0" w:color="auto"/>
                      </w:divBdr>
                      <w:divsChild>
                        <w:div w:id="294141241">
                          <w:marLeft w:val="0"/>
                          <w:marRight w:val="0"/>
                          <w:marTop w:val="0"/>
                          <w:marBottom w:val="0"/>
                          <w:divBdr>
                            <w:top w:val="none" w:sz="0" w:space="0" w:color="auto"/>
                            <w:left w:val="none" w:sz="0" w:space="0" w:color="auto"/>
                            <w:bottom w:val="none" w:sz="0" w:space="0" w:color="auto"/>
                            <w:right w:val="none" w:sz="0" w:space="0" w:color="auto"/>
                          </w:divBdr>
                        </w:div>
                      </w:divsChild>
                    </w:div>
                    <w:div w:id="294148772">
                      <w:marLeft w:val="0"/>
                      <w:marRight w:val="0"/>
                      <w:marTop w:val="0"/>
                      <w:marBottom w:val="0"/>
                      <w:divBdr>
                        <w:top w:val="none" w:sz="0" w:space="0" w:color="auto"/>
                        <w:left w:val="none" w:sz="0" w:space="0" w:color="auto"/>
                        <w:bottom w:val="none" w:sz="0" w:space="0" w:color="auto"/>
                        <w:right w:val="none" w:sz="0" w:space="0" w:color="auto"/>
                      </w:divBdr>
                      <w:divsChild>
                        <w:div w:id="294140537">
                          <w:marLeft w:val="0"/>
                          <w:marRight w:val="0"/>
                          <w:marTop w:val="0"/>
                          <w:marBottom w:val="0"/>
                          <w:divBdr>
                            <w:top w:val="none" w:sz="0" w:space="0" w:color="auto"/>
                            <w:left w:val="none" w:sz="0" w:space="0" w:color="auto"/>
                            <w:bottom w:val="none" w:sz="0" w:space="0" w:color="auto"/>
                            <w:right w:val="none" w:sz="0" w:space="0" w:color="auto"/>
                          </w:divBdr>
                        </w:div>
                      </w:divsChild>
                    </w:div>
                    <w:div w:id="294148789">
                      <w:marLeft w:val="0"/>
                      <w:marRight w:val="0"/>
                      <w:marTop w:val="0"/>
                      <w:marBottom w:val="0"/>
                      <w:divBdr>
                        <w:top w:val="none" w:sz="0" w:space="0" w:color="auto"/>
                        <w:left w:val="none" w:sz="0" w:space="0" w:color="auto"/>
                        <w:bottom w:val="none" w:sz="0" w:space="0" w:color="auto"/>
                        <w:right w:val="none" w:sz="0" w:space="0" w:color="auto"/>
                      </w:divBdr>
                    </w:div>
                    <w:div w:id="294148794">
                      <w:marLeft w:val="0"/>
                      <w:marRight w:val="0"/>
                      <w:marTop w:val="0"/>
                      <w:marBottom w:val="0"/>
                      <w:divBdr>
                        <w:top w:val="none" w:sz="0" w:space="0" w:color="auto"/>
                        <w:left w:val="none" w:sz="0" w:space="0" w:color="auto"/>
                        <w:bottom w:val="none" w:sz="0" w:space="0" w:color="auto"/>
                        <w:right w:val="none" w:sz="0" w:space="0" w:color="auto"/>
                      </w:divBdr>
                      <w:divsChild>
                        <w:div w:id="294154212">
                          <w:marLeft w:val="0"/>
                          <w:marRight w:val="0"/>
                          <w:marTop w:val="0"/>
                          <w:marBottom w:val="0"/>
                          <w:divBdr>
                            <w:top w:val="none" w:sz="0" w:space="0" w:color="auto"/>
                            <w:left w:val="none" w:sz="0" w:space="0" w:color="auto"/>
                            <w:bottom w:val="none" w:sz="0" w:space="0" w:color="auto"/>
                            <w:right w:val="none" w:sz="0" w:space="0" w:color="auto"/>
                          </w:divBdr>
                        </w:div>
                      </w:divsChild>
                    </w:div>
                    <w:div w:id="294148821">
                      <w:marLeft w:val="0"/>
                      <w:marRight w:val="0"/>
                      <w:marTop w:val="0"/>
                      <w:marBottom w:val="0"/>
                      <w:divBdr>
                        <w:top w:val="none" w:sz="0" w:space="0" w:color="auto"/>
                        <w:left w:val="none" w:sz="0" w:space="0" w:color="auto"/>
                        <w:bottom w:val="none" w:sz="0" w:space="0" w:color="auto"/>
                        <w:right w:val="none" w:sz="0" w:space="0" w:color="auto"/>
                      </w:divBdr>
                    </w:div>
                    <w:div w:id="294148822">
                      <w:marLeft w:val="0"/>
                      <w:marRight w:val="0"/>
                      <w:marTop w:val="0"/>
                      <w:marBottom w:val="0"/>
                      <w:divBdr>
                        <w:top w:val="none" w:sz="0" w:space="0" w:color="auto"/>
                        <w:left w:val="none" w:sz="0" w:space="0" w:color="auto"/>
                        <w:bottom w:val="none" w:sz="0" w:space="0" w:color="auto"/>
                        <w:right w:val="none" w:sz="0" w:space="0" w:color="auto"/>
                      </w:divBdr>
                      <w:divsChild>
                        <w:div w:id="294147662">
                          <w:marLeft w:val="0"/>
                          <w:marRight w:val="0"/>
                          <w:marTop w:val="0"/>
                          <w:marBottom w:val="0"/>
                          <w:divBdr>
                            <w:top w:val="none" w:sz="0" w:space="0" w:color="auto"/>
                            <w:left w:val="none" w:sz="0" w:space="0" w:color="auto"/>
                            <w:bottom w:val="none" w:sz="0" w:space="0" w:color="auto"/>
                            <w:right w:val="none" w:sz="0" w:space="0" w:color="auto"/>
                          </w:divBdr>
                        </w:div>
                      </w:divsChild>
                    </w:div>
                    <w:div w:id="294148843">
                      <w:marLeft w:val="0"/>
                      <w:marRight w:val="0"/>
                      <w:marTop w:val="0"/>
                      <w:marBottom w:val="0"/>
                      <w:divBdr>
                        <w:top w:val="none" w:sz="0" w:space="0" w:color="auto"/>
                        <w:left w:val="none" w:sz="0" w:space="0" w:color="auto"/>
                        <w:bottom w:val="none" w:sz="0" w:space="0" w:color="auto"/>
                        <w:right w:val="none" w:sz="0" w:space="0" w:color="auto"/>
                      </w:divBdr>
                      <w:divsChild>
                        <w:div w:id="294141406">
                          <w:marLeft w:val="0"/>
                          <w:marRight w:val="0"/>
                          <w:marTop w:val="0"/>
                          <w:marBottom w:val="0"/>
                          <w:divBdr>
                            <w:top w:val="none" w:sz="0" w:space="0" w:color="auto"/>
                            <w:left w:val="none" w:sz="0" w:space="0" w:color="auto"/>
                            <w:bottom w:val="none" w:sz="0" w:space="0" w:color="auto"/>
                            <w:right w:val="none" w:sz="0" w:space="0" w:color="auto"/>
                          </w:divBdr>
                        </w:div>
                      </w:divsChild>
                    </w:div>
                    <w:div w:id="294148864">
                      <w:marLeft w:val="0"/>
                      <w:marRight w:val="0"/>
                      <w:marTop w:val="0"/>
                      <w:marBottom w:val="0"/>
                      <w:divBdr>
                        <w:top w:val="none" w:sz="0" w:space="0" w:color="auto"/>
                        <w:left w:val="none" w:sz="0" w:space="0" w:color="auto"/>
                        <w:bottom w:val="none" w:sz="0" w:space="0" w:color="auto"/>
                        <w:right w:val="none" w:sz="0" w:space="0" w:color="auto"/>
                      </w:divBdr>
                      <w:divsChild>
                        <w:div w:id="294155018">
                          <w:marLeft w:val="0"/>
                          <w:marRight w:val="0"/>
                          <w:marTop w:val="0"/>
                          <w:marBottom w:val="0"/>
                          <w:divBdr>
                            <w:top w:val="none" w:sz="0" w:space="0" w:color="auto"/>
                            <w:left w:val="none" w:sz="0" w:space="0" w:color="auto"/>
                            <w:bottom w:val="none" w:sz="0" w:space="0" w:color="auto"/>
                            <w:right w:val="none" w:sz="0" w:space="0" w:color="auto"/>
                          </w:divBdr>
                        </w:div>
                      </w:divsChild>
                    </w:div>
                    <w:div w:id="294148956">
                      <w:marLeft w:val="0"/>
                      <w:marRight w:val="0"/>
                      <w:marTop w:val="0"/>
                      <w:marBottom w:val="0"/>
                      <w:divBdr>
                        <w:top w:val="none" w:sz="0" w:space="0" w:color="auto"/>
                        <w:left w:val="none" w:sz="0" w:space="0" w:color="auto"/>
                        <w:bottom w:val="none" w:sz="0" w:space="0" w:color="auto"/>
                        <w:right w:val="none" w:sz="0" w:space="0" w:color="auto"/>
                      </w:divBdr>
                      <w:divsChild>
                        <w:div w:id="294154220">
                          <w:marLeft w:val="0"/>
                          <w:marRight w:val="0"/>
                          <w:marTop w:val="0"/>
                          <w:marBottom w:val="0"/>
                          <w:divBdr>
                            <w:top w:val="none" w:sz="0" w:space="0" w:color="auto"/>
                            <w:left w:val="none" w:sz="0" w:space="0" w:color="auto"/>
                            <w:bottom w:val="none" w:sz="0" w:space="0" w:color="auto"/>
                            <w:right w:val="none" w:sz="0" w:space="0" w:color="auto"/>
                          </w:divBdr>
                        </w:div>
                      </w:divsChild>
                    </w:div>
                    <w:div w:id="294148993">
                      <w:marLeft w:val="0"/>
                      <w:marRight w:val="0"/>
                      <w:marTop w:val="0"/>
                      <w:marBottom w:val="0"/>
                      <w:divBdr>
                        <w:top w:val="none" w:sz="0" w:space="0" w:color="auto"/>
                        <w:left w:val="none" w:sz="0" w:space="0" w:color="auto"/>
                        <w:bottom w:val="none" w:sz="0" w:space="0" w:color="auto"/>
                        <w:right w:val="none" w:sz="0" w:space="0" w:color="auto"/>
                      </w:divBdr>
                      <w:divsChild>
                        <w:div w:id="294143394">
                          <w:marLeft w:val="0"/>
                          <w:marRight w:val="0"/>
                          <w:marTop w:val="0"/>
                          <w:marBottom w:val="0"/>
                          <w:divBdr>
                            <w:top w:val="none" w:sz="0" w:space="0" w:color="auto"/>
                            <w:left w:val="none" w:sz="0" w:space="0" w:color="auto"/>
                            <w:bottom w:val="none" w:sz="0" w:space="0" w:color="auto"/>
                            <w:right w:val="none" w:sz="0" w:space="0" w:color="auto"/>
                          </w:divBdr>
                        </w:div>
                      </w:divsChild>
                    </w:div>
                    <w:div w:id="294149023">
                      <w:marLeft w:val="0"/>
                      <w:marRight w:val="0"/>
                      <w:marTop w:val="0"/>
                      <w:marBottom w:val="0"/>
                      <w:divBdr>
                        <w:top w:val="none" w:sz="0" w:space="0" w:color="auto"/>
                        <w:left w:val="none" w:sz="0" w:space="0" w:color="auto"/>
                        <w:bottom w:val="none" w:sz="0" w:space="0" w:color="auto"/>
                        <w:right w:val="none" w:sz="0" w:space="0" w:color="auto"/>
                      </w:divBdr>
                      <w:divsChild>
                        <w:div w:id="294150655">
                          <w:marLeft w:val="0"/>
                          <w:marRight w:val="0"/>
                          <w:marTop w:val="0"/>
                          <w:marBottom w:val="0"/>
                          <w:divBdr>
                            <w:top w:val="none" w:sz="0" w:space="0" w:color="auto"/>
                            <w:left w:val="none" w:sz="0" w:space="0" w:color="auto"/>
                            <w:bottom w:val="none" w:sz="0" w:space="0" w:color="auto"/>
                            <w:right w:val="none" w:sz="0" w:space="0" w:color="auto"/>
                          </w:divBdr>
                        </w:div>
                      </w:divsChild>
                    </w:div>
                    <w:div w:id="294149225">
                      <w:marLeft w:val="0"/>
                      <w:marRight w:val="0"/>
                      <w:marTop w:val="0"/>
                      <w:marBottom w:val="0"/>
                      <w:divBdr>
                        <w:top w:val="none" w:sz="0" w:space="0" w:color="auto"/>
                        <w:left w:val="none" w:sz="0" w:space="0" w:color="auto"/>
                        <w:bottom w:val="none" w:sz="0" w:space="0" w:color="auto"/>
                        <w:right w:val="none" w:sz="0" w:space="0" w:color="auto"/>
                      </w:divBdr>
                    </w:div>
                    <w:div w:id="294149242">
                      <w:marLeft w:val="0"/>
                      <w:marRight w:val="0"/>
                      <w:marTop w:val="0"/>
                      <w:marBottom w:val="0"/>
                      <w:divBdr>
                        <w:top w:val="none" w:sz="0" w:space="0" w:color="auto"/>
                        <w:left w:val="none" w:sz="0" w:space="0" w:color="auto"/>
                        <w:bottom w:val="none" w:sz="0" w:space="0" w:color="auto"/>
                        <w:right w:val="none" w:sz="0" w:space="0" w:color="auto"/>
                      </w:divBdr>
                      <w:divsChild>
                        <w:div w:id="294140451">
                          <w:marLeft w:val="0"/>
                          <w:marRight w:val="0"/>
                          <w:marTop w:val="0"/>
                          <w:marBottom w:val="0"/>
                          <w:divBdr>
                            <w:top w:val="none" w:sz="0" w:space="0" w:color="auto"/>
                            <w:left w:val="none" w:sz="0" w:space="0" w:color="auto"/>
                            <w:bottom w:val="none" w:sz="0" w:space="0" w:color="auto"/>
                            <w:right w:val="none" w:sz="0" w:space="0" w:color="auto"/>
                          </w:divBdr>
                        </w:div>
                      </w:divsChild>
                    </w:div>
                    <w:div w:id="294149296">
                      <w:marLeft w:val="0"/>
                      <w:marRight w:val="0"/>
                      <w:marTop w:val="0"/>
                      <w:marBottom w:val="0"/>
                      <w:divBdr>
                        <w:top w:val="none" w:sz="0" w:space="0" w:color="auto"/>
                        <w:left w:val="none" w:sz="0" w:space="0" w:color="auto"/>
                        <w:bottom w:val="none" w:sz="0" w:space="0" w:color="auto"/>
                        <w:right w:val="none" w:sz="0" w:space="0" w:color="auto"/>
                      </w:divBdr>
                      <w:divsChild>
                        <w:div w:id="294140518">
                          <w:marLeft w:val="0"/>
                          <w:marRight w:val="0"/>
                          <w:marTop w:val="0"/>
                          <w:marBottom w:val="0"/>
                          <w:divBdr>
                            <w:top w:val="none" w:sz="0" w:space="0" w:color="auto"/>
                            <w:left w:val="none" w:sz="0" w:space="0" w:color="auto"/>
                            <w:bottom w:val="none" w:sz="0" w:space="0" w:color="auto"/>
                            <w:right w:val="none" w:sz="0" w:space="0" w:color="auto"/>
                          </w:divBdr>
                        </w:div>
                      </w:divsChild>
                    </w:div>
                    <w:div w:id="294149335">
                      <w:marLeft w:val="0"/>
                      <w:marRight w:val="0"/>
                      <w:marTop w:val="0"/>
                      <w:marBottom w:val="0"/>
                      <w:divBdr>
                        <w:top w:val="none" w:sz="0" w:space="0" w:color="auto"/>
                        <w:left w:val="none" w:sz="0" w:space="0" w:color="auto"/>
                        <w:bottom w:val="none" w:sz="0" w:space="0" w:color="auto"/>
                        <w:right w:val="none" w:sz="0" w:space="0" w:color="auto"/>
                      </w:divBdr>
                      <w:divsChild>
                        <w:div w:id="294140796">
                          <w:marLeft w:val="0"/>
                          <w:marRight w:val="0"/>
                          <w:marTop w:val="0"/>
                          <w:marBottom w:val="0"/>
                          <w:divBdr>
                            <w:top w:val="none" w:sz="0" w:space="0" w:color="auto"/>
                            <w:left w:val="none" w:sz="0" w:space="0" w:color="auto"/>
                            <w:bottom w:val="none" w:sz="0" w:space="0" w:color="auto"/>
                            <w:right w:val="none" w:sz="0" w:space="0" w:color="auto"/>
                          </w:divBdr>
                        </w:div>
                      </w:divsChild>
                    </w:div>
                    <w:div w:id="294149417">
                      <w:marLeft w:val="0"/>
                      <w:marRight w:val="0"/>
                      <w:marTop w:val="0"/>
                      <w:marBottom w:val="0"/>
                      <w:divBdr>
                        <w:top w:val="none" w:sz="0" w:space="0" w:color="auto"/>
                        <w:left w:val="none" w:sz="0" w:space="0" w:color="auto"/>
                        <w:bottom w:val="none" w:sz="0" w:space="0" w:color="auto"/>
                        <w:right w:val="none" w:sz="0" w:space="0" w:color="auto"/>
                      </w:divBdr>
                      <w:divsChild>
                        <w:div w:id="294138468">
                          <w:marLeft w:val="0"/>
                          <w:marRight w:val="0"/>
                          <w:marTop w:val="0"/>
                          <w:marBottom w:val="0"/>
                          <w:divBdr>
                            <w:top w:val="none" w:sz="0" w:space="0" w:color="auto"/>
                            <w:left w:val="none" w:sz="0" w:space="0" w:color="auto"/>
                            <w:bottom w:val="none" w:sz="0" w:space="0" w:color="auto"/>
                            <w:right w:val="none" w:sz="0" w:space="0" w:color="auto"/>
                          </w:divBdr>
                        </w:div>
                      </w:divsChild>
                    </w:div>
                    <w:div w:id="294149484">
                      <w:marLeft w:val="0"/>
                      <w:marRight w:val="0"/>
                      <w:marTop w:val="0"/>
                      <w:marBottom w:val="0"/>
                      <w:divBdr>
                        <w:top w:val="none" w:sz="0" w:space="0" w:color="auto"/>
                        <w:left w:val="none" w:sz="0" w:space="0" w:color="auto"/>
                        <w:bottom w:val="none" w:sz="0" w:space="0" w:color="auto"/>
                        <w:right w:val="none" w:sz="0" w:space="0" w:color="auto"/>
                      </w:divBdr>
                      <w:divsChild>
                        <w:div w:id="294148867">
                          <w:marLeft w:val="0"/>
                          <w:marRight w:val="0"/>
                          <w:marTop w:val="0"/>
                          <w:marBottom w:val="0"/>
                          <w:divBdr>
                            <w:top w:val="none" w:sz="0" w:space="0" w:color="auto"/>
                            <w:left w:val="none" w:sz="0" w:space="0" w:color="auto"/>
                            <w:bottom w:val="none" w:sz="0" w:space="0" w:color="auto"/>
                            <w:right w:val="none" w:sz="0" w:space="0" w:color="auto"/>
                          </w:divBdr>
                        </w:div>
                      </w:divsChild>
                    </w:div>
                    <w:div w:id="294149491">
                      <w:marLeft w:val="0"/>
                      <w:marRight w:val="0"/>
                      <w:marTop w:val="0"/>
                      <w:marBottom w:val="0"/>
                      <w:divBdr>
                        <w:top w:val="none" w:sz="0" w:space="0" w:color="auto"/>
                        <w:left w:val="none" w:sz="0" w:space="0" w:color="auto"/>
                        <w:bottom w:val="none" w:sz="0" w:space="0" w:color="auto"/>
                        <w:right w:val="none" w:sz="0" w:space="0" w:color="auto"/>
                      </w:divBdr>
                    </w:div>
                    <w:div w:id="294149518">
                      <w:marLeft w:val="0"/>
                      <w:marRight w:val="0"/>
                      <w:marTop w:val="0"/>
                      <w:marBottom w:val="0"/>
                      <w:divBdr>
                        <w:top w:val="none" w:sz="0" w:space="0" w:color="auto"/>
                        <w:left w:val="none" w:sz="0" w:space="0" w:color="auto"/>
                        <w:bottom w:val="none" w:sz="0" w:space="0" w:color="auto"/>
                        <w:right w:val="none" w:sz="0" w:space="0" w:color="auto"/>
                      </w:divBdr>
                      <w:divsChild>
                        <w:div w:id="294156741">
                          <w:marLeft w:val="0"/>
                          <w:marRight w:val="0"/>
                          <w:marTop w:val="0"/>
                          <w:marBottom w:val="0"/>
                          <w:divBdr>
                            <w:top w:val="none" w:sz="0" w:space="0" w:color="auto"/>
                            <w:left w:val="none" w:sz="0" w:space="0" w:color="auto"/>
                            <w:bottom w:val="none" w:sz="0" w:space="0" w:color="auto"/>
                            <w:right w:val="none" w:sz="0" w:space="0" w:color="auto"/>
                          </w:divBdr>
                        </w:div>
                      </w:divsChild>
                    </w:div>
                    <w:div w:id="294149560">
                      <w:marLeft w:val="0"/>
                      <w:marRight w:val="0"/>
                      <w:marTop w:val="0"/>
                      <w:marBottom w:val="0"/>
                      <w:divBdr>
                        <w:top w:val="none" w:sz="0" w:space="0" w:color="auto"/>
                        <w:left w:val="none" w:sz="0" w:space="0" w:color="auto"/>
                        <w:bottom w:val="none" w:sz="0" w:space="0" w:color="auto"/>
                        <w:right w:val="none" w:sz="0" w:space="0" w:color="auto"/>
                      </w:divBdr>
                    </w:div>
                    <w:div w:id="294149611">
                      <w:marLeft w:val="0"/>
                      <w:marRight w:val="0"/>
                      <w:marTop w:val="0"/>
                      <w:marBottom w:val="0"/>
                      <w:divBdr>
                        <w:top w:val="none" w:sz="0" w:space="0" w:color="auto"/>
                        <w:left w:val="none" w:sz="0" w:space="0" w:color="auto"/>
                        <w:bottom w:val="none" w:sz="0" w:space="0" w:color="auto"/>
                        <w:right w:val="none" w:sz="0" w:space="0" w:color="auto"/>
                      </w:divBdr>
                      <w:divsChild>
                        <w:div w:id="294156768">
                          <w:marLeft w:val="0"/>
                          <w:marRight w:val="0"/>
                          <w:marTop w:val="0"/>
                          <w:marBottom w:val="0"/>
                          <w:divBdr>
                            <w:top w:val="none" w:sz="0" w:space="0" w:color="auto"/>
                            <w:left w:val="none" w:sz="0" w:space="0" w:color="auto"/>
                            <w:bottom w:val="none" w:sz="0" w:space="0" w:color="auto"/>
                            <w:right w:val="none" w:sz="0" w:space="0" w:color="auto"/>
                          </w:divBdr>
                        </w:div>
                      </w:divsChild>
                    </w:div>
                    <w:div w:id="294149623">
                      <w:marLeft w:val="0"/>
                      <w:marRight w:val="0"/>
                      <w:marTop w:val="0"/>
                      <w:marBottom w:val="0"/>
                      <w:divBdr>
                        <w:top w:val="none" w:sz="0" w:space="0" w:color="auto"/>
                        <w:left w:val="none" w:sz="0" w:space="0" w:color="auto"/>
                        <w:bottom w:val="none" w:sz="0" w:space="0" w:color="auto"/>
                        <w:right w:val="none" w:sz="0" w:space="0" w:color="auto"/>
                      </w:divBdr>
                      <w:divsChild>
                        <w:div w:id="294144981">
                          <w:marLeft w:val="0"/>
                          <w:marRight w:val="0"/>
                          <w:marTop w:val="0"/>
                          <w:marBottom w:val="0"/>
                          <w:divBdr>
                            <w:top w:val="none" w:sz="0" w:space="0" w:color="auto"/>
                            <w:left w:val="none" w:sz="0" w:space="0" w:color="auto"/>
                            <w:bottom w:val="none" w:sz="0" w:space="0" w:color="auto"/>
                            <w:right w:val="none" w:sz="0" w:space="0" w:color="auto"/>
                          </w:divBdr>
                        </w:div>
                      </w:divsChild>
                    </w:div>
                    <w:div w:id="294149647">
                      <w:marLeft w:val="0"/>
                      <w:marRight w:val="0"/>
                      <w:marTop w:val="0"/>
                      <w:marBottom w:val="0"/>
                      <w:divBdr>
                        <w:top w:val="none" w:sz="0" w:space="0" w:color="auto"/>
                        <w:left w:val="none" w:sz="0" w:space="0" w:color="auto"/>
                        <w:bottom w:val="none" w:sz="0" w:space="0" w:color="auto"/>
                        <w:right w:val="none" w:sz="0" w:space="0" w:color="auto"/>
                      </w:divBdr>
                    </w:div>
                    <w:div w:id="294149671">
                      <w:marLeft w:val="0"/>
                      <w:marRight w:val="0"/>
                      <w:marTop w:val="0"/>
                      <w:marBottom w:val="0"/>
                      <w:divBdr>
                        <w:top w:val="none" w:sz="0" w:space="0" w:color="auto"/>
                        <w:left w:val="none" w:sz="0" w:space="0" w:color="auto"/>
                        <w:bottom w:val="none" w:sz="0" w:space="0" w:color="auto"/>
                        <w:right w:val="none" w:sz="0" w:space="0" w:color="auto"/>
                      </w:divBdr>
                    </w:div>
                    <w:div w:id="294149752">
                      <w:marLeft w:val="0"/>
                      <w:marRight w:val="0"/>
                      <w:marTop w:val="0"/>
                      <w:marBottom w:val="0"/>
                      <w:divBdr>
                        <w:top w:val="none" w:sz="0" w:space="0" w:color="auto"/>
                        <w:left w:val="none" w:sz="0" w:space="0" w:color="auto"/>
                        <w:bottom w:val="none" w:sz="0" w:space="0" w:color="auto"/>
                        <w:right w:val="none" w:sz="0" w:space="0" w:color="auto"/>
                      </w:divBdr>
                      <w:divsChild>
                        <w:div w:id="294156615">
                          <w:marLeft w:val="0"/>
                          <w:marRight w:val="0"/>
                          <w:marTop w:val="0"/>
                          <w:marBottom w:val="0"/>
                          <w:divBdr>
                            <w:top w:val="none" w:sz="0" w:space="0" w:color="auto"/>
                            <w:left w:val="none" w:sz="0" w:space="0" w:color="auto"/>
                            <w:bottom w:val="none" w:sz="0" w:space="0" w:color="auto"/>
                            <w:right w:val="none" w:sz="0" w:space="0" w:color="auto"/>
                          </w:divBdr>
                        </w:div>
                      </w:divsChild>
                    </w:div>
                    <w:div w:id="294149836">
                      <w:marLeft w:val="0"/>
                      <w:marRight w:val="0"/>
                      <w:marTop w:val="0"/>
                      <w:marBottom w:val="0"/>
                      <w:divBdr>
                        <w:top w:val="none" w:sz="0" w:space="0" w:color="auto"/>
                        <w:left w:val="none" w:sz="0" w:space="0" w:color="auto"/>
                        <w:bottom w:val="none" w:sz="0" w:space="0" w:color="auto"/>
                        <w:right w:val="none" w:sz="0" w:space="0" w:color="auto"/>
                      </w:divBdr>
                    </w:div>
                    <w:div w:id="294149837">
                      <w:marLeft w:val="0"/>
                      <w:marRight w:val="0"/>
                      <w:marTop w:val="0"/>
                      <w:marBottom w:val="0"/>
                      <w:divBdr>
                        <w:top w:val="none" w:sz="0" w:space="0" w:color="auto"/>
                        <w:left w:val="none" w:sz="0" w:space="0" w:color="auto"/>
                        <w:bottom w:val="none" w:sz="0" w:space="0" w:color="auto"/>
                        <w:right w:val="none" w:sz="0" w:space="0" w:color="auto"/>
                      </w:divBdr>
                    </w:div>
                    <w:div w:id="294149877">
                      <w:marLeft w:val="0"/>
                      <w:marRight w:val="0"/>
                      <w:marTop w:val="0"/>
                      <w:marBottom w:val="0"/>
                      <w:divBdr>
                        <w:top w:val="none" w:sz="0" w:space="0" w:color="auto"/>
                        <w:left w:val="none" w:sz="0" w:space="0" w:color="auto"/>
                        <w:bottom w:val="none" w:sz="0" w:space="0" w:color="auto"/>
                        <w:right w:val="none" w:sz="0" w:space="0" w:color="auto"/>
                      </w:divBdr>
                    </w:div>
                    <w:div w:id="294149915">
                      <w:marLeft w:val="0"/>
                      <w:marRight w:val="0"/>
                      <w:marTop w:val="0"/>
                      <w:marBottom w:val="0"/>
                      <w:divBdr>
                        <w:top w:val="none" w:sz="0" w:space="0" w:color="auto"/>
                        <w:left w:val="none" w:sz="0" w:space="0" w:color="auto"/>
                        <w:bottom w:val="none" w:sz="0" w:space="0" w:color="auto"/>
                        <w:right w:val="none" w:sz="0" w:space="0" w:color="auto"/>
                      </w:divBdr>
                    </w:div>
                    <w:div w:id="294149948">
                      <w:marLeft w:val="0"/>
                      <w:marRight w:val="0"/>
                      <w:marTop w:val="0"/>
                      <w:marBottom w:val="0"/>
                      <w:divBdr>
                        <w:top w:val="none" w:sz="0" w:space="0" w:color="auto"/>
                        <w:left w:val="none" w:sz="0" w:space="0" w:color="auto"/>
                        <w:bottom w:val="none" w:sz="0" w:space="0" w:color="auto"/>
                        <w:right w:val="none" w:sz="0" w:space="0" w:color="auto"/>
                      </w:divBdr>
                      <w:divsChild>
                        <w:div w:id="294148749">
                          <w:marLeft w:val="0"/>
                          <w:marRight w:val="0"/>
                          <w:marTop w:val="0"/>
                          <w:marBottom w:val="0"/>
                          <w:divBdr>
                            <w:top w:val="none" w:sz="0" w:space="0" w:color="auto"/>
                            <w:left w:val="none" w:sz="0" w:space="0" w:color="auto"/>
                            <w:bottom w:val="none" w:sz="0" w:space="0" w:color="auto"/>
                            <w:right w:val="none" w:sz="0" w:space="0" w:color="auto"/>
                          </w:divBdr>
                        </w:div>
                      </w:divsChild>
                    </w:div>
                    <w:div w:id="294150097">
                      <w:marLeft w:val="0"/>
                      <w:marRight w:val="0"/>
                      <w:marTop w:val="0"/>
                      <w:marBottom w:val="0"/>
                      <w:divBdr>
                        <w:top w:val="none" w:sz="0" w:space="0" w:color="auto"/>
                        <w:left w:val="none" w:sz="0" w:space="0" w:color="auto"/>
                        <w:bottom w:val="none" w:sz="0" w:space="0" w:color="auto"/>
                        <w:right w:val="none" w:sz="0" w:space="0" w:color="auto"/>
                      </w:divBdr>
                      <w:divsChild>
                        <w:div w:id="294154504">
                          <w:marLeft w:val="0"/>
                          <w:marRight w:val="0"/>
                          <w:marTop w:val="0"/>
                          <w:marBottom w:val="0"/>
                          <w:divBdr>
                            <w:top w:val="none" w:sz="0" w:space="0" w:color="auto"/>
                            <w:left w:val="none" w:sz="0" w:space="0" w:color="auto"/>
                            <w:bottom w:val="none" w:sz="0" w:space="0" w:color="auto"/>
                            <w:right w:val="none" w:sz="0" w:space="0" w:color="auto"/>
                          </w:divBdr>
                        </w:div>
                      </w:divsChild>
                    </w:div>
                    <w:div w:id="294150245">
                      <w:marLeft w:val="0"/>
                      <w:marRight w:val="0"/>
                      <w:marTop w:val="0"/>
                      <w:marBottom w:val="0"/>
                      <w:divBdr>
                        <w:top w:val="none" w:sz="0" w:space="0" w:color="auto"/>
                        <w:left w:val="none" w:sz="0" w:space="0" w:color="auto"/>
                        <w:bottom w:val="none" w:sz="0" w:space="0" w:color="auto"/>
                        <w:right w:val="none" w:sz="0" w:space="0" w:color="auto"/>
                      </w:divBdr>
                      <w:divsChild>
                        <w:div w:id="294149069">
                          <w:marLeft w:val="0"/>
                          <w:marRight w:val="0"/>
                          <w:marTop w:val="0"/>
                          <w:marBottom w:val="0"/>
                          <w:divBdr>
                            <w:top w:val="none" w:sz="0" w:space="0" w:color="auto"/>
                            <w:left w:val="none" w:sz="0" w:space="0" w:color="auto"/>
                            <w:bottom w:val="none" w:sz="0" w:space="0" w:color="auto"/>
                            <w:right w:val="none" w:sz="0" w:space="0" w:color="auto"/>
                          </w:divBdr>
                        </w:div>
                      </w:divsChild>
                    </w:div>
                    <w:div w:id="294150326">
                      <w:marLeft w:val="0"/>
                      <w:marRight w:val="0"/>
                      <w:marTop w:val="0"/>
                      <w:marBottom w:val="0"/>
                      <w:divBdr>
                        <w:top w:val="none" w:sz="0" w:space="0" w:color="auto"/>
                        <w:left w:val="none" w:sz="0" w:space="0" w:color="auto"/>
                        <w:bottom w:val="none" w:sz="0" w:space="0" w:color="auto"/>
                        <w:right w:val="none" w:sz="0" w:space="0" w:color="auto"/>
                      </w:divBdr>
                    </w:div>
                    <w:div w:id="294150359">
                      <w:marLeft w:val="0"/>
                      <w:marRight w:val="0"/>
                      <w:marTop w:val="0"/>
                      <w:marBottom w:val="0"/>
                      <w:divBdr>
                        <w:top w:val="none" w:sz="0" w:space="0" w:color="auto"/>
                        <w:left w:val="none" w:sz="0" w:space="0" w:color="auto"/>
                        <w:bottom w:val="none" w:sz="0" w:space="0" w:color="auto"/>
                        <w:right w:val="none" w:sz="0" w:space="0" w:color="auto"/>
                      </w:divBdr>
                    </w:div>
                    <w:div w:id="294150393">
                      <w:marLeft w:val="0"/>
                      <w:marRight w:val="0"/>
                      <w:marTop w:val="0"/>
                      <w:marBottom w:val="0"/>
                      <w:divBdr>
                        <w:top w:val="none" w:sz="0" w:space="0" w:color="auto"/>
                        <w:left w:val="none" w:sz="0" w:space="0" w:color="auto"/>
                        <w:bottom w:val="none" w:sz="0" w:space="0" w:color="auto"/>
                        <w:right w:val="none" w:sz="0" w:space="0" w:color="auto"/>
                      </w:divBdr>
                      <w:divsChild>
                        <w:div w:id="294145238">
                          <w:marLeft w:val="0"/>
                          <w:marRight w:val="0"/>
                          <w:marTop w:val="0"/>
                          <w:marBottom w:val="0"/>
                          <w:divBdr>
                            <w:top w:val="none" w:sz="0" w:space="0" w:color="auto"/>
                            <w:left w:val="none" w:sz="0" w:space="0" w:color="auto"/>
                            <w:bottom w:val="none" w:sz="0" w:space="0" w:color="auto"/>
                            <w:right w:val="none" w:sz="0" w:space="0" w:color="auto"/>
                          </w:divBdr>
                        </w:div>
                      </w:divsChild>
                    </w:div>
                    <w:div w:id="294150416">
                      <w:marLeft w:val="0"/>
                      <w:marRight w:val="0"/>
                      <w:marTop w:val="0"/>
                      <w:marBottom w:val="0"/>
                      <w:divBdr>
                        <w:top w:val="none" w:sz="0" w:space="0" w:color="auto"/>
                        <w:left w:val="none" w:sz="0" w:space="0" w:color="auto"/>
                        <w:bottom w:val="none" w:sz="0" w:space="0" w:color="auto"/>
                        <w:right w:val="none" w:sz="0" w:space="0" w:color="auto"/>
                      </w:divBdr>
                    </w:div>
                    <w:div w:id="294150459">
                      <w:marLeft w:val="0"/>
                      <w:marRight w:val="0"/>
                      <w:marTop w:val="0"/>
                      <w:marBottom w:val="0"/>
                      <w:divBdr>
                        <w:top w:val="none" w:sz="0" w:space="0" w:color="auto"/>
                        <w:left w:val="none" w:sz="0" w:space="0" w:color="auto"/>
                        <w:bottom w:val="none" w:sz="0" w:space="0" w:color="auto"/>
                        <w:right w:val="none" w:sz="0" w:space="0" w:color="auto"/>
                      </w:divBdr>
                      <w:divsChild>
                        <w:div w:id="294156828">
                          <w:marLeft w:val="0"/>
                          <w:marRight w:val="0"/>
                          <w:marTop w:val="0"/>
                          <w:marBottom w:val="0"/>
                          <w:divBdr>
                            <w:top w:val="none" w:sz="0" w:space="0" w:color="auto"/>
                            <w:left w:val="none" w:sz="0" w:space="0" w:color="auto"/>
                            <w:bottom w:val="none" w:sz="0" w:space="0" w:color="auto"/>
                            <w:right w:val="none" w:sz="0" w:space="0" w:color="auto"/>
                          </w:divBdr>
                        </w:div>
                      </w:divsChild>
                    </w:div>
                    <w:div w:id="294150482">
                      <w:marLeft w:val="0"/>
                      <w:marRight w:val="0"/>
                      <w:marTop w:val="0"/>
                      <w:marBottom w:val="0"/>
                      <w:divBdr>
                        <w:top w:val="none" w:sz="0" w:space="0" w:color="auto"/>
                        <w:left w:val="none" w:sz="0" w:space="0" w:color="auto"/>
                        <w:bottom w:val="none" w:sz="0" w:space="0" w:color="auto"/>
                        <w:right w:val="none" w:sz="0" w:space="0" w:color="auto"/>
                      </w:divBdr>
                    </w:div>
                    <w:div w:id="294150528">
                      <w:marLeft w:val="0"/>
                      <w:marRight w:val="0"/>
                      <w:marTop w:val="0"/>
                      <w:marBottom w:val="0"/>
                      <w:divBdr>
                        <w:top w:val="none" w:sz="0" w:space="0" w:color="auto"/>
                        <w:left w:val="none" w:sz="0" w:space="0" w:color="auto"/>
                        <w:bottom w:val="none" w:sz="0" w:space="0" w:color="auto"/>
                        <w:right w:val="none" w:sz="0" w:space="0" w:color="auto"/>
                      </w:divBdr>
                    </w:div>
                    <w:div w:id="294150618">
                      <w:marLeft w:val="0"/>
                      <w:marRight w:val="0"/>
                      <w:marTop w:val="0"/>
                      <w:marBottom w:val="0"/>
                      <w:divBdr>
                        <w:top w:val="none" w:sz="0" w:space="0" w:color="auto"/>
                        <w:left w:val="none" w:sz="0" w:space="0" w:color="auto"/>
                        <w:bottom w:val="none" w:sz="0" w:space="0" w:color="auto"/>
                        <w:right w:val="none" w:sz="0" w:space="0" w:color="auto"/>
                      </w:divBdr>
                    </w:div>
                    <w:div w:id="294150674">
                      <w:marLeft w:val="0"/>
                      <w:marRight w:val="0"/>
                      <w:marTop w:val="0"/>
                      <w:marBottom w:val="0"/>
                      <w:divBdr>
                        <w:top w:val="none" w:sz="0" w:space="0" w:color="auto"/>
                        <w:left w:val="none" w:sz="0" w:space="0" w:color="auto"/>
                        <w:bottom w:val="none" w:sz="0" w:space="0" w:color="auto"/>
                        <w:right w:val="none" w:sz="0" w:space="0" w:color="auto"/>
                      </w:divBdr>
                    </w:div>
                    <w:div w:id="294150921">
                      <w:marLeft w:val="0"/>
                      <w:marRight w:val="0"/>
                      <w:marTop w:val="0"/>
                      <w:marBottom w:val="0"/>
                      <w:divBdr>
                        <w:top w:val="none" w:sz="0" w:space="0" w:color="auto"/>
                        <w:left w:val="none" w:sz="0" w:space="0" w:color="auto"/>
                        <w:bottom w:val="none" w:sz="0" w:space="0" w:color="auto"/>
                        <w:right w:val="none" w:sz="0" w:space="0" w:color="auto"/>
                      </w:divBdr>
                      <w:divsChild>
                        <w:div w:id="294153962">
                          <w:marLeft w:val="0"/>
                          <w:marRight w:val="0"/>
                          <w:marTop w:val="0"/>
                          <w:marBottom w:val="0"/>
                          <w:divBdr>
                            <w:top w:val="none" w:sz="0" w:space="0" w:color="auto"/>
                            <w:left w:val="none" w:sz="0" w:space="0" w:color="auto"/>
                            <w:bottom w:val="none" w:sz="0" w:space="0" w:color="auto"/>
                            <w:right w:val="none" w:sz="0" w:space="0" w:color="auto"/>
                          </w:divBdr>
                        </w:div>
                      </w:divsChild>
                    </w:div>
                    <w:div w:id="294150941">
                      <w:marLeft w:val="0"/>
                      <w:marRight w:val="0"/>
                      <w:marTop w:val="0"/>
                      <w:marBottom w:val="0"/>
                      <w:divBdr>
                        <w:top w:val="none" w:sz="0" w:space="0" w:color="auto"/>
                        <w:left w:val="none" w:sz="0" w:space="0" w:color="auto"/>
                        <w:bottom w:val="none" w:sz="0" w:space="0" w:color="auto"/>
                        <w:right w:val="none" w:sz="0" w:space="0" w:color="auto"/>
                      </w:divBdr>
                      <w:divsChild>
                        <w:div w:id="294138082">
                          <w:marLeft w:val="0"/>
                          <w:marRight w:val="0"/>
                          <w:marTop w:val="0"/>
                          <w:marBottom w:val="0"/>
                          <w:divBdr>
                            <w:top w:val="none" w:sz="0" w:space="0" w:color="auto"/>
                            <w:left w:val="none" w:sz="0" w:space="0" w:color="auto"/>
                            <w:bottom w:val="none" w:sz="0" w:space="0" w:color="auto"/>
                            <w:right w:val="none" w:sz="0" w:space="0" w:color="auto"/>
                          </w:divBdr>
                        </w:div>
                      </w:divsChild>
                    </w:div>
                    <w:div w:id="294150951">
                      <w:marLeft w:val="0"/>
                      <w:marRight w:val="0"/>
                      <w:marTop w:val="0"/>
                      <w:marBottom w:val="0"/>
                      <w:divBdr>
                        <w:top w:val="none" w:sz="0" w:space="0" w:color="auto"/>
                        <w:left w:val="none" w:sz="0" w:space="0" w:color="auto"/>
                        <w:bottom w:val="none" w:sz="0" w:space="0" w:color="auto"/>
                        <w:right w:val="none" w:sz="0" w:space="0" w:color="auto"/>
                      </w:divBdr>
                      <w:divsChild>
                        <w:div w:id="294138221">
                          <w:marLeft w:val="0"/>
                          <w:marRight w:val="0"/>
                          <w:marTop w:val="0"/>
                          <w:marBottom w:val="0"/>
                          <w:divBdr>
                            <w:top w:val="none" w:sz="0" w:space="0" w:color="auto"/>
                            <w:left w:val="none" w:sz="0" w:space="0" w:color="auto"/>
                            <w:bottom w:val="none" w:sz="0" w:space="0" w:color="auto"/>
                            <w:right w:val="none" w:sz="0" w:space="0" w:color="auto"/>
                          </w:divBdr>
                        </w:div>
                      </w:divsChild>
                    </w:div>
                    <w:div w:id="294151030">
                      <w:marLeft w:val="0"/>
                      <w:marRight w:val="0"/>
                      <w:marTop w:val="0"/>
                      <w:marBottom w:val="0"/>
                      <w:divBdr>
                        <w:top w:val="none" w:sz="0" w:space="0" w:color="auto"/>
                        <w:left w:val="none" w:sz="0" w:space="0" w:color="auto"/>
                        <w:bottom w:val="none" w:sz="0" w:space="0" w:color="auto"/>
                        <w:right w:val="none" w:sz="0" w:space="0" w:color="auto"/>
                      </w:divBdr>
                    </w:div>
                    <w:div w:id="294151091">
                      <w:marLeft w:val="0"/>
                      <w:marRight w:val="0"/>
                      <w:marTop w:val="0"/>
                      <w:marBottom w:val="0"/>
                      <w:divBdr>
                        <w:top w:val="none" w:sz="0" w:space="0" w:color="auto"/>
                        <w:left w:val="none" w:sz="0" w:space="0" w:color="auto"/>
                        <w:bottom w:val="none" w:sz="0" w:space="0" w:color="auto"/>
                        <w:right w:val="none" w:sz="0" w:space="0" w:color="auto"/>
                      </w:divBdr>
                    </w:div>
                    <w:div w:id="294151168">
                      <w:marLeft w:val="0"/>
                      <w:marRight w:val="0"/>
                      <w:marTop w:val="0"/>
                      <w:marBottom w:val="0"/>
                      <w:divBdr>
                        <w:top w:val="none" w:sz="0" w:space="0" w:color="auto"/>
                        <w:left w:val="none" w:sz="0" w:space="0" w:color="auto"/>
                        <w:bottom w:val="none" w:sz="0" w:space="0" w:color="auto"/>
                        <w:right w:val="none" w:sz="0" w:space="0" w:color="auto"/>
                      </w:divBdr>
                      <w:divsChild>
                        <w:div w:id="294153446">
                          <w:marLeft w:val="0"/>
                          <w:marRight w:val="0"/>
                          <w:marTop w:val="0"/>
                          <w:marBottom w:val="0"/>
                          <w:divBdr>
                            <w:top w:val="none" w:sz="0" w:space="0" w:color="auto"/>
                            <w:left w:val="none" w:sz="0" w:space="0" w:color="auto"/>
                            <w:bottom w:val="none" w:sz="0" w:space="0" w:color="auto"/>
                            <w:right w:val="none" w:sz="0" w:space="0" w:color="auto"/>
                          </w:divBdr>
                        </w:div>
                      </w:divsChild>
                    </w:div>
                    <w:div w:id="294151182">
                      <w:marLeft w:val="0"/>
                      <w:marRight w:val="0"/>
                      <w:marTop w:val="0"/>
                      <w:marBottom w:val="0"/>
                      <w:divBdr>
                        <w:top w:val="none" w:sz="0" w:space="0" w:color="auto"/>
                        <w:left w:val="none" w:sz="0" w:space="0" w:color="auto"/>
                        <w:bottom w:val="none" w:sz="0" w:space="0" w:color="auto"/>
                        <w:right w:val="none" w:sz="0" w:space="0" w:color="auto"/>
                      </w:divBdr>
                    </w:div>
                    <w:div w:id="294151201">
                      <w:marLeft w:val="0"/>
                      <w:marRight w:val="0"/>
                      <w:marTop w:val="0"/>
                      <w:marBottom w:val="0"/>
                      <w:divBdr>
                        <w:top w:val="none" w:sz="0" w:space="0" w:color="auto"/>
                        <w:left w:val="none" w:sz="0" w:space="0" w:color="auto"/>
                        <w:bottom w:val="none" w:sz="0" w:space="0" w:color="auto"/>
                        <w:right w:val="none" w:sz="0" w:space="0" w:color="auto"/>
                      </w:divBdr>
                    </w:div>
                    <w:div w:id="294151247">
                      <w:marLeft w:val="0"/>
                      <w:marRight w:val="0"/>
                      <w:marTop w:val="0"/>
                      <w:marBottom w:val="0"/>
                      <w:divBdr>
                        <w:top w:val="none" w:sz="0" w:space="0" w:color="auto"/>
                        <w:left w:val="none" w:sz="0" w:space="0" w:color="auto"/>
                        <w:bottom w:val="none" w:sz="0" w:space="0" w:color="auto"/>
                        <w:right w:val="none" w:sz="0" w:space="0" w:color="auto"/>
                      </w:divBdr>
                    </w:div>
                    <w:div w:id="294151251">
                      <w:marLeft w:val="0"/>
                      <w:marRight w:val="0"/>
                      <w:marTop w:val="0"/>
                      <w:marBottom w:val="0"/>
                      <w:divBdr>
                        <w:top w:val="none" w:sz="0" w:space="0" w:color="auto"/>
                        <w:left w:val="none" w:sz="0" w:space="0" w:color="auto"/>
                        <w:bottom w:val="none" w:sz="0" w:space="0" w:color="auto"/>
                        <w:right w:val="none" w:sz="0" w:space="0" w:color="auto"/>
                      </w:divBdr>
                    </w:div>
                    <w:div w:id="294151262">
                      <w:marLeft w:val="0"/>
                      <w:marRight w:val="0"/>
                      <w:marTop w:val="0"/>
                      <w:marBottom w:val="0"/>
                      <w:divBdr>
                        <w:top w:val="none" w:sz="0" w:space="0" w:color="auto"/>
                        <w:left w:val="none" w:sz="0" w:space="0" w:color="auto"/>
                        <w:bottom w:val="none" w:sz="0" w:space="0" w:color="auto"/>
                        <w:right w:val="none" w:sz="0" w:space="0" w:color="auto"/>
                      </w:divBdr>
                      <w:divsChild>
                        <w:div w:id="294156935">
                          <w:marLeft w:val="0"/>
                          <w:marRight w:val="0"/>
                          <w:marTop w:val="0"/>
                          <w:marBottom w:val="0"/>
                          <w:divBdr>
                            <w:top w:val="none" w:sz="0" w:space="0" w:color="auto"/>
                            <w:left w:val="none" w:sz="0" w:space="0" w:color="auto"/>
                            <w:bottom w:val="none" w:sz="0" w:space="0" w:color="auto"/>
                            <w:right w:val="none" w:sz="0" w:space="0" w:color="auto"/>
                          </w:divBdr>
                        </w:div>
                      </w:divsChild>
                    </w:div>
                    <w:div w:id="294151266">
                      <w:marLeft w:val="0"/>
                      <w:marRight w:val="0"/>
                      <w:marTop w:val="0"/>
                      <w:marBottom w:val="0"/>
                      <w:divBdr>
                        <w:top w:val="none" w:sz="0" w:space="0" w:color="auto"/>
                        <w:left w:val="none" w:sz="0" w:space="0" w:color="auto"/>
                        <w:bottom w:val="none" w:sz="0" w:space="0" w:color="auto"/>
                        <w:right w:val="none" w:sz="0" w:space="0" w:color="auto"/>
                      </w:divBdr>
                      <w:divsChild>
                        <w:div w:id="294150684">
                          <w:marLeft w:val="0"/>
                          <w:marRight w:val="0"/>
                          <w:marTop w:val="0"/>
                          <w:marBottom w:val="0"/>
                          <w:divBdr>
                            <w:top w:val="none" w:sz="0" w:space="0" w:color="auto"/>
                            <w:left w:val="none" w:sz="0" w:space="0" w:color="auto"/>
                            <w:bottom w:val="none" w:sz="0" w:space="0" w:color="auto"/>
                            <w:right w:val="none" w:sz="0" w:space="0" w:color="auto"/>
                          </w:divBdr>
                        </w:div>
                      </w:divsChild>
                    </w:div>
                    <w:div w:id="294151344">
                      <w:marLeft w:val="0"/>
                      <w:marRight w:val="0"/>
                      <w:marTop w:val="0"/>
                      <w:marBottom w:val="0"/>
                      <w:divBdr>
                        <w:top w:val="none" w:sz="0" w:space="0" w:color="auto"/>
                        <w:left w:val="none" w:sz="0" w:space="0" w:color="auto"/>
                        <w:bottom w:val="none" w:sz="0" w:space="0" w:color="auto"/>
                        <w:right w:val="none" w:sz="0" w:space="0" w:color="auto"/>
                      </w:divBdr>
                    </w:div>
                    <w:div w:id="294151468">
                      <w:marLeft w:val="0"/>
                      <w:marRight w:val="0"/>
                      <w:marTop w:val="0"/>
                      <w:marBottom w:val="0"/>
                      <w:divBdr>
                        <w:top w:val="none" w:sz="0" w:space="0" w:color="auto"/>
                        <w:left w:val="none" w:sz="0" w:space="0" w:color="auto"/>
                        <w:bottom w:val="none" w:sz="0" w:space="0" w:color="auto"/>
                        <w:right w:val="none" w:sz="0" w:space="0" w:color="auto"/>
                      </w:divBdr>
                      <w:divsChild>
                        <w:div w:id="294143114">
                          <w:marLeft w:val="0"/>
                          <w:marRight w:val="0"/>
                          <w:marTop w:val="0"/>
                          <w:marBottom w:val="0"/>
                          <w:divBdr>
                            <w:top w:val="none" w:sz="0" w:space="0" w:color="auto"/>
                            <w:left w:val="none" w:sz="0" w:space="0" w:color="auto"/>
                            <w:bottom w:val="none" w:sz="0" w:space="0" w:color="auto"/>
                            <w:right w:val="none" w:sz="0" w:space="0" w:color="auto"/>
                          </w:divBdr>
                        </w:div>
                      </w:divsChild>
                    </w:div>
                    <w:div w:id="294151505">
                      <w:marLeft w:val="0"/>
                      <w:marRight w:val="0"/>
                      <w:marTop w:val="0"/>
                      <w:marBottom w:val="0"/>
                      <w:divBdr>
                        <w:top w:val="none" w:sz="0" w:space="0" w:color="auto"/>
                        <w:left w:val="none" w:sz="0" w:space="0" w:color="auto"/>
                        <w:bottom w:val="none" w:sz="0" w:space="0" w:color="auto"/>
                        <w:right w:val="none" w:sz="0" w:space="0" w:color="auto"/>
                      </w:divBdr>
                      <w:divsChild>
                        <w:div w:id="294144061">
                          <w:marLeft w:val="0"/>
                          <w:marRight w:val="0"/>
                          <w:marTop w:val="0"/>
                          <w:marBottom w:val="0"/>
                          <w:divBdr>
                            <w:top w:val="none" w:sz="0" w:space="0" w:color="auto"/>
                            <w:left w:val="none" w:sz="0" w:space="0" w:color="auto"/>
                            <w:bottom w:val="none" w:sz="0" w:space="0" w:color="auto"/>
                            <w:right w:val="none" w:sz="0" w:space="0" w:color="auto"/>
                          </w:divBdr>
                        </w:div>
                      </w:divsChild>
                    </w:div>
                    <w:div w:id="294151511">
                      <w:marLeft w:val="0"/>
                      <w:marRight w:val="0"/>
                      <w:marTop w:val="0"/>
                      <w:marBottom w:val="0"/>
                      <w:divBdr>
                        <w:top w:val="none" w:sz="0" w:space="0" w:color="auto"/>
                        <w:left w:val="none" w:sz="0" w:space="0" w:color="auto"/>
                        <w:bottom w:val="none" w:sz="0" w:space="0" w:color="auto"/>
                        <w:right w:val="none" w:sz="0" w:space="0" w:color="auto"/>
                      </w:divBdr>
                      <w:divsChild>
                        <w:div w:id="294145058">
                          <w:marLeft w:val="0"/>
                          <w:marRight w:val="0"/>
                          <w:marTop w:val="0"/>
                          <w:marBottom w:val="0"/>
                          <w:divBdr>
                            <w:top w:val="none" w:sz="0" w:space="0" w:color="auto"/>
                            <w:left w:val="none" w:sz="0" w:space="0" w:color="auto"/>
                            <w:bottom w:val="none" w:sz="0" w:space="0" w:color="auto"/>
                            <w:right w:val="none" w:sz="0" w:space="0" w:color="auto"/>
                          </w:divBdr>
                        </w:div>
                      </w:divsChild>
                    </w:div>
                    <w:div w:id="294151530">
                      <w:marLeft w:val="0"/>
                      <w:marRight w:val="0"/>
                      <w:marTop w:val="0"/>
                      <w:marBottom w:val="0"/>
                      <w:divBdr>
                        <w:top w:val="none" w:sz="0" w:space="0" w:color="auto"/>
                        <w:left w:val="none" w:sz="0" w:space="0" w:color="auto"/>
                        <w:bottom w:val="none" w:sz="0" w:space="0" w:color="auto"/>
                        <w:right w:val="none" w:sz="0" w:space="0" w:color="auto"/>
                      </w:divBdr>
                      <w:divsChild>
                        <w:div w:id="294143050">
                          <w:marLeft w:val="0"/>
                          <w:marRight w:val="0"/>
                          <w:marTop w:val="0"/>
                          <w:marBottom w:val="0"/>
                          <w:divBdr>
                            <w:top w:val="none" w:sz="0" w:space="0" w:color="auto"/>
                            <w:left w:val="none" w:sz="0" w:space="0" w:color="auto"/>
                            <w:bottom w:val="none" w:sz="0" w:space="0" w:color="auto"/>
                            <w:right w:val="none" w:sz="0" w:space="0" w:color="auto"/>
                          </w:divBdr>
                        </w:div>
                      </w:divsChild>
                    </w:div>
                    <w:div w:id="294151581">
                      <w:marLeft w:val="0"/>
                      <w:marRight w:val="0"/>
                      <w:marTop w:val="0"/>
                      <w:marBottom w:val="0"/>
                      <w:divBdr>
                        <w:top w:val="none" w:sz="0" w:space="0" w:color="auto"/>
                        <w:left w:val="none" w:sz="0" w:space="0" w:color="auto"/>
                        <w:bottom w:val="none" w:sz="0" w:space="0" w:color="auto"/>
                        <w:right w:val="none" w:sz="0" w:space="0" w:color="auto"/>
                      </w:divBdr>
                    </w:div>
                    <w:div w:id="294151611">
                      <w:marLeft w:val="0"/>
                      <w:marRight w:val="0"/>
                      <w:marTop w:val="0"/>
                      <w:marBottom w:val="0"/>
                      <w:divBdr>
                        <w:top w:val="none" w:sz="0" w:space="0" w:color="auto"/>
                        <w:left w:val="none" w:sz="0" w:space="0" w:color="auto"/>
                        <w:bottom w:val="none" w:sz="0" w:space="0" w:color="auto"/>
                        <w:right w:val="none" w:sz="0" w:space="0" w:color="auto"/>
                      </w:divBdr>
                    </w:div>
                    <w:div w:id="294151614">
                      <w:marLeft w:val="0"/>
                      <w:marRight w:val="0"/>
                      <w:marTop w:val="0"/>
                      <w:marBottom w:val="0"/>
                      <w:divBdr>
                        <w:top w:val="none" w:sz="0" w:space="0" w:color="auto"/>
                        <w:left w:val="none" w:sz="0" w:space="0" w:color="auto"/>
                        <w:bottom w:val="none" w:sz="0" w:space="0" w:color="auto"/>
                        <w:right w:val="none" w:sz="0" w:space="0" w:color="auto"/>
                      </w:divBdr>
                      <w:divsChild>
                        <w:div w:id="294145273">
                          <w:marLeft w:val="0"/>
                          <w:marRight w:val="0"/>
                          <w:marTop w:val="0"/>
                          <w:marBottom w:val="0"/>
                          <w:divBdr>
                            <w:top w:val="none" w:sz="0" w:space="0" w:color="auto"/>
                            <w:left w:val="none" w:sz="0" w:space="0" w:color="auto"/>
                            <w:bottom w:val="none" w:sz="0" w:space="0" w:color="auto"/>
                            <w:right w:val="none" w:sz="0" w:space="0" w:color="auto"/>
                          </w:divBdr>
                        </w:div>
                      </w:divsChild>
                    </w:div>
                    <w:div w:id="294151617">
                      <w:marLeft w:val="0"/>
                      <w:marRight w:val="0"/>
                      <w:marTop w:val="0"/>
                      <w:marBottom w:val="0"/>
                      <w:divBdr>
                        <w:top w:val="none" w:sz="0" w:space="0" w:color="auto"/>
                        <w:left w:val="none" w:sz="0" w:space="0" w:color="auto"/>
                        <w:bottom w:val="none" w:sz="0" w:space="0" w:color="auto"/>
                        <w:right w:val="none" w:sz="0" w:space="0" w:color="auto"/>
                      </w:divBdr>
                      <w:divsChild>
                        <w:div w:id="294152340">
                          <w:marLeft w:val="0"/>
                          <w:marRight w:val="0"/>
                          <w:marTop w:val="0"/>
                          <w:marBottom w:val="0"/>
                          <w:divBdr>
                            <w:top w:val="none" w:sz="0" w:space="0" w:color="auto"/>
                            <w:left w:val="none" w:sz="0" w:space="0" w:color="auto"/>
                            <w:bottom w:val="none" w:sz="0" w:space="0" w:color="auto"/>
                            <w:right w:val="none" w:sz="0" w:space="0" w:color="auto"/>
                          </w:divBdr>
                        </w:div>
                      </w:divsChild>
                    </w:div>
                    <w:div w:id="294151640">
                      <w:marLeft w:val="0"/>
                      <w:marRight w:val="0"/>
                      <w:marTop w:val="0"/>
                      <w:marBottom w:val="0"/>
                      <w:divBdr>
                        <w:top w:val="none" w:sz="0" w:space="0" w:color="auto"/>
                        <w:left w:val="none" w:sz="0" w:space="0" w:color="auto"/>
                        <w:bottom w:val="none" w:sz="0" w:space="0" w:color="auto"/>
                        <w:right w:val="none" w:sz="0" w:space="0" w:color="auto"/>
                      </w:divBdr>
                      <w:divsChild>
                        <w:div w:id="294149520">
                          <w:marLeft w:val="0"/>
                          <w:marRight w:val="0"/>
                          <w:marTop w:val="0"/>
                          <w:marBottom w:val="0"/>
                          <w:divBdr>
                            <w:top w:val="none" w:sz="0" w:space="0" w:color="auto"/>
                            <w:left w:val="none" w:sz="0" w:space="0" w:color="auto"/>
                            <w:bottom w:val="none" w:sz="0" w:space="0" w:color="auto"/>
                            <w:right w:val="none" w:sz="0" w:space="0" w:color="auto"/>
                          </w:divBdr>
                        </w:div>
                      </w:divsChild>
                    </w:div>
                    <w:div w:id="294151665">
                      <w:marLeft w:val="0"/>
                      <w:marRight w:val="0"/>
                      <w:marTop w:val="0"/>
                      <w:marBottom w:val="0"/>
                      <w:divBdr>
                        <w:top w:val="none" w:sz="0" w:space="0" w:color="auto"/>
                        <w:left w:val="none" w:sz="0" w:space="0" w:color="auto"/>
                        <w:bottom w:val="none" w:sz="0" w:space="0" w:color="auto"/>
                        <w:right w:val="none" w:sz="0" w:space="0" w:color="auto"/>
                      </w:divBdr>
                      <w:divsChild>
                        <w:div w:id="294147967">
                          <w:marLeft w:val="0"/>
                          <w:marRight w:val="0"/>
                          <w:marTop w:val="0"/>
                          <w:marBottom w:val="0"/>
                          <w:divBdr>
                            <w:top w:val="none" w:sz="0" w:space="0" w:color="auto"/>
                            <w:left w:val="none" w:sz="0" w:space="0" w:color="auto"/>
                            <w:bottom w:val="none" w:sz="0" w:space="0" w:color="auto"/>
                            <w:right w:val="none" w:sz="0" w:space="0" w:color="auto"/>
                          </w:divBdr>
                        </w:div>
                      </w:divsChild>
                    </w:div>
                    <w:div w:id="294151783">
                      <w:marLeft w:val="0"/>
                      <w:marRight w:val="0"/>
                      <w:marTop w:val="0"/>
                      <w:marBottom w:val="0"/>
                      <w:divBdr>
                        <w:top w:val="none" w:sz="0" w:space="0" w:color="auto"/>
                        <w:left w:val="none" w:sz="0" w:space="0" w:color="auto"/>
                        <w:bottom w:val="none" w:sz="0" w:space="0" w:color="auto"/>
                        <w:right w:val="none" w:sz="0" w:space="0" w:color="auto"/>
                      </w:divBdr>
                      <w:divsChild>
                        <w:div w:id="294145669">
                          <w:marLeft w:val="0"/>
                          <w:marRight w:val="0"/>
                          <w:marTop w:val="0"/>
                          <w:marBottom w:val="0"/>
                          <w:divBdr>
                            <w:top w:val="none" w:sz="0" w:space="0" w:color="auto"/>
                            <w:left w:val="none" w:sz="0" w:space="0" w:color="auto"/>
                            <w:bottom w:val="none" w:sz="0" w:space="0" w:color="auto"/>
                            <w:right w:val="none" w:sz="0" w:space="0" w:color="auto"/>
                          </w:divBdr>
                        </w:div>
                      </w:divsChild>
                    </w:div>
                    <w:div w:id="294151848">
                      <w:marLeft w:val="0"/>
                      <w:marRight w:val="0"/>
                      <w:marTop w:val="0"/>
                      <w:marBottom w:val="0"/>
                      <w:divBdr>
                        <w:top w:val="none" w:sz="0" w:space="0" w:color="auto"/>
                        <w:left w:val="none" w:sz="0" w:space="0" w:color="auto"/>
                        <w:bottom w:val="none" w:sz="0" w:space="0" w:color="auto"/>
                        <w:right w:val="none" w:sz="0" w:space="0" w:color="auto"/>
                      </w:divBdr>
                    </w:div>
                    <w:div w:id="294151974">
                      <w:marLeft w:val="0"/>
                      <w:marRight w:val="0"/>
                      <w:marTop w:val="0"/>
                      <w:marBottom w:val="0"/>
                      <w:divBdr>
                        <w:top w:val="none" w:sz="0" w:space="0" w:color="auto"/>
                        <w:left w:val="none" w:sz="0" w:space="0" w:color="auto"/>
                        <w:bottom w:val="none" w:sz="0" w:space="0" w:color="auto"/>
                        <w:right w:val="none" w:sz="0" w:space="0" w:color="auto"/>
                      </w:divBdr>
                      <w:divsChild>
                        <w:div w:id="294143182">
                          <w:marLeft w:val="0"/>
                          <w:marRight w:val="0"/>
                          <w:marTop w:val="0"/>
                          <w:marBottom w:val="0"/>
                          <w:divBdr>
                            <w:top w:val="none" w:sz="0" w:space="0" w:color="auto"/>
                            <w:left w:val="none" w:sz="0" w:space="0" w:color="auto"/>
                            <w:bottom w:val="none" w:sz="0" w:space="0" w:color="auto"/>
                            <w:right w:val="none" w:sz="0" w:space="0" w:color="auto"/>
                          </w:divBdr>
                        </w:div>
                      </w:divsChild>
                    </w:div>
                    <w:div w:id="294151976">
                      <w:marLeft w:val="0"/>
                      <w:marRight w:val="0"/>
                      <w:marTop w:val="0"/>
                      <w:marBottom w:val="0"/>
                      <w:divBdr>
                        <w:top w:val="none" w:sz="0" w:space="0" w:color="auto"/>
                        <w:left w:val="none" w:sz="0" w:space="0" w:color="auto"/>
                        <w:bottom w:val="none" w:sz="0" w:space="0" w:color="auto"/>
                        <w:right w:val="none" w:sz="0" w:space="0" w:color="auto"/>
                      </w:divBdr>
                      <w:divsChild>
                        <w:div w:id="294145010">
                          <w:marLeft w:val="0"/>
                          <w:marRight w:val="0"/>
                          <w:marTop w:val="0"/>
                          <w:marBottom w:val="0"/>
                          <w:divBdr>
                            <w:top w:val="none" w:sz="0" w:space="0" w:color="auto"/>
                            <w:left w:val="none" w:sz="0" w:space="0" w:color="auto"/>
                            <w:bottom w:val="none" w:sz="0" w:space="0" w:color="auto"/>
                            <w:right w:val="none" w:sz="0" w:space="0" w:color="auto"/>
                          </w:divBdr>
                        </w:div>
                      </w:divsChild>
                    </w:div>
                    <w:div w:id="294151982">
                      <w:marLeft w:val="0"/>
                      <w:marRight w:val="0"/>
                      <w:marTop w:val="0"/>
                      <w:marBottom w:val="0"/>
                      <w:divBdr>
                        <w:top w:val="none" w:sz="0" w:space="0" w:color="auto"/>
                        <w:left w:val="none" w:sz="0" w:space="0" w:color="auto"/>
                        <w:bottom w:val="none" w:sz="0" w:space="0" w:color="auto"/>
                        <w:right w:val="none" w:sz="0" w:space="0" w:color="auto"/>
                      </w:divBdr>
                      <w:divsChild>
                        <w:div w:id="294154743">
                          <w:marLeft w:val="0"/>
                          <w:marRight w:val="0"/>
                          <w:marTop w:val="0"/>
                          <w:marBottom w:val="0"/>
                          <w:divBdr>
                            <w:top w:val="none" w:sz="0" w:space="0" w:color="auto"/>
                            <w:left w:val="none" w:sz="0" w:space="0" w:color="auto"/>
                            <w:bottom w:val="none" w:sz="0" w:space="0" w:color="auto"/>
                            <w:right w:val="none" w:sz="0" w:space="0" w:color="auto"/>
                          </w:divBdr>
                        </w:div>
                      </w:divsChild>
                    </w:div>
                    <w:div w:id="294152021">
                      <w:marLeft w:val="0"/>
                      <w:marRight w:val="0"/>
                      <w:marTop w:val="0"/>
                      <w:marBottom w:val="0"/>
                      <w:divBdr>
                        <w:top w:val="none" w:sz="0" w:space="0" w:color="auto"/>
                        <w:left w:val="none" w:sz="0" w:space="0" w:color="auto"/>
                        <w:bottom w:val="none" w:sz="0" w:space="0" w:color="auto"/>
                        <w:right w:val="none" w:sz="0" w:space="0" w:color="auto"/>
                      </w:divBdr>
                      <w:divsChild>
                        <w:div w:id="294149365">
                          <w:marLeft w:val="0"/>
                          <w:marRight w:val="0"/>
                          <w:marTop w:val="0"/>
                          <w:marBottom w:val="0"/>
                          <w:divBdr>
                            <w:top w:val="none" w:sz="0" w:space="0" w:color="auto"/>
                            <w:left w:val="none" w:sz="0" w:space="0" w:color="auto"/>
                            <w:bottom w:val="none" w:sz="0" w:space="0" w:color="auto"/>
                            <w:right w:val="none" w:sz="0" w:space="0" w:color="auto"/>
                          </w:divBdr>
                        </w:div>
                      </w:divsChild>
                    </w:div>
                    <w:div w:id="294152063">
                      <w:marLeft w:val="0"/>
                      <w:marRight w:val="0"/>
                      <w:marTop w:val="0"/>
                      <w:marBottom w:val="0"/>
                      <w:divBdr>
                        <w:top w:val="none" w:sz="0" w:space="0" w:color="auto"/>
                        <w:left w:val="none" w:sz="0" w:space="0" w:color="auto"/>
                        <w:bottom w:val="none" w:sz="0" w:space="0" w:color="auto"/>
                        <w:right w:val="none" w:sz="0" w:space="0" w:color="auto"/>
                      </w:divBdr>
                      <w:divsChild>
                        <w:div w:id="294145787">
                          <w:marLeft w:val="0"/>
                          <w:marRight w:val="0"/>
                          <w:marTop w:val="0"/>
                          <w:marBottom w:val="0"/>
                          <w:divBdr>
                            <w:top w:val="none" w:sz="0" w:space="0" w:color="auto"/>
                            <w:left w:val="none" w:sz="0" w:space="0" w:color="auto"/>
                            <w:bottom w:val="none" w:sz="0" w:space="0" w:color="auto"/>
                            <w:right w:val="none" w:sz="0" w:space="0" w:color="auto"/>
                          </w:divBdr>
                        </w:div>
                      </w:divsChild>
                    </w:div>
                    <w:div w:id="294152102">
                      <w:marLeft w:val="0"/>
                      <w:marRight w:val="0"/>
                      <w:marTop w:val="0"/>
                      <w:marBottom w:val="0"/>
                      <w:divBdr>
                        <w:top w:val="none" w:sz="0" w:space="0" w:color="auto"/>
                        <w:left w:val="none" w:sz="0" w:space="0" w:color="auto"/>
                        <w:bottom w:val="none" w:sz="0" w:space="0" w:color="auto"/>
                        <w:right w:val="none" w:sz="0" w:space="0" w:color="auto"/>
                      </w:divBdr>
                      <w:divsChild>
                        <w:div w:id="294157318">
                          <w:marLeft w:val="0"/>
                          <w:marRight w:val="0"/>
                          <w:marTop w:val="0"/>
                          <w:marBottom w:val="0"/>
                          <w:divBdr>
                            <w:top w:val="none" w:sz="0" w:space="0" w:color="auto"/>
                            <w:left w:val="none" w:sz="0" w:space="0" w:color="auto"/>
                            <w:bottom w:val="none" w:sz="0" w:space="0" w:color="auto"/>
                            <w:right w:val="none" w:sz="0" w:space="0" w:color="auto"/>
                          </w:divBdr>
                        </w:div>
                      </w:divsChild>
                    </w:div>
                    <w:div w:id="294152116">
                      <w:marLeft w:val="0"/>
                      <w:marRight w:val="0"/>
                      <w:marTop w:val="0"/>
                      <w:marBottom w:val="0"/>
                      <w:divBdr>
                        <w:top w:val="none" w:sz="0" w:space="0" w:color="auto"/>
                        <w:left w:val="none" w:sz="0" w:space="0" w:color="auto"/>
                        <w:bottom w:val="none" w:sz="0" w:space="0" w:color="auto"/>
                        <w:right w:val="none" w:sz="0" w:space="0" w:color="auto"/>
                      </w:divBdr>
                      <w:divsChild>
                        <w:div w:id="294145094">
                          <w:marLeft w:val="0"/>
                          <w:marRight w:val="0"/>
                          <w:marTop w:val="0"/>
                          <w:marBottom w:val="0"/>
                          <w:divBdr>
                            <w:top w:val="none" w:sz="0" w:space="0" w:color="auto"/>
                            <w:left w:val="none" w:sz="0" w:space="0" w:color="auto"/>
                            <w:bottom w:val="none" w:sz="0" w:space="0" w:color="auto"/>
                            <w:right w:val="none" w:sz="0" w:space="0" w:color="auto"/>
                          </w:divBdr>
                        </w:div>
                      </w:divsChild>
                    </w:div>
                    <w:div w:id="294152171">
                      <w:marLeft w:val="0"/>
                      <w:marRight w:val="0"/>
                      <w:marTop w:val="0"/>
                      <w:marBottom w:val="0"/>
                      <w:divBdr>
                        <w:top w:val="none" w:sz="0" w:space="0" w:color="auto"/>
                        <w:left w:val="none" w:sz="0" w:space="0" w:color="auto"/>
                        <w:bottom w:val="none" w:sz="0" w:space="0" w:color="auto"/>
                        <w:right w:val="none" w:sz="0" w:space="0" w:color="auto"/>
                      </w:divBdr>
                    </w:div>
                    <w:div w:id="294152203">
                      <w:marLeft w:val="0"/>
                      <w:marRight w:val="0"/>
                      <w:marTop w:val="0"/>
                      <w:marBottom w:val="0"/>
                      <w:divBdr>
                        <w:top w:val="none" w:sz="0" w:space="0" w:color="auto"/>
                        <w:left w:val="none" w:sz="0" w:space="0" w:color="auto"/>
                        <w:bottom w:val="none" w:sz="0" w:space="0" w:color="auto"/>
                        <w:right w:val="none" w:sz="0" w:space="0" w:color="auto"/>
                      </w:divBdr>
                    </w:div>
                    <w:div w:id="294152237">
                      <w:marLeft w:val="0"/>
                      <w:marRight w:val="0"/>
                      <w:marTop w:val="0"/>
                      <w:marBottom w:val="0"/>
                      <w:divBdr>
                        <w:top w:val="none" w:sz="0" w:space="0" w:color="auto"/>
                        <w:left w:val="none" w:sz="0" w:space="0" w:color="auto"/>
                        <w:bottom w:val="none" w:sz="0" w:space="0" w:color="auto"/>
                        <w:right w:val="none" w:sz="0" w:space="0" w:color="auto"/>
                      </w:divBdr>
                      <w:divsChild>
                        <w:div w:id="294156765">
                          <w:marLeft w:val="0"/>
                          <w:marRight w:val="0"/>
                          <w:marTop w:val="0"/>
                          <w:marBottom w:val="0"/>
                          <w:divBdr>
                            <w:top w:val="none" w:sz="0" w:space="0" w:color="auto"/>
                            <w:left w:val="none" w:sz="0" w:space="0" w:color="auto"/>
                            <w:bottom w:val="none" w:sz="0" w:space="0" w:color="auto"/>
                            <w:right w:val="none" w:sz="0" w:space="0" w:color="auto"/>
                          </w:divBdr>
                        </w:div>
                      </w:divsChild>
                    </w:div>
                    <w:div w:id="294152259">
                      <w:marLeft w:val="0"/>
                      <w:marRight w:val="0"/>
                      <w:marTop w:val="0"/>
                      <w:marBottom w:val="0"/>
                      <w:divBdr>
                        <w:top w:val="none" w:sz="0" w:space="0" w:color="auto"/>
                        <w:left w:val="none" w:sz="0" w:space="0" w:color="auto"/>
                        <w:bottom w:val="none" w:sz="0" w:space="0" w:color="auto"/>
                        <w:right w:val="none" w:sz="0" w:space="0" w:color="auto"/>
                      </w:divBdr>
                      <w:divsChild>
                        <w:div w:id="294154440">
                          <w:marLeft w:val="0"/>
                          <w:marRight w:val="0"/>
                          <w:marTop w:val="0"/>
                          <w:marBottom w:val="0"/>
                          <w:divBdr>
                            <w:top w:val="none" w:sz="0" w:space="0" w:color="auto"/>
                            <w:left w:val="none" w:sz="0" w:space="0" w:color="auto"/>
                            <w:bottom w:val="none" w:sz="0" w:space="0" w:color="auto"/>
                            <w:right w:val="none" w:sz="0" w:space="0" w:color="auto"/>
                          </w:divBdr>
                        </w:div>
                      </w:divsChild>
                    </w:div>
                    <w:div w:id="294152306">
                      <w:marLeft w:val="0"/>
                      <w:marRight w:val="0"/>
                      <w:marTop w:val="0"/>
                      <w:marBottom w:val="0"/>
                      <w:divBdr>
                        <w:top w:val="none" w:sz="0" w:space="0" w:color="auto"/>
                        <w:left w:val="none" w:sz="0" w:space="0" w:color="auto"/>
                        <w:bottom w:val="none" w:sz="0" w:space="0" w:color="auto"/>
                        <w:right w:val="none" w:sz="0" w:space="0" w:color="auto"/>
                      </w:divBdr>
                      <w:divsChild>
                        <w:div w:id="294141890">
                          <w:marLeft w:val="0"/>
                          <w:marRight w:val="0"/>
                          <w:marTop w:val="0"/>
                          <w:marBottom w:val="0"/>
                          <w:divBdr>
                            <w:top w:val="none" w:sz="0" w:space="0" w:color="auto"/>
                            <w:left w:val="none" w:sz="0" w:space="0" w:color="auto"/>
                            <w:bottom w:val="none" w:sz="0" w:space="0" w:color="auto"/>
                            <w:right w:val="none" w:sz="0" w:space="0" w:color="auto"/>
                          </w:divBdr>
                        </w:div>
                      </w:divsChild>
                    </w:div>
                    <w:div w:id="294152332">
                      <w:marLeft w:val="0"/>
                      <w:marRight w:val="0"/>
                      <w:marTop w:val="0"/>
                      <w:marBottom w:val="0"/>
                      <w:divBdr>
                        <w:top w:val="none" w:sz="0" w:space="0" w:color="auto"/>
                        <w:left w:val="none" w:sz="0" w:space="0" w:color="auto"/>
                        <w:bottom w:val="none" w:sz="0" w:space="0" w:color="auto"/>
                        <w:right w:val="none" w:sz="0" w:space="0" w:color="auto"/>
                      </w:divBdr>
                    </w:div>
                    <w:div w:id="294152365">
                      <w:marLeft w:val="0"/>
                      <w:marRight w:val="0"/>
                      <w:marTop w:val="0"/>
                      <w:marBottom w:val="0"/>
                      <w:divBdr>
                        <w:top w:val="none" w:sz="0" w:space="0" w:color="auto"/>
                        <w:left w:val="none" w:sz="0" w:space="0" w:color="auto"/>
                        <w:bottom w:val="none" w:sz="0" w:space="0" w:color="auto"/>
                        <w:right w:val="none" w:sz="0" w:space="0" w:color="auto"/>
                      </w:divBdr>
                      <w:divsChild>
                        <w:div w:id="294151220">
                          <w:marLeft w:val="0"/>
                          <w:marRight w:val="0"/>
                          <w:marTop w:val="0"/>
                          <w:marBottom w:val="0"/>
                          <w:divBdr>
                            <w:top w:val="none" w:sz="0" w:space="0" w:color="auto"/>
                            <w:left w:val="none" w:sz="0" w:space="0" w:color="auto"/>
                            <w:bottom w:val="none" w:sz="0" w:space="0" w:color="auto"/>
                            <w:right w:val="none" w:sz="0" w:space="0" w:color="auto"/>
                          </w:divBdr>
                        </w:div>
                      </w:divsChild>
                    </w:div>
                    <w:div w:id="294152370">
                      <w:marLeft w:val="0"/>
                      <w:marRight w:val="0"/>
                      <w:marTop w:val="0"/>
                      <w:marBottom w:val="0"/>
                      <w:divBdr>
                        <w:top w:val="none" w:sz="0" w:space="0" w:color="auto"/>
                        <w:left w:val="none" w:sz="0" w:space="0" w:color="auto"/>
                        <w:bottom w:val="none" w:sz="0" w:space="0" w:color="auto"/>
                        <w:right w:val="none" w:sz="0" w:space="0" w:color="auto"/>
                      </w:divBdr>
                    </w:div>
                    <w:div w:id="294152413">
                      <w:marLeft w:val="0"/>
                      <w:marRight w:val="0"/>
                      <w:marTop w:val="0"/>
                      <w:marBottom w:val="0"/>
                      <w:divBdr>
                        <w:top w:val="none" w:sz="0" w:space="0" w:color="auto"/>
                        <w:left w:val="none" w:sz="0" w:space="0" w:color="auto"/>
                        <w:bottom w:val="none" w:sz="0" w:space="0" w:color="auto"/>
                        <w:right w:val="none" w:sz="0" w:space="0" w:color="auto"/>
                      </w:divBdr>
                      <w:divsChild>
                        <w:div w:id="294146576">
                          <w:marLeft w:val="0"/>
                          <w:marRight w:val="0"/>
                          <w:marTop w:val="0"/>
                          <w:marBottom w:val="0"/>
                          <w:divBdr>
                            <w:top w:val="none" w:sz="0" w:space="0" w:color="auto"/>
                            <w:left w:val="none" w:sz="0" w:space="0" w:color="auto"/>
                            <w:bottom w:val="none" w:sz="0" w:space="0" w:color="auto"/>
                            <w:right w:val="none" w:sz="0" w:space="0" w:color="auto"/>
                          </w:divBdr>
                        </w:div>
                      </w:divsChild>
                    </w:div>
                    <w:div w:id="294152456">
                      <w:marLeft w:val="0"/>
                      <w:marRight w:val="0"/>
                      <w:marTop w:val="0"/>
                      <w:marBottom w:val="0"/>
                      <w:divBdr>
                        <w:top w:val="none" w:sz="0" w:space="0" w:color="auto"/>
                        <w:left w:val="none" w:sz="0" w:space="0" w:color="auto"/>
                        <w:bottom w:val="none" w:sz="0" w:space="0" w:color="auto"/>
                        <w:right w:val="none" w:sz="0" w:space="0" w:color="auto"/>
                      </w:divBdr>
                      <w:divsChild>
                        <w:div w:id="294143971">
                          <w:marLeft w:val="0"/>
                          <w:marRight w:val="0"/>
                          <w:marTop w:val="0"/>
                          <w:marBottom w:val="0"/>
                          <w:divBdr>
                            <w:top w:val="none" w:sz="0" w:space="0" w:color="auto"/>
                            <w:left w:val="none" w:sz="0" w:space="0" w:color="auto"/>
                            <w:bottom w:val="none" w:sz="0" w:space="0" w:color="auto"/>
                            <w:right w:val="none" w:sz="0" w:space="0" w:color="auto"/>
                          </w:divBdr>
                        </w:div>
                      </w:divsChild>
                    </w:div>
                    <w:div w:id="294152469">
                      <w:marLeft w:val="0"/>
                      <w:marRight w:val="0"/>
                      <w:marTop w:val="0"/>
                      <w:marBottom w:val="0"/>
                      <w:divBdr>
                        <w:top w:val="none" w:sz="0" w:space="0" w:color="auto"/>
                        <w:left w:val="none" w:sz="0" w:space="0" w:color="auto"/>
                        <w:bottom w:val="none" w:sz="0" w:space="0" w:color="auto"/>
                        <w:right w:val="none" w:sz="0" w:space="0" w:color="auto"/>
                      </w:divBdr>
                      <w:divsChild>
                        <w:div w:id="294145889">
                          <w:marLeft w:val="0"/>
                          <w:marRight w:val="0"/>
                          <w:marTop w:val="0"/>
                          <w:marBottom w:val="0"/>
                          <w:divBdr>
                            <w:top w:val="none" w:sz="0" w:space="0" w:color="auto"/>
                            <w:left w:val="none" w:sz="0" w:space="0" w:color="auto"/>
                            <w:bottom w:val="none" w:sz="0" w:space="0" w:color="auto"/>
                            <w:right w:val="none" w:sz="0" w:space="0" w:color="auto"/>
                          </w:divBdr>
                        </w:div>
                      </w:divsChild>
                    </w:div>
                    <w:div w:id="294152471">
                      <w:marLeft w:val="0"/>
                      <w:marRight w:val="0"/>
                      <w:marTop w:val="0"/>
                      <w:marBottom w:val="0"/>
                      <w:divBdr>
                        <w:top w:val="none" w:sz="0" w:space="0" w:color="auto"/>
                        <w:left w:val="none" w:sz="0" w:space="0" w:color="auto"/>
                        <w:bottom w:val="none" w:sz="0" w:space="0" w:color="auto"/>
                        <w:right w:val="none" w:sz="0" w:space="0" w:color="auto"/>
                      </w:divBdr>
                      <w:divsChild>
                        <w:div w:id="294153692">
                          <w:marLeft w:val="0"/>
                          <w:marRight w:val="0"/>
                          <w:marTop w:val="0"/>
                          <w:marBottom w:val="0"/>
                          <w:divBdr>
                            <w:top w:val="none" w:sz="0" w:space="0" w:color="auto"/>
                            <w:left w:val="none" w:sz="0" w:space="0" w:color="auto"/>
                            <w:bottom w:val="none" w:sz="0" w:space="0" w:color="auto"/>
                            <w:right w:val="none" w:sz="0" w:space="0" w:color="auto"/>
                          </w:divBdr>
                        </w:div>
                      </w:divsChild>
                    </w:div>
                    <w:div w:id="294152505">
                      <w:marLeft w:val="0"/>
                      <w:marRight w:val="0"/>
                      <w:marTop w:val="0"/>
                      <w:marBottom w:val="0"/>
                      <w:divBdr>
                        <w:top w:val="none" w:sz="0" w:space="0" w:color="auto"/>
                        <w:left w:val="none" w:sz="0" w:space="0" w:color="auto"/>
                        <w:bottom w:val="none" w:sz="0" w:space="0" w:color="auto"/>
                        <w:right w:val="none" w:sz="0" w:space="0" w:color="auto"/>
                      </w:divBdr>
                      <w:divsChild>
                        <w:div w:id="294152540">
                          <w:marLeft w:val="0"/>
                          <w:marRight w:val="0"/>
                          <w:marTop w:val="0"/>
                          <w:marBottom w:val="0"/>
                          <w:divBdr>
                            <w:top w:val="none" w:sz="0" w:space="0" w:color="auto"/>
                            <w:left w:val="none" w:sz="0" w:space="0" w:color="auto"/>
                            <w:bottom w:val="none" w:sz="0" w:space="0" w:color="auto"/>
                            <w:right w:val="none" w:sz="0" w:space="0" w:color="auto"/>
                          </w:divBdr>
                        </w:div>
                      </w:divsChild>
                    </w:div>
                    <w:div w:id="294152526">
                      <w:marLeft w:val="0"/>
                      <w:marRight w:val="0"/>
                      <w:marTop w:val="0"/>
                      <w:marBottom w:val="0"/>
                      <w:divBdr>
                        <w:top w:val="none" w:sz="0" w:space="0" w:color="auto"/>
                        <w:left w:val="none" w:sz="0" w:space="0" w:color="auto"/>
                        <w:bottom w:val="none" w:sz="0" w:space="0" w:color="auto"/>
                        <w:right w:val="none" w:sz="0" w:space="0" w:color="auto"/>
                      </w:divBdr>
                      <w:divsChild>
                        <w:div w:id="294150806">
                          <w:marLeft w:val="0"/>
                          <w:marRight w:val="0"/>
                          <w:marTop w:val="0"/>
                          <w:marBottom w:val="0"/>
                          <w:divBdr>
                            <w:top w:val="none" w:sz="0" w:space="0" w:color="auto"/>
                            <w:left w:val="none" w:sz="0" w:space="0" w:color="auto"/>
                            <w:bottom w:val="none" w:sz="0" w:space="0" w:color="auto"/>
                            <w:right w:val="none" w:sz="0" w:space="0" w:color="auto"/>
                          </w:divBdr>
                        </w:div>
                      </w:divsChild>
                    </w:div>
                    <w:div w:id="294152551">
                      <w:marLeft w:val="0"/>
                      <w:marRight w:val="0"/>
                      <w:marTop w:val="0"/>
                      <w:marBottom w:val="0"/>
                      <w:divBdr>
                        <w:top w:val="none" w:sz="0" w:space="0" w:color="auto"/>
                        <w:left w:val="none" w:sz="0" w:space="0" w:color="auto"/>
                        <w:bottom w:val="none" w:sz="0" w:space="0" w:color="auto"/>
                        <w:right w:val="none" w:sz="0" w:space="0" w:color="auto"/>
                      </w:divBdr>
                      <w:divsChild>
                        <w:div w:id="294149985">
                          <w:marLeft w:val="0"/>
                          <w:marRight w:val="0"/>
                          <w:marTop w:val="0"/>
                          <w:marBottom w:val="0"/>
                          <w:divBdr>
                            <w:top w:val="none" w:sz="0" w:space="0" w:color="auto"/>
                            <w:left w:val="none" w:sz="0" w:space="0" w:color="auto"/>
                            <w:bottom w:val="none" w:sz="0" w:space="0" w:color="auto"/>
                            <w:right w:val="none" w:sz="0" w:space="0" w:color="auto"/>
                          </w:divBdr>
                        </w:div>
                      </w:divsChild>
                    </w:div>
                    <w:div w:id="294152579">
                      <w:marLeft w:val="0"/>
                      <w:marRight w:val="0"/>
                      <w:marTop w:val="0"/>
                      <w:marBottom w:val="0"/>
                      <w:divBdr>
                        <w:top w:val="none" w:sz="0" w:space="0" w:color="auto"/>
                        <w:left w:val="none" w:sz="0" w:space="0" w:color="auto"/>
                        <w:bottom w:val="none" w:sz="0" w:space="0" w:color="auto"/>
                        <w:right w:val="none" w:sz="0" w:space="0" w:color="auto"/>
                      </w:divBdr>
                      <w:divsChild>
                        <w:div w:id="294154549">
                          <w:marLeft w:val="0"/>
                          <w:marRight w:val="0"/>
                          <w:marTop w:val="0"/>
                          <w:marBottom w:val="0"/>
                          <w:divBdr>
                            <w:top w:val="none" w:sz="0" w:space="0" w:color="auto"/>
                            <w:left w:val="none" w:sz="0" w:space="0" w:color="auto"/>
                            <w:bottom w:val="none" w:sz="0" w:space="0" w:color="auto"/>
                            <w:right w:val="none" w:sz="0" w:space="0" w:color="auto"/>
                          </w:divBdr>
                        </w:div>
                      </w:divsChild>
                    </w:div>
                    <w:div w:id="294152685">
                      <w:marLeft w:val="0"/>
                      <w:marRight w:val="0"/>
                      <w:marTop w:val="0"/>
                      <w:marBottom w:val="0"/>
                      <w:divBdr>
                        <w:top w:val="none" w:sz="0" w:space="0" w:color="auto"/>
                        <w:left w:val="none" w:sz="0" w:space="0" w:color="auto"/>
                        <w:bottom w:val="none" w:sz="0" w:space="0" w:color="auto"/>
                        <w:right w:val="none" w:sz="0" w:space="0" w:color="auto"/>
                      </w:divBdr>
                    </w:div>
                    <w:div w:id="294152722">
                      <w:marLeft w:val="0"/>
                      <w:marRight w:val="0"/>
                      <w:marTop w:val="0"/>
                      <w:marBottom w:val="0"/>
                      <w:divBdr>
                        <w:top w:val="none" w:sz="0" w:space="0" w:color="auto"/>
                        <w:left w:val="none" w:sz="0" w:space="0" w:color="auto"/>
                        <w:bottom w:val="none" w:sz="0" w:space="0" w:color="auto"/>
                        <w:right w:val="none" w:sz="0" w:space="0" w:color="auto"/>
                      </w:divBdr>
                    </w:div>
                    <w:div w:id="294152740">
                      <w:marLeft w:val="0"/>
                      <w:marRight w:val="0"/>
                      <w:marTop w:val="0"/>
                      <w:marBottom w:val="0"/>
                      <w:divBdr>
                        <w:top w:val="none" w:sz="0" w:space="0" w:color="auto"/>
                        <w:left w:val="none" w:sz="0" w:space="0" w:color="auto"/>
                        <w:bottom w:val="none" w:sz="0" w:space="0" w:color="auto"/>
                        <w:right w:val="none" w:sz="0" w:space="0" w:color="auto"/>
                      </w:divBdr>
                    </w:div>
                    <w:div w:id="294152856">
                      <w:marLeft w:val="0"/>
                      <w:marRight w:val="0"/>
                      <w:marTop w:val="0"/>
                      <w:marBottom w:val="0"/>
                      <w:divBdr>
                        <w:top w:val="none" w:sz="0" w:space="0" w:color="auto"/>
                        <w:left w:val="none" w:sz="0" w:space="0" w:color="auto"/>
                        <w:bottom w:val="none" w:sz="0" w:space="0" w:color="auto"/>
                        <w:right w:val="none" w:sz="0" w:space="0" w:color="auto"/>
                      </w:divBdr>
                      <w:divsChild>
                        <w:div w:id="294139842">
                          <w:marLeft w:val="0"/>
                          <w:marRight w:val="0"/>
                          <w:marTop w:val="0"/>
                          <w:marBottom w:val="0"/>
                          <w:divBdr>
                            <w:top w:val="none" w:sz="0" w:space="0" w:color="auto"/>
                            <w:left w:val="none" w:sz="0" w:space="0" w:color="auto"/>
                            <w:bottom w:val="none" w:sz="0" w:space="0" w:color="auto"/>
                            <w:right w:val="none" w:sz="0" w:space="0" w:color="auto"/>
                          </w:divBdr>
                        </w:div>
                      </w:divsChild>
                    </w:div>
                    <w:div w:id="294152886">
                      <w:marLeft w:val="0"/>
                      <w:marRight w:val="0"/>
                      <w:marTop w:val="0"/>
                      <w:marBottom w:val="0"/>
                      <w:divBdr>
                        <w:top w:val="none" w:sz="0" w:space="0" w:color="auto"/>
                        <w:left w:val="none" w:sz="0" w:space="0" w:color="auto"/>
                        <w:bottom w:val="none" w:sz="0" w:space="0" w:color="auto"/>
                        <w:right w:val="none" w:sz="0" w:space="0" w:color="auto"/>
                      </w:divBdr>
                    </w:div>
                    <w:div w:id="294152931">
                      <w:marLeft w:val="0"/>
                      <w:marRight w:val="0"/>
                      <w:marTop w:val="0"/>
                      <w:marBottom w:val="0"/>
                      <w:divBdr>
                        <w:top w:val="none" w:sz="0" w:space="0" w:color="auto"/>
                        <w:left w:val="none" w:sz="0" w:space="0" w:color="auto"/>
                        <w:bottom w:val="none" w:sz="0" w:space="0" w:color="auto"/>
                        <w:right w:val="none" w:sz="0" w:space="0" w:color="auto"/>
                      </w:divBdr>
                      <w:divsChild>
                        <w:div w:id="294155105">
                          <w:marLeft w:val="0"/>
                          <w:marRight w:val="0"/>
                          <w:marTop w:val="0"/>
                          <w:marBottom w:val="0"/>
                          <w:divBdr>
                            <w:top w:val="none" w:sz="0" w:space="0" w:color="auto"/>
                            <w:left w:val="none" w:sz="0" w:space="0" w:color="auto"/>
                            <w:bottom w:val="none" w:sz="0" w:space="0" w:color="auto"/>
                            <w:right w:val="none" w:sz="0" w:space="0" w:color="auto"/>
                          </w:divBdr>
                        </w:div>
                      </w:divsChild>
                    </w:div>
                    <w:div w:id="294153023">
                      <w:marLeft w:val="0"/>
                      <w:marRight w:val="0"/>
                      <w:marTop w:val="0"/>
                      <w:marBottom w:val="0"/>
                      <w:divBdr>
                        <w:top w:val="none" w:sz="0" w:space="0" w:color="auto"/>
                        <w:left w:val="none" w:sz="0" w:space="0" w:color="auto"/>
                        <w:bottom w:val="none" w:sz="0" w:space="0" w:color="auto"/>
                        <w:right w:val="none" w:sz="0" w:space="0" w:color="auto"/>
                      </w:divBdr>
                    </w:div>
                    <w:div w:id="294153191">
                      <w:marLeft w:val="0"/>
                      <w:marRight w:val="0"/>
                      <w:marTop w:val="0"/>
                      <w:marBottom w:val="0"/>
                      <w:divBdr>
                        <w:top w:val="none" w:sz="0" w:space="0" w:color="auto"/>
                        <w:left w:val="none" w:sz="0" w:space="0" w:color="auto"/>
                        <w:bottom w:val="none" w:sz="0" w:space="0" w:color="auto"/>
                        <w:right w:val="none" w:sz="0" w:space="0" w:color="auto"/>
                      </w:divBdr>
                      <w:divsChild>
                        <w:div w:id="294153436">
                          <w:marLeft w:val="0"/>
                          <w:marRight w:val="0"/>
                          <w:marTop w:val="0"/>
                          <w:marBottom w:val="0"/>
                          <w:divBdr>
                            <w:top w:val="none" w:sz="0" w:space="0" w:color="auto"/>
                            <w:left w:val="none" w:sz="0" w:space="0" w:color="auto"/>
                            <w:bottom w:val="none" w:sz="0" w:space="0" w:color="auto"/>
                            <w:right w:val="none" w:sz="0" w:space="0" w:color="auto"/>
                          </w:divBdr>
                        </w:div>
                      </w:divsChild>
                    </w:div>
                    <w:div w:id="294153192">
                      <w:marLeft w:val="0"/>
                      <w:marRight w:val="0"/>
                      <w:marTop w:val="0"/>
                      <w:marBottom w:val="0"/>
                      <w:divBdr>
                        <w:top w:val="none" w:sz="0" w:space="0" w:color="auto"/>
                        <w:left w:val="none" w:sz="0" w:space="0" w:color="auto"/>
                        <w:bottom w:val="none" w:sz="0" w:space="0" w:color="auto"/>
                        <w:right w:val="none" w:sz="0" w:space="0" w:color="auto"/>
                      </w:divBdr>
                    </w:div>
                    <w:div w:id="294153299">
                      <w:marLeft w:val="0"/>
                      <w:marRight w:val="0"/>
                      <w:marTop w:val="0"/>
                      <w:marBottom w:val="0"/>
                      <w:divBdr>
                        <w:top w:val="none" w:sz="0" w:space="0" w:color="auto"/>
                        <w:left w:val="none" w:sz="0" w:space="0" w:color="auto"/>
                        <w:bottom w:val="none" w:sz="0" w:space="0" w:color="auto"/>
                        <w:right w:val="none" w:sz="0" w:space="0" w:color="auto"/>
                      </w:divBdr>
                    </w:div>
                    <w:div w:id="294153372">
                      <w:marLeft w:val="0"/>
                      <w:marRight w:val="0"/>
                      <w:marTop w:val="0"/>
                      <w:marBottom w:val="0"/>
                      <w:divBdr>
                        <w:top w:val="none" w:sz="0" w:space="0" w:color="auto"/>
                        <w:left w:val="none" w:sz="0" w:space="0" w:color="auto"/>
                        <w:bottom w:val="none" w:sz="0" w:space="0" w:color="auto"/>
                        <w:right w:val="none" w:sz="0" w:space="0" w:color="auto"/>
                      </w:divBdr>
                    </w:div>
                    <w:div w:id="294153412">
                      <w:marLeft w:val="0"/>
                      <w:marRight w:val="0"/>
                      <w:marTop w:val="0"/>
                      <w:marBottom w:val="0"/>
                      <w:divBdr>
                        <w:top w:val="none" w:sz="0" w:space="0" w:color="auto"/>
                        <w:left w:val="none" w:sz="0" w:space="0" w:color="auto"/>
                        <w:bottom w:val="none" w:sz="0" w:space="0" w:color="auto"/>
                        <w:right w:val="none" w:sz="0" w:space="0" w:color="auto"/>
                      </w:divBdr>
                    </w:div>
                    <w:div w:id="294153413">
                      <w:marLeft w:val="0"/>
                      <w:marRight w:val="0"/>
                      <w:marTop w:val="0"/>
                      <w:marBottom w:val="0"/>
                      <w:divBdr>
                        <w:top w:val="none" w:sz="0" w:space="0" w:color="auto"/>
                        <w:left w:val="none" w:sz="0" w:space="0" w:color="auto"/>
                        <w:bottom w:val="none" w:sz="0" w:space="0" w:color="auto"/>
                        <w:right w:val="none" w:sz="0" w:space="0" w:color="auto"/>
                      </w:divBdr>
                    </w:div>
                    <w:div w:id="294153455">
                      <w:marLeft w:val="0"/>
                      <w:marRight w:val="0"/>
                      <w:marTop w:val="0"/>
                      <w:marBottom w:val="0"/>
                      <w:divBdr>
                        <w:top w:val="none" w:sz="0" w:space="0" w:color="auto"/>
                        <w:left w:val="none" w:sz="0" w:space="0" w:color="auto"/>
                        <w:bottom w:val="none" w:sz="0" w:space="0" w:color="auto"/>
                        <w:right w:val="none" w:sz="0" w:space="0" w:color="auto"/>
                      </w:divBdr>
                    </w:div>
                    <w:div w:id="294153539">
                      <w:marLeft w:val="0"/>
                      <w:marRight w:val="0"/>
                      <w:marTop w:val="0"/>
                      <w:marBottom w:val="0"/>
                      <w:divBdr>
                        <w:top w:val="none" w:sz="0" w:space="0" w:color="auto"/>
                        <w:left w:val="none" w:sz="0" w:space="0" w:color="auto"/>
                        <w:bottom w:val="none" w:sz="0" w:space="0" w:color="auto"/>
                        <w:right w:val="none" w:sz="0" w:space="0" w:color="auto"/>
                      </w:divBdr>
                    </w:div>
                    <w:div w:id="294153540">
                      <w:marLeft w:val="0"/>
                      <w:marRight w:val="0"/>
                      <w:marTop w:val="0"/>
                      <w:marBottom w:val="0"/>
                      <w:divBdr>
                        <w:top w:val="none" w:sz="0" w:space="0" w:color="auto"/>
                        <w:left w:val="none" w:sz="0" w:space="0" w:color="auto"/>
                        <w:bottom w:val="none" w:sz="0" w:space="0" w:color="auto"/>
                        <w:right w:val="none" w:sz="0" w:space="0" w:color="auto"/>
                      </w:divBdr>
                    </w:div>
                    <w:div w:id="294153563">
                      <w:marLeft w:val="0"/>
                      <w:marRight w:val="0"/>
                      <w:marTop w:val="0"/>
                      <w:marBottom w:val="0"/>
                      <w:divBdr>
                        <w:top w:val="none" w:sz="0" w:space="0" w:color="auto"/>
                        <w:left w:val="none" w:sz="0" w:space="0" w:color="auto"/>
                        <w:bottom w:val="none" w:sz="0" w:space="0" w:color="auto"/>
                        <w:right w:val="none" w:sz="0" w:space="0" w:color="auto"/>
                      </w:divBdr>
                      <w:divsChild>
                        <w:div w:id="294157420">
                          <w:marLeft w:val="0"/>
                          <w:marRight w:val="0"/>
                          <w:marTop w:val="0"/>
                          <w:marBottom w:val="0"/>
                          <w:divBdr>
                            <w:top w:val="none" w:sz="0" w:space="0" w:color="auto"/>
                            <w:left w:val="none" w:sz="0" w:space="0" w:color="auto"/>
                            <w:bottom w:val="none" w:sz="0" w:space="0" w:color="auto"/>
                            <w:right w:val="none" w:sz="0" w:space="0" w:color="auto"/>
                          </w:divBdr>
                        </w:div>
                      </w:divsChild>
                    </w:div>
                    <w:div w:id="294153564">
                      <w:marLeft w:val="0"/>
                      <w:marRight w:val="0"/>
                      <w:marTop w:val="0"/>
                      <w:marBottom w:val="0"/>
                      <w:divBdr>
                        <w:top w:val="none" w:sz="0" w:space="0" w:color="auto"/>
                        <w:left w:val="none" w:sz="0" w:space="0" w:color="auto"/>
                        <w:bottom w:val="none" w:sz="0" w:space="0" w:color="auto"/>
                        <w:right w:val="none" w:sz="0" w:space="0" w:color="auto"/>
                      </w:divBdr>
                    </w:div>
                    <w:div w:id="294153577">
                      <w:marLeft w:val="0"/>
                      <w:marRight w:val="0"/>
                      <w:marTop w:val="0"/>
                      <w:marBottom w:val="0"/>
                      <w:divBdr>
                        <w:top w:val="none" w:sz="0" w:space="0" w:color="auto"/>
                        <w:left w:val="none" w:sz="0" w:space="0" w:color="auto"/>
                        <w:bottom w:val="none" w:sz="0" w:space="0" w:color="auto"/>
                        <w:right w:val="none" w:sz="0" w:space="0" w:color="auto"/>
                      </w:divBdr>
                    </w:div>
                    <w:div w:id="294153616">
                      <w:marLeft w:val="0"/>
                      <w:marRight w:val="0"/>
                      <w:marTop w:val="0"/>
                      <w:marBottom w:val="0"/>
                      <w:divBdr>
                        <w:top w:val="none" w:sz="0" w:space="0" w:color="auto"/>
                        <w:left w:val="none" w:sz="0" w:space="0" w:color="auto"/>
                        <w:bottom w:val="none" w:sz="0" w:space="0" w:color="auto"/>
                        <w:right w:val="none" w:sz="0" w:space="0" w:color="auto"/>
                      </w:divBdr>
                    </w:div>
                    <w:div w:id="294153646">
                      <w:marLeft w:val="0"/>
                      <w:marRight w:val="0"/>
                      <w:marTop w:val="0"/>
                      <w:marBottom w:val="0"/>
                      <w:divBdr>
                        <w:top w:val="none" w:sz="0" w:space="0" w:color="auto"/>
                        <w:left w:val="none" w:sz="0" w:space="0" w:color="auto"/>
                        <w:bottom w:val="none" w:sz="0" w:space="0" w:color="auto"/>
                        <w:right w:val="none" w:sz="0" w:space="0" w:color="auto"/>
                      </w:divBdr>
                    </w:div>
                    <w:div w:id="294153654">
                      <w:marLeft w:val="0"/>
                      <w:marRight w:val="0"/>
                      <w:marTop w:val="0"/>
                      <w:marBottom w:val="0"/>
                      <w:divBdr>
                        <w:top w:val="none" w:sz="0" w:space="0" w:color="auto"/>
                        <w:left w:val="none" w:sz="0" w:space="0" w:color="auto"/>
                        <w:bottom w:val="none" w:sz="0" w:space="0" w:color="auto"/>
                        <w:right w:val="none" w:sz="0" w:space="0" w:color="auto"/>
                      </w:divBdr>
                    </w:div>
                    <w:div w:id="294153734">
                      <w:marLeft w:val="0"/>
                      <w:marRight w:val="0"/>
                      <w:marTop w:val="0"/>
                      <w:marBottom w:val="0"/>
                      <w:divBdr>
                        <w:top w:val="none" w:sz="0" w:space="0" w:color="auto"/>
                        <w:left w:val="none" w:sz="0" w:space="0" w:color="auto"/>
                        <w:bottom w:val="none" w:sz="0" w:space="0" w:color="auto"/>
                        <w:right w:val="none" w:sz="0" w:space="0" w:color="auto"/>
                      </w:divBdr>
                      <w:divsChild>
                        <w:div w:id="294142832">
                          <w:marLeft w:val="0"/>
                          <w:marRight w:val="0"/>
                          <w:marTop w:val="0"/>
                          <w:marBottom w:val="0"/>
                          <w:divBdr>
                            <w:top w:val="none" w:sz="0" w:space="0" w:color="auto"/>
                            <w:left w:val="none" w:sz="0" w:space="0" w:color="auto"/>
                            <w:bottom w:val="none" w:sz="0" w:space="0" w:color="auto"/>
                            <w:right w:val="none" w:sz="0" w:space="0" w:color="auto"/>
                          </w:divBdr>
                        </w:div>
                      </w:divsChild>
                    </w:div>
                    <w:div w:id="294153788">
                      <w:marLeft w:val="0"/>
                      <w:marRight w:val="0"/>
                      <w:marTop w:val="0"/>
                      <w:marBottom w:val="0"/>
                      <w:divBdr>
                        <w:top w:val="none" w:sz="0" w:space="0" w:color="auto"/>
                        <w:left w:val="none" w:sz="0" w:space="0" w:color="auto"/>
                        <w:bottom w:val="none" w:sz="0" w:space="0" w:color="auto"/>
                        <w:right w:val="none" w:sz="0" w:space="0" w:color="auto"/>
                      </w:divBdr>
                      <w:divsChild>
                        <w:div w:id="294149922">
                          <w:marLeft w:val="0"/>
                          <w:marRight w:val="0"/>
                          <w:marTop w:val="0"/>
                          <w:marBottom w:val="0"/>
                          <w:divBdr>
                            <w:top w:val="none" w:sz="0" w:space="0" w:color="auto"/>
                            <w:left w:val="none" w:sz="0" w:space="0" w:color="auto"/>
                            <w:bottom w:val="none" w:sz="0" w:space="0" w:color="auto"/>
                            <w:right w:val="none" w:sz="0" w:space="0" w:color="auto"/>
                          </w:divBdr>
                        </w:div>
                      </w:divsChild>
                    </w:div>
                    <w:div w:id="294153825">
                      <w:marLeft w:val="0"/>
                      <w:marRight w:val="0"/>
                      <w:marTop w:val="0"/>
                      <w:marBottom w:val="0"/>
                      <w:divBdr>
                        <w:top w:val="none" w:sz="0" w:space="0" w:color="auto"/>
                        <w:left w:val="none" w:sz="0" w:space="0" w:color="auto"/>
                        <w:bottom w:val="none" w:sz="0" w:space="0" w:color="auto"/>
                        <w:right w:val="none" w:sz="0" w:space="0" w:color="auto"/>
                      </w:divBdr>
                      <w:divsChild>
                        <w:div w:id="294157065">
                          <w:marLeft w:val="0"/>
                          <w:marRight w:val="0"/>
                          <w:marTop w:val="0"/>
                          <w:marBottom w:val="0"/>
                          <w:divBdr>
                            <w:top w:val="none" w:sz="0" w:space="0" w:color="auto"/>
                            <w:left w:val="none" w:sz="0" w:space="0" w:color="auto"/>
                            <w:bottom w:val="none" w:sz="0" w:space="0" w:color="auto"/>
                            <w:right w:val="none" w:sz="0" w:space="0" w:color="auto"/>
                          </w:divBdr>
                        </w:div>
                      </w:divsChild>
                    </w:div>
                    <w:div w:id="294153840">
                      <w:marLeft w:val="0"/>
                      <w:marRight w:val="0"/>
                      <w:marTop w:val="0"/>
                      <w:marBottom w:val="0"/>
                      <w:divBdr>
                        <w:top w:val="none" w:sz="0" w:space="0" w:color="auto"/>
                        <w:left w:val="none" w:sz="0" w:space="0" w:color="auto"/>
                        <w:bottom w:val="none" w:sz="0" w:space="0" w:color="auto"/>
                        <w:right w:val="none" w:sz="0" w:space="0" w:color="auto"/>
                      </w:divBdr>
                    </w:div>
                    <w:div w:id="294153849">
                      <w:marLeft w:val="0"/>
                      <w:marRight w:val="0"/>
                      <w:marTop w:val="0"/>
                      <w:marBottom w:val="0"/>
                      <w:divBdr>
                        <w:top w:val="none" w:sz="0" w:space="0" w:color="auto"/>
                        <w:left w:val="none" w:sz="0" w:space="0" w:color="auto"/>
                        <w:bottom w:val="none" w:sz="0" w:space="0" w:color="auto"/>
                        <w:right w:val="none" w:sz="0" w:space="0" w:color="auto"/>
                      </w:divBdr>
                    </w:div>
                    <w:div w:id="294153963">
                      <w:marLeft w:val="0"/>
                      <w:marRight w:val="0"/>
                      <w:marTop w:val="0"/>
                      <w:marBottom w:val="0"/>
                      <w:divBdr>
                        <w:top w:val="none" w:sz="0" w:space="0" w:color="auto"/>
                        <w:left w:val="none" w:sz="0" w:space="0" w:color="auto"/>
                        <w:bottom w:val="none" w:sz="0" w:space="0" w:color="auto"/>
                        <w:right w:val="none" w:sz="0" w:space="0" w:color="auto"/>
                      </w:divBdr>
                      <w:divsChild>
                        <w:div w:id="294153162">
                          <w:marLeft w:val="0"/>
                          <w:marRight w:val="0"/>
                          <w:marTop w:val="0"/>
                          <w:marBottom w:val="0"/>
                          <w:divBdr>
                            <w:top w:val="none" w:sz="0" w:space="0" w:color="auto"/>
                            <w:left w:val="none" w:sz="0" w:space="0" w:color="auto"/>
                            <w:bottom w:val="none" w:sz="0" w:space="0" w:color="auto"/>
                            <w:right w:val="none" w:sz="0" w:space="0" w:color="auto"/>
                          </w:divBdr>
                        </w:div>
                      </w:divsChild>
                    </w:div>
                    <w:div w:id="294153983">
                      <w:marLeft w:val="0"/>
                      <w:marRight w:val="0"/>
                      <w:marTop w:val="0"/>
                      <w:marBottom w:val="0"/>
                      <w:divBdr>
                        <w:top w:val="none" w:sz="0" w:space="0" w:color="auto"/>
                        <w:left w:val="none" w:sz="0" w:space="0" w:color="auto"/>
                        <w:bottom w:val="none" w:sz="0" w:space="0" w:color="auto"/>
                        <w:right w:val="none" w:sz="0" w:space="0" w:color="auto"/>
                      </w:divBdr>
                      <w:divsChild>
                        <w:div w:id="294141954">
                          <w:marLeft w:val="0"/>
                          <w:marRight w:val="0"/>
                          <w:marTop w:val="0"/>
                          <w:marBottom w:val="0"/>
                          <w:divBdr>
                            <w:top w:val="none" w:sz="0" w:space="0" w:color="auto"/>
                            <w:left w:val="none" w:sz="0" w:space="0" w:color="auto"/>
                            <w:bottom w:val="none" w:sz="0" w:space="0" w:color="auto"/>
                            <w:right w:val="none" w:sz="0" w:space="0" w:color="auto"/>
                          </w:divBdr>
                        </w:div>
                      </w:divsChild>
                    </w:div>
                    <w:div w:id="294154020">
                      <w:marLeft w:val="0"/>
                      <w:marRight w:val="0"/>
                      <w:marTop w:val="0"/>
                      <w:marBottom w:val="0"/>
                      <w:divBdr>
                        <w:top w:val="none" w:sz="0" w:space="0" w:color="auto"/>
                        <w:left w:val="none" w:sz="0" w:space="0" w:color="auto"/>
                        <w:bottom w:val="none" w:sz="0" w:space="0" w:color="auto"/>
                        <w:right w:val="none" w:sz="0" w:space="0" w:color="auto"/>
                      </w:divBdr>
                      <w:divsChild>
                        <w:div w:id="294139119">
                          <w:marLeft w:val="0"/>
                          <w:marRight w:val="0"/>
                          <w:marTop w:val="0"/>
                          <w:marBottom w:val="0"/>
                          <w:divBdr>
                            <w:top w:val="none" w:sz="0" w:space="0" w:color="auto"/>
                            <w:left w:val="none" w:sz="0" w:space="0" w:color="auto"/>
                            <w:bottom w:val="none" w:sz="0" w:space="0" w:color="auto"/>
                            <w:right w:val="none" w:sz="0" w:space="0" w:color="auto"/>
                          </w:divBdr>
                        </w:div>
                      </w:divsChild>
                    </w:div>
                    <w:div w:id="294154053">
                      <w:marLeft w:val="0"/>
                      <w:marRight w:val="0"/>
                      <w:marTop w:val="0"/>
                      <w:marBottom w:val="0"/>
                      <w:divBdr>
                        <w:top w:val="none" w:sz="0" w:space="0" w:color="auto"/>
                        <w:left w:val="none" w:sz="0" w:space="0" w:color="auto"/>
                        <w:bottom w:val="none" w:sz="0" w:space="0" w:color="auto"/>
                        <w:right w:val="none" w:sz="0" w:space="0" w:color="auto"/>
                      </w:divBdr>
                      <w:divsChild>
                        <w:div w:id="294156460">
                          <w:marLeft w:val="0"/>
                          <w:marRight w:val="0"/>
                          <w:marTop w:val="0"/>
                          <w:marBottom w:val="0"/>
                          <w:divBdr>
                            <w:top w:val="none" w:sz="0" w:space="0" w:color="auto"/>
                            <w:left w:val="none" w:sz="0" w:space="0" w:color="auto"/>
                            <w:bottom w:val="none" w:sz="0" w:space="0" w:color="auto"/>
                            <w:right w:val="none" w:sz="0" w:space="0" w:color="auto"/>
                          </w:divBdr>
                        </w:div>
                      </w:divsChild>
                    </w:div>
                    <w:div w:id="294154084">
                      <w:marLeft w:val="0"/>
                      <w:marRight w:val="0"/>
                      <w:marTop w:val="0"/>
                      <w:marBottom w:val="0"/>
                      <w:divBdr>
                        <w:top w:val="none" w:sz="0" w:space="0" w:color="auto"/>
                        <w:left w:val="none" w:sz="0" w:space="0" w:color="auto"/>
                        <w:bottom w:val="none" w:sz="0" w:space="0" w:color="auto"/>
                        <w:right w:val="none" w:sz="0" w:space="0" w:color="auto"/>
                      </w:divBdr>
                    </w:div>
                    <w:div w:id="294154109">
                      <w:marLeft w:val="0"/>
                      <w:marRight w:val="0"/>
                      <w:marTop w:val="0"/>
                      <w:marBottom w:val="0"/>
                      <w:divBdr>
                        <w:top w:val="none" w:sz="0" w:space="0" w:color="auto"/>
                        <w:left w:val="none" w:sz="0" w:space="0" w:color="auto"/>
                        <w:bottom w:val="none" w:sz="0" w:space="0" w:color="auto"/>
                        <w:right w:val="none" w:sz="0" w:space="0" w:color="auto"/>
                      </w:divBdr>
                      <w:divsChild>
                        <w:div w:id="294141532">
                          <w:marLeft w:val="0"/>
                          <w:marRight w:val="0"/>
                          <w:marTop w:val="0"/>
                          <w:marBottom w:val="0"/>
                          <w:divBdr>
                            <w:top w:val="none" w:sz="0" w:space="0" w:color="auto"/>
                            <w:left w:val="none" w:sz="0" w:space="0" w:color="auto"/>
                            <w:bottom w:val="none" w:sz="0" w:space="0" w:color="auto"/>
                            <w:right w:val="none" w:sz="0" w:space="0" w:color="auto"/>
                          </w:divBdr>
                        </w:div>
                      </w:divsChild>
                    </w:div>
                    <w:div w:id="294154149">
                      <w:marLeft w:val="0"/>
                      <w:marRight w:val="0"/>
                      <w:marTop w:val="0"/>
                      <w:marBottom w:val="0"/>
                      <w:divBdr>
                        <w:top w:val="none" w:sz="0" w:space="0" w:color="auto"/>
                        <w:left w:val="none" w:sz="0" w:space="0" w:color="auto"/>
                        <w:bottom w:val="none" w:sz="0" w:space="0" w:color="auto"/>
                        <w:right w:val="none" w:sz="0" w:space="0" w:color="auto"/>
                      </w:divBdr>
                      <w:divsChild>
                        <w:div w:id="294147521">
                          <w:marLeft w:val="0"/>
                          <w:marRight w:val="0"/>
                          <w:marTop w:val="0"/>
                          <w:marBottom w:val="0"/>
                          <w:divBdr>
                            <w:top w:val="none" w:sz="0" w:space="0" w:color="auto"/>
                            <w:left w:val="none" w:sz="0" w:space="0" w:color="auto"/>
                            <w:bottom w:val="none" w:sz="0" w:space="0" w:color="auto"/>
                            <w:right w:val="none" w:sz="0" w:space="0" w:color="auto"/>
                          </w:divBdr>
                        </w:div>
                      </w:divsChild>
                    </w:div>
                    <w:div w:id="294154217">
                      <w:marLeft w:val="0"/>
                      <w:marRight w:val="0"/>
                      <w:marTop w:val="0"/>
                      <w:marBottom w:val="0"/>
                      <w:divBdr>
                        <w:top w:val="none" w:sz="0" w:space="0" w:color="auto"/>
                        <w:left w:val="none" w:sz="0" w:space="0" w:color="auto"/>
                        <w:bottom w:val="none" w:sz="0" w:space="0" w:color="auto"/>
                        <w:right w:val="none" w:sz="0" w:space="0" w:color="auto"/>
                      </w:divBdr>
                    </w:div>
                    <w:div w:id="294154245">
                      <w:marLeft w:val="0"/>
                      <w:marRight w:val="0"/>
                      <w:marTop w:val="0"/>
                      <w:marBottom w:val="0"/>
                      <w:divBdr>
                        <w:top w:val="none" w:sz="0" w:space="0" w:color="auto"/>
                        <w:left w:val="none" w:sz="0" w:space="0" w:color="auto"/>
                        <w:bottom w:val="none" w:sz="0" w:space="0" w:color="auto"/>
                        <w:right w:val="none" w:sz="0" w:space="0" w:color="auto"/>
                      </w:divBdr>
                    </w:div>
                    <w:div w:id="294154278">
                      <w:marLeft w:val="0"/>
                      <w:marRight w:val="0"/>
                      <w:marTop w:val="0"/>
                      <w:marBottom w:val="0"/>
                      <w:divBdr>
                        <w:top w:val="none" w:sz="0" w:space="0" w:color="auto"/>
                        <w:left w:val="none" w:sz="0" w:space="0" w:color="auto"/>
                        <w:bottom w:val="none" w:sz="0" w:space="0" w:color="auto"/>
                        <w:right w:val="none" w:sz="0" w:space="0" w:color="auto"/>
                      </w:divBdr>
                      <w:divsChild>
                        <w:div w:id="294147816">
                          <w:marLeft w:val="0"/>
                          <w:marRight w:val="0"/>
                          <w:marTop w:val="0"/>
                          <w:marBottom w:val="0"/>
                          <w:divBdr>
                            <w:top w:val="none" w:sz="0" w:space="0" w:color="auto"/>
                            <w:left w:val="none" w:sz="0" w:space="0" w:color="auto"/>
                            <w:bottom w:val="none" w:sz="0" w:space="0" w:color="auto"/>
                            <w:right w:val="none" w:sz="0" w:space="0" w:color="auto"/>
                          </w:divBdr>
                        </w:div>
                      </w:divsChild>
                    </w:div>
                    <w:div w:id="294154321">
                      <w:marLeft w:val="0"/>
                      <w:marRight w:val="0"/>
                      <w:marTop w:val="0"/>
                      <w:marBottom w:val="0"/>
                      <w:divBdr>
                        <w:top w:val="none" w:sz="0" w:space="0" w:color="auto"/>
                        <w:left w:val="none" w:sz="0" w:space="0" w:color="auto"/>
                        <w:bottom w:val="none" w:sz="0" w:space="0" w:color="auto"/>
                        <w:right w:val="none" w:sz="0" w:space="0" w:color="auto"/>
                      </w:divBdr>
                    </w:div>
                    <w:div w:id="294154376">
                      <w:marLeft w:val="0"/>
                      <w:marRight w:val="0"/>
                      <w:marTop w:val="0"/>
                      <w:marBottom w:val="0"/>
                      <w:divBdr>
                        <w:top w:val="none" w:sz="0" w:space="0" w:color="auto"/>
                        <w:left w:val="none" w:sz="0" w:space="0" w:color="auto"/>
                        <w:bottom w:val="none" w:sz="0" w:space="0" w:color="auto"/>
                        <w:right w:val="none" w:sz="0" w:space="0" w:color="auto"/>
                      </w:divBdr>
                      <w:divsChild>
                        <w:div w:id="294138445">
                          <w:marLeft w:val="0"/>
                          <w:marRight w:val="0"/>
                          <w:marTop w:val="0"/>
                          <w:marBottom w:val="0"/>
                          <w:divBdr>
                            <w:top w:val="none" w:sz="0" w:space="0" w:color="auto"/>
                            <w:left w:val="none" w:sz="0" w:space="0" w:color="auto"/>
                            <w:bottom w:val="none" w:sz="0" w:space="0" w:color="auto"/>
                            <w:right w:val="none" w:sz="0" w:space="0" w:color="auto"/>
                          </w:divBdr>
                        </w:div>
                      </w:divsChild>
                    </w:div>
                    <w:div w:id="294154485">
                      <w:marLeft w:val="0"/>
                      <w:marRight w:val="0"/>
                      <w:marTop w:val="0"/>
                      <w:marBottom w:val="0"/>
                      <w:divBdr>
                        <w:top w:val="none" w:sz="0" w:space="0" w:color="auto"/>
                        <w:left w:val="none" w:sz="0" w:space="0" w:color="auto"/>
                        <w:bottom w:val="none" w:sz="0" w:space="0" w:color="auto"/>
                        <w:right w:val="none" w:sz="0" w:space="0" w:color="auto"/>
                      </w:divBdr>
                      <w:divsChild>
                        <w:div w:id="294138982">
                          <w:marLeft w:val="0"/>
                          <w:marRight w:val="0"/>
                          <w:marTop w:val="0"/>
                          <w:marBottom w:val="0"/>
                          <w:divBdr>
                            <w:top w:val="none" w:sz="0" w:space="0" w:color="auto"/>
                            <w:left w:val="none" w:sz="0" w:space="0" w:color="auto"/>
                            <w:bottom w:val="none" w:sz="0" w:space="0" w:color="auto"/>
                            <w:right w:val="none" w:sz="0" w:space="0" w:color="auto"/>
                          </w:divBdr>
                        </w:div>
                      </w:divsChild>
                    </w:div>
                    <w:div w:id="294154511">
                      <w:marLeft w:val="0"/>
                      <w:marRight w:val="0"/>
                      <w:marTop w:val="0"/>
                      <w:marBottom w:val="0"/>
                      <w:divBdr>
                        <w:top w:val="none" w:sz="0" w:space="0" w:color="auto"/>
                        <w:left w:val="none" w:sz="0" w:space="0" w:color="auto"/>
                        <w:bottom w:val="none" w:sz="0" w:space="0" w:color="auto"/>
                        <w:right w:val="none" w:sz="0" w:space="0" w:color="auto"/>
                      </w:divBdr>
                      <w:divsChild>
                        <w:div w:id="294153747">
                          <w:marLeft w:val="0"/>
                          <w:marRight w:val="0"/>
                          <w:marTop w:val="0"/>
                          <w:marBottom w:val="0"/>
                          <w:divBdr>
                            <w:top w:val="none" w:sz="0" w:space="0" w:color="auto"/>
                            <w:left w:val="none" w:sz="0" w:space="0" w:color="auto"/>
                            <w:bottom w:val="none" w:sz="0" w:space="0" w:color="auto"/>
                            <w:right w:val="none" w:sz="0" w:space="0" w:color="auto"/>
                          </w:divBdr>
                        </w:div>
                      </w:divsChild>
                    </w:div>
                    <w:div w:id="294154519">
                      <w:marLeft w:val="0"/>
                      <w:marRight w:val="0"/>
                      <w:marTop w:val="0"/>
                      <w:marBottom w:val="0"/>
                      <w:divBdr>
                        <w:top w:val="none" w:sz="0" w:space="0" w:color="auto"/>
                        <w:left w:val="none" w:sz="0" w:space="0" w:color="auto"/>
                        <w:bottom w:val="none" w:sz="0" w:space="0" w:color="auto"/>
                        <w:right w:val="none" w:sz="0" w:space="0" w:color="auto"/>
                      </w:divBdr>
                      <w:divsChild>
                        <w:div w:id="294141614">
                          <w:marLeft w:val="0"/>
                          <w:marRight w:val="0"/>
                          <w:marTop w:val="0"/>
                          <w:marBottom w:val="0"/>
                          <w:divBdr>
                            <w:top w:val="none" w:sz="0" w:space="0" w:color="auto"/>
                            <w:left w:val="none" w:sz="0" w:space="0" w:color="auto"/>
                            <w:bottom w:val="none" w:sz="0" w:space="0" w:color="auto"/>
                            <w:right w:val="none" w:sz="0" w:space="0" w:color="auto"/>
                          </w:divBdr>
                        </w:div>
                      </w:divsChild>
                    </w:div>
                    <w:div w:id="294154563">
                      <w:marLeft w:val="0"/>
                      <w:marRight w:val="0"/>
                      <w:marTop w:val="0"/>
                      <w:marBottom w:val="0"/>
                      <w:divBdr>
                        <w:top w:val="none" w:sz="0" w:space="0" w:color="auto"/>
                        <w:left w:val="none" w:sz="0" w:space="0" w:color="auto"/>
                        <w:bottom w:val="none" w:sz="0" w:space="0" w:color="auto"/>
                        <w:right w:val="none" w:sz="0" w:space="0" w:color="auto"/>
                      </w:divBdr>
                    </w:div>
                    <w:div w:id="294154587">
                      <w:marLeft w:val="0"/>
                      <w:marRight w:val="0"/>
                      <w:marTop w:val="0"/>
                      <w:marBottom w:val="0"/>
                      <w:divBdr>
                        <w:top w:val="none" w:sz="0" w:space="0" w:color="auto"/>
                        <w:left w:val="none" w:sz="0" w:space="0" w:color="auto"/>
                        <w:bottom w:val="none" w:sz="0" w:space="0" w:color="auto"/>
                        <w:right w:val="none" w:sz="0" w:space="0" w:color="auto"/>
                      </w:divBdr>
                    </w:div>
                    <w:div w:id="294154634">
                      <w:marLeft w:val="0"/>
                      <w:marRight w:val="0"/>
                      <w:marTop w:val="0"/>
                      <w:marBottom w:val="0"/>
                      <w:divBdr>
                        <w:top w:val="none" w:sz="0" w:space="0" w:color="auto"/>
                        <w:left w:val="none" w:sz="0" w:space="0" w:color="auto"/>
                        <w:bottom w:val="none" w:sz="0" w:space="0" w:color="auto"/>
                        <w:right w:val="none" w:sz="0" w:space="0" w:color="auto"/>
                      </w:divBdr>
                    </w:div>
                    <w:div w:id="294154639">
                      <w:marLeft w:val="0"/>
                      <w:marRight w:val="0"/>
                      <w:marTop w:val="0"/>
                      <w:marBottom w:val="0"/>
                      <w:divBdr>
                        <w:top w:val="none" w:sz="0" w:space="0" w:color="auto"/>
                        <w:left w:val="none" w:sz="0" w:space="0" w:color="auto"/>
                        <w:bottom w:val="none" w:sz="0" w:space="0" w:color="auto"/>
                        <w:right w:val="none" w:sz="0" w:space="0" w:color="auto"/>
                      </w:divBdr>
                      <w:divsChild>
                        <w:div w:id="294138017">
                          <w:marLeft w:val="0"/>
                          <w:marRight w:val="0"/>
                          <w:marTop w:val="0"/>
                          <w:marBottom w:val="0"/>
                          <w:divBdr>
                            <w:top w:val="none" w:sz="0" w:space="0" w:color="auto"/>
                            <w:left w:val="none" w:sz="0" w:space="0" w:color="auto"/>
                            <w:bottom w:val="none" w:sz="0" w:space="0" w:color="auto"/>
                            <w:right w:val="none" w:sz="0" w:space="0" w:color="auto"/>
                          </w:divBdr>
                        </w:div>
                      </w:divsChild>
                    </w:div>
                    <w:div w:id="294154644">
                      <w:marLeft w:val="0"/>
                      <w:marRight w:val="0"/>
                      <w:marTop w:val="0"/>
                      <w:marBottom w:val="0"/>
                      <w:divBdr>
                        <w:top w:val="none" w:sz="0" w:space="0" w:color="auto"/>
                        <w:left w:val="none" w:sz="0" w:space="0" w:color="auto"/>
                        <w:bottom w:val="none" w:sz="0" w:space="0" w:color="auto"/>
                        <w:right w:val="none" w:sz="0" w:space="0" w:color="auto"/>
                      </w:divBdr>
                    </w:div>
                    <w:div w:id="294154691">
                      <w:marLeft w:val="0"/>
                      <w:marRight w:val="0"/>
                      <w:marTop w:val="0"/>
                      <w:marBottom w:val="0"/>
                      <w:divBdr>
                        <w:top w:val="none" w:sz="0" w:space="0" w:color="auto"/>
                        <w:left w:val="none" w:sz="0" w:space="0" w:color="auto"/>
                        <w:bottom w:val="none" w:sz="0" w:space="0" w:color="auto"/>
                        <w:right w:val="none" w:sz="0" w:space="0" w:color="auto"/>
                      </w:divBdr>
                      <w:divsChild>
                        <w:div w:id="294154846">
                          <w:marLeft w:val="0"/>
                          <w:marRight w:val="0"/>
                          <w:marTop w:val="0"/>
                          <w:marBottom w:val="0"/>
                          <w:divBdr>
                            <w:top w:val="none" w:sz="0" w:space="0" w:color="auto"/>
                            <w:left w:val="none" w:sz="0" w:space="0" w:color="auto"/>
                            <w:bottom w:val="none" w:sz="0" w:space="0" w:color="auto"/>
                            <w:right w:val="none" w:sz="0" w:space="0" w:color="auto"/>
                          </w:divBdr>
                        </w:div>
                      </w:divsChild>
                    </w:div>
                    <w:div w:id="294154694">
                      <w:marLeft w:val="0"/>
                      <w:marRight w:val="0"/>
                      <w:marTop w:val="0"/>
                      <w:marBottom w:val="0"/>
                      <w:divBdr>
                        <w:top w:val="none" w:sz="0" w:space="0" w:color="auto"/>
                        <w:left w:val="none" w:sz="0" w:space="0" w:color="auto"/>
                        <w:bottom w:val="none" w:sz="0" w:space="0" w:color="auto"/>
                        <w:right w:val="none" w:sz="0" w:space="0" w:color="auto"/>
                      </w:divBdr>
                      <w:divsChild>
                        <w:div w:id="294155120">
                          <w:marLeft w:val="0"/>
                          <w:marRight w:val="0"/>
                          <w:marTop w:val="0"/>
                          <w:marBottom w:val="0"/>
                          <w:divBdr>
                            <w:top w:val="none" w:sz="0" w:space="0" w:color="auto"/>
                            <w:left w:val="none" w:sz="0" w:space="0" w:color="auto"/>
                            <w:bottom w:val="none" w:sz="0" w:space="0" w:color="auto"/>
                            <w:right w:val="none" w:sz="0" w:space="0" w:color="auto"/>
                          </w:divBdr>
                        </w:div>
                      </w:divsChild>
                    </w:div>
                    <w:div w:id="294154764">
                      <w:marLeft w:val="0"/>
                      <w:marRight w:val="0"/>
                      <w:marTop w:val="0"/>
                      <w:marBottom w:val="0"/>
                      <w:divBdr>
                        <w:top w:val="none" w:sz="0" w:space="0" w:color="auto"/>
                        <w:left w:val="none" w:sz="0" w:space="0" w:color="auto"/>
                        <w:bottom w:val="none" w:sz="0" w:space="0" w:color="auto"/>
                        <w:right w:val="none" w:sz="0" w:space="0" w:color="auto"/>
                      </w:divBdr>
                    </w:div>
                    <w:div w:id="294154881">
                      <w:marLeft w:val="0"/>
                      <w:marRight w:val="0"/>
                      <w:marTop w:val="0"/>
                      <w:marBottom w:val="0"/>
                      <w:divBdr>
                        <w:top w:val="none" w:sz="0" w:space="0" w:color="auto"/>
                        <w:left w:val="none" w:sz="0" w:space="0" w:color="auto"/>
                        <w:bottom w:val="none" w:sz="0" w:space="0" w:color="auto"/>
                        <w:right w:val="none" w:sz="0" w:space="0" w:color="auto"/>
                      </w:divBdr>
                    </w:div>
                    <w:div w:id="294154900">
                      <w:marLeft w:val="0"/>
                      <w:marRight w:val="0"/>
                      <w:marTop w:val="0"/>
                      <w:marBottom w:val="0"/>
                      <w:divBdr>
                        <w:top w:val="none" w:sz="0" w:space="0" w:color="auto"/>
                        <w:left w:val="none" w:sz="0" w:space="0" w:color="auto"/>
                        <w:bottom w:val="none" w:sz="0" w:space="0" w:color="auto"/>
                        <w:right w:val="none" w:sz="0" w:space="0" w:color="auto"/>
                      </w:divBdr>
                    </w:div>
                    <w:div w:id="294155088">
                      <w:marLeft w:val="0"/>
                      <w:marRight w:val="0"/>
                      <w:marTop w:val="0"/>
                      <w:marBottom w:val="0"/>
                      <w:divBdr>
                        <w:top w:val="none" w:sz="0" w:space="0" w:color="auto"/>
                        <w:left w:val="none" w:sz="0" w:space="0" w:color="auto"/>
                        <w:bottom w:val="none" w:sz="0" w:space="0" w:color="auto"/>
                        <w:right w:val="none" w:sz="0" w:space="0" w:color="auto"/>
                      </w:divBdr>
                    </w:div>
                    <w:div w:id="294155128">
                      <w:marLeft w:val="0"/>
                      <w:marRight w:val="0"/>
                      <w:marTop w:val="0"/>
                      <w:marBottom w:val="0"/>
                      <w:divBdr>
                        <w:top w:val="none" w:sz="0" w:space="0" w:color="auto"/>
                        <w:left w:val="none" w:sz="0" w:space="0" w:color="auto"/>
                        <w:bottom w:val="none" w:sz="0" w:space="0" w:color="auto"/>
                        <w:right w:val="none" w:sz="0" w:space="0" w:color="auto"/>
                      </w:divBdr>
                    </w:div>
                    <w:div w:id="294155210">
                      <w:marLeft w:val="0"/>
                      <w:marRight w:val="0"/>
                      <w:marTop w:val="0"/>
                      <w:marBottom w:val="0"/>
                      <w:divBdr>
                        <w:top w:val="none" w:sz="0" w:space="0" w:color="auto"/>
                        <w:left w:val="none" w:sz="0" w:space="0" w:color="auto"/>
                        <w:bottom w:val="none" w:sz="0" w:space="0" w:color="auto"/>
                        <w:right w:val="none" w:sz="0" w:space="0" w:color="auto"/>
                      </w:divBdr>
                    </w:div>
                    <w:div w:id="294155300">
                      <w:marLeft w:val="0"/>
                      <w:marRight w:val="0"/>
                      <w:marTop w:val="0"/>
                      <w:marBottom w:val="0"/>
                      <w:divBdr>
                        <w:top w:val="none" w:sz="0" w:space="0" w:color="auto"/>
                        <w:left w:val="none" w:sz="0" w:space="0" w:color="auto"/>
                        <w:bottom w:val="none" w:sz="0" w:space="0" w:color="auto"/>
                        <w:right w:val="none" w:sz="0" w:space="0" w:color="auto"/>
                      </w:divBdr>
                    </w:div>
                    <w:div w:id="294155394">
                      <w:marLeft w:val="0"/>
                      <w:marRight w:val="0"/>
                      <w:marTop w:val="0"/>
                      <w:marBottom w:val="0"/>
                      <w:divBdr>
                        <w:top w:val="none" w:sz="0" w:space="0" w:color="auto"/>
                        <w:left w:val="none" w:sz="0" w:space="0" w:color="auto"/>
                        <w:bottom w:val="none" w:sz="0" w:space="0" w:color="auto"/>
                        <w:right w:val="none" w:sz="0" w:space="0" w:color="auto"/>
                      </w:divBdr>
                    </w:div>
                    <w:div w:id="294155440">
                      <w:marLeft w:val="0"/>
                      <w:marRight w:val="0"/>
                      <w:marTop w:val="0"/>
                      <w:marBottom w:val="0"/>
                      <w:divBdr>
                        <w:top w:val="none" w:sz="0" w:space="0" w:color="auto"/>
                        <w:left w:val="none" w:sz="0" w:space="0" w:color="auto"/>
                        <w:bottom w:val="none" w:sz="0" w:space="0" w:color="auto"/>
                        <w:right w:val="none" w:sz="0" w:space="0" w:color="auto"/>
                      </w:divBdr>
                      <w:divsChild>
                        <w:div w:id="294147252">
                          <w:marLeft w:val="0"/>
                          <w:marRight w:val="0"/>
                          <w:marTop w:val="0"/>
                          <w:marBottom w:val="0"/>
                          <w:divBdr>
                            <w:top w:val="none" w:sz="0" w:space="0" w:color="auto"/>
                            <w:left w:val="none" w:sz="0" w:space="0" w:color="auto"/>
                            <w:bottom w:val="none" w:sz="0" w:space="0" w:color="auto"/>
                            <w:right w:val="none" w:sz="0" w:space="0" w:color="auto"/>
                          </w:divBdr>
                        </w:div>
                      </w:divsChild>
                    </w:div>
                    <w:div w:id="294155474">
                      <w:marLeft w:val="0"/>
                      <w:marRight w:val="0"/>
                      <w:marTop w:val="0"/>
                      <w:marBottom w:val="0"/>
                      <w:divBdr>
                        <w:top w:val="none" w:sz="0" w:space="0" w:color="auto"/>
                        <w:left w:val="none" w:sz="0" w:space="0" w:color="auto"/>
                        <w:bottom w:val="none" w:sz="0" w:space="0" w:color="auto"/>
                        <w:right w:val="none" w:sz="0" w:space="0" w:color="auto"/>
                      </w:divBdr>
                    </w:div>
                    <w:div w:id="294155605">
                      <w:marLeft w:val="0"/>
                      <w:marRight w:val="0"/>
                      <w:marTop w:val="0"/>
                      <w:marBottom w:val="0"/>
                      <w:divBdr>
                        <w:top w:val="none" w:sz="0" w:space="0" w:color="auto"/>
                        <w:left w:val="none" w:sz="0" w:space="0" w:color="auto"/>
                        <w:bottom w:val="none" w:sz="0" w:space="0" w:color="auto"/>
                        <w:right w:val="none" w:sz="0" w:space="0" w:color="auto"/>
                      </w:divBdr>
                    </w:div>
                    <w:div w:id="294155674">
                      <w:marLeft w:val="0"/>
                      <w:marRight w:val="0"/>
                      <w:marTop w:val="0"/>
                      <w:marBottom w:val="0"/>
                      <w:divBdr>
                        <w:top w:val="none" w:sz="0" w:space="0" w:color="auto"/>
                        <w:left w:val="none" w:sz="0" w:space="0" w:color="auto"/>
                        <w:bottom w:val="none" w:sz="0" w:space="0" w:color="auto"/>
                        <w:right w:val="none" w:sz="0" w:space="0" w:color="auto"/>
                      </w:divBdr>
                    </w:div>
                    <w:div w:id="294155681">
                      <w:marLeft w:val="0"/>
                      <w:marRight w:val="0"/>
                      <w:marTop w:val="0"/>
                      <w:marBottom w:val="0"/>
                      <w:divBdr>
                        <w:top w:val="none" w:sz="0" w:space="0" w:color="auto"/>
                        <w:left w:val="none" w:sz="0" w:space="0" w:color="auto"/>
                        <w:bottom w:val="none" w:sz="0" w:space="0" w:color="auto"/>
                        <w:right w:val="none" w:sz="0" w:space="0" w:color="auto"/>
                      </w:divBdr>
                    </w:div>
                    <w:div w:id="294155697">
                      <w:marLeft w:val="0"/>
                      <w:marRight w:val="0"/>
                      <w:marTop w:val="0"/>
                      <w:marBottom w:val="0"/>
                      <w:divBdr>
                        <w:top w:val="none" w:sz="0" w:space="0" w:color="auto"/>
                        <w:left w:val="none" w:sz="0" w:space="0" w:color="auto"/>
                        <w:bottom w:val="none" w:sz="0" w:space="0" w:color="auto"/>
                        <w:right w:val="none" w:sz="0" w:space="0" w:color="auto"/>
                      </w:divBdr>
                    </w:div>
                    <w:div w:id="294155834">
                      <w:marLeft w:val="0"/>
                      <w:marRight w:val="0"/>
                      <w:marTop w:val="0"/>
                      <w:marBottom w:val="0"/>
                      <w:divBdr>
                        <w:top w:val="none" w:sz="0" w:space="0" w:color="auto"/>
                        <w:left w:val="none" w:sz="0" w:space="0" w:color="auto"/>
                        <w:bottom w:val="none" w:sz="0" w:space="0" w:color="auto"/>
                        <w:right w:val="none" w:sz="0" w:space="0" w:color="auto"/>
                      </w:divBdr>
                      <w:divsChild>
                        <w:div w:id="294147121">
                          <w:marLeft w:val="0"/>
                          <w:marRight w:val="0"/>
                          <w:marTop w:val="0"/>
                          <w:marBottom w:val="0"/>
                          <w:divBdr>
                            <w:top w:val="none" w:sz="0" w:space="0" w:color="auto"/>
                            <w:left w:val="none" w:sz="0" w:space="0" w:color="auto"/>
                            <w:bottom w:val="none" w:sz="0" w:space="0" w:color="auto"/>
                            <w:right w:val="none" w:sz="0" w:space="0" w:color="auto"/>
                          </w:divBdr>
                        </w:div>
                      </w:divsChild>
                    </w:div>
                    <w:div w:id="294155895">
                      <w:marLeft w:val="0"/>
                      <w:marRight w:val="0"/>
                      <w:marTop w:val="0"/>
                      <w:marBottom w:val="0"/>
                      <w:divBdr>
                        <w:top w:val="none" w:sz="0" w:space="0" w:color="auto"/>
                        <w:left w:val="none" w:sz="0" w:space="0" w:color="auto"/>
                        <w:bottom w:val="none" w:sz="0" w:space="0" w:color="auto"/>
                        <w:right w:val="none" w:sz="0" w:space="0" w:color="auto"/>
                      </w:divBdr>
                      <w:divsChild>
                        <w:div w:id="294141295">
                          <w:marLeft w:val="0"/>
                          <w:marRight w:val="0"/>
                          <w:marTop w:val="0"/>
                          <w:marBottom w:val="0"/>
                          <w:divBdr>
                            <w:top w:val="none" w:sz="0" w:space="0" w:color="auto"/>
                            <w:left w:val="none" w:sz="0" w:space="0" w:color="auto"/>
                            <w:bottom w:val="none" w:sz="0" w:space="0" w:color="auto"/>
                            <w:right w:val="none" w:sz="0" w:space="0" w:color="auto"/>
                          </w:divBdr>
                        </w:div>
                      </w:divsChild>
                    </w:div>
                    <w:div w:id="294155907">
                      <w:marLeft w:val="0"/>
                      <w:marRight w:val="0"/>
                      <w:marTop w:val="0"/>
                      <w:marBottom w:val="0"/>
                      <w:divBdr>
                        <w:top w:val="none" w:sz="0" w:space="0" w:color="auto"/>
                        <w:left w:val="none" w:sz="0" w:space="0" w:color="auto"/>
                        <w:bottom w:val="none" w:sz="0" w:space="0" w:color="auto"/>
                        <w:right w:val="none" w:sz="0" w:space="0" w:color="auto"/>
                      </w:divBdr>
                      <w:divsChild>
                        <w:div w:id="294141539">
                          <w:marLeft w:val="0"/>
                          <w:marRight w:val="0"/>
                          <w:marTop w:val="0"/>
                          <w:marBottom w:val="0"/>
                          <w:divBdr>
                            <w:top w:val="none" w:sz="0" w:space="0" w:color="auto"/>
                            <w:left w:val="none" w:sz="0" w:space="0" w:color="auto"/>
                            <w:bottom w:val="none" w:sz="0" w:space="0" w:color="auto"/>
                            <w:right w:val="none" w:sz="0" w:space="0" w:color="auto"/>
                          </w:divBdr>
                        </w:div>
                      </w:divsChild>
                    </w:div>
                    <w:div w:id="294155982">
                      <w:marLeft w:val="0"/>
                      <w:marRight w:val="0"/>
                      <w:marTop w:val="0"/>
                      <w:marBottom w:val="0"/>
                      <w:divBdr>
                        <w:top w:val="none" w:sz="0" w:space="0" w:color="auto"/>
                        <w:left w:val="none" w:sz="0" w:space="0" w:color="auto"/>
                        <w:bottom w:val="none" w:sz="0" w:space="0" w:color="auto"/>
                        <w:right w:val="none" w:sz="0" w:space="0" w:color="auto"/>
                      </w:divBdr>
                      <w:divsChild>
                        <w:div w:id="294149325">
                          <w:marLeft w:val="0"/>
                          <w:marRight w:val="0"/>
                          <w:marTop w:val="0"/>
                          <w:marBottom w:val="0"/>
                          <w:divBdr>
                            <w:top w:val="none" w:sz="0" w:space="0" w:color="auto"/>
                            <w:left w:val="none" w:sz="0" w:space="0" w:color="auto"/>
                            <w:bottom w:val="none" w:sz="0" w:space="0" w:color="auto"/>
                            <w:right w:val="none" w:sz="0" w:space="0" w:color="auto"/>
                          </w:divBdr>
                        </w:div>
                      </w:divsChild>
                    </w:div>
                    <w:div w:id="294155983">
                      <w:marLeft w:val="0"/>
                      <w:marRight w:val="0"/>
                      <w:marTop w:val="0"/>
                      <w:marBottom w:val="0"/>
                      <w:divBdr>
                        <w:top w:val="none" w:sz="0" w:space="0" w:color="auto"/>
                        <w:left w:val="none" w:sz="0" w:space="0" w:color="auto"/>
                        <w:bottom w:val="none" w:sz="0" w:space="0" w:color="auto"/>
                        <w:right w:val="none" w:sz="0" w:space="0" w:color="auto"/>
                      </w:divBdr>
                      <w:divsChild>
                        <w:div w:id="294142183">
                          <w:marLeft w:val="0"/>
                          <w:marRight w:val="0"/>
                          <w:marTop w:val="0"/>
                          <w:marBottom w:val="0"/>
                          <w:divBdr>
                            <w:top w:val="none" w:sz="0" w:space="0" w:color="auto"/>
                            <w:left w:val="none" w:sz="0" w:space="0" w:color="auto"/>
                            <w:bottom w:val="none" w:sz="0" w:space="0" w:color="auto"/>
                            <w:right w:val="none" w:sz="0" w:space="0" w:color="auto"/>
                          </w:divBdr>
                        </w:div>
                      </w:divsChild>
                    </w:div>
                    <w:div w:id="294155996">
                      <w:marLeft w:val="0"/>
                      <w:marRight w:val="0"/>
                      <w:marTop w:val="0"/>
                      <w:marBottom w:val="0"/>
                      <w:divBdr>
                        <w:top w:val="none" w:sz="0" w:space="0" w:color="auto"/>
                        <w:left w:val="none" w:sz="0" w:space="0" w:color="auto"/>
                        <w:bottom w:val="none" w:sz="0" w:space="0" w:color="auto"/>
                        <w:right w:val="none" w:sz="0" w:space="0" w:color="auto"/>
                      </w:divBdr>
                      <w:divsChild>
                        <w:div w:id="294140360">
                          <w:marLeft w:val="0"/>
                          <w:marRight w:val="0"/>
                          <w:marTop w:val="0"/>
                          <w:marBottom w:val="0"/>
                          <w:divBdr>
                            <w:top w:val="none" w:sz="0" w:space="0" w:color="auto"/>
                            <w:left w:val="none" w:sz="0" w:space="0" w:color="auto"/>
                            <w:bottom w:val="none" w:sz="0" w:space="0" w:color="auto"/>
                            <w:right w:val="none" w:sz="0" w:space="0" w:color="auto"/>
                          </w:divBdr>
                        </w:div>
                      </w:divsChild>
                    </w:div>
                    <w:div w:id="294156073">
                      <w:marLeft w:val="0"/>
                      <w:marRight w:val="0"/>
                      <w:marTop w:val="0"/>
                      <w:marBottom w:val="0"/>
                      <w:divBdr>
                        <w:top w:val="none" w:sz="0" w:space="0" w:color="auto"/>
                        <w:left w:val="none" w:sz="0" w:space="0" w:color="auto"/>
                        <w:bottom w:val="none" w:sz="0" w:space="0" w:color="auto"/>
                        <w:right w:val="none" w:sz="0" w:space="0" w:color="auto"/>
                      </w:divBdr>
                    </w:div>
                    <w:div w:id="294156159">
                      <w:marLeft w:val="0"/>
                      <w:marRight w:val="0"/>
                      <w:marTop w:val="0"/>
                      <w:marBottom w:val="0"/>
                      <w:divBdr>
                        <w:top w:val="none" w:sz="0" w:space="0" w:color="auto"/>
                        <w:left w:val="none" w:sz="0" w:space="0" w:color="auto"/>
                        <w:bottom w:val="none" w:sz="0" w:space="0" w:color="auto"/>
                        <w:right w:val="none" w:sz="0" w:space="0" w:color="auto"/>
                      </w:divBdr>
                    </w:div>
                    <w:div w:id="294156185">
                      <w:marLeft w:val="0"/>
                      <w:marRight w:val="0"/>
                      <w:marTop w:val="0"/>
                      <w:marBottom w:val="0"/>
                      <w:divBdr>
                        <w:top w:val="none" w:sz="0" w:space="0" w:color="auto"/>
                        <w:left w:val="none" w:sz="0" w:space="0" w:color="auto"/>
                        <w:bottom w:val="none" w:sz="0" w:space="0" w:color="auto"/>
                        <w:right w:val="none" w:sz="0" w:space="0" w:color="auto"/>
                      </w:divBdr>
                      <w:divsChild>
                        <w:div w:id="294138725">
                          <w:marLeft w:val="0"/>
                          <w:marRight w:val="0"/>
                          <w:marTop w:val="0"/>
                          <w:marBottom w:val="0"/>
                          <w:divBdr>
                            <w:top w:val="none" w:sz="0" w:space="0" w:color="auto"/>
                            <w:left w:val="none" w:sz="0" w:space="0" w:color="auto"/>
                            <w:bottom w:val="none" w:sz="0" w:space="0" w:color="auto"/>
                            <w:right w:val="none" w:sz="0" w:space="0" w:color="auto"/>
                          </w:divBdr>
                        </w:div>
                      </w:divsChild>
                    </w:div>
                    <w:div w:id="294156195">
                      <w:marLeft w:val="0"/>
                      <w:marRight w:val="0"/>
                      <w:marTop w:val="0"/>
                      <w:marBottom w:val="0"/>
                      <w:divBdr>
                        <w:top w:val="none" w:sz="0" w:space="0" w:color="auto"/>
                        <w:left w:val="none" w:sz="0" w:space="0" w:color="auto"/>
                        <w:bottom w:val="none" w:sz="0" w:space="0" w:color="auto"/>
                        <w:right w:val="none" w:sz="0" w:space="0" w:color="auto"/>
                      </w:divBdr>
                      <w:divsChild>
                        <w:div w:id="294148906">
                          <w:marLeft w:val="0"/>
                          <w:marRight w:val="0"/>
                          <w:marTop w:val="0"/>
                          <w:marBottom w:val="0"/>
                          <w:divBdr>
                            <w:top w:val="none" w:sz="0" w:space="0" w:color="auto"/>
                            <w:left w:val="none" w:sz="0" w:space="0" w:color="auto"/>
                            <w:bottom w:val="none" w:sz="0" w:space="0" w:color="auto"/>
                            <w:right w:val="none" w:sz="0" w:space="0" w:color="auto"/>
                          </w:divBdr>
                        </w:div>
                      </w:divsChild>
                    </w:div>
                    <w:div w:id="294156200">
                      <w:marLeft w:val="0"/>
                      <w:marRight w:val="0"/>
                      <w:marTop w:val="0"/>
                      <w:marBottom w:val="0"/>
                      <w:divBdr>
                        <w:top w:val="none" w:sz="0" w:space="0" w:color="auto"/>
                        <w:left w:val="none" w:sz="0" w:space="0" w:color="auto"/>
                        <w:bottom w:val="none" w:sz="0" w:space="0" w:color="auto"/>
                        <w:right w:val="none" w:sz="0" w:space="0" w:color="auto"/>
                      </w:divBdr>
                      <w:divsChild>
                        <w:div w:id="294150876">
                          <w:marLeft w:val="0"/>
                          <w:marRight w:val="0"/>
                          <w:marTop w:val="0"/>
                          <w:marBottom w:val="0"/>
                          <w:divBdr>
                            <w:top w:val="none" w:sz="0" w:space="0" w:color="auto"/>
                            <w:left w:val="none" w:sz="0" w:space="0" w:color="auto"/>
                            <w:bottom w:val="none" w:sz="0" w:space="0" w:color="auto"/>
                            <w:right w:val="none" w:sz="0" w:space="0" w:color="auto"/>
                          </w:divBdr>
                        </w:div>
                      </w:divsChild>
                    </w:div>
                    <w:div w:id="294156222">
                      <w:marLeft w:val="0"/>
                      <w:marRight w:val="0"/>
                      <w:marTop w:val="0"/>
                      <w:marBottom w:val="0"/>
                      <w:divBdr>
                        <w:top w:val="none" w:sz="0" w:space="0" w:color="auto"/>
                        <w:left w:val="none" w:sz="0" w:space="0" w:color="auto"/>
                        <w:bottom w:val="none" w:sz="0" w:space="0" w:color="auto"/>
                        <w:right w:val="none" w:sz="0" w:space="0" w:color="auto"/>
                      </w:divBdr>
                    </w:div>
                    <w:div w:id="294156277">
                      <w:marLeft w:val="0"/>
                      <w:marRight w:val="0"/>
                      <w:marTop w:val="0"/>
                      <w:marBottom w:val="0"/>
                      <w:divBdr>
                        <w:top w:val="none" w:sz="0" w:space="0" w:color="auto"/>
                        <w:left w:val="none" w:sz="0" w:space="0" w:color="auto"/>
                        <w:bottom w:val="none" w:sz="0" w:space="0" w:color="auto"/>
                        <w:right w:val="none" w:sz="0" w:space="0" w:color="auto"/>
                      </w:divBdr>
                      <w:divsChild>
                        <w:div w:id="294141376">
                          <w:marLeft w:val="0"/>
                          <w:marRight w:val="0"/>
                          <w:marTop w:val="0"/>
                          <w:marBottom w:val="0"/>
                          <w:divBdr>
                            <w:top w:val="none" w:sz="0" w:space="0" w:color="auto"/>
                            <w:left w:val="none" w:sz="0" w:space="0" w:color="auto"/>
                            <w:bottom w:val="none" w:sz="0" w:space="0" w:color="auto"/>
                            <w:right w:val="none" w:sz="0" w:space="0" w:color="auto"/>
                          </w:divBdr>
                        </w:div>
                      </w:divsChild>
                    </w:div>
                    <w:div w:id="294156334">
                      <w:marLeft w:val="0"/>
                      <w:marRight w:val="0"/>
                      <w:marTop w:val="0"/>
                      <w:marBottom w:val="0"/>
                      <w:divBdr>
                        <w:top w:val="none" w:sz="0" w:space="0" w:color="auto"/>
                        <w:left w:val="none" w:sz="0" w:space="0" w:color="auto"/>
                        <w:bottom w:val="none" w:sz="0" w:space="0" w:color="auto"/>
                        <w:right w:val="none" w:sz="0" w:space="0" w:color="auto"/>
                      </w:divBdr>
                    </w:div>
                    <w:div w:id="294156386">
                      <w:marLeft w:val="0"/>
                      <w:marRight w:val="0"/>
                      <w:marTop w:val="0"/>
                      <w:marBottom w:val="0"/>
                      <w:divBdr>
                        <w:top w:val="none" w:sz="0" w:space="0" w:color="auto"/>
                        <w:left w:val="none" w:sz="0" w:space="0" w:color="auto"/>
                        <w:bottom w:val="none" w:sz="0" w:space="0" w:color="auto"/>
                        <w:right w:val="none" w:sz="0" w:space="0" w:color="auto"/>
                      </w:divBdr>
                    </w:div>
                    <w:div w:id="294156524">
                      <w:marLeft w:val="0"/>
                      <w:marRight w:val="0"/>
                      <w:marTop w:val="0"/>
                      <w:marBottom w:val="0"/>
                      <w:divBdr>
                        <w:top w:val="none" w:sz="0" w:space="0" w:color="auto"/>
                        <w:left w:val="none" w:sz="0" w:space="0" w:color="auto"/>
                        <w:bottom w:val="none" w:sz="0" w:space="0" w:color="auto"/>
                        <w:right w:val="none" w:sz="0" w:space="0" w:color="auto"/>
                      </w:divBdr>
                    </w:div>
                    <w:div w:id="294156598">
                      <w:marLeft w:val="0"/>
                      <w:marRight w:val="0"/>
                      <w:marTop w:val="0"/>
                      <w:marBottom w:val="0"/>
                      <w:divBdr>
                        <w:top w:val="none" w:sz="0" w:space="0" w:color="auto"/>
                        <w:left w:val="none" w:sz="0" w:space="0" w:color="auto"/>
                        <w:bottom w:val="none" w:sz="0" w:space="0" w:color="auto"/>
                        <w:right w:val="none" w:sz="0" w:space="0" w:color="auto"/>
                      </w:divBdr>
                    </w:div>
                    <w:div w:id="294156625">
                      <w:marLeft w:val="0"/>
                      <w:marRight w:val="0"/>
                      <w:marTop w:val="0"/>
                      <w:marBottom w:val="0"/>
                      <w:divBdr>
                        <w:top w:val="none" w:sz="0" w:space="0" w:color="auto"/>
                        <w:left w:val="none" w:sz="0" w:space="0" w:color="auto"/>
                        <w:bottom w:val="none" w:sz="0" w:space="0" w:color="auto"/>
                        <w:right w:val="none" w:sz="0" w:space="0" w:color="auto"/>
                      </w:divBdr>
                      <w:divsChild>
                        <w:div w:id="294150711">
                          <w:marLeft w:val="0"/>
                          <w:marRight w:val="0"/>
                          <w:marTop w:val="0"/>
                          <w:marBottom w:val="0"/>
                          <w:divBdr>
                            <w:top w:val="none" w:sz="0" w:space="0" w:color="auto"/>
                            <w:left w:val="none" w:sz="0" w:space="0" w:color="auto"/>
                            <w:bottom w:val="none" w:sz="0" w:space="0" w:color="auto"/>
                            <w:right w:val="none" w:sz="0" w:space="0" w:color="auto"/>
                          </w:divBdr>
                        </w:div>
                      </w:divsChild>
                    </w:div>
                    <w:div w:id="294156747">
                      <w:marLeft w:val="0"/>
                      <w:marRight w:val="0"/>
                      <w:marTop w:val="0"/>
                      <w:marBottom w:val="0"/>
                      <w:divBdr>
                        <w:top w:val="none" w:sz="0" w:space="0" w:color="auto"/>
                        <w:left w:val="none" w:sz="0" w:space="0" w:color="auto"/>
                        <w:bottom w:val="none" w:sz="0" w:space="0" w:color="auto"/>
                        <w:right w:val="none" w:sz="0" w:space="0" w:color="auto"/>
                      </w:divBdr>
                      <w:divsChild>
                        <w:div w:id="294146566">
                          <w:marLeft w:val="0"/>
                          <w:marRight w:val="0"/>
                          <w:marTop w:val="0"/>
                          <w:marBottom w:val="0"/>
                          <w:divBdr>
                            <w:top w:val="none" w:sz="0" w:space="0" w:color="auto"/>
                            <w:left w:val="none" w:sz="0" w:space="0" w:color="auto"/>
                            <w:bottom w:val="none" w:sz="0" w:space="0" w:color="auto"/>
                            <w:right w:val="none" w:sz="0" w:space="0" w:color="auto"/>
                          </w:divBdr>
                        </w:div>
                      </w:divsChild>
                    </w:div>
                    <w:div w:id="294156748">
                      <w:marLeft w:val="0"/>
                      <w:marRight w:val="0"/>
                      <w:marTop w:val="0"/>
                      <w:marBottom w:val="0"/>
                      <w:divBdr>
                        <w:top w:val="none" w:sz="0" w:space="0" w:color="auto"/>
                        <w:left w:val="none" w:sz="0" w:space="0" w:color="auto"/>
                        <w:bottom w:val="none" w:sz="0" w:space="0" w:color="auto"/>
                        <w:right w:val="none" w:sz="0" w:space="0" w:color="auto"/>
                      </w:divBdr>
                      <w:divsChild>
                        <w:div w:id="294147042">
                          <w:marLeft w:val="0"/>
                          <w:marRight w:val="0"/>
                          <w:marTop w:val="0"/>
                          <w:marBottom w:val="0"/>
                          <w:divBdr>
                            <w:top w:val="none" w:sz="0" w:space="0" w:color="auto"/>
                            <w:left w:val="none" w:sz="0" w:space="0" w:color="auto"/>
                            <w:bottom w:val="none" w:sz="0" w:space="0" w:color="auto"/>
                            <w:right w:val="none" w:sz="0" w:space="0" w:color="auto"/>
                          </w:divBdr>
                        </w:div>
                      </w:divsChild>
                    </w:div>
                    <w:div w:id="294156753">
                      <w:marLeft w:val="0"/>
                      <w:marRight w:val="0"/>
                      <w:marTop w:val="0"/>
                      <w:marBottom w:val="0"/>
                      <w:divBdr>
                        <w:top w:val="none" w:sz="0" w:space="0" w:color="auto"/>
                        <w:left w:val="none" w:sz="0" w:space="0" w:color="auto"/>
                        <w:bottom w:val="none" w:sz="0" w:space="0" w:color="auto"/>
                        <w:right w:val="none" w:sz="0" w:space="0" w:color="auto"/>
                      </w:divBdr>
                    </w:div>
                    <w:div w:id="294156770">
                      <w:marLeft w:val="0"/>
                      <w:marRight w:val="0"/>
                      <w:marTop w:val="0"/>
                      <w:marBottom w:val="0"/>
                      <w:divBdr>
                        <w:top w:val="none" w:sz="0" w:space="0" w:color="auto"/>
                        <w:left w:val="none" w:sz="0" w:space="0" w:color="auto"/>
                        <w:bottom w:val="none" w:sz="0" w:space="0" w:color="auto"/>
                        <w:right w:val="none" w:sz="0" w:space="0" w:color="auto"/>
                      </w:divBdr>
                      <w:divsChild>
                        <w:div w:id="294144573">
                          <w:marLeft w:val="0"/>
                          <w:marRight w:val="0"/>
                          <w:marTop w:val="0"/>
                          <w:marBottom w:val="0"/>
                          <w:divBdr>
                            <w:top w:val="none" w:sz="0" w:space="0" w:color="auto"/>
                            <w:left w:val="none" w:sz="0" w:space="0" w:color="auto"/>
                            <w:bottom w:val="none" w:sz="0" w:space="0" w:color="auto"/>
                            <w:right w:val="none" w:sz="0" w:space="0" w:color="auto"/>
                          </w:divBdr>
                        </w:div>
                      </w:divsChild>
                    </w:div>
                    <w:div w:id="294156829">
                      <w:marLeft w:val="0"/>
                      <w:marRight w:val="0"/>
                      <w:marTop w:val="0"/>
                      <w:marBottom w:val="0"/>
                      <w:divBdr>
                        <w:top w:val="none" w:sz="0" w:space="0" w:color="auto"/>
                        <w:left w:val="none" w:sz="0" w:space="0" w:color="auto"/>
                        <w:bottom w:val="none" w:sz="0" w:space="0" w:color="auto"/>
                        <w:right w:val="none" w:sz="0" w:space="0" w:color="auto"/>
                      </w:divBdr>
                    </w:div>
                    <w:div w:id="294156838">
                      <w:marLeft w:val="0"/>
                      <w:marRight w:val="0"/>
                      <w:marTop w:val="0"/>
                      <w:marBottom w:val="0"/>
                      <w:divBdr>
                        <w:top w:val="none" w:sz="0" w:space="0" w:color="auto"/>
                        <w:left w:val="none" w:sz="0" w:space="0" w:color="auto"/>
                        <w:bottom w:val="none" w:sz="0" w:space="0" w:color="auto"/>
                        <w:right w:val="none" w:sz="0" w:space="0" w:color="auto"/>
                      </w:divBdr>
                      <w:divsChild>
                        <w:div w:id="294154682">
                          <w:marLeft w:val="0"/>
                          <w:marRight w:val="0"/>
                          <w:marTop w:val="0"/>
                          <w:marBottom w:val="0"/>
                          <w:divBdr>
                            <w:top w:val="none" w:sz="0" w:space="0" w:color="auto"/>
                            <w:left w:val="none" w:sz="0" w:space="0" w:color="auto"/>
                            <w:bottom w:val="none" w:sz="0" w:space="0" w:color="auto"/>
                            <w:right w:val="none" w:sz="0" w:space="0" w:color="auto"/>
                          </w:divBdr>
                        </w:div>
                      </w:divsChild>
                    </w:div>
                    <w:div w:id="294156891">
                      <w:marLeft w:val="0"/>
                      <w:marRight w:val="0"/>
                      <w:marTop w:val="0"/>
                      <w:marBottom w:val="0"/>
                      <w:divBdr>
                        <w:top w:val="none" w:sz="0" w:space="0" w:color="auto"/>
                        <w:left w:val="none" w:sz="0" w:space="0" w:color="auto"/>
                        <w:bottom w:val="none" w:sz="0" w:space="0" w:color="auto"/>
                        <w:right w:val="none" w:sz="0" w:space="0" w:color="auto"/>
                      </w:divBdr>
                      <w:divsChild>
                        <w:div w:id="294154862">
                          <w:marLeft w:val="0"/>
                          <w:marRight w:val="0"/>
                          <w:marTop w:val="0"/>
                          <w:marBottom w:val="0"/>
                          <w:divBdr>
                            <w:top w:val="none" w:sz="0" w:space="0" w:color="auto"/>
                            <w:left w:val="none" w:sz="0" w:space="0" w:color="auto"/>
                            <w:bottom w:val="none" w:sz="0" w:space="0" w:color="auto"/>
                            <w:right w:val="none" w:sz="0" w:space="0" w:color="auto"/>
                          </w:divBdr>
                        </w:div>
                      </w:divsChild>
                    </w:div>
                    <w:div w:id="294156919">
                      <w:marLeft w:val="0"/>
                      <w:marRight w:val="0"/>
                      <w:marTop w:val="0"/>
                      <w:marBottom w:val="0"/>
                      <w:divBdr>
                        <w:top w:val="none" w:sz="0" w:space="0" w:color="auto"/>
                        <w:left w:val="none" w:sz="0" w:space="0" w:color="auto"/>
                        <w:bottom w:val="none" w:sz="0" w:space="0" w:color="auto"/>
                        <w:right w:val="none" w:sz="0" w:space="0" w:color="auto"/>
                      </w:divBdr>
                      <w:divsChild>
                        <w:div w:id="294156706">
                          <w:marLeft w:val="0"/>
                          <w:marRight w:val="0"/>
                          <w:marTop w:val="0"/>
                          <w:marBottom w:val="0"/>
                          <w:divBdr>
                            <w:top w:val="none" w:sz="0" w:space="0" w:color="auto"/>
                            <w:left w:val="none" w:sz="0" w:space="0" w:color="auto"/>
                            <w:bottom w:val="none" w:sz="0" w:space="0" w:color="auto"/>
                            <w:right w:val="none" w:sz="0" w:space="0" w:color="auto"/>
                          </w:divBdr>
                        </w:div>
                      </w:divsChild>
                    </w:div>
                    <w:div w:id="294156972">
                      <w:marLeft w:val="0"/>
                      <w:marRight w:val="0"/>
                      <w:marTop w:val="0"/>
                      <w:marBottom w:val="0"/>
                      <w:divBdr>
                        <w:top w:val="none" w:sz="0" w:space="0" w:color="auto"/>
                        <w:left w:val="none" w:sz="0" w:space="0" w:color="auto"/>
                        <w:bottom w:val="none" w:sz="0" w:space="0" w:color="auto"/>
                        <w:right w:val="none" w:sz="0" w:space="0" w:color="auto"/>
                      </w:divBdr>
                      <w:divsChild>
                        <w:div w:id="294149688">
                          <w:marLeft w:val="0"/>
                          <w:marRight w:val="0"/>
                          <w:marTop w:val="0"/>
                          <w:marBottom w:val="0"/>
                          <w:divBdr>
                            <w:top w:val="none" w:sz="0" w:space="0" w:color="auto"/>
                            <w:left w:val="none" w:sz="0" w:space="0" w:color="auto"/>
                            <w:bottom w:val="none" w:sz="0" w:space="0" w:color="auto"/>
                            <w:right w:val="none" w:sz="0" w:space="0" w:color="auto"/>
                          </w:divBdr>
                        </w:div>
                      </w:divsChild>
                    </w:div>
                    <w:div w:id="294156979">
                      <w:marLeft w:val="0"/>
                      <w:marRight w:val="0"/>
                      <w:marTop w:val="0"/>
                      <w:marBottom w:val="0"/>
                      <w:divBdr>
                        <w:top w:val="none" w:sz="0" w:space="0" w:color="auto"/>
                        <w:left w:val="none" w:sz="0" w:space="0" w:color="auto"/>
                        <w:bottom w:val="none" w:sz="0" w:space="0" w:color="auto"/>
                        <w:right w:val="none" w:sz="0" w:space="0" w:color="auto"/>
                      </w:divBdr>
                      <w:divsChild>
                        <w:div w:id="294143198">
                          <w:marLeft w:val="0"/>
                          <w:marRight w:val="0"/>
                          <w:marTop w:val="0"/>
                          <w:marBottom w:val="0"/>
                          <w:divBdr>
                            <w:top w:val="none" w:sz="0" w:space="0" w:color="auto"/>
                            <w:left w:val="none" w:sz="0" w:space="0" w:color="auto"/>
                            <w:bottom w:val="none" w:sz="0" w:space="0" w:color="auto"/>
                            <w:right w:val="none" w:sz="0" w:space="0" w:color="auto"/>
                          </w:divBdr>
                        </w:div>
                      </w:divsChild>
                    </w:div>
                    <w:div w:id="294157000">
                      <w:marLeft w:val="0"/>
                      <w:marRight w:val="0"/>
                      <w:marTop w:val="0"/>
                      <w:marBottom w:val="0"/>
                      <w:divBdr>
                        <w:top w:val="none" w:sz="0" w:space="0" w:color="auto"/>
                        <w:left w:val="none" w:sz="0" w:space="0" w:color="auto"/>
                        <w:bottom w:val="none" w:sz="0" w:space="0" w:color="auto"/>
                        <w:right w:val="none" w:sz="0" w:space="0" w:color="auto"/>
                      </w:divBdr>
                      <w:divsChild>
                        <w:div w:id="294156683">
                          <w:marLeft w:val="0"/>
                          <w:marRight w:val="0"/>
                          <w:marTop w:val="0"/>
                          <w:marBottom w:val="0"/>
                          <w:divBdr>
                            <w:top w:val="none" w:sz="0" w:space="0" w:color="auto"/>
                            <w:left w:val="none" w:sz="0" w:space="0" w:color="auto"/>
                            <w:bottom w:val="none" w:sz="0" w:space="0" w:color="auto"/>
                            <w:right w:val="none" w:sz="0" w:space="0" w:color="auto"/>
                          </w:divBdr>
                        </w:div>
                      </w:divsChild>
                    </w:div>
                    <w:div w:id="294157045">
                      <w:marLeft w:val="0"/>
                      <w:marRight w:val="0"/>
                      <w:marTop w:val="0"/>
                      <w:marBottom w:val="0"/>
                      <w:divBdr>
                        <w:top w:val="none" w:sz="0" w:space="0" w:color="auto"/>
                        <w:left w:val="none" w:sz="0" w:space="0" w:color="auto"/>
                        <w:bottom w:val="none" w:sz="0" w:space="0" w:color="auto"/>
                        <w:right w:val="none" w:sz="0" w:space="0" w:color="auto"/>
                      </w:divBdr>
                    </w:div>
                    <w:div w:id="294157047">
                      <w:marLeft w:val="0"/>
                      <w:marRight w:val="0"/>
                      <w:marTop w:val="0"/>
                      <w:marBottom w:val="0"/>
                      <w:divBdr>
                        <w:top w:val="none" w:sz="0" w:space="0" w:color="auto"/>
                        <w:left w:val="none" w:sz="0" w:space="0" w:color="auto"/>
                        <w:bottom w:val="none" w:sz="0" w:space="0" w:color="auto"/>
                        <w:right w:val="none" w:sz="0" w:space="0" w:color="auto"/>
                      </w:divBdr>
                      <w:divsChild>
                        <w:div w:id="294144669">
                          <w:marLeft w:val="0"/>
                          <w:marRight w:val="0"/>
                          <w:marTop w:val="0"/>
                          <w:marBottom w:val="0"/>
                          <w:divBdr>
                            <w:top w:val="none" w:sz="0" w:space="0" w:color="auto"/>
                            <w:left w:val="none" w:sz="0" w:space="0" w:color="auto"/>
                            <w:bottom w:val="none" w:sz="0" w:space="0" w:color="auto"/>
                            <w:right w:val="none" w:sz="0" w:space="0" w:color="auto"/>
                          </w:divBdr>
                        </w:div>
                      </w:divsChild>
                    </w:div>
                    <w:div w:id="294157066">
                      <w:marLeft w:val="0"/>
                      <w:marRight w:val="0"/>
                      <w:marTop w:val="0"/>
                      <w:marBottom w:val="0"/>
                      <w:divBdr>
                        <w:top w:val="none" w:sz="0" w:space="0" w:color="auto"/>
                        <w:left w:val="none" w:sz="0" w:space="0" w:color="auto"/>
                        <w:bottom w:val="none" w:sz="0" w:space="0" w:color="auto"/>
                        <w:right w:val="none" w:sz="0" w:space="0" w:color="auto"/>
                      </w:divBdr>
                    </w:div>
                    <w:div w:id="294157067">
                      <w:marLeft w:val="0"/>
                      <w:marRight w:val="0"/>
                      <w:marTop w:val="0"/>
                      <w:marBottom w:val="0"/>
                      <w:divBdr>
                        <w:top w:val="none" w:sz="0" w:space="0" w:color="auto"/>
                        <w:left w:val="none" w:sz="0" w:space="0" w:color="auto"/>
                        <w:bottom w:val="none" w:sz="0" w:space="0" w:color="auto"/>
                        <w:right w:val="none" w:sz="0" w:space="0" w:color="auto"/>
                      </w:divBdr>
                    </w:div>
                    <w:div w:id="294157135">
                      <w:marLeft w:val="0"/>
                      <w:marRight w:val="0"/>
                      <w:marTop w:val="0"/>
                      <w:marBottom w:val="0"/>
                      <w:divBdr>
                        <w:top w:val="none" w:sz="0" w:space="0" w:color="auto"/>
                        <w:left w:val="none" w:sz="0" w:space="0" w:color="auto"/>
                        <w:bottom w:val="none" w:sz="0" w:space="0" w:color="auto"/>
                        <w:right w:val="none" w:sz="0" w:space="0" w:color="auto"/>
                      </w:divBdr>
                    </w:div>
                    <w:div w:id="294157177">
                      <w:marLeft w:val="0"/>
                      <w:marRight w:val="0"/>
                      <w:marTop w:val="0"/>
                      <w:marBottom w:val="0"/>
                      <w:divBdr>
                        <w:top w:val="none" w:sz="0" w:space="0" w:color="auto"/>
                        <w:left w:val="none" w:sz="0" w:space="0" w:color="auto"/>
                        <w:bottom w:val="none" w:sz="0" w:space="0" w:color="auto"/>
                        <w:right w:val="none" w:sz="0" w:space="0" w:color="auto"/>
                      </w:divBdr>
                      <w:divsChild>
                        <w:div w:id="294146848">
                          <w:marLeft w:val="0"/>
                          <w:marRight w:val="0"/>
                          <w:marTop w:val="0"/>
                          <w:marBottom w:val="0"/>
                          <w:divBdr>
                            <w:top w:val="none" w:sz="0" w:space="0" w:color="auto"/>
                            <w:left w:val="none" w:sz="0" w:space="0" w:color="auto"/>
                            <w:bottom w:val="none" w:sz="0" w:space="0" w:color="auto"/>
                            <w:right w:val="none" w:sz="0" w:space="0" w:color="auto"/>
                          </w:divBdr>
                        </w:div>
                      </w:divsChild>
                    </w:div>
                    <w:div w:id="294157181">
                      <w:marLeft w:val="0"/>
                      <w:marRight w:val="0"/>
                      <w:marTop w:val="0"/>
                      <w:marBottom w:val="0"/>
                      <w:divBdr>
                        <w:top w:val="none" w:sz="0" w:space="0" w:color="auto"/>
                        <w:left w:val="none" w:sz="0" w:space="0" w:color="auto"/>
                        <w:bottom w:val="none" w:sz="0" w:space="0" w:color="auto"/>
                        <w:right w:val="none" w:sz="0" w:space="0" w:color="auto"/>
                      </w:divBdr>
                      <w:divsChild>
                        <w:div w:id="294146911">
                          <w:marLeft w:val="0"/>
                          <w:marRight w:val="0"/>
                          <w:marTop w:val="0"/>
                          <w:marBottom w:val="0"/>
                          <w:divBdr>
                            <w:top w:val="none" w:sz="0" w:space="0" w:color="auto"/>
                            <w:left w:val="none" w:sz="0" w:space="0" w:color="auto"/>
                            <w:bottom w:val="none" w:sz="0" w:space="0" w:color="auto"/>
                            <w:right w:val="none" w:sz="0" w:space="0" w:color="auto"/>
                          </w:divBdr>
                        </w:div>
                      </w:divsChild>
                    </w:div>
                    <w:div w:id="294157334">
                      <w:marLeft w:val="0"/>
                      <w:marRight w:val="0"/>
                      <w:marTop w:val="0"/>
                      <w:marBottom w:val="0"/>
                      <w:divBdr>
                        <w:top w:val="none" w:sz="0" w:space="0" w:color="auto"/>
                        <w:left w:val="none" w:sz="0" w:space="0" w:color="auto"/>
                        <w:bottom w:val="none" w:sz="0" w:space="0" w:color="auto"/>
                        <w:right w:val="none" w:sz="0" w:space="0" w:color="auto"/>
                      </w:divBdr>
                    </w:div>
                    <w:div w:id="294157370">
                      <w:marLeft w:val="0"/>
                      <w:marRight w:val="0"/>
                      <w:marTop w:val="0"/>
                      <w:marBottom w:val="0"/>
                      <w:divBdr>
                        <w:top w:val="none" w:sz="0" w:space="0" w:color="auto"/>
                        <w:left w:val="none" w:sz="0" w:space="0" w:color="auto"/>
                        <w:bottom w:val="none" w:sz="0" w:space="0" w:color="auto"/>
                        <w:right w:val="none" w:sz="0" w:space="0" w:color="auto"/>
                      </w:divBdr>
                      <w:divsChild>
                        <w:div w:id="294138828">
                          <w:marLeft w:val="0"/>
                          <w:marRight w:val="0"/>
                          <w:marTop w:val="0"/>
                          <w:marBottom w:val="0"/>
                          <w:divBdr>
                            <w:top w:val="none" w:sz="0" w:space="0" w:color="auto"/>
                            <w:left w:val="none" w:sz="0" w:space="0" w:color="auto"/>
                            <w:bottom w:val="none" w:sz="0" w:space="0" w:color="auto"/>
                            <w:right w:val="none" w:sz="0" w:space="0" w:color="auto"/>
                          </w:divBdr>
                        </w:div>
                      </w:divsChild>
                    </w:div>
                    <w:div w:id="294157389">
                      <w:marLeft w:val="0"/>
                      <w:marRight w:val="0"/>
                      <w:marTop w:val="0"/>
                      <w:marBottom w:val="0"/>
                      <w:divBdr>
                        <w:top w:val="none" w:sz="0" w:space="0" w:color="auto"/>
                        <w:left w:val="none" w:sz="0" w:space="0" w:color="auto"/>
                        <w:bottom w:val="none" w:sz="0" w:space="0" w:color="auto"/>
                        <w:right w:val="none" w:sz="0" w:space="0" w:color="auto"/>
                      </w:divBdr>
                    </w:div>
                    <w:div w:id="294157390">
                      <w:marLeft w:val="0"/>
                      <w:marRight w:val="0"/>
                      <w:marTop w:val="0"/>
                      <w:marBottom w:val="0"/>
                      <w:divBdr>
                        <w:top w:val="none" w:sz="0" w:space="0" w:color="auto"/>
                        <w:left w:val="none" w:sz="0" w:space="0" w:color="auto"/>
                        <w:bottom w:val="none" w:sz="0" w:space="0" w:color="auto"/>
                        <w:right w:val="none" w:sz="0" w:space="0" w:color="auto"/>
                      </w:divBdr>
                    </w:div>
                    <w:div w:id="294157427">
                      <w:marLeft w:val="0"/>
                      <w:marRight w:val="0"/>
                      <w:marTop w:val="0"/>
                      <w:marBottom w:val="0"/>
                      <w:divBdr>
                        <w:top w:val="none" w:sz="0" w:space="0" w:color="auto"/>
                        <w:left w:val="none" w:sz="0" w:space="0" w:color="auto"/>
                        <w:bottom w:val="none" w:sz="0" w:space="0" w:color="auto"/>
                        <w:right w:val="none" w:sz="0" w:space="0" w:color="auto"/>
                      </w:divBdr>
                    </w:div>
                    <w:div w:id="294157432">
                      <w:marLeft w:val="0"/>
                      <w:marRight w:val="0"/>
                      <w:marTop w:val="0"/>
                      <w:marBottom w:val="0"/>
                      <w:divBdr>
                        <w:top w:val="none" w:sz="0" w:space="0" w:color="auto"/>
                        <w:left w:val="none" w:sz="0" w:space="0" w:color="auto"/>
                        <w:bottom w:val="none" w:sz="0" w:space="0" w:color="auto"/>
                        <w:right w:val="none" w:sz="0" w:space="0" w:color="auto"/>
                      </w:divBdr>
                      <w:divsChild>
                        <w:div w:id="294156703">
                          <w:marLeft w:val="0"/>
                          <w:marRight w:val="0"/>
                          <w:marTop w:val="0"/>
                          <w:marBottom w:val="0"/>
                          <w:divBdr>
                            <w:top w:val="none" w:sz="0" w:space="0" w:color="auto"/>
                            <w:left w:val="none" w:sz="0" w:space="0" w:color="auto"/>
                            <w:bottom w:val="none" w:sz="0" w:space="0" w:color="auto"/>
                            <w:right w:val="none" w:sz="0" w:space="0" w:color="auto"/>
                          </w:divBdr>
                        </w:div>
                      </w:divsChild>
                    </w:div>
                    <w:div w:id="29415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51727">
          <w:marLeft w:val="0"/>
          <w:marRight w:val="0"/>
          <w:marTop w:val="0"/>
          <w:marBottom w:val="0"/>
          <w:divBdr>
            <w:top w:val="none" w:sz="0" w:space="0" w:color="auto"/>
            <w:left w:val="none" w:sz="0" w:space="0" w:color="auto"/>
            <w:bottom w:val="none" w:sz="0" w:space="0" w:color="auto"/>
            <w:right w:val="none" w:sz="0" w:space="0" w:color="auto"/>
          </w:divBdr>
          <w:divsChild>
            <w:div w:id="294145884">
              <w:marLeft w:val="0"/>
              <w:marRight w:val="0"/>
              <w:marTop w:val="0"/>
              <w:marBottom w:val="0"/>
              <w:divBdr>
                <w:top w:val="none" w:sz="0" w:space="0" w:color="auto"/>
                <w:left w:val="none" w:sz="0" w:space="0" w:color="auto"/>
                <w:bottom w:val="none" w:sz="0" w:space="0" w:color="auto"/>
                <w:right w:val="none" w:sz="0" w:space="0" w:color="auto"/>
              </w:divBdr>
              <w:divsChild>
                <w:div w:id="294138031">
                  <w:marLeft w:val="0"/>
                  <w:marRight w:val="0"/>
                  <w:marTop w:val="0"/>
                  <w:marBottom w:val="0"/>
                  <w:divBdr>
                    <w:top w:val="none" w:sz="0" w:space="0" w:color="auto"/>
                    <w:left w:val="none" w:sz="0" w:space="0" w:color="auto"/>
                    <w:bottom w:val="none" w:sz="0" w:space="0" w:color="auto"/>
                    <w:right w:val="none" w:sz="0" w:space="0" w:color="auto"/>
                  </w:divBdr>
                </w:div>
                <w:div w:id="294138209">
                  <w:marLeft w:val="0"/>
                  <w:marRight w:val="0"/>
                  <w:marTop w:val="0"/>
                  <w:marBottom w:val="0"/>
                  <w:divBdr>
                    <w:top w:val="none" w:sz="0" w:space="0" w:color="auto"/>
                    <w:left w:val="none" w:sz="0" w:space="0" w:color="auto"/>
                    <w:bottom w:val="none" w:sz="0" w:space="0" w:color="auto"/>
                    <w:right w:val="none" w:sz="0" w:space="0" w:color="auto"/>
                  </w:divBdr>
                </w:div>
                <w:div w:id="294138289">
                  <w:marLeft w:val="0"/>
                  <w:marRight w:val="0"/>
                  <w:marTop w:val="0"/>
                  <w:marBottom w:val="0"/>
                  <w:divBdr>
                    <w:top w:val="none" w:sz="0" w:space="0" w:color="auto"/>
                    <w:left w:val="none" w:sz="0" w:space="0" w:color="auto"/>
                    <w:bottom w:val="none" w:sz="0" w:space="0" w:color="auto"/>
                    <w:right w:val="none" w:sz="0" w:space="0" w:color="auto"/>
                  </w:divBdr>
                </w:div>
                <w:div w:id="294138324">
                  <w:marLeft w:val="0"/>
                  <w:marRight w:val="0"/>
                  <w:marTop w:val="0"/>
                  <w:marBottom w:val="0"/>
                  <w:divBdr>
                    <w:top w:val="none" w:sz="0" w:space="0" w:color="auto"/>
                    <w:left w:val="none" w:sz="0" w:space="0" w:color="auto"/>
                    <w:bottom w:val="none" w:sz="0" w:space="0" w:color="auto"/>
                    <w:right w:val="none" w:sz="0" w:space="0" w:color="auto"/>
                  </w:divBdr>
                </w:div>
                <w:div w:id="294138747">
                  <w:marLeft w:val="0"/>
                  <w:marRight w:val="0"/>
                  <w:marTop w:val="0"/>
                  <w:marBottom w:val="0"/>
                  <w:divBdr>
                    <w:top w:val="none" w:sz="0" w:space="0" w:color="auto"/>
                    <w:left w:val="none" w:sz="0" w:space="0" w:color="auto"/>
                    <w:bottom w:val="none" w:sz="0" w:space="0" w:color="auto"/>
                    <w:right w:val="none" w:sz="0" w:space="0" w:color="auto"/>
                  </w:divBdr>
                </w:div>
                <w:div w:id="294138951">
                  <w:marLeft w:val="0"/>
                  <w:marRight w:val="0"/>
                  <w:marTop w:val="0"/>
                  <w:marBottom w:val="0"/>
                  <w:divBdr>
                    <w:top w:val="none" w:sz="0" w:space="0" w:color="auto"/>
                    <w:left w:val="none" w:sz="0" w:space="0" w:color="auto"/>
                    <w:bottom w:val="none" w:sz="0" w:space="0" w:color="auto"/>
                    <w:right w:val="none" w:sz="0" w:space="0" w:color="auto"/>
                  </w:divBdr>
                </w:div>
                <w:div w:id="294138967">
                  <w:marLeft w:val="0"/>
                  <w:marRight w:val="0"/>
                  <w:marTop w:val="0"/>
                  <w:marBottom w:val="0"/>
                  <w:divBdr>
                    <w:top w:val="none" w:sz="0" w:space="0" w:color="auto"/>
                    <w:left w:val="none" w:sz="0" w:space="0" w:color="auto"/>
                    <w:bottom w:val="none" w:sz="0" w:space="0" w:color="auto"/>
                    <w:right w:val="none" w:sz="0" w:space="0" w:color="auto"/>
                  </w:divBdr>
                </w:div>
                <w:div w:id="294139095">
                  <w:marLeft w:val="0"/>
                  <w:marRight w:val="0"/>
                  <w:marTop w:val="0"/>
                  <w:marBottom w:val="0"/>
                  <w:divBdr>
                    <w:top w:val="none" w:sz="0" w:space="0" w:color="auto"/>
                    <w:left w:val="none" w:sz="0" w:space="0" w:color="auto"/>
                    <w:bottom w:val="none" w:sz="0" w:space="0" w:color="auto"/>
                    <w:right w:val="none" w:sz="0" w:space="0" w:color="auto"/>
                  </w:divBdr>
                </w:div>
                <w:div w:id="294139568">
                  <w:marLeft w:val="0"/>
                  <w:marRight w:val="0"/>
                  <w:marTop w:val="0"/>
                  <w:marBottom w:val="0"/>
                  <w:divBdr>
                    <w:top w:val="none" w:sz="0" w:space="0" w:color="auto"/>
                    <w:left w:val="none" w:sz="0" w:space="0" w:color="auto"/>
                    <w:bottom w:val="none" w:sz="0" w:space="0" w:color="auto"/>
                    <w:right w:val="none" w:sz="0" w:space="0" w:color="auto"/>
                  </w:divBdr>
                </w:div>
                <w:div w:id="294140397">
                  <w:marLeft w:val="0"/>
                  <w:marRight w:val="0"/>
                  <w:marTop w:val="0"/>
                  <w:marBottom w:val="0"/>
                  <w:divBdr>
                    <w:top w:val="none" w:sz="0" w:space="0" w:color="auto"/>
                    <w:left w:val="none" w:sz="0" w:space="0" w:color="auto"/>
                    <w:bottom w:val="none" w:sz="0" w:space="0" w:color="auto"/>
                    <w:right w:val="none" w:sz="0" w:space="0" w:color="auto"/>
                  </w:divBdr>
                </w:div>
                <w:div w:id="294140416">
                  <w:marLeft w:val="0"/>
                  <w:marRight w:val="0"/>
                  <w:marTop w:val="0"/>
                  <w:marBottom w:val="0"/>
                  <w:divBdr>
                    <w:top w:val="none" w:sz="0" w:space="0" w:color="auto"/>
                    <w:left w:val="none" w:sz="0" w:space="0" w:color="auto"/>
                    <w:bottom w:val="none" w:sz="0" w:space="0" w:color="auto"/>
                    <w:right w:val="none" w:sz="0" w:space="0" w:color="auto"/>
                  </w:divBdr>
                </w:div>
                <w:div w:id="294140569">
                  <w:marLeft w:val="0"/>
                  <w:marRight w:val="0"/>
                  <w:marTop w:val="0"/>
                  <w:marBottom w:val="0"/>
                  <w:divBdr>
                    <w:top w:val="none" w:sz="0" w:space="0" w:color="auto"/>
                    <w:left w:val="none" w:sz="0" w:space="0" w:color="auto"/>
                    <w:bottom w:val="none" w:sz="0" w:space="0" w:color="auto"/>
                    <w:right w:val="none" w:sz="0" w:space="0" w:color="auto"/>
                  </w:divBdr>
                </w:div>
                <w:div w:id="294140713">
                  <w:marLeft w:val="0"/>
                  <w:marRight w:val="0"/>
                  <w:marTop w:val="0"/>
                  <w:marBottom w:val="0"/>
                  <w:divBdr>
                    <w:top w:val="none" w:sz="0" w:space="0" w:color="auto"/>
                    <w:left w:val="none" w:sz="0" w:space="0" w:color="auto"/>
                    <w:bottom w:val="none" w:sz="0" w:space="0" w:color="auto"/>
                    <w:right w:val="none" w:sz="0" w:space="0" w:color="auto"/>
                  </w:divBdr>
                </w:div>
                <w:div w:id="294140728">
                  <w:marLeft w:val="0"/>
                  <w:marRight w:val="0"/>
                  <w:marTop w:val="0"/>
                  <w:marBottom w:val="0"/>
                  <w:divBdr>
                    <w:top w:val="none" w:sz="0" w:space="0" w:color="auto"/>
                    <w:left w:val="none" w:sz="0" w:space="0" w:color="auto"/>
                    <w:bottom w:val="none" w:sz="0" w:space="0" w:color="auto"/>
                    <w:right w:val="none" w:sz="0" w:space="0" w:color="auto"/>
                  </w:divBdr>
                </w:div>
                <w:div w:id="294140902">
                  <w:marLeft w:val="0"/>
                  <w:marRight w:val="0"/>
                  <w:marTop w:val="0"/>
                  <w:marBottom w:val="0"/>
                  <w:divBdr>
                    <w:top w:val="none" w:sz="0" w:space="0" w:color="auto"/>
                    <w:left w:val="none" w:sz="0" w:space="0" w:color="auto"/>
                    <w:bottom w:val="none" w:sz="0" w:space="0" w:color="auto"/>
                    <w:right w:val="none" w:sz="0" w:space="0" w:color="auto"/>
                  </w:divBdr>
                </w:div>
                <w:div w:id="294140960">
                  <w:marLeft w:val="0"/>
                  <w:marRight w:val="0"/>
                  <w:marTop w:val="0"/>
                  <w:marBottom w:val="0"/>
                  <w:divBdr>
                    <w:top w:val="none" w:sz="0" w:space="0" w:color="auto"/>
                    <w:left w:val="none" w:sz="0" w:space="0" w:color="auto"/>
                    <w:bottom w:val="none" w:sz="0" w:space="0" w:color="auto"/>
                    <w:right w:val="none" w:sz="0" w:space="0" w:color="auto"/>
                  </w:divBdr>
                </w:div>
                <w:div w:id="294141349">
                  <w:marLeft w:val="0"/>
                  <w:marRight w:val="0"/>
                  <w:marTop w:val="0"/>
                  <w:marBottom w:val="0"/>
                  <w:divBdr>
                    <w:top w:val="none" w:sz="0" w:space="0" w:color="auto"/>
                    <w:left w:val="none" w:sz="0" w:space="0" w:color="auto"/>
                    <w:bottom w:val="none" w:sz="0" w:space="0" w:color="auto"/>
                    <w:right w:val="none" w:sz="0" w:space="0" w:color="auto"/>
                  </w:divBdr>
                </w:div>
                <w:div w:id="294141569">
                  <w:marLeft w:val="0"/>
                  <w:marRight w:val="0"/>
                  <w:marTop w:val="0"/>
                  <w:marBottom w:val="0"/>
                  <w:divBdr>
                    <w:top w:val="none" w:sz="0" w:space="0" w:color="auto"/>
                    <w:left w:val="none" w:sz="0" w:space="0" w:color="auto"/>
                    <w:bottom w:val="none" w:sz="0" w:space="0" w:color="auto"/>
                    <w:right w:val="none" w:sz="0" w:space="0" w:color="auto"/>
                  </w:divBdr>
                </w:div>
                <w:div w:id="294141654">
                  <w:marLeft w:val="0"/>
                  <w:marRight w:val="0"/>
                  <w:marTop w:val="0"/>
                  <w:marBottom w:val="0"/>
                  <w:divBdr>
                    <w:top w:val="none" w:sz="0" w:space="0" w:color="auto"/>
                    <w:left w:val="none" w:sz="0" w:space="0" w:color="auto"/>
                    <w:bottom w:val="none" w:sz="0" w:space="0" w:color="auto"/>
                    <w:right w:val="none" w:sz="0" w:space="0" w:color="auto"/>
                  </w:divBdr>
                </w:div>
                <w:div w:id="294142067">
                  <w:marLeft w:val="0"/>
                  <w:marRight w:val="0"/>
                  <w:marTop w:val="0"/>
                  <w:marBottom w:val="0"/>
                  <w:divBdr>
                    <w:top w:val="none" w:sz="0" w:space="0" w:color="auto"/>
                    <w:left w:val="none" w:sz="0" w:space="0" w:color="auto"/>
                    <w:bottom w:val="none" w:sz="0" w:space="0" w:color="auto"/>
                    <w:right w:val="none" w:sz="0" w:space="0" w:color="auto"/>
                  </w:divBdr>
                </w:div>
                <w:div w:id="294142160">
                  <w:marLeft w:val="0"/>
                  <w:marRight w:val="0"/>
                  <w:marTop w:val="0"/>
                  <w:marBottom w:val="0"/>
                  <w:divBdr>
                    <w:top w:val="none" w:sz="0" w:space="0" w:color="auto"/>
                    <w:left w:val="none" w:sz="0" w:space="0" w:color="auto"/>
                    <w:bottom w:val="none" w:sz="0" w:space="0" w:color="auto"/>
                    <w:right w:val="none" w:sz="0" w:space="0" w:color="auto"/>
                  </w:divBdr>
                </w:div>
                <w:div w:id="294142222">
                  <w:marLeft w:val="0"/>
                  <w:marRight w:val="0"/>
                  <w:marTop w:val="0"/>
                  <w:marBottom w:val="0"/>
                  <w:divBdr>
                    <w:top w:val="none" w:sz="0" w:space="0" w:color="auto"/>
                    <w:left w:val="none" w:sz="0" w:space="0" w:color="auto"/>
                    <w:bottom w:val="none" w:sz="0" w:space="0" w:color="auto"/>
                    <w:right w:val="none" w:sz="0" w:space="0" w:color="auto"/>
                  </w:divBdr>
                </w:div>
                <w:div w:id="294142241">
                  <w:marLeft w:val="0"/>
                  <w:marRight w:val="0"/>
                  <w:marTop w:val="0"/>
                  <w:marBottom w:val="0"/>
                  <w:divBdr>
                    <w:top w:val="none" w:sz="0" w:space="0" w:color="auto"/>
                    <w:left w:val="none" w:sz="0" w:space="0" w:color="auto"/>
                    <w:bottom w:val="none" w:sz="0" w:space="0" w:color="auto"/>
                    <w:right w:val="none" w:sz="0" w:space="0" w:color="auto"/>
                  </w:divBdr>
                </w:div>
                <w:div w:id="294142380">
                  <w:marLeft w:val="0"/>
                  <w:marRight w:val="0"/>
                  <w:marTop w:val="0"/>
                  <w:marBottom w:val="0"/>
                  <w:divBdr>
                    <w:top w:val="none" w:sz="0" w:space="0" w:color="auto"/>
                    <w:left w:val="none" w:sz="0" w:space="0" w:color="auto"/>
                    <w:bottom w:val="none" w:sz="0" w:space="0" w:color="auto"/>
                    <w:right w:val="none" w:sz="0" w:space="0" w:color="auto"/>
                  </w:divBdr>
                </w:div>
                <w:div w:id="294142402">
                  <w:marLeft w:val="0"/>
                  <w:marRight w:val="0"/>
                  <w:marTop w:val="0"/>
                  <w:marBottom w:val="0"/>
                  <w:divBdr>
                    <w:top w:val="none" w:sz="0" w:space="0" w:color="auto"/>
                    <w:left w:val="none" w:sz="0" w:space="0" w:color="auto"/>
                    <w:bottom w:val="none" w:sz="0" w:space="0" w:color="auto"/>
                    <w:right w:val="none" w:sz="0" w:space="0" w:color="auto"/>
                  </w:divBdr>
                </w:div>
                <w:div w:id="294143070">
                  <w:marLeft w:val="0"/>
                  <w:marRight w:val="0"/>
                  <w:marTop w:val="0"/>
                  <w:marBottom w:val="0"/>
                  <w:divBdr>
                    <w:top w:val="none" w:sz="0" w:space="0" w:color="auto"/>
                    <w:left w:val="none" w:sz="0" w:space="0" w:color="auto"/>
                    <w:bottom w:val="none" w:sz="0" w:space="0" w:color="auto"/>
                    <w:right w:val="none" w:sz="0" w:space="0" w:color="auto"/>
                  </w:divBdr>
                </w:div>
                <w:div w:id="294143213">
                  <w:marLeft w:val="0"/>
                  <w:marRight w:val="0"/>
                  <w:marTop w:val="0"/>
                  <w:marBottom w:val="0"/>
                  <w:divBdr>
                    <w:top w:val="none" w:sz="0" w:space="0" w:color="auto"/>
                    <w:left w:val="none" w:sz="0" w:space="0" w:color="auto"/>
                    <w:bottom w:val="none" w:sz="0" w:space="0" w:color="auto"/>
                    <w:right w:val="none" w:sz="0" w:space="0" w:color="auto"/>
                  </w:divBdr>
                </w:div>
                <w:div w:id="294143277">
                  <w:marLeft w:val="0"/>
                  <w:marRight w:val="0"/>
                  <w:marTop w:val="0"/>
                  <w:marBottom w:val="0"/>
                  <w:divBdr>
                    <w:top w:val="none" w:sz="0" w:space="0" w:color="auto"/>
                    <w:left w:val="none" w:sz="0" w:space="0" w:color="auto"/>
                    <w:bottom w:val="none" w:sz="0" w:space="0" w:color="auto"/>
                    <w:right w:val="none" w:sz="0" w:space="0" w:color="auto"/>
                  </w:divBdr>
                </w:div>
                <w:div w:id="294143359">
                  <w:marLeft w:val="0"/>
                  <w:marRight w:val="0"/>
                  <w:marTop w:val="0"/>
                  <w:marBottom w:val="0"/>
                  <w:divBdr>
                    <w:top w:val="none" w:sz="0" w:space="0" w:color="auto"/>
                    <w:left w:val="none" w:sz="0" w:space="0" w:color="auto"/>
                    <w:bottom w:val="none" w:sz="0" w:space="0" w:color="auto"/>
                    <w:right w:val="none" w:sz="0" w:space="0" w:color="auto"/>
                  </w:divBdr>
                </w:div>
                <w:div w:id="294143464">
                  <w:marLeft w:val="0"/>
                  <w:marRight w:val="0"/>
                  <w:marTop w:val="0"/>
                  <w:marBottom w:val="0"/>
                  <w:divBdr>
                    <w:top w:val="none" w:sz="0" w:space="0" w:color="auto"/>
                    <w:left w:val="none" w:sz="0" w:space="0" w:color="auto"/>
                    <w:bottom w:val="none" w:sz="0" w:space="0" w:color="auto"/>
                    <w:right w:val="none" w:sz="0" w:space="0" w:color="auto"/>
                  </w:divBdr>
                </w:div>
                <w:div w:id="294143577">
                  <w:marLeft w:val="0"/>
                  <w:marRight w:val="0"/>
                  <w:marTop w:val="0"/>
                  <w:marBottom w:val="0"/>
                  <w:divBdr>
                    <w:top w:val="none" w:sz="0" w:space="0" w:color="auto"/>
                    <w:left w:val="none" w:sz="0" w:space="0" w:color="auto"/>
                    <w:bottom w:val="none" w:sz="0" w:space="0" w:color="auto"/>
                    <w:right w:val="none" w:sz="0" w:space="0" w:color="auto"/>
                  </w:divBdr>
                </w:div>
                <w:div w:id="294143738">
                  <w:marLeft w:val="0"/>
                  <w:marRight w:val="0"/>
                  <w:marTop w:val="0"/>
                  <w:marBottom w:val="0"/>
                  <w:divBdr>
                    <w:top w:val="none" w:sz="0" w:space="0" w:color="auto"/>
                    <w:left w:val="none" w:sz="0" w:space="0" w:color="auto"/>
                    <w:bottom w:val="none" w:sz="0" w:space="0" w:color="auto"/>
                    <w:right w:val="none" w:sz="0" w:space="0" w:color="auto"/>
                  </w:divBdr>
                </w:div>
                <w:div w:id="294144047">
                  <w:marLeft w:val="0"/>
                  <w:marRight w:val="0"/>
                  <w:marTop w:val="0"/>
                  <w:marBottom w:val="0"/>
                  <w:divBdr>
                    <w:top w:val="none" w:sz="0" w:space="0" w:color="auto"/>
                    <w:left w:val="none" w:sz="0" w:space="0" w:color="auto"/>
                    <w:bottom w:val="none" w:sz="0" w:space="0" w:color="auto"/>
                    <w:right w:val="none" w:sz="0" w:space="0" w:color="auto"/>
                  </w:divBdr>
                </w:div>
                <w:div w:id="294144082">
                  <w:marLeft w:val="0"/>
                  <w:marRight w:val="0"/>
                  <w:marTop w:val="0"/>
                  <w:marBottom w:val="0"/>
                  <w:divBdr>
                    <w:top w:val="none" w:sz="0" w:space="0" w:color="auto"/>
                    <w:left w:val="none" w:sz="0" w:space="0" w:color="auto"/>
                    <w:bottom w:val="none" w:sz="0" w:space="0" w:color="auto"/>
                    <w:right w:val="none" w:sz="0" w:space="0" w:color="auto"/>
                  </w:divBdr>
                </w:div>
                <w:div w:id="294144139">
                  <w:marLeft w:val="0"/>
                  <w:marRight w:val="0"/>
                  <w:marTop w:val="0"/>
                  <w:marBottom w:val="0"/>
                  <w:divBdr>
                    <w:top w:val="none" w:sz="0" w:space="0" w:color="auto"/>
                    <w:left w:val="none" w:sz="0" w:space="0" w:color="auto"/>
                    <w:bottom w:val="none" w:sz="0" w:space="0" w:color="auto"/>
                    <w:right w:val="none" w:sz="0" w:space="0" w:color="auto"/>
                  </w:divBdr>
                </w:div>
                <w:div w:id="294144172">
                  <w:marLeft w:val="0"/>
                  <w:marRight w:val="0"/>
                  <w:marTop w:val="0"/>
                  <w:marBottom w:val="0"/>
                  <w:divBdr>
                    <w:top w:val="none" w:sz="0" w:space="0" w:color="auto"/>
                    <w:left w:val="none" w:sz="0" w:space="0" w:color="auto"/>
                    <w:bottom w:val="none" w:sz="0" w:space="0" w:color="auto"/>
                    <w:right w:val="none" w:sz="0" w:space="0" w:color="auto"/>
                  </w:divBdr>
                </w:div>
                <w:div w:id="294144176">
                  <w:marLeft w:val="0"/>
                  <w:marRight w:val="0"/>
                  <w:marTop w:val="0"/>
                  <w:marBottom w:val="0"/>
                  <w:divBdr>
                    <w:top w:val="none" w:sz="0" w:space="0" w:color="auto"/>
                    <w:left w:val="none" w:sz="0" w:space="0" w:color="auto"/>
                    <w:bottom w:val="none" w:sz="0" w:space="0" w:color="auto"/>
                    <w:right w:val="none" w:sz="0" w:space="0" w:color="auto"/>
                  </w:divBdr>
                </w:div>
                <w:div w:id="294144462">
                  <w:marLeft w:val="0"/>
                  <w:marRight w:val="0"/>
                  <w:marTop w:val="0"/>
                  <w:marBottom w:val="0"/>
                  <w:divBdr>
                    <w:top w:val="none" w:sz="0" w:space="0" w:color="auto"/>
                    <w:left w:val="none" w:sz="0" w:space="0" w:color="auto"/>
                    <w:bottom w:val="none" w:sz="0" w:space="0" w:color="auto"/>
                    <w:right w:val="none" w:sz="0" w:space="0" w:color="auto"/>
                  </w:divBdr>
                </w:div>
                <w:div w:id="294144606">
                  <w:marLeft w:val="0"/>
                  <w:marRight w:val="0"/>
                  <w:marTop w:val="0"/>
                  <w:marBottom w:val="0"/>
                  <w:divBdr>
                    <w:top w:val="none" w:sz="0" w:space="0" w:color="auto"/>
                    <w:left w:val="none" w:sz="0" w:space="0" w:color="auto"/>
                    <w:bottom w:val="none" w:sz="0" w:space="0" w:color="auto"/>
                    <w:right w:val="none" w:sz="0" w:space="0" w:color="auto"/>
                  </w:divBdr>
                </w:div>
                <w:div w:id="294144984">
                  <w:marLeft w:val="0"/>
                  <w:marRight w:val="0"/>
                  <w:marTop w:val="0"/>
                  <w:marBottom w:val="0"/>
                  <w:divBdr>
                    <w:top w:val="none" w:sz="0" w:space="0" w:color="auto"/>
                    <w:left w:val="none" w:sz="0" w:space="0" w:color="auto"/>
                    <w:bottom w:val="none" w:sz="0" w:space="0" w:color="auto"/>
                    <w:right w:val="none" w:sz="0" w:space="0" w:color="auto"/>
                  </w:divBdr>
                </w:div>
                <w:div w:id="294145264">
                  <w:marLeft w:val="0"/>
                  <w:marRight w:val="0"/>
                  <w:marTop w:val="0"/>
                  <w:marBottom w:val="0"/>
                  <w:divBdr>
                    <w:top w:val="none" w:sz="0" w:space="0" w:color="auto"/>
                    <w:left w:val="none" w:sz="0" w:space="0" w:color="auto"/>
                    <w:bottom w:val="none" w:sz="0" w:space="0" w:color="auto"/>
                    <w:right w:val="none" w:sz="0" w:space="0" w:color="auto"/>
                  </w:divBdr>
                </w:div>
                <w:div w:id="294145277">
                  <w:marLeft w:val="0"/>
                  <w:marRight w:val="0"/>
                  <w:marTop w:val="0"/>
                  <w:marBottom w:val="0"/>
                  <w:divBdr>
                    <w:top w:val="none" w:sz="0" w:space="0" w:color="auto"/>
                    <w:left w:val="none" w:sz="0" w:space="0" w:color="auto"/>
                    <w:bottom w:val="none" w:sz="0" w:space="0" w:color="auto"/>
                    <w:right w:val="none" w:sz="0" w:space="0" w:color="auto"/>
                  </w:divBdr>
                </w:div>
                <w:div w:id="294145713">
                  <w:marLeft w:val="0"/>
                  <w:marRight w:val="0"/>
                  <w:marTop w:val="0"/>
                  <w:marBottom w:val="0"/>
                  <w:divBdr>
                    <w:top w:val="none" w:sz="0" w:space="0" w:color="auto"/>
                    <w:left w:val="none" w:sz="0" w:space="0" w:color="auto"/>
                    <w:bottom w:val="none" w:sz="0" w:space="0" w:color="auto"/>
                    <w:right w:val="none" w:sz="0" w:space="0" w:color="auto"/>
                  </w:divBdr>
                </w:div>
                <w:div w:id="294145740">
                  <w:marLeft w:val="0"/>
                  <w:marRight w:val="0"/>
                  <w:marTop w:val="0"/>
                  <w:marBottom w:val="0"/>
                  <w:divBdr>
                    <w:top w:val="none" w:sz="0" w:space="0" w:color="auto"/>
                    <w:left w:val="none" w:sz="0" w:space="0" w:color="auto"/>
                    <w:bottom w:val="none" w:sz="0" w:space="0" w:color="auto"/>
                    <w:right w:val="none" w:sz="0" w:space="0" w:color="auto"/>
                  </w:divBdr>
                </w:div>
                <w:div w:id="294145768">
                  <w:marLeft w:val="0"/>
                  <w:marRight w:val="0"/>
                  <w:marTop w:val="0"/>
                  <w:marBottom w:val="0"/>
                  <w:divBdr>
                    <w:top w:val="none" w:sz="0" w:space="0" w:color="auto"/>
                    <w:left w:val="none" w:sz="0" w:space="0" w:color="auto"/>
                    <w:bottom w:val="none" w:sz="0" w:space="0" w:color="auto"/>
                    <w:right w:val="none" w:sz="0" w:space="0" w:color="auto"/>
                  </w:divBdr>
                </w:div>
                <w:div w:id="294146189">
                  <w:marLeft w:val="0"/>
                  <w:marRight w:val="0"/>
                  <w:marTop w:val="0"/>
                  <w:marBottom w:val="0"/>
                  <w:divBdr>
                    <w:top w:val="none" w:sz="0" w:space="0" w:color="auto"/>
                    <w:left w:val="none" w:sz="0" w:space="0" w:color="auto"/>
                    <w:bottom w:val="none" w:sz="0" w:space="0" w:color="auto"/>
                    <w:right w:val="none" w:sz="0" w:space="0" w:color="auto"/>
                  </w:divBdr>
                </w:div>
                <w:div w:id="294146324">
                  <w:marLeft w:val="0"/>
                  <w:marRight w:val="0"/>
                  <w:marTop w:val="0"/>
                  <w:marBottom w:val="0"/>
                  <w:divBdr>
                    <w:top w:val="none" w:sz="0" w:space="0" w:color="auto"/>
                    <w:left w:val="none" w:sz="0" w:space="0" w:color="auto"/>
                    <w:bottom w:val="none" w:sz="0" w:space="0" w:color="auto"/>
                    <w:right w:val="none" w:sz="0" w:space="0" w:color="auto"/>
                  </w:divBdr>
                </w:div>
                <w:div w:id="294146578">
                  <w:marLeft w:val="0"/>
                  <w:marRight w:val="0"/>
                  <w:marTop w:val="0"/>
                  <w:marBottom w:val="0"/>
                  <w:divBdr>
                    <w:top w:val="none" w:sz="0" w:space="0" w:color="auto"/>
                    <w:left w:val="none" w:sz="0" w:space="0" w:color="auto"/>
                    <w:bottom w:val="none" w:sz="0" w:space="0" w:color="auto"/>
                    <w:right w:val="none" w:sz="0" w:space="0" w:color="auto"/>
                  </w:divBdr>
                </w:div>
                <w:div w:id="294146879">
                  <w:marLeft w:val="0"/>
                  <w:marRight w:val="0"/>
                  <w:marTop w:val="0"/>
                  <w:marBottom w:val="0"/>
                  <w:divBdr>
                    <w:top w:val="none" w:sz="0" w:space="0" w:color="auto"/>
                    <w:left w:val="none" w:sz="0" w:space="0" w:color="auto"/>
                    <w:bottom w:val="none" w:sz="0" w:space="0" w:color="auto"/>
                    <w:right w:val="none" w:sz="0" w:space="0" w:color="auto"/>
                  </w:divBdr>
                </w:div>
                <w:div w:id="294146955">
                  <w:marLeft w:val="0"/>
                  <w:marRight w:val="0"/>
                  <w:marTop w:val="0"/>
                  <w:marBottom w:val="0"/>
                  <w:divBdr>
                    <w:top w:val="none" w:sz="0" w:space="0" w:color="auto"/>
                    <w:left w:val="none" w:sz="0" w:space="0" w:color="auto"/>
                    <w:bottom w:val="none" w:sz="0" w:space="0" w:color="auto"/>
                    <w:right w:val="none" w:sz="0" w:space="0" w:color="auto"/>
                  </w:divBdr>
                </w:div>
                <w:div w:id="294147009">
                  <w:marLeft w:val="0"/>
                  <w:marRight w:val="0"/>
                  <w:marTop w:val="0"/>
                  <w:marBottom w:val="0"/>
                  <w:divBdr>
                    <w:top w:val="none" w:sz="0" w:space="0" w:color="auto"/>
                    <w:left w:val="none" w:sz="0" w:space="0" w:color="auto"/>
                    <w:bottom w:val="none" w:sz="0" w:space="0" w:color="auto"/>
                    <w:right w:val="none" w:sz="0" w:space="0" w:color="auto"/>
                  </w:divBdr>
                </w:div>
                <w:div w:id="294147232">
                  <w:marLeft w:val="0"/>
                  <w:marRight w:val="0"/>
                  <w:marTop w:val="0"/>
                  <w:marBottom w:val="0"/>
                  <w:divBdr>
                    <w:top w:val="none" w:sz="0" w:space="0" w:color="auto"/>
                    <w:left w:val="none" w:sz="0" w:space="0" w:color="auto"/>
                    <w:bottom w:val="none" w:sz="0" w:space="0" w:color="auto"/>
                    <w:right w:val="none" w:sz="0" w:space="0" w:color="auto"/>
                  </w:divBdr>
                </w:div>
                <w:div w:id="294147343">
                  <w:marLeft w:val="0"/>
                  <w:marRight w:val="0"/>
                  <w:marTop w:val="0"/>
                  <w:marBottom w:val="0"/>
                  <w:divBdr>
                    <w:top w:val="none" w:sz="0" w:space="0" w:color="auto"/>
                    <w:left w:val="none" w:sz="0" w:space="0" w:color="auto"/>
                    <w:bottom w:val="none" w:sz="0" w:space="0" w:color="auto"/>
                    <w:right w:val="none" w:sz="0" w:space="0" w:color="auto"/>
                  </w:divBdr>
                </w:div>
                <w:div w:id="294147712">
                  <w:marLeft w:val="0"/>
                  <w:marRight w:val="0"/>
                  <w:marTop w:val="0"/>
                  <w:marBottom w:val="0"/>
                  <w:divBdr>
                    <w:top w:val="none" w:sz="0" w:space="0" w:color="auto"/>
                    <w:left w:val="none" w:sz="0" w:space="0" w:color="auto"/>
                    <w:bottom w:val="none" w:sz="0" w:space="0" w:color="auto"/>
                    <w:right w:val="none" w:sz="0" w:space="0" w:color="auto"/>
                  </w:divBdr>
                </w:div>
                <w:div w:id="294147775">
                  <w:marLeft w:val="0"/>
                  <w:marRight w:val="0"/>
                  <w:marTop w:val="0"/>
                  <w:marBottom w:val="0"/>
                  <w:divBdr>
                    <w:top w:val="none" w:sz="0" w:space="0" w:color="auto"/>
                    <w:left w:val="none" w:sz="0" w:space="0" w:color="auto"/>
                    <w:bottom w:val="none" w:sz="0" w:space="0" w:color="auto"/>
                    <w:right w:val="none" w:sz="0" w:space="0" w:color="auto"/>
                  </w:divBdr>
                </w:div>
                <w:div w:id="294147796">
                  <w:marLeft w:val="0"/>
                  <w:marRight w:val="0"/>
                  <w:marTop w:val="0"/>
                  <w:marBottom w:val="0"/>
                  <w:divBdr>
                    <w:top w:val="none" w:sz="0" w:space="0" w:color="auto"/>
                    <w:left w:val="none" w:sz="0" w:space="0" w:color="auto"/>
                    <w:bottom w:val="none" w:sz="0" w:space="0" w:color="auto"/>
                    <w:right w:val="none" w:sz="0" w:space="0" w:color="auto"/>
                  </w:divBdr>
                </w:div>
                <w:div w:id="294147884">
                  <w:marLeft w:val="0"/>
                  <w:marRight w:val="0"/>
                  <w:marTop w:val="0"/>
                  <w:marBottom w:val="0"/>
                  <w:divBdr>
                    <w:top w:val="none" w:sz="0" w:space="0" w:color="auto"/>
                    <w:left w:val="none" w:sz="0" w:space="0" w:color="auto"/>
                    <w:bottom w:val="none" w:sz="0" w:space="0" w:color="auto"/>
                    <w:right w:val="none" w:sz="0" w:space="0" w:color="auto"/>
                  </w:divBdr>
                </w:div>
                <w:div w:id="294148285">
                  <w:marLeft w:val="0"/>
                  <w:marRight w:val="0"/>
                  <w:marTop w:val="0"/>
                  <w:marBottom w:val="0"/>
                  <w:divBdr>
                    <w:top w:val="none" w:sz="0" w:space="0" w:color="auto"/>
                    <w:left w:val="none" w:sz="0" w:space="0" w:color="auto"/>
                    <w:bottom w:val="none" w:sz="0" w:space="0" w:color="auto"/>
                    <w:right w:val="none" w:sz="0" w:space="0" w:color="auto"/>
                  </w:divBdr>
                </w:div>
                <w:div w:id="294148376">
                  <w:marLeft w:val="0"/>
                  <w:marRight w:val="0"/>
                  <w:marTop w:val="0"/>
                  <w:marBottom w:val="0"/>
                  <w:divBdr>
                    <w:top w:val="none" w:sz="0" w:space="0" w:color="auto"/>
                    <w:left w:val="none" w:sz="0" w:space="0" w:color="auto"/>
                    <w:bottom w:val="none" w:sz="0" w:space="0" w:color="auto"/>
                    <w:right w:val="none" w:sz="0" w:space="0" w:color="auto"/>
                  </w:divBdr>
                </w:div>
                <w:div w:id="294148436">
                  <w:marLeft w:val="0"/>
                  <w:marRight w:val="0"/>
                  <w:marTop w:val="0"/>
                  <w:marBottom w:val="0"/>
                  <w:divBdr>
                    <w:top w:val="none" w:sz="0" w:space="0" w:color="auto"/>
                    <w:left w:val="none" w:sz="0" w:space="0" w:color="auto"/>
                    <w:bottom w:val="none" w:sz="0" w:space="0" w:color="auto"/>
                    <w:right w:val="none" w:sz="0" w:space="0" w:color="auto"/>
                  </w:divBdr>
                </w:div>
                <w:div w:id="294148480">
                  <w:marLeft w:val="0"/>
                  <w:marRight w:val="0"/>
                  <w:marTop w:val="0"/>
                  <w:marBottom w:val="0"/>
                  <w:divBdr>
                    <w:top w:val="none" w:sz="0" w:space="0" w:color="auto"/>
                    <w:left w:val="none" w:sz="0" w:space="0" w:color="auto"/>
                    <w:bottom w:val="none" w:sz="0" w:space="0" w:color="auto"/>
                    <w:right w:val="none" w:sz="0" w:space="0" w:color="auto"/>
                  </w:divBdr>
                </w:div>
                <w:div w:id="294148508">
                  <w:marLeft w:val="0"/>
                  <w:marRight w:val="0"/>
                  <w:marTop w:val="0"/>
                  <w:marBottom w:val="0"/>
                  <w:divBdr>
                    <w:top w:val="none" w:sz="0" w:space="0" w:color="auto"/>
                    <w:left w:val="none" w:sz="0" w:space="0" w:color="auto"/>
                    <w:bottom w:val="none" w:sz="0" w:space="0" w:color="auto"/>
                    <w:right w:val="none" w:sz="0" w:space="0" w:color="auto"/>
                  </w:divBdr>
                </w:div>
                <w:div w:id="294148567">
                  <w:marLeft w:val="0"/>
                  <w:marRight w:val="0"/>
                  <w:marTop w:val="0"/>
                  <w:marBottom w:val="0"/>
                  <w:divBdr>
                    <w:top w:val="none" w:sz="0" w:space="0" w:color="auto"/>
                    <w:left w:val="none" w:sz="0" w:space="0" w:color="auto"/>
                    <w:bottom w:val="none" w:sz="0" w:space="0" w:color="auto"/>
                    <w:right w:val="none" w:sz="0" w:space="0" w:color="auto"/>
                  </w:divBdr>
                </w:div>
                <w:div w:id="294148638">
                  <w:marLeft w:val="0"/>
                  <w:marRight w:val="0"/>
                  <w:marTop w:val="0"/>
                  <w:marBottom w:val="0"/>
                  <w:divBdr>
                    <w:top w:val="none" w:sz="0" w:space="0" w:color="auto"/>
                    <w:left w:val="none" w:sz="0" w:space="0" w:color="auto"/>
                    <w:bottom w:val="none" w:sz="0" w:space="0" w:color="auto"/>
                    <w:right w:val="none" w:sz="0" w:space="0" w:color="auto"/>
                  </w:divBdr>
                </w:div>
                <w:div w:id="294148876">
                  <w:marLeft w:val="0"/>
                  <w:marRight w:val="0"/>
                  <w:marTop w:val="0"/>
                  <w:marBottom w:val="0"/>
                  <w:divBdr>
                    <w:top w:val="none" w:sz="0" w:space="0" w:color="auto"/>
                    <w:left w:val="none" w:sz="0" w:space="0" w:color="auto"/>
                    <w:bottom w:val="none" w:sz="0" w:space="0" w:color="auto"/>
                    <w:right w:val="none" w:sz="0" w:space="0" w:color="auto"/>
                  </w:divBdr>
                </w:div>
                <w:div w:id="294148950">
                  <w:marLeft w:val="0"/>
                  <w:marRight w:val="0"/>
                  <w:marTop w:val="0"/>
                  <w:marBottom w:val="0"/>
                  <w:divBdr>
                    <w:top w:val="none" w:sz="0" w:space="0" w:color="auto"/>
                    <w:left w:val="none" w:sz="0" w:space="0" w:color="auto"/>
                    <w:bottom w:val="none" w:sz="0" w:space="0" w:color="auto"/>
                    <w:right w:val="none" w:sz="0" w:space="0" w:color="auto"/>
                  </w:divBdr>
                </w:div>
                <w:div w:id="294149253">
                  <w:marLeft w:val="0"/>
                  <w:marRight w:val="0"/>
                  <w:marTop w:val="0"/>
                  <w:marBottom w:val="0"/>
                  <w:divBdr>
                    <w:top w:val="none" w:sz="0" w:space="0" w:color="auto"/>
                    <w:left w:val="none" w:sz="0" w:space="0" w:color="auto"/>
                    <w:bottom w:val="none" w:sz="0" w:space="0" w:color="auto"/>
                    <w:right w:val="none" w:sz="0" w:space="0" w:color="auto"/>
                  </w:divBdr>
                </w:div>
                <w:div w:id="294149256">
                  <w:marLeft w:val="0"/>
                  <w:marRight w:val="0"/>
                  <w:marTop w:val="0"/>
                  <w:marBottom w:val="0"/>
                  <w:divBdr>
                    <w:top w:val="none" w:sz="0" w:space="0" w:color="auto"/>
                    <w:left w:val="none" w:sz="0" w:space="0" w:color="auto"/>
                    <w:bottom w:val="none" w:sz="0" w:space="0" w:color="auto"/>
                    <w:right w:val="none" w:sz="0" w:space="0" w:color="auto"/>
                  </w:divBdr>
                </w:div>
                <w:div w:id="294149363">
                  <w:marLeft w:val="0"/>
                  <w:marRight w:val="0"/>
                  <w:marTop w:val="0"/>
                  <w:marBottom w:val="0"/>
                  <w:divBdr>
                    <w:top w:val="none" w:sz="0" w:space="0" w:color="auto"/>
                    <w:left w:val="none" w:sz="0" w:space="0" w:color="auto"/>
                    <w:bottom w:val="none" w:sz="0" w:space="0" w:color="auto"/>
                    <w:right w:val="none" w:sz="0" w:space="0" w:color="auto"/>
                  </w:divBdr>
                </w:div>
                <w:div w:id="294149378">
                  <w:marLeft w:val="0"/>
                  <w:marRight w:val="0"/>
                  <w:marTop w:val="0"/>
                  <w:marBottom w:val="0"/>
                  <w:divBdr>
                    <w:top w:val="none" w:sz="0" w:space="0" w:color="auto"/>
                    <w:left w:val="none" w:sz="0" w:space="0" w:color="auto"/>
                    <w:bottom w:val="none" w:sz="0" w:space="0" w:color="auto"/>
                    <w:right w:val="none" w:sz="0" w:space="0" w:color="auto"/>
                  </w:divBdr>
                </w:div>
                <w:div w:id="294149905">
                  <w:marLeft w:val="0"/>
                  <w:marRight w:val="0"/>
                  <w:marTop w:val="0"/>
                  <w:marBottom w:val="0"/>
                  <w:divBdr>
                    <w:top w:val="none" w:sz="0" w:space="0" w:color="auto"/>
                    <w:left w:val="none" w:sz="0" w:space="0" w:color="auto"/>
                    <w:bottom w:val="none" w:sz="0" w:space="0" w:color="auto"/>
                    <w:right w:val="none" w:sz="0" w:space="0" w:color="auto"/>
                  </w:divBdr>
                </w:div>
                <w:div w:id="294149939">
                  <w:marLeft w:val="0"/>
                  <w:marRight w:val="0"/>
                  <w:marTop w:val="0"/>
                  <w:marBottom w:val="0"/>
                  <w:divBdr>
                    <w:top w:val="none" w:sz="0" w:space="0" w:color="auto"/>
                    <w:left w:val="none" w:sz="0" w:space="0" w:color="auto"/>
                    <w:bottom w:val="none" w:sz="0" w:space="0" w:color="auto"/>
                    <w:right w:val="none" w:sz="0" w:space="0" w:color="auto"/>
                  </w:divBdr>
                </w:div>
                <w:div w:id="294150312">
                  <w:marLeft w:val="0"/>
                  <w:marRight w:val="0"/>
                  <w:marTop w:val="0"/>
                  <w:marBottom w:val="0"/>
                  <w:divBdr>
                    <w:top w:val="none" w:sz="0" w:space="0" w:color="auto"/>
                    <w:left w:val="none" w:sz="0" w:space="0" w:color="auto"/>
                    <w:bottom w:val="none" w:sz="0" w:space="0" w:color="auto"/>
                    <w:right w:val="none" w:sz="0" w:space="0" w:color="auto"/>
                  </w:divBdr>
                </w:div>
                <w:div w:id="294150358">
                  <w:marLeft w:val="0"/>
                  <w:marRight w:val="0"/>
                  <w:marTop w:val="0"/>
                  <w:marBottom w:val="0"/>
                  <w:divBdr>
                    <w:top w:val="none" w:sz="0" w:space="0" w:color="auto"/>
                    <w:left w:val="none" w:sz="0" w:space="0" w:color="auto"/>
                    <w:bottom w:val="none" w:sz="0" w:space="0" w:color="auto"/>
                    <w:right w:val="none" w:sz="0" w:space="0" w:color="auto"/>
                  </w:divBdr>
                </w:div>
                <w:div w:id="294150585">
                  <w:marLeft w:val="0"/>
                  <w:marRight w:val="0"/>
                  <w:marTop w:val="0"/>
                  <w:marBottom w:val="0"/>
                  <w:divBdr>
                    <w:top w:val="none" w:sz="0" w:space="0" w:color="auto"/>
                    <w:left w:val="none" w:sz="0" w:space="0" w:color="auto"/>
                    <w:bottom w:val="none" w:sz="0" w:space="0" w:color="auto"/>
                    <w:right w:val="none" w:sz="0" w:space="0" w:color="auto"/>
                  </w:divBdr>
                </w:div>
                <w:div w:id="294150675">
                  <w:marLeft w:val="0"/>
                  <w:marRight w:val="0"/>
                  <w:marTop w:val="0"/>
                  <w:marBottom w:val="0"/>
                  <w:divBdr>
                    <w:top w:val="none" w:sz="0" w:space="0" w:color="auto"/>
                    <w:left w:val="none" w:sz="0" w:space="0" w:color="auto"/>
                    <w:bottom w:val="none" w:sz="0" w:space="0" w:color="auto"/>
                    <w:right w:val="none" w:sz="0" w:space="0" w:color="auto"/>
                  </w:divBdr>
                </w:div>
                <w:div w:id="294150994">
                  <w:marLeft w:val="0"/>
                  <w:marRight w:val="0"/>
                  <w:marTop w:val="0"/>
                  <w:marBottom w:val="0"/>
                  <w:divBdr>
                    <w:top w:val="none" w:sz="0" w:space="0" w:color="auto"/>
                    <w:left w:val="none" w:sz="0" w:space="0" w:color="auto"/>
                    <w:bottom w:val="none" w:sz="0" w:space="0" w:color="auto"/>
                    <w:right w:val="none" w:sz="0" w:space="0" w:color="auto"/>
                  </w:divBdr>
                </w:div>
                <w:div w:id="294151321">
                  <w:marLeft w:val="0"/>
                  <w:marRight w:val="0"/>
                  <w:marTop w:val="0"/>
                  <w:marBottom w:val="0"/>
                  <w:divBdr>
                    <w:top w:val="none" w:sz="0" w:space="0" w:color="auto"/>
                    <w:left w:val="none" w:sz="0" w:space="0" w:color="auto"/>
                    <w:bottom w:val="none" w:sz="0" w:space="0" w:color="auto"/>
                    <w:right w:val="none" w:sz="0" w:space="0" w:color="auto"/>
                  </w:divBdr>
                </w:div>
                <w:div w:id="294151430">
                  <w:marLeft w:val="0"/>
                  <w:marRight w:val="0"/>
                  <w:marTop w:val="0"/>
                  <w:marBottom w:val="0"/>
                  <w:divBdr>
                    <w:top w:val="none" w:sz="0" w:space="0" w:color="auto"/>
                    <w:left w:val="none" w:sz="0" w:space="0" w:color="auto"/>
                    <w:bottom w:val="none" w:sz="0" w:space="0" w:color="auto"/>
                    <w:right w:val="none" w:sz="0" w:space="0" w:color="auto"/>
                  </w:divBdr>
                </w:div>
                <w:div w:id="294151610">
                  <w:marLeft w:val="0"/>
                  <w:marRight w:val="0"/>
                  <w:marTop w:val="0"/>
                  <w:marBottom w:val="0"/>
                  <w:divBdr>
                    <w:top w:val="none" w:sz="0" w:space="0" w:color="auto"/>
                    <w:left w:val="none" w:sz="0" w:space="0" w:color="auto"/>
                    <w:bottom w:val="none" w:sz="0" w:space="0" w:color="auto"/>
                    <w:right w:val="none" w:sz="0" w:space="0" w:color="auto"/>
                  </w:divBdr>
                </w:div>
                <w:div w:id="294151837">
                  <w:marLeft w:val="0"/>
                  <w:marRight w:val="0"/>
                  <w:marTop w:val="0"/>
                  <w:marBottom w:val="0"/>
                  <w:divBdr>
                    <w:top w:val="none" w:sz="0" w:space="0" w:color="auto"/>
                    <w:left w:val="none" w:sz="0" w:space="0" w:color="auto"/>
                    <w:bottom w:val="none" w:sz="0" w:space="0" w:color="auto"/>
                    <w:right w:val="none" w:sz="0" w:space="0" w:color="auto"/>
                  </w:divBdr>
                </w:div>
                <w:div w:id="294151847">
                  <w:marLeft w:val="0"/>
                  <w:marRight w:val="0"/>
                  <w:marTop w:val="0"/>
                  <w:marBottom w:val="0"/>
                  <w:divBdr>
                    <w:top w:val="none" w:sz="0" w:space="0" w:color="auto"/>
                    <w:left w:val="none" w:sz="0" w:space="0" w:color="auto"/>
                    <w:bottom w:val="none" w:sz="0" w:space="0" w:color="auto"/>
                    <w:right w:val="none" w:sz="0" w:space="0" w:color="auto"/>
                  </w:divBdr>
                </w:div>
                <w:div w:id="294151874">
                  <w:marLeft w:val="0"/>
                  <w:marRight w:val="0"/>
                  <w:marTop w:val="0"/>
                  <w:marBottom w:val="0"/>
                  <w:divBdr>
                    <w:top w:val="none" w:sz="0" w:space="0" w:color="auto"/>
                    <w:left w:val="none" w:sz="0" w:space="0" w:color="auto"/>
                    <w:bottom w:val="none" w:sz="0" w:space="0" w:color="auto"/>
                    <w:right w:val="none" w:sz="0" w:space="0" w:color="auto"/>
                  </w:divBdr>
                </w:div>
                <w:div w:id="294152082">
                  <w:marLeft w:val="0"/>
                  <w:marRight w:val="0"/>
                  <w:marTop w:val="0"/>
                  <w:marBottom w:val="0"/>
                  <w:divBdr>
                    <w:top w:val="none" w:sz="0" w:space="0" w:color="auto"/>
                    <w:left w:val="none" w:sz="0" w:space="0" w:color="auto"/>
                    <w:bottom w:val="none" w:sz="0" w:space="0" w:color="auto"/>
                    <w:right w:val="none" w:sz="0" w:space="0" w:color="auto"/>
                  </w:divBdr>
                </w:div>
                <w:div w:id="294152096">
                  <w:marLeft w:val="0"/>
                  <w:marRight w:val="0"/>
                  <w:marTop w:val="0"/>
                  <w:marBottom w:val="0"/>
                  <w:divBdr>
                    <w:top w:val="none" w:sz="0" w:space="0" w:color="auto"/>
                    <w:left w:val="none" w:sz="0" w:space="0" w:color="auto"/>
                    <w:bottom w:val="none" w:sz="0" w:space="0" w:color="auto"/>
                    <w:right w:val="none" w:sz="0" w:space="0" w:color="auto"/>
                  </w:divBdr>
                </w:div>
                <w:div w:id="294152190">
                  <w:marLeft w:val="0"/>
                  <w:marRight w:val="0"/>
                  <w:marTop w:val="0"/>
                  <w:marBottom w:val="0"/>
                  <w:divBdr>
                    <w:top w:val="none" w:sz="0" w:space="0" w:color="auto"/>
                    <w:left w:val="none" w:sz="0" w:space="0" w:color="auto"/>
                    <w:bottom w:val="none" w:sz="0" w:space="0" w:color="auto"/>
                    <w:right w:val="none" w:sz="0" w:space="0" w:color="auto"/>
                  </w:divBdr>
                </w:div>
                <w:div w:id="294152205">
                  <w:marLeft w:val="0"/>
                  <w:marRight w:val="0"/>
                  <w:marTop w:val="0"/>
                  <w:marBottom w:val="0"/>
                  <w:divBdr>
                    <w:top w:val="none" w:sz="0" w:space="0" w:color="auto"/>
                    <w:left w:val="none" w:sz="0" w:space="0" w:color="auto"/>
                    <w:bottom w:val="none" w:sz="0" w:space="0" w:color="auto"/>
                    <w:right w:val="none" w:sz="0" w:space="0" w:color="auto"/>
                  </w:divBdr>
                </w:div>
                <w:div w:id="294152309">
                  <w:marLeft w:val="0"/>
                  <w:marRight w:val="0"/>
                  <w:marTop w:val="0"/>
                  <w:marBottom w:val="0"/>
                  <w:divBdr>
                    <w:top w:val="none" w:sz="0" w:space="0" w:color="auto"/>
                    <w:left w:val="none" w:sz="0" w:space="0" w:color="auto"/>
                    <w:bottom w:val="none" w:sz="0" w:space="0" w:color="auto"/>
                    <w:right w:val="none" w:sz="0" w:space="0" w:color="auto"/>
                  </w:divBdr>
                </w:div>
                <w:div w:id="294152472">
                  <w:marLeft w:val="0"/>
                  <w:marRight w:val="0"/>
                  <w:marTop w:val="0"/>
                  <w:marBottom w:val="0"/>
                  <w:divBdr>
                    <w:top w:val="none" w:sz="0" w:space="0" w:color="auto"/>
                    <w:left w:val="none" w:sz="0" w:space="0" w:color="auto"/>
                    <w:bottom w:val="none" w:sz="0" w:space="0" w:color="auto"/>
                    <w:right w:val="none" w:sz="0" w:space="0" w:color="auto"/>
                  </w:divBdr>
                </w:div>
                <w:div w:id="294153254">
                  <w:marLeft w:val="0"/>
                  <w:marRight w:val="0"/>
                  <w:marTop w:val="0"/>
                  <w:marBottom w:val="0"/>
                  <w:divBdr>
                    <w:top w:val="none" w:sz="0" w:space="0" w:color="auto"/>
                    <w:left w:val="none" w:sz="0" w:space="0" w:color="auto"/>
                    <w:bottom w:val="none" w:sz="0" w:space="0" w:color="auto"/>
                    <w:right w:val="none" w:sz="0" w:space="0" w:color="auto"/>
                  </w:divBdr>
                </w:div>
                <w:div w:id="294153300">
                  <w:marLeft w:val="0"/>
                  <w:marRight w:val="0"/>
                  <w:marTop w:val="0"/>
                  <w:marBottom w:val="0"/>
                  <w:divBdr>
                    <w:top w:val="none" w:sz="0" w:space="0" w:color="auto"/>
                    <w:left w:val="none" w:sz="0" w:space="0" w:color="auto"/>
                    <w:bottom w:val="none" w:sz="0" w:space="0" w:color="auto"/>
                    <w:right w:val="none" w:sz="0" w:space="0" w:color="auto"/>
                  </w:divBdr>
                </w:div>
                <w:div w:id="294153437">
                  <w:marLeft w:val="0"/>
                  <w:marRight w:val="0"/>
                  <w:marTop w:val="0"/>
                  <w:marBottom w:val="0"/>
                  <w:divBdr>
                    <w:top w:val="none" w:sz="0" w:space="0" w:color="auto"/>
                    <w:left w:val="none" w:sz="0" w:space="0" w:color="auto"/>
                    <w:bottom w:val="none" w:sz="0" w:space="0" w:color="auto"/>
                    <w:right w:val="none" w:sz="0" w:space="0" w:color="auto"/>
                  </w:divBdr>
                </w:div>
                <w:div w:id="294153602">
                  <w:marLeft w:val="0"/>
                  <w:marRight w:val="0"/>
                  <w:marTop w:val="0"/>
                  <w:marBottom w:val="0"/>
                  <w:divBdr>
                    <w:top w:val="none" w:sz="0" w:space="0" w:color="auto"/>
                    <w:left w:val="none" w:sz="0" w:space="0" w:color="auto"/>
                    <w:bottom w:val="none" w:sz="0" w:space="0" w:color="auto"/>
                    <w:right w:val="none" w:sz="0" w:space="0" w:color="auto"/>
                  </w:divBdr>
                </w:div>
                <w:div w:id="294153628">
                  <w:marLeft w:val="0"/>
                  <w:marRight w:val="0"/>
                  <w:marTop w:val="0"/>
                  <w:marBottom w:val="0"/>
                  <w:divBdr>
                    <w:top w:val="none" w:sz="0" w:space="0" w:color="auto"/>
                    <w:left w:val="none" w:sz="0" w:space="0" w:color="auto"/>
                    <w:bottom w:val="none" w:sz="0" w:space="0" w:color="auto"/>
                    <w:right w:val="none" w:sz="0" w:space="0" w:color="auto"/>
                  </w:divBdr>
                </w:div>
                <w:div w:id="294154052">
                  <w:marLeft w:val="0"/>
                  <w:marRight w:val="0"/>
                  <w:marTop w:val="0"/>
                  <w:marBottom w:val="0"/>
                  <w:divBdr>
                    <w:top w:val="none" w:sz="0" w:space="0" w:color="auto"/>
                    <w:left w:val="none" w:sz="0" w:space="0" w:color="auto"/>
                    <w:bottom w:val="none" w:sz="0" w:space="0" w:color="auto"/>
                    <w:right w:val="none" w:sz="0" w:space="0" w:color="auto"/>
                  </w:divBdr>
                </w:div>
                <w:div w:id="294154060">
                  <w:marLeft w:val="0"/>
                  <w:marRight w:val="0"/>
                  <w:marTop w:val="0"/>
                  <w:marBottom w:val="0"/>
                  <w:divBdr>
                    <w:top w:val="none" w:sz="0" w:space="0" w:color="auto"/>
                    <w:left w:val="none" w:sz="0" w:space="0" w:color="auto"/>
                    <w:bottom w:val="none" w:sz="0" w:space="0" w:color="auto"/>
                    <w:right w:val="none" w:sz="0" w:space="0" w:color="auto"/>
                  </w:divBdr>
                </w:div>
                <w:div w:id="294154328">
                  <w:marLeft w:val="0"/>
                  <w:marRight w:val="0"/>
                  <w:marTop w:val="0"/>
                  <w:marBottom w:val="0"/>
                  <w:divBdr>
                    <w:top w:val="none" w:sz="0" w:space="0" w:color="auto"/>
                    <w:left w:val="none" w:sz="0" w:space="0" w:color="auto"/>
                    <w:bottom w:val="none" w:sz="0" w:space="0" w:color="auto"/>
                    <w:right w:val="none" w:sz="0" w:space="0" w:color="auto"/>
                  </w:divBdr>
                </w:div>
                <w:div w:id="294154500">
                  <w:marLeft w:val="0"/>
                  <w:marRight w:val="0"/>
                  <w:marTop w:val="0"/>
                  <w:marBottom w:val="0"/>
                  <w:divBdr>
                    <w:top w:val="none" w:sz="0" w:space="0" w:color="auto"/>
                    <w:left w:val="none" w:sz="0" w:space="0" w:color="auto"/>
                    <w:bottom w:val="none" w:sz="0" w:space="0" w:color="auto"/>
                    <w:right w:val="none" w:sz="0" w:space="0" w:color="auto"/>
                  </w:divBdr>
                </w:div>
                <w:div w:id="294154515">
                  <w:marLeft w:val="0"/>
                  <w:marRight w:val="0"/>
                  <w:marTop w:val="0"/>
                  <w:marBottom w:val="0"/>
                  <w:divBdr>
                    <w:top w:val="none" w:sz="0" w:space="0" w:color="auto"/>
                    <w:left w:val="none" w:sz="0" w:space="0" w:color="auto"/>
                    <w:bottom w:val="none" w:sz="0" w:space="0" w:color="auto"/>
                    <w:right w:val="none" w:sz="0" w:space="0" w:color="auto"/>
                  </w:divBdr>
                </w:div>
                <w:div w:id="294154699">
                  <w:marLeft w:val="0"/>
                  <w:marRight w:val="0"/>
                  <w:marTop w:val="0"/>
                  <w:marBottom w:val="0"/>
                  <w:divBdr>
                    <w:top w:val="none" w:sz="0" w:space="0" w:color="auto"/>
                    <w:left w:val="none" w:sz="0" w:space="0" w:color="auto"/>
                    <w:bottom w:val="none" w:sz="0" w:space="0" w:color="auto"/>
                    <w:right w:val="none" w:sz="0" w:space="0" w:color="auto"/>
                  </w:divBdr>
                </w:div>
                <w:div w:id="294154703">
                  <w:marLeft w:val="0"/>
                  <w:marRight w:val="0"/>
                  <w:marTop w:val="0"/>
                  <w:marBottom w:val="0"/>
                  <w:divBdr>
                    <w:top w:val="none" w:sz="0" w:space="0" w:color="auto"/>
                    <w:left w:val="none" w:sz="0" w:space="0" w:color="auto"/>
                    <w:bottom w:val="none" w:sz="0" w:space="0" w:color="auto"/>
                    <w:right w:val="none" w:sz="0" w:space="0" w:color="auto"/>
                  </w:divBdr>
                </w:div>
                <w:div w:id="294154738">
                  <w:marLeft w:val="0"/>
                  <w:marRight w:val="0"/>
                  <w:marTop w:val="0"/>
                  <w:marBottom w:val="0"/>
                  <w:divBdr>
                    <w:top w:val="none" w:sz="0" w:space="0" w:color="auto"/>
                    <w:left w:val="none" w:sz="0" w:space="0" w:color="auto"/>
                    <w:bottom w:val="none" w:sz="0" w:space="0" w:color="auto"/>
                    <w:right w:val="none" w:sz="0" w:space="0" w:color="auto"/>
                  </w:divBdr>
                </w:div>
                <w:div w:id="294154790">
                  <w:marLeft w:val="0"/>
                  <w:marRight w:val="0"/>
                  <w:marTop w:val="0"/>
                  <w:marBottom w:val="0"/>
                  <w:divBdr>
                    <w:top w:val="none" w:sz="0" w:space="0" w:color="auto"/>
                    <w:left w:val="none" w:sz="0" w:space="0" w:color="auto"/>
                    <w:bottom w:val="none" w:sz="0" w:space="0" w:color="auto"/>
                    <w:right w:val="none" w:sz="0" w:space="0" w:color="auto"/>
                  </w:divBdr>
                </w:div>
                <w:div w:id="294154796">
                  <w:marLeft w:val="0"/>
                  <w:marRight w:val="0"/>
                  <w:marTop w:val="0"/>
                  <w:marBottom w:val="0"/>
                  <w:divBdr>
                    <w:top w:val="none" w:sz="0" w:space="0" w:color="auto"/>
                    <w:left w:val="none" w:sz="0" w:space="0" w:color="auto"/>
                    <w:bottom w:val="none" w:sz="0" w:space="0" w:color="auto"/>
                    <w:right w:val="none" w:sz="0" w:space="0" w:color="auto"/>
                  </w:divBdr>
                </w:div>
                <w:div w:id="294154811">
                  <w:marLeft w:val="0"/>
                  <w:marRight w:val="0"/>
                  <w:marTop w:val="0"/>
                  <w:marBottom w:val="0"/>
                  <w:divBdr>
                    <w:top w:val="none" w:sz="0" w:space="0" w:color="auto"/>
                    <w:left w:val="none" w:sz="0" w:space="0" w:color="auto"/>
                    <w:bottom w:val="none" w:sz="0" w:space="0" w:color="auto"/>
                    <w:right w:val="none" w:sz="0" w:space="0" w:color="auto"/>
                  </w:divBdr>
                </w:div>
                <w:div w:id="294154885">
                  <w:marLeft w:val="0"/>
                  <w:marRight w:val="0"/>
                  <w:marTop w:val="0"/>
                  <w:marBottom w:val="0"/>
                  <w:divBdr>
                    <w:top w:val="none" w:sz="0" w:space="0" w:color="auto"/>
                    <w:left w:val="none" w:sz="0" w:space="0" w:color="auto"/>
                    <w:bottom w:val="none" w:sz="0" w:space="0" w:color="auto"/>
                    <w:right w:val="none" w:sz="0" w:space="0" w:color="auto"/>
                  </w:divBdr>
                </w:div>
                <w:div w:id="294154916">
                  <w:marLeft w:val="0"/>
                  <w:marRight w:val="0"/>
                  <w:marTop w:val="0"/>
                  <w:marBottom w:val="0"/>
                  <w:divBdr>
                    <w:top w:val="none" w:sz="0" w:space="0" w:color="auto"/>
                    <w:left w:val="none" w:sz="0" w:space="0" w:color="auto"/>
                    <w:bottom w:val="none" w:sz="0" w:space="0" w:color="auto"/>
                    <w:right w:val="none" w:sz="0" w:space="0" w:color="auto"/>
                  </w:divBdr>
                </w:div>
                <w:div w:id="294154917">
                  <w:marLeft w:val="0"/>
                  <w:marRight w:val="0"/>
                  <w:marTop w:val="0"/>
                  <w:marBottom w:val="0"/>
                  <w:divBdr>
                    <w:top w:val="none" w:sz="0" w:space="0" w:color="auto"/>
                    <w:left w:val="none" w:sz="0" w:space="0" w:color="auto"/>
                    <w:bottom w:val="none" w:sz="0" w:space="0" w:color="auto"/>
                    <w:right w:val="none" w:sz="0" w:space="0" w:color="auto"/>
                  </w:divBdr>
                </w:div>
                <w:div w:id="294154978">
                  <w:marLeft w:val="0"/>
                  <w:marRight w:val="0"/>
                  <w:marTop w:val="0"/>
                  <w:marBottom w:val="0"/>
                  <w:divBdr>
                    <w:top w:val="none" w:sz="0" w:space="0" w:color="auto"/>
                    <w:left w:val="none" w:sz="0" w:space="0" w:color="auto"/>
                    <w:bottom w:val="none" w:sz="0" w:space="0" w:color="auto"/>
                    <w:right w:val="none" w:sz="0" w:space="0" w:color="auto"/>
                  </w:divBdr>
                </w:div>
                <w:div w:id="294155074">
                  <w:marLeft w:val="0"/>
                  <w:marRight w:val="0"/>
                  <w:marTop w:val="0"/>
                  <w:marBottom w:val="0"/>
                  <w:divBdr>
                    <w:top w:val="none" w:sz="0" w:space="0" w:color="auto"/>
                    <w:left w:val="none" w:sz="0" w:space="0" w:color="auto"/>
                    <w:bottom w:val="none" w:sz="0" w:space="0" w:color="auto"/>
                    <w:right w:val="none" w:sz="0" w:space="0" w:color="auto"/>
                  </w:divBdr>
                </w:div>
                <w:div w:id="294155140">
                  <w:marLeft w:val="0"/>
                  <w:marRight w:val="0"/>
                  <w:marTop w:val="0"/>
                  <w:marBottom w:val="0"/>
                  <w:divBdr>
                    <w:top w:val="none" w:sz="0" w:space="0" w:color="auto"/>
                    <w:left w:val="none" w:sz="0" w:space="0" w:color="auto"/>
                    <w:bottom w:val="none" w:sz="0" w:space="0" w:color="auto"/>
                    <w:right w:val="none" w:sz="0" w:space="0" w:color="auto"/>
                  </w:divBdr>
                </w:div>
                <w:div w:id="294155407">
                  <w:marLeft w:val="0"/>
                  <w:marRight w:val="0"/>
                  <w:marTop w:val="0"/>
                  <w:marBottom w:val="0"/>
                  <w:divBdr>
                    <w:top w:val="none" w:sz="0" w:space="0" w:color="auto"/>
                    <w:left w:val="none" w:sz="0" w:space="0" w:color="auto"/>
                    <w:bottom w:val="none" w:sz="0" w:space="0" w:color="auto"/>
                    <w:right w:val="none" w:sz="0" w:space="0" w:color="auto"/>
                  </w:divBdr>
                </w:div>
                <w:div w:id="294155694">
                  <w:marLeft w:val="0"/>
                  <w:marRight w:val="0"/>
                  <w:marTop w:val="0"/>
                  <w:marBottom w:val="0"/>
                  <w:divBdr>
                    <w:top w:val="none" w:sz="0" w:space="0" w:color="auto"/>
                    <w:left w:val="none" w:sz="0" w:space="0" w:color="auto"/>
                    <w:bottom w:val="none" w:sz="0" w:space="0" w:color="auto"/>
                    <w:right w:val="none" w:sz="0" w:space="0" w:color="auto"/>
                  </w:divBdr>
                </w:div>
                <w:div w:id="294156117">
                  <w:marLeft w:val="0"/>
                  <w:marRight w:val="0"/>
                  <w:marTop w:val="0"/>
                  <w:marBottom w:val="0"/>
                  <w:divBdr>
                    <w:top w:val="none" w:sz="0" w:space="0" w:color="auto"/>
                    <w:left w:val="none" w:sz="0" w:space="0" w:color="auto"/>
                    <w:bottom w:val="none" w:sz="0" w:space="0" w:color="auto"/>
                    <w:right w:val="none" w:sz="0" w:space="0" w:color="auto"/>
                  </w:divBdr>
                </w:div>
                <w:div w:id="294156208">
                  <w:marLeft w:val="0"/>
                  <w:marRight w:val="0"/>
                  <w:marTop w:val="0"/>
                  <w:marBottom w:val="0"/>
                  <w:divBdr>
                    <w:top w:val="none" w:sz="0" w:space="0" w:color="auto"/>
                    <w:left w:val="none" w:sz="0" w:space="0" w:color="auto"/>
                    <w:bottom w:val="none" w:sz="0" w:space="0" w:color="auto"/>
                    <w:right w:val="none" w:sz="0" w:space="0" w:color="auto"/>
                  </w:divBdr>
                </w:div>
                <w:div w:id="294156349">
                  <w:marLeft w:val="0"/>
                  <w:marRight w:val="0"/>
                  <w:marTop w:val="0"/>
                  <w:marBottom w:val="0"/>
                  <w:divBdr>
                    <w:top w:val="none" w:sz="0" w:space="0" w:color="auto"/>
                    <w:left w:val="none" w:sz="0" w:space="0" w:color="auto"/>
                    <w:bottom w:val="none" w:sz="0" w:space="0" w:color="auto"/>
                    <w:right w:val="none" w:sz="0" w:space="0" w:color="auto"/>
                  </w:divBdr>
                </w:div>
                <w:div w:id="294156642">
                  <w:marLeft w:val="0"/>
                  <w:marRight w:val="0"/>
                  <w:marTop w:val="0"/>
                  <w:marBottom w:val="0"/>
                  <w:divBdr>
                    <w:top w:val="none" w:sz="0" w:space="0" w:color="auto"/>
                    <w:left w:val="none" w:sz="0" w:space="0" w:color="auto"/>
                    <w:bottom w:val="none" w:sz="0" w:space="0" w:color="auto"/>
                    <w:right w:val="none" w:sz="0" w:space="0" w:color="auto"/>
                  </w:divBdr>
                </w:div>
                <w:div w:id="294156798">
                  <w:marLeft w:val="0"/>
                  <w:marRight w:val="0"/>
                  <w:marTop w:val="0"/>
                  <w:marBottom w:val="0"/>
                  <w:divBdr>
                    <w:top w:val="none" w:sz="0" w:space="0" w:color="auto"/>
                    <w:left w:val="none" w:sz="0" w:space="0" w:color="auto"/>
                    <w:bottom w:val="none" w:sz="0" w:space="0" w:color="auto"/>
                    <w:right w:val="none" w:sz="0" w:space="0" w:color="auto"/>
                  </w:divBdr>
                </w:div>
                <w:div w:id="294157124">
                  <w:marLeft w:val="0"/>
                  <w:marRight w:val="0"/>
                  <w:marTop w:val="0"/>
                  <w:marBottom w:val="0"/>
                  <w:divBdr>
                    <w:top w:val="none" w:sz="0" w:space="0" w:color="auto"/>
                    <w:left w:val="none" w:sz="0" w:space="0" w:color="auto"/>
                    <w:bottom w:val="none" w:sz="0" w:space="0" w:color="auto"/>
                    <w:right w:val="none" w:sz="0" w:space="0" w:color="auto"/>
                  </w:divBdr>
                </w:div>
                <w:div w:id="294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46469">
      <w:marLeft w:val="0"/>
      <w:marRight w:val="0"/>
      <w:marTop w:val="0"/>
      <w:marBottom w:val="0"/>
      <w:divBdr>
        <w:top w:val="none" w:sz="0" w:space="0" w:color="auto"/>
        <w:left w:val="none" w:sz="0" w:space="0" w:color="auto"/>
        <w:bottom w:val="none" w:sz="0" w:space="0" w:color="auto"/>
        <w:right w:val="none" w:sz="0" w:space="0" w:color="auto"/>
      </w:divBdr>
    </w:div>
    <w:div w:id="294146515">
      <w:marLeft w:val="0"/>
      <w:marRight w:val="0"/>
      <w:marTop w:val="0"/>
      <w:marBottom w:val="0"/>
      <w:divBdr>
        <w:top w:val="none" w:sz="0" w:space="0" w:color="auto"/>
        <w:left w:val="none" w:sz="0" w:space="0" w:color="auto"/>
        <w:bottom w:val="none" w:sz="0" w:space="0" w:color="auto"/>
        <w:right w:val="none" w:sz="0" w:space="0" w:color="auto"/>
      </w:divBdr>
      <w:divsChild>
        <w:div w:id="294139129">
          <w:marLeft w:val="0"/>
          <w:marRight w:val="0"/>
          <w:marTop w:val="0"/>
          <w:marBottom w:val="0"/>
          <w:divBdr>
            <w:top w:val="none" w:sz="0" w:space="0" w:color="auto"/>
            <w:left w:val="none" w:sz="0" w:space="0" w:color="auto"/>
            <w:bottom w:val="none" w:sz="0" w:space="0" w:color="auto"/>
            <w:right w:val="none" w:sz="0" w:space="0" w:color="auto"/>
          </w:divBdr>
        </w:div>
        <w:div w:id="294147035">
          <w:marLeft w:val="0"/>
          <w:marRight w:val="0"/>
          <w:marTop w:val="0"/>
          <w:marBottom w:val="0"/>
          <w:divBdr>
            <w:top w:val="none" w:sz="0" w:space="0" w:color="auto"/>
            <w:left w:val="none" w:sz="0" w:space="0" w:color="auto"/>
            <w:bottom w:val="none" w:sz="0" w:space="0" w:color="auto"/>
            <w:right w:val="none" w:sz="0" w:space="0" w:color="auto"/>
          </w:divBdr>
        </w:div>
        <w:div w:id="294149677">
          <w:marLeft w:val="0"/>
          <w:marRight w:val="0"/>
          <w:marTop w:val="0"/>
          <w:marBottom w:val="0"/>
          <w:divBdr>
            <w:top w:val="none" w:sz="0" w:space="0" w:color="auto"/>
            <w:left w:val="none" w:sz="0" w:space="0" w:color="auto"/>
            <w:bottom w:val="none" w:sz="0" w:space="0" w:color="auto"/>
            <w:right w:val="none" w:sz="0" w:space="0" w:color="auto"/>
          </w:divBdr>
        </w:div>
        <w:div w:id="294151754">
          <w:marLeft w:val="0"/>
          <w:marRight w:val="0"/>
          <w:marTop w:val="0"/>
          <w:marBottom w:val="0"/>
          <w:divBdr>
            <w:top w:val="none" w:sz="0" w:space="0" w:color="auto"/>
            <w:left w:val="none" w:sz="0" w:space="0" w:color="auto"/>
            <w:bottom w:val="none" w:sz="0" w:space="0" w:color="auto"/>
            <w:right w:val="none" w:sz="0" w:space="0" w:color="auto"/>
          </w:divBdr>
        </w:div>
        <w:div w:id="294153774">
          <w:marLeft w:val="0"/>
          <w:marRight w:val="0"/>
          <w:marTop w:val="0"/>
          <w:marBottom w:val="0"/>
          <w:divBdr>
            <w:top w:val="none" w:sz="0" w:space="0" w:color="auto"/>
            <w:left w:val="none" w:sz="0" w:space="0" w:color="auto"/>
            <w:bottom w:val="none" w:sz="0" w:space="0" w:color="auto"/>
            <w:right w:val="none" w:sz="0" w:space="0" w:color="auto"/>
          </w:divBdr>
        </w:div>
        <w:div w:id="294154007">
          <w:marLeft w:val="0"/>
          <w:marRight w:val="0"/>
          <w:marTop w:val="0"/>
          <w:marBottom w:val="0"/>
          <w:divBdr>
            <w:top w:val="none" w:sz="0" w:space="0" w:color="auto"/>
            <w:left w:val="none" w:sz="0" w:space="0" w:color="auto"/>
            <w:bottom w:val="none" w:sz="0" w:space="0" w:color="auto"/>
            <w:right w:val="none" w:sz="0" w:space="0" w:color="auto"/>
          </w:divBdr>
        </w:div>
      </w:divsChild>
    </w:div>
    <w:div w:id="294146592">
      <w:marLeft w:val="0"/>
      <w:marRight w:val="0"/>
      <w:marTop w:val="0"/>
      <w:marBottom w:val="0"/>
      <w:divBdr>
        <w:top w:val="none" w:sz="0" w:space="0" w:color="auto"/>
        <w:left w:val="none" w:sz="0" w:space="0" w:color="auto"/>
        <w:bottom w:val="none" w:sz="0" w:space="0" w:color="auto"/>
        <w:right w:val="none" w:sz="0" w:space="0" w:color="auto"/>
      </w:divBdr>
    </w:div>
    <w:div w:id="294146668">
      <w:marLeft w:val="0"/>
      <w:marRight w:val="0"/>
      <w:marTop w:val="0"/>
      <w:marBottom w:val="0"/>
      <w:divBdr>
        <w:top w:val="none" w:sz="0" w:space="0" w:color="auto"/>
        <w:left w:val="none" w:sz="0" w:space="0" w:color="auto"/>
        <w:bottom w:val="none" w:sz="0" w:space="0" w:color="auto"/>
        <w:right w:val="none" w:sz="0" w:space="0" w:color="auto"/>
      </w:divBdr>
      <w:divsChild>
        <w:div w:id="294152995">
          <w:marLeft w:val="0"/>
          <w:marRight w:val="0"/>
          <w:marTop w:val="0"/>
          <w:marBottom w:val="0"/>
          <w:divBdr>
            <w:top w:val="none" w:sz="0" w:space="0" w:color="auto"/>
            <w:left w:val="none" w:sz="0" w:space="0" w:color="auto"/>
            <w:bottom w:val="none" w:sz="0" w:space="0" w:color="auto"/>
            <w:right w:val="none" w:sz="0" w:space="0" w:color="auto"/>
          </w:divBdr>
        </w:div>
      </w:divsChild>
    </w:div>
    <w:div w:id="294146729">
      <w:marLeft w:val="0"/>
      <w:marRight w:val="0"/>
      <w:marTop w:val="0"/>
      <w:marBottom w:val="0"/>
      <w:divBdr>
        <w:top w:val="none" w:sz="0" w:space="0" w:color="auto"/>
        <w:left w:val="none" w:sz="0" w:space="0" w:color="auto"/>
        <w:bottom w:val="none" w:sz="0" w:space="0" w:color="auto"/>
        <w:right w:val="none" w:sz="0" w:space="0" w:color="auto"/>
      </w:divBdr>
      <w:divsChild>
        <w:div w:id="294155255">
          <w:marLeft w:val="0"/>
          <w:marRight w:val="0"/>
          <w:marTop w:val="0"/>
          <w:marBottom w:val="0"/>
          <w:divBdr>
            <w:top w:val="none" w:sz="0" w:space="0" w:color="auto"/>
            <w:left w:val="none" w:sz="0" w:space="0" w:color="auto"/>
            <w:bottom w:val="none" w:sz="0" w:space="0" w:color="auto"/>
            <w:right w:val="none" w:sz="0" w:space="0" w:color="auto"/>
          </w:divBdr>
          <w:divsChild>
            <w:div w:id="294141032">
              <w:marLeft w:val="0"/>
              <w:marRight w:val="0"/>
              <w:marTop w:val="0"/>
              <w:marBottom w:val="0"/>
              <w:divBdr>
                <w:top w:val="none" w:sz="0" w:space="0" w:color="auto"/>
                <w:left w:val="none" w:sz="0" w:space="0" w:color="auto"/>
                <w:bottom w:val="none" w:sz="0" w:space="0" w:color="auto"/>
                <w:right w:val="none" w:sz="0" w:space="0" w:color="auto"/>
              </w:divBdr>
            </w:div>
            <w:div w:id="294142574">
              <w:marLeft w:val="0"/>
              <w:marRight w:val="0"/>
              <w:marTop w:val="0"/>
              <w:marBottom w:val="0"/>
              <w:divBdr>
                <w:top w:val="none" w:sz="0" w:space="0" w:color="auto"/>
                <w:left w:val="none" w:sz="0" w:space="0" w:color="auto"/>
                <w:bottom w:val="none" w:sz="0" w:space="0" w:color="auto"/>
                <w:right w:val="none" w:sz="0" w:space="0" w:color="auto"/>
              </w:divBdr>
            </w:div>
            <w:div w:id="294144716">
              <w:marLeft w:val="0"/>
              <w:marRight w:val="0"/>
              <w:marTop w:val="0"/>
              <w:marBottom w:val="0"/>
              <w:divBdr>
                <w:top w:val="none" w:sz="0" w:space="0" w:color="auto"/>
                <w:left w:val="none" w:sz="0" w:space="0" w:color="auto"/>
                <w:bottom w:val="none" w:sz="0" w:space="0" w:color="auto"/>
                <w:right w:val="none" w:sz="0" w:space="0" w:color="auto"/>
              </w:divBdr>
            </w:div>
            <w:div w:id="294145093">
              <w:marLeft w:val="0"/>
              <w:marRight w:val="0"/>
              <w:marTop w:val="0"/>
              <w:marBottom w:val="0"/>
              <w:divBdr>
                <w:top w:val="none" w:sz="0" w:space="0" w:color="auto"/>
                <w:left w:val="none" w:sz="0" w:space="0" w:color="auto"/>
                <w:bottom w:val="none" w:sz="0" w:space="0" w:color="auto"/>
                <w:right w:val="none" w:sz="0" w:space="0" w:color="auto"/>
              </w:divBdr>
            </w:div>
            <w:div w:id="294145360">
              <w:marLeft w:val="0"/>
              <w:marRight w:val="0"/>
              <w:marTop w:val="0"/>
              <w:marBottom w:val="0"/>
              <w:divBdr>
                <w:top w:val="none" w:sz="0" w:space="0" w:color="auto"/>
                <w:left w:val="none" w:sz="0" w:space="0" w:color="auto"/>
                <w:bottom w:val="none" w:sz="0" w:space="0" w:color="auto"/>
                <w:right w:val="none" w:sz="0" w:space="0" w:color="auto"/>
              </w:divBdr>
            </w:div>
            <w:div w:id="294147804">
              <w:marLeft w:val="0"/>
              <w:marRight w:val="0"/>
              <w:marTop w:val="0"/>
              <w:marBottom w:val="0"/>
              <w:divBdr>
                <w:top w:val="none" w:sz="0" w:space="0" w:color="auto"/>
                <w:left w:val="none" w:sz="0" w:space="0" w:color="auto"/>
                <w:bottom w:val="none" w:sz="0" w:space="0" w:color="auto"/>
                <w:right w:val="none" w:sz="0" w:space="0" w:color="auto"/>
              </w:divBdr>
            </w:div>
            <w:div w:id="294155111">
              <w:marLeft w:val="0"/>
              <w:marRight w:val="0"/>
              <w:marTop w:val="0"/>
              <w:marBottom w:val="0"/>
              <w:divBdr>
                <w:top w:val="none" w:sz="0" w:space="0" w:color="auto"/>
                <w:left w:val="none" w:sz="0" w:space="0" w:color="auto"/>
                <w:bottom w:val="none" w:sz="0" w:space="0" w:color="auto"/>
                <w:right w:val="none" w:sz="0" w:space="0" w:color="auto"/>
              </w:divBdr>
            </w:div>
            <w:div w:id="29415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6740">
      <w:marLeft w:val="0"/>
      <w:marRight w:val="0"/>
      <w:marTop w:val="0"/>
      <w:marBottom w:val="0"/>
      <w:divBdr>
        <w:top w:val="none" w:sz="0" w:space="0" w:color="auto"/>
        <w:left w:val="none" w:sz="0" w:space="0" w:color="auto"/>
        <w:bottom w:val="none" w:sz="0" w:space="0" w:color="auto"/>
        <w:right w:val="none" w:sz="0" w:space="0" w:color="auto"/>
      </w:divBdr>
      <w:divsChild>
        <w:div w:id="294141900">
          <w:marLeft w:val="0"/>
          <w:marRight w:val="0"/>
          <w:marTop w:val="0"/>
          <w:marBottom w:val="0"/>
          <w:divBdr>
            <w:top w:val="none" w:sz="0" w:space="0" w:color="auto"/>
            <w:left w:val="none" w:sz="0" w:space="0" w:color="auto"/>
            <w:bottom w:val="none" w:sz="0" w:space="0" w:color="auto"/>
            <w:right w:val="none" w:sz="0" w:space="0" w:color="auto"/>
          </w:divBdr>
        </w:div>
        <w:div w:id="294155841">
          <w:marLeft w:val="0"/>
          <w:marRight w:val="0"/>
          <w:marTop w:val="0"/>
          <w:marBottom w:val="0"/>
          <w:divBdr>
            <w:top w:val="none" w:sz="0" w:space="0" w:color="auto"/>
            <w:left w:val="none" w:sz="0" w:space="0" w:color="auto"/>
            <w:bottom w:val="none" w:sz="0" w:space="0" w:color="auto"/>
            <w:right w:val="none" w:sz="0" w:space="0" w:color="auto"/>
          </w:divBdr>
        </w:div>
      </w:divsChild>
    </w:div>
    <w:div w:id="294146743">
      <w:marLeft w:val="0"/>
      <w:marRight w:val="0"/>
      <w:marTop w:val="0"/>
      <w:marBottom w:val="0"/>
      <w:divBdr>
        <w:top w:val="none" w:sz="0" w:space="0" w:color="auto"/>
        <w:left w:val="none" w:sz="0" w:space="0" w:color="auto"/>
        <w:bottom w:val="none" w:sz="0" w:space="0" w:color="auto"/>
        <w:right w:val="none" w:sz="0" w:space="0" w:color="auto"/>
      </w:divBdr>
    </w:div>
    <w:div w:id="294146747">
      <w:marLeft w:val="0"/>
      <w:marRight w:val="0"/>
      <w:marTop w:val="0"/>
      <w:marBottom w:val="0"/>
      <w:divBdr>
        <w:top w:val="none" w:sz="0" w:space="0" w:color="auto"/>
        <w:left w:val="none" w:sz="0" w:space="0" w:color="auto"/>
        <w:bottom w:val="none" w:sz="0" w:space="0" w:color="auto"/>
        <w:right w:val="none" w:sz="0" w:space="0" w:color="auto"/>
      </w:divBdr>
    </w:div>
    <w:div w:id="294146787">
      <w:marLeft w:val="0"/>
      <w:marRight w:val="0"/>
      <w:marTop w:val="0"/>
      <w:marBottom w:val="0"/>
      <w:divBdr>
        <w:top w:val="none" w:sz="0" w:space="0" w:color="auto"/>
        <w:left w:val="none" w:sz="0" w:space="0" w:color="auto"/>
        <w:bottom w:val="none" w:sz="0" w:space="0" w:color="auto"/>
        <w:right w:val="none" w:sz="0" w:space="0" w:color="auto"/>
      </w:divBdr>
    </w:div>
    <w:div w:id="294146797">
      <w:marLeft w:val="0"/>
      <w:marRight w:val="0"/>
      <w:marTop w:val="0"/>
      <w:marBottom w:val="0"/>
      <w:divBdr>
        <w:top w:val="none" w:sz="0" w:space="0" w:color="auto"/>
        <w:left w:val="none" w:sz="0" w:space="0" w:color="auto"/>
        <w:bottom w:val="none" w:sz="0" w:space="0" w:color="auto"/>
        <w:right w:val="none" w:sz="0" w:space="0" w:color="auto"/>
      </w:divBdr>
    </w:div>
    <w:div w:id="294146800">
      <w:marLeft w:val="0"/>
      <w:marRight w:val="0"/>
      <w:marTop w:val="0"/>
      <w:marBottom w:val="0"/>
      <w:divBdr>
        <w:top w:val="none" w:sz="0" w:space="0" w:color="auto"/>
        <w:left w:val="none" w:sz="0" w:space="0" w:color="auto"/>
        <w:bottom w:val="none" w:sz="0" w:space="0" w:color="auto"/>
        <w:right w:val="none" w:sz="0" w:space="0" w:color="auto"/>
      </w:divBdr>
    </w:div>
    <w:div w:id="294146813">
      <w:marLeft w:val="0"/>
      <w:marRight w:val="0"/>
      <w:marTop w:val="0"/>
      <w:marBottom w:val="0"/>
      <w:divBdr>
        <w:top w:val="none" w:sz="0" w:space="0" w:color="auto"/>
        <w:left w:val="none" w:sz="0" w:space="0" w:color="auto"/>
        <w:bottom w:val="none" w:sz="0" w:space="0" w:color="auto"/>
        <w:right w:val="none" w:sz="0" w:space="0" w:color="auto"/>
      </w:divBdr>
    </w:div>
    <w:div w:id="294146852">
      <w:marLeft w:val="0"/>
      <w:marRight w:val="0"/>
      <w:marTop w:val="0"/>
      <w:marBottom w:val="0"/>
      <w:divBdr>
        <w:top w:val="none" w:sz="0" w:space="0" w:color="auto"/>
        <w:left w:val="none" w:sz="0" w:space="0" w:color="auto"/>
        <w:bottom w:val="none" w:sz="0" w:space="0" w:color="auto"/>
        <w:right w:val="none" w:sz="0" w:space="0" w:color="auto"/>
      </w:divBdr>
    </w:div>
    <w:div w:id="294146887">
      <w:marLeft w:val="0"/>
      <w:marRight w:val="0"/>
      <w:marTop w:val="0"/>
      <w:marBottom w:val="0"/>
      <w:divBdr>
        <w:top w:val="none" w:sz="0" w:space="0" w:color="auto"/>
        <w:left w:val="none" w:sz="0" w:space="0" w:color="auto"/>
        <w:bottom w:val="none" w:sz="0" w:space="0" w:color="auto"/>
        <w:right w:val="none" w:sz="0" w:space="0" w:color="auto"/>
      </w:divBdr>
      <w:divsChild>
        <w:div w:id="294139318">
          <w:marLeft w:val="0"/>
          <w:marRight w:val="0"/>
          <w:marTop w:val="0"/>
          <w:marBottom w:val="0"/>
          <w:divBdr>
            <w:top w:val="none" w:sz="0" w:space="0" w:color="auto"/>
            <w:left w:val="none" w:sz="0" w:space="0" w:color="auto"/>
            <w:bottom w:val="none" w:sz="0" w:space="0" w:color="auto"/>
            <w:right w:val="none" w:sz="0" w:space="0" w:color="auto"/>
          </w:divBdr>
          <w:divsChild>
            <w:div w:id="294141296">
              <w:marLeft w:val="0"/>
              <w:marRight w:val="0"/>
              <w:marTop w:val="0"/>
              <w:marBottom w:val="0"/>
              <w:divBdr>
                <w:top w:val="none" w:sz="0" w:space="0" w:color="auto"/>
                <w:left w:val="none" w:sz="0" w:space="0" w:color="auto"/>
                <w:bottom w:val="none" w:sz="0" w:space="0" w:color="auto"/>
                <w:right w:val="none" w:sz="0" w:space="0" w:color="auto"/>
              </w:divBdr>
              <w:divsChild>
                <w:div w:id="294156380">
                  <w:marLeft w:val="0"/>
                  <w:marRight w:val="0"/>
                  <w:marTop w:val="0"/>
                  <w:marBottom w:val="0"/>
                  <w:divBdr>
                    <w:top w:val="none" w:sz="0" w:space="0" w:color="auto"/>
                    <w:left w:val="none" w:sz="0" w:space="0" w:color="auto"/>
                    <w:bottom w:val="none" w:sz="0" w:space="0" w:color="auto"/>
                    <w:right w:val="none" w:sz="0" w:space="0" w:color="auto"/>
                  </w:divBdr>
                  <w:divsChild>
                    <w:div w:id="294138243">
                      <w:marLeft w:val="0"/>
                      <w:marRight w:val="0"/>
                      <w:marTop w:val="0"/>
                      <w:marBottom w:val="0"/>
                      <w:divBdr>
                        <w:top w:val="none" w:sz="0" w:space="0" w:color="auto"/>
                        <w:left w:val="none" w:sz="0" w:space="0" w:color="auto"/>
                        <w:bottom w:val="none" w:sz="0" w:space="0" w:color="auto"/>
                        <w:right w:val="none" w:sz="0" w:space="0" w:color="auto"/>
                      </w:divBdr>
                      <w:divsChild>
                        <w:div w:id="294143347">
                          <w:marLeft w:val="0"/>
                          <w:marRight w:val="0"/>
                          <w:marTop w:val="0"/>
                          <w:marBottom w:val="0"/>
                          <w:divBdr>
                            <w:top w:val="none" w:sz="0" w:space="0" w:color="auto"/>
                            <w:left w:val="none" w:sz="0" w:space="0" w:color="auto"/>
                            <w:bottom w:val="none" w:sz="0" w:space="0" w:color="auto"/>
                            <w:right w:val="none" w:sz="0" w:space="0" w:color="auto"/>
                          </w:divBdr>
                        </w:div>
                      </w:divsChild>
                    </w:div>
                    <w:div w:id="294138408">
                      <w:marLeft w:val="0"/>
                      <w:marRight w:val="0"/>
                      <w:marTop w:val="0"/>
                      <w:marBottom w:val="0"/>
                      <w:divBdr>
                        <w:top w:val="none" w:sz="0" w:space="0" w:color="auto"/>
                        <w:left w:val="none" w:sz="0" w:space="0" w:color="auto"/>
                        <w:bottom w:val="none" w:sz="0" w:space="0" w:color="auto"/>
                        <w:right w:val="none" w:sz="0" w:space="0" w:color="auto"/>
                      </w:divBdr>
                    </w:div>
                    <w:div w:id="294138541">
                      <w:marLeft w:val="0"/>
                      <w:marRight w:val="0"/>
                      <w:marTop w:val="0"/>
                      <w:marBottom w:val="0"/>
                      <w:divBdr>
                        <w:top w:val="none" w:sz="0" w:space="0" w:color="auto"/>
                        <w:left w:val="none" w:sz="0" w:space="0" w:color="auto"/>
                        <w:bottom w:val="none" w:sz="0" w:space="0" w:color="auto"/>
                        <w:right w:val="none" w:sz="0" w:space="0" w:color="auto"/>
                      </w:divBdr>
                      <w:divsChild>
                        <w:div w:id="294150420">
                          <w:marLeft w:val="0"/>
                          <w:marRight w:val="0"/>
                          <w:marTop w:val="0"/>
                          <w:marBottom w:val="0"/>
                          <w:divBdr>
                            <w:top w:val="none" w:sz="0" w:space="0" w:color="auto"/>
                            <w:left w:val="none" w:sz="0" w:space="0" w:color="auto"/>
                            <w:bottom w:val="none" w:sz="0" w:space="0" w:color="auto"/>
                            <w:right w:val="none" w:sz="0" w:space="0" w:color="auto"/>
                          </w:divBdr>
                        </w:div>
                      </w:divsChild>
                    </w:div>
                    <w:div w:id="294138583">
                      <w:marLeft w:val="0"/>
                      <w:marRight w:val="0"/>
                      <w:marTop w:val="0"/>
                      <w:marBottom w:val="0"/>
                      <w:divBdr>
                        <w:top w:val="none" w:sz="0" w:space="0" w:color="auto"/>
                        <w:left w:val="none" w:sz="0" w:space="0" w:color="auto"/>
                        <w:bottom w:val="none" w:sz="0" w:space="0" w:color="auto"/>
                        <w:right w:val="none" w:sz="0" w:space="0" w:color="auto"/>
                      </w:divBdr>
                    </w:div>
                    <w:div w:id="294138610">
                      <w:marLeft w:val="0"/>
                      <w:marRight w:val="0"/>
                      <w:marTop w:val="0"/>
                      <w:marBottom w:val="0"/>
                      <w:divBdr>
                        <w:top w:val="none" w:sz="0" w:space="0" w:color="auto"/>
                        <w:left w:val="none" w:sz="0" w:space="0" w:color="auto"/>
                        <w:bottom w:val="none" w:sz="0" w:space="0" w:color="auto"/>
                        <w:right w:val="none" w:sz="0" w:space="0" w:color="auto"/>
                      </w:divBdr>
                      <w:divsChild>
                        <w:div w:id="294148457">
                          <w:marLeft w:val="0"/>
                          <w:marRight w:val="0"/>
                          <w:marTop w:val="0"/>
                          <w:marBottom w:val="0"/>
                          <w:divBdr>
                            <w:top w:val="none" w:sz="0" w:space="0" w:color="auto"/>
                            <w:left w:val="none" w:sz="0" w:space="0" w:color="auto"/>
                            <w:bottom w:val="none" w:sz="0" w:space="0" w:color="auto"/>
                            <w:right w:val="none" w:sz="0" w:space="0" w:color="auto"/>
                          </w:divBdr>
                        </w:div>
                      </w:divsChild>
                    </w:div>
                    <w:div w:id="294138766">
                      <w:marLeft w:val="0"/>
                      <w:marRight w:val="0"/>
                      <w:marTop w:val="0"/>
                      <w:marBottom w:val="0"/>
                      <w:divBdr>
                        <w:top w:val="none" w:sz="0" w:space="0" w:color="auto"/>
                        <w:left w:val="none" w:sz="0" w:space="0" w:color="auto"/>
                        <w:bottom w:val="none" w:sz="0" w:space="0" w:color="auto"/>
                        <w:right w:val="none" w:sz="0" w:space="0" w:color="auto"/>
                      </w:divBdr>
                      <w:divsChild>
                        <w:div w:id="294149829">
                          <w:marLeft w:val="0"/>
                          <w:marRight w:val="0"/>
                          <w:marTop w:val="0"/>
                          <w:marBottom w:val="0"/>
                          <w:divBdr>
                            <w:top w:val="none" w:sz="0" w:space="0" w:color="auto"/>
                            <w:left w:val="none" w:sz="0" w:space="0" w:color="auto"/>
                            <w:bottom w:val="none" w:sz="0" w:space="0" w:color="auto"/>
                            <w:right w:val="none" w:sz="0" w:space="0" w:color="auto"/>
                          </w:divBdr>
                        </w:div>
                      </w:divsChild>
                    </w:div>
                    <w:div w:id="294138849">
                      <w:marLeft w:val="0"/>
                      <w:marRight w:val="0"/>
                      <w:marTop w:val="0"/>
                      <w:marBottom w:val="0"/>
                      <w:divBdr>
                        <w:top w:val="none" w:sz="0" w:space="0" w:color="auto"/>
                        <w:left w:val="none" w:sz="0" w:space="0" w:color="auto"/>
                        <w:bottom w:val="none" w:sz="0" w:space="0" w:color="auto"/>
                        <w:right w:val="none" w:sz="0" w:space="0" w:color="auto"/>
                      </w:divBdr>
                    </w:div>
                    <w:div w:id="294138940">
                      <w:marLeft w:val="0"/>
                      <w:marRight w:val="0"/>
                      <w:marTop w:val="0"/>
                      <w:marBottom w:val="0"/>
                      <w:divBdr>
                        <w:top w:val="none" w:sz="0" w:space="0" w:color="auto"/>
                        <w:left w:val="none" w:sz="0" w:space="0" w:color="auto"/>
                        <w:bottom w:val="none" w:sz="0" w:space="0" w:color="auto"/>
                        <w:right w:val="none" w:sz="0" w:space="0" w:color="auto"/>
                      </w:divBdr>
                    </w:div>
                    <w:div w:id="294138976">
                      <w:marLeft w:val="0"/>
                      <w:marRight w:val="0"/>
                      <w:marTop w:val="0"/>
                      <w:marBottom w:val="0"/>
                      <w:divBdr>
                        <w:top w:val="none" w:sz="0" w:space="0" w:color="auto"/>
                        <w:left w:val="none" w:sz="0" w:space="0" w:color="auto"/>
                        <w:bottom w:val="none" w:sz="0" w:space="0" w:color="auto"/>
                        <w:right w:val="none" w:sz="0" w:space="0" w:color="auto"/>
                      </w:divBdr>
                    </w:div>
                    <w:div w:id="294138980">
                      <w:marLeft w:val="0"/>
                      <w:marRight w:val="0"/>
                      <w:marTop w:val="0"/>
                      <w:marBottom w:val="0"/>
                      <w:divBdr>
                        <w:top w:val="none" w:sz="0" w:space="0" w:color="auto"/>
                        <w:left w:val="none" w:sz="0" w:space="0" w:color="auto"/>
                        <w:bottom w:val="none" w:sz="0" w:space="0" w:color="auto"/>
                        <w:right w:val="none" w:sz="0" w:space="0" w:color="auto"/>
                      </w:divBdr>
                      <w:divsChild>
                        <w:div w:id="294139100">
                          <w:marLeft w:val="0"/>
                          <w:marRight w:val="0"/>
                          <w:marTop w:val="0"/>
                          <w:marBottom w:val="0"/>
                          <w:divBdr>
                            <w:top w:val="none" w:sz="0" w:space="0" w:color="auto"/>
                            <w:left w:val="none" w:sz="0" w:space="0" w:color="auto"/>
                            <w:bottom w:val="none" w:sz="0" w:space="0" w:color="auto"/>
                            <w:right w:val="none" w:sz="0" w:space="0" w:color="auto"/>
                          </w:divBdr>
                        </w:div>
                      </w:divsChild>
                    </w:div>
                    <w:div w:id="294139111">
                      <w:marLeft w:val="0"/>
                      <w:marRight w:val="0"/>
                      <w:marTop w:val="0"/>
                      <w:marBottom w:val="0"/>
                      <w:divBdr>
                        <w:top w:val="none" w:sz="0" w:space="0" w:color="auto"/>
                        <w:left w:val="none" w:sz="0" w:space="0" w:color="auto"/>
                        <w:bottom w:val="none" w:sz="0" w:space="0" w:color="auto"/>
                        <w:right w:val="none" w:sz="0" w:space="0" w:color="auto"/>
                      </w:divBdr>
                    </w:div>
                    <w:div w:id="294139165">
                      <w:marLeft w:val="0"/>
                      <w:marRight w:val="0"/>
                      <w:marTop w:val="0"/>
                      <w:marBottom w:val="0"/>
                      <w:divBdr>
                        <w:top w:val="none" w:sz="0" w:space="0" w:color="auto"/>
                        <w:left w:val="none" w:sz="0" w:space="0" w:color="auto"/>
                        <w:bottom w:val="none" w:sz="0" w:space="0" w:color="auto"/>
                        <w:right w:val="none" w:sz="0" w:space="0" w:color="auto"/>
                      </w:divBdr>
                    </w:div>
                    <w:div w:id="294139172">
                      <w:marLeft w:val="0"/>
                      <w:marRight w:val="0"/>
                      <w:marTop w:val="0"/>
                      <w:marBottom w:val="0"/>
                      <w:divBdr>
                        <w:top w:val="none" w:sz="0" w:space="0" w:color="auto"/>
                        <w:left w:val="none" w:sz="0" w:space="0" w:color="auto"/>
                        <w:bottom w:val="none" w:sz="0" w:space="0" w:color="auto"/>
                        <w:right w:val="none" w:sz="0" w:space="0" w:color="auto"/>
                      </w:divBdr>
                      <w:divsChild>
                        <w:div w:id="294147644">
                          <w:marLeft w:val="0"/>
                          <w:marRight w:val="0"/>
                          <w:marTop w:val="0"/>
                          <w:marBottom w:val="0"/>
                          <w:divBdr>
                            <w:top w:val="none" w:sz="0" w:space="0" w:color="auto"/>
                            <w:left w:val="none" w:sz="0" w:space="0" w:color="auto"/>
                            <w:bottom w:val="none" w:sz="0" w:space="0" w:color="auto"/>
                            <w:right w:val="none" w:sz="0" w:space="0" w:color="auto"/>
                          </w:divBdr>
                        </w:div>
                      </w:divsChild>
                    </w:div>
                    <w:div w:id="294139180">
                      <w:marLeft w:val="0"/>
                      <w:marRight w:val="0"/>
                      <w:marTop w:val="0"/>
                      <w:marBottom w:val="0"/>
                      <w:divBdr>
                        <w:top w:val="none" w:sz="0" w:space="0" w:color="auto"/>
                        <w:left w:val="none" w:sz="0" w:space="0" w:color="auto"/>
                        <w:bottom w:val="none" w:sz="0" w:space="0" w:color="auto"/>
                        <w:right w:val="none" w:sz="0" w:space="0" w:color="auto"/>
                      </w:divBdr>
                    </w:div>
                    <w:div w:id="294139201">
                      <w:marLeft w:val="0"/>
                      <w:marRight w:val="0"/>
                      <w:marTop w:val="0"/>
                      <w:marBottom w:val="0"/>
                      <w:divBdr>
                        <w:top w:val="none" w:sz="0" w:space="0" w:color="auto"/>
                        <w:left w:val="none" w:sz="0" w:space="0" w:color="auto"/>
                        <w:bottom w:val="none" w:sz="0" w:space="0" w:color="auto"/>
                        <w:right w:val="none" w:sz="0" w:space="0" w:color="auto"/>
                      </w:divBdr>
                      <w:divsChild>
                        <w:div w:id="294147331">
                          <w:marLeft w:val="0"/>
                          <w:marRight w:val="0"/>
                          <w:marTop w:val="0"/>
                          <w:marBottom w:val="0"/>
                          <w:divBdr>
                            <w:top w:val="none" w:sz="0" w:space="0" w:color="auto"/>
                            <w:left w:val="none" w:sz="0" w:space="0" w:color="auto"/>
                            <w:bottom w:val="none" w:sz="0" w:space="0" w:color="auto"/>
                            <w:right w:val="none" w:sz="0" w:space="0" w:color="auto"/>
                          </w:divBdr>
                        </w:div>
                      </w:divsChild>
                    </w:div>
                    <w:div w:id="294139232">
                      <w:marLeft w:val="0"/>
                      <w:marRight w:val="0"/>
                      <w:marTop w:val="0"/>
                      <w:marBottom w:val="0"/>
                      <w:divBdr>
                        <w:top w:val="none" w:sz="0" w:space="0" w:color="auto"/>
                        <w:left w:val="none" w:sz="0" w:space="0" w:color="auto"/>
                        <w:bottom w:val="none" w:sz="0" w:space="0" w:color="auto"/>
                        <w:right w:val="none" w:sz="0" w:space="0" w:color="auto"/>
                      </w:divBdr>
                      <w:divsChild>
                        <w:div w:id="294139226">
                          <w:marLeft w:val="0"/>
                          <w:marRight w:val="0"/>
                          <w:marTop w:val="0"/>
                          <w:marBottom w:val="0"/>
                          <w:divBdr>
                            <w:top w:val="none" w:sz="0" w:space="0" w:color="auto"/>
                            <w:left w:val="none" w:sz="0" w:space="0" w:color="auto"/>
                            <w:bottom w:val="none" w:sz="0" w:space="0" w:color="auto"/>
                            <w:right w:val="none" w:sz="0" w:space="0" w:color="auto"/>
                          </w:divBdr>
                        </w:div>
                      </w:divsChild>
                    </w:div>
                    <w:div w:id="294139277">
                      <w:marLeft w:val="0"/>
                      <w:marRight w:val="0"/>
                      <w:marTop w:val="0"/>
                      <w:marBottom w:val="0"/>
                      <w:divBdr>
                        <w:top w:val="none" w:sz="0" w:space="0" w:color="auto"/>
                        <w:left w:val="none" w:sz="0" w:space="0" w:color="auto"/>
                        <w:bottom w:val="none" w:sz="0" w:space="0" w:color="auto"/>
                        <w:right w:val="none" w:sz="0" w:space="0" w:color="auto"/>
                      </w:divBdr>
                    </w:div>
                    <w:div w:id="294139300">
                      <w:marLeft w:val="0"/>
                      <w:marRight w:val="0"/>
                      <w:marTop w:val="0"/>
                      <w:marBottom w:val="0"/>
                      <w:divBdr>
                        <w:top w:val="none" w:sz="0" w:space="0" w:color="auto"/>
                        <w:left w:val="none" w:sz="0" w:space="0" w:color="auto"/>
                        <w:bottom w:val="none" w:sz="0" w:space="0" w:color="auto"/>
                        <w:right w:val="none" w:sz="0" w:space="0" w:color="auto"/>
                      </w:divBdr>
                      <w:divsChild>
                        <w:div w:id="294155382">
                          <w:marLeft w:val="0"/>
                          <w:marRight w:val="0"/>
                          <w:marTop w:val="0"/>
                          <w:marBottom w:val="0"/>
                          <w:divBdr>
                            <w:top w:val="none" w:sz="0" w:space="0" w:color="auto"/>
                            <w:left w:val="none" w:sz="0" w:space="0" w:color="auto"/>
                            <w:bottom w:val="none" w:sz="0" w:space="0" w:color="auto"/>
                            <w:right w:val="none" w:sz="0" w:space="0" w:color="auto"/>
                          </w:divBdr>
                        </w:div>
                      </w:divsChild>
                    </w:div>
                    <w:div w:id="294139302">
                      <w:marLeft w:val="0"/>
                      <w:marRight w:val="0"/>
                      <w:marTop w:val="0"/>
                      <w:marBottom w:val="0"/>
                      <w:divBdr>
                        <w:top w:val="none" w:sz="0" w:space="0" w:color="auto"/>
                        <w:left w:val="none" w:sz="0" w:space="0" w:color="auto"/>
                        <w:bottom w:val="none" w:sz="0" w:space="0" w:color="auto"/>
                        <w:right w:val="none" w:sz="0" w:space="0" w:color="auto"/>
                      </w:divBdr>
                    </w:div>
                    <w:div w:id="294139431">
                      <w:marLeft w:val="0"/>
                      <w:marRight w:val="0"/>
                      <w:marTop w:val="0"/>
                      <w:marBottom w:val="0"/>
                      <w:divBdr>
                        <w:top w:val="none" w:sz="0" w:space="0" w:color="auto"/>
                        <w:left w:val="none" w:sz="0" w:space="0" w:color="auto"/>
                        <w:bottom w:val="none" w:sz="0" w:space="0" w:color="auto"/>
                        <w:right w:val="none" w:sz="0" w:space="0" w:color="auto"/>
                      </w:divBdr>
                      <w:divsChild>
                        <w:div w:id="294145943">
                          <w:marLeft w:val="0"/>
                          <w:marRight w:val="0"/>
                          <w:marTop w:val="0"/>
                          <w:marBottom w:val="0"/>
                          <w:divBdr>
                            <w:top w:val="none" w:sz="0" w:space="0" w:color="auto"/>
                            <w:left w:val="none" w:sz="0" w:space="0" w:color="auto"/>
                            <w:bottom w:val="none" w:sz="0" w:space="0" w:color="auto"/>
                            <w:right w:val="none" w:sz="0" w:space="0" w:color="auto"/>
                          </w:divBdr>
                        </w:div>
                      </w:divsChild>
                    </w:div>
                    <w:div w:id="294139449">
                      <w:marLeft w:val="0"/>
                      <w:marRight w:val="0"/>
                      <w:marTop w:val="0"/>
                      <w:marBottom w:val="0"/>
                      <w:divBdr>
                        <w:top w:val="none" w:sz="0" w:space="0" w:color="auto"/>
                        <w:left w:val="none" w:sz="0" w:space="0" w:color="auto"/>
                        <w:bottom w:val="none" w:sz="0" w:space="0" w:color="auto"/>
                        <w:right w:val="none" w:sz="0" w:space="0" w:color="auto"/>
                      </w:divBdr>
                      <w:divsChild>
                        <w:div w:id="294149133">
                          <w:marLeft w:val="0"/>
                          <w:marRight w:val="0"/>
                          <w:marTop w:val="0"/>
                          <w:marBottom w:val="0"/>
                          <w:divBdr>
                            <w:top w:val="none" w:sz="0" w:space="0" w:color="auto"/>
                            <w:left w:val="none" w:sz="0" w:space="0" w:color="auto"/>
                            <w:bottom w:val="none" w:sz="0" w:space="0" w:color="auto"/>
                            <w:right w:val="none" w:sz="0" w:space="0" w:color="auto"/>
                          </w:divBdr>
                        </w:div>
                      </w:divsChild>
                    </w:div>
                    <w:div w:id="294139567">
                      <w:marLeft w:val="0"/>
                      <w:marRight w:val="0"/>
                      <w:marTop w:val="0"/>
                      <w:marBottom w:val="0"/>
                      <w:divBdr>
                        <w:top w:val="none" w:sz="0" w:space="0" w:color="auto"/>
                        <w:left w:val="none" w:sz="0" w:space="0" w:color="auto"/>
                        <w:bottom w:val="none" w:sz="0" w:space="0" w:color="auto"/>
                        <w:right w:val="none" w:sz="0" w:space="0" w:color="auto"/>
                      </w:divBdr>
                    </w:div>
                    <w:div w:id="294139571">
                      <w:marLeft w:val="0"/>
                      <w:marRight w:val="0"/>
                      <w:marTop w:val="0"/>
                      <w:marBottom w:val="0"/>
                      <w:divBdr>
                        <w:top w:val="none" w:sz="0" w:space="0" w:color="auto"/>
                        <w:left w:val="none" w:sz="0" w:space="0" w:color="auto"/>
                        <w:bottom w:val="none" w:sz="0" w:space="0" w:color="auto"/>
                        <w:right w:val="none" w:sz="0" w:space="0" w:color="auto"/>
                      </w:divBdr>
                      <w:divsChild>
                        <w:div w:id="294148143">
                          <w:marLeft w:val="0"/>
                          <w:marRight w:val="0"/>
                          <w:marTop w:val="0"/>
                          <w:marBottom w:val="0"/>
                          <w:divBdr>
                            <w:top w:val="none" w:sz="0" w:space="0" w:color="auto"/>
                            <w:left w:val="none" w:sz="0" w:space="0" w:color="auto"/>
                            <w:bottom w:val="none" w:sz="0" w:space="0" w:color="auto"/>
                            <w:right w:val="none" w:sz="0" w:space="0" w:color="auto"/>
                          </w:divBdr>
                        </w:div>
                      </w:divsChild>
                    </w:div>
                    <w:div w:id="294139658">
                      <w:marLeft w:val="0"/>
                      <w:marRight w:val="0"/>
                      <w:marTop w:val="0"/>
                      <w:marBottom w:val="0"/>
                      <w:divBdr>
                        <w:top w:val="none" w:sz="0" w:space="0" w:color="auto"/>
                        <w:left w:val="none" w:sz="0" w:space="0" w:color="auto"/>
                        <w:bottom w:val="none" w:sz="0" w:space="0" w:color="auto"/>
                        <w:right w:val="none" w:sz="0" w:space="0" w:color="auto"/>
                      </w:divBdr>
                      <w:divsChild>
                        <w:div w:id="294138684">
                          <w:marLeft w:val="0"/>
                          <w:marRight w:val="0"/>
                          <w:marTop w:val="0"/>
                          <w:marBottom w:val="0"/>
                          <w:divBdr>
                            <w:top w:val="none" w:sz="0" w:space="0" w:color="auto"/>
                            <w:left w:val="none" w:sz="0" w:space="0" w:color="auto"/>
                            <w:bottom w:val="none" w:sz="0" w:space="0" w:color="auto"/>
                            <w:right w:val="none" w:sz="0" w:space="0" w:color="auto"/>
                          </w:divBdr>
                        </w:div>
                      </w:divsChild>
                    </w:div>
                    <w:div w:id="294139670">
                      <w:marLeft w:val="0"/>
                      <w:marRight w:val="0"/>
                      <w:marTop w:val="0"/>
                      <w:marBottom w:val="0"/>
                      <w:divBdr>
                        <w:top w:val="none" w:sz="0" w:space="0" w:color="auto"/>
                        <w:left w:val="none" w:sz="0" w:space="0" w:color="auto"/>
                        <w:bottom w:val="none" w:sz="0" w:space="0" w:color="auto"/>
                        <w:right w:val="none" w:sz="0" w:space="0" w:color="auto"/>
                      </w:divBdr>
                    </w:div>
                    <w:div w:id="294139723">
                      <w:marLeft w:val="0"/>
                      <w:marRight w:val="0"/>
                      <w:marTop w:val="0"/>
                      <w:marBottom w:val="0"/>
                      <w:divBdr>
                        <w:top w:val="none" w:sz="0" w:space="0" w:color="auto"/>
                        <w:left w:val="none" w:sz="0" w:space="0" w:color="auto"/>
                        <w:bottom w:val="none" w:sz="0" w:space="0" w:color="auto"/>
                        <w:right w:val="none" w:sz="0" w:space="0" w:color="auto"/>
                      </w:divBdr>
                    </w:div>
                    <w:div w:id="294139857">
                      <w:marLeft w:val="0"/>
                      <w:marRight w:val="0"/>
                      <w:marTop w:val="0"/>
                      <w:marBottom w:val="0"/>
                      <w:divBdr>
                        <w:top w:val="none" w:sz="0" w:space="0" w:color="auto"/>
                        <w:left w:val="none" w:sz="0" w:space="0" w:color="auto"/>
                        <w:bottom w:val="none" w:sz="0" w:space="0" w:color="auto"/>
                        <w:right w:val="none" w:sz="0" w:space="0" w:color="auto"/>
                      </w:divBdr>
                    </w:div>
                    <w:div w:id="294139982">
                      <w:marLeft w:val="0"/>
                      <w:marRight w:val="0"/>
                      <w:marTop w:val="0"/>
                      <w:marBottom w:val="0"/>
                      <w:divBdr>
                        <w:top w:val="none" w:sz="0" w:space="0" w:color="auto"/>
                        <w:left w:val="none" w:sz="0" w:space="0" w:color="auto"/>
                        <w:bottom w:val="none" w:sz="0" w:space="0" w:color="auto"/>
                        <w:right w:val="none" w:sz="0" w:space="0" w:color="auto"/>
                      </w:divBdr>
                    </w:div>
                    <w:div w:id="294140027">
                      <w:marLeft w:val="0"/>
                      <w:marRight w:val="0"/>
                      <w:marTop w:val="0"/>
                      <w:marBottom w:val="0"/>
                      <w:divBdr>
                        <w:top w:val="none" w:sz="0" w:space="0" w:color="auto"/>
                        <w:left w:val="none" w:sz="0" w:space="0" w:color="auto"/>
                        <w:bottom w:val="none" w:sz="0" w:space="0" w:color="auto"/>
                        <w:right w:val="none" w:sz="0" w:space="0" w:color="auto"/>
                      </w:divBdr>
                      <w:divsChild>
                        <w:div w:id="294157068">
                          <w:marLeft w:val="0"/>
                          <w:marRight w:val="0"/>
                          <w:marTop w:val="0"/>
                          <w:marBottom w:val="0"/>
                          <w:divBdr>
                            <w:top w:val="none" w:sz="0" w:space="0" w:color="auto"/>
                            <w:left w:val="none" w:sz="0" w:space="0" w:color="auto"/>
                            <w:bottom w:val="none" w:sz="0" w:space="0" w:color="auto"/>
                            <w:right w:val="none" w:sz="0" w:space="0" w:color="auto"/>
                          </w:divBdr>
                        </w:div>
                      </w:divsChild>
                    </w:div>
                    <w:div w:id="294140038">
                      <w:marLeft w:val="0"/>
                      <w:marRight w:val="0"/>
                      <w:marTop w:val="0"/>
                      <w:marBottom w:val="0"/>
                      <w:divBdr>
                        <w:top w:val="none" w:sz="0" w:space="0" w:color="auto"/>
                        <w:left w:val="none" w:sz="0" w:space="0" w:color="auto"/>
                        <w:bottom w:val="none" w:sz="0" w:space="0" w:color="auto"/>
                        <w:right w:val="none" w:sz="0" w:space="0" w:color="auto"/>
                      </w:divBdr>
                    </w:div>
                    <w:div w:id="294140086">
                      <w:marLeft w:val="0"/>
                      <w:marRight w:val="0"/>
                      <w:marTop w:val="0"/>
                      <w:marBottom w:val="0"/>
                      <w:divBdr>
                        <w:top w:val="none" w:sz="0" w:space="0" w:color="auto"/>
                        <w:left w:val="none" w:sz="0" w:space="0" w:color="auto"/>
                        <w:bottom w:val="none" w:sz="0" w:space="0" w:color="auto"/>
                        <w:right w:val="none" w:sz="0" w:space="0" w:color="auto"/>
                      </w:divBdr>
                      <w:divsChild>
                        <w:div w:id="294155158">
                          <w:marLeft w:val="0"/>
                          <w:marRight w:val="0"/>
                          <w:marTop w:val="0"/>
                          <w:marBottom w:val="0"/>
                          <w:divBdr>
                            <w:top w:val="none" w:sz="0" w:space="0" w:color="auto"/>
                            <w:left w:val="none" w:sz="0" w:space="0" w:color="auto"/>
                            <w:bottom w:val="none" w:sz="0" w:space="0" w:color="auto"/>
                            <w:right w:val="none" w:sz="0" w:space="0" w:color="auto"/>
                          </w:divBdr>
                        </w:div>
                      </w:divsChild>
                    </w:div>
                    <w:div w:id="294140102">
                      <w:marLeft w:val="0"/>
                      <w:marRight w:val="0"/>
                      <w:marTop w:val="0"/>
                      <w:marBottom w:val="0"/>
                      <w:divBdr>
                        <w:top w:val="none" w:sz="0" w:space="0" w:color="auto"/>
                        <w:left w:val="none" w:sz="0" w:space="0" w:color="auto"/>
                        <w:bottom w:val="none" w:sz="0" w:space="0" w:color="auto"/>
                        <w:right w:val="none" w:sz="0" w:space="0" w:color="auto"/>
                      </w:divBdr>
                    </w:div>
                    <w:div w:id="294140116">
                      <w:marLeft w:val="0"/>
                      <w:marRight w:val="0"/>
                      <w:marTop w:val="0"/>
                      <w:marBottom w:val="0"/>
                      <w:divBdr>
                        <w:top w:val="none" w:sz="0" w:space="0" w:color="auto"/>
                        <w:left w:val="none" w:sz="0" w:space="0" w:color="auto"/>
                        <w:bottom w:val="none" w:sz="0" w:space="0" w:color="auto"/>
                        <w:right w:val="none" w:sz="0" w:space="0" w:color="auto"/>
                      </w:divBdr>
                    </w:div>
                    <w:div w:id="294140117">
                      <w:marLeft w:val="0"/>
                      <w:marRight w:val="0"/>
                      <w:marTop w:val="0"/>
                      <w:marBottom w:val="0"/>
                      <w:divBdr>
                        <w:top w:val="none" w:sz="0" w:space="0" w:color="auto"/>
                        <w:left w:val="none" w:sz="0" w:space="0" w:color="auto"/>
                        <w:bottom w:val="none" w:sz="0" w:space="0" w:color="auto"/>
                        <w:right w:val="none" w:sz="0" w:space="0" w:color="auto"/>
                      </w:divBdr>
                      <w:divsChild>
                        <w:div w:id="294147661">
                          <w:marLeft w:val="0"/>
                          <w:marRight w:val="0"/>
                          <w:marTop w:val="0"/>
                          <w:marBottom w:val="0"/>
                          <w:divBdr>
                            <w:top w:val="none" w:sz="0" w:space="0" w:color="auto"/>
                            <w:left w:val="none" w:sz="0" w:space="0" w:color="auto"/>
                            <w:bottom w:val="none" w:sz="0" w:space="0" w:color="auto"/>
                            <w:right w:val="none" w:sz="0" w:space="0" w:color="auto"/>
                          </w:divBdr>
                        </w:div>
                      </w:divsChild>
                    </w:div>
                    <w:div w:id="294140123">
                      <w:marLeft w:val="0"/>
                      <w:marRight w:val="0"/>
                      <w:marTop w:val="0"/>
                      <w:marBottom w:val="0"/>
                      <w:divBdr>
                        <w:top w:val="none" w:sz="0" w:space="0" w:color="auto"/>
                        <w:left w:val="none" w:sz="0" w:space="0" w:color="auto"/>
                        <w:bottom w:val="none" w:sz="0" w:space="0" w:color="auto"/>
                        <w:right w:val="none" w:sz="0" w:space="0" w:color="auto"/>
                      </w:divBdr>
                      <w:divsChild>
                        <w:div w:id="294143656">
                          <w:marLeft w:val="0"/>
                          <w:marRight w:val="0"/>
                          <w:marTop w:val="0"/>
                          <w:marBottom w:val="0"/>
                          <w:divBdr>
                            <w:top w:val="none" w:sz="0" w:space="0" w:color="auto"/>
                            <w:left w:val="none" w:sz="0" w:space="0" w:color="auto"/>
                            <w:bottom w:val="none" w:sz="0" w:space="0" w:color="auto"/>
                            <w:right w:val="none" w:sz="0" w:space="0" w:color="auto"/>
                          </w:divBdr>
                        </w:div>
                      </w:divsChild>
                    </w:div>
                    <w:div w:id="294140152">
                      <w:marLeft w:val="0"/>
                      <w:marRight w:val="0"/>
                      <w:marTop w:val="0"/>
                      <w:marBottom w:val="0"/>
                      <w:divBdr>
                        <w:top w:val="none" w:sz="0" w:space="0" w:color="auto"/>
                        <w:left w:val="none" w:sz="0" w:space="0" w:color="auto"/>
                        <w:bottom w:val="none" w:sz="0" w:space="0" w:color="auto"/>
                        <w:right w:val="none" w:sz="0" w:space="0" w:color="auto"/>
                      </w:divBdr>
                    </w:div>
                    <w:div w:id="294140172">
                      <w:marLeft w:val="0"/>
                      <w:marRight w:val="0"/>
                      <w:marTop w:val="0"/>
                      <w:marBottom w:val="0"/>
                      <w:divBdr>
                        <w:top w:val="none" w:sz="0" w:space="0" w:color="auto"/>
                        <w:left w:val="none" w:sz="0" w:space="0" w:color="auto"/>
                        <w:bottom w:val="none" w:sz="0" w:space="0" w:color="auto"/>
                        <w:right w:val="none" w:sz="0" w:space="0" w:color="auto"/>
                      </w:divBdr>
                    </w:div>
                    <w:div w:id="294140231">
                      <w:marLeft w:val="0"/>
                      <w:marRight w:val="0"/>
                      <w:marTop w:val="0"/>
                      <w:marBottom w:val="0"/>
                      <w:divBdr>
                        <w:top w:val="none" w:sz="0" w:space="0" w:color="auto"/>
                        <w:left w:val="none" w:sz="0" w:space="0" w:color="auto"/>
                        <w:bottom w:val="none" w:sz="0" w:space="0" w:color="auto"/>
                        <w:right w:val="none" w:sz="0" w:space="0" w:color="auto"/>
                      </w:divBdr>
                    </w:div>
                    <w:div w:id="294140256">
                      <w:marLeft w:val="0"/>
                      <w:marRight w:val="0"/>
                      <w:marTop w:val="0"/>
                      <w:marBottom w:val="0"/>
                      <w:divBdr>
                        <w:top w:val="none" w:sz="0" w:space="0" w:color="auto"/>
                        <w:left w:val="none" w:sz="0" w:space="0" w:color="auto"/>
                        <w:bottom w:val="none" w:sz="0" w:space="0" w:color="auto"/>
                        <w:right w:val="none" w:sz="0" w:space="0" w:color="auto"/>
                      </w:divBdr>
                    </w:div>
                    <w:div w:id="294140266">
                      <w:marLeft w:val="0"/>
                      <w:marRight w:val="0"/>
                      <w:marTop w:val="0"/>
                      <w:marBottom w:val="0"/>
                      <w:divBdr>
                        <w:top w:val="none" w:sz="0" w:space="0" w:color="auto"/>
                        <w:left w:val="none" w:sz="0" w:space="0" w:color="auto"/>
                        <w:bottom w:val="none" w:sz="0" w:space="0" w:color="auto"/>
                        <w:right w:val="none" w:sz="0" w:space="0" w:color="auto"/>
                      </w:divBdr>
                      <w:divsChild>
                        <w:div w:id="294142290">
                          <w:marLeft w:val="0"/>
                          <w:marRight w:val="0"/>
                          <w:marTop w:val="0"/>
                          <w:marBottom w:val="0"/>
                          <w:divBdr>
                            <w:top w:val="none" w:sz="0" w:space="0" w:color="auto"/>
                            <w:left w:val="none" w:sz="0" w:space="0" w:color="auto"/>
                            <w:bottom w:val="none" w:sz="0" w:space="0" w:color="auto"/>
                            <w:right w:val="none" w:sz="0" w:space="0" w:color="auto"/>
                          </w:divBdr>
                        </w:div>
                      </w:divsChild>
                    </w:div>
                    <w:div w:id="294140289">
                      <w:marLeft w:val="0"/>
                      <w:marRight w:val="0"/>
                      <w:marTop w:val="0"/>
                      <w:marBottom w:val="0"/>
                      <w:divBdr>
                        <w:top w:val="none" w:sz="0" w:space="0" w:color="auto"/>
                        <w:left w:val="none" w:sz="0" w:space="0" w:color="auto"/>
                        <w:bottom w:val="none" w:sz="0" w:space="0" w:color="auto"/>
                        <w:right w:val="none" w:sz="0" w:space="0" w:color="auto"/>
                      </w:divBdr>
                      <w:divsChild>
                        <w:div w:id="294144561">
                          <w:marLeft w:val="0"/>
                          <w:marRight w:val="0"/>
                          <w:marTop w:val="0"/>
                          <w:marBottom w:val="0"/>
                          <w:divBdr>
                            <w:top w:val="none" w:sz="0" w:space="0" w:color="auto"/>
                            <w:left w:val="none" w:sz="0" w:space="0" w:color="auto"/>
                            <w:bottom w:val="none" w:sz="0" w:space="0" w:color="auto"/>
                            <w:right w:val="none" w:sz="0" w:space="0" w:color="auto"/>
                          </w:divBdr>
                        </w:div>
                      </w:divsChild>
                    </w:div>
                    <w:div w:id="294140290">
                      <w:marLeft w:val="0"/>
                      <w:marRight w:val="0"/>
                      <w:marTop w:val="0"/>
                      <w:marBottom w:val="0"/>
                      <w:divBdr>
                        <w:top w:val="none" w:sz="0" w:space="0" w:color="auto"/>
                        <w:left w:val="none" w:sz="0" w:space="0" w:color="auto"/>
                        <w:bottom w:val="none" w:sz="0" w:space="0" w:color="auto"/>
                        <w:right w:val="none" w:sz="0" w:space="0" w:color="auto"/>
                      </w:divBdr>
                    </w:div>
                    <w:div w:id="294140470">
                      <w:marLeft w:val="0"/>
                      <w:marRight w:val="0"/>
                      <w:marTop w:val="0"/>
                      <w:marBottom w:val="0"/>
                      <w:divBdr>
                        <w:top w:val="none" w:sz="0" w:space="0" w:color="auto"/>
                        <w:left w:val="none" w:sz="0" w:space="0" w:color="auto"/>
                        <w:bottom w:val="none" w:sz="0" w:space="0" w:color="auto"/>
                        <w:right w:val="none" w:sz="0" w:space="0" w:color="auto"/>
                      </w:divBdr>
                    </w:div>
                    <w:div w:id="294140543">
                      <w:marLeft w:val="0"/>
                      <w:marRight w:val="0"/>
                      <w:marTop w:val="0"/>
                      <w:marBottom w:val="0"/>
                      <w:divBdr>
                        <w:top w:val="none" w:sz="0" w:space="0" w:color="auto"/>
                        <w:left w:val="none" w:sz="0" w:space="0" w:color="auto"/>
                        <w:bottom w:val="none" w:sz="0" w:space="0" w:color="auto"/>
                        <w:right w:val="none" w:sz="0" w:space="0" w:color="auto"/>
                      </w:divBdr>
                    </w:div>
                    <w:div w:id="294140746">
                      <w:marLeft w:val="0"/>
                      <w:marRight w:val="0"/>
                      <w:marTop w:val="0"/>
                      <w:marBottom w:val="0"/>
                      <w:divBdr>
                        <w:top w:val="none" w:sz="0" w:space="0" w:color="auto"/>
                        <w:left w:val="none" w:sz="0" w:space="0" w:color="auto"/>
                        <w:bottom w:val="none" w:sz="0" w:space="0" w:color="auto"/>
                        <w:right w:val="none" w:sz="0" w:space="0" w:color="auto"/>
                      </w:divBdr>
                      <w:divsChild>
                        <w:div w:id="294140601">
                          <w:marLeft w:val="0"/>
                          <w:marRight w:val="0"/>
                          <w:marTop w:val="0"/>
                          <w:marBottom w:val="0"/>
                          <w:divBdr>
                            <w:top w:val="none" w:sz="0" w:space="0" w:color="auto"/>
                            <w:left w:val="none" w:sz="0" w:space="0" w:color="auto"/>
                            <w:bottom w:val="none" w:sz="0" w:space="0" w:color="auto"/>
                            <w:right w:val="none" w:sz="0" w:space="0" w:color="auto"/>
                          </w:divBdr>
                        </w:div>
                      </w:divsChild>
                    </w:div>
                    <w:div w:id="294140764">
                      <w:marLeft w:val="0"/>
                      <w:marRight w:val="0"/>
                      <w:marTop w:val="0"/>
                      <w:marBottom w:val="0"/>
                      <w:divBdr>
                        <w:top w:val="none" w:sz="0" w:space="0" w:color="auto"/>
                        <w:left w:val="none" w:sz="0" w:space="0" w:color="auto"/>
                        <w:bottom w:val="none" w:sz="0" w:space="0" w:color="auto"/>
                        <w:right w:val="none" w:sz="0" w:space="0" w:color="auto"/>
                      </w:divBdr>
                    </w:div>
                    <w:div w:id="294140926">
                      <w:marLeft w:val="0"/>
                      <w:marRight w:val="0"/>
                      <w:marTop w:val="0"/>
                      <w:marBottom w:val="0"/>
                      <w:divBdr>
                        <w:top w:val="none" w:sz="0" w:space="0" w:color="auto"/>
                        <w:left w:val="none" w:sz="0" w:space="0" w:color="auto"/>
                        <w:bottom w:val="none" w:sz="0" w:space="0" w:color="auto"/>
                        <w:right w:val="none" w:sz="0" w:space="0" w:color="auto"/>
                      </w:divBdr>
                      <w:divsChild>
                        <w:div w:id="294140956">
                          <w:marLeft w:val="0"/>
                          <w:marRight w:val="0"/>
                          <w:marTop w:val="0"/>
                          <w:marBottom w:val="0"/>
                          <w:divBdr>
                            <w:top w:val="none" w:sz="0" w:space="0" w:color="auto"/>
                            <w:left w:val="none" w:sz="0" w:space="0" w:color="auto"/>
                            <w:bottom w:val="none" w:sz="0" w:space="0" w:color="auto"/>
                            <w:right w:val="none" w:sz="0" w:space="0" w:color="auto"/>
                          </w:divBdr>
                        </w:div>
                      </w:divsChild>
                    </w:div>
                    <w:div w:id="294140927">
                      <w:marLeft w:val="0"/>
                      <w:marRight w:val="0"/>
                      <w:marTop w:val="0"/>
                      <w:marBottom w:val="0"/>
                      <w:divBdr>
                        <w:top w:val="none" w:sz="0" w:space="0" w:color="auto"/>
                        <w:left w:val="none" w:sz="0" w:space="0" w:color="auto"/>
                        <w:bottom w:val="none" w:sz="0" w:space="0" w:color="auto"/>
                        <w:right w:val="none" w:sz="0" w:space="0" w:color="auto"/>
                      </w:divBdr>
                    </w:div>
                    <w:div w:id="294141036">
                      <w:marLeft w:val="0"/>
                      <w:marRight w:val="0"/>
                      <w:marTop w:val="0"/>
                      <w:marBottom w:val="0"/>
                      <w:divBdr>
                        <w:top w:val="none" w:sz="0" w:space="0" w:color="auto"/>
                        <w:left w:val="none" w:sz="0" w:space="0" w:color="auto"/>
                        <w:bottom w:val="none" w:sz="0" w:space="0" w:color="auto"/>
                        <w:right w:val="none" w:sz="0" w:space="0" w:color="auto"/>
                      </w:divBdr>
                    </w:div>
                    <w:div w:id="294141059">
                      <w:marLeft w:val="0"/>
                      <w:marRight w:val="0"/>
                      <w:marTop w:val="0"/>
                      <w:marBottom w:val="0"/>
                      <w:divBdr>
                        <w:top w:val="none" w:sz="0" w:space="0" w:color="auto"/>
                        <w:left w:val="none" w:sz="0" w:space="0" w:color="auto"/>
                        <w:bottom w:val="none" w:sz="0" w:space="0" w:color="auto"/>
                        <w:right w:val="none" w:sz="0" w:space="0" w:color="auto"/>
                      </w:divBdr>
                      <w:divsChild>
                        <w:div w:id="294150296">
                          <w:marLeft w:val="0"/>
                          <w:marRight w:val="0"/>
                          <w:marTop w:val="0"/>
                          <w:marBottom w:val="0"/>
                          <w:divBdr>
                            <w:top w:val="none" w:sz="0" w:space="0" w:color="auto"/>
                            <w:left w:val="none" w:sz="0" w:space="0" w:color="auto"/>
                            <w:bottom w:val="none" w:sz="0" w:space="0" w:color="auto"/>
                            <w:right w:val="none" w:sz="0" w:space="0" w:color="auto"/>
                          </w:divBdr>
                        </w:div>
                      </w:divsChild>
                    </w:div>
                    <w:div w:id="294141082">
                      <w:marLeft w:val="0"/>
                      <w:marRight w:val="0"/>
                      <w:marTop w:val="0"/>
                      <w:marBottom w:val="0"/>
                      <w:divBdr>
                        <w:top w:val="none" w:sz="0" w:space="0" w:color="auto"/>
                        <w:left w:val="none" w:sz="0" w:space="0" w:color="auto"/>
                        <w:bottom w:val="none" w:sz="0" w:space="0" w:color="auto"/>
                        <w:right w:val="none" w:sz="0" w:space="0" w:color="auto"/>
                      </w:divBdr>
                      <w:divsChild>
                        <w:div w:id="294154079">
                          <w:marLeft w:val="0"/>
                          <w:marRight w:val="0"/>
                          <w:marTop w:val="0"/>
                          <w:marBottom w:val="0"/>
                          <w:divBdr>
                            <w:top w:val="none" w:sz="0" w:space="0" w:color="auto"/>
                            <w:left w:val="none" w:sz="0" w:space="0" w:color="auto"/>
                            <w:bottom w:val="none" w:sz="0" w:space="0" w:color="auto"/>
                            <w:right w:val="none" w:sz="0" w:space="0" w:color="auto"/>
                          </w:divBdr>
                        </w:div>
                      </w:divsChild>
                    </w:div>
                    <w:div w:id="294141136">
                      <w:marLeft w:val="0"/>
                      <w:marRight w:val="0"/>
                      <w:marTop w:val="0"/>
                      <w:marBottom w:val="0"/>
                      <w:divBdr>
                        <w:top w:val="none" w:sz="0" w:space="0" w:color="auto"/>
                        <w:left w:val="none" w:sz="0" w:space="0" w:color="auto"/>
                        <w:bottom w:val="none" w:sz="0" w:space="0" w:color="auto"/>
                        <w:right w:val="none" w:sz="0" w:space="0" w:color="auto"/>
                      </w:divBdr>
                      <w:divsChild>
                        <w:div w:id="294154196">
                          <w:marLeft w:val="0"/>
                          <w:marRight w:val="0"/>
                          <w:marTop w:val="0"/>
                          <w:marBottom w:val="0"/>
                          <w:divBdr>
                            <w:top w:val="none" w:sz="0" w:space="0" w:color="auto"/>
                            <w:left w:val="none" w:sz="0" w:space="0" w:color="auto"/>
                            <w:bottom w:val="none" w:sz="0" w:space="0" w:color="auto"/>
                            <w:right w:val="none" w:sz="0" w:space="0" w:color="auto"/>
                          </w:divBdr>
                        </w:div>
                      </w:divsChild>
                    </w:div>
                    <w:div w:id="294141142">
                      <w:marLeft w:val="0"/>
                      <w:marRight w:val="0"/>
                      <w:marTop w:val="0"/>
                      <w:marBottom w:val="0"/>
                      <w:divBdr>
                        <w:top w:val="none" w:sz="0" w:space="0" w:color="auto"/>
                        <w:left w:val="none" w:sz="0" w:space="0" w:color="auto"/>
                        <w:bottom w:val="none" w:sz="0" w:space="0" w:color="auto"/>
                        <w:right w:val="none" w:sz="0" w:space="0" w:color="auto"/>
                      </w:divBdr>
                      <w:divsChild>
                        <w:div w:id="294152650">
                          <w:marLeft w:val="0"/>
                          <w:marRight w:val="0"/>
                          <w:marTop w:val="0"/>
                          <w:marBottom w:val="0"/>
                          <w:divBdr>
                            <w:top w:val="none" w:sz="0" w:space="0" w:color="auto"/>
                            <w:left w:val="none" w:sz="0" w:space="0" w:color="auto"/>
                            <w:bottom w:val="none" w:sz="0" w:space="0" w:color="auto"/>
                            <w:right w:val="none" w:sz="0" w:space="0" w:color="auto"/>
                          </w:divBdr>
                        </w:div>
                      </w:divsChild>
                    </w:div>
                    <w:div w:id="294141232">
                      <w:marLeft w:val="0"/>
                      <w:marRight w:val="0"/>
                      <w:marTop w:val="0"/>
                      <w:marBottom w:val="0"/>
                      <w:divBdr>
                        <w:top w:val="none" w:sz="0" w:space="0" w:color="auto"/>
                        <w:left w:val="none" w:sz="0" w:space="0" w:color="auto"/>
                        <w:bottom w:val="none" w:sz="0" w:space="0" w:color="auto"/>
                        <w:right w:val="none" w:sz="0" w:space="0" w:color="auto"/>
                      </w:divBdr>
                      <w:divsChild>
                        <w:div w:id="294146450">
                          <w:marLeft w:val="0"/>
                          <w:marRight w:val="0"/>
                          <w:marTop w:val="0"/>
                          <w:marBottom w:val="0"/>
                          <w:divBdr>
                            <w:top w:val="none" w:sz="0" w:space="0" w:color="auto"/>
                            <w:left w:val="none" w:sz="0" w:space="0" w:color="auto"/>
                            <w:bottom w:val="none" w:sz="0" w:space="0" w:color="auto"/>
                            <w:right w:val="none" w:sz="0" w:space="0" w:color="auto"/>
                          </w:divBdr>
                        </w:div>
                      </w:divsChild>
                    </w:div>
                    <w:div w:id="294141307">
                      <w:marLeft w:val="0"/>
                      <w:marRight w:val="0"/>
                      <w:marTop w:val="0"/>
                      <w:marBottom w:val="0"/>
                      <w:divBdr>
                        <w:top w:val="none" w:sz="0" w:space="0" w:color="auto"/>
                        <w:left w:val="none" w:sz="0" w:space="0" w:color="auto"/>
                        <w:bottom w:val="none" w:sz="0" w:space="0" w:color="auto"/>
                        <w:right w:val="none" w:sz="0" w:space="0" w:color="auto"/>
                      </w:divBdr>
                      <w:divsChild>
                        <w:div w:id="294156682">
                          <w:marLeft w:val="0"/>
                          <w:marRight w:val="0"/>
                          <w:marTop w:val="0"/>
                          <w:marBottom w:val="0"/>
                          <w:divBdr>
                            <w:top w:val="none" w:sz="0" w:space="0" w:color="auto"/>
                            <w:left w:val="none" w:sz="0" w:space="0" w:color="auto"/>
                            <w:bottom w:val="none" w:sz="0" w:space="0" w:color="auto"/>
                            <w:right w:val="none" w:sz="0" w:space="0" w:color="auto"/>
                          </w:divBdr>
                        </w:div>
                      </w:divsChild>
                    </w:div>
                    <w:div w:id="294141335">
                      <w:marLeft w:val="0"/>
                      <w:marRight w:val="0"/>
                      <w:marTop w:val="0"/>
                      <w:marBottom w:val="0"/>
                      <w:divBdr>
                        <w:top w:val="none" w:sz="0" w:space="0" w:color="auto"/>
                        <w:left w:val="none" w:sz="0" w:space="0" w:color="auto"/>
                        <w:bottom w:val="none" w:sz="0" w:space="0" w:color="auto"/>
                        <w:right w:val="none" w:sz="0" w:space="0" w:color="auto"/>
                      </w:divBdr>
                      <w:divsChild>
                        <w:div w:id="294153105">
                          <w:marLeft w:val="0"/>
                          <w:marRight w:val="0"/>
                          <w:marTop w:val="0"/>
                          <w:marBottom w:val="0"/>
                          <w:divBdr>
                            <w:top w:val="none" w:sz="0" w:space="0" w:color="auto"/>
                            <w:left w:val="none" w:sz="0" w:space="0" w:color="auto"/>
                            <w:bottom w:val="none" w:sz="0" w:space="0" w:color="auto"/>
                            <w:right w:val="none" w:sz="0" w:space="0" w:color="auto"/>
                          </w:divBdr>
                        </w:div>
                      </w:divsChild>
                    </w:div>
                    <w:div w:id="294141465">
                      <w:marLeft w:val="0"/>
                      <w:marRight w:val="0"/>
                      <w:marTop w:val="0"/>
                      <w:marBottom w:val="0"/>
                      <w:divBdr>
                        <w:top w:val="none" w:sz="0" w:space="0" w:color="auto"/>
                        <w:left w:val="none" w:sz="0" w:space="0" w:color="auto"/>
                        <w:bottom w:val="none" w:sz="0" w:space="0" w:color="auto"/>
                        <w:right w:val="none" w:sz="0" w:space="0" w:color="auto"/>
                      </w:divBdr>
                      <w:divsChild>
                        <w:div w:id="294150751">
                          <w:marLeft w:val="0"/>
                          <w:marRight w:val="0"/>
                          <w:marTop w:val="0"/>
                          <w:marBottom w:val="0"/>
                          <w:divBdr>
                            <w:top w:val="none" w:sz="0" w:space="0" w:color="auto"/>
                            <w:left w:val="none" w:sz="0" w:space="0" w:color="auto"/>
                            <w:bottom w:val="none" w:sz="0" w:space="0" w:color="auto"/>
                            <w:right w:val="none" w:sz="0" w:space="0" w:color="auto"/>
                          </w:divBdr>
                        </w:div>
                      </w:divsChild>
                    </w:div>
                    <w:div w:id="294141474">
                      <w:marLeft w:val="0"/>
                      <w:marRight w:val="0"/>
                      <w:marTop w:val="0"/>
                      <w:marBottom w:val="0"/>
                      <w:divBdr>
                        <w:top w:val="none" w:sz="0" w:space="0" w:color="auto"/>
                        <w:left w:val="none" w:sz="0" w:space="0" w:color="auto"/>
                        <w:bottom w:val="none" w:sz="0" w:space="0" w:color="auto"/>
                        <w:right w:val="none" w:sz="0" w:space="0" w:color="auto"/>
                      </w:divBdr>
                      <w:divsChild>
                        <w:div w:id="294139398">
                          <w:marLeft w:val="0"/>
                          <w:marRight w:val="0"/>
                          <w:marTop w:val="0"/>
                          <w:marBottom w:val="0"/>
                          <w:divBdr>
                            <w:top w:val="none" w:sz="0" w:space="0" w:color="auto"/>
                            <w:left w:val="none" w:sz="0" w:space="0" w:color="auto"/>
                            <w:bottom w:val="none" w:sz="0" w:space="0" w:color="auto"/>
                            <w:right w:val="none" w:sz="0" w:space="0" w:color="auto"/>
                          </w:divBdr>
                        </w:div>
                      </w:divsChild>
                    </w:div>
                    <w:div w:id="294141587">
                      <w:marLeft w:val="0"/>
                      <w:marRight w:val="0"/>
                      <w:marTop w:val="0"/>
                      <w:marBottom w:val="0"/>
                      <w:divBdr>
                        <w:top w:val="none" w:sz="0" w:space="0" w:color="auto"/>
                        <w:left w:val="none" w:sz="0" w:space="0" w:color="auto"/>
                        <w:bottom w:val="none" w:sz="0" w:space="0" w:color="auto"/>
                        <w:right w:val="none" w:sz="0" w:space="0" w:color="auto"/>
                      </w:divBdr>
                      <w:divsChild>
                        <w:div w:id="294152537">
                          <w:marLeft w:val="0"/>
                          <w:marRight w:val="0"/>
                          <w:marTop w:val="0"/>
                          <w:marBottom w:val="0"/>
                          <w:divBdr>
                            <w:top w:val="none" w:sz="0" w:space="0" w:color="auto"/>
                            <w:left w:val="none" w:sz="0" w:space="0" w:color="auto"/>
                            <w:bottom w:val="none" w:sz="0" w:space="0" w:color="auto"/>
                            <w:right w:val="none" w:sz="0" w:space="0" w:color="auto"/>
                          </w:divBdr>
                        </w:div>
                      </w:divsChild>
                    </w:div>
                    <w:div w:id="294141667">
                      <w:marLeft w:val="0"/>
                      <w:marRight w:val="0"/>
                      <w:marTop w:val="0"/>
                      <w:marBottom w:val="0"/>
                      <w:divBdr>
                        <w:top w:val="none" w:sz="0" w:space="0" w:color="auto"/>
                        <w:left w:val="none" w:sz="0" w:space="0" w:color="auto"/>
                        <w:bottom w:val="none" w:sz="0" w:space="0" w:color="auto"/>
                        <w:right w:val="none" w:sz="0" w:space="0" w:color="auto"/>
                      </w:divBdr>
                    </w:div>
                    <w:div w:id="294141740">
                      <w:marLeft w:val="0"/>
                      <w:marRight w:val="0"/>
                      <w:marTop w:val="0"/>
                      <w:marBottom w:val="0"/>
                      <w:divBdr>
                        <w:top w:val="none" w:sz="0" w:space="0" w:color="auto"/>
                        <w:left w:val="none" w:sz="0" w:space="0" w:color="auto"/>
                        <w:bottom w:val="none" w:sz="0" w:space="0" w:color="auto"/>
                        <w:right w:val="none" w:sz="0" w:space="0" w:color="auto"/>
                      </w:divBdr>
                    </w:div>
                    <w:div w:id="294141839">
                      <w:marLeft w:val="0"/>
                      <w:marRight w:val="0"/>
                      <w:marTop w:val="0"/>
                      <w:marBottom w:val="0"/>
                      <w:divBdr>
                        <w:top w:val="none" w:sz="0" w:space="0" w:color="auto"/>
                        <w:left w:val="none" w:sz="0" w:space="0" w:color="auto"/>
                        <w:bottom w:val="none" w:sz="0" w:space="0" w:color="auto"/>
                        <w:right w:val="none" w:sz="0" w:space="0" w:color="auto"/>
                      </w:divBdr>
                      <w:divsChild>
                        <w:div w:id="294138050">
                          <w:marLeft w:val="0"/>
                          <w:marRight w:val="0"/>
                          <w:marTop w:val="0"/>
                          <w:marBottom w:val="0"/>
                          <w:divBdr>
                            <w:top w:val="none" w:sz="0" w:space="0" w:color="auto"/>
                            <w:left w:val="none" w:sz="0" w:space="0" w:color="auto"/>
                            <w:bottom w:val="none" w:sz="0" w:space="0" w:color="auto"/>
                            <w:right w:val="none" w:sz="0" w:space="0" w:color="auto"/>
                          </w:divBdr>
                        </w:div>
                      </w:divsChild>
                    </w:div>
                    <w:div w:id="294141848">
                      <w:marLeft w:val="0"/>
                      <w:marRight w:val="0"/>
                      <w:marTop w:val="0"/>
                      <w:marBottom w:val="0"/>
                      <w:divBdr>
                        <w:top w:val="none" w:sz="0" w:space="0" w:color="auto"/>
                        <w:left w:val="none" w:sz="0" w:space="0" w:color="auto"/>
                        <w:bottom w:val="none" w:sz="0" w:space="0" w:color="auto"/>
                        <w:right w:val="none" w:sz="0" w:space="0" w:color="auto"/>
                      </w:divBdr>
                    </w:div>
                    <w:div w:id="294141861">
                      <w:marLeft w:val="0"/>
                      <w:marRight w:val="0"/>
                      <w:marTop w:val="0"/>
                      <w:marBottom w:val="0"/>
                      <w:divBdr>
                        <w:top w:val="none" w:sz="0" w:space="0" w:color="auto"/>
                        <w:left w:val="none" w:sz="0" w:space="0" w:color="auto"/>
                        <w:bottom w:val="none" w:sz="0" w:space="0" w:color="auto"/>
                        <w:right w:val="none" w:sz="0" w:space="0" w:color="auto"/>
                      </w:divBdr>
                    </w:div>
                    <w:div w:id="294141977">
                      <w:marLeft w:val="0"/>
                      <w:marRight w:val="0"/>
                      <w:marTop w:val="0"/>
                      <w:marBottom w:val="0"/>
                      <w:divBdr>
                        <w:top w:val="none" w:sz="0" w:space="0" w:color="auto"/>
                        <w:left w:val="none" w:sz="0" w:space="0" w:color="auto"/>
                        <w:bottom w:val="none" w:sz="0" w:space="0" w:color="auto"/>
                        <w:right w:val="none" w:sz="0" w:space="0" w:color="auto"/>
                      </w:divBdr>
                      <w:divsChild>
                        <w:div w:id="294153467">
                          <w:marLeft w:val="0"/>
                          <w:marRight w:val="0"/>
                          <w:marTop w:val="0"/>
                          <w:marBottom w:val="0"/>
                          <w:divBdr>
                            <w:top w:val="none" w:sz="0" w:space="0" w:color="auto"/>
                            <w:left w:val="none" w:sz="0" w:space="0" w:color="auto"/>
                            <w:bottom w:val="none" w:sz="0" w:space="0" w:color="auto"/>
                            <w:right w:val="none" w:sz="0" w:space="0" w:color="auto"/>
                          </w:divBdr>
                        </w:div>
                      </w:divsChild>
                    </w:div>
                    <w:div w:id="294142125">
                      <w:marLeft w:val="0"/>
                      <w:marRight w:val="0"/>
                      <w:marTop w:val="0"/>
                      <w:marBottom w:val="0"/>
                      <w:divBdr>
                        <w:top w:val="none" w:sz="0" w:space="0" w:color="auto"/>
                        <w:left w:val="none" w:sz="0" w:space="0" w:color="auto"/>
                        <w:bottom w:val="none" w:sz="0" w:space="0" w:color="auto"/>
                        <w:right w:val="none" w:sz="0" w:space="0" w:color="auto"/>
                      </w:divBdr>
                      <w:divsChild>
                        <w:div w:id="294138044">
                          <w:marLeft w:val="0"/>
                          <w:marRight w:val="0"/>
                          <w:marTop w:val="0"/>
                          <w:marBottom w:val="0"/>
                          <w:divBdr>
                            <w:top w:val="none" w:sz="0" w:space="0" w:color="auto"/>
                            <w:left w:val="none" w:sz="0" w:space="0" w:color="auto"/>
                            <w:bottom w:val="none" w:sz="0" w:space="0" w:color="auto"/>
                            <w:right w:val="none" w:sz="0" w:space="0" w:color="auto"/>
                          </w:divBdr>
                        </w:div>
                      </w:divsChild>
                    </w:div>
                    <w:div w:id="294142196">
                      <w:marLeft w:val="0"/>
                      <w:marRight w:val="0"/>
                      <w:marTop w:val="0"/>
                      <w:marBottom w:val="0"/>
                      <w:divBdr>
                        <w:top w:val="none" w:sz="0" w:space="0" w:color="auto"/>
                        <w:left w:val="none" w:sz="0" w:space="0" w:color="auto"/>
                        <w:bottom w:val="none" w:sz="0" w:space="0" w:color="auto"/>
                        <w:right w:val="none" w:sz="0" w:space="0" w:color="auto"/>
                      </w:divBdr>
                      <w:divsChild>
                        <w:div w:id="294155334">
                          <w:marLeft w:val="0"/>
                          <w:marRight w:val="0"/>
                          <w:marTop w:val="0"/>
                          <w:marBottom w:val="0"/>
                          <w:divBdr>
                            <w:top w:val="none" w:sz="0" w:space="0" w:color="auto"/>
                            <w:left w:val="none" w:sz="0" w:space="0" w:color="auto"/>
                            <w:bottom w:val="none" w:sz="0" w:space="0" w:color="auto"/>
                            <w:right w:val="none" w:sz="0" w:space="0" w:color="auto"/>
                          </w:divBdr>
                        </w:div>
                      </w:divsChild>
                    </w:div>
                    <w:div w:id="294142200">
                      <w:marLeft w:val="0"/>
                      <w:marRight w:val="0"/>
                      <w:marTop w:val="0"/>
                      <w:marBottom w:val="0"/>
                      <w:divBdr>
                        <w:top w:val="none" w:sz="0" w:space="0" w:color="auto"/>
                        <w:left w:val="none" w:sz="0" w:space="0" w:color="auto"/>
                        <w:bottom w:val="none" w:sz="0" w:space="0" w:color="auto"/>
                        <w:right w:val="none" w:sz="0" w:space="0" w:color="auto"/>
                      </w:divBdr>
                    </w:div>
                    <w:div w:id="294142266">
                      <w:marLeft w:val="0"/>
                      <w:marRight w:val="0"/>
                      <w:marTop w:val="0"/>
                      <w:marBottom w:val="0"/>
                      <w:divBdr>
                        <w:top w:val="none" w:sz="0" w:space="0" w:color="auto"/>
                        <w:left w:val="none" w:sz="0" w:space="0" w:color="auto"/>
                        <w:bottom w:val="none" w:sz="0" w:space="0" w:color="auto"/>
                        <w:right w:val="none" w:sz="0" w:space="0" w:color="auto"/>
                      </w:divBdr>
                    </w:div>
                    <w:div w:id="294142461">
                      <w:marLeft w:val="0"/>
                      <w:marRight w:val="0"/>
                      <w:marTop w:val="0"/>
                      <w:marBottom w:val="0"/>
                      <w:divBdr>
                        <w:top w:val="none" w:sz="0" w:space="0" w:color="auto"/>
                        <w:left w:val="none" w:sz="0" w:space="0" w:color="auto"/>
                        <w:bottom w:val="none" w:sz="0" w:space="0" w:color="auto"/>
                        <w:right w:val="none" w:sz="0" w:space="0" w:color="auto"/>
                      </w:divBdr>
                      <w:divsChild>
                        <w:div w:id="294149754">
                          <w:marLeft w:val="0"/>
                          <w:marRight w:val="0"/>
                          <w:marTop w:val="0"/>
                          <w:marBottom w:val="0"/>
                          <w:divBdr>
                            <w:top w:val="none" w:sz="0" w:space="0" w:color="auto"/>
                            <w:left w:val="none" w:sz="0" w:space="0" w:color="auto"/>
                            <w:bottom w:val="none" w:sz="0" w:space="0" w:color="auto"/>
                            <w:right w:val="none" w:sz="0" w:space="0" w:color="auto"/>
                          </w:divBdr>
                        </w:div>
                      </w:divsChild>
                    </w:div>
                    <w:div w:id="294142517">
                      <w:marLeft w:val="0"/>
                      <w:marRight w:val="0"/>
                      <w:marTop w:val="0"/>
                      <w:marBottom w:val="0"/>
                      <w:divBdr>
                        <w:top w:val="none" w:sz="0" w:space="0" w:color="auto"/>
                        <w:left w:val="none" w:sz="0" w:space="0" w:color="auto"/>
                        <w:bottom w:val="none" w:sz="0" w:space="0" w:color="auto"/>
                        <w:right w:val="none" w:sz="0" w:space="0" w:color="auto"/>
                      </w:divBdr>
                    </w:div>
                    <w:div w:id="294142637">
                      <w:marLeft w:val="0"/>
                      <w:marRight w:val="0"/>
                      <w:marTop w:val="0"/>
                      <w:marBottom w:val="0"/>
                      <w:divBdr>
                        <w:top w:val="none" w:sz="0" w:space="0" w:color="auto"/>
                        <w:left w:val="none" w:sz="0" w:space="0" w:color="auto"/>
                        <w:bottom w:val="none" w:sz="0" w:space="0" w:color="auto"/>
                        <w:right w:val="none" w:sz="0" w:space="0" w:color="auto"/>
                      </w:divBdr>
                    </w:div>
                    <w:div w:id="294142687">
                      <w:marLeft w:val="0"/>
                      <w:marRight w:val="0"/>
                      <w:marTop w:val="0"/>
                      <w:marBottom w:val="0"/>
                      <w:divBdr>
                        <w:top w:val="none" w:sz="0" w:space="0" w:color="auto"/>
                        <w:left w:val="none" w:sz="0" w:space="0" w:color="auto"/>
                        <w:bottom w:val="none" w:sz="0" w:space="0" w:color="auto"/>
                        <w:right w:val="none" w:sz="0" w:space="0" w:color="auto"/>
                      </w:divBdr>
                      <w:divsChild>
                        <w:div w:id="294142749">
                          <w:marLeft w:val="0"/>
                          <w:marRight w:val="0"/>
                          <w:marTop w:val="0"/>
                          <w:marBottom w:val="0"/>
                          <w:divBdr>
                            <w:top w:val="none" w:sz="0" w:space="0" w:color="auto"/>
                            <w:left w:val="none" w:sz="0" w:space="0" w:color="auto"/>
                            <w:bottom w:val="none" w:sz="0" w:space="0" w:color="auto"/>
                            <w:right w:val="none" w:sz="0" w:space="0" w:color="auto"/>
                          </w:divBdr>
                        </w:div>
                      </w:divsChild>
                    </w:div>
                    <w:div w:id="294142728">
                      <w:marLeft w:val="0"/>
                      <w:marRight w:val="0"/>
                      <w:marTop w:val="0"/>
                      <w:marBottom w:val="0"/>
                      <w:divBdr>
                        <w:top w:val="none" w:sz="0" w:space="0" w:color="auto"/>
                        <w:left w:val="none" w:sz="0" w:space="0" w:color="auto"/>
                        <w:bottom w:val="none" w:sz="0" w:space="0" w:color="auto"/>
                        <w:right w:val="none" w:sz="0" w:space="0" w:color="auto"/>
                      </w:divBdr>
                      <w:divsChild>
                        <w:div w:id="294146831">
                          <w:marLeft w:val="0"/>
                          <w:marRight w:val="0"/>
                          <w:marTop w:val="0"/>
                          <w:marBottom w:val="0"/>
                          <w:divBdr>
                            <w:top w:val="none" w:sz="0" w:space="0" w:color="auto"/>
                            <w:left w:val="none" w:sz="0" w:space="0" w:color="auto"/>
                            <w:bottom w:val="none" w:sz="0" w:space="0" w:color="auto"/>
                            <w:right w:val="none" w:sz="0" w:space="0" w:color="auto"/>
                          </w:divBdr>
                        </w:div>
                      </w:divsChild>
                    </w:div>
                    <w:div w:id="294142760">
                      <w:marLeft w:val="0"/>
                      <w:marRight w:val="0"/>
                      <w:marTop w:val="0"/>
                      <w:marBottom w:val="0"/>
                      <w:divBdr>
                        <w:top w:val="none" w:sz="0" w:space="0" w:color="auto"/>
                        <w:left w:val="none" w:sz="0" w:space="0" w:color="auto"/>
                        <w:bottom w:val="none" w:sz="0" w:space="0" w:color="auto"/>
                        <w:right w:val="none" w:sz="0" w:space="0" w:color="auto"/>
                      </w:divBdr>
                      <w:divsChild>
                        <w:div w:id="294144062">
                          <w:marLeft w:val="0"/>
                          <w:marRight w:val="0"/>
                          <w:marTop w:val="0"/>
                          <w:marBottom w:val="0"/>
                          <w:divBdr>
                            <w:top w:val="none" w:sz="0" w:space="0" w:color="auto"/>
                            <w:left w:val="none" w:sz="0" w:space="0" w:color="auto"/>
                            <w:bottom w:val="none" w:sz="0" w:space="0" w:color="auto"/>
                            <w:right w:val="none" w:sz="0" w:space="0" w:color="auto"/>
                          </w:divBdr>
                        </w:div>
                      </w:divsChild>
                    </w:div>
                    <w:div w:id="294142829">
                      <w:marLeft w:val="0"/>
                      <w:marRight w:val="0"/>
                      <w:marTop w:val="0"/>
                      <w:marBottom w:val="0"/>
                      <w:divBdr>
                        <w:top w:val="none" w:sz="0" w:space="0" w:color="auto"/>
                        <w:left w:val="none" w:sz="0" w:space="0" w:color="auto"/>
                        <w:bottom w:val="none" w:sz="0" w:space="0" w:color="auto"/>
                        <w:right w:val="none" w:sz="0" w:space="0" w:color="auto"/>
                      </w:divBdr>
                      <w:divsChild>
                        <w:div w:id="294148721">
                          <w:marLeft w:val="0"/>
                          <w:marRight w:val="0"/>
                          <w:marTop w:val="0"/>
                          <w:marBottom w:val="0"/>
                          <w:divBdr>
                            <w:top w:val="none" w:sz="0" w:space="0" w:color="auto"/>
                            <w:left w:val="none" w:sz="0" w:space="0" w:color="auto"/>
                            <w:bottom w:val="none" w:sz="0" w:space="0" w:color="auto"/>
                            <w:right w:val="none" w:sz="0" w:space="0" w:color="auto"/>
                          </w:divBdr>
                        </w:div>
                      </w:divsChild>
                    </w:div>
                    <w:div w:id="294142909">
                      <w:marLeft w:val="0"/>
                      <w:marRight w:val="0"/>
                      <w:marTop w:val="0"/>
                      <w:marBottom w:val="0"/>
                      <w:divBdr>
                        <w:top w:val="none" w:sz="0" w:space="0" w:color="auto"/>
                        <w:left w:val="none" w:sz="0" w:space="0" w:color="auto"/>
                        <w:bottom w:val="none" w:sz="0" w:space="0" w:color="auto"/>
                        <w:right w:val="none" w:sz="0" w:space="0" w:color="auto"/>
                      </w:divBdr>
                    </w:div>
                    <w:div w:id="294143077">
                      <w:marLeft w:val="0"/>
                      <w:marRight w:val="0"/>
                      <w:marTop w:val="0"/>
                      <w:marBottom w:val="0"/>
                      <w:divBdr>
                        <w:top w:val="none" w:sz="0" w:space="0" w:color="auto"/>
                        <w:left w:val="none" w:sz="0" w:space="0" w:color="auto"/>
                        <w:bottom w:val="none" w:sz="0" w:space="0" w:color="auto"/>
                        <w:right w:val="none" w:sz="0" w:space="0" w:color="auto"/>
                      </w:divBdr>
                      <w:divsChild>
                        <w:div w:id="294151455">
                          <w:marLeft w:val="0"/>
                          <w:marRight w:val="0"/>
                          <w:marTop w:val="0"/>
                          <w:marBottom w:val="0"/>
                          <w:divBdr>
                            <w:top w:val="none" w:sz="0" w:space="0" w:color="auto"/>
                            <w:left w:val="none" w:sz="0" w:space="0" w:color="auto"/>
                            <w:bottom w:val="none" w:sz="0" w:space="0" w:color="auto"/>
                            <w:right w:val="none" w:sz="0" w:space="0" w:color="auto"/>
                          </w:divBdr>
                        </w:div>
                      </w:divsChild>
                    </w:div>
                    <w:div w:id="294143109">
                      <w:marLeft w:val="0"/>
                      <w:marRight w:val="0"/>
                      <w:marTop w:val="0"/>
                      <w:marBottom w:val="0"/>
                      <w:divBdr>
                        <w:top w:val="none" w:sz="0" w:space="0" w:color="auto"/>
                        <w:left w:val="none" w:sz="0" w:space="0" w:color="auto"/>
                        <w:bottom w:val="none" w:sz="0" w:space="0" w:color="auto"/>
                        <w:right w:val="none" w:sz="0" w:space="0" w:color="auto"/>
                      </w:divBdr>
                      <w:divsChild>
                        <w:div w:id="294151133">
                          <w:marLeft w:val="0"/>
                          <w:marRight w:val="0"/>
                          <w:marTop w:val="0"/>
                          <w:marBottom w:val="0"/>
                          <w:divBdr>
                            <w:top w:val="none" w:sz="0" w:space="0" w:color="auto"/>
                            <w:left w:val="none" w:sz="0" w:space="0" w:color="auto"/>
                            <w:bottom w:val="none" w:sz="0" w:space="0" w:color="auto"/>
                            <w:right w:val="none" w:sz="0" w:space="0" w:color="auto"/>
                          </w:divBdr>
                        </w:div>
                      </w:divsChild>
                    </w:div>
                    <w:div w:id="294143148">
                      <w:marLeft w:val="0"/>
                      <w:marRight w:val="0"/>
                      <w:marTop w:val="0"/>
                      <w:marBottom w:val="0"/>
                      <w:divBdr>
                        <w:top w:val="none" w:sz="0" w:space="0" w:color="auto"/>
                        <w:left w:val="none" w:sz="0" w:space="0" w:color="auto"/>
                        <w:bottom w:val="none" w:sz="0" w:space="0" w:color="auto"/>
                        <w:right w:val="none" w:sz="0" w:space="0" w:color="auto"/>
                      </w:divBdr>
                      <w:divsChild>
                        <w:div w:id="294145853">
                          <w:marLeft w:val="0"/>
                          <w:marRight w:val="0"/>
                          <w:marTop w:val="0"/>
                          <w:marBottom w:val="0"/>
                          <w:divBdr>
                            <w:top w:val="none" w:sz="0" w:space="0" w:color="auto"/>
                            <w:left w:val="none" w:sz="0" w:space="0" w:color="auto"/>
                            <w:bottom w:val="none" w:sz="0" w:space="0" w:color="auto"/>
                            <w:right w:val="none" w:sz="0" w:space="0" w:color="auto"/>
                          </w:divBdr>
                        </w:div>
                      </w:divsChild>
                    </w:div>
                    <w:div w:id="294143238">
                      <w:marLeft w:val="0"/>
                      <w:marRight w:val="0"/>
                      <w:marTop w:val="0"/>
                      <w:marBottom w:val="0"/>
                      <w:divBdr>
                        <w:top w:val="none" w:sz="0" w:space="0" w:color="auto"/>
                        <w:left w:val="none" w:sz="0" w:space="0" w:color="auto"/>
                        <w:bottom w:val="none" w:sz="0" w:space="0" w:color="auto"/>
                        <w:right w:val="none" w:sz="0" w:space="0" w:color="auto"/>
                      </w:divBdr>
                      <w:divsChild>
                        <w:div w:id="294138072">
                          <w:marLeft w:val="0"/>
                          <w:marRight w:val="0"/>
                          <w:marTop w:val="0"/>
                          <w:marBottom w:val="0"/>
                          <w:divBdr>
                            <w:top w:val="none" w:sz="0" w:space="0" w:color="auto"/>
                            <w:left w:val="none" w:sz="0" w:space="0" w:color="auto"/>
                            <w:bottom w:val="none" w:sz="0" w:space="0" w:color="auto"/>
                            <w:right w:val="none" w:sz="0" w:space="0" w:color="auto"/>
                          </w:divBdr>
                        </w:div>
                      </w:divsChild>
                    </w:div>
                    <w:div w:id="294143241">
                      <w:marLeft w:val="0"/>
                      <w:marRight w:val="0"/>
                      <w:marTop w:val="0"/>
                      <w:marBottom w:val="0"/>
                      <w:divBdr>
                        <w:top w:val="none" w:sz="0" w:space="0" w:color="auto"/>
                        <w:left w:val="none" w:sz="0" w:space="0" w:color="auto"/>
                        <w:bottom w:val="none" w:sz="0" w:space="0" w:color="auto"/>
                        <w:right w:val="none" w:sz="0" w:space="0" w:color="auto"/>
                      </w:divBdr>
                      <w:divsChild>
                        <w:div w:id="294156781">
                          <w:marLeft w:val="0"/>
                          <w:marRight w:val="0"/>
                          <w:marTop w:val="0"/>
                          <w:marBottom w:val="0"/>
                          <w:divBdr>
                            <w:top w:val="none" w:sz="0" w:space="0" w:color="auto"/>
                            <w:left w:val="none" w:sz="0" w:space="0" w:color="auto"/>
                            <w:bottom w:val="none" w:sz="0" w:space="0" w:color="auto"/>
                            <w:right w:val="none" w:sz="0" w:space="0" w:color="auto"/>
                          </w:divBdr>
                        </w:div>
                      </w:divsChild>
                    </w:div>
                    <w:div w:id="294143317">
                      <w:marLeft w:val="0"/>
                      <w:marRight w:val="0"/>
                      <w:marTop w:val="0"/>
                      <w:marBottom w:val="0"/>
                      <w:divBdr>
                        <w:top w:val="none" w:sz="0" w:space="0" w:color="auto"/>
                        <w:left w:val="none" w:sz="0" w:space="0" w:color="auto"/>
                        <w:bottom w:val="none" w:sz="0" w:space="0" w:color="auto"/>
                        <w:right w:val="none" w:sz="0" w:space="0" w:color="auto"/>
                      </w:divBdr>
                      <w:divsChild>
                        <w:div w:id="294141211">
                          <w:marLeft w:val="0"/>
                          <w:marRight w:val="0"/>
                          <w:marTop w:val="0"/>
                          <w:marBottom w:val="0"/>
                          <w:divBdr>
                            <w:top w:val="none" w:sz="0" w:space="0" w:color="auto"/>
                            <w:left w:val="none" w:sz="0" w:space="0" w:color="auto"/>
                            <w:bottom w:val="none" w:sz="0" w:space="0" w:color="auto"/>
                            <w:right w:val="none" w:sz="0" w:space="0" w:color="auto"/>
                          </w:divBdr>
                        </w:div>
                      </w:divsChild>
                    </w:div>
                    <w:div w:id="294143393">
                      <w:marLeft w:val="0"/>
                      <w:marRight w:val="0"/>
                      <w:marTop w:val="0"/>
                      <w:marBottom w:val="0"/>
                      <w:divBdr>
                        <w:top w:val="none" w:sz="0" w:space="0" w:color="auto"/>
                        <w:left w:val="none" w:sz="0" w:space="0" w:color="auto"/>
                        <w:bottom w:val="none" w:sz="0" w:space="0" w:color="auto"/>
                        <w:right w:val="none" w:sz="0" w:space="0" w:color="auto"/>
                      </w:divBdr>
                    </w:div>
                    <w:div w:id="294143545">
                      <w:marLeft w:val="0"/>
                      <w:marRight w:val="0"/>
                      <w:marTop w:val="0"/>
                      <w:marBottom w:val="0"/>
                      <w:divBdr>
                        <w:top w:val="none" w:sz="0" w:space="0" w:color="auto"/>
                        <w:left w:val="none" w:sz="0" w:space="0" w:color="auto"/>
                        <w:bottom w:val="none" w:sz="0" w:space="0" w:color="auto"/>
                        <w:right w:val="none" w:sz="0" w:space="0" w:color="auto"/>
                      </w:divBdr>
                      <w:divsChild>
                        <w:div w:id="294155352">
                          <w:marLeft w:val="0"/>
                          <w:marRight w:val="0"/>
                          <w:marTop w:val="0"/>
                          <w:marBottom w:val="0"/>
                          <w:divBdr>
                            <w:top w:val="none" w:sz="0" w:space="0" w:color="auto"/>
                            <w:left w:val="none" w:sz="0" w:space="0" w:color="auto"/>
                            <w:bottom w:val="none" w:sz="0" w:space="0" w:color="auto"/>
                            <w:right w:val="none" w:sz="0" w:space="0" w:color="auto"/>
                          </w:divBdr>
                        </w:div>
                      </w:divsChild>
                    </w:div>
                    <w:div w:id="294143587">
                      <w:marLeft w:val="0"/>
                      <w:marRight w:val="0"/>
                      <w:marTop w:val="0"/>
                      <w:marBottom w:val="0"/>
                      <w:divBdr>
                        <w:top w:val="none" w:sz="0" w:space="0" w:color="auto"/>
                        <w:left w:val="none" w:sz="0" w:space="0" w:color="auto"/>
                        <w:bottom w:val="none" w:sz="0" w:space="0" w:color="auto"/>
                        <w:right w:val="none" w:sz="0" w:space="0" w:color="auto"/>
                      </w:divBdr>
                    </w:div>
                    <w:div w:id="294143593">
                      <w:marLeft w:val="0"/>
                      <w:marRight w:val="0"/>
                      <w:marTop w:val="0"/>
                      <w:marBottom w:val="0"/>
                      <w:divBdr>
                        <w:top w:val="none" w:sz="0" w:space="0" w:color="auto"/>
                        <w:left w:val="none" w:sz="0" w:space="0" w:color="auto"/>
                        <w:bottom w:val="none" w:sz="0" w:space="0" w:color="auto"/>
                        <w:right w:val="none" w:sz="0" w:space="0" w:color="auto"/>
                      </w:divBdr>
                    </w:div>
                    <w:div w:id="294143620">
                      <w:marLeft w:val="0"/>
                      <w:marRight w:val="0"/>
                      <w:marTop w:val="0"/>
                      <w:marBottom w:val="0"/>
                      <w:divBdr>
                        <w:top w:val="none" w:sz="0" w:space="0" w:color="auto"/>
                        <w:left w:val="none" w:sz="0" w:space="0" w:color="auto"/>
                        <w:bottom w:val="none" w:sz="0" w:space="0" w:color="auto"/>
                        <w:right w:val="none" w:sz="0" w:space="0" w:color="auto"/>
                      </w:divBdr>
                      <w:divsChild>
                        <w:div w:id="294140967">
                          <w:marLeft w:val="0"/>
                          <w:marRight w:val="0"/>
                          <w:marTop w:val="0"/>
                          <w:marBottom w:val="0"/>
                          <w:divBdr>
                            <w:top w:val="none" w:sz="0" w:space="0" w:color="auto"/>
                            <w:left w:val="none" w:sz="0" w:space="0" w:color="auto"/>
                            <w:bottom w:val="none" w:sz="0" w:space="0" w:color="auto"/>
                            <w:right w:val="none" w:sz="0" w:space="0" w:color="auto"/>
                          </w:divBdr>
                        </w:div>
                      </w:divsChild>
                    </w:div>
                    <w:div w:id="294143948">
                      <w:marLeft w:val="0"/>
                      <w:marRight w:val="0"/>
                      <w:marTop w:val="0"/>
                      <w:marBottom w:val="0"/>
                      <w:divBdr>
                        <w:top w:val="none" w:sz="0" w:space="0" w:color="auto"/>
                        <w:left w:val="none" w:sz="0" w:space="0" w:color="auto"/>
                        <w:bottom w:val="none" w:sz="0" w:space="0" w:color="auto"/>
                        <w:right w:val="none" w:sz="0" w:space="0" w:color="auto"/>
                      </w:divBdr>
                      <w:divsChild>
                        <w:div w:id="294153814">
                          <w:marLeft w:val="0"/>
                          <w:marRight w:val="0"/>
                          <w:marTop w:val="0"/>
                          <w:marBottom w:val="0"/>
                          <w:divBdr>
                            <w:top w:val="none" w:sz="0" w:space="0" w:color="auto"/>
                            <w:left w:val="none" w:sz="0" w:space="0" w:color="auto"/>
                            <w:bottom w:val="none" w:sz="0" w:space="0" w:color="auto"/>
                            <w:right w:val="none" w:sz="0" w:space="0" w:color="auto"/>
                          </w:divBdr>
                        </w:div>
                      </w:divsChild>
                    </w:div>
                    <w:div w:id="294143950">
                      <w:marLeft w:val="0"/>
                      <w:marRight w:val="0"/>
                      <w:marTop w:val="0"/>
                      <w:marBottom w:val="0"/>
                      <w:divBdr>
                        <w:top w:val="none" w:sz="0" w:space="0" w:color="auto"/>
                        <w:left w:val="none" w:sz="0" w:space="0" w:color="auto"/>
                        <w:bottom w:val="none" w:sz="0" w:space="0" w:color="auto"/>
                        <w:right w:val="none" w:sz="0" w:space="0" w:color="auto"/>
                      </w:divBdr>
                      <w:divsChild>
                        <w:div w:id="294150700">
                          <w:marLeft w:val="0"/>
                          <w:marRight w:val="0"/>
                          <w:marTop w:val="0"/>
                          <w:marBottom w:val="0"/>
                          <w:divBdr>
                            <w:top w:val="none" w:sz="0" w:space="0" w:color="auto"/>
                            <w:left w:val="none" w:sz="0" w:space="0" w:color="auto"/>
                            <w:bottom w:val="none" w:sz="0" w:space="0" w:color="auto"/>
                            <w:right w:val="none" w:sz="0" w:space="0" w:color="auto"/>
                          </w:divBdr>
                        </w:div>
                      </w:divsChild>
                    </w:div>
                    <w:div w:id="294143979">
                      <w:marLeft w:val="0"/>
                      <w:marRight w:val="0"/>
                      <w:marTop w:val="0"/>
                      <w:marBottom w:val="0"/>
                      <w:divBdr>
                        <w:top w:val="none" w:sz="0" w:space="0" w:color="auto"/>
                        <w:left w:val="none" w:sz="0" w:space="0" w:color="auto"/>
                        <w:bottom w:val="none" w:sz="0" w:space="0" w:color="auto"/>
                        <w:right w:val="none" w:sz="0" w:space="0" w:color="auto"/>
                      </w:divBdr>
                    </w:div>
                    <w:div w:id="294144046">
                      <w:marLeft w:val="0"/>
                      <w:marRight w:val="0"/>
                      <w:marTop w:val="0"/>
                      <w:marBottom w:val="0"/>
                      <w:divBdr>
                        <w:top w:val="none" w:sz="0" w:space="0" w:color="auto"/>
                        <w:left w:val="none" w:sz="0" w:space="0" w:color="auto"/>
                        <w:bottom w:val="none" w:sz="0" w:space="0" w:color="auto"/>
                        <w:right w:val="none" w:sz="0" w:space="0" w:color="auto"/>
                      </w:divBdr>
                    </w:div>
                    <w:div w:id="294144050">
                      <w:marLeft w:val="0"/>
                      <w:marRight w:val="0"/>
                      <w:marTop w:val="0"/>
                      <w:marBottom w:val="0"/>
                      <w:divBdr>
                        <w:top w:val="none" w:sz="0" w:space="0" w:color="auto"/>
                        <w:left w:val="none" w:sz="0" w:space="0" w:color="auto"/>
                        <w:bottom w:val="none" w:sz="0" w:space="0" w:color="auto"/>
                        <w:right w:val="none" w:sz="0" w:space="0" w:color="auto"/>
                      </w:divBdr>
                      <w:divsChild>
                        <w:div w:id="294138507">
                          <w:marLeft w:val="0"/>
                          <w:marRight w:val="0"/>
                          <w:marTop w:val="0"/>
                          <w:marBottom w:val="0"/>
                          <w:divBdr>
                            <w:top w:val="none" w:sz="0" w:space="0" w:color="auto"/>
                            <w:left w:val="none" w:sz="0" w:space="0" w:color="auto"/>
                            <w:bottom w:val="none" w:sz="0" w:space="0" w:color="auto"/>
                            <w:right w:val="none" w:sz="0" w:space="0" w:color="auto"/>
                          </w:divBdr>
                        </w:div>
                      </w:divsChild>
                    </w:div>
                    <w:div w:id="294144053">
                      <w:marLeft w:val="0"/>
                      <w:marRight w:val="0"/>
                      <w:marTop w:val="0"/>
                      <w:marBottom w:val="0"/>
                      <w:divBdr>
                        <w:top w:val="none" w:sz="0" w:space="0" w:color="auto"/>
                        <w:left w:val="none" w:sz="0" w:space="0" w:color="auto"/>
                        <w:bottom w:val="none" w:sz="0" w:space="0" w:color="auto"/>
                        <w:right w:val="none" w:sz="0" w:space="0" w:color="auto"/>
                      </w:divBdr>
                    </w:div>
                    <w:div w:id="294144092">
                      <w:marLeft w:val="0"/>
                      <w:marRight w:val="0"/>
                      <w:marTop w:val="0"/>
                      <w:marBottom w:val="0"/>
                      <w:divBdr>
                        <w:top w:val="none" w:sz="0" w:space="0" w:color="auto"/>
                        <w:left w:val="none" w:sz="0" w:space="0" w:color="auto"/>
                        <w:bottom w:val="none" w:sz="0" w:space="0" w:color="auto"/>
                        <w:right w:val="none" w:sz="0" w:space="0" w:color="auto"/>
                      </w:divBdr>
                      <w:divsChild>
                        <w:div w:id="294148079">
                          <w:marLeft w:val="0"/>
                          <w:marRight w:val="0"/>
                          <w:marTop w:val="0"/>
                          <w:marBottom w:val="0"/>
                          <w:divBdr>
                            <w:top w:val="none" w:sz="0" w:space="0" w:color="auto"/>
                            <w:left w:val="none" w:sz="0" w:space="0" w:color="auto"/>
                            <w:bottom w:val="none" w:sz="0" w:space="0" w:color="auto"/>
                            <w:right w:val="none" w:sz="0" w:space="0" w:color="auto"/>
                          </w:divBdr>
                        </w:div>
                      </w:divsChild>
                    </w:div>
                    <w:div w:id="294144107">
                      <w:marLeft w:val="0"/>
                      <w:marRight w:val="0"/>
                      <w:marTop w:val="0"/>
                      <w:marBottom w:val="0"/>
                      <w:divBdr>
                        <w:top w:val="none" w:sz="0" w:space="0" w:color="auto"/>
                        <w:left w:val="none" w:sz="0" w:space="0" w:color="auto"/>
                        <w:bottom w:val="none" w:sz="0" w:space="0" w:color="auto"/>
                        <w:right w:val="none" w:sz="0" w:space="0" w:color="auto"/>
                      </w:divBdr>
                    </w:div>
                    <w:div w:id="294144201">
                      <w:marLeft w:val="0"/>
                      <w:marRight w:val="0"/>
                      <w:marTop w:val="0"/>
                      <w:marBottom w:val="0"/>
                      <w:divBdr>
                        <w:top w:val="none" w:sz="0" w:space="0" w:color="auto"/>
                        <w:left w:val="none" w:sz="0" w:space="0" w:color="auto"/>
                        <w:bottom w:val="none" w:sz="0" w:space="0" w:color="auto"/>
                        <w:right w:val="none" w:sz="0" w:space="0" w:color="auto"/>
                      </w:divBdr>
                    </w:div>
                    <w:div w:id="294144231">
                      <w:marLeft w:val="0"/>
                      <w:marRight w:val="0"/>
                      <w:marTop w:val="0"/>
                      <w:marBottom w:val="0"/>
                      <w:divBdr>
                        <w:top w:val="none" w:sz="0" w:space="0" w:color="auto"/>
                        <w:left w:val="none" w:sz="0" w:space="0" w:color="auto"/>
                        <w:bottom w:val="none" w:sz="0" w:space="0" w:color="auto"/>
                        <w:right w:val="none" w:sz="0" w:space="0" w:color="auto"/>
                      </w:divBdr>
                    </w:div>
                    <w:div w:id="294144244">
                      <w:marLeft w:val="0"/>
                      <w:marRight w:val="0"/>
                      <w:marTop w:val="0"/>
                      <w:marBottom w:val="0"/>
                      <w:divBdr>
                        <w:top w:val="none" w:sz="0" w:space="0" w:color="auto"/>
                        <w:left w:val="none" w:sz="0" w:space="0" w:color="auto"/>
                        <w:bottom w:val="none" w:sz="0" w:space="0" w:color="auto"/>
                        <w:right w:val="none" w:sz="0" w:space="0" w:color="auto"/>
                      </w:divBdr>
                    </w:div>
                    <w:div w:id="294144323">
                      <w:marLeft w:val="0"/>
                      <w:marRight w:val="0"/>
                      <w:marTop w:val="0"/>
                      <w:marBottom w:val="0"/>
                      <w:divBdr>
                        <w:top w:val="none" w:sz="0" w:space="0" w:color="auto"/>
                        <w:left w:val="none" w:sz="0" w:space="0" w:color="auto"/>
                        <w:bottom w:val="none" w:sz="0" w:space="0" w:color="auto"/>
                        <w:right w:val="none" w:sz="0" w:space="0" w:color="auto"/>
                      </w:divBdr>
                    </w:div>
                    <w:div w:id="294144336">
                      <w:marLeft w:val="0"/>
                      <w:marRight w:val="0"/>
                      <w:marTop w:val="0"/>
                      <w:marBottom w:val="0"/>
                      <w:divBdr>
                        <w:top w:val="none" w:sz="0" w:space="0" w:color="auto"/>
                        <w:left w:val="none" w:sz="0" w:space="0" w:color="auto"/>
                        <w:bottom w:val="none" w:sz="0" w:space="0" w:color="auto"/>
                        <w:right w:val="none" w:sz="0" w:space="0" w:color="auto"/>
                      </w:divBdr>
                    </w:div>
                    <w:div w:id="294144337">
                      <w:marLeft w:val="0"/>
                      <w:marRight w:val="0"/>
                      <w:marTop w:val="0"/>
                      <w:marBottom w:val="0"/>
                      <w:divBdr>
                        <w:top w:val="none" w:sz="0" w:space="0" w:color="auto"/>
                        <w:left w:val="none" w:sz="0" w:space="0" w:color="auto"/>
                        <w:bottom w:val="none" w:sz="0" w:space="0" w:color="auto"/>
                        <w:right w:val="none" w:sz="0" w:space="0" w:color="auto"/>
                      </w:divBdr>
                      <w:divsChild>
                        <w:div w:id="294146135">
                          <w:marLeft w:val="0"/>
                          <w:marRight w:val="0"/>
                          <w:marTop w:val="0"/>
                          <w:marBottom w:val="0"/>
                          <w:divBdr>
                            <w:top w:val="none" w:sz="0" w:space="0" w:color="auto"/>
                            <w:left w:val="none" w:sz="0" w:space="0" w:color="auto"/>
                            <w:bottom w:val="none" w:sz="0" w:space="0" w:color="auto"/>
                            <w:right w:val="none" w:sz="0" w:space="0" w:color="auto"/>
                          </w:divBdr>
                        </w:div>
                      </w:divsChild>
                    </w:div>
                    <w:div w:id="294144375">
                      <w:marLeft w:val="0"/>
                      <w:marRight w:val="0"/>
                      <w:marTop w:val="0"/>
                      <w:marBottom w:val="0"/>
                      <w:divBdr>
                        <w:top w:val="none" w:sz="0" w:space="0" w:color="auto"/>
                        <w:left w:val="none" w:sz="0" w:space="0" w:color="auto"/>
                        <w:bottom w:val="none" w:sz="0" w:space="0" w:color="auto"/>
                        <w:right w:val="none" w:sz="0" w:space="0" w:color="auto"/>
                      </w:divBdr>
                    </w:div>
                    <w:div w:id="294144389">
                      <w:marLeft w:val="0"/>
                      <w:marRight w:val="0"/>
                      <w:marTop w:val="0"/>
                      <w:marBottom w:val="0"/>
                      <w:divBdr>
                        <w:top w:val="none" w:sz="0" w:space="0" w:color="auto"/>
                        <w:left w:val="none" w:sz="0" w:space="0" w:color="auto"/>
                        <w:bottom w:val="none" w:sz="0" w:space="0" w:color="auto"/>
                        <w:right w:val="none" w:sz="0" w:space="0" w:color="auto"/>
                      </w:divBdr>
                      <w:divsChild>
                        <w:div w:id="294141648">
                          <w:marLeft w:val="0"/>
                          <w:marRight w:val="0"/>
                          <w:marTop w:val="0"/>
                          <w:marBottom w:val="0"/>
                          <w:divBdr>
                            <w:top w:val="none" w:sz="0" w:space="0" w:color="auto"/>
                            <w:left w:val="none" w:sz="0" w:space="0" w:color="auto"/>
                            <w:bottom w:val="none" w:sz="0" w:space="0" w:color="auto"/>
                            <w:right w:val="none" w:sz="0" w:space="0" w:color="auto"/>
                          </w:divBdr>
                        </w:div>
                      </w:divsChild>
                    </w:div>
                    <w:div w:id="294144457">
                      <w:marLeft w:val="0"/>
                      <w:marRight w:val="0"/>
                      <w:marTop w:val="0"/>
                      <w:marBottom w:val="0"/>
                      <w:divBdr>
                        <w:top w:val="none" w:sz="0" w:space="0" w:color="auto"/>
                        <w:left w:val="none" w:sz="0" w:space="0" w:color="auto"/>
                        <w:bottom w:val="none" w:sz="0" w:space="0" w:color="auto"/>
                        <w:right w:val="none" w:sz="0" w:space="0" w:color="auto"/>
                      </w:divBdr>
                      <w:divsChild>
                        <w:div w:id="294146750">
                          <w:marLeft w:val="0"/>
                          <w:marRight w:val="0"/>
                          <w:marTop w:val="0"/>
                          <w:marBottom w:val="0"/>
                          <w:divBdr>
                            <w:top w:val="none" w:sz="0" w:space="0" w:color="auto"/>
                            <w:left w:val="none" w:sz="0" w:space="0" w:color="auto"/>
                            <w:bottom w:val="none" w:sz="0" w:space="0" w:color="auto"/>
                            <w:right w:val="none" w:sz="0" w:space="0" w:color="auto"/>
                          </w:divBdr>
                        </w:div>
                      </w:divsChild>
                    </w:div>
                    <w:div w:id="294144465">
                      <w:marLeft w:val="0"/>
                      <w:marRight w:val="0"/>
                      <w:marTop w:val="0"/>
                      <w:marBottom w:val="0"/>
                      <w:divBdr>
                        <w:top w:val="none" w:sz="0" w:space="0" w:color="auto"/>
                        <w:left w:val="none" w:sz="0" w:space="0" w:color="auto"/>
                        <w:bottom w:val="none" w:sz="0" w:space="0" w:color="auto"/>
                        <w:right w:val="none" w:sz="0" w:space="0" w:color="auto"/>
                      </w:divBdr>
                    </w:div>
                    <w:div w:id="294144509">
                      <w:marLeft w:val="0"/>
                      <w:marRight w:val="0"/>
                      <w:marTop w:val="0"/>
                      <w:marBottom w:val="0"/>
                      <w:divBdr>
                        <w:top w:val="none" w:sz="0" w:space="0" w:color="auto"/>
                        <w:left w:val="none" w:sz="0" w:space="0" w:color="auto"/>
                        <w:bottom w:val="none" w:sz="0" w:space="0" w:color="auto"/>
                        <w:right w:val="none" w:sz="0" w:space="0" w:color="auto"/>
                      </w:divBdr>
                      <w:divsChild>
                        <w:div w:id="294151381">
                          <w:marLeft w:val="0"/>
                          <w:marRight w:val="0"/>
                          <w:marTop w:val="0"/>
                          <w:marBottom w:val="0"/>
                          <w:divBdr>
                            <w:top w:val="none" w:sz="0" w:space="0" w:color="auto"/>
                            <w:left w:val="none" w:sz="0" w:space="0" w:color="auto"/>
                            <w:bottom w:val="none" w:sz="0" w:space="0" w:color="auto"/>
                            <w:right w:val="none" w:sz="0" w:space="0" w:color="auto"/>
                          </w:divBdr>
                        </w:div>
                      </w:divsChild>
                    </w:div>
                    <w:div w:id="294144589">
                      <w:marLeft w:val="0"/>
                      <w:marRight w:val="0"/>
                      <w:marTop w:val="0"/>
                      <w:marBottom w:val="0"/>
                      <w:divBdr>
                        <w:top w:val="none" w:sz="0" w:space="0" w:color="auto"/>
                        <w:left w:val="none" w:sz="0" w:space="0" w:color="auto"/>
                        <w:bottom w:val="none" w:sz="0" w:space="0" w:color="auto"/>
                        <w:right w:val="none" w:sz="0" w:space="0" w:color="auto"/>
                      </w:divBdr>
                      <w:divsChild>
                        <w:div w:id="294155037">
                          <w:marLeft w:val="0"/>
                          <w:marRight w:val="0"/>
                          <w:marTop w:val="0"/>
                          <w:marBottom w:val="0"/>
                          <w:divBdr>
                            <w:top w:val="none" w:sz="0" w:space="0" w:color="auto"/>
                            <w:left w:val="none" w:sz="0" w:space="0" w:color="auto"/>
                            <w:bottom w:val="none" w:sz="0" w:space="0" w:color="auto"/>
                            <w:right w:val="none" w:sz="0" w:space="0" w:color="auto"/>
                          </w:divBdr>
                        </w:div>
                      </w:divsChild>
                    </w:div>
                    <w:div w:id="294144659">
                      <w:marLeft w:val="0"/>
                      <w:marRight w:val="0"/>
                      <w:marTop w:val="0"/>
                      <w:marBottom w:val="0"/>
                      <w:divBdr>
                        <w:top w:val="none" w:sz="0" w:space="0" w:color="auto"/>
                        <w:left w:val="none" w:sz="0" w:space="0" w:color="auto"/>
                        <w:bottom w:val="none" w:sz="0" w:space="0" w:color="auto"/>
                        <w:right w:val="none" w:sz="0" w:space="0" w:color="auto"/>
                      </w:divBdr>
                    </w:div>
                    <w:div w:id="294144680">
                      <w:marLeft w:val="0"/>
                      <w:marRight w:val="0"/>
                      <w:marTop w:val="0"/>
                      <w:marBottom w:val="0"/>
                      <w:divBdr>
                        <w:top w:val="none" w:sz="0" w:space="0" w:color="auto"/>
                        <w:left w:val="none" w:sz="0" w:space="0" w:color="auto"/>
                        <w:bottom w:val="none" w:sz="0" w:space="0" w:color="auto"/>
                        <w:right w:val="none" w:sz="0" w:space="0" w:color="auto"/>
                      </w:divBdr>
                      <w:divsChild>
                        <w:div w:id="294138149">
                          <w:marLeft w:val="0"/>
                          <w:marRight w:val="0"/>
                          <w:marTop w:val="0"/>
                          <w:marBottom w:val="0"/>
                          <w:divBdr>
                            <w:top w:val="none" w:sz="0" w:space="0" w:color="auto"/>
                            <w:left w:val="none" w:sz="0" w:space="0" w:color="auto"/>
                            <w:bottom w:val="none" w:sz="0" w:space="0" w:color="auto"/>
                            <w:right w:val="none" w:sz="0" w:space="0" w:color="auto"/>
                          </w:divBdr>
                        </w:div>
                      </w:divsChild>
                    </w:div>
                    <w:div w:id="294144691">
                      <w:marLeft w:val="0"/>
                      <w:marRight w:val="0"/>
                      <w:marTop w:val="0"/>
                      <w:marBottom w:val="0"/>
                      <w:divBdr>
                        <w:top w:val="none" w:sz="0" w:space="0" w:color="auto"/>
                        <w:left w:val="none" w:sz="0" w:space="0" w:color="auto"/>
                        <w:bottom w:val="none" w:sz="0" w:space="0" w:color="auto"/>
                        <w:right w:val="none" w:sz="0" w:space="0" w:color="auto"/>
                      </w:divBdr>
                    </w:div>
                    <w:div w:id="294144718">
                      <w:marLeft w:val="0"/>
                      <w:marRight w:val="0"/>
                      <w:marTop w:val="0"/>
                      <w:marBottom w:val="0"/>
                      <w:divBdr>
                        <w:top w:val="none" w:sz="0" w:space="0" w:color="auto"/>
                        <w:left w:val="none" w:sz="0" w:space="0" w:color="auto"/>
                        <w:bottom w:val="none" w:sz="0" w:space="0" w:color="auto"/>
                        <w:right w:val="none" w:sz="0" w:space="0" w:color="auto"/>
                      </w:divBdr>
                    </w:div>
                    <w:div w:id="294144725">
                      <w:marLeft w:val="0"/>
                      <w:marRight w:val="0"/>
                      <w:marTop w:val="0"/>
                      <w:marBottom w:val="0"/>
                      <w:divBdr>
                        <w:top w:val="none" w:sz="0" w:space="0" w:color="auto"/>
                        <w:left w:val="none" w:sz="0" w:space="0" w:color="auto"/>
                        <w:bottom w:val="none" w:sz="0" w:space="0" w:color="auto"/>
                        <w:right w:val="none" w:sz="0" w:space="0" w:color="auto"/>
                      </w:divBdr>
                    </w:div>
                    <w:div w:id="294144852">
                      <w:marLeft w:val="0"/>
                      <w:marRight w:val="0"/>
                      <w:marTop w:val="0"/>
                      <w:marBottom w:val="0"/>
                      <w:divBdr>
                        <w:top w:val="none" w:sz="0" w:space="0" w:color="auto"/>
                        <w:left w:val="none" w:sz="0" w:space="0" w:color="auto"/>
                        <w:bottom w:val="none" w:sz="0" w:space="0" w:color="auto"/>
                        <w:right w:val="none" w:sz="0" w:space="0" w:color="auto"/>
                      </w:divBdr>
                      <w:divsChild>
                        <w:div w:id="294152404">
                          <w:marLeft w:val="0"/>
                          <w:marRight w:val="0"/>
                          <w:marTop w:val="0"/>
                          <w:marBottom w:val="0"/>
                          <w:divBdr>
                            <w:top w:val="none" w:sz="0" w:space="0" w:color="auto"/>
                            <w:left w:val="none" w:sz="0" w:space="0" w:color="auto"/>
                            <w:bottom w:val="none" w:sz="0" w:space="0" w:color="auto"/>
                            <w:right w:val="none" w:sz="0" w:space="0" w:color="auto"/>
                          </w:divBdr>
                        </w:div>
                      </w:divsChild>
                    </w:div>
                    <w:div w:id="294144862">
                      <w:marLeft w:val="0"/>
                      <w:marRight w:val="0"/>
                      <w:marTop w:val="0"/>
                      <w:marBottom w:val="0"/>
                      <w:divBdr>
                        <w:top w:val="none" w:sz="0" w:space="0" w:color="auto"/>
                        <w:left w:val="none" w:sz="0" w:space="0" w:color="auto"/>
                        <w:bottom w:val="none" w:sz="0" w:space="0" w:color="auto"/>
                        <w:right w:val="none" w:sz="0" w:space="0" w:color="auto"/>
                      </w:divBdr>
                    </w:div>
                    <w:div w:id="294144941">
                      <w:marLeft w:val="0"/>
                      <w:marRight w:val="0"/>
                      <w:marTop w:val="0"/>
                      <w:marBottom w:val="0"/>
                      <w:divBdr>
                        <w:top w:val="none" w:sz="0" w:space="0" w:color="auto"/>
                        <w:left w:val="none" w:sz="0" w:space="0" w:color="auto"/>
                        <w:bottom w:val="none" w:sz="0" w:space="0" w:color="auto"/>
                        <w:right w:val="none" w:sz="0" w:space="0" w:color="auto"/>
                      </w:divBdr>
                      <w:divsChild>
                        <w:div w:id="294150924">
                          <w:marLeft w:val="0"/>
                          <w:marRight w:val="0"/>
                          <w:marTop w:val="0"/>
                          <w:marBottom w:val="0"/>
                          <w:divBdr>
                            <w:top w:val="none" w:sz="0" w:space="0" w:color="auto"/>
                            <w:left w:val="none" w:sz="0" w:space="0" w:color="auto"/>
                            <w:bottom w:val="none" w:sz="0" w:space="0" w:color="auto"/>
                            <w:right w:val="none" w:sz="0" w:space="0" w:color="auto"/>
                          </w:divBdr>
                        </w:div>
                      </w:divsChild>
                    </w:div>
                    <w:div w:id="294144973">
                      <w:marLeft w:val="0"/>
                      <w:marRight w:val="0"/>
                      <w:marTop w:val="0"/>
                      <w:marBottom w:val="0"/>
                      <w:divBdr>
                        <w:top w:val="none" w:sz="0" w:space="0" w:color="auto"/>
                        <w:left w:val="none" w:sz="0" w:space="0" w:color="auto"/>
                        <w:bottom w:val="none" w:sz="0" w:space="0" w:color="auto"/>
                        <w:right w:val="none" w:sz="0" w:space="0" w:color="auto"/>
                      </w:divBdr>
                    </w:div>
                    <w:div w:id="294145083">
                      <w:marLeft w:val="0"/>
                      <w:marRight w:val="0"/>
                      <w:marTop w:val="0"/>
                      <w:marBottom w:val="0"/>
                      <w:divBdr>
                        <w:top w:val="none" w:sz="0" w:space="0" w:color="auto"/>
                        <w:left w:val="none" w:sz="0" w:space="0" w:color="auto"/>
                        <w:bottom w:val="none" w:sz="0" w:space="0" w:color="auto"/>
                        <w:right w:val="none" w:sz="0" w:space="0" w:color="auto"/>
                      </w:divBdr>
                      <w:divsChild>
                        <w:div w:id="294140156">
                          <w:marLeft w:val="0"/>
                          <w:marRight w:val="0"/>
                          <w:marTop w:val="0"/>
                          <w:marBottom w:val="0"/>
                          <w:divBdr>
                            <w:top w:val="none" w:sz="0" w:space="0" w:color="auto"/>
                            <w:left w:val="none" w:sz="0" w:space="0" w:color="auto"/>
                            <w:bottom w:val="none" w:sz="0" w:space="0" w:color="auto"/>
                            <w:right w:val="none" w:sz="0" w:space="0" w:color="auto"/>
                          </w:divBdr>
                        </w:div>
                      </w:divsChild>
                    </w:div>
                    <w:div w:id="294145119">
                      <w:marLeft w:val="0"/>
                      <w:marRight w:val="0"/>
                      <w:marTop w:val="0"/>
                      <w:marBottom w:val="0"/>
                      <w:divBdr>
                        <w:top w:val="none" w:sz="0" w:space="0" w:color="auto"/>
                        <w:left w:val="none" w:sz="0" w:space="0" w:color="auto"/>
                        <w:bottom w:val="none" w:sz="0" w:space="0" w:color="auto"/>
                        <w:right w:val="none" w:sz="0" w:space="0" w:color="auto"/>
                      </w:divBdr>
                    </w:div>
                    <w:div w:id="294145120">
                      <w:marLeft w:val="0"/>
                      <w:marRight w:val="0"/>
                      <w:marTop w:val="0"/>
                      <w:marBottom w:val="0"/>
                      <w:divBdr>
                        <w:top w:val="none" w:sz="0" w:space="0" w:color="auto"/>
                        <w:left w:val="none" w:sz="0" w:space="0" w:color="auto"/>
                        <w:bottom w:val="none" w:sz="0" w:space="0" w:color="auto"/>
                        <w:right w:val="none" w:sz="0" w:space="0" w:color="auto"/>
                      </w:divBdr>
                    </w:div>
                    <w:div w:id="294145123">
                      <w:marLeft w:val="0"/>
                      <w:marRight w:val="0"/>
                      <w:marTop w:val="0"/>
                      <w:marBottom w:val="0"/>
                      <w:divBdr>
                        <w:top w:val="none" w:sz="0" w:space="0" w:color="auto"/>
                        <w:left w:val="none" w:sz="0" w:space="0" w:color="auto"/>
                        <w:bottom w:val="none" w:sz="0" w:space="0" w:color="auto"/>
                        <w:right w:val="none" w:sz="0" w:space="0" w:color="auto"/>
                      </w:divBdr>
                      <w:divsChild>
                        <w:div w:id="294149978">
                          <w:marLeft w:val="0"/>
                          <w:marRight w:val="0"/>
                          <w:marTop w:val="0"/>
                          <w:marBottom w:val="0"/>
                          <w:divBdr>
                            <w:top w:val="none" w:sz="0" w:space="0" w:color="auto"/>
                            <w:left w:val="none" w:sz="0" w:space="0" w:color="auto"/>
                            <w:bottom w:val="none" w:sz="0" w:space="0" w:color="auto"/>
                            <w:right w:val="none" w:sz="0" w:space="0" w:color="auto"/>
                          </w:divBdr>
                        </w:div>
                      </w:divsChild>
                    </w:div>
                    <w:div w:id="294145165">
                      <w:marLeft w:val="0"/>
                      <w:marRight w:val="0"/>
                      <w:marTop w:val="0"/>
                      <w:marBottom w:val="0"/>
                      <w:divBdr>
                        <w:top w:val="none" w:sz="0" w:space="0" w:color="auto"/>
                        <w:left w:val="none" w:sz="0" w:space="0" w:color="auto"/>
                        <w:bottom w:val="none" w:sz="0" w:space="0" w:color="auto"/>
                        <w:right w:val="none" w:sz="0" w:space="0" w:color="auto"/>
                      </w:divBdr>
                    </w:div>
                    <w:div w:id="294145202">
                      <w:marLeft w:val="0"/>
                      <w:marRight w:val="0"/>
                      <w:marTop w:val="0"/>
                      <w:marBottom w:val="0"/>
                      <w:divBdr>
                        <w:top w:val="none" w:sz="0" w:space="0" w:color="auto"/>
                        <w:left w:val="none" w:sz="0" w:space="0" w:color="auto"/>
                        <w:bottom w:val="none" w:sz="0" w:space="0" w:color="auto"/>
                        <w:right w:val="none" w:sz="0" w:space="0" w:color="auto"/>
                      </w:divBdr>
                    </w:div>
                    <w:div w:id="294145411">
                      <w:marLeft w:val="0"/>
                      <w:marRight w:val="0"/>
                      <w:marTop w:val="0"/>
                      <w:marBottom w:val="0"/>
                      <w:divBdr>
                        <w:top w:val="none" w:sz="0" w:space="0" w:color="auto"/>
                        <w:left w:val="none" w:sz="0" w:space="0" w:color="auto"/>
                        <w:bottom w:val="none" w:sz="0" w:space="0" w:color="auto"/>
                        <w:right w:val="none" w:sz="0" w:space="0" w:color="auto"/>
                      </w:divBdr>
                      <w:divsChild>
                        <w:div w:id="294138565">
                          <w:marLeft w:val="0"/>
                          <w:marRight w:val="0"/>
                          <w:marTop w:val="0"/>
                          <w:marBottom w:val="0"/>
                          <w:divBdr>
                            <w:top w:val="none" w:sz="0" w:space="0" w:color="auto"/>
                            <w:left w:val="none" w:sz="0" w:space="0" w:color="auto"/>
                            <w:bottom w:val="none" w:sz="0" w:space="0" w:color="auto"/>
                            <w:right w:val="none" w:sz="0" w:space="0" w:color="auto"/>
                          </w:divBdr>
                        </w:div>
                      </w:divsChild>
                    </w:div>
                    <w:div w:id="294145434">
                      <w:marLeft w:val="0"/>
                      <w:marRight w:val="0"/>
                      <w:marTop w:val="0"/>
                      <w:marBottom w:val="0"/>
                      <w:divBdr>
                        <w:top w:val="none" w:sz="0" w:space="0" w:color="auto"/>
                        <w:left w:val="none" w:sz="0" w:space="0" w:color="auto"/>
                        <w:bottom w:val="none" w:sz="0" w:space="0" w:color="auto"/>
                        <w:right w:val="none" w:sz="0" w:space="0" w:color="auto"/>
                      </w:divBdr>
                    </w:div>
                    <w:div w:id="294145500">
                      <w:marLeft w:val="0"/>
                      <w:marRight w:val="0"/>
                      <w:marTop w:val="0"/>
                      <w:marBottom w:val="0"/>
                      <w:divBdr>
                        <w:top w:val="none" w:sz="0" w:space="0" w:color="auto"/>
                        <w:left w:val="none" w:sz="0" w:space="0" w:color="auto"/>
                        <w:bottom w:val="none" w:sz="0" w:space="0" w:color="auto"/>
                        <w:right w:val="none" w:sz="0" w:space="0" w:color="auto"/>
                      </w:divBdr>
                      <w:divsChild>
                        <w:div w:id="294154599">
                          <w:marLeft w:val="0"/>
                          <w:marRight w:val="0"/>
                          <w:marTop w:val="0"/>
                          <w:marBottom w:val="0"/>
                          <w:divBdr>
                            <w:top w:val="none" w:sz="0" w:space="0" w:color="auto"/>
                            <w:left w:val="none" w:sz="0" w:space="0" w:color="auto"/>
                            <w:bottom w:val="none" w:sz="0" w:space="0" w:color="auto"/>
                            <w:right w:val="none" w:sz="0" w:space="0" w:color="auto"/>
                          </w:divBdr>
                        </w:div>
                      </w:divsChild>
                    </w:div>
                    <w:div w:id="294145508">
                      <w:marLeft w:val="0"/>
                      <w:marRight w:val="0"/>
                      <w:marTop w:val="0"/>
                      <w:marBottom w:val="0"/>
                      <w:divBdr>
                        <w:top w:val="none" w:sz="0" w:space="0" w:color="auto"/>
                        <w:left w:val="none" w:sz="0" w:space="0" w:color="auto"/>
                        <w:bottom w:val="none" w:sz="0" w:space="0" w:color="auto"/>
                        <w:right w:val="none" w:sz="0" w:space="0" w:color="auto"/>
                      </w:divBdr>
                      <w:divsChild>
                        <w:div w:id="294141970">
                          <w:marLeft w:val="0"/>
                          <w:marRight w:val="0"/>
                          <w:marTop w:val="0"/>
                          <w:marBottom w:val="0"/>
                          <w:divBdr>
                            <w:top w:val="none" w:sz="0" w:space="0" w:color="auto"/>
                            <w:left w:val="none" w:sz="0" w:space="0" w:color="auto"/>
                            <w:bottom w:val="none" w:sz="0" w:space="0" w:color="auto"/>
                            <w:right w:val="none" w:sz="0" w:space="0" w:color="auto"/>
                          </w:divBdr>
                        </w:div>
                      </w:divsChild>
                    </w:div>
                    <w:div w:id="294145544">
                      <w:marLeft w:val="0"/>
                      <w:marRight w:val="0"/>
                      <w:marTop w:val="0"/>
                      <w:marBottom w:val="0"/>
                      <w:divBdr>
                        <w:top w:val="none" w:sz="0" w:space="0" w:color="auto"/>
                        <w:left w:val="none" w:sz="0" w:space="0" w:color="auto"/>
                        <w:bottom w:val="none" w:sz="0" w:space="0" w:color="auto"/>
                        <w:right w:val="none" w:sz="0" w:space="0" w:color="auto"/>
                      </w:divBdr>
                      <w:divsChild>
                        <w:div w:id="294147250">
                          <w:marLeft w:val="0"/>
                          <w:marRight w:val="0"/>
                          <w:marTop w:val="0"/>
                          <w:marBottom w:val="0"/>
                          <w:divBdr>
                            <w:top w:val="none" w:sz="0" w:space="0" w:color="auto"/>
                            <w:left w:val="none" w:sz="0" w:space="0" w:color="auto"/>
                            <w:bottom w:val="none" w:sz="0" w:space="0" w:color="auto"/>
                            <w:right w:val="none" w:sz="0" w:space="0" w:color="auto"/>
                          </w:divBdr>
                        </w:div>
                      </w:divsChild>
                    </w:div>
                    <w:div w:id="294145565">
                      <w:marLeft w:val="0"/>
                      <w:marRight w:val="0"/>
                      <w:marTop w:val="0"/>
                      <w:marBottom w:val="0"/>
                      <w:divBdr>
                        <w:top w:val="none" w:sz="0" w:space="0" w:color="auto"/>
                        <w:left w:val="none" w:sz="0" w:space="0" w:color="auto"/>
                        <w:bottom w:val="none" w:sz="0" w:space="0" w:color="auto"/>
                        <w:right w:val="none" w:sz="0" w:space="0" w:color="auto"/>
                      </w:divBdr>
                      <w:divsChild>
                        <w:div w:id="294139293">
                          <w:marLeft w:val="0"/>
                          <w:marRight w:val="0"/>
                          <w:marTop w:val="0"/>
                          <w:marBottom w:val="0"/>
                          <w:divBdr>
                            <w:top w:val="none" w:sz="0" w:space="0" w:color="auto"/>
                            <w:left w:val="none" w:sz="0" w:space="0" w:color="auto"/>
                            <w:bottom w:val="none" w:sz="0" w:space="0" w:color="auto"/>
                            <w:right w:val="none" w:sz="0" w:space="0" w:color="auto"/>
                          </w:divBdr>
                        </w:div>
                      </w:divsChild>
                    </w:div>
                    <w:div w:id="294145566">
                      <w:marLeft w:val="0"/>
                      <w:marRight w:val="0"/>
                      <w:marTop w:val="0"/>
                      <w:marBottom w:val="0"/>
                      <w:divBdr>
                        <w:top w:val="none" w:sz="0" w:space="0" w:color="auto"/>
                        <w:left w:val="none" w:sz="0" w:space="0" w:color="auto"/>
                        <w:bottom w:val="none" w:sz="0" w:space="0" w:color="auto"/>
                        <w:right w:val="none" w:sz="0" w:space="0" w:color="auto"/>
                      </w:divBdr>
                    </w:div>
                    <w:div w:id="294145576">
                      <w:marLeft w:val="0"/>
                      <w:marRight w:val="0"/>
                      <w:marTop w:val="0"/>
                      <w:marBottom w:val="0"/>
                      <w:divBdr>
                        <w:top w:val="none" w:sz="0" w:space="0" w:color="auto"/>
                        <w:left w:val="none" w:sz="0" w:space="0" w:color="auto"/>
                        <w:bottom w:val="none" w:sz="0" w:space="0" w:color="auto"/>
                        <w:right w:val="none" w:sz="0" w:space="0" w:color="auto"/>
                      </w:divBdr>
                    </w:div>
                    <w:div w:id="294145695">
                      <w:marLeft w:val="0"/>
                      <w:marRight w:val="0"/>
                      <w:marTop w:val="0"/>
                      <w:marBottom w:val="0"/>
                      <w:divBdr>
                        <w:top w:val="none" w:sz="0" w:space="0" w:color="auto"/>
                        <w:left w:val="none" w:sz="0" w:space="0" w:color="auto"/>
                        <w:bottom w:val="none" w:sz="0" w:space="0" w:color="auto"/>
                        <w:right w:val="none" w:sz="0" w:space="0" w:color="auto"/>
                      </w:divBdr>
                    </w:div>
                    <w:div w:id="294145751">
                      <w:marLeft w:val="0"/>
                      <w:marRight w:val="0"/>
                      <w:marTop w:val="0"/>
                      <w:marBottom w:val="0"/>
                      <w:divBdr>
                        <w:top w:val="none" w:sz="0" w:space="0" w:color="auto"/>
                        <w:left w:val="none" w:sz="0" w:space="0" w:color="auto"/>
                        <w:bottom w:val="none" w:sz="0" w:space="0" w:color="auto"/>
                        <w:right w:val="none" w:sz="0" w:space="0" w:color="auto"/>
                      </w:divBdr>
                    </w:div>
                    <w:div w:id="294145851">
                      <w:marLeft w:val="0"/>
                      <w:marRight w:val="0"/>
                      <w:marTop w:val="0"/>
                      <w:marBottom w:val="0"/>
                      <w:divBdr>
                        <w:top w:val="none" w:sz="0" w:space="0" w:color="auto"/>
                        <w:left w:val="none" w:sz="0" w:space="0" w:color="auto"/>
                        <w:bottom w:val="none" w:sz="0" w:space="0" w:color="auto"/>
                        <w:right w:val="none" w:sz="0" w:space="0" w:color="auto"/>
                      </w:divBdr>
                    </w:div>
                    <w:div w:id="294145918">
                      <w:marLeft w:val="0"/>
                      <w:marRight w:val="0"/>
                      <w:marTop w:val="0"/>
                      <w:marBottom w:val="0"/>
                      <w:divBdr>
                        <w:top w:val="none" w:sz="0" w:space="0" w:color="auto"/>
                        <w:left w:val="none" w:sz="0" w:space="0" w:color="auto"/>
                        <w:bottom w:val="none" w:sz="0" w:space="0" w:color="auto"/>
                        <w:right w:val="none" w:sz="0" w:space="0" w:color="auto"/>
                      </w:divBdr>
                      <w:divsChild>
                        <w:div w:id="294145845">
                          <w:marLeft w:val="0"/>
                          <w:marRight w:val="0"/>
                          <w:marTop w:val="0"/>
                          <w:marBottom w:val="0"/>
                          <w:divBdr>
                            <w:top w:val="none" w:sz="0" w:space="0" w:color="auto"/>
                            <w:left w:val="none" w:sz="0" w:space="0" w:color="auto"/>
                            <w:bottom w:val="none" w:sz="0" w:space="0" w:color="auto"/>
                            <w:right w:val="none" w:sz="0" w:space="0" w:color="auto"/>
                          </w:divBdr>
                        </w:div>
                      </w:divsChild>
                    </w:div>
                    <w:div w:id="294146030">
                      <w:marLeft w:val="0"/>
                      <w:marRight w:val="0"/>
                      <w:marTop w:val="0"/>
                      <w:marBottom w:val="0"/>
                      <w:divBdr>
                        <w:top w:val="none" w:sz="0" w:space="0" w:color="auto"/>
                        <w:left w:val="none" w:sz="0" w:space="0" w:color="auto"/>
                        <w:bottom w:val="none" w:sz="0" w:space="0" w:color="auto"/>
                        <w:right w:val="none" w:sz="0" w:space="0" w:color="auto"/>
                      </w:divBdr>
                      <w:divsChild>
                        <w:div w:id="294153858">
                          <w:marLeft w:val="0"/>
                          <w:marRight w:val="0"/>
                          <w:marTop w:val="0"/>
                          <w:marBottom w:val="0"/>
                          <w:divBdr>
                            <w:top w:val="none" w:sz="0" w:space="0" w:color="auto"/>
                            <w:left w:val="none" w:sz="0" w:space="0" w:color="auto"/>
                            <w:bottom w:val="none" w:sz="0" w:space="0" w:color="auto"/>
                            <w:right w:val="none" w:sz="0" w:space="0" w:color="auto"/>
                          </w:divBdr>
                        </w:div>
                      </w:divsChild>
                    </w:div>
                    <w:div w:id="294146075">
                      <w:marLeft w:val="0"/>
                      <w:marRight w:val="0"/>
                      <w:marTop w:val="0"/>
                      <w:marBottom w:val="0"/>
                      <w:divBdr>
                        <w:top w:val="none" w:sz="0" w:space="0" w:color="auto"/>
                        <w:left w:val="none" w:sz="0" w:space="0" w:color="auto"/>
                        <w:bottom w:val="none" w:sz="0" w:space="0" w:color="auto"/>
                        <w:right w:val="none" w:sz="0" w:space="0" w:color="auto"/>
                      </w:divBdr>
                      <w:divsChild>
                        <w:div w:id="294149696">
                          <w:marLeft w:val="0"/>
                          <w:marRight w:val="0"/>
                          <w:marTop w:val="0"/>
                          <w:marBottom w:val="0"/>
                          <w:divBdr>
                            <w:top w:val="none" w:sz="0" w:space="0" w:color="auto"/>
                            <w:left w:val="none" w:sz="0" w:space="0" w:color="auto"/>
                            <w:bottom w:val="none" w:sz="0" w:space="0" w:color="auto"/>
                            <w:right w:val="none" w:sz="0" w:space="0" w:color="auto"/>
                          </w:divBdr>
                        </w:div>
                      </w:divsChild>
                    </w:div>
                    <w:div w:id="294146080">
                      <w:marLeft w:val="0"/>
                      <w:marRight w:val="0"/>
                      <w:marTop w:val="0"/>
                      <w:marBottom w:val="0"/>
                      <w:divBdr>
                        <w:top w:val="none" w:sz="0" w:space="0" w:color="auto"/>
                        <w:left w:val="none" w:sz="0" w:space="0" w:color="auto"/>
                        <w:bottom w:val="none" w:sz="0" w:space="0" w:color="auto"/>
                        <w:right w:val="none" w:sz="0" w:space="0" w:color="auto"/>
                      </w:divBdr>
                    </w:div>
                    <w:div w:id="294146266">
                      <w:marLeft w:val="0"/>
                      <w:marRight w:val="0"/>
                      <w:marTop w:val="0"/>
                      <w:marBottom w:val="0"/>
                      <w:divBdr>
                        <w:top w:val="none" w:sz="0" w:space="0" w:color="auto"/>
                        <w:left w:val="none" w:sz="0" w:space="0" w:color="auto"/>
                        <w:bottom w:val="none" w:sz="0" w:space="0" w:color="auto"/>
                        <w:right w:val="none" w:sz="0" w:space="0" w:color="auto"/>
                      </w:divBdr>
                      <w:divsChild>
                        <w:div w:id="294149007">
                          <w:marLeft w:val="0"/>
                          <w:marRight w:val="0"/>
                          <w:marTop w:val="0"/>
                          <w:marBottom w:val="0"/>
                          <w:divBdr>
                            <w:top w:val="none" w:sz="0" w:space="0" w:color="auto"/>
                            <w:left w:val="none" w:sz="0" w:space="0" w:color="auto"/>
                            <w:bottom w:val="none" w:sz="0" w:space="0" w:color="auto"/>
                            <w:right w:val="none" w:sz="0" w:space="0" w:color="auto"/>
                          </w:divBdr>
                        </w:div>
                      </w:divsChild>
                    </w:div>
                    <w:div w:id="294146488">
                      <w:marLeft w:val="0"/>
                      <w:marRight w:val="0"/>
                      <w:marTop w:val="0"/>
                      <w:marBottom w:val="0"/>
                      <w:divBdr>
                        <w:top w:val="none" w:sz="0" w:space="0" w:color="auto"/>
                        <w:left w:val="none" w:sz="0" w:space="0" w:color="auto"/>
                        <w:bottom w:val="none" w:sz="0" w:space="0" w:color="auto"/>
                        <w:right w:val="none" w:sz="0" w:space="0" w:color="auto"/>
                      </w:divBdr>
                    </w:div>
                    <w:div w:id="294146508">
                      <w:marLeft w:val="0"/>
                      <w:marRight w:val="0"/>
                      <w:marTop w:val="0"/>
                      <w:marBottom w:val="0"/>
                      <w:divBdr>
                        <w:top w:val="none" w:sz="0" w:space="0" w:color="auto"/>
                        <w:left w:val="none" w:sz="0" w:space="0" w:color="auto"/>
                        <w:bottom w:val="none" w:sz="0" w:space="0" w:color="auto"/>
                        <w:right w:val="none" w:sz="0" w:space="0" w:color="auto"/>
                      </w:divBdr>
                      <w:divsChild>
                        <w:div w:id="294153274">
                          <w:marLeft w:val="0"/>
                          <w:marRight w:val="0"/>
                          <w:marTop w:val="0"/>
                          <w:marBottom w:val="0"/>
                          <w:divBdr>
                            <w:top w:val="none" w:sz="0" w:space="0" w:color="auto"/>
                            <w:left w:val="none" w:sz="0" w:space="0" w:color="auto"/>
                            <w:bottom w:val="none" w:sz="0" w:space="0" w:color="auto"/>
                            <w:right w:val="none" w:sz="0" w:space="0" w:color="auto"/>
                          </w:divBdr>
                        </w:div>
                      </w:divsChild>
                    </w:div>
                    <w:div w:id="294146519">
                      <w:marLeft w:val="0"/>
                      <w:marRight w:val="0"/>
                      <w:marTop w:val="0"/>
                      <w:marBottom w:val="0"/>
                      <w:divBdr>
                        <w:top w:val="none" w:sz="0" w:space="0" w:color="auto"/>
                        <w:left w:val="none" w:sz="0" w:space="0" w:color="auto"/>
                        <w:bottom w:val="none" w:sz="0" w:space="0" w:color="auto"/>
                        <w:right w:val="none" w:sz="0" w:space="0" w:color="auto"/>
                      </w:divBdr>
                    </w:div>
                    <w:div w:id="294146689">
                      <w:marLeft w:val="0"/>
                      <w:marRight w:val="0"/>
                      <w:marTop w:val="0"/>
                      <w:marBottom w:val="0"/>
                      <w:divBdr>
                        <w:top w:val="none" w:sz="0" w:space="0" w:color="auto"/>
                        <w:left w:val="none" w:sz="0" w:space="0" w:color="auto"/>
                        <w:bottom w:val="none" w:sz="0" w:space="0" w:color="auto"/>
                        <w:right w:val="none" w:sz="0" w:space="0" w:color="auto"/>
                      </w:divBdr>
                    </w:div>
                    <w:div w:id="294146748">
                      <w:marLeft w:val="0"/>
                      <w:marRight w:val="0"/>
                      <w:marTop w:val="0"/>
                      <w:marBottom w:val="0"/>
                      <w:divBdr>
                        <w:top w:val="none" w:sz="0" w:space="0" w:color="auto"/>
                        <w:left w:val="none" w:sz="0" w:space="0" w:color="auto"/>
                        <w:bottom w:val="none" w:sz="0" w:space="0" w:color="auto"/>
                        <w:right w:val="none" w:sz="0" w:space="0" w:color="auto"/>
                      </w:divBdr>
                    </w:div>
                    <w:div w:id="294146770">
                      <w:marLeft w:val="0"/>
                      <w:marRight w:val="0"/>
                      <w:marTop w:val="0"/>
                      <w:marBottom w:val="0"/>
                      <w:divBdr>
                        <w:top w:val="none" w:sz="0" w:space="0" w:color="auto"/>
                        <w:left w:val="none" w:sz="0" w:space="0" w:color="auto"/>
                        <w:bottom w:val="none" w:sz="0" w:space="0" w:color="auto"/>
                        <w:right w:val="none" w:sz="0" w:space="0" w:color="auto"/>
                      </w:divBdr>
                      <w:divsChild>
                        <w:div w:id="294151170">
                          <w:marLeft w:val="0"/>
                          <w:marRight w:val="0"/>
                          <w:marTop w:val="0"/>
                          <w:marBottom w:val="0"/>
                          <w:divBdr>
                            <w:top w:val="none" w:sz="0" w:space="0" w:color="auto"/>
                            <w:left w:val="none" w:sz="0" w:space="0" w:color="auto"/>
                            <w:bottom w:val="none" w:sz="0" w:space="0" w:color="auto"/>
                            <w:right w:val="none" w:sz="0" w:space="0" w:color="auto"/>
                          </w:divBdr>
                        </w:div>
                      </w:divsChild>
                    </w:div>
                    <w:div w:id="294146826">
                      <w:marLeft w:val="0"/>
                      <w:marRight w:val="0"/>
                      <w:marTop w:val="0"/>
                      <w:marBottom w:val="0"/>
                      <w:divBdr>
                        <w:top w:val="none" w:sz="0" w:space="0" w:color="auto"/>
                        <w:left w:val="none" w:sz="0" w:space="0" w:color="auto"/>
                        <w:bottom w:val="none" w:sz="0" w:space="0" w:color="auto"/>
                        <w:right w:val="none" w:sz="0" w:space="0" w:color="auto"/>
                      </w:divBdr>
                      <w:divsChild>
                        <w:div w:id="294151296">
                          <w:marLeft w:val="0"/>
                          <w:marRight w:val="0"/>
                          <w:marTop w:val="0"/>
                          <w:marBottom w:val="0"/>
                          <w:divBdr>
                            <w:top w:val="none" w:sz="0" w:space="0" w:color="auto"/>
                            <w:left w:val="none" w:sz="0" w:space="0" w:color="auto"/>
                            <w:bottom w:val="none" w:sz="0" w:space="0" w:color="auto"/>
                            <w:right w:val="none" w:sz="0" w:space="0" w:color="auto"/>
                          </w:divBdr>
                        </w:div>
                      </w:divsChild>
                    </w:div>
                    <w:div w:id="294146862">
                      <w:marLeft w:val="0"/>
                      <w:marRight w:val="0"/>
                      <w:marTop w:val="0"/>
                      <w:marBottom w:val="0"/>
                      <w:divBdr>
                        <w:top w:val="none" w:sz="0" w:space="0" w:color="auto"/>
                        <w:left w:val="none" w:sz="0" w:space="0" w:color="auto"/>
                        <w:bottom w:val="none" w:sz="0" w:space="0" w:color="auto"/>
                        <w:right w:val="none" w:sz="0" w:space="0" w:color="auto"/>
                      </w:divBdr>
                    </w:div>
                    <w:div w:id="294146868">
                      <w:marLeft w:val="0"/>
                      <w:marRight w:val="0"/>
                      <w:marTop w:val="0"/>
                      <w:marBottom w:val="0"/>
                      <w:divBdr>
                        <w:top w:val="none" w:sz="0" w:space="0" w:color="auto"/>
                        <w:left w:val="none" w:sz="0" w:space="0" w:color="auto"/>
                        <w:bottom w:val="none" w:sz="0" w:space="0" w:color="auto"/>
                        <w:right w:val="none" w:sz="0" w:space="0" w:color="auto"/>
                      </w:divBdr>
                      <w:divsChild>
                        <w:div w:id="294139159">
                          <w:marLeft w:val="0"/>
                          <w:marRight w:val="0"/>
                          <w:marTop w:val="0"/>
                          <w:marBottom w:val="0"/>
                          <w:divBdr>
                            <w:top w:val="none" w:sz="0" w:space="0" w:color="auto"/>
                            <w:left w:val="none" w:sz="0" w:space="0" w:color="auto"/>
                            <w:bottom w:val="none" w:sz="0" w:space="0" w:color="auto"/>
                            <w:right w:val="none" w:sz="0" w:space="0" w:color="auto"/>
                          </w:divBdr>
                        </w:div>
                      </w:divsChild>
                    </w:div>
                    <w:div w:id="294146894">
                      <w:marLeft w:val="0"/>
                      <w:marRight w:val="0"/>
                      <w:marTop w:val="0"/>
                      <w:marBottom w:val="0"/>
                      <w:divBdr>
                        <w:top w:val="none" w:sz="0" w:space="0" w:color="auto"/>
                        <w:left w:val="none" w:sz="0" w:space="0" w:color="auto"/>
                        <w:bottom w:val="none" w:sz="0" w:space="0" w:color="auto"/>
                        <w:right w:val="none" w:sz="0" w:space="0" w:color="auto"/>
                      </w:divBdr>
                    </w:div>
                    <w:div w:id="294146965">
                      <w:marLeft w:val="0"/>
                      <w:marRight w:val="0"/>
                      <w:marTop w:val="0"/>
                      <w:marBottom w:val="0"/>
                      <w:divBdr>
                        <w:top w:val="none" w:sz="0" w:space="0" w:color="auto"/>
                        <w:left w:val="none" w:sz="0" w:space="0" w:color="auto"/>
                        <w:bottom w:val="none" w:sz="0" w:space="0" w:color="auto"/>
                        <w:right w:val="none" w:sz="0" w:space="0" w:color="auto"/>
                      </w:divBdr>
                    </w:div>
                    <w:div w:id="294146978">
                      <w:marLeft w:val="0"/>
                      <w:marRight w:val="0"/>
                      <w:marTop w:val="0"/>
                      <w:marBottom w:val="0"/>
                      <w:divBdr>
                        <w:top w:val="none" w:sz="0" w:space="0" w:color="auto"/>
                        <w:left w:val="none" w:sz="0" w:space="0" w:color="auto"/>
                        <w:bottom w:val="none" w:sz="0" w:space="0" w:color="auto"/>
                        <w:right w:val="none" w:sz="0" w:space="0" w:color="auto"/>
                      </w:divBdr>
                    </w:div>
                    <w:div w:id="294146993">
                      <w:marLeft w:val="0"/>
                      <w:marRight w:val="0"/>
                      <w:marTop w:val="0"/>
                      <w:marBottom w:val="0"/>
                      <w:divBdr>
                        <w:top w:val="none" w:sz="0" w:space="0" w:color="auto"/>
                        <w:left w:val="none" w:sz="0" w:space="0" w:color="auto"/>
                        <w:bottom w:val="none" w:sz="0" w:space="0" w:color="auto"/>
                        <w:right w:val="none" w:sz="0" w:space="0" w:color="auto"/>
                      </w:divBdr>
                      <w:divsChild>
                        <w:div w:id="294141107">
                          <w:marLeft w:val="0"/>
                          <w:marRight w:val="0"/>
                          <w:marTop w:val="0"/>
                          <w:marBottom w:val="0"/>
                          <w:divBdr>
                            <w:top w:val="none" w:sz="0" w:space="0" w:color="auto"/>
                            <w:left w:val="none" w:sz="0" w:space="0" w:color="auto"/>
                            <w:bottom w:val="none" w:sz="0" w:space="0" w:color="auto"/>
                            <w:right w:val="none" w:sz="0" w:space="0" w:color="auto"/>
                          </w:divBdr>
                        </w:div>
                      </w:divsChild>
                    </w:div>
                    <w:div w:id="294147104">
                      <w:marLeft w:val="0"/>
                      <w:marRight w:val="0"/>
                      <w:marTop w:val="0"/>
                      <w:marBottom w:val="0"/>
                      <w:divBdr>
                        <w:top w:val="none" w:sz="0" w:space="0" w:color="auto"/>
                        <w:left w:val="none" w:sz="0" w:space="0" w:color="auto"/>
                        <w:bottom w:val="none" w:sz="0" w:space="0" w:color="auto"/>
                        <w:right w:val="none" w:sz="0" w:space="0" w:color="auto"/>
                      </w:divBdr>
                      <w:divsChild>
                        <w:div w:id="294141659">
                          <w:marLeft w:val="0"/>
                          <w:marRight w:val="0"/>
                          <w:marTop w:val="0"/>
                          <w:marBottom w:val="0"/>
                          <w:divBdr>
                            <w:top w:val="none" w:sz="0" w:space="0" w:color="auto"/>
                            <w:left w:val="none" w:sz="0" w:space="0" w:color="auto"/>
                            <w:bottom w:val="none" w:sz="0" w:space="0" w:color="auto"/>
                            <w:right w:val="none" w:sz="0" w:space="0" w:color="auto"/>
                          </w:divBdr>
                        </w:div>
                      </w:divsChild>
                    </w:div>
                    <w:div w:id="294147359">
                      <w:marLeft w:val="0"/>
                      <w:marRight w:val="0"/>
                      <w:marTop w:val="0"/>
                      <w:marBottom w:val="0"/>
                      <w:divBdr>
                        <w:top w:val="none" w:sz="0" w:space="0" w:color="auto"/>
                        <w:left w:val="none" w:sz="0" w:space="0" w:color="auto"/>
                        <w:bottom w:val="none" w:sz="0" w:space="0" w:color="auto"/>
                        <w:right w:val="none" w:sz="0" w:space="0" w:color="auto"/>
                      </w:divBdr>
                      <w:divsChild>
                        <w:div w:id="294148498">
                          <w:marLeft w:val="0"/>
                          <w:marRight w:val="0"/>
                          <w:marTop w:val="0"/>
                          <w:marBottom w:val="0"/>
                          <w:divBdr>
                            <w:top w:val="none" w:sz="0" w:space="0" w:color="auto"/>
                            <w:left w:val="none" w:sz="0" w:space="0" w:color="auto"/>
                            <w:bottom w:val="none" w:sz="0" w:space="0" w:color="auto"/>
                            <w:right w:val="none" w:sz="0" w:space="0" w:color="auto"/>
                          </w:divBdr>
                        </w:div>
                      </w:divsChild>
                    </w:div>
                    <w:div w:id="294147379">
                      <w:marLeft w:val="0"/>
                      <w:marRight w:val="0"/>
                      <w:marTop w:val="0"/>
                      <w:marBottom w:val="0"/>
                      <w:divBdr>
                        <w:top w:val="none" w:sz="0" w:space="0" w:color="auto"/>
                        <w:left w:val="none" w:sz="0" w:space="0" w:color="auto"/>
                        <w:bottom w:val="none" w:sz="0" w:space="0" w:color="auto"/>
                        <w:right w:val="none" w:sz="0" w:space="0" w:color="auto"/>
                      </w:divBdr>
                      <w:divsChild>
                        <w:div w:id="294150055">
                          <w:marLeft w:val="0"/>
                          <w:marRight w:val="0"/>
                          <w:marTop w:val="0"/>
                          <w:marBottom w:val="0"/>
                          <w:divBdr>
                            <w:top w:val="none" w:sz="0" w:space="0" w:color="auto"/>
                            <w:left w:val="none" w:sz="0" w:space="0" w:color="auto"/>
                            <w:bottom w:val="none" w:sz="0" w:space="0" w:color="auto"/>
                            <w:right w:val="none" w:sz="0" w:space="0" w:color="auto"/>
                          </w:divBdr>
                        </w:div>
                      </w:divsChild>
                    </w:div>
                    <w:div w:id="294147449">
                      <w:marLeft w:val="0"/>
                      <w:marRight w:val="0"/>
                      <w:marTop w:val="0"/>
                      <w:marBottom w:val="0"/>
                      <w:divBdr>
                        <w:top w:val="none" w:sz="0" w:space="0" w:color="auto"/>
                        <w:left w:val="none" w:sz="0" w:space="0" w:color="auto"/>
                        <w:bottom w:val="none" w:sz="0" w:space="0" w:color="auto"/>
                        <w:right w:val="none" w:sz="0" w:space="0" w:color="auto"/>
                      </w:divBdr>
                      <w:divsChild>
                        <w:div w:id="294139572">
                          <w:marLeft w:val="0"/>
                          <w:marRight w:val="0"/>
                          <w:marTop w:val="0"/>
                          <w:marBottom w:val="0"/>
                          <w:divBdr>
                            <w:top w:val="none" w:sz="0" w:space="0" w:color="auto"/>
                            <w:left w:val="none" w:sz="0" w:space="0" w:color="auto"/>
                            <w:bottom w:val="none" w:sz="0" w:space="0" w:color="auto"/>
                            <w:right w:val="none" w:sz="0" w:space="0" w:color="auto"/>
                          </w:divBdr>
                        </w:div>
                      </w:divsChild>
                    </w:div>
                    <w:div w:id="294147631">
                      <w:marLeft w:val="0"/>
                      <w:marRight w:val="0"/>
                      <w:marTop w:val="0"/>
                      <w:marBottom w:val="0"/>
                      <w:divBdr>
                        <w:top w:val="none" w:sz="0" w:space="0" w:color="auto"/>
                        <w:left w:val="none" w:sz="0" w:space="0" w:color="auto"/>
                        <w:bottom w:val="none" w:sz="0" w:space="0" w:color="auto"/>
                        <w:right w:val="none" w:sz="0" w:space="0" w:color="auto"/>
                      </w:divBdr>
                    </w:div>
                    <w:div w:id="294147687">
                      <w:marLeft w:val="0"/>
                      <w:marRight w:val="0"/>
                      <w:marTop w:val="0"/>
                      <w:marBottom w:val="0"/>
                      <w:divBdr>
                        <w:top w:val="none" w:sz="0" w:space="0" w:color="auto"/>
                        <w:left w:val="none" w:sz="0" w:space="0" w:color="auto"/>
                        <w:bottom w:val="none" w:sz="0" w:space="0" w:color="auto"/>
                        <w:right w:val="none" w:sz="0" w:space="0" w:color="auto"/>
                      </w:divBdr>
                      <w:divsChild>
                        <w:div w:id="294156080">
                          <w:marLeft w:val="0"/>
                          <w:marRight w:val="0"/>
                          <w:marTop w:val="0"/>
                          <w:marBottom w:val="0"/>
                          <w:divBdr>
                            <w:top w:val="none" w:sz="0" w:space="0" w:color="auto"/>
                            <w:left w:val="none" w:sz="0" w:space="0" w:color="auto"/>
                            <w:bottom w:val="none" w:sz="0" w:space="0" w:color="auto"/>
                            <w:right w:val="none" w:sz="0" w:space="0" w:color="auto"/>
                          </w:divBdr>
                        </w:div>
                      </w:divsChild>
                    </w:div>
                    <w:div w:id="294147703">
                      <w:marLeft w:val="0"/>
                      <w:marRight w:val="0"/>
                      <w:marTop w:val="0"/>
                      <w:marBottom w:val="0"/>
                      <w:divBdr>
                        <w:top w:val="none" w:sz="0" w:space="0" w:color="auto"/>
                        <w:left w:val="none" w:sz="0" w:space="0" w:color="auto"/>
                        <w:bottom w:val="none" w:sz="0" w:space="0" w:color="auto"/>
                        <w:right w:val="none" w:sz="0" w:space="0" w:color="auto"/>
                      </w:divBdr>
                    </w:div>
                    <w:div w:id="294147802">
                      <w:marLeft w:val="0"/>
                      <w:marRight w:val="0"/>
                      <w:marTop w:val="0"/>
                      <w:marBottom w:val="0"/>
                      <w:divBdr>
                        <w:top w:val="none" w:sz="0" w:space="0" w:color="auto"/>
                        <w:left w:val="none" w:sz="0" w:space="0" w:color="auto"/>
                        <w:bottom w:val="none" w:sz="0" w:space="0" w:color="auto"/>
                        <w:right w:val="none" w:sz="0" w:space="0" w:color="auto"/>
                      </w:divBdr>
                      <w:divsChild>
                        <w:div w:id="294152343">
                          <w:marLeft w:val="0"/>
                          <w:marRight w:val="0"/>
                          <w:marTop w:val="0"/>
                          <w:marBottom w:val="0"/>
                          <w:divBdr>
                            <w:top w:val="none" w:sz="0" w:space="0" w:color="auto"/>
                            <w:left w:val="none" w:sz="0" w:space="0" w:color="auto"/>
                            <w:bottom w:val="none" w:sz="0" w:space="0" w:color="auto"/>
                            <w:right w:val="none" w:sz="0" w:space="0" w:color="auto"/>
                          </w:divBdr>
                        </w:div>
                      </w:divsChild>
                    </w:div>
                    <w:div w:id="294147865">
                      <w:marLeft w:val="0"/>
                      <w:marRight w:val="0"/>
                      <w:marTop w:val="0"/>
                      <w:marBottom w:val="0"/>
                      <w:divBdr>
                        <w:top w:val="none" w:sz="0" w:space="0" w:color="auto"/>
                        <w:left w:val="none" w:sz="0" w:space="0" w:color="auto"/>
                        <w:bottom w:val="none" w:sz="0" w:space="0" w:color="auto"/>
                        <w:right w:val="none" w:sz="0" w:space="0" w:color="auto"/>
                      </w:divBdr>
                      <w:divsChild>
                        <w:div w:id="294139865">
                          <w:marLeft w:val="0"/>
                          <w:marRight w:val="0"/>
                          <w:marTop w:val="0"/>
                          <w:marBottom w:val="0"/>
                          <w:divBdr>
                            <w:top w:val="none" w:sz="0" w:space="0" w:color="auto"/>
                            <w:left w:val="none" w:sz="0" w:space="0" w:color="auto"/>
                            <w:bottom w:val="none" w:sz="0" w:space="0" w:color="auto"/>
                            <w:right w:val="none" w:sz="0" w:space="0" w:color="auto"/>
                          </w:divBdr>
                        </w:div>
                      </w:divsChild>
                    </w:div>
                    <w:div w:id="294147880">
                      <w:marLeft w:val="0"/>
                      <w:marRight w:val="0"/>
                      <w:marTop w:val="0"/>
                      <w:marBottom w:val="0"/>
                      <w:divBdr>
                        <w:top w:val="none" w:sz="0" w:space="0" w:color="auto"/>
                        <w:left w:val="none" w:sz="0" w:space="0" w:color="auto"/>
                        <w:bottom w:val="none" w:sz="0" w:space="0" w:color="auto"/>
                        <w:right w:val="none" w:sz="0" w:space="0" w:color="auto"/>
                      </w:divBdr>
                      <w:divsChild>
                        <w:div w:id="294156312">
                          <w:marLeft w:val="0"/>
                          <w:marRight w:val="0"/>
                          <w:marTop w:val="0"/>
                          <w:marBottom w:val="0"/>
                          <w:divBdr>
                            <w:top w:val="none" w:sz="0" w:space="0" w:color="auto"/>
                            <w:left w:val="none" w:sz="0" w:space="0" w:color="auto"/>
                            <w:bottom w:val="none" w:sz="0" w:space="0" w:color="auto"/>
                            <w:right w:val="none" w:sz="0" w:space="0" w:color="auto"/>
                          </w:divBdr>
                        </w:div>
                      </w:divsChild>
                    </w:div>
                    <w:div w:id="294147928">
                      <w:marLeft w:val="0"/>
                      <w:marRight w:val="0"/>
                      <w:marTop w:val="0"/>
                      <w:marBottom w:val="0"/>
                      <w:divBdr>
                        <w:top w:val="none" w:sz="0" w:space="0" w:color="auto"/>
                        <w:left w:val="none" w:sz="0" w:space="0" w:color="auto"/>
                        <w:bottom w:val="none" w:sz="0" w:space="0" w:color="auto"/>
                        <w:right w:val="none" w:sz="0" w:space="0" w:color="auto"/>
                      </w:divBdr>
                    </w:div>
                    <w:div w:id="294148013">
                      <w:marLeft w:val="0"/>
                      <w:marRight w:val="0"/>
                      <w:marTop w:val="0"/>
                      <w:marBottom w:val="0"/>
                      <w:divBdr>
                        <w:top w:val="none" w:sz="0" w:space="0" w:color="auto"/>
                        <w:left w:val="none" w:sz="0" w:space="0" w:color="auto"/>
                        <w:bottom w:val="none" w:sz="0" w:space="0" w:color="auto"/>
                        <w:right w:val="none" w:sz="0" w:space="0" w:color="auto"/>
                      </w:divBdr>
                      <w:divsChild>
                        <w:div w:id="294152321">
                          <w:marLeft w:val="0"/>
                          <w:marRight w:val="0"/>
                          <w:marTop w:val="0"/>
                          <w:marBottom w:val="0"/>
                          <w:divBdr>
                            <w:top w:val="none" w:sz="0" w:space="0" w:color="auto"/>
                            <w:left w:val="none" w:sz="0" w:space="0" w:color="auto"/>
                            <w:bottom w:val="none" w:sz="0" w:space="0" w:color="auto"/>
                            <w:right w:val="none" w:sz="0" w:space="0" w:color="auto"/>
                          </w:divBdr>
                        </w:div>
                      </w:divsChild>
                    </w:div>
                    <w:div w:id="294148017">
                      <w:marLeft w:val="0"/>
                      <w:marRight w:val="0"/>
                      <w:marTop w:val="0"/>
                      <w:marBottom w:val="0"/>
                      <w:divBdr>
                        <w:top w:val="none" w:sz="0" w:space="0" w:color="auto"/>
                        <w:left w:val="none" w:sz="0" w:space="0" w:color="auto"/>
                        <w:bottom w:val="none" w:sz="0" w:space="0" w:color="auto"/>
                        <w:right w:val="none" w:sz="0" w:space="0" w:color="auto"/>
                      </w:divBdr>
                    </w:div>
                    <w:div w:id="294148083">
                      <w:marLeft w:val="0"/>
                      <w:marRight w:val="0"/>
                      <w:marTop w:val="0"/>
                      <w:marBottom w:val="0"/>
                      <w:divBdr>
                        <w:top w:val="none" w:sz="0" w:space="0" w:color="auto"/>
                        <w:left w:val="none" w:sz="0" w:space="0" w:color="auto"/>
                        <w:bottom w:val="none" w:sz="0" w:space="0" w:color="auto"/>
                        <w:right w:val="none" w:sz="0" w:space="0" w:color="auto"/>
                      </w:divBdr>
                      <w:divsChild>
                        <w:div w:id="294157244">
                          <w:marLeft w:val="0"/>
                          <w:marRight w:val="0"/>
                          <w:marTop w:val="0"/>
                          <w:marBottom w:val="0"/>
                          <w:divBdr>
                            <w:top w:val="none" w:sz="0" w:space="0" w:color="auto"/>
                            <w:left w:val="none" w:sz="0" w:space="0" w:color="auto"/>
                            <w:bottom w:val="none" w:sz="0" w:space="0" w:color="auto"/>
                            <w:right w:val="none" w:sz="0" w:space="0" w:color="auto"/>
                          </w:divBdr>
                        </w:div>
                      </w:divsChild>
                    </w:div>
                    <w:div w:id="294148130">
                      <w:marLeft w:val="0"/>
                      <w:marRight w:val="0"/>
                      <w:marTop w:val="0"/>
                      <w:marBottom w:val="0"/>
                      <w:divBdr>
                        <w:top w:val="none" w:sz="0" w:space="0" w:color="auto"/>
                        <w:left w:val="none" w:sz="0" w:space="0" w:color="auto"/>
                        <w:bottom w:val="none" w:sz="0" w:space="0" w:color="auto"/>
                        <w:right w:val="none" w:sz="0" w:space="0" w:color="auto"/>
                      </w:divBdr>
                    </w:div>
                    <w:div w:id="294148169">
                      <w:marLeft w:val="0"/>
                      <w:marRight w:val="0"/>
                      <w:marTop w:val="0"/>
                      <w:marBottom w:val="0"/>
                      <w:divBdr>
                        <w:top w:val="none" w:sz="0" w:space="0" w:color="auto"/>
                        <w:left w:val="none" w:sz="0" w:space="0" w:color="auto"/>
                        <w:bottom w:val="none" w:sz="0" w:space="0" w:color="auto"/>
                        <w:right w:val="none" w:sz="0" w:space="0" w:color="auto"/>
                      </w:divBdr>
                      <w:divsChild>
                        <w:div w:id="294154728">
                          <w:marLeft w:val="0"/>
                          <w:marRight w:val="0"/>
                          <w:marTop w:val="0"/>
                          <w:marBottom w:val="0"/>
                          <w:divBdr>
                            <w:top w:val="none" w:sz="0" w:space="0" w:color="auto"/>
                            <w:left w:val="none" w:sz="0" w:space="0" w:color="auto"/>
                            <w:bottom w:val="none" w:sz="0" w:space="0" w:color="auto"/>
                            <w:right w:val="none" w:sz="0" w:space="0" w:color="auto"/>
                          </w:divBdr>
                        </w:div>
                      </w:divsChild>
                    </w:div>
                    <w:div w:id="294148180">
                      <w:marLeft w:val="0"/>
                      <w:marRight w:val="0"/>
                      <w:marTop w:val="0"/>
                      <w:marBottom w:val="0"/>
                      <w:divBdr>
                        <w:top w:val="none" w:sz="0" w:space="0" w:color="auto"/>
                        <w:left w:val="none" w:sz="0" w:space="0" w:color="auto"/>
                        <w:bottom w:val="none" w:sz="0" w:space="0" w:color="auto"/>
                        <w:right w:val="none" w:sz="0" w:space="0" w:color="auto"/>
                      </w:divBdr>
                    </w:div>
                    <w:div w:id="294148191">
                      <w:marLeft w:val="0"/>
                      <w:marRight w:val="0"/>
                      <w:marTop w:val="0"/>
                      <w:marBottom w:val="0"/>
                      <w:divBdr>
                        <w:top w:val="none" w:sz="0" w:space="0" w:color="auto"/>
                        <w:left w:val="none" w:sz="0" w:space="0" w:color="auto"/>
                        <w:bottom w:val="none" w:sz="0" w:space="0" w:color="auto"/>
                        <w:right w:val="none" w:sz="0" w:space="0" w:color="auto"/>
                      </w:divBdr>
                    </w:div>
                    <w:div w:id="294148259">
                      <w:marLeft w:val="0"/>
                      <w:marRight w:val="0"/>
                      <w:marTop w:val="0"/>
                      <w:marBottom w:val="0"/>
                      <w:divBdr>
                        <w:top w:val="none" w:sz="0" w:space="0" w:color="auto"/>
                        <w:left w:val="none" w:sz="0" w:space="0" w:color="auto"/>
                        <w:bottom w:val="none" w:sz="0" w:space="0" w:color="auto"/>
                        <w:right w:val="none" w:sz="0" w:space="0" w:color="auto"/>
                      </w:divBdr>
                    </w:div>
                    <w:div w:id="294148353">
                      <w:marLeft w:val="0"/>
                      <w:marRight w:val="0"/>
                      <w:marTop w:val="0"/>
                      <w:marBottom w:val="0"/>
                      <w:divBdr>
                        <w:top w:val="none" w:sz="0" w:space="0" w:color="auto"/>
                        <w:left w:val="none" w:sz="0" w:space="0" w:color="auto"/>
                        <w:bottom w:val="none" w:sz="0" w:space="0" w:color="auto"/>
                        <w:right w:val="none" w:sz="0" w:space="0" w:color="auto"/>
                      </w:divBdr>
                    </w:div>
                    <w:div w:id="294148472">
                      <w:marLeft w:val="0"/>
                      <w:marRight w:val="0"/>
                      <w:marTop w:val="0"/>
                      <w:marBottom w:val="0"/>
                      <w:divBdr>
                        <w:top w:val="none" w:sz="0" w:space="0" w:color="auto"/>
                        <w:left w:val="none" w:sz="0" w:space="0" w:color="auto"/>
                        <w:bottom w:val="none" w:sz="0" w:space="0" w:color="auto"/>
                        <w:right w:val="none" w:sz="0" w:space="0" w:color="auto"/>
                      </w:divBdr>
                      <w:divsChild>
                        <w:div w:id="294151876">
                          <w:marLeft w:val="0"/>
                          <w:marRight w:val="0"/>
                          <w:marTop w:val="0"/>
                          <w:marBottom w:val="0"/>
                          <w:divBdr>
                            <w:top w:val="none" w:sz="0" w:space="0" w:color="auto"/>
                            <w:left w:val="none" w:sz="0" w:space="0" w:color="auto"/>
                            <w:bottom w:val="none" w:sz="0" w:space="0" w:color="auto"/>
                            <w:right w:val="none" w:sz="0" w:space="0" w:color="auto"/>
                          </w:divBdr>
                        </w:div>
                      </w:divsChild>
                    </w:div>
                    <w:div w:id="294148476">
                      <w:marLeft w:val="0"/>
                      <w:marRight w:val="0"/>
                      <w:marTop w:val="0"/>
                      <w:marBottom w:val="0"/>
                      <w:divBdr>
                        <w:top w:val="none" w:sz="0" w:space="0" w:color="auto"/>
                        <w:left w:val="none" w:sz="0" w:space="0" w:color="auto"/>
                        <w:bottom w:val="none" w:sz="0" w:space="0" w:color="auto"/>
                        <w:right w:val="none" w:sz="0" w:space="0" w:color="auto"/>
                      </w:divBdr>
                      <w:divsChild>
                        <w:div w:id="294154899">
                          <w:marLeft w:val="0"/>
                          <w:marRight w:val="0"/>
                          <w:marTop w:val="0"/>
                          <w:marBottom w:val="0"/>
                          <w:divBdr>
                            <w:top w:val="none" w:sz="0" w:space="0" w:color="auto"/>
                            <w:left w:val="none" w:sz="0" w:space="0" w:color="auto"/>
                            <w:bottom w:val="none" w:sz="0" w:space="0" w:color="auto"/>
                            <w:right w:val="none" w:sz="0" w:space="0" w:color="auto"/>
                          </w:divBdr>
                        </w:div>
                      </w:divsChild>
                    </w:div>
                    <w:div w:id="294148609">
                      <w:marLeft w:val="0"/>
                      <w:marRight w:val="0"/>
                      <w:marTop w:val="0"/>
                      <w:marBottom w:val="0"/>
                      <w:divBdr>
                        <w:top w:val="none" w:sz="0" w:space="0" w:color="auto"/>
                        <w:left w:val="none" w:sz="0" w:space="0" w:color="auto"/>
                        <w:bottom w:val="none" w:sz="0" w:space="0" w:color="auto"/>
                        <w:right w:val="none" w:sz="0" w:space="0" w:color="auto"/>
                      </w:divBdr>
                    </w:div>
                    <w:div w:id="294148686">
                      <w:marLeft w:val="0"/>
                      <w:marRight w:val="0"/>
                      <w:marTop w:val="0"/>
                      <w:marBottom w:val="0"/>
                      <w:divBdr>
                        <w:top w:val="none" w:sz="0" w:space="0" w:color="auto"/>
                        <w:left w:val="none" w:sz="0" w:space="0" w:color="auto"/>
                        <w:bottom w:val="none" w:sz="0" w:space="0" w:color="auto"/>
                        <w:right w:val="none" w:sz="0" w:space="0" w:color="auto"/>
                      </w:divBdr>
                      <w:divsChild>
                        <w:div w:id="294156033">
                          <w:marLeft w:val="0"/>
                          <w:marRight w:val="0"/>
                          <w:marTop w:val="0"/>
                          <w:marBottom w:val="0"/>
                          <w:divBdr>
                            <w:top w:val="none" w:sz="0" w:space="0" w:color="auto"/>
                            <w:left w:val="none" w:sz="0" w:space="0" w:color="auto"/>
                            <w:bottom w:val="none" w:sz="0" w:space="0" w:color="auto"/>
                            <w:right w:val="none" w:sz="0" w:space="0" w:color="auto"/>
                          </w:divBdr>
                        </w:div>
                      </w:divsChild>
                    </w:div>
                    <w:div w:id="294148765">
                      <w:marLeft w:val="0"/>
                      <w:marRight w:val="0"/>
                      <w:marTop w:val="0"/>
                      <w:marBottom w:val="0"/>
                      <w:divBdr>
                        <w:top w:val="none" w:sz="0" w:space="0" w:color="auto"/>
                        <w:left w:val="none" w:sz="0" w:space="0" w:color="auto"/>
                        <w:bottom w:val="none" w:sz="0" w:space="0" w:color="auto"/>
                        <w:right w:val="none" w:sz="0" w:space="0" w:color="auto"/>
                      </w:divBdr>
                    </w:div>
                    <w:div w:id="294148771">
                      <w:marLeft w:val="0"/>
                      <w:marRight w:val="0"/>
                      <w:marTop w:val="0"/>
                      <w:marBottom w:val="0"/>
                      <w:divBdr>
                        <w:top w:val="none" w:sz="0" w:space="0" w:color="auto"/>
                        <w:left w:val="none" w:sz="0" w:space="0" w:color="auto"/>
                        <w:bottom w:val="none" w:sz="0" w:space="0" w:color="auto"/>
                        <w:right w:val="none" w:sz="0" w:space="0" w:color="auto"/>
                      </w:divBdr>
                      <w:divsChild>
                        <w:div w:id="294138348">
                          <w:marLeft w:val="0"/>
                          <w:marRight w:val="0"/>
                          <w:marTop w:val="0"/>
                          <w:marBottom w:val="0"/>
                          <w:divBdr>
                            <w:top w:val="none" w:sz="0" w:space="0" w:color="auto"/>
                            <w:left w:val="none" w:sz="0" w:space="0" w:color="auto"/>
                            <w:bottom w:val="none" w:sz="0" w:space="0" w:color="auto"/>
                            <w:right w:val="none" w:sz="0" w:space="0" w:color="auto"/>
                          </w:divBdr>
                        </w:div>
                      </w:divsChild>
                    </w:div>
                    <w:div w:id="294148776">
                      <w:marLeft w:val="0"/>
                      <w:marRight w:val="0"/>
                      <w:marTop w:val="0"/>
                      <w:marBottom w:val="0"/>
                      <w:divBdr>
                        <w:top w:val="none" w:sz="0" w:space="0" w:color="auto"/>
                        <w:left w:val="none" w:sz="0" w:space="0" w:color="auto"/>
                        <w:bottom w:val="none" w:sz="0" w:space="0" w:color="auto"/>
                        <w:right w:val="none" w:sz="0" w:space="0" w:color="auto"/>
                      </w:divBdr>
                    </w:div>
                    <w:div w:id="294148885">
                      <w:marLeft w:val="0"/>
                      <w:marRight w:val="0"/>
                      <w:marTop w:val="0"/>
                      <w:marBottom w:val="0"/>
                      <w:divBdr>
                        <w:top w:val="none" w:sz="0" w:space="0" w:color="auto"/>
                        <w:left w:val="none" w:sz="0" w:space="0" w:color="auto"/>
                        <w:bottom w:val="none" w:sz="0" w:space="0" w:color="auto"/>
                        <w:right w:val="none" w:sz="0" w:space="0" w:color="auto"/>
                      </w:divBdr>
                    </w:div>
                    <w:div w:id="294148977">
                      <w:marLeft w:val="0"/>
                      <w:marRight w:val="0"/>
                      <w:marTop w:val="0"/>
                      <w:marBottom w:val="0"/>
                      <w:divBdr>
                        <w:top w:val="none" w:sz="0" w:space="0" w:color="auto"/>
                        <w:left w:val="none" w:sz="0" w:space="0" w:color="auto"/>
                        <w:bottom w:val="none" w:sz="0" w:space="0" w:color="auto"/>
                        <w:right w:val="none" w:sz="0" w:space="0" w:color="auto"/>
                      </w:divBdr>
                      <w:divsChild>
                        <w:div w:id="294155606">
                          <w:marLeft w:val="0"/>
                          <w:marRight w:val="0"/>
                          <w:marTop w:val="0"/>
                          <w:marBottom w:val="0"/>
                          <w:divBdr>
                            <w:top w:val="none" w:sz="0" w:space="0" w:color="auto"/>
                            <w:left w:val="none" w:sz="0" w:space="0" w:color="auto"/>
                            <w:bottom w:val="none" w:sz="0" w:space="0" w:color="auto"/>
                            <w:right w:val="none" w:sz="0" w:space="0" w:color="auto"/>
                          </w:divBdr>
                        </w:div>
                      </w:divsChild>
                    </w:div>
                    <w:div w:id="294149013">
                      <w:marLeft w:val="0"/>
                      <w:marRight w:val="0"/>
                      <w:marTop w:val="0"/>
                      <w:marBottom w:val="0"/>
                      <w:divBdr>
                        <w:top w:val="none" w:sz="0" w:space="0" w:color="auto"/>
                        <w:left w:val="none" w:sz="0" w:space="0" w:color="auto"/>
                        <w:bottom w:val="none" w:sz="0" w:space="0" w:color="auto"/>
                        <w:right w:val="none" w:sz="0" w:space="0" w:color="auto"/>
                      </w:divBdr>
                      <w:divsChild>
                        <w:div w:id="294145137">
                          <w:marLeft w:val="0"/>
                          <w:marRight w:val="0"/>
                          <w:marTop w:val="0"/>
                          <w:marBottom w:val="0"/>
                          <w:divBdr>
                            <w:top w:val="none" w:sz="0" w:space="0" w:color="auto"/>
                            <w:left w:val="none" w:sz="0" w:space="0" w:color="auto"/>
                            <w:bottom w:val="none" w:sz="0" w:space="0" w:color="auto"/>
                            <w:right w:val="none" w:sz="0" w:space="0" w:color="auto"/>
                          </w:divBdr>
                        </w:div>
                      </w:divsChild>
                    </w:div>
                    <w:div w:id="294149051">
                      <w:marLeft w:val="0"/>
                      <w:marRight w:val="0"/>
                      <w:marTop w:val="0"/>
                      <w:marBottom w:val="0"/>
                      <w:divBdr>
                        <w:top w:val="none" w:sz="0" w:space="0" w:color="auto"/>
                        <w:left w:val="none" w:sz="0" w:space="0" w:color="auto"/>
                        <w:bottom w:val="none" w:sz="0" w:space="0" w:color="auto"/>
                        <w:right w:val="none" w:sz="0" w:space="0" w:color="auto"/>
                      </w:divBdr>
                      <w:divsChild>
                        <w:div w:id="294156340">
                          <w:marLeft w:val="0"/>
                          <w:marRight w:val="0"/>
                          <w:marTop w:val="0"/>
                          <w:marBottom w:val="0"/>
                          <w:divBdr>
                            <w:top w:val="none" w:sz="0" w:space="0" w:color="auto"/>
                            <w:left w:val="none" w:sz="0" w:space="0" w:color="auto"/>
                            <w:bottom w:val="none" w:sz="0" w:space="0" w:color="auto"/>
                            <w:right w:val="none" w:sz="0" w:space="0" w:color="auto"/>
                          </w:divBdr>
                        </w:div>
                      </w:divsChild>
                    </w:div>
                    <w:div w:id="294149160">
                      <w:marLeft w:val="0"/>
                      <w:marRight w:val="0"/>
                      <w:marTop w:val="0"/>
                      <w:marBottom w:val="0"/>
                      <w:divBdr>
                        <w:top w:val="none" w:sz="0" w:space="0" w:color="auto"/>
                        <w:left w:val="none" w:sz="0" w:space="0" w:color="auto"/>
                        <w:bottom w:val="none" w:sz="0" w:space="0" w:color="auto"/>
                        <w:right w:val="none" w:sz="0" w:space="0" w:color="auto"/>
                      </w:divBdr>
                      <w:divsChild>
                        <w:div w:id="294148830">
                          <w:marLeft w:val="0"/>
                          <w:marRight w:val="0"/>
                          <w:marTop w:val="0"/>
                          <w:marBottom w:val="0"/>
                          <w:divBdr>
                            <w:top w:val="none" w:sz="0" w:space="0" w:color="auto"/>
                            <w:left w:val="none" w:sz="0" w:space="0" w:color="auto"/>
                            <w:bottom w:val="none" w:sz="0" w:space="0" w:color="auto"/>
                            <w:right w:val="none" w:sz="0" w:space="0" w:color="auto"/>
                          </w:divBdr>
                        </w:div>
                      </w:divsChild>
                    </w:div>
                    <w:div w:id="294149387">
                      <w:marLeft w:val="0"/>
                      <w:marRight w:val="0"/>
                      <w:marTop w:val="0"/>
                      <w:marBottom w:val="0"/>
                      <w:divBdr>
                        <w:top w:val="none" w:sz="0" w:space="0" w:color="auto"/>
                        <w:left w:val="none" w:sz="0" w:space="0" w:color="auto"/>
                        <w:bottom w:val="none" w:sz="0" w:space="0" w:color="auto"/>
                        <w:right w:val="none" w:sz="0" w:space="0" w:color="auto"/>
                      </w:divBdr>
                      <w:divsChild>
                        <w:div w:id="294146072">
                          <w:marLeft w:val="0"/>
                          <w:marRight w:val="0"/>
                          <w:marTop w:val="0"/>
                          <w:marBottom w:val="0"/>
                          <w:divBdr>
                            <w:top w:val="none" w:sz="0" w:space="0" w:color="auto"/>
                            <w:left w:val="none" w:sz="0" w:space="0" w:color="auto"/>
                            <w:bottom w:val="none" w:sz="0" w:space="0" w:color="auto"/>
                            <w:right w:val="none" w:sz="0" w:space="0" w:color="auto"/>
                          </w:divBdr>
                        </w:div>
                      </w:divsChild>
                    </w:div>
                    <w:div w:id="294149468">
                      <w:marLeft w:val="0"/>
                      <w:marRight w:val="0"/>
                      <w:marTop w:val="0"/>
                      <w:marBottom w:val="0"/>
                      <w:divBdr>
                        <w:top w:val="none" w:sz="0" w:space="0" w:color="auto"/>
                        <w:left w:val="none" w:sz="0" w:space="0" w:color="auto"/>
                        <w:bottom w:val="none" w:sz="0" w:space="0" w:color="auto"/>
                        <w:right w:val="none" w:sz="0" w:space="0" w:color="auto"/>
                      </w:divBdr>
                      <w:divsChild>
                        <w:div w:id="294155032">
                          <w:marLeft w:val="0"/>
                          <w:marRight w:val="0"/>
                          <w:marTop w:val="0"/>
                          <w:marBottom w:val="0"/>
                          <w:divBdr>
                            <w:top w:val="none" w:sz="0" w:space="0" w:color="auto"/>
                            <w:left w:val="none" w:sz="0" w:space="0" w:color="auto"/>
                            <w:bottom w:val="none" w:sz="0" w:space="0" w:color="auto"/>
                            <w:right w:val="none" w:sz="0" w:space="0" w:color="auto"/>
                          </w:divBdr>
                        </w:div>
                      </w:divsChild>
                    </w:div>
                    <w:div w:id="294149536">
                      <w:marLeft w:val="0"/>
                      <w:marRight w:val="0"/>
                      <w:marTop w:val="0"/>
                      <w:marBottom w:val="0"/>
                      <w:divBdr>
                        <w:top w:val="none" w:sz="0" w:space="0" w:color="auto"/>
                        <w:left w:val="none" w:sz="0" w:space="0" w:color="auto"/>
                        <w:bottom w:val="none" w:sz="0" w:space="0" w:color="auto"/>
                        <w:right w:val="none" w:sz="0" w:space="0" w:color="auto"/>
                      </w:divBdr>
                    </w:div>
                    <w:div w:id="294149615">
                      <w:marLeft w:val="0"/>
                      <w:marRight w:val="0"/>
                      <w:marTop w:val="0"/>
                      <w:marBottom w:val="0"/>
                      <w:divBdr>
                        <w:top w:val="none" w:sz="0" w:space="0" w:color="auto"/>
                        <w:left w:val="none" w:sz="0" w:space="0" w:color="auto"/>
                        <w:bottom w:val="none" w:sz="0" w:space="0" w:color="auto"/>
                        <w:right w:val="none" w:sz="0" w:space="0" w:color="auto"/>
                      </w:divBdr>
                    </w:div>
                    <w:div w:id="294149625">
                      <w:marLeft w:val="0"/>
                      <w:marRight w:val="0"/>
                      <w:marTop w:val="0"/>
                      <w:marBottom w:val="0"/>
                      <w:divBdr>
                        <w:top w:val="none" w:sz="0" w:space="0" w:color="auto"/>
                        <w:left w:val="none" w:sz="0" w:space="0" w:color="auto"/>
                        <w:bottom w:val="none" w:sz="0" w:space="0" w:color="auto"/>
                        <w:right w:val="none" w:sz="0" w:space="0" w:color="auto"/>
                      </w:divBdr>
                      <w:divsChild>
                        <w:div w:id="294156809">
                          <w:marLeft w:val="0"/>
                          <w:marRight w:val="0"/>
                          <w:marTop w:val="0"/>
                          <w:marBottom w:val="0"/>
                          <w:divBdr>
                            <w:top w:val="none" w:sz="0" w:space="0" w:color="auto"/>
                            <w:left w:val="none" w:sz="0" w:space="0" w:color="auto"/>
                            <w:bottom w:val="none" w:sz="0" w:space="0" w:color="auto"/>
                            <w:right w:val="none" w:sz="0" w:space="0" w:color="auto"/>
                          </w:divBdr>
                        </w:div>
                      </w:divsChild>
                    </w:div>
                    <w:div w:id="294149744">
                      <w:marLeft w:val="0"/>
                      <w:marRight w:val="0"/>
                      <w:marTop w:val="0"/>
                      <w:marBottom w:val="0"/>
                      <w:divBdr>
                        <w:top w:val="none" w:sz="0" w:space="0" w:color="auto"/>
                        <w:left w:val="none" w:sz="0" w:space="0" w:color="auto"/>
                        <w:bottom w:val="none" w:sz="0" w:space="0" w:color="auto"/>
                        <w:right w:val="none" w:sz="0" w:space="0" w:color="auto"/>
                      </w:divBdr>
                      <w:divsChild>
                        <w:div w:id="294155498">
                          <w:marLeft w:val="0"/>
                          <w:marRight w:val="0"/>
                          <w:marTop w:val="0"/>
                          <w:marBottom w:val="0"/>
                          <w:divBdr>
                            <w:top w:val="none" w:sz="0" w:space="0" w:color="auto"/>
                            <w:left w:val="none" w:sz="0" w:space="0" w:color="auto"/>
                            <w:bottom w:val="none" w:sz="0" w:space="0" w:color="auto"/>
                            <w:right w:val="none" w:sz="0" w:space="0" w:color="auto"/>
                          </w:divBdr>
                        </w:div>
                      </w:divsChild>
                    </w:div>
                    <w:div w:id="294149968">
                      <w:marLeft w:val="0"/>
                      <w:marRight w:val="0"/>
                      <w:marTop w:val="0"/>
                      <w:marBottom w:val="0"/>
                      <w:divBdr>
                        <w:top w:val="none" w:sz="0" w:space="0" w:color="auto"/>
                        <w:left w:val="none" w:sz="0" w:space="0" w:color="auto"/>
                        <w:bottom w:val="none" w:sz="0" w:space="0" w:color="auto"/>
                        <w:right w:val="none" w:sz="0" w:space="0" w:color="auto"/>
                      </w:divBdr>
                    </w:div>
                    <w:div w:id="294149976">
                      <w:marLeft w:val="0"/>
                      <w:marRight w:val="0"/>
                      <w:marTop w:val="0"/>
                      <w:marBottom w:val="0"/>
                      <w:divBdr>
                        <w:top w:val="none" w:sz="0" w:space="0" w:color="auto"/>
                        <w:left w:val="none" w:sz="0" w:space="0" w:color="auto"/>
                        <w:bottom w:val="none" w:sz="0" w:space="0" w:color="auto"/>
                        <w:right w:val="none" w:sz="0" w:space="0" w:color="auto"/>
                      </w:divBdr>
                    </w:div>
                    <w:div w:id="294150034">
                      <w:marLeft w:val="0"/>
                      <w:marRight w:val="0"/>
                      <w:marTop w:val="0"/>
                      <w:marBottom w:val="0"/>
                      <w:divBdr>
                        <w:top w:val="none" w:sz="0" w:space="0" w:color="auto"/>
                        <w:left w:val="none" w:sz="0" w:space="0" w:color="auto"/>
                        <w:bottom w:val="none" w:sz="0" w:space="0" w:color="auto"/>
                        <w:right w:val="none" w:sz="0" w:space="0" w:color="auto"/>
                      </w:divBdr>
                      <w:divsChild>
                        <w:div w:id="294154638">
                          <w:marLeft w:val="0"/>
                          <w:marRight w:val="0"/>
                          <w:marTop w:val="0"/>
                          <w:marBottom w:val="0"/>
                          <w:divBdr>
                            <w:top w:val="none" w:sz="0" w:space="0" w:color="auto"/>
                            <w:left w:val="none" w:sz="0" w:space="0" w:color="auto"/>
                            <w:bottom w:val="none" w:sz="0" w:space="0" w:color="auto"/>
                            <w:right w:val="none" w:sz="0" w:space="0" w:color="auto"/>
                          </w:divBdr>
                        </w:div>
                      </w:divsChild>
                    </w:div>
                    <w:div w:id="294150069">
                      <w:marLeft w:val="0"/>
                      <w:marRight w:val="0"/>
                      <w:marTop w:val="0"/>
                      <w:marBottom w:val="0"/>
                      <w:divBdr>
                        <w:top w:val="none" w:sz="0" w:space="0" w:color="auto"/>
                        <w:left w:val="none" w:sz="0" w:space="0" w:color="auto"/>
                        <w:bottom w:val="none" w:sz="0" w:space="0" w:color="auto"/>
                        <w:right w:val="none" w:sz="0" w:space="0" w:color="auto"/>
                      </w:divBdr>
                    </w:div>
                    <w:div w:id="294150099">
                      <w:marLeft w:val="0"/>
                      <w:marRight w:val="0"/>
                      <w:marTop w:val="0"/>
                      <w:marBottom w:val="0"/>
                      <w:divBdr>
                        <w:top w:val="none" w:sz="0" w:space="0" w:color="auto"/>
                        <w:left w:val="none" w:sz="0" w:space="0" w:color="auto"/>
                        <w:bottom w:val="none" w:sz="0" w:space="0" w:color="auto"/>
                        <w:right w:val="none" w:sz="0" w:space="0" w:color="auto"/>
                      </w:divBdr>
                      <w:divsChild>
                        <w:div w:id="294155100">
                          <w:marLeft w:val="0"/>
                          <w:marRight w:val="0"/>
                          <w:marTop w:val="0"/>
                          <w:marBottom w:val="0"/>
                          <w:divBdr>
                            <w:top w:val="none" w:sz="0" w:space="0" w:color="auto"/>
                            <w:left w:val="none" w:sz="0" w:space="0" w:color="auto"/>
                            <w:bottom w:val="none" w:sz="0" w:space="0" w:color="auto"/>
                            <w:right w:val="none" w:sz="0" w:space="0" w:color="auto"/>
                          </w:divBdr>
                        </w:div>
                      </w:divsChild>
                    </w:div>
                    <w:div w:id="294150107">
                      <w:marLeft w:val="0"/>
                      <w:marRight w:val="0"/>
                      <w:marTop w:val="0"/>
                      <w:marBottom w:val="0"/>
                      <w:divBdr>
                        <w:top w:val="none" w:sz="0" w:space="0" w:color="auto"/>
                        <w:left w:val="none" w:sz="0" w:space="0" w:color="auto"/>
                        <w:bottom w:val="none" w:sz="0" w:space="0" w:color="auto"/>
                        <w:right w:val="none" w:sz="0" w:space="0" w:color="auto"/>
                      </w:divBdr>
                      <w:divsChild>
                        <w:div w:id="294156890">
                          <w:marLeft w:val="0"/>
                          <w:marRight w:val="0"/>
                          <w:marTop w:val="0"/>
                          <w:marBottom w:val="0"/>
                          <w:divBdr>
                            <w:top w:val="none" w:sz="0" w:space="0" w:color="auto"/>
                            <w:left w:val="none" w:sz="0" w:space="0" w:color="auto"/>
                            <w:bottom w:val="none" w:sz="0" w:space="0" w:color="auto"/>
                            <w:right w:val="none" w:sz="0" w:space="0" w:color="auto"/>
                          </w:divBdr>
                        </w:div>
                      </w:divsChild>
                    </w:div>
                    <w:div w:id="294150144">
                      <w:marLeft w:val="0"/>
                      <w:marRight w:val="0"/>
                      <w:marTop w:val="0"/>
                      <w:marBottom w:val="0"/>
                      <w:divBdr>
                        <w:top w:val="none" w:sz="0" w:space="0" w:color="auto"/>
                        <w:left w:val="none" w:sz="0" w:space="0" w:color="auto"/>
                        <w:bottom w:val="none" w:sz="0" w:space="0" w:color="auto"/>
                        <w:right w:val="none" w:sz="0" w:space="0" w:color="auto"/>
                      </w:divBdr>
                    </w:div>
                    <w:div w:id="294150158">
                      <w:marLeft w:val="0"/>
                      <w:marRight w:val="0"/>
                      <w:marTop w:val="0"/>
                      <w:marBottom w:val="0"/>
                      <w:divBdr>
                        <w:top w:val="none" w:sz="0" w:space="0" w:color="auto"/>
                        <w:left w:val="none" w:sz="0" w:space="0" w:color="auto"/>
                        <w:bottom w:val="none" w:sz="0" w:space="0" w:color="auto"/>
                        <w:right w:val="none" w:sz="0" w:space="0" w:color="auto"/>
                      </w:divBdr>
                      <w:divsChild>
                        <w:div w:id="294148170">
                          <w:marLeft w:val="0"/>
                          <w:marRight w:val="0"/>
                          <w:marTop w:val="0"/>
                          <w:marBottom w:val="0"/>
                          <w:divBdr>
                            <w:top w:val="none" w:sz="0" w:space="0" w:color="auto"/>
                            <w:left w:val="none" w:sz="0" w:space="0" w:color="auto"/>
                            <w:bottom w:val="none" w:sz="0" w:space="0" w:color="auto"/>
                            <w:right w:val="none" w:sz="0" w:space="0" w:color="auto"/>
                          </w:divBdr>
                        </w:div>
                      </w:divsChild>
                    </w:div>
                    <w:div w:id="294150237">
                      <w:marLeft w:val="0"/>
                      <w:marRight w:val="0"/>
                      <w:marTop w:val="0"/>
                      <w:marBottom w:val="0"/>
                      <w:divBdr>
                        <w:top w:val="none" w:sz="0" w:space="0" w:color="auto"/>
                        <w:left w:val="none" w:sz="0" w:space="0" w:color="auto"/>
                        <w:bottom w:val="none" w:sz="0" w:space="0" w:color="auto"/>
                        <w:right w:val="none" w:sz="0" w:space="0" w:color="auto"/>
                      </w:divBdr>
                      <w:divsChild>
                        <w:div w:id="294144564">
                          <w:marLeft w:val="0"/>
                          <w:marRight w:val="0"/>
                          <w:marTop w:val="0"/>
                          <w:marBottom w:val="0"/>
                          <w:divBdr>
                            <w:top w:val="none" w:sz="0" w:space="0" w:color="auto"/>
                            <w:left w:val="none" w:sz="0" w:space="0" w:color="auto"/>
                            <w:bottom w:val="none" w:sz="0" w:space="0" w:color="auto"/>
                            <w:right w:val="none" w:sz="0" w:space="0" w:color="auto"/>
                          </w:divBdr>
                        </w:div>
                      </w:divsChild>
                    </w:div>
                    <w:div w:id="294150253">
                      <w:marLeft w:val="0"/>
                      <w:marRight w:val="0"/>
                      <w:marTop w:val="0"/>
                      <w:marBottom w:val="0"/>
                      <w:divBdr>
                        <w:top w:val="none" w:sz="0" w:space="0" w:color="auto"/>
                        <w:left w:val="none" w:sz="0" w:space="0" w:color="auto"/>
                        <w:bottom w:val="none" w:sz="0" w:space="0" w:color="auto"/>
                        <w:right w:val="none" w:sz="0" w:space="0" w:color="auto"/>
                      </w:divBdr>
                    </w:div>
                    <w:div w:id="294150298">
                      <w:marLeft w:val="0"/>
                      <w:marRight w:val="0"/>
                      <w:marTop w:val="0"/>
                      <w:marBottom w:val="0"/>
                      <w:divBdr>
                        <w:top w:val="none" w:sz="0" w:space="0" w:color="auto"/>
                        <w:left w:val="none" w:sz="0" w:space="0" w:color="auto"/>
                        <w:bottom w:val="none" w:sz="0" w:space="0" w:color="auto"/>
                        <w:right w:val="none" w:sz="0" w:space="0" w:color="auto"/>
                      </w:divBdr>
                    </w:div>
                    <w:div w:id="294150314">
                      <w:marLeft w:val="0"/>
                      <w:marRight w:val="0"/>
                      <w:marTop w:val="0"/>
                      <w:marBottom w:val="0"/>
                      <w:divBdr>
                        <w:top w:val="none" w:sz="0" w:space="0" w:color="auto"/>
                        <w:left w:val="none" w:sz="0" w:space="0" w:color="auto"/>
                        <w:bottom w:val="none" w:sz="0" w:space="0" w:color="auto"/>
                        <w:right w:val="none" w:sz="0" w:space="0" w:color="auto"/>
                      </w:divBdr>
                      <w:divsChild>
                        <w:div w:id="294140628">
                          <w:marLeft w:val="0"/>
                          <w:marRight w:val="0"/>
                          <w:marTop w:val="0"/>
                          <w:marBottom w:val="0"/>
                          <w:divBdr>
                            <w:top w:val="none" w:sz="0" w:space="0" w:color="auto"/>
                            <w:left w:val="none" w:sz="0" w:space="0" w:color="auto"/>
                            <w:bottom w:val="none" w:sz="0" w:space="0" w:color="auto"/>
                            <w:right w:val="none" w:sz="0" w:space="0" w:color="auto"/>
                          </w:divBdr>
                        </w:div>
                      </w:divsChild>
                    </w:div>
                    <w:div w:id="294150408">
                      <w:marLeft w:val="0"/>
                      <w:marRight w:val="0"/>
                      <w:marTop w:val="0"/>
                      <w:marBottom w:val="0"/>
                      <w:divBdr>
                        <w:top w:val="none" w:sz="0" w:space="0" w:color="auto"/>
                        <w:left w:val="none" w:sz="0" w:space="0" w:color="auto"/>
                        <w:bottom w:val="none" w:sz="0" w:space="0" w:color="auto"/>
                        <w:right w:val="none" w:sz="0" w:space="0" w:color="auto"/>
                      </w:divBdr>
                      <w:divsChild>
                        <w:div w:id="294151467">
                          <w:marLeft w:val="0"/>
                          <w:marRight w:val="0"/>
                          <w:marTop w:val="0"/>
                          <w:marBottom w:val="0"/>
                          <w:divBdr>
                            <w:top w:val="none" w:sz="0" w:space="0" w:color="auto"/>
                            <w:left w:val="none" w:sz="0" w:space="0" w:color="auto"/>
                            <w:bottom w:val="none" w:sz="0" w:space="0" w:color="auto"/>
                            <w:right w:val="none" w:sz="0" w:space="0" w:color="auto"/>
                          </w:divBdr>
                        </w:div>
                      </w:divsChild>
                    </w:div>
                    <w:div w:id="294150458">
                      <w:marLeft w:val="0"/>
                      <w:marRight w:val="0"/>
                      <w:marTop w:val="0"/>
                      <w:marBottom w:val="0"/>
                      <w:divBdr>
                        <w:top w:val="none" w:sz="0" w:space="0" w:color="auto"/>
                        <w:left w:val="none" w:sz="0" w:space="0" w:color="auto"/>
                        <w:bottom w:val="none" w:sz="0" w:space="0" w:color="auto"/>
                        <w:right w:val="none" w:sz="0" w:space="0" w:color="auto"/>
                      </w:divBdr>
                    </w:div>
                    <w:div w:id="294150473">
                      <w:marLeft w:val="0"/>
                      <w:marRight w:val="0"/>
                      <w:marTop w:val="0"/>
                      <w:marBottom w:val="0"/>
                      <w:divBdr>
                        <w:top w:val="none" w:sz="0" w:space="0" w:color="auto"/>
                        <w:left w:val="none" w:sz="0" w:space="0" w:color="auto"/>
                        <w:bottom w:val="none" w:sz="0" w:space="0" w:color="auto"/>
                        <w:right w:val="none" w:sz="0" w:space="0" w:color="auto"/>
                      </w:divBdr>
                      <w:divsChild>
                        <w:div w:id="294138287">
                          <w:marLeft w:val="0"/>
                          <w:marRight w:val="0"/>
                          <w:marTop w:val="0"/>
                          <w:marBottom w:val="0"/>
                          <w:divBdr>
                            <w:top w:val="none" w:sz="0" w:space="0" w:color="auto"/>
                            <w:left w:val="none" w:sz="0" w:space="0" w:color="auto"/>
                            <w:bottom w:val="none" w:sz="0" w:space="0" w:color="auto"/>
                            <w:right w:val="none" w:sz="0" w:space="0" w:color="auto"/>
                          </w:divBdr>
                        </w:div>
                      </w:divsChild>
                    </w:div>
                    <w:div w:id="294150485">
                      <w:marLeft w:val="0"/>
                      <w:marRight w:val="0"/>
                      <w:marTop w:val="0"/>
                      <w:marBottom w:val="0"/>
                      <w:divBdr>
                        <w:top w:val="none" w:sz="0" w:space="0" w:color="auto"/>
                        <w:left w:val="none" w:sz="0" w:space="0" w:color="auto"/>
                        <w:bottom w:val="none" w:sz="0" w:space="0" w:color="auto"/>
                        <w:right w:val="none" w:sz="0" w:space="0" w:color="auto"/>
                      </w:divBdr>
                      <w:divsChild>
                        <w:div w:id="294150678">
                          <w:marLeft w:val="0"/>
                          <w:marRight w:val="0"/>
                          <w:marTop w:val="0"/>
                          <w:marBottom w:val="0"/>
                          <w:divBdr>
                            <w:top w:val="none" w:sz="0" w:space="0" w:color="auto"/>
                            <w:left w:val="none" w:sz="0" w:space="0" w:color="auto"/>
                            <w:bottom w:val="none" w:sz="0" w:space="0" w:color="auto"/>
                            <w:right w:val="none" w:sz="0" w:space="0" w:color="auto"/>
                          </w:divBdr>
                        </w:div>
                      </w:divsChild>
                    </w:div>
                    <w:div w:id="294150497">
                      <w:marLeft w:val="0"/>
                      <w:marRight w:val="0"/>
                      <w:marTop w:val="0"/>
                      <w:marBottom w:val="0"/>
                      <w:divBdr>
                        <w:top w:val="none" w:sz="0" w:space="0" w:color="auto"/>
                        <w:left w:val="none" w:sz="0" w:space="0" w:color="auto"/>
                        <w:bottom w:val="none" w:sz="0" w:space="0" w:color="auto"/>
                        <w:right w:val="none" w:sz="0" w:space="0" w:color="auto"/>
                      </w:divBdr>
                      <w:divsChild>
                        <w:div w:id="294148257">
                          <w:marLeft w:val="0"/>
                          <w:marRight w:val="0"/>
                          <w:marTop w:val="0"/>
                          <w:marBottom w:val="0"/>
                          <w:divBdr>
                            <w:top w:val="none" w:sz="0" w:space="0" w:color="auto"/>
                            <w:left w:val="none" w:sz="0" w:space="0" w:color="auto"/>
                            <w:bottom w:val="none" w:sz="0" w:space="0" w:color="auto"/>
                            <w:right w:val="none" w:sz="0" w:space="0" w:color="auto"/>
                          </w:divBdr>
                        </w:div>
                      </w:divsChild>
                    </w:div>
                    <w:div w:id="294150525">
                      <w:marLeft w:val="0"/>
                      <w:marRight w:val="0"/>
                      <w:marTop w:val="0"/>
                      <w:marBottom w:val="0"/>
                      <w:divBdr>
                        <w:top w:val="none" w:sz="0" w:space="0" w:color="auto"/>
                        <w:left w:val="none" w:sz="0" w:space="0" w:color="auto"/>
                        <w:bottom w:val="none" w:sz="0" w:space="0" w:color="auto"/>
                        <w:right w:val="none" w:sz="0" w:space="0" w:color="auto"/>
                      </w:divBdr>
                      <w:divsChild>
                        <w:div w:id="294142750">
                          <w:marLeft w:val="0"/>
                          <w:marRight w:val="0"/>
                          <w:marTop w:val="0"/>
                          <w:marBottom w:val="0"/>
                          <w:divBdr>
                            <w:top w:val="none" w:sz="0" w:space="0" w:color="auto"/>
                            <w:left w:val="none" w:sz="0" w:space="0" w:color="auto"/>
                            <w:bottom w:val="none" w:sz="0" w:space="0" w:color="auto"/>
                            <w:right w:val="none" w:sz="0" w:space="0" w:color="auto"/>
                          </w:divBdr>
                        </w:div>
                      </w:divsChild>
                    </w:div>
                    <w:div w:id="294150596">
                      <w:marLeft w:val="0"/>
                      <w:marRight w:val="0"/>
                      <w:marTop w:val="0"/>
                      <w:marBottom w:val="0"/>
                      <w:divBdr>
                        <w:top w:val="none" w:sz="0" w:space="0" w:color="auto"/>
                        <w:left w:val="none" w:sz="0" w:space="0" w:color="auto"/>
                        <w:bottom w:val="none" w:sz="0" w:space="0" w:color="auto"/>
                        <w:right w:val="none" w:sz="0" w:space="0" w:color="auto"/>
                      </w:divBdr>
                      <w:divsChild>
                        <w:div w:id="294139515">
                          <w:marLeft w:val="0"/>
                          <w:marRight w:val="0"/>
                          <w:marTop w:val="0"/>
                          <w:marBottom w:val="0"/>
                          <w:divBdr>
                            <w:top w:val="none" w:sz="0" w:space="0" w:color="auto"/>
                            <w:left w:val="none" w:sz="0" w:space="0" w:color="auto"/>
                            <w:bottom w:val="none" w:sz="0" w:space="0" w:color="auto"/>
                            <w:right w:val="none" w:sz="0" w:space="0" w:color="auto"/>
                          </w:divBdr>
                        </w:div>
                      </w:divsChild>
                    </w:div>
                    <w:div w:id="294150626">
                      <w:marLeft w:val="0"/>
                      <w:marRight w:val="0"/>
                      <w:marTop w:val="0"/>
                      <w:marBottom w:val="0"/>
                      <w:divBdr>
                        <w:top w:val="none" w:sz="0" w:space="0" w:color="auto"/>
                        <w:left w:val="none" w:sz="0" w:space="0" w:color="auto"/>
                        <w:bottom w:val="none" w:sz="0" w:space="0" w:color="auto"/>
                        <w:right w:val="none" w:sz="0" w:space="0" w:color="auto"/>
                      </w:divBdr>
                    </w:div>
                    <w:div w:id="294150706">
                      <w:marLeft w:val="0"/>
                      <w:marRight w:val="0"/>
                      <w:marTop w:val="0"/>
                      <w:marBottom w:val="0"/>
                      <w:divBdr>
                        <w:top w:val="none" w:sz="0" w:space="0" w:color="auto"/>
                        <w:left w:val="none" w:sz="0" w:space="0" w:color="auto"/>
                        <w:bottom w:val="none" w:sz="0" w:space="0" w:color="auto"/>
                        <w:right w:val="none" w:sz="0" w:space="0" w:color="auto"/>
                      </w:divBdr>
                    </w:div>
                    <w:div w:id="294150757">
                      <w:marLeft w:val="0"/>
                      <w:marRight w:val="0"/>
                      <w:marTop w:val="0"/>
                      <w:marBottom w:val="0"/>
                      <w:divBdr>
                        <w:top w:val="none" w:sz="0" w:space="0" w:color="auto"/>
                        <w:left w:val="none" w:sz="0" w:space="0" w:color="auto"/>
                        <w:bottom w:val="none" w:sz="0" w:space="0" w:color="auto"/>
                        <w:right w:val="none" w:sz="0" w:space="0" w:color="auto"/>
                      </w:divBdr>
                      <w:divsChild>
                        <w:div w:id="294151245">
                          <w:marLeft w:val="0"/>
                          <w:marRight w:val="0"/>
                          <w:marTop w:val="0"/>
                          <w:marBottom w:val="0"/>
                          <w:divBdr>
                            <w:top w:val="none" w:sz="0" w:space="0" w:color="auto"/>
                            <w:left w:val="none" w:sz="0" w:space="0" w:color="auto"/>
                            <w:bottom w:val="none" w:sz="0" w:space="0" w:color="auto"/>
                            <w:right w:val="none" w:sz="0" w:space="0" w:color="auto"/>
                          </w:divBdr>
                        </w:div>
                      </w:divsChild>
                    </w:div>
                    <w:div w:id="294150836">
                      <w:marLeft w:val="0"/>
                      <w:marRight w:val="0"/>
                      <w:marTop w:val="0"/>
                      <w:marBottom w:val="0"/>
                      <w:divBdr>
                        <w:top w:val="none" w:sz="0" w:space="0" w:color="auto"/>
                        <w:left w:val="none" w:sz="0" w:space="0" w:color="auto"/>
                        <w:bottom w:val="none" w:sz="0" w:space="0" w:color="auto"/>
                        <w:right w:val="none" w:sz="0" w:space="0" w:color="auto"/>
                      </w:divBdr>
                    </w:div>
                    <w:div w:id="294150964">
                      <w:marLeft w:val="0"/>
                      <w:marRight w:val="0"/>
                      <w:marTop w:val="0"/>
                      <w:marBottom w:val="0"/>
                      <w:divBdr>
                        <w:top w:val="none" w:sz="0" w:space="0" w:color="auto"/>
                        <w:left w:val="none" w:sz="0" w:space="0" w:color="auto"/>
                        <w:bottom w:val="none" w:sz="0" w:space="0" w:color="auto"/>
                        <w:right w:val="none" w:sz="0" w:space="0" w:color="auto"/>
                      </w:divBdr>
                    </w:div>
                    <w:div w:id="294151020">
                      <w:marLeft w:val="0"/>
                      <w:marRight w:val="0"/>
                      <w:marTop w:val="0"/>
                      <w:marBottom w:val="0"/>
                      <w:divBdr>
                        <w:top w:val="none" w:sz="0" w:space="0" w:color="auto"/>
                        <w:left w:val="none" w:sz="0" w:space="0" w:color="auto"/>
                        <w:bottom w:val="none" w:sz="0" w:space="0" w:color="auto"/>
                        <w:right w:val="none" w:sz="0" w:space="0" w:color="auto"/>
                      </w:divBdr>
                    </w:div>
                    <w:div w:id="294151096">
                      <w:marLeft w:val="0"/>
                      <w:marRight w:val="0"/>
                      <w:marTop w:val="0"/>
                      <w:marBottom w:val="0"/>
                      <w:divBdr>
                        <w:top w:val="none" w:sz="0" w:space="0" w:color="auto"/>
                        <w:left w:val="none" w:sz="0" w:space="0" w:color="auto"/>
                        <w:bottom w:val="none" w:sz="0" w:space="0" w:color="auto"/>
                        <w:right w:val="none" w:sz="0" w:space="0" w:color="auto"/>
                      </w:divBdr>
                    </w:div>
                    <w:div w:id="294151428">
                      <w:marLeft w:val="0"/>
                      <w:marRight w:val="0"/>
                      <w:marTop w:val="0"/>
                      <w:marBottom w:val="0"/>
                      <w:divBdr>
                        <w:top w:val="none" w:sz="0" w:space="0" w:color="auto"/>
                        <w:left w:val="none" w:sz="0" w:space="0" w:color="auto"/>
                        <w:bottom w:val="none" w:sz="0" w:space="0" w:color="auto"/>
                        <w:right w:val="none" w:sz="0" w:space="0" w:color="auto"/>
                      </w:divBdr>
                      <w:divsChild>
                        <w:div w:id="294151224">
                          <w:marLeft w:val="0"/>
                          <w:marRight w:val="0"/>
                          <w:marTop w:val="0"/>
                          <w:marBottom w:val="0"/>
                          <w:divBdr>
                            <w:top w:val="none" w:sz="0" w:space="0" w:color="auto"/>
                            <w:left w:val="none" w:sz="0" w:space="0" w:color="auto"/>
                            <w:bottom w:val="none" w:sz="0" w:space="0" w:color="auto"/>
                            <w:right w:val="none" w:sz="0" w:space="0" w:color="auto"/>
                          </w:divBdr>
                        </w:div>
                      </w:divsChild>
                    </w:div>
                    <w:div w:id="294151446">
                      <w:marLeft w:val="0"/>
                      <w:marRight w:val="0"/>
                      <w:marTop w:val="0"/>
                      <w:marBottom w:val="0"/>
                      <w:divBdr>
                        <w:top w:val="none" w:sz="0" w:space="0" w:color="auto"/>
                        <w:left w:val="none" w:sz="0" w:space="0" w:color="auto"/>
                        <w:bottom w:val="none" w:sz="0" w:space="0" w:color="auto"/>
                        <w:right w:val="none" w:sz="0" w:space="0" w:color="auto"/>
                      </w:divBdr>
                    </w:div>
                    <w:div w:id="294151460">
                      <w:marLeft w:val="0"/>
                      <w:marRight w:val="0"/>
                      <w:marTop w:val="0"/>
                      <w:marBottom w:val="0"/>
                      <w:divBdr>
                        <w:top w:val="none" w:sz="0" w:space="0" w:color="auto"/>
                        <w:left w:val="none" w:sz="0" w:space="0" w:color="auto"/>
                        <w:bottom w:val="none" w:sz="0" w:space="0" w:color="auto"/>
                        <w:right w:val="none" w:sz="0" w:space="0" w:color="auto"/>
                      </w:divBdr>
                      <w:divsChild>
                        <w:div w:id="294155084">
                          <w:marLeft w:val="0"/>
                          <w:marRight w:val="0"/>
                          <w:marTop w:val="0"/>
                          <w:marBottom w:val="0"/>
                          <w:divBdr>
                            <w:top w:val="none" w:sz="0" w:space="0" w:color="auto"/>
                            <w:left w:val="none" w:sz="0" w:space="0" w:color="auto"/>
                            <w:bottom w:val="none" w:sz="0" w:space="0" w:color="auto"/>
                            <w:right w:val="none" w:sz="0" w:space="0" w:color="auto"/>
                          </w:divBdr>
                        </w:div>
                      </w:divsChild>
                    </w:div>
                    <w:div w:id="294151493">
                      <w:marLeft w:val="0"/>
                      <w:marRight w:val="0"/>
                      <w:marTop w:val="0"/>
                      <w:marBottom w:val="0"/>
                      <w:divBdr>
                        <w:top w:val="none" w:sz="0" w:space="0" w:color="auto"/>
                        <w:left w:val="none" w:sz="0" w:space="0" w:color="auto"/>
                        <w:bottom w:val="none" w:sz="0" w:space="0" w:color="auto"/>
                        <w:right w:val="none" w:sz="0" w:space="0" w:color="auto"/>
                      </w:divBdr>
                    </w:div>
                    <w:div w:id="294151526">
                      <w:marLeft w:val="0"/>
                      <w:marRight w:val="0"/>
                      <w:marTop w:val="0"/>
                      <w:marBottom w:val="0"/>
                      <w:divBdr>
                        <w:top w:val="none" w:sz="0" w:space="0" w:color="auto"/>
                        <w:left w:val="none" w:sz="0" w:space="0" w:color="auto"/>
                        <w:bottom w:val="none" w:sz="0" w:space="0" w:color="auto"/>
                        <w:right w:val="none" w:sz="0" w:space="0" w:color="auto"/>
                      </w:divBdr>
                    </w:div>
                    <w:div w:id="294151546">
                      <w:marLeft w:val="0"/>
                      <w:marRight w:val="0"/>
                      <w:marTop w:val="0"/>
                      <w:marBottom w:val="0"/>
                      <w:divBdr>
                        <w:top w:val="none" w:sz="0" w:space="0" w:color="auto"/>
                        <w:left w:val="none" w:sz="0" w:space="0" w:color="auto"/>
                        <w:bottom w:val="none" w:sz="0" w:space="0" w:color="auto"/>
                        <w:right w:val="none" w:sz="0" w:space="0" w:color="auto"/>
                      </w:divBdr>
                    </w:div>
                    <w:div w:id="294151751">
                      <w:marLeft w:val="0"/>
                      <w:marRight w:val="0"/>
                      <w:marTop w:val="0"/>
                      <w:marBottom w:val="0"/>
                      <w:divBdr>
                        <w:top w:val="none" w:sz="0" w:space="0" w:color="auto"/>
                        <w:left w:val="none" w:sz="0" w:space="0" w:color="auto"/>
                        <w:bottom w:val="none" w:sz="0" w:space="0" w:color="auto"/>
                        <w:right w:val="none" w:sz="0" w:space="0" w:color="auto"/>
                      </w:divBdr>
                      <w:divsChild>
                        <w:div w:id="294141210">
                          <w:marLeft w:val="0"/>
                          <w:marRight w:val="0"/>
                          <w:marTop w:val="0"/>
                          <w:marBottom w:val="0"/>
                          <w:divBdr>
                            <w:top w:val="none" w:sz="0" w:space="0" w:color="auto"/>
                            <w:left w:val="none" w:sz="0" w:space="0" w:color="auto"/>
                            <w:bottom w:val="none" w:sz="0" w:space="0" w:color="auto"/>
                            <w:right w:val="none" w:sz="0" w:space="0" w:color="auto"/>
                          </w:divBdr>
                        </w:div>
                      </w:divsChild>
                    </w:div>
                    <w:div w:id="294151771">
                      <w:marLeft w:val="0"/>
                      <w:marRight w:val="0"/>
                      <w:marTop w:val="0"/>
                      <w:marBottom w:val="0"/>
                      <w:divBdr>
                        <w:top w:val="none" w:sz="0" w:space="0" w:color="auto"/>
                        <w:left w:val="none" w:sz="0" w:space="0" w:color="auto"/>
                        <w:bottom w:val="none" w:sz="0" w:space="0" w:color="auto"/>
                        <w:right w:val="none" w:sz="0" w:space="0" w:color="auto"/>
                      </w:divBdr>
                      <w:divsChild>
                        <w:div w:id="294150377">
                          <w:marLeft w:val="0"/>
                          <w:marRight w:val="0"/>
                          <w:marTop w:val="0"/>
                          <w:marBottom w:val="0"/>
                          <w:divBdr>
                            <w:top w:val="none" w:sz="0" w:space="0" w:color="auto"/>
                            <w:left w:val="none" w:sz="0" w:space="0" w:color="auto"/>
                            <w:bottom w:val="none" w:sz="0" w:space="0" w:color="auto"/>
                            <w:right w:val="none" w:sz="0" w:space="0" w:color="auto"/>
                          </w:divBdr>
                        </w:div>
                      </w:divsChild>
                    </w:div>
                    <w:div w:id="294151800">
                      <w:marLeft w:val="0"/>
                      <w:marRight w:val="0"/>
                      <w:marTop w:val="0"/>
                      <w:marBottom w:val="0"/>
                      <w:divBdr>
                        <w:top w:val="none" w:sz="0" w:space="0" w:color="auto"/>
                        <w:left w:val="none" w:sz="0" w:space="0" w:color="auto"/>
                        <w:bottom w:val="none" w:sz="0" w:space="0" w:color="auto"/>
                        <w:right w:val="none" w:sz="0" w:space="0" w:color="auto"/>
                      </w:divBdr>
                    </w:div>
                    <w:div w:id="294151827">
                      <w:marLeft w:val="0"/>
                      <w:marRight w:val="0"/>
                      <w:marTop w:val="0"/>
                      <w:marBottom w:val="0"/>
                      <w:divBdr>
                        <w:top w:val="none" w:sz="0" w:space="0" w:color="auto"/>
                        <w:left w:val="none" w:sz="0" w:space="0" w:color="auto"/>
                        <w:bottom w:val="none" w:sz="0" w:space="0" w:color="auto"/>
                        <w:right w:val="none" w:sz="0" w:space="0" w:color="auto"/>
                      </w:divBdr>
                    </w:div>
                    <w:div w:id="294151846">
                      <w:marLeft w:val="0"/>
                      <w:marRight w:val="0"/>
                      <w:marTop w:val="0"/>
                      <w:marBottom w:val="0"/>
                      <w:divBdr>
                        <w:top w:val="none" w:sz="0" w:space="0" w:color="auto"/>
                        <w:left w:val="none" w:sz="0" w:space="0" w:color="auto"/>
                        <w:bottom w:val="none" w:sz="0" w:space="0" w:color="auto"/>
                        <w:right w:val="none" w:sz="0" w:space="0" w:color="auto"/>
                      </w:divBdr>
                    </w:div>
                    <w:div w:id="294151975">
                      <w:marLeft w:val="0"/>
                      <w:marRight w:val="0"/>
                      <w:marTop w:val="0"/>
                      <w:marBottom w:val="0"/>
                      <w:divBdr>
                        <w:top w:val="none" w:sz="0" w:space="0" w:color="auto"/>
                        <w:left w:val="none" w:sz="0" w:space="0" w:color="auto"/>
                        <w:bottom w:val="none" w:sz="0" w:space="0" w:color="auto"/>
                        <w:right w:val="none" w:sz="0" w:space="0" w:color="auto"/>
                      </w:divBdr>
                    </w:div>
                    <w:div w:id="294152031">
                      <w:marLeft w:val="0"/>
                      <w:marRight w:val="0"/>
                      <w:marTop w:val="0"/>
                      <w:marBottom w:val="0"/>
                      <w:divBdr>
                        <w:top w:val="none" w:sz="0" w:space="0" w:color="auto"/>
                        <w:left w:val="none" w:sz="0" w:space="0" w:color="auto"/>
                        <w:bottom w:val="none" w:sz="0" w:space="0" w:color="auto"/>
                        <w:right w:val="none" w:sz="0" w:space="0" w:color="auto"/>
                      </w:divBdr>
                    </w:div>
                    <w:div w:id="294152088">
                      <w:marLeft w:val="0"/>
                      <w:marRight w:val="0"/>
                      <w:marTop w:val="0"/>
                      <w:marBottom w:val="0"/>
                      <w:divBdr>
                        <w:top w:val="none" w:sz="0" w:space="0" w:color="auto"/>
                        <w:left w:val="none" w:sz="0" w:space="0" w:color="auto"/>
                        <w:bottom w:val="none" w:sz="0" w:space="0" w:color="auto"/>
                        <w:right w:val="none" w:sz="0" w:space="0" w:color="auto"/>
                      </w:divBdr>
                    </w:div>
                    <w:div w:id="294152132">
                      <w:marLeft w:val="0"/>
                      <w:marRight w:val="0"/>
                      <w:marTop w:val="0"/>
                      <w:marBottom w:val="0"/>
                      <w:divBdr>
                        <w:top w:val="none" w:sz="0" w:space="0" w:color="auto"/>
                        <w:left w:val="none" w:sz="0" w:space="0" w:color="auto"/>
                        <w:bottom w:val="none" w:sz="0" w:space="0" w:color="auto"/>
                        <w:right w:val="none" w:sz="0" w:space="0" w:color="auto"/>
                      </w:divBdr>
                    </w:div>
                    <w:div w:id="294152156">
                      <w:marLeft w:val="0"/>
                      <w:marRight w:val="0"/>
                      <w:marTop w:val="0"/>
                      <w:marBottom w:val="0"/>
                      <w:divBdr>
                        <w:top w:val="none" w:sz="0" w:space="0" w:color="auto"/>
                        <w:left w:val="none" w:sz="0" w:space="0" w:color="auto"/>
                        <w:bottom w:val="none" w:sz="0" w:space="0" w:color="auto"/>
                        <w:right w:val="none" w:sz="0" w:space="0" w:color="auto"/>
                      </w:divBdr>
                      <w:divsChild>
                        <w:div w:id="294142717">
                          <w:marLeft w:val="0"/>
                          <w:marRight w:val="0"/>
                          <w:marTop w:val="0"/>
                          <w:marBottom w:val="0"/>
                          <w:divBdr>
                            <w:top w:val="none" w:sz="0" w:space="0" w:color="auto"/>
                            <w:left w:val="none" w:sz="0" w:space="0" w:color="auto"/>
                            <w:bottom w:val="none" w:sz="0" w:space="0" w:color="auto"/>
                            <w:right w:val="none" w:sz="0" w:space="0" w:color="auto"/>
                          </w:divBdr>
                        </w:div>
                      </w:divsChild>
                    </w:div>
                    <w:div w:id="294152187">
                      <w:marLeft w:val="0"/>
                      <w:marRight w:val="0"/>
                      <w:marTop w:val="0"/>
                      <w:marBottom w:val="0"/>
                      <w:divBdr>
                        <w:top w:val="none" w:sz="0" w:space="0" w:color="auto"/>
                        <w:left w:val="none" w:sz="0" w:space="0" w:color="auto"/>
                        <w:bottom w:val="none" w:sz="0" w:space="0" w:color="auto"/>
                        <w:right w:val="none" w:sz="0" w:space="0" w:color="auto"/>
                      </w:divBdr>
                      <w:divsChild>
                        <w:div w:id="294153394">
                          <w:marLeft w:val="0"/>
                          <w:marRight w:val="0"/>
                          <w:marTop w:val="0"/>
                          <w:marBottom w:val="0"/>
                          <w:divBdr>
                            <w:top w:val="none" w:sz="0" w:space="0" w:color="auto"/>
                            <w:left w:val="none" w:sz="0" w:space="0" w:color="auto"/>
                            <w:bottom w:val="none" w:sz="0" w:space="0" w:color="auto"/>
                            <w:right w:val="none" w:sz="0" w:space="0" w:color="auto"/>
                          </w:divBdr>
                        </w:div>
                      </w:divsChild>
                    </w:div>
                    <w:div w:id="294152217">
                      <w:marLeft w:val="0"/>
                      <w:marRight w:val="0"/>
                      <w:marTop w:val="0"/>
                      <w:marBottom w:val="0"/>
                      <w:divBdr>
                        <w:top w:val="none" w:sz="0" w:space="0" w:color="auto"/>
                        <w:left w:val="none" w:sz="0" w:space="0" w:color="auto"/>
                        <w:bottom w:val="none" w:sz="0" w:space="0" w:color="auto"/>
                        <w:right w:val="none" w:sz="0" w:space="0" w:color="auto"/>
                      </w:divBdr>
                    </w:div>
                    <w:div w:id="294152300">
                      <w:marLeft w:val="0"/>
                      <w:marRight w:val="0"/>
                      <w:marTop w:val="0"/>
                      <w:marBottom w:val="0"/>
                      <w:divBdr>
                        <w:top w:val="none" w:sz="0" w:space="0" w:color="auto"/>
                        <w:left w:val="none" w:sz="0" w:space="0" w:color="auto"/>
                        <w:bottom w:val="none" w:sz="0" w:space="0" w:color="auto"/>
                        <w:right w:val="none" w:sz="0" w:space="0" w:color="auto"/>
                      </w:divBdr>
                    </w:div>
                    <w:div w:id="294152335">
                      <w:marLeft w:val="0"/>
                      <w:marRight w:val="0"/>
                      <w:marTop w:val="0"/>
                      <w:marBottom w:val="0"/>
                      <w:divBdr>
                        <w:top w:val="none" w:sz="0" w:space="0" w:color="auto"/>
                        <w:left w:val="none" w:sz="0" w:space="0" w:color="auto"/>
                        <w:bottom w:val="none" w:sz="0" w:space="0" w:color="auto"/>
                        <w:right w:val="none" w:sz="0" w:space="0" w:color="auto"/>
                      </w:divBdr>
                    </w:div>
                    <w:div w:id="294152374">
                      <w:marLeft w:val="0"/>
                      <w:marRight w:val="0"/>
                      <w:marTop w:val="0"/>
                      <w:marBottom w:val="0"/>
                      <w:divBdr>
                        <w:top w:val="none" w:sz="0" w:space="0" w:color="auto"/>
                        <w:left w:val="none" w:sz="0" w:space="0" w:color="auto"/>
                        <w:bottom w:val="none" w:sz="0" w:space="0" w:color="auto"/>
                        <w:right w:val="none" w:sz="0" w:space="0" w:color="auto"/>
                      </w:divBdr>
                    </w:div>
                    <w:div w:id="294152396">
                      <w:marLeft w:val="0"/>
                      <w:marRight w:val="0"/>
                      <w:marTop w:val="0"/>
                      <w:marBottom w:val="0"/>
                      <w:divBdr>
                        <w:top w:val="none" w:sz="0" w:space="0" w:color="auto"/>
                        <w:left w:val="none" w:sz="0" w:space="0" w:color="auto"/>
                        <w:bottom w:val="none" w:sz="0" w:space="0" w:color="auto"/>
                        <w:right w:val="none" w:sz="0" w:space="0" w:color="auto"/>
                      </w:divBdr>
                    </w:div>
                    <w:div w:id="294152402">
                      <w:marLeft w:val="0"/>
                      <w:marRight w:val="0"/>
                      <w:marTop w:val="0"/>
                      <w:marBottom w:val="0"/>
                      <w:divBdr>
                        <w:top w:val="none" w:sz="0" w:space="0" w:color="auto"/>
                        <w:left w:val="none" w:sz="0" w:space="0" w:color="auto"/>
                        <w:bottom w:val="none" w:sz="0" w:space="0" w:color="auto"/>
                        <w:right w:val="none" w:sz="0" w:space="0" w:color="auto"/>
                      </w:divBdr>
                      <w:divsChild>
                        <w:div w:id="294144675">
                          <w:marLeft w:val="0"/>
                          <w:marRight w:val="0"/>
                          <w:marTop w:val="0"/>
                          <w:marBottom w:val="0"/>
                          <w:divBdr>
                            <w:top w:val="none" w:sz="0" w:space="0" w:color="auto"/>
                            <w:left w:val="none" w:sz="0" w:space="0" w:color="auto"/>
                            <w:bottom w:val="none" w:sz="0" w:space="0" w:color="auto"/>
                            <w:right w:val="none" w:sz="0" w:space="0" w:color="auto"/>
                          </w:divBdr>
                        </w:div>
                      </w:divsChild>
                    </w:div>
                    <w:div w:id="294152434">
                      <w:marLeft w:val="0"/>
                      <w:marRight w:val="0"/>
                      <w:marTop w:val="0"/>
                      <w:marBottom w:val="0"/>
                      <w:divBdr>
                        <w:top w:val="none" w:sz="0" w:space="0" w:color="auto"/>
                        <w:left w:val="none" w:sz="0" w:space="0" w:color="auto"/>
                        <w:bottom w:val="none" w:sz="0" w:space="0" w:color="auto"/>
                        <w:right w:val="none" w:sz="0" w:space="0" w:color="auto"/>
                      </w:divBdr>
                      <w:divsChild>
                        <w:div w:id="294147476">
                          <w:marLeft w:val="0"/>
                          <w:marRight w:val="0"/>
                          <w:marTop w:val="0"/>
                          <w:marBottom w:val="0"/>
                          <w:divBdr>
                            <w:top w:val="none" w:sz="0" w:space="0" w:color="auto"/>
                            <w:left w:val="none" w:sz="0" w:space="0" w:color="auto"/>
                            <w:bottom w:val="none" w:sz="0" w:space="0" w:color="auto"/>
                            <w:right w:val="none" w:sz="0" w:space="0" w:color="auto"/>
                          </w:divBdr>
                        </w:div>
                      </w:divsChild>
                    </w:div>
                    <w:div w:id="294152438">
                      <w:marLeft w:val="0"/>
                      <w:marRight w:val="0"/>
                      <w:marTop w:val="0"/>
                      <w:marBottom w:val="0"/>
                      <w:divBdr>
                        <w:top w:val="none" w:sz="0" w:space="0" w:color="auto"/>
                        <w:left w:val="none" w:sz="0" w:space="0" w:color="auto"/>
                        <w:bottom w:val="none" w:sz="0" w:space="0" w:color="auto"/>
                        <w:right w:val="none" w:sz="0" w:space="0" w:color="auto"/>
                      </w:divBdr>
                    </w:div>
                    <w:div w:id="294152763">
                      <w:marLeft w:val="0"/>
                      <w:marRight w:val="0"/>
                      <w:marTop w:val="0"/>
                      <w:marBottom w:val="0"/>
                      <w:divBdr>
                        <w:top w:val="none" w:sz="0" w:space="0" w:color="auto"/>
                        <w:left w:val="none" w:sz="0" w:space="0" w:color="auto"/>
                        <w:bottom w:val="none" w:sz="0" w:space="0" w:color="auto"/>
                        <w:right w:val="none" w:sz="0" w:space="0" w:color="auto"/>
                      </w:divBdr>
                      <w:divsChild>
                        <w:div w:id="294156589">
                          <w:marLeft w:val="0"/>
                          <w:marRight w:val="0"/>
                          <w:marTop w:val="0"/>
                          <w:marBottom w:val="0"/>
                          <w:divBdr>
                            <w:top w:val="none" w:sz="0" w:space="0" w:color="auto"/>
                            <w:left w:val="none" w:sz="0" w:space="0" w:color="auto"/>
                            <w:bottom w:val="none" w:sz="0" w:space="0" w:color="auto"/>
                            <w:right w:val="none" w:sz="0" w:space="0" w:color="auto"/>
                          </w:divBdr>
                        </w:div>
                      </w:divsChild>
                    </w:div>
                    <w:div w:id="294152914">
                      <w:marLeft w:val="0"/>
                      <w:marRight w:val="0"/>
                      <w:marTop w:val="0"/>
                      <w:marBottom w:val="0"/>
                      <w:divBdr>
                        <w:top w:val="none" w:sz="0" w:space="0" w:color="auto"/>
                        <w:left w:val="none" w:sz="0" w:space="0" w:color="auto"/>
                        <w:bottom w:val="none" w:sz="0" w:space="0" w:color="auto"/>
                        <w:right w:val="none" w:sz="0" w:space="0" w:color="auto"/>
                      </w:divBdr>
                      <w:divsChild>
                        <w:div w:id="294144934">
                          <w:marLeft w:val="0"/>
                          <w:marRight w:val="0"/>
                          <w:marTop w:val="0"/>
                          <w:marBottom w:val="0"/>
                          <w:divBdr>
                            <w:top w:val="none" w:sz="0" w:space="0" w:color="auto"/>
                            <w:left w:val="none" w:sz="0" w:space="0" w:color="auto"/>
                            <w:bottom w:val="none" w:sz="0" w:space="0" w:color="auto"/>
                            <w:right w:val="none" w:sz="0" w:space="0" w:color="auto"/>
                          </w:divBdr>
                        </w:div>
                      </w:divsChild>
                    </w:div>
                    <w:div w:id="294153027">
                      <w:marLeft w:val="0"/>
                      <w:marRight w:val="0"/>
                      <w:marTop w:val="0"/>
                      <w:marBottom w:val="0"/>
                      <w:divBdr>
                        <w:top w:val="none" w:sz="0" w:space="0" w:color="auto"/>
                        <w:left w:val="none" w:sz="0" w:space="0" w:color="auto"/>
                        <w:bottom w:val="none" w:sz="0" w:space="0" w:color="auto"/>
                        <w:right w:val="none" w:sz="0" w:space="0" w:color="auto"/>
                      </w:divBdr>
                      <w:divsChild>
                        <w:div w:id="294156441">
                          <w:marLeft w:val="0"/>
                          <w:marRight w:val="0"/>
                          <w:marTop w:val="0"/>
                          <w:marBottom w:val="0"/>
                          <w:divBdr>
                            <w:top w:val="none" w:sz="0" w:space="0" w:color="auto"/>
                            <w:left w:val="none" w:sz="0" w:space="0" w:color="auto"/>
                            <w:bottom w:val="none" w:sz="0" w:space="0" w:color="auto"/>
                            <w:right w:val="none" w:sz="0" w:space="0" w:color="auto"/>
                          </w:divBdr>
                        </w:div>
                      </w:divsChild>
                    </w:div>
                    <w:div w:id="294153083">
                      <w:marLeft w:val="0"/>
                      <w:marRight w:val="0"/>
                      <w:marTop w:val="0"/>
                      <w:marBottom w:val="0"/>
                      <w:divBdr>
                        <w:top w:val="none" w:sz="0" w:space="0" w:color="auto"/>
                        <w:left w:val="none" w:sz="0" w:space="0" w:color="auto"/>
                        <w:bottom w:val="none" w:sz="0" w:space="0" w:color="auto"/>
                        <w:right w:val="none" w:sz="0" w:space="0" w:color="auto"/>
                      </w:divBdr>
                      <w:divsChild>
                        <w:div w:id="294140151">
                          <w:marLeft w:val="0"/>
                          <w:marRight w:val="0"/>
                          <w:marTop w:val="0"/>
                          <w:marBottom w:val="0"/>
                          <w:divBdr>
                            <w:top w:val="none" w:sz="0" w:space="0" w:color="auto"/>
                            <w:left w:val="none" w:sz="0" w:space="0" w:color="auto"/>
                            <w:bottom w:val="none" w:sz="0" w:space="0" w:color="auto"/>
                            <w:right w:val="none" w:sz="0" w:space="0" w:color="auto"/>
                          </w:divBdr>
                        </w:div>
                      </w:divsChild>
                    </w:div>
                    <w:div w:id="294153128">
                      <w:marLeft w:val="0"/>
                      <w:marRight w:val="0"/>
                      <w:marTop w:val="0"/>
                      <w:marBottom w:val="0"/>
                      <w:divBdr>
                        <w:top w:val="none" w:sz="0" w:space="0" w:color="auto"/>
                        <w:left w:val="none" w:sz="0" w:space="0" w:color="auto"/>
                        <w:bottom w:val="none" w:sz="0" w:space="0" w:color="auto"/>
                        <w:right w:val="none" w:sz="0" w:space="0" w:color="auto"/>
                      </w:divBdr>
                    </w:div>
                    <w:div w:id="294153168">
                      <w:marLeft w:val="0"/>
                      <w:marRight w:val="0"/>
                      <w:marTop w:val="0"/>
                      <w:marBottom w:val="0"/>
                      <w:divBdr>
                        <w:top w:val="none" w:sz="0" w:space="0" w:color="auto"/>
                        <w:left w:val="none" w:sz="0" w:space="0" w:color="auto"/>
                        <w:bottom w:val="none" w:sz="0" w:space="0" w:color="auto"/>
                        <w:right w:val="none" w:sz="0" w:space="0" w:color="auto"/>
                      </w:divBdr>
                      <w:divsChild>
                        <w:div w:id="294138837">
                          <w:marLeft w:val="0"/>
                          <w:marRight w:val="0"/>
                          <w:marTop w:val="0"/>
                          <w:marBottom w:val="0"/>
                          <w:divBdr>
                            <w:top w:val="none" w:sz="0" w:space="0" w:color="auto"/>
                            <w:left w:val="none" w:sz="0" w:space="0" w:color="auto"/>
                            <w:bottom w:val="none" w:sz="0" w:space="0" w:color="auto"/>
                            <w:right w:val="none" w:sz="0" w:space="0" w:color="auto"/>
                          </w:divBdr>
                        </w:div>
                      </w:divsChild>
                    </w:div>
                    <w:div w:id="294153212">
                      <w:marLeft w:val="0"/>
                      <w:marRight w:val="0"/>
                      <w:marTop w:val="0"/>
                      <w:marBottom w:val="0"/>
                      <w:divBdr>
                        <w:top w:val="none" w:sz="0" w:space="0" w:color="auto"/>
                        <w:left w:val="none" w:sz="0" w:space="0" w:color="auto"/>
                        <w:bottom w:val="none" w:sz="0" w:space="0" w:color="auto"/>
                        <w:right w:val="none" w:sz="0" w:space="0" w:color="auto"/>
                      </w:divBdr>
                    </w:div>
                    <w:div w:id="294153440">
                      <w:marLeft w:val="0"/>
                      <w:marRight w:val="0"/>
                      <w:marTop w:val="0"/>
                      <w:marBottom w:val="0"/>
                      <w:divBdr>
                        <w:top w:val="none" w:sz="0" w:space="0" w:color="auto"/>
                        <w:left w:val="none" w:sz="0" w:space="0" w:color="auto"/>
                        <w:bottom w:val="none" w:sz="0" w:space="0" w:color="auto"/>
                        <w:right w:val="none" w:sz="0" w:space="0" w:color="auto"/>
                      </w:divBdr>
                      <w:divsChild>
                        <w:div w:id="294142085">
                          <w:marLeft w:val="0"/>
                          <w:marRight w:val="0"/>
                          <w:marTop w:val="0"/>
                          <w:marBottom w:val="0"/>
                          <w:divBdr>
                            <w:top w:val="none" w:sz="0" w:space="0" w:color="auto"/>
                            <w:left w:val="none" w:sz="0" w:space="0" w:color="auto"/>
                            <w:bottom w:val="none" w:sz="0" w:space="0" w:color="auto"/>
                            <w:right w:val="none" w:sz="0" w:space="0" w:color="auto"/>
                          </w:divBdr>
                        </w:div>
                      </w:divsChild>
                    </w:div>
                    <w:div w:id="294153472">
                      <w:marLeft w:val="0"/>
                      <w:marRight w:val="0"/>
                      <w:marTop w:val="0"/>
                      <w:marBottom w:val="0"/>
                      <w:divBdr>
                        <w:top w:val="none" w:sz="0" w:space="0" w:color="auto"/>
                        <w:left w:val="none" w:sz="0" w:space="0" w:color="auto"/>
                        <w:bottom w:val="none" w:sz="0" w:space="0" w:color="auto"/>
                        <w:right w:val="none" w:sz="0" w:space="0" w:color="auto"/>
                      </w:divBdr>
                    </w:div>
                    <w:div w:id="294153574">
                      <w:marLeft w:val="0"/>
                      <w:marRight w:val="0"/>
                      <w:marTop w:val="0"/>
                      <w:marBottom w:val="0"/>
                      <w:divBdr>
                        <w:top w:val="none" w:sz="0" w:space="0" w:color="auto"/>
                        <w:left w:val="none" w:sz="0" w:space="0" w:color="auto"/>
                        <w:bottom w:val="none" w:sz="0" w:space="0" w:color="auto"/>
                        <w:right w:val="none" w:sz="0" w:space="0" w:color="auto"/>
                      </w:divBdr>
                    </w:div>
                    <w:div w:id="294153580">
                      <w:marLeft w:val="0"/>
                      <w:marRight w:val="0"/>
                      <w:marTop w:val="0"/>
                      <w:marBottom w:val="0"/>
                      <w:divBdr>
                        <w:top w:val="none" w:sz="0" w:space="0" w:color="auto"/>
                        <w:left w:val="none" w:sz="0" w:space="0" w:color="auto"/>
                        <w:bottom w:val="none" w:sz="0" w:space="0" w:color="auto"/>
                        <w:right w:val="none" w:sz="0" w:space="0" w:color="auto"/>
                      </w:divBdr>
                      <w:divsChild>
                        <w:div w:id="294150404">
                          <w:marLeft w:val="0"/>
                          <w:marRight w:val="0"/>
                          <w:marTop w:val="0"/>
                          <w:marBottom w:val="0"/>
                          <w:divBdr>
                            <w:top w:val="none" w:sz="0" w:space="0" w:color="auto"/>
                            <w:left w:val="none" w:sz="0" w:space="0" w:color="auto"/>
                            <w:bottom w:val="none" w:sz="0" w:space="0" w:color="auto"/>
                            <w:right w:val="none" w:sz="0" w:space="0" w:color="auto"/>
                          </w:divBdr>
                        </w:div>
                      </w:divsChild>
                    </w:div>
                    <w:div w:id="294153620">
                      <w:marLeft w:val="0"/>
                      <w:marRight w:val="0"/>
                      <w:marTop w:val="0"/>
                      <w:marBottom w:val="0"/>
                      <w:divBdr>
                        <w:top w:val="none" w:sz="0" w:space="0" w:color="auto"/>
                        <w:left w:val="none" w:sz="0" w:space="0" w:color="auto"/>
                        <w:bottom w:val="none" w:sz="0" w:space="0" w:color="auto"/>
                        <w:right w:val="none" w:sz="0" w:space="0" w:color="auto"/>
                      </w:divBdr>
                      <w:divsChild>
                        <w:div w:id="294145420">
                          <w:marLeft w:val="0"/>
                          <w:marRight w:val="0"/>
                          <w:marTop w:val="0"/>
                          <w:marBottom w:val="0"/>
                          <w:divBdr>
                            <w:top w:val="none" w:sz="0" w:space="0" w:color="auto"/>
                            <w:left w:val="none" w:sz="0" w:space="0" w:color="auto"/>
                            <w:bottom w:val="none" w:sz="0" w:space="0" w:color="auto"/>
                            <w:right w:val="none" w:sz="0" w:space="0" w:color="auto"/>
                          </w:divBdr>
                        </w:div>
                      </w:divsChild>
                    </w:div>
                    <w:div w:id="294153666">
                      <w:marLeft w:val="0"/>
                      <w:marRight w:val="0"/>
                      <w:marTop w:val="0"/>
                      <w:marBottom w:val="0"/>
                      <w:divBdr>
                        <w:top w:val="none" w:sz="0" w:space="0" w:color="auto"/>
                        <w:left w:val="none" w:sz="0" w:space="0" w:color="auto"/>
                        <w:bottom w:val="none" w:sz="0" w:space="0" w:color="auto"/>
                        <w:right w:val="none" w:sz="0" w:space="0" w:color="auto"/>
                      </w:divBdr>
                    </w:div>
                    <w:div w:id="294153719">
                      <w:marLeft w:val="0"/>
                      <w:marRight w:val="0"/>
                      <w:marTop w:val="0"/>
                      <w:marBottom w:val="0"/>
                      <w:divBdr>
                        <w:top w:val="none" w:sz="0" w:space="0" w:color="auto"/>
                        <w:left w:val="none" w:sz="0" w:space="0" w:color="auto"/>
                        <w:bottom w:val="none" w:sz="0" w:space="0" w:color="auto"/>
                        <w:right w:val="none" w:sz="0" w:space="0" w:color="auto"/>
                      </w:divBdr>
                      <w:divsChild>
                        <w:div w:id="294149938">
                          <w:marLeft w:val="0"/>
                          <w:marRight w:val="0"/>
                          <w:marTop w:val="0"/>
                          <w:marBottom w:val="0"/>
                          <w:divBdr>
                            <w:top w:val="none" w:sz="0" w:space="0" w:color="auto"/>
                            <w:left w:val="none" w:sz="0" w:space="0" w:color="auto"/>
                            <w:bottom w:val="none" w:sz="0" w:space="0" w:color="auto"/>
                            <w:right w:val="none" w:sz="0" w:space="0" w:color="auto"/>
                          </w:divBdr>
                        </w:div>
                      </w:divsChild>
                    </w:div>
                    <w:div w:id="294153786">
                      <w:marLeft w:val="0"/>
                      <w:marRight w:val="0"/>
                      <w:marTop w:val="0"/>
                      <w:marBottom w:val="0"/>
                      <w:divBdr>
                        <w:top w:val="none" w:sz="0" w:space="0" w:color="auto"/>
                        <w:left w:val="none" w:sz="0" w:space="0" w:color="auto"/>
                        <w:bottom w:val="none" w:sz="0" w:space="0" w:color="auto"/>
                        <w:right w:val="none" w:sz="0" w:space="0" w:color="auto"/>
                      </w:divBdr>
                      <w:divsChild>
                        <w:div w:id="294148252">
                          <w:marLeft w:val="0"/>
                          <w:marRight w:val="0"/>
                          <w:marTop w:val="0"/>
                          <w:marBottom w:val="0"/>
                          <w:divBdr>
                            <w:top w:val="none" w:sz="0" w:space="0" w:color="auto"/>
                            <w:left w:val="none" w:sz="0" w:space="0" w:color="auto"/>
                            <w:bottom w:val="none" w:sz="0" w:space="0" w:color="auto"/>
                            <w:right w:val="none" w:sz="0" w:space="0" w:color="auto"/>
                          </w:divBdr>
                        </w:div>
                      </w:divsChild>
                    </w:div>
                    <w:div w:id="294153833">
                      <w:marLeft w:val="0"/>
                      <w:marRight w:val="0"/>
                      <w:marTop w:val="0"/>
                      <w:marBottom w:val="0"/>
                      <w:divBdr>
                        <w:top w:val="none" w:sz="0" w:space="0" w:color="auto"/>
                        <w:left w:val="none" w:sz="0" w:space="0" w:color="auto"/>
                        <w:bottom w:val="none" w:sz="0" w:space="0" w:color="auto"/>
                        <w:right w:val="none" w:sz="0" w:space="0" w:color="auto"/>
                      </w:divBdr>
                      <w:divsChild>
                        <w:div w:id="294139910">
                          <w:marLeft w:val="0"/>
                          <w:marRight w:val="0"/>
                          <w:marTop w:val="0"/>
                          <w:marBottom w:val="0"/>
                          <w:divBdr>
                            <w:top w:val="none" w:sz="0" w:space="0" w:color="auto"/>
                            <w:left w:val="none" w:sz="0" w:space="0" w:color="auto"/>
                            <w:bottom w:val="none" w:sz="0" w:space="0" w:color="auto"/>
                            <w:right w:val="none" w:sz="0" w:space="0" w:color="auto"/>
                          </w:divBdr>
                        </w:div>
                      </w:divsChild>
                    </w:div>
                    <w:div w:id="294153906">
                      <w:marLeft w:val="0"/>
                      <w:marRight w:val="0"/>
                      <w:marTop w:val="0"/>
                      <w:marBottom w:val="0"/>
                      <w:divBdr>
                        <w:top w:val="none" w:sz="0" w:space="0" w:color="auto"/>
                        <w:left w:val="none" w:sz="0" w:space="0" w:color="auto"/>
                        <w:bottom w:val="none" w:sz="0" w:space="0" w:color="auto"/>
                        <w:right w:val="none" w:sz="0" w:space="0" w:color="auto"/>
                      </w:divBdr>
                      <w:divsChild>
                        <w:div w:id="294147602">
                          <w:marLeft w:val="0"/>
                          <w:marRight w:val="0"/>
                          <w:marTop w:val="0"/>
                          <w:marBottom w:val="0"/>
                          <w:divBdr>
                            <w:top w:val="none" w:sz="0" w:space="0" w:color="auto"/>
                            <w:left w:val="none" w:sz="0" w:space="0" w:color="auto"/>
                            <w:bottom w:val="none" w:sz="0" w:space="0" w:color="auto"/>
                            <w:right w:val="none" w:sz="0" w:space="0" w:color="auto"/>
                          </w:divBdr>
                        </w:div>
                      </w:divsChild>
                    </w:div>
                    <w:div w:id="294153951">
                      <w:marLeft w:val="0"/>
                      <w:marRight w:val="0"/>
                      <w:marTop w:val="0"/>
                      <w:marBottom w:val="0"/>
                      <w:divBdr>
                        <w:top w:val="none" w:sz="0" w:space="0" w:color="auto"/>
                        <w:left w:val="none" w:sz="0" w:space="0" w:color="auto"/>
                        <w:bottom w:val="none" w:sz="0" w:space="0" w:color="auto"/>
                        <w:right w:val="none" w:sz="0" w:space="0" w:color="auto"/>
                      </w:divBdr>
                    </w:div>
                    <w:div w:id="294154072">
                      <w:marLeft w:val="0"/>
                      <w:marRight w:val="0"/>
                      <w:marTop w:val="0"/>
                      <w:marBottom w:val="0"/>
                      <w:divBdr>
                        <w:top w:val="none" w:sz="0" w:space="0" w:color="auto"/>
                        <w:left w:val="none" w:sz="0" w:space="0" w:color="auto"/>
                        <w:bottom w:val="none" w:sz="0" w:space="0" w:color="auto"/>
                        <w:right w:val="none" w:sz="0" w:space="0" w:color="auto"/>
                      </w:divBdr>
                      <w:divsChild>
                        <w:div w:id="294145506">
                          <w:marLeft w:val="0"/>
                          <w:marRight w:val="0"/>
                          <w:marTop w:val="0"/>
                          <w:marBottom w:val="0"/>
                          <w:divBdr>
                            <w:top w:val="none" w:sz="0" w:space="0" w:color="auto"/>
                            <w:left w:val="none" w:sz="0" w:space="0" w:color="auto"/>
                            <w:bottom w:val="none" w:sz="0" w:space="0" w:color="auto"/>
                            <w:right w:val="none" w:sz="0" w:space="0" w:color="auto"/>
                          </w:divBdr>
                        </w:div>
                      </w:divsChild>
                    </w:div>
                    <w:div w:id="294154133">
                      <w:marLeft w:val="0"/>
                      <w:marRight w:val="0"/>
                      <w:marTop w:val="0"/>
                      <w:marBottom w:val="0"/>
                      <w:divBdr>
                        <w:top w:val="none" w:sz="0" w:space="0" w:color="auto"/>
                        <w:left w:val="none" w:sz="0" w:space="0" w:color="auto"/>
                        <w:bottom w:val="none" w:sz="0" w:space="0" w:color="auto"/>
                        <w:right w:val="none" w:sz="0" w:space="0" w:color="auto"/>
                      </w:divBdr>
                    </w:div>
                    <w:div w:id="294154147">
                      <w:marLeft w:val="0"/>
                      <w:marRight w:val="0"/>
                      <w:marTop w:val="0"/>
                      <w:marBottom w:val="0"/>
                      <w:divBdr>
                        <w:top w:val="none" w:sz="0" w:space="0" w:color="auto"/>
                        <w:left w:val="none" w:sz="0" w:space="0" w:color="auto"/>
                        <w:bottom w:val="none" w:sz="0" w:space="0" w:color="auto"/>
                        <w:right w:val="none" w:sz="0" w:space="0" w:color="auto"/>
                      </w:divBdr>
                    </w:div>
                    <w:div w:id="294154191">
                      <w:marLeft w:val="0"/>
                      <w:marRight w:val="0"/>
                      <w:marTop w:val="0"/>
                      <w:marBottom w:val="0"/>
                      <w:divBdr>
                        <w:top w:val="none" w:sz="0" w:space="0" w:color="auto"/>
                        <w:left w:val="none" w:sz="0" w:space="0" w:color="auto"/>
                        <w:bottom w:val="none" w:sz="0" w:space="0" w:color="auto"/>
                        <w:right w:val="none" w:sz="0" w:space="0" w:color="auto"/>
                      </w:divBdr>
                    </w:div>
                    <w:div w:id="294154207">
                      <w:marLeft w:val="0"/>
                      <w:marRight w:val="0"/>
                      <w:marTop w:val="0"/>
                      <w:marBottom w:val="0"/>
                      <w:divBdr>
                        <w:top w:val="none" w:sz="0" w:space="0" w:color="auto"/>
                        <w:left w:val="none" w:sz="0" w:space="0" w:color="auto"/>
                        <w:bottom w:val="none" w:sz="0" w:space="0" w:color="auto"/>
                        <w:right w:val="none" w:sz="0" w:space="0" w:color="auto"/>
                      </w:divBdr>
                    </w:div>
                    <w:div w:id="294154231">
                      <w:marLeft w:val="0"/>
                      <w:marRight w:val="0"/>
                      <w:marTop w:val="0"/>
                      <w:marBottom w:val="0"/>
                      <w:divBdr>
                        <w:top w:val="none" w:sz="0" w:space="0" w:color="auto"/>
                        <w:left w:val="none" w:sz="0" w:space="0" w:color="auto"/>
                        <w:bottom w:val="none" w:sz="0" w:space="0" w:color="auto"/>
                        <w:right w:val="none" w:sz="0" w:space="0" w:color="auto"/>
                      </w:divBdr>
                      <w:divsChild>
                        <w:div w:id="294140695">
                          <w:marLeft w:val="0"/>
                          <w:marRight w:val="0"/>
                          <w:marTop w:val="0"/>
                          <w:marBottom w:val="0"/>
                          <w:divBdr>
                            <w:top w:val="none" w:sz="0" w:space="0" w:color="auto"/>
                            <w:left w:val="none" w:sz="0" w:space="0" w:color="auto"/>
                            <w:bottom w:val="none" w:sz="0" w:space="0" w:color="auto"/>
                            <w:right w:val="none" w:sz="0" w:space="0" w:color="auto"/>
                          </w:divBdr>
                        </w:div>
                      </w:divsChild>
                    </w:div>
                    <w:div w:id="294154249">
                      <w:marLeft w:val="0"/>
                      <w:marRight w:val="0"/>
                      <w:marTop w:val="0"/>
                      <w:marBottom w:val="0"/>
                      <w:divBdr>
                        <w:top w:val="none" w:sz="0" w:space="0" w:color="auto"/>
                        <w:left w:val="none" w:sz="0" w:space="0" w:color="auto"/>
                        <w:bottom w:val="none" w:sz="0" w:space="0" w:color="auto"/>
                        <w:right w:val="none" w:sz="0" w:space="0" w:color="auto"/>
                      </w:divBdr>
                      <w:divsChild>
                        <w:div w:id="294138204">
                          <w:marLeft w:val="0"/>
                          <w:marRight w:val="0"/>
                          <w:marTop w:val="0"/>
                          <w:marBottom w:val="0"/>
                          <w:divBdr>
                            <w:top w:val="none" w:sz="0" w:space="0" w:color="auto"/>
                            <w:left w:val="none" w:sz="0" w:space="0" w:color="auto"/>
                            <w:bottom w:val="none" w:sz="0" w:space="0" w:color="auto"/>
                            <w:right w:val="none" w:sz="0" w:space="0" w:color="auto"/>
                          </w:divBdr>
                        </w:div>
                      </w:divsChild>
                    </w:div>
                    <w:div w:id="294154252">
                      <w:marLeft w:val="0"/>
                      <w:marRight w:val="0"/>
                      <w:marTop w:val="0"/>
                      <w:marBottom w:val="0"/>
                      <w:divBdr>
                        <w:top w:val="none" w:sz="0" w:space="0" w:color="auto"/>
                        <w:left w:val="none" w:sz="0" w:space="0" w:color="auto"/>
                        <w:bottom w:val="none" w:sz="0" w:space="0" w:color="auto"/>
                        <w:right w:val="none" w:sz="0" w:space="0" w:color="auto"/>
                      </w:divBdr>
                    </w:div>
                    <w:div w:id="294154427">
                      <w:marLeft w:val="0"/>
                      <w:marRight w:val="0"/>
                      <w:marTop w:val="0"/>
                      <w:marBottom w:val="0"/>
                      <w:divBdr>
                        <w:top w:val="none" w:sz="0" w:space="0" w:color="auto"/>
                        <w:left w:val="none" w:sz="0" w:space="0" w:color="auto"/>
                        <w:bottom w:val="none" w:sz="0" w:space="0" w:color="auto"/>
                        <w:right w:val="none" w:sz="0" w:space="0" w:color="auto"/>
                      </w:divBdr>
                    </w:div>
                    <w:div w:id="294154441">
                      <w:marLeft w:val="0"/>
                      <w:marRight w:val="0"/>
                      <w:marTop w:val="0"/>
                      <w:marBottom w:val="0"/>
                      <w:divBdr>
                        <w:top w:val="none" w:sz="0" w:space="0" w:color="auto"/>
                        <w:left w:val="none" w:sz="0" w:space="0" w:color="auto"/>
                        <w:bottom w:val="none" w:sz="0" w:space="0" w:color="auto"/>
                        <w:right w:val="none" w:sz="0" w:space="0" w:color="auto"/>
                      </w:divBdr>
                    </w:div>
                    <w:div w:id="294154465">
                      <w:marLeft w:val="0"/>
                      <w:marRight w:val="0"/>
                      <w:marTop w:val="0"/>
                      <w:marBottom w:val="0"/>
                      <w:divBdr>
                        <w:top w:val="none" w:sz="0" w:space="0" w:color="auto"/>
                        <w:left w:val="none" w:sz="0" w:space="0" w:color="auto"/>
                        <w:bottom w:val="none" w:sz="0" w:space="0" w:color="auto"/>
                        <w:right w:val="none" w:sz="0" w:space="0" w:color="auto"/>
                      </w:divBdr>
                    </w:div>
                    <w:div w:id="294154586">
                      <w:marLeft w:val="0"/>
                      <w:marRight w:val="0"/>
                      <w:marTop w:val="0"/>
                      <w:marBottom w:val="0"/>
                      <w:divBdr>
                        <w:top w:val="none" w:sz="0" w:space="0" w:color="auto"/>
                        <w:left w:val="none" w:sz="0" w:space="0" w:color="auto"/>
                        <w:bottom w:val="none" w:sz="0" w:space="0" w:color="auto"/>
                        <w:right w:val="none" w:sz="0" w:space="0" w:color="auto"/>
                      </w:divBdr>
                    </w:div>
                    <w:div w:id="294154697">
                      <w:marLeft w:val="0"/>
                      <w:marRight w:val="0"/>
                      <w:marTop w:val="0"/>
                      <w:marBottom w:val="0"/>
                      <w:divBdr>
                        <w:top w:val="none" w:sz="0" w:space="0" w:color="auto"/>
                        <w:left w:val="none" w:sz="0" w:space="0" w:color="auto"/>
                        <w:bottom w:val="none" w:sz="0" w:space="0" w:color="auto"/>
                        <w:right w:val="none" w:sz="0" w:space="0" w:color="auto"/>
                      </w:divBdr>
                    </w:div>
                    <w:div w:id="294154875">
                      <w:marLeft w:val="0"/>
                      <w:marRight w:val="0"/>
                      <w:marTop w:val="0"/>
                      <w:marBottom w:val="0"/>
                      <w:divBdr>
                        <w:top w:val="none" w:sz="0" w:space="0" w:color="auto"/>
                        <w:left w:val="none" w:sz="0" w:space="0" w:color="auto"/>
                        <w:bottom w:val="none" w:sz="0" w:space="0" w:color="auto"/>
                        <w:right w:val="none" w:sz="0" w:space="0" w:color="auto"/>
                      </w:divBdr>
                      <w:divsChild>
                        <w:div w:id="294146579">
                          <w:marLeft w:val="0"/>
                          <w:marRight w:val="0"/>
                          <w:marTop w:val="0"/>
                          <w:marBottom w:val="0"/>
                          <w:divBdr>
                            <w:top w:val="none" w:sz="0" w:space="0" w:color="auto"/>
                            <w:left w:val="none" w:sz="0" w:space="0" w:color="auto"/>
                            <w:bottom w:val="none" w:sz="0" w:space="0" w:color="auto"/>
                            <w:right w:val="none" w:sz="0" w:space="0" w:color="auto"/>
                          </w:divBdr>
                        </w:div>
                      </w:divsChild>
                    </w:div>
                    <w:div w:id="294154877">
                      <w:marLeft w:val="0"/>
                      <w:marRight w:val="0"/>
                      <w:marTop w:val="0"/>
                      <w:marBottom w:val="0"/>
                      <w:divBdr>
                        <w:top w:val="none" w:sz="0" w:space="0" w:color="auto"/>
                        <w:left w:val="none" w:sz="0" w:space="0" w:color="auto"/>
                        <w:bottom w:val="none" w:sz="0" w:space="0" w:color="auto"/>
                        <w:right w:val="none" w:sz="0" w:space="0" w:color="auto"/>
                      </w:divBdr>
                    </w:div>
                    <w:div w:id="294154937">
                      <w:marLeft w:val="0"/>
                      <w:marRight w:val="0"/>
                      <w:marTop w:val="0"/>
                      <w:marBottom w:val="0"/>
                      <w:divBdr>
                        <w:top w:val="none" w:sz="0" w:space="0" w:color="auto"/>
                        <w:left w:val="none" w:sz="0" w:space="0" w:color="auto"/>
                        <w:bottom w:val="none" w:sz="0" w:space="0" w:color="auto"/>
                        <w:right w:val="none" w:sz="0" w:space="0" w:color="auto"/>
                      </w:divBdr>
                      <w:divsChild>
                        <w:div w:id="294155718">
                          <w:marLeft w:val="0"/>
                          <w:marRight w:val="0"/>
                          <w:marTop w:val="0"/>
                          <w:marBottom w:val="0"/>
                          <w:divBdr>
                            <w:top w:val="none" w:sz="0" w:space="0" w:color="auto"/>
                            <w:left w:val="none" w:sz="0" w:space="0" w:color="auto"/>
                            <w:bottom w:val="none" w:sz="0" w:space="0" w:color="auto"/>
                            <w:right w:val="none" w:sz="0" w:space="0" w:color="auto"/>
                          </w:divBdr>
                        </w:div>
                      </w:divsChild>
                    </w:div>
                    <w:div w:id="294155011">
                      <w:marLeft w:val="0"/>
                      <w:marRight w:val="0"/>
                      <w:marTop w:val="0"/>
                      <w:marBottom w:val="0"/>
                      <w:divBdr>
                        <w:top w:val="none" w:sz="0" w:space="0" w:color="auto"/>
                        <w:left w:val="none" w:sz="0" w:space="0" w:color="auto"/>
                        <w:bottom w:val="none" w:sz="0" w:space="0" w:color="auto"/>
                        <w:right w:val="none" w:sz="0" w:space="0" w:color="auto"/>
                      </w:divBdr>
                      <w:divsChild>
                        <w:div w:id="294149784">
                          <w:marLeft w:val="0"/>
                          <w:marRight w:val="0"/>
                          <w:marTop w:val="0"/>
                          <w:marBottom w:val="0"/>
                          <w:divBdr>
                            <w:top w:val="none" w:sz="0" w:space="0" w:color="auto"/>
                            <w:left w:val="none" w:sz="0" w:space="0" w:color="auto"/>
                            <w:bottom w:val="none" w:sz="0" w:space="0" w:color="auto"/>
                            <w:right w:val="none" w:sz="0" w:space="0" w:color="auto"/>
                          </w:divBdr>
                        </w:div>
                      </w:divsChild>
                    </w:div>
                    <w:div w:id="294155042">
                      <w:marLeft w:val="0"/>
                      <w:marRight w:val="0"/>
                      <w:marTop w:val="0"/>
                      <w:marBottom w:val="0"/>
                      <w:divBdr>
                        <w:top w:val="none" w:sz="0" w:space="0" w:color="auto"/>
                        <w:left w:val="none" w:sz="0" w:space="0" w:color="auto"/>
                        <w:bottom w:val="none" w:sz="0" w:space="0" w:color="auto"/>
                        <w:right w:val="none" w:sz="0" w:space="0" w:color="auto"/>
                      </w:divBdr>
                      <w:divsChild>
                        <w:div w:id="294141624">
                          <w:marLeft w:val="0"/>
                          <w:marRight w:val="0"/>
                          <w:marTop w:val="0"/>
                          <w:marBottom w:val="0"/>
                          <w:divBdr>
                            <w:top w:val="none" w:sz="0" w:space="0" w:color="auto"/>
                            <w:left w:val="none" w:sz="0" w:space="0" w:color="auto"/>
                            <w:bottom w:val="none" w:sz="0" w:space="0" w:color="auto"/>
                            <w:right w:val="none" w:sz="0" w:space="0" w:color="auto"/>
                          </w:divBdr>
                        </w:div>
                      </w:divsChild>
                    </w:div>
                    <w:div w:id="294155125">
                      <w:marLeft w:val="0"/>
                      <w:marRight w:val="0"/>
                      <w:marTop w:val="0"/>
                      <w:marBottom w:val="0"/>
                      <w:divBdr>
                        <w:top w:val="none" w:sz="0" w:space="0" w:color="auto"/>
                        <w:left w:val="none" w:sz="0" w:space="0" w:color="auto"/>
                        <w:bottom w:val="none" w:sz="0" w:space="0" w:color="auto"/>
                        <w:right w:val="none" w:sz="0" w:space="0" w:color="auto"/>
                      </w:divBdr>
                      <w:divsChild>
                        <w:div w:id="294151560">
                          <w:marLeft w:val="0"/>
                          <w:marRight w:val="0"/>
                          <w:marTop w:val="0"/>
                          <w:marBottom w:val="0"/>
                          <w:divBdr>
                            <w:top w:val="none" w:sz="0" w:space="0" w:color="auto"/>
                            <w:left w:val="none" w:sz="0" w:space="0" w:color="auto"/>
                            <w:bottom w:val="none" w:sz="0" w:space="0" w:color="auto"/>
                            <w:right w:val="none" w:sz="0" w:space="0" w:color="auto"/>
                          </w:divBdr>
                        </w:div>
                      </w:divsChild>
                    </w:div>
                    <w:div w:id="294155149">
                      <w:marLeft w:val="0"/>
                      <w:marRight w:val="0"/>
                      <w:marTop w:val="0"/>
                      <w:marBottom w:val="0"/>
                      <w:divBdr>
                        <w:top w:val="none" w:sz="0" w:space="0" w:color="auto"/>
                        <w:left w:val="none" w:sz="0" w:space="0" w:color="auto"/>
                        <w:bottom w:val="none" w:sz="0" w:space="0" w:color="auto"/>
                        <w:right w:val="none" w:sz="0" w:space="0" w:color="auto"/>
                      </w:divBdr>
                      <w:divsChild>
                        <w:div w:id="294138880">
                          <w:marLeft w:val="0"/>
                          <w:marRight w:val="0"/>
                          <w:marTop w:val="0"/>
                          <w:marBottom w:val="0"/>
                          <w:divBdr>
                            <w:top w:val="none" w:sz="0" w:space="0" w:color="auto"/>
                            <w:left w:val="none" w:sz="0" w:space="0" w:color="auto"/>
                            <w:bottom w:val="none" w:sz="0" w:space="0" w:color="auto"/>
                            <w:right w:val="none" w:sz="0" w:space="0" w:color="auto"/>
                          </w:divBdr>
                        </w:div>
                      </w:divsChild>
                    </w:div>
                    <w:div w:id="294155171">
                      <w:marLeft w:val="0"/>
                      <w:marRight w:val="0"/>
                      <w:marTop w:val="0"/>
                      <w:marBottom w:val="0"/>
                      <w:divBdr>
                        <w:top w:val="none" w:sz="0" w:space="0" w:color="auto"/>
                        <w:left w:val="none" w:sz="0" w:space="0" w:color="auto"/>
                        <w:bottom w:val="none" w:sz="0" w:space="0" w:color="auto"/>
                        <w:right w:val="none" w:sz="0" w:space="0" w:color="auto"/>
                      </w:divBdr>
                      <w:divsChild>
                        <w:div w:id="294157202">
                          <w:marLeft w:val="0"/>
                          <w:marRight w:val="0"/>
                          <w:marTop w:val="0"/>
                          <w:marBottom w:val="0"/>
                          <w:divBdr>
                            <w:top w:val="none" w:sz="0" w:space="0" w:color="auto"/>
                            <w:left w:val="none" w:sz="0" w:space="0" w:color="auto"/>
                            <w:bottom w:val="none" w:sz="0" w:space="0" w:color="auto"/>
                            <w:right w:val="none" w:sz="0" w:space="0" w:color="auto"/>
                          </w:divBdr>
                        </w:div>
                      </w:divsChild>
                    </w:div>
                    <w:div w:id="294155185">
                      <w:marLeft w:val="0"/>
                      <w:marRight w:val="0"/>
                      <w:marTop w:val="0"/>
                      <w:marBottom w:val="0"/>
                      <w:divBdr>
                        <w:top w:val="none" w:sz="0" w:space="0" w:color="auto"/>
                        <w:left w:val="none" w:sz="0" w:space="0" w:color="auto"/>
                        <w:bottom w:val="none" w:sz="0" w:space="0" w:color="auto"/>
                        <w:right w:val="none" w:sz="0" w:space="0" w:color="auto"/>
                      </w:divBdr>
                    </w:div>
                    <w:div w:id="294155430">
                      <w:marLeft w:val="0"/>
                      <w:marRight w:val="0"/>
                      <w:marTop w:val="0"/>
                      <w:marBottom w:val="0"/>
                      <w:divBdr>
                        <w:top w:val="none" w:sz="0" w:space="0" w:color="auto"/>
                        <w:left w:val="none" w:sz="0" w:space="0" w:color="auto"/>
                        <w:bottom w:val="none" w:sz="0" w:space="0" w:color="auto"/>
                        <w:right w:val="none" w:sz="0" w:space="0" w:color="auto"/>
                      </w:divBdr>
                    </w:div>
                    <w:div w:id="294155446">
                      <w:marLeft w:val="0"/>
                      <w:marRight w:val="0"/>
                      <w:marTop w:val="0"/>
                      <w:marBottom w:val="0"/>
                      <w:divBdr>
                        <w:top w:val="none" w:sz="0" w:space="0" w:color="auto"/>
                        <w:left w:val="none" w:sz="0" w:space="0" w:color="auto"/>
                        <w:bottom w:val="none" w:sz="0" w:space="0" w:color="auto"/>
                        <w:right w:val="none" w:sz="0" w:space="0" w:color="auto"/>
                      </w:divBdr>
                    </w:div>
                    <w:div w:id="294155508">
                      <w:marLeft w:val="0"/>
                      <w:marRight w:val="0"/>
                      <w:marTop w:val="0"/>
                      <w:marBottom w:val="0"/>
                      <w:divBdr>
                        <w:top w:val="none" w:sz="0" w:space="0" w:color="auto"/>
                        <w:left w:val="none" w:sz="0" w:space="0" w:color="auto"/>
                        <w:bottom w:val="none" w:sz="0" w:space="0" w:color="auto"/>
                        <w:right w:val="none" w:sz="0" w:space="0" w:color="auto"/>
                      </w:divBdr>
                      <w:divsChild>
                        <w:div w:id="294143469">
                          <w:marLeft w:val="0"/>
                          <w:marRight w:val="0"/>
                          <w:marTop w:val="0"/>
                          <w:marBottom w:val="0"/>
                          <w:divBdr>
                            <w:top w:val="none" w:sz="0" w:space="0" w:color="auto"/>
                            <w:left w:val="none" w:sz="0" w:space="0" w:color="auto"/>
                            <w:bottom w:val="none" w:sz="0" w:space="0" w:color="auto"/>
                            <w:right w:val="none" w:sz="0" w:space="0" w:color="auto"/>
                          </w:divBdr>
                        </w:div>
                      </w:divsChild>
                    </w:div>
                    <w:div w:id="294155514">
                      <w:marLeft w:val="0"/>
                      <w:marRight w:val="0"/>
                      <w:marTop w:val="0"/>
                      <w:marBottom w:val="0"/>
                      <w:divBdr>
                        <w:top w:val="none" w:sz="0" w:space="0" w:color="auto"/>
                        <w:left w:val="none" w:sz="0" w:space="0" w:color="auto"/>
                        <w:bottom w:val="none" w:sz="0" w:space="0" w:color="auto"/>
                        <w:right w:val="none" w:sz="0" w:space="0" w:color="auto"/>
                      </w:divBdr>
                      <w:divsChild>
                        <w:div w:id="294156081">
                          <w:marLeft w:val="0"/>
                          <w:marRight w:val="0"/>
                          <w:marTop w:val="0"/>
                          <w:marBottom w:val="0"/>
                          <w:divBdr>
                            <w:top w:val="none" w:sz="0" w:space="0" w:color="auto"/>
                            <w:left w:val="none" w:sz="0" w:space="0" w:color="auto"/>
                            <w:bottom w:val="none" w:sz="0" w:space="0" w:color="auto"/>
                            <w:right w:val="none" w:sz="0" w:space="0" w:color="auto"/>
                          </w:divBdr>
                        </w:div>
                      </w:divsChild>
                    </w:div>
                    <w:div w:id="294155523">
                      <w:marLeft w:val="0"/>
                      <w:marRight w:val="0"/>
                      <w:marTop w:val="0"/>
                      <w:marBottom w:val="0"/>
                      <w:divBdr>
                        <w:top w:val="none" w:sz="0" w:space="0" w:color="auto"/>
                        <w:left w:val="none" w:sz="0" w:space="0" w:color="auto"/>
                        <w:bottom w:val="none" w:sz="0" w:space="0" w:color="auto"/>
                        <w:right w:val="none" w:sz="0" w:space="0" w:color="auto"/>
                      </w:divBdr>
                    </w:div>
                    <w:div w:id="294155555">
                      <w:marLeft w:val="0"/>
                      <w:marRight w:val="0"/>
                      <w:marTop w:val="0"/>
                      <w:marBottom w:val="0"/>
                      <w:divBdr>
                        <w:top w:val="none" w:sz="0" w:space="0" w:color="auto"/>
                        <w:left w:val="none" w:sz="0" w:space="0" w:color="auto"/>
                        <w:bottom w:val="none" w:sz="0" w:space="0" w:color="auto"/>
                        <w:right w:val="none" w:sz="0" w:space="0" w:color="auto"/>
                      </w:divBdr>
                      <w:divsChild>
                        <w:div w:id="294146977">
                          <w:marLeft w:val="0"/>
                          <w:marRight w:val="0"/>
                          <w:marTop w:val="0"/>
                          <w:marBottom w:val="0"/>
                          <w:divBdr>
                            <w:top w:val="none" w:sz="0" w:space="0" w:color="auto"/>
                            <w:left w:val="none" w:sz="0" w:space="0" w:color="auto"/>
                            <w:bottom w:val="none" w:sz="0" w:space="0" w:color="auto"/>
                            <w:right w:val="none" w:sz="0" w:space="0" w:color="auto"/>
                          </w:divBdr>
                        </w:div>
                      </w:divsChild>
                    </w:div>
                    <w:div w:id="294155571">
                      <w:marLeft w:val="0"/>
                      <w:marRight w:val="0"/>
                      <w:marTop w:val="0"/>
                      <w:marBottom w:val="0"/>
                      <w:divBdr>
                        <w:top w:val="none" w:sz="0" w:space="0" w:color="auto"/>
                        <w:left w:val="none" w:sz="0" w:space="0" w:color="auto"/>
                        <w:bottom w:val="none" w:sz="0" w:space="0" w:color="auto"/>
                        <w:right w:val="none" w:sz="0" w:space="0" w:color="auto"/>
                      </w:divBdr>
                    </w:div>
                    <w:div w:id="294155578">
                      <w:marLeft w:val="0"/>
                      <w:marRight w:val="0"/>
                      <w:marTop w:val="0"/>
                      <w:marBottom w:val="0"/>
                      <w:divBdr>
                        <w:top w:val="none" w:sz="0" w:space="0" w:color="auto"/>
                        <w:left w:val="none" w:sz="0" w:space="0" w:color="auto"/>
                        <w:bottom w:val="none" w:sz="0" w:space="0" w:color="auto"/>
                        <w:right w:val="none" w:sz="0" w:space="0" w:color="auto"/>
                      </w:divBdr>
                    </w:div>
                    <w:div w:id="294155602">
                      <w:marLeft w:val="0"/>
                      <w:marRight w:val="0"/>
                      <w:marTop w:val="0"/>
                      <w:marBottom w:val="0"/>
                      <w:divBdr>
                        <w:top w:val="none" w:sz="0" w:space="0" w:color="auto"/>
                        <w:left w:val="none" w:sz="0" w:space="0" w:color="auto"/>
                        <w:bottom w:val="none" w:sz="0" w:space="0" w:color="auto"/>
                        <w:right w:val="none" w:sz="0" w:space="0" w:color="auto"/>
                      </w:divBdr>
                    </w:div>
                    <w:div w:id="294155661">
                      <w:marLeft w:val="0"/>
                      <w:marRight w:val="0"/>
                      <w:marTop w:val="0"/>
                      <w:marBottom w:val="0"/>
                      <w:divBdr>
                        <w:top w:val="none" w:sz="0" w:space="0" w:color="auto"/>
                        <w:left w:val="none" w:sz="0" w:space="0" w:color="auto"/>
                        <w:bottom w:val="none" w:sz="0" w:space="0" w:color="auto"/>
                        <w:right w:val="none" w:sz="0" w:space="0" w:color="auto"/>
                      </w:divBdr>
                    </w:div>
                    <w:div w:id="294155682">
                      <w:marLeft w:val="0"/>
                      <w:marRight w:val="0"/>
                      <w:marTop w:val="0"/>
                      <w:marBottom w:val="0"/>
                      <w:divBdr>
                        <w:top w:val="none" w:sz="0" w:space="0" w:color="auto"/>
                        <w:left w:val="none" w:sz="0" w:space="0" w:color="auto"/>
                        <w:bottom w:val="none" w:sz="0" w:space="0" w:color="auto"/>
                        <w:right w:val="none" w:sz="0" w:space="0" w:color="auto"/>
                      </w:divBdr>
                      <w:divsChild>
                        <w:div w:id="294155101">
                          <w:marLeft w:val="0"/>
                          <w:marRight w:val="0"/>
                          <w:marTop w:val="0"/>
                          <w:marBottom w:val="0"/>
                          <w:divBdr>
                            <w:top w:val="none" w:sz="0" w:space="0" w:color="auto"/>
                            <w:left w:val="none" w:sz="0" w:space="0" w:color="auto"/>
                            <w:bottom w:val="none" w:sz="0" w:space="0" w:color="auto"/>
                            <w:right w:val="none" w:sz="0" w:space="0" w:color="auto"/>
                          </w:divBdr>
                        </w:div>
                      </w:divsChild>
                    </w:div>
                    <w:div w:id="294155835">
                      <w:marLeft w:val="0"/>
                      <w:marRight w:val="0"/>
                      <w:marTop w:val="0"/>
                      <w:marBottom w:val="0"/>
                      <w:divBdr>
                        <w:top w:val="none" w:sz="0" w:space="0" w:color="auto"/>
                        <w:left w:val="none" w:sz="0" w:space="0" w:color="auto"/>
                        <w:bottom w:val="none" w:sz="0" w:space="0" w:color="auto"/>
                        <w:right w:val="none" w:sz="0" w:space="0" w:color="auto"/>
                      </w:divBdr>
                      <w:divsChild>
                        <w:div w:id="294152815">
                          <w:marLeft w:val="0"/>
                          <w:marRight w:val="0"/>
                          <w:marTop w:val="0"/>
                          <w:marBottom w:val="0"/>
                          <w:divBdr>
                            <w:top w:val="none" w:sz="0" w:space="0" w:color="auto"/>
                            <w:left w:val="none" w:sz="0" w:space="0" w:color="auto"/>
                            <w:bottom w:val="none" w:sz="0" w:space="0" w:color="auto"/>
                            <w:right w:val="none" w:sz="0" w:space="0" w:color="auto"/>
                          </w:divBdr>
                        </w:div>
                      </w:divsChild>
                    </w:div>
                    <w:div w:id="294155856">
                      <w:marLeft w:val="0"/>
                      <w:marRight w:val="0"/>
                      <w:marTop w:val="0"/>
                      <w:marBottom w:val="0"/>
                      <w:divBdr>
                        <w:top w:val="none" w:sz="0" w:space="0" w:color="auto"/>
                        <w:left w:val="none" w:sz="0" w:space="0" w:color="auto"/>
                        <w:bottom w:val="none" w:sz="0" w:space="0" w:color="auto"/>
                        <w:right w:val="none" w:sz="0" w:space="0" w:color="auto"/>
                      </w:divBdr>
                    </w:div>
                    <w:div w:id="294155899">
                      <w:marLeft w:val="0"/>
                      <w:marRight w:val="0"/>
                      <w:marTop w:val="0"/>
                      <w:marBottom w:val="0"/>
                      <w:divBdr>
                        <w:top w:val="none" w:sz="0" w:space="0" w:color="auto"/>
                        <w:left w:val="none" w:sz="0" w:space="0" w:color="auto"/>
                        <w:bottom w:val="none" w:sz="0" w:space="0" w:color="auto"/>
                        <w:right w:val="none" w:sz="0" w:space="0" w:color="auto"/>
                      </w:divBdr>
                    </w:div>
                    <w:div w:id="294155906">
                      <w:marLeft w:val="0"/>
                      <w:marRight w:val="0"/>
                      <w:marTop w:val="0"/>
                      <w:marBottom w:val="0"/>
                      <w:divBdr>
                        <w:top w:val="none" w:sz="0" w:space="0" w:color="auto"/>
                        <w:left w:val="none" w:sz="0" w:space="0" w:color="auto"/>
                        <w:bottom w:val="none" w:sz="0" w:space="0" w:color="auto"/>
                        <w:right w:val="none" w:sz="0" w:space="0" w:color="auto"/>
                      </w:divBdr>
                    </w:div>
                    <w:div w:id="294156028">
                      <w:marLeft w:val="0"/>
                      <w:marRight w:val="0"/>
                      <w:marTop w:val="0"/>
                      <w:marBottom w:val="0"/>
                      <w:divBdr>
                        <w:top w:val="none" w:sz="0" w:space="0" w:color="auto"/>
                        <w:left w:val="none" w:sz="0" w:space="0" w:color="auto"/>
                        <w:bottom w:val="none" w:sz="0" w:space="0" w:color="auto"/>
                        <w:right w:val="none" w:sz="0" w:space="0" w:color="auto"/>
                      </w:divBdr>
                      <w:divsChild>
                        <w:div w:id="294143261">
                          <w:marLeft w:val="0"/>
                          <w:marRight w:val="0"/>
                          <w:marTop w:val="0"/>
                          <w:marBottom w:val="0"/>
                          <w:divBdr>
                            <w:top w:val="none" w:sz="0" w:space="0" w:color="auto"/>
                            <w:left w:val="none" w:sz="0" w:space="0" w:color="auto"/>
                            <w:bottom w:val="none" w:sz="0" w:space="0" w:color="auto"/>
                            <w:right w:val="none" w:sz="0" w:space="0" w:color="auto"/>
                          </w:divBdr>
                        </w:div>
                      </w:divsChild>
                    </w:div>
                    <w:div w:id="294156114">
                      <w:marLeft w:val="0"/>
                      <w:marRight w:val="0"/>
                      <w:marTop w:val="0"/>
                      <w:marBottom w:val="0"/>
                      <w:divBdr>
                        <w:top w:val="none" w:sz="0" w:space="0" w:color="auto"/>
                        <w:left w:val="none" w:sz="0" w:space="0" w:color="auto"/>
                        <w:bottom w:val="none" w:sz="0" w:space="0" w:color="auto"/>
                        <w:right w:val="none" w:sz="0" w:space="0" w:color="auto"/>
                      </w:divBdr>
                    </w:div>
                    <w:div w:id="294156140">
                      <w:marLeft w:val="0"/>
                      <w:marRight w:val="0"/>
                      <w:marTop w:val="0"/>
                      <w:marBottom w:val="0"/>
                      <w:divBdr>
                        <w:top w:val="none" w:sz="0" w:space="0" w:color="auto"/>
                        <w:left w:val="none" w:sz="0" w:space="0" w:color="auto"/>
                        <w:bottom w:val="none" w:sz="0" w:space="0" w:color="auto"/>
                        <w:right w:val="none" w:sz="0" w:space="0" w:color="auto"/>
                      </w:divBdr>
                    </w:div>
                    <w:div w:id="294156224">
                      <w:marLeft w:val="0"/>
                      <w:marRight w:val="0"/>
                      <w:marTop w:val="0"/>
                      <w:marBottom w:val="0"/>
                      <w:divBdr>
                        <w:top w:val="none" w:sz="0" w:space="0" w:color="auto"/>
                        <w:left w:val="none" w:sz="0" w:space="0" w:color="auto"/>
                        <w:bottom w:val="none" w:sz="0" w:space="0" w:color="auto"/>
                        <w:right w:val="none" w:sz="0" w:space="0" w:color="auto"/>
                      </w:divBdr>
                      <w:divsChild>
                        <w:div w:id="294154358">
                          <w:marLeft w:val="0"/>
                          <w:marRight w:val="0"/>
                          <w:marTop w:val="0"/>
                          <w:marBottom w:val="0"/>
                          <w:divBdr>
                            <w:top w:val="none" w:sz="0" w:space="0" w:color="auto"/>
                            <w:left w:val="none" w:sz="0" w:space="0" w:color="auto"/>
                            <w:bottom w:val="none" w:sz="0" w:space="0" w:color="auto"/>
                            <w:right w:val="none" w:sz="0" w:space="0" w:color="auto"/>
                          </w:divBdr>
                        </w:div>
                      </w:divsChild>
                    </w:div>
                    <w:div w:id="294156249">
                      <w:marLeft w:val="0"/>
                      <w:marRight w:val="0"/>
                      <w:marTop w:val="0"/>
                      <w:marBottom w:val="0"/>
                      <w:divBdr>
                        <w:top w:val="none" w:sz="0" w:space="0" w:color="auto"/>
                        <w:left w:val="none" w:sz="0" w:space="0" w:color="auto"/>
                        <w:bottom w:val="none" w:sz="0" w:space="0" w:color="auto"/>
                        <w:right w:val="none" w:sz="0" w:space="0" w:color="auto"/>
                      </w:divBdr>
                    </w:div>
                    <w:div w:id="294156315">
                      <w:marLeft w:val="0"/>
                      <w:marRight w:val="0"/>
                      <w:marTop w:val="0"/>
                      <w:marBottom w:val="0"/>
                      <w:divBdr>
                        <w:top w:val="none" w:sz="0" w:space="0" w:color="auto"/>
                        <w:left w:val="none" w:sz="0" w:space="0" w:color="auto"/>
                        <w:bottom w:val="none" w:sz="0" w:space="0" w:color="auto"/>
                        <w:right w:val="none" w:sz="0" w:space="0" w:color="auto"/>
                      </w:divBdr>
                      <w:divsChild>
                        <w:div w:id="294140030">
                          <w:marLeft w:val="0"/>
                          <w:marRight w:val="0"/>
                          <w:marTop w:val="0"/>
                          <w:marBottom w:val="0"/>
                          <w:divBdr>
                            <w:top w:val="none" w:sz="0" w:space="0" w:color="auto"/>
                            <w:left w:val="none" w:sz="0" w:space="0" w:color="auto"/>
                            <w:bottom w:val="none" w:sz="0" w:space="0" w:color="auto"/>
                            <w:right w:val="none" w:sz="0" w:space="0" w:color="auto"/>
                          </w:divBdr>
                        </w:div>
                      </w:divsChild>
                    </w:div>
                    <w:div w:id="294156345">
                      <w:marLeft w:val="0"/>
                      <w:marRight w:val="0"/>
                      <w:marTop w:val="0"/>
                      <w:marBottom w:val="0"/>
                      <w:divBdr>
                        <w:top w:val="none" w:sz="0" w:space="0" w:color="auto"/>
                        <w:left w:val="none" w:sz="0" w:space="0" w:color="auto"/>
                        <w:bottom w:val="none" w:sz="0" w:space="0" w:color="auto"/>
                        <w:right w:val="none" w:sz="0" w:space="0" w:color="auto"/>
                      </w:divBdr>
                      <w:divsChild>
                        <w:div w:id="294140314">
                          <w:marLeft w:val="0"/>
                          <w:marRight w:val="0"/>
                          <w:marTop w:val="0"/>
                          <w:marBottom w:val="0"/>
                          <w:divBdr>
                            <w:top w:val="none" w:sz="0" w:space="0" w:color="auto"/>
                            <w:left w:val="none" w:sz="0" w:space="0" w:color="auto"/>
                            <w:bottom w:val="none" w:sz="0" w:space="0" w:color="auto"/>
                            <w:right w:val="none" w:sz="0" w:space="0" w:color="auto"/>
                          </w:divBdr>
                        </w:div>
                      </w:divsChild>
                    </w:div>
                    <w:div w:id="294156392">
                      <w:marLeft w:val="0"/>
                      <w:marRight w:val="0"/>
                      <w:marTop w:val="0"/>
                      <w:marBottom w:val="0"/>
                      <w:divBdr>
                        <w:top w:val="none" w:sz="0" w:space="0" w:color="auto"/>
                        <w:left w:val="none" w:sz="0" w:space="0" w:color="auto"/>
                        <w:bottom w:val="none" w:sz="0" w:space="0" w:color="auto"/>
                        <w:right w:val="none" w:sz="0" w:space="0" w:color="auto"/>
                      </w:divBdr>
                    </w:div>
                    <w:div w:id="294156400">
                      <w:marLeft w:val="0"/>
                      <w:marRight w:val="0"/>
                      <w:marTop w:val="0"/>
                      <w:marBottom w:val="0"/>
                      <w:divBdr>
                        <w:top w:val="none" w:sz="0" w:space="0" w:color="auto"/>
                        <w:left w:val="none" w:sz="0" w:space="0" w:color="auto"/>
                        <w:bottom w:val="none" w:sz="0" w:space="0" w:color="auto"/>
                        <w:right w:val="none" w:sz="0" w:space="0" w:color="auto"/>
                      </w:divBdr>
                      <w:divsChild>
                        <w:div w:id="294153034">
                          <w:marLeft w:val="0"/>
                          <w:marRight w:val="0"/>
                          <w:marTop w:val="0"/>
                          <w:marBottom w:val="0"/>
                          <w:divBdr>
                            <w:top w:val="none" w:sz="0" w:space="0" w:color="auto"/>
                            <w:left w:val="none" w:sz="0" w:space="0" w:color="auto"/>
                            <w:bottom w:val="none" w:sz="0" w:space="0" w:color="auto"/>
                            <w:right w:val="none" w:sz="0" w:space="0" w:color="auto"/>
                          </w:divBdr>
                        </w:div>
                      </w:divsChild>
                    </w:div>
                    <w:div w:id="294156406">
                      <w:marLeft w:val="0"/>
                      <w:marRight w:val="0"/>
                      <w:marTop w:val="0"/>
                      <w:marBottom w:val="0"/>
                      <w:divBdr>
                        <w:top w:val="none" w:sz="0" w:space="0" w:color="auto"/>
                        <w:left w:val="none" w:sz="0" w:space="0" w:color="auto"/>
                        <w:bottom w:val="none" w:sz="0" w:space="0" w:color="auto"/>
                        <w:right w:val="none" w:sz="0" w:space="0" w:color="auto"/>
                      </w:divBdr>
                      <w:divsChild>
                        <w:div w:id="294156318">
                          <w:marLeft w:val="0"/>
                          <w:marRight w:val="0"/>
                          <w:marTop w:val="0"/>
                          <w:marBottom w:val="0"/>
                          <w:divBdr>
                            <w:top w:val="none" w:sz="0" w:space="0" w:color="auto"/>
                            <w:left w:val="none" w:sz="0" w:space="0" w:color="auto"/>
                            <w:bottom w:val="none" w:sz="0" w:space="0" w:color="auto"/>
                            <w:right w:val="none" w:sz="0" w:space="0" w:color="auto"/>
                          </w:divBdr>
                        </w:div>
                      </w:divsChild>
                    </w:div>
                    <w:div w:id="294156459">
                      <w:marLeft w:val="0"/>
                      <w:marRight w:val="0"/>
                      <w:marTop w:val="0"/>
                      <w:marBottom w:val="0"/>
                      <w:divBdr>
                        <w:top w:val="none" w:sz="0" w:space="0" w:color="auto"/>
                        <w:left w:val="none" w:sz="0" w:space="0" w:color="auto"/>
                        <w:bottom w:val="none" w:sz="0" w:space="0" w:color="auto"/>
                        <w:right w:val="none" w:sz="0" w:space="0" w:color="auto"/>
                      </w:divBdr>
                      <w:divsChild>
                        <w:div w:id="294139881">
                          <w:marLeft w:val="0"/>
                          <w:marRight w:val="0"/>
                          <w:marTop w:val="0"/>
                          <w:marBottom w:val="0"/>
                          <w:divBdr>
                            <w:top w:val="none" w:sz="0" w:space="0" w:color="auto"/>
                            <w:left w:val="none" w:sz="0" w:space="0" w:color="auto"/>
                            <w:bottom w:val="none" w:sz="0" w:space="0" w:color="auto"/>
                            <w:right w:val="none" w:sz="0" w:space="0" w:color="auto"/>
                          </w:divBdr>
                        </w:div>
                      </w:divsChild>
                    </w:div>
                    <w:div w:id="294156493">
                      <w:marLeft w:val="0"/>
                      <w:marRight w:val="0"/>
                      <w:marTop w:val="0"/>
                      <w:marBottom w:val="0"/>
                      <w:divBdr>
                        <w:top w:val="none" w:sz="0" w:space="0" w:color="auto"/>
                        <w:left w:val="none" w:sz="0" w:space="0" w:color="auto"/>
                        <w:bottom w:val="none" w:sz="0" w:space="0" w:color="auto"/>
                        <w:right w:val="none" w:sz="0" w:space="0" w:color="auto"/>
                      </w:divBdr>
                    </w:div>
                    <w:div w:id="294156572">
                      <w:marLeft w:val="0"/>
                      <w:marRight w:val="0"/>
                      <w:marTop w:val="0"/>
                      <w:marBottom w:val="0"/>
                      <w:divBdr>
                        <w:top w:val="none" w:sz="0" w:space="0" w:color="auto"/>
                        <w:left w:val="none" w:sz="0" w:space="0" w:color="auto"/>
                        <w:bottom w:val="none" w:sz="0" w:space="0" w:color="auto"/>
                        <w:right w:val="none" w:sz="0" w:space="0" w:color="auto"/>
                      </w:divBdr>
                    </w:div>
                    <w:div w:id="294156600">
                      <w:marLeft w:val="0"/>
                      <w:marRight w:val="0"/>
                      <w:marTop w:val="0"/>
                      <w:marBottom w:val="0"/>
                      <w:divBdr>
                        <w:top w:val="none" w:sz="0" w:space="0" w:color="auto"/>
                        <w:left w:val="none" w:sz="0" w:space="0" w:color="auto"/>
                        <w:bottom w:val="none" w:sz="0" w:space="0" w:color="auto"/>
                        <w:right w:val="none" w:sz="0" w:space="0" w:color="auto"/>
                      </w:divBdr>
                      <w:divsChild>
                        <w:div w:id="294153836">
                          <w:marLeft w:val="0"/>
                          <w:marRight w:val="0"/>
                          <w:marTop w:val="0"/>
                          <w:marBottom w:val="0"/>
                          <w:divBdr>
                            <w:top w:val="none" w:sz="0" w:space="0" w:color="auto"/>
                            <w:left w:val="none" w:sz="0" w:space="0" w:color="auto"/>
                            <w:bottom w:val="none" w:sz="0" w:space="0" w:color="auto"/>
                            <w:right w:val="none" w:sz="0" w:space="0" w:color="auto"/>
                          </w:divBdr>
                        </w:div>
                      </w:divsChild>
                    </w:div>
                    <w:div w:id="294156656">
                      <w:marLeft w:val="0"/>
                      <w:marRight w:val="0"/>
                      <w:marTop w:val="0"/>
                      <w:marBottom w:val="0"/>
                      <w:divBdr>
                        <w:top w:val="none" w:sz="0" w:space="0" w:color="auto"/>
                        <w:left w:val="none" w:sz="0" w:space="0" w:color="auto"/>
                        <w:bottom w:val="none" w:sz="0" w:space="0" w:color="auto"/>
                        <w:right w:val="none" w:sz="0" w:space="0" w:color="auto"/>
                      </w:divBdr>
                    </w:div>
                    <w:div w:id="294156881">
                      <w:marLeft w:val="0"/>
                      <w:marRight w:val="0"/>
                      <w:marTop w:val="0"/>
                      <w:marBottom w:val="0"/>
                      <w:divBdr>
                        <w:top w:val="none" w:sz="0" w:space="0" w:color="auto"/>
                        <w:left w:val="none" w:sz="0" w:space="0" w:color="auto"/>
                        <w:bottom w:val="none" w:sz="0" w:space="0" w:color="auto"/>
                        <w:right w:val="none" w:sz="0" w:space="0" w:color="auto"/>
                      </w:divBdr>
                      <w:divsChild>
                        <w:div w:id="294146945">
                          <w:marLeft w:val="0"/>
                          <w:marRight w:val="0"/>
                          <w:marTop w:val="0"/>
                          <w:marBottom w:val="0"/>
                          <w:divBdr>
                            <w:top w:val="none" w:sz="0" w:space="0" w:color="auto"/>
                            <w:left w:val="none" w:sz="0" w:space="0" w:color="auto"/>
                            <w:bottom w:val="none" w:sz="0" w:space="0" w:color="auto"/>
                            <w:right w:val="none" w:sz="0" w:space="0" w:color="auto"/>
                          </w:divBdr>
                        </w:div>
                      </w:divsChild>
                    </w:div>
                    <w:div w:id="294157007">
                      <w:marLeft w:val="0"/>
                      <w:marRight w:val="0"/>
                      <w:marTop w:val="0"/>
                      <w:marBottom w:val="0"/>
                      <w:divBdr>
                        <w:top w:val="none" w:sz="0" w:space="0" w:color="auto"/>
                        <w:left w:val="none" w:sz="0" w:space="0" w:color="auto"/>
                        <w:bottom w:val="none" w:sz="0" w:space="0" w:color="auto"/>
                        <w:right w:val="none" w:sz="0" w:space="0" w:color="auto"/>
                      </w:divBdr>
                      <w:divsChild>
                        <w:div w:id="294139531">
                          <w:marLeft w:val="0"/>
                          <w:marRight w:val="0"/>
                          <w:marTop w:val="0"/>
                          <w:marBottom w:val="0"/>
                          <w:divBdr>
                            <w:top w:val="none" w:sz="0" w:space="0" w:color="auto"/>
                            <w:left w:val="none" w:sz="0" w:space="0" w:color="auto"/>
                            <w:bottom w:val="none" w:sz="0" w:space="0" w:color="auto"/>
                            <w:right w:val="none" w:sz="0" w:space="0" w:color="auto"/>
                          </w:divBdr>
                        </w:div>
                      </w:divsChild>
                    </w:div>
                    <w:div w:id="294157042">
                      <w:marLeft w:val="0"/>
                      <w:marRight w:val="0"/>
                      <w:marTop w:val="0"/>
                      <w:marBottom w:val="0"/>
                      <w:divBdr>
                        <w:top w:val="none" w:sz="0" w:space="0" w:color="auto"/>
                        <w:left w:val="none" w:sz="0" w:space="0" w:color="auto"/>
                        <w:bottom w:val="none" w:sz="0" w:space="0" w:color="auto"/>
                        <w:right w:val="none" w:sz="0" w:space="0" w:color="auto"/>
                      </w:divBdr>
                    </w:div>
                    <w:div w:id="294157086">
                      <w:marLeft w:val="0"/>
                      <w:marRight w:val="0"/>
                      <w:marTop w:val="0"/>
                      <w:marBottom w:val="0"/>
                      <w:divBdr>
                        <w:top w:val="none" w:sz="0" w:space="0" w:color="auto"/>
                        <w:left w:val="none" w:sz="0" w:space="0" w:color="auto"/>
                        <w:bottom w:val="none" w:sz="0" w:space="0" w:color="auto"/>
                        <w:right w:val="none" w:sz="0" w:space="0" w:color="auto"/>
                      </w:divBdr>
                      <w:divsChild>
                        <w:div w:id="294146888">
                          <w:marLeft w:val="0"/>
                          <w:marRight w:val="0"/>
                          <w:marTop w:val="0"/>
                          <w:marBottom w:val="0"/>
                          <w:divBdr>
                            <w:top w:val="none" w:sz="0" w:space="0" w:color="auto"/>
                            <w:left w:val="none" w:sz="0" w:space="0" w:color="auto"/>
                            <w:bottom w:val="none" w:sz="0" w:space="0" w:color="auto"/>
                            <w:right w:val="none" w:sz="0" w:space="0" w:color="auto"/>
                          </w:divBdr>
                        </w:div>
                      </w:divsChild>
                    </w:div>
                    <w:div w:id="294157090">
                      <w:marLeft w:val="0"/>
                      <w:marRight w:val="0"/>
                      <w:marTop w:val="0"/>
                      <w:marBottom w:val="0"/>
                      <w:divBdr>
                        <w:top w:val="none" w:sz="0" w:space="0" w:color="auto"/>
                        <w:left w:val="none" w:sz="0" w:space="0" w:color="auto"/>
                        <w:bottom w:val="none" w:sz="0" w:space="0" w:color="auto"/>
                        <w:right w:val="none" w:sz="0" w:space="0" w:color="auto"/>
                      </w:divBdr>
                    </w:div>
                    <w:div w:id="294157235">
                      <w:marLeft w:val="0"/>
                      <w:marRight w:val="0"/>
                      <w:marTop w:val="0"/>
                      <w:marBottom w:val="0"/>
                      <w:divBdr>
                        <w:top w:val="none" w:sz="0" w:space="0" w:color="auto"/>
                        <w:left w:val="none" w:sz="0" w:space="0" w:color="auto"/>
                        <w:bottom w:val="none" w:sz="0" w:space="0" w:color="auto"/>
                        <w:right w:val="none" w:sz="0" w:space="0" w:color="auto"/>
                      </w:divBdr>
                    </w:div>
                    <w:div w:id="294157250">
                      <w:marLeft w:val="0"/>
                      <w:marRight w:val="0"/>
                      <w:marTop w:val="0"/>
                      <w:marBottom w:val="0"/>
                      <w:divBdr>
                        <w:top w:val="none" w:sz="0" w:space="0" w:color="auto"/>
                        <w:left w:val="none" w:sz="0" w:space="0" w:color="auto"/>
                        <w:bottom w:val="none" w:sz="0" w:space="0" w:color="auto"/>
                        <w:right w:val="none" w:sz="0" w:space="0" w:color="auto"/>
                      </w:divBdr>
                      <w:divsChild>
                        <w:div w:id="294143728">
                          <w:marLeft w:val="0"/>
                          <w:marRight w:val="0"/>
                          <w:marTop w:val="0"/>
                          <w:marBottom w:val="0"/>
                          <w:divBdr>
                            <w:top w:val="none" w:sz="0" w:space="0" w:color="auto"/>
                            <w:left w:val="none" w:sz="0" w:space="0" w:color="auto"/>
                            <w:bottom w:val="none" w:sz="0" w:space="0" w:color="auto"/>
                            <w:right w:val="none" w:sz="0" w:space="0" w:color="auto"/>
                          </w:divBdr>
                        </w:div>
                      </w:divsChild>
                    </w:div>
                    <w:div w:id="294157263">
                      <w:marLeft w:val="0"/>
                      <w:marRight w:val="0"/>
                      <w:marTop w:val="0"/>
                      <w:marBottom w:val="0"/>
                      <w:divBdr>
                        <w:top w:val="none" w:sz="0" w:space="0" w:color="auto"/>
                        <w:left w:val="none" w:sz="0" w:space="0" w:color="auto"/>
                        <w:bottom w:val="none" w:sz="0" w:space="0" w:color="auto"/>
                        <w:right w:val="none" w:sz="0" w:space="0" w:color="auto"/>
                      </w:divBdr>
                    </w:div>
                    <w:div w:id="294157461">
                      <w:marLeft w:val="0"/>
                      <w:marRight w:val="0"/>
                      <w:marTop w:val="0"/>
                      <w:marBottom w:val="0"/>
                      <w:divBdr>
                        <w:top w:val="none" w:sz="0" w:space="0" w:color="auto"/>
                        <w:left w:val="none" w:sz="0" w:space="0" w:color="auto"/>
                        <w:bottom w:val="none" w:sz="0" w:space="0" w:color="auto"/>
                        <w:right w:val="none" w:sz="0" w:space="0" w:color="auto"/>
                      </w:divBdr>
                      <w:divsChild>
                        <w:div w:id="2941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45416">
          <w:marLeft w:val="0"/>
          <w:marRight w:val="0"/>
          <w:marTop w:val="0"/>
          <w:marBottom w:val="0"/>
          <w:divBdr>
            <w:top w:val="none" w:sz="0" w:space="0" w:color="auto"/>
            <w:left w:val="none" w:sz="0" w:space="0" w:color="auto"/>
            <w:bottom w:val="none" w:sz="0" w:space="0" w:color="auto"/>
            <w:right w:val="none" w:sz="0" w:space="0" w:color="auto"/>
          </w:divBdr>
          <w:divsChild>
            <w:div w:id="294152532">
              <w:marLeft w:val="0"/>
              <w:marRight w:val="0"/>
              <w:marTop w:val="0"/>
              <w:marBottom w:val="0"/>
              <w:divBdr>
                <w:top w:val="none" w:sz="0" w:space="0" w:color="auto"/>
                <w:left w:val="none" w:sz="0" w:space="0" w:color="auto"/>
                <w:bottom w:val="none" w:sz="0" w:space="0" w:color="auto"/>
                <w:right w:val="none" w:sz="0" w:space="0" w:color="auto"/>
              </w:divBdr>
              <w:divsChild>
                <w:div w:id="29415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3497">
          <w:marLeft w:val="0"/>
          <w:marRight w:val="0"/>
          <w:marTop w:val="0"/>
          <w:marBottom w:val="0"/>
          <w:divBdr>
            <w:top w:val="none" w:sz="0" w:space="0" w:color="auto"/>
            <w:left w:val="none" w:sz="0" w:space="0" w:color="auto"/>
            <w:bottom w:val="none" w:sz="0" w:space="0" w:color="auto"/>
            <w:right w:val="none" w:sz="0" w:space="0" w:color="auto"/>
          </w:divBdr>
          <w:divsChild>
            <w:div w:id="294152395">
              <w:marLeft w:val="0"/>
              <w:marRight w:val="0"/>
              <w:marTop w:val="0"/>
              <w:marBottom w:val="0"/>
              <w:divBdr>
                <w:top w:val="none" w:sz="0" w:space="0" w:color="auto"/>
                <w:left w:val="none" w:sz="0" w:space="0" w:color="auto"/>
                <w:bottom w:val="none" w:sz="0" w:space="0" w:color="auto"/>
                <w:right w:val="none" w:sz="0" w:space="0" w:color="auto"/>
              </w:divBdr>
              <w:divsChild>
                <w:div w:id="294138114">
                  <w:marLeft w:val="0"/>
                  <w:marRight w:val="0"/>
                  <w:marTop w:val="0"/>
                  <w:marBottom w:val="0"/>
                  <w:divBdr>
                    <w:top w:val="none" w:sz="0" w:space="0" w:color="auto"/>
                    <w:left w:val="none" w:sz="0" w:space="0" w:color="auto"/>
                    <w:bottom w:val="none" w:sz="0" w:space="0" w:color="auto"/>
                    <w:right w:val="none" w:sz="0" w:space="0" w:color="auto"/>
                  </w:divBdr>
                </w:div>
                <w:div w:id="294138344">
                  <w:marLeft w:val="0"/>
                  <w:marRight w:val="0"/>
                  <w:marTop w:val="0"/>
                  <w:marBottom w:val="0"/>
                  <w:divBdr>
                    <w:top w:val="none" w:sz="0" w:space="0" w:color="auto"/>
                    <w:left w:val="none" w:sz="0" w:space="0" w:color="auto"/>
                    <w:bottom w:val="none" w:sz="0" w:space="0" w:color="auto"/>
                    <w:right w:val="none" w:sz="0" w:space="0" w:color="auto"/>
                  </w:divBdr>
                </w:div>
                <w:div w:id="294138641">
                  <w:marLeft w:val="0"/>
                  <w:marRight w:val="0"/>
                  <w:marTop w:val="0"/>
                  <w:marBottom w:val="0"/>
                  <w:divBdr>
                    <w:top w:val="none" w:sz="0" w:space="0" w:color="auto"/>
                    <w:left w:val="none" w:sz="0" w:space="0" w:color="auto"/>
                    <w:bottom w:val="none" w:sz="0" w:space="0" w:color="auto"/>
                    <w:right w:val="none" w:sz="0" w:space="0" w:color="auto"/>
                  </w:divBdr>
                </w:div>
                <w:div w:id="294138658">
                  <w:marLeft w:val="0"/>
                  <w:marRight w:val="0"/>
                  <w:marTop w:val="0"/>
                  <w:marBottom w:val="0"/>
                  <w:divBdr>
                    <w:top w:val="none" w:sz="0" w:space="0" w:color="auto"/>
                    <w:left w:val="none" w:sz="0" w:space="0" w:color="auto"/>
                    <w:bottom w:val="none" w:sz="0" w:space="0" w:color="auto"/>
                    <w:right w:val="none" w:sz="0" w:space="0" w:color="auto"/>
                  </w:divBdr>
                </w:div>
                <w:div w:id="294138737">
                  <w:marLeft w:val="0"/>
                  <w:marRight w:val="0"/>
                  <w:marTop w:val="0"/>
                  <w:marBottom w:val="0"/>
                  <w:divBdr>
                    <w:top w:val="none" w:sz="0" w:space="0" w:color="auto"/>
                    <w:left w:val="none" w:sz="0" w:space="0" w:color="auto"/>
                    <w:bottom w:val="none" w:sz="0" w:space="0" w:color="auto"/>
                    <w:right w:val="none" w:sz="0" w:space="0" w:color="auto"/>
                  </w:divBdr>
                </w:div>
                <w:div w:id="294138999">
                  <w:marLeft w:val="0"/>
                  <w:marRight w:val="0"/>
                  <w:marTop w:val="0"/>
                  <w:marBottom w:val="0"/>
                  <w:divBdr>
                    <w:top w:val="none" w:sz="0" w:space="0" w:color="auto"/>
                    <w:left w:val="none" w:sz="0" w:space="0" w:color="auto"/>
                    <w:bottom w:val="none" w:sz="0" w:space="0" w:color="auto"/>
                    <w:right w:val="none" w:sz="0" w:space="0" w:color="auto"/>
                  </w:divBdr>
                </w:div>
                <w:div w:id="294139173">
                  <w:marLeft w:val="0"/>
                  <w:marRight w:val="0"/>
                  <w:marTop w:val="0"/>
                  <w:marBottom w:val="0"/>
                  <w:divBdr>
                    <w:top w:val="none" w:sz="0" w:space="0" w:color="auto"/>
                    <w:left w:val="none" w:sz="0" w:space="0" w:color="auto"/>
                    <w:bottom w:val="none" w:sz="0" w:space="0" w:color="auto"/>
                    <w:right w:val="none" w:sz="0" w:space="0" w:color="auto"/>
                  </w:divBdr>
                </w:div>
                <w:div w:id="294139533">
                  <w:marLeft w:val="0"/>
                  <w:marRight w:val="0"/>
                  <w:marTop w:val="0"/>
                  <w:marBottom w:val="0"/>
                  <w:divBdr>
                    <w:top w:val="none" w:sz="0" w:space="0" w:color="auto"/>
                    <w:left w:val="none" w:sz="0" w:space="0" w:color="auto"/>
                    <w:bottom w:val="none" w:sz="0" w:space="0" w:color="auto"/>
                    <w:right w:val="none" w:sz="0" w:space="0" w:color="auto"/>
                  </w:divBdr>
                </w:div>
                <w:div w:id="294139639">
                  <w:marLeft w:val="0"/>
                  <w:marRight w:val="0"/>
                  <w:marTop w:val="0"/>
                  <w:marBottom w:val="0"/>
                  <w:divBdr>
                    <w:top w:val="none" w:sz="0" w:space="0" w:color="auto"/>
                    <w:left w:val="none" w:sz="0" w:space="0" w:color="auto"/>
                    <w:bottom w:val="none" w:sz="0" w:space="0" w:color="auto"/>
                    <w:right w:val="none" w:sz="0" w:space="0" w:color="auto"/>
                  </w:divBdr>
                </w:div>
                <w:div w:id="294139661">
                  <w:marLeft w:val="0"/>
                  <w:marRight w:val="0"/>
                  <w:marTop w:val="0"/>
                  <w:marBottom w:val="0"/>
                  <w:divBdr>
                    <w:top w:val="none" w:sz="0" w:space="0" w:color="auto"/>
                    <w:left w:val="none" w:sz="0" w:space="0" w:color="auto"/>
                    <w:bottom w:val="none" w:sz="0" w:space="0" w:color="auto"/>
                    <w:right w:val="none" w:sz="0" w:space="0" w:color="auto"/>
                  </w:divBdr>
                </w:div>
                <w:div w:id="294139714">
                  <w:marLeft w:val="0"/>
                  <w:marRight w:val="0"/>
                  <w:marTop w:val="0"/>
                  <w:marBottom w:val="0"/>
                  <w:divBdr>
                    <w:top w:val="none" w:sz="0" w:space="0" w:color="auto"/>
                    <w:left w:val="none" w:sz="0" w:space="0" w:color="auto"/>
                    <w:bottom w:val="none" w:sz="0" w:space="0" w:color="auto"/>
                    <w:right w:val="none" w:sz="0" w:space="0" w:color="auto"/>
                  </w:divBdr>
                </w:div>
                <w:div w:id="294139836">
                  <w:marLeft w:val="0"/>
                  <w:marRight w:val="0"/>
                  <w:marTop w:val="0"/>
                  <w:marBottom w:val="0"/>
                  <w:divBdr>
                    <w:top w:val="none" w:sz="0" w:space="0" w:color="auto"/>
                    <w:left w:val="none" w:sz="0" w:space="0" w:color="auto"/>
                    <w:bottom w:val="none" w:sz="0" w:space="0" w:color="auto"/>
                    <w:right w:val="none" w:sz="0" w:space="0" w:color="auto"/>
                  </w:divBdr>
                </w:div>
                <w:div w:id="294139978">
                  <w:marLeft w:val="0"/>
                  <w:marRight w:val="0"/>
                  <w:marTop w:val="0"/>
                  <w:marBottom w:val="0"/>
                  <w:divBdr>
                    <w:top w:val="none" w:sz="0" w:space="0" w:color="auto"/>
                    <w:left w:val="none" w:sz="0" w:space="0" w:color="auto"/>
                    <w:bottom w:val="none" w:sz="0" w:space="0" w:color="auto"/>
                    <w:right w:val="none" w:sz="0" w:space="0" w:color="auto"/>
                  </w:divBdr>
                </w:div>
                <w:div w:id="294140020">
                  <w:marLeft w:val="0"/>
                  <w:marRight w:val="0"/>
                  <w:marTop w:val="0"/>
                  <w:marBottom w:val="0"/>
                  <w:divBdr>
                    <w:top w:val="none" w:sz="0" w:space="0" w:color="auto"/>
                    <w:left w:val="none" w:sz="0" w:space="0" w:color="auto"/>
                    <w:bottom w:val="none" w:sz="0" w:space="0" w:color="auto"/>
                    <w:right w:val="none" w:sz="0" w:space="0" w:color="auto"/>
                  </w:divBdr>
                </w:div>
                <w:div w:id="294140138">
                  <w:marLeft w:val="0"/>
                  <w:marRight w:val="0"/>
                  <w:marTop w:val="0"/>
                  <w:marBottom w:val="0"/>
                  <w:divBdr>
                    <w:top w:val="none" w:sz="0" w:space="0" w:color="auto"/>
                    <w:left w:val="none" w:sz="0" w:space="0" w:color="auto"/>
                    <w:bottom w:val="none" w:sz="0" w:space="0" w:color="auto"/>
                    <w:right w:val="none" w:sz="0" w:space="0" w:color="auto"/>
                  </w:divBdr>
                </w:div>
                <w:div w:id="294140139">
                  <w:marLeft w:val="0"/>
                  <w:marRight w:val="0"/>
                  <w:marTop w:val="0"/>
                  <w:marBottom w:val="0"/>
                  <w:divBdr>
                    <w:top w:val="none" w:sz="0" w:space="0" w:color="auto"/>
                    <w:left w:val="none" w:sz="0" w:space="0" w:color="auto"/>
                    <w:bottom w:val="none" w:sz="0" w:space="0" w:color="auto"/>
                    <w:right w:val="none" w:sz="0" w:space="0" w:color="auto"/>
                  </w:divBdr>
                </w:div>
                <w:div w:id="294140644">
                  <w:marLeft w:val="0"/>
                  <w:marRight w:val="0"/>
                  <w:marTop w:val="0"/>
                  <w:marBottom w:val="0"/>
                  <w:divBdr>
                    <w:top w:val="none" w:sz="0" w:space="0" w:color="auto"/>
                    <w:left w:val="none" w:sz="0" w:space="0" w:color="auto"/>
                    <w:bottom w:val="none" w:sz="0" w:space="0" w:color="auto"/>
                    <w:right w:val="none" w:sz="0" w:space="0" w:color="auto"/>
                  </w:divBdr>
                </w:div>
                <w:div w:id="294140734">
                  <w:marLeft w:val="0"/>
                  <w:marRight w:val="0"/>
                  <w:marTop w:val="0"/>
                  <w:marBottom w:val="0"/>
                  <w:divBdr>
                    <w:top w:val="none" w:sz="0" w:space="0" w:color="auto"/>
                    <w:left w:val="none" w:sz="0" w:space="0" w:color="auto"/>
                    <w:bottom w:val="none" w:sz="0" w:space="0" w:color="auto"/>
                    <w:right w:val="none" w:sz="0" w:space="0" w:color="auto"/>
                  </w:divBdr>
                </w:div>
                <w:div w:id="294140782">
                  <w:marLeft w:val="0"/>
                  <w:marRight w:val="0"/>
                  <w:marTop w:val="0"/>
                  <w:marBottom w:val="0"/>
                  <w:divBdr>
                    <w:top w:val="none" w:sz="0" w:space="0" w:color="auto"/>
                    <w:left w:val="none" w:sz="0" w:space="0" w:color="auto"/>
                    <w:bottom w:val="none" w:sz="0" w:space="0" w:color="auto"/>
                    <w:right w:val="none" w:sz="0" w:space="0" w:color="auto"/>
                  </w:divBdr>
                </w:div>
                <w:div w:id="294140934">
                  <w:marLeft w:val="0"/>
                  <w:marRight w:val="0"/>
                  <w:marTop w:val="0"/>
                  <w:marBottom w:val="0"/>
                  <w:divBdr>
                    <w:top w:val="none" w:sz="0" w:space="0" w:color="auto"/>
                    <w:left w:val="none" w:sz="0" w:space="0" w:color="auto"/>
                    <w:bottom w:val="none" w:sz="0" w:space="0" w:color="auto"/>
                    <w:right w:val="none" w:sz="0" w:space="0" w:color="auto"/>
                  </w:divBdr>
                </w:div>
                <w:div w:id="294140936">
                  <w:marLeft w:val="0"/>
                  <w:marRight w:val="0"/>
                  <w:marTop w:val="0"/>
                  <w:marBottom w:val="0"/>
                  <w:divBdr>
                    <w:top w:val="none" w:sz="0" w:space="0" w:color="auto"/>
                    <w:left w:val="none" w:sz="0" w:space="0" w:color="auto"/>
                    <w:bottom w:val="none" w:sz="0" w:space="0" w:color="auto"/>
                    <w:right w:val="none" w:sz="0" w:space="0" w:color="auto"/>
                  </w:divBdr>
                </w:div>
                <w:div w:id="294141460">
                  <w:marLeft w:val="0"/>
                  <w:marRight w:val="0"/>
                  <w:marTop w:val="0"/>
                  <w:marBottom w:val="0"/>
                  <w:divBdr>
                    <w:top w:val="none" w:sz="0" w:space="0" w:color="auto"/>
                    <w:left w:val="none" w:sz="0" w:space="0" w:color="auto"/>
                    <w:bottom w:val="none" w:sz="0" w:space="0" w:color="auto"/>
                    <w:right w:val="none" w:sz="0" w:space="0" w:color="auto"/>
                  </w:divBdr>
                </w:div>
                <w:div w:id="294141611">
                  <w:marLeft w:val="0"/>
                  <w:marRight w:val="0"/>
                  <w:marTop w:val="0"/>
                  <w:marBottom w:val="0"/>
                  <w:divBdr>
                    <w:top w:val="none" w:sz="0" w:space="0" w:color="auto"/>
                    <w:left w:val="none" w:sz="0" w:space="0" w:color="auto"/>
                    <w:bottom w:val="none" w:sz="0" w:space="0" w:color="auto"/>
                    <w:right w:val="none" w:sz="0" w:space="0" w:color="auto"/>
                  </w:divBdr>
                </w:div>
                <w:div w:id="294141741">
                  <w:marLeft w:val="0"/>
                  <w:marRight w:val="0"/>
                  <w:marTop w:val="0"/>
                  <w:marBottom w:val="0"/>
                  <w:divBdr>
                    <w:top w:val="none" w:sz="0" w:space="0" w:color="auto"/>
                    <w:left w:val="none" w:sz="0" w:space="0" w:color="auto"/>
                    <w:bottom w:val="none" w:sz="0" w:space="0" w:color="auto"/>
                    <w:right w:val="none" w:sz="0" w:space="0" w:color="auto"/>
                  </w:divBdr>
                </w:div>
                <w:div w:id="294142034">
                  <w:marLeft w:val="0"/>
                  <w:marRight w:val="0"/>
                  <w:marTop w:val="0"/>
                  <w:marBottom w:val="0"/>
                  <w:divBdr>
                    <w:top w:val="none" w:sz="0" w:space="0" w:color="auto"/>
                    <w:left w:val="none" w:sz="0" w:space="0" w:color="auto"/>
                    <w:bottom w:val="none" w:sz="0" w:space="0" w:color="auto"/>
                    <w:right w:val="none" w:sz="0" w:space="0" w:color="auto"/>
                  </w:divBdr>
                </w:div>
                <w:div w:id="294142225">
                  <w:marLeft w:val="0"/>
                  <w:marRight w:val="0"/>
                  <w:marTop w:val="0"/>
                  <w:marBottom w:val="0"/>
                  <w:divBdr>
                    <w:top w:val="none" w:sz="0" w:space="0" w:color="auto"/>
                    <w:left w:val="none" w:sz="0" w:space="0" w:color="auto"/>
                    <w:bottom w:val="none" w:sz="0" w:space="0" w:color="auto"/>
                    <w:right w:val="none" w:sz="0" w:space="0" w:color="auto"/>
                  </w:divBdr>
                </w:div>
                <w:div w:id="294142288">
                  <w:marLeft w:val="0"/>
                  <w:marRight w:val="0"/>
                  <w:marTop w:val="0"/>
                  <w:marBottom w:val="0"/>
                  <w:divBdr>
                    <w:top w:val="none" w:sz="0" w:space="0" w:color="auto"/>
                    <w:left w:val="none" w:sz="0" w:space="0" w:color="auto"/>
                    <w:bottom w:val="none" w:sz="0" w:space="0" w:color="auto"/>
                    <w:right w:val="none" w:sz="0" w:space="0" w:color="auto"/>
                  </w:divBdr>
                </w:div>
                <w:div w:id="294142328">
                  <w:marLeft w:val="0"/>
                  <w:marRight w:val="0"/>
                  <w:marTop w:val="0"/>
                  <w:marBottom w:val="0"/>
                  <w:divBdr>
                    <w:top w:val="none" w:sz="0" w:space="0" w:color="auto"/>
                    <w:left w:val="none" w:sz="0" w:space="0" w:color="auto"/>
                    <w:bottom w:val="none" w:sz="0" w:space="0" w:color="auto"/>
                    <w:right w:val="none" w:sz="0" w:space="0" w:color="auto"/>
                  </w:divBdr>
                </w:div>
                <w:div w:id="294142580">
                  <w:marLeft w:val="0"/>
                  <w:marRight w:val="0"/>
                  <w:marTop w:val="0"/>
                  <w:marBottom w:val="0"/>
                  <w:divBdr>
                    <w:top w:val="none" w:sz="0" w:space="0" w:color="auto"/>
                    <w:left w:val="none" w:sz="0" w:space="0" w:color="auto"/>
                    <w:bottom w:val="none" w:sz="0" w:space="0" w:color="auto"/>
                    <w:right w:val="none" w:sz="0" w:space="0" w:color="auto"/>
                  </w:divBdr>
                </w:div>
                <w:div w:id="294142600">
                  <w:marLeft w:val="0"/>
                  <w:marRight w:val="0"/>
                  <w:marTop w:val="0"/>
                  <w:marBottom w:val="0"/>
                  <w:divBdr>
                    <w:top w:val="none" w:sz="0" w:space="0" w:color="auto"/>
                    <w:left w:val="none" w:sz="0" w:space="0" w:color="auto"/>
                    <w:bottom w:val="none" w:sz="0" w:space="0" w:color="auto"/>
                    <w:right w:val="none" w:sz="0" w:space="0" w:color="auto"/>
                  </w:divBdr>
                </w:div>
                <w:div w:id="294142606">
                  <w:marLeft w:val="0"/>
                  <w:marRight w:val="0"/>
                  <w:marTop w:val="0"/>
                  <w:marBottom w:val="0"/>
                  <w:divBdr>
                    <w:top w:val="none" w:sz="0" w:space="0" w:color="auto"/>
                    <w:left w:val="none" w:sz="0" w:space="0" w:color="auto"/>
                    <w:bottom w:val="none" w:sz="0" w:space="0" w:color="auto"/>
                    <w:right w:val="none" w:sz="0" w:space="0" w:color="auto"/>
                  </w:divBdr>
                </w:div>
                <w:div w:id="294142701">
                  <w:marLeft w:val="0"/>
                  <w:marRight w:val="0"/>
                  <w:marTop w:val="0"/>
                  <w:marBottom w:val="0"/>
                  <w:divBdr>
                    <w:top w:val="none" w:sz="0" w:space="0" w:color="auto"/>
                    <w:left w:val="none" w:sz="0" w:space="0" w:color="auto"/>
                    <w:bottom w:val="none" w:sz="0" w:space="0" w:color="auto"/>
                    <w:right w:val="none" w:sz="0" w:space="0" w:color="auto"/>
                  </w:divBdr>
                </w:div>
                <w:div w:id="294142767">
                  <w:marLeft w:val="0"/>
                  <w:marRight w:val="0"/>
                  <w:marTop w:val="0"/>
                  <w:marBottom w:val="0"/>
                  <w:divBdr>
                    <w:top w:val="none" w:sz="0" w:space="0" w:color="auto"/>
                    <w:left w:val="none" w:sz="0" w:space="0" w:color="auto"/>
                    <w:bottom w:val="none" w:sz="0" w:space="0" w:color="auto"/>
                    <w:right w:val="none" w:sz="0" w:space="0" w:color="auto"/>
                  </w:divBdr>
                </w:div>
                <w:div w:id="294142974">
                  <w:marLeft w:val="0"/>
                  <w:marRight w:val="0"/>
                  <w:marTop w:val="0"/>
                  <w:marBottom w:val="0"/>
                  <w:divBdr>
                    <w:top w:val="none" w:sz="0" w:space="0" w:color="auto"/>
                    <w:left w:val="none" w:sz="0" w:space="0" w:color="auto"/>
                    <w:bottom w:val="none" w:sz="0" w:space="0" w:color="auto"/>
                    <w:right w:val="none" w:sz="0" w:space="0" w:color="auto"/>
                  </w:divBdr>
                </w:div>
                <w:div w:id="294143161">
                  <w:marLeft w:val="0"/>
                  <w:marRight w:val="0"/>
                  <w:marTop w:val="0"/>
                  <w:marBottom w:val="0"/>
                  <w:divBdr>
                    <w:top w:val="none" w:sz="0" w:space="0" w:color="auto"/>
                    <w:left w:val="none" w:sz="0" w:space="0" w:color="auto"/>
                    <w:bottom w:val="none" w:sz="0" w:space="0" w:color="auto"/>
                    <w:right w:val="none" w:sz="0" w:space="0" w:color="auto"/>
                  </w:divBdr>
                </w:div>
                <w:div w:id="294143249">
                  <w:marLeft w:val="0"/>
                  <w:marRight w:val="0"/>
                  <w:marTop w:val="0"/>
                  <w:marBottom w:val="0"/>
                  <w:divBdr>
                    <w:top w:val="none" w:sz="0" w:space="0" w:color="auto"/>
                    <w:left w:val="none" w:sz="0" w:space="0" w:color="auto"/>
                    <w:bottom w:val="none" w:sz="0" w:space="0" w:color="auto"/>
                    <w:right w:val="none" w:sz="0" w:space="0" w:color="auto"/>
                  </w:divBdr>
                </w:div>
                <w:div w:id="294143404">
                  <w:marLeft w:val="0"/>
                  <w:marRight w:val="0"/>
                  <w:marTop w:val="0"/>
                  <w:marBottom w:val="0"/>
                  <w:divBdr>
                    <w:top w:val="none" w:sz="0" w:space="0" w:color="auto"/>
                    <w:left w:val="none" w:sz="0" w:space="0" w:color="auto"/>
                    <w:bottom w:val="none" w:sz="0" w:space="0" w:color="auto"/>
                    <w:right w:val="none" w:sz="0" w:space="0" w:color="auto"/>
                  </w:divBdr>
                </w:div>
                <w:div w:id="294144029">
                  <w:marLeft w:val="0"/>
                  <w:marRight w:val="0"/>
                  <w:marTop w:val="0"/>
                  <w:marBottom w:val="0"/>
                  <w:divBdr>
                    <w:top w:val="none" w:sz="0" w:space="0" w:color="auto"/>
                    <w:left w:val="none" w:sz="0" w:space="0" w:color="auto"/>
                    <w:bottom w:val="none" w:sz="0" w:space="0" w:color="auto"/>
                    <w:right w:val="none" w:sz="0" w:space="0" w:color="auto"/>
                  </w:divBdr>
                </w:div>
                <w:div w:id="294144079">
                  <w:marLeft w:val="0"/>
                  <w:marRight w:val="0"/>
                  <w:marTop w:val="0"/>
                  <w:marBottom w:val="0"/>
                  <w:divBdr>
                    <w:top w:val="none" w:sz="0" w:space="0" w:color="auto"/>
                    <w:left w:val="none" w:sz="0" w:space="0" w:color="auto"/>
                    <w:bottom w:val="none" w:sz="0" w:space="0" w:color="auto"/>
                    <w:right w:val="none" w:sz="0" w:space="0" w:color="auto"/>
                  </w:divBdr>
                </w:div>
                <w:div w:id="294144167">
                  <w:marLeft w:val="0"/>
                  <w:marRight w:val="0"/>
                  <w:marTop w:val="0"/>
                  <w:marBottom w:val="0"/>
                  <w:divBdr>
                    <w:top w:val="none" w:sz="0" w:space="0" w:color="auto"/>
                    <w:left w:val="none" w:sz="0" w:space="0" w:color="auto"/>
                    <w:bottom w:val="none" w:sz="0" w:space="0" w:color="auto"/>
                    <w:right w:val="none" w:sz="0" w:space="0" w:color="auto"/>
                  </w:divBdr>
                </w:div>
                <w:div w:id="294144378">
                  <w:marLeft w:val="0"/>
                  <w:marRight w:val="0"/>
                  <w:marTop w:val="0"/>
                  <w:marBottom w:val="0"/>
                  <w:divBdr>
                    <w:top w:val="none" w:sz="0" w:space="0" w:color="auto"/>
                    <w:left w:val="none" w:sz="0" w:space="0" w:color="auto"/>
                    <w:bottom w:val="none" w:sz="0" w:space="0" w:color="auto"/>
                    <w:right w:val="none" w:sz="0" w:space="0" w:color="auto"/>
                  </w:divBdr>
                </w:div>
                <w:div w:id="294144482">
                  <w:marLeft w:val="0"/>
                  <w:marRight w:val="0"/>
                  <w:marTop w:val="0"/>
                  <w:marBottom w:val="0"/>
                  <w:divBdr>
                    <w:top w:val="none" w:sz="0" w:space="0" w:color="auto"/>
                    <w:left w:val="none" w:sz="0" w:space="0" w:color="auto"/>
                    <w:bottom w:val="none" w:sz="0" w:space="0" w:color="auto"/>
                    <w:right w:val="none" w:sz="0" w:space="0" w:color="auto"/>
                  </w:divBdr>
                </w:div>
                <w:div w:id="294144628">
                  <w:marLeft w:val="0"/>
                  <w:marRight w:val="0"/>
                  <w:marTop w:val="0"/>
                  <w:marBottom w:val="0"/>
                  <w:divBdr>
                    <w:top w:val="none" w:sz="0" w:space="0" w:color="auto"/>
                    <w:left w:val="none" w:sz="0" w:space="0" w:color="auto"/>
                    <w:bottom w:val="none" w:sz="0" w:space="0" w:color="auto"/>
                    <w:right w:val="none" w:sz="0" w:space="0" w:color="auto"/>
                  </w:divBdr>
                </w:div>
                <w:div w:id="294144828">
                  <w:marLeft w:val="0"/>
                  <w:marRight w:val="0"/>
                  <w:marTop w:val="0"/>
                  <w:marBottom w:val="0"/>
                  <w:divBdr>
                    <w:top w:val="none" w:sz="0" w:space="0" w:color="auto"/>
                    <w:left w:val="none" w:sz="0" w:space="0" w:color="auto"/>
                    <w:bottom w:val="none" w:sz="0" w:space="0" w:color="auto"/>
                    <w:right w:val="none" w:sz="0" w:space="0" w:color="auto"/>
                  </w:divBdr>
                </w:div>
                <w:div w:id="294144902">
                  <w:marLeft w:val="0"/>
                  <w:marRight w:val="0"/>
                  <w:marTop w:val="0"/>
                  <w:marBottom w:val="0"/>
                  <w:divBdr>
                    <w:top w:val="none" w:sz="0" w:space="0" w:color="auto"/>
                    <w:left w:val="none" w:sz="0" w:space="0" w:color="auto"/>
                    <w:bottom w:val="none" w:sz="0" w:space="0" w:color="auto"/>
                    <w:right w:val="none" w:sz="0" w:space="0" w:color="auto"/>
                  </w:divBdr>
                </w:div>
                <w:div w:id="294144911">
                  <w:marLeft w:val="0"/>
                  <w:marRight w:val="0"/>
                  <w:marTop w:val="0"/>
                  <w:marBottom w:val="0"/>
                  <w:divBdr>
                    <w:top w:val="none" w:sz="0" w:space="0" w:color="auto"/>
                    <w:left w:val="none" w:sz="0" w:space="0" w:color="auto"/>
                    <w:bottom w:val="none" w:sz="0" w:space="0" w:color="auto"/>
                    <w:right w:val="none" w:sz="0" w:space="0" w:color="auto"/>
                  </w:divBdr>
                </w:div>
                <w:div w:id="294144957">
                  <w:marLeft w:val="0"/>
                  <w:marRight w:val="0"/>
                  <w:marTop w:val="0"/>
                  <w:marBottom w:val="0"/>
                  <w:divBdr>
                    <w:top w:val="none" w:sz="0" w:space="0" w:color="auto"/>
                    <w:left w:val="none" w:sz="0" w:space="0" w:color="auto"/>
                    <w:bottom w:val="none" w:sz="0" w:space="0" w:color="auto"/>
                    <w:right w:val="none" w:sz="0" w:space="0" w:color="auto"/>
                  </w:divBdr>
                </w:div>
                <w:div w:id="294145073">
                  <w:marLeft w:val="0"/>
                  <w:marRight w:val="0"/>
                  <w:marTop w:val="0"/>
                  <w:marBottom w:val="0"/>
                  <w:divBdr>
                    <w:top w:val="none" w:sz="0" w:space="0" w:color="auto"/>
                    <w:left w:val="none" w:sz="0" w:space="0" w:color="auto"/>
                    <w:bottom w:val="none" w:sz="0" w:space="0" w:color="auto"/>
                    <w:right w:val="none" w:sz="0" w:space="0" w:color="auto"/>
                  </w:divBdr>
                </w:div>
                <w:div w:id="294145089">
                  <w:marLeft w:val="0"/>
                  <w:marRight w:val="0"/>
                  <w:marTop w:val="0"/>
                  <w:marBottom w:val="0"/>
                  <w:divBdr>
                    <w:top w:val="none" w:sz="0" w:space="0" w:color="auto"/>
                    <w:left w:val="none" w:sz="0" w:space="0" w:color="auto"/>
                    <w:bottom w:val="none" w:sz="0" w:space="0" w:color="auto"/>
                    <w:right w:val="none" w:sz="0" w:space="0" w:color="auto"/>
                  </w:divBdr>
                </w:div>
                <w:div w:id="294145175">
                  <w:marLeft w:val="0"/>
                  <w:marRight w:val="0"/>
                  <w:marTop w:val="0"/>
                  <w:marBottom w:val="0"/>
                  <w:divBdr>
                    <w:top w:val="none" w:sz="0" w:space="0" w:color="auto"/>
                    <w:left w:val="none" w:sz="0" w:space="0" w:color="auto"/>
                    <w:bottom w:val="none" w:sz="0" w:space="0" w:color="auto"/>
                    <w:right w:val="none" w:sz="0" w:space="0" w:color="auto"/>
                  </w:divBdr>
                </w:div>
                <w:div w:id="294145532">
                  <w:marLeft w:val="0"/>
                  <w:marRight w:val="0"/>
                  <w:marTop w:val="0"/>
                  <w:marBottom w:val="0"/>
                  <w:divBdr>
                    <w:top w:val="none" w:sz="0" w:space="0" w:color="auto"/>
                    <w:left w:val="none" w:sz="0" w:space="0" w:color="auto"/>
                    <w:bottom w:val="none" w:sz="0" w:space="0" w:color="auto"/>
                    <w:right w:val="none" w:sz="0" w:space="0" w:color="auto"/>
                  </w:divBdr>
                </w:div>
                <w:div w:id="294145535">
                  <w:marLeft w:val="0"/>
                  <w:marRight w:val="0"/>
                  <w:marTop w:val="0"/>
                  <w:marBottom w:val="0"/>
                  <w:divBdr>
                    <w:top w:val="none" w:sz="0" w:space="0" w:color="auto"/>
                    <w:left w:val="none" w:sz="0" w:space="0" w:color="auto"/>
                    <w:bottom w:val="none" w:sz="0" w:space="0" w:color="auto"/>
                    <w:right w:val="none" w:sz="0" w:space="0" w:color="auto"/>
                  </w:divBdr>
                </w:div>
                <w:div w:id="294145723">
                  <w:marLeft w:val="0"/>
                  <w:marRight w:val="0"/>
                  <w:marTop w:val="0"/>
                  <w:marBottom w:val="0"/>
                  <w:divBdr>
                    <w:top w:val="none" w:sz="0" w:space="0" w:color="auto"/>
                    <w:left w:val="none" w:sz="0" w:space="0" w:color="auto"/>
                    <w:bottom w:val="none" w:sz="0" w:space="0" w:color="auto"/>
                    <w:right w:val="none" w:sz="0" w:space="0" w:color="auto"/>
                  </w:divBdr>
                </w:div>
                <w:div w:id="294145742">
                  <w:marLeft w:val="0"/>
                  <w:marRight w:val="0"/>
                  <w:marTop w:val="0"/>
                  <w:marBottom w:val="0"/>
                  <w:divBdr>
                    <w:top w:val="none" w:sz="0" w:space="0" w:color="auto"/>
                    <w:left w:val="none" w:sz="0" w:space="0" w:color="auto"/>
                    <w:bottom w:val="none" w:sz="0" w:space="0" w:color="auto"/>
                    <w:right w:val="none" w:sz="0" w:space="0" w:color="auto"/>
                  </w:divBdr>
                </w:div>
                <w:div w:id="294145771">
                  <w:marLeft w:val="0"/>
                  <w:marRight w:val="0"/>
                  <w:marTop w:val="0"/>
                  <w:marBottom w:val="0"/>
                  <w:divBdr>
                    <w:top w:val="none" w:sz="0" w:space="0" w:color="auto"/>
                    <w:left w:val="none" w:sz="0" w:space="0" w:color="auto"/>
                    <w:bottom w:val="none" w:sz="0" w:space="0" w:color="auto"/>
                    <w:right w:val="none" w:sz="0" w:space="0" w:color="auto"/>
                  </w:divBdr>
                </w:div>
                <w:div w:id="294145869">
                  <w:marLeft w:val="0"/>
                  <w:marRight w:val="0"/>
                  <w:marTop w:val="0"/>
                  <w:marBottom w:val="0"/>
                  <w:divBdr>
                    <w:top w:val="none" w:sz="0" w:space="0" w:color="auto"/>
                    <w:left w:val="none" w:sz="0" w:space="0" w:color="auto"/>
                    <w:bottom w:val="none" w:sz="0" w:space="0" w:color="auto"/>
                    <w:right w:val="none" w:sz="0" w:space="0" w:color="auto"/>
                  </w:divBdr>
                </w:div>
                <w:div w:id="294146270">
                  <w:marLeft w:val="0"/>
                  <w:marRight w:val="0"/>
                  <w:marTop w:val="0"/>
                  <w:marBottom w:val="0"/>
                  <w:divBdr>
                    <w:top w:val="none" w:sz="0" w:space="0" w:color="auto"/>
                    <w:left w:val="none" w:sz="0" w:space="0" w:color="auto"/>
                    <w:bottom w:val="none" w:sz="0" w:space="0" w:color="auto"/>
                    <w:right w:val="none" w:sz="0" w:space="0" w:color="auto"/>
                  </w:divBdr>
                </w:div>
                <w:div w:id="294146298">
                  <w:marLeft w:val="0"/>
                  <w:marRight w:val="0"/>
                  <w:marTop w:val="0"/>
                  <w:marBottom w:val="0"/>
                  <w:divBdr>
                    <w:top w:val="none" w:sz="0" w:space="0" w:color="auto"/>
                    <w:left w:val="none" w:sz="0" w:space="0" w:color="auto"/>
                    <w:bottom w:val="none" w:sz="0" w:space="0" w:color="auto"/>
                    <w:right w:val="none" w:sz="0" w:space="0" w:color="auto"/>
                  </w:divBdr>
                </w:div>
                <w:div w:id="294146711">
                  <w:marLeft w:val="0"/>
                  <w:marRight w:val="0"/>
                  <w:marTop w:val="0"/>
                  <w:marBottom w:val="0"/>
                  <w:divBdr>
                    <w:top w:val="none" w:sz="0" w:space="0" w:color="auto"/>
                    <w:left w:val="none" w:sz="0" w:space="0" w:color="auto"/>
                    <w:bottom w:val="none" w:sz="0" w:space="0" w:color="auto"/>
                    <w:right w:val="none" w:sz="0" w:space="0" w:color="auto"/>
                  </w:divBdr>
                </w:div>
                <w:div w:id="294146763">
                  <w:marLeft w:val="0"/>
                  <w:marRight w:val="0"/>
                  <w:marTop w:val="0"/>
                  <w:marBottom w:val="0"/>
                  <w:divBdr>
                    <w:top w:val="none" w:sz="0" w:space="0" w:color="auto"/>
                    <w:left w:val="none" w:sz="0" w:space="0" w:color="auto"/>
                    <w:bottom w:val="none" w:sz="0" w:space="0" w:color="auto"/>
                    <w:right w:val="none" w:sz="0" w:space="0" w:color="auto"/>
                  </w:divBdr>
                </w:div>
                <w:div w:id="294146874">
                  <w:marLeft w:val="0"/>
                  <w:marRight w:val="0"/>
                  <w:marTop w:val="0"/>
                  <w:marBottom w:val="0"/>
                  <w:divBdr>
                    <w:top w:val="none" w:sz="0" w:space="0" w:color="auto"/>
                    <w:left w:val="none" w:sz="0" w:space="0" w:color="auto"/>
                    <w:bottom w:val="none" w:sz="0" w:space="0" w:color="auto"/>
                    <w:right w:val="none" w:sz="0" w:space="0" w:color="auto"/>
                  </w:divBdr>
                </w:div>
                <w:div w:id="294147123">
                  <w:marLeft w:val="0"/>
                  <w:marRight w:val="0"/>
                  <w:marTop w:val="0"/>
                  <w:marBottom w:val="0"/>
                  <w:divBdr>
                    <w:top w:val="none" w:sz="0" w:space="0" w:color="auto"/>
                    <w:left w:val="none" w:sz="0" w:space="0" w:color="auto"/>
                    <w:bottom w:val="none" w:sz="0" w:space="0" w:color="auto"/>
                    <w:right w:val="none" w:sz="0" w:space="0" w:color="auto"/>
                  </w:divBdr>
                </w:div>
                <w:div w:id="294147199">
                  <w:marLeft w:val="0"/>
                  <w:marRight w:val="0"/>
                  <w:marTop w:val="0"/>
                  <w:marBottom w:val="0"/>
                  <w:divBdr>
                    <w:top w:val="none" w:sz="0" w:space="0" w:color="auto"/>
                    <w:left w:val="none" w:sz="0" w:space="0" w:color="auto"/>
                    <w:bottom w:val="none" w:sz="0" w:space="0" w:color="auto"/>
                    <w:right w:val="none" w:sz="0" w:space="0" w:color="auto"/>
                  </w:divBdr>
                </w:div>
                <w:div w:id="294147205">
                  <w:marLeft w:val="0"/>
                  <w:marRight w:val="0"/>
                  <w:marTop w:val="0"/>
                  <w:marBottom w:val="0"/>
                  <w:divBdr>
                    <w:top w:val="none" w:sz="0" w:space="0" w:color="auto"/>
                    <w:left w:val="none" w:sz="0" w:space="0" w:color="auto"/>
                    <w:bottom w:val="none" w:sz="0" w:space="0" w:color="auto"/>
                    <w:right w:val="none" w:sz="0" w:space="0" w:color="auto"/>
                  </w:divBdr>
                </w:div>
                <w:div w:id="294147450">
                  <w:marLeft w:val="0"/>
                  <w:marRight w:val="0"/>
                  <w:marTop w:val="0"/>
                  <w:marBottom w:val="0"/>
                  <w:divBdr>
                    <w:top w:val="none" w:sz="0" w:space="0" w:color="auto"/>
                    <w:left w:val="none" w:sz="0" w:space="0" w:color="auto"/>
                    <w:bottom w:val="none" w:sz="0" w:space="0" w:color="auto"/>
                    <w:right w:val="none" w:sz="0" w:space="0" w:color="auto"/>
                  </w:divBdr>
                </w:div>
                <w:div w:id="294147479">
                  <w:marLeft w:val="0"/>
                  <w:marRight w:val="0"/>
                  <w:marTop w:val="0"/>
                  <w:marBottom w:val="0"/>
                  <w:divBdr>
                    <w:top w:val="none" w:sz="0" w:space="0" w:color="auto"/>
                    <w:left w:val="none" w:sz="0" w:space="0" w:color="auto"/>
                    <w:bottom w:val="none" w:sz="0" w:space="0" w:color="auto"/>
                    <w:right w:val="none" w:sz="0" w:space="0" w:color="auto"/>
                  </w:divBdr>
                </w:div>
                <w:div w:id="294147586">
                  <w:marLeft w:val="0"/>
                  <w:marRight w:val="0"/>
                  <w:marTop w:val="0"/>
                  <w:marBottom w:val="0"/>
                  <w:divBdr>
                    <w:top w:val="none" w:sz="0" w:space="0" w:color="auto"/>
                    <w:left w:val="none" w:sz="0" w:space="0" w:color="auto"/>
                    <w:bottom w:val="none" w:sz="0" w:space="0" w:color="auto"/>
                    <w:right w:val="none" w:sz="0" w:space="0" w:color="auto"/>
                  </w:divBdr>
                </w:div>
                <w:div w:id="294147711">
                  <w:marLeft w:val="0"/>
                  <w:marRight w:val="0"/>
                  <w:marTop w:val="0"/>
                  <w:marBottom w:val="0"/>
                  <w:divBdr>
                    <w:top w:val="none" w:sz="0" w:space="0" w:color="auto"/>
                    <w:left w:val="none" w:sz="0" w:space="0" w:color="auto"/>
                    <w:bottom w:val="none" w:sz="0" w:space="0" w:color="auto"/>
                    <w:right w:val="none" w:sz="0" w:space="0" w:color="auto"/>
                  </w:divBdr>
                </w:div>
                <w:div w:id="294147746">
                  <w:marLeft w:val="0"/>
                  <w:marRight w:val="0"/>
                  <w:marTop w:val="0"/>
                  <w:marBottom w:val="0"/>
                  <w:divBdr>
                    <w:top w:val="none" w:sz="0" w:space="0" w:color="auto"/>
                    <w:left w:val="none" w:sz="0" w:space="0" w:color="auto"/>
                    <w:bottom w:val="none" w:sz="0" w:space="0" w:color="auto"/>
                    <w:right w:val="none" w:sz="0" w:space="0" w:color="auto"/>
                  </w:divBdr>
                </w:div>
                <w:div w:id="294147779">
                  <w:marLeft w:val="0"/>
                  <w:marRight w:val="0"/>
                  <w:marTop w:val="0"/>
                  <w:marBottom w:val="0"/>
                  <w:divBdr>
                    <w:top w:val="none" w:sz="0" w:space="0" w:color="auto"/>
                    <w:left w:val="none" w:sz="0" w:space="0" w:color="auto"/>
                    <w:bottom w:val="none" w:sz="0" w:space="0" w:color="auto"/>
                    <w:right w:val="none" w:sz="0" w:space="0" w:color="auto"/>
                  </w:divBdr>
                </w:div>
                <w:div w:id="294147825">
                  <w:marLeft w:val="0"/>
                  <w:marRight w:val="0"/>
                  <w:marTop w:val="0"/>
                  <w:marBottom w:val="0"/>
                  <w:divBdr>
                    <w:top w:val="none" w:sz="0" w:space="0" w:color="auto"/>
                    <w:left w:val="none" w:sz="0" w:space="0" w:color="auto"/>
                    <w:bottom w:val="none" w:sz="0" w:space="0" w:color="auto"/>
                    <w:right w:val="none" w:sz="0" w:space="0" w:color="auto"/>
                  </w:divBdr>
                </w:div>
                <w:div w:id="294147996">
                  <w:marLeft w:val="0"/>
                  <w:marRight w:val="0"/>
                  <w:marTop w:val="0"/>
                  <w:marBottom w:val="0"/>
                  <w:divBdr>
                    <w:top w:val="none" w:sz="0" w:space="0" w:color="auto"/>
                    <w:left w:val="none" w:sz="0" w:space="0" w:color="auto"/>
                    <w:bottom w:val="none" w:sz="0" w:space="0" w:color="auto"/>
                    <w:right w:val="none" w:sz="0" w:space="0" w:color="auto"/>
                  </w:divBdr>
                </w:div>
                <w:div w:id="294148075">
                  <w:marLeft w:val="0"/>
                  <w:marRight w:val="0"/>
                  <w:marTop w:val="0"/>
                  <w:marBottom w:val="0"/>
                  <w:divBdr>
                    <w:top w:val="none" w:sz="0" w:space="0" w:color="auto"/>
                    <w:left w:val="none" w:sz="0" w:space="0" w:color="auto"/>
                    <w:bottom w:val="none" w:sz="0" w:space="0" w:color="auto"/>
                    <w:right w:val="none" w:sz="0" w:space="0" w:color="auto"/>
                  </w:divBdr>
                </w:div>
                <w:div w:id="294148094">
                  <w:marLeft w:val="0"/>
                  <w:marRight w:val="0"/>
                  <w:marTop w:val="0"/>
                  <w:marBottom w:val="0"/>
                  <w:divBdr>
                    <w:top w:val="none" w:sz="0" w:space="0" w:color="auto"/>
                    <w:left w:val="none" w:sz="0" w:space="0" w:color="auto"/>
                    <w:bottom w:val="none" w:sz="0" w:space="0" w:color="auto"/>
                    <w:right w:val="none" w:sz="0" w:space="0" w:color="auto"/>
                  </w:divBdr>
                </w:div>
                <w:div w:id="294148190">
                  <w:marLeft w:val="0"/>
                  <w:marRight w:val="0"/>
                  <w:marTop w:val="0"/>
                  <w:marBottom w:val="0"/>
                  <w:divBdr>
                    <w:top w:val="none" w:sz="0" w:space="0" w:color="auto"/>
                    <w:left w:val="none" w:sz="0" w:space="0" w:color="auto"/>
                    <w:bottom w:val="none" w:sz="0" w:space="0" w:color="auto"/>
                    <w:right w:val="none" w:sz="0" w:space="0" w:color="auto"/>
                  </w:divBdr>
                </w:div>
                <w:div w:id="294148319">
                  <w:marLeft w:val="0"/>
                  <w:marRight w:val="0"/>
                  <w:marTop w:val="0"/>
                  <w:marBottom w:val="0"/>
                  <w:divBdr>
                    <w:top w:val="none" w:sz="0" w:space="0" w:color="auto"/>
                    <w:left w:val="none" w:sz="0" w:space="0" w:color="auto"/>
                    <w:bottom w:val="none" w:sz="0" w:space="0" w:color="auto"/>
                    <w:right w:val="none" w:sz="0" w:space="0" w:color="auto"/>
                  </w:divBdr>
                </w:div>
                <w:div w:id="294148549">
                  <w:marLeft w:val="0"/>
                  <w:marRight w:val="0"/>
                  <w:marTop w:val="0"/>
                  <w:marBottom w:val="0"/>
                  <w:divBdr>
                    <w:top w:val="none" w:sz="0" w:space="0" w:color="auto"/>
                    <w:left w:val="none" w:sz="0" w:space="0" w:color="auto"/>
                    <w:bottom w:val="none" w:sz="0" w:space="0" w:color="auto"/>
                    <w:right w:val="none" w:sz="0" w:space="0" w:color="auto"/>
                  </w:divBdr>
                </w:div>
                <w:div w:id="294148608">
                  <w:marLeft w:val="0"/>
                  <w:marRight w:val="0"/>
                  <w:marTop w:val="0"/>
                  <w:marBottom w:val="0"/>
                  <w:divBdr>
                    <w:top w:val="none" w:sz="0" w:space="0" w:color="auto"/>
                    <w:left w:val="none" w:sz="0" w:space="0" w:color="auto"/>
                    <w:bottom w:val="none" w:sz="0" w:space="0" w:color="auto"/>
                    <w:right w:val="none" w:sz="0" w:space="0" w:color="auto"/>
                  </w:divBdr>
                </w:div>
                <w:div w:id="294148680">
                  <w:marLeft w:val="0"/>
                  <w:marRight w:val="0"/>
                  <w:marTop w:val="0"/>
                  <w:marBottom w:val="0"/>
                  <w:divBdr>
                    <w:top w:val="none" w:sz="0" w:space="0" w:color="auto"/>
                    <w:left w:val="none" w:sz="0" w:space="0" w:color="auto"/>
                    <w:bottom w:val="none" w:sz="0" w:space="0" w:color="auto"/>
                    <w:right w:val="none" w:sz="0" w:space="0" w:color="auto"/>
                  </w:divBdr>
                </w:div>
                <w:div w:id="294149080">
                  <w:marLeft w:val="0"/>
                  <w:marRight w:val="0"/>
                  <w:marTop w:val="0"/>
                  <w:marBottom w:val="0"/>
                  <w:divBdr>
                    <w:top w:val="none" w:sz="0" w:space="0" w:color="auto"/>
                    <w:left w:val="none" w:sz="0" w:space="0" w:color="auto"/>
                    <w:bottom w:val="none" w:sz="0" w:space="0" w:color="auto"/>
                    <w:right w:val="none" w:sz="0" w:space="0" w:color="auto"/>
                  </w:divBdr>
                </w:div>
                <w:div w:id="294149181">
                  <w:marLeft w:val="0"/>
                  <w:marRight w:val="0"/>
                  <w:marTop w:val="0"/>
                  <w:marBottom w:val="0"/>
                  <w:divBdr>
                    <w:top w:val="none" w:sz="0" w:space="0" w:color="auto"/>
                    <w:left w:val="none" w:sz="0" w:space="0" w:color="auto"/>
                    <w:bottom w:val="none" w:sz="0" w:space="0" w:color="auto"/>
                    <w:right w:val="none" w:sz="0" w:space="0" w:color="auto"/>
                  </w:divBdr>
                </w:div>
                <w:div w:id="294149377">
                  <w:marLeft w:val="0"/>
                  <w:marRight w:val="0"/>
                  <w:marTop w:val="0"/>
                  <w:marBottom w:val="0"/>
                  <w:divBdr>
                    <w:top w:val="none" w:sz="0" w:space="0" w:color="auto"/>
                    <w:left w:val="none" w:sz="0" w:space="0" w:color="auto"/>
                    <w:bottom w:val="none" w:sz="0" w:space="0" w:color="auto"/>
                    <w:right w:val="none" w:sz="0" w:space="0" w:color="auto"/>
                  </w:divBdr>
                </w:div>
                <w:div w:id="294149672">
                  <w:marLeft w:val="0"/>
                  <w:marRight w:val="0"/>
                  <w:marTop w:val="0"/>
                  <w:marBottom w:val="0"/>
                  <w:divBdr>
                    <w:top w:val="none" w:sz="0" w:space="0" w:color="auto"/>
                    <w:left w:val="none" w:sz="0" w:space="0" w:color="auto"/>
                    <w:bottom w:val="none" w:sz="0" w:space="0" w:color="auto"/>
                    <w:right w:val="none" w:sz="0" w:space="0" w:color="auto"/>
                  </w:divBdr>
                </w:div>
                <w:div w:id="294149969">
                  <w:marLeft w:val="0"/>
                  <w:marRight w:val="0"/>
                  <w:marTop w:val="0"/>
                  <w:marBottom w:val="0"/>
                  <w:divBdr>
                    <w:top w:val="none" w:sz="0" w:space="0" w:color="auto"/>
                    <w:left w:val="none" w:sz="0" w:space="0" w:color="auto"/>
                    <w:bottom w:val="none" w:sz="0" w:space="0" w:color="auto"/>
                    <w:right w:val="none" w:sz="0" w:space="0" w:color="auto"/>
                  </w:divBdr>
                </w:div>
                <w:div w:id="294150104">
                  <w:marLeft w:val="0"/>
                  <w:marRight w:val="0"/>
                  <w:marTop w:val="0"/>
                  <w:marBottom w:val="0"/>
                  <w:divBdr>
                    <w:top w:val="none" w:sz="0" w:space="0" w:color="auto"/>
                    <w:left w:val="none" w:sz="0" w:space="0" w:color="auto"/>
                    <w:bottom w:val="none" w:sz="0" w:space="0" w:color="auto"/>
                    <w:right w:val="none" w:sz="0" w:space="0" w:color="auto"/>
                  </w:divBdr>
                </w:div>
                <w:div w:id="294150257">
                  <w:marLeft w:val="0"/>
                  <w:marRight w:val="0"/>
                  <w:marTop w:val="0"/>
                  <w:marBottom w:val="0"/>
                  <w:divBdr>
                    <w:top w:val="none" w:sz="0" w:space="0" w:color="auto"/>
                    <w:left w:val="none" w:sz="0" w:space="0" w:color="auto"/>
                    <w:bottom w:val="none" w:sz="0" w:space="0" w:color="auto"/>
                    <w:right w:val="none" w:sz="0" w:space="0" w:color="auto"/>
                  </w:divBdr>
                </w:div>
                <w:div w:id="294150346">
                  <w:marLeft w:val="0"/>
                  <w:marRight w:val="0"/>
                  <w:marTop w:val="0"/>
                  <w:marBottom w:val="0"/>
                  <w:divBdr>
                    <w:top w:val="none" w:sz="0" w:space="0" w:color="auto"/>
                    <w:left w:val="none" w:sz="0" w:space="0" w:color="auto"/>
                    <w:bottom w:val="none" w:sz="0" w:space="0" w:color="auto"/>
                    <w:right w:val="none" w:sz="0" w:space="0" w:color="auto"/>
                  </w:divBdr>
                </w:div>
                <w:div w:id="294150529">
                  <w:marLeft w:val="0"/>
                  <w:marRight w:val="0"/>
                  <w:marTop w:val="0"/>
                  <w:marBottom w:val="0"/>
                  <w:divBdr>
                    <w:top w:val="none" w:sz="0" w:space="0" w:color="auto"/>
                    <w:left w:val="none" w:sz="0" w:space="0" w:color="auto"/>
                    <w:bottom w:val="none" w:sz="0" w:space="0" w:color="auto"/>
                    <w:right w:val="none" w:sz="0" w:space="0" w:color="auto"/>
                  </w:divBdr>
                </w:div>
                <w:div w:id="294150688">
                  <w:marLeft w:val="0"/>
                  <w:marRight w:val="0"/>
                  <w:marTop w:val="0"/>
                  <w:marBottom w:val="0"/>
                  <w:divBdr>
                    <w:top w:val="none" w:sz="0" w:space="0" w:color="auto"/>
                    <w:left w:val="none" w:sz="0" w:space="0" w:color="auto"/>
                    <w:bottom w:val="none" w:sz="0" w:space="0" w:color="auto"/>
                    <w:right w:val="none" w:sz="0" w:space="0" w:color="auto"/>
                  </w:divBdr>
                </w:div>
                <w:div w:id="294150746">
                  <w:marLeft w:val="0"/>
                  <w:marRight w:val="0"/>
                  <w:marTop w:val="0"/>
                  <w:marBottom w:val="0"/>
                  <w:divBdr>
                    <w:top w:val="none" w:sz="0" w:space="0" w:color="auto"/>
                    <w:left w:val="none" w:sz="0" w:space="0" w:color="auto"/>
                    <w:bottom w:val="none" w:sz="0" w:space="0" w:color="auto"/>
                    <w:right w:val="none" w:sz="0" w:space="0" w:color="auto"/>
                  </w:divBdr>
                </w:div>
                <w:div w:id="294151299">
                  <w:marLeft w:val="0"/>
                  <w:marRight w:val="0"/>
                  <w:marTop w:val="0"/>
                  <w:marBottom w:val="0"/>
                  <w:divBdr>
                    <w:top w:val="none" w:sz="0" w:space="0" w:color="auto"/>
                    <w:left w:val="none" w:sz="0" w:space="0" w:color="auto"/>
                    <w:bottom w:val="none" w:sz="0" w:space="0" w:color="auto"/>
                    <w:right w:val="none" w:sz="0" w:space="0" w:color="auto"/>
                  </w:divBdr>
                </w:div>
                <w:div w:id="294151510">
                  <w:marLeft w:val="0"/>
                  <w:marRight w:val="0"/>
                  <w:marTop w:val="0"/>
                  <w:marBottom w:val="0"/>
                  <w:divBdr>
                    <w:top w:val="none" w:sz="0" w:space="0" w:color="auto"/>
                    <w:left w:val="none" w:sz="0" w:space="0" w:color="auto"/>
                    <w:bottom w:val="none" w:sz="0" w:space="0" w:color="auto"/>
                    <w:right w:val="none" w:sz="0" w:space="0" w:color="auto"/>
                  </w:divBdr>
                </w:div>
                <w:div w:id="294152248">
                  <w:marLeft w:val="0"/>
                  <w:marRight w:val="0"/>
                  <w:marTop w:val="0"/>
                  <w:marBottom w:val="0"/>
                  <w:divBdr>
                    <w:top w:val="none" w:sz="0" w:space="0" w:color="auto"/>
                    <w:left w:val="none" w:sz="0" w:space="0" w:color="auto"/>
                    <w:bottom w:val="none" w:sz="0" w:space="0" w:color="auto"/>
                    <w:right w:val="none" w:sz="0" w:space="0" w:color="auto"/>
                  </w:divBdr>
                </w:div>
                <w:div w:id="294152422">
                  <w:marLeft w:val="0"/>
                  <w:marRight w:val="0"/>
                  <w:marTop w:val="0"/>
                  <w:marBottom w:val="0"/>
                  <w:divBdr>
                    <w:top w:val="none" w:sz="0" w:space="0" w:color="auto"/>
                    <w:left w:val="none" w:sz="0" w:space="0" w:color="auto"/>
                    <w:bottom w:val="none" w:sz="0" w:space="0" w:color="auto"/>
                    <w:right w:val="none" w:sz="0" w:space="0" w:color="auto"/>
                  </w:divBdr>
                </w:div>
                <w:div w:id="294152476">
                  <w:marLeft w:val="0"/>
                  <w:marRight w:val="0"/>
                  <w:marTop w:val="0"/>
                  <w:marBottom w:val="0"/>
                  <w:divBdr>
                    <w:top w:val="none" w:sz="0" w:space="0" w:color="auto"/>
                    <w:left w:val="none" w:sz="0" w:space="0" w:color="auto"/>
                    <w:bottom w:val="none" w:sz="0" w:space="0" w:color="auto"/>
                    <w:right w:val="none" w:sz="0" w:space="0" w:color="auto"/>
                  </w:divBdr>
                </w:div>
                <w:div w:id="294152623">
                  <w:marLeft w:val="0"/>
                  <w:marRight w:val="0"/>
                  <w:marTop w:val="0"/>
                  <w:marBottom w:val="0"/>
                  <w:divBdr>
                    <w:top w:val="none" w:sz="0" w:space="0" w:color="auto"/>
                    <w:left w:val="none" w:sz="0" w:space="0" w:color="auto"/>
                    <w:bottom w:val="none" w:sz="0" w:space="0" w:color="auto"/>
                    <w:right w:val="none" w:sz="0" w:space="0" w:color="auto"/>
                  </w:divBdr>
                </w:div>
                <w:div w:id="294153229">
                  <w:marLeft w:val="0"/>
                  <w:marRight w:val="0"/>
                  <w:marTop w:val="0"/>
                  <w:marBottom w:val="0"/>
                  <w:divBdr>
                    <w:top w:val="none" w:sz="0" w:space="0" w:color="auto"/>
                    <w:left w:val="none" w:sz="0" w:space="0" w:color="auto"/>
                    <w:bottom w:val="none" w:sz="0" w:space="0" w:color="auto"/>
                    <w:right w:val="none" w:sz="0" w:space="0" w:color="auto"/>
                  </w:divBdr>
                </w:div>
                <w:div w:id="294153277">
                  <w:marLeft w:val="0"/>
                  <w:marRight w:val="0"/>
                  <w:marTop w:val="0"/>
                  <w:marBottom w:val="0"/>
                  <w:divBdr>
                    <w:top w:val="none" w:sz="0" w:space="0" w:color="auto"/>
                    <w:left w:val="none" w:sz="0" w:space="0" w:color="auto"/>
                    <w:bottom w:val="none" w:sz="0" w:space="0" w:color="auto"/>
                    <w:right w:val="none" w:sz="0" w:space="0" w:color="auto"/>
                  </w:divBdr>
                </w:div>
                <w:div w:id="294153303">
                  <w:marLeft w:val="0"/>
                  <w:marRight w:val="0"/>
                  <w:marTop w:val="0"/>
                  <w:marBottom w:val="0"/>
                  <w:divBdr>
                    <w:top w:val="none" w:sz="0" w:space="0" w:color="auto"/>
                    <w:left w:val="none" w:sz="0" w:space="0" w:color="auto"/>
                    <w:bottom w:val="none" w:sz="0" w:space="0" w:color="auto"/>
                    <w:right w:val="none" w:sz="0" w:space="0" w:color="auto"/>
                  </w:divBdr>
                </w:div>
                <w:div w:id="294153406">
                  <w:marLeft w:val="0"/>
                  <w:marRight w:val="0"/>
                  <w:marTop w:val="0"/>
                  <w:marBottom w:val="0"/>
                  <w:divBdr>
                    <w:top w:val="none" w:sz="0" w:space="0" w:color="auto"/>
                    <w:left w:val="none" w:sz="0" w:space="0" w:color="auto"/>
                    <w:bottom w:val="none" w:sz="0" w:space="0" w:color="auto"/>
                    <w:right w:val="none" w:sz="0" w:space="0" w:color="auto"/>
                  </w:divBdr>
                </w:div>
                <w:div w:id="294153489">
                  <w:marLeft w:val="0"/>
                  <w:marRight w:val="0"/>
                  <w:marTop w:val="0"/>
                  <w:marBottom w:val="0"/>
                  <w:divBdr>
                    <w:top w:val="none" w:sz="0" w:space="0" w:color="auto"/>
                    <w:left w:val="none" w:sz="0" w:space="0" w:color="auto"/>
                    <w:bottom w:val="none" w:sz="0" w:space="0" w:color="auto"/>
                    <w:right w:val="none" w:sz="0" w:space="0" w:color="auto"/>
                  </w:divBdr>
                </w:div>
                <w:div w:id="294153698">
                  <w:marLeft w:val="0"/>
                  <w:marRight w:val="0"/>
                  <w:marTop w:val="0"/>
                  <w:marBottom w:val="0"/>
                  <w:divBdr>
                    <w:top w:val="none" w:sz="0" w:space="0" w:color="auto"/>
                    <w:left w:val="none" w:sz="0" w:space="0" w:color="auto"/>
                    <w:bottom w:val="none" w:sz="0" w:space="0" w:color="auto"/>
                    <w:right w:val="none" w:sz="0" w:space="0" w:color="auto"/>
                  </w:divBdr>
                </w:div>
                <w:div w:id="294154224">
                  <w:marLeft w:val="0"/>
                  <w:marRight w:val="0"/>
                  <w:marTop w:val="0"/>
                  <w:marBottom w:val="0"/>
                  <w:divBdr>
                    <w:top w:val="none" w:sz="0" w:space="0" w:color="auto"/>
                    <w:left w:val="none" w:sz="0" w:space="0" w:color="auto"/>
                    <w:bottom w:val="none" w:sz="0" w:space="0" w:color="auto"/>
                    <w:right w:val="none" w:sz="0" w:space="0" w:color="auto"/>
                  </w:divBdr>
                </w:div>
                <w:div w:id="294154355">
                  <w:marLeft w:val="0"/>
                  <w:marRight w:val="0"/>
                  <w:marTop w:val="0"/>
                  <w:marBottom w:val="0"/>
                  <w:divBdr>
                    <w:top w:val="none" w:sz="0" w:space="0" w:color="auto"/>
                    <w:left w:val="none" w:sz="0" w:space="0" w:color="auto"/>
                    <w:bottom w:val="none" w:sz="0" w:space="0" w:color="auto"/>
                    <w:right w:val="none" w:sz="0" w:space="0" w:color="auto"/>
                  </w:divBdr>
                </w:div>
                <w:div w:id="294154363">
                  <w:marLeft w:val="0"/>
                  <w:marRight w:val="0"/>
                  <w:marTop w:val="0"/>
                  <w:marBottom w:val="0"/>
                  <w:divBdr>
                    <w:top w:val="none" w:sz="0" w:space="0" w:color="auto"/>
                    <w:left w:val="none" w:sz="0" w:space="0" w:color="auto"/>
                    <w:bottom w:val="none" w:sz="0" w:space="0" w:color="auto"/>
                    <w:right w:val="none" w:sz="0" w:space="0" w:color="auto"/>
                  </w:divBdr>
                </w:div>
                <w:div w:id="294154611">
                  <w:marLeft w:val="0"/>
                  <w:marRight w:val="0"/>
                  <w:marTop w:val="0"/>
                  <w:marBottom w:val="0"/>
                  <w:divBdr>
                    <w:top w:val="none" w:sz="0" w:space="0" w:color="auto"/>
                    <w:left w:val="none" w:sz="0" w:space="0" w:color="auto"/>
                    <w:bottom w:val="none" w:sz="0" w:space="0" w:color="auto"/>
                    <w:right w:val="none" w:sz="0" w:space="0" w:color="auto"/>
                  </w:divBdr>
                </w:div>
                <w:div w:id="294154643">
                  <w:marLeft w:val="0"/>
                  <w:marRight w:val="0"/>
                  <w:marTop w:val="0"/>
                  <w:marBottom w:val="0"/>
                  <w:divBdr>
                    <w:top w:val="none" w:sz="0" w:space="0" w:color="auto"/>
                    <w:left w:val="none" w:sz="0" w:space="0" w:color="auto"/>
                    <w:bottom w:val="none" w:sz="0" w:space="0" w:color="auto"/>
                    <w:right w:val="none" w:sz="0" w:space="0" w:color="auto"/>
                  </w:divBdr>
                </w:div>
                <w:div w:id="294154666">
                  <w:marLeft w:val="0"/>
                  <w:marRight w:val="0"/>
                  <w:marTop w:val="0"/>
                  <w:marBottom w:val="0"/>
                  <w:divBdr>
                    <w:top w:val="none" w:sz="0" w:space="0" w:color="auto"/>
                    <w:left w:val="none" w:sz="0" w:space="0" w:color="auto"/>
                    <w:bottom w:val="none" w:sz="0" w:space="0" w:color="auto"/>
                    <w:right w:val="none" w:sz="0" w:space="0" w:color="auto"/>
                  </w:divBdr>
                </w:div>
                <w:div w:id="294154890">
                  <w:marLeft w:val="0"/>
                  <w:marRight w:val="0"/>
                  <w:marTop w:val="0"/>
                  <w:marBottom w:val="0"/>
                  <w:divBdr>
                    <w:top w:val="none" w:sz="0" w:space="0" w:color="auto"/>
                    <w:left w:val="none" w:sz="0" w:space="0" w:color="auto"/>
                    <w:bottom w:val="none" w:sz="0" w:space="0" w:color="auto"/>
                    <w:right w:val="none" w:sz="0" w:space="0" w:color="auto"/>
                  </w:divBdr>
                </w:div>
                <w:div w:id="294155207">
                  <w:marLeft w:val="0"/>
                  <w:marRight w:val="0"/>
                  <w:marTop w:val="0"/>
                  <w:marBottom w:val="0"/>
                  <w:divBdr>
                    <w:top w:val="none" w:sz="0" w:space="0" w:color="auto"/>
                    <w:left w:val="none" w:sz="0" w:space="0" w:color="auto"/>
                    <w:bottom w:val="none" w:sz="0" w:space="0" w:color="auto"/>
                    <w:right w:val="none" w:sz="0" w:space="0" w:color="auto"/>
                  </w:divBdr>
                </w:div>
                <w:div w:id="294155710">
                  <w:marLeft w:val="0"/>
                  <w:marRight w:val="0"/>
                  <w:marTop w:val="0"/>
                  <w:marBottom w:val="0"/>
                  <w:divBdr>
                    <w:top w:val="none" w:sz="0" w:space="0" w:color="auto"/>
                    <w:left w:val="none" w:sz="0" w:space="0" w:color="auto"/>
                    <w:bottom w:val="none" w:sz="0" w:space="0" w:color="auto"/>
                    <w:right w:val="none" w:sz="0" w:space="0" w:color="auto"/>
                  </w:divBdr>
                </w:div>
                <w:div w:id="294155760">
                  <w:marLeft w:val="0"/>
                  <w:marRight w:val="0"/>
                  <w:marTop w:val="0"/>
                  <w:marBottom w:val="0"/>
                  <w:divBdr>
                    <w:top w:val="none" w:sz="0" w:space="0" w:color="auto"/>
                    <w:left w:val="none" w:sz="0" w:space="0" w:color="auto"/>
                    <w:bottom w:val="none" w:sz="0" w:space="0" w:color="auto"/>
                    <w:right w:val="none" w:sz="0" w:space="0" w:color="auto"/>
                  </w:divBdr>
                </w:div>
                <w:div w:id="294155848">
                  <w:marLeft w:val="0"/>
                  <w:marRight w:val="0"/>
                  <w:marTop w:val="0"/>
                  <w:marBottom w:val="0"/>
                  <w:divBdr>
                    <w:top w:val="none" w:sz="0" w:space="0" w:color="auto"/>
                    <w:left w:val="none" w:sz="0" w:space="0" w:color="auto"/>
                    <w:bottom w:val="none" w:sz="0" w:space="0" w:color="auto"/>
                    <w:right w:val="none" w:sz="0" w:space="0" w:color="auto"/>
                  </w:divBdr>
                </w:div>
                <w:div w:id="294155917">
                  <w:marLeft w:val="0"/>
                  <w:marRight w:val="0"/>
                  <w:marTop w:val="0"/>
                  <w:marBottom w:val="0"/>
                  <w:divBdr>
                    <w:top w:val="none" w:sz="0" w:space="0" w:color="auto"/>
                    <w:left w:val="none" w:sz="0" w:space="0" w:color="auto"/>
                    <w:bottom w:val="none" w:sz="0" w:space="0" w:color="auto"/>
                    <w:right w:val="none" w:sz="0" w:space="0" w:color="auto"/>
                  </w:divBdr>
                </w:div>
                <w:div w:id="294156056">
                  <w:marLeft w:val="0"/>
                  <w:marRight w:val="0"/>
                  <w:marTop w:val="0"/>
                  <w:marBottom w:val="0"/>
                  <w:divBdr>
                    <w:top w:val="none" w:sz="0" w:space="0" w:color="auto"/>
                    <w:left w:val="none" w:sz="0" w:space="0" w:color="auto"/>
                    <w:bottom w:val="none" w:sz="0" w:space="0" w:color="auto"/>
                    <w:right w:val="none" w:sz="0" w:space="0" w:color="auto"/>
                  </w:divBdr>
                </w:div>
                <w:div w:id="294156091">
                  <w:marLeft w:val="0"/>
                  <w:marRight w:val="0"/>
                  <w:marTop w:val="0"/>
                  <w:marBottom w:val="0"/>
                  <w:divBdr>
                    <w:top w:val="none" w:sz="0" w:space="0" w:color="auto"/>
                    <w:left w:val="none" w:sz="0" w:space="0" w:color="auto"/>
                    <w:bottom w:val="none" w:sz="0" w:space="0" w:color="auto"/>
                    <w:right w:val="none" w:sz="0" w:space="0" w:color="auto"/>
                  </w:divBdr>
                </w:div>
                <w:div w:id="294156232">
                  <w:marLeft w:val="0"/>
                  <w:marRight w:val="0"/>
                  <w:marTop w:val="0"/>
                  <w:marBottom w:val="0"/>
                  <w:divBdr>
                    <w:top w:val="none" w:sz="0" w:space="0" w:color="auto"/>
                    <w:left w:val="none" w:sz="0" w:space="0" w:color="auto"/>
                    <w:bottom w:val="none" w:sz="0" w:space="0" w:color="auto"/>
                    <w:right w:val="none" w:sz="0" w:space="0" w:color="auto"/>
                  </w:divBdr>
                </w:div>
                <w:div w:id="294156274">
                  <w:marLeft w:val="0"/>
                  <w:marRight w:val="0"/>
                  <w:marTop w:val="0"/>
                  <w:marBottom w:val="0"/>
                  <w:divBdr>
                    <w:top w:val="none" w:sz="0" w:space="0" w:color="auto"/>
                    <w:left w:val="none" w:sz="0" w:space="0" w:color="auto"/>
                    <w:bottom w:val="none" w:sz="0" w:space="0" w:color="auto"/>
                    <w:right w:val="none" w:sz="0" w:space="0" w:color="auto"/>
                  </w:divBdr>
                </w:div>
                <w:div w:id="294156825">
                  <w:marLeft w:val="0"/>
                  <w:marRight w:val="0"/>
                  <w:marTop w:val="0"/>
                  <w:marBottom w:val="0"/>
                  <w:divBdr>
                    <w:top w:val="none" w:sz="0" w:space="0" w:color="auto"/>
                    <w:left w:val="none" w:sz="0" w:space="0" w:color="auto"/>
                    <w:bottom w:val="none" w:sz="0" w:space="0" w:color="auto"/>
                    <w:right w:val="none" w:sz="0" w:space="0" w:color="auto"/>
                  </w:divBdr>
                </w:div>
                <w:div w:id="294157188">
                  <w:marLeft w:val="0"/>
                  <w:marRight w:val="0"/>
                  <w:marTop w:val="0"/>
                  <w:marBottom w:val="0"/>
                  <w:divBdr>
                    <w:top w:val="none" w:sz="0" w:space="0" w:color="auto"/>
                    <w:left w:val="none" w:sz="0" w:space="0" w:color="auto"/>
                    <w:bottom w:val="none" w:sz="0" w:space="0" w:color="auto"/>
                    <w:right w:val="none" w:sz="0" w:space="0" w:color="auto"/>
                  </w:divBdr>
                </w:div>
                <w:div w:id="294157395">
                  <w:marLeft w:val="0"/>
                  <w:marRight w:val="0"/>
                  <w:marTop w:val="0"/>
                  <w:marBottom w:val="0"/>
                  <w:divBdr>
                    <w:top w:val="none" w:sz="0" w:space="0" w:color="auto"/>
                    <w:left w:val="none" w:sz="0" w:space="0" w:color="auto"/>
                    <w:bottom w:val="none" w:sz="0" w:space="0" w:color="auto"/>
                    <w:right w:val="none" w:sz="0" w:space="0" w:color="auto"/>
                  </w:divBdr>
                </w:div>
                <w:div w:id="2941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46904">
      <w:marLeft w:val="0"/>
      <w:marRight w:val="0"/>
      <w:marTop w:val="0"/>
      <w:marBottom w:val="0"/>
      <w:divBdr>
        <w:top w:val="none" w:sz="0" w:space="0" w:color="auto"/>
        <w:left w:val="none" w:sz="0" w:space="0" w:color="auto"/>
        <w:bottom w:val="none" w:sz="0" w:space="0" w:color="auto"/>
        <w:right w:val="none" w:sz="0" w:space="0" w:color="auto"/>
      </w:divBdr>
    </w:div>
    <w:div w:id="294146930">
      <w:marLeft w:val="0"/>
      <w:marRight w:val="0"/>
      <w:marTop w:val="0"/>
      <w:marBottom w:val="0"/>
      <w:divBdr>
        <w:top w:val="none" w:sz="0" w:space="0" w:color="auto"/>
        <w:left w:val="none" w:sz="0" w:space="0" w:color="auto"/>
        <w:bottom w:val="none" w:sz="0" w:space="0" w:color="auto"/>
        <w:right w:val="none" w:sz="0" w:space="0" w:color="auto"/>
      </w:divBdr>
    </w:div>
    <w:div w:id="294146972">
      <w:marLeft w:val="0"/>
      <w:marRight w:val="0"/>
      <w:marTop w:val="0"/>
      <w:marBottom w:val="0"/>
      <w:divBdr>
        <w:top w:val="none" w:sz="0" w:space="0" w:color="auto"/>
        <w:left w:val="none" w:sz="0" w:space="0" w:color="auto"/>
        <w:bottom w:val="none" w:sz="0" w:space="0" w:color="auto"/>
        <w:right w:val="none" w:sz="0" w:space="0" w:color="auto"/>
      </w:divBdr>
    </w:div>
    <w:div w:id="294147027">
      <w:marLeft w:val="0"/>
      <w:marRight w:val="0"/>
      <w:marTop w:val="0"/>
      <w:marBottom w:val="0"/>
      <w:divBdr>
        <w:top w:val="none" w:sz="0" w:space="0" w:color="auto"/>
        <w:left w:val="none" w:sz="0" w:space="0" w:color="auto"/>
        <w:bottom w:val="none" w:sz="0" w:space="0" w:color="auto"/>
        <w:right w:val="none" w:sz="0" w:space="0" w:color="auto"/>
      </w:divBdr>
    </w:div>
    <w:div w:id="294147040">
      <w:marLeft w:val="0"/>
      <w:marRight w:val="0"/>
      <w:marTop w:val="0"/>
      <w:marBottom w:val="0"/>
      <w:divBdr>
        <w:top w:val="none" w:sz="0" w:space="0" w:color="auto"/>
        <w:left w:val="none" w:sz="0" w:space="0" w:color="auto"/>
        <w:bottom w:val="none" w:sz="0" w:space="0" w:color="auto"/>
        <w:right w:val="none" w:sz="0" w:space="0" w:color="auto"/>
      </w:divBdr>
    </w:div>
    <w:div w:id="294147065">
      <w:marLeft w:val="0"/>
      <w:marRight w:val="0"/>
      <w:marTop w:val="0"/>
      <w:marBottom w:val="0"/>
      <w:divBdr>
        <w:top w:val="none" w:sz="0" w:space="0" w:color="auto"/>
        <w:left w:val="none" w:sz="0" w:space="0" w:color="auto"/>
        <w:bottom w:val="none" w:sz="0" w:space="0" w:color="auto"/>
        <w:right w:val="none" w:sz="0" w:space="0" w:color="auto"/>
      </w:divBdr>
    </w:div>
    <w:div w:id="294147115">
      <w:marLeft w:val="0"/>
      <w:marRight w:val="0"/>
      <w:marTop w:val="0"/>
      <w:marBottom w:val="0"/>
      <w:divBdr>
        <w:top w:val="none" w:sz="0" w:space="0" w:color="auto"/>
        <w:left w:val="none" w:sz="0" w:space="0" w:color="auto"/>
        <w:bottom w:val="none" w:sz="0" w:space="0" w:color="auto"/>
        <w:right w:val="none" w:sz="0" w:space="0" w:color="auto"/>
      </w:divBdr>
    </w:div>
    <w:div w:id="294147122">
      <w:marLeft w:val="0"/>
      <w:marRight w:val="0"/>
      <w:marTop w:val="0"/>
      <w:marBottom w:val="0"/>
      <w:divBdr>
        <w:top w:val="none" w:sz="0" w:space="0" w:color="auto"/>
        <w:left w:val="none" w:sz="0" w:space="0" w:color="auto"/>
        <w:bottom w:val="none" w:sz="0" w:space="0" w:color="auto"/>
        <w:right w:val="none" w:sz="0" w:space="0" w:color="auto"/>
      </w:divBdr>
    </w:div>
    <w:div w:id="294147156">
      <w:marLeft w:val="0"/>
      <w:marRight w:val="0"/>
      <w:marTop w:val="0"/>
      <w:marBottom w:val="0"/>
      <w:divBdr>
        <w:top w:val="none" w:sz="0" w:space="0" w:color="auto"/>
        <w:left w:val="none" w:sz="0" w:space="0" w:color="auto"/>
        <w:bottom w:val="none" w:sz="0" w:space="0" w:color="auto"/>
        <w:right w:val="none" w:sz="0" w:space="0" w:color="auto"/>
      </w:divBdr>
      <w:divsChild>
        <w:div w:id="294149927">
          <w:marLeft w:val="0"/>
          <w:marRight w:val="0"/>
          <w:marTop w:val="0"/>
          <w:marBottom w:val="0"/>
          <w:divBdr>
            <w:top w:val="none" w:sz="0" w:space="0" w:color="auto"/>
            <w:left w:val="none" w:sz="0" w:space="0" w:color="auto"/>
            <w:bottom w:val="none" w:sz="0" w:space="0" w:color="auto"/>
            <w:right w:val="none" w:sz="0" w:space="0" w:color="auto"/>
          </w:divBdr>
        </w:div>
      </w:divsChild>
    </w:div>
    <w:div w:id="294147211">
      <w:marLeft w:val="0"/>
      <w:marRight w:val="0"/>
      <w:marTop w:val="0"/>
      <w:marBottom w:val="0"/>
      <w:divBdr>
        <w:top w:val="none" w:sz="0" w:space="0" w:color="auto"/>
        <w:left w:val="none" w:sz="0" w:space="0" w:color="auto"/>
        <w:bottom w:val="none" w:sz="0" w:space="0" w:color="auto"/>
        <w:right w:val="none" w:sz="0" w:space="0" w:color="auto"/>
      </w:divBdr>
      <w:divsChild>
        <w:div w:id="294140880">
          <w:marLeft w:val="0"/>
          <w:marRight w:val="0"/>
          <w:marTop w:val="0"/>
          <w:marBottom w:val="0"/>
          <w:divBdr>
            <w:top w:val="none" w:sz="0" w:space="0" w:color="auto"/>
            <w:left w:val="none" w:sz="0" w:space="0" w:color="auto"/>
            <w:bottom w:val="none" w:sz="0" w:space="0" w:color="auto"/>
            <w:right w:val="none" w:sz="0" w:space="0" w:color="auto"/>
          </w:divBdr>
        </w:div>
      </w:divsChild>
    </w:div>
    <w:div w:id="294147284">
      <w:marLeft w:val="0"/>
      <w:marRight w:val="0"/>
      <w:marTop w:val="0"/>
      <w:marBottom w:val="0"/>
      <w:divBdr>
        <w:top w:val="none" w:sz="0" w:space="0" w:color="auto"/>
        <w:left w:val="none" w:sz="0" w:space="0" w:color="auto"/>
        <w:bottom w:val="none" w:sz="0" w:space="0" w:color="auto"/>
        <w:right w:val="none" w:sz="0" w:space="0" w:color="auto"/>
      </w:divBdr>
    </w:div>
    <w:div w:id="294147285">
      <w:marLeft w:val="0"/>
      <w:marRight w:val="0"/>
      <w:marTop w:val="0"/>
      <w:marBottom w:val="0"/>
      <w:divBdr>
        <w:top w:val="none" w:sz="0" w:space="0" w:color="auto"/>
        <w:left w:val="none" w:sz="0" w:space="0" w:color="auto"/>
        <w:bottom w:val="none" w:sz="0" w:space="0" w:color="auto"/>
        <w:right w:val="none" w:sz="0" w:space="0" w:color="auto"/>
      </w:divBdr>
      <w:divsChild>
        <w:div w:id="294149330">
          <w:marLeft w:val="20"/>
          <w:marRight w:val="0"/>
          <w:marTop w:val="20"/>
          <w:marBottom w:val="20"/>
          <w:divBdr>
            <w:top w:val="single" w:sz="8" w:space="1" w:color="E0E0E0"/>
            <w:left w:val="single" w:sz="8" w:space="1" w:color="E0E0E0"/>
            <w:bottom w:val="single" w:sz="8" w:space="2" w:color="E0E0E0"/>
            <w:right w:val="single" w:sz="8" w:space="1" w:color="E0E0E0"/>
          </w:divBdr>
        </w:div>
        <w:div w:id="294154541">
          <w:marLeft w:val="0"/>
          <w:marRight w:val="0"/>
          <w:marTop w:val="0"/>
          <w:marBottom w:val="0"/>
          <w:divBdr>
            <w:top w:val="none" w:sz="0" w:space="0" w:color="auto"/>
            <w:left w:val="none" w:sz="0" w:space="0" w:color="auto"/>
            <w:bottom w:val="none" w:sz="0" w:space="0" w:color="auto"/>
            <w:right w:val="none" w:sz="0" w:space="0" w:color="auto"/>
          </w:divBdr>
          <w:divsChild>
            <w:div w:id="294148652">
              <w:marLeft w:val="0"/>
              <w:marRight w:val="0"/>
              <w:marTop w:val="0"/>
              <w:marBottom w:val="0"/>
              <w:divBdr>
                <w:top w:val="none" w:sz="0" w:space="0" w:color="auto"/>
                <w:left w:val="none" w:sz="0" w:space="0" w:color="auto"/>
                <w:bottom w:val="none" w:sz="0" w:space="0" w:color="auto"/>
                <w:right w:val="none" w:sz="0" w:space="0" w:color="auto"/>
              </w:divBdr>
              <w:divsChild>
                <w:div w:id="29414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47364">
      <w:marLeft w:val="0"/>
      <w:marRight w:val="0"/>
      <w:marTop w:val="0"/>
      <w:marBottom w:val="0"/>
      <w:divBdr>
        <w:top w:val="none" w:sz="0" w:space="0" w:color="auto"/>
        <w:left w:val="none" w:sz="0" w:space="0" w:color="auto"/>
        <w:bottom w:val="none" w:sz="0" w:space="0" w:color="auto"/>
        <w:right w:val="none" w:sz="0" w:space="0" w:color="auto"/>
      </w:divBdr>
    </w:div>
    <w:div w:id="294147505">
      <w:marLeft w:val="0"/>
      <w:marRight w:val="0"/>
      <w:marTop w:val="0"/>
      <w:marBottom w:val="0"/>
      <w:divBdr>
        <w:top w:val="none" w:sz="0" w:space="0" w:color="auto"/>
        <w:left w:val="none" w:sz="0" w:space="0" w:color="auto"/>
        <w:bottom w:val="none" w:sz="0" w:space="0" w:color="auto"/>
        <w:right w:val="none" w:sz="0" w:space="0" w:color="auto"/>
      </w:divBdr>
    </w:div>
    <w:div w:id="294147572">
      <w:marLeft w:val="0"/>
      <w:marRight w:val="0"/>
      <w:marTop w:val="0"/>
      <w:marBottom w:val="0"/>
      <w:divBdr>
        <w:top w:val="none" w:sz="0" w:space="0" w:color="auto"/>
        <w:left w:val="none" w:sz="0" w:space="0" w:color="auto"/>
        <w:bottom w:val="none" w:sz="0" w:space="0" w:color="auto"/>
        <w:right w:val="none" w:sz="0" w:space="0" w:color="auto"/>
      </w:divBdr>
    </w:div>
    <w:div w:id="294147594">
      <w:marLeft w:val="0"/>
      <w:marRight w:val="0"/>
      <w:marTop w:val="0"/>
      <w:marBottom w:val="0"/>
      <w:divBdr>
        <w:top w:val="none" w:sz="0" w:space="0" w:color="auto"/>
        <w:left w:val="none" w:sz="0" w:space="0" w:color="auto"/>
        <w:bottom w:val="none" w:sz="0" w:space="0" w:color="auto"/>
        <w:right w:val="none" w:sz="0" w:space="0" w:color="auto"/>
      </w:divBdr>
    </w:div>
    <w:div w:id="294147620">
      <w:marLeft w:val="0"/>
      <w:marRight w:val="0"/>
      <w:marTop w:val="0"/>
      <w:marBottom w:val="0"/>
      <w:divBdr>
        <w:top w:val="none" w:sz="0" w:space="0" w:color="auto"/>
        <w:left w:val="none" w:sz="0" w:space="0" w:color="auto"/>
        <w:bottom w:val="none" w:sz="0" w:space="0" w:color="auto"/>
        <w:right w:val="none" w:sz="0" w:space="0" w:color="auto"/>
      </w:divBdr>
    </w:div>
    <w:div w:id="294147638">
      <w:marLeft w:val="0"/>
      <w:marRight w:val="0"/>
      <w:marTop w:val="0"/>
      <w:marBottom w:val="0"/>
      <w:divBdr>
        <w:top w:val="none" w:sz="0" w:space="0" w:color="auto"/>
        <w:left w:val="none" w:sz="0" w:space="0" w:color="auto"/>
        <w:bottom w:val="none" w:sz="0" w:space="0" w:color="auto"/>
        <w:right w:val="none" w:sz="0" w:space="0" w:color="auto"/>
      </w:divBdr>
    </w:div>
    <w:div w:id="294147643">
      <w:marLeft w:val="0"/>
      <w:marRight w:val="0"/>
      <w:marTop w:val="0"/>
      <w:marBottom w:val="0"/>
      <w:divBdr>
        <w:top w:val="none" w:sz="0" w:space="0" w:color="auto"/>
        <w:left w:val="none" w:sz="0" w:space="0" w:color="auto"/>
        <w:bottom w:val="none" w:sz="0" w:space="0" w:color="auto"/>
        <w:right w:val="none" w:sz="0" w:space="0" w:color="auto"/>
      </w:divBdr>
      <w:divsChild>
        <w:div w:id="294142466">
          <w:marLeft w:val="0"/>
          <w:marRight w:val="0"/>
          <w:marTop w:val="0"/>
          <w:marBottom w:val="0"/>
          <w:divBdr>
            <w:top w:val="none" w:sz="0" w:space="0" w:color="auto"/>
            <w:left w:val="none" w:sz="0" w:space="0" w:color="auto"/>
            <w:bottom w:val="none" w:sz="0" w:space="0" w:color="auto"/>
            <w:right w:val="none" w:sz="0" w:space="0" w:color="auto"/>
          </w:divBdr>
          <w:divsChild>
            <w:div w:id="294142835">
              <w:marLeft w:val="0"/>
              <w:marRight w:val="0"/>
              <w:marTop w:val="0"/>
              <w:marBottom w:val="0"/>
              <w:divBdr>
                <w:top w:val="none" w:sz="0" w:space="0" w:color="auto"/>
                <w:left w:val="none" w:sz="0" w:space="0" w:color="auto"/>
                <w:bottom w:val="none" w:sz="0" w:space="0" w:color="auto"/>
                <w:right w:val="none" w:sz="0" w:space="0" w:color="auto"/>
              </w:divBdr>
              <w:divsChild>
                <w:div w:id="294155392">
                  <w:marLeft w:val="0"/>
                  <w:marRight w:val="0"/>
                  <w:marTop w:val="0"/>
                  <w:marBottom w:val="0"/>
                  <w:divBdr>
                    <w:top w:val="none" w:sz="0" w:space="0" w:color="auto"/>
                    <w:left w:val="none" w:sz="0" w:space="0" w:color="auto"/>
                    <w:bottom w:val="none" w:sz="0" w:space="0" w:color="auto"/>
                    <w:right w:val="none" w:sz="0" w:space="0" w:color="auto"/>
                  </w:divBdr>
                  <w:divsChild>
                    <w:div w:id="294138016">
                      <w:marLeft w:val="0"/>
                      <w:marRight w:val="0"/>
                      <w:marTop w:val="0"/>
                      <w:marBottom w:val="0"/>
                      <w:divBdr>
                        <w:top w:val="none" w:sz="0" w:space="0" w:color="auto"/>
                        <w:left w:val="none" w:sz="0" w:space="0" w:color="auto"/>
                        <w:bottom w:val="none" w:sz="0" w:space="0" w:color="auto"/>
                        <w:right w:val="none" w:sz="0" w:space="0" w:color="auto"/>
                      </w:divBdr>
                      <w:divsChild>
                        <w:div w:id="294147811">
                          <w:marLeft w:val="0"/>
                          <w:marRight w:val="0"/>
                          <w:marTop w:val="0"/>
                          <w:marBottom w:val="0"/>
                          <w:divBdr>
                            <w:top w:val="none" w:sz="0" w:space="0" w:color="auto"/>
                            <w:left w:val="none" w:sz="0" w:space="0" w:color="auto"/>
                            <w:bottom w:val="none" w:sz="0" w:space="0" w:color="auto"/>
                            <w:right w:val="none" w:sz="0" w:space="0" w:color="auto"/>
                          </w:divBdr>
                        </w:div>
                      </w:divsChild>
                    </w:div>
                    <w:div w:id="294138039">
                      <w:marLeft w:val="0"/>
                      <w:marRight w:val="0"/>
                      <w:marTop w:val="0"/>
                      <w:marBottom w:val="0"/>
                      <w:divBdr>
                        <w:top w:val="none" w:sz="0" w:space="0" w:color="auto"/>
                        <w:left w:val="none" w:sz="0" w:space="0" w:color="auto"/>
                        <w:bottom w:val="none" w:sz="0" w:space="0" w:color="auto"/>
                        <w:right w:val="none" w:sz="0" w:space="0" w:color="auto"/>
                      </w:divBdr>
                    </w:div>
                    <w:div w:id="294138063">
                      <w:marLeft w:val="0"/>
                      <w:marRight w:val="0"/>
                      <w:marTop w:val="0"/>
                      <w:marBottom w:val="0"/>
                      <w:divBdr>
                        <w:top w:val="none" w:sz="0" w:space="0" w:color="auto"/>
                        <w:left w:val="none" w:sz="0" w:space="0" w:color="auto"/>
                        <w:bottom w:val="none" w:sz="0" w:space="0" w:color="auto"/>
                        <w:right w:val="none" w:sz="0" w:space="0" w:color="auto"/>
                      </w:divBdr>
                      <w:divsChild>
                        <w:div w:id="294151753">
                          <w:marLeft w:val="0"/>
                          <w:marRight w:val="0"/>
                          <w:marTop w:val="0"/>
                          <w:marBottom w:val="0"/>
                          <w:divBdr>
                            <w:top w:val="none" w:sz="0" w:space="0" w:color="auto"/>
                            <w:left w:val="none" w:sz="0" w:space="0" w:color="auto"/>
                            <w:bottom w:val="none" w:sz="0" w:space="0" w:color="auto"/>
                            <w:right w:val="none" w:sz="0" w:space="0" w:color="auto"/>
                          </w:divBdr>
                        </w:div>
                      </w:divsChild>
                    </w:div>
                    <w:div w:id="294138075">
                      <w:marLeft w:val="0"/>
                      <w:marRight w:val="0"/>
                      <w:marTop w:val="0"/>
                      <w:marBottom w:val="0"/>
                      <w:divBdr>
                        <w:top w:val="none" w:sz="0" w:space="0" w:color="auto"/>
                        <w:left w:val="none" w:sz="0" w:space="0" w:color="auto"/>
                        <w:bottom w:val="none" w:sz="0" w:space="0" w:color="auto"/>
                        <w:right w:val="none" w:sz="0" w:space="0" w:color="auto"/>
                      </w:divBdr>
                    </w:div>
                    <w:div w:id="294138085">
                      <w:marLeft w:val="0"/>
                      <w:marRight w:val="0"/>
                      <w:marTop w:val="0"/>
                      <w:marBottom w:val="0"/>
                      <w:divBdr>
                        <w:top w:val="none" w:sz="0" w:space="0" w:color="auto"/>
                        <w:left w:val="none" w:sz="0" w:space="0" w:color="auto"/>
                        <w:bottom w:val="none" w:sz="0" w:space="0" w:color="auto"/>
                        <w:right w:val="none" w:sz="0" w:space="0" w:color="auto"/>
                      </w:divBdr>
                      <w:divsChild>
                        <w:div w:id="294150265">
                          <w:marLeft w:val="0"/>
                          <w:marRight w:val="0"/>
                          <w:marTop w:val="0"/>
                          <w:marBottom w:val="0"/>
                          <w:divBdr>
                            <w:top w:val="none" w:sz="0" w:space="0" w:color="auto"/>
                            <w:left w:val="none" w:sz="0" w:space="0" w:color="auto"/>
                            <w:bottom w:val="none" w:sz="0" w:space="0" w:color="auto"/>
                            <w:right w:val="none" w:sz="0" w:space="0" w:color="auto"/>
                          </w:divBdr>
                        </w:div>
                      </w:divsChild>
                    </w:div>
                    <w:div w:id="294138086">
                      <w:marLeft w:val="0"/>
                      <w:marRight w:val="0"/>
                      <w:marTop w:val="0"/>
                      <w:marBottom w:val="0"/>
                      <w:divBdr>
                        <w:top w:val="none" w:sz="0" w:space="0" w:color="auto"/>
                        <w:left w:val="none" w:sz="0" w:space="0" w:color="auto"/>
                        <w:bottom w:val="none" w:sz="0" w:space="0" w:color="auto"/>
                        <w:right w:val="none" w:sz="0" w:space="0" w:color="auto"/>
                      </w:divBdr>
                    </w:div>
                    <w:div w:id="294138099">
                      <w:marLeft w:val="0"/>
                      <w:marRight w:val="0"/>
                      <w:marTop w:val="0"/>
                      <w:marBottom w:val="0"/>
                      <w:divBdr>
                        <w:top w:val="none" w:sz="0" w:space="0" w:color="auto"/>
                        <w:left w:val="none" w:sz="0" w:space="0" w:color="auto"/>
                        <w:bottom w:val="none" w:sz="0" w:space="0" w:color="auto"/>
                        <w:right w:val="none" w:sz="0" w:space="0" w:color="auto"/>
                      </w:divBdr>
                    </w:div>
                    <w:div w:id="294138104">
                      <w:marLeft w:val="0"/>
                      <w:marRight w:val="0"/>
                      <w:marTop w:val="0"/>
                      <w:marBottom w:val="0"/>
                      <w:divBdr>
                        <w:top w:val="none" w:sz="0" w:space="0" w:color="auto"/>
                        <w:left w:val="none" w:sz="0" w:space="0" w:color="auto"/>
                        <w:bottom w:val="none" w:sz="0" w:space="0" w:color="auto"/>
                        <w:right w:val="none" w:sz="0" w:space="0" w:color="auto"/>
                      </w:divBdr>
                      <w:divsChild>
                        <w:div w:id="294138775">
                          <w:marLeft w:val="0"/>
                          <w:marRight w:val="0"/>
                          <w:marTop w:val="0"/>
                          <w:marBottom w:val="0"/>
                          <w:divBdr>
                            <w:top w:val="none" w:sz="0" w:space="0" w:color="auto"/>
                            <w:left w:val="none" w:sz="0" w:space="0" w:color="auto"/>
                            <w:bottom w:val="none" w:sz="0" w:space="0" w:color="auto"/>
                            <w:right w:val="none" w:sz="0" w:space="0" w:color="auto"/>
                          </w:divBdr>
                        </w:div>
                      </w:divsChild>
                    </w:div>
                    <w:div w:id="294138107">
                      <w:marLeft w:val="0"/>
                      <w:marRight w:val="0"/>
                      <w:marTop w:val="0"/>
                      <w:marBottom w:val="0"/>
                      <w:divBdr>
                        <w:top w:val="none" w:sz="0" w:space="0" w:color="auto"/>
                        <w:left w:val="none" w:sz="0" w:space="0" w:color="auto"/>
                        <w:bottom w:val="none" w:sz="0" w:space="0" w:color="auto"/>
                        <w:right w:val="none" w:sz="0" w:space="0" w:color="auto"/>
                      </w:divBdr>
                    </w:div>
                    <w:div w:id="294138127">
                      <w:marLeft w:val="0"/>
                      <w:marRight w:val="0"/>
                      <w:marTop w:val="0"/>
                      <w:marBottom w:val="0"/>
                      <w:divBdr>
                        <w:top w:val="none" w:sz="0" w:space="0" w:color="auto"/>
                        <w:left w:val="none" w:sz="0" w:space="0" w:color="auto"/>
                        <w:bottom w:val="none" w:sz="0" w:space="0" w:color="auto"/>
                        <w:right w:val="none" w:sz="0" w:space="0" w:color="auto"/>
                      </w:divBdr>
                      <w:divsChild>
                        <w:div w:id="294152362">
                          <w:marLeft w:val="0"/>
                          <w:marRight w:val="0"/>
                          <w:marTop w:val="0"/>
                          <w:marBottom w:val="0"/>
                          <w:divBdr>
                            <w:top w:val="none" w:sz="0" w:space="0" w:color="auto"/>
                            <w:left w:val="none" w:sz="0" w:space="0" w:color="auto"/>
                            <w:bottom w:val="none" w:sz="0" w:space="0" w:color="auto"/>
                            <w:right w:val="none" w:sz="0" w:space="0" w:color="auto"/>
                          </w:divBdr>
                        </w:div>
                      </w:divsChild>
                    </w:div>
                    <w:div w:id="294138170">
                      <w:marLeft w:val="0"/>
                      <w:marRight w:val="0"/>
                      <w:marTop w:val="0"/>
                      <w:marBottom w:val="0"/>
                      <w:divBdr>
                        <w:top w:val="none" w:sz="0" w:space="0" w:color="auto"/>
                        <w:left w:val="none" w:sz="0" w:space="0" w:color="auto"/>
                        <w:bottom w:val="none" w:sz="0" w:space="0" w:color="auto"/>
                        <w:right w:val="none" w:sz="0" w:space="0" w:color="auto"/>
                      </w:divBdr>
                    </w:div>
                    <w:div w:id="294138188">
                      <w:marLeft w:val="0"/>
                      <w:marRight w:val="0"/>
                      <w:marTop w:val="0"/>
                      <w:marBottom w:val="0"/>
                      <w:divBdr>
                        <w:top w:val="none" w:sz="0" w:space="0" w:color="auto"/>
                        <w:left w:val="none" w:sz="0" w:space="0" w:color="auto"/>
                        <w:bottom w:val="none" w:sz="0" w:space="0" w:color="auto"/>
                        <w:right w:val="none" w:sz="0" w:space="0" w:color="auto"/>
                      </w:divBdr>
                    </w:div>
                    <w:div w:id="294138227">
                      <w:marLeft w:val="0"/>
                      <w:marRight w:val="0"/>
                      <w:marTop w:val="0"/>
                      <w:marBottom w:val="0"/>
                      <w:divBdr>
                        <w:top w:val="none" w:sz="0" w:space="0" w:color="auto"/>
                        <w:left w:val="none" w:sz="0" w:space="0" w:color="auto"/>
                        <w:bottom w:val="none" w:sz="0" w:space="0" w:color="auto"/>
                        <w:right w:val="none" w:sz="0" w:space="0" w:color="auto"/>
                      </w:divBdr>
                      <w:divsChild>
                        <w:div w:id="294153129">
                          <w:marLeft w:val="0"/>
                          <w:marRight w:val="0"/>
                          <w:marTop w:val="0"/>
                          <w:marBottom w:val="0"/>
                          <w:divBdr>
                            <w:top w:val="none" w:sz="0" w:space="0" w:color="auto"/>
                            <w:left w:val="none" w:sz="0" w:space="0" w:color="auto"/>
                            <w:bottom w:val="none" w:sz="0" w:space="0" w:color="auto"/>
                            <w:right w:val="none" w:sz="0" w:space="0" w:color="auto"/>
                          </w:divBdr>
                        </w:div>
                      </w:divsChild>
                    </w:div>
                    <w:div w:id="294138320">
                      <w:marLeft w:val="0"/>
                      <w:marRight w:val="0"/>
                      <w:marTop w:val="0"/>
                      <w:marBottom w:val="0"/>
                      <w:divBdr>
                        <w:top w:val="none" w:sz="0" w:space="0" w:color="auto"/>
                        <w:left w:val="none" w:sz="0" w:space="0" w:color="auto"/>
                        <w:bottom w:val="none" w:sz="0" w:space="0" w:color="auto"/>
                        <w:right w:val="none" w:sz="0" w:space="0" w:color="auto"/>
                      </w:divBdr>
                    </w:div>
                    <w:div w:id="294138347">
                      <w:marLeft w:val="0"/>
                      <w:marRight w:val="0"/>
                      <w:marTop w:val="0"/>
                      <w:marBottom w:val="0"/>
                      <w:divBdr>
                        <w:top w:val="none" w:sz="0" w:space="0" w:color="auto"/>
                        <w:left w:val="none" w:sz="0" w:space="0" w:color="auto"/>
                        <w:bottom w:val="none" w:sz="0" w:space="0" w:color="auto"/>
                        <w:right w:val="none" w:sz="0" w:space="0" w:color="auto"/>
                      </w:divBdr>
                    </w:div>
                    <w:div w:id="294138405">
                      <w:marLeft w:val="0"/>
                      <w:marRight w:val="0"/>
                      <w:marTop w:val="0"/>
                      <w:marBottom w:val="0"/>
                      <w:divBdr>
                        <w:top w:val="none" w:sz="0" w:space="0" w:color="auto"/>
                        <w:left w:val="none" w:sz="0" w:space="0" w:color="auto"/>
                        <w:bottom w:val="none" w:sz="0" w:space="0" w:color="auto"/>
                        <w:right w:val="none" w:sz="0" w:space="0" w:color="auto"/>
                      </w:divBdr>
                      <w:divsChild>
                        <w:div w:id="294146642">
                          <w:marLeft w:val="0"/>
                          <w:marRight w:val="0"/>
                          <w:marTop w:val="0"/>
                          <w:marBottom w:val="0"/>
                          <w:divBdr>
                            <w:top w:val="none" w:sz="0" w:space="0" w:color="auto"/>
                            <w:left w:val="none" w:sz="0" w:space="0" w:color="auto"/>
                            <w:bottom w:val="none" w:sz="0" w:space="0" w:color="auto"/>
                            <w:right w:val="none" w:sz="0" w:space="0" w:color="auto"/>
                          </w:divBdr>
                        </w:div>
                      </w:divsChild>
                    </w:div>
                    <w:div w:id="294138501">
                      <w:marLeft w:val="0"/>
                      <w:marRight w:val="0"/>
                      <w:marTop w:val="0"/>
                      <w:marBottom w:val="0"/>
                      <w:divBdr>
                        <w:top w:val="none" w:sz="0" w:space="0" w:color="auto"/>
                        <w:left w:val="none" w:sz="0" w:space="0" w:color="auto"/>
                        <w:bottom w:val="none" w:sz="0" w:space="0" w:color="auto"/>
                        <w:right w:val="none" w:sz="0" w:space="0" w:color="auto"/>
                      </w:divBdr>
                      <w:divsChild>
                        <w:div w:id="294157312">
                          <w:marLeft w:val="0"/>
                          <w:marRight w:val="0"/>
                          <w:marTop w:val="0"/>
                          <w:marBottom w:val="0"/>
                          <w:divBdr>
                            <w:top w:val="none" w:sz="0" w:space="0" w:color="auto"/>
                            <w:left w:val="none" w:sz="0" w:space="0" w:color="auto"/>
                            <w:bottom w:val="none" w:sz="0" w:space="0" w:color="auto"/>
                            <w:right w:val="none" w:sz="0" w:space="0" w:color="auto"/>
                          </w:divBdr>
                        </w:div>
                      </w:divsChild>
                    </w:div>
                    <w:div w:id="294138535">
                      <w:marLeft w:val="0"/>
                      <w:marRight w:val="0"/>
                      <w:marTop w:val="0"/>
                      <w:marBottom w:val="0"/>
                      <w:divBdr>
                        <w:top w:val="none" w:sz="0" w:space="0" w:color="auto"/>
                        <w:left w:val="none" w:sz="0" w:space="0" w:color="auto"/>
                        <w:bottom w:val="none" w:sz="0" w:space="0" w:color="auto"/>
                        <w:right w:val="none" w:sz="0" w:space="0" w:color="auto"/>
                      </w:divBdr>
                    </w:div>
                    <w:div w:id="294138568">
                      <w:marLeft w:val="0"/>
                      <w:marRight w:val="0"/>
                      <w:marTop w:val="0"/>
                      <w:marBottom w:val="0"/>
                      <w:divBdr>
                        <w:top w:val="none" w:sz="0" w:space="0" w:color="auto"/>
                        <w:left w:val="none" w:sz="0" w:space="0" w:color="auto"/>
                        <w:bottom w:val="none" w:sz="0" w:space="0" w:color="auto"/>
                        <w:right w:val="none" w:sz="0" w:space="0" w:color="auto"/>
                      </w:divBdr>
                      <w:divsChild>
                        <w:div w:id="294141117">
                          <w:marLeft w:val="0"/>
                          <w:marRight w:val="0"/>
                          <w:marTop w:val="0"/>
                          <w:marBottom w:val="0"/>
                          <w:divBdr>
                            <w:top w:val="none" w:sz="0" w:space="0" w:color="auto"/>
                            <w:left w:val="none" w:sz="0" w:space="0" w:color="auto"/>
                            <w:bottom w:val="none" w:sz="0" w:space="0" w:color="auto"/>
                            <w:right w:val="none" w:sz="0" w:space="0" w:color="auto"/>
                          </w:divBdr>
                        </w:div>
                      </w:divsChild>
                    </w:div>
                    <w:div w:id="294138611">
                      <w:marLeft w:val="0"/>
                      <w:marRight w:val="0"/>
                      <w:marTop w:val="0"/>
                      <w:marBottom w:val="0"/>
                      <w:divBdr>
                        <w:top w:val="none" w:sz="0" w:space="0" w:color="auto"/>
                        <w:left w:val="none" w:sz="0" w:space="0" w:color="auto"/>
                        <w:bottom w:val="none" w:sz="0" w:space="0" w:color="auto"/>
                        <w:right w:val="none" w:sz="0" w:space="0" w:color="auto"/>
                      </w:divBdr>
                    </w:div>
                    <w:div w:id="294138620">
                      <w:marLeft w:val="0"/>
                      <w:marRight w:val="0"/>
                      <w:marTop w:val="0"/>
                      <w:marBottom w:val="0"/>
                      <w:divBdr>
                        <w:top w:val="none" w:sz="0" w:space="0" w:color="auto"/>
                        <w:left w:val="none" w:sz="0" w:space="0" w:color="auto"/>
                        <w:bottom w:val="none" w:sz="0" w:space="0" w:color="auto"/>
                        <w:right w:val="none" w:sz="0" w:space="0" w:color="auto"/>
                      </w:divBdr>
                      <w:divsChild>
                        <w:div w:id="294148369">
                          <w:marLeft w:val="0"/>
                          <w:marRight w:val="0"/>
                          <w:marTop w:val="0"/>
                          <w:marBottom w:val="0"/>
                          <w:divBdr>
                            <w:top w:val="none" w:sz="0" w:space="0" w:color="auto"/>
                            <w:left w:val="none" w:sz="0" w:space="0" w:color="auto"/>
                            <w:bottom w:val="none" w:sz="0" w:space="0" w:color="auto"/>
                            <w:right w:val="none" w:sz="0" w:space="0" w:color="auto"/>
                          </w:divBdr>
                        </w:div>
                      </w:divsChild>
                    </w:div>
                    <w:div w:id="294138644">
                      <w:marLeft w:val="0"/>
                      <w:marRight w:val="0"/>
                      <w:marTop w:val="0"/>
                      <w:marBottom w:val="0"/>
                      <w:divBdr>
                        <w:top w:val="none" w:sz="0" w:space="0" w:color="auto"/>
                        <w:left w:val="none" w:sz="0" w:space="0" w:color="auto"/>
                        <w:bottom w:val="none" w:sz="0" w:space="0" w:color="auto"/>
                        <w:right w:val="none" w:sz="0" w:space="0" w:color="auto"/>
                      </w:divBdr>
                      <w:divsChild>
                        <w:div w:id="294140945">
                          <w:marLeft w:val="0"/>
                          <w:marRight w:val="0"/>
                          <w:marTop w:val="0"/>
                          <w:marBottom w:val="0"/>
                          <w:divBdr>
                            <w:top w:val="none" w:sz="0" w:space="0" w:color="auto"/>
                            <w:left w:val="none" w:sz="0" w:space="0" w:color="auto"/>
                            <w:bottom w:val="none" w:sz="0" w:space="0" w:color="auto"/>
                            <w:right w:val="none" w:sz="0" w:space="0" w:color="auto"/>
                          </w:divBdr>
                        </w:div>
                      </w:divsChild>
                    </w:div>
                    <w:div w:id="294138647">
                      <w:marLeft w:val="0"/>
                      <w:marRight w:val="0"/>
                      <w:marTop w:val="0"/>
                      <w:marBottom w:val="0"/>
                      <w:divBdr>
                        <w:top w:val="none" w:sz="0" w:space="0" w:color="auto"/>
                        <w:left w:val="none" w:sz="0" w:space="0" w:color="auto"/>
                        <w:bottom w:val="none" w:sz="0" w:space="0" w:color="auto"/>
                        <w:right w:val="none" w:sz="0" w:space="0" w:color="auto"/>
                      </w:divBdr>
                    </w:div>
                    <w:div w:id="294138703">
                      <w:marLeft w:val="0"/>
                      <w:marRight w:val="0"/>
                      <w:marTop w:val="0"/>
                      <w:marBottom w:val="0"/>
                      <w:divBdr>
                        <w:top w:val="none" w:sz="0" w:space="0" w:color="auto"/>
                        <w:left w:val="none" w:sz="0" w:space="0" w:color="auto"/>
                        <w:bottom w:val="none" w:sz="0" w:space="0" w:color="auto"/>
                        <w:right w:val="none" w:sz="0" w:space="0" w:color="auto"/>
                      </w:divBdr>
                      <w:divsChild>
                        <w:div w:id="294151730">
                          <w:marLeft w:val="0"/>
                          <w:marRight w:val="0"/>
                          <w:marTop w:val="0"/>
                          <w:marBottom w:val="0"/>
                          <w:divBdr>
                            <w:top w:val="none" w:sz="0" w:space="0" w:color="auto"/>
                            <w:left w:val="none" w:sz="0" w:space="0" w:color="auto"/>
                            <w:bottom w:val="none" w:sz="0" w:space="0" w:color="auto"/>
                            <w:right w:val="none" w:sz="0" w:space="0" w:color="auto"/>
                          </w:divBdr>
                        </w:div>
                      </w:divsChild>
                    </w:div>
                    <w:div w:id="294138707">
                      <w:marLeft w:val="0"/>
                      <w:marRight w:val="0"/>
                      <w:marTop w:val="0"/>
                      <w:marBottom w:val="0"/>
                      <w:divBdr>
                        <w:top w:val="none" w:sz="0" w:space="0" w:color="auto"/>
                        <w:left w:val="none" w:sz="0" w:space="0" w:color="auto"/>
                        <w:bottom w:val="none" w:sz="0" w:space="0" w:color="auto"/>
                        <w:right w:val="none" w:sz="0" w:space="0" w:color="auto"/>
                      </w:divBdr>
                    </w:div>
                    <w:div w:id="294138769">
                      <w:marLeft w:val="0"/>
                      <w:marRight w:val="0"/>
                      <w:marTop w:val="0"/>
                      <w:marBottom w:val="0"/>
                      <w:divBdr>
                        <w:top w:val="none" w:sz="0" w:space="0" w:color="auto"/>
                        <w:left w:val="none" w:sz="0" w:space="0" w:color="auto"/>
                        <w:bottom w:val="none" w:sz="0" w:space="0" w:color="auto"/>
                        <w:right w:val="none" w:sz="0" w:space="0" w:color="auto"/>
                      </w:divBdr>
                    </w:div>
                    <w:div w:id="294138799">
                      <w:marLeft w:val="0"/>
                      <w:marRight w:val="0"/>
                      <w:marTop w:val="0"/>
                      <w:marBottom w:val="0"/>
                      <w:divBdr>
                        <w:top w:val="none" w:sz="0" w:space="0" w:color="auto"/>
                        <w:left w:val="none" w:sz="0" w:space="0" w:color="auto"/>
                        <w:bottom w:val="none" w:sz="0" w:space="0" w:color="auto"/>
                        <w:right w:val="none" w:sz="0" w:space="0" w:color="auto"/>
                      </w:divBdr>
                    </w:div>
                    <w:div w:id="294138822">
                      <w:marLeft w:val="0"/>
                      <w:marRight w:val="0"/>
                      <w:marTop w:val="0"/>
                      <w:marBottom w:val="0"/>
                      <w:divBdr>
                        <w:top w:val="none" w:sz="0" w:space="0" w:color="auto"/>
                        <w:left w:val="none" w:sz="0" w:space="0" w:color="auto"/>
                        <w:bottom w:val="none" w:sz="0" w:space="0" w:color="auto"/>
                        <w:right w:val="none" w:sz="0" w:space="0" w:color="auto"/>
                      </w:divBdr>
                      <w:divsChild>
                        <w:div w:id="294141993">
                          <w:marLeft w:val="0"/>
                          <w:marRight w:val="0"/>
                          <w:marTop w:val="0"/>
                          <w:marBottom w:val="0"/>
                          <w:divBdr>
                            <w:top w:val="none" w:sz="0" w:space="0" w:color="auto"/>
                            <w:left w:val="none" w:sz="0" w:space="0" w:color="auto"/>
                            <w:bottom w:val="none" w:sz="0" w:space="0" w:color="auto"/>
                            <w:right w:val="none" w:sz="0" w:space="0" w:color="auto"/>
                          </w:divBdr>
                        </w:div>
                      </w:divsChild>
                    </w:div>
                    <w:div w:id="294138886">
                      <w:marLeft w:val="0"/>
                      <w:marRight w:val="0"/>
                      <w:marTop w:val="0"/>
                      <w:marBottom w:val="0"/>
                      <w:divBdr>
                        <w:top w:val="none" w:sz="0" w:space="0" w:color="auto"/>
                        <w:left w:val="none" w:sz="0" w:space="0" w:color="auto"/>
                        <w:bottom w:val="none" w:sz="0" w:space="0" w:color="auto"/>
                        <w:right w:val="none" w:sz="0" w:space="0" w:color="auto"/>
                      </w:divBdr>
                    </w:div>
                    <w:div w:id="294138910">
                      <w:marLeft w:val="0"/>
                      <w:marRight w:val="0"/>
                      <w:marTop w:val="0"/>
                      <w:marBottom w:val="0"/>
                      <w:divBdr>
                        <w:top w:val="none" w:sz="0" w:space="0" w:color="auto"/>
                        <w:left w:val="none" w:sz="0" w:space="0" w:color="auto"/>
                        <w:bottom w:val="none" w:sz="0" w:space="0" w:color="auto"/>
                        <w:right w:val="none" w:sz="0" w:space="0" w:color="auto"/>
                      </w:divBdr>
                    </w:div>
                    <w:div w:id="294138929">
                      <w:marLeft w:val="0"/>
                      <w:marRight w:val="0"/>
                      <w:marTop w:val="0"/>
                      <w:marBottom w:val="0"/>
                      <w:divBdr>
                        <w:top w:val="none" w:sz="0" w:space="0" w:color="auto"/>
                        <w:left w:val="none" w:sz="0" w:space="0" w:color="auto"/>
                        <w:bottom w:val="none" w:sz="0" w:space="0" w:color="auto"/>
                        <w:right w:val="none" w:sz="0" w:space="0" w:color="auto"/>
                      </w:divBdr>
                    </w:div>
                    <w:div w:id="294138977">
                      <w:marLeft w:val="0"/>
                      <w:marRight w:val="0"/>
                      <w:marTop w:val="0"/>
                      <w:marBottom w:val="0"/>
                      <w:divBdr>
                        <w:top w:val="none" w:sz="0" w:space="0" w:color="auto"/>
                        <w:left w:val="none" w:sz="0" w:space="0" w:color="auto"/>
                        <w:bottom w:val="none" w:sz="0" w:space="0" w:color="auto"/>
                        <w:right w:val="none" w:sz="0" w:space="0" w:color="auto"/>
                      </w:divBdr>
                      <w:divsChild>
                        <w:div w:id="294153111">
                          <w:marLeft w:val="0"/>
                          <w:marRight w:val="0"/>
                          <w:marTop w:val="0"/>
                          <w:marBottom w:val="0"/>
                          <w:divBdr>
                            <w:top w:val="none" w:sz="0" w:space="0" w:color="auto"/>
                            <w:left w:val="none" w:sz="0" w:space="0" w:color="auto"/>
                            <w:bottom w:val="none" w:sz="0" w:space="0" w:color="auto"/>
                            <w:right w:val="none" w:sz="0" w:space="0" w:color="auto"/>
                          </w:divBdr>
                        </w:div>
                      </w:divsChild>
                    </w:div>
                    <w:div w:id="294138988">
                      <w:marLeft w:val="0"/>
                      <w:marRight w:val="0"/>
                      <w:marTop w:val="0"/>
                      <w:marBottom w:val="0"/>
                      <w:divBdr>
                        <w:top w:val="none" w:sz="0" w:space="0" w:color="auto"/>
                        <w:left w:val="none" w:sz="0" w:space="0" w:color="auto"/>
                        <w:bottom w:val="none" w:sz="0" w:space="0" w:color="auto"/>
                        <w:right w:val="none" w:sz="0" w:space="0" w:color="auto"/>
                      </w:divBdr>
                    </w:div>
                    <w:div w:id="294139054">
                      <w:marLeft w:val="0"/>
                      <w:marRight w:val="0"/>
                      <w:marTop w:val="0"/>
                      <w:marBottom w:val="0"/>
                      <w:divBdr>
                        <w:top w:val="none" w:sz="0" w:space="0" w:color="auto"/>
                        <w:left w:val="none" w:sz="0" w:space="0" w:color="auto"/>
                        <w:bottom w:val="none" w:sz="0" w:space="0" w:color="auto"/>
                        <w:right w:val="none" w:sz="0" w:space="0" w:color="auto"/>
                      </w:divBdr>
                    </w:div>
                    <w:div w:id="294139069">
                      <w:marLeft w:val="0"/>
                      <w:marRight w:val="0"/>
                      <w:marTop w:val="0"/>
                      <w:marBottom w:val="0"/>
                      <w:divBdr>
                        <w:top w:val="none" w:sz="0" w:space="0" w:color="auto"/>
                        <w:left w:val="none" w:sz="0" w:space="0" w:color="auto"/>
                        <w:bottom w:val="none" w:sz="0" w:space="0" w:color="auto"/>
                        <w:right w:val="none" w:sz="0" w:space="0" w:color="auto"/>
                      </w:divBdr>
                    </w:div>
                    <w:div w:id="294139073">
                      <w:marLeft w:val="0"/>
                      <w:marRight w:val="0"/>
                      <w:marTop w:val="0"/>
                      <w:marBottom w:val="0"/>
                      <w:divBdr>
                        <w:top w:val="none" w:sz="0" w:space="0" w:color="auto"/>
                        <w:left w:val="none" w:sz="0" w:space="0" w:color="auto"/>
                        <w:bottom w:val="none" w:sz="0" w:space="0" w:color="auto"/>
                        <w:right w:val="none" w:sz="0" w:space="0" w:color="auto"/>
                      </w:divBdr>
                    </w:div>
                    <w:div w:id="294139142">
                      <w:marLeft w:val="0"/>
                      <w:marRight w:val="0"/>
                      <w:marTop w:val="0"/>
                      <w:marBottom w:val="0"/>
                      <w:divBdr>
                        <w:top w:val="none" w:sz="0" w:space="0" w:color="auto"/>
                        <w:left w:val="none" w:sz="0" w:space="0" w:color="auto"/>
                        <w:bottom w:val="none" w:sz="0" w:space="0" w:color="auto"/>
                        <w:right w:val="none" w:sz="0" w:space="0" w:color="auto"/>
                      </w:divBdr>
                    </w:div>
                    <w:div w:id="294139224">
                      <w:marLeft w:val="0"/>
                      <w:marRight w:val="0"/>
                      <w:marTop w:val="0"/>
                      <w:marBottom w:val="0"/>
                      <w:divBdr>
                        <w:top w:val="none" w:sz="0" w:space="0" w:color="auto"/>
                        <w:left w:val="none" w:sz="0" w:space="0" w:color="auto"/>
                        <w:bottom w:val="none" w:sz="0" w:space="0" w:color="auto"/>
                        <w:right w:val="none" w:sz="0" w:space="0" w:color="auto"/>
                      </w:divBdr>
                      <w:divsChild>
                        <w:div w:id="294150963">
                          <w:marLeft w:val="0"/>
                          <w:marRight w:val="0"/>
                          <w:marTop w:val="0"/>
                          <w:marBottom w:val="0"/>
                          <w:divBdr>
                            <w:top w:val="none" w:sz="0" w:space="0" w:color="auto"/>
                            <w:left w:val="none" w:sz="0" w:space="0" w:color="auto"/>
                            <w:bottom w:val="none" w:sz="0" w:space="0" w:color="auto"/>
                            <w:right w:val="none" w:sz="0" w:space="0" w:color="auto"/>
                          </w:divBdr>
                        </w:div>
                      </w:divsChild>
                    </w:div>
                    <w:div w:id="294139271">
                      <w:marLeft w:val="0"/>
                      <w:marRight w:val="0"/>
                      <w:marTop w:val="0"/>
                      <w:marBottom w:val="0"/>
                      <w:divBdr>
                        <w:top w:val="none" w:sz="0" w:space="0" w:color="auto"/>
                        <w:left w:val="none" w:sz="0" w:space="0" w:color="auto"/>
                        <w:bottom w:val="none" w:sz="0" w:space="0" w:color="auto"/>
                        <w:right w:val="none" w:sz="0" w:space="0" w:color="auto"/>
                      </w:divBdr>
                      <w:divsChild>
                        <w:div w:id="294145958">
                          <w:marLeft w:val="0"/>
                          <w:marRight w:val="0"/>
                          <w:marTop w:val="0"/>
                          <w:marBottom w:val="0"/>
                          <w:divBdr>
                            <w:top w:val="none" w:sz="0" w:space="0" w:color="auto"/>
                            <w:left w:val="none" w:sz="0" w:space="0" w:color="auto"/>
                            <w:bottom w:val="none" w:sz="0" w:space="0" w:color="auto"/>
                            <w:right w:val="none" w:sz="0" w:space="0" w:color="auto"/>
                          </w:divBdr>
                        </w:div>
                      </w:divsChild>
                    </w:div>
                    <w:div w:id="294139274">
                      <w:marLeft w:val="0"/>
                      <w:marRight w:val="0"/>
                      <w:marTop w:val="0"/>
                      <w:marBottom w:val="0"/>
                      <w:divBdr>
                        <w:top w:val="none" w:sz="0" w:space="0" w:color="auto"/>
                        <w:left w:val="none" w:sz="0" w:space="0" w:color="auto"/>
                        <w:bottom w:val="none" w:sz="0" w:space="0" w:color="auto"/>
                        <w:right w:val="none" w:sz="0" w:space="0" w:color="auto"/>
                      </w:divBdr>
                      <w:divsChild>
                        <w:div w:id="294153209">
                          <w:marLeft w:val="0"/>
                          <w:marRight w:val="0"/>
                          <w:marTop w:val="0"/>
                          <w:marBottom w:val="0"/>
                          <w:divBdr>
                            <w:top w:val="none" w:sz="0" w:space="0" w:color="auto"/>
                            <w:left w:val="none" w:sz="0" w:space="0" w:color="auto"/>
                            <w:bottom w:val="none" w:sz="0" w:space="0" w:color="auto"/>
                            <w:right w:val="none" w:sz="0" w:space="0" w:color="auto"/>
                          </w:divBdr>
                        </w:div>
                      </w:divsChild>
                    </w:div>
                    <w:div w:id="294139319">
                      <w:marLeft w:val="0"/>
                      <w:marRight w:val="0"/>
                      <w:marTop w:val="0"/>
                      <w:marBottom w:val="0"/>
                      <w:divBdr>
                        <w:top w:val="none" w:sz="0" w:space="0" w:color="auto"/>
                        <w:left w:val="none" w:sz="0" w:space="0" w:color="auto"/>
                        <w:bottom w:val="none" w:sz="0" w:space="0" w:color="auto"/>
                        <w:right w:val="none" w:sz="0" w:space="0" w:color="auto"/>
                      </w:divBdr>
                      <w:divsChild>
                        <w:div w:id="294154255">
                          <w:marLeft w:val="0"/>
                          <w:marRight w:val="0"/>
                          <w:marTop w:val="0"/>
                          <w:marBottom w:val="0"/>
                          <w:divBdr>
                            <w:top w:val="none" w:sz="0" w:space="0" w:color="auto"/>
                            <w:left w:val="none" w:sz="0" w:space="0" w:color="auto"/>
                            <w:bottom w:val="none" w:sz="0" w:space="0" w:color="auto"/>
                            <w:right w:val="none" w:sz="0" w:space="0" w:color="auto"/>
                          </w:divBdr>
                        </w:div>
                      </w:divsChild>
                    </w:div>
                    <w:div w:id="294139334">
                      <w:marLeft w:val="0"/>
                      <w:marRight w:val="0"/>
                      <w:marTop w:val="0"/>
                      <w:marBottom w:val="0"/>
                      <w:divBdr>
                        <w:top w:val="none" w:sz="0" w:space="0" w:color="auto"/>
                        <w:left w:val="none" w:sz="0" w:space="0" w:color="auto"/>
                        <w:bottom w:val="none" w:sz="0" w:space="0" w:color="auto"/>
                        <w:right w:val="none" w:sz="0" w:space="0" w:color="auto"/>
                      </w:divBdr>
                    </w:div>
                    <w:div w:id="294139353">
                      <w:marLeft w:val="0"/>
                      <w:marRight w:val="0"/>
                      <w:marTop w:val="0"/>
                      <w:marBottom w:val="0"/>
                      <w:divBdr>
                        <w:top w:val="none" w:sz="0" w:space="0" w:color="auto"/>
                        <w:left w:val="none" w:sz="0" w:space="0" w:color="auto"/>
                        <w:bottom w:val="none" w:sz="0" w:space="0" w:color="auto"/>
                        <w:right w:val="none" w:sz="0" w:space="0" w:color="auto"/>
                      </w:divBdr>
                      <w:divsChild>
                        <w:div w:id="294144419">
                          <w:marLeft w:val="0"/>
                          <w:marRight w:val="0"/>
                          <w:marTop w:val="0"/>
                          <w:marBottom w:val="0"/>
                          <w:divBdr>
                            <w:top w:val="none" w:sz="0" w:space="0" w:color="auto"/>
                            <w:left w:val="none" w:sz="0" w:space="0" w:color="auto"/>
                            <w:bottom w:val="none" w:sz="0" w:space="0" w:color="auto"/>
                            <w:right w:val="none" w:sz="0" w:space="0" w:color="auto"/>
                          </w:divBdr>
                        </w:div>
                      </w:divsChild>
                    </w:div>
                    <w:div w:id="294139358">
                      <w:marLeft w:val="0"/>
                      <w:marRight w:val="0"/>
                      <w:marTop w:val="0"/>
                      <w:marBottom w:val="0"/>
                      <w:divBdr>
                        <w:top w:val="none" w:sz="0" w:space="0" w:color="auto"/>
                        <w:left w:val="none" w:sz="0" w:space="0" w:color="auto"/>
                        <w:bottom w:val="none" w:sz="0" w:space="0" w:color="auto"/>
                        <w:right w:val="none" w:sz="0" w:space="0" w:color="auto"/>
                      </w:divBdr>
                      <w:divsChild>
                        <w:div w:id="294152878">
                          <w:marLeft w:val="0"/>
                          <w:marRight w:val="0"/>
                          <w:marTop w:val="0"/>
                          <w:marBottom w:val="0"/>
                          <w:divBdr>
                            <w:top w:val="none" w:sz="0" w:space="0" w:color="auto"/>
                            <w:left w:val="none" w:sz="0" w:space="0" w:color="auto"/>
                            <w:bottom w:val="none" w:sz="0" w:space="0" w:color="auto"/>
                            <w:right w:val="none" w:sz="0" w:space="0" w:color="auto"/>
                          </w:divBdr>
                        </w:div>
                      </w:divsChild>
                    </w:div>
                    <w:div w:id="294139367">
                      <w:marLeft w:val="0"/>
                      <w:marRight w:val="0"/>
                      <w:marTop w:val="0"/>
                      <w:marBottom w:val="0"/>
                      <w:divBdr>
                        <w:top w:val="none" w:sz="0" w:space="0" w:color="auto"/>
                        <w:left w:val="none" w:sz="0" w:space="0" w:color="auto"/>
                        <w:bottom w:val="none" w:sz="0" w:space="0" w:color="auto"/>
                        <w:right w:val="none" w:sz="0" w:space="0" w:color="auto"/>
                      </w:divBdr>
                      <w:divsChild>
                        <w:div w:id="294149559">
                          <w:marLeft w:val="0"/>
                          <w:marRight w:val="0"/>
                          <w:marTop w:val="0"/>
                          <w:marBottom w:val="0"/>
                          <w:divBdr>
                            <w:top w:val="none" w:sz="0" w:space="0" w:color="auto"/>
                            <w:left w:val="none" w:sz="0" w:space="0" w:color="auto"/>
                            <w:bottom w:val="none" w:sz="0" w:space="0" w:color="auto"/>
                            <w:right w:val="none" w:sz="0" w:space="0" w:color="auto"/>
                          </w:divBdr>
                        </w:div>
                      </w:divsChild>
                    </w:div>
                    <w:div w:id="294139386">
                      <w:marLeft w:val="0"/>
                      <w:marRight w:val="0"/>
                      <w:marTop w:val="0"/>
                      <w:marBottom w:val="0"/>
                      <w:divBdr>
                        <w:top w:val="none" w:sz="0" w:space="0" w:color="auto"/>
                        <w:left w:val="none" w:sz="0" w:space="0" w:color="auto"/>
                        <w:bottom w:val="none" w:sz="0" w:space="0" w:color="auto"/>
                        <w:right w:val="none" w:sz="0" w:space="0" w:color="auto"/>
                      </w:divBdr>
                    </w:div>
                    <w:div w:id="294139436">
                      <w:marLeft w:val="0"/>
                      <w:marRight w:val="0"/>
                      <w:marTop w:val="0"/>
                      <w:marBottom w:val="0"/>
                      <w:divBdr>
                        <w:top w:val="none" w:sz="0" w:space="0" w:color="auto"/>
                        <w:left w:val="none" w:sz="0" w:space="0" w:color="auto"/>
                        <w:bottom w:val="none" w:sz="0" w:space="0" w:color="auto"/>
                        <w:right w:val="none" w:sz="0" w:space="0" w:color="auto"/>
                      </w:divBdr>
                      <w:divsChild>
                        <w:div w:id="294150480">
                          <w:marLeft w:val="0"/>
                          <w:marRight w:val="0"/>
                          <w:marTop w:val="0"/>
                          <w:marBottom w:val="0"/>
                          <w:divBdr>
                            <w:top w:val="none" w:sz="0" w:space="0" w:color="auto"/>
                            <w:left w:val="none" w:sz="0" w:space="0" w:color="auto"/>
                            <w:bottom w:val="none" w:sz="0" w:space="0" w:color="auto"/>
                            <w:right w:val="none" w:sz="0" w:space="0" w:color="auto"/>
                          </w:divBdr>
                        </w:div>
                      </w:divsChild>
                    </w:div>
                    <w:div w:id="294139447">
                      <w:marLeft w:val="0"/>
                      <w:marRight w:val="0"/>
                      <w:marTop w:val="0"/>
                      <w:marBottom w:val="0"/>
                      <w:divBdr>
                        <w:top w:val="none" w:sz="0" w:space="0" w:color="auto"/>
                        <w:left w:val="none" w:sz="0" w:space="0" w:color="auto"/>
                        <w:bottom w:val="none" w:sz="0" w:space="0" w:color="auto"/>
                        <w:right w:val="none" w:sz="0" w:space="0" w:color="auto"/>
                      </w:divBdr>
                    </w:div>
                    <w:div w:id="294139573">
                      <w:marLeft w:val="0"/>
                      <w:marRight w:val="0"/>
                      <w:marTop w:val="0"/>
                      <w:marBottom w:val="0"/>
                      <w:divBdr>
                        <w:top w:val="none" w:sz="0" w:space="0" w:color="auto"/>
                        <w:left w:val="none" w:sz="0" w:space="0" w:color="auto"/>
                        <w:bottom w:val="none" w:sz="0" w:space="0" w:color="auto"/>
                        <w:right w:val="none" w:sz="0" w:space="0" w:color="auto"/>
                      </w:divBdr>
                      <w:divsChild>
                        <w:div w:id="294157173">
                          <w:marLeft w:val="0"/>
                          <w:marRight w:val="0"/>
                          <w:marTop w:val="0"/>
                          <w:marBottom w:val="0"/>
                          <w:divBdr>
                            <w:top w:val="none" w:sz="0" w:space="0" w:color="auto"/>
                            <w:left w:val="none" w:sz="0" w:space="0" w:color="auto"/>
                            <w:bottom w:val="none" w:sz="0" w:space="0" w:color="auto"/>
                            <w:right w:val="none" w:sz="0" w:space="0" w:color="auto"/>
                          </w:divBdr>
                        </w:div>
                      </w:divsChild>
                    </w:div>
                    <w:div w:id="294139601">
                      <w:marLeft w:val="0"/>
                      <w:marRight w:val="0"/>
                      <w:marTop w:val="0"/>
                      <w:marBottom w:val="0"/>
                      <w:divBdr>
                        <w:top w:val="none" w:sz="0" w:space="0" w:color="auto"/>
                        <w:left w:val="none" w:sz="0" w:space="0" w:color="auto"/>
                        <w:bottom w:val="none" w:sz="0" w:space="0" w:color="auto"/>
                        <w:right w:val="none" w:sz="0" w:space="0" w:color="auto"/>
                      </w:divBdr>
                    </w:div>
                    <w:div w:id="294139610">
                      <w:marLeft w:val="0"/>
                      <w:marRight w:val="0"/>
                      <w:marTop w:val="0"/>
                      <w:marBottom w:val="0"/>
                      <w:divBdr>
                        <w:top w:val="none" w:sz="0" w:space="0" w:color="auto"/>
                        <w:left w:val="none" w:sz="0" w:space="0" w:color="auto"/>
                        <w:bottom w:val="none" w:sz="0" w:space="0" w:color="auto"/>
                        <w:right w:val="none" w:sz="0" w:space="0" w:color="auto"/>
                      </w:divBdr>
                      <w:divsChild>
                        <w:div w:id="294143467">
                          <w:marLeft w:val="0"/>
                          <w:marRight w:val="0"/>
                          <w:marTop w:val="0"/>
                          <w:marBottom w:val="0"/>
                          <w:divBdr>
                            <w:top w:val="none" w:sz="0" w:space="0" w:color="auto"/>
                            <w:left w:val="none" w:sz="0" w:space="0" w:color="auto"/>
                            <w:bottom w:val="none" w:sz="0" w:space="0" w:color="auto"/>
                            <w:right w:val="none" w:sz="0" w:space="0" w:color="auto"/>
                          </w:divBdr>
                        </w:div>
                      </w:divsChild>
                    </w:div>
                    <w:div w:id="294139640">
                      <w:marLeft w:val="0"/>
                      <w:marRight w:val="0"/>
                      <w:marTop w:val="0"/>
                      <w:marBottom w:val="0"/>
                      <w:divBdr>
                        <w:top w:val="none" w:sz="0" w:space="0" w:color="auto"/>
                        <w:left w:val="none" w:sz="0" w:space="0" w:color="auto"/>
                        <w:bottom w:val="none" w:sz="0" w:space="0" w:color="auto"/>
                        <w:right w:val="none" w:sz="0" w:space="0" w:color="auto"/>
                      </w:divBdr>
                      <w:divsChild>
                        <w:div w:id="294150686">
                          <w:marLeft w:val="0"/>
                          <w:marRight w:val="0"/>
                          <w:marTop w:val="0"/>
                          <w:marBottom w:val="0"/>
                          <w:divBdr>
                            <w:top w:val="none" w:sz="0" w:space="0" w:color="auto"/>
                            <w:left w:val="none" w:sz="0" w:space="0" w:color="auto"/>
                            <w:bottom w:val="none" w:sz="0" w:space="0" w:color="auto"/>
                            <w:right w:val="none" w:sz="0" w:space="0" w:color="auto"/>
                          </w:divBdr>
                        </w:div>
                      </w:divsChild>
                    </w:div>
                    <w:div w:id="294139672">
                      <w:marLeft w:val="0"/>
                      <w:marRight w:val="0"/>
                      <w:marTop w:val="0"/>
                      <w:marBottom w:val="0"/>
                      <w:divBdr>
                        <w:top w:val="none" w:sz="0" w:space="0" w:color="auto"/>
                        <w:left w:val="none" w:sz="0" w:space="0" w:color="auto"/>
                        <w:bottom w:val="none" w:sz="0" w:space="0" w:color="auto"/>
                        <w:right w:val="none" w:sz="0" w:space="0" w:color="auto"/>
                      </w:divBdr>
                      <w:divsChild>
                        <w:div w:id="294142890">
                          <w:marLeft w:val="0"/>
                          <w:marRight w:val="0"/>
                          <w:marTop w:val="0"/>
                          <w:marBottom w:val="0"/>
                          <w:divBdr>
                            <w:top w:val="none" w:sz="0" w:space="0" w:color="auto"/>
                            <w:left w:val="none" w:sz="0" w:space="0" w:color="auto"/>
                            <w:bottom w:val="none" w:sz="0" w:space="0" w:color="auto"/>
                            <w:right w:val="none" w:sz="0" w:space="0" w:color="auto"/>
                          </w:divBdr>
                        </w:div>
                      </w:divsChild>
                    </w:div>
                    <w:div w:id="294139682">
                      <w:marLeft w:val="0"/>
                      <w:marRight w:val="0"/>
                      <w:marTop w:val="0"/>
                      <w:marBottom w:val="0"/>
                      <w:divBdr>
                        <w:top w:val="none" w:sz="0" w:space="0" w:color="auto"/>
                        <w:left w:val="none" w:sz="0" w:space="0" w:color="auto"/>
                        <w:bottom w:val="none" w:sz="0" w:space="0" w:color="auto"/>
                        <w:right w:val="none" w:sz="0" w:space="0" w:color="auto"/>
                      </w:divBdr>
                      <w:divsChild>
                        <w:div w:id="294150124">
                          <w:marLeft w:val="0"/>
                          <w:marRight w:val="0"/>
                          <w:marTop w:val="0"/>
                          <w:marBottom w:val="0"/>
                          <w:divBdr>
                            <w:top w:val="none" w:sz="0" w:space="0" w:color="auto"/>
                            <w:left w:val="none" w:sz="0" w:space="0" w:color="auto"/>
                            <w:bottom w:val="none" w:sz="0" w:space="0" w:color="auto"/>
                            <w:right w:val="none" w:sz="0" w:space="0" w:color="auto"/>
                          </w:divBdr>
                        </w:div>
                      </w:divsChild>
                    </w:div>
                    <w:div w:id="294139685">
                      <w:marLeft w:val="0"/>
                      <w:marRight w:val="0"/>
                      <w:marTop w:val="0"/>
                      <w:marBottom w:val="0"/>
                      <w:divBdr>
                        <w:top w:val="none" w:sz="0" w:space="0" w:color="auto"/>
                        <w:left w:val="none" w:sz="0" w:space="0" w:color="auto"/>
                        <w:bottom w:val="none" w:sz="0" w:space="0" w:color="auto"/>
                        <w:right w:val="none" w:sz="0" w:space="0" w:color="auto"/>
                      </w:divBdr>
                      <w:divsChild>
                        <w:div w:id="294156084">
                          <w:marLeft w:val="0"/>
                          <w:marRight w:val="0"/>
                          <w:marTop w:val="0"/>
                          <w:marBottom w:val="0"/>
                          <w:divBdr>
                            <w:top w:val="none" w:sz="0" w:space="0" w:color="auto"/>
                            <w:left w:val="none" w:sz="0" w:space="0" w:color="auto"/>
                            <w:bottom w:val="none" w:sz="0" w:space="0" w:color="auto"/>
                            <w:right w:val="none" w:sz="0" w:space="0" w:color="auto"/>
                          </w:divBdr>
                        </w:div>
                      </w:divsChild>
                    </w:div>
                    <w:div w:id="294139752">
                      <w:marLeft w:val="0"/>
                      <w:marRight w:val="0"/>
                      <w:marTop w:val="0"/>
                      <w:marBottom w:val="0"/>
                      <w:divBdr>
                        <w:top w:val="none" w:sz="0" w:space="0" w:color="auto"/>
                        <w:left w:val="none" w:sz="0" w:space="0" w:color="auto"/>
                        <w:bottom w:val="none" w:sz="0" w:space="0" w:color="auto"/>
                        <w:right w:val="none" w:sz="0" w:space="0" w:color="auto"/>
                      </w:divBdr>
                      <w:divsChild>
                        <w:div w:id="294143451">
                          <w:marLeft w:val="0"/>
                          <w:marRight w:val="0"/>
                          <w:marTop w:val="0"/>
                          <w:marBottom w:val="0"/>
                          <w:divBdr>
                            <w:top w:val="none" w:sz="0" w:space="0" w:color="auto"/>
                            <w:left w:val="none" w:sz="0" w:space="0" w:color="auto"/>
                            <w:bottom w:val="none" w:sz="0" w:space="0" w:color="auto"/>
                            <w:right w:val="none" w:sz="0" w:space="0" w:color="auto"/>
                          </w:divBdr>
                        </w:div>
                      </w:divsChild>
                    </w:div>
                    <w:div w:id="294139808">
                      <w:marLeft w:val="0"/>
                      <w:marRight w:val="0"/>
                      <w:marTop w:val="0"/>
                      <w:marBottom w:val="0"/>
                      <w:divBdr>
                        <w:top w:val="none" w:sz="0" w:space="0" w:color="auto"/>
                        <w:left w:val="none" w:sz="0" w:space="0" w:color="auto"/>
                        <w:bottom w:val="none" w:sz="0" w:space="0" w:color="auto"/>
                        <w:right w:val="none" w:sz="0" w:space="0" w:color="auto"/>
                      </w:divBdr>
                      <w:divsChild>
                        <w:div w:id="294157129">
                          <w:marLeft w:val="0"/>
                          <w:marRight w:val="0"/>
                          <w:marTop w:val="0"/>
                          <w:marBottom w:val="0"/>
                          <w:divBdr>
                            <w:top w:val="none" w:sz="0" w:space="0" w:color="auto"/>
                            <w:left w:val="none" w:sz="0" w:space="0" w:color="auto"/>
                            <w:bottom w:val="none" w:sz="0" w:space="0" w:color="auto"/>
                            <w:right w:val="none" w:sz="0" w:space="0" w:color="auto"/>
                          </w:divBdr>
                        </w:div>
                      </w:divsChild>
                    </w:div>
                    <w:div w:id="294139827">
                      <w:marLeft w:val="0"/>
                      <w:marRight w:val="0"/>
                      <w:marTop w:val="0"/>
                      <w:marBottom w:val="0"/>
                      <w:divBdr>
                        <w:top w:val="none" w:sz="0" w:space="0" w:color="auto"/>
                        <w:left w:val="none" w:sz="0" w:space="0" w:color="auto"/>
                        <w:bottom w:val="none" w:sz="0" w:space="0" w:color="auto"/>
                        <w:right w:val="none" w:sz="0" w:space="0" w:color="auto"/>
                      </w:divBdr>
                      <w:divsChild>
                        <w:div w:id="294144553">
                          <w:marLeft w:val="0"/>
                          <w:marRight w:val="0"/>
                          <w:marTop w:val="0"/>
                          <w:marBottom w:val="0"/>
                          <w:divBdr>
                            <w:top w:val="none" w:sz="0" w:space="0" w:color="auto"/>
                            <w:left w:val="none" w:sz="0" w:space="0" w:color="auto"/>
                            <w:bottom w:val="none" w:sz="0" w:space="0" w:color="auto"/>
                            <w:right w:val="none" w:sz="0" w:space="0" w:color="auto"/>
                          </w:divBdr>
                        </w:div>
                      </w:divsChild>
                    </w:div>
                    <w:div w:id="294139834">
                      <w:marLeft w:val="0"/>
                      <w:marRight w:val="0"/>
                      <w:marTop w:val="0"/>
                      <w:marBottom w:val="0"/>
                      <w:divBdr>
                        <w:top w:val="none" w:sz="0" w:space="0" w:color="auto"/>
                        <w:left w:val="none" w:sz="0" w:space="0" w:color="auto"/>
                        <w:bottom w:val="none" w:sz="0" w:space="0" w:color="auto"/>
                        <w:right w:val="none" w:sz="0" w:space="0" w:color="auto"/>
                      </w:divBdr>
                    </w:div>
                    <w:div w:id="294139921">
                      <w:marLeft w:val="0"/>
                      <w:marRight w:val="0"/>
                      <w:marTop w:val="0"/>
                      <w:marBottom w:val="0"/>
                      <w:divBdr>
                        <w:top w:val="none" w:sz="0" w:space="0" w:color="auto"/>
                        <w:left w:val="none" w:sz="0" w:space="0" w:color="auto"/>
                        <w:bottom w:val="none" w:sz="0" w:space="0" w:color="auto"/>
                        <w:right w:val="none" w:sz="0" w:space="0" w:color="auto"/>
                      </w:divBdr>
                      <w:divsChild>
                        <w:div w:id="294151626">
                          <w:marLeft w:val="0"/>
                          <w:marRight w:val="0"/>
                          <w:marTop w:val="0"/>
                          <w:marBottom w:val="0"/>
                          <w:divBdr>
                            <w:top w:val="none" w:sz="0" w:space="0" w:color="auto"/>
                            <w:left w:val="none" w:sz="0" w:space="0" w:color="auto"/>
                            <w:bottom w:val="none" w:sz="0" w:space="0" w:color="auto"/>
                            <w:right w:val="none" w:sz="0" w:space="0" w:color="auto"/>
                          </w:divBdr>
                        </w:div>
                      </w:divsChild>
                    </w:div>
                    <w:div w:id="294139923">
                      <w:marLeft w:val="0"/>
                      <w:marRight w:val="0"/>
                      <w:marTop w:val="0"/>
                      <w:marBottom w:val="0"/>
                      <w:divBdr>
                        <w:top w:val="none" w:sz="0" w:space="0" w:color="auto"/>
                        <w:left w:val="none" w:sz="0" w:space="0" w:color="auto"/>
                        <w:bottom w:val="none" w:sz="0" w:space="0" w:color="auto"/>
                        <w:right w:val="none" w:sz="0" w:space="0" w:color="auto"/>
                      </w:divBdr>
                      <w:divsChild>
                        <w:div w:id="294146722">
                          <w:marLeft w:val="0"/>
                          <w:marRight w:val="0"/>
                          <w:marTop w:val="0"/>
                          <w:marBottom w:val="0"/>
                          <w:divBdr>
                            <w:top w:val="none" w:sz="0" w:space="0" w:color="auto"/>
                            <w:left w:val="none" w:sz="0" w:space="0" w:color="auto"/>
                            <w:bottom w:val="none" w:sz="0" w:space="0" w:color="auto"/>
                            <w:right w:val="none" w:sz="0" w:space="0" w:color="auto"/>
                          </w:divBdr>
                        </w:div>
                      </w:divsChild>
                    </w:div>
                    <w:div w:id="294139985">
                      <w:marLeft w:val="0"/>
                      <w:marRight w:val="0"/>
                      <w:marTop w:val="0"/>
                      <w:marBottom w:val="0"/>
                      <w:divBdr>
                        <w:top w:val="none" w:sz="0" w:space="0" w:color="auto"/>
                        <w:left w:val="none" w:sz="0" w:space="0" w:color="auto"/>
                        <w:bottom w:val="none" w:sz="0" w:space="0" w:color="auto"/>
                        <w:right w:val="none" w:sz="0" w:space="0" w:color="auto"/>
                      </w:divBdr>
                    </w:div>
                    <w:div w:id="294140010">
                      <w:marLeft w:val="0"/>
                      <w:marRight w:val="0"/>
                      <w:marTop w:val="0"/>
                      <w:marBottom w:val="0"/>
                      <w:divBdr>
                        <w:top w:val="none" w:sz="0" w:space="0" w:color="auto"/>
                        <w:left w:val="none" w:sz="0" w:space="0" w:color="auto"/>
                        <w:bottom w:val="none" w:sz="0" w:space="0" w:color="auto"/>
                        <w:right w:val="none" w:sz="0" w:space="0" w:color="auto"/>
                      </w:divBdr>
                    </w:div>
                    <w:div w:id="294140068">
                      <w:marLeft w:val="0"/>
                      <w:marRight w:val="0"/>
                      <w:marTop w:val="0"/>
                      <w:marBottom w:val="0"/>
                      <w:divBdr>
                        <w:top w:val="none" w:sz="0" w:space="0" w:color="auto"/>
                        <w:left w:val="none" w:sz="0" w:space="0" w:color="auto"/>
                        <w:bottom w:val="none" w:sz="0" w:space="0" w:color="auto"/>
                        <w:right w:val="none" w:sz="0" w:space="0" w:color="auto"/>
                      </w:divBdr>
                    </w:div>
                    <w:div w:id="294140292">
                      <w:marLeft w:val="0"/>
                      <w:marRight w:val="0"/>
                      <w:marTop w:val="0"/>
                      <w:marBottom w:val="0"/>
                      <w:divBdr>
                        <w:top w:val="none" w:sz="0" w:space="0" w:color="auto"/>
                        <w:left w:val="none" w:sz="0" w:space="0" w:color="auto"/>
                        <w:bottom w:val="none" w:sz="0" w:space="0" w:color="auto"/>
                        <w:right w:val="none" w:sz="0" w:space="0" w:color="auto"/>
                      </w:divBdr>
                      <w:divsChild>
                        <w:div w:id="294145106">
                          <w:marLeft w:val="0"/>
                          <w:marRight w:val="0"/>
                          <w:marTop w:val="0"/>
                          <w:marBottom w:val="0"/>
                          <w:divBdr>
                            <w:top w:val="none" w:sz="0" w:space="0" w:color="auto"/>
                            <w:left w:val="none" w:sz="0" w:space="0" w:color="auto"/>
                            <w:bottom w:val="none" w:sz="0" w:space="0" w:color="auto"/>
                            <w:right w:val="none" w:sz="0" w:space="0" w:color="auto"/>
                          </w:divBdr>
                        </w:div>
                      </w:divsChild>
                    </w:div>
                    <w:div w:id="294140376">
                      <w:marLeft w:val="0"/>
                      <w:marRight w:val="0"/>
                      <w:marTop w:val="0"/>
                      <w:marBottom w:val="0"/>
                      <w:divBdr>
                        <w:top w:val="none" w:sz="0" w:space="0" w:color="auto"/>
                        <w:left w:val="none" w:sz="0" w:space="0" w:color="auto"/>
                        <w:bottom w:val="none" w:sz="0" w:space="0" w:color="auto"/>
                        <w:right w:val="none" w:sz="0" w:space="0" w:color="auto"/>
                      </w:divBdr>
                    </w:div>
                    <w:div w:id="294140479">
                      <w:marLeft w:val="0"/>
                      <w:marRight w:val="0"/>
                      <w:marTop w:val="0"/>
                      <w:marBottom w:val="0"/>
                      <w:divBdr>
                        <w:top w:val="none" w:sz="0" w:space="0" w:color="auto"/>
                        <w:left w:val="none" w:sz="0" w:space="0" w:color="auto"/>
                        <w:bottom w:val="none" w:sz="0" w:space="0" w:color="auto"/>
                        <w:right w:val="none" w:sz="0" w:space="0" w:color="auto"/>
                      </w:divBdr>
                    </w:div>
                    <w:div w:id="294140567">
                      <w:marLeft w:val="0"/>
                      <w:marRight w:val="0"/>
                      <w:marTop w:val="0"/>
                      <w:marBottom w:val="0"/>
                      <w:divBdr>
                        <w:top w:val="none" w:sz="0" w:space="0" w:color="auto"/>
                        <w:left w:val="none" w:sz="0" w:space="0" w:color="auto"/>
                        <w:bottom w:val="none" w:sz="0" w:space="0" w:color="auto"/>
                        <w:right w:val="none" w:sz="0" w:space="0" w:color="auto"/>
                      </w:divBdr>
                    </w:div>
                    <w:div w:id="294140708">
                      <w:marLeft w:val="0"/>
                      <w:marRight w:val="0"/>
                      <w:marTop w:val="0"/>
                      <w:marBottom w:val="0"/>
                      <w:divBdr>
                        <w:top w:val="none" w:sz="0" w:space="0" w:color="auto"/>
                        <w:left w:val="none" w:sz="0" w:space="0" w:color="auto"/>
                        <w:bottom w:val="none" w:sz="0" w:space="0" w:color="auto"/>
                        <w:right w:val="none" w:sz="0" w:space="0" w:color="auto"/>
                      </w:divBdr>
                    </w:div>
                    <w:div w:id="294140752">
                      <w:marLeft w:val="0"/>
                      <w:marRight w:val="0"/>
                      <w:marTop w:val="0"/>
                      <w:marBottom w:val="0"/>
                      <w:divBdr>
                        <w:top w:val="none" w:sz="0" w:space="0" w:color="auto"/>
                        <w:left w:val="none" w:sz="0" w:space="0" w:color="auto"/>
                        <w:bottom w:val="none" w:sz="0" w:space="0" w:color="auto"/>
                        <w:right w:val="none" w:sz="0" w:space="0" w:color="auto"/>
                      </w:divBdr>
                    </w:div>
                    <w:div w:id="294140804">
                      <w:marLeft w:val="0"/>
                      <w:marRight w:val="0"/>
                      <w:marTop w:val="0"/>
                      <w:marBottom w:val="0"/>
                      <w:divBdr>
                        <w:top w:val="none" w:sz="0" w:space="0" w:color="auto"/>
                        <w:left w:val="none" w:sz="0" w:space="0" w:color="auto"/>
                        <w:bottom w:val="none" w:sz="0" w:space="0" w:color="auto"/>
                        <w:right w:val="none" w:sz="0" w:space="0" w:color="auto"/>
                      </w:divBdr>
                    </w:div>
                    <w:div w:id="294140864">
                      <w:marLeft w:val="0"/>
                      <w:marRight w:val="0"/>
                      <w:marTop w:val="0"/>
                      <w:marBottom w:val="0"/>
                      <w:divBdr>
                        <w:top w:val="none" w:sz="0" w:space="0" w:color="auto"/>
                        <w:left w:val="none" w:sz="0" w:space="0" w:color="auto"/>
                        <w:bottom w:val="none" w:sz="0" w:space="0" w:color="auto"/>
                        <w:right w:val="none" w:sz="0" w:space="0" w:color="auto"/>
                      </w:divBdr>
                    </w:div>
                    <w:div w:id="294140889">
                      <w:marLeft w:val="0"/>
                      <w:marRight w:val="0"/>
                      <w:marTop w:val="0"/>
                      <w:marBottom w:val="0"/>
                      <w:divBdr>
                        <w:top w:val="none" w:sz="0" w:space="0" w:color="auto"/>
                        <w:left w:val="none" w:sz="0" w:space="0" w:color="auto"/>
                        <w:bottom w:val="none" w:sz="0" w:space="0" w:color="auto"/>
                        <w:right w:val="none" w:sz="0" w:space="0" w:color="auto"/>
                      </w:divBdr>
                      <w:divsChild>
                        <w:div w:id="294143243">
                          <w:marLeft w:val="0"/>
                          <w:marRight w:val="0"/>
                          <w:marTop w:val="0"/>
                          <w:marBottom w:val="0"/>
                          <w:divBdr>
                            <w:top w:val="none" w:sz="0" w:space="0" w:color="auto"/>
                            <w:left w:val="none" w:sz="0" w:space="0" w:color="auto"/>
                            <w:bottom w:val="none" w:sz="0" w:space="0" w:color="auto"/>
                            <w:right w:val="none" w:sz="0" w:space="0" w:color="auto"/>
                          </w:divBdr>
                        </w:div>
                      </w:divsChild>
                    </w:div>
                    <w:div w:id="294140909">
                      <w:marLeft w:val="0"/>
                      <w:marRight w:val="0"/>
                      <w:marTop w:val="0"/>
                      <w:marBottom w:val="0"/>
                      <w:divBdr>
                        <w:top w:val="none" w:sz="0" w:space="0" w:color="auto"/>
                        <w:left w:val="none" w:sz="0" w:space="0" w:color="auto"/>
                        <w:bottom w:val="none" w:sz="0" w:space="0" w:color="auto"/>
                        <w:right w:val="none" w:sz="0" w:space="0" w:color="auto"/>
                      </w:divBdr>
                    </w:div>
                    <w:div w:id="294141002">
                      <w:marLeft w:val="0"/>
                      <w:marRight w:val="0"/>
                      <w:marTop w:val="0"/>
                      <w:marBottom w:val="0"/>
                      <w:divBdr>
                        <w:top w:val="none" w:sz="0" w:space="0" w:color="auto"/>
                        <w:left w:val="none" w:sz="0" w:space="0" w:color="auto"/>
                        <w:bottom w:val="none" w:sz="0" w:space="0" w:color="auto"/>
                        <w:right w:val="none" w:sz="0" w:space="0" w:color="auto"/>
                      </w:divBdr>
                      <w:divsChild>
                        <w:div w:id="294146702">
                          <w:marLeft w:val="0"/>
                          <w:marRight w:val="0"/>
                          <w:marTop w:val="0"/>
                          <w:marBottom w:val="0"/>
                          <w:divBdr>
                            <w:top w:val="none" w:sz="0" w:space="0" w:color="auto"/>
                            <w:left w:val="none" w:sz="0" w:space="0" w:color="auto"/>
                            <w:bottom w:val="none" w:sz="0" w:space="0" w:color="auto"/>
                            <w:right w:val="none" w:sz="0" w:space="0" w:color="auto"/>
                          </w:divBdr>
                        </w:div>
                      </w:divsChild>
                    </w:div>
                    <w:div w:id="294141064">
                      <w:marLeft w:val="0"/>
                      <w:marRight w:val="0"/>
                      <w:marTop w:val="0"/>
                      <w:marBottom w:val="0"/>
                      <w:divBdr>
                        <w:top w:val="none" w:sz="0" w:space="0" w:color="auto"/>
                        <w:left w:val="none" w:sz="0" w:space="0" w:color="auto"/>
                        <w:bottom w:val="none" w:sz="0" w:space="0" w:color="auto"/>
                        <w:right w:val="none" w:sz="0" w:space="0" w:color="auto"/>
                      </w:divBdr>
                    </w:div>
                    <w:div w:id="294141171">
                      <w:marLeft w:val="0"/>
                      <w:marRight w:val="0"/>
                      <w:marTop w:val="0"/>
                      <w:marBottom w:val="0"/>
                      <w:divBdr>
                        <w:top w:val="none" w:sz="0" w:space="0" w:color="auto"/>
                        <w:left w:val="none" w:sz="0" w:space="0" w:color="auto"/>
                        <w:bottom w:val="none" w:sz="0" w:space="0" w:color="auto"/>
                        <w:right w:val="none" w:sz="0" w:space="0" w:color="auto"/>
                      </w:divBdr>
                    </w:div>
                    <w:div w:id="294141189">
                      <w:marLeft w:val="0"/>
                      <w:marRight w:val="0"/>
                      <w:marTop w:val="0"/>
                      <w:marBottom w:val="0"/>
                      <w:divBdr>
                        <w:top w:val="none" w:sz="0" w:space="0" w:color="auto"/>
                        <w:left w:val="none" w:sz="0" w:space="0" w:color="auto"/>
                        <w:bottom w:val="none" w:sz="0" w:space="0" w:color="auto"/>
                        <w:right w:val="none" w:sz="0" w:space="0" w:color="auto"/>
                      </w:divBdr>
                      <w:divsChild>
                        <w:div w:id="294142805">
                          <w:marLeft w:val="0"/>
                          <w:marRight w:val="0"/>
                          <w:marTop w:val="0"/>
                          <w:marBottom w:val="0"/>
                          <w:divBdr>
                            <w:top w:val="none" w:sz="0" w:space="0" w:color="auto"/>
                            <w:left w:val="none" w:sz="0" w:space="0" w:color="auto"/>
                            <w:bottom w:val="none" w:sz="0" w:space="0" w:color="auto"/>
                            <w:right w:val="none" w:sz="0" w:space="0" w:color="auto"/>
                          </w:divBdr>
                        </w:div>
                      </w:divsChild>
                    </w:div>
                    <w:div w:id="294141283">
                      <w:marLeft w:val="0"/>
                      <w:marRight w:val="0"/>
                      <w:marTop w:val="0"/>
                      <w:marBottom w:val="0"/>
                      <w:divBdr>
                        <w:top w:val="none" w:sz="0" w:space="0" w:color="auto"/>
                        <w:left w:val="none" w:sz="0" w:space="0" w:color="auto"/>
                        <w:bottom w:val="none" w:sz="0" w:space="0" w:color="auto"/>
                        <w:right w:val="none" w:sz="0" w:space="0" w:color="auto"/>
                      </w:divBdr>
                    </w:div>
                    <w:div w:id="294141312">
                      <w:marLeft w:val="0"/>
                      <w:marRight w:val="0"/>
                      <w:marTop w:val="0"/>
                      <w:marBottom w:val="0"/>
                      <w:divBdr>
                        <w:top w:val="none" w:sz="0" w:space="0" w:color="auto"/>
                        <w:left w:val="none" w:sz="0" w:space="0" w:color="auto"/>
                        <w:bottom w:val="none" w:sz="0" w:space="0" w:color="auto"/>
                        <w:right w:val="none" w:sz="0" w:space="0" w:color="auto"/>
                      </w:divBdr>
                    </w:div>
                    <w:div w:id="294141351">
                      <w:marLeft w:val="0"/>
                      <w:marRight w:val="0"/>
                      <w:marTop w:val="0"/>
                      <w:marBottom w:val="0"/>
                      <w:divBdr>
                        <w:top w:val="none" w:sz="0" w:space="0" w:color="auto"/>
                        <w:left w:val="none" w:sz="0" w:space="0" w:color="auto"/>
                        <w:bottom w:val="none" w:sz="0" w:space="0" w:color="auto"/>
                        <w:right w:val="none" w:sz="0" w:space="0" w:color="auto"/>
                      </w:divBdr>
                    </w:div>
                    <w:div w:id="294141401">
                      <w:marLeft w:val="0"/>
                      <w:marRight w:val="0"/>
                      <w:marTop w:val="0"/>
                      <w:marBottom w:val="0"/>
                      <w:divBdr>
                        <w:top w:val="none" w:sz="0" w:space="0" w:color="auto"/>
                        <w:left w:val="none" w:sz="0" w:space="0" w:color="auto"/>
                        <w:bottom w:val="none" w:sz="0" w:space="0" w:color="auto"/>
                        <w:right w:val="none" w:sz="0" w:space="0" w:color="auto"/>
                      </w:divBdr>
                    </w:div>
                    <w:div w:id="294141456">
                      <w:marLeft w:val="0"/>
                      <w:marRight w:val="0"/>
                      <w:marTop w:val="0"/>
                      <w:marBottom w:val="0"/>
                      <w:divBdr>
                        <w:top w:val="none" w:sz="0" w:space="0" w:color="auto"/>
                        <w:left w:val="none" w:sz="0" w:space="0" w:color="auto"/>
                        <w:bottom w:val="none" w:sz="0" w:space="0" w:color="auto"/>
                        <w:right w:val="none" w:sz="0" w:space="0" w:color="auto"/>
                      </w:divBdr>
                      <w:divsChild>
                        <w:div w:id="294151459">
                          <w:marLeft w:val="0"/>
                          <w:marRight w:val="0"/>
                          <w:marTop w:val="0"/>
                          <w:marBottom w:val="0"/>
                          <w:divBdr>
                            <w:top w:val="none" w:sz="0" w:space="0" w:color="auto"/>
                            <w:left w:val="none" w:sz="0" w:space="0" w:color="auto"/>
                            <w:bottom w:val="none" w:sz="0" w:space="0" w:color="auto"/>
                            <w:right w:val="none" w:sz="0" w:space="0" w:color="auto"/>
                          </w:divBdr>
                        </w:div>
                      </w:divsChild>
                    </w:div>
                    <w:div w:id="294141480">
                      <w:marLeft w:val="0"/>
                      <w:marRight w:val="0"/>
                      <w:marTop w:val="0"/>
                      <w:marBottom w:val="0"/>
                      <w:divBdr>
                        <w:top w:val="none" w:sz="0" w:space="0" w:color="auto"/>
                        <w:left w:val="none" w:sz="0" w:space="0" w:color="auto"/>
                        <w:bottom w:val="none" w:sz="0" w:space="0" w:color="auto"/>
                        <w:right w:val="none" w:sz="0" w:space="0" w:color="auto"/>
                      </w:divBdr>
                    </w:div>
                    <w:div w:id="294141623">
                      <w:marLeft w:val="0"/>
                      <w:marRight w:val="0"/>
                      <w:marTop w:val="0"/>
                      <w:marBottom w:val="0"/>
                      <w:divBdr>
                        <w:top w:val="none" w:sz="0" w:space="0" w:color="auto"/>
                        <w:left w:val="none" w:sz="0" w:space="0" w:color="auto"/>
                        <w:bottom w:val="none" w:sz="0" w:space="0" w:color="auto"/>
                        <w:right w:val="none" w:sz="0" w:space="0" w:color="auto"/>
                      </w:divBdr>
                      <w:divsChild>
                        <w:div w:id="294157413">
                          <w:marLeft w:val="0"/>
                          <w:marRight w:val="0"/>
                          <w:marTop w:val="0"/>
                          <w:marBottom w:val="0"/>
                          <w:divBdr>
                            <w:top w:val="none" w:sz="0" w:space="0" w:color="auto"/>
                            <w:left w:val="none" w:sz="0" w:space="0" w:color="auto"/>
                            <w:bottom w:val="none" w:sz="0" w:space="0" w:color="auto"/>
                            <w:right w:val="none" w:sz="0" w:space="0" w:color="auto"/>
                          </w:divBdr>
                        </w:div>
                      </w:divsChild>
                    </w:div>
                    <w:div w:id="294141642">
                      <w:marLeft w:val="0"/>
                      <w:marRight w:val="0"/>
                      <w:marTop w:val="0"/>
                      <w:marBottom w:val="0"/>
                      <w:divBdr>
                        <w:top w:val="none" w:sz="0" w:space="0" w:color="auto"/>
                        <w:left w:val="none" w:sz="0" w:space="0" w:color="auto"/>
                        <w:bottom w:val="none" w:sz="0" w:space="0" w:color="auto"/>
                        <w:right w:val="none" w:sz="0" w:space="0" w:color="auto"/>
                      </w:divBdr>
                    </w:div>
                    <w:div w:id="294141645">
                      <w:marLeft w:val="0"/>
                      <w:marRight w:val="0"/>
                      <w:marTop w:val="0"/>
                      <w:marBottom w:val="0"/>
                      <w:divBdr>
                        <w:top w:val="none" w:sz="0" w:space="0" w:color="auto"/>
                        <w:left w:val="none" w:sz="0" w:space="0" w:color="auto"/>
                        <w:bottom w:val="none" w:sz="0" w:space="0" w:color="auto"/>
                        <w:right w:val="none" w:sz="0" w:space="0" w:color="auto"/>
                      </w:divBdr>
                    </w:div>
                    <w:div w:id="294141647">
                      <w:marLeft w:val="0"/>
                      <w:marRight w:val="0"/>
                      <w:marTop w:val="0"/>
                      <w:marBottom w:val="0"/>
                      <w:divBdr>
                        <w:top w:val="none" w:sz="0" w:space="0" w:color="auto"/>
                        <w:left w:val="none" w:sz="0" w:space="0" w:color="auto"/>
                        <w:bottom w:val="none" w:sz="0" w:space="0" w:color="auto"/>
                        <w:right w:val="none" w:sz="0" w:space="0" w:color="auto"/>
                      </w:divBdr>
                      <w:divsChild>
                        <w:div w:id="294138996">
                          <w:marLeft w:val="0"/>
                          <w:marRight w:val="0"/>
                          <w:marTop w:val="0"/>
                          <w:marBottom w:val="0"/>
                          <w:divBdr>
                            <w:top w:val="none" w:sz="0" w:space="0" w:color="auto"/>
                            <w:left w:val="none" w:sz="0" w:space="0" w:color="auto"/>
                            <w:bottom w:val="none" w:sz="0" w:space="0" w:color="auto"/>
                            <w:right w:val="none" w:sz="0" w:space="0" w:color="auto"/>
                          </w:divBdr>
                        </w:div>
                      </w:divsChild>
                    </w:div>
                    <w:div w:id="294141715">
                      <w:marLeft w:val="0"/>
                      <w:marRight w:val="0"/>
                      <w:marTop w:val="0"/>
                      <w:marBottom w:val="0"/>
                      <w:divBdr>
                        <w:top w:val="none" w:sz="0" w:space="0" w:color="auto"/>
                        <w:left w:val="none" w:sz="0" w:space="0" w:color="auto"/>
                        <w:bottom w:val="none" w:sz="0" w:space="0" w:color="auto"/>
                        <w:right w:val="none" w:sz="0" w:space="0" w:color="auto"/>
                      </w:divBdr>
                    </w:div>
                    <w:div w:id="294141717">
                      <w:marLeft w:val="0"/>
                      <w:marRight w:val="0"/>
                      <w:marTop w:val="0"/>
                      <w:marBottom w:val="0"/>
                      <w:divBdr>
                        <w:top w:val="none" w:sz="0" w:space="0" w:color="auto"/>
                        <w:left w:val="none" w:sz="0" w:space="0" w:color="auto"/>
                        <w:bottom w:val="none" w:sz="0" w:space="0" w:color="auto"/>
                        <w:right w:val="none" w:sz="0" w:space="0" w:color="auto"/>
                      </w:divBdr>
                    </w:div>
                    <w:div w:id="294141937">
                      <w:marLeft w:val="0"/>
                      <w:marRight w:val="0"/>
                      <w:marTop w:val="0"/>
                      <w:marBottom w:val="0"/>
                      <w:divBdr>
                        <w:top w:val="none" w:sz="0" w:space="0" w:color="auto"/>
                        <w:left w:val="none" w:sz="0" w:space="0" w:color="auto"/>
                        <w:bottom w:val="none" w:sz="0" w:space="0" w:color="auto"/>
                        <w:right w:val="none" w:sz="0" w:space="0" w:color="auto"/>
                      </w:divBdr>
                      <w:divsChild>
                        <w:div w:id="294141652">
                          <w:marLeft w:val="0"/>
                          <w:marRight w:val="0"/>
                          <w:marTop w:val="0"/>
                          <w:marBottom w:val="0"/>
                          <w:divBdr>
                            <w:top w:val="none" w:sz="0" w:space="0" w:color="auto"/>
                            <w:left w:val="none" w:sz="0" w:space="0" w:color="auto"/>
                            <w:bottom w:val="none" w:sz="0" w:space="0" w:color="auto"/>
                            <w:right w:val="none" w:sz="0" w:space="0" w:color="auto"/>
                          </w:divBdr>
                        </w:div>
                      </w:divsChild>
                    </w:div>
                    <w:div w:id="294141940">
                      <w:marLeft w:val="0"/>
                      <w:marRight w:val="0"/>
                      <w:marTop w:val="0"/>
                      <w:marBottom w:val="0"/>
                      <w:divBdr>
                        <w:top w:val="none" w:sz="0" w:space="0" w:color="auto"/>
                        <w:left w:val="none" w:sz="0" w:space="0" w:color="auto"/>
                        <w:bottom w:val="none" w:sz="0" w:space="0" w:color="auto"/>
                        <w:right w:val="none" w:sz="0" w:space="0" w:color="auto"/>
                      </w:divBdr>
                      <w:divsChild>
                        <w:div w:id="294154835">
                          <w:marLeft w:val="0"/>
                          <w:marRight w:val="0"/>
                          <w:marTop w:val="0"/>
                          <w:marBottom w:val="0"/>
                          <w:divBdr>
                            <w:top w:val="none" w:sz="0" w:space="0" w:color="auto"/>
                            <w:left w:val="none" w:sz="0" w:space="0" w:color="auto"/>
                            <w:bottom w:val="none" w:sz="0" w:space="0" w:color="auto"/>
                            <w:right w:val="none" w:sz="0" w:space="0" w:color="auto"/>
                          </w:divBdr>
                        </w:div>
                      </w:divsChild>
                    </w:div>
                    <w:div w:id="294141963">
                      <w:marLeft w:val="0"/>
                      <w:marRight w:val="0"/>
                      <w:marTop w:val="0"/>
                      <w:marBottom w:val="0"/>
                      <w:divBdr>
                        <w:top w:val="none" w:sz="0" w:space="0" w:color="auto"/>
                        <w:left w:val="none" w:sz="0" w:space="0" w:color="auto"/>
                        <w:bottom w:val="none" w:sz="0" w:space="0" w:color="auto"/>
                        <w:right w:val="none" w:sz="0" w:space="0" w:color="auto"/>
                      </w:divBdr>
                    </w:div>
                    <w:div w:id="294141978">
                      <w:marLeft w:val="0"/>
                      <w:marRight w:val="0"/>
                      <w:marTop w:val="0"/>
                      <w:marBottom w:val="0"/>
                      <w:divBdr>
                        <w:top w:val="none" w:sz="0" w:space="0" w:color="auto"/>
                        <w:left w:val="none" w:sz="0" w:space="0" w:color="auto"/>
                        <w:bottom w:val="none" w:sz="0" w:space="0" w:color="auto"/>
                        <w:right w:val="none" w:sz="0" w:space="0" w:color="auto"/>
                      </w:divBdr>
                      <w:divsChild>
                        <w:div w:id="294149113">
                          <w:marLeft w:val="0"/>
                          <w:marRight w:val="0"/>
                          <w:marTop w:val="0"/>
                          <w:marBottom w:val="0"/>
                          <w:divBdr>
                            <w:top w:val="none" w:sz="0" w:space="0" w:color="auto"/>
                            <w:left w:val="none" w:sz="0" w:space="0" w:color="auto"/>
                            <w:bottom w:val="none" w:sz="0" w:space="0" w:color="auto"/>
                            <w:right w:val="none" w:sz="0" w:space="0" w:color="auto"/>
                          </w:divBdr>
                        </w:div>
                      </w:divsChild>
                    </w:div>
                    <w:div w:id="294142005">
                      <w:marLeft w:val="0"/>
                      <w:marRight w:val="0"/>
                      <w:marTop w:val="0"/>
                      <w:marBottom w:val="0"/>
                      <w:divBdr>
                        <w:top w:val="none" w:sz="0" w:space="0" w:color="auto"/>
                        <w:left w:val="none" w:sz="0" w:space="0" w:color="auto"/>
                        <w:bottom w:val="none" w:sz="0" w:space="0" w:color="auto"/>
                        <w:right w:val="none" w:sz="0" w:space="0" w:color="auto"/>
                      </w:divBdr>
                      <w:divsChild>
                        <w:div w:id="294141359">
                          <w:marLeft w:val="0"/>
                          <w:marRight w:val="0"/>
                          <w:marTop w:val="0"/>
                          <w:marBottom w:val="0"/>
                          <w:divBdr>
                            <w:top w:val="none" w:sz="0" w:space="0" w:color="auto"/>
                            <w:left w:val="none" w:sz="0" w:space="0" w:color="auto"/>
                            <w:bottom w:val="none" w:sz="0" w:space="0" w:color="auto"/>
                            <w:right w:val="none" w:sz="0" w:space="0" w:color="auto"/>
                          </w:divBdr>
                        </w:div>
                      </w:divsChild>
                    </w:div>
                    <w:div w:id="294142018">
                      <w:marLeft w:val="0"/>
                      <w:marRight w:val="0"/>
                      <w:marTop w:val="0"/>
                      <w:marBottom w:val="0"/>
                      <w:divBdr>
                        <w:top w:val="none" w:sz="0" w:space="0" w:color="auto"/>
                        <w:left w:val="none" w:sz="0" w:space="0" w:color="auto"/>
                        <w:bottom w:val="none" w:sz="0" w:space="0" w:color="auto"/>
                        <w:right w:val="none" w:sz="0" w:space="0" w:color="auto"/>
                      </w:divBdr>
                    </w:div>
                    <w:div w:id="294142019">
                      <w:marLeft w:val="0"/>
                      <w:marRight w:val="0"/>
                      <w:marTop w:val="0"/>
                      <w:marBottom w:val="0"/>
                      <w:divBdr>
                        <w:top w:val="none" w:sz="0" w:space="0" w:color="auto"/>
                        <w:left w:val="none" w:sz="0" w:space="0" w:color="auto"/>
                        <w:bottom w:val="none" w:sz="0" w:space="0" w:color="auto"/>
                        <w:right w:val="none" w:sz="0" w:space="0" w:color="auto"/>
                      </w:divBdr>
                    </w:div>
                    <w:div w:id="294142022">
                      <w:marLeft w:val="0"/>
                      <w:marRight w:val="0"/>
                      <w:marTop w:val="0"/>
                      <w:marBottom w:val="0"/>
                      <w:divBdr>
                        <w:top w:val="none" w:sz="0" w:space="0" w:color="auto"/>
                        <w:left w:val="none" w:sz="0" w:space="0" w:color="auto"/>
                        <w:bottom w:val="none" w:sz="0" w:space="0" w:color="auto"/>
                        <w:right w:val="none" w:sz="0" w:space="0" w:color="auto"/>
                      </w:divBdr>
                    </w:div>
                    <w:div w:id="294142048">
                      <w:marLeft w:val="0"/>
                      <w:marRight w:val="0"/>
                      <w:marTop w:val="0"/>
                      <w:marBottom w:val="0"/>
                      <w:divBdr>
                        <w:top w:val="none" w:sz="0" w:space="0" w:color="auto"/>
                        <w:left w:val="none" w:sz="0" w:space="0" w:color="auto"/>
                        <w:bottom w:val="none" w:sz="0" w:space="0" w:color="auto"/>
                        <w:right w:val="none" w:sz="0" w:space="0" w:color="auto"/>
                      </w:divBdr>
                      <w:divsChild>
                        <w:div w:id="294156310">
                          <w:marLeft w:val="0"/>
                          <w:marRight w:val="0"/>
                          <w:marTop w:val="0"/>
                          <w:marBottom w:val="0"/>
                          <w:divBdr>
                            <w:top w:val="none" w:sz="0" w:space="0" w:color="auto"/>
                            <w:left w:val="none" w:sz="0" w:space="0" w:color="auto"/>
                            <w:bottom w:val="none" w:sz="0" w:space="0" w:color="auto"/>
                            <w:right w:val="none" w:sz="0" w:space="0" w:color="auto"/>
                          </w:divBdr>
                        </w:div>
                      </w:divsChild>
                    </w:div>
                    <w:div w:id="294142054">
                      <w:marLeft w:val="0"/>
                      <w:marRight w:val="0"/>
                      <w:marTop w:val="0"/>
                      <w:marBottom w:val="0"/>
                      <w:divBdr>
                        <w:top w:val="none" w:sz="0" w:space="0" w:color="auto"/>
                        <w:left w:val="none" w:sz="0" w:space="0" w:color="auto"/>
                        <w:bottom w:val="none" w:sz="0" w:space="0" w:color="auto"/>
                        <w:right w:val="none" w:sz="0" w:space="0" w:color="auto"/>
                      </w:divBdr>
                      <w:divsChild>
                        <w:div w:id="294150945">
                          <w:marLeft w:val="0"/>
                          <w:marRight w:val="0"/>
                          <w:marTop w:val="0"/>
                          <w:marBottom w:val="0"/>
                          <w:divBdr>
                            <w:top w:val="none" w:sz="0" w:space="0" w:color="auto"/>
                            <w:left w:val="none" w:sz="0" w:space="0" w:color="auto"/>
                            <w:bottom w:val="none" w:sz="0" w:space="0" w:color="auto"/>
                            <w:right w:val="none" w:sz="0" w:space="0" w:color="auto"/>
                          </w:divBdr>
                        </w:div>
                      </w:divsChild>
                    </w:div>
                    <w:div w:id="294142066">
                      <w:marLeft w:val="0"/>
                      <w:marRight w:val="0"/>
                      <w:marTop w:val="0"/>
                      <w:marBottom w:val="0"/>
                      <w:divBdr>
                        <w:top w:val="none" w:sz="0" w:space="0" w:color="auto"/>
                        <w:left w:val="none" w:sz="0" w:space="0" w:color="auto"/>
                        <w:bottom w:val="none" w:sz="0" w:space="0" w:color="auto"/>
                        <w:right w:val="none" w:sz="0" w:space="0" w:color="auto"/>
                      </w:divBdr>
                    </w:div>
                    <w:div w:id="294142090">
                      <w:marLeft w:val="0"/>
                      <w:marRight w:val="0"/>
                      <w:marTop w:val="0"/>
                      <w:marBottom w:val="0"/>
                      <w:divBdr>
                        <w:top w:val="none" w:sz="0" w:space="0" w:color="auto"/>
                        <w:left w:val="none" w:sz="0" w:space="0" w:color="auto"/>
                        <w:bottom w:val="none" w:sz="0" w:space="0" w:color="auto"/>
                        <w:right w:val="none" w:sz="0" w:space="0" w:color="auto"/>
                      </w:divBdr>
                      <w:divsChild>
                        <w:div w:id="294150564">
                          <w:marLeft w:val="0"/>
                          <w:marRight w:val="0"/>
                          <w:marTop w:val="0"/>
                          <w:marBottom w:val="0"/>
                          <w:divBdr>
                            <w:top w:val="none" w:sz="0" w:space="0" w:color="auto"/>
                            <w:left w:val="none" w:sz="0" w:space="0" w:color="auto"/>
                            <w:bottom w:val="none" w:sz="0" w:space="0" w:color="auto"/>
                            <w:right w:val="none" w:sz="0" w:space="0" w:color="auto"/>
                          </w:divBdr>
                        </w:div>
                      </w:divsChild>
                    </w:div>
                    <w:div w:id="294142101">
                      <w:marLeft w:val="0"/>
                      <w:marRight w:val="0"/>
                      <w:marTop w:val="0"/>
                      <w:marBottom w:val="0"/>
                      <w:divBdr>
                        <w:top w:val="none" w:sz="0" w:space="0" w:color="auto"/>
                        <w:left w:val="none" w:sz="0" w:space="0" w:color="auto"/>
                        <w:bottom w:val="none" w:sz="0" w:space="0" w:color="auto"/>
                        <w:right w:val="none" w:sz="0" w:space="0" w:color="auto"/>
                      </w:divBdr>
                      <w:divsChild>
                        <w:div w:id="294154827">
                          <w:marLeft w:val="0"/>
                          <w:marRight w:val="0"/>
                          <w:marTop w:val="0"/>
                          <w:marBottom w:val="0"/>
                          <w:divBdr>
                            <w:top w:val="none" w:sz="0" w:space="0" w:color="auto"/>
                            <w:left w:val="none" w:sz="0" w:space="0" w:color="auto"/>
                            <w:bottom w:val="none" w:sz="0" w:space="0" w:color="auto"/>
                            <w:right w:val="none" w:sz="0" w:space="0" w:color="auto"/>
                          </w:divBdr>
                        </w:div>
                      </w:divsChild>
                    </w:div>
                    <w:div w:id="294142123">
                      <w:marLeft w:val="0"/>
                      <w:marRight w:val="0"/>
                      <w:marTop w:val="0"/>
                      <w:marBottom w:val="0"/>
                      <w:divBdr>
                        <w:top w:val="none" w:sz="0" w:space="0" w:color="auto"/>
                        <w:left w:val="none" w:sz="0" w:space="0" w:color="auto"/>
                        <w:bottom w:val="none" w:sz="0" w:space="0" w:color="auto"/>
                        <w:right w:val="none" w:sz="0" w:space="0" w:color="auto"/>
                      </w:divBdr>
                      <w:divsChild>
                        <w:div w:id="294150527">
                          <w:marLeft w:val="0"/>
                          <w:marRight w:val="0"/>
                          <w:marTop w:val="0"/>
                          <w:marBottom w:val="0"/>
                          <w:divBdr>
                            <w:top w:val="none" w:sz="0" w:space="0" w:color="auto"/>
                            <w:left w:val="none" w:sz="0" w:space="0" w:color="auto"/>
                            <w:bottom w:val="none" w:sz="0" w:space="0" w:color="auto"/>
                            <w:right w:val="none" w:sz="0" w:space="0" w:color="auto"/>
                          </w:divBdr>
                        </w:div>
                      </w:divsChild>
                    </w:div>
                    <w:div w:id="294142153">
                      <w:marLeft w:val="0"/>
                      <w:marRight w:val="0"/>
                      <w:marTop w:val="0"/>
                      <w:marBottom w:val="0"/>
                      <w:divBdr>
                        <w:top w:val="none" w:sz="0" w:space="0" w:color="auto"/>
                        <w:left w:val="none" w:sz="0" w:space="0" w:color="auto"/>
                        <w:bottom w:val="none" w:sz="0" w:space="0" w:color="auto"/>
                        <w:right w:val="none" w:sz="0" w:space="0" w:color="auto"/>
                      </w:divBdr>
                    </w:div>
                    <w:div w:id="294142245">
                      <w:marLeft w:val="0"/>
                      <w:marRight w:val="0"/>
                      <w:marTop w:val="0"/>
                      <w:marBottom w:val="0"/>
                      <w:divBdr>
                        <w:top w:val="none" w:sz="0" w:space="0" w:color="auto"/>
                        <w:left w:val="none" w:sz="0" w:space="0" w:color="auto"/>
                        <w:bottom w:val="none" w:sz="0" w:space="0" w:color="auto"/>
                        <w:right w:val="none" w:sz="0" w:space="0" w:color="auto"/>
                      </w:divBdr>
                      <w:divsChild>
                        <w:div w:id="294142438">
                          <w:marLeft w:val="0"/>
                          <w:marRight w:val="0"/>
                          <w:marTop w:val="0"/>
                          <w:marBottom w:val="0"/>
                          <w:divBdr>
                            <w:top w:val="none" w:sz="0" w:space="0" w:color="auto"/>
                            <w:left w:val="none" w:sz="0" w:space="0" w:color="auto"/>
                            <w:bottom w:val="none" w:sz="0" w:space="0" w:color="auto"/>
                            <w:right w:val="none" w:sz="0" w:space="0" w:color="auto"/>
                          </w:divBdr>
                        </w:div>
                      </w:divsChild>
                    </w:div>
                    <w:div w:id="294142262">
                      <w:marLeft w:val="0"/>
                      <w:marRight w:val="0"/>
                      <w:marTop w:val="0"/>
                      <w:marBottom w:val="0"/>
                      <w:divBdr>
                        <w:top w:val="none" w:sz="0" w:space="0" w:color="auto"/>
                        <w:left w:val="none" w:sz="0" w:space="0" w:color="auto"/>
                        <w:bottom w:val="none" w:sz="0" w:space="0" w:color="auto"/>
                        <w:right w:val="none" w:sz="0" w:space="0" w:color="auto"/>
                      </w:divBdr>
                    </w:div>
                    <w:div w:id="294142416">
                      <w:marLeft w:val="0"/>
                      <w:marRight w:val="0"/>
                      <w:marTop w:val="0"/>
                      <w:marBottom w:val="0"/>
                      <w:divBdr>
                        <w:top w:val="none" w:sz="0" w:space="0" w:color="auto"/>
                        <w:left w:val="none" w:sz="0" w:space="0" w:color="auto"/>
                        <w:bottom w:val="none" w:sz="0" w:space="0" w:color="auto"/>
                        <w:right w:val="none" w:sz="0" w:space="0" w:color="auto"/>
                      </w:divBdr>
                      <w:divsChild>
                        <w:div w:id="294157203">
                          <w:marLeft w:val="0"/>
                          <w:marRight w:val="0"/>
                          <w:marTop w:val="0"/>
                          <w:marBottom w:val="0"/>
                          <w:divBdr>
                            <w:top w:val="none" w:sz="0" w:space="0" w:color="auto"/>
                            <w:left w:val="none" w:sz="0" w:space="0" w:color="auto"/>
                            <w:bottom w:val="none" w:sz="0" w:space="0" w:color="auto"/>
                            <w:right w:val="none" w:sz="0" w:space="0" w:color="auto"/>
                          </w:divBdr>
                        </w:div>
                      </w:divsChild>
                    </w:div>
                    <w:div w:id="294142433">
                      <w:marLeft w:val="0"/>
                      <w:marRight w:val="0"/>
                      <w:marTop w:val="0"/>
                      <w:marBottom w:val="0"/>
                      <w:divBdr>
                        <w:top w:val="none" w:sz="0" w:space="0" w:color="auto"/>
                        <w:left w:val="none" w:sz="0" w:space="0" w:color="auto"/>
                        <w:bottom w:val="none" w:sz="0" w:space="0" w:color="auto"/>
                        <w:right w:val="none" w:sz="0" w:space="0" w:color="auto"/>
                      </w:divBdr>
                      <w:divsChild>
                        <w:div w:id="294146611">
                          <w:marLeft w:val="0"/>
                          <w:marRight w:val="0"/>
                          <w:marTop w:val="0"/>
                          <w:marBottom w:val="0"/>
                          <w:divBdr>
                            <w:top w:val="none" w:sz="0" w:space="0" w:color="auto"/>
                            <w:left w:val="none" w:sz="0" w:space="0" w:color="auto"/>
                            <w:bottom w:val="none" w:sz="0" w:space="0" w:color="auto"/>
                            <w:right w:val="none" w:sz="0" w:space="0" w:color="auto"/>
                          </w:divBdr>
                        </w:div>
                      </w:divsChild>
                    </w:div>
                    <w:div w:id="294142470">
                      <w:marLeft w:val="0"/>
                      <w:marRight w:val="0"/>
                      <w:marTop w:val="0"/>
                      <w:marBottom w:val="0"/>
                      <w:divBdr>
                        <w:top w:val="none" w:sz="0" w:space="0" w:color="auto"/>
                        <w:left w:val="none" w:sz="0" w:space="0" w:color="auto"/>
                        <w:bottom w:val="none" w:sz="0" w:space="0" w:color="auto"/>
                        <w:right w:val="none" w:sz="0" w:space="0" w:color="auto"/>
                      </w:divBdr>
                    </w:div>
                    <w:div w:id="294142471">
                      <w:marLeft w:val="0"/>
                      <w:marRight w:val="0"/>
                      <w:marTop w:val="0"/>
                      <w:marBottom w:val="0"/>
                      <w:divBdr>
                        <w:top w:val="none" w:sz="0" w:space="0" w:color="auto"/>
                        <w:left w:val="none" w:sz="0" w:space="0" w:color="auto"/>
                        <w:bottom w:val="none" w:sz="0" w:space="0" w:color="auto"/>
                        <w:right w:val="none" w:sz="0" w:space="0" w:color="auto"/>
                      </w:divBdr>
                    </w:div>
                    <w:div w:id="294142477">
                      <w:marLeft w:val="0"/>
                      <w:marRight w:val="0"/>
                      <w:marTop w:val="0"/>
                      <w:marBottom w:val="0"/>
                      <w:divBdr>
                        <w:top w:val="none" w:sz="0" w:space="0" w:color="auto"/>
                        <w:left w:val="none" w:sz="0" w:space="0" w:color="auto"/>
                        <w:bottom w:val="none" w:sz="0" w:space="0" w:color="auto"/>
                        <w:right w:val="none" w:sz="0" w:space="0" w:color="auto"/>
                      </w:divBdr>
                      <w:divsChild>
                        <w:div w:id="294155669">
                          <w:marLeft w:val="0"/>
                          <w:marRight w:val="0"/>
                          <w:marTop w:val="0"/>
                          <w:marBottom w:val="0"/>
                          <w:divBdr>
                            <w:top w:val="none" w:sz="0" w:space="0" w:color="auto"/>
                            <w:left w:val="none" w:sz="0" w:space="0" w:color="auto"/>
                            <w:bottom w:val="none" w:sz="0" w:space="0" w:color="auto"/>
                            <w:right w:val="none" w:sz="0" w:space="0" w:color="auto"/>
                          </w:divBdr>
                        </w:div>
                      </w:divsChild>
                    </w:div>
                    <w:div w:id="294142542">
                      <w:marLeft w:val="0"/>
                      <w:marRight w:val="0"/>
                      <w:marTop w:val="0"/>
                      <w:marBottom w:val="0"/>
                      <w:divBdr>
                        <w:top w:val="none" w:sz="0" w:space="0" w:color="auto"/>
                        <w:left w:val="none" w:sz="0" w:space="0" w:color="auto"/>
                        <w:bottom w:val="none" w:sz="0" w:space="0" w:color="auto"/>
                        <w:right w:val="none" w:sz="0" w:space="0" w:color="auto"/>
                      </w:divBdr>
                    </w:div>
                    <w:div w:id="294142579">
                      <w:marLeft w:val="0"/>
                      <w:marRight w:val="0"/>
                      <w:marTop w:val="0"/>
                      <w:marBottom w:val="0"/>
                      <w:divBdr>
                        <w:top w:val="none" w:sz="0" w:space="0" w:color="auto"/>
                        <w:left w:val="none" w:sz="0" w:space="0" w:color="auto"/>
                        <w:bottom w:val="none" w:sz="0" w:space="0" w:color="auto"/>
                        <w:right w:val="none" w:sz="0" w:space="0" w:color="auto"/>
                      </w:divBdr>
                    </w:div>
                    <w:div w:id="294142587">
                      <w:marLeft w:val="0"/>
                      <w:marRight w:val="0"/>
                      <w:marTop w:val="0"/>
                      <w:marBottom w:val="0"/>
                      <w:divBdr>
                        <w:top w:val="none" w:sz="0" w:space="0" w:color="auto"/>
                        <w:left w:val="none" w:sz="0" w:space="0" w:color="auto"/>
                        <w:bottom w:val="none" w:sz="0" w:space="0" w:color="auto"/>
                        <w:right w:val="none" w:sz="0" w:space="0" w:color="auto"/>
                      </w:divBdr>
                      <w:divsChild>
                        <w:div w:id="294147301">
                          <w:marLeft w:val="0"/>
                          <w:marRight w:val="0"/>
                          <w:marTop w:val="0"/>
                          <w:marBottom w:val="0"/>
                          <w:divBdr>
                            <w:top w:val="none" w:sz="0" w:space="0" w:color="auto"/>
                            <w:left w:val="none" w:sz="0" w:space="0" w:color="auto"/>
                            <w:bottom w:val="none" w:sz="0" w:space="0" w:color="auto"/>
                            <w:right w:val="none" w:sz="0" w:space="0" w:color="auto"/>
                          </w:divBdr>
                        </w:div>
                      </w:divsChild>
                    </w:div>
                    <w:div w:id="294142622">
                      <w:marLeft w:val="0"/>
                      <w:marRight w:val="0"/>
                      <w:marTop w:val="0"/>
                      <w:marBottom w:val="0"/>
                      <w:divBdr>
                        <w:top w:val="none" w:sz="0" w:space="0" w:color="auto"/>
                        <w:left w:val="none" w:sz="0" w:space="0" w:color="auto"/>
                        <w:bottom w:val="none" w:sz="0" w:space="0" w:color="auto"/>
                        <w:right w:val="none" w:sz="0" w:space="0" w:color="auto"/>
                      </w:divBdr>
                    </w:div>
                    <w:div w:id="294142628">
                      <w:marLeft w:val="0"/>
                      <w:marRight w:val="0"/>
                      <w:marTop w:val="0"/>
                      <w:marBottom w:val="0"/>
                      <w:divBdr>
                        <w:top w:val="none" w:sz="0" w:space="0" w:color="auto"/>
                        <w:left w:val="none" w:sz="0" w:space="0" w:color="auto"/>
                        <w:bottom w:val="none" w:sz="0" w:space="0" w:color="auto"/>
                        <w:right w:val="none" w:sz="0" w:space="0" w:color="auto"/>
                      </w:divBdr>
                      <w:divsChild>
                        <w:div w:id="294157440">
                          <w:marLeft w:val="0"/>
                          <w:marRight w:val="0"/>
                          <w:marTop w:val="0"/>
                          <w:marBottom w:val="0"/>
                          <w:divBdr>
                            <w:top w:val="none" w:sz="0" w:space="0" w:color="auto"/>
                            <w:left w:val="none" w:sz="0" w:space="0" w:color="auto"/>
                            <w:bottom w:val="none" w:sz="0" w:space="0" w:color="auto"/>
                            <w:right w:val="none" w:sz="0" w:space="0" w:color="auto"/>
                          </w:divBdr>
                        </w:div>
                      </w:divsChild>
                    </w:div>
                    <w:div w:id="294142635">
                      <w:marLeft w:val="0"/>
                      <w:marRight w:val="0"/>
                      <w:marTop w:val="0"/>
                      <w:marBottom w:val="0"/>
                      <w:divBdr>
                        <w:top w:val="none" w:sz="0" w:space="0" w:color="auto"/>
                        <w:left w:val="none" w:sz="0" w:space="0" w:color="auto"/>
                        <w:bottom w:val="none" w:sz="0" w:space="0" w:color="auto"/>
                        <w:right w:val="none" w:sz="0" w:space="0" w:color="auto"/>
                      </w:divBdr>
                      <w:divsChild>
                        <w:div w:id="294140433">
                          <w:marLeft w:val="0"/>
                          <w:marRight w:val="0"/>
                          <w:marTop w:val="0"/>
                          <w:marBottom w:val="0"/>
                          <w:divBdr>
                            <w:top w:val="none" w:sz="0" w:space="0" w:color="auto"/>
                            <w:left w:val="none" w:sz="0" w:space="0" w:color="auto"/>
                            <w:bottom w:val="none" w:sz="0" w:space="0" w:color="auto"/>
                            <w:right w:val="none" w:sz="0" w:space="0" w:color="auto"/>
                          </w:divBdr>
                        </w:div>
                      </w:divsChild>
                    </w:div>
                    <w:div w:id="294142640">
                      <w:marLeft w:val="0"/>
                      <w:marRight w:val="0"/>
                      <w:marTop w:val="0"/>
                      <w:marBottom w:val="0"/>
                      <w:divBdr>
                        <w:top w:val="none" w:sz="0" w:space="0" w:color="auto"/>
                        <w:left w:val="none" w:sz="0" w:space="0" w:color="auto"/>
                        <w:bottom w:val="none" w:sz="0" w:space="0" w:color="auto"/>
                        <w:right w:val="none" w:sz="0" w:space="0" w:color="auto"/>
                      </w:divBdr>
                      <w:divsChild>
                        <w:div w:id="294155850">
                          <w:marLeft w:val="0"/>
                          <w:marRight w:val="0"/>
                          <w:marTop w:val="0"/>
                          <w:marBottom w:val="0"/>
                          <w:divBdr>
                            <w:top w:val="none" w:sz="0" w:space="0" w:color="auto"/>
                            <w:left w:val="none" w:sz="0" w:space="0" w:color="auto"/>
                            <w:bottom w:val="none" w:sz="0" w:space="0" w:color="auto"/>
                            <w:right w:val="none" w:sz="0" w:space="0" w:color="auto"/>
                          </w:divBdr>
                        </w:div>
                      </w:divsChild>
                    </w:div>
                    <w:div w:id="294142662">
                      <w:marLeft w:val="0"/>
                      <w:marRight w:val="0"/>
                      <w:marTop w:val="0"/>
                      <w:marBottom w:val="0"/>
                      <w:divBdr>
                        <w:top w:val="none" w:sz="0" w:space="0" w:color="auto"/>
                        <w:left w:val="none" w:sz="0" w:space="0" w:color="auto"/>
                        <w:bottom w:val="none" w:sz="0" w:space="0" w:color="auto"/>
                        <w:right w:val="none" w:sz="0" w:space="0" w:color="auto"/>
                      </w:divBdr>
                    </w:div>
                    <w:div w:id="294142665">
                      <w:marLeft w:val="0"/>
                      <w:marRight w:val="0"/>
                      <w:marTop w:val="0"/>
                      <w:marBottom w:val="0"/>
                      <w:divBdr>
                        <w:top w:val="none" w:sz="0" w:space="0" w:color="auto"/>
                        <w:left w:val="none" w:sz="0" w:space="0" w:color="auto"/>
                        <w:bottom w:val="none" w:sz="0" w:space="0" w:color="auto"/>
                        <w:right w:val="none" w:sz="0" w:space="0" w:color="auto"/>
                      </w:divBdr>
                    </w:div>
                    <w:div w:id="294142672">
                      <w:marLeft w:val="0"/>
                      <w:marRight w:val="0"/>
                      <w:marTop w:val="0"/>
                      <w:marBottom w:val="0"/>
                      <w:divBdr>
                        <w:top w:val="none" w:sz="0" w:space="0" w:color="auto"/>
                        <w:left w:val="none" w:sz="0" w:space="0" w:color="auto"/>
                        <w:bottom w:val="none" w:sz="0" w:space="0" w:color="auto"/>
                        <w:right w:val="none" w:sz="0" w:space="0" w:color="auto"/>
                      </w:divBdr>
                    </w:div>
                    <w:div w:id="294142713">
                      <w:marLeft w:val="0"/>
                      <w:marRight w:val="0"/>
                      <w:marTop w:val="0"/>
                      <w:marBottom w:val="0"/>
                      <w:divBdr>
                        <w:top w:val="none" w:sz="0" w:space="0" w:color="auto"/>
                        <w:left w:val="none" w:sz="0" w:space="0" w:color="auto"/>
                        <w:bottom w:val="none" w:sz="0" w:space="0" w:color="auto"/>
                        <w:right w:val="none" w:sz="0" w:space="0" w:color="auto"/>
                      </w:divBdr>
                      <w:divsChild>
                        <w:div w:id="294144481">
                          <w:marLeft w:val="0"/>
                          <w:marRight w:val="0"/>
                          <w:marTop w:val="0"/>
                          <w:marBottom w:val="0"/>
                          <w:divBdr>
                            <w:top w:val="none" w:sz="0" w:space="0" w:color="auto"/>
                            <w:left w:val="none" w:sz="0" w:space="0" w:color="auto"/>
                            <w:bottom w:val="none" w:sz="0" w:space="0" w:color="auto"/>
                            <w:right w:val="none" w:sz="0" w:space="0" w:color="auto"/>
                          </w:divBdr>
                        </w:div>
                      </w:divsChild>
                    </w:div>
                    <w:div w:id="294142720">
                      <w:marLeft w:val="0"/>
                      <w:marRight w:val="0"/>
                      <w:marTop w:val="0"/>
                      <w:marBottom w:val="0"/>
                      <w:divBdr>
                        <w:top w:val="none" w:sz="0" w:space="0" w:color="auto"/>
                        <w:left w:val="none" w:sz="0" w:space="0" w:color="auto"/>
                        <w:bottom w:val="none" w:sz="0" w:space="0" w:color="auto"/>
                        <w:right w:val="none" w:sz="0" w:space="0" w:color="auto"/>
                      </w:divBdr>
                      <w:divsChild>
                        <w:div w:id="294149533">
                          <w:marLeft w:val="0"/>
                          <w:marRight w:val="0"/>
                          <w:marTop w:val="0"/>
                          <w:marBottom w:val="0"/>
                          <w:divBdr>
                            <w:top w:val="none" w:sz="0" w:space="0" w:color="auto"/>
                            <w:left w:val="none" w:sz="0" w:space="0" w:color="auto"/>
                            <w:bottom w:val="none" w:sz="0" w:space="0" w:color="auto"/>
                            <w:right w:val="none" w:sz="0" w:space="0" w:color="auto"/>
                          </w:divBdr>
                        </w:div>
                      </w:divsChild>
                    </w:div>
                    <w:div w:id="294142724">
                      <w:marLeft w:val="0"/>
                      <w:marRight w:val="0"/>
                      <w:marTop w:val="0"/>
                      <w:marBottom w:val="0"/>
                      <w:divBdr>
                        <w:top w:val="none" w:sz="0" w:space="0" w:color="auto"/>
                        <w:left w:val="none" w:sz="0" w:space="0" w:color="auto"/>
                        <w:bottom w:val="none" w:sz="0" w:space="0" w:color="auto"/>
                        <w:right w:val="none" w:sz="0" w:space="0" w:color="auto"/>
                      </w:divBdr>
                      <w:divsChild>
                        <w:div w:id="294157009">
                          <w:marLeft w:val="0"/>
                          <w:marRight w:val="0"/>
                          <w:marTop w:val="0"/>
                          <w:marBottom w:val="0"/>
                          <w:divBdr>
                            <w:top w:val="none" w:sz="0" w:space="0" w:color="auto"/>
                            <w:left w:val="none" w:sz="0" w:space="0" w:color="auto"/>
                            <w:bottom w:val="none" w:sz="0" w:space="0" w:color="auto"/>
                            <w:right w:val="none" w:sz="0" w:space="0" w:color="auto"/>
                          </w:divBdr>
                        </w:div>
                      </w:divsChild>
                    </w:div>
                    <w:div w:id="294142731">
                      <w:marLeft w:val="0"/>
                      <w:marRight w:val="0"/>
                      <w:marTop w:val="0"/>
                      <w:marBottom w:val="0"/>
                      <w:divBdr>
                        <w:top w:val="none" w:sz="0" w:space="0" w:color="auto"/>
                        <w:left w:val="none" w:sz="0" w:space="0" w:color="auto"/>
                        <w:bottom w:val="none" w:sz="0" w:space="0" w:color="auto"/>
                        <w:right w:val="none" w:sz="0" w:space="0" w:color="auto"/>
                      </w:divBdr>
                    </w:div>
                    <w:div w:id="294142744">
                      <w:marLeft w:val="0"/>
                      <w:marRight w:val="0"/>
                      <w:marTop w:val="0"/>
                      <w:marBottom w:val="0"/>
                      <w:divBdr>
                        <w:top w:val="none" w:sz="0" w:space="0" w:color="auto"/>
                        <w:left w:val="none" w:sz="0" w:space="0" w:color="auto"/>
                        <w:bottom w:val="none" w:sz="0" w:space="0" w:color="auto"/>
                        <w:right w:val="none" w:sz="0" w:space="0" w:color="auto"/>
                      </w:divBdr>
                    </w:div>
                    <w:div w:id="294142773">
                      <w:marLeft w:val="0"/>
                      <w:marRight w:val="0"/>
                      <w:marTop w:val="0"/>
                      <w:marBottom w:val="0"/>
                      <w:divBdr>
                        <w:top w:val="none" w:sz="0" w:space="0" w:color="auto"/>
                        <w:left w:val="none" w:sz="0" w:space="0" w:color="auto"/>
                        <w:bottom w:val="none" w:sz="0" w:space="0" w:color="auto"/>
                        <w:right w:val="none" w:sz="0" w:space="0" w:color="auto"/>
                      </w:divBdr>
                      <w:divsChild>
                        <w:div w:id="294139684">
                          <w:marLeft w:val="0"/>
                          <w:marRight w:val="0"/>
                          <w:marTop w:val="0"/>
                          <w:marBottom w:val="0"/>
                          <w:divBdr>
                            <w:top w:val="none" w:sz="0" w:space="0" w:color="auto"/>
                            <w:left w:val="none" w:sz="0" w:space="0" w:color="auto"/>
                            <w:bottom w:val="none" w:sz="0" w:space="0" w:color="auto"/>
                            <w:right w:val="none" w:sz="0" w:space="0" w:color="auto"/>
                          </w:divBdr>
                        </w:div>
                      </w:divsChild>
                    </w:div>
                    <w:div w:id="294142775">
                      <w:marLeft w:val="0"/>
                      <w:marRight w:val="0"/>
                      <w:marTop w:val="0"/>
                      <w:marBottom w:val="0"/>
                      <w:divBdr>
                        <w:top w:val="none" w:sz="0" w:space="0" w:color="auto"/>
                        <w:left w:val="none" w:sz="0" w:space="0" w:color="auto"/>
                        <w:bottom w:val="none" w:sz="0" w:space="0" w:color="auto"/>
                        <w:right w:val="none" w:sz="0" w:space="0" w:color="auto"/>
                      </w:divBdr>
                      <w:divsChild>
                        <w:div w:id="294150301">
                          <w:marLeft w:val="0"/>
                          <w:marRight w:val="0"/>
                          <w:marTop w:val="0"/>
                          <w:marBottom w:val="0"/>
                          <w:divBdr>
                            <w:top w:val="none" w:sz="0" w:space="0" w:color="auto"/>
                            <w:left w:val="none" w:sz="0" w:space="0" w:color="auto"/>
                            <w:bottom w:val="none" w:sz="0" w:space="0" w:color="auto"/>
                            <w:right w:val="none" w:sz="0" w:space="0" w:color="auto"/>
                          </w:divBdr>
                        </w:div>
                      </w:divsChild>
                    </w:div>
                    <w:div w:id="294142785">
                      <w:marLeft w:val="0"/>
                      <w:marRight w:val="0"/>
                      <w:marTop w:val="0"/>
                      <w:marBottom w:val="0"/>
                      <w:divBdr>
                        <w:top w:val="none" w:sz="0" w:space="0" w:color="auto"/>
                        <w:left w:val="none" w:sz="0" w:space="0" w:color="auto"/>
                        <w:bottom w:val="none" w:sz="0" w:space="0" w:color="auto"/>
                        <w:right w:val="none" w:sz="0" w:space="0" w:color="auto"/>
                      </w:divBdr>
                      <w:divsChild>
                        <w:div w:id="294144663">
                          <w:marLeft w:val="0"/>
                          <w:marRight w:val="0"/>
                          <w:marTop w:val="0"/>
                          <w:marBottom w:val="0"/>
                          <w:divBdr>
                            <w:top w:val="none" w:sz="0" w:space="0" w:color="auto"/>
                            <w:left w:val="none" w:sz="0" w:space="0" w:color="auto"/>
                            <w:bottom w:val="none" w:sz="0" w:space="0" w:color="auto"/>
                            <w:right w:val="none" w:sz="0" w:space="0" w:color="auto"/>
                          </w:divBdr>
                        </w:div>
                      </w:divsChild>
                    </w:div>
                    <w:div w:id="294142844">
                      <w:marLeft w:val="0"/>
                      <w:marRight w:val="0"/>
                      <w:marTop w:val="0"/>
                      <w:marBottom w:val="0"/>
                      <w:divBdr>
                        <w:top w:val="none" w:sz="0" w:space="0" w:color="auto"/>
                        <w:left w:val="none" w:sz="0" w:space="0" w:color="auto"/>
                        <w:bottom w:val="none" w:sz="0" w:space="0" w:color="auto"/>
                        <w:right w:val="none" w:sz="0" w:space="0" w:color="auto"/>
                      </w:divBdr>
                      <w:divsChild>
                        <w:div w:id="294152126">
                          <w:marLeft w:val="0"/>
                          <w:marRight w:val="0"/>
                          <w:marTop w:val="0"/>
                          <w:marBottom w:val="0"/>
                          <w:divBdr>
                            <w:top w:val="none" w:sz="0" w:space="0" w:color="auto"/>
                            <w:left w:val="none" w:sz="0" w:space="0" w:color="auto"/>
                            <w:bottom w:val="none" w:sz="0" w:space="0" w:color="auto"/>
                            <w:right w:val="none" w:sz="0" w:space="0" w:color="auto"/>
                          </w:divBdr>
                        </w:div>
                      </w:divsChild>
                    </w:div>
                    <w:div w:id="294142940">
                      <w:marLeft w:val="0"/>
                      <w:marRight w:val="0"/>
                      <w:marTop w:val="0"/>
                      <w:marBottom w:val="0"/>
                      <w:divBdr>
                        <w:top w:val="none" w:sz="0" w:space="0" w:color="auto"/>
                        <w:left w:val="none" w:sz="0" w:space="0" w:color="auto"/>
                        <w:bottom w:val="none" w:sz="0" w:space="0" w:color="auto"/>
                        <w:right w:val="none" w:sz="0" w:space="0" w:color="auto"/>
                      </w:divBdr>
                      <w:divsChild>
                        <w:div w:id="294145791">
                          <w:marLeft w:val="0"/>
                          <w:marRight w:val="0"/>
                          <w:marTop w:val="0"/>
                          <w:marBottom w:val="0"/>
                          <w:divBdr>
                            <w:top w:val="none" w:sz="0" w:space="0" w:color="auto"/>
                            <w:left w:val="none" w:sz="0" w:space="0" w:color="auto"/>
                            <w:bottom w:val="none" w:sz="0" w:space="0" w:color="auto"/>
                            <w:right w:val="none" w:sz="0" w:space="0" w:color="auto"/>
                          </w:divBdr>
                        </w:div>
                      </w:divsChild>
                    </w:div>
                    <w:div w:id="294142997">
                      <w:marLeft w:val="0"/>
                      <w:marRight w:val="0"/>
                      <w:marTop w:val="0"/>
                      <w:marBottom w:val="0"/>
                      <w:divBdr>
                        <w:top w:val="none" w:sz="0" w:space="0" w:color="auto"/>
                        <w:left w:val="none" w:sz="0" w:space="0" w:color="auto"/>
                        <w:bottom w:val="none" w:sz="0" w:space="0" w:color="auto"/>
                        <w:right w:val="none" w:sz="0" w:space="0" w:color="auto"/>
                      </w:divBdr>
                      <w:divsChild>
                        <w:div w:id="294151770">
                          <w:marLeft w:val="0"/>
                          <w:marRight w:val="0"/>
                          <w:marTop w:val="0"/>
                          <w:marBottom w:val="0"/>
                          <w:divBdr>
                            <w:top w:val="none" w:sz="0" w:space="0" w:color="auto"/>
                            <w:left w:val="none" w:sz="0" w:space="0" w:color="auto"/>
                            <w:bottom w:val="none" w:sz="0" w:space="0" w:color="auto"/>
                            <w:right w:val="none" w:sz="0" w:space="0" w:color="auto"/>
                          </w:divBdr>
                        </w:div>
                      </w:divsChild>
                    </w:div>
                    <w:div w:id="294143028">
                      <w:marLeft w:val="0"/>
                      <w:marRight w:val="0"/>
                      <w:marTop w:val="0"/>
                      <w:marBottom w:val="0"/>
                      <w:divBdr>
                        <w:top w:val="none" w:sz="0" w:space="0" w:color="auto"/>
                        <w:left w:val="none" w:sz="0" w:space="0" w:color="auto"/>
                        <w:bottom w:val="none" w:sz="0" w:space="0" w:color="auto"/>
                        <w:right w:val="none" w:sz="0" w:space="0" w:color="auto"/>
                      </w:divBdr>
                      <w:divsChild>
                        <w:div w:id="294152822">
                          <w:marLeft w:val="0"/>
                          <w:marRight w:val="0"/>
                          <w:marTop w:val="0"/>
                          <w:marBottom w:val="0"/>
                          <w:divBdr>
                            <w:top w:val="none" w:sz="0" w:space="0" w:color="auto"/>
                            <w:left w:val="none" w:sz="0" w:space="0" w:color="auto"/>
                            <w:bottom w:val="none" w:sz="0" w:space="0" w:color="auto"/>
                            <w:right w:val="none" w:sz="0" w:space="0" w:color="auto"/>
                          </w:divBdr>
                        </w:div>
                      </w:divsChild>
                    </w:div>
                    <w:div w:id="294143076">
                      <w:marLeft w:val="0"/>
                      <w:marRight w:val="0"/>
                      <w:marTop w:val="0"/>
                      <w:marBottom w:val="0"/>
                      <w:divBdr>
                        <w:top w:val="none" w:sz="0" w:space="0" w:color="auto"/>
                        <w:left w:val="none" w:sz="0" w:space="0" w:color="auto"/>
                        <w:bottom w:val="none" w:sz="0" w:space="0" w:color="auto"/>
                        <w:right w:val="none" w:sz="0" w:space="0" w:color="auto"/>
                      </w:divBdr>
                    </w:div>
                    <w:div w:id="294143085">
                      <w:marLeft w:val="0"/>
                      <w:marRight w:val="0"/>
                      <w:marTop w:val="0"/>
                      <w:marBottom w:val="0"/>
                      <w:divBdr>
                        <w:top w:val="none" w:sz="0" w:space="0" w:color="auto"/>
                        <w:left w:val="none" w:sz="0" w:space="0" w:color="auto"/>
                        <w:bottom w:val="none" w:sz="0" w:space="0" w:color="auto"/>
                        <w:right w:val="none" w:sz="0" w:space="0" w:color="auto"/>
                      </w:divBdr>
                    </w:div>
                    <w:div w:id="294143096">
                      <w:marLeft w:val="0"/>
                      <w:marRight w:val="0"/>
                      <w:marTop w:val="0"/>
                      <w:marBottom w:val="0"/>
                      <w:divBdr>
                        <w:top w:val="none" w:sz="0" w:space="0" w:color="auto"/>
                        <w:left w:val="none" w:sz="0" w:space="0" w:color="auto"/>
                        <w:bottom w:val="none" w:sz="0" w:space="0" w:color="auto"/>
                        <w:right w:val="none" w:sz="0" w:space="0" w:color="auto"/>
                      </w:divBdr>
                      <w:divsChild>
                        <w:div w:id="294143889">
                          <w:marLeft w:val="0"/>
                          <w:marRight w:val="0"/>
                          <w:marTop w:val="0"/>
                          <w:marBottom w:val="0"/>
                          <w:divBdr>
                            <w:top w:val="none" w:sz="0" w:space="0" w:color="auto"/>
                            <w:left w:val="none" w:sz="0" w:space="0" w:color="auto"/>
                            <w:bottom w:val="none" w:sz="0" w:space="0" w:color="auto"/>
                            <w:right w:val="none" w:sz="0" w:space="0" w:color="auto"/>
                          </w:divBdr>
                        </w:div>
                      </w:divsChild>
                    </w:div>
                    <w:div w:id="294143194">
                      <w:marLeft w:val="0"/>
                      <w:marRight w:val="0"/>
                      <w:marTop w:val="0"/>
                      <w:marBottom w:val="0"/>
                      <w:divBdr>
                        <w:top w:val="none" w:sz="0" w:space="0" w:color="auto"/>
                        <w:left w:val="none" w:sz="0" w:space="0" w:color="auto"/>
                        <w:bottom w:val="none" w:sz="0" w:space="0" w:color="auto"/>
                        <w:right w:val="none" w:sz="0" w:space="0" w:color="auto"/>
                      </w:divBdr>
                      <w:divsChild>
                        <w:div w:id="294141319">
                          <w:marLeft w:val="0"/>
                          <w:marRight w:val="0"/>
                          <w:marTop w:val="0"/>
                          <w:marBottom w:val="0"/>
                          <w:divBdr>
                            <w:top w:val="none" w:sz="0" w:space="0" w:color="auto"/>
                            <w:left w:val="none" w:sz="0" w:space="0" w:color="auto"/>
                            <w:bottom w:val="none" w:sz="0" w:space="0" w:color="auto"/>
                            <w:right w:val="none" w:sz="0" w:space="0" w:color="auto"/>
                          </w:divBdr>
                        </w:div>
                      </w:divsChild>
                    </w:div>
                    <w:div w:id="294143254">
                      <w:marLeft w:val="0"/>
                      <w:marRight w:val="0"/>
                      <w:marTop w:val="0"/>
                      <w:marBottom w:val="0"/>
                      <w:divBdr>
                        <w:top w:val="none" w:sz="0" w:space="0" w:color="auto"/>
                        <w:left w:val="none" w:sz="0" w:space="0" w:color="auto"/>
                        <w:bottom w:val="none" w:sz="0" w:space="0" w:color="auto"/>
                        <w:right w:val="none" w:sz="0" w:space="0" w:color="auto"/>
                      </w:divBdr>
                    </w:div>
                    <w:div w:id="294143316">
                      <w:marLeft w:val="0"/>
                      <w:marRight w:val="0"/>
                      <w:marTop w:val="0"/>
                      <w:marBottom w:val="0"/>
                      <w:divBdr>
                        <w:top w:val="none" w:sz="0" w:space="0" w:color="auto"/>
                        <w:left w:val="none" w:sz="0" w:space="0" w:color="auto"/>
                        <w:bottom w:val="none" w:sz="0" w:space="0" w:color="auto"/>
                        <w:right w:val="none" w:sz="0" w:space="0" w:color="auto"/>
                      </w:divBdr>
                      <w:divsChild>
                        <w:div w:id="294154627">
                          <w:marLeft w:val="0"/>
                          <w:marRight w:val="0"/>
                          <w:marTop w:val="0"/>
                          <w:marBottom w:val="0"/>
                          <w:divBdr>
                            <w:top w:val="none" w:sz="0" w:space="0" w:color="auto"/>
                            <w:left w:val="none" w:sz="0" w:space="0" w:color="auto"/>
                            <w:bottom w:val="none" w:sz="0" w:space="0" w:color="auto"/>
                            <w:right w:val="none" w:sz="0" w:space="0" w:color="auto"/>
                          </w:divBdr>
                        </w:div>
                      </w:divsChild>
                    </w:div>
                    <w:div w:id="294143334">
                      <w:marLeft w:val="0"/>
                      <w:marRight w:val="0"/>
                      <w:marTop w:val="0"/>
                      <w:marBottom w:val="0"/>
                      <w:divBdr>
                        <w:top w:val="none" w:sz="0" w:space="0" w:color="auto"/>
                        <w:left w:val="none" w:sz="0" w:space="0" w:color="auto"/>
                        <w:bottom w:val="none" w:sz="0" w:space="0" w:color="auto"/>
                        <w:right w:val="none" w:sz="0" w:space="0" w:color="auto"/>
                      </w:divBdr>
                      <w:divsChild>
                        <w:div w:id="294144708">
                          <w:marLeft w:val="0"/>
                          <w:marRight w:val="0"/>
                          <w:marTop w:val="0"/>
                          <w:marBottom w:val="0"/>
                          <w:divBdr>
                            <w:top w:val="none" w:sz="0" w:space="0" w:color="auto"/>
                            <w:left w:val="none" w:sz="0" w:space="0" w:color="auto"/>
                            <w:bottom w:val="none" w:sz="0" w:space="0" w:color="auto"/>
                            <w:right w:val="none" w:sz="0" w:space="0" w:color="auto"/>
                          </w:divBdr>
                        </w:div>
                      </w:divsChild>
                    </w:div>
                    <w:div w:id="294143413">
                      <w:marLeft w:val="0"/>
                      <w:marRight w:val="0"/>
                      <w:marTop w:val="0"/>
                      <w:marBottom w:val="0"/>
                      <w:divBdr>
                        <w:top w:val="none" w:sz="0" w:space="0" w:color="auto"/>
                        <w:left w:val="none" w:sz="0" w:space="0" w:color="auto"/>
                        <w:bottom w:val="none" w:sz="0" w:space="0" w:color="auto"/>
                        <w:right w:val="none" w:sz="0" w:space="0" w:color="auto"/>
                      </w:divBdr>
                    </w:div>
                    <w:div w:id="294143414">
                      <w:marLeft w:val="0"/>
                      <w:marRight w:val="0"/>
                      <w:marTop w:val="0"/>
                      <w:marBottom w:val="0"/>
                      <w:divBdr>
                        <w:top w:val="none" w:sz="0" w:space="0" w:color="auto"/>
                        <w:left w:val="none" w:sz="0" w:space="0" w:color="auto"/>
                        <w:bottom w:val="none" w:sz="0" w:space="0" w:color="auto"/>
                        <w:right w:val="none" w:sz="0" w:space="0" w:color="auto"/>
                      </w:divBdr>
                    </w:div>
                    <w:div w:id="294143446">
                      <w:marLeft w:val="0"/>
                      <w:marRight w:val="0"/>
                      <w:marTop w:val="0"/>
                      <w:marBottom w:val="0"/>
                      <w:divBdr>
                        <w:top w:val="none" w:sz="0" w:space="0" w:color="auto"/>
                        <w:left w:val="none" w:sz="0" w:space="0" w:color="auto"/>
                        <w:bottom w:val="none" w:sz="0" w:space="0" w:color="auto"/>
                        <w:right w:val="none" w:sz="0" w:space="0" w:color="auto"/>
                      </w:divBdr>
                    </w:div>
                    <w:div w:id="294143499">
                      <w:marLeft w:val="0"/>
                      <w:marRight w:val="0"/>
                      <w:marTop w:val="0"/>
                      <w:marBottom w:val="0"/>
                      <w:divBdr>
                        <w:top w:val="none" w:sz="0" w:space="0" w:color="auto"/>
                        <w:left w:val="none" w:sz="0" w:space="0" w:color="auto"/>
                        <w:bottom w:val="none" w:sz="0" w:space="0" w:color="auto"/>
                        <w:right w:val="none" w:sz="0" w:space="0" w:color="auto"/>
                      </w:divBdr>
                      <w:divsChild>
                        <w:div w:id="294151196">
                          <w:marLeft w:val="0"/>
                          <w:marRight w:val="0"/>
                          <w:marTop w:val="0"/>
                          <w:marBottom w:val="0"/>
                          <w:divBdr>
                            <w:top w:val="none" w:sz="0" w:space="0" w:color="auto"/>
                            <w:left w:val="none" w:sz="0" w:space="0" w:color="auto"/>
                            <w:bottom w:val="none" w:sz="0" w:space="0" w:color="auto"/>
                            <w:right w:val="none" w:sz="0" w:space="0" w:color="auto"/>
                          </w:divBdr>
                        </w:div>
                      </w:divsChild>
                    </w:div>
                    <w:div w:id="294143518">
                      <w:marLeft w:val="0"/>
                      <w:marRight w:val="0"/>
                      <w:marTop w:val="0"/>
                      <w:marBottom w:val="0"/>
                      <w:divBdr>
                        <w:top w:val="none" w:sz="0" w:space="0" w:color="auto"/>
                        <w:left w:val="none" w:sz="0" w:space="0" w:color="auto"/>
                        <w:bottom w:val="none" w:sz="0" w:space="0" w:color="auto"/>
                        <w:right w:val="none" w:sz="0" w:space="0" w:color="auto"/>
                      </w:divBdr>
                      <w:divsChild>
                        <w:div w:id="294157200">
                          <w:marLeft w:val="0"/>
                          <w:marRight w:val="0"/>
                          <w:marTop w:val="0"/>
                          <w:marBottom w:val="0"/>
                          <w:divBdr>
                            <w:top w:val="none" w:sz="0" w:space="0" w:color="auto"/>
                            <w:left w:val="none" w:sz="0" w:space="0" w:color="auto"/>
                            <w:bottom w:val="none" w:sz="0" w:space="0" w:color="auto"/>
                            <w:right w:val="none" w:sz="0" w:space="0" w:color="auto"/>
                          </w:divBdr>
                        </w:div>
                      </w:divsChild>
                    </w:div>
                    <w:div w:id="294143614">
                      <w:marLeft w:val="0"/>
                      <w:marRight w:val="0"/>
                      <w:marTop w:val="0"/>
                      <w:marBottom w:val="0"/>
                      <w:divBdr>
                        <w:top w:val="none" w:sz="0" w:space="0" w:color="auto"/>
                        <w:left w:val="none" w:sz="0" w:space="0" w:color="auto"/>
                        <w:bottom w:val="none" w:sz="0" w:space="0" w:color="auto"/>
                        <w:right w:val="none" w:sz="0" w:space="0" w:color="auto"/>
                      </w:divBdr>
                      <w:divsChild>
                        <w:div w:id="294140502">
                          <w:marLeft w:val="0"/>
                          <w:marRight w:val="0"/>
                          <w:marTop w:val="0"/>
                          <w:marBottom w:val="0"/>
                          <w:divBdr>
                            <w:top w:val="none" w:sz="0" w:space="0" w:color="auto"/>
                            <w:left w:val="none" w:sz="0" w:space="0" w:color="auto"/>
                            <w:bottom w:val="none" w:sz="0" w:space="0" w:color="auto"/>
                            <w:right w:val="none" w:sz="0" w:space="0" w:color="auto"/>
                          </w:divBdr>
                        </w:div>
                      </w:divsChild>
                    </w:div>
                    <w:div w:id="294143690">
                      <w:marLeft w:val="0"/>
                      <w:marRight w:val="0"/>
                      <w:marTop w:val="0"/>
                      <w:marBottom w:val="0"/>
                      <w:divBdr>
                        <w:top w:val="none" w:sz="0" w:space="0" w:color="auto"/>
                        <w:left w:val="none" w:sz="0" w:space="0" w:color="auto"/>
                        <w:bottom w:val="none" w:sz="0" w:space="0" w:color="auto"/>
                        <w:right w:val="none" w:sz="0" w:space="0" w:color="auto"/>
                      </w:divBdr>
                    </w:div>
                    <w:div w:id="294143697">
                      <w:marLeft w:val="0"/>
                      <w:marRight w:val="0"/>
                      <w:marTop w:val="0"/>
                      <w:marBottom w:val="0"/>
                      <w:divBdr>
                        <w:top w:val="none" w:sz="0" w:space="0" w:color="auto"/>
                        <w:left w:val="none" w:sz="0" w:space="0" w:color="auto"/>
                        <w:bottom w:val="none" w:sz="0" w:space="0" w:color="auto"/>
                        <w:right w:val="none" w:sz="0" w:space="0" w:color="auto"/>
                      </w:divBdr>
                    </w:div>
                    <w:div w:id="294143905">
                      <w:marLeft w:val="0"/>
                      <w:marRight w:val="0"/>
                      <w:marTop w:val="0"/>
                      <w:marBottom w:val="0"/>
                      <w:divBdr>
                        <w:top w:val="none" w:sz="0" w:space="0" w:color="auto"/>
                        <w:left w:val="none" w:sz="0" w:space="0" w:color="auto"/>
                        <w:bottom w:val="none" w:sz="0" w:space="0" w:color="auto"/>
                        <w:right w:val="none" w:sz="0" w:space="0" w:color="auto"/>
                      </w:divBdr>
                    </w:div>
                    <w:div w:id="294143962">
                      <w:marLeft w:val="0"/>
                      <w:marRight w:val="0"/>
                      <w:marTop w:val="0"/>
                      <w:marBottom w:val="0"/>
                      <w:divBdr>
                        <w:top w:val="none" w:sz="0" w:space="0" w:color="auto"/>
                        <w:left w:val="none" w:sz="0" w:space="0" w:color="auto"/>
                        <w:bottom w:val="none" w:sz="0" w:space="0" w:color="auto"/>
                        <w:right w:val="none" w:sz="0" w:space="0" w:color="auto"/>
                      </w:divBdr>
                    </w:div>
                    <w:div w:id="294144010">
                      <w:marLeft w:val="0"/>
                      <w:marRight w:val="0"/>
                      <w:marTop w:val="0"/>
                      <w:marBottom w:val="0"/>
                      <w:divBdr>
                        <w:top w:val="none" w:sz="0" w:space="0" w:color="auto"/>
                        <w:left w:val="none" w:sz="0" w:space="0" w:color="auto"/>
                        <w:bottom w:val="none" w:sz="0" w:space="0" w:color="auto"/>
                        <w:right w:val="none" w:sz="0" w:space="0" w:color="auto"/>
                      </w:divBdr>
                    </w:div>
                    <w:div w:id="294144017">
                      <w:marLeft w:val="0"/>
                      <w:marRight w:val="0"/>
                      <w:marTop w:val="0"/>
                      <w:marBottom w:val="0"/>
                      <w:divBdr>
                        <w:top w:val="none" w:sz="0" w:space="0" w:color="auto"/>
                        <w:left w:val="none" w:sz="0" w:space="0" w:color="auto"/>
                        <w:bottom w:val="none" w:sz="0" w:space="0" w:color="auto"/>
                        <w:right w:val="none" w:sz="0" w:space="0" w:color="auto"/>
                      </w:divBdr>
                    </w:div>
                    <w:div w:id="294144043">
                      <w:marLeft w:val="0"/>
                      <w:marRight w:val="0"/>
                      <w:marTop w:val="0"/>
                      <w:marBottom w:val="0"/>
                      <w:divBdr>
                        <w:top w:val="none" w:sz="0" w:space="0" w:color="auto"/>
                        <w:left w:val="none" w:sz="0" w:space="0" w:color="auto"/>
                        <w:bottom w:val="none" w:sz="0" w:space="0" w:color="auto"/>
                        <w:right w:val="none" w:sz="0" w:space="0" w:color="auto"/>
                      </w:divBdr>
                    </w:div>
                    <w:div w:id="294144075">
                      <w:marLeft w:val="0"/>
                      <w:marRight w:val="0"/>
                      <w:marTop w:val="0"/>
                      <w:marBottom w:val="0"/>
                      <w:divBdr>
                        <w:top w:val="none" w:sz="0" w:space="0" w:color="auto"/>
                        <w:left w:val="none" w:sz="0" w:space="0" w:color="auto"/>
                        <w:bottom w:val="none" w:sz="0" w:space="0" w:color="auto"/>
                        <w:right w:val="none" w:sz="0" w:space="0" w:color="auto"/>
                      </w:divBdr>
                      <w:divsChild>
                        <w:div w:id="294147368">
                          <w:marLeft w:val="0"/>
                          <w:marRight w:val="0"/>
                          <w:marTop w:val="0"/>
                          <w:marBottom w:val="0"/>
                          <w:divBdr>
                            <w:top w:val="none" w:sz="0" w:space="0" w:color="auto"/>
                            <w:left w:val="none" w:sz="0" w:space="0" w:color="auto"/>
                            <w:bottom w:val="none" w:sz="0" w:space="0" w:color="auto"/>
                            <w:right w:val="none" w:sz="0" w:space="0" w:color="auto"/>
                          </w:divBdr>
                        </w:div>
                      </w:divsChild>
                    </w:div>
                    <w:div w:id="294144080">
                      <w:marLeft w:val="0"/>
                      <w:marRight w:val="0"/>
                      <w:marTop w:val="0"/>
                      <w:marBottom w:val="0"/>
                      <w:divBdr>
                        <w:top w:val="none" w:sz="0" w:space="0" w:color="auto"/>
                        <w:left w:val="none" w:sz="0" w:space="0" w:color="auto"/>
                        <w:bottom w:val="none" w:sz="0" w:space="0" w:color="auto"/>
                        <w:right w:val="none" w:sz="0" w:space="0" w:color="auto"/>
                      </w:divBdr>
                    </w:div>
                    <w:div w:id="294144090">
                      <w:marLeft w:val="0"/>
                      <w:marRight w:val="0"/>
                      <w:marTop w:val="0"/>
                      <w:marBottom w:val="0"/>
                      <w:divBdr>
                        <w:top w:val="none" w:sz="0" w:space="0" w:color="auto"/>
                        <w:left w:val="none" w:sz="0" w:space="0" w:color="auto"/>
                        <w:bottom w:val="none" w:sz="0" w:space="0" w:color="auto"/>
                        <w:right w:val="none" w:sz="0" w:space="0" w:color="auto"/>
                      </w:divBdr>
                      <w:divsChild>
                        <w:div w:id="294145209">
                          <w:marLeft w:val="0"/>
                          <w:marRight w:val="0"/>
                          <w:marTop w:val="0"/>
                          <w:marBottom w:val="0"/>
                          <w:divBdr>
                            <w:top w:val="none" w:sz="0" w:space="0" w:color="auto"/>
                            <w:left w:val="none" w:sz="0" w:space="0" w:color="auto"/>
                            <w:bottom w:val="none" w:sz="0" w:space="0" w:color="auto"/>
                            <w:right w:val="none" w:sz="0" w:space="0" w:color="auto"/>
                          </w:divBdr>
                        </w:div>
                      </w:divsChild>
                    </w:div>
                    <w:div w:id="294144136">
                      <w:marLeft w:val="0"/>
                      <w:marRight w:val="0"/>
                      <w:marTop w:val="0"/>
                      <w:marBottom w:val="0"/>
                      <w:divBdr>
                        <w:top w:val="none" w:sz="0" w:space="0" w:color="auto"/>
                        <w:left w:val="none" w:sz="0" w:space="0" w:color="auto"/>
                        <w:bottom w:val="none" w:sz="0" w:space="0" w:color="auto"/>
                        <w:right w:val="none" w:sz="0" w:space="0" w:color="auto"/>
                      </w:divBdr>
                    </w:div>
                    <w:div w:id="294144198">
                      <w:marLeft w:val="0"/>
                      <w:marRight w:val="0"/>
                      <w:marTop w:val="0"/>
                      <w:marBottom w:val="0"/>
                      <w:divBdr>
                        <w:top w:val="none" w:sz="0" w:space="0" w:color="auto"/>
                        <w:left w:val="none" w:sz="0" w:space="0" w:color="auto"/>
                        <w:bottom w:val="none" w:sz="0" w:space="0" w:color="auto"/>
                        <w:right w:val="none" w:sz="0" w:space="0" w:color="auto"/>
                      </w:divBdr>
                      <w:divsChild>
                        <w:div w:id="294141236">
                          <w:marLeft w:val="0"/>
                          <w:marRight w:val="0"/>
                          <w:marTop w:val="0"/>
                          <w:marBottom w:val="0"/>
                          <w:divBdr>
                            <w:top w:val="none" w:sz="0" w:space="0" w:color="auto"/>
                            <w:left w:val="none" w:sz="0" w:space="0" w:color="auto"/>
                            <w:bottom w:val="none" w:sz="0" w:space="0" w:color="auto"/>
                            <w:right w:val="none" w:sz="0" w:space="0" w:color="auto"/>
                          </w:divBdr>
                        </w:div>
                      </w:divsChild>
                    </w:div>
                    <w:div w:id="294144210">
                      <w:marLeft w:val="0"/>
                      <w:marRight w:val="0"/>
                      <w:marTop w:val="0"/>
                      <w:marBottom w:val="0"/>
                      <w:divBdr>
                        <w:top w:val="none" w:sz="0" w:space="0" w:color="auto"/>
                        <w:left w:val="none" w:sz="0" w:space="0" w:color="auto"/>
                        <w:bottom w:val="none" w:sz="0" w:space="0" w:color="auto"/>
                        <w:right w:val="none" w:sz="0" w:space="0" w:color="auto"/>
                      </w:divBdr>
                      <w:divsChild>
                        <w:div w:id="294144621">
                          <w:marLeft w:val="0"/>
                          <w:marRight w:val="0"/>
                          <w:marTop w:val="0"/>
                          <w:marBottom w:val="0"/>
                          <w:divBdr>
                            <w:top w:val="none" w:sz="0" w:space="0" w:color="auto"/>
                            <w:left w:val="none" w:sz="0" w:space="0" w:color="auto"/>
                            <w:bottom w:val="none" w:sz="0" w:space="0" w:color="auto"/>
                            <w:right w:val="none" w:sz="0" w:space="0" w:color="auto"/>
                          </w:divBdr>
                        </w:div>
                      </w:divsChild>
                    </w:div>
                    <w:div w:id="294144211">
                      <w:marLeft w:val="0"/>
                      <w:marRight w:val="0"/>
                      <w:marTop w:val="0"/>
                      <w:marBottom w:val="0"/>
                      <w:divBdr>
                        <w:top w:val="none" w:sz="0" w:space="0" w:color="auto"/>
                        <w:left w:val="none" w:sz="0" w:space="0" w:color="auto"/>
                        <w:bottom w:val="none" w:sz="0" w:space="0" w:color="auto"/>
                        <w:right w:val="none" w:sz="0" w:space="0" w:color="auto"/>
                      </w:divBdr>
                      <w:divsChild>
                        <w:div w:id="294146854">
                          <w:marLeft w:val="0"/>
                          <w:marRight w:val="0"/>
                          <w:marTop w:val="0"/>
                          <w:marBottom w:val="0"/>
                          <w:divBdr>
                            <w:top w:val="none" w:sz="0" w:space="0" w:color="auto"/>
                            <w:left w:val="none" w:sz="0" w:space="0" w:color="auto"/>
                            <w:bottom w:val="none" w:sz="0" w:space="0" w:color="auto"/>
                            <w:right w:val="none" w:sz="0" w:space="0" w:color="auto"/>
                          </w:divBdr>
                        </w:div>
                      </w:divsChild>
                    </w:div>
                    <w:div w:id="294144227">
                      <w:marLeft w:val="0"/>
                      <w:marRight w:val="0"/>
                      <w:marTop w:val="0"/>
                      <w:marBottom w:val="0"/>
                      <w:divBdr>
                        <w:top w:val="none" w:sz="0" w:space="0" w:color="auto"/>
                        <w:left w:val="none" w:sz="0" w:space="0" w:color="auto"/>
                        <w:bottom w:val="none" w:sz="0" w:space="0" w:color="auto"/>
                        <w:right w:val="none" w:sz="0" w:space="0" w:color="auto"/>
                      </w:divBdr>
                      <w:divsChild>
                        <w:div w:id="294145178">
                          <w:marLeft w:val="0"/>
                          <w:marRight w:val="0"/>
                          <w:marTop w:val="0"/>
                          <w:marBottom w:val="0"/>
                          <w:divBdr>
                            <w:top w:val="none" w:sz="0" w:space="0" w:color="auto"/>
                            <w:left w:val="none" w:sz="0" w:space="0" w:color="auto"/>
                            <w:bottom w:val="none" w:sz="0" w:space="0" w:color="auto"/>
                            <w:right w:val="none" w:sz="0" w:space="0" w:color="auto"/>
                          </w:divBdr>
                        </w:div>
                      </w:divsChild>
                    </w:div>
                    <w:div w:id="294144292">
                      <w:marLeft w:val="0"/>
                      <w:marRight w:val="0"/>
                      <w:marTop w:val="0"/>
                      <w:marBottom w:val="0"/>
                      <w:divBdr>
                        <w:top w:val="none" w:sz="0" w:space="0" w:color="auto"/>
                        <w:left w:val="none" w:sz="0" w:space="0" w:color="auto"/>
                        <w:bottom w:val="none" w:sz="0" w:space="0" w:color="auto"/>
                        <w:right w:val="none" w:sz="0" w:space="0" w:color="auto"/>
                      </w:divBdr>
                      <w:divsChild>
                        <w:div w:id="294145744">
                          <w:marLeft w:val="0"/>
                          <w:marRight w:val="0"/>
                          <w:marTop w:val="0"/>
                          <w:marBottom w:val="0"/>
                          <w:divBdr>
                            <w:top w:val="none" w:sz="0" w:space="0" w:color="auto"/>
                            <w:left w:val="none" w:sz="0" w:space="0" w:color="auto"/>
                            <w:bottom w:val="none" w:sz="0" w:space="0" w:color="auto"/>
                            <w:right w:val="none" w:sz="0" w:space="0" w:color="auto"/>
                          </w:divBdr>
                        </w:div>
                      </w:divsChild>
                    </w:div>
                    <w:div w:id="294144305">
                      <w:marLeft w:val="0"/>
                      <w:marRight w:val="0"/>
                      <w:marTop w:val="0"/>
                      <w:marBottom w:val="0"/>
                      <w:divBdr>
                        <w:top w:val="none" w:sz="0" w:space="0" w:color="auto"/>
                        <w:left w:val="none" w:sz="0" w:space="0" w:color="auto"/>
                        <w:bottom w:val="none" w:sz="0" w:space="0" w:color="auto"/>
                        <w:right w:val="none" w:sz="0" w:space="0" w:color="auto"/>
                      </w:divBdr>
                    </w:div>
                    <w:div w:id="294144311">
                      <w:marLeft w:val="0"/>
                      <w:marRight w:val="0"/>
                      <w:marTop w:val="0"/>
                      <w:marBottom w:val="0"/>
                      <w:divBdr>
                        <w:top w:val="none" w:sz="0" w:space="0" w:color="auto"/>
                        <w:left w:val="none" w:sz="0" w:space="0" w:color="auto"/>
                        <w:bottom w:val="none" w:sz="0" w:space="0" w:color="auto"/>
                        <w:right w:val="none" w:sz="0" w:space="0" w:color="auto"/>
                      </w:divBdr>
                      <w:divsChild>
                        <w:div w:id="294150959">
                          <w:marLeft w:val="0"/>
                          <w:marRight w:val="0"/>
                          <w:marTop w:val="0"/>
                          <w:marBottom w:val="0"/>
                          <w:divBdr>
                            <w:top w:val="none" w:sz="0" w:space="0" w:color="auto"/>
                            <w:left w:val="none" w:sz="0" w:space="0" w:color="auto"/>
                            <w:bottom w:val="none" w:sz="0" w:space="0" w:color="auto"/>
                            <w:right w:val="none" w:sz="0" w:space="0" w:color="auto"/>
                          </w:divBdr>
                        </w:div>
                      </w:divsChild>
                    </w:div>
                    <w:div w:id="294144317">
                      <w:marLeft w:val="0"/>
                      <w:marRight w:val="0"/>
                      <w:marTop w:val="0"/>
                      <w:marBottom w:val="0"/>
                      <w:divBdr>
                        <w:top w:val="none" w:sz="0" w:space="0" w:color="auto"/>
                        <w:left w:val="none" w:sz="0" w:space="0" w:color="auto"/>
                        <w:bottom w:val="none" w:sz="0" w:space="0" w:color="auto"/>
                        <w:right w:val="none" w:sz="0" w:space="0" w:color="auto"/>
                      </w:divBdr>
                      <w:divsChild>
                        <w:div w:id="294143760">
                          <w:marLeft w:val="0"/>
                          <w:marRight w:val="0"/>
                          <w:marTop w:val="0"/>
                          <w:marBottom w:val="0"/>
                          <w:divBdr>
                            <w:top w:val="none" w:sz="0" w:space="0" w:color="auto"/>
                            <w:left w:val="none" w:sz="0" w:space="0" w:color="auto"/>
                            <w:bottom w:val="none" w:sz="0" w:space="0" w:color="auto"/>
                            <w:right w:val="none" w:sz="0" w:space="0" w:color="auto"/>
                          </w:divBdr>
                        </w:div>
                      </w:divsChild>
                    </w:div>
                    <w:div w:id="294144380">
                      <w:marLeft w:val="0"/>
                      <w:marRight w:val="0"/>
                      <w:marTop w:val="0"/>
                      <w:marBottom w:val="0"/>
                      <w:divBdr>
                        <w:top w:val="none" w:sz="0" w:space="0" w:color="auto"/>
                        <w:left w:val="none" w:sz="0" w:space="0" w:color="auto"/>
                        <w:bottom w:val="none" w:sz="0" w:space="0" w:color="auto"/>
                        <w:right w:val="none" w:sz="0" w:space="0" w:color="auto"/>
                      </w:divBdr>
                    </w:div>
                    <w:div w:id="294144384">
                      <w:marLeft w:val="0"/>
                      <w:marRight w:val="0"/>
                      <w:marTop w:val="0"/>
                      <w:marBottom w:val="0"/>
                      <w:divBdr>
                        <w:top w:val="none" w:sz="0" w:space="0" w:color="auto"/>
                        <w:left w:val="none" w:sz="0" w:space="0" w:color="auto"/>
                        <w:bottom w:val="none" w:sz="0" w:space="0" w:color="auto"/>
                        <w:right w:val="none" w:sz="0" w:space="0" w:color="auto"/>
                      </w:divBdr>
                      <w:divsChild>
                        <w:div w:id="294145469">
                          <w:marLeft w:val="0"/>
                          <w:marRight w:val="0"/>
                          <w:marTop w:val="0"/>
                          <w:marBottom w:val="0"/>
                          <w:divBdr>
                            <w:top w:val="none" w:sz="0" w:space="0" w:color="auto"/>
                            <w:left w:val="none" w:sz="0" w:space="0" w:color="auto"/>
                            <w:bottom w:val="none" w:sz="0" w:space="0" w:color="auto"/>
                            <w:right w:val="none" w:sz="0" w:space="0" w:color="auto"/>
                          </w:divBdr>
                        </w:div>
                      </w:divsChild>
                    </w:div>
                    <w:div w:id="294144444">
                      <w:marLeft w:val="0"/>
                      <w:marRight w:val="0"/>
                      <w:marTop w:val="0"/>
                      <w:marBottom w:val="0"/>
                      <w:divBdr>
                        <w:top w:val="none" w:sz="0" w:space="0" w:color="auto"/>
                        <w:left w:val="none" w:sz="0" w:space="0" w:color="auto"/>
                        <w:bottom w:val="none" w:sz="0" w:space="0" w:color="auto"/>
                        <w:right w:val="none" w:sz="0" w:space="0" w:color="auto"/>
                      </w:divBdr>
                      <w:divsChild>
                        <w:div w:id="294155815">
                          <w:marLeft w:val="0"/>
                          <w:marRight w:val="0"/>
                          <w:marTop w:val="0"/>
                          <w:marBottom w:val="0"/>
                          <w:divBdr>
                            <w:top w:val="none" w:sz="0" w:space="0" w:color="auto"/>
                            <w:left w:val="none" w:sz="0" w:space="0" w:color="auto"/>
                            <w:bottom w:val="none" w:sz="0" w:space="0" w:color="auto"/>
                            <w:right w:val="none" w:sz="0" w:space="0" w:color="auto"/>
                          </w:divBdr>
                        </w:div>
                      </w:divsChild>
                    </w:div>
                    <w:div w:id="294144529">
                      <w:marLeft w:val="0"/>
                      <w:marRight w:val="0"/>
                      <w:marTop w:val="0"/>
                      <w:marBottom w:val="0"/>
                      <w:divBdr>
                        <w:top w:val="none" w:sz="0" w:space="0" w:color="auto"/>
                        <w:left w:val="none" w:sz="0" w:space="0" w:color="auto"/>
                        <w:bottom w:val="none" w:sz="0" w:space="0" w:color="auto"/>
                        <w:right w:val="none" w:sz="0" w:space="0" w:color="auto"/>
                      </w:divBdr>
                      <w:divsChild>
                        <w:div w:id="294155343">
                          <w:marLeft w:val="0"/>
                          <w:marRight w:val="0"/>
                          <w:marTop w:val="0"/>
                          <w:marBottom w:val="0"/>
                          <w:divBdr>
                            <w:top w:val="none" w:sz="0" w:space="0" w:color="auto"/>
                            <w:left w:val="none" w:sz="0" w:space="0" w:color="auto"/>
                            <w:bottom w:val="none" w:sz="0" w:space="0" w:color="auto"/>
                            <w:right w:val="none" w:sz="0" w:space="0" w:color="auto"/>
                          </w:divBdr>
                        </w:div>
                      </w:divsChild>
                    </w:div>
                    <w:div w:id="294144531">
                      <w:marLeft w:val="0"/>
                      <w:marRight w:val="0"/>
                      <w:marTop w:val="0"/>
                      <w:marBottom w:val="0"/>
                      <w:divBdr>
                        <w:top w:val="none" w:sz="0" w:space="0" w:color="auto"/>
                        <w:left w:val="none" w:sz="0" w:space="0" w:color="auto"/>
                        <w:bottom w:val="none" w:sz="0" w:space="0" w:color="auto"/>
                        <w:right w:val="none" w:sz="0" w:space="0" w:color="auto"/>
                      </w:divBdr>
                    </w:div>
                    <w:div w:id="294144560">
                      <w:marLeft w:val="0"/>
                      <w:marRight w:val="0"/>
                      <w:marTop w:val="0"/>
                      <w:marBottom w:val="0"/>
                      <w:divBdr>
                        <w:top w:val="none" w:sz="0" w:space="0" w:color="auto"/>
                        <w:left w:val="none" w:sz="0" w:space="0" w:color="auto"/>
                        <w:bottom w:val="none" w:sz="0" w:space="0" w:color="auto"/>
                        <w:right w:val="none" w:sz="0" w:space="0" w:color="auto"/>
                      </w:divBdr>
                      <w:divsChild>
                        <w:div w:id="294145014">
                          <w:marLeft w:val="0"/>
                          <w:marRight w:val="0"/>
                          <w:marTop w:val="0"/>
                          <w:marBottom w:val="0"/>
                          <w:divBdr>
                            <w:top w:val="none" w:sz="0" w:space="0" w:color="auto"/>
                            <w:left w:val="none" w:sz="0" w:space="0" w:color="auto"/>
                            <w:bottom w:val="none" w:sz="0" w:space="0" w:color="auto"/>
                            <w:right w:val="none" w:sz="0" w:space="0" w:color="auto"/>
                          </w:divBdr>
                        </w:div>
                      </w:divsChild>
                    </w:div>
                    <w:div w:id="294144595">
                      <w:marLeft w:val="0"/>
                      <w:marRight w:val="0"/>
                      <w:marTop w:val="0"/>
                      <w:marBottom w:val="0"/>
                      <w:divBdr>
                        <w:top w:val="none" w:sz="0" w:space="0" w:color="auto"/>
                        <w:left w:val="none" w:sz="0" w:space="0" w:color="auto"/>
                        <w:bottom w:val="none" w:sz="0" w:space="0" w:color="auto"/>
                        <w:right w:val="none" w:sz="0" w:space="0" w:color="auto"/>
                      </w:divBdr>
                      <w:divsChild>
                        <w:div w:id="294138076">
                          <w:marLeft w:val="0"/>
                          <w:marRight w:val="0"/>
                          <w:marTop w:val="0"/>
                          <w:marBottom w:val="0"/>
                          <w:divBdr>
                            <w:top w:val="none" w:sz="0" w:space="0" w:color="auto"/>
                            <w:left w:val="none" w:sz="0" w:space="0" w:color="auto"/>
                            <w:bottom w:val="none" w:sz="0" w:space="0" w:color="auto"/>
                            <w:right w:val="none" w:sz="0" w:space="0" w:color="auto"/>
                          </w:divBdr>
                        </w:div>
                      </w:divsChild>
                    </w:div>
                    <w:div w:id="294144752">
                      <w:marLeft w:val="0"/>
                      <w:marRight w:val="0"/>
                      <w:marTop w:val="0"/>
                      <w:marBottom w:val="0"/>
                      <w:divBdr>
                        <w:top w:val="none" w:sz="0" w:space="0" w:color="auto"/>
                        <w:left w:val="none" w:sz="0" w:space="0" w:color="auto"/>
                        <w:bottom w:val="none" w:sz="0" w:space="0" w:color="auto"/>
                        <w:right w:val="none" w:sz="0" w:space="0" w:color="auto"/>
                      </w:divBdr>
                      <w:divsChild>
                        <w:div w:id="294148144">
                          <w:marLeft w:val="0"/>
                          <w:marRight w:val="0"/>
                          <w:marTop w:val="0"/>
                          <w:marBottom w:val="0"/>
                          <w:divBdr>
                            <w:top w:val="none" w:sz="0" w:space="0" w:color="auto"/>
                            <w:left w:val="none" w:sz="0" w:space="0" w:color="auto"/>
                            <w:bottom w:val="none" w:sz="0" w:space="0" w:color="auto"/>
                            <w:right w:val="none" w:sz="0" w:space="0" w:color="auto"/>
                          </w:divBdr>
                        </w:div>
                      </w:divsChild>
                    </w:div>
                    <w:div w:id="294144776">
                      <w:marLeft w:val="0"/>
                      <w:marRight w:val="0"/>
                      <w:marTop w:val="0"/>
                      <w:marBottom w:val="0"/>
                      <w:divBdr>
                        <w:top w:val="none" w:sz="0" w:space="0" w:color="auto"/>
                        <w:left w:val="none" w:sz="0" w:space="0" w:color="auto"/>
                        <w:bottom w:val="none" w:sz="0" w:space="0" w:color="auto"/>
                        <w:right w:val="none" w:sz="0" w:space="0" w:color="auto"/>
                      </w:divBdr>
                      <w:divsChild>
                        <w:div w:id="294139556">
                          <w:marLeft w:val="0"/>
                          <w:marRight w:val="0"/>
                          <w:marTop w:val="0"/>
                          <w:marBottom w:val="0"/>
                          <w:divBdr>
                            <w:top w:val="none" w:sz="0" w:space="0" w:color="auto"/>
                            <w:left w:val="none" w:sz="0" w:space="0" w:color="auto"/>
                            <w:bottom w:val="none" w:sz="0" w:space="0" w:color="auto"/>
                            <w:right w:val="none" w:sz="0" w:space="0" w:color="auto"/>
                          </w:divBdr>
                        </w:div>
                      </w:divsChild>
                    </w:div>
                    <w:div w:id="294144779">
                      <w:marLeft w:val="0"/>
                      <w:marRight w:val="0"/>
                      <w:marTop w:val="0"/>
                      <w:marBottom w:val="0"/>
                      <w:divBdr>
                        <w:top w:val="none" w:sz="0" w:space="0" w:color="auto"/>
                        <w:left w:val="none" w:sz="0" w:space="0" w:color="auto"/>
                        <w:bottom w:val="none" w:sz="0" w:space="0" w:color="auto"/>
                        <w:right w:val="none" w:sz="0" w:space="0" w:color="auto"/>
                      </w:divBdr>
                    </w:div>
                    <w:div w:id="294144868">
                      <w:marLeft w:val="0"/>
                      <w:marRight w:val="0"/>
                      <w:marTop w:val="0"/>
                      <w:marBottom w:val="0"/>
                      <w:divBdr>
                        <w:top w:val="none" w:sz="0" w:space="0" w:color="auto"/>
                        <w:left w:val="none" w:sz="0" w:space="0" w:color="auto"/>
                        <w:bottom w:val="none" w:sz="0" w:space="0" w:color="auto"/>
                        <w:right w:val="none" w:sz="0" w:space="0" w:color="auto"/>
                      </w:divBdr>
                    </w:div>
                    <w:div w:id="294144975">
                      <w:marLeft w:val="0"/>
                      <w:marRight w:val="0"/>
                      <w:marTop w:val="0"/>
                      <w:marBottom w:val="0"/>
                      <w:divBdr>
                        <w:top w:val="none" w:sz="0" w:space="0" w:color="auto"/>
                        <w:left w:val="none" w:sz="0" w:space="0" w:color="auto"/>
                        <w:bottom w:val="none" w:sz="0" w:space="0" w:color="auto"/>
                        <w:right w:val="none" w:sz="0" w:space="0" w:color="auto"/>
                      </w:divBdr>
                    </w:div>
                    <w:div w:id="294144989">
                      <w:marLeft w:val="0"/>
                      <w:marRight w:val="0"/>
                      <w:marTop w:val="0"/>
                      <w:marBottom w:val="0"/>
                      <w:divBdr>
                        <w:top w:val="none" w:sz="0" w:space="0" w:color="auto"/>
                        <w:left w:val="none" w:sz="0" w:space="0" w:color="auto"/>
                        <w:bottom w:val="none" w:sz="0" w:space="0" w:color="auto"/>
                        <w:right w:val="none" w:sz="0" w:space="0" w:color="auto"/>
                      </w:divBdr>
                      <w:divsChild>
                        <w:div w:id="294139873">
                          <w:marLeft w:val="0"/>
                          <w:marRight w:val="0"/>
                          <w:marTop w:val="0"/>
                          <w:marBottom w:val="0"/>
                          <w:divBdr>
                            <w:top w:val="none" w:sz="0" w:space="0" w:color="auto"/>
                            <w:left w:val="none" w:sz="0" w:space="0" w:color="auto"/>
                            <w:bottom w:val="none" w:sz="0" w:space="0" w:color="auto"/>
                            <w:right w:val="none" w:sz="0" w:space="0" w:color="auto"/>
                          </w:divBdr>
                        </w:div>
                      </w:divsChild>
                    </w:div>
                    <w:div w:id="294145027">
                      <w:marLeft w:val="0"/>
                      <w:marRight w:val="0"/>
                      <w:marTop w:val="0"/>
                      <w:marBottom w:val="0"/>
                      <w:divBdr>
                        <w:top w:val="none" w:sz="0" w:space="0" w:color="auto"/>
                        <w:left w:val="none" w:sz="0" w:space="0" w:color="auto"/>
                        <w:bottom w:val="none" w:sz="0" w:space="0" w:color="auto"/>
                        <w:right w:val="none" w:sz="0" w:space="0" w:color="auto"/>
                      </w:divBdr>
                    </w:div>
                    <w:div w:id="294145084">
                      <w:marLeft w:val="0"/>
                      <w:marRight w:val="0"/>
                      <w:marTop w:val="0"/>
                      <w:marBottom w:val="0"/>
                      <w:divBdr>
                        <w:top w:val="none" w:sz="0" w:space="0" w:color="auto"/>
                        <w:left w:val="none" w:sz="0" w:space="0" w:color="auto"/>
                        <w:bottom w:val="none" w:sz="0" w:space="0" w:color="auto"/>
                        <w:right w:val="none" w:sz="0" w:space="0" w:color="auto"/>
                      </w:divBdr>
                      <w:divsChild>
                        <w:div w:id="294140134">
                          <w:marLeft w:val="0"/>
                          <w:marRight w:val="0"/>
                          <w:marTop w:val="0"/>
                          <w:marBottom w:val="0"/>
                          <w:divBdr>
                            <w:top w:val="none" w:sz="0" w:space="0" w:color="auto"/>
                            <w:left w:val="none" w:sz="0" w:space="0" w:color="auto"/>
                            <w:bottom w:val="none" w:sz="0" w:space="0" w:color="auto"/>
                            <w:right w:val="none" w:sz="0" w:space="0" w:color="auto"/>
                          </w:divBdr>
                        </w:div>
                      </w:divsChild>
                    </w:div>
                    <w:div w:id="294145098">
                      <w:marLeft w:val="0"/>
                      <w:marRight w:val="0"/>
                      <w:marTop w:val="0"/>
                      <w:marBottom w:val="0"/>
                      <w:divBdr>
                        <w:top w:val="none" w:sz="0" w:space="0" w:color="auto"/>
                        <w:left w:val="none" w:sz="0" w:space="0" w:color="auto"/>
                        <w:bottom w:val="none" w:sz="0" w:space="0" w:color="auto"/>
                        <w:right w:val="none" w:sz="0" w:space="0" w:color="auto"/>
                      </w:divBdr>
                    </w:div>
                    <w:div w:id="294145222">
                      <w:marLeft w:val="0"/>
                      <w:marRight w:val="0"/>
                      <w:marTop w:val="0"/>
                      <w:marBottom w:val="0"/>
                      <w:divBdr>
                        <w:top w:val="none" w:sz="0" w:space="0" w:color="auto"/>
                        <w:left w:val="none" w:sz="0" w:space="0" w:color="auto"/>
                        <w:bottom w:val="none" w:sz="0" w:space="0" w:color="auto"/>
                        <w:right w:val="none" w:sz="0" w:space="0" w:color="auto"/>
                      </w:divBdr>
                    </w:div>
                    <w:div w:id="294145268">
                      <w:marLeft w:val="0"/>
                      <w:marRight w:val="0"/>
                      <w:marTop w:val="0"/>
                      <w:marBottom w:val="0"/>
                      <w:divBdr>
                        <w:top w:val="none" w:sz="0" w:space="0" w:color="auto"/>
                        <w:left w:val="none" w:sz="0" w:space="0" w:color="auto"/>
                        <w:bottom w:val="none" w:sz="0" w:space="0" w:color="auto"/>
                        <w:right w:val="none" w:sz="0" w:space="0" w:color="auto"/>
                      </w:divBdr>
                      <w:divsChild>
                        <w:div w:id="294157217">
                          <w:marLeft w:val="0"/>
                          <w:marRight w:val="0"/>
                          <w:marTop w:val="0"/>
                          <w:marBottom w:val="0"/>
                          <w:divBdr>
                            <w:top w:val="none" w:sz="0" w:space="0" w:color="auto"/>
                            <w:left w:val="none" w:sz="0" w:space="0" w:color="auto"/>
                            <w:bottom w:val="none" w:sz="0" w:space="0" w:color="auto"/>
                            <w:right w:val="none" w:sz="0" w:space="0" w:color="auto"/>
                          </w:divBdr>
                        </w:div>
                      </w:divsChild>
                    </w:div>
                    <w:div w:id="294145308">
                      <w:marLeft w:val="0"/>
                      <w:marRight w:val="0"/>
                      <w:marTop w:val="0"/>
                      <w:marBottom w:val="0"/>
                      <w:divBdr>
                        <w:top w:val="none" w:sz="0" w:space="0" w:color="auto"/>
                        <w:left w:val="none" w:sz="0" w:space="0" w:color="auto"/>
                        <w:bottom w:val="none" w:sz="0" w:space="0" w:color="auto"/>
                        <w:right w:val="none" w:sz="0" w:space="0" w:color="auto"/>
                      </w:divBdr>
                      <w:divsChild>
                        <w:div w:id="294151179">
                          <w:marLeft w:val="0"/>
                          <w:marRight w:val="0"/>
                          <w:marTop w:val="0"/>
                          <w:marBottom w:val="0"/>
                          <w:divBdr>
                            <w:top w:val="none" w:sz="0" w:space="0" w:color="auto"/>
                            <w:left w:val="none" w:sz="0" w:space="0" w:color="auto"/>
                            <w:bottom w:val="none" w:sz="0" w:space="0" w:color="auto"/>
                            <w:right w:val="none" w:sz="0" w:space="0" w:color="auto"/>
                          </w:divBdr>
                        </w:div>
                      </w:divsChild>
                    </w:div>
                    <w:div w:id="294145343">
                      <w:marLeft w:val="0"/>
                      <w:marRight w:val="0"/>
                      <w:marTop w:val="0"/>
                      <w:marBottom w:val="0"/>
                      <w:divBdr>
                        <w:top w:val="none" w:sz="0" w:space="0" w:color="auto"/>
                        <w:left w:val="none" w:sz="0" w:space="0" w:color="auto"/>
                        <w:bottom w:val="none" w:sz="0" w:space="0" w:color="auto"/>
                        <w:right w:val="none" w:sz="0" w:space="0" w:color="auto"/>
                      </w:divBdr>
                    </w:div>
                    <w:div w:id="294145348">
                      <w:marLeft w:val="0"/>
                      <w:marRight w:val="0"/>
                      <w:marTop w:val="0"/>
                      <w:marBottom w:val="0"/>
                      <w:divBdr>
                        <w:top w:val="none" w:sz="0" w:space="0" w:color="auto"/>
                        <w:left w:val="none" w:sz="0" w:space="0" w:color="auto"/>
                        <w:bottom w:val="none" w:sz="0" w:space="0" w:color="auto"/>
                        <w:right w:val="none" w:sz="0" w:space="0" w:color="auto"/>
                      </w:divBdr>
                      <w:divsChild>
                        <w:div w:id="294149746">
                          <w:marLeft w:val="0"/>
                          <w:marRight w:val="0"/>
                          <w:marTop w:val="0"/>
                          <w:marBottom w:val="0"/>
                          <w:divBdr>
                            <w:top w:val="none" w:sz="0" w:space="0" w:color="auto"/>
                            <w:left w:val="none" w:sz="0" w:space="0" w:color="auto"/>
                            <w:bottom w:val="none" w:sz="0" w:space="0" w:color="auto"/>
                            <w:right w:val="none" w:sz="0" w:space="0" w:color="auto"/>
                          </w:divBdr>
                        </w:div>
                      </w:divsChild>
                    </w:div>
                    <w:div w:id="294145362">
                      <w:marLeft w:val="0"/>
                      <w:marRight w:val="0"/>
                      <w:marTop w:val="0"/>
                      <w:marBottom w:val="0"/>
                      <w:divBdr>
                        <w:top w:val="none" w:sz="0" w:space="0" w:color="auto"/>
                        <w:left w:val="none" w:sz="0" w:space="0" w:color="auto"/>
                        <w:bottom w:val="none" w:sz="0" w:space="0" w:color="auto"/>
                        <w:right w:val="none" w:sz="0" w:space="0" w:color="auto"/>
                      </w:divBdr>
                      <w:divsChild>
                        <w:div w:id="294148271">
                          <w:marLeft w:val="0"/>
                          <w:marRight w:val="0"/>
                          <w:marTop w:val="0"/>
                          <w:marBottom w:val="0"/>
                          <w:divBdr>
                            <w:top w:val="none" w:sz="0" w:space="0" w:color="auto"/>
                            <w:left w:val="none" w:sz="0" w:space="0" w:color="auto"/>
                            <w:bottom w:val="none" w:sz="0" w:space="0" w:color="auto"/>
                            <w:right w:val="none" w:sz="0" w:space="0" w:color="auto"/>
                          </w:divBdr>
                        </w:div>
                      </w:divsChild>
                    </w:div>
                    <w:div w:id="294145365">
                      <w:marLeft w:val="0"/>
                      <w:marRight w:val="0"/>
                      <w:marTop w:val="0"/>
                      <w:marBottom w:val="0"/>
                      <w:divBdr>
                        <w:top w:val="none" w:sz="0" w:space="0" w:color="auto"/>
                        <w:left w:val="none" w:sz="0" w:space="0" w:color="auto"/>
                        <w:bottom w:val="none" w:sz="0" w:space="0" w:color="auto"/>
                        <w:right w:val="none" w:sz="0" w:space="0" w:color="auto"/>
                      </w:divBdr>
                    </w:div>
                    <w:div w:id="294145430">
                      <w:marLeft w:val="0"/>
                      <w:marRight w:val="0"/>
                      <w:marTop w:val="0"/>
                      <w:marBottom w:val="0"/>
                      <w:divBdr>
                        <w:top w:val="none" w:sz="0" w:space="0" w:color="auto"/>
                        <w:left w:val="none" w:sz="0" w:space="0" w:color="auto"/>
                        <w:bottom w:val="none" w:sz="0" w:space="0" w:color="auto"/>
                        <w:right w:val="none" w:sz="0" w:space="0" w:color="auto"/>
                      </w:divBdr>
                    </w:div>
                    <w:div w:id="294145442">
                      <w:marLeft w:val="0"/>
                      <w:marRight w:val="0"/>
                      <w:marTop w:val="0"/>
                      <w:marBottom w:val="0"/>
                      <w:divBdr>
                        <w:top w:val="none" w:sz="0" w:space="0" w:color="auto"/>
                        <w:left w:val="none" w:sz="0" w:space="0" w:color="auto"/>
                        <w:bottom w:val="none" w:sz="0" w:space="0" w:color="auto"/>
                        <w:right w:val="none" w:sz="0" w:space="0" w:color="auto"/>
                      </w:divBdr>
                    </w:div>
                    <w:div w:id="294145489">
                      <w:marLeft w:val="0"/>
                      <w:marRight w:val="0"/>
                      <w:marTop w:val="0"/>
                      <w:marBottom w:val="0"/>
                      <w:divBdr>
                        <w:top w:val="none" w:sz="0" w:space="0" w:color="auto"/>
                        <w:left w:val="none" w:sz="0" w:space="0" w:color="auto"/>
                        <w:bottom w:val="none" w:sz="0" w:space="0" w:color="auto"/>
                        <w:right w:val="none" w:sz="0" w:space="0" w:color="auto"/>
                      </w:divBdr>
                    </w:div>
                    <w:div w:id="294145514">
                      <w:marLeft w:val="0"/>
                      <w:marRight w:val="0"/>
                      <w:marTop w:val="0"/>
                      <w:marBottom w:val="0"/>
                      <w:divBdr>
                        <w:top w:val="none" w:sz="0" w:space="0" w:color="auto"/>
                        <w:left w:val="none" w:sz="0" w:space="0" w:color="auto"/>
                        <w:bottom w:val="none" w:sz="0" w:space="0" w:color="auto"/>
                        <w:right w:val="none" w:sz="0" w:space="0" w:color="auto"/>
                      </w:divBdr>
                      <w:divsChild>
                        <w:div w:id="294155204">
                          <w:marLeft w:val="0"/>
                          <w:marRight w:val="0"/>
                          <w:marTop w:val="0"/>
                          <w:marBottom w:val="0"/>
                          <w:divBdr>
                            <w:top w:val="none" w:sz="0" w:space="0" w:color="auto"/>
                            <w:left w:val="none" w:sz="0" w:space="0" w:color="auto"/>
                            <w:bottom w:val="none" w:sz="0" w:space="0" w:color="auto"/>
                            <w:right w:val="none" w:sz="0" w:space="0" w:color="auto"/>
                          </w:divBdr>
                        </w:div>
                      </w:divsChild>
                    </w:div>
                    <w:div w:id="294145556">
                      <w:marLeft w:val="0"/>
                      <w:marRight w:val="0"/>
                      <w:marTop w:val="0"/>
                      <w:marBottom w:val="0"/>
                      <w:divBdr>
                        <w:top w:val="none" w:sz="0" w:space="0" w:color="auto"/>
                        <w:left w:val="none" w:sz="0" w:space="0" w:color="auto"/>
                        <w:bottom w:val="none" w:sz="0" w:space="0" w:color="auto"/>
                        <w:right w:val="none" w:sz="0" w:space="0" w:color="auto"/>
                      </w:divBdr>
                      <w:divsChild>
                        <w:div w:id="294140437">
                          <w:marLeft w:val="0"/>
                          <w:marRight w:val="0"/>
                          <w:marTop w:val="0"/>
                          <w:marBottom w:val="0"/>
                          <w:divBdr>
                            <w:top w:val="none" w:sz="0" w:space="0" w:color="auto"/>
                            <w:left w:val="none" w:sz="0" w:space="0" w:color="auto"/>
                            <w:bottom w:val="none" w:sz="0" w:space="0" w:color="auto"/>
                            <w:right w:val="none" w:sz="0" w:space="0" w:color="auto"/>
                          </w:divBdr>
                        </w:div>
                      </w:divsChild>
                    </w:div>
                    <w:div w:id="294145634">
                      <w:marLeft w:val="0"/>
                      <w:marRight w:val="0"/>
                      <w:marTop w:val="0"/>
                      <w:marBottom w:val="0"/>
                      <w:divBdr>
                        <w:top w:val="none" w:sz="0" w:space="0" w:color="auto"/>
                        <w:left w:val="none" w:sz="0" w:space="0" w:color="auto"/>
                        <w:bottom w:val="none" w:sz="0" w:space="0" w:color="auto"/>
                        <w:right w:val="none" w:sz="0" w:space="0" w:color="auto"/>
                      </w:divBdr>
                      <w:divsChild>
                        <w:div w:id="294143613">
                          <w:marLeft w:val="0"/>
                          <w:marRight w:val="0"/>
                          <w:marTop w:val="0"/>
                          <w:marBottom w:val="0"/>
                          <w:divBdr>
                            <w:top w:val="none" w:sz="0" w:space="0" w:color="auto"/>
                            <w:left w:val="none" w:sz="0" w:space="0" w:color="auto"/>
                            <w:bottom w:val="none" w:sz="0" w:space="0" w:color="auto"/>
                            <w:right w:val="none" w:sz="0" w:space="0" w:color="auto"/>
                          </w:divBdr>
                        </w:div>
                      </w:divsChild>
                    </w:div>
                    <w:div w:id="294145670">
                      <w:marLeft w:val="0"/>
                      <w:marRight w:val="0"/>
                      <w:marTop w:val="0"/>
                      <w:marBottom w:val="0"/>
                      <w:divBdr>
                        <w:top w:val="none" w:sz="0" w:space="0" w:color="auto"/>
                        <w:left w:val="none" w:sz="0" w:space="0" w:color="auto"/>
                        <w:bottom w:val="none" w:sz="0" w:space="0" w:color="auto"/>
                        <w:right w:val="none" w:sz="0" w:space="0" w:color="auto"/>
                      </w:divBdr>
                    </w:div>
                    <w:div w:id="294145697">
                      <w:marLeft w:val="0"/>
                      <w:marRight w:val="0"/>
                      <w:marTop w:val="0"/>
                      <w:marBottom w:val="0"/>
                      <w:divBdr>
                        <w:top w:val="none" w:sz="0" w:space="0" w:color="auto"/>
                        <w:left w:val="none" w:sz="0" w:space="0" w:color="auto"/>
                        <w:bottom w:val="none" w:sz="0" w:space="0" w:color="auto"/>
                        <w:right w:val="none" w:sz="0" w:space="0" w:color="auto"/>
                      </w:divBdr>
                    </w:div>
                    <w:div w:id="294145724">
                      <w:marLeft w:val="0"/>
                      <w:marRight w:val="0"/>
                      <w:marTop w:val="0"/>
                      <w:marBottom w:val="0"/>
                      <w:divBdr>
                        <w:top w:val="none" w:sz="0" w:space="0" w:color="auto"/>
                        <w:left w:val="none" w:sz="0" w:space="0" w:color="auto"/>
                        <w:bottom w:val="none" w:sz="0" w:space="0" w:color="auto"/>
                        <w:right w:val="none" w:sz="0" w:space="0" w:color="auto"/>
                      </w:divBdr>
                      <w:divsChild>
                        <w:div w:id="294140607">
                          <w:marLeft w:val="0"/>
                          <w:marRight w:val="0"/>
                          <w:marTop w:val="0"/>
                          <w:marBottom w:val="0"/>
                          <w:divBdr>
                            <w:top w:val="none" w:sz="0" w:space="0" w:color="auto"/>
                            <w:left w:val="none" w:sz="0" w:space="0" w:color="auto"/>
                            <w:bottom w:val="none" w:sz="0" w:space="0" w:color="auto"/>
                            <w:right w:val="none" w:sz="0" w:space="0" w:color="auto"/>
                          </w:divBdr>
                        </w:div>
                      </w:divsChild>
                    </w:div>
                    <w:div w:id="294145806">
                      <w:marLeft w:val="0"/>
                      <w:marRight w:val="0"/>
                      <w:marTop w:val="0"/>
                      <w:marBottom w:val="0"/>
                      <w:divBdr>
                        <w:top w:val="none" w:sz="0" w:space="0" w:color="auto"/>
                        <w:left w:val="none" w:sz="0" w:space="0" w:color="auto"/>
                        <w:bottom w:val="none" w:sz="0" w:space="0" w:color="auto"/>
                        <w:right w:val="none" w:sz="0" w:space="0" w:color="auto"/>
                      </w:divBdr>
                      <w:divsChild>
                        <w:div w:id="294138226">
                          <w:marLeft w:val="0"/>
                          <w:marRight w:val="0"/>
                          <w:marTop w:val="0"/>
                          <w:marBottom w:val="0"/>
                          <w:divBdr>
                            <w:top w:val="none" w:sz="0" w:space="0" w:color="auto"/>
                            <w:left w:val="none" w:sz="0" w:space="0" w:color="auto"/>
                            <w:bottom w:val="none" w:sz="0" w:space="0" w:color="auto"/>
                            <w:right w:val="none" w:sz="0" w:space="0" w:color="auto"/>
                          </w:divBdr>
                        </w:div>
                      </w:divsChild>
                    </w:div>
                    <w:div w:id="294145831">
                      <w:marLeft w:val="0"/>
                      <w:marRight w:val="0"/>
                      <w:marTop w:val="0"/>
                      <w:marBottom w:val="0"/>
                      <w:divBdr>
                        <w:top w:val="none" w:sz="0" w:space="0" w:color="auto"/>
                        <w:left w:val="none" w:sz="0" w:space="0" w:color="auto"/>
                        <w:bottom w:val="none" w:sz="0" w:space="0" w:color="auto"/>
                        <w:right w:val="none" w:sz="0" w:space="0" w:color="auto"/>
                      </w:divBdr>
                      <w:divsChild>
                        <w:div w:id="294149095">
                          <w:marLeft w:val="0"/>
                          <w:marRight w:val="0"/>
                          <w:marTop w:val="0"/>
                          <w:marBottom w:val="0"/>
                          <w:divBdr>
                            <w:top w:val="none" w:sz="0" w:space="0" w:color="auto"/>
                            <w:left w:val="none" w:sz="0" w:space="0" w:color="auto"/>
                            <w:bottom w:val="none" w:sz="0" w:space="0" w:color="auto"/>
                            <w:right w:val="none" w:sz="0" w:space="0" w:color="auto"/>
                          </w:divBdr>
                        </w:div>
                      </w:divsChild>
                    </w:div>
                    <w:div w:id="294145849">
                      <w:marLeft w:val="0"/>
                      <w:marRight w:val="0"/>
                      <w:marTop w:val="0"/>
                      <w:marBottom w:val="0"/>
                      <w:divBdr>
                        <w:top w:val="none" w:sz="0" w:space="0" w:color="auto"/>
                        <w:left w:val="none" w:sz="0" w:space="0" w:color="auto"/>
                        <w:bottom w:val="none" w:sz="0" w:space="0" w:color="auto"/>
                        <w:right w:val="none" w:sz="0" w:space="0" w:color="auto"/>
                      </w:divBdr>
                      <w:divsChild>
                        <w:div w:id="294150016">
                          <w:marLeft w:val="0"/>
                          <w:marRight w:val="0"/>
                          <w:marTop w:val="0"/>
                          <w:marBottom w:val="0"/>
                          <w:divBdr>
                            <w:top w:val="none" w:sz="0" w:space="0" w:color="auto"/>
                            <w:left w:val="none" w:sz="0" w:space="0" w:color="auto"/>
                            <w:bottom w:val="none" w:sz="0" w:space="0" w:color="auto"/>
                            <w:right w:val="none" w:sz="0" w:space="0" w:color="auto"/>
                          </w:divBdr>
                        </w:div>
                      </w:divsChild>
                    </w:div>
                    <w:div w:id="294145933">
                      <w:marLeft w:val="0"/>
                      <w:marRight w:val="0"/>
                      <w:marTop w:val="0"/>
                      <w:marBottom w:val="0"/>
                      <w:divBdr>
                        <w:top w:val="none" w:sz="0" w:space="0" w:color="auto"/>
                        <w:left w:val="none" w:sz="0" w:space="0" w:color="auto"/>
                        <w:bottom w:val="none" w:sz="0" w:space="0" w:color="auto"/>
                        <w:right w:val="none" w:sz="0" w:space="0" w:color="auto"/>
                      </w:divBdr>
                      <w:divsChild>
                        <w:div w:id="294152812">
                          <w:marLeft w:val="0"/>
                          <w:marRight w:val="0"/>
                          <w:marTop w:val="0"/>
                          <w:marBottom w:val="0"/>
                          <w:divBdr>
                            <w:top w:val="none" w:sz="0" w:space="0" w:color="auto"/>
                            <w:left w:val="none" w:sz="0" w:space="0" w:color="auto"/>
                            <w:bottom w:val="none" w:sz="0" w:space="0" w:color="auto"/>
                            <w:right w:val="none" w:sz="0" w:space="0" w:color="auto"/>
                          </w:divBdr>
                        </w:div>
                      </w:divsChild>
                    </w:div>
                    <w:div w:id="294145996">
                      <w:marLeft w:val="0"/>
                      <w:marRight w:val="0"/>
                      <w:marTop w:val="0"/>
                      <w:marBottom w:val="0"/>
                      <w:divBdr>
                        <w:top w:val="none" w:sz="0" w:space="0" w:color="auto"/>
                        <w:left w:val="none" w:sz="0" w:space="0" w:color="auto"/>
                        <w:bottom w:val="none" w:sz="0" w:space="0" w:color="auto"/>
                        <w:right w:val="none" w:sz="0" w:space="0" w:color="auto"/>
                      </w:divBdr>
                      <w:divsChild>
                        <w:div w:id="294150148">
                          <w:marLeft w:val="0"/>
                          <w:marRight w:val="0"/>
                          <w:marTop w:val="0"/>
                          <w:marBottom w:val="0"/>
                          <w:divBdr>
                            <w:top w:val="none" w:sz="0" w:space="0" w:color="auto"/>
                            <w:left w:val="none" w:sz="0" w:space="0" w:color="auto"/>
                            <w:bottom w:val="none" w:sz="0" w:space="0" w:color="auto"/>
                            <w:right w:val="none" w:sz="0" w:space="0" w:color="auto"/>
                          </w:divBdr>
                        </w:div>
                      </w:divsChild>
                    </w:div>
                    <w:div w:id="294146001">
                      <w:marLeft w:val="0"/>
                      <w:marRight w:val="0"/>
                      <w:marTop w:val="0"/>
                      <w:marBottom w:val="0"/>
                      <w:divBdr>
                        <w:top w:val="none" w:sz="0" w:space="0" w:color="auto"/>
                        <w:left w:val="none" w:sz="0" w:space="0" w:color="auto"/>
                        <w:bottom w:val="none" w:sz="0" w:space="0" w:color="auto"/>
                        <w:right w:val="none" w:sz="0" w:space="0" w:color="auto"/>
                      </w:divBdr>
                    </w:div>
                    <w:div w:id="294146024">
                      <w:marLeft w:val="0"/>
                      <w:marRight w:val="0"/>
                      <w:marTop w:val="0"/>
                      <w:marBottom w:val="0"/>
                      <w:divBdr>
                        <w:top w:val="none" w:sz="0" w:space="0" w:color="auto"/>
                        <w:left w:val="none" w:sz="0" w:space="0" w:color="auto"/>
                        <w:bottom w:val="none" w:sz="0" w:space="0" w:color="auto"/>
                        <w:right w:val="none" w:sz="0" w:space="0" w:color="auto"/>
                      </w:divBdr>
                      <w:divsChild>
                        <w:div w:id="294154426">
                          <w:marLeft w:val="0"/>
                          <w:marRight w:val="0"/>
                          <w:marTop w:val="0"/>
                          <w:marBottom w:val="0"/>
                          <w:divBdr>
                            <w:top w:val="none" w:sz="0" w:space="0" w:color="auto"/>
                            <w:left w:val="none" w:sz="0" w:space="0" w:color="auto"/>
                            <w:bottom w:val="none" w:sz="0" w:space="0" w:color="auto"/>
                            <w:right w:val="none" w:sz="0" w:space="0" w:color="auto"/>
                          </w:divBdr>
                        </w:div>
                      </w:divsChild>
                    </w:div>
                    <w:div w:id="294146108">
                      <w:marLeft w:val="0"/>
                      <w:marRight w:val="0"/>
                      <w:marTop w:val="0"/>
                      <w:marBottom w:val="0"/>
                      <w:divBdr>
                        <w:top w:val="none" w:sz="0" w:space="0" w:color="auto"/>
                        <w:left w:val="none" w:sz="0" w:space="0" w:color="auto"/>
                        <w:bottom w:val="none" w:sz="0" w:space="0" w:color="auto"/>
                        <w:right w:val="none" w:sz="0" w:space="0" w:color="auto"/>
                      </w:divBdr>
                      <w:divsChild>
                        <w:div w:id="294138844">
                          <w:marLeft w:val="0"/>
                          <w:marRight w:val="0"/>
                          <w:marTop w:val="0"/>
                          <w:marBottom w:val="0"/>
                          <w:divBdr>
                            <w:top w:val="none" w:sz="0" w:space="0" w:color="auto"/>
                            <w:left w:val="none" w:sz="0" w:space="0" w:color="auto"/>
                            <w:bottom w:val="none" w:sz="0" w:space="0" w:color="auto"/>
                            <w:right w:val="none" w:sz="0" w:space="0" w:color="auto"/>
                          </w:divBdr>
                        </w:div>
                      </w:divsChild>
                    </w:div>
                    <w:div w:id="294146114">
                      <w:marLeft w:val="0"/>
                      <w:marRight w:val="0"/>
                      <w:marTop w:val="0"/>
                      <w:marBottom w:val="0"/>
                      <w:divBdr>
                        <w:top w:val="none" w:sz="0" w:space="0" w:color="auto"/>
                        <w:left w:val="none" w:sz="0" w:space="0" w:color="auto"/>
                        <w:bottom w:val="none" w:sz="0" w:space="0" w:color="auto"/>
                        <w:right w:val="none" w:sz="0" w:space="0" w:color="auto"/>
                      </w:divBdr>
                      <w:divsChild>
                        <w:div w:id="294154250">
                          <w:marLeft w:val="0"/>
                          <w:marRight w:val="0"/>
                          <w:marTop w:val="0"/>
                          <w:marBottom w:val="0"/>
                          <w:divBdr>
                            <w:top w:val="none" w:sz="0" w:space="0" w:color="auto"/>
                            <w:left w:val="none" w:sz="0" w:space="0" w:color="auto"/>
                            <w:bottom w:val="none" w:sz="0" w:space="0" w:color="auto"/>
                            <w:right w:val="none" w:sz="0" w:space="0" w:color="auto"/>
                          </w:divBdr>
                        </w:div>
                      </w:divsChild>
                    </w:div>
                    <w:div w:id="294146133">
                      <w:marLeft w:val="0"/>
                      <w:marRight w:val="0"/>
                      <w:marTop w:val="0"/>
                      <w:marBottom w:val="0"/>
                      <w:divBdr>
                        <w:top w:val="none" w:sz="0" w:space="0" w:color="auto"/>
                        <w:left w:val="none" w:sz="0" w:space="0" w:color="auto"/>
                        <w:bottom w:val="none" w:sz="0" w:space="0" w:color="auto"/>
                        <w:right w:val="none" w:sz="0" w:space="0" w:color="auto"/>
                      </w:divBdr>
                    </w:div>
                    <w:div w:id="294146154">
                      <w:marLeft w:val="0"/>
                      <w:marRight w:val="0"/>
                      <w:marTop w:val="0"/>
                      <w:marBottom w:val="0"/>
                      <w:divBdr>
                        <w:top w:val="none" w:sz="0" w:space="0" w:color="auto"/>
                        <w:left w:val="none" w:sz="0" w:space="0" w:color="auto"/>
                        <w:bottom w:val="none" w:sz="0" w:space="0" w:color="auto"/>
                        <w:right w:val="none" w:sz="0" w:space="0" w:color="auto"/>
                      </w:divBdr>
                      <w:divsChild>
                        <w:div w:id="294146007">
                          <w:marLeft w:val="0"/>
                          <w:marRight w:val="0"/>
                          <w:marTop w:val="0"/>
                          <w:marBottom w:val="0"/>
                          <w:divBdr>
                            <w:top w:val="none" w:sz="0" w:space="0" w:color="auto"/>
                            <w:left w:val="none" w:sz="0" w:space="0" w:color="auto"/>
                            <w:bottom w:val="none" w:sz="0" w:space="0" w:color="auto"/>
                            <w:right w:val="none" w:sz="0" w:space="0" w:color="auto"/>
                          </w:divBdr>
                        </w:div>
                      </w:divsChild>
                    </w:div>
                    <w:div w:id="294146190">
                      <w:marLeft w:val="0"/>
                      <w:marRight w:val="0"/>
                      <w:marTop w:val="0"/>
                      <w:marBottom w:val="0"/>
                      <w:divBdr>
                        <w:top w:val="none" w:sz="0" w:space="0" w:color="auto"/>
                        <w:left w:val="none" w:sz="0" w:space="0" w:color="auto"/>
                        <w:bottom w:val="none" w:sz="0" w:space="0" w:color="auto"/>
                        <w:right w:val="none" w:sz="0" w:space="0" w:color="auto"/>
                      </w:divBdr>
                      <w:divsChild>
                        <w:div w:id="294151157">
                          <w:marLeft w:val="0"/>
                          <w:marRight w:val="0"/>
                          <w:marTop w:val="0"/>
                          <w:marBottom w:val="0"/>
                          <w:divBdr>
                            <w:top w:val="none" w:sz="0" w:space="0" w:color="auto"/>
                            <w:left w:val="none" w:sz="0" w:space="0" w:color="auto"/>
                            <w:bottom w:val="none" w:sz="0" w:space="0" w:color="auto"/>
                            <w:right w:val="none" w:sz="0" w:space="0" w:color="auto"/>
                          </w:divBdr>
                        </w:div>
                      </w:divsChild>
                    </w:div>
                    <w:div w:id="294146214">
                      <w:marLeft w:val="0"/>
                      <w:marRight w:val="0"/>
                      <w:marTop w:val="0"/>
                      <w:marBottom w:val="0"/>
                      <w:divBdr>
                        <w:top w:val="none" w:sz="0" w:space="0" w:color="auto"/>
                        <w:left w:val="none" w:sz="0" w:space="0" w:color="auto"/>
                        <w:bottom w:val="none" w:sz="0" w:space="0" w:color="auto"/>
                        <w:right w:val="none" w:sz="0" w:space="0" w:color="auto"/>
                      </w:divBdr>
                      <w:divsChild>
                        <w:div w:id="294149341">
                          <w:marLeft w:val="0"/>
                          <w:marRight w:val="0"/>
                          <w:marTop w:val="0"/>
                          <w:marBottom w:val="0"/>
                          <w:divBdr>
                            <w:top w:val="none" w:sz="0" w:space="0" w:color="auto"/>
                            <w:left w:val="none" w:sz="0" w:space="0" w:color="auto"/>
                            <w:bottom w:val="none" w:sz="0" w:space="0" w:color="auto"/>
                            <w:right w:val="none" w:sz="0" w:space="0" w:color="auto"/>
                          </w:divBdr>
                        </w:div>
                      </w:divsChild>
                    </w:div>
                    <w:div w:id="294146247">
                      <w:marLeft w:val="0"/>
                      <w:marRight w:val="0"/>
                      <w:marTop w:val="0"/>
                      <w:marBottom w:val="0"/>
                      <w:divBdr>
                        <w:top w:val="none" w:sz="0" w:space="0" w:color="auto"/>
                        <w:left w:val="none" w:sz="0" w:space="0" w:color="auto"/>
                        <w:bottom w:val="none" w:sz="0" w:space="0" w:color="auto"/>
                        <w:right w:val="none" w:sz="0" w:space="0" w:color="auto"/>
                      </w:divBdr>
                      <w:divsChild>
                        <w:div w:id="294143516">
                          <w:marLeft w:val="0"/>
                          <w:marRight w:val="0"/>
                          <w:marTop w:val="0"/>
                          <w:marBottom w:val="0"/>
                          <w:divBdr>
                            <w:top w:val="none" w:sz="0" w:space="0" w:color="auto"/>
                            <w:left w:val="none" w:sz="0" w:space="0" w:color="auto"/>
                            <w:bottom w:val="none" w:sz="0" w:space="0" w:color="auto"/>
                            <w:right w:val="none" w:sz="0" w:space="0" w:color="auto"/>
                          </w:divBdr>
                        </w:div>
                      </w:divsChild>
                    </w:div>
                    <w:div w:id="294146274">
                      <w:marLeft w:val="0"/>
                      <w:marRight w:val="0"/>
                      <w:marTop w:val="0"/>
                      <w:marBottom w:val="0"/>
                      <w:divBdr>
                        <w:top w:val="none" w:sz="0" w:space="0" w:color="auto"/>
                        <w:left w:val="none" w:sz="0" w:space="0" w:color="auto"/>
                        <w:bottom w:val="none" w:sz="0" w:space="0" w:color="auto"/>
                        <w:right w:val="none" w:sz="0" w:space="0" w:color="auto"/>
                      </w:divBdr>
                      <w:divsChild>
                        <w:div w:id="294144525">
                          <w:marLeft w:val="0"/>
                          <w:marRight w:val="0"/>
                          <w:marTop w:val="0"/>
                          <w:marBottom w:val="0"/>
                          <w:divBdr>
                            <w:top w:val="none" w:sz="0" w:space="0" w:color="auto"/>
                            <w:left w:val="none" w:sz="0" w:space="0" w:color="auto"/>
                            <w:bottom w:val="none" w:sz="0" w:space="0" w:color="auto"/>
                            <w:right w:val="none" w:sz="0" w:space="0" w:color="auto"/>
                          </w:divBdr>
                        </w:div>
                      </w:divsChild>
                    </w:div>
                    <w:div w:id="294146306">
                      <w:marLeft w:val="0"/>
                      <w:marRight w:val="0"/>
                      <w:marTop w:val="0"/>
                      <w:marBottom w:val="0"/>
                      <w:divBdr>
                        <w:top w:val="none" w:sz="0" w:space="0" w:color="auto"/>
                        <w:left w:val="none" w:sz="0" w:space="0" w:color="auto"/>
                        <w:bottom w:val="none" w:sz="0" w:space="0" w:color="auto"/>
                        <w:right w:val="none" w:sz="0" w:space="0" w:color="auto"/>
                      </w:divBdr>
                      <w:divsChild>
                        <w:div w:id="294143766">
                          <w:marLeft w:val="0"/>
                          <w:marRight w:val="0"/>
                          <w:marTop w:val="0"/>
                          <w:marBottom w:val="0"/>
                          <w:divBdr>
                            <w:top w:val="none" w:sz="0" w:space="0" w:color="auto"/>
                            <w:left w:val="none" w:sz="0" w:space="0" w:color="auto"/>
                            <w:bottom w:val="none" w:sz="0" w:space="0" w:color="auto"/>
                            <w:right w:val="none" w:sz="0" w:space="0" w:color="auto"/>
                          </w:divBdr>
                        </w:div>
                      </w:divsChild>
                    </w:div>
                    <w:div w:id="294146318">
                      <w:marLeft w:val="0"/>
                      <w:marRight w:val="0"/>
                      <w:marTop w:val="0"/>
                      <w:marBottom w:val="0"/>
                      <w:divBdr>
                        <w:top w:val="none" w:sz="0" w:space="0" w:color="auto"/>
                        <w:left w:val="none" w:sz="0" w:space="0" w:color="auto"/>
                        <w:bottom w:val="none" w:sz="0" w:space="0" w:color="auto"/>
                        <w:right w:val="none" w:sz="0" w:space="0" w:color="auto"/>
                      </w:divBdr>
                      <w:divsChild>
                        <w:div w:id="294156029">
                          <w:marLeft w:val="0"/>
                          <w:marRight w:val="0"/>
                          <w:marTop w:val="0"/>
                          <w:marBottom w:val="0"/>
                          <w:divBdr>
                            <w:top w:val="none" w:sz="0" w:space="0" w:color="auto"/>
                            <w:left w:val="none" w:sz="0" w:space="0" w:color="auto"/>
                            <w:bottom w:val="none" w:sz="0" w:space="0" w:color="auto"/>
                            <w:right w:val="none" w:sz="0" w:space="0" w:color="auto"/>
                          </w:divBdr>
                        </w:div>
                      </w:divsChild>
                    </w:div>
                    <w:div w:id="294146357">
                      <w:marLeft w:val="0"/>
                      <w:marRight w:val="0"/>
                      <w:marTop w:val="0"/>
                      <w:marBottom w:val="0"/>
                      <w:divBdr>
                        <w:top w:val="none" w:sz="0" w:space="0" w:color="auto"/>
                        <w:left w:val="none" w:sz="0" w:space="0" w:color="auto"/>
                        <w:bottom w:val="none" w:sz="0" w:space="0" w:color="auto"/>
                        <w:right w:val="none" w:sz="0" w:space="0" w:color="auto"/>
                      </w:divBdr>
                      <w:divsChild>
                        <w:div w:id="294152653">
                          <w:marLeft w:val="0"/>
                          <w:marRight w:val="0"/>
                          <w:marTop w:val="0"/>
                          <w:marBottom w:val="0"/>
                          <w:divBdr>
                            <w:top w:val="none" w:sz="0" w:space="0" w:color="auto"/>
                            <w:left w:val="none" w:sz="0" w:space="0" w:color="auto"/>
                            <w:bottom w:val="none" w:sz="0" w:space="0" w:color="auto"/>
                            <w:right w:val="none" w:sz="0" w:space="0" w:color="auto"/>
                          </w:divBdr>
                        </w:div>
                      </w:divsChild>
                    </w:div>
                    <w:div w:id="294146418">
                      <w:marLeft w:val="0"/>
                      <w:marRight w:val="0"/>
                      <w:marTop w:val="0"/>
                      <w:marBottom w:val="0"/>
                      <w:divBdr>
                        <w:top w:val="none" w:sz="0" w:space="0" w:color="auto"/>
                        <w:left w:val="none" w:sz="0" w:space="0" w:color="auto"/>
                        <w:bottom w:val="none" w:sz="0" w:space="0" w:color="auto"/>
                        <w:right w:val="none" w:sz="0" w:space="0" w:color="auto"/>
                      </w:divBdr>
                    </w:div>
                    <w:div w:id="294146446">
                      <w:marLeft w:val="0"/>
                      <w:marRight w:val="0"/>
                      <w:marTop w:val="0"/>
                      <w:marBottom w:val="0"/>
                      <w:divBdr>
                        <w:top w:val="none" w:sz="0" w:space="0" w:color="auto"/>
                        <w:left w:val="none" w:sz="0" w:space="0" w:color="auto"/>
                        <w:bottom w:val="none" w:sz="0" w:space="0" w:color="auto"/>
                        <w:right w:val="none" w:sz="0" w:space="0" w:color="auto"/>
                      </w:divBdr>
                    </w:div>
                    <w:div w:id="294146449">
                      <w:marLeft w:val="0"/>
                      <w:marRight w:val="0"/>
                      <w:marTop w:val="0"/>
                      <w:marBottom w:val="0"/>
                      <w:divBdr>
                        <w:top w:val="none" w:sz="0" w:space="0" w:color="auto"/>
                        <w:left w:val="none" w:sz="0" w:space="0" w:color="auto"/>
                        <w:bottom w:val="none" w:sz="0" w:space="0" w:color="auto"/>
                        <w:right w:val="none" w:sz="0" w:space="0" w:color="auto"/>
                      </w:divBdr>
                      <w:divsChild>
                        <w:div w:id="294154090">
                          <w:marLeft w:val="0"/>
                          <w:marRight w:val="0"/>
                          <w:marTop w:val="0"/>
                          <w:marBottom w:val="0"/>
                          <w:divBdr>
                            <w:top w:val="none" w:sz="0" w:space="0" w:color="auto"/>
                            <w:left w:val="none" w:sz="0" w:space="0" w:color="auto"/>
                            <w:bottom w:val="none" w:sz="0" w:space="0" w:color="auto"/>
                            <w:right w:val="none" w:sz="0" w:space="0" w:color="auto"/>
                          </w:divBdr>
                        </w:div>
                      </w:divsChild>
                    </w:div>
                    <w:div w:id="294146465">
                      <w:marLeft w:val="0"/>
                      <w:marRight w:val="0"/>
                      <w:marTop w:val="0"/>
                      <w:marBottom w:val="0"/>
                      <w:divBdr>
                        <w:top w:val="none" w:sz="0" w:space="0" w:color="auto"/>
                        <w:left w:val="none" w:sz="0" w:space="0" w:color="auto"/>
                        <w:bottom w:val="none" w:sz="0" w:space="0" w:color="auto"/>
                        <w:right w:val="none" w:sz="0" w:space="0" w:color="auto"/>
                      </w:divBdr>
                      <w:divsChild>
                        <w:div w:id="294154966">
                          <w:marLeft w:val="0"/>
                          <w:marRight w:val="0"/>
                          <w:marTop w:val="0"/>
                          <w:marBottom w:val="0"/>
                          <w:divBdr>
                            <w:top w:val="none" w:sz="0" w:space="0" w:color="auto"/>
                            <w:left w:val="none" w:sz="0" w:space="0" w:color="auto"/>
                            <w:bottom w:val="none" w:sz="0" w:space="0" w:color="auto"/>
                            <w:right w:val="none" w:sz="0" w:space="0" w:color="auto"/>
                          </w:divBdr>
                        </w:div>
                      </w:divsChild>
                    </w:div>
                    <w:div w:id="294146481">
                      <w:marLeft w:val="0"/>
                      <w:marRight w:val="0"/>
                      <w:marTop w:val="0"/>
                      <w:marBottom w:val="0"/>
                      <w:divBdr>
                        <w:top w:val="none" w:sz="0" w:space="0" w:color="auto"/>
                        <w:left w:val="none" w:sz="0" w:space="0" w:color="auto"/>
                        <w:bottom w:val="none" w:sz="0" w:space="0" w:color="auto"/>
                        <w:right w:val="none" w:sz="0" w:space="0" w:color="auto"/>
                      </w:divBdr>
                      <w:divsChild>
                        <w:div w:id="294150763">
                          <w:marLeft w:val="0"/>
                          <w:marRight w:val="0"/>
                          <w:marTop w:val="0"/>
                          <w:marBottom w:val="0"/>
                          <w:divBdr>
                            <w:top w:val="none" w:sz="0" w:space="0" w:color="auto"/>
                            <w:left w:val="none" w:sz="0" w:space="0" w:color="auto"/>
                            <w:bottom w:val="none" w:sz="0" w:space="0" w:color="auto"/>
                            <w:right w:val="none" w:sz="0" w:space="0" w:color="auto"/>
                          </w:divBdr>
                        </w:div>
                      </w:divsChild>
                    </w:div>
                    <w:div w:id="294146483">
                      <w:marLeft w:val="0"/>
                      <w:marRight w:val="0"/>
                      <w:marTop w:val="0"/>
                      <w:marBottom w:val="0"/>
                      <w:divBdr>
                        <w:top w:val="none" w:sz="0" w:space="0" w:color="auto"/>
                        <w:left w:val="none" w:sz="0" w:space="0" w:color="auto"/>
                        <w:bottom w:val="none" w:sz="0" w:space="0" w:color="auto"/>
                        <w:right w:val="none" w:sz="0" w:space="0" w:color="auto"/>
                      </w:divBdr>
                    </w:div>
                    <w:div w:id="294146501">
                      <w:marLeft w:val="0"/>
                      <w:marRight w:val="0"/>
                      <w:marTop w:val="0"/>
                      <w:marBottom w:val="0"/>
                      <w:divBdr>
                        <w:top w:val="none" w:sz="0" w:space="0" w:color="auto"/>
                        <w:left w:val="none" w:sz="0" w:space="0" w:color="auto"/>
                        <w:bottom w:val="none" w:sz="0" w:space="0" w:color="auto"/>
                        <w:right w:val="none" w:sz="0" w:space="0" w:color="auto"/>
                      </w:divBdr>
                    </w:div>
                    <w:div w:id="294146510">
                      <w:marLeft w:val="0"/>
                      <w:marRight w:val="0"/>
                      <w:marTop w:val="0"/>
                      <w:marBottom w:val="0"/>
                      <w:divBdr>
                        <w:top w:val="none" w:sz="0" w:space="0" w:color="auto"/>
                        <w:left w:val="none" w:sz="0" w:space="0" w:color="auto"/>
                        <w:bottom w:val="none" w:sz="0" w:space="0" w:color="auto"/>
                        <w:right w:val="none" w:sz="0" w:space="0" w:color="auto"/>
                      </w:divBdr>
                    </w:div>
                    <w:div w:id="294146565">
                      <w:marLeft w:val="0"/>
                      <w:marRight w:val="0"/>
                      <w:marTop w:val="0"/>
                      <w:marBottom w:val="0"/>
                      <w:divBdr>
                        <w:top w:val="none" w:sz="0" w:space="0" w:color="auto"/>
                        <w:left w:val="none" w:sz="0" w:space="0" w:color="auto"/>
                        <w:bottom w:val="none" w:sz="0" w:space="0" w:color="auto"/>
                        <w:right w:val="none" w:sz="0" w:space="0" w:color="auto"/>
                      </w:divBdr>
                      <w:divsChild>
                        <w:div w:id="294153723">
                          <w:marLeft w:val="0"/>
                          <w:marRight w:val="0"/>
                          <w:marTop w:val="0"/>
                          <w:marBottom w:val="0"/>
                          <w:divBdr>
                            <w:top w:val="none" w:sz="0" w:space="0" w:color="auto"/>
                            <w:left w:val="none" w:sz="0" w:space="0" w:color="auto"/>
                            <w:bottom w:val="none" w:sz="0" w:space="0" w:color="auto"/>
                            <w:right w:val="none" w:sz="0" w:space="0" w:color="auto"/>
                          </w:divBdr>
                        </w:div>
                      </w:divsChild>
                    </w:div>
                    <w:div w:id="294146598">
                      <w:marLeft w:val="0"/>
                      <w:marRight w:val="0"/>
                      <w:marTop w:val="0"/>
                      <w:marBottom w:val="0"/>
                      <w:divBdr>
                        <w:top w:val="none" w:sz="0" w:space="0" w:color="auto"/>
                        <w:left w:val="none" w:sz="0" w:space="0" w:color="auto"/>
                        <w:bottom w:val="none" w:sz="0" w:space="0" w:color="auto"/>
                        <w:right w:val="none" w:sz="0" w:space="0" w:color="auto"/>
                      </w:divBdr>
                    </w:div>
                    <w:div w:id="294146600">
                      <w:marLeft w:val="0"/>
                      <w:marRight w:val="0"/>
                      <w:marTop w:val="0"/>
                      <w:marBottom w:val="0"/>
                      <w:divBdr>
                        <w:top w:val="none" w:sz="0" w:space="0" w:color="auto"/>
                        <w:left w:val="none" w:sz="0" w:space="0" w:color="auto"/>
                        <w:bottom w:val="none" w:sz="0" w:space="0" w:color="auto"/>
                        <w:right w:val="none" w:sz="0" w:space="0" w:color="auto"/>
                      </w:divBdr>
                      <w:divsChild>
                        <w:div w:id="294155838">
                          <w:marLeft w:val="0"/>
                          <w:marRight w:val="0"/>
                          <w:marTop w:val="0"/>
                          <w:marBottom w:val="0"/>
                          <w:divBdr>
                            <w:top w:val="none" w:sz="0" w:space="0" w:color="auto"/>
                            <w:left w:val="none" w:sz="0" w:space="0" w:color="auto"/>
                            <w:bottom w:val="none" w:sz="0" w:space="0" w:color="auto"/>
                            <w:right w:val="none" w:sz="0" w:space="0" w:color="auto"/>
                          </w:divBdr>
                        </w:div>
                      </w:divsChild>
                    </w:div>
                    <w:div w:id="294146633">
                      <w:marLeft w:val="0"/>
                      <w:marRight w:val="0"/>
                      <w:marTop w:val="0"/>
                      <w:marBottom w:val="0"/>
                      <w:divBdr>
                        <w:top w:val="none" w:sz="0" w:space="0" w:color="auto"/>
                        <w:left w:val="none" w:sz="0" w:space="0" w:color="auto"/>
                        <w:bottom w:val="none" w:sz="0" w:space="0" w:color="auto"/>
                        <w:right w:val="none" w:sz="0" w:space="0" w:color="auto"/>
                      </w:divBdr>
                      <w:divsChild>
                        <w:div w:id="294155896">
                          <w:marLeft w:val="0"/>
                          <w:marRight w:val="0"/>
                          <w:marTop w:val="0"/>
                          <w:marBottom w:val="0"/>
                          <w:divBdr>
                            <w:top w:val="none" w:sz="0" w:space="0" w:color="auto"/>
                            <w:left w:val="none" w:sz="0" w:space="0" w:color="auto"/>
                            <w:bottom w:val="none" w:sz="0" w:space="0" w:color="auto"/>
                            <w:right w:val="none" w:sz="0" w:space="0" w:color="auto"/>
                          </w:divBdr>
                        </w:div>
                      </w:divsChild>
                    </w:div>
                    <w:div w:id="294146663">
                      <w:marLeft w:val="0"/>
                      <w:marRight w:val="0"/>
                      <w:marTop w:val="0"/>
                      <w:marBottom w:val="0"/>
                      <w:divBdr>
                        <w:top w:val="none" w:sz="0" w:space="0" w:color="auto"/>
                        <w:left w:val="none" w:sz="0" w:space="0" w:color="auto"/>
                        <w:bottom w:val="none" w:sz="0" w:space="0" w:color="auto"/>
                        <w:right w:val="none" w:sz="0" w:space="0" w:color="auto"/>
                      </w:divBdr>
                      <w:divsChild>
                        <w:div w:id="294153350">
                          <w:marLeft w:val="0"/>
                          <w:marRight w:val="0"/>
                          <w:marTop w:val="0"/>
                          <w:marBottom w:val="0"/>
                          <w:divBdr>
                            <w:top w:val="none" w:sz="0" w:space="0" w:color="auto"/>
                            <w:left w:val="none" w:sz="0" w:space="0" w:color="auto"/>
                            <w:bottom w:val="none" w:sz="0" w:space="0" w:color="auto"/>
                            <w:right w:val="none" w:sz="0" w:space="0" w:color="auto"/>
                          </w:divBdr>
                        </w:div>
                      </w:divsChild>
                    </w:div>
                    <w:div w:id="294146664">
                      <w:marLeft w:val="0"/>
                      <w:marRight w:val="0"/>
                      <w:marTop w:val="0"/>
                      <w:marBottom w:val="0"/>
                      <w:divBdr>
                        <w:top w:val="none" w:sz="0" w:space="0" w:color="auto"/>
                        <w:left w:val="none" w:sz="0" w:space="0" w:color="auto"/>
                        <w:bottom w:val="none" w:sz="0" w:space="0" w:color="auto"/>
                        <w:right w:val="none" w:sz="0" w:space="0" w:color="auto"/>
                      </w:divBdr>
                      <w:divsChild>
                        <w:div w:id="294148362">
                          <w:marLeft w:val="0"/>
                          <w:marRight w:val="0"/>
                          <w:marTop w:val="0"/>
                          <w:marBottom w:val="0"/>
                          <w:divBdr>
                            <w:top w:val="none" w:sz="0" w:space="0" w:color="auto"/>
                            <w:left w:val="none" w:sz="0" w:space="0" w:color="auto"/>
                            <w:bottom w:val="none" w:sz="0" w:space="0" w:color="auto"/>
                            <w:right w:val="none" w:sz="0" w:space="0" w:color="auto"/>
                          </w:divBdr>
                        </w:div>
                      </w:divsChild>
                    </w:div>
                    <w:div w:id="294146673">
                      <w:marLeft w:val="0"/>
                      <w:marRight w:val="0"/>
                      <w:marTop w:val="0"/>
                      <w:marBottom w:val="0"/>
                      <w:divBdr>
                        <w:top w:val="none" w:sz="0" w:space="0" w:color="auto"/>
                        <w:left w:val="none" w:sz="0" w:space="0" w:color="auto"/>
                        <w:bottom w:val="none" w:sz="0" w:space="0" w:color="auto"/>
                        <w:right w:val="none" w:sz="0" w:space="0" w:color="auto"/>
                      </w:divBdr>
                    </w:div>
                    <w:div w:id="294146710">
                      <w:marLeft w:val="0"/>
                      <w:marRight w:val="0"/>
                      <w:marTop w:val="0"/>
                      <w:marBottom w:val="0"/>
                      <w:divBdr>
                        <w:top w:val="none" w:sz="0" w:space="0" w:color="auto"/>
                        <w:left w:val="none" w:sz="0" w:space="0" w:color="auto"/>
                        <w:bottom w:val="none" w:sz="0" w:space="0" w:color="auto"/>
                        <w:right w:val="none" w:sz="0" w:space="0" w:color="auto"/>
                      </w:divBdr>
                    </w:div>
                    <w:div w:id="294146754">
                      <w:marLeft w:val="0"/>
                      <w:marRight w:val="0"/>
                      <w:marTop w:val="0"/>
                      <w:marBottom w:val="0"/>
                      <w:divBdr>
                        <w:top w:val="none" w:sz="0" w:space="0" w:color="auto"/>
                        <w:left w:val="none" w:sz="0" w:space="0" w:color="auto"/>
                        <w:bottom w:val="none" w:sz="0" w:space="0" w:color="auto"/>
                        <w:right w:val="none" w:sz="0" w:space="0" w:color="auto"/>
                      </w:divBdr>
                      <w:divsChild>
                        <w:div w:id="294140035">
                          <w:marLeft w:val="0"/>
                          <w:marRight w:val="0"/>
                          <w:marTop w:val="0"/>
                          <w:marBottom w:val="0"/>
                          <w:divBdr>
                            <w:top w:val="none" w:sz="0" w:space="0" w:color="auto"/>
                            <w:left w:val="none" w:sz="0" w:space="0" w:color="auto"/>
                            <w:bottom w:val="none" w:sz="0" w:space="0" w:color="auto"/>
                            <w:right w:val="none" w:sz="0" w:space="0" w:color="auto"/>
                          </w:divBdr>
                        </w:div>
                      </w:divsChild>
                    </w:div>
                    <w:div w:id="294146815">
                      <w:marLeft w:val="0"/>
                      <w:marRight w:val="0"/>
                      <w:marTop w:val="0"/>
                      <w:marBottom w:val="0"/>
                      <w:divBdr>
                        <w:top w:val="none" w:sz="0" w:space="0" w:color="auto"/>
                        <w:left w:val="none" w:sz="0" w:space="0" w:color="auto"/>
                        <w:bottom w:val="none" w:sz="0" w:space="0" w:color="auto"/>
                        <w:right w:val="none" w:sz="0" w:space="0" w:color="auto"/>
                      </w:divBdr>
                      <w:divsChild>
                        <w:div w:id="294146222">
                          <w:marLeft w:val="0"/>
                          <w:marRight w:val="0"/>
                          <w:marTop w:val="0"/>
                          <w:marBottom w:val="0"/>
                          <w:divBdr>
                            <w:top w:val="none" w:sz="0" w:space="0" w:color="auto"/>
                            <w:left w:val="none" w:sz="0" w:space="0" w:color="auto"/>
                            <w:bottom w:val="none" w:sz="0" w:space="0" w:color="auto"/>
                            <w:right w:val="none" w:sz="0" w:space="0" w:color="auto"/>
                          </w:divBdr>
                        </w:div>
                      </w:divsChild>
                    </w:div>
                    <w:div w:id="294146840">
                      <w:marLeft w:val="0"/>
                      <w:marRight w:val="0"/>
                      <w:marTop w:val="0"/>
                      <w:marBottom w:val="0"/>
                      <w:divBdr>
                        <w:top w:val="none" w:sz="0" w:space="0" w:color="auto"/>
                        <w:left w:val="none" w:sz="0" w:space="0" w:color="auto"/>
                        <w:bottom w:val="none" w:sz="0" w:space="0" w:color="auto"/>
                        <w:right w:val="none" w:sz="0" w:space="0" w:color="auto"/>
                      </w:divBdr>
                    </w:div>
                    <w:div w:id="294146915">
                      <w:marLeft w:val="0"/>
                      <w:marRight w:val="0"/>
                      <w:marTop w:val="0"/>
                      <w:marBottom w:val="0"/>
                      <w:divBdr>
                        <w:top w:val="none" w:sz="0" w:space="0" w:color="auto"/>
                        <w:left w:val="none" w:sz="0" w:space="0" w:color="auto"/>
                        <w:bottom w:val="none" w:sz="0" w:space="0" w:color="auto"/>
                        <w:right w:val="none" w:sz="0" w:space="0" w:color="auto"/>
                      </w:divBdr>
                    </w:div>
                    <w:div w:id="294146940">
                      <w:marLeft w:val="0"/>
                      <w:marRight w:val="0"/>
                      <w:marTop w:val="0"/>
                      <w:marBottom w:val="0"/>
                      <w:divBdr>
                        <w:top w:val="none" w:sz="0" w:space="0" w:color="auto"/>
                        <w:left w:val="none" w:sz="0" w:space="0" w:color="auto"/>
                        <w:bottom w:val="none" w:sz="0" w:space="0" w:color="auto"/>
                        <w:right w:val="none" w:sz="0" w:space="0" w:color="auto"/>
                      </w:divBdr>
                    </w:div>
                    <w:div w:id="294146946">
                      <w:marLeft w:val="0"/>
                      <w:marRight w:val="0"/>
                      <w:marTop w:val="0"/>
                      <w:marBottom w:val="0"/>
                      <w:divBdr>
                        <w:top w:val="none" w:sz="0" w:space="0" w:color="auto"/>
                        <w:left w:val="none" w:sz="0" w:space="0" w:color="auto"/>
                        <w:bottom w:val="none" w:sz="0" w:space="0" w:color="auto"/>
                        <w:right w:val="none" w:sz="0" w:space="0" w:color="auto"/>
                      </w:divBdr>
                    </w:div>
                    <w:div w:id="294146959">
                      <w:marLeft w:val="0"/>
                      <w:marRight w:val="0"/>
                      <w:marTop w:val="0"/>
                      <w:marBottom w:val="0"/>
                      <w:divBdr>
                        <w:top w:val="none" w:sz="0" w:space="0" w:color="auto"/>
                        <w:left w:val="none" w:sz="0" w:space="0" w:color="auto"/>
                        <w:bottom w:val="none" w:sz="0" w:space="0" w:color="auto"/>
                        <w:right w:val="none" w:sz="0" w:space="0" w:color="auto"/>
                      </w:divBdr>
                      <w:divsChild>
                        <w:div w:id="294148293">
                          <w:marLeft w:val="0"/>
                          <w:marRight w:val="0"/>
                          <w:marTop w:val="0"/>
                          <w:marBottom w:val="0"/>
                          <w:divBdr>
                            <w:top w:val="none" w:sz="0" w:space="0" w:color="auto"/>
                            <w:left w:val="none" w:sz="0" w:space="0" w:color="auto"/>
                            <w:bottom w:val="none" w:sz="0" w:space="0" w:color="auto"/>
                            <w:right w:val="none" w:sz="0" w:space="0" w:color="auto"/>
                          </w:divBdr>
                        </w:div>
                      </w:divsChild>
                    </w:div>
                    <w:div w:id="294147022">
                      <w:marLeft w:val="0"/>
                      <w:marRight w:val="0"/>
                      <w:marTop w:val="0"/>
                      <w:marBottom w:val="0"/>
                      <w:divBdr>
                        <w:top w:val="none" w:sz="0" w:space="0" w:color="auto"/>
                        <w:left w:val="none" w:sz="0" w:space="0" w:color="auto"/>
                        <w:bottom w:val="none" w:sz="0" w:space="0" w:color="auto"/>
                        <w:right w:val="none" w:sz="0" w:space="0" w:color="auto"/>
                      </w:divBdr>
                      <w:divsChild>
                        <w:div w:id="294151873">
                          <w:marLeft w:val="0"/>
                          <w:marRight w:val="0"/>
                          <w:marTop w:val="0"/>
                          <w:marBottom w:val="0"/>
                          <w:divBdr>
                            <w:top w:val="none" w:sz="0" w:space="0" w:color="auto"/>
                            <w:left w:val="none" w:sz="0" w:space="0" w:color="auto"/>
                            <w:bottom w:val="none" w:sz="0" w:space="0" w:color="auto"/>
                            <w:right w:val="none" w:sz="0" w:space="0" w:color="auto"/>
                          </w:divBdr>
                        </w:div>
                      </w:divsChild>
                    </w:div>
                    <w:div w:id="294147044">
                      <w:marLeft w:val="0"/>
                      <w:marRight w:val="0"/>
                      <w:marTop w:val="0"/>
                      <w:marBottom w:val="0"/>
                      <w:divBdr>
                        <w:top w:val="none" w:sz="0" w:space="0" w:color="auto"/>
                        <w:left w:val="none" w:sz="0" w:space="0" w:color="auto"/>
                        <w:bottom w:val="none" w:sz="0" w:space="0" w:color="auto"/>
                        <w:right w:val="none" w:sz="0" w:space="0" w:color="auto"/>
                      </w:divBdr>
                      <w:divsChild>
                        <w:div w:id="294149300">
                          <w:marLeft w:val="0"/>
                          <w:marRight w:val="0"/>
                          <w:marTop w:val="0"/>
                          <w:marBottom w:val="0"/>
                          <w:divBdr>
                            <w:top w:val="none" w:sz="0" w:space="0" w:color="auto"/>
                            <w:left w:val="none" w:sz="0" w:space="0" w:color="auto"/>
                            <w:bottom w:val="none" w:sz="0" w:space="0" w:color="auto"/>
                            <w:right w:val="none" w:sz="0" w:space="0" w:color="auto"/>
                          </w:divBdr>
                        </w:div>
                      </w:divsChild>
                    </w:div>
                    <w:div w:id="294147058">
                      <w:marLeft w:val="0"/>
                      <w:marRight w:val="0"/>
                      <w:marTop w:val="0"/>
                      <w:marBottom w:val="0"/>
                      <w:divBdr>
                        <w:top w:val="none" w:sz="0" w:space="0" w:color="auto"/>
                        <w:left w:val="none" w:sz="0" w:space="0" w:color="auto"/>
                        <w:bottom w:val="none" w:sz="0" w:space="0" w:color="auto"/>
                        <w:right w:val="none" w:sz="0" w:space="0" w:color="auto"/>
                      </w:divBdr>
                      <w:divsChild>
                        <w:div w:id="294147998">
                          <w:marLeft w:val="0"/>
                          <w:marRight w:val="0"/>
                          <w:marTop w:val="0"/>
                          <w:marBottom w:val="0"/>
                          <w:divBdr>
                            <w:top w:val="none" w:sz="0" w:space="0" w:color="auto"/>
                            <w:left w:val="none" w:sz="0" w:space="0" w:color="auto"/>
                            <w:bottom w:val="none" w:sz="0" w:space="0" w:color="auto"/>
                            <w:right w:val="none" w:sz="0" w:space="0" w:color="auto"/>
                          </w:divBdr>
                        </w:div>
                      </w:divsChild>
                    </w:div>
                    <w:div w:id="294147074">
                      <w:marLeft w:val="0"/>
                      <w:marRight w:val="0"/>
                      <w:marTop w:val="0"/>
                      <w:marBottom w:val="0"/>
                      <w:divBdr>
                        <w:top w:val="none" w:sz="0" w:space="0" w:color="auto"/>
                        <w:left w:val="none" w:sz="0" w:space="0" w:color="auto"/>
                        <w:bottom w:val="none" w:sz="0" w:space="0" w:color="auto"/>
                        <w:right w:val="none" w:sz="0" w:space="0" w:color="auto"/>
                      </w:divBdr>
                    </w:div>
                    <w:div w:id="294147079">
                      <w:marLeft w:val="0"/>
                      <w:marRight w:val="0"/>
                      <w:marTop w:val="0"/>
                      <w:marBottom w:val="0"/>
                      <w:divBdr>
                        <w:top w:val="none" w:sz="0" w:space="0" w:color="auto"/>
                        <w:left w:val="none" w:sz="0" w:space="0" w:color="auto"/>
                        <w:bottom w:val="none" w:sz="0" w:space="0" w:color="auto"/>
                        <w:right w:val="none" w:sz="0" w:space="0" w:color="auto"/>
                      </w:divBdr>
                      <w:divsChild>
                        <w:div w:id="294146370">
                          <w:marLeft w:val="0"/>
                          <w:marRight w:val="0"/>
                          <w:marTop w:val="0"/>
                          <w:marBottom w:val="0"/>
                          <w:divBdr>
                            <w:top w:val="none" w:sz="0" w:space="0" w:color="auto"/>
                            <w:left w:val="none" w:sz="0" w:space="0" w:color="auto"/>
                            <w:bottom w:val="none" w:sz="0" w:space="0" w:color="auto"/>
                            <w:right w:val="none" w:sz="0" w:space="0" w:color="auto"/>
                          </w:divBdr>
                        </w:div>
                      </w:divsChild>
                    </w:div>
                    <w:div w:id="294147184">
                      <w:marLeft w:val="0"/>
                      <w:marRight w:val="0"/>
                      <w:marTop w:val="0"/>
                      <w:marBottom w:val="0"/>
                      <w:divBdr>
                        <w:top w:val="none" w:sz="0" w:space="0" w:color="auto"/>
                        <w:left w:val="none" w:sz="0" w:space="0" w:color="auto"/>
                        <w:bottom w:val="none" w:sz="0" w:space="0" w:color="auto"/>
                        <w:right w:val="none" w:sz="0" w:space="0" w:color="auto"/>
                      </w:divBdr>
                      <w:divsChild>
                        <w:div w:id="294149235">
                          <w:marLeft w:val="0"/>
                          <w:marRight w:val="0"/>
                          <w:marTop w:val="0"/>
                          <w:marBottom w:val="0"/>
                          <w:divBdr>
                            <w:top w:val="none" w:sz="0" w:space="0" w:color="auto"/>
                            <w:left w:val="none" w:sz="0" w:space="0" w:color="auto"/>
                            <w:bottom w:val="none" w:sz="0" w:space="0" w:color="auto"/>
                            <w:right w:val="none" w:sz="0" w:space="0" w:color="auto"/>
                          </w:divBdr>
                        </w:div>
                      </w:divsChild>
                    </w:div>
                    <w:div w:id="294147262">
                      <w:marLeft w:val="0"/>
                      <w:marRight w:val="0"/>
                      <w:marTop w:val="0"/>
                      <w:marBottom w:val="0"/>
                      <w:divBdr>
                        <w:top w:val="none" w:sz="0" w:space="0" w:color="auto"/>
                        <w:left w:val="none" w:sz="0" w:space="0" w:color="auto"/>
                        <w:bottom w:val="none" w:sz="0" w:space="0" w:color="auto"/>
                        <w:right w:val="none" w:sz="0" w:space="0" w:color="auto"/>
                      </w:divBdr>
                      <w:divsChild>
                        <w:div w:id="294145645">
                          <w:marLeft w:val="0"/>
                          <w:marRight w:val="0"/>
                          <w:marTop w:val="0"/>
                          <w:marBottom w:val="0"/>
                          <w:divBdr>
                            <w:top w:val="none" w:sz="0" w:space="0" w:color="auto"/>
                            <w:left w:val="none" w:sz="0" w:space="0" w:color="auto"/>
                            <w:bottom w:val="none" w:sz="0" w:space="0" w:color="auto"/>
                            <w:right w:val="none" w:sz="0" w:space="0" w:color="auto"/>
                          </w:divBdr>
                        </w:div>
                      </w:divsChild>
                    </w:div>
                    <w:div w:id="294147387">
                      <w:marLeft w:val="0"/>
                      <w:marRight w:val="0"/>
                      <w:marTop w:val="0"/>
                      <w:marBottom w:val="0"/>
                      <w:divBdr>
                        <w:top w:val="none" w:sz="0" w:space="0" w:color="auto"/>
                        <w:left w:val="none" w:sz="0" w:space="0" w:color="auto"/>
                        <w:bottom w:val="none" w:sz="0" w:space="0" w:color="auto"/>
                        <w:right w:val="none" w:sz="0" w:space="0" w:color="auto"/>
                      </w:divBdr>
                    </w:div>
                    <w:div w:id="294147421">
                      <w:marLeft w:val="0"/>
                      <w:marRight w:val="0"/>
                      <w:marTop w:val="0"/>
                      <w:marBottom w:val="0"/>
                      <w:divBdr>
                        <w:top w:val="none" w:sz="0" w:space="0" w:color="auto"/>
                        <w:left w:val="none" w:sz="0" w:space="0" w:color="auto"/>
                        <w:bottom w:val="none" w:sz="0" w:space="0" w:color="auto"/>
                        <w:right w:val="none" w:sz="0" w:space="0" w:color="auto"/>
                      </w:divBdr>
                    </w:div>
                    <w:div w:id="294147498">
                      <w:marLeft w:val="0"/>
                      <w:marRight w:val="0"/>
                      <w:marTop w:val="0"/>
                      <w:marBottom w:val="0"/>
                      <w:divBdr>
                        <w:top w:val="none" w:sz="0" w:space="0" w:color="auto"/>
                        <w:left w:val="none" w:sz="0" w:space="0" w:color="auto"/>
                        <w:bottom w:val="none" w:sz="0" w:space="0" w:color="auto"/>
                        <w:right w:val="none" w:sz="0" w:space="0" w:color="auto"/>
                      </w:divBdr>
                    </w:div>
                    <w:div w:id="294147508">
                      <w:marLeft w:val="0"/>
                      <w:marRight w:val="0"/>
                      <w:marTop w:val="0"/>
                      <w:marBottom w:val="0"/>
                      <w:divBdr>
                        <w:top w:val="none" w:sz="0" w:space="0" w:color="auto"/>
                        <w:left w:val="none" w:sz="0" w:space="0" w:color="auto"/>
                        <w:bottom w:val="none" w:sz="0" w:space="0" w:color="auto"/>
                        <w:right w:val="none" w:sz="0" w:space="0" w:color="auto"/>
                      </w:divBdr>
                      <w:divsChild>
                        <w:div w:id="294145245">
                          <w:marLeft w:val="0"/>
                          <w:marRight w:val="0"/>
                          <w:marTop w:val="0"/>
                          <w:marBottom w:val="0"/>
                          <w:divBdr>
                            <w:top w:val="none" w:sz="0" w:space="0" w:color="auto"/>
                            <w:left w:val="none" w:sz="0" w:space="0" w:color="auto"/>
                            <w:bottom w:val="none" w:sz="0" w:space="0" w:color="auto"/>
                            <w:right w:val="none" w:sz="0" w:space="0" w:color="auto"/>
                          </w:divBdr>
                        </w:div>
                      </w:divsChild>
                    </w:div>
                    <w:div w:id="294147516">
                      <w:marLeft w:val="0"/>
                      <w:marRight w:val="0"/>
                      <w:marTop w:val="0"/>
                      <w:marBottom w:val="0"/>
                      <w:divBdr>
                        <w:top w:val="none" w:sz="0" w:space="0" w:color="auto"/>
                        <w:left w:val="none" w:sz="0" w:space="0" w:color="auto"/>
                        <w:bottom w:val="none" w:sz="0" w:space="0" w:color="auto"/>
                        <w:right w:val="none" w:sz="0" w:space="0" w:color="auto"/>
                      </w:divBdr>
                      <w:divsChild>
                        <w:div w:id="294144356">
                          <w:marLeft w:val="0"/>
                          <w:marRight w:val="0"/>
                          <w:marTop w:val="0"/>
                          <w:marBottom w:val="0"/>
                          <w:divBdr>
                            <w:top w:val="none" w:sz="0" w:space="0" w:color="auto"/>
                            <w:left w:val="none" w:sz="0" w:space="0" w:color="auto"/>
                            <w:bottom w:val="none" w:sz="0" w:space="0" w:color="auto"/>
                            <w:right w:val="none" w:sz="0" w:space="0" w:color="auto"/>
                          </w:divBdr>
                        </w:div>
                      </w:divsChild>
                    </w:div>
                    <w:div w:id="294147520">
                      <w:marLeft w:val="0"/>
                      <w:marRight w:val="0"/>
                      <w:marTop w:val="0"/>
                      <w:marBottom w:val="0"/>
                      <w:divBdr>
                        <w:top w:val="none" w:sz="0" w:space="0" w:color="auto"/>
                        <w:left w:val="none" w:sz="0" w:space="0" w:color="auto"/>
                        <w:bottom w:val="none" w:sz="0" w:space="0" w:color="auto"/>
                        <w:right w:val="none" w:sz="0" w:space="0" w:color="auto"/>
                      </w:divBdr>
                      <w:divsChild>
                        <w:div w:id="294147329">
                          <w:marLeft w:val="0"/>
                          <w:marRight w:val="0"/>
                          <w:marTop w:val="0"/>
                          <w:marBottom w:val="0"/>
                          <w:divBdr>
                            <w:top w:val="none" w:sz="0" w:space="0" w:color="auto"/>
                            <w:left w:val="none" w:sz="0" w:space="0" w:color="auto"/>
                            <w:bottom w:val="none" w:sz="0" w:space="0" w:color="auto"/>
                            <w:right w:val="none" w:sz="0" w:space="0" w:color="auto"/>
                          </w:divBdr>
                        </w:div>
                      </w:divsChild>
                    </w:div>
                    <w:div w:id="294147531">
                      <w:marLeft w:val="0"/>
                      <w:marRight w:val="0"/>
                      <w:marTop w:val="0"/>
                      <w:marBottom w:val="0"/>
                      <w:divBdr>
                        <w:top w:val="none" w:sz="0" w:space="0" w:color="auto"/>
                        <w:left w:val="none" w:sz="0" w:space="0" w:color="auto"/>
                        <w:bottom w:val="none" w:sz="0" w:space="0" w:color="auto"/>
                        <w:right w:val="none" w:sz="0" w:space="0" w:color="auto"/>
                      </w:divBdr>
                    </w:div>
                    <w:div w:id="294147708">
                      <w:marLeft w:val="0"/>
                      <w:marRight w:val="0"/>
                      <w:marTop w:val="0"/>
                      <w:marBottom w:val="0"/>
                      <w:divBdr>
                        <w:top w:val="none" w:sz="0" w:space="0" w:color="auto"/>
                        <w:left w:val="none" w:sz="0" w:space="0" w:color="auto"/>
                        <w:bottom w:val="none" w:sz="0" w:space="0" w:color="auto"/>
                        <w:right w:val="none" w:sz="0" w:space="0" w:color="auto"/>
                      </w:divBdr>
                      <w:divsChild>
                        <w:div w:id="294150883">
                          <w:marLeft w:val="0"/>
                          <w:marRight w:val="0"/>
                          <w:marTop w:val="0"/>
                          <w:marBottom w:val="0"/>
                          <w:divBdr>
                            <w:top w:val="none" w:sz="0" w:space="0" w:color="auto"/>
                            <w:left w:val="none" w:sz="0" w:space="0" w:color="auto"/>
                            <w:bottom w:val="none" w:sz="0" w:space="0" w:color="auto"/>
                            <w:right w:val="none" w:sz="0" w:space="0" w:color="auto"/>
                          </w:divBdr>
                        </w:div>
                      </w:divsChild>
                    </w:div>
                    <w:div w:id="294147713">
                      <w:marLeft w:val="0"/>
                      <w:marRight w:val="0"/>
                      <w:marTop w:val="0"/>
                      <w:marBottom w:val="0"/>
                      <w:divBdr>
                        <w:top w:val="none" w:sz="0" w:space="0" w:color="auto"/>
                        <w:left w:val="none" w:sz="0" w:space="0" w:color="auto"/>
                        <w:bottom w:val="none" w:sz="0" w:space="0" w:color="auto"/>
                        <w:right w:val="none" w:sz="0" w:space="0" w:color="auto"/>
                      </w:divBdr>
                      <w:divsChild>
                        <w:div w:id="294149528">
                          <w:marLeft w:val="0"/>
                          <w:marRight w:val="0"/>
                          <w:marTop w:val="0"/>
                          <w:marBottom w:val="0"/>
                          <w:divBdr>
                            <w:top w:val="none" w:sz="0" w:space="0" w:color="auto"/>
                            <w:left w:val="none" w:sz="0" w:space="0" w:color="auto"/>
                            <w:bottom w:val="none" w:sz="0" w:space="0" w:color="auto"/>
                            <w:right w:val="none" w:sz="0" w:space="0" w:color="auto"/>
                          </w:divBdr>
                        </w:div>
                      </w:divsChild>
                    </w:div>
                    <w:div w:id="294147838">
                      <w:marLeft w:val="0"/>
                      <w:marRight w:val="0"/>
                      <w:marTop w:val="0"/>
                      <w:marBottom w:val="0"/>
                      <w:divBdr>
                        <w:top w:val="none" w:sz="0" w:space="0" w:color="auto"/>
                        <w:left w:val="none" w:sz="0" w:space="0" w:color="auto"/>
                        <w:bottom w:val="none" w:sz="0" w:space="0" w:color="auto"/>
                        <w:right w:val="none" w:sz="0" w:space="0" w:color="auto"/>
                      </w:divBdr>
                      <w:divsChild>
                        <w:div w:id="294148916">
                          <w:marLeft w:val="0"/>
                          <w:marRight w:val="0"/>
                          <w:marTop w:val="0"/>
                          <w:marBottom w:val="0"/>
                          <w:divBdr>
                            <w:top w:val="none" w:sz="0" w:space="0" w:color="auto"/>
                            <w:left w:val="none" w:sz="0" w:space="0" w:color="auto"/>
                            <w:bottom w:val="none" w:sz="0" w:space="0" w:color="auto"/>
                            <w:right w:val="none" w:sz="0" w:space="0" w:color="auto"/>
                          </w:divBdr>
                        </w:div>
                      </w:divsChild>
                    </w:div>
                    <w:div w:id="294147840">
                      <w:marLeft w:val="0"/>
                      <w:marRight w:val="0"/>
                      <w:marTop w:val="0"/>
                      <w:marBottom w:val="0"/>
                      <w:divBdr>
                        <w:top w:val="none" w:sz="0" w:space="0" w:color="auto"/>
                        <w:left w:val="none" w:sz="0" w:space="0" w:color="auto"/>
                        <w:bottom w:val="none" w:sz="0" w:space="0" w:color="auto"/>
                        <w:right w:val="none" w:sz="0" w:space="0" w:color="auto"/>
                      </w:divBdr>
                    </w:div>
                    <w:div w:id="294147847">
                      <w:marLeft w:val="0"/>
                      <w:marRight w:val="0"/>
                      <w:marTop w:val="0"/>
                      <w:marBottom w:val="0"/>
                      <w:divBdr>
                        <w:top w:val="none" w:sz="0" w:space="0" w:color="auto"/>
                        <w:left w:val="none" w:sz="0" w:space="0" w:color="auto"/>
                        <w:bottom w:val="none" w:sz="0" w:space="0" w:color="auto"/>
                        <w:right w:val="none" w:sz="0" w:space="0" w:color="auto"/>
                      </w:divBdr>
                      <w:divsChild>
                        <w:div w:id="294146622">
                          <w:marLeft w:val="0"/>
                          <w:marRight w:val="0"/>
                          <w:marTop w:val="0"/>
                          <w:marBottom w:val="0"/>
                          <w:divBdr>
                            <w:top w:val="none" w:sz="0" w:space="0" w:color="auto"/>
                            <w:left w:val="none" w:sz="0" w:space="0" w:color="auto"/>
                            <w:bottom w:val="none" w:sz="0" w:space="0" w:color="auto"/>
                            <w:right w:val="none" w:sz="0" w:space="0" w:color="auto"/>
                          </w:divBdr>
                        </w:div>
                      </w:divsChild>
                    </w:div>
                    <w:div w:id="294147873">
                      <w:marLeft w:val="0"/>
                      <w:marRight w:val="0"/>
                      <w:marTop w:val="0"/>
                      <w:marBottom w:val="0"/>
                      <w:divBdr>
                        <w:top w:val="none" w:sz="0" w:space="0" w:color="auto"/>
                        <w:left w:val="none" w:sz="0" w:space="0" w:color="auto"/>
                        <w:bottom w:val="none" w:sz="0" w:space="0" w:color="auto"/>
                        <w:right w:val="none" w:sz="0" w:space="0" w:color="auto"/>
                      </w:divBdr>
                    </w:div>
                    <w:div w:id="294147881">
                      <w:marLeft w:val="0"/>
                      <w:marRight w:val="0"/>
                      <w:marTop w:val="0"/>
                      <w:marBottom w:val="0"/>
                      <w:divBdr>
                        <w:top w:val="none" w:sz="0" w:space="0" w:color="auto"/>
                        <w:left w:val="none" w:sz="0" w:space="0" w:color="auto"/>
                        <w:bottom w:val="none" w:sz="0" w:space="0" w:color="auto"/>
                        <w:right w:val="none" w:sz="0" w:space="0" w:color="auto"/>
                      </w:divBdr>
                    </w:div>
                    <w:div w:id="294147895">
                      <w:marLeft w:val="0"/>
                      <w:marRight w:val="0"/>
                      <w:marTop w:val="0"/>
                      <w:marBottom w:val="0"/>
                      <w:divBdr>
                        <w:top w:val="none" w:sz="0" w:space="0" w:color="auto"/>
                        <w:left w:val="none" w:sz="0" w:space="0" w:color="auto"/>
                        <w:bottom w:val="none" w:sz="0" w:space="0" w:color="auto"/>
                        <w:right w:val="none" w:sz="0" w:space="0" w:color="auto"/>
                      </w:divBdr>
                    </w:div>
                    <w:div w:id="294147910">
                      <w:marLeft w:val="0"/>
                      <w:marRight w:val="0"/>
                      <w:marTop w:val="0"/>
                      <w:marBottom w:val="0"/>
                      <w:divBdr>
                        <w:top w:val="none" w:sz="0" w:space="0" w:color="auto"/>
                        <w:left w:val="none" w:sz="0" w:space="0" w:color="auto"/>
                        <w:bottom w:val="none" w:sz="0" w:space="0" w:color="auto"/>
                        <w:right w:val="none" w:sz="0" w:space="0" w:color="auto"/>
                      </w:divBdr>
                    </w:div>
                    <w:div w:id="294147911">
                      <w:marLeft w:val="0"/>
                      <w:marRight w:val="0"/>
                      <w:marTop w:val="0"/>
                      <w:marBottom w:val="0"/>
                      <w:divBdr>
                        <w:top w:val="none" w:sz="0" w:space="0" w:color="auto"/>
                        <w:left w:val="none" w:sz="0" w:space="0" w:color="auto"/>
                        <w:bottom w:val="none" w:sz="0" w:space="0" w:color="auto"/>
                        <w:right w:val="none" w:sz="0" w:space="0" w:color="auto"/>
                      </w:divBdr>
                    </w:div>
                    <w:div w:id="294147957">
                      <w:marLeft w:val="0"/>
                      <w:marRight w:val="0"/>
                      <w:marTop w:val="0"/>
                      <w:marBottom w:val="0"/>
                      <w:divBdr>
                        <w:top w:val="none" w:sz="0" w:space="0" w:color="auto"/>
                        <w:left w:val="none" w:sz="0" w:space="0" w:color="auto"/>
                        <w:bottom w:val="none" w:sz="0" w:space="0" w:color="auto"/>
                        <w:right w:val="none" w:sz="0" w:space="0" w:color="auto"/>
                      </w:divBdr>
                    </w:div>
                    <w:div w:id="294148009">
                      <w:marLeft w:val="0"/>
                      <w:marRight w:val="0"/>
                      <w:marTop w:val="0"/>
                      <w:marBottom w:val="0"/>
                      <w:divBdr>
                        <w:top w:val="none" w:sz="0" w:space="0" w:color="auto"/>
                        <w:left w:val="none" w:sz="0" w:space="0" w:color="auto"/>
                        <w:bottom w:val="none" w:sz="0" w:space="0" w:color="auto"/>
                        <w:right w:val="none" w:sz="0" w:space="0" w:color="auto"/>
                      </w:divBdr>
                      <w:divsChild>
                        <w:div w:id="294140614">
                          <w:marLeft w:val="0"/>
                          <w:marRight w:val="0"/>
                          <w:marTop w:val="0"/>
                          <w:marBottom w:val="0"/>
                          <w:divBdr>
                            <w:top w:val="none" w:sz="0" w:space="0" w:color="auto"/>
                            <w:left w:val="none" w:sz="0" w:space="0" w:color="auto"/>
                            <w:bottom w:val="none" w:sz="0" w:space="0" w:color="auto"/>
                            <w:right w:val="none" w:sz="0" w:space="0" w:color="auto"/>
                          </w:divBdr>
                        </w:div>
                      </w:divsChild>
                    </w:div>
                    <w:div w:id="294148011">
                      <w:marLeft w:val="0"/>
                      <w:marRight w:val="0"/>
                      <w:marTop w:val="0"/>
                      <w:marBottom w:val="0"/>
                      <w:divBdr>
                        <w:top w:val="none" w:sz="0" w:space="0" w:color="auto"/>
                        <w:left w:val="none" w:sz="0" w:space="0" w:color="auto"/>
                        <w:bottom w:val="none" w:sz="0" w:space="0" w:color="auto"/>
                        <w:right w:val="none" w:sz="0" w:space="0" w:color="auto"/>
                      </w:divBdr>
                    </w:div>
                    <w:div w:id="294148208">
                      <w:marLeft w:val="0"/>
                      <w:marRight w:val="0"/>
                      <w:marTop w:val="0"/>
                      <w:marBottom w:val="0"/>
                      <w:divBdr>
                        <w:top w:val="none" w:sz="0" w:space="0" w:color="auto"/>
                        <w:left w:val="none" w:sz="0" w:space="0" w:color="auto"/>
                        <w:bottom w:val="none" w:sz="0" w:space="0" w:color="auto"/>
                        <w:right w:val="none" w:sz="0" w:space="0" w:color="auto"/>
                      </w:divBdr>
                    </w:div>
                    <w:div w:id="294148251">
                      <w:marLeft w:val="0"/>
                      <w:marRight w:val="0"/>
                      <w:marTop w:val="0"/>
                      <w:marBottom w:val="0"/>
                      <w:divBdr>
                        <w:top w:val="none" w:sz="0" w:space="0" w:color="auto"/>
                        <w:left w:val="none" w:sz="0" w:space="0" w:color="auto"/>
                        <w:bottom w:val="none" w:sz="0" w:space="0" w:color="auto"/>
                        <w:right w:val="none" w:sz="0" w:space="0" w:color="auto"/>
                      </w:divBdr>
                    </w:div>
                    <w:div w:id="294148265">
                      <w:marLeft w:val="0"/>
                      <w:marRight w:val="0"/>
                      <w:marTop w:val="0"/>
                      <w:marBottom w:val="0"/>
                      <w:divBdr>
                        <w:top w:val="none" w:sz="0" w:space="0" w:color="auto"/>
                        <w:left w:val="none" w:sz="0" w:space="0" w:color="auto"/>
                        <w:bottom w:val="none" w:sz="0" w:space="0" w:color="auto"/>
                        <w:right w:val="none" w:sz="0" w:space="0" w:color="auto"/>
                      </w:divBdr>
                    </w:div>
                    <w:div w:id="294148370">
                      <w:marLeft w:val="0"/>
                      <w:marRight w:val="0"/>
                      <w:marTop w:val="0"/>
                      <w:marBottom w:val="0"/>
                      <w:divBdr>
                        <w:top w:val="none" w:sz="0" w:space="0" w:color="auto"/>
                        <w:left w:val="none" w:sz="0" w:space="0" w:color="auto"/>
                        <w:bottom w:val="none" w:sz="0" w:space="0" w:color="auto"/>
                        <w:right w:val="none" w:sz="0" w:space="0" w:color="auto"/>
                      </w:divBdr>
                    </w:div>
                    <w:div w:id="294148383">
                      <w:marLeft w:val="0"/>
                      <w:marRight w:val="0"/>
                      <w:marTop w:val="0"/>
                      <w:marBottom w:val="0"/>
                      <w:divBdr>
                        <w:top w:val="none" w:sz="0" w:space="0" w:color="auto"/>
                        <w:left w:val="none" w:sz="0" w:space="0" w:color="auto"/>
                        <w:bottom w:val="none" w:sz="0" w:space="0" w:color="auto"/>
                        <w:right w:val="none" w:sz="0" w:space="0" w:color="auto"/>
                      </w:divBdr>
                      <w:divsChild>
                        <w:div w:id="294151938">
                          <w:marLeft w:val="0"/>
                          <w:marRight w:val="0"/>
                          <w:marTop w:val="0"/>
                          <w:marBottom w:val="0"/>
                          <w:divBdr>
                            <w:top w:val="none" w:sz="0" w:space="0" w:color="auto"/>
                            <w:left w:val="none" w:sz="0" w:space="0" w:color="auto"/>
                            <w:bottom w:val="none" w:sz="0" w:space="0" w:color="auto"/>
                            <w:right w:val="none" w:sz="0" w:space="0" w:color="auto"/>
                          </w:divBdr>
                        </w:div>
                      </w:divsChild>
                    </w:div>
                    <w:div w:id="294148386">
                      <w:marLeft w:val="0"/>
                      <w:marRight w:val="0"/>
                      <w:marTop w:val="0"/>
                      <w:marBottom w:val="0"/>
                      <w:divBdr>
                        <w:top w:val="none" w:sz="0" w:space="0" w:color="auto"/>
                        <w:left w:val="none" w:sz="0" w:space="0" w:color="auto"/>
                        <w:bottom w:val="none" w:sz="0" w:space="0" w:color="auto"/>
                        <w:right w:val="none" w:sz="0" w:space="0" w:color="auto"/>
                      </w:divBdr>
                    </w:div>
                    <w:div w:id="294148424">
                      <w:marLeft w:val="0"/>
                      <w:marRight w:val="0"/>
                      <w:marTop w:val="0"/>
                      <w:marBottom w:val="0"/>
                      <w:divBdr>
                        <w:top w:val="none" w:sz="0" w:space="0" w:color="auto"/>
                        <w:left w:val="none" w:sz="0" w:space="0" w:color="auto"/>
                        <w:bottom w:val="none" w:sz="0" w:space="0" w:color="auto"/>
                        <w:right w:val="none" w:sz="0" w:space="0" w:color="auto"/>
                      </w:divBdr>
                    </w:div>
                    <w:div w:id="294148452">
                      <w:marLeft w:val="0"/>
                      <w:marRight w:val="0"/>
                      <w:marTop w:val="0"/>
                      <w:marBottom w:val="0"/>
                      <w:divBdr>
                        <w:top w:val="none" w:sz="0" w:space="0" w:color="auto"/>
                        <w:left w:val="none" w:sz="0" w:space="0" w:color="auto"/>
                        <w:bottom w:val="none" w:sz="0" w:space="0" w:color="auto"/>
                        <w:right w:val="none" w:sz="0" w:space="0" w:color="auto"/>
                      </w:divBdr>
                      <w:divsChild>
                        <w:div w:id="294142340">
                          <w:marLeft w:val="0"/>
                          <w:marRight w:val="0"/>
                          <w:marTop w:val="0"/>
                          <w:marBottom w:val="0"/>
                          <w:divBdr>
                            <w:top w:val="none" w:sz="0" w:space="0" w:color="auto"/>
                            <w:left w:val="none" w:sz="0" w:space="0" w:color="auto"/>
                            <w:bottom w:val="none" w:sz="0" w:space="0" w:color="auto"/>
                            <w:right w:val="none" w:sz="0" w:space="0" w:color="auto"/>
                          </w:divBdr>
                        </w:div>
                      </w:divsChild>
                    </w:div>
                    <w:div w:id="294148500">
                      <w:marLeft w:val="0"/>
                      <w:marRight w:val="0"/>
                      <w:marTop w:val="0"/>
                      <w:marBottom w:val="0"/>
                      <w:divBdr>
                        <w:top w:val="none" w:sz="0" w:space="0" w:color="auto"/>
                        <w:left w:val="none" w:sz="0" w:space="0" w:color="auto"/>
                        <w:bottom w:val="none" w:sz="0" w:space="0" w:color="auto"/>
                        <w:right w:val="none" w:sz="0" w:space="0" w:color="auto"/>
                      </w:divBdr>
                      <w:divsChild>
                        <w:div w:id="294139631">
                          <w:marLeft w:val="0"/>
                          <w:marRight w:val="0"/>
                          <w:marTop w:val="0"/>
                          <w:marBottom w:val="0"/>
                          <w:divBdr>
                            <w:top w:val="none" w:sz="0" w:space="0" w:color="auto"/>
                            <w:left w:val="none" w:sz="0" w:space="0" w:color="auto"/>
                            <w:bottom w:val="none" w:sz="0" w:space="0" w:color="auto"/>
                            <w:right w:val="none" w:sz="0" w:space="0" w:color="auto"/>
                          </w:divBdr>
                        </w:div>
                      </w:divsChild>
                    </w:div>
                    <w:div w:id="294148601">
                      <w:marLeft w:val="0"/>
                      <w:marRight w:val="0"/>
                      <w:marTop w:val="0"/>
                      <w:marBottom w:val="0"/>
                      <w:divBdr>
                        <w:top w:val="none" w:sz="0" w:space="0" w:color="auto"/>
                        <w:left w:val="none" w:sz="0" w:space="0" w:color="auto"/>
                        <w:bottom w:val="none" w:sz="0" w:space="0" w:color="auto"/>
                        <w:right w:val="none" w:sz="0" w:space="0" w:color="auto"/>
                      </w:divBdr>
                      <w:divsChild>
                        <w:div w:id="294152649">
                          <w:marLeft w:val="0"/>
                          <w:marRight w:val="0"/>
                          <w:marTop w:val="0"/>
                          <w:marBottom w:val="0"/>
                          <w:divBdr>
                            <w:top w:val="none" w:sz="0" w:space="0" w:color="auto"/>
                            <w:left w:val="none" w:sz="0" w:space="0" w:color="auto"/>
                            <w:bottom w:val="none" w:sz="0" w:space="0" w:color="auto"/>
                            <w:right w:val="none" w:sz="0" w:space="0" w:color="auto"/>
                          </w:divBdr>
                        </w:div>
                      </w:divsChild>
                    </w:div>
                    <w:div w:id="294148645">
                      <w:marLeft w:val="0"/>
                      <w:marRight w:val="0"/>
                      <w:marTop w:val="0"/>
                      <w:marBottom w:val="0"/>
                      <w:divBdr>
                        <w:top w:val="none" w:sz="0" w:space="0" w:color="auto"/>
                        <w:left w:val="none" w:sz="0" w:space="0" w:color="auto"/>
                        <w:bottom w:val="none" w:sz="0" w:space="0" w:color="auto"/>
                        <w:right w:val="none" w:sz="0" w:space="0" w:color="auto"/>
                      </w:divBdr>
                    </w:div>
                    <w:div w:id="294148676">
                      <w:marLeft w:val="0"/>
                      <w:marRight w:val="0"/>
                      <w:marTop w:val="0"/>
                      <w:marBottom w:val="0"/>
                      <w:divBdr>
                        <w:top w:val="none" w:sz="0" w:space="0" w:color="auto"/>
                        <w:left w:val="none" w:sz="0" w:space="0" w:color="auto"/>
                        <w:bottom w:val="none" w:sz="0" w:space="0" w:color="auto"/>
                        <w:right w:val="none" w:sz="0" w:space="0" w:color="auto"/>
                      </w:divBdr>
                      <w:divsChild>
                        <w:div w:id="294148118">
                          <w:marLeft w:val="0"/>
                          <w:marRight w:val="0"/>
                          <w:marTop w:val="0"/>
                          <w:marBottom w:val="0"/>
                          <w:divBdr>
                            <w:top w:val="none" w:sz="0" w:space="0" w:color="auto"/>
                            <w:left w:val="none" w:sz="0" w:space="0" w:color="auto"/>
                            <w:bottom w:val="none" w:sz="0" w:space="0" w:color="auto"/>
                            <w:right w:val="none" w:sz="0" w:space="0" w:color="auto"/>
                          </w:divBdr>
                        </w:div>
                      </w:divsChild>
                    </w:div>
                    <w:div w:id="294148697">
                      <w:marLeft w:val="0"/>
                      <w:marRight w:val="0"/>
                      <w:marTop w:val="0"/>
                      <w:marBottom w:val="0"/>
                      <w:divBdr>
                        <w:top w:val="none" w:sz="0" w:space="0" w:color="auto"/>
                        <w:left w:val="none" w:sz="0" w:space="0" w:color="auto"/>
                        <w:bottom w:val="none" w:sz="0" w:space="0" w:color="auto"/>
                        <w:right w:val="none" w:sz="0" w:space="0" w:color="auto"/>
                      </w:divBdr>
                    </w:div>
                    <w:div w:id="294148714">
                      <w:marLeft w:val="0"/>
                      <w:marRight w:val="0"/>
                      <w:marTop w:val="0"/>
                      <w:marBottom w:val="0"/>
                      <w:divBdr>
                        <w:top w:val="none" w:sz="0" w:space="0" w:color="auto"/>
                        <w:left w:val="none" w:sz="0" w:space="0" w:color="auto"/>
                        <w:bottom w:val="none" w:sz="0" w:space="0" w:color="auto"/>
                        <w:right w:val="none" w:sz="0" w:space="0" w:color="auto"/>
                      </w:divBdr>
                    </w:div>
                    <w:div w:id="294148729">
                      <w:marLeft w:val="0"/>
                      <w:marRight w:val="0"/>
                      <w:marTop w:val="0"/>
                      <w:marBottom w:val="0"/>
                      <w:divBdr>
                        <w:top w:val="none" w:sz="0" w:space="0" w:color="auto"/>
                        <w:left w:val="none" w:sz="0" w:space="0" w:color="auto"/>
                        <w:bottom w:val="none" w:sz="0" w:space="0" w:color="auto"/>
                        <w:right w:val="none" w:sz="0" w:space="0" w:color="auto"/>
                      </w:divBdr>
                    </w:div>
                    <w:div w:id="294148773">
                      <w:marLeft w:val="0"/>
                      <w:marRight w:val="0"/>
                      <w:marTop w:val="0"/>
                      <w:marBottom w:val="0"/>
                      <w:divBdr>
                        <w:top w:val="none" w:sz="0" w:space="0" w:color="auto"/>
                        <w:left w:val="none" w:sz="0" w:space="0" w:color="auto"/>
                        <w:bottom w:val="none" w:sz="0" w:space="0" w:color="auto"/>
                        <w:right w:val="none" w:sz="0" w:space="0" w:color="auto"/>
                      </w:divBdr>
                    </w:div>
                    <w:div w:id="294148910">
                      <w:marLeft w:val="0"/>
                      <w:marRight w:val="0"/>
                      <w:marTop w:val="0"/>
                      <w:marBottom w:val="0"/>
                      <w:divBdr>
                        <w:top w:val="none" w:sz="0" w:space="0" w:color="auto"/>
                        <w:left w:val="none" w:sz="0" w:space="0" w:color="auto"/>
                        <w:bottom w:val="none" w:sz="0" w:space="0" w:color="auto"/>
                        <w:right w:val="none" w:sz="0" w:space="0" w:color="auto"/>
                      </w:divBdr>
                    </w:div>
                    <w:div w:id="294148934">
                      <w:marLeft w:val="0"/>
                      <w:marRight w:val="0"/>
                      <w:marTop w:val="0"/>
                      <w:marBottom w:val="0"/>
                      <w:divBdr>
                        <w:top w:val="none" w:sz="0" w:space="0" w:color="auto"/>
                        <w:left w:val="none" w:sz="0" w:space="0" w:color="auto"/>
                        <w:bottom w:val="none" w:sz="0" w:space="0" w:color="auto"/>
                        <w:right w:val="none" w:sz="0" w:space="0" w:color="auto"/>
                      </w:divBdr>
                    </w:div>
                    <w:div w:id="294148949">
                      <w:marLeft w:val="0"/>
                      <w:marRight w:val="0"/>
                      <w:marTop w:val="0"/>
                      <w:marBottom w:val="0"/>
                      <w:divBdr>
                        <w:top w:val="none" w:sz="0" w:space="0" w:color="auto"/>
                        <w:left w:val="none" w:sz="0" w:space="0" w:color="auto"/>
                        <w:bottom w:val="none" w:sz="0" w:space="0" w:color="auto"/>
                        <w:right w:val="none" w:sz="0" w:space="0" w:color="auto"/>
                      </w:divBdr>
                      <w:divsChild>
                        <w:div w:id="294142969">
                          <w:marLeft w:val="0"/>
                          <w:marRight w:val="0"/>
                          <w:marTop w:val="0"/>
                          <w:marBottom w:val="0"/>
                          <w:divBdr>
                            <w:top w:val="none" w:sz="0" w:space="0" w:color="auto"/>
                            <w:left w:val="none" w:sz="0" w:space="0" w:color="auto"/>
                            <w:bottom w:val="none" w:sz="0" w:space="0" w:color="auto"/>
                            <w:right w:val="none" w:sz="0" w:space="0" w:color="auto"/>
                          </w:divBdr>
                        </w:div>
                      </w:divsChild>
                    </w:div>
                    <w:div w:id="294148979">
                      <w:marLeft w:val="0"/>
                      <w:marRight w:val="0"/>
                      <w:marTop w:val="0"/>
                      <w:marBottom w:val="0"/>
                      <w:divBdr>
                        <w:top w:val="none" w:sz="0" w:space="0" w:color="auto"/>
                        <w:left w:val="none" w:sz="0" w:space="0" w:color="auto"/>
                        <w:bottom w:val="none" w:sz="0" w:space="0" w:color="auto"/>
                        <w:right w:val="none" w:sz="0" w:space="0" w:color="auto"/>
                      </w:divBdr>
                    </w:div>
                    <w:div w:id="294149011">
                      <w:marLeft w:val="0"/>
                      <w:marRight w:val="0"/>
                      <w:marTop w:val="0"/>
                      <w:marBottom w:val="0"/>
                      <w:divBdr>
                        <w:top w:val="none" w:sz="0" w:space="0" w:color="auto"/>
                        <w:left w:val="none" w:sz="0" w:space="0" w:color="auto"/>
                        <w:bottom w:val="none" w:sz="0" w:space="0" w:color="auto"/>
                        <w:right w:val="none" w:sz="0" w:space="0" w:color="auto"/>
                      </w:divBdr>
                    </w:div>
                    <w:div w:id="294149020">
                      <w:marLeft w:val="0"/>
                      <w:marRight w:val="0"/>
                      <w:marTop w:val="0"/>
                      <w:marBottom w:val="0"/>
                      <w:divBdr>
                        <w:top w:val="none" w:sz="0" w:space="0" w:color="auto"/>
                        <w:left w:val="none" w:sz="0" w:space="0" w:color="auto"/>
                        <w:bottom w:val="none" w:sz="0" w:space="0" w:color="auto"/>
                        <w:right w:val="none" w:sz="0" w:space="0" w:color="auto"/>
                      </w:divBdr>
                      <w:divsChild>
                        <w:div w:id="294151573">
                          <w:marLeft w:val="0"/>
                          <w:marRight w:val="0"/>
                          <w:marTop w:val="0"/>
                          <w:marBottom w:val="0"/>
                          <w:divBdr>
                            <w:top w:val="none" w:sz="0" w:space="0" w:color="auto"/>
                            <w:left w:val="none" w:sz="0" w:space="0" w:color="auto"/>
                            <w:bottom w:val="none" w:sz="0" w:space="0" w:color="auto"/>
                            <w:right w:val="none" w:sz="0" w:space="0" w:color="auto"/>
                          </w:divBdr>
                        </w:div>
                      </w:divsChild>
                    </w:div>
                    <w:div w:id="294149096">
                      <w:marLeft w:val="0"/>
                      <w:marRight w:val="0"/>
                      <w:marTop w:val="0"/>
                      <w:marBottom w:val="0"/>
                      <w:divBdr>
                        <w:top w:val="none" w:sz="0" w:space="0" w:color="auto"/>
                        <w:left w:val="none" w:sz="0" w:space="0" w:color="auto"/>
                        <w:bottom w:val="none" w:sz="0" w:space="0" w:color="auto"/>
                        <w:right w:val="none" w:sz="0" w:space="0" w:color="auto"/>
                      </w:divBdr>
                    </w:div>
                    <w:div w:id="294149108">
                      <w:marLeft w:val="0"/>
                      <w:marRight w:val="0"/>
                      <w:marTop w:val="0"/>
                      <w:marBottom w:val="0"/>
                      <w:divBdr>
                        <w:top w:val="none" w:sz="0" w:space="0" w:color="auto"/>
                        <w:left w:val="none" w:sz="0" w:space="0" w:color="auto"/>
                        <w:bottom w:val="none" w:sz="0" w:space="0" w:color="auto"/>
                        <w:right w:val="none" w:sz="0" w:space="0" w:color="auto"/>
                      </w:divBdr>
                    </w:div>
                    <w:div w:id="294149112">
                      <w:marLeft w:val="0"/>
                      <w:marRight w:val="0"/>
                      <w:marTop w:val="0"/>
                      <w:marBottom w:val="0"/>
                      <w:divBdr>
                        <w:top w:val="none" w:sz="0" w:space="0" w:color="auto"/>
                        <w:left w:val="none" w:sz="0" w:space="0" w:color="auto"/>
                        <w:bottom w:val="none" w:sz="0" w:space="0" w:color="auto"/>
                        <w:right w:val="none" w:sz="0" w:space="0" w:color="auto"/>
                      </w:divBdr>
                    </w:div>
                    <w:div w:id="294149159">
                      <w:marLeft w:val="0"/>
                      <w:marRight w:val="0"/>
                      <w:marTop w:val="0"/>
                      <w:marBottom w:val="0"/>
                      <w:divBdr>
                        <w:top w:val="none" w:sz="0" w:space="0" w:color="auto"/>
                        <w:left w:val="none" w:sz="0" w:space="0" w:color="auto"/>
                        <w:bottom w:val="none" w:sz="0" w:space="0" w:color="auto"/>
                        <w:right w:val="none" w:sz="0" w:space="0" w:color="auto"/>
                      </w:divBdr>
                      <w:divsChild>
                        <w:div w:id="294155258">
                          <w:marLeft w:val="0"/>
                          <w:marRight w:val="0"/>
                          <w:marTop w:val="0"/>
                          <w:marBottom w:val="0"/>
                          <w:divBdr>
                            <w:top w:val="none" w:sz="0" w:space="0" w:color="auto"/>
                            <w:left w:val="none" w:sz="0" w:space="0" w:color="auto"/>
                            <w:bottom w:val="none" w:sz="0" w:space="0" w:color="auto"/>
                            <w:right w:val="none" w:sz="0" w:space="0" w:color="auto"/>
                          </w:divBdr>
                        </w:div>
                      </w:divsChild>
                    </w:div>
                    <w:div w:id="294149228">
                      <w:marLeft w:val="0"/>
                      <w:marRight w:val="0"/>
                      <w:marTop w:val="0"/>
                      <w:marBottom w:val="0"/>
                      <w:divBdr>
                        <w:top w:val="none" w:sz="0" w:space="0" w:color="auto"/>
                        <w:left w:val="none" w:sz="0" w:space="0" w:color="auto"/>
                        <w:bottom w:val="none" w:sz="0" w:space="0" w:color="auto"/>
                        <w:right w:val="none" w:sz="0" w:space="0" w:color="auto"/>
                      </w:divBdr>
                      <w:divsChild>
                        <w:div w:id="294157183">
                          <w:marLeft w:val="0"/>
                          <w:marRight w:val="0"/>
                          <w:marTop w:val="0"/>
                          <w:marBottom w:val="0"/>
                          <w:divBdr>
                            <w:top w:val="none" w:sz="0" w:space="0" w:color="auto"/>
                            <w:left w:val="none" w:sz="0" w:space="0" w:color="auto"/>
                            <w:bottom w:val="none" w:sz="0" w:space="0" w:color="auto"/>
                            <w:right w:val="none" w:sz="0" w:space="0" w:color="auto"/>
                          </w:divBdr>
                        </w:div>
                      </w:divsChild>
                    </w:div>
                    <w:div w:id="294149271">
                      <w:marLeft w:val="0"/>
                      <w:marRight w:val="0"/>
                      <w:marTop w:val="0"/>
                      <w:marBottom w:val="0"/>
                      <w:divBdr>
                        <w:top w:val="none" w:sz="0" w:space="0" w:color="auto"/>
                        <w:left w:val="none" w:sz="0" w:space="0" w:color="auto"/>
                        <w:bottom w:val="none" w:sz="0" w:space="0" w:color="auto"/>
                        <w:right w:val="none" w:sz="0" w:space="0" w:color="auto"/>
                      </w:divBdr>
                    </w:div>
                    <w:div w:id="294149280">
                      <w:marLeft w:val="0"/>
                      <w:marRight w:val="0"/>
                      <w:marTop w:val="0"/>
                      <w:marBottom w:val="0"/>
                      <w:divBdr>
                        <w:top w:val="none" w:sz="0" w:space="0" w:color="auto"/>
                        <w:left w:val="none" w:sz="0" w:space="0" w:color="auto"/>
                        <w:bottom w:val="none" w:sz="0" w:space="0" w:color="auto"/>
                        <w:right w:val="none" w:sz="0" w:space="0" w:color="auto"/>
                      </w:divBdr>
                      <w:divsChild>
                        <w:div w:id="294141243">
                          <w:marLeft w:val="0"/>
                          <w:marRight w:val="0"/>
                          <w:marTop w:val="0"/>
                          <w:marBottom w:val="0"/>
                          <w:divBdr>
                            <w:top w:val="none" w:sz="0" w:space="0" w:color="auto"/>
                            <w:left w:val="none" w:sz="0" w:space="0" w:color="auto"/>
                            <w:bottom w:val="none" w:sz="0" w:space="0" w:color="auto"/>
                            <w:right w:val="none" w:sz="0" w:space="0" w:color="auto"/>
                          </w:divBdr>
                        </w:div>
                      </w:divsChild>
                    </w:div>
                    <w:div w:id="294149287">
                      <w:marLeft w:val="0"/>
                      <w:marRight w:val="0"/>
                      <w:marTop w:val="0"/>
                      <w:marBottom w:val="0"/>
                      <w:divBdr>
                        <w:top w:val="none" w:sz="0" w:space="0" w:color="auto"/>
                        <w:left w:val="none" w:sz="0" w:space="0" w:color="auto"/>
                        <w:bottom w:val="none" w:sz="0" w:space="0" w:color="auto"/>
                        <w:right w:val="none" w:sz="0" w:space="0" w:color="auto"/>
                      </w:divBdr>
                      <w:divsChild>
                        <w:div w:id="294153218">
                          <w:marLeft w:val="0"/>
                          <w:marRight w:val="0"/>
                          <w:marTop w:val="0"/>
                          <w:marBottom w:val="0"/>
                          <w:divBdr>
                            <w:top w:val="none" w:sz="0" w:space="0" w:color="auto"/>
                            <w:left w:val="none" w:sz="0" w:space="0" w:color="auto"/>
                            <w:bottom w:val="none" w:sz="0" w:space="0" w:color="auto"/>
                            <w:right w:val="none" w:sz="0" w:space="0" w:color="auto"/>
                          </w:divBdr>
                        </w:div>
                      </w:divsChild>
                    </w:div>
                    <w:div w:id="294149407">
                      <w:marLeft w:val="0"/>
                      <w:marRight w:val="0"/>
                      <w:marTop w:val="0"/>
                      <w:marBottom w:val="0"/>
                      <w:divBdr>
                        <w:top w:val="none" w:sz="0" w:space="0" w:color="auto"/>
                        <w:left w:val="none" w:sz="0" w:space="0" w:color="auto"/>
                        <w:bottom w:val="none" w:sz="0" w:space="0" w:color="auto"/>
                        <w:right w:val="none" w:sz="0" w:space="0" w:color="auto"/>
                      </w:divBdr>
                    </w:div>
                    <w:div w:id="294149421">
                      <w:marLeft w:val="0"/>
                      <w:marRight w:val="0"/>
                      <w:marTop w:val="0"/>
                      <w:marBottom w:val="0"/>
                      <w:divBdr>
                        <w:top w:val="none" w:sz="0" w:space="0" w:color="auto"/>
                        <w:left w:val="none" w:sz="0" w:space="0" w:color="auto"/>
                        <w:bottom w:val="none" w:sz="0" w:space="0" w:color="auto"/>
                        <w:right w:val="none" w:sz="0" w:space="0" w:color="auto"/>
                      </w:divBdr>
                    </w:div>
                    <w:div w:id="294149455">
                      <w:marLeft w:val="0"/>
                      <w:marRight w:val="0"/>
                      <w:marTop w:val="0"/>
                      <w:marBottom w:val="0"/>
                      <w:divBdr>
                        <w:top w:val="none" w:sz="0" w:space="0" w:color="auto"/>
                        <w:left w:val="none" w:sz="0" w:space="0" w:color="auto"/>
                        <w:bottom w:val="none" w:sz="0" w:space="0" w:color="auto"/>
                        <w:right w:val="none" w:sz="0" w:space="0" w:color="auto"/>
                      </w:divBdr>
                    </w:div>
                    <w:div w:id="294149469">
                      <w:marLeft w:val="0"/>
                      <w:marRight w:val="0"/>
                      <w:marTop w:val="0"/>
                      <w:marBottom w:val="0"/>
                      <w:divBdr>
                        <w:top w:val="none" w:sz="0" w:space="0" w:color="auto"/>
                        <w:left w:val="none" w:sz="0" w:space="0" w:color="auto"/>
                        <w:bottom w:val="none" w:sz="0" w:space="0" w:color="auto"/>
                        <w:right w:val="none" w:sz="0" w:space="0" w:color="auto"/>
                      </w:divBdr>
                      <w:divsChild>
                        <w:div w:id="294150489">
                          <w:marLeft w:val="0"/>
                          <w:marRight w:val="0"/>
                          <w:marTop w:val="0"/>
                          <w:marBottom w:val="0"/>
                          <w:divBdr>
                            <w:top w:val="none" w:sz="0" w:space="0" w:color="auto"/>
                            <w:left w:val="none" w:sz="0" w:space="0" w:color="auto"/>
                            <w:bottom w:val="none" w:sz="0" w:space="0" w:color="auto"/>
                            <w:right w:val="none" w:sz="0" w:space="0" w:color="auto"/>
                          </w:divBdr>
                        </w:div>
                      </w:divsChild>
                    </w:div>
                    <w:div w:id="294149532">
                      <w:marLeft w:val="0"/>
                      <w:marRight w:val="0"/>
                      <w:marTop w:val="0"/>
                      <w:marBottom w:val="0"/>
                      <w:divBdr>
                        <w:top w:val="none" w:sz="0" w:space="0" w:color="auto"/>
                        <w:left w:val="none" w:sz="0" w:space="0" w:color="auto"/>
                        <w:bottom w:val="none" w:sz="0" w:space="0" w:color="auto"/>
                        <w:right w:val="none" w:sz="0" w:space="0" w:color="auto"/>
                      </w:divBdr>
                      <w:divsChild>
                        <w:div w:id="294147180">
                          <w:marLeft w:val="0"/>
                          <w:marRight w:val="0"/>
                          <w:marTop w:val="0"/>
                          <w:marBottom w:val="0"/>
                          <w:divBdr>
                            <w:top w:val="none" w:sz="0" w:space="0" w:color="auto"/>
                            <w:left w:val="none" w:sz="0" w:space="0" w:color="auto"/>
                            <w:bottom w:val="none" w:sz="0" w:space="0" w:color="auto"/>
                            <w:right w:val="none" w:sz="0" w:space="0" w:color="auto"/>
                          </w:divBdr>
                        </w:div>
                      </w:divsChild>
                    </w:div>
                    <w:div w:id="294149539">
                      <w:marLeft w:val="0"/>
                      <w:marRight w:val="0"/>
                      <w:marTop w:val="0"/>
                      <w:marBottom w:val="0"/>
                      <w:divBdr>
                        <w:top w:val="none" w:sz="0" w:space="0" w:color="auto"/>
                        <w:left w:val="none" w:sz="0" w:space="0" w:color="auto"/>
                        <w:bottom w:val="none" w:sz="0" w:space="0" w:color="auto"/>
                        <w:right w:val="none" w:sz="0" w:space="0" w:color="auto"/>
                      </w:divBdr>
                    </w:div>
                    <w:div w:id="294149542">
                      <w:marLeft w:val="0"/>
                      <w:marRight w:val="0"/>
                      <w:marTop w:val="0"/>
                      <w:marBottom w:val="0"/>
                      <w:divBdr>
                        <w:top w:val="none" w:sz="0" w:space="0" w:color="auto"/>
                        <w:left w:val="none" w:sz="0" w:space="0" w:color="auto"/>
                        <w:bottom w:val="none" w:sz="0" w:space="0" w:color="auto"/>
                        <w:right w:val="none" w:sz="0" w:space="0" w:color="auto"/>
                      </w:divBdr>
                    </w:div>
                    <w:div w:id="294149593">
                      <w:marLeft w:val="0"/>
                      <w:marRight w:val="0"/>
                      <w:marTop w:val="0"/>
                      <w:marBottom w:val="0"/>
                      <w:divBdr>
                        <w:top w:val="none" w:sz="0" w:space="0" w:color="auto"/>
                        <w:left w:val="none" w:sz="0" w:space="0" w:color="auto"/>
                        <w:bottom w:val="none" w:sz="0" w:space="0" w:color="auto"/>
                        <w:right w:val="none" w:sz="0" w:space="0" w:color="auto"/>
                      </w:divBdr>
                    </w:div>
                    <w:div w:id="294149645">
                      <w:marLeft w:val="0"/>
                      <w:marRight w:val="0"/>
                      <w:marTop w:val="0"/>
                      <w:marBottom w:val="0"/>
                      <w:divBdr>
                        <w:top w:val="none" w:sz="0" w:space="0" w:color="auto"/>
                        <w:left w:val="none" w:sz="0" w:space="0" w:color="auto"/>
                        <w:bottom w:val="none" w:sz="0" w:space="0" w:color="auto"/>
                        <w:right w:val="none" w:sz="0" w:space="0" w:color="auto"/>
                      </w:divBdr>
                    </w:div>
                    <w:div w:id="294149732">
                      <w:marLeft w:val="0"/>
                      <w:marRight w:val="0"/>
                      <w:marTop w:val="0"/>
                      <w:marBottom w:val="0"/>
                      <w:divBdr>
                        <w:top w:val="none" w:sz="0" w:space="0" w:color="auto"/>
                        <w:left w:val="none" w:sz="0" w:space="0" w:color="auto"/>
                        <w:bottom w:val="none" w:sz="0" w:space="0" w:color="auto"/>
                        <w:right w:val="none" w:sz="0" w:space="0" w:color="auto"/>
                      </w:divBdr>
                    </w:div>
                    <w:div w:id="294149787">
                      <w:marLeft w:val="0"/>
                      <w:marRight w:val="0"/>
                      <w:marTop w:val="0"/>
                      <w:marBottom w:val="0"/>
                      <w:divBdr>
                        <w:top w:val="none" w:sz="0" w:space="0" w:color="auto"/>
                        <w:left w:val="none" w:sz="0" w:space="0" w:color="auto"/>
                        <w:bottom w:val="none" w:sz="0" w:space="0" w:color="auto"/>
                        <w:right w:val="none" w:sz="0" w:space="0" w:color="auto"/>
                      </w:divBdr>
                    </w:div>
                    <w:div w:id="294149878">
                      <w:marLeft w:val="0"/>
                      <w:marRight w:val="0"/>
                      <w:marTop w:val="0"/>
                      <w:marBottom w:val="0"/>
                      <w:divBdr>
                        <w:top w:val="none" w:sz="0" w:space="0" w:color="auto"/>
                        <w:left w:val="none" w:sz="0" w:space="0" w:color="auto"/>
                        <w:bottom w:val="none" w:sz="0" w:space="0" w:color="auto"/>
                        <w:right w:val="none" w:sz="0" w:space="0" w:color="auto"/>
                      </w:divBdr>
                    </w:div>
                    <w:div w:id="294149893">
                      <w:marLeft w:val="0"/>
                      <w:marRight w:val="0"/>
                      <w:marTop w:val="0"/>
                      <w:marBottom w:val="0"/>
                      <w:divBdr>
                        <w:top w:val="none" w:sz="0" w:space="0" w:color="auto"/>
                        <w:left w:val="none" w:sz="0" w:space="0" w:color="auto"/>
                        <w:bottom w:val="none" w:sz="0" w:space="0" w:color="auto"/>
                        <w:right w:val="none" w:sz="0" w:space="0" w:color="auto"/>
                      </w:divBdr>
                    </w:div>
                    <w:div w:id="294150050">
                      <w:marLeft w:val="0"/>
                      <w:marRight w:val="0"/>
                      <w:marTop w:val="0"/>
                      <w:marBottom w:val="0"/>
                      <w:divBdr>
                        <w:top w:val="none" w:sz="0" w:space="0" w:color="auto"/>
                        <w:left w:val="none" w:sz="0" w:space="0" w:color="auto"/>
                        <w:bottom w:val="none" w:sz="0" w:space="0" w:color="auto"/>
                        <w:right w:val="none" w:sz="0" w:space="0" w:color="auto"/>
                      </w:divBdr>
                    </w:div>
                    <w:div w:id="294150076">
                      <w:marLeft w:val="0"/>
                      <w:marRight w:val="0"/>
                      <w:marTop w:val="0"/>
                      <w:marBottom w:val="0"/>
                      <w:divBdr>
                        <w:top w:val="none" w:sz="0" w:space="0" w:color="auto"/>
                        <w:left w:val="none" w:sz="0" w:space="0" w:color="auto"/>
                        <w:bottom w:val="none" w:sz="0" w:space="0" w:color="auto"/>
                        <w:right w:val="none" w:sz="0" w:space="0" w:color="auto"/>
                      </w:divBdr>
                      <w:divsChild>
                        <w:div w:id="294140751">
                          <w:marLeft w:val="0"/>
                          <w:marRight w:val="0"/>
                          <w:marTop w:val="0"/>
                          <w:marBottom w:val="0"/>
                          <w:divBdr>
                            <w:top w:val="none" w:sz="0" w:space="0" w:color="auto"/>
                            <w:left w:val="none" w:sz="0" w:space="0" w:color="auto"/>
                            <w:bottom w:val="none" w:sz="0" w:space="0" w:color="auto"/>
                            <w:right w:val="none" w:sz="0" w:space="0" w:color="auto"/>
                          </w:divBdr>
                        </w:div>
                      </w:divsChild>
                    </w:div>
                    <w:div w:id="294150171">
                      <w:marLeft w:val="0"/>
                      <w:marRight w:val="0"/>
                      <w:marTop w:val="0"/>
                      <w:marBottom w:val="0"/>
                      <w:divBdr>
                        <w:top w:val="none" w:sz="0" w:space="0" w:color="auto"/>
                        <w:left w:val="none" w:sz="0" w:space="0" w:color="auto"/>
                        <w:bottom w:val="none" w:sz="0" w:space="0" w:color="auto"/>
                        <w:right w:val="none" w:sz="0" w:space="0" w:color="auto"/>
                      </w:divBdr>
                    </w:div>
                    <w:div w:id="294150187">
                      <w:marLeft w:val="0"/>
                      <w:marRight w:val="0"/>
                      <w:marTop w:val="0"/>
                      <w:marBottom w:val="0"/>
                      <w:divBdr>
                        <w:top w:val="none" w:sz="0" w:space="0" w:color="auto"/>
                        <w:left w:val="none" w:sz="0" w:space="0" w:color="auto"/>
                        <w:bottom w:val="none" w:sz="0" w:space="0" w:color="auto"/>
                        <w:right w:val="none" w:sz="0" w:space="0" w:color="auto"/>
                      </w:divBdr>
                      <w:divsChild>
                        <w:div w:id="294149527">
                          <w:marLeft w:val="0"/>
                          <w:marRight w:val="0"/>
                          <w:marTop w:val="0"/>
                          <w:marBottom w:val="0"/>
                          <w:divBdr>
                            <w:top w:val="none" w:sz="0" w:space="0" w:color="auto"/>
                            <w:left w:val="none" w:sz="0" w:space="0" w:color="auto"/>
                            <w:bottom w:val="none" w:sz="0" w:space="0" w:color="auto"/>
                            <w:right w:val="none" w:sz="0" w:space="0" w:color="auto"/>
                          </w:divBdr>
                        </w:div>
                      </w:divsChild>
                    </w:div>
                    <w:div w:id="294150196">
                      <w:marLeft w:val="0"/>
                      <w:marRight w:val="0"/>
                      <w:marTop w:val="0"/>
                      <w:marBottom w:val="0"/>
                      <w:divBdr>
                        <w:top w:val="none" w:sz="0" w:space="0" w:color="auto"/>
                        <w:left w:val="none" w:sz="0" w:space="0" w:color="auto"/>
                        <w:bottom w:val="none" w:sz="0" w:space="0" w:color="auto"/>
                        <w:right w:val="none" w:sz="0" w:space="0" w:color="auto"/>
                      </w:divBdr>
                      <w:divsChild>
                        <w:div w:id="294138698">
                          <w:marLeft w:val="0"/>
                          <w:marRight w:val="0"/>
                          <w:marTop w:val="0"/>
                          <w:marBottom w:val="0"/>
                          <w:divBdr>
                            <w:top w:val="none" w:sz="0" w:space="0" w:color="auto"/>
                            <w:left w:val="none" w:sz="0" w:space="0" w:color="auto"/>
                            <w:bottom w:val="none" w:sz="0" w:space="0" w:color="auto"/>
                            <w:right w:val="none" w:sz="0" w:space="0" w:color="auto"/>
                          </w:divBdr>
                        </w:div>
                      </w:divsChild>
                    </w:div>
                    <w:div w:id="294150258">
                      <w:marLeft w:val="0"/>
                      <w:marRight w:val="0"/>
                      <w:marTop w:val="0"/>
                      <w:marBottom w:val="0"/>
                      <w:divBdr>
                        <w:top w:val="none" w:sz="0" w:space="0" w:color="auto"/>
                        <w:left w:val="none" w:sz="0" w:space="0" w:color="auto"/>
                        <w:bottom w:val="none" w:sz="0" w:space="0" w:color="auto"/>
                        <w:right w:val="none" w:sz="0" w:space="0" w:color="auto"/>
                      </w:divBdr>
                      <w:divsChild>
                        <w:div w:id="294145495">
                          <w:marLeft w:val="0"/>
                          <w:marRight w:val="0"/>
                          <w:marTop w:val="0"/>
                          <w:marBottom w:val="0"/>
                          <w:divBdr>
                            <w:top w:val="none" w:sz="0" w:space="0" w:color="auto"/>
                            <w:left w:val="none" w:sz="0" w:space="0" w:color="auto"/>
                            <w:bottom w:val="none" w:sz="0" w:space="0" w:color="auto"/>
                            <w:right w:val="none" w:sz="0" w:space="0" w:color="auto"/>
                          </w:divBdr>
                        </w:div>
                      </w:divsChild>
                    </w:div>
                    <w:div w:id="294150364">
                      <w:marLeft w:val="0"/>
                      <w:marRight w:val="0"/>
                      <w:marTop w:val="0"/>
                      <w:marBottom w:val="0"/>
                      <w:divBdr>
                        <w:top w:val="none" w:sz="0" w:space="0" w:color="auto"/>
                        <w:left w:val="none" w:sz="0" w:space="0" w:color="auto"/>
                        <w:bottom w:val="none" w:sz="0" w:space="0" w:color="auto"/>
                        <w:right w:val="none" w:sz="0" w:space="0" w:color="auto"/>
                      </w:divBdr>
                      <w:divsChild>
                        <w:div w:id="294150915">
                          <w:marLeft w:val="0"/>
                          <w:marRight w:val="0"/>
                          <w:marTop w:val="0"/>
                          <w:marBottom w:val="0"/>
                          <w:divBdr>
                            <w:top w:val="none" w:sz="0" w:space="0" w:color="auto"/>
                            <w:left w:val="none" w:sz="0" w:space="0" w:color="auto"/>
                            <w:bottom w:val="none" w:sz="0" w:space="0" w:color="auto"/>
                            <w:right w:val="none" w:sz="0" w:space="0" w:color="auto"/>
                          </w:divBdr>
                        </w:div>
                      </w:divsChild>
                    </w:div>
                    <w:div w:id="294150383">
                      <w:marLeft w:val="0"/>
                      <w:marRight w:val="0"/>
                      <w:marTop w:val="0"/>
                      <w:marBottom w:val="0"/>
                      <w:divBdr>
                        <w:top w:val="none" w:sz="0" w:space="0" w:color="auto"/>
                        <w:left w:val="none" w:sz="0" w:space="0" w:color="auto"/>
                        <w:bottom w:val="none" w:sz="0" w:space="0" w:color="auto"/>
                        <w:right w:val="none" w:sz="0" w:space="0" w:color="auto"/>
                      </w:divBdr>
                    </w:div>
                    <w:div w:id="294150387">
                      <w:marLeft w:val="0"/>
                      <w:marRight w:val="0"/>
                      <w:marTop w:val="0"/>
                      <w:marBottom w:val="0"/>
                      <w:divBdr>
                        <w:top w:val="none" w:sz="0" w:space="0" w:color="auto"/>
                        <w:left w:val="none" w:sz="0" w:space="0" w:color="auto"/>
                        <w:bottom w:val="none" w:sz="0" w:space="0" w:color="auto"/>
                        <w:right w:val="none" w:sz="0" w:space="0" w:color="auto"/>
                      </w:divBdr>
                      <w:divsChild>
                        <w:div w:id="294146944">
                          <w:marLeft w:val="0"/>
                          <w:marRight w:val="0"/>
                          <w:marTop w:val="0"/>
                          <w:marBottom w:val="0"/>
                          <w:divBdr>
                            <w:top w:val="none" w:sz="0" w:space="0" w:color="auto"/>
                            <w:left w:val="none" w:sz="0" w:space="0" w:color="auto"/>
                            <w:bottom w:val="none" w:sz="0" w:space="0" w:color="auto"/>
                            <w:right w:val="none" w:sz="0" w:space="0" w:color="auto"/>
                          </w:divBdr>
                        </w:div>
                      </w:divsChild>
                    </w:div>
                    <w:div w:id="294150406">
                      <w:marLeft w:val="0"/>
                      <w:marRight w:val="0"/>
                      <w:marTop w:val="0"/>
                      <w:marBottom w:val="0"/>
                      <w:divBdr>
                        <w:top w:val="none" w:sz="0" w:space="0" w:color="auto"/>
                        <w:left w:val="none" w:sz="0" w:space="0" w:color="auto"/>
                        <w:bottom w:val="none" w:sz="0" w:space="0" w:color="auto"/>
                        <w:right w:val="none" w:sz="0" w:space="0" w:color="auto"/>
                      </w:divBdr>
                      <w:divsChild>
                        <w:div w:id="294155560">
                          <w:marLeft w:val="0"/>
                          <w:marRight w:val="0"/>
                          <w:marTop w:val="0"/>
                          <w:marBottom w:val="0"/>
                          <w:divBdr>
                            <w:top w:val="none" w:sz="0" w:space="0" w:color="auto"/>
                            <w:left w:val="none" w:sz="0" w:space="0" w:color="auto"/>
                            <w:bottom w:val="none" w:sz="0" w:space="0" w:color="auto"/>
                            <w:right w:val="none" w:sz="0" w:space="0" w:color="auto"/>
                          </w:divBdr>
                        </w:div>
                      </w:divsChild>
                    </w:div>
                    <w:div w:id="294150428">
                      <w:marLeft w:val="0"/>
                      <w:marRight w:val="0"/>
                      <w:marTop w:val="0"/>
                      <w:marBottom w:val="0"/>
                      <w:divBdr>
                        <w:top w:val="none" w:sz="0" w:space="0" w:color="auto"/>
                        <w:left w:val="none" w:sz="0" w:space="0" w:color="auto"/>
                        <w:bottom w:val="none" w:sz="0" w:space="0" w:color="auto"/>
                        <w:right w:val="none" w:sz="0" w:space="0" w:color="auto"/>
                      </w:divBdr>
                    </w:div>
                    <w:div w:id="294150456">
                      <w:marLeft w:val="0"/>
                      <w:marRight w:val="0"/>
                      <w:marTop w:val="0"/>
                      <w:marBottom w:val="0"/>
                      <w:divBdr>
                        <w:top w:val="none" w:sz="0" w:space="0" w:color="auto"/>
                        <w:left w:val="none" w:sz="0" w:space="0" w:color="auto"/>
                        <w:bottom w:val="none" w:sz="0" w:space="0" w:color="auto"/>
                        <w:right w:val="none" w:sz="0" w:space="0" w:color="auto"/>
                      </w:divBdr>
                      <w:divsChild>
                        <w:div w:id="294147560">
                          <w:marLeft w:val="0"/>
                          <w:marRight w:val="0"/>
                          <w:marTop w:val="0"/>
                          <w:marBottom w:val="0"/>
                          <w:divBdr>
                            <w:top w:val="none" w:sz="0" w:space="0" w:color="auto"/>
                            <w:left w:val="none" w:sz="0" w:space="0" w:color="auto"/>
                            <w:bottom w:val="none" w:sz="0" w:space="0" w:color="auto"/>
                            <w:right w:val="none" w:sz="0" w:space="0" w:color="auto"/>
                          </w:divBdr>
                        </w:div>
                      </w:divsChild>
                    </w:div>
                    <w:div w:id="294150630">
                      <w:marLeft w:val="0"/>
                      <w:marRight w:val="0"/>
                      <w:marTop w:val="0"/>
                      <w:marBottom w:val="0"/>
                      <w:divBdr>
                        <w:top w:val="none" w:sz="0" w:space="0" w:color="auto"/>
                        <w:left w:val="none" w:sz="0" w:space="0" w:color="auto"/>
                        <w:bottom w:val="none" w:sz="0" w:space="0" w:color="auto"/>
                        <w:right w:val="none" w:sz="0" w:space="0" w:color="auto"/>
                      </w:divBdr>
                    </w:div>
                    <w:div w:id="294150633">
                      <w:marLeft w:val="0"/>
                      <w:marRight w:val="0"/>
                      <w:marTop w:val="0"/>
                      <w:marBottom w:val="0"/>
                      <w:divBdr>
                        <w:top w:val="none" w:sz="0" w:space="0" w:color="auto"/>
                        <w:left w:val="none" w:sz="0" w:space="0" w:color="auto"/>
                        <w:bottom w:val="none" w:sz="0" w:space="0" w:color="auto"/>
                        <w:right w:val="none" w:sz="0" w:space="0" w:color="auto"/>
                      </w:divBdr>
                      <w:divsChild>
                        <w:div w:id="294138974">
                          <w:marLeft w:val="0"/>
                          <w:marRight w:val="0"/>
                          <w:marTop w:val="0"/>
                          <w:marBottom w:val="0"/>
                          <w:divBdr>
                            <w:top w:val="none" w:sz="0" w:space="0" w:color="auto"/>
                            <w:left w:val="none" w:sz="0" w:space="0" w:color="auto"/>
                            <w:bottom w:val="none" w:sz="0" w:space="0" w:color="auto"/>
                            <w:right w:val="none" w:sz="0" w:space="0" w:color="auto"/>
                          </w:divBdr>
                        </w:div>
                      </w:divsChild>
                    </w:div>
                    <w:div w:id="294150733">
                      <w:marLeft w:val="0"/>
                      <w:marRight w:val="0"/>
                      <w:marTop w:val="0"/>
                      <w:marBottom w:val="0"/>
                      <w:divBdr>
                        <w:top w:val="none" w:sz="0" w:space="0" w:color="auto"/>
                        <w:left w:val="none" w:sz="0" w:space="0" w:color="auto"/>
                        <w:bottom w:val="none" w:sz="0" w:space="0" w:color="auto"/>
                        <w:right w:val="none" w:sz="0" w:space="0" w:color="auto"/>
                      </w:divBdr>
                    </w:div>
                    <w:div w:id="294150803">
                      <w:marLeft w:val="0"/>
                      <w:marRight w:val="0"/>
                      <w:marTop w:val="0"/>
                      <w:marBottom w:val="0"/>
                      <w:divBdr>
                        <w:top w:val="none" w:sz="0" w:space="0" w:color="auto"/>
                        <w:left w:val="none" w:sz="0" w:space="0" w:color="auto"/>
                        <w:bottom w:val="none" w:sz="0" w:space="0" w:color="auto"/>
                        <w:right w:val="none" w:sz="0" w:space="0" w:color="auto"/>
                      </w:divBdr>
                      <w:divsChild>
                        <w:div w:id="294153287">
                          <w:marLeft w:val="0"/>
                          <w:marRight w:val="0"/>
                          <w:marTop w:val="0"/>
                          <w:marBottom w:val="0"/>
                          <w:divBdr>
                            <w:top w:val="none" w:sz="0" w:space="0" w:color="auto"/>
                            <w:left w:val="none" w:sz="0" w:space="0" w:color="auto"/>
                            <w:bottom w:val="none" w:sz="0" w:space="0" w:color="auto"/>
                            <w:right w:val="none" w:sz="0" w:space="0" w:color="auto"/>
                          </w:divBdr>
                        </w:div>
                      </w:divsChild>
                    </w:div>
                    <w:div w:id="294150927">
                      <w:marLeft w:val="0"/>
                      <w:marRight w:val="0"/>
                      <w:marTop w:val="0"/>
                      <w:marBottom w:val="0"/>
                      <w:divBdr>
                        <w:top w:val="none" w:sz="0" w:space="0" w:color="auto"/>
                        <w:left w:val="none" w:sz="0" w:space="0" w:color="auto"/>
                        <w:bottom w:val="none" w:sz="0" w:space="0" w:color="auto"/>
                        <w:right w:val="none" w:sz="0" w:space="0" w:color="auto"/>
                      </w:divBdr>
                    </w:div>
                    <w:div w:id="294150956">
                      <w:marLeft w:val="0"/>
                      <w:marRight w:val="0"/>
                      <w:marTop w:val="0"/>
                      <w:marBottom w:val="0"/>
                      <w:divBdr>
                        <w:top w:val="none" w:sz="0" w:space="0" w:color="auto"/>
                        <w:left w:val="none" w:sz="0" w:space="0" w:color="auto"/>
                        <w:bottom w:val="none" w:sz="0" w:space="0" w:color="auto"/>
                        <w:right w:val="none" w:sz="0" w:space="0" w:color="auto"/>
                      </w:divBdr>
                      <w:divsChild>
                        <w:div w:id="294153085">
                          <w:marLeft w:val="0"/>
                          <w:marRight w:val="0"/>
                          <w:marTop w:val="0"/>
                          <w:marBottom w:val="0"/>
                          <w:divBdr>
                            <w:top w:val="none" w:sz="0" w:space="0" w:color="auto"/>
                            <w:left w:val="none" w:sz="0" w:space="0" w:color="auto"/>
                            <w:bottom w:val="none" w:sz="0" w:space="0" w:color="auto"/>
                            <w:right w:val="none" w:sz="0" w:space="0" w:color="auto"/>
                          </w:divBdr>
                        </w:div>
                      </w:divsChild>
                    </w:div>
                    <w:div w:id="294150981">
                      <w:marLeft w:val="0"/>
                      <w:marRight w:val="0"/>
                      <w:marTop w:val="0"/>
                      <w:marBottom w:val="0"/>
                      <w:divBdr>
                        <w:top w:val="none" w:sz="0" w:space="0" w:color="auto"/>
                        <w:left w:val="none" w:sz="0" w:space="0" w:color="auto"/>
                        <w:bottom w:val="none" w:sz="0" w:space="0" w:color="auto"/>
                        <w:right w:val="none" w:sz="0" w:space="0" w:color="auto"/>
                      </w:divBdr>
                    </w:div>
                    <w:div w:id="294150993">
                      <w:marLeft w:val="0"/>
                      <w:marRight w:val="0"/>
                      <w:marTop w:val="0"/>
                      <w:marBottom w:val="0"/>
                      <w:divBdr>
                        <w:top w:val="none" w:sz="0" w:space="0" w:color="auto"/>
                        <w:left w:val="none" w:sz="0" w:space="0" w:color="auto"/>
                        <w:bottom w:val="none" w:sz="0" w:space="0" w:color="auto"/>
                        <w:right w:val="none" w:sz="0" w:space="0" w:color="auto"/>
                      </w:divBdr>
                    </w:div>
                    <w:div w:id="294151021">
                      <w:marLeft w:val="0"/>
                      <w:marRight w:val="0"/>
                      <w:marTop w:val="0"/>
                      <w:marBottom w:val="0"/>
                      <w:divBdr>
                        <w:top w:val="none" w:sz="0" w:space="0" w:color="auto"/>
                        <w:left w:val="none" w:sz="0" w:space="0" w:color="auto"/>
                        <w:bottom w:val="none" w:sz="0" w:space="0" w:color="auto"/>
                        <w:right w:val="none" w:sz="0" w:space="0" w:color="auto"/>
                      </w:divBdr>
                    </w:div>
                    <w:div w:id="294151032">
                      <w:marLeft w:val="0"/>
                      <w:marRight w:val="0"/>
                      <w:marTop w:val="0"/>
                      <w:marBottom w:val="0"/>
                      <w:divBdr>
                        <w:top w:val="none" w:sz="0" w:space="0" w:color="auto"/>
                        <w:left w:val="none" w:sz="0" w:space="0" w:color="auto"/>
                        <w:bottom w:val="none" w:sz="0" w:space="0" w:color="auto"/>
                        <w:right w:val="none" w:sz="0" w:space="0" w:color="auto"/>
                      </w:divBdr>
                    </w:div>
                    <w:div w:id="294151059">
                      <w:marLeft w:val="0"/>
                      <w:marRight w:val="0"/>
                      <w:marTop w:val="0"/>
                      <w:marBottom w:val="0"/>
                      <w:divBdr>
                        <w:top w:val="none" w:sz="0" w:space="0" w:color="auto"/>
                        <w:left w:val="none" w:sz="0" w:space="0" w:color="auto"/>
                        <w:bottom w:val="none" w:sz="0" w:space="0" w:color="auto"/>
                        <w:right w:val="none" w:sz="0" w:space="0" w:color="auto"/>
                      </w:divBdr>
                      <w:divsChild>
                        <w:div w:id="294145196">
                          <w:marLeft w:val="0"/>
                          <w:marRight w:val="0"/>
                          <w:marTop w:val="0"/>
                          <w:marBottom w:val="0"/>
                          <w:divBdr>
                            <w:top w:val="none" w:sz="0" w:space="0" w:color="auto"/>
                            <w:left w:val="none" w:sz="0" w:space="0" w:color="auto"/>
                            <w:bottom w:val="none" w:sz="0" w:space="0" w:color="auto"/>
                            <w:right w:val="none" w:sz="0" w:space="0" w:color="auto"/>
                          </w:divBdr>
                        </w:div>
                      </w:divsChild>
                    </w:div>
                    <w:div w:id="294151062">
                      <w:marLeft w:val="0"/>
                      <w:marRight w:val="0"/>
                      <w:marTop w:val="0"/>
                      <w:marBottom w:val="0"/>
                      <w:divBdr>
                        <w:top w:val="none" w:sz="0" w:space="0" w:color="auto"/>
                        <w:left w:val="none" w:sz="0" w:space="0" w:color="auto"/>
                        <w:bottom w:val="none" w:sz="0" w:space="0" w:color="auto"/>
                        <w:right w:val="none" w:sz="0" w:space="0" w:color="auto"/>
                      </w:divBdr>
                      <w:divsChild>
                        <w:div w:id="294138847">
                          <w:marLeft w:val="0"/>
                          <w:marRight w:val="0"/>
                          <w:marTop w:val="0"/>
                          <w:marBottom w:val="0"/>
                          <w:divBdr>
                            <w:top w:val="none" w:sz="0" w:space="0" w:color="auto"/>
                            <w:left w:val="none" w:sz="0" w:space="0" w:color="auto"/>
                            <w:bottom w:val="none" w:sz="0" w:space="0" w:color="auto"/>
                            <w:right w:val="none" w:sz="0" w:space="0" w:color="auto"/>
                          </w:divBdr>
                        </w:div>
                      </w:divsChild>
                    </w:div>
                    <w:div w:id="294151081">
                      <w:marLeft w:val="0"/>
                      <w:marRight w:val="0"/>
                      <w:marTop w:val="0"/>
                      <w:marBottom w:val="0"/>
                      <w:divBdr>
                        <w:top w:val="none" w:sz="0" w:space="0" w:color="auto"/>
                        <w:left w:val="none" w:sz="0" w:space="0" w:color="auto"/>
                        <w:bottom w:val="none" w:sz="0" w:space="0" w:color="auto"/>
                        <w:right w:val="none" w:sz="0" w:space="0" w:color="auto"/>
                      </w:divBdr>
                      <w:divsChild>
                        <w:div w:id="294143005">
                          <w:marLeft w:val="0"/>
                          <w:marRight w:val="0"/>
                          <w:marTop w:val="0"/>
                          <w:marBottom w:val="0"/>
                          <w:divBdr>
                            <w:top w:val="none" w:sz="0" w:space="0" w:color="auto"/>
                            <w:left w:val="none" w:sz="0" w:space="0" w:color="auto"/>
                            <w:bottom w:val="none" w:sz="0" w:space="0" w:color="auto"/>
                            <w:right w:val="none" w:sz="0" w:space="0" w:color="auto"/>
                          </w:divBdr>
                        </w:div>
                      </w:divsChild>
                    </w:div>
                    <w:div w:id="294151117">
                      <w:marLeft w:val="0"/>
                      <w:marRight w:val="0"/>
                      <w:marTop w:val="0"/>
                      <w:marBottom w:val="0"/>
                      <w:divBdr>
                        <w:top w:val="none" w:sz="0" w:space="0" w:color="auto"/>
                        <w:left w:val="none" w:sz="0" w:space="0" w:color="auto"/>
                        <w:bottom w:val="none" w:sz="0" w:space="0" w:color="auto"/>
                        <w:right w:val="none" w:sz="0" w:space="0" w:color="auto"/>
                      </w:divBdr>
                    </w:div>
                    <w:div w:id="294151123">
                      <w:marLeft w:val="0"/>
                      <w:marRight w:val="0"/>
                      <w:marTop w:val="0"/>
                      <w:marBottom w:val="0"/>
                      <w:divBdr>
                        <w:top w:val="none" w:sz="0" w:space="0" w:color="auto"/>
                        <w:left w:val="none" w:sz="0" w:space="0" w:color="auto"/>
                        <w:bottom w:val="none" w:sz="0" w:space="0" w:color="auto"/>
                        <w:right w:val="none" w:sz="0" w:space="0" w:color="auto"/>
                      </w:divBdr>
                      <w:divsChild>
                        <w:div w:id="294147444">
                          <w:marLeft w:val="0"/>
                          <w:marRight w:val="0"/>
                          <w:marTop w:val="0"/>
                          <w:marBottom w:val="0"/>
                          <w:divBdr>
                            <w:top w:val="none" w:sz="0" w:space="0" w:color="auto"/>
                            <w:left w:val="none" w:sz="0" w:space="0" w:color="auto"/>
                            <w:bottom w:val="none" w:sz="0" w:space="0" w:color="auto"/>
                            <w:right w:val="none" w:sz="0" w:space="0" w:color="auto"/>
                          </w:divBdr>
                        </w:div>
                      </w:divsChild>
                    </w:div>
                    <w:div w:id="294151149">
                      <w:marLeft w:val="0"/>
                      <w:marRight w:val="0"/>
                      <w:marTop w:val="0"/>
                      <w:marBottom w:val="0"/>
                      <w:divBdr>
                        <w:top w:val="none" w:sz="0" w:space="0" w:color="auto"/>
                        <w:left w:val="none" w:sz="0" w:space="0" w:color="auto"/>
                        <w:bottom w:val="none" w:sz="0" w:space="0" w:color="auto"/>
                        <w:right w:val="none" w:sz="0" w:space="0" w:color="auto"/>
                      </w:divBdr>
                    </w:div>
                    <w:div w:id="294151160">
                      <w:marLeft w:val="0"/>
                      <w:marRight w:val="0"/>
                      <w:marTop w:val="0"/>
                      <w:marBottom w:val="0"/>
                      <w:divBdr>
                        <w:top w:val="none" w:sz="0" w:space="0" w:color="auto"/>
                        <w:left w:val="none" w:sz="0" w:space="0" w:color="auto"/>
                        <w:bottom w:val="none" w:sz="0" w:space="0" w:color="auto"/>
                        <w:right w:val="none" w:sz="0" w:space="0" w:color="auto"/>
                      </w:divBdr>
                      <w:divsChild>
                        <w:div w:id="294139756">
                          <w:marLeft w:val="0"/>
                          <w:marRight w:val="0"/>
                          <w:marTop w:val="0"/>
                          <w:marBottom w:val="0"/>
                          <w:divBdr>
                            <w:top w:val="none" w:sz="0" w:space="0" w:color="auto"/>
                            <w:left w:val="none" w:sz="0" w:space="0" w:color="auto"/>
                            <w:bottom w:val="none" w:sz="0" w:space="0" w:color="auto"/>
                            <w:right w:val="none" w:sz="0" w:space="0" w:color="auto"/>
                          </w:divBdr>
                        </w:div>
                      </w:divsChild>
                    </w:div>
                    <w:div w:id="294151161">
                      <w:marLeft w:val="0"/>
                      <w:marRight w:val="0"/>
                      <w:marTop w:val="0"/>
                      <w:marBottom w:val="0"/>
                      <w:divBdr>
                        <w:top w:val="none" w:sz="0" w:space="0" w:color="auto"/>
                        <w:left w:val="none" w:sz="0" w:space="0" w:color="auto"/>
                        <w:bottom w:val="none" w:sz="0" w:space="0" w:color="auto"/>
                        <w:right w:val="none" w:sz="0" w:space="0" w:color="auto"/>
                      </w:divBdr>
                      <w:divsChild>
                        <w:div w:id="294141341">
                          <w:marLeft w:val="0"/>
                          <w:marRight w:val="0"/>
                          <w:marTop w:val="0"/>
                          <w:marBottom w:val="0"/>
                          <w:divBdr>
                            <w:top w:val="none" w:sz="0" w:space="0" w:color="auto"/>
                            <w:left w:val="none" w:sz="0" w:space="0" w:color="auto"/>
                            <w:bottom w:val="none" w:sz="0" w:space="0" w:color="auto"/>
                            <w:right w:val="none" w:sz="0" w:space="0" w:color="auto"/>
                          </w:divBdr>
                        </w:div>
                      </w:divsChild>
                    </w:div>
                    <w:div w:id="294151163">
                      <w:marLeft w:val="0"/>
                      <w:marRight w:val="0"/>
                      <w:marTop w:val="0"/>
                      <w:marBottom w:val="0"/>
                      <w:divBdr>
                        <w:top w:val="none" w:sz="0" w:space="0" w:color="auto"/>
                        <w:left w:val="none" w:sz="0" w:space="0" w:color="auto"/>
                        <w:bottom w:val="none" w:sz="0" w:space="0" w:color="auto"/>
                        <w:right w:val="none" w:sz="0" w:space="0" w:color="auto"/>
                      </w:divBdr>
                    </w:div>
                    <w:div w:id="294151174">
                      <w:marLeft w:val="0"/>
                      <w:marRight w:val="0"/>
                      <w:marTop w:val="0"/>
                      <w:marBottom w:val="0"/>
                      <w:divBdr>
                        <w:top w:val="none" w:sz="0" w:space="0" w:color="auto"/>
                        <w:left w:val="none" w:sz="0" w:space="0" w:color="auto"/>
                        <w:bottom w:val="none" w:sz="0" w:space="0" w:color="auto"/>
                        <w:right w:val="none" w:sz="0" w:space="0" w:color="auto"/>
                      </w:divBdr>
                    </w:div>
                    <w:div w:id="294151183">
                      <w:marLeft w:val="0"/>
                      <w:marRight w:val="0"/>
                      <w:marTop w:val="0"/>
                      <w:marBottom w:val="0"/>
                      <w:divBdr>
                        <w:top w:val="none" w:sz="0" w:space="0" w:color="auto"/>
                        <w:left w:val="none" w:sz="0" w:space="0" w:color="auto"/>
                        <w:bottom w:val="none" w:sz="0" w:space="0" w:color="auto"/>
                        <w:right w:val="none" w:sz="0" w:space="0" w:color="auto"/>
                      </w:divBdr>
                    </w:div>
                    <w:div w:id="294151194">
                      <w:marLeft w:val="0"/>
                      <w:marRight w:val="0"/>
                      <w:marTop w:val="0"/>
                      <w:marBottom w:val="0"/>
                      <w:divBdr>
                        <w:top w:val="none" w:sz="0" w:space="0" w:color="auto"/>
                        <w:left w:val="none" w:sz="0" w:space="0" w:color="auto"/>
                        <w:bottom w:val="none" w:sz="0" w:space="0" w:color="auto"/>
                        <w:right w:val="none" w:sz="0" w:space="0" w:color="auto"/>
                      </w:divBdr>
                      <w:divsChild>
                        <w:div w:id="294148553">
                          <w:marLeft w:val="0"/>
                          <w:marRight w:val="0"/>
                          <w:marTop w:val="0"/>
                          <w:marBottom w:val="0"/>
                          <w:divBdr>
                            <w:top w:val="none" w:sz="0" w:space="0" w:color="auto"/>
                            <w:left w:val="none" w:sz="0" w:space="0" w:color="auto"/>
                            <w:bottom w:val="none" w:sz="0" w:space="0" w:color="auto"/>
                            <w:right w:val="none" w:sz="0" w:space="0" w:color="auto"/>
                          </w:divBdr>
                        </w:div>
                      </w:divsChild>
                    </w:div>
                    <w:div w:id="294151199">
                      <w:marLeft w:val="0"/>
                      <w:marRight w:val="0"/>
                      <w:marTop w:val="0"/>
                      <w:marBottom w:val="0"/>
                      <w:divBdr>
                        <w:top w:val="none" w:sz="0" w:space="0" w:color="auto"/>
                        <w:left w:val="none" w:sz="0" w:space="0" w:color="auto"/>
                        <w:bottom w:val="none" w:sz="0" w:space="0" w:color="auto"/>
                        <w:right w:val="none" w:sz="0" w:space="0" w:color="auto"/>
                      </w:divBdr>
                      <w:divsChild>
                        <w:div w:id="294148044">
                          <w:marLeft w:val="0"/>
                          <w:marRight w:val="0"/>
                          <w:marTop w:val="0"/>
                          <w:marBottom w:val="0"/>
                          <w:divBdr>
                            <w:top w:val="none" w:sz="0" w:space="0" w:color="auto"/>
                            <w:left w:val="none" w:sz="0" w:space="0" w:color="auto"/>
                            <w:bottom w:val="none" w:sz="0" w:space="0" w:color="auto"/>
                            <w:right w:val="none" w:sz="0" w:space="0" w:color="auto"/>
                          </w:divBdr>
                        </w:div>
                      </w:divsChild>
                    </w:div>
                    <w:div w:id="294151223">
                      <w:marLeft w:val="0"/>
                      <w:marRight w:val="0"/>
                      <w:marTop w:val="0"/>
                      <w:marBottom w:val="0"/>
                      <w:divBdr>
                        <w:top w:val="none" w:sz="0" w:space="0" w:color="auto"/>
                        <w:left w:val="none" w:sz="0" w:space="0" w:color="auto"/>
                        <w:bottom w:val="none" w:sz="0" w:space="0" w:color="auto"/>
                        <w:right w:val="none" w:sz="0" w:space="0" w:color="auto"/>
                      </w:divBdr>
                    </w:div>
                    <w:div w:id="294151226">
                      <w:marLeft w:val="0"/>
                      <w:marRight w:val="0"/>
                      <w:marTop w:val="0"/>
                      <w:marBottom w:val="0"/>
                      <w:divBdr>
                        <w:top w:val="none" w:sz="0" w:space="0" w:color="auto"/>
                        <w:left w:val="none" w:sz="0" w:space="0" w:color="auto"/>
                        <w:bottom w:val="none" w:sz="0" w:space="0" w:color="auto"/>
                        <w:right w:val="none" w:sz="0" w:space="0" w:color="auto"/>
                      </w:divBdr>
                      <w:divsChild>
                        <w:div w:id="294144863">
                          <w:marLeft w:val="0"/>
                          <w:marRight w:val="0"/>
                          <w:marTop w:val="0"/>
                          <w:marBottom w:val="0"/>
                          <w:divBdr>
                            <w:top w:val="none" w:sz="0" w:space="0" w:color="auto"/>
                            <w:left w:val="none" w:sz="0" w:space="0" w:color="auto"/>
                            <w:bottom w:val="none" w:sz="0" w:space="0" w:color="auto"/>
                            <w:right w:val="none" w:sz="0" w:space="0" w:color="auto"/>
                          </w:divBdr>
                        </w:div>
                      </w:divsChild>
                    </w:div>
                    <w:div w:id="294151230">
                      <w:marLeft w:val="0"/>
                      <w:marRight w:val="0"/>
                      <w:marTop w:val="0"/>
                      <w:marBottom w:val="0"/>
                      <w:divBdr>
                        <w:top w:val="none" w:sz="0" w:space="0" w:color="auto"/>
                        <w:left w:val="none" w:sz="0" w:space="0" w:color="auto"/>
                        <w:bottom w:val="none" w:sz="0" w:space="0" w:color="auto"/>
                        <w:right w:val="none" w:sz="0" w:space="0" w:color="auto"/>
                      </w:divBdr>
                    </w:div>
                    <w:div w:id="294151290">
                      <w:marLeft w:val="0"/>
                      <w:marRight w:val="0"/>
                      <w:marTop w:val="0"/>
                      <w:marBottom w:val="0"/>
                      <w:divBdr>
                        <w:top w:val="none" w:sz="0" w:space="0" w:color="auto"/>
                        <w:left w:val="none" w:sz="0" w:space="0" w:color="auto"/>
                        <w:bottom w:val="none" w:sz="0" w:space="0" w:color="auto"/>
                        <w:right w:val="none" w:sz="0" w:space="0" w:color="auto"/>
                      </w:divBdr>
                      <w:divsChild>
                        <w:div w:id="294141570">
                          <w:marLeft w:val="0"/>
                          <w:marRight w:val="0"/>
                          <w:marTop w:val="0"/>
                          <w:marBottom w:val="0"/>
                          <w:divBdr>
                            <w:top w:val="none" w:sz="0" w:space="0" w:color="auto"/>
                            <w:left w:val="none" w:sz="0" w:space="0" w:color="auto"/>
                            <w:bottom w:val="none" w:sz="0" w:space="0" w:color="auto"/>
                            <w:right w:val="none" w:sz="0" w:space="0" w:color="auto"/>
                          </w:divBdr>
                        </w:div>
                      </w:divsChild>
                    </w:div>
                    <w:div w:id="294151379">
                      <w:marLeft w:val="0"/>
                      <w:marRight w:val="0"/>
                      <w:marTop w:val="0"/>
                      <w:marBottom w:val="0"/>
                      <w:divBdr>
                        <w:top w:val="none" w:sz="0" w:space="0" w:color="auto"/>
                        <w:left w:val="none" w:sz="0" w:space="0" w:color="auto"/>
                        <w:bottom w:val="none" w:sz="0" w:space="0" w:color="auto"/>
                        <w:right w:val="none" w:sz="0" w:space="0" w:color="auto"/>
                      </w:divBdr>
                    </w:div>
                    <w:div w:id="294151386">
                      <w:marLeft w:val="0"/>
                      <w:marRight w:val="0"/>
                      <w:marTop w:val="0"/>
                      <w:marBottom w:val="0"/>
                      <w:divBdr>
                        <w:top w:val="none" w:sz="0" w:space="0" w:color="auto"/>
                        <w:left w:val="none" w:sz="0" w:space="0" w:color="auto"/>
                        <w:bottom w:val="none" w:sz="0" w:space="0" w:color="auto"/>
                        <w:right w:val="none" w:sz="0" w:space="0" w:color="auto"/>
                      </w:divBdr>
                      <w:divsChild>
                        <w:div w:id="294148961">
                          <w:marLeft w:val="0"/>
                          <w:marRight w:val="0"/>
                          <w:marTop w:val="0"/>
                          <w:marBottom w:val="0"/>
                          <w:divBdr>
                            <w:top w:val="none" w:sz="0" w:space="0" w:color="auto"/>
                            <w:left w:val="none" w:sz="0" w:space="0" w:color="auto"/>
                            <w:bottom w:val="none" w:sz="0" w:space="0" w:color="auto"/>
                            <w:right w:val="none" w:sz="0" w:space="0" w:color="auto"/>
                          </w:divBdr>
                        </w:div>
                      </w:divsChild>
                    </w:div>
                    <w:div w:id="294151496">
                      <w:marLeft w:val="0"/>
                      <w:marRight w:val="0"/>
                      <w:marTop w:val="0"/>
                      <w:marBottom w:val="0"/>
                      <w:divBdr>
                        <w:top w:val="none" w:sz="0" w:space="0" w:color="auto"/>
                        <w:left w:val="none" w:sz="0" w:space="0" w:color="auto"/>
                        <w:bottom w:val="none" w:sz="0" w:space="0" w:color="auto"/>
                        <w:right w:val="none" w:sz="0" w:space="0" w:color="auto"/>
                      </w:divBdr>
                    </w:div>
                    <w:div w:id="294151507">
                      <w:marLeft w:val="0"/>
                      <w:marRight w:val="0"/>
                      <w:marTop w:val="0"/>
                      <w:marBottom w:val="0"/>
                      <w:divBdr>
                        <w:top w:val="none" w:sz="0" w:space="0" w:color="auto"/>
                        <w:left w:val="none" w:sz="0" w:space="0" w:color="auto"/>
                        <w:bottom w:val="none" w:sz="0" w:space="0" w:color="auto"/>
                        <w:right w:val="none" w:sz="0" w:space="0" w:color="auto"/>
                      </w:divBdr>
                    </w:div>
                    <w:div w:id="294151515">
                      <w:marLeft w:val="0"/>
                      <w:marRight w:val="0"/>
                      <w:marTop w:val="0"/>
                      <w:marBottom w:val="0"/>
                      <w:divBdr>
                        <w:top w:val="none" w:sz="0" w:space="0" w:color="auto"/>
                        <w:left w:val="none" w:sz="0" w:space="0" w:color="auto"/>
                        <w:bottom w:val="none" w:sz="0" w:space="0" w:color="auto"/>
                        <w:right w:val="none" w:sz="0" w:space="0" w:color="auto"/>
                      </w:divBdr>
                      <w:divsChild>
                        <w:div w:id="294147869">
                          <w:marLeft w:val="0"/>
                          <w:marRight w:val="0"/>
                          <w:marTop w:val="0"/>
                          <w:marBottom w:val="0"/>
                          <w:divBdr>
                            <w:top w:val="none" w:sz="0" w:space="0" w:color="auto"/>
                            <w:left w:val="none" w:sz="0" w:space="0" w:color="auto"/>
                            <w:bottom w:val="none" w:sz="0" w:space="0" w:color="auto"/>
                            <w:right w:val="none" w:sz="0" w:space="0" w:color="auto"/>
                          </w:divBdr>
                        </w:div>
                      </w:divsChild>
                    </w:div>
                    <w:div w:id="294151516">
                      <w:marLeft w:val="0"/>
                      <w:marRight w:val="0"/>
                      <w:marTop w:val="0"/>
                      <w:marBottom w:val="0"/>
                      <w:divBdr>
                        <w:top w:val="none" w:sz="0" w:space="0" w:color="auto"/>
                        <w:left w:val="none" w:sz="0" w:space="0" w:color="auto"/>
                        <w:bottom w:val="none" w:sz="0" w:space="0" w:color="auto"/>
                        <w:right w:val="none" w:sz="0" w:space="0" w:color="auto"/>
                      </w:divBdr>
                    </w:div>
                    <w:div w:id="294151534">
                      <w:marLeft w:val="0"/>
                      <w:marRight w:val="0"/>
                      <w:marTop w:val="0"/>
                      <w:marBottom w:val="0"/>
                      <w:divBdr>
                        <w:top w:val="none" w:sz="0" w:space="0" w:color="auto"/>
                        <w:left w:val="none" w:sz="0" w:space="0" w:color="auto"/>
                        <w:bottom w:val="none" w:sz="0" w:space="0" w:color="auto"/>
                        <w:right w:val="none" w:sz="0" w:space="0" w:color="auto"/>
                      </w:divBdr>
                      <w:divsChild>
                        <w:div w:id="294140720">
                          <w:marLeft w:val="0"/>
                          <w:marRight w:val="0"/>
                          <w:marTop w:val="0"/>
                          <w:marBottom w:val="0"/>
                          <w:divBdr>
                            <w:top w:val="none" w:sz="0" w:space="0" w:color="auto"/>
                            <w:left w:val="none" w:sz="0" w:space="0" w:color="auto"/>
                            <w:bottom w:val="none" w:sz="0" w:space="0" w:color="auto"/>
                            <w:right w:val="none" w:sz="0" w:space="0" w:color="auto"/>
                          </w:divBdr>
                        </w:div>
                      </w:divsChild>
                    </w:div>
                    <w:div w:id="294151536">
                      <w:marLeft w:val="0"/>
                      <w:marRight w:val="0"/>
                      <w:marTop w:val="0"/>
                      <w:marBottom w:val="0"/>
                      <w:divBdr>
                        <w:top w:val="none" w:sz="0" w:space="0" w:color="auto"/>
                        <w:left w:val="none" w:sz="0" w:space="0" w:color="auto"/>
                        <w:bottom w:val="none" w:sz="0" w:space="0" w:color="auto"/>
                        <w:right w:val="none" w:sz="0" w:space="0" w:color="auto"/>
                      </w:divBdr>
                      <w:divsChild>
                        <w:div w:id="294152393">
                          <w:marLeft w:val="0"/>
                          <w:marRight w:val="0"/>
                          <w:marTop w:val="0"/>
                          <w:marBottom w:val="0"/>
                          <w:divBdr>
                            <w:top w:val="none" w:sz="0" w:space="0" w:color="auto"/>
                            <w:left w:val="none" w:sz="0" w:space="0" w:color="auto"/>
                            <w:bottom w:val="none" w:sz="0" w:space="0" w:color="auto"/>
                            <w:right w:val="none" w:sz="0" w:space="0" w:color="auto"/>
                          </w:divBdr>
                        </w:div>
                      </w:divsChild>
                    </w:div>
                    <w:div w:id="294151595">
                      <w:marLeft w:val="0"/>
                      <w:marRight w:val="0"/>
                      <w:marTop w:val="0"/>
                      <w:marBottom w:val="0"/>
                      <w:divBdr>
                        <w:top w:val="none" w:sz="0" w:space="0" w:color="auto"/>
                        <w:left w:val="none" w:sz="0" w:space="0" w:color="auto"/>
                        <w:bottom w:val="none" w:sz="0" w:space="0" w:color="auto"/>
                        <w:right w:val="none" w:sz="0" w:space="0" w:color="auto"/>
                      </w:divBdr>
                      <w:divsChild>
                        <w:div w:id="294143702">
                          <w:marLeft w:val="0"/>
                          <w:marRight w:val="0"/>
                          <w:marTop w:val="0"/>
                          <w:marBottom w:val="0"/>
                          <w:divBdr>
                            <w:top w:val="none" w:sz="0" w:space="0" w:color="auto"/>
                            <w:left w:val="none" w:sz="0" w:space="0" w:color="auto"/>
                            <w:bottom w:val="none" w:sz="0" w:space="0" w:color="auto"/>
                            <w:right w:val="none" w:sz="0" w:space="0" w:color="auto"/>
                          </w:divBdr>
                        </w:div>
                      </w:divsChild>
                    </w:div>
                    <w:div w:id="294151624">
                      <w:marLeft w:val="0"/>
                      <w:marRight w:val="0"/>
                      <w:marTop w:val="0"/>
                      <w:marBottom w:val="0"/>
                      <w:divBdr>
                        <w:top w:val="none" w:sz="0" w:space="0" w:color="auto"/>
                        <w:left w:val="none" w:sz="0" w:space="0" w:color="auto"/>
                        <w:bottom w:val="none" w:sz="0" w:space="0" w:color="auto"/>
                        <w:right w:val="none" w:sz="0" w:space="0" w:color="auto"/>
                      </w:divBdr>
                    </w:div>
                    <w:div w:id="294151692">
                      <w:marLeft w:val="0"/>
                      <w:marRight w:val="0"/>
                      <w:marTop w:val="0"/>
                      <w:marBottom w:val="0"/>
                      <w:divBdr>
                        <w:top w:val="none" w:sz="0" w:space="0" w:color="auto"/>
                        <w:left w:val="none" w:sz="0" w:space="0" w:color="auto"/>
                        <w:bottom w:val="none" w:sz="0" w:space="0" w:color="auto"/>
                        <w:right w:val="none" w:sz="0" w:space="0" w:color="auto"/>
                      </w:divBdr>
                    </w:div>
                    <w:div w:id="294151702">
                      <w:marLeft w:val="0"/>
                      <w:marRight w:val="0"/>
                      <w:marTop w:val="0"/>
                      <w:marBottom w:val="0"/>
                      <w:divBdr>
                        <w:top w:val="none" w:sz="0" w:space="0" w:color="auto"/>
                        <w:left w:val="none" w:sz="0" w:space="0" w:color="auto"/>
                        <w:bottom w:val="none" w:sz="0" w:space="0" w:color="auto"/>
                        <w:right w:val="none" w:sz="0" w:space="0" w:color="auto"/>
                      </w:divBdr>
                    </w:div>
                    <w:div w:id="294151900">
                      <w:marLeft w:val="0"/>
                      <w:marRight w:val="0"/>
                      <w:marTop w:val="0"/>
                      <w:marBottom w:val="0"/>
                      <w:divBdr>
                        <w:top w:val="none" w:sz="0" w:space="0" w:color="auto"/>
                        <w:left w:val="none" w:sz="0" w:space="0" w:color="auto"/>
                        <w:bottom w:val="none" w:sz="0" w:space="0" w:color="auto"/>
                        <w:right w:val="none" w:sz="0" w:space="0" w:color="auto"/>
                      </w:divBdr>
                      <w:divsChild>
                        <w:div w:id="294144458">
                          <w:marLeft w:val="0"/>
                          <w:marRight w:val="0"/>
                          <w:marTop w:val="0"/>
                          <w:marBottom w:val="0"/>
                          <w:divBdr>
                            <w:top w:val="none" w:sz="0" w:space="0" w:color="auto"/>
                            <w:left w:val="none" w:sz="0" w:space="0" w:color="auto"/>
                            <w:bottom w:val="none" w:sz="0" w:space="0" w:color="auto"/>
                            <w:right w:val="none" w:sz="0" w:space="0" w:color="auto"/>
                          </w:divBdr>
                        </w:div>
                      </w:divsChild>
                    </w:div>
                    <w:div w:id="294151959">
                      <w:marLeft w:val="0"/>
                      <w:marRight w:val="0"/>
                      <w:marTop w:val="0"/>
                      <w:marBottom w:val="0"/>
                      <w:divBdr>
                        <w:top w:val="none" w:sz="0" w:space="0" w:color="auto"/>
                        <w:left w:val="none" w:sz="0" w:space="0" w:color="auto"/>
                        <w:bottom w:val="none" w:sz="0" w:space="0" w:color="auto"/>
                        <w:right w:val="none" w:sz="0" w:space="0" w:color="auto"/>
                      </w:divBdr>
                      <w:divsChild>
                        <w:div w:id="294141126">
                          <w:marLeft w:val="0"/>
                          <w:marRight w:val="0"/>
                          <w:marTop w:val="0"/>
                          <w:marBottom w:val="0"/>
                          <w:divBdr>
                            <w:top w:val="none" w:sz="0" w:space="0" w:color="auto"/>
                            <w:left w:val="none" w:sz="0" w:space="0" w:color="auto"/>
                            <w:bottom w:val="none" w:sz="0" w:space="0" w:color="auto"/>
                            <w:right w:val="none" w:sz="0" w:space="0" w:color="auto"/>
                          </w:divBdr>
                        </w:div>
                      </w:divsChild>
                    </w:div>
                    <w:div w:id="294151960">
                      <w:marLeft w:val="0"/>
                      <w:marRight w:val="0"/>
                      <w:marTop w:val="0"/>
                      <w:marBottom w:val="0"/>
                      <w:divBdr>
                        <w:top w:val="none" w:sz="0" w:space="0" w:color="auto"/>
                        <w:left w:val="none" w:sz="0" w:space="0" w:color="auto"/>
                        <w:bottom w:val="none" w:sz="0" w:space="0" w:color="auto"/>
                        <w:right w:val="none" w:sz="0" w:space="0" w:color="auto"/>
                      </w:divBdr>
                      <w:divsChild>
                        <w:div w:id="294143957">
                          <w:marLeft w:val="0"/>
                          <w:marRight w:val="0"/>
                          <w:marTop w:val="0"/>
                          <w:marBottom w:val="0"/>
                          <w:divBdr>
                            <w:top w:val="none" w:sz="0" w:space="0" w:color="auto"/>
                            <w:left w:val="none" w:sz="0" w:space="0" w:color="auto"/>
                            <w:bottom w:val="none" w:sz="0" w:space="0" w:color="auto"/>
                            <w:right w:val="none" w:sz="0" w:space="0" w:color="auto"/>
                          </w:divBdr>
                        </w:div>
                      </w:divsChild>
                    </w:div>
                    <w:div w:id="294151996">
                      <w:marLeft w:val="0"/>
                      <w:marRight w:val="0"/>
                      <w:marTop w:val="0"/>
                      <w:marBottom w:val="0"/>
                      <w:divBdr>
                        <w:top w:val="none" w:sz="0" w:space="0" w:color="auto"/>
                        <w:left w:val="none" w:sz="0" w:space="0" w:color="auto"/>
                        <w:bottom w:val="none" w:sz="0" w:space="0" w:color="auto"/>
                        <w:right w:val="none" w:sz="0" w:space="0" w:color="auto"/>
                      </w:divBdr>
                    </w:div>
                    <w:div w:id="294152017">
                      <w:marLeft w:val="0"/>
                      <w:marRight w:val="0"/>
                      <w:marTop w:val="0"/>
                      <w:marBottom w:val="0"/>
                      <w:divBdr>
                        <w:top w:val="none" w:sz="0" w:space="0" w:color="auto"/>
                        <w:left w:val="none" w:sz="0" w:space="0" w:color="auto"/>
                        <w:bottom w:val="none" w:sz="0" w:space="0" w:color="auto"/>
                        <w:right w:val="none" w:sz="0" w:space="0" w:color="auto"/>
                      </w:divBdr>
                      <w:divsChild>
                        <w:div w:id="294144150">
                          <w:marLeft w:val="0"/>
                          <w:marRight w:val="0"/>
                          <w:marTop w:val="0"/>
                          <w:marBottom w:val="0"/>
                          <w:divBdr>
                            <w:top w:val="none" w:sz="0" w:space="0" w:color="auto"/>
                            <w:left w:val="none" w:sz="0" w:space="0" w:color="auto"/>
                            <w:bottom w:val="none" w:sz="0" w:space="0" w:color="auto"/>
                            <w:right w:val="none" w:sz="0" w:space="0" w:color="auto"/>
                          </w:divBdr>
                        </w:div>
                      </w:divsChild>
                    </w:div>
                    <w:div w:id="294152095">
                      <w:marLeft w:val="0"/>
                      <w:marRight w:val="0"/>
                      <w:marTop w:val="0"/>
                      <w:marBottom w:val="0"/>
                      <w:divBdr>
                        <w:top w:val="none" w:sz="0" w:space="0" w:color="auto"/>
                        <w:left w:val="none" w:sz="0" w:space="0" w:color="auto"/>
                        <w:bottom w:val="none" w:sz="0" w:space="0" w:color="auto"/>
                        <w:right w:val="none" w:sz="0" w:space="0" w:color="auto"/>
                      </w:divBdr>
                      <w:divsChild>
                        <w:div w:id="294139191">
                          <w:marLeft w:val="0"/>
                          <w:marRight w:val="0"/>
                          <w:marTop w:val="0"/>
                          <w:marBottom w:val="0"/>
                          <w:divBdr>
                            <w:top w:val="none" w:sz="0" w:space="0" w:color="auto"/>
                            <w:left w:val="none" w:sz="0" w:space="0" w:color="auto"/>
                            <w:bottom w:val="none" w:sz="0" w:space="0" w:color="auto"/>
                            <w:right w:val="none" w:sz="0" w:space="0" w:color="auto"/>
                          </w:divBdr>
                        </w:div>
                      </w:divsChild>
                    </w:div>
                    <w:div w:id="294152122">
                      <w:marLeft w:val="0"/>
                      <w:marRight w:val="0"/>
                      <w:marTop w:val="0"/>
                      <w:marBottom w:val="0"/>
                      <w:divBdr>
                        <w:top w:val="none" w:sz="0" w:space="0" w:color="auto"/>
                        <w:left w:val="none" w:sz="0" w:space="0" w:color="auto"/>
                        <w:bottom w:val="none" w:sz="0" w:space="0" w:color="auto"/>
                        <w:right w:val="none" w:sz="0" w:space="0" w:color="auto"/>
                      </w:divBdr>
                    </w:div>
                    <w:div w:id="294152183">
                      <w:marLeft w:val="0"/>
                      <w:marRight w:val="0"/>
                      <w:marTop w:val="0"/>
                      <w:marBottom w:val="0"/>
                      <w:divBdr>
                        <w:top w:val="none" w:sz="0" w:space="0" w:color="auto"/>
                        <w:left w:val="none" w:sz="0" w:space="0" w:color="auto"/>
                        <w:bottom w:val="none" w:sz="0" w:space="0" w:color="auto"/>
                        <w:right w:val="none" w:sz="0" w:space="0" w:color="auto"/>
                      </w:divBdr>
                      <w:divsChild>
                        <w:div w:id="294141995">
                          <w:marLeft w:val="0"/>
                          <w:marRight w:val="0"/>
                          <w:marTop w:val="0"/>
                          <w:marBottom w:val="0"/>
                          <w:divBdr>
                            <w:top w:val="none" w:sz="0" w:space="0" w:color="auto"/>
                            <w:left w:val="none" w:sz="0" w:space="0" w:color="auto"/>
                            <w:bottom w:val="none" w:sz="0" w:space="0" w:color="auto"/>
                            <w:right w:val="none" w:sz="0" w:space="0" w:color="auto"/>
                          </w:divBdr>
                        </w:div>
                      </w:divsChild>
                    </w:div>
                    <w:div w:id="294152184">
                      <w:marLeft w:val="0"/>
                      <w:marRight w:val="0"/>
                      <w:marTop w:val="0"/>
                      <w:marBottom w:val="0"/>
                      <w:divBdr>
                        <w:top w:val="none" w:sz="0" w:space="0" w:color="auto"/>
                        <w:left w:val="none" w:sz="0" w:space="0" w:color="auto"/>
                        <w:bottom w:val="none" w:sz="0" w:space="0" w:color="auto"/>
                        <w:right w:val="none" w:sz="0" w:space="0" w:color="auto"/>
                      </w:divBdr>
                    </w:div>
                    <w:div w:id="294152227">
                      <w:marLeft w:val="0"/>
                      <w:marRight w:val="0"/>
                      <w:marTop w:val="0"/>
                      <w:marBottom w:val="0"/>
                      <w:divBdr>
                        <w:top w:val="none" w:sz="0" w:space="0" w:color="auto"/>
                        <w:left w:val="none" w:sz="0" w:space="0" w:color="auto"/>
                        <w:bottom w:val="none" w:sz="0" w:space="0" w:color="auto"/>
                        <w:right w:val="none" w:sz="0" w:space="0" w:color="auto"/>
                      </w:divBdr>
                    </w:div>
                    <w:div w:id="294152290">
                      <w:marLeft w:val="0"/>
                      <w:marRight w:val="0"/>
                      <w:marTop w:val="0"/>
                      <w:marBottom w:val="0"/>
                      <w:divBdr>
                        <w:top w:val="none" w:sz="0" w:space="0" w:color="auto"/>
                        <w:left w:val="none" w:sz="0" w:space="0" w:color="auto"/>
                        <w:bottom w:val="none" w:sz="0" w:space="0" w:color="auto"/>
                        <w:right w:val="none" w:sz="0" w:space="0" w:color="auto"/>
                      </w:divBdr>
                    </w:div>
                    <w:div w:id="294152326">
                      <w:marLeft w:val="0"/>
                      <w:marRight w:val="0"/>
                      <w:marTop w:val="0"/>
                      <w:marBottom w:val="0"/>
                      <w:divBdr>
                        <w:top w:val="none" w:sz="0" w:space="0" w:color="auto"/>
                        <w:left w:val="none" w:sz="0" w:space="0" w:color="auto"/>
                        <w:bottom w:val="none" w:sz="0" w:space="0" w:color="auto"/>
                        <w:right w:val="none" w:sz="0" w:space="0" w:color="auto"/>
                      </w:divBdr>
                      <w:divsChild>
                        <w:div w:id="294156416">
                          <w:marLeft w:val="0"/>
                          <w:marRight w:val="0"/>
                          <w:marTop w:val="0"/>
                          <w:marBottom w:val="0"/>
                          <w:divBdr>
                            <w:top w:val="none" w:sz="0" w:space="0" w:color="auto"/>
                            <w:left w:val="none" w:sz="0" w:space="0" w:color="auto"/>
                            <w:bottom w:val="none" w:sz="0" w:space="0" w:color="auto"/>
                            <w:right w:val="none" w:sz="0" w:space="0" w:color="auto"/>
                          </w:divBdr>
                        </w:div>
                      </w:divsChild>
                    </w:div>
                    <w:div w:id="294152492">
                      <w:marLeft w:val="0"/>
                      <w:marRight w:val="0"/>
                      <w:marTop w:val="0"/>
                      <w:marBottom w:val="0"/>
                      <w:divBdr>
                        <w:top w:val="none" w:sz="0" w:space="0" w:color="auto"/>
                        <w:left w:val="none" w:sz="0" w:space="0" w:color="auto"/>
                        <w:bottom w:val="none" w:sz="0" w:space="0" w:color="auto"/>
                        <w:right w:val="none" w:sz="0" w:space="0" w:color="auto"/>
                      </w:divBdr>
                      <w:divsChild>
                        <w:div w:id="294146783">
                          <w:marLeft w:val="0"/>
                          <w:marRight w:val="0"/>
                          <w:marTop w:val="0"/>
                          <w:marBottom w:val="0"/>
                          <w:divBdr>
                            <w:top w:val="none" w:sz="0" w:space="0" w:color="auto"/>
                            <w:left w:val="none" w:sz="0" w:space="0" w:color="auto"/>
                            <w:bottom w:val="none" w:sz="0" w:space="0" w:color="auto"/>
                            <w:right w:val="none" w:sz="0" w:space="0" w:color="auto"/>
                          </w:divBdr>
                        </w:div>
                      </w:divsChild>
                    </w:div>
                    <w:div w:id="294152508">
                      <w:marLeft w:val="0"/>
                      <w:marRight w:val="0"/>
                      <w:marTop w:val="0"/>
                      <w:marBottom w:val="0"/>
                      <w:divBdr>
                        <w:top w:val="none" w:sz="0" w:space="0" w:color="auto"/>
                        <w:left w:val="none" w:sz="0" w:space="0" w:color="auto"/>
                        <w:bottom w:val="none" w:sz="0" w:space="0" w:color="auto"/>
                        <w:right w:val="none" w:sz="0" w:space="0" w:color="auto"/>
                      </w:divBdr>
                    </w:div>
                    <w:div w:id="294152543">
                      <w:marLeft w:val="0"/>
                      <w:marRight w:val="0"/>
                      <w:marTop w:val="0"/>
                      <w:marBottom w:val="0"/>
                      <w:divBdr>
                        <w:top w:val="none" w:sz="0" w:space="0" w:color="auto"/>
                        <w:left w:val="none" w:sz="0" w:space="0" w:color="auto"/>
                        <w:bottom w:val="none" w:sz="0" w:space="0" w:color="auto"/>
                        <w:right w:val="none" w:sz="0" w:space="0" w:color="auto"/>
                      </w:divBdr>
                      <w:divsChild>
                        <w:div w:id="294153477">
                          <w:marLeft w:val="0"/>
                          <w:marRight w:val="0"/>
                          <w:marTop w:val="0"/>
                          <w:marBottom w:val="0"/>
                          <w:divBdr>
                            <w:top w:val="none" w:sz="0" w:space="0" w:color="auto"/>
                            <w:left w:val="none" w:sz="0" w:space="0" w:color="auto"/>
                            <w:bottom w:val="none" w:sz="0" w:space="0" w:color="auto"/>
                            <w:right w:val="none" w:sz="0" w:space="0" w:color="auto"/>
                          </w:divBdr>
                        </w:div>
                      </w:divsChild>
                    </w:div>
                    <w:div w:id="294152544">
                      <w:marLeft w:val="0"/>
                      <w:marRight w:val="0"/>
                      <w:marTop w:val="0"/>
                      <w:marBottom w:val="0"/>
                      <w:divBdr>
                        <w:top w:val="none" w:sz="0" w:space="0" w:color="auto"/>
                        <w:left w:val="none" w:sz="0" w:space="0" w:color="auto"/>
                        <w:bottom w:val="none" w:sz="0" w:space="0" w:color="auto"/>
                        <w:right w:val="none" w:sz="0" w:space="0" w:color="auto"/>
                      </w:divBdr>
                    </w:div>
                    <w:div w:id="294152560">
                      <w:marLeft w:val="0"/>
                      <w:marRight w:val="0"/>
                      <w:marTop w:val="0"/>
                      <w:marBottom w:val="0"/>
                      <w:divBdr>
                        <w:top w:val="none" w:sz="0" w:space="0" w:color="auto"/>
                        <w:left w:val="none" w:sz="0" w:space="0" w:color="auto"/>
                        <w:bottom w:val="none" w:sz="0" w:space="0" w:color="auto"/>
                        <w:right w:val="none" w:sz="0" w:space="0" w:color="auto"/>
                      </w:divBdr>
                    </w:div>
                    <w:div w:id="294152567">
                      <w:marLeft w:val="0"/>
                      <w:marRight w:val="0"/>
                      <w:marTop w:val="0"/>
                      <w:marBottom w:val="0"/>
                      <w:divBdr>
                        <w:top w:val="none" w:sz="0" w:space="0" w:color="auto"/>
                        <w:left w:val="none" w:sz="0" w:space="0" w:color="auto"/>
                        <w:bottom w:val="none" w:sz="0" w:space="0" w:color="auto"/>
                        <w:right w:val="none" w:sz="0" w:space="0" w:color="auto"/>
                      </w:divBdr>
                    </w:div>
                    <w:div w:id="294152609">
                      <w:marLeft w:val="0"/>
                      <w:marRight w:val="0"/>
                      <w:marTop w:val="0"/>
                      <w:marBottom w:val="0"/>
                      <w:divBdr>
                        <w:top w:val="none" w:sz="0" w:space="0" w:color="auto"/>
                        <w:left w:val="none" w:sz="0" w:space="0" w:color="auto"/>
                        <w:bottom w:val="none" w:sz="0" w:space="0" w:color="auto"/>
                        <w:right w:val="none" w:sz="0" w:space="0" w:color="auto"/>
                      </w:divBdr>
                    </w:div>
                    <w:div w:id="294152613">
                      <w:marLeft w:val="0"/>
                      <w:marRight w:val="0"/>
                      <w:marTop w:val="0"/>
                      <w:marBottom w:val="0"/>
                      <w:divBdr>
                        <w:top w:val="none" w:sz="0" w:space="0" w:color="auto"/>
                        <w:left w:val="none" w:sz="0" w:space="0" w:color="auto"/>
                        <w:bottom w:val="none" w:sz="0" w:space="0" w:color="auto"/>
                        <w:right w:val="none" w:sz="0" w:space="0" w:color="auto"/>
                      </w:divBdr>
                    </w:div>
                    <w:div w:id="294152672">
                      <w:marLeft w:val="0"/>
                      <w:marRight w:val="0"/>
                      <w:marTop w:val="0"/>
                      <w:marBottom w:val="0"/>
                      <w:divBdr>
                        <w:top w:val="none" w:sz="0" w:space="0" w:color="auto"/>
                        <w:left w:val="none" w:sz="0" w:space="0" w:color="auto"/>
                        <w:bottom w:val="none" w:sz="0" w:space="0" w:color="auto"/>
                        <w:right w:val="none" w:sz="0" w:space="0" w:color="auto"/>
                      </w:divBdr>
                    </w:div>
                    <w:div w:id="294152719">
                      <w:marLeft w:val="0"/>
                      <w:marRight w:val="0"/>
                      <w:marTop w:val="0"/>
                      <w:marBottom w:val="0"/>
                      <w:divBdr>
                        <w:top w:val="none" w:sz="0" w:space="0" w:color="auto"/>
                        <w:left w:val="none" w:sz="0" w:space="0" w:color="auto"/>
                        <w:bottom w:val="none" w:sz="0" w:space="0" w:color="auto"/>
                        <w:right w:val="none" w:sz="0" w:space="0" w:color="auto"/>
                      </w:divBdr>
                    </w:div>
                    <w:div w:id="294152753">
                      <w:marLeft w:val="0"/>
                      <w:marRight w:val="0"/>
                      <w:marTop w:val="0"/>
                      <w:marBottom w:val="0"/>
                      <w:divBdr>
                        <w:top w:val="none" w:sz="0" w:space="0" w:color="auto"/>
                        <w:left w:val="none" w:sz="0" w:space="0" w:color="auto"/>
                        <w:bottom w:val="none" w:sz="0" w:space="0" w:color="auto"/>
                        <w:right w:val="none" w:sz="0" w:space="0" w:color="auto"/>
                      </w:divBdr>
                    </w:div>
                    <w:div w:id="294152826">
                      <w:marLeft w:val="0"/>
                      <w:marRight w:val="0"/>
                      <w:marTop w:val="0"/>
                      <w:marBottom w:val="0"/>
                      <w:divBdr>
                        <w:top w:val="none" w:sz="0" w:space="0" w:color="auto"/>
                        <w:left w:val="none" w:sz="0" w:space="0" w:color="auto"/>
                        <w:bottom w:val="none" w:sz="0" w:space="0" w:color="auto"/>
                        <w:right w:val="none" w:sz="0" w:space="0" w:color="auto"/>
                      </w:divBdr>
                    </w:div>
                    <w:div w:id="294152905">
                      <w:marLeft w:val="0"/>
                      <w:marRight w:val="0"/>
                      <w:marTop w:val="0"/>
                      <w:marBottom w:val="0"/>
                      <w:divBdr>
                        <w:top w:val="none" w:sz="0" w:space="0" w:color="auto"/>
                        <w:left w:val="none" w:sz="0" w:space="0" w:color="auto"/>
                        <w:bottom w:val="none" w:sz="0" w:space="0" w:color="auto"/>
                        <w:right w:val="none" w:sz="0" w:space="0" w:color="auto"/>
                      </w:divBdr>
                      <w:divsChild>
                        <w:div w:id="294145163">
                          <w:marLeft w:val="0"/>
                          <w:marRight w:val="0"/>
                          <w:marTop w:val="0"/>
                          <w:marBottom w:val="0"/>
                          <w:divBdr>
                            <w:top w:val="none" w:sz="0" w:space="0" w:color="auto"/>
                            <w:left w:val="none" w:sz="0" w:space="0" w:color="auto"/>
                            <w:bottom w:val="none" w:sz="0" w:space="0" w:color="auto"/>
                            <w:right w:val="none" w:sz="0" w:space="0" w:color="auto"/>
                          </w:divBdr>
                        </w:div>
                      </w:divsChild>
                    </w:div>
                    <w:div w:id="294152911">
                      <w:marLeft w:val="0"/>
                      <w:marRight w:val="0"/>
                      <w:marTop w:val="0"/>
                      <w:marBottom w:val="0"/>
                      <w:divBdr>
                        <w:top w:val="none" w:sz="0" w:space="0" w:color="auto"/>
                        <w:left w:val="none" w:sz="0" w:space="0" w:color="auto"/>
                        <w:bottom w:val="none" w:sz="0" w:space="0" w:color="auto"/>
                        <w:right w:val="none" w:sz="0" w:space="0" w:color="auto"/>
                      </w:divBdr>
                      <w:divsChild>
                        <w:div w:id="294148935">
                          <w:marLeft w:val="0"/>
                          <w:marRight w:val="0"/>
                          <w:marTop w:val="0"/>
                          <w:marBottom w:val="0"/>
                          <w:divBdr>
                            <w:top w:val="none" w:sz="0" w:space="0" w:color="auto"/>
                            <w:left w:val="none" w:sz="0" w:space="0" w:color="auto"/>
                            <w:bottom w:val="none" w:sz="0" w:space="0" w:color="auto"/>
                            <w:right w:val="none" w:sz="0" w:space="0" w:color="auto"/>
                          </w:divBdr>
                        </w:div>
                      </w:divsChild>
                    </w:div>
                    <w:div w:id="294152928">
                      <w:marLeft w:val="0"/>
                      <w:marRight w:val="0"/>
                      <w:marTop w:val="0"/>
                      <w:marBottom w:val="0"/>
                      <w:divBdr>
                        <w:top w:val="none" w:sz="0" w:space="0" w:color="auto"/>
                        <w:left w:val="none" w:sz="0" w:space="0" w:color="auto"/>
                        <w:bottom w:val="none" w:sz="0" w:space="0" w:color="auto"/>
                        <w:right w:val="none" w:sz="0" w:space="0" w:color="auto"/>
                      </w:divBdr>
                      <w:divsChild>
                        <w:div w:id="294140694">
                          <w:marLeft w:val="0"/>
                          <w:marRight w:val="0"/>
                          <w:marTop w:val="0"/>
                          <w:marBottom w:val="0"/>
                          <w:divBdr>
                            <w:top w:val="none" w:sz="0" w:space="0" w:color="auto"/>
                            <w:left w:val="none" w:sz="0" w:space="0" w:color="auto"/>
                            <w:bottom w:val="none" w:sz="0" w:space="0" w:color="auto"/>
                            <w:right w:val="none" w:sz="0" w:space="0" w:color="auto"/>
                          </w:divBdr>
                        </w:div>
                      </w:divsChild>
                    </w:div>
                    <w:div w:id="294152940">
                      <w:marLeft w:val="0"/>
                      <w:marRight w:val="0"/>
                      <w:marTop w:val="0"/>
                      <w:marBottom w:val="0"/>
                      <w:divBdr>
                        <w:top w:val="none" w:sz="0" w:space="0" w:color="auto"/>
                        <w:left w:val="none" w:sz="0" w:space="0" w:color="auto"/>
                        <w:bottom w:val="none" w:sz="0" w:space="0" w:color="auto"/>
                        <w:right w:val="none" w:sz="0" w:space="0" w:color="auto"/>
                      </w:divBdr>
                      <w:divsChild>
                        <w:div w:id="294138163">
                          <w:marLeft w:val="0"/>
                          <w:marRight w:val="0"/>
                          <w:marTop w:val="0"/>
                          <w:marBottom w:val="0"/>
                          <w:divBdr>
                            <w:top w:val="none" w:sz="0" w:space="0" w:color="auto"/>
                            <w:left w:val="none" w:sz="0" w:space="0" w:color="auto"/>
                            <w:bottom w:val="none" w:sz="0" w:space="0" w:color="auto"/>
                            <w:right w:val="none" w:sz="0" w:space="0" w:color="auto"/>
                          </w:divBdr>
                        </w:div>
                      </w:divsChild>
                    </w:div>
                    <w:div w:id="294153059">
                      <w:marLeft w:val="0"/>
                      <w:marRight w:val="0"/>
                      <w:marTop w:val="0"/>
                      <w:marBottom w:val="0"/>
                      <w:divBdr>
                        <w:top w:val="none" w:sz="0" w:space="0" w:color="auto"/>
                        <w:left w:val="none" w:sz="0" w:space="0" w:color="auto"/>
                        <w:bottom w:val="none" w:sz="0" w:space="0" w:color="auto"/>
                        <w:right w:val="none" w:sz="0" w:space="0" w:color="auto"/>
                      </w:divBdr>
                      <w:divsChild>
                        <w:div w:id="294138878">
                          <w:marLeft w:val="0"/>
                          <w:marRight w:val="0"/>
                          <w:marTop w:val="0"/>
                          <w:marBottom w:val="0"/>
                          <w:divBdr>
                            <w:top w:val="none" w:sz="0" w:space="0" w:color="auto"/>
                            <w:left w:val="none" w:sz="0" w:space="0" w:color="auto"/>
                            <w:bottom w:val="none" w:sz="0" w:space="0" w:color="auto"/>
                            <w:right w:val="none" w:sz="0" w:space="0" w:color="auto"/>
                          </w:divBdr>
                        </w:div>
                      </w:divsChild>
                    </w:div>
                    <w:div w:id="294153073">
                      <w:marLeft w:val="0"/>
                      <w:marRight w:val="0"/>
                      <w:marTop w:val="0"/>
                      <w:marBottom w:val="0"/>
                      <w:divBdr>
                        <w:top w:val="none" w:sz="0" w:space="0" w:color="auto"/>
                        <w:left w:val="none" w:sz="0" w:space="0" w:color="auto"/>
                        <w:bottom w:val="none" w:sz="0" w:space="0" w:color="auto"/>
                        <w:right w:val="none" w:sz="0" w:space="0" w:color="auto"/>
                      </w:divBdr>
                      <w:divsChild>
                        <w:div w:id="294147466">
                          <w:marLeft w:val="0"/>
                          <w:marRight w:val="0"/>
                          <w:marTop w:val="0"/>
                          <w:marBottom w:val="0"/>
                          <w:divBdr>
                            <w:top w:val="none" w:sz="0" w:space="0" w:color="auto"/>
                            <w:left w:val="none" w:sz="0" w:space="0" w:color="auto"/>
                            <w:bottom w:val="none" w:sz="0" w:space="0" w:color="auto"/>
                            <w:right w:val="none" w:sz="0" w:space="0" w:color="auto"/>
                          </w:divBdr>
                        </w:div>
                      </w:divsChild>
                    </w:div>
                    <w:div w:id="294153103">
                      <w:marLeft w:val="0"/>
                      <w:marRight w:val="0"/>
                      <w:marTop w:val="0"/>
                      <w:marBottom w:val="0"/>
                      <w:divBdr>
                        <w:top w:val="none" w:sz="0" w:space="0" w:color="auto"/>
                        <w:left w:val="none" w:sz="0" w:space="0" w:color="auto"/>
                        <w:bottom w:val="none" w:sz="0" w:space="0" w:color="auto"/>
                        <w:right w:val="none" w:sz="0" w:space="0" w:color="auto"/>
                      </w:divBdr>
                      <w:divsChild>
                        <w:div w:id="294154630">
                          <w:marLeft w:val="0"/>
                          <w:marRight w:val="0"/>
                          <w:marTop w:val="0"/>
                          <w:marBottom w:val="0"/>
                          <w:divBdr>
                            <w:top w:val="none" w:sz="0" w:space="0" w:color="auto"/>
                            <w:left w:val="none" w:sz="0" w:space="0" w:color="auto"/>
                            <w:bottom w:val="none" w:sz="0" w:space="0" w:color="auto"/>
                            <w:right w:val="none" w:sz="0" w:space="0" w:color="auto"/>
                          </w:divBdr>
                        </w:div>
                      </w:divsChild>
                    </w:div>
                    <w:div w:id="294153115">
                      <w:marLeft w:val="0"/>
                      <w:marRight w:val="0"/>
                      <w:marTop w:val="0"/>
                      <w:marBottom w:val="0"/>
                      <w:divBdr>
                        <w:top w:val="none" w:sz="0" w:space="0" w:color="auto"/>
                        <w:left w:val="none" w:sz="0" w:space="0" w:color="auto"/>
                        <w:bottom w:val="none" w:sz="0" w:space="0" w:color="auto"/>
                        <w:right w:val="none" w:sz="0" w:space="0" w:color="auto"/>
                      </w:divBdr>
                    </w:div>
                    <w:div w:id="294153116">
                      <w:marLeft w:val="0"/>
                      <w:marRight w:val="0"/>
                      <w:marTop w:val="0"/>
                      <w:marBottom w:val="0"/>
                      <w:divBdr>
                        <w:top w:val="none" w:sz="0" w:space="0" w:color="auto"/>
                        <w:left w:val="none" w:sz="0" w:space="0" w:color="auto"/>
                        <w:bottom w:val="none" w:sz="0" w:space="0" w:color="auto"/>
                        <w:right w:val="none" w:sz="0" w:space="0" w:color="auto"/>
                      </w:divBdr>
                      <w:divsChild>
                        <w:div w:id="294153656">
                          <w:marLeft w:val="0"/>
                          <w:marRight w:val="0"/>
                          <w:marTop w:val="0"/>
                          <w:marBottom w:val="0"/>
                          <w:divBdr>
                            <w:top w:val="none" w:sz="0" w:space="0" w:color="auto"/>
                            <w:left w:val="none" w:sz="0" w:space="0" w:color="auto"/>
                            <w:bottom w:val="none" w:sz="0" w:space="0" w:color="auto"/>
                            <w:right w:val="none" w:sz="0" w:space="0" w:color="auto"/>
                          </w:divBdr>
                        </w:div>
                      </w:divsChild>
                    </w:div>
                    <w:div w:id="294153124">
                      <w:marLeft w:val="0"/>
                      <w:marRight w:val="0"/>
                      <w:marTop w:val="0"/>
                      <w:marBottom w:val="0"/>
                      <w:divBdr>
                        <w:top w:val="none" w:sz="0" w:space="0" w:color="auto"/>
                        <w:left w:val="none" w:sz="0" w:space="0" w:color="auto"/>
                        <w:bottom w:val="none" w:sz="0" w:space="0" w:color="auto"/>
                        <w:right w:val="none" w:sz="0" w:space="0" w:color="auto"/>
                      </w:divBdr>
                    </w:div>
                    <w:div w:id="294153228">
                      <w:marLeft w:val="0"/>
                      <w:marRight w:val="0"/>
                      <w:marTop w:val="0"/>
                      <w:marBottom w:val="0"/>
                      <w:divBdr>
                        <w:top w:val="none" w:sz="0" w:space="0" w:color="auto"/>
                        <w:left w:val="none" w:sz="0" w:space="0" w:color="auto"/>
                        <w:bottom w:val="none" w:sz="0" w:space="0" w:color="auto"/>
                        <w:right w:val="none" w:sz="0" w:space="0" w:color="auto"/>
                      </w:divBdr>
                      <w:divsChild>
                        <w:div w:id="294153914">
                          <w:marLeft w:val="0"/>
                          <w:marRight w:val="0"/>
                          <w:marTop w:val="0"/>
                          <w:marBottom w:val="0"/>
                          <w:divBdr>
                            <w:top w:val="none" w:sz="0" w:space="0" w:color="auto"/>
                            <w:left w:val="none" w:sz="0" w:space="0" w:color="auto"/>
                            <w:bottom w:val="none" w:sz="0" w:space="0" w:color="auto"/>
                            <w:right w:val="none" w:sz="0" w:space="0" w:color="auto"/>
                          </w:divBdr>
                        </w:div>
                      </w:divsChild>
                    </w:div>
                    <w:div w:id="294153232">
                      <w:marLeft w:val="0"/>
                      <w:marRight w:val="0"/>
                      <w:marTop w:val="0"/>
                      <w:marBottom w:val="0"/>
                      <w:divBdr>
                        <w:top w:val="none" w:sz="0" w:space="0" w:color="auto"/>
                        <w:left w:val="none" w:sz="0" w:space="0" w:color="auto"/>
                        <w:bottom w:val="none" w:sz="0" w:space="0" w:color="auto"/>
                        <w:right w:val="none" w:sz="0" w:space="0" w:color="auto"/>
                      </w:divBdr>
                      <w:divsChild>
                        <w:div w:id="294149269">
                          <w:marLeft w:val="0"/>
                          <w:marRight w:val="0"/>
                          <w:marTop w:val="0"/>
                          <w:marBottom w:val="0"/>
                          <w:divBdr>
                            <w:top w:val="none" w:sz="0" w:space="0" w:color="auto"/>
                            <w:left w:val="none" w:sz="0" w:space="0" w:color="auto"/>
                            <w:bottom w:val="none" w:sz="0" w:space="0" w:color="auto"/>
                            <w:right w:val="none" w:sz="0" w:space="0" w:color="auto"/>
                          </w:divBdr>
                        </w:div>
                      </w:divsChild>
                    </w:div>
                    <w:div w:id="294153233">
                      <w:marLeft w:val="0"/>
                      <w:marRight w:val="0"/>
                      <w:marTop w:val="0"/>
                      <w:marBottom w:val="0"/>
                      <w:divBdr>
                        <w:top w:val="none" w:sz="0" w:space="0" w:color="auto"/>
                        <w:left w:val="none" w:sz="0" w:space="0" w:color="auto"/>
                        <w:bottom w:val="none" w:sz="0" w:space="0" w:color="auto"/>
                        <w:right w:val="none" w:sz="0" w:space="0" w:color="auto"/>
                      </w:divBdr>
                    </w:div>
                    <w:div w:id="294153235">
                      <w:marLeft w:val="0"/>
                      <w:marRight w:val="0"/>
                      <w:marTop w:val="0"/>
                      <w:marBottom w:val="0"/>
                      <w:divBdr>
                        <w:top w:val="none" w:sz="0" w:space="0" w:color="auto"/>
                        <w:left w:val="none" w:sz="0" w:space="0" w:color="auto"/>
                        <w:bottom w:val="none" w:sz="0" w:space="0" w:color="auto"/>
                        <w:right w:val="none" w:sz="0" w:space="0" w:color="auto"/>
                      </w:divBdr>
                      <w:divsChild>
                        <w:div w:id="294150081">
                          <w:marLeft w:val="0"/>
                          <w:marRight w:val="0"/>
                          <w:marTop w:val="0"/>
                          <w:marBottom w:val="0"/>
                          <w:divBdr>
                            <w:top w:val="none" w:sz="0" w:space="0" w:color="auto"/>
                            <w:left w:val="none" w:sz="0" w:space="0" w:color="auto"/>
                            <w:bottom w:val="none" w:sz="0" w:space="0" w:color="auto"/>
                            <w:right w:val="none" w:sz="0" w:space="0" w:color="auto"/>
                          </w:divBdr>
                        </w:div>
                      </w:divsChild>
                    </w:div>
                    <w:div w:id="294153251">
                      <w:marLeft w:val="0"/>
                      <w:marRight w:val="0"/>
                      <w:marTop w:val="0"/>
                      <w:marBottom w:val="0"/>
                      <w:divBdr>
                        <w:top w:val="none" w:sz="0" w:space="0" w:color="auto"/>
                        <w:left w:val="none" w:sz="0" w:space="0" w:color="auto"/>
                        <w:bottom w:val="none" w:sz="0" w:space="0" w:color="auto"/>
                        <w:right w:val="none" w:sz="0" w:space="0" w:color="auto"/>
                      </w:divBdr>
                      <w:divsChild>
                        <w:div w:id="294151315">
                          <w:marLeft w:val="0"/>
                          <w:marRight w:val="0"/>
                          <w:marTop w:val="0"/>
                          <w:marBottom w:val="0"/>
                          <w:divBdr>
                            <w:top w:val="none" w:sz="0" w:space="0" w:color="auto"/>
                            <w:left w:val="none" w:sz="0" w:space="0" w:color="auto"/>
                            <w:bottom w:val="none" w:sz="0" w:space="0" w:color="auto"/>
                            <w:right w:val="none" w:sz="0" w:space="0" w:color="auto"/>
                          </w:divBdr>
                        </w:div>
                      </w:divsChild>
                    </w:div>
                    <w:div w:id="294153261">
                      <w:marLeft w:val="0"/>
                      <w:marRight w:val="0"/>
                      <w:marTop w:val="0"/>
                      <w:marBottom w:val="0"/>
                      <w:divBdr>
                        <w:top w:val="none" w:sz="0" w:space="0" w:color="auto"/>
                        <w:left w:val="none" w:sz="0" w:space="0" w:color="auto"/>
                        <w:bottom w:val="none" w:sz="0" w:space="0" w:color="auto"/>
                        <w:right w:val="none" w:sz="0" w:space="0" w:color="auto"/>
                      </w:divBdr>
                    </w:div>
                    <w:div w:id="294153266">
                      <w:marLeft w:val="0"/>
                      <w:marRight w:val="0"/>
                      <w:marTop w:val="0"/>
                      <w:marBottom w:val="0"/>
                      <w:divBdr>
                        <w:top w:val="none" w:sz="0" w:space="0" w:color="auto"/>
                        <w:left w:val="none" w:sz="0" w:space="0" w:color="auto"/>
                        <w:bottom w:val="none" w:sz="0" w:space="0" w:color="auto"/>
                        <w:right w:val="none" w:sz="0" w:space="0" w:color="auto"/>
                      </w:divBdr>
                    </w:div>
                    <w:div w:id="294153378">
                      <w:marLeft w:val="0"/>
                      <w:marRight w:val="0"/>
                      <w:marTop w:val="0"/>
                      <w:marBottom w:val="0"/>
                      <w:divBdr>
                        <w:top w:val="none" w:sz="0" w:space="0" w:color="auto"/>
                        <w:left w:val="none" w:sz="0" w:space="0" w:color="auto"/>
                        <w:bottom w:val="none" w:sz="0" w:space="0" w:color="auto"/>
                        <w:right w:val="none" w:sz="0" w:space="0" w:color="auto"/>
                      </w:divBdr>
                    </w:div>
                    <w:div w:id="294153420">
                      <w:marLeft w:val="0"/>
                      <w:marRight w:val="0"/>
                      <w:marTop w:val="0"/>
                      <w:marBottom w:val="0"/>
                      <w:divBdr>
                        <w:top w:val="none" w:sz="0" w:space="0" w:color="auto"/>
                        <w:left w:val="none" w:sz="0" w:space="0" w:color="auto"/>
                        <w:bottom w:val="none" w:sz="0" w:space="0" w:color="auto"/>
                        <w:right w:val="none" w:sz="0" w:space="0" w:color="auto"/>
                      </w:divBdr>
                      <w:divsChild>
                        <w:div w:id="294146872">
                          <w:marLeft w:val="0"/>
                          <w:marRight w:val="0"/>
                          <w:marTop w:val="0"/>
                          <w:marBottom w:val="0"/>
                          <w:divBdr>
                            <w:top w:val="none" w:sz="0" w:space="0" w:color="auto"/>
                            <w:left w:val="none" w:sz="0" w:space="0" w:color="auto"/>
                            <w:bottom w:val="none" w:sz="0" w:space="0" w:color="auto"/>
                            <w:right w:val="none" w:sz="0" w:space="0" w:color="auto"/>
                          </w:divBdr>
                        </w:div>
                      </w:divsChild>
                    </w:div>
                    <w:div w:id="294153494">
                      <w:marLeft w:val="0"/>
                      <w:marRight w:val="0"/>
                      <w:marTop w:val="0"/>
                      <w:marBottom w:val="0"/>
                      <w:divBdr>
                        <w:top w:val="none" w:sz="0" w:space="0" w:color="auto"/>
                        <w:left w:val="none" w:sz="0" w:space="0" w:color="auto"/>
                        <w:bottom w:val="none" w:sz="0" w:space="0" w:color="auto"/>
                        <w:right w:val="none" w:sz="0" w:space="0" w:color="auto"/>
                      </w:divBdr>
                      <w:divsChild>
                        <w:div w:id="294156817">
                          <w:marLeft w:val="0"/>
                          <w:marRight w:val="0"/>
                          <w:marTop w:val="0"/>
                          <w:marBottom w:val="0"/>
                          <w:divBdr>
                            <w:top w:val="none" w:sz="0" w:space="0" w:color="auto"/>
                            <w:left w:val="none" w:sz="0" w:space="0" w:color="auto"/>
                            <w:bottom w:val="none" w:sz="0" w:space="0" w:color="auto"/>
                            <w:right w:val="none" w:sz="0" w:space="0" w:color="auto"/>
                          </w:divBdr>
                        </w:div>
                      </w:divsChild>
                    </w:div>
                    <w:div w:id="294153518">
                      <w:marLeft w:val="0"/>
                      <w:marRight w:val="0"/>
                      <w:marTop w:val="0"/>
                      <w:marBottom w:val="0"/>
                      <w:divBdr>
                        <w:top w:val="none" w:sz="0" w:space="0" w:color="auto"/>
                        <w:left w:val="none" w:sz="0" w:space="0" w:color="auto"/>
                        <w:bottom w:val="none" w:sz="0" w:space="0" w:color="auto"/>
                        <w:right w:val="none" w:sz="0" w:space="0" w:color="auto"/>
                      </w:divBdr>
                    </w:div>
                    <w:div w:id="294153545">
                      <w:marLeft w:val="0"/>
                      <w:marRight w:val="0"/>
                      <w:marTop w:val="0"/>
                      <w:marBottom w:val="0"/>
                      <w:divBdr>
                        <w:top w:val="none" w:sz="0" w:space="0" w:color="auto"/>
                        <w:left w:val="none" w:sz="0" w:space="0" w:color="auto"/>
                        <w:bottom w:val="none" w:sz="0" w:space="0" w:color="auto"/>
                        <w:right w:val="none" w:sz="0" w:space="0" w:color="auto"/>
                      </w:divBdr>
                      <w:divsChild>
                        <w:div w:id="294149739">
                          <w:marLeft w:val="0"/>
                          <w:marRight w:val="0"/>
                          <w:marTop w:val="0"/>
                          <w:marBottom w:val="0"/>
                          <w:divBdr>
                            <w:top w:val="none" w:sz="0" w:space="0" w:color="auto"/>
                            <w:left w:val="none" w:sz="0" w:space="0" w:color="auto"/>
                            <w:bottom w:val="none" w:sz="0" w:space="0" w:color="auto"/>
                            <w:right w:val="none" w:sz="0" w:space="0" w:color="auto"/>
                          </w:divBdr>
                        </w:div>
                      </w:divsChild>
                    </w:div>
                    <w:div w:id="294153584">
                      <w:marLeft w:val="0"/>
                      <w:marRight w:val="0"/>
                      <w:marTop w:val="0"/>
                      <w:marBottom w:val="0"/>
                      <w:divBdr>
                        <w:top w:val="none" w:sz="0" w:space="0" w:color="auto"/>
                        <w:left w:val="none" w:sz="0" w:space="0" w:color="auto"/>
                        <w:bottom w:val="none" w:sz="0" w:space="0" w:color="auto"/>
                        <w:right w:val="none" w:sz="0" w:space="0" w:color="auto"/>
                      </w:divBdr>
                    </w:div>
                    <w:div w:id="294153592">
                      <w:marLeft w:val="0"/>
                      <w:marRight w:val="0"/>
                      <w:marTop w:val="0"/>
                      <w:marBottom w:val="0"/>
                      <w:divBdr>
                        <w:top w:val="none" w:sz="0" w:space="0" w:color="auto"/>
                        <w:left w:val="none" w:sz="0" w:space="0" w:color="auto"/>
                        <w:bottom w:val="none" w:sz="0" w:space="0" w:color="auto"/>
                        <w:right w:val="none" w:sz="0" w:space="0" w:color="auto"/>
                      </w:divBdr>
                    </w:div>
                    <w:div w:id="294153594">
                      <w:marLeft w:val="0"/>
                      <w:marRight w:val="0"/>
                      <w:marTop w:val="0"/>
                      <w:marBottom w:val="0"/>
                      <w:divBdr>
                        <w:top w:val="none" w:sz="0" w:space="0" w:color="auto"/>
                        <w:left w:val="none" w:sz="0" w:space="0" w:color="auto"/>
                        <w:bottom w:val="none" w:sz="0" w:space="0" w:color="auto"/>
                        <w:right w:val="none" w:sz="0" w:space="0" w:color="auto"/>
                      </w:divBdr>
                      <w:divsChild>
                        <w:div w:id="294150371">
                          <w:marLeft w:val="0"/>
                          <w:marRight w:val="0"/>
                          <w:marTop w:val="0"/>
                          <w:marBottom w:val="0"/>
                          <w:divBdr>
                            <w:top w:val="none" w:sz="0" w:space="0" w:color="auto"/>
                            <w:left w:val="none" w:sz="0" w:space="0" w:color="auto"/>
                            <w:bottom w:val="none" w:sz="0" w:space="0" w:color="auto"/>
                            <w:right w:val="none" w:sz="0" w:space="0" w:color="auto"/>
                          </w:divBdr>
                        </w:div>
                      </w:divsChild>
                    </w:div>
                    <w:div w:id="294153607">
                      <w:marLeft w:val="0"/>
                      <w:marRight w:val="0"/>
                      <w:marTop w:val="0"/>
                      <w:marBottom w:val="0"/>
                      <w:divBdr>
                        <w:top w:val="none" w:sz="0" w:space="0" w:color="auto"/>
                        <w:left w:val="none" w:sz="0" w:space="0" w:color="auto"/>
                        <w:bottom w:val="none" w:sz="0" w:space="0" w:color="auto"/>
                        <w:right w:val="none" w:sz="0" w:space="0" w:color="auto"/>
                      </w:divBdr>
                      <w:divsChild>
                        <w:div w:id="294150968">
                          <w:marLeft w:val="0"/>
                          <w:marRight w:val="0"/>
                          <w:marTop w:val="0"/>
                          <w:marBottom w:val="0"/>
                          <w:divBdr>
                            <w:top w:val="none" w:sz="0" w:space="0" w:color="auto"/>
                            <w:left w:val="none" w:sz="0" w:space="0" w:color="auto"/>
                            <w:bottom w:val="none" w:sz="0" w:space="0" w:color="auto"/>
                            <w:right w:val="none" w:sz="0" w:space="0" w:color="auto"/>
                          </w:divBdr>
                        </w:div>
                      </w:divsChild>
                    </w:div>
                    <w:div w:id="294153647">
                      <w:marLeft w:val="0"/>
                      <w:marRight w:val="0"/>
                      <w:marTop w:val="0"/>
                      <w:marBottom w:val="0"/>
                      <w:divBdr>
                        <w:top w:val="none" w:sz="0" w:space="0" w:color="auto"/>
                        <w:left w:val="none" w:sz="0" w:space="0" w:color="auto"/>
                        <w:bottom w:val="none" w:sz="0" w:space="0" w:color="auto"/>
                        <w:right w:val="none" w:sz="0" w:space="0" w:color="auto"/>
                      </w:divBdr>
                    </w:div>
                    <w:div w:id="294153742">
                      <w:marLeft w:val="0"/>
                      <w:marRight w:val="0"/>
                      <w:marTop w:val="0"/>
                      <w:marBottom w:val="0"/>
                      <w:divBdr>
                        <w:top w:val="none" w:sz="0" w:space="0" w:color="auto"/>
                        <w:left w:val="none" w:sz="0" w:space="0" w:color="auto"/>
                        <w:bottom w:val="none" w:sz="0" w:space="0" w:color="auto"/>
                        <w:right w:val="none" w:sz="0" w:space="0" w:color="auto"/>
                      </w:divBdr>
                    </w:div>
                    <w:div w:id="294153748">
                      <w:marLeft w:val="0"/>
                      <w:marRight w:val="0"/>
                      <w:marTop w:val="0"/>
                      <w:marBottom w:val="0"/>
                      <w:divBdr>
                        <w:top w:val="none" w:sz="0" w:space="0" w:color="auto"/>
                        <w:left w:val="none" w:sz="0" w:space="0" w:color="auto"/>
                        <w:bottom w:val="none" w:sz="0" w:space="0" w:color="auto"/>
                        <w:right w:val="none" w:sz="0" w:space="0" w:color="auto"/>
                      </w:divBdr>
                      <w:divsChild>
                        <w:div w:id="294153817">
                          <w:marLeft w:val="0"/>
                          <w:marRight w:val="0"/>
                          <w:marTop w:val="0"/>
                          <w:marBottom w:val="0"/>
                          <w:divBdr>
                            <w:top w:val="none" w:sz="0" w:space="0" w:color="auto"/>
                            <w:left w:val="none" w:sz="0" w:space="0" w:color="auto"/>
                            <w:bottom w:val="none" w:sz="0" w:space="0" w:color="auto"/>
                            <w:right w:val="none" w:sz="0" w:space="0" w:color="auto"/>
                          </w:divBdr>
                        </w:div>
                      </w:divsChild>
                    </w:div>
                    <w:div w:id="294153764">
                      <w:marLeft w:val="0"/>
                      <w:marRight w:val="0"/>
                      <w:marTop w:val="0"/>
                      <w:marBottom w:val="0"/>
                      <w:divBdr>
                        <w:top w:val="none" w:sz="0" w:space="0" w:color="auto"/>
                        <w:left w:val="none" w:sz="0" w:space="0" w:color="auto"/>
                        <w:bottom w:val="none" w:sz="0" w:space="0" w:color="auto"/>
                        <w:right w:val="none" w:sz="0" w:space="0" w:color="auto"/>
                      </w:divBdr>
                    </w:div>
                    <w:div w:id="294153822">
                      <w:marLeft w:val="0"/>
                      <w:marRight w:val="0"/>
                      <w:marTop w:val="0"/>
                      <w:marBottom w:val="0"/>
                      <w:divBdr>
                        <w:top w:val="none" w:sz="0" w:space="0" w:color="auto"/>
                        <w:left w:val="none" w:sz="0" w:space="0" w:color="auto"/>
                        <w:bottom w:val="none" w:sz="0" w:space="0" w:color="auto"/>
                        <w:right w:val="none" w:sz="0" w:space="0" w:color="auto"/>
                      </w:divBdr>
                      <w:divsChild>
                        <w:div w:id="294155162">
                          <w:marLeft w:val="0"/>
                          <w:marRight w:val="0"/>
                          <w:marTop w:val="0"/>
                          <w:marBottom w:val="0"/>
                          <w:divBdr>
                            <w:top w:val="none" w:sz="0" w:space="0" w:color="auto"/>
                            <w:left w:val="none" w:sz="0" w:space="0" w:color="auto"/>
                            <w:bottom w:val="none" w:sz="0" w:space="0" w:color="auto"/>
                            <w:right w:val="none" w:sz="0" w:space="0" w:color="auto"/>
                          </w:divBdr>
                        </w:div>
                      </w:divsChild>
                    </w:div>
                    <w:div w:id="294153864">
                      <w:marLeft w:val="0"/>
                      <w:marRight w:val="0"/>
                      <w:marTop w:val="0"/>
                      <w:marBottom w:val="0"/>
                      <w:divBdr>
                        <w:top w:val="none" w:sz="0" w:space="0" w:color="auto"/>
                        <w:left w:val="none" w:sz="0" w:space="0" w:color="auto"/>
                        <w:bottom w:val="none" w:sz="0" w:space="0" w:color="auto"/>
                        <w:right w:val="none" w:sz="0" w:space="0" w:color="auto"/>
                      </w:divBdr>
                      <w:divsChild>
                        <w:div w:id="294143674">
                          <w:marLeft w:val="0"/>
                          <w:marRight w:val="0"/>
                          <w:marTop w:val="0"/>
                          <w:marBottom w:val="0"/>
                          <w:divBdr>
                            <w:top w:val="none" w:sz="0" w:space="0" w:color="auto"/>
                            <w:left w:val="none" w:sz="0" w:space="0" w:color="auto"/>
                            <w:bottom w:val="none" w:sz="0" w:space="0" w:color="auto"/>
                            <w:right w:val="none" w:sz="0" w:space="0" w:color="auto"/>
                          </w:divBdr>
                        </w:div>
                      </w:divsChild>
                    </w:div>
                    <w:div w:id="294153867">
                      <w:marLeft w:val="0"/>
                      <w:marRight w:val="0"/>
                      <w:marTop w:val="0"/>
                      <w:marBottom w:val="0"/>
                      <w:divBdr>
                        <w:top w:val="none" w:sz="0" w:space="0" w:color="auto"/>
                        <w:left w:val="none" w:sz="0" w:space="0" w:color="auto"/>
                        <w:bottom w:val="none" w:sz="0" w:space="0" w:color="auto"/>
                        <w:right w:val="none" w:sz="0" w:space="0" w:color="auto"/>
                      </w:divBdr>
                      <w:divsChild>
                        <w:div w:id="294139856">
                          <w:marLeft w:val="0"/>
                          <w:marRight w:val="0"/>
                          <w:marTop w:val="0"/>
                          <w:marBottom w:val="0"/>
                          <w:divBdr>
                            <w:top w:val="none" w:sz="0" w:space="0" w:color="auto"/>
                            <w:left w:val="none" w:sz="0" w:space="0" w:color="auto"/>
                            <w:bottom w:val="none" w:sz="0" w:space="0" w:color="auto"/>
                            <w:right w:val="none" w:sz="0" w:space="0" w:color="auto"/>
                          </w:divBdr>
                        </w:div>
                      </w:divsChild>
                    </w:div>
                    <w:div w:id="294153922">
                      <w:marLeft w:val="0"/>
                      <w:marRight w:val="0"/>
                      <w:marTop w:val="0"/>
                      <w:marBottom w:val="0"/>
                      <w:divBdr>
                        <w:top w:val="none" w:sz="0" w:space="0" w:color="auto"/>
                        <w:left w:val="none" w:sz="0" w:space="0" w:color="auto"/>
                        <w:bottom w:val="none" w:sz="0" w:space="0" w:color="auto"/>
                        <w:right w:val="none" w:sz="0" w:space="0" w:color="auto"/>
                      </w:divBdr>
                      <w:divsChild>
                        <w:div w:id="294147570">
                          <w:marLeft w:val="0"/>
                          <w:marRight w:val="0"/>
                          <w:marTop w:val="0"/>
                          <w:marBottom w:val="0"/>
                          <w:divBdr>
                            <w:top w:val="none" w:sz="0" w:space="0" w:color="auto"/>
                            <w:left w:val="none" w:sz="0" w:space="0" w:color="auto"/>
                            <w:bottom w:val="none" w:sz="0" w:space="0" w:color="auto"/>
                            <w:right w:val="none" w:sz="0" w:space="0" w:color="auto"/>
                          </w:divBdr>
                        </w:div>
                      </w:divsChild>
                    </w:div>
                    <w:div w:id="294153940">
                      <w:marLeft w:val="0"/>
                      <w:marRight w:val="0"/>
                      <w:marTop w:val="0"/>
                      <w:marBottom w:val="0"/>
                      <w:divBdr>
                        <w:top w:val="none" w:sz="0" w:space="0" w:color="auto"/>
                        <w:left w:val="none" w:sz="0" w:space="0" w:color="auto"/>
                        <w:bottom w:val="none" w:sz="0" w:space="0" w:color="auto"/>
                        <w:right w:val="none" w:sz="0" w:space="0" w:color="auto"/>
                      </w:divBdr>
                    </w:div>
                    <w:div w:id="294153964">
                      <w:marLeft w:val="0"/>
                      <w:marRight w:val="0"/>
                      <w:marTop w:val="0"/>
                      <w:marBottom w:val="0"/>
                      <w:divBdr>
                        <w:top w:val="none" w:sz="0" w:space="0" w:color="auto"/>
                        <w:left w:val="none" w:sz="0" w:space="0" w:color="auto"/>
                        <w:bottom w:val="none" w:sz="0" w:space="0" w:color="auto"/>
                        <w:right w:val="none" w:sz="0" w:space="0" w:color="auto"/>
                      </w:divBdr>
                    </w:div>
                    <w:div w:id="294154029">
                      <w:marLeft w:val="0"/>
                      <w:marRight w:val="0"/>
                      <w:marTop w:val="0"/>
                      <w:marBottom w:val="0"/>
                      <w:divBdr>
                        <w:top w:val="none" w:sz="0" w:space="0" w:color="auto"/>
                        <w:left w:val="none" w:sz="0" w:space="0" w:color="auto"/>
                        <w:bottom w:val="none" w:sz="0" w:space="0" w:color="auto"/>
                        <w:right w:val="none" w:sz="0" w:space="0" w:color="auto"/>
                      </w:divBdr>
                    </w:div>
                    <w:div w:id="294154062">
                      <w:marLeft w:val="0"/>
                      <w:marRight w:val="0"/>
                      <w:marTop w:val="0"/>
                      <w:marBottom w:val="0"/>
                      <w:divBdr>
                        <w:top w:val="none" w:sz="0" w:space="0" w:color="auto"/>
                        <w:left w:val="none" w:sz="0" w:space="0" w:color="auto"/>
                        <w:bottom w:val="none" w:sz="0" w:space="0" w:color="auto"/>
                        <w:right w:val="none" w:sz="0" w:space="0" w:color="auto"/>
                      </w:divBdr>
                    </w:div>
                    <w:div w:id="294154137">
                      <w:marLeft w:val="0"/>
                      <w:marRight w:val="0"/>
                      <w:marTop w:val="0"/>
                      <w:marBottom w:val="0"/>
                      <w:divBdr>
                        <w:top w:val="none" w:sz="0" w:space="0" w:color="auto"/>
                        <w:left w:val="none" w:sz="0" w:space="0" w:color="auto"/>
                        <w:bottom w:val="none" w:sz="0" w:space="0" w:color="auto"/>
                        <w:right w:val="none" w:sz="0" w:space="0" w:color="auto"/>
                      </w:divBdr>
                    </w:div>
                    <w:div w:id="294154174">
                      <w:marLeft w:val="0"/>
                      <w:marRight w:val="0"/>
                      <w:marTop w:val="0"/>
                      <w:marBottom w:val="0"/>
                      <w:divBdr>
                        <w:top w:val="none" w:sz="0" w:space="0" w:color="auto"/>
                        <w:left w:val="none" w:sz="0" w:space="0" w:color="auto"/>
                        <w:bottom w:val="none" w:sz="0" w:space="0" w:color="auto"/>
                        <w:right w:val="none" w:sz="0" w:space="0" w:color="auto"/>
                      </w:divBdr>
                      <w:divsChild>
                        <w:div w:id="294155110">
                          <w:marLeft w:val="0"/>
                          <w:marRight w:val="0"/>
                          <w:marTop w:val="0"/>
                          <w:marBottom w:val="0"/>
                          <w:divBdr>
                            <w:top w:val="none" w:sz="0" w:space="0" w:color="auto"/>
                            <w:left w:val="none" w:sz="0" w:space="0" w:color="auto"/>
                            <w:bottom w:val="none" w:sz="0" w:space="0" w:color="auto"/>
                            <w:right w:val="none" w:sz="0" w:space="0" w:color="auto"/>
                          </w:divBdr>
                        </w:div>
                      </w:divsChild>
                    </w:div>
                    <w:div w:id="294154204">
                      <w:marLeft w:val="0"/>
                      <w:marRight w:val="0"/>
                      <w:marTop w:val="0"/>
                      <w:marBottom w:val="0"/>
                      <w:divBdr>
                        <w:top w:val="none" w:sz="0" w:space="0" w:color="auto"/>
                        <w:left w:val="none" w:sz="0" w:space="0" w:color="auto"/>
                        <w:bottom w:val="none" w:sz="0" w:space="0" w:color="auto"/>
                        <w:right w:val="none" w:sz="0" w:space="0" w:color="auto"/>
                      </w:divBdr>
                      <w:divsChild>
                        <w:div w:id="294155371">
                          <w:marLeft w:val="0"/>
                          <w:marRight w:val="0"/>
                          <w:marTop w:val="0"/>
                          <w:marBottom w:val="0"/>
                          <w:divBdr>
                            <w:top w:val="none" w:sz="0" w:space="0" w:color="auto"/>
                            <w:left w:val="none" w:sz="0" w:space="0" w:color="auto"/>
                            <w:bottom w:val="none" w:sz="0" w:space="0" w:color="auto"/>
                            <w:right w:val="none" w:sz="0" w:space="0" w:color="auto"/>
                          </w:divBdr>
                        </w:div>
                      </w:divsChild>
                    </w:div>
                    <w:div w:id="294154226">
                      <w:marLeft w:val="0"/>
                      <w:marRight w:val="0"/>
                      <w:marTop w:val="0"/>
                      <w:marBottom w:val="0"/>
                      <w:divBdr>
                        <w:top w:val="none" w:sz="0" w:space="0" w:color="auto"/>
                        <w:left w:val="none" w:sz="0" w:space="0" w:color="auto"/>
                        <w:bottom w:val="none" w:sz="0" w:space="0" w:color="auto"/>
                        <w:right w:val="none" w:sz="0" w:space="0" w:color="auto"/>
                      </w:divBdr>
                      <w:divsChild>
                        <w:div w:id="294151393">
                          <w:marLeft w:val="0"/>
                          <w:marRight w:val="0"/>
                          <w:marTop w:val="0"/>
                          <w:marBottom w:val="0"/>
                          <w:divBdr>
                            <w:top w:val="none" w:sz="0" w:space="0" w:color="auto"/>
                            <w:left w:val="none" w:sz="0" w:space="0" w:color="auto"/>
                            <w:bottom w:val="none" w:sz="0" w:space="0" w:color="auto"/>
                            <w:right w:val="none" w:sz="0" w:space="0" w:color="auto"/>
                          </w:divBdr>
                        </w:div>
                      </w:divsChild>
                    </w:div>
                    <w:div w:id="294154311">
                      <w:marLeft w:val="0"/>
                      <w:marRight w:val="0"/>
                      <w:marTop w:val="0"/>
                      <w:marBottom w:val="0"/>
                      <w:divBdr>
                        <w:top w:val="none" w:sz="0" w:space="0" w:color="auto"/>
                        <w:left w:val="none" w:sz="0" w:space="0" w:color="auto"/>
                        <w:bottom w:val="none" w:sz="0" w:space="0" w:color="auto"/>
                        <w:right w:val="none" w:sz="0" w:space="0" w:color="auto"/>
                      </w:divBdr>
                    </w:div>
                    <w:div w:id="294154312">
                      <w:marLeft w:val="0"/>
                      <w:marRight w:val="0"/>
                      <w:marTop w:val="0"/>
                      <w:marBottom w:val="0"/>
                      <w:divBdr>
                        <w:top w:val="none" w:sz="0" w:space="0" w:color="auto"/>
                        <w:left w:val="none" w:sz="0" w:space="0" w:color="auto"/>
                        <w:bottom w:val="none" w:sz="0" w:space="0" w:color="auto"/>
                        <w:right w:val="none" w:sz="0" w:space="0" w:color="auto"/>
                      </w:divBdr>
                    </w:div>
                    <w:div w:id="294154402">
                      <w:marLeft w:val="0"/>
                      <w:marRight w:val="0"/>
                      <w:marTop w:val="0"/>
                      <w:marBottom w:val="0"/>
                      <w:divBdr>
                        <w:top w:val="none" w:sz="0" w:space="0" w:color="auto"/>
                        <w:left w:val="none" w:sz="0" w:space="0" w:color="auto"/>
                        <w:bottom w:val="none" w:sz="0" w:space="0" w:color="auto"/>
                        <w:right w:val="none" w:sz="0" w:space="0" w:color="auto"/>
                      </w:divBdr>
                    </w:div>
                    <w:div w:id="294154513">
                      <w:marLeft w:val="0"/>
                      <w:marRight w:val="0"/>
                      <w:marTop w:val="0"/>
                      <w:marBottom w:val="0"/>
                      <w:divBdr>
                        <w:top w:val="none" w:sz="0" w:space="0" w:color="auto"/>
                        <w:left w:val="none" w:sz="0" w:space="0" w:color="auto"/>
                        <w:bottom w:val="none" w:sz="0" w:space="0" w:color="auto"/>
                        <w:right w:val="none" w:sz="0" w:space="0" w:color="auto"/>
                      </w:divBdr>
                    </w:div>
                    <w:div w:id="294154524">
                      <w:marLeft w:val="0"/>
                      <w:marRight w:val="0"/>
                      <w:marTop w:val="0"/>
                      <w:marBottom w:val="0"/>
                      <w:divBdr>
                        <w:top w:val="none" w:sz="0" w:space="0" w:color="auto"/>
                        <w:left w:val="none" w:sz="0" w:space="0" w:color="auto"/>
                        <w:bottom w:val="none" w:sz="0" w:space="0" w:color="auto"/>
                        <w:right w:val="none" w:sz="0" w:space="0" w:color="auto"/>
                      </w:divBdr>
                    </w:div>
                    <w:div w:id="294154537">
                      <w:marLeft w:val="0"/>
                      <w:marRight w:val="0"/>
                      <w:marTop w:val="0"/>
                      <w:marBottom w:val="0"/>
                      <w:divBdr>
                        <w:top w:val="none" w:sz="0" w:space="0" w:color="auto"/>
                        <w:left w:val="none" w:sz="0" w:space="0" w:color="auto"/>
                        <w:bottom w:val="none" w:sz="0" w:space="0" w:color="auto"/>
                        <w:right w:val="none" w:sz="0" w:space="0" w:color="auto"/>
                      </w:divBdr>
                    </w:div>
                    <w:div w:id="294154552">
                      <w:marLeft w:val="0"/>
                      <w:marRight w:val="0"/>
                      <w:marTop w:val="0"/>
                      <w:marBottom w:val="0"/>
                      <w:divBdr>
                        <w:top w:val="none" w:sz="0" w:space="0" w:color="auto"/>
                        <w:left w:val="none" w:sz="0" w:space="0" w:color="auto"/>
                        <w:bottom w:val="none" w:sz="0" w:space="0" w:color="auto"/>
                        <w:right w:val="none" w:sz="0" w:space="0" w:color="auto"/>
                      </w:divBdr>
                    </w:div>
                    <w:div w:id="294154565">
                      <w:marLeft w:val="0"/>
                      <w:marRight w:val="0"/>
                      <w:marTop w:val="0"/>
                      <w:marBottom w:val="0"/>
                      <w:divBdr>
                        <w:top w:val="none" w:sz="0" w:space="0" w:color="auto"/>
                        <w:left w:val="none" w:sz="0" w:space="0" w:color="auto"/>
                        <w:bottom w:val="none" w:sz="0" w:space="0" w:color="auto"/>
                        <w:right w:val="none" w:sz="0" w:space="0" w:color="auto"/>
                      </w:divBdr>
                      <w:divsChild>
                        <w:div w:id="294146438">
                          <w:marLeft w:val="0"/>
                          <w:marRight w:val="0"/>
                          <w:marTop w:val="0"/>
                          <w:marBottom w:val="0"/>
                          <w:divBdr>
                            <w:top w:val="none" w:sz="0" w:space="0" w:color="auto"/>
                            <w:left w:val="none" w:sz="0" w:space="0" w:color="auto"/>
                            <w:bottom w:val="none" w:sz="0" w:space="0" w:color="auto"/>
                            <w:right w:val="none" w:sz="0" w:space="0" w:color="auto"/>
                          </w:divBdr>
                        </w:div>
                      </w:divsChild>
                    </w:div>
                    <w:div w:id="294154584">
                      <w:marLeft w:val="0"/>
                      <w:marRight w:val="0"/>
                      <w:marTop w:val="0"/>
                      <w:marBottom w:val="0"/>
                      <w:divBdr>
                        <w:top w:val="none" w:sz="0" w:space="0" w:color="auto"/>
                        <w:left w:val="none" w:sz="0" w:space="0" w:color="auto"/>
                        <w:bottom w:val="none" w:sz="0" w:space="0" w:color="auto"/>
                        <w:right w:val="none" w:sz="0" w:space="0" w:color="auto"/>
                      </w:divBdr>
                      <w:divsChild>
                        <w:div w:id="294145042">
                          <w:marLeft w:val="0"/>
                          <w:marRight w:val="0"/>
                          <w:marTop w:val="0"/>
                          <w:marBottom w:val="0"/>
                          <w:divBdr>
                            <w:top w:val="none" w:sz="0" w:space="0" w:color="auto"/>
                            <w:left w:val="none" w:sz="0" w:space="0" w:color="auto"/>
                            <w:bottom w:val="none" w:sz="0" w:space="0" w:color="auto"/>
                            <w:right w:val="none" w:sz="0" w:space="0" w:color="auto"/>
                          </w:divBdr>
                        </w:div>
                      </w:divsChild>
                    </w:div>
                    <w:div w:id="294154613">
                      <w:marLeft w:val="0"/>
                      <w:marRight w:val="0"/>
                      <w:marTop w:val="0"/>
                      <w:marBottom w:val="0"/>
                      <w:divBdr>
                        <w:top w:val="none" w:sz="0" w:space="0" w:color="auto"/>
                        <w:left w:val="none" w:sz="0" w:space="0" w:color="auto"/>
                        <w:bottom w:val="none" w:sz="0" w:space="0" w:color="auto"/>
                        <w:right w:val="none" w:sz="0" w:space="0" w:color="auto"/>
                      </w:divBdr>
                    </w:div>
                    <w:div w:id="294154653">
                      <w:marLeft w:val="0"/>
                      <w:marRight w:val="0"/>
                      <w:marTop w:val="0"/>
                      <w:marBottom w:val="0"/>
                      <w:divBdr>
                        <w:top w:val="none" w:sz="0" w:space="0" w:color="auto"/>
                        <w:left w:val="none" w:sz="0" w:space="0" w:color="auto"/>
                        <w:bottom w:val="none" w:sz="0" w:space="0" w:color="auto"/>
                        <w:right w:val="none" w:sz="0" w:space="0" w:color="auto"/>
                      </w:divBdr>
                      <w:divsChild>
                        <w:div w:id="294155082">
                          <w:marLeft w:val="0"/>
                          <w:marRight w:val="0"/>
                          <w:marTop w:val="0"/>
                          <w:marBottom w:val="0"/>
                          <w:divBdr>
                            <w:top w:val="none" w:sz="0" w:space="0" w:color="auto"/>
                            <w:left w:val="none" w:sz="0" w:space="0" w:color="auto"/>
                            <w:bottom w:val="none" w:sz="0" w:space="0" w:color="auto"/>
                            <w:right w:val="none" w:sz="0" w:space="0" w:color="auto"/>
                          </w:divBdr>
                        </w:div>
                      </w:divsChild>
                    </w:div>
                    <w:div w:id="294154656">
                      <w:marLeft w:val="0"/>
                      <w:marRight w:val="0"/>
                      <w:marTop w:val="0"/>
                      <w:marBottom w:val="0"/>
                      <w:divBdr>
                        <w:top w:val="none" w:sz="0" w:space="0" w:color="auto"/>
                        <w:left w:val="none" w:sz="0" w:space="0" w:color="auto"/>
                        <w:bottom w:val="none" w:sz="0" w:space="0" w:color="auto"/>
                        <w:right w:val="none" w:sz="0" w:space="0" w:color="auto"/>
                      </w:divBdr>
                    </w:div>
                    <w:div w:id="294154671">
                      <w:marLeft w:val="0"/>
                      <w:marRight w:val="0"/>
                      <w:marTop w:val="0"/>
                      <w:marBottom w:val="0"/>
                      <w:divBdr>
                        <w:top w:val="none" w:sz="0" w:space="0" w:color="auto"/>
                        <w:left w:val="none" w:sz="0" w:space="0" w:color="auto"/>
                        <w:bottom w:val="none" w:sz="0" w:space="0" w:color="auto"/>
                        <w:right w:val="none" w:sz="0" w:space="0" w:color="auto"/>
                      </w:divBdr>
                    </w:div>
                    <w:div w:id="294154696">
                      <w:marLeft w:val="0"/>
                      <w:marRight w:val="0"/>
                      <w:marTop w:val="0"/>
                      <w:marBottom w:val="0"/>
                      <w:divBdr>
                        <w:top w:val="none" w:sz="0" w:space="0" w:color="auto"/>
                        <w:left w:val="none" w:sz="0" w:space="0" w:color="auto"/>
                        <w:bottom w:val="none" w:sz="0" w:space="0" w:color="auto"/>
                        <w:right w:val="none" w:sz="0" w:space="0" w:color="auto"/>
                      </w:divBdr>
                      <w:divsChild>
                        <w:div w:id="294150572">
                          <w:marLeft w:val="0"/>
                          <w:marRight w:val="0"/>
                          <w:marTop w:val="0"/>
                          <w:marBottom w:val="0"/>
                          <w:divBdr>
                            <w:top w:val="none" w:sz="0" w:space="0" w:color="auto"/>
                            <w:left w:val="none" w:sz="0" w:space="0" w:color="auto"/>
                            <w:bottom w:val="none" w:sz="0" w:space="0" w:color="auto"/>
                            <w:right w:val="none" w:sz="0" w:space="0" w:color="auto"/>
                          </w:divBdr>
                        </w:div>
                      </w:divsChild>
                    </w:div>
                    <w:div w:id="294154698">
                      <w:marLeft w:val="0"/>
                      <w:marRight w:val="0"/>
                      <w:marTop w:val="0"/>
                      <w:marBottom w:val="0"/>
                      <w:divBdr>
                        <w:top w:val="none" w:sz="0" w:space="0" w:color="auto"/>
                        <w:left w:val="none" w:sz="0" w:space="0" w:color="auto"/>
                        <w:bottom w:val="none" w:sz="0" w:space="0" w:color="auto"/>
                        <w:right w:val="none" w:sz="0" w:space="0" w:color="auto"/>
                      </w:divBdr>
                    </w:div>
                    <w:div w:id="294154712">
                      <w:marLeft w:val="0"/>
                      <w:marRight w:val="0"/>
                      <w:marTop w:val="0"/>
                      <w:marBottom w:val="0"/>
                      <w:divBdr>
                        <w:top w:val="none" w:sz="0" w:space="0" w:color="auto"/>
                        <w:left w:val="none" w:sz="0" w:space="0" w:color="auto"/>
                        <w:bottom w:val="none" w:sz="0" w:space="0" w:color="auto"/>
                        <w:right w:val="none" w:sz="0" w:space="0" w:color="auto"/>
                      </w:divBdr>
                      <w:divsChild>
                        <w:div w:id="294140197">
                          <w:marLeft w:val="0"/>
                          <w:marRight w:val="0"/>
                          <w:marTop w:val="0"/>
                          <w:marBottom w:val="0"/>
                          <w:divBdr>
                            <w:top w:val="none" w:sz="0" w:space="0" w:color="auto"/>
                            <w:left w:val="none" w:sz="0" w:space="0" w:color="auto"/>
                            <w:bottom w:val="none" w:sz="0" w:space="0" w:color="auto"/>
                            <w:right w:val="none" w:sz="0" w:space="0" w:color="auto"/>
                          </w:divBdr>
                        </w:div>
                      </w:divsChild>
                    </w:div>
                    <w:div w:id="294154752">
                      <w:marLeft w:val="0"/>
                      <w:marRight w:val="0"/>
                      <w:marTop w:val="0"/>
                      <w:marBottom w:val="0"/>
                      <w:divBdr>
                        <w:top w:val="none" w:sz="0" w:space="0" w:color="auto"/>
                        <w:left w:val="none" w:sz="0" w:space="0" w:color="auto"/>
                        <w:bottom w:val="none" w:sz="0" w:space="0" w:color="auto"/>
                        <w:right w:val="none" w:sz="0" w:space="0" w:color="auto"/>
                      </w:divBdr>
                    </w:div>
                    <w:div w:id="294154786">
                      <w:marLeft w:val="0"/>
                      <w:marRight w:val="0"/>
                      <w:marTop w:val="0"/>
                      <w:marBottom w:val="0"/>
                      <w:divBdr>
                        <w:top w:val="none" w:sz="0" w:space="0" w:color="auto"/>
                        <w:left w:val="none" w:sz="0" w:space="0" w:color="auto"/>
                        <w:bottom w:val="none" w:sz="0" w:space="0" w:color="auto"/>
                        <w:right w:val="none" w:sz="0" w:space="0" w:color="auto"/>
                      </w:divBdr>
                    </w:div>
                    <w:div w:id="294154831">
                      <w:marLeft w:val="0"/>
                      <w:marRight w:val="0"/>
                      <w:marTop w:val="0"/>
                      <w:marBottom w:val="0"/>
                      <w:divBdr>
                        <w:top w:val="none" w:sz="0" w:space="0" w:color="auto"/>
                        <w:left w:val="none" w:sz="0" w:space="0" w:color="auto"/>
                        <w:bottom w:val="none" w:sz="0" w:space="0" w:color="auto"/>
                        <w:right w:val="none" w:sz="0" w:space="0" w:color="auto"/>
                      </w:divBdr>
                    </w:div>
                    <w:div w:id="294154841">
                      <w:marLeft w:val="0"/>
                      <w:marRight w:val="0"/>
                      <w:marTop w:val="0"/>
                      <w:marBottom w:val="0"/>
                      <w:divBdr>
                        <w:top w:val="none" w:sz="0" w:space="0" w:color="auto"/>
                        <w:left w:val="none" w:sz="0" w:space="0" w:color="auto"/>
                        <w:bottom w:val="none" w:sz="0" w:space="0" w:color="auto"/>
                        <w:right w:val="none" w:sz="0" w:space="0" w:color="auto"/>
                      </w:divBdr>
                    </w:div>
                    <w:div w:id="294154904">
                      <w:marLeft w:val="0"/>
                      <w:marRight w:val="0"/>
                      <w:marTop w:val="0"/>
                      <w:marBottom w:val="0"/>
                      <w:divBdr>
                        <w:top w:val="none" w:sz="0" w:space="0" w:color="auto"/>
                        <w:left w:val="none" w:sz="0" w:space="0" w:color="auto"/>
                        <w:bottom w:val="none" w:sz="0" w:space="0" w:color="auto"/>
                        <w:right w:val="none" w:sz="0" w:space="0" w:color="auto"/>
                      </w:divBdr>
                    </w:div>
                    <w:div w:id="294154913">
                      <w:marLeft w:val="0"/>
                      <w:marRight w:val="0"/>
                      <w:marTop w:val="0"/>
                      <w:marBottom w:val="0"/>
                      <w:divBdr>
                        <w:top w:val="none" w:sz="0" w:space="0" w:color="auto"/>
                        <w:left w:val="none" w:sz="0" w:space="0" w:color="auto"/>
                        <w:bottom w:val="none" w:sz="0" w:space="0" w:color="auto"/>
                        <w:right w:val="none" w:sz="0" w:space="0" w:color="auto"/>
                      </w:divBdr>
                      <w:divsChild>
                        <w:div w:id="294156266">
                          <w:marLeft w:val="0"/>
                          <w:marRight w:val="0"/>
                          <w:marTop w:val="0"/>
                          <w:marBottom w:val="0"/>
                          <w:divBdr>
                            <w:top w:val="none" w:sz="0" w:space="0" w:color="auto"/>
                            <w:left w:val="none" w:sz="0" w:space="0" w:color="auto"/>
                            <w:bottom w:val="none" w:sz="0" w:space="0" w:color="auto"/>
                            <w:right w:val="none" w:sz="0" w:space="0" w:color="auto"/>
                          </w:divBdr>
                        </w:div>
                      </w:divsChild>
                    </w:div>
                    <w:div w:id="294154973">
                      <w:marLeft w:val="0"/>
                      <w:marRight w:val="0"/>
                      <w:marTop w:val="0"/>
                      <w:marBottom w:val="0"/>
                      <w:divBdr>
                        <w:top w:val="none" w:sz="0" w:space="0" w:color="auto"/>
                        <w:left w:val="none" w:sz="0" w:space="0" w:color="auto"/>
                        <w:bottom w:val="none" w:sz="0" w:space="0" w:color="auto"/>
                        <w:right w:val="none" w:sz="0" w:space="0" w:color="auto"/>
                      </w:divBdr>
                    </w:div>
                    <w:div w:id="294155146">
                      <w:marLeft w:val="0"/>
                      <w:marRight w:val="0"/>
                      <w:marTop w:val="0"/>
                      <w:marBottom w:val="0"/>
                      <w:divBdr>
                        <w:top w:val="none" w:sz="0" w:space="0" w:color="auto"/>
                        <w:left w:val="none" w:sz="0" w:space="0" w:color="auto"/>
                        <w:bottom w:val="none" w:sz="0" w:space="0" w:color="auto"/>
                        <w:right w:val="none" w:sz="0" w:space="0" w:color="auto"/>
                      </w:divBdr>
                    </w:div>
                    <w:div w:id="294155241">
                      <w:marLeft w:val="0"/>
                      <w:marRight w:val="0"/>
                      <w:marTop w:val="0"/>
                      <w:marBottom w:val="0"/>
                      <w:divBdr>
                        <w:top w:val="none" w:sz="0" w:space="0" w:color="auto"/>
                        <w:left w:val="none" w:sz="0" w:space="0" w:color="auto"/>
                        <w:bottom w:val="none" w:sz="0" w:space="0" w:color="auto"/>
                        <w:right w:val="none" w:sz="0" w:space="0" w:color="auto"/>
                      </w:divBdr>
                      <w:divsChild>
                        <w:div w:id="294152399">
                          <w:marLeft w:val="0"/>
                          <w:marRight w:val="0"/>
                          <w:marTop w:val="0"/>
                          <w:marBottom w:val="0"/>
                          <w:divBdr>
                            <w:top w:val="none" w:sz="0" w:space="0" w:color="auto"/>
                            <w:left w:val="none" w:sz="0" w:space="0" w:color="auto"/>
                            <w:bottom w:val="none" w:sz="0" w:space="0" w:color="auto"/>
                            <w:right w:val="none" w:sz="0" w:space="0" w:color="auto"/>
                          </w:divBdr>
                        </w:div>
                      </w:divsChild>
                    </w:div>
                    <w:div w:id="294155243">
                      <w:marLeft w:val="0"/>
                      <w:marRight w:val="0"/>
                      <w:marTop w:val="0"/>
                      <w:marBottom w:val="0"/>
                      <w:divBdr>
                        <w:top w:val="none" w:sz="0" w:space="0" w:color="auto"/>
                        <w:left w:val="none" w:sz="0" w:space="0" w:color="auto"/>
                        <w:bottom w:val="none" w:sz="0" w:space="0" w:color="auto"/>
                        <w:right w:val="none" w:sz="0" w:space="0" w:color="auto"/>
                      </w:divBdr>
                    </w:div>
                    <w:div w:id="294155248">
                      <w:marLeft w:val="0"/>
                      <w:marRight w:val="0"/>
                      <w:marTop w:val="0"/>
                      <w:marBottom w:val="0"/>
                      <w:divBdr>
                        <w:top w:val="none" w:sz="0" w:space="0" w:color="auto"/>
                        <w:left w:val="none" w:sz="0" w:space="0" w:color="auto"/>
                        <w:bottom w:val="none" w:sz="0" w:space="0" w:color="auto"/>
                        <w:right w:val="none" w:sz="0" w:space="0" w:color="auto"/>
                      </w:divBdr>
                      <w:divsChild>
                        <w:div w:id="294138995">
                          <w:marLeft w:val="0"/>
                          <w:marRight w:val="0"/>
                          <w:marTop w:val="0"/>
                          <w:marBottom w:val="0"/>
                          <w:divBdr>
                            <w:top w:val="none" w:sz="0" w:space="0" w:color="auto"/>
                            <w:left w:val="none" w:sz="0" w:space="0" w:color="auto"/>
                            <w:bottom w:val="none" w:sz="0" w:space="0" w:color="auto"/>
                            <w:right w:val="none" w:sz="0" w:space="0" w:color="auto"/>
                          </w:divBdr>
                        </w:div>
                      </w:divsChild>
                    </w:div>
                    <w:div w:id="294155260">
                      <w:marLeft w:val="0"/>
                      <w:marRight w:val="0"/>
                      <w:marTop w:val="0"/>
                      <w:marBottom w:val="0"/>
                      <w:divBdr>
                        <w:top w:val="none" w:sz="0" w:space="0" w:color="auto"/>
                        <w:left w:val="none" w:sz="0" w:space="0" w:color="auto"/>
                        <w:bottom w:val="none" w:sz="0" w:space="0" w:color="auto"/>
                        <w:right w:val="none" w:sz="0" w:space="0" w:color="auto"/>
                      </w:divBdr>
                      <w:divsChild>
                        <w:div w:id="294153082">
                          <w:marLeft w:val="0"/>
                          <w:marRight w:val="0"/>
                          <w:marTop w:val="0"/>
                          <w:marBottom w:val="0"/>
                          <w:divBdr>
                            <w:top w:val="none" w:sz="0" w:space="0" w:color="auto"/>
                            <w:left w:val="none" w:sz="0" w:space="0" w:color="auto"/>
                            <w:bottom w:val="none" w:sz="0" w:space="0" w:color="auto"/>
                            <w:right w:val="none" w:sz="0" w:space="0" w:color="auto"/>
                          </w:divBdr>
                        </w:div>
                      </w:divsChild>
                    </w:div>
                    <w:div w:id="294155350">
                      <w:marLeft w:val="0"/>
                      <w:marRight w:val="0"/>
                      <w:marTop w:val="0"/>
                      <w:marBottom w:val="0"/>
                      <w:divBdr>
                        <w:top w:val="none" w:sz="0" w:space="0" w:color="auto"/>
                        <w:left w:val="none" w:sz="0" w:space="0" w:color="auto"/>
                        <w:bottom w:val="none" w:sz="0" w:space="0" w:color="auto"/>
                        <w:right w:val="none" w:sz="0" w:space="0" w:color="auto"/>
                      </w:divBdr>
                    </w:div>
                    <w:div w:id="294155369">
                      <w:marLeft w:val="0"/>
                      <w:marRight w:val="0"/>
                      <w:marTop w:val="0"/>
                      <w:marBottom w:val="0"/>
                      <w:divBdr>
                        <w:top w:val="none" w:sz="0" w:space="0" w:color="auto"/>
                        <w:left w:val="none" w:sz="0" w:space="0" w:color="auto"/>
                        <w:bottom w:val="none" w:sz="0" w:space="0" w:color="auto"/>
                        <w:right w:val="none" w:sz="0" w:space="0" w:color="auto"/>
                      </w:divBdr>
                    </w:div>
                    <w:div w:id="294155386">
                      <w:marLeft w:val="0"/>
                      <w:marRight w:val="0"/>
                      <w:marTop w:val="0"/>
                      <w:marBottom w:val="0"/>
                      <w:divBdr>
                        <w:top w:val="none" w:sz="0" w:space="0" w:color="auto"/>
                        <w:left w:val="none" w:sz="0" w:space="0" w:color="auto"/>
                        <w:bottom w:val="none" w:sz="0" w:space="0" w:color="auto"/>
                        <w:right w:val="none" w:sz="0" w:space="0" w:color="auto"/>
                      </w:divBdr>
                      <w:divsChild>
                        <w:div w:id="294146616">
                          <w:marLeft w:val="0"/>
                          <w:marRight w:val="0"/>
                          <w:marTop w:val="0"/>
                          <w:marBottom w:val="0"/>
                          <w:divBdr>
                            <w:top w:val="none" w:sz="0" w:space="0" w:color="auto"/>
                            <w:left w:val="none" w:sz="0" w:space="0" w:color="auto"/>
                            <w:bottom w:val="none" w:sz="0" w:space="0" w:color="auto"/>
                            <w:right w:val="none" w:sz="0" w:space="0" w:color="auto"/>
                          </w:divBdr>
                        </w:div>
                      </w:divsChild>
                    </w:div>
                    <w:div w:id="294155405">
                      <w:marLeft w:val="0"/>
                      <w:marRight w:val="0"/>
                      <w:marTop w:val="0"/>
                      <w:marBottom w:val="0"/>
                      <w:divBdr>
                        <w:top w:val="none" w:sz="0" w:space="0" w:color="auto"/>
                        <w:left w:val="none" w:sz="0" w:space="0" w:color="auto"/>
                        <w:bottom w:val="none" w:sz="0" w:space="0" w:color="auto"/>
                        <w:right w:val="none" w:sz="0" w:space="0" w:color="auto"/>
                      </w:divBdr>
                      <w:divsChild>
                        <w:div w:id="294139911">
                          <w:marLeft w:val="0"/>
                          <w:marRight w:val="0"/>
                          <w:marTop w:val="0"/>
                          <w:marBottom w:val="0"/>
                          <w:divBdr>
                            <w:top w:val="none" w:sz="0" w:space="0" w:color="auto"/>
                            <w:left w:val="none" w:sz="0" w:space="0" w:color="auto"/>
                            <w:bottom w:val="none" w:sz="0" w:space="0" w:color="auto"/>
                            <w:right w:val="none" w:sz="0" w:space="0" w:color="auto"/>
                          </w:divBdr>
                        </w:div>
                      </w:divsChild>
                    </w:div>
                    <w:div w:id="294155426">
                      <w:marLeft w:val="0"/>
                      <w:marRight w:val="0"/>
                      <w:marTop w:val="0"/>
                      <w:marBottom w:val="0"/>
                      <w:divBdr>
                        <w:top w:val="none" w:sz="0" w:space="0" w:color="auto"/>
                        <w:left w:val="none" w:sz="0" w:space="0" w:color="auto"/>
                        <w:bottom w:val="none" w:sz="0" w:space="0" w:color="auto"/>
                        <w:right w:val="none" w:sz="0" w:space="0" w:color="auto"/>
                      </w:divBdr>
                    </w:div>
                    <w:div w:id="294155462">
                      <w:marLeft w:val="0"/>
                      <w:marRight w:val="0"/>
                      <w:marTop w:val="0"/>
                      <w:marBottom w:val="0"/>
                      <w:divBdr>
                        <w:top w:val="none" w:sz="0" w:space="0" w:color="auto"/>
                        <w:left w:val="none" w:sz="0" w:space="0" w:color="auto"/>
                        <w:bottom w:val="none" w:sz="0" w:space="0" w:color="auto"/>
                        <w:right w:val="none" w:sz="0" w:space="0" w:color="auto"/>
                      </w:divBdr>
                    </w:div>
                    <w:div w:id="294155482">
                      <w:marLeft w:val="0"/>
                      <w:marRight w:val="0"/>
                      <w:marTop w:val="0"/>
                      <w:marBottom w:val="0"/>
                      <w:divBdr>
                        <w:top w:val="none" w:sz="0" w:space="0" w:color="auto"/>
                        <w:left w:val="none" w:sz="0" w:space="0" w:color="auto"/>
                        <w:bottom w:val="none" w:sz="0" w:space="0" w:color="auto"/>
                        <w:right w:val="none" w:sz="0" w:space="0" w:color="auto"/>
                      </w:divBdr>
                    </w:div>
                    <w:div w:id="294155520">
                      <w:marLeft w:val="0"/>
                      <w:marRight w:val="0"/>
                      <w:marTop w:val="0"/>
                      <w:marBottom w:val="0"/>
                      <w:divBdr>
                        <w:top w:val="none" w:sz="0" w:space="0" w:color="auto"/>
                        <w:left w:val="none" w:sz="0" w:space="0" w:color="auto"/>
                        <w:bottom w:val="none" w:sz="0" w:space="0" w:color="auto"/>
                        <w:right w:val="none" w:sz="0" w:space="0" w:color="auto"/>
                      </w:divBdr>
                      <w:divsChild>
                        <w:div w:id="294143570">
                          <w:marLeft w:val="0"/>
                          <w:marRight w:val="0"/>
                          <w:marTop w:val="0"/>
                          <w:marBottom w:val="0"/>
                          <w:divBdr>
                            <w:top w:val="none" w:sz="0" w:space="0" w:color="auto"/>
                            <w:left w:val="none" w:sz="0" w:space="0" w:color="auto"/>
                            <w:bottom w:val="none" w:sz="0" w:space="0" w:color="auto"/>
                            <w:right w:val="none" w:sz="0" w:space="0" w:color="auto"/>
                          </w:divBdr>
                        </w:div>
                      </w:divsChild>
                    </w:div>
                    <w:div w:id="294155687">
                      <w:marLeft w:val="0"/>
                      <w:marRight w:val="0"/>
                      <w:marTop w:val="0"/>
                      <w:marBottom w:val="0"/>
                      <w:divBdr>
                        <w:top w:val="none" w:sz="0" w:space="0" w:color="auto"/>
                        <w:left w:val="none" w:sz="0" w:space="0" w:color="auto"/>
                        <w:bottom w:val="none" w:sz="0" w:space="0" w:color="auto"/>
                        <w:right w:val="none" w:sz="0" w:space="0" w:color="auto"/>
                      </w:divBdr>
                      <w:divsChild>
                        <w:div w:id="294143338">
                          <w:marLeft w:val="0"/>
                          <w:marRight w:val="0"/>
                          <w:marTop w:val="0"/>
                          <w:marBottom w:val="0"/>
                          <w:divBdr>
                            <w:top w:val="none" w:sz="0" w:space="0" w:color="auto"/>
                            <w:left w:val="none" w:sz="0" w:space="0" w:color="auto"/>
                            <w:bottom w:val="none" w:sz="0" w:space="0" w:color="auto"/>
                            <w:right w:val="none" w:sz="0" w:space="0" w:color="auto"/>
                          </w:divBdr>
                        </w:div>
                      </w:divsChild>
                    </w:div>
                    <w:div w:id="294155703">
                      <w:marLeft w:val="0"/>
                      <w:marRight w:val="0"/>
                      <w:marTop w:val="0"/>
                      <w:marBottom w:val="0"/>
                      <w:divBdr>
                        <w:top w:val="none" w:sz="0" w:space="0" w:color="auto"/>
                        <w:left w:val="none" w:sz="0" w:space="0" w:color="auto"/>
                        <w:bottom w:val="none" w:sz="0" w:space="0" w:color="auto"/>
                        <w:right w:val="none" w:sz="0" w:space="0" w:color="auto"/>
                      </w:divBdr>
                    </w:div>
                    <w:div w:id="294155723">
                      <w:marLeft w:val="0"/>
                      <w:marRight w:val="0"/>
                      <w:marTop w:val="0"/>
                      <w:marBottom w:val="0"/>
                      <w:divBdr>
                        <w:top w:val="none" w:sz="0" w:space="0" w:color="auto"/>
                        <w:left w:val="none" w:sz="0" w:space="0" w:color="auto"/>
                        <w:bottom w:val="none" w:sz="0" w:space="0" w:color="auto"/>
                        <w:right w:val="none" w:sz="0" w:space="0" w:color="auto"/>
                      </w:divBdr>
                      <w:divsChild>
                        <w:div w:id="294157399">
                          <w:marLeft w:val="0"/>
                          <w:marRight w:val="0"/>
                          <w:marTop w:val="0"/>
                          <w:marBottom w:val="0"/>
                          <w:divBdr>
                            <w:top w:val="none" w:sz="0" w:space="0" w:color="auto"/>
                            <w:left w:val="none" w:sz="0" w:space="0" w:color="auto"/>
                            <w:bottom w:val="none" w:sz="0" w:space="0" w:color="auto"/>
                            <w:right w:val="none" w:sz="0" w:space="0" w:color="auto"/>
                          </w:divBdr>
                        </w:div>
                      </w:divsChild>
                    </w:div>
                    <w:div w:id="294155789">
                      <w:marLeft w:val="0"/>
                      <w:marRight w:val="0"/>
                      <w:marTop w:val="0"/>
                      <w:marBottom w:val="0"/>
                      <w:divBdr>
                        <w:top w:val="none" w:sz="0" w:space="0" w:color="auto"/>
                        <w:left w:val="none" w:sz="0" w:space="0" w:color="auto"/>
                        <w:bottom w:val="none" w:sz="0" w:space="0" w:color="auto"/>
                        <w:right w:val="none" w:sz="0" w:space="0" w:color="auto"/>
                      </w:divBdr>
                    </w:div>
                    <w:div w:id="294155809">
                      <w:marLeft w:val="0"/>
                      <w:marRight w:val="0"/>
                      <w:marTop w:val="0"/>
                      <w:marBottom w:val="0"/>
                      <w:divBdr>
                        <w:top w:val="none" w:sz="0" w:space="0" w:color="auto"/>
                        <w:left w:val="none" w:sz="0" w:space="0" w:color="auto"/>
                        <w:bottom w:val="none" w:sz="0" w:space="0" w:color="auto"/>
                        <w:right w:val="none" w:sz="0" w:space="0" w:color="auto"/>
                      </w:divBdr>
                      <w:divsChild>
                        <w:div w:id="294148003">
                          <w:marLeft w:val="0"/>
                          <w:marRight w:val="0"/>
                          <w:marTop w:val="0"/>
                          <w:marBottom w:val="0"/>
                          <w:divBdr>
                            <w:top w:val="none" w:sz="0" w:space="0" w:color="auto"/>
                            <w:left w:val="none" w:sz="0" w:space="0" w:color="auto"/>
                            <w:bottom w:val="none" w:sz="0" w:space="0" w:color="auto"/>
                            <w:right w:val="none" w:sz="0" w:space="0" w:color="auto"/>
                          </w:divBdr>
                        </w:div>
                      </w:divsChild>
                    </w:div>
                    <w:div w:id="294155814">
                      <w:marLeft w:val="0"/>
                      <w:marRight w:val="0"/>
                      <w:marTop w:val="0"/>
                      <w:marBottom w:val="0"/>
                      <w:divBdr>
                        <w:top w:val="none" w:sz="0" w:space="0" w:color="auto"/>
                        <w:left w:val="none" w:sz="0" w:space="0" w:color="auto"/>
                        <w:bottom w:val="none" w:sz="0" w:space="0" w:color="auto"/>
                        <w:right w:val="none" w:sz="0" w:space="0" w:color="auto"/>
                      </w:divBdr>
                    </w:div>
                    <w:div w:id="294155825">
                      <w:marLeft w:val="0"/>
                      <w:marRight w:val="0"/>
                      <w:marTop w:val="0"/>
                      <w:marBottom w:val="0"/>
                      <w:divBdr>
                        <w:top w:val="none" w:sz="0" w:space="0" w:color="auto"/>
                        <w:left w:val="none" w:sz="0" w:space="0" w:color="auto"/>
                        <w:bottom w:val="none" w:sz="0" w:space="0" w:color="auto"/>
                        <w:right w:val="none" w:sz="0" w:space="0" w:color="auto"/>
                      </w:divBdr>
                    </w:div>
                    <w:div w:id="294155866">
                      <w:marLeft w:val="0"/>
                      <w:marRight w:val="0"/>
                      <w:marTop w:val="0"/>
                      <w:marBottom w:val="0"/>
                      <w:divBdr>
                        <w:top w:val="none" w:sz="0" w:space="0" w:color="auto"/>
                        <w:left w:val="none" w:sz="0" w:space="0" w:color="auto"/>
                        <w:bottom w:val="none" w:sz="0" w:space="0" w:color="auto"/>
                        <w:right w:val="none" w:sz="0" w:space="0" w:color="auto"/>
                      </w:divBdr>
                      <w:divsChild>
                        <w:div w:id="294141997">
                          <w:marLeft w:val="0"/>
                          <w:marRight w:val="0"/>
                          <w:marTop w:val="0"/>
                          <w:marBottom w:val="0"/>
                          <w:divBdr>
                            <w:top w:val="none" w:sz="0" w:space="0" w:color="auto"/>
                            <w:left w:val="none" w:sz="0" w:space="0" w:color="auto"/>
                            <w:bottom w:val="none" w:sz="0" w:space="0" w:color="auto"/>
                            <w:right w:val="none" w:sz="0" w:space="0" w:color="auto"/>
                          </w:divBdr>
                        </w:div>
                      </w:divsChild>
                    </w:div>
                    <w:div w:id="294155909">
                      <w:marLeft w:val="0"/>
                      <w:marRight w:val="0"/>
                      <w:marTop w:val="0"/>
                      <w:marBottom w:val="0"/>
                      <w:divBdr>
                        <w:top w:val="none" w:sz="0" w:space="0" w:color="auto"/>
                        <w:left w:val="none" w:sz="0" w:space="0" w:color="auto"/>
                        <w:bottom w:val="none" w:sz="0" w:space="0" w:color="auto"/>
                        <w:right w:val="none" w:sz="0" w:space="0" w:color="auto"/>
                      </w:divBdr>
                      <w:divsChild>
                        <w:div w:id="294139363">
                          <w:marLeft w:val="0"/>
                          <w:marRight w:val="0"/>
                          <w:marTop w:val="0"/>
                          <w:marBottom w:val="0"/>
                          <w:divBdr>
                            <w:top w:val="none" w:sz="0" w:space="0" w:color="auto"/>
                            <w:left w:val="none" w:sz="0" w:space="0" w:color="auto"/>
                            <w:bottom w:val="none" w:sz="0" w:space="0" w:color="auto"/>
                            <w:right w:val="none" w:sz="0" w:space="0" w:color="auto"/>
                          </w:divBdr>
                        </w:div>
                      </w:divsChild>
                    </w:div>
                    <w:div w:id="294156023">
                      <w:marLeft w:val="0"/>
                      <w:marRight w:val="0"/>
                      <w:marTop w:val="0"/>
                      <w:marBottom w:val="0"/>
                      <w:divBdr>
                        <w:top w:val="none" w:sz="0" w:space="0" w:color="auto"/>
                        <w:left w:val="none" w:sz="0" w:space="0" w:color="auto"/>
                        <w:bottom w:val="none" w:sz="0" w:space="0" w:color="auto"/>
                        <w:right w:val="none" w:sz="0" w:space="0" w:color="auto"/>
                      </w:divBdr>
                    </w:div>
                    <w:div w:id="294156043">
                      <w:marLeft w:val="0"/>
                      <w:marRight w:val="0"/>
                      <w:marTop w:val="0"/>
                      <w:marBottom w:val="0"/>
                      <w:divBdr>
                        <w:top w:val="none" w:sz="0" w:space="0" w:color="auto"/>
                        <w:left w:val="none" w:sz="0" w:space="0" w:color="auto"/>
                        <w:bottom w:val="none" w:sz="0" w:space="0" w:color="auto"/>
                        <w:right w:val="none" w:sz="0" w:space="0" w:color="auto"/>
                      </w:divBdr>
                    </w:div>
                    <w:div w:id="294156066">
                      <w:marLeft w:val="0"/>
                      <w:marRight w:val="0"/>
                      <w:marTop w:val="0"/>
                      <w:marBottom w:val="0"/>
                      <w:divBdr>
                        <w:top w:val="none" w:sz="0" w:space="0" w:color="auto"/>
                        <w:left w:val="none" w:sz="0" w:space="0" w:color="auto"/>
                        <w:bottom w:val="none" w:sz="0" w:space="0" w:color="auto"/>
                        <w:right w:val="none" w:sz="0" w:space="0" w:color="auto"/>
                      </w:divBdr>
                    </w:div>
                    <w:div w:id="294156227">
                      <w:marLeft w:val="0"/>
                      <w:marRight w:val="0"/>
                      <w:marTop w:val="0"/>
                      <w:marBottom w:val="0"/>
                      <w:divBdr>
                        <w:top w:val="none" w:sz="0" w:space="0" w:color="auto"/>
                        <w:left w:val="none" w:sz="0" w:space="0" w:color="auto"/>
                        <w:bottom w:val="none" w:sz="0" w:space="0" w:color="auto"/>
                        <w:right w:val="none" w:sz="0" w:space="0" w:color="auto"/>
                      </w:divBdr>
                      <w:divsChild>
                        <w:div w:id="294144285">
                          <w:marLeft w:val="0"/>
                          <w:marRight w:val="0"/>
                          <w:marTop w:val="0"/>
                          <w:marBottom w:val="0"/>
                          <w:divBdr>
                            <w:top w:val="none" w:sz="0" w:space="0" w:color="auto"/>
                            <w:left w:val="none" w:sz="0" w:space="0" w:color="auto"/>
                            <w:bottom w:val="none" w:sz="0" w:space="0" w:color="auto"/>
                            <w:right w:val="none" w:sz="0" w:space="0" w:color="auto"/>
                          </w:divBdr>
                        </w:div>
                      </w:divsChild>
                    </w:div>
                    <w:div w:id="294156261">
                      <w:marLeft w:val="0"/>
                      <w:marRight w:val="0"/>
                      <w:marTop w:val="0"/>
                      <w:marBottom w:val="0"/>
                      <w:divBdr>
                        <w:top w:val="none" w:sz="0" w:space="0" w:color="auto"/>
                        <w:left w:val="none" w:sz="0" w:space="0" w:color="auto"/>
                        <w:bottom w:val="none" w:sz="0" w:space="0" w:color="auto"/>
                        <w:right w:val="none" w:sz="0" w:space="0" w:color="auto"/>
                      </w:divBdr>
                      <w:divsChild>
                        <w:div w:id="294147510">
                          <w:marLeft w:val="0"/>
                          <w:marRight w:val="0"/>
                          <w:marTop w:val="0"/>
                          <w:marBottom w:val="0"/>
                          <w:divBdr>
                            <w:top w:val="none" w:sz="0" w:space="0" w:color="auto"/>
                            <w:left w:val="none" w:sz="0" w:space="0" w:color="auto"/>
                            <w:bottom w:val="none" w:sz="0" w:space="0" w:color="auto"/>
                            <w:right w:val="none" w:sz="0" w:space="0" w:color="auto"/>
                          </w:divBdr>
                        </w:div>
                      </w:divsChild>
                    </w:div>
                    <w:div w:id="294156308">
                      <w:marLeft w:val="0"/>
                      <w:marRight w:val="0"/>
                      <w:marTop w:val="0"/>
                      <w:marBottom w:val="0"/>
                      <w:divBdr>
                        <w:top w:val="none" w:sz="0" w:space="0" w:color="auto"/>
                        <w:left w:val="none" w:sz="0" w:space="0" w:color="auto"/>
                        <w:bottom w:val="none" w:sz="0" w:space="0" w:color="auto"/>
                        <w:right w:val="none" w:sz="0" w:space="0" w:color="auto"/>
                      </w:divBdr>
                      <w:divsChild>
                        <w:div w:id="294150640">
                          <w:marLeft w:val="0"/>
                          <w:marRight w:val="0"/>
                          <w:marTop w:val="0"/>
                          <w:marBottom w:val="0"/>
                          <w:divBdr>
                            <w:top w:val="none" w:sz="0" w:space="0" w:color="auto"/>
                            <w:left w:val="none" w:sz="0" w:space="0" w:color="auto"/>
                            <w:bottom w:val="none" w:sz="0" w:space="0" w:color="auto"/>
                            <w:right w:val="none" w:sz="0" w:space="0" w:color="auto"/>
                          </w:divBdr>
                        </w:div>
                      </w:divsChild>
                    </w:div>
                    <w:div w:id="294156356">
                      <w:marLeft w:val="0"/>
                      <w:marRight w:val="0"/>
                      <w:marTop w:val="0"/>
                      <w:marBottom w:val="0"/>
                      <w:divBdr>
                        <w:top w:val="none" w:sz="0" w:space="0" w:color="auto"/>
                        <w:left w:val="none" w:sz="0" w:space="0" w:color="auto"/>
                        <w:bottom w:val="none" w:sz="0" w:space="0" w:color="auto"/>
                        <w:right w:val="none" w:sz="0" w:space="0" w:color="auto"/>
                      </w:divBdr>
                      <w:divsChild>
                        <w:div w:id="294149825">
                          <w:marLeft w:val="0"/>
                          <w:marRight w:val="0"/>
                          <w:marTop w:val="0"/>
                          <w:marBottom w:val="0"/>
                          <w:divBdr>
                            <w:top w:val="none" w:sz="0" w:space="0" w:color="auto"/>
                            <w:left w:val="none" w:sz="0" w:space="0" w:color="auto"/>
                            <w:bottom w:val="none" w:sz="0" w:space="0" w:color="auto"/>
                            <w:right w:val="none" w:sz="0" w:space="0" w:color="auto"/>
                          </w:divBdr>
                        </w:div>
                      </w:divsChild>
                    </w:div>
                    <w:div w:id="294156395">
                      <w:marLeft w:val="0"/>
                      <w:marRight w:val="0"/>
                      <w:marTop w:val="0"/>
                      <w:marBottom w:val="0"/>
                      <w:divBdr>
                        <w:top w:val="none" w:sz="0" w:space="0" w:color="auto"/>
                        <w:left w:val="none" w:sz="0" w:space="0" w:color="auto"/>
                        <w:bottom w:val="none" w:sz="0" w:space="0" w:color="auto"/>
                        <w:right w:val="none" w:sz="0" w:space="0" w:color="auto"/>
                      </w:divBdr>
                      <w:divsChild>
                        <w:div w:id="294153439">
                          <w:marLeft w:val="0"/>
                          <w:marRight w:val="0"/>
                          <w:marTop w:val="0"/>
                          <w:marBottom w:val="0"/>
                          <w:divBdr>
                            <w:top w:val="none" w:sz="0" w:space="0" w:color="auto"/>
                            <w:left w:val="none" w:sz="0" w:space="0" w:color="auto"/>
                            <w:bottom w:val="none" w:sz="0" w:space="0" w:color="auto"/>
                            <w:right w:val="none" w:sz="0" w:space="0" w:color="auto"/>
                          </w:divBdr>
                        </w:div>
                      </w:divsChild>
                    </w:div>
                    <w:div w:id="294156448">
                      <w:marLeft w:val="0"/>
                      <w:marRight w:val="0"/>
                      <w:marTop w:val="0"/>
                      <w:marBottom w:val="0"/>
                      <w:divBdr>
                        <w:top w:val="none" w:sz="0" w:space="0" w:color="auto"/>
                        <w:left w:val="none" w:sz="0" w:space="0" w:color="auto"/>
                        <w:bottom w:val="none" w:sz="0" w:space="0" w:color="auto"/>
                        <w:right w:val="none" w:sz="0" w:space="0" w:color="auto"/>
                      </w:divBdr>
                      <w:divsChild>
                        <w:div w:id="294151715">
                          <w:marLeft w:val="0"/>
                          <w:marRight w:val="0"/>
                          <w:marTop w:val="0"/>
                          <w:marBottom w:val="0"/>
                          <w:divBdr>
                            <w:top w:val="none" w:sz="0" w:space="0" w:color="auto"/>
                            <w:left w:val="none" w:sz="0" w:space="0" w:color="auto"/>
                            <w:bottom w:val="none" w:sz="0" w:space="0" w:color="auto"/>
                            <w:right w:val="none" w:sz="0" w:space="0" w:color="auto"/>
                          </w:divBdr>
                        </w:div>
                      </w:divsChild>
                    </w:div>
                    <w:div w:id="294156481">
                      <w:marLeft w:val="0"/>
                      <w:marRight w:val="0"/>
                      <w:marTop w:val="0"/>
                      <w:marBottom w:val="0"/>
                      <w:divBdr>
                        <w:top w:val="none" w:sz="0" w:space="0" w:color="auto"/>
                        <w:left w:val="none" w:sz="0" w:space="0" w:color="auto"/>
                        <w:bottom w:val="none" w:sz="0" w:space="0" w:color="auto"/>
                        <w:right w:val="none" w:sz="0" w:space="0" w:color="auto"/>
                      </w:divBdr>
                      <w:divsChild>
                        <w:div w:id="294155501">
                          <w:marLeft w:val="0"/>
                          <w:marRight w:val="0"/>
                          <w:marTop w:val="0"/>
                          <w:marBottom w:val="0"/>
                          <w:divBdr>
                            <w:top w:val="none" w:sz="0" w:space="0" w:color="auto"/>
                            <w:left w:val="none" w:sz="0" w:space="0" w:color="auto"/>
                            <w:bottom w:val="none" w:sz="0" w:space="0" w:color="auto"/>
                            <w:right w:val="none" w:sz="0" w:space="0" w:color="auto"/>
                          </w:divBdr>
                        </w:div>
                      </w:divsChild>
                    </w:div>
                    <w:div w:id="294156518">
                      <w:marLeft w:val="0"/>
                      <w:marRight w:val="0"/>
                      <w:marTop w:val="0"/>
                      <w:marBottom w:val="0"/>
                      <w:divBdr>
                        <w:top w:val="none" w:sz="0" w:space="0" w:color="auto"/>
                        <w:left w:val="none" w:sz="0" w:space="0" w:color="auto"/>
                        <w:bottom w:val="none" w:sz="0" w:space="0" w:color="auto"/>
                        <w:right w:val="none" w:sz="0" w:space="0" w:color="auto"/>
                      </w:divBdr>
                      <w:divsChild>
                        <w:div w:id="294156372">
                          <w:marLeft w:val="0"/>
                          <w:marRight w:val="0"/>
                          <w:marTop w:val="0"/>
                          <w:marBottom w:val="0"/>
                          <w:divBdr>
                            <w:top w:val="none" w:sz="0" w:space="0" w:color="auto"/>
                            <w:left w:val="none" w:sz="0" w:space="0" w:color="auto"/>
                            <w:bottom w:val="none" w:sz="0" w:space="0" w:color="auto"/>
                            <w:right w:val="none" w:sz="0" w:space="0" w:color="auto"/>
                          </w:divBdr>
                        </w:div>
                      </w:divsChild>
                    </w:div>
                    <w:div w:id="294156522">
                      <w:marLeft w:val="0"/>
                      <w:marRight w:val="0"/>
                      <w:marTop w:val="0"/>
                      <w:marBottom w:val="0"/>
                      <w:divBdr>
                        <w:top w:val="none" w:sz="0" w:space="0" w:color="auto"/>
                        <w:left w:val="none" w:sz="0" w:space="0" w:color="auto"/>
                        <w:bottom w:val="none" w:sz="0" w:space="0" w:color="auto"/>
                        <w:right w:val="none" w:sz="0" w:space="0" w:color="auto"/>
                      </w:divBdr>
                    </w:div>
                    <w:div w:id="294156533">
                      <w:marLeft w:val="0"/>
                      <w:marRight w:val="0"/>
                      <w:marTop w:val="0"/>
                      <w:marBottom w:val="0"/>
                      <w:divBdr>
                        <w:top w:val="none" w:sz="0" w:space="0" w:color="auto"/>
                        <w:left w:val="none" w:sz="0" w:space="0" w:color="auto"/>
                        <w:bottom w:val="none" w:sz="0" w:space="0" w:color="auto"/>
                        <w:right w:val="none" w:sz="0" w:space="0" w:color="auto"/>
                      </w:divBdr>
                    </w:div>
                    <w:div w:id="294156705">
                      <w:marLeft w:val="0"/>
                      <w:marRight w:val="0"/>
                      <w:marTop w:val="0"/>
                      <w:marBottom w:val="0"/>
                      <w:divBdr>
                        <w:top w:val="none" w:sz="0" w:space="0" w:color="auto"/>
                        <w:left w:val="none" w:sz="0" w:space="0" w:color="auto"/>
                        <w:bottom w:val="none" w:sz="0" w:space="0" w:color="auto"/>
                        <w:right w:val="none" w:sz="0" w:space="0" w:color="auto"/>
                      </w:divBdr>
                      <w:divsChild>
                        <w:div w:id="294153634">
                          <w:marLeft w:val="0"/>
                          <w:marRight w:val="0"/>
                          <w:marTop w:val="0"/>
                          <w:marBottom w:val="0"/>
                          <w:divBdr>
                            <w:top w:val="none" w:sz="0" w:space="0" w:color="auto"/>
                            <w:left w:val="none" w:sz="0" w:space="0" w:color="auto"/>
                            <w:bottom w:val="none" w:sz="0" w:space="0" w:color="auto"/>
                            <w:right w:val="none" w:sz="0" w:space="0" w:color="auto"/>
                          </w:divBdr>
                        </w:div>
                      </w:divsChild>
                    </w:div>
                    <w:div w:id="294156742">
                      <w:marLeft w:val="0"/>
                      <w:marRight w:val="0"/>
                      <w:marTop w:val="0"/>
                      <w:marBottom w:val="0"/>
                      <w:divBdr>
                        <w:top w:val="none" w:sz="0" w:space="0" w:color="auto"/>
                        <w:left w:val="none" w:sz="0" w:space="0" w:color="auto"/>
                        <w:bottom w:val="none" w:sz="0" w:space="0" w:color="auto"/>
                        <w:right w:val="none" w:sz="0" w:space="0" w:color="auto"/>
                      </w:divBdr>
                      <w:divsChild>
                        <w:div w:id="294142563">
                          <w:marLeft w:val="0"/>
                          <w:marRight w:val="0"/>
                          <w:marTop w:val="0"/>
                          <w:marBottom w:val="0"/>
                          <w:divBdr>
                            <w:top w:val="none" w:sz="0" w:space="0" w:color="auto"/>
                            <w:left w:val="none" w:sz="0" w:space="0" w:color="auto"/>
                            <w:bottom w:val="none" w:sz="0" w:space="0" w:color="auto"/>
                            <w:right w:val="none" w:sz="0" w:space="0" w:color="auto"/>
                          </w:divBdr>
                        </w:div>
                      </w:divsChild>
                    </w:div>
                    <w:div w:id="294156761">
                      <w:marLeft w:val="0"/>
                      <w:marRight w:val="0"/>
                      <w:marTop w:val="0"/>
                      <w:marBottom w:val="0"/>
                      <w:divBdr>
                        <w:top w:val="none" w:sz="0" w:space="0" w:color="auto"/>
                        <w:left w:val="none" w:sz="0" w:space="0" w:color="auto"/>
                        <w:bottom w:val="none" w:sz="0" w:space="0" w:color="auto"/>
                        <w:right w:val="none" w:sz="0" w:space="0" w:color="auto"/>
                      </w:divBdr>
                      <w:divsChild>
                        <w:div w:id="294144665">
                          <w:marLeft w:val="0"/>
                          <w:marRight w:val="0"/>
                          <w:marTop w:val="0"/>
                          <w:marBottom w:val="0"/>
                          <w:divBdr>
                            <w:top w:val="none" w:sz="0" w:space="0" w:color="auto"/>
                            <w:left w:val="none" w:sz="0" w:space="0" w:color="auto"/>
                            <w:bottom w:val="none" w:sz="0" w:space="0" w:color="auto"/>
                            <w:right w:val="none" w:sz="0" w:space="0" w:color="auto"/>
                          </w:divBdr>
                        </w:div>
                      </w:divsChild>
                    </w:div>
                    <w:div w:id="294156786">
                      <w:marLeft w:val="0"/>
                      <w:marRight w:val="0"/>
                      <w:marTop w:val="0"/>
                      <w:marBottom w:val="0"/>
                      <w:divBdr>
                        <w:top w:val="none" w:sz="0" w:space="0" w:color="auto"/>
                        <w:left w:val="none" w:sz="0" w:space="0" w:color="auto"/>
                        <w:bottom w:val="none" w:sz="0" w:space="0" w:color="auto"/>
                        <w:right w:val="none" w:sz="0" w:space="0" w:color="auto"/>
                      </w:divBdr>
                      <w:divsChild>
                        <w:div w:id="294138139">
                          <w:marLeft w:val="0"/>
                          <w:marRight w:val="0"/>
                          <w:marTop w:val="0"/>
                          <w:marBottom w:val="0"/>
                          <w:divBdr>
                            <w:top w:val="none" w:sz="0" w:space="0" w:color="auto"/>
                            <w:left w:val="none" w:sz="0" w:space="0" w:color="auto"/>
                            <w:bottom w:val="none" w:sz="0" w:space="0" w:color="auto"/>
                            <w:right w:val="none" w:sz="0" w:space="0" w:color="auto"/>
                          </w:divBdr>
                        </w:div>
                      </w:divsChild>
                    </w:div>
                    <w:div w:id="294156787">
                      <w:marLeft w:val="0"/>
                      <w:marRight w:val="0"/>
                      <w:marTop w:val="0"/>
                      <w:marBottom w:val="0"/>
                      <w:divBdr>
                        <w:top w:val="none" w:sz="0" w:space="0" w:color="auto"/>
                        <w:left w:val="none" w:sz="0" w:space="0" w:color="auto"/>
                        <w:bottom w:val="none" w:sz="0" w:space="0" w:color="auto"/>
                        <w:right w:val="none" w:sz="0" w:space="0" w:color="auto"/>
                      </w:divBdr>
                      <w:divsChild>
                        <w:div w:id="294143855">
                          <w:marLeft w:val="0"/>
                          <w:marRight w:val="0"/>
                          <w:marTop w:val="0"/>
                          <w:marBottom w:val="0"/>
                          <w:divBdr>
                            <w:top w:val="none" w:sz="0" w:space="0" w:color="auto"/>
                            <w:left w:val="none" w:sz="0" w:space="0" w:color="auto"/>
                            <w:bottom w:val="none" w:sz="0" w:space="0" w:color="auto"/>
                            <w:right w:val="none" w:sz="0" w:space="0" w:color="auto"/>
                          </w:divBdr>
                        </w:div>
                      </w:divsChild>
                    </w:div>
                    <w:div w:id="294156836">
                      <w:marLeft w:val="0"/>
                      <w:marRight w:val="0"/>
                      <w:marTop w:val="0"/>
                      <w:marBottom w:val="0"/>
                      <w:divBdr>
                        <w:top w:val="none" w:sz="0" w:space="0" w:color="auto"/>
                        <w:left w:val="none" w:sz="0" w:space="0" w:color="auto"/>
                        <w:bottom w:val="none" w:sz="0" w:space="0" w:color="auto"/>
                        <w:right w:val="none" w:sz="0" w:space="0" w:color="auto"/>
                      </w:divBdr>
                      <w:divsChild>
                        <w:div w:id="294149726">
                          <w:marLeft w:val="0"/>
                          <w:marRight w:val="0"/>
                          <w:marTop w:val="0"/>
                          <w:marBottom w:val="0"/>
                          <w:divBdr>
                            <w:top w:val="none" w:sz="0" w:space="0" w:color="auto"/>
                            <w:left w:val="none" w:sz="0" w:space="0" w:color="auto"/>
                            <w:bottom w:val="none" w:sz="0" w:space="0" w:color="auto"/>
                            <w:right w:val="none" w:sz="0" w:space="0" w:color="auto"/>
                          </w:divBdr>
                        </w:div>
                      </w:divsChild>
                    </w:div>
                    <w:div w:id="294156850">
                      <w:marLeft w:val="0"/>
                      <w:marRight w:val="0"/>
                      <w:marTop w:val="0"/>
                      <w:marBottom w:val="0"/>
                      <w:divBdr>
                        <w:top w:val="none" w:sz="0" w:space="0" w:color="auto"/>
                        <w:left w:val="none" w:sz="0" w:space="0" w:color="auto"/>
                        <w:bottom w:val="none" w:sz="0" w:space="0" w:color="auto"/>
                        <w:right w:val="none" w:sz="0" w:space="0" w:color="auto"/>
                      </w:divBdr>
                    </w:div>
                    <w:div w:id="294156858">
                      <w:marLeft w:val="0"/>
                      <w:marRight w:val="0"/>
                      <w:marTop w:val="0"/>
                      <w:marBottom w:val="0"/>
                      <w:divBdr>
                        <w:top w:val="none" w:sz="0" w:space="0" w:color="auto"/>
                        <w:left w:val="none" w:sz="0" w:space="0" w:color="auto"/>
                        <w:bottom w:val="none" w:sz="0" w:space="0" w:color="auto"/>
                        <w:right w:val="none" w:sz="0" w:space="0" w:color="auto"/>
                      </w:divBdr>
                    </w:div>
                    <w:div w:id="294156871">
                      <w:marLeft w:val="0"/>
                      <w:marRight w:val="0"/>
                      <w:marTop w:val="0"/>
                      <w:marBottom w:val="0"/>
                      <w:divBdr>
                        <w:top w:val="none" w:sz="0" w:space="0" w:color="auto"/>
                        <w:left w:val="none" w:sz="0" w:space="0" w:color="auto"/>
                        <w:bottom w:val="none" w:sz="0" w:space="0" w:color="auto"/>
                        <w:right w:val="none" w:sz="0" w:space="0" w:color="auto"/>
                      </w:divBdr>
                    </w:div>
                    <w:div w:id="294156905">
                      <w:marLeft w:val="0"/>
                      <w:marRight w:val="0"/>
                      <w:marTop w:val="0"/>
                      <w:marBottom w:val="0"/>
                      <w:divBdr>
                        <w:top w:val="none" w:sz="0" w:space="0" w:color="auto"/>
                        <w:left w:val="none" w:sz="0" w:space="0" w:color="auto"/>
                        <w:bottom w:val="none" w:sz="0" w:space="0" w:color="auto"/>
                        <w:right w:val="none" w:sz="0" w:space="0" w:color="auto"/>
                      </w:divBdr>
                    </w:div>
                    <w:div w:id="294156983">
                      <w:marLeft w:val="0"/>
                      <w:marRight w:val="0"/>
                      <w:marTop w:val="0"/>
                      <w:marBottom w:val="0"/>
                      <w:divBdr>
                        <w:top w:val="none" w:sz="0" w:space="0" w:color="auto"/>
                        <w:left w:val="none" w:sz="0" w:space="0" w:color="auto"/>
                        <w:bottom w:val="none" w:sz="0" w:space="0" w:color="auto"/>
                        <w:right w:val="none" w:sz="0" w:space="0" w:color="auto"/>
                      </w:divBdr>
                      <w:divsChild>
                        <w:div w:id="294148197">
                          <w:marLeft w:val="0"/>
                          <w:marRight w:val="0"/>
                          <w:marTop w:val="0"/>
                          <w:marBottom w:val="0"/>
                          <w:divBdr>
                            <w:top w:val="none" w:sz="0" w:space="0" w:color="auto"/>
                            <w:left w:val="none" w:sz="0" w:space="0" w:color="auto"/>
                            <w:bottom w:val="none" w:sz="0" w:space="0" w:color="auto"/>
                            <w:right w:val="none" w:sz="0" w:space="0" w:color="auto"/>
                          </w:divBdr>
                        </w:div>
                      </w:divsChild>
                    </w:div>
                    <w:div w:id="294156998">
                      <w:marLeft w:val="0"/>
                      <w:marRight w:val="0"/>
                      <w:marTop w:val="0"/>
                      <w:marBottom w:val="0"/>
                      <w:divBdr>
                        <w:top w:val="none" w:sz="0" w:space="0" w:color="auto"/>
                        <w:left w:val="none" w:sz="0" w:space="0" w:color="auto"/>
                        <w:bottom w:val="none" w:sz="0" w:space="0" w:color="auto"/>
                        <w:right w:val="none" w:sz="0" w:space="0" w:color="auto"/>
                      </w:divBdr>
                      <w:divsChild>
                        <w:div w:id="294139243">
                          <w:marLeft w:val="0"/>
                          <w:marRight w:val="0"/>
                          <w:marTop w:val="0"/>
                          <w:marBottom w:val="0"/>
                          <w:divBdr>
                            <w:top w:val="none" w:sz="0" w:space="0" w:color="auto"/>
                            <w:left w:val="none" w:sz="0" w:space="0" w:color="auto"/>
                            <w:bottom w:val="none" w:sz="0" w:space="0" w:color="auto"/>
                            <w:right w:val="none" w:sz="0" w:space="0" w:color="auto"/>
                          </w:divBdr>
                        </w:div>
                      </w:divsChild>
                    </w:div>
                    <w:div w:id="294157006">
                      <w:marLeft w:val="0"/>
                      <w:marRight w:val="0"/>
                      <w:marTop w:val="0"/>
                      <w:marBottom w:val="0"/>
                      <w:divBdr>
                        <w:top w:val="none" w:sz="0" w:space="0" w:color="auto"/>
                        <w:left w:val="none" w:sz="0" w:space="0" w:color="auto"/>
                        <w:bottom w:val="none" w:sz="0" w:space="0" w:color="auto"/>
                        <w:right w:val="none" w:sz="0" w:space="0" w:color="auto"/>
                      </w:divBdr>
                      <w:divsChild>
                        <w:div w:id="294138506">
                          <w:marLeft w:val="0"/>
                          <w:marRight w:val="0"/>
                          <w:marTop w:val="0"/>
                          <w:marBottom w:val="0"/>
                          <w:divBdr>
                            <w:top w:val="none" w:sz="0" w:space="0" w:color="auto"/>
                            <w:left w:val="none" w:sz="0" w:space="0" w:color="auto"/>
                            <w:bottom w:val="none" w:sz="0" w:space="0" w:color="auto"/>
                            <w:right w:val="none" w:sz="0" w:space="0" w:color="auto"/>
                          </w:divBdr>
                        </w:div>
                      </w:divsChild>
                    </w:div>
                    <w:div w:id="294157020">
                      <w:marLeft w:val="0"/>
                      <w:marRight w:val="0"/>
                      <w:marTop w:val="0"/>
                      <w:marBottom w:val="0"/>
                      <w:divBdr>
                        <w:top w:val="none" w:sz="0" w:space="0" w:color="auto"/>
                        <w:left w:val="none" w:sz="0" w:space="0" w:color="auto"/>
                        <w:bottom w:val="none" w:sz="0" w:space="0" w:color="auto"/>
                        <w:right w:val="none" w:sz="0" w:space="0" w:color="auto"/>
                      </w:divBdr>
                      <w:divsChild>
                        <w:div w:id="294144557">
                          <w:marLeft w:val="0"/>
                          <w:marRight w:val="0"/>
                          <w:marTop w:val="0"/>
                          <w:marBottom w:val="0"/>
                          <w:divBdr>
                            <w:top w:val="none" w:sz="0" w:space="0" w:color="auto"/>
                            <w:left w:val="none" w:sz="0" w:space="0" w:color="auto"/>
                            <w:bottom w:val="none" w:sz="0" w:space="0" w:color="auto"/>
                            <w:right w:val="none" w:sz="0" w:space="0" w:color="auto"/>
                          </w:divBdr>
                        </w:div>
                      </w:divsChild>
                    </w:div>
                    <w:div w:id="294157044">
                      <w:marLeft w:val="0"/>
                      <w:marRight w:val="0"/>
                      <w:marTop w:val="0"/>
                      <w:marBottom w:val="0"/>
                      <w:divBdr>
                        <w:top w:val="none" w:sz="0" w:space="0" w:color="auto"/>
                        <w:left w:val="none" w:sz="0" w:space="0" w:color="auto"/>
                        <w:bottom w:val="none" w:sz="0" w:space="0" w:color="auto"/>
                        <w:right w:val="none" w:sz="0" w:space="0" w:color="auto"/>
                      </w:divBdr>
                    </w:div>
                    <w:div w:id="294157158">
                      <w:marLeft w:val="0"/>
                      <w:marRight w:val="0"/>
                      <w:marTop w:val="0"/>
                      <w:marBottom w:val="0"/>
                      <w:divBdr>
                        <w:top w:val="none" w:sz="0" w:space="0" w:color="auto"/>
                        <w:left w:val="none" w:sz="0" w:space="0" w:color="auto"/>
                        <w:bottom w:val="none" w:sz="0" w:space="0" w:color="auto"/>
                        <w:right w:val="none" w:sz="0" w:space="0" w:color="auto"/>
                      </w:divBdr>
                      <w:divsChild>
                        <w:div w:id="294140573">
                          <w:marLeft w:val="0"/>
                          <w:marRight w:val="0"/>
                          <w:marTop w:val="0"/>
                          <w:marBottom w:val="0"/>
                          <w:divBdr>
                            <w:top w:val="none" w:sz="0" w:space="0" w:color="auto"/>
                            <w:left w:val="none" w:sz="0" w:space="0" w:color="auto"/>
                            <w:bottom w:val="none" w:sz="0" w:space="0" w:color="auto"/>
                            <w:right w:val="none" w:sz="0" w:space="0" w:color="auto"/>
                          </w:divBdr>
                        </w:div>
                      </w:divsChild>
                    </w:div>
                    <w:div w:id="294157232">
                      <w:marLeft w:val="0"/>
                      <w:marRight w:val="0"/>
                      <w:marTop w:val="0"/>
                      <w:marBottom w:val="0"/>
                      <w:divBdr>
                        <w:top w:val="none" w:sz="0" w:space="0" w:color="auto"/>
                        <w:left w:val="none" w:sz="0" w:space="0" w:color="auto"/>
                        <w:bottom w:val="none" w:sz="0" w:space="0" w:color="auto"/>
                        <w:right w:val="none" w:sz="0" w:space="0" w:color="auto"/>
                      </w:divBdr>
                    </w:div>
                    <w:div w:id="294157273">
                      <w:marLeft w:val="0"/>
                      <w:marRight w:val="0"/>
                      <w:marTop w:val="0"/>
                      <w:marBottom w:val="0"/>
                      <w:divBdr>
                        <w:top w:val="none" w:sz="0" w:space="0" w:color="auto"/>
                        <w:left w:val="none" w:sz="0" w:space="0" w:color="auto"/>
                        <w:bottom w:val="none" w:sz="0" w:space="0" w:color="auto"/>
                        <w:right w:val="none" w:sz="0" w:space="0" w:color="auto"/>
                      </w:divBdr>
                    </w:div>
                    <w:div w:id="294157321">
                      <w:marLeft w:val="0"/>
                      <w:marRight w:val="0"/>
                      <w:marTop w:val="0"/>
                      <w:marBottom w:val="0"/>
                      <w:divBdr>
                        <w:top w:val="none" w:sz="0" w:space="0" w:color="auto"/>
                        <w:left w:val="none" w:sz="0" w:space="0" w:color="auto"/>
                        <w:bottom w:val="none" w:sz="0" w:space="0" w:color="auto"/>
                        <w:right w:val="none" w:sz="0" w:space="0" w:color="auto"/>
                      </w:divBdr>
                      <w:divsChild>
                        <w:div w:id="294148521">
                          <w:marLeft w:val="0"/>
                          <w:marRight w:val="0"/>
                          <w:marTop w:val="0"/>
                          <w:marBottom w:val="0"/>
                          <w:divBdr>
                            <w:top w:val="none" w:sz="0" w:space="0" w:color="auto"/>
                            <w:left w:val="none" w:sz="0" w:space="0" w:color="auto"/>
                            <w:bottom w:val="none" w:sz="0" w:space="0" w:color="auto"/>
                            <w:right w:val="none" w:sz="0" w:space="0" w:color="auto"/>
                          </w:divBdr>
                        </w:div>
                      </w:divsChild>
                    </w:div>
                    <w:div w:id="294157410">
                      <w:marLeft w:val="0"/>
                      <w:marRight w:val="0"/>
                      <w:marTop w:val="0"/>
                      <w:marBottom w:val="0"/>
                      <w:divBdr>
                        <w:top w:val="none" w:sz="0" w:space="0" w:color="auto"/>
                        <w:left w:val="none" w:sz="0" w:space="0" w:color="auto"/>
                        <w:bottom w:val="none" w:sz="0" w:space="0" w:color="auto"/>
                        <w:right w:val="none" w:sz="0" w:space="0" w:color="auto"/>
                      </w:divBdr>
                      <w:divsChild>
                        <w:div w:id="29415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49649">
          <w:marLeft w:val="0"/>
          <w:marRight w:val="0"/>
          <w:marTop w:val="0"/>
          <w:marBottom w:val="0"/>
          <w:divBdr>
            <w:top w:val="none" w:sz="0" w:space="0" w:color="auto"/>
            <w:left w:val="none" w:sz="0" w:space="0" w:color="auto"/>
            <w:bottom w:val="none" w:sz="0" w:space="0" w:color="auto"/>
            <w:right w:val="none" w:sz="0" w:space="0" w:color="auto"/>
          </w:divBdr>
          <w:divsChild>
            <w:div w:id="294140732">
              <w:marLeft w:val="0"/>
              <w:marRight w:val="0"/>
              <w:marTop w:val="0"/>
              <w:marBottom w:val="0"/>
              <w:divBdr>
                <w:top w:val="none" w:sz="0" w:space="0" w:color="auto"/>
                <w:left w:val="none" w:sz="0" w:space="0" w:color="auto"/>
                <w:bottom w:val="none" w:sz="0" w:space="0" w:color="auto"/>
                <w:right w:val="none" w:sz="0" w:space="0" w:color="auto"/>
              </w:divBdr>
              <w:divsChild>
                <w:div w:id="2941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5652">
          <w:marLeft w:val="0"/>
          <w:marRight w:val="0"/>
          <w:marTop w:val="0"/>
          <w:marBottom w:val="0"/>
          <w:divBdr>
            <w:top w:val="none" w:sz="0" w:space="0" w:color="auto"/>
            <w:left w:val="none" w:sz="0" w:space="0" w:color="auto"/>
            <w:bottom w:val="none" w:sz="0" w:space="0" w:color="auto"/>
            <w:right w:val="none" w:sz="0" w:space="0" w:color="auto"/>
          </w:divBdr>
          <w:divsChild>
            <w:div w:id="294154439">
              <w:marLeft w:val="0"/>
              <w:marRight w:val="0"/>
              <w:marTop w:val="0"/>
              <w:marBottom w:val="0"/>
              <w:divBdr>
                <w:top w:val="none" w:sz="0" w:space="0" w:color="auto"/>
                <w:left w:val="none" w:sz="0" w:space="0" w:color="auto"/>
                <w:bottom w:val="none" w:sz="0" w:space="0" w:color="auto"/>
                <w:right w:val="none" w:sz="0" w:space="0" w:color="auto"/>
              </w:divBdr>
              <w:divsChild>
                <w:div w:id="294138140">
                  <w:marLeft w:val="0"/>
                  <w:marRight w:val="0"/>
                  <w:marTop w:val="0"/>
                  <w:marBottom w:val="0"/>
                  <w:divBdr>
                    <w:top w:val="none" w:sz="0" w:space="0" w:color="auto"/>
                    <w:left w:val="none" w:sz="0" w:space="0" w:color="auto"/>
                    <w:bottom w:val="none" w:sz="0" w:space="0" w:color="auto"/>
                    <w:right w:val="none" w:sz="0" w:space="0" w:color="auto"/>
                  </w:divBdr>
                </w:div>
                <w:div w:id="294138663">
                  <w:marLeft w:val="0"/>
                  <w:marRight w:val="0"/>
                  <w:marTop w:val="0"/>
                  <w:marBottom w:val="0"/>
                  <w:divBdr>
                    <w:top w:val="none" w:sz="0" w:space="0" w:color="auto"/>
                    <w:left w:val="none" w:sz="0" w:space="0" w:color="auto"/>
                    <w:bottom w:val="none" w:sz="0" w:space="0" w:color="auto"/>
                    <w:right w:val="none" w:sz="0" w:space="0" w:color="auto"/>
                  </w:divBdr>
                </w:div>
                <w:div w:id="294139427">
                  <w:marLeft w:val="0"/>
                  <w:marRight w:val="0"/>
                  <w:marTop w:val="0"/>
                  <w:marBottom w:val="0"/>
                  <w:divBdr>
                    <w:top w:val="none" w:sz="0" w:space="0" w:color="auto"/>
                    <w:left w:val="none" w:sz="0" w:space="0" w:color="auto"/>
                    <w:bottom w:val="none" w:sz="0" w:space="0" w:color="auto"/>
                    <w:right w:val="none" w:sz="0" w:space="0" w:color="auto"/>
                  </w:divBdr>
                </w:div>
                <w:div w:id="294139759">
                  <w:marLeft w:val="0"/>
                  <w:marRight w:val="0"/>
                  <w:marTop w:val="0"/>
                  <w:marBottom w:val="0"/>
                  <w:divBdr>
                    <w:top w:val="none" w:sz="0" w:space="0" w:color="auto"/>
                    <w:left w:val="none" w:sz="0" w:space="0" w:color="auto"/>
                    <w:bottom w:val="none" w:sz="0" w:space="0" w:color="auto"/>
                    <w:right w:val="none" w:sz="0" w:space="0" w:color="auto"/>
                  </w:divBdr>
                </w:div>
                <w:div w:id="294139780">
                  <w:marLeft w:val="0"/>
                  <w:marRight w:val="0"/>
                  <w:marTop w:val="0"/>
                  <w:marBottom w:val="0"/>
                  <w:divBdr>
                    <w:top w:val="none" w:sz="0" w:space="0" w:color="auto"/>
                    <w:left w:val="none" w:sz="0" w:space="0" w:color="auto"/>
                    <w:bottom w:val="none" w:sz="0" w:space="0" w:color="auto"/>
                    <w:right w:val="none" w:sz="0" w:space="0" w:color="auto"/>
                  </w:divBdr>
                </w:div>
                <w:div w:id="294139823">
                  <w:marLeft w:val="0"/>
                  <w:marRight w:val="0"/>
                  <w:marTop w:val="0"/>
                  <w:marBottom w:val="0"/>
                  <w:divBdr>
                    <w:top w:val="none" w:sz="0" w:space="0" w:color="auto"/>
                    <w:left w:val="none" w:sz="0" w:space="0" w:color="auto"/>
                    <w:bottom w:val="none" w:sz="0" w:space="0" w:color="auto"/>
                    <w:right w:val="none" w:sz="0" w:space="0" w:color="auto"/>
                  </w:divBdr>
                </w:div>
                <w:div w:id="294139872">
                  <w:marLeft w:val="0"/>
                  <w:marRight w:val="0"/>
                  <w:marTop w:val="0"/>
                  <w:marBottom w:val="0"/>
                  <w:divBdr>
                    <w:top w:val="none" w:sz="0" w:space="0" w:color="auto"/>
                    <w:left w:val="none" w:sz="0" w:space="0" w:color="auto"/>
                    <w:bottom w:val="none" w:sz="0" w:space="0" w:color="auto"/>
                    <w:right w:val="none" w:sz="0" w:space="0" w:color="auto"/>
                  </w:divBdr>
                </w:div>
                <w:div w:id="294140203">
                  <w:marLeft w:val="0"/>
                  <w:marRight w:val="0"/>
                  <w:marTop w:val="0"/>
                  <w:marBottom w:val="0"/>
                  <w:divBdr>
                    <w:top w:val="none" w:sz="0" w:space="0" w:color="auto"/>
                    <w:left w:val="none" w:sz="0" w:space="0" w:color="auto"/>
                    <w:bottom w:val="none" w:sz="0" w:space="0" w:color="auto"/>
                    <w:right w:val="none" w:sz="0" w:space="0" w:color="auto"/>
                  </w:divBdr>
                </w:div>
                <w:div w:id="294140264">
                  <w:marLeft w:val="0"/>
                  <w:marRight w:val="0"/>
                  <w:marTop w:val="0"/>
                  <w:marBottom w:val="0"/>
                  <w:divBdr>
                    <w:top w:val="none" w:sz="0" w:space="0" w:color="auto"/>
                    <w:left w:val="none" w:sz="0" w:space="0" w:color="auto"/>
                    <w:bottom w:val="none" w:sz="0" w:space="0" w:color="auto"/>
                    <w:right w:val="none" w:sz="0" w:space="0" w:color="auto"/>
                  </w:divBdr>
                </w:div>
                <w:div w:id="294140341">
                  <w:marLeft w:val="0"/>
                  <w:marRight w:val="0"/>
                  <w:marTop w:val="0"/>
                  <w:marBottom w:val="0"/>
                  <w:divBdr>
                    <w:top w:val="none" w:sz="0" w:space="0" w:color="auto"/>
                    <w:left w:val="none" w:sz="0" w:space="0" w:color="auto"/>
                    <w:bottom w:val="none" w:sz="0" w:space="0" w:color="auto"/>
                    <w:right w:val="none" w:sz="0" w:space="0" w:color="auto"/>
                  </w:divBdr>
                </w:div>
                <w:div w:id="294140469">
                  <w:marLeft w:val="0"/>
                  <w:marRight w:val="0"/>
                  <w:marTop w:val="0"/>
                  <w:marBottom w:val="0"/>
                  <w:divBdr>
                    <w:top w:val="none" w:sz="0" w:space="0" w:color="auto"/>
                    <w:left w:val="none" w:sz="0" w:space="0" w:color="auto"/>
                    <w:bottom w:val="none" w:sz="0" w:space="0" w:color="auto"/>
                    <w:right w:val="none" w:sz="0" w:space="0" w:color="auto"/>
                  </w:divBdr>
                </w:div>
                <w:div w:id="294140643">
                  <w:marLeft w:val="0"/>
                  <w:marRight w:val="0"/>
                  <w:marTop w:val="0"/>
                  <w:marBottom w:val="0"/>
                  <w:divBdr>
                    <w:top w:val="none" w:sz="0" w:space="0" w:color="auto"/>
                    <w:left w:val="none" w:sz="0" w:space="0" w:color="auto"/>
                    <w:bottom w:val="none" w:sz="0" w:space="0" w:color="auto"/>
                    <w:right w:val="none" w:sz="0" w:space="0" w:color="auto"/>
                  </w:divBdr>
                </w:div>
                <w:div w:id="294141023">
                  <w:marLeft w:val="0"/>
                  <w:marRight w:val="0"/>
                  <w:marTop w:val="0"/>
                  <w:marBottom w:val="0"/>
                  <w:divBdr>
                    <w:top w:val="none" w:sz="0" w:space="0" w:color="auto"/>
                    <w:left w:val="none" w:sz="0" w:space="0" w:color="auto"/>
                    <w:bottom w:val="none" w:sz="0" w:space="0" w:color="auto"/>
                    <w:right w:val="none" w:sz="0" w:space="0" w:color="auto"/>
                  </w:divBdr>
                </w:div>
                <w:div w:id="294141270">
                  <w:marLeft w:val="0"/>
                  <w:marRight w:val="0"/>
                  <w:marTop w:val="0"/>
                  <w:marBottom w:val="0"/>
                  <w:divBdr>
                    <w:top w:val="none" w:sz="0" w:space="0" w:color="auto"/>
                    <w:left w:val="none" w:sz="0" w:space="0" w:color="auto"/>
                    <w:bottom w:val="none" w:sz="0" w:space="0" w:color="auto"/>
                    <w:right w:val="none" w:sz="0" w:space="0" w:color="auto"/>
                  </w:divBdr>
                </w:div>
                <w:div w:id="294141461">
                  <w:marLeft w:val="0"/>
                  <w:marRight w:val="0"/>
                  <w:marTop w:val="0"/>
                  <w:marBottom w:val="0"/>
                  <w:divBdr>
                    <w:top w:val="none" w:sz="0" w:space="0" w:color="auto"/>
                    <w:left w:val="none" w:sz="0" w:space="0" w:color="auto"/>
                    <w:bottom w:val="none" w:sz="0" w:space="0" w:color="auto"/>
                    <w:right w:val="none" w:sz="0" w:space="0" w:color="auto"/>
                  </w:divBdr>
                </w:div>
                <w:div w:id="294141534">
                  <w:marLeft w:val="0"/>
                  <w:marRight w:val="0"/>
                  <w:marTop w:val="0"/>
                  <w:marBottom w:val="0"/>
                  <w:divBdr>
                    <w:top w:val="none" w:sz="0" w:space="0" w:color="auto"/>
                    <w:left w:val="none" w:sz="0" w:space="0" w:color="auto"/>
                    <w:bottom w:val="none" w:sz="0" w:space="0" w:color="auto"/>
                    <w:right w:val="none" w:sz="0" w:space="0" w:color="auto"/>
                  </w:divBdr>
                </w:div>
                <w:div w:id="294141535">
                  <w:marLeft w:val="0"/>
                  <w:marRight w:val="0"/>
                  <w:marTop w:val="0"/>
                  <w:marBottom w:val="0"/>
                  <w:divBdr>
                    <w:top w:val="none" w:sz="0" w:space="0" w:color="auto"/>
                    <w:left w:val="none" w:sz="0" w:space="0" w:color="auto"/>
                    <w:bottom w:val="none" w:sz="0" w:space="0" w:color="auto"/>
                    <w:right w:val="none" w:sz="0" w:space="0" w:color="auto"/>
                  </w:divBdr>
                </w:div>
                <w:div w:id="294141722">
                  <w:marLeft w:val="0"/>
                  <w:marRight w:val="0"/>
                  <w:marTop w:val="0"/>
                  <w:marBottom w:val="0"/>
                  <w:divBdr>
                    <w:top w:val="none" w:sz="0" w:space="0" w:color="auto"/>
                    <w:left w:val="none" w:sz="0" w:space="0" w:color="auto"/>
                    <w:bottom w:val="none" w:sz="0" w:space="0" w:color="auto"/>
                    <w:right w:val="none" w:sz="0" w:space="0" w:color="auto"/>
                  </w:divBdr>
                </w:div>
                <w:div w:id="294141728">
                  <w:marLeft w:val="0"/>
                  <w:marRight w:val="0"/>
                  <w:marTop w:val="0"/>
                  <w:marBottom w:val="0"/>
                  <w:divBdr>
                    <w:top w:val="none" w:sz="0" w:space="0" w:color="auto"/>
                    <w:left w:val="none" w:sz="0" w:space="0" w:color="auto"/>
                    <w:bottom w:val="none" w:sz="0" w:space="0" w:color="auto"/>
                    <w:right w:val="none" w:sz="0" w:space="0" w:color="auto"/>
                  </w:divBdr>
                </w:div>
                <w:div w:id="294142006">
                  <w:marLeft w:val="0"/>
                  <w:marRight w:val="0"/>
                  <w:marTop w:val="0"/>
                  <w:marBottom w:val="0"/>
                  <w:divBdr>
                    <w:top w:val="none" w:sz="0" w:space="0" w:color="auto"/>
                    <w:left w:val="none" w:sz="0" w:space="0" w:color="auto"/>
                    <w:bottom w:val="none" w:sz="0" w:space="0" w:color="auto"/>
                    <w:right w:val="none" w:sz="0" w:space="0" w:color="auto"/>
                  </w:divBdr>
                </w:div>
                <w:div w:id="294142011">
                  <w:marLeft w:val="0"/>
                  <w:marRight w:val="0"/>
                  <w:marTop w:val="0"/>
                  <w:marBottom w:val="0"/>
                  <w:divBdr>
                    <w:top w:val="none" w:sz="0" w:space="0" w:color="auto"/>
                    <w:left w:val="none" w:sz="0" w:space="0" w:color="auto"/>
                    <w:bottom w:val="none" w:sz="0" w:space="0" w:color="auto"/>
                    <w:right w:val="none" w:sz="0" w:space="0" w:color="auto"/>
                  </w:divBdr>
                </w:div>
                <w:div w:id="294142027">
                  <w:marLeft w:val="0"/>
                  <w:marRight w:val="0"/>
                  <w:marTop w:val="0"/>
                  <w:marBottom w:val="0"/>
                  <w:divBdr>
                    <w:top w:val="none" w:sz="0" w:space="0" w:color="auto"/>
                    <w:left w:val="none" w:sz="0" w:space="0" w:color="auto"/>
                    <w:bottom w:val="none" w:sz="0" w:space="0" w:color="auto"/>
                    <w:right w:val="none" w:sz="0" w:space="0" w:color="auto"/>
                  </w:divBdr>
                </w:div>
                <w:div w:id="294142033">
                  <w:marLeft w:val="0"/>
                  <w:marRight w:val="0"/>
                  <w:marTop w:val="0"/>
                  <w:marBottom w:val="0"/>
                  <w:divBdr>
                    <w:top w:val="none" w:sz="0" w:space="0" w:color="auto"/>
                    <w:left w:val="none" w:sz="0" w:space="0" w:color="auto"/>
                    <w:bottom w:val="none" w:sz="0" w:space="0" w:color="auto"/>
                    <w:right w:val="none" w:sz="0" w:space="0" w:color="auto"/>
                  </w:divBdr>
                </w:div>
                <w:div w:id="294142276">
                  <w:marLeft w:val="0"/>
                  <w:marRight w:val="0"/>
                  <w:marTop w:val="0"/>
                  <w:marBottom w:val="0"/>
                  <w:divBdr>
                    <w:top w:val="none" w:sz="0" w:space="0" w:color="auto"/>
                    <w:left w:val="none" w:sz="0" w:space="0" w:color="auto"/>
                    <w:bottom w:val="none" w:sz="0" w:space="0" w:color="auto"/>
                    <w:right w:val="none" w:sz="0" w:space="0" w:color="auto"/>
                  </w:divBdr>
                </w:div>
                <w:div w:id="294142390">
                  <w:marLeft w:val="0"/>
                  <w:marRight w:val="0"/>
                  <w:marTop w:val="0"/>
                  <w:marBottom w:val="0"/>
                  <w:divBdr>
                    <w:top w:val="none" w:sz="0" w:space="0" w:color="auto"/>
                    <w:left w:val="none" w:sz="0" w:space="0" w:color="auto"/>
                    <w:bottom w:val="none" w:sz="0" w:space="0" w:color="auto"/>
                    <w:right w:val="none" w:sz="0" w:space="0" w:color="auto"/>
                  </w:divBdr>
                </w:div>
                <w:div w:id="294142545">
                  <w:marLeft w:val="0"/>
                  <w:marRight w:val="0"/>
                  <w:marTop w:val="0"/>
                  <w:marBottom w:val="0"/>
                  <w:divBdr>
                    <w:top w:val="none" w:sz="0" w:space="0" w:color="auto"/>
                    <w:left w:val="none" w:sz="0" w:space="0" w:color="auto"/>
                    <w:bottom w:val="none" w:sz="0" w:space="0" w:color="auto"/>
                    <w:right w:val="none" w:sz="0" w:space="0" w:color="auto"/>
                  </w:divBdr>
                </w:div>
                <w:div w:id="294142923">
                  <w:marLeft w:val="0"/>
                  <w:marRight w:val="0"/>
                  <w:marTop w:val="0"/>
                  <w:marBottom w:val="0"/>
                  <w:divBdr>
                    <w:top w:val="none" w:sz="0" w:space="0" w:color="auto"/>
                    <w:left w:val="none" w:sz="0" w:space="0" w:color="auto"/>
                    <w:bottom w:val="none" w:sz="0" w:space="0" w:color="auto"/>
                    <w:right w:val="none" w:sz="0" w:space="0" w:color="auto"/>
                  </w:divBdr>
                </w:div>
                <w:div w:id="294143072">
                  <w:marLeft w:val="0"/>
                  <w:marRight w:val="0"/>
                  <w:marTop w:val="0"/>
                  <w:marBottom w:val="0"/>
                  <w:divBdr>
                    <w:top w:val="none" w:sz="0" w:space="0" w:color="auto"/>
                    <w:left w:val="none" w:sz="0" w:space="0" w:color="auto"/>
                    <w:bottom w:val="none" w:sz="0" w:space="0" w:color="auto"/>
                    <w:right w:val="none" w:sz="0" w:space="0" w:color="auto"/>
                  </w:divBdr>
                </w:div>
                <w:div w:id="294143087">
                  <w:marLeft w:val="0"/>
                  <w:marRight w:val="0"/>
                  <w:marTop w:val="0"/>
                  <w:marBottom w:val="0"/>
                  <w:divBdr>
                    <w:top w:val="none" w:sz="0" w:space="0" w:color="auto"/>
                    <w:left w:val="none" w:sz="0" w:space="0" w:color="auto"/>
                    <w:bottom w:val="none" w:sz="0" w:space="0" w:color="auto"/>
                    <w:right w:val="none" w:sz="0" w:space="0" w:color="auto"/>
                  </w:divBdr>
                </w:div>
                <w:div w:id="294143124">
                  <w:marLeft w:val="0"/>
                  <w:marRight w:val="0"/>
                  <w:marTop w:val="0"/>
                  <w:marBottom w:val="0"/>
                  <w:divBdr>
                    <w:top w:val="none" w:sz="0" w:space="0" w:color="auto"/>
                    <w:left w:val="none" w:sz="0" w:space="0" w:color="auto"/>
                    <w:bottom w:val="none" w:sz="0" w:space="0" w:color="auto"/>
                    <w:right w:val="none" w:sz="0" w:space="0" w:color="auto"/>
                  </w:divBdr>
                </w:div>
                <w:div w:id="294143235">
                  <w:marLeft w:val="0"/>
                  <w:marRight w:val="0"/>
                  <w:marTop w:val="0"/>
                  <w:marBottom w:val="0"/>
                  <w:divBdr>
                    <w:top w:val="none" w:sz="0" w:space="0" w:color="auto"/>
                    <w:left w:val="none" w:sz="0" w:space="0" w:color="auto"/>
                    <w:bottom w:val="none" w:sz="0" w:space="0" w:color="auto"/>
                    <w:right w:val="none" w:sz="0" w:space="0" w:color="auto"/>
                  </w:divBdr>
                </w:div>
                <w:div w:id="294143291">
                  <w:marLeft w:val="0"/>
                  <w:marRight w:val="0"/>
                  <w:marTop w:val="0"/>
                  <w:marBottom w:val="0"/>
                  <w:divBdr>
                    <w:top w:val="none" w:sz="0" w:space="0" w:color="auto"/>
                    <w:left w:val="none" w:sz="0" w:space="0" w:color="auto"/>
                    <w:bottom w:val="none" w:sz="0" w:space="0" w:color="auto"/>
                    <w:right w:val="none" w:sz="0" w:space="0" w:color="auto"/>
                  </w:divBdr>
                </w:div>
                <w:div w:id="294143318">
                  <w:marLeft w:val="0"/>
                  <w:marRight w:val="0"/>
                  <w:marTop w:val="0"/>
                  <w:marBottom w:val="0"/>
                  <w:divBdr>
                    <w:top w:val="none" w:sz="0" w:space="0" w:color="auto"/>
                    <w:left w:val="none" w:sz="0" w:space="0" w:color="auto"/>
                    <w:bottom w:val="none" w:sz="0" w:space="0" w:color="auto"/>
                    <w:right w:val="none" w:sz="0" w:space="0" w:color="auto"/>
                  </w:divBdr>
                </w:div>
                <w:div w:id="294143371">
                  <w:marLeft w:val="0"/>
                  <w:marRight w:val="0"/>
                  <w:marTop w:val="0"/>
                  <w:marBottom w:val="0"/>
                  <w:divBdr>
                    <w:top w:val="none" w:sz="0" w:space="0" w:color="auto"/>
                    <w:left w:val="none" w:sz="0" w:space="0" w:color="auto"/>
                    <w:bottom w:val="none" w:sz="0" w:space="0" w:color="auto"/>
                    <w:right w:val="none" w:sz="0" w:space="0" w:color="auto"/>
                  </w:divBdr>
                </w:div>
                <w:div w:id="294143715">
                  <w:marLeft w:val="0"/>
                  <w:marRight w:val="0"/>
                  <w:marTop w:val="0"/>
                  <w:marBottom w:val="0"/>
                  <w:divBdr>
                    <w:top w:val="none" w:sz="0" w:space="0" w:color="auto"/>
                    <w:left w:val="none" w:sz="0" w:space="0" w:color="auto"/>
                    <w:bottom w:val="none" w:sz="0" w:space="0" w:color="auto"/>
                    <w:right w:val="none" w:sz="0" w:space="0" w:color="auto"/>
                  </w:divBdr>
                </w:div>
                <w:div w:id="294143754">
                  <w:marLeft w:val="0"/>
                  <w:marRight w:val="0"/>
                  <w:marTop w:val="0"/>
                  <w:marBottom w:val="0"/>
                  <w:divBdr>
                    <w:top w:val="none" w:sz="0" w:space="0" w:color="auto"/>
                    <w:left w:val="none" w:sz="0" w:space="0" w:color="auto"/>
                    <w:bottom w:val="none" w:sz="0" w:space="0" w:color="auto"/>
                    <w:right w:val="none" w:sz="0" w:space="0" w:color="auto"/>
                  </w:divBdr>
                </w:div>
                <w:div w:id="294144245">
                  <w:marLeft w:val="0"/>
                  <w:marRight w:val="0"/>
                  <w:marTop w:val="0"/>
                  <w:marBottom w:val="0"/>
                  <w:divBdr>
                    <w:top w:val="none" w:sz="0" w:space="0" w:color="auto"/>
                    <w:left w:val="none" w:sz="0" w:space="0" w:color="auto"/>
                    <w:bottom w:val="none" w:sz="0" w:space="0" w:color="auto"/>
                    <w:right w:val="none" w:sz="0" w:space="0" w:color="auto"/>
                  </w:divBdr>
                </w:div>
                <w:div w:id="294144919">
                  <w:marLeft w:val="0"/>
                  <w:marRight w:val="0"/>
                  <w:marTop w:val="0"/>
                  <w:marBottom w:val="0"/>
                  <w:divBdr>
                    <w:top w:val="none" w:sz="0" w:space="0" w:color="auto"/>
                    <w:left w:val="none" w:sz="0" w:space="0" w:color="auto"/>
                    <w:bottom w:val="none" w:sz="0" w:space="0" w:color="auto"/>
                    <w:right w:val="none" w:sz="0" w:space="0" w:color="auto"/>
                  </w:divBdr>
                </w:div>
                <w:div w:id="294144956">
                  <w:marLeft w:val="0"/>
                  <w:marRight w:val="0"/>
                  <w:marTop w:val="0"/>
                  <w:marBottom w:val="0"/>
                  <w:divBdr>
                    <w:top w:val="none" w:sz="0" w:space="0" w:color="auto"/>
                    <w:left w:val="none" w:sz="0" w:space="0" w:color="auto"/>
                    <w:bottom w:val="none" w:sz="0" w:space="0" w:color="auto"/>
                    <w:right w:val="none" w:sz="0" w:space="0" w:color="auto"/>
                  </w:divBdr>
                </w:div>
                <w:div w:id="294144983">
                  <w:marLeft w:val="0"/>
                  <w:marRight w:val="0"/>
                  <w:marTop w:val="0"/>
                  <w:marBottom w:val="0"/>
                  <w:divBdr>
                    <w:top w:val="none" w:sz="0" w:space="0" w:color="auto"/>
                    <w:left w:val="none" w:sz="0" w:space="0" w:color="auto"/>
                    <w:bottom w:val="none" w:sz="0" w:space="0" w:color="auto"/>
                    <w:right w:val="none" w:sz="0" w:space="0" w:color="auto"/>
                  </w:divBdr>
                </w:div>
                <w:div w:id="294145020">
                  <w:marLeft w:val="0"/>
                  <w:marRight w:val="0"/>
                  <w:marTop w:val="0"/>
                  <w:marBottom w:val="0"/>
                  <w:divBdr>
                    <w:top w:val="none" w:sz="0" w:space="0" w:color="auto"/>
                    <w:left w:val="none" w:sz="0" w:space="0" w:color="auto"/>
                    <w:bottom w:val="none" w:sz="0" w:space="0" w:color="auto"/>
                    <w:right w:val="none" w:sz="0" w:space="0" w:color="auto"/>
                  </w:divBdr>
                </w:div>
                <w:div w:id="294145030">
                  <w:marLeft w:val="0"/>
                  <w:marRight w:val="0"/>
                  <w:marTop w:val="0"/>
                  <w:marBottom w:val="0"/>
                  <w:divBdr>
                    <w:top w:val="none" w:sz="0" w:space="0" w:color="auto"/>
                    <w:left w:val="none" w:sz="0" w:space="0" w:color="auto"/>
                    <w:bottom w:val="none" w:sz="0" w:space="0" w:color="auto"/>
                    <w:right w:val="none" w:sz="0" w:space="0" w:color="auto"/>
                  </w:divBdr>
                </w:div>
                <w:div w:id="294145050">
                  <w:marLeft w:val="0"/>
                  <w:marRight w:val="0"/>
                  <w:marTop w:val="0"/>
                  <w:marBottom w:val="0"/>
                  <w:divBdr>
                    <w:top w:val="none" w:sz="0" w:space="0" w:color="auto"/>
                    <w:left w:val="none" w:sz="0" w:space="0" w:color="auto"/>
                    <w:bottom w:val="none" w:sz="0" w:space="0" w:color="auto"/>
                    <w:right w:val="none" w:sz="0" w:space="0" w:color="auto"/>
                  </w:divBdr>
                </w:div>
                <w:div w:id="294145313">
                  <w:marLeft w:val="0"/>
                  <w:marRight w:val="0"/>
                  <w:marTop w:val="0"/>
                  <w:marBottom w:val="0"/>
                  <w:divBdr>
                    <w:top w:val="none" w:sz="0" w:space="0" w:color="auto"/>
                    <w:left w:val="none" w:sz="0" w:space="0" w:color="auto"/>
                    <w:bottom w:val="none" w:sz="0" w:space="0" w:color="auto"/>
                    <w:right w:val="none" w:sz="0" w:space="0" w:color="auto"/>
                  </w:divBdr>
                </w:div>
                <w:div w:id="294145526">
                  <w:marLeft w:val="0"/>
                  <w:marRight w:val="0"/>
                  <w:marTop w:val="0"/>
                  <w:marBottom w:val="0"/>
                  <w:divBdr>
                    <w:top w:val="none" w:sz="0" w:space="0" w:color="auto"/>
                    <w:left w:val="none" w:sz="0" w:space="0" w:color="auto"/>
                    <w:bottom w:val="none" w:sz="0" w:space="0" w:color="auto"/>
                    <w:right w:val="none" w:sz="0" w:space="0" w:color="auto"/>
                  </w:divBdr>
                </w:div>
                <w:div w:id="294145548">
                  <w:marLeft w:val="0"/>
                  <w:marRight w:val="0"/>
                  <w:marTop w:val="0"/>
                  <w:marBottom w:val="0"/>
                  <w:divBdr>
                    <w:top w:val="none" w:sz="0" w:space="0" w:color="auto"/>
                    <w:left w:val="none" w:sz="0" w:space="0" w:color="auto"/>
                    <w:bottom w:val="none" w:sz="0" w:space="0" w:color="auto"/>
                    <w:right w:val="none" w:sz="0" w:space="0" w:color="auto"/>
                  </w:divBdr>
                </w:div>
                <w:div w:id="294145579">
                  <w:marLeft w:val="0"/>
                  <w:marRight w:val="0"/>
                  <w:marTop w:val="0"/>
                  <w:marBottom w:val="0"/>
                  <w:divBdr>
                    <w:top w:val="none" w:sz="0" w:space="0" w:color="auto"/>
                    <w:left w:val="none" w:sz="0" w:space="0" w:color="auto"/>
                    <w:bottom w:val="none" w:sz="0" w:space="0" w:color="auto"/>
                    <w:right w:val="none" w:sz="0" w:space="0" w:color="auto"/>
                  </w:divBdr>
                </w:div>
                <w:div w:id="294145908">
                  <w:marLeft w:val="0"/>
                  <w:marRight w:val="0"/>
                  <w:marTop w:val="0"/>
                  <w:marBottom w:val="0"/>
                  <w:divBdr>
                    <w:top w:val="none" w:sz="0" w:space="0" w:color="auto"/>
                    <w:left w:val="none" w:sz="0" w:space="0" w:color="auto"/>
                    <w:bottom w:val="none" w:sz="0" w:space="0" w:color="auto"/>
                    <w:right w:val="none" w:sz="0" w:space="0" w:color="auto"/>
                  </w:divBdr>
                </w:div>
                <w:div w:id="294145945">
                  <w:marLeft w:val="0"/>
                  <w:marRight w:val="0"/>
                  <w:marTop w:val="0"/>
                  <w:marBottom w:val="0"/>
                  <w:divBdr>
                    <w:top w:val="none" w:sz="0" w:space="0" w:color="auto"/>
                    <w:left w:val="none" w:sz="0" w:space="0" w:color="auto"/>
                    <w:bottom w:val="none" w:sz="0" w:space="0" w:color="auto"/>
                    <w:right w:val="none" w:sz="0" w:space="0" w:color="auto"/>
                  </w:divBdr>
                </w:div>
                <w:div w:id="294147113">
                  <w:marLeft w:val="0"/>
                  <w:marRight w:val="0"/>
                  <w:marTop w:val="0"/>
                  <w:marBottom w:val="0"/>
                  <w:divBdr>
                    <w:top w:val="none" w:sz="0" w:space="0" w:color="auto"/>
                    <w:left w:val="none" w:sz="0" w:space="0" w:color="auto"/>
                    <w:bottom w:val="none" w:sz="0" w:space="0" w:color="auto"/>
                    <w:right w:val="none" w:sz="0" w:space="0" w:color="auto"/>
                  </w:divBdr>
                </w:div>
                <w:div w:id="294147153">
                  <w:marLeft w:val="0"/>
                  <w:marRight w:val="0"/>
                  <w:marTop w:val="0"/>
                  <w:marBottom w:val="0"/>
                  <w:divBdr>
                    <w:top w:val="none" w:sz="0" w:space="0" w:color="auto"/>
                    <w:left w:val="none" w:sz="0" w:space="0" w:color="auto"/>
                    <w:bottom w:val="none" w:sz="0" w:space="0" w:color="auto"/>
                    <w:right w:val="none" w:sz="0" w:space="0" w:color="auto"/>
                  </w:divBdr>
                </w:div>
                <w:div w:id="294147208">
                  <w:marLeft w:val="0"/>
                  <w:marRight w:val="0"/>
                  <w:marTop w:val="0"/>
                  <w:marBottom w:val="0"/>
                  <w:divBdr>
                    <w:top w:val="none" w:sz="0" w:space="0" w:color="auto"/>
                    <w:left w:val="none" w:sz="0" w:space="0" w:color="auto"/>
                    <w:bottom w:val="none" w:sz="0" w:space="0" w:color="auto"/>
                    <w:right w:val="none" w:sz="0" w:space="0" w:color="auto"/>
                  </w:divBdr>
                </w:div>
                <w:div w:id="294147326">
                  <w:marLeft w:val="0"/>
                  <w:marRight w:val="0"/>
                  <w:marTop w:val="0"/>
                  <w:marBottom w:val="0"/>
                  <w:divBdr>
                    <w:top w:val="none" w:sz="0" w:space="0" w:color="auto"/>
                    <w:left w:val="none" w:sz="0" w:space="0" w:color="auto"/>
                    <w:bottom w:val="none" w:sz="0" w:space="0" w:color="auto"/>
                    <w:right w:val="none" w:sz="0" w:space="0" w:color="auto"/>
                  </w:divBdr>
                </w:div>
                <w:div w:id="294147785">
                  <w:marLeft w:val="0"/>
                  <w:marRight w:val="0"/>
                  <w:marTop w:val="0"/>
                  <w:marBottom w:val="0"/>
                  <w:divBdr>
                    <w:top w:val="none" w:sz="0" w:space="0" w:color="auto"/>
                    <w:left w:val="none" w:sz="0" w:space="0" w:color="auto"/>
                    <w:bottom w:val="none" w:sz="0" w:space="0" w:color="auto"/>
                    <w:right w:val="none" w:sz="0" w:space="0" w:color="auto"/>
                  </w:divBdr>
                </w:div>
                <w:div w:id="294147798">
                  <w:marLeft w:val="0"/>
                  <w:marRight w:val="0"/>
                  <w:marTop w:val="0"/>
                  <w:marBottom w:val="0"/>
                  <w:divBdr>
                    <w:top w:val="none" w:sz="0" w:space="0" w:color="auto"/>
                    <w:left w:val="none" w:sz="0" w:space="0" w:color="auto"/>
                    <w:bottom w:val="none" w:sz="0" w:space="0" w:color="auto"/>
                    <w:right w:val="none" w:sz="0" w:space="0" w:color="auto"/>
                  </w:divBdr>
                </w:div>
                <w:div w:id="294148113">
                  <w:marLeft w:val="0"/>
                  <w:marRight w:val="0"/>
                  <w:marTop w:val="0"/>
                  <w:marBottom w:val="0"/>
                  <w:divBdr>
                    <w:top w:val="none" w:sz="0" w:space="0" w:color="auto"/>
                    <w:left w:val="none" w:sz="0" w:space="0" w:color="auto"/>
                    <w:bottom w:val="none" w:sz="0" w:space="0" w:color="auto"/>
                    <w:right w:val="none" w:sz="0" w:space="0" w:color="auto"/>
                  </w:divBdr>
                </w:div>
                <w:div w:id="294148168">
                  <w:marLeft w:val="0"/>
                  <w:marRight w:val="0"/>
                  <w:marTop w:val="0"/>
                  <w:marBottom w:val="0"/>
                  <w:divBdr>
                    <w:top w:val="none" w:sz="0" w:space="0" w:color="auto"/>
                    <w:left w:val="none" w:sz="0" w:space="0" w:color="auto"/>
                    <w:bottom w:val="none" w:sz="0" w:space="0" w:color="auto"/>
                    <w:right w:val="none" w:sz="0" w:space="0" w:color="auto"/>
                  </w:divBdr>
                </w:div>
                <w:div w:id="294148496">
                  <w:marLeft w:val="0"/>
                  <w:marRight w:val="0"/>
                  <w:marTop w:val="0"/>
                  <w:marBottom w:val="0"/>
                  <w:divBdr>
                    <w:top w:val="none" w:sz="0" w:space="0" w:color="auto"/>
                    <w:left w:val="none" w:sz="0" w:space="0" w:color="auto"/>
                    <w:bottom w:val="none" w:sz="0" w:space="0" w:color="auto"/>
                    <w:right w:val="none" w:sz="0" w:space="0" w:color="auto"/>
                  </w:divBdr>
                </w:div>
                <w:div w:id="294148640">
                  <w:marLeft w:val="0"/>
                  <w:marRight w:val="0"/>
                  <w:marTop w:val="0"/>
                  <w:marBottom w:val="0"/>
                  <w:divBdr>
                    <w:top w:val="none" w:sz="0" w:space="0" w:color="auto"/>
                    <w:left w:val="none" w:sz="0" w:space="0" w:color="auto"/>
                    <w:bottom w:val="none" w:sz="0" w:space="0" w:color="auto"/>
                    <w:right w:val="none" w:sz="0" w:space="0" w:color="auto"/>
                  </w:divBdr>
                </w:div>
                <w:div w:id="294149310">
                  <w:marLeft w:val="0"/>
                  <w:marRight w:val="0"/>
                  <w:marTop w:val="0"/>
                  <w:marBottom w:val="0"/>
                  <w:divBdr>
                    <w:top w:val="none" w:sz="0" w:space="0" w:color="auto"/>
                    <w:left w:val="none" w:sz="0" w:space="0" w:color="auto"/>
                    <w:bottom w:val="none" w:sz="0" w:space="0" w:color="auto"/>
                    <w:right w:val="none" w:sz="0" w:space="0" w:color="auto"/>
                  </w:divBdr>
                </w:div>
                <w:div w:id="294149448">
                  <w:marLeft w:val="0"/>
                  <w:marRight w:val="0"/>
                  <w:marTop w:val="0"/>
                  <w:marBottom w:val="0"/>
                  <w:divBdr>
                    <w:top w:val="none" w:sz="0" w:space="0" w:color="auto"/>
                    <w:left w:val="none" w:sz="0" w:space="0" w:color="auto"/>
                    <w:bottom w:val="none" w:sz="0" w:space="0" w:color="auto"/>
                    <w:right w:val="none" w:sz="0" w:space="0" w:color="auto"/>
                  </w:divBdr>
                </w:div>
                <w:div w:id="294149950">
                  <w:marLeft w:val="0"/>
                  <w:marRight w:val="0"/>
                  <w:marTop w:val="0"/>
                  <w:marBottom w:val="0"/>
                  <w:divBdr>
                    <w:top w:val="none" w:sz="0" w:space="0" w:color="auto"/>
                    <w:left w:val="none" w:sz="0" w:space="0" w:color="auto"/>
                    <w:bottom w:val="none" w:sz="0" w:space="0" w:color="auto"/>
                    <w:right w:val="none" w:sz="0" w:space="0" w:color="auto"/>
                  </w:divBdr>
                </w:div>
                <w:div w:id="294149975">
                  <w:marLeft w:val="0"/>
                  <w:marRight w:val="0"/>
                  <w:marTop w:val="0"/>
                  <w:marBottom w:val="0"/>
                  <w:divBdr>
                    <w:top w:val="none" w:sz="0" w:space="0" w:color="auto"/>
                    <w:left w:val="none" w:sz="0" w:space="0" w:color="auto"/>
                    <w:bottom w:val="none" w:sz="0" w:space="0" w:color="auto"/>
                    <w:right w:val="none" w:sz="0" w:space="0" w:color="auto"/>
                  </w:divBdr>
                </w:div>
                <w:div w:id="294150011">
                  <w:marLeft w:val="0"/>
                  <w:marRight w:val="0"/>
                  <w:marTop w:val="0"/>
                  <w:marBottom w:val="0"/>
                  <w:divBdr>
                    <w:top w:val="none" w:sz="0" w:space="0" w:color="auto"/>
                    <w:left w:val="none" w:sz="0" w:space="0" w:color="auto"/>
                    <w:bottom w:val="none" w:sz="0" w:space="0" w:color="auto"/>
                    <w:right w:val="none" w:sz="0" w:space="0" w:color="auto"/>
                  </w:divBdr>
                </w:div>
                <w:div w:id="294150017">
                  <w:marLeft w:val="0"/>
                  <w:marRight w:val="0"/>
                  <w:marTop w:val="0"/>
                  <w:marBottom w:val="0"/>
                  <w:divBdr>
                    <w:top w:val="none" w:sz="0" w:space="0" w:color="auto"/>
                    <w:left w:val="none" w:sz="0" w:space="0" w:color="auto"/>
                    <w:bottom w:val="none" w:sz="0" w:space="0" w:color="auto"/>
                    <w:right w:val="none" w:sz="0" w:space="0" w:color="auto"/>
                  </w:divBdr>
                </w:div>
                <w:div w:id="294150040">
                  <w:marLeft w:val="0"/>
                  <w:marRight w:val="0"/>
                  <w:marTop w:val="0"/>
                  <w:marBottom w:val="0"/>
                  <w:divBdr>
                    <w:top w:val="none" w:sz="0" w:space="0" w:color="auto"/>
                    <w:left w:val="none" w:sz="0" w:space="0" w:color="auto"/>
                    <w:bottom w:val="none" w:sz="0" w:space="0" w:color="auto"/>
                    <w:right w:val="none" w:sz="0" w:space="0" w:color="auto"/>
                  </w:divBdr>
                </w:div>
                <w:div w:id="294150218">
                  <w:marLeft w:val="0"/>
                  <w:marRight w:val="0"/>
                  <w:marTop w:val="0"/>
                  <w:marBottom w:val="0"/>
                  <w:divBdr>
                    <w:top w:val="none" w:sz="0" w:space="0" w:color="auto"/>
                    <w:left w:val="none" w:sz="0" w:space="0" w:color="auto"/>
                    <w:bottom w:val="none" w:sz="0" w:space="0" w:color="auto"/>
                    <w:right w:val="none" w:sz="0" w:space="0" w:color="auto"/>
                  </w:divBdr>
                </w:div>
                <w:div w:id="294150223">
                  <w:marLeft w:val="0"/>
                  <w:marRight w:val="0"/>
                  <w:marTop w:val="0"/>
                  <w:marBottom w:val="0"/>
                  <w:divBdr>
                    <w:top w:val="none" w:sz="0" w:space="0" w:color="auto"/>
                    <w:left w:val="none" w:sz="0" w:space="0" w:color="auto"/>
                    <w:bottom w:val="none" w:sz="0" w:space="0" w:color="auto"/>
                    <w:right w:val="none" w:sz="0" w:space="0" w:color="auto"/>
                  </w:divBdr>
                </w:div>
                <w:div w:id="294150516">
                  <w:marLeft w:val="0"/>
                  <w:marRight w:val="0"/>
                  <w:marTop w:val="0"/>
                  <w:marBottom w:val="0"/>
                  <w:divBdr>
                    <w:top w:val="none" w:sz="0" w:space="0" w:color="auto"/>
                    <w:left w:val="none" w:sz="0" w:space="0" w:color="auto"/>
                    <w:bottom w:val="none" w:sz="0" w:space="0" w:color="auto"/>
                    <w:right w:val="none" w:sz="0" w:space="0" w:color="auto"/>
                  </w:divBdr>
                </w:div>
                <w:div w:id="294150548">
                  <w:marLeft w:val="0"/>
                  <w:marRight w:val="0"/>
                  <w:marTop w:val="0"/>
                  <w:marBottom w:val="0"/>
                  <w:divBdr>
                    <w:top w:val="none" w:sz="0" w:space="0" w:color="auto"/>
                    <w:left w:val="none" w:sz="0" w:space="0" w:color="auto"/>
                    <w:bottom w:val="none" w:sz="0" w:space="0" w:color="auto"/>
                    <w:right w:val="none" w:sz="0" w:space="0" w:color="auto"/>
                  </w:divBdr>
                </w:div>
                <w:div w:id="294150654">
                  <w:marLeft w:val="0"/>
                  <w:marRight w:val="0"/>
                  <w:marTop w:val="0"/>
                  <w:marBottom w:val="0"/>
                  <w:divBdr>
                    <w:top w:val="none" w:sz="0" w:space="0" w:color="auto"/>
                    <w:left w:val="none" w:sz="0" w:space="0" w:color="auto"/>
                    <w:bottom w:val="none" w:sz="0" w:space="0" w:color="auto"/>
                    <w:right w:val="none" w:sz="0" w:space="0" w:color="auto"/>
                  </w:divBdr>
                </w:div>
                <w:div w:id="294150750">
                  <w:marLeft w:val="0"/>
                  <w:marRight w:val="0"/>
                  <w:marTop w:val="0"/>
                  <w:marBottom w:val="0"/>
                  <w:divBdr>
                    <w:top w:val="none" w:sz="0" w:space="0" w:color="auto"/>
                    <w:left w:val="none" w:sz="0" w:space="0" w:color="auto"/>
                    <w:bottom w:val="none" w:sz="0" w:space="0" w:color="auto"/>
                    <w:right w:val="none" w:sz="0" w:space="0" w:color="auto"/>
                  </w:divBdr>
                </w:div>
                <w:div w:id="294150890">
                  <w:marLeft w:val="0"/>
                  <w:marRight w:val="0"/>
                  <w:marTop w:val="0"/>
                  <w:marBottom w:val="0"/>
                  <w:divBdr>
                    <w:top w:val="none" w:sz="0" w:space="0" w:color="auto"/>
                    <w:left w:val="none" w:sz="0" w:space="0" w:color="auto"/>
                    <w:bottom w:val="none" w:sz="0" w:space="0" w:color="auto"/>
                    <w:right w:val="none" w:sz="0" w:space="0" w:color="auto"/>
                  </w:divBdr>
                </w:div>
                <w:div w:id="294151068">
                  <w:marLeft w:val="0"/>
                  <w:marRight w:val="0"/>
                  <w:marTop w:val="0"/>
                  <w:marBottom w:val="0"/>
                  <w:divBdr>
                    <w:top w:val="none" w:sz="0" w:space="0" w:color="auto"/>
                    <w:left w:val="none" w:sz="0" w:space="0" w:color="auto"/>
                    <w:bottom w:val="none" w:sz="0" w:space="0" w:color="auto"/>
                    <w:right w:val="none" w:sz="0" w:space="0" w:color="auto"/>
                  </w:divBdr>
                </w:div>
                <w:div w:id="294151293">
                  <w:marLeft w:val="0"/>
                  <w:marRight w:val="0"/>
                  <w:marTop w:val="0"/>
                  <w:marBottom w:val="0"/>
                  <w:divBdr>
                    <w:top w:val="none" w:sz="0" w:space="0" w:color="auto"/>
                    <w:left w:val="none" w:sz="0" w:space="0" w:color="auto"/>
                    <w:bottom w:val="none" w:sz="0" w:space="0" w:color="auto"/>
                    <w:right w:val="none" w:sz="0" w:space="0" w:color="auto"/>
                  </w:divBdr>
                </w:div>
                <w:div w:id="294151342">
                  <w:marLeft w:val="0"/>
                  <w:marRight w:val="0"/>
                  <w:marTop w:val="0"/>
                  <w:marBottom w:val="0"/>
                  <w:divBdr>
                    <w:top w:val="none" w:sz="0" w:space="0" w:color="auto"/>
                    <w:left w:val="none" w:sz="0" w:space="0" w:color="auto"/>
                    <w:bottom w:val="none" w:sz="0" w:space="0" w:color="auto"/>
                    <w:right w:val="none" w:sz="0" w:space="0" w:color="auto"/>
                  </w:divBdr>
                </w:div>
                <w:div w:id="294151366">
                  <w:marLeft w:val="0"/>
                  <w:marRight w:val="0"/>
                  <w:marTop w:val="0"/>
                  <w:marBottom w:val="0"/>
                  <w:divBdr>
                    <w:top w:val="none" w:sz="0" w:space="0" w:color="auto"/>
                    <w:left w:val="none" w:sz="0" w:space="0" w:color="auto"/>
                    <w:bottom w:val="none" w:sz="0" w:space="0" w:color="auto"/>
                    <w:right w:val="none" w:sz="0" w:space="0" w:color="auto"/>
                  </w:divBdr>
                </w:div>
                <w:div w:id="294151539">
                  <w:marLeft w:val="0"/>
                  <w:marRight w:val="0"/>
                  <w:marTop w:val="0"/>
                  <w:marBottom w:val="0"/>
                  <w:divBdr>
                    <w:top w:val="none" w:sz="0" w:space="0" w:color="auto"/>
                    <w:left w:val="none" w:sz="0" w:space="0" w:color="auto"/>
                    <w:bottom w:val="none" w:sz="0" w:space="0" w:color="auto"/>
                    <w:right w:val="none" w:sz="0" w:space="0" w:color="auto"/>
                  </w:divBdr>
                </w:div>
                <w:div w:id="294151599">
                  <w:marLeft w:val="0"/>
                  <w:marRight w:val="0"/>
                  <w:marTop w:val="0"/>
                  <w:marBottom w:val="0"/>
                  <w:divBdr>
                    <w:top w:val="none" w:sz="0" w:space="0" w:color="auto"/>
                    <w:left w:val="none" w:sz="0" w:space="0" w:color="auto"/>
                    <w:bottom w:val="none" w:sz="0" w:space="0" w:color="auto"/>
                    <w:right w:val="none" w:sz="0" w:space="0" w:color="auto"/>
                  </w:divBdr>
                </w:div>
                <w:div w:id="294151659">
                  <w:marLeft w:val="0"/>
                  <w:marRight w:val="0"/>
                  <w:marTop w:val="0"/>
                  <w:marBottom w:val="0"/>
                  <w:divBdr>
                    <w:top w:val="none" w:sz="0" w:space="0" w:color="auto"/>
                    <w:left w:val="none" w:sz="0" w:space="0" w:color="auto"/>
                    <w:bottom w:val="none" w:sz="0" w:space="0" w:color="auto"/>
                    <w:right w:val="none" w:sz="0" w:space="0" w:color="auto"/>
                  </w:divBdr>
                </w:div>
                <w:div w:id="294151686">
                  <w:marLeft w:val="0"/>
                  <w:marRight w:val="0"/>
                  <w:marTop w:val="0"/>
                  <w:marBottom w:val="0"/>
                  <w:divBdr>
                    <w:top w:val="none" w:sz="0" w:space="0" w:color="auto"/>
                    <w:left w:val="none" w:sz="0" w:space="0" w:color="auto"/>
                    <w:bottom w:val="none" w:sz="0" w:space="0" w:color="auto"/>
                    <w:right w:val="none" w:sz="0" w:space="0" w:color="auto"/>
                  </w:divBdr>
                </w:div>
                <w:div w:id="294151888">
                  <w:marLeft w:val="0"/>
                  <w:marRight w:val="0"/>
                  <w:marTop w:val="0"/>
                  <w:marBottom w:val="0"/>
                  <w:divBdr>
                    <w:top w:val="none" w:sz="0" w:space="0" w:color="auto"/>
                    <w:left w:val="none" w:sz="0" w:space="0" w:color="auto"/>
                    <w:bottom w:val="none" w:sz="0" w:space="0" w:color="auto"/>
                    <w:right w:val="none" w:sz="0" w:space="0" w:color="auto"/>
                  </w:divBdr>
                </w:div>
                <w:div w:id="294151953">
                  <w:marLeft w:val="0"/>
                  <w:marRight w:val="0"/>
                  <w:marTop w:val="0"/>
                  <w:marBottom w:val="0"/>
                  <w:divBdr>
                    <w:top w:val="none" w:sz="0" w:space="0" w:color="auto"/>
                    <w:left w:val="none" w:sz="0" w:space="0" w:color="auto"/>
                    <w:bottom w:val="none" w:sz="0" w:space="0" w:color="auto"/>
                    <w:right w:val="none" w:sz="0" w:space="0" w:color="auto"/>
                  </w:divBdr>
                </w:div>
                <w:div w:id="294152114">
                  <w:marLeft w:val="0"/>
                  <w:marRight w:val="0"/>
                  <w:marTop w:val="0"/>
                  <w:marBottom w:val="0"/>
                  <w:divBdr>
                    <w:top w:val="none" w:sz="0" w:space="0" w:color="auto"/>
                    <w:left w:val="none" w:sz="0" w:space="0" w:color="auto"/>
                    <w:bottom w:val="none" w:sz="0" w:space="0" w:color="auto"/>
                    <w:right w:val="none" w:sz="0" w:space="0" w:color="auto"/>
                  </w:divBdr>
                </w:div>
                <w:div w:id="294152179">
                  <w:marLeft w:val="0"/>
                  <w:marRight w:val="0"/>
                  <w:marTop w:val="0"/>
                  <w:marBottom w:val="0"/>
                  <w:divBdr>
                    <w:top w:val="none" w:sz="0" w:space="0" w:color="auto"/>
                    <w:left w:val="none" w:sz="0" w:space="0" w:color="auto"/>
                    <w:bottom w:val="none" w:sz="0" w:space="0" w:color="auto"/>
                    <w:right w:val="none" w:sz="0" w:space="0" w:color="auto"/>
                  </w:divBdr>
                </w:div>
                <w:div w:id="294152455">
                  <w:marLeft w:val="0"/>
                  <w:marRight w:val="0"/>
                  <w:marTop w:val="0"/>
                  <w:marBottom w:val="0"/>
                  <w:divBdr>
                    <w:top w:val="none" w:sz="0" w:space="0" w:color="auto"/>
                    <w:left w:val="none" w:sz="0" w:space="0" w:color="auto"/>
                    <w:bottom w:val="none" w:sz="0" w:space="0" w:color="auto"/>
                    <w:right w:val="none" w:sz="0" w:space="0" w:color="auto"/>
                  </w:divBdr>
                </w:div>
                <w:div w:id="294152573">
                  <w:marLeft w:val="0"/>
                  <w:marRight w:val="0"/>
                  <w:marTop w:val="0"/>
                  <w:marBottom w:val="0"/>
                  <w:divBdr>
                    <w:top w:val="none" w:sz="0" w:space="0" w:color="auto"/>
                    <w:left w:val="none" w:sz="0" w:space="0" w:color="auto"/>
                    <w:bottom w:val="none" w:sz="0" w:space="0" w:color="auto"/>
                    <w:right w:val="none" w:sz="0" w:space="0" w:color="auto"/>
                  </w:divBdr>
                </w:div>
                <w:div w:id="294152669">
                  <w:marLeft w:val="0"/>
                  <w:marRight w:val="0"/>
                  <w:marTop w:val="0"/>
                  <w:marBottom w:val="0"/>
                  <w:divBdr>
                    <w:top w:val="none" w:sz="0" w:space="0" w:color="auto"/>
                    <w:left w:val="none" w:sz="0" w:space="0" w:color="auto"/>
                    <w:bottom w:val="none" w:sz="0" w:space="0" w:color="auto"/>
                    <w:right w:val="none" w:sz="0" w:space="0" w:color="auto"/>
                  </w:divBdr>
                </w:div>
                <w:div w:id="294152702">
                  <w:marLeft w:val="0"/>
                  <w:marRight w:val="0"/>
                  <w:marTop w:val="0"/>
                  <w:marBottom w:val="0"/>
                  <w:divBdr>
                    <w:top w:val="none" w:sz="0" w:space="0" w:color="auto"/>
                    <w:left w:val="none" w:sz="0" w:space="0" w:color="auto"/>
                    <w:bottom w:val="none" w:sz="0" w:space="0" w:color="auto"/>
                    <w:right w:val="none" w:sz="0" w:space="0" w:color="auto"/>
                  </w:divBdr>
                </w:div>
                <w:div w:id="294152795">
                  <w:marLeft w:val="0"/>
                  <w:marRight w:val="0"/>
                  <w:marTop w:val="0"/>
                  <w:marBottom w:val="0"/>
                  <w:divBdr>
                    <w:top w:val="none" w:sz="0" w:space="0" w:color="auto"/>
                    <w:left w:val="none" w:sz="0" w:space="0" w:color="auto"/>
                    <w:bottom w:val="none" w:sz="0" w:space="0" w:color="auto"/>
                    <w:right w:val="none" w:sz="0" w:space="0" w:color="auto"/>
                  </w:divBdr>
                </w:div>
                <w:div w:id="294153132">
                  <w:marLeft w:val="0"/>
                  <w:marRight w:val="0"/>
                  <w:marTop w:val="0"/>
                  <w:marBottom w:val="0"/>
                  <w:divBdr>
                    <w:top w:val="none" w:sz="0" w:space="0" w:color="auto"/>
                    <w:left w:val="none" w:sz="0" w:space="0" w:color="auto"/>
                    <w:bottom w:val="none" w:sz="0" w:space="0" w:color="auto"/>
                    <w:right w:val="none" w:sz="0" w:space="0" w:color="auto"/>
                  </w:divBdr>
                </w:div>
                <w:div w:id="294153255">
                  <w:marLeft w:val="0"/>
                  <w:marRight w:val="0"/>
                  <w:marTop w:val="0"/>
                  <w:marBottom w:val="0"/>
                  <w:divBdr>
                    <w:top w:val="none" w:sz="0" w:space="0" w:color="auto"/>
                    <w:left w:val="none" w:sz="0" w:space="0" w:color="auto"/>
                    <w:bottom w:val="none" w:sz="0" w:space="0" w:color="auto"/>
                    <w:right w:val="none" w:sz="0" w:space="0" w:color="auto"/>
                  </w:divBdr>
                </w:div>
                <w:div w:id="294153423">
                  <w:marLeft w:val="0"/>
                  <w:marRight w:val="0"/>
                  <w:marTop w:val="0"/>
                  <w:marBottom w:val="0"/>
                  <w:divBdr>
                    <w:top w:val="none" w:sz="0" w:space="0" w:color="auto"/>
                    <w:left w:val="none" w:sz="0" w:space="0" w:color="auto"/>
                    <w:bottom w:val="none" w:sz="0" w:space="0" w:color="auto"/>
                    <w:right w:val="none" w:sz="0" w:space="0" w:color="auto"/>
                  </w:divBdr>
                </w:div>
                <w:div w:id="294153521">
                  <w:marLeft w:val="0"/>
                  <w:marRight w:val="0"/>
                  <w:marTop w:val="0"/>
                  <w:marBottom w:val="0"/>
                  <w:divBdr>
                    <w:top w:val="none" w:sz="0" w:space="0" w:color="auto"/>
                    <w:left w:val="none" w:sz="0" w:space="0" w:color="auto"/>
                    <w:bottom w:val="none" w:sz="0" w:space="0" w:color="auto"/>
                    <w:right w:val="none" w:sz="0" w:space="0" w:color="auto"/>
                  </w:divBdr>
                </w:div>
                <w:div w:id="294153567">
                  <w:marLeft w:val="0"/>
                  <w:marRight w:val="0"/>
                  <w:marTop w:val="0"/>
                  <w:marBottom w:val="0"/>
                  <w:divBdr>
                    <w:top w:val="none" w:sz="0" w:space="0" w:color="auto"/>
                    <w:left w:val="none" w:sz="0" w:space="0" w:color="auto"/>
                    <w:bottom w:val="none" w:sz="0" w:space="0" w:color="auto"/>
                    <w:right w:val="none" w:sz="0" w:space="0" w:color="auto"/>
                  </w:divBdr>
                </w:div>
                <w:div w:id="294153644">
                  <w:marLeft w:val="0"/>
                  <w:marRight w:val="0"/>
                  <w:marTop w:val="0"/>
                  <w:marBottom w:val="0"/>
                  <w:divBdr>
                    <w:top w:val="none" w:sz="0" w:space="0" w:color="auto"/>
                    <w:left w:val="none" w:sz="0" w:space="0" w:color="auto"/>
                    <w:bottom w:val="none" w:sz="0" w:space="0" w:color="auto"/>
                    <w:right w:val="none" w:sz="0" w:space="0" w:color="auto"/>
                  </w:divBdr>
                </w:div>
                <w:div w:id="294153703">
                  <w:marLeft w:val="0"/>
                  <w:marRight w:val="0"/>
                  <w:marTop w:val="0"/>
                  <w:marBottom w:val="0"/>
                  <w:divBdr>
                    <w:top w:val="none" w:sz="0" w:space="0" w:color="auto"/>
                    <w:left w:val="none" w:sz="0" w:space="0" w:color="auto"/>
                    <w:bottom w:val="none" w:sz="0" w:space="0" w:color="auto"/>
                    <w:right w:val="none" w:sz="0" w:space="0" w:color="auto"/>
                  </w:divBdr>
                </w:div>
                <w:div w:id="294154466">
                  <w:marLeft w:val="0"/>
                  <w:marRight w:val="0"/>
                  <w:marTop w:val="0"/>
                  <w:marBottom w:val="0"/>
                  <w:divBdr>
                    <w:top w:val="none" w:sz="0" w:space="0" w:color="auto"/>
                    <w:left w:val="none" w:sz="0" w:space="0" w:color="auto"/>
                    <w:bottom w:val="none" w:sz="0" w:space="0" w:color="auto"/>
                    <w:right w:val="none" w:sz="0" w:space="0" w:color="auto"/>
                  </w:divBdr>
                </w:div>
                <w:div w:id="294154474">
                  <w:marLeft w:val="0"/>
                  <w:marRight w:val="0"/>
                  <w:marTop w:val="0"/>
                  <w:marBottom w:val="0"/>
                  <w:divBdr>
                    <w:top w:val="none" w:sz="0" w:space="0" w:color="auto"/>
                    <w:left w:val="none" w:sz="0" w:space="0" w:color="auto"/>
                    <w:bottom w:val="none" w:sz="0" w:space="0" w:color="auto"/>
                    <w:right w:val="none" w:sz="0" w:space="0" w:color="auto"/>
                  </w:divBdr>
                </w:div>
                <w:div w:id="294154589">
                  <w:marLeft w:val="0"/>
                  <w:marRight w:val="0"/>
                  <w:marTop w:val="0"/>
                  <w:marBottom w:val="0"/>
                  <w:divBdr>
                    <w:top w:val="none" w:sz="0" w:space="0" w:color="auto"/>
                    <w:left w:val="none" w:sz="0" w:space="0" w:color="auto"/>
                    <w:bottom w:val="none" w:sz="0" w:space="0" w:color="auto"/>
                    <w:right w:val="none" w:sz="0" w:space="0" w:color="auto"/>
                  </w:divBdr>
                </w:div>
                <w:div w:id="294154866">
                  <w:marLeft w:val="0"/>
                  <w:marRight w:val="0"/>
                  <w:marTop w:val="0"/>
                  <w:marBottom w:val="0"/>
                  <w:divBdr>
                    <w:top w:val="none" w:sz="0" w:space="0" w:color="auto"/>
                    <w:left w:val="none" w:sz="0" w:space="0" w:color="auto"/>
                    <w:bottom w:val="none" w:sz="0" w:space="0" w:color="auto"/>
                    <w:right w:val="none" w:sz="0" w:space="0" w:color="auto"/>
                  </w:divBdr>
                </w:div>
                <w:div w:id="294155131">
                  <w:marLeft w:val="0"/>
                  <w:marRight w:val="0"/>
                  <w:marTop w:val="0"/>
                  <w:marBottom w:val="0"/>
                  <w:divBdr>
                    <w:top w:val="none" w:sz="0" w:space="0" w:color="auto"/>
                    <w:left w:val="none" w:sz="0" w:space="0" w:color="auto"/>
                    <w:bottom w:val="none" w:sz="0" w:space="0" w:color="auto"/>
                    <w:right w:val="none" w:sz="0" w:space="0" w:color="auto"/>
                  </w:divBdr>
                </w:div>
                <w:div w:id="294155133">
                  <w:marLeft w:val="0"/>
                  <w:marRight w:val="0"/>
                  <w:marTop w:val="0"/>
                  <w:marBottom w:val="0"/>
                  <w:divBdr>
                    <w:top w:val="none" w:sz="0" w:space="0" w:color="auto"/>
                    <w:left w:val="none" w:sz="0" w:space="0" w:color="auto"/>
                    <w:bottom w:val="none" w:sz="0" w:space="0" w:color="auto"/>
                    <w:right w:val="none" w:sz="0" w:space="0" w:color="auto"/>
                  </w:divBdr>
                </w:div>
                <w:div w:id="294155417">
                  <w:marLeft w:val="0"/>
                  <w:marRight w:val="0"/>
                  <w:marTop w:val="0"/>
                  <w:marBottom w:val="0"/>
                  <w:divBdr>
                    <w:top w:val="none" w:sz="0" w:space="0" w:color="auto"/>
                    <w:left w:val="none" w:sz="0" w:space="0" w:color="auto"/>
                    <w:bottom w:val="none" w:sz="0" w:space="0" w:color="auto"/>
                    <w:right w:val="none" w:sz="0" w:space="0" w:color="auto"/>
                  </w:divBdr>
                </w:div>
                <w:div w:id="294155433">
                  <w:marLeft w:val="0"/>
                  <w:marRight w:val="0"/>
                  <w:marTop w:val="0"/>
                  <w:marBottom w:val="0"/>
                  <w:divBdr>
                    <w:top w:val="none" w:sz="0" w:space="0" w:color="auto"/>
                    <w:left w:val="none" w:sz="0" w:space="0" w:color="auto"/>
                    <w:bottom w:val="none" w:sz="0" w:space="0" w:color="auto"/>
                    <w:right w:val="none" w:sz="0" w:space="0" w:color="auto"/>
                  </w:divBdr>
                </w:div>
                <w:div w:id="294155481">
                  <w:marLeft w:val="0"/>
                  <w:marRight w:val="0"/>
                  <w:marTop w:val="0"/>
                  <w:marBottom w:val="0"/>
                  <w:divBdr>
                    <w:top w:val="none" w:sz="0" w:space="0" w:color="auto"/>
                    <w:left w:val="none" w:sz="0" w:space="0" w:color="auto"/>
                    <w:bottom w:val="none" w:sz="0" w:space="0" w:color="auto"/>
                    <w:right w:val="none" w:sz="0" w:space="0" w:color="auto"/>
                  </w:divBdr>
                </w:div>
                <w:div w:id="294155485">
                  <w:marLeft w:val="0"/>
                  <w:marRight w:val="0"/>
                  <w:marTop w:val="0"/>
                  <w:marBottom w:val="0"/>
                  <w:divBdr>
                    <w:top w:val="none" w:sz="0" w:space="0" w:color="auto"/>
                    <w:left w:val="none" w:sz="0" w:space="0" w:color="auto"/>
                    <w:bottom w:val="none" w:sz="0" w:space="0" w:color="auto"/>
                    <w:right w:val="none" w:sz="0" w:space="0" w:color="auto"/>
                  </w:divBdr>
                </w:div>
                <w:div w:id="294155491">
                  <w:marLeft w:val="0"/>
                  <w:marRight w:val="0"/>
                  <w:marTop w:val="0"/>
                  <w:marBottom w:val="0"/>
                  <w:divBdr>
                    <w:top w:val="none" w:sz="0" w:space="0" w:color="auto"/>
                    <w:left w:val="none" w:sz="0" w:space="0" w:color="auto"/>
                    <w:bottom w:val="none" w:sz="0" w:space="0" w:color="auto"/>
                    <w:right w:val="none" w:sz="0" w:space="0" w:color="auto"/>
                  </w:divBdr>
                </w:div>
                <w:div w:id="294155678">
                  <w:marLeft w:val="0"/>
                  <w:marRight w:val="0"/>
                  <w:marTop w:val="0"/>
                  <w:marBottom w:val="0"/>
                  <w:divBdr>
                    <w:top w:val="none" w:sz="0" w:space="0" w:color="auto"/>
                    <w:left w:val="none" w:sz="0" w:space="0" w:color="auto"/>
                    <w:bottom w:val="none" w:sz="0" w:space="0" w:color="auto"/>
                    <w:right w:val="none" w:sz="0" w:space="0" w:color="auto"/>
                  </w:divBdr>
                </w:div>
                <w:div w:id="294155691">
                  <w:marLeft w:val="0"/>
                  <w:marRight w:val="0"/>
                  <w:marTop w:val="0"/>
                  <w:marBottom w:val="0"/>
                  <w:divBdr>
                    <w:top w:val="none" w:sz="0" w:space="0" w:color="auto"/>
                    <w:left w:val="none" w:sz="0" w:space="0" w:color="auto"/>
                    <w:bottom w:val="none" w:sz="0" w:space="0" w:color="auto"/>
                    <w:right w:val="none" w:sz="0" w:space="0" w:color="auto"/>
                  </w:divBdr>
                </w:div>
                <w:div w:id="294156131">
                  <w:marLeft w:val="0"/>
                  <w:marRight w:val="0"/>
                  <w:marTop w:val="0"/>
                  <w:marBottom w:val="0"/>
                  <w:divBdr>
                    <w:top w:val="none" w:sz="0" w:space="0" w:color="auto"/>
                    <w:left w:val="none" w:sz="0" w:space="0" w:color="auto"/>
                    <w:bottom w:val="none" w:sz="0" w:space="0" w:color="auto"/>
                    <w:right w:val="none" w:sz="0" w:space="0" w:color="auto"/>
                  </w:divBdr>
                </w:div>
                <w:div w:id="294156229">
                  <w:marLeft w:val="0"/>
                  <w:marRight w:val="0"/>
                  <w:marTop w:val="0"/>
                  <w:marBottom w:val="0"/>
                  <w:divBdr>
                    <w:top w:val="none" w:sz="0" w:space="0" w:color="auto"/>
                    <w:left w:val="none" w:sz="0" w:space="0" w:color="auto"/>
                    <w:bottom w:val="none" w:sz="0" w:space="0" w:color="auto"/>
                    <w:right w:val="none" w:sz="0" w:space="0" w:color="auto"/>
                  </w:divBdr>
                </w:div>
                <w:div w:id="294156251">
                  <w:marLeft w:val="0"/>
                  <w:marRight w:val="0"/>
                  <w:marTop w:val="0"/>
                  <w:marBottom w:val="0"/>
                  <w:divBdr>
                    <w:top w:val="none" w:sz="0" w:space="0" w:color="auto"/>
                    <w:left w:val="none" w:sz="0" w:space="0" w:color="auto"/>
                    <w:bottom w:val="none" w:sz="0" w:space="0" w:color="auto"/>
                    <w:right w:val="none" w:sz="0" w:space="0" w:color="auto"/>
                  </w:divBdr>
                </w:div>
                <w:div w:id="294156434">
                  <w:marLeft w:val="0"/>
                  <w:marRight w:val="0"/>
                  <w:marTop w:val="0"/>
                  <w:marBottom w:val="0"/>
                  <w:divBdr>
                    <w:top w:val="none" w:sz="0" w:space="0" w:color="auto"/>
                    <w:left w:val="none" w:sz="0" w:space="0" w:color="auto"/>
                    <w:bottom w:val="none" w:sz="0" w:space="0" w:color="auto"/>
                    <w:right w:val="none" w:sz="0" w:space="0" w:color="auto"/>
                  </w:divBdr>
                </w:div>
                <w:div w:id="294156727">
                  <w:marLeft w:val="0"/>
                  <w:marRight w:val="0"/>
                  <w:marTop w:val="0"/>
                  <w:marBottom w:val="0"/>
                  <w:divBdr>
                    <w:top w:val="none" w:sz="0" w:space="0" w:color="auto"/>
                    <w:left w:val="none" w:sz="0" w:space="0" w:color="auto"/>
                    <w:bottom w:val="none" w:sz="0" w:space="0" w:color="auto"/>
                    <w:right w:val="none" w:sz="0" w:space="0" w:color="auto"/>
                  </w:divBdr>
                </w:div>
                <w:div w:id="294156785">
                  <w:marLeft w:val="0"/>
                  <w:marRight w:val="0"/>
                  <w:marTop w:val="0"/>
                  <w:marBottom w:val="0"/>
                  <w:divBdr>
                    <w:top w:val="none" w:sz="0" w:space="0" w:color="auto"/>
                    <w:left w:val="none" w:sz="0" w:space="0" w:color="auto"/>
                    <w:bottom w:val="none" w:sz="0" w:space="0" w:color="auto"/>
                    <w:right w:val="none" w:sz="0" w:space="0" w:color="auto"/>
                  </w:divBdr>
                </w:div>
                <w:div w:id="294156875">
                  <w:marLeft w:val="0"/>
                  <w:marRight w:val="0"/>
                  <w:marTop w:val="0"/>
                  <w:marBottom w:val="0"/>
                  <w:divBdr>
                    <w:top w:val="none" w:sz="0" w:space="0" w:color="auto"/>
                    <w:left w:val="none" w:sz="0" w:space="0" w:color="auto"/>
                    <w:bottom w:val="none" w:sz="0" w:space="0" w:color="auto"/>
                    <w:right w:val="none" w:sz="0" w:space="0" w:color="auto"/>
                  </w:divBdr>
                </w:div>
                <w:div w:id="294156888">
                  <w:marLeft w:val="0"/>
                  <w:marRight w:val="0"/>
                  <w:marTop w:val="0"/>
                  <w:marBottom w:val="0"/>
                  <w:divBdr>
                    <w:top w:val="none" w:sz="0" w:space="0" w:color="auto"/>
                    <w:left w:val="none" w:sz="0" w:space="0" w:color="auto"/>
                    <w:bottom w:val="none" w:sz="0" w:space="0" w:color="auto"/>
                    <w:right w:val="none" w:sz="0" w:space="0" w:color="auto"/>
                  </w:divBdr>
                </w:div>
                <w:div w:id="294157021">
                  <w:marLeft w:val="0"/>
                  <w:marRight w:val="0"/>
                  <w:marTop w:val="0"/>
                  <w:marBottom w:val="0"/>
                  <w:divBdr>
                    <w:top w:val="none" w:sz="0" w:space="0" w:color="auto"/>
                    <w:left w:val="none" w:sz="0" w:space="0" w:color="auto"/>
                    <w:bottom w:val="none" w:sz="0" w:space="0" w:color="auto"/>
                    <w:right w:val="none" w:sz="0" w:space="0" w:color="auto"/>
                  </w:divBdr>
                </w:div>
                <w:div w:id="294157041">
                  <w:marLeft w:val="0"/>
                  <w:marRight w:val="0"/>
                  <w:marTop w:val="0"/>
                  <w:marBottom w:val="0"/>
                  <w:divBdr>
                    <w:top w:val="none" w:sz="0" w:space="0" w:color="auto"/>
                    <w:left w:val="none" w:sz="0" w:space="0" w:color="auto"/>
                    <w:bottom w:val="none" w:sz="0" w:space="0" w:color="auto"/>
                    <w:right w:val="none" w:sz="0" w:space="0" w:color="auto"/>
                  </w:divBdr>
                </w:div>
                <w:div w:id="294157258">
                  <w:marLeft w:val="0"/>
                  <w:marRight w:val="0"/>
                  <w:marTop w:val="0"/>
                  <w:marBottom w:val="0"/>
                  <w:divBdr>
                    <w:top w:val="none" w:sz="0" w:space="0" w:color="auto"/>
                    <w:left w:val="none" w:sz="0" w:space="0" w:color="auto"/>
                    <w:bottom w:val="none" w:sz="0" w:space="0" w:color="auto"/>
                    <w:right w:val="none" w:sz="0" w:space="0" w:color="auto"/>
                  </w:divBdr>
                </w:div>
                <w:div w:id="29415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47664">
      <w:marLeft w:val="0"/>
      <w:marRight w:val="0"/>
      <w:marTop w:val="0"/>
      <w:marBottom w:val="0"/>
      <w:divBdr>
        <w:top w:val="none" w:sz="0" w:space="0" w:color="auto"/>
        <w:left w:val="none" w:sz="0" w:space="0" w:color="auto"/>
        <w:bottom w:val="none" w:sz="0" w:space="0" w:color="auto"/>
        <w:right w:val="none" w:sz="0" w:space="0" w:color="auto"/>
      </w:divBdr>
    </w:div>
    <w:div w:id="294147669">
      <w:marLeft w:val="0"/>
      <w:marRight w:val="0"/>
      <w:marTop w:val="0"/>
      <w:marBottom w:val="0"/>
      <w:divBdr>
        <w:top w:val="none" w:sz="0" w:space="0" w:color="auto"/>
        <w:left w:val="none" w:sz="0" w:space="0" w:color="auto"/>
        <w:bottom w:val="none" w:sz="0" w:space="0" w:color="auto"/>
        <w:right w:val="none" w:sz="0" w:space="0" w:color="auto"/>
      </w:divBdr>
    </w:div>
    <w:div w:id="294147689">
      <w:marLeft w:val="0"/>
      <w:marRight w:val="0"/>
      <w:marTop w:val="0"/>
      <w:marBottom w:val="0"/>
      <w:divBdr>
        <w:top w:val="none" w:sz="0" w:space="0" w:color="auto"/>
        <w:left w:val="none" w:sz="0" w:space="0" w:color="auto"/>
        <w:bottom w:val="none" w:sz="0" w:space="0" w:color="auto"/>
        <w:right w:val="none" w:sz="0" w:space="0" w:color="auto"/>
      </w:divBdr>
    </w:div>
    <w:div w:id="294147700">
      <w:marLeft w:val="0"/>
      <w:marRight w:val="0"/>
      <w:marTop w:val="0"/>
      <w:marBottom w:val="0"/>
      <w:divBdr>
        <w:top w:val="none" w:sz="0" w:space="0" w:color="auto"/>
        <w:left w:val="none" w:sz="0" w:space="0" w:color="auto"/>
        <w:bottom w:val="none" w:sz="0" w:space="0" w:color="auto"/>
        <w:right w:val="none" w:sz="0" w:space="0" w:color="auto"/>
      </w:divBdr>
    </w:div>
    <w:div w:id="294147797">
      <w:marLeft w:val="0"/>
      <w:marRight w:val="0"/>
      <w:marTop w:val="0"/>
      <w:marBottom w:val="0"/>
      <w:divBdr>
        <w:top w:val="none" w:sz="0" w:space="0" w:color="auto"/>
        <w:left w:val="none" w:sz="0" w:space="0" w:color="auto"/>
        <w:bottom w:val="none" w:sz="0" w:space="0" w:color="auto"/>
        <w:right w:val="none" w:sz="0" w:space="0" w:color="auto"/>
      </w:divBdr>
      <w:divsChild>
        <w:div w:id="294138427">
          <w:marLeft w:val="0"/>
          <w:marRight w:val="0"/>
          <w:marTop w:val="0"/>
          <w:marBottom w:val="0"/>
          <w:divBdr>
            <w:top w:val="none" w:sz="0" w:space="0" w:color="auto"/>
            <w:left w:val="none" w:sz="0" w:space="0" w:color="auto"/>
            <w:bottom w:val="none" w:sz="0" w:space="0" w:color="auto"/>
            <w:right w:val="none" w:sz="0" w:space="0" w:color="auto"/>
          </w:divBdr>
        </w:div>
        <w:div w:id="294138866">
          <w:marLeft w:val="0"/>
          <w:marRight w:val="0"/>
          <w:marTop w:val="0"/>
          <w:marBottom w:val="0"/>
          <w:divBdr>
            <w:top w:val="none" w:sz="0" w:space="0" w:color="auto"/>
            <w:left w:val="none" w:sz="0" w:space="0" w:color="auto"/>
            <w:bottom w:val="none" w:sz="0" w:space="0" w:color="auto"/>
            <w:right w:val="none" w:sz="0" w:space="0" w:color="auto"/>
          </w:divBdr>
        </w:div>
        <w:div w:id="294138958">
          <w:marLeft w:val="0"/>
          <w:marRight w:val="0"/>
          <w:marTop w:val="0"/>
          <w:marBottom w:val="0"/>
          <w:divBdr>
            <w:top w:val="none" w:sz="0" w:space="0" w:color="auto"/>
            <w:left w:val="none" w:sz="0" w:space="0" w:color="auto"/>
            <w:bottom w:val="none" w:sz="0" w:space="0" w:color="auto"/>
            <w:right w:val="none" w:sz="0" w:space="0" w:color="auto"/>
          </w:divBdr>
        </w:div>
        <w:div w:id="294139050">
          <w:marLeft w:val="0"/>
          <w:marRight w:val="0"/>
          <w:marTop w:val="0"/>
          <w:marBottom w:val="0"/>
          <w:divBdr>
            <w:top w:val="none" w:sz="0" w:space="0" w:color="auto"/>
            <w:left w:val="none" w:sz="0" w:space="0" w:color="auto"/>
            <w:bottom w:val="none" w:sz="0" w:space="0" w:color="auto"/>
            <w:right w:val="none" w:sz="0" w:space="0" w:color="auto"/>
          </w:divBdr>
        </w:div>
        <w:div w:id="294139527">
          <w:marLeft w:val="0"/>
          <w:marRight w:val="0"/>
          <w:marTop w:val="0"/>
          <w:marBottom w:val="0"/>
          <w:divBdr>
            <w:top w:val="none" w:sz="0" w:space="0" w:color="auto"/>
            <w:left w:val="none" w:sz="0" w:space="0" w:color="auto"/>
            <w:bottom w:val="none" w:sz="0" w:space="0" w:color="auto"/>
            <w:right w:val="none" w:sz="0" w:space="0" w:color="auto"/>
          </w:divBdr>
        </w:div>
        <w:div w:id="294141073">
          <w:marLeft w:val="0"/>
          <w:marRight w:val="0"/>
          <w:marTop w:val="0"/>
          <w:marBottom w:val="0"/>
          <w:divBdr>
            <w:top w:val="none" w:sz="0" w:space="0" w:color="auto"/>
            <w:left w:val="none" w:sz="0" w:space="0" w:color="auto"/>
            <w:bottom w:val="none" w:sz="0" w:space="0" w:color="auto"/>
            <w:right w:val="none" w:sz="0" w:space="0" w:color="auto"/>
          </w:divBdr>
        </w:div>
        <w:div w:id="294141201">
          <w:marLeft w:val="0"/>
          <w:marRight w:val="0"/>
          <w:marTop w:val="0"/>
          <w:marBottom w:val="0"/>
          <w:divBdr>
            <w:top w:val="none" w:sz="0" w:space="0" w:color="auto"/>
            <w:left w:val="none" w:sz="0" w:space="0" w:color="auto"/>
            <w:bottom w:val="none" w:sz="0" w:space="0" w:color="auto"/>
            <w:right w:val="none" w:sz="0" w:space="0" w:color="auto"/>
          </w:divBdr>
        </w:div>
        <w:div w:id="294141428">
          <w:marLeft w:val="0"/>
          <w:marRight w:val="0"/>
          <w:marTop w:val="0"/>
          <w:marBottom w:val="0"/>
          <w:divBdr>
            <w:top w:val="none" w:sz="0" w:space="0" w:color="auto"/>
            <w:left w:val="none" w:sz="0" w:space="0" w:color="auto"/>
            <w:bottom w:val="none" w:sz="0" w:space="0" w:color="auto"/>
            <w:right w:val="none" w:sz="0" w:space="0" w:color="auto"/>
          </w:divBdr>
        </w:div>
        <w:div w:id="294141543">
          <w:marLeft w:val="0"/>
          <w:marRight w:val="0"/>
          <w:marTop w:val="0"/>
          <w:marBottom w:val="0"/>
          <w:divBdr>
            <w:top w:val="none" w:sz="0" w:space="0" w:color="auto"/>
            <w:left w:val="none" w:sz="0" w:space="0" w:color="auto"/>
            <w:bottom w:val="none" w:sz="0" w:space="0" w:color="auto"/>
            <w:right w:val="none" w:sz="0" w:space="0" w:color="auto"/>
          </w:divBdr>
        </w:div>
        <w:div w:id="294142417">
          <w:marLeft w:val="0"/>
          <w:marRight w:val="0"/>
          <w:marTop w:val="0"/>
          <w:marBottom w:val="0"/>
          <w:divBdr>
            <w:top w:val="none" w:sz="0" w:space="0" w:color="auto"/>
            <w:left w:val="none" w:sz="0" w:space="0" w:color="auto"/>
            <w:bottom w:val="none" w:sz="0" w:space="0" w:color="auto"/>
            <w:right w:val="none" w:sz="0" w:space="0" w:color="auto"/>
          </w:divBdr>
        </w:div>
        <w:div w:id="294142629">
          <w:marLeft w:val="0"/>
          <w:marRight w:val="0"/>
          <w:marTop w:val="0"/>
          <w:marBottom w:val="0"/>
          <w:divBdr>
            <w:top w:val="none" w:sz="0" w:space="0" w:color="auto"/>
            <w:left w:val="none" w:sz="0" w:space="0" w:color="auto"/>
            <w:bottom w:val="none" w:sz="0" w:space="0" w:color="auto"/>
            <w:right w:val="none" w:sz="0" w:space="0" w:color="auto"/>
          </w:divBdr>
        </w:div>
        <w:div w:id="294142776">
          <w:marLeft w:val="0"/>
          <w:marRight w:val="0"/>
          <w:marTop w:val="0"/>
          <w:marBottom w:val="0"/>
          <w:divBdr>
            <w:top w:val="none" w:sz="0" w:space="0" w:color="auto"/>
            <w:left w:val="none" w:sz="0" w:space="0" w:color="auto"/>
            <w:bottom w:val="none" w:sz="0" w:space="0" w:color="auto"/>
            <w:right w:val="none" w:sz="0" w:space="0" w:color="auto"/>
          </w:divBdr>
        </w:div>
        <w:div w:id="294142826">
          <w:marLeft w:val="0"/>
          <w:marRight w:val="0"/>
          <w:marTop w:val="0"/>
          <w:marBottom w:val="0"/>
          <w:divBdr>
            <w:top w:val="none" w:sz="0" w:space="0" w:color="auto"/>
            <w:left w:val="none" w:sz="0" w:space="0" w:color="auto"/>
            <w:bottom w:val="none" w:sz="0" w:space="0" w:color="auto"/>
            <w:right w:val="none" w:sz="0" w:space="0" w:color="auto"/>
          </w:divBdr>
        </w:div>
        <w:div w:id="294143465">
          <w:marLeft w:val="0"/>
          <w:marRight w:val="0"/>
          <w:marTop w:val="0"/>
          <w:marBottom w:val="0"/>
          <w:divBdr>
            <w:top w:val="none" w:sz="0" w:space="0" w:color="auto"/>
            <w:left w:val="none" w:sz="0" w:space="0" w:color="auto"/>
            <w:bottom w:val="none" w:sz="0" w:space="0" w:color="auto"/>
            <w:right w:val="none" w:sz="0" w:space="0" w:color="auto"/>
          </w:divBdr>
        </w:div>
        <w:div w:id="294143775">
          <w:marLeft w:val="0"/>
          <w:marRight w:val="0"/>
          <w:marTop w:val="0"/>
          <w:marBottom w:val="0"/>
          <w:divBdr>
            <w:top w:val="none" w:sz="0" w:space="0" w:color="auto"/>
            <w:left w:val="none" w:sz="0" w:space="0" w:color="auto"/>
            <w:bottom w:val="none" w:sz="0" w:space="0" w:color="auto"/>
            <w:right w:val="none" w:sz="0" w:space="0" w:color="auto"/>
          </w:divBdr>
        </w:div>
        <w:div w:id="294144468">
          <w:marLeft w:val="0"/>
          <w:marRight w:val="0"/>
          <w:marTop w:val="0"/>
          <w:marBottom w:val="0"/>
          <w:divBdr>
            <w:top w:val="none" w:sz="0" w:space="0" w:color="auto"/>
            <w:left w:val="none" w:sz="0" w:space="0" w:color="auto"/>
            <w:bottom w:val="none" w:sz="0" w:space="0" w:color="auto"/>
            <w:right w:val="none" w:sz="0" w:space="0" w:color="auto"/>
          </w:divBdr>
        </w:div>
        <w:div w:id="294144783">
          <w:marLeft w:val="0"/>
          <w:marRight w:val="0"/>
          <w:marTop w:val="0"/>
          <w:marBottom w:val="0"/>
          <w:divBdr>
            <w:top w:val="none" w:sz="0" w:space="0" w:color="auto"/>
            <w:left w:val="none" w:sz="0" w:space="0" w:color="auto"/>
            <w:bottom w:val="none" w:sz="0" w:space="0" w:color="auto"/>
            <w:right w:val="none" w:sz="0" w:space="0" w:color="auto"/>
          </w:divBdr>
        </w:div>
        <w:div w:id="294145347">
          <w:marLeft w:val="0"/>
          <w:marRight w:val="0"/>
          <w:marTop w:val="0"/>
          <w:marBottom w:val="0"/>
          <w:divBdr>
            <w:top w:val="none" w:sz="0" w:space="0" w:color="auto"/>
            <w:left w:val="none" w:sz="0" w:space="0" w:color="auto"/>
            <w:bottom w:val="none" w:sz="0" w:space="0" w:color="auto"/>
            <w:right w:val="none" w:sz="0" w:space="0" w:color="auto"/>
          </w:divBdr>
        </w:div>
        <w:div w:id="294145355">
          <w:marLeft w:val="0"/>
          <w:marRight w:val="0"/>
          <w:marTop w:val="0"/>
          <w:marBottom w:val="0"/>
          <w:divBdr>
            <w:top w:val="none" w:sz="0" w:space="0" w:color="auto"/>
            <w:left w:val="none" w:sz="0" w:space="0" w:color="auto"/>
            <w:bottom w:val="none" w:sz="0" w:space="0" w:color="auto"/>
            <w:right w:val="none" w:sz="0" w:space="0" w:color="auto"/>
          </w:divBdr>
        </w:div>
        <w:div w:id="294145371">
          <w:marLeft w:val="0"/>
          <w:marRight w:val="0"/>
          <w:marTop w:val="0"/>
          <w:marBottom w:val="0"/>
          <w:divBdr>
            <w:top w:val="none" w:sz="0" w:space="0" w:color="auto"/>
            <w:left w:val="none" w:sz="0" w:space="0" w:color="auto"/>
            <w:bottom w:val="none" w:sz="0" w:space="0" w:color="auto"/>
            <w:right w:val="none" w:sz="0" w:space="0" w:color="auto"/>
          </w:divBdr>
        </w:div>
        <w:div w:id="294146002">
          <w:marLeft w:val="0"/>
          <w:marRight w:val="0"/>
          <w:marTop w:val="0"/>
          <w:marBottom w:val="0"/>
          <w:divBdr>
            <w:top w:val="none" w:sz="0" w:space="0" w:color="auto"/>
            <w:left w:val="none" w:sz="0" w:space="0" w:color="auto"/>
            <w:bottom w:val="none" w:sz="0" w:space="0" w:color="auto"/>
            <w:right w:val="none" w:sz="0" w:space="0" w:color="auto"/>
          </w:divBdr>
        </w:div>
        <w:div w:id="294146367">
          <w:marLeft w:val="0"/>
          <w:marRight w:val="0"/>
          <w:marTop w:val="0"/>
          <w:marBottom w:val="0"/>
          <w:divBdr>
            <w:top w:val="none" w:sz="0" w:space="0" w:color="auto"/>
            <w:left w:val="none" w:sz="0" w:space="0" w:color="auto"/>
            <w:bottom w:val="none" w:sz="0" w:space="0" w:color="auto"/>
            <w:right w:val="none" w:sz="0" w:space="0" w:color="auto"/>
          </w:divBdr>
        </w:div>
        <w:div w:id="294146529">
          <w:marLeft w:val="0"/>
          <w:marRight w:val="0"/>
          <w:marTop w:val="0"/>
          <w:marBottom w:val="0"/>
          <w:divBdr>
            <w:top w:val="none" w:sz="0" w:space="0" w:color="auto"/>
            <w:left w:val="none" w:sz="0" w:space="0" w:color="auto"/>
            <w:bottom w:val="none" w:sz="0" w:space="0" w:color="auto"/>
            <w:right w:val="none" w:sz="0" w:space="0" w:color="auto"/>
          </w:divBdr>
        </w:div>
        <w:div w:id="294147291">
          <w:marLeft w:val="0"/>
          <w:marRight w:val="0"/>
          <w:marTop w:val="0"/>
          <w:marBottom w:val="0"/>
          <w:divBdr>
            <w:top w:val="none" w:sz="0" w:space="0" w:color="auto"/>
            <w:left w:val="none" w:sz="0" w:space="0" w:color="auto"/>
            <w:bottom w:val="none" w:sz="0" w:space="0" w:color="auto"/>
            <w:right w:val="none" w:sz="0" w:space="0" w:color="auto"/>
          </w:divBdr>
        </w:div>
        <w:div w:id="294147409">
          <w:marLeft w:val="0"/>
          <w:marRight w:val="0"/>
          <w:marTop w:val="0"/>
          <w:marBottom w:val="0"/>
          <w:divBdr>
            <w:top w:val="none" w:sz="0" w:space="0" w:color="auto"/>
            <w:left w:val="none" w:sz="0" w:space="0" w:color="auto"/>
            <w:bottom w:val="none" w:sz="0" w:space="0" w:color="auto"/>
            <w:right w:val="none" w:sz="0" w:space="0" w:color="auto"/>
          </w:divBdr>
        </w:div>
        <w:div w:id="294147883">
          <w:marLeft w:val="0"/>
          <w:marRight w:val="0"/>
          <w:marTop w:val="0"/>
          <w:marBottom w:val="0"/>
          <w:divBdr>
            <w:top w:val="none" w:sz="0" w:space="0" w:color="auto"/>
            <w:left w:val="none" w:sz="0" w:space="0" w:color="auto"/>
            <w:bottom w:val="none" w:sz="0" w:space="0" w:color="auto"/>
            <w:right w:val="none" w:sz="0" w:space="0" w:color="auto"/>
          </w:divBdr>
        </w:div>
        <w:div w:id="294148291">
          <w:marLeft w:val="0"/>
          <w:marRight w:val="0"/>
          <w:marTop w:val="0"/>
          <w:marBottom w:val="0"/>
          <w:divBdr>
            <w:top w:val="none" w:sz="0" w:space="0" w:color="auto"/>
            <w:left w:val="none" w:sz="0" w:space="0" w:color="auto"/>
            <w:bottom w:val="none" w:sz="0" w:space="0" w:color="auto"/>
            <w:right w:val="none" w:sz="0" w:space="0" w:color="auto"/>
          </w:divBdr>
        </w:div>
        <w:div w:id="294148752">
          <w:marLeft w:val="0"/>
          <w:marRight w:val="0"/>
          <w:marTop w:val="0"/>
          <w:marBottom w:val="0"/>
          <w:divBdr>
            <w:top w:val="none" w:sz="0" w:space="0" w:color="auto"/>
            <w:left w:val="none" w:sz="0" w:space="0" w:color="auto"/>
            <w:bottom w:val="none" w:sz="0" w:space="0" w:color="auto"/>
            <w:right w:val="none" w:sz="0" w:space="0" w:color="auto"/>
          </w:divBdr>
        </w:div>
        <w:div w:id="294148914">
          <w:marLeft w:val="0"/>
          <w:marRight w:val="0"/>
          <w:marTop w:val="0"/>
          <w:marBottom w:val="0"/>
          <w:divBdr>
            <w:top w:val="none" w:sz="0" w:space="0" w:color="auto"/>
            <w:left w:val="none" w:sz="0" w:space="0" w:color="auto"/>
            <w:bottom w:val="none" w:sz="0" w:space="0" w:color="auto"/>
            <w:right w:val="none" w:sz="0" w:space="0" w:color="auto"/>
          </w:divBdr>
        </w:div>
        <w:div w:id="294149132">
          <w:marLeft w:val="0"/>
          <w:marRight w:val="0"/>
          <w:marTop w:val="0"/>
          <w:marBottom w:val="0"/>
          <w:divBdr>
            <w:top w:val="none" w:sz="0" w:space="0" w:color="auto"/>
            <w:left w:val="none" w:sz="0" w:space="0" w:color="auto"/>
            <w:bottom w:val="none" w:sz="0" w:space="0" w:color="auto"/>
            <w:right w:val="none" w:sz="0" w:space="0" w:color="auto"/>
          </w:divBdr>
        </w:div>
        <w:div w:id="294149883">
          <w:marLeft w:val="0"/>
          <w:marRight w:val="0"/>
          <w:marTop w:val="0"/>
          <w:marBottom w:val="0"/>
          <w:divBdr>
            <w:top w:val="none" w:sz="0" w:space="0" w:color="auto"/>
            <w:left w:val="none" w:sz="0" w:space="0" w:color="auto"/>
            <w:bottom w:val="none" w:sz="0" w:space="0" w:color="auto"/>
            <w:right w:val="none" w:sz="0" w:space="0" w:color="auto"/>
          </w:divBdr>
        </w:div>
        <w:div w:id="294150329">
          <w:marLeft w:val="0"/>
          <w:marRight w:val="0"/>
          <w:marTop w:val="0"/>
          <w:marBottom w:val="0"/>
          <w:divBdr>
            <w:top w:val="none" w:sz="0" w:space="0" w:color="auto"/>
            <w:left w:val="none" w:sz="0" w:space="0" w:color="auto"/>
            <w:bottom w:val="none" w:sz="0" w:space="0" w:color="auto"/>
            <w:right w:val="none" w:sz="0" w:space="0" w:color="auto"/>
          </w:divBdr>
        </w:div>
        <w:div w:id="294150807">
          <w:marLeft w:val="0"/>
          <w:marRight w:val="0"/>
          <w:marTop w:val="0"/>
          <w:marBottom w:val="0"/>
          <w:divBdr>
            <w:top w:val="none" w:sz="0" w:space="0" w:color="auto"/>
            <w:left w:val="none" w:sz="0" w:space="0" w:color="auto"/>
            <w:bottom w:val="none" w:sz="0" w:space="0" w:color="auto"/>
            <w:right w:val="none" w:sz="0" w:space="0" w:color="auto"/>
          </w:divBdr>
        </w:div>
        <w:div w:id="294150916">
          <w:marLeft w:val="0"/>
          <w:marRight w:val="0"/>
          <w:marTop w:val="0"/>
          <w:marBottom w:val="0"/>
          <w:divBdr>
            <w:top w:val="none" w:sz="0" w:space="0" w:color="auto"/>
            <w:left w:val="none" w:sz="0" w:space="0" w:color="auto"/>
            <w:bottom w:val="none" w:sz="0" w:space="0" w:color="auto"/>
            <w:right w:val="none" w:sz="0" w:space="0" w:color="auto"/>
          </w:divBdr>
        </w:div>
        <w:div w:id="294151840">
          <w:marLeft w:val="0"/>
          <w:marRight w:val="0"/>
          <w:marTop w:val="0"/>
          <w:marBottom w:val="0"/>
          <w:divBdr>
            <w:top w:val="none" w:sz="0" w:space="0" w:color="auto"/>
            <w:left w:val="none" w:sz="0" w:space="0" w:color="auto"/>
            <w:bottom w:val="none" w:sz="0" w:space="0" w:color="auto"/>
            <w:right w:val="none" w:sz="0" w:space="0" w:color="auto"/>
          </w:divBdr>
        </w:div>
        <w:div w:id="294151903">
          <w:marLeft w:val="0"/>
          <w:marRight w:val="0"/>
          <w:marTop w:val="0"/>
          <w:marBottom w:val="0"/>
          <w:divBdr>
            <w:top w:val="none" w:sz="0" w:space="0" w:color="auto"/>
            <w:left w:val="none" w:sz="0" w:space="0" w:color="auto"/>
            <w:bottom w:val="none" w:sz="0" w:space="0" w:color="auto"/>
            <w:right w:val="none" w:sz="0" w:space="0" w:color="auto"/>
          </w:divBdr>
        </w:div>
        <w:div w:id="294152367">
          <w:marLeft w:val="0"/>
          <w:marRight w:val="0"/>
          <w:marTop w:val="0"/>
          <w:marBottom w:val="0"/>
          <w:divBdr>
            <w:top w:val="none" w:sz="0" w:space="0" w:color="auto"/>
            <w:left w:val="none" w:sz="0" w:space="0" w:color="auto"/>
            <w:bottom w:val="none" w:sz="0" w:space="0" w:color="auto"/>
            <w:right w:val="none" w:sz="0" w:space="0" w:color="auto"/>
          </w:divBdr>
        </w:div>
        <w:div w:id="294152477">
          <w:marLeft w:val="0"/>
          <w:marRight w:val="0"/>
          <w:marTop w:val="0"/>
          <w:marBottom w:val="0"/>
          <w:divBdr>
            <w:top w:val="none" w:sz="0" w:space="0" w:color="auto"/>
            <w:left w:val="none" w:sz="0" w:space="0" w:color="auto"/>
            <w:bottom w:val="none" w:sz="0" w:space="0" w:color="auto"/>
            <w:right w:val="none" w:sz="0" w:space="0" w:color="auto"/>
          </w:divBdr>
        </w:div>
        <w:div w:id="294152502">
          <w:marLeft w:val="0"/>
          <w:marRight w:val="0"/>
          <w:marTop w:val="0"/>
          <w:marBottom w:val="0"/>
          <w:divBdr>
            <w:top w:val="none" w:sz="0" w:space="0" w:color="auto"/>
            <w:left w:val="none" w:sz="0" w:space="0" w:color="auto"/>
            <w:bottom w:val="none" w:sz="0" w:space="0" w:color="auto"/>
            <w:right w:val="none" w:sz="0" w:space="0" w:color="auto"/>
          </w:divBdr>
        </w:div>
        <w:div w:id="294152597">
          <w:marLeft w:val="0"/>
          <w:marRight w:val="0"/>
          <w:marTop w:val="0"/>
          <w:marBottom w:val="0"/>
          <w:divBdr>
            <w:top w:val="none" w:sz="0" w:space="0" w:color="auto"/>
            <w:left w:val="none" w:sz="0" w:space="0" w:color="auto"/>
            <w:bottom w:val="none" w:sz="0" w:space="0" w:color="auto"/>
            <w:right w:val="none" w:sz="0" w:space="0" w:color="auto"/>
          </w:divBdr>
        </w:div>
        <w:div w:id="294152641">
          <w:marLeft w:val="0"/>
          <w:marRight w:val="0"/>
          <w:marTop w:val="0"/>
          <w:marBottom w:val="0"/>
          <w:divBdr>
            <w:top w:val="none" w:sz="0" w:space="0" w:color="auto"/>
            <w:left w:val="none" w:sz="0" w:space="0" w:color="auto"/>
            <w:bottom w:val="none" w:sz="0" w:space="0" w:color="auto"/>
            <w:right w:val="none" w:sz="0" w:space="0" w:color="auto"/>
          </w:divBdr>
        </w:div>
        <w:div w:id="294152733">
          <w:marLeft w:val="0"/>
          <w:marRight w:val="0"/>
          <w:marTop w:val="0"/>
          <w:marBottom w:val="0"/>
          <w:divBdr>
            <w:top w:val="none" w:sz="0" w:space="0" w:color="auto"/>
            <w:left w:val="none" w:sz="0" w:space="0" w:color="auto"/>
            <w:bottom w:val="none" w:sz="0" w:space="0" w:color="auto"/>
            <w:right w:val="none" w:sz="0" w:space="0" w:color="auto"/>
          </w:divBdr>
        </w:div>
        <w:div w:id="294153062">
          <w:marLeft w:val="0"/>
          <w:marRight w:val="0"/>
          <w:marTop w:val="0"/>
          <w:marBottom w:val="0"/>
          <w:divBdr>
            <w:top w:val="none" w:sz="0" w:space="0" w:color="auto"/>
            <w:left w:val="none" w:sz="0" w:space="0" w:color="auto"/>
            <w:bottom w:val="none" w:sz="0" w:space="0" w:color="auto"/>
            <w:right w:val="none" w:sz="0" w:space="0" w:color="auto"/>
          </w:divBdr>
        </w:div>
        <w:div w:id="294153136">
          <w:marLeft w:val="0"/>
          <w:marRight w:val="0"/>
          <w:marTop w:val="0"/>
          <w:marBottom w:val="0"/>
          <w:divBdr>
            <w:top w:val="none" w:sz="0" w:space="0" w:color="auto"/>
            <w:left w:val="none" w:sz="0" w:space="0" w:color="auto"/>
            <w:bottom w:val="none" w:sz="0" w:space="0" w:color="auto"/>
            <w:right w:val="none" w:sz="0" w:space="0" w:color="auto"/>
          </w:divBdr>
        </w:div>
        <w:div w:id="294153710">
          <w:marLeft w:val="0"/>
          <w:marRight w:val="0"/>
          <w:marTop w:val="0"/>
          <w:marBottom w:val="0"/>
          <w:divBdr>
            <w:top w:val="none" w:sz="0" w:space="0" w:color="auto"/>
            <w:left w:val="none" w:sz="0" w:space="0" w:color="auto"/>
            <w:bottom w:val="none" w:sz="0" w:space="0" w:color="auto"/>
            <w:right w:val="none" w:sz="0" w:space="0" w:color="auto"/>
          </w:divBdr>
        </w:div>
        <w:div w:id="294154326">
          <w:marLeft w:val="0"/>
          <w:marRight w:val="0"/>
          <w:marTop w:val="0"/>
          <w:marBottom w:val="0"/>
          <w:divBdr>
            <w:top w:val="none" w:sz="0" w:space="0" w:color="auto"/>
            <w:left w:val="none" w:sz="0" w:space="0" w:color="auto"/>
            <w:bottom w:val="none" w:sz="0" w:space="0" w:color="auto"/>
            <w:right w:val="none" w:sz="0" w:space="0" w:color="auto"/>
          </w:divBdr>
        </w:div>
        <w:div w:id="294154755">
          <w:marLeft w:val="0"/>
          <w:marRight w:val="0"/>
          <w:marTop w:val="0"/>
          <w:marBottom w:val="0"/>
          <w:divBdr>
            <w:top w:val="none" w:sz="0" w:space="0" w:color="auto"/>
            <w:left w:val="none" w:sz="0" w:space="0" w:color="auto"/>
            <w:bottom w:val="none" w:sz="0" w:space="0" w:color="auto"/>
            <w:right w:val="none" w:sz="0" w:space="0" w:color="auto"/>
          </w:divBdr>
        </w:div>
        <w:div w:id="294155115">
          <w:marLeft w:val="0"/>
          <w:marRight w:val="0"/>
          <w:marTop w:val="0"/>
          <w:marBottom w:val="0"/>
          <w:divBdr>
            <w:top w:val="none" w:sz="0" w:space="0" w:color="auto"/>
            <w:left w:val="none" w:sz="0" w:space="0" w:color="auto"/>
            <w:bottom w:val="none" w:sz="0" w:space="0" w:color="auto"/>
            <w:right w:val="none" w:sz="0" w:space="0" w:color="auto"/>
          </w:divBdr>
        </w:div>
        <w:div w:id="294155169">
          <w:marLeft w:val="0"/>
          <w:marRight w:val="0"/>
          <w:marTop w:val="0"/>
          <w:marBottom w:val="0"/>
          <w:divBdr>
            <w:top w:val="none" w:sz="0" w:space="0" w:color="auto"/>
            <w:left w:val="none" w:sz="0" w:space="0" w:color="auto"/>
            <w:bottom w:val="none" w:sz="0" w:space="0" w:color="auto"/>
            <w:right w:val="none" w:sz="0" w:space="0" w:color="auto"/>
          </w:divBdr>
        </w:div>
        <w:div w:id="294155224">
          <w:marLeft w:val="0"/>
          <w:marRight w:val="0"/>
          <w:marTop w:val="0"/>
          <w:marBottom w:val="0"/>
          <w:divBdr>
            <w:top w:val="none" w:sz="0" w:space="0" w:color="auto"/>
            <w:left w:val="none" w:sz="0" w:space="0" w:color="auto"/>
            <w:bottom w:val="none" w:sz="0" w:space="0" w:color="auto"/>
            <w:right w:val="none" w:sz="0" w:space="0" w:color="auto"/>
          </w:divBdr>
        </w:div>
        <w:div w:id="294155732">
          <w:marLeft w:val="0"/>
          <w:marRight w:val="0"/>
          <w:marTop w:val="0"/>
          <w:marBottom w:val="0"/>
          <w:divBdr>
            <w:top w:val="none" w:sz="0" w:space="0" w:color="auto"/>
            <w:left w:val="none" w:sz="0" w:space="0" w:color="auto"/>
            <w:bottom w:val="none" w:sz="0" w:space="0" w:color="auto"/>
            <w:right w:val="none" w:sz="0" w:space="0" w:color="auto"/>
          </w:divBdr>
        </w:div>
        <w:div w:id="294156284">
          <w:marLeft w:val="0"/>
          <w:marRight w:val="0"/>
          <w:marTop w:val="0"/>
          <w:marBottom w:val="0"/>
          <w:divBdr>
            <w:top w:val="none" w:sz="0" w:space="0" w:color="auto"/>
            <w:left w:val="none" w:sz="0" w:space="0" w:color="auto"/>
            <w:bottom w:val="none" w:sz="0" w:space="0" w:color="auto"/>
            <w:right w:val="none" w:sz="0" w:space="0" w:color="auto"/>
          </w:divBdr>
        </w:div>
        <w:div w:id="294156367">
          <w:marLeft w:val="0"/>
          <w:marRight w:val="0"/>
          <w:marTop w:val="0"/>
          <w:marBottom w:val="0"/>
          <w:divBdr>
            <w:top w:val="none" w:sz="0" w:space="0" w:color="auto"/>
            <w:left w:val="none" w:sz="0" w:space="0" w:color="auto"/>
            <w:bottom w:val="none" w:sz="0" w:space="0" w:color="auto"/>
            <w:right w:val="none" w:sz="0" w:space="0" w:color="auto"/>
          </w:divBdr>
        </w:div>
        <w:div w:id="294156466">
          <w:marLeft w:val="0"/>
          <w:marRight w:val="0"/>
          <w:marTop w:val="0"/>
          <w:marBottom w:val="0"/>
          <w:divBdr>
            <w:top w:val="none" w:sz="0" w:space="0" w:color="auto"/>
            <w:left w:val="none" w:sz="0" w:space="0" w:color="auto"/>
            <w:bottom w:val="none" w:sz="0" w:space="0" w:color="auto"/>
            <w:right w:val="none" w:sz="0" w:space="0" w:color="auto"/>
          </w:divBdr>
        </w:div>
        <w:div w:id="294156692">
          <w:marLeft w:val="0"/>
          <w:marRight w:val="0"/>
          <w:marTop w:val="0"/>
          <w:marBottom w:val="0"/>
          <w:divBdr>
            <w:top w:val="none" w:sz="0" w:space="0" w:color="auto"/>
            <w:left w:val="none" w:sz="0" w:space="0" w:color="auto"/>
            <w:bottom w:val="none" w:sz="0" w:space="0" w:color="auto"/>
            <w:right w:val="none" w:sz="0" w:space="0" w:color="auto"/>
          </w:divBdr>
        </w:div>
        <w:div w:id="294157272">
          <w:marLeft w:val="0"/>
          <w:marRight w:val="0"/>
          <w:marTop w:val="0"/>
          <w:marBottom w:val="0"/>
          <w:divBdr>
            <w:top w:val="none" w:sz="0" w:space="0" w:color="auto"/>
            <w:left w:val="none" w:sz="0" w:space="0" w:color="auto"/>
            <w:bottom w:val="none" w:sz="0" w:space="0" w:color="auto"/>
            <w:right w:val="none" w:sz="0" w:space="0" w:color="auto"/>
          </w:divBdr>
        </w:div>
        <w:div w:id="294157282">
          <w:marLeft w:val="0"/>
          <w:marRight w:val="0"/>
          <w:marTop w:val="0"/>
          <w:marBottom w:val="0"/>
          <w:divBdr>
            <w:top w:val="none" w:sz="0" w:space="0" w:color="auto"/>
            <w:left w:val="none" w:sz="0" w:space="0" w:color="auto"/>
            <w:bottom w:val="none" w:sz="0" w:space="0" w:color="auto"/>
            <w:right w:val="none" w:sz="0" w:space="0" w:color="auto"/>
          </w:divBdr>
        </w:div>
      </w:divsChild>
    </w:div>
    <w:div w:id="294147801">
      <w:marLeft w:val="0"/>
      <w:marRight w:val="0"/>
      <w:marTop w:val="0"/>
      <w:marBottom w:val="0"/>
      <w:divBdr>
        <w:top w:val="none" w:sz="0" w:space="0" w:color="auto"/>
        <w:left w:val="none" w:sz="0" w:space="0" w:color="auto"/>
        <w:bottom w:val="none" w:sz="0" w:space="0" w:color="auto"/>
        <w:right w:val="none" w:sz="0" w:space="0" w:color="auto"/>
      </w:divBdr>
      <w:divsChild>
        <w:div w:id="294138103">
          <w:marLeft w:val="0"/>
          <w:marRight w:val="0"/>
          <w:marTop w:val="0"/>
          <w:marBottom w:val="0"/>
          <w:divBdr>
            <w:top w:val="none" w:sz="0" w:space="0" w:color="auto"/>
            <w:left w:val="none" w:sz="0" w:space="0" w:color="auto"/>
            <w:bottom w:val="none" w:sz="0" w:space="0" w:color="auto"/>
            <w:right w:val="none" w:sz="0" w:space="0" w:color="auto"/>
          </w:divBdr>
        </w:div>
        <w:div w:id="294138171">
          <w:marLeft w:val="0"/>
          <w:marRight w:val="0"/>
          <w:marTop w:val="0"/>
          <w:marBottom w:val="0"/>
          <w:divBdr>
            <w:top w:val="none" w:sz="0" w:space="0" w:color="auto"/>
            <w:left w:val="none" w:sz="0" w:space="0" w:color="auto"/>
            <w:bottom w:val="none" w:sz="0" w:space="0" w:color="auto"/>
            <w:right w:val="none" w:sz="0" w:space="0" w:color="auto"/>
          </w:divBdr>
        </w:div>
        <w:div w:id="294138272">
          <w:marLeft w:val="0"/>
          <w:marRight w:val="0"/>
          <w:marTop w:val="0"/>
          <w:marBottom w:val="0"/>
          <w:divBdr>
            <w:top w:val="none" w:sz="0" w:space="0" w:color="auto"/>
            <w:left w:val="none" w:sz="0" w:space="0" w:color="auto"/>
            <w:bottom w:val="none" w:sz="0" w:space="0" w:color="auto"/>
            <w:right w:val="none" w:sz="0" w:space="0" w:color="auto"/>
          </w:divBdr>
        </w:div>
        <w:div w:id="294138588">
          <w:marLeft w:val="0"/>
          <w:marRight w:val="0"/>
          <w:marTop w:val="0"/>
          <w:marBottom w:val="0"/>
          <w:divBdr>
            <w:top w:val="none" w:sz="0" w:space="0" w:color="auto"/>
            <w:left w:val="none" w:sz="0" w:space="0" w:color="auto"/>
            <w:bottom w:val="none" w:sz="0" w:space="0" w:color="auto"/>
            <w:right w:val="none" w:sz="0" w:space="0" w:color="auto"/>
          </w:divBdr>
        </w:div>
        <w:div w:id="294138662">
          <w:marLeft w:val="0"/>
          <w:marRight w:val="0"/>
          <w:marTop w:val="0"/>
          <w:marBottom w:val="0"/>
          <w:divBdr>
            <w:top w:val="none" w:sz="0" w:space="0" w:color="auto"/>
            <w:left w:val="none" w:sz="0" w:space="0" w:color="auto"/>
            <w:bottom w:val="none" w:sz="0" w:space="0" w:color="auto"/>
            <w:right w:val="none" w:sz="0" w:space="0" w:color="auto"/>
          </w:divBdr>
        </w:div>
        <w:div w:id="294138820">
          <w:marLeft w:val="0"/>
          <w:marRight w:val="0"/>
          <w:marTop w:val="0"/>
          <w:marBottom w:val="0"/>
          <w:divBdr>
            <w:top w:val="none" w:sz="0" w:space="0" w:color="auto"/>
            <w:left w:val="none" w:sz="0" w:space="0" w:color="auto"/>
            <w:bottom w:val="none" w:sz="0" w:space="0" w:color="auto"/>
            <w:right w:val="none" w:sz="0" w:space="0" w:color="auto"/>
          </w:divBdr>
        </w:div>
        <w:div w:id="294138842">
          <w:marLeft w:val="0"/>
          <w:marRight w:val="0"/>
          <w:marTop w:val="0"/>
          <w:marBottom w:val="0"/>
          <w:divBdr>
            <w:top w:val="none" w:sz="0" w:space="0" w:color="auto"/>
            <w:left w:val="none" w:sz="0" w:space="0" w:color="auto"/>
            <w:bottom w:val="none" w:sz="0" w:space="0" w:color="auto"/>
            <w:right w:val="none" w:sz="0" w:space="0" w:color="auto"/>
          </w:divBdr>
        </w:div>
        <w:div w:id="294138876">
          <w:marLeft w:val="0"/>
          <w:marRight w:val="0"/>
          <w:marTop w:val="0"/>
          <w:marBottom w:val="0"/>
          <w:divBdr>
            <w:top w:val="none" w:sz="0" w:space="0" w:color="auto"/>
            <w:left w:val="none" w:sz="0" w:space="0" w:color="auto"/>
            <w:bottom w:val="none" w:sz="0" w:space="0" w:color="auto"/>
            <w:right w:val="none" w:sz="0" w:space="0" w:color="auto"/>
          </w:divBdr>
        </w:div>
        <w:div w:id="294138936">
          <w:marLeft w:val="0"/>
          <w:marRight w:val="0"/>
          <w:marTop w:val="0"/>
          <w:marBottom w:val="0"/>
          <w:divBdr>
            <w:top w:val="none" w:sz="0" w:space="0" w:color="auto"/>
            <w:left w:val="none" w:sz="0" w:space="0" w:color="auto"/>
            <w:bottom w:val="none" w:sz="0" w:space="0" w:color="auto"/>
            <w:right w:val="none" w:sz="0" w:space="0" w:color="auto"/>
          </w:divBdr>
        </w:div>
        <w:div w:id="294138971">
          <w:marLeft w:val="0"/>
          <w:marRight w:val="0"/>
          <w:marTop w:val="0"/>
          <w:marBottom w:val="0"/>
          <w:divBdr>
            <w:top w:val="none" w:sz="0" w:space="0" w:color="auto"/>
            <w:left w:val="none" w:sz="0" w:space="0" w:color="auto"/>
            <w:bottom w:val="none" w:sz="0" w:space="0" w:color="auto"/>
            <w:right w:val="none" w:sz="0" w:space="0" w:color="auto"/>
          </w:divBdr>
        </w:div>
        <w:div w:id="294139110">
          <w:marLeft w:val="0"/>
          <w:marRight w:val="0"/>
          <w:marTop w:val="0"/>
          <w:marBottom w:val="0"/>
          <w:divBdr>
            <w:top w:val="none" w:sz="0" w:space="0" w:color="auto"/>
            <w:left w:val="none" w:sz="0" w:space="0" w:color="auto"/>
            <w:bottom w:val="none" w:sz="0" w:space="0" w:color="auto"/>
            <w:right w:val="none" w:sz="0" w:space="0" w:color="auto"/>
          </w:divBdr>
        </w:div>
        <w:div w:id="294139195">
          <w:marLeft w:val="0"/>
          <w:marRight w:val="0"/>
          <w:marTop w:val="0"/>
          <w:marBottom w:val="0"/>
          <w:divBdr>
            <w:top w:val="none" w:sz="0" w:space="0" w:color="auto"/>
            <w:left w:val="none" w:sz="0" w:space="0" w:color="auto"/>
            <w:bottom w:val="none" w:sz="0" w:space="0" w:color="auto"/>
            <w:right w:val="none" w:sz="0" w:space="0" w:color="auto"/>
          </w:divBdr>
        </w:div>
        <w:div w:id="294139203">
          <w:marLeft w:val="0"/>
          <w:marRight w:val="0"/>
          <w:marTop w:val="0"/>
          <w:marBottom w:val="0"/>
          <w:divBdr>
            <w:top w:val="none" w:sz="0" w:space="0" w:color="auto"/>
            <w:left w:val="none" w:sz="0" w:space="0" w:color="auto"/>
            <w:bottom w:val="none" w:sz="0" w:space="0" w:color="auto"/>
            <w:right w:val="none" w:sz="0" w:space="0" w:color="auto"/>
          </w:divBdr>
        </w:div>
        <w:div w:id="294139628">
          <w:marLeft w:val="0"/>
          <w:marRight w:val="0"/>
          <w:marTop w:val="0"/>
          <w:marBottom w:val="0"/>
          <w:divBdr>
            <w:top w:val="none" w:sz="0" w:space="0" w:color="auto"/>
            <w:left w:val="none" w:sz="0" w:space="0" w:color="auto"/>
            <w:bottom w:val="none" w:sz="0" w:space="0" w:color="auto"/>
            <w:right w:val="none" w:sz="0" w:space="0" w:color="auto"/>
          </w:divBdr>
        </w:div>
        <w:div w:id="294139975">
          <w:marLeft w:val="0"/>
          <w:marRight w:val="0"/>
          <w:marTop w:val="0"/>
          <w:marBottom w:val="0"/>
          <w:divBdr>
            <w:top w:val="none" w:sz="0" w:space="0" w:color="auto"/>
            <w:left w:val="none" w:sz="0" w:space="0" w:color="auto"/>
            <w:bottom w:val="none" w:sz="0" w:space="0" w:color="auto"/>
            <w:right w:val="none" w:sz="0" w:space="0" w:color="auto"/>
          </w:divBdr>
        </w:div>
        <w:div w:id="294140162">
          <w:marLeft w:val="0"/>
          <w:marRight w:val="0"/>
          <w:marTop w:val="0"/>
          <w:marBottom w:val="0"/>
          <w:divBdr>
            <w:top w:val="none" w:sz="0" w:space="0" w:color="auto"/>
            <w:left w:val="none" w:sz="0" w:space="0" w:color="auto"/>
            <w:bottom w:val="none" w:sz="0" w:space="0" w:color="auto"/>
            <w:right w:val="none" w:sz="0" w:space="0" w:color="auto"/>
          </w:divBdr>
        </w:div>
        <w:div w:id="294140430">
          <w:marLeft w:val="0"/>
          <w:marRight w:val="0"/>
          <w:marTop w:val="0"/>
          <w:marBottom w:val="0"/>
          <w:divBdr>
            <w:top w:val="none" w:sz="0" w:space="0" w:color="auto"/>
            <w:left w:val="none" w:sz="0" w:space="0" w:color="auto"/>
            <w:bottom w:val="none" w:sz="0" w:space="0" w:color="auto"/>
            <w:right w:val="none" w:sz="0" w:space="0" w:color="auto"/>
          </w:divBdr>
        </w:div>
        <w:div w:id="294140485">
          <w:marLeft w:val="0"/>
          <w:marRight w:val="0"/>
          <w:marTop w:val="0"/>
          <w:marBottom w:val="0"/>
          <w:divBdr>
            <w:top w:val="none" w:sz="0" w:space="0" w:color="auto"/>
            <w:left w:val="none" w:sz="0" w:space="0" w:color="auto"/>
            <w:bottom w:val="none" w:sz="0" w:space="0" w:color="auto"/>
            <w:right w:val="none" w:sz="0" w:space="0" w:color="auto"/>
          </w:divBdr>
        </w:div>
        <w:div w:id="294140486">
          <w:marLeft w:val="0"/>
          <w:marRight w:val="0"/>
          <w:marTop w:val="0"/>
          <w:marBottom w:val="0"/>
          <w:divBdr>
            <w:top w:val="none" w:sz="0" w:space="0" w:color="auto"/>
            <w:left w:val="none" w:sz="0" w:space="0" w:color="auto"/>
            <w:bottom w:val="none" w:sz="0" w:space="0" w:color="auto"/>
            <w:right w:val="none" w:sz="0" w:space="0" w:color="auto"/>
          </w:divBdr>
        </w:div>
        <w:div w:id="294140535">
          <w:marLeft w:val="0"/>
          <w:marRight w:val="0"/>
          <w:marTop w:val="0"/>
          <w:marBottom w:val="0"/>
          <w:divBdr>
            <w:top w:val="none" w:sz="0" w:space="0" w:color="auto"/>
            <w:left w:val="none" w:sz="0" w:space="0" w:color="auto"/>
            <w:bottom w:val="none" w:sz="0" w:space="0" w:color="auto"/>
            <w:right w:val="none" w:sz="0" w:space="0" w:color="auto"/>
          </w:divBdr>
        </w:div>
        <w:div w:id="294140604">
          <w:marLeft w:val="0"/>
          <w:marRight w:val="0"/>
          <w:marTop w:val="0"/>
          <w:marBottom w:val="0"/>
          <w:divBdr>
            <w:top w:val="none" w:sz="0" w:space="0" w:color="auto"/>
            <w:left w:val="none" w:sz="0" w:space="0" w:color="auto"/>
            <w:bottom w:val="none" w:sz="0" w:space="0" w:color="auto"/>
            <w:right w:val="none" w:sz="0" w:space="0" w:color="auto"/>
          </w:divBdr>
        </w:div>
        <w:div w:id="294140662">
          <w:marLeft w:val="0"/>
          <w:marRight w:val="0"/>
          <w:marTop w:val="0"/>
          <w:marBottom w:val="0"/>
          <w:divBdr>
            <w:top w:val="none" w:sz="0" w:space="0" w:color="auto"/>
            <w:left w:val="none" w:sz="0" w:space="0" w:color="auto"/>
            <w:bottom w:val="none" w:sz="0" w:space="0" w:color="auto"/>
            <w:right w:val="none" w:sz="0" w:space="0" w:color="auto"/>
          </w:divBdr>
        </w:div>
        <w:div w:id="294140812">
          <w:marLeft w:val="0"/>
          <w:marRight w:val="0"/>
          <w:marTop w:val="0"/>
          <w:marBottom w:val="0"/>
          <w:divBdr>
            <w:top w:val="none" w:sz="0" w:space="0" w:color="auto"/>
            <w:left w:val="none" w:sz="0" w:space="0" w:color="auto"/>
            <w:bottom w:val="none" w:sz="0" w:space="0" w:color="auto"/>
            <w:right w:val="none" w:sz="0" w:space="0" w:color="auto"/>
          </w:divBdr>
        </w:div>
        <w:div w:id="294141129">
          <w:marLeft w:val="0"/>
          <w:marRight w:val="0"/>
          <w:marTop w:val="0"/>
          <w:marBottom w:val="0"/>
          <w:divBdr>
            <w:top w:val="none" w:sz="0" w:space="0" w:color="auto"/>
            <w:left w:val="none" w:sz="0" w:space="0" w:color="auto"/>
            <w:bottom w:val="none" w:sz="0" w:space="0" w:color="auto"/>
            <w:right w:val="none" w:sz="0" w:space="0" w:color="auto"/>
          </w:divBdr>
        </w:div>
        <w:div w:id="294141287">
          <w:marLeft w:val="0"/>
          <w:marRight w:val="0"/>
          <w:marTop w:val="0"/>
          <w:marBottom w:val="0"/>
          <w:divBdr>
            <w:top w:val="none" w:sz="0" w:space="0" w:color="auto"/>
            <w:left w:val="none" w:sz="0" w:space="0" w:color="auto"/>
            <w:bottom w:val="none" w:sz="0" w:space="0" w:color="auto"/>
            <w:right w:val="none" w:sz="0" w:space="0" w:color="auto"/>
          </w:divBdr>
        </w:div>
        <w:div w:id="294141329">
          <w:marLeft w:val="0"/>
          <w:marRight w:val="0"/>
          <w:marTop w:val="0"/>
          <w:marBottom w:val="0"/>
          <w:divBdr>
            <w:top w:val="none" w:sz="0" w:space="0" w:color="auto"/>
            <w:left w:val="none" w:sz="0" w:space="0" w:color="auto"/>
            <w:bottom w:val="none" w:sz="0" w:space="0" w:color="auto"/>
            <w:right w:val="none" w:sz="0" w:space="0" w:color="auto"/>
          </w:divBdr>
        </w:div>
        <w:div w:id="294141336">
          <w:marLeft w:val="0"/>
          <w:marRight w:val="0"/>
          <w:marTop w:val="0"/>
          <w:marBottom w:val="0"/>
          <w:divBdr>
            <w:top w:val="none" w:sz="0" w:space="0" w:color="auto"/>
            <w:left w:val="none" w:sz="0" w:space="0" w:color="auto"/>
            <w:bottom w:val="none" w:sz="0" w:space="0" w:color="auto"/>
            <w:right w:val="none" w:sz="0" w:space="0" w:color="auto"/>
          </w:divBdr>
        </w:div>
        <w:div w:id="294141370">
          <w:marLeft w:val="0"/>
          <w:marRight w:val="0"/>
          <w:marTop w:val="0"/>
          <w:marBottom w:val="0"/>
          <w:divBdr>
            <w:top w:val="none" w:sz="0" w:space="0" w:color="auto"/>
            <w:left w:val="none" w:sz="0" w:space="0" w:color="auto"/>
            <w:bottom w:val="none" w:sz="0" w:space="0" w:color="auto"/>
            <w:right w:val="none" w:sz="0" w:space="0" w:color="auto"/>
          </w:divBdr>
        </w:div>
        <w:div w:id="294141408">
          <w:marLeft w:val="0"/>
          <w:marRight w:val="0"/>
          <w:marTop w:val="0"/>
          <w:marBottom w:val="0"/>
          <w:divBdr>
            <w:top w:val="none" w:sz="0" w:space="0" w:color="auto"/>
            <w:left w:val="none" w:sz="0" w:space="0" w:color="auto"/>
            <w:bottom w:val="none" w:sz="0" w:space="0" w:color="auto"/>
            <w:right w:val="none" w:sz="0" w:space="0" w:color="auto"/>
          </w:divBdr>
        </w:div>
        <w:div w:id="294141412">
          <w:marLeft w:val="0"/>
          <w:marRight w:val="0"/>
          <w:marTop w:val="0"/>
          <w:marBottom w:val="0"/>
          <w:divBdr>
            <w:top w:val="none" w:sz="0" w:space="0" w:color="auto"/>
            <w:left w:val="none" w:sz="0" w:space="0" w:color="auto"/>
            <w:bottom w:val="none" w:sz="0" w:space="0" w:color="auto"/>
            <w:right w:val="none" w:sz="0" w:space="0" w:color="auto"/>
          </w:divBdr>
        </w:div>
        <w:div w:id="294141444">
          <w:marLeft w:val="0"/>
          <w:marRight w:val="0"/>
          <w:marTop w:val="0"/>
          <w:marBottom w:val="0"/>
          <w:divBdr>
            <w:top w:val="none" w:sz="0" w:space="0" w:color="auto"/>
            <w:left w:val="none" w:sz="0" w:space="0" w:color="auto"/>
            <w:bottom w:val="none" w:sz="0" w:space="0" w:color="auto"/>
            <w:right w:val="none" w:sz="0" w:space="0" w:color="auto"/>
          </w:divBdr>
        </w:div>
        <w:div w:id="294141446">
          <w:marLeft w:val="0"/>
          <w:marRight w:val="0"/>
          <w:marTop w:val="0"/>
          <w:marBottom w:val="0"/>
          <w:divBdr>
            <w:top w:val="none" w:sz="0" w:space="0" w:color="auto"/>
            <w:left w:val="none" w:sz="0" w:space="0" w:color="auto"/>
            <w:bottom w:val="none" w:sz="0" w:space="0" w:color="auto"/>
            <w:right w:val="none" w:sz="0" w:space="0" w:color="auto"/>
          </w:divBdr>
        </w:div>
        <w:div w:id="294141453">
          <w:marLeft w:val="0"/>
          <w:marRight w:val="0"/>
          <w:marTop w:val="0"/>
          <w:marBottom w:val="0"/>
          <w:divBdr>
            <w:top w:val="none" w:sz="0" w:space="0" w:color="auto"/>
            <w:left w:val="none" w:sz="0" w:space="0" w:color="auto"/>
            <w:bottom w:val="none" w:sz="0" w:space="0" w:color="auto"/>
            <w:right w:val="none" w:sz="0" w:space="0" w:color="auto"/>
          </w:divBdr>
        </w:div>
        <w:div w:id="294141493">
          <w:marLeft w:val="0"/>
          <w:marRight w:val="0"/>
          <w:marTop w:val="0"/>
          <w:marBottom w:val="0"/>
          <w:divBdr>
            <w:top w:val="none" w:sz="0" w:space="0" w:color="auto"/>
            <w:left w:val="none" w:sz="0" w:space="0" w:color="auto"/>
            <w:bottom w:val="none" w:sz="0" w:space="0" w:color="auto"/>
            <w:right w:val="none" w:sz="0" w:space="0" w:color="auto"/>
          </w:divBdr>
        </w:div>
        <w:div w:id="294141683">
          <w:marLeft w:val="0"/>
          <w:marRight w:val="0"/>
          <w:marTop w:val="0"/>
          <w:marBottom w:val="0"/>
          <w:divBdr>
            <w:top w:val="none" w:sz="0" w:space="0" w:color="auto"/>
            <w:left w:val="none" w:sz="0" w:space="0" w:color="auto"/>
            <w:bottom w:val="none" w:sz="0" w:space="0" w:color="auto"/>
            <w:right w:val="none" w:sz="0" w:space="0" w:color="auto"/>
          </w:divBdr>
        </w:div>
        <w:div w:id="294141907">
          <w:marLeft w:val="0"/>
          <w:marRight w:val="0"/>
          <w:marTop w:val="0"/>
          <w:marBottom w:val="0"/>
          <w:divBdr>
            <w:top w:val="none" w:sz="0" w:space="0" w:color="auto"/>
            <w:left w:val="none" w:sz="0" w:space="0" w:color="auto"/>
            <w:bottom w:val="none" w:sz="0" w:space="0" w:color="auto"/>
            <w:right w:val="none" w:sz="0" w:space="0" w:color="auto"/>
          </w:divBdr>
        </w:div>
        <w:div w:id="294141911">
          <w:marLeft w:val="0"/>
          <w:marRight w:val="0"/>
          <w:marTop w:val="0"/>
          <w:marBottom w:val="0"/>
          <w:divBdr>
            <w:top w:val="none" w:sz="0" w:space="0" w:color="auto"/>
            <w:left w:val="none" w:sz="0" w:space="0" w:color="auto"/>
            <w:bottom w:val="none" w:sz="0" w:space="0" w:color="auto"/>
            <w:right w:val="none" w:sz="0" w:space="0" w:color="auto"/>
          </w:divBdr>
        </w:div>
        <w:div w:id="294141961">
          <w:marLeft w:val="0"/>
          <w:marRight w:val="0"/>
          <w:marTop w:val="0"/>
          <w:marBottom w:val="0"/>
          <w:divBdr>
            <w:top w:val="none" w:sz="0" w:space="0" w:color="auto"/>
            <w:left w:val="none" w:sz="0" w:space="0" w:color="auto"/>
            <w:bottom w:val="none" w:sz="0" w:space="0" w:color="auto"/>
            <w:right w:val="none" w:sz="0" w:space="0" w:color="auto"/>
          </w:divBdr>
        </w:div>
        <w:div w:id="294142008">
          <w:marLeft w:val="0"/>
          <w:marRight w:val="0"/>
          <w:marTop w:val="0"/>
          <w:marBottom w:val="0"/>
          <w:divBdr>
            <w:top w:val="none" w:sz="0" w:space="0" w:color="auto"/>
            <w:left w:val="none" w:sz="0" w:space="0" w:color="auto"/>
            <w:bottom w:val="none" w:sz="0" w:space="0" w:color="auto"/>
            <w:right w:val="none" w:sz="0" w:space="0" w:color="auto"/>
          </w:divBdr>
        </w:div>
        <w:div w:id="294142030">
          <w:marLeft w:val="0"/>
          <w:marRight w:val="0"/>
          <w:marTop w:val="0"/>
          <w:marBottom w:val="0"/>
          <w:divBdr>
            <w:top w:val="none" w:sz="0" w:space="0" w:color="auto"/>
            <w:left w:val="none" w:sz="0" w:space="0" w:color="auto"/>
            <w:bottom w:val="none" w:sz="0" w:space="0" w:color="auto"/>
            <w:right w:val="none" w:sz="0" w:space="0" w:color="auto"/>
          </w:divBdr>
        </w:div>
        <w:div w:id="294142463">
          <w:marLeft w:val="0"/>
          <w:marRight w:val="0"/>
          <w:marTop w:val="0"/>
          <w:marBottom w:val="0"/>
          <w:divBdr>
            <w:top w:val="none" w:sz="0" w:space="0" w:color="auto"/>
            <w:left w:val="none" w:sz="0" w:space="0" w:color="auto"/>
            <w:bottom w:val="none" w:sz="0" w:space="0" w:color="auto"/>
            <w:right w:val="none" w:sz="0" w:space="0" w:color="auto"/>
          </w:divBdr>
        </w:div>
        <w:div w:id="294142980">
          <w:marLeft w:val="0"/>
          <w:marRight w:val="0"/>
          <w:marTop w:val="0"/>
          <w:marBottom w:val="0"/>
          <w:divBdr>
            <w:top w:val="none" w:sz="0" w:space="0" w:color="auto"/>
            <w:left w:val="none" w:sz="0" w:space="0" w:color="auto"/>
            <w:bottom w:val="none" w:sz="0" w:space="0" w:color="auto"/>
            <w:right w:val="none" w:sz="0" w:space="0" w:color="auto"/>
          </w:divBdr>
        </w:div>
        <w:div w:id="294143263">
          <w:marLeft w:val="0"/>
          <w:marRight w:val="0"/>
          <w:marTop w:val="0"/>
          <w:marBottom w:val="0"/>
          <w:divBdr>
            <w:top w:val="none" w:sz="0" w:space="0" w:color="auto"/>
            <w:left w:val="none" w:sz="0" w:space="0" w:color="auto"/>
            <w:bottom w:val="none" w:sz="0" w:space="0" w:color="auto"/>
            <w:right w:val="none" w:sz="0" w:space="0" w:color="auto"/>
          </w:divBdr>
        </w:div>
        <w:div w:id="294143419">
          <w:marLeft w:val="0"/>
          <w:marRight w:val="0"/>
          <w:marTop w:val="0"/>
          <w:marBottom w:val="0"/>
          <w:divBdr>
            <w:top w:val="none" w:sz="0" w:space="0" w:color="auto"/>
            <w:left w:val="none" w:sz="0" w:space="0" w:color="auto"/>
            <w:bottom w:val="none" w:sz="0" w:space="0" w:color="auto"/>
            <w:right w:val="none" w:sz="0" w:space="0" w:color="auto"/>
          </w:divBdr>
        </w:div>
        <w:div w:id="294143420">
          <w:marLeft w:val="0"/>
          <w:marRight w:val="0"/>
          <w:marTop w:val="0"/>
          <w:marBottom w:val="0"/>
          <w:divBdr>
            <w:top w:val="none" w:sz="0" w:space="0" w:color="auto"/>
            <w:left w:val="none" w:sz="0" w:space="0" w:color="auto"/>
            <w:bottom w:val="none" w:sz="0" w:space="0" w:color="auto"/>
            <w:right w:val="none" w:sz="0" w:space="0" w:color="auto"/>
          </w:divBdr>
        </w:div>
        <w:div w:id="294143525">
          <w:marLeft w:val="0"/>
          <w:marRight w:val="0"/>
          <w:marTop w:val="0"/>
          <w:marBottom w:val="0"/>
          <w:divBdr>
            <w:top w:val="none" w:sz="0" w:space="0" w:color="auto"/>
            <w:left w:val="none" w:sz="0" w:space="0" w:color="auto"/>
            <w:bottom w:val="none" w:sz="0" w:space="0" w:color="auto"/>
            <w:right w:val="none" w:sz="0" w:space="0" w:color="auto"/>
          </w:divBdr>
        </w:div>
        <w:div w:id="294143550">
          <w:marLeft w:val="0"/>
          <w:marRight w:val="0"/>
          <w:marTop w:val="0"/>
          <w:marBottom w:val="0"/>
          <w:divBdr>
            <w:top w:val="none" w:sz="0" w:space="0" w:color="auto"/>
            <w:left w:val="none" w:sz="0" w:space="0" w:color="auto"/>
            <w:bottom w:val="none" w:sz="0" w:space="0" w:color="auto"/>
            <w:right w:val="none" w:sz="0" w:space="0" w:color="auto"/>
          </w:divBdr>
        </w:div>
        <w:div w:id="294143648">
          <w:marLeft w:val="0"/>
          <w:marRight w:val="0"/>
          <w:marTop w:val="0"/>
          <w:marBottom w:val="0"/>
          <w:divBdr>
            <w:top w:val="none" w:sz="0" w:space="0" w:color="auto"/>
            <w:left w:val="none" w:sz="0" w:space="0" w:color="auto"/>
            <w:bottom w:val="none" w:sz="0" w:space="0" w:color="auto"/>
            <w:right w:val="none" w:sz="0" w:space="0" w:color="auto"/>
          </w:divBdr>
        </w:div>
        <w:div w:id="294143725">
          <w:marLeft w:val="0"/>
          <w:marRight w:val="0"/>
          <w:marTop w:val="0"/>
          <w:marBottom w:val="0"/>
          <w:divBdr>
            <w:top w:val="none" w:sz="0" w:space="0" w:color="auto"/>
            <w:left w:val="none" w:sz="0" w:space="0" w:color="auto"/>
            <w:bottom w:val="none" w:sz="0" w:space="0" w:color="auto"/>
            <w:right w:val="none" w:sz="0" w:space="0" w:color="auto"/>
          </w:divBdr>
        </w:div>
        <w:div w:id="294144326">
          <w:marLeft w:val="0"/>
          <w:marRight w:val="0"/>
          <w:marTop w:val="0"/>
          <w:marBottom w:val="0"/>
          <w:divBdr>
            <w:top w:val="none" w:sz="0" w:space="0" w:color="auto"/>
            <w:left w:val="none" w:sz="0" w:space="0" w:color="auto"/>
            <w:bottom w:val="none" w:sz="0" w:space="0" w:color="auto"/>
            <w:right w:val="none" w:sz="0" w:space="0" w:color="auto"/>
          </w:divBdr>
        </w:div>
        <w:div w:id="294144434">
          <w:marLeft w:val="0"/>
          <w:marRight w:val="0"/>
          <w:marTop w:val="0"/>
          <w:marBottom w:val="0"/>
          <w:divBdr>
            <w:top w:val="none" w:sz="0" w:space="0" w:color="auto"/>
            <w:left w:val="none" w:sz="0" w:space="0" w:color="auto"/>
            <w:bottom w:val="none" w:sz="0" w:space="0" w:color="auto"/>
            <w:right w:val="none" w:sz="0" w:space="0" w:color="auto"/>
          </w:divBdr>
        </w:div>
        <w:div w:id="294144559">
          <w:marLeft w:val="0"/>
          <w:marRight w:val="0"/>
          <w:marTop w:val="0"/>
          <w:marBottom w:val="0"/>
          <w:divBdr>
            <w:top w:val="none" w:sz="0" w:space="0" w:color="auto"/>
            <w:left w:val="none" w:sz="0" w:space="0" w:color="auto"/>
            <w:bottom w:val="none" w:sz="0" w:space="0" w:color="auto"/>
            <w:right w:val="none" w:sz="0" w:space="0" w:color="auto"/>
          </w:divBdr>
        </w:div>
        <w:div w:id="294144618">
          <w:marLeft w:val="0"/>
          <w:marRight w:val="0"/>
          <w:marTop w:val="0"/>
          <w:marBottom w:val="0"/>
          <w:divBdr>
            <w:top w:val="none" w:sz="0" w:space="0" w:color="auto"/>
            <w:left w:val="none" w:sz="0" w:space="0" w:color="auto"/>
            <w:bottom w:val="none" w:sz="0" w:space="0" w:color="auto"/>
            <w:right w:val="none" w:sz="0" w:space="0" w:color="auto"/>
          </w:divBdr>
        </w:div>
        <w:div w:id="294144657">
          <w:marLeft w:val="0"/>
          <w:marRight w:val="0"/>
          <w:marTop w:val="0"/>
          <w:marBottom w:val="0"/>
          <w:divBdr>
            <w:top w:val="none" w:sz="0" w:space="0" w:color="auto"/>
            <w:left w:val="none" w:sz="0" w:space="0" w:color="auto"/>
            <w:bottom w:val="none" w:sz="0" w:space="0" w:color="auto"/>
            <w:right w:val="none" w:sz="0" w:space="0" w:color="auto"/>
          </w:divBdr>
        </w:div>
        <w:div w:id="294144750">
          <w:marLeft w:val="0"/>
          <w:marRight w:val="0"/>
          <w:marTop w:val="0"/>
          <w:marBottom w:val="0"/>
          <w:divBdr>
            <w:top w:val="none" w:sz="0" w:space="0" w:color="auto"/>
            <w:left w:val="none" w:sz="0" w:space="0" w:color="auto"/>
            <w:bottom w:val="none" w:sz="0" w:space="0" w:color="auto"/>
            <w:right w:val="none" w:sz="0" w:space="0" w:color="auto"/>
          </w:divBdr>
        </w:div>
        <w:div w:id="294144865">
          <w:marLeft w:val="0"/>
          <w:marRight w:val="0"/>
          <w:marTop w:val="0"/>
          <w:marBottom w:val="0"/>
          <w:divBdr>
            <w:top w:val="none" w:sz="0" w:space="0" w:color="auto"/>
            <w:left w:val="none" w:sz="0" w:space="0" w:color="auto"/>
            <w:bottom w:val="none" w:sz="0" w:space="0" w:color="auto"/>
            <w:right w:val="none" w:sz="0" w:space="0" w:color="auto"/>
          </w:divBdr>
        </w:div>
        <w:div w:id="294145071">
          <w:marLeft w:val="0"/>
          <w:marRight w:val="0"/>
          <w:marTop w:val="0"/>
          <w:marBottom w:val="0"/>
          <w:divBdr>
            <w:top w:val="none" w:sz="0" w:space="0" w:color="auto"/>
            <w:left w:val="none" w:sz="0" w:space="0" w:color="auto"/>
            <w:bottom w:val="none" w:sz="0" w:space="0" w:color="auto"/>
            <w:right w:val="none" w:sz="0" w:space="0" w:color="auto"/>
          </w:divBdr>
        </w:div>
        <w:div w:id="294145640">
          <w:marLeft w:val="0"/>
          <w:marRight w:val="0"/>
          <w:marTop w:val="0"/>
          <w:marBottom w:val="0"/>
          <w:divBdr>
            <w:top w:val="none" w:sz="0" w:space="0" w:color="auto"/>
            <w:left w:val="none" w:sz="0" w:space="0" w:color="auto"/>
            <w:bottom w:val="none" w:sz="0" w:space="0" w:color="auto"/>
            <w:right w:val="none" w:sz="0" w:space="0" w:color="auto"/>
          </w:divBdr>
        </w:div>
        <w:div w:id="294146019">
          <w:marLeft w:val="0"/>
          <w:marRight w:val="0"/>
          <w:marTop w:val="0"/>
          <w:marBottom w:val="0"/>
          <w:divBdr>
            <w:top w:val="none" w:sz="0" w:space="0" w:color="auto"/>
            <w:left w:val="none" w:sz="0" w:space="0" w:color="auto"/>
            <w:bottom w:val="none" w:sz="0" w:space="0" w:color="auto"/>
            <w:right w:val="none" w:sz="0" w:space="0" w:color="auto"/>
          </w:divBdr>
        </w:div>
        <w:div w:id="294146082">
          <w:marLeft w:val="0"/>
          <w:marRight w:val="0"/>
          <w:marTop w:val="0"/>
          <w:marBottom w:val="0"/>
          <w:divBdr>
            <w:top w:val="none" w:sz="0" w:space="0" w:color="auto"/>
            <w:left w:val="none" w:sz="0" w:space="0" w:color="auto"/>
            <w:bottom w:val="none" w:sz="0" w:space="0" w:color="auto"/>
            <w:right w:val="none" w:sz="0" w:space="0" w:color="auto"/>
          </w:divBdr>
        </w:div>
        <w:div w:id="294146115">
          <w:marLeft w:val="0"/>
          <w:marRight w:val="0"/>
          <w:marTop w:val="0"/>
          <w:marBottom w:val="0"/>
          <w:divBdr>
            <w:top w:val="none" w:sz="0" w:space="0" w:color="auto"/>
            <w:left w:val="none" w:sz="0" w:space="0" w:color="auto"/>
            <w:bottom w:val="none" w:sz="0" w:space="0" w:color="auto"/>
            <w:right w:val="none" w:sz="0" w:space="0" w:color="auto"/>
          </w:divBdr>
        </w:div>
        <w:div w:id="294146203">
          <w:marLeft w:val="0"/>
          <w:marRight w:val="0"/>
          <w:marTop w:val="0"/>
          <w:marBottom w:val="0"/>
          <w:divBdr>
            <w:top w:val="none" w:sz="0" w:space="0" w:color="auto"/>
            <w:left w:val="none" w:sz="0" w:space="0" w:color="auto"/>
            <w:bottom w:val="none" w:sz="0" w:space="0" w:color="auto"/>
            <w:right w:val="none" w:sz="0" w:space="0" w:color="auto"/>
          </w:divBdr>
        </w:div>
        <w:div w:id="294146338">
          <w:marLeft w:val="0"/>
          <w:marRight w:val="0"/>
          <w:marTop w:val="0"/>
          <w:marBottom w:val="0"/>
          <w:divBdr>
            <w:top w:val="none" w:sz="0" w:space="0" w:color="auto"/>
            <w:left w:val="none" w:sz="0" w:space="0" w:color="auto"/>
            <w:bottom w:val="none" w:sz="0" w:space="0" w:color="auto"/>
            <w:right w:val="none" w:sz="0" w:space="0" w:color="auto"/>
          </w:divBdr>
        </w:div>
        <w:div w:id="294146517">
          <w:marLeft w:val="0"/>
          <w:marRight w:val="0"/>
          <w:marTop w:val="0"/>
          <w:marBottom w:val="0"/>
          <w:divBdr>
            <w:top w:val="none" w:sz="0" w:space="0" w:color="auto"/>
            <w:left w:val="none" w:sz="0" w:space="0" w:color="auto"/>
            <w:bottom w:val="none" w:sz="0" w:space="0" w:color="auto"/>
            <w:right w:val="none" w:sz="0" w:space="0" w:color="auto"/>
          </w:divBdr>
        </w:div>
        <w:div w:id="294146607">
          <w:marLeft w:val="0"/>
          <w:marRight w:val="0"/>
          <w:marTop w:val="0"/>
          <w:marBottom w:val="0"/>
          <w:divBdr>
            <w:top w:val="none" w:sz="0" w:space="0" w:color="auto"/>
            <w:left w:val="none" w:sz="0" w:space="0" w:color="auto"/>
            <w:bottom w:val="none" w:sz="0" w:space="0" w:color="auto"/>
            <w:right w:val="none" w:sz="0" w:space="0" w:color="auto"/>
          </w:divBdr>
        </w:div>
        <w:div w:id="294147076">
          <w:marLeft w:val="0"/>
          <w:marRight w:val="0"/>
          <w:marTop w:val="0"/>
          <w:marBottom w:val="0"/>
          <w:divBdr>
            <w:top w:val="none" w:sz="0" w:space="0" w:color="auto"/>
            <w:left w:val="none" w:sz="0" w:space="0" w:color="auto"/>
            <w:bottom w:val="none" w:sz="0" w:space="0" w:color="auto"/>
            <w:right w:val="none" w:sz="0" w:space="0" w:color="auto"/>
          </w:divBdr>
        </w:div>
        <w:div w:id="294147147">
          <w:marLeft w:val="0"/>
          <w:marRight w:val="0"/>
          <w:marTop w:val="0"/>
          <w:marBottom w:val="0"/>
          <w:divBdr>
            <w:top w:val="none" w:sz="0" w:space="0" w:color="auto"/>
            <w:left w:val="none" w:sz="0" w:space="0" w:color="auto"/>
            <w:bottom w:val="none" w:sz="0" w:space="0" w:color="auto"/>
            <w:right w:val="none" w:sz="0" w:space="0" w:color="auto"/>
          </w:divBdr>
        </w:div>
        <w:div w:id="294147241">
          <w:marLeft w:val="0"/>
          <w:marRight w:val="0"/>
          <w:marTop w:val="0"/>
          <w:marBottom w:val="0"/>
          <w:divBdr>
            <w:top w:val="none" w:sz="0" w:space="0" w:color="auto"/>
            <w:left w:val="none" w:sz="0" w:space="0" w:color="auto"/>
            <w:bottom w:val="none" w:sz="0" w:space="0" w:color="auto"/>
            <w:right w:val="none" w:sz="0" w:space="0" w:color="auto"/>
          </w:divBdr>
        </w:div>
        <w:div w:id="294147286">
          <w:marLeft w:val="0"/>
          <w:marRight w:val="0"/>
          <w:marTop w:val="0"/>
          <w:marBottom w:val="0"/>
          <w:divBdr>
            <w:top w:val="none" w:sz="0" w:space="0" w:color="auto"/>
            <w:left w:val="none" w:sz="0" w:space="0" w:color="auto"/>
            <w:bottom w:val="none" w:sz="0" w:space="0" w:color="auto"/>
            <w:right w:val="none" w:sz="0" w:space="0" w:color="auto"/>
          </w:divBdr>
        </w:div>
        <w:div w:id="294147551">
          <w:marLeft w:val="0"/>
          <w:marRight w:val="0"/>
          <w:marTop w:val="0"/>
          <w:marBottom w:val="0"/>
          <w:divBdr>
            <w:top w:val="none" w:sz="0" w:space="0" w:color="auto"/>
            <w:left w:val="none" w:sz="0" w:space="0" w:color="auto"/>
            <w:bottom w:val="none" w:sz="0" w:space="0" w:color="auto"/>
            <w:right w:val="none" w:sz="0" w:space="0" w:color="auto"/>
          </w:divBdr>
        </w:div>
        <w:div w:id="294147559">
          <w:marLeft w:val="0"/>
          <w:marRight w:val="0"/>
          <w:marTop w:val="0"/>
          <w:marBottom w:val="0"/>
          <w:divBdr>
            <w:top w:val="none" w:sz="0" w:space="0" w:color="auto"/>
            <w:left w:val="none" w:sz="0" w:space="0" w:color="auto"/>
            <w:bottom w:val="none" w:sz="0" w:space="0" w:color="auto"/>
            <w:right w:val="none" w:sz="0" w:space="0" w:color="auto"/>
          </w:divBdr>
        </w:div>
        <w:div w:id="294147597">
          <w:marLeft w:val="0"/>
          <w:marRight w:val="0"/>
          <w:marTop w:val="0"/>
          <w:marBottom w:val="0"/>
          <w:divBdr>
            <w:top w:val="none" w:sz="0" w:space="0" w:color="auto"/>
            <w:left w:val="none" w:sz="0" w:space="0" w:color="auto"/>
            <w:bottom w:val="none" w:sz="0" w:space="0" w:color="auto"/>
            <w:right w:val="none" w:sz="0" w:space="0" w:color="auto"/>
          </w:divBdr>
        </w:div>
        <w:div w:id="294147674">
          <w:marLeft w:val="0"/>
          <w:marRight w:val="0"/>
          <w:marTop w:val="0"/>
          <w:marBottom w:val="0"/>
          <w:divBdr>
            <w:top w:val="none" w:sz="0" w:space="0" w:color="auto"/>
            <w:left w:val="none" w:sz="0" w:space="0" w:color="auto"/>
            <w:bottom w:val="none" w:sz="0" w:space="0" w:color="auto"/>
            <w:right w:val="none" w:sz="0" w:space="0" w:color="auto"/>
          </w:divBdr>
        </w:div>
        <w:div w:id="294147695">
          <w:marLeft w:val="0"/>
          <w:marRight w:val="0"/>
          <w:marTop w:val="0"/>
          <w:marBottom w:val="0"/>
          <w:divBdr>
            <w:top w:val="none" w:sz="0" w:space="0" w:color="auto"/>
            <w:left w:val="none" w:sz="0" w:space="0" w:color="auto"/>
            <w:bottom w:val="none" w:sz="0" w:space="0" w:color="auto"/>
            <w:right w:val="none" w:sz="0" w:space="0" w:color="auto"/>
          </w:divBdr>
        </w:div>
        <w:div w:id="294147726">
          <w:marLeft w:val="0"/>
          <w:marRight w:val="0"/>
          <w:marTop w:val="0"/>
          <w:marBottom w:val="0"/>
          <w:divBdr>
            <w:top w:val="none" w:sz="0" w:space="0" w:color="auto"/>
            <w:left w:val="none" w:sz="0" w:space="0" w:color="auto"/>
            <w:bottom w:val="none" w:sz="0" w:space="0" w:color="auto"/>
            <w:right w:val="none" w:sz="0" w:space="0" w:color="auto"/>
          </w:divBdr>
        </w:div>
        <w:div w:id="294147907">
          <w:marLeft w:val="0"/>
          <w:marRight w:val="0"/>
          <w:marTop w:val="0"/>
          <w:marBottom w:val="0"/>
          <w:divBdr>
            <w:top w:val="none" w:sz="0" w:space="0" w:color="auto"/>
            <w:left w:val="none" w:sz="0" w:space="0" w:color="auto"/>
            <w:bottom w:val="none" w:sz="0" w:space="0" w:color="auto"/>
            <w:right w:val="none" w:sz="0" w:space="0" w:color="auto"/>
          </w:divBdr>
        </w:div>
        <w:div w:id="294148048">
          <w:marLeft w:val="0"/>
          <w:marRight w:val="0"/>
          <w:marTop w:val="0"/>
          <w:marBottom w:val="0"/>
          <w:divBdr>
            <w:top w:val="none" w:sz="0" w:space="0" w:color="auto"/>
            <w:left w:val="none" w:sz="0" w:space="0" w:color="auto"/>
            <w:bottom w:val="none" w:sz="0" w:space="0" w:color="auto"/>
            <w:right w:val="none" w:sz="0" w:space="0" w:color="auto"/>
          </w:divBdr>
        </w:div>
        <w:div w:id="294148141">
          <w:marLeft w:val="0"/>
          <w:marRight w:val="0"/>
          <w:marTop w:val="0"/>
          <w:marBottom w:val="0"/>
          <w:divBdr>
            <w:top w:val="none" w:sz="0" w:space="0" w:color="auto"/>
            <w:left w:val="none" w:sz="0" w:space="0" w:color="auto"/>
            <w:bottom w:val="none" w:sz="0" w:space="0" w:color="auto"/>
            <w:right w:val="none" w:sz="0" w:space="0" w:color="auto"/>
          </w:divBdr>
        </w:div>
        <w:div w:id="294148156">
          <w:marLeft w:val="0"/>
          <w:marRight w:val="0"/>
          <w:marTop w:val="0"/>
          <w:marBottom w:val="0"/>
          <w:divBdr>
            <w:top w:val="none" w:sz="0" w:space="0" w:color="auto"/>
            <w:left w:val="none" w:sz="0" w:space="0" w:color="auto"/>
            <w:bottom w:val="none" w:sz="0" w:space="0" w:color="auto"/>
            <w:right w:val="none" w:sz="0" w:space="0" w:color="auto"/>
          </w:divBdr>
        </w:div>
        <w:div w:id="294148272">
          <w:marLeft w:val="0"/>
          <w:marRight w:val="0"/>
          <w:marTop w:val="0"/>
          <w:marBottom w:val="0"/>
          <w:divBdr>
            <w:top w:val="none" w:sz="0" w:space="0" w:color="auto"/>
            <w:left w:val="none" w:sz="0" w:space="0" w:color="auto"/>
            <w:bottom w:val="none" w:sz="0" w:space="0" w:color="auto"/>
            <w:right w:val="none" w:sz="0" w:space="0" w:color="auto"/>
          </w:divBdr>
        </w:div>
        <w:div w:id="294148574">
          <w:marLeft w:val="0"/>
          <w:marRight w:val="0"/>
          <w:marTop w:val="0"/>
          <w:marBottom w:val="0"/>
          <w:divBdr>
            <w:top w:val="none" w:sz="0" w:space="0" w:color="auto"/>
            <w:left w:val="none" w:sz="0" w:space="0" w:color="auto"/>
            <w:bottom w:val="none" w:sz="0" w:space="0" w:color="auto"/>
            <w:right w:val="none" w:sz="0" w:space="0" w:color="auto"/>
          </w:divBdr>
        </w:div>
        <w:div w:id="294148683">
          <w:marLeft w:val="0"/>
          <w:marRight w:val="0"/>
          <w:marTop w:val="0"/>
          <w:marBottom w:val="0"/>
          <w:divBdr>
            <w:top w:val="none" w:sz="0" w:space="0" w:color="auto"/>
            <w:left w:val="none" w:sz="0" w:space="0" w:color="auto"/>
            <w:bottom w:val="none" w:sz="0" w:space="0" w:color="auto"/>
            <w:right w:val="none" w:sz="0" w:space="0" w:color="auto"/>
          </w:divBdr>
        </w:div>
        <w:div w:id="294149152">
          <w:marLeft w:val="0"/>
          <w:marRight w:val="0"/>
          <w:marTop w:val="0"/>
          <w:marBottom w:val="0"/>
          <w:divBdr>
            <w:top w:val="none" w:sz="0" w:space="0" w:color="auto"/>
            <w:left w:val="none" w:sz="0" w:space="0" w:color="auto"/>
            <w:bottom w:val="none" w:sz="0" w:space="0" w:color="auto"/>
            <w:right w:val="none" w:sz="0" w:space="0" w:color="auto"/>
          </w:divBdr>
        </w:div>
        <w:div w:id="294149154">
          <w:marLeft w:val="0"/>
          <w:marRight w:val="0"/>
          <w:marTop w:val="0"/>
          <w:marBottom w:val="0"/>
          <w:divBdr>
            <w:top w:val="none" w:sz="0" w:space="0" w:color="auto"/>
            <w:left w:val="none" w:sz="0" w:space="0" w:color="auto"/>
            <w:bottom w:val="none" w:sz="0" w:space="0" w:color="auto"/>
            <w:right w:val="none" w:sz="0" w:space="0" w:color="auto"/>
          </w:divBdr>
        </w:div>
        <w:div w:id="294149180">
          <w:marLeft w:val="0"/>
          <w:marRight w:val="0"/>
          <w:marTop w:val="0"/>
          <w:marBottom w:val="0"/>
          <w:divBdr>
            <w:top w:val="none" w:sz="0" w:space="0" w:color="auto"/>
            <w:left w:val="none" w:sz="0" w:space="0" w:color="auto"/>
            <w:bottom w:val="none" w:sz="0" w:space="0" w:color="auto"/>
            <w:right w:val="none" w:sz="0" w:space="0" w:color="auto"/>
          </w:divBdr>
        </w:div>
        <w:div w:id="294149223">
          <w:marLeft w:val="0"/>
          <w:marRight w:val="0"/>
          <w:marTop w:val="0"/>
          <w:marBottom w:val="0"/>
          <w:divBdr>
            <w:top w:val="none" w:sz="0" w:space="0" w:color="auto"/>
            <w:left w:val="none" w:sz="0" w:space="0" w:color="auto"/>
            <w:bottom w:val="none" w:sz="0" w:space="0" w:color="auto"/>
            <w:right w:val="none" w:sz="0" w:space="0" w:color="auto"/>
          </w:divBdr>
        </w:div>
        <w:div w:id="294149654">
          <w:marLeft w:val="0"/>
          <w:marRight w:val="0"/>
          <w:marTop w:val="0"/>
          <w:marBottom w:val="0"/>
          <w:divBdr>
            <w:top w:val="none" w:sz="0" w:space="0" w:color="auto"/>
            <w:left w:val="none" w:sz="0" w:space="0" w:color="auto"/>
            <w:bottom w:val="none" w:sz="0" w:space="0" w:color="auto"/>
            <w:right w:val="none" w:sz="0" w:space="0" w:color="auto"/>
          </w:divBdr>
        </w:div>
        <w:div w:id="294149804">
          <w:marLeft w:val="0"/>
          <w:marRight w:val="0"/>
          <w:marTop w:val="0"/>
          <w:marBottom w:val="0"/>
          <w:divBdr>
            <w:top w:val="none" w:sz="0" w:space="0" w:color="auto"/>
            <w:left w:val="none" w:sz="0" w:space="0" w:color="auto"/>
            <w:bottom w:val="none" w:sz="0" w:space="0" w:color="auto"/>
            <w:right w:val="none" w:sz="0" w:space="0" w:color="auto"/>
          </w:divBdr>
        </w:div>
        <w:div w:id="294149806">
          <w:marLeft w:val="0"/>
          <w:marRight w:val="0"/>
          <w:marTop w:val="0"/>
          <w:marBottom w:val="0"/>
          <w:divBdr>
            <w:top w:val="none" w:sz="0" w:space="0" w:color="auto"/>
            <w:left w:val="none" w:sz="0" w:space="0" w:color="auto"/>
            <w:bottom w:val="none" w:sz="0" w:space="0" w:color="auto"/>
            <w:right w:val="none" w:sz="0" w:space="0" w:color="auto"/>
          </w:divBdr>
        </w:div>
        <w:div w:id="294149891">
          <w:marLeft w:val="0"/>
          <w:marRight w:val="0"/>
          <w:marTop w:val="0"/>
          <w:marBottom w:val="0"/>
          <w:divBdr>
            <w:top w:val="none" w:sz="0" w:space="0" w:color="auto"/>
            <w:left w:val="none" w:sz="0" w:space="0" w:color="auto"/>
            <w:bottom w:val="none" w:sz="0" w:space="0" w:color="auto"/>
            <w:right w:val="none" w:sz="0" w:space="0" w:color="auto"/>
          </w:divBdr>
        </w:div>
        <w:div w:id="294149941">
          <w:marLeft w:val="0"/>
          <w:marRight w:val="0"/>
          <w:marTop w:val="0"/>
          <w:marBottom w:val="0"/>
          <w:divBdr>
            <w:top w:val="none" w:sz="0" w:space="0" w:color="auto"/>
            <w:left w:val="none" w:sz="0" w:space="0" w:color="auto"/>
            <w:bottom w:val="none" w:sz="0" w:space="0" w:color="auto"/>
            <w:right w:val="none" w:sz="0" w:space="0" w:color="auto"/>
          </w:divBdr>
        </w:div>
        <w:div w:id="294150103">
          <w:marLeft w:val="0"/>
          <w:marRight w:val="0"/>
          <w:marTop w:val="0"/>
          <w:marBottom w:val="0"/>
          <w:divBdr>
            <w:top w:val="none" w:sz="0" w:space="0" w:color="auto"/>
            <w:left w:val="none" w:sz="0" w:space="0" w:color="auto"/>
            <w:bottom w:val="none" w:sz="0" w:space="0" w:color="auto"/>
            <w:right w:val="none" w:sz="0" w:space="0" w:color="auto"/>
          </w:divBdr>
        </w:div>
        <w:div w:id="294150225">
          <w:marLeft w:val="0"/>
          <w:marRight w:val="0"/>
          <w:marTop w:val="0"/>
          <w:marBottom w:val="0"/>
          <w:divBdr>
            <w:top w:val="none" w:sz="0" w:space="0" w:color="auto"/>
            <w:left w:val="none" w:sz="0" w:space="0" w:color="auto"/>
            <w:bottom w:val="none" w:sz="0" w:space="0" w:color="auto"/>
            <w:right w:val="none" w:sz="0" w:space="0" w:color="auto"/>
          </w:divBdr>
        </w:div>
        <w:div w:id="294150345">
          <w:marLeft w:val="0"/>
          <w:marRight w:val="0"/>
          <w:marTop w:val="0"/>
          <w:marBottom w:val="0"/>
          <w:divBdr>
            <w:top w:val="none" w:sz="0" w:space="0" w:color="auto"/>
            <w:left w:val="none" w:sz="0" w:space="0" w:color="auto"/>
            <w:bottom w:val="none" w:sz="0" w:space="0" w:color="auto"/>
            <w:right w:val="none" w:sz="0" w:space="0" w:color="auto"/>
          </w:divBdr>
        </w:div>
        <w:div w:id="294150673">
          <w:marLeft w:val="0"/>
          <w:marRight w:val="0"/>
          <w:marTop w:val="0"/>
          <w:marBottom w:val="0"/>
          <w:divBdr>
            <w:top w:val="none" w:sz="0" w:space="0" w:color="auto"/>
            <w:left w:val="none" w:sz="0" w:space="0" w:color="auto"/>
            <w:bottom w:val="none" w:sz="0" w:space="0" w:color="auto"/>
            <w:right w:val="none" w:sz="0" w:space="0" w:color="auto"/>
          </w:divBdr>
        </w:div>
        <w:div w:id="294150687">
          <w:marLeft w:val="0"/>
          <w:marRight w:val="0"/>
          <w:marTop w:val="0"/>
          <w:marBottom w:val="0"/>
          <w:divBdr>
            <w:top w:val="none" w:sz="0" w:space="0" w:color="auto"/>
            <w:left w:val="none" w:sz="0" w:space="0" w:color="auto"/>
            <w:bottom w:val="none" w:sz="0" w:space="0" w:color="auto"/>
            <w:right w:val="none" w:sz="0" w:space="0" w:color="auto"/>
          </w:divBdr>
        </w:div>
        <w:div w:id="294150946">
          <w:marLeft w:val="0"/>
          <w:marRight w:val="0"/>
          <w:marTop w:val="0"/>
          <w:marBottom w:val="0"/>
          <w:divBdr>
            <w:top w:val="none" w:sz="0" w:space="0" w:color="auto"/>
            <w:left w:val="none" w:sz="0" w:space="0" w:color="auto"/>
            <w:bottom w:val="none" w:sz="0" w:space="0" w:color="auto"/>
            <w:right w:val="none" w:sz="0" w:space="0" w:color="auto"/>
          </w:divBdr>
        </w:div>
        <w:div w:id="294151303">
          <w:marLeft w:val="0"/>
          <w:marRight w:val="0"/>
          <w:marTop w:val="0"/>
          <w:marBottom w:val="0"/>
          <w:divBdr>
            <w:top w:val="none" w:sz="0" w:space="0" w:color="auto"/>
            <w:left w:val="none" w:sz="0" w:space="0" w:color="auto"/>
            <w:bottom w:val="none" w:sz="0" w:space="0" w:color="auto"/>
            <w:right w:val="none" w:sz="0" w:space="0" w:color="auto"/>
          </w:divBdr>
        </w:div>
        <w:div w:id="294151400">
          <w:marLeft w:val="0"/>
          <w:marRight w:val="0"/>
          <w:marTop w:val="0"/>
          <w:marBottom w:val="0"/>
          <w:divBdr>
            <w:top w:val="none" w:sz="0" w:space="0" w:color="auto"/>
            <w:left w:val="none" w:sz="0" w:space="0" w:color="auto"/>
            <w:bottom w:val="none" w:sz="0" w:space="0" w:color="auto"/>
            <w:right w:val="none" w:sz="0" w:space="0" w:color="auto"/>
          </w:divBdr>
        </w:div>
        <w:div w:id="294151414">
          <w:marLeft w:val="0"/>
          <w:marRight w:val="0"/>
          <w:marTop w:val="0"/>
          <w:marBottom w:val="0"/>
          <w:divBdr>
            <w:top w:val="none" w:sz="0" w:space="0" w:color="auto"/>
            <w:left w:val="none" w:sz="0" w:space="0" w:color="auto"/>
            <w:bottom w:val="none" w:sz="0" w:space="0" w:color="auto"/>
            <w:right w:val="none" w:sz="0" w:space="0" w:color="auto"/>
          </w:divBdr>
        </w:div>
        <w:div w:id="294151436">
          <w:marLeft w:val="0"/>
          <w:marRight w:val="0"/>
          <w:marTop w:val="0"/>
          <w:marBottom w:val="0"/>
          <w:divBdr>
            <w:top w:val="none" w:sz="0" w:space="0" w:color="auto"/>
            <w:left w:val="none" w:sz="0" w:space="0" w:color="auto"/>
            <w:bottom w:val="none" w:sz="0" w:space="0" w:color="auto"/>
            <w:right w:val="none" w:sz="0" w:space="0" w:color="auto"/>
          </w:divBdr>
        </w:div>
        <w:div w:id="294151695">
          <w:marLeft w:val="0"/>
          <w:marRight w:val="0"/>
          <w:marTop w:val="0"/>
          <w:marBottom w:val="0"/>
          <w:divBdr>
            <w:top w:val="none" w:sz="0" w:space="0" w:color="auto"/>
            <w:left w:val="none" w:sz="0" w:space="0" w:color="auto"/>
            <w:bottom w:val="none" w:sz="0" w:space="0" w:color="auto"/>
            <w:right w:val="none" w:sz="0" w:space="0" w:color="auto"/>
          </w:divBdr>
        </w:div>
        <w:div w:id="294151810">
          <w:marLeft w:val="0"/>
          <w:marRight w:val="0"/>
          <w:marTop w:val="0"/>
          <w:marBottom w:val="0"/>
          <w:divBdr>
            <w:top w:val="none" w:sz="0" w:space="0" w:color="auto"/>
            <w:left w:val="none" w:sz="0" w:space="0" w:color="auto"/>
            <w:bottom w:val="none" w:sz="0" w:space="0" w:color="auto"/>
            <w:right w:val="none" w:sz="0" w:space="0" w:color="auto"/>
          </w:divBdr>
        </w:div>
        <w:div w:id="294151816">
          <w:marLeft w:val="0"/>
          <w:marRight w:val="0"/>
          <w:marTop w:val="0"/>
          <w:marBottom w:val="0"/>
          <w:divBdr>
            <w:top w:val="none" w:sz="0" w:space="0" w:color="auto"/>
            <w:left w:val="none" w:sz="0" w:space="0" w:color="auto"/>
            <w:bottom w:val="none" w:sz="0" w:space="0" w:color="auto"/>
            <w:right w:val="none" w:sz="0" w:space="0" w:color="auto"/>
          </w:divBdr>
        </w:div>
        <w:div w:id="294151855">
          <w:marLeft w:val="0"/>
          <w:marRight w:val="0"/>
          <w:marTop w:val="0"/>
          <w:marBottom w:val="0"/>
          <w:divBdr>
            <w:top w:val="none" w:sz="0" w:space="0" w:color="auto"/>
            <w:left w:val="none" w:sz="0" w:space="0" w:color="auto"/>
            <w:bottom w:val="none" w:sz="0" w:space="0" w:color="auto"/>
            <w:right w:val="none" w:sz="0" w:space="0" w:color="auto"/>
          </w:divBdr>
        </w:div>
        <w:div w:id="294151858">
          <w:marLeft w:val="0"/>
          <w:marRight w:val="0"/>
          <w:marTop w:val="0"/>
          <w:marBottom w:val="0"/>
          <w:divBdr>
            <w:top w:val="none" w:sz="0" w:space="0" w:color="auto"/>
            <w:left w:val="none" w:sz="0" w:space="0" w:color="auto"/>
            <w:bottom w:val="none" w:sz="0" w:space="0" w:color="auto"/>
            <w:right w:val="none" w:sz="0" w:space="0" w:color="auto"/>
          </w:divBdr>
        </w:div>
        <w:div w:id="294152208">
          <w:marLeft w:val="0"/>
          <w:marRight w:val="0"/>
          <w:marTop w:val="0"/>
          <w:marBottom w:val="0"/>
          <w:divBdr>
            <w:top w:val="none" w:sz="0" w:space="0" w:color="auto"/>
            <w:left w:val="none" w:sz="0" w:space="0" w:color="auto"/>
            <w:bottom w:val="none" w:sz="0" w:space="0" w:color="auto"/>
            <w:right w:val="none" w:sz="0" w:space="0" w:color="auto"/>
          </w:divBdr>
        </w:div>
        <w:div w:id="294152234">
          <w:marLeft w:val="0"/>
          <w:marRight w:val="0"/>
          <w:marTop w:val="0"/>
          <w:marBottom w:val="0"/>
          <w:divBdr>
            <w:top w:val="none" w:sz="0" w:space="0" w:color="auto"/>
            <w:left w:val="none" w:sz="0" w:space="0" w:color="auto"/>
            <w:bottom w:val="none" w:sz="0" w:space="0" w:color="auto"/>
            <w:right w:val="none" w:sz="0" w:space="0" w:color="auto"/>
          </w:divBdr>
        </w:div>
        <w:div w:id="294152439">
          <w:marLeft w:val="0"/>
          <w:marRight w:val="0"/>
          <w:marTop w:val="0"/>
          <w:marBottom w:val="0"/>
          <w:divBdr>
            <w:top w:val="none" w:sz="0" w:space="0" w:color="auto"/>
            <w:left w:val="none" w:sz="0" w:space="0" w:color="auto"/>
            <w:bottom w:val="none" w:sz="0" w:space="0" w:color="auto"/>
            <w:right w:val="none" w:sz="0" w:space="0" w:color="auto"/>
          </w:divBdr>
        </w:div>
        <w:div w:id="294152570">
          <w:marLeft w:val="0"/>
          <w:marRight w:val="0"/>
          <w:marTop w:val="0"/>
          <w:marBottom w:val="0"/>
          <w:divBdr>
            <w:top w:val="none" w:sz="0" w:space="0" w:color="auto"/>
            <w:left w:val="none" w:sz="0" w:space="0" w:color="auto"/>
            <w:bottom w:val="none" w:sz="0" w:space="0" w:color="auto"/>
            <w:right w:val="none" w:sz="0" w:space="0" w:color="auto"/>
          </w:divBdr>
        </w:div>
        <w:div w:id="294152592">
          <w:marLeft w:val="0"/>
          <w:marRight w:val="0"/>
          <w:marTop w:val="0"/>
          <w:marBottom w:val="0"/>
          <w:divBdr>
            <w:top w:val="none" w:sz="0" w:space="0" w:color="auto"/>
            <w:left w:val="none" w:sz="0" w:space="0" w:color="auto"/>
            <w:bottom w:val="none" w:sz="0" w:space="0" w:color="auto"/>
            <w:right w:val="none" w:sz="0" w:space="0" w:color="auto"/>
          </w:divBdr>
        </w:div>
        <w:div w:id="294152604">
          <w:marLeft w:val="0"/>
          <w:marRight w:val="0"/>
          <w:marTop w:val="0"/>
          <w:marBottom w:val="0"/>
          <w:divBdr>
            <w:top w:val="none" w:sz="0" w:space="0" w:color="auto"/>
            <w:left w:val="none" w:sz="0" w:space="0" w:color="auto"/>
            <w:bottom w:val="none" w:sz="0" w:space="0" w:color="auto"/>
            <w:right w:val="none" w:sz="0" w:space="0" w:color="auto"/>
          </w:divBdr>
        </w:div>
        <w:div w:id="294152801">
          <w:marLeft w:val="0"/>
          <w:marRight w:val="0"/>
          <w:marTop w:val="0"/>
          <w:marBottom w:val="0"/>
          <w:divBdr>
            <w:top w:val="none" w:sz="0" w:space="0" w:color="auto"/>
            <w:left w:val="none" w:sz="0" w:space="0" w:color="auto"/>
            <w:bottom w:val="none" w:sz="0" w:space="0" w:color="auto"/>
            <w:right w:val="none" w:sz="0" w:space="0" w:color="auto"/>
          </w:divBdr>
        </w:div>
        <w:div w:id="294152873">
          <w:marLeft w:val="0"/>
          <w:marRight w:val="0"/>
          <w:marTop w:val="0"/>
          <w:marBottom w:val="0"/>
          <w:divBdr>
            <w:top w:val="none" w:sz="0" w:space="0" w:color="auto"/>
            <w:left w:val="none" w:sz="0" w:space="0" w:color="auto"/>
            <w:bottom w:val="none" w:sz="0" w:space="0" w:color="auto"/>
            <w:right w:val="none" w:sz="0" w:space="0" w:color="auto"/>
          </w:divBdr>
        </w:div>
        <w:div w:id="294152900">
          <w:marLeft w:val="0"/>
          <w:marRight w:val="0"/>
          <w:marTop w:val="0"/>
          <w:marBottom w:val="0"/>
          <w:divBdr>
            <w:top w:val="none" w:sz="0" w:space="0" w:color="auto"/>
            <w:left w:val="none" w:sz="0" w:space="0" w:color="auto"/>
            <w:bottom w:val="none" w:sz="0" w:space="0" w:color="auto"/>
            <w:right w:val="none" w:sz="0" w:space="0" w:color="auto"/>
          </w:divBdr>
        </w:div>
        <w:div w:id="294152996">
          <w:marLeft w:val="0"/>
          <w:marRight w:val="0"/>
          <w:marTop w:val="0"/>
          <w:marBottom w:val="0"/>
          <w:divBdr>
            <w:top w:val="none" w:sz="0" w:space="0" w:color="auto"/>
            <w:left w:val="none" w:sz="0" w:space="0" w:color="auto"/>
            <w:bottom w:val="none" w:sz="0" w:space="0" w:color="auto"/>
            <w:right w:val="none" w:sz="0" w:space="0" w:color="auto"/>
          </w:divBdr>
        </w:div>
        <w:div w:id="294153035">
          <w:marLeft w:val="0"/>
          <w:marRight w:val="0"/>
          <w:marTop w:val="0"/>
          <w:marBottom w:val="0"/>
          <w:divBdr>
            <w:top w:val="none" w:sz="0" w:space="0" w:color="auto"/>
            <w:left w:val="none" w:sz="0" w:space="0" w:color="auto"/>
            <w:bottom w:val="none" w:sz="0" w:space="0" w:color="auto"/>
            <w:right w:val="none" w:sz="0" w:space="0" w:color="auto"/>
          </w:divBdr>
        </w:div>
        <w:div w:id="294153130">
          <w:marLeft w:val="0"/>
          <w:marRight w:val="0"/>
          <w:marTop w:val="0"/>
          <w:marBottom w:val="0"/>
          <w:divBdr>
            <w:top w:val="none" w:sz="0" w:space="0" w:color="auto"/>
            <w:left w:val="none" w:sz="0" w:space="0" w:color="auto"/>
            <w:bottom w:val="none" w:sz="0" w:space="0" w:color="auto"/>
            <w:right w:val="none" w:sz="0" w:space="0" w:color="auto"/>
          </w:divBdr>
        </w:div>
        <w:div w:id="294153294">
          <w:marLeft w:val="0"/>
          <w:marRight w:val="0"/>
          <w:marTop w:val="0"/>
          <w:marBottom w:val="0"/>
          <w:divBdr>
            <w:top w:val="none" w:sz="0" w:space="0" w:color="auto"/>
            <w:left w:val="none" w:sz="0" w:space="0" w:color="auto"/>
            <w:bottom w:val="none" w:sz="0" w:space="0" w:color="auto"/>
            <w:right w:val="none" w:sz="0" w:space="0" w:color="auto"/>
          </w:divBdr>
        </w:div>
        <w:div w:id="294153306">
          <w:marLeft w:val="0"/>
          <w:marRight w:val="0"/>
          <w:marTop w:val="0"/>
          <w:marBottom w:val="0"/>
          <w:divBdr>
            <w:top w:val="none" w:sz="0" w:space="0" w:color="auto"/>
            <w:left w:val="none" w:sz="0" w:space="0" w:color="auto"/>
            <w:bottom w:val="none" w:sz="0" w:space="0" w:color="auto"/>
            <w:right w:val="none" w:sz="0" w:space="0" w:color="auto"/>
          </w:divBdr>
        </w:div>
        <w:div w:id="294153758">
          <w:marLeft w:val="0"/>
          <w:marRight w:val="0"/>
          <w:marTop w:val="0"/>
          <w:marBottom w:val="0"/>
          <w:divBdr>
            <w:top w:val="none" w:sz="0" w:space="0" w:color="auto"/>
            <w:left w:val="none" w:sz="0" w:space="0" w:color="auto"/>
            <w:bottom w:val="none" w:sz="0" w:space="0" w:color="auto"/>
            <w:right w:val="none" w:sz="0" w:space="0" w:color="auto"/>
          </w:divBdr>
        </w:div>
        <w:div w:id="294153839">
          <w:marLeft w:val="0"/>
          <w:marRight w:val="0"/>
          <w:marTop w:val="0"/>
          <w:marBottom w:val="0"/>
          <w:divBdr>
            <w:top w:val="none" w:sz="0" w:space="0" w:color="auto"/>
            <w:left w:val="none" w:sz="0" w:space="0" w:color="auto"/>
            <w:bottom w:val="none" w:sz="0" w:space="0" w:color="auto"/>
            <w:right w:val="none" w:sz="0" w:space="0" w:color="auto"/>
          </w:divBdr>
        </w:div>
        <w:div w:id="294154094">
          <w:marLeft w:val="0"/>
          <w:marRight w:val="0"/>
          <w:marTop w:val="0"/>
          <w:marBottom w:val="0"/>
          <w:divBdr>
            <w:top w:val="none" w:sz="0" w:space="0" w:color="auto"/>
            <w:left w:val="none" w:sz="0" w:space="0" w:color="auto"/>
            <w:bottom w:val="none" w:sz="0" w:space="0" w:color="auto"/>
            <w:right w:val="none" w:sz="0" w:space="0" w:color="auto"/>
          </w:divBdr>
        </w:div>
        <w:div w:id="294154110">
          <w:marLeft w:val="0"/>
          <w:marRight w:val="0"/>
          <w:marTop w:val="0"/>
          <w:marBottom w:val="0"/>
          <w:divBdr>
            <w:top w:val="none" w:sz="0" w:space="0" w:color="auto"/>
            <w:left w:val="none" w:sz="0" w:space="0" w:color="auto"/>
            <w:bottom w:val="none" w:sz="0" w:space="0" w:color="auto"/>
            <w:right w:val="none" w:sz="0" w:space="0" w:color="auto"/>
          </w:divBdr>
        </w:div>
        <w:div w:id="294154124">
          <w:marLeft w:val="0"/>
          <w:marRight w:val="0"/>
          <w:marTop w:val="0"/>
          <w:marBottom w:val="0"/>
          <w:divBdr>
            <w:top w:val="none" w:sz="0" w:space="0" w:color="auto"/>
            <w:left w:val="none" w:sz="0" w:space="0" w:color="auto"/>
            <w:bottom w:val="none" w:sz="0" w:space="0" w:color="auto"/>
            <w:right w:val="none" w:sz="0" w:space="0" w:color="auto"/>
          </w:divBdr>
        </w:div>
        <w:div w:id="294154136">
          <w:marLeft w:val="0"/>
          <w:marRight w:val="0"/>
          <w:marTop w:val="0"/>
          <w:marBottom w:val="0"/>
          <w:divBdr>
            <w:top w:val="none" w:sz="0" w:space="0" w:color="auto"/>
            <w:left w:val="none" w:sz="0" w:space="0" w:color="auto"/>
            <w:bottom w:val="none" w:sz="0" w:space="0" w:color="auto"/>
            <w:right w:val="none" w:sz="0" w:space="0" w:color="auto"/>
          </w:divBdr>
        </w:div>
        <w:div w:id="294154168">
          <w:marLeft w:val="0"/>
          <w:marRight w:val="0"/>
          <w:marTop w:val="0"/>
          <w:marBottom w:val="0"/>
          <w:divBdr>
            <w:top w:val="none" w:sz="0" w:space="0" w:color="auto"/>
            <w:left w:val="none" w:sz="0" w:space="0" w:color="auto"/>
            <w:bottom w:val="none" w:sz="0" w:space="0" w:color="auto"/>
            <w:right w:val="none" w:sz="0" w:space="0" w:color="auto"/>
          </w:divBdr>
        </w:div>
        <w:div w:id="294154405">
          <w:marLeft w:val="0"/>
          <w:marRight w:val="0"/>
          <w:marTop w:val="0"/>
          <w:marBottom w:val="0"/>
          <w:divBdr>
            <w:top w:val="none" w:sz="0" w:space="0" w:color="auto"/>
            <w:left w:val="none" w:sz="0" w:space="0" w:color="auto"/>
            <w:bottom w:val="none" w:sz="0" w:space="0" w:color="auto"/>
            <w:right w:val="none" w:sz="0" w:space="0" w:color="auto"/>
          </w:divBdr>
        </w:div>
        <w:div w:id="294154475">
          <w:marLeft w:val="0"/>
          <w:marRight w:val="0"/>
          <w:marTop w:val="0"/>
          <w:marBottom w:val="0"/>
          <w:divBdr>
            <w:top w:val="none" w:sz="0" w:space="0" w:color="auto"/>
            <w:left w:val="none" w:sz="0" w:space="0" w:color="auto"/>
            <w:bottom w:val="none" w:sz="0" w:space="0" w:color="auto"/>
            <w:right w:val="none" w:sz="0" w:space="0" w:color="auto"/>
          </w:divBdr>
        </w:div>
        <w:div w:id="294154488">
          <w:marLeft w:val="0"/>
          <w:marRight w:val="0"/>
          <w:marTop w:val="0"/>
          <w:marBottom w:val="0"/>
          <w:divBdr>
            <w:top w:val="none" w:sz="0" w:space="0" w:color="auto"/>
            <w:left w:val="none" w:sz="0" w:space="0" w:color="auto"/>
            <w:bottom w:val="none" w:sz="0" w:space="0" w:color="auto"/>
            <w:right w:val="none" w:sz="0" w:space="0" w:color="auto"/>
          </w:divBdr>
        </w:div>
        <w:div w:id="294154625">
          <w:marLeft w:val="0"/>
          <w:marRight w:val="0"/>
          <w:marTop w:val="0"/>
          <w:marBottom w:val="0"/>
          <w:divBdr>
            <w:top w:val="none" w:sz="0" w:space="0" w:color="auto"/>
            <w:left w:val="none" w:sz="0" w:space="0" w:color="auto"/>
            <w:bottom w:val="none" w:sz="0" w:space="0" w:color="auto"/>
            <w:right w:val="none" w:sz="0" w:space="0" w:color="auto"/>
          </w:divBdr>
        </w:div>
        <w:div w:id="294154792">
          <w:marLeft w:val="0"/>
          <w:marRight w:val="0"/>
          <w:marTop w:val="0"/>
          <w:marBottom w:val="0"/>
          <w:divBdr>
            <w:top w:val="none" w:sz="0" w:space="0" w:color="auto"/>
            <w:left w:val="none" w:sz="0" w:space="0" w:color="auto"/>
            <w:bottom w:val="none" w:sz="0" w:space="0" w:color="auto"/>
            <w:right w:val="none" w:sz="0" w:space="0" w:color="auto"/>
          </w:divBdr>
        </w:div>
        <w:div w:id="294154836">
          <w:marLeft w:val="0"/>
          <w:marRight w:val="0"/>
          <w:marTop w:val="0"/>
          <w:marBottom w:val="0"/>
          <w:divBdr>
            <w:top w:val="none" w:sz="0" w:space="0" w:color="auto"/>
            <w:left w:val="none" w:sz="0" w:space="0" w:color="auto"/>
            <w:bottom w:val="none" w:sz="0" w:space="0" w:color="auto"/>
            <w:right w:val="none" w:sz="0" w:space="0" w:color="auto"/>
          </w:divBdr>
        </w:div>
        <w:div w:id="294155389">
          <w:marLeft w:val="0"/>
          <w:marRight w:val="0"/>
          <w:marTop w:val="0"/>
          <w:marBottom w:val="0"/>
          <w:divBdr>
            <w:top w:val="none" w:sz="0" w:space="0" w:color="auto"/>
            <w:left w:val="none" w:sz="0" w:space="0" w:color="auto"/>
            <w:bottom w:val="none" w:sz="0" w:space="0" w:color="auto"/>
            <w:right w:val="none" w:sz="0" w:space="0" w:color="auto"/>
          </w:divBdr>
        </w:div>
        <w:div w:id="294155609">
          <w:marLeft w:val="0"/>
          <w:marRight w:val="0"/>
          <w:marTop w:val="0"/>
          <w:marBottom w:val="0"/>
          <w:divBdr>
            <w:top w:val="none" w:sz="0" w:space="0" w:color="auto"/>
            <w:left w:val="none" w:sz="0" w:space="0" w:color="auto"/>
            <w:bottom w:val="none" w:sz="0" w:space="0" w:color="auto"/>
            <w:right w:val="none" w:sz="0" w:space="0" w:color="auto"/>
          </w:divBdr>
        </w:div>
        <w:div w:id="294155628">
          <w:marLeft w:val="0"/>
          <w:marRight w:val="0"/>
          <w:marTop w:val="0"/>
          <w:marBottom w:val="0"/>
          <w:divBdr>
            <w:top w:val="none" w:sz="0" w:space="0" w:color="auto"/>
            <w:left w:val="none" w:sz="0" w:space="0" w:color="auto"/>
            <w:bottom w:val="none" w:sz="0" w:space="0" w:color="auto"/>
            <w:right w:val="none" w:sz="0" w:space="0" w:color="auto"/>
          </w:divBdr>
        </w:div>
        <w:div w:id="294155702">
          <w:marLeft w:val="0"/>
          <w:marRight w:val="0"/>
          <w:marTop w:val="0"/>
          <w:marBottom w:val="0"/>
          <w:divBdr>
            <w:top w:val="none" w:sz="0" w:space="0" w:color="auto"/>
            <w:left w:val="none" w:sz="0" w:space="0" w:color="auto"/>
            <w:bottom w:val="none" w:sz="0" w:space="0" w:color="auto"/>
            <w:right w:val="none" w:sz="0" w:space="0" w:color="auto"/>
          </w:divBdr>
        </w:div>
        <w:div w:id="294155781">
          <w:marLeft w:val="0"/>
          <w:marRight w:val="0"/>
          <w:marTop w:val="0"/>
          <w:marBottom w:val="0"/>
          <w:divBdr>
            <w:top w:val="none" w:sz="0" w:space="0" w:color="auto"/>
            <w:left w:val="none" w:sz="0" w:space="0" w:color="auto"/>
            <w:bottom w:val="none" w:sz="0" w:space="0" w:color="auto"/>
            <w:right w:val="none" w:sz="0" w:space="0" w:color="auto"/>
          </w:divBdr>
        </w:div>
        <w:div w:id="294155829">
          <w:marLeft w:val="0"/>
          <w:marRight w:val="0"/>
          <w:marTop w:val="0"/>
          <w:marBottom w:val="0"/>
          <w:divBdr>
            <w:top w:val="none" w:sz="0" w:space="0" w:color="auto"/>
            <w:left w:val="none" w:sz="0" w:space="0" w:color="auto"/>
            <w:bottom w:val="none" w:sz="0" w:space="0" w:color="auto"/>
            <w:right w:val="none" w:sz="0" w:space="0" w:color="auto"/>
          </w:divBdr>
        </w:div>
        <w:div w:id="294155925">
          <w:marLeft w:val="0"/>
          <w:marRight w:val="0"/>
          <w:marTop w:val="0"/>
          <w:marBottom w:val="0"/>
          <w:divBdr>
            <w:top w:val="none" w:sz="0" w:space="0" w:color="auto"/>
            <w:left w:val="none" w:sz="0" w:space="0" w:color="auto"/>
            <w:bottom w:val="none" w:sz="0" w:space="0" w:color="auto"/>
            <w:right w:val="none" w:sz="0" w:space="0" w:color="auto"/>
          </w:divBdr>
        </w:div>
        <w:div w:id="294156050">
          <w:marLeft w:val="0"/>
          <w:marRight w:val="0"/>
          <w:marTop w:val="0"/>
          <w:marBottom w:val="0"/>
          <w:divBdr>
            <w:top w:val="none" w:sz="0" w:space="0" w:color="auto"/>
            <w:left w:val="none" w:sz="0" w:space="0" w:color="auto"/>
            <w:bottom w:val="none" w:sz="0" w:space="0" w:color="auto"/>
            <w:right w:val="none" w:sz="0" w:space="0" w:color="auto"/>
          </w:divBdr>
        </w:div>
        <w:div w:id="294156062">
          <w:marLeft w:val="0"/>
          <w:marRight w:val="0"/>
          <w:marTop w:val="0"/>
          <w:marBottom w:val="0"/>
          <w:divBdr>
            <w:top w:val="none" w:sz="0" w:space="0" w:color="auto"/>
            <w:left w:val="none" w:sz="0" w:space="0" w:color="auto"/>
            <w:bottom w:val="none" w:sz="0" w:space="0" w:color="auto"/>
            <w:right w:val="none" w:sz="0" w:space="0" w:color="auto"/>
          </w:divBdr>
        </w:div>
        <w:div w:id="294156398">
          <w:marLeft w:val="0"/>
          <w:marRight w:val="0"/>
          <w:marTop w:val="0"/>
          <w:marBottom w:val="0"/>
          <w:divBdr>
            <w:top w:val="none" w:sz="0" w:space="0" w:color="auto"/>
            <w:left w:val="none" w:sz="0" w:space="0" w:color="auto"/>
            <w:bottom w:val="none" w:sz="0" w:space="0" w:color="auto"/>
            <w:right w:val="none" w:sz="0" w:space="0" w:color="auto"/>
          </w:divBdr>
        </w:div>
        <w:div w:id="294156571">
          <w:marLeft w:val="0"/>
          <w:marRight w:val="0"/>
          <w:marTop w:val="0"/>
          <w:marBottom w:val="0"/>
          <w:divBdr>
            <w:top w:val="none" w:sz="0" w:space="0" w:color="auto"/>
            <w:left w:val="none" w:sz="0" w:space="0" w:color="auto"/>
            <w:bottom w:val="none" w:sz="0" w:space="0" w:color="auto"/>
            <w:right w:val="none" w:sz="0" w:space="0" w:color="auto"/>
          </w:divBdr>
        </w:div>
        <w:div w:id="294156626">
          <w:marLeft w:val="0"/>
          <w:marRight w:val="0"/>
          <w:marTop w:val="0"/>
          <w:marBottom w:val="0"/>
          <w:divBdr>
            <w:top w:val="none" w:sz="0" w:space="0" w:color="auto"/>
            <w:left w:val="none" w:sz="0" w:space="0" w:color="auto"/>
            <w:bottom w:val="none" w:sz="0" w:space="0" w:color="auto"/>
            <w:right w:val="none" w:sz="0" w:space="0" w:color="auto"/>
          </w:divBdr>
        </w:div>
        <w:div w:id="294156657">
          <w:marLeft w:val="0"/>
          <w:marRight w:val="0"/>
          <w:marTop w:val="0"/>
          <w:marBottom w:val="0"/>
          <w:divBdr>
            <w:top w:val="none" w:sz="0" w:space="0" w:color="auto"/>
            <w:left w:val="none" w:sz="0" w:space="0" w:color="auto"/>
            <w:bottom w:val="none" w:sz="0" w:space="0" w:color="auto"/>
            <w:right w:val="none" w:sz="0" w:space="0" w:color="auto"/>
          </w:divBdr>
        </w:div>
        <w:div w:id="294156755">
          <w:marLeft w:val="0"/>
          <w:marRight w:val="0"/>
          <w:marTop w:val="0"/>
          <w:marBottom w:val="0"/>
          <w:divBdr>
            <w:top w:val="none" w:sz="0" w:space="0" w:color="auto"/>
            <w:left w:val="none" w:sz="0" w:space="0" w:color="auto"/>
            <w:bottom w:val="none" w:sz="0" w:space="0" w:color="auto"/>
            <w:right w:val="none" w:sz="0" w:space="0" w:color="auto"/>
          </w:divBdr>
        </w:div>
        <w:div w:id="294157069">
          <w:marLeft w:val="0"/>
          <w:marRight w:val="0"/>
          <w:marTop w:val="0"/>
          <w:marBottom w:val="0"/>
          <w:divBdr>
            <w:top w:val="none" w:sz="0" w:space="0" w:color="auto"/>
            <w:left w:val="none" w:sz="0" w:space="0" w:color="auto"/>
            <w:bottom w:val="none" w:sz="0" w:space="0" w:color="auto"/>
            <w:right w:val="none" w:sz="0" w:space="0" w:color="auto"/>
          </w:divBdr>
        </w:div>
        <w:div w:id="294157078">
          <w:marLeft w:val="0"/>
          <w:marRight w:val="0"/>
          <w:marTop w:val="0"/>
          <w:marBottom w:val="0"/>
          <w:divBdr>
            <w:top w:val="none" w:sz="0" w:space="0" w:color="auto"/>
            <w:left w:val="none" w:sz="0" w:space="0" w:color="auto"/>
            <w:bottom w:val="none" w:sz="0" w:space="0" w:color="auto"/>
            <w:right w:val="none" w:sz="0" w:space="0" w:color="auto"/>
          </w:divBdr>
        </w:div>
        <w:div w:id="294157140">
          <w:marLeft w:val="0"/>
          <w:marRight w:val="0"/>
          <w:marTop w:val="0"/>
          <w:marBottom w:val="0"/>
          <w:divBdr>
            <w:top w:val="none" w:sz="0" w:space="0" w:color="auto"/>
            <w:left w:val="none" w:sz="0" w:space="0" w:color="auto"/>
            <w:bottom w:val="none" w:sz="0" w:space="0" w:color="auto"/>
            <w:right w:val="none" w:sz="0" w:space="0" w:color="auto"/>
          </w:divBdr>
        </w:div>
        <w:div w:id="294157412">
          <w:marLeft w:val="0"/>
          <w:marRight w:val="0"/>
          <w:marTop w:val="0"/>
          <w:marBottom w:val="0"/>
          <w:divBdr>
            <w:top w:val="none" w:sz="0" w:space="0" w:color="auto"/>
            <w:left w:val="none" w:sz="0" w:space="0" w:color="auto"/>
            <w:bottom w:val="none" w:sz="0" w:space="0" w:color="auto"/>
            <w:right w:val="none" w:sz="0" w:space="0" w:color="auto"/>
          </w:divBdr>
        </w:div>
        <w:div w:id="294157448">
          <w:marLeft w:val="0"/>
          <w:marRight w:val="0"/>
          <w:marTop w:val="0"/>
          <w:marBottom w:val="0"/>
          <w:divBdr>
            <w:top w:val="none" w:sz="0" w:space="0" w:color="auto"/>
            <w:left w:val="none" w:sz="0" w:space="0" w:color="auto"/>
            <w:bottom w:val="none" w:sz="0" w:space="0" w:color="auto"/>
            <w:right w:val="none" w:sz="0" w:space="0" w:color="auto"/>
          </w:divBdr>
        </w:div>
      </w:divsChild>
    </w:div>
    <w:div w:id="294147805">
      <w:marLeft w:val="0"/>
      <w:marRight w:val="0"/>
      <w:marTop w:val="0"/>
      <w:marBottom w:val="0"/>
      <w:divBdr>
        <w:top w:val="none" w:sz="0" w:space="0" w:color="auto"/>
        <w:left w:val="none" w:sz="0" w:space="0" w:color="auto"/>
        <w:bottom w:val="none" w:sz="0" w:space="0" w:color="auto"/>
        <w:right w:val="none" w:sz="0" w:space="0" w:color="auto"/>
      </w:divBdr>
    </w:div>
    <w:div w:id="294147806">
      <w:marLeft w:val="0"/>
      <w:marRight w:val="0"/>
      <w:marTop w:val="0"/>
      <w:marBottom w:val="0"/>
      <w:divBdr>
        <w:top w:val="none" w:sz="0" w:space="0" w:color="auto"/>
        <w:left w:val="none" w:sz="0" w:space="0" w:color="auto"/>
        <w:bottom w:val="none" w:sz="0" w:space="0" w:color="auto"/>
        <w:right w:val="none" w:sz="0" w:space="0" w:color="auto"/>
      </w:divBdr>
    </w:div>
    <w:div w:id="294147908">
      <w:marLeft w:val="0"/>
      <w:marRight w:val="0"/>
      <w:marTop w:val="0"/>
      <w:marBottom w:val="0"/>
      <w:divBdr>
        <w:top w:val="none" w:sz="0" w:space="0" w:color="auto"/>
        <w:left w:val="none" w:sz="0" w:space="0" w:color="auto"/>
        <w:bottom w:val="none" w:sz="0" w:space="0" w:color="auto"/>
        <w:right w:val="none" w:sz="0" w:space="0" w:color="auto"/>
      </w:divBdr>
    </w:div>
    <w:div w:id="294147916">
      <w:marLeft w:val="0"/>
      <w:marRight w:val="0"/>
      <w:marTop w:val="0"/>
      <w:marBottom w:val="0"/>
      <w:divBdr>
        <w:top w:val="none" w:sz="0" w:space="0" w:color="auto"/>
        <w:left w:val="none" w:sz="0" w:space="0" w:color="auto"/>
        <w:bottom w:val="none" w:sz="0" w:space="0" w:color="auto"/>
        <w:right w:val="none" w:sz="0" w:space="0" w:color="auto"/>
      </w:divBdr>
      <w:divsChild>
        <w:div w:id="294149425">
          <w:marLeft w:val="0"/>
          <w:marRight w:val="0"/>
          <w:marTop w:val="0"/>
          <w:marBottom w:val="0"/>
          <w:divBdr>
            <w:top w:val="none" w:sz="0" w:space="0" w:color="auto"/>
            <w:left w:val="none" w:sz="0" w:space="0" w:color="auto"/>
            <w:bottom w:val="none" w:sz="0" w:space="0" w:color="auto"/>
            <w:right w:val="none" w:sz="0" w:space="0" w:color="auto"/>
          </w:divBdr>
        </w:div>
        <w:div w:id="294150172">
          <w:marLeft w:val="0"/>
          <w:marRight w:val="0"/>
          <w:marTop w:val="0"/>
          <w:marBottom w:val="0"/>
          <w:divBdr>
            <w:top w:val="none" w:sz="0" w:space="0" w:color="auto"/>
            <w:left w:val="none" w:sz="0" w:space="0" w:color="auto"/>
            <w:bottom w:val="none" w:sz="0" w:space="0" w:color="auto"/>
            <w:right w:val="none" w:sz="0" w:space="0" w:color="auto"/>
          </w:divBdr>
        </w:div>
      </w:divsChild>
    </w:div>
    <w:div w:id="294147963">
      <w:marLeft w:val="0"/>
      <w:marRight w:val="0"/>
      <w:marTop w:val="0"/>
      <w:marBottom w:val="0"/>
      <w:divBdr>
        <w:top w:val="none" w:sz="0" w:space="0" w:color="auto"/>
        <w:left w:val="none" w:sz="0" w:space="0" w:color="auto"/>
        <w:bottom w:val="none" w:sz="0" w:space="0" w:color="auto"/>
        <w:right w:val="none" w:sz="0" w:space="0" w:color="auto"/>
      </w:divBdr>
    </w:div>
    <w:div w:id="294148035">
      <w:marLeft w:val="0"/>
      <w:marRight w:val="0"/>
      <w:marTop w:val="0"/>
      <w:marBottom w:val="0"/>
      <w:divBdr>
        <w:top w:val="none" w:sz="0" w:space="0" w:color="auto"/>
        <w:left w:val="none" w:sz="0" w:space="0" w:color="auto"/>
        <w:bottom w:val="none" w:sz="0" w:space="0" w:color="auto"/>
        <w:right w:val="none" w:sz="0" w:space="0" w:color="auto"/>
      </w:divBdr>
    </w:div>
    <w:div w:id="294148051">
      <w:marLeft w:val="0"/>
      <w:marRight w:val="0"/>
      <w:marTop w:val="0"/>
      <w:marBottom w:val="0"/>
      <w:divBdr>
        <w:top w:val="none" w:sz="0" w:space="0" w:color="auto"/>
        <w:left w:val="none" w:sz="0" w:space="0" w:color="auto"/>
        <w:bottom w:val="none" w:sz="0" w:space="0" w:color="auto"/>
        <w:right w:val="none" w:sz="0" w:space="0" w:color="auto"/>
      </w:divBdr>
    </w:div>
    <w:div w:id="294148066">
      <w:marLeft w:val="0"/>
      <w:marRight w:val="0"/>
      <w:marTop w:val="0"/>
      <w:marBottom w:val="0"/>
      <w:divBdr>
        <w:top w:val="none" w:sz="0" w:space="0" w:color="auto"/>
        <w:left w:val="none" w:sz="0" w:space="0" w:color="auto"/>
        <w:bottom w:val="none" w:sz="0" w:space="0" w:color="auto"/>
        <w:right w:val="none" w:sz="0" w:space="0" w:color="auto"/>
      </w:divBdr>
    </w:div>
    <w:div w:id="294148100">
      <w:marLeft w:val="0"/>
      <w:marRight w:val="0"/>
      <w:marTop w:val="0"/>
      <w:marBottom w:val="0"/>
      <w:divBdr>
        <w:top w:val="none" w:sz="0" w:space="0" w:color="auto"/>
        <w:left w:val="none" w:sz="0" w:space="0" w:color="auto"/>
        <w:bottom w:val="none" w:sz="0" w:space="0" w:color="auto"/>
        <w:right w:val="none" w:sz="0" w:space="0" w:color="auto"/>
      </w:divBdr>
      <w:divsChild>
        <w:div w:id="294150093">
          <w:marLeft w:val="0"/>
          <w:marRight w:val="0"/>
          <w:marTop w:val="0"/>
          <w:marBottom w:val="0"/>
          <w:divBdr>
            <w:top w:val="none" w:sz="0" w:space="0" w:color="auto"/>
            <w:left w:val="none" w:sz="0" w:space="0" w:color="auto"/>
            <w:bottom w:val="none" w:sz="0" w:space="0" w:color="auto"/>
            <w:right w:val="none" w:sz="0" w:space="0" w:color="auto"/>
          </w:divBdr>
        </w:div>
      </w:divsChild>
    </w:div>
    <w:div w:id="294148111">
      <w:marLeft w:val="0"/>
      <w:marRight w:val="0"/>
      <w:marTop w:val="0"/>
      <w:marBottom w:val="0"/>
      <w:divBdr>
        <w:top w:val="none" w:sz="0" w:space="0" w:color="auto"/>
        <w:left w:val="none" w:sz="0" w:space="0" w:color="auto"/>
        <w:bottom w:val="none" w:sz="0" w:space="0" w:color="auto"/>
        <w:right w:val="none" w:sz="0" w:space="0" w:color="auto"/>
      </w:divBdr>
    </w:div>
    <w:div w:id="294148132">
      <w:marLeft w:val="0"/>
      <w:marRight w:val="0"/>
      <w:marTop w:val="0"/>
      <w:marBottom w:val="0"/>
      <w:divBdr>
        <w:top w:val="none" w:sz="0" w:space="0" w:color="auto"/>
        <w:left w:val="none" w:sz="0" w:space="0" w:color="auto"/>
        <w:bottom w:val="none" w:sz="0" w:space="0" w:color="auto"/>
        <w:right w:val="none" w:sz="0" w:space="0" w:color="auto"/>
      </w:divBdr>
      <w:divsChild>
        <w:div w:id="294138303">
          <w:marLeft w:val="0"/>
          <w:marRight w:val="0"/>
          <w:marTop w:val="0"/>
          <w:marBottom w:val="0"/>
          <w:divBdr>
            <w:top w:val="none" w:sz="0" w:space="0" w:color="auto"/>
            <w:left w:val="none" w:sz="0" w:space="0" w:color="auto"/>
            <w:bottom w:val="none" w:sz="0" w:space="0" w:color="auto"/>
            <w:right w:val="none" w:sz="0" w:space="0" w:color="auto"/>
          </w:divBdr>
        </w:div>
        <w:div w:id="294139576">
          <w:marLeft w:val="0"/>
          <w:marRight w:val="0"/>
          <w:marTop w:val="0"/>
          <w:marBottom w:val="0"/>
          <w:divBdr>
            <w:top w:val="none" w:sz="0" w:space="0" w:color="auto"/>
            <w:left w:val="none" w:sz="0" w:space="0" w:color="auto"/>
            <w:bottom w:val="none" w:sz="0" w:space="0" w:color="auto"/>
            <w:right w:val="none" w:sz="0" w:space="0" w:color="auto"/>
          </w:divBdr>
        </w:div>
        <w:div w:id="294139585">
          <w:marLeft w:val="0"/>
          <w:marRight w:val="0"/>
          <w:marTop w:val="0"/>
          <w:marBottom w:val="0"/>
          <w:divBdr>
            <w:top w:val="none" w:sz="0" w:space="0" w:color="auto"/>
            <w:left w:val="none" w:sz="0" w:space="0" w:color="auto"/>
            <w:bottom w:val="none" w:sz="0" w:space="0" w:color="auto"/>
            <w:right w:val="none" w:sz="0" w:space="0" w:color="auto"/>
          </w:divBdr>
        </w:div>
        <w:div w:id="294140119">
          <w:marLeft w:val="0"/>
          <w:marRight w:val="0"/>
          <w:marTop w:val="0"/>
          <w:marBottom w:val="0"/>
          <w:divBdr>
            <w:top w:val="none" w:sz="0" w:space="0" w:color="auto"/>
            <w:left w:val="none" w:sz="0" w:space="0" w:color="auto"/>
            <w:bottom w:val="none" w:sz="0" w:space="0" w:color="auto"/>
            <w:right w:val="none" w:sz="0" w:space="0" w:color="auto"/>
          </w:divBdr>
        </w:div>
        <w:div w:id="294140337">
          <w:marLeft w:val="0"/>
          <w:marRight w:val="0"/>
          <w:marTop w:val="0"/>
          <w:marBottom w:val="0"/>
          <w:divBdr>
            <w:top w:val="none" w:sz="0" w:space="0" w:color="auto"/>
            <w:left w:val="none" w:sz="0" w:space="0" w:color="auto"/>
            <w:bottom w:val="none" w:sz="0" w:space="0" w:color="auto"/>
            <w:right w:val="none" w:sz="0" w:space="0" w:color="auto"/>
          </w:divBdr>
        </w:div>
        <w:div w:id="294141015">
          <w:marLeft w:val="0"/>
          <w:marRight w:val="0"/>
          <w:marTop w:val="0"/>
          <w:marBottom w:val="0"/>
          <w:divBdr>
            <w:top w:val="none" w:sz="0" w:space="0" w:color="auto"/>
            <w:left w:val="none" w:sz="0" w:space="0" w:color="auto"/>
            <w:bottom w:val="none" w:sz="0" w:space="0" w:color="auto"/>
            <w:right w:val="none" w:sz="0" w:space="0" w:color="auto"/>
          </w:divBdr>
        </w:div>
        <w:div w:id="294142415">
          <w:marLeft w:val="0"/>
          <w:marRight w:val="0"/>
          <w:marTop w:val="0"/>
          <w:marBottom w:val="0"/>
          <w:divBdr>
            <w:top w:val="none" w:sz="0" w:space="0" w:color="auto"/>
            <w:left w:val="none" w:sz="0" w:space="0" w:color="auto"/>
            <w:bottom w:val="none" w:sz="0" w:space="0" w:color="auto"/>
            <w:right w:val="none" w:sz="0" w:space="0" w:color="auto"/>
          </w:divBdr>
        </w:div>
        <w:div w:id="294142688">
          <w:marLeft w:val="0"/>
          <w:marRight w:val="0"/>
          <w:marTop w:val="0"/>
          <w:marBottom w:val="0"/>
          <w:divBdr>
            <w:top w:val="none" w:sz="0" w:space="0" w:color="auto"/>
            <w:left w:val="none" w:sz="0" w:space="0" w:color="auto"/>
            <w:bottom w:val="none" w:sz="0" w:space="0" w:color="auto"/>
            <w:right w:val="none" w:sz="0" w:space="0" w:color="auto"/>
          </w:divBdr>
        </w:div>
        <w:div w:id="294143204">
          <w:marLeft w:val="0"/>
          <w:marRight w:val="0"/>
          <w:marTop w:val="0"/>
          <w:marBottom w:val="0"/>
          <w:divBdr>
            <w:top w:val="none" w:sz="0" w:space="0" w:color="auto"/>
            <w:left w:val="none" w:sz="0" w:space="0" w:color="auto"/>
            <w:bottom w:val="none" w:sz="0" w:space="0" w:color="auto"/>
            <w:right w:val="none" w:sz="0" w:space="0" w:color="auto"/>
          </w:divBdr>
        </w:div>
        <w:div w:id="294143677">
          <w:marLeft w:val="0"/>
          <w:marRight w:val="0"/>
          <w:marTop w:val="0"/>
          <w:marBottom w:val="0"/>
          <w:divBdr>
            <w:top w:val="none" w:sz="0" w:space="0" w:color="auto"/>
            <w:left w:val="none" w:sz="0" w:space="0" w:color="auto"/>
            <w:bottom w:val="none" w:sz="0" w:space="0" w:color="auto"/>
            <w:right w:val="none" w:sz="0" w:space="0" w:color="auto"/>
          </w:divBdr>
        </w:div>
        <w:div w:id="294146185">
          <w:marLeft w:val="0"/>
          <w:marRight w:val="0"/>
          <w:marTop w:val="0"/>
          <w:marBottom w:val="0"/>
          <w:divBdr>
            <w:top w:val="none" w:sz="0" w:space="0" w:color="auto"/>
            <w:left w:val="none" w:sz="0" w:space="0" w:color="auto"/>
            <w:bottom w:val="none" w:sz="0" w:space="0" w:color="auto"/>
            <w:right w:val="none" w:sz="0" w:space="0" w:color="auto"/>
          </w:divBdr>
        </w:div>
        <w:div w:id="294146556">
          <w:marLeft w:val="0"/>
          <w:marRight w:val="0"/>
          <w:marTop w:val="0"/>
          <w:marBottom w:val="0"/>
          <w:divBdr>
            <w:top w:val="none" w:sz="0" w:space="0" w:color="auto"/>
            <w:left w:val="none" w:sz="0" w:space="0" w:color="auto"/>
            <w:bottom w:val="none" w:sz="0" w:space="0" w:color="auto"/>
            <w:right w:val="none" w:sz="0" w:space="0" w:color="auto"/>
          </w:divBdr>
        </w:div>
        <w:div w:id="294147048">
          <w:marLeft w:val="0"/>
          <w:marRight w:val="0"/>
          <w:marTop w:val="0"/>
          <w:marBottom w:val="0"/>
          <w:divBdr>
            <w:top w:val="none" w:sz="0" w:space="0" w:color="auto"/>
            <w:left w:val="none" w:sz="0" w:space="0" w:color="auto"/>
            <w:bottom w:val="none" w:sz="0" w:space="0" w:color="auto"/>
            <w:right w:val="none" w:sz="0" w:space="0" w:color="auto"/>
          </w:divBdr>
        </w:div>
        <w:div w:id="294148954">
          <w:marLeft w:val="0"/>
          <w:marRight w:val="0"/>
          <w:marTop w:val="0"/>
          <w:marBottom w:val="0"/>
          <w:divBdr>
            <w:top w:val="none" w:sz="0" w:space="0" w:color="auto"/>
            <w:left w:val="none" w:sz="0" w:space="0" w:color="auto"/>
            <w:bottom w:val="none" w:sz="0" w:space="0" w:color="auto"/>
            <w:right w:val="none" w:sz="0" w:space="0" w:color="auto"/>
          </w:divBdr>
        </w:div>
        <w:div w:id="294150033">
          <w:marLeft w:val="0"/>
          <w:marRight w:val="0"/>
          <w:marTop w:val="0"/>
          <w:marBottom w:val="0"/>
          <w:divBdr>
            <w:top w:val="none" w:sz="0" w:space="0" w:color="auto"/>
            <w:left w:val="none" w:sz="0" w:space="0" w:color="auto"/>
            <w:bottom w:val="none" w:sz="0" w:space="0" w:color="auto"/>
            <w:right w:val="none" w:sz="0" w:space="0" w:color="auto"/>
          </w:divBdr>
        </w:div>
        <w:div w:id="294150281">
          <w:marLeft w:val="0"/>
          <w:marRight w:val="0"/>
          <w:marTop w:val="0"/>
          <w:marBottom w:val="0"/>
          <w:divBdr>
            <w:top w:val="none" w:sz="0" w:space="0" w:color="auto"/>
            <w:left w:val="none" w:sz="0" w:space="0" w:color="auto"/>
            <w:bottom w:val="none" w:sz="0" w:space="0" w:color="auto"/>
            <w:right w:val="none" w:sz="0" w:space="0" w:color="auto"/>
          </w:divBdr>
        </w:div>
        <w:div w:id="294153907">
          <w:marLeft w:val="0"/>
          <w:marRight w:val="0"/>
          <w:marTop w:val="0"/>
          <w:marBottom w:val="0"/>
          <w:divBdr>
            <w:top w:val="none" w:sz="0" w:space="0" w:color="auto"/>
            <w:left w:val="none" w:sz="0" w:space="0" w:color="auto"/>
            <w:bottom w:val="none" w:sz="0" w:space="0" w:color="auto"/>
            <w:right w:val="none" w:sz="0" w:space="0" w:color="auto"/>
          </w:divBdr>
        </w:div>
        <w:div w:id="294154036">
          <w:marLeft w:val="0"/>
          <w:marRight w:val="0"/>
          <w:marTop w:val="0"/>
          <w:marBottom w:val="0"/>
          <w:divBdr>
            <w:top w:val="none" w:sz="0" w:space="0" w:color="auto"/>
            <w:left w:val="none" w:sz="0" w:space="0" w:color="auto"/>
            <w:bottom w:val="none" w:sz="0" w:space="0" w:color="auto"/>
            <w:right w:val="none" w:sz="0" w:space="0" w:color="auto"/>
          </w:divBdr>
        </w:div>
        <w:div w:id="294154258">
          <w:marLeft w:val="0"/>
          <w:marRight w:val="0"/>
          <w:marTop w:val="0"/>
          <w:marBottom w:val="0"/>
          <w:divBdr>
            <w:top w:val="none" w:sz="0" w:space="0" w:color="auto"/>
            <w:left w:val="none" w:sz="0" w:space="0" w:color="auto"/>
            <w:bottom w:val="none" w:sz="0" w:space="0" w:color="auto"/>
            <w:right w:val="none" w:sz="0" w:space="0" w:color="auto"/>
          </w:divBdr>
        </w:div>
        <w:div w:id="294156490">
          <w:marLeft w:val="0"/>
          <w:marRight w:val="0"/>
          <w:marTop w:val="0"/>
          <w:marBottom w:val="0"/>
          <w:divBdr>
            <w:top w:val="none" w:sz="0" w:space="0" w:color="auto"/>
            <w:left w:val="none" w:sz="0" w:space="0" w:color="auto"/>
            <w:bottom w:val="none" w:sz="0" w:space="0" w:color="auto"/>
            <w:right w:val="none" w:sz="0" w:space="0" w:color="auto"/>
          </w:divBdr>
        </w:div>
      </w:divsChild>
    </w:div>
    <w:div w:id="294148146">
      <w:marLeft w:val="0"/>
      <w:marRight w:val="0"/>
      <w:marTop w:val="0"/>
      <w:marBottom w:val="0"/>
      <w:divBdr>
        <w:top w:val="none" w:sz="0" w:space="0" w:color="auto"/>
        <w:left w:val="none" w:sz="0" w:space="0" w:color="auto"/>
        <w:bottom w:val="none" w:sz="0" w:space="0" w:color="auto"/>
        <w:right w:val="none" w:sz="0" w:space="0" w:color="auto"/>
      </w:divBdr>
    </w:div>
    <w:div w:id="294148164">
      <w:marLeft w:val="0"/>
      <w:marRight w:val="0"/>
      <w:marTop w:val="0"/>
      <w:marBottom w:val="0"/>
      <w:divBdr>
        <w:top w:val="none" w:sz="0" w:space="0" w:color="auto"/>
        <w:left w:val="none" w:sz="0" w:space="0" w:color="auto"/>
        <w:bottom w:val="none" w:sz="0" w:space="0" w:color="auto"/>
        <w:right w:val="none" w:sz="0" w:space="0" w:color="auto"/>
      </w:divBdr>
      <w:divsChild>
        <w:div w:id="294141219">
          <w:marLeft w:val="0"/>
          <w:marRight w:val="0"/>
          <w:marTop w:val="0"/>
          <w:marBottom w:val="0"/>
          <w:divBdr>
            <w:top w:val="none" w:sz="0" w:space="0" w:color="auto"/>
            <w:left w:val="none" w:sz="0" w:space="0" w:color="auto"/>
            <w:bottom w:val="none" w:sz="0" w:space="0" w:color="auto"/>
            <w:right w:val="none" w:sz="0" w:space="0" w:color="auto"/>
          </w:divBdr>
        </w:div>
        <w:div w:id="294144019">
          <w:marLeft w:val="720"/>
          <w:marRight w:val="720"/>
          <w:marTop w:val="100"/>
          <w:marBottom w:val="100"/>
          <w:divBdr>
            <w:top w:val="none" w:sz="0" w:space="0" w:color="auto"/>
            <w:left w:val="none" w:sz="0" w:space="0" w:color="auto"/>
            <w:bottom w:val="none" w:sz="0" w:space="0" w:color="auto"/>
            <w:right w:val="none" w:sz="0" w:space="0" w:color="auto"/>
          </w:divBdr>
        </w:div>
        <w:div w:id="294145827">
          <w:marLeft w:val="0"/>
          <w:marRight w:val="0"/>
          <w:marTop w:val="0"/>
          <w:marBottom w:val="0"/>
          <w:divBdr>
            <w:top w:val="none" w:sz="0" w:space="0" w:color="auto"/>
            <w:left w:val="none" w:sz="0" w:space="0" w:color="auto"/>
            <w:bottom w:val="none" w:sz="0" w:space="0" w:color="auto"/>
            <w:right w:val="none" w:sz="0" w:space="0" w:color="auto"/>
          </w:divBdr>
        </w:div>
        <w:div w:id="294147848">
          <w:marLeft w:val="0"/>
          <w:marRight w:val="0"/>
          <w:marTop w:val="0"/>
          <w:marBottom w:val="0"/>
          <w:divBdr>
            <w:top w:val="none" w:sz="0" w:space="0" w:color="auto"/>
            <w:left w:val="none" w:sz="0" w:space="0" w:color="auto"/>
            <w:bottom w:val="none" w:sz="0" w:space="0" w:color="auto"/>
            <w:right w:val="none" w:sz="0" w:space="0" w:color="auto"/>
          </w:divBdr>
        </w:div>
        <w:div w:id="294151613">
          <w:marLeft w:val="720"/>
          <w:marRight w:val="720"/>
          <w:marTop w:val="100"/>
          <w:marBottom w:val="100"/>
          <w:divBdr>
            <w:top w:val="none" w:sz="0" w:space="0" w:color="auto"/>
            <w:left w:val="none" w:sz="0" w:space="0" w:color="auto"/>
            <w:bottom w:val="none" w:sz="0" w:space="0" w:color="auto"/>
            <w:right w:val="none" w:sz="0" w:space="0" w:color="auto"/>
          </w:divBdr>
        </w:div>
        <w:div w:id="294152679">
          <w:marLeft w:val="0"/>
          <w:marRight w:val="0"/>
          <w:marTop w:val="0"/>
          <w:marBottom w:val="0"/>
          <w:divBdr>
            <w:top w:val="none" w:sz="0" w:space="0" w:color="auto"/>
            <w:left w:val="none" w:sz="0" w:space="0" w:color="auto"/>
            <w:bottom w:val="none" w:sz="0" w:space="0" w:color="auto"/>
            <w:right w:val="none" w:sz="0" w:space="0" w:color="auto"/>
          </w:divBdr>
        </w:div>
        <w:div w:id="294152945">
          <w:marLeft w:val="0"/>
          <w:marRight w:val="0"/>
          <w:marTop w:val="0"/>
          <w:marBottom w:val="0"/>
          <w:divBdr>
            <w:top w:val="none" w:sz="0" w:space="0" w:color="auto"/>
            <w:left w:val="none" w:sz="0" w:space="0" w:color="auto"/>
            <w:bottom w:val="none" w:sz="0" w:space="0" w:color="auto"/>
            <w:right w:val="none" w:sz="0" w:space="0" w:color="auto"/>
          </w:divBdr>
        </w:div>
        <w:div w:id="294153304">
          <w:marLeft w:val="0"/>
          <w:marRight w:val="0"/>
          <w:marTop w:val="0"/>
          <w:marBottom w:val="0"/>
          <w:divBdr>
            <w:top w:val="none" w:sz="0" w:space="0" w:color="auto"/>
            <w:left w:val="none" w:sz="0" w:space="0" w:color="auto"/>
            <w:bottom w:val="none" w:sz="0" w:space="0" w:color="auto"/>
            <w:right w:val="none" w:sz="0" w:space="0" w:color="auto"/>
          </w:divBdr>
        </w:div>
        <w:div w:id="294153578">
          <w:marLeft w:val="720"/>
          <w:marRight w:val="720"/>
          <w:marTop w:val="100"/>
          <w:marBottom w:val="100"/>
          <w:divBdr>
            <w:top w:val="none" w:sz="0" w:space="0" w:color="auto"/>
            <w:left w:val="none" w:sz="0" w:space="0" w:color="auto"/>
            <w:bottom w:val="none" w:sz="0" w:space="0" w:color="auto"/>
            <w:right w:val="none" w:sz="0" w:space="0" w:color="auto"/>
          </w:divBdr>
        </w:div>
        <w:div w:id="294155154">
          <w:marLeft w:val="720"/>
          <w:marRight w:val="720"/>
          <w:marTop w:val="100"/>
          <w:marBottom w:val="100"/>
          <w:divBdr>
            <w:top w:val="none" w:sz="0" w:space="0" w:color="auto"/>
            <w:left w:val="none" w:sz="0" w:space="0" w:color="auto"/>
            <w:bottom w:val="none" w:sz="0" w:space="0" w:color="auto"/>
            <w:right w:val="none" w:sz="0" w:space="0" w:color="auto"/>
          </w:divBdr>
        </w:div>
        <w:div w:id="294156119">
          <w:marLeft w:val="0"/>
          <w:marRight w:val="0"/>
          <w:marTop w:val="0"/>
          <w:marBottom w:val="0"/>
          <w:divBdr>
            <w:top w:val="none" w:sz="0" w:space="0" w:color="auto"/>
            <w:left w:val="none" w:sz="0" w:space="0" w:color="auto"/>
            <w:bottom w:val="none" w:sz="0" w:space="0" w:color="auto"/>
            <w:right w:val="none" w:sz="0" w:space="0" w:color="auto"/>
          </w:divBdr>
        </w:div>
        <w:div w:id="294156974">
          <w:marLeft w:val="720"/>
          <w:marRight w:val="720"/>
          <w:marTop w:val="100"/>
          <w:marBottom w:val="100"/>
          <w:divBdr>
            <w:top w:val="none" w:sz="0" w:space="0" w:color="auto"/>
            <w:left w:val="none" w:sz="0" w:space="0" w:color="auto"/>
            <w:bottom w:val="none" w:sz="0" w:space="0" w:color="auto"/>
            <w:right w:val="none" w:sz="0" w:space="0" w:color="auto"/>
          </w:divBdr>
          <w:divsChild>
            <w:div w:id="29414743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94148166">
      <w:marLeft w:val="0"/>
      <w:marRight w:val="0"/>
      <w:marTop w:val="0"/>
      <w:marBottom w:val="0"/>
      <w:divBdr>
        <w:top w:val="none" w:sz="0" w:space="0" w:color="auto"/>
        <w:left w:val="none" w:sz="0" w:space="0" w:color="auto"/>
        <w:bottom w:val="none" w:sz="0" w:space="0" w:color="auto"/>
        <w:right w:val="none" w:sz="0" w:space="0" w:color="auto"/>
      </w:divBdr>
      <w:divsChild>
        <w:div w:id="294157349">
          <w:marLeft w:val="0"/>
          <w:marRight w:val="0"/>
          <w:marTop w:val="0"/>
          <w:marBottom w:val="400"/>
          <w:divBdr>
            <w:top w:val="none" w:sz="0" w:space="0" w:color="auto"/>
            <w:left w:val="none" w:sz="0" w:space="0" w:color="auto"/>
            <w:bottom w:val="none" w:sz="0" w:space="0" w:color="auto"/>
            <w:right w:val="none" w:sz="0" w:space="0" w:color="auto"/>
          </w:divBdr>
        </w:div>
      </w:divsChild>
    </w:div>
    <w:div w:id="294148247">
      <w:marLeft w:val="0"/>
      <w:marRight w:val="0"/>
      <w:marTop w:val="0"/>
      <w:marBottom w:val="0"/>
      <w:divBdr>
        <w:top w:val="none" w:sz="0" w:space="0" w:color="auto"/>
        <w:left w:val="none" w:sz="0" w:space="0" w:color="auto"/>
        <w:bottom w:val="none" w:sz="0" w:space="0" w:color="auto"/>
        <w:right w:val="none" w:sz="0" w:space="0" w:color="auto"/>
      </w:divBdr>
    </w:div>
    <w:div w:id="294148268">
      <w:marLeft w:val="0"/>
      <w:marRight w:val="0"/>
      <w:marTop w:val="0"/>
      <w:marBottom w:val="0"/>
      <w:divBdr>
        <w:top w:val="none" w:sz="0" w:space="0" w:color="auto"/>
        <w:left w:val="none" w:sz="0" w:space="0" w:color="auto"/>
        <w:bottom w:val="none" w:sz="0" w:space="0" w:color="auto"/>
        <w:right w:val="none" w:sz="0" w:space="0" w:color="auto"/>
      </w:divBdr>
    </w:div>
    <w:div w:id="294148274">
      <w:marLeft w:val="0"/>
      <w:marRight w:val="0"/>
      <w:marTop w:val="0"/>
      <w:marBottom w:val="0"/>
      <w:divBdr>
        <w:top w:val="none" w:sz="0" w:space="0" w:color="auto"/>
        <w:left w:val="none" w:sz="0" w:space="0" w:color="auto"/>
        <w:bottom w:val="none" w:sz="0" w:space="0" w:color="auto"/>
        <w:right w:val="none" w:sz="0" w:space="0" w:color="auto"/>
      </w:divBdr>
    </w:div>
    <w:div w:id="294148299">
      <w:marLeft w:val="0"/>
      <w:marRight w:val="0"/>
      <w:marTop w:val="0"/>
      <w:marBottom w:val="0"/>
      <w:divBdr>
        <w:top w:val="none" w:sz="0" w:space="0" w:color="auto"/>
        <w:left w:val="none" w:sz="0" w:space="0" w:color="auto"/>
        <w:bottom w:val="none" w:sz="0" w:space="0" w:color="auto"/>
        <w:right w:val="none" w:sz="0" w:space="0" w:color="auto"/>
      </w:divBdr>
      <w:divsChild>
        <w:div w:id="294151670">
          <w:marLeft w:val="0"/>
          <w:marRight w:val="0"/>
          <w:marTop w:val="0"/>
          <w:marBottom w:val="0"/>
          <w:divBdr>
            <w:top w:val="none" w:sz="0" w:space="0" w:color="auto"/>
            <w:left w:val="none" w:sz="0" w:space="0" w:color="auto"/>
            <w:bottom w:val="none" w:sz="0" w:space="0" w:color="auto"/>
            <w:right w:val="none" w:sz="0" w:space="0" w:color="auto"/>
          </w:divBdr>
          <w:divsChild>
            <w:div w:id="294144676">
              <w:marLeft w:val="0"/>
              <w:marRight w:val="0"/>
              <w:marTop w:val="0"/>
              <w:marBottom w:val="0"/>
              <w:divBdr>
                <w:top w:val="none" w:sz="0" w:space="0" w:color="auto"/>
                <w:left w:val="none" w:sz="0" w:space="0" w:color="auto"/>
                <w:bottom w:val="none" w:sz="0" w:space="0" w:color="auto"/>
                <w:right w:val="none" w:sz="0" w:space="0" w:color="auto"/>
              </w:divBdr>
              <w:divsChild>
                <w:div w:id="2941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3469">
          <w:marLeft w:val="-347"/>
          <w:marRight w:val="0"/>
          <w:marTop w:val="0"/>
          <w:marBottom w:val="35"/>
          <w:divBdr>
            <w:top w:val="none" w:sz="0" w:space="0" w:color="auto"/>
            <w:left w:val="none" w:sz="0" w:space="0" w:color="auto"/>
            <w:bottom w:val="none" w:sz="0" w:space="0" w:color="auto"/>
            <w:right w:val="none" w:sz="0" w:space="0" w:color="auto"/>
          </w:divBdr>
        </w:div>
      </w:divsChild>
    </w:div>
    <w:div w:id="294148308">
      <w:marLeft w:val="0"/>
      <w:marRight w:val="0"/>
      <w:marTop w:val="0"/>
      <w:marBottom w:val="0"/>
      <w:divBdr>
        <w:top w:val="none" w:sz="0" w:space="0" w:color="auto"/>
        <w:left w:val="none" w:sz="0" w:space="0" w:color="auto"/>
        <w:bottom w:val="none" w:sz="0" w:space="0" w:color="auto"/>
        <w:right w:val="none" w:sz="0" w:space="0" w:color="auto"/>
      </w:divBdr>
    </w:div>
    <w:div w:id="294148313">
      <w:marLeft w:val="0"/>
      <w:marRight w:val="0"/>
      <w:marTop w:val="0"/>
      <w:marBottom w:val="0"/>
      <w:divBdr>
        <w:top w:val="none" w:sz="0" w:space="0" w:color="auto"/>
        <w:left w:val="none" w:sz="0" w:space="0" w:color="auto"/>
        <w:bottom w:val="none" w:sz="0" w:space="0" w:color="auto"/>
        <w:right w:val="none" w:sz="0" w:space="0" w:color="auto"/>
      </w:divBdr>
    </w:div>
    <w:div w:id="294148356">
      <w:marLeft w:val="0"/>
      <w:marRight w:val="0"/>
      <w:marTop w:val="0"/>
      <w:marBottom w:val="0"/>
      <w:divBdr>
        <w:top w:val="none" w:sz="0" w:space="0" w:color="auto"/>
        <w:left w:val="none" w:sz="0" w:space="0" w:color="auto"/>
        <w:bottom w:val="none" w:sz="0" w:space="0" w:color="auto"/>
        <w:right w:val="none" w:sz="0" w:space="0" w:color="auto"/>
      </w:divBdr>
    </w:div>
    <w:div w:id="294148357">
      <w:marLeft w:val="0"/>
      <w:marRight w:val="0"/>
      <w:marTop w:val="0"/>
      <w:marBottom w:val="0"/>
      <w:divBdr>
        <w:top w:val="none" w:sz="0" w:space="0" w:color="auto"/>
        <w:left w:val="none" w:sz="0" w:space="0" w:color="auto"/>
        <w:bottom w:val="none" w:sz="0" w:space="0" w:color="auto"/>
        <w:right w:val="none" w:sz="0" w:space="0" w:color="auto"/>
      </w:divBdr>
    </w:div>
    <w:div w:id="294148373">
      <w:marLeft w:val="0"/>
      <w:marRight w:val="0"/>
      <w:marTop w:val="0"/>
      <w:marBottom w:val="0"/>
      <w:divBdr>
        <w:top w:val="none" w:sz="0" w:space="0" w:color="auto"/>
        <w:left w:val="none" w:sz="0" w:space="0" w:color="auto"/>
        <w:bottom w:val="none" w:sz="0" w:space="0" w:color="auto"/>
        <w:right w:val="none" w:sz="0" w:space="0" w:color="auto"/>
      </w:divBdr>
    </w:div>
    <w:div w:id="294148427">
      <w:marLeft w:val="0"/>
      <w:marRight w:val="0"/>
      <w:marTop w:val="0"/>
      <w:marBottom w:val="0"/>
      <w:divBdr>
        <w:top w:val="none" w:sz="0" w:space="0" w:color="auto"/>
        <w:left w:val="none" w:sz="0" w:space="0" w:color="auto"/>
        <w:bottom w:val="none" w:sz="0" w:space="0" w:color="auto"/>
        <w:right w:val="none" w:sz="0" w:space="0" w:color="auto"/>
      </w:divBdr>
      <w:divsChild>
        <w:div w:id="294143841">
          <w:marLeft w:val="0"/>
          <w:marRight w:val="0"/>
          <w:marTop w:val="0"/>
          <w:marBottom w:val="300"/>
          <w:divBdr>
            <w:top w:val="none" w:sz="0" w:space="0" w:color="auto"/>
            <w:left w:val="none" w:sz="0" w:space="0" w:color="auto"/>
            <w:bottom w:val="none" w:sz="0" w:space="0" w:color="auto"/>
            <w:right w:val="none" w:sz="0" w:space="0" w:color="auto"/>
          </w:divBdr>
        </w:div>
        <w:div w:id="294146837">
          <w:marLeft w:val="0"/>
          <w:marRight w:val="0"/>
          <w:marTop w:val="0"/>
          <w:marBottom w:val="0"/>
          <w:divBdr>
            <w:top w:val="none" w:sz="0" w:space="0" w:color="auto"/>
            <w:left w:val="none" w:sz="0" w:space="0" w:color="auto"/>
            <w:bottom w:val="none" w:sz="0" w:space="0" w:color="auto"/>
            <w:right w:val="none" w:sz="0" w:space="0" w:color="auto"/>
          </w:divBdr>
        </w:div>
        <w:div w:id="294152713">
          <w:marLeft w:val="0"/>
          <w:marRight w:val="0"/>
          <w:marTop w:val="0"/>
          <w:marBottom w:val="0"/>
          <w:divBdr>
            <w:top w:val="none" w:sz="0" w:space="0" w:color="auto"/>
            <w:left w:val="none" w:sz="0" w:space="0" w:color="auto"/>
            <w:bottom w:val="none" w:sz="0" w:space="0" w:color="auto"/>
            <w:right w:val="none" w:sz="0" w:space="0" w:color="auto"/>
          </w:divBdr>
          <w:divsChild>
            <w:div w:id="294150587">
              <w:marLeft w:val="0"/>
              <w:marRight w:val="0"/>
              <w:marTop w:val="0"/>
              <w:marBottom w:val="0"/>
              <w:divBdr>
                <w:top w:val="none" w:sz="0" w:space="0" w:color="auto"/>
                <w:left w:val="none" w:sz="0" w:space="0" w:color="auto"/>
                <w:bottom w:val="none" w:sz="0" w:space="0" w:color="auto"/>
                <w:right w:val="none" w:sz="0" w:space="0" w:color="auto"/>
              </w:divBdr>
              <w:divsChild>
                <w:div w:id="294138038">
                  <w:marLeft w:val="0"/>
                  <w:marRight w:val="0"/>
                  <w:marTop w:val="0"/>
                  <w:marBottom w:val="0"/>
                  <w:divBdr>
                    <w:top w:val="none" w:sz="0" w:space="0" w:color="auto"/>
                    <w:left w:val="none" w:sz="0" w:space="0" w:color="auto"/>
                    <w:bottom w:val="none" w:sz="0" w:space="0" w:color="auto"/>
                    <w:right w:val="none" w:sz="0" w:space="0" w:color="auto"/>
                  </w:divBdr>
                </w:div>
                <w:div w:id="294138409">
                  <w:marLeft w:val="0"/>
                  <w:marRight w:val="0"/>
                  <w:marTop w:val="0"/>
                  <w:marBottom w:val="0"/>
                  <w:divBdr>
                    <w:top w:val="none" w:sz="0" w:space="0" w:color="auto"/>
                    <w:left w:val="none" w:sz="0" w:space="0" w:color="auto"/>
                    <w:bottom w:val="none" w:sz="0" w:space="0" w:color="auto"/>
                    <w:right w:val="none" w:sz="0" w:space="0" w:color="auto"/>
                  </w:divBdr>
                </w:div>
                <w:div w:id="294138514">
                  <w:marLeft w:val="0"/>
                  <w:marRight w:val="0"/>
                  <w:marTop w:val="0"/>
                  <w:marBottom w:val="0"/>
                  <w:divBdr>
                    <w:top w:val="none" w:sz="0" w:space="0" w:color="auto"/>
                    <w:left w:val="none" w:sz="0" w:space="0" w:color="auto"/>
                    <w:bottom w:val="none" w:sz="0" w:space="0" w:color="auto"/>
                    <w:right w:val="none" w:sz="0" w:space="0" w:color="auto"/>
                  </w:divBdr>
                </w:div>
                <w:div w:id="294138699">
                  <w:marLeft w:val="0"/>
                  <w:marRight w:val="0"/>
                  <w:marTop w:val="0"/>
                  <w:marBottom w:val="0"/>
                  <w:divBdr>
                    <w:top w:val="none" w:sz="0" w:space="0" w:color="auto"/>
                    <w:left w:val="none" w:sz="0" w:space="0" w:color="auto"/>
                    <w:bottom w:val="none" w:sz="0" w:space="0" w:color="auto"/>
                    <w:right w:val="none" w:sz="0" w:space="0" w:color="auto"/>
                  </w:divBdr>
                </w:div>
                <w:div w:id="294138938">
                  <w:marLeft w:val="0"/>
                  <w:marRight w:val="0"/>
                  <w:marTop w:val="0"/>
                  <w:marBottom w:val="0"/>
                  <w:divBdr>
                    <w:top w:val="none" w:sz="0" w:space="0" w:color="auto"/>
                    <w:left w:val="none" w:sz="0" w:space="0" w:color="auto"/>
                    <w:bottom w:val="none" w:sz="0" w:space="0" w:color="auto"/>
                    <w:right w:val="none" w:sz="0" w:space="0" w:color="auto"/>
                  </w:divBdr>
                </w:div>
                <w:div w:id="294139215">
                  <w:marLeft w:val="0"/>
                  <w:marRight w:val="0"/>
                  <w:marTop w:val="0"/>
                  <w:marBottom w:val="0"/>
                  <w:divBdr>
                    <w:top w:val="none" w:sz="0" w:space="0" w:color="auto"/>
                    <w:left w:val="none" w:sz="0" w:space="0" w:color="auto"/>
                    <w:bottom w:val="none" w:sz="0" w:space="0" w:color="auto"/>
                    <w:right w:val="none" w:sz="0" w:space="0" w:color="auto"/>
                  </w:divBdr>
                </w:div>
                <w:div w:id="294139408">
                  <w:marLeft w:val="0"/>
                  <w:marRight w:val="0"/>
                  <w:marTop w:val="0"/>
                  <w:marBottom w:val="0"/>
                  <w:divBdr>
                    <w:top w:val="none" w:sz="0" w:space="0" w:color="auto"/>
                    <w:left w:val="none" w:sz="0" w:space="0" w:color="auto"/>
                    <w:bottom w:val="none" w:sz="0" w:space="0" w:color="auto"/>
                    <w:right w:val="none" w:sz="0" w:space="0" w:color="auto"/>
                  </w:divBdr>
                </w:div>
                <w:div w:id="294139521">
                  <w:marLeft w:val="0"/>
                  <w:marRight w:val="0"/>
                  <w:marTop w:val="0"/>
                  <w:marBottom w:val="0"/>
                  <w:divBdr>
                    <w:top w:val="none" w:sz="0" w:space="0" w:color="auto"/>
                    <w:left w:val="none" w:sz="0" w:space="0" w:color="auto"/>
                    <w:bottom w:val="none" w:sz="0" w:space="0" w:color="auto"/>
                    <w:right w:val="none" w:sz="0" w:space="0" w:color="auto"/>
                  </w:divBdr>
                </w:div>
                <w:div w:id="294139659">
                  <w:marLeft w:val="0"/>
                  <w:marRight w:val="0"/>
                  <w:marTop w:val="0"/>
                  <w:marBottom w:val="0"/>
                  <w:divBdr>
                    <w:top w:val="none" w:sz="0" w:space="0" w:color="auto"/>
                    <w:left w:val="none" w:sz="0" w:space="0" w:color="auto"/>
                    <w:bottom w:val="none" w:sz="0" w:space="0" w:color="auto"/>
                    <w:right w:val="none" w:sz="0" w:space="0" w:color="auto"/>
                  </w:divBdr>
                </w:div>
                <w:div w:id="294139869">
                  <w:marLeft w:val="0"/>
                  <w:marRight w:val="0"/>
                  <w:marTop w:val="0"/>
                  <w:marBottom w:val="0"/>
                  <w:divBdr>
                    <w:top w:val="none" w:sz="0" w:space="0" w:color="auto"/>
                    <w:left w:val="none" w:sz="0" w:space="0" w:color="auto"/>
                    <w:bottom w:val="none" w:sz="0" w:space="0" w:color="auto"/>
                    <w:right w:val="none" w:sz="0" w:space="0" w:color="auto"/>
                  </w:divBdr>
                </w:div>
                <w:div w:id="294139919">
                  <w:marLeft w:val="0"/>
                  <w:marRight w:val="0"/>
                  <w:marTop w:val="0"/>
                  <w:marBottom w:val="0"/>
                  <w:divBdr>
                    <w:top w:val="none" w:sz="0" w:space="0" w:color="auto"/>
                    <w:left w:val="none" w:sz="0" w:space="0" w:color="auto"/>
                    <w:bottom w:val="none" w:sz="0" w:space="0" w:color="auto"/>
                    <w:right w:val="none" w:sz="0" w:space="0" w:color="auto"/>
                  </w:divBdr>
                </w:div>
                <w:div w:id="294140033">
                  <w:marLeft w:val="0"/>
                  <w:marRight w:val="0"/>
                  <w:marTop w:val="0"/>
                  <w:marBottom w:val="0"/>
                  <w:divBdr>
                    <w:top w:val="none" w:sz="0" w:space="0" w:color="auto"/>
                    <w:left w:val="none" w:sz="0" w:space="0" w:color="auto"/>
                    <w:bottom w:val="none" w:sz="0" w:space="0" w:color="auto"/>
                    <w:right w:val="none" w:sz="0" w:space="0" w:color="auto"/>
                  </w:divBdr>
                </w:div>
                <w:div w:id="294140099">
                  <w:marLeft w:val="0"/>
                  <w:marRight w:val="0"/>
                  <w:marTop w:val="0"/>
                  <w:marBottom w:val="0"/>
                  <w:divBdr>
                    <w:top w:val="none" w:sz="0" w:space="0" w:color="auto"/>
                    <w:left w:val="none" w:sz="0" w:space="0" w:color="auto"/>
                    <w:bottom w:val="none" w:sz="0" w:space="0" w:color="auto"/>
                    <w:right w:val="none" w:sz="0" w:space="0" w:color="auto"/>
                  </w:divBdr>
                </w:div>
                <w:div w:id="294140420">
                  <w:marLeft w:val="0"/>
                  <w:marRight w:val="0"/>
                  <w:marTop w:val="0"/>
                  <w:marBottom w:val="0"/>
                  <w:divBdr>
                    <w:top w:val="none" w:sz="0" w:space="0" w:color="auto"/>
                    <w:left w:val="none" w:sz="0" w:space="0" w:color="auto"/>
                    <w:bottom w:val="none" w:sz="0" w:space="0" w:color="auto"/>
                    <w:right w:val="none" w:sz="0" w:space="0" w:color="auto"/>
                  </w:divBdr>
                </w:div>
                <w:div w:id="294140428">
                  <w:marLeft w:val="0"/>
                  <w:marRight w:val="0"/>
                  <w:marTop w:val="0"/>
                  <w:marBottom w:val="0"/>
                  <w:divBdr>
                    <w:top w:val="none" w:sz="0" w:space="0" w:color="auto"/>
                    <w:left w:val="none" w:sz="0" w:space="0" w:color="auto"/>
                    <w:bottom w:val="none" w:sz="0" w:space="0" w:color="auto"/>
                    <w:right w:val="none" w:sz="0" w:space="0" w:color="auto"/>
                  </w:divBdr>
                </w:div>
                <w:div w:id="294140606">
                  <w:marLeft w:val="0"/>
                  <w:marRight w:val="0"/>
                  <w:marTop w:val="0"/>
                  <w:marBottom w:val="0"/>
                  <w:divBdr>
                    <w:top w:val="none" w:sz="0" w:space="0" w:color="auto"/>
                    <w:left w:val="none" w:sz="0" w:space="0" w:color="auto"/>
                    <w:bottom w:val="none" w:sz="0" w:space="0" w:color="auto"/>
                    <w:right w:val="none" w:sz="0" w:space="0" w:color="auto"/>
                  </w:divBdr>
                </w:div>
                <w:div w:id="294140688">
                  <w:marLeft w:val="0"/>
                  <w:marRight w:val="0"/>
                  <w:marTop w:val="0"/>
                  <w:marBottom w:val="0"/>
                  <w:divBdr>
                    <w:top w:val="none" w:sz="0" w:space="0" w:color="auto"/>
                    <w:left w:val="none" w:sz="0" w:space="0" w:color="auto"/>
                    <w:bottom w:val="none" w:sz="0" w:space="0" w:color="auto"/>
                    <w:right w:val="none" w:sz="0" w:space="0" w:color="auto"/>
                  </w:divBdr>
                </w:div>
                <w:div w:id="294140772">
                  <w:marLeft w:val="0"/>
                  <w:marRight w:val="0"/>
                  <w:marTop w:val="0"/>
                  <w:marBottom w:val="0"/>
                  <w:divBdr>
                    <w:top w:val="none" w:sz="0" w:space="0" w:color="auto"/>
                    <w:left w:val="none" w:sz="0" w:space="0" w:color="auto"/>
                    <w:bottom w:val="none" w:sz="0" w:space="0" w:color="auto"/>
                    <w:right w:val="none" w:sz="0" w:space="0" w:color="auto"/>
                  </w:divBdr>
                </w:div>
                <w:div w:id="294140869">
                  <w:marLeft w:val="0"/>
                  <w:marRight w:val="0"/>
                  <w:marTop w:val="0"/>
                  <w:marBottom w:val="0"/>
                  <w:divBdr>
                    <w:top w:val="none" w:sz="0" w:space="0" w:color="auto"/>
                    <w:left w:val="none" w:sz="0" w:space="0" w:color="auto"/>
                    <w:bottom w:val="none" w:sz="0" w:space="0" w:color="auto"/>
                    <w:right w:val="none" w:sz="0" w:space="0" w:color="auto"/>
                  </w:divBdr>
                </w:div>
                <w:div w:id="294140911">
                  <w:marLeft w:val="0"/>
                  <w:marRight w:val="0"/>
                  <w:marTop w:val="0"/>
                  <w:marBottom w:val="0"/>
                  <w:divBdr>
                    <w:top w:val="none" w:sz="0" w:space="0" w:color="auto"/>
                    <w:left w:val="none" w:sz="0" w:space="0" w:color="auto"/>
                    <w:bottom w:val="none" w:sz="0" w:space="0" w:color="auto"/>
                    <w:right w:val="none" w:sz="0" w:space="0" w:color="auto"/>
                  </w:divBdr>
                </w:div>
                <w:div w:id="294141582">
                  <w:marLeft w:val="0"/>
                  <w:marRight w:val="0"/>
                  <w:marTop w:val="0"/>
                  <w:marBottom w:val="0"/>
                  <w:divBdr>
                    <w:top w:val="none" w:sz="0" w:space="0" w:color="auto"/>
                    <w:left w:val="none" w:sz="0" w:space="0" w:color="auto"/>
                    <w:bottom w:val="none" w:sz="0" w:space="0" w:color="auto"/>
                    <w:right w:val="none" w:sz="0" w:space="0" w:color="auto"/>
                  </w:divBdr>
                </w:div>
                <w:div w:id="294141634">
                  <w:marLeft w:val="0"/>
                  <w:marRight w:val="0"/>
                  <w:marTop w:val="0"/>
                  <w:marBottom w:val="0"/>
                  <w:divBdr>
                    <w:top w:val="none" w:sz="0" w:space="0" w:color="auto"/>
                    <w:left w:val="none" w:sz="0" w:space="0" w:color="auto"/>
                    <w:bottom w:val="none" w:sz="0" w:space="0" w:color="auto"/>
                    <w:right w:val="none" w:sz="0" w:space="0" w:color="auto"/>
                  </w:divBdr>
                </w:div>
                <w:div w:id="294141690">
                  <w:marLeft w:val="0"/>
                  <w:marRight w:val="0"/>
                  <w:marTop w:val="0"/>
                  <w:marBottom w:val="0"/>
                  <w:divBdr>
                    <w:top w:val="none" w:sz="0" w:space="0" w:color="auto"/>
                    <w:left w:val="none" w:sz="0" w:space="0" w:color="auto"/>
                    <w:bottom w:val="none" w:sz="0" w:space="0" w:color="auto"/>
                    <w:right w:val="none" w:sz="0" w:space="0" w:color="auto"/>
                  </w:divBdr>
                </w:div>
                <w:div w:id="294141744">
                  <w:marLeft w:val="0"/>
                  <w:marRight w:val="0"/>
                  <w:marTop w:val="0"/>
                  <w:marBottom w:val="0"/>
                  <w:divBdr>
                    <w:top w:val="none" w:sz="0" w:space="0" w:color="auto"/>
                    <w:left w:val="none" w:sz="0" w:space="0" w:color="auto"/>
                    <w:bottom w:val="none" w:sz="0" w:space="0" w:color="auto"/>
                    <w:right w:val="none" w:sz="0" w:space="0" w:color="auto"/>
                  </w:divBdr>
                </w:div>
                <w:div w:id="294141778">
                  <w:marLeft w:val="0"/>
                  <w:marRight w:val="0"/>
                  <w:marTop w:val="0"/>
                  <w:marBottom w:val="0"/>
                  <w:divBdr>
                    <w:top w:val="none" w:sz="0" w:space="0" w:color="auto"/>
                    <w:left w:val="none" w:sz="0" w:space="0" w:color="auto"/>
                    <w:bottom w:val="none" w:sz="0" w:space="0" w:color="auto"/>
                    <w:right w:val="none" w:sz="0" w:space="0" w:color="auto"/>
                  </w:divBdr>
                </w:div>
                <w:div w:id="294141797">
                  <w:marLeft w:val="0"/>
                  <w:marRight w:val="0"/>
                  <w:marTop w:val="0"/>
                  <w:marBottom w:val="0"/>
                  <w:divBdr>
                    <w:top w:val="none" w:sz="0" w:space="0" w:color="auto"/>
                    <w:left w:val="none" w:sz="0" w:space="0" w:color="auto"/>
                    <w:bottom w:val="none" w:sz="0" w:space="0" w:color="auto"/>
                    <w:right w:val="none" w:sz="0" w:space="0" w:color="auto"/>
                  </w:divBdr>
                </w:div>
                <w:div w:id="294142151">
                  <w:marLeft w:val="0"/>
                  <w:marRight w:val="0"/>
                  <w:marTop w:val="0"/>
                  <w:marBottom w:val="0"/>
                  <w:divBdr>
                    <w:top w:val="none" w:sz="0" w:space="0" w:color="auto"/>
                    <w:left w:val="none" w:sz="0" w:space="0" w:color="auto"/>
                    <w:bottom w:val="none" w:sz="0" w:space="0" w:color="auto"/>
                    <w:right w:val="none" w:sz="0" w:space="0" w:color="auto"/>
                  </w:divBdr>
                </w:div>
                <w:div w:id="294142267">
                  <w:marLeft w:val="0"/>
                  <w:marRight w:val="0"/>
                  <w:marTop w:val="0"/>
                  <w:marBottom w:val="0"/>
                  <w:divBdr>
                    <w:top w:val="none" w:sz="0" w:space="0" w:color="auto"/>
                    <w:left w:val="none" w:sz="0" w:space="0" w:color="auto"/>
                    <w:bottom w:val="none" w:sz="0" w:space="0" w:color="auto"/>
                    <w:right w:val="none" w:sz="0" w:space="0" w:color="auto"/>
                  </w:divBdr>
                </w:div>
                <w:div w:id="294142489">
                  <w:marLeft w:val="0"/>
                  <w:marRight w:val="0"/>
                  <w:marTop w:val="0"/>
                  <w:marBottom w:val="0"/>
                  <w:divBdr>
                    <w:top w:val="none" w:sz="0" w:space="0" w:color="auto"/>
                    <w:left w:val="none" w:sz="0" w:space="0" w:color="auto"/>
                    <w:bottom w:val="none" w:sz="0" w:space="0" w:color="auto"/>
                    <w:right w:val="none" w:sz="0" w:space="0" w:color="auto"/>
                  </w:divBdr>
                </w:div>
                <w:div w:id="294142861">
                  <w:marLeft w:val="0"/>
                  <w:marRight w:val="0"/>
                  <w:marTop w:val="0"/>
                  <w:marBottom w:val="0"/>
                  <w:divBdr>
                    <w:top w:val="none" w:sz="0" w:space="0" w:color="auto"/>
                    <w:left w:val="none" w:sz="0" w:space="0" w:color="auto"/>
                    <w:bottom w:val="none" w:sz="0" w:space="0" w:color="auto"/>
                    <w:right w:val="none" w:sz="0" w:space="0" w:color="auto"/>
                  </w:divBdr>
                </w:div>
                <w:div w:id="294142959">
                  <w:marLeft w:val="0"/>
                  <w:marRight w:val="0"/>
                  <w:marTop w:val="0"/>
                  <w:marBottom w:val="0"/>
                  <w:divBdr>
                    <w:top w:val="none" w:sz="0" w:space="0" w:color="auto"/>
                    <w:left w:val="none" w:sz="0" w:space="0" w:color="auto"/>
                    <w:bottom w:val="none" w:sz="0" w:space="0" w:color="auto"/>
                    <w:right w:val="none" w:sz="0" w:space="0" w:color="auto"/>
                  </w:divBdr>
                </w:div>
                <w:div w:id="294143402">
                  <w:marLeft w:val="0"/>
                  <w:marRight w:val="0"/>
                  <w:marTop w:val="0"/>
                  <w:marBottom w:val="0"/>
                  <w:divBdr>
                    <w:top w:val="none" w:sz="0" w:space="0" w:color="auto"/>
                    <w:left w:val="none" w:sz="0" w:space="0" w:color="auto"/>
                    <w:bottom w:val="none" w:sz="0" w:space="0" w:color="auto"/>
                    <w:right w:val="none" w:sz="0" w:space="0" w:color="auto"/>
                  </w:divBdr>
                </w:div>
                <w:div w:id="294143514">
                  <w:marLeft w:val="0"/>
                  <w:marRight w:val="0"/>
                  <w:marTop w:val="0"/>
                  <w:marBottom w:val="0"/>
                  <w:divBdr>
                    <w:top w:val="none" w:sz="0" w:space="0" w:color="auto"/>
                    <w:left w:val="none" w:sz="0" w:space="0" w:color="auto"/>
                    <w:bottom w:val="none" w:sz="0" w:space="0" w:color="auto"/>
                    <w:right w:val="none" w:sz="0" w:space="0" w:color="auto"/>
                  </w:divBdr>
                </w:div>
                <w:div w:id="294143569">
                  <w:marLeft w:val="0"/>
                  <w:marRight w:val="0"/>
                  <w:marTop w:val="0"/>
                  <w:marBottom w:val="0"/>
                  <w:divBdr>
                    <w:top w:val="none" w:sz="0" w:space="0" w:color="auto"/>
                    <w:left w:val="none" w:sz="0" w:space="0" w:color="auto"/>
                    <w:bottom w:val="none" w:sz="0" w:space="0" w:color="auto"/>
                    <w:right w:val="none" w:sz="0" w:space="0" w:color="auto"/>
                  </w:divBdr>
                </w:div>
                <w:div w:id="294143634">
                  <w:marLeft w:val="0"/>
                  <w:marRight w:val="0"/>
                  <w:marTop w:val="0"/>
                  <w:marBottom w:val="0"/>
                  <w:divBdr>
                    <w:top w:val="none" w:sz="0" w:space="0" w:color="auto"/>
                    <w:left w:val="none" w:sz="0" w:space="0" w:color="auto"/>
                    <w:bottom w:val="none" w:sz="0" w:space="0" w:color="auto"/>
                    <w:right w:val="none" w:sz="0" w:space="0" w:color="auto"/>
                  </w:divBdr>
                </w:div>
                <w:div w:id="294143714">
                  <w:marLeft w:val="0"/>
                  <w:marRight w:val="0"/>
                  <w:marTop w:val="0"/>
                  <w:marBottom w:val="0"/>
                  <w:divBdr>
                    <w:top w:val="none" w:sz="0" w:space="0" w:color="auto"/>
                    <w:left w:val="none" w:sz="0" w:space="0" w:color="auto"/>
                    <w:bottom w:val="none" w:sz="0" w:space="0" w:color="auto"/>
                    <w:right w:val="none" w:sz="0" w:space="0" w:color="auto"/>
                  </w:divBdr>
                </w:div>
                <w:div w:id="294143731">
                  <w:marLeft w:val="0"/>
                  <w:marRight w:val="0"/>
                  <w:marTop w:val="0"/>
                  <w:marBottom w:val="0"/>
                  <w:divBdr>
                    <w:top w:val="none" w:sz="0" w:space="0" w:color="auto"/>
                    <w:left w:val="none" w:sz="0" w:space="0" w:color="auto"/>
                    <w:bottom w:val="none" w:sz="0" w:space="0" w:color="auto"/>
                    <w:right w:val="none" w:sz="0" w:space="0" w:color="auto"/>
                  </w:divBdr>
                </w:div>
                <w:div w:id="294143993">
                  <w:marLeft w:val="0"/>
                  <w:marRight w:val="0"/>
                  <w:marTop w:val="0"/>
                  <w:marBottom w:val="0"/>
                  <w:divBdr>
                    <w:top w:val="none" w:sz="0" w:space="0" w:color="auto"/>
                    <w:left w:val="none" w:sz="0" w:space="0" w:color="auto"/>
                    <w:bottom w:val="none" w:sz="0" w:space="0" w:color="auto"/>
                    <w:right w:val="none" w:sz="0" w:space="0" w:color="auto"/>
                  </w:divBdr>
                </w:div>
                <w:div w:id="294144209">
                  <w:marLeft w:val="0"/>
                  <w:marRight w:val="0"/>
                  <w:marTop w:val="0"/>
                  <w:marBottom w:val="0"/>
                  <w:divBdr>
                    <w:top w:val="none" w:sz="0" w:space="0" w:color="auto"/>
                    <w:left w:val="none" w:sz="0" w:space="0" w:color="auto"/>
                    <w:bottom w:val="none" w:sz="0" w:space="0" w:color="auto"/>
                    <w:right w:val="none" w:sz="0" w:space="0" w:color="auto"/>
                  </w:divBdr>
                </w:div>
                <w:div w:id="294144501">
                  <w:marLeft w:val="0"/>
                  <w:marRight w:val="0"/>
                  <w:marTop w:val="0"/>
                  <w:marBottom w:val="0"/>
                  <w:divBdr>
                    <w:top w:val="none" w:sz="0" w:space="0" w:color="auto"/>
                    <w:left w:val="none" w:sz="0" w:space="0" w:color="auto"/>
                    <w:bottom w:val="none" w:sz="0" w:space="0" w:color="auto"/>
                    <w:right w:val="none" w:sz="0" w:space="0" w:color="auto"/>
                  </w:divBdr>
                </w:div>
                <w:div w:id="294144821">
                  <w:marLeft w:val="0"/>
                  <w:marRight w:val="0"/>
                  <w:marTop w:val="0"/>
                  <w:marBottom w:val="0"/>
                  <w:divBdr>
                    <w:top w:val="none" w:sz="0" w:space="0" w:color="auto"/>
                    <w:left w:val="none" w:sz="0" w:space="0" w:color="auto"/>
                    <w:bottom w:val="none" w:sz="0" w:space="0" w:color="auto"/>
                    <w:right w:val="none" w:sz="0" w:space="0" w:color="auto"/>
                  </w:divBdr>
                </w:div>
                <w:div w:id="294144849">
                  <w:marLeft w:val="0"/>
                  <w:marRight w:val="0"/>
                  <w:marTop w:val="0"/>
                  <w:marBottom w:val="0"/>
                  <w:divBdr>
                    <w:top w:val="none" w:sz="0" w:space="0" w:color="auto"/>
                    <w:left w:val="none" w:sz="0" w:space="0" w:color="auto"/>
                    <w:bottom w:val="none" w:sz="0" w:space="0" w:color="auto"/>
                    <w:right w:val="none" w:sz="0" w:space="0" w:color="auto"/>
                  </w:divBdr>
                </w:div>
                <w:div w:id="294144974">
                  <w:marLeft w:val="0"/>
                  <w:marRight w:val="0"/>
                  <w:marTop w:val="0"/>
                  <w:marBottom w:val="0"/>
                  <w:divBdr>
                    <w:top w:val="none" w:sz="0" w:space="0" w:color="auto"/>
                    <w:left w:val="none" w:sz="0" w:space="0" w:color="auto"/>
                    <w:bottom w:val="none" w:sz="0" w:space="0" w:color="auto"/>
                    <w:right w:val="none" w:sz="0" w:space="0" w:color="auto"/>
                  </w:divBdr>
                </w:div>
                <w:div w:id="294145107">
                  <w:marLeft w:val="0"/>
                  <w:marRight w:val="0"/>
                  <w:marTop w:val="0"/>
                  <w:marBottom w:val="0"/>
                  <w:divBdr>
                    <w:top w:val="none" w:sz="0" w:space="0" w:color="auto"/>
                    <w:left w:val="none" w:sz="0" w:space="0" w:color="auto"/>
                    <w:bottom w:val="none" w:sz="0" w:space="0" w:color="auto"/>
                    <w:right w:val="none" w:sz="0" w:space="0" w:color="auto"/>
                  </w:divBdr>
                </w:div>
                <w:div w:id="294145239">
                  <w:marLeft w:val="0"/>
                  <w:marRight w:val="0"/>
                  <w:marTop w:val="0"/>
                  <w:marBottom w:val="0"/>
                  <w:divBdr>
                    <w:top w:val="none" w:sz="0" w:space="0" w:color="auto"/>
                    <w:left w:val="none" w:sz="0" w:space="0" w:color="auto"/>
                    <w:bottom w:val="none" w:sz="0" w:space="0" w:color="auto"/>
                    <w:right w:val="none" w:sz="0" w:space="0" w:color="auto"/>
                  </w:divBdr>
                </w:div>
                <w:div w:id="294145398">
                  <w:marLeft w:val="0"/>
                  <w:marRight w:val="0"/>
                  <w:marTop w:val="0"/>
                  <w:marBottom w:val="0"/>
                  <w:divBdr>
                    <w:top w:val="none" w:sz="0" w:space="0" w:color="auto"/>
                    <w:left w:val="none" w:sz="0" w:space="0" w:color="auto"/>
                    <w:bottom w:val="none" w:sz="0" w:space="0" w:color="auto"/>
                    <w:right w:val="none" w:sz="0" w:space="0" w:color="auto"/>
                  </w:divBdr>
                </w:div>
                <w:div w:id="294145512">
                  <w:marLeft w:val="0"/>
                  <w:marRight w:val="0"/>
                  <w:marTop w:val="0"/>
                  <w:marBottom w:val="0"/>
                  <w:divBdr>
                    <w:top w:val="none" w:sz="0" w:space="0" w:color="auto"/>
                    <w:left w:val="none" w:sz="0" w:space="0" w:color="auto"/>
                    <w:bottom w:val="none" w:sz="0" w:space="0" w:color="auto"/>
                    <w:right w:val="none" w:sz="0" w:space="0" w:color="auto"/>
                  </w:divBdr>
                </w:div>
                <w:div w:id="294145606">
                  <w:marLeft w:val="0"/>
                  <w:marRight w:val="0"/>
                  <w:marTop w:val="0"/>
                  <w:marBottom w:val="0"/>
                  <w:divBdr>
                    <w:top w:val="none" w:sz="0" w:space="0" w:color="auto"/>
                    <w:left w:val="none" w:sz="0" w:space="0" w:color="auto"/>
                    <w:bottom w:val="none" w:sz="0" w:space="0" w:color="auto"/>
                    <w:right w:val="none" w:sz="0" w:space="0" w:color="auto"/>
                  </w:divBdr>
                </w:div>
                <w:div w:id="294146313">
                  <w:marLeft w:val="0"/>
                  <w:marRight w:val="0"/>
                  <w:marTop w:val="0"/>
                  <w:marBottom w:val="0"/>
                  <w:divBdr>
                    <w:top w:val="none" w:sz="0" w:space="0" w:color="auto"/>
                    <w:left w:val="none" w:sz="0" w:space="0" w:color="auto"/>
                    <w:bottom w:val="none" w:sz="0" w:space="0" w:color="auto"/>
                    <w:right w:val="none" w:sz="0" w:space="0" w:color="auto"/>
                  </w:divBdr>
                </w:div>
                <w:div w:id="294146376">
                  <w:marLeft w:val="0"/>
                  <w:marRight w:val="0"/>
                  <w:marTop w:val="0"/>
                  <w:marBottom w:val="0"/>
                  <w:divBdr>
                    <w:top w:val="none" w:sz="0" w:space="0" w:color="auto"/>
                    <w:left w:val="none" w:sz="0" w:space="0" w:color="auto"/>
                    <w:bottom w:val="none" w:sz="0" w:space="0" w:color="auto"/>
                    <w:right w:val="none" w:sz="0" w:space="0" w:color="auto"/>
                  </w:divBdr>
                </w:div>
                <w:div w:id="294146441">
                  <w:marLeft w:val="0"/>
                  <w:marRight w:val="0"/>
                  <w:marTop w:val="0"/>
                  <w:marBottom w:val="0"/>
                  <w:divBdr>
                    <w:top w:val="none" w:sz="0" w:space="0" w:color="auto"/>
                    <w:left w:val="none" w:sz="0" w:space="0" w:color="auto"/>
                    <w:bottom w:val="none" w:sz="0" w:space="0" w:color="auto"/>
                    <w:right w:val="none" w:sz="0" w:space="0" w:color="auto"/>
                  </w:divBdr>
                </w:div>
                <w:div w:id="294146604">
                  <w:marLeft w:val="0"/>
                  <w:marRight w:val="0"/>
                  <w:marTop w:val="0"/>
                  <w:marBottom w:val="0"/>
                  <w:divBdr>
                    <w:top w:val="none" w:sz="0" w:space="0" w:color="auto"/>
                    <w:left w:val="none" w:sz="0" w:space="0" w:color="auto"/>
                    <w:bottom w:val="none" w:sz="0" w:space="0" w:color="auto"/>
                    <w:right w:val="none" w:sz="0" w:space="0" w:color="auto"/>
                  </w:divBdr>
                </w:div>
                <w:div w:id="294147244">
                  <w:marLeft w:val="0"/>
                  <w:marRight w:val="0"/>
                  <w:marTop w:val="0"/>
                  <w:marBottom w:val="0"/>
                  <w:divBdr>
                    <w:top w:val="none" w:sz="0" w:space="0" w:color="auto"/>
                    <w:left w:val="none" w:sz="0" w:space="0" w:color="auto"/>
                    <w:bottom w:val="none" w:sz="0" w:space="0" w:color="auto"/>
                    <w:right w:val="none" w:sz="0" w:space="0" w:color="auto"/>
                  </w:divBdr>
                </w:div>
                <w:div w:id="294147577">
                  <w:marLeft w:val="0"/>
                  <w:marRight w:val="0"/>
                  <w:marTop w:val="0"/>
                  <w:marBottom w:val="0"/>
                  <w:divBdr>
                    <w:top w:val="none" w:sz="0" w:space="0" w:color="auto"/>
                    <w:left w:val="none" w:sz="0" w:space="0" w:color="auto"/>
                    <w:bottom w:val="none" w:sz="0" w:space="0" w:color="auto"/>
                    <w:right w:val="none" w:sz="0" w:space="0" w:color="auto"/>
                  </w:divBdr>
                </w:div>
                <w:div w:id="294147647">
                  <w:marLeft w:val="0"/>
                  <w:marRight w:val="0"/>
                  <w:marTop w:val="0"/>
                  <w:marBottom w:val="0"/>
                  <w:divBdr>
                    <w:top w:val="none" w:sz="0" w:space="0" w:color="auto"/>
                    <w:left w:val="none" w:sz="0" w:space="0" w:color="auto"/>
                    <w:bottom w:val="none" w:sz="0" w:space="0" w:color="auto"/>
                    <w:right w:val="none" w:sz="0" w:space="0" w:color="auto"/>
                  </w:divBdr>
                </w:div>
                <w:div w:id="294147733">
                  <w:marLeft w:val="0"/>
                  <w:marRight w:val="0"/>
                  <w:marTop w:val="0"/>
                  <w:marBottom w:val="0"/>
                  <w:divBdr>
                    <w:top w:val="none" w:sz="0" w:space="0" w:color="auto"/>
                    <w:left w:val="none" w:sz="0" w:space="0" w:color="auto"/>
                    <w:bottom w:val="none" w:sz="0" w:space="0" w:color="auto"/>
                    <w:right w:val="none" w:sz="0" w:space="0" w:color="auto"/>
                  </w:divBdr>
                </w:div>
                <w:div w:id="294147737">
                  <w:marLeft w:val="0"/>
                  <w:marRight w:val="0"/>
                  <w:marTop w:val="0"/>
                  <w:marBottom w:val="0"/>
                  <w:divBdr>
                    <w:top w:val="none" w:sz="0" w:space="0" w:color="auto"/>
                    <w:left w:val="none" w:sz="0" w:space="0" w:color="auto"/>
                    <w:bottom w:val="none" w:sz="0" w:space="0" w:color="auto"/>
                    <w:right w:val="none" w:sz="0" w:space="0" w:color="auto"/>
                  </w:divBdr>
                </w:div>
                <w:div w:id="294147836">
                  <w:marLeft w:val="0"/>
                  <w:marRight w:val="0"/>
                  <w:marTop w:val="0"/>
                  <w:marBottom w:val="0"/>
                  <w:divBdr>
                    <w:top w:val="none" w:sz="0" w:space="0" w:color="auto"/>
                    <w:left w:val="none" w:sz="0" w:space="0" w:color="auto"/>
                    <w:bottom w:val="none" w:sz="0" w:space="0" w:color="auto"/>
                    <w:right w:val="none" w:sz="0" w:space="0" w:color="auto"/>
                  </w:divBdr>
                </w:div>
                <w:div w:id="294148384">
                  <w:marLeft w:val="0"/>
                  <w:marRight w:val="0"/>
                  <w:marTop w:val="0"/>
                  <w:marBottom w:val="0"/>
                  <w:divBdr>
                    <w:top w:val="none" w:sz="0" w:space="0" w:color="auto"/>
                    <w:left w:val="none" w:sz="0" w:space="0" w:color="auto"/>
                    <w:bottom w:val="none" w:sz="0" w:space="0" w:color="auto"/>
                    <w:right w:val="none" w:sz="0" w:space="0" w:color="auto"/>
                  </w:divBdr>
                </w:div>
                <w:div w:id="294148443">
                  <w:marLeft w:val="0"/>
                  <w:marRight w:val="0"/>
                  <w:marTop w:val="0"/>
                  <w:marBottom w:val="0"/>
                  <w:divBdr>
                    <w:top w:val="none" w:sz="0" w:space="0" w:color="auto"/>
                    <w:left w:val="none" w:sz="0" w:space="0" w:color="auto"/>
                    <w:bottom w:val="none" w:sz="0" w:space="0" w:color="auto"/>
                    <w:right w:val="none" w:sz="0" w:space="0" w:color="auto"/>
                  </w:divBdr>
                </w:div>
                <w:div w:id="294148524">
                  <w:marLeft w:val="0"/>
                  <w:marRight w:val="0"/>
                  <w:marTop w:val="0"/>
                  <w:marBottom w:val="0"/>
                  <w:divBdr>
                    <w:top w:val="none" w:sz="0" w:space="0" w:color="auto"/>
                    <w:left w:val="none" w:sz="0" w:space="0" w:color="auto"/>
                    <w:bottom w:val="none" w:sz="0" w:space="0" w:color="auto"/>
                    <w:right w:val="none" w:sz="0" w:space="0" w:color="auto"/>
                  </w:divBdr>
                </w:div>
                <w:div w:id="294148565">
                  <w:marLeft w:val="0"/>
                  <w:marRight w:val="0"/>
                  <w:marTop w:val="0"/>
                  <w:marBottom w:val="0"/>
                  <w:divBdr>
                    <w:top w:val="none" w:sz="0" w:space="0" w:color="auto"/>
                    <w:left w:val="none" w:sz="0" w:space="0" w:color="auto"/>
                    <w:bottom w:val="none" w:sz="0" w:space="0" w:color="auto"/>
                    <w:right w:val="none" w:sz="0" w:space="0" w:color="auto"/>
                  </w:divBdr>
                </w:div>
                <w:div w:id="294148607">
                  <w:marLeft w:val="0"/>
                  <w:marRight w:val="0"/>
                  <w:marTop w:val="0"/>
                  <w:marBottom w:val="0"/>
                  <w:divBdr>
                    <w:top w:val="none" w:sz="0" w:space="0" w:color="auto"/>
                    <w:left w:val="none" w:sz="0" w:space="0" w:color="auto"/>
                    <w:bottom w:val="none" w:sz="0" w:space="0" w:color="auto"/>
                    <w:right w:val="none" w:sz="0" w:space="0" w:color="auto"/>
                  </w:divBdr>
                </w:div>
                <w:div w:id="294148621">
                  <w:marLeft w:val="0"/>
                  <w:marRight w:val="0"/>
                  <w:marTop w:val="0"/>
                  <w:marBottom w:val="0"/>
                  <w:divBdr>
                    <w:top w:val="none" w:sz="0" w:space="0" w:color="auto"/>
                    <w:left w:val="none" w:sz="0" w:space="0" w:color="auto"/>
                    <w:bottom w:val="none" w:sz="0" w:space="0" w:color="auto"/>
                    <w:right w:val="none" w:sz="0" w:space="0" w:color="auto"/>
                  </w:divBdr>
                </w:div>
                <w:div w:id="294149273">
                  <w:marLeft w:val="0"/>
                  <w:marRight w:val="0"/>
                  <w:marTop w:val="0"/>
                  <w:marBottom w:val="0"/>
                  <w:divBdr>
                    <w:top w:val="none" w:sz="0" w:space="0" w:color="auto"/>
                    <w:left w:val="none" w:sz="0" w:space="0" w:color="auto"/>
                    <w:bottom w:val="none" w:sz="0" w:space="0" w:color="auto"/>
                    <w:right w:val="none" w:sz="0" w:space="0" w:color="auto"/>
                  </w:divBdr>
                </w:div>
                <w:div w:id="294149466">
                  <w:marLeft w:val="0"/>
                  <w:marRight w:val="0"/>
                  <w:marTop w:val="0"/>
                  <w:marBottom w:val="0"/>
                  <w:divBdr>
                    <w:top w:val="none" w:sz="0" w:space="0" w:color="auto"/>
                    <w:left w:val="none" w:sz="0" w:space="0" w:color="auto"/>
                    <w:bottom w:val="none" w:sz="0" w:space="0" w:color="auto"/>
                    <w:right w:val="none" w:sz="0" w:space="0" w:color="auto"/>
                  </w:divBdr>
                </w:div>
                <w:div w:id="294149492">
                  <w:marLeft w:val="0"/>
                  <w:marRight w:val="0"/>
                  <w:marTop w:val="0"/>
                  <w:marBottom w:val="0"/>
                  <w:divBdr>
                    <w:top w:val="none" w:sz="0" w:space="0" w:color="auto"/>
                    <w:left w:val="none" w:sz="0" w:space="0" w:color="auto"/>
                    <w:bottom w:val="none" w:sz="0" w:space="0" w:color="auto"/>
                    <w:right w:val="none" w:sz="0" w:space="0" w:color="auto"/>
                  </w:divBdr>
                </w:div>
                <w:div w:id="294149955">
                  <w:marLeft w:val="0"/>
                  <w:marRight w:val="0"/>
                  <w:marTop w:val="0"/>
                  <w:marBottom w:val="0"/>
                  <w:divBdr>
                    <w:top w:val="none" w:sz="0" w:space="0" w:color="auto"/>
                    <w:left w:val="none" w:sz="0" w:space="0" w:color="auto"/>
                    <w:bottom w:val="none" w:sz="0" w:space="0" w:color="auto"/>
                    <w:right w:val="none" w:sz="0" w:space="0" w:color="auto"/>
                  </w:divBdr>
                </w:div>
                <w:div w:id="294150160">
                  <w:marLeft w:val="0"/>
                  <w:marRight w:val="0"/>
                  <w:marTop w:val="0"/>
                  <w:marBottom w:val="0"/>
                  <w:divBdr>
                    <w:top w:val="none" w:sz="0" w:space="0" w:color="auto"/>
                    <w:left w:val="none" w:sz="0" w:space="0" w:color="auto"/>
                    <w:bottom w:val="none" w:sz="0" w:space="0" w:color="auto"/>
                    <w:right w:val="none" w:sz="0" w:space="0" w:color="auto"/>
                  </w:divBdr>
                </w:div>
                <w:div w:id="294150210">
                  <w:marLeft w:val="0"/>
                  <w:marRight w:val="0"/>
                  <w:marTop w:val="0"/>
                  <w:marBottom w:val="0"/>
                  <w:divBdr>
                    <w:top w:val="none" w:sz="0" w:space="0" w:color="auto"/>
                    <w:left w:val="none" w:sz="0" w:space="0" w:color="auto"/>
                    <w:bottom w:val="none" w:sz="0" w:space="0" w:color="auto"/>
                    <w:right w:val="none" w:sz="0" w:space="0" w:color="auto"/>
                  </w:divBdr>
                </w:div>
                <w:div w:id="294150545">
                  <w:marLeft w:val="0"/>
                  <w:marRight w:val="0"/>
                  <w:marTop w:val="0"/>
                  <w:marBottom w:val="0"/>
                  <w:divBdr>
                    <w:top w:val="none" w:sz="0" w:space="0" w:color="auto"/>
                    <w:left w:val="none" w:sz="0" w:space="0" w:color="auto"/>
                    <w:bottom w:val="none" w:sz="0" w:space="0" w:color="auto"/>
                    <w:right w:val="none" w:sz="0" w:space="0" w:color="auto"/>
                  </w:divBdr>
                </w:div>
                <w:div w:id="294150565">
                  <w:marLeft w:val="0"/>
                  <w:marRight w:val="0"/>
                  <w:marTop w:val="0"/>
                  <w:marBottom w:val="0"/>
                  <w:divBdr>
                    <w:top w:val="none" w:sz="0" w:space="0" w:color="auto"/>
                    <w:left w:val="none" w:sz="0" w:space="0" w:color="auto"/>
                    <w:bottom w:val="none" w:sz="0" w:space="0" w:color="auto"/>
                    <w:right w:val="none" w:sz="0" w:space="0" w:color="auto"/>
                  </w:divBdr>
                </w:div>
                <w:div w:id="294150612">
                  <w:marLeft w:val="0"/>
                  <w:marRight w:val="0"/>
                  <w:marTop w:val="0"/>
                  <w:marBottom w:val="0"/>
                  <w:divBdr>
                    <w:top w:val="none" w:sz="0" w:space="0" w:color="auto"/>
                    <w:left w:val="none" w:sz="0" w:space="0" w:color="auto"/>
                    <w:bottom w:val="none" w:sz="0" w:space="0" w:color="auto"/>
                    <w:right w:val="none" w:sz="0" w:space="0" w:color="auto"/>
                  </w:divBdr>
                </w:div>
                <w:div w:id="294150833">
                  <w:marLeft w:val="0"/>
                  <w:marRight w:val="0"/>
                  <w:marTop w:val="0"/>
                  <w:marBottom w:val="0"/>
                  <w:divBdr>
                    <w:top w:val="none" w:sz="0" w:space="0" w:color="auto"/>
                    <w:left w:val="none" w:sz="0" w:space="0" w:color="auto"/>
                    <w:bottom w:val="none" w:sz="0" w:space="0" w:color="auto"/>
                    <w:right w:val="none" w:sz="0" w:space="0" w:color="auto"/>
                  </w:divBdr>
                </w:div>
                <w:div w:id="294151222">
                  <w:marLeft w:val="0"/>
                  <w:marRight w:val="0"/>
                  <w:marTop w:val="0"/>
                  <w:marBottom w:val="0"/>
                  <w:divBdr>
                    <w:top w:val="none" w:sz="0" w:space="0" w:color="auto"/>
                    <w:left w:val="none" w:sz="0" w:space="0" w:color="auto"/>
                    <w:bottom w:val="none" w:sz="0" w:space="0" w:color="auto"/>
                    <w:right w:val="none" w:sz="0" w:space="0" w:color="auto"/>
                  </w:divBdr>
                </w:div>
                <w:div w:id="294151319">
                  <w:marLeft w:val="0"/>
                  <w:marRight w:val="0"/>
                  <w:marTop w:val="0"/>
                  <w:marBottom w:val="0"/>
                  <w:divBdr>
                    <w:top w:val="none" w:sz="0" w:space="0" w:color="auto"/>
                    <w:left w:val="none" w:sz="0" w:space="0" w:color="auto"/>
                    <w:bottom w:val="none" w:sz="0" w:space="0" w:color="auto"/>
                    <w:right w:val="none" w:sz="0" w:space="0" w:color="auto"/>
                  </w:divBdr>
                </w:div>
                <w:div w:id="294151656">
                  <w:marLeft w:val="0"/>
                  <w:marRight w:val="0"/>
                  <w:marTop w:val="0"/>
                  <w:marBottom w:val="0"/>
                  <w:divBdr>
                    <w:top w:val="none" w:sz="0" w:space="0" w:color="auto"/>
                    <w:left w:val="none" w:sz="0" w:space="0" w:color="auto"/>
                    <w:bottom w:val="none" w:sz="0" w:space="0" w:color="auto"/>
                    <w:right w:val="none" w:sz="0" w:space="0" w:color="auto"/>
                  </w:divBdr>
                </w:div>
                <w:div w:id="294151720">
                  <w:marLeft w:val="0"/>
                  <w:marRight w:val="0"/>
                  <w:marTop w:val="0"/>
                  <w:marBottom w:val="0"/>
                  <w:divBdr>
                    <w:top w:val="none" w:sz="0" w:space="0" w:color="auto"/>
                    <w:left w:val="none" w:sz="0" w:space="0" w:color="auto"/>
                    <w:bottom w:val="none" w:sz="0" w:space="0" w:color="auto"/>
                    <w:right w:val="none" w:sz="0" w:space="0" w:color="auto"/>
                  </w:divBdr>
                </w:div>
                <w:div w:id="294151904">
                  <w:marLeft w:val="0"/>
                  <w:marRight w:val="0"/>
                  <w:marTop w:val="0"/>
                  <w:marBottom w:val="0"/>
                  <w:divBdr>
                    <w:top w:val="none" w:sz="0" w:space="0" w:color="auto"/>
                    <w:left w:val="none" w:sz="0" w:space="0" w:color="auto"/>
                    <w:bottom w:val="none" w:sz="0" w:space="0" w:color="auto"/>
                    <w:right w:val="none" w:sz="0" w:space="0" w:color="auto"/>
                  </w:divBdr>
                </w:div>
                <w:div w:id="294152275">
                  <w:marLeft w:val="0"/>
                  <w:marRight w:val="0"/>
                  <w:marTop w:val="0"/>
                  <w:marBottom w:val="0"/>
                  <w:divBdr>
                    <w:top w:val="none" w:sz="0" w:space="0" w:color="auto"/>
                    <w:left w:val="none" w:sz="0" w:space="0" w:color="auto"/>
                    <w:bottom w:val="none" w:sz="0" w:space="0" w:color="auto"/>
                    <w:right w:val="none" w:sz="0" w:space="0" w:color="auto"/>
                  </w:divBdr>
                </w:div>
                <w:div w:id="294152390">
                  <w:marLeft w:val="0"/>
                  <w:marRight w:val="0"/>
                  <w:marTop w:val="0"/>
                  <w:marBottom w:val="0"/>
                  <w:divBdr>
                    <w:top w:val="none" w:sz="0" w:space="0" w:color="auto"/>
                    <w:left w:val="none" w:sz="0" w:space="0" w:color="auto"/>
                    <w:bottom w:val="none" w:sz="0" w:space="0" w:color="auto"/>
                    <w:right w:val="none" w:sz="0" w:space="0" w:color="auto"/>
                  </w:divBdr>
                </w:div>
                <w:div w:id="294152797">
                  <w:marLeft w:val="0"/>
                  <w:marRight w:val="0"/>
                  <w:marTop w:val="0"/>
                  <w:marBottom w:val="0"/>
                  <w:divBdr>
                    <w:top w:val="none" w:sz="0" w:space="0" w:color="auto"/>
                    <w:left w:val="none" w:sz="0" w:space="0" w:color="auto"/>
                    <w:bottom w:val="none" w:sz="0" w:space="0" w:color="auto"/>
                    <w:right w:val="none" w:sz="0" w:space="0" w:color="auto"/>
                  </w:divBdr>
                </w:div>
                <w:div w:id="294152865">
                  <w:marLeft w:val="0"/>
                  <w:marRight w:val="0"/>
                  <w:marTop w:val="0"/>
                  <w:marBottom w:val="0"/>
                  <w:divBdr>
                    <w:top w:val="none" w:sz="0" w:space="0" w:color="auto"/>
                    <w:left w:val="none" w:sz="0" w:space="0" w:color="auto"/>
                    <w:bottom w:val="none" w:sz="0" w:space="0" w:color="auto"/>
                    <w:right w:val="none" w:sz="0" w:space="0" w:color="auto"/>
                  </w:divBdr>
                </w:div>
                <w:div w:id="294152891">
                  <w:marLeft w:val="0"/>
                  <w:marRight w:val="0"/>
                  <w:marTop w:val="0"/>
                  <w:marBottom w:val="0"/>
                  <w:divBdr>
                    <w:top w:val="none" w:sz="0" w:space="0" w:color="auto"/>
                    <w:left w:val="none" w:sz="0" w:space="0" w:color="auto"/>
                    <w:bottom w:val="none" w:sz="0" w:space="0" w:color="auto"/>
                    <w:right w:val="none" w:sz="0" w:space="0" w:color="auto"/>
                  </w:divBdr>
                </w:div>
                <w:div w:id="294152932">
                  <w:marLeft w:val="0"/>
                  <w:marRight w:val="0"/>
                  <w:marTop w:val="0"/>
                  <w:marBottom w:val="0"/>
                  <w:divBdr>
                    <w:top w:val="none" w:sz="0" w:space="0" w:color="auto"/>
                    <w:left w:val="none" w:sz="0" w:space="0" w:color="auto"/>
                    <w:bottom w:val="none" w:sz="0" w:space="0" w:color="auto"/>
                    <w:right w:val="none" w:sz="0" w:space="0" w:color="auto"/>
                  </w:divBdr>
                </w:div>
                <w:div w:id="294153053">
                  <w:marLeft w:val="0"/>
                  <w:marRight w:val="0"/>
                  <w:marTop w:val="0"/>
                  <w:marBottom w:val="0"/>
                  <w:divBdr>
                    <w:top w:val="none" w:sz="0" w:space="0" w:color="auto"/>
                    <w:left w:val="none" w:sz="0" w:space="0" w:color="auto"/>
                    <w:bottom w:val="none" w:sz="0" w:space="0" w:color="auto"/>
                    <w:right w:val="none" w:sz="0" w:space="0" w:color="auto"/>
                  </w:divBdr>
                </w:div>
                <w:div w:id="294153226">
                  <w:marLeft w:val="0"/>
                  <w:marRight w:val="0"/>
                  <w:marTop w:val="0"/>
                  <w:marBottom w:val="0"/>
                  <w:divBdr>
                    <w:top w:val="none" w:sz="0" w:space="0" w:color="auto"/>
                    <w:left w:val="none" w:sz="0" w:space="0" w:color="auto"/>
                    <w:bottom w:val="none" w:sz="0" w:space="0" w:color="auto"/>
                    <w:right w:val="none" w:sz="0" w:space="0" w:color="auto"/>
                  </w:divBdr>
                </w:div>
                <w:div w:id="294153341">
                  <w:marLeft w:val="0"/>
                  <w:marRight w:val="0"/>
                  <w:marTop w:val="0"/>
                  <w:marBottom w:val="0"/>
                  <w:divBdr>
                    <w:top w:val="none" w:sz="0" w:space="0" w:color="auto"/>
                    <w:left w:val="none" w:sz="0" w:space="0" w:color="auto"/>
                    <w:bottom w:val="none" w:sz="0" w:space="0" w:color="auto"/>
                    <w:right w:val="none" w:sz="0" w:space="0" w:color="auto"/>
                  </w:divBdr>
                </w:div>
                <w:div w:id="294153943">
                  <w:marLeft w:val="0"/>
                  <w:marRight w:val="0"/>
                  <w:marTop w:val="0"/>
                  <w:marBottom w:val="0"/>
                  <w:divBdr>
                    <w:top w:val="none" w:sz="0" w:space="0" w:color="auto"/>
                    <w:left w:val="none" w:sz="0" w:space="0" w:color="auto"/>
                    <w:bottom w:val="none" w:sz="0" w:space="0" w:color="auto"/>
                    <w:right w:val="none" w:sz="0" w:space="0" w:color="auto"/>
                  </w:divBdr>
                </w:div>
                <w:div w:id="294154076">
                  <w:marLeft w:val="0"/>
                  <w:marRight w:val="0"/>
                  <w:marTop w:val="0"/>
                  <w:marBottom w:val="0"/>
                  <w:divBdr>
                    <w:top w:val="none" w:sz="0" w:space="0" w:color="auto"/>
                    <w:left w:val="none" w:sz="0" w:space="0" w:color="auto"/>
                    <w:bottom w:val="none" w:sz="0" w:space="0" w:color="auto"/>
                    <w:right w:val="none" w:sz="0" w:space="0" w:color="auto"/>
                  </w:divBdr>
                </w:div>
                <w:div w:id="294154125">
                  <w:marLeft w:val="0"/>
                  <w:marRight w:val="0"/>
                  <w:marTop w:val="0"/>
                  <w:marBottom w:val="0"/>
                  <w:divBdr>
                    <w:top w:val="none" w:sz="0" w:space="0" w:color="auto"/>
                    <w:left w:val="none" w:sz="0" w:space="0" w:color="auto"/>
                    <w:bottom w:val="none" w:sz="0" w:space="0" w:color="auto"/>
                    <w:right w:val="none" w:sz="0" w:space="0" w:color="auto"/>
                  </w:divBdr>
                </w:div>
                <w:div w:id="294154795">
                  <w:marLeft w:val="0"/>
                  <w:marRight w:val="0"/>
                  <w:marTop w:val="0"/>
                  <w:marBottom w:val="0"/>
                  <w:divBdr>
                    <w:top w:val="none" w:sz="0" w:space="0" w:color="auto"/>
                    <w:left w:val="none" w:sz="0" w:space="0" w:color="auto"/>
                    <w:bottom w:val="none" w:sz="0" w:space="0" w:color="auto"/>
                    <w:right w:val="none" w:sz="0" w:space="0" w:color="auto"/>
                  </w:divBdr>
                </w:div>
                <w:div w:id="294154865">
                  <w:marLeft w:val="0"/>
                  <w:marRight w:val="0"/>
                  <w:marTop w:val="0"/>
                  <w:marBottom w:val="0"/>
                  <w:divBdr>
                    <w:top w:val="none" w:sz="0" w:space="0" w:color="auto"/>
                    <w:left w:val="none" w:sz="0" w:space="0" w:color="auto"/>
                    <w:bottom w:val="none" w:sz="0" w:space="0" w:color="auto"/>
                    <w:right w:val="none" w:sz="0" w:space="0" w:color="auto"/>
                  </w:divBdr>
                </w:div>
                <w:div w:id="294154869">
                  <w:marLeft w:val="0"/>
                  <w:marRight w:val="0"/>
                  <w:marTop w:val="0"/>
                  <w:marBottom w:val="0"/>
                  <w:divBdr>
                    <w:top w:val="none" w:sz="0" w:space="0" w:color="auto"/>
                    <w:left w:val="none" w:sz="0" w:space="0" w:color="auto"/>
                    <w:bottom w:val="none" w:sz="0" w:space="0" w:color="auto"/>
                    <w:right w:val="none" w:sz="0" w:space="0" w:color="auto"/>
                  </w:divBdr>
                </w:div>
                <w:div w:id="294155502">
                  <w:marLeft w:val="0"/>
                  <w:marRight w:val="0"/>
                  <w:marTop w:val="0"/>
                  <w:marBottom w:val="0"/>
                  <w:divBdr>
                    <w:top w:val="none" w:sz="0" w:space="0" w:color="auto"/>
                    <w:left w:val="none" w:sz="0" w:space="0" w:color="auto"/>
                    <w:bottom w:val="none" w:sz="0" w:space="0" w:color="auto"/>
                    <w:right w:val="none" w:sz="0" w:space="0" w:color="auto"/>
                  </w:divBdr>
                </w:div>
                <w:div w:id="294155904">
                  <w:marLeft w:val="0"/>
                  <w:marRight w:val="0"/>
                  <w:marTop w:val="0"/>
                  <w:marBottom w:val="0"/>
                  <w:divBdr>
                    <w:top w:val="none" w:sz="0" w:space="0" w:color="auto"/>
                    <w:left w:val="none" w:sz="0" w:space="0" w:color="auto"/>
                    <w:bottom w:val="none" w:sz="0" w:space="0" w:color="auto"/>
                    <w:right w:val="none" w:sz="0" w:space="0" w:color="auto"/>
                  </w:divBdr>
                </w:div>
                <w:div w:id="294155931">
                  <w:marLeft w:val="0"/>
                  <w:marRight w:val="0"/>
                  <w:marTop w:val="0"/>
                  <w:marBottom w:val="0"/>
                  <w:divBdr>
                    <w:top w:val="none" w:sz="0" w:space="0" w:color="auto"/>
                    <w:left w:val="none" w:sz="0" w:space="0" w:color="auto"/>
                    <w:bottom w:val="none" w:sz="0" w:space="0" w:color="auto"/>
                    <w:right w:val="none" w:sz="0" w:space="0" w:color="auto"/>
                  </w:divBdr>
                </w:div>
                <w:div w:id="294155952">
                  <w:marLeft w:val="0"/>
                  <w:marRight w:val="0"/>
                  <w:marTop w:val="0"/>
                  <w:marBottom w:val="0"/>
                  <w:divBdr>
                    <w:top w:val="none" w:sz="0" w:space="0" w:color="auto"/>
                    <w:left w:val="none" w:sz="0" w:space="0" w:color="auto"/>
                    <w:bottom w:val="none" w:sz="0" w:space="0" w:color="auto"/>
                    <w:right w:val="none" w:sz="0" w:space="0" w:color="auto"/>
                  </w:divBdr>
                </w:div>
                <w:div w:id="294156098">
                  <w:marLeft w:val="0"/>
                  <w:marRight w:val="0"/>
                  <w:marTop w:val="0"/>
                  <w:marBottom w:val="0"/>
                  <w:divBdr>
                    <w:top w:val="none" w:sz="0" w:space="0" w:color="auto"/>
                    <w:left w:val="none" w:sz="0" w:space="0" w:color="auto"/>
                    <w:bottom w:val="none" w:sz="0" w:space="0" w:color="auto"/>
                    <w:right w:val="none" w:sz="0" w:space="0" w:color="auto"/>
                  </w:divBdr>
                </w:div>
                <w:div w:id="294156338">
                  <w:marLeft w:val="0"/>
                  <w:marRight w:val="0"/>
                  <w:marTop w:val="0"/>
                  <w:marBottom w:val="0"/>
                  <w:divBdr>
                    <w:top w:val="none" w:sz="0" w:space="0" w:color="auto"/>
                    <w:left w:val="none" w:sz="0" w:space="0" w:color="auto"/>
                    <w:bottom w:val="none" w:sz="0" w:space="0" w:color="auto"/>
                    <w:right w:val="none" w:sz="0" w:space="0" w:color="auto"/>
                  </w:divBdr>
                </w:div>
                <w:div w:id="294156503">
                  <w:marLeft w:val="0"/>
                  <w:marRight w:val="0"/>
                  <w:marTop w:val="0"/>
                  <w:marBottom w:val="0"/>
                  <w:divBdr>
                    <w:top w:val="none" w:sz="0" w:space="0" w:color="auto"/>
                    <w:left w:val="none" w:sz="0" w:space="0" w:color="auto"/>
                    <w:bottom w:val="none" w:sz="0" w:space="0" w:color="auto"/>
                    <w:right w:val="none" w:sz="0" w:space="0" w:color="auto"/>
                  </w:divBdr>
                </w:div>
                <w:div w:id="294156659">
                  <w:marLeft w:val="0"/>
                  <w:marRight w:val="0"/>
                  <w:marTop w:val="0"/>
                  <w:marBottom w:val="0"/>
                  <w:divBdr>
                    <w:top w:val="none" w:sz="0" w:space="0" w:color="auto"/>
                    <w:left w:val="none" w:sz="0" w:space="0" w:color="auto"/>
                    <w:bottom w:val="none" w:sz="0" w:space="0" w:color="auto"/>
                    <w:right w:val="none" w:sz="0" w:space="0" w:color="auto"/>
                  </w:divBdr>
                </w:div>
                <w:div w:id="294156700">
                  <w:marLeft w:val="0"/>
                  <w:marRight w:val="0"/>
                  <w:marTop w:val="0"/>
                  <w:marBottom w:val="0"/>
                  <w:divBdr>
                    <w:top w:val="none" w:sz="0" w:space="0" w:color="auto"/>
                    <w:left w:val="none" w:sz="0" w:space="0" w:color="auto"/>
                    <w:bottom w:val="none" w:sz="0" w:space="0" w:color="auto"/>
                    <w:right w:val="none" w:sz="0" w:space="0" w:color="auto"/>
                  </w:divBdr>
                </w:div>
                <w:div w:id="294156835">
                  <w:marLeft w:val="0"/>
                  <w:marRight w:val="0"/>
                  <w:marTop w:val="0"/>
                  <w:marBottom w:val="0"/>
                  <w:divBdr>
                    <w:top w:val="none" w:sz="0" w:space="0" w:color="auto"/>
                    <w:left w:val="none" w:sz="0" w:space="0" w:color="auto"/>
                    <w:bottom w:val="none" w:sz="0" w:space="0" w:color="auto"/>
                    <w:right w:val="none" w:sz="0" w:space="0" w:color="auto"/>
                  </w:divBdr>
                </w:div>
                <w:div w:id="2941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5968">
          <w:marLeft w:val="0"/>
          <w:marRight w:val="0"/>
          <w:marTop w:val="0"/>
          <w:marBottom w:val="0"/>
          <w:divBdr>
            <w:top w:val="none" w:sz="0" w:space="0" w:color="auto"/>
            <w:left w:val="none" w:sz="0" w:space="0" w:color="auto"/>
            <w:bottom w:val="none" w:sz="0" w:space="0" w:color="auto"/>
            <w:right w:val="none" w:sz="0" w:space="0" w:color="auto"/>
          </w:divBdr>
          <w:divsChild>
            <w:div w:id="294151828">
              <w:marLeft w:val="0"/>
              <w:marRight w:val="0"/>
              <w:marTop w:val="0"/>
              <w:marBottom w:val="0"/>
              <w:divBdr>
                <w:top w:val="none" w:sz="0" w:space="0" w:color="auto"/>
                <w:left w:val="none" w:sz="0" w:space="0" w:color="auto"/>
                <w:bottom w:val="none" w:sz="0" w:space="0" w:color="auto"/>
                <w:right w:val="none" w:sz="0" w:space="0" w:color="auto"/>
              </w:divBdr>
              <w:divsChild>
                <w:div w:id="294139237">
                  <w:marLeft w:val="0"/>
                  <w:marRight w:val="0"/>
                  <w:marTop w:val="0"/>
                  <w:marBottom w:val="0"/>
                  <w:divBdr>
                    <w:top w:val="none" w:sz="0" w:space="0" w:color="auto"/>
                    <w:left w:val="none" w:sz="0" w:space="0" w:color="auto"/>
                    <w:bottom w:val="none" w:sz="0" w:space="0" w:color="auto"/>
                    <w:right w:val="none" w:sz="0" w:space="0" w:color="auto"/>
                  </w:divBdr>
                  <w:divsChild>
                    <w:div w:id="294137987">
                      <w:marLeft w:val="0"/>
                      <w:marRight w:val="0"/>
                      <w:marTop w:val="0"/>
                      <w:marBottom w:val="0"/>
                      <w:divBdr>
                        <w:top w:val="none" w:sz="0" w:space="0" w:color="auto"/>
                        <w:left w:val="none" w:sz="0" w:space="0" w:color="auto"/>
                        <w:bottom w:val="none" w:sz="0" w:space="0" w:color="auto"/>
                        <w:right w:val="none" w:sz="0" w:space="0" w:color="auto"/>
                      </w:divBdr>
                      <w:divsChild>
                        <w:div w:id="294142329">
                          <w:marLeft w:val="0"/>
                          <w:marRight w:val="0"/>
                          <w:marTop w:val="0"/>
                          <w:marBottom w:val="0"/>
                          <w:divBdr>
                            <w:top w:val="none" w:sz="0" w:space="0" w:color="auto"/>
                            <w:left w:val="none" w:sz="0" w:space="0" w:color="auto"/>
                            <w:bottom w:val="none" w:sz="0" w:space="0" w:color="auto"/>
                            <w:right w:val="none" w:sz="0" w:space="0" w:color="auto"/>
                          </w:divBdr>
                        </w:div>
                      </w:divsChild>
                    </w:div>
                    <w:div w:id="294138060">
                      <w:marLeft w:val="0"/>
                      <w:marRight w:val="0"/>
                      <w:marTop w:val="0"/>
                      <w:marBottom w:val="0"/>
                      <w:divBdr>
                        <w:top w:val="none" w:sz="0" w:space="0" w:color="auto"/>
                        <w:left w:val="none" w:sz="0" w:space="0" w:color="auto"/>
                        <w:bottom w:val="none" w:sz="0" w:space="0" w:color="auto"/>
                        <w:right w:val="none" w:sz="0" w:space="0" w:color="auto"/>
                      </w:divBdr>
                    </w:div>
                    <w:div w:id="294138128">
                      <w:marLeft w:val="0"/>
                      <w:marRight w:val="0"/>
                      <w:marTop w:val="0"/>
                      <w:marBottom w:val="0"/>
                      <w:divBdr>
                        <w:top w:val="none" w:sz="0" w:space="0" w:color="auto"/>
                        <w:left w:val="none" w:sz="0" w:space="0" w:color="auto"/>
                        <w:bottom w:val="none" w:sz="0" w:space="0" w:color="auto"/>
                        <w:right w:val="none" w:sz="0" w:space="0" w:color="auto"/>
                      </w:divBdr>
                      <w:divsChild>
                        <w:div w:id="294152754">
                          <w:marLeft w:val="0"/>
                          <w:marRight w:val="0"/>
                          <w:marTop w:val="0"/>
                          <w:marBottom w:val="0"/>
                          <w:divBdr>
                            <w:top w:val="none" w:sz="0" w:space="0" w:color="auto"/>
                            <w:left w:val="none" w:sz="0" w:space="0" w:color="auto"/>
                            <w:bottom w:val="none" w:sz="0" w:space="0" w:color="auto"/>
                            <w:right w:val="none" w:sz="0" w:space="0" w:color="auto"/>
                          </w:divBdr>
                        </w:div>
                      </w:divsChild>
                    </w:div>
                    <w:div w:id="294138143">
                      <w:marLeft w:val="0"/>
                      <w:marRight w:val="0"/>
                      <w:marTop w:val="0"/>
                      <w:marBottom w:val="0"/>
                      <w:divBdr>
                        <w:top w:val="none" w:sz="0" w:space="0" w:color="auto"/>
                        <w:left w:val="none" w:sz="0" w:space="0" w:color="auto"/>
                        <w:bottom w:val="none" w:sz="0" w:space="0" w:color="auto"/>
                        <w:right w:val="none" w:sz="0" w:space="0" w:color="auto"/>
                      </w:divBdr>
                    </w:div>
                    <w:div w:id="294138742">
                      <w:marLeft w:val="0"/>
                      <w:marRight w:val="0"/>
                      <w:marTop w:val="0"/>
                      <w:marBottom w:val="0"/>
                      <w:divBdr>
                        <w:top w:val="none" w:sz="0" w:space="0" w:color="auto"/>
                        <w:left w:val="none" w:sz="0" w:space="0" w:color="auto"/>
                        <w:bottom w:val="none" w:sz="0" w:space="0" w:color="auto"/>
                        <w:right w:val="none" w:sz="0" w:space="0" w:color="auto"/>
                      </w:divBdr>
                      <w:divsChild>
                        <w:div w:id="294153778">
                          <w:marLeft w:val="0"/>
                          <w:marRight w:val="0"/>
                          <w:marTop w:val="0"/>
                          <w:marBottom w:val="0"/>
                          <w:divBdr>
                            <w:top w:val="none" w:sz="0" w:space="0" w:color="auto"/>
                            <w:left w:val="none" w:sz="0" w:space="0" w:color="auto"/>
                            <w:bottom w:val="none" w:sz="0" w:space="0" w:color="auto"/>
                            <w:right w:val="none" w:sz="0" w:space="0" w:color="auto"/>
                          </w:divBdr>
                        </w:div>
                      </w:divsChild>
                    </w:div>
                    <w:div w:id="294139239">
                      <w:marLeft w:val="0"/>
                      <w:marRight w:val="0"/>
                      <w:marTop w:val="0"/>
                      <w:marBottom w:val="0"/>
                      <w:divBdr>
                        <w:top w:val="none" w:sz="0" w:space="0" w:color="auto"/>
                        <w:left w:val="none" w:sz="0" w:space="0" w:color="auto"/>
                        <w:bottom w:val="none" w:sz="0" w:space="0" w:color="auto"/>
                        <w:right w:val="none" w:sz="0" w:space="0" w:color="auto"/>
                      </w:divBdr>
                      <w:divsChild>
                        <w:div w:id="294139843">
                          <w:marLeft w:val="0"/>
                          <w:marRight w:val="0"/>
                          <w:marTop w:val="0"/>
                          <w:marBottom w:val="0"/>
                          <w:divBdr>
                            <w:top w:val="none" w:sz="0" w:space="0" w:color="auto"/>
                            <w:left w:val="none" w:sz="0" w:space="0" w:color="auto"/>
                            <w:bottom w:val="none" w:sz="0" w:space="0" w:color="auto"/>
                            <w:right w:val="none" w:sz="0" w:space="0" w:color="auto"/>
                          </w:divBdr>
                        </w:div>
                      </w:divsChild>
                    </w:div>
                    <w:div w:id="294140014">
                      <w:marLeft w:val="0"/>
                      <w:marRight w:val="0"/>
                      <w:marTop w:val="0"/>
                      <w:marBottom w:val="0"/>
                      <w:divBdr>
                        <w:top w:val="none" w:sz="0" w:space="0" w:color="auto"/>
                        <w:left w:val="none" w:sz="0" w:space="0" w:color="auto"/>
                        <w:bottom w:val="none" w:sz="0" w:space="0" w:color="auto"/>
                        <w:right w:val="none" w:sz="0" w:space="0" w:color="auto"/>
                      </w:divBdr>
                    </w:div>
                    <w:div w:id="294140037">
                      <w:marLeft w:val="0"/>
                      <w:marRight w:val="0"/>
                      <w:marTop w:val="0"/>
                      <w:marBottom w:val="0"/>
                      <w:divBdr>
                        <w:top w:val="none" w:sz="0" w:space="0" w:color="auto"/>
                        <w:left w:val="none" w:sz="0" w:space="0" w:color="auto"/>
                        <w:bottom w:val="none" w:sz="0" w:space="0" w:color="auto"/>
                        <w:right w:val="none" w:sz="0" w:space="0" w:color="auto"/>
                      </w:divBdr>
                      <w:divsChild>
                        <w:div w:id="294152855">
                          <w:marLeft w:val="0"/>
                          <w:marRight w:val="0"/>
                          <w:marTop w:val="0"/>
                          <w:marBottom w:val="0"/>
                          <w:divBdr>
                            <w:top w:val="none" w:sz="0" w:space="0" w:color="auto"/>
                            <w:left w:val="none" w:sz="0" w:space="0" w:color="auto"/>
                            <w:bottom w:val="none" w:sz="0" w:space="0" w:color="auto"/>
                            <w:right w:val="none" w:sz="0" w:space="0" w:color="auto"/>
                          </w:divBdr>
                        </w:div>
                      </w:divsChild>
                    </w:div>
                    <w:div w:id="294140065">
                      <w:marLeft w:val="0"/>
                      <w:marRight w:val="0"/>
                      <w:marTop w:val="0"/>
                      <w:marBottom w:val="0"/>
                      <w:divBdr>
                        <w:top w:val="none" w:sz="0" w:space="0" w:color="auto"/>
                        <w:left w:val="none" w:sz="0" w:space="0" w:color="auto"/>
                        <w:bottom w:val="none" w:sz="0" w:space="0" w:color="auto"/>
                        <w:right w:val="none" w:sz="0" w:space="0" w:color="auto"/>
                      </w:divBdr>
                      <w:divsChild>
                        <w:div w:id="294155473">
                          <w:marLeft w:val="0"/>
                          <w:marRight w:val="0"/>
                          <w:marTop w:val="0"/>
                          <w:marBottom w:val="0"/>
                          <w:divBdr>
                            <w:top w:val="none" w:sz="0" w:space="0" w:color="auto"/>
                            <w:left w:val="none" w:sz="0" w:space="0" w:color="auto"/>
                            <w:bottom w:val="none" w:sz="0" w:space="0" w:color="auto"/>
                            <w:right w:val="none" w:sz="0" w:space="0" w:color="auto"/>
                          </w:divBdr>
                        </w:div>
                      </w:divsChild>
                    </w:div>
                    <w:div w:id="294140463">
                      <w:marLeft w:val="0"/>
                      <w:marRight w:val="0"/>
                      <w:marTop w:val="0"/>
                      <w:marBottom w:val="0"/>
                      <w:divBdr>
                        <w:top w:val="none" w:sz="0" w:space="0" w:color="auto"/>
                        <w:left w:val="none" w:sz="0" w:space="0" w:color="auto"/>
                        <w:bottom w:val="none" w:sz="0" w:space="0" w:color="auto"/>
                        <w:right w:val="none" w:sz="0" w:space="0" w:color="auto"/>
                      </w:divBdr>
                      <w:divsChild>
                        <w:div w:id="294150141">
                          <w:marLeft w:val="0"/>
                          <w:marRight w:val="0"/>
                          <w:marTop w:val="0"/>
                          <w:marBottom w:val="0"/>
                          <w:divBdr>
                            <w:top w:val="none" w:sz="0" w:space="0" w:color="auto"/>
                            <w:left w:val="none" w:sz="0" w:space="0" w:color="auto"/>
                            <w:bottom w:val="none" w:sz="0" w:space="0" w:color="auto"/>
                            <w:right w:val="none" w:sz="0" w:space="0" w:color="auto"/>
                          </w:divBdr>
                        </w:div>
                      </w:divsChild>
                    </w:div>
                    <w:div w:id="294140514">
                      <w:marLeft w:val="0"/>
                      <w:marRight w:val="0"/>
                      <w:marTop w:val="0"/>
                      <w:marBottom w:val="0"/>
                      <w:divBdr>
                        <w:top w:val="none" w:sz="0" w:space="0" w:color="auto"/>
                        <w:left w:val="none" w:sz="0" w:space="0" w:color="auto"/>
                        <w:bottom w:val="none" w:sz="0" w:space="0" w:color="auto"/>
                        <w:right w:val="none" w:sz="0" w:space="0" w:color="auto"/>
                      </w:divBdr>
                    </w:div>
                    <w:div w:id="294140854">
                      <w:marLeft w:val="0"/>
                      <w:marRight w:val="0"/>
                      <w:marTop w:val="0"/>
                      <w:marBottom w:val="0"/>
                      <w:divBdr>
                        <w:top w:val="none" w:sz="0" w:space="0" w:color="auto"/>
                        <w:left w:val="none" w:sz="0" w:space="0" w:color="auto"/>
                        <w:bottom w:val="none" w:sz="0" w:space="0" w:color="auto"/>
                        <w:right w:val="none" w:sz="0" w:space="0" w:color="auto"/>
                      </w:divBdr>
                    </w:div>
                    <w:div w:id="294140908">
                      <w:marLeft w:val="0"/>
                      <w:marRight w:val="0"/>
                      <w:marTop w:val="0"/>
                      <w:marBottom w:val="0"/>
                      <w:divBdr>
                        <w:top w:val="none" w:sz="0" w:space="0" w:color="auto"/>
                        <w:left w:val="none" w:sz="0" w:space="0" w:color="auto"/>
                        <w:bottom w:val="none" w:sz="0" w:space="0" w:color="auto"/>
                        <w:right w:val="none" w:sz="0" w:space="0" w:color="auto"/>
                      </w:divBdr>
                      <w:divsChild>
                        <w:div w:id="294151450">
                          <w:marLeft w:val="0"/>
                          <w:marRight w:val="0"/>
                          <w:marTop w:val="0"/>
                          <w:marBottom w:val="0"/>
                          <w:divBdr>
                            <w:top w:val="none" w:sz="0" w:space="0" w:color="auto"/>
                            <w:left w:val="none" w:sz="0" w:space="0" w:color="auto"/>
                            <w:bottom w:val="none" w:sz="0" w:space="0" w:color="auto"/>
                            <w:right w:val="none" w:sz="0" w:space="0" w:color="auto"/>
                          </w:divBdr>
                        </w:div>
                      </w:divsChild>
                    </w:div>
                    <w:div w:id="294141060">
                      <w:marLeft w:val="0"/>
                      <w:marRight w:val="0"/>
                      <w:marTop w:val="0"/>
                      <w:marBottom w:val="0"/>
                      <w:divBdr>
                        <w:top w:val="none" w:sz="0" w:space="0" w:color="auto"/>
                        <w:left w:val="none" w:sz="0" w:space="0" w:color="auto"/>
                        <w:bottom w:val="none" w:sz="0" w:space="0" w:color="auto"/>
                        <w:right w:val="none" w:sz="0" w:space="0" w:color="auto"/>
                      </w:divBdr>
                      <w:divsChild>
                        <w:div w:id="294144151">
                          <w:marLeft w:val="0"/>
                          <w:marRight w:val="0"/>
                          <w:marTop w:val="0"/>
                          <w:marBottom w:val="0"/>
                          <w:divBdr>
                            <w:top w:val="none" w:sz="0" w:space="0" w:color="auto"/>
                            <w:left w:val="none" w:sz="0" w:space="0" w:color="auto"/>
                            <w:bottom w:val="none" w:sz="0" w:space="0" w:color="auto"/>
                            <w:right w:val="none" w:sz="0" w:space="0" w:color="auto"/>
                          </w:divBdr>
                        </w:div>
                      </w:divsChild>
                    </w:div>
                    <w:div w:id="294141262">
                      <w:marLeft w:val="0"/>
                      <w:marRight w:val="0"/>
                      <w:marTop w:val="0"/>
                      <w:marBottom w:val="0"/>
                      <w:divBdr>
                        <w:top w:val="none" w:sz="0" w:space="0" w:color="auto"/>
                        <w:left w:val="none" w:sz="0" w:space="0" w:color="auto"/>
                        <w:bottom w:val="none" w:sz="0" w:space="0" w:color="auto"/>
                        <w:right w:val="none" w:sz="0" w:space="0" w:color="auto"/>
                      </w:divBdr>
                    </w:div>
                    <w:div w:id="294141491">
                      <w:marLeft w:val="0"/>
                      <w:marRight w:val="0"/>
                      <w:marTop w:val="0"/>
                      <w:marBottom w:val="0"/>
                      <w:divBdr>
                        <w:top w:val="none" w:sz="0" w:space="0" w:color="auto"/>
                        <w:left w:val="none" w:sz="0" w:space="0" w:color="auto"/>
                        <w:bottom w:val="none" w:sz="0" w:space="0" w:color="auto"/>
                        <w:right w:val="none" w:sz="0" w:space="0" w:color="auto"/>
                      </w:divBdr>
                      <w:divsChild>
                        <w:div w:id="294138504">
                          <w:marLeft w:val="0"/>
                          <w:marRight w:val="0"/>
                          <w:marTop w:val="0"/>
                          <w:marBottom w:val="0"/>
                          <w:divBdr>
                            <w:top w:val="none" w:sz="0" w:space="0" w:color="auto"/>
                            <w:left w:val="none" w:sz="0" w:space="0" w:color="auto"/>
                            <w:bottom w:val="none" w:sz="0" w:space="0" w:color="auto"/>
                            <w:right w:val="none" w:sz="0" w:space="0" w:color="auto"/>
                          </w:divBdr>
                        </w:div>
                      </w:divsChild>
                    </w:div>
                    <w:div w:id="294141787">
                      <w:marLeft w:val="0"/>
                      <w:marRight w:val="0"/>
                      <w:marTop w:val="0"/>
                      <w:marBottom w:val="0"/>
                      <w:divBdr>
                        <w:top w:val="none" w:sz="0" w:space="0" w:color="auto"/>
                        <w:left w:val="none" w:sz="0" w:space="0" w:color="auto"/>
                        <w:bottom w:val="none" w:sz="0" w:space="0" w:color="auto"/>
                        <w:right w:val="none" w:sz="0" w:space="0" w:color="auto"/>
                      </w:divBdr>
                    </w:div>
                    <w:div w:id="294141873">
                      <w:marLeft w:val="0"/>
                      <w:marRight w:val="0"/>
                      <w:marTop w:val="0"/>
                      <w:marBottom w:val="0"/>
                      <w:divBdr>
                        <w:top w:val="none" w:sz="0" w:space="0" w:color="auto"/>
                        <w:left w:val="none" w:sz="0" w:space="0" w:color="auto"/>
                        <w:bottom w:val="none" w:sz="0" w:space="0" w:color="auto"/>
                        <w:right w:val="none" w:sz="0" w:space="0" w:color="auto"/>
                      </w:divBdr>
                      <w:divsChild>
                        <w:div w:id="294143512">
                          <w:marLeft w:val="0"/>
                          <w:marRight w:val="0"/>
                          <w:marTop w:val="0"/>
                          <w:marBottom w:val="0"/>
                          <w:divBdr>
                            <w:top w:val="none" w:sz="0" w:space="0" w:color="auto"/>
                            <w:left w:val="none" w:sz="0" w:space="0" w:color="auto"/>
                            <w:bottom w:val="none" w:sz="0" w:space="0" w:color="auto"/>
                            <w:right w:val="none" w:sz="0" w:space="0" w:color="auto"/>
                          </w:divBdr>
                        </w:div>
                      </w:divsChild>
                    </w:div>
                    <w:div w:id="294142000">
                      <w:marLeft w:val="0"/>
                      <w:marRight w:val="0"/>
                      <w:marTop w:val="0"/>
                      <w:marBottom w:val="0"/>
                      <w:divBdr>
                        <w:top w:val="none" w:sz="0" w:space="0" w:color="auto"/>
                        <w:left w:val="none" w:sz="0" w:space="0" w:color="auto"/>
                        <w:bottom w:val="none" w:sz="0" w:space="0" w:color="auto"/>
                        <w:right w:val="none" w:sz="0" w:space="0" w:color="auto"/>
                      </w:divBdr>
                      <w:divsChild>
                        <w:div w:id="294142457">
                          <w:marLeft w:val="0"/>
                          <w:marRight w:val="0"/>
                          <w:marTop w:val="0"/>
                          <w:marBottom w:val="0"/>
                          <w:divBdr>
                            <w:top w:val="none" w:sz="0" w:space="0" w:color="auto"/>
                            <w:left w:val="none" w:sz="0" w:space="0" w:color="auto"/>
                            <w:bottom w:val="none" w:sz="0" w:space="0" w:color="auto"/>
                            <w:right w:val="none" w:sz="0" w:space="0" w:color="auto"/>
                          </w:divBdr>
                        </w:div>
                      </w:divsChild>
                    </w:div>
                    <w:div w:id="294142198">
                      <w:marLeft w:val="0"/>
                      <w:marRight w:val="0"/>
                      <w:marTop w:val="0"/>
                      <w:marBottom w:val="0"/>
                      <w:divBdr>
                        <w:top w:val="none" w:sz="0" w:space="0" w:color="auto"/>
                        <w:left w:val="none" w:sz="0" w:space="0" w:color="auto"/>
                        <w:bottom w:val="none" w:sz="0" w:space="0" w:color="auto"/>
                        <w:right w:val="none" w:sz="0" w:space="0" w:color="auto"/>
                      </w:divBdr>
                      <w:divsChild>
                        <w:div w:id="294140996">
                          <w:marLeft w:val="0"/>
                          <w:marRight w:val="0"/>
                          <w:marTop w:val="0"/>
                          <w:marBottom w:val="0"/>
                          <w:divBdr>
                            <w:top w:val="none" w:sz="0" w:space="0" w:color="auto"/>
                            <w:left w:val="none" w:sz="0" w:space="0" w:color="auto"/>
                            <w:bottom w:val="none" w:sz="0" w:space="0" w:color="auto"/>
                            <w:right w:val="none" w:sz="0" w:space="0" w:color="auto"/>
                          </w:divBdr>
                        </w:div>
                      </w:divsChild>
                    </w:div>
                    <w:div w:id="294142399">
                      <w:marLeft w:val="0"/>
                      <w:marRight w:val="0"/>
                      <w:marTop w:val="0"/>
                      <w:marBottom w:val="0"/>
                      <w:divBdr>
                        <w:top w:val="none" w:sz="0" w:space="0" w:color="auto"/>
                        <w:left w:val="none" w:sz="0" w:space="0" w:color="auto"/>
                        <w:bottom w:val="none" w:sz="0" w:space="0" w:color="auto"/>
                        <w:right w:val="none" w:sz="0" w:space="0" w:color="auto"/>
                      </w:divBdr>
                    </w:div>
                    <w:div w:id="294143236">
                      <w:marLeft w:val="0"/>
                      <w:marRight w:val="0"/>
                      <w:marTop w:val="0"/>
                      <w:marBottom w:val="0"/>
                      <w:divBdr>
                        <w:top w:val="none" w:sz="0" w:space="0" w:color="auto"/>
                        <w:left w:val="none" w:sz="0" w:space="0" w:color="auto"/>
                        <w:bottom w:val="none" w:sz="0" w:space="0" w:color="auto"/>
                        <w:right w:val="none" w:sz="0" w:space="0" w:color="auto"/>
                      </w:divBdr>
                      <w:divsChild>
                        <w:div w:id="294142202">
                          <w:marLeft w:val="0"/>
                          <w:marRight w:val="0"/>
                          <w:marTop w:val="0"/>
                          <w:marBottom w:val="0"/>
                          <w:divBdr>
                            <w:top w:val="none" w:sz="0" w:space="0" w:color="auto"/>
                            <w:left w:val="none" w:sz="0" w:space="0" w:color="auto"/>
                            <w:bottom w:val="none" w:sz="0" w:space="0" w:color="auto"/>
                            <w:right w:val="none" w:sz="0" w:space="0" w:color="auto"/>
                          </w:divBdr>
                        </w:div>
                      </w:divsChild>
                    </w:div>
                    <w:div w:id="294143929">
                      <w:marLeft w:val="0"/>
                      <w:marRight w:val="0"/>
                      <w:marTop w:val="0"/>
                      <w:marBottom w:val="0"/>
                      <w:divBdr>
                        <w:top w:val="none" w:sz="0" w:space="0" w:color="auto"/>
                        <w:left w:val="none" w:sz="0" w:space="0" w:color="auto"/>
                        <w:bottom w:val="none" w:sz="0" w:space="0" w:color="auto"/>
                        <w:right w:val="none" w:sz="0" w:space="0" w:color="auto"/>
                      </w:divBdr>
                    </w:div>
                    <w:div w:id="294144417">
                      <w:marLeft w:val="0"/>
                      <w:marRight w:val="0"/>
                      <w:marTop w:val="0"/>
                      <w:marBottom w:val="0"/>
                      <w:divBdr>
                        <w:top w:val="none" w:sz="0" w:space="0" w:color="auto"/>
                        <w:left w:val="none" w:sz="0" w:space="0" w:color="auto"/>
                        <w:bottom w:val="none" w:sz="0" w:space="0" w:color="auto"/>
                        <w:right w:val="none" w:sz="0" w:space="0" w:color="auto"/>
                      </w:divBdr>
                      <w:divsChild>
                        <w:div w:id="294149077">
                          <w:marLeft w:val="0"/>
                          <w:marRight w:val="0"/>
                          <w:marTop w:val="0"/>
                          <w:marBottom w:val="0"/>
                          <w:divBdr>
                            <w:top w:val="none" w:sz="0" w:space="0" w:color="auto"/>
                            <w:left w:val="none" w:sz="0" w:space="0" w:color="auto"/>
                            <w:bottom w:val="none" w:sz="0" w:space="0" w:color="auto"/>
                            <w:right w:val="none" w:sz="0" w:space="0" w:color="auto"/>
                          </w:divBdr>
                        </w:div>
                      </w:divsChild>
                    </w:div>
                    <w:div w:id="294144532">
                      <w:marLeft w:val="0"/>
                      <w:marRight w:val="0"/>
                      <w:marTop w:val="0"/>
                      <w:marBottom w:val="0"/>
                      <w:divBdr>
                        <w:top w:val="none" w:sz="0" w:space="0" w:color="auto"/>
                        <w:left w:val="none" w:sz="0" w:space="0" w:color="auto"/>
                        <w:bottom w:val="none" w:sz="0" w:space="0" w:color="auto"/>
                        <w:right w:val="none" w:sz="0" w:space="0" w:color="auto"/>
                      </w:divBdr>
                      <w:divsChild>
                        <w:div w:id="294139124">
                          <w:marLeft w:val="0"/>
                          <w:marRight w:val="0"/>
                          <w:marTop w:val="0"/>
                          <w:marBottom w:val="0"/>
                          <w:divBdr>
                            <w:top w:val="none" w:sz="0" w:space="0" w:color="auto"/>
                            <w:left w:val="none" w:sz="0" w:space="0" w:color="auto"/>
                            <w:bottom w:val="none" w:sz="0" w:space="0" w:color="auto"/>
                            <w:right w:val="none" w:sz="0" w:space="0" w:color="auto"/>
                          </w:divBdr>
                        </w:div>
                      </w:divsChild>
                    </w:div>
                    <w:div w:id="294144629">
                      <w:marLeft w:val="0"/>
                      <w:marRight w:val="0"/>
                      <w:marTop w:val="0"/>
                      <w:marBottom w:val="0"/>
                      <w:divBdr>
                        <w:top w:val="none" w:sz="0" w:space="0" w:color="auto"/>
                        <w:left w:val="none" w:sz="0" w:space="0" w:color="auto"/>
                        <w:bottom w:val="none" w:sz="0" w:space="0" w:color="auto"/>
                        <w:right w:val="none" w:sz="0" w:space="0" w:color="auto"/>
                      </w:divBdr>
                      <w:divsChild>
                        <w:div w:id="294141912">
                          <w:marLeft w:val="0"/>
                          <w:marRight w:val="0"/>
                          <w:marTop w:val="0"/>
                          <w:marBottom w:val="0"/>
                          <w:divBdr>
                            <w:top w:val="none" w:sz="0" w:space="0" w:color="auto"/>
                            <w:left w:val="none" w:sz="0" w:space="0" w:color="auto"/>
                            <w:bottom w:val="none" w:sz="0" w:space="0" w:color="auto"/>
                            <w:right w:val="none" w:sz="0" w:space="0" w:color="auto"/>
                          </w:divBdr>
                        </w:div>
                      </w:divsChild>
                    </w:div>
                    <w:div w:id="294144790">
                      <w:marLeft w:val="0"/>
                      <w:marRight w:val="0"/>
                      <w:marTop w:val="0"/>
                      <w:marBottom w:val="0"/>
                      <w:divBdr>
                        <w:top w:val="none" w:sz="0" w:space="0" w:color="auto"/>
                        <w:left w:val="none" w:sz="0" w:space="0" w:color="auto"/>
                        <w:bottom w:val="none" w:sz="0" w:space="0" w:color="auto"/>
                        <w:right w:val="none" w:sz="0" w:space="0" w:color="auto"/>
                      </w:divBdr>
                      <w:divsChild>
                        <w:div w:id="294157388">
                          <w:marLeft w:val="0"/>
                          <w:marRight w:val="0"/>
                          <w:marTop w:val="0"/>
                          <w:marBottom w:val="0"/>
                          <w:divBdr>
                            <w:top w:val="none" w:sz="0" w:space="0" w:color="auto"/>
                            <w:left w:val="none" w:sz="0" w:space="0" w:color="auto"/>
                            <w:bottom w:val="none" w:sz="0" w:space="0" w:color="auto"/>
                            <w:right w:val="none" w:sz="0" w:space="0" w:color="auto"/>
                          </w:divBdr>
                        </w:div>
                      </w:divsChild>
                    </w:div>
                    <w:div w:id="294144969">
                      <w:marLeft w:val="0"/>
                      <w:marRight w:val="0"/>
                      <w:marTop w:val="0"/>
                      <w:marBottom w:val="0"/>
                      <w:divBdr>
                        <w:top w:val="none" w:sz="0" w:space="0" w:color="auto"/>
                        <w:left w:val="none" w:sz="0" w:space="0" w:color="auto"/>
                        <w:bottom w:val="none" w:sz="0" w:space="0" w:color="auto"/>
                        <w:right w:val="none" w:sz="0" w:space="0" w:color="auto"/>
                      </w:divBdr>
                    </w:div>
                    <w:div w:id="294145075">
                      <w:marLeft w:val="0"/>
                      <w:marRight w:val="0"/>
                      <w:marTop w:val="0"/>
                      <w:marBottom w:val="0"/>
                      <w:divBdr>
                        <w:top w:val="none" w:sz="0" w:space="0" w:color="auto"/>
                        <w:left w:val="none" w:sz="0" w:space="0" w:color="auto"/>
                        <w:bottom w:val="none" w:sz="0" w:space="0" w:color="auto"/>
                        <w:right w:val="none" w:sz="0" w:space="0" w:color="auto"/>
                      </w:divBdr>
                    </w:div>
                    <w:div w:id="294145170">
                      <w:marLeft w:val="0"/>
                      <w:marRight w:val="0"/>
                      <w:marTop w:val="0"/>
                      <w:marBottom w:val="0"/>
                      <w:divBdr>
                        <w:top w:val="none" w:sz="0" w:space="0" w:color="auto"/>
                        <w:left w:val="none" w:sz="0" w:space="0" w:color="auto"/>
                        <w:bottom w:val="none" w:sz="0" w:space="0" w:color="auto"/>
                        <w:right w:val="none" w:sz="0" w:space="0" w:color="auto"/>
                      </w:divBdr>
                    </w:div>
                    <w:div w:id="294145441">
                      <w:marLeft w:val="0"/>
                      <w:marRight w:val="0"/>
                      <w:marTop w:val="0"/>
                      <w:marBottom w:val="0"/>
                      <w:divBdr>
                        <w:top w:val="none" w:sz="0" w:space="0" w:color="auto"/>
                        <w:left w:val="none" w:sz="0" w:space="0" w:color="auto"/>
                        <w:bottom w:val="none" w:sz="0" w:space="0" w:color="auto"/>
                        <w:right w:val="none" w:sz="0" w:space="0" w:color="auto"/>
                      </w:divBdr>
                      <w:divsChild>
                        <w:div w:id="294150896">
                          <w:marLeft w:val="0"/>
                          <w:marRight w:val="0"/>
                          <w:marTop w:val="0"/>
                          <w:marBottom w:val="0"/>
                          <w:divBdr>
                            <w:top w:val="none" w:sz="0" w:space="0" w:color="auto"/>
                            <w:left w:val="none" w:sz="0" w:space="0" w:color="auto"/>
                            <w:bottom w:val="none" w:sz="0" w:space="0" w:color="auto"/>
                            <w:right w:val="none" w:sz="0" w:space="0" w:color="auto"/>
                          </w:divBdr>
                        </w:div>
                      </w:divsChild>
                    </w:div>
                    <w:div w:id="294145788">
                      <w:marLeft w:val="0"/>
                      <w:marRight w:val="0"/>
                      <w:marTop w:val="0"/>
                      <w:marBottom w:val="0"/>
                      <w:divBdr>
                        <w:top w:val="none" w:sz="0" w:space="0" w:color="auto"/>
                        <w:left w:val="none" w:sz="0" w:space="0" w:color="auto"/>
                        <w:bottom w:val="none" w:sz="0" w:space="0" w:color="auto"/>
                        <w:right w:val="none" w:sz="0" w:space="0" w:color="auto"/>
                      </w:divBdr>
                      <w:divsChild>
                        <w:div w:id="294143898">
                          <w:marLeft w:val="0"/>
                          <w:marRight w:val="0"/>
                          <w:marTop w:val="0"/>
                          <w:marBottom w:val="0"/>
                          <w:divBdr>
                            <w:top w:val="none" w:sz="0" w:space="0" w:color="auto"/>
                            <w:left w:val="none" w:sz="0" w:space="0" w:color="auto"/>
                            <w:bottom w:val="none" w:sz="0" w:space="0" w:color="auto"/>
                            <w:right w:val="none" w:sz="0" w:space="0" w:color="auto"/>
                          </w:divBdr>
                        </w:div>
                      </w:divsChild>
                    </w:div>
                    <w:div w:id="294145896">
                      <w:marLeft w:val="0"/>
                      <w:marRight w:val="0"/>
                      <w:marTop w:val="0"/>
                      <w:marBottom w:val="0"/>
                      <w:divBdr>
                        <w:top w:val="none" w:sz="0" w:space="0" w:color="auto"/>
                        <w:left w:val="none" w:sz="0" w:space="0" w:color="auto"/>
                        <w:bottom w:val="none" w:sz="0" w:space="0" w:color="auto"/>
                        <w:right w:val="none" w:sz="0" w:space="0" w:color="auto"/>
                      </w:divBdr>
                    </w:div>
                    <w:div w:id="294146060">
                      <w:marLeft w:val="0"/>
                      <w:marRight w:val="0"/>
                      <w:marTop w:val="0"/>
                      <w:marBottom w:val="0"/>
                      <w:divBdr>
                        <w:top w:val="none" w:sz="0" w:space="0" w:color="auto"/>
                        <w:left w:val="none" w:sz="0" w:space="0" w:color="auto"/>
                        <w:bottom w:val="none" w:sz="0" w:space="0" w:color="auto"/>
                        <w:right w:val="none" w:sz="0" w:space="0" w:color="auto"/>
                      </w:divBdr>
                    </w:div>
                    <w:div w:id="294146179">
                      <w:marLeft w:val="0"/>
                      <w:marRight w:val="0"/>
                      <w:marTop w:val="0"/>
                      <w:marBottom w:val="0"/>
                      <w:divBdr>
                        <w:top w:val="none" w:sz="0" w:space="0" w:color="auto"/>
                        <w:left w:val="none" w:sz="0" w:space="0" w:color="auto"/>
                        <w:bottom w:val="none" w:sz="0" w:space="0" w:color="auto"/>
                        <w:right w:val="none" w:sz="0" w:space="0" w:color="auto"/>
                      </w:divBdr>
                      <w:divsChild>
                        <w:div w:id="294138719">
                          <w:marLeft w:val="0"/>
                          <w:marRight w:val="0"/>
                          <w:marTop w:val="0"/>
                          <w:marBottom w:val="0"/>
                          <w:divBdr>
                            <w:top w:val="none" w:sz="0" w:space="0" w:color="auto"/>
                            <w:left w:val="none" w:sz="0" w:space="0" w:color="auto"/>
                            <w:bottom w:val="none" w:sz="0" w:space="0" w:color="auto"/>
                            <w:right w:val="none" w:sz="0" w:space="0" w:color="auto"/>
                          </w:divBdr>
                        </w:div>
                      </w:divsChild>
                    </w:div>
                    <w:div w:id="294146236">
                      <w:marLeft w:val="0"/>
                      <w:marRight w:val="0"/>
                      <w:marTop w:val="0"/>
                      <w:marBottom w:val="0"/>
                      <w:divBdr>
                        <w:top w:val="none" w:sz="0" w:space="0" w:color="auto"/>
                        <w:left w:val="none" w:sz="0" w:space="0" w:color="auto"/>
                        <w:bottom w:val="none" w:sz="0" w:space="0" w:color="auto"/>
                        <w:right w:val="none" w:sz="0" w:space="0" w:color="auto"/>
                      </w:divBdr>
                      <w:divsChild>
                        <w:div w:id="294140488">
                          <w:marLeft w:val="0"/>
                          <w:marRight w:val="0"/>
                          <w:marTop w:val="0"/>
                          <w:marBottom w:val="0"/>
                          <w:divBdr>
                            <w:top w:val="none" w:sz="0" w:space="0" w:color="auto"/>
                            <w:left w:val="none" w:sz="0" w:space="0" w:color="auto"/>
                            <w:bottom w:val="none" w:sz="0" w:space="0" w:color="auto"/>
                            <w:right w:val="none" w:sz="0" w:space="0" w:color="auto"/>
                          </w:divBdr>
                        </w:div>
                      </w:divsChild>
                    </w:div>
                    <w:div w:id="294146344">
                      <w:marLeft w:val="0"/>
                      <w:marRight w:val="0"/>
                      <w:marTop w:val="0"/>
                      <w:marBottom w:val="0"/>
                      <w:divBdr>
                        <w:top w:val="none" w:sz="0" w:space="0" w:color="auto"/>
                        <w:left w:val="none" w:sz="0" w:space="0" w:color="auto"/>
                        <w:bottom w:val="none" w:sz="0" w:space="0" w:color="auto"/>
                        <w:right w:val="none" w:sz="0" w:space="0" w:color="auto"/>
                      </w:divBdr>
                      <w:divsChild>
                        <w:div w:id="294156674">
                          <w:marLeft w:val="0"/>
                          <w:marRight w:val="0"/>
                          <w:marTop w:val="0"/>
                          <w:marBottom w:val="0"/>
                          <w:divBdr>
                            <w:top w:val="none" w:sz="0" w:space="0" w:color="auto"/>
                            <w:left w:val="none" w:sz="0" w:space="0" w:color="auto"/>
                            <w:bottom w:val="none" w:sz="0" w:space="0" w:color="auto"/>
                            <w:right w:val="none" w:sz="0" w:space="0" w:color="auto"/>
                          </w:divBdr>
                        </w:div>
                      </w:divsChild>
                    </w:div>
                    <w:div w:id="294146443">
                      <w:marLeft w:val="0"/>
                      <w:marRight w:val="0"/>
                      <w:marTop w:val="0"/>
                      <w:marBottom w:val="0"/>
                      <w:divBdr>
                        <w:top w:val="none" w:sz="0" w:space="0" w:color="auto"/>
                        <w:left w:val="none" w:sz="0" w:space="0" w:color="auto"/>
                        <w:bottom w:val="none" w:sz="0" w:space="0" w:color="auto"/>
                        <w:right w:val="none" w:sz="0" w:space="0" w:color="auto"/>
                      </w:divBdr>
                    </w:div>
                    <w:div w:id="294146534">
                      <w:marLeft w:val="0"/>
                      <w:marRight w:val="0"/>
                      <w:marTop w:val="0"/>
                      <w:marBottom w:val="0"/>
                      <w:divBdr>
                        <w:top w:val="none" w:sz="0" w:space="0" w:color="auto"/>
                        <w:left w:val="none" w:sz="0" w:space="0" w:color="auto"/>
                        <w:bottom w:val="none" w:sz="0" w:space="0" w:color="auto"/>
                        <w:right w:val="none" w:sz="0" w:space="0" w:color="auto"/>
                      </w:divBdr>
                    </w:div>
                    <w:div w:id="294146553">
                      <w:marLeft w:val="0"/>
                      <w:marRight w:val="0"/>
                      <w:marTop w:val="0"/>
                      <w:marBottom w:val="0"/>
                      <w:divBdr>
                        <w:top w:val="none" w:sz="0" w:space="0" w:color="auto"/>
                        <w:left w:val="none" w:sz="0" w:space="0" w:color="auto"/>
                        <w:bottom w:val="none" w:sz="0" w:space="0" w:color="auto"/>
                        <w:right w:val="none" w:sz="0" w:space="0" w:color="auto"/>
                      </w:divBdr>
                      <w:divsChild>
                        <w:div w:id="294146820">
                          <w:marLeft w:val="0"/>
                          <w:marRight w:val="0"/>
                          <w:marTop w:val="0"/>
                          <w:marBottom w:val="0"/>
                          <w:divBdr>
                            <w:top w:val="none" w:sz="0" w:space="0" w:color="auto"/>
                            <w:left w:val="none" w:sz="0" w:space="0" w:color="auto"/>
                            <w:bottom w:val="none" w:sz="0" w:space="0" w:color="auto"/>
                            <w:right w:val="none" w:sz="0" w:space="0" w:color="auto"/>
                          </w:divBdr>
                        </w:div>
                      </w:divsChild>
                    </w:div>
                    <w:div w:id="294146595">
                      <w:marLeft w:val="0"/>
                      <w:marRight w:val="0"/>
                      <w:marTop w:val="0"/>
                      <w:marBottom w:val="0"/>
                      <w:divBdr>
                        <w:top w:val="none" w:sz="0" w:space="0" w:color="auto"/>
                        <w:left w:val="none" w:sz="0" w:space="0" w:color="auto"/>
                        <w:bottom w:val="none" w:sz="0" w:space="0" w:color="auto"/>
                        <w:right w:val="none" w:sz="0" w:space="0" w:color="auto"/>
                      </w:divBdr>
                      <w:divsChild>
                        <w:div w:id="294147488">
                          <w:marLeft w:val="0"/>
                          <w:marRight w:val="0"/>
                          <w:marTop w:val="0"/>
                          <w:marBottom w:val="0"/>
                          <w:divBdr>
                            <w:top w:val="none" w:sz="0" w:space="0" w:color="auto"/>
                            <w:left w:val="none" w:sz="0" w:space="0" w:color="auto"/>
                            <w:bottom w:val="none" w:sz="0" w:space="0" w:color="auto"/>
                            <w:right w:val="none" w:sz="0" w:space="0" w:color="auto"/>
                          </w:divBdr>
                        </w:div>
                      </w:divsChild>
                    </w:div>
                    <w:div w:id="294146856">
                      <w:marLeft w:val="0"/>
                      <w:marRight w:val="0"/>
                      <w:marTop w:val="0"/>
                      <w:marBottom w:val="0"/>
                      <w:divBdr>
                        <w:top w:val="none" w:sz="0" w:space="0" w:color="auto"/>
                        <w:left w:val="none" w:sz="0" w:space="0" w:color="auto"/>
                        <w:bottom w:val="none" w:sz="0" w:space="0" w:color="auto"/>
                        <w:right w:val="none" w:sz="0" w:space="0" w:color="auto"/>
                      </w:divBdr>
                    </w:div>
                    <w:div w:id="294147699">
                      <w:marLeft w:val="0"/>
                      <w:marRight w:val="0"/>
                      <w:marTop w:val="0"/>
                      <w:marBottom w:val="0"/>
                      <w:divBdr>
                        <w:top w:val="none" w:sz="0" w:space="0" w:color="auto"/>
                        <w:left w:val="none" w:sz="0" w:space="0" w:color="auto"/>
                        <w:bottom w:val="none" w:sz="0" w:space="0" w:color="auto"/>
                        <w:right w:val="none" w:sz="0" w:space="0" w:color="auto"/>
                      </w:divBdr>
                      <w:divsChild>
                        <w:div w:id="294156301">
                          <w:marLeft w:val="0"/>
                          <w:marRight w:val="0"/>
                          <w:marTop w:val="0"/>
                          <w:marBottom w:val="0"/>
                          <w:divBdr>
                            <w:top w:val="none" w:sz="0" w:space="0" w:color="auto"/>
                            <w:left w:val="none" w:sz="0" w:space="0" w:color="auto"/>
                            <w:bottom w:val="none" w:sz="0" w:space="0" w:color="auto"/>
                            <w:right w:val="none" w:sz="0" w:space="0" w:color="auto"/>
                          </w:divBdr>
                        </w:div>
                      </w:divsChild>
                    </w:div>
                    <w:div w:id="294147924">
                      <w:marLeft w:val="0"/>
                      <w:marRight w:val="0"/>
                      <w:marTop w:val="0"/>
                      <w:marBottom w:val="0"/>
                      <w:divBdr>
                        <w:top w:val="none" w:sz="0" w:space="0" w:color="auto"/>
                        <w:left w:val="none" w:sz="0" w:space="0" w:color="auto"/>
                        <w:bottom w:val="none" w:sz="0" w:space="0" w:color="auto"/>
                        <w:right w:val="none" w:sz="0" w:space="0" w:color="auto"/>
                      </w:divBdr>
                    </w:div>
                    <w:div w:id="294147955">
                      <w:marLeft w:val="0"/>
                      <w:marRight w:val="0"/>
                      <w:marTop w:val="0"/>
                      <w:marBottom w:val="0"/>
                      <w:divBdr>
                        <w:top w:val="none" w:sz="0" w:space="0" w:color="auto"/>
                        <w:left w:val="none" w:sz="0" w:space="0" w:color="auto"/>
                        <w:bottom w:val="none" w:sz="0" w:space="0" w:color="auto"/>
                        <w:right w:val="none" w:sz="0" w:space="0" w:color="auto"/>
                      </w:divBdr>
                    </w:div>
                    <w:div w:id="294148235">
                      <w:marLeft w:val="0"/>
                      <w:marRight w:val="0"/>
                      <w:marTop w:val="0"/>
                      <w:marBottom w:val="0"/>
                      <w:divBdr>
                        <w:top w:val="none" w:sz="0" w:space="0" w:color="auto"/>
                        <w:left w:val="none" w:sz="0" w:space="0" w:color="auto"/>
                        <w:bottom w:val="none" w:sz="0" w:space="0" w:color="auto"/>
                        <w:right w:val="none" w:sz="0" w:space="0" w:color="auto"/>
                      </w:divBdr>
                      <w:divsChild>
                        <w:div w:id="294149755">
                          <w:marLeft w:val="0"/>
                          <w:marRight w:val="0"/>
                          <w:marTop w:val="0"/>
                          <w:marBottom w:val="0"/>
                          <w:divBdr>
                            <w:top w:val="none" w:sz="0" w:space="0" w:color="auto"/>
                            <w:left w:val="none" w:sz="0" w:space="0" w:color="auto"/>
                            <w:bottom w:val="none" w:sz="0" w:space="0" w:color="auto"/>
                            <w:right w:val="none" w:sz="0" w:space="0" w:color="auto"/>
                          </w:divBdr>
                        </w:div>
                      </w:divsChild>
                    </w:div>
                    <w:div w:id="294148332">
                      <w:marLeft w:val="0"/>
                      <w:marRight w:val="0"/>
                      <w:marTop w:val="0"/>
                      <w:marBottom w:val="0"/>
                      <w:divBdr>
                        <w:top w:val="none" w:sz="0" w:space="0" w:color="auto"/>
                        <w:left w:val="none" w:sz="0" w:space="0" w:color="auto"/>
                        <w:bottom w:val="none" w:sz="0" w:space="0" w:color="auto"/>
                        <w:right w:val="none" w:sz="0" w:space="0" w:color="auto"/>
                      </w:divBdr>
                    </w:div>
                    <w:div w:id="294148475">
                      <w:marLeft w:val="0"/>
                      <w:marRight w:val="0"/>
                      <w:marTop w:val="0"/>
                      <w:marBottom w:val="0"/>
                      <w:divBdr>
                        <w:top w:val="none" w:sz="0" w:space="0" w:color="auto"/>
                        <w:left w:val="none" w:sz="0" w:space="0" w:color="auto"/>
                        <w:bottom w:val="none" w:sz="0" w:space="0" w:color="auto"/>
                        <w:right w:val="none" w:sz="0" w:space="0" w:color="auto"/>
                      </w:divBdr>
                    </w:div>
                    <w:div w:id="294148600">
                      <w:marLeft w:val="0"/>
                      <w:marRight w:val="0"/>
                      <w:marTop w:val="0"/>
                      <w:marBottom w:val="0"/>
                      <w:divBdr>
                        <w:top w:val="none" w:sz="0" w:space="0" w:color="auto"/>
                        <w:left w:val="none" w:sz="0" w:space="0" w:color="auto"/>
                        <w:bottom w:val="none" w:sz="0" w:space="0" w:color="auto"/>
                        <w:right w:val="none" w:sz="0" w:space="0" w:color="auto"/>
                      </w:divBdr>
                    </w:div>
                    <w:div w:id="294148992">
                      <w:marLeft w:val="0"/>
                      <w:marRight w:val="0"/>
                      <w:marTop w:val="0"/>
                      <w:marBottom w:val="0"/>
                      <w:divBdr>
                        <w:top w:val="none" w:sz="0" w:space="0" w:color="auto"/>
                        <w:left w:val="none" w:sz="0" w:space="0" w:color="auto"/>
                        <w:bottom w:val="none" w:sz="0" w:space="0" w:color="auto"/>
                        <w:right w:val="none" w:sz="0" w:space="0" w:color="auto"/>
                      </w:divBdr>
                    </w:div>
                    <w:div w:id="294149032">
                      <w:marLeft w:val="0"/>
                      <w:marRight w:val="0"/>
                      <w:marTop w:val="0"/>
                      <w:marBottom w:val="0"/>
                      <w:divBdr>
                        <w:top w:val="none" w:sz="0" w:space="0" w:color="auto"/>
                        <w:left w:val="none" w:sz="0" w:space="0" w:color="auto"/>
                        <w:bottom w:val="none" w:sz="0" w:space="0" w:color="auto"/>
                        <w:right w:val="none" w:sz="0" w:space="0" w:color="auto"/>
                      </w:divBdr>
                      <w:divsChild>
                        <w:div w:id="294156134">
                          <w:marLeft w:val="0"/>
                          <w:marRight w:val="0"/>
                          <w:marTop w:val="0"/>
                          <w:marBottom w:val="0"/>
                          <w:divBdr>
                            <w:top w:val="none" w:sz="0" w:space="0" w:color="auto"/>
                            <w:left w:val="none" w:sz="0" w:space="0" w:color="auto"/>
                            <w:bottom w:val="none" w:sz="0" w:space="0" w:color="auto"/>
                            <w:right w:val="none" w:sz="0" w:space="0" w:color="auto"/>
                          </w:divBdr>
                        </w:div>
                      </w:divsChild>
                    </w:div>
                    <w:div w:id="294149089">
                      <w:marLeft w:val="0"/>
                      <w:marRight w:val="0"/>
                      <w:marTop w:val="0"/>
                      <w:marBottom w:val="0"/>
                      <w:divBdr>
                        <w:top w:val="none" w:sz="0" w:space="0" w:color="auto"/>
                        <w:left w:val="none" w:sz="0" w:space="0" w:color="auto"/>
                        <w:bottom w:val="none" w:sz="0" w:space="0" w:color="auto"/>
                        <w:right w:val="none" w:sz="0" w:space="0" w:color="auto"/>
                      </w:divBdr>
                    </w:div>
                    <w:div w:id="294149197">
                      <w:marLeft w:val="0"/>
                      <w:marRight w:val="0"/>
                      <w:marTop w:val="0"/>
                      <w:marBottom w:val="0"/>
                      <w:divBdr>
                        <w:top w:val="none" w:sz="0" w:space="0" w:color="auto"/>
                        <w:left w:val="none" w:sz="0" w:space="0" w:color="auto"/>
                        <w:bottom w:val="none" w:sz="0" w:space="0" w:color="auto"/>
                        <w:right w:val="none" w:sz="0" w:space="0" w:color="auto"/>
                      </w:divBdr>
                    </w:div>
                    <w:div w:id="294149232">
                      <w:marLeft w:val="0"/>
                      <w:marRight w:val="0"/>
                      <w:marTop w:val="0"/>
                      <w:marBottom w:val="0"/>
                      <w:divBdr>
                        <w:top w:val="none" w:sz="0" w:space="0" w:color="auto"/>
                        <w:left w:val="none" w:sz="0" w:space="0" w:color="auto"/>
                        <w:bottom w:val="none" w:sz="0" w:space="0" w:color="auto"/>
                        <w:right w:val="none" w:sz="0" w:space="0" w:color="auto"/>
                      </w:divBdr>
                      <w:divsChild>
                        <w:div w:id="294152880">
                          <w:marLeft w:val="0"/>
                          <w:marRight w:val="0"/>
                          <w:marTop w:val="0"/>
                          <w:marBottom w:val="0"/>
                          <w:divBdr>
                            <w:top w:val="none" w:sz="0" w:space="0" w:color="auto"/>
                            <w:left w:val="none" w:sz="0" w:space="0" w:color="auto"/>
                            <w:bottom w:val="none" w:sz="0" w:space="0" w:color="auto"/>
                            <w:right w:val="none" w:sz="0" w:space="0" w:color="auto"/>
                          </w:divBdr>
                        </w:div>
                      </w:divsChild>
                    </w:div>
                    <w:div w:id="294149399">
                      <w:marLeft w:val="0"/>
                      <w:marRight w:val="0"/>
                      <w:marTop w:val="0"/>
                      <w:marBottom w:val="0"/>
                      <w:divBdr>
                        <w:top w:val="none" w:sz="0" w:space="0" w:color="auto"/>
                        <w:left w:val="none" w:sz="0" w:space="0" w:color="auto"/>
                        <w:bottom w:val="none" w:sz="0" w:space="0" w:color="auto"/>
                        <w:right w:val="none" w:sz="0" w:space="0" w:color="auto"/>
                      </w:divBdr>
                    </w:div>
                    <w:div w:id="294149510">
                      <w:marLeft w:val="0"/>
                      <w:marRight w:val="0"/>
                      <w:marTop w:val="0"/>
                      <w:marBottom w:val="0"/>
                      <w:divBdr>
                        <w:top w:val="none" w:sz="0" w:space="0" w:color="auto"/>
                        <w:left w:val="none" w:sz="0" w:space="0" w:color="auto"/>
                        <w:bottom w:val="none" w:sz="0" w:space="0" w:color="auto"/>
                        <w:right w:val="none" w:sz="0" w:space="0" w:color="auto"/>
                      </w:divBdr>
                    </w:div>
                    <w:div w:id="294149568">
                      <w:marLeft w:val="0"/>
                      <w:marRight w:val="0"/>
                      <w:marTop w:val="0"/>
                      <w:marBottom w:val="0"/>
                      <w:divBdr>
                        <w:top w:val="none" w:sz="0" w:space="0" w:color="auto"/>
                        <w:left w:val="none" w:sz="0" w:space="0" w:color="auto"/>
                        <w:bottom w:val="none" w:sz="0" w:space="0" w:color="auto"/>
                        <w:right w:val="none" w:sz="0" w:space="0" w:color="auto"/>
                      </w:divBdr>
                    </w:div>
                    <w:div w:id="294150461">
                      <w:marLeft w:val="0"/>
                      <w:marRight w:val="0"/>
                      <w:marTop w:val="0"/>
                      <w:marBottom w:val="0"/>
                      <w:divBdr>
                        <w:top w:val="none" w:sz="0" w:space="0" w:color="auto"/>
                        <w:left w:val="none" w:sz="0" w:space="0" w:color="auto"/>
                        <w:bottom w:val="none" w:sz="0" w:space="0" w:color="auto"/>
                        <w:right w:val="none" w:sz="0" w:space="0" w:color="auto"/>
                      </w:divBdr>
                    </w:div>
                    <w:div w:id="294150595">
                      <w:marLeft w:val="0"/>
                      <w:marRight w:val="0"/>
                      <w:marTop w:val="0"/>
                      <w:marBottom w:val="0"/>
                      <w:divBdr>
                        <w:top w:val="none" w:sz="0" w:space="0" w:color="auto"/>
                        <w:left w:val="none" w:sz="0" w:space="0" w:color="auto"/>
                        <w:bottom w:val="none" w:sz="0" w:space="0" w:color="auto"/>
                        <w:right w:val="none" w:sz="0" w:space="0" w:color="auto"/>
                      </w:divBdr>
                    </w:div>
                    <w:div w:id="294150727">
                      <w:marLeft w:val="0"/>
                      <w:marRight w:val="0"/>
                      <w:marTop w:val="0"/>
                      <w:marBottom w:val="0"/>
                      <w:divBdr>
                        <w:top w:val="none" w:sz="0" w:space="0" w:color="auto"/>
                        <w:left w:val="none" w:sz="0" w:space="0" w:color="auto"/>
                        <w:bottom w:val="none" w:sz="0" w:space="0" w:color="auto"/>
                        <w:right w:val="none" w:sz="0" w:space="0" w:color="auto"/>
                      </w:divBdr>
                      <w:divsChild>
                        <w:div w:id="294141760">
                          <w:marLeft w:val="0"/>
                          <w:marRight w:val="0"/>
                          <w:marTop w:val="0"/>
                          <w:marBottom w:val="0"/>
                          <w:divBdr>
                            <w:top w:val="none" w:sz="0" w:space="0" w:color="auto"/>
                            <w:left w:val="none" w:sz="0" w:space="0" w:color="auto"/>
                            <w:bottom w:val="none" w:sz="0" w:space="0" w:color="auto"/>
                            <w:right w:val="none" w:sz="0" w:space="0" w:color="auto"/>
                          </w:divBdr>
                        </w:div>
                      </w:divsChild>
                    </w:div>
                    <w:div w:id="294150975">
                      <w:marLeft w:val="0"/>
                      <w:marRight w:val="0"/>
                      <w:marTop w:val="0"/>
                      <w:marBottom w:val="0"/>
                      <w:divBdr>
                        <w:top w:val="none" w:sz="0" w:space="0" w:color="auto"/>
                        <w:left w:val="none" w:sz="0" w:space="0" w:color="auto"/>
                        <w:bottom w:val="none" w:sz="0" w:space="0" w:color="auto"/>
                        <w:right w:val="none" w:sz="0" w:space="0" w:color="auto"/>
                      </w:divBdr>
                    </w:div>
                    <w:div w:id="294151180">
                      <w:marLeft w:val="0"/>
                      <w:marRight w:val="0"/>
                      <w:marTop w:val="0"/>
                      <w:marBottom w:val="0"/>
                      <w:divBdr>
                        <w:top w:val="none" w:sz="0" w:space="0" w:color="auto"/>
                        <w:left w:val="none" w:sz="0" w:space="0" w:color="auto"/>
                        <w:bottom w:val="none" w:sz="0" w:space="0" w:color="auto"/>
                        <w:right w:val="none" w:sz="0" w:space="0" w:color="auto"/>
                      </w:divBdr>
                      <w:divsChild>
                        <w:div w:id="294151371">
                          <w:marLeft w:val="0"/>
                          <w:marRight w:val="0"/>
                          <w:marTop w:val="0"/>
                          <w:marBottom w:val="0"/>
                          <w:divBdr>
                            <w:top w:val="none" w:sz="0" w:space="0" w:color="auto"/>
                            <w:left w:val="none" w:sz="0" w:space="0" w:color="auto"/>
                            <w:bottom w:val="none" w:sz="0" w:space="0" w:color="auto"/>
                            <w:right w:val="none" w:sz="0" w:space="0" w:color="auto"/>
                          </w:divBdr>
                        </w:div>
                      </w:divsChild>
                    </w:div>
                    <w:div w:id="294151252">
                      <w:marLeft w:val="0"/>
                      <w:marRight w:val="0"/>
                      <w:marTop w:val="0"/>
                      <w:marBottom w:val="0"/>
                      <w:divBdr>
                        <w:top w:val="none" w:sz="0" w:space="0" w:color="auto"/>
                        <w:left w:val="none" w:sz="0" w:space="0" w:color="auto"/>
                        <w:bottom w:val="none" w:sz="0" w:space="0" w:color="auto"/>
                        <w:right w:val="none" w:sz="0" w:space="0" w:color="auto"/>
                      </w:divBdr>
                      <w:divsChild>
                        <w:div w:id="294151494">
                          <w:marLeft w:val="0"/>
                          <w:marRight w:val="0"/>
                          <w:marTop w:val="0"/>
                          <w:marBottom w:val="0"/>
                          <w:divBdr>
                            <w:top w:val="none" w:sz="0" w:space="0" w:color="auto"/>
                            <w:left w:val="none" w:sz="0" w:space="0" w:color="auto"/>
                            <w:bottom w:val="none" w:sz="0" w:space="0" w:color="auto"/>
                            <w:right w:val="none" w:sz="0" w:space="0" w:color="auto"/>
                          </w:divBdr>
                        </w:div>
                      </w:divsChild>
                    </w:div>
                    <w:div w:id="294151346">
                      <w:marLeft w:val="0"/>
                      <w:marRight w:val="0"/>
                      <w:marTop w:val="0"/>
                      <w:marBottom w:val="0"/>
                      <w:divBdr>
                        <w:top w:val="none" w:sz="0" w:space="0" w:color="auto"/>
                        <w:left w:val="none" w:sz="0" w:space="0" w:color="auto"/>
                        <w:bottom w:val="none" w:sz="0" w:space="0" w:color="auto"/>
                        <w:right w:val="none" w:sz="0" w:space="0" w:color="auto"/>
                      </w:divBdr>
                    </w:div>
                    <w:div w:id="294151594">
                      <w:marLeft w:val="0"/>
                      <w:marRight w:val="0"/>
                      <w:marTop w:val="0"/>
                      <w:marBottom w:val="0"/>
                      <w:divBdr>
                        <w:top w:val="none" w:sz="0" w:space="0" w:color="auto"/>
                        <w:left w:val="none" w:sz="0" w:space="0" w:color="auto"/>
                        <w:bottom w:val="none" w:sz="0" w:space="0" w:color="auto"/>
                        <w:right w:val="none" w:sz="0" w:space="0" w:color="auto"/>
                      </w:divBdr>
                      <w:divsChild>
                        <w:div w:id="294140972">
                          <w:marLeft w:val="0"/>
                          <w:marRight w:val="0"/>
                          <w:marTop w:val="0"/>
                          <w:marBottom w:val="0"/>
                          <w:divBdr>
                            <w:top w:val="none" w:sz="0" w:space="0" w:color="auto"/>
                            <w:left w:val="none" w:sz="0" w:space="0" w:color="auto"/>
                            <w:bottom w:val="none" w:sz="0" w:space="0" w:color="auto"/>
                            <w:right w:val="none" w:sz="0" w:space="0" w:color="auto"/>
                          </w:divBdr>
                        </w:div>
                      </w:divsChild>
                    </w:div>
                    <w:div w:id="294151711">
                      <w:marLeft w:val="0"/>
                      <w:marRight w:val="0"/>
                      <w:marTop w:val="0"/>
                      <w:marBottom w:val="0"/>
                      <w:divBdr>
                        <w:top w:val="none" w:sz="0" w:space="0" w:color="auto"/>
                        <w:left w:val="none" w:sz="0" w:space="0" w:color="auto"/>
                        <w:bottom w:val="none" w:sz="0" w:space="0" w:color="auto"/>
                        <w:right w:val="none" w:sz="0" w:space="0" w:color="auto"/>
                      </w:divBdr>
                    </w:div>
                    <w:div w:id="294151712">
                      <w:marLeft w:val="0"/>
                      <w:marRight w:val="0"/>
                      <w:marTop w:val="0"/>
                      <w:marBottom w:val="0"/>
                      <w:divBdr>
                        <w:top w:val="none" w:sz="0" w:space="0" w:color="auto"/>
                        <w:left w:val="none" w:sz="0" w:space="0" w:color="auto"/>
                        <w:bottom w:val="none" w:sz="0" w:space="0" w:color="auto"/>
                        <w:right w:val="none" w:sz="0" w:space="0" w:color="auto"/>
                      </w:divBdr>
                    </w:div>
                    <w:div w:id="294151805">
                      <w:marLeft w:val="0"/>
                      <w:marRight w:val="0"/>
                      <w:marTop w:val="0"/>
                      <w:marBottom w:val="0"/>
                      <w:divBdr>
                        <w:top w:val="none" w:sz="0" w:space="0" w:color="auto"/>
                        <w:left w:val="none" w:sz="0" w:space="0" w:color="auto"/>
                        <w:bottom w:val="none" w:sz="0" w:space="0" w:color="auto"/>
                        <w:right w:val="none" w:sz="0" w:space="0" w:color="auto"/>
                      </w:divBdr>
                    </w:div>
                    <w:div w:id="294151806">
                      <w:marLeft w:val="0"/>
                      <w:marRight w:val="0"/>
                      <w:marTop w:val="0"/>
                      <w:marBottom w:val="0"/>
                      <w:divBdr>
                        <w:top w:val="none" w:sz="0" w:space="0" w:color="auto"/>
                        <w:left w:val="none" w:sz="0" w:space="0" w:color="auto"/>
                        <w:bottom w:val="none" w:sz="0" w:space="0" w:color="auto"/>
                        <w:right w:val="none" w:sz="0" w:space="0" w:color="auto"/>
                      </w:divBdr>
                      <w:divsChild>
                        <w:div w:id="294145153">
                          <w:marLeft w:val="0"/>
                          <w:marRight w:val="0"/>
                          <w:marTop w:val="0"/>
                          <w:marBottom w:val="0"/>
                          <w:divBdr>
                            <w:top w:val="none" w:sz="0" w:space="0" w:color="auto"/>
                            <w:left w:val="none" w:sz="0" w:space="0" w:color="auto"/>
                            <w:bottom w:val="none" w:sz="0" w:space="0" w:color="auto"/>
                            <w:right w:val="none" w:sz="0" w:space="0" w:color="auto"/>
                          </w:divBdr>
                        </w:div>
                      </w:divsChild>
                    </w:div>
                    <w:div w:id="294151864">
                      <w:marLeft w:val="0"/>
                      <w:marRight w:val="0"/>
                      <w:marTop w:val="0"/>
                      <w:marBottom w:val="0"/>
                      <w:divBdr>
                        <w:top w:val="none" w:sz="0" w:space="0" w:color="auto"/>
                        <w:left w:val="none" w:sz="0" w:space="0" w:color="auto"/>
                        <w:bottom w:val="none" w:sz="0" w:space="0" w:color="auto"/>
                        <w:right w:val="none" w:sz="0" w:space="0" w:color="auto"/>
                      </w:divBdr>
                    </w:div>
                    <w:div w:id="294152241">
                      <w:marLeft w:val="0"/>
                      <w:marRight w:val="0"/>
                      <w:marTop w:val="0"/>
                      <w:marBottom w:val="0"/>
                      <w:divBdr>
                        <w:top w:val="none" w:sz="0" w:space="0" w:color="auto"/>
                        <w:left w:val="none" w:sz="0" w:space="0" w:color="auto"/>
                        <w:bottom w:val="none" w:sz="0" w:space="0" w:color="auto"/>
                        <w:right w:val="none" w:sz="0" w:space="0" w:color="auto"/>
                      </w:divBdr>
                      <w:divsChild>
                        <w:div w:id="294154195">
                          <w:marLeft w:val="0"/>
                          <w:marRight w:val="0"/>
                          <w:marTop w:val="0"/>
                          <w:marBottom w:val="0"/>
                          <w:divBdr>
                            <w:top w:val="none" w:sz="0" w:space="0" w:color="auto"/>
                            <w:left w:val="none" w:sz="0" w:space="0" w:color="auto"/>
                            <w:bottom w:val="none" w:sz="0" w:space="0" w:color="auto"/>
                            <w:right w:val="none" w:sz="0" w:space="0" w:color="auto"/>
                          </w:divBdr>
                        </w:div>
                      </w:divsChild>
                    </w:div>
                    <w:div w:id="294152285">
                      <w:marLeft w:val="0"/>
                      <w:marRight w:val="0"/>
                      <w:marTop w:val="0"/>
                      <w:marBottom w:val="0"/>
                      <w:divBdr>
                        <w:top w:val="none" w:sz="0" w:space="0" w:color="auto"/>
                        <w:left w:val="none" w:sz="0" w:space="0" w:color="auto"/>
                        <w:bottom w:val="none" w:sz="0" w:space="0" w:color="auto"/>
                        <w:right w:val="none" w:sz="0" w:space="0" w:color="auto"/>
                      </w:divBdr>
                    </w:div>
                    <w:div w:id="294152288">
                      <w:marLeft w:val="0"/>
                      <w:marRight w:val="0"/>
                      <w:marTop w:val="0"/>
                      <w:marBottom w:val="0"/>
                      <w:divBdr>
                        <w:top w:val="none" w:sz="0" w:space="0" w:color="auto"/>
                        <w:left w:val="none" w:sz="0" w:space="0" w:color="auto"/>
                        <w:bottom w:val="none" w:sz="0" w:space="0" w:color="auto"/>
                        <w:right w:val="none" w:sz="0" w:space="0" w:color="auto"/>
                      </w:divBdr>
                      <w:divsChild>
                        <w:div w:id="294148736">
                          <w:marLeft w:val="0"/>
                          <w:marRight w:val="0"/>
                          <w:marTop w:val="0"/>
                          <w:marBottom w:val="0"/>
                          <w:divBdr>
                            <w:top w:val="none" w:sz="0" w:space="0" w:color="auto"/>
                            <w:left w:val="none" w:sz="0" w:space="0" w:color="auto"/>
                            <w:bottom w:val="none" w:sz="0" w:space="0" w:color="auto"/>
                            <w:right w:val="none" w:sz="0" w:space="0" w:color="auto"/>
                          </w:divBdr>
                        </w:div>
                      </w:divsChild>
                    </w:div>
                    <w:div w:id="294152314">
                      <w:marLeft w:val="0"/>
                      <w:marRight w:val="0"/>
                      <w:marTop w:val="0"/>
                      <w:marBottom w:val="0"/>
                      <w:divBdr>
                        <w:top w:val="none" w:sz="0" w:space="0" w:color="auto"/>
                        <w:left w:val="none" w:sz="0" w:space="0" w:color="auto"/>
                        <w:bottom w:val="none" w:sz="0" w:space="0" w:color="auto"/>
                        <w:right w:val="none" w:sz="0" w:space="0" w:color="auto"/>
                      </w:divBdr>
                    </w:div>
                    <w:div w:id="294152415">
                      <w:marLeft w:val="0"/>
                      <w:marRight w:val="0"/>
                      <w:marTop w:val="0"/>
                      <w:marBottom w:val="0"/>
                      <w:divBdr>
                        <w:top w:val="none" w:sz="0" w:space="0" w:color="auto"/>
                        <w:left w:val="none" w:sz="0" w:space="0" w:color="auto"/>
                        <w:bottom w:val="none" w:sz="0" w:space="0" w:color="auto"/>
                        <w:right w:val="none" w:sz="0" w:space="0" w:color="auto"/>
                      </w:divBdr>
                      <w:divsChild>
                        <w:div w:id="294141923">
                          <w:marLeft w:val="0"/>
                          <w:marRight w:val="0"/>
                          <w:marTop w:val="0"/>
                          <w:marBottom w:val="0"/>
                          <w:divBdr>
                            <w:top w:val="none" w:sz="0" w:space="0" w:color="auto"/>
                            <w:left w:val="none" w:sz="0" w:space="0" w:color="auto"/>
                            <w:bottom w:val="none" w:sz="0" w:space="0" w:color="auto"/>
                            <w:right w:val="none" w:sz="0" w:space="0" w:color="auto"/>
                          </w:divBdr>
                        </w:div>
                      </w:divsChild>
                    </w:div>
                    <w:div w:id="294152584">
                      <w:marLeft w:val="0"/>
                      <w:marRight w:val="0"/>
                      <w:marTop w:val="0"/>
                      <w:marBottom w:val="0"/>
                      <w:divBdr>
                        <w:top w:val="none" w:sz="0" w:space="0" w:color="auto"/>
                        <w:left w:val="none" w:sz="0" w:space="0" w:color="auto"/>
                        <w:bottom w:val="none" w:sz="0" w:space="0" w:color="auto"/>
                        <w:right w:val="none" w:sz="0" w:space="0" w:color="auto"/>
                      </w:divBdr>
                      <w:divsChild>
                        <w:div w:id="294155539">
                          <w:marLeft w:val="0"/>
                          <w:marRight w:val="0"/>
                          <w:marTop w:val="0"/>
                          <w:marBottom w:val="0"/>
                          <w:divBdr>
                            <w:top w:val="none" w:sz="0" w:space="0" w:color="auto"/>
                            <w:left w:val="none" w:sz="0" w:space="0" w:color="auto"/>
                            <w:bottom w:val="none" w:sz="0" w:space="0" w:color="auto"/>
                            <w:right w:val="none" w:sz="0" w:space="0" w:color="auto"/>
                          </w:divBdr>
                        </w:div>
                      </w:divsChild>
                    </w:div>
                    <w:div w:id="294152805">
                      <w:marLeft w:val="0"/>
                      <w:marRight w:val="0"/>
                      <w:marTop w:val="0"/>
                      <w:marBottom w:val="0"/>
                      <w:divBdr>
                        <w:top w:val="none" w:sz="0" w:space="0" w:color="auto"/>
                        <w:left w:val="none" w:sz="0" w:space="0" w:color="auto"/>
                        <w:bottom w:val="none" w:sz="0" w:space="0" w:color="auto"/>
                        <w:right w:val="none" w:sz="0" w:space="0" w:color="auto"/>
                      </w:divBdr>
                    </w:div>
                    <w:div w:id="294153143">
                      <w:marLeft w:val="0"/>
                      <w:marRight w:val="0"/>
                      <w:marTop w:val="0"/>
                      <w:marBottom w:val="0"/>
                      <w:divBdr>
                        <w:top w:val="none" w:sz="0" w:space="0" w:color="auto"/>
                        <w:left w:val="none" w:sz="0" w:space="0" w:color="auto"/>
                        <w:bottom w:val="none" w:sz="0" w:space="0" w:color="auto"/>
                        <w:right w:val="none" w:sz="0" w:space="0" w:color="auto"/>
                      </w:divBdr>
                    </w:div>
                    <w:div w:id="294153201">
                      <w:marLeft w:val="0"/>
                      <w:marRight w:val="0"/>
                      <w:marTop w:val="0"/>
                      <w:marBottom w:val="0"/>
                      <w:divBdr>
                        <w:top w:val="none" w:sz="0" w:space="0" w:color="auto"/>
                        <w:left w:val="none" w:sz="0" w:space="0" w:color="auto"/>
                        <w:bottom w:val="none" w:sz="0" w:space="0" w:color="auto"/>
                        <w:right w:val="none" w:sz="0" w:space="0" w:color="auto"/>
                      </w:divBdr>
                      <w:divsChild>
                        <w:div w:id="294142858">
                          <w:marLeft w:val="0"/>
                          <w:marRight w:val="0"/>
                          <w:marTop w:val="0"/>
                          <w:marBottom w:val="0"/>
                          <w:divBdr>
                            <w:top w:val="none" w:sz="0" w:space="0" w:color="auto"/>
                            <w:left w:val="none" w:sz="0" w:space="0" w:color="auto"/>
                            <w:bottom w:val="none" w:sz="0" w:space="0" w:color="auto"/>
                            <w:right w:val="none" w:sz="0" w:space="0" w:color="auto"/>
                          </w:divBdr>
                        </w:div>
                      </w:divsChild>
                    </w:div>
                    <w:div w:id="294153442">
                      <w:marLeft w:val="0"/>
                      <w:marRight w:val="0"/>
                      <w:marTop w:val="0"/>
                      <w:marBottom w:val="0"/>
                      <w:divBdr>
                        <w:top w:val="none" w:sz="0" w:space="0" w:color="auto"/>
                        <w:left w:val="none" w:sz="0" w:space="0" w:color="auto"/>
                        <w:bottom w:val="none" w:sz="0" w:space="0" w:color="auto"/>
                        <w:right w:val="none" w:sz="0" w:space="0" w:color="auto"/>
                      </w:divBdr>
                      <w:divsChild>
                        <w:div w:id="294145102">
                          <w:marLeft w:val="0"/>
                          <w:marRight w:val="0"/>
                          <w:marTop w:val="0"/>
                          <w:marBottom w:val="0"/>
                          <w:divBdr>
                            <w:top w:val="none" w:sz="0" w:space="0" w:color="auto"/>
                            <w:left w:val="none" w:sz="0" w:space="0" w:color="auto"/>
                            <w:bottom w:val="none" w:sz="0" w:space="0" w:color="auto"/>
                            <w:right w:val="none" w:sz="0" w:space="0" w:color="auto"/>
                          </w:divBdr>
                        </w:div>
                      </w:divsChild>
                    </w:div>
                    <w:div w:id="294153452">
                      <w:marLeft w:val="0"/>
                      <w:marRight w:val="0"/>
                      <w:marTop w:val="0"/>
                      <w:marBottom w:val="0"/>
                      <w:divBdr>
                        <w:top w:val="none" w:sz="0" w:space="0" w:color="auto"/>
                        <w:left w:val="none" w:sz="0" w:space="0" w:color="auto"/>
                        <w:bottom w:val="none" w:sz="0" w:space="0" w:color="auto"/>
                        <w:right w:val="none" w:sz="0" w:space="0" w:color="auto"/>
                      </w:divBdr>
                      <w:divsChild>
                        <w:div w:id="294152143">
                          <w:marLeft w:val="0"/>
                          <w:marRight w:val="0"/>
                          <w:marTop w:val="0"/>
                          <w:marBottom w:val="0"/>
                          <w:divBdr>
                            <w:top w:val="none" w:sz="0" w:space="0" w:color="auto"/>
                            <w:left w:val="none" w:sz="0" w:space="0" w:color="auto"/>
                            <w:bottom w:val="none" w:sz="0" w:space="0" w:color="auto"/>
                            <w:right w:val="none" w:sz="0" w:space="0" w:color="auto"/>
                          </w:divBdr>
                        </w:div>
                      </w:divsChild>
                    </w:div>
                    <w:div w:id="294153482">
                      <w:marLeft w:val="0"/>
                      <w:marRight w:val="0"/>
                      <w:marTop w:val="0"/>
                      <w:marBottom w:val="0"/>
                      <w:divBdr>
                        <w:top w:val="none" w:sz="0" w:space="0" w:color="auto"/>
                        <w:left w:val="none" w:sz="0" w:space="0" w:color="auto"/>
                        <w:bottom w:val="none" w:sz="0" w:space="0" w:color="auto"/>
                        <w:right w:val="none" w:sz="0" w:space="0" w:color="auto"/>
                      </w:divBdr>
                      <w:divsChild>
                        <w:div w:id="294149695">
                          <w:marLeft w:val="0"/>
                          <w:marRight w:val="0"/>
                          <w:marTop w:val="0"/>
                          <w:marBottom w:val="0"/>
                          <w:divBdr>
                            <w:top w:val="none" w:sz="0" w:space="0" w:color="auto"/>
                            <w:left w:val="none" w:sz="0" w:space="0" w:color="auto"/>
                            <w:bottom w:val="none" w:sz="0" w:space="0" w:color="auto"/>
                            <w:right w:val="none" w:sz="0" w:space="0" w:color="auto"/>
                          </w:divBdr>
                        </w:div>
                      </w:divsChild>
                    </w:div>
                    <w:div w:id="294153727">
                      <w:marLeft w:val="0"/>
                      <w:marRight w:val="0"/>
                      <w:marTop w:val="0"/>
                      <w:marBottom w:val="0"/>
                      <w:divBdr>
                        <w:top w:val="none" w:sz="0" w:space="0" w:color="auto"/>
                        <w:left w:val="none" w:sz="0" w:space="0" w:color="auto"/>
                        <w:bottom w:val="none" w:sz="0" w:space="0" w:color="auto"/>
                        <w:right w:val="none" w:sz="0" w:space="0" w:color="auto"/>
                      </w:divBdr>
                      <w:divsChild>
                        <w:div w:id="294142249">
                          <w:marLeft w:val="0"/>
                          <w:marRight w:val="0"/>
                          <w:marTop w:val="0"/>
                          <w:marBottom w:val="0"/>
                          <w:divBdr>
                            <w:top w:val="none" w:sz="0" w:space="0" w:color="auto"/>
                            <w:left w:val="none" w:sz="0" w:space="0" w:color="auto"/>
                            <w:bottom w:val="none" w:sz="0" w:space="0" w:color="auto"/>
                            <w:right w:val="none" w:sz="0" w:space="0" w:color="auto"/>
                          </w:divBdr>
                        </w:div>
                      </w:divsChild>
                    </w:div>
                    <w:div w:id="294153804">
                      <w:marLeft w:val="0"/>
                      <w:marRight w:val="0"/>
                      <w:marTop w:val="0"/>
                      <w:marBottom w:val="0"/>
                      <w:divBdr>
                        <w:top w:val="none" w:sz="0" w:space="0" w:color="auto"/>
                        <w:left w:val="none" w:sz="0" w:space="0" w:color="auto"/>
                        <w:bottom w:val="none" w:sz="0" w:space="0" w:color="auto"/>
                        <w:right w:val="none" w:sz="0" w:space="0" w:color="auto"/>
                      </w:divBdr>
                      <w:divsChild>
                        <w:div w:id="294154930">
                          <w:marLeft w:val="0"/>
                          <w:marRight w:val="0"/>
                          <w:marTop w:val="0"/>
                          <w:marBottom w:val="0"/>
                          <w:divBdr>
                            <w:top w:val="none" w:sz="0" w:space="0" w:color="auto"/>
                            <w:left w:val="none" w:sz="0" w:space="0" w:color="auto"/>
                            <w:bottom w:val="none" w:sz="0" w:space="0" w:color="auto"/>
                            <w:right w:val="none" w:sz="0" w:space="0" w:color="auto"/>
                          </w:divBdr>
                        </w:div>
                      </w:divsChild>
                    </w:div>
                    <w:div w:id="294154365">
                      <w:marLeft w:val="0"/>
                      <w:marRight w:val="0"/>
                      <w:marTop w:val="0"/>
                      <w:marBottom w:val="0"/>
                      <w:divBdr>
                        <w:top w:val="none" w:sz="0" w:space="0" w:color="auto"/>
                        <w:left w:val="none" w:sz="0" w:space="0" w:color="auto"/>
                        <w:bottom w:val="none" w:sz="0" w:space="0" w:color="auto"/>
                        <w:right w:val="none" w:sz="0" w:space="0" w:color="auto"/>
                      </w:divBdr>
                      <w:divsChild>
                        <w:div w:id="294138613">
                          <w:marLeft w:val="0"/>
                          <w:marRight w:val="0"/>
                          <w:marTop w:val="0"/>
                          <w:marBottom w:val="0"/>
                          <w:divBdr>
                            <w:top w:val="none" w:sz="0" w:space="0" w:color="auto"/>
                            <w:left w:val="none" w:sz="0" w:space="0" w:color="auto"/>
                            <w:bottom w:val="none" w:sz="0" w:space="0" w:color="auto"/>
                            <w:right w:val="none" w:sz="0" w:space="0" w:color="auto"/>
                          </w:divBdr>
                        </w:div>
                      </w:divsChild>
                    </w:div>
                    <w:div w:id="294154679">
                      <w:marLeft w:val="0"/>
                      <w:marRight w:val="0"/>
                      <w:marTop w:val="0"/>
                      <w:marBottom w:val="0"/>
                      <w:divBdr>
                        <w:top w:val="none" w:sz="0" w:space="0" w:color="auto"/>
                        <w:left w:val="none" w:sz="0" w:space="0" w:color="auto"/>
                        <w:bottom w:val="none" w:sz="0" w:space="0" w:color="auto"/>
                        <w:right w:val="none" w:sz="0" w:space="0" w:color="auto"/>
                      </w:divBdr>
                    </w:div>
                    <w:div w:id="294154757">
                      <w:marLeft w:val="0"/>
                      <w:marRight w:val="0"/>
                      <w:marTop w:val="0"/>
                      <w:marBottom w:val="0"/>
                      <w:divBdr>
                        <w:top w:val="none" w:sz="0" w:space="0" w:color="auto"/>
                        <w:left w:val="none" w:sz="0" w:space="0" w:color="auto"/>
                        <w:bottom w:val="none" w:sz="0" w:space="0" w:color="auto"/>
                        <w:right w:val="none" w:sz="0" w:space="0" w:color="auto"/>
                      </w:divBdr>
                      <w:divsChild>
                        <w:div w:id="294142047">
                          <w:marLeft w:val="0"/>
                          <w:marRight w:val="0"/>
                          <w:marTop w:val="0"/>
                          <w:marBottom w:val="0"/>
                          <w:divBdr>
                            <w:top w:val="none" w:sz="0" w:space="0" w:color="auto"/>
                            <w:left w:val="none" w:sz="0" w:space="0" w:color="auto"/>
                            <w:bottom w:val="none" w:sz="0" w:space="0" w:color="auto"/>
                            <w:right w:val="none" w:sz="0" w:space="0" w:color="auto"/>
                          </w:divBdr>
                        </w:div>
                      </w:divsChild>
                    </w:div>
                    <w:div w:id="294155254">
                      <w:marLeft w:val="0"/>
                      <w:marRight w:val="0"/>
                      <w:marTop w:val="0"/>
                      <w:marBottom w:val="0"/>
                      <w:divBdr>
                        <w:top w:val="none" w:sz="0" w:space="0" w:color="auto"/>
                        <w:left w:val="none" w:sz="0" w:space="0" w:color="auto"/>
                        <w:bottom w:val="none" w:sz="0" w:space="0" w:color="auto"/>
                        <w:right w:val="none" w:sz="0" w:space="0" w:color="auto"/>
                      </w:divBdr>
                    </w:div>
                    <w:div w:id="294155294">
                      <w:marLeft w:val="0"/>
                      <w:marRight w:val="0"/>
                      <w:marTop w:val="0"/>
                      <w:marBottom w:val="0"/>
                      <w:divBdr>
                        <w:top w:val="none" w:sz="0" w:space="0" w:color="auto"/>
                        <w:left w:val="none" w:sz="0" w:space="0" w:color="auto"/>
                        <w:bottom w:val="none" w:sz="0" w:space="0" w:color="auto"/>
                        <w:right w:val="none" w:sz="0" w:space="0" w:color="auto"/>
                      </w:divBdr>
                    </w:div>
                    <w:div w:id="294155546">
                      <w:marLeft w:val="0"/>
                      <w:marRight w:val="0"/>
                      <w:marTop w:val="0"/>
                      <w:marBottom w:val="0"/>
                      <w:divBdr>
                        <w:top w:val="none" w:sz="0" w:space="0" w:color="auto"/>
                        <w:left w:val="none" w:sz="0" w:space="0" w:color="auto"/>
                        <w:bottom w:val="none" w:sz="0" w:space="0" w:color="auto"/>
                        <w:right w:val="none" w:sz="0" w:space="0" w:color="auto"/>
                      </w:divBdr>
                      <w:divsChild>
                        <w:div w:id="294149961">
                          <w:marLeft w:val="0"/>
                          <w:marRight w:val="0"/>
                          <w:marTop w:val="0"/>
                          <w:marBottom w:val="0"/>
                          <w:divBdr>
                            <w:top w:val="none" w:sz="0" w:space="0" w:color="auto"/>
                            <w:left w:val="none" w:sz="0" w:space="0" w:color="auto"/>
                            <w:bottom w:val="none" w:sz="0" w:space="0" w:color="auto"/>
                            <w:right w:val="none" w:sz="0" w:space="0" w:color="auto"/>
                          </w:divBdr>
                        </w:div>
                      </w:divsChild>
                    </w:div>
                    <w:div w:id="294155853">
                      <w:marLeft w:val="0"/>
                      <w:marRight w:val="0"/>
                      <w:marTop w:val="0"/>
                      <w:marBottom w:val="0"/>
                      <w:divBdr>
                        <w:top w:val="none" w:sz="0" w:space="0" w:color="auto"/>
                        <w:left w:val="none" w:sz="0" w:space="0" w:color="auto"/>
                        <w:bottom w:val="none" w:sz="0" w:space="0" w:color="auto"/>
                        <w:right w:val="none" w:sz="0" w:space="0" w:color="auto"/>
                      </w:divBdr>
                    </w:div>
                    <w:div w:id="294155860">
                      <w:marLeft w:val="0"/>
                      <w:marRight w:val="0"/>
                      <w:marTop w:val="0"/>
                      <w:marBottom w:val="0"/>
                      <w:divBdr>
                        <w:top w:val="none" w:sz="0" w:space="0" w:color="auto"/>
                        <w:left w:val="none" w:sz="0" w:space="0" w:color="auto"/>
                        <w:bottom w:val="none" w:sz="0" w:space="0" w:color="auto"/>
                        <w:right w:val="none" w:sz="0" w:space="0" w:color="auto"/>
                      </w:divBdr>
                    </w:div>
                    <w:div w:id="294155875">
                      <w:marLeft w:val="0"/>
                      <w:marRight w:val="0"/>
                      <w:marTop w:val="0"/>
                      <w:marBottom w:val="0"/>
                      <w:divBdr>
                        <w:top w:val="none" w:sz="0" w:space="0" w:color="auto"/>
                        <w:left w:val="none" w:sz="0" w:space="0" w:color="auto"/>
                        <w:bottom w:val="none" w:sz="0" w:space="0" w:color="auto"/>
                        <w:right w:val="none" w:sz="0" w:space="0" w:color="auto"/>
                      </w:divBdr>
                    </w:div>
                    <w:div w:id="294156121">
                      <w:marLeft w:val="0"/>
                      <w:marRight w:val="0"/>
                      <w:marTop w:val="0"/>
                      <w:marBottom w:val="0"/>
                      <w:divBdr>
                        <w:top w:val="none" w:sz="0" w:space="0" w:color="auto"/>
                        <w:left w:val="none" w:sz="0" w:space="0" w:color="auto"/>
                        <w:bottom w:val="none" w:sz="0" w:space="0" w:color="auto"/>
                        <w:right w:val="none" w:sz="0" w:space="0" w:color="auto"/>
                      </w:divBdr>
                      <w:divsChild>
                        <w:div w:id="294149989">
                          <w:marLeft w:val="0"/>
                          <w:marRight w:val="0"/>
                          <w:marTop w:val="0"/>
                          <w:marBottom w:val="0"/>
                          <w:divBdr>
                            <w:top w:val="none" w:sz="0" w:space="0" w:color="auto"/>
                            <w:left w:val="none" w:sz="0" w:space="0" w:color="auto"/>
                            <w:bottom w:val="none" w:sz="0" w:space="0" w:color="auto"/>
                            <w:right w:val="none" w:sz="0" w:space="0" w:color="auto"/>
                          </w:divBdr>
                        </w:div>
                      </w:divsChild>
                    </w:div>
                    <w:div w:id="294156188">
                      <w:marLeft w:val="0"/>
                      <w:marRight w:val="0"/>
                      <w:marTop w:val="0"/>
                      <w:marBottom w:val="0"/>
                      <w:divBdr>
                        <w:top w:val="none" w:sz="0" w:space="0" w:color="auto"/>
                        <w:left w:val="none" w:sz="0" w:space="0" w:color="auto"/>
                        <w:bottom w:val="none" w:sz="0" w:space="0" w:color="auto"/>
                        <w:right w:val="none" w:sz="0" w:space="0" w:color="auto"/>
                      </w:divBdr>
                    </w:div>
                    <w:div w:id="294156289">
                      <w:marLeft w:val="0"/>
                      <w:marRight w:val="0"/>
                      <w:marTop w:val="0"/>
                      <w:marBottom w:val="0"/>
                      <w:divBdr>
                        <w:top w:val="none" w:sz="0" w:space="0" w:color="auto"/>
                        <w:left w:val="none" w:sz="0" w:space="0" w:color="auto"/>
                        <w:bottom w:val="none" w:sz="0" w:space="0" w:color="auto"/>
                        <w:right w:val="none" w:sz="0" w:space="0" w:color="auto"/>
                      </w:divBdr>
                    </w:div>
                    <w:div w:id="294156610">
                      <w:marLeft w:val="0"/>
                      <w:marRight w:val="0"/>
                      <w:marTop w:val="0"/>
                      <w:marBottom w:val="0"/>
                      <w:divBdr>
                        <w:top w:val="none" w:sz="0" w:space="0" w:color="auto"/>
                        <w:left w:val="none" w:sz="0" w:space="0" w:color="auto"/>
                        <w:bottom w:val="none" w:sz="0" w:space="0" w:color="auto"/>
                        <w:right w:val="none" w:sz="0" w:space="0" w:color="auto"/>
                      </w:divBdr>
                    </w:div>
                    <w:div w:id="294157114">
                      <w:marLeft w:val="0"/>
                      <w:marRight w:val="0"/>
                      <w:marTop w:val="0"/>
                      <w:marBottom w:val="0"/>
                      <w:divBdr>
                        <w:top w:val="none" w:sz="0" w:space="0" w:color="auto"/>
                        <w:left w:val="none" w:sz="0" w:space="0" w:color="auto"/>
                        <w:bottom w:val="none" w:sz="0" w:space="0" w:color="auto"/>
                        <w:right w:val="none" w:sz="0" w:space="0" w:color="auto"/>
                      </w:divBdr>
                    </w:div>
                    <w:div w:id="294157121">
                      <w:marLeft w:val="0"/>
                      <w:marRight w:val="0"/>
                      <w:marTop w:val="0"/>
                      <w:marBottom w:val="0"/>
                      <w:divBdr>
                        <w:top w:val="none" w:sz="0" w:space="0" w:color="auto"/>
                        <w:left w:val="none" w:sz="0" w:space="0" w:color="auto"/>
                        <w:bottom w:val="none" w:sz="0" w:space="0" w:color="auto"/>
                        <w:right w:val="none" w:sz="0" w:space="0" w:color="auto"/>
                      </w:divBdr>
                      <w:divsChild>
                        <w:div w:id="294155721">
                          <w:marLeft w:val="0"/>
                          <w:marRight w:val="0"/>
                          <w:marTop w:val="0"/>
                          <w:marBottom w:val="0"/>
                          <w:divBdr>
                            <w:top w:val="none" w:sz="0" w:space="0" w:color="auto"/>
                            <w:left w:val="none" w:sz="0" w:space="0" w:color="auto"/>
                            <w:bottom w:val="none" w:sz="0" w:space="0" w:color="auto"/>
                            <w:right w:val="none" w:sz="0" w:space="0" w:color="auto"/>
                          </w:divBdr>
                        </w:div>
                      </w:divsChild>
                    </w:div>
                    <w:div w:id="294157172">
                      <w:marLeft w:val="0"/>
                      <w:marRight w:val="0"/>
                      <w:marTop w:val="0"/>
                      <w:marBottom w:val="0"/>
                      <w:divBdr>
                        <w:top w:val="none" w:sz="0" w:space="0" w:color="auto"/>
                        <w:left w:val="none" w:sz="0" w:space="0" w:color="auto"/>
                        <w:bottom w:val="none" w:sz="0" w:space="0" w:color="auto"/>
                        <w:right w:val="none" w:sz="0" w:space="0" w:color="auto"/>
                      </w:divBdr>
                      <w:divsChild>
                        <w:div w:id="29414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56623">
          <w:marLeft w:val="0"/>
          <w:marRight w:val="0"/>
          <w:marTop w:val="0"/>
          <w:marBottom w:val="0"/>
          <w:divBdr>
            <w:top w:val="none" w:sz="0" w:space="0" w:color="auto"/>
            <w:left w:val="none" w:sz="0" w:space="0" w:color="auto"/>
            <w:bottom w:val="none" w:sz="0" w:space="0" w:color="auto"/>
            <w:right w:val="none" w:sz="0" w:space="0" w:color="auto"/>
          </w:divBdr>
          <w:divsChild>
            <w:div w:id="294144451">
              <w:marLeft w:val="0"/>
              <w:marRight w:val="0"/>
              <w:marTop w:val="0"/>
              <w:marBottom w:val="0"/>
              <w:divBdr>
                <w:top w:val="none" w:sz="0" w:space="0" w:color="auto"/>
                <w:left w:val="none" w:sz="0" w:space="0" w:color="auto"/>
                <w:bottom w:val="none" w:sz="0" w:space="0" w:color="auto"/>
                <w:right w:val="none" w:sz="0" w:space="0" w:color="auto"/>
              </w:divBdr>
              <w:divsChild>
                <w:div w:id="29415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48448">
      <w:marLeft w:val="0"/>
      <w:marRight w:val="0"/>
      <w:marTop w:val="0"/>
      <w:marBottom w:val="0"/>
      <w:divBdr>
        <w:top w:val="none" w:sz="0" w:space="0" w:color="auto"/>
        <w:left w:val="none" w:sz="0" w:space="0" w:color="auto"/>
        <w:bottom w:val="none" w:sz="0" w:space="0" w:color="auto"/>
        <w:right w:val="none" w:sz="0" w:space="0" w:color="auto"/>
      </w:divBdr>
    </w:div>
    <w:div w:id="294148515">
      <w:marLeft w:val="0"/>
      <w:marRight w:val="0"/>
      <w:marTop w:val="0"/>
      <w:marBottom w:val="0"/>
      <w:divBdr>
        <w:top w:val="none" w:sz="0" w:space="0" w:color="auto"/>
        <w:left w:val="none" w:sz="0" w:space="0" w:color="auto"/>
        <w:bottom w:val="none" w:sz="0" w:space="0" w:color="auto"/>
        <w:right w:val="none" w:sz="0" w:space="0" w:color="auto"/>
      </w:divBdr>
      <w:divsChild>
        <w:div w:id="294142591">
          <w:marLeft w:val="0"/>
          <w:marRight w:val="0"/>
          <w:marTop w:val="0"/>
          <w:marBottom w:val="0"/>
          <w:divBdr>
            <w:top w:val="none" w:sz="0" w:space="0" w:color="auto"/>
            <w:left w:val="none" w:sz="0" w:space="0" w:color="auto"/>
            <w:bottom w:val="none" w:sz="0" w:space="0" w:color="auto"/>
            <w:right w:val="none" w:sz="0" w:space="0" w:color="auto"/>
          </w:divBdr>
        </w:div>
        <w:div w:id="294155406">
          <w:marLeft w:val="0"/>
          <w:marRight w:val="0"/>
          <w:marTop w:val="0"/>
          <w:marBottom w:val="0"/>
          <w:divBdr>
            <w:top w:val="none" w:sz="0" w:space="0" w:color="auto"/>
            <w:left w:val="none" w:sz="0" w:space="0" w:color="auto"/>
            <w:bottom w:val="none" w:sz="0" w:space="0" w:color="auto"/>
            <w:right w:val="none" w:sz="0" w:space="0" w:color="auto"/>
          </w:divBdr>
        </w:div>
      </w:divsChild>
    </w:div>
    <w:div w:id="294148534">
      <w:marLeft w:val="0"/>
      <w:marRight w:val="0"/>
      <w:marTop w:val="0"/>
      <w:marBottom w:val="0"/>
      <w:divBdr>
        <w:top w:val="none" w:sz="0" w:space="0" w:color="auto"/>
        <w:left w:val="none" w:sz="0" w:space="0" w:color="auto"/>
        <w:bottom w:val="none" w:sz="0" w:space="0" w:color="auto"/>
        <w:right w:val="none" w:sz="0" w:space="0" w:color="auto"/>
      </w:divBdr>
    </w:div>
    <w:div w:id="294148552">
      <w:marLeft w:val="0"/>
      <w:marRight w:val="0"/>
      <w:marTop w:val="0"/>
      <w:marBottom w:val="0"/>
      <w:divBdr>
        <w:top w:val="none" w:sz="0" w:space="0" w:color="auto"/>
        <w:left w:val="none" w:sz="0" w:space="0" w:color="auto"/>
        <w:bottom w:val="none" w:sz="0" w:space="0" w:color="auto"/>
        <w:right w:val="none" w:sz="0" w:space="0" w:color="auto"/>
      </w:divBdr>
    </w:div>
    <w:div w:id="294148564">
      <w:marLeft w:val="0"/>
      <w:marRight w:val="0"/>
      <w:marTop w:val="0"/>
      <w:marBottom w:val="0"/>
      <w:divBdr>
        <w:top w:val="none" w:sz="0" w:space="0" w:color="auto"/>
        <w:left w:val="none" w:sz="0" w:space="0" w:color="auto"/>
        <w:bottom w:val="none" w:sz="0" w:space="0" w:color="auto"/>
        <w:right w:val="none" w:sz="0" w:space="0" w:color="auto"/>
      </w:divBdr>
      <w:divsChild>
        <w:div w:id="294142592">
          <w:marLeft w:val="0"/>
          <w:marRight w:val="0"/>
          <w:marTop w:val="0"/>
          <w:marBottom w:val="400"/>
          <w:divBdr>
            <w:top w:val="none" w:sz="0" w:space="0" w:color="auto"/>
            <w:left w:val="none" w:sz="0" w:space="0" w:color="auto"/>
            <w:bottom w:val="none" w:sz="0" w:space="0" w:color="auto"/>
            <w:right w:val="none" w:sz="0" w:space="0" w:color="auto"/>
          </w:divBdr>
        </w:div>
      </w:divsChild>
    </w:div>
    <w:div w:id="294148629">
      <w:marLeft w:val="0"/>
      <w:marRight w:val="0"/>
      <w:marTop w:val="0"/>
      <w:marBottom w:val="0"/>
      <w:divBdr>
        <w:top w:val="none" w:sz="0" w:space="0" w:color="auto"/>
        <w:left w:val="none" w:sz="0" w:space="0" w:color="auto"/>
        <w:bottom w:val="none" w:sz="0" w:space="0" w:color="auto"/>
        <w:right w:val="none" w:sz="0" w:space="0" w:color="auto"/>
      </w:divBdr>
      <w:divsChild>
        <w:div w:id="294157031">
          <w:marLeft w:val="0"/>
          <w:marRight w:val="0"/>
          <w:marTop w:val="0"/>
          <w:marBottom w:val="0"/>
          <w:divBdr>
            <w:top w:val="none" w:sz="0" w:space="0" w:color="auto"/>
            <w:left w:val="none" w:sz="0" w:space="0" w:color="auto"/>
            <w:bottom w:val="none" w:sz="0" w:space="0" w:color="auto"/>
            <w:right w:val="none" w:sz="0" w:space="0" w:color="auto"/>
          </w:divBdr>
        </w:div>
      </w:divsChild>
    </w:div>
    <w:div w:id="294148703">
      <w:marLeft w:val="0"/>
      <w:marRight w:val="0"/>
      <w:marTop w:val="0"/>
      <w:marBottom w:val="0"/>
      <w:divBdr>
        <w:top w:val="none" w:sz="0" w:space="0" w:color="auto"/>
        <w:left w:val="none" w:sz="0" w:space="0" w:color="auto"/>
        <w:bottom w:val="none" w:sz="0" w:space="0" w:color="auto"/>
        <w:right w:val="none" w:sz="0" w:space="0" w:color="auto"/>
      </w:divBdr>
    </w:div>
    <w:div w:id="294148768">
      <w:marLeft w:val="0"/>
      <w:marRight w:val="0"/>
      <w:marTop w:val="0"/>
      <w:marBottom w:val="0"/>
      <w:divBdr>
        <w:top w:val="none" w:sz="0" w:space="0" w:color="auto"/>
        <w:left w:val="none" w:sz="0" w:space="0" w:color="auto"/>
        <w:bottom w:val="none" w:sz="0" w:space="0" w:color="auto"/>
        <w:right w:val="none" w:sz="0" w:space="0" w:color="auto"/>
      </w:divBdr>
    </w:div>
    <w:div w:id="294148785">
      <w:marLeft w:val="0"/>
      <w:marRight w:val="0"/>
      <w:marTop w:val="0"/>
      <w:marBottom w:val="0"/>
      <w:divBdr>
        <w:top w:val="none" w:sz="0" w:space="0" w:color="auto"/>
        <w:left w:val="none" w:sz="0" w:space="0" w:color="auto"/>
        <w:bottom w:val="none" w:sz="0" w:space="0" w:color="auto"/>
        <w:right w:val="none" w:sz="0" w:space="0" w:color="auto"/>
      </w:divBdr>
    </w:div>
    <w:div w:id="294148786">
      <w:marLeft w:val="0"/>
      <w:marRight w:val="0"/>
      <w:marTop w:val="0"/>
      <w:marBottom w:val="0"/>
      <w:divBdr>
        <w:top w:val="none" w:sz="0" w:space="0" w:color="auto"/>
        <w:left w:val="none" w:sz="0" w:space="0" w:color="auto"/>
        <w:bottom w:val="none" w:sz="0" w:space="0" w:color="auto"/>
        <w:right w:val="none" w:sz="0" w:space="0" w:color="auto"/>
      </w:divBdr>
    </w:div>
    <w:div w:id="294148832">
      <w:marLeft w:val="0"/>
      <w:marRight w:val="0"/>
      <w:marTop w:val="0"/>
      <w:marBottom w:val="0"/>
      <w:divBdr>
        <w:top w:val="none" w:sz="0" w:space="0" w:color="auto"/>
        <w:left w:val="none" w:sz="0" w:space="0" w:color="auto"/>
        <w:bottom w:val="none" w:sz="0" w:space="0" w:color="auto"/>
        <w:right w:val="none" w:sz="0" w:space="0" w:color="auto"/>
      </w:divBdr>
    </w:div>
    <w:div w:id="294148838">
      <w:marLeft w:val="0"/>
      <w:marRight w:val="0"/>
      <w:marTop w:val="0"/>
      <w:marBottom w:val="0"/>
      <w:divBdr>
        <w:top w:val="none" w:sz="0" w:space="0" w:color="auto"/>
        <w:left w:val="none" w:sz="0" w:space="0" w:color="auto"/>
        <w:bottom w:val="none" w:sz="0" w:space="0" w:color="auto"/>
        <w:right w:val="none" w:sz="0" w:space="0" w:color="auto"/>
      </w:divBdr>
      <w:divsChild>
        <w:div w:id="294156847">
          <w:marLeft w:val="0"/>
          <w:marRight w:val="0"/>
          <w:marTop w:val="0"/>
          <w:marBottom w:val="0"/>
          <w:divBdr>
            <w:top w:val="none" w:sz="0" w:space="0" w:color="auto"/>
            <w:left w:val="none" w:sz="0" w:space="0" w:color="auto"/>
            <w:bottom w:val="none" w:sz="0" w:space="0" w:color="auto"/>
            <w:right w:val="none" w:sz="0" w:space="0" w:color="auto"/>
          </w:divBdr>
        </w:div>
      </w:divsChild>
    </w:div>
    <w:div w:id="294148840">
      <w:marLeft w:val="0"/>
      <w:marRight w:val="0"/>
      <w:marTop w:val="0"/>
      <w:marBottom w:val="0"/>
      <w:divBdr>
        <w:top w:val="none" w:sz="0" w:space="0" w:color="auto"/>
        <w:left w:val="none" w:sz="0" w:space="0" w:color="auto"/>
        <w:bottom w:val="none" w:sz="0" w:space="0" w:color="auto"/>
        <w:right w:val="none" w:sz="0" w:space="0" w:color="auto"/>
      </w:divBdr>
    </w:div>
    <w:div w:id="294148901">
      <w:marLeft w:val="0"/>
      <w:marRight w:val="0"/>
      <w:marTop w:val="0"/>
      <w:marBottom w:val="0"/>
      <w:divBdr>
        <w:top w:val="none" w:sz="0" w:space="0" w:color="auto"/>
        <w:left w:val="none" w:sz="0" w:space="0" w:color="auto"/>
        <w:bottom w:val="none" w:sz="0" w:space="0" w:color="auto"/>
        <w:right w:val="none" w:sz="0" w:space="0" w:color="auto"/>
      </w:divBdr>
    </w:div>
    <w:div w:id="294148909">
      <w:marLeft w:val="0"/>
      <w:marRight w:val="0"/>
      <w:marTop w:val="0"/>
      <w:marBottom w:val="0"/>
      <w:divBdr>
        <w:top w:val="none" w:sz="0" w:space="0" w:color="auto"/>
        <w:left w:val="none" w:sz="0" w:space="0" w:color="auto"/>
        <w:bottom w:val="none" w:sz="0" w:space="0" w:color="auto"/>
        <w:right w:val="none" w:sz="0" w:space="0" w:color="auto"/>
      </w:divBdr>
    </w:div>
    <w:div w:id="294148953">
      <w:marLeft w:val="0"/>
      <w:marRight w:val="0"/>
      <w:marTop w:val="0"/>
      <w:marBottom w:val="0"/>
      <w:divBdr>
        <w:top w:val="none" w:sz="0" w:space="0" w:color="auto"/>
        <w:left w:val="none" w:sz="0" w:space="0" w:color="auto"/>
        <w:bottom w:val="none" w:sz="0" w:space="0" w:color="auto"/>
        <w:right w:val="none" w:sz="0" w:space="0" w:color="auto"/>
      </w:divBdr>
    </w:div>
    <w:div w:id="294148970">
      <w:marLeft w:val="0"/>
      <w:marRight w:val="0"/>
      <w:marTop w:val="0"/>
      <w:marBottom w:val="0"/>
      <w:divBdr>
        <w:top w:val="none" w:sz="0" w:space="0" w:color="auto"/>
        <w:left w:val="none" w:sz="0" w:space="0" w:color="auto"/>
        <w:bottom w:val="none" w:sz="0" w:space="0" w:color="auto"/>
        <w:right w:val="none" w:sz="0" w:space="0" w:color="auto"/>
      </w:divBdr>
      <w:divsChild>
        <w:div w:id="294150715">
          <w:marLeft w:val="0"/>
          <w:marRight w:val="0"/>
          <w:marTop w:val="0"/>
          <w:marBottom w:val="0"/>
          <w:divBdr>
            <w:top w:val="none" w:sz="0" w:space="0" w:color="auto"/>
            <w:left w:val="none" w:sz="0" w:space="0" w:color="auto"/>
            <w:bottom w:val="none" w:sz="0" w:space="0" w:color="auto"/>
            <w:right w:val="none" w:sz="0" w:space="0" w:color="auto"/>
          </w:divBdr>
        </w:div>
      </w:divsChild>
    </w:div>
    <w:div w:id="294148983">
      <w:marLeft w:val="0"/>
      <w:marRight w:val="0"/>
      <w:marTop w:val="0"/>
      <w:marBottom w:val="0"/>
      <w:divBdr>
        <w:top w:val="none" w:sz="0" w:space="0" w:color="auto"/>
        <w:left w:val="none" w:sz="0" w:space="0" w:color="auto"/>
        <w:bottom w:val="none" w:sz="0" w:space="0" w:color="auto"/>
        <w:right w:val="none" w:sz="0" w:space="0" w:color="auto"/>
      </w:divBdr>
    </w:div>
    <w:div w:id="294148999">
      <w:marLeft w:val="0"/>
      <w:marRight w:val="0"/>
      <w:marTop w:val="0"/>
      <w:marBottom w:val="0"/>
      <w:divBdr>
        <w:top w:val="none" w:sz="0" w:space="0" w:color="auto"/>
        <w:left w:val="none" w:sz="0" w:space="0" w:color="auto"/>
        <w:bottom w:val="none" w:sz="0" w:space="0" w:color="auto"/>
        <w:right w:val="none" w:sz="0" w:space="0" w:color="auto"/>
      </w:divBdr>
    </w:div>
    <w:div w:id="294149005">
      <w:marLeft w:val="0"/>
      <w:marRight w:val="0"/>
      <w:marTop w:val="0"/>
      <w:marBottom w:val="0"/>
      <w:divBdr>
        <w:top w:val="none" w:sz="0" w:space="0" w:color="auto"/>
        <w:left w:val="none" w:sz="0" w:space="0" w:color="auto"/>
        <w:bottom w:val="none" w:sz="0" w:space="0" w:color="auto"/>
        <w:right w:val="none" w:sz="0" w:space="0" w:color="auto"/>
      </w:divBdr>
    </w:div>
    <w:div w:id="294149145">
      <w:marLeft w:val="0"/>
      <w:marRight w:val="0"/>
      <w:marTop w:val="0"/>
      <w:marBottom w:val="0"/>
      <w:divBdr>
        <w:top w:val="none" w:sz="0" w:space="0" w:color="auto"/>
        <w:left w:val="none" w:sz="0" w:space="0" w:color="auto"/>
        <w:bottom w:val="none" w:sz="0" w:space="0" w:color="auto"/>
        <w:right w:val="none" w:sz="0" w:space="0" w:color="auto"/>
      </w:divBdr>
    </w:div>
    <w:div w:id="294149237">
      <w:marLeft w:val="0"/>
      <w:marRight w:val="0"/>
      <w:marTop w:val="0"/>
      <w:marBottom w:val="0"/>
      <w:divBdr>
        <w:top w:val="none" w:sz="0" w:space="0" w:color="auto"/>
        <w:left w:val="none" w:sz="0" w:space="0" w:color="auto"/>
        <w:bottom w:val="none" w:sz="0" w:space="0" w:color="auto"/>
        <w:right w:val="none" w:sz="0" w:space="0" w:color="auto"/>
      </w:divBdr>
    </w:div>
    <w:div w:id="294149248">
      <w:marLeft w:val="0"/>
      <w:marRight w:val="0"/>
      <w:marTop w:val="0"/>
      <w:marBottom w:val="0"/>
      <w:divBdr>
        <w:top w:val="none" w:sz="0" w:space="0" w:color="auto"/>
        <w:left w:val="none" w:sz="0" w:space="0" w:color="auto"/>
        <w:bottom w:val="none" w:sz="0" w:space="0" w:color="auto"/>
        <w:right w:val="none" w:sz="0" w:space="0" w:color="auto"/>
      </w:divBdr>
    </w:div>
    <w:div w:id="294149250">
      <w:marLeft w:val="0"/>
      <w:marRight w:val="0"/>
      <w:marTop w:val="0"/>
      <w:marBottom w:val="0"/>
      <w:divBdr>
        <w:top w:val="none" w:sz="0" w:space="0" w:color="auto"/>
        <w:left w:val="none" w:sz="0" w:space="0" w:color="auto"/>
        <w:bottom w:val="none" w:sz="0" w:space="0" w:color="auto"/>
        <w:right w:val="none" w:sz="0" w:space="0" w:color="auto"/>
      </w:divBdr>
    </w:div>
    <w:div w:id="294149257">
      <w:marLeft w:val="0"/>
      <w:marRight w:val="0"/>
      <w:marTop w:val="0"/>
      <w:marBottom w:val="0"/>
      <w:divBdr>
        <w:top w:val="none" w:sz="0" w:space="0" w:color="auto"/>
        <w:left w:val="none" w:sz="0" w:space="0" w:color="auto"/>
        <w:bottom w:val="none" w:sz="0" w:space="0" w:color="auto"/>
        <w:right w:val="none" w:sz="0" w:space="0" w:color="auto"/>
      </w:divBdr>
    </w:div>
    <w:div w:id="294149340">
      <w:marLeft w:val="0"/>
      <w:marRight w:val="0"/>
      <w:marTop w:val="0"/>
      <w:marBottom w:val="0"/>
      <w:divBdr>
        <w:top w:val="none" w:sz="0" w:space="0" w:color="auto"/>
        <w:left w:val="none" w:sz="0" w:space="0" w:color="auto"/>
        <w:bottom w:val="none" w:sz="0" w:space="0" w:color="auto"/>
        <w:right w:val="none" w:sz="0" w:space="0" w:color="auto"/>
      </w:divBdr>
      <w:divsChild>
        <w:div w:id="294141081">
          <w:marLeft w:val="965"/>
          <w:marRight w:val="0"/>
          <w:marTop w:val="134"/>
          <w:marBottom w:val="0"/>
          <w:divBdr>
            <w:top w:val="none" w:sz="0" w:space="0" w:color="auto"/>
            <w:left w:val="none" w:sz="0" w:space="0" w:color="auto"/>
            <w:bottom w:val="none" w:sz="0" w:space="0" w:color="auto"/>
            <w:right w:val="none" w:sz="0" w:space="0" w:color="auto"/>
          </w:divBdr>
        </w:div>
        <w:div w:id="294142658">
          <w:marLeft w:val="965"/>
          <w:marRight w:val="0"/>
          <w:marTop w:val="134"/>
          <w:marBottom w:val="0"/>
          <w:divBdr>
            <w:top w:val="none" w:sz="0" w:space="0" w:color="auto"/>
            <w:left w:val="none" w:sz="0" w:space="0" w:color="auto"/>
            <w:bottom w:val="none" w:sz="0" w:space="0" w:color="auto"/>
            <w:right w:val="none" w:sz="0" w:space="0" w:color="auto"/>
          </w:divBdr>
        </w:div>
        <w:div w:id="294150832">
          <w:marLeft w:val="965"/>
          <w:marRight w:val="0"/>
          <w:marTop w:val="134"/>
          <w:marBottom w:val="0"/>
          <w:divBdr>
            <w:top w:val="none" w:sz="0" w:space="0" w:color="auto"/>
            <w:left w:val="none" w:sz="0" w:space="0" w:color="auto"/>
            <w:bottom w:val="none" w:sz="0" w:space="0" w:color="auto"/>
            <w:right w:val="none" w:sz="0" w:space="0" w:color="auto"/>
          </w:divBdr>
        </w:div>
        <w:div w:id="294151065">
          <w:marLeft w:val="965"/>
          <w:marRight w:val="0"/>
          <w:marTop w:val="134"/>
          <w:marBottom w:val="0"/>
          <w:divBdr>
            <w:top w:val="none" w:sz="0" w:space="0" w:color="auto"/>
            <w:left w:val="none" w:sz="0" w:space="0" w:color="auto"/>
            <w:bottom w:val="none" w:sz="0" w:space="0" w:color="auto"/>
            <w:right w:val="none" w:sz="0" w:space="0" w:color="auto"/>
          </w:divBdr>
        </w:div>
      </w:divsChild>
    </w:div>
    <w:div w:id="294149411">
      <w:marLeft w:val="0"/>
      <w:marRight w:val="0"/>
      <w:marTop w:val="0"/>
      <w:marBottom w:val="0"/>
      <w:divBdr>
        <w:top w:val="none" w:sz="0" w:space="0" w:color="auto"/>
        <w:left w:val="none" w:sz="0" w:space="0" w:color="auto"/>
        <w:bottom w:val="none" w:sz="0" w:space="0" w:color="auto"/>
        <w:right w:val="none" w:sz="0" w:space="0" w:color="auto"/>
      </w:divBdr>
    </w:div>
    <w:div w:id="294149432">
      <w:marLeft w:val="0"/>
      <w:marRight w:val="0"/>
      <w:marTop w:val="0"/>
      <w:marBottom w:val="0"/>
      <w:divBdr>
        <w:top w:val="none" w:sz="0" w:space="0" w:color="auto"/>
        <w:left w:val="none" w:sz="0" w:space="0" w:color="auto"/>
        <w:bottom w:val="none" w:sz="0" w:space="0" w:color="auto"/>
        <w:right w:val="none" w:sz="0" w:space="0" w:color="auto"/>
      </w:divBdr>
      <w:divsChild>
        <w:div w:id="294140884">
          <w:marLeft w:val="0"/>
          <w:marRight w:val="0"/>
          <w:marTop w:val="0"/>
          <w:marBottom w:val="0"/>
          <w:divBdr>
            <w:top w:val="none" w:sz="0" w:space="0" w:color="auto"/>
            <w:left w:val="none" w:sz="0" w:space="0" w:color="auto"/>
            <w:bottom w:val="none" w:sz="0" w:space="0" w:color="auto"/>
            <w:right w:val="none" w:sz="0" w:space="0" w:color="auto"/>
          </w:divBdr>
          <w:divsChild>
            <w:div w:id="294154012">
              <w:marLeft w:val="0"/>
              <w:marRight w:val="0"/>
              <w:marTop w:val="0"/>
              <w:marBottom w:val="0"/>
              <w:divBdr>
                <w:top w:val="none" w:sz="0" w:space="0" w:color="auto"/>
                <w:left w:val="none" w:sz="0" w:space="0" w:color="auto"/>
                <w:bottom w:val="none" w:sz="0" w:space="0" w:color="auto"/>
                <w:right w:val="none" w:sz="0" w:space="0" w:color="auto"/>
              </w:divBdr>
              <w:divsChild>
                <w:div w:id="294139615">
                  <w:marLeft w:val="0"/>
                  <w:marRight w:val="0"/>
                  <w:marTop w:val="0"/>
                  <w:marBottom w:val="0"/>
                  <w:divBdr>
                    <w:top w:val="none" w:sz="0" w:space="0" w:color="auto"/>
                    <w:left w:val="none" w:sz="0" w:space="0" w:color="auto"/>
                    <w:bottom w:val="none" w:sz="0" w:space="0" w:color="auto"/>
                    <w:right w:val="none" w:sz="0" w:space="0" w:color="auto"/>
                  </w:divBdr>
                  <w:divsChild>
                    <w:div w:id="294138046">
                      <w:marLeft w:val="0"/>
                      <w:marRight w:val="0"/>
                      <w:marTop w:val="0"/>
                      <w:marBottom w:val="0"/>
                      <w:divBdr>
                        <w:top w:val="none" w:sz="0" w:space="0" w:color="auto"/>
                        <w:left w:val="none" w:sz="0" w:space="0" w:color="auto"/>
                        <w:bottom w:val="none" w:sz="0" w:space="0" w:color="auto"/>
                        <w:right w:val="none" w:sz="0" w:space="0" w:color="auto"/>
                      </w:divBdr>
                      <w:divsChild>
                        <w:div w:id="294139992">
                          <w:marLeft w:val="0"/>
                          <w:marRight w:val="0"/>
                          <w:marTop w:val="0"/>
                          <w:marBottom w:val="0"/>
                          <w:divBdr>
                            <w:top w:val="none" w:sz="0" w:space="0" w:color="auto"/>
                            <w:left w:val="none" w:sz="0" w:space="0" w:color="auto"/>
                            <w:bottom w:val="none" w:sz="0" w:space="0" w:color="auto"/>
                            <w:right w:val="none" w:sz="0" w:space="0" w:color="auto"/>
                          </w:divBdr>
                        </w:div>
                      </w:divsChild>
                    </w:div>
                    <w:div w:id="294138061">
                      <w:marLeft w:val="0"/>
                      <w:marRight w:val="0"/>
                      <w:marTop w:val="0"/>
                      <w:marBottom w:val="0"/>
                      <w:divBdr>
                        <w:top w:val="none" w:sz="0" w:space="0" w:color="auto"/>
                        <w:left w:val="none" w:sz="0" w:space="0" w:color="auto"/>
                        <w:bottom w:val="none" w:sz="0" w:space="0" w:color="auto"/>
                        <w:right w:val="none" w:sz="0" w:space="0" w:color="auto"/>
                      </w:divBdr>
                    </w:div>
                    <w:div w:id="294138225">
                      <w:marLeft w:val="0"/>
                      <w:marRight w:val="0"/>
                      <w:marTop w:val="0"/>
                      <w:marBottom w:val="0"/>
                      <w:divBdr>
                        <w:top w:val="none" w:sz="0" w:space="0" w:color="auto"/>
                        <w:left w:val="none" w:sz="0" w:space="0" w:color="auto"/>
                        <w:bottom w:val="none" w:sz="0" w:space="0" w:color="auto"/>
                        <w:right w:val="none" w:sz="0" w:space="0" w:color="auto"/>
                      </w:divBdr>
                      <w:divsChild>
                        <w:div w:id="294152574">
                          <w:marLeft w:val="0"/>
                          <w:marRight w:val="0"/>
                          <w:marTop w:val="0"/>
                          <w:marBottom w:val="0"/>
                          <w:divBdr>
                            <w:top w:val="none" w:sz="0" w:space="0" w:color="auto"/>
                            <w:left w:val="none" w:sz="0" w:space="0" w:color="auto"/>
                            <w:bottom w:val="none" w:sz="0" w:space="0" w:color="auto"/>
                            <w:right w:val="none" w:sz="0" w:space="0" w:color="auto"/>
                          </w:divBdr>
                        </w:div>
                      </w:divsChild>
                    </w:div>
                    <w:div w:id="294138414">
                      <w:marLeft w:val="0"/>
                      <w:marRight w:val="0"/>
                      <w:marTop w:val="0"/>
                      <w:marBottom w:val="0"/>
                      <w:divBdr>
                        <w:top w:val="none" w:sz="0" w:space="0" w:color="auto"/>
                        <w:left w:val="none" w:sz="0" w:space="0" w:color="auto"/>
                        <w:bottom w:val="none" w:sz="0" w:space="0" w:color="auto"/>
                        <w:right w:val="none" w:sz="0" w:space="0" w:color="auto"/>
                      </w:divBdr>
                      <w:divsChild>
                        <w:div w:id="294157032">
                          <w:marLeft w:val="0"/>
                          <w:marRight w:val="0"/>
                          <w:marTop w:val="0"/>
                          <w:marBottom w:val="0"/>
                          <w:divBdr>
                            <w:top w:val="none" w:sz="0" w:space="0" w:color="auto"/>
                            <w:left w:val="none" w:sz="0" w:space="0" w:color="auto"/>
                            <w:bottom w:val="none" w:sz="0" w:space="0" w:color="auto"/>
                            <w:right w:val="none" w:sz="0" w:space="0" w:color="auto"/>
                          </w:divBdr>
                        </w:div>
                      </w:divsChild>
                    </w:div>
                    <w:div w:id="294138558">
                      <w:marLeft w:val="0"/>
                      <w:marRight w:val="0"/>
                      <w:marTop w:val="0"/>
                      <w:marBottom w:val="0"/>
                      <w:divBdr>
                        <w:top w:val="none" w:sz="0" w:space="0" w:color="auto"/>
                        <w:left w:val="none" w:sz="0" w:space="0" w:color="auto"/>
                        <w:bottom w:val="none" w:sz="0" w:space="0" w:color="auto"/>
                        <w:right w:val="none" w:sz="0" w:space="0" w:color="auto"/>
                      </w:divBdr>
                      <w:divsChild>
                        <w:div w:id="294141836">
                          <w:marLeft w:val="0"/>
                          <w:marRight w:val="0"/>
                          <w:marTop w:val="0"/>
                          <w:marBottom w:val="0"/>
                          <w:divBdr>
                            <w:top w:val="none" w:sz="0" w:space="0" w:color="auto"/>
                            <w:left w:val="none" w:sz="0" w:space="0" w:color="auto"/>
                            <w:bottom w:val="none" w:sz="0" w:space="0" w:color="auto"/>
                            <w:right w:val="none" w:sz="0" w:space="0" w:color="auto"/>
                          </w:divBdr>
                        </w:div>
                      </w:divsChild>
                    </w:div>
                    <w:div w:id="294138711">
                      <w:marLeft w:val="0"/>
                      <w:marRight w:val="0"/>
                      <w:marTop w:val="0"/>
                      <w:marBottom w:val="0"/>
                      <w:divBdr>
                        <w:top w:val="none" w:sz="0" w:space="0" w:color="auto"/>
                        <w:left w:val="none" w:sz="0" w:space="0" w:color="auto"/>
                        <w:bottom w:val="none" w:sz="0" w:space="0" w:color="auto"/>
                        <w:right w:val="none" w:sz="0" w:space="0" w:color="auto"/>
                      </w:divBdr>
                    </w:div>
                    <w:div w:id="294138791">
                      <w:marLeft w:val="0"/>
                      <w:marRight w:val="0"/>
                      <w:marTop w:val="0"/>
                      <w:marBottom w:val="0"/>
                      <w:divBdr>
                        <w:top w:val="none" w:sz="0" w:space="0" w:color="auto"/>
                        <w:left w:val="none" w:sz="0" w:space="0" w:color="auto"/>
                        <w:bottom w:val="none" w:sz="0" w:space="0" w:color="auto"/>
                        <w:right w:val="none" w:sz="0" w:space="0" w:color="auto"/>
                      </w:divBdr>
                      <w:divsChild>
                        <w:div w:id="294138211">
                          <w:marLeft w:val="0"/>
                          <w:marRight w:val="0"/>
                          <w:marTop w:val="0"/>
                          <w:marBottom w:val="0"/>
                          <w:divBdr>
                            <w:top w:val="none" w:sz="0" w:space="0" w:color="auto"/>
                            <w:left w:val="none" w:sz="0" w:space="0" w:color="auto"/>
                            <w:bottom w:val="none" w:sz="0" w:space="0" w:color="auto"/>
                            <w:right w:val="none" w:sz="0" w:space="0" w:color="auto"/>
                          </w:divBdr>
                        </w:div>
                      </w:divsChild>
                    </w:div>
                    <w:div w:id="294138905">
                      <w:marLeft w:val="0"/>
                      <w:marRight w:val="0"/>
                      <w:marTop w:val="0"/>
                      <w:marBottom w:val="0"/>
                      <w:divBdr>
                        <w:top w:val="none" w:sz="0" w:space="0" w:color="auto"/>
                        <w:left w:val="none" w:sz="0" w:space="0" w:color="auto"/>
                        <w:bottom w:val="none" w:sz="0" w:space="0" w:color="auto"/>
                        <w:right w:val="none" w:sz="0" w:space="0" w:color="auto"/>
                      </w:divBdr>
                    </w:div>
                    <w:div w:id="294139015">
                      <w:marLeft w:val="0"/>
                      <w:marRight w:val="0"/>
                      <w:marTop w:val="0"/>
                      <w:marBottom w:val="0"/>
                      <w:divBdr>
                        <w:top w:val="none" w:sz="0" w:space="0" w:color="auto"/>
                        <w:left w:val="none" w:sz="0" w:space="0" w:color="auto"/>
                        <w:bottom w:val="none" w:sz="0" w:space="0" w:color="auto"/>
                        <w:right w:val="none" w:sz="0" w:space="0" w:color="auto"/>
                      </w:divBdr>
                    </w:div>
                    <w:div w:id="294139040">
                      <w:marLeft w:val="0"/>
                      <w:marRight w:val="0"/>
                      <w:marTop w:val="0"/>
                      <w:marBottom w:val="0"/>
                      <w:divBdr>
                        <w:top w:val="none" w:sz="0" w:space="0" w:color="auto"/>
                        <w:left w:val="none" w:sz="0" w:space="0" w:color="auto"/>
                        <w:bottom w:val="none" w:sz="0" w:space="0" w:color="auto"/>
                        <w:right w:val="none" w:sz="0" w:space="0" w:color="auto"/>
                      </w:divBdr>
                    </w:div>
                    <w:div w:id="294139156">
                      <w:marLeft w:val="0"/>
                      <w:marRight w:val="0"/>
                      <w:marTop w:val="0"/>
                      <w:marBottom w:val="0"/>
                      <w:divBdr>
                        <w:top w:val="none" w:sz="0" w:space="0" w:color="auto"/>
                        <w:left w:val="none" w:sz="0" w:space="0" w:color="auto"/>
                        <w:bottom w:val="none" w:sz="0" w:space="0" w:color="auto"/>
                        <w:right w:val="none" w:sz="0" w:space="0" w:color="auto"/>
                      </w:divBdr>
                    </w:div>
                    <w:div w:id="294139303">
                      <w:marLeft w:val="0"/>
                      <w:marRight w:val="0"/>
                      <w:marTop w:val="0"/>
                      <w:marBottom w:val="0"/>
                      <w:divBdr>
                        <w:top w:val="none" w:sz="0" w:space="0" w:color="auto"/>
                        <w:left w:val="none" w:sz="0" w:space="0" w:color="auto"/>
                        <w:bottom w:val="none" w:sz="0" w:space="0" w:color="auto"/>
                        <w:right w:val="none" w:sz="0" w:space="0" w:color="auto"/>
                      </w:divBdr>
                      <w:divsChild>
                        <w:div w:id="294143117">
                          <w:marLeft w:val="0"/>
                          <w:marRight w:val="0"/>
                          <w:marTop w:val="0"/>
                          <w:marBottom w:val="0"/>
                          <w:divBdr>
                            <w:top w:val="none" w:sz="0" w:space="0" w:color="auto"/>
                            <w:left w:val="none" w:sz="0" w:space="0" w:color="auto"/>
                            <w:bottom w:val="none" w:sz="0" w:space="0" w:color="auto"/>
                            <w:right w:val="none" w:sz="0" w:space="0" w:color="auto"/>
                          </w:divBdr>
                        </w:div>
                      </w:divsChild>
                    </w:div>
                    <w:div w:id="294139507">
                      <w:marLeft w:val="0"/>
                      <w:marRight w:val="0"/>
                      <w:marTop w:val="0"/>
                      <w:marBottom w:val="0"/>
                      <w:divBdr>
                        <w:top w:val="none" w:sz="0" w:space="0" w:color="auto"/>
                        <w:left w:val="none" w:sz="0" w:space="0" w:color="auto"/>
                        <w:bottom w:val="none" w:sz="0" w:space="0" w:color="auto"/>
                        <w:right w:val="none" w:sz="0" w:space="0" w:color="auto"/>
                      </w:divBdr>
                      <w:divsChild>
                        <w:div w:id="294154782">
                          <w:marLeft w:val="0"/>
                          <w:marRight w:val="0"/>
                          <w:marTop w:val="0"/>
                          <w:marBottom w:val="0"/>
                          <w:divBdr>
                            <w:top w:val="none" w:sz="0" w:space="0" w:color="auto"/>
                            <w:left w:val="none" w:sz="0" w:space="0" w:color="auto"/>
                            <w:bottom w:val="none" w:sz="0" w:space="0" w:color="auto"/>
                            <w:right w:val="none" w:sz="0" w:space="0" w:color="auto"/>
                          </w:divBdr>
                        </w:div>
                      </w:divsChild>
                    </w:div>
                    <w:div w:id="294139791">
                      <w:marLeft w:val="0"/>
                      <w:marRight w:val="0"/>
                      <w:marTop w:val="0"/>
                      <w:marBottom w:val="0"/>
                      <w:divBdr>
                        <w:top w:val="none" w:sz="0" w:space="0" w:color="auto"/>
                        <w:left w:val="none" w:sz="0" w:space="0" w:color="auto"/>
                        <w:bottom w:val="none" w:sz="0" w:space="0" w:color="auto"/>
                        <w:right w:val="none" w:sz="0" w:space="0" w:color="auto"/>
                      </w:divBdr>
                    </w:div>
                    <w:div w:id="294140089">
                      <w:marLeft w:val="0"/>
                      <w:marRight w:val="0"/>
                      <w:marTop w:val="0"/>
                      <w:marBottom w:val="0"/>
                      <w:divBdr>
                        <w:top w:val="none" w:sz="0" w:space="0" w:color="auto"/>
                        <w:left w:val="none" w:sz="0" w:space="0" w:color="auto"/>
                        <w:bottom w:val="none" w:sz="0" w:space="0" w:color="auto"/>
                        <w:right w:val="none" w:sz="0" w:space="0" w:color="auto"/>
                      </w:divBdr>
                      <w:divsChild>
                        <w:div w:id="294156163">
                          <w:marLeft w:val="0"/>
                          <w:marRight w:val="0"/>
                          <w:marTop w:val="0"/>
                          <w:marBottom w:val="0"/>
                          <w:divBdr>
                            <w:top w:val="none" w:sz="0" w:space="0" w:color="auto"/>
                            <w:left w:val="none" w:sz="0" w:space="0" w:color="auto"/>
                            <w:bottom w:val="none" w:sz="0" w:space="0" w:color="auto"/>
                            <w:right w:val="none" w:sz="0" w:space="0" w:color="auto"/>
                          </w:divBdr>
                        </w:div>
                      </w:divsChild>
                    </w:div>
                    <w:div w:id="294140111">
                      <w:marLeft w:val="0"/>
                      <w:marRight w:val="0"/>
                      <w:marTop w:val="0"/>
                      <w:marBottom w:val="0"/>
                      <w:divBdr>
                        <w:top w:val="none" w:sz="0" w:space="0" w:color="auto"/>
                        <w:left w:val="none" w:sz="0" w:space="0" w:color="auto"/>
                        <w:bottom w:val="none" w:sz="0" w:space="0" w:color="auto"/>
                        <w:right w:val="none" w:sz="0" w:space="0" w:color="auto"/>
                      </w:divBdr>
                      <w:divsChild>
                        <w:div w:id="294139586">
                          <w:marLeft w:val="0"/>
                          <w:marRight w:val="0"/>
                          <w:marTop w:val="0"/>
                          <w:marBottom w:val="0"/>
                          <w:divBdr>
                            <w:top w:val="none" w:sz="0" w:space="0" w:color="auto"/>
                            <w:left w:val="none" w:sz="0" w:space="0" w:color="auto"/>
                            <w:bottom w:val="none" w:sz="0" w:space="0" w:color="auto"/>
                            <w:right w:val="none" w:sz="0" w:space="0" w:color="auto"/>
                          </w:divBdr>
                        </w:div>
                      </w:divsChild>
                    </w:div>
                    <w:div w:id="294140135">
                      <w:marLeft w:val="0"/>
                      <w:marRight w:val="0"/>
                      <w:marTop w:val="0"/>
                      <w:marBottom w:val="0"/>
                      <w:divBdr>
                        <w:top w:val="none" w:sz="0" w:space="0" w:color="auto"/>
                        <w:left w:val="none" w:sz="0" w:space="0" w:color="auto"/>
                        <w:bottom w:val="none" w:sz="0" w:space="0" w:color="auto"/>
                        <w:right w:val="none" w:sz="0" w:space="0" w:color="auto"/>
                      </w:divBdr>
                      <w:divsChild>
                        <w:div w:id="294146970">
                          <w:marLeft w:val="0"/>
                          <w:marRight w:val="0"/>
                          <w:marTop w:val="0"/>
                          <w:marBottom w:val="0"/>
                          <w:divBdr>
                            <w:top w:val="none" w:sz="0" w:space="0" w:color="auto"/>
                            <w:left w:val="none" w:sz="0" w:space="0" w:color="auto"/>
                            <w:bottom w:val="none" w:sz="0" w:space="0" w:color="auto"/>
                            <w:right w:val="none" w:sz="0" w:space="0" w:color="auto"/>
                          </w:divBdr>
                        </w:div>
                      </w:divsChild>
                    </w:div>
                    <w:div w:id="294140291">
                      <w:marLeft w:val="0"/>
                      <w:marRight w:val="0"/>
                      <w:marTop w:val="0"/>
                      <w:marBottom w:val="0"/>
                      <w:divBdr>
                        <w:top w:val="none" w:sz="0" w:space="0" w:color="auto"/>
                        <w:left w:val="none" w:sz="0" w:space="0" w:color="auto"/>
                        <w:bottom w:val="none" w:sz="0" w:space="0" w:color="auto"/>
                        <w:right w:val="none" w:sz="0" w:space="0" w:color="auto"/>
                      </w:divBdr>
                    </w:div>
                    <w:div w:id="294140467">
                      <w:marLeft w:val="0"/>
                      <w:marRight w:val="0"/>
                      <w:marTop w:val="0"/>
                      <w:marBottom w:val="0"/>
                      <w:divBdr>
                        <w:top w:val="none" w:sz="0" w:space="0" w:color="auto"/>
                        <w:left w:val="none" w:sz="0" w:space="0" w:color="auto"/>
                        <w:bottom w:val="none" w:sz="0" w:space="0" w:color="auto"/>
                        <w:right w:val="none" w:sz="0" w:space="0" w:color="auto"/>
                      </w:divBdr>
                      <w:divsChild>
                        <w:div w:id="294139229">
                          <w:marLeft w:val="0"/>
                          <w:marRight w:val="0"/>
                          <w:marTop w:val="0"/>
                          <w:marBottom w:val="0"/>
                          <w:divBdr>
                            <w:top w:val="none" w:sz="0" w:space="0" w:color="auto"/>
                            <w:left w:val="none" w:sz="0" w:space="0" w:color="auto"/>
                            <w:bottom w:val="none" w:sz="0" w:space="0" w:color="auto"/>
                            <w:right w:val="none" w:sz="0" w:space="0" w:color="auto"/>
                          </w:divBdr>
                        </w:div>
                      </w:divsChild>
                    </w:div>
                    <w:div w:id="294140541">
                      <w:marLeft w:val="0"/>
                      <w:marRight w:val="0"/>
                      <w:marTop w:val="0"/>
                      <w:marBottom w:val="0"/>
                      <w:divBdr>
                        <w:top w:val="none" w:sz="0" w:space="0" w:color="auto"/>
                        <w:left w:val="none" w:sz="0" w:space="0" w:color="auto"/>
                        <w:bottom w:val="none" w:sz="0" w:space="0" w:color="auto"/>
                        <w:right w:val="none" w:sz="0" w:space="0" w:color="auto"/>
                      </w:divBdr>
                    </w:div>
                    <w:div w:id="294140819">
                      <w:marLeft w:val="0"/>
                      <w:marRight w:val="0"/>
                      <w:marTop w:val="0"/>
                      <w:marBottom w:val="0"/>
                      <w:divBdr>
                        <w:top w:val="none" w:sz="0" w:space="0" w:color="auto"/>
                        <w:left w:val="none" w:sz="0" w:space="0" w:color="auto"/>
                        <w:bottom w:val="none" w:sz="0" w:space="0" w:color="auto"/>
                        <w:right w:val="none" w:sz="0" w:space="0" w:color="auto"/>
                      </w:divBdr>
                      <w:divsChild>
                        <w:div w:id="294156173">
                          <w:marLeft w:val="0"/>
                          <w:marRight w:val="0"/>
                          <w:marTop w:val="0"/>
                          <w:marBottom w:val="0"/>
                          <w:divBdr>
                            <w:top w:val="none" w:sz="0" w:space="0" w:color="auto"/>
                            <w:left w:val="none" w:sz="0" w:space="0" w:color="auto"/>
                            <w:bottom w:val="none" w:sz="0" w:space="0" w:color="auto"/>
                            <w:right w:val="none" w:sz="0" w:space="0" w:color="auto"/>
                          </w:divBdr>
                        </w:div>
                      </w:divsChild>
                    </w:div>
                    <w:div w:id="294141014">
                      <w:marLeft w:val="0"/>
                      <w:marRight w:val="0"/>
                      <w:marTop w:val="0"/>
                      <w:marBottom w:val="0"/>
                      <w:divBdr>
                        <w:top w:val="none" w:sz="0" w:space="0" w:color="auto"/>
                        <w:left w:val="none" w:sz="0" w:space="0" w:color="auto"/>
                        <w:bottom w:val="none" w:sz="0" w:space="0" w:color="auto"/>
                        <w:right w:val="none" w:sz="0" w:space="0" w:color="auto"/>
                      </w:divBdr>
                    </w:div>
                    <w:div w:id="294141063">
                      <w:marLeft w:val="0"/>
                      <w:marRight w:val="0"/>
                      <w:marTop w:val="0"/>
                      <w:marBottom w:val="0"/>
                      <w:divBdr>
                        <w:top w:val="none" w:sz="0" w:space="0" w:color="auto"/>
                        <w:left w:val="none" w:sz="0" w:space="0" w:color="auto"/>
                        <w:bottom w:val="none" w:sz="0" w:space="0" w:color="auto"/>
                        <w:right w:val="none" w:sz="0" w:space="0" w:color="auto"/>
                      </w:divBdr>
                      <w:divsChild>
                        <w:div w:id="294153102">
                          <w:marLeft w:val="0"/>
                          <w:marRight w:val="0"/>
                          <w:marTop w:val="0"/>
                          <w:marBottom w:val="0"/>
                          <w:divBdr>
                            <w:top w:val="none" w:sz="0" w:space="0" w:color="auto"/>
                            <w:left w:val="none" w:sz="0" w:space="0" w:color="auto"/>
                            <w:bottom w:val="none" w:sz="0" w:space="0" w:color="auto"/>
                            <w:right w:val="none" w:sz="0" w:space="0" w:color="auto"/>
                          </w:divBdr>
                        </w:div>
                      </w:divsChild>
                    </w:div>
                    <w:div w:id="294141069">
                      <w:marLeft w:val="0"/>
                      <w:marRight w:val="0"/>
                      <w:marTop w:val="0"/>
                      <w:marBottom w:val="0"/>
                      <w:divBdr>
                        <w:top w:val="none" w:sz="0" w:space="0" w:color="auto"/>
                        <w:left w:val="none" w:sz="0" w:space="0" w:color="auto"/>
                        <w:bottom w:val="none" w:sz="0" w:space="0" w:color="auto"/>
                        <w:right w:val="none" w:sz="0" w:space="0" w:color="auto"/>
                      </w:divBdr>
                    </w:div>
                    <w:div w:id="294141104">
                      <w:marLeft w:val="0"/>
                      <w:marRight w:val="0"/>
                      <w:marTop w:val="0"/>
                      <w:marBottom w:val="0"/>
                      <w:divBdr>
                        <w:top w:val="none" w:sz="0" w:space="0" w:color="auto"/>
                        <w:left w:val="none" w:sz="0" w:space="0" w:color="auto"/>
                        <w:bottom w:val="none" w:sz="0" w:space="0" w:color="auto"/>
                        <w:right w:val="none" w:sz="0" w:space="0" w:color="auto"/>
                      </w:divBdr>
                      <w:divsChild>
                        <w:div w:id="294147276">
                          <w:marLeft w:val="0"/>
                          <w:marRight w:val="0"/>
                          <w:marTop w:val="0"/>
                          <w:marBottom w:val="0"/>
                          <w:divBdr>
                            <w:top w:val="none" w:sz="0" w:space="0" w:color="auto"/>
                            <w:left w:val="none" w:sz="0" w:space="0" w:color="auto"/>
                            <w:bottom w:val="none" w:sz="0" w:space="0" w:color="auto"/>
                            <w:right w:val="none" w:sz="0" w:space="0" w:color="auto"/>
                          </w:divBdr>
                        </w:div>
                      </w:divsChild>
                    </w:div>
                    <w:div w:id="294141168">
                      <w:marLeft w:val="0"/>
                      <w:marRight w:val="0"/>
                      <w:marTop w:val="0"/>
                      <w:marBottom w:val="0"/>
                      <w:divBdr>
                        <w:top w:val="none" w:sz="0" w:space="0" w:color="auto"/>
                        <w:left w:val="none" w:sz="0" w:space="0" w:color="auto"/>
                        <w:bottom w:val="none" w:sz="0" w:space="0" w:color="auto"/>
                        <w:right w:val="none" w:sz="0" w:space="0" w:color="auto"/>
                      </w:divBdr>
                    </w:div>
                    <w:div w:id="294141507">
                      <w:marLeft w:val="0"/>
                      <w:marRight w:val="0"/>
                      <w:marTop w:val="0"/>
                      <w:marBottom w:val="0"/>
                      <w:divBdr>
                        <w:top w:val="none" w:sz="0" w:space="0" w:color="auto"/>
                        <w:left w:val="none" w:sz="0" w:space="0" w:color="auto"/>
                        <w:bottom w:val="none" w:sz="0" w:space="0" w:color="auto"/>
                        <w:right w:val="none" w:sz="0" w:space="0" w:color="auto"/>
                      </w:divBdr>
                    </w:div>
                    <w:div w:id="294141579">
                      <w:marLeft w:val="0"/>
                      <w:marRight w:val="0"/>
                      <w:marTop w:val="0"/>
                      <w:marBottom w:val="0"/>
                      <w:divBdr>
                        <w:top w:val="none" w:sz="0" w:space="0" w:color="auto"/>
                        <w:left w:val="none" w:sz="0" w:space="0" w:color="auto"/>
                        <w:bottom w:val="none" w:sz="0" w:space="0" w:color="auto"/>
                        <w:right w:val="none" w:sz="0" w:space="0" w:color="auto"/>
                      </w:divBdr>
                      <w:divsChild>
                        <w:div w:id="294142849">
                          <w:marLeft w:val="0"/>
                          <w:marRight w:val="0"/>
                          <w:marTop w:val="0"/>
                          <w:marBottom w:val="0"/>
                          <w:divBdr>
                            <w:top w:val="none" w:sz="0" w:space="0" w:color="auto"/>
                            <w:left w:val="none" w:sz="0" w:space="0" w:color="auto"/>
                            <w:bottom w:val="none" w:sz="0" w:space="0" w:color="auto"/>
                            <w:right w:val="none" w:sz="0" w:space="0" w:color="auto"/>
                          </w:divBdr>
                        </w:div>
                      </w:divsChild>
                    </w:div>
                    <w:div w:id="294141731">
                      <w:marLeft w:val="0"/>
                      <w:marRight w:val="0"/>
                      <w:marTop w:val="0"/>
                      <w:marBottom w:val="0"/>
                      <w:divBdr>
                        <w:top w:val="none" w:sz="0" w:space="0" w:color="auto"/>
                        <w:left w:val="none" w:sz="0" w:space="0" w:color="auto"/>
                        <w:bottom w:val="none" w:sz="0" w:space="0" w:color="auto"/>
                        <w:right w:val="none" w:sz="0" w:space="0" w:color="auto"/>
                      </w:divBdr>
                    </w:div>
                    <w:div w:id="294141851">
                      <w:marLeft w:val="0"/>
                      <w:marRight w:val="0"/>
                      <w:marTop w:val="0"/>
                      <w:marBottom w:val="0"/>
                      <w:divBdr>
                        <w:top w:val="none" w:sz="0" w:space="0" w:color="auto"/>
                        <w:left w:val="none" w:sz="0" w:space="0" w:color="auto"/>
                        <w:bottom w:val="none" w:sz="0" w:space="0" w:color="auto"/>
                        <w:right w:val="none" w:sz="0" w:space="0" w:color="auto"/>
                      </w:divBdr>
                    </w:div>
                    <w:div w:id="294141968">
                      <w:marLeft w:val="0"/>
                      <w:marRight w:val="0"/>
                      <w:marTop w:val="0"/>
                      <w:marBottom w:val="0"/>
                      <w:divBdr>
                        <w:top w:val="none" w:sz="0" w:space="0" w:color="auto"/>
                        <w:left w:val="none" w:sz="0" w:space="0" w:color="auto"/>
                        <w:bottom w:val="none" w:sz="0" w:space="0" w:color="auto"/>
                        <w:right w:val="none" w:sz="0" w:space="0" w:color="auto"/>
                      </w:divBdr>
                    </w:div>
                    <w:div w:id="294142259">
                      <w:marLeft w:val="0"/>
                      <w:marRight w:val="0"/>
                      <w:marTop w:val="0"/>
                      <w:marBottom w:val="0"/>
                      <w:divBdr>
                        <w:top w:val="none" w:sz="0" w:space="0" w:color="auto"/>
                        <w:left w:val="none" w:sz="0" w:space="0" w:color="auto"/>
                        <w:bottom w:val="none" w:sz="0" w:space="0" w:color="auto"/>
                        <w:right w:val="none" w:sz="0" w:space="0" w:color="auto"/>
                      </w:divBdr>
                    </w:div>
                    <w:div w:id="294142530">
                      <w:marLeft w:val="0"/>
                      <w:marRight w:val="0"/>
                      <w:marTop w:val="0"/>
                      <w:marBottom w:val="0"/>
                      <w:divBdr>
                        <w:top w:val="none" w:sz="0" w:space="0" w:color="auto"/>
                        <w:left w:val="none" w:sz="0" w:space="0" w:color="auto"/>
                        <w:bottom w:val="none" w:sz="0" w:space="0" w:color="auto"/>
                        <w:right w:val="none" w:sz="0" w:space="0" w:color="auto"/>
                      </w:divBdr>
                      <w:divsChild>
                        <w:div w:id="294144846">
                          <w:marLeft w:val="0"/>
                          <w:marRight w:val="0"/>
                          <w:marTop w:val="0"/>
                          <w:marBottom w:val="0"/>
                          <w:divBdr>
                            <w:top w:val="none" w:sz="0" w:space="0" w:color="auto"/>
                            <w:left w:val="none" w:sz="0" w:space="0" w:color="auto"/>
                            <w:bottom w:val="none" w:sz="0" w:space="0" w:color="auto"/>
                            <w:right w:val="none" w:sz="0" w:space="0" w:color="auto"/>
                          </w:divBdr>
                        </w:div>
                      </w:divsChild>
                    </w:div>
                    <w:div w:id="294142864">
                      <w:marLeft w:val="0"/>
                      <w:marRight w:val="0"/>
                      <w:marTop w:val="0"/>
                      <w:marBottom w:val="0"/>
                      <w:divBdr>
                        <w:top w:val="none" w:sz="0" w:space="0" w:color="auto"/>
                        <w:left w:val="none" w:sz="0" w:space="0" w:color="auto"/>
                        <w:bottom w:val="none" w:sz="0" w:space="0" w:color="auto"/>
                        <w:right w:val="none" w:sz="0" w:space="0" w:color="auto"/>
                      </w:divBdr>
                      <w:divsChild>
                        <w:div w:id="294143748">
                          <w:marLeft w:val="0"/>
                          <w:marRight w:val="0"/>
                          <w:marTop w:val="0"/>
                          <w:marBottom w:val="0"/>
                          <w:divBdr>
                            <w:top w:val="none" w:sz="0" w:space="0" w:color="auto"/>
                            <w:left w:val="none" w:sz="0" w:space="0" w:color="auto"/>
                            <w:bottom w:val="none" w:sz="0" w:space="0" w:color="auto"/>
                            <w:right w:val="none" w:sz="0" w:space="0" w:color="auto"/>
                          </w:divBdr>
                        </w:div>
                      </w:divsChild>
                    </w:div>
                    <w:div w:id="294142876">
                      <w:marLeft w:val="0"/>
                      <w:marRight w:val="0"/>
                      <w:marTop w:val="0"/>
                      <w:marBottom w:val="0"/>
                      <w:divBdr>
                        <w:top w:val="none" w:sz="0" w:space="0" w:color="auto"/>
                        <w:left w:val="none" w:sz="0" w:space="0" w:color="auto"/>
                        <w:bottom w:val="none" w:sz="0" w:space="0" w:color="auto"/>
                        <w:right w:val="none" w:sz="0" w:space="0" w:color="auto"/>
                      </w:divBdr>
                    </w:div>
                    <w:div w:id="294142939">
                      <w:marLeft w:val="0"/>
                      <w:marRight w:val="0"/>
                      <w:marTop w:val="0"/>
                      <w:marBottom w:val="0"/>
                      <w:divBdr>
                        <w:top w:val="none" w:sz="0" w:space="0" w:color="auto"/>
                        <w:left w:val="none" w:sz="0" w:space="0" w:color="auto"/>
                        <w:bottom w:val="none" w:sz="0" w:space="0" w:color="auto"/>
                        <w:right w:val="none" w:sz="0" w:space="0" w:color="auto"/>
                      </w:divBdr>
                      <w:divsChild>
                        <w:div w:id="294154785">
                          <w:marLeft w:val="0"/>
                          <w:marRight w:val="0"/>
                          <w:marTop w:val="0"/>
                          <w:marBottom w:val="0"/>
                          <w:divBdr>
                            <w:top w:val="none" w:sz="0" w:space="0" w:color="auto"/>
                            <w:left w:val="none" w:sz="0" w:space="0" w:color="auto"/>
                            <w:bottom w:val="none" w:sz="0" w:space="0" w:color="auto"/>
                            <w:right w:val="none" w:sz="0" w:space="0" w:color="auto"/>
                          </w:divBdr>
                        </w:div>
                      </w:divsChild>
                    </w:div>
                    <w:div w:id="294143047">
                      <w:marLeft w:val="0"/>
                      <w:marRight w:val="0"/>
                      <w:marTop w:val="0"/>
                      <w:marBottom w:val="0"/>
                      <w:divBdr>
                        <w:top w:val="none" w:sz="0" w:space="0" w:color="auto"/>
                        <w:left w:val="none" w:sz="0" w:space="0" w:color="auto"/>
                        <w:bottom w:val="none" w:sz="0" w:space="0" w:color="auto"/>
                        <w:right w:val="none" w:sz="0" w:space="0" w:color="auto"/>
                      </w:divBdr>
                    </w:div>
                    <w:div w:id="294143179">
                      <w:marLeft w:val="0"/>
                      <w:marRight w:val="0"/>
                      <w:marTop w:val="0"/>
                      <w:marBottom w:val="0"/>
                      <w:divBdr>
                        <w:top w:val="none" w:sz="0" w:space="0" w:color="auto"/>
                        <w:left w:val="none" w:sz="0" w:space="0" w:color="auto"/>
                        <w:bottom w:val="none" w:sz="0" w:space="0" w:color="auto"/>
                        <w:right w:val="none" w:sz="0" w:space="0" w:color="auto"/>
                      </w:divBdr>
                    </w:div>
                    <w:div w:id="294143507">
                      <w:marLeft w:val="0"/>
                      <w:marRight w:val="0"/>
                      <w:marTop w:val="0"/>
                      <w:marBottom w:val="0"/>
                      <w:divBdr>
                        <w:top w:val="none" w:sz="0" w:space="0" w:color="auto"/>
                        <w:left w:val="none" w:sz="0" w:space="0" w:color="auto"/>
                        <w:bottom w:val="none" w:sz="0" w:space="0" w:color="auto"/>
                        <w:right w:val="none" w:sz="0" w:space="0" w:color="auto"/>
                      </w:divBdr>
                      <w:divsChild>
                        <w:div w:id="294156331">
                          <w:marLeft w:val="0"/>
                          <w:marRight w:val="0"/>
                          <w:marTop w:val="0"/>
                          <w:marBottom w:val="0"/>
                          <w:divBdr>
                            <w:top w:val="none" w:sz="0" w:space="0" w:color="auto"/>
                            <w:left w:val="none" w:sz="0" w:space="0" w:color="auto"/>
                            <w:bottom w:val="none" w:sz="0" w:space="0" w:color="auto"/>
                            <w:right w:val="none" w:sz="0" w:space="0" w:color="auto"/>
                          </w:divBdr>
                        </w:div>
                      </w:divsChild>
                    </w:div>
                    <w:div w:id="294143681">
                      <w:marLeft w:val="0"/>
                      <w:marRight w:val="0"/>
                      <w:marTop w:val="0"/>
                      <w:marBottom w:val="0"/>
                      <w:divBdr>
                        <w:top w:val="none" w:sz="0" w:space="0" w:color="auto"/>
                        <w:left w:val="none" w:sz="0" w:space="0" w:color="auto"/>
                        <w:bottom w:val="none" w:sz="0" w:space="0" w:color="auto"/>
                        <w:right w:val="none" w:sz="0" w:space="0" w:color="auto"/>
                      </w:divBdr>
                      <w:divsChild>
                        <w:div w:id="294157119">
                          <w:marLeft w:val="0"/>
                          <w:marRight w:val="0"/>
                          <w:marTop w:val="0"/>
                          <w:marBottom w:val="0"/>
                          <w:divBdr>
                            <w:top w:val="none" w:sz="0" w:space="0" w:color="auto"/>
                            <w:left w:val="none" w:sz="0" w:space="0" w:color="auto"/>
                            <w:bottom w:val="none" w:sz="0" w:space="0" w:color="auto"/>
                            <w:right w:val="none" w:sz="0" w:space="0" w:color="auto"/>
                          </w:divBdr>
                        </w:div>
                      </w:divsChild>
                    </w:div>
                    <w:div w:id="294143857">
                      <w:marLeft w:val="0"/>
                      <w:marRight w:val="0"/>
                      <w:marTop w:val="0"/>
                      <w:marBottom w:val="0"/>
                      <w:divBdr>
                        <w:top w:val="none" w:sz="0" w:space="0" w:color="auto"/>
                        <w:left w:val="none" w:sz="0" w:space="0" w:color="auto"/>
                        <w:bottom w:val="none" w:sz="0" w:space="0" w:color="auto"/>
                        <w:right w:val="none" w:sz="0" w:space="0" w:color="auto"/>
                      </w:divBdr>
                    </w:div>
                    <w:div w:id="294143936">
                      <w:marLeft w:val="0"/>
                      <w:marRight w:val="0"/>
                      <w:marTop w:val="0"/>
                      <w:marBottom w:val="0"/>
                      <w:divBdr>
                        <w:top w:val="none" w:sz="0" w:space="0" w:color="auto"/>
                        <w:left w:val="none" w:sz="0" w:space="0" w:color="auto"/>
                        <w:bottom w:val="none" w:sz="0" w:space="0" w:color="auto"/>
                        <w:right w:val="none" w:sz="0" w:space="0" w:color="auto"/>
                      </w:divBdr>
                    </w:div>
                    <w:div w:id="294143981">
                      <w:marLeft w:val="0"/>
                      <w:marRight w:val="0"/>
                      <w:marTop w:val="0"/>
                      <w:marBottom w:val="0"/>
                      <w:divBdr>
                        <w:top w:val="none" w:sz="0" w:space="0" w:color="auto"/>
                        <w:left w:val="none" w:sz="0" w:space="0" w:color="auto"/>
                        <w:bottom w:val="none" w:sz="0" w:space="0" w:color="auto"/>
                        <w:right w:val="none" w:sz="0" w:space="0" w:color="auto"/>
                      </w:divBdr>
                      <w:divsChild>
                        <w:div w:id="294144187">
                          <w:marLeft w:val="0"/>
                          <w:marRight w:val="0"/>
                          <w:marTop w:val="0"/>
                          <w:marBottom w:val="0"/>
                          <w:divBdr>
                            <w:top w:val="none" w:sz="0" w:space="0" w:color="auto"/>
                            <w:left w:val="none" w:sz="0" w:space="0" w:color="auto"/>
                            <w:bottom w:val="none" w:sz="0" w:space="0" w:color="auto"/>
                            <w:right w:val="none" w:sz="0" w:space="0" w:color="auto"/>
                          </w:divBdr>
                        </w:div>
                      </w:divsChild>
                    </w:div>
                    <w:div w:id="294144008">
                      <w:marLeft w:val="0"/>
                      <w:marRight w:val="0"/>
                      <w:marTop w:val="0"/>
                      <w:marBottom w:val="0"/>
                      <w:divBdr>
                        <w:top w:val="none" w:sz="0" w:space="0" w:color="auto"/>
                        <w:left w:val="none" w:sz="0" w:space="0" w:color="auto"/>
                        <w:bottom w:val="none" w:sz="0" w:space="0" w:color="auto"/>
                        <w:right w:val="none" w:sz="0" w:space="0" w:color="auto"/>
                      </w:divBdr>
                      <w:divsChild>
                        <w:div w:id="294154707">
                          <w:marLeft w:val="0"/>
                          <w:marRight w:val="0"/>
                          <w:marTop w:val="0"/>
                          <w:marBottom w:val="0"/>
                          <w:divBdr>
                            <w:top w:val="none" w:sz="0" w:space="0" w:color="auto"/>
                            <w:left w:val="none" w:sz="0" w:space="0" w:color="auto"/>
                            <w:bottom w:val="none" w:sz="0" w:space="0" w:color="auto"/>
                            <w:right w:val="none" w:sz="0" w:space="0" w:color="auto"/>
                          </w:divBdr>
                        </w:div>
                      </w:divsChild>
                    </w:div>
                    <w:div w:id="294144403">
                      <w:marLeft w:val="0"/>
                      <w:marRight w:val="0"/>
                      <w:marTop w:val="0"/>
                      <w:marBottom w:val="0"/>
                      <w:divBdr>
                        <w:top w:val="none" w:sz="0" w:space="0" w:color="auto"/>
                        <w:left w:val="none" w:sz="0" w:space="0" w:color="auto"/>
                        <w:bottom w:val="none" w:sz="0" w:space="0" w:color="auto"/>
                        <w:right w:val="none" w:sz="0" w:space="0" w:color="auto"/>
                      </w:divBdr>
                    </w:div>
                    <w:div w:id="294144446">
                      <w:marLeft w:val="0"/>
                      <w:marRight w:val="0"/>
                      <w:marTop w:val="0"/>
                      <w:marBottom w:val="0"/>
                      <w:divBdr>
                        <w:top w:val="none" w:sz="0" w:space="0" w:color="auto"/>
                        <w:left w:val="none" w:sz="0" w:space="0" w:color="auto"/>
                        <w:bottom w:val="none" w:sz="0" w:space="0" w:color="auto"/>
                        <w:right w:val="none" w:sz="0" w:space="0" w:color="auto"/>
                      </w:divBdr>
                    </w:div>
                    <w:div w:id="294144587">
                      <w:marLeft w:val="0"/>
                      <w:marRight w:val="0"/>
                      <w:marTop w:val="0"/>
                      <w:marBottom w:val="0"/>
                      <w:divBdr>
                        <w:top w:val="none" w:sz="0" w:space="0" w:color="auto"/>
                        <w:left w:val="none" w:sz="0" w:space="0" w:color="auto"/>
                        <w:bottom w:val="none" w:sz="0" w:space="0" w:color="auto"/>
                        <w:right w:val="none" w:sz="0" w:space="0" w:color="auto"/>
                      </w:divBdr>
                      <w:divsChild>
                        <w:div w:id="294151798">
                          <w:marLeft w:val="0"/>
                          <w:marRight w:val="0"/>
                          <w:marTop w:val="0"/>
                          <w:marBottom w:val="0"/>
                          <w:divBdr>
                            <w:top w:val="none" w:sz="0" w:space="0" w:color="auto"/>
                            <w:left w:val="none" w:sz="0" w:space="0" w:color="auto"/>
                            <w:bottom w:val="none" w:sz="0" w:space="0" w:color="auto"/>
                            <w:right w:val="none" w:sz="0" w:space="0" w:color="auto"/>
                          </w:divBdr>
                        </w:div>
                      </w:divsChild>
                    </w:div>
                    <w:div w:id="294144670">
                      <w:marLeft w:val="0"/>
                      <w:marRight w:val="0"/>
                      <w:marTop w:val="0"/>
                      <w:marBottom w:val="0"/>
                      <w:divBdr>
                        <w:top w:val="none" w:sz="0" w:space="0" w:color="auto"/>
                        <w:left w:val="none" w:sz="0" w:space="0" w:color="auto"/>
                        <w:bottom w:val="none" w:sz="0" w:space="0" w:color="auto"/>
                        <w:right w:val="none" w:sz="0" w:space="0" w:color="auto"/>
                      </w:divBdr>
                      <w:divsChild>
                        <w:div w:id="294142206">
                          <w:marLeft w:val="0"/>
                          <w:marRight w:val="0"/>
                          <w:marTop w:val="0"/>
                          <w:marBottom w:val="0"/>
                          <w:divBdr>
                            <w:top w:val="none" w:sz="0" w:space="0" w:color="auto"/>
                            <w:left w:val="none" w:sz="0" w:space="0" w:color="auto"/>
                            <w:bottom w:val="none" w:sz="0" w:space="0" w:color="auto"/>
                            <w:right w:val="none" w:sz="0" w:space="0" w:color="auto"/>
                          </w:divBdr>
                        </w:div>
                      </w:divsChild>
                    </w:div>
                    <w:div w:id="294145039">
                      <w:marLeft w:val="0"/>
                      <w:marRight w:val="0"/>
                      <w:marTop w:val="0"/>
                      <w:marBottom w:val="0"/>
                      <w:divBdr>
                        <w:top w:val="none" w:sz="0" w:space="0" w:color="auto"/>
                        <w:left w:val="none" w:sz="0" w:space="0" w:color="auto"/>
                        <w:bottom w:val="none" w:sz="0" w:space="0" w:color="auto"/>
                        <w:right w:val="none" w:sz="0" w:space="0" w:color="auto"/>
                      </w:divBdr>
                    </w:div>
                    <w:div w:id="294145079">
                      <w:marLeft w:val="0"/>
                      <w:marRight w:val="0"/>
                      <w:marTop w:val="0"/>
                      <w:marBottom w:val="0"/>
                      <w:divBdr>
                        <w:top w:val="none" w:sz="0" w:space="0" w:color="auto"/>
                        <w:left w:val="none" w:sz="0" w:space="0" w:color="auto"/>
                        <w:bottom w:val="none" w:sz="0" w:space="0" w:color="auto"/>
                        <w:right w:val="none" w:sz="0" w:space="0" w:color="auto"/>
                      </w:divBdr>
                      <w:divsChild>
                        <w:div w:id="294156757">
                          <w:marLeft w:val="0"/>
                          <w:marRight w:val="0"/>
                          <w:marTop w:val="0"/>
                          <w:marBottom w:val="0"/>
                          <w:divBdr>
                            <w:top w:val="none" w:sz="0" w:space="0" w:color="auto"/>
                            <w:left w:val="none" w:sz="0" w:space="0" w:color="auto"/>
                            <w:bottom w:val="none" w:sz="0" w:space="0" w:color="auto"/>
                            <w:right w:val="none" w:sz="0" w:space="0" w:color="auto"/>
                          </w:divBdr>
                        </w:div>
                      </w:divsChild>
                    </w:div>
                    <w:div w:id="294145087">
                      <w:marLeft w:val="0"/>
                      <w:marRight w:val="0"/>
                      <w:marTop w:val="0"/>
                      <w:marBottom w:val="0"/>
                      <w:divBdr>
                        <w:top w:val="none" w:sz="0" w:space="0" w:color="auto"/>
                        <w:left w:val="none" w:sz="0" w:space="0" w:color="auto"/>
                        <w:bottom w:val="none" w:sz="0" w:space="0" w:color="auto"/>
                        <w:right w:val="none" w:sz="0" w:space="0" w:color="auto"/>
                      </w:divBdr>
                      <w:divsChild>
                        <w:div w:id="294149391">
                          <w:marLeft w:val="0"/>
                          <w:marRight w:val="0"/>
                          <w:marTop w:val="0"/>
                          <w:marBottom w:val="0"/>
                          <w:divBdr>
                            <w:top w:val="none" w:sz="0" w:space="0" w:color="auto"/>
                            <w:left w:val="none" w:sz="0" w:space="0" w:color="auto"/>
                            <w:bottom w:val="none" w:sz="0" w:space="0" w:color="auto"/>
                            <w:right w:val="none" w:sz="0" w:space="0" w:color="auto"/>
                          </w:divBdr>
                        </w:div>
                      </w:divsChild>
                    </w:div>
                    <w:div w:id="294145224">
                      <w:marLeft w:val="0"/>
                      <w:marRight w:val="0"/>
                      <w:marTop w:val="0"/>
                      <w:marBottom w:val="0"/>
                      <w:divBdr>
                        <w:top w:val="none" w:sz="0" w:space="0" w:color="auto"/>
                        <w:left w:val="none" w:sz="0" w:space="0" w:color="auto"/>
                        <w:bottom w:val="none" w:sz="0" w:space="0" w:color="auto"/>
                        <w:right w:val="none" w:sz="0" w:space="0" w:color="auto"/>
                      </w:divBdr>
                      <w:divsChild>
                        <w:div w:id="294138081">
                          <w:marLeft w:val="0"/>
                          <w:marRight w:val="0"/>
                          <w:marTop w:val="0"/>
                          <w:marBottom w:val="0"/>
                          <w:divBdr>
                            <w:top w:val="none" w:sz="0" w:space="0" w:color="auto"/>
                            <w:left w:val="none" w:sz="0" w:space="0" w:color="auto"/>
                            <w:bottom w:val="none" w:sz="0" w:space="0" w:color="auto"/>
                            <w:right w:val="none" w:sz="0" w:space="0" w:color="auto"/>
                          </w:divBdr>
                        </w:div>
                      </w:divsChild>
                    </w:div>
                    <w:div w:id="294145352">
                      <w:marLeft w:val="0"/>
                      <w:marRight w:val="0"/>
                      <w:marTop w:val="0"/>
                      <w:marBottom w:val="0"/>
                      <w:divBdr>
                        <w:top w:val="none" w:sz="0" w:space="0" w:color="auto"/>
                        <w:left w:val="none" w:sz="0" w:space="0" w:color="auto"/>
                        <w:bottom w:val="none" w:sz="0" w:space="0" w:color="auto"/>
                        <w:right w:val="none" w:sz="0" w:space="0" w:color="auto"/>
                      </w:divBdr>
                      <w:divsChild>
                        <w:div w:id="294155740">
                          <w:marLeft w:val="0"/>
                          <w:marRight w:val="0"/>
                          <w:marTop w:val="0"/>
                          <w:marBottom w:val="0"/>
                          <w:divBdr>
                            <w:top w:val="none" w:sz="0" w:space="0" w:color="auto"/>
                            <w:left w:val="none" w:sz="0" w:space="0" w:color="auto"/>
                            <w:bottom w:val="none" w:sz="0" w:space="0" w:color="auto"/>
                            <w:right w:val="none" w:sz="0" w:space="0" w:color="auto"/>
                          </w:divBdr>
                        </w:div>
                      </w:divsChild>
                    </w:div>
                    <w:div w:id="294145396">
                      <w:marLeft w:val="0"/>
                      <w:marRight w:val="0"/>
                      <w:marTop w:val="0"/>
                      <w:marBottom w:val="0"/>
                      <w:divBdr>
                        <w:top w:val="none" w:sz="0" w:space="0" w:color="auto"/>
                        <w:left w:val="none" w:sz="0" w:space="0" w:color="auto"/>
                        <w:bottom w:val="none" w:sz="0" w:space="0" w:color="auto"/>
                        <w:right w:val="none" w:sz="0" w:space="0" w:color="auto"/>
                      </w:divBdr>
                      <w:divsChild>
                        <w:div w:id="294154074">
                          <w:marLeft w:val="0"/>
                          <w:marRight w:val="0"/>
                          <w:marTop w:val="0"/>
                          <w:marBottom w:val="0"/>
                          <w:divBdr>
                            <w:top w:val="none" w:sz="0" w:space="0" w:color="auto"/>
                            <w:left w:val="none" w:sz="0" w:space="0" w:color="auto"/>
                            <w:bottom w:val="none" w:sz="0" w:space="0" w:color="auto"/>
                            <w:right w:val="none" w:sz="0" w:space="0" w:color="auto"/>
                          </w:divBdr>
                        </w:div>
                      </w:divsChild>
                    </w:div>
                    <w:div w:id="294145437">
                      <w:marLeft w:val="0"/>
                      <w:marRight w:val="0"/>
                      <w:marTop w:val="0"/>
                      <w:marBottom w:val="0"/>
                      <w:divBdr>
                        <w:top w:val="none" w:sz="0" w:space="0" w:color="auto"/>
                        <w:left w:val="none" w:sz="0" w:space="0" w:color="auto"/>
                        <w:bottom w:val="none" w:sz="0" w:space="0" w:color="auto"/>
                        <w:right w:val="none" w:sz="0" w:space="0" w:color="auto"/>
                      </w:divBdr>
                      <w:divsChild>
                        <w:div w:id="294138748">
                          <w:marLeft w:val="0"/>
                          <w:marRight w:val="0"/>
                          <w:marTop w:val="0"/>
                          <w:marBottom w:val="0"/>
                          <w:divBdr>
                            <w:top w:val="none" w:sz="0" w:space="0" w:color="auto"/>
                            <w:left w:val="none" w:sz="0" w:space="0" w:color="auto"/>
                            <w:bottom w:val="none" w:sz="0" w:space="0" w:color="auto"/>
                            <w:right w:val="none" w:sz="0" w:space="0" w:color="auto"/>
                          </w:divBdr>
                        </w:div>
                      </w:divsChild>
                    </w:div>
                    <w:div w:id="294145517">
                      <w:marLeft w:val="0"/>
                      <w:marRight w:val="0"/>
                      <w:marTop w:val="0"/>
                      <w:marBottom w:val="0"/>
                      <w:divBdr>
                        <w:top w:val="none" w:sz="0" w:space="0" w:color="auto"/>
                        <w:left w:val="none" w:sz="0" w:space="0" w:color="auto"/>
                        <w:bottom w:val="none" w:sz="0" w:space="0" w:color="auto"/>
                        <w:right w:val="none" w:sz="0" w:space="0" w:color="auto"/>
                      </w:divBdr>
                    </w:div>
                    <w:div w:id="294145759">
                      <w:marLeft w:val="0"/>
                      <w:marRight w:val="0"/>
                      <w:marTop w:val="0"/>
                      <w:marBottom w:val="0"/>
                      <w:divBdr>
                        <w:top w:val="none" w:sz="0" w:space="0" w:color="auto"/>
                        <w:left w:val="none" w:sz="0" w:space="0" w:color="auto"/>
                        <w:bottom w:val="none" w:sz="0" w:space="0" w:color="auto"/>
                        <w:right w:val="none" w:sz="0" w:space="0" w:color="auto"/>
                      </w:divBdr>
                    </w:div>
                    <w:div w:id="294145805">
                      <w:marLeft w:val="0"/>
                      <w:marRight w:val="0"/>
                      <w:marTop w:val="0"/>
                      <w:marBottom w:val="0"/>
                      <w:divBdr>
                        <w:top w:val="none" w:sz="0" w:space="0" w:color="auto"/>
                        <w:left w:val="none" w:sz="0" w:space="0" w:color="auto"/>
                        <w:bottom w:val="none" w:sz="0" w:space="0" w:color="auto"/>
                        <w:right w:val="none" w:sz="0" w:space="0" w:color="auto"/>
                      </w:divBdr>
                    </w:div>
                    <w:div w:id="294145837">
                      <w:marLeft w:val="0"/>
                      <w:marRight w:val="0"/>
                      <w:marTop w:val="0"/>
                      <w:marBottom w:val="0"/>
                      <w:divBdr>
                        <w:top w:val="none" w:sz="0" w:space="0" w:color="auto"/>
                        <w:left w:val="none" w:sz="0" w:space="0" w:color="auto"/>
                        <w:bottom w:val="none" w:sz="0" w:space="0" w:color="auto"/>
                        <w:right w:val="none" w:sz="0" w:space="0" w:color="auto"/>
                      </w:divBdr>
                      <w:divsChild>
                        <w:div w:id="294141348">
                          <w:marLeft w:val="0"/>
                          <w:marRight w:val="0"/>
                          <w:marTop w:val="0"/>
                          <w:marBottom w:val="0"/>
                          <w:divBdr>
                            <w:top w:val="none" w:sz="0" w:space="0" w:color="auto"/>
                            <w:left w:val="none" w:sz="0" w:space="0" w:color="auto"/>
                            <w:bottom w:val="none" w:sz="0" w:space="0" w:color="auto"/>
                            <w:right w:val="none" w:sz="0" w:space="0" w:color="auto"/>
                          </w:divBdr>
                        </w:div>
                      </w:divsChild>
                    </w:div>
                    <w:div w:id="294145891">
                      <w:marLeft w:val="0"/>
                      <w:marRight w:val="0"/>
                      <w:marTop w:val="0"/>
                      <w:marBottom w:val="0"/>
                      <w:divBdr>
                        <w:top w:val="none" w:sz="0" w:space="0" w:color="auto"/>
                        <w:left w:val="none" w:sz="0" w:space="0" w:color="auto"/>
                        <w:bottom w:val="none" w:sz="0" w:space="0" w:color="auto"/>
                        <w:right w:val="none" w:sz="0" w:space="0" w:color="auto"/>
                      </w:divBdr>
                    </w:div>
                    <w:div w:id="294145892">
                      <w:marLeft w:val="0"/>
                      <w:marRight w:val="0"/>
                      <w:marTop w:val="0"/>
                      <w:marBottom w:val="0"/>
                      <w:divBdr>
                        <w:top w:val="none" w:sz="0" w:space="0" w:color="auto"/>
                        <w:left w:val="none" w:sz="0" w:space="0" w:color="auto"/>
                        <w:bottom w:val="none" w:sz="0" w:space="0" w:color="auto"/>
                        <w:right w:val="none" w:sz="0" w:space="0" w:color="auto"/>
                      </w:divBdr>
                      <w:divsChild>
                        <w:div w:id="294153961">
                          <w:marLeft w:val="0"/>
                          <w:marRight w:val="0"/>
                          <w:marTop w:val="0"/>
                          <w:marBottom w:val="0"/>
                          <w:divBdr>
                            <w:top w:val="none" w:sz="0" w:space="0" w:color="auto"/>
                            <w:left w:val="none" w:sz="0" w:space="0" w:color="auto"/>
                            <w:bottom w:val="none" w:sz="0" w:space="0" w:color="auto"/>
                            <w:right w:val="none" w:sz="0" w:space="0" w:color="auto"/>
                          </w:divBdr>
                        </w:div>
                      </w:divsChild>
                    </w:div>
                    <w:div w:id="294145985">
                      <w:marLeft w:val="0"/>
                      <w:marRight w:val="0"/>
                      <w:marTop w:val="0"/>
                      <w:marBottom w:val="0"/>
                      <w:divBdr>
                        <w:top w:val="none" w:sz="0" w:space="0" w:color="auto"/>
                        <w:left w:val="none" w:sz="0" w:space="0" w:color="auto"/>
                        <w:bottom w:val="none" w:sz="0" w:space="0" w:color="auto"/>
                        <w:right w:val="none" w:sz="0" w:space="0" w:color="auto"/>
                      </w:divBdr>
                      <w:divsChild>
                        <w:div w:id="294146610">
                          <w:marLeft w:val="0"/>
                          <w:marRight w:val="0"/>
                          <w:marTop w:val="0"/>
                          <w:marBottom w:val="0"/>
                          <w:divBdr>
                            <w:top w:val="none" w:sz="0" w:space="0" w:color="auto"/>
                            <w:left w:val="none" w:sz="0" w:space="0" w:color="auto"/>
                            <w:bottom w:val="none" w:sz="0" w:space="0" w:color="auto"/>
                            <w:right w:val="none" w:sz="0" w:space="0" w:color="auto"/>
                          </w:divBdr>
                        </w:div>
                      </w:divsChild>
                    </w:div>
                    <w:div w:id="294146192">
                      <w:marLeft w:val="0"/>
                      <w:marRight w:val="0"/>
                      <w:marTop w:val="0"/>
                      <w:marBottom w:val="0"/>
                      <w:divBdr>
                        <w:top w:val="none" w:sz="0" w:space="0" w:color="auto"/>
                        <w:left w:val="none" w:sz="0" w:space="0" w:color="auto"/>
                        <w:bottom w:val="none" w:sz="0" w:space="0" w:color="auto"/>
                        <w:right w:val="none" w:sz="0" w:space="0" w:color="auto"/>
                      </w:divBdr>
                      <w:divsChild>
                        <w:div w:id="294148618">
                          <w:marLeft w:val="0"/>
                          <w:marRight w:val="0"/>
                          <w:marTop w:val="0"/>
                          <w:marBottom w:val="0"/>
                          <w:divBdr>
                            <w:top w:val="none" w:sz="0" w:space="0" w:color="auto"/>
                            <w:left w:val="none" w:sz="0" w:space="0" w:color="auto"/>
                            <w:bottom w:val="none" w:sz="0" w:space="0" w:color="auto"/>
                            <w:right w:val="none" w:sz="0" w:space="0" w:color="auto"/>
                          </w:divBdr>
                        </w:div>
                      </w:divsChild>
                    </w:div>
                    <w:div w:id="294146221">
                      <w:marLeft w:val="0"/>
                      <w:marRight w:val="0"/>
                      <w:marTop w:val="0"/>
                      <w:marBottom w:val="0"/>
                      <w:divBdr>
                        <w:top w:val="none" w:sz="0" w:space="0" w:color="auto"/>
                        <w:left w:val="none" w:sz="0" w:space="0" w:color="auto"/>
                        <w:bottom w:val="none" w:sz="0" w:space="0" w:color="auto"/>
                        <w:right w:val="none" w:sz="0" w:space="0" w:color="auto"/>
                      </w:divBdr>
                      <w:divsChild>
                        <w:div w:id="294143750">
                          <w:marLeft w:val="0"/>
                          <w:marRight w:val="0"/>
                          <w:marTop w:val="0"/>
                          <w:marBottom w:val="0"/>
                          <w:divBdr>
                            <w:top w:val="none" w:sz="0" w:space="0" w:color="auto"/>
                            <w:left w:val="none" w:sz="0" w:space="0" w:color="auto"/>
                            <w:bottom w:val="none" w:sz="0" w:space="0" w:color="auto"/>
                            <w:right w:val="none" w:sz="0" w:space="0" w:color="auto"/>
                          </w:divBdr>
                        </w:div>
                      </w:divsChild>
                    </w:div>
                    <w:div w:id="294146226">
                      <w:marLeft w:val="0"/>
                      <w:marRight w:val="0"/>
                      <w:marTop w:val="0"/>
                      <w:marBottom w:val="0"/>
                      <w:divBdr>
                        <w:top w:val="none" w:sz="0" w:space="0" w:color="auto"/>
                        <w:left w:val="none" w:sz="0" w:space="0" w:color="auto"/>
                        <w:bottom w:val="none" w:sz="0" w:space="0" w:color="auto"/>
                        <w:right w:val="none" w:sz="0" w:space="0" w:color="auto"/>
                      </w:divBdr>
                    </w:div>
                    <w:div w:id="294146285">
                      <w:marLeft w:val="0"/>
                      <w:marRight w:val="0"/>
                      <w:marTop w:val="0"/>
                      <w:marBottom w:val="0"/>
                      <w:divBdr>
                        <w:top w:val="none" w:sz="0" w:space="0" w:color="auto"/>
                        <w:left w:val="none" w:sz="0" w:space="0" w:color="auto"/>
                        <w:bottom w:val="none" w:sz="0" w:space="0" w:color="auto"/>
                        <w:right w:val="none" w:sz="0" w:space="0" w:color="auto"/>
                      </w:divBdr>
                    </w:div>
                    <w:div w:id="294146535">
                      <w:marLeft w:val="0"/>
                      <w:marRight w:val="0"/>
                      <w:marTop w:val="0"/>
                      <w:marBottom w:val="0"/>
                      <w:divBdr>
                        <w:top w:val="none" w:sz="0" w:space="0" w:color="auto"/>
                        <w:left w:val="none" w:sz="0" w:space="0" w:color="auto"/>
                        <w:bottom w:val="none" w:sz="0" w:space="0" w:color="auto"/>
                        <w:right w:val="none" w:sz="0" w:space="0" w:color="auto"/>
                      </w:divBdr>
                      <w:divsChild>
                        <w:div w:id="294142656">
                          <w:marLeft w:val="0"/>
                          <w:marRight w:val="0"/>
                          <w:marTop w:val="0"/>
                          <w:marBottom w:val="0"/>
                          <w:divBdr>
                            <w:top w:val="none" w:sz="0" w:space="0" w:color="auto"/>
                            <w:left w:val="none" w:sz="0" w:space="0" w:color="auto"/>
                            <w:bottom w:val="none" w:sz="0" w:space="0" w:color="auto"/>
                            <w:right w:val="none" w:sz="0" w:space="0" w:color="auto"/>
                          </w:divBdr>
                        </w:div>
                      </w:divsChild>
                    </w:div>
                    <w:div w:id="294146545">
                      <w:marLeft w:val="0"/>
                      <w:marRight w:val="0"/>
                      <w:marTop w:val="0"/>
                      <w:marBottom w:val="0"/>
                      <w:divBdr>
                        <w:top w:val="none" w:sz="0" w:space="0" w:color="auto"/>
                        <w:left w:val="none" w:sz="0" w:space="0" w:color="auto"/>
                        <w:bottom w:val="none" w:sz="0" w:space="0" w:color="auto"/>
                        <w:right w:val="none" w:sz="0" w:space="0" w:color="auto"/>
                      </w:divBdr>
                      <w:divsChild>
                        <w:div w:id="294155379">
                          <w:marLeft w:val="0"/>
                          <w:marRight w:val="0"/>
                          <w:marTop w:val="0"/>
                          <w:marBottom w:val="0"/>
                          <w:divBdr>
                            <w:top w:val="none" w:sz="0" w:space="0" w:color="auto"/>
                            <w:left w:val="none" w:sz="0" w:space="0" w:color="auto"/>
                            <w:bottom w:val="none" w:sz="0" w:space="0" w:color="auto"/>
                            <w:right w:val="none" w:sz="0" w:space="0" w:color="auto"/>
                          </w:divBdr>
                        </w:div>
                      </w:divsChild>
                    </w:div>
                    <w:div w:id="294146705">
                      <w:marLeft w:val="0"/>
                      <w:marRight w:val="0"/>
                      <w:marTop w:val="0"/>
                      <w:marBottom w:val="0"/>
                      <w:divBdr>
                        <w:top w:val="none" w:sz="0" w:space="0" w:color="auto"/>
                        <w:left w:val="none" w:sz="0" w:space="0" w:color="auto"/>
                        <w:bottom w:val="none" w:sz="0" w:space="0" w:color="auto"/>
                        <w:right w:val="none" w:sz="0" w:space="0" w:color="auto"/>
                      </w:divBdr>
                    </w:div>
                    <w:div w:id="294146778">
                      <w:marLeft w:val="0"/>
                      <w:marRight w:val="0"/>
                      <w:marTop w:val="0"/>
                      <w:marBottom w:val="0"/>
                      <w:divBdr>
                        <w:top w:val="none" w:sz="0" w:space="0" w:color="auto"/>
                        <w:left w:val="none" w:sz="0" w:space="0" w:color="auto"/>
                        <w:bottom w:val="none" w:sz="0" w:space="0" w:color="auto"/>
                        <w:right w:val="none" w:sz="0" w:space="0" w:color="auto"/>
                      </w:divBdr>
                    </w:div>
                    <w:div w:id="294146989">
                      <w:marLeft w:val="0"/>
                      <w:marRight w:val="0"/>
                      <w:marTop w:val="0"/>
                      <w:marBottom w:val="0"/>
                      <w:divBdr>
                        <w:top w:val="none" w:sz="0" w:space="0" w:color="auto"/>
                        <w:left w:val="none" w:sz="0" w:space="0" w:color="auto"/>
                        <w:bottom w:val="none" w:sz="0" w:space="0" w:color="auto"/>
                        <w:right w:val="none" w:sz="0" w:space="0" w:color="auto"/>
                      </w:divBdr>
                    </w:div>
                    <w:div w:id="294147178">
                      <w:marLeft w:val="0"/>
                      <w:marRight w:val="0"/>
                      <w:marTop w:val="0"/>
                      <w:marBottom w:val="0"/>
                      <w:divBdr>
                        <w:top w:val="none" w:sz="0" w:space="0" w:color="auto"/>
                        <w:left w:val="none" w:sz="0" w:space="0" w:color="auto"/>
                        <w:bottom w:val="none" w:sz="0" w:space="0" w:color="auto"/>
                        <w:right w:val="none" w:sz="0" w:space="0" w:color="auto"/>
                      </w:divBdr>
                    </w:div>
                    <w:div w:id="294147496">
                      <w:marLeft w:val="0"/>
                      <w:marRight w:val="0"/>
                      <w:marTop w:val="0"/>
                      <w:marBottom w:val="0"/>
                      <w:divBdr>
                        <w:top w:val="none" w:sz="0" w:space="0" w:color="auto"/>
                        <w:left w:val="none" w:sz="0" w:space="0" w:color="auto"/>
                        <w:bottom w:val="none" w:sz="0" w:space="0" w:color="auto"/>
                        <w:right w:val="none" w:sz="0" w:space="0" w:color="auto"/>
                      </w:divBdr>
                      <w:divsChild>
                        <w:div w:id="294142902">
                          <w:marLeft w:val="0"/>
                          <w:marRight w:val="0"/>
                          <w:marTop w:val="0"/>
                          <w:marBottom w:val="0"/>
                          <w:divBdr>
                            <w:top w:val="none" w:sz="0" w:space="0" w:color="auto"/>
                            <w:left w:val="none" w:sz="0" w:space="0" w:color="auto"/>
                            <w:bottom w:val="none" w:sz="0" w:space="0" w:color="auto"/>
                            <w:right w:val="none" w:sz="0" w:space="0" w:color="auto"/>
                          </w:divBdr>
                        </w:div>
                      </w:divsChild>
                    </w:div>
                    <w:div w:id="294147794">
                      <w:marLeft w:val="0"/>
                      <w:marRight w:val="0"/>
                      <w:marTop w:val="0"/>
                      <w:marBottom w:val="0"/>
                      <w:divBdr>
                        <w:top w:val="none" w:sz="0" w:space="0" w:color="auto"/>
                        <w:left w:val="none" w:sz="0" w:space="0" w:color="auto"/>
                        <w:bottom w:val="none" w:sz="0" w:space="0" w:color="auto"/>
                        <w:right w:val="none" w:sz="0" w:space="0" w:color="auto"/>
                      </w:divBdr>
                    </w:div>
                    <w:div w:id="294148109">
                      <w:marLeft w:val="0"/>
                      <w:marRight w:val="0"/>
                      <w:marTop w:val="0"/>
                      <w:marBottom w:val="0"/>
                      <w:divBdr>
                        <w:top w:val="none" w:sz="0" w:space="0" w:color="auto"/>
                        <w:left w:val="none" w:sz="0" w:space="0" w:color="auto"/>
                        <w:bottom w:val="none" w:sz="0" w:space="0" w:color="auto"/>
                        <w:right w:val="none" w:sz="0" w:space="0" w:color="auto"/>
                      </w:divBdr>
                      <w:divsChild>
                        <w:div w:id="294152933">
                          <w:marLeft w:val="0"/>
                          <w:marRight w:val="0"/>
                          <w:marTop w:val="0"/>
                          <w:marBottom w:val="0"/>
                          <w:divBdr>
                            <w:top w:val="none" w:sz="0" w:space="0" w:color="auto"/>
                            <w:left w:val="none" w:sz="0" w:space="0" w:color="auto"/>
                            <w:bottom w:val="none" w:sz="0" w:space="0" w:color="auto"/>
                            <w:right w:val="none" w:sz="0" w:space="0" w:color="auto"/>
                          </w:divBdr>
                        </w:div>
                      </w:divsChild>
                    </w:div>
                    <w:div w:id="294148206">
                      <w:marLeft w:val="0"/>
                      <w:marRight w:val="0"/>
                      <w:marTop w:val="0"/>
                      <w:marBottom w:val="0"/>
                      <w:divBdr>
                        <w:top w:val="none" w:sz="0" w:space="0" w:color="auto"/>
                        <w:left w:val="none" w:sz="0" w:space="0" w:color="auto"/>
                        <w:bottom w:val="none" w:sz="0" w:space="0" w:color="auto"/>
                        <w:right w:val="none" w:sz="0" w:space="0" w:color="auto"/>
                      </w:divBdr>
                      <w:divsChild>
                        <w:div w:id="294156671">
                          <w:marLeft w:val="0"/>
                          <w:marRight w:val="0"/>
                          <w:marTop w:val="0"/>
                          <w:marBottom w:val="0"/>
                          <w:divBdr>
                            <w:top w:val="none" w:sz="0" w:space="0" w:color="auto"/>
                            <w:left w:val="none" w:sz="0" w:space="0" w:color="auto"/>
                            <w:bottom w:val="none" w:sz="0" w:space="0" w:color="auto"/>
                            <w:right w:val="none" w:sz="0" w:space="0" w:color="auto"/>
                          </w:divBdr>
                        </w:div>
                      </w:divsChild>
                    </w:div>
                    <w:div w:id="294148320">
                      <w:marLeft w:val="0"/>
                      <w:marRight w:val="0"/>
                      <w:marTop w:val="0"/>
                      <w:marBottom w:val="0"/>
                      <w:divBdr>
                        <w:top w:val="none" w:sz="0" w:space="0" w:color="auto"/>
                        <w:left w:val="none" w:sz="0" w:space="0" w:color="auto"/>
                        <w:bottom w:val="none" w:sz="0" w:space="0" w:color="auto"/>
                        <w:right w:val="none" w:sz="0" w:space="0" w:color="auto"/>
                      </w:divBdr>
                    </w:div>
                    <w:div w:id="294148435">
                      <w:marLeft w:val="0"/>
                      <w:marRight w:val="0"/>
                      <w:marTop w:val="0"/>
                      <w:marBottom w:val="0"/>
                      <w:divBdr>
                        <w:top w:val="none" w:sz="0" w:space="0" w:color="auto"/>
                        <w:left w:val="none" w:sz="0" w:space="0" w:color="auto"/>
                        <w:bottom w:val="none" w:sz="0" w:space="0" w:color="auto"/>
                        <w:right w:val="none" w:sz="0" w:space="0" w:color="auto"/>
                      </w:divBdr>
                    </w:div>
                    <w:div w:id="294148537">
                      <w:marLeft w:val="0"/>
                      <w:marRight w:val="0"/>
                      <w:marTop w:val="0"/>
                      <w:marBottom w:val="0"/>
                      <w:divBdr>
                        <w:top w:val="none" w:sz="0" w:space="0" w:color="auto"/>
                        <w:left w:val="none" w:sz="0" w:space="0" w:color="auto"/>
                        <w:bottom w:val="none" w:sz="0" w:space="0" w:color="auto"/>
                        <w:right w:val="none" w:sz="0" w:space="0" w:color="auto"/>
                      </w:divBdr>
                      <w:divsChild>
                        <w:div w:id="294144946">
                          <w:marLeft w:val="0"/>
                          <w:marRight w:val="0"/>
                          <w:marTop w:val="0"/>
                          <w:marBottom w:val="0"/>
                          <w:divBdr>
                            <w:top w:val="none" w:sz="0" w:space="0" w:color="auto"/>
                            <w:left w:val="none" w:sz="0" w:space="0" w:color="auto"/>
                            <w:bottom w:val="none" w:sz="0" w:space="0" w:color="auto"/>
                            <w:right w:val="none" w:sz="0" w:space="0" w:color="auto"/>
                          </w:divBdr>
                        </w:div>
                      </w:divsChild>
                    </w:div>
                    <w:div w:id="294148665">
                      <w:marLeft w:val="0"/>
                      <w:marRight w:val="0"/>
                      <w:marTop w:val="0"/>
                      <w:marBottom w:val="0"/>
                      <w:divBdr>
                        <w:top w:val="none" w:sz="0" w:space="0" w:color="auto"/>
                        <w:left w:val="none" w:sz="0" w:space="0" w:color="auto"/>
                        <w:bottom w:val="none" w:sz="0" w:space="0" w:color="auto"/>
                        <w:right w:val="none" w:sz="0" w:space="0" w:color="auto"/>
                      </w:divBdr>
                    </w:div>
                    <w:div w:id="294148727">
                      <w:marLeft w:val="0"/>
                      <w:marRight w:val="0"/>
                      <w:marTop w:val="0"/>
                      <w:marBottom w:val="0"/>
                      <w:divBdr>
                        <w:top w:val="none" w:sz="0" w:space="0" w:color="auto"/>
                        <w:left w:val="none" w:sz="0" w:space="0" w:color="auto"/>
                        <w:bottom w:val="none" w:sz="0" w:space="0" w:color="auto"/>
                        <w:right w:val="none" w:sz="0" w:space="0" w:color="auto"/>
                      </w:divBdr>
                      <w:divsChild>
                        <w:div w:id="294153227">
                          <w:marLeft w:val="0"/>
                          <w:marRight w:val="0"/>
                          <w:marTop w:val="0"/>
                          <w:marBottom w:val="0"/>
                          <w:divBdr>
                            <w:top w:val="none" w:sz="0" w:space="0" w:color="auto"/>
                            <w:left w:val="none" w:sz="0" w:space="0" w:color="auto"/>
                            <w:bottom w:val="none" w:sz="0" w:space="0" w:color="auto"/>
                            <w:right w:val="none" w:sz="0" w:space="0" w:color="auto"/>
                          </w:divBdr>
                        </w:div>
                      </w:divsChild>
                    </w:div>
                    <w:div w:id="294148759">
                      <w:marLeft w:val="0"/>
                      <w:marRight w:val="0"/>
                      <w:marTop w:val="0"/>
                      <w:marBottom w:val="0"/>
                      <w:divBdr>
                        <w:top w:val="none" w:sz="0" w:space="0" w:color="auto"/>
                        <w:left w:val="none" w:sz="0" w:space="0" w:color="auto"/>
                        <w:bottom w:val="none" w:sz="0" w:space="0" w:color="auto"/>
                        <w:right w:val="none" w:sz="0" w:space="0" w:color="auto"/>
                      </w:divBdr>
                    </w:div>
                    <w:div w:id="294148930">
                      <w:marLeft w:val="0"/>
                      <w:marRight w:val="0"/>
                      <w:marTop w:val="0"/>
                      <w:marBottom w:val="0"/>
                      <w:divBdr>
                        <w:top w:val="none" w:sz="0" w:space="0" w:color="auto"/>
                        <w:left w:val="none" w:sz="0" w:space="0" w:color="auto"/>
                        <w:bottom w:val="none" w:sz="0" w:space="0" w:color="auto"/>
                        <w:right w:val="none" w:sz="0" w:space="0" w:color="auto"/>
                      </w:divBdr>
                    </w:div>
                    <w:div w:id="294148973">
                      <w:marLeft w:val="0"/>
                      <w:marRight w:val="0"/>
                      <w:marTop w:val="0"/>
                      <w:marBottom w:val="0"/>
                      <w:divBdr>
                        <w:top w:val="none" w:sz="0" w:space="0" w:color="auto"/>
                        <w:left w:val="none" w:sz="0" w:space="0" w:color="auto"/>
                        <w:bottom w:val="none" w:sz="0" w:space="0" w:color="auto"/>
                        <w:right w:val="none" w:sz="0" w:space="0" w:color="auto"/>
                      </w:divBdr>
                      <w:divsChild>
                        <w:div w:id="294143112">
                          <w:marLeft w:val="0"/>
                          <w:marRight w:val="0"/>
                          <w:marTop w:val="0"/>
                          <w:marBottom w:val="0"/>
                          <w:divBdr>
                            <w:top w:val="none" w:sz="0" w:space="0" w:color="auto"/>
                            <w:left w:val="none" w:sz="0" w:space="0" w:color="auto"/>
                            <w:bottom w:val="none" w:sz="0" w:space="0" w:color="auto"/>
                            <w:right w:val="none" w:sz="0" w:space="0" w:color="auto"/>
                          </w:divBdr>
                        </w:div>
                      </w:divsChild>
                    </w:div>
                    <w:div w:id="294149245">
                      <w:marLeft w:val="0"/>
                      <w:marRight w:val="0"/>
                      <w:marTop w:val="0"/>
                      <w:marBottom w:val="0"/>
                      <w:divBdr>
                        <w:top w:val="none" w:sz="0" w:space="0" w:color="auto"/>
                        <w:left w:val="none" w:sz="0" w:space="0" w:color="auto"/>
                        <w:bottom w:val="none" w:sz="0" w:space="0" w:color="auto"/>
                        <w:right w:val="none" w:sz="0" w:space="0" w:color="auto"/>
                      </w:divBdr>
                    </w:div>
                    <w:div w:id="294149297">
                      <w:marLeft w:val="0"/>
                      <w:marRight w:val="0"/>
                      <w:marTop w:val="0"/>
                      <w:marBottom w:val="0"/>
                      <w:divBdr>
                        <w:top w:val="none" w:sz="0" w:space="0" w:color="auto"/>
                        <w:left w:val="none" w:sz="0" w:space="0" w:color="auto"/>
                        <w:bottom w:val="none" w:sz="0" w:space="0" w:color="auto"/>
                        <w:right w:val="none" w:sz="0" w:space="0" w:color="auto"/>
                      </w:divBdr>
                      <w:divsChild>
                        <w:div w:id="294152536">
                          <w:marLeft w:val="0"/>
                          <w:marRight w:val="0"/>
                          <w:marTop w:val="0"/>
                          <w:marBottom w:val="0"/>
                          <w:divBdr>
                            <w:top w:val="none" w:sz="0" w:space="0" w:color="auto"/>
                            <w:left w:val="none" w:sz="0" w:space="0" w:color="auto"/>
                            <w:bottom w:val="none" w:sz="0" w:space="0" w:color="auto"/>
                            <w:right w:val="none" w:sz="0" w:space="0" w:color="auto"/>
                          </w:divBdr>
                        </w:div>
                      </w:divsChild>
                    </w:div>
                    <w:div w:id="294149439">
                      <w:marLeft w:val="0"/>
                      <w:marRight w:val="0"/>
                      <w:marTop w:val="0"/>
                      <w:marBottom w:val="0"/>
                      <w:divBdr>
                        <w:top w:val="none" w:sz="0" w:space="0" w:color="auto"/>
                        <w:left w:val="none" w:sz="0" w:space="0" w:color="auto"/>
                        <w:bottom w:val="none" w:sz="0" w:space="0" w:color="auto"/>
                        <w:right w:val="none" w:sz="0" w:space="0" w:color="auto"/>
                      </w:divBdr>
                    </w:div>
                    <w:div w:id="294149667">
                      <w:marLeft w:val="0"/>
                      <w:marRight w:val="0"/>
                      <w:marTop w:val="0"/>
                      <w:marBottom w:val="0"/>
                      <w:divBdr>
                        <w:top w:val="none" w:sz="0" w:space="0" w:color="auto"/>
                        <w:left w:val="none" w:sz="0" w:space="0" w:color="auto"/>
                        <w:bottom w:val="none" w:sz="0" w:space="0" w:color="auto"/>
                        <w:right w:val="none" w:sz="0" w:space="0" w:color="auto"/>
                      </w:divBdr>
                    </w:div>
                    <w:div w:id="294149899">
                      <w:marLeft w:val="0"/>
                      <w:marRight w:val="0"/>
                      <w:marTop w:val="0"/>
                      <w:marBottom w:val="0"/>
                      <w:divBdr>
                        <w:top w:val="none" w:sz="0" w:space="0" w:color="auto"/>
                        <w:left w:val="none" w:sz="0" w:space="0" w:color="auto"/>
                        <w:bottom w:val="none" w:sz="0" w:space="0" w:color="auto"/>
                        <w:right w:val="none" w:sz="0" w:space="0" w:color="auto"/>
                      </w:divBdr>
                    </w:div>
                    <w:div w:id="294150588">
                      <w:marLeft w:val="0"/>
                      <w:marRight w:val="0"/>
                      <w:marTop w:val="0"/>
                      <w:marBottom w:val="0"/>
                      <w:divBdr>
                        <w:top w:val="none" w:sz="0" w:space="0" w:color="auto"/>
                        <w:left w:val="none" w:sz="0" w:space="0" w:color="auto"/>
                        <w:bottom w:val="none" w:sz="0" w:space="0" w:color="auto"/>
                        <w:right w:val="none" w:sz="0" w:space="0" w:color="auto"/>
                      </w:divBdr>
                      <w:divsChild>
                        <w:div w:id="294152894">
                          <w:marLeft w:val="0"/>
                          <w:marRight w:val="0"/>
                          <w:marTop w:val="0"/>
                          <w:marBottom w:val="0"/>
                          <w:divBdr>
                            <w:top w:val="none" w:sz="0" w:space="0" w:color="auto"/>
                            <w:left w:val="none" w:sz="0" w:space="0" w:color="auto"/>
                            <w:bottom w:val="none" w:sz="0" w:space="0" w:color="auto"/>
                            <w:right w:val="none" w:sz="0" w:space="0" w:color="auto"/>
                          </w:divBdr>
                        </w:div>
                      </w:divsChild>
                    </w:div>
                    <w:div w:id="294150607">
                      <w:marLeft w:val="0"/>
                      <w:marRight w:val="0"/>
                      <w:marTop w:val="0"/>
                      <w:marBottom w:val="0"/>
                      <w:divBdr>
                        <w:top w:val="none" w:sz="0" w:space="0" w:color="auto"/>
                        <w:left w:val="none" w:sz="0" w:space="0" w:color="auto"/>
                        <w:bottom w:val="none" w:sz="0" w:space="0" w:color="auto"/>
                        <w:right w:val="none" w:sz="0" w:space="0" w:color="auto"/>
                      </w:divBdr>
                      <w:divsChild>
                        <w:div w:id="294152157">
                          <w:marLeft w:val="0"/>
                          <w:marRight w:val="0"/>
                          <w:marTop w:val="0"/>
                          <w:marBottom w:val="0"/>
                          <w:divBdr>
                            <w:top w:val="none" w:sz="0" w:space="0" w:color="auto"/>
                            <w:left w:val="none" w:sz="0" w:space="0" w:color="auto"/>
                            <w:bottom w:val="none" w:sz="0" w:space="0" w:color="auto"/>
                            <w:right w:val="none" w:sz="0" w:space="0" w:color="auto"/>
                          </w:divBdr>
                        </w:div>
                      </w:divsChild>
                    </w:div>
                    <w:div w:id="294150671">
                      <w:marLeft w:val="0"/>
                      <w:marRight w:val="0"/>
                      <w:marTop w:val="0"/>
                      <w:marBottom w:val="0"/>
                      <w:divBdr>
                        <w:top w:val="none" w:sz="0" w:space="0" w:color="auto"/>
                        <w:left w:val="none" w:sz="0" w:space="0" w:color="auto"/>
                        <w:bottom w:val="none" w:sz="0" w:space="0" w:color="auto"/>
                        <w:right w:val="none" w:sz="0" w:space="0" w:color="auto"/>
                      </w:divBdr>
                    </w:div>
                    <w:div w:id="294151008">
                      <w:marLeft w:val="0"/>
                      <w:marRight w:val="0"/>
                      <w:marTop w:val="0"/>
                      <w:marBottom w:val="0"/>
                      <w:divBdr>
                        <w:top w:val="none" w:sz="0" w:space="0" w:color="auto"/>
                        <w:left w:val="none" w:sz="0" w:space="0" w:color="auto"/>
                        <w:bottom w:val="none" w:sz="0" w:space="0" w:color="auto"/>
                        <w:right w:val="none" w:sz="0" w:space="0" w:color="auto"/>
                      </w:divBdr>
                      <w:divsChild>
                        <w:div w:id="294155288">
                          <w:marLeft w:val="0"/>
                          <w:marRight w:val="0"/>
                          <w:marTop w:val="0"/>
                          <w:marBottom w:val="0"/>
                          <w:divBdr>
                            <w:top w:val="none" w:sz="0" w:space="0" w:color="auto"/>
                            <w:left w:val="none" w:sz="0" w:space="0" w:color="auto"/>
                            <w:bottom w:val="none" w:sz="0" w:space="0" w:color="auto"/>
                            <w:right w:val="none" w:sz="0" w:space="0" w:color="auto"/>
                          </w:divBdr>
                        </w:div>
                      </w:divsChild>
                    </w:div>
                    <w:div w:id="294151264">
                      <w:marLeft w:val="0"/>
                      <w:marRight w:val="0"/>
                      <w:marTop w:val="0"/>
                      <w:marBottom w:val="0"/>
                      <w:divBdr>
                        <w:top w:val="none" w:sz="0" w:space="0" w:color="auto"/>
                        <w:left w:val="none" w:sz="0" w:space="0" w:color="auto"/>
                        <w:bottom w:val="none" w:sz="0" w:space="0" w:color="auto"/>
                        <w:right w:val="none" w:sz="0" w:space="0" w:color="auto"/>
                      </w:divBdr>
                      <w:divsChild>
                        <w:div w:id="294141790">
                          <w:marLeft w:val="0"/>
                          <w:marRight w:val="0"/>
                          <w:marTop w:val="0"/>
                          <w:marBottom w:val="0"/>
                          <w:divBdr>
                            <w:top w:val="none" w:sz="0" w:space="0" w:color="auto"/>
                            <w:left w:val="none" w:sz="0" w:space="0" w:color="auto"/>
                            <w:bottom w:val="none" w:sz="0" w:space="0" w:color="auto"/>
                            <w:right w:val="none" w:sz="0" w:space="0" w:color="auto"/>
                          </w:divBdr>
                        </w:div>
                      </w:divsChild>
                    </w:div>
                    <w:div w:id="294151394">
                      <w:marLeft w:val="0"/>
                      <w:marRight w:val="0"/>
                      <w:marTop w:val="0"/>
                      <w:marBottom w:val="0"/>
                      <w:divBdr>
                        <w:top w:val="none" w:sz="0" w:space="0" w:color="auto"/>
                        <w:left w:val="none" w:sz="0" w:space="0" w:color="auto"/>
                        <w:bottom w:val="none" w:sz="0" w:space="0" w:color="auto"/>
                        <w:right w:val="none" w:sz="0" w:space="0" w:color="auto"/>
                      </w:divBdr>
                    </w:div>
                    <w:div w:id="294151433">
                      <w:marLeft w:val="0"/>
                      <w:marRight w:val="0"/>
                      <w:marTop w:val="0"/>
                      <w:marBottom w:val="0"/>
                      <w:divBdr>
                        <w:top w:val="none" w:sz="0" w:space="0" w:color="auto"/>
                        <w:left w:val="none" w:sz="0" w:space="0" w:color="auto"/>
                        <w:bottom w:val="none" w:sz="0" w:space="0" w:color="auto"/>
                        <w:right w:val="none" w:sz="0" w:space="0" w:color="auto"/>
                      </w:divBdr>
                    </w:div>
                    <w:div w:id="294151461">
                      <w:marLeft w:val="0"/>
                      <w:marRight w:val="0"/>
                      <w:marTop w:val="0"/>
                      <w:marBottom w:val="0"/>
                      <w:divBdr>
                        <w:top w:val="none" w:sz="0" w:space="0" w:color="auto"/>
                        <w:left w:val="none" w:sz="0" w:space="0" w:color="auto"/>
                        <w:bottom w:val="none" w:sz="0" w:space="0" w:color="auto"/>
                        <w:right w:val="none" w:sz="0" w:space="0" w:color="auto"/>
                      </w:divBdr>
                      <w:divsChild>
                        <w:div w:id="294157229">
                          <w:marLeft w:val="0"/>
                          <w:marRight w:val="0"/>
                          <w:marTop w:val="0"/>
                          <w:marBottom w:val="0"/>
                          <w:divBdr>
                            <w:top w:val="none" w:sz="0" w:space="0" w:color="auto"/>
                            <w:left w:val="none" w:sz="0" w:space="0" w:color="auto"/>
                            <w:bottom w:val="none" w:sz="0" w:space="0" w:color="auto"/>
                            <w:right w:val="none" w:sz="0" w:space="0" w:color="auto"/>
                          </w:divBdr>
                        </w:div>
                      </w:divsChild>
                    </w:div>
                    <w:div w:id="294151706">
                      <w:marLeft w:val="0"/>
                      <w:marRight w:val="0"/>
                      <w:marTop w:val="0"/>
                      <w:marBottom w:val="0"/>
                      <w:divBdr>
                        <w:top w:val="none" w:sz="0" w:space="0" w:color="auto"/>
                        <w:left w:val="none" w:sz="0" w:space="0" w:color="auto"/>
                        <w:bottom w:val="none" w:sz="0" w:space="0" w:color="auto"/>
                        <w:right w:val="none" w:sz="0" w:space="0" w:color="auto"/>
                      </w:divBdr>
                    </w:div>
                    <w:div w:id="294151721">
                      <w:marLeft w:val="0"/>
                      <w:marRight w:val="0"/>
                      <w:marTop w:val="0"/>
                      <w:marBottom w:val="0"/>
                      <w:divBdr>
                        <w:top w:val="none" w:sz="0" w:space="0" w:color="auto"/>
                        <w:left w:val="none" w:sz="0" w:space="0" w:color="auto"/>
                        <w:bottom w:val="none" w:sz="0" w:space="0" w:color="auto"/>
                        <w:right w:val="none" w:sz="0" w:space="0" w:color="auto"/>
                      </w:divBdr>
                    </w:div>
                    <w:div w:id="294151913">
                      <w:marLeft w:val="0"/>
                      <w:marRight w:val="0"/>
                      <w:marTop w:val="0"/>
                      <w:marBottom w:val="0"/>
                      <w:divBdr>
                        <w:top w:val="none" w:sz="0" w:space="0" w:color="auto"/>
                        <w:left w:val="none" w:sz="0" w:space="0" w:color="auto"/>
                        <w:bottom w:val="none" w:sz="0" w:space="0" w:color="auto"/>
                        <w:right w:val="none" w:sz="0" w:space="0" w:color="auto"/>
                      </w:divBdr>
                      <w:divsChild>
                        <w:div w:id="294150234">
                          <w:marLeft w:val="0"/>
                          <w:marRight w:val="0"/>
                          <w:marTop w:val="0"/>
                          <w:marBottom w:val="0"/>
                          <w:divBdr>
                            <w:top w:val="none" w:sz="0" w:space="0" w:color="auto"/>
                            <w:left w:val="none" w:sz="0" w:space="0" w:color="auto"/>
                            <w:bottom w:val="none" w:sz="0" w:space="0" w:color="auto"/>
                            <w:right w:val="none" w:sz="0" w:space="0" w:color="auto"/>
                          </w:divBdr>
                        </w:div>
                      </w:divsChild>
                    </w:div>
                    <w:div w:id="294151998">
                      <w:marLeft w:val="0"/>
                      <w:marRight w:val="0"/>
                      <w:marTop w:val="0"/>
                      <w:marBottom w:val="0"/>
                      <w:divBdr>
                        <w:top w:val="none" w:sz="0" w:space="0" w:color="auto"/>
                        <w:left w:val="none" w:sz="0" w:space="0" w:color="auto"/>
                        <w:bottom w:val="none" w:sz="0" w:space="0" w:color="auto"/>
                        <w:right w:val="none" w:sz="0" w:space="0" w:color="auto"/>
                      </w:divBdr>
                    </w:div>
                    <w:div w:id="294151999">
                      <w:marLeft w:val="0"/>
                      <w:marRight w:val="0"/>
                      <w:marTop w:val="0"/>
                      <w:marBottom w:val="0"/>
                      <w:divBdr>
                        <w:top w:val="none" w:sz="0" w:space="0" w:color="auto"/>
                        <w:left w:val="none" w:sz="0" w:space="0" w:color="auto"/>
                        <w:bottom w:val="none" w:sz="0" w:space="0" w:color="auto"/>
                        <w:right w:val="none" w:sz="0" w:space="0" w:color="auto"/>
                      </w:divBdr>
                      <w:divsChild>
                        <w:div w:id="294156218">
                          <w:marLeft w:val="0"/>
                          <w:marRight w:val="0"/>
                          <w:marTop w:val="0"/>
                          <w:marBottom w:val="0"/>
                          <w:divBdr>
                            <w:top w:val="none" w:sz="0" w:space="0" w:color="auto"/>
                            <w:left w:val="none" w:sz="0" w:space="0" w:color="auto"/>
                            <w:bottom w:val="none" w:sz="0" w:space="0" w:color="auto"/>
                            <w:right w:val="none" w:sz="0" w:space="0" w:color="auto"/>
                          </w:divBdr>
                        </w:div>
                      </w:divsChild>
                    </w:div>
                    <w:div w:id="294152027">
                      <w:marLeft w:val="0"/>
                      <w:marRight w:val="0"/>
                      <w:marTop w:val="0"/>
                      <w:marBottom w:val="0"/>
                      <w:divBdr>
                        <w:top w:val="none" w:sz="0" w:space="0" w:color="auto"/>
                        <w:left w:val="none" w:sz="0" w:space="0" w:color="auto"/>
                        <w:bottom w:val="none" w:sz="0" w:space="0" w:color="auto"/>
                        <w:right w:val="none" w:sz="0" w:space="0" w:color="auto"/>
                      </w:divBdr>
                    </w:div>
                    <w:div w:id="294152253">
                      <w:marLeft w:val="0"/>
                      <w:marRight w:val="0"/>
                      <w:marTop w:val="0"/>
                      <w:marBottom w:val="0"/>
                      <w:divBdr>
                        <w:top w:val="none" w:sz="0" w:space="0" w:color="auto"/>
                        <w:left w:val="none" w:sz="0" w:space="0" w:color="auto"/>
                        <w:bottom w:val="none" w:sz="0" w:space="0" w:color="auto"/>
                        <w:right w:val="none" w:sz="0" w:space="0" w:color="auto"/>
                      </w:divBdr>
                    </w:div>
                    <w:div w:id="294152366">
                      <w:marLeft w:val="0"/>
                      <w:marRight w:val="0"/>
                      <w:marTop w:val="0"/>
                      <w:marBottom w:val="0"/>
                      <w:divBdr>
                        <w:top w:val="none" w:sz="0" w:space="0" w:color="auto"/>
                        <w:left w:val="none" w:sz="0" w:space="0" w:color="auto"/>
                        <w:bottom w:val="none" w:sz="0" w:space="0" w:color="auto"/>
                        <w:right w:val="none" w:sz="0" w:space="0" w:color="auto"/>
                      </w:divBdr>
                      <w:divsChild>
                        <w:div w:id="294143832">
                          <w:marLeft w:val="0"/>
                          <w:marRight w:val="0"/>
                          <w:marTop w:val="0"/>
                          <w:marBottom w:val="0"/>
                          <w:divBdr>
                            <w:top w:val="none" w:sz="0" w:space="0" w:color="auto"/>
                            <w:left w:val="none" w:sz="0" w:space="0" w:color="auto"/>
                            <w:bottom w:val="none" w:sz="0" w:space="0" w:color="auto"/>
                            <w:right w:val="none" w:sz="0" w:space="0" w:color="auto"/>
                          </w:divBdr>
                        </w:div>
                      </w:divsChild>
                    </w:div>
                    <w:div w:id="294152401">
                      <w:marLeft w:val="0"/>
                      <w:marRight w:val="0"/>
                      <w:marTop w:val="0"/>
                      <w:marBottom w:val="0"/>
                      <w:divBdr>
                        <w:top w:val="none" w:sz="0" w:space="0" w:color="auto"/>
                        <w:left w:val="none" w:sz="0" w:space="0" w:color="auto"/>
                        <w:bottom w:val="none" w:sz="0" w:space="0" w:color="auto"/>
                        <w:right w:val="none" w:sz="0" w:space="0" w:color="auto"/>
                      </w:divBdr>
                    </w:div>
                    <w:div w:id="294152655">
                      <w:marLeft w:val="0"/>
                      <w:marRight w:val="0"/>
                      <w:marTop w:val="0"/>
                      <w:marBottom w:val="0"/>
                      <w:divBdr>
                        <w:top w:val="none" w:sz="0" w:space="0" w:color="auto"/>
                        <w:left w:val="none" w:sz="0" w:space="0" w:color="auto"/>
                        <w:bottom w:val="none" w:sz="0" w:space="0" w:color="auto"/>
                        <w:right w:val="none" w:sz="0" w:space="0" w:color="auto"/>
                      </w:divBdr>
                      <w:divsChild>
                        <w:div w:id="294144744">
                          <w:marLeft w:val="0"/>
                          <w:marRight w:val="0"/>
                          <w:marTop w:val="0"/>
                          <w:marBottom w:val="0"/>
                          <w:divBdr>
                            <w:top w:val="none" w:sz="0" w:space="0" w:color="auto"/>
                            <w:left w:val="none" w:sz="0" w:space="0" w:color="auto"/>
                            <w:bottom w:val="none" w:sz="0" w:space="0" w:color="auto"/>
                            <w:right w:val="none" w:sz="0" w:space="0" w:color="auto"/>
                          </w:divBdr>
                        </w:div>
                      </w:divsChild>
                    </w:div>
                    <w:div w:id="294152694">
                      <w:marLeft w:val="0"/>
                      <w:marRight w:val="0"/>
                      <w:marTop w:val="0"/>
                      <w:marBottom w:val="0"/>
                      <w:divBdr>
                        <w:top w:val="none" w:sz="0" w:space="0" w:color="auto"/>
                        <w:left w:val="none" w:sz="0" w:space="0" w:color="auto"/>
                        <w:bottom w:val="none" w:sz="0" w:space="0" w:color="auto"/>
                        <w:right w:val="none" w:sz="0" w:space="0" w:color="auto"/>
                      </w:divBdr>
                      <w:divsChild>
                        <w:div w:id="294144563">
                          <w:marLeft w:val="0"/>
                          <w:marRight w:val="0"/>
                          <w:marTop w:val="0"/>
                          <w:marBottom w:val="0"/>
                          <w:divBdr>
                            <w:top w:val="none" w:sz="0" w:space="0" w:color="auto"/>
                            <w:left w:val="none" w:sz="0" w:space="0" w:color="auto"/>
                            <w:bottom w:val="none" w:sz="0" w:space="0" w:color="auto"/>
                            <w:right w:val="none" w:sz="0" w:space="0" w:color="auto"/>
                          </w:divBdr>
                        </w:div>
                      </w:divsChild>
                    </w:div>
                    <w:div w:id="294152749">
                      <w:marLeft w:val="0"/>
                      <w:marRight w:val="0"/>
                      <w:marTop w:val="0"/>
                      <w:marBottom w:val="0"/>
                      <w:divBdr>
                        <w:top w:val="none" w:sz="0" w:space="0" w:color="auto"/>
                        <w:left w:val="none" w:sz="0" w:space="0" w:color="auto"/>
                        <w:bottom w:val="none" w:sz="0" w:space="0" w:color="auto"/>
                        <w:right w:val="none" w:sz="0" w:space="0" w:color="auto"/>
                      </w:divBdr>
                      <w:divsChild>
                        <w:div w:id="294147857">
                          <w:marLeft w:val="0"/>
                          <w:marRight w:val="0"/>
                          <w:marTop w:val="0"/>
                          <w:marBottom w:val="0"/>
                          <w:divBdr>
                            <w:top w:val="none" w:sz="0" w:space="0" w:color="auto"/>
                            <w:left w:val="none" w:sz="0" w:space="0" w:color="auto"/>
                            <w:bottom w:val="none" w:sz="0" w:space="0" w:color="auto"/>
                            <w:right w:val="none" w:sz="0" w:space="0" w:color="auto"/>
                          </w:divBdr>
                        </w:div>
                      </w:divsChild>
                    </w:div>
                    <w:div w:id="294152890">
                      <w:marLeft w:val="0"/>
                      <w:marRight w:val="0"/>
                      <w:marTop w:val="0"/>
                      <w:marBottom w:val="0"/>
                      <w:divBdr>
                        <w:top w:val="none" w:sz="0" w:space="0" w:color="auto"/>
                        <w:left w:val="none" w:sz="0" w:space="0" w:color="auto"/>
                        <w:bottom w:val="none" w:sz="0" w:space="0" w:color="auto"/>
                        <w:right w:val="none" w:sz="0" w:space="0" w:color="auto"/>
                      </w:divBdr>
                      <w:divsChild>
                        <w:div w:id="294156335">
                          <w:marLeft w:val="0"/>
                          <w:marRight w:val="0"/>
                          <w:marTop w:val="0"/>
                          <w:marBottom w:val="0"/>
                          <w:divBdr>
                            <w:top w:val="none" w:sz="0" w:space="0" w:color="auto"/>
                            <w:left w:val="none" w:sz="0" w:space="0" w:color="auto"/>
                            <w:bottom w:val="none" w:sz="0" w:space="0" w:color="auto"/>
                            <w:right w:val="none" w:sz="0" w:space="0" w:color="auto"/>
                          </w:divBdr>
                        </w:div>
                      </w:divsChild>
                    </w:div>
                    <w:div w:id="294152959">
                      <w:marLeft w:val="0"/>
                      <w:marRight w:val="0"/>
                      <w:marTop w:val="0"/>
                      <w:marBottom w:val="0"/>
                      <w:divBdr>
                        <w:top w:val="none" w:sz="0" w:space="0" w:color="auto"/>
                        <w:left w:val="none" w:sz="0" w:space="0" w:color="auto"/>
                        <w:bottom w:val="none" w:sz="0" w:space="0" w:color="auto"/>
                        <w:right w:val="none" w:sz="0" w:space="0" w:color="auto"/>
                      </w:divBdr>
                      <w:divsChild>
                        <w:div w:id="294153432">
                          <w:marLeft w:val="0"/>
                          <w:marRight w:val="0"/>
                          <w:marTop w:val="0"/>
                          <w:marBottom w:val="0"/>
                          <w:divBdr>
                            <w:top w:val="none" w:sz="0" w:space="0" w:color="auto"/>
                            <w:left w:val="none" w:sz="0" w:space="0" w:color="auto"/>
                            <w:bottom w:val="none" w:sz="0" w:space="0" w:color="auto"/>
                            <w:right w:val="none" w:sz="0" w:space="0" w:color="auto"/>
                          </w:divBdr>
                        </w:div>
                      </w:divsChild>
                    </w:div>
                    <w:div w:id="294153017">
                      <w:marLeft w:val="0"/>
                      <w:marRight w:val="0"/>
                      <w:marTop w:val="0"/>
                      <w:marBottom w:val="0"/>
                      <w:divBdr>
                        <w:top w:val="none" w:sz="0" w:space="0" w:color="auto"/>
                        <w:left w:val="none" w:sz="0" w:space="0" w:color="auto"/>
                        <w:bottom w:val="none" w:sz="0" w:space="0" w:color="auto"/>
                        <w:right w:val="none" w:sz="0" w:space="0" w:color="auto"/>
                      </w:divBdr>
                      <w:divsChild>
                        <w:div w:id="294156567">
                          <w:marLeft w:val="0"/>
                          <w:marRight w:val="0"/>
                          <w:marTop w:val="0"/>
                          <w:marBottom w:val="0"/>
                          <w:divBdr>
                            <w:top w:val="none" w:sz="0" w:space="0" w:color="auto"/>
                            <w:left w:val="none" w:sz="0" w:space="0" w:color="auto"/>
                            <w:bottom w:val="none" w:sz="0" w:space="0" w:color="auto"/>
                            <w:right w:val="none" w:sz="0" w:space="0" w:color="auto"/>
                          </w:divBdr>
                        </w:div>
                      </w:divsChild>
                    </w:div>
                    <w:div w:id="294153033">
                      <w:marLeft w:val="0"/>
                      <w:marRight w:val="0"/>
                      <w:marTop w:val="0"/>
                      <w:marBottom w:val="0"/>
                      <w:divBdr>
                        <w:top w:val="none" w:sz="0" w:space="0" w:color="auto"/>
                        <w:left w:val="none" w:sz="0" w:space="0" w:color="auto"/>
                        <w:bottom w:val="none" w:sz="0" w:space="0" w:color="auto"/>
                        <w:right w:val="none" w:sz="0" w:space="0" w:color="auto"/>
                      </w:divBdr>
                      <w:divsChild>
                        <w:div w:id="294144952">
                          <w:marLeft w:val="0"/>
                          <w:marRight w:val="0"/>
                          <w:marTop w:val="0"/>
                          <w:marBottom w:val="0"/>
                          <w:divBdr>
                            <w:top w:val="none" w:sz="0" w:space="0" w:color="auto"/>
                            <w:left w:val="none" w:sz="0" w:space="0" w:color="auto"/>
                            <w:bottom w:val="none" w:sz="0" w:space="0" w:color="auto"/>
                            <w:right w:val="none" w:sz="0" w:space="0" w:color="auto"/>
                          </w:divBdr>
                        </w:div>
                      </w:divsChild>
                    </w:div>
                    <w:div w:id="294153427">
                      <w:marLeft w:val="0"/>
                      <w:marRight w:val="0"/>
                      <w:marTop w:val="0"/>
                      <w:marBottom w:val="0"/>
                      <w:divBdr>
                        <w:top w:val="none" w:sz="0" w:space="0" w:color="auto"/>
                        <w:left w:val="none" w:sz="0" w:space="0" w:color="auto"/>
                        <w:bottom w:val="none" w:sz="0" w:space="0" w:color="auto"/>
                        <w:right w:val="none" w:sz="0" w:space="0" w:color="auto"/>
                      </w:divBdr>
                    </w:div>
                    <w:div w:id="294153512">
                      <w:marLeft w:val="0"/>
                      <w:marRight w:val="0"/>
                      <w:marTop w:val="0"/>
                      <w:marBottom w:val="0"/>
                      <w:divBdr>
                        <w:top w:val="none" w:sz="0" w:space="0" w:color="auto"/>
                        <w:left w:val="none" w:sz="0" w:space="0" w:color="auto"/>
                        <w:bottom w:val="none" w:sz="0" w:space="0" w:color="auto"/>
                        <w:right w:val="none" w:sz="0" w:space="0" w:color="auto"/>
                      </w:divBdr>
                      <w:divsChild>
                        <w:div w:id="294141331">
                          <w:marLeft w:val="0"/>
                          <w:marRight w:val="0"/>
                          <w:marTop w:val="0"/>
                          <w:marBottom w:val="0"/>
                          <w:divBdr>
                            <w:top w:val="none" w:sz="0" w:space="0" w:color="auto"/>
                            <w:left w:val="none" w:sz="0" w:space="0" w:color="auto"/>
                            <w:bottom w:val="none" w:sz="0" w:space="0" w:color="auto"/>
                            <w:right w:val="none" w:sz="0" w:space="0" w:color="auto"/>
                          </w:divBdr>
                        </w:div>
                      </w:divsChild>
                    </w:div>
                    <w:div w:id="294153553">
                      <w:marLeft w:val="0"/>
                      <w:marRight w:val="0"/>
                      <w:marTop w:val="0"/>
                      <w:marBottom w:val="0"/>
                      <w:divBdr>
                        <w:top w:val="none" w:sz="0" w:space="0" w:color="auto"/>
                        <w:left w:val="none" w:sz="0" w:space="0" w:color="auto"/>
                        <w:bottom w:val="none" w:sz="0" w:space="0" w:color="auto"/>
                        <w:right w:val="none" w:sz="0" w:space="0" w:color="auto"/>
                      </w:divBdr>
                    </w:div>
                    <w:div w:id="294153679">
                      <w:marLeft w:val="0"/>
                      <w:marRight w:val="0"/>
                      <w:marTop w:val="0"/>
                      <w:marBottom w:val="0"/>
                      <w:divBdr>
                        <w:top w:val="none" w:sz="0" w:space="0" w:color="auto"/>
                        <w:left w:val="none" w:sz="0" w:space="0" w:color="auto"/>
                        <w:bottom w:val="none" w:sz="0" w:space="0" w:color="auto"/>
                        <w:right w:val="none" w:sz="0" w:space="0" w:color="auto"/>
                      </w:divBdr>
                      <w:divsChild>
                        <w:div w:id="294148540">
                          <w:marLeft w:val="0"/>
                          <w:marRight w:val="0"/>
                          <w:marTop w:val="0"/>
                          <w:marBottom w:val="0"/>
                          <w:divBdr>
                            <w:top w:val="none" w:sz="0" w:space="0" w:color="auto"/>
                            <w:left w:val="none" w:sz="0" w:space="0" w:color="auto"/>
                            <w:bottom w:val="none" w:sz="0" w:space="0" w:color="auto"/>
                            <w:right w:val="none" w:sz="0" w:space="0" w:color="auto"/>
                          </w:divBdr>
                        </w:div>
                      </w:divsChild>
                    </w:div>
                    <w:div w:id="294153696">
                      <w:marLeft w:val="0"/>
                      <w:marRight w:val="0"/>
                      <w:marTop w:val="0"/>
                      <w:marBottom w:val="0"/>
                      <w:divBdr>
                        <w:top w:val="none" w:sz="0" w:space="0" w:color="auto"/>
                        <w:left w:val="none" w:sz="0" w:space="0" w:color="auto"/>
                        <w:bottom w:val="none" w:sz="0" w:space="0" w:color="auto"/>
                        <w:right w:val="none" w:sz="0" w:space="0" w:color="auto"/>
                      </w:divBdr>
                    </w:div>
                    <w:div w:id="294153999">
                      <w:marLeft w:val="0"/>
                      <w:marRight w:val="0"/>
                      <w:marTop w:val="0"/>
                      <w:marBottom w:val="0"/>
                      <w:divBdr>
                        <w:top w:val="none" w:sz="0" w:space="0" w:color="auto"/>
                        <w:left w:val="none" w:sz="0" w:space="0" w:color="auto"/>
                        <w:bottom w:val="none" w:sz="0" w:space="0" w:color="auto"/>
                        <w:right w:val="none" w:sz="0" w:space="0" w:color="auto"/>
                      </w:divBdr>
                      <w:divsChild>
                        <w:div w:id="294150875">
                          <w:marLeft w:val="0"/>
                          <w:marRight w:val="0"/>
                          <w:marTop w:val="0"/>
                          <w:marBottom w:val="0"/>
                          <w:divBdr>
                            <w:top w:val="none" w:sz="0" w:space="0" w:color="auto"/>
                            <w:left w:val="none" w:sz="0" w:space="0" w:color="auto"/>
                            <w:bottom w:val="none" w:sz="0" w:space="0" w:color="auto"/>
                            <w:right w:val="none" w:sz="0" w:space="0" w:color="auto"/>
                          </w:divBdr>
                        </w:div>
                      </w:divsChild>
                    </w:div>
                    <w:div w:id="294154225">
                      <w:marLeft w:val="0"/>
                      <w:marRight w:val="0"/>
                      <w:marTop w:val="0"/>
                      <w:marBottom w:val="0"/>
                      <w:divBdr>
                        <w:top w:val="none" w:sz="0" w:space="0" w:color="auto"/>
                        <w:left w:val="none" w:sz="0" w:space="0" w:color="auto"/>
                        <w:bottom w:val="none" w:sz="0" w:space="0" w:color="auto"/>
                        <w:right w:val="none" w:sz="0" w:space="0" w:color="auto"/>
                      </w:divBdr>
                    </w:div>
                    <w:div w:id="294154269">
                      <w:marLeft w:val="0"/>
                      <w:marRight w:val="0"/>
                      <w:marTop w:val="0"/>
                      <w:marBottom w:val="0"/>
                      <w:divBdr>
                        <w:top w:val="none" w:sz="0" w:space="0" w:color="auto"/>
                        <w:left w:val="none" w:sz="0" w:space="0" w:color="auto"/>
                        <w:bottom w:val="none" w:sz="0" w:space="0" w:color="auto"/>
                        <w:right w:val="none" w:sz="0" w:space="0" w:color="auto"/>
                      </w:divBdr>
                    </w:div>
                    <w:div w:id="294154316">
                      <w:marLeft w:val="0"/>
                      <w:marRight w:val="0"/>
                      <w:marTop w:val="0"/>
                      <w:marBottom w:val="0"/>
                      <w:divBdr>
                        <w:top w:val="none" w:sz="0" w:space="0" w:color="auto"/>
                        <w:left w:val="none" w:sz="0" w:space="0" w:color="auto"/>
                        <w:bottom w:val="none" w:sz="0" w:space="0" w:color="auto"/>
                        <w:right w:val="none" w:sz="0" w:space="0" w:color="auto"/>
                      </w:divBdr>
                    </w:div>
                    <w:div w:id="294154349">
                      <w:marLeft w:val="0"/>
                      <w:marRight w:val="0"/>
                      <w:marTop w:val="0"/>
                      <w:marBottom w:val="0"/>
                      <w:divBdr>
                        <w:top w:val="none" w:sz="0" w:space="0" w:color="auto"/>
                        <w:left w:val="none" w:sz="0" w:space="0" w:color="auto"/>
                        <w:bottom w:val="none" w:sz="0" w:space="0" w:color="auto"/>
                        <w:right w:val="none" w:sz="0" w:space="0" w:color="auto"/>
                      </w:divBdr>
                    </w:div>
                    <w:div w:id="294154395">
                      <w:marLeft w:val="0"/>
                      <w:marRight w:val="0"/>
                      <w:marTop w:val="0"/>
                      <w:marBottom w:val="0"/>
                      <w:divBdr>
                        <w:top w:val="none" w:sz="0" w:space="0" w:color="auto"/>
                        <w:left w:val="none" w:sz="0" w:space="0" w:color="auto"/>
                        <w:bottom w:val="none" w:sz="0" w:space="0" w:color="auto"/>
                        <w:right w:val="none" w:sz="0" w:space="0" w:color="auto"/>
                      </w:divBdr>
                    </w:div>
                    <w:div w:id="294154868">
                      <w:marLeft w:val="0"/>
                      <w:marRight w:val="0"/>
                      <w:marTop w:val="0"/>
                      <w:marBottom w:val="0"/>
                      <w:divBdr>
                        <w:top w:val="none" w:sz="0" w:space="0" w:color="auto"/>
                        <w:left w:val="none" w:sz="0" w:space="0" w:color="auto"/>
                        <w:bottom w:val="none" w:sz="0" w:space="0" w:color="auto"/>
                        <w:right w:val="none" w:sz="0" w:space="0" w:color="auto"/>
                      </w:divBdr>
                    </w:div>
                    <w:div w:id="294155064">
                      <w:marLeft w:val="0"/>
                      <w:marRight w:val="0"/>
                      <w:marTop w:val="0"/>
                      <w:marBottom w:val="0"/>
                      <w:divBdr>
                        <w:top w:val="none" w:sz="0" w:space="0" w:color="auto"/>
                        <w:left w:val="none" w:sz="0" w:space="0" w:color="auto"/>
                        <w:bottom w:val="none" w:sz="0" w:space="0" w:color="auto"/>
                        <w:right w:val="none" w:sz="0" w:space="0" w:color="auto"/>
                      </w:divBdr>
                      <w:divsChild>
                        <w:div w:id="294154528">
                          <w:marLeft w:val="0"/>
                          <w:marRight w:val="0"/>
                          <w:marTop w:val="0"/>
                          <w:marBottom w:val="0"/>
                          <w:divBdr>
                            <w:top w:val="none" w:sz="0" w:space="0" w:color="auto"/>
                            <w:left w:val="none" w:sz="0" w:space="0" w:color="auto"/>
                            <w:bottom w:val="none" w:sz="0" w:space="0" w:color="auto"/>
                            <w:right w:val="none" w:sz="0" w:space="0" w:color="auto"/>
                          </w:divBdr>
                        </w:div>
                      </w:divsChild>
                    </w:div>
                    <w:div w:id="294155099">
                      <w:marLeft w:val="0"/>
                      <w:marRight w:val="0"/>
                      <w:marTop w:val="0"/>
                      <w:marBottom w:val="0"/>
                      <w:divBdr>
                        <w:top w:val="none" w:sz="0" w:space="0" w:color="auto"/>
                        <w:left w:val="none" w:sz="0" w:space="0" w:color="auto"/>
                        <w:bottom w:val="none" w:sz="0" w:space="0" w:color="auto"/>
                        <w:right w:val="none" w:sz="0" w:space="0" w:color="auto"/>
                      </w:divBdr>
                      <w:divsChild>
                        <w:div w:id="294157157">
                          <w:marLeft w:val="0"/>
                          <w:marRight w:val="0"/>
                          <w:marTop w:val="0"/>
                          <w:marBottom w:val="0"/>
                          <w:divBdr>
                            <w:top w:val="none" w:sz="0" w:space="0" w:color="auto"/>
                            <w:left w:val="none" w:sz="0" w:space="0" w:color="auto"/>
                            <w:bottom w:val="none" w:sz="0" w:space="0" w:color="auto"/>
                            <w:right w:val="none" w:sz="0" w:space="0" w:color="auto"/>
                          </w:divBdr>
                        </w:div>
                      </w:divsChild>
                    </w:div>
                    <w:div w:id="294155251">
                      <w:marLeft w:val="0"/>
                      <w:marRight w:val="0"/>
                      <w:marTop w:val="0"/>
                      <w:marBottom w:val="0"/>
                      <w:divBdr>
                        <w:top w:val="none" w:sz="0" w:space="0" w:color="auto"/>
                        <w:left w:val="none" w:sz="0" w:space="0" w:color="auto"/>
                        <w:bottom w:val="none" w:sz="0" w:space="0" w:color="auto"/>
                        <w:right w:val="none" w:sz="0" w:space="0" w:color="auto"/>
                      </w:divBdr>
                      <w:divsChild>
                        <w:div w:id="294152255">
                          <w:marLeft w:val="0"/>
                          <w:marRight w:val="0"/>
                          <w:marTop w:val="0"/>
                          <w:marBottom w:val="0"/>
                          <w:divBdr>
                            <w:top w:val="none" w:sz="0" w:space="0" w:color="auto"/>
                            <w:left w:val="none" w:sz="0" w:space="0" w:color="auto"/>
                            <w:bottom w:val="none" w:sz="0" w:space="0" w:color="auto"/>
                            <w:right w:val="none" w:sz="0" w:space="0" w:color="auto"/>
                          </w:divBdr>
                        </w:div>
                      </w:divsChild>
                    </w:div>
                    <w:div w:id="294155323">
                      <w:marLeft w:val="0"/>
                      <w:marRight w:val="0"/>
                      <w:marTop w:val="0"/>
                      <w:marBottom w:val="0"/>
                      <w:divBdr>
                        <w:top w:val="none" w:sz="0" w:space="0" w:color="auto"/>
                        <w:left w:val="none" w:sz="0" w:space="0" w:color="auto"/>
                        <w:bottom w:val="none" w:sz="0" w:space="0" w:color="auto"/>
                        <w:right w:val="none" w:sz="0" w:space="0" w:color="auto"/>
                      </w:divBdr>
                      <w:divsChild>
                        <w:div w:id="294157279">
                          <w:marLeft w:val="0"/>
                          <w:marRight w:val="0"/>
                          <w:marTop w:val="0"/>
                          <w:marBottom w:val="0"/>
                          <w:divBdr>
                            <w:top w:val="none" w:sz="0" w:space="0" w:color="auto"/>
                            <w:left w:val="none" w:sz="0" w:space="0" w:color="auto"/>
                            <w:bottom w:val="none" w:sz="0" w:space="0" w:color="auto"/>
                            <w:right w:val="none" w:sz="0" w:space="0" w:color="auto"/>
                          </w:divBdr>
                        </w:div>
                      </w:divsChild>
                    </w:div>
                    <w:div w:id="294155633">
                      <w:marLeft w:val="0"/>
                      <w:marRight w:val="0"/>
                      <w:marTop w:val="0"/>
                      <w:marBottom w:val="0"/>
                      <w:divBdr>
                        <w:top w:val="none" w:sz="0" w:space="0" w:color="auto"/>
                        <w:left w:val="none" w:sz="0" w:space="0" w:color="auto"/>
                        <w:bottom w:val="none" w:sz="0" w:space="0" w:color="auto"/>
                        <w:right w:val="none" w:sz="0" w:space="0" w:color="auto"/>
                      </w:divBdr>
                      <w:divsChild>
                        <w:div w:id="294154874">
                          <w:marLeft w:val="0"/>
                          <w:marRight w:val="0"/>
                          <w:marTop w:val="0"/>
                          <w:marBottom w:val="0"/>
                          <w:divBdr>
                            <w:top w:val="none" w:sz="0" w:space="0" w:color="auto"/>
                            <w:left w:val="none" w:sz="0" w:space="0" w:color="auto"/>
                            <w:bottom w:val="none" w:sz="0" w:space="0" w:color="auto"/>
                            <w:right w:val="none" w:sz="0" w:space="0" w:color="auto"/>
                          </w:divBdr>
                        </w:div>
                      </w:divsChild>
                    </w:div>
                    <w:div w:id="294155810">
                      <w:marLeft w:val="0"/>
                      <w:marRight w:val="0"/>
                      <w:marTop w:val="0"/>
                      <w:marBottom w:val="0"/>
                      <w:divBdr>
                        <w:top w:val="none" w:sz="0" w:space="0" w:color="auto"/>
                        <w:left w:val="none" w:sz="0" w:space="0" w:color="auto"/>
                        <w:bottom w:val="none" w:sz="0" w:space="0" w:color="auto"/>
                        <w:right w:val="none" w:sz="0" w:space="0" w:color="auto"/>
                      </w:divBdr>
                    </w:div>
                    <w:div w:id="294155819">
                      <w:marLeft w:val="0"/>
                      <w:marRight w:val="0"/>
                      <w:marTop w:val="0"/>
                      <w:marBottom w:val="0"/>
                      <w:divBdr>
                        <w:top w:val="none" w:sz="0" w:space="0" w:color="auto"/>
                        <w:left w:val="none" w:sz="0" w:space="0" w:color="auto"/>
                        <w:bottom w:val="none" w:sz="0" w:space="0" w:color="auto"/>
                        <w:right w:val="none" w:sz="0" w:space="0" w:color="auto"/>
                      </w:divBdr>
                    </w:div>
                    <w:div w:id="294155989">
                      <w:marLeft w:val="0"/>
                      <w:marRight w:val="0"/>
                      <w:marTop w:val="0"/>
                      <w:marBottom w:val="0"/>
                      <w:divBdr>
                        <w:top w:val="none" w:sz="0" w:space="0" w:color="auto"/>
                        <w:left w:val="none" w:sz="0" w:space="0" w:color="auto"/>
                        <w:bottom w:val="none" w:sz="0" w:space="0" w:color="auto"/>
                        <w:right w:val="none" w:sz="0" w:space="0" w:color="auto"/>
                      </w:divBdr>
                      <w:divsChild>
                        <w:div w:id="294139802">
                          <w:marLeft w:val="0"/>
                          <w:marRight w:val="0"/>
                          <w:marTop w:val="0"/>
                          <w:marBottom w:val="0"/>
                          <w:divBdr>
                            <w:top w:val="none" w:sz="0" w:space="0" w:color="auto"/>
                            <w:left w:val="none" w:sz="0" w:space="0" w:color="auto"/>
                            <w:bottom w:val="none" w:sz="0" w:space="0" w:color="auto"/>
                            <w:right w:val="none" w:sz="0" w:space="0" w:color="auto"/>
                          </w:divBdr>
                        </w:div>
                      </w:divsChild>
                    </w:div>
                    <w:div w:id="294156110">
                      <w:marLeft w:val="0"/>
                      <w:marRight w:val="0"/>
                      <w:marTop w:val="0"/>
                      <w:marBottom w:val="0"/>
                      <w:divBdr>
                        <w:top w:val="none" w:sz="0" w:space="0" w:color="auto"/>
                        <w:left w:val="none" w:sz="0" w:space="0" w:color="auto"/>
                        <w:bottom w:val="none" w:sz="0" w:space="0" w:color="auto"/>
                        <w:right w:val="none" w:sz="0" w:space="0" w:color="auto"/>
                      </w:divBdr>
                    </w:div>
                    <w:div w:id="294156141">
                      <w:marLeft w:val="0"/>
                      <w:marRight w:val="0"/>
                      <w:marTop w:val="0"/>
                      <w:marBottom w:val="0"/>
                      <w:divBdr>
                        <w:top w:val="none" w:sz="0" w:space="0" w:color="auto"/>
                        <w:left w:val="none" w:sz="0" w:space="0" w:color="auto"/>
                        <w:bottom w:val="none" w:sz="0" w:space="0" w:color="auto"/>
                        <w:right w:val="none" w:sz="0" w:space="0" w:color="auto"/>
                      </w:divBdr>
                    </w:div>
                    <w:div w:id="294156361">
                      <w:marLeft w:val="0"/>
                      <w:marRight w:val="0"/>
                      <w:marTop w:val="0"/>
                      <w:marBottom w:val="0"/>
                      <w:divBdr>
                        <w:top w:val="none" w:sz="0" w:space="0" w:color="auto"/>
                        <w:left w:val="none" w:sz="0" w:space="0" w:color="auto"/>
                        <w:bottom w:val="none" w:sz="0" w:space="0" w:color="auto"/>
                        <w:right w:val="none" w:sz="0" w:space="0" w:color="auto"/>
                      </w:divBdr>
                    </w:div>
                    <w:div w:id="294156415">
                      <w:marLeft w:val="0"/>
                      <w:marRight w:val="0"/>
                      <w:marTop w:val="0"/>
                      <w:marBottom w:val="0"/>
                      <w:divBdr>
                        <w:top w:val="none" w:sz="0" w:space="0" w:color="auto"/>
                        <w:left w:val="none" w:sz="0" w:space="0" w:color="auto"/>
                        <w:bottom w:val="none" w:sz="0" w:space="0" w:color="auto"/>
                        <w:right w:val="none" w:sz="0" w:space="0" w:color="auto"/>
                      </w:divBdr>
                      <w:divsChild>
                        <w:div w:id="294143480">
                          <w:marLeft w:val="0"/>
                          <w:marRight w:val="0"/>
                          <w:marTop w:val="0"/>
                          <w:marBottom w:val="0"/>
                          <w:divBdr>
                            <w:top w:val="none" w:sz="0" w:space="0" w:color="auto"/>
                            <w:left w:val="none" w:sz="0" w:space="0" w:color="auto"/>
                            <w:bottom w:val="none" w:sz="0" w:space="0" w:color="auto"/>
                            <w:right w:val="none" w:sz="0" w:space="0" w:color="auto"/>
                          </w:divBdr>
                        </w:div>
                      </w:divsChild>
                    </w:div>
                    <w:div w:id="294156435">
                      <w:marLeft w:val="0"/>
                      <w:marRight w:val="0"/>
                      <w:marTop w:val="0"/>
                      <w:marBottom w:val="0"/>
                      <w:divBdr>
                        <w:top w:val="none" w:sz="0" w:space="0" w:color="auto"/>
                        <w:left w:val="none" w:sz="0" w:space="0" w:color="auto"/>
                        <w:bottom w:val="none" w:sz="0" w:space="0" w:color="auto"/>
                        <w:right w:val="none" w:sz="0" w:space="0" w:color="auto"/>
                      </w:divBdr>
                      <w:divsChild>
                        <w:div w:id="294149514">
                          <w:marLeft w:val="0"/>
                          <w:marRight w:val="0"/>
                          <w:marTop w:val="0"/>
                          <w:marBottom w:val="0"/>
                          <w:divBdr>
                            <w:top w:val="none" w:sz="0" w:space="0" w:color="auto"/>
                            <w:left w:val="none" w:sz="0" w:space="0" w:color="auto"/>
                            <w:bottom w:val="none" w:sz="0" w:space="0" w:color="auto"/>
                            <w:right w:val="none" w:sz="0" w:space="0" w:color="auto"/>
                          </w:divBdr>
                        </w:div>
                      </w:divsChild>
                    </w:div>
                    <w:div w:id="294156534">
                      <w:marLeft w:val="0"/>
                      <w:marRight w:val="0"/>
                      <w:marTop w:val="0"/>
                      <w:marBottom w:val="0"/>
                      <w:divBdr>
                        <w:top w:val="none" w:sz="0" w:space="0" w:color="auto"/>
                        <w:left w:val="none" w:sz="0" w:space="0" w:color="auto"/>
                        <w:bottom w:val="none" w:sz="0" w:space="0" w:color="auto"/>
                        <w:right w:val="none" w:sz="0" w:space="0" w:color="auto"/>
                      </w:divBdr>
                    </w:div>
                    <w:div w:id="294156714">
                      <w:marLeft w:val="0"/>
                      <w:marRight w:val="0"/>
                      <w:marTop w:val="0"/>
                      <w:marBottom w:val="0"/>
                      <w:divBdr>
                        <w:top w:val="none" w:sz="0" w:space="0" w:color="auto"/>
                        <w:left w:val="none" w:sz="0" w:space="0" w:color="auto"/>
                        <w:bottom w:val="none" w:sz="0" w:space="0" w:color="auto"/>
                        <w:right w:val="none" w:sz="0" w:space="0" w:color="auto"/>
                      </w:divBdr>
                    </w:div>
                    <w:div w:id="294156914">
                      <w:marLeft w:val="0"/>
                      <w:marRight w:val="0"/>
                      <w:marTop w:val="0"/>
                      <w:marBottom w:val="0"/>
                      <w:divBdr>
                        <w:top w:val="none" w:sz="0" w:space="0" w:color="auto"/>
                        <w:left w:val="none" w:sz="0" w:space="0" w:color="auto"/>
                        <w:bottom w:val="none" w:sz="0" w:space="0" w:color="auto"/>
                        <w:right w:val="none" w:sz="0" w:space="0" w:color="auto"/>
                      </w:divBdr>
                    </w:div>
                    <w:div w:id="294157083">
                      <w:marLeft w:val="0"/>
                      <w:marRight w:val="0"/>
                      <w:marTop w:val="0"/>
                      <w:marBottom w:val="0"/>
                      <w:divBdr>
                        <w:top w:val="none" w:sz="0" w:space="0" w:color="auto"/>
                        <w:left w:val="none" w:sz="0" w:space="0" w:color="auto"/>
                        <w:bottom w:val="none" w:sz="0" w:space="0" w:color="auto"/>
                        <w:right w:val="none" w:sz="0" w:space="0" w:color="auto"/>
                      </w:divBdr>
                      <w:divsChild>
                        <w:div w:id="294141134">
                          <w:marLeft w:val="0"/>
                          <w:marRight w:val="0"/>
                          <w:marTop w:val="0"/>
                          <w:marBottom w:val="0"/>
                          <w:divBdr>
                            <w:top w:val="none" w:sz="0" w:space="0" w:color="auto"/>
                            <w:left w:val="none" w:sz="0" w:space="0" w:color="auto"/>
                            <w:bottom w:val="none" w:sz="0" w:space="0" w:color="auto"/>
                            <w:right w:val="none" w:sz="0" w:space="0" w:color="auto"/>
                          </w:divBdr>
                        </w:div>
                      </w:divsChild>
                    </w:div>
                    <w:div w:id="294157187">
                      <w:marLeft w:val="0"/>
                      <w:marRight w:val="0"/>
                      <w:marTop w:val="0"/>
                      <w:marBottom w:val="0"/>
                      <w:divBdr>
                        <w:top w:val="none" w:sz="0" w:space="0" w:color="auto"/>
                        <w:left w:val="none" w:sz="0" w:space="0" w:color="auto"/>
                        <w:bottom w:val="none" w:sz="0" w:space="0" w:color="auto"/>
                        <w:right w:val="none" w:sz="0" w:space="0" w:color="auto"/>
                      </w:divBdr>
                    </w:div>
                    <w:div w:id="294157359">
                      <w:marLeft w:val="0"/>
                      <w:marRight w:val="0"/>
                      <w:marTop w:val="0"/>
                      <w:marBottom w:val="0"/>
                      <w:divBdr>
                        <w:top w:val="none" w:sz="0" w:space="0" w:color="auto"/>
                        <w:left w:val="none" w:sz="0" w:space="0" w:color="auto"/>
                        <w:bottom w:val="none" w:sz="0" w:space="0" w:color="auto"/>
                        <w:right w:val="none" w:sz="0" w:space="0" w:color="auto"/>
                      </w:divBdr>
                    </w:div>
                    <w:div w:id="294157465">
                      <w:marLeft w:val="0"/>
                      <w:marRight w:val="0"/>
                      <w:marTop w:val="0"/>
                      <w:marBottom w:val="0"/>
                      <w:divBdr>
                        <w:top w:val="none" w:sz="0" w:space="0" w:color="auto"/>
                        <w:left w:val="none" w:sz="0" w:space="0" w:color="auto"/>
                        <w:bottom w:val="none" w:sz="0" w:space="0" w:color="auto"/>
                        <w:right w:val="none" w:sz="0" w:space="0" w:color="auto"/>
                      </w:divBdr>
                      <w:divsChild>
                        <w:div w:id="294147953">
                          <w:marLeft w:val="0"/>
                          <w:marRight w:val="0"/>
                          <w:marTop w:val="0"/>
                          <w:marBottom w:val="0"/>
                          <w:divBdr>
                            <w:top w:val="none" w:sz="0" w:space="0" w:color="auto"/>
                            <w:left w:val="none" w:sz="0" w:space="0" w:color="auto"/>
                            <w:bottom w:val="none" w:sz="0" w:space="0" w:color="auto"/>
                            <w:right w:val="none" w:sz="0" w:space="0" w:color="auto"/>
                          </w:divBdr>
                        </w:div>
                      </w:divsChild>
                    </w:div>
                    <w:div w:id="294157469">
                      <w:marLeft w:val="0"/>
                      <w:marRight w:val="0"/>
                      <w:marTop w:val="0"/>
                      <w:marBottom w:val="0"/>
                      <w:divBdr>
                        <w:top w:val="none" w:sz="0" w:space="0" w:color="auto"/>
                        <w:left w:val="none" w:sz="0" w:space="0" w:color="auto"/>
                        <w:bottom w:val="none" w:sz="0" w:space="0" w:color="auto"/>
                        <w:right w:val="none" w:sz="0" w:space="0" w:color="auto"/>
                      </w:divBdr>
                      <w:divsChild>
                        <w:div w:id="2941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43668">
          <w:marLeft w:val="0"/>
          <w:marRight w:val="0"/>
          <w:marTop w:val="0"/>
          <w:marBottom w:val="0"/>
          <w:divBdr>
            <w:top w:val="none" w:sz="0" w:space="0" w:color="auto"/>
            <w:left w:val="none" w:sz="0" w:space="0" w:color="auto"/>
            <w:bottom w:val="none" w:sz="0" w:space="0" w:color="auto"/>
            <w:right w:val="none" w:sz="0" w:space="0" w:color="auto"/>
          </w:divBdr>
          <w:divsChild>
            <w:div w:id="294147397">
              <w:marLeft w:val="0"/>
              <w:marRight w:val="0"/>
              <w:marTop w:val="0"/>
              <w:marBottom w:val="0"/>
              <w:divBdr>
                <w:top w:val="none" w:sz="0" w:space="0" w:color="auto"/>
                <w:left w:val="none" w:sz="0" w:space="0" w:color="auto"/>
                <w:bottom w:val="none" w:sz="0" w:space="0" w:color="auto"/>
                <w:right w:val="none" w:sz="0" w:space="0" w:color="auto"/>
              </w:divBdr>
              <w:divsChild>
                <w:div w:id="29414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6440">
          <w:marLeft w:val="0"/>
          <w:marRight w:val="0"/>
          <w:marTop w:val="0"/>
          <w:marBottom w:val="0"/>
          <w:divBdr>
            <w:top w:val="none" w:sz="0" w:space="0" w:color="auto"/>
            <w:left w:val="none" w:sz="0" w:space="0" w:color="auto"/>
            <w:bottom w:val="none" w:sz="0" w:space="0" w:color="auto"/>
            <w:right w:val="none" w:sz="0" w:space="0" w:color="auto"/>
          </w:divBdr>
          <w:divsChild>
            <w:div w:id="294150382">
              <w:marLeft w:val="0"/>
              <w:marRight w:val="0"/>
              <w:marTop w:val="0"/>
              <w:marBottom w:val="0"/>
              <w:divBdr>
                <w:top w:val="none" w:sz="0" w:space="0" w:color="auto"/>
                <w:left w:val="none" w:sz="0" w:space="0" w:color="auto"/>
                <w:bottom w:val="none" w:sz="0" w:space="0" w:color="auto"/>
                <w:right w:val="none" w:sz="0" w:space="0" w:color="auto"/>
              </w:divBdr>
              <w:divsChild>
                <w:div w:id="294138252">
                  <w:marLeft w:val="0"/>
                  <w:marRight w:val="0"/>
                  <w:marTop w:val="0"/>
                  <w:marBottom w:val="0"/>
                  <w:divBdr>
                    <w:top w:val="none" w:sz="0" w:space="0" w:color="auto"/>
                    <w:left w:val="none" w:sz="0" w:space="0" w:color="auto"/>
                    <w:bottom w:val="none" w:sz="0" w:space="0" w:color="auto"/>
                    <w:right w:val="none" w:sz="0" w:space="0" w:color="auto"/>
                  </w:divBdr>
                </w:div>
                <w:div w:id="294138367">
                  <w:marLeft w:val="0"/>
                  <w:marRight w:val="0"/>
                  <w:marTop w:val="0"/>
                  <w:marBottom w:val="0"/>
                  <w:divBdr>
                    <w:top w:val="none" w:sz="0" w:space="0" w:color="auto"/>
                    <w:left w:val="none" w:sz="0" w:space="0" w:color="auto"/>
                    <w:bottom w:val="none" w:sz="0" w:space="0" w:color="auto"/>
                    <w:right w:val="none" w:sz="0" w:space="0" w:color="auto"/>
                  </w:divBdr>
                </w:div>
                <w:div w:id="294138471">
                  <w:marLeft w:val="0"/>
                  <w:marRight w:val="0"/>
                  <w:marTop w:val="0"/>
                  <w:marBottom w:val="0"/>
                  <w:divBdr>
                    <w:top w:val="none" w:sz="0" w:space="0" w:color="auto"/>
                    <w:left w:val="none" w:sz="0" w:space="0" w:color="auto"/>
                    <w:bottom w:val="none" w:sz="0" w:space="0" w:color="auto"/>
                    <w:right w:val="none" w:sz="0" w:space="0" w:color="auto"/>
                  </w:divBdr>
                </w:div>
                <w:div w:id="294138743">
                  <w:marLeft w:val="0"/>
                  <w:marRight w:val="0"/>
                  <w:marTop w:val="0"/>
                  <w:marBottom w:val="0"/>
                  <w:divBdr>
                    <w:top w:val="none" w:sz="0" w:space="0" w:color="auto"/>
                    <w:left w:val="none" w:sz="0" w:space="0" w:color="auto"/>
                    <w:bottom w:val="none" w:sz="0" w:space="0" w:color="auto"/>
                    <w:right w:val="none" w:sz="0" w:space="0" w:color="auto"/>
                  </w:divBdr>
                </w:div>
                <w:div w:id="294139152">
                  <w:marLeft w:val="0"/>
                  <w:marRight w:val="0"/>
                  <w:marTop w:val="0"/>
                  <w:marBottom w:val="0"/>
                  <w:divBdr>
                    <w:top w:val="none" w:sz="0" w:space="0" w:color="auto"/>
                    <w:left w:val="none" w:sz="0" w:space="0" w:color="auto"/>
                    <w:bottom w:val="none" w:sz="0" w:space="0" w:color="auto"/>
                    <w:right w:val="none" w:sz="0" w:space="0" w:color="auto"/>
                  </w:divBdr>
                </w:div>
                <w:div w:id="294139700">
                  <w:marLeft w:val="0"/>
                  <w:marRight w:val="0"/>
                  <w:marTop w:val="0"/>
                  <w:marBottom w:val="0"/>
                  <w:divBdr>
                    <w:top w:val="none" w:sz="0" w:space="0" w:color="auto"/>
                    <w:left w:val="none" w:sz="0" w:space="0" w:color="auto"/>
                    <w:bottom w:val="none" w:sz="0" w:space="0" w:color="auto"/>
                    <w:right w:val="none" w:sz="0" w:space="0" w:color="auto"/>
                  </w:divBdr>
                </w:div>
                <w:div w:id="294139739">
                  <w:marLeft w:val="0"/>
                  <w:marRight w:val="0"/>
                  <w:marTop w:val="0"/>
                  <w:marBottom w:val="0"/>
                  <w:divBdr>
                    <w:top w:val="none" w:sz="0" w:space="0" w:color="auto"/>
                    <w:left w:val="none" w:sz="0" w:space="0" w:color="auto"/>
                    <w:bottom w:val="none" w:sz="0" w:space="0" w:color="auto"/>
                    <w:right w:val="none" w:sz="0" w:space="0" w:color="auto"/>
                  </w:divBdr>
                </w:div>
                <w:div w:id="294139850">
                  <w:marLeft w:val="0"/>
                  <w:marRight w:val="0"/>
                  <w:marTop w:val="0"/>
                  <w:marBottom w:val="0"/>
                  <w:divBdr>
                    <w:top w:val="none" w:sz="0" w:space="0" w:color="auto"/>
                    <w:left w:val="none" w:sz="0" w:space="0" w:color="auto"/>
                    <w:bottom w:val="none" w:sz="0" w:space="0" w:color="auto"/>
                    <w:right w:val="none" w:sz="0" w:space="0" w:color="auto"/>
                  </w:divBdr>
                </w:div>
                <w:div w:id="294139875">
                  <w:marLeft w:val="0"/>
                  <w:marRight w:val="0"/>
                  <w:marTop w:val="0"/>
                  <w:marBottom w:val="0"/>
                  <w:divBdr>
                    <w:top w:val="none" w:sz="0" w:space="0" w:color="auto"/>
                    <w:left w:val="none" w:sz="0" w:space="0" w:color="auto"/>
                    <w:bottom w:val="none" w:sz="0" w:space="0" w:color="auto"/>
                    <w:right w:val="none" w:sz="0" w:space="0" w:color="auto"/>
                  </w:divBdr>
                </w:div>
                <w:div w:id="294140169">
                  <w:marLeft w:val="0"/>
                  <w:marRight w:val="0"/>
                  <w:marTop w:val="0"/>
                  <w:marBottom w:val="0"/>
                  <w:divBdr>
                    <w:top w:val="none" w:sz="0" w:space="0" w:color="auto"/>
                    <w:left w:val="none" w:sz="0" w:space="0" w:color="auto"/>
                    <w:bottom w:val="none" w:sz="0" w:space="0" w:color="auto"/>
                    <w:right w:val="none" w:sz="0" w:space="0" w:color="auto"/>
                  </w:divBdr>
                </w:div>
                <w:div w:id="294140283">
                  <w:marLeft w:val="0"/>
                  <w:marRight w:val="0"/>
                  <w:marTop w:val="0"/>
                  <w:marBottom w:val="0"/>
                  <w:divBdr>
                    <w:top w:val="none" w:sz="0" w:space="0" w:color="auto"/>
                    <w:left w:val="none" w:sz="0" w:space="0" w:color="auto"/>
                    <w:bottom w:val="none" w:sz="0" w:space="0" w:color="auto"/>
                    <w:right w:val="none" w:sz="0" w:space="0" w:color="auto"/>
                  </w:divBdr>
                </w:div>
                <w:div w:id="294140299">
                  <w:marLeft w:val="0"/>
                  <w:marRight w:val="0"/>
                  <w:marTop w:val="0"/>
                  <w:marBottom w:val="0"/>
                  <w:divBdr>
                    <w:top w:val="none" w:sz="0" w:space="0" w:color="auto"/>
                    <w:left w:val="none" w:sz="0" w:space="0" w:color="auto"/>
                    <w:bottom w:val="none" w:sz="0" w:space="0" w:color="auto"/>
                    <w:right w:val="none" w:sz="0" w:space="0" w:color="auto"/>
                  </w:divBdr>
                </w:div>
                <w:div w:id="294140346">
                  <w:marLeft w:val="0"/>
                  <w:marRight w:val="0"/>
                  <w:marTop w:val="0"/>
                  <w:marBottom w:val="0"/>
                  <w:divBdr>
                    <w:top w:val="none" w:sz="0" w:space="0" w:color="auto"/>
                    <w:left w:val="none" w:sz="0" w:space="0" w:color="auto"/>
                    <w:bottom w:val="none" w:sz="0" w:space="0" w:color="auto"/>
                    <w:right w:val="none" w:sz="0" w:space="0" w:color="auto"/>
                  </w:divBdr>
                </w:div>
                <w:div w:id="294140527">
                  <w:marLeft w:val="0"/>
                  <w:marRight w:val="0"/>
                  <w:marTop w:val="0"/>
                  <w:marBottom w:val="0"/>
                  <w:divBdr>
                    <w:top w:val="none" w:sz="0" w:space="0" w:color="auto"/>
                    <w:left w:val="none" w:sz="0" w:space="0" w:color="auto"/>
                    <w:bottom w:val="none" w:sz="0" w:space="0" w:color="auto"/>
                    <w:right w:val="none" w:sz="0" w:space="0" w:color="auto"/>
                  </w:divBdr>
                </w:div>
                <w:div w:id="294140576">
                  <w:marLeft w:val="0"/>
                  <w:marRight w:val="0"/>
                  <w:marTop w:val="0"/>
                  <w:marBottom w:val="0"/>
                  <w:divBdr>
                    <w:top w:val="none" w:sz="0" w:space="0" w:color="auto"/>
                    <w:left w:val="none" w:sz="0" w:space="0" w:color="auto"/>
                    <w:bottom w:val="none" w:sz="0" w:space="0" w:color="auto"/>
                    <w:right w:val="none" w:sz="0" w:space="0" w:color="auto"/>
                  </w:divBdr>
                </w:div>
                <w:div w:id="294140603">
                  <w:marLeft w:val="0"/>
                  <w:marRight w:val="0"/>
                  <w:marTop w:val="0"/>
                  <w:marBottom w:val="0"/>
                  <w:divBdr>
                    <w:top w:val="none" w:sz="0" w:space="0" w:color="auto"/>
                    <w:left w:val="none" w:sz="0" w:space="0" w:color="auto"/>
                    <w:bottom w:val="none" w:sz="0" w:space="0" w:color="auto"/>
                    <w:right w:val="none" w:sz="0" w:space="0" w:color="auto"/>
                  </w:divBdr>
                </w:div>
                <w:div w:id="294140725">
                  <w:marLeft w:val="0"/>
                  <w:marRight w:val="0"/>
                  <w:marTop w:val="0"/>
                  <w:marBottom w:val="0"/>
                  <w:divBdr>
                    <w:top w:val="none" w:sz="0" w:space="0" w:color="auto"/>
                    <w:left w:val="none" w:sz="0" w:space="0" w:color="auto"/>
                    <w:bottom w:val="none" w:sz="0" w:space="0" w:color="auto"/>
                    <w:right w:val="none" w:sz="0" w:space="0" w:color="auto"/>
                  </w:divBdr>
                </w:div>
                <w:div w:id="294140736">
                  <w:marLeft w:val="0"/>
                  <w:marRight w:val="0"/>
                  <w:marTop w:val="0"/>
                  <w:marBottom w:val="0"/>
                  <w:divBdr>
                    <w:top w:val="none" w:sz="0" w:space="0" w:color="auto"/>
                    <w:left w:val="none" w:sz="0" w:space="0" w:color="auto"/>
                    <w:bottom w:val="none" w:sz="0" w:space="0" w:color="auto"/>
                    <w:right w:val="none" w:sz="0" w:space="0" w:color="auto"/>
                  </w:divBdr>
                </w:div>
                <w:div w:id="294140872">
                  <w:marLeft w:val="0"/>
                  <w:marRight w:val="0"/>
                  <w:marTop w:val="0"/>
                  <w:marBottom w:val="0"/>
                  <w:divBdr>
                    <w:top w:val="none" w:sz="0" w:space="0" w:color="auto"/>
                    <w:left w:val="none" w:sz="0" w:space="0" w:color="auto"/>
                    <w:bottom w:val="none" w:sz="0" w:space="0" w:color="auto"/>
                    <w:right w:val="none" w:sz="0" w:space="0" w:color="auto"/>
                  </w:divBdr>
                </w:div>
                <w:div w:id="294141162">
                  <w:marLeft w:val="0"/>
                  <w:marRight w:val="0"/>
                  <w:marTop w:val="0"/>
                  <w:marBottom w:val="0"/>
                  <w:divBdr>
                    <w:top w:val="none" w:sz="0" w:space="0" w:color="auto"/>
                    <w:left w:val="none" w:sz="0" w:space="0" w:color="auto"/>
                    <w:bottom w:val="none" w:sz="0" w:space="0" w:color="auto"/>
                    <w:right w:val="none" w:sz="0" w:space="0" w:color="auto"/>
                  </w:divBdr>
                </w:div>
                <w:div w:id="294141333">
                  <w:marLeft w:val="0"/>
                  <w:marRight w:val="0"/>
                  <w:marTop w:val="0"/>
                  <w:marBottom w:val="0"/>
                  <w:divBdr>
                    <w:top w:val="none" w:sz="0" w:space="0" w:color="auto"/>
                    <w:left w:val="none" w:sz="0" w:space="0" w:color="auto"/>
                    <w:bottom w:val="none" w:sz="0" w:space="0" w:color="auto"/>
                    <w:right w:val="none" w:sz="0" w:space="0" w:color="auto"/>
                  </w:divBdr>
                </w:div>
                <w:div w:id="294141346">
                  <w:marLeft w:val="0"/>
                  <w:marRight w:val="0"/>
                  <w:marTop w:val="0"/>
                  <w:marBottom w:val="0"/>
                  <w:divBdr>
                    <w:top w:val="none" w:sz="0" w:space="0" w:color="auto"/>
                    <w:left w:val="none" w:sz="0" w:space="0" w:color="auto"/>
                    <w:bottom w:val="none" w:sz="0" w:space="0" w:color="auto"/>
                    <w:right w:val="none" w:sz="0" w:space="0" w:color="auto"/>
                  </w:divBdr>
                </w:div>
                <w:div w:id="294141450">
                  <w:marLeft w:val="0"/>
                  <w:marRight w:val="0"/>
                  <w:marTop w:val="0"/>
                  <w:marBottom w:val="0"/>
                  <w:divBdr>
                    <w:top w:val="none" w:sz="0" w:space="0" w:color="auto"/>
                    <w:left w:val="none" w:sz="0" w:space="0" w:color="auto"/>
                    <w:bottom w:val="none" w:sz="0" w:space="0" w:color="auto"/>
                    <w:right w:val="none" w:sz="0" w:space="0" w:color="auto"/>
                  </w:divBdr>
                </w:div>
                <w:div w:id="294141473">
                  <w:marLeft w:val="0"/>
                  <w:marRight w:val="0"/>
                  <w:marTop w:val="0"/>
                  <w:marBottom w:val="0"/>
                  <w:divBdr>
                    <w:top w:val="none" w:sz="0" w:space="0" w:color="auto"/>
                    <w:left w:val="none" w:sz="0" w:space="0" w:color="auto"/>
                    <w:bottom w:val="none" w:sz="0" w:space="0" w:color="auto"/>
                    <w:right w:val="none" w:sz="0" w:space="0" w:color="auto"/>
                  </w:divBdr>
                </w:div>
                <w:div w:id="294141558">
                  <w:marLeft w:val="0"/>
                  <w:marRight w:val="0"/>
                  <w:marTop w:val="0"/>
                  <w:marBottom w:val="0"/>
                  <w:divBdr>
                    <w:top w:val="none" w:sz="0" w:space="0" w:color="auto"/>
                    <w:left w:val="none" w:sz="0" w:space="0" w:color="auto"/>
                    <w:bottom w:val="none" w:sz="0" w:space="0" w:color="auto"/>
                    <w:right w:val="none" w:sz="0" w:space="0" w:color="auto"/>
                  </w:divBdr>
                </w:div>
                <w:div w:id="29414166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294142142">
                  <w:marLeft w:val="0"/>
                  <w:marRight w:val="0"/>
                  <w:marTop w:val="0"/>
                  <w:marBottom w:val="0"/>
                  <w:divBdr>
                    <w:top w:val="none" w:sz="0" w:space="0" w:color="auto"/>
                    <w:left w:val="none" w:sz="0" w:space="0" w:color="auto"/>
                    <w:bottom w:val="none" w:sz="0" w:space="0" w:color="auto"/>
                    <w:right w:val="none" w:sz="0" w:space="0" w:color="auto"/>
                  </w:divBdr>
                </w:div>
                <w:div w:id="294142208">
                  <w:marLeft w:val="0"/>
                  <w:marRight w:val="0"/>
                  <w:marTop w:val="0"/>
                  <w:marBottom w:val="0"/>
                  <w:divBdr>
                    <w:top w:val="none" w:sz="0" w:space="0" w:color="auto"/>
                    <w:left w:val="none" w:sz="0" w:space="0" w:color="auto"/>
                    <w:bottom w:val="none" w:sz="0" w:space="0" w:color="auto"/>
                    <w:right w:val="none" w:sz="0" w:space="0" w:color="auto"/>
                  </w:divBdr>
                </w:div>
                <w:div w:id="294142401">
                  <w:marLeft w:val="0"/>
                  <w:marRight w:val="0"/>
                  <w:marTop w:val="0"/>
                  <w:marBottom w:val="0"/>
                  <w:divBdr>
                    <w:top w:val="none" w:sz="0" w:space="0" w:color="auto"/>
                    <w:left w:val="none" w:sz="0" w:space="0" w:color="auto"/>
                    <w:bottom w:val="none" w:sz="0" w:space="0" w:color="auto"/>
                    <w:right w:val="none" w:sz="0" w:space="0" w:color="auto"/>
                  </w:divBdr>
                </w:div>
                <w:div w:id="294142456">
                  <w:marLeft w:val="0"/>
                  <w:marRight w:val="0"/>
                  <w:marTop w:val="0"/>
                  <w:marBottom w:val="0"/>
                  <w:divBdr>
                    <w:top w:val="none" w:sz="0" w:space="0" w:color="auto"/>
                    <w:left w:val="none" w:sz="0" w:space="0" w:color="auto"/>
                    <w:bottom w:val="none" w:sz="0" w:space="0" w:color="auto"/>
                    <w:right w:val="none" w:sz="0" w:space="0" w:color="auto"/>
                  </w:divBdr>
                </w:div>
                <w:div w:id="294142582">
                  <w:marLeft w:val="0"/>
                  <w:marRight w:val="0"/>
                  <w:marTop w:val="0"/>
                  <w:marBottom w:val="0"/>
                  <w:divBdr>
                    <w:top w:val="none" w:sz="0" w:space="0" w:color="auto"/>
                    <w:left w:val="none" w:sz="0" w:space="0" w:color="auto"/>
                    <w:bottom w:val="none" w:sz="0" w:space="0" w:color="auto"/>
                    <w:right w:val="none" w:sz="0" w:space="0" w:color="auto"/>
                  </w:divBdr>
                </w:div>
                <w:div w:id="294142854">
                  <w:marLeft w:val="0"/>
                  <w:marRight w:val="0"/>
                  <w:marTop w:val="0"/>
                  <w:marBottom w:val="0"/>
                  <w:divBdr>
                    <w:top w:val="none" w:sz="0" w:space="0" w:color="auto"/>
                    <w:left w:val="none" w:sz="0" w:space="0" w:color="auto"/>
                    <w:bottom w:val="none" w:sz="0" w:space="0" w:color="auto"/>
                    <w:right w:val="none" w:sz="0" w:space="0" w:color="auto"/>
                  </w:divBdr>
                </w:div>
                <w:div w:id="294142863">
                  <w:marLeft w:val="0"/>
                  <w:marRight w:val="0"/>
                  <w:marTop w:val="0"/>
                  <w:marBottom w:val="0"/>
                  <w:divBdr>
                    <w:top w:val="none" w:sz="0" w:space="0" w:color="auto"/>
                    <w:left w:val="none" w:sz="0" w:space="0" w:color="auto"/>
                    <w:bottom w:val="none" w:sz="0" w:space="0" w:color="auto"/>
                    <w:right w:val="none" w:sz="0" w:space="0" w:color="auto"/>
                  </w:divBdr>
                </w:div>
                <w:div w:id="294142898">
                  <w:marLeft w:val="0"/>
                  <w:marRight w:val="0"/>
                  <w:marTop w:val="0"/>
                  <w:marBottom w:val="0"/>
                  <w:divBdr>
                    <w:top w:val="none" w:sz="0" w:space="0" w:color="auto"/>
                    <w:left w:val="none" w:sz="0" w:space="0" w:color="auto"/>
                    <w:bottom w:val="none" w:sz="0" w:space="0" w:color="auto"/>
                    <w:right w:val="none" w:sz="0" w:space="0" w:color="auto"/>
                  </w:divBdr>
                </w:div>
                <w:div w:id="294143013">
                  <w:marLeft w:val="0"/>
                  <w:marRight w:val="0"/>
                  <w:marTop w:val="0"/>
                  <w:marBottom w:val="0"/>
                  <w:divBdr>
                    <w:top w:val="none" w:sz="0" w:space="0" w:color="auto"/>
                    <w:left w:val="none" w:sz="0" w:space="0" w:color="auto"/>
                    <w:bottom w:val="none" w:sz="0" w:space="0" w:color="auto"/>
                    <w:right w:val="none" w:sz="0" w:space="0" w:color="auto"/>
                  </w:divBdr>
                </w:div>
                <w:div w:id="294143135">
                  <w:marLeft w:val="0"/>
                  <w:marRight w:val="0"/>
                  <w:marTop w:val="0"/>
                  <w:marBottom w:val="0"/>
                  <w:divBdr>
                    <w:top w:val="none" w:sz="0" w:space="0" w:color="auto"/>
                    <w:left w:val="none" w:sz="0" w:space="0" w:color="auto"/>
                    <w:bottom w:val="none" w:sz="0" w:space="0" w:color="auto"/>
                    <w:right w:val="none" w:sz="0" w:space="0" w:color="auto"/>
                  </w:divBdr>
                </w:div>
                <w:div w:id="294143492">
                  <w:marLeft w:val="0"/>
                  <w:marRight w:val="0"/>
                  <w:marTop w:val="0"/>
                  <w:marBottom w:val="0"/>
                  <w:divBdr>
                    <w:top w:val="none" w:sz="0" w:space="0" w:color="auto"/>
                    <w:left w:val="none" w:sz="0" w:space="0" w:color="auto"/>
                    <w:bottom w:val="none" w:sz="0" w:space="0" w:color="auto"/>
                    <w:right w:val="none" w:sz="0" w:space="0" w:color="auto"/>
                  </w:divBdr>
                </w:div>
                <w:div w:id="294143747">
                  <w:marLeft w:val="0"/>
                  <w:marRight w:val="0"/>
                  <w:marTop w:val="0"/>
                  <w:marBottom w:val="0"/>
                  <w:divBdr>
                    <w:top w:val="none" w:sz="0" w:space="0" w:color="auto"/>
                    <w:left w:val="none" w:sz="0" w:space="0" w:color="auto"/>
                    <w:bottom w:val="none" w:sz="0" w:space="0" w:color="auto"/>
                    <w:right w:val="none" w:sz="0" w:space="0" w:color="auto"/>
                  </w:divBdr>
                </w:div>
                <w:div w:id="294144011">
                  <w:marLeft w:val="0"/>
                  <w:marRight w:val="0"/>
                  <w:marTop w:val="0"/>
                  <w:marBottom w:val="0"/>
                  <w:divBdr>
                    <w:top w:val="none" w:sz="0" w:space="0" w:color="auto"/>
                    <w:left w:val="none" w:sz="0" w:space="0" w:color="auto"/>
                    <w:bottom w:val="none" w:sz="0" w:space="0" w:color="auto"/>
                    <w:right w:val="none" w:sz="0" w:space="0" w:color="auto"/>
                  </w:divBdr>
                </w:div>
                <w:div w:id="294144065">
                  <w:marLeft w:val="0"/>
                  <w:marRight w:val="0"/>
                  <w:marTop w:val="0"/>
                  <w:marBottom w:val="0"/>
                  <w:divBdr>
                    <w:top w:val="none" w:sz="0" w:space="0" w:color="auto"/>
                    <w:left w:val="none" w:sz="0" w:space="0" w:color="auto"/>
                    <w:bottom w:val="none" w:sz="0" w:space="0" w:color="auto"/>
                    <w:right w:val="none" w:sz="0" w:space="0" w:color="auto"/>
                  </w:divBdr>
                </w:div>
                <w:div w:id="294144616">
                  <w:marLeft w:val="0"/>
                  <w:marRight w:val="0"/>
                  <w:marTop w:val="0"/>
                  <w:marBottom w:val="0"/>
                  <w:divBdr>
                    <w:top w:val="none" w:sz="0" w:space="0" w:color="auto"/>
                    <w:left w:val="none" w:sz="0" w:space="0" w:color="auto"/>
                    <w:bottom w:val="none" w:sz="0" w:space="0" w:color="auto"/>
                    <w:right w:val="none" w:sz="0" w:space="0" w:color="auto"/>
                  </w:divBdr>
                </w:div>
                <w:div w:id="294144895">
                  <w:marLeft w:val="0"/>
                  <w:marRight w:val="0"/>
                  <w:marTop w:val="0"/>
                  <w:marBottom w:val="0"/>
                  <w:divBdr>
                    <w:top w:val="none" w:sz="0" w:space="0" w:color="auto"/>
                    <w:left w:val="none" w:sz="0" w:space="0" w:color="auto"/>
                    <w:bottom w:val="none" w:sz="0" w:space="0" w:color="auto"/>
                    <w:right w:val="none" w:sz="0" w:space="0" w:color="auto"/>
                  </w:divBdr>
                </w:div>
                <w:div w:id="294145100">
                  <w:marLeft w:val="0"/>
                  <w:marRight w:val="0"/>
                  <w:marTop w:val="0"/>
                  <w:marBottom w:val="0"/>
                  <w:divBdr>
                    <w:top w:val="none" w:sz="0" w:space="0" w:color="auto"/>
                    <w:left w:val="none" w:sz="0" w:space="0" w:color="auto"/>
                    <w:bottom w:val="none" w:sz="0" w:space="0" w:color="auto"/>
                    <w:right w:val="none" w:sz="0" w:space="0" w:color="auto"/>
                  </w:divBdr>
                </w:div>
                <w:div w:id="294145251">
                  <w:marLeft w:val="0"/>
                  <w:marRight w:val="0"/>
                  <w:marTop w:val="0"/>
                  <w:marBottom w:val="0"/>
                  <w:divBdr>
                    <w:top w:val="none" w:sz="0" w:space="0" w:color="auto"/>
                    <w:left w:val="none" w:sz="0" w:space="0" w:color="auto"/>
                    <w:bottom w:val="none" w:sz="0" w:space="0" w:color="auto"/>
                    <w:right w:val="none" w:sz="0" w:space="0" w:color="auto"/>
                  </w:divBdr>
                </w:div>
                <w:div w:id="294145309">
                  <w:marLeft w:val="0"/>
                  <w:marRight w:val="0"/>
                  <w:marTop w:val="0"/>
                  <w:marBottom w:val="0"/>
                  <w:divBdr>
                    <w:top w:val="none" w:sz="0" w:space="0" w:color="auto"/>
                    <w:left w:val="none" w:sz="0" w:space="0" w:color="auto"/>
                    <w:bottom w:val="none" w:sz="0" w:space="0" w:color="auto"/>
                    <w:right w:val="none" w:sz="0" w:space="0" w:color="auto"/>
                  </w:divBdr>
                </w:div>
                <w:div w:id="294145418">
                  <w:marLeft w:val="0"/>
                  <w:marRight w:val="0"/>
                  <w:marTop w:val="0"/>
                  <w:marBottom w:val="0"/>
                  <w:divBdr>
                    <w:top w:val="none" w:sz="0" w:space="0" w:color="auto"/>
                    <w:left w:val="none" w:sz="0" w:space="0" w:color="auto"/>
                    <w:bottom w:val="none" w:sz="0" w:space="0" w:color="auto"/>
                    <w:right w:val="none" w:sz="0" w:space="0" w:color="auto"/>
                  </w:divBdr>
                </w:div>
                <w:div w:id="294145873">
                  <w:marLeft w:val="0"/>
                  <w:marRight w:val="0"/>
                  <w:marTop w:val="0"/>
                  <w:marBottom w:val="0"/>
                  <w:divBdr>
                    <w:top w:val="none" w:sz="0" w:space="0" w:color="auto"/>
                    <w:left w:val="none" w:sz="0" w:space="0" w:color="auto"/>
                    <w:bottom w:val="none" w:sz="0" w:space="0" w:color="auto"/>
                    <w:right w:val="none" w:sz="0" w:space="0" w:color="auto"/>
                  </w:divBdr>
                </w:div>
                <w:div w:id="294145910">
                  <w:marLeft w:val="0"/>
                  <w:marRight w:val="0"/>
                  <w:marTop w:val="0"/>
                  <w:marBottom w:val="0"/>
                  <w:divBdr>
                    <w:top w:val="none" w:sz="0" w:space="0" w:color="auto"/>
                    <w:left w:val="none" w:sz="0" w:space="0" w:color="auto"/>
                    <w:bottom w:val="none" w:sz="0" w:space="0" w:color="auto"/>
                    <w:right w:val="none" w:sz="0" w:space="0" w:color="auto"/>
                  </w:divBdr>
                </w:div>
                <w:div w:id="294145944">
                  <w:marLeft w:val="0"/>
                  <w:marRight w:val="0"/>
                  <w:marTop w:val="0"/>
                  <w:marBottom w:val="0"/>
                  <w:divBdr>
                    <w:top w:val="none" w:sz="0" w:space="0" w:color="auto"/>
                    <w:left w:val="none" w:sz="0" w:space="0" w:color="auto"/>
                    <w:bottom w:val="none" w:sz="0" w:space="0" w:color="auto"/>
                    <w:right w:val="none" w:sz="0" w:space="0" w:color="auto"/>
                  </w:divBdr>
                </w:div>
                <w:div w:id="294145972">
                  <w:marLeft w:val="0"/>
                  <w:marRight w:val="0"/>
                  <w:marTop w:val="0"/>
                  <w:marBottom w:val="0"/>
                  <w:divBdr>
                    <w:top w:val="none" w:sz="0" w:space="0" w:color="auto"/>
                    <w:left w:val="none" w:sz="0" w:space="0" w:color="auto"/>
                    <w:bottom w:val="none" w:sz="0" w:space="0" w:color="auto"/>
                    <w:right w:val="none" w:sz="0" w:space="0" w:color="auto"/>
                  </w:divBdr>
                </w:div>
                <w:div w:id="294146034">
                  <w:marLeft w:val="0"/>
                  <w:marRight w:val="0"/>
                  <w:marTop w:val="0"/>
                  <w:marBottom w:val="0"/>
                  <w:divBdr>
                    <w:top w:val="none" w:sz="0" w:space="0" w:color="auto"/>
                    <w:left w:val="none" w:sz="0" w:space="0" w:color="auto"/>
                    <w:bottom w:val="none" w:sz="0" w:space="0" w:color="auto"/>
                    <w:right w:val="none" w:sz="0" w:space="0" w:color="auto"/>
                  </w:divBdr>
                </w:div>
                <w:div w:id="294146104">
                  <w:marLeft w:val="0"/>
                  <w:marRight w:val="0"/>
                  <w:marTop w:val="0"/>
                  <w:marBottom w:val="0"/>
                  <w:divBdr>
                    <w:top w:val="none" w:sz="0" w:space="0" w:color="auto"/>
                    <w:left w:val="none" w:sz="0" w:space="0" w:color="auto"/>
                    <w:bottom w:val="none" w:sz="0" w:space="0" w:color="auto"/>
                    <w:right w:val="none" w:sz="0" w:space="0" w:color="auto"/>
                  </w:divBdr>
                </w:div>
                <w:div w:id="294146564">
                  <w:marLeft w:val="0"/>
                  <w:marRight w:val="0"/>
                  <w:marTop w:val="0"/>
                  <w:marBottom w:val="0"/>
                  <w:divBdr>
                    <w:top w:val="none" w:sz="0" w:space="0" w:color="auto"/>
                    <w:left w:val="none" w:sz="0" w:space="0" w:color="auto"/>
                    <w:bottom w:val="none" w:sz="0" w:space="0" w:color="auto"/>
                    <w:right w:val="none" w:sz="0" w:space="0" w:color="auto"/>
                  </w:divBdr>
                </w:div>
                <w:div w:id="294146631">
                  <w:marLeft w:val="0"/>
                  <w:marRight w:val="0"/>
                  <w:marTop w:val="0"/>
                  <w:marBottom w:val="0"/>
                  <w:divBdr>
                    <w:top w:val="none" w:sz="0" w:space="0" w:color="auto"/>
                    <w:left w:val="none" w:sz="0" w:space="0" w:color="auto"/>
                    <w:bottom w:val="none" w:sz="0" w:space="0" w:color="auto"/>
                    <w:right w:val="none" w:sz="0" w:space="0" w:color="auto"/>
                  </w:divBdr>
                </w:div>
                <w:div w:id="294147067">
                  <w:marLeft w:val="0"/>
                  <w:marRight w:val="0"/>
                  <w:marTop w:val="0"/>
                  <w:marBottom w:val="0"/>
                  <w:divBdr>
                    <w:top w:val="none" w:sz="0" w:space="0" w:color="auto"/>
                    <w:left w:val="none" w:sz="0" w:space="0" w:color="auto"/>
                    <w:bottom w:val="none" w:sz="0" w:space="0" w:color="auto"/>
                    <w:right w:val="none" w:sz="0" w:space="0" w:color="auto"/>
                  </w:divBdr>
                </w:div>
                <w:div w:id="294147072">
                  <w:marLeft w:val="0"/>
                  <w:marRight w:val="0"/>
                  <w:marTop w:val="0"/>
                  <w:marBottom w:val="0"/>
                  <w:divBdr>
                    <w:top w:val="none" w:sz="0" w:space="0" w:color="auto"/>
                    <w:left w:val="none" w:sz="0" w:space="0" w:color="auto"/>
                    <w:bottom w:val="none" w:sz="0" w:space="0" w:color="auto"/>
                    <w:right w:val="none" w:sz="0" w:space="0" w:color="auto"/>
                  </w:divBdr>
                </w:div>
                <w:div w:id="294147264">
                  <w:marLeft w:val="0"/>
                  <w:marRight w:val="0"/>
                  <w:marTop w:val="0"/>
                  <w:marBottom w:val="0"/>
                  <w:divBdr>
                    <w:top w:val="none" w:sz="0" w:space="0" w:color="auto"/>
                    <w:left w:val="none" w:sz="0" w:space="0" w:color="auto"/>
                    <w:bottom w:val="none" w:sz="0" w:space="0" w:color="auto"/>
                    <w:right w:val="none" w:sz="0" w:space="0" w:color="auto"/>
                  </w:divBdr>
                </w:div>
                <w:div w:id="294147402">
                  <w:marLeft w:val="0"/>
                  <w:marRight w:val="0"/>
                  <w:marTop w:val="0"/>
                  <w:marBottom w:val="0"/>
                  <w:divBdr>
                    <w:top w:val="none" w:sz="0" w:space="0" w:color="auto"/>
                    <w:left w:val="none" w:sz="0" w:space="0" w:color="auto"/>
                    <w:bottom w:val="none" w:sz="0" w:space="0" w:color="auto"/>
                    <w:right w:val="none" w:sz="0" w:space="0" w:color="auto"/>
                  </w:divBdr>
                </w:div>
                <w:div w:id="294147472">
                  <w:marLeft w:val="0"/>
                  <w:marRight w:val="0"/>
                  <w:marTop w:val="0"/>
                  <w:marBottom w:val="0"/>
                  <w:divBdr>
                    <w:top w:val="none" w:sz="0" w:space="0" w:color="auto"/>
                    <w:left w:val="none" w:sz="0" w:space="0" w:color="auto"/>
                    <w:bottom w:val="none" w:sz="0" w:space="0" w:color="auto"/>
                    <w:right w:val="none" w:sz="0" w:space="0" w:color="auto"/>
                  </w:divBdr>
                </w:div>
                <w:div w:id="294147573">
                  <w:marLeft w:val="0"/>
                  <w:marRight w:val="0"/>
                  <w:marTop w:val="0"/>
                  <w:marBottom w:val="0"/>
                  <w:divBdr>
                    <w:top w:val="none" w:sz="0" w:space="0" w:color="auto"/>
                    <w:left w:val="none" w:sz="0" w:space="0" w:color="auto"/>
                    <w:bottom w:val="none" w:sz="0" w:space="0" w:color="auto"/>
                    <w:right w:val="none" w:sz="0" w:space="0" w:color="auto"/>
                  </w:divBdr>
                </w:div>
                <w:div w:id="294147581">
                  <w:marLeft w:val="0"/>
                  <w:marRight w:val="0"/>
                  <w:marTop w:val="0"/>
                  <w:marBottom w:val="0"/>
                  <w:divBdr>
                    <w:top w:val="none" w:sz="0" w:space="0" w:color="auto"/>
                    <w:left w:val="none" w:sz="0" w:space="0" w:color="auto"/>
                    <w:bottom w:val="none" w:sz="0" w:space="0" w:color="auto"/>
                    <w:right w:val="none" w:sz="0" w:space="0" w:color="auto"/>
                  </w:divBdr>
                </w:div>
                <w:div w:id="294147738">
                  <w:marLeft w:val="0"/>
                  <w:marRight w:val="0"/>
                  <w:marTop w:val="0"/>
                  <w:marBottom w:val="0"/>
                  <w:divBdr>
                    <w:top w:val="none" w:sz="0" w:space="0" w:color="auto"/>
                    <w:left w:val="none" w:sz="0" w:space="0" w:color="auto"/>
                    <w:bottom w:val="none" w:sz="0" w:space="0" w:color="auto"/>
                    <w:right w:val="none" w:sz="0" w:space="0" w:color="auto"/>
                  </w:divBdr>
                </w:div>
                <w:div w:id="294147787">
                  <w:marLeft w:val="0"/>
                  <w:marRight w:val="0"/>
                  <w:marTop w:val="0"/>
                  <w:marBottom w:val="0"/>
                  <w:divBdr>
                    <w:top w:val="none" w:sz="0" w:space="0" w:color="auto"/>
                    <w:left w:val="none" w:sz="0" w:space="0" w:color="auto"/>
                    <w:bottom w:val="none" w:sz="0" w:space="0" w:color="auto"/>
                    <w:right w:val="none" w:sz="0" w:space="0" w:color="auto"/>
                  </w:divBdr>
                </w:div>
                <w:div w:id="294147918">
                  <w:marLeft w:val="0"/>
                  <w:marRight w:val="0"/>
                  <w:marTop w:val="0"/>
                  <w:marBottom w:val="0"/>
                  <w:divBdr>
                    <w:top w:val="none" w:sz="0" w:space="0" w:color="auto"/>
                    <w:left w:val="none" w:sz="0" w:space="0" w:color="auto"/>
                    <w:bottom w:val="none" w:sz="0" w:space="0" w:color="auto"/>
                    <w:right w:val="none" w:sz="0" w:space="0" w:color="auto"/>
                  </w:divBdr>
                </w:div>
                <w:div w:id="294148022">
                  <w:marLeft w:val="0"/>
                  <w:marRight w:val="0"/>
                  <w:marTop w:val="0"/>
                  <w:marBottom w:val="0"/>
                  <w:divBdr>
                    <w:top w:val="none" w:sz="0" w:space="0" w:color="auto"/>
                    <w:left w:val="none" w:sz="0" w:space="0" w:color="auto"/>
                    <w:bottom w:val="none" w:sz="0" w:space="0" w:color="auto"/>
                    <w:right w:val="none" w:sz="0" w:space="0" w:color="auto"/>
                  </w:divBdr>
                </w:div>
                <w:div w:id="294148129">
                  <w:marLeft w:val="0"/>
                  <w:marRight w:val="0"/>
                  <w:marTop w:val="0"/>
                  <w:marBottom w:val="0"/>
                  <w:divBdr>
                    <w:top w:val="none" w:sz="0" w:space="0" w:color="auto"/>
                    <w:left w:val="none" w:sz="0" w:space="0" w:color="auto"/>
                    <w:bottom w:val="none" w:sz="0" w:space="0" w:color="auto"/>
                    <w:right w:val="none" w:sz="0" w:space="0" w:color="auto"/>
                  </w:divBdr>
                </w:div>
                <w:div w:id="294148198">
                  <w:marLeft w:val="0"/>
                  <w:marRight w:val="0"/>
                  <w:marTop w:val="0"/>
                  <w:marBottom w:val="0"/>
                  <w:divBdr>
                    <w:top w:val="none" w:sz="0" w:space="0" w:color="auto"/>
                    <w:left w:val="none" w:sz="0" w:space="0" w:color="auto"/>
                    <w:bottom w:val="none" w:sz="0" w:space="0" w:color="auto"/>
                    <w:right w:val="none" w:sz="0" w:space="0" w:color="auto"/>
                  </w:divBdr>
                </w:div>
                <w:div w:id="294148275">
                  <w:marLeft w:val="0"/>
                  <w:marRight w:val="0"/>
                  <w:marTop w:val="0"/>
                  <w:marBottom w:val="0"/>
                  <w:divBdr>
                    <w:top w:val="none" w:sz="0" w:space="0" w:color="auto"/>
                    <w:left w:val="none" w:sz="0" w:space="0" w:color="auto"/>
                    <w:bottom w:val="none" w:sz="0" w:space="0" w:color="auto"/>
                    <w:right w:val="none" w:sz="0" w:space="0" w:color="auto"/>
                  </w:divBdr>
                </w:div>
                <w:div w:id="294148470">
                  <w:marLeft w:val="0"/>
                  <w:marRight w:val="0"/>
                  <w:marTop w:val="0"/>
                  <w:marBottom w:val="0"/>
                  <w:divBdr>
                    <w:top w:val="none" w:sz="0" w:space="0" w:color="auto"/>
                    <w:left w:val="none" w:sz="0" w:space="0" w:color="auto"/>
                    <w:bottom w:val="none" w:sz="0" w:space="0" w:color="auto"/>
                    <w:right w:val="none" w:sz="0" w:space="0" w:color="auto"/>
                  </w:divBdr>
                </w:div>
                <w:div w:id="294148581">
                  <w:marLeft w:val="0"/>
                  <w:marRight w:val="0"/>
                  <w:marTop w:val="0"/>
                  <w:marBottom w:val="0"/>
                  <w:divBdr>
                    <w:top w:val="none" w:sz="0" w:space="0" w:color="auto"/>
                    <w:left w:val="none" w:sz="0" w:space="0" w:color="auto"/>
                    <w:bottom w:val="none" w:sz="0" w:space="0" w:color="auto"/>
                    <w:right w:val="none" w:sz="0" w:space="0" w:color="auto"/>
                  </w:divBdr>
                </w:div>
                <w:div w:id="294149124">
                  <w:marLeft w:val="0"/>
                  <w:marRight w:val="0"/>
                  <w:marTop w:val="0"/>
                  <w:marBottom w:val="0"/>
                  <w:divBdr>
                    <w:top w:val="none" w:sz="0" w:space="0" w:color="auto"/>
                    <w:left w:val="none" w:sz="0" w:space="0" w:color="auto"/>
                    <w:bottom w:val="none" w:sz="0" w:space="0" w:color="auto"/>
                    <w:right w:val="none" w:sz="0" w:space="0" w:color="auto"/>
                  </w:divBdr>
                </w:div>
                <w:div w:id="294149165">
                  <w:marLeft w:val="0"/>
                  <w:marRight w:val="0"/>
                  <w:marTop w:val="0"/>
                  <w:marBottom w:val="0"/>
                  <w:divBdr>
                    <w:top w:val="none" w:sz="0" w:space="0" w:color="auto"/>
                    <w:left w:val="none" w:sz="0" w:space="0" w:color="auto"/>
                    <w:bottom w:val="none" w:sz="0" w:space="0" w:color="auto"/>
                    <w:right w:val="none" w:sz="0" w:space="0" w:color="auto"/>
                  </w:divBdr>
                </w:div>
                <w:div w:id="294149254">
                  <w:marLeft w:val="0"/>
                  <w:marRight w:val="0"/>
                  <w:marTop w:val="0"/>
                  <w:marBottom w:val="0"/>
                  <w:divBdr>
                    <w:top w:val="none" w:sz="0" w:space="0" w:color="auto"/>
                    <w:left w:val="none" w:sz="0" w:space="0" w:color="auto"/>
                    <w:bottom w:val="none" w:sz="0" w:space="0" w:color="auto"/>
                    <w:right w:val="none" w:sz="0" w:space="0" w:color="auto"/>
                  </w:divBdr>
                </w:div>
                <w:div w:id="294149275">
                  <w:marLeft w:val="0"/>
                  <w:marRight w:val="0"/>
                  <w:marTop w:val="0"/>
                  <w:marBottom w:val="0"/>
                  <w:divBdr>
                    <w:top w:val="none" w:sz="0" w:space="0" w:color="auto"/>
                    <w:left w:val="none" w:sz="0" w:space="0" w:color="auto"/>
                    <w:bottom w:val="none" w:sz="0" w:space="0" w:color="auto"/>
                    <w:right w:val="none" w:sz="0" w:space="0" w:color="auto"/>
                  </w:divBdr>
                </w:div>
                <w:div w:id="294149372">
                  <w:marLeft w:val="0"/>
                  <w:marRight w:val="0"/>
                  <w:marTop w:val="0"/>
                  <w:marBottom w:val="0"/>
                  <w:divBdr>
                    <w:top w:val="none" w:sz="0" w:space="0" w:color="auto"/>
                    <w:left w:val="none" w:sz="0" w:space="0" w:color="auto"/>
                    <w:bottom w:val="none" w:sz="0" w:space="0" w:color="auto"/>
                    <w:right w:val="none" w:sz="0" w:space="0" w:color="auto"/>
                  </w:divBdr>
                </w:div>
                <w:div w:id="294149506">
                  <w:marLeft w:val="0"/>
                  <w:marRight w:val="0"/>
                  <w:marTop w:val="0"/>
                  <w:marBottom w:val="0"/>
                  <w:divBdr>
                    <w:top w:val="none" w:sz="0" w:space="0" w:color="auto"/>
                    <w:left w:val="none" w:sz="0" w:space="0" w:color="auto"/>
                    <w:bottom w:val="none" w:sz="0" w:space="0" w:color="auto"/>
                    <w:right w:val="none" w:sz="0" w:space="0" w:color="auto"/>
                  </w:divBdr>
                </w:div>
                <w:div w:id="294149590">
                  <w:marLeft w:val="0"/>
                  <w:marRight w:val="0"/>
                  <w:marTop w:val="0"/>
                  <w:marBottom w:val="0"/>
                  <w:divBdr>
                    <w:top w:val="none" w:sz="0" w:space="0" w:color="auto"/>
                    <w:left w:val="none" w:sz="0" w:space="0" w:color="auto"/>
                    <w:bottom w:val="none" w:sz="0" w:space="0" w:color="auto"/>
                    <w:right w:val="none" w:sz="0" w:space="0" w:color="auto"/>
                  </w:divBdr>
                </w:div>
                <w:div w:id="294149678">
                  <w:marLeft w:val="0"/>
                  <w:marRight w:val="0"/>
                  <w:marTop w:val="0"/>
                  <w:marBottom w:val="0"/>
                  <w:divBdr>
                    <w:top w:val="none" w:sz="0" w:space="0" w:color="auto"/>
                    <w:left w:val="none" w:sz="0" w:space="0" w:color="auto"/>
                    <w:bottom w:val="none" w:sz="0" w:space="0" w:color="auto"/>
                    <w:right w:val="none" w:sz="0" w:space="0" w:color="auto"/>
                  </w:divBdr>
                </w:div>
                <w:div w:id="294149772">
                  <w:marLeft w:val="0"/>
                  <w:marRight w:val="0"/>
                  <w:marTop w:val="0"/>
                  <w:marBottom w:val="0"/>
                  <w:divBdr>
                    <w:top w:val="none" w:sz="0" w:space="0" w:color="auto"/>
                    <w:left w:val="none" w:sz="0" w:space="0" w:color="auto"/>
                    <w:bottom w:val="none" w:sz="0" w:space="0" w:color="auto"/>
                    <w:right w:val="none" w:sz="0" w:space="0" w:color="auto"/>
                  </w:divBdr>
                </w:div>
                <w:div w:id="294149979">
                  <w:marLeft w:val="0"/>
                  <w:marRight w:val="0"/>
                  <w:marTop w:val="0"/>
                  <w:marBottom w:val="0"/>
                  <w:divBdr>
                    <w:top w:val="none" w:sz="0" w:space="0" w:color="auto"/>
                    <w:left w:val="none" w:sz="0" w:space="0" w:color="auto"/>
                    <w:bottom w:val="none" w:sz="0" w:space="0" w:color="auto"/>
                    <w:right w:val="none" w:sz="0" w:space="0" w:color="auto"/>
                  </w:divBdr>
                </w:div>
                <w:div w:id="294149998">
                  <w:marLeft w:val="0"/>
                  <w:marRight w:val="0"/>
                  <w:marTop w:val="0"/>
                  <w:marBottom w:val="0"/>
                  <w:divBdr>
                    <w:top w:val="none" w:sz="0" w:space="0" w:color="auto"/>
                    <w:left w:val="none" w:sz="0" w:space="0" w:color="auto"/>
                    <w:bottom w:val="none" w:sz="0" w:space="0" w:color="auto"/>
                    <w:right w:val="none" w:sz="0" w:space="0" w:color="auto"/>
                  </w:divBdr>
                </w:div>
                <w:div w:id="294150088">
                  <w:marLeft w:val="0"/>
                  <w:marRight w:val="0"/>
                  <w:marTop w:val="0"/>
                  <w:marBottom w:val="0"/>
                  <w:divBdr>
                    <w:top w:val="none" w:sz="0" w:space="0" w:color="auto"/>
                    <w:left w:val="none" w:sz="0" w:space="0" w:color="auto"/>
                    <w:bottom w:val="none" w:sz="0" w:space="0" w:color="auto"/>
                    <w:right w:val="none" w:sz="0" w:space="0" w:color="auto"/>
                  </w:divBdr>
                </w:div>
                <w:div w:id="294150294">
                  <w:marLeft w:val="0"/>
                  <w:marRight w:val="0"/>
                  <w:marTop w:val="0"/>
                  <w:marBottom w:val="0"/>
                  <w:divBdr>
                    <w:top w:val="none" w:sz="0" w:space="0" w:color="auto"/>
                    <w:left w:val="none" w:sz="0" w:space="0" w:color="auto"/>
                    <w:bottom w:val="none" w:sz="0" w:space="0" w:color="auto"/>
                    <w:right w:val="none" w:sz="0" w:space="0" w:color="auto"/>
                  </w:divBdr>
                </w:div>
                <w:div w:id="294150330">
                  <w:marLeft w:val="0"/>
                  <w:marRight w:val="0"/>
                  <w:marTop w:val="0"/>
                  <w:marBottom w:val="0"/>
                  <w:divBdr>
                    <w:top w:val="none" w:sz="0" w:space="0" w:color="auto"/>
                    <w:left w:val="none" w:sz="0" w:space="0" w:color="auto"/>
                    <w:bottom w:val="none" w:sz="0" w:space="0" w:color="auto"/>
                    <w:right w:val="none" w:sz="0" w:space="0" w:color="auto"/>
                  </w:divBdr>
                </w:div>
                <w:div w:id="294150496">
                  <w:marLeft w:val="0"/>
                  <w:marRight w:val="0"/>
                  <w:marTop w:val="0"/>
                  <w:marBottom w:val="0"/>
                  <w:divBdr>
                    <w:top w:val="none" w:sz="0" w:space="0" w:color="auto"/>
                    <w:left w:val="none" w:sz="0" w:space="0" w:color="auto"/>
                    <w:bottom w:val="none" w:sz="0" w:space="0" w:color="auto"/>
                    <w:right w:val="none" w:sz="0" w:space="0" w:color="auto"/>
                  </w:divBdr>
                </w:div>
                <w:div w:id="294150502">
                  <w:marLeft w:val="0"/>
                  <w:marRight w:val="0"/>
                  <w:marTop w:val="0"/>
                  <w:marBottom w:val="0"/>
                  <w:divBdr>
                    <w:top w:val="none" w:sz="0" w:space="0" w:color="auto"/>
                    <w:left w:val="none" w:sz="0" w:space="0" w:color="auto"/>
                    <w:bottom w:val="none" w:sz="0" w:space="0" w:color="auto"/>
                    <w:right w:val="none" w:sz="0" w:space="0" w:color="auto"/>
                  </w:divBdr>
                </w:div>
                <w:div w:id="294150591">
                  <w:marLeft w:val="0"/>
                  <w:marRight w:val="0"/>
                  <w:marTop w:val="0"/>
                  <w:marBottom w:val="0"/>
                  <w:divBdr>
                    <w:top w:val="none" w:sz="0" w:space="0" w:color="auto"/>
                    <w:left w:val="none" w:sz="0" w:space="0" w:color="auto"/>
                    <w:bottom w:val="none" w:sz="0" w:space="0" w:color="auto"/>
                    <w:right w:val="none" w:sz="0" w:space="0" w:color="auto"/>
                  </w:divBdr>
                </w:div>
                <w:div w:id="294150729">
                  <w:marLeft w:val="0"/>
                  <w:marRight w:val="0"/>
                  <w:marTop w:val="0"/>
                  <w:marBottom w:val="0"/>
                  <w:divBdr>
                    <w:top w:val="none" w:sz="0" w:space="0" w:color="auto"/>
                    <w:left w:val="none" w:sz="0" w:space="0" w:color="auto"/>
                    <w:bottom w:val="none" w:sz="0" w:space="0" w:color="auto"/>
                    <w:right w:val="none" w:sz="0" w:space="0" w:color="auto"/>
                  </w:divBdr>
                </w:div>
                <w:div w:id="294150897">
                  <w:marLeft w:val="0"/>
                  <w:marRight w:val="0"/>
                  <w:marTop w:val="0"/>
                  <w:marBottom w:val="0"/>
                  <w:divBdr>
                    <w:top w:val="none" w:sz="0" w:space="0" w:color="auto"/>
                    <w:left w:val="none" w:sz="0" w:space="0" w:color="auto"/>
                    <w:bottom w:val="none" w:sz="0" w:space="0" w:color="auto"/>
                    <w:right w:val="none" w:sz="0" w:space="0" w:color="auto"/>
                  </w:divBdr>
                </w:div>
                <w:div w:id="294150931">
                  <w:marLeft w:val="0"/>
                  <w:marRight w:val="0"/>
                  <w:marTop w:val="0"/>
                  <w:marBottom w:val="0"/>
                  <w:divBdr>
                    <w:top w:val="none" w:sz="0" w:space="0" w:color="auto"/>
                    <w:left w:val="none" w:sz="0" w:space="0" w:color="auto"/>
                    <w:bottom w:val="none" w:sz="0" w:space="0" w:color="auto"/>
                    <w:right w:val="none" w:sz="0" w:space="0" w:color="auto"/>
                  </w:divBdr>
                </w:div>
                <w:div w:id="294151054">
                  <w:marLeft w:val="0"/>
                  <w:marRight w:val="0"/>
                  <w:marTop w:val="0"/>
                  <w:marBottom w:val="0"/>
                  <w:divBdr>
                    <w:top w:val="none" w:sz="0" w:space="0" w:color="auto"/>
                    <w:left w:val="none" w:sz="0" w:space="0" w:color="auto"/>
                    <w:bottom w:val="none" w:sz="0" w:space="0" w:color="auto"/>
                    <w:right w:val="none" w:sz="0" w:space="0" w:color="auto"/>
                  </w:divBdr>
                </w:div>
                <w:div w:id="294151162">
                  <w:marLeft w:val="0"/>
                  <w:marRight w:val="0"/>
                  <w:marTop w:val="0"/>
                  <w:marBottom w:val="0"/>
                  <w:divBdr>
                    <w:top w:val="none" w:sz="0" w:space="0" w:color="auto"/>
                    <w:left w:val="none" w:sz="0" w:space="0" w:color="auto"/>
                    <w:bottom w:val="none" w:sz="0" w:space="0" w:color="auto"/>
                    <w:right w:val="none" w:sz="0" w:space="0" w:color="auto"/>
                  </w:divBdr>
                </w:div>
                <w:div w:id="294151300">
                  <w:marLeft w:val="0"/>
                  <w:marRight w:val="0"/>
                  <w:marTop w:val="0"/>
                  <w:marBottom w:val="0"/>
                  <w:divBdr>
                    <w:top w:val="none" w:sz="0" w:space="0" w:color="auto"/>
                    <w:left w:val="none" w:sz="0" w:space="0" w:color="auto"/>
                    <w:bottom w:val="none" w:sz="0" w:space="0" w:color="auto"/>
                    <w:right w:val="none" w:sz="0" w:space="0" w:color="auto"/>
                  </w:divBdr>
                </w:div>
                <w:div w:id="294151490">
                  <w:marLeft w:val="0"/>
                  <w:marRight w:val="0"/>
                  <w:marTop w:val="0"/>
                  <w:marBottom w:val="0"/>
                  <w:divBdr>
                    <w:top w:val="none" w:sz="0" w:space="0" w:color="auto"/>
                    <w:left w:val="none" w:sz="0" w:space="0" w:color="auto"/>
                    <w:bottom w:val="none" w:sz="0" w:space="0" w:color="auto"/>
                    <w:right w:val="none" w:sz="0" w:space="0" w:color="auto"/>
                  </w:divBdr>
                </w:div>
                <w:div w:id="294151662">
                  <w:marLeft w:val="0"/>
                  <w:marRight w:val="0"/>
                  <w:marTop w:val="0"/>
                  <w:marBottom w:val="0"/>
                  <w:divBdr>
                    <w:top w:val="none" w:sz="0" w:space="0" w:color="auto"/>
                    <w:left w:val="none" w:sz="0" w:space="0" w:color="auto"/>
                    <w:bottom w:val="none" w:sz="0" w:space="0" w:color="auto"/>
                    <w:right w:val="none" w:sz="0" w:space="0" w:color="auto"/>
                  </w:divBdr>
                </w:div>
                <w:div w:id="294152429">
                  <w:marLeft w:val="0"/>
                  <w:marRight w:val="0"/>
                  <w:marTop w:val="0"/>
                  <w:marBottom w:val="0"/>
                  <w:divBdr>
                    <w:top w:val="none" w:sz="0" w:space="0" w:color="auto"/>
                    <w:left w:val="none" w:sz="0" w:space="0" w:color="auto"/>
                    <w:bottom w:val="none" w:sz="0" w:space="0" w:color="auto"/>
                    <w:right w:val="none" w:sz="0" w:space="0" w:color="auto"/>
                  </w:divBdr>
                </w:div>
                <w:div w:id="294152842">
                  <w:marLeft w:val="0"/>
                  <w:marRight w:val="0"/>
                  <w:marTop w:val="0"/>
                  <w:marBottom w:val="0"/>
                  <w:divBdr>
                    <w:top w:val="none" w:sz="0" w:space="0" w:color="auto"/>
                    <w:left w:val="none" w:sz="0" w:space="0" w:color="auto"/>
                    <w:bottom w:val="none" w:sz="0" w:space="0" w:color="auto"/>
                    <w:right w:val="none" w:sz="0" w:space="0" w:color="auto"/>
                  </w:divBdr>
                </w:div>
                <w:div w:id="294152985">
                  <w:marLeft w:val="0"/>
                  <w:marRight w:val="0"/>
                  <w:marTop w:val="0"/>
                  <w:marBottom w:val="0"/>
                  <w:divBdr>
                    <w:top w:val="none" w:sz="0" w:space="0" w:color="auto"/>
                    <w:left w:val="none" w:sz="0" w:space="0" w:color="auto"/>
                    <w:bottom w:val="none" w:sz="0" w:space="0" w:color="auto"/>
                    <w:right w:val="none" w:sz="0" w:space="0" w:color="auto"/>
                  </w:divBdr>
                </w:div>
                <w:div w:id="294153259">
                  <w:marLeft w:val="0"/>
                  <w:marRight w:val="0"/>
                  <w:marTop w:val="0"/>
                  <w:marBottom w:val="0"/>
                  <w:divBdr>
                    <w:top w:val="none" w:sz="0" w:space="0" w:color="auto"/>
                    <w:left w:val="none" w:sz="0" w:space="0" w:color="auto"/>
                    <w:bottom w:val="none" w:sz="0" w:space="0" w:color="auto"/>
                    <w:right w:val="none" w:sz="0" w:space="0" w:color="auto"/>
                  </w:divBdr>
                </w:div>
                <w:div w:id="294153911">
                  <w:marLeft w:val="0"/>
                  <w:marRight w:val="0"/>
                  <w:marTop w:val="0"/>
                  <w:marBottom w:val="0"/>
                  <w:divBdr>
                    <w:top w:val="none" w:sz="0" w:space="0" w:color="auto"/>
                    <w:left w:val="none" w:sz="0" w:space="0" w:color="auto"/>
                    <w:bottom w:val="none" w:sz="0" w:space="0" w:color="auto"/>
                    <w:right w:val="none" w:sz="0" w:space="0" w:color="auto"/>
                  </w:divBdr>
                </w:div>
                <w:div w:id="294154035">
                  <w:marLeft w:val="0"/>
                  <w:marRight w:val="0"/>
                  <w:marTop w:val="0"/>
                  <w:marBottom w:val="0"/>
                  <w:divBdr>
                    <w:top w:val="none" w:sz="0" w:space="0" w:color="auto"/>
                    <w:left w:val="none" w:sz="0" w:space="0" w:color="auto"/>
                    <w:bottom w:val="none" w:sz="0" w:space="0" w:color="auto"/>
                    <w:right w:val="none" w:sz="0" w:space="0" w:color="auto"/>
                  </w:divBdr>
                </w:div>
                <w:div w:id="294154197">
                  <w:marLeft w:val="0"/>
                  <w:marRight w:val="0"/>
                  <w:marTop w:val="0"/>
                  <w:marBottom w:val="0"/>
                  <w:divBdr>
                    <w:top w:val="none" w:sz="0" w:space="0" w:color="auto"/>
                    <w:left w:val="none" w:sz="0" w:space="0" w:color="auto"/>
                    <w:bottom w:val="none" w:sz="0" w:space="0" w:color="auto"/>
                    <w:right w:val="none" w:sz="0" w:space="0" w:color="auto"/>
                  </w:divBdr>
                </w:div>
                <w:div w:id="294154266">
                  <w:marLeft w:val="0"/>
                  <w:marRight w:val="0"/>
                  <w:marTop w:val="0"/>
                  <w:marBottom w:val="0"/>
                  <w:divBdr>
                    <w:top w:val="none" w:sz="0" w:space="0" w:color="auto"/>
                    <w:left w:val="none" w:sz="0" w:space="0" w:color="auto"/>
                    <w:bottom w:val="none" w:sz="0" w:space="0" w:color="auto"/>
                    <w:right w:val="none" w:sz="0" w:space="0" w:color="auto"/>
                  </w:divBdr>
                </w:div>
                <w:div w:id="294154609">
                  <w:marLeft w:val="0"/>
                  <w:marRight w:val="0"/>
                  <w:marTop w:val="0"/>
                  <w:marBottom w:val="0"/>
                  <w:divBdr>
                    <w:top w:val="none" w:sz="0" w:space="0" w:color="auto"/>
                    <w:left w:val="none" w:sz="0" w:space="0" w:color="auto"/>
                    <w:bottom w:val="none" w:sz="0" w:space="0" w:color="auto"/>
                    <w:right w:val="none" w:sz="0" w:space="0" w:color="auto"/>
                  </w:divBdr>
                </w:div>
                <w:div w:id="294154794">
                  <w:marLeft w:val="0"/>
                  <w:marRight w:val="0"/>
                  <w:marTop w:val="0"/>
                  <w:marBottom w:val="0"/>
                  <w:divBdr>
                    <w:top w:val="none" w:sz="0" w:space="0" w:color="auto"/>
                    <w:left w:val="none" w:sz="0" w:space="0" w:color="auto"/>
                    <w:bottom w:val="none" w:sz="0" w:space="0" w:color="auto"/>
                    <w:right w:val="none" w:sz="0" w:space="0" w:color="auto"/>
                  </w:divBdr>
                </w:div>
                <w:div w:id="294154853">
                  <w:marLeft w:val="0"/>
                  <w:marRight w:val="0"/>
                  <w:marTop w:val="0"/>
                  <w:marBottom w:val="0"/>
                  <w:divBdr>
                    <w:top w:val="none" w:sz="0" w:space="0" w:color="auto"/>
                    <w:left w:val="none" w:sz="0" w:space="0" w:color="auto"/>
                    <w:bottom w:val="none" w:sz="0" w:space="0" w:color="auto"/>
                    <w:right w:val="none" w:sz="0" w:space="0" w:color="auto"/>
                  </w:divBdr>
                </w:div>
                <w:div w:id="294155028">
                  <w:marLeft w:val="0"/>
                  <w:marRight w:val="0"/>
                  <w:marTop w:val="0"/>
                  <w:marBottom w:val="0"/>
                  <w:divBdr>
                    <w:top w:val="none" w:sz="0" w:space="0" w:color="auto"/>
                    <w:left w:val="none" w:sz="0" w:space="0" w:color="auto"/>
                    <w:bottom w:val="none" w:sz="0" w:space="0" w:color="auto"/>
                    <w:right w:val="none" w:sz="0" w:space="0" w:color="auto"/>
                  </w:divBdr>
                </w:div>
                <w:div w:id="294155109">
                  <w:marLeft w:val="0"/>
                  <w:marRight w:val="0"/>
                  <w:marTop w:val="0"/>
                  <w:marBottom w:val="0"/>
                  <w:divBdr>
                    <w:top w:val="none" w:sz="0" w:space="0" w:color="auto"/>
                    <w:left w:val="none" w:sz="0" w:space="0" w:color="auto"/>
                    <w:bottom w:val="none" w:sz="0" w:space="0" w:color="auto"/>
                    <w:right w:val="none" w:sz="0" w:space="0" w:color="auto"/>
                  </w:divBdr>
                </w:div>
                <w:div w:id="294155346">
                  <w:marLeft w:val="0"/>
                  <w:marRight w:val="0"/>
                  <w:marTop w:val="0"/>
                  <w:marBottom w:val="0"/>
                  <w:divBdr>
                    <w:top w:val="none" w:sz="0" w:space="0" w:color="auto"/>
                    <w:left w:val="none" w:sz="0" w:space="0" w:color="auto"/>
                    <w:bottom w:val="none" w:sz="0" w:space="0" w:color="auto"/>
                    <w:right w:val="none" w:sz="0" w:space="0" w:color="auto"/>
                  </w:divBdr>
                </w:div>
                <w:div w:id="294155747">
                  <w:marLeft w:val="0"/>
                  <w:marRight w:val="0"/>
                  <w:marTop w:val="0"/>
                  <w:marBottom w:val="0"/>
                  <w:divBdr>
                    <w:top w:val="none" w:sz="0" w:space="0" w:color="auto"/>
                    <w:left w:val="none" w:sz="0" w:space="0" w:color="auto"/>
                    <w:bottom w:val="none" w:sz="0" w:space="0" w:color="auto"/>
                    <w:right w:val="none" w:sz="0" w:space="0" w:color="auto"/>
                  </w:divBdr>
                </w:div>
                <w:div w:id="294155778">
                  <w:marLeft w:val="0"/>
                  <w:marRight w:val="0"/>
                  <w:marTop w:val="0"/>
                  <w:marBottom w:val="0"/>
                  <w:divBdr>
                    <w:top w:val="none" w:sz="0" w:space="0" w:color="auto"/>
                    <w:left w:val="none" w:sz="0" w:space="0" w:color="auto"/>
                    <w:bottom w:val="none" w:sz="0" w:space="0" w:color="auto"/>
                    <w:right w:val="none" w:sz="0" w:space="0" w:color="auto"/>
                  </w:divBdr>
                </w:div>
                <w:div w:id="294155878">
                  <w:marLeft w:val="0"/>
                  <w:marRight w:val="0"/>
                  <w:marTop w:val="0"/>
                  <w:marBottom w:val="0"/>
                  <w:divBdr>
                    <w:top w:val="none" w:sz="0" w:space="0" w:color="auto"/>
                    <w:left w:val="none" w:sz="0" w:space="0" w:color="auto"/>
                    <w:bottom w:val="none" w:sz="0" w:space="0" w:color="auto"/>
                    <w:right w:val="none" w:sz="0" w:space="0" w:color="auto"/>
                  </w:divBdr>
                </w:div>
                <w:div w:id="294155884">
                  <w:marLeft w:val="0"/>
                  <w:marRight w:val="0"/>
                  <w:marTop w:val="0"/>
                  <w:marBottom w:val="0"/>
                  <w:divBdr>
                    <w:top w:val="none" w:sz="0" w:space="0" w:color="auto"/>
                    <w:left w:val="none" w:sz="0" w:space="0" w:color="auto"/>
                    <w:bottom w:val="none" w:sz="0" w:space="0" w:color="auto"/>
                    <w:right w:val="none" w:sz="0" w:space="0" w:color="auto"/>
                  </w:divBdr>
                </w:div>
                <w:div w:id="294155985">
                  <w:marLeft w:val="0"/>
                  <w:marRight w:val="0"/>
                  <w:marTop w:val="0"/>
                  <w:marBottom w:val="0"/>
                  <w:divBdr>
                    <w:top w:val="none" w:sz="0" w:space="0" w:color="auto"/>
                    <w:left w:val="none" w:sz="0" w:space="0" w:color="auto"/>
                    <w:bottom w:val="none" w:sz="0" w:space="0" w:color="auto"/>
                    <w:right w:val="none" w:sz="0" w:space="0" w:color="auto"/>
                  </w:divBdr>
                </w:div>
                <w:div w:id="294156160">
                  <w:marLeft w:val="0"/>
                  <w:marRight w:val="0"/>
                  <w:marTop w:val="0"/>
                  <w:marBottom w:val="0"/>
                  <w:divBdr>
                    <w:top w:val="none" w:sz="0" w:space="0" w:color="auto"/>
                    <w:left w:val="none" w:sz="0" w:space="0" w:color="auto"/>
                    <w:bottom w:val="none" w:sz="0" w:space="0" w:color="auto"/>
                    <w:right w:val="none" w:sz="0" w:space="0" w:color="auto"/>
                  </w:divBdr>
                </w:div>
                <w:div w:id="294156357">
                  <w:marLeft w:val="0"/>
                  <w:marRight w:val="0"/>
                  <w:marTop w:val="0"/>
                  <w:marBottom w:val="0"/>
                  <w:divBdr>
                    <w:top w:val="none" w:sz="0" w:space="0" w:color="auto"/>
                    <w:left w:val="none" w:sz="0" w:space="0" w:color="auto"/>
                    <w:bottom w:val="none" w:sz="0" w:space="0" w:color="auto"/>
                    <w:right w:val="none" w:sz="0" w:space="0" w:color="auto"/>
                  </w:divBdr>
                </w:div>
                <w:div w:id="294156358">
                  <w:marLeft w:val="0"/>
                  <w:marRight w:val="0"/>
                  <w:marTop w:val="0"/>
                  <w:marBottom w:val="0"/>
                  <w:divBdr>
                    <w:top w:val="none" w:sz="0" w:space="0" w:color="auto"/>
                    <w:left w:val="none" w:sz="0" w:space="0" w:color="auto"/>
                    <w:bottom w:val="none" w:sz="0" w:space="0" w:color="auto"/>
                    <w:right w:val="none" w:sz="0" w:space="0" w:color="auto"/>
                  </w:divBdr>
                </w:div>
                <w:div w:id="294156452">
                  <w:marLeft w:val="0"/>
                  <w:marRight w:val="0"/>
                  <w:marTop w:val="0"/>
                  <w:marBottom w:val="0"/>
                  <w:divBdr>
                    <w:top w:val="none" w:sz="0" w:space="0" w:color="auto"/>
                    <w:left w:val="none" w:sz="0" w:space="0" w:color="auto"/>
                    <w:bottom w:val="none" w:sz="0" w:space="0" w:color="auto"/>
                    <w:right w:val="none" w:sz="0" w:space="0" w:color="auto"/>
                  </w:divBdr>
                </w:div>
                <w:div w:id="294156816">
                  <w:marLeft w:val="0"/>
                  <w:marRight w:val="0"/>
                  <w:marTop w:val="0"/>
                  <w:marBottom w:val="0"/>
                  <w:divBdr>
                    <w:top w:val="none" w:sz="0" w:space="0" w:color="auto"/>
                    <w:left w:val="none" w:sz="0" w:space="0" w:color="auto"/>
                    <w:bottom w:val="none" w:sz="0" w:space="0" w:color="auto"/>
                    <w:right w:val="none" w:sz="0" w:space="0" w:color="auto"/>
                  </w:divBdr>
                </w:div>
                <w:div w:id="294156833">
                  <w:marLeft w:val="0"/>
                  <w:marRight w:val="0"/>
                  <w:marTop w:val="0"/>
                  <w:marBottom w:val="0"/>
                  <w:divBdr>
                    <w:top w:val="none" w:sz="0" w:space="0" w:color="auto"/>
                    <w:left w:val="none" w:sz="0" w:space="0" w:color="auto"/>
                    <w:bottom w:val="none" w:sz="0" w:space="0" w:color="auto"/>
                    <w:right w:val="none" w:sz="0" w:space="0" w:color="auto"/>
                  </w:divBdr>
                </w:div>
                <w:div w:id="2941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6479">
          <w:marLeft w:val="0"/>
          <w:marRight w:val="0"/>
          <w:marTop w:val="0"/>
          <w:marBottom w:val="0"/>
          <w:divBdr>
            <w:top w:val="none" w:sz="0" w:space="0" w:color="auto"/>
            <w:left w:val="none" w:sz="0" w:space="0" w:color="auto"/>
            <w:bottom w:val="none" w:sz="0" w:space="0" w:color="auto"/>
            <w:right w:val="none" w:sz="0" w:space="0" w:color="auto"/>
          </w:divBdr>
        </w:div>
      </w:divsChild>
    </w:div>
    <w:div w:id="294149465">
      <w:marLeft w:val="0"/>
      <w:marRight w:val="0"/>
      <w:marTop w:val="0"/>
      <w:marBottom w:val="0"/>
      <w:divBdr>
        <w:top w:val="none" w:sz="0" w:space="0" w:color="auto"/>
        <w:left w:val="none" w:sz="0" w:space="0" w:color="auto"/>
        <w:bottom w:val="none" w:sz="0" w:space="0" w:color="auto"/>
        <w:right w:val="none" w:sz="0" w:space="0" w:color="auto"/>
      </w:divBdr>
    </w:div>
    <w:div w:id="294149488">
      <w:marLeft w:val="0"/>
      <w:marRight w:val="0"/>
      <w:marTop w:val="0"/>
      <w:marBottom w:val="0"/>
      <w:divBdr>
        <w:top w:val="none" w:sz="0" w:space="0" w:color="auto"/>
        <w:left w:val="none" w:sz="0" w:space="0" w:color="auto"/>
        <w:bottom w:val="none" w:sz="0" w:space="0" w:color="auto"/>
        <w:right w:val="none" w:sz="0" w:space="0" w:color="auto"/>
      </w:divBdr>
      <w:divsChild>
        <w:div w:id="294145994">
          <w:marLeft w:val="0"/>
          <w:marRight w:val="0"/>
          <w:marTop w:val="0"/>
          <w:marBottom w:val="0"/>
          <w:divBdr>
            <w:top w:val="none" w:sz="0" w:space="0" w:color="auto"/>
            <w:left w:val="none" w:sz="0" w:space="0" w:color="auto"/>
            <w:bottom w:val="none" w:sz="0" w:space="0" w:color="auto"/>
            <w:right w:val="none" w:sz="0" w:space="0" w:color="auto"/>
          </w:divBdr>
        </w:div>
        <w:div w:id="294146875">
          <w:marLeft w:val="0"/>
          <w:marRight w:val="0"/>
          <w:marTop w:val="0"/>
          <w:marBottom w:val="0"/>
          <w:divBdr>
            <w:top w:val="none" w:sz="0" w:space="0" w:color="auto"/>
            <w:left w:val="none" w:sz="0" w:space="0" w:color="auto"/>
            <w:bottom w:val="none" w:sz="0" w:space="0" w:color="auto"/>
            <w:right w:val="none" w:sz="0" w:space="0" w:color="auto"/>
          </w:divBdr>
          <w:divsChild>
            <w:div w:id="294144459">
              <w:marLeft w:val="0"/>
              <w:marRight w:val="0"/>
              <w:marTop w:val="0"/>
              <w:marBottom w:val="0"/>
              <w:divBdr>
                <w:top w:val="none" w:sz="0" w:space="0" w:color="auto"/>
                <w:left w:val="none" w:sz="0" w:space="0" w:color="auto"/>
                <w:bottom w:val="none" w:sz="0" w:space="0" w:color="auto"/>
                <w:right w:val="none" w:sz="0" w:space="0" w:color="auto"/>
              </w:divBdr>
              <w:divsChild>
                <w:div w:id="2941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5608">
          <w:marLeft w:val="0"/>
          <w:marRight w:val="0"/>
          <w:marTop w:val="0"/>
          <w:marBottom w:val="0"/>
          <w:divBdr>
            <w:top w:val="none" w:sz="0" w:space="0" w:color="auto"/>
            <w:left w:val="none" w:sz="0" w:space="0" w:color="auto"/>
            <w:bottom w:val="none" w:sz="0" w:space="0" w:color="auto"/>
            <w:right w:val="none" w:sz="0" w:space="0" w:color="auto"/>
          </w:divBdr>
          <w:divsChild>
            <w:div w:id="294141197">
              <w:marLeft w:val="0"/>
              <w:marRight w:val="0"/>
              <w:marTop w:val="0"/>
              <w:marBottom w:val="0"/>
              <w:divBdr>
                <w:top w:val="none" w:sz="0" w:space="0" w:color="auto"/>
                <w:left w:val="none" w:sz="0" w:space="0" w:color="auto"/>
                <w:bottom w:val="none" w:sz="0" w:space="0" w:color="auto"/>
                <w:right w:val="none" w:sz="0" w:space="0" w:color="auto"/>
              </w:divBdr>
              <w:divsChild>
                <w:div w:id="294138056">
                  <w:marLeft w:val="0"/>
                  <w:marRight w:val="0"/>
                  <w:marTop w:val="0"/>
                  <w:marBottom w:val="0"/>
                  <w:divBdr>
                    <w:top w:val="none" w:sz="0" w:space="0" w:color="auto"/>
                    <w:left w:val="none" w:sz="0" w:space="0" w:color="auto"/>
                    <w:bottom w:val="none" w:sz="0" w:space="0" w:color="auto"/>
                    <w:right w:val="none" w:sz="0" w:space="0" w:color="auto"/>
                  </w:divBdr>
                </w:div>
                <w:div w:id="294138155">
                  <w:marLeft w:val="0"/>
                  <w:marRight w:val="0"/>
                  <w:marTop w:val="0"/>
                  <w:marBottom w:val="0"/>
                  <w:divBdr>
                    <w:top w:val="none" w:sz="0" w:space="0" w:color="auto"/>
                    <w:left w:val="none" w:sz="0" w:space="0" w:color="auto"/>
                    <w:bottom w:val="none" w:sz="0" w:space="0" w:color="auto"/>
                    <w:right w:val="none" w:sz="0" w:space="0" w:color="auto"/>
                  </w:divBdr>
                </w:div>
                <w:div w:id="294138200">
                  <w:marLeft w:val="0"/>
                  <w:marRight w:val="0"/>
                  <w:marTop w:val="0"/>
                  <w:marBottom w:val="0"/>
                  <w:divBdr>
                    <w:top w:val="none" w:sz="0" w:space="0" w:color="auto"/>
                    <w:left w:val="none" w:sz="0" w:space="0" w:color="auto"/>
                    <w:bottom w:val="none" w:sz="0" w:space="0" w:color="auto"/>
                    <w:right w:val="none" w:sz="0" w:space="0" w:color="auto"/>
                  </w:divBdr>
                </w:div>
                <w:div w:id="294138372">
                  <w:marLeft w:val="0"/>
                  <w:marRight w:val="0"/>
                  <w:marTop w:val="0"/>
                  <w:marBottom w:val="0"/>
                  <w:divBdr>
                    <w:top w:val="none" w:sz="0" w:space="0" w:color="auto"/>
                    <w:left w:val="none" w:sz="0" w:space="0" w:color="auto"/>
                    <w:bottom w:val="none" w:sz="0" w:space="0" w:color="auto"/>
                    <w:right w:val="none" w:sz="0" w:space="0" w:color="auto"/>
                  </w:divBdr>
                </w:div>
                <w:div w:id="294138705">
                  <w:marLeft w:val="0"/>
                  <w:marRight w:val="0"/>
                  <w:marTop w:val="0"/>
                  <w:marBottom w:val="0"/>
                  <w:divBdr>
                    <w:top w:val="none" w:sz="0" w:space="0" w:color="auto"/>
                    <w:left w:val="none" w:sz="0" w:space="0" w:color="auto"/>
                    <w:bottom w:val="none" w:sz="0" w:space="0" w:color="auto"/>
                    <w:right w:val="none" w:sz="0" w:space="0" w:color="auto"/>
                  </w:divBdr>
                </w:div>
                <w:div w:id="294138749">
                  <w:marLeft w:val="0"/>
                  <w:marRight w:val="0"/>
                  <w:marTop w:val="0"/>
                  <w:marBottom w:val="0"/>
                  <w:divBdr>
                    <w:top w:val="none" w:sz="0" w:space="0" w:color="auto"/>
                    <w:left w:val="none" w:sz="0" w:space="0" w:color="auto"/>
                    <w:bottom w:val="none" w:sz="0" w:space="0" w:color="auto"/>
                    <w:right w:val="none" w:sz="0" w:space="0" w:color="auto"/>
                  </w:divBdr>
                </w:div>
                <w:div w:id="294139085">
                  <w:marLeft w:val="0"/>
                  <w:marRight w:val="0"/>
                  <w:marTop w:val="0"/>
                  <w:marBottom w:val="0"/>
                  <w:divBdr>
                    <w:top w:val="none" w:sz="0" w:space="0" w:color="auto"/>
                    <w:left w:val="none" w:sz="0" w:space="0" w:color="auto"/>
                    <w:bottom w:val="none" w:sz="0" w:space="0" w:color="auto"/>
                    <w:right w:val="none" w:sz="0" w:space="0" w:color="auto"/>
                  </w:divBdr>
                </w:div>
                <w:div w:id="294139145">
                  <w:marLeft w:val="0"/>
                  <w:marRight w:val="0"/>
                  <w:marTop w:val="0"/>
                  <w:marBottom w:val="0"/>
                  <w:divBdr>
                    <w:top w:val="none" w:sz="0" w:space="0" w:color="auto"/>
                    <w:left w:val="none" w:sz="0" w:space="0" w:color="auto"/>
                    <w:bottom w:val="none" w:sz="0" w:space="0" w:color="auto"/>
                    <w:right w:val="none" w:sz="0" w:space="0" w:color="auto"/>
                  </w:divBdr>
                </w:div>
                <w:div w:id="294139424">
                  <w:marLeft w:val="0"/>
                  <w:marRight w:val="0"/>
                  <w:marTop w:val="0"/>
                  <w:marBottom w:val="0"/>
                  <w:divBdr>
                    <w:top w:val="none" w:sz="0" w:space="0" w:color="auto"/>
                    <w:left w:val="none" w:sz="0" w:space="0" w:color="auto"/>
                    <w:bottom w:val="none" w:sz="0" w:space="0" w:color="auto"/>
                    <w:right w:val="none" w:sz="0" w:space="0" w:color="auto"/>
                  </w:divBdr>
                </w:div>
                <w:div w:id="294139650">
                  <w:marLeft w:val="0"/>
                  <w:marRight w:val="0"/>
                  <w:marTop w:val="0"/>
                  <w:marBottom w:val="0"/>
                  <w:divBdr>
                    <w:top w:val="none" w:sz="0" w:space="0" w:color="auto"/>
                    <w:left w:val="none" w:sz="0" w:space="0" w:color="auto"/>
                    <w:bottom w:val="none" w:sz="0" w:space="0" w:color="auto"/>
                    <w:right w:val="none" w:sz="0" w:space="0" w:color="auto"/>
                  </w:divBdr>
                </w:div>
                <w:div w:id="294139651">
                  <w:marLeft w:val="0"/>
                  <w:marRight w:val="0"/>
                  <w:marTop w:val="0"/>
                  <w:marBottom w:val="0"/>
                  <w:divBdr>
                    <w:top w:val="none" w:sz="0" w:space="0" w:color="auto"/>
                    <w:left w:val="none" w:sz="0" w:space="0" w:color="auto"/>
                    <w:bottom w:val="none" w:sz="0" w:space="0" w:color="auto"/>
                    <w:right w:val="none" w:sz="0" w:space="0" w:color="auto"/>
                  </w:divBdr>
                </w:div>
                <w:div w:id="294139774">
                  <w:marLeft w:val="0"/>
                  <w:marRight w:val="0"/>
                  <w:marTop w:val="0"/>
                  <w:marBottom w:val="0"/>
                  <w:divBdr>
                    <w:top w:val="none" w:sz="0" w:space="0" w:color="auto"/>
                    <w:left w:val="none" w:sz="0" w:space="0" w:color="auto"/>
                    <w:bottom w:val="none" w:sz="0" w:space="0" w:color="auto"/>
                    <w:right w:val="none" w:sz="0" w:space="0" w:color="auto"/>
                  </w:divBdr>
                </w:div>
                <w:div w:id="294140142">
                  <w:marLeft w:val="0"/>
                  <w:marRight w:val="0"/>
                  <w:marTop w:val="0"/>
                  <w:marBottom w:val="0"/>
                  <w:divBdr>
                    <w:top w:val="none" w:sz="0" w:space="0" w:color="auto"/>
                    <w:left w:val="none" w:sz="0" w:space="0" w:color="auto"/>
                    <w:bottom w:val="none" w:sz="0" w:space="0" w:color="auto"/>
                    <w:right w:val="none" w:sz="0" w:space="0" w:color="auto"/>
                  </w:divBdr>
                </w:div>
                <w:div w:id="294140217">
                  <w:marLeft w:val="0"/>
                  <w:marRight w:val="0"/>
                  <w:marTop w:val="0"/>
                  <w:marBottom w:val="0"/>
                  <w:divBdr>
                    <w:top w:val="none" w:sz="0" w:space="0" w:color="auto"/>
                    <w:left w:val="none" w:sz="0" w:space="0" w:color="auto"/>
                    <w:bottom w:val="none" w:sz="0" w:space="0" w:color="auto"/>
                    <w:right w:val="none" w:sz="0" w:space="0" w:color="auto"/>
                  </w:divBdr>
                </w:div>
                <w:div w:id="294140835">
                  <w:marLeft w:val="0"/>
                  <w:marRight w:val="0"/>
                  <w:marTop w:val="0"/>
                  <w:marBottom w:val="0"/>
                  <w:divBdr>
                    <w:top w:val="none" w:sz="0" w:space="0" w:color="auto"/>
                    <w:left w:val="none" w:sz="0" w:space="0" w:color="auto"/>
                    <w:bottom w:val="none" w:sz="0" w:space="0" w:color="auto"/>
                    <w:right w:val="none" w:sz="0" w:space="0" w:color="auto"/>
                  </w:divBdr>
                </w:div>
                <w:div w:id="294141276">
                  <w:marLeft w:val="0"/>
                  <w:marRight w:val="0"/>
                  <w:marTop w:val="0"/>
                  <w:marBottom w:val="0"/>
                  <w:divBdr>
                    <w:top w:val="none" w:sz="0" w:space="0" w:color="auto"/>
                    <w:left w:val="none" w:sz="0" w:space="0" w:color="auto"/>
                    <w:bottom w:val="none" w:sz="0" w:space="0" w:color="auto"/>
                    <w:right w:val="none" w:sz="0" w:space="0" w:color="auto"/>
                  </w:divBdr>
                </w:div>
                <w:div w:id="294141874">
                  <w:marLeft w:val="0"/>
                  <w:marRight w:val="0"/>
                  <w:marTop w:val="0"/>
                  <w:marBottom w:val="0"/>
                  <w:divBdr>
                    <w:top w:val="none" w:sz="0" w:space="0" w:color="auto"/>
                    <w:left w:val="none" w:sz="0" w:space="0" w:color="auto"/>
                    <w:bottom w:val="none" w:sz="0" w:space="0" w:color="auto"/>
                    <w:right w:val="none" w:sz="0" w:space="0" w:color="auto"/>
                  </w:divBdr>
                </w:div>
                <w:div w:id="294142106">
                  <w:marLeft w:val="0"/>
                  <w:marRight w:val="0"/>
                  <w:marTop w:val="0"/>
                  <w:marBottom w:val="0"/>
                  <w:divBdr>
                    <w:top w:val="none" w:sz="0" w:space="0" w:color="auto"/>
                    <w:left w:val="none" w:sz="0" w:space="0" w:color="auto"/>
                    <w:bottom w:val="none" w:sz="0" w:space="0" w:color="auto"/>
                    <w:right w:val="none" w:sz="0" w:space="0" w:color="auto"/>
                  </w:divBdr>
                </w:div>
                <w:div w:id="294142156">
                  <w:marLeft w:val="0"/>
                  <w:marRight w:val="0"/>
                  <w:marTop w:val="0"/>
                  <w:marBottom w:val="0"/>
                  <w:divBdr>
                    <w:top w:val="none" w:sz="0" w:space="0" w:color="auto"/>
                    <w:left w:val="none" w:sz="0" w:space="0" w:color="auto"/>
                    <w:bottom w:val="none" w:sz="0" w:space="0" w:color="auto"/>
                    <w:right w:val="none" w:sz="0" w:space="0" w:color="auto"/>
                  </w:divBdr>
                </w:div>
                <w:div w:id="294142170">
                  <w:marLeft w:val="0"/>
                  <w:marRight w:val="0"/>
                  <w:marTop w:val="0"/>
                  <w:marBottom w:val="0"/>
                  <w:divBdr>
                    <w:top w:val="none" w:sz="0" w:space="0" w:color="auto"/>
                    <w:left w:val="none" w:sz="0" w:space="0" w:color="auto"/>
                    <w:bottom w:val="none" w:sz="0" w:space="0" w:color="auto"/>
                    <w:right w:val="none" w:sz="0" w:space="0" w:color="auto"/>
                  </w:divBdr>
                </w:div>
                <w:div w:id="294142674">
                  <w:marLeft w:val="0"/>
                  <w:marRight w:val="0"/>
                  <w:marTop w:val="0"/>
                  <w:marBottom w:val="0"/>
                  <w:divBdr>
                    <w:top w:val="none" w:sz="0" w:space="0" w:color="auto"/>
                    <w:left w:val="none" w:sz="0" w:space="0" w:color="auto"/>
                    <w:bottom w:val="none" w:sz="0" w:space="0" w:color="auto"/>
                    <w:right w:val="none" w:sz="0" w:space="0" w:color="auto"/>
                  </w:divBdr>
                </w:div>
                <w:div w:id="294142676">
                  <w:marLeft w:val="0"/>
                  <w:marRight w:val="0"/>
                  <w:marTop w:val="0"/>
                  <w:marBottom w:val="0"/>
                  <w:divBdr>
                    <w:top w:val="none" w:sz="0" w:space="0" w:color="auto"/>
                    <w:left w:val="none" w:sz="0" w:space="0" w:color="auto"/>
                    <w:bottom w:val="none" w:sz="0" w:space="0" w:color="auto"/>
                    <w:right w:val="none" w:sz="0" w:space="0" w:color="auto"/>
                  </w:divBdr>
                </w:div>
                <w:div w:id="294142874">
                  <w:marLeft w:val="0"/>
                  <w:marRight w:val="0"/>
                  <w:marTop w:val="0"/>
                  <w:marBottom w:val="0"/>
                  <w:divBdr>
                    <w:top w:val="none" w:sz="0" w:space="0" w:color="auto"/>
                    <w:left w:val="none" w:sz="0" w:space="0" w:color="auto"/>
                    <w:bottom w:val="none" w:sz="0" w:space="0" w:color="auto"/>
                    <w:right w:val="none" w:sz="0" w:space="0" w:color="auto"/>
                  </w:divBdr>
                </w:div>
                <w:div w:id="294143170">
                  <w:marLeft w:val="0"/>
                  <w:marRight w:val="0"/>
                  <w:marTop w:val="0"/>
                  <w:marBottom w:val="0"/>
                  <w:divBdr>
                    <w:top w:val="none" w:sz="0" w:space="0" w:color="auto"/>
                    <w:left w:val="none" w:sz="0" w:space="0" w:color="auto"/>
                    <w:bottom w:val="none" w:sz="0" w:space="0" w:color="auto"/>
                    <w:right w:val="none" w:sz="0" w:space="0" w:color="auto"/>
                  </w:divBdr>
                </w:div>
                <w:div w:id="294143333">
                  <w:marLeft w:val="0"/>
                  <w:marRight w:val="0"/>
                  <w:marTop w:val="0"/>
                  <w:marBottom w:val="0"/>
                  <w:divBdr>
                    <w:top w:val="none" w:sz="0" w:space="0" w:color="auto"/>
                    <w:left w:val="none" w:sz="0" w:space="0" w:color="auto"/>
                    <w:bottom w:val="none" w:sz="0" w:space="0" w:color="auto"/>
                    <w:right w:val="none" w:sz="0" w:space="0" w:color="auto"/>
                  </w:divBdr>
                </w:div>
                <w:div w:id="294143378">
                  <w:marLeft w:val="0"/>
                  <w:marRight w:val="0"/>
                  <w:marTop w:val="0"/>
                  <w:marBottom w:val="0"/>
                  <w:divBdr>
                    <w:top w:val="none" w:sz="0" w:space="0" w:color="auto"/>
                    <w:left w:val="none" w:sz="0" w:space="0" w:color="auto"/>
                    <w:bottom w:val="none" w:sz="0" w:space="0" w:color="auto"/>
                    <w:right w:val="none" w:sz="0" w:space="0" w:color="auto"/>
                  </w:divBdr>
                </w:div>
                <w:div w:id="294143640">
                  <w:marLeft w:val="0"/>
                  <w:marRight w:val="0"/>
                  <w:marTop w:val="0"/>
                  <w:marBottom w:val="0"/>
                  <w:divBdr>
                    <w:top w:val="none" w:sz="0" w:space="0" w:color="auto"/>
                    <w:left w:val="none" w:sz="0" w:space="0" w:color="auto"/>
                    <w:bottom w:val="none" w:sz="0" w:space="0" w:color="auto"/>
                    <w:right w:val="none" w:sz="0" w:space="0" w:color="auto"/>
                  </w:divBdr>
                </w:div>
                <w:div w:id="294143705">
                  <w:marLeft w:val="0"/>
                  <w:marRight w:val="0"/>
                  <w:marTop w:val="0"/>
                  <w:marBottom w:val="0"/>
                  <w:divBdr>
                    <w:top w:val="none" w:sz="0" w:space="0" w:color="auto"/>
                    <w:left w:val="none" w:sz="0" w:space="0" w:color="auto"/>
                    <w:bottom w:val="none" w:sz="0" w:space="0" w:color="auto"/>
                    <w:right w:val="none" w:sz="0" w:space="0" w:color="auto"/>
                  </w:divBdr>
                </w:div>
                <w:div w:id="294143815">
                  <w:marLeft w:val="0"/>
                  <w:marRight w:val="0"/>
                  <w:marTop w:val="0"/>
                  <w:marBottom w:val="0"/>
                  <w:divBdr>
                    <w:top w:val="none" w:sz="0" w:space="0" w:color="auto"/>
                    <w:left w:val="none" w:sz="0" w:space="0" w:color="auto"/>
                    <w:bottom w:val="none" w:sz="0" w:space="0" w:color="auto"/>
                    <w:right w:val="none" w:sz="0" w:space="0" w:color="auto"/>
                  </w:divBdr>
                </w:div>
                <w:div w:id="294144192">
                  <w:marLeft w:val="0"/>
                  <w:marRight w:val="0"/>
                  <w:marTop w:val="0"/>
                  <w:marBottom w:val="0"/>
                  <w:divBdr>
                    <w:top w:val="none" w:sz="0" w:space="0" w:color="auto"/>
                    <w:left w:val="none" w:sz="0" w:space="0" w:color="auto"/>
                    <w:bottom w:val="none" w:sz="0" w:space="0" w:color="auto"/>
                    <w:right w:val="none" w:sz="0" w:space="0" w:color="auto"/>
                  </w:divBdr>
                </w:div>
                <w:div w:id="294144654">
                  <w:marLeft w:val="0"/>
                  <w:marRight w:val="0"/>
                  <w:marTop w:val="0"/>
                  <w:marBottom w:val="0"/>
                  <w:divBdr>
                    <w:top w:val="none" w:sz="0" w:space="0" w:color="auto"/>
                    <w:left w:val="none" w:sz="0" w:space="0" w:color="auto"/>
                    <w:bottom w:val="none" w:sz="0" w:space="0" w:color="auto"/>
                    <w:right w:val="none" w:sz="0" w:space="0" w:color="auto"/>
                  </w:divBdr>
                </w:div>
                <w:div w:id="294144734">
                  <w:marLeft w:val="0"/>
                  <w:marRight w:val="0"/>
                  <w:marTop w:val="0"/>
                  <w:marBottom w:val="0"/>
                  <w:divBdr>
                    <w:top w:val="none" w:sz="0" w:space="0" w:color="auto"/>
                    <w:left w:val="none" w:sz="0" w:space="0" w:color="auto"/>
                    <w:bottom w:val="none" w:sz="0" w:space="0" w:color="auto"/>
                    <w:right w:val="none" w:sz="0" w:space="0" w:color="auto"/>
                  </w:divBdr>
                </w:div>
                <w:div w:id="294145080">
                  <w:marLeft w:val="0"/>
                  <w:marRight w:val="0"/>
                  <w:marTop w:val="0"/>
                  <w:marBottom w:val="0"/>
                  <w:divBdr>
                    <w:top w:val="none" w:sz="0" w:space="0" w:color="auto"/>
                    <w:left w:val="none" w:sz="0" w:space="0" w:color="auto"/>
                    <w:bottom w:val="none" w:sz="0" w:space="0" w:color="auto"/>
                    <w:right w:val="none" w:sz="0" w:space="0" w:color="auto"/>
                  </w:divBdr>
                </w:div>
                <w:div w:id="294145183">
                  <w:marLeft w:val="0"/>
                  <w:marRight w:val="0"/>
                  <w:marTop w:val="0"/>
                  <w:marBottom w:val="0"/>
                  <w:divBdr>
                    <w:top w:val="none" w:sz="0" w:space="0" w:color="auto"/>
                    <w:left w:val="none" w:sz="0" w:space="0" w:color="auto"/>
                    <w:bottom w:val="none" w:sz="0" w:space="0" w:color="auto"/>
                    <w:right w:val="none" w:sz="0" w:space="0" w:color="auto"/>
                  </w:divBdr>
                </w:div>
                <w:div w:id="294145195">
                  <w:marLeft w:val="0"/>
                  <w:marRight w:val="0"/>
                  <w:marTop w:val="0"/>
                  <w:marBottom w:val="0"/>
                  <w:divBdr>
                    <w:top w:val="none" w:sz="0" w:space="0" w:color="auto"/>
                    <w:left w:val="none" w:sz="0" w:space="0" w:color="auto"/>
                    <w:bottom w:val="none" w:sz="0" w:space="0" w:color="auto"/>
                    <w:right w:val="none" w:sz="0" w:space="0" w:color="auto"/>
                  </w:divBdr>
                </w:div>
                <w:div w:id="294145198">
                  <w:marLeft w:val="0"/>
                  <w:marRight w:val="0"/>
                  <w:marTop w:val="0"/>
                  <w:marBottom w:val="0"/>
                  <w:divBdr>
                    <w:top w:val="none" w:sz="0" w:space="0" w:color="auto"/>
                    <w:left w:val="none" w:sz="0" w:space="0" w:color="auto"/>
                    <w:bottom w:val="none" w:sz="0" w:space="0" w:color="auto"/>
                    <w:right w:val="none" w:sz="0" w:space="0" w:color="auto"/>
                  </w:divBdr>
                </w:div>
                <w:div w:id="294145412">
                  <w:marLeft w:val="0"/>
                  <w:marRight w:val="0"/>
                  <w:marTop w:val="0"/>
                  <w:marBottom w:val="0"/>
                  <w:divBdr>
                    <w:top w:val="none" w:sz="0" w:space="0" w:color="auto"/>
                    <w:left w:val="none" w:sz="0" w:space="0" w:color="auto"/>
                    <w:bottom w:val="none" w:sz="0" w:space="0" w:color="auto"/>
                    <w:right w:val="none" w:sz="0" w:space="0" w:color="auto"/>
                  </w:divBdr>
                </w:div>
                <w:div w:id="294145780">
                  <w:marLeft w:val="0"/>
                  <w:marRight w:val="0"/>
                  <w:marTop w:val="0"/>
                  <w:marBottom w:val="0"/>
                  <w:divBdr>
                    <w:top w:val="none" w:sz="0" w:space="0" w:color="auto"/>
                    <w:left w:val="none" w:sz="0" w:space="0" w:color="auto"/>
                    <w:bottom w:val="none" w:sz="0" w:space="0" w:color="auto"/>
                    <w:right w:val="none" w:sz="0" w:space="0" w:color="auto"/>
                  </w:divBdr>
                </w:div>
                <w:div w:id="294145850">
                  <w:marLeft w:val="0"/>
                  <w:marRight w:val="0"/>
                  <w:marTop w:val="0"/>
                  <w:marBottom w:val="0"/>
                  <w:divBdr>
                    <w:top w:val="none" w:sz="0" w:space="0" w:color="auto"/>
                    <w:left w:val="none" w:sz="0" w:space="0" w:color="auto"/>
                    <w:bottom w:val="none" w:sz="0" w:space="0" w:color="auto"/>
                    <w:right w:val="none" w:sz="0" w:space="0" w:color="auto"/>
                  </w:divBdr>
                </w:div>
                <w:div w:id="294145979">
                  <w:marLeft w:val="0"/>
                  <w:marRight w:val="0"/>
                  <w:marTop w:val="0"/>
                  <w:marBottom w:val="0"/>
                  <w:divBdr>
                    <w:top w:val="none" w:sz="0" w:space="0" w:color="auto"/>
                    <w:left w:val="none" w:sz="0" w:space="0" w:color="auto"/>
                    <w:bottom w:val="none" w:sz="0" w:space="0" w:color="auto"/>
                    <w:right w:val="none" w:sz="0" w:space="0" w:color="auto"/>
                  </w:divBdr>
                </w:div>
                <w:div w:id="294146050">
                  <w:marLeft w:val="0"/>
                  <w:marRight w:val="0"/>
                  <w:marTop w:val="0"/>
                  <w:marBottom w:val="0"/>
                  <w:divBdr>
                    <w:top w:val="none" w:sz="0" w:space="0" w:color="auto"/>
                    <w:left w:val="none" w:sz="0" w:space="0" w:color="auto"/>
                    <w:bottom w:val="none" w:sz="0" w:space="0" w:color="auto"/>
                    <w:right w:val="none" w:sz="0" w:space="0" w:color="auto"/>
                  </w:divBdr>
                </w:div>
                <w:div w:id="294146142">
                  <w:marLeft w:val="0"/>
                  <w:marRight w:val="0"/>
                  <w:marTop w:val="0"/>
                  <w:marBottom w:val="0"/>
                  <w:divBdr>
                    <w:top w:val="none" w:sz="0" w:space="0" w:color="auto"/>
                    <w:left w:val="none" w:sz="0" w:space="0" w:color="auto"/>
                    <w:bottom w:val="none" w:sz="0" w:space="0" w:color="auto"/>
                    <w:right w:val="none" w:sz="0" w:space="0" w:color="auto"/>
                  </w:divBdr>
                </w:div>
                <w:div w:id="294146442">
                  <w:marLeft w:val="0"/>
                  <w:marRight w:val="0"/>
                  <w:marTop w:val="0"/>
                  <w:marBottom w:val="0"/>
                  <w:divBdr>
                    <w:top w:val="none" w:sz="0" w:space="0" w:color="auto"/>
                    <w:left w:val="none" w:sz="0" w:space="0" w:color="auto"/>
                    <w:bottom w:val="none" w:sz="0" w:space="0" w:color="auto"/>
                    <w:right w:val="none" w:sz="0" w:space="0" w:color="auto"/>
                  </w:divBdr>
                </w:div>
                <w:div w:id="294147032">
                  <w:marLeft w:val="0"/>
                  <w:marRight w:val="0"/>
                  <w:marTop w:val="0"/>
                  <w:marBottom w:val="0"/>
                  <w:divBdr>
                    <w:top w:val="none" w:sz="0" w:space="0" w:color="auto"/>
                    <w:left w:val="none" w:sz="0" w:space="0" w:color="auto"/>
                    <w:bottom w:val="none" w:sz="0" w:space="0" w:color="auto"/>
                    <w:right w:val="none" w:sz="0" w:space="0" w:color="auto"/>
                  </w:divBdr>
                </w:div>
                <w:div w:id="294147106">
                  <w:marLeft w:val="0"/>
                  <w:marRight w:val="0"/>
                  <w:marTop w:val="0"/>
                  <w:marBottom w:val="0"/>
                  <w:divBdr>
                    <w:top w:val="none" w:sz="0" w:space="0" w:color="auto"/>
                    <w:left w:val="none" w:sz="0" w:space="0" w:color="auto"/>
                    <w:bottom w:val="none" w:sz="0" w:space="0" w:color="auto"/>
                    <w:right w:val="none" w:sz="0" w:space="0" w:color="auto"/>
                  </w:divBdr>
                </w:div>
                <w:div w:id="294147112">
                  <w:marLeft w:val="0"/>
                  <w:marRight w:val="0"/>
                  <w:marTop w:val="0"/>
                  <w:marBottom w:val="0"/>
                  <w:divBdr>
                    <w:top w:val="none" w:sz="0" w:space="0" w:color="auto"/>
                    <w:left w:val="none" w:sz="0" w:space="0" w:color="auto"/>
                    <w:bottom w:val="none" w:sz="0" w:space="0" w:color="auto"/>
                    <w:right w:val="none" w:sz="0" w:space="0" w:color="auto"/>
                  </w:divBdr>
                </w:div>
                <w:div w:id="294147130">
                  <w:marLeft w:val="0"/>
                  <w:marRight w:val="0"/>
                  <w:marTop w:val="0"/>
                  <w:marBottom w:val="0"/>
                  <w:divBdr>
                    <w:top w:val="none" w:sz="0" w:space="0" w:color="auto"/>
                    <w:left w:val="none" w:sz="0" w:space="0" w:color="auto"/>
                    <w:bottom w:val="none" w:sz="0" w:space="0" w:color="auto"/>
                    <w:right w:val="none" w:sz="0" w:space="0" w:color="auto"/>
                  </w:divBdr>
                </w:div>
                <w:div w:id="294147204">
                  <w:marLeft w:val="0"/>
                  <w:marRight w:val="0"/>
                  <w:marTop w:val="0"/>
                  <w:marBottom w:val="0"/>
                  <w:divBdr>
                    <w:top w:val="none" w:sz="0" w:space="0" w:color="auto"/>
                    <w:left w:val="none" w:sz="0" w:space="0" w:color="auto"/>
                    <w:bottom w:val="none" w:sz="0" w:space="0" w:color="auto"/>
                    <w:right w:val="none" w:sz="0" w:space="0" w:color="auto"/>
                  </w:divBdr>
                </w:div>
                <w:div w:id="294147254">
                  <w:marLeft w:val="0"/>
                  <w:marRight w:val="0"/>
                  <w:marTop w:val="0"/>
                  <w:marBottom w:val="0"/>
                  <w:divBdr>
                    <w:top w:val="none" w:sz="0" w:space="0" w:color="auto"/>
                    <w:left w:val="none" w:sz="0" w:space="0" w:color="auto"/>
                    <w:bottom w:val="none" w:sz="0" w:space="0" w:color="auto"/>
                    <w:right w:val="none" w:sz="0" w:space="0" w:color="auto"/>
                  </w:divBdr>
                </w:div>
                <w:div w:id="294147396">
                  <w:marLeft w:val="0"/>
                  <w:marRight w:val="0"/>
                  <w:marTop w:val="0"/>
                  <w:marBottom w:val="0"/>
                  <w:divBdr>
                    <w:top w:val="none" w:sz="0" w:space="0" w:color="auto"/>
                    <w:left w:val="none" w:sz="0" w:space="0" w:color="auto"/>
                    <w:bottom w:val="none" w:sz="0" w:space="0" w:color="auto"/>
                    <w:right w:val="none" w:sz="0" w:space="0" w:color="auto"/>
                  </w:divBdr>
                </w:div>
                <w:div w:id="294147610">
                  <w:marLeft w:val="0"/>
                  <w:marRight w:val="0"/>
                  <w:marTop w:val="0"/>
                  <w:marBottom w:val="0"/>
                  <w:divBdr>
                    <w:top w:val="none" w:sz="0" w:space="0" w:color="auto"/>
                    <w:left w:val="none" w:sz="0" w:space="0" w:color="auto"/>
                    <w:bottom w:val="none" w:sz="0" w:space="0" w:color="auto"/>
                    <w:right w:val="none" w:sz="0" w:space="0" w:color="auto"/>
                  </w:divBdr>
                </w:div>
                <w:div w:id="294147622">
                  <w:marLeft w:val="0"/>
                  <w:marRight w:val="0"/>
                  <w:marTop w:val="0"/>
                  <w:marBottom w:val="0"/>
                  <w:divBdr>
                    <w:top w:val="none" w:sz="0" w:space="0" w:color="auto"/>
                    <w:left w:val="none" w:sz="0" w:space="0" w:color="auto"/>
                    <w:bottom w:val="none" w:sz="0" w:space="0" w:color="auto"/>
                    <w:right w:val="none" w:sz="0" w:space="0" w:color="auto"/>
                  </w:divBdr>
                </w:div>
                <w:div w:id="294147722">
                  <w:marLeft w:val="0"/>
                  <w:marRight w:val="0"/>
                  <w:marTop w:val="0"/>
                  <w:marBottom w:val="0"/>
                  <w:divBdr>
                    <w:top w:val="none" w:sz="0" w:space="0" w:color="auto"/>
                    <w:left w:val="none" w:sz="0" w:space="0" w:color="auto"/>
                    <w:bottom w:val="none" w:sz="0" w:space="0" w:color="auto"/>
                    <w:right w:val="none" w:sz="0" w:space="0" w:color="auto"/>
                  </w:divBdr>
                </w:div>
                <w:div w:id="294147823">
                  <w:marLeft w:val="0"/>
                  <w:marRight w:val="0"/>
                  <w:marTop w:val="0"/>
                  <w:marBottom w:val="0"/>
                  <w:divBdr>
                    <w:top w:val="none" w:sz="0" w:space="0" w:color="auto"/>
                    <w:left w:val="none" w:sz="0" w:space="0" w:color="auto"/>
                    <w:bottom w:val="none" w:sz="0" w:space="0" w:color="auto"/>
                    <w:right w:val="none" w:sz="0" w:space="0" w:color="auto"/>
                  </w:divBdr>
                </w:div>
                <w:div w:id="294147931">
                  <w:marLeft w:val="0"/>
                  <w:marRight w:val="0"/>
                  <w:marTop w:val="0"/>
                  <w:marBottom w:val="0"/>
                  <w:divBdr>
                    <w:top w:val="none" w:sz="0" w:space="0" w:color="auto"/>
                    <w:left w:val="none" w:sz="0" w:space="0" w:color="auto"/>
                    <w:bottom w:val="none" w:sz="0" w:space="0" w:color="auto"/>
                    <w:right w:val="none" w:sz="0" w:space="0" w:color="auto"/>
                  </w:divBdr>
                </w:div>
                <w:div w:id="294148032">
                  <w:marLeft w:val="0"/>
                  <w:marRight w:val="0"/>
                  <w:marTop w:val="0"/>
                  <w:marBottom w:val="0"/>
                  <w:divBdr>
                    <w:top w:val="none" w:sz="0" w:space="0" w:color="auto"/>
                    <w:left w:val="none" w:sz="0" w:space="0" w:color="auto"/>
                    <w:bottom w:val="none" w:sz="0" w:space="0" w:color="auto"/>
                    <w:right w:val="none" w:sz="0" w:space="0" w:color="auto"/>
                  </w:divBdr>
                </w:div>
                <w:div w:id="294148236">
                  <w:marLeft w:val="0"/>
                  <w:marRight w:val="0"/>
                  <w:marTop w:val="0"/>
                  <w:marBottom w:val="0"/>
                  <w:divBdr>
                    <w:top w:val="none" w:sz="0" w:space="0" w:color="auto"/>
                    <w:left w:val="none" w:sz="0" w:space="0" w:color="auto"/>
                    <w:bottom w:val="none" w:sz="0" w:space="0" w:color="auto"/>
                    <w:right w:val="none" w:sz="0" w:space="0" w:color="auto"/>
                  </w:divBdr>
                </w:div>
                <w:div w:id="294148421">
                  <w:marLeft w:val="0"/>
                  <w:marRight w:val="0"/>
                  <w:marTop w:val="0"/>
                  <w:marBottom w:val="0"/>
                  <w:divBdr>
                    <w:top w:val="none" w:sz="0" w:space="0" w:color="auto"/>
                    <w:left w:val="none" w:sz="0" w:space="0" w:color="auto"/>
                    <w:bottom w:val="none" w:sz="0" w:space="0" w:color="auto"/>
                    <w:right w:val="none" w:sz="0" w:space="0" w:color="auto"/>
                  </w:divBdr>
                </w:div>
                <w:div w:id="294148527">
                  <w:marLeft w:val="0"/>
                  <w:marRight w:val="0"/>
                  <w:marTop w:val="0"/>
                  <w:marBottom w:val="0"/>
                  <w:divBdr>
                    <w:top w:val="none" w:sz="0" w:space="0" w:color="auto"/>
                    <w:left w:val="none" w:sz="0" w:space="0" w:color="auto"/>
                    <w:bottom w:val="none" w:sz="0" w:space="0" w:color="auto"/>
                    <w:right w:val="none" w:sz="0" w:space="0" w:color="auto"/>
                  </w:divBdr>
                </w:div>
                <w:div w:id="294148674">
                  <w:marLeft w:val="0"/>
                  <w:marRight w:val="0"/>
                  <w:marTop w:val="0"/>
                  <w:marBottom w:val="0"/>
                  <w:divBdr>
                    <w:top w:val="none" w:sz="0" w:space="0" w:color="auto"/>
                    <w:left w:val="none" w:sz="0" w:space="0" w:color="auto"/>
                    <w:bottom w:val="none" w:sz="0" w:space="0" w:color="auto"/>
                    <w:right w:val="none" w:sz="0" w:space="0" w:color="auto"/>
                  </w:divBdr>
                </w:div>
                <w:div w:id="294148747">
                  <w:marLeft w:val="0"/>
                  <w:marRight w:val="0"/>
                  <w:marTop w:val="0"/>
                  <w:marBottom w:val="0"/>
                  <w:divBdr>
                    <w:top w:val="none" w:sz="0" w:space="0" w:color="auto"/>
                    <w:left w:val="none" w:sz="0" w:space="0" w:color="auto"/>
                    <w:bottom w:val="none" w:sz="0" w:space="0" w:color="auto"/>
                    <w:right w:val="none" w:sz="0" w:space="0" w:color="auto"/>
                  </w:divBdr>
                </w:div>
                <w:div w:id="294149127">
                  <w:marLeft w:val="0"/>
                  <w:marRight w:val="0"/>
                  <w:marTop w:val="0"/>
                  <w:marBottom w:val="0"/>
                  <w:divBdr>
                    <w:top w:val="none" w:sz="0" w:space="0" w:color="auto"/>
                    <w:left w:val="none" w:sz="0" w:space="0" w:color="auto"/>
                    <w:bottom w:val="none" w:sz="0" w:space="0" w:color="auto"/>
                    <w:right w:val="none" w:sz="0" w:space="0" w:color="auto"/>
                  </w:divBdr>
                </w:div>
                <w:div w:id="294149263">
                  <w:marLeft w:val="0"/>
                  <w:marRight w:val="0"/>
                  <w:marTop w:val="0"/>
                  <w:marBottom w:val="0"/>
                  <w:divBdr>
                    <w:top w:val="none" w:sz="0" w:space="0" w:color="auto"/>
                    <w:left w:val="none" w:sz="0" w:space="0" w:color="auto"/>
                    <w:bottom w:val="none" w:sz="0" w:space="0" w:color="auto"/>
                    <w:right w:val="none" w:sz="0" w:space="0" w:color="auto"/>
                  </w:divBdr>
                </w:div>
                <w:div w:id="294149445">
                  <w:marLeft w:val="0"/>
                  <w:marRight w:val="0"/>
                  <w:marTop w:val="0"/>
                  <w:marBottom w:val="0"/>
                  <w:divBdr>
                    <w:top w:val="none" w:sz="0" w:space="0" w:color="auto"/>
                    <w:left w:val="none" w:sz="0" w:space="0" w:color="auto"/>
                    <w:bottom w:val="none" w:sz="0" w:space="0" w:color="auto"/>
                    <w:right w:val="none" w:sz="0" w:space="0" w:color="auto"/>
                  </w:divBdr>
                </w:div>
                <w:div w:id="294149450">
                  <w:marLeft w:val="0"/>
                  <w:marRight w:val="0"/>
                  <w:marTop w:val="0"/>
                  <w:marBottom w:val="0"/>
                  <w:divBdr>
                    <w:top w:val="none" w:sz="0" w:space="0" w:color="auto"/>
                    <w:left w:val="none" w:sz="0" w:space="0" w:color="auto"/>
                    <w:bottom w:val="none" w:sz="0" w:space="0" w:color="auto"/>
                    <w:right w:val="none" w:sz="0" w:space="0" w:color="auto"/>
                  </w:divBdr>
                </w:div>
                <w:div w:id="294149781">
                  <w:marLeft w:val="0"/>
                  <w:marRight w:val="0"/>
                  <w:marTop w:val="0"/>
                  <w:marBottom w:val="0"/>
                  <w:divBdr>
                    <w:top w:val="none" w:sz="0" w:space="0" w:color="auto"/>
                    <w:left w:val="none" w:sz="0" w:space="0" w:color="auto"/>
                    <w:bottom w:val="none" w:sz="0" w:space="0" w:color="auto"/>
                    <w:right w:val="none" w:sz="0" w:space="0" w:color="auto"/>
                  </w:divBdr>
                </w:div>
                <w:div w:id="294150098">
                  <w:marLeft w:val="0"/>
                  <w:marRight w:val="0"/>
                  <w:marTop w:val="0"/>
                  <w:marBottom w:val="0"/>
                  <w:divBdr>
                    <w:top w:val="none" w:sz="0" w:space="0" w:color="auto"/>
                    <w:left w:val="none" w:sz="0" w:space="0" w:color="auto"/>
                    <w:bottom w:val="none" w:sz="0" w:space="0" w:color="auto"/>
                    <w:right w:val="none" w:sz="0" w:space="0" w:color="auto"/>
                  </w:divBdr>
                </w:div>
                <w:div w:id="294150139">
                  <w:marLeft w:val="0"/>
                  <w:marRight w:val="0"/>
                  <w:marTop w:val="0"/>
                  <w:marBottom w:val="0"/>
                  <w:divBdr>
                    <w:top w:val="none" w:sz="0" w:space="0" w:color="auto"/>
                    <w:left w:val="none" w:sz="0" w:space="0" w:color="auto"/>
                    <w:bottom w:val="none" w:sz="0" w:space="0" w:color="auto"/>
                    <w:right w:val="none" w:sz="0" w:space="0" w:color="auto"/>
                  </w:divBdr>
                </w:div>
                <w:div w:id="294150217">
                  <w:marLeft w:val="0"/>
                  <w:marRight w:val="0"/>
                  <w:marTop w:val="0"/>
                  <w:marBottom w:val="0"/>
                  <w:divBdr>
                    <w:top w:val="none" w:sz="0" w:space="0" w:color="auto"/>
                    <w:left w:val="none" w:sz="0" w:space="0" w:color="auto"/>
                    <w:bottom w:val="none" w:sz="0" w:space="0" w:color="auto"/>
                    <w:right w:val="none" w:sz="0" w:space="0" w:color="auto"/>
                  </w:divBdr>
                </w:div>
                <w:div w:id="294150295">
                  <w:marLeft w:val="0"/>
                  <w:marRight w:val="0"/>
                  <w:marTop w:val="0"/>
                  <w:marBottom w:val="0"/>
                  <w:divBdr>
                    <w:top w:val="none" w:sz="0" w:space="0" w:color="auto"/>
                    <w:left w:val="none" w:sz="0" w:space="0" w:color="auto"/>
                    <w:bottom w:val="none" w:sz="0" w:space="0" w:color="auto"/>
                    <w:right w:val="none" w:sz="0" w:space="0" w:color="auto"/>
                  </w:divBdr>
                </w:div>
                <w:div w:id="294150299">
                  <w:marLeft w:val="0"/>
                  <w:marRight w:val="0"/>
                  <w:marTop w:val="0"/>
                  <w:marBottom w:val="0"/>
                  <w:divBdr>
                    <w:top w:val="none" w:sz="0" w:space="0" w:color="auto"/>
                    <w:left w:val="none" w:sz="0" w:space="0" w:color="auto"/>
                    <w:bottom w:val="none" w:sz="0" w:space="0" w:color="auto"/>
                    <w:right w:val="none" w:sz="0" w:space="0" w:color="auto"/>
                  </w:divBdr>
                </w:div>
                <w:div w:id="294150386">
                  <w:marLeft w:val="0"/>
                  <w:marRight w:val="0"/>
                  <w:marTop w:val="0"/>
                  <w:marBottom w:val="0"/>
                  <w:divBdr>
                    <w:top w:val="none" w:sz="0" w:space="0" w:color="auto"/>
                    <w:left w:val="none" w:sz="0" w:space="0" w:color="auto"/>
                    <w:bottom w:val="none" w:sz="0" w:space="0" w:color="auto"/>
                    <w:right w:val="none" w:sz="0" w:space="0" w:color="auto"/>
                  </w:divBdr>
                </w:div>
                <w:div w:id="294150575">
                  <w:marLeft w:val="0"/>
                  <w:marRight w:val="0"/>
                  <w:marTop w:val="0"/>
                  <w:marBottom w:val="0"/>
                  <w:divBdr>
                    <w:top w:val="none" w:sz="0" w:space="0" w:color="auto"/>
                    <w:left w:val="none" w:sz="0" w:space="0" w:color="auto"/>
                    <w:bottom w:val="none" w:sz="0" w:space="0" w:color="auto"/>
                    <w:right w:val="none" w:sz="0" w:space="0" w:color="auto"/>
                  </w:divBdr>
                </w:div>
                <w:div w:id="294150961">
                  <w:marLeft w:val="0"/>
                  <w:marRight w:val="0"/>
                  <w:marTop w:val="0"/>
                  <w:marBottom w:val="0"/>
                  <w:divBdr>
                    <w:top w:val="none" w:sz="0" w:space="0" w:color="auto"/>
                    <w:left w:val="none" w:sz="0" w:space="0" w:color="auto"/>
                    <w:bottom w:val="none" w:sz="0" w:space="0" w:color="auto"/>
                    <w:right w:val="none" w:sz="0" w:space="0" w:color="auto"/>
                  </w:divBdr>
                </w:div>
                <w:div w:id="294151018">
                  <w:marLeft w:val="0"/>
                  <w:marRight w:val="0"/>
                  <w:marTop w:val="0"/>
                  <w:marBottom w:val="0"/>
                  <w:divBdr>
                    <w:top w:val="none" w:sz="0" w:space="0" w:color="auto"/>
                    <w:left w:val="none" w:sz="0" w:space="0" w:color="auto"/>
                    <w:bottom w:val="none" w:sz="0" w:space="0" w:color="auto"/>
                    <w:right w:val="none" w:sz="0" w:space="0" w:color="auto"/>
                  </w:divBdr>
                </w:div>
                <w:div w:id="294151175">
                  <w:marLeft w:val="0"/>
                  <w:marRight w:val="0"/>
                  <w:marTop w:val="0"/>
                  <w:marBottom w:val="0"/>
                  <w:divBdr>
                    <w:top w:val="none" w:sz="0" w:space="0" w:color="auto"/>
                    <w:left w:val="none" w:sz="0" w:space="0" w:color="auto"/>
                    <w:bottom w:val="none" w:sz="0" w:space="0" w:color="auto"/>
                    <w:right w:val="none" w:sz="0" w:space="0" w:color="auto"/>
                  </w:divBdr>
                </w:div>
                <w:div w:id="294151271">
                  <w:marLeft w:val="0"/>
                  <w:marRight w:val="0"/>
                  <w:marTop w:val="0"/>
                  <w:marBottom w:val="0"/>
                  <w:divBdr>
                    <w:top w:val="none" w:sz="0" w:space="0" w:color="auto"/>
                    <w:left w:val="none" w:sz="0" w:space="0" w:color="auto"/>
                    <w:bottom w:val="none" w:sz="0" w:space="0" w:color="auto"/>
                    <w:right w:val="none" w:sz="0" w:space="0" w:color="auto"/>
                  </w:divBdr>
                </w:div>
                <w:div w:id="294151272">
                  <w:marLeft w:val="0"/>
                  <w:marRight w:val="0"/>
                  <w:marTop w:val="0"/>
                  <w:marBottom w:val="0"/>
                  <w:divBdr>
                    <w:top w:val="none" w:sz="0" w:space="0" w:color="auto"/>
                    <w:left w:val="none" w:sz="0" w:space="0" w:color="auto"/>
                    <w:bottom w:val="none" w:sz="0" w:space="0" w:color="auto"/>
                    <w:right w:val="none" w:sz="0" w:space="0" w:color="auto"/>
                  </w:divBdr>
                </w:div>
                <w:div w:id="294151769">
                  <w:marLeft w:val="0"/>
                  <w:marRight w:val="0"/>
                  <w:marTop w:val="0"/>
                  <w:marBottom w:val="0"/>
                  <w:divBdr>
                    <w:top w:val="none" w:sz="0" w:space="0" w:color="auto"/>
                    <w:left w:val="none" w:sz="0" w:space="0" w:color="auto"/>
                    <w:bottom w:val="none" w:sz="0" w:space="0" w:color="auto"/>
                    <w:right w:val="none" w:sz="0" w:space="0" w:color="auto"/>
                  </w:divBdr>
                </w:div>
                <w:div w:id="294151786">
                  <w:marLeft w:val="0"/>
                  <w:marRight w:val="0"/>
                  <w:marTop w:val="0"/>
                  <w:marBottom w:val="0"/>
                  <w:divBdr>
                    <w:top w:val="none" w:sz="0" w:space="0" w:color="auto"/>
                    <w:left w:val="none" w:sz="0" w:space="0" w:color="auto"/>
                    <w:bottom w:val="none" w:sz="0" w:space="0" w:color="auto"/>
                    <w:right w:val="none" w:sz="0" w:space="0" w:color="auto"/>
                  </w:divBdr>
                </w:div>
                <w:div w:id="294151811">
                  <w:marLeft w:val="0"/>
                  <w:marRight w:val="0"/>
                  <w:marTop w:val="0"/>
                  <w:marBottom w:val="0"/>
                  <w:divBdr>
                    <w:top w:val="none" w:sz="0" w:space="0" w:color="auto"/>
                    <w:left w:val="none" w:sz="0" w:space="0" w:color="auto"/>
                    <w:bottom w:val="none" w:sz="0" w:space="0" w:color="auto"/>
                    <w:right w:val="none" w:sz="0" w:space="0" w:color="auto"/>
                  </w:divBdr>
                </w:div>
                <w:div w:id="294151819">
                  <w:marLeft w:val="0"/>
                  <w:marRight w:val="0"/>
                  <w:marTop w:val="0"/>
                  <w:marBottom w:val="0"/>
                  <w:divBdr>
                    <w:top w:val="none" w:sz="0" w:space="0" w:color="auto"/>
                    <w:left w:val="none" w:sz="0" w:space="0" w:color="auto"/>
                    <w:bottom w:val="none" w:sz="0" w:space="0" w:color="auto"/>
                    <w:right w:val="none" w:sz="0" w:space="0" w:color="auto"/>
                  </w:divBdr>
                </w:div>
                <w:div w:id="294152055">
                  <w:marLeft w:val="0"/>
                  <w:marRight w:val="0"/>
                  <w:marTop w:val="0"/>
                  <w:marBottom w:val="0"/>
                  <w:divBdr>
                    <w:top w:val="none" w:sz="0" w:space="0" w:color="auto"/>
                    <w:left w:val="none" w:sz="0" w:space="0" w:color="auto"/>
                    <w:bottom w:val="none" w:sz="0" w:space="0" w:color="auto"/>
                    <w:right w:val="none" w:sz="0" w:space="0" w:color="auto"/>
                  </w:divBdr>
                </w:div>
                <w:div w:id="294152117">
                  <w:marLeft w:val="0"/>
                  <w:marRight w:val="0"/>
                  <w:marTop w:val="0"/>
                  <w:marBottom w:val="0"/>
                  <w:divBdr>
                    <w:top w:val="none" w:sz="0" w:space="0" w:color="auto"/>
                    <w:left w:val="none" w:sz="0" w:space="0" w:color="auto"/>
                    <w:bottom w:val="none" w:sz="0" w:space="0" w:color="auto"/>
                    <w:right w:val="none" w:sz="0" w:space="0" w:color="auto"/>
                  </w:divBdr>
                </w:div>
                <w:div w:id="294152523">
                  <w:marLeft w:val="0"/>
                  <w:marRight w:val="0"/>
                  <w:marTop w:val="0"/>
                  <w:marBottom w:val="0"/>
                  <w:divBdr>
                    <w:top w:val="none" w:sz="0" w:space="0" w:color="auto"/>
                    <w:left w:val="none" w:sz="0" w:space="0" w:color="auto"/>
                    <w:bottom w:val="none" w:sz="0" w:space="0" w:color="auto"/>
                    <w:right w:val="none" w:sz="0" w:space="0" w:color="auto"/>
                  </w:divBdr>
                </w:div>
                <w:div w:id="294152846">
                  <w:marLeft w:val="0"/>
                  <w:marRight w:val="0"/>
                  <w:marTop w:val="0"/>
                  <w:marBottom w:val="0"/>
                  <w:divBdr>
                    <w:top w:val="none" w:sz="0" w:space="0" w:color="auto"/>
                    <w:left w:val="none" w:sz="0" w:space="0" w:color="auto"/>
                    <w:bottom w:val="none" w:sz="0" w:space="0" w:color="auto"/>
                    <w:right w:val="none" w:sz="0" w:space="0" w:color="auto"/>
                  </w:divBdr>
                </w:div>
                <w:div w:id="294152881">
                  <w:marLeft w:val="0"/>
                  <w:marRight w:val="0"/>
                  <w:marTop w:val="0"/>
                  <w:marBottom w:val="0"/>
                  <w:divBdr>
                    <w:top w:val="none" w:sz="0" w:space="0" w:color="auto"/>
                    <w:left w:val="none" w:sz="0" w:space="0" w:color="auto"/>
                    <w:bottom w:val="none" w:sz="0" w:space="0" w:color="auto"/>
                    <w:right w:val="none" w:sz="0" w:space="0" w:color="auto"/>
                  </w:divBdr>
                </w:div>
                <w:div w:id="294153118">
                  <w:marLeft w:val="0"/>
                  <w:marRight w:val="0"/>
                  <w:marTop w:val="0"/>
                  <w:marBottom w:val="0"/>
                  <w:divBdr>
                    <w:top w:val="none" w:sz="0" w:space="0" w:color="auto"/>
                    <w:left w:val="none" w:sz="0" w:space="0" w:color="auto"/>
                    <w:bottom w:val="none" w:sz="0" w:space="0" w:color="auto"/>
                    <w:right w:val="none" w:sz="0" w:space="0" w:color="auto"/>
                  </w:divBdr>
                </w:div>
                <w:div w:id="294153264">
                  <w:marLeft w:val="0"/>
                  <w:marRight w:val="0"/>
                  <w:marTop w:val="0"/>
                  <w:marBottom w:val="0"/>
                  <w:divBdr>
                    <w:top w:val="none" w:sz="0" w:space="0" w:color="auto"/>
                    <w:left w:val="none" w:sz="0" w:space="0" w:color="auto"/>
                    <w:bottom w:val="none" w:sz="0" w:space="0" w:color="auto"/>
                    <w:right w:val="none" w:sz="0" w:space="0" w:color="auto"/>
                  </w:divBdr>
                </w:div>
                <w:div w:id="294153395">
                  <w:marLeft w:val="0"/>
                  <w:marRight w:val="0"/>
                  <w:marTop w:val="0"/>
                  <w:marBottom w:val="0"/>
                  <w:divBdr>
                    <w:top w:val="none" w:sz="0" w:space="0" w:color="auto"/>
                    <w:left w:val="none" w:sz="0" w:space="0" w:color="auto"/>
                    <w:bottom w:val="none" w:sz="0" w:space="0" w:color="auto"/>
                    <w:right w:val="none" w:sz="0" w:space="0" w:color="auto"/>
                  </w:divBdr>
                </w:div>
                <w:div w:id="294153473">
                  <w:marLeft w:val="0"/>
                  <w:marRight w:val="0"/>
                  <w:marTop w:val="0"/>
                  <w:marBottom w:val="0"/>
                  <w:divBdr>
                    <w:top w:val="none" w:sz="0" w:space="0" w:color="auto"/>
                    <w:left w:val="none" w:sz="0" w:space="0" w:color="auto"/>
                    <w:bottom w:val="none" w:sz="0" w:space="0" w:color="auto"/>
                    <w:right w:val="none" w:sz="0" w:space="0" w:color="auto"/>
                  </w:divBdr>
                </w:div>
                <w:div w:id="294153549">
                  <w:marLeft w:val="0"/>
                  <w:marRight w:val="0"/>
                  <w:marTop w:val="0"/>
                  <w:marBottom w:val="0"/>
                  <w:divBdr>
                    <w:top w:val="none" w:sz="0" w:space="0" w:color="auto"/>
                    <w:left w:val="none" w:sz="0" w:space="0" w:color="auto"/>
                    <w:bottom w:val="none" w:sz="0" w:space="0" w:color="auto"/>
                    <w:right w:val="none" w:sz="0" w:space="0" w:color="auto"/>
                  </w:divBdr>
                </w:div>
                <w:div w:id="294154009">
                  <w:marLeft w:val="0"/>
                  <w:marRight w:val="0"/>
                  <w:marTop w:val="0"/>
                  <w:marBottom w:val="0"/>
                  <w:divBdr>
                    <w:top w:val="none" w:sz="0" w:space="0" w:color="auto"/>
                    <w:left w:val="none" w:sz="0" w:space="0" w:color="auto"/>
                    <w:bottom w:val="none" w:sz="0" w:space="0" w:color="auto"/>
                    <w:right w:val="none" w:sz="0" w:space="0" w:color="auto"/>
                  </w:divBdr>
                </w:div>
                <w:div w:id="294154088">
                  <w:marLeft w:val="0"/>
                  <w:marRight w:val="0"/>
                  <w:marTop w:val="0"/>
                  <w:marBottom w:val="0"/>
                  <w:divBdr>
                    <w:top w:val="none" w:sz="0" w:space="0" w:color="auto"/>
                    <w:left w:val="none" w:sz="0" w:space="0" w:color="auto"/>
                    <w:bottom w:val="none" w:sz="0" w:space="0" w:color="auto"/>
                    <w:right w:val="none" w:sz="0" w:space="0" w:color="auto"/>
                  </w:divBdr>
                </w:div>
                <w:div w:id="294154100">
                  <w:marLeft w:val="0"/>
                  <w:marRight w:val="0"/>
                  <w:marTop w:val="0"/>
                  <w:marBottom w:val="0"/>
                  <w:divBdr>
                    <w:top w:val="none" w:sz="0" w:space="0" w:color="auto"/>
                    <w:left w:val="none" w:sz="0" w:space="0" w:color="auto"/>
                    <w:bottom w:val="none" w:sz="0" w:space="0" w:color="auto"/>
                    <w:right w:val="none" w:sz="0" w:space="0" w:color="auto"/>
                  </w:divBdr>
                </w:div>
                <w:div w:id="294154128">
                  <w:marLeft w:val="0"/>
                  <w:marRight w:val="0"/>
                  <w:marTop w:val="0"/>
                  <w:marBottom w:val="0"/>
                  <w:divBdr>
                    <w:top w:val="none" w:sz="0" w:space="0" w:color="auto"/>
                    <w:left w:val="none" w:sz="0" w:space="0" w:color="auto"/>
                    <w:bottom w:val="none" w:sz="0" w:space="0" w:color="auto"/>
                    <w:right w:val="none" w:sz="0" w:space="0" w:color="auto"/>
                  </w:divBdr>
                </w:div>
                <w:div w:id="294154259">
                  <w:marLeft w:val="0"/>
                  <w:marRight w:val="0"/>
                  <w:marTop w:val="0"/>
                  <w:marBottom w:val="0"/>
                  <w:divBdr>
                    <w:top w:val="none" w:sz="0" w:space="0" w:color="auto"/>
                    <w:left w:val="none" w:sz="0" w:space="0" w:color="auto"/>
                    <w:bottom w:val="none" w:sz="0" w:space="0" w:color="auto"/>
                    <w:right w:val="none" w:sz="0" w:space="0" w:color="auto"/>
                  </w:divBdr>
                </w:div>
                <w:div w:id="294154518">
                  <w:marLeft w:val="0"/>
                  <w:marRight w:val="0"/>
                  <w:marTop w:val="0"/>
                  <w:marBottom w:val="0"/>
                  <w:divBdr>
                    <w:top w:val="none" w:sz="0" w:space="0" w:color="auto"/>
                    <w:left w:val="none" w:sz="0" w:space="0" w:color="auto"/>
                    <w:bottom w:val="none" w:sz="0" w:space="0" w:color="auto"/>
                    <w:right w:val="none" w:sz="0" w:space="0" w:color="auto"/>
                  </w:divBdr>
                </w:div>
                <w:div w:id="294154678">
                  <w:marLeft w:val="0"/>
                  <w:marRight w:val="0"/>
                  <w:marTop w:val="0"/>
                  <w:marBottom w:val="0"/>
                  <w:divBdr>
                    <w:top w:val="none" w:sz="0" w:space="0" w:color="auto"/>
                    <w:left w:val="none" w:sz="0" w:space="0" w:color="auto"/>
                    <w:bottom w:val="none" w:sz="0" w:space="0" w:color="auto"/>
                    <w:right w:val="none" w:sz="0" w:space="0" w:color="auto"/>
                  </w:divBdr>
                </w:div>
                <w:div w:id="294154685">
                  <w:marLeft w:val="0"/>
                  <w:marRight w:val="0"/>
                  <w:marTop w:val="0"/>
                  <w:marBottom w:val="0"/>
                  <w:divBdr>
                    <w:top w:val="none" w:sz="0" w:space="0" w:color="auto"/>
                    <w:left w:val="none" w:sz="0" w:space="0" w:color="auto"/>
                    <w:bottom w:val="none" w:sz="0" w:space="0" w:color="auto"/>
                    <w:right w:val="none" w:sz="0" w:space="0" w:color="auto"/>
                  </w:divBdr>
                </w:div>
                <w:div w:id="294154922">
                  <w:marLeft w:val="0"/>
                  <w:marRight w:val="0"/>
                  <w:marTop w:val="0"/>
                  <w:marBottom w:val="0"/>
                  <w:divBdr>
                    <w:top w:val="none" w:sz="0" w:space="0" w:color="auto"/>
                    <w:left w:val="none" w:sz="0" w:space="0" w:color="auto"/>
                    <w:bottom w:val="none" w:sz="0" w:space="0" w:color="auto"/>
                    <w:right w:val="none" w:sz="0" w:space="0" w:color="auto"/>
                  </w:divBdr>
                </w:div>
                <w:div w:id="294155412">
                  <w:marLeft w:val="0"/>
                  <w:marRight w:val="0"/>
                  <w:marTop w:val="0"/>
                  <w:marBottom w:val="0"/>
                  <w:divBdr>
                    <w:top w:val="none" w:sz="0" w:space="0" w:color="auto"/>
                    <w:left w:val="none" w:sz="0" w:space="0" w:color="auto"/>
                    <w:bottom w:val="none" w:sz="0" w:space="0" w:color="auto"/>
                    <w:right w:val="none" w:sz="0" w:space="0" w:color="auto"/>
                  </w:divBdr>
                </w:div>
                <w:div w:id="294155414">
                  <w:marLeft w:val="0"/>
                  <w:marRight w:val="0"/>
                  <w:marTop w:val="0"/>
                  <w:marBottom w:val="0"/>
                  <w:divBdr>
                    <w:top w:val="none" w:sz="0" w:space="0" w:color="auto"/>
                    <w:left w:val="none" w:sz="0" w:space="0" w:color="auto"/>
                    <w:bottom w:val="none" w:sz="0" w:space="0" w:color="auto"/>
                    <w:right w:val="none" w:sz="0" w:space="0" w:color="auto"/>
                  </w:divBdr>
                </w:div>
                <w:div w:id="294155432">
                  <w:marLeft w:val="0"/>
                  <w:marRight w:val="0"/>
                  <w:marTop w:val="0"/>
                  <w:marBottom w:val="0"/>
                  <w:divBdr>
                    <w:top w:val="none" w:sz="0" w:space="0" w:color="auto"/>
                    <w:left w:val="none" w:sz="0" w:space="0" w:color="auto"/>
                    <w:bottom w:val="none" w:sz="0" w:space="0" w:color="auto"/>
                    <w:right w:val="none" w:sz="0" w:space="0" w:color="auto"/>
                  </w:divBdr>
                </w:div>
                <w:div w:id="294155444">
                  <w:marLeft w:val="0"/>
                  <w:marRight w:val="0"/>
                  <w:marTop w:val="0"/>
                  <w:marBottom w:val="0"/>
                  <w:divBdr>
                    <w:top w:val="none" w:sz="0" w:space="0" w:color="auto"/>
                    <w:left w:val="none" w:sz="0" w:space="0" w:color="auto"/>
                    <w:bottom w:val="none" w:sz="0" w:space="0" w:color="auto"/>
                    <w:right w:val="none" w:sz="0" w:space="0" w:color="auto"/>
                  </w:divBdr>
                </w:div>
                <w:div w:id="294155877">
                  <w:marLeft w:val="0"/>
                  <w:marRight w:val="0"/>
                  <w:marTop w:val="0"/>
                  <w:marBottom w:val="0"/>
                  <w:divBdr>
                    <w:top w:val="none" w:sz="0" w:space="0" w:color="auto"/>
                    <w:left w:val="none" w:sz="0" w:space="0" w:color="auto"/>
                    <w:bottom w:val="none" w:sz="0" w:space="0" w:color="auto"/>
                    <w:right w:val="none" w:sz="0" w:space="0" w:color="auto"/>
                  </w:divBdr>
                </w:div>
                <w:div w:id="294155882">
                  <w:marLeft w:val="0"/>
                  <w:marRight w:val="0"/>
                  <w:marTop w:val="0"/>
                  <w:marBottom w:val="0"/>
                  <w:divBdr>
                    <w:top w:val="none" w:sz="0" w:space="0" w:color="auto"/>
                    <w:left w:val="none" w:sz="0" w:space="0" w:color="auto"/>
                    <w:bottom w:val="none" w:sz="0" w:space="0" w:color="auto"/>
                    <w:right w:val="none" w:sz="0" w:space="0" w:color="auto"/>
                  </w:divBdr>
                </w:div>
                <w:div w:id="294155969">
                  <w:marLeft w:val="0"/>
                  <w:marRight w:val="0"/>
                  <w:marTop w:val="0"/>
                  <w:marBottom w:val="0"/>
                  <w:divBdr>
                    <w:top w:val="none" w:sz="0" w:space="0" w:color="auto"/>
                    <w:left w:val="none" w:sz="0" w:space="0" w:color="auto"/>
                    <w:bottom w:val="none" w:sz="0" w:space="0" w:color="auto"/>
                    <w:right w:val="none" w:sz="0" w:space="0" w:color="auto"/>
                  </w:divBdr>
                </w:div>
                <w:div w:id="294156129">
                  <w:marLeft w:val="0"/>
                  <w:marRight w:val="0"/>
                  <w:marTop w:val="0"/>
                  <w:marBottom w:val="0"/>
                  <w:divBdr>
                    <w:top w:val="none" w:sz="0" w:space="0" w:color="auto"/>
                    <w:left w:val="none" w:sz="0" w:space="0" w:color="auto"/>
                    <w:bottom w:val="none" w:sz="0" w:space="0" w:color="auto"/>
                    <w:right w:val="none" w:sz="0" w:space="0" w:color="auto"/>
                  </w:divBdr>
                </w:div>
                <w:div w:id="294156144">
                  <w:marLeft w:val="0"/>
                  <w:marRight w:val="0"/>
                  <w:marTop w:val="0"/>
                  <w:marBottom w:val="0"/>
                  <w:divBdr>
                    <w:top w:val="none" w:sz="0" w:space="0" w:color="auto"/>
                    <w:left w:val="none" w:sz="0" w:space="0" w:color="auto"/>
                    <w:bottom w:val="none" w:sz="0" w:space="0" w:color="auto"/>
                    <w:right w:val="none" w:sz="0" w:space="0" w:color="auto"/>
                  </w:divBdr>
                </w:div>
                <w:div w:id="294156247">
                  <w:marLeft w:val="0"/>
                  <w:marRight w:val="0"/>
                  <w:marTop w:val="0"/>
                  <w:marBottom w:val="0"/>
                  <w:divBdr>
                    <w:top w:val="none" w:sz="0" w:space="0" w:color="auto"/>
                    <w:left w:val="none" w:sz="0" w:space="0" w:color="auto"/>
                    <w:bottom w:val="none" w:sz="0" w:space="0" w:color="auto"/>
                    <w:right w:val="none" w:sz="0" w:space="0" w:color="auto"/>
                  </w:divBdr>
                </w:div>
                <w:div w:id="294156278">
                  <w:marLeft w:val="0"/>
                  <w:marRight w:val="0"/>
                  <w:marTop w:val="0"/>
                  <w:marBottom w:val="0"/>
                  <w:divBdr>
                    <w:top w:val="none" w:sz="0" w:space="0" w:color="auto"/>
                    <w:left w:val="none" w:sz="0" w:space="0" w:color="auto"/>
                    <w:bottom w:val="none" w:sz="0" w:space="0" w:color="auto"/>
                    <w:right w:val="none" w:sz="0" w:space="0" w:color="auto"/>
                  </w:divBdr>
                </w:div>
                <w:div w:id="294156408">
                  <w:marLeft w:val="0"/>
                  <w:marRight w:val="0"/>
                  <w:marTop w:val="0"/>
                  <w:marBottom w:val="0"/>
                  <w:divBdr>
                    <w:top w:val="none" w:sz="0" w:space="0" w:color="auto"/>
                    <w:left w:val="none" w:sz="0" w:space="0" w:color="auto"/>
                    <w:bottom w:val="none" w:sz="0" w:space="0" w:color="auto"/>
                    <w:right w:val="none" w:sz="0" w:space="0" w:color="auto"/>
                  </w:divBdr>
                </w:div>
                <w:div w:id="294156438">
                  <w:marLeft w:val="0"/>
                  <w:marRight w:val="0"/>
                  <w:marTop w:val="0"/>
                  <w:marBottom w:val="0"/>
                  <w:divBdr>
                    <w:top w:val="none" w:sz="0" w:space="0" w:color="auto"/>
                    <w:left w:val="none" w:sz="0" w:space="0" w:color="auto"/>
                    <w:bottom w:val="none" w:sz="0" w:space="0" w:color="auto"/>
                    <w:right w:val="none" w:sz="0" w:space="0" w:color="auto"/>
                  </w:divBdr>
                </w:div>
                <w:div w:id="294156592">
                  <w:marLeft w:val="0"/>
                  <w:marRight w:val="0"/>
                  <w:marTop w:val="0"/>
                  <w:marBottom w:val="0"/>
                  <w:divBdr>
                    <w:top w:val="none" w:sz="0" w:space="0" w:color="auto"/>
                    <w:left w:val="none" w:sz="0" w:space="0" w:color="auto"/>
                    <w:bottom w:val="none" w:sz="0" w:space="0" w:color="auto"/>
                    <w:right w:val="none" w:sz="0" w:space="0" w:color="auto"/>
                  </w:divBdr>
                </w:div>
                <w:div w:id="294156824">
                  <w:marLeft w:val="0"/>
                  <w:marRight w:val="0"/>
                  <w:marTop w:val="0"/>
                  <w:marBottom w:val="0"/>
                  <w:divBdr>
                    <w:top w:val="none" w:sz="0" w:space="0" w:color="auto"/>
                    <w:left w:val="none" w:sz="0" w:space="0" w:color="auto"/>
                    <w:bottom w:val="none" w:sz="0" w:space="0" w:color="auto"/>
                    <w:right w:val="none" w:sz="0" w:space="0" w:color="auto"/>
                  </w:divBdr>
                </w:div>
                <w:div w:id="294156924">
                  <w:marLeft w:val="0"/>
                  <w:marRight w:val="0"/>
                  <w:marTop w:val="0"/>
                  <w:marBottom w:val="0"/>
                  <w:divBdr>
                    <w:top w:val="none" w:sz="0" w:space="0" w:color="auto"/>
                    <w:left w:val="none" w:sz="0" w:space="0" w:color="auto"/>
                    <w:bottom w:val="none" w:sz="0" w:space="0" w:color="auto"/>
                    <w:right w:val="none" w:sz="0" w:space="0" w:color="auto"/>
                  </w:divBdr>
                </w:div>
                <w:div w:id="294157093">
                  <w:marLeft w:val="0"/>
                  <w:marRight w:val="0"/>
                  <w:marTop w:val="0"/>
                  <w:marBottom w:val="0"/>
                  <w:divBdr>
                    <w:top w:val="none" w:sz="0" w:space="0" w:color="auto"/>
                    <w:left w:val="none" w:sz="0" w:space="0" w:color="auto"/>
                    <w:bottom w:val="none" w:sz="0" w:space="0" w:color="auto"/>
                    <w:right w:val="none" w:sz="0" w:space="0" w:color="auto"/>
                  </w:divBdr>
                </w:div>
                <w:div w:id="294157098">
                  <w:marLeft w:val="0"/>
                  <w:marRight w:val="0"/>
                  <w:marTop w:val="0"/>
                  <w:marBottom w:val="0"/>
                  <w:divBdr>
                    <w:top w:val="none" w:sz="0" w:space="0" w:color="auto"/>
                    <w:left w:val="none" w:sz="0" w:space="0" w:color="auto"/>
                    <w:bottom w:val="none" w:sz="0" w:space="0" w:color="auto"/>
                    <w:right w:val="none" w:sz="0" w:space="0" w:color="auto"/>
                  </w:divBdr>
                </w:div>
                <w:div w:id="294157266">
                  <w:marLeft w:val="0"/>
                  <w:marRight w:val="0"/>
                  <w:marTop w:val="0"/>
                  <w:marBottom w:val="0"/>
                  <w:divBdr>
                    <w:top w:val="none" w:sz="0" w:space="0" w:color="auto"/>
                    <w:left w:val="none" w:sz="0" w:space="0" w:color="auto"/>
                    <w:bottom w:val="none" w:sz="0" w:space="0" w:color="auto"/>
                    <w:right w:val="none" w:sz="0" w:space="0" w:color="auto"/>
                  </w:divBdr>
                </w:div>
                <w:div w:id="294157293">
                  <w:marLeft w:val="0"/>
                  <w:marRight w:val="0"/>
                  <w:marTop w:val="0"/>
                  <w:marBottom w:val="0"/>
                  <w:divBdr>
                    <w:top w:val="none" w:sz="0" w:space="0" w:color="auto"/>
                    <w:left w:val="none" w:sz="0" w:space="0" w:color="auto"/>
                    <w:bottom w:val="none" w:sz="0" w:space="0" w:color="auto"/>
                    <w:right w:val="none" w:sz="0" w:space="0" w:color="auto"/>
                  </w:divBdr>
                </w:div>
                <w:div w:id="29415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7319">
          <w:marLeft w:val="0"/>
          <w:marRight w:val="0"/>
          <w:marTop w:val="0"/>
          <w:marBottom w:val="0"/>
          <w:divBdr>
            <w:top w:val="none" w:sz="0" w:space="0" w:color="auto"/>
            <w:left w:val="none" w:sz="0" w:space="0" w:color="auto"/>
            <w:bottom w:val="none" w:sz="0" w:space="0" w:color="auto"/>
            <w:right w:val="none" w:sz="0" w:space="0" w:color="auto"/>
          </w:divBdr>
          <w:divsChild>
            <w:div w:id="294151587">
              <w:marLeft w:val="0"/>
              <w:marRight w:val="0"/>
              <w:marTop w:val="0"/>
              <w:marBottom w:val="0"/>
              <w:divBdr>
                <w:top w:val="none" w:sz="0" w:space="0" w:color="auto"/>
                <w:left w:val="none" w:sz="0" w:space="0" w:color="auto"/>
                <w:bottom w:val="none" w:sz="0" w:space="0" w:color="auto"/>
                <w:right w:val="none" w:sz="0" w:space="0" w:color="auto"/>
              </w:divBdr>
              <w:divsChild>
                <w:div w:id="294148154">
                  <w:marLeft w:val="0"/>
                  <w:marRight w:val="0"/>
                  <w:marTop w:val="0"/>
                  <w:marBottom w:val="0"/>
                  <w:divBdr>
                    <w:top w:val="none" w:sz="0" w:space="0" w:color="auto"/>
                    <w:left w:val="none" w:sz="0" w:space="0" w:color="auto"/>
                    <w:bottom w:val="none" w:sz="0" w:space="0" w:color="auto"/>
                    <w:right w:val="none" w:sz="0" w:space="0" w:color="auto"/>
                  </w:divBdr>
                  <w:divsChild>
                    <w:div w:id="294138042">
                      <w:marLeft w:val="0"/>
                      <w:marRight w:val="0"/>
                      <w:marTop w:val="0"/>
                      <w:marBottom w:val="0"/>
                      <w:divBdr>
                        <w:top w:val="none" w:sz="0" w:space="0" w:color="auto"/>
                        <w:left w:val="none" w:sz="0" w:space="0" w:color="auto"/>
                        <w:bottom w:val="none" w:sz="0" w:space="0" w:color="auto"/>
                        <w:right w:val="none" w:sz="0" w:space="0" w:color="auto"/>
                      </w:divBdr>
                    </w:div>
                    <w:div w:id="294138062">
                      <w:marLeft w:val="0"/>
                      <w:marRight w:val="0"/>
                      <w:marTop w:val="0"/>
                      <w:marBottom w:val="0"/>
                      <w:divBdr>
                        <w:top w:val="none" w:sz="0" w:space="0" w:color="auto"/>
                        <w:left w:val="none" w:sz="0" w:space="0" w:color="auto"/>
                        <w:bottom w:val="none" w:sz="0" w:space="0" w:color="auto"/>
                        <w:right w:val="none" w:sz="0" w:space="0" w:color="auto"/>
                      </w:divBdr>
                      <w:divsChild>
                        <w:div w:id="294143963">
                          <w:marLeft w:val="0"/>
                          <w:marRight w:val="0"/>
                          <w:marTop w:val="0"/>
                          <w:marBottom w:val="0"/>
                          <w:divBdr>
                            <w:top w:val="none" w:sz="0" w:space="0" w:color="auto"/>
                            <w:left w:val="none" w:sz="0" w:space="0" w:color="auto"/>
                            <w:bottom w:val="none" w:sz="0" w:space="0" w:color="auto"/>
                            <w:right w:val="none" w:sz="0" w:space="0" w:color="auto"/>
                          </w:divBdr>
                        </w:div>
                      </w:divsChild>
                    </w:div>
                    <w:div w:id="294138125">
                      <w:marLeft w:val="0"/>
                      <w:marRight w:val="0"/>
                      <w:marTop w:val="0"/>
                      <w:marBottom w:val="0"/>
                      <w:divBdr>
                        <w:top w:val="none" w:sz="0" w:space="0" w:color="auto"/>
                        <w:left w:val="none" w:sz="0" w:space="0" w:color="auto"/>
                        <w:bottom w:val="none" w:sz="0" w:space="0" w:color="auto"/>
                        <w:right w:val="none" w:sz="0" w:space="0" w:color="auto"/>
                      </w:divBdr>
                      <w:divsChild>
                        <w:div w:id="294143301">
                          <w:marLeft w:val="0"/>
                          <w:marRight w:val="0"/>
                          <w:marTop w:val="0"/>
                          <w:marBottom w:val="0"/>
                          <w:divBdr>
                            <w:top w:val="none" w:sz="0" w:space="0" w:color="auto"/>
                            <w:left w:val="none" w:sz="0" w:space="0" w:color="auto"/>
                            <w:bottom w:val="none" w:sz="0" w:space="0" w:color="auto"/>
                            <w:right w:val="none" w:sz="0" w:space="0" w:color="auto"/>
                          </w:divBdr>
                        </w:div>
                      </w:divsChild>
                    </w:div>
                    <w:div w:id="294138165">
                      <w:marLeft w:val="0"/>
                      <w:marRight w:val="0"/>
                      <w:marTop w:val="0"/>
                      <w:marBottom w:val="0"/>
                      <w:divBdr>
                        <w:top w:val="none" w:sz="0" w:space="0" w:color="auto"/>
                        <w:left w:val="none" w:sz="0" w:space="0" w:color="auto"/>
                        <w:bottom w:val="none" w:sz="0" w:space="0" w:color="auto"/>
                        <w:right w:val="none" w:sz="0" w:space="0" w:color="auto"/>
                      </w:divBdr>
                      <w:divsChild>
                        <w:div w:id="294157117">
                          <w:marLeft w:val="0"/>
                          <w:marRight w:val="0"/>
                          <w:marTop w:val="0"/>
                          <w:marBottom w:val="0"/>
                          <w:divBdr>
                            <w:top w:val="none" w:sz="0" w:space="0" w:color="auto"/>
                            <w:left w:val="none" w:sz="0" w:space="0" w:color="auto"/>
                            <w:bottom w:val="none" w:sz="0" w:space="0" w:color="auto"/>
                            <w:right w:val="none" w:sz="0" w:space="0" w:color="auto"/>
                          </w:divBdr>
                        </w:div>
                      </w:divsChild>
                    </w:div>
                    <w:div w:id="294138185">
                      <w:marLeft w:val="0"/>
                      <w:marRight w:val="0"/>
                      <w:marTop w:val="0"/>
                      <w:marBottom w:val="0"/>
                      <w:divBdr>
                        <w:top w:val="none" w:sz="0" w:space="0" w:color="auto"/>
                        <w:left w:val="none" w:sz="0" w:space="0" w:color="auto"/>
                        <w:bottom w:val="none" w:sz="0" w:space="0" w:color="auto"/>
                        <w:right w:val="none" w:sz="0" w:space="0" w:color="auto"/>
                      </w:divBdr>
                    </w:div>
                    <w:div w:id="294138327">
                      <w:marLeft w:val="0"/>
                      <w:marRight w:val="0"/>
                      <w:marTop w:val="0"/>
                      <w:marBottom w:val="0"/>
                      <w:divBdr>
                        <w:top w:val="none" w:sz="0" w:space="0" w:color="auto"/>
                        <w:left w:val="none" w:sz="0" w:space="0" w:color="auto"/>
                        <w:bottom w:val="none" w:sz="0" w:space="0" w:color="auto"/>
                        <w:right w:val="none" w:sz="0" w:space="0" w:color="auto"/>
                      </w:divBdr>
                    </w:div>
                    <w:div w:id="294138331">
                      <w:marLeft w:val="0"/>
                      <w:marRight w:val="0"/>
                      <w:marTop w:val="0"/>
                      <w:marBottom w:val="0"/>
                      <w:divBdr>
                        <w:top w:val="none" w:sz="0" w:space="0" w:color="auto"/>
                        <w:left w:val="none" w:sz="0" w:space="0" w:color="auto"/>
                        <w:bottom w:val="none" w:sz="0" w:space="0" w:color="auto"/>
                        <w:right w:val="none" w:sz="0" w:space="0" w:color="auto"/>
                      </w:divBdr>
                    </w:div>
                    <w:div w:id="294138415">
                      <w:marLeft w:val="0"/>
                      <w:marRight w:val="0"/>
                      <w:marTop w:val="0"/>
                      <w:marBottom w:val="0"/>
                      <w:divBdr>
                        <w:top w:val="none" w:sz="0" w:space="0" w:color="auto"/>
                        <w:left w:val="none" w:sz="0" w:space="0" w:color="auto"/>
                        <w:bottom w:val="none" w:sz="0" w:space="0" w:color="auto"/>
                        <w:right w:val="none" w:sz="0" w:space="0" w:color="auto"/>
                      </w:divBdr>
                      <w:divsChild>
                        <w:div w:id="294139350">
                          <w:marLeft w:val="0"/>
                          <w:marRight w:val="0"/>
                          <w:marTop w:val="0"/>
                          <w:marBottom w:val="0"/>
                          <w:divBdr>
                            <w:top w:val="none" w:sz="0" w:space="0" w:color="auto"/>
                            <w:left w:val="none" w:sz="0" w:space="0" w:color="auto"/>
                            <w:bottom w:val="none" w:sz="0" w:space="0" w:color="auto"/>
                            <w:right w:val="none" w:sz="0" w:space="0" w:color="auto"/>
                          </w:divBdr>
                        </w:div>
                      </w:divsChild>
                    </w:div>
                    <w:div w:id="294138495">
                      <w:marLeft w:val="0"/>
                      <w:marRight w:val="0"/>
                      <w:marTop w:val="0"/>
                      <w:marBottom w:val="0"/>
                      <w:divBdr>
                        <w:top w:val="none" w:sz="0" w:space="0" w:color="auto"/>
                        <w:left w:val="none" w:sz="0" w:space="0" w:color="auto"/>
                        <w:bottom w:val="none" w:sz="0" w:space="0" w:color="auto"/>
                        <w:right w:val="none" w:sz="0" w:space="0" w:color="auto"/>
                      </w:divBdr>
                    </w:div>
                    <w:div w:id="294138542">
                      <w:marLeft w:val="0"/>
                      <w:marRight w:val="0"/>
                      <w:marTop w:val="0"/>
                      <w:marBottom w:val="0"/>
                      <w:divBdr>
                        <w:top w:val="none" w:sz="0" w:space="0" w:color="auto"/>
                        <w:left w:val="none" w:sz="0" w:space="0" w:color="auto"/>
                        <w:bottom w:val="none" w:sz="0" w:space="0" w:color="auto"/>
                        <w:right w:val="none" w:sz="0" w:space="0" w:color="auto"/>
                      </w:divBdr>
                    </w:div>
                    <w:div w:id="294138661">
                      <w:marLeft w:val="0"/>
                      <w:marRight w:val="0"/>
                      <w:marTop w:val="0"/>
                      <w:marBottom w:val="0"/>
                      <w:divBdr>
                        <w:top w:val="none" w:sz="0" w:space="0" w:color="auto"/>
                        <w:left w:val="none" w:sz="0" w:space="0" w:color="auto"/>
                        <w:bottom w:val="none" w:sz="0" w:space="0" w:color="auto"/>
                        <w:right w:val="none" w:sz="0" w:space="0" w:color="auto"/>
                      </w:divBdr>
                      <w:divsChild>
                        <w:div w:id="294156962">
                          <w:marLeft w:val="0"/>
                          <w:marRight w:val="0"/>
                          <w:marTop w:val="0"/>
                          <w:marBottom w:val="0"/>
                          <w:divBdr>
                            <w:top w:val="none" w:sz="0" w:space="0" w:color="auto"/>
                            <w:left w:val="none" w:sz="0" w:space="0" w:color="auto"/>
                            <w:bottom w:val="none" w:sz="0" w:space="0" w:color="auto"/>
                            <w:right w:val="none" w:sz="0" w:space="0" w:color="auto"/>
                          </w:divBdr>
                        </w:div>
                      </w:divsChild>
                    </w:div>
                    <w:div w:id="294138701">
                      <w:marLeft w:val="0"/>
                      <w:marRight w:val="0"/>
                      <w:marTop w:val="0"/>
                      <w:marBottom w:val="0"/>
                      <w:divBdr>
                        <w:top w:val="none" w:sz="0" w:space="0" w:color="auto"/>
                        <w:left w:val="none" w:sz="0" w:space="0" w:color="auto"/>
                        <w:bottom w:val="none" w:sz="0" w:space="0" w:color="auto"/>
                        <w:right w:val="none" w:sz="0" w:space="0" w:color="auto"/>
                      </w:divBdr>
                    </w:div>
                    <w:div w:id="294138774">
                      <w:marLeft w:val="0"/>
                      <w:marRight w:val="0"/>
                      <w:marTop w:val="0"/>
                      <w:marBottom w:val="0"/>
                      <w:divBdr>
                        <w:top w:val="none" w:sz="0" w:space="0" w:color="auto"/>
                        <w:left w:val="none" w:sz="0" w:space="0" w:color="auto"/>
                        <w:bottom w:val="none" w:sz="0" w:space="0" w:color="auto"/>
                        <w:right w:val="none" w:sz="0" w:space="0" w:color="auto"/>
                      </w:divBdr>
                    </w:div>
                    <w:div w:id="294139130">
                      <w:marLeft w:val="0"/>
                      <w:marRight w:val="0"/>
                      <w:marTop w:val="0"/>
                      <w:marBottom w:val="0"/>
                      <w:divBdr>
                        <w:top w:val="none" w:sz="0" w:space="0" w:color="auto"/>
                        <w:left w:val="none" w:sz="0" w:space="0" w:color="auto"/>
                        <w:bottom w:val="none" w:sz="0" w:space="0" w:color="auto"/>
                        <w:right w:val="none" w:sz="0" w:space="0" w:color="auto"/>
                      </w:divBdr>
                      <w:divsChild>
                        <w:div w:id="294145203">
                          <w:marLeft w:val="0"/>
                          <w:marRight w:val="0"/>
                          <w:marTop w:val="0"/>
                          <w:marBottom w:val="0"/>
                          <w:divBdr>
                            <w:top w:val="none" w:sz="0" w:space="0" w:color="auto"/>
                            <w:left w:val="none" w:sz="0" w:space="0" w:color="auto"/>
                            <w:bottom w:val="none" w:sz="0" w:space="0" w:color="auto"/>
                            <w:right w:val="none" w:sz="0" w:space="0" w:color="auto"/>
                          </w:divBdr>
                        </w:div>
                      </w:divsChild>
                    </w:div>
                    <w:div w:id="294139230">
                      <w:marLeft w:val="0"/>
                      <w:marRight w:val="0"/>
                      <w:marTop w:val="0"/>
                      <w:marBottom w:val="0"/>
                      <w:divBdr>
                        <w:top w:val="none" w:sz="0" w:space="0" w:color="auto"/>
                        <w:left w:val="none" w:sz="0" w:space="0" w:color="auto"/>
                        <w:bottom w:val="none" w:sz="0" w:space="0" w:color="auto"/>
                        <w:right w:val="none" w:sz="0" w:space="0" w:color="auto"/>
                      </w:divBdr>
                    </w:div>
                    <w:div w:id="294139259">
                      <w:marLeft w:val="0"/>
                      <w:marRight w:val="0"/>
                      <w:marTop w:val="0"/>
                      <w:marBottom w:val="0"/>
                      <w:divBdr>
                        <w:top w:val="none" w:sz="0" w:space="0" w:color="auto"/>
                        <w:left w:val="none" w:sz="0" w:space="0" w:color="auto"/>
                        <w:bottom w:val="none" w:sz="0" w:space="0" w:color="auto"/>
                        <w:right w:val="none" w:sz="0" w:space="0" w:color="auto"/>
                      </w:divBdr>
                      <w:divsChild>
                        <w:div w:id="294152906">
                          <w:marLeft w:val="0"/>
                          <w:marRight w:val="0"/>
                          <w:marTop w:val="0"/>
                          <w:marBottom w:val="0"/>
                          <w:divBdr>
                            <w:top w:val="none" w:sz="0" w:space="0" w:color="auto"/>
                            <w:left w:val="none" w:sz="0" w:space="0" w:color="auto"/>
                            <w:bottom w:val="none" w:sz="0" w:space="0" w:color="auto"/>
                            <w:right w:val="none" w:sz="0" w:space="0" w:color="auto"/>
                          </w:divBdr>
                        </w:div>
                      </w:divsChild>
                    </w:div>
                    <w:div w:id="294139270">
                      <w:marLeft w:val="0"/>
                      <w:marRight w:val="0"/>
                      <w:marTop w:val="0"/>
                      <w:marBottom w:val="0"/>
                      <w:divBdr>
                        <w:top w:val="none" w:sz="0" w:space="0" w:color="auto"/>
                        <w:left w:val="none" w:sz="0" w:space="0" w:color="auto"/>
                        <w:bottom w:val="none" w:sz="0" w:space="0" w:color="auto"/>
                        <w:right w:val="none" w:sz="0" w:space="0" w:color="auto"/>
                      </w:divBdr>
                      <w:divsChild>
                        <w:div w:id="294147507">
                          <w:marLeft w:val="0"/>
                          <w:marRight w:val="0"/>
                          <w:marTop w:val="0"/>
                          <w:marBottom w:val="0"/>
                          <w:divBdr>
                            <w:top w:val="none" w:sz="0" w:space="0" w:color="auto"/>
                            <w:left w:val="none" w:sz="0" w:space="0" w:color="auto"/>
                            <w:bottom w:val="none" w:sz="0" w:space="0" w:color="auto"/>
                            <w:right w:val="none" w:sz="0" w:space="0" w:color="auto"/>
                          </w:divBdr>
                        </w:div>
                      </w:divsChild>
                    </w:div>
                    <w:div w:id="294139355">
                      <w:marLeft w:val="0"/>
                      <w:marRight w:val="0"/>
                      <w:marTop w:val="0"/>
                      <w:marBottom w:val="0"/>
                      <w:divBdr>
                        <w:top w:val="none" w:sz="0" w:space="0" w:color="auto"/>
                        <w:left w:val="none" w:sz="0" w:space="0" w:color="auto"/>
                        <w:bottom w:val="none" w:sz="0" w:space="0" w:color="auto"/>
                        <w:right w:val="none" w:sz="0" w:space="0" w:color="auto"/>
                      </w:divBdr>
                    </w:div>
                    <w:div w:id="294139589">
                      <w:marLeft w:val="0"/>
                      <w:marRight w:val="0"/>
                      <w:marTop w:val="0"/>
                      <w:marBottom w:val="0"/>
                      <w:divBdr>
                        <w:top w:val="none" w:sz="0" w:space="0" w:color="auto"/>
                        <w:left w:val="none" w:sz="0" w:space="0" w:color="auto"/>
                        <w:bottom w:val="none" w:sz="0" w:space="0" w:color="auto"/>
                        <w:right w:val="none" w:sz="0" w:space="0" w:color="auto"/>
                      </w:divBdr>
                      <w:divsChild>
                        <w:div w:id="294150723">
                          <w:marLeft w:val="0"/>
                          <w:marRight w:val="0"/>
                          <w:marTop w:val="0"/>
                          <w:marBottom w:val="0"/>
                          <w:divBdr>
                            <w:top w:val="none" w:sz="0" w:space="0" w:color="auto"/>
                            <w:left w:val="none" w:sz="0" w:space="0" w:color="auto"/>
                            <w:bottom w:val="none" w:sz="0" w:space="0" w:color="auto"/>
                            <w:right w:val="none" w:sz="0" w:space="0" w:color="auto"/>
                          </w:divBdr>
                        </w:div>
                      </w:divsChild>
                    </w:div>
                    <w:div w:id="294139641">
                      <w:marLeft w:val="0"/>
                      <w:marRight w:val="0"/>
                      <w:marTop w:val="0"/>
                      <w:marBottom w:val="0"/>
                      <w:divBdr>
                        <w:top w:val="none" w:sz="0" w:space="0" w:color="auto"/>
                        <w:left w:val="none" w:sz="0" w:space="0" w:color="auto"/>
                        <w:bottom w:val="none" w:sz="0" w:space="0" w:color="auto"/>
                        <w:right w:val="none" w:sz="0" w:space="0" w:color="auto"/>
                      </w:divBdr>
                    </w:div>
                    <w:div w:id="294139746">
                      <w:marLeft w:val="0"/>
                      <w:marRight w:val="0"/>
                      <w:marTop w:val="0"/>
                      <w:marBottom w:val="0"/>
                      <w:divBdr>
                        <w:top w:val="none" w:sz="0" w:space="0" w:color="auto"/>
                        <w:left w:val="none" w:sz="0" w:space="0" w:color="auto"/>
                        <w:bottom w:val="none" w:sz="0" w:space="0" w:color="auto"/>
                        <w:right w:val="none" w:sz="0" w:space="0" w:color="auto"/>
                      </w:divBdr>
                    </w:div>
                    <w:div w:id="294139894">
                      <w:marLeft w:val="0"/>
                      <w:marRight w:val="0"/>
                      <w:marTop w:val="0"/>
                      <w:marBottom w:val="0"/>
                      <w:divBdr>
                        <w:top w:val="none" w:sz="0" w:space="0" w:color="auto"/>
                        <w:left w:val="none" w:sz="0" w:space="0" w:color="auto"/>
                        <w:bottom w:val="none" w:sz="0" w:space="0" w:color="auto"/>
                        <w:right w:val="none" w:sz="0" w:space="0" w:color="auto"/>
                      </w:divBdr>
                    </w:div>
                    <w:div w:id="294139912">
                      <w:marLeft w:val="0"/>
                      <w:marRight w:val="0"/>
                      <w:marTop w:val="0"/>
                      <w:marBottom w:val="0"/>
                      <w:divBdr>
                        <w:top w:val="none" w:sz="0" w:space="0" w:color="auto"/>
                        <w:left w:val="none" w:sz="0" w:space="0" w:color="auto"/>
                        <w:bottom w:val="none" w:sz="0" w:space="0" w:color="auto"/>
                        <w:right w:val="none" w:sz="0" w:space="0" w:color="auto"/>
                      </w:divBdr>
                    </w:div>
                    <w:div w:id="294139948">
                      <w:marLeft w:val="0"/>
                      <w:marRight w:val="0"/>
                      <w:marTop w:val="0"/>
                      <w:marBottom w:val="0"/>
                      <w:divBdr>
                        <w:top w:val="none" w:sz="0" w:space="0" w:color="auto"/>
                        <w:left w:val="none" w:sz="0" w:space="0" w:color="auto"/>
                        <w:bottom w:val="none" w:sz="0" w:space="0" w:color="auto"/>
                        <w:right w:val="none" w:sz="0" w:space="0" w:color="auto"/>
                      </w:divBdr>
                      <w:divsChild>
                        <w:div w:id="294153965">
                          <w:marLeft w:val="0"/>
                          <w:marRight w:val="0"/>
                          <w:marTop w:val="0"/>
                          <w:marBottom w:val="0"/>
                          <w:divBdr>
                            <w:top w:val="none" w:sz="0" w:space="0" w:color="auto"/>
                            <w:left w:val="none" w:sz="0" w:space="0" w:color="auto"/>
                            <w:bottom w:val="none" w:sz="0" w:space="0" w:color="auto"/>
                            <w:right w:val="none" w:sz="0" w:space="0" w:color="auto"/>
                          </w:divBdr>
                        </w:div>
                      </w:divsChild>
                    </w:div>
                    <w:div w:id="294139972">
                      <w:marLeft w:val="0"/>
                      <w:marRight w:val="0"/>
                      <w:marTop w:val="0"/>
                      <w:marBottom w:val="0"/>
                      <w:divBdr>
                        <w:top w:val="none" w:sz="0" w:space="0" w:color="auto"/>
                        <w:left w:val="none" w:sz="0" w:space="0" w:color="auto"/>
                        <w:bottom w:val="none" w:sz="0" w:space="0" w:color="auto"/>
                        <w:right w:val="none" w:sz="0" w:space="0" w:color="auto"/>
                      </w:divBdr>
                    </w:div>
                    <w:div w:id="294140013">
                      <w:marLeft w:val="0"/>
                      <w:marRight w:val="0"/>
                      <w:marTop w:val="0"/>
                      <w:marBottom w:val="0"/>
                      <w:divBdr>
                        <w:top w:val="none" w:sz="0" w:space="0" w:color="auto"/>
                        <w:left w:val="none" w:sz="0" w:space="0" w:color="auto"/>
                        <w:bottom w:val="none" w:sz="0" w:space="0" w:color="auto"/>
                        <w:right w:val="none" w:sz="0" w:space="0" w:color="auto"/>
                      </w:divBdr>
                      <w:divsChild>
                        <w:div w:id="294139935">
                          <w:marLeft w:val="0"/>
                          <w:marRight w:val="0"/>
                          <w:marTop w:val="0"/>
                          <w:marBottom w:val="0"/>
                          <w:divBdr>
                            <w:top w:val="none" w:sz="0" w:space="0" w:color="auto"/>
                            <w:left w:val="none" w:sz="0" w:space="0" w:color="auto"/>
                            <w:bottom w:val="none" w:sz="0" w:space="0" w:color="auto"/>
                            <w:right w:val="none" w:sz="0" w:space="0" w:color="auto"/>
                          </w:divBdr>
                        </w:div>
                      </w:divsChild>
                    </w:div>
                    <w:div w:id="294140084">
                      <w:marLeft w:val="0"/>
                      <w:marRight w:val="0"/>
                      <w:marTop w:val="0"/>
                      <w:marBottom w:val="0"/>
                      <w:divBdr>
                        <w:top w:val="none" w:sz="0" w:space="0" w:color="auto"/>
                        <w:left w:val="none" w:sz="0" w:space="0" w:color="auto"/>
                        <w:bottom w:val="none" w:sz="0" w:space="0" w:color="auto"/>
                        <w:right w:val="none" w:sz="0" w:space="0" w:color="auto"/>
                      </w:divBdr>
                    </w:div>
                    <w:div w:id="294140131">
                      <w:marLeft w:val="0"/>
                      <w:marRight w:val="0"/>
                      <w:marTop w:val="0"/>
                      <w:marBottom w:val="0"/>
                      <w:divBdr>
                        <w:top w:val="none" w:sz="0" w:space="0" w:color="auto"/>
                        <w:left w:val="none" w:sz="0" w:space="0" w:color="auto"/>
                        <w:bottom w:val="none" w:sz="0" w:space="0" w:color="auto"/>
                        <w:right w:val="none" w:sz="0" w:space="0" w:color="auto"/>
                      </w:divBdr>
                    </w:div>
                    <w:div w:id="294140165">
                      <w:marLeft w:val="0"/>
                      <w:marRight w:val="0"/>
                      <w:marTop w:val="0"/>
                      <w:marBottom w:val="0"/>
                      <w:divBdr>
                        <w:top w:val="none" w:sz="0" w:space="0" w:color="auto"/>
                        <w:left w:val="none" w:sz="0" w:space="0" w:color="auto"/>
                        <w:bottom w:val="none" w:sz="0" w:space="0" w:color="auto"/>
                        <w:right w:val="none" w:sz="0" w:space="0" w:color="auto"/>
                      </w:divBdr>
                    </w:div>
                    <w:div w:id="294140275">
                      <w:marLeft w:val="0"/>
                      <w:marRight w:val="0"/>
                      <w:marTop w:val="0"/>
                      <w:marBottom w:val="0"/>
                      <w:divBdr>
                        <w:top w:val="none" w:sz="0" w:space="0" w:color="auto"/>
                        <w:left w:val="none" w:sz="0" w:space="0" w:color="auto"/>
                        <w:bottom w:val="none" w:sz="0" w:space="0" w:color="auto"/>
                        <w:right w:val="none" w:sz="0" w:space="0" w:color="auto"/>
                      </w:divBdr>
                      <w:divsChild>
                        <w:div w:id="294147300">
                          <w:marLeft w:val="0"/>
                          <w:marRight w:val="0"/>
                          <w:marTop w:val="0"/>
                          <w:marBottom w:val="0"/>
                          <w:divBdr>
                            <w:top w:val="none" w:sz="0" w:space="0" w:color="auto"/>
                            <w:left w:val="none" w:sz="0" w:space="0" w:color="auto"/>
                            <w:bottom w:val="none" w:sz="0" w:space="0" w:color="auto"/>
                            <w:right w:val="none" w:sz="0" w:space="0" w:color="auto"/>
                          </w:divBdr>
                        </w:div>
                      </w:divsChild>
                    </w:div>
                    <w:div w:id="294140323">
                      <w:marLeft w:val="0"/>
                      <w:marRight w:val="0"/>
                      <w:marTop w:val="0"/>
                      <w:marBottom w:val="0"/>
                      <w:divBdr>
                        <w:top w:val="none" w:sz="0" w:space="0" w:color="auto"/>
                        <w:left w:val="none" w:sz="0" w:space="0" w:color="auto"/>
                        <w:bottom w:val="none" w:sz="0" w:space="0" w:color="auto"/>
                        <w:right w:val="none" w:sz="0" w:space="0" w:color="auto"/>
                      </w:divBdr>
                    </w:div>
                    <w:div w:id="294140367">
                      <w:marLeft w:val="0"/>
                      <w:marRight w:val="0"/>
                      <w:marTop w:val="0"/>
                      <w:marBottom w:val="0"/>
                      <w:divBdr>
                        <w:top w:val="none" w:sz="0" w:space="0" w:color="auto"/>
                        <w:left w:val="none" w:sz="0" w:space="0" w:color="auto"/>
                        <w:bottom w:val="none" w:sz="0" w:space="0" w:color="auto"/>
                        <w:right w:val="none" w:sz="0" w:space="0" w:color="auto"/>
                      </w:divBdr>
                    </w:div>
                    <w:div w:id="294140516">
                      <w:marLeft w:val="0"/>
                      <w:marRight w:val="0"/>
                      <w:marTop w:val="0"/>
                      <w:marBottom w:val="0"/>
                      <w:divBdr>
                        <w:top w:val="none" w:sz="0" w:space="0" w:color="auto"/>
                        <w:left w:val="none" w:sz="0" w:space="0" w:color="auto"/>
                        <w:bottom w:val="none" w:sz="0" w:space="0" w:color="auto"/>
                        <w:right w:val="none" w:sz="0" w:space="0" w:color="auto"/>
                      </w:divBdr>
                      <w:divsChild>
                        <w:div w:id="294148412">
                          <w:marLeft w:val="0"/>
                          <w:marRight w:val="0"/>
                          <w:marTop w:val="0"/>
                          <w:marBottom w:val="0"/>
                          <w:divBdr>
                            <w:top w:val="none" w:sz="0" w:space="0" w:color="auto"/>
                            <w:left w:val="none" w:sz="0" w:space="0" w:color="auto"/>
                            <w:bottom w:val="none" w:sz="0" w:space="0" w:color="auto"/>
                            <w:right w:val="none" w:sz="0" w:space="0" w:color="auto"/>
                          </w:divBdr>
                        </w:div>
                      </w:divsChild>
                    </w:div>
                    <w:div w:id="294140571">
                      <w:marLeft w:val="0"/>
                      <w:marRight w:val="0"/>
                      <w:marTop w:val="0"/>
                      <w:marBottom w:val="0"/>
                      <w:divBdr>
                        <w:top w:val="none" w:sz="0" w:space="0" w:color="auto"/>
                        <w:left w:val="none" w:sz="0" w:space="0" w:color="auto"/>
                        <w:bottom w:val="none" w:sz="0" w:space="0" w:color="auto"/>
                        <w:right w:val="none" w:sz="0" w:space="0" w:color="auto"/>
                      </w:divBdr>
                      <w:divsChild>
                        <w:div w:id="294139067">
                          <w:marLeft w:val="0"/>
                          <w:marRight w:val="0"/>
                          <w:marTop w:val="0"/>
                          <w:marBottom w:val="0"/>
                          <w:divBdr>
                            <w:top w:val="none" w:sz="0" w:space="0" w:color="auto"/>
                            <w:left w:val="none" w:sz="0" w:space="0" w:color="auto"/>
                            <w:bottom w:val="none" w:sz="0" w:space="0" w:color="auto"/>
                            <w:right w:val="none" w:sz="0" w:space="0" w:color="auto"/>
                          </w:divBdr>
                        </w:div>
                      </w:divsChild>
                    </w:div>
                    <w:div w:id="294140586">
                      <w:marLeft w:val="0"/>
                      <w:marRight w:val="0"/>
                      <w:marTop w:val="0"/>
                      <w:marBottom w:val="0"/>
                      <w:divBdr>
                        <w:top w:val="none" w:sz="0" w:space="0" w:color="auto"/>
                        <w:left w:val="none" w:sz="0" w:space="0" w:color="auto"/>
                        <w:bottom w:val="none" w:sz="0" w:space="0" w:color="auto"/>
                        <w:right w:val="none" w:sz="0" w:space="0" w:color="auto"/>
                      </w:divBdr>
                    </w:div>
                    <w:div w:id="294140621">
                      <w:marLeft w:val="0"/>
                      <w:marRight w:val="0"/>
                      <w:marTop w:val="0"/>
                      <w:marBottom w:val="0"/>
                      <w:divBdr>
                        <w:top w:val="none" w:sz="0" w:space="0" w:color="auto"/>
                        <w:left w:val="none" w:sz="0" w:space="0" w:color="auto"/>
                        <w:bottom w:val="none" w:sz="0" w:space="0" w:color="auto"/>
                        <w:right w:val="none" w:sz="0" w:space="0" w:color="auto"/>
                      </w:divBdr>
                      <w:divsChild>
                        <w:div w:id="294149453">
                          <w:marLeft w:val="0"/>
                          <w:marRight w:val="0"/>
                          <w:marTop w:val="0"/>
                          <w:marBottom w:val="0"/>
                          <w:divBdr>
                            <w:top w:val="none" w:sz="0" w:space="0" w:color="auto"/>
                            <w:left w:val="none" w:sz="0" w:space="0" w:color="auto"/>
                            <w:bottom w:val="none" w:sz="0" w:space="0" w:color="auto"/>
                            <w:right w:val="none" w:sz="0" w:space="0" w:color="auto"/>
                          </w:divBdr>
                        </w:div>
                      </w:divsChild>
                    </w:div>
                    <w:div w:id="294140641">
                      <w:marLeft w:val="0"/>
                      <w:marRight w:val="0"/>
                      <w:marTop w:val="0"/>
                      <w:marBottom w:val="0"/>
                      <w:divBdr>
                        <w:top w:val="none" w:sz="0" w:space="0" w:color="auto"/>
                        <w:left w:val="none" w:sz="0" w:space="0" w:color="auto"/>
                        <w:bottom w:val="none" w:sz="0" w:space="0" w:color="auto"/>
                        <w:right w:val="none" w:sz="0" w:space="0" w:color="auto"/>
                      </w:divBdr>
                      <w:divsChild>
                        <w:div w:id="294142046">
                          <w:marLeft w:val="0"/>
                          <w:marRight w:val="0"/>
                          <w:marTop w:val="0"/>
                          <w:marBottom w:val="0"/>
                          <w:divBdr>
                            <w:top w:val="none" w:sz="0" w:space="0" w:color="auto"/>
                            <w:left w:val="none" w:sz="0" w:space="0" w:color="auto"/>
                            <w:bottom w:val="none" w:sz="0" w:space="0" w:color="auto"/>
                            <w:right w:val="none" w:sz="0" w:space="0" w:color="auto"/>
                          </w:divBdr>
                        </w:div>
                      </w:divsChild>
                    </w:div>
                    <w:div w:id="294140661">
                      <w:marLeft w:val="0"/>
                      <w:marRight w:val="0"/>
                      <w:marTop w:val="0"/>
                      <w:marBottom w:val="0"/>
                      <w:divBdr>
                        <w:top w:val="none" w:sz="0" w:space="0" w:color="auto"/>
                        <w:left w:val="none" w:sz="0" w:space="0" w:color="auto"/>
                        <w:bottom w:val="none" w:sz="0" w:space="0" w:color="auto"/>
                        <w:right w:val="none" w:sz="0" w:space="0" w:color="auto"/>
                      </w:divBdr>
                      <w:divsChild>
                        <w:div w:id="294155402">
                          <w:marLeft w:val="0"/>
                          <w:marRight w:val="0"/>
                          <w:marTop w:val="0"/>
                          <w:marBottom w:val="0"/>
                          <w:divBdr>
                            <w:top w:val="none" w:sz="0" w:space="0" w:color="auto"/>
                            <w:left w:val="none" w:sz="0" w:space="0" w:color="auto"/>
                            <w:bottom w:val="none" w:sz="0" w:space="0" w:color="auto"/>
                            <w:right w:val="none" w:sz="0" w:space="0" w:color="auto"/>
                          </w:divBdr>
                        </w:div>
                      </w:divsChild>
                    </w:div>
                    <w:div w:id="294140664">
                      <w:marLeft w:val="0"/>
                      <w:marRight w:val="0"/>
                      <w:marTop w:val="0"/>
                      <w:marBottom w:val="0"/>
                      <w:divBdr>
                        <w:top w:val="none" w:sz="0" w:space="0" w:color="auto"/>
                        <w:left w:val="none" w:sz="0" w:space="0" w:color="auto"/>
                        <w:bottom w:val="none" w:sz="0" w:space="0" w:color="auto"/>
                        <w:right w:val="none" w:sz="0" w:space="0" w:color="auto"/>
                      </w:divBdr>
                      <w:divsChild>
                        <w:div w:id="294145497">
                          <w:marLeft w:val="0"/>
                          <w:marRight w:val="0"/>
                          <w:marTop w:val="0"/>
                          <w:marBottom w:val="0"/>
                          <w:divBdr>
                            <w:top w:val="none" w:sz="0" w:space="0" w:color="auto"/>
                            <w:left w:val="none" w:sz="0" w:space="0" w:color="auto"/>
                            <w:bottom w:val="none" w:sz="0" w:space="0" w:color="auto"/>
                            <w:right w:val="none" w:sz="0" w:space="0" w:color="auto"/>
                          </w:divBdr>
                        </w:div>
                      </w:divsChild>
                    </w:div>
                    <w:div w:id="294140671">
                      <w:marLeft w:val="0"/>
                      <w:marRight w:val="0"/>
                      <w:marTop w:val="0"/>
                      <w:marBottom w:val="0"/>
                      <w:divBdr>
                        <w:top w:val="none" w:sz="0" w:space="0" w:color="auto"/>
                        <w:left w:val="none" w:sz="0" w:space="0" w:color="auto"/>
                        <w:bottom w:val="none" w:sz="0" w:space="0" w:color="auto"/>
                        <w:right w:val="none" w:sz="0" w:space="0" w:color="auto"/>
                      </w:divBdr>
                      <w:divsChild>
                        <w:div w:id="294138770">
                          <w:marLeft w:val="0"/>
                          <w:marRight w:val="0"/>
                          <w:marTop w:val="0"/>
                          <w:marBottom w:val="0"/>
                          <w:divBdr>
                            <w:top w:val="none" w:sz="0" w:space="0" w:color="auto"/>
                            <w:left w:val="none" w:sz="0" w:space="0" w:color="auto"/>
                            <w:bottom w:val="none" w:sz="0" w:space="0" w:color="auto"/>
                            <w:right w:val="none" w:sz="0" w:space="0" w:color="auto"/>
                          </w:divBdr>
                        </w:div>
                      </w:divsChild>
                    </w:div>
                    <w:div w:id="294140689">
                      <w:marLeft w:val="0"/>
                      <w:marRight w:val="0"/>
                      <w:marTop w:val="0"/>
                      <w:marBottom w:val="0"/>
                      <w:divBdr>
                        <w:top w:val="none" w:sz="0" w:space="0" w:color="auto"/>
                        <w:left w:val="none" w:sz="0" w:space="0" w:color="auto"/>
                        <w:bottom w:val="none" w:sz="0" w:space="0" w:color="auto"/>
                        <w:right w:val="none" w:sz="0" w:space="0" w:color="auto"/>
                      </w:divBdr>
                      <w:divsChild>
                        <w:div w:id="294151666">
                          <w:marLeft w:val="0"/>
                          <w:marRight w:val="0"/>
                          <w:marTop w:val="0"/>
                          <w:marBottom w:val="0"/>
                          <w:divBdr>
                            <w:top w:val="none" w:sz="0" w:space="0" w:color="auto"/>
                            <w:left w:val="none" w:sz="0" w:space="0" w:color="auto"/>
                            <w:bottom w:val="none" w:sz="0" w:space="0" w:color="auto"/>
                            <w:right w:val="none" w:sz="0" w:space="0" w:color="auto"/>
                          </w:divBdr>
                        </w:div>
                      </w:divsChild>
                    </w:div>
                    <w:div w:id="294140742">
                      <w:marLeft w:val="0"/>
                      <w:marRight w:val="0"/>
                      <w:marTop w:val="0"/>
                      <w:marBottom w:val="0"/>
                      <w:divBdr>
                        <w:top w:val="none" w:sz="0" w:space="0" w:color="auto"/>
                        <w:left w:val="none" w:sz="0" w:space="0" w:color="auto"/>
                        <w:bottom w:val="none" w:sz="0" w:space="0" w:color="auto"/>
                        <w:right w:val="none" w:sz="0" w:space="0" w:color="auto"/>
                      </w:divBdr>
                    </w:div>
                    <w:div w:id="294140816">
                      <w:marLeft w:val="0"/>
                      <w:marRight w:val="0"/>
                      <w:marTop w:val="0"/>
                      <w:marBottom w:val="0"/>
                      <w:divBdr>
                        <w:top w:val="none" w:sz="0" w:space="0" w:color="auto"/>
                        <w:left w:val="none" w:sz="0" w:space="0" w:color="auto"/>
                        <w:bottom w:val="none" w:sz="0" w:space="0" w:color="auto"/>
                        <w:right w:val="none" w:sz="0" w:space="0" w:color="auto"/>
                      </w:divBdr>
                    </w:div>
                    <w:div w:id="294140824">
                      <w:marLeft w:val="0"/>
                      <w:marRight w:val="0"/>
                      <w:marTop w:val="0"/>
                      <w:marBottom w:val="0"/>
                      <w:divBdr>
                        <w:top w:val="none" w:sz="0" w:space="0" w:color="auto"/>
                        <w:left w:val="none" w:sz="0" w:space="0" w:color="auto"/>
                        <w:bottom w:val="none" w:sz="0" w:space="0" w:color="auto"/>
                        <w:right w:val="none" w:sz="0" w:space="0" w:color="auto"/>
                      </w:divBdr>
                      <w:divsChild>
                        <w:div w:id="294140743">
                          <w:marLeft w:val="0"/>
                          <w:marRight w:val="0"/>
                          <w:marTop w:val="0"/>
                          <w:marBottom w:val="0"/>
                          <w:divBdr>
                            <w:top w:val="none" w:sz="0" w:space="0" w:color="auto"/>
                            <w:left w:val="none" w:sz="0" w:space="0" w:color="auto"/>
                            <w:bottom w:val="none" w:sz="0" w:space="0" w:color="auto"/>
                            <w:right w:val="none" w:sz="0" w:space="0" w:color="auto"/>
                          </w:divBdr>
                        </w:div>
                      </w:divsChild>
                    </w:div>
                    <w:div w:id="294140963">
                      <w:marLeft w:val="0"/>
                      <w:marRight w:val="0"/>
                      <w:marTop w:val="0"/>
                      <w:marBottom w:val="0"/>
                      <w:divBdr>
                        <w:top w:val="none" w:sz="0" w:space="0" w:color="auto"/>
                        <w:left w:val="none" w:sz="0" w:space="0" w:color="auto"/>
                        <w:bottom w:val="none" w:sz="0" w:space="0" w:color="auto"/>
                        <w:right w:val="none" w:sz="0" w:space="0" w:color="auto"/>
                      </w:divBdr>
                      <w:divsChild>
                        <w:div w:id="294157081">
                          <w:marLeft w:val="0"/>
                          <w:marRight w:val="0"/>
                          <w:marTop w:val="0"/>
                          <w:marBottom w:val="0"/>
                          <w:divBdr>
                            <w:top w:val="none" w:sz="0" w:space="0" w:color="auto"/>
                            <w:left w:val="none" w:sz="0" w:space="0" w:color="auto"/>
                            <w:bottom w:val="none" w:sz="0" w:space="0" w:color="auto"/>
                            <w:right w:val="none" w:sz="0" w:space="0" w:color="auto"/>
                          </w:divBdr>
                        </w:div>
                      </w:divsChild>
                    </w:div>
                    <w:div w:id="294141000">
                      <w:marLeft w:val="0"/>
                      <w:marRight w:val="0"/>
                      <w:marTop w:val="0"/>
                      <w:marBottom w:val="0"/>
                      <w:divBdr>
                        <w:top w:val="none" w:sz="0" w:space="0" w:color="auto"/>
                        <w:left w:val="none" w:sz="0" w:space="0" w:color="auto"/>
                        <w:bottom w:val="none" w:sz="0" w:space="0" w:color="auto"/>
                        <w:right w:val="none" w:sz="0" w:space="0" w:color="auto"/>
                      </w:divBdr>
                    </w:div>
                    <w:div w:id="294141070">
                      <w:marLeft w:val="0"/>
                      <w:marRight w:val="0"/>
                      <w:marTop w:val="0"/>
                      <w:marBottom w:val="0"/>
                      <w:divBdr>
                        <w:top w:val="none" w:sz="0" w:space="0" w:color="auto"/>
                        <w:left w:val="none" w:sz="0" w:space="0" w:color="auto"/>
                        <w:bottom w:val="none" w:sz="0" w:space="0" w:color="auto"/>
                        <w:right w:val="none" w:sz="0" w:space="0" w:color="auto"/>
                      </w:divBdr>
                    </w:div>
                    <w:div w:id="294141389">
                      <w:marLeft w:val="0"/>
                      <w:marRight w:val="0"/>
                      <w:marTop w:val="0"/>
                      <w:marBottom w:val="0"/>
                      <w:divBdr>
                        <w:top w:val="none" w:sz="0" w:space="0" w:color="auto"/>
                        <w:left w:val="none" w:sz="0" w:space="0" w:color="auto"/>
                        <w:bottom w:val="none" w:sz="0" w:space="0" w:color="auto"/>
                        <w:right w:val="none" w:sz="0" w:space="0" w:color="auto"/>
                      </w:divBdr>
                    </w:div>
                    <w:div w:id="294141410">
                      <w:marLeft w:val="0"/>
                      <w:marRight w:val="0"/>
                      <w:marTop w:val="0"/>
                      <w:marBottom w:val="0"/>
                      <w:divBdr>
                        <w:top w:val="none" w:sz="0" w:space="0" w:color="auto"/>
                        <w:left w:val="none" w:sz="0" w:space="0" w:color="auto"/>
                        <w:bottom w:val="none" w:sz="0" w:space="0" w:color="auto"/>
                        <w:right w:val="none" w:sz="0" w:space="0" w:color="auto"/>
                      </w:divBdr>
                      <w:divsChild>
                        <w:div w:id="294151372">
                          <w:marLeft w:val="0"/>
                          <w:marRight w:val="0"/>
                          <w:marTop w:val="0"/>
                          <w:marBottom w:val="0"/>
                          <w:divBdr>
                            <w:top w:val="none" w:sz="0" w:space="0" w:color="auto"/>
                            <w:left w:val="none" w:sz="0" w:space="0" w:color="auto"/>
                            <w:bottom w:val="none" w:sz="0" w:space="0" w:color="auto"/>
                            <w:right w:val="none" w:sz="0" w:space="0" w:color="auto"/>
                          </w:divBdr>
                        </w:div>
                      </w:divsChild>
                    </w:div>
                    <w:div w:id="294141488">
                      <w:marLeft w:val="0"/>
                      <w:marRight w:val="0"/>
                      <w:marTop w:val="0"/>
                      <w:marBottom w:val="0"/>
                      <w:divBdr>
                        <w:top w:val="none" w:sz="0" w:space="0" w:color="auto"/>
                        <w:left w:val="none" w:sz="0" w:space="0" w:color="auto"/>
                        <w:bottom w:val="none" w:sz="0" w:space="0" w:color="auto"/>
                        <w:right w:val="none" w:sz="0" w:space="0" w:color="auto"/>
                      </w:divBdr>
                      <w:divsChild>
                        <w:div w:id="294147915">
                          <w:marLeft w:val="0"/>
                          <w:marRight w:val="0"/>
                          <w:marTop w:val="0"/>
                          <w:marBottom w:val="0"/>
                          <w:divBdr>
                            <w:top w:val="none" w:sz="0" w:space="0" w:color="auto"/>
                            <w:left w:val="none" w:sz="0" w:space="0" w:color="auto"/>
                            <w:bottom w:val="none" w:sz="0" w:space="0" w:color="auto"/>
                            <w:right w:val="none" w:sz="0" w:space="0" w:color="auto"/>
                          </w:divBdr>
                        </w:div>
                      </w:divsChild>
                    </w:div>
                    <w:div w:id="294141565">
                      <w:marLeft w:val="0"/>
                      <w:marRight w:val="0"/>
                      <w:marTop w:val="0"/>
                      <w:marBottom w:val="0"/>
                      <w:divBdr>
                        <w:top w:val="none" w:sz="0" w:space="0" w:color="auto"/>
                        <w:left w:val="none" w:sz="0" w:space="0" w:color="auto"/>
                        <w:bottom w:val="none" w:sz="0" w:space="0" w:color="auto"/>
                        <w:right w:val="none" w:sz="0" w:space="0" w:color="auto"/>
                      </w:divBdr>
                      <w:divsChild>
                        <w:div w:id="294147655">
                          <w:marLeft w:val="0"/>
                          <w:marRight w:val="0"/>
                          <w:marTop w:val="0"/>
                          <w:marBottom w:val="0"/>
                          <w:divBdr>
                            <w:top w:val="none" w:sz="0" w:space="0" w:color="auto"/>
                            <w:left w:val="none" w:sz="0" w:space="0" w:color="auto"/>
                            <w:bottom w:val="none" w:sz="0" w:space="0" w:color="auto"/>
                            <w:right w:val="none" w:sz="0" w:space="0" w:color="auto"/>
                          </w:divBdr>
                        </w:div>
                      </w:divsChild>
                    </w:div>
                    <w:div w:id="294141592">
                      <w:marLeft w:val="0"/>
                      <w:marRight w:val="0"/>
                      <w:marTop w:val="0"/>
                      <w:marBottom w:val="0"/>
                      <w:divBdr>
                        <w:top w:val="none" w:sz="0" w:space="0" w:color="auto"/>
                        <w:left w:val="none" w:sz="0" w:space="0" w:color="auto"/>
                        <w:bottom w:val="none" w:sz="0" w:space="0" w:color="auto"/>
                        <w:right w:val="none" w:sz="0" w:space="0" w:color="auto"/>
                      </w:divBdr>
                    </w:div>
                    <w:div w:id="294141615">
                      <w:marLeft w:val="0"/>
                      <w:marRight w:val="0"/>
                      <w:marTop w:val="0"/>
                      <w:marBottom w:val="0"/>
                      <w:divBdr>
                        <w:top w:val="none" w:sz="0" w:space="0" w:color="auto"/>
                        <w:left w:val="none" w:sz="0" w:space="0" w:color="auto"/>
                        <w:bottom w:val="none" w:sz="0" w:space="0" w:color="auto"/>
                        <w:right w:val="none" w:sz="0" w:space="0" w:color="auto"/>
                      </w:divBdr>
                    </w:div>
                    <w:div w:id="294141616">
                      <w:marLeft w:val="0"/>
                      <w:marRight w:val="0"/>
                      <w:marTop w:val="0"/>
                      <w:marBottom w:val="0"/>
                      <w:divBdr>
                        <w:top w:val="none" w:sz="0" w:space="0" w:color="auto"/>
                        <w:left w:val="none" w:sz="0" w:space="0" w:color="auto"/>
                        <w:bottom w:val="none" w:sz="0" w:space="0" w:color="auto"/>
                        <w:right w:val="none" w:sz="0" w:space="0" w:color="auto"/>
                      </w:divBdr>
                      <w:divsChild>
                        <w:div w:id="294149879">
                          <w:marLeft w:val="0"/>
                          <w:marRight w:val="0"/>
                          <w:marTop w:val="0"/>
                          <w:marBottom w:val="0"/>
                          <w:divBdr>
                            <w:top w:val="none" w:sz="0" w:space="0" w:color="auto"/>
                            <w:left w:val="none" w:sz="0" w:space="0" w:color="auto"/>
                            <w:bottom w:val="none" w:sz="0" w:space="0" w:color="auto"/>
                            <w:right w:val="none" w:sz="0" w:space="0" w:color="auto"/>
                          </w:divBdr>
                        </w:div>
                      </w:divsChild>
                    </w:div>
                    <w:div w:id="294141629">
                      <w:marLeft w:val="0"/>
                      <w:marRight w:val="0"/>
                      <w:marTop w:val="0"/>
                      <w:marBottom w:val="0"/>
                      <w:divBdr>
                        <w:top w:val="none" w:sz="0" w:space="0" w:color="auto"/>
                        <w:left w:val="none" w:sz="0" w:space="0" w:color="auto"/>
                        <w:bottom w:val="none" w:sz="0" w:space="0" w:color="auto"/>
                        <w:right w:val="none" w:sz="0" w:space="0" w:color="auto"/>
                      </w:divBdr>
                      <w:divsChild>
                        <w:div w:id="294155003">
                          <w:marLeft w:val="0"/>
                          <w:marRight w:val="0"/>
                          <w:marTop w:val="0"/>
                          <w:marBottom w:val="0"/>
                          <w:divBdr>
                            <w:top w:val="none" w:sz="0" w:space="0" w:color="auto"/>
                            <w:left w:val="none" w:sz="0" w:space="0" w:color="auto"/>
                            <w:bottom w:val="none" w:sz="0" w:space="0" w:color="auto"/>
                            <w:right w:val="none" w:sz="0" w:space="0" w:color="auto"/>
                          </w:divBdr>
                        </w:div>
                      </w:divsChild>
                    </w:div>
                    <w:div w:id="294141679">
                      <w:marLeft w:val="0"/>
                      <w:marRight w:val="0"/>
                      <w:marTop w:val="0"/>
                      <w:marBottom w:val="0"/>
                      <w:divBdr>
                        <w:top w:val="none" w:sz="0" w:space="0" w:color="auto"/>
                        <w:left w:val="none" w:sz="0" w:space="0" w:color="auto"/>
                        <w:bottom w:val="none" w:sz="0" w:space="0" w:color="auto"/>
                        <w:right w:val="none" w:sz="0" w:space="0" w:color="auto"/>
                      </w:divBdr>
                    </w:div>
                    <w:div w:id="294141718">
                      <w:marLeft w:val="0"/>
                      <w:marRight w:val="0"/>
                      <w:marTop w:val="0"/>
                      <w:marBottom w:val="0"/>
                      <w:divBdr>
                        <w:top w:val="none" w:sz="0" w:space="0" w:color="auto"/>
                        <w:left w:val="none" w:sz="0" w:space="0" w:color="auto"/>
                        <w:bottom w:val="none" w:sz="0" w:space="0" w:color="auto"/>
                        <w:right w:val="none" w:sz="0" w:space="0" w:color="auto"/>
                      </w:divBdr>
                    </w:div>
                    <w:div w:id="294141726">
                      <w:marLeft w:val="0"/>
                      <w:marRight w:val="0"/>
                      <w:marTop w:val="0"/>
                      <w:marBottom w:val="0"/>
                      <w:divBdr>
                        <w:top w:val="none" w:sz="0" w:space="0" w:color="auto"/>
                        <w:left w:val="none" w:sz="0" w:space="0" w:color="auto"/>
                        <w:bottom w:val="none" w:sz="0" w:space="0" w:color="auto"/>
                        <w:right w:val="none" w:sz="0" w:space="0" w:color="auto"/>
                      </w:divBdr>
                    </w:div>
                    <w:div w:id="294141772">
                      <w:marLeft w:val="0"/>
                      <w:marRight w:val="0"/>
                      <w:marTop w:val="0"/>
                      <w:marBottom w:val="0"/>
                      <w:divBdr>
                        <w:top w:val="none" w:sz="0" w:space="0" w:color="auto"/>
                        <w:left w:val="none" w:sz="0" w:space="0" w:color="auto"/>
                        <w:bottom w:val="none" w:sz="0" w:space="0" w:color="auto"/>
                        <w:right w:val="none" w:sz="0" w:space="0" w:color="auto"/>
                      </w:divBdr>
                      <w:divsChild>
                        <w:div w:id="294142742">
                          <w:marLeft w:val="0"/>
                          <w:marRight w:val="0"/>
                          <w:marTop w:val="0"/>
                          <w:marBottom w:val="0"/>
                          <w:divBdr>
                            <w:top w:val="none" w:sz="0" w:space="0" w:color="auto"/>
                            <w:left w:val="none" w:sz="0" w:space="0" w:color="auto"/>
                            <w:bottom w:val="none" w:sz="0" w:space="0" w:color="auto"/>
                            <w:right w:val="none" w:sz="0" w:space="0" w:color="auto"/>
                          </w:divBdr>
                        </w:div>
                      </w:divsChild>
                    </w:div>
                    <w:div w:id="294141775">
                      <w:marLeft w:val="0"/>
                      <w:marRight w:val="0"/>
                      <w:marTop w:val="0"/>
                      <w:marBottom w:val="0"/>
                      <w:divBdr>
                        <w:top w:val="none" w:sz="0" w:space="0" w:color="auto"/>
                        <w:left w:val="none" w:sz="0" w:space="0" w:color="auto"/>
                        <w:bottom w:val="none" w:sz="0" w:space="0" w:color="auto"/>
                        <w:right w:val="none" w:sz="0" w:space="0" w:color="auto"/>
                      </w:divBdr>
                      <w:divsChild>
                        <w:div w:id="294144118">
                          <w:marLeft w:val="0"/>
                          <w:marRight w:val="0"/>
                          <w:marTop w:val="0"/>
                          <w:marBottom w:val="0"/>
                          <w:divBdr>
                            <w:top w:val="none" w:sz="0" w:space="0" w:color="auto"/>
                            <w:left w:val="none" w:sz="0" w:space="0" w:color="auto"/>
                            <w:bottom w:val="none" w:sz="0" w:space="0" w:color="auto"/>
                            <w:right w:val="none" w:sz="0" w:space="0" w:color="auto"/>
                          </w:divBdr>
                        </w:div>
                      </w:divsChild>
                    </w:div>
                    <w:div w:id="294141811">
                      <w:marLeft w:val="0"/>
                      <w:marRight w:val="0"/>
                      <w:marTop w:val="0"/>
                      <w:marBottom w:val="0"/>
                      <w:divBdr>
                        <w:top w:val="none" w:sz="0" w:space="0" w:color="auto"/>
                        <w:left w:val="none" w:sz="0" w:space="0" w:color="auto"/>
                        <w:bottom w:val="none" w:sz="0" w:space="0" w:color="auto"/>
                        <w:right w:val="none" w:sz="0" w:space="0" w:color="auto"/>
                      </w:divBdr>
                      <w:divsChild>
                        <w:div w:id="294146922">
                          <w:marLeft w:val="0"/>
                          <w:marRight w:val="0"/>
                          <w:marTop w:val="0"/>
                          <w:marBottom w:val="0"/>
                          <w:divBdr>
                            <w:top w:val="none" w:sz="0" w:space="0" w:color="auto"/>
                            <w:left w:val="none" w:sz="0" w:space="0" w:color="auto"/>
                            <w:bottom w:val="none" w:sz="0" w:space="0" w:color="auto"/>
                            <w:right w:val="none" w:sz="0" w:space="0" w:color="auto"/>
                          </w:divBdr>
                        </w:div>
                      </w:divsChild>
                    </w:div>
                    <w:div w:id="294141824">
                      <w:marLeft w:val="0"/>
                      <w:marRight w:val="0"/>
                      <w:marTop w:val="0"/>
                      <w:marBottom w:val="0"/>
                      <w:divBdr>
                        <w:top w:val="none" w:sz="0" w:space="0" w:color="auto"/>
                        <w:left w:val="none" w:sz="0" w:space="0" w:color="auto"/>
                        <w:bottom w:val="none" w:sz="0" w:space="0" w:color="auto"/>
                        <w:right w:val="none" w:sz="0" w:space="0" w:color="auto"/>
                      </w:divBdr>
                      <w:divsChild>
                        <w:div w:id="294146202">
                          <w:marLeft w:val="0"/>
                          <w:marRight w:val="0"/>
                          <w:marTop w:val="0"/>
                          <w:marBottom w:val="0"/>
                          <w:divBdr>
                            <w:top w:val="none" w:sz="0" w:space="0" w:color="auto"/>
                            <w:left w:val="none" w:sz="0" w:space="0" w:color="auto"/>
                            <w:bottom w:val="none" w:sz="0" w:space="0" w:color="auto"/>
                            <w:right w:val="none" w:sz="0" w:space="0" w:color="auto"/>
                          </w:divBdr>
                        </w:div>
                      </w:divsChild>
                    </w:div>
                    <w:div w:id="294141889">
                      <w:marLeft w:val="0"/>
                      <w:marRight w:val="0"/>
                      <w:marTop w:val="0"/>
                      <w:marBottom w:val="0"/>
                      <w:divBdr>
                        <w:top w:val="none" w:sz="0" w:space="0" w:color="auto"/>
                        <w:left w:val="none" w:sz="0" w:space="0" w:color="auto"/>
                        <w:bottom w:val="none" w:sz="0" w:space="0" w:color="auto"/>
                        <w:right w:val="none" w:sz="0" w:space="0" w:color="auto"/>
                      </w:divBdr>
                      <w:divsChild>
                        <w:div w:id="294147571">
                          <w:marLeft w:val="0"/>
                          <w:marRight w:val="0"/>
                          <w:marTop w:val="0"/>
                          <w:marBottom w:val="0"/>
                          <w:divBdr>
                            <w:top w:val="none" w:sz="0" w:space="0" w:color="auto"/>
                            <w:left w:val="none" w:sz="0" w:space="0" w:color="auto"/>
                            <w:bottom w:val="none" w:sz="0" w:space="0" w:color="auto"/>
                            <w:right w:val="none" w:sz="0" w:space="0" w:color="auto"/>
                          </w:divBdr>
                        </w:div>
                      </w:divsChild>
                    </w:div>
                    <w:div w:id="294141965">
                      <w:marLeft w:val="0"/>
                      <w:marRight w:val="0"/>
                      <w:marTop w:val="0"/>
                      <w:marBottom w:val="0"/>
                      <w:divBdr>
                        <w:top w:val="none" w:sz="0" w:space="0" w:color="auto"/>
                        <w:left w:val="none" w:sz="0" w:space="0" w:color="auto"/>
                        <w:bottom w:val="none" w:sz="0" w:space="0" w:color="auto"/>
                        <w:right w:val="none" w:sz="0" w:space="0" w:color="auto"/>
                      </w:divBdr>
                      <w:divsChild>
                        <w:div w:id="294142126">
                          <w:marLeft w:val="0"/>
                          <w:marRight w:val="0"/>
                          <w:marTop w:val="0"/>
                          <w:marBottom w:val="0"/>
                          <w:divBdr>
                            <w:top w:val="none" w:sz="0" w:space="0" w:color="auto"/>
                            <w:left w:val="none" w:sz="0" w:space="0" w:color="auto"/>
                            <w:bottom w:val="none" w:sz="0" w:space="0" w:color="auto"/>
                            <w:right w:val="none" w:sz="0" w:space="0" w:color="auto"/>
                          </w:divBdr>
                        </w:div>
                      </w:divsChild>
                    </w:div>
                    <w:div w:id="294142076">
                      <w:marLeft w:val="0"/>
                      <w:marRight w:val="0"/>
                      <w:marTop w:val="0"/>
                      <w:marBottom w:val="0"/>
                      <w:divBdr>
                        <w:top w:val="none" w:sz="0" w:space="0" w:color="auto"/>
                        <w:left w:val="none" w:sz="0" w:space="0" w:color="auto"/>
                        <w:bottom w:val="none" w:sz="0" w:space="0" w:color="auto"/>
                        <w:right w:val="none" w:sz="0" w:space="0" w:color="auto"/>
                      </w:divBdr>
                      <w:divsChild>
                        <w:div w:id="294142447">
                          <w:marLeft w:val="0"/>
                          <w:marRight w:val="0"/>
                          <w:marTop w:val="0"/>
                          <w:marBottom w:val="0"/>
                          <w:divBdr>
                            <w:top w:val="none" w:sz="0" w:space="0" w:color="auto"/>
                            <w:left w:val="none" w:sz="0" w:space="0" w:color="auto"/>
                            <w:bottom w:val="none" w:sz="0" w:space="0" w:color="auto"/>
                            <w:right w:val="none" w:sz="0" w:space="0" w:color="auto"/>
                          </w:divBdr>
                        </w:div>
                      </w:divsChild>
                    </w:div>
                    <w:div w:id="294142312">
                      <w:marLeft w:val="0"/>
                      <w:marRight w:val="0"/>
                      <w:marTop w:val="0"/>
                      <w:marBottom w:val="0"/>
                      <w:divBdr>
                        <w:top w:val="none" w:sz="0" w:space="0" w:color="auto"/>
                        <w:left w:val="none" w:sz="0" w:space="0" w:color="auto"/>
                        <w:bottom w:val="none" w:sz="0" w:space="0" w:color="auto"/>
                        <w:right w:val="none" w:sz="0" w:space="0" w:color="auto"/>
                      </w:divBdr>
                    </w:div>
                    <w:div w:id="294142338">
                      <w:marLeft w:val="0"/>
                      <w:marRight w:val="0"/>
                      <w:marTop w:val="0"/>
                      <w:marBottom w:val="0"/>
                      <w:divBdr>
                        <w:top w:val="none" w:sz="0" w:space="0" w:color="auto"/>
                        <w:left w:val="none" w:sz="0" w:space="0" w:color="auto"/>
                        <w:bottom w:val="none" w:sz="0" w:space="0" w:color="auto"/>
                        <w:right w:val="none" w:sz="0" w:space="0" w:color="auto"/>
                      </w:divBdr>
                      <w:divsChild>
                        <w:div w:id="294155752">
                          <w:marLeft w:val="0"/>
                          <w:marRight w:val="0"/>
                          <w:marTop w:val="0"/>
                          <w:marBottom w:val="0"/>
                          <w:divBdr>
                            <w:top w:val="none" w:sz="0" w:space="0" w:color="auto"/>
                            <w:left w:val="none" w:sz="0" w:space="0" w:color="auto"/>
                            <w:bottom w:val="none" w:sz="0" w:space="0" w:color="auto"/>
                            <w:right w:val="none" w:sz="0" w:space="0" w:color="auto"/>
                          </w:divBdr>
                        </w:div>
                      </w:divsChild>
                    </w:div>
                    <w:div w:id="294142368">
                      <w:marLeft w:val="0"/>
                      <w:marRight w:val="0"/>
                      <w:marTop w:val="0"/>
                      <w:marBottom w:val="0"/>
                      <w:divBdr>
                        <w:top w:val="none" w:sz="0" w:space="0" w:color="auto"/>
                        <w:left w:val="none" w:sz="0" w:space="0" w:color="auto"/>
                        <w:bottom w:val="none" w:sz="0" w:space="0" w:color="auto"/>
                        <w:right w:val="none" w:sz="0" w:space="0" w:color="auto"/>
                      </w:divBdr>
                    </w:div>
                    <w:div w:id="294142410">
                      <w:marLeft w:val="0"/>
                      <w:marRight w:val="0"/>
                      <w:marTop w:val="0"/>
                      <w:marBottom w:val="0"/>
                      <w:divBdr>
                        <w:top w:val="none" w:sz="0" w:space="0" w:color="auto"/>
                        <w:left w:val="none" w:sz="0" w:space="0" w:color="auto"/>
                        <w:bottom w:val="none" w:sz="0" w:space="0" w:color="auto"/>
                        <w:right w:val="none" w:sz="0" w:space="0" w:color="auto"/>
                      </w:divBdr>
                      <w:divsChild>
                        <w:div w:id="294144853">
                          <w:marLeft w:val="0"/>
                          <w:marRight w:val="0"/>
                          <w:marTop w:val="0"/>
                          <w:marBottom w:val="0"/>
                          <w:divBdr>
                            <w:top w:val="none" w:sz="0" w:space="0" w:color="auto"/>
                            <w:left w:val="none" w:sz="0" w:space="0" w:color="auto"/>
                            <w:bottom w:val="none" w:sz="0" w:space="0" w:color="auto"/>
                            <w:right w:val="none" w:sz="0" w:space="0" w:color="auto"/>
                          </w:divBdr>
                        </w:div>
                      </w:divsChild>
                    </w:div>
                    <w:div w:id="294142490">
                      <w:marLeft w:val="0"/>
                      <w:marRight w:val="0"/>
                      <w:marTop w:val="0"/>
                      <w:marBottom w:val="0"/>
                      <w:divBdr>
                        <w:top w:val="none" w:sz="0" w:space="0" w:color="auto"/>
                        <w:left w:val="none" w:sz="0" w:space="0" w:color="auto"/>
                        <w:bottom w:val="none" w:sz="0" w:space="0" w:color="auto"/>
                        <w:right w:val="none" w:sz="0" w:space="0" w:color="auto"/>
                      </w:divBdr>
                      <w:divsChild>
                        <w:div w:id="294155263">
                          <w:marLeft w:val="0"/>
                          <w:marRight w:val="0"/>
                          <w:marTop w:val="0"/>
                          <w:marBottom w:val="0"/>
                          <w:divBdr>
                            <w:top w:val="none" w:sz="0" w:space="0" w:color="auto"/>
                            <w:left w:val="none" w:sz="0" w:space="0" w:color="auto"/>
                            <w:bottom w:val="none" w:sz="0" w:space="0" w:color="auto"/>
                            <w:right w:val="none" w:sz="0" w:space="0" w:color="auto"/>
                          </w:divBdr>
                        </w:div>
                      </w:divsChild>
                    </w:div>
                    <w:div w:id="294142589">
                      <w:marLeft w:val="0"/>
                      <w:marRight w:val="0"/>
                      <w:marTop w:val="0"/>
                      <w:marBottom w:val="0"/>
                      <w:divBdr>
                        <w:top w:val="none" w:sz="0" w:space="0" w:color="auto"/>
                        <w:left w:val="none" w:sz="0" w:space="0" w:color="auto"/>
                        <w:bottom w:val="none" w:sz="0" w:space="0" w:color="auto"/>
                        <w:right w:val="none" w:sz="0" w:space="0" w:color="auto"/>
                      </w:divBdr>
                    </w:div>
                    <w:div w:id="294142624">
                      <w:marLeft w:val="0"/>
                      <w:marRight w:val="0"/>
                      <w:marTop w:val="0"/>
                      <w:marBottom w:val="0"/>
                      <w:divBdr>
                        <w:top w:val="none" w:sz="0" w:space="0" w:color="auto"/>
                        <w:left w:val="none" w:sz="0" w:space="0" w:color="auto"/>
                        <w:bottom w:val="none" w:sz="0" w:space="0" w:color="auto"/>
                        <w:right w:val="none" w:sz="0" w:space="0" w:color="auto"/>
                      </w:divBdr>
                      <w:divsChild>
                        <w:div w:id="294146369">
                          <w:marLeft w:val="0"/>
                          <w:marRight w:val="0"/>
                          <w:marTop w:val="0"/>
                          <w:marBottom w:val="0"/>
                          <w:divBdr>
                            <w:top w:val="none" w:sz="0" w:space="0" w:color="auto"/>
                            <w:left w:val="none" w:sz="0" w:space="0" w:color="auto"/>
                            <w:bottom w:val="none" w:sz="0" w:space="0" w:color="auto"/>
                            <w:right w:val="none" w:sz="0" w:space="0" w:color="auto"/>
                          </w:divBdr>
                        </w:div>
                      </w:divsChild>
                    </w:div>
                    <w:div w:id="294142650">
                      <w:marLeft w:val="0"/>
                      <w:marRight w:val="0"/>
                      <w:marTop w:val="0"/>
                      <w:marBottom w:val="0"/>
                      <w:divBdr>
                        <w:top w:val="none" w:sz="0" w:space="0" w:color="auto"/>
                        <w:left w:val="none" w:sz="0" w:space="0" w:color="auto"/>
                        <w:bottom w:val="none" w:sz="0" w:space="0" w:color="auto"/>
                        <w:right w:val="none" w:sz="0" w:space="0" w:color="auto"/>
                      </w:divBdr>
                      <w:divsChild>
                        <w:div w:id="294153573">
                          <w:marLeft w:val="0"/>
                          <w:marRight w:val="0"/>
                          <w:marTop w:val="0"/>
                          <w:marBottom w:val="0"/>
                          <w:divBdr>
                            <w:top w:val="none" w:sz="0" w:space="0" w:color="auto"/>
                            <w:left w:val="none" w:sz="0" w:space="0" w:color="auto"/>
                            <w:bottom w:val="none" w:sz="0" w:space="0" w:color="auto"/>
                            <w:right w:val="none" w:sz="0" w:space="0" w:color="auto"/>
                          </w:divBdr>
                        </w:div>
                      </w:divsChild>
                    </w:div>
                    <w:div w:id="294142663">
                      <w:marLeft w:val="0"/>
                      <w:marRight w:val="0"/>
                      <w:marTop w:val="0"/>
                      <w:marBottom w:val="0"/>
                      <w:divBdr>
                        <w:top w:val="none" w:sz="0" w:space="0" w:color="auto"/>
                        <w:left w:val="none" w:sz="0" w:space="0" w:color="auto"/>
                        <w:bottom w:val="none" w:sz="0" w:space="0" w:color="auto"/>
                        <w:right w:val="none" w:sz="0" w:space="0" w:color="auto"/>
                      </w:divBdr>
                    </w:div>
                    <w:div w:id="294142738">
                      <w:marLeft w:val="0"/>
                      <w:marRight w:val="0"/>
                      <w:marTop w:val="0"/>
                      <w:marBottom w:val="0"/>
                      <w:divBdr>
                        <w:top w:val="none" w:sz="0" w:space="0" w:color="auto"/>
                        <w:left w:val="none" w:sz="0" w:space="0" w:color="auto"/>
                        <w:bottom w:val="none" w:sz="0" w:space="0" w:color="auto"/>
                        <w:right w:val="none" w:sz="0" w:space="0" w:color="auto"/>
                      </w:divBdr>
                    </w:div>
                    <w:div w:id="294142743">
                      <w:marLeft w:val="0"/>
                      <w:marRight w:val="0"/>
                      <w:marTop w:val="0"/>
                      <w:marBottom w:val="0"/>
                      <w:divBdr>
                        <w:top w:val="none" w:sz="0" w:space="0" w:color="auto"/>
                        <w:left w:val="none" w:sz="0" w:space="0" w:color="auto"/>
                        <w:bottom w:val="none" w:sz="0" w:space="0" w:color="auto"/>
                        <w:right w:val="none" w:sz="0" w:space="0" w:color="auto"/>
                      </w:divBdr>
                    </w:div>
                    <w:div w:id="294142859">
                      <w:marLeft w:val="0"/>
                      <w:marRight w:val="0"/>
                      <w:marTop w:val="0"/>
                      <w:marBottom w:val="0"/>
                      <w:divBdr>
                        <w:top w:val="none" w:sz="0" w:space="0" w:color="auto"/>
                        <w:left w:val="none" w:sz="0" w:space="0" w:color="auto"/>
                        <w:bottom w:val="none" w:sz="0" w:space="0" w:color="auto"/>
                        <w:right w:val="none" w:sz="0" w:space="0" w:color="auto"/>
                      </w:divBdr>
                      <w:divsChild>
                        <w:div w:id="294140080">
                          <w:marLeft w:val="0"/>
                          <w:marRight w:val="0"/>
                          <w:marTop w:val="0"/>
                          <w:marBottom w:val="0"/>
                          <w:divBdr>
                            <w:top w:val="none" w:sz="0" w:space="0" w:color="auto"/>
                            <w:left w:val="none" w:sz="0" w:space="0" w:color="auto"/>
                            <w:bottom w:val="none" w:sz="0" w:space="0" w:color="auto"/>
                            <w:right w:val="none" w:sz="0" w:space="0" w:color="auto"/>
                          </w:divBdr>
                        </w:div>
                      </w:divsChild>
                    </w:div>
                    <w:div w:id="294142899">
                      <w:marLeft w:val="0"/>
                      <w:marRight w:val="0"/>
                      <w:marTop w:val="0"/>
                      <w:marBottom w:val="0"/>
                      <w:divBdr>
                        <w:top w:val="none" w:sz="0" w:space="0" w:color="auto"/>
                        <w:left w:val="none" w:sz="0" w:space="0" w:color="auto"/>
                        <w:bottom w:val="none" w:sz="0" w:space="0" w:color="auto"/>
                        <w:right w:val="none" w:sz="0" w:space="0" w:color="auto"/>
                      </w:divBdr>
                    </w:div>
                    <w:div w:id="294142903">
                      <w:marLeft w:val="0"/>
                      <w:marRight w:val="0"/>
                      <w:marTop w:val="0"/>
                      <w:marBottom w:val="0"/>
                      <w:divBdr>
                        <w:top w:val="none" w:sz="0" w:space="0" w:color="auto"/>
                        <w:left w:val="none" w:sz="0" w:space="0" w:color="auto"/>
                        <w:bottom w:val="none" w:sz="0" w:space="0" w:color="auto"/>
                        <w:right w:val="none" w:sz="0" w:space="0" w:color="auto"/>
                      </w:divBdr>
                      <w:divsChild>
                        <w:div w:id="294144571">
                          <w:marLeft w:val="0"/>
                          <w:marRight w:val="0"/>
                          <w:marTop w:val="0"/>
                          <w:marBottom w:val="0"/>
                          <w:divBdr>
                            <w:top w:val="none" w:sz="0" w:space="0" w:color="auto"/>
                            <w:left w:val="none" w:sz="0" w:space="0" w:color="auto"/>
                            <w:bottom w:val="none" w:sz="0" w:space="0" w:color="auto"/>
                            <w:right w:val="none" w:sz="0" w:space="0" w:color="auto"/>
                          </w:divBdr>
                        </w:div>
                      </w:divsChild>
                    </w:div>
                    <w:div w:id="294142927">
                      <w:marLeft w:val="0"/>
                      <w:marRight w:val="0"/>
                      <w:marTop w:val="0"/>
                      <w:marBottom w:val="0"/>
                      <w:divBdr>
                        <w:top w:val="none" w:sz="0" w:space="0" w:color="auto"/>
                        <w:left w:val="none" w:sz="0" w:space="0" w:color="auto"/>
                        <w:bottom w:val="none" w:sz="0" w:space="0" w:color="auto"/>
                        <w:right w:val="none" w:sz="0" w:space="0" w:color="auto"/>
                      </w:divBdr>
                      <w:divsChild>
                        <w:div w:id="294138122">
                          <w:marLeft w:val="0"/>
                          <w:marRight w:val="0"/>
                          <w:marTop w:val="0"/>
                          <w:marBottom w:val="0"/>
                          <w:divBdr>
                            <w:top w:val="none" w:sz="0" w:space="0" w:color="auto"/>
                            <w:left w:val="none" w:sz="0" w:space="0" w:color="auto"/>
                            <w:bottom w:val="none" w:sz="0" w:space="0" w:color="auto"/>
                            <w:right w:val="none" w:sz="0" w:space="0" w:color="auto"/>
                          </w:divBdr>
                        </w:div>
                      </w:divsChild>
                    </w:div>
                    <w:div w:id="294142936">
                      <w:marLeft w:val="0"/>
                      <w:marRight w:val="0"/>
                      <w:marTop w:val="0"/>
                      <w:marBottom w:val="0"/>
                      <w:divBdr>
                        <w:top w:val="none" w:sz="0" w:space="0" w:color="auto"/>
                        <w:left w:val="none" w:sz="0" w:space="0" w:color="auto"/>
                        <w:bottom w:val="none" w:sz="0" w:space="0" w:color="auto"/>
                        <w:right w:val="none" w:sz="0" w:space="0" w:color="auto"/>
                      </w:divBdr>
                      <w:divsChild>
                        <w:div w:id="294148311">
                          <w:marLeft w:val="0"/>
                          <w:marRight w:val="0"/>
                          <w:marTop w:val="0"/>
                          <w:marBottom w:val="0"/>
                          <w:divBdr>
                            <w:top w:val="none" w:sz="0" w:space="0" w:color="auto"/>
                            <w:left w:val="none" w:sz="0" w:space="0" w:color="auto"/>
                            <w:bottom w:val="none" w:sz="0" w:space="0" w:color="auto"/>
                            <w:right w:val="none" w:sz="0" w:space="0" w:color="auto"/>
                          </w:divBdr>
                        </w:div>
                      </w:divsChild>
                    </w:div>
                    <w:div w:id="294142971">
                      <w:marLeft w:val="0"/>
                      <w:marRight w:val="0"/>
                      <w:marTop w:val="0"/>
                      <w:marBottom w:val="0"/>
                      <w:divBdr>
                        <w:top w:val="none" w:sz="0" w:space="0" w:color="auto"/>
                        <w:left w:val="none" w:sz="0" w:space="0" w:color="auto"/>
                        <w:bottom w:val="none" w:sz="0" w:space="0" w:color="auto"/>
                        <w:right w:val="none" w:sz="0" w:space="0" w:color="auto"/>
                      </w:divBdr>
                      <w:divsChild>
                        <w:div w:id="294146336">
                          <w:marLeft w:val="0"/>
                          <w:marRight w:val="0"/>
                          <w:marTop w:val="0"/>
                          <w:marBottom w:val="0"/>
                          <w:divBdr>
                            <w:top w:val="none" w:sz="0" w:space="0" w:color="auto"/>
                            <w:left w:val="none" w:sz="0" w:space="0" w:color="auto"/>
                            <w:bottom w:val="none" w:sz="0" w:space="0" w:color="auto"/>
                            <w:right w:val="none" w:sz="0" w:space="0" w:color="auto"/>
                          </w:divBdr>
                        </w:div>
                      </w:divsChild>
                    </w:div>
                    <w:div w:id="294143032">
                      <w:marLeft w:val="0"/>
                      <w:marRight w:val="0"/>
                      <w:marTop w:val="0"/>
                      <w:marBottom w:val="0"/>
                      <w:divBdr>
                        <w:top w:val="none" w:sz="0" w:space="0" w:color="auto"/>
                        <w:left w:val="none" w:sz="0" w:space="0" w:color="auto"/>
                        <w:bottom w:val="none" w:sz="0" w:space="0" w:color="auto"/>
                        <w:right w:val="none" w:sz="0" w:space="0" w:color="auto"/>
                      </w:divBdr>
                      <w:divsChild>
                        <w:div w:id="294148417">
                          <w:marLeft w:val="0"/>
                          <w:marRight w:val="0"/>
                          <w:marTop w:val="0"/>
                          <w:marBottom w:val="0"/>
                          <w:divBdr>
                            <w:top w:val="none" w:sz="0" w:space="0" w:color="auto"/>
                            <w:left w:val="none" w:sz="0" w:space="0" w:color="auto"/>
                            <w:bottom w:val="none" w:sz="0" w:space="0" w:color="auto"/>
                            <w:right w:val="none" w:sz="0" w:space="0" w:color="auto"/>
                          </w:divBdr>
                        </w:div>
                      </w:divsChild>
                    </w:div>
                    <w:div w:id="294143069">
                      <w:marLeft w:val="0"/>
                      <w:marRight w:val="0"/>
                      <w:marTop w:val="0"/>
                      <w:marBottom w:val="0"/>
                      <w:divBdr>
                        <w:top w:val="none" w:sz="0" w:space="0" w:color="auto"/>
                        <w:left w:val="none" w:sz="0" w:space="0" w:color="auto"/>
                        <w:bottom w:val="none" w:sz="0" w:space="0" w:color="auto"/>
                        <w:right w:val="none" w:sz="0" w:space="0" w:color="auto"/>
                      </w:divBdr>
                    </w:div>
                    <w:div w:id="294143093">
                      <w:marLeft w:val="0"/>
                      <w:marRight w:val="0"/>
                      <w:marTop w:val="0"/>
                      <w:marBottom w:val="0"/>
                      <w:divBdr>
                        <w:top w:val="none" w:sz="0" w:space="0" w:color="auto"/>
                        <w:left w:val="none" w:sz="0" w:space="0" w:color="auto"/>
                        <w:bottom w:val="none" w:sz="0" w:space="0" w:color="auto"/>
                        <w:right w:val="none" w:sz="0" w:space="0" w:color="auto"/>
                      </w:divBdr>
                      <w:divsChild>
                        <w:div w:id="294150736">
                          <w:marLeft w:val="0"/>
                          <w:marRight w:val="0"/>
                          <w:marTop w:val="0"/>
                          <w:marBottom w:val="0"/>
                          <w:divBdr>
                            <w:top w:val="none" w:sz="0" w:space="0" w:color="auto"/>
                            <w:left w:val="none" w:sz="0" w:space="0" w:color="auto"/>
                            <w:bottom w:val="none" w:sz="0" w:space="0" w:color="auto"/>
                            <w:right w:val="none" w:sz="0" w:space="0" w:color="auto"/>
                          </w:divBdr>
                        </w:div>
                      </w:divsChild>
                    </w:div>
                    <w:div w:id="294143178">
                      <w:marLeft w:val="0"/>
                      <w:marRight w:val="0"/>
                      <w:marTop w:val="0"/>
                      <w:marBottom w:val="0"/>
                      <w:divBdr>
                        <w:top w:val="none" w:sz="0" w:space="0" w:color="auto"/>
                        <w:left w:val="none" w:sz="0" w:space="0" w:color="auto"/>
                        <w:bottom w:val="none" w:sz="0" w:space="0" w:color="auto"/>
                        <w:right w:val="none" w:sz="0" w:space="0" w:color="auto"/>
                      </w:divBdr>
                    </w:div>
                    <w:div w:id="294143302">
                      <w:marLeft w:val="0"/>
                      <w:marRight w:val="0"/>
                      <w:marTop w:val="0"/>
                      <w:marBottom w:val="0"/>
                      <w:divBdr>
                        <w:top w:val="none" w:sz="0" w:space="0" w:color="auto"/>
                        <w:left w:val="none" w:sz="0" w:space="0" w:color="auto"/>
                        <w:bottom w:val="none" w:sz="0" w:space="0" w:color="auto"/>
                        <w:right w:val="none" w:sz="0" w:space="0" w:color="auto"/>
                      </w:divBdr>
                      <w:divsChild>
                        <w:div w:id="294138036">
                          <w:marLeft w:val="0"/>
                          <w:marRight w:val="0"/>
                          <w:marTop w:val="0"/>
                          <w:marBottom w:val="0"/>
                          <w:divBdr>
                            <w:top w:val="none" w:sz="0" w:space="0" w:color="auto"/>
                            <w:left w:val="none" w:sz="0" w:space="0" w:color="auto"/>
                            <w:bottom w:val="none" w:sz="0" w:space="0" w:color="auto"/>
                            <w:right w:val="none" w:sz="0" w:space="0" w:color="auto"/>
                          </w:divBdr>
                        </w:div>
                      </w:divsChild>
                    </w:div>
                    <w:div w:id="294143331">
                      <w:marLeft w:val="0"/>
                      <w:marRight w:val="0"/>
                      <w:marTop w:val="0"/>
                      <w:marBottom w:val="0"/>
                      <w:divBdr>
                        <w:top w:val="none" w:sz="0" w:space="0" w:color="auto"/>
                        <w:left w:val="none" w:sz="0" w:space="0" w:color="auto"/>
                        <w:bottom w:val="none" w:sz="0" w:space="0" w:color="auto"/>
                        <w:right w:val="none" w:sz="0" w:space="0" w:color="auto"/>
                      </w:divBdr>
                      <w:divsChild>
                        <w:div w:id="294142077">
                          <w:marLeft w:val="0"/>
                          <w:marRight w:val="0"/>
                          <w:marTop w:val="0"/>
                          <w:marBottom w:val="0"/>
                          <w:divBdr>
                            <w:top w:val="none" w:sz="0" w:space="0" w:color="auto"/>
                            <w:left w:val="none" w:sz="0" w:space="0" w:color="auto"/>
                            <w:bottom w:val="none" w:sz="0" w:space="0" w:color="auto"/>
                            <w:right w:val="none" w:sz="0" w:space="0" w:color="auto"/>
                          </w:divBdr>
                        </w:div>
                      </w:divsChild>
                    </w:div>
                    <w:div w:id="294143337">
                      <w:marLeft w:val="0"/>
                      <w:marRight w:val="0"/>
                      <w:marTop w:val="0"/>
                      <w:marBottom w:val="0"/>
                      <w:divBdr>
                        <w:top w:val="none" w:sz="0" w:space="0" w:color="auto"/>
                        <w:left w:val="none" w:sz="0" w:space="0" w:color="auto"/>
                        <w:bottom w:val="none" w:sz="0" w:space="0" w:color="auto"/>
                        <w:right w:val="none" w:sz="0" w:space="0" w:color="auto"/>
                      </w:divBdr>
                      <w:divsChild>
                        <w:div w:id="294153796">
                          <w:marLeft w:val="0"/>
                          <w:marRight w:val="0"/>
                          <w:marTop w:val="0"/>
                          <w:marBottom w:val="0"/>
                          <w:divBdr>
                            <w:top w:val="none" w:sz="0" w:space="0" w:color="auto"/>
                            <w:left w:val="none" w:sz="0" w:space="0" w:color="auto"/>
                            <w:bottom w:val="none" w:sz="0" w:space="0" w:color="auto"/>
                            <w:right w:val="none" w:sz="0" w:space="0" w:color="auto"/>
                          </w:divBdr>
                        </w:div>
                      </w:divsChild>
                    </w:div>
                    <w:div w:id="294143459">
                      <w:marLeft w:val="0"/>
                      <w:marRight w:val="0"/>
                      <w:marTop w:val="0"/>
                      <w:marBottom w:val="0"/>
                      <w:divBdr>
                        <w:top w:val="none" w:sz="0" w:space="0" w:color="auto"/>
                        <w:left w:val="none" w:sz="0" w:space="0" w:color="auto"/>
                        <w:bottom w:val="none" w:sz="0" w:space="0" w:color="auto"/>
                        <w:right w:val="none" w:sz="0" w:space="0" w:color="auto"/>
                      </w:divBdr>
                    </w:div>
                    <w:div w:id="294143486">
                      <w:marLeft w:val="0"/>
                      <w:marRight w:val="0"/>
                      <w:marTop w:val="0"/>
                      <w:marBottom w:val="0"/>
                      <w:divBdr>
                        <w:top w:val="none" w:sz="0" w:space="0" w:color="auto"/>
                        <w:left w:val="none" w:sz="0" w:space="0" w:color="auto"/>
                        <w:bottom w:val="none" w:sz="0" w:space="0" w:color="auto"/>
                        <w:right w:val="none" w:sz="0" w:space="0" w:color="auto"/>
                      </w:divBdr>
                    </w:div>
                    <w:div w:id="294143524">
                      <w:marLeft w:val="0"/>
                      <w:marRight w:val="0"/>
                      <w:marTop w:val="0"/>
                      <w:marBottom w:val="0"/>
                      <w:divBdr>
                        <w:top w:val="none" w:sz="0" w:space="0" w:color="auto"/>
                        <w:left w:val="none" w:sz="0" w:space="0" w:color="auto"/>
                        <w:bottom w:val="none" w:sz="0" w:space="0" w:color="auto"/>
                        <w:right w:val="none" w:sz="0" w:space="0" w:color="auto"/>
                      </w:divBdr>
                      <w:divsChild>
                        <w:div w:id="294138612">
                          <w:marLeft w:val="0"/>
                          <w:marRight w:val="0"/>
                          <w:marTop w:val="0"/>
                          <w:marBottom w:val="0"/>
                          <w:divBdr>
                            <w:top w:val="none" w:sz="0" w:space="0" w:color="auto"/>
                            <w:left w:val="none" w:sz="0" w:space="0" w:color="auto"/>
                            <w:bottom w:val="none" w:sz="0" w:space="0" w:color="auto"/>
                            <w:right w:val="none" w:sz="0" w:space="0" w:color="auto"/>
                          </w:divBdr>
                        </w:div>
                      </w:divsChild>
                    </w:div>
                    <w:div w:id="294143526">
                      <w:marLeft w:val="0"/>
                      <w:marRight w:val="0"/>
                      <w:marTop w:val="0"/>
                      <w:marBottom w:val="0"/>
                      <w:divBdr>
                        <w:top w:val="none" w:sz="0" w:space="0" w:color="auto"/>
                        <w:left w:val="none" w:sz="0" w:space="0" w:color="auto"/>
                        <w:bottom w:val="none" w:sz="0" w:space="0" w:color="auto"/>
                        <w:right w:val="none" w:sz="0" w:space="0" w:color="auto"/>
                      </w:divBdr>
                      <w:divsChild>
                        <w:div w:id="294140784">
                          <w:marLeft w:val="0"/>
                          <w:marRight w:val="0"/>
                          <w:marTop w:val="0"/>
                          <w:marBottom w:val="0"/>
                          <w:divBdr>
                            <w:top w:val="none" w:sz="0" w:space="0" w:color="auto"/>
                            <w:left w:val="none" w:sz="0" w:space="0" w:color="auto"/>
                            <w:bottom w:val="none" w:sz="0" w:space="0" w:color="auto"/>
                            <w:right w:val="none" w:sz="0" w:space="0" w:color="auto"/>
                          </w:divBdr>
                        </w:div>
                      </w:divsChild>
                    </w:div>
                    <w:div w:id="294143534">
                      <w:marLeft w:val="0"/>
                      <w:marRight w:val="0"/>
                      <w:marTop w:val="0"/>
                      <w:marBottom w:val="0"/>
                      <w:divBdr>
                        <w:top w:val="none" w:sz="0" w:space="0" w:color="auto"/>
                        <w:left w:val="none" w:sz="0" w:space="0" w:color="auto"/>
                        <w:bottom w:val="none" w:sz="0" w:space="0" w:color="auto"/>
                        <w:right w:val="none" w:sz="0" w:space="0" w:color="auto"/>
                      </w:divBdr>
                      <w:divsChild>
                        <w:div w:id="294143777">
                          <w:marLeft w:val="0"/>
                          <w:marRight w:val="0"/>
                          <w:marTop w:val="0"/>
                          <w:marBottom w:val="0"/>
                          <w:divBdr>
                            <w:top w:val="none" w:sz="0" w:space="0" w:color="auto"/>
                            <w:left w:val="none" w:sz="0" w:space="0" w:color="auto"/>
                            <w:bottom w:val="none" w:sz="0" w:space="0" w:color="auto"/>
                            <w:right w:val="none" w:sz="0" w:space="0" w:color="auto"/>
                          </w:divBdr>
                        </w:div>
                      </w:divsChild>
                    </w:div>
                    <w:div w:id="294143558">
                      <w:marLeft w:val="0"/>
                      <w:marRight w:val="0"/>
                      <w:marTop w:val="0"/>
                      <w:marBottom w:val="0"/>
                      <w:divBdr>
                        <w:top w:val="none" w:sz="0" w:space="0" w:color="auto"/>
                        <w:left w:val="none" w:sz="0" w:space="0" w:color="auto"/>
                        <w:bottom w:val="none" w:sz="0" w:space="0" w:color="auto"/>
                        <w:right w:val="none" w:sz="0" w:space="0" w:color="auto"/>
                      </w:divBdr>
                    </w:div>
                    <w:div w:id="294143599">
                      <w:marLeft w:val="0"/>
                      <w:marRight w:val="0"/>
                      <w:marTop w:val="0"/>
                      <w:marBottom w:val="0"/>
                      <w:divBdr>
                        <w:top w:val="none" w:sz="0" w:space="0" w:color="auto"/>
                        <w:left w:val="none" w:sz="0" w:space="0" w:color="auto"/>
                        <w:bottom w:val="none" w:sz="0" w:space="0" w:color="auto"/>
                        <w:right w:val="none" w:sz="0" w:space="0" w:color="auto"/>
                      </w:divBdr>
                    </w:div>
                    <w:div w:id="294143618">
                      <w:marLeft w:val="0"/>
                      <w:marRight w:val="0"/>
                      <w:marTop w:val="0"/>
                      <w:marBottom w:val="0"/>
                      <w:divBdr>
                        <w:top w:val="none" w:sz="0" w:space="0" w:color="auto"/>
                        <w:left w:val="none" w:sz="0" w:space="0" w:color="auto"/>
                        <w:bottom w:val="none" w:sz="0" w:space="0" w:color="auto"/>
                        <w:right w:val="none" w:sz="0" w:space="0" w:color="auto"/>
                      </w:divBdr>
                      <w:divsChild>
                        <w:div w:id="294141006">
                          <w:marLeft w:val="0"/>
                          <w:marRight w:val="0"/>
                          <w:marTop w:val="0"/>
                          <w:marBottom w:val="0"/>
                          <w:divBdr>
                            <w:top w:val="none" w:sz="0" w:space="0" w:color="auto"/>
                            <w:left w:val="none" w:sz="0" w:space="0" w:color="auto"/>
                            <w:bottom w:val="none" w:sz="0" w:space="0" w:color="auto"/>
                            <w:right w:val="none" w:sz="0" w:space="0" w:color="auto"/>
                          </w:divBdr>
                        </w:div>
                      </w:divsChild>
                    </w:div>
                    <w:div w:id="294143736">
                      <w:marLeft w:val="0"/>
                      <w:marRight w:val="0"/>
                      <w:marTop w:val="0"/>
                      <w:marBottom w:val="0"/>
                      <w:divBdr>
                        <w:top w:val="none" w:sz="0" w:space="0" w:color="auto"/>
                        <w:left w:val="none" w:sz="0" w:space="0" w:color="auto"/>
                        <w:bottom w:val="none" w:sz="0" w:space="0" w:color="auto"/>
                        <w:right w:val="none" w:sz="0" w:space="0" w:color="auto"/>
                      </w:divBdr>
                    </w:div>
                    <w:div w:id="294143849">
                      <w:marLeft w:val="0"/>
                      <w:marRight w:val="0"/>
                      <w:marTop w:val="0"/>
                      <w:marBottom w:val="0"/>
                      <w:divBdr>
                        <w:top w:val="none" w:sz="0" w:space="0" w:color="auto"/>
                        <w:left w:val="none" w:sz="0" w:space="0" w:color="auto"/>
                        <w:bottom w:val="none" w:sz="0" w:space="0" w:color="auto"/>
                        <w:right w:val="none" w:sz="0" w:space="0" w:color="auto"/>
                      </w:divBdr>
                    </w:div>
                    <w:div w:id="294143862">
                      <w:marLeft w:val="0"/>
                      <w:marRight w:val="0"/>
                      <w:marTop w:val="0"/>
                      <w:marBottom w:val="0"/>
                      <w:divBdr>
                        <w:top w:val="none" w:sz="0" w:space="0" w:color="auto"/>
                        <w:left w:val="none" w:sz="0" w:space="0" w:color="auto"/>
                        <w:bottom w:val="none" w:sz="0" w:space="0" w:color="auto"/>
                        <w:right w:val="none" w:sz="0" w:space="0" w:color="auto"/>
                      </w:divBdr>
                      <w:divsChild>
                        <w:div w:id="294153712">
                          <w:marLeft w:val="0"/>
                          <w:marRight w:val="0"/>
                          <w:marTop w:val="0"/>
                          <w:marBottom w:val="0"/>
                          <w:divBdr>
                            <w:top w:val="none" w:sz="0" w:space="0" w:color="auto"/>
                            <w:left w:val="none" w:sz="0" w:space="0" w:color="auto"/>
                            <w:bottom w:val="none" w:sz="0" w:space="0" w:color="auto"/>
                            <w:right w:val="none" w:sz="0" w:space="0" w:color="auto"/>
                          </w:divBdr>
                        </w:div>
                      </w:divsChild>
                    </w:div>
                    <w:div w:id="294143880">
                      <w:marLeft w:val="0"/>
                      <w:marRight w:val="0"/>
                      <w:marTop w:val="0"/>
                      <w:marBottom w:val="0"/>
                      <w:divBdr>
                        <w:top w:val="none" w:sz="0" w:space="0" w:color="auto"/>
                        <w:left w:val="none" w:sz="0" w:space="0" w:color="auto"/>
                        <w:bottom w:val="none" w:sz="0" w:space="0" w:color="auto"/>
                        <w:right w:val="none" w:sz="0" w:space="0" w:color="auto"/>
                      </w:divBdr>
                      <w:divsChild>
                        <w:div w:id="294156190">
                          <w:marLeft w:val="0"/>
                          <w:marRight w:val="0"/>
                          <w:marTop w:val="0"/>
                          <w:marBottom w:val="0"/>
                          <w:divBdr>
                            <w:top w:val="none" w:sz="0" w:space="0" w:color="auto"/>
                            <w:left w:val="none" w:sz="0" w:space="0" w:color="auto"/>
                            <w:bottom w:val="none" w:sz="0" w:space="0" w:color="auto"/>
                            <w:right w:val="none" w:sz="0" w:space="0" w:color="auto"/>
                          </w:divBdr>
                        </w:div>
                      </w:divsChild>
                    </w:div>
                    <w:div w:id="294143886">
                      <w:marLeft w:val="0"/>
                      <w:marRight w:val="0"/>
                      <w:marTop w:val="0"/>
                      <w:marBottom w:val="0"/>
                      <w:divBdr>
                        <w:top w:val="none" w:sz="0" w:space="0" w:color="auto"/>
                        <w:left w:val="none" w:sz="0" w:space="0" w:color="auto"/>
                        <w:bottom w:val="none" w:sz="0" w:space="0" w:color="auto"/>
                        <w:right w:val="none" w:sz="0" w:space="0" w:color="auto"/>
                      </w:divBdr>
                    </w:div>
                    <w:div w:id="294143908">
                      <w:marLeft w:val="0"/>
                      <w:marRight w:val="0"/>
                      <w:marTop w:val="0"/>
                      <w:marBottom w:val="0"/>
                      <w:divBdr>
                        <w:top w:val="none" w:sz="0" w:space="0" w:color="auto"/>
                        <w:left w:val="none" w:sz="0" w:space="0" w:color="auto"/>
                        <w:bottom w:val="none" w:sz="0" w:space="0" w:color="auto"/>
                        <w:right w:val="none" w:sz="0" w:space="0" w:color="auto"/>
                      </w:divBdr>
                      <w:divsChild>
                        <w:div w:id="294142063">
                          <w:marLeft w:val="0"/>
                          <w:marRight w:val="0"/>
                          <w:marTop w:val="0"/>
                          <w:marBottom w:val="0"/>
                          <w:divBdr>
                            <w:top w:val="none" w:sz="0" w:space="0" w:color="auto"/>
                            <w:left w:val="none" w:sz="0" w:space="0" w:color="auto"/>
                            <w:bottom w:val="none" w:sz="0" w:space="0" w:color="auto"/>
                            <w:right w:val="none" w:sz="0" w:space="0" w:color="auto"/>
                          </w:divBdr>
                        </w:div>
                      </w:divsChild>
                    </w:div>
                    <w:div w:id="294144097">
                      <w:marLeft w:val="0"/>
                      <w:marRight w:val="0"/>
                      <w:marTop w:val="0"/>
                      <w:marBottom w:val="0"/>
                      <w:divBdr>
                        <w:top w:val="none" w:sz="0" w:space="0" w:color="auto"/>
                        <w:left w:val="none" w:sz="0" w:space="0" w:color="auto"/>
                        <w:bottom w:val="none" w:sz="0" w:space="0" w:color="auto"/>
                        <w:right w:val="none" w:sz="0" w:space="0" w:color="auto"/>
                      </w:divBdr>
                    </w:div>
                    <w:div w:id="294144145">
                      <w:marLeft w:val="0"/>
                      <w:marRight w:val="0"/>
                      <w:marTop w:val="0"/>
                      <w:marBottom w:val="0"/>
                      <w:divBdr>
                        <w:top w:val="none" w:sz="0" w:space="0" w:color="auto"/>
                        <w:left w:val="none" w:sz="0" w:space="0" w:color="auto"/>
                        <w:bottom w:val="none" w:sz="0" w:space="0" w:color="auto"/>
                        <w:right w:val="none" w:sz="0" w:space="0" w:color="auto"/>
                      </w:divBdr>
                    </w:div>
                    <w:div w:id="294144214">
                      <w:marLeft w:val="0"/>
                      <w:marRight w:val="0"/>
                      <w:marTop w:val="0"/>
                      <w:marBottom w:val="0"/>
                      <w:divBdr>
                        <w:top w:val="none" w:sz="0" w:space="0" w:color="auto"/>
                        <w:left w:val="none" w:sz="0" w:space="0" w:color="auto"/>
                        <w:bottom w:val="none" w:sz="0" w:space="0" w:color="auto"/>
                        <w:right w:val="none" w:sz="0" w:space="0" w:color="auto"/>
                      </w:divBdr>
                    </w:div>
                    <w:div w:id="294144236">
                      <w:marLeft w:val="0"/>
                      <w:marRight w:val="0"/>
                      <w:marTop w:val="0"/>
                      <w:marBottom w:val="0"/>
                      <w:divBdr>
                        <w:top w:val="none" w:sz="0" w:space="0" w:color="auto"/>
                        <w:left w:val="none" w:sz="0" w:space="0" w:color="auto"/>
                        <w:bottom w:val="none" w:sz="0" w:space="0" w:color="auto"/>
                        <w:right w:val="none" w:sz="0" w:space="0" w:color="auto"/>
                      </w:divBdr>
                      <w:divsChild>
                        <w:div w:id="294147323">
                          <w:marLeft w:val="0"/>
                          <w:marRight w:val="0"/>
                          <w:marTop w:val="0"/>
                          <w:marBottom w:val="0"/>
                          <w:divBdr>
                            <w:top w:val="none" w:sz="0" w:space="0" w:color="auto"/>
                            <w:left w:val="none" w:sz="0" w:space="0" w:color="auto"/>
                            <w:bottom w:val="none" w:sz="0" w:space="0" w:color="auto"/>
                            <w:right w:val="none" w:sz="0" w:space="0" w:color="auto"/>
                          </w:divBdr>
                        </w:div>
                      </w:divsChild>
                    </w:div>
                    <w:div w:id="294144269">
                      <w:marLeft w:val="0"/>
                      <w:marRight w:val="0"/>
                      <w:marTop w:val="0"/>
                      <w:marBottom w:val="0"/>
                      <w:divBdr>
                        <w:top w:val="none" w:sz="0" w:space="0" w:color="auto"/>
                        <w:left w:val="none" w:sz="0" w:space="0" w:color="auto"/>
                        <w:bottom w:val="none" w:sz="0" w:space="0" w:color="auto"/>
                        <w:right w:val="none" w:sz="0" w:space="0" w:color="auto"/>
                      </w:divBdr>
                      <w:divsChild>
                        <w:div w:id="294144122">
                          <w:marLeft w:val="0"/>
                          <w:marRight w:val="0"/>
                          <w:marTop w:val="0"/>
                          <w:marBottom w:val="0"/>
                          <w:divBdr>
                            <w:top w:val="none" w:sz="0" w:space="0" w:color="auto"/>
                            <w:left w:val="none" w:sz="0" w:space="0" w:color="auto"/>
                            <w:bottom w:val="none" w:sz="0" w:space="0" w:color="auto"/>
                            <w:right w:val="none" w:sz="0" w:space="0" w:color="auto"/>
                          </w:divBdr>
                        </w:div>
                      </w:divsChild>
                    </w:div>
                    <w:div w:id="294144302">
                      <w:marLeft w:val="0"/>
                      <w:marRight w:val="0"/>
                      <w:marTop w:val="0"/>
                      <w:marBottom w:val="0"/>
                      <w:divBdr>
                        <w:top w:val="none" w:sz="0" w:space="0" w:color="auto"/>
                        <w:left w:val="none" w:sz="0" w:space="0" w:color="auto"/>
                        <w:bottom w:val="none" w:sz="0" w:space="0" w:color="auto"/>
                        <w:right w:val="none" w:sz="0" w:space="0" w:color="auto"/>
                      </w:divBdr>
                      <w:divsChild>
                        <w:div w:id="294151134">
                          <w:marLeft w:val="0"/>
                          <w:marRight w:val="0"/>
                          <w:marTop w:val="0"/>
                          <w:marBottom w:val="0"/>
                          <w:divBdr>
                            <w:top w:val="none" w:sz="0" w:space="0" w:color="auto"/>
                            <w:left w:val="none" w:sz="0" w:space="0" w:color="auto"/>
                            <w:bottom w:val="none" w:sz="0" w:space="0" w:color="auto"/>
                            <w:right w:val="none" w:sz="0" w:space="0" w:color="auto"/>
                          </w:divBdr>
                        </w:div>
                      </w:divsChild>
                    </w:div>
                    <w:div w:id="294144393">
                      <w:marLeft w:val="0"/>
                      <w:marRight w:val="0"/>
                      <w:marTop w:val="0"/>
                      <w:marBottom w:val="0"/>
                      <w:divBdr>
                        <w:top w:val="none" w:sz="0" w:space="0" w:color="auto"/>
                        <w:left w:val="none" w:sz="0" w:space="0" w:color="auto"/>
                        <w:bottom w:val="none" w:sz="0" w:space="0" w:color="auto"/>
                        <w:right w:val="none" w:sz="0" w:space="0" w:color="auto"/>
                      </w:divBdr>
                    </w:div>
                    <w:div w:id="294144503">
                      <w:marLeft w:val="0"/>
                      <w:marRight w:val="0"/>
                      <w:marTop w:val="0"/>
                      <w:marBottom w:val="0"/>
                      <w:divBdr>
                        <w:top w:val="none" w:sz="0" w:space="0" w:color="auto"/>
                        <w:left w:val="none" w:sz="0" w:space="0" w:color="auto"/>
                        <w:bottom w:val="none" w:sz="0" w:space="0" w:color="auto"/>
                        <w:right w:val="none" w:sz="0" w:space="0" w:color="auto"/>
                      </w:divBdr>
                      <w:divsChild>
                        <w:div w:id="294148317">
                          <w:marLeft w:val="0"/>
                          <w:marRight w:val="0"/>
                          <w:marTop w:val="0"/>
                          <w:marBottom w:val="0"/>
                          <w:divBdr>
                            <w:top w:val="none" w:sz="0" w:space="0" w:color="auto"/>
                            <w:left w:val="none" w:sz="0" w:space="0" w:color="auto"/>
                            <w:bottom w:val="none" w:sz="0" w:space="0" w:color="auto"/>
                            <w:right w:val="none" w:sz="0" w:space="0" w:color="auto"/>
                          </w:divBdr>
                        </w:div>
                      </w:divsChild>
                    </w:div>
                    <w:div w:id="294144527">
                      <w:marLeft w:val="0"/>
                      <w:marRight w:val="0"/>
                      <w:marTop w:val="0"/>
                      <w:marBottom w:val="0"/>
                      <w:divBdr>
                        <w:top w:val="none" w:sz="0" w:space="0" w:color="auto"/>
                        <w:left w:val="none" w:sz="0" w:space="0" w:color="auto"/>
                        <w:bottom w:val="none" w:sz="0" w:space="0" w:color="auto"/>
                        <w:right w:val="none" w:sz="0" w:space="0" w:color="auto"/>
                      </w:divBdr>
                    </w:div>
                    <w:div w:id="294144567">
                      <w:marLeft w:val="0"/>
                      <w:marRight w:val="0"/>
                      <w:marTop w:val="0"/>
                      <w:marBottom w:val="0"/>
                      <w:divBdr>
                        <w:top w:val="none" w:sz="0" w:space="0" w:color="auto"/>
                        <w:left w:val="none" w:sz="0" w:space="0" w:color="auto"/>
                        <w:bottom w:val="none" w:sz="0" w:space="0" w:color="auto"/>
                        <w:right w:val="none" w:sz="0" w:space="0" w:color="auto"/>
                      </w:divBdr>
                      <w:divsChild>
                        <w:div w:id="294138218">
                          <w:marLeft w:val="0"/>
                          <w:marRight w:val="0"/>
                          <w:marTop w:val="0"/>
                          <w:marBottom w:val="0"/>
                          <w:divBdr>
                            <w:top w:val="none" w:sz="0" w:space="0" w:color="auto"/>
                            <w:left w:val="none" w:sz="0" w:space="0" w:color="auto"/>
                            <w:bottom w:val="none" w:sz="0" w:space="0" w:color="auto"/>
                            <w:right w:val="none" w:sz="0" w:space="0" w:color="auto"/>
                          </w:divBdr>
                        </w:div>
                      </w:divsChild>
                    </w:div>
                    <w:div w:id="294144622">
                      <w:marLeft w:val="0"/>
                      <w:marRight w:val="0"/>
                      <w:marTop w:val="0"/>
                      <w:marBottom w:val="0"/>
                      <w:divBdr>
                        <w:top w:val="none" w:sz="0" w:space="0" w:color="auto"/>
                        <w:left w:val="none" w:sz="0" w:space="0" w:color="auto"/>
                        <w:bottom w:val="none" w:sz="0" w:space="0" w:color="auto"/>
                        <w:right w:val="none" w:sz="0" w:space="0" w:color="auto"/>
                      </w:divBdr>
                    </w:div>
                    <w:div w:id="294144738">
                      <w:marLeft w:val="0"/>
                      <w:marRight w:val="0"/>
                      <w:marTop w:val="0"/>
                      <w:marBottom w:val="0"/>
                      <w:divBdr>
                        <w:top w:val="none" w:sz="0" w:space="0" w:color="auto"/>
                        <w:left w:val="none" w:sz="0" w:space="0" w:color="auto"/>
                        <w:bottom w:val="none" w:sz="0" w:space="0" w:color="auto"/>
                        <w:right w:val="none" w:sz="0" w:space="0" w:color="auto"/>
                      </w:divBdr>
                      <w:divsChild>
                        <w:div w:id="294150705">
                          <w:marLeft w:val="0"/>
                          <w:marRight w:val="0"/>
                          <w:marTop w:val="0"/>
                          <w:marBottom w:val="0"/>
                          <w:divBdr>
                            <w:top w:val="none" w:sz="0" w:space="0" w:color="auto"/>
                            <w:left w:val="none" w:sz="0" w:space="0" w:color="auto"/>
                            <w:bottom w:val="none" w:sz="0" w:space="0" w:color="auto"/>
                            <w:right w:val="none" w:sz="0" w:space="0" w:color="auto"/>
                          </w:divBdr>
                        </w:div>
                      </w:divsChild>
                    </w:div>
                    <w:div w:id="294144771">
                      <w:marLeft w:val="0"/>
                      <w:marRight w:val="0"/>
                      <w:marTop w:val="0"/>
                      <w:marBottom w:val="0"/>
                      <w:divBdr>
                        <w:top w:val="none" w:sz="0" w:space="0" w:color="auto"/>
                        <w:left w:val="none" w:sz="0" w:space="0" w:color="auto"/>
                        <w:bottom w:val="none" w:sz="0" w:space="0" w:color="auto"/>
                        <w:right w:val="none" w:sz="0" w:space="0" w:color="auto"/>
                      </w:divBdr>
                      <w:divsChild>
                        <w:div w:id="294154078">
                          <w:marLeft w:val="0"/>
                          <w:marRight w:val="0"/>
                          <w:marTop w:val="0"/>
                          <w:marBottom w:val="0"/>
                          <w:divBdr>
                            <w:top w:val="none" w:sz="0" w:space="0" w:color="auto"/>
                            <w:left w:val="none" w:sz="0" w:space="0" w:color="auto"/>
                            <w:bottom w:val="none" w:sz="0" w:space="0" w:color="auto"/>
                            <w:right w:val="none" w:sz="0" w:space="0" w:color="auto"/>
                          </w:divBdr>
                        </w:div>
                      </w:divsChild>
                    </w:div>
                    <w:div w:id="294144788">
                      <w:marLeft w:val="0"/>
                      <w:marRight w:val="0"/>
                      <w:marTop w:val="0"/>
                      <w:marBottom w:val="0"/>
                      <w:divBdr>
                        <w:top w:val="none" w:sz="0" w:space="0" w:color="auto"/>
                        <w:left w:val="none" w:sz="0" w:space="0" w:color="auto"/>
                        <w:bottom w:val="none" w:sz="0" w:space="0" w:color="auto"/>
                        <w:right w:val="none" w:sz="0" w:space="0" w:color="auto"/>
                      </w:divBdr>
                    </w:div>
                    <w:div w:id="294144866">
                      <w:marLeft w:val="0"/>
                      <w:marRight w:val="0"/>
                      <w:marTop w:val="0"/>
                      <w:marBottom w:val="0"/>
                      <w:divBdr>
                        <w:top w:val="none" w:sz="0" w:space="0" w:color="auto"/>
                        <w:left w:val="none" w:sz="0" w:space="0" w:color="auto"/>
                        <w:bottom w:val="none" w:sz="0" w:space="0" w:color="auto"/>
                        <w:right w:val="none" w:sz="0" w:space="0" w:color="auto"/>
                      </w:divBdr>
                      <w:divsChild>
                        <w:div w:id="294146707">
                          <w:marLeft w:val="0"/>
                          <w:marRight w:val="0"/>
                          <w:marTop w:val="0"/>
                          <w:marBottom w:val="0"/>
                          <w:divBdr>
                            <w:top w:val="none" w:sz="0" w:space="0" w:color="auto"/>
                            <w:left w:val="none" w:sz="0" w:space="0" w:color="auto"/>
                            <w:bottom w:val="none" w:sz="0" w:space="0" w:color="auto"/>
                            <w:right w:val="none" w:sz="0" w:space="0" w:color="auto"/>
                          </w:divBdr>
                        </w:div>
                      </w:divsChild>
                    </w:div>
                    <w:div w:id="294144879">
                      <w:marLeft w:val="0"/>
                      <w:marRight w:val="0"/>
                      <w:marTop w:val="0"/>
                      <w:marBottom w:val="0"/>
                      <w:divBdr>
                        <w:top w:val="none" w:sz="0" w:space="0" w:color="auto"/>
                        <w:left w:val="none" w:sz="0" w:space="0" w:color="auto"/>
                        <w:bottom w:val="none" w:sz="0" w:space="0" w:color="auto"/>
                        <w:right w:val="none" w:sz="0" w:space="0" w:color="auto"/>
                      </w:divBdr>
                    </w:div>
                    <w:div w:id="294144954">
                      <w:marLeft w:val="0"/>
                      <w:marRight w:val="0"/>
                      <w:marTop w:val="0"/>
                      <w:marBottom w:val="0"/>
                      <w:divBdr>
                        <w:top w:val="none" w:sz="0" w:space="0" w:color="auto"/>
                        <w:left w:val="none" w:sz="0" w:space="0" w:color="auto"/>
                        <w:bottom w:val="none" w:sz="0" w:space="0" w:color="auto"/>
                        <w:right w:val="none" w:sz="0" w:space="0" w:color="auto"/>
                      </w:divBdr>
                    </w:div>
                    <w:div w:id="294145053">
                      <w:marLeft w:val="0"/>
                      <w:marRight w:val="0"/>
                      <w:marTop w:val="0"/>
                      <w:marBottom w:val="0"/>
                      <w:divBdr>
                        <w:top w:val="none" w:sz="0" w:space="0" w:color="auto"/>
                        <w:left w:val="none" w:sz="0" w:space="0" w:color="auto"/>
                        <w:bottom w:val="none" w:sz="0" w:space="0" w:color="auto"/>
                        <w:right w:val="none" w:sz="0" w:space="0" w:color="auto"/>
                      </w:divBdr>
                    </w:div>
                    <w:div w:id="294145285">
                      <w:marLeft w:val="0"/>
                      <w:marRight w:val="0"/>
                      <w:marTop w:val="0"/>
                      <w:marBottom w:val="0"/>
                      <w:divBdr>
                        <w:top w:val="none" w:sz="0" w:space="0" w:color="auto"/>
                        <w:left w:val="none" w:sz="0" w:space="0" w:color="auto"/>
                        <w:bottom w:val="none" w:sz="0" w:space="0" w:color="auto"/>
                        <w:right w:val="none" w:sz="0" w:space="0" w:color="auto"/>
                      </w:divBdr>
                      <w:divsChild>
                        <w:div w:id="294141080">
                          <w:marLeft w:val="0"/>
                          <w:marRight w:val="0"/>
                          <w:marTop w:val="0"/>
                          <w:marBottom w:val="0"/>
                          <w:divBdr>
                            <w:top w:val="none" w:sz="0" w:space="0" w:color="auto"/>
                            <w:left w:val="none" w:sz="0" w:space="0" w:color="auto"/>
                            <w:bottom w:val="none" w:sz="0" w:space="0" w:color="auto"/>
                            <w:right w:val="none" w:sz="0" w:space="0" w:color="auto"/>
                          </w:divBdr>
                        </w:div>
                      </w:divsChild>
                    </w:div>
                    <w:div w:id="294145392">
                      <w:marLeft w:val="0"/>
                      <w:marRight w:val="0"/>
                      <w:marTop w:val="0"/>
                      <w:marBottom w:val="0"/>
                      <w:divBdr>
                        <w:top w:val="none" w:sz="0" w:space="0" w:color="auto"/>
                        <w:left w:val="none" w:sz="0" w:space="0" w:color="auto"/>
                        <w:bottom w:val="none" w:sz="0" w:space="0" w:color="auto"/>
                        <w:right w:val="none" w:sz="0" w:space="0" w:color="auto"/>
                      </w:divBdr>
                      <w:divsChild>
                        <w:div w:id="294157213">
                          <w:marLeft w:val="0"/>
                          <w:marRight w:val="0"/>
                          <w:marTop w:val="0"/>
                          <w:marBottom w:val="0"/>
                          <w:divBdr>
                            <w:top w:val="none" w:sz="0" w:space="0" w:color="auto"/>
                            <w:left w:val="none" w:sz="0" w:space="0" w:color="auto"/>
                            <w:bottom w:val="none" w:sz="0" w:space="0" w:color="auto"/>
                            <w:right w:val="none" w:sz="0" w:space="0" w:color="auto"/>
                          </w:divBdr>
                        </w:div>
                      </w:divsChild>
                    </w:div>
                    <w:div w:id="294145477">
                      <w:marLeft w:val="0"/>
                      <w:marRight w:val="0"/>
                      <w:marTop w:val="0"/>
                      <w:marBottom w:val="0"/>
                      <w:divBdr>
                        <w:top w:val="none" w:sz="0" w:space="0" w:color="auto"/>
                        <w:left w:val="none" w:sz="0" w:space="0" w:color="auto"/>
                        <w:bottom w:val="none" w:sz="0" w:space="0" w:color="auto"/>
                        <w:right w:val="none" w:sz="0" w:space="0" w:color="auto"/>
                      </w:divBdr>
                      <w:divsChild>
                        <w:div w:id="294152085">
                          <w:marLeft w:val="0"/>
                          <w:marRight w:val="0"/>
                          <w:marTop w:val="0"/>
                          <w:marBottom w:val="0"/>
                          <w:divBdr>
                            <w:top w:val="none" w:sz="0" w:space="0" w:color="auto"/>
                            <w:left w:val="none" w:sz="0" w:space="0" w:color="auto"/>
                            <w:bottom w:val="none" w:sz="0" w:space="0" w:color="auto"/>
                            <w:right w:val="none" w:sz="0" w:space="0" w:color="auto"/>
                          </w:divBdr>
                        </w:div>
                      </w:divsChild>
                    </w:div>
                    <w:div w:id="294145483">
                      <w:marLeft w:val="0"/>
                      <w:marRight w:val="0"/>
                      <w:marTop w:val="0"/>
                      <w:marBottom w:val="0"/>
                      <w:divBdr>
                        <w:top w:val="none" w:sz="0" w:space="0" w:color="auto"/>
                        <w:left w:val="none" w:sz="0" w:space="0" w:color="auto"/>
                        <w:bottom w:val="none" w:sz="0" w:space="0" w:color="auto"/>
                        <w:right w:val="none" w:sz="0" w:space="0" w:color="auto"/>
                      </w:divBdr>
                      <w:divsChild>
                        <w:div w:id="294141660">
                          <w:marLeft w:val="0"/>
                          <w:marRight w:val="0"/>
                          <w:marTop w:val="0"/>
                          <w:marBottom w:val="0"/>
                          <w:divBdr>
                            <w:top w:val="none" w:sz="0" w:space="0" w:color="auto"/>
                            <w:left w:val="none" w:sz="0" w:space="0" w:color="auto"/>
                            <w:bottom w:val="none" w:sz="0" w:space="0" w:color="auto"/>
                            <w:right w:val="none" w:sz="0" w:space="0" w:color="auto"/>
                          </w:divBdr>
                        </w:div>
                      </w:divsChild>
                    </w:div>
                    <w:div w:id="294145583">
                      <w:marLeft w:val="0"/>
                      <w:marRight w:val="0"/>
                      <w:marTop w:val="0"/>
                      <w:marBottom w:val="0"/>
                      <w:divBdr>
                        <w:top w:val="none" w:sz="0" w:space="0" w:color="auto"/>
                        <w:left w:val="none" w:sz="0" w:space="0" w:color="auto"/>
                        <w:bottom w:val="none" w:sz="0" w:space="0" w:color="auto"/>
                        <w:right w:val="none" w:sz="0" w:space="0" w:color="auto"/>
                      </w:divBdr>
                      <w:divsChild>
                        <w:div w:id="294154581">
                          <w:marLeft w:val="0"/>
                          <w:marRight w:val="0"/>
                          <w:marTop w:val="0"/>
                          <w:marBottom w:val="0"/>
                          <w:divBdr>
                            <w:top w:val="none" w:sz="0" w:space="0" w:color="auto"/>
                            <w:left w:val="none" w:sz="0" w:space="0" w:color="auto"/>
                            <w:bottom w:val="none" w:sz="0" w:space="0" w:color="auto"/>
                            <w:right w:val="none" w:sz="0" w:space="0" w:color="auto"/>
                          </w:divBdr>
                        </w:div>
                      </w:divsChild>
                    </w:div>
                    <w:div w:id="294145628">
                      <w:marLeft w:val="0"/>
                      <w:marRight w:val="0"/>
                      <w:marTop w:val="0"/>
                      <w:marBottom w:val="0"/>
                      <w:divBdr>
                        <w:top w:val="none" w:sz="0" w:space="0" w:color="auto"/>
                        <w:left w:val="none" w:sz="0" w:space="0" w:color="auto"/>
                        <w:bottom w:val="none" w:sz="0" w:space="0" w:color="auto"/>
                        <w:right w:val="none" w:sz="0" w:space="0" w:color="auto"/>
                      </w:divBdr>
                    </w:div>
                    <w:div w:id="294145716">
                      <w:marLeft w:val="0"/>
                      <w:marRight w:val="0"/>
                      <w:marTop w:val="0"/>
                      <w:marBottom w:val="0"/>
                      <w:divBdr>
                        <w:top w:val="none" w:sz="0" w:space="0" w:color="auto"/>
                        <w:left w:val="none" w:sz="0" w:space="0" w:color="auto"/>
                        <w:bottom w:val="none" w:sz="0" w:space="0" w:color="auto"/>
                        <w:right w:val="none" w:sz="0" w:space="0" w:color="auto"/>
                      </w:divBdr>
                    </w:div>
                    <w:div w:id="294145719">
                      <w:marLeft w:val="0"/>
                      <w:marRight w:val="0"/>
                      <w:marTop w:val="0"/>
                      <w:marBottom w:val="0"/>
                      <w:divBdr>
                        <w:top w:val="none" w:sz="0" w:space="0" w:color="auto"/>
                        <w:left w:val="none" w:sz="0" w:space="0" w:color="auto"/>
                        <w:bottom w:val="none" w:sz="0" w:space="0" w:color="auto"/>
                        <w:right w:val="none" w:sz="0" w:space="0" w:color="auto"/>
                      </w:divBdr>
                    </w:div>
                    <w:div w:id="294145762">
                      <w:marLeft w:val="0"/>
                      <w:marRight w:val="0"/>
                      <w:marTop w:val="0"/>
                      <w:marBottom w:val="0"/>
                      <w:divBdr>
                        <w:top w:val="none" w:sz="0" w:space="0" w:color="auto"/>
                        <w:left w:val="none" w:sz="0" w:space="0" w:color="auto"/>
                        <w:bottom w:val="none" w:sz="0" w:space="0" w:color="auto"/>
                        <w:right w:val="none" w:sz="0" w:space="0" w:color="auto"/>
                      </w:divBdr>
                      <w:divsChild>
                        <w:div w:id="294155673">
                          <w:marLeft w:val="0"/>
                          <w:marRight w:val="0"/>
                          <w:marTop w:val="0"/>
                          <w:marBottom w:val="0"/>
                          <w:divBdr>
                            <w:top w:val="none" w:sz="0" w:space="0" w:color="auto"/>
                            <w:left w:val="none" w:sz="0" w:space="0" w:color="auto"/>
                            <w:bottom w:val="none" w:sz="0" w:space="0" w:color="auto"/>
                            <w:right w:val="none" w:sz="0" w:space="0" w:color="auto"/>
                          </w:divBdr>
                        </w:div>
                      </w:divsChild>
                    </w:div>
                    <w:div w:id="294145832">
                      <w:marLeft w:val="0"/>
                      <w:marRight w:val="0"/>
                      <w:marTop w:val="0"/>
                      <w:marBottom w:val="0"/>
                      <w:divBdr>
                        <w:top w:val="none" w:sz="0" w:space="0" w:color="auto"/>
                        <w:left w:val="none" w:sz="0" w:space="0" w:color="auto"/>
                        <w:bottom w:val="none" w:sz="0" w:space="0" w:color="auto"/>
                        <w:right w:val="none" w:sz="0" w:space="0" w:color="auto"/>
                      </w:divBdr>
                      <w:divsChild>
                        <w:div w:id="294156156">
                          <w:marLeft w:val="0"/>
                          <w:marRight w:val="0"/>
                          <w:marTop w:val="0"/>
                          <w:marBottom w:val="0"/>
                          <w:divBdr>
                            <w:top w:val="none" w:sz="0" w:space="0" w:color="auto"/>
                            <w:left w:val="none" w:sz="0" w:space="0" w:color="auto"/>
                            <w:bottom w:val="none" w:sz="0" w:space="0" w:color="auto"/>
                            <w:right w:val="none" w:sz="0" w:space="0" w:color="auto"/>
                          </w:divBdr>
                        </w:div>
                      </w:divsChild>
                    </w:div>
                    <w:div w:id="294145878">
                      <w:marLeft w:val="0"/>
                      <w:marRight w:val="0"/>
                      <w:marTop w:val="0"/>
                      <w:marBottom w:val="0"/>
                      <w:divBdr>
                        <w:top w:val="none" w:sz="0" w:space="0" w:color="auto"/>
                        <w:left w:val="none" w:sz="0" w:space="0" w:color="auto"/>
                        <w:bottom w:val="none" w:sz="0" w:space="0" w:color="auto"/>
                        <w:right w:val="none" w:sz="0" w:space="0" w:color="auto"/>
                      </w:divBdr>
                      <w:divsChild>
                        <w:div w:id="294148809">
                          <w:marLeft w:val="0"/>
                          <w:marRight w:val="0"/>
                          <w:marTop w:val="0"/>
                          <w:marBottom w:val="0"/>
                          <w:divBdr>
                            <w:top w:val="none" w:sz="0" w:space="0" w:color="auto"/>
                            <w:left w:val="none" w:sz="0" w:space="0" w:color="auto"/>
                            <w:bottom w:val="none" w:sz="0" w:space="0" w:color="auto"/>
                            <w:right w:val="none" w:sz="0" w:space="0" w:color="auto"/>
                          </w:divBdr>
                        </w:div>
                      </w:divsChild>
                    </w:div>
                    <w:div w:id="294146020">
                      <w:marLeft w:val="0"/>
                      <w:marRight w:val="0"/>
                      <w:marTop w:val="0"/>
                      <w:marBottom w:val="0"/>
                      <w:divBdr>
                        <w:top w:val="none" w:sz="0" w:space="0" w:color="auto"/>
                        <w:left w:val="none" w:sz="0" w:space="0" w:color="auto"/>
                        <w:bottom w:val="none" w:sz="0" w:space="0" w:color="auto"/>
                        <w:right w:val="none" w:sz="0" w:space="0" w:color="auto"/>
                      </w:divBdr>
                    </w:div>
                    <w:div w:id="294146066">
                      <w:marLeft w:val="0"/>
                      <w:marRight w:val="0"/>
                      <w:marTop w:val="0"/>
                      <w:marBottom w:val="0"/>
                      <w:divBdr>
                        <w:top w:val="none" w:sz="0" w:space="0" w:color="auto"/>
                        <w:left w:val="none" w:sz="0" w:space="0" w:color="auto"/>
                        <w:bottom w:val="none" w:sz="0" w:space="0" w:color="auto"/>
                        <w:right w:val="none" w:sz="0" w:space="0" w:color="auto"/>
                      </w:divBdr>
                    </w:div>
                    <w:div w:id="294146068">
                      <w:marLeft w:val="0"/>
                      <w:marRight w:val="0"/>
                      <w:marTop w:val="0"/>
                      <w:marBottom w:val="0"/>
                      <w:divBdr>
                        <w:top w:val="none" w:sz="0" w:space="0" w:color="auto"/>
                        <w:left w:val="none" w:sz="0" w:space="0" w:color="auto"/>
                        <w:bottom w:val="none" w:sz="0" w:space="0" w:color="auto"/>
                        <w:right w:val="none" w:sz="0" w:space="0" w:color="auto"/>
                      </w:divBdr>
                    </w:div>
                    <w:div w:id="294146097">
                      <w:marLeft w:val="0"/>
                      <w:marRight w:val="0"/>
                      <w:marTop w:val="0"/>
                      <w:marBottom w:val="0"/>
                      <w:divBdr>
                        <w:top w:val="none" w:sz="0" w:space="0" w:color="auto"/>
                        <w:left w:val="none" w:sz="0" w:space="0" w:color="auto"/>
                        <w:bottom w:val="none" w:sz="0" w:space="0" w:color="auto"/>
                        <w:right w:val="none" w:sz="0" w:space="0" w:color="auto"/>
                      </w:divBdr>
                      <w:divsChild>
                        <w:div w:id="294151257">
                          <w:marLeft w:val="0"/>
                          <w:marRight w:val="0"/>
                          <w:marTop w:val="0"/>
                          <w:marBottom w:val="0"/>
                          <w:divBdr>
                            <w:top w:val="none" w:sz="0" w:space="0" w:color="auto"/>
                            <w:left w:val="none" w:sz="0" w:space="0" w:color="auto"/>
                            <w:bottom w:val="none" w:sz="0" w:space="0" w:color="auto"/>
                            <w:right w:val="none" w:sz="0" w:space="0" w:color="auto"/>
                          </w:divBdr>
                        </w:div>
                      </w:divsChild>
                    </w:div>
                    <w:div w:id="294146119">
                      <w:marLeft w:val="0"/>
                      <w:marRight w:val="0"/>
                      <w:marTop w:val="0"/>
                      <w:marBottom w:val="0"/>
                      <w:divBdr>
                        <w:top w:val="none" w:sz="0" w:space="0" w:color="auto"/>
                        <w:left w:val="none" w:sz="0" w:space="0" w:color="auto"/>
                        <w:bottom w:val="none" w:sz="0" w:space="0" w:color="auto"/>
                        <w:right w:val="none" w:sz="0" w:space="0" w:color="auto"/>
                      </w:divBdr>
                    </w:div>
                    <w:div w:id="294146144">
                      <w:marLeft w:val="0"/>
                      <w:marRight w:val="0"/>
                      <w:marTop w:val="0"/>
                      <w:marBottom w:val="0"/>
                      <w:divBdr>
                        <w:top w:val="none" w:sz="0" w:space="0" w:color="auto"/>
                        <w:left w:val="none" w:sz="0" w:space="0" w:color="auto"/>
                        <w:bottom w:val="none" w:sz="0" w:space="0" w:color="auto"/>
                        <w:right w:val="none" w:sz="0" w:space="0" w:color="auto"/>
                      </w:divBdr>
                    </w:div>
                    <w:div w:id="294146239">
                      <w:marLeft w:val="0"/>
                      <w:marRight w:val="0"/>
                      <w:marTop w:val="0"/>
                      <w:marBottom w:val="0"/>
                      <w:divBdr>
                        <w:top w:val="none" w:sz="0" w:space="0" w:color="auto"/>
                        <w:left w:val="none" w:sz="0" w:space="0" w:color="auto"/>
                        <w:bottom w:val="none" w:sz="0" w:space="0" w:color="auto"/>
                        <w:right w:val="none" w:sz="0" w:space="0" w:color="auto"/>
                      </w:divBdr>
                      <w:divsChild>
                        <w:div w:id="294138797">
                          <w:marLeft w:val="0"/>
                          <w:marRight w:val="0"/>
                          <w:marTop w:val="0"/>
                          <w:marBottom w:val="0"/>
                          <w:divBdr>
                            <w:top w:val="none" w:sz="0" w:space="0" w:color="auto"/>
                            <w:left w:val="none" w:sz="0" w:space="0" w:color="auto"/>
                            <w:bottom w:val="none" w:sz="0" w:space="0" w:color="auto"/>
                            <w:right w:val="none" w:sz="0" w:space="0" w:color="auto"/>
                          </w:divBdr>
                        </w:div>
                      </w:divsChild>
                    </w:div>
                    <w:div w:id="294146288">
                      <w:marLeft w:val="0"/>
                      <w:marRight w:val="0"/>
                      <w:marTop w:val="0"/>
                      <w:marBottom w:val="0"/>
                      <w:divBdr>
                        <w:top w:val="none" w:sz="0" w:space="0" w:color="auto"/>
                        <w:left w:val="none" w:sz="0" w:space="0" w:color="auto"/>
                        <w:bottom w:val="none" w:sz="0" w:space="0" w:color="auto"/>
                        <w:right w:val="none" w:sz="0" w:space="0" w:color="auto"/>
                      </w:divBdr>
                    </w:div>
                    <w:div w:id="294146448">
                      <w:marLeft w:val="0"/>
                      <w:marRight w:val="0"/>
                      <w:marTop w:val="0"/>
                      <w:marBottom w:val="0"/>
                      <w:divBdr>
                        <w:top w:val="none" w:sz="0" w:space="0" w:color="auto"/>
                        <w:left w:val="none" w:sz="0" w:space="0" w:color="auto"/>
                        <w:bottom w:val="none" w:sz="0" w:space="0" w:color="auto"/>
                        <w:right w:val="none" w:sz="0" w:space="0" w:color="auto"/>
                      </w:divBdr>
                      <w:divsChild>
                        <w:div w:id="294147240">
                          <w:marLeft w:val="0"/>
                          <w:marRight w:val="0"/>
                          <w:marTop w:val="0"/>
                          <w:marBottom w:val="0"/>
                          <w:divBdr>
                            <w:top w:val="none" w:sz="0" w:space="0" w:color="auto"/>
                            <w:left w:val="none" w:sz="0" w:space="0" w:color="auto"/>
                            <w:bottom w:val="none" w:sz="0" w:space="0" w:color="auto"/>
                            <w:right w:val="none" w:sz="0" w:space="0" w:color="auto"/>
                          </w:divBdr>
                        </w:div>
                      </w:divsChild>
                    </w:div>
                    <w:div w:id="294146489">
                      <w:marLeft w:val="0"/>
                      <w:marRight w:val="0"/>
                      <w:marTop w:val="0"/>
                      <w:marBottom w:val="0"/>
                      <w:divBdr>
                        <w:top w:val="none" w:sz="0" w:space="0" w:color="auto"/>
                        <w:left w:val="none" w:sz="0" w:space="0" w:color="auto"/>
                        <w:bottom w:val="none" w:sz="0" w:space="0" w:color="auto"/>
                        <w:right w:val="none" w:sz="0" w:space="0" w:color="auto"/>
                      </w:divBdr>
                    </w:div>
                    <w:div w:id="294146507">
                      <w:marLeft w:val="0"/>
                      <w:marRight w:val="0"/>
                      <w:marTop w:val="0"/>
                      <w:marBottom w:val="0"/>
                      <w:divBdr>
                        <w:top w:val="none" w:sz="0" w:space="0" w:color="auto"/>
                        <w:left w:val="none" w:sz="0" w:space="0" w:color="auto"/>
                        <w:bottom w:val="none" w:sz="0" w:space="0" w:color="auto"/>
                        <w:right w:val="none" w:sz="0" w:space="0" w:color="auto"/>
                      </w:divBdr>
                      <w:divsChild>
                        <w:div w:id="294140457">
                          <w:marLeft w:val="0"/>
                          <w:marRight w:val="0"/>
                          <w:marTop w:val="0"/>
                          <w:marBottom w:val="0"/>
                          <w:divBdr>
                            <w:top w:val="none" w:sz="0" w:space="0" w:color="auto"/>
                            <w:left w:val="none" w:sz="0" w:space="0" w:color="auto"/>
                            <w:bottom w:val="none" w:sz="0" w:space="0" w:color="auto"/>
                            <w:right w:val="none" w:sz="0" w:space="0" w:color="auto"/>
                          </w:divBdr>
                        </w:div>
                      </w:divsChild>
                    </w:div>
                    <w:div w:id="294146520">
                      <w:marLeft w:val="0"/>
                      <w:marRight w:val="0"/>
                      <w:marTop w:val="0"/>
                      <w:marBottom w:val="0"/>
                      <w:divBdr>
                        <w:top w:val="none" w:sz="0" w:space="0" w:color="auto"/>
                        <w:left w:val="none" w:sz="0" w:space="0" w:color="auto"/>
                        <w:bottom w:val="none" w:sz="0" w:space="0" w:color="auto"/>
                        <w:right w:val="none" w:sz="0" w:space="0" w:color="auto"/>
                      </w:divBdr>
                    </w:div>
                    <w:div w:id="294146560">
                      <w:marLeft w:val="0"/>
                      <w:marRight w:val="0"/>
                      <w:marTop w:val="0"/>
                      <w:marBottom w:val="0"/>
                      <w:divBdr>
                        <w:top w:val="none" w:sz="0" w:space="0" w:color="auto"/>
                        <w:left w:val="none" w:sz="0" w:space="0" w:color="auto"/>
                        <w:bottom w:val="none" w:sz="0" w:space="0" w:color="auto"/>
                        <w:right w:val="none" w:sz="0" w:space="0" w:color="auto"/>
                      </w:divBdr>
                      <w:divsChild>
                        <w:div w:id="294146618">
                          <w:marLeft w:val="0"/>
                          <w:marRight w:val="0"/>
                          <w:marTop w:val="0"/>
                          <w:marBottom w:val="0"/>
                          <w:divBdr>
                            <w:top w:val="none" w:sz="0" w:space="0" w:color="auto"/>
                            <w:left w:val="none" w:sz="0" w:space="0" w:color="auto"/>
                            <w:bottom w:val="none" w:sz="0" w:space="0" w:color="auto"/>
                            <w:right w:val="none" w:sz="0" w:space="0" w:color="auto"/>
                          </w:divBdr>
                        </w:div>
                      </w:divsChild>
                    </w:div>
                    <w:div w:id="294146567">
                      <w:marLeft w:val="0"/>
                      <w:marRight w:val="0"/>
                      <w:marTop w:val="0"/>
                      <w:marBottom w:val="0"/>
                      <w:divBdr>
                        <w:top w:val="none" w:sz="0" w:space="0" w:color="auto"/>
                        <w:left w:val="none" w:sz="0" w:space="0" w:color="auto"/>
                        <w:bottom w:val="none" w:sz="0" w:space="0" w:color="auto"/>
                        <w:right w:val="none" w:sz="0" w:space="0" w:color="auto"/>
                      </w:divBdr>
                    </w:div>
                    <w:div w:id="294146615">
                      <w:marLeft w:val="0"/>
                      <w:marRight w:val="0"/>
                      <w:marTop w:val="0"/>
                      <w:marBottom w:val="0"/>
                      <w:divBdr>
                        <w:top w:val="none" w:sz="0" w:space="0" w:color="auto"/>
                        <w:left w:val="none" w:sz="0" w:space="0" w:color="auto"/>
                        <w:bottom w:val="none" w:sz="0" w:space="0" w:color="auto"/>
                        <w:right w:val="none" w:sz="0" w:space="0" w:color="auto"/>
                      </w:divBdr>
                    </w:div>
                    <w:div w:id="294146730">
                      <w:marLeft w:val="0"/>
                      <w:marRight w:val="0"/>
                      <w:marTop w:val="0"/>
                      <w:marBottom w:val="0"/>
                      <w:divBdr>
                        <w:top w:val="none" w:sz="0" w:space="0" w:color="auto"/>
                        <w:left w:val="none" w:sz="0" w:space="0" w:color="auto"/>
                        <w:bottom w:val="none" w:sz="0" w:space="0" w:color="auto"/>
                        <w:right w:val="none" w:sz="0" w:space="0" w:color="auto"/>
                      </w:divBdr>
                    </w:div>
                    <w:div w:id="294146757">
                      <w:marLeft w:val="0"/>
                      <w:marRight w:val="0"/>
                      <w:marTop w:val="0"/>
                      <w:marBottom w:val="0"/>
                      <w:divBdr>
                        <w:top w:val="none" w:sz="0" w:space="0" w:color="auto"/>
                        <w:left w:val="none" w:sz="0" w:space="0" w:color="auto"/>
                        <w:bottom w:val="none" w:sz="0" w:space="0" w:color="auto"/>
                        <w:right w:val="none" w:sz="0" w:space="0" w:color="auto"/>
                      </w:divBdr>
                      <w:divsChild>
                        <w:div w:id="294147258">
                          <w:marLeft w:val="0"/>
                          <w:marRight w:val="0"/>
                          <w:marTop w:val="0"/>
                          <w:marBottom w:val="0"/>
                          <w:divBdr>
                            <w:top w:val="none" w:sz="0" w:space="0" w:color="auto"/>
                            <w:left w:val="none" w:sz="0" w:space="0" w:color="auto"/>
                            <w:bottom w:val="none" w:sz="0" w:space="0" w:color="auto"/>
                            <w:right w:val="none" w:sz="0" w:space="0" w:color="auto"/>
                          </w:divBdr>
                        </w:div>
                      </w:divsChild>
                    </w:div>
                    <w:div w:id="294146794">
                      <w:marLeft w:val="0"/>
                      <w:marRight w:val="0"/>
                      <w:marTop w:val="0"/>
                      <w:marBottom w:val="0"/>
                      <w:divBdr>
                        <w:top w:val="none" w:sz="0" w:space="0" w:color="auto"/>
                        <w:left w:val="none" w:sz="0" w:space="0" w:color="auto"/>
                        <w:bottom w:val="none" w:sz="0" w:space="0" w:color="auto"/>
                        <w:right w:val="none" w:sz="0" w:space="0" w:color="auto"/>
                      </w:divBdr>
                    </w:div>
                    <w:div w:id="294146807">
                      <w:marLeft w:val="0"/>
                      <w:marRight w:val="0"/>
                      <w:marTop w:val="0"/>
                      <w:marBottom w:val="0"/>
                      <w:divBdr>
                        <w:top w:val="none" w:sz="0" w:space="0" w:color="auto"/>
                        <w:left w:val="none" w:sz="0" w:space="0" w:color="auto"/>
                        <w:bottom w:val="none" w:sz="0" w:space="0" w:color="auto"/>
                        <w:right w:val="none" w:sz="0" w:space="0" w:color="auto"/>
                      </w:divBdr>
                      <w:divsChild>
                        <w:div w:id="294152379">
                          <w:marLeft w:val="0"/>
                          <w:marRight w:val="0"/>
                          <w:marTop w:val="0"/>
                          <w:marBottom w:val="0"/>
                          <w:divBdr>
                            <w:top w:val="none" w:sz="0" w:space="0" w:color="auto"/>
                            <w:left w:val="none" w:sz="0" w:space="0" w:color="auto"/>
                            <w:bottom w:val="none" w:sz="0" w:space="0" w:color="auto"/>
                            <w:right w:val="none" w:sz="0" w:space="0" w:color="auto"/>
                          </w:divBdr>
                        </w:div>
                      </w:divsChild>
                    </w:div>
                    <w:div w:id="294146960">
                      <w:marLeft w:val="0"/>
                      <w:marRight w:val="0"/>
                      <w:marTop w:val="0"/>
                      <w:marBottom w:val="0"/>
                      <w:divBdr>
                        <w:top w:val="none" w:sz="0" w:space="0" w:color="auto"/>
                        <w:left w:val="none" w:sz="0" w:space="0" w:color="auto"/>
                        <w:bottom w:val="none" w:sz="0" w:space="0" w:color="auto"/>
                        <w:right w:val="none" w:sz="0" w:space="0" w:color="auto"/>
                      </w:divBdr>
                    </w:div>
                    <w:div w:id="294146974">
                      <w:marLeft w:val="0"/>
                      <w:marRight w:val="0"/>
                      <w:marTop w:val="0"/>
                      <w:marBottom w:val="0"/>
                      <w:divBdr>
                        <w:top w:val="none" w:sz="0" w:space="0" w:color="auto"/>
                        <w:left w:val="none" w:sz="0" w:space="0" w:color="auto"/>
                        <w:bottom w:val="none" w:sz="0" w:space="0" w:color="auto"/>
                        <w:right w:val="none" w:sz="0" w:space="0" w:color="auto"/>
                      </w:divBdr>
                    </w:div>
                    <w:div w:id="294146983">
                      <w:marLeft w:val="0"/>
                      <w:marRight w:val="0"/>
                      <w:marTop w:val="0"/>
                      <w:marBottom w:val="0"/>
                      <w:divBdr>
                        <w:top w:val="none" w:sz="0" w:space="0" w:color="auto"/>
                        <w:left w:val="none" w:sz="0" w:space="0" w:color="auto"/>
                        <w:bottom w:val="none" w:sz="0" w:space="0" w:color="auto"/>
                        <w:right w:val="none" w:sz="0" w:space="0" w:color="auto"/>
                      </w:divBdr>
                      <w:divsChild>
                        <w:div w:id="294143846">
                          <w:marLeft w:val="0"/>
                          <w:marRight w:val="0"/>
                          <w:marTop w:val="0"/>
                          <w:marBottom w:val="0"/>
                          <w:divBdr>
                            <w:top w:val="none" w:sz="0" w:space="0" w:color="auto"/>
                            <w:left w:val="none" w:sz="0" w:space="0" w:color="auto"/>
                            <w:bottom w:val="none" w:sz="0" w:space="0" w:color="auto"/>
                            <w:right w:val="none" w:sz="0" w:space="0" w:color="auto"/>
                          </w:divBdr>
                        </w:div>
                      </w:divsChild>
                    </w:div>
                    <w:div w:id="294146994">
                      <w:marLeft w:val="0"/>
                      <w:marRight w:val="0"/>
                      <w:marTop w:val="0"/>
                      <w:marBottom w:val="0"/>
                      <w:divBdr>
                        <w:top w:val="none" w:sz="0" w:space="0" w:color="auto"/>
                        <w:left w:val="none" w:sz="0" w:space="0" w:color="auto"/>
                        <w:bottom w:val="none" w:sz="0" w:space="0" w:color="auto"/>
                        <w:right w:val="none" w:sz="0" w:space="0" w:color="auto"/>
                      </w:divBdr>
                      <w:divsChild>
                        <w:div w:id="294143679">
                          <w:marLeft w:val="0"/>
                          <w:marRight w:val="0"/>
                          <w:marTop w:val="0"/>
                          <w:marBottom w:val="0"/>
                          <w:divBdr>
                            <w:top w:val="none" w:sz="0" w:space="0" w:color="auto"/>
                            <w:left w:val="none" w:sz="0" w:space="0" w:color="auto"/>
                            <w:bottom w:val="none" w:sz="0" w:space="0" w:color="auto"/>
                            <w:right w:val="none" w:sz="0" w:space="0" w:color="auto"/>
                          </w:divBdr>
                        </w:div>
                      </w:divsChild>
                    </w:div>
                    <w:div w:id="294147012">
                      <w:marLeft w:val="0"/>
                      <w:marRight w:val="0"/>
                      <w:marTop w:val="0"/>
                      <w:marBottom w:val="0"/>
                      <w:divBdr>
                        <w:top w:val="none" w:sz="0" w:space="0" w:color="auto"/>
                        <w:left w:val="none" w:sz="0" w:space="0" w:color="auto"/>
                        <w:bottom w:val="none" w:sz="0" w:space="0" w:color="auto"/>
                        <w:right w:val="none" w:sz="0" w:space="0" w:color="auto"/>
                      </w:divBdr>
                      <w:divsChild>
                        <w:div w:id="294145235">
                          <w:marLeft w:val="0"/>
                          <w:marRight w:val="0"/>
                          <w:marTop w:val="0"/>
                          <w:marBottom w:val="0"/>
                          <w:divBdr>
                            <w:top w:val="none" w:sz="0" w:space="0" w:color="auto"/>
                            <w:left w:val="none" w:sz="0" w:space="0" w:color="auto"/>
                            <w:bottom w:val="none" w:sz="0" w:space="0" w:color="auto"/>
                            <w:right w:val="none" w:sz="0" w:space="0" w:color="auto"/>
                          </w:divBdr>
                        </w:div>
                      </w:divsChild>
                    </w:div>
                    <w:div w:id="294147025">
                      <w:marLeft w:val="0"/>
                      <w:marRight w:val="0"/>
                      <w:marTop w:val="0"/>
                      <w:marBottom w:val="0"/>
                      <w:divBdr>
                        <w:top w:val="none" w:sz="0" w:space="0" w:color="auto"/>
                        <w:left w:val="none" w:sz="0" w:space="0" w:color="auto"/>
                        <w:bottom w:val="none" w:sz="0" w:space="0" w:color="auto"/>
                        <w:right w:val="none" w:sz="0" w:space="0" w:color="auto"/>
                      </w:divBdr>
                    </w:div>
                    <w:div w:id="294147082">
                      <w:marLeft w:val="0"/>
                      <w:marRight w:val="0"/>
                      <w:marTop w:val="0"/>
                      <w:marBottom w:val="0"/>
                      <w:divBdr>
                        <w:top w:val="none" w:sz="0" w:space="0" w:color="auto"/>
                        <w:left w:val="none" w:sz="0" w:space="0" w:color="auto"/>
                        <w:bottom w:val="none" w:sz="0" w:space="0" w:color="auto"/>
                        <w:right w:val="none" w:sz="0" w:space="0" w:color="auto"/>
                      </w:divBdr>
                    </w:div>
                    <w:div w:id="294147200">
                      <w:marLeft w:val="0"/>
                      <w:marRight w:val="0"/>
                      <w:marTop w:val="0"/>
                      <w:marBottom w:val="0"/>
                      <w:divBdr>
                        <w:top w:val="none" w:sz="0" w:space="0" w:color="auto"/>
                        <w:left w:val="none" w:sz="0" w:space="0" w:color="auto"/>
                        <w:bottom w:val="none" w:sz="0" w:space="0" w:color="auto"/>
                        <w:right w:val="none" w:sz="0" w:space="0" w:color="auto"/>
                      </w:divBdr>
                    </w:div>
                    <w:div w:id="294147212">
                      <w:marLeft w:val="0"/>
                      <w:marRight w:val="0"/>
                      <w:marTop w:val="0"/>
                      <w:marBottom w:val="0"/>
                      <w:divBdr>
                        <w:top w:val="none" w:sz="0" w:space="0" w:color="auto"/>
                        <w:left w:val="none" w:sz="0" w:space="0" w:color="auto"/>
                        <w:bottom w:val="none" w:sz="0" w:space="0" w:color="auto"/>
                        <w:right w:val="none" w:sz="0" w:space="0" w:color="auto"/>
                      </w:divBdr>
                      <w:divsChild>
                        <w:div w:id="294154011">
                          <w:marLeft w:val="0"/>
                          <w:marRight w:val="0"/>
                          <w:marTop w:val="0"/>
                          <w:marBottom w:val="0"/>
                          <w:divBdr>
                            <w:top w:val="none" w:sz="0" w:space="0" w:color="auto"/>
                            <w:left w:val="none" w:sz="0" w:space="0" w:color="auto"/>
                            <w:bottom w:val="none" w:sz="0" w:space="0" w:color="auto"/>
                            <w:right w:val="none" w:sz="0" w:space="0" w:color="auto"/>
                          </w:divBdr>
                        </w:div>
                      </w:divsChild>
                    </w:div>
                    <w:div w:id="294147214">
                      <w:marLeft w:val="0"/>
                      <w:marRight w:val="0"/>
                      <w:marTop w:val="0"/>
                      <w:marBottom w:val="0"/>
                      <w:divBdr>
                        <w:top w:val="none" w:sz="0" w:space="0" w:color="auto"/>
                        <w:left w:val="none" w:sz="0" w:space="0" w:color="auto"/>
                        <w:bottom w:val="none" w:sz="0" w:space="0" w:color="auto"/>
                        <w:right w:val="none" w:sz="0" w:space="0" w:color="auto"/>
                      </w:divBdr>
                    </w:div>
                    <w:div w:id="294147255">
                      <w:marLeft w:val="0"/>
                      <w:marRight w:val="0"/>
                      <w:marTop w:val="0"/>
                      <w:marBottom w:val="0"/>
                      <w:divBdr>
                        <w:top w:val="none" w:sz="0" w:space="0" w:color="auto"/>
                        <w:left w:val="none" w:sz="0" w:space="0" w:color="auto"/>
                        <w:bottom w:val="none" w:sz="0" w:space="0" w:color="auto"/>
                        <w:right w:val="none" w:sz="0" w:space="0" w:color="auto"/>
                      </w:divBdr>
                      <w:divsChild>
                        <w:div w:id="294154370">
                          <w:marLeft w:val="0"/>
                          <w:marRight w:val="0"/>
                          <w:marTop w:val="0"/>
                          <w:marBottom w:val="0"/>
                          <w:divBdr>
                            <w:top w:val="none" w:sz="0" w:space="0" w:color="auto"/>
                            <w:left w:val="none" w:sz="0" w:space="0" w:color="auto"/>
                            <w:bottom w:val="none" w:sz="0" w:space="0" w:color="auto"/>
                            <w:right w:val="none" w:sz="0" w:space="0" w:color="auto"/>
                          </w:divBdr>
                        </w:div>
                      </w:divsChild>
                    </w:div>
                    <w:div w:id="294147308">
                      <w:marLeft w:val="0"/>
                      <w:marRight w:val="0"/>
                      <w:marTop w:val="0"/>
                      <w:marBottom w:val="0"/>
                      <w:divBdr>
                        <w:top w:val="none" w:sz="0" w:space="0" w:color="auto"/>
                        <w:left w:val="none" w:sz="0" w:space="0" w:color="auto"/>
                        <w:bottom w:val="none" w:sz="0" w:space="0" w:color="auto"/>
                        <w:right w:val="none" w:sz="0" w:space="0" w:color="auto"/>
                      </w:divBdr>
                      <w:divsChild>
                        <w:div w:id="294145688">
                          <w:marLeft w:val="0"/>
                          <w:marRight w:val="0"/>
                          <w:marTop w:val="0"/>
                          <w:marBottom w:val="0"/>
                          <w:divBdr>
                            <w:top w:val="none" w:sz="0" w:space="0" w:color="auto"/>
                            <w:left w:val="none" w:sz="0" w:space="0" w:color="auto"/>
                            <w:bottom w:val="none" w:sz="0" w:space="0" w:color="auto"/>
                            <w:right w:val="none" w:sz="0" w:space="0" w:color="auto"/>
                          </w:divBdr>
                        </w:div>
                      </w:divsChild>
                    </w:div>
                    <w:div w:id="294147366">
                      <w:marLeft w:val="0"/>
                      <w:marRight w:val="0"/>
                      <w:marTop w:val="0"/>
                      <w:marBottom w:val="0"/>
                      <w:divBdr>
                        <w:top w:val="none" w:sz="0" w:space="0" w:color="auto"/>
                        <w:left w:val="none" w:sz="0" w:space="0" w:color="auto"/>
                        <w:bottom w:val="none" w:sz="0" w:space="0" w:color="auto"/>
                        <w:right w:val="none" w:sz="0" w:space="0" w:color="auto"/>
                      </w:divBdr>
                    </w:div>
                    <w:div w:id="294147398">
                      <w:marLeft w:val="0"/>
                      <w:marRight w:val="0"/>
                      <w:marTop w:val="0"/>
                      <w:marBottom w:val="0"/>
                      <w:divBdr>
                        <w:top w:val="none" w:sz="0" w:space="0" w:color="auto"/>
                        <w:left w:val="none" w:sz="0" w:space="0" w:color="auto"/>
                        <w:bottom w:val="none" w:sz="0" w:space="0" w:color="auto"/>
                        <w:right w:val="none" w:sz="0" w:space="0" w:color="auto"/>
                      </w:divBdr>
                    </w:div>
                    <w:div w:id="294147414">
                      <w:marLeft w:val="0"/>
                      <w:marRight w:val="0"/>
                      <w:marTop w:val="0"/>
                      <w:marBottom w:val="0"/>
                      <w:divBdr>
                        <w:top w:val="none" w:sz="0" w:space="0" w:color="auto"/>
                        <w:left w:val="none" w:sz="0" w:space="0" w:color="auto"/>
                        <w:bottom w:val="none" w:sz="0" w:space="0" w:color="auto"/>
                        <w:right w:val="none" w:sz="0" w:space="0" w:color="auto"/>
                      </w:divBdr>
                      <w:divsChild>
                        <w:div w:id="294142615">
                          <w:marLeft w:val="0"/>
                          <w:marRight w:val="0"/>
                          <w:marTop w:val="0"/>
                          <w:marBottom w:val="0"/>
                          <w:divBdr>
                            <w:top w:val="none" w:sz="0" w:space="0" w:color="auto"/>
                            <w:left w:val="none" w:sz="0" w:space="0" w:color="auto"/>
                            <w:bottom w:val="none" w:sz="0" w:space="0" w:color="auto"/>
                            <w:right w:val="none" w:sz="0" w:space="0" w:color="auto"/>
                          </w:divBdr>
                        </w:div>
                      </w:divsChild>
                    </w:div>
                    <w:div w:id="294147425">
                      <w:marLeft w:val="0"/>
                      <w:marRight w:val="0"/>
                      <w:marTop w:val="0"/>
                      <w:marBottom w:val="0"/>
                      <w:divBdr>
                        <w:top w:val="none" w:sz="0" w:space="0" w:color="auto"/>
                        <w:left w:val="none" w:sz="0" w:space="0" w:color="auto"/>
                        <w:bottom w:val="none" w:sz="0" w:space="0" w:color="auto"/>
                        <w:right w:val="none" w:sz="0" w:space="0" w:color="auto"/>
                      </w:divBdr>
                    </w:div>
                    <w:div w:id="294147442">
                      <w:marLeft w:val="0"/>
                      <w:marRight w:val="0"/>
                      <w:marTop w:val="0"/>
                      <w:marBottom w:val="0"/>
                      <w:divBdr>
                        <w:top w:val="none" w:sz="0" w:space="0" w:color="auto"/>
                        <w:left w:val="none" w:sz="0" w:space="0" w:color="auto"/>
                        <w:bottom w:val="none" w:sz="0" w:space="0" w:color="auto"/>
                        <w:right w:val="none" w:sz="0" w:space="0" w:color="auto"/>
                      </w:divBdr>
                    </w:div>
                    <w:div w:id="294147514">
                      <w:marLeft w:val="0"/>
                      <w:marRight w:val="0"/>
                      <w:marTop w:val="0"/>
                      <w:marBottom w:val="0"/>
                      <w:divBdr>
                        <w:top w:val="none" w:sz="0" w:space="0" w:color="auto"/>
                        <w:left w:val="none" w:sz="0" w:space="0" w:color="auto"/>
                        <w:bottom w:val="none" w:sz="0" w:space="0" w:color="auto"/>
                        <w:right w:val="none" w:sz="0" w:space="0" w:color="auto"/>
                      </w:divBdr>
                    </w:div>
                    <w:div w:id="294147587">
                      <w:marLeft w:val="0"/>
                      <w:marRight w:val="0"/>
                      <w:marTop w:val="0"/>
                      <w:marBottom w:val="0"/>
                      <w:divBdr>
                        <w:top w:val="none" w:sz="0" w:space="0" w:color="auto"/>
                        <w:left w:val="none" w:sz="0" w:space="0" w:color="auto"/>
                        <w:bottom w:val="none" w:sz="0" w:space="0" w:color="auto"/>
                        <w:right w:val="none" w:sz="0" w:space="0" w:color="auto"/>
                      </w:divBdr>
                    </w:div>
                    <w:div w:id="294147639">
                      <w:marLeft w:val="0"/>
                      <w:marRight w:val="0"/>
                      <w:marTop w:val="0"/>
                      <w:marBottom w:val="0"/>
                      <w:divBdr>
                        <w:top w:val="none" w:sz="0" w:space="0" w:color="auto"/>
                        <w:left w:val="none" w:sz="0" w:space="0" w:color="auto"/>
                        <w:bottom w:val="none" w:sz="0" w:space="0" w:color="auto"/>
                        <w:right w:val="none" w:sz="0" w:space="0" w:color="auto"/>
                      </w:divBdr>
                      <w:divsChild>
                        <w:div w:id="294142446">
                          <w:marLeft w:val="0"/>
                          <w:marRight w:val="0"/>
                          <w:marTop w:val="0"/>
                          <w:marBottom w:val="0"/>
                          <w:divBdr>
                            <w:top w:val="none" w:sz="0" w:space="0" w:color="auto"/>
                            <w:left w:val="none" w:sz="0" w:space="0" w:color="auto"/>
                            <w:bottom w:val="none" w:sz="0" w:space="0" w:color="auto"/>
                            <w:right w:val="none" w:sz="0" w:space="0" w:color="auto"/>
                          </w:divBdr>
                        </w:div>
                      </w:divsChild>
                    </w:div>
                    <w:div w:id="294147690">
                      <w:marLeft w:val="0"/>
                      <w:marRight w:val="0"/>
                      <w:marTop w:val="0"/>
                      <w:marBottom w:val="0"/>
                      <w:divBdr>
                        <w:top w:val="none" w:sz="0" w:space="0" w:color="auto"/>
                        <w:left w:val="none" w:sz="0" w:space="0" w:color="auto"/>
                        <w:bottom w:val="none" w:sz="0" w:space="0" w:color="auto"/>
                        <w:right w:val="none" w:sz="0" w:space="0" w:color="auto"/>
                      </w:divBdr>
                    </w:div>
                    <w:div w:id="294147845">
                      <w:marLeft w:val="0"/>
                      <w:marRight w:val="0"/>
                      <w:marTop w:val="0"/>
                      <w:marBottom w:val="0"/>
                      <w:divBdr>
                        <w:top w:val="none" w:sz="0" w:space="0" w:color="auto"/>
                        <w:left w:val="none" w:sz="0" w:space="0" w:color="auto"/>
                        <w:bottom w:val="none" w:sz="0" w:space="0" w:color="auto"/>
                        <w:right w:val="none" w:sz="0" w:space="0" w:color="auto"/>
                      </w:divBdr>
                      <w:divsChild>
                        <w:div w:id="294141378">
                          <w:marLeft w:val="0"/>
                          <w:marRight w:val="0"/>
                          <w:marTop w:val="0"/>
                          <w:marBottom w:val="0"/>
                          <w:divBdr>
                            <w:top w:val="none" w:sz="0" w:space="0" w:color="auto"/>
                            <w:left w:val="none" w:sz="0" w:space="0" w:color="auto"/>
                            <w:bottom w:val="none" w:sz="0" w:space="0" w:color="auto"/>
                            <w:right w:val="none" w:sz="0" w:space="0" w:color="auto"/>
                          </w:divBdr>
                        </w:div>
                      </w:divsChild>
                    </w:div>
                    <w:div w:id="294148029">
                      <w:marLeft w:val="0"/>
                      <w:marRight w:val="0"/>
                      <w:marTop w:val="0"/>
                      <w:marBottom w:val="0"/>
                      <w:divBdr>
                        <w:top w:val="none" w:sz="0" w:space="0" w:color="auto"/>
                        <w:left w:val="none" w:sz="0" w:space="0" w:color="auto"/>
                        <w:bottom w:val="none" w:sz="0" w:space="0" w:color="auto"/>
                        <w:right w:val="none" w:sz="0" w:space="0" w:color="auto"/>
                      </w:divBdr>
                      <w:divsChild>
                        <w:div w:id="294142360">
                          <w:marLeft w:val="0"/>
                          <w:marRight w:val="0"/>
                          <w:marTop w:val="0"/>
                          <w:marBottom w:val="0"/>
                          <w:divBdr>
                            <w:top w:val="none" w:sz="0" w:space="0" w:color="auto"/>
                            <w:left w:val="none" w:sz="0" w:space="0" w:color="auto"/>
                            <w:bottom w:val="none" w:sz="0" w:space="0" w:color="auto"/>
                            <w:right w:val="none" w:sz="0" w:space="0" w:color="auto"/>
                          </w:divBdr>
                        </w:div>
                      </w:divsChild>
                    </w:div>
                    <w:div w:id="294148284">
                      <w:marLeft w:val="0"/>
                      <w:marRight w:val="0"/>
                      <w:marTop w:val="0"/>
                      <w:marBottom w:val="0"/>
                      <w:divBdr>
                        <w:top w:val="none" w:sz="0" w:space="0" w:color="auto"/>
                        <w:left w:val="none" w:sz="0" w:space="0" w:color="auto"/>
                        <w:bottom w:val="none" w:sz="0" w:space="0" w:color="auto"/>
                        <w:right w:val="none" w:sz="0" w:space="0" w:color="auto"/>
                      </w:divBdr>
                    </w:div>
                    <w:div w:id="294148300">
                      <w:marLeft w:val="0"/>
                      <w:marRight w:val="0"/>
                      <w:marTop w:val="0"/>
                      <w:marBottom w:val="0"/>
                      <w:divBdr>
                        <w:top w:val="none" w:sz="0" w:space="0" w:color="auto"/>
                        <w:left w:val="none" w:sz="0" w:space="0" w:color="auto"/>
                        <w:bottom w:val="none" w:sz="0" w:space="0" w:color="auto"/>
                        <w:right w:val="none" w:sz="0" w:space="0" w:color="auto"/>
                      </w:divBdr>
                      <w:divsChild>
                        <w:div w:id="294143629">
                          <w:marLeft w:val="0"/>
                          <w:marRight w:val="0"/>
                          <w:marTop w:val="0"/>
                          <w:marBottom w:val="0"/>
                          <w:divBdr>
                            <w:top w:val="none" w:sz="0" w:space="0" w:color="auto"/>
                            <w:left w:val="none" w:sz="0" w:space="0" w:color="auto"/>
                            <w:bottom w:val="none" w:sz="0" w:space="0" w:color="auto"/>
                            <w:right w:val="none" w:sz="0" w:space="0" w:color="auto"/>
                          </w:divBdr>
                        </w:div>
                      </w:divsChild>
                    </w:div>
                    <w:div w:id="294148358">
                      <w:marLeft w:val="0"/>
                      <w:marRight w:val="0"/>
                      <w:marTop w:val="0"/>
                      <w:marBottom w:val="0"/>
                      <w:divBdr>
                        <w:top w:val="none" w:sz="0" w:space="0" w:color="auto"/>
                        <w:left w:val="none" w:sz="0" w:space="0" w:color="auto"/>
                        <w:bottom w:val="none" w:sz="0" w:space="0" w:color="auto"/>
                        <w:right w:val="none" w:sz="0" w:space="0" w:color="auto"/>
                      </w:divBdr>
                    </w:div>
                    <w:div w:id="294148431">
                      <w:marLeft w:val="0"/>
                      <w:marRight w:val="0"/>
                      <w:marTop w:val="0"/>
                      <w:marBottom w:val="0"/>
                      <w:divBdr>
                        <w:top w:val="none" w:sz="0" w:space="0" w:color="auto"/>
                        <w:left w:val="none" w:sz="0" w:space="0" w:color="auto"/>
                        <w:bottom w:val="none" w:sz="0" w:space="0" w:color="auto"/>
                        <w:right w:val="none" w:sz="0" w:space="0" w:color="auto"/>
                      </w:divBdr>
                    </w:div>
                    <w:div w:id="294148528">
                      <w:marLeft w:val="0"/>
                      <w:marRight w:val="0"/>
                      <w:marTop w:val="0"/>
                      <w:marBottom w:val="0"/>
                      <w:divBdr>
                        <w:top w:val="none" w:sz="0" w:space="0" w:color="auto"/>
                        <w:left w:val="none" w:sz="0" w:space="0" w:color="auto"/>
                        <w:bottom w:val="none" w:sz="0" w:space="0" w:color="auto"/>
                        <w:right w:val="none" w:sz="0" w:space="0" w:color="auto"/>
                      </w:divBdr>
                    </w:div>
                    <w:div w:id="294148625">
                      <w:marLeft w:val="0"/>
                      <w:marRight w:val="0"/>
                      <w:marTop w:val="0"/>
                      <w:marBottom w:val="0"/>
                      <w:divBdr>
                        <w:top w:val="none" w:sz="0" w:space="0" w:color="auto"/>
                        <w:left w:val="none" w:sz="0" w:space="0" w:color="auto"/>
                        <w:bottom w:val="none" w:sz="0" w:space="0" w:color="auto"/>
                        <w:right w:val="none" w:sz="0" w:space="0" w:color="auto"/>
                      </w:divBdr>
                      <w:divsChild>
                        <w:div w:id="294154574">
                          <w:marLeft w:val="0"/>
                          <w:marRight w:val="0"/>
                          <w:marTop w:val="0"/>
                          <w:marBottom w:val="0"/>
                          <w:divBdr>
                            <w:top w:val="none" w:sz="0" w:space="0" w:color="auto"/>
                            <w:left w:val="none" w:sz="0" w:space="0" w:color="auto"/>
                            <w:bottom w:val="none" w:sz="0" w:space="0" w:color="auto"/>
                            <w:right w:val="none" w:sz="0" w:space="0" w:color="auto"/>
                          </w:divBdr>
                        </w:div>
                      </w:divsChild>
                    </w:div>
                    <w:div w:id="294148687">
                      <w:marLeft w:val="0"/>
                      <w:marRight w:val="0"/>
                      <w:marTop w:val="0"/>
                      <w:marBottom w:val="0"/>
                      <w:divBdr>
                        <w:top w:val="none" w:sz="0" w:space="0" w:color="auto"/>
                        <w:left w:val="none" w:sz="0" w:space="0" w:color="auto"/>
                        <w:bottom w:val="none" w:sz="0" w:space="0" w:color="auto"/>
                        <w:right w:val="none" w:sz="0" w:space="0" w:color="auto"/>
                      </w:divBdr>
                    </w:div>
                    <w:div w:id="294148733">
                      <w:marLeft w:val="0"/>
                      <w:marRight w:val="0"/>
                      <w:marTop w:val="0"/>
                      <w:marBottom w:val="0"/>
                      <w:divBdr>
                        <w:top w:val="none" w:sz="0" w:space="0" w:color="auto"/>
                        <w:left w:val="none" w:sz="0" w:space="0" w:color="auto"/>
                        <w:bottom w:val="none" w:sz="0" w:space="0" w:color="auto"/>
                        <w:right w:val="none" w:sz="0" w:space="0" w:color="auto"/>
                      </w:divBdr>
                      <w:divsChild>
                        <w:div w:id="294148006">
                          <w:marLeft w:val="0"/>
                          <w:marRight w:val="0"/>
                          <w:marTop w:val="0"/>
                          <w:marBottom w:val="0"/>
                          <w:divBdr>
                            <w:top w:val="none" w:sz="0" w:space="0" w:color="auto"/>
                            <w:left w:val="none" w:sz="0" w:space="0" w:color="auto"/>
                            <w:bottom w:val="none" w:sz="0" w:space="0" w:color="auto"/>
                            <w:right w:val="none" w:sz="0" w:space="0" w:color="auto"/>
                          </w:divBdr>
                        </w:div>
                      </w:divsChild>
                    </w:div>
                    <w:div w:id="294148855">
                      <w:marLeft w:val="0"/>
                      <w:marRight w:val="0"/>
                      <w:marTop w:val="0"/>
                      <w:marBottom w:val="0"/>
                      <w:divBdr>
                        <w:top w:val="none" w:sz="0" w:space="0" w:color="auto"/>
                        <w:left w:val="none" w:sz="0" w:space="0" w:color="auto"/>
                        <w:bottom w:val="none" w:sz="0" w:space="0" w:color="auto"/>
                        <w:right w:val="none" w:sz="0" w:space="0" w:color="auto"/>
                      </w:divBdr>
                      <w:divsChild>
                        <w:div w:id="294145374">
                          <w:marLeft w:val="0"/>
                          <w:marRight w:val="0"/>
                          <w:marTop w:val="0"/>
                          <w:marBottom w:val="0"/>
                          <w:divBdr>
                            <w:top w:val="none" w:sz="0" w:space="0" w:color="auto"/>
                            <w:left w:val="none" w:sz="0" w:space="0" w:color="auto"/>
                            <w:bottom w:val="none" w:sz="0" w:space="0" w:color="auto"/>
                            <w:right w:val="none" w:sz="0" w:space="0" w:color="auto"/>
                          </w:divBdr>
                        </w:div>
                      </w:divsChild>
                    </w:div>
                    <w:div w:id="294148951">
                      <w:marLeft w:val="0"/>
                      <w:marRight w:val="0"/>
                      <w:marTop w:val="0"/>
                      <w:marBottom w:val="0"/>
                      <w:divBdr>
                        <w:top w:val="none" w:sz="0" w:space="0" w:color="auto"/>
                        <w:left w:val="none" w:sz="0" w:space="0" w:color="auto"/>
                        <w:bottom w:val="none" w:sz="0" w:space="0" w:color="auto"/>
                        <w:right w:val="none" w:sz="0" w:space="0" w:color="auto"/>
                      </w:divBdr>
                      <w:divsChild>
                        <w:div w:id="294142393">
                          <w:marLeft w:val="0"/>
                          <w:marRight w:val="0"/>
                          <w:marTop w:val="0"/>
                          <w:marBottom w:val="0"/>
                          <w:divBdr>
                            <w:top w:val="none" w:sz="0" w:space="0" w:color="auto"/>
                            <w:left w:val="none" w:sz="0" w:space="0" w:color="auto"/>
                            <w:bottom w:val="none" w:sz="0" w:space="0" w:color="auto"/>
                            <w:right w:val="none" w:sz="0" w:space="0" w:color="auto"/>
                          </w:divBdr>
                        </w:div>
                      </w:divsChild>
                    </w:div>
                    <w:div w:id="294148995">
                      <w:marLeft w:val="0"/>
                      <w:marRight w:val="0"/>
                      <w:marTop w:val="0"/>
                      <w:marBottom w:val="0"/>
                      <w:divBdr>
                        <w:top w:val="none" w:sz="0" w:space="0" w:color="auto"/>
                        <w:left w:val="none" w:sz="0" w:space="0" w:color="auto"/>
                        <w:bottom w:val="none" w:sz="0" w:space="0" w:color="auto"/>
                        <w:right w:val="none" w:sz="0" w:space="0" w:color="auto"/>
                      </w:divBdr>
                    </w:div>
                    <w:div w:id="294148998">
                      <w:marLeft w:val="0"/>
                      <w:marRight w:val="0"/>
                      <w:marTop w:val="0"/>
                      <w:marBottom w:val="0"/>
                      <w:divBdr>
                        <w:top w:val="none" w:sz="0" w:space="0" w:color="auto"/>
                        <w:left w:val="none" w:sz="0" w:space="0" w:color="auto"/>
                        <w:bottom w:val="none" w:sz="0" w:space="0" w:color="auto"/>
                        <w:right w:val="none" w:sz="0" w:space="0" w:color="auto"/>
                      </w:divBdr>
                      <w:divsChild>
                        <w:div w:id="294155062">
                          <w:marLeft w:val="0"/>
                          <w:marRight w:val="0"/>
                          <w:marTop w:val="0"/>
                          <w:marBottom w:val="0"/>
                          <w:divBdr>
                            <w:top w:val="none" w:sz="0" w:space="0" w:color="auto"/>
                            <w:left w:val="none" w:sz="0" w:space="0" w:color="auto"/>
                            <w:bottom w:val="none" w:sz="0" w:space="0" w:color="auto"/>
                            <w:right w:val="none" w:sz="0" w:space="0" w:color="auto"/>
                          </w:divBdr>
                        </w:div>
                      </w:divsChild>
                    </w:div>
                    <w:div w:id="294149033">
                      <w:marLeft w:val="0"/>
                      <w:marRight w:val="0"/>
                      <w:marTop w:val="0"/>
                      <w:marBottom w:val="0"/>
                      <w:divBdr>
                        <w:top w:val="none" w:sz="0" w:space="0" w:color="auto"/>
                        <w:left w:val="none" w:sz="0" w:space="0" w:color="auto"/>
                        <w:bottom w:val="none" w:sz="0" w:space="0" w:color="auto"/>
                        <w:right w:val="none" w:sz="0" w:space="0" w:color="auto"/>
                      </w:divBdr>
                    </w:div>
                    <w:div w:id="294149047">
                      <w:marLeft w:val="0"/>
                      <w:marRight w:val="0"/>
                      <w:marTop w:val="0"/>
                      <w:marBottom w:val="0"/>
                      <w:divBdr>
                        <w:top w:val="none" w:sz="0" w:space="0" w:color="auto"/>
                        <w:left w:val="none" w:sz="0" w:space="0" w:color="auto"/>
                        <w:bottom w:val="none" w:sz="0" w:space="0" w:color="auto"/>
                        <w:right w:val="none" w:sz="0" w:space="0" w:color="auto"/>
                      </w:divBdr>
                    </w:div>
                    <w:div w:id="294149054">
                      <w:marLeft w:val="0"/>
                      <w:marRight w:val="0"/>
                      <w:marTop w:val="0"/>
                      <w:marBottom w:val="0"/>
                      <w:divBdr>
                        <w:top w:val="none" w:sz="0" w:space="0" w:color="auto"/>
                        <w:left w:val="none" w:sz="0" w:space="0" w:color="auto"/>
                        <w:bottom w:val="none" w:sz="0" w:space="0" w:color="auto"/>
                        <w:right w:val="none" w:sz="0" w:space="0" w:color="auto"/>
                      </w:divBdr>
                    </w:div>
                    <w:div w:id="294149105">
                      <w:marLeft w:val="0"/>
                      <w:marRight w:val="0"/>
                      <w:marTop w:val="0"/>
                      <w:marBottom w:val="0"/>
                      <w:divBdr>
                        <w:top w:val="none" w:sz="0" w:space="0" w:color="auto"/>
                        <w:left w:val="none" w:sz="0" w:space="0" w:color="auto"/>
                        <w:bottom w:val="none" w:sz="0" w:space="0" w:color="auto"/>
                        <w:right w:val="none" w:sz="0" w:space="0" w:color="auto"/>
                      </w:divBdr>
                      <w:divsChild>
                        <w:div w:id="294147756">
                          <w:marLeft w:val="0"/>
                          <w:marRight w:val="0"/>
                          <w:marTop w:val="0"/>
                          <w:marBottom w:val="0"/>
                          <w:divBdr>
                            <w:top w:val="none" w:sz="0" w:space="0" w:color="auto"/>
                            <w:left w:val="none" w:sz="0" w:space="0" w:color="auto"/>
                            <w:bottom w:val="none" w:sz="0" w:space="0" w:color="auto"/>
                            <w:right w:val="none" w:sz="0" w:space="0" w:color="auto"/>
                          </w:divBdr>
                        </w:div>
                      </w:divsChild>
                    </w:div>
                    <w:div w:id="294149210">
                      <w:marLeft w:val="0"/>
                      <w:marRight w:val="0"/>
                      <w:marTop w:val="0"/>
                      <w:marBottom w:val="0"/>
                      <w:divBdr>
                        <w:top w:val="none" w:sz="0" w:space="0" w:color="auto"/>
                        <w:left w:val="none" w:sz="0" w:space="0" w:color="auto"/>
                        <w:bottom w:val="none" w:sz="0" w:space="0" w:color="auto"/>
                        <w:right w:val="none" w:sz="0" w:space="0" w:color="auto"/>
                      </w:divBdr>
                    </w:div>
                    <w:div w:id="294149259">
                      <w:marLeft w:val="0"/>
                      <w:marRight w:val="0"/>
                      <w:marTop w:val="0"/>
                      <w:marBottom w:val="0"/>
                      <w:divBdr>
                        <w:top w:val="none" w:sz="0" w:space="0" w:color="auto"/>
                        <w:left w:val="none" w:sz="0" w:space="0" w:color="auto"/>
                        <w:bottom w:val="none" w:sz="0" w:space="0" w:color="auto"/>
                        <w:right w:val="none" w:sz="0" w:space="0" w:color="auto"/>
                      </w:divBdr>
                    </w:div>
                    <w:div w:id="294149276">
                      <w:marLeft w:val="0"/>
                      <w:marRight w:val="0"/>
                      <w:marTop w:val="0"/>
                      <w:marBottom w:val="0"/>
                      <w:divBdr>
                        <w:top w:val="none" w:sz="0" w:space="0" w:color="auto"/>
                        <w:left w:val="none" w:sz="0" w:space="0" w:color="auto"/>
                        <w:bottom w:val="none" w:sz="0" w:space="0" w:color="auto"/>
                        <w:right w:val="none" w:sz="0" w:space="0" w:color="auto"/>
                      </w:divBdr>
                      <w:divsChild>
                        <w:div w:id="294143859">
                          <w:marLeft w:val="0"/>
                          <w:marRight w:val="0"/>
                          <w:marTop w:val="0"/>
                          <w:marBottom w:val="0"/>
                          <w:divBdr>
                            <w:top w:val="none" w:sz="0" w:space="0" w:color="auto"/>
                            <w:left w:val="none" w:sz="0" w:space="0" w:color="auto"/>
                            <w:bottom w:val="none" w:sz="0" w:space="0" w:color="auto"/>
                            <w:right w:val="none" w:sz="0" w:space="0" w:color="auto"/>
                          </w:divBdr>
                        </w:div>
                      </w:divsChild>
                    </w:div>
                    <w:div w:id="294149281">
                      <w:marLeft w:val="0"/>
                      <w:marRight w:val="0"/>
                      <w:marTop w:val="0"/>
                      <w:marBottom w:val="0"/>
                      <w:divBdr>
                        <w:top w:val="none" w:sz="0" w:space="0" w:color="auto"/>
                        <w:left w:val="none" w:sz="0" w:space="0" w:color="auto"/>
                        <w:bottom w:val="none" w:sz="0" w:space="0" w:color="auto"/>
                        <w:right w:val="none" w:sz="0" w:space="0" w:color="auto"/>
                      </w:divBdr>
                      <w:divsChild>
                        <w:div w:id="294139342">
                          <w:marLeft w:val="0"/>
                          <w:marRight w:val="0"/>
                          <w:marTop w:val="0"/>
                          <w:marBottom w:val="0"/>
                          <w:divBdr>
                            <w:top w:val="none" w:sz="0" w:space="0" w:color="auto"/>
                            <w:left w:val="none" w:sz="0" w:space="0" w:color="auto"/>
                            <w:bottom w:val="none" w:sz="0" w:space="0" w:color="auto"/>
                            <w:right w:val="none" w:sz="0" w:space="0" w:color="auto"/>
                          </w:divBdr>
                        </w:div>
                      </w:divsChild>
                    </w:div>
                    <w:div w:id="294149286">
                      <w:marLeft w:val="0"/>
                      <w:marRight w:val="0"/>
                      <w:marTop w:val="0"/>
                      <w:marBottom w:val="0"/>
                      <w:divBdr>
                        <w:top w:val="none" w:sz="0" w:space="0" w:color="auto"/>
                        <w:left w:val="none" w:sz="0" w:space="0" w:color="auto"/>
                        <w:bottom w:val="none" w:sz="0" w:space="0" w:color="auto"/>
                        <w:right w:val="none" w:sz="0" w:space="0" w:color="auto"/>
                      </w:divBdr>
                      <w:divsChild>
                        <w:div w:id="294154002">
                          <w:marLeft w:val="0"/>
                          <w:marRight w:val="0"/>
                          <w:marTop w:val="0"/>
                          <w:marBottom w:val="0"/>
                          <w:divBdr>
                            <w:top w:val="none" w:sz="0" w:space="0" w:color="auto"/>
                            <w:left w:val="none" w:sz="0" w:space="0" w:color="auto"/>
                            <w:bottom w:val="none" w:sz="0" w:space="0" w:color="auto"/>
                            <w:right w:val="none" w:sz="0" w:space="0" w:color="auto"/>
                          </w:divBdr>
                        </w:div>
                      </w:divsChild>
                    </w:div>
                    <w:div w:id="294149429">
                      <w:marLeft w:val="0"/>
                      <w:marRight w:val="0"/>
                      <w:marTop w:val="0"/>
                      <w:marBottom w:val="0"/>
                      <w:divBdr>
                        <w:top w:val="none" w:sz="0" w:space="0" w:color="auto"/>
                        <w:left w:val="none" w:sz="0" w:space="0" w:color="auto"/>
                        <w:bottom w:val="none" w:sz="0" w:space="0" w:color="auto"/>
                        <w:right w:val="none" w:sz="0" w:space="0" w:color="auto"/>
                      </w:divBdr>
                    </w:div>
                    <w:div w:id="294149456">
                      <w:marLeft w:val="0"/>
                      <w:marRight w:val="0"/>
                      <w:marTop w:val="0"/>
                      <w:marBottom w:val="0"/>
                      <w:divBdr>
                        <w:top w:val="none" w:sz="0" w:space="0" w:color="auto"/>
                        <w:left w:val="none" w:sz="0" w:space="0" w:color="auto"/>
                        <w:bottom w:val="none" w:sz="0" w:space="0" w:color="auto"/>
                        <w:right w:val="none" w:sz="0" w:space="0" w:color="auto"/>
                      </w:divBdr>
                      <w:divsChild>
                        <w:div w:id="294138815">
                          <w:marLeft w:val="0"/>
                          <w:marRight w:val="0"/>
                          <w:marTop w:val="0"/>
                          <w:marBottom w:val="0"/>
                          <w:divBdr>
                            <w:top w:val="none" w:sz="0" w:space="0" w:color="auto"/>
                            <w:left w:val="none" w:sz="0" w:space="0" w:color="auto"/>
                            <w:bottom w:val="none" w:sz="0" w:space="0" w:color="auto"/>
                            <w:right w:val="none" w:sz="0" w:space="0" w:color="auto"/>
                          </w:divBdr>
                        </w:div>
                      </w:divsChild>
                    </w:div>
                    <w:div w:id="294149487">
                      <w:marLeft w:val="0"/>
                      <w:marRight w:val="0"/>
                      <w:marTop w:val="0"/>
                      <w:marBottom w:val="0"/>
                      <w:divBdr>
                        <w:top w:val="none" w:sz="0" w:space="0" w:color="auto"/>
                        <w:left w:val="none" w:sz="0" w:space="0" w:color="auto"/>
                        <w:bottom w:val="none" w:sz="0" w:space="0" w:color="auto"/>
                        <w:right w:val="none" w:sz="0" w:space="0" w:color="auto"/>
                      </w:divBdr>
                    </w:div>
                    <w:div w:id="294149502">
                      <w:marLeft w:val="0"/>
                      <w:marRight w:val="0"/>
                      <w:marTop w:val="0"/>
                      <w:marBottom w:val="0"/>
                      <w:divBdr>
                        <w:top w:val="none" w:sz="0" w:space="0" w:color="auto"/>
                        <w:left w:val="none" w:sz="0" w:space="0" w:color="auto"/>
                        <w:bottom w:val="none" w:sz="0" w:space="0" w:color="auto"/>
                        <w:right w:val="none" w:sz="0" w:space="0" w:color="auto"/>
                      </w:divBdr>
                      <w:divsChild>
                        <w:div w:id="294152276">
                          <w:marLeft w:val="0"/>
                          <w:marRight w:val="0"/>
                          <w:marTop w:val="0"/>
                          <w:marBottom w:val="0"/>
                          <w:divBdr>
                            <w:top w:val="none" w:sz="0" w:space="0" w:color="auto"/>
                            <w:left w:val="none" w:sz="0" w:space="0" w:color="auto"/>
                            <w:bottom w:val="none" w:sz="0" w:space="0" w:color="auto"/>
                            <w:right w:val="none" w:sz="0" w:space="0" w:color="auto"/>
                          </w:divBdr>
                        </w:div>
                      </w:divsChild>
                    </w:div>
                    <w:div w:id="294149589">
                      <w:marLeft w:val="0"/>
                      <w:marRight w:val="0"/>
                      <w:marTop w:val="0"/>
                      <w:marBottom w:val="0"/>
                      <w:divBdr>
                        <w:top w:val="none" w:sz="0" w:space="0" w:color="auto"/>
                        <w:left w:val="none" w:sz="0" w:space="0" w:color="auto"/>
                        <w:bottom w:val="none" w:sz="0" w:space="0" w:color="auto"/>
                        <w:right w:val="none" w:sz="0" w:space="0" w:color="auto"/>
                      </w:divBdr>
                    </w:div>
                    <w:div w:id="294149591">
                      <w:marLeft w:val="0"/>
                      <w:marRight w:val="0"/>
                      <w:marTop w:val="0"/>
                      <w:marBottom w:val="0"/>
                      <w:divBdr>
                        <w:top w:val="none" w:sz="0" w:space="0" w:color="auto"/>
                        <w:left w:val="none" w:sz="0" w:space="0" w:color="auto"/>
                        <w:bottom w:val="none" w:sz="0" w:space="0" w:color="auto"/>
                        <w:right w:val="none" w:sz="0" w:space="0" w:color="auto"/>
                      </w:divBdr>
                      <w:divsChild>
                        <w:div w:id="294144463">
                          <w:marLeft w:val="0"/>
                          <w:marRight w:val="0"/>
                          <w:marTop w:val="0"/>
                          <w:marBottom w:val="0"/>
                          <w:divBdr>
                            <w:top w:val="none" w:sz="0" w:space="0" w:color="auto"/>
                            <w:left w:val="none" w:sz="0" w:space="0" w:color="auto"/>
                            <w:bottom w:val="none" w:sz="0" w:space="0" w:color="auto"/>
                            <w:right w:val="none" w:sz="0" w:space="0" w:color="auto"/>
                          </w:divBdr>
                        </w:div>
                      </w:divsChild>
                    </w:div>
                    <w:div w:id="294149594">
                      <w:marLeft w:val="0"/>
                      <w:marRight w:val="0"/>
                      <w:marTop w:val="0"/>
                      <w:marBottom w:val="0"/>
                      <w:divBdr>
                        <w:top w:val="none" w:sz="0" w:space="0" w:color="auto"/>
                        <w:left w:val="none" w:sz="0" w:space="0" w:color="auto"/>
                        <w:bottom w:val="none" w:sz="0" w:space="0" w:color="auto"/>
                        <w:right w:val="none" w:sz="0" w:space="0" w:color="auto"/>
                      </w:divBdr>
                      <w:divsChild>
                        <w:div w:id="294142279">
                          <w:marLeft w:val="0"/>
                          <w:marRight w:val="0"/>
                          <w:marTop w:val="0"/>
                          <w:marBottom w:val="0"/>
                          <w:divBdr>
                            <w:top w:val="none" w:sz="0" w:space="0" w:color="auto"/>
                            <w:left w:val="none" w:sz="0" w:space="0" w:color="auto"/>
                            <w:bottom w:val="none" w:sz="0" w:space="0" w:color="auto"/>
                            <w:right w:val="none" w:sz="0" w:space="0" w:color="auto"/>
                          </w:divBdr>
                        </w:div>
                      </w:divsChild>
                    </w:div>
                    <w:div w:id="294149630">
                      <w:marLeft w:val="0"/>
                      <w:marRight w:val="0"/>
                      <w:marTop w:val="0"/>
                      <w:marBottom w:val="0"/>
                      <w:divBdr>
                        <w:top w:val="none" w:sz="0" w:space="0" w:color="auto"/>
                        <w:left w:val="none" w:sz="0" w:space="0" w:color="auto"/>
                        <w:bottom w:val="none" w:sz="0" w:space="0" w:color="auto"/>
                        <w:right w:val="none" w:sz="0" w:space="0" w:color="auto"/>
                      </w:divBdr>
                    </w:div>
                    <w:div w:id="294149656">
                      <w:marLeft w:val="0"/>
                      <w:marRight w:val="0"/>
                      <w:marTop w:val="0"/>
                      <w:marBottom w:val="0"/>
                      <w:divBdr>
                        <w:top w:val="none" w:sz="0" w:space="0" w:color="auto"/>
                        <w:left w:val="none" w:sz="0" w:space="0" w:color="auto"/>
                        <w:bottom w:val="none" w:sz="0" w:space="0" w:color="auto"/>
                        <w:right w:val="none" w:sz="0" w:space="0" w:color="auto"/>
                      </w:divBdr>
                      <w:divsChild>
                        <w:div w:id="294146657">
                          <w:marLeft w:val="0"/>
                          <w:marRight w:val="0"/>
                          <w:marTop w:val="0"/>
                          <w:marBottom w:val="0"/>
                          <w:divBdr>
                            <w:top w:val="none" w:sz="0" w:space="0" w:color="auto"/>
                            <w:left w:val="none" w:sz="0" w:space="0" w:color="auto"/>
                            <w:bottom w:val="none" w:sz="0" w:space="0" w:color="auto"/>
                            <w:right w:val="none" w:sz="0" w:space="0" w:color="auto"/>
                          </w:divBdr>
                        </w:div>
                      </w:divsChild>
                    </w:div>
                    <w:div w:id="294149686">
                      <w:marLeft w:val="0"/>
                      <w:marRight w:val="0"/>
                      <w:marTop w:val="0"/>
                      <w:marBottom w:val="0"/>
                      <w:divBdr>
                        <w:top w:val="none" w:sz="0" w:space="0" w:color="auto"/>
                        <w:left w:val="none" w:sz="0" w:space="0" w:color="auto"/>
                        <w:bottom w:val="none" w:sz="0" w:space="0" w:color="auto"/>
                        <w:right w:val="none" w:sz="0" w:space="0" w:color="auto"/>
                      </w:divBdr>
                    </w:div>
                    <w:div w:id="294149692">
                      <w:marLeft w:val="0"/>
                      <w:marRight w:val="0"/>
                      <w:marTop w:val="0"/>
                      <w:marBottom w:val="0"/>
                      <w:divBdr>
                        <w:top w:val="none" w:sz="0" w:space="0" w:color="auto"/>
                        <w:left w:val="none" w:sz="0" w:space="0" w:color="auto"/>
                        <w:bottom w:val="none" w:sz="0" w:space="0" w:color="auto"/>
                        <w:right w:val="none" w:sz="0" w:space="0" w:color="auto"/>
                      </w:divBdr>
                      <w:divsChild>
                        <w:div w:id="294155963">
                          <w:marLeft w:val="0"/>
                          <w:marRight w:val="0"/>
                          <w:marTop w:val="0"/>
                          <w:marBottom w:val="0"/>
                          <w:divBdr>
                            <w:top w:val="none" w:sz="0" w:space="0" w:color="auto"/>
                            <w:left w:val="none" w:sz="0" w:space="0" w:color="auto"/>
                            <w:bottom w:val="none" w:sz="0" w:space="0" w:color="auto"/>
                            <w:right w:val="none" w:sz="0" w:space="0" w:color="auto"/>
                          </w:divBdr>
                        </w:div>
                      </w:divsChild>
                    </w:div>
                    <w:div w:id="294149704">
                      <w:marLeft w:val="0"/>
                      <w:marRight w:val="0"/>
                      <w:marTop w:val="0"/>
                      <w:marBottom w:val="0"/>
                      <w:divBdr>
                        <w:top w:val="none" w:sz="0" w:space="0" w:color="auto"/>
                        <w:left w:val="none" w:sz="0" w:space="0" w:color="auto"/>
                        <w:bottom w:val="none" w:sz="0" w:space="0" w:color="auto"/>
                        <w:right w:val="none" w:sz="0" w:space="0" w:color="auto"/>
                      </w:divBdr>
                      <w:divsChild>
                        <w:div w:id="294140761">
                          <w:marLeft w:val="0"/>
                          <w:marRight w:val="0"/>
                          <w:marTop w:val="0"/>
                          <w:marBottom w:val="0"/>
                          <w:divBdr>
                            <w:top w:val="none" w:sz="0" w:space="0" w:color="auto"/>
                            <w:left w:val="none" w:sz="0" w:space="0" w:color="auto"/>
                            <w:bottom w:val="none" w:sz="0" w:space="0" w:color="auto"/>
                            <w:right w:val="none" w:sz="0" w:space="0" w:color="auto"/>
                          </w:divBdr>
                        </w:div>
                      </w:divsChild>
                    </w:div>
                    <w:div w:id="294149716">
                      <w:marLeft w:val="0"/>
                      <w:marRight w:val="0"/>
                      <w:marTop w:val="0"/>
                      <w:marBottom w:val="0"/>
                      <w:divBdr>
                        <w:top w:val="none" w:sz="0" w:space="0" w:color="auto"/>
                        <w:left w:val="none" w:sz="0" w:space="0" w:color="auto"/>
                        <w:bottom w:val="none" w:sz="0" w:space="0" w:color="auto"/>
                        <w:right w:val="none" w:sz="0" w:space="0" w:color="auto"/>
                      </w:divBdr>
                    </w:div>
                    <w:div w:id="294149736">
                      <w:marLeft w:val="0"/>
                      <w:marRight w:val="0"/>
                      <w:marTop w:val="0"/>
                      <w:marBottom w:val="0"/>
                      <w:divBdr>
                        <w:top w:val="none" w:sz="0" w:space="0" w:color="auto"/>
                        <w:left w:val="none" w:sz="0" w:space="0" w:color="auto"/>
                        <w:bottom w:val="none" w:sz="0" w:space="0" w:color="auto"/>
                        <w:right w:val="none" w:sz="0" w:space="0" w:color="auto"/>
                      </w:divBdr>
                    </w:div>
                    <w:div w:id="294149749">
                      <w:marLeft w:val="0"/>
                      <w:marRight w:val="0"/>
                      <w:marTop w:val="0"/>
                      <w:marBottom w:val="0"/>
                      <w:divBdr>
                        <w:top w:val="none" w:sz="0" w:space="0" w:color="auto"/>
                        <w:left w:val="none" w:sz="0" w:space="0" w:color="auto"/>
                        <w:bottom w:val="none" w:sz="0" w:space="0" w:color="auto"/>
                        <w:right w:val="none" w:sz="0" w:space="0" w:color="auto"/>
                      </w:divBdr>
                    </w:div>
                    <w:div w:id="294149974">
                      <w:marLeft w:val="0"/>
                      <w:marRight w:val="0"/>
                      <w:marTop w:val="0"/>
                      <w:marBottom w:val="0"/>
                      <w:divBdr>
                        <w:top w:val="none" w:sz="0" w:space="0" w:color="auto"/>
                        <w:left w:val="none" w:sz="0" w:space="0" w:color="auto"/>
                        <w:bottom w:val="none" w:sz="0" w:space="0" w:color="auto"/>
                        <w:right w:val="none" w:sz="0" w:space="0" w:color="auto"/>
                      </w:divBdr>
                      <w:divsChild>
                        <w:div w:id="294152871">
                          <w:marLeft w:val="0"/>
                          <w:marRight w:val="0"/>
                          <w:marTop w:val="0"/>
                          <w:marBottom w:val="0"/>
                          <w:divBdr>
                            <w:top w:val="none" w:sz="0" w:space="0" w:color="auto"/>
                            <w:left w:val="none" w:sz="0" w:space="0" w:color="auto"/>
                            <w:bottom w:val="none" w:sz="0" w:space="0" w:color="auto"/>
                            <w:right w:val="none" w:sz="0" w:space="0" w:color="auto"/>
                          </w:divBdr>
                        </w:div>
                      </w:divsChild>
                    </w:div>
                    <w:div w:id="294149983">
                      <w:marLeft w:val="0"/>
                      <w:marRight w:val="0"/>
                      <w:marTop w:val="0"/>
                      <w:marBottom w:val="0"/>
                      <w:divBdr>
                        <w:top w:val="none" w:sz="0" w:space="0" w:color="auto"/>
                        <w:left w:val="none" w:sz="0" w:space="0" w:color="auto"/>
                        <w:bottom w:val="none" w:sz="0" w:space="0" w:color="auto"/>
                        <w:right w:val="none" w:sz="0" w:space="0" w:color="auto"/>
                      </w:divBdr>
                      <w:divsChild>
                        <w:div w:id="294149661">
                          <w:marLeft w:val="0"/>
                          <w:marRight w:val="0"/>
                          <w:marTop w:val="0"/>
                          <w:marBottom w:val="0"/>
                          <w:divBdr>
                            <w:top w:val="none" w:sz="0" w:space="0" w:color="auto"/>
                            <w:left w:val="none" w:sz="0" w:space="0" w:color="auto"/>
                            <w:bottom w:val="none" w:sz="0" w:space="0" w:color="auto"/>
                            <w:right w:val="none" w:sz="0" w:space="0" w:color="auto"/>
                          </w:divBdr>
                        </w:div>
                      </w:divsChild>
                    </w:div>
                    <w:div w:id="294150000">
                      <w:marLeft w:val="0"/>
                      <w:marRight w:val="0"/>
                      <w:marTop w:val="0"/>
                      <w:marBottom w:val="0"/>
                      <w:divBdr>
                        <w:top w:val="none" w:sz="0" w:space="0" w:color="auto"/>
                        <w:left w:val="none" w:sz="0" w:space="0" w:color="auto"/>
                        <w:bottom w:val="none" w:sz="0" w:space="0" w:color="auto"/>
                        <w:right w:val="none" w:sz="0" w:space="0" w:color="auto"/>
                      </w:divBdr>
                      <w:divsChild>
                        <w:div w:id="294143297">
                          <w:marLeft w:val="0"/>
                          <w:marRight w:val="0"/>
                          <w:marTop w:val="0"/>
                          <w:marBottom w:val="0"/>
                          <w:divBdr>
                            <w:top w:val="none" w:sz="0" w:space="0" w:color="auto"/>
                            <w:left w:val="none" w:sz="0" w:space="0" w:color="auto"/>
                            <w:bottom w:val="none" w:sz="0" w:space="0" w:color="auto"/>
                            <w:right w:val="none" w:sz="0" w:space="0" w:color="auto"/>
                          </w:divBdr>
                        </w:div>
                      </w:divsChild>
                    </w:div>
                    <w:div w:id="294150052">
                      <w:marLeft w:val="0"/>
                      <w:marRight w:val="0"/>
                      <w:marTop w:val="0"/>
                      <w:marBottom w:val="0"/>
                      <w:divBdr>
                        <w:top w:val="none" w:sz="0" w:space="0" w:color="auto"/>
                        <w:left w:val="none" w:sz="0" w:space="0" w:color="auto"/>
                        <w:bottom w:val="none" w:sz="0" w:space="0" w:color="auto"/>
                        <w:right w:val="none" w:sz="0" w:space="0" w:color="auto"/>
                      </w:divBdr>
                      <w:divsChild>
                        <w:div w:id="294157365">
                          <w:marLeft w:val="0"/>
                          <w:marRight w:val="0"/>
                          <w:marTop w:val="0"/>
                          <w:marBottom w:val="0"/>
                          <w:divBdr>
                            <w:top w:val="none" w:sz="0" w:space="0" w:color="auto"/>
                            <w:left w:val="none" w:sz="0" w:space="0" w:color="auto"/>
                            <w:bottom w:val="none" w:sz="0" w:space="0" w:color="auto"/>
                            <w:right w:val="none" w:sz="0" w:space="0" w:color="auto"/>
                          </w:divBdr>
                        </w:div>
                      </w:divsChild>
                    </w:div>
                    <w:div w:id="294150126">
                      <w:marLeft w:val="0"/>
                      <w:marRight w:val="0"/>
                      <w:marTop w:val="0"/>
                      <w:marBottom w:val="0"/>
                      <w:divBdr>
                        <w:top w:val="none" w:sz="0" w:space="0" w:color="auto"/>
                        <w:left w:val="none" w:sz="0" w:space="0" w:color="auto"/>
                        <w:bottom w:val="none" w:sz="0" w:space="0" w:color="auto"/>
                        <w:right w:val="none" w:sz="0" w:space="0" w:color="auto"/>
                      </w:divBdr>
                    </w:div>
                    <w:div w:id="294150199">
                      <w:marLeft w:val="0"/>
                      <w:marRight w:val="0"/>
                      <w:marTop w:val="0"/>
                      <w:marBottom w:val="0"/>
                      <w:divBdr>
                        <w:top w:val="none" w:sz="0" w:space="0" w:color="auto"/>
                        <w:left w:val="none" w:sz="0" w:space="0" w:color="auto"/>
                        <w:bottom w:val="none" w:sz="0" w:space="0" w:color="auto"/>
                        <w:right w:val="none" w:sz="0" w:space="0" w:color="auto"/>
                      </w:divBdr>
                      <w:divsChild>
                        <w:div w:id="294150524">
                          <w:marLeft w:val="0"/>
                          <w:marRight w:val="0"/>
                          <w:marTop w:val="0"/>
                          <w:marBottom w:val="0"/>
                          <w:divBdr>
                            <w:top w:val="none" w:sz="0" w:space="0" w:color="auto"/>
                            <w:left w:val="none" w:sz="0" w:space="0" w:color="auto"/>
                            <w:bottom w:val="none" w:sz="0" w:space="0" w:color="auto"/>
                            <w:right w:val="none" w:sz="0" w:space="0" w:color="auto"/>
                          </w:divBdr>
                        </w:div>
                      </w:divsChild>
                    </w:div>
                    <w:div w:id="294150229">
                      <w:marLeft w:val="0"/>
                      <w:marRight w:val="0"/>
                      <w:marTop w:val="0"/>
                      <w:marBottom w:val="0"/>
                      <w:divBdr>
                        <w:top w:val="none" w:sz="0" w:space="0" w:color="auto"/>
                        <w:left w:val="none" w:sz="0" w:space="0" w:color="auto"/>
                        <w:bottom w:val="none" w:sz="0" w:space="0" w:color="auto"/>
                        <w:right w:val="none" w:sz="0" w:space="0" w:color="auto"/>
                      </w:divBdr>
                    </w:div>
                    <w:div w:id="294150233">
                      <w:marLeft w:val="0"/>
                      <w:marRight w:val="0"/>
                      <w:marTop w:val="0"/>
                      <w:marBottom w:val="0"/>
                      <w:divBdr>
                        <w:top w:val="none" w:sz="0" w:space="0" w:color="auto"/>
                        <w:left w:val="none" w:sz="0" w:space="0" w:color="auto"/>
                        <w:bottom w:val="none" w:sz="0" w:space="0" w:color="auto"/>
                        <w:right w:val="none" w:sz="0" w:space="0" w:color="auto"/>
                      </w:divBdr>
                      <w:divsChild>
                        <w:div w:id="294149171">
                          <w:marLeft w:val="0"/>
                          <w:marRight w:val="0"/>
                          <w:marTop w:val="0"/>
                          <w:marBottom w:val="0"/>
                          <w:divBdr>
                            <w:top w:val="none" w:sz="0" w:space="0" w:color="auto"/>
                            <w:left w:val="none" w:sz="0" w:space="0" w:color="auto"/>
                            <w:bottom w:val="none" w:sz="0" w:space="0" w:color="auto"/>
                            <w:right w:val="none" w:sz="0" w:space="0" w:color="auto"/>
                          </w:divBdr>
                        </w:div>
                      </w:divsChild>
                    </w:div>
                    <w:div w:id="294150236">
                      <w:marLeft w:val="0"/>
                      <w:marRight w:val="0"/>
                      <w:marTop w:val="0"/>
                      <w:marBottom w:val="0"/>
                      <w:divBdr>
                        <w:top w:val="none" w:sz="0" w:space="0" w:color="auto"/>
                        <w:left w:val="none" w:sz="0" w:space="0" w:color="auto"/>
                        <w:bottom w:val="none" w:sz="0" w:space="0" w:color="auto"/>
                        <w:right w:val="none" w:sz="0" w:space="0" w:color="auto"/>
                      </w:divBdr>
                    </w:div>
                    <w:div w:id="294150323">
                      <w:marLeft w:val="0"/>
                      <w:marRight w:val="0"/>
                      <w:marTop w:val="0"/>
                      <w:marBottom w:val="0"/>
                      <w:divBdr>
                        <w:top w:val="none" w:sz="0" w:space="0" w:color="auto"/>
                        <w:left w:val="none" w:sz="0" w:space="0" w:color="auto"/>
                        <w:bottom w:val="none" w:sz="0" w:space="0" w:color="auto"/>
                        <w:right w:val="none" w:sz="0" w:space="0" w:color="auto"/>
                      </w:divBdr>
                    </w:div>
                    <w:div w:id="294150430">
                      <w:marLeft w:val="0"/>
                      <w:marRight w:val="0"/>
                      <w:marTop w:val="0"/>
                      <w:marBottom w:val="0"/>
                      <w:divBdr>
                        <w:top w:val="none" w:sz="0" w:space="0" w:color="auto"/>
                        <w:left w:val="none" w:sz="0" w:space="0" w:color="auto"/>
                        <w:bottom w:val="none" w:sz="0" w:space="0" w:color="auto"/>
                        <w:right w:val="none" w:sz="0" w:space="0" w:color="auto"/>
                      </w:divBdr>
                      <w:divsChild>
                        <w:div w:id="294149206">
                          <w:marLeft w:val="0"/>
                          <w:marRight w:val="0"/>
                          <w:marTop w:val="0"/>
                          <w:marBottom w:val="0"/>
                          <w:divBdr>
                            <w:top w:val="none" w:sz="0" w:space="0" w:color="auto"/>
                            <w:left w:val="none" w:sz="0" w:space="0" w:color="auto"/>
                            <w:bottom w:val="none" w:sz="0" w:space="0" w:color="auto"/>
                            <w:right w:val="none" w:sz="0" w:space="0" w:color="auto"/>
                          </w:divBdr>
                        </w:div>
                      </w:divsChild>
                    </w:div>
                    <w:div w:id="294150454">
                      <w:marLeft w:val="0"/>
                      <w:marRight w:val="0"/>
                      <w:marTop w:val="0"/>
                      <w:marBottom w:val="0"/>
                      <w:divBdr>
                        <w:top w:val="none" w:sz="0" w:space="0" w:color="auto"/>
                        <w:left w:val="none" w:sz="0" w:space="0" w:color="auto"/>
                        <w:bottom w:val="none" w:sz="0" w:space="0" w:color="auto"/>
                        <w:right w:val="none" w:sz="0" w:space="0" w:color="auto"/>
                      </w:divBdr>
                    </w:div>
                    <w:div w:id="294150467">
                      <w:marLeft w:val="0"/>
                      <w:marRight w:val="0"/>
                      <w:marTop w:val="0"/>
                      <w:marBottom w:val="0"/>
                      <w:divBdr>
                        <w:top w:val="none" w:sz="0" w:space="0" w:color="auto"/>
                        <w:left w:val="none" w:sz="0" w:space="0" w:color="auto"/>
                        <w:bottom w:val="none" w:sz="0" w:space="0" w:color="auto"/>
                        <w:right w:val="none" w:sz="0" w:space="0" w:color="auto"/>
                      </w:divBdr>
                      <w:divsChild>
                        <w:div w:id="294139909">
                          <w:marLeft w:val="0"/>
                          <w:marRight w:val="0"/>
                          <w:marTop w:val="0"/>
                          <w:marBottom w:val="0"/>
                          <w:divBdr>
                            <w:top w:val="none" w:sz="0" w:space="0" w:color="auto"/>
                            <w:left w:val="none" w:sz="0" w:space="0" w:color="auto"/>
                            <w:bottom w:val="none" w:sz="0" w:space="0" w:color="auto"/>
                            <w:right w:val="none" w:sz="0" w:space="0" w:color="auto"/>
                          </w:divBdr>
                        </w:div>
                      </w:divsChild>
                    </w:div>
                    <w:div w:id="294150512">
                      <w:marLeft w:val="0"/>
                      <w:marRight w:val="0"/>
                      <w:marTop w:val="0"/>
                      <w:marBottom w:val="0"/>
                      <w:divBdr>
                        <w:top w:val="none" w:sz="0" w:space="0" w:color="auto"/>
                        <w:left w:val="none" w:sz="0" w:space="0" w:color="auto"/>
                        <w:bottom w:val="none" w:sz="0" w:space="0" w:color="auto"/>
                        <w:right w:val="none" w:sz="0" w:space="0" w:color="auto"/>
                      </w:divBdr>
                      <w:divsChild>
                        <w:div w:id="294138011">
                          <w:marLeft w:val="0"/>
                          <w:marRight w:val="0"/>
                          <w:marTop w:val="0"/>
                          <w:marBottom w:val="0"/>
                          <w:divBdr>
                            <w:top w:val="none" w:sz="0" w:space="0" w:color="auto"/>
                            <w:left w:val="none" w:sz="0" w:space="0" w:color="auto"/>
                            <w:bottom w:val="none" w:sz="0" w:space="0" w:color="auto"/>
                            <w:right w:val="none" w:sz="0" w:space="0" w:color="auto"/>
                          </w:divBdr>
                        </w:div>
                      </w:divsChild>
                    </w:div>
                    <w:div w:id="294150644">
                      <w:marLeft w:val="0"/>
                      <w:marRight w:val="0"/>
                      <w:marTop w:val="0"/>
                      <w:marBottom w:val="0"/>
                      <w:divBdr>
                        <w:top w:val="none" w:sz="0" w:space="0" w:color="auto"/>
                        <w:left w:val="none" w:sz="0" w:space="0" w:color="auto"/>
                        <w:bottom w:val="none" w:sz="0" w:space="0" w:color="auto"/>
                        <w:right w:val="none" w:sz="0" w:space="0" w:color="auto"/>
                      </w:divBdr>
                      <w:divsChild>
                        <w:div w:id="294139906">
                          <w:marLeft w:val="0"/>
                          <w:marRight w:val="0"/>
                          <w:marTop w:val="0"/>
                          <w:marBottom w:val="0"/>
                          <w:divBdr>
                            <w:top w:val="none" w:sz="0" w:space="0" w:color="auto"/>
                            <w:left w:val="none" w:sz="0" w:space="0" w:color="auto"/>
                            <w:bottom w:val="none" w:sz="0" w:space="0" w:color="auto"/>
                            <w:right w:val="none" w:sz="0" w:space="0" w:color="auto"/>
                          </w:divBdr>
                        </w:div>
                      </w:divsChild>
                    </w:div>
                    <w:div w:id="294150645">
                      <w:marLeft w:val="0"/>
                      <w:marRight w:val="0"/>
                      <w:marTop w:val="0"/>
                      <w:marBottom w:val="0"/>
                      <w:divBdr>
                        <w:top w:val="none" w:sz="0" w:space="0" w:color="auto"/>
                        <w:left w:val="none" w:sz="0" w:space="0" w:color="auto"/>
                        <w:bottom w:val="none" w:sz="0" w:space="0" w:color="auto"/>
                        <w:right w:val="none" w:sz="0" w:space="0" w:color="auto"/>
                      </w:divBdr>
                      <w:divsChild>
                        <w:div w:id="294152994">
                          <w:marLeft w:val="0"/>
                          <w:marRight w:val="0"/>
                          <w:marTop w:val="0"/>
                          <w:marBottom w:val="0"/>
                          <w:divBdr>
                            <w:top w:val="none" w:sz="0" w:space="0" w:color="auto"/>
                            <w:left w:val="none" w:sz="0" w:space="0" w:color="auto"/>
                            <w:bottom w:val="none" w:sz="0" w:space="0" w:color="auto"/>
                            <w:right w:val="none" w:sz="0" w:space="0" w:color="auto"/>
                          </w:divBdr>
                        </w:div>
                      </w:divsChild>
                    </w:div>
                    <w:div w:id="294150683">
                      <w:marLeft w:val="0"/>
                      <w:marRight w:val="0"/>
                      <w:marTop w:val="0"/>
                      <w:marBottom w:val="0"/>
                      <w:divBdr>
                        <w:top w:val="none" w:sz="0" w:space="0" w:color="auto"/>
                        <w:left w:val="none" w:sz="0" w:space="0" w:color="auto"/>
                        <w:bottom w:val="none" w:sz="0" w:space="0" w:color="auto"/>
                        <w:right w:val="none" w:sz="0" w:space="0" w:color="auto"/>
                      </w:divBdr>
                    </w:div>
                    <w:div w:id="294150752">
                      <w:marLeft w:val="0"/>
                      <w:marRight w:val="0"/>
                      <w:marTop w:val="0"/>
                      <w:marBottom w:val="0"/>
                      <w:divBdr>
                        <w:top w:val="none" w:sz="0" w:space="0" w:color="auto"/>
                        <w:left w:val="none" w:sz="0" w:space="0" w:color="auto"/>
                        <w:bottom w:val="none" w:sz="0" w:space="0" w:color="auto"/>
                        <w:right w:val="none" w:sz="0" w:space="0" w:color="auto"/>
                      </w:divBdr>
                      <w:divsChild>
                        <w:div w:id="294153586">
                          <w:marLeft w:val="0"/>
                          <w:marRight w:val="0"/>
                          <w:marTop w:val="0"/>
                          <w:marBottom w:val="0"/>
                          <w:divBdr>
                            <w:top w:val="none" w:sz="0" w:space="0" w:color="auto"/>
                            <w:left w:val="none" w:sz="0" w:space="0" w:color="auto"/>
                            <w:bottom w:val="none" w:sz="0" w:space="0" w:color="auto"/>
                            <w:right w:val="none" w:sz="0" w:space="0" w:color="auto"/>
                          </w:divBdr>
                        </w:div>
                      </w:divsChild>
                    </w:div>
                    <w:div w:id="294150780">
                      <w:marLeft w:val="0"/>
                      <w:marRight w:val="0"/>
                      <w:marTop w:val="0"/>
                      <w:marBottom w:val="0"/>
                      <w:divBdr>
                        <w:top w:val="none" w:sz="0" w:space="0" w:color="auto"/>
                        <w:left w:val="none" w:sz="0" w:space="0" w:color="auto"/>
                        <w:bottom w:val="none" w:sz="0" w:space="0" w:color="auto"/>
                        <w:right w:val="none" w:sz="0" w:space="0" w:color="auto"/>
                      </w:divBdr>
                    </w:div>
                    <w:div w:id="294150802">
                      <w:marLeft w:val="0"/>
                      <w:marRight w:val="0"/>
                      <w:marTop w:val="0"/>
                      <w:marBottom w:val="0"/>
                      <w:divBdr>
                        <w:top w:val="none" w:sz="0" w:space="0" w:color="auto"/>
                        <w:left w:val="none" w:sz="0" w:space="0" w:color="auto"/>
                        <w:bottom w:val="none" w:sz="0" w:space="0" w:color="auto"/>
                        <w:right w:val="none" w:sz="0" w:space="0" w:color="auto"/>
                      </w:divBdr>
                    </w:div>
                    <w:div w:id="294150843">
                      <w:marLeft w:val="0"/>
                      <w:marRight w:val="0"/>
                      <w:marTop w:val="0"/>
                      <w:marBottom w:val="0"/>
                      <w:divBdr>
                        <w:top w:val="none" w:sz="0" w:space="0" w:color="auto"/>
                        <w:left w:val="none" w:sz="0" w:space="0" w:color="auto"/>
                        <w:bottom w:val="none" w:sz="0" w:space="0" w:color="auto"/>
                        <w:right w:val="none" w:sz="0" w:space="0" w:color="auto"/>
                      </w:divBdr>
                      <w:divsChild>
                        <w:div w:id="294149125">
                          <w:marLeft w:val="0"/>
                          <w:marRight w:val="0"/>
                          <w:marTop w:val="0"/>
                          <w:marBottom w:val="0"/>
                          <w:divBdr>
                            <w:top w:val="none" w:sz="0" w:space="0" w:color="auto"/>
                            <w:left w:val="none" w:sz="0" w:space="0" w:color="auto"/>
                            <w:bottom w:val="none" w:sz="0" w:space="0" w:color="auto"/>
                            <w:right w:val="none" w:sz="0" w:space="0" w:color="auto"/>
                          </w:divBdr>
                        </w:div>
                      </w:divsChild>
                    </w:div>
                    <w:div w:id="294150867">
                      <w:marLeft w:val="0"/>
                      <w:marRight w:val="0"/>
                      <w:marTop w:val="0"/>
                      <w:marBottom w:val="0"/>
                      <w:divBdr>
                        <w:top w:val="none" w:sz="0" w:space="0" w:color="auto"/>
                        <w:left w:val="none" w:sz="0" w:space="0" w:color="auto"/>
                        <w:bottom w:val="none" w:sz="0" w:space="0" w:color="auto"/>
                        <w:right w:val="none" w:sz="0" w:space="0" w:color="auto"/>
                      </w:divBdr>
                      <w:divsChild>
                        <w:div w:id="294147973">
                          <w:marLeft w:val="0"/>
                          <w:marRight w:val="0"/>
                          <w:marTop w:val="0"/>
                          <w:marBottom w:val="0"/>
                          <w:divBdr>
                            <w:top w:val="none" w:sz="0" w:space="0" w:color="auto"/>
                            <w:left w:val="none" w:sz="0" w:space="0" w:color="auto"/>
                            <w:bottom w:val="none" w:sz="0" w:space="0" w:color="auto"/>
                            <w:right w:val="none" w:sz="0" w:space="0" w:color="auto"/>
                          </w:divBdr>
                        </w:div>
                      </w:divsChild>
                    </w:div>
                    <w:div w:id="294150887">
                      <w:marLeft w:val="0"/>
                      <w:marRight w:val="0"/>
                      <w:marTop w:val="0"/>
                      <w:marBottom w:val="0"/>
                      <w:divBdr>
                        <w:top w:val="none" w:sz="0" w:space="0" w:color="auto"/>
                        <w:left w:val="none" w:sz="0" w:space="0" w:color="auto"/>
                        <w:bottom w:val="none" w:sz="0" w:space="0" w:color="auto"/>
                        <w:right w:val="none" w:sz="0" w:space="0" w:color="auto"/>
                      </w:divBdr>
                    </w:div>
                    <w:div w:id="294150901">
                      <w:marLeft w:val="0"/>
                      <w:marRight w:val="0"/>
                      <w:marTop w:val="0"/>
                      <w:marBottom w:val="0"/>
                      <w:divBdr>
                        <w:top w:val="none" w:sz="0" w:space="0" w:color="auto"/>
                        <w:left w:val="none" w:sz="0" w:space="0" w:color="auto"/>
                        <w:bottom w:val="none" w:sz="0" w:space="0" w:color="auto"/>
                        <w:right w:val="none" w:sz="0" w:space="0" w:color="auto"/>
                      </w:divBdr>
                    </w:div>
                    <w:div w:id="294150999">
                      <w:marLeft w:val="0"/>
                      <w:marRight w:val="0"/>
                      <w:marTop w:val="0"/>
                      <w:marBottom w:val="0"/>
                      <w:divBdr>
                        <w:top w:val="none" w:sz="0" w:space="0" w:color="auto"/>
                        <w:left w:val="none" w:sz="0" w:space="0" w:color="auto"/>
                        <w:bottom w:val="none" w:sz="0" w:space="0" w:color="auto"/>
                        <w:right w:val="none" w:sz="0" w:space="0" w:color="auto"/>
                      </w:divBdr>
                    </w:div>
                    <w:div w:id="294151061">
                      <w:marLeft w:val="0"/>
                      <w:marRight w:val="0"/>
                      <w:marTop w:val="0"/>
                      <w:marBottom w:val="0"/>
                      <w:divBdr>
                        <w:top w:val="none" w:sz="0" w:space="0" w:color="auto"/>
                        <w:left w:val="none" w:sz="0" w:space="0" w:color="auto"/>
                        <w:bottom w:val="none" w:sz="0" w:space="0" w:color="auto"/>
                        <w:right w:val="none" w:sz="0" w:space="0" w:color="auto"/>
                      </w:divBdr>
                      <w:divsChild>
                        <w:div w:id="294152820">
                          <w:marLeft w:val="0"/>
                          <w:marRight w:val="0"/>
                          <w:marTop w:val="0"/>
                          <w:marBottom w:val="0"/>
                          <w:divBdr>
                            <w:top w:val="none" w:sz="0" w:space="0" w:color="auto"/>
                            <w:left w:val="none" w:sz="0" w:space="0" w:color="auto"/>
                            <w:bottom w:val="none" w:sz="0" w:space="0" w:color="auto"/>
                            <w:right w:val="none" w:sz="0" w:space="0" w:color="auto"/>
                          </w:divBdr>
                        </w:div>
                      </w:divsChild>
                    </w:div>
                    <w:div w:id="294151069">
                      <w:marLeft w:val="0"/>
                      <w:marRight w:val="0"/>
                      <w:marTop w:val="0"/>
                      <w:marBottom w:val="0"/>
                      <w:divBdr>
                        <w:top w:val="none" w:sz="0" w:space="0" w:color="auto"/>
                        <w:left w:val="none" w:sz="0" w:space="0" w:color="auto"/>
                        <w:bottom w:val="none" w:sz="0" w:space="0" w:color="auto"/>
                        <w:right w:val="none" w:sz="0" w:space="0" w:color="auto"/>
                      </w:divBdr>
                      <w:divsChild>
                        <w:div w:id="294151517">
                          <w:marLeft w:val="0"/>
                          <w:marRight w:val="0"/>
                          <w:marTop w:val="0"/>
                          <w:marBottom w:val="0"/>
                          <w:divBdr>
                            <w:top w:val="none" w:sz="0" w:space="0" w:color="auto"/>
                            <w:left w:val="none" w:sz="0" w:space="0" w:color="auto"/>
                            <w:bottom w:val="none" w:sz="0" w:space="0" w:color="auto"/>
                            <w:right w:val="none" w:sz="0" w:space="0" w:color="auto"/>
                          </w:divBdr>
                        </w:div>
                      </w:divsChild>
                    </w:div>
                    <w:div w:id="294151141">
                      <w:marLeft w:val="0"/>
                      <w:marRight w:val="0"/>
                      <w:marTop w:val="0"/>
                      <w:marBottom w:val="0"/>
                      <w:divBdr>
                        <w:top w:val="none" w:sz="0" w:space="0" w:color="auto"/>
                        <w:left w:val="none" w:sz="0" w:space="0" w:color="auto"/>
                        <w:bottom w:val="none" w:sz="0" w:space="0" w:color="auto"/>
                        <w:right w:val="none" w:sz="0" w:space="0" w:color="auto"/>
                      </w:divBdr>
                      <w:divsChild>
                        <w:div w:id="294140781">
                          <w:marLeft w:val="0"/>
                          <w:marRight w:val="0"/>
                          <w:marTop w:val="0"/>
                          <w:marBottom w:val="0"/>
                          <w:divBdr>
                            <w:top w:val="none" w:sz="0" w:space="0" w:color="auto"/>
                            <w:left w:val="none" w:sz="0" w:space="0" w:color="auto"/>
                            <w:bottom w:val="none" w:sz="0" w:space="0" w:color="auto"/>
                            <w:right w:val="none" w:sz="0" w:space="0" w:color="auto"/>
                          </w:divBdr>
                        </w:div>
                      </w:divsChild>
                    </w:div>
                    <w:div w:id="294151356">
                      <w:marLeft w:val="0"/>
                      <w:marRight w:val="0"/>
                      <w:marTop w:val="0"/>
                      <w:marBottom w:val="0"/>
                      <w:divBdr>
                        <w:top w:val="none" w:sz="0" w:space="0" w:color="auto"/>
                        <w:left w:val="none" w:sz="0" w:space="0" w:color="auto"/>
                        <w:bottom w:val="none" w:sz="0" w:space="0" w:color="auto"/>
                        <w:right w:val="none" w:sz="0" w:space="0" w:color="auto"/>
                      </w:divBdr>
                    </w:div>
                    <w:div w:id="294151403">
                      <w:marLeft w:val="0"/>
                      <w:marRight w:val="0"/>
                      <w:marTop w:val="0"/>
                      <w:marBottom w:val="0"/>
                      <w:divBdr>
                        <w:top w:val="none" w:sz="0" w:space="0" w:color="auto"/>
                        <w:left w:val="none" w:sz="0" w:space="0" w:color="auto"/>
                        <w:bottom w:val="none" w:sz="0" w:space="0" w:color="auto"/>
                        <w:right w:val="none" w:sz="0" w:space="0" w:color="auto"/>
                      </w:divBdr>
                    </w:div>
                    <w:div w:id="294151462">
                      <w:marLeft w:val="0"/>
                      <w:marRight w:val="0"/>
                      <w:marTop w:val="0"/>
                      <w:marBottom w:val="0"/>
                      <w:divBdr>
                        <w:top w:val="none" w:sz="0" w:space="0" w:color="auto"/>
                        <w:left w:val="none" w:sz="0" w:space="0" w:color="auto"/>
                        <w:bottom w:val="none" w:sz="0" w:space="0" w:color="auto"/>
                        <w:right w:val="none" w:sz="0" w:space="0" w:color="auto"/>
                      </w:divBdr>
                      <w:divsChild>
                        <w:div w:id="294155435">
                          <w:marLeft w:val="0"/>
                          <w:marRight w:val="0"/>
                          <w:marTop w:val="0"/>
                          <w:marBottom w:val="0"/>
                          <w:divBdr>
                            <w:top w:val="none" w:sz="0" w:space="0" w:color="auto"/>
                            <w:left w:val="none" w:sz="0" w:space="0" w:color="auto"/>
                            <w:bottom w:val="none" w:sz="0" w:space="0" w:color="auto"/>
                            <w:right w:val="none" w:sz="0" w:space="0" w:color="auto"/>
                          </w:divBdr>
                        </w:div>
                      </w:divsChild>
                    </w:div>
                    <w:div w:id="294151470">
                      <w:marLeft w:val="0"/>
                      <w:marRight w:val="0"/>
                      <w:marTop w:val="0"/>
                      <w:marBottom w:val="0"/>
                      <w:divBdr>
                        <w:top w:val="none" w:sz="0" w:space="0" w:color="auto"/>
                        <w:left w:val="none" w:sz="0" w:space="0" w:color="auto"/>
                        <w:bottom w:val="none" w:sz="0" w:space="0" w:color="auto"/>
                        <w:right w:val="none" w:sz="0" w:space="0" w:color="auto"/>
                      </w:divBdr>
                      <w:divsChild>
                        <w:div w:id="294150424">
                          <w:marLeft w:val="0"/>
                          <w:marRight w:val="0"/>
                          <w:marTop w:val="0"/>
                          <w:marBottom w:val="0"/>
                          <w:divBdr>
                            <w:top w:val="none" w:sz="0" w:space="0" w:color="auto"/>
                            <w:left w:val="none" w:sz="0" w:space="0" w:color="auto"/>
                            <w:bottom w:val="none" w:sz="0" w:space="0" w:color="auto"/>
                            <w:right w:val="none" w:sz="0" w:space="0" w:color="auto"/>
                          </w:divBdr>
                        </w:div>
                      </w:divsChild>
                    </w:div>
                    <w:div w:id="294151498">
                      <w:marLeft w:val="0"/>
                      <w:marRight w:val="0"/>
                      <w:marTop w:val="0"/>
                      <w:marBottom w:val="0"/>
                      <w:divBdr>
                        <w:top w:val="none" w:sz="0" w:space="0" w:color="auto"/>
                        <w:left w:val="none" w:sz="0" w:space="0" w:color="auto"/>
                        <w:bottom w:val="none" w:sz="0" w:space="0" w:color="auto"/>
                        <w:right w:val="none" w:sz="0" w:space="0" w:color="auto"/>
                      </w:divBdr>
                    </w:div>
                    <w:div w:id="294151669">
                      <w:marLeft w:val="0"/>
                      <w:marRight w:val="0"/>
                      <w:marTop w:val="0"/>
                      <w:marBottom w:val="0"/>
                      <w:divBdr>
                        <w:top w:val="none" w:sz="0" w:space="0" w:color="auto"/>
                        <w:left w:val="none" w:sz="0" w:space="0" w:color="auto"/>
                        <w:bottom w:val="none" w:sz="0" w:space="0" w:color="auto"/>
                        <w:right w:val="none" w:sz="0" w:space="0" w:color="auto"/>
                      </w:divBdr>
                    </w:div>
                    <w:div w:id="294151739">
                      <w:marLeft w:val="0"/>
                      <w:marRight w:val="0"/>
                      <w:marTop w:val="0"/>
                      <w:marBottom w:val="0"/>
                      <w:divBdr>
                        <w:top w:val="none" w:sz="0" w:space="0" w:color="auto"/>
                        <w:left w:val="none" w:sz="0" w:space="0" w:color="auto"/>
                        <w:bottom w:val="none" w:sz="0" w:space="0" w:color="auto"/>
                        <w:right w:val="none" w:sz="0" w:space="0" w:color="auto"/>
                      </w:divBdr>
                    </w:div>
                    <w:div w:id="294151768">
                      <w:marLeft w:val="0"/>
                      <w:marRight w:val="0"/>
                      <w:marTop w:val="0"/>
                      <w:marBottom w:val="0"/>
                      <w:divBdr>
                        <w:top w:val="none" w:sz="0" w:space="0" w:color="auto"/>
                        <w:left w:val="none" w:sz="0" w:space="0" w:color="auto"/>
                        <w:bottom w:val="none" w:sz="0" w:space="0" w:color="auto"/>
                        <w:right w:val="none" w:sz="0" w:space="0" w:color="auto"/>
                      </w:divBdr>
                      <w:divsChild>
                        <w:div w:id="294140600">
                          <w:marLeft w:val="0"/>
                          <w:marRight w:val="0"/>
                          <w:marTop w:val="0"/>
                          <w:marBottom w:val="0"/>
                          <w:divBdr>
                            <w:top w:val="none" w:sz="0" w:space="0" w:color="auto"/>
                            <w:left w:val="none" w:sz="0" w:space="0" w:color="auto"/>
                            <w:bottom w:val="none" w:sz="0" w:space="0" w:color="auto"/>
                            <w:right w:val="none" w:sz="0" w:space="0" w:color="auto"/>
                          </w:divBdr>
                        </w:div>
                      </w:divsChild>
                    </w:div>
                    <w:div w:id="294151790">
                      <w:marLeft w:val="0"/>
                      <w:marRight w:val="0"/>
                      <w:marTop w:val="0"/>
                      <w:marBottom w:val="0"/>
                      <w:divBdr>
                        <w:top w:val="none" w:sz="0" w:space="0" w:color="auto"/>
                        <w:left w:val="none" w:sz="0" w:space="0" w:color="auto"/>
                        <w:bottom w:val="none" w:sz="0" w:space="0" w:color="auto"/>
                        <w:right w:val="none" w:sz="0" w:space="0" w:color="auto"/>
                      </w:divBdr>
                    </w:div>
                    <w:div w:id="294151821">
                      <w:marLeft w:val="0"/>
                      <w:marRight w:val="0"/>
                      <w:marTop w:val="0"/>
                      <w:marBottom w:val="0"/>
                      <w:divBdr>
                        <w:top w:val="none" w:sz="0" w:space="0" w:color="auto"/>
                        <w:left w:val="none" w:sz="0" w:space="0" w:color="auto"/>
                        <w:bottom w:val="none" w:sz="0" w:space="0" w:color="auto"/>
                        <w:right w:val="none" w:sz="0" w:space="0" w:color="auto"/>
                      </w:divBdr>
                    </w:div>
                    <w:div w:id="294151841">
                      <w:marLeft w:val="0"/>
                      <w:marRight w:val="0"/>
                      <w:marTop w:val="0"/>
                      <w:marBottom w:val="0"/>
                      <w:divBdr>
                        <w:top w:val="none" w:sz="0" w:space="0" w:color="auto"/>
                        <w:left w:val="none" w:sz="0" w:space="0" w:color="auto"/>
                        <w:bottom w:val="none" w:sz="0" w:space="0" w:color="auto"/>
                        <w:right w:val="none" w:sz="0" w:space="0" w:color="auto"/>
                      </w:divBdr>
                    </w:div>
                    <w:div w:id="294151897">
                      <w:marLeft w:val="0"/>
                      <w:marRight w:val="0"/>
                      <w:marTop w:val="0"/>
                      <w:marBottom w:val="0"/>
                      <w:divBdr>
                        <w:top w:val="none" w:sz="0" w:space="0" w:color="auto"/>
                        <w:left w:val="none" w:sz="0" w:space="0" w:color="auto"/>
                        <w:bottom w:val="none" w:sz="0" w:space="0" w:color="auto"/>
                        <w:right w:val="none" w:sz="0" w:space="0" w:color="auto"/>
                      </w:divBdr>
                    </w:div>
                    <w:div w:id="294151942">
                      <w:marLeft w:val="0"/>
                      <w:marRight w:val="0"/>
                      <w:marTop w:val="0"/>
                      <w:marBottom w:val="0"/>
                      <w:divBdr>
                        <w:top w:val="none" w:sz="0" w:space="0" w:color="auto"/>
                        <w:left w:val="none" w:sz="0" w:space="0" w:color="auto"/>
                        <w:bottom w:val="none" w:sz="0" w:space="0" w:color="auto"/>
                        <w:right w:val="none" w:sz="0" w:space="0" w:color="auto"/>
                      </w:divBdr>
                      <w:divsChild>
                        <w:div w:id="294139882">
                          <w:marLeft w:val="0"/>
                          <w:marRight w:val="0"/>
                          <w:marTop w:val="0"/>
                          <w:marBottom w:val="0"/>
                          <w:divBdr>
                            <w:top w:val="none" w:sz="0" w:space="0" w:color="auto"/>
                            <w:left w:val="none" w:sz="0" w:space="0" w:color="auto"/>
                            <w:bottom w:val="none" w:sz="0" w:space="0" w:color="auto"/>
                            <w:right w:val="none" w:sz="0" w:space="0" w:color="auto"/>
                          </w:divBdr>
                        </w:div>
                      </w:divsChild>
                    </w:div>
                    <w:div w:id="294152077">
                      <w:marLeft w:val="0"/>
                      <w:marRight w:val="0"/>
                      <w:marTop w:val="0"/>
                      <w:marBottom w:val="0"/>
                      <w:divBdr>
                        <w:top w:val="none" w:sz="0" w:space="0" w:color="auto"/>
                        <w:left w:val="none" w:sz="0" w:space="0" w:color="auto"/>
                        <w:bottom w:val="none" w:sz="0" w:space="0" w:color="auto"/>
                        <w:right w:val="none" w:sz="0" w:space="0" w:color="auto"/>
                      </w:divBdr>
                      <w:divsChild>
                        <w:div w:id="294144698">
                          <w:marLeft w:val="0"/>
                          <w:marRight w:val="0"/>
                          <w:marTop w:val="0"/>
                          <w:marBottom w:val="0"/>
                          <w:divBdr>
                            <w:top w:val="none" w:sz="0" w:space="0" w:color="auto"/>
                            <w:left w:val="none" w:sz="0" w:space="0" w:color="auto"/>
                            <w:bottom w:val="none" w:sz="0" w:space="0" w:color="auto"/>
                            <w:right w:val="none" w:sz="0" w:space="0" w:color="auto"/>
                          </w:divBdr>
                        </w:div>
                      </w:divsChild>
                    </w:div>
                    <w:div w:id="294152081">
                      <w:marLeft w:val="0"/>
                      <w:marRight w:val="0"/>
                      <w:marTop w:val="0"/>
                      <w:marBottom w:val="0"/>
                      <w:divBdr>
                        <w:top w:val="none" w:sz="0" w:space="0" w:color="auto"/>
                        <w:left w:val="none" w:sz="0" w:space="0" w:color="auto"/>
                        <w:bottom w:val="none" w:sz="0" w:space="0" w:color="auto"/>
                        <w:right w:val="none" w:sz="0" w:space="0" w:color="auto"/>
                      </w:divBdr>
                      <w:divsChild>
                        <w:div w:id="294144608">
                          <w:marLeft w:val="0"/>
                          <w:marRight w:val="0"/>
                          <w:marTop w:val="0"/>
                          <w:marBottom w:val="0"/>
                          <w:divBdr>
                            <w:top w:val="none" w:sz="0" w:space="0" w:color="auto"/>
                            <w:left w:val="none" w:sz="0" w:space="0" w:color="auto"/>
                            <w:bottom w:val="none" w:sz="0" w:space="0" w:color="auto"/>
                            <w:right w:val="none" w:sz="0" w:space="0" w:color="auto"/>
                          </w:divBdr>
                        </w:div>
                      </w:divsChild>
                    </w:div>
                    <w:div w:id="294152109">
                      <w:marLeft w:val="0"/>
                      <w:marRight w:val="0"/>
                      <w:marTop w:val="0"/>
                      <w:marBottom w:val="0"/>
                      <w:divBdr>
                        <w:top w:val="none" w:sz="0" w:space="0" w:color="auto"/>
                        <w:left w:val="none" w:sz="0" w:space="0" w:color="auto"/>
                        <w:bottom w:val="none" w:sz="0" w:space="0" w:color="auto"/>
                        <w:right w:val="none" w:sz="0" w:space="0" w:color="auto"/>
                      </w:divBdr>
                    </w:div>
                    <w:div w:id="294152186">
                      <w:marLeft w:val="0"/>
                      <w:marRight w:val="0"/>
                      <w:marTop w:val="0"/>
                      <w:marBottom w:val="0"/>
                      <w:divBdr>
                        <w:top w:val="none" w:sz="0" w:space="0" w:color="auto"/>
                        <w:left w:val="none" w:sz="0" w:space="0" w:color="auto"/>
                        <w:bottom w:val="none" w:sz="0" w:space="0" w:color="auto"/>
                        <w:right w:val="none" w:sz="0" w:space="0" w:color="auto"/>
                      </w:divBdr>
                      <w:divsChild>
                        <w:div w:id="294140076">
                          <w:marLeft w:val="0"/>
                          <w:marRight w:val="0"/>
                          <w:marTop w:val="0"/>
                          <w:marBottom w:val="0"/>
                          <w:divBdr>
                            <w:top w:val="none" w:sz="0" w:space="0" w:color="auto"/>
                            <w:left w:val="none" w:sz="0" w:space="0" w:color="auto"/>
                            <w:bottom w:val="none" w:sz="0" w:space="0" w:color="auto"/>
                            <w:right w:val="none" w:sz="0" w:space="0" w:color="auto"/>
                          </w:divBdr>
                        </w:div>
                      </w:divsChild>
                    </w:div>
                    <w:div w:id="294152224">
                      <w:marLeft w:val="0"/>
                      <w:marRight w:val="0"/>
                      <w:marTop w:val="0"/>
                      <w:marBottom w:val="0"/>
                      <w:divBdr>
                        <w:top w:val="none" w:sz="0" w:space="0" w:color="auto"/>
                        <w:left w:val="none" w:sz="0" w:space="0" w:color="auto"/>
                        <w:bottom w:val="none" w:sz="0" w:space="0" w:color="auto"/>
                        <w:right w:val="none" w:sz="0" w:space="0" w:color="auto"/>
                      </w:divBdr>
                    </w:div>
                    <w:div w:id="294152243">
                      <w:marLeft w:val="0"/>
                      <w:marRight w:val="0"/>
                      <w:marTop w:val="0"/>
                      <w:marBottom w:val="0"/>
                      <w:divBdr>
                        <w:top w:val="none" w:sz="0" w:space="0" w:color="auto"/>
                        <w:left w:val="none" w:sz="0" w:space="0" w:color="auto"/>
                        <w:bottom w:val="none" w:sz="0" w:space="0" w:color="auto"/>
                        <w:right w:val="none" w:sz="0" w:space="0" w:color="auto"/>
                      </w:divBdr>
                      <w:divsChild>
                        <w:div w:id="294155338">
                          <w:marLeft w:val="0"/>
                          <w:marRight w:val="0"/>
                          <w:marTop w:val="0"/>
                          <w:marBottom w:val="0"/>
                          <w:divBdr>
                            <w:top w:val="none" w:sz="0" w:space="0" w:color="auto"/>
                            <w:left w:val="none" w:sz="0" w:space="0" w:color="auto"/>
                            <w:bottom w:val="none" w:sz="0" w:space="0" w:color="auto"/>
                            <w:right w:val="none" w:sz="0" w:space="0" w:color="auto"/>
                          </w:divBdr>
                        </w:div>
                      </w:divsChild>
                    </w:div>
                    <w:div w:id="294152473">
                      <w:marLeft w:val="0"/>
                      <w:marRight w:val="0"/>
                      <w:marTop w:val="0"/>
                      <w:marBottom w:val="0"/>
                      <w:divBdr>
                        <w:top w:val="none" w:sz="0" w:space="0" w:color="auto"/>
                        <w:left w:val="none" w:sz="0" w:space="0" w:color="auto"/>
                        <w:bottom w:val="none" w:sz="0" w:space="0" w:color="auto"/>
                        <w:right w:val="none" w:sz="0" w:space="0" w:color="auto"/>
                      </w:divBdr>
                    </w:div>
                    <w:div w:id="294152498">
                      <w:marLeft w:val="0"/>
                      <w:marRight w:val="0"/>
                      <w:marTop w:val="0"/>
                      <w:marBottom w:val="0"/>
                      <w:divBdr>
                        <w:top w:val="none" w:sz="0" w:space="0" w:color="auto"/>
                        <w:left w:val="none" w:sz="0" w:space="0" w:color="auto"/>
                        <w:bottom w:val="none" w:sz="0" w:space="0" w:color="auto"/>
                        <w:right w:val="none" w:sz="0" w:space="0" w:color="auto"/>
                      </w:divBdr>
                    </w:div>
                    <w:div w:id="294152504">
                      <w:marLeft w:val="0"/>
                      <w:marRight w:val="0"/>
                      <w:marTop w:val="0"/>
                      <w:marBottom w:val="0"/>
                      <w:divBdr>
                        <w:top w:val="none" w:sz="0" w:space="0" w:color="auto"/>
                        <w:left w:val="none" w:sz="0" w:space="0" w:color="auto"/>
                        <w:bottom w:val="none" w:sz="0" w:space="0" w:color="auto"/>
                        <w:right w:val="none" w:sz="0" w:space="0" w:color="auto"/>
                      </w:divBdr>
                    </w:div>
                    <w:div w:id="294152949">
                      <w:marLeft w:val="0"/>
                      <w:marRight w:val="0"/>
                      <w:marTop w:val="0"/>
                      <w:marBottom w:val="0"/>
                      <w:divBdr>
                        <w:top w:val="none" w:sz="0" w:space="0" w:color="auto"/>
                        <w:left w:val="none" w:sz="0" w:space="0" w:color="auto"/>
                        <w:bottom w:val="none" w:sz="0" w:space="0" w:color="auto"/>
                        <w:right w:val="none" w:sz="0" w:space="0" w:color="auto"/>
                      </w:divBdr>
                    </w:div>
                    <w:div w:id="294153005">
                      <w:marLeft w:val="0"/>
                      <w:marRight w:val="0"/>
                      <w:marTop w:val="0"/>
                      <w:marBottom w:val="0"/>
                      <w:divBdr>
                        <w:top w:val="none" w:sz="0" w:space="0" w:color="auto"/>
                        <w:left w:val="none" w:sz="0" w:space="0" w:color="auto"/>
                        <w:bottom w:val="none" w:sz="0" w:space="0" w:color="auto"/>
                        <w:right w:val="none" w:sz="0" w:space="0" w:color="auto"/>
                      </w:divBdr>
                      <w:divsChild>
                        <w:div w:id="294148865">
                          <w:marLeft w:val="0"/>
                          <w:marRight w:val="0"/>
                          <w:marTop w:val="0"/>
                          <w:marBottom w:val="0"/>
                          <w:divBdr>
                            <w:top w:val="none" w:sz="0" w:space="0" w:color="auto"/>
                            <w:left w:val="none" w:sz="0" w:space="0" w:color="auto"/>
                            <w:bottom w:val="none" w:sz="0" w:space="0" w:color="auto"/>
                            <w:right w:val="none" w:sz="0" w:space="0" w:color="auto"/>
                          </w:divBdr>
                        </w:div>
                      </w:divsChild>
                    </w:div>
                    <w:div w:id="294153025">
                      <w:marLeft w:val="0"/>
                      <w:marRight w:val="0"/>
                      <w:marTop w:val="0"/>
                      <w:marBottom w:val="0"/>
                      <w:divBdr>
                        <w:top w:val="none" w:sz="0" w:space="0" w:color="auto"/>
                        <w:left w:val="none" w:sz="0" w:space="0" w:color="auto"/>
                        <w:bottom w:val="none" w:sz="0" w:space="0" w:color="auto"/>
                        <w:right w:val="none" w:sz="0" w:space="0" w:color="auto"/>
                      </w:divBdr>
                    </w:div>
                    <w:div w:id="294153067">
                      <w:marLeft w:val="0"/>
                      <w:marRight w:val="0"/>
                      <w:marTop w:val="0"/>
                      <w:marBottom w:val="0"/>
                      <w:divBdr>
                        <w:top w:val="none" w:sz="0" w:space="0" w:color="auto"/>
                        <w:left w:val="none" w:sz="0" w:space="0" w:color="auto"/>
                        <w:bottom w:val="none" w:sz="0" w:space="0" w:color="auto"/>
                        <w:right w:val="none" w:sz="0" w:space="0" w:color="auto"/>
                      </w:divBdr>
                    </w:div>
                    <w:div w:id="294153135">
                      <w:marLeft w:val="0"/>
                      <w:marRight w:val="0"/>
                      <w:marTop w:val="0"/>
                      <w:marBottom w:val="0"/>
                      <w:divBdr>
                        <w:top w:val="none" w:sz="0" w:space="0" w:color="auto"/>
                        <w:left w:val="none" w:sz="0" w:space="0" w:color="auto"/>
                        <w:bottom w:val="none" w:sz="0" w:space="0" w:color="auto"/>
                        <w:right w:val="none" w:sz="0" w:space="0" w:color="auto"/>
                      </w:divBdr>
                      <w:divsChild>
                        <w:div w:id="294141914">
                          <w:marLeft w:val="0"/>
                          <w:marRight w:val="0"/>
                          <w:marTop w:val="0"/>
                          <w:marBottom w:val="0"/>
                          <w:divBdr>
                            <w:top w:val="none" w:sz="0" w:space="0" w:color="auto"/>
                            <w:left w:val="none" w:sz="0" w:space="0" w:color="auto"/>
                            <w:bottom w:val="none" w:sz="0" w:space="0" w:color="auto"/>
                            <w:right w:val="none" w:sz="0" w:space="0" w:color="auto"/>
                          </w:divBdr>
                        </w:div>
                      </w:divsChild>
                    </w:div>
                    <w:div w:id="294153151">
                      <w:marLeft w:val="0"/>
                      <w:marRight w:val="0"/>
                      <w:marTop w:val="0"/>
                      <w:marBottom w:val="0"/>
                      <w:divBdr>
                        <w:top w:val="none" w:sz="0" w:space="0" w:color="auto"/>
                        <w:left w:val="none" w:sz="0" w:space="0" w:color="auto"/>
                        <w:bottom w:val="none" w:sz="0" w:space="0" w:color="auto"/>
                        <w:right w:val="none" w:sz="0" w:space="0" w:color="auto"/>
                      </w:divBdr>
                    </w:div>
                    <w:div w:id="294153160">
                      <w:marLeft w:val="0"/>
                      <w:marRight w:val="0"/>
                      <w:marTop w:val="0"/>
                      <w:marBottom w:val="0"/>
                      <w:divBdr>
                        <w:top w:val="none" w:sz="0" w:space="0" w:color="auto"/>
                        <w:left w:val="none" w:sz="0" w:space="0" w:color="auto"/>
                        <w:bottom w:val="none" w:sz="0" w:space="0" w:color="auto"/>
                        <w:right w:val="none" w:sz="0" w:space="0" w:color="auto"/>
                      </w:divBdr>
                      <w:divsChild>
                        <w:div w:id="294151922">
                          <w:marLeft w:val="0"/>
                          <w:marRight w:val="0"/>
                          <w:marTop w:val="0"/>
                          <w:marBottom w:val="0"/>
                          <w:divBdr>
                            <w:top w:val="none" w:sz="0" w:space="0" w:color="auto"/>
                            <w:left w:val="none" w:sz="0" w:space="0" w:color="auto"/>
                            <w:bottom w:val="none" w:sz="0" w:space="0" w:color="auto"/>
                            <w:right w:val="none" w:sz="0" w:space="0" w:color="auto"/>
                          </w:divBdr>
                        </w:div>
                      </w:divsChild>
                    </w:div>
                    <w:div w:id="294153278">
                      <w:marLeft w:val="0"/>
                      <w:marRight w:val="0"/>
                      <w:marTop w:val="0"/>
                      <w:marBottom w:val="0"/>
                      <w:divBdr>
                        <w:top w:val="none" w:sz="0" w:space="0" w:color="auto"/>
                        <w:left w:val="none" w:sz="0" w:space="0" w:color="auto"/>
                        <w:bottom w:val="none" w:sz="0" w:space="0" w:color="auto"/>
                        <w:right w:val="none" w:sz="0" w:space="0" w:color="auto"/>
                      </w:divBdr>
                      <w:divsChild>
                        <w:div w:id="294150928">
                          <w:marLeft w:val="0"/>
                          <w:marRight w:val="0"/>
                          <w:marTop w:val="0"/>
                          <w:marBottom w:val="0"/>
                          <w:divBdr>
                            <w:top w:val="none" w:sz="0" w:space="0" w:color="auto"/>
                            <w:left w:val="none" w:sz="0" w:space="0" w:color="auto"/>
                            <w:bottom w:val="none" w:sz="0" w:space="0" w:color="auto"/>
                            <w:right w:val="none" w:sz="0" w:space="0" w:color="auto"/>
                          </w:divBdr>
                        </w:div>
                      </w:divsChild>
                    </w:div>
                    <w:div w:id="294153293">
                      <w:marLeft w:val="0"/>
                      <w:marRight w:val="0"/>
                      <w:marTop w:val="0"/>
                      <w:marBottom w:val="0"/>
                      <w:divBdr>
                        <w:top w:val="none" w:sz="0" w:space="0" w:color="auto"/>
                        <w:left w:val="none" w:sz="0" w:space="0" w:color="auto"/>
                        <w:bottom w:val="none" w:sz="0" w:space="0" w:color="auto"/>
                        <w:right w:val="none" w:sz="0" w:space="0" w:color="auto"/>
                      </w:divBdr>
                      <w:divsChild>
                        <w:div w:id="294142411">
                          <w:marLeft w:val="0"/>
                          <w:marRight w:val="0"/>
                          <w:marTop w:val="0"/>
                          <w:marBottom w:val="0"/>
                          <w:divBdr>
                            <w:top w:val="none" w:sz="0" w:space="0" w:color="auto"/>
                            <w:left w:val="none" w:sz="0" w:space="0" w:color="auto"/>
                            <w:bottom w:val="none" w:sz="0" w:space="0" w:color="auto"/>
                            <w:right w:val="none" w:sz="0" w:space="0" w:color="auto"/>
                          </w:divBdr>
                        </w:div>
                      </w:divsChild>
                    </w:div>
                    <w:div w:id="294153320">
                      <w:marLeft w:val="0"/>
                      <w:marRight w:val="0"/>
                      <w:marTop w:val="0"/>
                      <w:marBottom w:val="0"/>
                      <w:divBdr>
                        <w:top w:val="none" w:sz="0" w:space="0" w:color="auto"/>
                        <w:left w:val="none" w:sz="0" w:space="0" w:color="auto"/>
                        <w:bottom w:val="none" w:sz="0" w:space="0" w:color="auto"/>
                        <w:right w:val="none" w:sz="0" w:space="0" w:color="auto"/>
                      </w:divBdr>
                      <w:divsChild>
                        <w:div w:id="294155706">
                          <w:marLeft w:val="0"/>
                          <w:marRight w:val="0"/>
                          <w:marTop w:val="0"/>
                          <w:marBottom w:val="0"/>
                          <w:divBdr>
                            <w:top w:val="none" w:sz="0" w:space="0" w:color="auto"/>
                            <w:left w:val="none" w:sz="0" w:space="0" w:color="auto"/>
                            <w:bottom w:val="none" w:sz="0" w:space="0" w:color="auto"/>
                            <w:right w:val="none" w:sz="0" w:space="0" w:color="auto"/>
                          </w:divBdr>
                        </w:div>
                      </w:divsChild>
                    </w:div>
                    <w:div w:id="294153330">
                      <w:marLeft w:val="0"/>
                      <w:marRight w:val="0"/>
                      <w:marTop w:val="0"/>
                      <w:marBottom w:val="0"/>
                      <w:divBdr>
                        <w:top w:val="none" w:sz="0" w:space="0" w:color="auto"/>
                        <w:left w:val="none" w:sz="0" w:space="0" w:color="auto"/>
                        <w:bottom w:val="none" w:sz="0" w:space="0" w:color="auto"/>
                        <w:right w:val="none" w:sz="0" w:space="0" w:color="auto"/>
                      </w:divBdr>
                      <w:divsChild>
                        <w:div w:id="294145373">
                          <w:marLeft w:val="0"/>
                          <w:marRight w:val="0"/>
                          <w:marTop w:val="0"/>
                          <w:marBottom w:val="0"/>
                          <w:divBdr>
                            <w:top w:val="none" w:sz="0" w:space="0" w:color="auto"/>
                            <w:left w:val="none" w:sz="0" w:space="0" w:color="auto"/>
                            <w:bottom w:val="none" w:sz="0" w:space="0" w:color="auto"/>
                            <w:right w:val="none" w:sz="0" w:space="0" w:color="auto"/>
                          </w:divBdr>
                        </w:div>
                      </w:divsChild>
                    </w:div>
                    <w:div w:id="294153332">
                      <w:marLeft w:val="0"/>
                      <w:marRight w:val="0"/>
                      <w:marTop w:val="0"/>
                      <w:marBottom w:val="0"/>
                      <w:divBdr>
                        <w:top w:val="none" w:sz="0" w:space="0" w:color="auto"/>
                        <w:left w:val="none" w:sz="0" w:space="0" w:color="auto"/>
                        <w:bottom w:val="none" w:sz="0" w:space="0" w:color="auto"/>
                        <w:right w:val="none" w:sz="0" w:space="0" w:color="auto"/>
                      </w:divBdr>
                    </w:div>
                    <w:div w:id="294153363">
                      <w:marLeft w:val="0"/>
                      <w:marRight w:val="0"/>
                      <w:marTop w:val="0"/>
                      <w:marBottom w:val="0"/>
                      <w:divBdr>
                        <w:top w:val="none" w:sz="0" w:space="0" w:color="auto"/>
                        <w:left w:val="none" w:sz="0" w:space="0" w:color="auto"/>
                        <w:bottom w:val="none" w:sz="0" w:space="0" w:color="auto"/>
                        <w:right w:val="none" w:sz="0" w:space="0" w:color="auto"/>
                      </w:divBdr>
                    </w:div>
                    <w:div w:id="294153382">
                      <w:marLeft w:val="0"/>
                      <w:marRight w:val="0"/>
                      <w:marTop w:val="0"/>
                      <w:marBottom w:val="0"/>
                      <w:divBdr>
                        <w:top w:val="none" w:sz="0" w:space="0" w:color="auto"/>
                        <w:left w:val="none" w:sz="0" w:space="0" w:color="auto"/>
                        <w:bottom w:val="none" w:sz="0" w:space="0" w:color="auto"/>
                        <w:right w:val="none" w:sz="0" w:space="0" w:color="auto"/>
                      </w:divBdr>
                    </w:div>
                    <w:div w:id="294153459">
                      <w:marLeft w:val="0"/>
                      <w:marRight w:val="0"/>
                      <w:marTop w:val="0"/>
                      <w:marBottom w:val="0"/>
                      <w:divBdr>
                        <w:top w:val="none" w:sz="0" w:space="0" w:color="auto"/>
                        <w:left w:val="none" w:sz="0" w:space="0" w:color="auto"/>
                        <w:bottom w:val="none" w:sz="0" w:space="0" w:color="auto"/>
                        <w:right w:val="none" w:sz="0" w:space="0" w:color="auto"/>
                      </w:divBdr>
                      <w:divsChild>
                        <w:div w:id="294148678">
                          <w:marLeft w:val="0"/>
                          <w:marRight w:val="0"/>
                          <w:marTop w:val="0"/>
                          <w:marBottom w:val="0"/>
                          <w:divBdr>
                            <w:top w:val="none" w:sz="0" w:space="0" w:color="auto"/>
                            <w:left w:val="none" w:sz="0" w:space="0" w:color="auto"/>
                            <w:bottom w:val="none" w:sz="0" w:space="0" w:color="auto"/>
                            <w:right w:val="none" w:sz="0" w:space="0" w:color="auto"/>
                          </w:divBdr>
                        </w:div>
                      </w:divsChild>
                    </w:div>
                    <w:div w:id="294153483">
                      <w:marLeft w:val="0"/>
                      <w:marRight w:val="0"/>
                      <w:marTop w:val="0"/>
                      <w:marBottom w:val="0"/>
                      <w:divBdr>
                        <w:top w:val="none" w:sz="0" w:space="0" w:color="auto"/>
                        <w:left w:val="none" w:sz="0" w:space="0" w:color="auto"/>
                        <w:bottom w:val="none" w:sz="0" w:space="0" w:color="auto"/>
                        <w:right w:val="none" w:sz="0" w:space="0" w:color="auto"/>
                      </w:divBdr>
                    </w:div>
                    <w:div w:id="294153575">
                      <w:marLeft w:val="0"/>
                      <w:marRight w:val="0"/>
                      <w:marTop w:val="0"/>
                      <w:marBottom w:val="0"/>
                      <w:divBdr>
                        <w:top w:val="none" w:sz="0" w:space="0" w:color="auto"/>
                        <w:left w:val="none" w:sz="0" w:space="0" w:color="auto"/>
                        <w:bottom w:val="none" w:sz="0" w:space="0" w:color="auto"/>
                        <w:right w:val="none" w:sz="0" w:space="0" w:color="auto"/>
                      </w:divBdr>
                    </w:div>
                    <w:div w:id="294153583">
                      <w:marLeft w:val="0"/>
                      <w:marRight w:val="0"/>
                      <w:marTop w:val="0"/>
                      <w:marBottom w:val="0"/>
                      <w:divBdr>
                        <w:top w:val="none" w:sz="0" w:space="0" w:color="auto"/>
                        <w:left w:val="none" w:sz="0" w:space="0" w:color="auto"/>
                        <w:bottom w:val="none" w:sz="0" w:space="0" w:color="auto"/>
                        <w:right w:val="none" w:sz="0" w:space="0" w:color="auto"/>
                      </w:divBdr>
                    </w:div>
                    <w:div w:id="294153596">
                      <w:marLeft w:val="0"/>
                      <w:marRight w:val="0"/>
                      <w:marTop w:val="0"/>
                      <w:marBottom w:val="0"/>
                      <w:divBdr>
                        <w:top w:val="none" w:sz="0" w:space="0" w:color="auto"/>
                        <w:left w:val="none" w:sz="0" w:space="0" w:color="auto"/>
                        <w:bottom w:val="none" w:sz="0" w:space="0" w:color="auto"/>
                        <w:right w:val="none" w:sz="0" w:space="0" w:color="auto"/>
                      </w:divBdr>
                      <w:divsChild>
                        <w:div w:id="294150523">
                          <w:marLeft w:val="0"/>
                          <w:marRight w:val="0"/>
                          <w:marTop w:val="0"/>
                          <w:marBottom w:val="0"/>
                          <w:divBdr>
                            <w:top w:val="none" w:sz="0" w:space="0" w:color="auto"/>
                            <w:left w:val="none" w:sz="0" w:space="0" w:color="auto"/>
                            <w:bottom w:val="none" w:sz="0" w:space="0" w:color="auto"/>
                            <w:right w:val="none" w:sz="0" w:space="0" w:color="auto"/>
                          </w:divBdr>
                        </w:div>
                      </w:divsChild>
                    </w:div>
                    <w:div w:id="294153701">
                      <w:marLeft w:val="0"/>
                      <w:marRight w:val="0"/>
                      <w:marTop w:val="0"/>
                      <w:marBottom w:val="0"/>
                      <w:divBdr>
                        <w:top w:val="none" w:sz="0" w:space="0" w:color="auto"/>
                        <w:left w:val="none" w:sz="0" w:space="0" w:color="auto"/>
                        <w:bottom w:val="none" w:sz="0" w:space="0" w:color="auto"/>
                        <w:right w:val="none" w:sz="0" w:space="0" w:color="auto"/>
                      </w:divBdr>
                    </w:div>
                    <w:div w:id="294153958">
                      <w:marLeft w:val="0"/>
                      <w:marRight w:val="0"/>
                      <w:marTop w:val="0"/>
                      <w:marBottom w:val="0"/>
                      <w:divBdr>
                        <w:top w:val="none" w:sz="0" w:space="0" w:color="auto"/>
                        <w:left w:val="none" w:sz="0" w:space="0" w:color="auto"/>
                        <w:bottom w:val="none" w:sz="0" w:space="0" w:color="auto"/>
                        <w:right w:val="none" w:sz="0" w:space="0" w:color="auto"/>
                      </w:divBdr>
                    </w:div>
                    <w:div w:id="294154034">
                      <w:marLeft w:val="0"/>
                      <w:marRight w:val="0"/>
                      <w:marTop w:val="0"/>
                      <w:marBottom w:val="0"/>
                      <w:divBdr>
                        <w:top w:val="none" w:sz="0" w:space="0" w:color="auto"/>
                        <w:left w:val="none" w:sz="0" w:space="0" w:color="auto"/>
                        <w:bottom w:val="none" w:sz="0" w:space="0" w:color="auto"/>
                        <w:right w:val="none" w:sz="0" w:space="0" w:color="auto"/>
                      </w:divBdr>
                    </w:div>
                    <w:div w:id="294154089">
                      <w:marLeft w:val="0"/>
                      <w:marRight w:val="0"/>
                      <w:marTop w:val="0"/>
                      <w:marBottom w:val="0"/>
                      <w:divBdr>
                        <w:top w:val="none" w:sz="0" w:space="0" w:color="auto"/>
                        <w:left w:val="none" w:sz="0" w:space="0" w:color="auto"/>
                        <w:bottom w:val="none" w:sz="0" w:space="0" w:color="auto"/>
                        <w:right w:val="none" w:sz="0" w:space="0" w:color="auto"/>
                      </w:divBdr>
                    </w:div>
                    <w:div w:id="294154116">
                      <w:marLeft w:val="0"/>
                      <w:marRight w:val="0"/>
                      <w:marTop w:val="0"/>
                      <w:marBottom w:val="0"/>
                      <w:divBdr>
                        <w:top w:val="none" w:sz="0" w:space="0" w:color="auto"/>
                        <w:left w:val="none" w:sz="0" w:space="0" w:color="auto"/>
                        <w:bottom w:val="none" w:sz="0" w:space="0" w:color="auto"/>
                        <w:right w:val="none" w:sz="0" w:space="0" w:color="auto"/>
                      </w:divBdr>
                    </w:div>
                    <w:div w:id="294154198">
                      <w:marLeft w:val="0"/>
                      <w:marRight w:val="0"/>
                      <w:marTop w:val="0"/>
                      <w:marBottom w:val="0"/>
                      <w:divBdr>
                        <w:top w:val="none" w:sz="0" w:space="0" w:color="auto"/>
                        <w:left w:val="none" w:sz="0" w:space="0" w:color="auto"/>
                        <w:bottom w:val="none" w:sz="0" w:space="0" w:color="auto"/>
                        <w:right w:val="none" w:sz="0" w:space="0" w:color="auto"/>
                      </w:divBdr>
                    </w:div>
                    <w:div w:id="294154299">
                      <w:marLeft w:val="0"/>
                      <w:marRight w:val="0"/>
                      <w:marTop w:val="0"/>
                      <w:marBottom w:val="0"/>
                      <w:divBdr>
                        <w:top w:val="none" w:sz="0" w:space="0" w:color="auto"/>
                        <w:left w:val="none" w:sz="0" w:space="0" w:color="auto"/>
                        <w:bottom w:val="none" w:sz="0" w:space="0" w:color="auto"/>
                        <w:right w:val="none" w:sz="0" w:space="0" w:color="auto"/>
                      </w:divBdr>
                      <w:divsChild>
                        <w:div w:id="294143395">
                          <w:marLeft w:val="0"/>
                          <w:marRight w:val="0"/>
                          <w:marTop w:val="0"/>
                          <w:marBottom w:val="0"/>
                          <w:divBdr>
                            <w:top w:val="none" w:sz="0" w:space="0" w:color="auto"/>
                            <w:left w:val="none" w:sz="0" w:space="0" w:color="auto"/>
                            <w:bottom w:val="none" w:sz="0" w:space="0" w:color="auto"/>
                            <w:right w:val="none" w:sz="0" w:space="0" w:color="auto"/>
                          </w:divBdr>
                        </w:div>
                      </w:divsChild>
                    </w:div>
                    <w:div w:id="294154339">
                      <w:marLeft w:val="0"/>
                      <w:marRight w:val="0"/>
                      <w:marTop w:val="0"/>
                      <w:marBottom w:val="0"/>
                      <w:divBdr>
                        <w:top w:val="none" w:sz="0" w:space="0" w:color="auto"/>
                        <w:left w:val="none" w:sz="0" w:space="0" w:color="auto"/>
                        <w:bottom w:val="none" w:sz="0" w:space="0" w:color="auto"/>
                        <w:right w:val="none" w:sz="0" w:space="0" w:color="auto"/>
                      </w:divBdr>
                      <w:divsChild>
                        <w:div w:id="294152394">
                          <w:marLeft w:val="0"/>
                          <w:marRight w:val="0"/>
                          <w:marTop w:val="0"/>
                          <w:marBottom w:val="0"/>
                          <w:divBdr>
                            <w:top w:val="none" w:sz="0" w:space="0" w:color="auto"/>
                            <w:left w:val="none" w:sz="0" w:space="0" w:color="auto"/>
                            <w:bottom w:val="none" w:sz="0" w:space="0" w:color="auto"/>
                            <w:right w:val="none" w:sz="0" w:space="0" w:color="auto"/>
                          </w:divBdr>
                        </w:div>
                      </w:divsChild>
                    </w:div>
                    <w:div w:id="294154489">
                      <w:marLeft w:val="0"/>
                      <w:marRight w:val="0"/>
                      <w:marTop w:val="0"/>
                      <w:marBottom w:val="0"/>
                      <w:divBdr>
                        <w:top w:val="none" w:sz="0" w:space="0" w:color="auto"/>
                        <w:left w:val="none" w:sz="0" w:space="0" w:color="auto"/>
                        <w:bottom w:val="none" w:sz="0" w:space="0" w:color="auto"/>
                        <w:right w:val="none" w:sz="0" w:space="0" w:color="auto"/>
                      </w:divBdr>
                    </w:div>
                    <w:div w:id="294154540">
                      <w:marLeft w:val="0"/>
                      <w:marRight w:val="0"/>
                      <w:marTop w:val="0"/>
                      <w:marBottom w:val="0"/>
                      <w:divBdr>
                        <w:top w:val="none" w:sz="0" w:space="0" w:color="auto"/>
                        <w:left w:val="none" w:sz="0" w:space="0" w:color="auto"/>
                        <w:bottom w:val="none" w:sz="0" w:space="0" w:color="auto"/>
                        <w:right w:val="none" w:sz="0" w:space="0" w:color="auto"/>
                      </w:divBdr>
                      <w:divsChild>
                        <w:div w:id="294139246">
                          <w:marLeft w:val="0"/>
                          <w:marRight w:val="0"/>
                          <w:marTop w:val="0"/>
                          <w:marBottom w:val="0"/>
                          <w:divBdr>
                            <w:top w:val="none" w:sz="0" w:space="0" w:color="auto"/>
                            <w:left w:val="none" w:sz="0" w:space="0" w:color="auto"/>
                            <w:bottom w:val="none" w:sz="0" w:space="0" w:color="auto"/>
                            <w:right w:val="none" w:sz="0" w:space="0" w:color="auto"/>
                          </w:divBdr>
                        </w:div>
                      </w:divsChild>
                    </w:div>
                    <w:div w:id="294154585">
                      <w:marLeft w:val="0"/>
                      <w:marRight w:val="0"/>
                      <w:marTop w:val="0"/>
                      <w:marBottom w:val="0"/>
                      <w:divBdr>
                        <w:top w:val="none" w:sz="0" w:space="0" w:color="auto"/>
                        <w:left w:val="none" w:sz="0" w:space="0" w:color="auto"/>
                        <w:bottom w:val="none" w:sz="0" w:space="0" w:color="auto"/>
                        <w:right w:val="none" w:sz="0" w:space="0" w:color="auto"/>
                      </w:divBdr>
                    </w:div>
                    <w:div w:id="294154623">
                      <w:marLeft w:val="0"/>
                      <w:marRight w:val="0"/>
                      <w:marTop w:val="0"/>
                      <w:marBottom w:val="0"/>
                      <w:divBdr>
                        <w:top w:val="none" w:sz="0" w:space="0" w:color="auto"/>
                        <w:left w:val="none" w:sz="0" w:space="0" w:color="auto"/>
                        <w:bottom w:val="none" w:sz="0" w:space="0" w:color="auto"/>
                        <w:right w:val="none" w:sz="0" w:space="0" w:color="auto"/>
                      </w:divBdr>
                    </w:div>
                    <w:div w:id="294154664">
                      <w:marLeft w:val="0"/>
                      <w:marRight w:val="0"/>
                      <w:marTop w:val="0"/>
                      <w:marBottom w:val="0"/>
                      <w:divBdr>
                        <w:top w:val="none" w:sz="0" w:space="0" w:color="auto"/>
                        <w:left w:val="none" w:sz="0" w:space="0" w:color="auto"/>
                        <w:bottom w:val="none" w:sz="0" w:space="0" w:color="auto"/>
                        <w:right w:val="none" w:sz="0" w:space="0" w:color="auto"/>
                      </w:divBdr>
                    </w:div>
                    <w:div w:id="294154684">
                      <w:marLeft w:val="0"/>
                      <w:marRight w:val="0"/>
                      <w:marTop w:val="0"/>
                      <w:marBottom w:val="0"/>
                      <w:divBdr>
                        <w:top w:val="none" w:sz="0" w:space="0" w:color="auto"/>
                        <w:left w:val="none" w:sz="0" w:space="0" w:color="auto"/>
                        <w:bottom w:val="none" w:sz="0" w:space="0" w:color="auto"/>
                        <w:right w:val="none" w:sz="0" w:space="0" w:color="auto"/>
                      </w:divBdr>
                      <w:divsChild>
                        <w:div w:id="294140415">
                          <w:marLeft w:val="0"/>
                          <w:marRight w:val="0"/>
                          <w:marTop w:val="0"/>
                          <w:marBottom w:val="0"/>
                          <w:divBdr>
                            <w:top w:val="none" w:sz="0" w:space="0" w:color="auto"/>
                            <w:left w:val="none" w:sz="0" w:space="0" w:color="auto"/>
                            <w:bottom w:val="none" w:sz="0" w:space="0" w:color="auto"/>
                            <w:right w:val="none" w:sz="0" w:space="0" w:color="auto"/>
                          </w:divBdr>
                        </w:div>
                      </w:divsChild>
                    </w:div>
                    <w:div w:id="294154837">
                      <w:marLeft w:val="0"/>
                      <w:marRight w:val="0"/>
                      <w:marTop w:val="0"/>
                      <w:marBottom w:val="0"/>
                      <w:divBdr>
                        <w:top w:val="none" w:sz="0" w:space="0" w:color="auto"/>
                        <w:left w:val="none" w:sz="0" w:space="0" w:color="auto"/>
                        <w:bottom w:val="none" w:sz="0" w:space="0" w:color="auto"/>
                        <w:right w:val="none" w:sz="0" w:space="0" w:color="auto"/>
                      </w:divBdr>
                    </w:div>
                    <w:div w:id="294154879">
                      <w:marLeft w:val="0"/>
                      <w:marRight w:val="0"/>
                      <w:marTop w:val="0"/>
                      <w:marBottom w:val="0"/>
                      <w:divBdr>
                        <w:top w:val="none" w:sz="0" w:space="0" w:color="auto"/>
                        <w:left w:val="none" w:sz="0" w:space="0" w:color="auto"/>
                        <w:bottom w:val="none" w:sz="0" w:space="0" w:color="auto"/>
                        <w:right w:val="none" w:sz="0" w:space="0" w:color="auto"/>
                      </w:divBdr>
                      <w:divsChild>
                        <w:div w:id="294143171">
                          <w:marLeft w:val="0"/>
                          <w:marRight w:val="0"/>
                          <w:marTop w:val="0"/>
                          <w:marBottom w:val="0"/>
                          <w:divBdr>
                            <w:top w:val="none" w:sz="0" w:space="0" w:color="auto"/>
                            <w:left w:val="none" w:sz="0" w:space="0" w:color="auto"/>
                            <w:bottom w:val="none" w:sz="0" w:space="0" w:color="auto"/>
                            <w:right w:val="none" w:sz="0" w:space="0" w:color="auto"/>
                          </w:divBdr>
                        </w:div>
                      </w:divsChild>
                    </w:div>
                    <w:div w:id="294155009">
                      <w:marLeft w:val="0"/>
                      <w:marRight w:val="0"/>
                      <w:marTop w:val="0"/>
                      <w:marBottom w:val="0"/>
                      <w:divBdr>
                        <w:top w:val="none" w:sz="0" w:space="0" w:color="auto"/>
                        <w:left w:val="none" w:sz="0" w:space="0" w:color="auto"/>
                        <w:bottom w:val="none" w:sz="0" w:space="0" w:color="auto"/>
                        <w:right w:val="none" w:sz="0" w:space="0" w:color="auto"/>
                      </w:divBdr>
                      <w:divsChild>
                        <w:div w:id="294150182">
                          <w:marLeft w:val="0"/>
                          <w:marRight w:val="0"/>
                          <w:marTop w:val="0"/>
                          <w:marBottom w:val="0"/>
                          <w:divBdr>
                            <w:top w:val="none" w:sz="0" w:space="0" w:color="auto"/>
                            <w:left w:val="none" w:sz="0" w:space="0" w:color="auto"/>
                            <w:bottom w:val="none" w:sz="0" w:space="0" w:color="auto"/>
                            <w:right w:val="none" w:sz="0" w:space="0" w:color="auto"/>
                          </w:divBdr>
                        </w:div>
                      </w:divsChild>
                    </w:div>
                    <w:div w:id="294155025">
                      <w:marLeft w:val="0"/>
                      <w:marRight w:val="0"/>
                      <w:marTop w:val="0"/>
                      <w:marBottom w:val="0"/>
                      <w:divBdr>
                        <w:top w:val="none" w:sz="0" w:space="0" w:color="auto"/>
                        <w:left w:val="none" w:sz="0" w:space="0" w:color="auto"/>
                        <w:bottom w:val="none" w:sz="0" w:space="0" w:color="auto"/>
                        <w:right w:val="none" w:sz="0" w:space="0" w:color="auto"/>
                      </w:divBdr>
                      <w:divsChild>
                        <w:div w:id="294153339">
                          <w:marLeft w:val="0"/>
                          <w:marRight w:val="0"/>
                          <w:marTop w:val="0"/>
                          <w:marBottom w:val="0"/>
                          <w:divBdr>
                            <w:top w:val="none" w:sz="0" w:space="0" w:color="auto"/>
                            <w:left w:val="none" w:sz="0" w:space="0" w:color="auto"/>
                            <w:bottom w:val="none" w:sz="0" w:space="0" w:color="auto"/>
                            <w:right w:val="none" w:sz="0" w:space="0" w:color="auto"/>
                          </w:divBdr>
                        </w:div>
                      </w:divsChild>
                    </w:div>
                    <w:div w:id="294155058">
                      <w:marLeft w:val="0"/>
                      <w:marRight w:val="0"/>
                      <w:marTop w:val="0"/>
                      <w:marBottom w:val="0"/>
                      <w:divBdr>
                        <w:top w:val="none" w:sz="0" w:space="0" w:color="auto"/>
                        <w:left w:val="none" w:sz="0" w:space="0" w:color="auto"/>
                        <w:bottom w:val="none" w:sz="0" w:space="0" w:color="auto"/>
                        <w:right w:val="none" w:sz="0" w:space="0" w:color="auto"/>
                      </w:divBdr>
                    </w:div>
                    <w:div w:id="294155093">
                      <w:marLeft w:val="0"/>
                      <w:marRight w:val="0"/>
                      <w:marTop w:val="0"/>
                      <w:marBottom w:val="0"/>
                      <w:divBdr>
                        <w:top w:val="none" w:sz="0" w:space="0" w:color="auto"/>
                        <w:left w:val="none" w:sz="0" w:space="0" w:color="auto"/>
                        <w:bottom w:val="none" w:sz="0" w:space="0" w:color="auto"/>
                        <w:right w:val="none" w:sz="0" w:space="0" w:color="auto"/>
                      </w:divBdr>
                      <w:divsChild>
                        <w:div w:id="294148925">
                          <w:marLeft w:val="0"/>
                          <w:marRight w:val="0"/>
                          <w:marTop w:val="0"/>
                          <w:marBottom w:val="0"/>
                          <w:divBdr>
                            <w:top w:val="none" w:sz="0" w:space="0" w:color="auto"/>
                            <w:left w:val="none" w:sz="0" w:space="0" w:color="auto"/>
                            <w:bottom w:val="none" w:sz="0" w:space="0" w:color="auto"/>
                            <w:right w:val="none" w:sz="0" w:space="0" w:color="auto"/>
                          </w:divBdr>
                        </w:div>
                      </w:divsChild>
                    </w:div>
                    <w:div w:id="294155170">
                      <w:marLeft w:val="0"/>
                      <w:marRight w:val="0"/>
                      <w:marTop w:val="0"/>
                      <w:marBottom w:val="0"/>
                      <w:divBdr>
                        <w:top w:val="none" w:sz="0" w:space="0" w:color="auto"/>
                        <w:left w:val="none" w:sz="0" w:space="0" w:color="auto"/>
                        <w:bottom w:val="none" w:sz="0" w:space="0" w:color="auto"/>
                        <w:right w:val="none" w:sz="0" w:space="0" w:color="auto"/>
                      </w:divBdr>
                    </w:div>
                    <w:div w:id="294155268">
                      <w:marLeft w:val="0"/>
                      <w:marRight w:val="0"/>
                      <w:marTop w:val="0"/>
                      <w:marBottom w:val="0"/>
                      <w:divBdr>
                        <w:top w:val="none" w:sz="0" w:space="0" w:color="auto"/>
                        <w:left w:val="none" w:sz="0" w:space="0" w:color="auto"/>
                        <w:bottom w:val="none" w:sz="0" w:space="0" w:color="auto"/>
                        <w:right w:val="none" w:sz="0" w:space="0" w:color="auto"/>
                      </w:divBdr>
                      <w:divsChild>
                        <w:div w:id="294145580">
                          <w:marLeft w:val="0"/>
                          <w:marRight w:val="0"/>
                          <w:marTop w:val="0"/>
                          <w:marBottom w:val="0"/>
                          <w:divBdr>
                            <w:top w:val="none" w:sz="0" w:space="0" w:color="auto"/>
                            <w:left w:val="none" w:sz="0" w:space="0" w:color="auto"/>
                            <w:bottom w:val="none" w:sz="0" w:space="0" w:color="auto"/>
                            <w:right w:val="none" w:sz="0" w:space="0" w:color="auto"/>
                          </w:divBdr>
                        </w:div>
                      </w:divsChild>
                    </w:div>
                    <w:div w:id="294155285">
                      <w:marLeft w:val="0"/>
                      <w:marRight w:val="0"/>
                      <w:marTop w:val="0"/>
                      <w:marBottom w:val="0"/>
                      <w:divBdr>
                        <w:top w:val="none" w:sz="0" w:space="0" w:color="auto"/>
                        <w:left w:val="none" w:sz="0" w:space="0" w:color="auto"/>
                        <w:bottom w:val="none" w:sz="0" w:space="0" w:color="auto"/>
                        <w:right w:val="none" w:sz="0" w:space="0" w:color="auto"/>
                      </w:divBdr>
                    </w:div>
                    <w:div w:id="294155329">
                      <w:marLeft w:val="0"/>
                      <w:marRight w:val="0"/>
                      <w:marTop w:val="0"/>
                      <w:marBottom w:val="0"/>
                      <w:divBdr>
                        <w:top w:val="none" w:sz="0" w:space="0" w:color="auto"/>
                        <w:left w:val="none" w:sz="0" w:space="0" w:color="auto"/>
                        <w:bottom w:val="none" w:sz="0" w:space="0" w:color="auto"/>
                        <w:right w:val="none" w:sz="0" w:space="0" w:color="auto"/>
                      </w:divBdr>
                    </w:div>
                    <w:div w:id="294155393">
                      <w:marLeft w:val="0"/>
                      <w:marRight w:val="0"/>
                      <w:marTop w:val="0"/>
                      <w:marBottom w:val="0"/>
                      <w:divBdr>
                        <w:top w:val="none" w:sz="0" w:space="0" w:color="auto"/>
                        <w:left w:val="none" w:sz="0" w:space="0" w:color="auto"/>
                        <w:bottom w:val="none" w:sz="0" w:space="0" w:color="auto"/>
                        <w:right w:val="none" w:sz="0" w:space="0" w:color="auto"/>
                      </w:divBdr>
                    </w:div>
                    <w:div w:id="294155398">
                      <w:marLeft w:val="0"/>
                      <w:marRight w:val="0"/>
                      <w:marTop w:val="0"/>
                      <w:marBottom w:val="0"/>
                      <w:divBdr>
                        <w:top w:val="none" w:sz="0" w:space="0" w:color="auto"/>
                        <w:left w:val="none" w:sz="0" w:space="0" w:color="auto"/>
                        <w:bottom w:val="none" w:sz="0" w:space="0" w:color="auto"/>
                        <w:right w:val="none" w:sz="0" w:space="0" w:color="auto"/>
                      </w:divBdr>
                    </w:div>
                    <w:div w:id="294155475">
                      <w:marLeft w:val="0"/>
                      <w:marRight w:val="0"/>
                      <w:marTop w:val="0"/>
                      <w:marBottom w:val="0"/>
                      <w:divBdr>
                        <w:top w:val="none" w:sz="0" w:space="0" w:color="auto"/>
                        <w:left w:val="none" w:sz="0" w:space="0" w:color="auto"/>
                        <w:bottom w:val="none" w:sz="0" w:space="0" w:color="auto"/>
                        <w:right w:val="none" w:sz="0" w:space="0" w:color="auto"/>
                      </w:divBdr>
                      <w:divsChild>
                        <w:div w:id="294146036">
                          <w:marLeft w:val="0"/>
                          <w:marRight w:val="0"/>
                          <w:marTop w:val="0"/>
                          <w:marBottom w:val="0"/>
                          <w:divBdr>
                            <w:top w:val="none" w:sz="0" w:space="0" w:color="auto"/>
                            <w:left w:val="none" w:sz="0" w:space="0" w:color="auto"/>
                            <w:bottom w:val="none" w:sz="0" w:space="0" w:color="auto"/>
                            <w:right w:val="none" w:sz="0" w:space="0" w:color="auto"/>
                          </w:divBdr>
                        </w:div>
                      </w:divsChild>
                    </w:div>
                    <w:div w:id="294155749">
                      <w:marLeft w:val="0"/>
                      <w:marRight w:val="0"/>
                      <w:marTop w:val="0"/>
                      <w:marBottom w:val="0"/>
                      <w:divBdr>
                        <w:top w:val="none" w:sz="0" w:space="0" w:color="auto"/>
                        <w:left w:val="none" w:sz="0" w:space="0" w:color="auto"/>
                        <w:bottom w:val="none" w:sz="0" w:space="0" w:color="auto"/>
                        <w:right w:val="none" w:sz="0" w:space="0" w:color="auto"/>
                      </w:divBdr>
                      <w:divsChild>
                        <w:div w:id="294138342">
                          <w:marLeft w:val="0"/>
                          <w:marRight w:val="0"/>
                          <w:marTop w:val="0"/>
                          <w:marBottom w:val="0"/>
                          <w:divBdr>
                            <w:top w:val="none" w:sz="0" w:space="0" w:color="auto"/>
                            <w:left w:val="none" w:sz="0" w:space="0" w:color="auto"/>
                            <w:bottom w:val="none" w:sz="0" w:space="0" w:color="auto"/>
                            <w:right w:val="none" w:sz="0" w:space="0" w:color="auto"/>
                          </w:divBdr>
                        </w:div>
                      </w:divsChild>
                    </w:div>
                    <w:div w:id="294155926">
                      <w:marLeft w:val="0"/>
                      <w:marRight w:val="0"/>
                      <w:marTop w:val="0"/>
                      <w:marBottom w:val="0"/>
                      <w:divBdr>
                        <w:top w:val="none" w:sz="0" w:space="0" w:color="auto"/>
                        <w:left w:val="none" w:sz="0" w:space="0" w:color="auto"/>
                        <w:bottom w:val="none" w:sz="0" w:space="0" w:color="auto"/>
                        <w:right w:val="none" w:sz="0" w:space="0" w:color="auto"/>
                      </w:divBdr>
                    </w:div>
                    <w:div w:id="294155970">
                      <w:marLeft w:val="0"/>
                      <w:marRight w:val="0"/>
                      <w:marTop w:val="0"/>
                      <w:marBottom w:val="0"/>
                      <w:divBdr>
                        <w:top w:val="none" w:sz="0" w:space="0" w:color="auto"/>
                        <w:left w:val="none" w:sz="0" w:space="0" w:color="auto"/>
                        <w:bottom w:val="none" w:sz="0" w:space="0" w:color="auto"/>
                        <w:right w:val="none" w:sz="0" w:space="0" w:color="auto"/>
                      </w:divBdr>
                    </w:div>
                    <w:div w:id="294155990">
                      <w:marLeft w:val="0"/>
                      <w:marRight w:val="0"/>
                      <w:marTop w:val="0"/>
                      <w:marBottom w:val="0"/>
                      <w:divBdr>
                        <w:top w:val="none" w:sz="0" w:space="0" w:color="auto"/>
                        <w:left w:val="none" w:sz="0" w:space="0" w:color="auto"/>
                        <w:bottom w:val="none" w:sz="0" w:space="0" w:color="auto"/>
                        <w:right w:val="none" w:sz="0" w:space="0" w:color="auto"/>
                      </w:divBdr>
                      <w:divsChild>
                        <w:div w:id="294145924">
                          <w:marLeft w:val="0"/>
                          <w:marRight w:val="0"/>
                          <w:marTop w:val="0"/>
                          <w:marBottom w:val="0"/>
                          <w:divBdr>
                            <w:top w:val="none" w:sz="0" w:space="0" w:color="auto"/>
                            <w:left w:val="none" w:sz="0" w:space="0" w:color="auto"/>
                            <w:bottom w:val="none" w:sz="0" w:space="0" w:color="auto"/>
                            <w:right w:val="none" w:sz="0" w:space="0" w:color="auto"/>
                          </w:divBdr>
                        </w:div>
                      </w:divsChild>
                    </w:div>
                    <w:div w:id="294156030">
                      <w:marLeft w:val="0"/>
                      <w:marRight w:val="0"/>
                      <w:marTop w:val="0"/>
                      <w:marBottom w:val="0"/>
                      <w:divBdr>
                        <w:top w:val="none" w:sz="0" w:space="0" w:color="auto"/>
                        <w:left w:val="none" w:sz="0" w:space="0" w:color="auto"/>
                        <w:bottom w:val="none" w:sz="0" w:space="0" w:color="auto"/>
                        <w:right w:val="none" w:sz="0" w:space="0" w:color="auto"/>
                      </w:divBdr>
                    </w:div>
                    <w:div w:id="294156032">
                      <w:marLeft w:val="0"/>
                      <w:marRight w:val="0"/>
                      <w:marTop w:val="0"/>
                      <w:marBottom w:val="0"/>
                      <w:divBdr>
                        <w:top w:val="none" w:sz="0" w:space="0" w:color="auto"/>
                        <w:left w:val="none" w:sz="0" w:space="0" w:color="auto"/>
                        <w:bottom w:val="none" w:sz="0" w:space="0" w:color="auto"/>
                        <w:right w:val="none" w:sz="0" w:space="0" w:color="auto"/>
                      </w:divBdr>
                    </w:div>
                    <w:div w:id="294156271">
                      <w:marLeft w:val="0"/>
                      <w:marRight w:val="0"/>
                      <w:marTop w:val="0"/>
                      <w:marBottom w:val="0"/>
                      <w:divBdr>
                        <w:top w:val="none" w:sz="0" w:space="0" w:color="auto"/>
                        <w:left w:val="none" w:sz="0" w:space="0" w:color="auto"/>
                        <w:bottom w:val="none" w:sz="0" w:space="0" w:color="auto"/>
                        <w:right w:val="none" w:sz="0" w:space="0" w:color="auto"/>
                      </w:divBdr>
                      <w:divsChild>
                        <w:div w:id="294145673">
                          <w:marLeft w:val="0"/>
                          <w:marRight w:val="0"/>
                          <w:marTop w:val="0"/>
                          <w:marBottom w:val="0"/>
                          <w:divBdr>
                            <w:top w:val="none" w:sz="0" w:space="0" w:color="auto"/>
                            <w:left w:val="none" w:sz="0" w:space="0" w:color="auto"/>
                            <w:bottom w:val="none" w:sz="0" w:space="0" w:color="auto"/>
                            <w:right w:val="none" w:sz="0" w:space="0" w:color="auto"/>
                          </w:divBdr>
                        </w:div>
                      </w:divsChild>
                    </w:div>
                    <w:div w:id="294156350">
                      <w:marLeft w:val="0"/>
                      <w:marRight w:val="0"/>
                      <w:marTop w:val="0"/>
                      <w:marBottom w:val="0"/>
                      <w:divBdr>
                        <w:top w:val="none" w:sz="0" w:space="0" w:color="auto"/>
                        <w:left w:val="none" w:sz="0" w:space="0" w:color="auto"/>
                        <w:bottom w:val="none" w:sz="0" w:space="0" w:color="auto"/>
                        <w:right w:val="none" w:sz="0" w:space="0" w:color="auto"/>
                      </w:divBdr>
                      <w:divsChild>
                        <w:div w:id="294151242">
                          <w:marLeft w:val="0"/>
                          <w:marRight w:val="0"/>
                          <w:marTop w:val="0"/>
                          <w:marBottom w:val="0"/>
                          <w:divBdr>
                            <w:top w:val="none" w:sz="0" w:space="0" w:color="auto"/>
                            <w:left w:val="none" w:sz="0" w:space="0" w:color="auto"/>
                            <w:bottom w:val="none" w:sz="0" w:space="0" w:color="auto"/>
                            <w:right w:val="none" w:sz="0" w:space="0" w:color="auto"/>
                          </w:divBdr>
                        </w:div>
                      </w:divsChild>
                    </w:div>
                    <w:div w:id="294156494">
                      <w:marLeft w:val="0"/>
                      <w:marRight w:val="0"/>
                      <w:marTop w:val="0"/>
                      <w:marBottom w:val="0"/>
                      <w:divBdr>
                        <w:top w:val="none" w:sz="0" w:space="0" w:color="auto"/>
                        <w:left w:val="none" w:sz="0" w:space="0" w:color="auto"/>
                        <w:bottom w:val="none" w:sz="0" w:space="0" w:color="auto"/>
                        <w:right w:val="none" w:sz="0" w:space="0" w:color="auto"/>
                      </w:divBdr>
                      <w:divsChild>
                        <w:div w:id="294156633">
                          <w:marLeft w:val="0"/>
                          <w:marRight w:val="0"/>
                          <w:marTop w:val="0"/>
                          <w:marBottom w:val="0"/>
                          <w:divBdr>
                            <w:top w:val="none" w:sz="0" w:space="0" w:color="auto"/>
                            <w:left w:val="none" w:sz="0" w:space="0" w:color="auto"/>
                            <w:bottom w:val="none" w:sz="0" w:space="0" w:color="auto"/>
                            <w:right w:val="none" w:sz="0" w:space="0" w:color="auto"/>
                          </w:divBdr>
                        </w:div>
                      </w:divsChild>
                    </w:div>
                    <w:div w:id="294156501">
                      <w:marLeft w:val="0"/>
                      <w:marRight w:val="0"/>
                      <w:marTop w:val="0"/>
                      <w:marBottom w:val="0"/>
                      <w:divBdr>
                        <w:top w:val="none" w:sz="0" w:space="0" w:color="auto"/>
                        <w:left w:val="none" w:sz="0" w:space="0" w:color="auto"/>
                        <w:bottom w:val="none" w:sz="0" w:space="0" w:color="auto"/>
                        <w:right w:val="none" w:sz="0" w:space="0" w:color="auto"/>
                      </w:divBdr>
                      <w:divsChild>
                        <w:div w:id="294143081">
                          <w:marLeft w:val="0"/>
                          <w:marRight w:val="0"/>
                          <w:marTop w:val="0"/>
                          <w:marBottom w:val="0"/>
                          <w:divBdr>
                            <w:top w:val="none" w:sz="0" w:space="0" w:color="auto"/>
                            <w:left w:val="none" w:sz="0" w:space="0" w:color="auto"/>
                            <w:bottom w:val="none" w:sz="0" w:space="0" w:color="auto"/>
                            <w:right w:val="none" w:sz="0" w:space="0" w:color="auto"/>
                          </w:divBdr>
                        </w:div>
                      </w:divsChild>
                    </w:div>
                    <w:div w:id="294156584">
                      <w:marLeft w:val="0"/>
                      <w:marRight w:val="0"/>
                      <w:marTop w:val="0"/>
                      <w:marBottom w:val="0"/>
                      <w:divBdr>
                        <w:top w:val="none" w:sz="0" w:space="0" w:color="auto"/>
                        <w:left w:val="none" w:sz="0" w:space="0" w:color="auto"/>
                        <w:bottom w:val="none" w:sz="0" w:space="0" w:color="auto"/>
                        <w:right w:val="none" w:sz="0" w:space="0" w:color="auto"/>
                      </w:divBdr>
                    </w:div>
                    <w:div w:id="294156607">
                      <w:marLeft w:val="0"/>
                      <w:marRight w:val="0"/>
                      <w:marTop w:val="0"/>
                      <w:marBottom w:val="0"/>
                      <w:divBdr>
                        <w:top w:val="none" w:sz="0" w:space="0" w:color="auto"/>
                        <w:left w:val="none" w:sz="0" w:space="0" w:color="auto"/>
                        <w:bottom w:val="none" w:sz="0" w:space="0" w:color="auto"/>
                        <w:right w:val="none" w:sz="0" w:space="0" w:color="auto"/>
                      </w:divBdr>
                      <w:divsChild>
                        <w:div w:id="294143946">
                          <w:marLeft w:val="0"/>
                          <w:marRight w:val="0"/>
                          <w:marTop w:val="0"/>
                          <w:marBottom w:val="0"/>
                          <w:divBdr>
                            <w:top w:val="none" w:sz="0" w:space="0" w:color="auto"/>
                            <w:left w:val="none" w:sz="0" w:space="0" w:color="auto"/>
                            <w:bottom w:val="none" w:sz="0" w:space="0" w:color="auto"/>
                            <w:right w:val="none" w:sz="0" w:space="0" w:color="auto"/>
                          </w:divBdr>
                        </w:div>
                      </w:divsChild>
                    </w:div>
                    <w:div w:id="294156641">
                      <w:marLeft w:val="0"/>
                      <w:marRight w:val="0"/>
                      <w:marTop w:val="0"/>
                      <w:marBottom w:val="0"/>
                      <w:divBdr>
                        <w:top w:val="none" w:sz="0" w:space="0" w:color="auto"/>
                        <w:left w:val="none" w:sz="0" w:space="0" w:color="auto"/>
                        <w:bottom w:val="none" w:sz="0" w:space="0" w:color="auto"/>
                        <w:right w:val="none" w:sz="0" w:space="0" w:color="auto"/>
                      </w:divBdr>
                      <w:divsChild>
                        <w:div w:id="294157433">
                          <w:marLeft w:val="0"/>
                          <w:marRight w:val="0"/>
                          <w:marTop w:val="0"/>
                          <w:marBottom w:val="0"/>
                          <w:divBdr>
                            <w:top w:val="none" w:sz="0" w:space="0" w:color="auto"/>
                            <w:left w:val="none" w:sz="0" w:space="0" w:color="auto"/>
                            <w:bottom w:val="none" w:sz="0" w:space="0" w:color="auto"/>
                            <w:right w:val="none" w:sz="0" w:space="0" w:color="auto"/>
                          </w:divBdr>
                        </w:div>
                      </w:divsChild>
                    </w:div>
                    <w:div w:id="294156653">
                      <w:marLeft w:val="0"/>
                      <w:marRight w:val="0"/>
                      <w:marTop w:val="0"/>
                      <w:marBottom w:val="0"/>
                      <w:divBdr>
                        <w:top w:val="none" w:sz="0" w:space="0" w:color="auto"/>
                        <w:left w:val="none" w:sz="0" w:space="0" w:color="auto"/>
                        <w:bottom w:val="none" w:sz="0" w:space="0" w:color="auto"/>
                        <w:right w:val="none" w:sz="0" w:space="0" w:color="auto"/>
                      </w:divBdr>
                    </w:div>
                    <w:div w:id="294156668">
                      <w:marLeft w:val="0"/>
                      <w:marRight w:val="0"/>
                      <w:marTop w:val="0"/>
                      <w:marBottom w:val="0"/>
                      <w:divBdr>
                        <w:top w:val="none" w:sz="0" w:space="0" w:color="auto"/>
                        <w:left w:val="none" w:sz="0" w:space="0" w:color="auto"/>
                        <w:bottom w:val="none" w:sz="0" w:space="0" w:color="auto"/>
                        <w:right w:val="none" w:sz="0" w:space="0" w:color="auto"/>
                      </w:divBdr>
                    </w:div>
                    <w:div w:id="294156685">
                      <w:marLeft w:val="0"/>
                      <w:marRight w:val="0"/>
                      <w:marTop w:val="0"/>
                      <w:marBottom w:val="0"/>
                      <w:divBdr>
                        <w:top w:val="none" w:sz="0" w:space="0" w:color="auto"/>
                        <w:left w:val="none" w:sz="0" w:space="0" w:color="auto"/>
                        <w:bottom w:val="none" w:sz="0" w:space="0" w:color="auto"/>
                        <w:right w:val="none" w:sz="0" w:space="0" w:color="auto"/>
                      </w:divBdr>
                    </w:div>
                    <w:div w:id="294156691">
                      <w:marLeft w:val="0"/>
                      <w:marRight w:val="0"/>
                      <w:marTop w:val="0"/>
                      <w:marBottom w:val="0"/>
                      <w:divBdr>
                        <w:top w:val="none" w:sz="0" w:space="0" w:color="auto"/>
                        <w:left w:val="none" w:sz="0" w:space="0" w:color="auto"/>
                        <w:bottom w:val="none" w:sz="0" w:space="0" w:color="auto"/>
                        <w:right w:val="none" w:sz="0" w:space="0" w:color="auto"/>
                      </w:divBdr>
                      <w:divsChild>
                        <w:div w:id="294148968">
                          <w:marLeft w:val="0"/>
                          <w:marRight w:val="0"/>
                          <w:marTop w:val="0"/>
                          <w:marBottom w:val="0"/>
                          <w:divBdr>
                            <w:top w:val="none" w:sz="0" w:space="0" w:color="auto"/>
                            <w:left w:val="none" w:sz="0" w:space="0" w:color="auto"/>
                            <w:bottom w:val="none" w:sz="0" w:space="0" w:color="auto"/>
                            <w:right w:val="none" w:sz="0" w:space="0" w:color="auto"/>
                          </w:divBdr>
                        </w:div>
                      </w:divsChild>
                    </w:div>
                    <w:div w:id="294156752">
                      <w:marLeft w:val="0"/>
                      <w:marRight w:val="0"/>
                      <w:marTop w:val="0"/>
                      <w:marBottom w:val="0"/>
                      <w:divBdr>
                        <w:top w:val="none" w:sz="0" w:space="0" w:color="auto"/>
                        <w:left w:val="none" w:sz="0" w:space="0" w:color="auto"/>
                        <w:bottom w:val="none" w:sz="0" w:space="0" w:color="auto"/>
                        <w:right w:val="none" w:sz="0" w:space="0" w:color="auto"/>
                      </w:divBdr>
                      <w:divsChild>
                        <w:div w:id="294138022">
                          <w:marLeft w:val="0"/>
                          <w:marRight w:val="0"/>
                          <w:marTop w:val="0"/>
                          <w:marBottom w:val="0"/>
                          <w:divBdr>
                            <w:top w:val="none" w:sz="0" w:space="0" w:color="auto"/>
                            <w:left w:val="none" w:sz="0" w:space="0" w:color="auto"/>
                            <w:bottom w:val="none" w:sz="0" w:space="0" w:color="auto"/>
                            <w:right w:val="none" w:sz="0" w:space="0" w:color="auto"/>
                          </w:divBdr>
                        </w:div>
                      </w:divsChild>
                    </w:div>
                    <w:div w:id="294156760">
                      <w:marLeft w:val="0"/>
                      <w:marRight w:val="0"/>
                      <w:marTop w:val="0"/>
                      <w:marBottom w:val="0"/>
                      <w:divBdr>
                        <w:top w:val="none" w:sz="0" w:space="0" w:color="auto"/>
                        <w:left w:val="none" w:sz="0" w:space="0" w:color="auto"/>
                        <w:bottom w:val="none" w:sz="0" w:space="0" w:color="auto"/>
                        <w:right w:val="none" w:sz="0" w:space="0" w:color="auto"/>
                      </w:divBdr>
                      <w:divsChild>
                        <w:div w:id="294149409">
                          <w:marLeft w:val="0"/>
                          <w:marRight w:val="0"/>
                          <w:marTop w:val="0"/>
                          <w:marBottom w:val="0"/>
                          <w:divBdr>
                            <w:top w:val="none" w:sz="0" w:space="0" w:color="auto"/>
                            <w:left w:val="none" w:sz="0" w:space="0" w:color="auto"/>
                            <w:bottom w:val="none" w:sz="0" w:space="0" w:color="auto"/>
                            <w:right w:val="none" w:sz="0" w:space="0" w:color="auto"/>
                          </w:divBdr>
                        </w:div>
                      </w:divsChild>
                    </w:div>
                    <w:div w:id="294156837">
                      <w:marLeft w:val="0"/>
                      <w:marRight w:val="0"/>
                      <w:marTop w:val="0"/>
                      <w:marBottom w:val="0"/>
                      <w:divBdr>
                        <w:top w:val="none" w:sz="0" w:space="0" w:color="auto"/>
                        <w:left w:val="none" w:sz="0" w:space="0" w:color="auto"/>
                        <w:bottom w:val="none" w:sz="0" w:space="0" w:color="auto"/>
                        <w:right w:val="none" w:sz="0" w:space="0" w:color="auto"/>
                      </w:divBdr>
                    </w:div>
                    <w:div w:id="294156879">
                      <w:marLeft w:val="0"/>
                      <w:marRight w:val="0"/>
                      <w:marTop w:val="0"/>
                      <w:marBottom w:val="0"/>
                      <w:divBdr>
                        <w:top w:val="none" w:sz="0" w:space="0" w:color="auto"/>
                        <w:left w:val="none" w:sz="0" w:space="0" w:color="auto"/>
                        <w:bottom w:val="none" w:sz="0" w:space="0" w:color="auto"/>
                        <w:right w:val="none" w:sz="0" w:space="0" w:color="auto"/>
                      </w:divBdr>
                      <w:divsChild>
                        <w:div w:id="294141783">
                          <w:marLeft w:val="0"/>
                          <w:marRight w:val="0"/>
                          <w:marTop w:val="0"/>
                          <w:marBottom w:val="0"/>
                          <w:divBdr>
                            <w:top w:val="none" w:sz="0" w:space="0" w:color="auto"/>
                            <w:left w:val="none" w:sz="0" w:space="0" w:color="auto"/>
                            <w:bottom w:val="none" w:sz="0" w:space="0" w:color="auto"/>
                            <w:right w:val="none" w:sz="0" w:space="0" w:color="auto"/>
                          </w:divBdr>
                        </w:div>
                      </w:divsChild>
                    </w:div>
                    <w:div w:id="294156922">
                      <w:marLeft w:val="0"/>
                      <w:marRight w:val="0"/>
                      <w:marTop w:val="0"/>
                      <w:marBottom w:val="0"/>
                      <w:divBdr>
                        <w:top w:val="none" w:sz="0" w:space="0" w:color="auto"/>
                        <w:left w:val="none" w:sz="0" w:space="0" w:color="auto"/>
                        <w:bottom w:val="none" w:sz="0" w:space="0" w:color="auto"/>
                        <w:right w:val="none" w:sz="0" w:space="0" w:color="auto"/>
                      </w:divBdr>
                      <w:divsChild>
                        <w:div w:id="294139381">
                          <w:marLeft w:val="0"/>
                          <w:marRight w:val="0"/>
                          <w:marTop w:val="0"/>
                          <w:marBottom w:val="0"/>
                          <w:divBdr>
                            <w:top w:val="none" w:sz="0" w:space="0" w:color="auto"/>
                            <w:left w:val="none" w:sz="0" w:space="0" w:color="auto"/>
                            <w:bottom w:val="none" w:sz="0" w:space="0" w:color="auto"/>
                            <w:right w:val="none" w:sz="0" w:space="0" w:color="auto"/>
                          </w:divBdr>
                        </w:div>
                      </w:divsChild>
                    </w:div>
                    <w:div w:id="294156996">
                      <w:marLeft w:val="0"/>
                      <w:marRight w:val="0"/>
                      <w:marTop w:val="0"/>
                      <w:marBottom w:val="0"/>
                      <w:divBdr>
                        <w:top w:val="none" w:sz="0" w:space="0" w:color="auto"/>
                        <w:left w:val="none" w:sz="0" w:space="0" w:color="auto"/>
                        <w:bottom w:val="none" w:sz="0" w:space="0" w:color="auto"/>
                        <w:right w:val="none" w:sz="0" w:space="0" w:color="auto"/>
                      </w:divBdr>
                    </w:div>
                    <w:div w:id="294157028">
                      <w:marLeft w:val="0"/>
                      <w:marRight w:val="0"/>
                      <w:marTop w:val="0"/>
                      <w:marBottom w:val="0"/>
                      <w:divBdr>
                        <w:top w:val="none" w:sz="0" w:space="0" w:color="auto"/>
                        <w:left w:val="none" w:sz="0" w:space="0" w:color="auto"/>
                        <w:bottom w:val="none" w:sz="0" w:space="0" w:color="auto"/>
                        <w:right w:val="none" w:sz="0" w:space="0" w:color="auto"/>
                      </w:divBdr>
                    </w:div>
                    <w:div w:id="294157089">
                      <w:marLeft w:val="0"/>
                      <w:marRight w:val="0"/>
                      <w:marTop w:val="0"/>
                      <w:marBottom w:val="0"/>
                      <w:divBdr>
                        <w:top w:val="none" w:sz="0" w:space="0" w:color="auto"/>
                        <w:left w:val="none" w:sz="0" w:space="0" w:color="auto"/>
                        <w:bottom w:val="none" w:sz="0" w:space="0" w:color="auto"/>
                        <w:right w:val="none" w:sz="0" w:space="0" w:color="auto"/>
                      </w:divBdr>
                      <w:divsChild>
                        <w:div w:id="294141785">
                          <w:marLeft w:val="0"/>
                          <w:marRight w:val="0"/>
                          <w:marTop w:val="0"/>
                          <w:marBottom w:val="0"/>
                          <w:divBdr>
                            <w:top w:val="none" w:sz="0" w:space="0" w:color="auto"/>
                            <w:left w:val="none" w:sz="0" w:space="0" w:color="auto"/>
                            <w:bottom w:val="none" w:sz="0" w:space="0" w:color="auto"/>
                            <w:right w:val="none" w:sz="0" w:space="0" w:color="auto"/>
                          </w:divBdr>
                        </w:div>
                      </w:divsChild>
                    </w:div>
                    <w:div w:id="294157197">
                      <w:marLeft w:val="0"/>
                      <w:marRight w:val="0"/>
                      <w:marTop w:val="0"/>
                      <w:marBottom w:val="0"/>
                      <w:divBdr>
                        <w:top w:val="none" w:sz="0" w:space="0" w:color="auto"/>
                        <w:left w:val="none" w:sz="0" w:space="0" w:color="auto"/>
                        <w:bottom w:val="none" w:sz="0" w:space="0" w:color="auto"/>
                        <w:right w:val="none" w:sz="0" w:space="0" w:color="auto"/>
                      </w:divBdr>
                      <w:divsChild>
                        <w:div w:id="294141414">
                          <w:marLeft w:val="0"/>
                          <w:marRight w:val="0"/>
                          <w:marTop w:val="0"/>
                          <w:marBottom w:val="0"/>
                          <w:divBdr>
                            <w:top w:val="none" w:sz="0" w:space="0" w:color="auto"/>
                            <w:left w:val="none" w:sz="0" w:space="0" w:color="auto"/>
                            <w:bottom w:val="none" w:sz="0" w:space="0" w:color="auto"/>
                            <w:right w:val="none" w:sz="0" w:space="0" w:color="auto"/>
                          </w:divBdr>
                        </w:div>
                      </w:divsChild>
                    </w:div>
                    <w:div w:id="294157287">
                      <w:marLeft w:val="0"/>
                      <w:marRight w:val="0"/>
                      <w:marTop w:val="0"/>
                      <w:marBottom w:val="0"/>
                      <w:divBdr>
                        <w:top w:val="none" w:sz="0" w:space="0" w:color="auto"/>
                        <w:left w:val="none" w:sz="0" w:space="0" w:color="auto"/>
                        <w:bottom w:val="none" w:sz="0" w:space="0" w:color="auto"/>
                        <w:right w:val="none" w:sz="0" w:space="0" w:color="auto"/>
                      </w:divBdr>
                      <w:divsChild>
                        <w:div w:id="294156774">
                          <w:marLeft w:val="0"/>
                          <w:marRight w:val="0"/>
                          <w:marTop w:val="0"/>
                          <w:marBottom w:val="0"/>
                          <w:divBdr>
                            <w:top w:val="none" w:sz="0" w:space="0" w:color="auto"/>
                            <w:left w:val="none" w:sz="0" w:space="0" w:color="auto"/>
                            <w:bottom w:val="none" w:sz="0" w:space="0" w:color="auto"/>
                            <w:right w:val="none" w:sz="0" w:space="0" w:color="auto"/>
                          </w:divBdr>
                        </w:div>
                      </w:divsChild>
                    </w:div>
                    <w:div w:id="294157470">
                      <w:marLeft w:val="0"/>
                      <w:marRight w:val="0"/>
                      <w:marTop w:val="0"/>
                      <w:marBottom w:val="0"/>
                      <w:divBdr>
                        <w:top w:val="none" w:sz="0" w:space="0" w:color="auto"/>
                        <w:left w:val="none" w:sz="0" w:space="0" w:color="auto"/>
                        <w:bottom w:val="none" w:sz="0" w:space="0" w:color="auto"/>
                        <w:right w:val="none" w:sz="0" w:space="0" w:color="auto"/>
                      </w:divBdr>
                      <w:divsChild>
                        <w:div w:id="29415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149531">
      <w:marLeft w:val="0"/>
      <w:marRight w:val="0"/>
      <w:marTop w:val="0"/>
      <w:marBottom w:val="0"/>
      <w:divBdr>
        <w:top w:val="none" w:sz="0" w:space="0" w:color="auto"/>
        <w:left w:val="none" w:sz="0" w:space="0" w:color="auto"/>
        <w:bottom w:val="none" w:sz="0" w:space="0" w:color="auto"/>
        <w:right w:val="none" w:sz="0" w:space="0" w:color="auto"/>
      </w:divBdr>
    </w:div>
    <w:div w:id="294149555">
      <w:marLeft w:val="0"/>
      <w:marRight w:val="0"/>
      <w:marTop w:val="0"/>
      <w:marBottom w:val="0"/>
      <w:divBdr>
        <w:top w:val="none" w:sz="0" w:space="0" w:color="auto"/>
        <w:left w:val="none" w:sz="0" w:space="0" w:color="auto"/>
        <w:bottom w:val="none" w:sz="0" w:space="0" w:color="auto"/>
        <w:right w:val="none" w:sz="0" w:space="0" w:color="auto"/>
      </w:divBdr>
    </w:div>
    <w:div w:id="294149571">
      <w:marLeft w:val="0"/>
      <w:marRight w:val="0"/>
      <w:marTop w:val="0"/>
      <w:marBottom w:val="0"/>
      <w:divBdr>
        <w:top w:val="none" w:sz="0" w:space="0" w:color="auto"/>
        <w:left w:val="none" w:sz="0" w:space="0" w:color="auto"/>
        <w:bottom w:val="none" w:sz="0" w:space="0" w:color="auto"/>
        <w:right w:val="none" w:sz="0" w:space="0" w:color="auto"/>
      </w:divBdr>
      <w:divsChild>
        <w:div w:id="294148085">
          <w:marLeft w:val="0"/>
          <w:marRight w:val="0"/>
          <w:marTop w:val="0"/>
          <w:marBottom w:val="300"/>
          <w:divBdr>
            <w:top w:val="none" w:sz="0" w:space="0" w:color="auto"/>
            <w:left w:val="none" w:sz="0" w:space="0" w:color="auto"/>
            <w:bottom w:val="none" w:sz="0" w:space="0" w:color="auto"/>
            <w:right w:val="none" w:sz="0" w:space="0" w:color="auto"/>
          </w:divBdr>
        </w:div>
        <w:div w:id="294154048">
          <w:marLeft w:val="0"/>
          <w:marRight w:val="0"/>
          <w:marTop w:val="0"/>
          <w:marBottom w:val="0"/>
          <w:divBdr>
            <w:top w:val="none" w:sz="0" w:space="0" w:color="auto"/>
            <w:left w:val="none" w:sz="0" w:space="0" w:color="auto"/>
            <w:bottom w:val="none" w:sz="0" w:space="0" w:color="auto"/>
            <w:right w:val="none" w:sz="0" w:space="0" w:color="auto"/>
          </w:divBdr>
          <w:divsChild>
            <w:div w:id="294138483">
              <w:marLeft w:val="0"/>
              <w:marRight w:val="0"/>
              <w:marTop w:val="0"/>
              <w:marBottom w:val="0"/>
              <w:divBdr>
                <w:top w:val="none" w:sz="0" w:space="0" w:color="auto"/>
                <w:left w:val="none" w:sz="0" w:space="0" w:color="auto"/>
                <w:bottom w:val="none" w:sz="0" w:space="0" w:color="auto"/>
                <w:right w:val="none" w:sz="0" w:space="0" w:color="auto"/>
              </w:divBdr>
              <w:divsChild>
                <w:div w:id="294138304">
                  <w:marLeft w:val="0"/>
                  <w:marRight w:val="0"/>
                  <w:marTop w:val="0"/>
                  <w:marBottom w:val="0"/>
                  <w:divBdr>
                    <w:top w:val="none" w:sz="0" w:space="0" w:color="auto"/>
                    <w:left w:val="none" w:sz="0" w:space="0" w:color="auto"/>
                    <w:bottom w:val="none" w:sz="0" w:space="0" w:color="auto"/>
                    <w:right w:val="none" w:sz="0" w:space="0" w:color="auto"/>
                  </w:divBdr>
                </w:div>
                <w:div w:id="294138359">
                  <w:marLeft w:val="0"/>
                  <w:marRight w:val="0"/>
                  <w:marTop w:val="0"/>
                  <w:marBottom w:val="0"/>
                  <w:divBdr>
                    <w:top w:val="none" w:sz="0" w:space="0" w:color="auto"/>
                    <w:left w:val="none" w:sz="0" w:space="0" w:color="auto"/>
                    <w:bottom w:val="none" w:sz="0" w:space="0" w:color="auto"/>
                    <w:right w:val="none" w:sz="0" w:space="0" w:color="auto"/>
                  </w:divBdr>
                </w:div>
                <w:div w:id="294138420">
                  <w:marLeft w:val="0"/>
                  <w:marRight w:val="0"/>
                  <w:marTop w:val="0"/>
                  <w:marBottom w:val="0"/>
                  <w:divBdr>
                    <w:top w:val="none" w:sz="0" w:space="0" w:color="auto"/>
                    <w:left w:val="none" w:sz="0" w:space="0" w:color="auto"/>
                    <w:bottom w:val="none" w:sz="0" w:space="0" w:color="auto"/>
                    <w:right w:val="none" w:sz="0" w:space="0" w:color="auto"/>
                  </w:divBdr>
                </w:div>
                <w:div w:id="294138537">
                  <w:marLeft w:val="0"/>
                  <w:marRight w:val="0"/>
                  <w:marTop w:val="0"/>
                  <w:marBottom w:val="0"/>
                  <w:divBdr>
                    <w:top w:val="none" w:sz="0" w:space="0" w:color="auto"/>
                    <w:left w:val="none" w:sz="0" w:space="0" w:color="auto"/>
                    <w:bottom w:val="none" w:sz="0" w:space="0" w:color="auto"/>
                    <w:right w:val="none" w:sz="0" w:space="0" w:color="auto"/>
                  </w:divBdr>
                </w:div>
                <w:div w:id="294138615">
                  <w:marLeft w:val="0"/>
                  <w:marRight w:val="0"/>
                  <w:marTop w:val="0"/>
                  <w:marBottom w:val="0"/>
                  <w:divBdr>
                    <w:top w:val="none" w:sz="0" w:space="0" w:color="auto"/>
                    <w:left w:val="none" w:sz="0" w:space="0" w:color="auto"/>
                    <w:bottom w:val="none" w:sz="0" w:space="0" w:color="auto"/>
                    <w:right w:val="none" w:sz="0" w:space="0" w:color="auto"/>
                  </w:divBdr>
                </w:div>
                <w:div w:id="294138686">
                  <w:marLeft w:val="0"/>
                  <w:marRight w:val="0"/>
                  <w:marTop w:val="0"/>
                  <w:marBottom w:val="0"/>
                  <w:divBdr>
                    <w:top w:val="none" w:sz="0" w:space="0" w:color="auto"/>
                    <w:left w:val="none" w:sz="0" w:space="0" w:color="auto"/>
                    <w:bottom w:val="none" w:sz="0" w:space="0" w:color="auto"/>
                    <w:right w:val="none" w:sz="0" w:space="0" w:color="auto"/>
                  </w:divBdr>
                </w:div>
                <w:div w:id="294138851">
                  <w:marLeft w:val="0"/>
                  <w:marRight w:val="0"/>
                  <w:marTop w:val="0"/>
                  <w:marBottom w:val="0"/>
                  <w:divBdr>
                    <w:top w:val="none" w:sz="0" w:space="0" w:color="auto"/>
                    <w:left w:val="none" w:sz="0" w:space="0" w:color="auto"/>
                    <w:bottom w:val="none" w:sz="0" w:space="0" w:color="auto"/>
                    <w:right w:val="none" w:sz="0" w:space="0" w:color="auto"/>
                  </w:divBdr>
                </w:div>
                <w:div w:id="294139022">
                  <w:marLeft w:val="0"/>
                  <w:marRight w:val="0"/>
                  <w:marTop w:val="0"/>
                  <w:marBottom w:val="0"/>
                  <w:divBdr>
                    <w:top w:val="none" w:sz="0" w:space="0" w:color="auto"/>
                    <w:left w:val="none" w:sz="0" w:space="0" w:color="auto"/>
                    <w:bottom w:val="none" w:sz="0" w:space="0" w:color="auto"/>
                    <w:right w:val="none" w:sz="0" w:space="0" w:color="auto"/>
                  </w:divBdr>
                </w:div>
                <w:div w:id="294139794">
                  <w:marLeft w:val="0"/>
                  <w:marRight w:val="0"/>
                  <w:marTop w:val="0"/>
                  <w:marBottom w:val="0"/>
                  <w:divBdr>
                    <w:top w:val="none" w:sz="0" w:space="0" w:color="auto"/>
                    <w:left w:val="none" w:sz="0" w:space="0" w:color="auto"/>
                    <w:bottom w:val="none" w:sz="0" w:space="0" w:color="auto"/>
                    <w:right w:val="none" w:sz="0" w:space="0" w:color="auto"/>
                  </w:divBdr>
                </w:div>
                <w:div w:id="294139974">
                  <w:marLeft w:val="0"/>
                  <w:marRight w:val="0"/>
                  <w:marTop w:val="0"/>
                  <w:marBottom w:val="0"/>
                  <w:divBdr>
                    <w:top w:val="none" w:sz="0" w:space="0" w:color="auto"/>
                    <w:left w:val="none" w:sz="0" w:space="0" w:color="auto"/>
                    <w:bottom w:val="none" w:sz="0" w:space="0" w:color="auto"/>
                    <w:right w:val="none" w:sz="0" w:space="0" w:color="auto"/>
                  </w:divBdr>
                </w:div>
                <w:div w:id="294140328">
                  <w:marLeft w:val="0"/>
                  <w:marRight w:val="0"/>
                  <w:marTop w:val="0"/>
                  <w:marBottom w:val="0"/>
                  <w:divBdr>
                    <w:top w:val="none" w:sz="0" w:space="0" w:color="auto"/>
                    <w:left w:val="none" w:sz="0" w:space="0" w:color="auto"/>
                    <w:bottom w:val="none" w:sz="0" w:space="0" w:color="auto"/>
                    <w:right w:val="none" w:sz="0" w:space="0" w:color="auto"/>
                  </w:divBdr>
                </w:div>
                <w:div w:id="294140642">
                  <w:marLeft w:val="0"/>
                  <w:marRight w:val="0"/>
                  <w:marTop w:val="0"/>
                  <w:marBottom w:val="0"/>
                  <w:divBdr>
                    <w:top w:val="none" w:sz="0" w:space="0" w:color="auto"/>
                    <w:left w:val="none" w:sz="0" w:space="0" w:color="auto"/>
                    <w:bottom w:val="none" w:sz="0" w:space="0" w:color="auto"/>
                    <w:right w:val="none" w:sz="0" w:space="0" w:color="auto"/>
                  </w:divBdr>
                </w:div>
                <w:div w:id="294140650">
                  <w:marLeft w:val="0"/>
                  <w:marRight w:val="0"/>
                  <w:marTop w:val="0"/>
                  <w:marBottom w:val="0"/>
                  <w:divBdr>
                    <w:top w:val="none" w:sz="0" w:space="0" w:color="auto"/>
                    <w:left w:val="none" w:sz="0" w:space="0" w:color="auto"/>
                    <w:bottom w:val="none" w:sz="0" w:space="0" w:color="auto"/>
                    <w:right w:val="none" w:sz="0" w:space="0" w:color="auto"/>
                  </w:divBdr>
                </w:div>
                <w:div w:id="294140843">
                  <w:marLeft w:val="0"/>
                  <w:marRight w:val="0"/>
                  <w:marTop w:val="0"/>
                  <w:marBottom w:val="0"/>
                  <w:divBdr>
                    <w:top w:val="none" w:sz="0" w:space="0" w:color="auto"/>
                    <w:left w:val="none" w:sz="0" w:space="0" w:color="auto"/>
                    <w:bottom w:val="none" w:sz="0" w:space="0" w:color="auto"/>
                    <w:right w:val="none" w:sz="0" w:space="0" w:color="auto"/>
                  </w:divBdr>
                </w:div>
                <w:div w:id="294141418">
                  <w:marLeft w:val="0"/>
                  <w:marRight w:val="0"/>
                  <w:marTop w:val="0"/>
                  <w:marBottom w:val="0"/>
                  <w:divBdr>
                    <w:top w:val="none" w:sz="0" w:space="0" w:color="auto"/>
                    <w:left w:val="none" w:sz="0" w:space="0" w:color="auto"/>
                    <w:bottom w:val="none" w:sz="0" w:space="0" w:color="auto"/>
                    <w:right w:val="none" w:sz="0" w:space="0" w:color="auto"/>
                  </w:divBdr>
                </w:div>
                <w:div w:id="294141707">
                  <w:marLeft w:val="0"/>
                  <w:marRight w:val="0"/>
                  <w:marTop w:val="0"/>
                  <w:marBottom w:val="0"/>
                  <w:divBdr>
                    <w:top w:val="none" w:sz="0" w:space="0" w:color="auto"/>
                    <w:left w:val="none" w:sz="0" w:space="0" w:color="auto"/>
                    <w:bottom w:val="none" w:sz="0" w:space="0" w:color="auto"/>
                    <w:right w:val="none" w:sz="0" w:space="0" w:color="auto"/>
                  </w:divBdr>
                </w:div>
                <w:div w:id="294141807">
                  <w:marLeft w:val="0"/>
                  <w:marRight w:val="0"/>
                  <w:marTop w:val="0"/>
                  <w:marBottom w:val="0"/>
                  <w:divBdr>
                    <w:top w:val="none" w:sz="0" w:space="0" w:color="auto"/>
                    <w:left w:val="none" w:sz="0" w:space="0" w:color="auto"/>
                    <w:bottom w:val="none" w:sz="0" w:space="0" w:color="auto"/>
                    <w:right w:val="none" w:sz="0" w:space="0" w:color="auto"/>
                  </w:divBdr>
                </w:div>
                <w:div w:id="294142994">
                  <w:marLeft w:val="0"/>
                  <w:marRight w:val="0"/>
                  <w:marTop w:val="0"/>
                  <w:marBottom w:val="0"/>
                  <w:divBdr>
                    <w:top w:val="none" w:sz="0" w:space="0" w:color="auto"/>
                    <w:left w:val="none" w:sz="0" w:space="0" w:color="auto"/>
                    <w:bottom w:val="none" w:sz="0" w:space="0" w:color="auto"/>
                    <w:right w:val="none" w:sz="0" w:space="0" w:color="auto"/>
                  </w:divBdr>
                </w:div>
                <w:div w:id="294143097">
                  <w:marLeft w:val="0"/>
                  <w:marRight w:val="0"/>
                  <w:marTop w:val="0"/>
                  <w:marBottom w:val="0"/>
                  <w:divBdr>
                    <w:top w:val="none" w:sz="0" w:space="0" w:color="auto"/>
                    <w:left w:val="none" w:sz="0" w:space="0" w:color="auto"/>
                    <w:bottom w:val="none" w:sz="0" w:space="0" w:color="auto"/>
                    <w:right w:val="none" w:sz="0" w:space="0" w:color="auto"/>
                  </w:divBdr>
                </w:div>
                <w:div w:id="294143140">
                  <w:marLeft w:val="0"/>
                  <w:marRight w:val="0"/>
                  <w:marTop w:val="0"/>
                  <w:marBottom w:val="0"/>
                  <w:divBdr>
                    <w:top w:val="none" w:sz="0" w:space="0" w:color="auto"/>
                    <w:left w:val="none" w:sz="0" w:space="0" w:color="auto"/>
                    <w:bottom w:val="none" w:sz="0" w:space="0" w:color="auto"/>
                    <w:right w:val="none" w:sz="0" w:space="0" w:color="auto"/>
                  </w:divBdr>
                </w:div>
                <w:div w:id="294143339">
                  <w:marLeft w:val="0"/>
                  <w:marRight w:val="0"/>
                  <w:marTop w:val="0"/>
                  <w:marBottom w:val="0"/>
                  <w:divBdr>
                    <w:top w:val="none" w:sz="0" w:space="0" w:color="auto"/>
                    <w:left w:val="none" w:sz="0" w:space="0" w:color="auto"/>
                    <w:bottom w:val="none" w:sz="0" w:space="0" w:color="auto"/>
                    <w:right w:val="none" w:sz="0" w:space="0" w:color="auto"/>
                  </w:divBdr>
                </w:div>
                <w:div w:id="294143759">
                  <w:marLeft w:val="0"/>
                  <w:marRight w:val="0"/>
                  <w:marTop w:val="0"/>
                  <w:marBottom w:val="0"/>
                  <w:divBdr>
                    <w:top w:val="none" w:sz="0" w:space="0" w:color="auto"/>
                    <w:left w:val="none" w:sz="0" w:space="0" w:color="auto"/>
                    <w:bottom w:val="none" w:sz="0" w:space="0" w:color="auto"/>
                    <w:right w:val="none" w:sz="0" w:space="0" w:color="auto"/>
                  </w:divBdr>
                </w:div>
                <w:div w:id="294143801">
                  <w:marLeft w:val="0"/>
                  <w:marRight w:val="0"/>
                  <w:marTop w:val="0"/>
                  <w:marBottom w:val="0"/>
                  <w:divBdr>
                    <w:top w:val="none" w:sz="0" w:space="0" w:color="auto"/>
                    <w:left w:val="none" w:sz="0" w:space="0" w:color="auto"/>
                    <w:bottom w:val="none" w:sz="0" w:space="0" w:color="auto"/>
                    <w:right w:val="none" w:sz="0" w:space="0" w:color="auto"/>
                  </w:divBdr>
                </w:div>
                <w:div w:id="294143992">
                  <w:marLeft w:val="0"/>
                  <w:marRight w:val="0"/>
                  <w:marTop w:val="0"/>
                  <w:marBottom w:val="0"/>
                  <w:divBdr>
                    <w:top w:val="none" w:sz="0" w:space="0" w:color="auto"/>
                    <w:left w:val="none" w:sz="0" w:space="0" w:color="auto"/>
                    <w:bottom w:val="none" w:sz="0" w:space="0" w:color="auto"/>
                    <w:right w:val="none" w:sz="0" w:space="0" w:color="auto"/>
                  </w:divBdr>
                </w:div>
                <w:div w:id="294144171">
                  <w:marLeft w:val="0"/>
                  <w:marRight w:val="0"/>
                  <w:marTop w:val="0"/>
                  <w:marBottom w:val="0"/>
                  <w:divBdr>
                    <w:top w:val="none" w:sz="0" w:space="0" w:color="auto"/>
                    <w:left w:val="none" w:sz="0" w:space="0" w:color="auto"/>
                    <w:bottom w:val="none" w:sz="0" w:space="0" w:color="auto"/>
                    <w:right w:val="none" w:sz="0" w:space="0" w:color="auto"/>
                  </w:divBdr>
                </w:div>
                <w:div w:id="294144329">
                  <w:marLeft w:val="0"/>
                  <w:marRight w:val="0"/>
                  <w:marTop w:val="0"/>
                  <w:marBottom w:val="0"/>
                  <w:divBdr>
                    <w:top w:val="none" w:sz="0" w:space="0" w:color="auto"/>
                    <w:left w:val="none" w:sz="0" w:space="0" w:color="auto"/>
                    <w:bottom w:val="none" w:sz="0" w:space="0" w:color="auto"/>
                    <w:right w:val="none" w:sz="0" w:space="0" w:color="auto"/>
                  </w:divBdr>
                </w:div>
                <w:div w:id="294144576">
                  <w:marLeft w:val="0"/>
                  <w:marRight w:val="0"/>
                  <w:marTop w:val="0"/>
                  <w:marBottom w:val="0"/>
                  <w:divBdr>
                    <w:top w:val="none" w:sz="0" w:space="0" w:color="auto"/>
                    <w:left w:val="none" w:sz="0" w:space="0" w:color="auto"/>
                    <w:bottom w:val="none" w:sz="0" w:space="0" w:color="auto"/>
                    <w:right w:val="none" w:sz="0" w:space="0" w:color="auto"/>
                  </w:divBdr>
                </w:div>
                <w:div w:id="294144682">
                  <w:marLeft w:val="0"/>
                  <w:marRight w:val="0"/>
                  <w:marTop w:val="0"/>
                  <w:marBottom w:val="0"/>
                  <w:divBdr>
                    <w:top w:val="none" w:sz="0" w:space="0" w:color="auto"/>
                    <w:left w:val="none" w:sz="0" w:space="0" w:color="auto"/>
                    <w:bottom w:val="none" w:sz="0" w:space="0" w:color="auto"/>
                    <w:right w:val="none" w:sz="0" w:space="0" w:color="auto"/>
                  </w:divBdr>
                </w:div>
                <w:div w:id="294144747">
                  <w:marLeft w:val="0"/>
                  <w:marRight w:val="0"/>
                  <w:marTop w:val="0"/>
                  <w:marBottom w:val="0"/>
                  <w:divBdr>
                    <w:top w:val="none" w:sz="0" w:space="0" w:color="auto"/>
                    <w:left w:val="none" w:sz="0" w:space="0" w:color="auto"/>
                    <w:bottom w:val="none" w:sz="0" w:space="0" w:color="auto"/>
                    <w:right w:val="none" w:sz="0" w:space="0" w:color="auto"/>
                  </w:divBdr>
                </w:div>
                <w:div w:id="294145432">
                  <w:marLeft w:val="0"/>
                  <w:marRight w:val="0"/>
                  <w:marTop w:val="0"/>
                  <w:marBottom w:val="0"/>
                  <w:divBdr>
                    <w:top w:val="none" w:sz="0" w:space="0" w:color="auto"/>
                    <w:left w:val="none" w:sz="0" w:space="0" w:color="auto"/>
                    <w:bottom w:val="none" w:sz="0" w:space="0" w:color="auto"/>
                    <w:right w:val="none" w:sz="0" w:space="0" w:color="auto"/>
                  </w:divBdr>
                </w:div>
                <w:div w:id="294145542">
                  <w:marLeft w:val="0"/>
                  <w:marRight w:val="0"/>
                  <w:marTop w:val="0"/>
                  <w:marBottom w:val="0"/>
                  <w:divBdr>
                    <w:top w:val="none" w:sz="0" w:space="0" w:color="auto"/>
                    <w:left w:val="none" w:sz="0" w:space="0" w:color="auto"/>
                    <w:bottom w:val="none" w:sz="0" w:space="0" w:color="auto"/>
                    <w:right w:val="none" w:sz="0" w:space="0" w:color="auto"/>
                  </w:divBdr>
                </w:div>
                <w:div w:id="294145680">
                  <w:marLeft w:val="0"/>
                  <w:marRight w:val="0"/>
                  <w:marTop w:val="0"/>
                  <w:marBottom w:val="0"/>
                  <w:divBdr>
                    <w:top w:val="none" w:sz="0" w:space="0" w:color="auto"/>
                    <w:left w:val="none" w:sz="0" w:space="0" w:color="auto"/>
                    <w:bottom w:val="none" w:sz="0" w:space="0" w:color="auto"/>
                    <w:right w:val="none" w:sz="0" w:space="0" w:color="auto"/>
                  </w:divBdr>
                </w:div>
                <w:div w:id="294145770">
                  <w:marLeft w:val="0"/>
                  <w:marRight w:val="0"/>
                  <w:marTop w:val="0"/>
                  <w:marBottom w:val="0"/>
                  <w:divBdr>
                    <w:top w:val="none" w:sz="0" w:space="0" w:color="auto"/>
                    <w:left w:val="none" w:sz="0" w:space="0" w:color="auto"/>
                    <w:bottom w:val="none" w:sz="0" w:space="0" w:color="auto"/>
                    <w:right w:val="none" w:sz="0" w:space="0" w:color="auto"/>
                  </w:divBdr>
                </w:div>
                <w:div w:id="294145838">
                  <w:marLeft w:val="0"/>
                  <w:marRight w:val="0"/>
                  <w:marTop w:val="0"/>
                  <w:marBottom w:val="0"/>
                  <w:divBdr>
                    <w:top w:val="none" w:sz="0" w:space="0" w:color="auto"/>
                    <w:left w:val="none" w:sz="0" w:space="0" w:color="auto"/>
                    <w:bottom w:val="none" w:sz="0" w:space="0" w:color="auto"/>
                    <w:right w:val="none" w:sz="0" w:space="0" w:color="auto"/>
                  </w:divBdr>
                </w:div>
                <w:div w:id="294146012">
                  <w:marLeft w:val="0"/>
                  <w:marRight w:val="0"/>
                  <w:marTop w:val="0"/>
                  <w:marBottom w:val="0"/>
                  <w:divBdr>
                    <w:top w:val="none" w:sz="0" w:space="0" w:color="auto"/>
                    <w:left w:val="none" w:sz="0" w:space="0" w:color="auto"/>
                    <w:bottom w:val="none" w:sz="0" w:space="0" w:color="auto"/>
                    <w:right w:val="none" w:sz="0" w:space="0" w:color="auto"/>
                  </w:divBdr>
                </w:div>
                <w:div w:id="294146947">
                  <w:marLeft w:val="0"/>
                  <w:marRight w:val="0"/>
                  <w:marTop w:val="0"/>
                  <w:marBottom w:val="0"/>
                  <w:divBdr>
                    <w:top w:val="none" w:sz="0" w:space="0" w:color="auto"/>
                    <w:left w:val="none" w:sz="0" w:space="0" w:color="auto"/>
                    <w:bottom w:val="none" w:sz="0" w:space="0" w:color="auto"/>
                    <w:right w:val="none" w:sz="0" w:space="0" w:color="auto"/>
                  </w:divBdr>
                </w:div>
                <w:div w:id="294147128">
                  <w:marLeft w:val="0"/>
                  <w:marRight w:val="0"/>
                  <w:marTop w:val="0"/>
                  <w:marBottom w:val="0"/>
                  <w:divBdr>
                    <w:top w:val="none" w:sz="0" w:space="0" w:color="auto"/>
                    <w:left w:val="none" w:sz="0" w:space="0" w:color="auto"/>
                    <w:bottom w:val="none" w:sz="0" w:space="0" w:color="auto"/>
                    <w:right w:val="none" w:sz="0" w:space="0" w:color="auto"/>
                  </w:divBdr>
                </w:div>
                <w:div w:id="294147363">
                  <w:marLeft w:val="0"/>
                  <w:marRight w:val="0"/>
                  <w:marTop w:val="0"/>
                  <w:marBottom w:val="0"/>
                  <w:divBdr>
                    <w:top w:val="none" w:sz="0" w:space="0" w:color="auto"/>
                    <w:left w:val="none" w:sz="0" w:space="0" w:color="auto"/>
                    <w:bottom w:val="none" w:sz="0" w:space="0" w:color="auto"/>
                    <w:right w:val="none" w:sz="0" w:space="0" w:color="auto"/>
                  </w:divBdr>
                </w:div>
                <w:div w:id="294147509">
                  <w:marLeft w:val="0"/>
                  <w:marRight w:val="0"/>
                  <w:marTop w:val="0"/>
                  <w:marBottom w:val="0"/>
                  <w:divBdr>
                    <w:top w:val="none" w:sz="0" w:space="0" w:color="auto"/>
                    <w:left w:val="none" w:sz="0" w:space="0" w:color="auto"/>
                    <w:bottom w:val="none" w:sz="0" w:space="0" w:color="auto"/>
                    <w:right w:val="none" w:sz="0" w:space="0" w:color="auto"/>
                  </w:divBdr>
                </w:div>
                <w:div w:id="294147843">
                  <w:marLeft w:val="0"/>
                  <w:marRight w:val="0"/>
                  <w:marTop w:val="0"/>
                  <w:marBottom w:val="0"/>
                  <w:divBdr>
                    <w:top w:val="none" w:sz="0" w:space="0" w:color="auto"/>
                    <w:left w:val="none" w:sz="0" w:space="0" w:color="auto"/>
                    <w:bottom w:val="none" w:sz="0" w:space="0" w:color="auto"/>
                    <w:right w:val="none" w:sz="0" w:space="0" w:color="auto"/>
                  </w:divBdr>
                </w:div>
                <w:div w:id="294148115">
                  <w:marLeft w:val="0"/>
                  <w:marRight w:val="0"/>
                  <w:marTop w:val="0"/>
                  <w:marBottom w:val="0"/>
                  <w:divBdr>
                    <w:top w:val="none" w:sz="0" w:space="0" w:color="auto"/>
                    <w:left w:val="none" w:sz="0" w:space="0" w:color="auto"/>
                    <w:bottom w:val="none" w:sz="0" w:space="0" w:color="auto"/>
                    <w:right w:val="none" w:sz="0" w:space="0" w:color="auto"/>
                  </w:divBdr>
                </w:div>
                <w:div w:id="294149131">
                  <w:marLeft w:val="0"/>
                  <w:marRight w:val="0"/>
                  <w:marTop w:val="0"/>
                  <w:marBottom w:val="0"/>
                  <w:divBdr>
                    <w:top w:val="none" w:sz="0" w:space="0" w:color="auto"/>
                    <w:left w:val="none" w:sz="0" w:space="0" w:color="auto"/>
                    <w:bottom w:val="none" w:sz="0" w:space="0" w:color="auto"/>
                    <w:right w:val="none" w:sz="0" w:space="0" w:color="auto"/>
                  </w:divBdr>
                </w:div>
                <w:div w:id="294149220">
                  <w:marLeft w:val="0"/>
                  <w:marRight w:val="0"/>
                  <w:marTop w:val="0"/>
                  <w:marBottom w:val="0"/>
                  <w:divBdr>
                    <w:top w:val="none" w:sz="0" w:space="0" w:color="auto"/>
                    <w:left w:val="none" w:sz="0" w:space="0" w:color="auto"/>
                    <w:bottom w:val="none" w:sz="0" w:space="0" w:color="auto"/>
                    <w:right w:val="none" w:sz="0" w:space="0" w:color="auto"/>
                  </w:divBdr>
                </w:div>
                <w:div w:id="294149239">
                  <w:marLeft w:val="0"/>
                  <w:marRight w:val="0"/>
                  <w:marTop w:val="0"/>
                  <w:marBottom w:val="0"/>
                  <w:divBdr>
                    <w:top w:val="none" w:sz="0" w:space="0" w:color="auto"/>
                    <w:left w:val="none" w:sz="0" w:space="0" w:color="auto"/>
                    <w:bottom w:val="none" w:sz="0" w:space="0" w:color="auto"/>
                    <w:right w:val="none" w:sz="0" w:space="0" w:color="auto"/>
                  </w:divBdr>
                </w:div>
                <w:div w:id="294150092">
                  <w:marLeft w:val="0"/>
                  <w:marRight w:val="0"/>
                  <w:marTop w:val="0"/>
                  <w:marBottom w:val="0"/>
                  <w:divBdr>
                    <w:top w:val="none" w:sz="0" w:space="0" w:color="auto"/>
                    <w:left w:val="none" w:sz="0" w:space="0" w:color="auto"/>
                    <w:bottom w:val="none" w:sz="0" w:space="0" w:color="auto"/>
                    <w:right w:val="none" w:sz="0" w:space="0" w:color="auto"/>
                  </w:divBdr>
                </w:div>
                <w:div w:id="294150190">
                  <w:marLeft w:val="0"/>
                  <w:marRight w:val="0"/>
                  <w:marTop w:val="0"/>
                  <w:marBottom w:val="0"/>
                  <w:divBdr>
                    <w:top w:val="none" w:sz="0" w:space="0" w:color="auto"/>
                    <w:left w:val="none" w:sz="0" w:space="0" w:color="auto"/>
                    <w:bottom w:val="none" w:sz="0" w:space="0" w:color="auto"/>
                    <w:right w:val="none" w:sz="0" w:space="0" w:color="auto"/>
                  </w:divBdr>
                </w:div>
                <w:div w:id="294150306">
                  <w:marLeft w:val="0"/>
                  <w:marRight w:val="0"/>
                  <w:marTop w:val="0"/>
                  <w:marBottom w:val="0"/>
                  <w:divBdr>
                    <w:top w:val="none" w:sz="0" w:space="0" w:color="auto"/>
                    <w:left w:val="none" w:sz="0" w:space="0" w:color="auto"/>
                    <w:bottom w:val="none" w:sz="0" w:space="0" w:color="auto"/>
                    <w:right w:val="none" w:sz="0" w:space="0" w:color="auto"/>
                  </w:divBdr>
                </w:div>
                <w:div w:id="294150499">
                  <w:marLeft w:val="0"/>
                  <w:marRight w:val="0"/>
                  <w:marTop w:val="0"/>
                  <w:marBottom w:val="0"/>
                  <w:divBdr>
                    <w:top w:val="none" w:sz="0" w:space="0" w:color="auto"/>
                    <w:left w:val="none" w:sz="0" w:space="0" w:color="auto"/>
                    <w:bottom w:val="none" w:sz="0" w:space="0" w:color="auto"/>
                    <w:right w:val="none" w:sz="0" w:space="0" w:color="auto"/>
                  </w:divBdr>
                </w:div>
                <w:div w:id="294150777">
                  <w:marLeft w:val="0"/>
                  <w:marRight w:val="0"/>
                  <w:marTop w:val="0"/>
                  <w:marBottom w:val="0"/>
                  <w:divBdr>
                    <w:top w:val="none" w:sz="0" w:space="0" w:color="auto"/>
                    <w:left w:val="none" w:sz="0" w:space="0" w:color="auto"/>
                    <w:bottom w:val="none" w:sz="0" w:space="0" w:color="auto"/>
                    <w:right w:val="none" w:sz="0" w:space="0" w:color="auto"/>
                  </w:divBdr>
                </w:div>
                <w:div w:id="294150789">
                  <w:marLeft w:val="0"/>
                  <w:marRight w:val="0"/>
                  <w:marTop w:val="0"/>
                  <w:marBottom w:val="0"/>
                  <w:divBdr>
                    <w:top w:val="none" w:sz="0" w:space="0" w:color="auto"/>
                    <w:left w:val="none" w:sz="0" w:space="0" w:color="auto"/>
                    <w:bottom w:val="none" w:sz="0" w:space="0" w:color="auto"/>
                    <w:right w:val="none" w:sz="0" w:space="0" w:color="auto"/>
                  </w:divBdr>
                </w:div>
                <w:div w:id="294150794">
                  <w:marLeft w:val="0"/>
                  <w:marRight w:val="0"/>
                  <w:marTop w:val="0"/>
                  <w:marBottom w:val="0"/>
                  <w:divBdr>
                    <w:top w:val="none" w:sz="0" w:space="0" w:color="auto"/>
                    <w:left w:val="none" w:sz="0" w:space="0" w:color="auto"/>
                    <w:bottom w:val="none" w:sz="0" w:space="0" w:color="auto"/>
                    <w:right w:val="none" w:sz="0" w:space="0" w:color="auto"/>
                  </w:divBdr>
                </w:div>
                <w:div w:id="294150796">
                  <w:marLeft w:val="0"/>
                  <w:marRight w:val="0"/>
                  <w:marTop w:val="0"/>
                  <w:marBottom w:val="0"/>
                  <w:divBdr>
                    <w:top w:val="none" w:sz="0" w:space="0" w:color="auto"/>
                    <w:left w:val="none" w:sz="0" w:space="0" w:color="auto"/>
                    <w:bottom w:val="none" w:sz="0" w:space="0" w:color="auto"/>
                    <w:right w:val="none" w:sz="0" w:space="0" w:color="auto"/>
                  </w:divBdr>
                </w:div>
                <w:div w:id="294151322">
                  <w:marLeft w:val="0"/>
                  <w:marRight w:val="0"/>
                  <w:marTop w:val="0"/>
                  <w:marBottom w:val="0"/>
                  <w:divBdr>
                    <w:top w:val="none" w:sz="0" w:space="0" w:color="auto"/>
                    <w:left w:val="none" w:sz="0" w:space="0" w:color="auto"/>
                    <w:bottom w:val="none" w:sz="0" w:space="0" w:color="auto"/>
                    <w:right w:val="none" w:sz="0" w:space="0" w:color="auto"/>
                  </w:divBdr>
                </w:div>
                <w:div w:id="294151327">
                  <w:marLeft w:val="0"/>
                  <w:marRight w:val="0"/>
                  <w:marTop w:val="0"/>
                  <w:marBottom w:val="0"/>
                  <w:divBdr>
                    <w:top w:val="none" w:sz="0" w:space="0" w:color="auto"/>
                    <w:left w:val="none" w:sz="0" w:space="0" w:color="auto"/>
                    <w:bottom w:val="none" w:sz="0" w:space="0" w:color="auto"/>
                    <w:right w:val="none" w:sz="0" w:space="0" w:color="auto"/>
                  </w:divBdr>
                </w:div>
                <w:div w:id="294151527">
                  <w:marLeft w:val="0"/>
                  <w:marRight w:val="0"/>
                  <w:marTop w:val="0"/>
                  <w:marBottom w:val="0"/>
                  <w:divBdr>
                    <w:top w:val="none" w:sz="0" w:space="0" w:color="auto"/>
                    <w:left w:val="none" w:sz="0" w:space="0" w:color="auto"/>
                    <w:bottom w:val="none" w:sz="0" w:space="0" w:color="auto"/>
                    <w:right w:val="none" w:sz="0" w:space="0" w:color="auto"/>
                  </w:divBdr>
                </w:div>
                <w:div w:id="294151931">
                  <w:marLeft w:val="0"/>
                  <w:marRight w:val="0"/>
                  <w:marTop w:val="0"/>
                  <w:marBottom w:val="0"/>
                  <w:divBdr>
                    <w:top w:val="none" w:sz="0" w:space="0" w:color="auto"/>
                    <w:left w:val="none" w:sz="0" w:space="0" w:color="auto"/>
                    <w:bottom w:val="none" w:sz="0" w:space="0" w:color="auto"/>
                    <w:right w:val="none" w:sz="0" w:space="0" w:color="auto"/>
                  </w:divBdr>
                </w:div>
                <w:div w:id="294152242">
                  <w:marLeft w:val="0"/>
                  <w:marRight w:val="0"/>
                  <w:marTop w:val="0"/>
                  <w:marBottom w:val="0"/>
                  <w:divBdr>
                    <w:top w:val="none" w:sz="0" w:space="0" w:color="auto"/>
                    <w:left w:val="none" w:sz="0" w:space="0" w:color="auto"/>
                    <w:bottom w:val="none" w:sz="0" w:space="0" w:color="auto"/>
                    <w:right w:val="none" w:sz="0" w:space="0" w:color="auto"/>
                  </w:divBdr>
                </w:div>
                <w:div w:id="294152442">
                  <w:marLeft w:val="0"/>
                  <w:marRight w:val="0"/>
                  <w:marTop w:val="0"/>
                  <w:marBottom w:val="0"/>
                  <w:divBdr>
                    <w:top w:val="none" w:sz="0" w:space="0" w:color="auto"/>
                    <w:left w:val="none" w:sz="0" w:space="0" w:color="auto"/>
                    <w:bottom w:val="none" w:sz="0" w:space="0" w:color="auto"/>
                    <w:right w:val="none" w:sz="0" w:space="0" w:color="auto"/>
                  </w:divBdr>
                </w:div>
                <w:div w:id="294153362">
                  <w:marLeft w:val="0"/>
                  <w:marRight w:val="0"/>
                  <w:marTop w:val="0"/>
                  <w:marBottom w:val="0"/>
                  <w:divBdr>
                    <w:top w:val="none" w:sz="0" w:space="0" w:color="auto"/>
                    <w:left w:val="none" w:sz="0" w:space="0" w:color="auto"/>
                    <w:bottom w:val="none" w:sz="0" w:space="0" w:color="auto"/>
                    <w:right w:val="none" w:sz="0" w:space="0" w:color="auto"/>
                  </w:divBdr>
                </w:div>
                <w:div w:id="294153519">
                  <w:marLeft w:val="0"/>
                  <w:marRight w:val="0"/>
                  <w:marTop w:val="0"/>
                  <w:marBottom w:val="0"/>
                  <w:divBdr>
                    <w:top w:val="none" w:sz="0" w:space="0" w:color="auto"/>
                    <w:left w:val="none" w:sz="0" w:space="0" w:color="auto"/>
                    <w:bottom w:val="none" w:sz="0" w:space="0" w:color="auto"/>
                    <w:right w:val="none" w:sz="0" w:space="0" w:color="auto"/>
                  </w:divBdr>
                </w:div>
                <w:div w:id="294153716">
                  <w:marLeft w:val="0"/>
                  <w:marRight w:val="0"/>
                  <w:marTop w:val="0"/>
                  <w:marBottom w:val="0"/>
                  <w:divBdr>
                    <w:top w:val="none" w:sz="0" w:space="0" w:color="auto"/>
                    <w:left w:val="none" w:sz="0" w:space="0" w:color="auto"/>
                    <w:bottom w:val="none" w:sz="0" w:space="0" w:color="auto"/>
                    <w:right w:val="none" w:sz="0" w:space="0" w:color="auto"/>
                  </w:divBdr>
                </w:div>
                <w:div w:id="294153769">
                  <w:marLeft w:val="0"/>
                  <w:marRight w:val="0"/>
                  <w:marTop w:val="0"/>
                  <w:marBottom w:val="0"/>
                  <w:divBdr>
                    <w:top w:val="none" w:sz="0" w:space="0" w:color="auto"/>
                    <w:left w:val="none" w:sz="0" w:space="0" w:color="auto"/>
                    <w:bottom w:val="none" w:sz="0" w:space="0" w:color="auto"/>
                    <w:right w:val="none" w:sz="0" w:space="0" w:color="auto"/>
                  </w:divBdr>
                </w:div>
                <w:div w:id="294153803">
                  <w:marLeft w:val="0"/>
                  <w:marRight w:val="0"/>
                  <w:marTop w:val="0"/>
                  <w:marBottom w:val="0"/>
                  <w:divBdr>
                    <w:top w:val="none" w:sz="0" w:space="0" w:color="auto"/>
                    <w:left w:val="none" w:sz="0" w:space="0" w:color="auto"/>
                    <w:bottom w:val="none" w:sz="0" w:space="0" w:color="auto"/>
                    <w:right w:val="none" w:sz="0" w:space="0" w:color="auto"/>
                  </w:divBdr>
                </w:div>
                <w:div w:id="294154030">
                  <w:marLeft w:val="0"/>
                  <w:marRight w:val="0"/>
                  <w:marTop w:val="0"/>
                  <w:marBottom w:val="0"/>
                  <w:divBdr>
                    <w:top w:val="none" w:sz="0" w:space="0" w:color="auto"/>
                    <w:left w:val="none" w:sz="0" w:space="0" w:color="auto"/>
                    <w:bottom w:val="none" w:sz="0" w:space="0" w:color="auto"/>
                    <w:right w:val="none" w:sz="0" w:space="0" w:color="auto"/>
                  </w:divBdr>
                </w:div>
                <w:div w:id="294154348">
                  <w:marLeft w:val="0"/>
                  <w:marRight w:val="0"/>
                  <w:marTop w:val="0"/>
                  <w:marBottom w:val="0"/>
                  <w:divBdr>
                    <w:top w:val="none" w:sz="0" w:space="0" w:color="auto"/>
                    <w:left w:val="none" w:sz="0" w:space="0" w:color="auto"/>
                    <w:bottom w:val="none" w:sz="0" w:space="0" w:color="auto"/>
                    <w:right w:val="none" w:sz="0" w:space="0" w:color="auto"/>
                  </w:divBdr>
                </w:div>
                <w:div w:id="294154556">
                  <w:marLeft w:val="0"/>
                  <w:marRight w:val="0"/>
                  <w:marTop w:val="0"/>
                  <w:marBottom w:val="0"/>
                  <w:divBdr>
                    <w:top w:val="none" w:sz="0" w:space="0" w:color="auto"/>
                    <w:left w:val="none" w:sz="0" w:space="0" w:color="auto"/>
                    <w:bottom w:val="none" w:sz="0" w:space="0" w:color="auto"/>
                    <w:right w:val="none" w:sz="0" w:space="0" w:color="auto"/>
                  </w:divBdr>
                </w:div>
                <w:div w:id="294154594">
                  <w:marLeft w:val="0"/>
                  <w:marRight w:val="0"/>
                  <w:marTop w:val="0"/>
                  <w:marBottom w:val="0"/>
                  <w:divBdr>
                    <w:top w:val="none" w:sz="0" w:space="0" w:color="auto"/>
                    <w:left w:val="none" w:sz="0" w:space="0" w:color="auto"/>
                    <w:bottom w:val="none" w:sz="0" w:space="0" w:color="auto"/>
                    <w:right w:val="none" w:sz="0" w:space="0" w:color="auto"/>
                  </w:divBdr>
                </w:div>
                <w:div w:id="294154816">
                  <w:marLeft w:val="0"/>
                  <w:marRight w:val="0"/>
                  <w:marTop w:val="0"/>
                  <w:marBottom w:val="0"/>
                  <w:divBdr>
                    <w:top w:val="none" w:sz="0" w:space="0" w:color="auto"/>
                    <w:left w:val="none" w:sz="0" w:space="0" w:color="auto"/>
                    <w:bottom w:val="none" w:sz="0" w:space="0" w:color="auto"/>
                    <w:right w:val="none" w:sz="0" w:space="0" w:color="auto"/>
                  </w:divBdr>
                </w:div>
                <w:div w:id="294155336">
                  <w:marLeft w:val="0"/>
                  <w:marRight w:val="0"/>
                  <w:marTop w:val="0"/>
                  <w:marBottom w:val="0"/>
                  <w:divBdr>
                    <w:top w:val="none" w:sz="0" w:space="0" w:color="auto"/>
                    <w:left w:val="none" w:sz="0" w:space="0" w:color="auto"/>
                    <w:bottom w:val="none" w:sz="0" w:space="0" w:color="auto"/>
                    <w:right w:val="none" w:sz="0" w:space="0" w:color="auto"/>
                  </w:divBdr>
                </w:div>
                <w:div w:id="294155708">
                  <w:marLeft w:val="0"/>
                  <w:marRight w:val="0"/>
                  <w:marTop w:val="0"/>
                  <w:marBottom w:val="0"/>
                  <w:divBdr>
                    <w:top w:val="none" w:sz="0" w:space="0" w:color="auto"/>
                    <w:left w:val="none" w:sz="0" w:space="0" w:color="auto"/>
                    <w:bottom w:val="none" w:sz="0" w:space="0" w:color="auto"/>
                    <w:right w:val="none" w:sz="0" w:space="0" w:color="auto"/>
                  </w:divBdr>
                </w:div>
                <w:div w:id="294156040">
                  <w:marLeft w:val="0"/>
                  <w:marRight w:val="0"/>
                  <w:marTop w:val="0"/>
                  <w:marBottom w:val="0"/>
                  <w:divBdr>
                    <w:top w:val="none" w:sz="0" w:space="0" w:color="auto"/>
                    <w:left w:val="none" w:sz="0" w:space="0" w:color="auto"/>
                    <w:bottom w:val="none" w:sz="0" w:space="0" w:color="auto"/>
                    <w:right w:val="none" w:sz="0" w:space="0" w:color="auto"/>
                  </w:divBdr>
                </w:div>
                <w:div w:id="294156558">
                  <w:marLeft w:val="0"/>
                  <w:marRight w:val="0"/>
                  <w:marTop w:val="0"/>
                  <w:marBottom w:val="0"/>
                  <w:divBdr>
                    <w:top w:val="none" w:sz="0" w:space="0" w:color="auto"/>
                    <w:left w:val="none" w:sz="0" w:space="0" w:color="auto"/>
                    <w:bottom w:val="none" w:sz="0" w:space="0" w:color="auto"/>
                    <w:right w:val="none" w:sz="0" w:space="0" w:color="auto"/>
                  </w:divBdr>
                </w:div>
                <w:div w:id="294156627">
                  <w:marLeft w:val="0"/>
                  <w:marRight w:val="0"/>
                  <w:marTop w:val="0"/>
                  <w:marBottom w:val="0"/>
                  <w:divBdr>
                    <w:top w:val="none" w:sz="0" w:space="0" w:color="auto"/>
                    <w:left w:val="none" w:sz="0" w:space="0" w:color="auto"/>
                    <w:bottom w:val="none" w:sz="0" w:space="0" w:color="auto"/>
                    <w:right w:val="none" w:sz="0" w:space="0" w:color="auto"/>
                  </w:divBdr>
                </w:div>
                <w:div w:id="294156634">
                  <w:marLeft w:val="0"/>
                  <w:marRight w:val="0"/>
                  <w:marTop w:val="0"/>
                  <w:marBottom w:val="0"/>
                  <w:divBdr>
                    <w:top w:val="none" w:sz="0" w:space="0" w:color="auto"/>
                    <w:left w:val="none" w:sz="0" w:space="0" w:color="auto"/>
                    <w:bottom w:val="none" w:sz="0" w:space="0" w:color="auto"/>
                    <w:right w:val="none" w:sz="0" w:space="0" w:color="auto"/>
                  </w:divBdr>
                </w:div>
                <w:div w:id="2941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4935">
          <w:marLeft w:val="0"/>
          <w:marRight w:val="0"/>
          <w:marTop w:val="0"/>
          <w:marBottom w:val="0"/>
          <w:divBdr>
            <w:top w:val="none" w:sz="0" w:space="0" w:color="auto"/>
            <w:left w:val="none" w:sz="0" w:space="0" w:color="auto"/>
            <w:bottom w:val="none" w:sz="0" w:space="0" w:color="auto"/>
            <w:right w:val="none" w:sz="0" w:space="0" w:color="auto"/>
          </w:divBdr>
          <w:divsChild>
            <w:div w:id="294148820">
              <w:marLeft w:val="0"/>
              <w:marRight w:val="0"/>
              <w:marTop w:val="0"/>
              <w:marBottom w:val="0"/>
              <w:divBdr>
                <w:top w:val="none" w:sz="0" w:space="0" w:color="auto"/>
                <w:left w:val="none" w:sz="0" w:space="0" w:color="auto"/>
                <w:bottom w:val="none" w:sz="0" w:space="0" w:color="auto"/>
                <w:right w:val="none" w:sz="0" w:space="0" w:color="auto"/>
              </w:divBdr>
              <w:divsChild>
                <w:div w:id="294153926">
                  <w:marLeft w:val="0"/>
                  <w:marRight w:val="0"/>
                  <w:marTop w:val="0"/>
                  <w:marBottom w:val="0"/>
                  <w:divBdr>
                    <w:top w:val="none" w:sz="0" w:space="0" w:color="auto"/>
                    <w:left w:val="none" w:sz="0" w:space="0" w:color="auto"/>
                    <w:bottom w:val="none" w:sz="0" w:space="0" w:color="auto"/>
                    <w:right w:val="none" w:sz="0" w:space="0" w:color="auto"/>
                  </w:divBdr>
                  <w:divsChild>
                    <w:div w:id="294138632">
                      <w:marLeft w:val="0"/>
                      <w:marRight w:val="0"/>
                      <w:marTop w:val="0"/>
                      <w:marBottom w:val="0"/>
                      <w:divBdr>
                        <w:top w:val="none" w:sz="0" w:space="0" w:color="auto"/>
                        <w:left w:val="none" w:sz="0" w:space="0" w:color="auto"/>
                        <w:bottom w:val="none" w:sz="0" w:space="0" w:color="auto"/>
                        <w:right w:val="none" w:sz="0" w:space="0" w:color="auto"/>
                      </w:divBdr>
                      <w:divsChild>
                        <w:div w:id="294154037">
                          <w:marLeft w:val="0"/>
                          <w:marRight w:val="0"/>
                          <w:marTop w:val="0"/>
                          <w:marBottom w:val="0"/>
                          <w:divBdr>
                            <w:top w:val="none" w:sz="0" w:space="0" w:color="auto"/>
                            <w:left w:val="none" w:sz="0" w:space="0" w:color="auto"/>
                            <w:bottom w:val="none" w:sz="0" w:space="0" w:color="auto"/>
                            <w:right w:val="none" w:sz="0" w:space="0" w:color="auto"/>
                          </w:divBdr>
                        </w:div>
                      </w:divsChild>
                    </w:div>
                    <w:div w:id="294139646">
                      <w:marLeft w:val="0"/>
                      <w:marRight w:val="0"/>
                      <w:marTop w:val="0"/>
                      <w:marBottom w:val="0"/>
                      <w:divBdr>
                        <w:top w:val="none" w:sz="0" w:space="0" w:color="auto"/>
                        <w:left w:val="none" w:sz="0" w:space="0" w:color="auto"/>
                        <w:bottom w:val="none" w:sz="0" w:space="0" w:color="auto"/>
                        <w:right w:val="none" w:sz="0" w:space="0" w:color="auto"/>
                      </w:divBdr>
                    </w:div>
                    <w:div w:id="294139666">
                      <w:marLeft w:val="0"/>
                      <w:marRight w:val="0"/>
                      <w:marTop w:val="0"/>
                      <w:marBottom w:val="0"/>
                      <w:divBdr>
                        <w:top w:val="none" w:sz="0" w:space="0" w:color="auto"/>
                        <w:left w:val="none" w:sz="0" w:space="0" w:color="auto"/>
                        <w:bottom w:val="none" w:sz="0" w:space="0" w:color="auto"/>
                        <w:right w:val="none" w:sz="0" w:space="0" w:color="auto"/>
                      </w:divBdr>
                      <w:divsChild>
                        <w:div w:id="294149278">
                          <w:marLeft w:val="0"/>
                          <w:marRight w:val="0"/>
                          <w:marTop w:val="0"/>
                          <w:marBottom w:val="0"/>
                          <w:divBdr>
                            <w:top w:val="none" w:sz="0" w:space="0" w:color="auto"/>
                            <w:left w:val="none" w:sz="0" w:space="0" w:color="auto"/>
                            <w:bottom w:val="none" w:sz="0" w:space="0" w:color="auto"/>
                            <w:right w:val="none" w:sz="0" w:space="0" w:color="auto"/>
                          </w:divBdr>
                        </w:div>
                      </w:divsChild>
                    </w:div>
                    <w:div w:id="294140074">
                      <w:marLeft w:val="0"/>
                      <w:marRight w:val="0"/>
                      <w:marTop w:val="0"/>
                      <w:marBottom w:val="0"/>
                      <w:divBdr>
                        <w:top w:val="none" w:sz="0" w:space="0" w:color="auto"/>
                        <w:left w:val="none" w:sz="0" w:space="0" w:color="auto"/>
                        <w:bottom w:val="none" w:sz="0" w:space="0" w:color="auto"/>
                        <w:right w:val="none" w:sz="0" w:space="0" w:color="auto"/>
                      </w:divBdr>
                    </w:div>
                    <w:div w:id="294140223">
                      <w:marLeft w:val="0"/>
                      <w:marRight w:val="0"/>
                      <w:marTop w:val="0"/>
                      <w:marBottom w:val="0"/>
                      <w:divBdr>
                        <w:top w:val="none" w:sz="0" w:space="0" w:color="auto"/>
                        <w:left w:val="none" w:sz="0" w:space="0" w:color="auto"/>
                        <w:bottom w:val="none" w:sz="0" w:space="0" w:color="auto"/>
                        <w:right w:val="none" w:sz="0" w:space="0" w:color="auto"/>
                      </w:divBdr>
                    </w:div>
                    <w:div w:id="294140226">
                      <w:marLeft w:val="0"/>
                      <w:marRight w:val="0"/>
                      <w:marTop w:val="0"/>
                      <w:marBottom w:val="0"/>
                      <w:divBdr>
                        <w:top w:val="none" w:sz="0" w:space="0" w:color="auto"/>
                        <w:left w:val="none" w:sz="0" w:space="0" w:color="auto"/>
                        <w:bottom w:val="none" w:sz="0" w:space="0" w:color="auto"/>
                        <w:right w:val="none" w:sz="0" w:space="0" w:color="auto"/>
                      </w:divBdr>
                    </w:div>
                    <w:div w:id="294140325">
                      <w:marLeft w:val="0"/>
                      <w:marRight w:val="0"/>
                      <w:marTop w:val="0"/>
                      <w:marBottom w:val="0"/>
                      <w:divBdr>
                        <w:top w:val="none" w:sz="0" w:space="0" w:color="auto"/>
                        <w:left w:val="none" w:sz="0" w:space="0" w:color="auto"/>
                        <w:bottom w:val="none" w:sz="0" w:space="0" w:color="auto"/>
                        <w:right w:val="none" w:sz="0" w:space="0" w:color="auto"/>
                      </w:divBdr>
                    </w:div>
                    <w:div w:id="294140338">
                      <w:marLeft w:val="0"/>
                      <w:marRight w:val="0"/>
                      <w:marTop w:val="0"/>
                      <w:marBottom w:val="0"/>
                      <w:divBdr>
                        <w:top w:val="none" w:sz="0" w:space="0" w:color="auto"/>
                        <w:left w:val="none" w:sz="0" w:space="0" w:color="auto"/>
                        <w:bottom w:val="none" w:sz="0" w:space="0" w:color="auto"/>
                        <w:right w:val="none" w:sz="0" w:space="0" w:color="auto"/>
                      </w:divBdr>
                      <w:divsChild>
                        <w:div w:id="294154502">
                          <w:marLeft w:val="0"/>
                          <w:marRight w:val="0"/>
                          <w:marTop w:val="0"/>
                          <w:marBottom w:val="0"/>
                          <w:divBdr>
                            <w:top w:val="none" w:sz="0" w:space="0" w:color="auto"/>
                            <w:left w:val="none" w:sz="0" w:space="0" w:color="auto"/>
                            <w:bottom w:val="none" w:sz="0" w:space="0" w:color="auto"/>
                            <w:right w:val="none" w:sz="0" w:space="0" w:color="auto"/>
                          </w:divBdr>
                        </w:div>
                      </w:divsChild>
                    </w:div>
                    <w:div w:id="294140384">
                      <w:marLeft w:val="0"/>
                      <w:marRight w:val="0"/>
                      <w:marTop w:val="0"/>
                      <w:marBottom w:val="0"/>
                      <w:divBdr>
                        <w:top w:val="none" w:sz="0" w:space="0" w:color="auto"/>
                        <w:left w:val="none" w:sz="0" w:space="0" w:color="auto"/>
                        <w:bottom w:val="none" w:sz="0" w:space="0" w:color="auto"/>
                        <w:right w:val="none" w:sz="0" w:space="0" w:color="auto"/>
                      </w:divBdr>
                      <w:divsChild>
                        <w:div w:id="294152323">
                          <w:marLeft w:val="0"/>
                          <w:marRight w:val="0"/>
                          <w:marTop w:val="0"/>
                          <w:marBottom w:val="0"/>
                          <w:divBdr>
                            <w:top w:val="none" w:sz="0" w:space="0" w:color="auto"/>
                            <w:left w:val="none" w:sz="0" w:space="0" w:color="auto"/>
                            <w:bottom w:val="none" w:sz="0" w:space="0" w:color="auto"/>
                            <w:right w:val="none" w:sz="0" w:space="0" w:color="auto"/>
                          </w:divBdr>
                        </w:div>
                      </w:divsChild>
                    </w:div>
                    <w:div w:id="294140656">
                      <w:marLeft w:val="0"/>
                      <w:marRight w:val="0"/>
                      <w:marTop w:val="0"/>
                      <w:marBottom w:val="0"/>
                      <w:divBdr>
                        <w:top w:val="none" w:sz="0" w:space="0" w:color="auto"/>
                        <w:left w:val="none" w:sz="0" w:space="0" w:color="auto"/>
                        <w:bottom w:val="none" w:sz="0" w:space="0" w:color="auto"/>
                        <w:right w:val="none" w:sz="0" w:space="0" w:color="auto"/>
                      </w:divBdr>
                      <w:divsChild>
                        <w:div w:id="294153069">
                          <w:marLeft w:val="0"/>
                          <w:marRight w:val="0"/>
                          <w:marTop w:val="0"/>
                          <w:marBottom w:val="0"/>
                          <w:divBdr>
                            <w:top w:val="none" w:sz="0" w:space="0" w:color="auto"/>
                            <w:left w:val="none" w:sz="0" w:space="0" w:color="auto"/>
                            <w:bottom w:val="none" w:sz="0" w:space="0" w:color="auto"/>
                            <w:right w:val="none" w:sz="0" w:space="0" w:color="auto"/>
                          </w:divBdr>
                        </w:div>
                      </w:divsChild>
                    </w:div>
                    <w:div w:id="294140874">
                      <w:marLeft w:val="0"/>
                      <w:marRight w:val="0"/>
                      <w:marTop w:val="0"/>
                      <w:marBottom w:val="0"/>
                      <w:divBdr>
                        <w:top w:val="none" w:sz="0" w:space="0" w:color="auto"/>
                        <w:left w:val="none" w:sz="0" w:space="0" w:color="auto"/>
                        <w:bottom w:val="none" w:sz="0" w:space="0" w:color="auto"/>
                        <w:right w:val="none" w:sz="0" w:space="0" w:color="auto"/>
                      </w:divBdr>
                    </w:div>
                    <w:div w:id="294141422">
                      <w:marLeft w:val="0"/>
                      <w:marRight w:val="0"/>
                      <w:marTop w:val="0"/>
                      <w:marBottom w:val="0"/>
                      <w:divBdr>
                        <w:top w:val="none" w:sz="0" w:space="0" w:color="auto"/>
                        <w:left w:val="none" w:sz="0" w:space="0" w:color="auto"/>
                        <w:bottom w:val="none" w:sz="0" w:space="0" w:color="auto"/>
                        <w:right w:val="none" w:sz="0" w:space="0" w:color="auto"/>
                      </w:divBdr>
                    </w:div>
                    <w:div w:id="294141631">
                      <w:marLeft w:val="0"/>
                      <w:marRight w:val="0"/>
                      <w:marTop w:val="0"/>
                      <w:marBottom w:val="0"/>
                      <w:divBdr>
                        <w:top w:val="none" w:sz="0" w:space="0" w:color="auto"/>
                        <w:left w:val="none" w:sz="0" w:space="0" w:color="auto"/>
                        <w:bottom w:val="none" w:sz="0" w:space="0" w:color="auto"/>
                        <w:right w:val="none" w:sz="0" w:space="0" w:color="auto"/>
                      </w:divBdr>
                      <w:divsChild>
                        <w:div w:id="294156090">
                          <w:marLeft w:val="0"/>
                          <w:marRight w:val="0"/>
                          <w:marTop w:val="0"/>
                          <w:marBottom w:val="0"/>
                          <w:divBdr>
                            <w:top w:val="none" w:sz="0" w:space="0" w:color="auto"/>
                            <w:left w:val="none" w:sz="0" w:space="0" w:color="auto"/>
                            <w:bottom w:val="none" w:sz="0" w:space="0" w:color="auto"/>
                            <w:right w:val="none" w:sz="0" w:space="0" w:color="auto"/>
                          </w:divBdr>
                        </w:div>
                      </w:divsChild>
                    </w:div>
                    <w:div w:id="294141966">
                      <w:marLeft w:val="0"/>
                      <w:marRight w:val="0"/>
                      <w:marTop w:val="0"/>
                      <w:marBottom w:val="0"/>
                      <w:divBdr>
                        <w:top w:val="none" w:sz="0" w:space="0" w:color="auto"/>
                        <w:left w:val="none" w:sz="0" w:space="0" w:color="auto"/>
                        <w:bottom w:val="none" w:sz="0" w:space="0" w:color="auto"/>
                        <w:right w:val="none" w:sz="0" w:space="0" w:color="auto"/>
                      </w:divBdr>
                      <w:divsChild>
                        <w:div w:id="294141868">
                          <w:marLeft w:val="0"/>
                          <w:marRight w:val="0"/>
                          <w:marTop w:val="0"/>
                          <w:marBottom w:val="0"/>
                          <w:divBdr>
                            <w:top w:val="none" w:sz="0" w:space="0" w:color="auto"/>
                            <w:left w:val="none" w:sz="0" w:space="0" w:color="auto"/>
                            <w:bottom w:val="none" w:sz="0" w:space="0" w:color="auto"/>
                            <w:right w:val="none" w:sz="0" w:space="0" w:color="auto"/>
                          </w:divBdr>
                        </w:div>
                      </w:divsChild>
                    </w:div>
                    <w:div w:id="294142995">
                      <w:marLeft w:val="0"/>
                      <w:marRight w:val="0"/>
                      <w:marTop w:val="0"/>
                      <w:marBottom w:val="0"/>
                      <w:divBdr>
                        <w:top w:val="none" w:sz="0" w:space="0" w:color="auto"/>
                        <w:left w:val="none" w:sz="0" w:space="0" w:color="auto"/>
                        <w:bottom w:val="none" w:sz="0" w:space="0" w:color="auto"/>
                        <w:right w:val="none" w:sz="0" w:space="0" w:color="auto"/>
                      </w:divBdr>
                      <w:divsChild>
                        <w:div w:id="294146016">
                          <w:marLeft w:val="0"/>
                          <w:marRight w:val="0"/>
                          <w:marTop w:val="0"/>
                          <w:marBottom w:val="0"/>
                          <w:divBdr>
                            <w:top w:val="none" w:sz="0" w:space="0" w:color="auto"/>
                            <w:left w:val="none" w:sz="0" w:space="0" w:color="auto"/>
                            <w:bottom w:val="none" w:sz="0" w:space="0" w:color="auto"/>
                            <w:right w:val="none" w:sz="0" w:space="0" w:color="auto"/>
                          </w:divBdr>
                        </w:div>
                      </w:divsChild>
                    </w:div>
                    <w:div w:id="294143181">
                      <w:marLeft w:val="0"/>
                      <w:marRight w:val="0"/>
                      <w:marTop w:val="0"/>
                      <w:marBottom w:val="0"/>
                      <w:divBdr>
                        <w:top w:val="none" w:sz="0" w:space="0" w:color="auto"/>
                        <w:left w:val="none" w:sz="0" w:space="0" w:color="auto"/>
                        <w:bottom w:val="none" w:sz="0" w:space="0" w:color="auto"/>
                        <w:right w:val="none" w:sz="0" w:space="0" w:color="auto"/>
                      </w:divBdr>
                    </w:div>
                    <w:div w:id="294143326">
                      <w:marLeft w:val="0"/>
                      <w:marRight w:val="0"/>
                      <w:marTop w:val="0"/>
                      <w:marBottom w:val="0"/>
                      <w:divBdr>
                        <w:top w:val="none" w:sz="0" w:space="0" w:color="auto"/>
                        <w:left w:val="none" w:sz="0" w:space="0" w:color="auto"/>
                        <w:bottom w:val="none" w:sz="0" w:space="0" w:color="auto"/>
                        <w:right w:val="none" w:sz="0" w:space="0" w:color="auto"/>
                      </w:divBdr>
                    </w:div>
                    <w:div w:id="294144084">
                      <w:marLeft w:val="0"/>
                      <w:marRight w:val="0"/>
                      <w:marTop w:val="0"/>
                      <w:marBottom w:val="0"/>
                      <w:divBdr>
                        <w:top w:val="none" w:sz="0" w:space="0" w:color="auto"/>
                        <w:left w:val="none" w:sz="0" w:space="0" w:color="auto"/>
                        <w:bottom w:val="none" w:sz="0" w:space="0" w:color="auto"/>
                        <w:right w:val="none" w:sz="0" w:space="0" w:color="auto"/>
                      </w:divBdr>
                    </w:div>
                    <w:div w:id="294144342">
                      <w:marLeft w:val="0"/>
                      <w:marRight w:val="0"/>
                      <w:marTop w:val="0"/>
                      <w:marBottom w:val="0"/>
                      <w:divBdr>
                        <w:top w:val="none" w:sz="0" w:space="0" w:color="auto"/>
                        <w:left w:val="none" w:sz="0" w:space="0" w:color="auto"/>
                        <w:bottom w:val="none" w:sz="0" w:space="0" w:color="auto"/>
                        <w:right w:val="none" w:sz="0" w:space="0" w:color="auto"/>
                      </w:divBdr>
                    </w:div>
                    <w:div w:id="294144577">
                      <w:marLeft w:val="0"/>
                      <w:marRight w:val="0"/>
                      <w:marTop w:val="0"/>
                      <w:marBottom w:val="0"/>
                      <w:divBdr>
                        <w:top w:val="none" w:sz="0" w:space="0" w:color="auto"/>
                        <w:left w:val="none" w:sz="0" w:space="0" w:color="auto"/>
                        <w:bottom w:val="none" w:sz="0" w:space="0" w:color="auto"/>
                        <w:right w:val="none" w:sz="0" w:space="0" w:color="auto"/>
                      </w:divBdr>
                      <w:divsChild>
                        <w:div w:id="294144239">
                          <w:marLeft w:val="0"/>
                          <w:marRight w:val="0"/>
                          <w:marTop w:val="0"/>
                          <w:marBottom w:val="0"/>
                          <w:divBdr>
                            <w:top w:val="none" w:sz="0" w:space="0" w:color="auto"/>
                            <w:left w:val="none" w:sz="0" w:space="0" w:color="auto"/>
                            <w:bottom w:val="none" w:sz="0" w:space="0" w:color="auto"/>
                            <w:right w:val="none" w:sz="0" w:space="0" w:color="auto"/>
                          </w:divBdr>
                        </w:div>
                      </w:divsChild>
                    </w:div>
                    <w:div w:id="294144685">
                      <w:marLeft w:val="0"/>
                      <w:marRight w:val="0"/>
                      <w:marTop w:val="0"/>
                      <w:marBottom w:val="0"/>
                      <w:divBdr>
                        <w:top w:val="none" w:sz="0" w:space="0" w:color="auto"/>
                        <w:left w:val="none" w:sz="0" w:space="0" w:color="auto"/>
                        <w:bottom w:val="none" w:sz="0" w:space="0" w:color="auto"/>
                        <w:right w:val="none" w:sz="0" w:space="0" w:color="auto"/>
                      </w:divBdr>
                      <w:divsChild>
                        <w:div w:id="294156894">
                          <w:marLeft w:val="0"/>
                          <w:marRight w:val="0"/>
                          <w:marTop w:val="0"/>
                          <w:marBottom w:val="0"/>
                          <w:divBdr>
                            <w:top w:val="none" w:sz="0" w:space="0" w:color="auto"/>
                            <w:left w:val="none" w:sz="0" w:space="0" w:color="auto"/>
                            <w:bottom w:val="none" w:sz="0" w:space="0" w:color="auto"/>
                            <w:right w:val="none" w:sz="0" w:space="0" w:color="auto"/>
                          </w:divBdr>
                        </w:div>
                      </w:divsChild>
                    </w:div>
                    <w:div w:id="294145162">
                      <w:marLeft w:val="0"/>
                      <w:marRight w:val="0"/>
                      <w:marTop w:val="0"/>
                      <w:marBottom w:val="0"/>
                      <w:divBdr>
                        <w:top w:val="none" w:sz="0" w:space="0" w:color="auto"/>
                        <w:left w:val="none" w:sz="0" w:space="0" w:color="auto"/>
                        <w:bottom w:val="none" w:sz="0" w:space="0" w:color="auto"/>
                        <w:right w:val="none" w:sz="0" w:space="0" w:color="auto"/>
                      </w:divBdr>
                    </w:div>
                    <w:div w:id="294145863">
                      <w:marLeft w:val="0"/>
                      <w:marRight w:val="0"/>
                      <w:marTop w:val="0"/>
                      <w:marBottom w:val="0"/>
                      <w:divBdr>
                        <w:top w:val="none" w:sz="0" w:space="0" w:color="auto"/>
                        <w:left w:val="none" w:sz="0" w:space="0" w:color="auto"/>
                        <w:bottom w:val="none" w:sz="0" w:space="0" w:color="auto"/>
                        <w:right w:val="none" w:sz="0" w:space="0" w:color="auto"/>
                      </w:divBdr>
                      <w:divsChild>
                        <w:div w:id="294143189">
                          <w:marLeft w:val="0"/>
                          <w:marRight w:val="0"/>
                          <w:marTop w:val="0"/>
                          <w:marBottom w:val="0"/>
                          <w:divBdr>
                            <w:top w:val="none" w:sz="0" w:space="0" w:color="auto"/>
                            <w:left w:val="none" w:sz="0" w:space="0" w:color="auto"/>
                            <w:bottom w:val="none" w:sz="0" w:space="0" w:color="auto"/>
                            <w:right w:val="none" w:sz="0" w:space="0" w:color="auto"/>
                          </w:divBdr>
                        </w:div>
                      </w:divsChild>
                    </w:div>
                    <w:div w:id="294146538">
                      <w:marLeft w:val="0"/>
                      <w:marRight w:val="0"/>
                      <w:marTop w:val="0"/>
                      <w:marBottom w:val="0"/>
                      <w:divBdr>
                        <w:top w:val="none" w:sz="0" w:space="0" w:color="auto"/>
                        <w:left w:val="none" w:sz="0" w:space="0" w:color="auto"/>
                        <w:bottom w:val="none" w:sz="0" w:space="0" w:color="auto"/>
                        <w:right w:val="none" w:sz="0" w:space="0" w:color="auto"/>
                      </w:divBdr>
                    </w:div>
                    <w:div w:id="294146597">
                      <w:marLeft w:val="0"/>
                      <w:marRight w:val="0"/>
                      <w:marTop w:val="0"/>
                      <w:marBottom w:val="0"/>
                      <w:divBdr>
                        <w:top w:val="none" w:sz="0" w:space="0" w:color="auto"/>
                        <w:left w:val="none" w:sz="0" w:space="0" w:color="auto"/>
                        <w:bottom w:val="none" w:sz="0" w:space="0" w:color="auto"/>
                        <w:right w:val="none" w:sz="0" w:space="0" w:color="auto"/>
                      </w:divBdr>
                    </w:div>
                    <w:div w:id="294146697">
                      <w:marLeft w:val="0"/>
                      <w:marRight w:val="0"/>
                      <w:marTop w:val="0"/>
                      <w:marBottom w:val="0"/>
                      <w:divBdr>
                        <w:top w:val="none" w:sz="0" w:space="0" w:color="auto"/>
                        <w:left w:val="none" w:sz="0" w:space="0" w:color="auto"/>
                        <w:bottom w:val="none" w:sz="0" w:space="0" w:color="auto"/>
                        <w:right w:val="none" w:sz="0" w:space="0" w:color="auto"/>
                      </w:divBdr>
                      <w:divsChild>
                        <w:div w:id="294148746">
                          <w:marLeft w:val="0"/>
                          <w:marRight w:val="0"/>
                          <w:marTop w:val="0"/>
                          <w:marBottom w:val="0"/>
                          <w:divBdr>
                            <w:top w:val="none" w:sz="0" w:space="0" w:color="auto"/>
                            <w:left w:val="none" w:sz="0" w:space="0" w:color="auto"/>
                            <w:bottom w:val="none" w:sz="0" w:space="0" w:color="auto"/>
                            <w:right w:val="none" w:sz="0" w:space="0" w:color="auto"/>
                          </w:divBdr>
                        </w:div>
                      </w:divsChild>
                    </w:div>
                    <w:div w:id="294147141">
                      <w:marLeft w:val="0"/>
                      <w:marRight w:val="0"/>
                      <w:marTop w:val="0"/>
                      <w:marBottom w:val="0"/>
                      <w:divBdr>
                        <w:top w:val="none" w:sz="0" w:space="0" w:color="auto"/>
                        <w:left w:val="none" w:sz="0" w:space="0" w:color="auto"/>
                        <w:bottom w:val="none" w:sz="0" w:space="0" w:color="auto"/>
                        <w:right w:val="none" w:sz="0" w:space="0" w:color="auto"/>
                      </w:divBdr>
                      <w:divsChild>
                        <w:div w:id="294148605">
                          <w:marLeft w:val="0"/>
                          <w:marRight w:val="0"/>
                          <w:marTop w:val="0"/>
                          <w:marBottom w:val="0"/>
                          <w:divBdr>
                            <w:top w:val="none" w:sz="0" w:space="0" w:color="auto"/>
                            <w:left w:val="none" w:sz="0" w:space="0" w:color="auto"/>
                            <w:bottom w:val="none" w:sz="0" w:space="0" w:color="auto"/>
                            <w:right w:val="none" w:sz="0" w:space="0" w:color="auto"/>
                          </w:divBdr>
                        </w:div>
                      </w:divsChild>
                    </w:div>
                    <w:div w:id="294147595">
                      <w:marLeft w:val="0"/>
                      <w:marRight w:val="0"/>
                      <w:marTop w:val="0"/>
                      <w:marBottom w:val="0"/>
                      <w:divBdr>
                        <w:top w:val="none" w:sz="0" w:space="0" w:color="auto"/>
                        <w:left w:val="none" w:sz="0" w:space="0" w:color="auto"/>
                        <w:bottom w:val="none" w:sz="0" w:space="0" w:color="auto"/>
                        <w:right w:val="none" w:sz="0" w:space="0" w:color="auto"/>
                      </w:divBdr>
                    </w:div>
                    <w:div w:id="294147990">
                      <w:marLeft w:val="0"/>
                      <w:marRight w:val="0"/>
                      <w:marTop w:val="0"/>
                      <w:marBottom w:val="0"/>
                      <w:divBdr>
                        <w:top w:val="none" w:sz="0" w:space="0" w:color="auto"/>
                        <w:left w:val="none" w:sz="0" w:space="0" w:color="auto"/>
                        <w:bottom w:val="none" w:sz="0" w:space="0" w:color="auto"/>
                        <w:right w:val="none" w:sz="0" w:space="0" w:color="auto"/>
                      </w:divBdr>
                      <w:divsChild>
                        <w:div w:id="294138266">
                          <w:marLeft w:val="0"/>
                          <w:marRight w:val="0"/>
                          <w:marTop w:val="0"/>
                          <w:marBottom w:val="0"/>
                          <w:divBdr>
                            <w:top w:val="none" w:sz="0" w:space="0" w:color="auto"/>
                            <w:left w:val="none" w:sz="0" w:space="0" w:color="auto"/>
                            <w:bottom w:val="none" w:sz="0" w:space="0" w:color="auto"/>
                            <w:right w:val="none" w:sz="0" w:space="0" w:color="auto"/>
                          </w:divBdr>
                        </w:div>
                      </w:divsChild>
                    </w:div>
                    <w:div w:id="294148068">
                      <w:marLeft w:val="0"/>
                      <w:marRight w:val="0"/>
                      <w:marTop w:val="0"/>
                      <w:marBottom w:val="0"/>
                      <w:divBdr>
                        <w:top w:val="none" w:sz="0" w:space="0" w:color="auto"/>
                        <w:left w:val="none" w:sz="0" w:space="0" w:color="auto"/>
                        <w:bottom w:val="none" w:sz="0" w:space="0" w:color="auto"/>
                        <w:right w:val="none" w:sz="0" w:space="0" w:color="auto"/>
                      </w:divBdr>
                    </w:div>
                    <w:div w:id="294148134">
                      <w:marLeft w:val="0"/>
                      <w:marRight w:val="0"/>
                      <w:marTop w:val="0"/>
                      <w:marBottom w:val="0"/>
                      <w:divBdr>
                        <w:top w:val="none" w:sz="0" w:space="0" w:color="auto"/>
                        <w:left w:val="none" w:sz="0" w:space="0" w:color="auto"/>
                        <w:bottom w:val="none" w:sz="0" w:space="0" w:color="auto"/>
                        <w:right w:val="none" w:sz="0" w:space="0" w:color="auto"/>
                      </w:divBdr>
                      <w:divsChild>
                        <w:div w:id="294155951">
                          <w:marLeft w:val="0"/>
                          <w:marRight w:val="0"/>
                          <w:marTop w:val="0"/>
                          <w:marBottom w:val="0"/>
                          <w:divBdr>
                            <w:top w:val="none" w:sz="0" w:space="0" w:color="auto"/>
                            <w:left w:val="none" w:sz="0" w:space="0" w:color="auto"/>
                            <w:bottom w:val="none" w:sz="0" w:space="0" w:color="auto"/>
                            <w:right w:val="none" w:sz="0" w:space="0" w:color="auto"/>
                          </w:divBdr>
                        </w:div>
                      </w:divsChild>
                    </w:div>
                    <w:div w:id="294148651">
                      <w:marLeft w:val="0"/>
                      <w:marRight w:val="0"/>
                      <w:marTop w:val="0"/>
                      <w:marBottom w:val="0"/>
                      <w:divBdr>
                        <w:top w:val="none" w:sz="0" w:space="0" w:color="auto"/>
                        <w:left w:val="none" w:sz="0" w:space="0" w:color="auto"/>
                        <w:bottom w:val="none" w:sz="0" w:space="0" w:color="auto"/>
                        <w:right w:val="none" w:sz="0" w:space="0" w:color="auto"/>
                      </w:divBdr>
                    </w:div>
                    <w:div w:id="294148774">
                      <w:marLeft w:val="0"/>
                      <w:marRight w:val="0"/>
                      <w:marTop w:val="0"/>
                      <w:marBottom w:val="0"/>
                      <w:divBdr>
                        <w:top w:val="none" w:sz="0" w:space="0" w:color="auto"/>
                        <w:left w:val="none" w:sz="0" w:space="0" w:color="auto"/>
                        <w:bottom w:val="none" w:sz="0" w:space="0" w:color="auto"/>
                        <w:right w:val="none" w:sz="0" w:space="0" w:color="auto"/>
                      </w:divBdr>
                      <w:divsChild>
                        <w:div w:id="294156947">
                          <w:marLeft w:val="0"/>
                          <w:marRight w:val="0"/>
                          <w:marTop w:val="0"/>
                          <w:marBottom w:val="0"/>
                          <w:divBdr>
                            <w:top w:val="none" w:sz="0" w:space="0" w:color="auto"/>
                            <w:left w:val="none" w:sz="0" w:space="0" w:color="auto"/>
                            <w:bottom w:val="none" w:sz="0" w:space="0" w:color="auto"/>
                            <w:right w:val="none" w:sz="0" w:space="0" w:color="auto"/>
                          </w:divBdr>
                        </w:div>
                      </w:divsChild>
                    </w:div>
                    <w:div w:id="294149073">
                      <w:marLeft w:val="0"/>
                      <w:marRight w:val="0"/>
                      <w:marTop w:val="0"/>
                      <w:marBottom w:val="0"/>
                      <w:divBdr>
                        <w:top w:val="none" w:sz="0" w:space="0" w:color="auto"/>
                        <w:left w:val="none" w:sz="0" w:space="0" w:color="auto"/>
                        <w:bottom w:val="none" w:sz="0" w:space="0" w:color="auto"/>
                        <w:right w:val="none" w:sz="0" w:space="0" w:color="auto"/>
                      </w:divBdr>
                      <w:divsChild>
                        <w:div w:id="294155056">
                          <w:marLeft w:val="0"/>
                          <w:marRight w:val="0"/>
                          <w:marTop w:val="0"/>
                          <w:marBottom w:val="0"/>
                          <w:divBdr>
                            <w:top w:val="none" w:sz="0" w:space="0" w:color="auto"/>
                            <w:left w:val="none" w:sz="0" w:space="0" w:color="auto"/>
                            <w:bottom w:val="none" w:sz="0" w:space="0" w:color="auto"/>
                            <w:right w:val="none" w:sz="0" w:space="0" w:color="auto"/>
                          </w:divBdr>
                        </w:div>
                      </w:divsChild>
                    </w:div>
                    <w:div w:id="294149683">
                      <w:marLeft w:val="0"/>
                      <w:marRight w:val="0"/>
                      <w:marTop w:val="0"/>
                      <w:marBottom w:val="0"/>
                      <w:divBdr>
                        <w:top w:val="none" w:sz="0" w:space="0" w:color="auto"/>
                        <w:left w:val="none" w:sz="0" w:space="0" w:color="auto"/>
                        <w:bottom w:val="none" w:sz="0" w:space="0" w:color="auto"/>
                        <w:right w:val="none" w:sz="0" w:space="0" w:color="auto"/>
                      </w:divBdr>
                    </w:div>
                    <w:div w:id="294150119">
                      <w:marLeft w:val="0"/>
                      <w:marRight w:val="0"/>
                      <w:marTop w:val="0"/>
                      <w:marBottom w:val="0"/>
                      <w:divBdr>
                        <w:top w:val="none" w:sz="0" w:space="0" w:color="auto"/>
                        <w:left w:val="none" w:sz="0" w:space="0" w:color="auto"/>
                        <w:bottom w:val="none" w:sz="0" w:space="0" w:color="auto"/>
                        <w:right w:val="none" w:sz="0" w:space="0" w:color="auto"/>
                      </w:divBdr>
                    </w:div>
                    <w:div w:id="294151431">
                      <w:marLeft w:val="0"/>
                      <w:marRight w:val="0"/>
                      <w:marTop w:val="0"/>
                      <w:marBottom w:val="0"/>
                      <w:divBdr>
                        <w:top w:val="none" w:sz="0" w:space="0" w:color="auto"/>
                        <w:left w:val="none" w:sz="0" w:space="0" w:color="auto"/>
                        <w:bottom w:val="none" w:sz="0" w:space="0" w:color="auto"/>
                        <w:right w:val="none" w:sz="0" w:space="0" w:color="auto"/>
                      </w:divBdr>
                    </w:div>
                    <w:div w:id="294152118">
                      <w:marLeft w:val="0"/>
                      <w:marRight w:val="0"/>
                      <w:marTop w:val="0"/>
                      <w:marBottom w:val="0"/>
                      <w:divBdr>
                        <w:top w:val="none" w:sz="0" w:space="0" w:color="auto"/>
                        <w:left w:val="none" w:sz="0" w:space="0" w:color="auto"/>
                        <w:bottom w:val="none" w:sz="0" w:space="0" w:color="auto"/>
                        <w:right w:val="none" w:sz="0" w:space="0" w:color="auto"/>
                      </w:divBdr>
                      <w:divsChild>
                        <w:div w:id="294157017">
                          <w:marLeft w:val="0"/>
                          <w:marRight w:val="0"/>
                          <w:marTop w:val="0"/>
                          <w:marBottom w:val="0"/>
                          <w:divBdr>
                            <w:top w:val="none" w:sz="0" w:space="0" w:color="auto"/>
                            <w:left w:val="none" w:sz="0" w:space="0" w:color="auto"/>
                            <w:bottom w:val="none" w:sz="0" w:space="0" w:color="auto"/>
                            <w:right w:val="none" w:sz="0" w:space="0" w:color="auto"/>
                          </w:divBdr>
                        </w:div>
                      </w:divsChild>
                    </w:div>
                    <w:div w:id="294152212">
                      <w:marLeft w:val="0"/>
                      <w:marRight w:val="0"/>
                      <w:marTop w:val="0"/>
                      <w:marBottom w:val="0"/>
                      <w:divBdr>
                        <w:top w:val="none" w:sz="0" w:space="0" w:color="auto"/>
                        <w:left w:val="none" w:sz="0" w:space="0" w:color="auto"/>
                        <w:bottom w:val="none" w:sz="0" w:space="0" w:color="auto"/>
                        <w:right w:val="none" w:sz="0" w:space="0" w:color="auto"/>
                      </w:divBdr>
                    </w:div>
                    <w:div w:id="294152771">
                      <w:marLeft w:val="0"/>
                      <w:marRight w:val="0"/>
                      <w:marTop w:val="0"/>
                      <w:marBottom w:val="0"/>
                      <w:divBdr>
                        <w:top w:val="none" w:sz="0" w:space="0" w:color="auto"/>
                        <w:left w:val="none" w:sz="0" w:space="0" w:color="auto"/>
                        <w:bottom w:val="none" w:sz="0" w:space="0" w:color="auto"/>
                        <w:right w:val="none" w:sz="0" w:space="0" w:color="auto"/>
                      </w:divBdr>
                      <w:divsChild>
                        <w:div w:id="294146704">
                          <w:marLeft w:val="0"/>
                          <w:marRight w:val="0"/>
                          <w:marTop w:val="0"/>
                          <w:marBottom w:val="0"/>
                          <w:divBdr>
                            <w:top w:val="none" w:sz="0" w:space="0" w:color="auto"/>
                            <w:left w:val="none" w:sz="0" w:space="0" w:color="auto"/>
                            <w:bottom w:val="none" w:sz="0" w:space="0" w:color="auto"/>
                            <w:right w:val="none" w:sz="0" w:space="0" w:color="auto"/>
                          </w:divBdr>
                        </w:div>
                      </w:divsChild>
                    </w:div>
                    <w:div w:id="294152975">
                      <w:marLeft w:val="0"/>
                      <w:marRight w:val="0"/>
                      <w:marTop w:val="0"/>
                      <w:marBottom w:val="0"/>
                      <w:divBdr>
                        <w:top w:val="none" w:sz="0" w:space="0" w:color="auto"/>
                        <w:left w:val="none" w:sz="0" w:space="0" w:color="auto"/>
                        <w:bottom w:val="none" w:sz="0" w:space="0" w:color="auto"/>
                        <w:right w:val="none" w:sz="0" w:space="0" w:color="auto"/>
                      </w:divBdr>
                    </w:div>
                    <w:div w:id="294153187">
                      <w:marLeft w:val="0"/>
                      <w:marRight w:val="0"/>
                      <w:marTop w:val="0"/>
                      <w:marBottom w:val="0"/>
                      <w:divBdr>
                        <w:top w:val="none" w:sz="0" w:space="0" w:color="auto"/>
                        <w:left w:val="none" w:sz="0" w:space="0" w:color="auto"/>
                        <w:bottom w:val="none" w:sz="0" w:space="0" w:color="auto"/>
                        <w:right w:val="none" w:sz="0" w:space="0" w:color="auto"/>
                      </w:divBdr>
                    </w:div>
                    <w:div w:id="294153326">
                      <w:marLeft w:val="0"/>
                      <w:marRight w:val="0"/>
                      <w:marTop w:val="0"/>
                      <w:marBottom w:val="0"/>
                      <w:divBdr>
                        <w:top w:val="none" w:sz="0" w:space="0" w:color="auto"/>
                        <w:left w:val="none" w:sz="0" w:space="0" w:color="auto"/>
                        <w:bottom w:val="none" w:sz="0" w:space="0" w:color="auto"/>
                        <w:right w:val="none" w:sz="0" w:space="0" w:color="auto"/>
                      </w:divBdr>
                    </w:div>
                    <w:div w:id="294153947">
                      <w:marLeft w:val="0"/>
                      <w:marRight w:val="0"/>
                      <w:marTop w:val="0"/>
                      <w:marBottom w:val="0"/>
                      <w:divBdr>
                        <w:top w:val="none" w:sz="0" w:space="0" w:color="auto"/>
                        <w:left w:val="none" w:sz="0" w:space="0" w:color="auto"/>
                        <w:bottom w:val="none" w:sz="0" w:space="0" w:color="auto"/>
                        <w:right w:val="none" w:sz="0" w:space="0" w:color="auto"/>
                      </w:divBdr>
                    </w:div>
                    <w:div w:id="294154374">
                      <w:marLeft w:val="0"/>
                      <w:marRight w:val="0"/>
                      <w:marTop w:val="0"/>
                      <w:marBottom w:val="0"/>
                      <w:divBdr>
                        <w:top w:val="none" w:sz="0" w:space="0" w:color="auto"/>
                        <w:left w:val="none" w:sz="0" w:space="0" w:color="auto"/>
                        <w:bottom w:val="none" w:sz="0" w:space="0" w:color="auto"/>
                        <w:right w:val="none" w:sz="0" w:space="0" w:color="auto"/>
                      </w:divBdr>
                      <w:divsChild>
                        <w:div w:id="294143717">
                          <w:marLeft w:val="0"/>
                          <w:marRight w:val="0"/>
                          <w:marTop w:val="0"/>
                          <w:marBottom w:val="0"/>
                          <w:divBdr>
                            <w:top w:val="none" w:sz="0" w:space="0" w:color="auto"/>
                            <w:left w:val="none" w:sz="0" w:space="0" w:color="auto"/>
                            <w:bottom w:val="none" w:sz="0" w:space="0" w:color="auto"/>
                            <w:right w:val="none" w:sz="0" w:space="0" w:color="auto"/>
                          </w:divBdr>
                        </w:div>
                      </w:divsChild>
                    </w:div>
                    <w:div w:id="294155052">
                      <w:marLeft w:val="0"/>
                      <w:marRight w:val="0"/>
                      <w:marTop w:val="0"/>
                      <w:marBottom w:val="0"/>
                      <w:divBdr>
                        <w:top w:val="none" w:sz="0" w:space="0" w:color="auto"/>
                        <w:left w:val="none" w:sz="0" w:space="0" w:color="auto"/>
                        <w:bottom w:val="none" w:sz="0" w:space="0" w:color="auto"/>
                        <w:right w:val="none" w:sz="0" w:space="0" w:color="auto"/>
                      </w:divBdr>
                      <w:divsChild>
                        <w:div w:id="294154637">
                          <w:marLeft w:val="0"/>
                          <w:marRight w:val="0"/>
                          <w:marTop w:val="0"/>
                          <w:marBottom w:val="0"/>
                          <w:divBdr>
                            <w:top w:val="none" w:sz="0" w:space="0" w:color="auto"/>
                            <w:left w:val="none" w:sz="0" w:space="0" w:color="auto"/>
                            <w:bottom w:val="none" w:sz="0" w:space="0" w:color="auto"/>
                            <w:right w:val="none" w:sz="0" w:space="0" w:color="auto"/>
                          </w:divBdr>
                        </w:div>
                      </w:divsChild>
                    </w:div>
                    <w:div w:id="294155383">
                      <w:marLeft w:val="0"/>
                      <w:marRight w:val="0"/>
                      <w:marTop w:val="0"/>
                      <w:marBottom w:val="0"/>
                      <w:divBdr>
                        <w:top w:val="none" w:sz="0" w:space="0" w:color="auto"/>
                        <w:left w:val="none" w:sz="0" w:space="0" w:color="auto"/>
                        <w:bottom w:val="none" w:sz="0" w:space="0" w:color="auto"/>
                        <w:right w:val="none" w:sz="0" w:space="0" w:color="auto"/>
                      </w:divBdr>
                      <w:divsChild>
                        <w:div w:id="294141818">
                          <w:marLeft w:val="0"/>
                          <w:marRight w:val="0"/>
                          <w:marTop w:val="0"/>
                          <w:marBottom w:val="0"/>
                          <w:divBdr>
                            <w:top w:val="none" w:sz="0" w:space="0" w:color="auto"/>
                            <w:left w:val="none" w:sz="0" w:space="0" w:color="auto"/>
                            <w:bottom w:val="none" w:sz="0" w:space="0" w:color="auto"/>
                            <w:right w:val="none" w:sz="0" w:space="0" w:color="auto"/>
                          </w:divBdr>
                        </w:div>
                      </w:divsChild>
                    </w:div>
                    <w:div w:id="294155409">
                      <w:marLeft w:val="0"/>
                      <w:marRight w:val="0"/>
                      <w:marTop w:val="0"/>
                      <w:marBottom w:val="0"/>
                      <w:divBdr>
                        <w:top w:val="none" w:sz="0" w:space="0" w:color="auto"/>
                        <w:left w:val="none" w:sz="0" w:space="0" w:color="auto"/>
                        <w:bottom w:val="none" w:sz="0" w:space="0" w:color="auto"/>
                        <w:right w:val="none" w:sz="0" w:space="0" w:color="auto"/>
                      </w:divBdr>
                      <w:divsChild>
                        <w:div w:id="294157004">
                          <w:marLeft w:val="0"/>
                          <w:marRight w:val="0"/>
                          <w:marTop w:val="0"/>
                          <w:marBottom w:val="0"/>
                          <w:divBdr>
                            <w:top w:val="none" w:sz="0" w:space="0" w:color="auto"/>
                            <w:left w:val="none" w:sz="0" w:space="0" w:color="auto"/>
                            <w:bottom w:val="none" w:sz="0" w:space="0" w:color="auto"/>
                            <w:right w:val="none" w:sz="0" w:space="0" w:color="auto"/>
                          </w:divBdr>
                        </w:div>
                      </w:divsChild>
                    </w:div>
                    <w:div w:id="294155807">
                      <w:marLeft w:val="0"/>
                      <w:marRight w:val="0"/>
                      <w:marTop w:val="0"/>
                      <w:marBottom w:val="0"/>
                      <w:divBdr>
                        <w:top w:val="none" w:sz="0" w:space="0" w:color="auto"/>
                        <w:left w:val="none" w:sz="0" w:space="0" w:color="auto"/>
                        <w:bottom w:val="none" w:sz="0" w:space="0" w:color="auto"/>
                        <w:right w:val="none" w:sz="0" w:space="0" w:color="auto"/>
                      </w:divBdr>
                      <w:divsChild>
                        <w:div w:id="294152598">
                          <w:marLeft w:val="0"/>
                          <w:marRight w:val="0"/>
                          <w:marTop w:val="0"/>
                          <w:marBottom w:val="0"/>
                          <w:divBdr>
                            <w:top w:val="none" w:sz="0" w:space="0" w:color="auto"/>
                            <w:left w:val="none" w:sz="0" w:space="0" w:color="auto"/>
                            <w:bottom w:val="none" w:sz="0" w:space="0" w:color="auto"/>
                            <w:right w:val="none" w:sz="0" w:space="0" w:color="auto"/>
                          </w:divBdr>
                        </w:div>
                      </w:divsChild>
                    </w:div>
                    <w:div w:id="294155929">
                      <w:marLeft w:val="0"/>
                      <w:marRight w:val="0"/>
                      <w:marTop w:val="0"/>
                      <w:marBottom w:val="0"/>
                      <w:divBdr>
                        <w:top w:val="none" w:sz="0" w:space="0" w:color="auto"/>
                        <w:left w:val="none" w:sz="0" w:space="0" w:color="auto"/>
                        <w:bottom w:val="none" w:sz="0" w:space="0" w:color="auto"/>
                        <w:right w:val="none" w:sz="0" w:space="0" w:color="auto"/>
                      </w:divBdr>
                    </w:div>
                    <w:div w:id="294156330">
                      <w:marLeft w:val="0"/>
                      <w:marRight w:val="0"/>
                      <w:marTop w:val="0"/>
                      <w:marBottom w:val="0"/>
                      <w:divBdr>
                        <w:top w:val="none" w:sz="0" w:space="0" w:color="auto"/>
                        <w:left w:val="none" w:sz="0" w:space="0" w:color="auto"/>
                        <w:bottom w:val="none" w:sz="0" w:space="0" w:color="auto"/>
                        <w:right w:val="none" w:sz="0" w:space="0" w:color="auto"/>
                      </w:divBdr>
                      <w:divsChild>
                        <w:div w:id="294139494">
                          <w:marLeft w:val="0"/>
                          <w:marRight w:val="0"/>
                          <w:marTop w:val="0"/>
                          <w:marBottom w:val="0"/>
                          <w:divBdr>
                            <w:top w:val="none" w:sz="0" w:space="0" w:color="auto"/>
                            <w:left w:val="none" w:sz="0" w:space="0" w:color="auto"/>
                            <w:bottom w:val="none" w:sz="0" w:space="0" w:color="auto"/>
                            <w:right w:val="none" w:sz="0" w:space="0" w:color="auto"/>
                          </w:divBdr>
                        </w:div>
                      </w:divsChild>
                    </w:div>
                    <w:div w:id="294156864">
                      <w:marLeft w:val="0"/>
                      <w:marRight w:val="0"/>
                      <w:marTop w:val="0"/>
                      <w:marBottom w:val="0"/>
                      <w:divBdr>
                        <w:top w:val="none" w:sz="0" w:space="0" w:color="auto"/>
                        <w:left w:val="none" w:sz="0" w:space="0" w:color="auto"/>
                        <w:bottom w:val="none" w:sz="0" w:space="0" w:color="auto"/>
                        <w:right w:val="none" w:sz="0" w:space="0" w:color="auto"/>
                      </w:divBdr>
                      <w:divsChild>
                        <w:div w:id="29414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55784">
          <w:marLeft w:val="0"/>
          <w:marRight w:val="0"/>
          <w:marTop w:val="0"/>
          <w:marBottom w:val="0"/>
          <w:divBdr>
            <w:top w:val="none" w:sz="0" w:space="0" w:color="auto"/>
            <w:left w:val="none" w:sz="0" w:space="0" w:color="auto"/>
            <w:bottom w:val="none" w:sz="0" w:space="0" w:color="auto"/>
            <w:right w:val="none" w:sz="0" w:space="0" w:color="auto"/>
          </w:divBdr>
          <w:divsChild>
            <w:div w:id="294149460">
              <w:marLeft w:val="0"/>
              <w:marRight w:val="0"/>
              <w:marTop w:val="0"/>
              <w:marBottom w:val="0"/>
              <w:divBdr>
                <w:top w:val="none" w:sz="0" w:space="0" w:color="auto"/>
                <w:left w:val="none" w:sz="0" w:space="0" w:color="auto"/>
                <w:bottom w:val="none" w:sz="0" w:space="0" w:color="auto"/>
                <w:right w:val="none" w:sz="0" w:space="0" w:color="auto"/>
              </w:divBdr>
              <w:divsChild>
                <w:div w:id="2941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49579">
      <w:marLeft w:val="0"/>
      <w:marRight w:val="0"/>
      <w:marTop w:val="0"/>
      <w:marBottom w:val="0"/>
      <w:divBdr>
        <w:top w:val="none" w:sz="0" w:space="0" w:color="auto"/>
        <w:left w:val="none" w:sz="0" w:space="0" w:color="auto"/>
        <w:bottom w:val="none" w:sz="0" w:space="0" w:color="auto"/>
        <w:right w:val="none" w:sz="0" w:space="0" w:color="auto"/>
      </w:divBdr>
    </w:div>
    <w:div w:id="294149605">
      <w:marLeft w:val="0"/>
      <w:marRight w:val="0"/>
      <w:marTop w:val="0"/>
      <w:marBottom w:val="0"/>
      <w:divBdr>
        <w:top w:val="none" w:sz="0" w:space="0" w:color="auto"/>
        <w:left w:val="none" w:sz="0" w:space="0" w:color="auto"/>
        <w:bottom w:val="none" w:sz="0" w:space="0" w:color="auto"/>
        <w:right w:val="none" w:sz="0" w:space="0" w:color="auto"/>
      </w:divBdr>
      <w:divsChild>
        <w:div w:id="294140992">
          <w:marLeft w:val="0"/>
          <w:marRight w:val="0"/>
          <w:marTop w:val="0"/>
          <w:marBottom w:val="0"/>
          <w:divBdr>
            <w:top w:val="none" w:sz="0" w:space="0" w:color="auto"/>
            <w:left w:val="none" w:sz="0" w:space="0" w:color="auto"/>
            <w:bottom w:val="none" w:sz="0" w:space="0" w:color="auto"/>
            <w:right w:val="none" w:sz="0" w:space="0" w:color="auto"/>
          </w:divBdr>
          <w:divsChild>
            <w:div w:id="294137991">
              <w:marLeft w:val="0"/>
              <w:marRight w:val="0"/>
              <w:marTop w:val="0"/>
              <w:marBottom w:val="0"/>
              <w:divBdr>
                <w:top w:val="none" w:sz="0" w:space="0" w:color="auto"/>
                <w:left w:val="none" w:sz="0" w:space="0" w:color="auto"/>
                <w:bottom w:val="none" w:sz="0" w:space="0" w:color="auto"/>
                <w:right w:val="none" w:sz="0" w:space="0" w:color="auto"/>
              </w:divBdr>
              <w:divsChild>
                <w:div w:id="2941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2314">
          <w:marLeft w:val="0"/>
          <w:marRight w:val="0"/>
          <w:marTop w:val="0"/>
          <w:marBottom w:val="0"/>
          <w:divBdr>
            <w:top w:val="none" w:sz="0" w:space="0" w:color="auto"/>
            <w:left w:val="none" w:sz="0" w:space="0" w:color="auto"/>
            <w:bottom w:val="none" w:sz="0" w:space="0" w:color="auto"/>
            <w:right w:val="none" w:sz="0" w:space="0" w:color="auto"/>
          </w:divBdr>
          <w:divsChild>
            <w:div w:id="294154683">
              <w:marLeft w:val="0"/>
              <w:marRight w:val="0"/>
              <w:marTop w:val="0"/>
              <w:marBottom w:val="0"/>
              <w:divBdr>
                <w:top w:val="none" w:sz="0" w:space="0" w:color="auto"/>
                <w:left w:val="none" w:sz="0" w:space="0" w:color="auto"/>
                <w:bottom w:val="none" w:sz="0" w:space="0" w:color="auto"/>
                <w:right w:val="none" w:sz="0" w:space="0" w:color="auto"/>
              </w:divBdr>
              <w:divsChild>
                <w:div w:id="294138270">
                  <w:marLeft w:val="0"/>
                  <w:marRight w:val="0"/>
                  <w:marTop w:val="0"/>
                  <w:marBottom w:val="0"/>
                  <w:divBdr>
                    <w:top w:val="none" w:sz="0" w:space="0" w:color="auto"/>
                    <w:left w:val="none" w:sz="0" w:space="0" w:color="auto"/>
                    <w:bottom w:val="none" w:sz="0" w:space="0" w:color="auto"/>
                    <w:right w:val="none" w:sz="0" w:space="0" w:color="auto"/>
                  </w:divBdr>
                </w:div>
                <w:div w:id="294138476">
                  <w:marLeft w:val="0"/>
                  <w:marRight w:val="0"/>
                  <w:marTop w:val="0"/>
                  <w:marBottom w:val="0"/>
                  <w:divBdr>
                    <w:top w:val="none" w:sz="0" w:space="0" w:color="auto"/>
                    <w:left w:val="none" w:sz="0" w:space="0" w:color="auto"/>
                    <w:bottom w:val="none" w:sz="0" w:space="0" w:color="auto"/>
                    <w:right w:val="none" w:sz="0" w:space="0" w:color="auto"/>
                  </w:divBdr>
                </w:div>
                <w:div w:id="294138574">
                  <w:marLeft w:val="0"/>
                  <w:marRight w:val="0"/>
                  <w:marTop w:val="0"/>
                  <w:marBottom w:val="0"/>
                  <w:divBdr>
                    <w:top w:val="none" w:sz="0" w:space="0" w:color="auto"/>
                    <w:left w:val="none" w:sz="0" w:space="0" w:color="auto"/>
                    <w:bottom w:val="none" w:sz="0" w:space="0" w:color="auto"/>
                    <w:right w:val="none" w:sz="0" w:space="0" w:color="auto"/>
                  </w:divBdr>
                </w:div>
                <w:div w:id="294138646">
                  <w:marLeft w:val="0"/>
                  <w:marRight w:val="0"/>
                  <w:marTop w:val="0"/>
                  <w:marBottom w:val="0"/>
                  <w:divBdr>
                    <w:top w:val="none" w:sz="0" w:space="0" w:color="auto"/>
                    <w:left w:val="none" w:sz="0" w:space="0" w:color="auto"/>
                    <w:bottom w:val="none" w:sz="0" w:space="0" w:color="auto"/>
                    <w:right w:val="none" w:sz="0" w:space="0" w:color="auto"/>
                  </w:divBdr>
                </w:div>
                <w:div w:id="294138762">
                  <w:marLeft w:val="0"/>
                  <w:marRight w:val="0"/>
                  <w:marTop w:val="0"/>
                  <w:marBottom w:val="0"/>
                  <w:divBdr>
                    <w:top w:val="none" w:sz="0" w:space="0" w:color="auto"/>
                    <w:left w:val="none" w:sz="0" w:space="0" w:color="auto"/>
                    <w:bottom w:val="none" w:sz="0" w:space="0" w:color="auto"/>
                    <w:right w:val="none" w:sz="0" w:space="0" w:color="auto"/>
                  </w:divBdr>
                </w:div>
                <w:div w:id="294138793">
                  <w:marLeft w:val="0"/>
                  <w:marRight w:val="0"/>
                  <w:marTop w:val="0"/>
                  <w:marBottom w:val="0"/>
                  <w:divBdr>
                    <w:top w:val="none" w:sz="0" w:space="0" w:color="auto"/>
                    <w:left w:val="none" w:sz="0" w:space="0" w:color="auto"/>
                    <w:bottom w:val="none" w:sz="0" w:space="0" w:color="auto"/>
                    <w:right w:val="none" w:sz="0" w:space="0" w:color="auto"/>
                  </w:divBdr>
                </w:div>
                <w:div w:id="294138812">
                  <w:marLeft w:val="0"/>
                  <w:marRight w:val="0"/>
                  <w:marTop w:val="0"/>
                  <w:marBottom w:val="0"/>
                  <w:divBdr>
                    <w:top w:val="none" w:sz="0" w:space="0" w:color="auto"/>
                    <w:left w:val="none" w:sz="0" w:space="0" w:color="auto"/>
                    <w:bottom w:val="none" w:sz="0" w:space="0" w:color="auto"/>
                    <w:right w:val="none" w:sz="0" w:space="0" w:color="auto"/>
                  </w:divBdr>
                </w:div>
                <w:div w:id="294138841">
                  <w:marLeft w:val="0"/>
                  <w:marRight w:val="0"/>
                  <w:marTop w:val="0"/>
                  <w:marBottom w:val="0"/>
                  <w:divBdr>
                    <w:top w:val="none" w:sz="0" w:space="0" w:color="auto"/>
                    <w:left w:val="none" w:sz="0" w:space="0" w:color="auto"/>
                    <w:bottom w:val="none" w:sz="0" w:space="0" w:color="auto"/>
                    <w:right w:val="none" w:sz="0" w:space="0" w:color="auto"/>
                  </w:divBdr>
                </w:div>
                <w:div w:id="294138895">
                  <w:marLeft w:val="0"/>
                  <w:marRight w:val="0"/>
                  <w:marTop w:val="0"/>
                  <w:marBottom w:val="0"/>
                  <w:divBdr>
                    <w:top w:val="none" w:sz="0" w:space="0" w:color="auto"/>
                    <w:left w:val="none" w:sz="0" w:space="0" w:color="auto"/>
                    <w:bottom w:val="none" w:sz="0" w:space="0" w:color="auto"/>
                    <w:right w:val="none" w:sz="0" w:space="0" w:color="auto"/>
                  </w:divBdr>
                </w:div>
                <w:div w:id="294139012">
                  <w:marLeft w:val="0"/>
                  <w:marRight w:val="0"/>
                  <w:marTop w:val="0"/>
                  <w:marBottom w:val="0"/>
                  <w:divBdr>
                    <w:top w:val="none" w:sz="0" w:space="0" w:color="auto"/>
                    <w:left w:val="none" w:sz="0" w:space="0" w:color="auto"/>
                    <w:bottom w:val="none" w:sz="0" w:space="0" w:color="auto"/>
                    <w:right w:val="none" w:sz="0" w:space="0" w:color="auto"/>
                  </w:divBdr>
                </w:div>
                <w:div w:id="294139263">
                  <w:marLeft w:val="0"/>
                  <w:marRight w:val="0"/>
                  <w:marTop w:val="0"/>
                  <w:marBottom w:val="0"/>
                  <w:divBdr>
                    <w:top w:val="none" w:sz="0" w:space="0" w:color="auto"/>
                    <w:left w:val="none" w:sz="0" w:space="0" w:color="auto"/>
                    <w:bottom w:val="none" w:sz="0" w:space="0" w:color="auto"/>
                    <w:right w:val="none" w:sz="0" w:space="0" w:color="auto"/>
                  </w:divBdr>
                </w:div>
                <w:div w:id="294139478">
                  <w:marLeft w:val="0"/>
                  <w:marRight w:val="0"/>
                  <w:marTop w:val="0"/>
                  <w:marBottom w:val="0"/>
                  <w:divBdr>
                    <w:top w:val="none" w:sz="0" w:space="0" w:color="auto"/>
                    <w:left w:val="none" w:sz="0" w:space="0" w:color="auto"/>
                    <w:bottom w:val="none" w:sz="0" w:space="0" w:color="auto"/>
                    <w:right w:val="none" w:sz="0" w:space="0" w:color="auto"/>
                  </w:divBdr>
                </w:div>
                <w:div w:id="294139611">
                  <w:marLeft w:val="0"/>
                  <w:marRight w:val="0"/>
                  <w:marTop w:val="0"/>
                  <w:marBottom w:val="0"/>
                  <w:divBdr>
                    <w:top w:val="none" w:sz="0" w:space="0" w:color="auto"/>
                    <w:left w:val="none" w:sz="0" w:space="0" w:color="auto"/>
                    <w:bottom w:val="none" w:sz="0" w:space="0" w:color="auto"/>
                    <w:right w:val="none" w:sz="0" w:space="0" w:color="auto"/>
                  </w:divBdr>
                </w:div>
                <w:div w:id="294139815">
                  <w:marLeft w:val="0"/>
                  <w:marRight w:val="0"/>
                  <w:marTop w:val="0"/>
                  <w:marBottom w:val="0"/>
                  <w:divBdr>
                    <w:top w:val="none" w:sz="0" w:space="0" w:color="auto"/>
                    <w:left w:val="none" w:sz="0" w:space="0" w:color="auto"/>
                    <w:bottom w:val="none" w:sz="0" w:space="0" w:color="auto"/>
                    <w:right w:val="none" w:sz="0" w:space="0" w:color="auto"/>
                  </w:divBdr>
                </w:div>
                <w:div w:id="294139833">
                  <w:marLeft w:val="0"/>
                  <w:marRight w:val="0"/>
                  <w:marTop w:val="0"/>
                  <w:marBottom w:val="0"/>
                  <w:divBdr>
                    <w:top w:val="none" w:sz="0" w:space="0" w:color="auto"/>
                    <w:left w:val="none" w:sz="0" w:space="0" w:color="auto"/>
                    <w:bottom w:val="none" w:sz="0" w:space="0" w:color="auto"/>
                    <w:right w:val="none" w:sz="0" w:space="0" w:color="auto"/>
                  </w:divBdr>
                </w:div>
                <w:div w:id="294139932">
                  <w:marLeft w:val="0"/>
                  <w:marRight w:val="0"/>
                  <w:marTop w:val="0"/>
                  <w:marBottom w:val="0"/>
                  <w:divBdr>
                    <w:top w:val="none" w:sz="0" w:space="0" w:color="auto"/>
                    <w:left w:val="none" w:sz="0" w:space="0" w:color="auto"/>
                    <w:bottom w:val="none" w:sz="0" w:space="0" w:color="auto"/>
                    <w:right w:val="none" w:sz="0" w:space="0" w:color="auto"/>
                  </w:divBdr>
                </w:div>
                <w:div w:id="294140193">
                  <w:marLeft w:val="0"/>
                  <w:marRight w:val="0"/>
                  <w:marTop w:val="0"/>
                  <w:marBottom w:val="0"/>
                  <w:divBdr>
                    <w:top w:val="none" w:sz="0" w:space="0" w:color="auto"/>
                    <w:left w:val="none" w:sz="0" w:space="0" w:color="auto"/>
                    <w:bottom w:val="none" w:sz="0" w:space="0" w:color="auto"/>
                    <w:right w:val="none" w:sz="0" w:space="0" w:color="auto"/>
                  </w:divBdr>
                </w:div>
                <w:div w:id="294140682">
                  <w:marLeft w:val="0"/>
                  <w:marRight w:val="0"/>
                  <w:marTop w:val="0"/>
                  <w:marBottom w:val="0"/>
                  <w:divBdr>
                    <w:top w:val="none" w:sz="0" w:space="0" w:color="auto"/>
                    <w:left w:val="none" w:sz="0" w:space="0" w:color="auto"/>
                    <w:bottom w:val="none" w:sz="0" w:space="0" w:color="auto"/>
                    <w:right w:val="none" w:sz="0" w:space="0" w:color="auto"/>
                  </w:divBdr>
                </w:div>
                <w:div w:id="294141101">
                  <w:marLeft w:val="0"/>
                  <w:marRight w:val="0"/>
                  <w:marTop w:val="0"/>
                  <w:marBottom w:val="0"/>
                  <w:divBdr>
                    <w:top w:val="none" w:sz="0" w:space="0" w:color="auto"/>
                    <w:left w:val="none" w:sz="0" w:space="0" w:color="auto"/>
                    <w:bottom w:val="none" w:sz="0" w:space="0" w:color="auto"/>
                    <w:right w:val="none" w:sz="0" w:space="0" w:color="auto"/>
                  </w:divBdr>
                </w:div>
                <w:div w:id="294141187">
                  <w:marLeft w:val="0"/>
                  <w:marRight w:val="0"/>
                  <w:marTop w:val="0"/>
                  <w:marBottom w:val="0"/>
                  <w:divBdr>
                    <w:top w:val="none" w:sz="0" w:space="0" w:color="auto"/>
                    <w:left w:val="none" w:sz="0" w:space="0" w:color="auto"/>
                    <w:bottom w:val="none" w:sz="0" w:space="0" w:color="auto"/>
                    <w:right w:val="none" w:sz="0" w:space="0" w:color="auto"/>
                  </w:divBdr>
                </w:div>
                <w:div w:id="294141322">
                  <w:marLeft w:val="0"/>
                  <w:marRight w:val="0"/>
                  <w:marTop w:val="0"/>
                  <w:marBottom w:val="0"/>
                  <w:divBdr>
                    <w:top w:val="none" w:sz="0" w:space="0" w:color="auto"/>
                    <w:left w:val="none" w:sz="0" w:space="0" w:color="auto"/>
                    <w:bottom w:val="none" w:sz="0" w:space="0" w:color="auto"/>
                    <w:right w:val="none" w:sz="0" w:space="0" w:color="auto"/>
                  </w:divBdr>
                </w:div>
                <w:div w:id="294141339">
                  <w:marLeft w:val="0"/>
                  <w:marRight w:val="0"/>
                  <w:marTop w:val="0"/>
                  <w:marBottom w:val="0"/>
                  <w:divBdr>
                    <w:top w:val="none" w:sz="0" w:space="0" w:color="auto"/>
                    <w:left w:val="none" w:sz="0" w:space="0" w:color="auto"/>
                    <w:bottom w:val="none" w:sz="0" w:space="0" w:color="auto"/>
                    <w:right w:val="none" w:sz="0" w:space="0" w:color="auto"/>
                  </w:divBdr>
                </w:div>
                <w:div w:id="294141367">
                  <w:marLeft w:val="0"/>
                  <w:marRight w:val="0"/>
                  <w:marTop w:val="0"/>
                  <w:marBottom w:val="0"/>
                  <w:divBdr>
                    <w:top w:val="none" w:sz="0" w:space="0" w:color="auto"/>
                    <w:left w:val="none" w:sz="0" w:space="0" w:color="auto"/>
                    <w:bottom w:val="none" w:sz="0" w:space="0" w:color="auto"/>
                    <w:right w:val="none" w:sz="0" w:space="0" w:color="auto"/>
                  </w:divBdr>
                </w:div>
                <w:div w:id="294141510">
                  <w:marLeft w:val="0"/>
                  <w:marRight w:val="0"/>
                  <w:marTop w:val="0"/>
                  <w:marBottom w:val="0"/>
                  <w:divBdr>
                    <w:top w:val="none" w:sz="0" w:space="0" w:color="auto"/>
                    <w:left w:val="none" w:sz="0" w:space="0" w:color="auto"/>
                    <w:bottom w:val="none" w:sz="0" w:space="0" w:color="auto"/>
                    <w:right w:val="none" w:sz="0" w:space="0" w:color="auto"/>
                  </w:divBdr>
                </w:div>
                <w:div w:id="294141550">
                  <w:marLeft w:val="0"/>
                  <w:marRight w:val="0"/>
                  <w:marTop w:val="0"/>
                  <w:marBottom w:val="0"/>
                  <w:divBdr>
                    <w:top w:val="none" w:sz="0" w:space="0" w:color="auto"/>
                    <w:left w:val="none" w:sz="0" w:space="0" w:color="auto"/>
                    <w:bottom w:val="none" w:sz="0" w:space="0" w:color="auto"/>
                    <w:right w:val="none" w:sz="0" w:space="0" w:color="auto"/>
                  </w:divBdr>
                </w:div>
                <w:div w:id="294141574">
                  <w:marLeft w:val="0"/>
                  <w:marRight w:val="0"/>
                  <w:marTop w:val="0"/>
                  <w:marBottom w:val="0"/>
                  <w:divBdr>
                    <w:top w:val="none" w:sz="0" w:space="0" w:color="auto"/>
                    <w:left w:val="none" w:sz="0" w:space="0" w:color="auto"/>
                    <w:bottom w:val="none" w:sz="0" w:space="0" w:color="auto"/>
                    <w:right w:val="none" w:sz="0" w:space="0" w:color="auto"/>
                  </w:divBdr>
                </w:div>
                <w:div w:id="294141612">
                  <w:marLeft w:val="0"/>
                  <w:marRight w:val="0"/>
                  <w:marTop w:val="0"/>
                  <w:marBottom w:val="0"/>
                  <w:divBdr>
                    <w:top w:val="none" w:sz="0" w:space="0" w:color="auto"/>
                    <w:left w:val="none" w:sz="0" w:space="0" w:color="auto"/>
                    <w:bottom w:val="none" w:sz="0" w:space="0" w:color="auto"/>
                    <w:right w:val="none" w:sz="0" w:space="0" w:color="auto"/>
                  </w:divBdr>
                </w:div>
                <w:div w:id="294141680">
                  <w:marLeft w:val="0"/>
                  <w:marRight w:val="0"/>
                  <w:marTop w:val="0"/>
                  <w:marBottom w:val="0"/>
                  <w:divBdr>
                    <w:top w:val="none" w:sz="0" w:space="0" w:color="auto"/>
                    <w:left w:val="none" w:sz="0" w:space="0" w:color="auto"/>
                    <w:bottom w:val="none" w:sz="0" w:space="0" w:color="auto"/>
                    <w:right w:val="none" w:sz="0" w:space="0" w:color="auto"/>
                  </w:divBdr>
                </w:div>
                <w:div w:id="294142186">
                  <w:marLeft w:val="0"/>
                  <w:marRight w:val="0"/>
                  <w:marTop w:val="0"/>
                  <w:marBottom w:val="0"/>
                  <w:divBdr>
                    <w:top w:val="none" w:sz="0" w:space="0" w:color="auto"/>
                    <w:left w:val="none" w:sz="0" w:space="0" w:color="auto"/>
                    <w:bottom w:val="none" w:sz="0" w:space="0" w:color="auto"/>
                    <w:right w:val="none" w:sz="0" w:space="0" w:color="auto"/>
                  </w:divBdr>
                </w:div>
                <w:div w:id="294142224">
                  <w:marLeft w:val="0"/>
                  <w:marRight w:val="0"/>
                  <w:marTop w:val="0"/>
                  <w:marBottom w:val="0"/>
                  <w:divBdr>
                    <w:top w:val="none" w:sz="0" w:space="0" w:color="auto"/>
                    <w:left w:val="none" w:sz="0" w:space="0" w:color="auto"/>
                    <w:bottom w:val="none" w:sz="0" w:space="0" w:color="auto"/>
                    <w:right w:val="none" w:sz="0" w:space="0" w:color="auto"/>
                  </w:divBdr>
                </w:div>
                <w:div w:id="294142271">
                  <w:marLeft w:val="0"/>
                  <w:marRight w:val="0"/>
                  <w:marTop w:val="0"/>
                  <w:marBottom w:val="0"/>
                  <w:divBdr>
                    <w:top w:val="none" w:sz="0" w:space="0" w:color="auto"/>
                    <w:left w:val="none" w:sz="0" w:space="0" w:color="auto"/>
                    <w:bottom w:val="none" w:sz="0" w:space="0" w:color="auto"/>
                    <w:right w:val="none" w:sz="0" w:space="0" w:color="auto"/>
                  </w:divBdr>
                </w:div>
                <w:div w:id="294142277">
                  <w:marLeft w:val="0"/>
                  <w:marRight w:val="0"/>
                  <w:marTop w:val="0"/>
                  <w:marBottom w:val="0"/>
                  <w:divBdr>
                    <w:top w:val="none" w:sz="0" w:space="0" w:color="auto"/>
                    <w:left w:val="none" w:sz="0" w:space="0" w:color="auto"/>
                    <w:bottom w:val="none" w:sz="0" w:space="0" w:color="auto"/>
                    <w:right w:val="none" w:sz="0" w:space="0" w:color="auto"/>
                  </w:divBdr>
                </w:div>
                <w:div w:id="294142808">
                  <w:marLeft w:val="0"/>
                  <w:marRight w:val="0"/>
                  <w:marTop w:val="0"/>
                  <w:marBottom w:val="0"/>
                  <w:divBdr>
                    <w:top w:val="none" w:sz="0" w:space="0" w:color="auto"/>
                    <w:left w:val="none" w:sz="0" w:space="0" w:color="auto"/>
                    <w:bottom w:val="none" w:sz="0" w:space="0" w:color="auto"/>
                    <w:right w:val="none" w:sz="0" w:space="0" w:color="auto"/>
                  </w:divBdr>
                </w:div>
                <w:div w:id="294143020">
                  <w:marLeft w:val="0"/>
                  <w:marRight w:val="0"/>
                  <w:marTop w:val="0"/>
                  <w:marBottom w:val="0"/>
                  <w:divBdr>
                    <w:top w:val="none" w:sz="0" w:space="0" w:color="auto"/>
                    <w:left w:val="none" w:sz="0" w:space="0" w:color="auto"/>
                    <w:bottom w:val="none" w:sz="0" w:space="0" w:color="auto"/>
                    <w:right w:val="none" w:sz="0" w:space="0" w:color="auto"/>
                  </w:divBdr>
                </w:div>
                <w:div w:id="294143057">
                  <w:marLeft w:val="0"/>
                  <w:marRight w:val="0"/>
                  <w:marTop w:val="0"/>
                  <w:marBottom w:val="0"/>
                  <w:divBdr>
                    <w:top w:val="none" w:sz="0" w:space="0" w:color="auto"/>
                    <w:left w:val="none" w:sz="0" w:space="0" w:color="auto"/>
                    <w:bottom w:val="none" w:sz="0" w:space="0" w:color="auto"/>
                    <w:right w:val="none" w:sz="0" w:space="0" w:color="auto"/>
                  </w:divBdr>
                </w:div>
                <w:div w:id="294143494">
                  <w:marLeft w:val="0"/>
                  <w:marRight w:val="0"/>
                  <w:marTop w:val="0"/>
                  <w:marBottom w:val="0"/>
                  <w:divBdr>
                    <w:top w:val="none" w:sz="0" w:space="0" w:color="auto"/>
                    <w:left w:val="none" w:sz="0" w:space="0" w:color="auto"/>
                    <w:bottom w:val="none" w:sz="0" w:space="0" w:color="auto"/>
                    <w:right w:val="none" w:sz="0" w:space="0" w:color="auto"/>
                  </w:divBdr>
                </w:div>
                <w:div w:id="294143633">
                  <w:marLeft w:val="0"/>
                  <w:marRight w:val="0"/>
                  <w:marTop w:val="0"/>
                  <w:marBottom w:val="0"/>
                  <w:divBdr>
                    <w:top w:val="none" w:sz="0" w:space="0" w:color="auto"/>
                    <w:left w:val="none" w:sz="0" w:space="0" w:color="auto"/>
                    <w:bottom w:val="none" w:sz="0" w:space="0" w:color="auto"/>
                    <w:right w:val="none" w:sz="0" w:space="0" w:color="auto"/>
                  </w:divBdr>
                </w:div>
                <w:div w:id="294143796">
                  <w:marLeft w:val="0"/>
                  <w:marRight w:val="0"/>
                  <w:marTop w:val="0"/>
                  <w:marBottom w:val="0"/>
                  <w:divBdr>
                    <w:top w:val="none" w:sz="0" w:space="0" w:color="auto"/>
                    <w:left w:val="none" w:sz="0" w:space="0" w:color="auto"/>
                    <w:bottom w:val="none" w:sz="0" w:space="0" w:color="auto"/>
                    <w:right w:val="none" w:sz="0" w:space="0" w:color="auto"/>
                  </w:divBdr>
                </w:div>
                <w:div w:id="294143827">
                  <w:marLeft w:val="0"/>
                  <w:marRight w:val="0"/>
                  <w:marTop w:val="0"/>
                  <w:marBottom w:val="0"/>
                  <w:divBdr>
                    <w:top w:val="none" w:sz="0" w:space="0" w:color="auto"/>
                    <w:left w:val="none" w:sz="0" w:space="0" w:color="auto"/>
                    <w:bottom w:val="none" w:sz="0" w:space="0" w:color="auto"/>
                    <w:right w:val="none" w:sz="0" w:space="0" w:color="auto"/>
                  </w:divBdr>
                </w:div>
                <w:div w:id="294144276">
                  <w:marLeft w:val="0"/>
                  <w:marRight w:val="0"/>
                  <w:marTop w:val="0"/>
                  <w:marBottom w:val="0"/>
                  <w:divBdr>
                    <w:top w:val="none" w:sz="0" w:space="0" w:color="auto"/>
                    <w:left w:val="none" w:sz="0" w:space="0" w:color="auto"/>
                    <w:bottom w:val="none" w:sz="0" w:space="0" w:color="auto"/>
                    <w:right w:val="none" w:sz="0" w:space="0" w:color="auto"/>
                  </w:divBdr>
                </w:div>
                <w:div w:id="294144391">
                  <w:marLeft w:val="0"/>
                  <w:marRight w:val="0"/>
                  <w:marTop w:val="0"/>
                  <w:marBottom w:val="0"/>
                  <w:divBdr>
                    <w:top w:val="none" w:sz="0" w:space="0" w:color="auto"/>
                    <w:left w:val="none" w:sz="0" w:space="0" w:color="auto"/>
                    <w:bottom w:val="none" w:sz="0" w:space="0" w:color="auto"/>
                    <w:right w:val="none" w:sz="0" w:space="0" w:color="auto"/>
                  </w:divBdr>
                </w:div>
                <w:div w:id="294144394">
                  <w:marLeft w:val="0"/>
                  <w:marRight w:val="0"/>
                  <w:marTop w:val="0"/>
                  <w:marBottom w:val="0"/>
                  <w:divBdr>
                    <w:top w:val="none" w:sz="0" w:space="0" w:color="auto"/>
                    <w:left w:val="none" w:sz="0" w:space="0" w:color="auto"/>
                    <w:bottom w:val="none" w:sz="0" w:space="0" w:color="auto"/>
                    <w:right w:val="none" w:sz="0" w:space="0" w:color="auto"/>
                  </w:divBdr>
                </w:div>
                <w:div w:id="294144777">
                  <w:marLeft w:val="0"/>
                  <w:marRight w:val="0"/>
                  <w:marTop w:val="0"/>
                  <w:marBottom w:val="0"/>
                  <w:divBdr>
                    <w:top w:val="none" w:sz="0" w:space="0" w:color="auto"/>
                    <w:left w:val="none" w:sz="0" w:space="0" w:color="auto"/>
                    <w:bottom w:val="none" w:sz="0" w:space="0" w:color="auto"/>
                    <w:right w:val="none" w:sz="0" w:space="0" w:color="auto"/>
                  </w:divBdr>
                </w:div>
                <w:div w:id="294144836">
                  <w:marLeft w:val="0"/>
                  <w:marRight w:val="0"/>
                  <w:marTop w:val="0"/>
                  <w:marBottom w:val="0"/>
                  <w:divBdr>
                    <w:top w:val="none" w:sz="0" w:space="0" w:color="auto"/>
                    <w:left w:val="none" w:sz="0" w:space="0" w:color="auto"/>
                    <w:bottom w:val="none" w:sz="0" w:space="0" w:color="auto"/>
                    <w:right w:val="none" w:sz="0" w:space="0" w:color="auto"/>
                  </w:divBdr>
                </w:div>
                <w:div w:id="294145055">
                  <w:marLeft w:val="0"/>
                  <w:marRight w:val="0"/>
                  <w:marTop w:val="0"/>
                  <w:marBottom w:val="0"/>
                  <w:divBdr>
                    <w:top w:val="none" w:sz="0" w:space="0" w:color="auto"/>
                    <w:left w:val="none" w:sz="0" w:space="0" w:color="auto"/>
                    <w:bottom w:val="none" w:sz="0" w:space="0" w:color="auto"/>
                    <w:right w:val="none" w:sz="0" w:space="0" w:color="auto"/>
                  </w:divBdr>
                </w:div>
                <w:div w:id="294145662">
                  <w:marLeft w:val="0"/>
                  <w:marRight w:val="0"/>
                  <w:marTop w:val="0"/>
                  <w:marBottom w:val="0"/>
                  <w:divBdr>
                    <w:top w:val="none" w:sz="0" w:space="0" w:color="auto"/>
                    <w:left w:val="none" w:sz="0" w:space="0" w:color="auto"/>
                    <w:bottom w:val="none" w:sz="0" w:space="0" w:color="auto"/>
                    <w:right w:val="none" w:sz="0" w:space="0" w:color="auto"/>
                  </w:divBdr>
                </w:div>
                <w:div w:id="294145750">
                  <w:marLeft w:val="0"/>
                  <w:marRight w:val="0"/>
                  <w:marTop w:val="0"/>
                  <w:marBottom w:val="0"/>
                  <w:divBdr>
                    <w:top w:val="none" w:sz="0" w:space="0" w:color="auto"/>
                    <w:left w:val="none" w:sz="0" w:space="0" w:color="auto"/>
                    <w:bottom w:val="none" w:sz="0" w:space="0" w:color="auto"/>
                    <w:right w:val="none" w:sz="0" w:space="0" w:color="auto"/>
                  </w:divBdr>
                </w:div>
                <w:div w:id="294145829">
                  <w:marLeft w:val="0"/>
                  <w:marRight w:val="0"/>
                  <w:marTop w:val="0"/>
                  <w:marBottom w:val="0"/>
                  <w:divBdr>
                    <w:top w:val="none" w:sz="0" w:space="0" w:color="auto"/>
                    <w:left w:val="none" w:sz="0" w:space="0" w:color="auto"/>
                    <w:bottom w:val="none" w:sz="0" w:space="0" w:color="auto"/>
                    <w:right w:val="none" w:sz="0" w:space="0" w:color="auto"/>
                  </w:divBdr>
                </w:div>
                <w:div w:id="294146121">
                  <w:marLeft w:val="0"/>
                  <w:marRight w:val="0"/>
                  <w:marTop w:val="0"/>
                  <w:marBottom w:val="0"/>
                  <w:divBdr>
                    <w:top w:val="none" w:sz="0" w:space="0" w:color="auto"/>
                    <w:left w:val="none" w:sz="0" w:space="0" w:color="auto"/>
                    <w:bottom w:val="none" w:sz="0" w:space="0" w:color="auto"/>
                    <w:right w:val="none" w:sz="0" w:space="0" w:color="auto"/>
                  </w:divBdr>
                </w:div>
                <w:div w:id="294146294">
                  <w:marLeft w:val="0"/>
                  <w:marRight w:val="0"/>
                  <w:marTop w:val="0"/>
                  <w:marBottom w:val="0"/>
                  <w:divBdr>
                    <w:top w:val="none" w:sz="0" w:space="0" w:color="auto"/>
                    <w:left w:val="none" w:sz="0" w:space="0" w:color="auto"/>
                    <w:bottom w:val="none" w:sz="0" w:space="0" w:color="auto"/>
                    <w:right w:val="none" w:sz="0" w:space="0" w:color="auto"/>
                  </w:divBdr>
                </w:div>
                <w:div w:id="294147166">
                  <w:marLeft w:val="0"/>
                  <w:marRight w:val="0"/>
                  <w:marTop w:val="0"/>
                  <w:marBottom w:val="0"/>
                  <w:divBdr>
                    <w:top w:val="none" w:sz="0" w:space="0" w:color="auto"/>
                    <w:left w:val="none" w:sz="0" w:space="0" w:color="auto"/>
                    <w:bottom w:val="none" w:sz="0" w:space="0" w:color="auto"/>
                    <w:right w:val="none" w:sz="0" w:space="0" w:color="auto"/>
                  </w:divBdr>
                </w:div>
                <w:div w:id="294147427">
                  <w:marLeft w:val="0"/>
                  <w:marRight w:val="0"/>
                  <w:marTop w:val="0"/>
                  <w:marBottom w:val="0"/>
                  <w:divBdr>
                    <w:top w:val="none" w:sz="0" w:space="0" w:color="auto"/>
                    <w:left w:val="none" w:sz="0" w:space="0" w:color="auto"/>
                    <w:bottom w:val="none" w:sz="0" w:space="0" w:color="auto"/>
                    <w:right w:val="none" w:sz="0" w:space="0" w:color="auto"/>
                  </w:divBdr>
                </w:div>
                <w:div w:id="294147477">
                  <w:marLeft w:val="0"/>
                  <w:marRight w:val="0"/>
                  <w:marTop w:val="0"/>
                  <w:marBottom w:val="0"/>
                  <w:divBdr>
                    <w:top w:val="none" w:sz="0" w:space="0" w:color="auto"/>
                    <w:left w:val="none" w:sz="0" w:space="0" w:color="auto"/>
                    <w:bottom w:val="none" w:sz="0" w:space="0" w:color="auto"/>
                    <w:right w:val="none" w:sz="0" w:space="0" w:color="auto"/>
                  </w:divBdr>
                </w:div>
                <w:div w:id="294147481">
                  <w:marLeft w:val="0"/>
                  <w:marRight w:val="0"/>
                  <w:marTop w:val="0"/>
                  <w:marBottom w:val="0"/>
                  <w:divBdr>
                    <w:top w:val="none" w:sz="0" w:space="0" w:color="auto"/>
                    <w:left w:val="none" w:sz="0" w:space="0" w:color="auto"/>
                    <w:bottom w:val="none" w:sz="0" w:space="0" w:color="auto"/>
                    <w:right w:val="none" w:sz="0" w:space="0" w:color="auto"/>
                  </w:divBdr>
                </w:div>
                <w:div w:id="294147862">
                  <w:marLeft w:val="0"/>
                  <w:marRight w:val="0"/>
                  <w:marTop w:val="0"/>
                  <w:marBottom w:val="0"/>
                  <w:divBdr>
                    <w:top w:val="none" w:sz="0" w:space="0" w:color="auto"/>
                    <w:left w:val="none" w:sz="0" w:space="0" w:color="auto"/>
                    <w:bottom w:val="none" w:sz="0" w:space="0" w:color="auto"/>
                    <w:right w:val="none" w:sz="0" w:space="0" w:color="auto"/>
                  </w:divBdr>
                </w:div>
                <w:div w:id="294147887">
                  <w:marLeft w:val="0"/>
                  <w:marRight w:val="0"/>
                  <w:marTop w:val="0"/>
                  <w:marBottom w:val="0"/>
                  <w:divBdr>
                    <w:top w:val="none" w:sz="0" w:space="0" w:color="auto"/>
                    <w:left w:val="none" w:sz="0" w:space="0" w:color="auto"/>
                    <w:bottom w:val="none" w:sz="0" w:space="0" w:color="auto"/>
                    <w:right w:val="none" w:sz="0" w:space="0" w:color="auto"/>
                  </w:divBdr>
                </w:div>
                <w:div w:id="294147922">
                  <w:marLeft w:val="0"/>
                  <w:marRight w:val="0"/>
                  <w:marTop w:val="0"/>
                  <w:marBottom w:val="0"/>
                  <w:divBdr>
                    <w:top w:val="none" w:sz="0" w:space="0" w:color="auto"/>
                    <w:left w:val="none" w:sz="0" w:space="0" w:color="auto"/>
                    <w:bottom w:val="none" w:sz="0" w:space="0" w:color="auto"/>
                    <w:right w:val="none" w:sz="0" w:space="0" w:color="auto"/>
                  </w:divBdr>
                </w:div>
                <w:div w:id="294148046">
                  <w:marLeft w:val="0"/>
                  <w:marRight w:val="0"/>
                  <w:marTop w:val="0"/>
                  <w:marBottom w:val="0"/>
                  <w:divBdr>
                    <w:top w:val="none" w:sz="0" w:space="0" w:color="auto"/>
                    <w:left w:val="none" w:sz="0" w:space="0" w:color="auto"/>
                    <w:bottom w:val="none" w:sz="0" w:space="0" w:color="auto"/>
                    <w:right w:val="none" w:sz="0" w:space="0" w:color="auto"/>
                  </w:divBdr>
                </w:div>
                <w:div w:id="294148117">
                  <w:marLeft w:val="0"/>
                  <w:marRight w:val="0"/>
                  <w:marTop w:val="0"/>
                  <w:marBottom w:val="0"/>
                  <w:divBdr>
                    <w:top w:val="none" w:sz="0" w:space="0" w:color="auto"/>
                    <w:left w:val="none" w:sz="0" w:space="0" w:color="auto"/>
                    <w:bottom w:val="none" w:sz="0" w:space="0" w:color="auto"/>
                    <w:right w:val="none" w:sz="0" w:space="0" w:color="auto"/>
                  </w:divBdr>
                </w:div>
                <w:div w:id="294148280">
                  <w:marLeft w:val="0"/>
                  <w:marRight w:val="0"/>
                  <w:marTop w:val="0"/>
                  <w:marBottom w:val="0"/>
                  <w:divBdr>
                    <w:top w:val="none" w:sz="0" w:space="0" w:color="auto"/>
                    <w:left w:val="none" w:sz="0" w:space="0" w:color="auto"/>
                    <w:bottom w:val="none" w:sz="0" w:space="0" w:color="auto"/>
                    <w:right w:val="none" w:sz="0" w:space="0" w:color="auto"/>
                  </w:divBdr>
                </w:div>
                <w:div w:id="294148450">
                  <w:marLeft w:val="0"/>
                  <w:marRight w:val="0"/>
                  <w:marTop w:val="0"/>
                  <w:marBottom w:val="0"/>
                  <w:divBdr>
                    <w:top w:val="none" w:sz="0" w:space="0" w:color="auto"/>
                    <w:left w:val="none" w:sz="0" w:space="0" w:color="auto"/>
                    <w:bottom w:val="none" w:sz="0" w:space="0" w:color="auto"/>
                    <w:right w:val="none" w:sz="0" w:space="0" w:color="auto"/>
                  </w:divBdr>
                </w:div>
                <w:div w:id="294148637">
                  <w:marLeft w:val="0"/>
                  <w:marRight w:val="0"/>
                  <w:marTop w:val="0"/>
                  <w:marBottom w:val="0"/>
                  <w:divBdr>
                    <w:top w:val="none" w:sz="0" w:space="0" w:color="auto"/>
                    <w:left w:val="none" w:sz="0" w:space="0" w:color="auto"/>
                    <w:bottom w:val="none" w:sz="0" w:space="0" w:color="auto"/>
                    <w:right w:val="none" w:sz="0" w:space="0" w:color="auto"/>
                  </w:divBdr>
                </w:div>
                <w:div w:id="294148980">
                  <w:marLeft w:val="0"/>
                  <w:marRight w:val="0"/>
                  <w:marTop w:val="0"/>
                  <w:marBottom w:val="0"/>
                  <w:divBdr>
                    <w:top w:val="none" w:sz="0" w:space="0" w:color="auto"/>
                    <w:left w:val="none" w:sz="0" w:space="0" w:color="auto"/>
                    <w:bottom w:val="none" w:sz="0" w:space="0" w:color="auto"/>
                    <w:right w:val="none" w:sz="0" w:space="0" w:color="auto"/>
                  </w:divBdr>
                </w:div>
                <w:div w:id="294149209">
                  <w:marLeft w:val="0"/>
                  <w:marRight w:val="0"/>
                  <w:marTop w:val="0"/>
                  <w:marBottom w:val="0"/>
                  <w:divBdr>
                    <w:top w:val="none" w:sz="0" w:space="0" w:color="auto"/>
                    <w:left w:val="none" w:sz="0" w:space="0" w:color="auto"/>
                    <w:bottom w:val="none" w:sz="0" w:space="0" w:color="auto"/>
                    <w:right w:val="none" w:sz="0" w:space="0" w:color="auto"/>
                  </w:divBdr>
                </w:div>
                <w:div w:id="294149314">
                  <w:marLeft w:val="0"/>
                  <w:marRight w:val="0"/>
                  <w:marTop w:val="0"/>
                  <w:marBottom w:val="0"/>
                  <w:divBdr>
                    <w:top w:val="none" w:sz="0" w:space="0" w:color="auto"/>
                    <w:left w:val="none" w:sz="0" w:space="0" w:color="auto"/>
                    <w:bottom w:val="none" w:sz="0" w:space="0" w:color="auto"/>
                    <w:right w:val="none" w:sz="0" w:space="0" w:color="auto"/>
                  </w:divBdr>
                </w:div>
                <w:div w:id="294149404">
                  <w:marLeft w:val="0"/>
                  <w:marRight w:val="0"/>
                  <w:marTop w:val="0"/>
                  <w:marBottom w:val="0"/>
                  <w:divBdr>
                    <w:top w:val="none" w:sz="0" w:space="0" w:color="auto"/>
                    <w:left w:val="none" w:sz="0" w:space="0" w:color="auto"/>
                    <w:bottom w:val="none" w:sz="0" w:space="0" w:color="auto"/>
                    <w:right w:val="none" w:sz="0" w:space="0" w:color="auto"/>
                  </w:divBdr>
                </w:div>
                <w:div w:id="294149423">
                  <w:marLeft w:val="0"/>
                  <w:marRight w:val="0"/>
                  <w:marTop w:val="0"/>
                  <w:marBottom w:val="0"/>
                  <w:divBdr>
                    <w:top w:val="none" w:sz="0" w:space="0" w:color="auto"/>
                    <w:left w:val="none" w:sz="0" w:space="0" w:color="auto"/>
                    <w:bottom w:val="none" w:sz="0" w:space="0" w:color="auto"/>
                    <w:right w:val="none" w:sz="0" w:space="0" w:color="auto"/>
                  </w:divBdr>
                </w:div>
                <w:div w:id="294149498">
                  <w:marLeft w:val="0"/>
                  <w:marRight w:val="0"/>
                  <w:marTop w:val="0"/>
                  <w:marBottom w:val="0"/>
                  <w:divBdr>
                    <w:top w:val="none" w:sz="0" w:space="0" w:color="auto"/>
                    <w:left w:val="none" w:sz="0" w:space="0" w:color="auto"/>
                    <w:bottom w:val="none" w:sz="0" w:space="0" w:color="auto"/>
                    <w:right w:val="none" w:sz="0" w:space="0" w:color="auto"/>
                  </w:divBdr>
                </w:div>
                <w:div w:id="294149553">
                  <w:marLeft w:val="0"/>
                  <w:marRight w:val="0"/>
                  <w:marTop w:val="0"/>
                  <w:marBottom w:val="0"/>
                  <w:divBdr>
                    <w:top w:val="none" w:sz="0" w:space="0" w:color="auto"/>
                    <w:left w:val="none" w:sz="0" w:space="0" w:color="auto"/>
                    <w:bottom w:val="none" w:sz="0" w:space="0" w:color="auto"/>
                    <w:right w:val="none" w:sz="0" w:space="0" w:color="auto"/>
                  </w:divBdr>
                </w:div>
                <w:div w:id="294149822">
                  <w:marLeft w:val="0"/>
                  <w:marRight w:val="0"/>
                  <w:marTop w:val="0"/>
                  <w:marBottom w:val="0"/>
                  <w:divBdr>
                    <w:top w:val="none" w:sz="0" w:space="0" w:color="auto"/>
                    <w:left w:val="none" w:sz="0" w:space="0" w:color="auto"/>
                    <w:bottom w:val="none" w:sz="0" w:space="0" w:color="auto"/>
                    <w:right w:val="none" w:sz="0" w:space="0" w:color="auto"/>
                  </w:divBdr>
                </w:div>
                <w:div w:id="294149849">
                  <w:marLeft w:val="0"/>
                  <w:marRight w:val="0"/>
                  <w:marTop w:val="0"/>
                  <w:marBottom w:val="0"/>
                  <w:divBdr>
                    <w:top w:val="none" w:sz="0" w:space="0" w:color="auto"/>
                    <w:left w:val="none" w:sz="0" w:space="0" w:color="auto"/>
                    <w:bottom w:val="none" w:sz="0" w:space="0" w:color="auto"/>
                    <w:right w:val="none" w:sz="0" w:space="0" w:color="auto"/>
                  </w:divBdr>
                </w:div>
                <w:div w:id="294150131">
                  <w:marLeft w:val="0"/>
                  <w:marRight w:val="0"/>
                  <w:marTop w:val="0"/>
                  <w:marBottom w:val="0"/>
                  <w:divBdr>
                    <w:top w:val="none" w:sz="0" w:space="0" w:color="auto"/>
                    <w:left w:val="none" w:sz="0" w:space="0" w:color="auto"/>
                    <w:bottom w:val="none" w:sz="0" w:space="0" w:color="auto"/>
                    <w:right w:val="none" w:sz="0" w:space="0" w:color="auto"/>
                  </w:divBdr>
                </w:div>
                <w:div w:id="294150563">
                  <w:marLeft w:val="0"/>
                  <w:marRight w:val="0"/>
                  <w:marTop w:val="0"/>
                  <w:marBottom w:val="0"/>
                  <w:divBdr>
                    <w:top w:val="none" w:sz="0" w:space="0" w:color="auto"/>
                    <w:left w:val="none" w:sz="0" w:space="0" w:color="auto"/>
                    <w:bottom w:val="none" w:sz="0" w:space="0" w:color="auto"/>
                    <w:right w:val="none" w:sz="0" w:space="0" w:color="auto"/>
                  </w:divBdr>
                </w:div>
                <w:div w:id="294150795">
                  <w:marLeft w:val="0"/>
                  <w:marRight w:val="0"/>
                  <w:marTop w:val="0"/>
                  <w:marBottom w:val="0"/>
                  <w:divBdr>
                    <w:top w:val="none" w:sz="0" w:space="0" w:color="auto"/>
                    <w:left w:val="none" w:sz="0" w:space="0" w:color="auto"/>
                    <w:bottom w:val="none" w:sz="0" w:space="0" w:color="auto"/>
                    <w:right w:val="none" w:sz="0" w:space="0" w:color="auto"/>
                  </w:divBdr>
                </w:div>
                <w:div w:id="294151095">
                  <w:marLeft w:val="0"/>
                  <w:marRight w:val="0"/>
                  <w:marTop w:val="0"/>
                  <w:marBottom w:val="0"/>
                  <w:divBdr>
                    <w:top w:val="none" w:sz="0" w:space="0" w:color="auto"/>
                    <w:left w:val="none" w:sz="0" w:space="0" w:color="auto"/>
                    <w:bottom w:val="none" w:sz="0" w:space="0" w:color="auto"/>
                    <w:right w:val="none" w:sz="0" w:space="0" w:color="auto"/>
                  </w:divBdr>
                </w:div>
                <w:div w:id="294151385">
                  <w:marLeft w:val="0"/>
                  <w:marRight w:val="0"/>
                  <w:marTop w:val="0"/>
                  <w:marBottom w:val="0"/>
                  <w:divBdr>
                    <w:top w:val="none" w:sz="0" w:space="0" w:color="auto"/>
                    <w:left w:val="none" w:sz="0" w:space="0" w:color="auto"/>
                    <w:bottom w:val="none" w:sz="0" w:space="0" w:color="auto"/>
                    <w:right w:val="none" w:sz="0" w:space="0" w:color="auto"/>
                  </w:divBdr>
                </w:div>
                <w:div w:id="294151549">
                  <w:marLeft w:val="0"/>
                  <w:marRight w:val="0"/>
                  <w:marTop w:val="0"/>
                  <w:marBottom w:val="0"/>
                  <w:divBdr>
                    <w:top w:val="none" w:sz="0" w:space="0" w:color="auto"/>
                    <w:left w:val="none" w:sz="0" w:space="0" w:color="auto"/>
                    <w:bottom w:val="none" w:sz="0" w:space="0" w:color="auto"/>
                    <w:right w:val="none" w:sz="0" w:space="0" w:color="auto"/>
                  </w:divBdr>
                </w:div>
                <w:div w:id="294151554">
                  <w:marLeft w:val="0"/>
                  <w:marRight w:val="0"/>
                  <w:marTop w:val="0"/>
                  <w:marBottom w:val="0"/>
                  <w:divBdr>
                    <w:top w:val="none" w:sz="0" w:space="0" w:color="auto"/>
                    <w:left w:val="none" w:sz="0" w:space="0" w:color="auto"/>
                    <w:bottom w:val="none" w:sz="0" w:space="0" w:color="auto"/>
                    <w:right w:val="none" w:sz="0" w:space="0" w:color="auto"/>
                  </w:divBdr>
                </w:div>
                <w:div w:id="294151654">
                  <w:marLeft w:val="0"/>
                  <w:marRight w:val="0"/>
                  <w:marTop w:val="0"/>
                  <w:marBottom w:val="0"/>
                  <w:divBdr>
                    <w:top w:val="none" w:sz="0" w:space="0" w:color="auto"/>
                    <w:left w:val="none" w:sz="0" w:space="0" w:color="auto"/>
                    <w:bottom w:val="none" w:sz="0" w:space="0" w:color="auto"/>
                    <w:right w:val="none" w:sz="0" w:space="0" w:color="auto"/>
                  </w:divBdr>
                </w:div>
                <w:div w:id="294151866">
                  <w:marLeft w:val="0"/>
                  <w:marRight w:val="0"/>
                  <w:marTop w:val="0"/>
                  <w:marBottom w:val="0"/>
                  <w:divBdr>
                    <w:top w:val="none" w:sz="0" w:space="0" w:color="auto"/>
                    <w:left w:val="none" w:sz="0" w:space="0" w:color="auto"/>
                    <w:bottom w:val="none" w:sz="0" w:space="0" w:color="auto"/>
                    <w:right w:val="none" w:sz="0" w:space="0" w:color="auto"/>
                  </w:divBdr>
                </w:div>
                <w:div w:id="294152112">
                  <w:marLeft w:val="0"/>
                  <w:marRight w:val="0"/>
                  <w:marTop w:val="0"/>
                  <w:marBottom w:val="0"/>
                  <w:divBdr>
                    <w:top w:val="none" w:sz="0" w:space="0" w:color="auto"/>
                    <w:left w:val="none" w:sz="0" w:space="0" w:color="auto"/>
                    <w:bottom w:val="none" w:sz="0" w:space="0" w:color="auto"/>
                    <w:right w:val="none" w:sz="0" w:space="0" w:color="auto"/>
                  </w:divBdr>
                </w:div>
                <w:div w:id="294152558">
                  <w:marLeft w:val="0"/>
                  <w:marRight w:val="0"/>
                  <w:marTop w:val="0"/>
                  <w:marBottom w:val="0"/>
                  <w:divBdr>
                    <w:top w:val="none" w:sz="0" w:space="0" w:color="auto"/>
                    <w:left w:val="none" w:sz="0" w:space="0" w:color="auto"/>
                    <w:bottom w:val="none" w:sz="0" w:space="0" w:color="auto"/>
                    <w:right w:val="none" w:sz="0" w:space="0" w:color="auto"/>
                  </w:divBdr>
                </w:div>
                <w:div w:id="294152742">
                  <w:marLeft w:val="0"/>
                  <w:marRight w:val="0"/>
                  <w:marTop w:val="0"/>
                  <w:marBottom w:val="0"/>
                  <w:divBdr>
                    <w:top w:val="none" w:sz="0" w:space="0" w:color="auto"/>
                    <w:left w:val="none" w:sz="0" w:space="0" w:color="auto"/>
                    <w:bottom w:val="none" w:sz="0" w:space="0" w:color="auto"/>
                    <w:right w:val="none" w:sz="0" w:space="0" w:color="auto"/>
                  </w:divBdr>
                </w:div>
                <w:div w:id="294152872">
                  <w:marLeft w:val="0"/>
                  <w:marRight w:val="0"/>
                  <w:marTop w:val="0"/>
                  <w:marBottom w:val="0"/>
                  <w:divBdr>
                    <w:top w:val="none" w:sz="0" w:space="0" w:color="auto"/>
                    <w:left w:val="none" w:sz="0" w:space="0" w:color="auto"/>
                    <w:bottom w:val="none" w:sz="0" w:space="0" w:color="auto"/>
                    <w:right w:val="none" w:sz="0" w:space="0" w:color="auto"/>
                  </w:divBdr>
                </w:div>
                <w:div w:id="294152942">
                  <w:marLeft w:val="0"/>
                  <w:marRight w:val="0"/>
                  <w:marTop w:val="0"/>
                  <w:marBottom w:val="0"/>
                  <w:divBdr>
                    <w:top w:val="none" w:sz="0" w:space="0" w:color="auto"/>
                    <w:left w:val="none" w:sz="0" w:space="0" w:color="auto"/>
                    <w:bottom w:val="none" w:sz="0" w:space="0" w:color="auto"/>
                    <w:right w:val="none" w:sz="0" w:space="0" w:color="auto"/>
                  </w:divBdr>
                </w:div>
                <w:div w:id="294153081">
                  <w:marLeft w:val="0"/>
                  <w:marRight w:val="0"/>
                  <w:marTop w:val="0"/>
                  <w:marBottom w:val="0"/>
                  <w:divBdr>
                    <w:top w:val="none" w:sz="0" w:space="0" w:color="auto"/>
                    <w:left w:val="none" w:sz="0" w:space="0" w:color="auto"/>
                    <w:bottom w:val="none" w:sz="0" w:space="0" w:color="auto"/>
                    <w:right w:val="none" w:sz="0" w:space="0" w:color="auto"/>
                  </w:divBdr>
                </w:div>
                <w:div w:id="294153535">
                  <w:marLeft w:val="0"/>
                  <w:marRight w:val="0"/>
                  <w:marTop w:val="0"/>
                  <w:marBottom w:val="0"/>
                  <w:divBdr>
                    <w:top w:val="none" w:sz="0" w:space="0" w:color="auto"/>
                    <w:left w:val="none" w:sz="0" w:space="0" w:color="auto"/>
                    <w:bottom w:val="none" w:sz="0" w:space="0" w:color="auto"/>
                    <w:right w:val="none" w:sz="0" w:space="0" w:color="auto"/>
                  </w:divBdr>
                </w:div>
                <w:div w:id="294153572">
                  <w:marLeft w:val="0"/>
                  <w:marRight w:val="0"/>
                  <w:marTop w:val="0"/>
                  <w:marBottom w:val="0"/>
                  <w:divBdr>
                    <w:top w:val="none" w:sz="0" w:space="0" w:color="auto"/>
                    <w:left w:val="none" w:sz="0" w:space="0" w:color="auto"/>
                    <w:bottom w:val="none" w:sz="0" w:space="0" w:color="auto"/>
                    <w:right w:val="none" w:sz="0" w:space="0" w:color="auto"/>
                  </w:divBdr>
                </w:div>
                <w:div w:id="294153589">
                  <w:marLeft w:val="0"/>
                  <w:marRight w:val="0"/>
                  <w:marTop w:val="0"/>
                  <w:marBottom w:val="0"/>
                  <w:divBdr>
                    <w:top w:val="none" w:sz="0" w:space="0" w:color="auto"/>
                    <w:left w:val="none" w:sz="0" w:space="0" w:color="auto"/>
                    <w:bottom w:val="none" w:sz="0" w:space="0" w:color="auto"/>
                    <w:right w:val="none" w:sz="0" w:space="0" w:color="auto"/>
                  </w:divBdr>
                </w:div>
                <w:div w:id="294153682">
                  <w:marLeft w:val="0"/>
                  <w:marRight w:val="0"/>
                  <w:marTop w:val="0"/>
                  <w:marBottom w:val="0"/>
                  <w:divBdr>
                    <w:top w:val="none" w:sz="0" w:space="0" w:color="auto"/>
                    <w:left w:val="none" w:sz="0" w:space="0" w:color="auto"/>
                    <w:bottom w:val="none" w:sz="0" w:space="0" w:color="auto"/>
                    <w:right w:val="none" w:sz="0" w:space="0" w:color="auto"/>
                  </w:divBdr>
                </w:div>
                <w:div w:id="294153784">
                  <w:marLeft w:val="0"/>
                  <w:marRight w:val="0"/>
                  <w:marTop w:val="0"/>
                  <w:marBottom w:val="0"/>
                  <w:divBdr>
                    <w:top w:val="none" w:sz="0" w:space="0" w:color="auto"/>
                    <w:left w:val="none" w:sz="0" w:space="0" w:color="auto"/>
                    <w:bottom w:val="none" w:sz="0" w:space="0" w:color="auto"/>
                    <w:right w:val="none" w:sz="0" w:space="0" w:color="auto"/>
                  </w:divBdr>
                </w:div>
                <w:div w:id="294153991">
                  <w:marLeft w:val="0"/>
                  <w:marRight w:val="0"/>
                  <w:marTop w:val="0"/>
                  <w:marBottom w:val="0"/>
                  <w:divBdr>
                    <w:top w:val="none" w:sz="0" w:space="0" w:color="auto"/>
                    <w:left w:val="none" w:sz="0" w:space="0" w:color="auto"/>
                    <w:bottom w:val="none" w:sz="0" w:space="0" w:color="auto"/>
                    <w:right w:val="none" w:sz="0" w:space="0" w:color="auto"/>
                  </w:divBdr>
                </w:div>
                <w:div w:id="294154119">
                  <w:marLeft w:val="0"/>
                  <w:marRight w:val="0"/>
                  <w:marTop w:val="0"/>
                  <w:marBottom w:val="0"/>
                  <w:divBdr>
                    <w:top w:val="none" w:sz="0" w:space="0" w:color="auto"/>
                    <w:left w:val="none" w:sz="0" w:space="0" w:color="auto"/>
                    <w:bottom w:val="none" w:sz="0" w:space="0" w:color="auto"/>
                    <w:right w:val="none" w:sz="0" w:space="0" w:color="auto"/>
                  </w:divBdr>
                </w:div>
                <w:div w:id="294154377">
                  <w:marLeft w:val="0"/>
                  <w:marRight w:val="0"/>
                  <w:marTop w:val="0"/>
                  <w:marBottom w:val="0"/>
                  <w:divBdr>
                    <w:top w:val="none" w:sz="0" w:space="0" w:color="auto"/>
                    <w:left w:val="none" w:sz="0" w:space="0" w:color="auto"/>
                    <w:bottom w:val="none" w:sz="0" w:space="0" w:color="auto"/>
                    <w:right w:val="none" w:sz="0" w:space="0" w:color="auto"/>
                  </w:divBdr>
                </w:div>
                <w:div w:id="294154456">
                  <w:marLeft w:val="0"/>
                  <w:marRight w:val="0"/>
                  <w:marTop w:val="0"/>
                  <w:marBottom w:val="0"/>
                  <w:divBdr>
                    <w:top w:val="none" w:sz="0" w:space="0" w:color="auto"/>
                    <w:left w:val="none" w:sz="0" w:space="0" w:color="auto"/>
                    <w:bottom w:val="none" w:sz="0" w:space="0" w:color="auto"/>
                    <w:right w:val="none" w:sz="0" w:space="0" w:color="auto"/>
                  </w:divBdr>
                </w:div>
                <w:div w:id="294154498">
                  <w:marLeft w:val="0"/>
                  <w:marRight w:val="0"/>
                  <w:marTop w:val="0"/>
                  <w:marBottom w:val="0"/>
                  <w:divBdr>
                    <w:top w:val="none" w:sz="0" w:space="0" w:color="auto"/>
                    <w:left w:val="none" w:sz="0" w:space="0" w:color="auto"/>
                    <w:bottom w:val="none" w:sz="0" w:space="0" w:color="auto"/>
                    <w:right w:val="none" w:sz="0" w:space="0" w:color="auto"/>
                  </w:divBdr>
                </w:div>
                <w:div w:id="294154531">
                  <w:marLeft w:val="0"/>
                  <w:marRight w:val="0"/>
                  <w:marTop w:val="0"/>
                  <w:marBottom w:val="0"/>
                  <w:divBdr>
                    <w:top w:val="none" w:sz="0" w:space="0" w:color="auto"/>
                    <w:left w:val="none" w:sz="0" w:space="0" w:color="auto"/>
                    <w:bottom w:val="none" w:sz="0" w:space="0" w:color="auto"/>
                    <w:right w:val="none" w:sz="0" w:space="0" w:color="auto"/>
                  </w:divBdr>
                </w:div>
                <w:div w:id="294154826">
                  <w:marLeft w:val="0"/>
                  <w:marRight w:val="0"/>
                  <w:marTop w:val="0"/>
                  <w:marBottom w:val="0"/>
                  <w:divBdr>
                    <w:top w:val="none" w:sz="0" w:space="0" w:color="auto"/>
                    <w:left w:val="none" w:sz="0" w:space="0" w:color="auto"/>
                    <w:bottom w:val="none" w:sz="0" w:space="0" w:color="auto"/>
                    <w:right w:val="none" w:sz="0" w:space="0" w:color="auto"/>
                  </w:divBdr>
                </w:div>
                <w:div w:id="294155314">
                  <w:marLeft w:val="0"/>
                  <w:marRight w:val="0"/>
                  <w:marTop w:val="0"/>
                  <w:marBottom w:val="0"/>
                  <w:divBdr>
                    <w:top w:val="none" w:sz="0" w:space="0" w:color="auto"/>
                    <w:left w:val="none" w:sz="0" w:space="0" w:color="auto"/>
                    <w:bottom w:val="none" w:sz="0" w:space="0" w:color="auto"/>
                    <w:right w:val="none" w:sz="0" w:space="0" w:color="auto"/>
                  </w:divBdr>
                </w:div>
                <w:div w:id="294155373">
                  <w:marLeft w:val="0"/>
                  <w:marRight w:val="0"/>
                  <w:marTop w:val="0"/>
                  <w:marBottom w:val="0"/>
                  <w:divBdr>
                    <w:top w:val="none" w:sz="0" w:space="0" w:color="auto"/>
                    <w:left w:val="none" w:sz="0" w:space="0" w:color="auto"/>
                    <w:bottom w:val="none" w:sz="0" w:space="0" w:color="auto"/>
                    <w:right w:val="none" w:sz="0" w:space="0" w:color="auto"/>
                  </w:divBdr>
                </w:div>
                <w:div w:id="294155460">
                  <w:marLeft w:val="0"/>
                  <w:marRight w:val="0"/>
                  <w:marTop w:val="0"/>
                  <w:marBottom w:val="0"/>
                  <w:divBdr>
                    <w:top w:val="none" w:sz="0" w:space="0" w:color="auto"/>
                    <w:left w:val="none" w:sz="0" w:space="0" w:color="auto"/>
                    <w:bottom w:val="none" w:sz="0" w:space="0" w:color="auto"/>
                    <w:right w:val="none" w:sz="0" w:space="0" w:color="auto"/>
                  </w:divBdr>
                </w:div>
                <w:div w:id="294155696">
                  <w:marLeft w:val="0"/>
                  <w:marRight w:val="0"/>
                  <w:marTop w:val="0"/>
                  <w:marBottom w:val="0"/>
                  <w:divBdr>
                    <w:top w:val="none" w:sz="0" w:space="0" w:color="auto"/>
                    <w:left w:val="none" w:sz="0" w:space="0" w:color="auto"/>
                    <w:bottom w:val="none" w:sz="0" w:space="0" w:color="auto"/>
                    <w:right w:val="none" w:sz="0" w:space="0" w:color="auto"/>
                  </w:divBdr>
                </w:div>
                <w:div w:id="294155790">
                  <w:marLeft w:val="0"/>
                  <w:marRight w:val="0"/>
                  <w:marTop w:val="0"/>
                  <w:marBottom w:val="0"/>
                  <w:divBdr>
                    <w:top w:val="none" w:sz="0" w:space="0" w:color="auto"/>
                    <w:left w:val="none" w:sz="0" w:space="0" w:color="auto"/>
                    <w:bottom w:val="none" w:sz="0" w:space="0" w:color="auto"/>
                    <w:right w:val="none" w:sz="0" w:space="0" w:color="auto"/>
                  </w:divBdr>
                </w:div>
                <w:div w:id="294155960">
                  <w:marLeft w:val="0"/>
                  <w:marRight w:val="0"/>
                  <w:marTop w:val="0"/>
                  <w:marBottom w:val="0"/>
                  <w:divBdr>
                    <w:top w:val="none" w:sz="0" w:space="0" w:color="auto"/>
                    <w:left w:val="none" w:sz="0" w:space="0" w:color="auto"/>
                    <w:bottom w:val="none" w:sz="0" w:space="0" w:color="auto"/>
                    <w:right w:val="none" w:sz="0" w:space="0" w:color="auto"/>
                  </w:divBdr>
                </w:div>
                <w:div w:id="294156011">
                  <w:marLeft w:val="0"/>
                  <w:marRight w:val="0"/>
                  <w:marTop w:val="0"/>
                  <w:marBottom w:val="0"/>
                  <w:divBdr>
                    <w:top w:val="none" w:sz="0" w:space="0" w:color="auto"/>
                    <w:left w:val="none" w:sz="0" w:space="0" w:color="auto"/>
                    <w:bottom w:val="none" w:sz="0" w:space="0" w:color="auto"/>
                    <w:right w:val="none" w:sz="0" w:space="0" w:color="auto"/>
                  </w:divBdr>
                </w:div>
                <w:div w:id="294156215">
                  <w:marLeft w:val="0"/>
                  <w:marRight w:val="0"/>
                  <w:marTop w:val="0"/>
                  <w:marBottom w:val="0"/>
                  <w:divBdr>
                    <w:top w:val="none" w:sz="0" w:space="0" w:color="auto"/>
                    <w:left w:val="none" w:sz="0" w:space="0" w:color="auto"/>
                    <w:bottom w:val="none" w:sz="0" w:space="0" w:color="auto"/>
                    <w:right w:val="none" w:sz="0" w:space="0" w:color="auto"/>
                  </w:divBdr>
                </w:div>
                <w:div w:id="294156391">
                  <w:marLeft w:val="0"/>
                  <w:marRight w:val="0"/>
                  <w:marTop w:val="0"/>
                  <w:marBottom w:val="0"/>
                  <w:divBdr>
                    <w:top w:val="none" w:sz="0" w:space="0" w:color="auto"/>
                    <w:left w:val="none" w:sz="0" w:space="0" w:color="auto"/>
                    <w:bottom w:val="none" w:sz="0" w:space="0" w:color="auto"/>
                    <w:right w:val="none" w:sz="0" w:space="0" w:color="auto"/>
                  </w:divBdr>
                </w:div>
                <w:div w:id="294156560">
                  <w:marLeft w:val="0"/>
                  <w:marRight w:val="0"/>
                  <w:marTop w:val="0"/>
                  <w:marBottom w:val="0"/>
                  <w:divBdr>
                    <w:top w:val="none" w:sz="0" w:space="0" w:color="auto"/>
                    <w:left w:val="none" w:sz="0" w:space="0" w:color="auto"/>
                    <w:bottom w:val="none" w:sz="0" w:space="0" w:color="auto"/>
                    <w:right w:val="none" w:sz="0" w:space="0" w:color="auto"/>
                  </w:divBdr>
                </w:div>
                <w:div w:id="294156577">
                  <w:marLeft w:val="0"/>
                  <w:marRight w:val="0"/>
                  <w:marTop w:val="0"/>
                  <w:marBottom w:val="0"/>
                  <w:divBdr>
                    <w:top w:val="none" w:sz="0" w:space="0" w:color="auto"/>
                    <w:left w:val="none" w:sz="0" w:space="0" w:color="auto"/>
                    <w:bottom w:val="none" w:sz="0" w:space="0" w:color="auto"/>
                    <w:right w:val="none" w:sz="0" w:space="0" w:color="auto"/>
                  </w:divBdr>
                </w:div>
                <w:div w:id="294156658">
                  <w:marLeft w:val="0"/>
                  <w:marRight w:val="0"/>
                  <w:marTop w:val="0"/>
                  <w:marBottom w:val="0"/>
                  <w:divBdr>
                    <w:top w:val="none" w:sz="0" w:space="0" w:color="auto"/>
                    <w:left w:val="none" w:sz="0" w:space="0" w:color="auto"/>
                    <w:bottom w:val="none" w:sz="0" w:space="0" w:color="auto"/>
                    <w:right w:val="none" w:sz="0" w:space="0" w:color="auto"/>
                  </w:divBdr>
                </w:div>
                <w:div w:id="2941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8086">
          <w:marLeft w:val="0"/>
          <w:marRight w:val="0"/>
          <w:marTop w:val="0"/>
          <w:marBottom w:val="0"/>
          <w:divBdr>
            <w:top w:val="none" w:sz="0" w:space="0" w:color="auto"/>
            <w:left w:val="none" w:sz="0" w:space="0" w:color="auto"/>
            <w:bottom w:val="none" w:sz="0" w:space="0" w:color="auto"/>
            <w:right w:val="none" w:sz="0" w:space="0" w:color="auto"/>
          </w:divBdr>
          <w:divsChild>
            <w:div w:id="294154942">
              <w:marLeft w:val="0"/>
              <w:marRight w:val="0"/>
              <w:marTop w:val="0"/>
              <w:marBottom w:val="0"/>
              <w:divBdr>
                <w:top w:val="none" w:sz="0" w:space="0" w:color="auto"/>
                <w:left w:val="none" w:sz="0" w:space="0" w:color="auto"/>
                <w:bottom w:val="none" w:sz="0" w:space="0" w:color="auto"/>
                <w:right w:val="none" w:sz="0" w:space="0" w:color="auto"/>
              </w:divBdr>
              <w:divsChild>
                <w:div w:id="294148858">
                  <w:marLeft w:val="0"/>
                  <w:marRight w:val="0"/>
                  <w:marTop w:val="0"/>
                  <w:marBottom w:val="0"/>
                  <w:divBdr>
                    <w:top w:val="none" w:sz="0" w:space="0" w:color="auto"/>
                    <w:left w:val="none" w:sz="0" w:space="0" w:color="auto"/>
                    <w:bottom w:val="none" w:sz="0" w:space="0" w:color="auto"/>
                    <w:right w:val="none" w:sz="0" w:space="0" w:color="auto"/>
                  </w:divBdr>
                  <w:divsChild>
                    <w:div w:id="294138019">
                      <w:marLeft w:val="0"/>
                      <w:marRight w:val="0"/>
                      <w:marTop w:val="0"/>
                      <w:marBottom w:val="0"/>
                      <w:divBdr>
                        <w:top w:val="none" w:sz="0" w:space="0" w:color="auto"/>
                        <w:left w:val="none" w:sz="0" w:space="0" w:color="auto"/>
                        <w:bottom w:val="none" w:sz="0" w:space="0" w:color="auto"/>
                        <w:right w:val="none" w:sz="0" w:space="0" w:color="auto"/>
                      </w:divBdr>
                    </w:div>
                    <w:div w:id="294138148">
                      <w:marLeft w:val="0"/>
                      <w:marRight w:val="0"/>
                      <w:marTop w:val="0"/>
                      <w:marBottom w:val="0"/>
                      <w:divBdr>
                        <w:top w:val="none" w:sz="0" w:space="0" w:color="auto"/>
                        <w:left w:val="none" w:sz="0" w:space="0" w:color="auto"/>
                        <w:bottom w:val="none" w:sz="0" w:space="0" w:color="auto"/>
                        <w:right w:val="none" w:sz="0" w:space="0" w:color="auto"/>
                      </w:divBdr>
                    </w:div>
                    <w:div w:id="294138458">
                      <w:marLeft w:val="0"/>
                      <w:marRight w:val="0"/>
                      <w:marTop w:val="0"/>
                      <w:marBottom w:val="0"/>
                      <w:divBdr>
                        <w:top w:val="none" w:sz="0" w:space="0" w:color="auto"/>
                        <w:left w:val="none" w:sz="0" w:space="0" w:color="auto"/>
                        <w:bottom w:val="none" w:sz="0" w:space="0" w:color="auto"/>
                        <w:right w:val="none" w:sz="0" w:space="0" w:color="auto"/>
                      </w:divBdr>
                    </w:div>
                    <w:div w:id="294138728">
                      <w:marLeft w:val="0"/>
                      <w:marRight w:val="0"/>
                      <w:marTop w:val="0"/>
                      <w:marBottom w:val="0"/>
                      <w:divBdr>
                        <w:top w:val="none" w:sz="0" w:space="0" w:color="auto"/>
                        <w:left w:val="none" w:sz="0" w:space="0" w:color="auto"/>
                        <w:bottom w:val="none" w:sz="0" w:space="0" w:color="auto"/>
                        <w:right w:val="none" w:sz="0" w:space="0" w:color="auto"/>
                      </w:divBdr>
                    </w:div>
                    <w:div w:id="294138744">
                      <w:marLeft w:val="0"/>
                      <w:marRight w:val="0"/>
                      <w:marTop w:val="0"/>
                      <w:marBottom w:val="0"/>
                      <w:divBdr>
                        <w:top w:val="none" w:sz="0" w:space="0" w:color="auto"/>
                        <w:left w:val="none" w:sz="0" w:space="0" w:color="auto"/>
                        <w:bottom w:val="none" w:sz="0" w:space="0" w:color="auto"/>
                        <w:right w:val="none" w:sz="0" w:space="0" w:color="auto"/>
                      </w:divBdr>
                      <w:divsChild>
                        <w:div w:id="294140015">
                          <w:marLeft w:val="0"/>
                          <w:marRight w:val="0"/>
                          <w:marTop w:val="0"/>
                          <w:marBottom w:val="0"/>
                          <w:divBdr>
                            <w:top w:val="none" w:sz="0" w:space="0" w:color="auto"/>
                            <w:left w:val="none" w:sz="0" w:space="0" w:color="auto"/>
                            <w:bottom w:val="none" w:sz="0" w:space="0" w:color="auto"/>
                            <w:right w:val="none" w:sz="0" w:space="0" w:color="auto"/>
                          </w:divBdr>
                        </w:div>
                      </w:divsChild>
                    </w:div>
                    <w:div w:id="294138752">
                      <w:marLeft w:val="0"/>
                      <w:marRight w:val="0"/>
                      <w:marTop w:val="0"/>
                      <w:marBottom w:val="0"/>
                      <w:divBdr>
                        <w:top w:val="none" w:sz="0" w:space="0" w:color="auto"/>
                        <w:left w:val="none" w:sz="0" w:space="0" w:color="auto"/>
                        <w:bottom w:val="none" w:sz="0" w:space="0" w:color="auto"/>
                        <w:right w:val="none" w:sz="0" w:space="0" w:color="auto"/>
                      </w:divBdr>
                    </w:div>
                    <w:div w:id="294138810">
                      <w:marLeft w:val="0"/>
                      <w:marRight w:val="0"/>
                      <w:marTop w:val="0"/>
                      <w:marBottom w:val="0"/>
                      <w:divBdr>
                        <w:top w:val="none" w:sz="0" w:space="0" w:color="auto"/>
                        <w:left w:val="none" w:sz="0" w:space="0" w:color="auto"/>
                        <w:bottom w:val="none" w:sz="0" w:space="0" w:color="auto"/>
                        <w:right w:val="none" w:sz="0" w:space="0" w:color="auto"/>
                      </w:divBdr>
                      <w:divsChild>
                        <w:div w:id="294149395">
                          <w:marLeft w:val="0"/>
                          <w:marRight w:val="0"/>
                          <w:marTop w:val="0"/>
                          <w:marBottom w:val="0"/>
                          <w:divBdr>
                            <w:top w:val="none" w:sz="0" w:space="0" w:color="auto"/>
                            <w:left w:val="none" w:sz="0" w:space="0" w:color="auto"/>
                            <w:bottom w:val="none" w:sz="0" w:space="0" w:color="auto"/>
                            <w:right w:val="none" w:sz="0" w:space="0" w:color="auto"/>
                          </w:divBdr>
                        </w:div>
                      </w:divsChild>
                    </w:div>
                    <w:div w:id="294139020">
                      <w:marLeft w:val="0"/>
                      <w:marRight w:val="0"/>
                      <w:marTop w:val="0"/>
                      <w:marBottom w:val="0"/>
                      <w:divBdr>
                        <w:top w:val="none" w:sz="0" w:space="0" w:color="auto"/>
                        <w:left w:val="none" w:sz="0" w:space="0" w:color="auto"/>
                        <w:bottom w:val="none" w:sz="0" w:space="0" w:color="auto"/>
                        <w:right w:val="none" w:sz="0" w:space="0" w:color="auto"/>
                      </w:divBdr>
                      <w:divsChild>
                        <w:div w:id="294141178">
                          <w:marLeft w:val="0"/>
                          <w:marRight w:val="0"/>
                          <w:marTop w:val="0"/>
                          <w:marBottom w:val="0"/>
                          <w:divBdr>
                            <w:top w:val="none" w:sz="0" w:space="0" w:color="auto"/>
                            <w:left w:val="none" w:sz="0" w:space="0" w:color="auto"/>
                            <w:bottom w:val="none" w:sz="0" w:space="0" w:color="auto"/>
                            <w:right w:val="none" w:sz="0" w:space="0" w:color="auto"/>
                          </w:divBdr>
                        </w:div>
                      </w:divsChild>
                    </w:div>
                    <w:div w:id="294139036">
                      <w:marLeft w:val="0"/>
                      <w:marRight w:val="0"/>
                      <w:marTop w:val="0"/>
                      <w:marBottom w:val="0"/>
                      <w:divBdr>
                        <w:top w:val="none" w:sz="0" w:space="0" w:color="auto"/>
                        <w:left w:val="none" w:sz="0" w:space="0" w:color="auto"/>
                        <w:bottom w:val="none" w:sz="0" w:space="0" w:color="auto"/>
                        <w:right w:val="none" w:sz="0" w:space="0" w:color="auto"/>
                      </w:divBdr>
                    </w:div>
                    <w:div w:id="294139166">
                      <w:marLeft w:val="0"/>
                      <w:marRight w:val="0"/>
                      <w:marTop w:val="0"/>
                      <w:marBottom w:val="0"/>
                      <w:divBdr>
                        <w:top w:val="none" w:sz="0" w:space="0" w:color="auto"/>
                        <w:left w:val="none" w:sz="0" w:space="0" w:color="auto"/>
                        <w:bottom w:val="none" w:sz="0" w:space="0" w:color="auto"/>
                        <w:right w:val="none" w:sz="0" w:space="0" w:color="auto"/>
                      </w:divBdr>
                    </w:div>
                    <w:div w:id="294139217">
                      <w:marLeft w:val="0"/>
                      <w:marRight w:val="0"/>
                      <w:marTop w:val="0"/>
                      <w:marBottom w:val="0"/>
                      <w:divBdr>
                        <w:top w:val="none" w:sz="0" w:space="0" w:color="auto"/>
                        <w:left w:val="none" w:sz="0" w:space="0" w:color="auto"/>
                        <w:bottom w:val="none" w:sz="0" w:space="0" w:color="auto"/>
                        <w:right w:val="none" w:sz="0" w:space="0" w:color="auto"/>
                      </w:divBdr>
                    </w:div>
                    <w:div w:id="294139364">
                      <w:marLeft w:val="0"/>
                      <w:marRight w:val="0"/>
                      <w:marTop w:val="0"/>
                      <w:marBottom w:val="0"/>
                      <w:divBdr>
                        <w:top w:val="none" w:sz="0" w:space="0" w:color="auto"/>
                        <w:left w:val="none" w:sz="0" w:space="0" w:color="auto"/>
                        <w:bottom w:val="none" w:sz="0" w:space="0" w:color="auto"/>
                        <w:right w:val="none" w:sz="0" w:space="0" w:color="auto"/>
                      </w:divBdr>
                    </w:div>
                    <w:div w:id="294139513">
                      <w:marLeft w:val="0"/>
                      <w:marRight w:val="0"/>
                      <w:marTop w:val="0"/>
                      <w:marBottom w:val="0"/>
                      <w:divBdr>
                        <w:top w:val="none" w:sz="0" w:space="0" w:color="auto"/>
                        <w:left w:val="none" w:sz="0" w:space="0" w:color="auto"/>
                        <w:bottom w:val="none" w:sz="0" w:space="0" w:color="auto"/>
                        <w:right w:val="none" w:sz="0" w:space="0" w:color="auto"/>
                      </w:divBdr>
                      <w:divsChild>
                        <w:div w:id="294153381">
                          <w:marLeft w:val="0"/>
                          <w:marRight w:val="0"/>
                          <w:marTop w:val="0"/>
                          <w:marBottom w:val="0"/>
                          <w:divBdr>
                            <w:top w:val="none" w:sz="0" w:space="0" w:color="auto"/>
                            <w:left w:val="none" w:sz="0" w:space="0" w:color="auto"/>
                            <w:bottom w:val="none" w:sz="0" w:space="0" w:color="auto"/>
                            <w:right w:val="none" w:sz="0" w:space="0" w:color="auto"/>
                          </w:divBdr>
                        </w:div>
                      </w:divsChild>
                    </w:div>
                    <w:div w:id="294139545">
                      <w:marLeft w:val="0"/>
                      <w:marRight w:val="0"/>
                      <w:marTop w:val="0"/>
                      <w:marBottom w:val="0"/>
                      <w:divBdr>
                        <w:top w:val="none" w:sz="0" w:space="0" w:color="auto"/>
                        <w:left w:val="none" w:sz="0" w:space="0" w:color="auto"/>
                        <w:bottom w:val="none" w:sz="0" w:space="0" w:color="auto"/>
                        <w:right w:val="none" w:sz="0" w:space="0" w:color="auto"/>
                      </w:divBdr>
                      <w:divsChild>
                        <w:div w:id="294140188">
                          <w:marLeft w:val="0"/>
                          <w:marRight w:val="0"/>
                          <w:marTop w:val="0"/>
                          <w:marBottom w:val="0"/>
                          <w:divBdr>
                            <w:top w:val="none" w:sz="0" w:space="0" w:color="auto"/>
                            <w:left w:val="none" w:sz="0" w:space="0" w:color="auto"/>
                            <w:bottom w:val="none" w:sz="0" w:space="0" w:color="auto"/>
                            <w:right w:val="none" w:sz="0" w:space="0" w:color="auto"/>
                          </w:divBdr>
                        </w:div>
                      </w:divsChild>
                    </w:div>
                    <w:div w:id="294139577">
                      <w:marLeft w:val="0"/>
                      <w:marRight w:val="0"/>
                      <w:marTop w:val="0"/>
                      <w:marBottom w:val="0"/>
                      <w:divBdr>
                        <w:top w:val="none" w:sz="0" w:space="0" w:color="auto"/>
                        <w:left w:val="none" w:sz="0" w:space="0" w:color="auto"/>
                        <w:bottom w:val="none" w:sz="0" w:space="0" w:color="auto"/>
                        <w:right w:val="none" w:sz="0" w:space="0" w:color="auto"/>
                      </w:divBdr>
                    </w:div>
                    <w:div w:id="294139579">
                      <w:marLeft w:val="0"/>
                      <w:marRight w:val="0"/>
                      <w:marTop w:val="0"/>
                      <w:marBottom w:val="0"/>
                      <w:divBdr>
                        <w:top w:val="none" w:sz="0" w:space="0" w:color="auto"/>
                        <w:left w:val="none" w:sz="0" w:space="0" w:color="auto"/>
                        <w:bottom w:val="none" w:sz="0" w:space="0" w:color="auto"/>
                        <w:right w:val="none" w:sz="0" w:space="0" w:color="auto"/>
                      </w:divBdr>
                    </w:div>
                    <w:div w:id="294139671">
                      <w:marLeft w:val="0"/>
                      <w:marRight w:val="0"/>
                      <w:marTop w:val="0"/>
                      <w:marBottom w:val="0"/>
                      <w:divBdr>
                        <w:top w:val="none" w:sz="0" w:space="0" w:color="auto"/>
                        <w:left w:val="none" w:sz="0" w:space="0" w:color="auto"/>
                        <w:bottom w:val="none" w:sz="0" w:space="0" w:color="auto"/>
                        <w:right w:val="none" w:sz="0" w:space="0" w:color="auto"/>
                      </w:divBdr>
                    </w:div>
                    <w:div w:id="294139781">
                      <w:marLeft w:val="0"/>
                      <w:marRight w:val="0"/>
                      <w:marTop w:val="0"/>
                      <w:marBottom w:val="0"/>
                      <w:divBdr>
                        <w:top w:val="none" w:sz="0" w:space="0" w:color="auto"/>
                        <w:left w:val="none" w:sz="0" w:space="0" w:color="auto"/>
                        <w:bottom w:val="none" w:sz="0" w:space="0" w:color="auto"/>
                        <w:right w:val="none" w:sz="0" w:space="0" w:color="auto"/>
                      </w:divBdr>
                    </w:div>
                    <w:div w:id="294139840">
                      <w:marLeft w:val="0"/>
                      <w:marRight w:val="0"/>
                      <w:marTop w:val="0"/>
                      <w:marBottom w:val="0"/>
                      <w:divBdr>
                        <w:top w:val="none" w:sz="0" w:space="0" w:color="auto"/>
                        <w:left w:val="none" w:sz="0" w:space="0" w:color="auto"/>
                        <w:bottom w:val="none" w:sz="0" w:space="0" w:color="auto"/>
                        <w:right w:val="none" w:sz="0" w:space="0" w:color="auto"/>
                      </w:divBdr>
                      <w:divsChild>
                        <w:div w:id="294149055">
                          <w:marLeft w:val="0"/>
                          <w:marRight w:val="0"/>
                          <w:marTop w:val="0"/>
                          <w:marBottom w:val="0"/>
                          <w:divBdr>
                            <w:top w:val="none" w:sz="0" w:space="0" w:color="auto"/>
                            <w:left w:val="none" w:sz="0" w:space="0" w:color="auto"/>
                            <w:bottom w:val="none" w:sz="0" w:space="0" w:color="auto"/>
                            <w:right w:val="none" w:sz="0" w:space="0" w:color="auto"/>
                          </w:divBdr>
                        </w:div>
                      </w:divsChild>
                    </w:div>
                    <w:div w:id="294139895">
                      <w:marLeft w:val="0"/>
                      <w:marRight w:val="0"/>
                      <w:marTop w:val="0"/>
                      <w:marBottom w:val="0"/>
                      <w:divBdr>
                        <w:top w:val="none" w:sz="0" w:space="0" w:color="auto"/>
                        <w:left w:val="none" w:sz="0" w:space="0" w:color="auto"/>
                        <w:bottom w:val="none" w:sz="0" w:space="0" w:color="auto"/>
                        <w:right w:val="none" w:sz="0" w:space="0" w:color="auto"/>
                      </w:divBdr>
                    </w:div>
                    <w:div w:id="294140016">
                      <w:marLeft w:val="0"/>
                      <w:marRight w:val="0"/>
                      <w:marTop w:val="0"/>
                      <w:marBottom w:val="0"/>
                      <w:divBdr>
                        <w:top w:val="none" w:sz="0" w:space="0" w:color="auto"/>
                        <w:left w:val="none" w:sz="0" w:space="0" w:color="auto"/>
                        <w:bottom w:val="none" w:sz="0" w:space="0" w:color="auto"/>
                        <w:right w:val="none" w:sz="0" w:space="0" w:color="auto"/>
                      </w:divBdr>
                      <w:divsChild>
                        <w:div w:id="294151249">
                          <w:marLeft w:val="0"/>
                          <w:marRight w:val="0"/>
                          <w:marTop w:val="0"/>
                          <w:marBottom w:val="0"/>
                          <w:divBdr>
                            <w:top w:val="none" w:sz="0" w:space="0" w:color="auto"/>
                            <w:left w:val="none" w:sz="0" w:space="0" w:color="auto"/>
                            <w:bottom w:val="none" w:sz="0" w:space="0" w:color="auto"/>
                            <w:right w:val="none" w:sz="0" w:space="0" w:color="auto"/>
                          </w:divBdr>
                        </w:div>
                      </w:divsChild>
                    </w:div>
                    <w:div w:id="294140106">
                      <w:marLeft w:val="0"/>
                      <w:marRight w:val="0"/>
                      <w:marTop w:val="0"/>
                      <w:marBottom w:val="0"/>
                      <w:divBdr>
                        <w:top w:val="none" w:sz="0" w:space="0" w:color="auto"/>
                        <w:left w:val="none" w:sz="0" w:space="0" w:color="auto"/>
                        <w:bottom w:val="none" w:sz="0" w:space="0" w:color="auto"/>
                        <w:right w:val="none" w:sz="0" w:space="0" w:color="auto"/>
                      </w:divBdr>
                    </w:div>
                    <w:div w:id="294140114">
                      <w:marLeft w:val="0"/>
                      <w:marRight w:val="0"/>
                      <w:marTop w:val="0"/>
                      <w:marBottom w:val="0"/>
                      <w:divBdr>
                        <w:top w:val="none" w:sz="0" w:space="0" w:color="auto"/>
                        <w:left w:val="none" w:sz="0" w:space="0" w:color="auto"/>
                        <w:bottom w:val="none" w:sz="0" w:space="0" w:color="auto"/>
                        <w:right w:val="none" w:sz="0" w:space="0" w:color="auto"/>
                      </w:divBdr>
                    </w:div>
                    <w:div w:id="294140224">
                      <w:marLeft w:val="0"/>
                      <w:marRight w:val="0"/>
                      <w:marTop w:val="0"/>
                      <w:marBottom w:val="0"/>
                      <w:divBdr>
                        <w:top w:val="none" w:sz="0" w:space="0" w:color="auto"/>
                        <w:left w:val="none" w:sz="0" w:space="0" w:color="auto"/>
                        <w:bottom w:val="none" w:sz="0" w:space="0" w:color="auto"/>
                        <w:right w:val="none" w:sz="0" w:space="0" w:color="auto"/>
                      </w:divBdr>
                      <w:divsChild>
                        <w:div w:id="294146187">
                          <w:marLeft w:val="0"/>
                          <w:marRight w:val="0"/>
                          <w:marTop w:val="0"/>
                          <w:marBottom w:val="0"/>
                          <w:divBdr>
                            <w:top w:val="none" w:sz="0" w:space="0" w:color="auto"/>
                            <w:left w:val="none" w:sz="0" w:space="0" w:color="auto"/>
                            <w:bottom w:val="none" w:sz="0" w:space="0" w:color="auto"/>
                            <w:right w:val="none" w:sz="0" w:space="0" w:color="auto"/>
                          </w:divBdr>
                        </w:div>
                      </w:divsChild>
                    </w:div>
                    <w:div w:id="294140246">
                      <w:marLeft w:val="0"/>
                      <w:marRight w:val="0"/>
                      <w:marTop w:val="0"/>
                      <w:marBottom w:val="0"/>
                      <w:divBdr>
                        <w:top w:val="none" w:sz="0" w:space="0" w:color="auto"/>
                        <w:left w:val="none" w:sz="0" w:space="0" w:color="auto"/>
                        <w:bottom w:val="none" w:sz="0" w:space="0" w:color="auto"/>
                        <w:right w:val="none" w:sz="0" w:space="0" w:color="auto"/>
                      </w:divBdr>
                      <w:divsChild>
                        <w:div w:id="294141221">
                          <w:marLeft w:val="0"/>
                          <w:marRight w:val="0"/>
                          <w:marTop w:val="0"/>
                          <w:marBottom w:val="0"/>
                          <w:divBdr>
                            <w:top w:val="none" w:sz="0" w:space="0" w:color="auto"/>
                            <w:left w:val="none" w:sz="0" w:space="0" w:color="auto"/>
                            <w:bottom w:val="none" w:sz="0" w:space="0" w:color="auto"/>
                            <w:right w:val="none" w:sz="0" w:space="0" w:color="auto"/>
                          </w:divBdr>
                        </w:div>
                      </w:divsChild>
                    </w:div>
                    <w:div w:id="294140347">
                      <w:marLeft w:val="0"/>
                      <w:marRight w:val="0"/>
                      <w:marTop w:val="0"/>
                      <w:marBottom w:val="0"/>
                      <w:divBdr>
                        <w:top w:val="none" w:sz="0" w:space="0" w:color="auto"/>
                        <w:left w:val="none" w:sz="0" w:space="0" w:color="auto"/>
                        <w:bottom w:val="none" w:sz="0" w:space="0" w:color="auto"/>
                        <w:right w:val="none" w:sz="0" w:space="0" w:color="auto"/>
                      </w:divBdr>
                      <w:divsChild>
                        <w:div w:id="294144238">
                          <w:marLeft w:val="0"/>
                          <w:marRight w:val="0"/>
                          <w:marTop w:val="0"/>
                          <w:marBottom w:val="0"/>
                          <w:divBdr>
                            <w:top w:val="none" w:sz="0" w:space="0" w:color="auto"/>
                            <w:left w:val="none" w:sz="0" w:space="0" w:color="auto"/>
                            <w:bottom w:val="none" w:sz="0" w:space="0" w:color="auto"/>
                            <w:right w:val="none" w:sz="0" w:space="0" w:color="auto"/>
                          </w:divBdr>
                        </w:div>
                      </w:divsChild>
                    </w:div>
                    <w:div w:id="294140626">
                      <w:marLeft w:val="0"/>
                      <w:marRight w:val="0"/>
                      <w:marTop w:val="0"/>
                      <w:marBottom w:val="0"/>
                      <w:divBdr>
                        <w:top w:val="none" w:sz="0" w:space="0" w:color="auto"/>
                        <w:left w:val="none" w:sz="0" w:space="0" w:color="auto"/>
                        <w:bottom w:val="none" w:sz="0" w:space="0" w:color="auto"/>
                        <w:right w:val="none" w:sz="0" w:space="0" w:color="auto"/>
                      </w:divBdr>
                      <w:divsChild>
                        <w:div w:id="294155144">
                          <w:marLeft w:val="0"/>
                          <w:marRight w:val="0"/>
                          <w:marTop w:val="0"/>
                          <w:marBottom w:val="0"/>
                          <w:divBdr>
                            <w:top w:val="none" w:sz="0" w:space="0" w:color="auto"/>
                            <w:left w:val="none" w:sz="0" w:space="0" w:color="auto"/>
                            <w:bottom w:val="none" w:sz="0" w:space="0" w:color="auto"/>
                            <w:right w:val="none" w:sz="0" w:space="0" w:color="auto"/>
                          </w:divBdr>
                        </w:div>
                      </w:divsChild>
                    </w:div>
                    <w:div w:id="294140685">
                      <w:marLeft w:val="0"/>
                      <w:marRight w:val="0"/>
                      <w:marTop w:val="0"/>
                      <w:marBottom w:val="0"/>
                      <w:divBdr>
                        <w:top w:val="none" w:sz="0" w:space="0" w:color="auto"/>
                        <w:left w:val="none" w:sz="0" w:space="0" w:color="auto"/>
                        <w:bottom w:val="none" w:sz="0" w:space="0" w:color="auto"/>
                        <w:right w:val="none" w:sz="0" w:space="0" w:color="auto"/>
                      </w:divBdr>
                    </w:div>
                    <w:div w:id="294140709">
                      <w:marLeft w:val="0"/>
                      <w:marRight w:val="0"/>
                      <w:marTop w:val="0"/>
                      <w:marBottom w:val="0"/>
                      <w:divBdr>
                        <w:top w:val="none" w:sz="0" w:space="0" w:color="auto"/>
                        <w:left w:val="none" w:sz="0" w:space="0" w:color="auto"/>
                        <w:bottom w:val="none" w:sz="0" w:space="0" w:color="auto"/>
                        <w:right w:val="none" w:sz="0" w:space="0" w:color="auto"/>
                      </w:divBdr>
                      <w:divsChild>
                        <w:div w:id="294150676">
                          <w:marLeft w:val="0"/>
                          <w:marRight w:val="0"/>
                          <w:marTop w:val="0"/>
                          <w:marBottom w:val="0"/>
                          <w:divBdr>
                            <w:top w:val="none" w:sz="0" w:space="0" w:color="auto"/>
                            <w:left w:val="none" w:sz="0" w:space="0" w:color="auto"/>
                            <w:bottom w:val="none" w:sz="0" w:space="0" w:color="auto"/>
                            <w:right w:val="none" w:sz="0" w:space="0" w:color="auto"/>
                          </w:divBdr>
                        </w:div>
                      </w:divsChild>
                    </w:div>
                    <w:div w:id="294140747">
                      <w:marLeft w:val="0"/>
                      <w:marRight w:val="0"/>
                      <w:marTop w:val="0"/>
                      <w:marBottom w:val="0"/>
                      <w:divBdr>
                        <w:top w:val="none" w:sz="0" w:space="0" w:color="auto"/>
                        <w:left w:val="none" w:sz="0" w:space="0" w:color="auto"/>
                        <w:bottom w:val="none" w:sz="0" w:space="0" w:color="auto"/>
                        <w:right w:val="none" w:sz="0" w:space="0" w:color="auto"/>
                      </w:divBdr>
                      <w:divsChild>
                        <w:div w:id="294156074">
                          <w:marLeft w:val="0"/>
                          <w:marRight w:val="0"/>
                          <w:marTop w:val="0"/>
                          <w:marBottom w:val="0"/>
                          <w:divBdr>
                            <w:top w:val="none" w:sz="0" w:space="0" w:color="auto"/>
                            <w:left w:val="none" w:sz="0" w:space="0" w:color="auto"/>
                            <w:bottom w:val="none" w:sz="0" w:space="0" w:color="auto"/>
                            <w:right w:val="none" w:sz="0" w:space="0" w:color="auto"/>
                          </w:divBdr>
                        </w:div>
                      </w:divsChild>
                    </w:div>
                    <w:div w:id="294140775">
                      <w:marLeft w:val="0"/>
                      <w:marRight w:val="0"/>
                      <w:marTop w:val="0"/>
                      <w:marBottom w:val="0"/>
                      <w:divBdr>
                        <w:top w:val="none" w:sz="0" w:space="0" w:color="auto"/>
                        <w:left w:val="none" w:sz="0" w:space="0" w:color="auto"/>
                        <w:bottom w:val="none" w:sz="0" w:space="0" w:color="auto"/>
                        <w:right w:val="none" w:sz="0" w:space="0" w:color="auto"/>
                      </w:divBdr>
                    </w:div>
                    <w:div w:id="294140800">
                      <w:marLeft w:val="0"/>
                      <w:marRight w:val="0"/>
                      <w:marTop w:val="0"/>
                      <w:marBottom w:val="0"/>
                      <w:divBdr>
                        <w:top w:val="none" w:sz="0" w:space="0" w:color="auto"/>
                        <w:left w:val="none" w:sz="0" w:space="0" w:color="auto"/>
                        <w:bottom w:val="none" w:sz="0" w:space="0" w:color="auto"/>
                        <w:right w:val="none" w:sz="0" w:space="0" w:color="auto"/>
                      </w:divBdr>
                    </w:div>
                    <w:div w:id="294140886">
                      <w:marLeft w:val="0"/>
                      <w:marRight w:val="0"/>
                      <w:marTop w:val="0"/>
                      <w:marBottom w:val="0"/>
                      <w:divBdr>
                        <w:top w:val="none" w:sz="0" w:space="0" w:color="auto"/>
                        <w:left w:val="none" w:sz="0" w:space="0" w:color="auto"/>
                        <w:bottom w:val="none" w:sz="0" w:space="0" w:color="auto"/>
                        <w:right w:val="none" w:sz="0" w:space="0" w:color="auto"/>
                      </w:divBdr>
                    </w:div>
                    <w:div w:id="294141019">
                      <w:marLeft w:val="0"/>
                      <w:marRight w:val="0"/>
                      <w:marTop w:val="0"/>
                      <w:marBottom w:val="0"/>
                      <w:divBdr>
                        <w:top w:val="none" w:sz="0" w:space="0" w:color="auto"/>
                        <w:left w:val="none" w:sz="0" w:space="0" w:color="auto"/>
                        <w:bottom w:val="none" w:sz="0" w:space="0" w:color="auto"/>
                        <w:right w:val="none" w:sz="0" w:space="0" w:color="auto"/>
                      </w:divBdr>
                    </w:div>
                    <w:div w:id="294141148">
                      <w:marLeft w:val="0"/>
                      <w:marRight w:val="0"/>
                      <w:marTop w:val="0"/>
                      <w:marBottom w:val="0"/>
                      <w:divBdr>
                        <w:top w:val="none" w:sz="0" w:space="0" w:color="auto"/>
                        <w:left w:val="none" w:sz="0" w:space="0" w:color="auto"/>
                        <w:bottom w:val="none" w:sz="0" w:space="0" w:color="auto"/>
                        <w:right w:val="none" w:sz="0" w:space="0" w:color="auto"/>
                      </w:divBdr>
                      <w:divsChild>
                        <w:div w:id="294140366">
                          <w:marLeft w:val="0"/>
                          <w:marRight w:val="0"/>
                          <w:marTop w:val="0"/>
                          <w:marBottom w:val="0"/>
                          <w:divBdr>
                            <w:top w:val="none" w:sz="0" w:space="0" w:color="auto"/>
                            <w:left w:val="none" w:sz="0" w:space="0" w:color="auto"/>
                            <w:bottom w:val="none" w:sz="0" w:space="0" w:color="auto"/>
                            <w:right w:val="none" w:sz="0" w:space="0" w:color="auto"/>
                          </w:divBdr>
                        </w:div>
                      </w:divsChild>
                    </w:div>
                    <w:div w:id="294141217">
                      <w:marLeft w:val="0"/>
                      <w:marRight w:val="0"/>
                      <w:marTop w:val="0"/>
                      <w:marBottom w:val="0"/>
                      <w:divBdr>
                        <w:top w:val="none" w:sz="0" w:space="0" w:color="auto"/>
                        <w:left w:val="none" w:sz="0" w:space="0" w:color="auto"/>
                        <w:bottom w:val="none" w:sz="0" w:space="0" w:color="auto"/>
                        <w:right w:val="none" w:sz="0" w:space="0" w:color="auto"/>
                      </w:divBdr>
                      <w:divsChild>
                        <w:div w:id="294151717">
                          <w:marLeft w:val="0"/>
                          <w:marRight w:val="0"/>
                          <w:marTop w:val="0"/>
                          <w:marBottom w:val="0"/>
                          <w:divBdr>
                            <w:top w:val="none" w:sz="0" w:space="0" w:color="auto"/>
                            <w:left w:val="none" w:sz="0" w:space="0" w:color="auto"/>
                            <w:bottom w:val="none" w:sz="0" w:space="0" w:color="auto"/>
                            <w:right w:val="none" w:sz="0" w:space="0" w:color="auto"/>
                          </w:divBdr>
                        </w:div>
                      </w:divsChild>
                    </w:div>
                    <w:div w:id="294141433">
                      <w:marLeft w:val="0"/>
                      <w:marRight w:val="0"/>
                      <w:marTop w:val="0"/>
                      <w:marBottom w:val="0"/>
                      <w:divBdr>
                        <w:top w:val="none" w:sz="0" w:space="0" w:color="auto"/>
                        <w:left w:val="none" w:sz="0" w:space="0" w:color="auto"/>
                        <w:bottom w:val="none" w:sz="0" w:space="0" w:color="auto"/>
                        <w:right w:val="none" w:sz="0" w:space="0" w:color="auto"/>
                      </w:divBdr>
                      <w:divsChild>
                        <w:div w:id="294151906">
                          <w:marLeft w:val="0"/>
                          <w:marRight w:val="0"/>
                          <w:marTop w:val="0"/>
                          <w:marBottom w:val="0"/>
                          <w:divBdr>
                            <w:top w:val="none" w:sz="0" w:space="0" w:color="auto"/>
                            <w:left w:val="none" w:sz="0" w:space="0" w:color="auto"/>
                            <w:bottom w:val="none" w:sz="0" w:space="0" w:color="auto"/>
                            <w:right w:val="none" w:sz="0" w:space="0" w:color="auto"/>
                          </w:divBdr>
                        </w:div>
                      </w:divsChild>
                    </w:div>
                    <w:div w:id="294141472">
                      <w:marLeft w:val="0"/>
                      <w:marRight w:val="0"/>
                      <w:marTop w:val="0"/>
                      <w:marBottom w:val="0"/>
                      <w:divBdr>
                        <w:top w:val="none" w:sz="0" w:space="0" w:color="auto"/>
                        <w:left w:val="none" w:sz="0" w:space="0" w:color="auto"/>
                        <w:bottom w:val="none" w:sz="0" w:space="0" w:color="auto"/>
                        <w:right w:val="none" w:sz="0" w:space="0" w:color="auto"/>
                      </w:divBdr>
                    </w:div>
                    <w:div w:id="294141486">
                      <w:marLeft w:val="0"/>
                      <w:marRight w:val="0"/>
                      <w:marTop w:val="0"/>
                      <w:marBottom w:val="0"/>
                      <w:divBdr>
                        <w:top w:val="none" w:sz="0" w:space="0" w:color="auto"/>
                        <w:left w:val="none" w:sz="0" w:space="0" w:color="auto"/>
                        <w:bottom w:val="none" w:sz="0" w:space="0" w:color="auto"/>
                        <w:right w:val="none" w:sz="0" w:space="0" w:color="auto"/>
                      </w:divBdr>
                    </w:div>
                    <w:div w:id="294141572">
                      <w:marLeft w:val="0"/>
                      <w:marRight w:val="0"/>
                      <w:marTop w:val="0"/>
                      <w:marBottom w:val="0"/>
                      <w:divBdr>
                        <w:top w:val="none" w:sz="0" w:space="0" w:color="auto"/>
                        <w:left w:val="none" w:sz="0" w:space="0" w:color="auto"/>
                        <w:bottom w:val="none" w:sz="0" w:space="0" w:color="auto"/>
                        <w:right w:val="none" w:sz="0" w:space="0" w:color="auto"/>
                      </w:divBdr>
                    </w:div>
                    <w:div w:id="294141596">
                      <w:marLeft w:val="0"/>
                      <w:marRight w:val="0"/>
                      <w:marTop w:val="0"/>
                      <w:marBottom w:val="0"/>
                      <w:divBdr>
                        <w:top w:val="none" w:sz="0" w:space="0" w:color="auto"/>
                        <w:left w:val="none" w:sz="0" w:space="0" w:color="auto"/>
                        <w:bottom w:val="none" w:sz="0" w:space="0" w:color="auto"/>
                        <w:right w:val="none" w:sz="0" w:space="0" w:color="auto"/>
                      </w:divBdr>
                    </w:div>
                    <w:div w:id="294141823">
                      <w:marLeft w:val="0"/>
                      <w:marRight w:val="0"/>
                      <w:marTop w:val="0"/>
                      <w:marBottom w:val="0"/>
                      <w:divBdr>
                        <w:top w:val="none" w:sz="0" w:space="0" w:color="auto"/>
                        <w:left w:val="none" w:sz="0" w:space="0" w:color="auto"/>
                        <w:bottom w:val="none" w:sz="0" w:space="0" w:color="auto"/>
                        <w:right w:val="none" w:sz="0" w:space="0" w:color="auto"/>
                      </w:divBdr>
                      <w:divsChild>
                        <w:div w:id="294149582">
                          <w:marLeft w:val="0"/>
                          <w:marRight w:val="0"/>
                          <w:marTop w:val="0"/>
                          <w:marBottom w:val="0"/>
                          <w:divBdr>
                            <w:top w:val="none" w:sz="0" w:space="0" w:color="auto"/>
                            <w:left w:val="none" w:sz="0" w:space="0" w:color="auto"/>
                            <w:bottom w:val="none" w:sz="0" w:space="0" w:color="auto"/>
                            <w:right w:val="none" w:sz="0" w:space="0" w:color="auto"/>
                          </w:divBdr>
                        </w:div>
                      </w:divsChild>
                    </w:div>
                    <w:div w:id="294141976">
                      <w:marLeft w:val="0"/>
                      <w:marRight w:val="0"/>
                      <w:marTop w:val="0"/>
                      <w:marBottom w:val="0"/>
                      <w:divBdr>
                        <w:top w:val="none" w:sz="0" w:space="0" w:color="auto"/>
                        <w:left w:val="none" w:sz="0" w:space="0" w:color="auto"/>
                        <w:bottom w:val="none" w:sz="0" w:space="0" w:color="auto"/>
                        <w:right w:val="none" w:sz="0" w:space="0" w:color="auto"/>
                      </w:divBdr>
                    </w:div>
                    <w:div w:id="294142037">
                      <w:marLeft w:val="0"/>
                      <w:marRight w:val="0"/>
                      <w:marTop w:val="0"/>
                      <w:marBottom w:val="0"/>
                      <w:divBdr>
                        <w:top w:val="none" w:sz="0" w:space="0" w:color="auto"/>
                        <w:left w:val="none" w:sz="0" w:space="0" w:color="auto"/>
                        <w:bottom w:val="none" w:sz="0" w:space="0" w:color="auto"/>
                        <w:right w:val="none" w:sz="0" w:space="0" w:color="auto"/>
                      </w:divBdr>
                      <w:divsChild>
                        <w:div w:id="294147650">
                          <w:marLeft w:val="0"/>
                          <w:marRight w:val="0"/>
                          <w:marTop w:val="0"/>
                          <w:marBottom w:val="0"/>
                          <w:divBdr>
                            <w:top w:val="none" w:sz="0" w:space="0" w:color="auto"/>
                            <w:left w:val="none" w:sz="0" w:space="0" w:color="auto"/>
                            <w:bottom w:val="none" w:sz="0" w:space="0" w:color="auto"/>
                            <w:right w:val="none" w:sz="0" w:space="0" w:color="auto"/>
                          </w:divBdr>
                        </w:div>
                      </w:divsChild>
                    </w:div>
                    <w:div w:id="294142297">
                      <w:marLeft w:val="0"/>
                      <w:marRight w:val="0"/>
                      <w:marTop w:val="0"/>
                      <w:marBottom w:val="0"/>
                      <w:divBdr>
                        <w:top w:val="none" w:sz="0" w:space="0" w:color="auto"/>
                        <w:left w:val="none" w:sz="0" w:space="0" w:color="auto"/>
                        <w:bottom w:val="none" w:sz="0" w:space="0" w:color="auto"/>
                        <w:right w:val="none" w:sz="0" w:space="0" w:color="auto"/>
                      </w:divBdr>
                    </w:div>
                    <w:div w:id="294142320">
                      <w:marLeft w:val="0"/>
                      <w:marRight w:val="0"/>
                      <w:marTop w:val="0"/>
                      <w:marBottom w:val="0"/>
                      <w:divBdr>
                        <w:top w:val="none" w:sz="0" w:space="0" w:color="auto"/>
                        <w:left w:val="none" w:sz="0" w:space="0" w:color="auto"/>
                        <w:bottom w:val="none" w:sz="0" w:space="0" w:color="auto"/>
                        <w:right w:val="none" w:sz="0" w:space="0" w:color="auto"/>
                      </w:divBdr>
                    </w:div>
                    <w:div w:id="294142386">
                      <w:marLeft w:val="0"/>
                      <w:marRight w:val="0"/>
                      <w:marTop w:val="0"/>
                      <w:marBottom w:val="0"/>
                      <w:divBdr>
                        <w:top w:val="none" w:sz="0" w:space="0" w:color="auto"/>
                        <w:left w:val="none" w:sz="0" w:space="0" w:color="auto"/>
                        <w:bottom w:val="none" w:sz="0" w:space="0" w:color="auto"/>
                        <w:right w:val="none" w:sz="0" w:space="0" w:color="auto"/>
                      </w:divBdr>
                      <w:divsChild>
                        <w:div w:id="294151125">
                          <w:marLeft w:val="0"/>
                          <w:marRight w:val="0"/>
                          <w:marTop w:val="0"/>
                          <w:marBottom w:val="0"/>
                          <w:divBdr>
                            <w:top w:val="none" w:sz="0" w:space="0" w:color="auto"/>
                            <w:left w:val="none" w:sz="0" w:space="0" w:color="auto"/>
                            <w:bottom w:val="none" w:sz="0" w:space="0" w:color="auto"/>
                            <w:right w:val="none" w:sz="0" w:space="0" w:color="auto"/>
                          </w:divBdr>
                        </w:div>
                      </w:divsChild>
                    </w:div>
                    <w:div w:id="294142439">
                      <w:marLeft w:val="0"/>
                      <w:marRight w:val="0"/>
                      <w:marTop w:val="0"/>
                      <w:marBottom w:val="0"/>
                      <w:divBdr>
                        <w:top w:val="none" w:sz="0" w:space="0" w:color="auto"/>
                        <w:left w:val="none" w:sz="0" w:space="0" w:color="auto"/>
                        <w:bottom w:val="none" w:sz="0" w:space="0" w:color="auto"/>
                        <w:right w:val="none" w:sz="0" w:space="0" w:color="auto"/>
                      </w:divBdr>
                      <w:divsChild>
                        <w:div w:id="294153807">
                          <w:marLeft w:val="0"/>
                          <w:marRight w:val="0"/>
                          <w:marTop w:val="0"/>
                          <w:marBottom w:val="0"/>
                          <w:divBdr>
                            <w:top w:val="none" w:sz="0" w:space="0" w:color="auto"/>
                            <w:left w:val="none" w:sz="0" w:space="0" w:color="auto"/>
                            <w:bottom w:val="none" w:sz="0" w:space="0" w:color="auto"/>
                            <w:right w:val="none" w:sz="0" w:space="0" w:color="auto"/>
                          </w:divBdr>
                        </w:div>
                      </w:divsChild>
                    </w:div>
                    <w:div w:id="294142455">
                      <w:marLeft w:val="0"/>
                      <w:marRight w:val="0"/>
                      <w:marTop w:val="0"/>
                      <w:marBottom w:val="0"/>
                      <w:divBdr>
                        <w:top w:val="none" w:sz="0" w:space="0" w:color="auto"/>
                        <w:left w:val="none" w:sz="0" w:space="0" w:color="auto"/>
                        <w:bottom w:val="none" w:sz="0" w:space="0" w:color="auto"/>
                        <w:right w:val="none" w:sz="0" w:space="0" w:color="auto"/>
                      </w:divBdr>
                      <w:divsChild>
                        <w:div w:id="294140385">
                          <w:marLeft w:val="0"/>
                          <w:marRight w:val="0"/>
                          <w:marTop w:val="0"/>
                          <w:marBottom w:val="0"/>
                          <w:divBdr>
                            <w:top w:val="none" w:sz="0" w:space="0" w:color="auto"/>
                            <w:left w:val="none" w:sz="0" w:space="0" w:color="auto"/>
                            <w:bottom w:val="none" w:sz="0" w:space="0" w:color="auto"/>
                            <w:right w:val="none" w:sz="0" w:space="0" w:color="auto"/>
                          </w:divBdr>
                        </w:div>
                      </w:divsChild>
                    </w:div>
                    <w:div w:id="294142751">
                      <w:marLeft w:val="0"/>
                      <w:marRight w:val="0"/>
                      <w:marTop w:val="0"/>
                      <w:marBottom w:val="0"/>
                      <w:divBdr>
                        <w:top w:val="none" w:sz="0" w:space="0" w:color="auto"/>
                        <w:left w:val="none" w:sz="0" w:space="0" w:color="auto"/>
                        <w:bottom w:val="none" w:sz="0" w:space="0" w:color="auto"/>
                        <w:right w:val="none" w:sz="0" w:space="0" w:color="auto"/>
                      </w:divBdr>
                    </w:div>
                    <w:div w:id="294142778">
                      <w:marLeft w:val="0"/>
                      <w:marRight w:val="0"/>
                      <w:marTop w:val="0"/>
                      <w:marBottom w:val="0"/>
                      <w:divBdr>
                        <w:top w:val="none" w:sz="0" w:space="0" w:color="auto"/>
                        <w:left w:val="none" w:sz="0" w:space="0" w:color="auto"/>
                        <w:bottom w:val="none" w:sz="0" w:space="0" w:color="auto"/>
                        <w:right w:val="none" w:sz="0" w:space="0" w:color="auto"/>
                      </w:divBdr>
                    </w:div>
                    <w:div w:id="294142984">
                      <w:marLeft w:val="0"/>
                      <w:marRight w:val="0"/>
                      <w:marTop w:val="0"/>
                      <w:marBottom w:val="0"/>
                      <w:divBdr>
                        <w:top w:val="none" w:sz="0" w:space="0" w:color="auto"/>
                        <w:left w:val="none" w:sz="0" w:space="0" w:color="auto"/>
                        <w:bottom w:val="none" w:sz="0" w:space="0" w:color="auto"/>
                        <w:right w:val="none" w:sz="0" w:space="0" w:color="auto"/>
                      </w:divBdr>
                      <w:divsChild>
                        <w:div w:id="294152369">
                          <w:marLeft w:val="0"/>
                          <w:marRight w:val="0"/>
                          <w:marTop w:val="0"/>
                          <w:marBottom w:val="0"/>
                          <w:divBdr>
                            <w:top w:val="none" w:sz="0" w:space="0" w:color="auto"/>
                            <w:left w:val="none" w:sz="0" w:space="0" w:color="auto"/>
                            <w:bottom w:val="none" w:sz="0" w:space="0" w:color="auto"/>
                            <w:right w:val="none" w:sz="0" w:space="0" w:color="auto"/>
                          </w:divBdr>
                        </w:div>
                      </w:divsChild>
                    </w:div>
                    <w:div w:id="294143060">
                      <w:marLeft w:val="0"/>
                      <w:marRight w:val="0"/>
                      <w:marTop w:val="0"/>
                      <w:marBottom w:val="0"/>
                      <w:divBdr>
                        <w:top w:val="none" w:sz="0" w:space="0" w:color="auto"/>
                        <w:left w:val="none" w:sz="0" w:space="0" w:color="auto"/>
                        <w:bottom w:val="none" w:sz="0" w:space="0" w:color="auto"/>
                        <w:right w:val="none" w:sz="0" w:space="0" w:color="auto"/>
                      </w:divBdr>
                    </w:div>
                    <w:div w:id="294143240">
                      <w:marLeft w:val="0"/>
                      <w:marRight w:val="0"/>
                      <w:marTop w:val="0"/>
                      <w:marBottom w:val="0"/>
                      <w:divBdr>
                        <w:top w:val="none" w:sz="0" w:space="0" w:color="auto"/>
                        <w:left w:val="none" w:sz="0" w:space="0" w:color="auto"/>
                        <w:bottom w:val="none" w:sz="0" w:space="0" w:color="auto"/>
                        <w:right w:val="none" w:sz="0" w:space="0" w:color="auto"/>
                      </w:divBdr>
                      <w:divsChild>
                        <w:div w:id="294152761">
                          <w:marLeft w:val="0"/>
                          <w:marRight w:val="0"/>
                          <w:marTop w:val="0"/>
                          <w:marBottom w:val="0"/>
                          <w:divBdr>
                            <w:top w:val="none" w:sz="0" w:space="0" w:color="auto"/>
                            <w:left w:val="none" w:sz="0" w:space="0" w:color="auto"/>
                            <w:bottom w:val="none" w:sz="0" w:space="0" w:color="auto"/>
                            <w:right w:val="none" w:sz="0" w:space="0" w:color="auto"/>
                          </w:divBdr>
                        </w:div>
                      </w:divsChild>
                    </w:div>
                    <w:div w:id="294143275">
                      <w:marLeft w:val="0"/>
                      <w:marRight w:val="0"/>
                      <w:marTop w:val="0"/>
                      <w:marBottom w:val="0"/>
                      <w:divBdr>
                        <w:top w:val="none" w:sz="0" w:space="0" w:color="auto"/>
                        <w:left w:val="none" w:sz="0" w:space="0" w:color="auto"/>
                        <w:bottom w:val="none" w:sz="0" w:space="0" w:color="auto"/>
                        <w:right w:val="none" w:sz="0" w:space="0" w:color="auto"/>
                      </w:divBdr>
                    </w:div>
                    <w:div w:id="294143428">
                      <w:marLeft w:val="0"/>
                      <w:marRight w:val="0"/>
                      <w:marTop w:val="0"/>
                      <w:marBottom w:val="0"/>
                      <w:divBdr>
                        <w:top w:val="none" w:sz="0" w:space="0" w:color="auto"/>
                        <w:left w:val="none" w:sz="0" w:space="0" w:color="auto"/>
                        <w:bottom w:val="none" w:sz="0" w:space="0" w:color="auto"/>
                        <w:right w:val="none" w:sz="0" w:space="0" w:color="auto"/>
                      </w:divBdr>
                      <w:divsChild>
                        <w:div w:id="294142529">
                          <w:marLeft w:val="0"/>
                          <w:marRight w:val="0"/>
                          <w:marTop w:val="0"/>
                          <w:marBottom w:val="0"/>
                          <w:divBdr>
                            <w:top w:val="none" w:sz="0" w:space="0" w:color="auto"/>
                            <w:left w:val="none" w:sz="0" w:space="0" w:color="auto"/>
                            <w:bottom w:val="none" w:sz="0" w:space="0" w:color="auto"/>
                            <w:right w:val="none" w:sz="0" w:space="0" w:color="auto"/>
                          </w:divBdr>
                        </w:div>
                      </w:divsChild>
                    </w:div>
                    <w:div w:id="294143442">
                      <w:marLeft w:val="0"/>
                      <w:marRight w:val="0"/>
                      <w:marTop w:val="0"/>
                      <w:marBottom w:val="0"/>
                      <w:divBdr>
                        <w:top w:val="none" w:sz="0" w:space="0" w:color="auto"/>
                        <w:left w:val="none" w:sz="0" w:space="0" w:color="auto"/>
                        <w:bottom w:val="none" w:sz="0" w:space="0" w:color="auto"/>
                        <w:right w:val="none" w:sz="0" w:space="0" w:color="auto"/>
                      </w:divBdr>
                      <w:divsChild>
                        <w:div w:id="294154765">
                          <w:marLeft w:val="0"/>
                          <w:marRight w:val="0"/>
                          <w:marTop w:val="0"/>
                          <w:marBottom w:val="0"/>
                          <w:divBdr>
                            <w:top w:val="none" w:sz="0" w:space="0" w:color="auto"/>
                            <w:left w:val="none" w:sz="0" w:space="0" w:color="auto"/>
                            <w:bottom w:val="none" w:sz="0" w:space="0" w:color="auto"/>
                            <w:right w:val="none" w:sz="0" w:space="0" w:color="auto"/>
                          </w:divBdr>
                        </w:div>
                      </w:divsChild>
                    </w:div>
                    <w:div w:id="294143500">
                      <w:marLeft w:val="0"/>
                      <w:marRight w:val="0"/>
                      <w:marTop w:val="0"/>
                      <w:marBottom w:val="0"/>
                      <w:divBdr>
                        <w:top w:val="none" w:sz="0" w:space="0" w:color="auto"/>
                        <w:left w:val="none" w:sz="0" w:space="0" w:color="auto"/>
                        <w:bottom w:val="none" w:sz="0" w:space="0" w:color="auto"/>
                        <w:right w:val="none" w:sz="0" w:space="0" w:color="auto"/>
                      </w:divBdr>
                    </w:div>
                    <w:div w:id="294143622">
                      <w:marLeft w:val="0"/>
                      <w:marRight w:val="0"/>
                      <w:marTop w:val="0"/>
                      <w:marBottom w:val="0"/>
                      <w:divBdr>
                        <w:top w:val="none" w:sz="0" w:space="0" w:color="auto"/>
                        <w:left w:val="none" w:sz="0" w:space="0" w:color="auto"/>
                        <w:bottom w:val="none" w:sz="0" w:space="0" w:color="auto"/>
                        <w:right w:val="none" w:sz="0" w:space="0" w:color="auto"/>
                      </w:divBdr>
                    </w:div>
                    <w:div w:id="294143927">
                      <w:marLeft w:val="0"/>
                      <w:marRight w:val="0"/>
                      <w:marTop w:val="0"/>
                      <w:marBottom w:val="0"/>
                      <w:divBdr>
                        <w:top w:val="none" w:sz="0" w:space="0" w:color="auto"/>
                        <w:left w:val="none" w:sz="0" w:space="0" w:color="auto"/>
                        <w:bottom w:val="none" w:sz="0" w:space="0" w:color="auto"/>
                        <w:right w:val="none" w:sz="0" w:space="0" w:color="auto"/>
                      </w:divBdr>
                    </w:div>
                    <w:div w:id="294143965">
                      <w:marLeft w:val="0"/>
                      <w:marRight w:val="0"/>
                      <w:marTop w:val="0"/>
                      <w:marBottom w:val="0"/>
                      <w:divBdr>
                        <w:top w:val="none" w:sz="0" w:space="0" w:color="auto"/>
                        <w:left w:val="none" w:sz="0" w:space="0" w:color="auto"/>
                        <w:bottom w:val="none" w:sz="0" w:space="0" w:color="auto"/>
                        <w:right w:val="none" w:sz="0" w:space="0" w:color="auto"/>
                      </w:divBdr>
                    </w:div>
                    <w:div w:id="294143977">
                      <w:marLeft w:val="0"/>
                      <w:marRight w:val="0"/>
                      <w:marTop w:val="0"/>
                      <w:marBottom w:val="0"/>
                      <w:divBdr>
                        <w:top w:val="none" w:sz="0" w:space="0" w:color="auto"/>
                        <w:left w:val="none" w:sz="0" w:space="0" w:color="auto"/>
                        <w:bottom w:val="none" w:sz="0" w:space="0" w:color="auto"/>
                        <w:right w:val="none" w:sz="0" w:space="0" w:color="auto"/>
                      </w:divBdr>
                      <w:divsChild>
                        <w:div w:id="294146518">
                          <w:marLeft w:val="0"/>
                          <w:marRight w:val="0"/>
                          <w:marTop w:val="0"/>
                          <w:marBottom w:val="0"/>
                          <w:divBdr>
                            <w:top w:val="none" w:sz="0" w:space="0" w:color="auto"/>
                            <w:left w:val="none" w:sz="0" w:space="0" w:color="auto"/>
                            <w:bottom w:val="none" w:sz="0" w:space="0" w:color="auto"/>
                            <w:right w:val="none" w:sz="0" w:space="0" w:color="auto"/>
                          </w:divBdr>
                        </w:div>
                      </w:divsChild>
                    </w:div>
                    <w:div w:id="294144130">
                      <w:marLeft w:val="0"/>
                      <w:marRight w:val="0"/>
                      <w:marTop w:val="0"/>
                      <w:marBottom w:val="0"/>
                      <w:divBdr>
                        <w:top w:val="none" w:sz="0" w:space="0" w:color="auto"/>
                        <w:left w:val="none" w:sz="0" w:space="0" w:color="auto"/>
                        <w:bottom w:val="none" w:sz="0" w:space="0" w:color="auto"/>
                        <w:right w:val="none" w:sz="0" w:space="0" w:color="auto"/>
                      </w:divBdr>
                    </w:div>
                    <w:div w:id="294144155">
                      <w:marLeft w:val="0"/>
                      <w:marRight w:val="0"/>
                      <w:marTop w:val="0"/>
                      <w:marBottom w:val="0"/>
                      <w:divBdr>
                        <w:top w:val="none" w:sz="0" w:space="0" w:color="auto"/>
                        <w:left w:val="none" w:sz="0" w:space="0" w:color="auto"/>
                        <w:bottom w:val="none" w:sz="0" w:space="0" w:color="auto"/>
                        <w:right w:val="none" w:sz="0" w:space="0" w:color="auto"/>
                      </w:divBdr>
                      <w:divsChild>
                        <w:div w:id="294143595">
                          <w:marLeft w:val="0"/>
                          <w:marRight w:val="0"/>
                          <w:marTop w:val="0"/>
                          <w:marBottom w:val="0"/>
                          <w:divBdr>
                            <w:top w:val="none" w:sz="0" w:space="0" w:color="auto"/>
                            <w:left w:val="none" w:sz="0" w:space="0" w:color="auto"/>
                            <w:bottom w:val="none" w:sz="0" w:space="0" w:color="auto"/>
                            <w:right w:val="none" w:sz="0" w:space="0" w:color="auto"/>
                          </w:divBdr>
                        </w:div>
                      </w:divsChild>
                    </w:div>
                    <w:div w:id="294144219">
                      <w:marLeft w:val="0"/>
                      <w:marRight w:val="0"/>
                      <w:marTop w:val="0"/>
                      <w:marBottom w:val="0"/>
                      <w:divBdr>
                        <w:top w:val="none" w:sz="0" w:space="0" w:color="auto"/>
                        <w:left w:val="none" w:sz="0" w:space="0" w:color="auto"/>
                        <w:bottom w:val="none" w:sz="0" w:space="0" w:color="auto"/>
                        <w:right w:val="none" w:sz="0" w:space="0" w:color="auto"/>
                      </w:divBdr>
                    </w:div>
                    <w:div w:id="294144360">
                      <w:marLeft w:val="0"/>
                      <w:marRight w:val="0"/>
                      <w:marTop w:val="0"/>
                      <w:marBottom w:val="0"/>
                      <w:divBdr>
                        <w:top w:val="none" w:sz="0" w:space="0" w:color="auto"/>
                        <w:left w:val="none" w:sz="0" w:space="0" w:color="auto"/>
                        <w:bottom w:val="none" w:sz="0" w:space="0" w:color="auto"/>
                        <w:right w:val="none" w:sz="0" w:space="0" w:color="auto"/>
                      </w:divBdr>
                    </w:div>
                    <w:div w:id="294144404">
                      <w:marLeft w:val="0"/>
                      <w:marRight w:val="0"/>
                      <w:marTop w:val="0"/>
                      <w:marBottom w:val="0"/>
                      <w:divBdr>
                        <w:top w:val="none" w:sz="0" w:space="0" w:color="auto"/>
                        <w:left w:val="none" w:sz="0" w:space="0" w:color="auto"/>
                        <w:bottom w:val="none" w:sz="0" w:space="0" w:color="auto"/>
                        <w:right w:val="none" w:sz="0" w:space="0" w:color="auto"/>
                      </w:divBdr>
                    </w:div>
                    <w:div w:id="294144423">
                      <w:marLeft w:val="0"/>
                      <w:marRight w:val="0"/>
                      <w:marTop w:val="0"/>
                      <w:marBottom w:val="0"/>
                      <w:divBdr>
                        <w:top w:val="none" w:sz="0" w:space="0" w:color="auto"/>
                        <w:left w:val="none" w:sz="0" w:space="0" w:color="auto"/>
                        <w:bottom w:val="none" w:sz="0" w:space="0" w:color="auto"/>
                        <w:right w:val="none" w:sz="0" w:space="0" w:color="auto"/>
                      </w:divBdr>
                    </w:div>
                    <w:div w:id="294144469">
                      <w:marLeft w:val="0"/>
                      <w:marRight w:val="0"/>
                      <w:marTop w:val="0"/>
                      <w:marBottom w:val="0"/>
                      <w:divBdr>
                        <w:top w:val="none" w:sz="0" w:space="0" w:color="auto"/>
                        <w:left w:val="none" w:sz="0" w:space="0" w:color="auto"/>
                        <w:bottom w:val="none" w:sz="0" w:space="0" w:color="auto"/>
                        <w:right w:val="none" w:sz="0" w:space="0" w:color="auto"/>
                      </w:divBdr>
                      <w:divsChild>
                        <w:div w:id="294141939">
                          <w:marLeft w:val="0"/>
                          <w:marRight w:val="0"/>
                          <w:marTop w:val="0"/>
                          <w:marBottom w:val="0"/>
                          <w:divBdr>
                            <w:top w:val="none" w:sz="0" w:space="0" w:color="auto"/>
                            <w:left w:val="none" w:sz="0" w:space="0" w:color="auto"/>
                            <w:bottom w:val="none" w:sz="0" w:space="0" w:color="auto"/>
                            <w:right w:val="none" w:sz="0" w:space="0" w:color="auto"/>
                          </w:divBdr>
                        </w:div>
                      </w:divsChild>
                    </w:div>
                    <w:div w:id="294144600">
                      <w:marLeft w:val="0"/>
                      <w:marRight w:val="0"/>
                      <w:marTop w:val="0"/>
                      <w:marBottom w:val="0"/>
                      <w:divBdr>
                        <w:top w:val="none" w:sz="0" w:space="0" w:color="auto"/>
                        <w:left w:val="none" w:sz="0" w:space="0" w:color="auto"/>
                        <w:bottom w:val="none" w:sz="0" w:space="0" w:color="auto"/>
                        <w:right w:val="none" w:sz="0" w:space="0" w:color="auto"/>
                      </w:divBdr>
                    </w:div>
                    <w:div w:id="294144706">
                      <w:marLeft w:val="0"/>
                      <w:marRight w:val="0"/>
                      <w:marTop w:val="0"/>
                      <w:marBottom w:val="0"/>
                      <w:divBdr>
                        <w:top w:val="none" w:sz="0" w:space="0" w:color="auto"/>
                        <w:left w:val="none" w:sz="0" w:space="0" w:color="auto"/>
                        <w:bottom w:val="none" w:sz="0" w:space="0" w:color="auto"/>
                        <w:right w:val="none" w:sz="0" w:space="0" w:color="auto"/>
                      </w:divBdr>
                      <w:divsChild>
                        <w:div w:id="294142917">
                          <w:marLeft w:val="0"/>
                          <w:marRight w:val="0"/>
                          <w:marTop w:val="0"/>
                          <w:marBottom w:val="0"/>
                          <w:divBdr>
                            <w:top w:val="none" w:sz="0" w:space="0" w:color="auto"/>
                            <w:left w:val="none" w:sz="0" w:space="0" w:color="auto"/>
                            <w:bottom w:val="none" w:sz="0" w:space="0" w:color="auto"/>
                            <w:right w:val="none" w:sz="0" w:space="0" w:color="auto"/>
                          </w:divBdr>
                        </w:div>
                      </w:divsChild>
                    </w:div>
                    <w:div w:id="294144710">
                      <w:marLeft w:val="0"/>
                      <w:marRight w:val="0"/>
                      <w:marTop w:val="0"/>
                      <w:marBottom w:val="0"/>
                      <w:divBdr>
                        <w:top w:val="none" w:sz="0" w:space="0" w:color="auto"/>
                        <w:left w:val="none" w:sz="0" w:space="0" w:color="auto"/>
                        <w:bottom w:val="none" w:sz="0" w:space="0" w:color="auto"/>
                        <w:right w:val="none" w:sz="0" w:space="0" w:color="auto"/>
                      </w:divBdr>
                    </w:div>
                    <w:div w:id="294144735">
                      <w:marLeft w:val="0"/>
                      <w:marRight w:val="0"/>
                      <w:marTop w:val="0"/>
                      <w:marBottom w:val="0"/>
                      <w:divBdr>
                        <w:top w:val="none" w:sz="0" w:space="0" w:color="auto"/>
                        <w:left w:val="none" w:sz="0" w:space="0" w:color="auto"/>
                        <w:bottom w:val="none" w:sz="0" w:space="0" w:color="auto"/>
                        <w:right w:val="none" w:sz="0" w:space="0" w:color="auto"/>
                      </w:divBdr>
                    </w:div>
                    <w:div w:id="294144869">
                      <w:marLeft w:val="0"/>
                      <w:marRight w:val="0"/>
                      <w:marTop w:val="0"/>
                      <w:marBottom w:val="0"/>
                      <w:divBdr>
                        <w:top w:val="none" w:sz="0" w:space="0" w:color="auto"/>
                        <w:left w:val="none" w:sz="0" w:space="0" w:color="auto"/>
                        <w:bottom w:val="none" w:sz="0" w:space="0" w:color="auto"/>
                        <w:right w:val="none" w:sz="0" w:space="0" w:color="auto"/>
                      </w:divBdr>
                      <w:divsChild>
                        <w:div w:id="294154595">
                          <w:marLeft w:val="0"/>
                          <w:marRight w:val="0"/>
                          <w:marTop w:val="0"/>
                          <w:marBottom w:val="0"/>
                          <w:divBdr>
                            <w:top w:val="none" w:sz="0" w:space="0" w:color="auto"/>
                            <w:left w:val="none" w:sz="0" w:space="0" w:color="auto"/>
                            <w:bottom w:val="none" w:sz="0" w:space="0" w:color="auto"/>
                            <w:right w:val="none" w:sz="0" w:space="0" w:color="auto"/>
                          </w:divBdr>
                        </w:div>
                      </w:divsChild>
                    </w:div>
                    <w:div w:id="294144916">
                      <w:marLeft w:val="0"/>
                      <w:marRight w:val="0"/>
                      <w:marTop w:val="0"/>
                      <w:marBottom w:val="0"/>
                      <w:divBdr>
                        <w:top w:val="none" w:sz="0" w:space="0" w:color="auto"/>
                        <w:left w:val="none" w:sz="0" w:space="0" w:color="auto"/>
                        <w:bottom w:val="none" w:sz="0" w:space="0" w:color="auto"/>
                        <w:right w:val="none" w:sz="0" w:space="0" w:color="auto"/>
                      </w:divBdr>
                      <w:divsChild>
                        <w:div w:id="294146653">
                          <w:marLeft w:val="0"/>
                          <w:marRight w:val="0"/>
                          <w:marTop w:val="0"/>
                          <w:marBottom w:val="0"/>
                          <w:divBdr>
                            <w:top w:val="none" w:sz="0" w:space="0" w:color="auto"/>
                            <w:left w:val="none" w:sz="0" w:space="0" w:color="auto"/>
                            <w:bottom w:val="none" w:sz="0" w:space="0" w:color="auto"/>
                            <w:right w:val="none" w:sz="0" w:space="0" w:color="auto"/>
                          </w:divBdr>
                        </w:div>
                      </w:divsChild>
                    </w:div>
                    <w:div w:id="294145044">
                      <w:marLeft w:val="0"/>
                      <w:marRight w:val="0"/>
                      <w:marTop w:val="0"/>
                      <w:marBottom w:val="0"/>
                      <w:divBdr>
                        <w:top w:val="none" w:sz="0" w:space="0" w:color="auto"/>
                        <w:left w:val="none" w:sz="0" w:space="0" w:color="auto"/>
                        <w:bottom w:val="none" w:sz="0" w:space="0" w:color="auto"/>
                        <w:right w:val="none" w:sz="0" w:space="0" w:color="auto"/>
                      </w:divBdr>
                    </w:div>
                    <w:div w:id="294145064">
                      <w:marLeft w:val="0"/>
                      <w:marRight w:val="0"/>
                      <w:marTop w:val="0"/>
                      <w:marBottom w:val="0"/>
                      <w:divBdr>
                        <w:top w:val="none" w:sz="0" w:space="0" w:color="auto"/>
                        <w:left w:val="none" w:sz="0" w:space="0" w:color="auto"/>
                        <w:bottom w:val="none" w:sz="0" w:space="0" w:color="auto"/>
                        <w:right w:val="none" w:sz="0" w:space="0" w:color="auto"/>
                      </w:divBdr>
                    </w:div>
                    <w:div w:id="294145193">
                      <w:marLeft w:val="0"/>
                      <w:marRight w:val="0"/>
                      <w:marTop w:val="0"/>
                      <w:marBottom w:val="0"/>
                      <w:divBdr>
                        <w:top w:val="none" w:sz="0" w:space="0" w:color="auto"/>
                        <w:left w:val="none" w:sz="0" w:space="0" w:color="auto"/>
                        <w:bottom w:val="none" w:sz="0" w:space="0" w:color="auto"/>
                        <w:right w:val="none" w:sz="0" w:space="0" w:color="auto"/>
                      </w:divBdr>
                      <w:divsChild>
                        <w:div w:id="294155465">
                          <w:marLeft w:val="0"/>
                          <w:marRight w:val="0"/>
                          <w:marTop w:val="0"/>
                          <w:marBottom w:val="0"/>
                          <w:divBdr>
                            <w:top w:val="none" w:sz="0" w:space="0" w:color="auto"/>
                            <w:left w:val="none" w:sz="0" w:space="0" w:color="auto"/>
                            <w:bottom w:val="none" w:sz="0" w:space="0" w:color="auto"/>
                            <w:right w:val="none" w:sz="0" w:space="0" w:color="auto"/>
                          </w:divBdr>
                        </w:div>
                      </w:divsChild>
                    </w:div>
                    <w:div w:id="294145393">
                      <w:marLeft w:val="0"/>
                      <w:marRight w:val="0"/>
                      <w:marTop w:val="0"/>
                      <w:marBottom w:val="0"/>
                      <w:divBdr>
                        <w:top w:val="none" w:sz="0" w:space="0" w:color="auto"/>
                        <w:left w:val="none" w:sz="0" w:space="0" w:color="auto"/>
                        <w:bottom w:val="none" w:sz="0" w:space="0" w:color="auto"/>
                        <w:right w:val="none" w:sz="0" w:space="0" w:color="auto"/>
                      </w:divBdr>
                      <w:divsChild>
                        <w:div w:id="294155595">
                          <w:marLeft w:val="0"/>
                          <w:marRight w:val="0"/>
                          <w:marTop w:val="0"/>
                          <w:marBottom w:val="0"/>
                          <w:divBdr>
                            <w:top w:val="none" w:sz="0" w:space="0" w:color="auto"/>
                            <w:left w:val="none" w:sz="0" w:space="0" w:color="auto"/>
                            <w:bottom w:val="none" w:sz="0" w:space="0" w:color="auto"/>
                            <w:right w:val="none" w:sz="0" w:space="0" w:color="auto"/>
                          </w:divBdr>
                        </w:div>
                      </w:divsChild>
                    </w:div>
                    <w:div w:id="294145481">
                      <w:marLeft w:val="0"/>
                      <w:marRight w:val="0"/>
                      <w:marTop w:val="0"/>
                      <w:marBottom w:val="0"/>
                      <w:divBdr>
                        <w:top w:val="none" w:sz="0" w:space="0" w:color="auto"/>
                        <w:left w:val="none" w:sz="0" w:space="0" w:color="auto"/>
                        <w:bottom w:val="none" w:sz="0" w:space="0" w:color="auto"/>
                        <w:right w:val="none" w:sz="0" w:space="0" w:color="auto"/>
                      </w:divBdr>
                      <w:divsChild>
                        <w:div w:id="294155772">
                          <w:marLeft w:val="0"/>
                          <w:marRight w:val="0"/>
                          <w:marTop w:val="0"/>
                          <w:marBottom w:val="0"/>
                          <w:divBdr>
                            <w:top w:val="none" w:sz="0" w:space="0" w:color="auto"/>
                            <w:left w:val="none" w:sz="0" w:space="0" w:color="auto"/>
                            <w:bottom w:val="none" w:sz="0" w:space="0" w:color="auto"/>
                            <w:right w:val="none" w:sz="0" w:space="0" w:color="auto"/>
                          </w:divBdr>
                        </w:div>
                      </w:divsChild>
                    </w:div>
                    <w:div w:id="294145543">
                      <w:marLeft w:val="0"/>
                      <w:marRight w:val="0"/>
                      <w:marTop w:val="0"/>
                      <w:marBottom w:val="0"/>
                      <w:divBdr>
                        <w:top w:val="none" w:sz="0" w:space="0" w:color="auto"/>
                        <w:left w:val="none" w:sz="0" w:space="0" w:color="auto"/>
                        <w:bottom w:val="none" w:sz="0" w:space="0" w:color="auto"/>
                        <w:right w:val="none" w:sz="0" w:space="0" w:color="auto"/>
                      </w:divBdr>
                      <w:divsChild>
                        <w:div w:id="294149037">
                          <w:marLeft w:val="0"/>
                          <w:marRight w:val="0"/>
                          <w:marTop w:val="0"/>
                          <w:marBottom w:val="0"/>
                          <w:divBdr>
                            <w:top w:val="none" w:sz="0" w:space="0" w:color="auto"/>
                            <w:left w:val="none" w:sz="0" w:space="0" w:color="auto"/>
                            <w:bottom w:val="none" w:sz="0" w:space="0" w:color="auto"/>
                            <w:right w:val="none" w:sz="0" w:space="0" w:color="auto"/>
                          </w:divBdr>
                        </w:div>
                      </w:divsChild>
                    </w:div>
                    <w:div w:id="294145778">
                      <w:marLeft w:val="0"/>
                      <w:marRight w:val="0"/>
                      <w:marTop w:val="0"/>
                      <w:marBottom w:val="0"/>
                      <w:divBdr>
                        <w:top w:val="none" w:sz="0" w:space="0" w:color="auto"/>
                        <w:left w:val="none" w:sz="0" w:space="0" w:color="auto"/>
                        <w:bottom w:val="none" w:sz="0" w:space="0" w:color="auto"/>
                        <w:right w:val="none" w:sz="0" w:space="0" w:color="auto"/>
                      </w:divBdr>
                    </w:div>
                    <w:div w:id="294145909">
                      <w:marLeft w:val="0"/>
                      <w:marRight w:val="0"/>
                      <w:marTop w:val="0"/>
                      <w:marBottom w:val="0"/>
                      <w:divBdr>
                        <w:top w:val="none" w:sz="0" w:space="0" w:color="auto"/>
                        <w:left w:val="none" w:sz="0" w:space="0" w:color="auto"/>
                        <w:bottom w:val="none" w:sz="0" w:space="0" w:color="auto"/>
                        <w:right w:val="none" w:sz="0" w:space="0" w:color="auto"/>
                      </w:divBdr>
                      <w:divsChild>
                        <w:div w:id="294151248">
                          <w:marLeft w:val="0"/>
                          <w:marRight w:val="0"/>
                          <w:marTop w:val="0"/>
                          <w:marBottom w:val="0"/>
                          <w:divBdr>
                            <w:top w:val="none" w:sz="0" w:space="0" w:color="auto"/>
                            <w:left w:val="none" w:sz="0" w:space="0" w:color="auto"/>
                            <w:bottom w:val="none" w:sz="0" w:space="0" w:color="auto"/>
                            <w:right w:val="none" w:sz="0" w:space="0" w:color="auto"/>
                          </w:divBdr>
                        </w:div>
                      </w:divsChild>
                    </w:div>
                    <w:div w:id="294145932">
                      <w:marLeft w:val="0"/>
                      <w:marRight w:val="0"/>
                      <w:marTop w:val="0"/>
                      <w:marBottom w:val="0"/>
                      <w:divBdr>
                        <w:top w:val="none" w:sz="0" w:space="0" w:color="auto"/>
                        <w:left w:val="none" w:sz="0" w:space="0" w:color="auto"/>
                        <w:bottom w:val="none" w:sz="0" w:space="0" w:color="auto"/>
                        <w:right w:val="none" w:sz="0" w:space="0" w:color="auto"/>
                      </w:divBdr>
                    </w:div>
                    <w:div w:id="294146008">
                      <w:marLeft w:val="0"/>
                      <w:marRight w:val="0"/>
                      <w:marTop w:val="0"/>
                      <w:marBottom w:val="0"/>
                      <w:divBdr>
                        <w:top w:val="none" w:sz="0" w:space="0" w:color="auto"/>
                        <w:left w:val="none" w:sz="0" w:space="0" w:color="auto"/>
                        <w:bottom w:val="none" w:sz="0" w:space="0" w:color="auto"/>
                        <w:right w:val="none" w:sz="0" w:space="0" w:color="auto"/>
                      </w:divBdr>
                      <w:divsChild>
                        <w:div w:id="294151803">
                          <w:marLeft w:val="0"/>
                          <w:marRight w:val="0"/>
                          <w:marTop w:val="0"/>
                          <w:marBottom w:val="0"/>
                          <w:divBdr>
                            <w:top w:val="none" w:sz="0" w:space="0" w:color="auto"/>
                            <w:left w:val="none" w:sz="0" w:space="0" w:color="auto"/>
                            <w:bottom w:val="none" w:sz="0" w:space="0" w:color="auto"/>
                            <w:right w:val="none" w:sz="0" w:space="0" w:color="auto"/>
                          </w:divBdr>
                        </w:div>
                      </w:divsChild>
                    </w:div>
                    <w:div w:id="294146130">
                      <w:marLeft w:val="0"/>
                      <w:marRight w:val="0"/>
                      <w:marTop w:val="0"/>
                      <w:marBottom w:val="0"/>
                      <w:divBdr>
                        <w:top w:val="none" w:sz="0" w:space="0" w:color="auto"/>
                        <w:left w:val="none" w:sz="0" w:space="0" w:color="auto"/>
                        <w:bottom w:val="none" w:sz="0" w:space="0" w:color="auto"/>
                        <w:right w:val="none" w:sz="0" w:space="0" w:color="auto"/>
                      </w:divBdr>
                    </w:div>
                    <w:div w:id="294146156">
                      <w:marLeft w:val="0"/>
                      <w:marRight w:val="0"/>
                      <w:marTop w:val="0"/>
                      <w:marBottom w:val="0"/>
                      <w:divBdr>
                        <w:top w:val="none" w:sz="0" w:space="0" w:color="auto"/>
                        <w:left w:val="none" w:sz="0" w:space="0" w:color="auto"/>
                        <w:bottom w:val="none" w:sz="0" w:space="0" w:color="auto"/>
                        <w:right w:val="none" w:sz="0" w:space="0" w:color="auto"/>
                      </w:divBdr>
                    </w:div>
                    <w:div w:id="294146260">
                      <w:marLeft w:val="0"/>
                      <w:marRight w:val="0"/>
                      <w:marTop w:val="0"/>
                      <w:marBottom w:val="0"/>
                      <w:divBdr>
                        <w:top w:val="none" w:sz="0" w:space="0" w:color="auto"/>
                        <w:left w:val="none" w:sz="0" w:space="0" w:color="auto"/>
                        <w:bottom w:val="none" w:sz="0" w:space="0" w:color="auto"/>
                        <w:right w:val="none" w:sz="0" w:space="0" w:color="auto"/>
                      </w:divBdr>
                      <w:divsChild>
                        <w:div w:id="294144279">
                          <w:marLeft w:val="0"/>
                          <w:marRight w:val="0"/>
                          <w:marTop w:val="0"/>
                          <w:marBottom w:val="0"/>
                          <w:divBdr>
                            <w:top w:val="none" w:sz="0" w:space="0" w:color="auto"/>
                            <w:left w:val="none" w:sz="0" w:space="0" w:color="auto"/>
                            <w:bottom w:val="none" w:sz="0" w:space="0" w:color="auto"/>
                            <w:right w:val="none" w:sz="0" w:space="0" w:color="auto"/>
                          </w:divBdr>
                        </w:div>
                      </w:divsChild>
                    </w:div>
                    <w:div w:id="294146397">
                      <w:marLeft w:val="0"/>
                      <w:marRight w:val="0"/>
                      <w:marTop w:val="0"/>
                      <w:marBottom w:val="0"/>
                      <w:divBdr>
                        <w:top w:val="none" w:sz="0" w:space="0" w:color="auto"/>
                        <w:left w:val="none" w:sz="0" w:space="0" w:color="auto"/>
                        <w:bottom w:val="none" w:sz="0" w:space="0" w:color="auto"/>
                        <w:right w:val="none" w:sz="0" w:space="0" w:color="auto"/>
                      </w:divBdr>
                    </w:div>
                    <w:div w:id="294146589">
                      <w:marLeft w:val="0"/>
                      <w:marRight w:val="0"/>
                      <w:marTop w:val="0"/>
                      <w:marBottom w:val="0"/>
                      <w:divBdr>
                        <w:top w:val="none" w:sz="0" w:space="0" w:color="auto"/>
                        <w:left w:val="none" w:sz="0" w:space="0" w:color="auto"/>
                        <w:bottom w:val="none" w:sz="0" w:space="0" w:color="auto"/>
                        <w:right w:val="none" w:sz="0" w:space="0" w:color="auto"/>
                      </w:divBdr>
                      <w:divsChild>
                        <w:div w:id="294139394">
                          <w:marLeft w:val="0"/>
                          <w:marRight w:val="0"/>
                          <w:marTop w:val="0"/>
                          <w:marBottom w:val="0"/>
                          <w:divBdr>
                            <w:top w:val="none" w:sz="0" w:space="0" w:color="auto"/>
                            <w:left w:val="none" w:sz="0" w:space="0" w:color="auto"/>
                            <w:bottom w:val="none" w:sz="0" w:space="0" w:color="auto"/>
                            <w:right w:val="none" w:sz="0" w:space="0" w:color="auto"/>
                          </w:divBdr>
                        </w:div>
                      </w:divsChild>
                    </w:div>
                    <w:div w:id="294146684">
                      <w:marLeft w:val="0"/>
                      <w:marRight w:val="0"/>
                      <w:marTop w:val="0"/>
                      <w:marBottom w:val="0"/>
                      <w:divBdr>
                        <w:top w:val="none" w:sz="0" w:space="0" w:color="auto"/>
                        <w:left w:val="none" w:sz="0" w:space="0" w:color="auto"/>
                        <w:bottom w:val="none" w:sz="0" w:space="0" w:color="auto"/>
                        <w:right w:val="none" w:sz="0" w:space="0" w:color="auto"/>
                      </w:divBdr>
                      <w:divsChild>
                        <w:div w:id="294156440">
                          <w:marLeft w:val="0"/>
                          <w:marRight w:val="0"/>
                          <w:marTop w:val="0"/>
                          <w:marBottom w:val="0"/>
                          <w:divBdr>
                            <w:top w:val="none" w:sz="0" w:space="0" w:color="auto"/>
                            <w:left w:val="none" w:sz="0" w:space="0" w:color="auto"/>
                            <w:bottom w:val="none" w:sz="0" w:space="0" w:color="auto"/>
                            <w:right w:val="none" w:sz="0" w:space="0" w:color="auto"/>
                          </w:divBdr>
                        </w:div>
                      </w:divsChild>
                    </w:div>
                    <w:div w:id="294146751">
                      <w:marLeft w:val="0"/>
                      <w:marRight w:val="0"/>
                      <w:marTop w:val="0"/>
                      <w:marBottom w:val="0"/>
                      <w:divBdr>
                        <w:top w:val="none" w:sz="0" w:space="0" w:color="auto"/>
                        <w:left w:val="none" w:sz="0" w:space="0" w:color="auto"/>
                        <w:bottom w:val="none" w:sz="0" w:space="0" w:color="auto"/>
                        <w:right w:val="none" w:sz="0" w:space="0" w:color="auto"/>
                      </w:divBdr>
                      <w:divsChild>
                        <w:div w:id="294155855">
                          <w:marLeft w:val="0"/>
                          <w:marRight w:val="0"/>
                          <w:marTop w:val="0"/>
                          <w:marBottom w:val="0"/>
                          <w:divBdr>
                            <w:top w:val="none" w:sz="0" w:space="0" w:color="auto"/>
                            <w:left w:val="none" w:sz="0" w:space="0" w:color="auto"/>
                            <w:bottom w:val="none" w:sz="0" w:space="0" w:color="auto"/>
                            <w:right w:val="none" w:sz="0" w:space="0" w:color="auto"/>
                          </w:divBdr>
                        </w:div>
                      </w:divsChild>
                    </w:div>
                    <w:div w:id="294146956">
                      <w:marLeft w:val="0"/>
                      <w:marRight w:val="0"/>
                      <w:marTop w:val="0"/>
                      <w:marBottom w:val="0"/>
                      <w:divBdr>
                        <w:top w:val="none" w:sz="0" w:space="0" w:color="auto"/>
                        <w:left w:val="none" w:sz="0" w:space="0" w:color="auto"/>
                        <w:bottom w:val="none" w:sz="0" w:space="0" w:color="auto"/>
                        <w:right w:val="none" w:sz="0" w:space="0" w:color="auto"/>
                      </w:divBdr>
                      <w:divsChild>
                        <w:div w:id="294145386">
                          <w:marLeft w:val="0"/>
                          <w:marRight w:val="0"/>
                          <w:marTop w:val="0"/>
                          <w:marBottom w:val="0"/>
                          <w:divBdr>
                            <w:top w:val="none" w:sz="0" w:space="0" w:color="auto"/>
                            <w:left w:val="none" w:sz="0" w:space="0" w:color="auto"/>
                            <w:bottom w:val="none" w:sz="0" w:space="0" w:color="auto"/>
                            <w:right w:val="none" w:sz="0" w:space="0" w:color="auto"/>
                          </w:divBdr>
                        </w:div>
                      </w:divsChild>
                    </w:div>
                    <w:div w:id="294147039">
                      <w:marLeft w:val="0"/>
                      <w:marRight w:val="0"/>
                      <w:marTop w:val="0"/>
                      <w:marBottom w:val="0"/>
                      <w:divBdr>
                        <w:top w:val="none" w:sz="0" w:space="0" w:color="auto"/>
                        <w:left w:val="none" w:sz="0" w:space="0" w:color="auto"/>
                        <w:bottom w:val="none" w:sz="0" w:space="0" w:color="auto"/>
                        <w:right w:val="none" w:sz="0" w:space="0" w:color="auto"/>
                      </w:divBdr>
                      <w:divsChild>
                        <w:div w:id="294150242">
                          <w:marLeft w:val="0"/>
                          <w:marRight w:val="0"/>
                          <w:marTop w:val="0"/>
                          <w:marBottom w:val="0"/>
                          <w:divBdr>
                            <w:top w:val="none" w:sz="0" w:space="0" w:color="auto"/>
                            <w:left w:val="none" w:sz="0" w:space="0" w:color="auto"/>
                            <w:bottom w:val="none" w:sz="0" w:space="0" w:color="auto"/>
                            <w:right w:val="none" w:sz="0" w:space="0" w:color="auto"/>
                          </w:divBdr>
                        </w:div>
                      </w:divsChild>
                    </w:div>
                    <w:div w:id="294147226">
                      <w:marLeft w:val="0"/>
                      <w:marRight w:val="0"/>
                      <w:marTop w:val="0"/>
                      <w:marBottom w:val="0"/>
                      <w:divBdr>
                        <w:top w:val="none" w:sz="0" w:space="0" w:color="auto"/>
                        <w:left w:val="none" w:sz="0" w:space="0" w:color="auto"/>
                        <w:bottom w:val="none" w:sz="0" w:space="0" w:color="auto"/>
                        <w:right w:val="none" w:sz="0" w:space="0" w:color="auto"/>
                      </w:divBdr>
                      <w:divsChild>
                        <w:div w:id="294144087">
                          <w:marLeft w:val="0"/>
                          <w:marRight w:val="0"/>
                          <w:marTop w:val="0"/>
                          <w:marBottom w:val="0"/>
                          <w:divBdr>
                            <w:top w:val="none" w:sz="0" w:space="0" w:color="auto"/>
                            <w:left w:val="none" w:sz="0" w:space="0" w:color="auto"/>
                            <w:bottom w:val="none" w:sz="0" w:space="0" w:color="auto"/>
                            <w:right w:val="none" w:sz="0" w:space="0" w:color="auto"/>
                          </w:divBdr>
                        </w:div>
                      </w:divsChild>
                    </w:div>
                    <w:div w:id="294147319">
                      <w:marLeft w:val="0"/>
                      <w:marRight w:val="0"/>
                      <w:marTop w:val="0"/>
                      <w:marBottom w:val="0"/>
                      <w:divBdr>
                        <w:top w:val="none" w:sz="0" w:space="0" w:color="auto"/>
                        <w:left w:val="none" w:sz="0" w:space="0" w:color="auto"/>
                        <w:bottom w:val="none" w:sz="0" w:space="0" w:color="auto"/>
                        <w:right w:val="none" w:sz="0" w:space="0" w:color="auto"/>
                      </w:divBdr>
                      <w:divsChild>
                        <w:div w:id="294149415">
                          <w:marLeft w:val="0"/>
                          <w:marRight w:val="0"/>
                          <w:marTop w:val="0"/>
                          <w:marBottom w:val="0"/>
                          <w:divBdr>
                            <w:top w:val="none" w:sz="0" w:space="0" w:color="auto"/>
                            <w:left w:val="none" w:sz="0" w:space="0" w:color="auto"/>
                            <w:bottom w:val="none" w:sz="0" w:space="0" w:color="auto"/>
                            <w:right w:val="none" w:sz="0" w:space="0" w:color="auto"/>
                          </w:divBdr>
                        </w:div>
                      </w:divsChild>
                    </w:div>
                    <w:div w:id="294147328">
                      <w:marLeft w:val="0"/>
                      <w:marRight w:val="0"/>
                      <w:marTop w:val="0"/>
                      <w:marBottom w:val="0"/>
                      <w:divBdr>
                        <w:top w:val="none" w:sz="0" w:space="0" w:color="auto"/>
                        <w:left w:val="none" w:sz="0" w:space="0" w:color="auto"/>
                        <w:bottom w:val="none" w:sz="0" w:space="0" w:color="auto"/>
                        <w:right w:val="none" w:sz="0" w:space="0" w:color="auto"/>
                      </w:divBdr>
                    </w:div>
                    <w:div w:id="294147336">
                      <w:marLeft w:val="0"/>
                      <w:marRight w:val="0"/>
                      <w:marTop w:val="0"/>
                      <w:marBottom w:val="0"/>
                      <w:divBdr>
                        <w:top w:val="none" w:sz="0" w:space="0" w:color="auto"/>
                        <w:left w:val="none" w:sz="0" w:space="0" w:color="auto"/>
                        <w:bottom w:val="none" w:sz="0" w:space="0" w:color="auto"/>
                        <w:right w:val="none" w:sz="0" w:space="0" w:color="auto"/>
                      </w:divBdr>
                      <w:divsChild>
                        <w:div w:id="294150149">
                          <w:marLeft w:val="0"/>
                          <w:marRight w:val="0"/>
                          <w:marTop w:val="0"/>
                          <w:marBottom w:val="0"/>
                          <w:divBdr>
                            <w:top w:val="none" w:sz="0" w:space="0" w:color="auto"/>
                            <w:left w:val="none" w:sz="0" w:space="0" w:color="auto"/>
                            <w:bottom w:val="none" w:sz="0" w:space="0" w:color="auto"/>
                            <w:right w:val="none" w:sz="0" w:space="0" w:color="auto"/>
                          </w:divBdr>
                        </w:div>
                      </w:divsChild>
                    </w:div>
                    <w:div w:id="294147456">
                      <w:marLeft w:val="0"/>
                      <w:marRight w:val="0"/>
                      <w:marTop w:val="0"/>
                      <w:marBottom w:val="0"/>
                      <w:divBdr>
                        <w:top w:val="none" w:sz="0" w:space="0" w:color="auto"/>
                        <w:left w:val="none" w:sz="0" w:space="0" w:color="auto"/>
                        <w:bottom w:val="none" w:sz="0" w:space="0" w:color="auto"/>
                        <w:right w:val="none" w:sz="0" w:space="0" w:color="auto"/>
                      </w:divBdr>
                      <w:divsChild>
                        <w:div w:id="294154667">
                          <w:marLeft w:val="0"/>
                          <w:marRight w:val="0"/>
                          <w:marTop w:val="0"/>
                          <w:marBottom w:val="0"/>
                          <w:divBdr>
                            <w:top w:val="none" w:sz="0" w:space="0" w:color="auto"/>
                            <w:left w:val="none" w:sz="0" w:space="0" w:color="auto"/>
                            <w:bottom w:val="none" w:sz="0" w:space="0" w:color="auto"/>
                            <w:right w:val="none" w:sz="0" w:space="0" w:color="auto"/>
                          </w:divBdr>
                        </w:div>
                      </w:divsChild>
                    </w:div>
                    <w:div w:id="294147480">
                      <w:marLeft w:val="0"/>
                      <w:marRight w:val="0"/>
                      <w:marTop w:val="0"/>
                      <w:marBottom w:val="0"/>
                      <w:divBdr>
                        <w:top w:val="none" w:sz="0" w:space="0" w:color="auto"/>
                        <w:left w:val="none" w:sz="0" w:space="0" w:color="auto"/>
                        <w:bottom w:val="none" w:sz="0" w:space="0" w:color="auto"/>
                        <w:right w:val="none" w:sz="0" w:space="0" w:color="auto"/>
                      </w:divBdr>
                      <w:divsChild>
                        <w:div w:id="294155016">
                          <w:marLeft w:val="0"/>
                          <w:marRight w:val="0"/>
                          <w:marTop w:val="0"/>
                          <w:marBottom w:val="0"/>
                          <w:divBdr>
                            <w:top w:val="none" w:sz="0" w:space="0" w:color="auto"/>
                            <w:left w:val="none" w:sz="0" w:space="0" w:color="auto"/>
                            <w:bottom w:val="none" w:sz="0" w:space="0" w:color="auto"/>
                            <w:right w:val="none" w:sz="0" w:space="0" w:color="auto"/>
                          </w:divBdr>
                        </w:div>
                      </w:divsChild>
                    </w:div>
                    <w:div w:id="294147552">
                      <w:marLeft w:val="0"/>
                      <w:marRight w:val="0"/>
                      <w:marTop w:val="0"/>
                      <w:marBottom w:val="0"/>
                      <w:divBdr>
                        <w:top w:val="none" w:sz="0" w:space="0" w:color="auto"/>
                        <w:left w:val="none" w:sz="0" w:space="0" w:color="auto"/>
                        <w:bottom w:val="none" w:sz="0" w:space="0" w:color="auto"/>
                        <w:right w:val="none" w:sz="0" w:space="0" w:color="auto"/>
                      </w:divBdr>
                    </w:div>
                    <w:div w:id="294147589">
                      <w:marLeft w:val="0"/>
                      <w:marRight w:val="0"/>
                      <w:marTop w:val="0"/>
                      <w:marBottom w:val="0"/>
                      <w:divBdr>
                        <w:top w:val="none" w:sz="0" w:space="0" w:color="auto"/>
                        <w:left w:val="none" w:sz="0" w:space="0" w:color="auto"/>
                        <w:bottom w:val="none" w:sz="0" w:space="0" w:color="auto"/>
                        <w:right w:val="none" w:sz="0" w:space="0" w:color="auto"/>
                      </w:divBdr>
                    </w:div>
                    <w:div w:id="294147651">
                      <w:marLeft w:val="0"/>
                      <w:marRight w:val="0"/>
                      <w:marTop w:val="0"/>
                      <w:marBottom w:val="0"/>
                      <w:divBdr>
                        <w:top w:val="none" w:sz="0" w:space="0" w:color="auto"/>
                        <w:left w:val="none" w:sz="0" w:space="0" w:color="auto"/>
                        <w:bottom w:val="none" w:sz="0" w:space="0" w:color="auto"/>
                        <w:right w:val="none" w:sz="0" w:space="0" w:color="auto"/>
                      </w:divBdr>
                      <w:divsChild>
                        <w:div w:id="294143603">
                          <w:marLeft w:val="0"/>
                          <w:marRight w:val="0"/>
                          <w:marTop w:val="0"/>
                          <w:marBottom w:val="0"/>
                          <w:divBdr>
                            <w:top w:val="none" w:sz="0" w:space="0" w:color="auto"/>
                            <w:left w:val="none" w:sz="0" w:space="0" w:color="auto"/>
                            <w:bottom w:val="none" w:sz="0" w:space="0" w:color="auto"/>
                            <w:right w:val="none" w:sz="0" w:space="0" w:color="auto"/>
                          </w:divBdr>
                        </w:div>
                      </w:divsChild>
                    </w:div>
                    <w:div w:id="294147948">
                      <w:marLeft w:val="0"/>
                      <w:marRight w:val="0"/>
                      <w:marTop w:val="0"/>
                      <w:marBottom w:val="0"/>
                      <w:divBdr>
                        <w:top w:val="none" w:sz="0" w:space="0" w:color="auto"/>
                        <w:left w:val="none" w:sz="0" w:space="0" w:color="auto"/>
                        <w:bottom w:val="none" w:sz="0" w:space="0" w:color="auto"/>
                        <w:right w:val="none" w:sz="0" w:space="0" w:color="auto"/>
                      </w:divBdr>
                    </w:div>
                    <w:div w:id="294147952">
                      <w:marLeft w:val="0"/>
                      <w:marRight w:val="0"/>
                      <w:marTop w:val="0"/>
                      <w:marBottom w:val="0"/>
                      <w:divBdr>
                        <w:top w:val="none" w:sz="0" w:space="0" w:color="auto"/>
                        <w:left w:val="none" w:sz="0" w:space="0" w:color="auto"/>
                        <w:bottom w:val="none" w:sz="0" w:space="0" w:color="auto"/>
                        <w:right w:val="none" w:sz="0" w:space="0" w:color="auto"/>
                      </w:divBdr>
                      <w:divsChild>
                        <w:div w:id="294155313">
                          <w:marLeft w:val="0"/>
                          <w:marRight w:val="0"/>
                          <w:marTop w:val="0"/>
                          <w:marBottom w:val="0"/>
                          <w:divBdr>
                            <w:top w:val="none" w:sz="0" w:space="0" w:color="auto"/>
                            <w:left w:val="none" w:sz="0" w:space="0" w:color="auto"/>
                            <w:bottom w:val="none" w:sz="0" w:space="0" w:color="auto"/>
                            <w:right w:val="none" w:sz="0" w:space="0" w:color="auto"/>
                          </w:divBdr>
                        </w:div>
                      </w:divsChild>
                    </w:div>
                    <w:div w:id="294148031">
                      <w:marLeft w:val="0"/>
                      <w:marRight w:val="0"/>
                      <w:marTop w:val="0"/>
                      <w:marBottom w:val="0"/>
                      <w:divBdr>
                        <w:top w:val="none" w:sz="0" w:space="0" w:color="auto"/>
                        <w:left w:val="none" w:sz="0" w:space="0" w:color="auto"/>
                        <w:bottom w:val="none" w:sz="0" w:space="0" w:color="auto"/>
                        <w:right w:val="none" w:sz="0" w:space="0" w:color="auto"/>
                      </w:divBdr>
                      <w:divsChild>
                        <w:div w:id="294150697">
                          <w:marLeft w:val="0"/>
                          <w:marRight w:val="0"/>
                          <w:marTop w:val="0"/>
                          <w:marBottom w:val="0"/>
                          <w:divBdr>
                            <w:top w:val="none" w:sz="0" w:space="0" w:color="auto"/>
                            <w:left w:val="none" w:sz="0" w:space="0" w:color="auto"/>
                            <w:bottom w:val="none" w:sz="0" w:space="0" w:color="auto"/>
                            <w:right w:val="none" w:sz="0" w:space="0" w:color="auto"/>
                          </w:divBdr>
                        </w:div>
                      </w:divsChild>
                    </w:div>
                    <w:div w:id="294148258">
                      <w:marLeft w:val="0"/>
                      <w:marRight w:val="0"/>
                      <w:marTop w:val="0"/>
                      <w:marBottom w:val="0"/>
                      <w:divBdr>
                        <w:top w:val="none" w:sz="0" w:space="0" w:color="auto"/>
                        <w:left w:val="none" w:sz="0" w:space="0" w:color="auto"/>
                        <w:bottom w:val="none" w:sz="0" w:space="0" w:color="auto"/>
                        <w:right w:val="none" w:sz="0" w:space="0" w:color="auto"/>
                      </w:divBdr>
                    </w:div>
                    <w:div w:id="294148382">
                      <w:marLeft w:val="0"/>
                      <w:marRight w:val="0"/>
                      <w:marTop w:val="0"/>
                      <w:marBottom w:val="0"/>
                      <w:divBdr>
                        <w:top w:val="none" w:sz="0" w:space="0" w:color="auto"/>
                        <w:left w:val="none" w:sz="0" w:space="0" w:color="auto"/>
                        <w:bottom w:val="none" w:sz="0" w:space="0" w:color="auto"/>
                        <w:right w:val="none" w:sz="0" w:space="0" w:color="auto"/>
                      </w:divBdr>
                      <w:divsChild>
                        <w:div w:id="294149157">
                          <w:marLeft w:val="0"/>
                          <w:marRight w:val="0"/>
                          <w:marTop w:val="0"/>
                          <w:marBottom w:val="0"/>
                          <w:divBdr>
                            <w:top w:val="none" w:sz="0" w:space="0" w:color="auto"/>
                            <w:left w:val="none" w:sz="0" w:space="0" w:color="auto"/>
                            <w:bottom w:val="none" w:sz="0" w:space="0" w:color="auto"/>
                            <w:right w:val="none" w:sz="0" w:space="0" w:color="auto"/>
                          </w:divBdr>
                        </w:div>
                      </w:divsChild>
                    </w:div>
                    <w:div w:id="294148546">
                      <w:marLeft w:val="0"/>
                      <w:marRight w:val="0"/>
                      <w:marTop w:val="0"/>
                      <w:marBottom w:val="0"/>
                      <w:divBdr>
                        <w:top w:val="none" w:sz="0" w:space="0" w:color="auto"/>
                        <w:left w:val="none" w:sz="0" w:space="0" w:color="auto"/>
                        <w:bottom w:val="none" w:sz="0" w:space="0" w:color="auto"/>
                        <w:right w:val="none" w:sz="0" w:space="0" w:color="auto"/>
                      </w:divBdr>
                    </w:div>
                    <w:div w:id="294148599">
                      <w:marLeft w:val="0"/>
                      <w:marRight w:val="0"/>
                      <w:marTop w:val="0"/>
                      <w:marBottom w:val="0"/>
                      <w:divBdr>
                        <w:top w:val="none" w:sz="0" w:space="0" w:color="auto"/>
                        <w:left w:val="none" w:sz="0" w:space="0" w:color="auto"/>
                        <w:bottom w:val="none" w:sz="0" w:space="0" w:color="auto"/>
                        <w:right w:val="none" w:sz="0" w:space="0" w:color="auto"/>
                      </w:divBdr>
                    </w:div>
                    <w:div w:id="294148684">
                      <w:marLeft w:val="0"/>
                      <w:marRight w:val="0"/>
                      <w:marTop w:val="0"/>
                      <w:marBottom w:val="0"/>
                      <w:divBdr>
                        <w:top w:val="none" w:sz="0" w:space="0" w:color="auto"/>
                        <w:left w:val="none" w:sz="0" w:space="0" w:color="auto"/>
                        <w:bottom w:val="none" w:sz="0" w:space="0" w:color="auto"/>
                        <w:right w:val="none" w:sz="0" w:space="0" w:color="auto"/>
                      </w:divBdr>
                      <w:divsChild>
                        <w:div w:id="294147108">
                          <w:marLeft w:val="0"/>
                          <w:marRight w:val="0"/>
                          <w:marTop w:val="0"/>
                          <w:marBottom w:val="0"/>
                          <w:divBdr>
                            <w:top w:val="none" w:sz="0" w:space="0" w:color="auto"/>
                            <w:left w:val="none" w:sz="0" w:space="0" w:color="auto"/>
                            <w:bottom w:val="none" w:sz="0" w:space="0" w:color="auto"/>
                            <w:right w:val="none" w:sz="0" w:space="0" w:color="auto"/>
                          </w:divBdr>
                        </w:div>
                      </w:divsChild>
                    </w:div>
                    <w:div w:id="294148777">
                      <w:marLeft w:val="0"/>
                      <w:marRight w:val="0"/>
                      <w:marTop w:val="0"/>
                      <w:marBottom w:val="0"/>
                      <w:divBdr>
                        <w:top w:val="none" w:sz="0" w:space="0" w:color="auto"/>
                        <w:left w:val="none" w:sz="0" w:space="0" w:color="auto"/>
                        <w:bottom w:val="none" w:sz="0" w:space="0" w:color="auto"/>
                        <w:right w:val="none" w:sz="0" w:space="0" w:color="auto"/>
                      </w:divBdr>
                    </w:div>
                    <w:div w:id="294148937">
                      <w:marLeft w:val="0"/>
                      <w:marRight w:val="0"/>
                      <w:marTop w:val="0"/>
                      <w:marBottom w:val="0"/>
                      <w:divBdr>
                        <w:top w:val="none" w:sz="0" w:space="0" w:color="auto"/>
                        <w:left w:val="none" w:sz="0" w:space="0" w:color="auto"/>
                        <w:bottom w:val="none" w:sz="0" w:space="0" w:color="auto"/>
                        <w:right w:val="none" w:sz="0" w:space="0" w:color="auto"/>
                      </w:divBdr>
                      <w:divsChild>
                        <w:div w:id="294149316">
                          <w:marLeft w:val="0"/>
                          <w:marRight w:val="0"/>
                          <w:marTop w:val="0"/>
                          <w:marBottom w:val="0"/>
                          <w:divBdr>
                            <w:top w:val="none" w:sz="0" w:space="0" w:color="auto"/>
                            <w:left w:val="none" w:sz="0" w:space="0" w:color="auto"/>
                            <w:bottom w:val="none" w:sz="0" w:space="0" w:color="auto"/>
                            <w:right w:val="none" w:sz="0" w:space="0" w:color="auto"/>
                          </w:divBdr>
                        </w:div>
                      </w:divsChild>
                    </w:div>
                    <w:div w:id="294148952">
                      <w:marLeft w:val="0"/>
                      <w:marRight w:val="0"/>
                      <w:marTop w:val="0"/>
                      <w:marBottom w:val="0"/>
                      <w:divBdr>
                        <w:top w:val="none" w:sz="0" w:space="0" w:color="auto"/>
                        <w:left w:val="none" w:sz="0" w:space="0" w:color="auto"/>
                        <w:bottom w:val="none" w:sz="0" w:space="0" w:color="auto"/>
                        <w:right w:val="none" w:sz="0" w:space="0" w:color="auto"/>
                      </w:divBdr>
                    </w:div>
                    <w:div w:id="294149102">
                      <w:marLeft w:val="0"/>
                      <w:marRight w:val="0"/>
                      <w:marTop w:val="0"/>
                      <w:marBottom w:val="0"/>
                      <w:divBdr>
                        <w:top w:val="none" w:sz="0" w:space="0" w:color="auto"/>
                        <w:left w:val="none" w:sz="0" w:space="0" w:color="auto"/>
                        <w:bottom w:val="none" w:sz="0" w:space="0" w:color="auto"/>
                        <w:right w:val="none" w:sz="0" w:space="0" w:color="auto"/>
                      </w:divBdr>
                    </w:div>
                    <w:div w:id="294149137">
                      <w:marLeft w:val="0"/>
                      <w:marRight w:val="0"/>
                      <w:marTop w:val="0"/>
                      <w:marBottom w:val="0"/>
                      <w:divBdr>
                        <w:top w:val="none" w:sz="0" w:space="0" w:color="auto"/>
                        <w:left w:val="none" w:sz="0" w:space="0" w:color="auto"/>
                        <w:bottom w:val="none" w:sz="0" w:space="0" w:color="auto"/>
                        <w:right w:val="none" w:sz="0" w:space="0" w:color="auto"/>
                      </w:divBdr>
                    </w:div>
                    <w:div w:id="294149190">
                      <w:marLeft w:val="0"/>
                      <w:marRight w:val="0"/>
                      <w:marTop w:val="0"/>
                      <w:marBottom w:val="0"/>
                      <w:divBdr>
                        <w:top w:val="none" w:sz="0" w:space="0" w:color="auto"/>
                        <w:left w:val="none" w:sz="0" w:space="0" w:color="auto"/>
                        <w:bottom w:val="none" w:sz="0" w:space="0" w:color="auto"/>
                        <w:right w:val="none" w:sz="0" w:space="0" w:color="auto"/>
                      </w:divBdr>
                    </w:div>
                    <w:div w:id="294149204">
                      <w:marLeft w:val="0"/>
                      <w:marRight w:val="0"/>
                      <w:marTop w:val="0"/>
                      <w:marBottom w:val="0"/>
                      <w:divBdr>
                        <w:top w:val="none" w:sz="0" w:space="0" w:color="auto"/>
                        <w:left w:val="none" w:sz="0" w:space="0" w:color="auto"/>
                        <w:bottom w:val="none" w:sz="0" w:space="0" w:color="auto"/>
                        <w:right w:val="none" w:sz="0" w:space="0" w:color="auto"/>
                      </w:divBdr>
                      <w:divsChild>
                        <w:div w:id="294141941">
                          <w:marLeft w:val="0"/>
                          <w:marRight w:val="0"/>
                          <w:marTop w:val="0"/>
                          <w:marBottom w:val="0"/>
                          <w:divBdr>
                            <w:top w:val="none" w:sz="0" w:space="0" w:color="auto"/>
                            <w:left w:val="none" w:sz="0" w:space="0" w:color="auto"/>
                            <w:bottom w:val="none" w:sz="0" w:space="0" w:color="auto"/>
                            <w:right w:val="none" w:sz="0" w:space="0" w:color="auto"/>
                          </w:divBdr>
                        </w:div>
                      </w:divsChild>
                    </w:div>
                    <w:div w:id="294149329">
                      <w:marLeft w:val="0"/>
                      <w:marRight w:val="0"/>
                      <w:marTop w:val="0"/>
                      <w:marBottom w:val="0"/>
                      <w:divBdr>
                        <w:top w:val="none" w:sz="0" w:space="0" w:color="auto"/>
                        <w:left w:val="none" w:sz="0" w:space="0" w:color="auto"/>
                        <w:bottom w:val="none" w:sz="0" w:space="0" w:color="auto"/>
                        <w:right w:val="none" w:sz="0" w:space="0" w:color="auto"/>
                      </w:divBdr>
                    </w:div>
                    <w:div w:id="294149443">
                      <w:marLeft w:val="0"/>
                      <w:marRight w:val="0"/>
                      <w:marTop w:val="0"/>
                      <w:marBottom w:val="0"/>
                      <w:divBdr>
                        <w:top w:val="none" w:sz="0" w:space="0" w:color="auto"/>
                        <w:left w:val="none" w:sz="0" w:space="0" w:color="auto"/>
                        <w:bottom w:val="none" w:sz="0" w:space="0" w:color="auto"/>
                        <w:right w:val="none" w:sz="0" w:space="0" w:color="auto"/>
                      </w:divBdr>
                    </w:div>
                    <w:div w:id="294149637">
                      <w:marLeft w:val="0"/>
                      <w:marRight w:val="0"/>
                      <w:marTop w:val="0"/>
                      <w:marBottom w:val="0"/>
                      <w:divBdr>
                        <w:top w:val="none" w:sz="0" w:space="0" w:color="auto"/>
                        <w:left w:val="none" w:sz="0" w:space="0" w:color="auto"/>
                        <w:bottom w:val="none" w:sz="0" w:space="0" w:color="auto"/>
                        <w:right w:val="none" w:sz="0" w:space="0" w:color="auto"/>
                      </w:divBdr>
                      <w:divsChild>
                        <w:div w:id="294148238">
                          <w:marLeft w:val="0"/>
                          <w:marRight w:val="0"/>
                          <w:marTop w:val="0"/>
                          <w:marBottom w:val="0"/>
                          <w:divBdr>
                            <w:top w:val="none" w:sz="0" w:space="0" w:color="auto"/>
                            <w:left w:val="none" w:sz="0" w:space="0" w:color="auto"/>
                            <w:bottom w:val="none" w:sz="0" w:space="0" w:color="auto"/>
                            <w:right w:val="none" w:sz="0" w:space="0" w:color="auto"/>
                          </w:divBdr>
                        </w:div>
                      </w:divsChild>
                    </w:div>
                    <w:div w:id="294149774">
                      <w:marLeft w:val="0"/>
                      <w:marRight w:val="0"/>
                      <w:marTop w:val="0"/>
                      <w:marBottom w:val="0"/>
                      <w:divBdr>
                        <w:top w:val="none" w:sz="0" w:space="0" w:color="auto"/>
                        <w:left w:val="none" w:sz="0" w:space="0" w:color="auto"/>
                        <w:bottom w:val="none" w:sz="0" w:space="0" w:color="auto"/>
                        <w:right w:val="none" w:sz="0" w:space="0" w:color="auto"/>
                      </w:divBdr>
                      <w:divsChild>
                        <w:div w:id="294153507">
                          <w:marLeft w:val="0"/>
                          <w:marRight w:val="0"/>
                          <w:marTop w:val="0"/>
                          <w:marBottom w:val="0"/>
                          <w:divBdr>
                            <w:top w:val="none" w:sz="0" w:space="0" w:color="auto"/>
                            <w:left w:val="none" w:sz="0" w:space="0" w:color="auto"/>
                            <w:bottom w:val="none" w:sz="0" w:space="0" w:color="auto"/>
                            <w:right w:val="none" w:sz="0" w:space="0" w:color="auto"/>
                          </w:divBdr>
                        </w:div>
                      </w:divsChild>
                    </w:div>
                    <w:div w:id="294149780">
                      <w:marLeft w:val="0"/>
                      <w:marRight w:val="0"/>
                      <w:marTop w:val="0"/>
                      <w:marBottom w:val="0"/>
                      <w:divBdr>
                        <w:top w:val="none" w:sz="0" w:space="0" w:color="auto"/>
                        <w:left w:val="none" w:sz="0" w:space="0" w:color="auto"/>
                        <w:bottom w:val="none" w:sz="0" w:space="0" w:color="auto"/>
                        <w:right w:val="none" w:sz="0" w:space="0" w:color="auto"/>
                      </w:divBdr>
                      <w:divsChild>
                        <w:div w:id="294150136">
                          <w:marLeft w:val="0"/>
                          <w:marRight w:val="0"/>
                          <w:marTop w:val="0"/>
                          <w:marBottom w:val="0"/>
                          <w:divBdr>
                            <w:top w:val="none" w:sz="0" w:space="0" w:color="auto"/>
                            <w:left w:val="none" w:sz="0" w:space="0" w:color="auto"/>
                            <w:bottom w:val="none" w:sz="0" w:space="0" w:color="auto"/>
                            <w:right w:val="none" w:sz="0" w:space="0" w:color="auto"/>
                          </w:divBdr>
                        </w:div>
                      </w:divsChild>
                    </w:div>
                    <w:div w:id="294149876">
                      <w:marLeft w:val="0"/>
                      <w:marRight w:val="0"/>
                      <w:marTop w:val="0"/>
                      <w:marBottom w:val="0"/>
                      <w:divBdr>
                        <w:top w:val="none" w:sz="0" w:space="0" w:color="auto"/>
                        <w:left w:val="none" w:sz="0" w:space="0" w:color="auto"/>
                        <w:bottom w:val="none" w:sz="0" w:space="0" w:color="auto"/>
                        <w:right w:val="none" w:sz="0" w:space="0" w:color="auto"/>
                      </w:divBdr>
                    </w:div>
                    <w:div w:id="294149912">
                      <w:marLeft w:val="0"/>
                      <w:marRight w:val="0"/>
                      <w:marTop w:val="0"/>
                      <w:marBottom w:val="0"/>
                      <w:divBdr>
                        <w:top w:val="none" w:sz="0" w:space="0" w:color="auto"/>
                        <w:left w:val="none" w:sz="0" w:space="0" w:color="auto"/>
                        <w:bottom w:val="none" w:sz="0" w:space="0" w:color="auto"/>
                        <w:right w:val="none" w:sz="0" w:space="0" w:color="auto"/>
                      </w:divBdr>
                      <w:divsChild>
                        <w:div w:id="294150739">
                          <w:marLeft w:val="0"/>
                          <w:marRight w:val="0"/>
                          <w:marTop w:val="0"/>
                          <w:marBottom w:val="0"/>
                          <w:divBdr>
                            <w:top w:val="none" w:sz="0" w:space="0" w:color="auto"/>
                            <w:left w:val="none" w:sz="0" w:space="0" w:color="auto"/>
                            <w:bottom w:val="none" w:sz="0" w:space="0" w:color="auto"/>
                            <w:right w:val="none" w:sz="0" w:space="0" w:color="auto"/>
                          </w:divBdr>
                        </w:div>
                      </w:divsChild>
                    </w:div>
                    <w:div w:id="294149966">
                      <w:marLeft w:val="0"/>
                      <w:marRight w:val="0"/>
                      <w:marTop w:val="0"/>
                      <w:marBottom w:val="0"/>
                      <w:divBdr>
                        <w:top w:val="none" w:sz="0" w:space="0" w:color="auto"/>
                        <w:left w:val="none" w:sz="0" w:space="0" w:color="auto"/>
                        <w:bottom w:val="none" w:sz="0" w:space="0" w:color="auto"/>
                        <w:right w:val="none" w:sz="0" w:space="0" w:color="auto"/>
                      </w:divBdr>
                      <w:divsChild>
                        <w:div w:id="294153662">
                          <w:marLeft w:val="0"/>
                          <w:marRight w:val="0"/>
                          <w:marTop w:val="0"/>
                          <w:marBottom w:val="0"/>
                          <w:divBdr>
                            <w:top w:val="none" w:sz="0" w:space="0" w:color="auto"/>
                            <w:left w:val="none" w:sz="0" w:space="0" w:color="auto"/>
                            <w:bottom w:val="none" w:sz="0" w:space="0" w:color="auto"/>
                            <w:right w:val="none" w:sz="0" w:space="0" w:color="auto"/>
                          </w:divBdr>
                        </w:div>
                      </w:divsChild>
                    </w:div>
                    <w:div w:id="294150054">
                      <w:marLeft w:val="0"/>
                      <w:marRight w:val="0"/>
                      <w:marTop w:val="0"/>
                      <w:marBottom w:val="0"/>
                      <w:divBdr>
                        <w:top w:val="none" w:sz="0" w:space="0" w:color="auto"/>
                        <w:left w:val="none" w:sz="0" w:space="0" w:color="auto"/>
                        <w:bottom w:val="none" w:sz="0" w:space="0" w:color="auto"/>
                        <w:right w:val="none" w:sz="0" w:space="0" w:color="auto"/>
                      </w:divBdr>
                    </w:div>
                    <w:div w:id="294150205">
                      <w:marLeft w:val="0"/>
                      <w:marRight w:val="0"/>
                      <w:marTop w:val="0"/>
                      <w:marBottom w:val="0"/>
                      <w:divBdr>
                        <w:top w:val="none" w:sz="0" w:space="0" w:color="auto"/>
                        <w:left w:val="none" w:sz="0" w:space="0" w:color="auto"/>
                        <w:bottom w:val="none" w:sz="0" w:space="0" w:color="auto"/>
                        <w:right w:val="none" w:sz="0" w:space="0" w:color="auto"/>
                      </w:divBdr>
                      <w:divsChild>
                        <w:div w:id="294147041">
                          <w:marLeft w:val="0"/>
                          <w:marRight w:val="0"/>
                          <w:marTop w:val="0"/>
                          <w:marBottom w:val="0"/>
                          <w:divBdr>
                            <w:top w:val="none" w:sz="0" w:space="0" w:color="auto"/>
                            <w:left w:val="none" w:sz="0" w:space="0" w:color="auto"/>
                            <w:bottom w:val="none" w:sz="0" w:space="0" w:color="auto"/>
                            <w:right w:val="none" w:sz="0" w:space="0" w:color="auto"/>
                          </w:divBdr>
                        </w:div>
                      </w:divsChild>
                    </w:div>
                    <w:div w:id="294150307">
                      <w:marLeft w:val="0"/>
                      <w:marRight w:val="0"/>
                      <w:marTop w:val="0"/>
                      <w:marBottom w:val="0"/>
                      <w:divBdr>
                        <w:top w:val="none" w:sz="0" w:space="0" w:color="auto"/>
                        <w:left w:val="none" w:sz="0" w:space="0" w:color="auto"/>
                        <w:bottom w:val="none" w:sz="0" w:space="0" w:color="auto"/>
                        <w:right w:val="none" w:sz="0" w:space="0" w:color="auto"/>
                      </w:divBdr>
                    </w:div>
                    <w:div w:id="294150373">
                      <w:marLeft w:val="0"/>
                      <w:marRight w:val="0"/>
                      <w:marTop w:val="0"/>
                      <w:marBottom w:val="0"/>
                      <w:divBdr>
                        <w:top w:val="none" w:sz="0" w:space="0" w:color="auto"/>
                        <w:left w:val="none" w:sz="0" w:space="0" w:color="auto"/>
                        <w:bottom w:val="none" w:sz="0" w:space="0" w:color="auto"/>
                        <w:right w:val="none" w:sz="0" w:space="0" w:color="auto"/>
                      </w:divBdr>
                    </w:div>
                    <w:div w:id="294150573">
                      <w:marLeft w:val="0"/>
                      <w:marRight w:val="0"/>
                      <w:marTop w:val="0"/>
                      <w:marBottom w:val="0"/>
                      <w:divBdr>
                        <w:top w:val="none" w:sz="0" w:space="0" w:color="auto"/>
                        <w:left w:val="none" w:sz="0" w:space="0" w:color="auto"/>
                        <w:bottom w:val="none" w:sz="0" w:space="0" w:color="auto"/>
                        <w:right w:val="none" w:sz="0" w:space="0" w:color="auto"/>
                      </w:divBdr>
                    </w:div>
                    <w:div w:id="294150659">
                      <w:marLeft w:val="0"/>
                      <w:marRight w:val="0"/>
                      <w:marTop w:val="0"/>
                      <w:marBottom w:val="0"/>
                      <w:divBdr>
                        <w:top w:val="none" w:sz="0" w:space="0" w:color="auto"/>
                        <w:left w:val="none" w:sz="0" w:space="0" w:color="auto"/>
                        <w:bottom w:val="none" w:sz="0" w:space="0" w:color="auto"/>
                        <w:right w:val="none" w:sz="0" w:space="0" w:color="auto"/>
                      </w:divBdr>
                      <w:divsChild>
                        <w:div w:id="294147340">
                          <w:marLeft w:val="0"/>
                          <w:marRight w:val="0"/>
                          <w:marTop w:val="0"/>
                          <w:marBottom w:val="0"/>
                          <w:divBdr>
                            <w:top w:val="none" w:sz="0" w:space="0" w:color="auto"/>
                            <w:left w:val="none" w:sz="0" w:space="0" w:color="auto"/>
                            <w:bottom w:val="none" w:sz="0" w:space="0" w:color="auto"/>
                            <w:right w:val="none" w:sz="0" w:space="0" w:color="auto"/>
                          </w:divBdr>
                        </w:div>
                      </w:divsChild>
                    </w:div>
                    <w:div w:id="294150995">
                      <w:marLeft w:val="0"/>
                      <w:marRight w:val="0"/>
                      <w:marTop w:val="0"/>
                      <w:marBottom w:val="0"/>
                      <w:divBdr>
                        <w:top w:val="none" w:sz="0" w:space="0" w:color="auto"/>
                        <w:left w:val="none" w:sz="0" w:space="0" w:color="auto"/>
                        <w:bottom w:val="none" w:sz="0" w:space="0" w:color="auto"/>
                        <w:right w:val="none" w:sz="0" w:space="0" w:color="auto"/>
                      </w:divBdr>
                    </w:div>
                    <w:div w:id="294151004">
                      <w:marLeft w:val="0"/>
                      <w:marRight w:val="0"/>
                      <w:marTop w:val="0"/>
                      <w:marBottom w:val="0"/>
                      <w:divBdr>
                        <w:top w:val="none" w:sz="0" w:space="0" w:color="auto"/>
                        <w:left w:val="none" w:sz="0" w:space="0" w:color="auto"/>
                        <w:bottom w:val="none" w:sz="0" w:space="0" w:color="auto"/>
                        <w:right w:val="none" w:sz="0" w:space="0" w:color="auto"/>
                      </w:divBdr>
                    </w:div>
                    <w:div w:id="294151052">
                      <w:marLeft w:val="0"/>
                      <w:marRight w:val="0"/>
                      <w:marTop w:val="0"/>
                      <w:marBottom w:val="0"/>
                      <w:divBdr>
                        <w:top w:val="none" w:sz="0" w:space="0" w:color="auto"/>
                        <w:left w:val="none" w:sz="0" w:space="0" w:color="auto"/>
                        <w:bottom w:val="none" w:sz="0" w:space="0" w:color="auto"/>
                        <w:right w:val="none" w:sz="0" w:space="0" w:color="auto"/>
                      </w:divBdr>
                      <w:divsChild>
                        <w:div w:id="294146054">
                          <w:marLeft w:val="0"/>
                          <w:marRight w:val="0"/>
                          <w:marTop w:val="0"/>
                          <w:marBottom w:val="0"/>
                          <w:divBdr>
                            <w:top w:val="none" w:sz="0" w:space="0" w:color="auto"/>
                            <w:left w:val="none" w:sz="0" w:space="0" w:color="auto"/>
                            <w:bottom w:val="none" w:sz="0" w:space="0" w:color="auto"/>
                            <w:right w:val="none" w:sz="0" w:space="0" w:color="auto"/>
                          </w:divBdr>
                        </w:div>
                      </w:divsChild>
                    </w:div>
                    <w:div w:id="294151265">
                      <w:marLeft w:val="0"/>
                      <w:marRight w:val="0"/>
                      <w:marTop w:val="0"/>
                      <w:marBottom w:val="0"/>
                      <w:divBdr>
                        <w:top w:val="none" w:sz="0" w:space="0" w:color="auto"/>
                        <w:left w:val="none" w:sz="0" w:space="0" w:color="auto"/>
                        <w:bottom w:val="none" w:sz="0" w:space="0" w:color="auto"/>
                        <w:right w:val="none" w:sz="0" w:space="0" w:color="auto"/>
                      </w:divBdr>
                      <w:divsChild>
                        <w:div w:id="294142060">
                          <w:marLeft w:val="0"/>
                          <w:marRight w:val="0"/>
                          <w:marTop w:val="0"/>
                          <w:marBottom w:val="0"/>
                          <w:divBdr>
                            <w:top w:val="none" w:sz="0" w:space="0" w:color="auto"/>
                            <w:left w:val="none" w:sz="0" w:space="0" w:color="auto"/>
                            <w:bottom w:val="none" w:sz="0" w:space="0" w:color="auto"/>
                            <w:right w:val="none" w:sz="0" w:space="0" w:color="auto"/>
                          </w:divBdr>
                        </w:div>
                      </w:divsChild>
                    </w:div>
                    <w:div w:id="294151353">
                      <w:marLeft w:val="0"/>
                      <w:marRight w:val="0"/>
                      <w:marTop w:val="0"/>
                      <w:marBottom w:val="0"/>
                      <w:divBdr>
                        <w:top w:val="none" w:sz="0" w:space="0" w:color="auto"/>
                        <w:left w:val="none" w:sz="0" w:space="0" w:color="auto"/>
                        <w:bottom w:val="none" w:sz="0" w:space="0" w:color="auto"/>
                        <w:right w:val="none" w:sz="0" w:space="0" w:color="auto"/>
                      </w:divBdr>
                    </w:div>
                    <w:div w:id="294151628">
                      <w:marLeft w:val="0"/>
                      <w:marRight w:val="0"/>
                      <w:marTop w:val="0"/>
                      <w:marBottom w:val="0"/>
                      <w:divBdr>
                        <w:top w:val="none" w:sz="0" w:space="0" w:color="auto"/>
                        <w:left w:val="none" w:sz="0" w:space="0" w:color="auto"/>
                        <w:bottom w:val="none" w:sz="0" w:space="0" w:color="auto"/>
                        <w:right w:val="none" w:sz="0" w:space="0" w:color="auto"/>
                      </w:divBdr>
                    </w:div>
                    <w:div w:id="294151677">
                      <w:marLeft w:val="0"/>
                      <w:marRight w:val="0"/>
                      <w:marTop w:val="0"/>
                      <w:marBottom w:val="0"/>
                      <w:divBdr>
                        <w:top w:val="none" w:sz="0" w:space="0" w:color="auto"/>
                        <w:left w:val="none" w:sz="0" w:space="0" w:color="auto"/>
                        <w:bottom w:val="none" w:sz="0" w:space="0" w:color="auto"/>
                        <w:right w:val="none" w:sz="0" w:space="0" w:color="auto"/>
                      </w:divBdr>
                    </w:div>
                    <w:div w:id="294151714">
                      <w:marLeft w:val="0"/>
                      <w:marRight w:val="0"/>
                      <w:marTop w:val="0"/>
                      <w:marBottom w:val="0"/>
                      <w:divBdr>
                        <w:top w:val="none" w:sz="0" w:space="0" w:color="auto"/>
                        <w:left w:val="none" w:sz="0" w:space="0" w:color="auto"/>
                        <w:bottom w:val="none" w:sz="0" w:space="0" w:color="auto"/>
                        <w:right w:val="none" w:sz="0" w:space="0" w:color="auto"/>
                      </w:divBdr>
                    </w:div>
                    <w:div w:id="294151725">
                      <w:marLeft w:val="0"/>
                      <w:marRight w:val="0"/>
                      <w:marTop w:val="0"/>
                      <w:marBottom w:val="0"/>
                      <w:divBdr>
                        <w:top w:val="none" w:sz="0" w:space="0" w:color="auto"/>
                        <w:left w:val="none" w:sz="0" w:space="0" w:color="auto"/>
                        <w:bottom w:val="none" w:sz="0" w:space="0" w:color="auto"/>
                        <w:right w:val="none" w:sz="0" w:space="0" w:color="auto"/>
                      </w:divBdr>
                      <w:divsChild>
                        <w:div w:id="294150175">
                          <w:marLeft w:val="0"/>
                          <w:marRight w:val="0"/>
                          <w:marTop w:val="0"/>
                          <w:marBottom w:val="0"/>
                          <w:divBdr>
                            <w:top w:val="none" w:sz="0" w:space="0" w:color="auto"/>
                            <w:left w:val="none" w:sz="0" w:space="0" w:color="auto"/>
                            <w:bottom w:val="none" w:sz="0" w:space="0" w:color="auto"/>
                            <w:right w:val="none" w:sz="0" w:space="0" w:color="auto"/>
                          </w:divBdr>
                        </w:div>
                      </w:divsChild>
                    </w:div>
                    <w:div w:id="294151890">
                      <w:marLeft w:val="0"/>
                      <w:marRight w:val="0"/>
                      <w:marTop w:val="0"/>
                      <w:marBottom w:val="0"/>
                      <w:divBdr>
                        <w:top w:val="none" w:sz="0" w:space="0" w:color="auto"/>
                        <w:left w:val="none" w:sz="0" w:space="0" w:color="auto"/>
                        <w:bottom w:val="none" w:sz="0" w:space="0" w:color="auto"/>
                        <w:right w:val="none" w:sz="0" w:space="0" w:color="auto"/>
                      </w:divBdr>
                      <w:divsChild>
                        <w:div w:id="294150492">
                          <w:marLeft w:val="0"/>
                          <w:marRight w:val="0"/>
                          <w:marTop w:val="0"/>
                          <w:marBottom w:val="0"/>
                          <w:divBdr>
                            <w:top w:val="none" w:sz="0" w:space="0" w:color="auto"/>
                            <w:left w:val="none" w:sz="0" w:space="0" w:color="auto"/>
                            <w:bottom w:val="none" w:sz="0" w:space="0" w:color="auto"/>
                            <w:right w:val="none" w:sz="0" w:space="0" w:color="auto"/>
                          </w:divBdr>
                        </w:div>
                      </w:divsChild>
                    </w:div>
                    <w:div w:id="294151911">
                      <w:marLeft w:val="0"/>
                      <w:marRight w:val="0"/>
                      <w:marTop w:val="0"/>
                      <w:marBottom w:val="0"/>
                      <w:divBdr>
                        <w:top w:val="none" w:sz="0" w:space="0" w:color="auto"/>
                        <w:left w:val="none" w:sz="0" w:space="0" w:color="auto"/>
                        <w:bottom w:val="none" w:sz="0" w:space="0" w:color="auto"/>
                        <w:right w:val="none" w:sz="0" w:space="0" w:color="auto"/>
                      </w:divBdr>
                      <w:divsChild>
                        <w:div w:id="294152352">
                          <w:marLeft w:val="0"/>
                          <w:marRight w:val="0"/>
                          <w:marTop w:val="0"/>
                          <w:marBottom w:val="0"/>
                          <w:divBdr>
                            <w:top w:val="none" w:sz="0" w:space="0" w:color="auto"/>
                            <w:left w:val="none" w:sz="0" w:space="0" w:color="auto"/>
                            <w:bottom w:val="none" w:sz="0" w:space="0" w:color="auto"/>
                            <w:right w:val="none" w:sz="0" w:space="0" w:color="auto"/>
                          </w:divBdr>
                        </w:div>
                      </w:divsChild>
                    </w:div>
                    <w:div w:id="294151966">
                      <w:marLeft w:val="0"/>
                      <w:marRight w:val="0"/>
                      <w:marTop w:val="0"/>
                      <w:marBottom w:val="0"/>
                      <w:divBdr>
                        <w:top w:val="none" w:sz="0" w:space="0" w:color="auto"/>
                        <w:left w:val="none" w:sz="0" w:space="0" w:color="auto"/>
                        <w:bottom w:val="none" w:sz="0" w:space="0" w:color="auto"/>
                        <w:right w:val="none" w:sz="0" w:space="0" w:color="auto"/>
                      </w:divBdr>
                      <w:divsChild>
                        <w:div w:id="294143003">
                          <w:marLeft w:val="0"/>
                          <w:marRight w:val="0"/>
                          <w:marTop w:val="0"/>
                          <w:marBottom w:val="0"/>
                          <w:divBdr>
                            <w:top w:val="none" w:sz="0" w:space="0" w:color="auto"/>
                            <w:left w:val="none" w:sz="0" w:space="0" w:color="auto"/>
                            <w:bottom w:val="none" w:sz="0" w:space="0" w:color="auto"/>
                            <w:right w:val="none" w:sz="0" w:space="0" w:color="auto"/>
                          </w:divBdr>
                        </w:div>
                      </w:divsChild>
                    </w:div>
                    <w:div w:id="294151995">
                      <w:marLeft w:val="0"/>
                      <w:marRight w:val="0"/>
                      <w:marTop w:val="0"/>
                      <w:marBottom w:val="0"/>
                      <w:divBdr>
                        <w:top w:val="none" w:sz="0" w:space="0" w:color="auto"/>
                        <w:left w:val="none" w:sz="0" w:space="0" w:color="auto"/>
                        <w:bottom w:val="none" w:sz="0" w:space="0" w:color="auto"/>
                        <w:right w:val="none" w:sz="0" w:space="0" w:color="auto"/>
                      </w:divBdr>
                    </w:div>
                    <w:div w:id="294152002">
                      <w:marLeft w:val="0"/>
                      <w:marRight w:val="0"/>
                      <w:marTop w:val="0"/>
                      <w:marBottom w:val="0"/>
                      <w:divBdr>
                        <w:top w:val="none" w:sz="0" w:space="0" w:color="auto"/>
                        <w:left w:val="none" w:sz="0" w:space="0" w:color="auto"/>
                        <w:bottom w:val="none" w:sz="0" w:space="0" w:color="auto"/>
                        <w:right w:val="none" w:sz="0" w:space="0" w:color="auto"/>
                      </w:divBdr>
                      <w:divsChild>
                        <w:div w:id="294151755">
                          <w:marLeft w:val="0"/>
                          <w:marRight w:val="0"/>
                          <w:marTop w:val="0"/>
                          <w:marBottom w:val="0"/>
                          <w:divBdr>
                            <w:top w:val="none" w:sz="0" w:space="0" w:color="auto"/>
                            <w:left w:val="none" w:sz="0" w:space="0" w:color="auto"/>
                            <w:bottom w:val="none" w:sz="0" w:space="0" w:color="auto"/>
                            <w:right w:val="none" w:sz="0" w:space="0" w:color="auto"/>
                          </w:divBdr>
                        </w:div>
                      </w:divsChild>
                    </w:div>
                    <w:div w:id="294152099">
                      <w:marLeft w:val="0"/>
                      <w:marRight w:val="0"/>
                      <w:marTop w:val="0"/>
                      <w:marBottom w:val="0"/>
                      <w:divBdr>
                        <w:top w:val="none" w:sz="0" w:space="0" w:color="auto"/>
                        <w:left w:val="none" w:sz="0" w:space="0" w:color="auto"/>
                        <w:bottom w:val="none" w:sz="0" w:space="0" w:color="auto"/>
                        <w:right w:val="none" w:sz="0" w:space="0" w:color="auto"/>
                      </w:divBdr>
                      <w:divsChild>
                        <w:div w:id="294151634">
                          <w:marLeft w:val="0"/>
                          <w:marRight w:val="0"/>
                          <w:marTop w:val="0"/>
                          <w:marBottom w:val="0"/>
                          <w:divBdr>
                            <w:top w:val="none" w:sz="0" w:space="0" w:color="auto"/>
                            <w:left w:val="none" w:sz="0" w:space="0" w:color="auto"/>
                            <w:bottom w:val="none" w:sz="0" w:space="0" w:color="auto"/>
                            <w:right w:val="none" w:sz="0" w:space="0" w:color="auto"/>
                          </w:divBdr>
                        </w:div>
                      </w:divsChild>
                    </w:div>
                    <w:div w:id="294152164">
                      <w:marLeft w:val="0"/>
                      <w:marRight w:val="0"/>
                      <w:marTop w:val="0"/>
                      <w:marBottom w:val="0"/>
                      <w:divBdr>
                        <w:top w:val="none" w:sz="0" w:space="0" w:color="auto"/>
                        <w:left w:val="none" w:sz="0" w:space="0" w:color="auto"/>
                        <w:bottom w:val="none" w:sz="0" w:space="0" w:color="auto"/>
                        <w:right w:val="none" w:sz="0" w:space="0" w:color="auto"/>
                      </w:divBdr>
                    </w:div>
                    <w:div w:id="294152207">
                      <w:marLeft w:val="0"/>
                      <w:marRight w:val="0"/>
                      <w:marTop w:val="0"/>
                      <w:marBottom w:val="0"/>
                      <w:divBdr>
                        <w:top w:val="none" w:sz="0" w:space="0" w:color="auto"/>
                        <w:left w:val="none" w:sz="0" w:space="0" w:color="auto"/>
                        <w:bottom w:val="none" w:sz="0" w:space="0" w:color="auto"/>
                        <w:right w:val="none" w:sz="0" w:space="0" w:color="auto"/>
                      </w:divBdr>
                      <w:divsChild>
                        <w:div w:id="294144420">
                          <w:marLeft w:val="0"/>
                          <w:marRight w:val="0"/>
                          <w:marTop w:val="0"/>
                          <w:marBottom w:val="0"/>
                          <w:divBdr>
                            <w:top w:val="none" w:sz="0" w:space="0" w:color="auto"/>
                            <w:left w:val="none" w:sz="0" w:space="0" w:color="auto"/>
                            <w:bottom w:val="none" w:sz="0" w:space="0" w:color="auto"/>
                            <w:right w:val="none" w:sz="0" w:space="0" w:color="auto"/>
                          </w:divBdr>
                        </w:div>
                      </w:divsChild>
                    </w:div>
                    <w:div w:id="294152246">
                      <w:marLeft w:val="0"/>
                      <w:marRight w:val="0"/>
                      <w:marTop w:val="0"/>
                      <w:marBottom w:val="0"/>
                      <w:divBdr>
                        <w:top w:val="none" w:sz="0" w:space="0" w:color="auto"/>
                        <w:left w:val="none" w:sz="0" w:space="0" w:color="auto"/>
                        <w:bottom w:val="none" w:sz="0" w:space="0" w:color="auto"/>
                        <w:right w:val="none" w:sz="0" w:space="0" w:color="auto"/>
                      </w:divBdr>
                    </w:div>
                    <w:div w:id="294152283">
                      <w:marLeft w:val="0"/>
                      <w:marRight w:val="0"/>
                      <w:marTop w:val="0"/>
                      <w:marBottom w:val="0"/>
                      <w:divBdr>
                        <w:top w:val="none" w:sz="0" w:space="0" w:color="auto"/>
                        <w:left w:val="none" w:sz="0" w:space="0" w:color="auto"/>
                        <w:bottom w:val="none" w:sz="0" w:space="0" w:color="auto"/>
                        <w:right w:val="none" w:sz="0" w:space="0" w:color="auto"/>
                      </w:divBdr>
                      <w:divsChild>
                        <w:div w:id="294150216">
                          <w:marLeft w:val="0"/>
                          <w:marRight w:val="0"/>
                          <w:marTop w:val="0"/>
                          <w:marBottom w:val="0"/>
                          <w:divBdr>
                            <w:top w:val="none" w:sz="0" w:space="0" w:color="auto"/>
                            <w:left w:val="none" w:sz="0" w:space="0" w:color="auto"/>
                            <w:bottom w:val="none" w:sz="0" w:space="0" w:color="auto"/>
                            <w:right w:val="none" w:sz="0" w:space="0" w:color="auto"/>
                          </w:divBdr>
                        </w:div>
                      </w:divsChild>
                    </w:div>
                    <w:div w:id="294152568">
                      <w:marLeft w:val="0"/>
                      <w:marRight w:val="0"/>
                      <w:marTop w:val="0"/>
                      <w:marBottom w:val="0"/>
                      <w:divBdr>
                        <w:top w:val="none" w:sz="0" w:space="0" w:color="auto"/>
                        <w:left w:val="none" w:sz="0" w:space="0" w:color="auto"/>
                        <w:bottom w:val="none" w:sz="0" w:space="0" w:color="auto"/>
                        <w:right w:val="none" w:sz="0" w:space="0" w:color="auto"/>
                      </w:divBdr>
                    </w:div>
                    <w:div w:id="294152646">
                      <w:marLeft w:val="0"/>
                      <w:marRight w:val="0"/>
                      <w:marTop w:val="0"/>
                      <w:marBottom w:val="0"/>
                      <w:divBdr>
                        <w:top w:val="none" w:sz="0" w:space="0" w:color="auto"/>
                        <w:left w:val="none" w:sz="0" w:space="0" w:color="auto"/>
                        <w:bottom w:val="none" w:sz="0" w:space="0" w:color="auto"/>
                        <w:right w:val="none" w:sz="0" w:space="0" w:color="auto"/>
                      </w:divBdr>
                    </w:div>
                    <w:div w:id="294152755">
                      <w:marLeft w:val="0"/>
                      <w:marRight w:val="0"/>
                      <w:marTop w:val="0"/>
                      <w:marBottom w:val="0"/>
                      <w:divBdr>
                        <w:top w:val="none" w:sz="0" w:space="0" w:color="auto"/>
                        <w:left w:val="none" w:sz="0" w:space="0" w:color="auto"/>
                        <w:bottom w:val="none" w:sz="0" w:space="0" w:color="auto"/>
                        <w:right w:val="none" w:sz="0" w:space="0" w:color="auto"/>
                      </w:divBdr>
                    </w:div>
                    <w:div w:id="294152764">
                      <w:marLeft w:val="0"/>
                      <w:marRight w:val="0"/>
                      <w:marTop w:val="0"/>
                      <w:marBottom w:val="0"/>
                      <w:divBdr>
                        <w:top w:val="none" w:sz="0" w:space="0" w:color="auto"/>
                        <w:left w:val="none" w:sz="0" w:space="0" w:color="auto"/>
                        <w:bottom w:val="none" w:sz="0" w:space="0" w:color="auto"/>
                        <w:right w:val="none" w:sz="0" w:space="0" w:color="auto"/>
                      </w:divBdr>
                      <w:divsChild>
                        <w:div w:id="294148682">
                          <w:marLeft w:val="0"/>
                          <w:marRight w:val="0"/>
                          <w:marTop w:val="0"/>
                          <w:marBottom w:val="0"/>
                          <w:divBdr>
                            <w:top w:val="none" w:sz="0" w:space="0" w:color="auto"/>
                            <w:left w:val="none" w:sz="0" w:space="0" w:color="auto"/>
                            <w:bottom w:val="none" w:sz="0" w:space="0" w:color="auto"/>
                            <w:right w:val="none" w:sz="0" w:space="0" w:color="auto"/>
                          </w:divBdr>
                        </w:div>
                      </w:divsChild>
                    </w:div>
                    <w:div w:id="294152778">
                      <w:marLeft w:val="0"/>
                      <w:marRight w:val="0"/>
                      <w:marTop w:val="0"/>
                      <w:marBottom w:val="0"/>
                      <w:divBdr>
                        <w:top w:val="none" w:sz="0" w:space="0" w:color="auto"/>
                        <w:left w:val="none" w:sz="0" w:space="0" w:color="auto"/>
                        <w:bottom w:val="none" w:sz="0" w:space="0" w:color="auto"/>
                        <w:right w:val="none" w:sz="0" w:space="0" w:color="auto"/>
                      </w:divBdr>
                      <w:divsChild>
                        <w:div w:id="294142472">
                          <w:marLeft w:val="0"/>
                          <w:marRight w:val="0"/>
                          <w:marTop w:val="0"/>
                          <w:marBottom w:val="0"/>
                          <w:divBdr>
                            <w:top w:val="none" w:sz="0" w:space="0" w:color="auto"/>
                            <w:left w:val="none" w:sz="0" w:space="0" w:color="auto"/>
                            <w:bottom w:val="none" w:sz="0" w:space="0" w:color="auto"/>
                            <w:right w:val="none" w:sz="0" w:space="0" w:color="auto"/>
                          </w:divBdr>
                        </w:div>
                      </w:divsChild>
                    </w:div>
                    <w:div w:id="294152836">
                      <w:marLeft w:val="0"/>
                      <w:marRight w:val="0"/>
                      <w:marTop w:val="0"/>
                      <w:marBottom w:val="0"/>
                      <w:divBdr>
                        <w:top w:val="none" w:sz="0" w:space="0" w:color="auto"/>
                        <w:left w:val="none" w:sz="0" w:space="0" w:color="auto"/>
                        <w:bottom w:val="none" w:sz="0" w:space="0" w:color="auto"/>
                        <w:right w:val="none" w:sz="0" w:space="0" w:color="auto"/>
                      </w:divBdr>
                      <w:divsChild>
                        <w:div w:id="294153660">
                          <w:marLeft w:val="0"/>
                          <w:marRight w:val="0"/>
                          <w:marTop w:val="0"/>
                          <w:marBottom w:val="0"/>
                          <w:divBdr>
                            <w:top w:val="none" w:sz="0" w:space="0" w:color="auto"/>
                            <w:left w:val="none" w:sz="0" w:space="0" w:color="auto"/>
                            <w:bottom w:val="none" w:sz="0" w:space="0" w:color="auto"/>
                            <w:right w:val="none" w:sz="0" w:space="0" w:color="auto"/>
                          </w:divBdr>
                        </w:div>
                      </w:divsChild>
                    </w:div>
                    <w:div w:id="294152941">
                      <w:marLeft w:val="0"/>
                      <w:marRight w:val="0"/>
                      <w:marTop w:val="0"/>
                      <w:marBottom w:val="0"/>
                      <w:divBdr>
                        <w:top w:val="none" w:sz="0" w:space="0" w:color="auto"/>
                        <w:left w:val="none" w:sz="0" w:space="0" w:color="auto"/>
                        <w:bottom w:val="none" w:sz="0" w:space="0" w:color="auto"/>
                        <w:right w:val="none" w:sz="0" w:space="0" w:color="auto"/>
                      </w:divBdr>
                      <w:divsChild>
                        <w:div w:id="294146760">
                          <w:marLeft w:val="0"/>
                          <w:marRight w:val="0"/>
                          <w:marTop w:val="0"/>
                          <w:marBottom w:val="0"/>
                          <w:divBdr>
                            <w:top w:val="none" w:sz="0" w:space="0" w:color="auto"/>
                            <w:left w:val="none" w:sz="0" w:space="0" w:color="auto"/>
                            <w:bottom w:val="none" w:sz="0" w:space="0" w:color="auto"/>
                            <w:right w:val="none" w:sz="0" w:space="0" w:color="auto"/>
                          </w:divBdr>
                        </w:div>
                      </w:divsChild>
                    </w:div>
                    <w:div w:id="294152993">
                      <w:marLeft w:val="0"/>
                      <w:marRight w:val="0"/>
                      <w:marTop w:val="0"/>
                      <w:marBottom w:val="0"/>
                      <w:divBdr>
                        <w:top w:val="none" w:sz="0" w:space="0" w:color="auto"/>
                        <w:left w:val="none" w:sz="0" w:space="0" w:color="auto"/>
                        <w:bottom w:val="none" w:sz="0" w:space="0" w:color="auto"/>
                        <w:right w:val="none" w:sz="0" w:space="0" w:color="auto"/>
                      </w:divBdr>
                    </w:div>
                    <w:div w:id="294153127">
                      <w:marLeft w:val="0"/>
                      <w:marRight w:val="0"/>
                      <w:marTop w:val="0"/>
                      <w:marBottom w:val="0"/>
                      <w:divBdr>
                        <w:top w:val="none" w:sz="0" w:space="0" w:color="auto"/>
                        <w:left w:val="none" w:sz="0" w:space="0" w:color="auto"/>
                        <w:bottom w:val="none" w:sz="0" w:space="0" w:color="auto"/>
                        <w:right w:val="none" w:sz="0" w:space="0" w:color="auto"/>
                      </w:divBdr>
                      <w:divsChild>
                        <w:div w:id="294157075">
                          <w:marLeft w:val="0"/>
                          <w:marRight w:val="0"/>
                          <w:marTop w:val="0"/>
                          <w:marBottom w:val="0"/>
                          <w:divBdr>
                            <w:top w:val="none" w:sz="0" w:space="0" w:color="auto"/>
                            <w:left w:val="none" w:sz="0" w:space="0" w:color="auto"/>
                            <w:bottom w:val="none" w:sz="0" w:space="0" w:color="auto"/>
                            <w:right w:val="none" w:sz="0" w:space="0" w:color="auto"/>
                          </w:divBdr>
                        </w:div>
                      </w:divsChild>
                    </w:div>
                    <w:div w:id="294153146">
                      <w:marLeft w:val="0"/>
                      <w:marRight w:val="0"/>
                      <w:marTop w:val="0"/>
                      <w:marBottom w:val="0"/>
                      <w:divBdr>
                        <w:top w:val="none" w:sz="0" w:space="0" w:color="auto"/>
                        <w:left w:val="none" w:sz="0" w:space="0" w:color="auto"/>
                        <w:bottom w:val="none" w:sz="0" w:space="0" w:color="auto"/>
                        <w:right w:val="none" w:sz="0" w:space="0" w:color="auto"/>
                      </w:divBdr>
                    </w:div>
                    <w:div w:id="294153272">
                      <w:marLeft w:val="0"/>
                      <w:marRight w:val="0"/>
                      <w:marTop w:val="0"/>
                      <w:marBottom w:val="0"/>
                      <w:divBdr>
                        <w:top w:val="none" w:sz="0" w:space="0" w:color="auto"/>
                        <w:left w:val="none" w:sz="0" w:space="0" w:color="auto"/>
                        <w:bottom w:val="none" w:sz="0" w:space="0" w:color="auto"/>
                        <w:right w:val="none" w:sz="0" w:space="0" w:color="auto"/>
                      </w:divBdr>
                    </w:div>
                    <w:div w:id="294153322">
                      <w:marLeft w:val="0"/>
                      <w:marRight w:val="0"/>
                      <w:marTop w:val="0"/>
                      <w:marBottom w:val="0"/>
                      <w:divBdr>
                        <w:top w:val="none" w:sz="0" w:space="0" w:color="auto"/>
                        <w:left w:val="none" w:sz="0" w:space="0" w:color="auto"/>
                        <w:bottom w:val="none" w:sz="0" w:space="0" w:color="auto"/>
                        <w:right w:val="none" w:sz="0" w:space="0" w:color="auto"/>
                      </w:divBdr>
                      <w:divsChild>
                        <w:div w:id="294156184">
                          <w:marLeft w:val="0"/>
                          <w:marRight w:val="0"/>
                          <w:marTop w:val="0"/>
                          <w:marBottom w:val="0"/>
                          <w:divBdr>
                            <w:top w:val="none" w:sz="0" w:space="0" w:color="auto"/>
                            <w:left w:val="none" w:sz="0" w:space="0" w:color="auto"/>
                            <w:bottom w:val="none" w:sz="0" w:space="0" w:color="auto"/>
                            <w:right w:val="none" w:sz="0" w:space="0" w:color="auto"/>
                          </w:divBdr>
                        </w:div>
                      </w:divsChild>
                    </w:div>
                    <w:div w:id="294153384">
                      <w:marLeft w:val="0"/>
                      <w:marRight w:val="0"/>
                      <w:marTop w:val="0"/>
                      <w:marBottom w:val="0"/>
                      <w:divBdr>
                        <w:top w:val="none" w:sz="0" w:space="0" w:color="auto"/>
                        <w:left w:val="none" w:sz="0" w:space="0" w:color="auto"/>
                        <w:bottom w:val="none" w:sz="0" w:space="0" w:color="auto"/>
                        <w:right w:val="none" w:sz="0" w:space="0" w:color="auto"/>
                      </w:divBdr>
                    </w:div>
                    <w:div w:id="294153501">
                      <w:marLeft w:val="0"/>
                      <w:marRight w:val="0"/>
                      <w:marTop w:val="0"/>
                      <w:marBottom w:val="0"/>
                      <w:divBdr>
                        <w:top w:val="none" w:sz="0" w:space="0" w:color="auto"/>
                        <w:left w:val="none" w:sz="0" w:space="0" w:color="auto"/>
                        <w:bottom w:val="none" w:sz="0" w:space="0" w:color="auto"/>
                        <w:right w:val="none" w:sz="0" w:space="0" w:color="auto"/>
                      </w:divBdr>
                    </w:div>
                    <w:div w:id="294153676">
                      <w:marLeft w:val="0"/>
                      <w:marRight w:val="0"/>
                      <w:marTop w:val="0"/>
                      <w:marBottom w:val="0"/>
                      <w:divBdr>
                        <w:top w:val="none" w:sz="0" w:space="0" w:color="auto"/>
                        <w:left w:val="none" w:sz="0" w:space="0" w:color="auto"/>
                        <w:bottom w:val="none" w:sz="0" w:space="0" w:color="auto"/>
                        <w:right w:val="none" w:sz="0" w:space="0" w:color="auto"/>
                      </w:divBdr>
                      <w:divsChild>
                        <w:div w:id="294143340">
                          <w:marLeft w:val="0"/>
                          <w:marRight w:val="0"/>
                          <w:marTop w:val="0"/>
                          <w:marBottom w:val="0"/>
                          <w:divBdr>
                            <w:top w:val="none" w:sz="0" w:space="0" w:color="auto"/>
                            <w:left w:val="none" w:sz="0" w:space="0" w:color="auto"/>
                            <w:bottom w:val="none" w:sz="0" w:space="0" w:color="auto"/>
                            <w:right w:val="none" w:sz="0" w:space="0" w:color="auto"/>
                          </w:divBdr>
                        </w:div>
                      </w:divsChild>
                    </w:div>
                    <w:div w:id="294153690">
                      <w:marLeft w:val="0"/>
                      <w:marRight w:val="0"/>
                      <w:marTop w:val="0"/>
                      <w:marBottom w:val="0"/>
                      <w:divBdr>
                        <w:top w:val="none" w:sz="0" w:space="0" w:color="auto"/>
                        <w:left w:val="none" w:sz="0" w:space="0" w:color="auto"/>
                        <w:bottom w:val="none" w:sz="0" w:space="0" w:color="auto"/>
                        <w:right w:val="none" w:sz="0" w:space="0" w:color="auto"/>
                      </w:divBdr>
                      <w:divsChild>
                        <w:div w:id="294146921">
                          <w:marLeft w:val="0"/>
                          <w:marRight w:val="0"/>
                          <w:marTop w:val="0"/>
                          <w:marBottom w:val="0"/>
                          <w:divBdr>
                            <w:top w:val="none" w:sz="0" w:space="0" w:color="auto"/>
                            <w:left w:val="none" w:sz="0" w:space="0" w:color="auto"/>
                            <w:bottom w:val="none" w:sz="0" w:space="0" w:color="auto"/>
                            <w:right w:val="none" w:sz="0" w:space="0" w:color="auto"/>
                          </w:divBdr>
                        </w:div>
                      </w:divsChild>
                    </w:div>
                    <w:div w:id="294153815">
                      <w:marLeft w:val="0"/>
                      <w:marRight w:val="0"/>
                      <w:marTop w:val="0"/>
                      <w:marBottom w:val="0"/>
                      <w:divBdr>
                        <w:top w:val="none" w:sz="0" w:space="0" w:color="auto"/>
                        <w:left w:val="none" w:sz="0" w:space="0" w:color="auto"/>
                        <w:bottom w:val="none" w:sz="0" w:space="0" w:color="auto"/>
                        <w:right w:val="none" w:sz="0" w:space="0" w:color="auto"/>
                      </w:divBdr>
                      <w:divsChild>
                        <w:div w:id="294138771">
                          <w:marLeft w:val="0"/>
                          <w:marRight w:val="0"/>
                          <w:marTop w:val="0"/>
                          <w:marBottom w:val="0"/>
                          <w:divBdr>
                            <w:top w:val="none" w:sz="0" w:space="0" w:color="auto"/>
                            <w:left w:val="none" w:sz="0" w:space="0" w:color="auto"/>
                            <w:bottom w:val="none" w:sz="0" w:space="0" w:color="auto"/>
                            <w:right w:val="none" w:sz="0" w:space="0" w:color="auto"/>
                          </w:divBdr>
                        </w:div>
                      </w:divsChild>
                    </w:div>
                    <w:div w:id="294153844">
                      <w:marLeft w:val="0"/>
                      <w:marRight w:val="0"/>
                      <w:marTop w:val="0"/>
                      <w:marBottom w:val="0"/>
                      <w:divBdr>
                        <w:top w:val="none" w:sz="0" w:space="0" w:color="auto"/>
                        <w:left w:val="none" w:sz="0" w:space="0" w:color="auto"/>
                        <w:bottom w:val="none" w:sz="0" w:space="0" w:color="auto"/>
                        <w:right w:val="none" w:sz="0" w:space="0" w:color="auto"/>
                      </w:divBdr>
                      <w:divsChild>
                        <w:div w:id="294153393">
                          <w:marLeft w:val="0"/>
                          <w:marRight w:val="0"/>
                          <w:marTop w:val="0"/>
                          <w:marBottom w:val="0"/>
                          <w:divBdr>
                            <w:top w:val="none" w:sz="0" w:space="0" w:color="auto"/>
                            <w:left w:val="none" w:sz="0" w:space="0" w:color="auto"/>
                            <w:bottom w:val="none" w:sz="0" w:space="0" w:color="auto"/>
                            <w:right w:val="none" w:sz="0" w:space="0" w:color="auto"/>
                          </w:divBdr>
                        </w:div>
                      </w:divsChild>
                    </w:div>
                    <w:div w:id="294153852">
                      <w:marLeft w:val="0"/>
                      <w:marRight w:val="0"/>
                      <w:marTop w:val="0"/>
                      <w:marBottom w:val="0"/>
                      <w:divBdr>
                        <w:top w:val="none" w:sz="0" w:space="0" w:color="auto"/>
                        <w:left w:val="none" w:sz="0" w:space="0" w:color="auto"/>
                        <w:bottom w:val="none" w:sz="0" w:space="0" w:color="auto"/>
                        <w:right w:val="none" w:sz="0" w:space="0" w:color="auto"/>
                      </w:divBdr>
                    </w:div>
                    <w:div w:id="294154023">
                      <w:marLeft w:val="0"/>
                      <w:marRight w:val="0"/>
                      <w:marTop w:val="0"/>
                      <w:marBottom w:val="0"/>
                      <w:divBdr>
                        <w:top w:val="none" w:sz="0" w:space="0" w:color="auto"/>
                        <w:left w:val="none" w:sz="0" w:space="0" w:color="auto"/>
                        <w:bottom w:val="none" w:sz="0" w:space="0" w:color="auto"/>
                        <w:right w:val="none" w:sz="0" w:space="0" w:color="auto"/>
                      </w:divBdr>
                    </w:div>
                    <w:div w:id="294154082">
                      <w:marLeft w:val="0"/>
                      <w:marRight w:val="0"/>
                      <w:marTop w:val="0"/>
                      <w:marBottom w:val="0"/>
                      <w:divBdr>
                        <w:top w:val="none" w:sz="0" w:space="0" w:color="auto"/>
                        <w:left w:val="none" w:sz="0" w:space="0" w:color="auto"/>
                        <w:bottom w:val="none" w:sz="0" w:space="0" w:color="auto"/>
                        <w:right w:val="none" w:sz="0" w:space="0" w:color="auto"/>
                      </w:divBdr>
                    </w:div>
                    <w:div w:id="294154201">
                      <w:marLeft w:val="0"/>
                      <w:marRight w:val="0"/>
                      <w:marTop w:val="0"/>
                      <w:marBottom w:val="0"/>
                      <w:divBdr>
                        <w:top w:val="none" w:sz="0" w:space="0" w:color="auto"/>
                        <w:left w:val="none" w:sz="0" w:space="0" w:color="auto"/>
                        <w:bottom w:val="none" w:sz="0" w:space="0" w:color="auto"/>
                        <w:right w:val="none" w:sz="0" w:space="0" w:color="auto"/>
                      </w:divBdr>
                    </w:div>
                    <w:div w:id="294154373">
                      <w:marLeft w:val="0"/>
                      <w:marRight w:val="0"/>
                      <w:marTop w:val="0"/>
                      <w:marBottom w:val="0"/>
                      <w:divBdr>
                        <w:top w:val="none" w:sz="0" w:space="0" w:color="auto"/>
                        <w:left w:val="none" w:sz="0" w:space="0" w:color="auto"/>
                        <w:bottom w:val="none" w:sz="0" w:space="0" w:color="auto"/>
                        <w:right w:val="none" w:sz="0" w:space="0" w:color="auto"/>
                      </w:divBdr>
                    </w:div>
                    <w:div w:id="294154415">
                      <w:marLeft w:val="0"/>
                      <w:marRight w:val="0"/>
                      <w:marTop w:val="0"/>
                      <w:marBottom w:val="0"/>
                      <w:divBdr>
                        <w:top w:val="none" w:sz="0" w:space="0" w:color="auto"/>
                        <w:left w:val="none" w:sz="0" w:space="0" w:color="auto"/>
                        <w:bottom w:val="none" w:sz="0" w:space="0" w:color="auto"/>
                        <w:right w:val="none" w:sz="0" w:space="0" w:color="auto"/>
                      </w:divBdr>
                    </w:div>
                    <w:div w:id="294154571">
                      <w:marLeft w:val="0"/>
                      <w:marRight w:val="0"/>
                      <w:marTop w:val="0"/>
                      <w:marBottom w:val="0"/>
                      <w:divBdr>
                        <w:top w:val="none" w:sz="0" w:space="0" w:color="auto"/>
                        <w:left w:val="none" w:sz="0" w:space="0" w:color="auto"/>
                        <w:bottom w:val="none" w:sz="0" w:space="0" w:color="auto"/>
                        <w:right w:val="none" w:sz="0" w:space="0" w:color="auto"/>
                      </w:divBdr>
                      <w:divsChild>
                        <w:div w:id="294139432">
                          <w:marLeft w:val="0"/>
                          <w:marRight w:val="0"/>
                          <w:marTop w:val="0"/>
                          <w:marBottom w:val="0"/>
                          <w:divBdr>
                            <w:top w:val="none" w:sz="0" w:space="0" w:color="auto"/>
                            <w:left w:val="none" w:sz="0" w:space="0" w:color="auto"/>
                            <w:bottom w:val="none" w:sz="0" w:space="0" w:color="auto"/>
                            <w:right w:val="none" w:sz="0" w:space="0" w:color="auto"/>
                          </w:divBdr>
                        </w:div>
                      </w:divsChild>
                    </w:div>
                    <w:div w:id="294154632">
                      <w:marLeft w:val="0"/>
                      <w:marRight w:val="0"/>
                      <w:marTop w:val="0"/>
                      <w:marBottom w:val="0"/>
                      <w:divBdr>
                        <w:top w:val="none" w:sz="0" w:space="0" w:color="auto"/>
                        <w:left w:val="none" w:sz="0" w:space="0" w:color="auto"/>
                        <w:bottom w:val="none" w:sz="0" w:space="0" w:color="auto"/>
                        <w:right w:val="none" w:sz="0" w:space="0" w:color="auto"/>
                      </w:divBdr>
                    </w:div>
                    <w:div w:id="294154677">
                      <w:marLeft w:val="0"/>
                      <w:marRight w:val="0"/>
                      <w:marTop w:val="0"/>
                      <w:marBottom w:val="0"/>
                      <w:divBdr>
                        <w:top w:val="none" w:sz="0" w:space="0" w:color="auto"/>
                        <w:left w:val="none" w:sz="0" w:space="0" w:color="auto"/>
                        <w:bottom w:val="none" w:sz="0" w:space="0" w:color="auto"/>
                        <w:right w:val="none" w:sz="0" w:space="0" w:color="auto"/>
                      </w:divBdr>
                      <w:divsChild>
                        <w:div w:id="294143470">
                          <w:marLeft w:val="0"/>
                          <w:marRight w:val="0"/>
                          <w:marTop w:val="0"/>
                          <w:marBottom w:val="0"/>
                          <w:divBdr>
                            <w:top w:val="none" w:sz="0" w:space="0" w:color="auto"/>
                            <w:left w:val="none" w:sz="0" w:space="0" w:color="auto"/>
                            <w:bottom w:val="none" w:sz="0" w:space="0" w:color="auto"/>
                            <w:right w:val="none" w:sz="0" w:space="0" w:color="auto"/>
                          </w:divBdr>
                        </w:div>
                      </w:divsChild>
                    </w:div>
                    <w:div w:id="294154719">
                      <w:marLeft w:val="0"/>
                      <w:marRight w:val="0"/>
                      <w:marTop w:val="0"/>
                      <w:marBottom w:val="0"/>
                      <w:divBdr>
                        <w:top w:val="none" w:sz="0" w:space="0" w:color="auto"/>
                        <w:left w:val="none" w:sz="0" w:space="0" w:color="auto"/>
                        <w:bottom w:val="none" w:sz="0" w:space="0" w:color="auto"/>
                        <w:right w:val="none" w:sz="0" w:space="0" w:color="auto"/>
                      </w:divBdr>
                      <w:divsChild>
                        <w:div w:id="294144401">
                          <w:marLeft w:val="0"/>
                          <w:marRight w:val="0"/>
                          <w:marTop w:val="0"/>
                          <w:marBottom w:val="0"/>
                          <w:divBdr>
                            <w:top w:val="none" w:sz="0" w:space="0" w:color="auto"/>
                            <w:left w:val="none" w:sz="0" w:space="0" w:color="auto"/>
                            <w:bottom w:val="none" w:sz="0" w:space="0" w:color="auto"/>
                            <w:right w:val="none" w:sz="0" w:space="0" w:color="auto"/>
                          </w:divBdr>
                        </w:div>
                      </w:divsChild>
                    </w:div>
                    <w:div w:id="294154882">
                      <w:marLeft w:val="0"/>
                      <w:marRight w:val="0"/>
                      <w:marTop w:val="0"/>
                      <w:marBottom w:val="0"/>
                      <w:divBdr>
                        <w:top w:val="none" w:sz="0" w:space="0" w:color="auto"/>
                        <w:left w:val="none" w:sz="0" w:space="0" w:color="auto"/>
                        <w:bottom w:val="none" w:sz="0" w:space="0" w:color="auto"/>
                        <w:right w:val="none" w:sz="0" w:space="0" w:color="auto"/>
                      </w:divBdr>
                      <w:divsChild>
                        <w:div w:id="294148816">
                          <w:marLeft w:val="0"/>
                          <w:marRight w:val="0"/>
                          <w:marTop w:val="0"/>
                          <w:marBottom w:val="0"/>
                          <w:divBdr>
                            <w:top w:val="none" w:sz="0" w:space="0" w:color="auto"/>
                            <w:left w:val="none" w:sz="0" w:space="0" w:color="auto"/>
                            <w:bottom w:val="none" w:sz="0" w:space="0" w:color="auto"/>
                            <w:right w:val="none" w:sz="0" w:space="0" w:color="auto"/>
                          </w:divBdr>
                        </w:div>
                      </w:divsChild>
                    </w:div>
                    <w:div w:id="294154884">
                      <w:marLeft w:val="0"/>
                      <w:marRight w:val="0"/>
                      <w:marTop w:val="0"/>
                      <w:marBottom w:val="0"/>
                      <w:divBdr>
                        <w:top w:val="none" w:sz="0" w:space="0" w:color="auto"/>
                        <w:left w:val="none" w:sz="0" w:space="0" w:color="auto"/>
                        <w:bottom w:val="none" w:sz="0" w:space="0" w:color="auto"/>
                        <w:right w:val="none" w:sz="0" w:space="0" w:color="auto"/>
                      </w:divBdr>
                      <w:divsChild>
                        <w:div w:id="294141362">
                          <w:marLeft w:val="0"/>
                          <w:marRight w:val="0"/>
                          <w:marTop w:val="0"/>
                          <w:marBottom w:val="0"/>
                          <w:divBdr>
                            <w:top w:val="none" w:sz="0" w:space="0" w:color="auto"/>
                            <w:left w:val="none" w:sz="0" w:space="0" w:color="auto"/>
                            <w:bottom w:val="none" w:sz="0" w:space="0" w:color="auto"/>
                            <w:right w:val="none" w:sz="0" w:space="0" w:color="auto"/>
                          </w:divBdr>
                        </w:div>
                      </w:divsChild>
                    </w:div>
                    <w:div w:id="294155046">
                      <w:marLeft w:val="0"/>
                      <w:marRight w:val="0"/>
                      <w:marTop w:val="0"/>
                      <w:marBottom w:val="0"/>
                      <w:divBdr>
                        <w:top w:val="none" w:sz="0" w:space="0" w:color="auto"/>
                        <w:left w:val="none" w:sz="0" w:space="0" w:color="auto"/>
                        <w:bottom w:val="none" w:sz="0" w:space="0" w:color="auto"/>
                        <w:right w:val="none" w:sz="0" w:space="0" w:color="auto"/>
                      </w:divBdr>
                    </w:div>
                    <w:div w:id="294155202">
                      <w:marLeft w:val="0"/>
                      <w:marRight w:val="0"/>
                      <w:marTop w:val="0"/>
                      <w:marBottom w:val="0"/>
                      <w:divBdr>
                        <w:top w:val="none" w:sz="0" w:space="0" w:color="auto"/>
                        <w:left w:val="none" w:sz="0" w:space="0" w:color="auto"/>
                        <w:bottom w:val="none" w:sz="0" w:space="0" w:color="auto"/>
                        <w:right w:val="none" w:sz="0" w:space="0" w:color="auto"/>
                      </w:divBdr>
                      <w:divsChild>
                        <w:div w:id="294151548">
                          <w:marLeft w:val="0"/>
                          <w:marRight w:val="0"/>
                          <w:marTop w:val="0"/>
                          <w:marBottom w:val="0"/>
                          <w:divBdr>
                            <w:top w:val="none" w:sz="0" w:space="0" w:color="auto"/>
                            <w:left w:val="none" w:sz="0" w:space="0" w:color="auto"/>
                            <w:bottom w:val="none" w:sz="0" w:space="0" w:color="auto"/>
                            <w:right w:val="none" w:sz="0" w:space="0" w:color="auto"/>
                          </w:divBdr>
                        </w:div>
                      </w:divsChild>
                    </w:div>
                    <w:div w:id="294155253">
                      <w:marLeft w:val="0"/>
                      <w:marRight w:val="0"/>
                      <w:marTop w:val="0"/>
                      <w:marBottom w:val="0"/>
                      <w:divBdr>
                        <w:top w:val="none" w:sz="0" w:space="0" w:color="auto"/>
                        <w:left w:val="none" w:sz="0" w:space="0" w:color="auto"/>
                        <w:bottom w:val="none" w:sz="0" w:space="0" w:color="auto"/>
                        <w:right w:val="none" w:sz="0" w:space="0" w:color="auto"/>
                      </w:divBdr>
                    </w:div>
                    <w:div w:id="294155299">
                      <w:marLeft w:val="0"/>
                      <w:marRight w:val="0"/>
                      <w:marTop w:val="0"/>
                      <w:marBottom w:val="0"/>
                      <w:divBdr>
                        <w:top w:val="none" w:sz="0" w:space="0" w:color="auto"/>
                        <w:left w:val="none" w:sz="0" w:space="0" w:color="auto"/>
                        <w:bottom w:val="none" w:sz="0" w:space="0" w:color="auto"/>
                        <w:right w:val="none" w:sz="0" w:space="0" w:color="auto"/>
                      </w:divBdr>
                      <w:divsChild>
                        <w:div w:id="294149470">
                          <w:marLeft w:val="0"/>
                          <w:marRight w:val="0"/>
                          <w:marTop w:val="0"/>
                          <w:marBottom w:val="0"/>
                          <w:divBdr>
                            <w:top w:val="none" w:sz="0" w:space="0" w:color="auto"/>
                            <w:left w:val="none" w:sz="0" w:space="0" w:color="auto"/>
                            <w:bottom w:val="none" w:sz="0" w:space="0" w:color="auto"/>
                            <w:right w:val="none" w:sz="0" w:space="0" w:color="auto"/>
                          </w:divBdr>
                        </w:div>
                      </w:divsChild>
                    </w:div>
                    <w:div w:id="294155306">
                      <w:marLeft w:val="0"/>
                      <w:marRight w:val="0"/>
                      <w:marTop w:val="0"/>
                      <w:marBottom w:val="0"/>
                      <w:divBdr>
                        <w:top w:val="none" w:sz="0" w:space="0" w:color="auto"/>
                        <w:left w:val="none" w:sz="0" w:space="0" w:color="auto"/>
                        <w:bottom w:val="none" w:sz="0" w:space="0" w:color="auto"/>
                        <w:right w:val="none" w:sz="0" w:space="0" w:color="auto"/>
                      </w:divBdr>
                    </w:div>
                    <w:div w:id="294155328">
                      <w:marLeft w:val="0"/>
                      <w:marRight w:val="0"/>
                      <w:marTop w:val="0"/>
                      <w:marBottom w:val="0"/>
                      <w:divBdr>
                        <w:top w:val="none" w:sz="0" w:space="0" w:color="auto"/>
                        <w:left w:val="none" w:sz="0" w:space="0" w:color="auto"/>
                        <w:bottom w:val="none" w:sz="0" w:space="0" w:color="auto"/>
                        <w:right w:val="none" w:sz="0" w:space="0" w:color="auto"/>
                      </w:divBdr>
                    </w:div>
                    <w:div w:id="294155489">
                      <w:marLeft w:val="0"/>
                      <w:marRight w:val="0"/>
                      <w:marTop w:val="0"/>
                      <w:marBottom w:val="0"/>
                      <w:divBdr>
                        <w:top w:val="none" w:sz="0" w:space="0" w:color="auto"/>
                        <w:left w:val="none" w:sz="0" w:space="0" w:color="auto"/>
                        <w:bottom w:val="none" w:sz="0" w:space="0" w:color="auto"/>
                        <w:right w:val="none" w:sz="0" w:space="0" w:color="auto"/>
                      </w:divBdr>
                      <w:divsChild>
                        <w:div w:id="294146609">
                          <w:marLeft w:val="0"/>
                          <w:marRight w:val="0"/>
                          <w:marTop w:val="0"/>
                          <w:marBottom w:val="0"/>
                          <w:divBdr>
                            <w:top w:val="none" w:sz="0" w:space="0" w:color="auto"/>
                            <w:left w:val="none" w:sz="0" w:space="0" w:color="auto"/>
                            <w:bottom w:val="none" w:sz="0" w:space="0" w:color="auto"/>
                            <w:right w:val="none" w:sz="0" w:space="0" w:color="auto"/>
                          </w:divBdr>
                        </w:div>
                      </w:divsChild>
                    </w:div>
                    <w:div w:id="294155544">
                      <w:marLeft w:val="0"/>
                      <w:marRight w:val="0"/>
                      <w:marTop w:val="0"/>
                      <w:marBottom w:val="0"/>
                      <w:divBdr>
                        <w:top w:val="none" w:sz="0" w:space="0" w:color="auto"/>
                        <w:left w:val="none" w:sz="0" w:space="0" w:color="auto"/>
                        <w:bottom w:val="none" w:sz="0" w:space="0" w:color="auto"/>
                        <w:right w:val="none" w:sz="0" w:space="0" w:color="auto"/>
                      </w:divBdr>
                      <w:divsChild>
                        <w:div w:id="294148112">
                          <w:marLeft w:val="0"/>
                          <w:marRight w:val="0"/>
                          <w:marTop w:val="0"/>
                          <w:marBottom w:val="0"/>
                          <w:divBdr>
                            <w:top w:val="none" w:sz="0" w:space="0" w:color="auto"/>
                            <w:left w:val="none" w:sz="0" w:space="0" w:color="auto"/>
                            <w:bottom w:val="none" w:sz="0" w:space="0" w:color="auto"/>
                            <w:right w:val="none" w:sz="0" w:space="0" w:color="auto"/>
                          </w:divBdr>
                        </w:div>
                      </w:divsChild>
                    </w:div>
                    <w:div w:id="294155709">
                      <w:marLeft w:val="0"/>
                      <w:marRight w:val="0"/>
                      <w:marTop w:val="0"/>
                      <w:marBottom w:val="0"/>
                      <w:divBdr>
                        <w:top w:val="none" w:sz="0" w:space="0" w:color="auto"/>
                        <w:left w:val="none" w:sz="0" w:space="0" w:color="auto"/>
                        <w:bottom w:val="none" w:sz="0" w:space="0" w:color="auto"/>
                        <w:right w:val="none" w:sz="0" w:space="0" w:color="auto"/>
                      </w:divBdr>
                      <w:divsChild>
                        <w:div w:id="294156859">
                          <w:marLeft w:val="0"/>
                          <w:marRight w:val="0"/>
                          <w:marTop w:val="0"/>
                          <w:marBottom w:val="0"/>
                          <w:divBdr>
                            <w:top w:val="none" w:sz="0" w:space="0" w:color="auto"/>
                            <w:left w:val="none" w:sz="0" w:space="0" w:color="auto"/>
                            <w:bottom w:val="none" w:sz="0" w:space="0" w:color="auto"/>
                            <w:right w:val="none" w:sz="0" w:space="0" w:color="auto"/>
                          </w:divBdr>
                        </w:div>
                      </w:divsChild>
                    </w:div>
                    <w:div w:id="294155719">
                      <w:marLeft w:val="0"/>
                      <w:marRight w:val="0"/>
                      <w:marTop w:val="0"/>
                      <w:marBottom w:val="0"/>
                      <w:divBdr>
                        <w:top w:val="none" w:sz="0" w:space="0" w:color="auto"/>
                        <w:left w:val="none" w:sz="0" w:space="0" w:color="auto"/>
                        <w:bottom w:val="none" w:sz="0" w:space="0" w:color="auto"/>
                        <w:right w:val="none" w:sz="0" w:space="0" w:color="auto"/>
                      </w:divBdr>
                      <w:divsChild>
                        <w:div w:id="294149534">
                          <w:marLeft w:val="0"/>
                          <w:marRight w:val="0"/>
                          <w:marTop w:val="0"/>
                          <w:marBottom w:val="0"/>
                          <w:divBdr>
                            <w:top w:val="none" w:sz="0" w:space="0" w:color="auto"/>
                            <w:left w:val="none" w:sz="0" w:space="0" w:color="auto"/>
                            <w:bottom w:val="none" w:sz="0" w:space="0" w:color="auto"/>
                            <w:right w:val="none" w:sz="0" w:space="0" w:color="auto"/>
                          </w:divBdr>
                        </w:div>
                      </w:divsChild>
                    </w:div>
                    <w:div w:id="294155767">
                      <w:marLeft w:val="0"/>
                      <w:marRight w:val="0"/>
                      <w:marTop w:val="0"/>
                      <w:marBottom w:val="0"/>
                      <w:divBdr>
                        <w:top w:val="none" w:sz="0" w:space="0" w:color="auto"/>
                        <w:left w:val="none" w:sz="0" w:space="0" w:color="auto"/>
                        <w:bottom w:val="none" w:sz="0" w:space="0" w:color="auto"/>
                        <w:right w:val="none" w:sz="0" w:space="0" w:color="auto"/>
                      </w:divBdr>
                    </w:div>
                    <w:div w:id="294155865">
                      <w:marLeft w:val="0"/>
                      <w:marRight w:val="0"/>
                      <w:marTop w:val="0"/>
                      <w:marBottom w:val="0"/>
                      <w:divBdr>
                        <w:top w:val="none" w:sz="0" w:space="0" w:color="auto"/>
                        <w:left w:val="none" w:sz="0" w:space="0" w:color="auto"/>
                        <w:bottom w:val="none" w:sz="0" w:space="0" w:color="auto"/>
                        <w:right w:val="none" w:sz="0" w:space="0" w:color="auto"/>
                      </w:divBdr>
                      <w:divsChild>
                        <w:div w:id="294144912">
                          <w:marLeft w:val="0"/>
                          <w:marRight w:val="0"/>
                          <w:marTop w:val="0"/>
                          <w:marBottom w:val="0"/>
                          <w:divBdr>
                            <w:top w:val="none" w:sz="0" w:space="0" w:color="auto"/>
                            <w:left w:val="none" w:sz="0" w:space="0" w:color="auto"/>
                            <w:bottom w:val="none" w:sz="0" w:space="0" w:color="auto"/>
                            <w:right w:val="none" w:sz="0" w:space="0" w:color="auto"/>
                          </w:divBdr>
                        </w:div>
                      </w:divsChild>
                    </w:div>
                    <w:div w:id="294155883">
                      <w:marLeft w:val="0"/>
                      <w:marRight w:val="0"/>
                      <w:marTop w:val="0"/>
                      <w:marBottom w:val="0"/>
                      <w:divBdr>
                        <w:top w:val="none" w:sz="0" w:space="0" w:color="auto"/>
                        <w:left w:val="none" w:sz="0" w:space="0" w:color="auto"/>
                        <w:bottom w:val="none" w:sz="0" w:space="0" w:color="auto"/>
                        <w:right w:val="none" w:sz="0" w:space="0" w:color="auto"/>
                      </w:divBdr>
                      <w:divsChild>
                        <w:div w:id="294143234">
                          <w:marLeft w:val="0"/>
                          <w:marRight w:val="0"/>
                          <w:marTop w:val="0"/>
                          <w:marBottom w:val="0"/>
                          <w:divBdr>
                            <w:top w:val="none" w:sz="0" w:space="0" w:color="auto"/>
                            <w:left w:val="none" w:sz="0" w:space="0" w:color="auto"/>
                            <w:bottom w:val="none" w:sz="0" w:space="0" w:color="auto"/>
                            <w:right w:val="none" w:sz="0" w:space="0" w:color="auto"/>
                          </w:divBdr>
                        </w:div>
                      </w:divsChild>
                    </w:div>
                    <w:div w:id="294156142">
                      <w:marLeft w:val="0"/>
                      <w:marRight w:val="0"/>
                      <w:marTop w:val="0"/>
                      <w:marBottom w:val="0"/>
                      <w:divBdr>
                        <w:top w:val="none" w:sz="0" w:space="0" w:color="auto"/>
                        <w:left w:val="none" w:sz="0" w:space="0" w:color="auto"/>
                        <w:bottom w:val="none" w:sz="0" w:space="0" w:color="auto"/>
                        <w:right w:val="none" w:sz="0" w:space="0" w:color="auto"/>
                      </w:divBdr>
                      <w:divsChild>
                        <w:div w:id="294144263">
                          <w:marLeft w:val="0"/>
                          <w:marRight w:val="0"/>
                          <w:marTop w:val="0"/>
                          <w:marBottom w:val="0"/>
                          <w:divBdr>
                            <w:top w:val="none" w:sz="0" w:space="0" w:color="auto"/>
                            <w:left w:val="none" w:sz="0" w:space="0" w:color="auto"/>
                            <w:bottom w:val="none" w:sz="0" w:space="0" w:color="auto"/>
                            <w:right w:val="none" w:sz="0" w:space="0" w:color="auto"/>
                          </w:divBdr>
                        </w:div>
                      </w:divsChild>
                    </w:div>
                    <w:div w:id="294156347">
                      <w:marLeft w:val="0"/>
                      <w:marRight w:val="0"/>
                      <w:marTop w:val="0"/>
                      <w:marBottom w:val="0"/>
                      <w:divBdr>
                        <w:top w:val="none" w:sz="0" w:space="0" w:color="auto"/>
                        <w:left w:val="none" w:sz="0" w:space="0" w:color="auto"/>
                        <w:bottom w:val="none" w:sz="0" w:space="0" w:color="auto"/>
                        <w:right w:val="none" w:sz="0" w:space="0" w:color="auto"/>
                      </w:divBdr>
                      <w:divsChild>
                        <w:div w:id="294144907">
                          <w:marLeft w:val="0"/>
                          <w:marRight w:val="0"/>
                          <w:marTop w:val="0"/>
                          <w:marBottom w:val="0"/>
                          <w:divBdr>
                            <w:top w:val="none" w:sz="0" w:space="0" w:color="auto"/>
                            <w:left w:val="none" w:sz="0" w:space="0" w:color="auto"/>
                            <w:bottom w:val="none" w:sz="0" w:space="0" w:color="auto"/>
                            <w:right w:val="none" w:sz="0" w:space="0" w:color="auto"/>
                          </w:divBdr>
                        </w:div>
                      </w:divsChild>
                    </w:div>
                    <w:div w:id="294156436">
                      <w:marLeft w:val="0"/>
                      <w:marRight w:val="0"/>
                      <w:marTop w:val="0"/>
                      <w:marBottom w:val="0"/>
                      <w:divBdr>
                        <w:top w:val="none" w:sz="0" w:space="0" w:color="auto"/>
                        <w:left w:val="none" w:sz="0" w:space="0" w:color="auto"/>
                        <w:bottom w:val="none" w:sz="0" w:space="0" w:color="auto"/>
                        <w:right w:val="none" w:sz="0" w:space="0" w:color="auto"/>
                      </w:divBdr>
                      <w:divsChild>
                        <w:div w:id="294147950">
                          <w:marLeft w:val="0"/>
                          <w:marRight w:val="0"/>
                          <w:marTop w:val="0"/>
                          <w:marBottom w:val="0"/>
                          <w:divBdr>
                            <w:top w:val="none" w:sz="0" w:space="0" w:color="auto"/>
                            <w:left w:val="none" w:sz="0" w:space="0" w:color="auto"/>
                            <w:bottom w:val="none" w:sz="0" w:space="0" w:color="auto"/>
                            <w:right w:val="none" w:sz="0" w:space="0" w:color="auto"/>
                          </w:divBdr>
                        </w:div>
                      </w:divsChild>
                    </w:div>
                    <w:div w:id="294156984">
                      <w:marLeft w:val="0"/>
                      <w:marRight w:val="0"/>
                      <w:marTop w:val="0"/>
                      <w:marBottom w:val="0"/>
                      <w:divBdr>
                        <w:top w:val="none" w:sz="0" w:space="0" w:color="auto"/>
                        <w:left w:val="none" w:sz="0" w:space="0" w:color="auto"/>
                        <w:bottom w:val="none" w:sz="0" w:space="0" w:color="auto"/>
                        <w:right w:val="none" w:sz="0" w:space="0" w:color="auto"/>
                      </w:divBdr>
                      <w:divsChild>
                        <w:div w:id="294156402">
                          <w:marLeft w:val="0"/>
                          <w:marRight w:val="0"/>
                          <w:marTop w:val="0"/>
                          <w:marBottom w:val="0"/>
                          <w:divBdr>
                            <w:top w:val="none" w:sz="0" w:space="0" w:color="auto"/>
                            <w:left w:val="none" w:sz="0" w:space="0" w:color="auto"/>
                            <w:bottom w:val="none" w:sz="0" w:space="0" w:color="auto"/>
                            <w:right w:val="none" w:sz="0" w:space="0" w:color="auto"/>
                          </w:divBdr>
                        </w:div>
                      </w:divsChild>
                    </w:div>
                    <w:div w:id="294157036">
                      <w:marLeft w:val="0"/>
                      <w:marRight w:val="0"/>
                      <w:marTop w:val="0"/>
                      <w:marBottom w:val="0"/>
                      <w:divBdr>
                        <w:top w:val="none" w:sz="0" w:space="0" w:color="auto"/>
                        <w:left w:val="none" w:sz="0" w:space="0" w:color="auto"/>
                        <w:bottom w:val="none" w:sz="0" w:space="0" w:color="auto"/>
                        <w:right w:val="none" w:sz="0" w:space="0" w:color="auto"/>
                      </w:divBdr>
                    </w:div>
                    <w:div w:id="294157239">
                      <w:marLeft w:val="0"/>
                      <w:marRight w:val="0"/>
                      <w:marTop w:val="0"/>
                      <w:marBottom w:val="0"/>
                      <w:divBdr>
                        <w:top w:val="none" w:sz="0" w:space="0" w:color="auto"/>
                        <w:left w:val="none" w:sz="0" w:space="0" w:color="auto"/>
                        <w:bottom w:val="none" w:sz="0" w:space="0" w:color="auto"/>
                        <w:right w:val="none" w:sz="0" w:space="0" w:color="auto"/>
                      </w:divBdr>
                    </w:div>
                    <w:div w:id="294157271">
                      <w:marLeft w:val="0"/>
                      <w:marRight w:val="0"/>
                      <w:marTop w:val="0"/>
                      <w:marBottom w:val="0"/>
                      <w:divBdr>
                        <w:top w:val="none" w:sz="0" w:space="0" w:color="auto"/>
                        <w:left w:val="none" w:sz="0" w:space="0" w:color="auto"/>
                        <w:bottom w:val="none" w:sz="0" w:space="0" w:color="auto"/>
                        <w:right w:val="none" w:sz="0" w:space="0" w:color="auto"/>
                      </w:divBdr>
                      <w:divsChild>
                        <w:div w:id="294146857">
                          <w:marLeft w:val="0"/>
                          <w:marRight w:val="0"/>
                          <w:marTop w:val="0"/>
                          <w:marBottom w:val="0"/>
                          <w:divBdr>
                            <w:top w:val="none" w:sz="0" w:space="0" w:color="auto"/>
                            <w:left w:val="none" w:sz="0" w:space="0" w:color="auto"/>
                            <w:bottom w:val="none" w:sz="0" w:space="0" w:color="auto"/>
                            <w:right w:val="none" w:sz="0" w:space="0" w:color="auto"/>
                          </w:divBdr>
                        </w:div>
                      </w:divsChild>
                    </w:div>
                    <w:div w:id="294157316">
                      <w:marLeft w:val="0"/>
                      <w:marRight w:val="0"/>
                      <w:marTop w:val="0"/>
                      <w:marBottom w:val="0"/>
                      <w:divBdr>
                        <w:top w:val="none" w:sz="0" w:space="0" w:color="auto"/>
                        <w:left w:val="none" w:sz="0" w:space="0" w:color="auto"/>
                        <w:bottom w:val="none" w:sz="0" w:space="0" w:color="auto"/>
                        <w:right w:val="none" w:sz="0" w:space="0" w:color="auto"/>
                      </w:divBdr>
                      <w:divsChild>
                        <w:div w:id="294138343">
                          <w:marLeft w:val="0"/>
                          <w:marRight w:val="0"/>
                          <w:marTop w:val="0"/>
                          <w:marBottom w:val="0"/>
                          <w:divBdr>
                            <w:top w:val="none" w:sz="0" w:space="0" w:color="auto"/>
                            <w:left w:val="none" w:sz="0" w:space="0" w:color="auto"/>
                            <w:bottom w:val="none" w:sz="0" w:space="0" w:color="auto"/>
                            <w:right w:val="none" w:sz="0" w:space="0" w:color="auto"/>
                          </w:divBdr>
                        </w:div>
                      </w:divsChild>
                    </w:div>
                    <w:div w:id="294157329">
                      <w:marLeft w:val="0"/>
                      <w:marRight w:val="0"/>
                      <w:marTop w:val="0"/>
                      <w:marBottom w:val="0"/>
                      <w:divBdr>
                        <w:top w:val="none" w:sz="0" w:space="0" w:color="auto"/>
                        <w:left w:val="none" w:sz="0" w:space="0" w:color="auto"/>
                        <w:bottom w:val="none" w:sz="0" w:space="0" w:color="auto"/>
                        <w:right w:val="none" w:sz="0" w:space="0" w:color="auto"/>
                      </w:divBdr>
                      <w:divsChild>
                        <w:div w:id="294142135">
                          <w:marLeft w:val="0"/>
                          <w:marRight w:val="0"/>
                          <w:marTop w:val="0"/>
                          <w:marBottom w:val="0"/>
                          <w:divBdr>
                            <w:top w:val="none" w:sz="0" w:space="0" w:color="auto"/>
                            <w:left w:val="none" w:sz="0" w:space="0" w:color="auto"/>
                            <w:bottom w:val="none" w:sz="0" w:space="0" w:color="auto"/>
                            <w:right w:val="none" w:sz="0" w:space="0" w:color="auto"/>
                          </w:divBdr>
                        </w:div>
                      </w:divsChild>
                    </w:div>
                    <w:div w:id="294157371">
                      <w:marLeft w:val="0"/>
                      <w:marRight w:val="0"/>
                      <w:marTop w:val="0"/>
                      <w:marBottom w:val="0"/>
                      <w:divBdr>
                        <w:top w:val="none" w:sz="0" w:space="0" w:color="auto"/>
                        <w:left w:val="none" w:sz="0" w:space="0" w:color="auto"/>
                        <w:bottom w:val="none" w:sz="0" w:space="0" w:color="auto"/>
                        <w:right w:val="none" w:sz="0" w:space="0" w:color="auto"/>
                      </w:divBdr>
                    </w:div>
                    <w:div w:id="294157377">
                      <w:marLeft w:val="0"/>
                      <w:marRight w:val="0"/>
                      <w:marTop w:val="0"/>
                      <w:marBottom w:val="0"/>
                      <w:divBdr>
                        <w:top w:val="none" w:sz="0" w:space="0" w:color="auto"/>
                        <w:left w:val="none" w:sz="0" w:space="0" w:color="auto"/>
                        <w:bottom w:val="none" w:sz="0" w:space="0" w:color="auto"/>
                        <w:right w:val="none" w:sz="0" w:space="0" w:color="auto"/>
                      </w:divBdr>
                      <w:divsChild>
                        <w:div w:id="294153842">
                          <w:marLeft w:val="0"/>
                          <w:marRight w:val="0"/>
                          <w:marTop w:val="0"/>
                          <w:marBottom w:val="0"/>
                          <w:divBdr>
                            <w:top w:val="none" w:sz="0" w:space="0" w:color="auto"/>
                            <w:left w:val="none" w:sz="0" w:space="0" w:color="auto"/>
                            <w:bottom w:val="none" w:sz="0" w:space="0" w:color="auto"/>
                            <w:right w:val="none" w:sz="0" w:space="0" w:color="auto"/>
                          </w:divBdr>
                        </w:div>
                      </w:divsChild>
                    </w:div>
                    <w:div w:id="29415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49635">
      <w:marLeft w:val="0"/>
      <w:marRight w:val="0"/>
      <w:marTop w:val="0"/>
      <w:marBottom w:val="0"/>
      <w:divBdr>
        <w:top w:val="none" w:sz="0" w:space="0" w:color="auto"/>
        <w:left w:val="none" w:sz="0" w:space="0" w:color="auto"/>
        <w:bottom w:val="none" w:sz="0" w:space="0" w:color="auto"/>
        <w:right w:val="none" w:sz="0" w:space="0" w:color="auto"/>
      </w:divBdr>
    </w:div>
    <w:div w:id="294149670">
      <w:marLeft w:val="0"/>
      <w:marRight w:val="0"/>
      <w:marTop w:val="0"/>
      <w:marBottom w:val="0"/>
      <w:divBdr>
        <w:top w:val="none" w:sz="0" w:space="0" w:color="auto"/>
        <w:left w:val="none" w:sz="0" w:space="0" w:color="auto"/>
        <w:bottom w:val="none" w:sz="0" w:space="0" w:color="auto"/>
        <w:right w:val="none" w:sz="0" w:space="0" w:color="auto"/>
      </w:divBdr>
    </w:div>
    <w:div w:id="294149756">
      <w:marLeft w:val="0"/>
      <w:marRight w:val="0"/>
      <w:marTop w:val="0"/>
      <w:marBottom w:val="0"/>
      <w:divBdr>
        <w:top w:val="none" w:sz="0" w:space="0" w:color="auto"/>
        <w:left w:val="none" w:sz="0" w:space="0" w:color="auto"/>
        <w:bottom w:val="none" w:sz="0" w:space="0" w:color="auto"/>
        <w:right w:val="none" w:sz="0" w:space="0" w:color="auto"/>
      </w:divBdr>
    </w:div>
    <w:div w:id="294149866">
      <w:marLeft w:val="0"/>
      <w:marRight w:val="0"/>
      <w:marTop w:val="0"/>
      <w:marBottom w:val="0"/>
      <w:divBdr>
        <w:top w:val="none" w:sz="0" w:space="0" w:color="auto"/>
        <w:left w:val="none" w:sz="0" w:space="0" w:color="auto"/>
        <w:bottom w:val="none" w:sz="0" w:space="0" w:color="auto"/>
        <w:right w:val="none" w:sz="0" w:space="0" w:color="auto"/>
      </w:divBdr>
    </w:div>
    <w:div w:id="294149875">
      <w:marLeft w:val="0"/>
      <w:marRight w:val="0"/>
      <w:marTop w:val="0"/>
      <w:marBottom w:val="0"/>
      <w:divBdr>
        <w:top w:val="none" w:sz="0" w:space="0" w:color="auto"/>
        <w:left w:val="none" w:sz="0" w:space="0" w:color="auto"/>
        <w:bottom w:val="none" w:sz="0" w:space="0" w:color="auto"/>
        <w:right w:val="none" w:sz="0" w:space="0" w:color="auto"/>
      </w:divBdr>
      <w:divsChild>
        <w:div w:id="294138177">
          <w:marLeft w:val="0"/>
          <w:marRight w:val="0"/>
          <w:marTop w:val="0"/>
          <w:marBottom w:val="0"/>
          <w:divBdr>
            <w:top w:val="none" w:sz="0" w:space="0" w:color="auto"/>
            <w:left w:val="none" w:sz="0" w:space="0" w:color="auto"/>
            <w:bottom w:val="none" w:sz="0" w:space="0" w:color="auto"/>
            <w:right w:val="none" w:sz="0" w:space="0" w:color="auto"/>
          </w:divBdr>
        </w:div>
        <w:div w:id="294138201">
          <w:marLeft w:val="0"/>
          <w:marRight w:val="0"/>
          <w:marTop w:val="0"/>
          <w:marBottom w:val="0"/>
          <w:divBdr>
            <w:top w:val="none" w:sz="0" w:space="0" w:color="auto"/>
            <w:left w:val="none" w:sz="0" w:space="0" w:color="auto"/>
            <w:bottom w:val="none" w:sz="0" w:space="0" w:color="auto"/>
            <w:right w:val="none" w:sz="0" w:space="0" w:color="auto"/>
          </w:divBdr>
        </w:div>
        <w:div w:id="294138232">
          <w:marLeft w:val="0"/>
          <w:marRight w:val="0"/>
          <w:marTop w:val="0"/>
          <w:marBottom w:val="0"/>
          <w:divBdr>
            <w:top w:val="none" w:sz="0" w:space="0" w:color="auto"/>
            <w:left w:val="none" w:sz="0" w:space="0" w:color="auto"/>
            <w:bottom w:val="none" w:sz="0" w:space="0" w:color="auto"/>
            <w:right w:val="none" w:sz="0" w:space="0" w:color="auto"/>
          </w:divBdr>
        </w:div>
        <w:div w:id="294138671">
          <w:marLeft w:val="0"/>
          <w:marRight w:val="0"/>
          <w:marTop w:val="0"/>
          <w:marBottom w:val="0"/>
          <w:divBdr>
            <w:top w:val="none" w:sz="0" w:space="0" w:color="auto"/>
            <w:left w:val="none" w:sz="0" w:space="0" w:color="auto"/>
            <w:bottom w:val="none" w:sz="0" w:space="0" w:color="auto"/>
            <w:right w:val="none" w:sz="0" w:space="0" w:color="auto"/>
          </w:divBdr>
        </w:div>
        <w:div w:id="294138751">
          <w:marLeft w:val="0"/>
          <w:marRight w:val="0"/>
          <w:marTop w:val="0"/>
          <w:marBottom w:val="0"/>
          <w:divBdr>
            <w:top w:val="none" w:sz="0" w:space="0" w:color="auto"/>
            <w:left w:val="none" w:sz="0" w:space="0" w:color="auto"/>
            <w:bottom w:val="none" w:sz="0" w:space="0" w:color="auto"/>
            <w:right w:val="none" w:sz="0" w:space="0" w:color="auto"/>
          </w:divBdr>
        </w:div>
        <w:div w:id="294138765">
          <w:marLeft w:val="0"/>
          <w:marRight w:val="0"/>
          <w:marTop w:val="0"/>
          <w:marBottom w:val="0"/>
          <w:divBdr>
            <w:top w:val="none" w:sz="0" w:space="0" w:color="auto"/>
            <w:left w:val="none" w:sz="0" w:space="0" w:color="auto"/>
            <w:bottom w:val="none" w:sz="0" w:space="0" w:color="auto"/>
            <w:right w:val="none" w:sz="0" w:space="0" w:color="auto"/>
          </w:divBdr>
        </w:div>
        <w:div w:id="294138947">
          <w:marLeft w:val="0"/>
          <w:marRight w:val="0"/>
          <w:marTop w:val="0"/>
          <w:marBottom w:val="0"/>
          <w:divBdr>
            <w:top w:val="none" w:sz="0" w:space="0" w:color="auto"/>
            <w:left w:val="none" w:sz="0" w:space="0" w:color="auto"/>
            <w:bottom w:val="none" w:sz="0" w:space="0" w:color="auto"/>
            <w:right w:val="none" w:sz="0" w:space="0" w:color="auto"/>
          </w:divBdr>
        </w:div>
        <w:div w:id="294139481">
          <w:marLeft w:val="0"/>
          <w:marRight w:val="0"/>
          <w:marTop w:val="0"/>
          <w:marBottom w:val="0"/>
          <w:divBdr>
            <w:top w:val="none" w:sz="0" w:space="0" w:color="auto"/>
            <w:left w:val="none" w:sz="0" w:space="0" w:color="auto"/>
            <w:bottom w:val="none" w:sz="0" w:space="0" w:color="auto"/>
            <w:right w:val="none" w:sz="0" w:space="0" w:color="auto"/>
          </w:divBdr>
        </w:div>
        <w:div w:id="294139501">
          <w:marLeft w:val="0"/>
          <w:marRight w:val="0"/>
          <w:marTop w:val="0"/>
          <w:marBottom w:val="0"/>
          <w:divBdr>
            <w:top w:val="none" w:sz="0" w:space="0" w:color="auto"/>
            <w:left w:val="none" w:sz="0" w:space="0" w:color="auto"/>
            <w:bottom w:val="none" w:sz="0" w:space="0" w:color="auto"/>
            <w:right w:val="none" w:sz="0" w:space="0" w:color="auto"/>
          </w:divBdr>
        </w:div>
        <w:div w:id="294139546">
          <w:marLeft w:val="0"/>
          <w:marRight w:val="0"/>
          <w:marTop w:val="0"/>
          <w:marBottom w:val="0"/>
          <w:divBdr>
            <w:top w:val="none" w:sz="0" w:space="0" w:color="auto"/>
            <w:left w:val="none" w:sz="0" w:space="0" w:color="auto"/>
            <w:bottom w:val="none" w:sz="0" w:space="0" w:color="auto"/>
            <w:right w:val="none" w:sz="0" w:space="0" w:color="auto"/>
          </w:divBdr>
        </w:div>
        <w:div w:id="294139599">
          <w:marLeft w:val="0"/>
          <w:marRight w:val="0"/>
          <w:marTop w:val="0"/>
          <w:marBottom w:val="0"/>
          <w:divBdr>
            <w:top w:val="none" w:sz="0" w:space="0" w:color="auto"/>
            <w:left w:val="none" w:sz="0" w:space="0" w:color="auto"/>
            <w:bottom w:val="none" w:sz="0" w:space="0" w:color="auto"/>
            <w:right w:val="none" w:sz="0" w:space="0" w:color="auto"/>
          </w:divBdr>
        </w:div>
        <w:div w:id="294139612">
          <w:marLeft w:val="0"/>
          <w:marRight w:val="0"/>
          <w:marTop w:val="0"/>
          <w:marBottom w:val="0"/>
          <w:divBdr>
            <w:top w:val="none" w:sz="0" w:space="0" w:color="auto"/>
            <w:left w:val="none" w:sz="0" w:space="0" w:color="auto"/>
            <w:bottom w:val="none" w:sz="0" w:space="0" w:color="auto"/>
            <w:right w:val="none" w:sz="0" w:space="0" w:color="auto"/>
          </w:divBdr>
        </w:div>
        <w:div w:id="294139710">
          <w:marLeft w:val="0"/>
          <w:marRight w:val="0"/>
          <w:marTop w:val="0"/>
          <w:marBottom w:val="0"/>
          <w:divBdr>
            <w:top w:val="none" w:sz="0" w:space="0" w:color="auto"/>
            <w:left w:val="none" w:sz="0" w:space="0" w:color="auto"/>
            <w:bottom w:val="none" w:sz="0" w:space="0" w:color="auto"/>
            <w:right w:val="none" w:sz="0" w:space="0" w:color="auto"/>
          </w:divBdr>
        </w:div>
        <w:div w:id="294139908">
          <w:marLeft w:val="0"/>
          <w:marRight w:val="0"/>
          <w:marTop w:val="0"/>
          <w:marBottom w:val="0"/>
          <w:divBdr>
            <w:top w:val="none" w:sz="0" w:space="0" w:color="auto"/>
            <w:left w:val="none" w:sz="0" w:space="0" w:color="auto"/>
            <w:bottom w:val="none" w:sz="0" w:space="0" w:color="auto"/>
            <w:right w:val="none" w:sz="0" w:space="0" w:color="auto"/>
          </w:divBdr>
        </w:div>
        <w:div w:id="294139970">
          <w:marLeft w:val="0"/>
          <w:marRight w:val="0"/>
          <w:marTop w:val="0"/>
          <w:marBottom w:val="0"/>
          <w:divBdr>
            <w:top w:val="none" w:sz="0" w:space="0" w:color="auto"/>
            <w:left w:val="none" w:sz="0" w:space="0" w:color="auto"/>
            <w:bottom w:val="none" w:sz="0" w:space="0" w:color="auto"/>
            <w:right w:val="none" w:sz="0" w:space="0" w:color="auto"/>
          </w:divBdr>
        </w:div>
        <w:div w:id="294140031">
          <w:marLeft w:val="0"/>
          <w:marRight w:val="0"/>
          <w:marTop w:val="0"/>
          <w:marBottom w:val="0"/>
          <w:divBdr>
            <w:top w:val="none" w:sz="0" w:space="0" w:color="auto"/>
            <w:left w:val="none" w:sz="0" w:space="0" w:color="auto"/>
            <w:bottom w:val="none" w:sz="0" w:space="0" w:color="auto"/>
            <w:right w:val="none" w:sz="0" w:space="0" w:color="auto"/>
          </w:divBdr>
        </w:div>
        <w:div w:id="294140093">
          <w:marLeft w:val="0"/>
          <w:marRight w:val="0"/>
          <w:marTop w:val="0"/>
          <w:marBottom w:val="0"/>
          <w:divBdr>
            <w:top w:val="none" w:sz="0" w:space="0" w:color="auto"/>
            <w:left w:val="none" w:sz="0" w:space="0" w:color="auto"/>
            <w:bottom w:val="none" w:sz="0" w:space="0" w:color="auto"/>
            <w:right w:val="none" w:sz="0" w:space="0" w:color="auto"/>
          </w:divBdr>
        </w:div>
        <w:div w:id="294140258">
          <w:marLeft w:val="0"/>
          <w:marRight w:val="0"/>
          <w:marTop w:val="0"/>
          <w:marBottom w:val="0"/>
          <w:divBdr>
            <w:top w:val="none" w:sz="0" w:space="0" w:color="auto"/>
            <w:left w:val="none" w:sz="0" w:space="0" w:color="auto"/>
            <w:bottom w:val="none" w:sz="0" w:space="0" w:color="auto"/>
            <w:right w:val="none" w:sz="0" w:space="0" w:color="auto"/>
          </w:divBdr>
        </w:div>
        <w:div w:id="294140343">
          <w:marLeft w:val="0"/>
          <w:marRight w:val="0"/>
          <w:marTop w:val="0"/>
          <w:marBottom w:val="0"/>
          <w:divBdr>
            <w:top w:val="none" w:sz="0" w:space="0" w:color="auto"/>
            <w:left w:val="none" w:sz="0" w:space="0" w:color="auto"/>
            <w:bottom w:val="none" w:sz="0" w:space="0" w:color="auto"/>
            <w:right w:val="none" w:sz="0" w:space="0" w:color="auto"/>
          </w:divBdr>
        </w:div>
        <w:div w:id="294140377">
          <w:marLeft w:val="0"/>
          <w:marRight w:val="0"/>
          <w:marTop w:val="0"/>
          <w:marBottom w:val="0"/>
          <w:divBdr>
            <w:top w:val="none" w:sz="0" w:space="0" w:color="auto"/>
            <w:left w:val="none" w:sz="0" w:space="0" w:color="auto"/>
            <w:bottom w:val="none" w:sz="0" w:space="0" w:color="auto"/>
            <w:right w:val="none" w:sz="0" w:space="0" w:color="auto"/>
          </w:divBdr>
        </w:div>
        <w:div w:id="294140422">
          <w:marLeft w:val="0"/>
          <w:marRight w:val="0"/>
          <w:marTop w:val="0"/>
          <w:marBottom w:val="0"/>
          <w:divBdr>
            <w:top w:val="none" w:sz="0" w:space="0" w:color="auto"/>
            <w:left w:val="none" w:sz="0" w:space="0" w:color="auto"/>
            <w:bottom w:val="none" w:sz="0" w:space="0" w:color="auto"/>
            <w:right w:val="none" w:sz="0" w:space="0" w:color="auto"/>
          </w:divBdr>
        </w:div>
        <w:div w:id="294140447">
          <w:marLeft w:val="0"/>
          <w:marRight w:val="0"/>
          <w:marTop w:val="0"/>
          <w:marBottom w:val="0"/>
          <w:divBdr>
            <w:top w:val="none" w:sz="0" w:space="0" w:color="auto"/>
            <w:left w:val="none" w:sz="0" w:space="0" w:color="auto"/>
            <w:bottom w:val="none" w:sz="0" w:space="0" w:color="auto"/>
            <w:right w:val="none" w:sz="0" w:space="0" w:color="auto"/>
          </w:divBdr>
        </w:div>
        <w:div w:id="294140481">
          <w:marLeft w:val="0"/>
          <w:marRight w:val="0"/>
          <w:marTop w:val="0"/>
          <w:marBottom w:val="0"/>
          <w:divBdr>
            <w:top w:val="none" w:sz="0" w:space="0" w:color="auto"/>
            <w:left w:val="none" w:sz="0" w:space="0" w:color="auto"/>
            <w:bottom w:val="none" w:sz="0" w:space="0" w:color="auto"/>
            <w:right w:val="none" w:sz="0" w:space="0" w:color="auto"/>
          </w:divBdr>
        </w:div>
        <w:div w:id="294140497">
          <w:marLeft w:val="0"/>
          <w:marRight w:val="0"/>
          <w:marTop w:val="0"/>
          <w:marBottom w:val="0"/>
          <w:divBdr>
            <w:top w:val="none" w:sz="0" w:space="0" w:color="auto"/>
            <w:left w:val="none" w:sz="0" w:space="0" w:color="auto"/>
            <w:bottom w:val="none" w:sz="0" w:space="0" w:color="auto"/>
            <w:right w:val="none" w:sz="0" w:space="0" w:color="auto"/>
          </w:divBdr>
        </w:div>
        <w:div w:id="294140538">
          <w:marLeft w:val="0"/>
          <w:marRight w:val="0"/>
          <w:marTop w:val="0"/>
          <w:marBottom w:val="0"/>
          <w:divBdr>
            <w:top w:val="none" w:sz="0" w:space="0" w:color="auto"/>
            <w:left w:val="none" w:sz="0" w:space="0" w:color="auto"/>
            <w:bottom w:val="none" w:sz="0" w:space="0" w:color="auto"/>
            <w:right w:val="none" w:sz="0" w:space="0" w:color="auto"/>
          </w:divBdr>
        </w:div>
        <w:div w:id="294140602">
          <w:marLeft w:val="0"/>
          <w:marRight w:val="0"/>
          <w:marTop w:val="0"/>
          <w:marBottom w:val="0"/>
          <w:divBdr>
            <w:top w:val="none" w:sz="0" w:space="0" w:color="auto"/>
            <w:left w:val="none" w:sz="0" w:space="0" w:color="auto"/>
            <w:bottom w:val="none" w:sz="0" w:space="0" w:color="auto"/>
            <w:right w:val="none" w:sz="0" w:space="0" w:color="auto"/>
          </w:divBdr>
        </w:div>
        <w:div w:id="294140998">
          <w:marLeft w:val="0"/>
          <w:marRight w:val="0"/>
          <w:marTop w:val="0"/>
          <w:marBottom w:val="0"/>
          <w:divBdr>
            <w:top w:val="none" w:sz="0" w:space="0" w:color="auto"/>
            <w:left w:val="none" w:sz="0" w:space="0" w:color="auto"/>
            <w:bottom w:val="none" w:sz="0" w:space="0" w:color="auto"/>
            <w:right w:val="none" w:sz="0" w:space="0" w:color="auto"/>
          </w:divBdr>
        </w:div>
        <w:div w:id="294141530">
          <w:marLeft w:val="0"/>
          <w:marRight w:val="0"/>
          <w:marTop w:val="0"/>
          <w:marBottom w:val="0"/>
          <w:divBdr>
            <w:top w:val="none" w:sz="0" w:space="0" w:color="auto"/>
            <w:left w:val="none" w:sz="0" w:space="0" w:color="auto"/>
            <w:bottom w:val="none" w:sz="0" w:space="0" w:color="auto"/>
            <w:right w:val="none" w:sz="0" w:space="0" w:color="auto"/>
          </w:divBdr>
        </w:div>
        <w:div w:id="294142100">
          <w:marLeft w:val="0"/>
          <w:marRight w:val="0"/>
          <w:marTop w:val="0"/>
          <w:marBottom w:val="0"/>
          <w:divBdr>
            <w:top w:val="none" w:sz="0" w:space="0" w:color="auto"/>
            <w:left w:val="none" w:sz="0" w:space="0" w:color="auto"/>
            <w:bottom w:val="none" w:sz="0" w:space="0" w:color="auto"/>
            <w:right w:val="none" w:sz="0" w:space="0" w:color="auto"/>
          </w:divBdr>
        </w:div>
        <w:div w:id="294142403">
          <w:marLeft w:val="0"/>
          <w:marRight w:val="0"/>
          <w:marTop w:val="0"/>
          <w:marBottom w:val="0"/>
          <w:divBdr>
            <w:top w:val="none" w:sz="0" w:space="0" w:color="auto"/>
            <w:left w:val="none" w:sz="0" w:space="0" w:color="auto"/>
            <w:bottom w:val="none" w:sz="0" w:space="0" w:color="auto"/>
            <w:right w:val="none" w:sz="0" w:space="0" w:color="auto"/>
          </w:divBdr>
        </w:div>
        <w:div w:id="294142510">
          <w:marLeft w:val="0"/>
          <w:marRight w:val="0"/>
          <w:marTop w:val="0"/>
          <w:marBottom w:val="0"/>
          <w:divBdr>
            <w:top w:val="none" w:sz="0" w:space="0" w:color="auto"/>
            <w:left w:val="none" w:sz="0" w:space="0" w:color="auto"/>
            <w:bottom w:val="none" w:sz="0" w:space="0" w:color="auto"/>
            <w:right w:val="none" w:sz="0" w:space="0" w:color="auto"/>
          </w:divBdr>
        </w:div>
        <w:div w:id="294142757">
          <w:marLeft w:val="0"/>
          <w:marRight w:val="0"/>
          <w:marTop w:val="0"/>
          <w:marBottom w:val="0"/>
          <w:divBdr>
            <w:top w:val="none" w:sz="0" w:space="0" w:color="auto"/>
            <w:left w:val="none" w:sz="0" w:space="0" w:color="auto"/>
            <w:bottom w:val="none" w:sz="0" w:space="0" w:color="auto"/>
            <w:right w:val="none" w:sz="0" w:space="0" w:color="auto"/>
          </w:divBdr>
        </w:div>
        <w:div w:id="294142800">
          <w:marLeft w:val="0"/>
          <w:marRight w:val="0"/>
          <w:marTop w:val="0"/>
          <w:marBottom w:val="0"/>
          <w:divBdr>
            <w:top w:val="none" w:sz="0" w:space="0" w:color="auto"/>
            <w:left w:val="none" w:sz="0" w:space="0" w:color="auto"/>
            <w:bottom w:val="none" w:sz="0" w:space="0" w:color="auto"/>
            <w:right w:val="none" w:sz="0" w:space="0" w:color="auto"/>
          </w:divBdr>
        </w:div>
        <w:div w:id="294142911">
          <w:marLeft w:val="0"/>
          <w:marRight w:val="0"/>
          <w:marTop w:val="0"/>
          <w:marBottom w:val="0"/>
          <w:divBdr>
            <w:top w:val="none" w:sz="0" w:space="0" w:color="auto"/>
            <w:left w:val="none" w:sz="0" w:space="0" w:color="auto"/>
            <w:bottom w:val="none" w:sz="0" w:space="0" w:color="auto"/>
            <w:right w:val="none" w:sz="0" w:space="0" w:color="auto"/>
          </w:divBdr>
        </w:div>
        <w:div w:id="294142924">
          <w:marLeft w:val="0"/>
          <w:marRight w:val="0"/>
          <w:marTop w:val="0"/>
          <w:marBottom w:val="0"/>
          <w:divBdr>
            <w:top w:val="none" w:sz="0" w:space="0" w:color="auto"/>
            <w:left w:val="none" w:sz="0" w:space="0" w:color="auto"/>
            <w:bottom w:val="none" w:sz="0" w:space="0" w:color="auto"/>
            <w:right w:val="none" w:sz="0" w:space="0" w:color="auto"/>
          </w:divBdr>
        </w:div>
        <w:div w:id="294142965">
          <w:marLeft w:val="0"/>
          <w:marRight w:val="0"/>
          <w:marTop w:val="0"/>
          <w:marBottom w:val="0"/>
          <w:divBdr>
            <w:top w:val="none" w:sz="0" w:space="0" w:color="auto"/>
            <w:left w:val="none" w:sz="0" w:space="0" w:color="auto"/>
            <w:bottom w:val="none" w:sz="0" w:space="0" w:color="auto"/>
            <w:right w:val="none" w:sz="0" w:space="0" w:color="auto"/>
          </w:divBdr>
        </w:div>
        <w:div w:id="294143023">
          <w:marLeft w:val="0"/>
          <w:marRight w:val="0"/>
          <w:marTop w:val="0"/>
          <w:marBottom w:val="0"/>
          <w:divBdr>
            <w:top w:val="none" w:sz="0" w:space="0" w:color="auto"/>
            <w:left w:val="none" w:sz="0" w:space="0" w:color="auto"/>
            <w:bottom w:val="none" w:sz="0" w:space="0" w:color="auto"/>
            <w:right w:val="none" w:sz="0" w:space="0" w:color="auto"/>
          </w:divBdr>
        </w:div>
        <w:div w:id="294143029">
          <w:marLeft w:val="0"/>
          <w:marRight w:val="0"/>
          <w:marTop w:val="0"/>
          <w:marBottom w:val="0"/>
          <w:divBdr>
            <w:top w:val="none" w:sz="0" w:space="0" w:color="auto"/>
            <w:left w:val="none" w:sz="0" w:space="0" w:color="auto"/>
            <w:bottom w:val="none" w:sz="0" w:space="0" w:color="auto"/>
            <w:right w:val="none" w:sz="0" w:space="0" w:color="auto"/>
          </w:divBdr>
        </w:div>
        <w:div w:id="294143166">
          <w:marLeft w:val="0"/>
          <w:marRight w:val="0"/>
          <w:marTop w:val="0"/>
          <w:marBottom w:val="0"/>
          <w:divBdr>
            <w:top w:val="none" w:sz="0" w:space="0" w:color="auto"/>
            <w:left w:val="none" w:sz="0" w:space="0" w:color="auto"/>
            <w:bottom w:val="none" w:sz="0" w:space="0" w:color="auto"/>
            <w:right w:val="none" w:sz="0" w:space="0" w:color="auto"/>
          </w:divBdr>
        </w:div>
        <w:div w:id="294143422">
          <w:marLeft w:val="0"/>
          <w:marRight w:val="0"/>
          <w:marTop w:val="0"/>
          <w:marBottom w:val="0"/>
          <w:divBdr>
            <w:top w:val="none" w:sz="0" w:space="0" w:color="auto"/>
            <w:left w:val="none" w:sz="0" w:space="0" w:color="auto"/>
            <w:bottom w:val="none" w:sz="0" w:space="0" w:color="auto"/>
            <w:right w:val="none" w:sz="0" w:space="0" w:color="auto"/>
          </w:divBdr>
        </w:div>
        <w:div w:id="294143811">
          <w:marLeft w:val="0"/>
          <w:marRight w:val="0"/>
          <w:marTop w:val="0"/>
          <w:marBottom w:val="0"/>
          <w:divBdr>
            <w:top w:val="none" w:sz="0" w:space="0" w:color="auto"/>
            <w:left w:val="none" w:sz="0" w:space="0" w:color="auto"/>
            <w:bottom w:val="none" w:sz="0" w:space="0" w:color="auto"/>
            <w:right w:val="none" w:sz="0" w:space="0" w:color="auto"/>
          </w:divBdr>
        </w:div>
        <w:div w:id="294143884">
          <w:marLeft w:val="0"/>
          <w:marRight w:val="0"/>
          <w:marTop w:val="0"/>
          <w:marBottom w:val="0"/>
          <w:divBdr>
            <w:top w:val="none" w:sz="0" w:space="0" w:color="auto"/>
            <w:left w:val="none" w:sz="0" w:space="0" w:color="auto"/>
            <w:bottom w:val="none" w:sz="0" w:space="0" w:color="auto"/>
            <w:right w:val="none" w:sz="0" w:space="0" w:color="auto"/>
          </w:divBdr>
        </w:div>
        <w:div w:id="294144109">
          <w:marLeft w:val="0"/>
          <w:marRight w:val="0"/>
          <w:marTop w:val="0"/>
          <w:marBottom w:val="0"/>
          <w:divBdr>
            <w:top w:val="none" w:sz="0" w:space="0" w:color="auto"/>
            <w:left w:val="none" w:sz="0" w:space="0" w:color="auto"/>
            <w:bottom w:val="none" w:sz="0" w:space="0" w:color="auto"/>
            <w:right w:val="none" w:sz="0" w:space="0" w:color="auto"/>
          </w:divBdr>
        </w:div>
        <w:div w:id="294144508">
          <w:marLeft w:val="0"/>
          <w:marRight w:val="0"/>
          <w:marTop w:val="0"/>
          <w:marBottom w:val="0"/>
          <w:divBdr>
            <w:top w:val="none" w:sz="0" w:space="0" w:color="auto"/>
            <w:left w:val="none" w:sz="0" w:space="0" w:color="auto"/>
            <w:bottom w:val="none" w:sz="0" w:space="0" w:color="auto"/>
            <w:right w:val="none" w:sz="0" w:space="0" w:color="auto"/>
          </w:divBdr>
        </w:div>
        <w:div w:id="294144624">
          <w:marLeft w:val="0"/>
          <w:marRight w:val="0"/>
          <w:marTop w:val="0"/>
          <w:marBottom w:val="0"/>
          <w:divBdr>
            <w:top w:val="none" w:sz="0" w:space="0" w:color="auto"/>
            <w:left w:val="none" w:sz="0" w:space="0" w:color="auto"/>
            <w:bottom w:val="none" w:sz="0" w:space="0" w:color="auto"/>
            <w:right w:val="none" w:sz="0" w:space="0" w:color="auto"/>
          </w:divBdr>
        </w:div>
        <w:div w:id="294145037">
          <w:marLeft w:val="0"/>
          <w:marRight w:val="0"/>
          <w:marTop w:val="0"/>
          <w:marBottom w:val="0"/>
          <w:divBdr>
            <w:top w:val="none" w:sz="0" w:space="0" w:color="auto"/>
            <w:left w:val="none" w:sz="0" w:space="0" w:color="auto"/>
            <w:bottom w:val="none" w:sz="0" w:space="0" w:color="auto"/>
            <w:right w:val="none" w:sz="0" w:space="0" w:color="auto"/>
          </w:divBdr>
        </w:div>
        <w:div w:id="294145182">
          <w:marLeft w:val="0"/>
          <w:marRight w:val="0"/>
          <w:marTop w:val="0"/>
          <w:marBottom w:val="0"/>
          <w:divBdr>
            <w:top w:val="none" w:sz="0" w:space="0" w:color="auto"/>
            <w:left w:val="none" w:sz="0" w:space="0" w:color="auto"/>
            <w:bottom w:val="none" w:sz="0" w:space="0" w:color="auto"/>
            <w:right w:val="none" w:sz="0" w:space="0" w:color="auto"/>
          </w:divBdr>
        </w:div>
        <w:div w:id="294145228">
          <w:marLeft w:val="0"/>
          <w:marRight w:val="0"/>
          <w:marTop w:val="0"/>
          <w:marBottom w:val="0"/>
          <w:divBdr>
            <w:top w:val="none" w:sz="0" w:space="0" w:color="auto"/>
            <w:left w:val="none" w:sz="0" w:space="0" w:color="auto"/>
            <w:bottom w:val="none" w:sz="0" w:space="0" w:color="auto"/>
            <w:right w:val="none" w:sz="0" w:space="0" w:color="auto"/>
          </w:divBdr>
        </w:div>
        <w:div w:id="294145388">
          <w:marLeft w:val="0"/>
          <w:marRight w:val="0"/>
          <w:marTop w:val="0"/>
          <w:marBottom w:val="0"/>
          <w:divBdr>
            <w:top w:val="none" w:sz="0" w:space="0" w:color="auto"/>
            <w:left w:val="none" w:sz="0" w:space="0" w:color="auto"/>
            <w:bottom w:val="none" w:sz="0" w:space="0" w:color="auto"/>
            <w:right w:val="none" w:sz="0" w:space="0" w:color="auto"/>
          </w:divBdr>
        </w:div>
        <w:div w:id="294145498">
          <w:marLeft w:val="0"/>
          <w:marRight w:val="0"/>
          <w:marTop w:val="0"/>
          <w:marBottom w:val="0"/>
          <w:divBdr>
            <w:top w:val="none" w:sz="0" w:space="0" w:color="auto"/>
            <w:left w:val="none" w:sz="0" w:space="0" w:color="auto"/>
            <w:bottom w:val="none" w:sz="0" w:space="0" w:color="auto"/>
            <w:right w:val="none" w:sz="0" w:space="0" w:color="auto"/>
          </w:divBdr>
        </w:div>
        <w:div w:id="294145715">
          <w:marLeft w:val="0"/>
          <w:marRight w:val="0"/>
          <w:marTop w:val="0"/>
          <w:marBottom w:val="0"/>
          <w:divBdr>
            <w:top w:val="none" w:sz="0" w:space="0" w:color="auto"/>
            <w:left w:val="none" w:sz="0" w:space="0" w:color="auto"/>
            <w:bottom w:val="none" w:sz="0" w:space="0" w:color="auto"/>
            <w:right w:val="none" w:sz="0" w:space="0" w:color="auto"/>
          </w:divBdr>
        </w:div>
        <w:div w:id="294145956">
          <w:marLeft w:val="0"/>
          <w:marRight w:val="0"/>
          <w:marTop w:val="0"/>
          <w:marBottom w:val="0"/>
          <w:divBdr>
            <w:top w:val="none" w:sz="0" w:space="0" w:color="auto"/>
            <w:left w:val="none" w:sz="0" w:space="0" w:color="auto"/>
            <w:bottom w:val="none" w:sz="0" w:space="0" w:color="auto"/>
            <w:right w:val="none" w:sz="0" w:space="0" w:color="auto"/>
          </w:divBdr>
        </w:div>
        <w:div w:id="294145988">
          <w:marLeft w:val="0"/>
          <w:marRight w:val="0"/>
          <w:marTop w:val="0"/>
          <w:marBottom w:val="0"/>
          <w:divBdr>
            <w:top w:val="none" w:sz="0" w:space="0" w:color="auto"/>
            <w:left w:val="none" w:sz="0" w:space="0" w:color="auto"/>
            <w:bottom w:val="none" w:sz="0" w:space="0" w:color="auto"/>
            <w:right w:val="none" w:sz="0" w:space="0" w:color="auto"/>
          </w:divBdr>
        </w:div>
        <w:div w:id="294146290">
          <w:marLeft w:val="0"/>
          <w:marRight w:val="0"/>
          <w:marTop w:val="0"/>
          <w:marBottom w:val="0"/>
          <w:divBdr>
            <w:top w:val="none" w:sz="0" w:space="0" w:color="auto"/>
            <w:left w:val="none" w:sz="0" w:space="0" w:color="auto"/>
            <w:bottom w:val="none" w:sz="0" w:space="0" w:color="auto"/>
            <w:right w:val="none" w:sz="0" w:space="0" w:color="auto"/>
          </w:divBdr>
        </w:div>
        <w:div w:id="294146349">
          <w:marLeft w:val="0"/>
          <w:marRight w:val="0"/>
          <w:marTop w:val="0"/>
          <w:marBottom w:val="0"/>
          <w:divBdr>
            <w:top w:val="none" w:sz="0" w:space="0" w:color="auto"/>
            <w:left w:val="none" w:sz="0" w:space="0" w:color="auto"/>
            <w:bottom w:val="none" w:sz="0" w:space="0" w:color="auto"/>
            <w:right w:val="none" w:sz="0" w:space="0" w:color="auto"/>
          </w:divBdr>
        </w:div>
        <w:div w:id="294146423">
          <w:marLeft w:val="0"/>
          <w:marRight w:val="0"/>
          <w:marTop w:val="0"/>
          <w:marBottom w:val="0"/>
          <w:divBdr>
            <w:top w:val="none" w:sz="0" w:space="0" w:color="auto"/>
            <w:left w:val="none" w:sz="0" w:space="0" w:color="auto"/>
            <w:bottom w:val="none" w:sz="0" w:space="0" w:color="auto"/>
            <w:right w:val="none" w:sz="0" w:space="0" w:color="auto"/>
          </w:divBdr>
        </w:div>
        <w:div w:id="294146426">
          <w:marLeft w:val="0"/>
          <w:marRight w:val="0"/>
          <w:marTop w:val="0"/>
          <w:marBottom w:val="0"/>
          <w:divBdr>
            <w:top w:val="none" w:sz="0" w:space="0" w:color="auto"/>
            <w:left w:val="none" w:sz="0" w:space="0" w:color="auto"/>
            <w:bottom w:val="none" w:sz="0" w:space="0" w:color="auto"/>
            <w:right w:val="none" w:sz="0" w:space="0" w:color="auto"/>
          </w:divBdr>
        </w:div>
        <w:div w:id="294146498">
          <w:marLeft w:val="0"/>
          <w:marRight w:val="0"/>
          <w:marTop w:val="0"/>
          <w:marBottom w:val="0"/>
          <w:divBdr>
            <w:top w:val="none" w:sz="0" w:space="0" w:color="auto"/>
            <w:left w:val="none" w:sz="0" w:space="0" w:color="auto"/>
            <w:bottom w:val="none" w:sz="0" w:space="0" w:color="auto"/>
            <w:right w:val="none" w:sz="0" w:space="0" w:color="auto"/>
          </w:divBdr>
        </w:div>
        <w:div w:id="294146708">
          <w:marLeft w:val="0"/>
          <w:marRight w:val="0"/>
          <w:marTop w:val="0"/>
          <w:marBottom w:val="0"/>
          <w:divBdr>
            <w:top w:val="none" w:sz="0" w:space="0" w:color="auto"/>
            <w:left w:val="none" w:sz="0" w:space="0" w:color="auto"/>
            <w:bottom w:val="none" w:sz="0" w:space="0" w:color="auto"/>
            <w:right w:val="none" w:sz="0" w:space="0" w:color="auto"/>
          </w:divBdr>
        </w:div>
        <w:div w:id="294146726">
          <w:marLeft w:val="0"/>
          <w:marRight w:val="0"/>
          <w:marTop w:val="0"/>
          <w:marBottom w:val="0"/>
          <w:divBdr>
            <w:top w:val="none" w:sz="0" w:space="0" w:color="auto"/>
            <w:left w:val="none" w:sz="0" w:space="0" w:color="auto"/>
            <w:bottom w:val="none" w:sz="0" w:space="0" w:color="auto"/>
            <w:right w:val="none" w:sz="0" w:space="0" w:color="auto"/>
          </w:divBdr>
        </w:div>
        <w:div w:id="294146728">
          <w:marLeft w:val="0"/>
          <w:marRight w:val="0"/>
          <w:marTop w:val="0"/>
          <w:marBottom w:val="0"/>
          <w:divBdr>
            <w:top w:val="none" w:sz="0" w:space="0" w:color="auto"/>
            <w:left w:val="none" w:sz="0" w:space="0" w:color="auto"/>
            <w:bottom w:val="none" w:sz="0" w:space="0" w:color="auto"/>
            <w:right w:val="none" w:sz="0" w:space="0" w:color="auto"/>
          </w:divBdr>
        </w:div>
        <w:div w:id="294146793">
          <w:marLeft w:val="0"/>
          <w:marRight w:val="0"/>
          <w:marTop w:val="0"/>
          <w:marBottom w:val="0"/>
          <w:divBdr>
            <w:top w:val="none" w:sz="0" w:space="0" w:color="auto"/>
            <w:left w:val="none" w:sz="0" w:space="0" w:color="auto"/>
            <w:bottom w:val="none" w:sz="0" w:space="0" w:color="auto"/>
            <w:right w:val="none" w:sz="0" w:space="0" w:color="auto"/>
          </w:divBdr>
        </w:div>
        <w:div w:id="294147063">
          <w:marLeft w:val="0"/>
          <w:marRight w:val="0"/>
          <w:marTop w:val="0"/>
          <w:marBottom w:val="0"/>
          <w:divBdr>
            <w:top w:val="none" w:sz="0" w:space="0" w:color="auto"/>
            <w:left w:val="none" w:sz="0" w:space="0" w:color="auto"/>
            <w:bottom w:val="none" w:sz="0" w:space="0" w:color="auto"/>
            <w:right w:val="none" w:sz="0" w:space="0" w:color="auto"/>
          </w:divBdr>
        </w:div>
        <w:div w:id="294147085">
          <w:marLeft w:val="0"/>
          <w:marRight w:val="0"/>
          <w:marTop w:val="0"/>
          <w:marBottom w:val="0"/>
          <w:divBdr>
            <w:top w:val="none" w:sz="0" w:space="0" w:color="auto"/>
            <w:left w:val="none" w:sz="0" w:space="0" w:color="auto"/>
            <w:bottom w:val="none" w:sz="0" w:space="0" w:color="auto"/>
            <w:right w:val="none" w:sz="0" w:space="0" w:color="auto"/>
          </w:divBdr>
        </w:div>
        <w:div w:id="294147170">
          <w:marLeft w:val="0"/>
          <w:marRight w:val="0"/>
          <w:marTop w:val="0"/>
          <w:marBottom w:val="0"/>
          <w:divBdr>
            <w:top w:val="none" w:sz="0" w:space="0" w:color="auto"/>
            <w:left w:val="none" w:sz="0" w:space="0" w:color="auto"/>
            <w:bottom w:val="none" w:sz="0" w:space="0" w:color="auto"/>
            <w:right w:val="none" w:sz="0" w:space="0" w:color="auto"/>
          </w:divBdr>
        </w:div>
        <w:div w:id="294147256">
          <w:marLeft w:val="0"/>
          <w:marRight w:val="0"/>
          <w:marTop w:val="0"/>
          <w:marBottom w:val="0"/>
          <w:divBdr>
            <w:top w:val="none" w:sz="0" w:space="0" w:color="auto"/>
            <w:left w:val="none" w:sz="0" w:space="0" w:color="auto"/>
            <w:bottom w:val="none" w:sz="0" w:space="0" w:color="auto"/>
            <w:right w:val="none" w:sz="0" w:space="0" w:color="auto"/>
          </w:divBdr>
        </w:div>
        <w:div w:id="294147337">
          <w:marLeft w:val="0"/>
          <w:marRight w:val="0"/>
          <w:marTop w:val="0"/>
          <w:marBottom w:val="0"/>
          <w:divBdr>
            <w:top w:val="none" w:sz="0" w:space="0" w:color="auto"/>
            <w:left w:val="none" w:sz="0" w:space="0" w:color="auto"/>
            <w:bottom w:val="none" w:sz="0" w:space="0" w:color="auto"/>
            <w:right w:val="none" w:sz="0" w:space="0" w:color="auto"/>
          </w:divBdr>
        </w:div>
        <w:div w:id="294147354">
          <w:marLeft w:val="0"/>
          <w:marRight w:val="0"/>
          <w:marTop w:val="0"/>
          <w:marBottom w:val="0"/>
          <w:divBdr>
            <w:top w:val="none" w:sz="0" w:space="0" w:color="auto"/>
            <w:left w:val="none" w:sz="0" w:space="0" w:color="auto"/>
            <w:bottom w:val="none" w:sz="0" w:space="0" w:color="auto"/>
            <w:right w:val="none" w:sz="0" w:space="0" w:color="auto"/>
          </w:divBdr>
        </w:div>
        <w:div w:id="294147377">
          <w:marLeft w:val="0"/>
          <w:marRight w:val="0"/>
          <w:marTop w:val="0"/>
          <w:marBottom w:val="0"/>
          <w:divBdr>
            <w:top w:val="none" w:sz="0" w:space="0" w:color="auto"/>
            <w:left w:val="none" w:sz="0" w:space="0" w:color="auto"/>
            <w:bottom w:val="none" w:sz="0" w:space="0" w:color="auto"/>
            <w:right w:val="none" w:sz="0" w:space="0" w:color="auto"/>
          </w:divBdr>
        </w:div>
        <w:div w:id="294147393">
          <w:marLeft w:val="0"/>
          <w:marRight w:val="0"/>
          <w:marTop w:val="0"/>
          <w:marBottom w:val="0"/>
          <w:divBdr>
            <w:top w:val="none" w:sz="0" w:space="0" w:color="auto"/>
            <w:left w:val="none" w:sz="0" w:space="0" w:color="auto"/>
            <w:bottom w:val="none" w:sz="0" w:space="0" w:color="auto"/>
            <w:right w:val="none" w:sz="0" w:space="0" w:color="auto"/>
          </w:divBdr>
        </w:div>
        <w:div w:id="294147418">
          <w:marLeft w:val="0"/>
          <w:marRight w:val="0"/>
          <w:marTop w:val="0"/>
          <w:marBottom w:val="0"/>
          <w:divBdr>
            <w:top w:val="none" w:sz="0" w:space="0" w:color="auto"/>
            <w:left w:val="none" w:sz="0" w:space="0" w:color="auto"/>
            <w:bottom w:val="none" w:sz="0" w:space="0" w:color="auto"/>
            <w:right w:val="none" w:sz="0" w:space="0" w:color="auto"/>
          </w:divBdr>
        </w:div>
        <w:div w:id="294147438">
          <w:marLeft w:val="0"/>
          <w:marRight w:val="0"/>
          <w:marTop w:val="0"/>
          <w:marBottom w:val="0"/>
          <w:divBdr>
            <w:top w:val="none" w:sz="0" w:space="0" w:color="auto"/>
            <w:left w:val="none" w:sz="0" w:space="0" w:color="auto"/>
            <w:bottom w:val="none" w:sz="0" w:space="0" w:color="auto"/>
            <w:right w:val="none" w:sz="0" w:space="0" w:color="auto"/>
          </w:divBdr>
        </w:div>
        <w:div w:id="294147826">
          <w:marLeft w:val="0"/>
          <w:marRight w:val="0"/>
          <w:marTop w:val="0"/>
          <w:marBottom w:val="0"/>
          <w:divBdr>
            <w:top w:val="none" w:sz="0" w:space="0" w:color="auto"/>
            <w:left w:val="none" w:sz="0" w:space="0" w:color="auto"/>
            <w:bottom w:val="none" w:sz="0" w:space="0" w:color="auto"/>
            <w:right w:val="none" w:sz="0" w:space="0" w:color="auto"/>
          </w:divBdr>
        </w:div>
        <w:div w:id="294147921">
          <w:marLeft w:val="0"/>
          <w:marRight w:val="0"/>
          <w:marTop w:val="0"/>
          <w:marBottom w:val="0"/>
          <w:divBdr>
            <w:top w:val="none" w:sz="0" w:space="0" w:color="auto"/>
            <w:left w:val="none" w:sz="0" w:space="0" w:color="auto"/>
            <w:bottom w:val="none" w:sz="0" w:space="0" w:color="auto"/>
            <w:right w:val="none" w:sz="0" w:space="0" w:color="auto"/>
          </w:divBdr>
        </w:div>
        <w:div w:id="294147945">
          <w:marLeft w:val="0"/>
          <w:marRight w:val="0"/>
          <w:marTop w:val="0"/>
          <w:marBottom w:val="0"/>
          <w:divBdr>
            <w:top w:val="none" w:sz="0" w:space="0" w:color="auto"/>
            <w:left w:val="none" w:sz="0" w:space="0" w:color="auto"/>
            <w:bottom w:val="none" w:sz="0" w:space="0" w:color="auto"/>
            <w:right w:val="none" w:sz="0" w:space="0" w:color="auto"/>
          </w:divBdr>
        </w:div>
        <w:div w:id="294148053">
          <w:marLeft w:val="0"/>
          <w:marRight w:val="0"/>
          <w:marTop w:val="0"/>
          <w:marBottom w:val="0"/>
          <w:divBdr>
            <w:top w:val="none" w:sz="0" w:space="0" w:color="auto"/>
            <w:left w:val="none" w:sz="0" w:space="0" w:color="auto"/>
            <w:bottom w:val="none" w:sz="0" w:space="0" w:color="auto"/>
            <w:right w:val="none" w:sz="0" w:space="0" w:color="auto"/>
          </w:divBdr>
        </w:div>
        <w:div w:id="294148354">
          <w:marLeft w:val="0"/>
          <w:marRight w:val="0"/>
          <w:marTop w:val="0"/>
          <w:marBottom w:val="0"/>
          <w:divBdr>
            <w:top w:val="none" w:sz="0" w:space="0" w:color="auto"/>
            <w:left w:val="none" w:sz="0" w:space="0" w:color="auto"/>
            <w:bottom w:val="none" w:sz="0" w:space="0" w:color="auto"/>
            <w:right w:val="none" w:sz="0" w:space="0" w:color="auto"/>
          </w:divBdr>
        </w:div>
        <w:div w:id="294148379">
          <w:marLeft w:val="0"/>
          <w:marRight w:val="0"/>
          <w:marTop w:val="0"/>
          <w:marBottom w:val="0"/>
          <w:divBdr>
            <w:top w:val="none" w:sz="0" w:space="0" w:color="auto"/>
            <w:left w:val="none" w:sz="0" w:space="0" w:color="auto"/>
            <w:bottom w:val="none" w:sz="0" w:space="0" w:color="auto"/>
            <w:right w:val="none" w:sz="0" w:space="0" w:color="auto"/>
          </w:divBdr>
        </w:div>
        <w:div w:id="294148400">
          <w:marLeft w:val="0"/>
          <w:marRight w:val="0"/>
          <w:marTop w:val="0"/>
          <w:marBottom w:val="0"/>
          <w:divBdr>
            <w:top w:val="none" w:sz="0" w:space="0" w:color="auto"/>
            <w:left w:val="none" w:sz="0" w:space="0" w:color="auto"/>
            <w:bottom w:val="none" w:sz="0" w:space="0" w:color="auto"/>
            <w:right w:val="none" w:sz="0" w:space="0" w:color="auto"/>
          </w:divBdr>
        </w:div>
        <w:div w:id="294148409">
          <w:marLeft w:val="0"/>
          <w:marRight w:val="0"/>
          <w:marTop w:val="0"/>
          <w:marBottom w:val="0"/>
          <w:divBdr>
            <w:top w:val="none" w:sz="0" w:space="0" w:color="auto"/>
            <w:left w:val="none" w:sz="0" w:space="0" w:color="auto"/>
            <w:bottom w:val="none" w:sz="0" w:space="0" w:color="auto"/>
            <w:right w:val="none" w:sz="0" w:space="0" w:color="auto"/>
          </w:divBdr>
        </w:div>
        <w:div w:id="294148437">
          <w:marLeft w:val="0"/>
          <w:marRight w:val="0"/>
          <w:marTop w:val="0"/>
          <w:marBottom w:val="0"/>
          <w:divBdr>
            <w:top w:val="none" w:sz="0" w:space="0" w:color="auto"/>
            <w:left w:val="none" w:sz="0" w:space="0" w:color="auto"/>
            <w:bottom w:val="none" w:sz="0" w:space="0" w:color="auto"/>
            <w:right w:val="none" w:sz="0" w:space="0" w:color="auto"/>
          </w:divBdr>
        </w:div>
        <w:div w:id="294148936">
          <w:marLeft w:val="0"/>
          <w:marRight w:val="0"/>
          <w:marTop w:val="0"/>
          <w:marBottom w:val="0"/>
          <w:divBdr>
            <w:top w:val="none" w:sz="0" w:space="0" w:color="auto"/>
            <w:left w:val="none" w:sz="0" w:space="0" w:color="auto"/>
            <w:bottom w:val="none" w:sz="0" w:space="0" w:color="auto"/>
            <w:right w:val="none" w:sz="0" w:space="0" w:color="auto"/>
          </w:divBdr>
        </w:div>
        <w:div w:id="294149434">
          <w:marLeft w:val="0"/>
          <w:marRight w:val="0"/>
          <w:marTop w:val="0"/>
          <w:marBottom w:val="0"/>
          <w:divBdr>
            <w:top w:val="none" w:sz="0" w:space="0" w:color="auto"/>
            <w:left w:val="none" w:sz="0" w:space="0" w:color="auto"/>
            <w:bottom w:val="none" w:sz="0" w:space="0" w:color="auto"/>
            <w:right w:val="none" w:sz="0" w:space="0" w:color="auto"/>
          </w:divBdr>
        </w:div>
        <w:div w:id="294149454">
          <w:marLeft w:val="0"/>
          <w:marRight w:val="0"/>
          <w:marTop w:val="0"/>
          <w:marBottom w:val="0"/>
          <w:divBdr>
            <w:top w:val="none" w:sz="0" w:space="0" w:color="auto"/>
            <w:left w:val="none" w:sz="0" w:space="0" w:color="auto"/>
            <w:bottom w:val="none" w:sz="0" w:space="0" w:color="auto"/>
            <w:right w:val="none" w:sz="0" w:space="0" w:color="auto"/>
          </w:divBdr>
        </w:div>
        <w:div w:id="294150100">
          <w:marLeft w:val="0"/>
          <w:marRight w:val="0"/>
          <w:marTop w:val="0"/>
          <w:marBottom w:val="0"/>
          <w:divBdr>
            <w:top w:val="none" w:sz="0" w:space="0" w:color="auto"/>
            <w:left w:val="none" w:sz="0" w:space="0" w:color="auto"/>
            <w:bottom w:val="none" w:sz="0" w:space="0" w:color="auto"/>
            <w:right w:val="none" w:sz="0" w:space="0" w:color="auto"/>
          </w:divBdr>
        </w:div>
        <w:div w:id="294150151">
          <w:marLeft w:val="0"/>
          <w:marRight w:val="0"/>
          <w:marTop w:val="0"/>
          <w:marBottom w:val="0"/>
          <w:divBdr>
            <w:top w:val="none" w:sz="0" w:space="0" w:color="auto"/>
            <w:left w:val="none" w:sz="0" w:space="0" w:color="auto"/>
            <w:bottom w:val="none" w:sz="0" w:space="0" w:color="auto"/>
            <w:right w:val="none" w:sz="0" w:space="0" w:color="auto"/>
          </w:divBdr>
        </w:div>
        <w:div w:id="294150381">
          <w:marLeft w:val="0"/>
          <w:marRight w:val="0"/>
          <w:marTop w:val="0"/>
          <w:marBottom w:val="0"/>
          <w:divBdr>
            <w:top w:val="none" w:sz="0" w:space="0" w:color="auto"/>
            <w:left w:val="none" w:sz="0" w:space="0" w:color="auto"/>
            <w:bottom w:val="none" w:sz="0" w:space="0" w:color="auto"/>
            <w:right w:val="none" w:sz="0" w:space="0" w:color="auto"/>
          </w:divBdr>
        </w:div>
        <w:div w:id="294150593">
          <w:marLeft w:val="0"/>
          <w:marRight w:val="0"/>
          <w:marTop w:val="0"/>
          <w:marBottom w:val="0"/>
          <w:divBdr>
            <w:top w:val="none" w:sz="0" w:space="0" w:color="auto"/>
            <w:left w:val="none" w:sz="0" w:space="0" w:color="auto"/>
            <w:bottom w:val="none" w:sz="0" w:space="0" w:color="auto"/>
            <w:right w:val="none" w:sz="0" w:space="0" w:color="auto"/>
          </w:divBdr>
        </w:div>
        <w:div w:id="294150652">
          <w:marLeft w:val="0"/>
          <w:marRight w:val="0"/>
          <w:marTop w:val="0"/>
          <w:marBottom w:val="0"/>
          <w:divBdr>
            <w:top w:val="none" w:sz="0" w:space="0" w:color="auto"/>
            <w:left w:val="none" w:sz="0" w:space="0" w:color="auto"/>
            <w:bottom w:val="none" w:sz="0" w:space="0" w:color="auto"/>
            <w:right w:val="none" w:sz="0" w:space="0" w:color="auto"/>
          </w:divBdr>
        </w:div>
        <w:div w:id="294150677">
          <w:marLeft w:val="0"/>
          <w:marRight w:val="0"/>
          <w:marTop w:val="0"/>
          <w:marBottom w:val="0"/>
          <w:divBdr>
            <w:top w:val="none" w:sz="0" w:space="0" w:color="auto"/>
            <w:left w:val="none" w:sz="0" w:space="0" w:color="auto"/>
            <w:bottom w:val="none" w:sz="0" w:space="0" w:color="auto"/>
            <w:right w:val="none" w:sz="0" w:space="0" w:color="auto"/>
          </w:divBdr>
        </w:div>
        <w:div w:id="294150850">
          <w:marLeft w:val="0"/>
          <w:marRight w:val="0"/>
          <w:marTop w:val="0"/>
          <w:marBottom w:val="0"/>
          <w:divBdr>
            <w:top w:val="none" w:sz="0" w:space="0" w:color="auto"/>
            <w:left w:val="none" w:sz="0" w:space="0" w:color="auto"/>
            <w:bottom w:val="none" w:sz="0" w:space="0" w:color="auto"/>
            <w:right w:val="none" w:sz="0" w:space="0" w:color="auto"/>
          </w:divBdr>
        </w:div>
        <w:div w:id="294150933">
          <w:marLeft w:val="0"/>
          <w:marRight w:val="0"/>
          <w:marTop w:val="0"/>
          <w:marBottom w:val="0"/>
          <w:divBdr>
            <w:top w:val="none" w:sz="0" w:space="0" w:color="auto"/>
            <w:left w:val="none" w:sz="0" w:space="0" w:color="auto"/>
            <w:bottom w:val="none" w:sz="0" w:space="0" w:color="auto"/>
            <w:right w:val="none" w:sz="0" w:space="0" w:color="auto"/>
          </w:divBdr>
        </w:div>
        <w:div w:id="294151007">
          <w:marLeft w:val="0"/>
          <w:marRight w:val="0"/>
          <w:marTop w:val="0"/>
          <w:marBottom w:val="0"/>
          <w:divBdr>
            <w:top w:val="none" w:sz="0" w:space="0" w:color="auto"/>
            <w:left w:val="none" w:sz="0" w:space="0" w:color="auto"/>
            <w:bottom w:val="none" w:sz="0" w:space="0" w:color="auto"/>
            <w:right w:val="none" w:sz="0" w:space="0" w:color="auto"/>
          </w:divBdr>
        </w:div>
        <w:div w:id="294151083">
          <w:marLeft w:val="0"/>
          <w:marRight w:val="0"/>
          <w:marTop w:val="0"/>
          <w:marBottom w:val="0"/>
          <w:divBdr>
            <w:top w:val="none" w:sz="0" w:space="0" w:color="auto"/>
            <w:left w:val="none" w:sz="0" w:space="0" w:color="auto"/>
            <w:bottom w:val="none" w:sz="0" w:space="0" w:color="auto"/>
            <w:right w:val="none" w:sz="0" w:space="0" w:color="auto"/>
          </w:divBdr>
        </w:div>
        <w:div w:id="294151305">
          <w:marLeft w:val="0"/>
          <w:marRight w:val="0"/>
          <w:marTop w:val="0"/>
          <w:marBottom w:val="0"/>
          <w:divBdr>
            <w:top w:val="none" w:sz="0" w:space="0" w:color="auto"/>
            <w:left w:val="none" w:sz="0" w:space="0" w:color="auto"/>
            <w:bottom w:val="none" w:sz="0" w:space="0" w:color="auto"/>
            <w:right w:val="none" w:sz="0" w:space="0" w:color="auto"/>
          </w:divBdr>
        </w:div>
        <w:div w:id="294151621">
          <w:marLeft w:val="0"/>
          <w:marRight w:val="0"/>
          <w:marTop w:val="0"/>
          <w:marBottom w:val="0"/>
          <w:divBdr>
            <w:top w:val="none" w:sz="0" w:space="0" w:color="auto"/>
            <w:left w:val="none" w:sz="0" w:space="0" w:color="auto"/>
            <w:bottom w:val="none" w:sz="0" w:space="0" w:color="auto"/>
            <w:right w:val="none" w:sz="0" w:space="0" w:color="auto"/>
          </w:divBdr>
        </w:div>
        <w:div w:id="294151773">
          <w:marLeft w:val="0"/>
          <w:marRight w:val="0"/>
          <w:marTop w:val="0"/>
          <w:marBottom w:val="0"/>
          <w:divBdr>
            <w:top w:val="none" w:sz="0" w:space="0" w:color="auto"/>
            <w:left w:val="none" w:sz="0" w:space="0" w:color="auto"/>
            <w:bottom w:val="none" w:sz="0" w:space="0" w:color="auto"/>
            <w:right w:val="none" w:sz="0" w:space="0" w:color="auto"/>
          </w:divBdr>
        </w:div>
        <w:div w:id="294152170">
          <w:marLeft w:val="0"/>
          <w:marRight w:val="0"/>
          <w:marTop w:val="0"/>
          <w:marBottom w:val="0"/>
          <w:divBdr>
            <w:top w:val="none" w:sz="0" w:space="0" w:color="auto"/>
            <w:left w:val="none" w:sz="0" w:space="0" w:color="auto"/>
            <w:bottom w:val="none" w:sz="0" w:space="0" w:color="auto"/>
            <w:right w:val="none" w:sz="0" w:space="0" w:color="auto"/>
          </w:divBdr>
        </w:div>
        <w:div w:id="294152423">
          <w:marLeft w:val="0"/>
          <w:marRight w:val="0"/>
          <w:marTop w:val="0"/>
          <w:marBottom w:val="0"/>
          <w:divBdr>
            <w:top w:val="none" w:sz="0" w:space="0" w:color="auto"/>
            <w:left w:val="none" w:sz="0" w:space="0" w:color="auto"/>
            <w:bottom w:val="none" w:sz="0" w:space="0" w:color="auto"/>
            <w:right w:val="none" w:sz="0" w:space="0" w:color="auto"/>
          </w:divBdr>
        </w:div>
        <w:div w:id="294152425">
          <w:marLeft w:val="0"/>
          <w:marRight w:val="0"/>
          <w:marTop w:val="0"/>
          <w:marBottom w:val="0"/>
          <w:divBdr>
            <w:top w:val="none" w:sz="0" w:space="0" w:color="auto"/>
            <w:left w:val="none" w:sz="0" w:space="0" w:color="auto"/>
            <w:bottom w:val="none" w:sz="0" w:space="0" w:color="auto"/>
            <w:right w:val="none" w:sz="0" w:space="0" w:color="auto"/>
          </w:divBdr>
        </w:div>
        <w:div w:id="294152697">
          <w:marLeft w:val="0"/>
          <w:marRight w:val="0"/>
          <w:marTop w:val="0"/>
          <w:marBottom w:val="0"/>
          <w:divBdr>
            <w:top w:val="none" w:sz="0" w:space="0" w:color="auto"/>
            <w:left w:val="none" w:sz="0" w:space="0" w:color="auto"/>
            <w:bottom w:val="none" w:sz="0" w:space="0" w:color="auto"/>
            <w:right w:val="none" w:sz="0" w:space="0" w:color="auto"/>
          </w:divBdr>
        </w:div>
        <w:div w:id="294152971">
          <w:marLeft w:val="0"/>
          <w:marRight w:val="0"/>
          <w:marTop w:val="0"/>
          <w:marBottom w:val="0"/>
          <w:divBdr>
            <w:top w:val="none" w:sz="0" w:space="0" w:color="auto"/>
            <w:left w:val="none" w:sz="0" w:space="0" w:color="auto"/>
            <w:bottom w:val="none" w:sz="0" w:space="0" w:color="auto"/>
            <w:right w:val="none" w:sz="0" w:space="0" w:color="auto"/>
          </w:divBdr>
        </w:div>
        <w:div w:id="294153292">
          <w:marLeft w:val="0"/>
          <w:marRight w:val="0"/>
          <w:marTop w:val="0"/>
          <w:marBottom w:val="0"/>
          <w:divBdr>
            <w:top w:val="none" w:sz="0" w:space="0" w:color="auto"/>
            <w:left w:val="none" w:sz="0" w:space="0" w:color="auto"/>
            <w:bottom w:val="none" w:sz="0" w:space="0" w:color="auto"/>
            <w:right w:val="none" w:sz="0" w:space="0" w:color="auto"/>
          </w:divBdr>
        </w:div>
        <w:div w:id="294153401">
          <w:marLeft w:val="0"/>
          <w:marRight w:val="0"/>
          <w:marTop w:val="0"/>
          <w:marBottom w:val="0"/>
          <w:divBdr>
            <w:top w:val="none" w:sz="0" w:space="0" w:color="auto"/>
            <w:left w:val="none" w:sz="0" w:space="0" w:color="auto"/>
            <w:bottom w:val="none" w:sz="0" w:space="0" w:color="auto"/>
            <w:right w:val="none" w:sz="0" w:space="0" w:color="auto"/>
          </w:divBdr>
        </w:div>
        <w:div w:id="294153673">
          <w:marLeft w:val="0"/>
          <w:marRight w:val="0"/>
          <w:marTop w:val="0"/>
          <w:marBottom w:val="0"/>
          <w:divBdr>
            <w:top w:val="none" w:sz="0" w:space="0" w:color="auto"/>
            <w:left w:val="none" w:sz="0" w:space="0" w:color="auto"/>
            <w:bottom w:val="none" w:sz="0" w:space="0" w:color="auto"/>
            <w:right w:val="none" w:sz="0" w:space="0" w:color="auto"/>
          </w:divBdr>
        </w:div>
        <w:div w:id="294153875">
          <w:marLeft w:val="0"/>
          <w:marRight w:val="0"/>
          <w:marTop w:val="0"/>
          <w:marBottom w:val="0"/>
          <w:divBdr>
            <w:top w:val="none" w:sz="0" w:space="0" w:color="auto"/>
            <w:left w:val="none" w:sz="0" w:space="0" w:color="auto"/>
            <w:bottom w:val="none" w:sz="0" w:space="0" w:color="auto"/>
            <w:right w:val="none" w:sz="0" w:space="0" w:color="auto"/>
          </w:divBdr>
        </w:div>
        <w:div w:id="294153885">
          <w:marLeft w:val="0"/>
          <w:marRight w:val="0"/>
          <w:marTop w:val="0"/>
          <w:marBottom w:val="0"/>
          <w:divBdr>
            <w:top w:val="none" w:sz="0" w:space="0" w:color="auto"/>
            <w:left w:val="none" w:sz="0" w:space="0" w:color="auto"/>
            <w:bottom w:val="none" w:sz="0" w:space="0" w:color="auto"/>
            <w:right w:val="none" w:sz="0" w:space="0" w:color="auto"/>
          </w:divBdr>
        </w:div>
        <w:div w:id="294154300">
          <w:marLeft w:val="0"/>
          <w:marRight w:val="0"/>
          <w:marTop w:val="0"/>
          <w:marBottom w:val="0"/>
          <w:divBdr>
            <w:top w:val="none" w:sz="0" w:space="0" w:color="auto"/>
            <w:left w:val="none" w:sz="0" w:space="0" w:color="auto"/>
            <w:bottom w:val="none" w:sz="0" w:space="0" w:color="auto"/>
            <w:right w:val="none" w:sz="0" w:space="0" w:color="auto"/>
          </w:divBdr>
        </w:div>
        <w:div w:id="294154791">
          <w:marLeft w:val="0"/>
          <w:marRight w:val="0"/>
          <w:marTop w:val="0"/>
          <w:marBottom w:val="0"/>
          <w:divBdr>
            <w:top w:val="none" w:sz="0" w:space="0" w:color="auto"/>
            <w:left w:val="none" w:sz="0" w:space="0" w:color="auto"/>
            <w:bottom w:val="none" w:sz="0" w:space="0" w:color="auto"/>
            <w:right w:val="none" w:sz="0" w:space="0" w:color="auto"/>
          </w:divBdr>
        </w:div>
        <w:div w:id="294154813">
          <w:marLeft w:val="0"/>
          <w:marRight w:val="0"/>
          <w:marTop w:val="0"/>
          <w:marBottom w:val="0"/>
          <w:divBdr>
            <w:top w:val="none" w:sz="0" w:space="0" w:color="auto"/>
            <w:left w:val="none" w:sz="0" w:space="0" w:color="auto"/>
            <w:bottom w:val="none" w:sz="0" w:space="0" w:color="auto"/>
            <w:right w:val="none" w:sz="0" w:space="0" w:color="auto"/>
          </w:divBdr>
        </w:div>
        <w:div w:id="294154987">
          <w:marLeft w:val="0"/>
          <w:marRight w:val="0"/>
          <w:marTop w:val="0"/>
          <w:marBottom w:val="0"/>
          <w:divBdr>
            <w:top w:val="none" w:sz="0" w:space="0" w:color="auto"/>
            <w:left w:val="none" w:sz="0" w:space="0" w:color="auto"/>
            <w:bottom w:val="none" w:sz="0" w:space="0" w:color="auto"/>
            <w:right w:val="none" w:sz="0" w:space="0" w:color="auto"/>
          </w:divBdr>
        </w:div>
        <w:div w:id="294155361">
          <w:marLeft w:val="0"/>
          <w:marRight w:val="0"/>
          <w:marTop w:val="0"/>
          <w:marBottom w:val="0"/>
          <w:divBdr>
            <w:top w:val="none" w:sz="0" w:space="0" w:color="auto"/>
            <w:left w:val="none" w:sz="0" w:space="0" w:color="auto"/>
            <w:bottom w:val="none" w:sz="0" w:space="0" w:color="auto"/>
            <w:right w:val="none" w:sz="0" w:space="0" w:color="auto"/>
          </w:divBdr>
        </w:div>
        <w:div w:id="294155364">
          <w:marLeft w:val="0"/>
          <w:marRight w:val="0"/>
          <w:marTop w:val="0"/>
          <w:marBottom w:val="0"/>
          <w:divBdr>
            <w:top w:val="none" w:sz="0" w:space="0" w:color="auto"/>
            <w:left w:val="none" w:sz="0" w:space="0" w:color="auto"/>
            <w:bottom w:val="none" w:sz="0" w:space="0" w:color="auto"/>
            <w:right w:val="none" w:sz="0" w:space="0" w:color="auto"/>
          </w:divBdr>
        </w:div>
        <w:div w:id="294155450">
          <w:marLeft w:val="0"/>
          <w:marRight w:val="0"/>
          <w:marTop w:val="0"/>
          <w:marBottom w:val="0"/>
          <w:divBdr>
            <w:top w:val="none" w:sz="0" w:space="0" w:color="auto"/>
            <w:left w:val="none" w:sz="0" w:space="0" w:color="auto"/>
            <w:bottom w:val="none" w:sz="0" w:space="0" w:color="auto"/>
            <w:right w:val="none" w:sz="0" w:space="0" w:color="auto"/>
          </w:divBdr>
        </w:div>
        <w:div w:id="294155832">
          <w:marLeft w:val="0"/>
          <w:marRight w:val="0"/>
          <w:marTop w:val="0"/>
          <w:marBottom w:val="0"/>
          <w:divBdr>
            <w:top w:val="none" w:sz="0" w:space="0" w:color="auto"/>
            <w:left w:val="none" w:sz="0" w:space="0" w:color="auto"/>
            <w:bottom w:val="none" w:sz="0" w:space="0" w:color="auto"/>
            <w:right w:val="none" w:sz="0" w:space="0" w:color="auto"/>
          </w:divBdr>
        </w:div>
        <w:div w:id="294155894">
          <w:marLeft w:val="0"/>
          <w:marRight w:val="0"/>
          <w:marTop w:val="0"/>
          <w:marBottom w:val="0"/>
          <w:divBdr>
            <w:top w:val="none" w:sz="0" w:space="0" w:color="auto"/>
            <w:left w:val="none" w:sz="0" w:space="0" w:color="auto"/>
            <w:bottom w:val="none" w:sz="0" w:space="0" w:color="auto"/>
            <w:right w:val="none" w:sz="0" w:space="0" w:color="auto"/>
          </w:divBdr>
        </w:div>
        <w:div w:id="294155962">
          <w:marLeft w:val="0"/>
          <w:marRight w:val="0"/>
          <w:marTop w:val="0"/>
          <w:marBottom w:val="0"/>
          <w:divBdr>
            <w:top w:val="none" w:sz="0" w:space="0" w:color="auto"/>
            <w:left w:val="none" w:sz="0" w:space="0" w:color="auto"/>
            <w:bottom w:val="none" w:sz="0" w:space="0" w:color="auto"/>
            <w:right w:val="none" w:sz="0" w:space="0" w:color="auto"/>
          </w:divBdr>
        </w:div>
        <w:div w:id="294156001">
          <w:marLeft w:val="0"/>
          <w:marRight w:val="0"/>
          <w:marTop w:val="0"/>
          <w:marBottom w:val="0"/>
          <w:divBdr>
            <w:top w:val="none" w:sz="0" w:space="0" w:color="auto"/>
            <w:left w:val="none" w:sz="0" w:space="0" w:color="auto"/>
            <w:bottom w:val="none" w:sz="0" w:space="0" w:color="auto"/>
            <w:right w:val="none" w:sz="0" w:space="0" w:color="auto"/>
          </w:divBdr>
        </w:div>
        <w:div w:id="294156169">
          <w:marLeft w:val="0"/>
          <w:marRight w:val="0"/>
          <w:marTop w:val="0"/>
          <w:marBottom w:val="0"/>
          <w:divBdr>
            <w:top w:val="none" w:sz="0" w:space="0" w:color="auto"/>
            <w:left w:val="none" w:sz="0" w:space="0" w:color="auto"/>
            <w:bottom w:val="none" w:sz="0" w:space="0" w:color="auto"/>
            <w:right w:val="none" w:sz="0" w:space="0" w:color="auto"/>
          </w:divBdr>
        </w:div>
        <w:div w:id="294156176">
          <w:marLeft w:val="0"/>
          <w:marRight w:val="0"/>
          <w:marTop w:val="0"/>
          <w:marBottom w:val="0"/>
          <w:divBdr>
            <w:top w:val="none" w:sz="0" w:space="0" w:color="auto"/>
            <w:left w:val="none" w:sz="0" w:space="0" w:color="auto"/>
            <w:bottom w:val="none" w:sz="0" w:space="0" w:color="auto"/>
            <w:right w:val="none" w:sz="0" w:space="0" w:color="auto"/>
          </w:divBdr>
        </w:div>
        <w:div w:id="294156299">
          <w:marLeft w:val="0"/>
          <w:marRight w:val="0"/>
          <w:marTop w:val="0"/>
          <w:marBottom w:val="0"/>
          <w:divBdr>
            <w:top w:val="none" w:sz="0" w:space="0" w:color="auto"/>
            <w:left w:val="none" w:sz="0" w:space="0" w:color="auto"/>
            <w:bottom w:val="none" w:sz="0" w:space="0" w:color="auto"/>
            <w:right w:val="none" w:sz="0" w:space="0" w:color="auto"/>
          </w:divBdr>
        </w:div>
        <w:div w:id="294156425">
          <w:marLeft w:val="0"/>
          <w:marRight w:val="0"/>
          <w:marTop w:val="0"/>
          <w:marBottom w:val="0"/>
          <w:divBdr>
            <w:top w:val="none" w:sz="0" w:space="0" w:color="auto"/>
            <w:left w:val="none" w:sz="0" w:space="0" w:color="auto"/>
            <w:bottom w:val="none" w:sz="0" w:space="0" w:color="auto"/>
            <w:right w:val="none" w:sz="0" w:space="0" w:color="auto"/>
          </w:divBdr>
        </w:div>
        <w:div w:id="294156426">
          <w:marLeft w:val="0"/>
          <w:marRight w:val="0"/>
          <w:marTop w:val="0"/>
          <w:marBottom w:val="0"/>
          <w:divBdr>
            <w:top w:val="none" w:sz="0" w:space="0" w:color="auto"/>
            <w:left w:val="none" w:sz="0" w:space="0" w:color="auto"/>
            <w:bottom w:val="none" w:sz="0" w:space="0" w:color="auto"/>
            <w:right w:val="none" w:sz="0" w:space="0" w:color="auto"/>
          </w:divBdr>
        </w:div>
        <w:div w:id="294156737">
          <w:marLeft w:val="0"/>
          <w:marRight w:val="0"/>
          <w:marTop w:val="0"/>
          <w:marBottom w:val="0"/>
          <w:divBdr>
            <w:top w:val="none" w:sz="0" w:space="0" w:color="auto"/>
            <w:left w:val="none" w:sz="0" w:space="0" w:color="auto"/>
            <w:bottom w:val="none" w:sz="0" w:space="0" w:color="auto"/>
            <w:right w:val="none" w:sz="0" w:space="0" w:color="auto"/>
          </w:divBdr>
        </w:div>
        <w:div w:id="294156749">
          <w:marLeft w:val="0"/>
          <w:marRight w:val="0"/>
          <w:marTop w:val="0"/>
          <w:marBottom w:val="0"/>
          <w:divBdr>
            <w:top w:val="none" w:sz="0" w:space="0" w:color="auto"/>
            <w:left w:val="none" w:sz="0" w:space="0" w:color="auto"/>
            <w:bottom w:val="none" w:sz="0" w:space="0" w:color="auto"/>
            <w:right w:val="none" w:sz="0" w:space="0" w:color="auto"/>
          </w:divBdr>
        </w:div>
        <w:div w:id="294156931">
          <w:marLeft w:val="0"/>
          <w:marRight w:val="0"/>
          <w:marTop w:val="0"/>
          <w:marBottom w:val="0"/>
          <w:divBdr>
            <w:top w:val="none" w:sz="0" w:space="0" w:color="auto"/>
            <w:left w:val="none" w:sz="0" w:space="0" w:color="auto"/>
            <w:bottom w:val="none" w:sz="0" w:space="0" w:color="auto"/>
            <w:right w:val="none" w:sz="0" w:space="0" w:color="auto"/>
          </w:divBdr>
        </w:div>
        <w:div w:id="294156961">
          <w:marLeft w:val="0"/>
          <w:marRight w:val="0"/>
          <w:marTop w:val="0"/>
          <w:marBottom w:val="0"/>
          <w:divBdr>
            <w:top w:val="none" w:sz="0" w:space="0" w:color="auto"/>
            <w:left w:val="none" w:sz="0" w:space="0" w:color="auto"/>
            <w:bottom w:val="none" w:sz="0" w:space="0" w:color="auto"/>
            <w:right w:val="none" w:sz="0" w:space="0" w:color="auto"/>
          </w:divBdr>
        </w:div>
        <w:div w:id="294157003">
          <w:marLeft w:val="0"/>
          <w:marRight w:val="0"/>
          <w:marTop w:val="0"/>
          <w:marBottom w:val="0"/>
          <w:divBdr>
            <w:top w:val="none" w:sz="0" w:space="0" w:color="auto"/>
            <w:left w:val="none" w:sz="0" w:space="0" w:color="auto"/>
            <w:bottom w:val="none" w:sz="0" w:space="0" w:color="auto"/>
            <w:right w:val="none" w:sz="0" w:space="0" w:color="auto"/>
          </w:divBdr>
        </w:div>
        <w:div w:id="294157154">
          <w:marLeft w:val="0"/>
          <w:marRight w:val="0"/>
          <w:marTop w:val="0"/>
          <w:marBottom w:val="0"/>
          <w:divBdr>
            <w:top w:val="none" w:sz="0" w:space="0" w:color="auto"/>
            <w:left w:val="none" w:sz="0" w:space="0" w:color="auto"/>
            <w:bottom w:val="none" w:sz="0" w:space="0" w:color="auto"/>
            <w:right w:val="none" w:sz="0" w:space="0" w:color="auto"/>
          </w:divBdr>
        </w:div>
        <w:div w:id="294157193">
          <w:marLeft w:val="0"/>
          <w:marRight w:val="0"/>
          <w:marTop w:val="0"/>
          <w:marBottom w:val="0"/>
          <w:divBdr>
            <w:top w:val="none" w:sz="0" w:space="0" w:color="auto"/>
            <w:left w:val="none" w:sz="0" w:space="0" w:color="auto"/>
            <w:bottom w:val="none" w:sz="0" w:space="0" w:color="auto"/>
            <w:right w:val="none" w:sz="0" w:space="0" w:color="auto"/>
          </w:divBdr>
        </w:div>
        <w:div w:id="294157314">
          <w:marLeft w:val="0"/>
          <w:marRight w:val="0"/>
          <w:marTop w:val="0"/>
          <w:marBottom w:val="0"/>
          <w:divBdr>
            <w:top w:val="none" w:sz="0" w:space="0" w:color="auto"/>
            <w:left w:val="none" w:sz="0" w:space="0" w:color="auto"/>
            <w:bottom w:val="none" w:sz="0" w:space="0" w:color="auto"/>
            <w:right w:val="none" w:sz="0" w:space="0" w:color="auto"/>
          </w:divBdr>
        </w:div>
        <w:div w:id="294157430">
          <w:marLeft w:val="0"/>
          <w:marRight w:val="0"/>
          <w:marTop w:val="0"/>
          <w:marBottom w:val="0"/>
          <w:divBdr>
            <w:top w:val="none" w:sz="0" w:space="0" w:color="auto"/>
            <w:left w:val="none" w:sz="0" w:space="0" w:color="auto"/>
            <w:bottom w:val="none" w:sz="0" w:space="0" w:color="auto"/>
            <w:right w:val="none" w:sz="0" w:space="0" w:color="auto"/>
          </w:divBdr>
        </w:div>
        <w:div w:id="294157459">
          <w:marLeft w:val="0"/>
          <w:marRight w:val="0"/>
          <w:marTop w:val="0"/>
          <w:marBottom w:val="0"/>
          <w:divBdr>
            <w:top w:val="none" w:sz="0" w:space="0" w:color="auto"/>
            <w:left w:val="none" w:sz="0" w:space="0" w:color="auto"/>
            <w:bottom w:val="none" w:sz="0" w:space="0" w:color="auto"/>
            <w:right w:val="none" w:sz="0" w:space="0" w:color="auto"/>
          </w:divBdr>
        </w:div>
      </w:divsChild>
    </w:div>
    <w:div w:id="294149926">
      <w:marLeft w:val="0"/>
      <w:marRight w:val="0"/>
      <w:marTop w:val="0"/>
      <w:marBottom w:val="0"/>
      <w:divBdr>
        <w:top w:val="none" w:sz="0" w:space="0" w:color="auto"/>
        <w:left w:val="none" w:sz="0" w:space="0" w:color="auto"/>
        <w:bottom w:val="none" w:sz="0" w:space="0" w:color="auto"/>
        <w:right w:val="none" w:sz="0" w:space="0" w:color="auto"/>
      </w:divBdr>
    </w:div>
    <w:div w:id="294149929">
      <w:marLeft w:val="0"/>
      <w:marRight w:val="0"/>
      <w:marTop w:val="0"/>
      <w:marBottom w:val="0"/>
      <w:divBdr>
        <w:top w:val="none" w:sz="0" w:space="0" w:color="auto"/>
        <w:left w:val="none" w:sz="0" w:space="0" w:color="auto"/>
        <w:bottom w:val="none" w:sz="0" w:space="0" w:color="auto"/>
        <w:right w:val="none" w:sz="0" w:space="0" w:color="auto"/>
      </w:divBdr>
    </w:div>
    <w:div w:id="294149997">
      <w:marLeft w:val="0"/>
      <w:marRight w:val="0"/>
      <w:marTop w:val="0"/>
      <w:marBottom w:val="0"/>
      <w:divBdr>
        <w:top w:val="none" w:sz="0" w:space="0" w:color="auto"/>
        <w:left w:val="none" w:sz="0" w:space="0" w:color="auto"/>
        <w:bottom w:val="none" w:sz="0" w:space="0" w:color="auto"/>
        <w:right w:val="none" w:sz="0" w:space="0" w:color="auto"/>
      </w:divBdr>
    </w:div>
    <w:div w:id="294150012">
      <w:marLeft w:val="0"/>
      <w:marRight w:val="0"/>
      <w:marTop w:val="0"/>
      <w:marBottom w:val="0"/>
      <w:divBdr>
        <w:top w:val="none" w:sz="0" w:space="0" w:color="auto"/>
        <w:left w:val="none" w:sz="0" w:space="0" w:color="auto"/>
        <w:bottom w:val="none" w:sz="0" w:space="0" w:color="auto"/>
        <w:right w:val="none" w:sz="0" w:space="0" w:color="auto"/>
      </w:divBdr>
    </w:div>
    <w:div w:id="294150039">
      <w:marLeft w:val="0"/>
      <w:marRight w:val="0"/>
      <w:marTop w:val="0"/>
      <w:marBottom w:val="0"/>
      <w:divBdr>
        <w:top w:val="none" w:sz="0" w:space="0" w:color="auto"/>
        <w:left w:val="none" w:sz="0" w:space="0" w:color="auto"/>
        <w:bottom w:val="none" w:sz="0" w:space="0" w:color="auto"/>
        <w:right w:val="none" w:sz="0" w:space="0" w:color="auto"/>
      </w:divBdr>
      <w:divsChild>
        <w:div w:id="294156154">
          <w:marLeft w:val="0"/>
          <w:marRight w:val="0"/>
          <w:marTop w:val="0"/>
          <w:marBottom w:val="0"/>
          <w:divBdr>
            <w:top w:val="none" w:sz="0" w:space="0" w:color="auto"/>
            <w:left w:val="none" w:sz="0" w:space="0" w:color="auto"/>
            <w:bottom w:val="none" w:sz="0" w:space="0" w:color="auto"/>
            <w:right w:val="none" w:sz="0" w:space="0" w:color="auto"/>
          </w:divBdr>
        </w:div>
      </w:divsChild>
    </w:div>
    <w:div w:id="294150071">
      <w:marLeft w:val="0"/>
      <w:marRight w:val="0"/>
      <w:marTop w:val="0"/>
      <w:marBottom w:val="0"/>
      <w:divBdr>
        <w:top w:val="none" w:sz="0" w:space="0" w:color="auto"/>
        <w:left w:val="none" w:sz="0" w:space="0" w:color="auto"/>
        <w:bottom w:val="none" w:sz="0" w:space="0" w:color="auto"/>
        <w:right w:val="none" w:sz="0" w:space="0" w:color="auto"/>
      </w:divBdr>
    </w:div>
    <w:div w:id="294150073">
      <w:marLeft w:val="0"/>
      <w:marRight w:val="0"/>
      <w:marTop w:val="0"/>
      <w:marBottom w:val="0"/>
      <w:divBdr>
        <w:top w:val="none" w:sz="0" w:space="0" w:color="auto"/>
        <w:left w:val="none" w:sz="0" w:space="0" w:color="auto"/>
        <w:bottom w:val="none" w:sz="0" w:space="0" w:color="auto"/>
        <w:right w:val="none" w:sz="0" w:space="0" w:color="auto"/>
      </w:divBdr>
      <w:divsChild>
        <w:div w:id="294140183">
          <w:marLeft w:val="0"/>
          <w:marRight w:val="0"/>
          <w:marTop w:val="0"/>
          <w:marBottom w:val="0"/>
          <w:divBdr>
            <w:top w:val="none" w:sz="0" w:space="0" w:color="auto"/>
            <w:left w:val="none" w:sz="0" w:space="0" w:color="auto"/>
            <w:bottom w:val="none" w:sz="0" w:space="0" w:color="auto"/>
            <w:right w:val="none" w:sz="0" w:space="0" w:color="auto"/>
          </w:divBdr>
        </w:div>
      </w:divsChild>
    </w:div>
    <w:div w:id="294150085">
      <w:marLeft w:val="0"/>
      <w:marRight w:val="0"/>
      <w:marTop w:val="0"/>
      <w:marBottom w:val="0"/>
      <w:divBdr>
        <w:top w:val="none" w:sz="0" w:space="0" w:color="auto"/>
        <w:left w:val="none" w:sz="0" w:space="0" w:color="auto"/>
        <w:bottom w:val="none" w:sz="0" w:space="0" w:color="auto"/>
        <w:right w:val="none" w:sz="0" w:space="0" w:color="auto"/>
      </w:divBdr>
    </w:div>
    <w:div w:id="294150094">
      <w:marLeft w:val="0"/>
      <w:marRight w:val="0"/>
      <w:marTop w:val="0"/>
      <w:marBottom w:val="0"/>
      <w:divBdr>
        <w:top w:val="none" w:sz="0" w:space="0" w:color="auto"/>
        <w:left w:val="none" w:sz="0" w:space="0" w:color="auto"/>
        <w:bottom w:val="none" w:sz="0" w:space="0" w:color="auto"/>
        <w:right w:val="none" w:sz="0" w:space="0" w:color="auto"/>
      </w:divBdr>
      <w:divsChild>
        <w:div w:id="294142762">
          <w:marLeft w:val="0"/>
          <w:marRight w:val="0"/>
          <w:marTop w:val="0"/>
          <w:marBottom w:val="0"/>
          <w:divBdr>
            <w:top w:val="none" w:sz="0" w:space="0" w:color="auto"/>
            <w:left w:val="none" w:sz="0" w:space="0" w:color="auto"/>
            <w:bottom w:val="none" w:sz="0" w:space="0" w:color="auto"/>
            <w:right w:val="none" w:sz="0" w:space="0" w:color="auto"/>
          </w:divBdr>
        </w:div>
        <w:div w:id="294146764">
          <w:marLeft w:val="0"/>
          <w:marRight w:val="0"/>
          <w:marTop w:val="0"/>
          <w:marBottom w:val="0"/>
          <w:divBdr>
            <w:top w:val="none" w:sz="0" w:space="0" w:color="auto"/>
            <w:left w:val="none" w:sz="0" w:space="0" w:color="auto"/>
            <w:bottom w:val="none" w:sz="0" w:space="0" w:color="auto"/>
            <w:right w:val="none" w:sz="0" w:space="0" w:color="auto"/>
          </w:divBdr>
        </w:div>
      </w:divsChild>
    </w:div>
    <w:div w:id="294150115">
      <w:marLeft w:val="0"/>
      <w:marRight w:val="0"/>
      <w:marTop w:val="0"/>
      <w:marBottom w:val="0"/>
      <w:divBdr>
        <w:top w:val="none" w:sz="0" w:space="0" w:color="auto"/>
        <w:left w:val="none" w:sz="0" w:space="0" w:color="auto"/>
        <w:bottom w:val="none" w:sz="0" w:space="0" w:color="auto"/>
        <w:right w:val="none" w:sz="0" w:space="0" w:color="auto"/>
      </w:divBdr>
    </w:div>
    <w:div w:id="294150120">
      <w:marLeft w:val="0"/>
      <w:marRight w:val="0"/>
      <w:marTop w:val="0"/>
      <w:marBottom w:val="0"/>
      <w:divBdr>
        <w:top w:val="none" w:sz="0" w:space="0" w:color="auto"/>
        <w:left w:val="none" w:sz="0" w:space="0" w:color="auto"/>
        <w:bottom w:val="none" w:sz="0" w:space="0" w:color="auto"/>
        <w:right w:val="none" w:sz="0" w:space="0" w:color="auto"/>
      </w:divBdr>
    </w:div>
    <w:div w:id="294150129">
      <w:marLeft w:val="0"/>
      <w:marRight w:val="0"/>
      <w:marTop w:val="0"/>
      <w:marBottom w:val="0"/>
      <w:divBdr>
        <w:top w:val="none" w:sz="0" w:space="0" w:color="auto"/>
        <w:left w:val="none" w:sz="0" w:space="0" w:color="auto"/>
        <w:bottom w:val="none" w:sz="0" w:space="0" w:color="auto"/>
        <w:right w:val="none" w:sz="0" w:space="0" w:color="auto"/>
      </w:divBdr>
    </w:div>
    <w:div w:id="294150207">
      <w:marLeft w:val="0"/>
      <w:marRight w:val="0"/>
      <w:marTop w:val="0"/>
      <w:marBottom w:val="0"/>
      <w:divBdr>
        <w:top w:val="none" w:sz="0" w:space="0" w:color="auto"/>
        <w:left w:val="none" w:sz="0" w:space="0" w:color="auto"/>
        <w:bottom w:val="none" w:sz="0" w:space="0" w:color="auto"/>
        <w:right w:val="none" w:sz="0" w:space="0" w:color="auto"/>
      </w:divBdr>
      <w:divsChild>
        <w:div w:id="294139976">
          <w:marLeft w:val="0"/>
          <w:marRight w:val="0"/>
          <w:marTop w:val="0"/>
          <w:marBottom w:val="0"/>
          <w:divBdr>
            <w:top w:val="none" w:sz="0" w:space="0" w:color="auto"/>
            <w:left w:val="none" w:sz="0" w:space="0" w:color="auto"/>
            <w:bottom w:val="none" w:sz="0" w:space="0" w:color="auto"/>
            <w:right w:val="none" w:sz="0" w:space="0" w:color="auto"/>
          </w:divBdr>
        </w:div>
      </w:divsChild>
    </w:div>
    <w:div w:id="294150224">
      <w:marLeft w:val="0"/>
      <w:marRight w:val="0"/>
      <w:marTop w:val="0"/>
      <w:marBottom w:val="0"/>
      <w:divBdr>
        <w:top w:val="none" w:sz="0" w:space="0" w:color="auto"/>
        <w:left w:val="none" w:sz="0" w:space="0" w:color="auto"/>
        <w:bottom w:val="none" w:sz="0" w:space="0" w:color="auto"/>
        <w:right w:val="none" w:sz="0" w:space="0" w:color="auto"/>
      </w:divBdr>
    </w:div>
    <w:div w:id="294150280">
      <w:marLeft w:val="0"/>
      <w:marRight w:val="0"/>
      <w:marTop w:val="0"/>
      <w:marBottom w:val="0"/>
      <w:divBdr>
        <w:top w:val="none" w:sz="0" w:space="0" w:color="auto"/>
        <w:left w:val="none" w:sz="0" w:space="0" w:color="auto"/>
        <w:bottom w:val="none" w:sz="0" w:space="0" w:color="auto"/>
        <w:right w:val="none" w:sz="0" w:space="0" w:color="auto"/>
      </w:divBdr>
    </w:div>
    <w:div w:id="294150344">
      <w:marLeft w:val="0"/>
      <w:marRight w:val="0"/>
      <w:marTop w:val="0"/>
      <w:marBottom w:val="0"/>
      <w:divBdr>
        <w:top w:val="none" w:sz="0" w:space="0" w:color="auto"/>
        <w:left w:val="none" w:sz="0" w:space="0" w:color="auto"/>
        <w:bottom w:val="none" w:sz="0" w:space="0" w:color="auto"/>
        <w:right w:val="none" w:sz="0" w:space="0" w:color="auto"/>
      </w:divBdr>
    </w:div>
    <w:div w:id="294150370">
      <w:marLeft w:val="0"/>
      <w:marRight w:val="0"/>
      <w:marTop w:val="0"/>
      <w:marBottom w:val="0"/>
      <w:divBdr>
        <w:top w:val="none" w:sz="0" w:space="0" w:color="auto"/>
        <w:left w:val="none" w:sz="0" w:space="0" w:color="auto"/>
        <w:bottom w:val="none" w:sz="0" w:space="0" w:color="auto"/>
        <w:right w:val="none" w:sz="0" w:space="0" w:color="auto"/>
      </w:divBdr>
    </w:div>
    <w:div w:id="294150426">
      <w:marLeft w:val="0"/>
      <w:marRight w:val="0"/>
      <w:marTop w:val="0"/>
      <w:marBottom w:val="0"/>
      <w:divBdr>
        <w:top w:val="none" w:sz="0" w:space="0" w:color="auto"/>
        <w:left w:val="none" w:sz="0" w:space="0" w:color="auto"/>
        <w:bottom w:val="none" w:sz="0" w:space="0" w:color="auto"/>
        <w:right w:val="none" w:sz="0" w:space="0" w:color="auto"/>
      </w:divBdr>
    </w:div>
    <w:div w:id="294150431">
      <w:marLeft w:val="0"/>
      <w:marRight w:val="0"/>
      <w:marTop w:val="0"/>
      <w:marBottom w:val="0"/>
      <w:divBdr>
        <w:top w:val="none" w:sz="0" w:space="0" w:color="auto"/>
        <w:left w:val="none" w:sz="0" w:space="0" w:color="auto"/>
        <w:bottom w:val="none" w:sz="0" w:space="0" w:color="auto"/>
        <w:right w:val="none" w:sz="0" w:space="0" w:color="auto"/>
      </w:divBdr>
    </w:div>
    <w:div w:id="294150498">
      <w:marLeft w:val="0"/>
      <w:marRight w:val="0"/>
      <w:marTop w:val="0"/>
      <w:marBottom w:val="0"/>
      <w:divBdr>
        <w:top w:val="none" w:sz="0" w:space="0" w:color="auto"/>
        <w:left w:val="none" w:sz="0" w:space="0" w:color="auto"/>
        <w:bottom w:val="none" w:sz="0" w:space="0" w:color="auto"/>
        <w:right w:val="none" w:sz="0" w:space="0" w:color="auto"/>
      </w:divBdr>
    </w:div>
    <w:div w:id="294150530">
      <w:marLeft w:val="0"/>
      <w:marRight w:val="0"/>
      <w:marTop w:val="0"/>
      <w:marBottom w:val="0"/>
      <w:divBdr>
        <w:top w:val="none" w:sz="0" w:space="0" w:color="auto"/>
        <w:left w:val="none" w:sz="0" w:space="0" w:color="auto"/>
        <w:bottom w:val="none" w:sz="0" w:space="0" w:color="auto"/>
        <w:right w:val="none" w:sz="0" w:space="0" w:color="auto"/>
      </w:divBdr>
      <w:divsChild>
        <w:div w:id="294138550">
          <w:marLeft w:val="0"/>
          <w:marRight w:val="0"/>
          <w:marTop w:val="0"/>
          <w:marBottom w:val="0"/>
          <w:divBdr>
            <w:top w:val="none" w:sz="0" w:space="0" w:color="auto"/>
            <w:left w:val="none" w:sz="0" w:space="0" w:color="auto"/>
            <w:bottom w:val="none" w:sz="0" w:space="0" w:color="auto"/>
            <w:right w:val="none" w:sz="0" w:space="0" w:color="auto"/>
          </w:divBdr>
          <w:divsChild>
            <w:div w:id="294146249">
              <w:marLeft w:val="0"/>
              <w:marRight w:val="0"/>
              <w:marTop w:val="0"/>
              <w:marBottom w:val="0"/>
              <w:divBdr>
                <w:top w:val="none" w:sz="0" w:space="0" w:color="auto"/>
                <w:left w:val="none" w:sz="0" w:space="0" w:color="auto"/>
                <w:bottom w:val="none" w:sz="0" w:space="0" w:color="auto"/>
                <w:right w:val="none" w:sz="0" w:space="0" w:color="auto"/>
              </w:divBdr>
              <w:divsChild>
                <w:div w:id="29415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39421">
          <w:marLeft w:val="0"/>
          <w:marRight w:val="0"/>
          <w:marTop w:val="0"/>
          <w:marBottom w:val="0"/>
          <w:divBdr>
            <w:top w:val="none" w:sz="0" w:space="0" w:color="auto"/>
            <w:left w:val="none" w:sz="0" w:space="0" w:color="auto"/>
            <w:bottom w:val="none" w:sz="0" w:space="0" w:color="auto"/>
            <w:right w:val="none" w:sz="0" w:space="0" w:color="auto"/>
          </w:divBdr>
        </w:div>
        <w:div w:id="294143574">
          <w:marLeft w:val="0"/>
          <w:marRight w:val="0"/>
          <w:marTop w:val="0"/>
          <w:marBottom w:val="0"/>
          <w:divBdr>
            <w:top w:val="none" w:sz="0" w:space="0" w:color="auto"/>
            <w:left w:val="none" w:sz="0" w:space="0" w:color="auto"/>
            <w:bottom w:val="none" w:sz="0" w:space="0" w:color="auto"/>
            <w:right w:val="none" w:sz="0" w:space="0" w:color="auto"/>
          </w:divBdr>
          <w:divsChild>
            <w:div w:id="294146308">
              <w:marLeft w:val="0"/>
              <w:marRight w:val="0"/>
              <w:marTop w:val="0"/>
              <w:marBottom w:val="0"/>
              <w:divBdr>
                <w:top w:val="none" w:sz="0" w:space="0" w:color="auto"/>
                <w:left w:val="none" w:sz="0" w:space="0" w:color="auto"/>
                <w:bottom w:val="none" w:sz="0" w:space="0" w:color="auto"/>
                <w:right w:val="none" w:sz="0" w:space="0" w:color="auto"/>
              </w:divBdr>
              <w:divsChild>
                <w:div w:id="294152562">
                  <w:marLeft w:val="0"/>
                  <w:marRight w:val="0"/>
                  <w:marTop w:val="0"/>
                  <w:marBottom w:val="0"/>
                  <w:divBdr>
                    <w:top w:val="none" w:sz="0" w:space="0" w:color="auto"/>
                    <w:left w:val="none" w:sz="0" w:space="0" w:color="auto"/>
                    <w:bottom w:val="none" w:sz="0" w:space="0" w:color="auto"/>
                    <w:right w:val="none" w:sz="0" w:space="0" w:color="auto"/>
                  </w:divBdr>
                  <w:divsChild>
                    <w:div w:id="294138052">
                      <w:marLeft w:val="0"/>
                      <w:marRight w:val="0"/>
                      <w:marTop w:val="0"/>
                      <w:marBottom w:val="0"/>
                      <w:divBdr>
                        <w:top w:val="none" w:sz="0" w:space="0" w:color="auto"/>
                        <w:left w:val="none" w:sz="0" w:space="0" w:color="auto"/>
                        <w:bottom w:val="none" w:sz="0" w:space="0" w:color="auto"/>
                        <w:right w:val="none" w:sz="0" w:space="0" w:color="auto"/>
                      </w:divBdr>
                      <w:divsChild>
                        <w:div w:id="294153798">
                          <w:marLeft w:val="0"/>
                          <w:marRight w:val="0"/>
                          <w:marTop w:val="0"/>
                          <w:marBottom w:val="0"/>
                          <w:divBdr>
                            <w:top w:val="none" w:sz="0" w:space="0" w:color="auto"/>
                            <w:left w:val="none" w:sz="0" w:space="0" w:color="auto"/>
                            <w:bottom w:val="none" w:sz="0" w:space="0" w:color="auto"/>
                            <w:right w:val="none" w:sz="0" w:space="0" w:color="auto"/>
                          </w:divBdr>
                        </w:div>
                      </w:divsChild>
                    </w:div>
                    <w:div w:id="294138109">
                      <w:marLeft w:val="0"/>
                      <w:marRight w:val="0"/>
                      <w:marTop w:val="0"/>
                      <w:marBottom w:val="0"/>
                      <w:divBdr>
                        <w:top w:val="none" w:sz="0" w:space="0" w:color="auto"/>
                        <w:left w:val="none" w:sz="0" w:space="0" w:color="auto"/>
                        <w:bottom w:val="none" w:sz="0" w:space="0" w:color="auto"/>
                        <w:right w:val="none" w:sz="0" w:space="0" w:color="auto"/>
                      </w:divBdr>
                    </w:div>
                    <w:div w:id="294138224">
                      <w:marLeft w:val="0"/>
                      <w:marRight w:val="0"/>
                      <w:marTop w:val="0"/>
                      <w:marBottom w:val="0"/>
                      <w:divBdr>
                        <w:top w:val="none" w:sz="0" w:space="0" w:color="auto"/>
                        <w:left w:val="none" w:sz="0" w:space="0" w:color="auto"/>
                        <w:bottom w:val="none" w:sz="0" w:space="0" w:color="auto"/>
                        <w:right w:val="none" w:sz="0" w:space="0" w:color="auto"/>
                      </w:divBdr>
                    </w:div>
                    <w:div w:id="294138260">
                      <w:marLeft w:val="0"/>
                      <w:marRight w:val="0"/>
                      <w:marTop w:val="0"/>
                      <w:marBottom w:val="0"/>
                      <w:divBdr>
                        <w:top w:val="none" w:sz="0" w:space="0" w:color="auto"/>
                        <w:left w:val="none" w:sz="0" w:space="0" w:color="auto"/>
                        <w:bottom w:val="none" w:sz="0" w:space="0" w:color="auto"/>
                        <w:right w:val="none" w:sz="0" w:space="0" w:color="auto"/>
                      </w:divBdr>
                      <w:divsChild>
                        <w:div w:id="294147173">
                          <w:marLeft w:val="0"/>
                          <w:marRight w:val="0"/>
                          <w:marTop w:val="0"/>
                          <w:marBottom w:val="0"/>
                          <w:divBdr>
                            <w:top w:val="none" w:sz="0" w:space="0" w:color="auto"/>
                            <w:left w:val="none" w:sz="0" w:space="0" w:color="auto"/>
                            <w:bottom w:val="none" w:sz="0" w:space="0" w:color="auto"/>
                            <w:right w:val="none" w:sz="0" w:space="0" w:color="auto"/>
                          </w:divBdr>
                        </w:div>
                      </w:divsChild>
                    </w:div>
                    <w:div w:id="294138379">
                      <w:marLeft w:val="0"/>
                      <w:marRight w:val="0"/>
                      <w:marTop w:val="0"/>
                      <w:marBottom w:val="0"/>
                      <w:divBdr>
                        <w:top w:val="none" w:sz="0" w:space="0" w:color="auto"/>
                        <w:left w:val="none" w:sz="0" w:space="0" w:color="auto"/>
                        <w:bottom w:val="none" w:sz="0" w:space="0" w:color="auto"/>
                        <w:right w:val="none" w:sz="0" w:space="0" w:color="auto"/>
                      </w:divBdr>
                    </w:div>
                    <w:div w:id="294138406">
                      <w:marLeft w:val="0"/>
                      <w:marRight w:val="0"/>
                      <w:marTop w:val="0"/>
                      <w:marBottom w:val="0"/>
                      <w:divBdr>
                        <w:top w:val="none" w:sz="0" w:space="0" w:color="auto"/>
                        <w:left w:val="none" w:sz="0" w:space="0" w:color="auto"/>
                        <w:bottom w:val="none" w:sz="0" w:space="0" w:color="auto"/>
                        <w:right w:val="none" w:sz="0" w:space="0" w:color="auto"/>
                      </w:divBdr>
                    </w:div>
                    <w:div w:id="294138485">
                      <w:marLeft w:val="0"/>
                      <w:marRight w:val="0"/>
                      <w:marTop w:val="0"/>
                      <w:marBottom w:val="0"/>
                      <w:divBdr>
                        <w:top w:val="none" w:sz="0" w:space="0" w:color="auto"/>
                        <w:left w:val="none" w:sz="0" w:space="0" w:color="auto"/>
                        <w:bottom w:val="none" w:sz="0" w:space="0" w:color="auto"/>
                        <w:right w:val="none" w:sz="0" w:space="0" w:color="auto"/>
                      </w:divBdr>
                      <w:divsChild>
                        <w:div w:id="294153694">
                          <w:marLeft w:val="0"/>
                          <w:marRight w:val="0"/>
                          <w:marTop w:val="0"/>
                          <w:marBottom w:val="0"/>
                          <w:divBdr>
                            <w:top w:val="none" w:sz="0" w:space="0" w:color="auto"/>
                            <w:left w:val="none" w:sz="0" w:space="0" w:color="auto"/>
                            <w:bottom w:val="none" w:sz="0" w:space="0" w:color="auto"/>
                            <w:right w:val="none" w:sz="0" w:space="0" w:color="auto"/>
                          </w:divBdr>
                        </w:div>
                      </w:divsChild>
                    </w:div>
                    <w:div w:id="294138524">
                      <w:marLeft w:val="0"/>
                      <w:marRight w:val="0"/>
                      <w:marTop w:val="0"/>
                      <w:marBottom w:val="0"/>
                      <w:divBdr>
                        <w:top w:val="none" w:sz="0" w:space="0" w:color="auto"/>
                        <w:left w:val="none" w:sz="0" w:space="0" w:color="auto"/>
                        <w:bottom w:val="none" w:sz="0" w:space="0" w:color="auto"/>
                        <w:right w:val="none" w:sz="0" w:space="0" w:color="auto"/>
                      </w:divBdr>
                    </w:div>
                    <w:div w:id="294138757">
                      <w:marLeft w:val="0"/>
                      <w:marRight w:val="0"/>
                      <w:marTop w:val="0"/>
                      <w:marBottom w:val="0"/>
                      <w:divBdr>
                        <w:top w:val="none" w:sz="0" w:space="0" w:color="auto"/>
                        <w:left w:val="none" w:sz="0" w:space="0" w:color="auto"/>
                        <w:bottom w:val="none" w:sz="0" w:space="0" w:color="auto"/>
                        <w:right w:val="none" w:sz="0" w:space="0" w:color="auto"/>
                      </w:divBdr>
                    </w:div>
                    <w:div w:id="294138813">
                      <w:marLeft w:val="0"/>
                      <w:marRight w:val="0"/>
                      <w:marTop w:val="0"/>
                      <w:marBottom w:val="0"/>
                      <w:divBdr>
                        <w:top w:val="none" w:sz="0" w:space="0" w:color="auto"/>
                        <w:left w:val="none" w:sz="0" w:space="0" w:color="auto"/>
                        <w:bottom w:val="none" w:sz="0" w:space="0" w:color="auto"/>
                        <w:right w:val="none" w:sz="0" w:space="0" w:color="auto"/>
                      </w:divBdr>
                    </w:div>
                    <w:div w:id="294138817">
                      <w:marLeft w:val="0"/>
                      <w:marRight w:val="0"/>
                      <w:marTop w:val="0"/>
                      <w:marBottom w:val="0"/>
                      <w:divBdr>
                        <w:top w:val="none" w:sz="0" w:space="0" w:color="auto"/>
                        <w:left w:val="none" w:sz="0" w:space="0" w:color="auto"/>
                        <w:bottom w:val="none" w:sz="0" w:space="0" w:color="auto"/>
                        <w:right w:val="none" w:sz="0" w:space="0" w:color="auto"/>
                      </w:divBdr>
                      <w:divsChild>
                        <w:div w:id="294145982">
                          <w:marLeft w:val="0"/>
                          <w:marRight w:val="0"/>
                          <w:marTop w:val="0"/>
                          <w:marBottom w:val="0"/>
                          <w:divBdr>
                            <w:top w:val="none" w:sz="0" w:space="0" w:color="auto"/>
                            <w:left w:val="none" w:sz="0" w:space="0" w:color="auto"/>
                            <w:bottom w:val="none" w:sz="0" w:space="0" w:color="auto"/>
                            <w:right w:val="none" w:sz="0" w:space="0" w:color="auto"/>
                          </w:divBdr>
                        </w:div>
                      </w:divsChild>
                    </w:div>
                    <w:div w:id="294138894">
                      <w:marLeft w:val="0"/>
                      <w:marRight w:val="0"/>
                      <w:marTop w:val="0"/>
                      <w:marBottom w:val="0"/>
                      <w:divBdr>
                        <w:top w:val="none" w:sz="0" w:space="0" w:color="auto"/>
                        <w:left w:val="none" w:sz="0" w:space="0" w:color="auto"/>
                        <w:bottom w:val="none" w:sz="0" w:space="0" w:color="auto"/>
                        <w:right w:val="none" w:sz="0" w:space="0" w:color="auto"/>
                      </w:divBdr>
                    </w:div>
                    <w:div w:id="294138919">
                      <w:marLeft w:val="0"/>
                      <w:marRight w:val="0"/>
                      <w:marTop w:val="0"/>
                      <w:marBottom w:val="0"/>
                      <w:divBdr>
                        <w:top w:val="none" w:sz="0" w:space="0" w:color="auto"/>
                        <w:left w:val="none" w:sz="0" w:space="0" w:color="auto"/>
                        <w:bottom w:val="none" w:sz="0" w:space="0" w:color="auto"/>
                        <w:right w:val="none" w:sz="0" w:space="0" w:color="auto"/>
                      </w:divBdr>
                    </w:div>
                    <w:div w:id="294138939">
                      <w:marLeft w:val="0"/>
                      <w:marRight w:val="0"/>
                      <w:marTop w:val="0"/>
                      <w:marBottom w:val="0"/>
                      <w:divBdr>
                        <w:top w:val="none" w:sz="0" w:space="0" w:color="auto"/>
                        <w:left w:val="none" w:sz="0" w:space="0" w:color="auto"/>
                        <w:bottom w:val="none" w:sz="0" w:space="0" w:color="auto"/>
                        <w:right w:val="none" w:sz="0" w:space="0" w:color="auto"/>
                      </w:divBdr>
                    </w:div>
                    <w:div w:id="294139075">
                      <w:marLeft w:val="0"/>
                      <w:marRight w:val="0"/>
                      <w:marTop w:val="0"/>
                      <w:marBottom w:val="0"/>
                      <w:divBdr>
                        <w:top w:val="none" w:sz="0" w:space="0" w:color="auto"/>
                        <w:left w:val="none" w:sz="0" w:space="0" w:color="auto"/>
                        <w:bottom w:val="none" w:sz="0" w:space="0" w:color="auto"/>
                        <w:right w:val="none" w:sz="0" w:space="0" w:color="auto"/>
                      </w:divBdr>
                      <w:divsChild>
                        <w:div w:id="294144667">
                          <w:marLeft w:val="0"/>
                          <w:marRight w:val="0"/>
                          <w:marTop w:val="0"/>
                          <w:marBottom w:val="0"/>
                          <w:divBdr>
                            <w:top w:val="none" w:sz="0" w:space="0" w:color="auto"/>
                            <w:left w:val="none" w:sz="0" w:space="0" w:color="auto"/>
                            <w:bottom w:val="none" w:sz="0" w:space="0" w:color="auto"/>
                            <w:right w:val="none" w:sz="0" w:space="0" w:color="auto"/>
                          </w:divBdr>
                        </w:div>
                      </w:divsChild>
                    </w:div>
                    <w:div w:id="294139081">
                      <w:marLeft w:val="0"/>
                      <w:marRight w:val="0"/>
                      <w:marTop w:val="0"/>
                      <w:marBottom w:val="0"/>
                      <w:divBdr>
                        <w:top w:val="none" w:sz="0" w:space="0" w:color="auto"/>
                        <w:left w:val="none" w:sz="0" w:space="0" w:color="auto"/>
                        <w:bottom w:val="none" w:sz="0" w:space="0" w:color="auto"/>
                        <w:right w:val="none" w:sz="0" w:space="0" w:color="auto"/>
                      </w:divBdr>
                    </w:div>
                    <w:div w:id="294139113">
                      <w:marLeft w:val="0"/>
                      <w:marRight w:val="0"/>
                      <w:marTop w:val="0"/>
                      <w:marBottom w:val="0"/>
                      <w:divBdr>
                        <w:top w:val="none" w:sz="0" w:space="0" w:color="auto"/>
                        <w:left w:val="none" w:sz="0" w:space="0" w:color="auto"/>
                        <w:bottom w:val="none" w:sz="0" w:space="0" w:color="auto"/>
                        <w:right w:val="none" w:sz="0" w:space="0" w:color="auto"/>
                      </w:divBdr>
                      <w:divsChild>
                        <w:div w:id="294146334">
                          <w:marLeft w:val="0"/>
                          <w:marRight w:val="0"/>
                          <w:marTop w:val="0"/>
                          <w:marBottom w:val="0"/>
                          <w:divBdr>
                            <w:top w:val="none" w:sz="0" w:space="0" w:color="auto"/>
                            <w:left w:val="none" w:sz="0" w:space="0" w:color="auto"/>
                            <w:bottom w:val="none" w:sz="0" w:space="0" w:color="auto"/>
                            <w:right w:val="none" w:sz="0" w:space="0" w:color="auto"/>
                          </w:divBdr>
                        </w:div>
                      </w:divsChild>
                    </w:div>
                    <w:div w:id="294139225">
                      <w:marLeft w:val="0"/>
                      <w:marRight w:val="0"/>
                      <w:marTop w:val="0"/>
                      <w:marBottom w:val="0"/>
                      <w:divBdr>
                        <w:top w:val="none" w:sz="0" w:space="0" w:color="auto"/>
                        <w:left w:val="none" w:sz="0" w:space="0" w:color="auto"/>
                        <w:bottom w:val="none" w:sz="0" w:space="0" w:color="auto"/>
                        <w:right w:val="none" w:sz="0" w:space="0" w:color="auto"/>
                      </w:divBdr>
                      <w:divsChild>
                        <w:div w:id="294140143">
                          <w:marLeft w:val="0"/>
                          <w:marRight w:val="0"/>
                          <w:marTop w:val="0"/>
                          <w:marBottom w:val="0"/>
                          <w:divBdr>
                            <w:top w:val="none" w:sz="0" w:space="0" w:color="auto"/>
                            <w:left w:val="none" w:sz="0" w:space="0" w:color="auto"/>
                            <w:bottom w:val="none" w:sz="0" w:space="0" w:color="auto"/>
                            <w:right w:val="none" w:sz="0" w:space="0" w:color="auto"/>
                          </w:divBdr>
                        </w:div>
                      </w:divsChild>
                    </w:div>
                    <w:div w:id="294139312">
                      <w:marLeft w:val="0"/>
                      <w:marRight w:val="0"/>
                      <w:marTop w:val="0"/>
                      <w:marBottom w:val="0"/>
                      <w:divBdr>
                        <w:top w:val="none" w:sz="0" w:space="0" w:color="auto"/>
                        <w:left w:val="none" w:sz="0" w:space="0" w:color="auto"/>
                        <w:bottom w:val="none" w:sz="0" w:space="0" w:color="auto"/>
                        <w:right w:val="none" w:sz="0" w:space="0" w:color="auto"/>
                      </w:divBdr>
                    </w:div>
                    <w:div w:id="294139320">
                      <w:marLeft w:val="0"/>
                      <w:marRight w:val="0"/>
                      <w:marTop w:val="0"/>
                      <w:marBottom w:val="0"/>
                      <w:divBdr>
                        <w:top w:val="none" w:sz="0" w:space="0" w:color="auto"/>
                        <w:left w:val="none" w:sz="0" w:space="0" w:color="auto"/>
                        <w:bottom w:val="none" w:sz="0" w:space="0" w:color="auto"/>
                        <w:right w:val="none" w:sz="0" w:space="0" w:color="auto"/>
                      </w:divBdr>
                    </w:div>
                    <w:div w:id="294139368">
                      <w:marLeft w:val="0"/>
                      <w:marRight w:val="0"/>
                      <w:marTop w:val="0"/>
                      <w:marBottom w:val="0"/>
                      <w:divBdr>
                        <w:top w:val="none" w:sz="0" w:space="0" w:color="auto"/>
                        <w:left w:val="none" w:sz="0" w:space="0" w:color="auto"/>
                        <w:bottom w:val="none" w:sz="0" w:space="0" w:color="auto"/>
                        <w:right w:val="none" w:sz="0" w:space="0" w:color="auto"/>
                      </w:divBdr>
                      <w:divsChild>
                        <w:div w:id="294141328">
                          <w:marLeft w:val="0"/>
                          <w:marRight w:val="0"/>
                          <w:marTop w:val="0"/>
                          <w:marBottom w:val="0"/>
                          <w:divBdr>
                            <w:top w:val="none" w:sz="0" w:space="0" w:color="auto"/>
                            <w:left w:val="none" w:sz="0" w:space="0" w:color="auto"/>
                            <w:bottom w:val="none" w:sz="0" w:space="0" w:color="auto"/>
                            <w:right w:val="none" w:sz="0" w:space="0" w:color="auto"/>
                          </w:divBdr>
                        </w:div>
                      </w:divsChild>
                    </w:div>
                    <w:div w:id="294139370">
                      <w:marLeft w:val="0"/>
                      <w:marRight w:val="0"/>
                      <w:marTop w:val="0"/>
                      <w:marBottom w:val="0"/>
                      <w:divBdr>
                        <w:top w:val="none" w:sz="0" w:space="0" w:color="auto"/>
                        <w:left w:val="none" w:sz="0" w:space="0" w:color="auto"/>
                        <w:bottom w:val="none" w:sz="0" w:space="0" w:color="auto"/>
                        <w:right w:val="none" w:sz="0" w:space="0" w:color="auto"/>
                      </w:divBdr>
                      <w:divsChild>
                        <w:div w:id="294154423">
                          <w:marLeft w:val="0"/>
                          <w:marRight w:val="0"/>
                          <w:marTop w:val="0"/>
                          <w:marBottom w:val="0"/>
                          <w:divBdr>
                            <w:top w:val="none" w:sz="0" w:space="0" w:color="auto"/>
                            <w:left w:val="none" w:sz="0" w:space="0" w:color="auto"/>
                            <w:bottom w:val="none" w:sz="0" w:space="0" w:color="auto"/>
                            <w:right w:val="none" w:sz="0" w:space="0" w:color="auto"/>
                          </w:divBdr>
                        </w:div>
                      </w:divsChild>
                    </w:div>
                    <w:div w:id="294139391">
                      <w:marLeft w:val="0"/>
                      <w:marRight w:val="0"/>
                      <w:marTop w:val="0"/>
                      <w:marBottom w:val="0"/>
                      <w:divBdr>
                        <w:top w:val="none" w:sz="0" w:space="0" w:color="auto"/>
                        <w:left w:val="none" w:sz="0" w:space="0" w:color="auto"/>
                        <w:bottom w:val="none" w:sz="0" w:space="0" w:color="auto"/>
                        <w:right w:val="none" w:sz="0" w:space="0" w:color="auto"/>
                      </w:divBdr>
                    </w:div>
                    <w:div w:id="294139433">
                      <w:marLeft w:val="0"/>
                      <w:marRight w:val="0"/>
                      <w:marTop w:val="0"/>
                      <w:marBottom w:val="0"/>
                      <w:divBdr>
                        <w:top w:val="none" w:sz="0" w:space="0" w:color="auto"/>
                        <w:left w:val="none" w:sz="0" w:space="0" w:color="auto"/>
                        <w:bottom w:val="none" w:sz="0" w:space="0" w:color="auto"/>
                        <w:right w:val="none" w:sz="0" w:space="0" w:color="auto"/>
                      </w:divBdr>
                      <w:divsChild>
                        <w:div w:id="294149841">
                          <w:marLeft w:val="0"/>
                          <w:marRight w:val="0"/>
                          <w:marTop w:val="0"/>
                          <w:marBottom w:val="0"/>
                          <w:divBdr>
                            <w:top w:val="none" w:sz="0" w:space="0" w:color="auto"/>
                            <w:left w:val="none" w:sz="0" w:space="0" w:color="auto"/>
                            <w:bottom w:val="none" w:sz="0" w:space="0" w:color="auto"/>
                            <w:right w:val="none" w:sz="0" w:space="0" w:color="auto"/>
                          </w:divBdr>
                        </w:div>
                      </w:divsChild>
                    </w:div>
                    <w:div w:id="294139491">
                      <w:marLeft w:val="0"/>
                      <w:marRight w:val="0"/>
                      <w:marTop w:val="0"/>
                      <w:marBottom w:val="0"/>
                      <w:divBdr>
                        <w:top w:val="none" w:sz="0" w:space="0" w:color="auto"/>
                        <w:left w:val="none" w:sz="0" w:space="0" w:color="auto"/>
                        <w:bottom w:val="none" w:sz="0" w:space="0" w:color="auto"/>
                        <w:right w:val="none" w:sz="0" w:space="0" w:color="auto"/>
                      </w:divBdr>
                    </w:div>
                    <w:div w:id="294139613">
                      <w:marLeft w:val="0"/>
                      <w:marRight w:val="0"/>
                      <w:marTop w:val="0"/>
                      <w:marBottom w:val="0"/>
                      <w:divBdr>
                        <w:top w:val="none" w:sz="0" w:space="0" w:color="auto"/>
                        <w:left w:val="none" w:sz="0" w:space="0" w:color="auto"/>
                        <w:bottom w:val="none" w:sz="0" w:space="0" w:color="auto"/>
                        <w:right w:val="none" w:sz="0" w:space="0" w:color="auto"/>
                      </w:divBdr>
                    </w:div>
                    <w:div w:id="294139642">
                      <w:marLeft w:val="0"/>
                      <w:marRight w:val="0"/>
                      <w:marTop w:val="0"/>
                      <w:marBottom w:val="0"/>
                      <w:divBdr>
                        <w:top w:val="none" w:sz="0" w:space="0" w:color="auto"/>
                        <w:left w:val="none" w:sz="0" w:space="0" w:color="auto"/>
                        <w:bottom w:val="none" w:sz="0" w:space="0" w:color="auto"/>
                        <w:right w:val="none" w:sz="0" w:space="0" w:color="auto"/>
                      </w:divBdr>
                      <w:divsChild>
                        <w:div w:id="294151090">
                          <w:marLeft w:val="0"/>
                          <w:marRight w:val="0"/>
                          <w:marTop w:val="0"/>
                          <w:marBottom w:val="0"/>
                          <w:divBdr>
                            <w:top w:val="none" w:sz="0" w:space="0" w:color="auto"/>
                            <w:left w:val="none" w:sz="0" w:space="0" w:color="auto"/>
                            <w:bottom w:val="none" w:sz="0" w:space="0" w:color="auto"/>
                            <w:right w:val="none" w:sz="0" w:space="0" w:color="auto"/>
                          </w:divBdr>
                        </w:div>
                      </w:divsChild>
                    </w:div>
                    <w:div w:id="294139668">
                      <w:marLeft w:val="0"/>
                      <w:marRight w:val="0"/>
                      <w:marTop w:val="0"/>
                      <w:marBottom w:val="0"/>
                      <w:divBdr>
                        <w:top w:val="none" w:sz="0" w:space="0" w:color="auto"/>
                        <w:left w:val="none" w:sz="0" w:space="0" w:color="auto"/>
                        <w:bottom w:val="none" w:sz="0" w:space="0" w:color="auto"/>
                        <w:right w:val="none" w:sz="0" w:space="0" w:color="auto"/>
                      </w:divBdr>
                    </w:div>
                    <w:div w:id="294139691">
                      <w:marLeft w:val="0"/>
                      <w:marRight w:val="0"/>
                      <w:marTop w:val="0"/>
                      <w:marBottom w:val="0"/>
                      <w:divBdr>
                        <w:top w:val="none" w:sz="0" w:space="0" w:color="auto"/>
                        <w:left w:val="none" w:sz="0" w:space="0" w:color="auto"/>
                        <w:bottom w:val="none" w:sz="0" w:space="0" w:color="auto"/>
                        <w:right w:val="none" w:sz="0" w:space="0" w:color="auto"/>
                      </w:divBdr>
                      <w:divsChild>
                        <w:div w:id="294156282">
                          <w:marLeft w:val="0"/>
                          <w:marRight w:val="0"/>
                          <w:marTop w:val="0"/>
                          <w:marBottom w:val="0"/>
                          <w:divBdr>
                            <w:top w:val="none" w:sz="0" w:space="0" w:color="auto"/>
                            <w:left w:val="none" w:sz="0" w:space="0" w:color="auto"/>
                            <w:bottom w:val="none" w:sz="0" w:space="0" w:color="auto"/>
                            <w:right w:val="none" w:sz="0" w:space="0" w:color="auto"/>
                          </w:divBdr>
                        </w:div>
                      </w:divsChild>
                    </w:div>
                    <w:div w:id="294139712">
                      <w:marLeft w:val="0"/>
                      <w:marRight w:val="0"/>
                      <w:marTop w:val="0"/>
                      <w:marBottom w:val="0"/>
                      <w:divBdr>
                        <w:top w:val="none" w:sz="0" w:space="0" w:color="auto"/>
                        <w:left w:val="none" w:sz="0" w:space="0" w:color="auto"/>
                        <w:bottom w:val="none" w:sz="0" w:space="0" w:color="auto"/>
                        <w:right w:val="none" w:sz="0" w:space="0" w:color="auto"/>
                      </w:divBdr>
                    </w:div>
                    <w:div w:id="294139772">
                      <w:marLeft w:val="0"/>
                      <w:marRight w:val="0"/>
                      <w:marTop w:val="0"/>
                      <w:marBottom w:val="0"/>
                      <w:divBdr>
                        <w:top w:val="none" w:sz="0" w:space="0" w:color="auto"/>
                        <w:left w:val="none" w:sz="0" w:space="0" w:color="auto"/>
                        <w:bottom w:val="none" w:sz="0" w:space="0" w:color="auto"/>
                        <w:right w:val="none" w:sz="0" w:space="0" w:color="auto"/>
                      </w:divBdr>
                    </w:div>
                    <w:div w:id="294139817">
                      <w:marLeft w:val="0"/>
                      <w:marRight w:val="0"/>
                      <w:marTop w:val="0"/>
                      <w:marBottom w:val="0"/>
                      <w:divBdr>
                        <w:top w:val="none" w:sz="0" w:space="0" w:color="auto"/>
                        <w:left w:val="none" w:sz="0" w:space="0" w:color="auto"/>
                        <w:bottom w:val="none" w:sz="0" w:space="0" w:color="auto"/>
                        <w:right w:val="none" w:sz="0" w:space="0" w:color="auto"/>
                      </w:divBdr>
                    </w:div>
                    <w:div w:id="294139883">
                      <w:marLeft w:val="0"/>
                      <w:marRight w:val="0"/>
                      <w:marTop w:val="0"/>
                      <w:marBottom w:val="0"/>
                      <w:divBdr>
                        <w:top w:val="none" w:sz="0" w:space="0" w:color="auto"/>
                        <w:left w:val="none" w:sz="0" w:space="0" w:color="auto"/>
                        <w:bottom w:val="none" w:sz="0" w:space="0" w:color="auto"/>
                        <w:right w:val="none" w:sz="0" w:space="0" w:color="auto"/>
                      </w:divBdr>
                    </w:div>
                    <w:div w:id="294139917">
                      <w:marLeft w:val="0"/>
                      <w:marRight w:val="0"/>
                      <w:marTop w:val="0"/>
                      <w:marBottom w:val="0"/>
                      <w:divBdr>
                        <w:top w:val="none" w:sz="0" w:space="0" w:color="auto"/>
                        <w:left w:val="none" w:sz="0" w:space="0" w:color="auto"/>
                        <w:bottom w:val="none" w:sz="0" w:space="0" w:color="auto"/>
                        <w:right w:val="none" w:sz="0" w:space="0" w:color="auto"/>
                      </w:divBdr>
                    </w:div>
                    <w:div w:id="294139962">
                      <w:marLeft w:val="0"/>
                      <w:marRight w:val="0"/>
                      <w:marTop w:val="0"/>
                      <w:marBottom w:val="0"/>
                      <w:divBdr>
                        <w:top w:val="none" w:sz="0" w:space="0" w:color="auto"/>
                        <w:left w:val="none" w:sz="0" w:space="0" w:color="auto"/>
                        <w:bottom w:val="none" w:sz="0" w:space="0" w:color="auto"/>
                        <w:right w:val="none" w:sz="0" w:space="0" w:color="auto"/>
                      </w:divBdr>
                    </w:div>
                    <w:div w:id="294140194">
                      <w:marLeft w:val="0"/>
                      <w:marRight w:val="0"/>
                      <w:marTop w:val="0"/>
                      <w:marBottom w:val="0"/>
                      <w:divBdr>
                        <w:top w:val="none" w:sz="0" w:space="0" w:color="auto"/>
                        <w:left w:val="none" w:sz="0" w:space="0" w:color="auto"/>
                        <w:bottom w:val="none" w:sz="0" w:space="0" w:color="auto"/>
                        <w:right w:val="none" w:sz="0" w:space="0" w:color="auto"/>
                      </w:divBdr>
                      <w:divsChild>
                        <w:div w:id="294138966">
                          <w:marLeft w:val="0"/>
                          <w:marRight w:val="0"/>
                          <w:marTop w:val="0"/>
                          <w:marBottom w:val="0"/>
                          <w:divBdr>
                            <w:top w:val="none" w:sz="0" w:space="0" w:color="auto"/>
                            <w:left w:val="none" w:sz="0" w:space="0" w:color="auto"/>
                            <w:bottom w:val="none" w:sz="0" w:space="0" w:color="auto"/>
                            <w:right w:val="none" w:sz="0" w:space="0" w:color="auto"/>
                          </w:divBdr>
                        </w:div>
                      </w:divsChild>
                    </w:div>
                    <w:div w:id="294140199">
                      <w:marLeft w:val="0"/>
                      <w:marRight w:val="0"/>
                      <w:marTop w:val="0"/>
                      <w:marBottom w:val="0"/>
                      <w:divBdr>
                        <w:top w:val="none" w:sz="0" w:space="0" w:color="auto"/>
                        <w:left w:val="none" w:sz="0" w:space="0" w:color="auto"/>
                        <w:bottom w:val="none" w:sz="0" w:space="0" w:color="auto"/>
                        <w:right w:val="none" w:sz="0" w:space="0" w:color="auto"/>
                      </w:divBdr>
                    </w:div>
                    <w:div w:id="294140316">
                      <w:marLeft w:val="0"/>
                      <w:marRight w:val="0"/>
                      <w:marTop w:val="0"/>
                      <w:marBottom w:val="0"/>
                      <w:divBdr>
                        <w:top w:val="none" w:sz="0" w:space="0" w:color="auto"/>
                        <w:left w:val="none" w:sz="0" w:space="0" w:color="auto"/>
                        <w:bottom w:val="none" w:sz="0" w:space="0" w:color="auto"/>
                        <w:right w:val="none" w:sz="0" w:space="0" w:color="auto"/>
                      </w:divBdr>
                      <w:divsChild>
                        <w:div w:id="294138823">
                          <w:marLeft w:val="0"/>
                          <w:marRight w:val="0"/>
                          <w:marTop w:val="0"/>
                          <w:marBottom w:val="0"/>
                          <w:divBdr>
                            <w:top w:val="none" w:sz="0" w:space="0" w:color="auto"/>
                            <w:left w:val="none" w:sz="0" w:space="0" w:color="auto"/>
                            <w:bottom w:val="none" w:sz="0" w:space="0" w:color="auto"/>
                            <w:right w:val="none" w:sz="0" w:space="0" w:color="auto"/>
                          </w:divBdr>
                        </w:div>
                      </w:divsChild>
                    </w:div>
                    <w:div w:id="294140423">
                      <w:marLeft w:val="0"/>
                      <w:marRight w:val="0"/>
                      <w:marTop w:val="0"/>
                      <w:marBottom w:val="0"/>
                      <w:divBdr>
                        <w:top w:val="none" w:sz="0" w:space="0" w:color="auto"/>
                        <w:left w:val="none" w:sz="0" w:space="0" w:color="auto"/>
                        <w:bottom w:val="none" w:sz="0" w:space="0" w:color="auto"/>
                        <w:right w:val="none" w:sz="0" w:space="0" w:color="auto"/>
                      </w:divBdr>
                    </w:div>
                    <w:div w:id="294140539">
                      <w:marLeft w:val="0"/>
                      <w:marRight w:val="0"/>
                      <w:marTop w:val="0"/>
                      <w:marBottom w:val="0"/>
                      <w:divBdr>
                        <w:top w:val="none" w:sz="0" w:space="0" w:color="auto"/>
                        <w:left w:val="none" w:sz="0" w:space="0" w:color="auto"/>
                        <w:bottom w:val="none" w:sz="0" w:space="0" w:color="auto"/>
                        <w:right w:val="none" w:sz="0" w:space="0" w:color="auto"/>
                      </w:divBdr>
                      <w:divsChild>
                        <w:div w:id="294146035">
                          <w:marLeft w:val="0"/>
                          <w:marRight w:val="0"/>
                          <w:marTop w:val="0"/>
                          <w:marBottom w:val="0"/>
                          <w:divBdr>
                            <w:top w:val="none" w:sz="0" w:space="0" w:color="auto"/>
                            <w:left w:val="none" w:sz="0" w:space="0" w:color="auto"/>
                            <w:bottom w:val="none" w:sz="0" w:space="0" w:color="auto"/>
                            <w:right w:val="none" w:sz="0" w:space="0" w:color="auto"/>
                          </w:divBdr>
                        </w:div>
                      </w:divsChild>
                    </w:div>
                    <w:div w:id="294140587">
                      <w:marLeft w:val="0"/>
                      <w:marRight w:val="0"/>
                      <w:marTop w:val="0"/>
                      <w:marBottom w:val="0"/>
                      <w:divBdr>
                        <w:top w:val="none" w:sz="0" w:space="0" w:color="auto"/>
                        <w:left w:val="none" w:sz="0" w:space="0" w:color="auto"/>
                        <w:bottom w:val="none" w:sz="0" w:space="0" w:color="auto"/>
                        <w:right w:val="none" w:sz="0" w:space="0" w:color="auto"/>
                      </w:divBdr>
                    </w:div>
                    <w:div w:id="294140667">
                      <w:marLeft w:val="0"/>
                      <w:marRight w:val="0"/>
                      <w:marTop w:val="0"/>
                      <w:marBottom w:val="0"/>
                      <w:divBdr>
                        <w:top w:val="none" w:sz="0" w:space="0" w:color="auto"/>
                        <w:left w:val="none" w:sz="0" w:space="0" w:color="auto"/>
                        <w:bottom w:val="none" w:sz="0" w:space="0" w:color="auto"/>
                        <w:right w:val="none" w:sz="0" w:space="0" w:color="auto"/>
                      </w:divBdr>
                    </w:div>
                    <w:div w:id="294140683">
                      <w:marLeft w:val="0"/>
                      <w:marRight w:val="0"/>
                      <w:marTop w:val="0"/>
                      <w:marBottom w:val="0"/>
                      <w:divBdr>
                        <w:top w:val="none" w:sz="0" w:space="0" w:color="auto"/>
                        <w:left w:val="none" w:sz="0" w:space="0" w:color="auto"/>
                        <w:bottom w:val="none" w:sz="0" w:space="0" w:color="auto"/>
                        <w:right w:val="none" w:sz="0" w:space="0" w:color="auto"/>
                      </w:divBdr>
                      <w:divsChild>
                        <w:div w:id="294147723">
                          <w:marLeft w:val="0"/>
                          <w:marRight w:val="0"/>
                          <w:marTop w:val="0"/>
                          <w:marBottom w:val="0"/>
                          <w:divBdr>
                            <w:top w:val="none" w:sz="0" w:space="0" w:color="auto"/>
                            <w:left w:val="none" w:sz="0" w:space="0" w:color="auto"/>
                            <w:bottom w:val="none" w:sz="0" w:space="0" w:color="auto"/>
                            <w:right w:val="none" w:sz="0" w:space="0" w:color="auto"/>
                          </w:divBdr>
                        </w:div>
                      </w:divsChild>
                    </w:div>
                    <w:div w:id="294140712">
                      <w:marLeft w:val="0"/>
                      <w:marRight w:val="0"/>
                      <w:marTop w:val="0"/>
                      <w:marBottom w:val="0"/>
                      <w:divBdr>
                        <w:top w:val="none" w:sz="0" w:space="0" w:color="auto"/>
                        <w:left w:val="none" w:sz="0" w:space="0" w:color="auto"/>
                        <w:bottom w:val="none" w:sz="0" w:space="0" w:color="auto"/>
                        <w:right w:val="none" w:sz="0" w:space="0" w:color="auto"/>
                      </w:divBdr>
                    </w:div>
                    <w:div w:id="294140810">
                      <w:marLeft w:val="0"/>
                      <w:marRight w:val="0"/>
                      <w:marTop w:val="0"/>
                      <w:marBottom w:val="0"/>
                      <w:divBdr>
                        <w:top w:val="none" w:sz="0" w:space="0" w:color="auto"/>
                        <w:left w:val="none" w:sz="0" w:space="0" w:color="auto"/>
                        <w:bottom w:val="none" w:sz="0" w:space="0" w:color="auto"/>
                        <w:right w:val="none" w:sz="0" w:space="0" w:color="auto"/>
                      </w:divBdr>
                    </w:div>
                    <w:div w:id="294140818">
                      <w:marLeft w:val="0"/>
                      <w:marRight w:val="0"/>
                      <w:marTop w:val="0"/>
                      <w:marBottom w:val="0"/>
                      <w:divBdr>
                        <w:top w:val="none" w:sz="0" w:space="0" w:color="auto"/>
                        <w:left w:val="none" w:sz="0" w:space="0" w:color="auto"/>
                        <w:bottom w:val="none" w:sz="0" w:space="0" w:color="auto"/>
                        <w:right w:val="none" w:sz="0" w:space="0" w:color="auto"/>
                      </w:divBdr>
                    </w:div>
                    <w:div w:id="294140866">
                      <w:marLeft w:val="0"/>
                      <w:marRight w:val="0"/>
                      <w:marTop w:val="0"/>
                      <w:marBottom w:val="0"/>
                      <w:divBdr>
                        <w:top w:val="none" w:sz="0" w:space="0" w:color="auto"/>
                        <w:left w:val="none" w:sz="0" w:space="0" w:color="auto"/>
                        <w:bottom w:val="none" w:sz="0" w:space="0" w:color="auto"/>
                        <w:right w:val="none" w:sz="0" w:space="0" w:color="auto"/>
                      </w:divBdr>
                      <w:divsChild>
                        <w:div w:id="294145636">
                          <w:marLeft w:val="0"/>
                          <w:marRight w:val="0"/>
                          <w:marTop w:val="0"/>
                          <w:marBottom w:val="0"/>
                          <w:divBdr>
                            <w:top w:val="none" w:sz="0" w:space="0" w:color="auto"/>
                            <w:left w:val="none" w:sz="0" w:space="0" w:color="auto"/>
                            <w:bottom w:val="none" w:sz="0" w:space="0" w:color="auto"/>
                            <w:right w:val="none" w:sz="0" w:space="0" w:color="auto"/>
                          </w:divBdr>
                        </w:div>
                      </w:divsChild>
                    </w:div>
                    <w:div w:id="294141079">
                      <w:marLeft w:val="0"/>
                      <w:marRight w:val="0"/>
                      <w:marTop w:val="0"/>
                      <w:marBottom w:val="0"/>
                      <w:divBdr>
                        <w:top w:val="none" w:sz="0" w:space="0" w:color="auto"/>
                        <w:left w:val="none" w:sz="0" w:space="0" w:color="auto"/>
                        <w:bottom w:val="none" w:sz="0" w:space="0" w:color="auto"/>
                        <w:right w:val="none" w:sz="0" w:space="0" w:color="auto"/>
                      </w:divBdr>
                      <w:divsChild>
                        <w:div w:id="294149444">
                          <w:marLeft w:val="0"/>
                          <w:marRight w:val="0"/>
                          <w:marTop w:val="0"/>
                          <w:marBottom w:val="0"/>
                          <w:divBdr>
                            <w:top w:val="none" w:sz="0" w:space="0" w:color="auto"/>
                            <w:left w:val="none" w:sz="0" w:space="0" w:color="auto"/>
                            <w:bottom w:val="none" w:sz="0" w:space="0" w:color="auto"/>
                            <w:right w:val="none" w:sz="0" w:space="0" w:color="auto"/>
                          </w:divBdr>
                        </w:div>
                      </w:divsChild>
                    </w:div>
                    <w:div w:id="294141093">
                      <w:marLeft w:val="0"/>
                      <w:marRight w:val="0"/>
                      <w:marTop w:val="0"/>
                      <w:marBottom w:val="0"/>
                      <w:divBdr>
                        <w:top w:val="none" w:sz="0" w:space="0" w:color="auto"/>
                        <w:left w:val="none" w:sz="0" w:space="0" w:color="auto"/>
                        <w:bottom w:val="none" w:sz="0" w:space="0" w:color="auto"/>
                        <w:right w:val="none" w:sz="0" w:space="0" w:color="auto"/>
                      </w:divBdr>
                    </w:div>
                    <w:div w:id="294141301">
                      <w:marLeft w:val="0"/>
                      <w:marRight w:val="0"/>
                      <w:marTop w:val="0"/>
                      <w:marBottom w:val="0"/>
                      <w:divBdr>
                        <w:top w:val="none" w:sz="0" w:space="0" w:color="auto"/>
                        <w:left w:val="none" w:sz="0" w:space="0" w:color="auto"/>
                        <w:bottom w:val="none" w:sz="0" w:space="0" w:color="auto"/>
                        <w:right w:val="none" w:sz="0" w:space="0" w:color="auto"/>
                      </w:divBdr>
                    </w:div>
                    <w:div w:id="294141314">
                      <w:marLeft w:val="0"/>
                      <w:marRight w:val="0"/>
                      <w:marTop w:val="0"/>
                      <w:marBottom w:val="0"/>
                      <w:divBdr>
                        <w:top w:val="none" w:sz="0" w:space="0" w:color="auto"/>
                        <w:left w:val="none" w:sz="0" w:space="0" w:color="auto"/>
                        <w:bottom w:val="none" w:sz="0" w:space="0" w:color="auto"/>
                        <w:right w:val="none" w:sz="0" w:space="0" w:color="auto"/>
                      </w:divBdr>
                    </w:div>
                    <w:div w:id="294141475">
                      <w:marLeft w:val="0"/>
                      <w:marRight w:val="0"/>
                      <w:marTop w:val="0"/>
                      <w:marBottom w:val="0"/>
                      <w:divBdr>
                        <w:top w:val="none" w:sz="0" w:space="0" w:color="auto"/>
                        <w:left w:val="none" w:sz="0" w:space="0" w:color="auto"/>
                        <w:bottom w:val="none" w:sz="0" w:space="0" w:color="auto"/>
                        <w:right w:val="none" w:sz="0" w:space="0" w:color="auto"/>
                      </w:divBdr>
                    </w:div>
                    <w:div w:id="294141545">
                      <w:marLeft w:val="0"/>
                      <w:marRight w:val="0"/>
                      <w:marTop w:val="0"/>
                      <w:marBottom w:val="0"/>
                      <w:divBdr>
                        <w:top w:val="none" w:sz="0" w:space="0" w:color="auto"/>
                        <w:left w:val="none" w:sz="0" w:space="0" w:color="auto"/>
                        <w:bottom w:val="none" w:sz="0" w:space="0" w:color="auto"/>
                        <w:right w:val="none" w:sz="0" w:space="0" w:color="auto"/>
                      </w:divBdr>
                    </w:div>
                    <w:div w:id="294141576">
                      <w:marLeft w:val="0"/>
                      <w:marRight w:val="0"/>
                      <w:marTop w:val="0"/>
                      <w:marBottom w:val="0"/>
                      <w:divBdr>
                        <w:top w:val="none" w:sz="0" w:space="0" w:color="auto"/>
                        <w:left w:val="none" w:sz="0" w:space="0" w:color="auto"/>
                        <w:bottom w:val="none" w:sz="0" w:space="0" w:color="auto"/>
                        <w:right w:val="none" w:sz="0" w:space="0" w:color="auto"/>
                      </w:divBdr>
                      <w:divsChild>
                        <w:div w:id="294153566">
                          <w:marLeft w:val="0"/>
                          <w:marRight w:val="0"/>
                          <w:marTop w:val="0"/>
                          <w:marBottom w:val="0"/>
                          <w:divBdr>
                            <w:top w:val="none" w:sz="0" w:space="0" w:color="auto"/>
                            <w:left w:val="none" w:sz="0" w:space="0" w:color="auto"/>
                            <w:bottom w:val="none" w:sz="0" w:space="0" w:color="auto"/>
                            <w:right w:val="none" w:sz="0" w:space="0" w:color="auto"/>
                          </w:divBdr>
                        </w:div>
                      </w:divsChild>
                    </w:div>
                    <w:div w:id="294141698">
                      <w:marLeft w:val="0"/>
                      <w:marRight w:val="0"/>
                      <w:marTop w:val="0"/>
                      <w:marBottom w:val="0"/>
                      <w:divBdr>
                        <w:top w:val="none" w:sz="0" w:space="0" w:color="auto"/>
                        <w:left w:val="none" w:sz="0" w:space="0" w:color="auto"/>
                        <w:bottom w:val="none" w:sz="0" w:space="0" w:color="auto"/>
                        <w:right w:val="none" w:sz="0" w:space="0" w:color="auto"/>
                      </w:divBdr>
                    </w:div>
                    <w:div w:id="294141742">
                      <w:marLeft w:val="0"/>
                      <w:marRight w:val="0"/>
                      <w:marTop w:val="0"/>
                      <w:marBottom w:val="0"/>
                      <w:divBdr>
                        <w:top w:val="none" w:sz="0" w:space="0" w:color="auto"/>
                        <w:left w:val="none" w:sz="0" w:space="0" w:color="auto"/>
                        <w:bottom w:val="none" w:sz="0" w:space="0" w:color="auto"/>
                        <w:right w:val="none" w:sz="0" w:space="0" w:color="auto"/>
                      </w:divBdr>
                    </w:div>
                    <w:div w:id="294141881">
                      <w:marLeft w:val="0"/>
                      <w:marRight w:val="0"/>
                      <w:marTop w:val="0"/>
                      <w:marBottom w:val="0"/>
                      <w:divBdr>
                        <w:top w:val="none" w:sz="0" w:space="0" w:color="auto"/>
                        <w:left w:val="none" w:sz="0" w:space="0" w:color="auto"/>
                        <w:bottom w:val="none" w:sz="0" w:space="0" w:color="auto"/>
                        <w:right w:val="none" w:sz="0" w:space="0" w:color="auto"/>
                      </w:divBdr>
                      <w:divsChild>
                        <w:div w:id="294145377">
                          <w:marLeft w:val="0"/>
                          <w:marRight w:val="0"/>
                          <w:marTop w:val="0"/>
                          <w:marBottom w:val="0"/>
                          <w:divBdr>
                            <w:top w:val="none" w:sz="0" w:space="0" w:color="auto"/>
                            <w:left w:val="none" w:sz="0" w:space="0" w:color="auto"/>
                            <w:bottom w:val="none" w:sz="0" w:space="0" w:color="auto"/>
                            <w:right w:val="none" w:sz="0" w:space="0" w:color="auto"/>
                          </w:divBdr>
                        </w:div>
                      </w:divsChild>
                    </w:div>
                    <w:div w:id="294142212">
                      <w:marLeft w:val="0"/>
                      <w:marRight w:val="0"/>
                      <w:marTop w:val="0"/>
                      <w:marBottom w:val="0"/>
                      <w:divBdr>
                        <w:top w:val="none" w:sz="0" w:space="0" w:color="auto"/>
                        <w:left w:val="none" w:sz="0" w:space="0" w:color="auto"/>
                        <w:bottom w:val="none" w:sz="0" w:space="0" w:color="auto"/>
                        <w:right w:val="none" w:sz="0" w:space="0" w:color="auto"/>
                      </w:divBdr>
                      <w:divsChild>
                        <w:div w:id="294141583">
                          <w:marLeft w:val="0"/>
                          <w:marRight w:val="0"/>
                          <w:marTop w:val="0"/>
                          <w:marBottom w:val="0"/>
                          <w:divBdr>
                            <w:top w:val="none" w:sz="0" w:space="0" w:color="auto"/>
                            <w:left w:val="none" w:sz="0" w:space="0" w:color="auto"/>
                            <w:bottom w:val="none" w:sz="0" w:space="0" w:color="auto"/>
                            <w:right w:val="none" w:sz="0" w:space="0" w:color="auto"/>
                          </w:divBdr>
                        </w:div>
                      </w:divsChild>
                    </w:div>
                    <w:div w:id="294142375">
                      <w:marLeft w:val="0"/>
                      <w:marRight w:val="0"/>
                      <w:marTop w:val="0"/>
                      <w:marBottom w:val="0"/>
                      <w:divBdr>
                        <w:top w:val="none" w:sz="0" w:space="0" w:color="auto"/>
                        <w:left w:val="none" w:sz="0" w:space="0" w:color="auto"/>
                        <w:bottom w:val="none" w:sz="0" w:space="0" w:color="auto"/>
                        <w:right w:val="none" w:sz="0" w:space="0" w:color="auto"/>
                      </w:divBdr>
                      <w:divsChild>
                        <w:div w:id="294154732">
                          <w:marLeft w:val="0"/>
                          <w:marRight w:val="0"/>
                          <w:marTop w:val="0"/>
                          <w:marBottom w:val="0"/>
                          <w:divBdr>
                            <w:top w:val="none" w:sz="0" w:space="0" w:color="auto"/>
                            <w:left w:val="none" w:sz="0" w:space="0" w:color="auto"/>
                            <w:bottom w:val="none" w:sz="0" w:space="0" w:color="auto"/>
                            <w:right w:val="none" w:sz="0" w:space="0" w:color="auto"/>
                          </w:divBdr>
                        </w:div>
                      </w:divsChild>
                    </w:div>
                    <w:div w:id="294142389">
                      <w:marLeft w:val="0"/>
                      <w:marRight w:val="0"/>
                      <w:marTop w:val="0"/>
                      <w:marBottom w:val="0"/>
                      <w:divBdr>
                        <w:top w:val="none" w:sz="0" w:space="0" w:color="auto"/>
                        <w:left w:val="none" w:sz="0" w:space="0" w:color="auto"/>
                        <w:bottom w:val="none" w:sz="0" w:space="0" w:color="auto"/>
                        <w:right w:val="none" w:sz="0" w:space="0" w:color="auto"/>
                      </w:divBdr>
                      <w:divsChild>
                        <w:div w:id="294145546">
                          <w:marLeft w:val="0"/>
                          <w:marRight w:val="0"/>
                          <w:marTop w:val="0"/>
                          <w:marBottom w:val="0"/>
                          <w:divBdr>
                            <w:top w:val="none" w:sz="0" w:space="0" w:color="auto"/>
                            <w:left w:val="none" w:sz="0" w:space="0" w:color="auto"/>
                            <w:bottom w:val="none" w:sz="0" w:space="0" w:color="auto"/>
                            <w:right w:val="none" w:sz="0" w:space="0" w:color="auto"/>
                          </w:divBdr>
                        </w:div>
                      </w:divsChild>
                    </w:div>
                    <w:div w:id="294142425">
                      <w:marLeft w:val="0"/>
                      <w:marRight w:val="0"/>
                      <w:marTop w:val="0"/>
                      <w:marBottom w:val="0"/>
                      <w:divBdr>
                        <w:top w:val="none" w:sz="0" w:space="0" w:color="auto"/>
                        <w:left w:val="none" w:sz="0" w:space="0" w:color="auto"/>
                        <w:bottom w:val="none" w:sz="0" w:space="0" w:color="auto"/>
                        <w:right w:val="none" w:sz="0" w:space="0" w:color="auto"/>
                      </w:divBdr>
                      <w:divsChild>
                        <w:div w:id="294156899">
                          <w:marLeft w:val="0"/>
                          <w:marRight w:val="0"/>
                          <w:marTop w:val="0"/>
                          <w:marBottom w:val="0"/>
                          <w:divBdr>
                            <w:top w:val="none" w:sz="0" w:space="0" w:color="auto"/>
                            <w:left w:val="none" w:sz="0" w:space="0" w:color="auto"/>
                            <w:bottom w:val="none" w:sz="0" w:space="0" w:color="auto"/>
                            <w:right w:val="none" w:sz="0" w:space="0" w:color="auto"/>
                          </w:divBdr>
                        </w:div>
                      </w:divsChild>
                    </w:div>
                    <w:div w:id="294142435">
                      <w:marLeft w:val="0"/>
                      <w:marRight w:val="0"/>
                      <w:marTop w:val="0"/>
                      <w:marBottom w:val="0"/>
                      <w:divBdr>
                        <w:top w:val="none" w:sz="0" w:space="0" w:color="auto"/>
                        <w:left w:val="none" w:sz="0" w:space="0" w:color="auto"/>
                        <w:bottom w:val="none" w:sz="0" w:space="0" w:color="auto"/>
                        <w:right w:val="none" w:sz="0" w:space="0" w:color="auto"/>
                      </w:divBdr>
                    </w:div>
                    <w:div w:id="294142531">
                      <w:marLeft w:val="0"/>
                      <w:marRight w:val="0"/>
                      <w:marTop w:val="0"/>
                      <w:marBottom w:val="0"/>
                      <w:divBdr>
                        <w:top w:val="none" w:sz="0" w:space="0" w:color="auto"/>
                        <w:left w:val="none" w:sz="0" w:space="0" w:color="auto"/>
                        <w:bottom w:val="none" w:sz="0" w:space="0" w:color="auto"/>
                        <w:right w:val="none" w:sz="0" w:space="0" w:color="auto"/>
                      </w:divBdr>
                    </w:div>
                    <w:div w:id="294142540">
                      <w:marLeft w:val="0"/>
                      <w:marRight w:val="0"/>
                      <w:marTop w:val="0"/>
                      <w:marBottom w:val="0"/>
                      <w:divBdr>
                        <w:top w:val="none" w:sz="0" w:space="0" w:color="auto"/>
                        <w:left w:val="none" w:sz="0" w:space="0" w:color="auto"/>
                        <w:bottom w:val="none" w:sz="0" w:space="0" w:color="auto"/>
                        <w:right w:val="none" w:sz="0" w:space="0" w:color="auto"/>
                      </w:divBdr>
                    </w:div>
                    <w:div w:id="294142584">
                      <w:marLeft w:val="0"/>
                      <w:marRight w:val="0"/>
                      <w:marTop w:val="0"/>
                      <w:marBottom w:val="0"/>
                      <w:divBdr>
                        <w:top w:val="none" w:sz="0" w:space="0" w:color="auto"/>
                        <w:left w:val="none" w:sz="0" w:space="0" w:color="auto"/>
                        <w:bottom w:val="none" w:sz="0" w:space="0" w:color="auto"/>
                        <w:right w:val="none" w:sz="0" w:space="0" w:color="auto"/>
                      </w:divBdr>
                    </w:div>
                    <w:div w:id="294142837">
                      <w:marLeft w:val="0"/>
                      <w:marRight w:val="0"/>
                      <w:marTop w:val="0"/>
                      <w:marBottom w:val="0"/>
                      <w:divBdr>
                        <w:top w:val="none" w:sz="0" w:space="0" w:color="auto"/>
                        <w:left w:val="none" w:sz="0" w:space="0" w:color="auto"/>
                        <w:bottom w:val="none" w:sz="0" w:space="0" w:color="auto"/>
                        <w:right w:val="none" w:sz="0" w:space="0" w:color="auto"/>
                      </w:divBdr>
                      <w:divsChild>
                        <w:div w:id="294155176">
                          <w:marLeft w:val="0"/>
                          <w:marRight w:val="0"/>
                          <w:marTop w:val="0"/>
                          <w:marBottom w:val="0"/>
                          <w:divBdr>
                            <w:top w:val="none" w:sz="0" w:space="0" w:color="auto"/>
                            <w:left w:val="none" w:sz="0" w:space="0" w:color="auto"/>
                            <w:bottom w:val="none" w:sz="0" w:space="0" w:color="auto"/>
                            <w:right w:val="none" w:sz="0" w:space="0" w:color="auto"/>
                          </w:divBdr>
                        </w:div>
                      </w:divsChild>
                    </w:div>
                    <w:div w:id="294142850">
                      <w:marLeft w:val="0"/>
                      <w:marRight w:val="0"/>
                      <w:marTop w:val="0"/>
                      <w:marBottom w:val="0"/>
                      <w:divBdr>
                        <w:top w:val="none" w:sz="0" w:space="0" w:color="auto"/>
                        <w:left w:val="none" w:sz="0" w:space="0" w:color="auto"/>
                        <w:bottom w:val="none" w:sz="0" w:space="0" w:color="auto"/>
                        <w:right w:val="none" w:sz="0" w:space="0" w:color="auto"/>
                      </w:divBdr>
                      <w:divsChild>
                        <w:div w:id="294145278">
                          <w:marLeft w:val="0"/>
                          <w:marRight w:val="0"/>
                          <w:marTop w:val="0"/>
                          <w:marBottom w:val="0"/>
                          <w:divBdr>
                            <w:top w:val="none" w:sz="0" w:space="0" w:color="auto"/>
                            <w:left w:val="none" w:sz="0" w:space="0" w:color="auto"/>
                            <w:bottom w:val="none" w:sz="0" w:space="0" w:color="auto"/>
                            <w:right w:val="none" w:sz="0" w:space="0" w:color="auto"/>
                          </w:divBdr>
                        </w:div>
                      </w:divsChild>
                    </w:div>
                    <w:div w:id="294142856">
                      <w:marLeft w:val="0"/>
                      <w:marRight w:val="0"/>
                      <w:marTop w:val="0"/>
                      <w:marBottom w:val="0"/>
                      <w:divBdr>
                        <w:top w:val="none" w:sz="0" w:space="0" w:color="auto"/>
                        <w:left w:val="none" w:sz="0" w:space="0" w:color="auto"/>
                        <w:bottom w:val="none" w:sz="0" w:space="0" w:color="auto"/>
                        <w:right w:val="none" w:sz="0" w:space="0" w:color="auto"/>
                      </w:divBdr>
                    </w:div>
                    <w:div w:id="294142895">
                      <w:marLeft w:val="0"/>
                      <w:marRight w:val="0"/>
                      <w:marTop w:val="0"/>
                      <w:marBottom w:val="0"/>
                      <w:divBdr>
                        <w:top w:val="none" w:sz="0" w:space="0" w:color="auto"/>
                        <w:left w:val="none" w:sz="0" w:space="0" w:color="auto"/>
                        <w:bottom w:val="none" w:sz="0" w:space="0" w:color="auto"/>
                        <w:right w:val="none" w:sz="0" w:space="0" w:color="auto"/>
                      </w:divBdr>
                      <w:divsChild>
                        <w:div w:id="294150788">
                          <w:marLeft w:val="0"/>
                          <w:marRight w:val="0"/>
                          <w:marTop w:val="0"/>
                          <w:marBottom w:val="0"/>
                          <w:divBdr>
                            <w:top w:val="none" w:sz="0" w:space="0" w:color="auto"/>
                            <w:left w:val="none" w:sz="0" w:space="0" w:color="auto"/>
                            <w:bottom w:val="none" w:sz="0" w:space="0" w:color="auto"/>
                            <w:right w:val="none" w:sz="0" w:space="0" w:color="auto"/>
                          </w:divBdr>
                        </w:div>
                      </w:divsChild>
                    </w:div>
                    <w:div w:id="294142926">
                      <w:marLeft w:val="0"/>
                      <w:marRight w:val="0"/>
                      <w:marTop w:val="0"/>
                      <w:marBottom w:val="0"/>
                      <w:divBdr>
                        <w:top w:val="none" w:sz="0" w:space="0" w:color="auto"/>
                        <w:left w:val="none" w:sz="0" w:space="0" w:color="auto"/>
                        <w:bottom w:val="none" w:sz="0" w:space="0" w:color="auto"/>
                        <w:right w:val="none" w:sz="0" w:space="0" w:color="auto"/>
                      </w:divBdr>
                      <w:divsChild>
                        <w:div w:id="294139200">
                          <w:marLeft w:val="0"/>
                          <w:marRight w:val="0"/>
                          <w:marTop w:val="0"/>
                          <w:marBottom w:val="0"/>
                          <w:divBdr>
                            <w:top w:val="none" w:sz="0" w:space="0" w:color="auto"/>
                            <w:left w:val="none" w:sz="0" w:space="0" w:color="auto"/>
                            <w:bottom w:val="none" w:sz="0" w:space="0" w:color="auto"/>
                            <w:right w:val="none" w:sz="0" w:space="0" w:color="auto"/>
                          </w:divBdr>
                        </w:div>
                      </w:divsChild>
                    </w:div>
                    <w:div w:id="294142988">
                      <w:marLeft w:val="0"/>
                      <w:marRight w:val="0"/>
                      <w:marTop w:val="0"/>
                      <w:marBottom w:val="0"/>
                      <w:divBdr>
                        <w:top w:val="none" w:sz="0" w:space="0" w:color="auto"/>
                        <w:left w:val="none" w:sz="0" w:space="0" w:color="auto"/>
                        <w:bottom w:val="none" w:sz="0" w:space="0" w:color="auto"/>
                        <w:right w:val="none" w:sz="0" w:space="0" w:color="auto"/>
                      </w:divBdr>
                      <w:divsChild>
                        <w:div w:id="294150240">
                          <w:marLeft w:val="0"/>
                          <w:marRight w:val="0"/>
                          <w:marTop w:val="0"/>
                          <w:marBottom w:val="0"/>
                          <w:divBdr>
                            <w:top w:val="none" w:sz="0" w:space="0" w:color="auto"/>
                            <w:left w:val="none" w:sz="0" w:space="0" w:color="auto"/>
                            <w:bottom w:val="none" w:sz="0" w:space="0" w:color="auto"/>
                            <w:right w:val="none" w:sz="0" w:space="0" w:color="auto"/>
                          </w:divBdr>
                        </w:div>
                      </w:divsChild>
                    </w:div>
                    <w:div w:id="294143044">
                      <w:marLeft w:val="0"/>
                      <w:marRight w:val="0"/>
                      <w:marTop w:val="0"/>
                      <w:marBottom w:val="0"/>
                      <w:divBdr>
                        <w:top w:val="none" w:sz="0" w:space="0" w:color="auto"/>
                        <w:left w:val="none" w:sz="0" w:space="0" w:color="auto"/>
                        <w:bottom w:val="none" w:sz="0" w:space="0" w:color="auto"/>
                        <w:right w:val="none" w:sz="0" w:space="0" w:color="auto"/>
                      </w:divBdr>
                    </w:div>
                    <w:div w:id="294143127">
                      <w:marLeft w:val="0"/>
                      <w:marRight w:val="0"/>
                      <w:marTop w:val="0"/>
                      <w:marBottom w:val="0"/>
                      <w:divBdr>
                        <w:top w:val="none" w:sz="0" w:space="0" w:color="auto"/>
                        <w:left w:val="none" w:sz="0" w:space="0" w:color="auto"/>
                        <w:bottom w:val="none" w:sz="0" w:space="0" w:color="auto"/>
                        <w:right w:val="none" w:sz="0" w:space="0" w:color="auto"/>
                      </w:divBdr>
                      <w:divsChild>
                        <w:div w:id="294139731">
                          <w:marLeft w:val="0"/>
                          <w:marRight w:val="0"/>
                          <w:marTop w:val="0"/>
                          <w:marBottom w:val="0"/>
                          <w:divBdr>
                            <w:top w:val="none" w:sz="0" w:space="0" w:color="auto"/>
                            <w:left w:val="none" w:sz="0" w:space="0" w:color="auto"/>
                            <w:bottom w:val="none" w:sz="0" w:space="0" w:color="auto"/>
                            <w:right w:val="none" w:sz="0" w:space="0" w:color="auto"/>
                          </w:divBdr>
                        </w:div>
                      </w:divsChild>
                    </w:div>
                    <w:div w:id="294143176">
                      <w:marLeft w:val="0"/>
                      <w:marRight w:val="0"/>
                      <w:marTop w:val="0"/>
                      <w:marBottom w:val="0"/>
                      <w:divBdr>
                        <w:top w:val="none" w:sz="0" w:space="0" w:color="auto"/>
                        <w:left w:val="none" w:sz="0" w:space="0" w:color="auto"/>
                        <w:bottom w:val="none" w:sz="0" w:space="0" w:color="auto"/>
                        <w:right w:val="none" w:sz="0" w:space="0" w:color="auto"/>
                      </w:divBdr>
                    </w:div>
                    <w:div w:id="294143190">
                      <w:marLeft w:val="0"/>
                      <w:marRight w:val="0"/>
                      <w:marTop w:val="0"/>
                      <w:marBottom w:val="0"/>
                      <w:divBdr>
                        <w:top w:val="none" w:sz="0" w:space="0" w:color="auto"/>
                        <w:left w:val="none" w:sz="0" w:space="0" w:color="auto"/>
                        <w:bottom w:val="none" w:sz="0" w:space="0" w:color="auto"/>
                        <w:right w:val="none" w:sz="0" w:space="0" w:color="auto"/>
                      </w:divBdr>
                      <w:divsChild>
                        <w:div w:id="294138288">
                          <w:marLeft w:val="0"/>
                          <w:marRight w:val="0"/>
                          <w:marTop w:val="0"/>
                          <w:marBottom w:val="0"/>
                          <w:divBdr>
                            <w:top w:val="none" w:sz="0" w:space="0" w:color="auto"/>
                            <w:left w:val="none" w:sz="0" w:space="0" w:color="auto"/>
                            <w:bottom w:val="none" w:sz="0" w:space="0" w:color="auto"/>
                            <w:right w:val="none" w:sz="0" w:space="0" w:color="auto"/>
                          </w:divBdr>
                        </w:div>
                      </w:divsChild>
                    </w:div>
                    <w:div w:id="294143208">
                      <w:marLeft w:val="0"/>
                      <w:marRight w:val="0"/>
                      <w:marTop w:val="0"/>
                      <w:marBottom w:val="0"/>
                      <w:divBdr>
                        <w:top w:val="none" w:sz="0" w:space="0" w:color="auto"/>
                        <w:left w:val="none" w:sz="0" w:space="0" w:color="auto"/>
                        <w:bottom w:val="none" w:sz="0" w:space="0" w:color="auto"/>
                        <w:right w:val="none" w:sz="0" w:space="0" w:color="auto"/>
                      </w:divBdr>
                    </w:div>
                    <w:div w:id="294143253">
                      <w:marLeft w:val="0"/>
                      <w:marRight w:val="0"/>
                      <w:marTop w:val="0"/>
                      <w:marBottom w:val="0"/>
                      <w:divBdr>
                        <w:top w:val="none" w:sz="0" w:space="0" w:color="auto"/>
                        <w:left w:val="none" w:sz="0" w:space="0" w:color="auto"/>
                        <w:bottom w:val="none" w:sz="0" w:space="0" w:color="auto"/>
                        <w:right w:val="none" w:sz="0" w:space="0" w:color="auto"/>
                      </w:divBdr>
                    </w:div>
                    <w:div w:id="294143259">
                      <w:marLeft w:val="0"/>
                      <w:marRight w:val="0"/>
                      <w:marTop w:val="0"/>
                      <w:marBottom w:val="0"/>
                      <w:divBdr>
                        <w:top w:val="none" w:sz="0" w:space="0" w:color="auto"/>
                        <w:left w:val="none" w:sz="0" w:space="0" w:color="auto"/>
                        <w:bottom w:val="none" w:sz="0" w:space="0" w:color="auto"/>
                        <w:right w:val="none" w:sz="0" w:space="0" w:color="auto"/>
                      </w:divBdr>
                      <w:divsChild>
                        <w:div w:id="294151651">
                          <w:marLeft w:val="0"/>
                          <w:marRight w:val="0"/>
                          <w:marTop w:val="0"/>
                          <w:marBottom w:val="0"/>
                          <w:divBdr>
                            <w:top w:val="none" w:sz="0" w:space="0" w:color="auto"/>
                            <w:left w:val="none" w:sz="0" w:space="0" w:color="auto"/>
                            <w:bottom w:val="none" w:sz="0" w:space="0" w:color="auto"/>
                            <w:right w:val="none" w:sz="0" w:space="0" w:color="auto"/>
                          </w:divBdr>
                        </w:div>
                      </w:divsChild>
                    </w:div>
                    <w:div w:id="294143278">
                      <w:marLeft w:val="0"/>
                      <w:marRight w:val="0"/>
                      <w:marTop w:val="0"/>
                      <w:marBottom w:val="0"/>
                      <w:divBdr>
                        <w:top w:val="none" w:sz="0" w:space="0" w:color="auto"/>
                        <w:left w:val="none" w:sz="0" w:space="0" w:color="auto"/>
                        <w:bottom w:val="none" w:sz="0" w:space="0" w:color="auto"/>
                        <w:right w:val="none" w:sz="0" w:space="0" w:color="auto"/>
                      </w:divBdr>
                      <w:divsChild>
                        <w:div w:id="294139693">
                          <w:marLeft w:val="0"/>
                          <w:marRight w:val="0"/>
                          <w:marTop w:val="0"/>
                          <w:marBottom w:val="0"/>
                          <w:divBdr>
                            <w:top w:val="none" w:sz="0" w:space="0" w:color="auto"/>
                            <w:left w:val="none" w:sz="0" w:space="0" w:color="auto"/>
                            <w:bottom w:val="none" w:sz="0" w:space="0" w:color="auto"/>
                            <w:right w:val="none" w:sz="0" w:space="0" w:color="auto"/>
                          </w:divBdr>
                        </w:div>
                      </w:divsChild>
                    </w:div>
                    <w:div w:id="294143313">
                      <w:marLeft w:val="0"/>
                      <w:marRight w:val="0"/>
                      <w:marTop w:val="0"/>
                      <w:marBottom w:val="0"/>
                      <w:divBdr>
                        <w:top w:val="none" w:sz="0" w:space="0" w:color="auto"/>
                        <w:left w:val="none" w:sz="0" w:space="0" w:color="auto"/>
                        <w:bottom w:val="none" w:sz="0" w:space="0" w:color="auto"/>
                        <w:right w:val="none" w:sz="0" w:space="0" w:color="auto"/>
                      </w:divBdr>
                    </w:div>
                    <w:div w:id="294143369">
                      <w:marLeft w:val="0"/>
                      <w:marRight w:val="0"/>
                      <w:marTop w:val="0"/>
                      <w:marBottom w:val="0"/>
                      <w:divBdr>
                        <w:top w:val="none" w:sz="0" w:space="0" w:color="auto"/>
                        <w:left w:val="none" w:sz="0" w:space="0" w:color="auto"/>
                        <w:bottom w:val="none" w:sz="0" w:space="0" w:color="auto"/>
                        <w:right w:val="none" w:sz="0" w:space="0" w:color="auto"/>
                      </w:divBdr>
                      <w:divsChild>
                        <w:div w:id="294154425">
                          <w:marLeft w:val="0"/>
                          <w:marRight w:val="0"/>
                          <w:marTop w:val="0"/>
                          <w:marBottom w:val="0"/>
                          <w:divBdr>
                            <w:top w:val="none" w:sz="0" w:space="0" w:color="auto"/>
                            <w:left w:val="none" w:sz="0" w:space="0" w:color="auto"/>
                            <w:bottom w:val="none" w:sz="0" w:space="0" w:color="auto"/>
                            <w:right w:val="none" w:sz="0" w:space="0" w:color="auto"/>
                          </w:divBdr>
                        </w:div>
                      </w:divsChild>
                    </w:div>
                    <w:div w:id="294143412">
                      <w:marLeft w:val="0"/>
                      <w:marRight w:val="0"/>
                      <w:marTop w:val="0"/>
                      <w:marBottom w:val="0"/>
                      <w:divBdr>
                        <w:top w:val="none" w:sz="0" w:space="0" w:color="auto"/>
                        <w:left w:val="none" w:sz="0" w:space="0" w:color="auto"/>
                        <w:bottom w:val="none" w:sz="0" w:space="0" w:color="auto"/>
                        <w:right w:val="none" w:sz="0" w:space="0" w:color="auto"/>
                      </w:divBdr>
                    </w:div>
                    <w:div w:id="294143554">
                      <w:marLeft w:val="0"/>
                      <w:marRight w:val="0"/>
                      <w:marTop w:val="0"/>
                      <w:marBottom w:val="0"/>
                      <w:divBdr>
                        <w:top w:val="none" w:sz="0" w:space="0" w:color="auto"/>
                        <w:left w:val="none" w:sz="0" w:space="0" w:color="auto"/>
                        <w:bottom w:val="none" w:sz="0" w:space="0" w:color="auto"/>
                        <w:right w:val="none" w:sz="0" w:space="0" w:color="auto"/>
                      </w:divBdr>
                    </w:div>
                    <w:div w:id="294143773">
                      <w:marLeft w:val="0"/>
                      <w:marRight w:val="0"/>
                      <w:marTop w:val="0"/>
                      <w:marBottom w:val="0"/>
                      <w:divBdr>
                        <w:top w:val="none" w:sz="0" w:space="0" w:color="auto"/>
                        <w:left w:val="none" w:sz="0" w:space="0" w:color="auto"/>
                        <w:bottom w:val="none" w:sz="0" w:space="0" w:color="auto"/>
                        <w:right w:val="none" w:sz="0" w:space="0" w:color="auto"/>
                      </w:divBdr>
                      <w:divsChild>
                        <w:div w:id="294140137">
                          <w:marLeft w:val="0"/>
                          <w:marRight w:val="0"/>
                          <w:marTop w:val="0"/>
                          <w:marBottom w:val="0"/>
                          <w:divBdr>
                            <w:top w:val="none" w:sz="0" w:space="0" w:color="auto"/>
                            <w:left w:val="none" w:sz="0" w:space="0" w:color="auto"/>
                            <w:bottom w:val="none" w:sz="0" w:space="0" w:color="auto"/>
                            <w:right w:val="none" w:sz="0" w:space="0" w:color="auto"/>
                          </w:divBdr>
                        </w:div>
                      </w:divsChild>
                    </w:div>
                    <w:div w:id="294143920">
                      <w:marLeft w:val="0"/>
                      <w:marRight w:val="0"/>
                      <w:marTop w:val="0"/>
                      <w:marBottom w:val="0"/>
                      <w:divBdr>
                        <w:top w:val="none" w:sz="0" w:space="0" w:color="auto"/>
                        <w:left w:val="none" w:sz="0" w:space="0" w:color="auto"/>
                        <w:bottom w:val="none" w:sz="0" w:space="0" w:color="auto"/>
                        <w:right w:val="none" w:sz="0" w:space="0" w:color="auto"/>
                      </w:divBdr>
                    </w:div>
                    <w:div w:id="294144023">
                      <w:marLeft w:val="0"/>
                      <w:marRight w:val="0"/>
                      <w:marTop w:val="0"/>
                      <w:marBottom w:val="0"/>
                      <w:divBdr>
                        <w:top w:val="none" w:sz="0" w:space="0" w:color="auto"/>
                        <w:left w:val="none" w:sz="0" w:space="0" w:color="auto"/>
                        <w:bottom w:val="none" w:sz="0" w:space="0" w:color="auto"/>
                        <w:right w:val="none" w:sz="0" w:space="0" w:color="auto"/>
                      </w:divBdr>
                      <w:divsChild>
                        <w:div w:id="294151776">
                          <w:marLeft w:val="0"/>
                          <w:marRight w:val="0"/>
                          <w:marTop w:val="0"/>
                          <w:marBottom w:val="0"/>
                          <w:divBdr>
                            <w:top w:val="none" w:sz="0" w:space="0" w:color="auto"/>
                            <w:left w:val="none" w:sz="0" w:space="0" w:color="auto"/>
                            <w:bottom w:val="none" w:sz="0" w:space="0" w:color="auto"/>
                            <w:right w:val="none" w:sz="0" w:space="0" w:color="auto"/>
                          </w:divBdr>
                        </w:div>
                      </w:divsChild>
                    </w:div>
                    <w:div w:id="294144141">
                      <w:marLeft w:val="0"/>
                      <w:marRight w:val="0"/>
                      <w:marTop w:val="0"/>
                      <w:marBottom w:val="0"/>
                      <w:divBdr>
                        <w:top w:val="none" w:sz="0" w:space="0" w:color="auto"/>
                        <w:left w:val="none" w:sz="0" w:space="0" w:color="auto"/>
                        <w:bottom w:val="none" w:sz="0" w:space="0" w:color="auto"/>
                        <w:right w:val="none" w:sz="0" w:space="0" w:color="auto"/>
                      </w:divBdr>
                      <w:divsChild>
                        <w:div w:id="294154717">
                          <w:marLeft w:val="0"/>
                          <w:marRight w:val="0"/>
                          <w:marTop w:val="0"/>
                          <w:marBottom w:val="0"/>
                          <w:divBdr>
                            <w:top w:val="none" w:sz="0" w:space="0" w:color="auto"/>
                            <w:left w:val="none" w:sz="0" w:space="0" w:color="auto"/>
                            <w:bottom w:val="none" w:sz="0" w:space="0" w:color="auto"/>
                            <w:right w:val="none" w:sz="0" w:space="0" w:color="auto"/>
                          </w:divBdr>
                        </w:div>
                      </w:divsChild>
                    </w:div>
                    <w:div w:id="294144173">
                      <w:marLeft w:val="0"/>
                      <w:marRight w:val="0"/>
                      <w:marTop w:val="0"/>
                      <w:marBottom w:val="0"/>
                      <w:divBdr>
                        <w:top w:val="none" w:sz="0" w:space="0" w:color="auto"/>
                        <w:left w:val="none" w:sz="0" w:space="0" w:color="auto"/>
                        <w:bottom w:val="none" w:sz="0" w:space="0" w:color="auto"/>
                        <w:right w:val="none" w:sz="0" w:space="0" w:color="auto"/>
                      </w:divBdr>
                      <w:divsChild>
                        <w:div w:id="294152624">
                          <w:marLeft w:val="0"/>
                          <w:marRight w:val="0"/>
                          <w:marTop w:val="0"/>
                          <w:marBottom w:val="0"/>
                          <w:divBdr>
                            <w:top w:val="none" w:sz="0" w:space="0" w:color="auto"/>
                            <w:left w:val="none" w:sz="0" w:space="0" w:color="auto"/>
                            <w:bottom w:val="none" w:sz="0" w:space="0" w:color="auto"/>
                            <w:right w:val="none" w:sz="0" w:space="0" w:color="auto"/>
                          </w:divBdr>
                        </w:div>
                      </w:divsChild>
                    </w:div>
                    <w:div w:id="294144229">
                      <w:marLeft w:val="0"/>
                      <w:marRight w:val="0"/>
                      <w:marTop w:val="0"/>
                      <w:marBottom w:val="0"/>
                      <w:divBdr>
                        <w:top w:val="none" w:sz="0" w:space="0" w:color="auto"/>
                        <w:left w:val="none" w:sz="0" w:space="0" w:color="auto"/>
                        <w:bottom w:val="none" w:sz="0" w:space="0" w:color="auto"/>
                        <w:right w:val="none" w:sz="0" w:space="0" w:color="auto"/>
                      </w:divBdr>
                    </w:div>
                    <w:div w:id="294144365">
                      <w:marLeft w:val="0"/>
                      <w:marRight w:val="0"/>
                      <w:marTop w:val="0"/>
                      <w:marBottom w:val="0"/>
                      <w:divBdr>
                        <w:top w:val="none" w:sz="0" w:space="0" w:color="auto"/>
                        <w:left w:val="none" w:sz="0" w:space="0" w:color="auto"/>
                        <w:bottom w:val="none" w:sz="0" w:space="0" w:color="auto"/>
                        <w:right w:val="none" w:sz="0" w:space="0" w:color="auto"/>
                      </w:divBdr>
                      <w:divsChild>
                        <w:div w:id="294146017">
                          <w:marLeft w:val="0"/>
                          <w:marRight w:val="0"/>
                          <w:marTop w:val="0"/>
                          <w:marBottom w:val="0"/>
                          <w:divBdr>
                            <w:top w:val="none" w:sz="0" w:space="0" w:color="auto"/>
                            <w:left w:val="none" w:sz="0" w:space="0" w:color="auto"/>
                            <w:bottom w:val="none" w:sz="0" w:space="0" w:color="auto"/>
                            <w:right w:val="none" w:sz="0" w:space="0" w:color="auto"/>
                          </w:divBdr>
                        </w:div>
                      </w:divsChild>
                    </w:div>
                    <w:div w:id="294144392">
                      <w:marLeft w:val="0"/>
                      <w:marRight w:val="0"/>
                      <w:marTop w:val="0"/>
                      <w:marBottom w:val="0"/>
                      <w:divBdr>
                        <w:top w:val="none" w:sz="0" w:space="0" w:color="auto"/>
                        <w:left w:val="none" w:sz="0" w:space="0" w:color="auto"/>
                        <w:bottom w:val="none" w:sz="0" w:space="0" w:color="auto"/>
                        <w:right w:val="none" w:sz="0" w:space="0" w:color="auto"/>
                      </w:divBdr>
                    </w:div>
                    <w:div w:id="294144407">
                      <w:marLeft w:val="0"/>
                      <w:marRight w:val="0"/>
                      <w:marTop w:val="0"/>
                      <w:marBottom w:val="0"/>
                      <w:divBdr>
                        <w:top w:val="none" w:sz="0" w:space="0" w:color="auto"/>
                        <w:left w:val="none" w:sz="0" w:space="0" w:color="auto"/>
                        <w:bottom w:val="none" w:sz="0" w:space="0" w:color="auto"/>
                        <w:right w:val="none" w:sz="0" w:space="0" w:color="auto"/>
                      </w:divBdr>
                    </w:div>
                    <w:div w:id="294144488">
                      <w:marLeft w:val="0"/>
                      <w:marRight w:val="0"/>
                      <w:marTop w:val="0"/>
                      <w:marBottom w:val="0"/>
                      <w:divBdr>
                        <w:top w:val="none" w:sz="0" w:space="0" w:color="auto"/>
                        <w:left w:val="none" w:sz="0" w:space="0" w:color="auto"/>
                        <w:bottom w:val="none" w:sz="0" w:space="0" w:color="auto"/>
                        <w:right w:val="none" w:sz="0" w:space="0" w:color="auto"/>
                      </w:divBdr>
                      <w:divsChild>
                        <w:div w:id="294140901">
                          <w:marLeft w:val="0"/>
                          <w:marRight w:val="0"/>
                          <w:marTop w:val="0"/>
                          <w:marBottom w:val="0"/>
                          <w:divBdr>
                            <w:top w:val="none" w:sz="0" w:space="0" w:color="auto"/>
                            <w:left w:val="none" w:sz="0" w:space="0" w:color="auto"/>
                            <w:bottom w:val="none" w:sz="0" w:space="0" w:color="auto"/>
                            <w:right w:val="none" w:sz="0" w:space="0" w:color="auto"/>
                          </w:divBdr>
                        </w:div>
                      </w:divsChild>
                    </w:div>
                    <w:div w:id="294144570">
                      <w:marLeft w:val="0"/>
                      <w:marRight w:val="0"/>
                      <w:marTop w:val="0"/>
                      <w:marBottom w:val="0"/>
                      <w:divBdr>
                        <w:top w:val="none" w:sz="0" w:space="0" w:color="auto"/>
                        <w:left w:val="none" w:sz="0" w:space="0" w:color="auto"/>
                        <w:bottom w:val="none" w:sz="0" w:space="0" w:color="auto"/>
                        <w:right w:val="none" w:sz="0" w:space="0" w:color="auto"/>
                      </w:divBdr>
                    </w:div>
                    <w:div w:id="294144581">
                      <w:marLeft w:val="0"/>
                      <w:marRight w:val="0"/>
                      <w:marTop w:val="0"/>
                      <w:marBottom w:val="0"/>
                      <w:divBdr>
                        <w:top w:val="none" w:sz="0" w:space="0" w:color="auto"/>
                        <w:left w:val="none" w:sz="0" w:space="0" w:color="auto"/>
                        <w:bottom w:val="none" w:sz="0" w:space="0" w:color="auto"/>
                        <w:right w:val="none" w:sz="0" w:space="0" w:color="auto"/>
                      </w:divBdr>
                      <w:divsChild>
                        <w:div w:id="294141589">
                          <w:marLeft w:val="0"/>
                          <w:marRight w:val="0"/>
                          <w:marTop w:val="0"/>
                          <w:marBottom w:val="0"/>
                          <w:divBdr>
                            <w:top w:val="none" w:sz="0" w:space="0" w:color="auto"/>
                            <w:left w:val="none" w:sz="0" w:space="0" w:color="auto"/>
                            <w:bottom w:val="none" w:sz="0" w:space="0" w:color="auto"/>
                            <w:right w:val="none" w:sz="0" w:space="0" w:color="auto"/>
                          </w:divBdr>
                        </w:div>
                      </w:divsChild>
                    </w:div>
                    <w:div w:id="294144594">
                      <w:marLeft w:val="0"/>
                      <w:marRight w:val="0"/>
                      <w:marTop w:val="0"/>
                      <w:marBottom w:val="0"/>
                      <w:divBdr>
                        <w:top w:val="none" w:sz="0" w:space="0" w:color="auto"/>
                        <w:left w:val="none" w:sz="0" w:space="0" w:color="auto"/>
                        <w:bottom w:val="none" w:sz="0" w:space="0" w:color="auto"/>
                        <w:right w:val="none" w:sz="0" w:space="0" w:color="auto"/>
                      </w:divBdr>
                      <w:divsChild>
                        <w:div w:id="294139266">
                          <w:marLeft w:val="0"/>
                          <w:marRight w:val="0"/>
                          <w:marTop w:val="0"/>
                          <w:marBottom w:val="0"/>
                          <w:divBdr>
                            <w:top w:val="none" w:sz="0" w:space="0" w:color="auto"/>
                            <w:left w:val="none" w:sz="0" w:space="0" w:color="auto"/>
                            <w:bottom w:val="none" w:sz="0" w:space="0" w:color="auto"/>
                            <w:right w:val="none" w:sz="0" w:space="0" w:color="auto"/>
                          </w:divBdr>
                        </w:div>
                      </w:divsChild>
                    </w:div>
                    <w:div w:id="294144699">
                      <w:marLeft w:val="0"/>
                      <w:marRight w:val="0"/>
                      <w:marTop w:val="0"/>
                      <w:marBottom w:val="0"/>
                      <w:divBdr>
                        <w:top w:val="none" w:sz="0" w:space="0" w:color="auto"/>
                        <w:left w:val="none" w:sz="0" w:space="0" w:color="auto"/>
                        <w:bottom w:val="none" w:sz="0" w:space="0" w:color="auto"/>
                        <w:right w:val="none" w:sz="0" w:space="0" w:color="auto"/>
                      </w:divBdr>
                      <w:divsChild>
                        <w:div w:id="294146272">
                          <w:marLeft w:val="0"/>
                          <w:marRight w:val="0"/>
                          <w:marTop w:val="0"/>
                          <w:marBottom w:val="0"/>
                          <w:divBdr>
                            <w:top w:val="none" w:sz="0" w:space="0" w:color="auto"/>
                            <w:left w:val="none" w:sz="0" w:space="0" w:color="auto"/>
                            <w:bottom w:val="none" w:sz="0" w:space="0" w:color="auto"/>
                            <w:right w:val="none" w:sz="0" w:space="0" w:color="auto"/>
                          </w:divBdr>
                        </w:div>
                      </w:divsChild>
                    </w:div>
                    <w:div w:id="294144903">
                      <w:marLeft w:val="0"/>
                      <w:marRight w:val="0"/>
                      <w:marTop w:val="0"/>
                      <w:marBottom w:val="0"/>
                      <w:divBdr>
                        <w:top w:val="none" w:sz="0" w:space="0" w:color="auto"/>
                        <w:left w:val="none" w:sz="0" w:space="0" w:color="auto"/>
                        <w:bottom w:val="none" w:sz="0" w:space="0" w:color="auto"/>
                        <w:right w:val="none" w:sz="0" w:space="0" w:color="auto"/>
                      </w:divBdr>
                      <w:divsChild>
                        <w:div w:id="294152720">
                          <w:marLeft w:val="0"/>
                          <w:marRight w:val="0"/>
                          <w:marTop w:val="0"/>
                          <w:marBottom w:val="0"/>
                          <w:divBdr>
                            <w:top w:val="none" w:sz="0" w:space="0" w:color="auto"/>
                            <w:left w:val="none" w:sz="0" w:space="0" w:color="auto"/>
                            <w:bottom w:val="none" w:sz="0" w:space="0" w:color="auto"/>
                            <w:right w:val="none" w:sz="0" w:space="0" w:color="auto"/>
                          </w:divBdr>
                        </w:div>
                      </w:divsChild>
                    </w:div>
                    <w:div w:id="294144917">
                      <w:marLeft w:val="0"/>
                      <w:marRight w:val="0"/>
                      <w:marTop w:val="0"/>
                      <w:marBottom w:val="0"/>
                      <w:divBdr>
                        <w:top w:val="none" w:sz="0" w:space="0" w:color="auto"/>
                        <w:left w:val="none" w:sz="0" w:space="0" w:color="auto"/>
                        <w:bottom w:val="none" w:sz="0" w:space="0" w:color="auto"/>
                        <w:right w:val="none" w:sz="0" w:space="0" w:color="auto"/>
                      </w:divBdr>
                      <w:divsChild>
                        <w:div w:id="294156986">
                          <w:marLeft w:val="0"/>
                          <w:marRight w:val="0"/>
                          <w:marTop w:val="0"/>
                          <w:marBottom w:val="0"/>
                          <w:divBdr>
                            <w:top w:val="none" w:sz="0" w:space="0" w:color="auto"/>
                            <w:left w:val="none" w:sz="0" w:space="0" w:color="auto"/>
                            <w:bottom w:val="none" w:sz="0" w:space="0" w:color="auto"/>
                            <w:right w:val="none" w:sz="0" w:space="0" w:color="auto"/>
                          </w:divBdr>
                        </w:div>
                      </w:divsChild>
                    </w:div>
                    <w:div w:id="294145003">
                      <w:marLeft w:val="0"/>
                      <w:marRight w:val="0"/>
                      <w:marTop w:val="0"/>
                      <w:marBottom w:val="0"/>
                      <w:divBdr>
                        <w:top w:val="none" w:sz="0" w:space="0" w:color="auto"/>
                        <w:left w:val="none" w:sz="0" w:space="0" w:color="auto"/>
                        <w:bottom w:val="none" w:sz="0" w:space="0" w:color="auto"/>
                        <w:right w:val="none" w:sz="0" w:space="0" w:color="auto"/>
                      </w:divBdr>
                    </w:div>
                    <w:div w:id="294145138">
                      <w:marLeft w:val="0"/>
                      <w:marRight w:val="0"/>
                      <w:marTop w:val="0"/>
                      <w:marBottom w:val="0"/>
                      <w:divBdr>
                        <w:top w:val="none" w:sz="0" w:space="0" w:color="auto"/>
                        <w:left w:val="none" w:sz="0" w:space="0" w:color="auto"/>
                        <w:bottom w:val="none" w:sz="0" w:space="0" w:color="auto"/>
                        <w:right w:val="none" w:sz="0" w:space="0" w:color="auto"/>
                      </w:divBdr>
                    </w:div>
                    <w:div w:id="294145144">
                      <w:marLeft w:val="0"/>
                      <w:marRight w:val="0"/>
                      <w:marTop w:val="0"/>
                      <w:marBottom w:val="0"/>
                      <w:divBdr>
                        <w:top w:val="none" w:sz="0" w:space="0" w:color="auto"/>
                        <w:left w:val="none" w:sz="0" w:space="0" w:color="auto"/>
                        <w:bottom w:val="none" w:sz="0" w:space="0" w:color="auto"/>
                        <w:right w:val="none" w:sz="0" w:space="0" w:color="auto"/>
                      </w:divBdr>
                      <w:divsChild>
                        <w:div w:id="294154600">
                          <w:marLeft w:val="0"/>
                          <w:marRight w:val="0"/>
                          <w:marTop w:val="0"/>
                          <w:marBottom w:val="0"/>
                          <w:divBdr>
                            <w:top w:val="none" w:sz="0" w:space="0" w:color="auto"/>
                            <w:left w:val="none" w:sz="0" w:space="0" w:color="auto"/>
                            <w:bottom w:val="none" w:sz="0" w:space="0" w:color="auto"/>
                            <w:right w:val="none" w:sz="0" w:space="0" w:color="auto"/>
                          </w:divBdr>
                        </w:div>
                      </w:divsChild>
                    </w:div>
                    <w:div w:id="294145169">
                      <w:marLeft w:val="0"/>
                      <w:marRight w:val="0"/>
                      <w:marTop w:val="0"/>
                      <w:marBottom w:val="0"/>
                      <w:divBdr>
                        <w:top w:val="none" w:sz="0" w:space="0" w:color="auto"/>
                        <w:left w:val="none" w:sz="0" w:space="0" w:color="auto"/>
                        <w:bottom w:val="none" w:sz="0" w:space="0" w:color="auto"/>
                        <w:right w:val="none" w:sz="0" w:space="0" w:color="auto"/>
                      </w:divBdr>
                    </w:div>
                    <w:div w:id="294145185">
                      <w:marLeft w:val="0"/>
                      <w:marRight w:val="0"/>
                      <w:marTop w:val="0"/>
                      <w:marBottom w:val="0"/>
                      <w:divBdr>
                        <w:top w:val="none" w:sz="0" w:space="0" w:color="auto"/>
                        <w:left w:val="none" w:sz="0" w:space="0" w:color="auto"/>
                        <w:bottom w:val="none" w:sz="0" w:space="0" w:color="auto"/>
                        <w:right w:val="none" w:sz="0" w:space="0" w:color="auto"/>
                      </w:divBdr>
                    </w:div>
                    <w:div w:id="294145197">
                      <w:marLeft w:val="0"/>
                      <w:marRight w:val="0"/>
                      <w:marTop w:val="0"/>
                      <w:marBottom w:val="0"/>
                      <w:divBdr>
                        <w:top w:val="none" w:sz="0" w:space="0" w:color="auto"/>
                        <w:left w:val="none" w:sz="0" w:space="0" w:color="auto"/>
                        <w:bottom w:val="none" w:sz="0" w:space="0" w:color="auto"/>
                        <w:right w:val="none" w:sz="0" w:space="0" w:color="auto"/>
                      </w:divBdr>
                      <w:divsChild>
                        <w:div w:id="294153970">
                          <w:marLeft w:val="0"/>
                          <w:marRight w:val="0"/>
                          <w:marTop w:val="0"/>
                          <w:marBottom w:val="0"/>
                          <w:divBdr>
                            <w:top w:val="none" w:sz="0" w:space="0" w:color="auto"/>
                            <w:left w:val="none" w:sz="0" w:space="0" w:color="auto"/>
                            <w:bottom w:val="none" w:sz="0" w:space="0" w:color="auto"/>
                            <w:right w:val="none" w:sz="0" w:space="0" w:color="auto"/>
                          </w:divBdr>
                        </w:div>
                      </w:divsChild>
                    </w:div>
                    <w:div w:id="294145385">
                      <w:marLeft w:val="0"/>
                      <w:marRight w:val="0"/>
                      <w:marTop w:val="0"/>
                      <w:marBottom w:val="0"/>
                      <w:divBdr>
                        <w:top w:val="none" w:sz="0" w:space="0" w:color="auto"/>
                        <w:left w:val="none" w:sz="0" w:space="0" w:color="auto"/>
                        <w:bottom w:val="none" w:sz="0" w:space="0" w:color="auto"/>
                        <w:right w:val="none" w:sz="0" w:space="0" w:color="auto"/>
                      </w:divBdr>
                    </w:div>
                    <w:div w:id="294145471">
                      <w:marLeft w:val="0"/>
                      <w:marRight w:val="0"/>
                      <w:marTop w:val="0"/>
                      <w:marBottom w:val="0"/>
                      <w:divBdr>
                        <w:top w:val="none" w:sz="0" w:space="0" w:color="auto"/>
                        <w:left w:val="none" w:sz="0" w:space="0" w:color="auto"/>
                        <w:bottom w:val="none" w:sz="0" w:space="0" w:color="auto"/>
                        <w:right w:val="none" w:sz="0" w:space="0" w:color="auto"/>
                      </w:divBdr>
                    </w:div>
                    <w:div w:id="294145474">
                      <w:marLeft w:val="0"/>
                      <w:marRight w:val="0"/>
                      <w:marTop w:val="0"/>
                      <w:marBottom w:val="0"/>
                      <w:divBdr>
                        <w:top w:val="none" w:sz="0" w:space="0" w:color="auto"/>
                        <w:left w:val="none" w:sz="0" w:space="0" w:color="auto"/>
                        <w:bottom w:val="none" w:sz="0" w:space="0" w:color="auto"/>
                        <w:right w:val="none" w:sz="0" w:space="0" w:color="auto"/>
                      </w:divBdr>
                    </w:div>
                    <w:div w:id="294145511">
                      <w:marLeft w:val="0"/>
                      <w:marRight w:val="0"/>
                      <w:marTop w:val="0"/>
                      <w:marBottom w:val="0"/>
                      <w:divBdr>
                        <w:top w:val="none" w:sz="0" w:space="0" w:color="auto"/>
                        <w:left w:val="none" w:sz="0" w:space="0" w:color="auto"/>
                        <w:bottom w:val="none" w:sz="0" w:space="0" w:color="auto"/>
                        <w:right w:val="none" w:sz="0" w:space="0" w:color="auto"/>
                      </w:divBdr>
                    </w:div>
                    <w:div w:id="294145642">
                      <w:marLeft w:val="0"/>
                      <w:marRight w:val="0"/>
                      <w:marTop w:val="0"/>
                      <w:marBottom w:val="0"/>
                      <w:divBdr>
                        <w:top w:val="none" w:sz="0" w:space="0" w:color="auto"/>
                        <w:left w:val="none" w:sz="0" w:space="0" w:color="auto"/>
                        <w:bottom w:val="none" w:sz="0" w:space="0" w:color="auto"/>
                        <w:right w:val="none" w:sz="0" w:space="0" w:color="auto"/>
                      </w:divBdr>
                    </w:div>
                    <w:div w:id="294145726">
                      <w:marLeft w:val="0"/>
                      <w:marRight w:val="0"/>
                      <w:marTop w:val="0"/>
                      <w:marBottom w:val="0"/>
                      <w:divBdr>
                        <w:top w:val="none" w:sz="0" w:space="0" w:color="auto"/>
                        <w:left w:val="none" w:sz="0" w:space="0" w:color="auto"/>
                        <w:bottom w:val="none" w:sz="0" w:space="0" w:color="auto"/>
                        <w:right w:val="none" w:sz="0" w:space="0" w:color="auto"/>
                      </w:divBdr>
                    </w:div>
                    <w:div w:id="294145731">
                      <w:marLeft w:val="0"/>
                      <w:marRight w:val="0"/>
                      <w:marTop w:val="0"/>
                      <w:marBottom w:val="0"/>
                      <w:divBdr>
                        <w:top w:val="none" w:sz="0" w:space="0" w:color="auto"/>
                        <w:left w:val="none" w:sz="0" w:space="0" w:color="auto"/>
                        <w:bottom w:val="none" w:sz="0" w:space="0" w:color="auto"/>
                        <w:right w:val="none" w:sz="0" w:space="0" w:color="auto"/>
                      </w:divBdr>
                      <w:divsChild>
                        <w:div w:id="294157208">
                          <w:marLeft w:val="0"/>
                          <w:marRight w:val="0"/>
                          <w:marTop w:val="0"/>
                          <w:marBottom w:val="0"/>
                          <w:divBdr>
                            <w:top w:val="none" w:sz="0" w:space="0" w:color="auto"/>
                            <w:left w:val="none" w:sz="0" w:space="0" w:color="auto"/>
                            <w:bottom w:val="none" w:sz="0" w:space="0" w:color="auto"/>
                            <w:right w:val="none" w:sz="0" w:space="0" w:color="auto"/>
                          </w:divBdr>
                        </w:div>
                      </w:divsChild>
                    </w:div>
                    <w:div w:id="294145808">
                      <w:marLeft w:val="0"/>
                      <w:marRight w:val="0"/>
                      <w:marTop w:val="0"/>
                      <w:marBottom w:val="0"/>
                      <w:divBdr>
                        <w:top w:val="none" w:sz="0" w:space="0" w:color="auto"/>
                        <w:left w:val="none" w:sz="0" w:space="0" w:color="auto"/>
                        <w:bottom w:val="none" w:sz="0" w:space="0" w:color="auto"/>
                        <w:right w:val="none" w:sz="0" w:space="0" w:color="auto"/>
                      </w:divBdr>
                      <w:divsChild>
                        <w:div w:id="294148974">
                          <w:marLeft w:val="0"/>
                          <w:marRight w:val="0"/>
                          <w:marTop w:val="0"/>
                          <w:marBottom w:val="0"/>
                          <w:divBdr>
                            <w:top w:val="none" w:sz="0" w:space="0" w:color="auto"/>
                            <w:left w:val="none" w:sz="0" w:space="0" w:color="auto"/>
                            <w:bottom w:val="none" w:sz="0" w:space="0" w:color="auto"/>
                            <w:right w:val="none" w:sz="0" w:space="0" w:color="auto"/>
                          </w:divBdr>
                        </w:div>
                      </w:divsChild>
                    </w:div>
                    <w:div w:id="294145862">
                      <w:marLeft w:val="0"/>
                      <w:marRight w:val="0"/>
                      <w:marTop w:val="0"/>
                      <w:marBottom w:val="0"/>
                      <w:divBdr>
                        <w:top w:val="none" w:sz="0" w:space="0" w:color="auto"/>
                        <w:left w:val="none" w:sz="0" w:space="0" w:color="auto"/>
                        <w:bottom w:val="none" w:sz="0" w:space="0" w:color="auto"/>
                        <w:right w:val="none" w:sz="0" w:space="0" w:color="auto"/>
                      </w:divBdr>
                      <w:divsChild>
                        <w:div w:id="294151556">
                          <w:marLeft w:val="0"/>
                          <w:marRight w:val="0"/>
                          <w:marTop w:val="0"/>
                          <w:marBottom w:val="0"/>
                          <w:divBdr>
                            <w:top w:val="none" w:sz="0" w:space="0" w:color="auto"/>
                            <w:left w:val="none" w:sz="0" w:space="0" w:color="auto"/>
                            <w:bottom w:val="none" w:sz="0" w:space="0" w:color="auto"/>
                            <w:right w:val="none" w:sz="0" w:space="0" w:color="auto"/>
                          </w:divBdr>
                        </w:div>
                      </w:divsChild>
                    </w:div>
                    <w:div w:id="294145888">
                      <w:marLeft w:val="0"/>
                      <w:marRight w:val="0"/>
                      <w:marTop w:val="0"/>
                      <w:marBottom w:val="0"/>
                      <w:divBdr>
                        <w:top w:val="none" w:sz="0" w:space="0" w:color="auto"/>
                        <w:left w:val="none" w:sz="0" w:space="0" w:color="auto"/>
                        <w:bottom w:val="none" w:sz="0" w:space="0" w:color="auto"/>
                        <w:right w:val="none" w:sz="0" w:space="0" w:color="auto"/>
                      </w:divBdr>
                      <w:divsChild>
                        <w:div w:id="294142451">
                          <w:marLeft w:val="0"/>
                          <w:marRight w:val="0"/>
                          <w:marTop w:val="0"/>
                          <w:marBottom w:val="0"/>
                          <w:divBdr>
                            <w:top w:val="none" w:sz="0" w:space="0" w:color="auto"/>
                            <w:left w:val="none" w:sz="0" w:space="0" w:color="auto"/>
                            <w:bottom w:val="none" w:sz="0" w:space="0" w:color="auto"/>
                            <w:right w:val="none" w:sz="0" w:space="0" w:color="auto"/>
                          </w:divBdr>
                        </w:div>
                      </w:divsChild>
                    </w:div>
                    <w:div w:id="294146040">
                      <w:marLeft w:val="0"/>
                      <w:marRight w:val="0"/>
                      <w:marTop w:val="0"/>
                      <w:marBottom w:val="0"/>
                      <w:divBdr>
                        <w:top w:val="none" w:sz="0" w:space="0" w:color="auto"/>
                        <w:left w:val="none" w:sz="0" w:space="0" w:color="auto"/>
                        <w:bottom w:val="none" w:sz="0" w:space="0" w:color="auto"/>
                        <w:right w:val="none" w:sz="0" w:space="0" w:color="auto"/>
                      </w:divBdr>
                      <w:divsChild>
                        <w:div w:id="294145255">
                          <w:marLeft w:val="0"/>
                          <w:marRight w:val="0"/>
                          <w:marTop w:val="0"/>
                          <w:marBottom w:val="0"/>
                          <w:divBdr>
                            <w:top w:val="none" w:sz="0" w:space="0" w:color="auto"/>
                            <w:left w:val="none" w:sz="0" w:space="0" w:color="auto"/>
                            <w:bottom w:val="none" w:sz="0" w:space="0" w:color="auto"/>
                            <w:right w:val="none" w:sz="0" w:space="0" w:color="auto"/>
                          </w:divBdr>
                        </w:div>
                      </w:divsChild>
                    </w:div>
                    <w:div w:id="294146102">
                      <w:marLeft w:val="0"/>
                      <w:marRight w:val="0"/>
                      <w:marTop w:val="0"/>
                      <w:marBottom w:val="0"/>
                      <w:divBdr>
                        <w:top w:val="none" w:sz="0" w:space="0" w:color="auto"/>
                        <w:left w:val="none" w:sz="0" w:space="0" w:color="auto"/>
                        <w:bottom w:val="none" w:sz="0" w:space="0" w:color="auto"/>
                        <w:right w:val="none" w:sz="0" w:space="0" w:color="auto"/>
                      </w:divBdr>
                      <w:divsChild>
                        <w:div w:id="294149666">
                          <w:marLeft w:val="0"/>
                          <w:marRight w:val="0"/>
                          <w:marTop w:val="0"/>
                          <w:marBottom w:val="0"/>
                          <w:divBdr>
                            <w:top w:val="none" w:sz="0" w:space="0" w:color="auto"/>
                            <w:left w:val="none" w:sz="0" w:space="0" w:color="auto"/>
                            <w:bottom w:val="none" w:sz="0" w:space="0" w:color="auto"/>
                            <w:right w:val="none" w:sz="0" w:space="0" w:color="auto"/>
                          </w:divBdr>
                        </w:div>
                      </w:divsChild>
                    </w:div>
                    <w:div w:id="294146111">
                      <w:marLeft w:val="0"/>
                      <w:marRight w:val="0"/>
                      <w:marTop w:val="0"/>
                      <w:marBottom w:val="0"/>
                      <w:divBdr>
                        <w:top w:val="none" w:sz="0" w:space="0" w:color="auto"/>
                        <w:left w:val="none" w:sz="0" w:space="0" w:color="auto"/>
                        <w:bottom w:val="none" w:sz="0" w:space="0" w:color="auto"/>
                        <w:right w:val="none" w:sz="0" w:space="0" w:color="auto"/>
                      </w:divBdr>
                      <w:divsChild>
                        <w:div w:id="294143721">
                          <w:marLeft w:val="0"/>
                          <w:marRight w:val="0"/>
                          <w:marTop w:val="0"/>
                          <w:marBottom w:val="0"/>
                          <w:divBdr>
                            <w:top w:val="none" w:sz="0" w:space="0" w:color="auto"/>
                            <w:left w:val="none" w:sz="0" w:space="0" w:color="auto"/>
                            <w:bottom w:val="none" w:sz="0" w:space="0" w:color="auto"/>
                            <w:right w:val="none" w:sz="0" w:space="0" w:color="auto"/>
                          </w:divBdr>
                        </w:div>
                      </w:divsChild>
                    </w:div>
                    <w:div w:id="294146147">
                      <w:marLeft w:val="0"/>
                      <w:marRight w:val="0"/>
                      <w:marTop w:val="0"/>
                      <w:marBottom w:val="0"/>
                      <w:divBdr>
                        <w:top w:val="none" w:sz="0" w:space="0" w:color="auto"/>
                        <w:left w:val="none" w:sz="0" w:space="0" w:color="auto"/>
                        <w:bottom w:val="none" w:sz="0" w:space="0" w:color="auto"/>
                        <w:right w:val="none" w:sz="0" w:space="0" w:color="auto"/>
                      </w:divBdr>
                      <w:divsChild>
                        <w:div w:id="294139711">
                          <w:marLeft w:val="0"/>
                          <w:marRight w:val="0"/>
                          <w:marTop w:val="0"/>
                          <w:marBottom w:val="0"/>
                          <w:divBdr>
                            <w:top w:val="none" w:sz="0" w:space="0" w:color="auto"/>
                            <w:left w:val="none" w:sz="0" w:space="0" w:color="auto"/>
                            <w:bottom w:val="none" w:sz="0" w:space="0" w:color="auto"/>
                            <w:right w:val="none" w:sz="0" w:space="0" w:color="auto"/>
                          </w:divBdr>
                        </w:div>
                      </w:divsChild>
                    </w:div>
                    <w:div w:id="294146148">
                      <w:marLeft w:val="0"/>
                      <w:marRight w:val="0"/>
                      <w:marTop w:val="0"/>
                      <w:marBottom w:val="0"/>
                      <w:divBdr>
                        <w:top w:val="none" w:sz="0" w:space="0" w:color="auto"/>
                        <w:left w:val="none" w:sz="0" w:space="0" w:color="auto"/>
                        <w:bottom w:val="none" w:sz="0" w:space="0" w:color="auto"/>
                        <w:right w:val="none" w:sz="0" w:space="0" w:color="auto"/>
                      </w:divBdr>
                      <w:divsChild>
                        <w:div w:id="294139824">
                          <w:marLeft w:val="0"/>
                          <w:marRight w:val="0"/>
                          <w:marTop w:val="0"/>
                          <w:marBottom w:val="0"/>
                          <w:divBdr>
                            <w:top w:val="none" w:sz="0" w:space="0" w:color="auto"/>
                            <w:left w:val="none" w:sz="0" w:space="0" w:color="auto"/>
                            <w:bottom w:val="none" w:sz="0" w:space="0" w:color="auto"/>
                            <w:right w:val="none" w:sz="0" w:space="0" w:color="auto"/>
                          </w:divBdr>
                        </w:div>
                      </w:divsChild>
                    </w:div>
                    <w:div w:id="294146155">
                      <w:marLeft w:val="0"/>
                      <w:marRight w:val="0"/>
                      <w:marTop w:val="0"/>
                      <w:marBottom w:val="0"/>
                      <w:divBdr>
                        <w:top w:val="none" w:sz="0" w:space="0" w:color="auto"/>
                        <w:left w:val="none" w:sz="0" w:space="0" w:color="auto"/>
                        <w:bottom w:val="none" w:sz="0" w:space="0" w:color="auto"/>
                        <w:right w:val="none" w:sz="0" w:space="0" w:color="auto"/>
                      </w:divBdr>
                      <w:divsChild>
                        <w:div w:id="294142474">
                          <w:marLeft w:val="0"/>
                          <w:marRight w:val="0"/>
                          <w:marTop w:val="0"/>
                          <w:marBottom w:val="0"/>
                          <w:divBdr>
                            <w:top w:val="none" w:sz="0" w:space="0" w:color="auto"/>
                            <w:left w:val="none" w:sz="0" w:space="0" w:color="auto"/>
                            <w:bottom w:val="none" w:sz="0" w:space="0" w:color="auto"/>
                            <w:right w:val="none" w:sz="0" w:space="0" w:color="auto"/>
                          </w:divBdr>
                        </w:div>
                      </w:divsChild>
                    </w:div>
                    <w:div w:id="294146161">
                      <w:marLeft w:val="0"/>
                      <w:marRight w:val="0"/>
                      <w:marTop w:val="0"/>
                      <w:marBottom w:val="0"/>
                      <w:divBdr>
                        <w:top w:val="none" w:sz="0" w:space="0" w:color="auto"/>
                        <w:left w:val="none" w:sz="0" w:space="0" w:color="auto"/>
                        <w:bottom w:val="none" w:sz="0" w:space="0" w:color="auto"/>
                        <w:right w:val="none" w:sz="0" w:space="0" w:color="auto"/>
                      </w:divBdr>
                    </w:div>
                    <w:div w:id="294146244">
                      <w:marLeft w:val="0"/>
                      <w:marRight w:val="0"/>
                      <w:marTop w:val="0"/>
                      <w:marBottom w:val="0"/>
                      <w:divBdr>
                        <w:top w:val="none" w:sz="0" w:space="0" w:color="auto"/>
                        <w:left w:val="none" w:sz="0" w:space="0" w:color="auto"/>
                        <w:bottom w:val="none" w:sz="0" w:space="0" w:color="auto"/>
                        <w:right w:val="none" w:sz="0" w:space="0" w:color="auto"/>
                      </w:divBdr>
                    </w:div>
                    <w:div w:id="294146245">
                      <w:marLeft w:val="0"/>
                      <w:marRight w:val="0"/>
                      <w:marTop w:val="0"/>
                      <w:marBottom w:val="0"/>
                      <w:divBdr>
                        <w:top w:val="none" w:sz="0" w:space="0" w:color="auto"/>
                        <w:left w:val="none" w:sz="0" w:space="0" w:color="auto"/>
                        <w:bottom w:val="none" w:sz="0" w:space="0" w:color="auto"/>
                        <w:right w:val="none" w:sz="0" w:space="0" w:color="auto"/>
                      </w:divBdr>
                    </w:div>
                    <w:div w:id="294146268">
                      <w:marLeft w:val="0"/>
                      <w:marRight w:val="0"/>
                      <w:marTop w:val="0"/>
                      <w:marBottom w:val="0"/>
                      <w:divBdr>
                        <w:top w:val="none" w:sz="0" w:space="0" w:color="auto"/>
                        <w:left w:val="none" w:sz="0" w:space="0" w:color="auto"/>
                        <w:bottom w:val="none" w:sz="0" w:space="0" w:color="auto"/>
                        <w:right w:val="none" w:sz="0" w:space="0" w:color="auto"/>
                      </w:divBdr>
                      <w:divsChild>
                        <w:div w:id="294146173">
                          <w:marLeft w:val="0"/>
                          <w:marRight w:val="0"/>
                          <w:marTop w:val="0"/>
                          <w:marBottom w:val="0"/>
                          <w:divBdr>
                            <w:top w:val="none" w:sz="0" w:space="0" w:color="auto"/>
                            <w:left w:val="none" w:sz="0" w:space="0" w:color="auto"/>
                            <w:bottom w:val="none" w:sz="0" w:space="0" w:color="auto"/>
                            <w:right w:val="none" w:sz="0" w:space="0" w:color="auto"/>
                          </w:divBdr>
                        </w:div>
                      </w:divsChild>
                    </w:div>
                    <w:div w:id="294146445">
                      <w:marLeft w:val="0"/>
                      <w:marRight w:val="0"/>
                      <w:marTop w:val="0"/>
                      <w:marBottom w:val="0"/>
                      <w:divBdr>
                        <w:top w:val="none" w:sz="0" w:space="0" w:color="auto"/>
                        <w:left w:val="none" w:sz="0" w:space="0" w:color="auto"/>
                        <w:bottom w:val="none" w:sz="0" w:space="0" w:color="auto"/>
                        <w:right w:val="none" w:sz="0" w:space="0" w:color="auto"/>
                      </w:divBdr>
                      <w:divsChild>
                        <w:div w:id="294138932">
                          <w:marLeft w:val="0"/>
                          <w:marRight w:val="0"/>
                          <w:marTop w:val="0"/>
                          <w:marBottom w:val="0"/>
                          <w:divBdr>
                            <w:top w:val="none" w:sz="0" w:space="0" w:color="auto"/>
                            <w:left w:val="none" w:sz="0" w:space="0" w:color="auto"/>
                            <w:bottom w:val="none" w:sz="0" w:space="0" w:color="auto"/>
                            <w:right w:val="none" w:sz="0" w:space="0" w:color="auto"/>
                          </w:divBdr>
                        </w:div>
                      </w:divsChild>
                    </w:div>
                    <w:div w:id="294146516">
                      <w:marLeft w:val="0"/>
                      <w:marRight w:val="0"/>
                      <w:marTop w:val="0"/>
                      <w:marBottom w:val="0"/>
                      <w:divBdr>
                        <w:top w:val="none" w:sz="0" w:space="0" w:color="auto"/>
                        <w:left w:val="none" w:sz="0" w:space="0" w:color="auto"/>
                        <w:bottom w:val="none" w:sz="0" w:space="0" w:color="auto"/>
                        <w:right w:val="none" w:sz="0" w:space="0" w:color="auto"/>
                      </w:divBdr>
                    </w:div>
                    <w:div w:id="294146539">
                      <w:marLeft w:val="0"/>
                      <w:marRight w:val="0"/>
                      <w:marTop w:val="0"/>
                      <w:marBottom w:val="0"/>
                      <w:divBdr>
                        <w:top w:val="none" w:sz="0" w:space="0" w:color="auto"/>
                        <w:left w:val="none" w:sz="0" w:space="0" w:color="auto"/>
                        <w:bottom w:val="none" w:sz="0" w:space="0" w:color="auto"/>
                        <w:right w:val="none" w:sz="0" w:space="0" w:color="auto"/>
                      </w:divBdr>
                    </w:div>
                    <w:div w:id="294146584">
                      <w:marLeft w:val="0"/>
                      <w:marRight w:val="0"/>
                      <w:marTop w:val="0"/>
                      <w:marBottom w:val="0"/>
                      <w:divBdr>
                        <w:top w:val="none" w:sz="0" w:space="0" w:color="auto"/>
                        <w:left w:val="none" w:sz="0" w:space="0" w:color="auto"/>
                        <w:bottom w:val="none" w:sz="0" w:space="0" w:color="auto"/>
                        <w:right w:val="none" w:sz="0" w:space="0" w:color="auto"/>
                      </w:divBdr>
                      <w:divsChild>
                        <w:div w:id="294148923">
                          <w:marLeft w:val="0"/>
                          <w:marRight w:val="0"/>
                          <w:marTop w:val="0"/>
                          <w:marBottom w:val="0"/>
                          <w:divBdr>
                            <w:top w:val="none" w:sz="0" w:space="0" w:color="auto"/>
                            <w:left w:val="none" w:sz="0" w:space="0" w:color="auto"/>
                            <w:bottom w:val="none" w:sz="0" w:space="0" w:color="auto"/>
                            <w:right w:val="none" w:sz="0" w:space="0" w:color="auto"/>
                          </w:divBdr>
                        </w:div>
                      </w:divsChild>
                    </w:div>
                    <w:div w:id="294146669">
                      <w:marLeft w:val="0"/>
                      <w:marRight w:val="0"/>
                      <w:marTop w:val="0"/>
                      <w:marBottom w:val="0"/>
                      <w:divBdr>
                        <w:top w:val="none" w:sz="0" w:space="0" w:color="auto"/>
                        <w:left w:val="none" w:sz="0" w:space="0" w:color="auto"/>
                        <w:bottom w:val="none" w:sz="0" w:space="0" w:color="auto"/>
                        <w:right w:val="none" w:sz="0" w:space="0" w:color="auto"/>
                      </w:divBdr>
                    </w:div>
                    <w:div w:id="294146811">
                      <w:marLeft w:val="0"/>
                      <w:marRight w:val="0"/>
                      <w:marTop w:val="0"/>
                      <w:marBottom w:val="0"/>
                      <w:divBdr>
                        <w:top w:val="none" w:sz="0" w:space="0" w:color="auto"/>
                        <w:left w:val="none" w:sz="0" w:space="0" w:color="auto"/>
                        <w:bottom w:val="none" w:sz="0" w:space="0" w:color="auto"/>
                        <w:right w:val="none" w:sz="0" w:space="0" w:color="auto"/>
                      </w:divBdr>
                    </w:div>
                    <w:div w:id="294146846">
                      <w:marLeft w:val="0"/>
                      <w:marRight w:val="0"/>
                      <w:marTop w:val="0"/>
                      <w:marBottom w:val="0"/>
                      <w:divBdr>
                        <w:top w:val="none" w:sz="0" w:space="0" w:color="auto"/>
                        <w:left w:val="none" w:sz="0" w:space="0" w:color="auto"/>
                        <w:bottom w:val="none" w:sz="0" w:space="0" w:color="auto"/>
                        <w:right w:val="none" w:sz="0" w:space="0" w:color="auto"/>
                      </w:divBdr>
                    </w:div>
                    <w:div w:id="294146919">
                      <w:marLeft w:val="0"/>
                      <w:marRight w:val="0"/>
                      <w:marTop w:val="0"/>
                      <w:marBottom w:val="0"/>
                      <w:divBdr>
                        <w:top w:val="none" w:sz="0" w:space="0" w:color="auto"/>
                        <w:left w:val="none" w:sz="0" w:space="0" w:color="auto"/>
                        <w:bottom w:val="none" w:sz="0" w:space="0" w:color="auto"/>
                        <w:right w:val="none" w:sz="0" w:space="0" w:color="auto"/>
                      </w:divBdr>
                      <w:divsChild>
                        <w:div w:id="294150315">
                          <w:marLeft w:val="0"/>
                          <w:marRight w:val="0"/>
                          <w:marTop w:val="0"/>
                          <w:marBottom w:val="0"/>
                          <w:divBdr>
                            <w:top w:val="none" w:sz="0" w:space="0" w:color="auto"/>
                            <w:left w:val="none" w:sz="0" w:space="0" w:color="auto"/>
                            <w:bottom w:val="none" w:sz="0" w:space="0" w:color="auto"/>
                            <w:right w:val="none" w:sz="0" w:space="0" w:color="auto"/>
                          </w:divBdr>
                        </w:div>
                      </w:divsChild>
                    </w:div>
                    <w:div w:id="294147056">
                      <w:marLeft w:val="0"/>
                      <w:marRight w:val="0"/>
                      <w:marTop w:val="0"/>
                      <w:marBottom w:val="0"/>
                      <w:divBdr>
                        <w:top w:val="none" w:sz="0" w:space="0" w:color="auto"/>
                        <w:left w:val="none" w:sz="0" w:space="0" w:color="auto"/>
                        <w:bottom w:val="none" w:sz="0" w:space="0" w:color="auto"/>
                        <w:right w:val="none" w:sz="0" w:space="0" w:color="auto"/>
                      </w:divBdr>
                    </w:div>
                    <w:div w:id="294147064">
                      <w:marLeft w:val="0"/>
                      <w:marRight w:val="0"/>
                      <w:marTop w:val="0"/>
                      <w:marBottom w:val="0"/>
                      <w:divBdr>
                        <w:top w:val="none" w:sz="0" w:space="0" w:color="auto"/>
                        <w:left w:val="none" w:sz="0" w:space="0" w:color="auto"/>
                        <w:bottom w:val="none" w:sz="0" w:space="0" w:color="auto"/>
                        <w:right w:val="none" w:sz="0" w:space="0" w:color="auto"/>
                      </w:divBdr>
                      <w:divsChild>
                        <w:div w:id="294155341">
                          <w:marLeft w:val="0"/>
                          <w:marRight w:val="0"/>
                          <w:marTop w:val="0"/>
                          <w:marBottom w:val="0"/>
                          <w:divBdr>
                            <w:top w:val="none" w:sz="0" w:space="0" w:color="auto"/>
                            <w:left w:val="none" w:sz="0" w:space="0" w:color="auto"/>
                            <w:bottom w:val="none" w:sz="0" w:space="0" w:color="auto"/>
                            <w:right w:val="none" w:sz="0" w:space="0" w:color="auto"/>
                          </w:divBdr>
                        </w:div>
                      </w:divsChild>
                    </w:div>
                    <w:div w:id="294147089">
                      <w:marLeft w:val="0"/>
                      <w:marRight w:val="0"/>
                      <w:marTop w:val="0"/>
                      <w:marBottom w:val="0"/>
                      <w:divBdr>
                        <w:top w:val="none" w:sz="0" w:space="0" w:color="auto"/>
                        <w:left w:val="none" w:sz="0" w:space="0" w:color="auto"/>
                        <w:bottom w:val="none" w:sz="0" w:space="0" w:color="auto"/>
                        <w:right w:val="none" w:sz="0" w:space="0" w:color="auto"/>
                      </w:divBdr>
                      <w:divsChild>
                        <w:div w:id="294157001">
                          <w:marLeft w:val="0"/>
                          <w:marRight w:val="0"/>
                          <w:marTop w:val="0"/>
                          <w:marBottom w:val="0"/>
                          <w:divBdr>
                            <w:top w:val="none" w:sz="0" w:space="0" w:color="auto"/>
                            <w:left w:val="none" w:sz="0" w:space="0" w:color="auto"/>
                            <w:bottom w:val="none" w:sz="0" w:space="0" w:color="auto"/>
                            <w:right w:val="none" w:sz="0" w:space="0" w:color="auto"/>
                          </w:divBdr>
                        </w:div>
                      </w:divsChild>
                    </w:div>
                    <w:div w:id="294147117">
                      <w:marLeft w:val="0"/>
                      <w:marRight w:val="0"/>
                      <w:marTop w:val="0"/>
                      <w:marBottom w:val="0"/>
                      <w:divBdr>
                        <w:top w:val="none" w:sz="0" w:space="0" w:color="auto"/>
                        <w:left w:val="none" w:sz="0" w:space="0" w:color="auto"/>
                        <w:bottom w:val="none" w:sz="0" w:space="0" w:color="auto"/>
                        <w:right w:val="none" w:sz="0" w:space="0" w:color="auto"/>
                      </w:divBdr>
                      <w:divsChild>
                        <w:div w:id="294155041">
                          <w:marLeft w:val="0"/>
                          <w:marRight w:val="0"/>
                          <w:marTop w:val="0"/>
                          <w:marBottom w:val="0"/>
                          <w:divBdr>
                            <w:top w:val="none" w:sz="0" w:space="0" w:color="auto"/>
                            <w:left w:val="none" w:sz="0" w:space="0" w:color="auto"/>
                            <w:bottom w:val="none" w:sz="0" w:space="0" w:color="auto"/>
                            <w:right w:val="none" w:sz="0" w:space="0" w:color="auto"/>
                          </w:divBdr>
                        </w:div>
                      </w:divsChild>
                    </w:div>
                    <w:div w:id="294147196">
                      <w:marLeft w:val="0"/>
                      <w:marRight w:val="0"/>
                      <w:marTop w:val="0"/>
                      <w:marBottom w:val="0"/>
                      <w:divBdr>
                        <w:top w:val="none" w:sz="0" w:space="0" w:color="auto"/>
                        <w:left w:val="none" w:sz="0" w:space="0" w:color="auto"/>
                        <w:bottom w:val="none" w:sz="0" w:space="0" w:color="auto"/>
                        <w:right w:val="none" w:sz="0" w:space="0" w:color="auto"/>
                      </w:divBdr>
                      <w:divsChild>
                        <w:div w:id="294152860">
                          <w:marLeft w:val="0"/>
                          <w:marRight w:val="0"/>
                          <w:marTop w:val="0"/>
                          <w:marBottom w:val="0"/>
                          <w:divBdr>
                            <w:top w:val="none" w:sz="0" w:space="0" w:color="auto"/>
                            <w:left w:val="none" w:sz="0" w:space="0" w:color="auto"/>
                            <w:bottom w:val="none" w:sz="0" w:space="0" w:color="auto"/>
                            <w:right w:val="none" w:sz="0" w:space="0" w:color="auto"/>
                          </w:divBdr>
                        </w:div>
                      </w:divsChild>
                    </w:div>
                    <w:div w:id="294147233">
                      <w:marLeft w:val="0"/>
                      <w:marRight w:val="0"/>
                      <w:marTop w:val="0"/>
                      <w:marBottom w:val="0"/>
                      <w:divBdr>
                        <w:top w:val="none" w:sz="0" w:space="0" w:color="auto"/>
                        <w:left w:val="none" w:sz="0" w:space="0" w:color="auto"/>
                        <w:bottom w:val="none" w:sz="0" w:space="0" w:color="auto"/>
                        <w:right w:val="none" w:sz="0" w:space="0" w:color="auto"/>
                      </w:divBdr>
                    </w:div>
                    <w:div w:id="294147280">
                      <w:marLeft w:val="0"/>
                      <w:marRight w:val="0"/>
                      <w:marTop w:val="0"/>
                      <w:marBottom w:val="0"/>
                      <w:divBdr>
                        <w:top w:val="none" w:sz="0" w:space="0" w:color="auto"/>
                        <w:left w:val="none" w:sz="0" w:space="0" w:color="auto"/>
                        <w:bottom w:val="none" w:sz="0" w:space="0" w:color="auto"/>
                        <w:right w:val="none" w:sz="0" w:space="0" w:color="auto"/>
                      </w:divBdr>
                      <w:divsChild>
                        <w:div w:id="294147094">
                          <w:marLeft w:val="0"/>
                          <w:marRight w:val="0"/>
                          <w:marTop w:val="0"/>
                          <w:marBottom w:val="0"/>
                          <w:divBdr>
                            <w:top w:val="none" w:sz="0" w:space="0" w:color="auto"/>
                            <w:left w:val="none" w:sz="0" w:space="0" w:color="auto"/>
                            <w:bottom w:val="none" w:sz="0" w:space="0" w:color="auto"/>
                            <w:right w:val="none" w:sz="0" w:space="0" w:color="auto"/>
                          </w:divBdr>
                        </w:div>
                      </w:divsChild>
                    </w:div>
                    <w:div w:id="294147584">
                      <w:marLeft w:val="0"/>
                      <w:marRight w:val="0"/>
                      <w:marTop w:val="0"/>
                      <w:marBottom w:val="0"/>
                      <w:divBdr>
                        <w:top w:val="none" w:sz="0" w:space="0" w:color="auto"/>
                        <w:left w:val="none" w:sz="0" w:space="0" w:color="auto"/>
                        <w:bottom w:val="none" w:sz="0" w:space="0" w:color="auto"/>
                        <w:right w:val="none" w:sz="0" w:space="0" w:color="auto"/>
                      </w:divBdr>
                    </w:div>
                    <w:div w:id="294147614">
                      <w:marLeft w:val="0"/>
                      <w:marRight w:val="0"/>
                      <w:marTop w:val="0"/>
                      <w:marBottom w:val="0"/>
                      <w:divBdr>
                        <w:top w:val="none" w:sz="0" w:space="0" w:color="auto"/>
                        <w:left w:val="none" w:sz="0" w:space="0" w:color="auto"/>
                        <w:bottom w:val="none" w:sz="0" w:space="0" w:color="auto"/>
                        <w:right w:val="none" w:sz="0" w:space="0" w:color="auto"/>
                      </w:divBdr>
                      <w:divsChild>
                        <w:div w:id="294146089">
                          <w:marLeft w:val="0"/>
                          <w:marRight w:val="0"/>
                          <w:marTop w:val="0"/>
                          <w:marBottom w:val="0"/>
                          <w:divBdr>
                            <w:top w:val="none" w:sz="0" w:space="0" w:color="auto"/>
                            <w:left w:val="none" w:sz="0" w:space="0" w:color="auto"/>
                            <w:bottom w:val="none" w:sz="0" w:space="0" w:color="auto"/>
                            <w:right w:val="none" w:sz="0" w:space="0" w:color="auto"/>
                          </w:divBdr>
                        </w:div>
                      </w:divsChild>
                    </w:div>
                    <w:div w:id="294147634">
                      <w:marLeft w:val="0"/>
                      <w:marRight w:val="0"/>
                      <w:marTop w:val="0"/>
                      <w:marBottom w:val="0"/>
                      <w:divBdr>
                        <w:top w:val="none" w:sz="0" w:space="0" w:color="auto"/>
                        <w:left w:val="none" w:sz="0" w:space="0" w:color="auto"/>
                        <w:bottom w:val="none" w:sz="0" w:space="0" w:color="auto"/>
                        <w:right w:val="none" w:sz="0" w:space="0" w:color="auto"/>
                      </w:divBdr>
                      <w:divsChild>
                        <w:div w:id="294149521">
                          <w:marLeft w:val="0"/>
                          <w:marRight w:val="0"/>
                          <w:marTop w:val="0"/>
                          <w:marBottom w:val="0"/>
                          <w:divBdr>
                            <w:top w:val="none" w:sz="0" w:space="0" w:color="auto"/>
                            <w:left w:val="none" w:sz="0" w:space="0" w:color="auto"/>
                            <w:bottom w:val="none" w:sz="0" w:space="0" w:color="auto"/>
                            <w:right w:val="none" w:sz="0" w:space="0" w:color="auto"/>
                          </w:divBdr>
                        </w:div>
                      </w:divsChild>
                    </w:div>
                    <w:div w:id="294147654">
                      <w:marLeft w:val="0"/>
                      <w:marRight w:val="0"/>
                      <w:marTop w:val="0"/>
                      <w:marBottom w:val="0"/>
                      <w:divBdr>
                        <w:top w:val="none" w:sz="0" w:space="0" w:color="auto"/>
                        <w:left w:val="none" w:sz="0" w:space="0" w:color="auto"/>
                        <w:bottom w:val="none" w:sz="0" w:space="0" w:color="auto"/>
                        <w:right w:val="none" w:sz="0" w:space="0" w:color="auto"/>
                      </w:divBdr>
                      <w:divsChild>
                        <w:div w:id="294142381">
                          <w:marLeft w:val="0"/>
                          <w:marRight w:val="0"/>
                          <w:marTop w:val="0"/>
                          <w:marBottom w:val="0"/>
                          <w:divBdr>
                            <w:top w:val="none" w:sz="0" w:space="0" w:color="auto"/>
                            <w:left w:val="none" w:sz="0" w:space="0" w:color="auto"/>
                            <w:bottom w:val="none" w:sz="0" w:space="0" w:color="auto"/>
                            <w:right w:val="none" w:sz="0" w:space="0" w:color="auto"/>
                          </w:divBdr>
                        </w:div>
                      </w:divsChild>
                    </w:div>
                    <w:div w:id="294147799">
                      <w:marLeft w:val="0"/>
                      <w:marRight w:val="0"/>
                      <w:marTop w:val="0"/>
                      <w:marBottom w:val="0"/>
                      <w:divBdr>
                        <w:top w:val="none" w:sz="0" w:space="0" w:color="auto"/>
                        <w:left w:val="none" w:sz="0" w:space="0" w:color="auto"/>
                        <w:bottom w:val="none" w:sz="0" w:space="0" w:color="auto"/>
                        <w:right w:val="none" w:sz="0" w:space="0" w:color="auto"/>
                      </w:divBdr>
                      <w:divsChild>
                        <w:div w:id="294143169">
                          <w:marLeft w:val="0"/>
                          <w:marRight w:val="0"/>
                          <w:marTop w:val="0"/>
                          <w:marBottom w:val="0"/>
                          <w:divBdr>
                            <w:top w:val="none" w:sz="0" w:space="0" w:color="auto"/>
                            <w:left w:val="none" w:sz="0" w:space="0" w:color="auto"/>
                            <w:bottom w:val="none" w:sz="0" w:space="0" w:color="auto"/>
                            <w:right w:val="none" w:sz="0" w:space="0" w:color="auto"/>
                          </w:divBdr>
                        </w:div>
                      </w:divsChild>
                    </w:div>
                    <w:div w:id="294147853">
                      <w:marLeft w:val="0"/>
                      <w:marRight w:val="0"/>
                      <w:marTop w:val="0"/>
                      <w:marBottom w:val="0"/>
                      <w:divBdr>
                        <w:top w:val="none" w:sz="0" w:space="0" w:color="auto"/>
                        <w:left w:val="none" w:sz="0" w:space="0" w:color="auto"/>
                        <w:bottom w:val="none" w:sz="0" w:space="0" w:color="auto"/>
                        <w:right w:val="none" w:sz="0" w:space="0" w:color="auto"/>
                      </w:divBdr>
                      <w:divsChild>
                        <w:div w:id="294154398">
                          <w:marLeft w:val="0"/>
                          <w:marRight w:val="0"/>
                          <w:marTop w:val="0"/>
                          <w:marBottom w:val="0"/>
                          <w:divBdr>
                            <w:top w:val="none" w:sz="0" w:space="0" w:color="auto"/>
                            <w:left w:val="none" w:sz="0" w:space="0" w:color="auto"/>
                            <w:bottom w:val="none" w:sz="0" w:space="0" w:color="auto"/>
                            <w:right w:val="none" w:sz="0" w:space="0" w:color="auto"/>
                          </w:divBdr>
                        </w:div>
                      </w:divsChild>
                    </w:div>
                    <w:div w:id="294147897">
                      <w:marLeft w:val="0"/>
                      <w:marRight w:val="0"/>
                      <w:marTop w:val="0"/>
                      <w:marBottom w:val="0"/>
                      <w:divBdr>
                        <w:top w:val="none" w:sz="0" w:space="0" w:color="auto"/>
                        <w:left w:val="none" w:sz="0" w:space="0" w:color="auto"/>
                        <w:bottom w:val="none" w:sz="0" w:space="0" w:color="auto"/>
                        <w:right w:val="none" w:sz="0" w:space="0" w:color="auto"/>
                      </w:divBdr>
                    </w:div>
                    <w:div w:id="294147997">
                      <w:marLeft w:val="0"/>
                      <w:marRight w:val="0"/>
                      <w:marTop w:val="0"/>
                      <w:marBottom w:val="0"/>
                      <w:divBdr>
                        <w:top w:val="none" w:sz="0" w:space="0" w:color="auto"/>
                        <w:left w:val="none" w:sz="0" w:space="0" w:color="auto"/>
                        <w:bottom w:val="none" w:sz="0" w:space="0" w:color="auto"/>
                        <w:right w:val="none" w:sz="0" w:space="0" w:color="auto"/>
                      </w:divBdr>
                    </w:div>
                    <w:div w:id="294148026">
                      <w:marLeft w:val="0"/>
                      <w:marRight w:val="0"/>
                      <w:marTop w:val="0"/>
                      <w:marBottom w:val="0"/>
                      <w:divBdr>
                        <w:top w:val="none" w:sz="0" w:space="0" w:color="auto"/>
                        <w:left w:val="none" w:sz="0" w:space="0" w:color="auto"/>
                        <w:bottom w:val="none" w:sz="0" w:space="0" w:color="auto"/>
                        <w:right w:val="none" w:sz="0" w:space="0" w:color="auto"/>
                      </w:divBdr>
                      <w:divsChild>
                        <w:div w:id="294150490">
                          <w:marLeft w:val="0"/>
                          <w:marRight w:val="0"/>
                          <w:marTop w:val="0"/>
                          <w:marBottom w:val="0"/>
                          <w:divBdr>
                            <w:top w:val="none" w:sz="0" w:space="0" w:color="auto"/>
                            <w:left w:val="none" w:sz="0" w:space="0" w:color="auto"/>
                            <w:bottom w:val="none" w:sz="0" w:space="0" w:color="auto"/>
                            <w:right w:val="none" w:sz="0" w:space="0" w:color="auto"/>
                          </w:divBdr>
                        </w:div>
                      </w:divsChild>
                    </w:div>
                    <w:div w:id="294148028">
                      <w:marLeft w:val="0"/>
                      <w:marRight w:val="0"/>
                      <w:marTop w:val="0"/>
                      <w:marBottom w:val="0"/>
                      <w:divBdr>
                        <w:top w:val="none" w:sz="0" w:space="0" w:color="auto"/>
                        <w:left w:val="none" w:sz="0" w:space="0" w:color="auto"/>
                        <w:bottom w:val="none" w:sz="0" w:space="0" w:color="auto"/>
                        <w:right w:val="none" w:sz="0" w:space="0" w:color="auto"/>
                      </w:divBdr>
                      <w:divsChild>
                        <w:div w:id="294154181">
                          <w:marLeft w:val="0"/>
                          <w:marRight w:val="0"/>
                          <w:marTop w:val="0"/>
                          <w:marBottom w:val="0"/>
                          <w:divBdr>
                            <w:top w:val="none" w:sz="0" w:space="0" w:color="auto"/>
                            <w:left w:val="none" w:sz="0" w:space="0" w:color="auto"/>
                            <w:bottom w:val="none" w:sz="0" w:space="0" w:color="auto"/>
                            <w:right w:val="none" w:sz="0" w:space="0" w:color="auto"/>
                          </w:divBdr>
                        </w:div>
                      </w:divsChild>
                    </w:div>
                    <w:div w:id="294148057">
                      <w:marLeft w:val="0"/>
                      <w:marRight w:val="0"/>
                      <w:marTop w:val="0"/>
                      <w:marBottom w:val="0"/>
                      <w:divBdr>
                        <w:top w:val="none" w:sz="0" w:space="0" w:color="auto"/>
                        <w:left w:val="none" w:sz="0" w:space="0" w:color="auto"/>
                        <w:bottom w:val="none" w:sz="0" w:space="0" w:color="auto"/>
                        <w:right w:val="none" w:sz="0" w:space="0" w:color="auto"/>
                      </w:divBdr>
                    </w:div>
                    <w:div w:id="294148074">
                      <w:marLeft w:val="0"/>
                      <w:marRight w:val="0"/>
                      <w:marTop w:val="0"/>
                      <w:marBottom w:val="0"/>
                      <w:divBdr>
                        <w:top w:val="none" w:sz="0" w:space="0" w:color="auto"/>
                        <w:left w:val="none" w:sz="0" w:space="0" w:color="auto"/>
                        <w:bottom w:val="none" w:sz="0" w:space="0" w:color="auto"/>
                        <w:right w:val="none" w:sz="0" w:space="0" w:color="auto"/>
                      </w:divBdr>
                    </w:div>
                    <w:div w:id="294148114">
                      <w:marLeft w:val="0"/>
                      <w:marRight w:val="0"/>
                      <w:marTop w:val="0"/>
                      <w:marBottom w:val="0"/>
                      <w:divBdr>
                        <w:top w:val="none" w:sz="0" w:space="0" w:color="auto"/>
                        <w:left w:val="none" w:sz="0" w:space="0" w:color="auto"/>
                        <w:bottom w:val="none" w:sz="0" w:space="0" w:color="auto"/>
                        <w:right w:val="none" w:sz="0" w:space="0" w:color="auto"/>
                      </w:divBdr>
                    </w:div>
                    <w:div w:id="294148159">
                      <w:marLeft w:val="0"/>
                      <w:marRight w:val="0"/>
                      <w:marTop w:val="0"/>
                      <w:marBottom w:val="0"/>
                      <w:divBdr>
                        <w:top w:val="none" w:sz="0" w:space="0" w:color="auto"/>
                        <w:left w:val="none" w:sz="0" w:space="0" w:color="auto"/>
                        <w:bottom w:val="none" w:sz="0" w:space="0" w:color="auto"/>
                        <w:right w:val="none" w:sz="0" w:space="0" w:color="auto"/>
                      </w:divBdr>
                      <w:divsChild>
                        <w:div w:id="294143019">
                          <w:marLeft w:val="0"/>
                          <w:marRight w:val="0"/>
                          <w:marTop w:val="0"/>
                          <w:marBottom w:val="0"/>
                          <w:divBdr>
                            <w:top w:val="none" w:sz="0" w:space="0" w:color="auto"/>
                            <w:left w:val="none" w:sz="0" w:space="0" w:color="auto"/>
                            <w:bottom w:val="none" w:sz="0" w:space="0" w:color="auto"/>
                            <w:right w:val="none" w:sz="0" w:space="0" w:color="auto"/>
                          </w:divBdr>
                        </w:div>
                      </w:divsChild>
                    </w:div>
                    <w:div w:id="294148162">
                      <w:marLeft w:val="0"/>
                      <w:marRight w:val="0"/>
                      <w:marTop w:val="0"/>
                      <w:marBottom w:val="0"/>
                      <w:divBdr>
                        <w:top w:val="none" w:sz="0" w:space="0" w:color="auto"/>
                        <w:left w:val="none" w:sz="0" w:space="0" w:color="auto"/>
                        <w:bottom w:val="none" w:sz="0" w:space="0" w:color="auto"/>
                        <w:right w:val="none" w:sz="0" w:space="0" w:color="auto"/>
                      </w:divBdr>
                    </w:div>
                    <w:div w:id="294148294">
                      <w:marLeft w:val="0"/>
                      <w:marRight w:val="0"/>
                      <w:marTop w:val="0"/>
                      <w:marBottom w:val="0"/>
                      <w:divBdr>
                        <w:top w:val="none" w:sz="0" w:space="0" w:color="auto"/>
                        <w:left w:val="none" w:sz="0" w:space="0" w:color="auto"/>
                        <w:bottom w:val="none" w:sz="0" w:space="0" w:color="auto"/>
                        <w:right w:val="none" w:sz="0" w:space="0" w:color="auto"/>
                      </w:divBdr>
                      <w:divsChild>
                        <w:div w:id="294142444">
                          <w:marLeft w:val="0"/>
                          <w:marRight w:val="0"/>
                          <w:marTop w:val="0"/>
                          <w:marBottom w:val="0"/>
                          <w:divBdr>
                            <w:top w:val="none" w:sz="0" w:space="0" w:color="auto"/>
                            <w:left w:val="none" w:sz="0" w:space="0" w:color="auto"/>
                            <w:bottom w:val="none" w:sz="0" w:space="0" w:color="auto"/>
                            <w:right w:val="none" w:sz="0" w:space="0" w:color="auto"/>
                          </w:divBdr>
                        </w:div>
                      </w:divsChild>
                    </w:div>
                    <w:div w:id="294148342">
                      <w:marLeft w:val="0"/>
                      <w:marRight w:val="0"/>
                      <w:marTop w:val="0"/>
                      <w:marBottom w:val="0"/>
                      <w:divBdr>
                        <w:top w:val="none" w:sz="0" w:space="0" w:color="auto"/>
                        <w:left w:val="none" w:sz="0" w:space="0" w:color="auto"/>
                        <w:bottom w:val="none" w:sz="0" w:space="0" w:color="auto"/>
                        <w:right w:val="none" w:sz="0" w:space="0" w:color="auto"/>
                      </w:divBdr>
                    </w:div>
                    <w:div w:id="294148361">
                      <w:marLeft w:val="0"/>
                      <w:marRight w:val="0"/>
                      <w:marTop w:val="0"/>
                      <w:marBottom w:val="0"/>
                      <w:divBdr>
                        <w:top w:val="none" w:sz="0" w:space="0" w:color="auto"/>
                        <w:left w:val="none" w:sz="0" w:space="0" w:color="auto"/>
                        <w:bottom w:val="none" w:sz="0" w:space="0" w:color="auto"/>
                        <w:right w:val="none" w:sz="0" w:space="0" w:color="auto"/>
                      </w:divBdr>
                      <w:divsChild>
                        <w:div w:id="294151401">
                          <w:marLeft w:val="0"/>
                          <w:marRight w:val="0"/>
                          <w:marTop w:val="0"/>
                          <w:marBottom w:val="0"/>
                          <w:divBdr>
                            <w:top w:val="none" w:sz="0" w:space="0" w:color="auto"/>
                            <w:left w:val="none" w:sz="0" w:space="0" w:color="auto"/>
                            <w:bottom w:val="none" w:sz="0" w:space="0" w:color="auto"/>
                            <w:right w:val="none" w:sz="0" w:space="0" w:color="auto"/>
                          </w:divBdr>
                        </w:div>
                      </w:divsChild>
                    </w:div>
                    <w:div w:id="294148393">
                      <w:marLeft w:val="0"/>
                      <w:marRight w:val="0"/>
                      <w:marTop w:val="0"/>
                      <w:marBottom w:val="0"/>
                      <w:divBdr>
                        <w:top w:val="none" w:sz="0" w:space="0" w:color="auto"/>
                        <w:left w:val="none" w:sz="0" w:space="0" w:color="auto"/>
                        <w:bottom w:val="none" w:sz="0" w:space="0" w:color="auto"/>
                        <w:right w:val="none" w:sz="0" w:space="0" w:color="auto"/>
                      </w:divBdr>
                    </w:div>
                    <w:div w:id="294148404">
                      <w:marLeft w:val="0"/>
                      <w:marRight w:val="0"/>
                      <w:marTop w:val="0"/>
                      <w:marBottom w:val="0"/>
                      <w:divBdr>
                        <w:top w:val="none" w:sz="0" w:space="0" w:color="auto"/>
                        <w:left w:val="none" w:sz="0" w:space="0" w:color="auto"/>
                        <w:bottom w:val="none" w:sz="0" w:space="0" w:color="auto"/>
                        <w:right w:val="none" w:sz="0" w:space="0" w:color="auto"/>
                      </w:divBdr>
                      <w:divsChild>
                        <w:div w:id="294152898">
                          <w:marLeft w:val="0"/>
                          <w:marRight w:val="0"/>
                          <w:marTop w:val="0"/>
                          <w:marBottom w:val="0"/>
                          <w:divBdr>
                            <w:top w:val="none" w:sz="0" w:space="0" w:color="auto"/>
                            <w:left w:val="none" w:sz="0" w:space="0" w:color="auto"/>
                            <w:bottom w:val="none" w:sz="0" w:space="0" w:color="auto"/>
                            <w:right w:val="none" w:sz="0" w:space="0" w:color="auto"/>
                          </w:divBdr>
                        </w:div>
                      </w:divsChild>
                    </w:div>
                    <w:div w:id="294148451">
                      <w:marLeft w:val="0"/>
                      <w:marRight w:val="0"/>
                      <w:marTop w:val="0"/>
                      <w:marBottom w:val="0"/>
                      <w:divBdr>
                        <w:top w:val="none" w:sz="0" w:space="0" w:color="auto"/>
                        <w:left w:val="none" w:sz="0" w:space="0" w:color="auto"/>
                        <w:bottom w:val="none" w:sz="0" w:space="0" w:color="auto"/>
                        <w:right w:val="none" w:sz="0" w:space="0" w:color="auto"/>
                      </w:divBdr>
                    </w:div>
                    <w:div w:id="294148572">
                      <w:marLeft w:val="0"/>
                      <w:marRight w:val="0"/>
                      <w:marTop w:val="0"/>
                      <w:marBottom w:val="0"/>
                      <w:divBdr>
                        <w:top w:val="none" w:sz="0" w:space="0" w:color="auto"/>
                        <w:left w:val="none" w:sz="0" w:space="0" w:color="auto"/>
                        <w:bottom w:val="none" w:sz="0" w:space="0" w:color="auto"/>
                        <w:right w:val="none" w:sz="0" w:space="0" w:color="auto"/>
                      </w:divBdr>
                      <w:divsChild>
                        <w:div w:id="294142768">
                          <w:marLeft w:val="0"/>
                          <w:marRight w:val="0"/>
                          <w:marTop w:val="0"/>
                          <w:marBottom w:val="0"/>
                          <w:divBdr>
                            <w:top w:val="none" w:sz="0" w:space="0" w:color="auto"/>
                            <w:left w:val="none" w:sz="0" w:space="0" w:color="auto"/>
                            <w:bottom w:val="none" w:sz="0" w:space="0" w:color="auto"/>
                            <w:right w:val="none" w:sz="0" w:space="0" w:color="auto"/>
                          </w:divBdr>
                        </w:div>
                      </w:divsChild>
                    </w:div>
                    <w:div w:id="294148583">
                      <w:marLeft w:val="0"/>
                      <w:marRight w:val="0"/>
                      <w:marTop w:val="0"/>
                      <w:marBottom w:val="0"/>
                      <w:divBdr>
                        <w:top w:val="none" w:sz="0" w:space="0" w:color="auto"/>
                        <w:left w:val="none" w:sz="0" w:space="0" w:color="auto"/>
                        <w:bottom w:val="none" w:sz="0" w:space="0" w:color="auto"/>
                        <w:right w:val="none" w:sz="0" w:space="0" w:color="auto"/>
                      </w:divBdr>
                    </w:div>
                    <w:div w:id="294148641">
                      <w:marLeft w:val="0"/>
                      <w:marRight w:val="0"/>
                      <w:marTop w:val="0"/>
                      <w:marBottom w:val="0"/>
                      <w:divBdr>
                        <w:top w:val="none" w:sz="0" w:space="0" w:color="auto"/>
                        <w:left w:val="none" w:sz="0" w:space="0" w:color="auto"/>
                        <w:bottom w:val="none" w:sz="0" w:space="0" w:color="auto"/>
                        <w:right w:val="none" w:sz="0" w:space="0" w:color="auto"/>
                      </w:divBdr>
                    </w:div>
                    <w:div w:id="294148731">
                      <w:marLeft w:val="0"/>
                      <w:marRight w:val="0"/>
                      <w:marTop w:val="0"/>
                      <w:marBottom w:val="0"/>
                      <w:divBdr>
                        <w:top w:val="none" w:sz="0" w:space="0" w:color="auto"/>
                        <w:left w:val="none" w:sz="0" w:space="0" w:color="auto"/>
                        <w:bottom w:val="none" w:sz="0" w:space="0" w:color="auto"/>
                        <w:right w:val="none" w:sz="0" w:space="0" w:color="auto"/>
                      </w:divBdr>
                    </w:div>
                    <w:div w:id="294148754">
                      <w:marLeft w:val="0"/>
                      <w:marRight w:val="0"/>
                      <w:marTop w:val="0"/>
                      <w:marBottom w:val="0"/>
                      <w:divBdr>
                        <w:top w:val="none" w:sz="0" w:space="0" w:color="auto"/>
                        <w:left w:val="none" w:sz="0" w:space="0" w:color="auto"/>
                        <w:bottom w:val="none" w:sz="0" w:space="0" w:color="auto"/>
                        <w:right w:val="none" w:sz="0" w:space="0" w:color="auto"/>
                      </w:divBdr>
                      <w:divsChild>
                        <w:div w:id="294154891">
                          <w:marLeft w:val="0"/>
                          <w:marRight w:val="0"/>
                          <w:marTop w:val="0"/>
                          <w:marBottom w:val="0"/>
                          <w:divBdr>
                            <w:top w:val="none" w:sz="0" w:space="0" w:color="auto"/>
                            <w:left w:val="none" w:sz="0" w:space="0" w:color="auto"/>
                            <w:bottom w:val="none" w:sz="0" w:space="0" w:color="auto"/>
                            <w:right w:val="none" w:sz="0" w:space="0" w:color="auto"/>
                          </w:divBdr>
                        </w:div>
                      </w:divsChild>
                    </w:div>
                    <w:div w:id="294148762">
                      <w:marLeft w:val="0"/>
                      <w:marRight w:val="0"/>
                      <w:marTop w:val="0"/>
                      <w:marBottom w:val="0"/>
                      <w:divBdr>
                        <w:top w:val="none" w:sz="0" w:space="0" w:color="auto"/>
                        <w:left w:val="none" w:sz="0" w:space="0" w:color="auto"/>
                        <w:bottom w:val="none" w:sz="0" w:space="0" w:color="auto"/>
                        <w:right w:val="none" w:sz="0" w:space="0" w:color="auto"/>
                      </w:divBdr>
                      <w:divsChild>
                        <w:div w:id="294140499">
                          <w:marLeft w:val="0"/>
                          <w:marRight w:val="0"/>
                          <w:marTop w:val="0"/>
                          <w:marBottom w:val="0"/>
                          <w:divBdr>
                            <w:top w:val="none" w:sz="0" w:space="0" w:color="auto"/>
                            <w:left w:val="none" w:sz="0" w:space="0" w:color="auto"/>
                            <w:bottom w:val="none" w:sz="0" w:space="0" w:color="auto"/>
                            <w:right w:val="none" w:sz="0" w:space="0" w:color="auto"/>
                          </w:divBdr>
                        </w:div>
                      </w:divsChild>
                    </w:div>
                    <w:div w:id="294148782">
                      <w:marLeft w:val="0"/>
                      <w:marRight w:val="0"/>
                      <w:marTop w:val="0"/>
                      <w:marBottom w:val="0"/>
                      <w:divBdr>
                        <w:top w:val="none" w:sz="0" w:space="0" w:color="auto"/>
                        <w:left w:val="none" w:sz="0" w:space="0" w:color="auto"/>
                        <w:bottom w:val="none" w:sz="0" w:space="0" w:color="auto"/>
                        <w:right w:val="none" w:sz="0" w:space="0" w:color="auto"/>
                      </w:divBdr>
                      <w:divsChild>
                        <w:div w:id="294155948">
                          <w:marLeft w:val="0"/>
                          <w:marRight w:val="0"/>
                          <w:marTop w:val="0"/>
                          <w:marBottom w:val="0"/>
                          <w:divBdr>
                            <w:top w:val="none" w:sz="0" w:space="0" w:color="auto"/>
                            <w:left w:val="none" w:sz="0" w:space="0" w:color="auto"/>
                            <w:bottom w:val="none" w:sz="0" w:space="0" w:color="auto"/>
                            <w:right w:val="none" w:sz="0" w:space="0" w:color="auto"/>
                          </w:divBdr>
                        </w:div>
                      </w:divsChild>
                    </w:div>
                    <w:div w:id="294148902">
                      <w:marLeft w:val="0"/>
                      <w:marRight w:val="0"/>
                      <w:marTop w:val="0"/>
                      <w:marBottom w:val="0"/>
                      <w:divBdr>
                        <w:top w:val="none" w:sz="0" w:space="0" w:color="auto"/>
                        <w:left w:val="none" w:sz="0" w:space="0" w:color="auto"/>
                        <w:bottom w:val="none" w:sz="0" w:space="0" w:color="auto"/>
                        <w:right w:val="none" w:sz="0" w:space="0" w:color="auto"/>
                      </w:divBdr>
                    </w:div>
                    <w:div w:id="294148908">
                      <w:marLeft w:val="0"/>
                      <w:marRight w:val="0"/>
                      <w:marTop w:val="0"/>
                      <w:marBottom w:val="0"/>
                      <w:divBdr>
                        <w:top w:val="none" w:sz="0" w:space="0" w:color="auto"/>
                        <w:left w:val="none" w:sz="0" w:space="0" w:color="auto"/>
                        <w:bottom w:val="none" w:sz="0" w:space="0" w:color="auto"/>
                        <w:right w:val="none" w:sz="0" w:space="0" w:color="auto"/>
                      </w:divBdr>
                    </w:div>
                    <w:div w:id="294148997">
                      <w:marLeft w:val="0"/>
                      <w:marRight w:val="0"/>
                      <w:marTop w:val="0"/>
                      <w:marBottom w:val="0"/>
                      <w:divBdr>
                        <w:top w:val="none" w:sz="0" w:space="0" w:color="auto"/>
                        <w:left w:val="none" w:sz="0" w:space="0" w:color="auto"/>
                        <w:bottom w:val="none" w:sz="0" w:space="0" w:color="auto"/>
                        <w:right w:val="none" w:sz="0" w:space="0" w:color="auto"/>
                      </w:divBdr>
                      <w:divsChild>
                        <w:div w:id="294148722">
                          <w:marLeft w:val="0"/>
                          <w:marRight w:val="0"/>
                          <w:marTop w:val="0"/>
                          <w:marBottom w:val="0"/>
                          <w:divBdr>
                            <w:top w:val="none" w:sz="0" w:space="0" w:color="auto"/>
                            <w:left w:val="none" w:sz="0" w:space="0" w:color="auto"/>
                            <w:bottom w:val="none" w:sz="0" w:space="0" w:color="auto"/>
                            <w:right w:val="none" w:sz="0" w:space="0" w:color="auto"/>
                          </w:divBdr>
                        </w:div>
                      </w:divsChild>
                    </w:div>
                    <w:div w:id="294149015">
                      <w:marLeft w:val="0"/>
                      <w:marRight w:val="0"/>
                      <w:marTop w:val="0"/>
                      <w:marBottom w:val="0"/>
                      <w:divBdr>
                        <w:top w:val="none" w:sz="0" w:space="0" w:color="auto"/>
                        <w:left w:val="none" w:sz="0" w:space="0" w:color="auto"/>
                        <w:bottom w:val="none" w:sz="0" w:space="0" w:color="auto"/>
                        <w:right w:val="none" w:sz="0" w:space="0" w:color="auto"/>
                      </w:divBdr>
                    </w:div>
                    <w:div w:id="294149071">
                      <w:marLeft w:val="0"/>
                      <w:marRight w:val="0"/>
                      <w:marTop w:val="0"/>
                      <w:marBottom w:val="0"/>
                      <w:divBdr>
                        <w:top w:val="none" w:sz="0" w:space="0" w:color="auto"/>
                        <w:left w:val="none" w:sz="0" w:space="0" w:color="auto"/>
                        <w:bottom w:val="none" w:sz="0" w:space="0" w:color="auto"/>
                        <w:right w:val="none" w:sz="0" w:space="0" w:color="auto"/>
                      </w:divBdr>
                      <w:divsChild>
                        <w:div w:id="294152552">
                          <w:marLeft w:val="0"/>
                          <w:marRight w:val="0"/>
                          <w:marTop w:val="0"/>
                          <w:marBottom w:val="0"/>
                          <w:divBdr>
                            <w:top w:val="none" w:sz="0" w:space="0" w:color="auto"/>
                            <w:left w:val="none" w:sz="0" w:space="0" w:color="auto"/>
                            <w:bottom w:val="none" w:sz="0" w:space="0" w:color="auto"/>
                            <w:right w:val="none" w:sz="0" w:space="0" w:color="auto"/>
                          </w:divBdr>
                        </w:div>
                      </w:divsChild>
                    </w:div>
                    <w:div w:id="294149087">
                      <w:marLeft w:val="0"/>
                      <w:marRight w:val="0"/>
                      <w:marTop w:val="0"/>
                      <w:marBottom w:val="0"/>
                      <w:divBdr>
                        <w:top w:val="none" w:sz="0" w:space="0" w:color="auto"/>
                        <w:left w:val="none" w:sz="0" w:space="0" w:color="auto"/>
                        <w:bottom w:val="none" w:sz="0" w:space="0" w:color="auto"/>
                        <w:right w:val="none" w:sz="0" w:space="0" w:color="auto"/>
                      </w:divBdr>
                      <w:divsChild>
                        <w:div w:id="294146327">
                          <w:marLeft w:val="0"/>
                          <w:marRight w:val="0"/>
                          <w:marTop w:val="0"/>
                          <w:marBottom w:val="0"/>
                          <w:divBdr>
                            <w:top w:val="none" w:sz="0" w:space="0" w:color="auto"/>
                            <w:left w:val="none" w:sz="0" w:space="0" w:color="auto"/>
                            <w:bottom w:val="none" w:sz="0" w:space="0" w:color="auto"/>
                            <w:right w:val="none" w:sz="0" w:space="0" w:color="auto"/>
                          </w:divBdr>
                        </w:div>
                      </w:divsChild>
                    </w:div>
                    <w:div w:id="294149135">
                      <w:marLeft w:val="0"/>
                      <w:marRight w:val="0"/>
                      <w:marTop w:val="0"/>
                      <w:marBottom w:val="0"/>
                      <w:divBdr>
                        <w:top w:val="none" w:sz="0" w:space="0" w:color="auto"/>
                        <w:left w:val="none" w:sz="0" w:space="0" w:color="auto"/>
                        <w:bottom w:val="none" w:sz="0" w:space="0" w:color="auto"/>
                        <w:right w:val="none" w:sz="0" w:space="0" w:color="auto"/>
                      </w:divBdr>
                      <w:divsChild>
                        <w:div w:id="294152656">
                          <w:marLeft w:val="0"/>
                          <w:marRight w:val="0"/>
                          <w:marTop w:val="0"/>
                          <w:marBottom w:val="0"/>
                          <w:divBdr>
                            <w:top w:val="none" w:sz="0" w:space="0" w:color="auto"/>
                            <w:left w:val="none" w:sz="0" w:space="0" w:color="auto"/>
                            <w:bottom w:val="none" w:sz="0" w:space="0" w:color="auto"/>
                            <w:right w:val="none" w:sz="0" w:space="0" w:color="auto"/>
                          </w:divBdr>
                        </w:div>
                      </w:divsChild>
                    </w:div>
                    <w:div w:id="294149227">
                      <w:marLeft w:val="0"/>
                      <w:marRight w:val="0"/>
                      <w:marTop w:val="0"/>
                      <w:marBottom w:val="0"/>
                      <w:divBdr>
                        <w:top w:val="none" w:sz="0" w:space="0" w:color="auto"/>
                        <w:left w:val="none" w:sz="0" w:space="0" w:color="auto"/>
                        <w:bottom w:val="none" w:sz="0" w:space="0" w:color="auto"/>
                        <w:right w:val="none" w:sz="0" w:space="0" w:color="auto"/>
                      </w:divBdr>
                      <w:divsChild>
                        <w:div w:id="294141998">
                          <w:marLeft w:val="0"/>
                          <w:marRight w:val="0"/>
                          <w:marTop w:val="0"/>
                          <w:marBottom w:val="0"/>
                          <w:divBdr>
                            <w:top w:val="none" w:sz="0" w:space="0" w:color="auto"/>
                            <w:left w:val="none" w:sz="0" w:space="0" w:color="auto"/>
                            <w:bottom w:val="none" w:sz="0" w:space="0" w:color="auto"/>
                            <w:right w:val="none" w:sz="0" w:space="0" w:color="auto"/>
                          </w:divBdr>
                        </w:div>
                      </w:divsChild>
                    </w:div>
                    <w:div w:id="294149258">
                      <w:marLeft w:val="0"/>
                      <w:marRight w:val="0"/>
                      <w:marTop w:val="0"/>
                      <w:marBottom w:val="0"/>
                      <w:divBdr>
                        <w:top w:val="none" w:sz="0" w:space="0" w:color="auto"/>
                        <w:left w:val="none" w:sz="0" w:space="0" w:color="auto"/>
                        <w:bottom w:val="none" w:sz="0" w:space="0" w:color="auto"/>
                        <w:right w:val="none" w:sz="0" w:space="0" w:color="auto"/>
                      </w:divBdr>
                      <w:divsChild>
                        <w:div w:id="294156449">
                          <w:marLeft w:val="0"/>
                          <w:marRight w:val="0"/>
                          <w:marTop w:val="0"/>
                          <w:marBottom w:val="0"/>
                          <w:divBdr>
                            <w:top w:val="none" w:sz="0" w:space="0" w:color="auto"/>
                            <w:left w:val="none" w:sz="0" w:space="0" w:color="auto"/>
                            <w:bottom w:val="none" w:sz="0" w:space="0" w:color="auto"/>
                            <w:right w:val="none" w:sz="0" w:space="0" w:color="auto"/>
                          </w:divBdr>
                        </w:div>
                      </w:divsChild>
                    </w:div>
                    <w:div w:id="294149283">
                      <w:marLeft w:val="0"/>
                      <w:marRight w:val="0"/>
                      <w:marTop w:val="0"/>
                      <w:marBottom w:val="0"/>
                      <w:divBdr>
                        <w:top w:val="none" w:sz="0" w:space="0" w:color="auto"/>
                        <w:left w:val="none" w:sz="0" w:space="0" w:color="auto"/>
                        <w:bottom w:val="none" w:sz="0" w:space="0" w:color="auto"/>
                        <w:right w:val="none" w:sz="0" w:space="0" w:color="auto"/>
                      </w:divBdr>
                    </w:div>
                    <w:div w:id="294149472">
                      <w:marLeft w:val="0"/>
                      <w:marRight w:val="0"/>
                      <w:marTop w:val="0"/>
                      <w:marBottom w:val="0"/>
                      <w:divBdr>
                        <w:top w:val="none" w:sz="0" w:space="0" w:color="auto"/>
                        <w:left w:val="none" w:sz="0" w:space="0" w:color="auto"/>
                        <w:bottom w:val="none" w:sz="0" w:space="0" w:color="auto"/>
                        <w:right w:val="none" w:sz="0" w:space="0" w:color="auto"/>
                      </w:divBdr>
                    </w:div>
                    <w:div w:id="294149479">
                      <w:marLeft w:val="0"/>
                      <w:marRight w:val="0"/>
                      <w:marTop w:val="0"/>
                      <w:marBottom w:val="0"/>
                      <w:divBdr>
                        <w:top w:val="none" w:sz="0" w:space="0" w:color="auto"/>
                        <w:left w:val="none" w:sz="0" w:space="0" w:color="auto"/>
                        <w:bottom w:val="none" w:sz="0" w:space="0" w:color="auto"/>
                        <w:right w:val="none" w:sz="0" w:space="0" w:color="auto"/>
                      </w:divBdr>
                    </w:div>
                    <w:div w:id="294149493">
                      <w:marLeft w:val="0"/>
                      <w:marRight w:val="0"/>
                      <w:marTop w:val="0"/>
                      <w:marBottom w:val="0"/>
                      <w:divBdr>
                        <w:top w:val="none" w:sz="0" w:space="0" w:color="auto"/>
                        <w:left w:val="none" w:sz="0" w:space="0" w:color="auto"/>
                        <w:bottom w:val="none" w:sz="0" w:space="0" w:color="auto"/>
                        <w:right w:val="none" w:sz="0" w:space="0" w:color="auto"/>
                      </w:divBdr>
                    </w:div>
                    <w:div w:id="294149638">
                      <w:marLeft w:val="0"/>
                      <w:marRight w:val="0"/>
                      <w:marTop w:val="0"/>
                      <w:marBottom w:val="0"/>
                      <w:divBdr>
                        <w:top w:val="none" w:sz="0" w:space="0" w:color="auto"/>
                        <w:left w:val="none" w:sz="0" w:space="0" w:color="auto"/>
                        <w:bottom w:val="none" w:sz="0" w:space="0" w:color="auto"/>
                        <w:right w:val="none" w:sz="0" w:space="0" w:color="auto"/>
                      </w:divBdr>
                    </w:div>
                    <w:div w:id="294149644">
                      <w:marLeft w:val="0"/>
                      <w:marRight w:val="0"/>
                      <w:marTop w:val="0"/>
                      <w:marBottom w:val="0"/>
                      <w:divBdr>
                        <w:top w:val="none" w:sz="0" w:space="0" w:color="auto"/>
                        <w:left w:val="none" w:sz="0" w:space="0" w:color="auto"/>
                        <w:bottom w:val="none" w:sz="0" w:space="0" w:color="auto"/>
                        <w:right w:val="none" w:sz="0" w:space="0" w:color="auto"/>
                      </w:divBdr>
                    </w:div>
                    <w:div w:id="294149653">
                      <w:marLeft w:val="0"/>
                      <w:marRight w:val="0"/>
                      <w:marTop w:val="0"/>
                      <w:marBottom w:val="0"/>
                      <w:divBdr>
                        <w:top w:val="none" w:sz="0" w:space="0" w:color="auto"/>
                        <w:left w:val="none" w:sz="0" w:space="0" w:color="auto"/>
                        <w:bottom w:val="none" w:sz="0" w:space="0" w:color="auto"/>
                        <w:right w:val="none" w:sz="0" w:space="0" w:color="auto"/>
                      </w:divBdr>
                      <w:divsChild>
                        <w:div w:id="294151869">
                          <w:marLeft w:val="0"/>
                          <w:marRight w:val="0"/>
                          <w:marTop w:val="0"/>
                          <w:marBottom w:val="0"/>
                          <w:divBdr>
                            <w:top w:val="none" w:sz="0" w:space="0" w:color="auto"/>
                            <w:left w:val="none" w:sz="0" w:space="0" w:color="auto"/>
                            <w:bottom w:val="none" w:sz="0" w:space="0" w:color="auto"/>
                            <w:right w:val="none" w:sz="0" w:space="0" w:color="auto"/>
                          </w:divBdr>
                        </w:div>
                      </w:divsChild>
                    </w:div>
                    <w:div w:id="294149668">
                      <w:marLeft w:val="0"/>
                      <w:marRight w:val="0"/>
                      <w:marTop w:val="0"/>
                      <w:marBottom w:val="0"/>
                      <w:divBdr>
                        <w:top w:val="none" w:sz="0" w:space="0" w:color="auto"/>
                        <w:left w:val="none" w:sz="0" w:space="0" w:color="auto"/>
                        <w:bottom w:val="none" w:sz="0" w:space="0" w:color="auto"/>
                        <w:right w:val="none" w:sz="0" w:space="0" w:color="auto"/>
                      </w:divBdr>
                    </w:div>
                    <w:div w:id="294149681">
                      <w:marLeft w:val="0"/>
                      <w:marRight w:val="0"/>
                      <w:marTop w:val="0"/>
                      <w:marBottom w:val="0"/>
                      <w:divBdr>
                        <w:top w:val="none" w:sz="0" w:space="0" w:color="auto"/>
                        <w:left w:val="none" w:sz="0" w:space="0" w:color="auto"/>
                        <w:bottom w:val="none" w:sz="0" w:space="0" w:color="auto"/>
                        <w:right w:val="none" w:sz="0" w:space="0" w:color="auto"/>
                      </w:divBdr>
                    </w:div>
                    <w:div w:id="294149702">
                      <w:marLeft w:val="0"/>
                      <w:marRight w:val="0"/>
                      <w:marTop w:val="0"/>
                      <w:marBottom w:val="0"/>
                      <w:divBdr>
                        <w:top w:val="none" w:sz="0" w:space="0" w:color="auto"/>
                        <w:left w:val="none" w:sz="0" w:space="0" w:color="auto"/>
                        <w:bottom w:val="none" w:sz="0" w:space="0" w:color="auto"/>
                        <w:right w:val="none" w:sz="0" w:space="0" w:color="auto"/>
                      </w:divBdr>
                    </w:div>
                    <w:div w:id="294149715">
                      <w:marLeft w:val="0"/>
                      <w:marRight w:val="0"/>
                      <w:marTop w:val="0"/>
                      <w:marBottom w:val="0"/>
                      <w:divBdr>
                        <w:top w:val="none" w:sz="0" w:space="0" w:color="auto"/>
                        <w:left w:val="none" w:sz="0" w:space="0" w:color="auto"/>
                        <w:bottom w:val="none" w:sz="0" w:space="0" w:color="auto"/>
                        <w:right w:val="none" w:sz="0" w:space="0" w:color="auto"/>
                      </w:divBdr>
                    </w:div>
                    <w:div w:id="294149717">
                      <w:marLeft w:val="0"/>
                      <w:marRight w:val="0"/>
                      <w:marTop w:val="0"/>
                      <w:marBottom w:val="0"/>
                      <w:divBdr>
                        <w:top w:val="none" w:sz="0" w:space="0" w:color="auto"/>
                        <w:left w:val="none" w:sz="0" w:space="0" w:color="auto"/>
                        <w:bottom w:val="none" w:sz="0" w:space="0" w:color="auto"/>
                        <w:right w:val="none" w:sz="0" w:space="0" w:color="auto"/>
                      </w:divBdr>
                      <w:divsChild>
                        <w:div w:id="294143834">
                          <w:marLeft w:val="0"/>
                          <w:marRight w:val="0"/>
                          <w:marTop w:val="0"/>
                          <w:marBottom w:val="0"/>
                          <w:divBdr>
                            <w:top w:val="none" w:sz="0" w:space="0" w:color="auto"/>
                            <w:left w:val="none" w:sz="0" w:space="0" w:color="auto"/>
                            <w:bottom w:val="none" w:sz="0" w:space="0" w:color="auto"/>
                            <w:right w:val="none" w:sz="0" w:space="0" w:color="auto"/>
                          </w:divBdr>
                        </w:div>
                      </w:divsChild>
                    </w:div>
                    <w:div w:id="294149988">
                      <w:marLeft w:val="0"/>
                      <w:marRight w:val="0"/>
                      <w:marTop w:val="0"/>
                      <w:marBottom w:val="0"/>
                      <w:divBdr>
                        <w:top w:val="none" w:sz="0" w:space="0" w:color="auto"/>
                        <w:left w:val="none" w:sz="0" w:space="0" w:color="auto"/>
                        <w:bottom w:val="none" w:sz="0" w:space="0" w:color="auto"/>
                        <w:right w:val="none" w:sz="0" w:space="0" w:color="auto"/>
                      </w:divBdr>
                      <w:divsChild>
                        <w:div w:id="294150569">
                          <w:marLeft w:val="0"/>
                          <w:marRight w:val="0"/>
                          <w:marTop w:val="0"/>
                          <w:marBottom w:val="0"/>
                          <w:divBdr>
                            <w:top w:val="none" w:sz="0" w:space="0" w:color="auto"/>
                            <w:left w:val="none" w:sz="0" w:space="0" w:color="auto"/>
                            <w:bottom w:val="none" w:sz="0" w:space="0" w:color="auto"/>
                            <w:right w:val="none" w:sz="0" w:space="0" w:color="auto"/>
                          </w:divBdr>
                        </w:div>
                      </w:divsChild>
                    </w:div>
                    <w:div w:id="294150239">
                      <w:marLeft w:val="0"/>
                      <w:marRight w:val="0"/>
                      <w:marTop w:val="0"/>
                      <w:marBottom w:val="0"/>
                      <w:divBdr>
                        <w:top w:val="none" w:sz="0" w:space="0" w:color="auto"/>
                        <w:left w:val="none" w:sz="0" w:space="0" w:color="auto"/>
                        <w:bottom w:val="none" w:sz="0" w:space="0" w:color="auto"/>
                        <w:right w:val="none" w:sz="0" w:space="0" w:color="auto"/>
                      </w:divBdr>
                      <w:divsChild>
                        <w:div w:id="294141929">
                          <w:marLeft w:val="0"/>
                          <w:marRight w:val="0"/>
                          <w:marTop w:val="0"/>
                          <w:marBottom w:val="0"/>
                          <w:divBdr>
                            <w:top w:val="none" w:sz="0" w:space="0" w:color="auto"/>
                            <w:left w:val="none" w:sz="0" w:space="0" w:color="auto"/>
                            <w:bottom w:val="none" w:sz="0" w:space="0" w:color="auto"/>
                            <w:right w:val="none" w:sz="0" w:space="0" w:color="auto"/>
                          </w:divBdr>
                        </w:div>
                      </w:divsChild>
                    </w:div>
                    <w:div w:id="294150246">
                      <w:marLeft w:val="0"/>
                      <w:marRight w:val="0"/>
                      <w:marTop w:val="0"/>
                      <w:marBottom w:val="0"/>
                      <w:divBdr>
                        <w:top w:val="none" w:sz="0" w:space="0" w:color="auto"/>
                        <w:left w:val="none" w:sz="0" w:space="0" w:color="auto"/>
                        <w:bottom w:val="none" w:sz="0" w:space="0" w:color="auto"/>
                        <w:right w:val="none" w:sz="0" w:space="0" w:color="auto"/>
                      </w:divBdr>
                    </w:div>
                    <w:div w:id="294150317">
                      <w:marLeft w:val="0"/>
                      <w:marRight w:val="0"/>
                      <w:marTop w:val="0"/>
                      <w:marBottom w:val="0"/>
                      <w:divBdr>
                        <w:top w:val="none" w:sz="0" w:space="0" w:color="auto"/>
                        <w:left w:val="none" w:sz="0" w:space="0" w:color="auto"/>
                        <w:bottom w:val="none" w:sz="0" w:space="0" w:color="auto"/>
                        <w:right w:val="none" w:sz="0" w:space="0" w:color="auto"/>
                      </w:divBdr>
                    </w:div>
                    <w:div w:id="294150378">
                      <w:marLeft w:val="0"/>
                      <w:marRight w:val="0"/>
                      <w:marTop w:val="0"/>
                      <w:marBottom w:val="0"/>
                      <w:divBdr>
                        <w:top w:val="none" w:sz="0" w:space="0" w:color="auto"/>
                        <w:left w:val="none" w:sz="0" w:space="0" w:color="auto"/>
                        <w:bottom w:val="none" w:sz="0" w:space="0" w:color="auto"/>
                        <w:right w:val="none" w:sz="0" w:space="0" w:color="auto"/>
                      </w:divBdr>
                      <w:divsChild>
                        <w:div w:id="294140050">
                          <w:marLeft w:val="0"/>
                          <w:marRight w:val="0"/>
                          <w:marTop w:val="0"/>
                          <w:marBottom w:val="0"/>
                          <w:divBdr>
                            <w:top w:val="none" w:sz="0" w:space="0" w:color="auto"/>
                            <w:left w:val="none" w:sz="0" w:space="0" w:color="auto"/>
                            <w:bottom w:val="none" w:sz="0" w:space="0" w:color="auto"/>
                            <w:right w:val="none" w:sz="0" w:space="0" w:color="auto"/>
                          </w:divBdr>
                        </w:div>
                      </w:divsChild>
                    </w:div>
                    <w:div w:id="294150450">
                      <w:marLeft w:val="0"/>
                      <w:marRight w:val="0"/>
                      <w:marTop w:val="0"/>
                      <w:marBottom w:val="0"/>
                      <w:divBdr>
                        <w:top w:val="none" w:sz="0" w:space="0" w:color="auto"/>
                        <w:left w:val="none" w:sz="0" w:space="0" w:color="auto"/>
                        <w:bottom w:val="none" w:sz="0" w:space="0" w:color="auto"/>
                        <w:right w:val="none" w:sz="0" w:space="0" w:color="auto"/>
                      </w:divBdr>
                    </w:div>
                    <w:div w:id="294150451">
                      <w:marLeft w:val="0"/>
                      <w:marRight w:val="0"/>
                      <w:marTop w:val="0"/>
                      <w:marBottom w:val="0"/>
                      <w:divBdr>
                        <w:top w:val="none" w:sz="0" w:space="0" w:color="auto"/>
                        <w:left w:val="none" w:sz="0" w:space="0" w:color="auto"/>
                        <w:bottom w:val="none" w:sz="0" w:space="0" w:color="auto"/>
                        <w:right w:val="none" w:sz="0" w:space="0" w:color="auto"/>
                      </w:divBdr>
                      <w:divsChild>
                        <w:div w:id="294140173">
                          <w:marLeft w:val="0"/>
                          <w:marRight w:val="0"/>
                          <w:marTop w:val="0"/>
                          <w:marBottom w:val="0"/>
                          <w:divBdr>
                            <w:top w:val="none" w:sz="0" w:space="0" w:color="auto"/>
                            <w:left w:val="none" w:sz="0" w:space="0" w:color="auto"/>
                            <w:bottom w:val="none" w:sz="0" w:space="0" w:color="auto"/>
                            <w:right w:val="none" w:sz="0" w:space="0" w:color="auto"/>
                          </w:divBdr>
                        </w:div>
                      </w:divsChild>
                    </w:div>
                    <w:div w:id="294150541">
                      <w:marLeft w:val="0"/>
                      <w:marRight w:val="0"/>
                      <w:marTop w:val="0"/>
                      <w:marBottom w:val="0"/>
                      <w:divBdr>
                        <w:top w:val="none" w:sz="0" w:space="0" w:color="auto"/>
                        <w:left w:val="none" w:sz="0" w:space="0" w:color="auto"/>
                        <w:bottom w:val="none" w:sz="0" w:space="0" w:color="auto"/>
                        <w:right w:val="none" w:sz="0" w:space="0" w:color="auto"/>
                      </w:divBdr>
                      <w:divsChild>
                        <w:div w:id="294156539">
                          <w:marLeft w:val="0"/>
                          <w:marRight w:val="0"/>
                          <w:marTop w:val="0"/>
                          <w:marBottom w:val="0"/>
                          <w:divBdr>
                            <w:top w:val="none" w:sz="0" w:space="0" w:color="auto"/>
                            <w:left w:val="none" w:sz="0" w:space="0" w:color="auto"/>
                            <w:bottom w:val="none" w:sz="0" w:space="0" w:color="auto"/>
                            <w:right w:val="none" w:sz="0" w:space="0" w:color="auto"/>
                          </w:divBdr>
                        </w:div>
                      </w:divsChild>
                    </w:div>
                    <w:div w:id="294150660">
                      <w:marLeft w:val="0"/>
                      <w:marRight w:val="0"/>
                      <w:marTop w:val="0"/>
                      <w:marBottom w:val="0"/>
                      <w:divBdr>
                        <w:top w:val="none" w:sz="0" w:space="0" w:color="auto"/>
                        <w:left w:val="none" w:sz="0" w:space="0" w:color="auto"/>
                        <w:bottom w:val="none" w:sz="0" w:space="0" w:color="auto"/>
                        <w:right w:val="none" w:sz="0" w:space="0" w:color="auto"/>
                      </w:divBdr>
                    </w:div>
                    <w:div w:id="294150724">
                      <w:marLeft w:val="0"/>
                      <w:marRight w:val="0"/>
                      <w:marTop w:val="0"/>
                      <w:marBottom w:val="0"/>
                      <w:divBdr>
                        <w:top w:val="none" w:sz="0" w:space="0" w:color="auto"/>
                        <w:left w:val="none" w:sz="0" w:space="0" w:color="auto"/>
                        <w:bottom w:val="none" w:sz="0" w:space="0" w:color="auto"/>
                        <w:right w:val="none" w:sz="0" w:space="0" w:color="auto"/>
                      </w:divBdr>
                      <w:divsChild>
                        <w:div w:id="294152428">
                          <w:marLeft w:val="0"/>
                          <w:marRight w:val="0"/>
                          <w:marTop w:val="0"/>
                          <w:marBottom w:val="0"/>
                          <w:divBdr>
                            <w:top w:val="none" w:sz="0" w:space="0" w:color="auto"/>
                            <w:left w:val="none" w:sz="0" w:space="0" w:color="auto"/>
                            <w:bottom w:val="none" w:sz="0" w:space="0" w:color="auto"/>
                            <w:right w:val="none" w:sz="0" w:space="0" w:color="auto"/>
                          </w:divBdr>
                        </w:div>
                      </w:divsChild>
                    </w:div>
                    <w:div w:id="294150767">
                      <w:marLeft w:val="0"/>
                      <w:marRight w:val="0"/>
                      <w:marTop w:val="0"/>
                      <w:marBottom w:val="0"/>
                      <w:divBdr>
                        <w:top w:val="none" w:sz="0" w:space="0" w:color="auto"/>
                        <w:left w:val="none" w:sz="0" w:space="0" w:color="auto"/>
                        <w:bottom w:val="none" w:sz="0" w:space="0" w:color="auto"/>
                        <w:right w:val="none" w:sz="0" w:space="0" w:color="auto"/>
                      </w:divBdr>
                      <w:divsChild>
                        <w:div w:id="294141089">
                          <w:marLeft w:val="0"/>
                          <w:marRight w:val="0"/>
                          <w:marTop w:val="0"/>
                          <w:marBottom w:val="0"/>
                          <w:divBdr>
                            <w:top w:val="none" w:sz="0" w:space="0" w:color="auto"/>
                            <w:left w:val="none" w:sz="0" w:space="0" w:color="auto"/>
                            <w:bottom w:val="none" w:sz="0" w:space="0" w:color="auto"/>
                            <w:right w:val="none" w:sz="0" w:space="0" w:color="auto"/>
                          </w:divBdr>
                        </w:div>
                      </w:divsChild>
                    </w:div>
                    <w:div w:id="294150793">
                      <w:marLeft w:val="0"/>
                      <w:marRight w:val="0"/>
                      <w:marTop w:val="0"/>
                      <w:marBottom w:val="0"/>
                      <w:divBdr>
                        <w:top w:val="none" w:sz="0" w:space="0" w:color="auto"/>
                        <w:left w:val="none" w:sz="0" w:space="0" w:color="auto"/>
                        <w:bottom w:val="none" w:sz="0" w:space="0" w:color="auto"/>
                        <w:right w:val="none" w:sz="0" w:space="0" w:color="auto"/>
                      </w:divBdr>
                    </w:div>
                    <w:div w:id="294150812">
                      <w:marLeft w:val="0"/>
                      <w:marRight w:val="0"/>
                      <w:marTop w:val="0"/>
                      <w:marBottom w:val="0"/>
                      <w:divBdr>
                        <w:top w:val="none" w:sz="0" w:space="0" w:color="auto"/>
                        <w:left w:val="none" w:sz="0" w:space="0" w:color="auto"/>
                        <w:bottom w:val="none" w:sz="0" w:space="0" w:color="auto"/>
                        <w:right w:val="none" w:sz="0" w:space="0" w:color="auto"/>
                      </w:divBdr>
                    </w:div>
                    <w:div w:id="294150820">
                      <w:marLeft w:val="0"/>
                      <w:marRight w:val="0"/>
                      <w:marTop w:val="0"/>
                      <w:marBottom w:val="0"/>
                      <w:divBdr>
                        <w:top w:val="none" w:sz="0" w:space="0" w:color="auto"/>
                        <w:left w:val="none" w:sz="0" w:space="0" w:color="auto"/>
                        <w:bottom w:val="none" w:sz="0" w:space="0" w:color="auto"/>
                        <w:right w:val="none" w:sz="0" w:space="0" w:color="auto"/>
                      </w:divBdr>
                      <w:divsChild>
                        <w:div w:id="294154522">
                          <w:marLeft w:val="0"/>
                          <w:marRight w:val="0"/>
                          <w:marTop w:val="0"/>
                          <w:marBottom w:val="0"/>
                          <w:divBdr>
                            <w:top w:val="none" w:sz="0" w:space="0" w:color="auto"/>
                            <w:left w:val="none" w:sz="0" w:space="0" w:color="auto"/>
                            <w:bottom w:val="none" w:sz="0" w:space="0" w:color="auto"/>
                            <w:right w:val="none" w:sz="0" w:space="0" w:color="auto"/>
                          </w:divBdr>
                        </w:div>
                      </w:divsChild>
                    </w:div>
                    <w:div w:id="294150918">
                      <w:marLeft w:val="0"/>
                      <w:marRight w:val="0"/>
                      <w:marTop w:val="0"/>
                      <w:marBottom w:val="0"/>
                      <w:divBdr>
                        <w:top w:val="none" w:sz="0" w:space="0" w:color="auto"/>
                        <w:left w:val="none" w:sz="0" w:space="0" w:color="auto"/>
                        <w:bottom w:val="none" w:sz="0" w:space="0" w:color="auto"/>
                        <w:right w:val="none" w:sz="0" w:space="0" w:color="auto"/>
                      </w:divBdr>
                    </w:div>
                    <w:div w:id="294150949">
                      <w:marLeft w:val="0"/>
                      <w:marRight w:val="0"/>
                      <w:marTop w:val="0"/>
                      <w:marBottom w:val="0"/>
                      <w:divBdr>
                        <w:top w:val="none" w:sz="0" w:space="0" w:color="auto"/>
                        <w:left w:val="none" w:sz="0" w:space="0" w:color="auto"/>
                        <w:bottom w:val="none" w:sz="0" w:space="0" w:color="auto"/>
                        <w:right w:val="none" w:sz="0" w:space="0" w:color="auto"/>
                      </w:divBdr>
                      <w:divsChild>
                        <w:div w:id="294152625">
                          <w:marLeft w:val="0"/>
                          <w:marRight w:val="0"/>
                          <w:marTop w:val="0"/>
                          <w:marBottom w:val="0"/>
                          <w:divBdr>
                            <w:top w:val="none" w:sz="0" w:space="0" w:color="auto"/>
                            <w:left w:val="none" w:sz="0" w:space="0" w:color="auto"/>
                            <w:bottom w:val="none" w:sz="0" w:space="0" w:color="auto"/>
                            <w:right w:val="none" w:sz="0" w:space="0" w:color="auto"/>
                          </w:divBdr>
                        </w:div>
                      </w:divsChild>
                    </w:div>
                    <w:div w:id="294151038">
                      <w:marLeft w:val="0"/>
                      <w:marRight w:val="0"/>
                      <w:marTop w:val="0"/>
                      <w:marBottom w:val="0"/>
                      <w:divBdr>
                        <w:top w:val="none" w:sz="0" w:space="0" w:color="auto"/>
                        <w:left w:val="none" w:sz="0" w:space="0" w:color="auto"/>
                        <w:bottom w:val="none" w:sz="0" w:space="0" w:color="auto"/>
                        <w:right w:val="none" w:sz="0" w:space="0" w:color="auto"/>
                      </w:divBdr>
                    </w:div>
                    <w:div w:id="294151136">
                      <w:marLeft w:val="0"/>
                      <w:marRight w:val="0"/>
                      <w:marTop w:val="0"/>
                      <w:marBottom w:val="0"/>
                      <w:divBdr>
                        <w:top w:val="none" w:sz="0" w:space="0" w:color="auto"/>
                        <w:left w:val="none" w:sz="0" w:space="0" w:color="auto"/>
                        <w:bottom w:val="none" w:sz="0" w:space="0" w:color="auto"/>
                        <w:right w:val="none" w:sz="0" w:space="0" w:color="auto"/>
                      </w:divBdr>
                      <w:divsChild>
                        <w:div w:id="294149075">
                          <w:marLeft w:val="0"/>
                          <w:marRight w:val="0"/>
                          <w:marTop w:val="0"/>
                          <w:marBottom w:val="0"/>
                          <w:divBdr>
                            <w:top w:val="none" w:sz="0" w:space="0" w:color="auto"/>
                            <w:left w:val="none" w:sz="0" w:space="0" w:color="auto"/>
                            <w:bottom w:val="none" w:sz="0" w:space="0" w:color="auto"/>
                            <w:right w:val="none" w:sz="0" w:space="0" w:color="auto"/>
                          </w:divBdr>
                        </w:div>
                      </w:divsChild>
                    </w:div>
                    <w:div w:id="294151203">
                      <w:marLeft w:val="0"/>
                      <w:marRight w:val="0"/>
                      <w:marTop w:val="0"/>
                      <w:marBottom w:val="0"/>
                      <w:divBdr>
                        <w:top w:val="none" w:sz="0" w:space="0" w:color="auto"/>
                        <w:left w:val="none" w:sz="0" w:space="0" w:color="auto"/>
                        <w:bottom w:val="none" w:sz="0" w:space="0" w:color="auto"/>
                        <w:right w:val="none" w:sz="0" w:space="0" w:color="auto"/>
                      </w:divBdr>
                    </w:div>
                    <w:div w:id="294151384">
                      <w:marLeft w:val="0"/>
                      <w:marRight w:val="0"/>
                      <w:marTop w:val="0"/>
                      <w:marBottom w:val="0"/>
                      <w:divBdr>
                        <w:top w:val="none" w:sz="0" w:space="0" w:color="auto"/>
                        <w:left w:val="none" w:sz="0" w:space="0" w:color="auto"/>
                        <w:bottom w:val="none" w:sz="0" w:space="0" w:color="auto"/>
                        <w:right w:val="none" w:sz="0" w:space="0" w:color="auto"/>
                      </w:divBdr>
                    </w:div>
                    <w:div w:id="294151409">
                      <w:marLeft w:val="0"/>
                      <w:marRight w:val="0"/>
                      <w:marTop w:val="0"/>
                      <w:marBottom w:val="0"/>
                      <w:divBdr>
                        <w:top w:val="none" w:sz="0" w:space="0" w:color="auto"/>
                        <w:left w:val="none" w:sz="0" w:space="0" w:color="auto"/>
                        <w:bottom w:val="none" w:sz="0" w:space="0" w:color="auto"/>
                        <w:right w:val="none" w:sz="0" w:space="0" w:color="auto"/>
                      </w:divBdr>
                      <w:divsChild>
                        <w:div w:id="294140660">
                          <w:marLeft w:val="0"/>
                          <w:marRight w:val="0"/>
                          <w:marTop w:val="0"/>
                          <w:marBottom w:val="0"/>
                          <w:divBdr>
                            <w:top w:val="none" w:sz="0" w:space="0" w:color="auto"/>
                            <w:left w:val="none" w:sz="0" w:space="0" w:color="auto"/>
                            <w:bottom w:val="none" w:sz="0" w:space="0" w:color="auto"/>
                            <w:right w:val="none" w:sz="0" w:space="0" w:color="auto"/>
                          </w:divBdr>
                        </w:div>
                      </w:divsChild>
                    </w:div>
                    <w:div w:id="294151457">
                      <w:marLeft w:val="0"/>
                      <w:marRight w:val="0"/>
                      <w:marTop w:val="0"/>
                      <w:marBottom w:val="0"/>
                      <w:divBdr>
                        <w:top w:val="none" w:sz="0" w:space="0" w:color="auto"/>
                        <w:left w:val="none" w:sz="0" w:space="0" w:color="auto"/>
                        <w:bottom w:val="none" w:sz="0" w:space="0" w:color="auto"/>
                        <w:right w:val="none" w:sz="0" w:space="0" w:color="auto"/>
                      </w:divBdr>
                    </w:div>
                    <w:div w:id="294151525">
                      <w:marLeft w:val="0"/>
                      <w:marRight w:val="0"/>
                      <w:marTop w:val="0"/>
                      <w:marBottom w:val="0"/>
                      <w:divBdr>
                        <w:top w:val="none" w:sz="0" w:space="0" w:color="auto"/>
                        <w:left w:val="none" w:sz="0" w:space="0" w:color="auto"/>
                        <w:bottom w:val="none" w:sz="0" w:space="0" w:color="auto"/>
                        <w:right w:val="none" w:sz="0" w:space="0" w:color="auto"/>
                      </w:divBdr>
                      <w:divsChild>
                        <w:div w:id="294148157">
                          <w:marLeft w:val="0"/>
                          <w:marRight w:val="0"/>
                          <w:marTop w:val="0"/>
                          <w:marBottom w:val="0"/>
                          <w:divBdr>
                            <w:top w:val="none" w:sz="0" w:space="0" w:color="auto"/>
                            <w:left w:val="none" w:sz="0" w:space="0" w:color="auto"/>
                            <w:bottom w:val="none" w:sz="0" w:space="0" w:color="auto"/>
                            <w:right w:val="none" w:sz="0" w:space="0" w:color="auto"/>
                          </w:divBdr>
                        </w:div>
                      </w:divsChild>
                    </w:div>
                    <w:div w:id="294151567">
                      <w:marLeft w:val="0"/>
                      <w:marRight w:val="0"/>
                      <w:marTop w:val="0"/>
                      <w:marBottom w:val="0"/>
                      <w:divBdr>
                        <w:top w:val="none" w:sz="0" w:space="0" w:color="auto"/>
                        <w:left w:val="none" w:sz="0" w:space="0" w:color="auto"/>
                        <w:bottom w:val="none" w:sz="0" w:space="0" w:color="auto"/>
                        <w:right w:val="none" w:sz="0" w:space="0" w:color="auto"/>
                      </w:divBdr>
                      <w:divsChild>
                        <w:div w:id="294154832">
                          <w:marLeft w:val="0"/>
                          <w:marRight w:val="0"/>
                          <w:marTop w:val="0"/>
                          <w:marBottom w:val="0"/>
                          <w:divBdr>
                            <w:top w:val="none" w:sz="0" w:space="0" w:color="auto"/>
                            <w:left w:val="none" w:sz="0" w:space="0" w:color="auto"/>
                            <w:bottom w:val="none" w:sz="0" w:space="0" w:color="auto"/>
                            <w:right w:val="none" w:sz="0" w:space="0" w:color="auto"/>
                          </w:divBdr>
                        </w:div>
                      </w:divsChild>
                    </w:div>
                    <w:div w:id="294151578">
                      <w:marLeft w:val="0"/>
                      <w:marRight w:val="0"/>
                      <w:marTop w:val="0"/>
                      <w:marBottom w:val="0"/>
                      <w:divBdr>
                        <w:top w:val="none" w:sz="0" w:space="0" w:color="auto"/>
                        <w:left w:val="none" w:sz="0" w:space="0" w:color="auto"/>
                        <w:bottom w:val="none" w:sz="0" w:space="0" w:color="auto"/>
                        <w:right w:val="none" w:sz="0" w:space="0" w:color="auto"/>
                      </w:divBdr>
                    </w:div>
                    <w:div w:id="294151639">
                      <w:marLeft w:val="0"/>
                      <w:marRight w:val="0"/>
                      <w:marTop w:val="0"/>
                      <w:marBottom w:val="0"/>
                      <w:divBdr>
                        <w:top w:val="none" w:sz="0" w:space="0" w:color="auto"/>
                        <w:left w:val="none" w:sz="0" w:space="0" w:color="auto"/>
                        <w:bottom w:val="none" w:sz="0" w:space="0" w:color="auto"/>
                        <w:right w:val="none" w:sz="0" w:space="0" w:color="auto"/>
                      </w:divBdr>
                    </w:div>
                    <w:div w:id="294151644">
                      <w:marLeft w:val="0"/>
                      <w:marRight w:val="0"/>
                      <w:marTop w:val="0"/>
                      <w:marBottom w:val="0"/>
                      <w:divBdr>
                        <w:top w:val="none" w:sz="0" w:space="0" w:color="auto"/>
                        <w:left w:val="none" w:sz="0" w:space="0" w:color="auto"/>
                        <w:bottom w:val="none" w:sz="0" w:space="0" w:color="auto"/>
                        <w:right w:val="none" w:sz="0" w:space="0" w:color="auto"/>
                      </w:divBdr>
                    </w:div>
                    <w:div w:id="294151667">
                      <w:marLeft w:val="0"/>
                      <w:marRight w:val="0"/>
                      <w:marTop w:val="0"/>
                      <w:marBottom w:val="0"/>
                      <w:divBdr>
                        <w:top w:val="none" w:sz="0" w:space="0" w:color="auto"/>
                        <w:left w:val="none" w:sz="0" w:space="0" w:color="auto"/>
                        <w:bottom w:val="none" w:sz="0" w:space="0" w:color="auto"/>
                        <w:right w:val="none" w:sz="0" w:space="0" w:color="auto"/>
                      </w:divBdr>
                      <w:divsChild>
                        <w:div w:id="294156767">
                          <w:marLeft w:val="0"/>
                          <w:marRight w:val="0"/>
                          <w:marTop w:val="0"/>
                          <w:marBottom w:val="0"/>
                          <w:divBdr>
                            <w:top w:val="none" w:sz="0" w:space="0" w:color="auto"/>
                            <w:left w:val="none" w:sz="0" w:space="0" w:color="auto"/>
                            <w:bottom w:val="none" w:sz="0" w:space="0" w:color="auto"/>
                            <w:right w:val="none" w:sz="0" w:space="0" w:color="auto"/>
                          </w:divBdr>
                        </w:div>
                      </w:divsChild>
                    </w:div>
                    <w:div w:id="294151742">
                      <w:marLeft w:val="0"/>
                      <w:marRight w:val="0"/>
                      <w:marTop w:val="0"/>
                      <w:marBottom w:val="0"/>
                      <w:divBdr>
                        <w:top w:val="none" w:sz="0" w:space="0" w:color="auto"/>
                        <w:left w:val="none" w:sz="0" w:space="0" w:color="auto"/>
                        <w:bottom w:val="none" w:sz="0" w:space="0" w:color="auto"/>
                        <w:right w:val="none" w:sz="0" w:space="0" w:color="auto"/>
                      </w:divBdr>
                    </w:div>
                    <w:div w:id="294151937">
                      <w:marLeft w:val="0"/>
                      <w:marRight w:val="0"/>
                      <w:marTop w:val="0"/>
                      <w:marBottom w:val="0"/>
                      <w:divBdr>
                        <w:top w:val="none" w:sz="0" w:space="0" w:color="auto"/>
                        <w:left w:val="none" w:sz="0" w:space="0" w:color="auto"/>
                        <w:bottom w:val="none" w:sz="0" w:space="0" w:color="auto"/>
                        <w:right w:val="none" w:sz="0" w:space="0" w:color="auto"/>
                      </w:divBdr>
                    </w:div>
                    <w:div w:id="294151946">
                      <w:marLeft w:val="0"/>
                      <w:marRight w:val="0"/>
                      <w:marTop w:val="0"/>
                      <w:marBottom w:val="0"/>
                      <w:divBdr>
                        <w:top w:val="none" w:sz="0" w:space="0" w:color="auto"/>
                        <w:left w:val="none" w:sz="0" w:space="0" w:color="auto"/>
                        <w:bottom w:val="none" w:sz="0" w:space="0" w:color="auto"/>
                        <w:right w:val="none" w:sz="0" w:space="0" w:color="auto"/>
                      </w:divBdr>
                    </w:div>
                    <w:div w:id="294152025">
                      <w:marLeft w:val="0"/>
                      <w:marRight w:val="0"/>
                      <w:marTop w:val="0"/>
                      <w:marBottom w:val="0"/>
                      <w:divBdr>
                        <w:top w:val="none" w:sz="0" w:space="0" w:color="auto"/>
                        <w:left w:val="none" w:sz="0" w:space="0" w:color="auto"/>
                        <w:bottom w:val="none" w:sz="0" w:space="0" w:color="auto"/>
                        <w:right w:val="none" w:sz="0" w:space="0" w:color="auto"/>
                      </w:divBdr>
                    </w:div>
                    <w:div w:id="294152061">
                      <w:marLeft w:val="0"/>
                      <w:marRight w:val="0"/>
                      <w:marTop w:val="0"/>
                      <w:marBottom w:val="0"/>
                      <w:divBdr>
                        <w:top w:val="none" w:sz="0" w:space="0" w:color="auto"/>
                        <w:left w:val="none" w:sz="0" w:space="0" w:color="auto"/>
                        <w:bottom w:val="none" w:sz="0" w:space="0" w:color="auto"/>
                        <w:right w:val="none" w:sz="0" w:space="0" w:color="auto"/>
                      </w:divBdr>
                      <w:divsChild>
                        <w:div w:id="294139066">
                          <w:marLeft w:val="0"/>
                          <w:marRight w:val="0"/>
                          <w:marTop w:val="0"/>
                          <w:marBottom w:val="0"/>
                          <w:divBdr>
                            <w:top w:val="none" w:sz="0" w:space="0" w:color="auto"/>
                            <w:left w:val="none" w:sz="0" w:space="0" w:color="auto"/>
                            <w:bottom w:val="none" w:sz="0" w:space="0" w:color="auto"/>
                            <w:right w:val="none" w:sz="0" w:space="0" w:color="auto"/>
                          </w:divBdr>
                        </w:div>
                      </w:divsChild>
                    </w:div>
                    <w:div w:id="294152075">
                      <w:marLeft w:val="0"/>
                      <w:marRight w:val="0"/>
                      <w:marTop w:val="0"/>
                      <w:marBottom w:val="0"/>
                      <w:divBdr>
                        <w:top w:val="none" w:sz="0" w:space="0" w:color="auto"/>
                        <w:left w:val="none" w:sz="0" w:space="0" w:color="auto"/>
                        <w:bottom w:val="none" w:sz="0" w:space="0" w:color="auto"/>
                        <w:right w:val="none" w:sz="0" w:space="0" w:color="auto"/>
                      </w:divBdr>
                    </w:div>
                    <w:div w:id="294152100">
                      <w:marLeft w:val="0"/>
                      <w:marRight w:val="0"/>
                      <w:marTop w:val="0"/>
                      <w:marBottom w:val="0"/>
                      <w:divBdr>
                        <w:top w:val="none" w:sz="0" w:space="0" w:color="auto"/>
                        <w:left w:val="none" w:sz="0" w:space="0" w:color="auto"/>
                        <w:bottom w:val="none" w:sz="0" w:space="0" w:color="auto"/>
                        <w:right w:val="none" w:sz="0" w:space="0" w:color="auto"/>
                      </w:divBdr>
                      <w:divsChild>
                        <w:div w:id="294155662">
                          <w:marLeft w:val="0"/>
                          <w:marRight w:val="0"/>
                          <w:marTop w:val="0"/>
                          <w:marBottom w:val="0"/>
                          <w:divBdr>
                            <w:top w:val="none" w:sz="0" w:space="0" w:color="auto"/>
                            <w:left w:val="none" w:sz="0" w:space="0" w:color="auto"/>
                            <w:bottom w:val="none" w:sz="0" w:space="0" w:color="auto"/>
                            <w:right w:val="none" w:sz="0" w:space="0" w:color="auto"/>
                          </w:divBdr>
                        </w:div>
                      </w:divsChild>
                    </w:div>
                    <w:div w:id="294152127">
                      <w:marLeft w:val="0"/>
                      <w:marRight w:val="0"/>
                      <w:marTop w:val="0"/>
                      <w:marBottom w:val="0"/>
                      <w:divBdr>
                        <w:top w:val="none" w:sz="0" w:space="0" w:color="auto"/>
                        <w:left w:val="none" w:sz="0" w:space="0" w:color="auto"/>
                        <w:bottom w:val="none" w:sz="0" w:space="0" w:color="auto"/>
                        <w:right w:val="none" w:sz="0" w:space="0" w:color="auto"/>
                      </w:divBdr>
                      <w:divsChild>
                        <w:div w:id="294141247">
                          <w:marLeft w:val="0"/>
                          <w:marRight w:val="0"/>
                          <w:marTop w:val="0"/>
                          <w:marBottom w:val="0"/>
                          <w:divBdr>
                            <w:top w:val="none" w:sz="0" w:space="0" w:color="auto"/>
                            <w:left w:val="none" w:sz="0" w:space="0" w:color="auto"/>
                            <w:bottom w:val="none" w:sz="0" w:space="0" w:color="auto"/>
                            <w:right w:val="none" w:sz="0" w:space="0" w:color="auto"/>
                          </w:divBdr>
                        </w:div>
                      </w:divsChild>
                    </w:div>
                    <w:div w:id="294152178">
                      <w:marLeft w:val="0"/>
                      <w:marRight w:val="0"/>
                      <w:marTop w:val="0"/>
                      <w:marBottom w:val="0"/>
                      <w:divBdr>
                        <w:top w:val="none" w:sz="0" w:space="0" w:color="auto"/>
                        <w:left w:val="none" w:sz="0" w:space="0" w:color="auto"/>
                        <w:bottom w:val="none" w:sz="0" w:space="0" w:color="auto"/>
                        <w:right w:val="none" w:sz="0" w:space="0" w:color="auto"/>
                      </w:divBdr>
                      <w:divsChild>
                        <w:div w:id="294148602">
                          <w:marLeft w:val="0"/>
                          <w:marRight w:val="0"/>
                          <w:marTop w:val="0"/>
                          <w:marBottom w:val="0"/>
                          <w:divBdr>
                            <w:top w:val="none" w:sz="0" w:space="0" w:color="auto"/>
                            <w:left w:val="none" w:sz="0" w:space="0" w:color="auto"/>
                            <w:bottom w:val="none" w:sz="0" w:space="0" w:color="auto"/>
                            <w:right w:val="none" w:sz="0" w:space="0" w:color="auto"/>
                          </w:divBdr>
                        </w:div>
                      </w:divsChild>
                    </w:div>
                    <w:div w:id="294152181">
                      <w:marLeft w:val="0"/>
                      <w:marRight w:val="0"/>
                      <w:marTop w:val="0"/>
                      <w:marBottom w:val="0"/>
                      <w:divBdr>
                        <w:top w:val="none" w:sz="0" w:space="0" w:color="auto"/>
                        <w:left w:val="none" w:sz="0" w:space="0" w:color="auto"/>
                        <w:bottom w:val="none" w:sz="0" w:space="0" w:color="auto"/>
                        <w:right w:val="none" w:sz="0" w:space="0" w:color="auto"/>
                      </w:divBdr>
                      <w:divsChild>
                        <w:div w:id="294155123">
                          <w:marLeft w:val="0"/>
                          <w:marRight w:val="0"/>
                          <w:marTop w:val="0"/>
                          <w:marBottom w:val="0"/>
                          <w:divBdr>
                            <w:top w:val="none" w:sz="0" w:space="0" w:color="auto"/>
                            <w:left w:val="none" w:sz="0" w:space="0" w:color="auto"/>
                            <w:bottom w:val="none" w:sz="0" w:space="0" w:color="auto"/>
                            <w:right w:val="none" w:sz="0" w:space="0" w:color="auto"/>
                          </w:divBdr>
                        </w:div>
                      </w:divsChild>
                    </w:div>
                    <w:div w:id="294152319">
                      <w:marLeft w:val="0"/>
                      <w:marRight w:val="0"/>
                      <w:marTop w:val="0"/>
                      <w:marBottom w:val="0"/>
                      <w:divBdr>
                        <w:top w:val="none" w:sz="0" w:space="0" w:color="auto"/>
                        <w:left w:val="none" w:sz="0" w:space="0" w:color="auto"/>
                        <w:bottom w:val="none" w:sz="0" w:space="0" w:color="auto"/>
                        <w:right w:val="none" w:sz="0" w:space="0" w:color="auto"/>
                      </w:divBdr>
                    </w:div>
                    <w:div w:id="294152409">
                      <w:marLeft w:val="0"/>
                      <w:marRight w:val="0"/>
                      <w:marTop w:val="0"/>
                      <w:marBottom w:val="0"/>
                      <w:divBdr>
                        <w:top w:val="none" w:sz="0" w:space="0" w:color="auto"/>
                        <w:left w:val="none" w:sz="0" w:space="0" w:color="auto"/>
                        <w:bottom w:val="none" w:sz="0" w:space="0" w:color="auto"/>
                        <w:right w:val="none" w:sz="0" w:space="0" w:color="auto"/>
                      </w:divBdr>
                      <w:divsChild>
                        <w:div w:id="294150694">
                          <w:marLeft w:val="0"/>
                          <w:marRight w:val="0"/>
                          <w:marTop w:val="0"/>
                          <w:marBottom w:val="0"/>
                          <w:divBdr>
                            <w:top w:val="none" w:sz="0" w:space="0" w:color="auto"/>
                            <w:left w:val="none" w:sz="0" w:space="0" w:color="auto"/>
                            <w:bottom w:val="none" w:sz="0" w:space="0" w:color="auto"/>
                            <w:right w:val="none" w:sz="0" w:space="0" w:color="auto"/>
                          </w:divBdr>
                        </w:div>
                      </w:divsChild>
                    </w:div>
                    <w:div w:id="294152416">
                      <w:marLeft w:val="0"/>
                      <w:marRight w:val="0"/>
                      <w:marTop w:val="0"/>
                      <w:marBottom w:val="0"/>
                      <w:divBdr>
                        <w:top w:val="none" w:sz="0" w:space="0" w:color="auto"/>
                        <w:left w:val="none" w:sz="0" w:space="0" w:color="auto"/>
                        <w:bottom w:val="none" w:sz="0" w:space="0" w:color="auto"/>
                        <w:right w:val="none" w:sz="0" w:space="0" w:color="auto"/>
                      </w:divBdr>
                    </w:div>
                    <w:div w:id="294152462">
                      <w:marLeft w:val="0"/>
                      <w:marRight w:val="0"/>
                      <w:marTop w:val="0"/>
                      <w:marBottom w:val="0"/>
                      <w:divBdr>
                        <w:top w:val="none" w:sz="0" w:space="0" w:color="auto"/>
                        <w:left w:val="none" w:sz="0" w:space="0" w:color="auto"/>
                        <w:bottom w:val="none" w:sz="0" w:space="0" w:color="auto"/>
                        <w:right w:val="none" w:sz="0" w:space="0" w:color="auto"/>
                      </w:divBdr>
                      <w:divsChild>
                        <w:div w:id="294149870">
                          <w:marLeft w:val="0"/>
                          <w:marRight w:val="0"/>
                          <w:marTop w:val="0"/>
                          <w:marBottom w:val="0"/>
                          <w:divBdr>
                            <w:top w:val="none" w:sz="0" w:space="0" w:color="auto"/>
                            <w:left w:val="none" w:sz="0" w:space="0" w:color="auto"/>
                            <w:bottom w:val="none" w:sz="0" w:space="0" w:color="auto"/>
                            <w:right w:val="none" w:sz="0" w:space="0" w:color="auto"/>
                          </w:divBdr>
                        </w:div>
                      </w:divsChild>
                    </w:div>
                    <w:div w:id="294152636">
                      <w:marLeft w:val="0"/>
                      <w:marRight w:val="0"/>
                      <w:marTop w:val="0"/>
                      <w:marBottom w:val="0"/>
                      <w:divBdr>
                        <w:top w:val="none" w:sz="0" w:space="0" w:color="auto"/>
                        <w:left w:val="none" w:sz="0" w:space="0" w:color="auto"/>
                        <w:bottom w:val="none" w:sz="0" w:space="0" w:color="auto"/>
                        <w:right w:val="none" w:sz="0" w:space="0" w:color="auto"/>
                      </w:divBdr>
                    </w:div>
                    <w:div w:id="294152707">
                      <w:marLeft w:val="0"/>
                      <w:marRight w:val="0"/>
                      <w:marTop w:val="0"/>
                      <w:marBottom w:val="0"/>
                      <w:divBdr>
                        <w:top w:val="none" w:sz="0" w:space="0" w:color="auto"/>
                        <w:left w:val="none" w:sz="0" w:space="0" w:color="auto"/>
                        <w:bottom w:val="none" w:sz="0" w:space="0" w:color="auto"/>
                        <w:right w:val="none" w:sz="0" w:space="0" w:color="auto"/>
                      </w:divBdr>
                      <w:divsChild>
                        <w:div w:id="294142586">
                          <w:marLeft w:val="0"/>
                          <w:marRight w:val="0"/>
                          <w:marTop w:val="0"/>
                          <w:marBottom w:val="0"/>
                          <w:divBdr>
                            <w:top w:val="none" w:sz="0" w:space="0" w:color="auto"/>
                            <w:left w:val="none" w:sz="0" w:space="0" w:color="auto"/>
                            <w:bottom w:val="none" w:sz="0" w:space="0" w:color="auto"/>
                            <w:right w:val="none" w:sz="0" w:space="0" w:color="auto"/>
                          </w:divBdr>
                        </w:div>
                      </w:divsChild>
                    </w:div>
                    <w:div w:id="294152767">
                      <w:marLeft w:val="0"/>
                      <w:marRight w:val="0"/>
                      <w:marTop w:val="0"/>
                      <w:marBottom w:val="0"/>
                      <w:divBdr>
                        <w:top w:val="none" w:sz="0" w:space="0" w:color="auto"/>
                        <w:left w:val="none" w:sz="0" w:space="0" w:color="auto"/>
                        <w:bottom w:val="none" w:sz="0" w:space="0" w:color="auto"/>
                        <w:right w:val="none" w:sz="0" w:space="0" w:color="auto"/>
                      </w:divBdr>
                      <w:divsChild>
                        <w:div w:id="294153623">
                          <w:marLeft w:val="0"/>
                          <w:marRight w:val="0"/>
                          <w:marTop w:val="0"/>
                          <w:marBottom w:val="0"/>
                          <w:divBdr>
                            <w:top w:val="none" w:sz="0" w:space="0" w:color="auto"/>
                            <w:left w:val="none" w:sz="0" w:space="0" w:color="auto"/>
                            <w:bottom w:val="none" w:sz="0" w:space="0" w:color="auto"/>
                            <w:right w:val="none" w:sz="0" w:space="0" w:color="auto"/>
                          </w:divBdr>
                        </w:div>
                      </w:divsChild>
                    </w:div>
                    <w:div w:id="294152774">
                      <w:marLeft w:val="0"/>
                      <w:marRight w:val="0"/>
                      <w:marTop w:val="0"/>
                      <w:marBottom w:val="0"/>
                      <w:divBdr>
                        <w:top w:val="none" w:sz="0" w:space="0" w:color="auto"/>
                        <w:left w:val="none" w:sz="0" w:space="0" w:color="auto"/>
                        <w:bottom w:val="none" w:sz="0" w:space="0" w:color="auto"/>
                        <w:right w:val="none" w:sz="0" w:space="0" w:color="auto"/>
                      </w:divBdr>
                      <w:divsChild>
                        <w:div w:id="294151676">
                          <w:marLeft w:val="0"/>
                          <w:marRight w:val="0"/>
                          <w:marTop w:val="0"/>
                          <w:marBottom w:val="0"/>
                          <w:divBdr>
                            <w:top w:val="none" w:sz="0" w:space="0" w:color="auto"/>
                            <w:left w:val="none" w:sz="0" w:space="0" w:color="auto"/>
                            <w:bottom w:val="none" w:sz="0" w:space="0" w:color="auto"/>
                            <w:right w:val="none" w:sz="0" w:space="0" w:color="auto"/>
                          </w:divBdr>
                        </w:div>
                      </w:divsChild>
                    </w:div>
                    <w:div w:id="294152817">
                      <w:marLeft w:val="0"/>
                      <w:marRight w:val="0"/>
                      <w:marTop w:val="0"/>
                      <w:marBottom w:val="0"/>
                      <w:divBdr>
                        <w:top w:val="none" w:sz="0" w:space="0" w:color="auto"/>
                        <w:left w:val="none" w:sz="0" w:space="0" w:color="auto"/>
                        <w:bottom w:val="none" w:sz="0" w:space="0" w:color="auto"/>
                        <w:right w:val="none" w:sz="0" w:space="0" w:color="auto"/>
                      </w:divBdr>
                    </w:div>
                    <w:div w:id="294152847">
                      <w:marLeft w:val="0"/>
                      <w:marRight w:val="0"/>
                      <w:marTop w:val="0"/>
                      <w:marBottom w:val="0"/>
                      <w:divBdr>
                        <w:top w:val="none" w:sz="0" w:space="0" w:color="auto"/>
                        <w:left w:val="none" w:sz="0" w:space="0" w:color="auto"/>
                        <w:bottom w:val="none" w:sz="0" w:space="0" w:color="auto"/>
                        <w:right w:val="none" w:sz="0" w:space="0" w:color="auto"/>
                      </w:divBdr>
                      <w:divsChild>
                        <w:div w:id="294151102">
                          <w:marLeft w:val="0"/>
                          <w:marRight w:val="0"/>
                          <w:marTop w:val="0"/>
                          <w:marBottom w:val="0"/>
                          <w:divBdr>
                            <w:top w:val="none" w:sz="0" w:space="0" w:color="auto"/>
                            <w:left w:val="none" w:sz="0" w:space="0" w:color="auto"/>
                            <w:bottom w:val="none" w:sz="0" w:space="0" w:color="auto"/>
                            <w:right w:val="none" w:sz="0" w:space="0" w:color="auto"/>
                          </w:divBdr>
                        </w:div>
                      </w:divsChild>
                    </w:div>
                    <w:div w:id="294152850">
                      <w:marLeft w:val="0"/>
                      <w:marRight w:val="0"/>
                      <w:marTop w:val="0"/>
                      <w:marBottom w:val="0"/>
                      <w:divBdr>
                        <w:top w:val="none" w:sz="0" w:space="0" w:color="auto"/>
                        <w:left w:val="none" w:sz="0" w:space="0" w:color="auto"/>
                        <w:bottom w:val="none" w:sz="0" w:space="0" w:color="auto"/>
                        <w:right w:val="none" w:sz="0" w:space="0" w:color="auto"/>
                      </w:divBdr>
                    </w:div>
                    <w:div w:id="294152852">
                      <w:marLeft w:val="0"/>
                      <w:marRight w:val="0"/>
                      <w:marTop w:val="0"/>
                      <w:marBottom w:val="0"/>
                      <w:divBdr>
                        <w:top w:val="none" w:sz="0" w:space="0" w:color="auto"/>
                        <w:left w:val="none" w:sz="0" w:space="0" w:color="auto"/>
                        <w:bottom w:val="none" w:sz="0" w:space="0" w:color="auto"/>
                        <w:right w:val="none" w:sz="0" w:space="0" w:color="auto"/>
                      </w:divBdr>
                    </w:div>
                    <w:div w:id="294152863">
                      <w:marLeft w:val="0"/>
                      <w:marRight w:val="0"/>
                      <w:marTop w:val="0"/>
                      <w:marBottom w:val="0"/>
                      <w:divBdr>
                        <w:top w:val="none" w:sz="0" w:space="0" w:color="auto"/>
                        <w:left w:val="none" w:sz="0" w:space="0" w:color="auto"/>
                        <w:bottom w:val="none" w:sz="0" w:space="0" w:color="auto"/>
                        <w:right w:val="none" w:sz="0" w:space="0" w:color="auto"/>
                      </w:divBdr>
                      <w:divsChild>
                        <w:div w:id="294140583">
                          <w:marLeft w:val="0"/>
                          <w:marRight w:val="0"/>
                          <w:marTop w:val="0"/>
                          <w:marBottom w:val="0"/>
                          <w:divBdr>
                            <w:top w:val="none" w:sz="0" w:space="0" w:color="auto"/>
                            <w:left w:val="none" w:sz="0" w:space="0" w:color="auto"/>
                            <w:bottom w:val="none" w:sz="0" w:space="0" w:color="auto"/>
                            <w:right w:val="none" w:sz="0" w:space="0" w:color="auto"/>
                          </w:divBdr>
                        </w:div>
                      </w:divsChild>
                    </w:div>
                    <w:div w:id="294152920">
                      <w:marLeft w:val="0"/>
                      <w:marRight w:val="0"/>
                      <w:marTop w:val="0"/>
                      <w:marBottom w:val="0"/>
                      <w:divBdr>
                        <w:top w:val="none" w:sz="0" w:space="0" w:color="auto"/>
                        <w:left w:val="none" w:sz="0" w:space="0" w:color="auto"/>
                        <w:bottom w:val="none" w:sz="0" w:space="0" w:color="auto"/>
                        <w:right w:val="none" w:sz="0" w:space="0" w:color="auto"/>
                      </w:divBdr>
                      <w:divsChild>
                        <w:div w:id="294153706">
                          <w:marLeft w:val="0"/>
                          <w:marRight w:val="0"/>
                          <w:marTop w:val="0"/>
                          <w:marBottom w:val="0"/>
                          <w:divBdr>
                            <w:top w:val="none" w:sz="0" w:space="0" w:color="auto"/>
                            <w:left w:val="none" w:sz="0" w:space="0" w:color="auto"/>
                            <w:bottom w:val="none" w:sz="0" w:space="0" w:color="auto"/>
                            <w:right w:val="none" w:sz="0" w:space="0" w:color="auto"/>
                          </w:divBdr>
                        </w:div>
                      </w:divsChild>
                    </w:div>
                    <w:div w:id="294152924">
                      <w:marLeft w:val="0"/>
                      <w:marRight w:val="0"/>
                      <w:marTop w:val="0"/>
                      <w:marBottom w:val="0"/>
                      <w:divBdr>
                        <w:top w:val="none" w:sz="0" w:space="0" w:color="auto"/>
                        <w:left w:val="none" w:sz="0" w:space="0" w:color="auto"/>
                        <w:bottom w:val="none" w:sz="0" w:space="0" w:color="auto"/>
                        <w:right w:val="none" w:sz="0" w:space="0" w:color="auto"/>
                      </w:divBdr>
                    </w:div>
                    <w:div w:id="294153068">
                      <w:marLeft w:val="0"/>
                      <w:marRight w:val="0"/>
                      <w:marTop w:val="0"/>
                      <w:marBottom w:val="0"/>
                      <w:divBdr>
                        <w:top w:val="none" w:sz="0" w:space="0" w:color="auto"/>
                        <w:left w:val="none" w:sz="0" w:space="0" w:color="auto"/>
                        <w:bottom w:val="none" w:sz="0" w:space="0" w:color="auto"/>
                        <w:right w:val="none" w:sz="0" w:space="0" w:color="auto"/>
                      </w:divBdr>
                      <w:divsChild>
                        <w:div w:id="294142434">
                          <w:marLeft w:val="0"/>
                          <w:marRight w:val="0"/>
                          <w:marTop w:val="0"/>
                          <w:marBottom w:val="0"/>
                          <w:divBdr>
                            <w:top w:val="none" w:sz="0" w:space="0" w:color="auto"/>
                            <w:left w:val="none" w:sz="0" w:space="0" w:color="auto"/>
                            <w:bottom w:val="none" w:sz="0" w:space="0" w:color="auto"/>
                            <w:right w:val="none" w:sz="0" w:space="0" w:color="auto"/>
                          </w:divBdr>
                        </w:div>
                      </w:divsChild>
                    </w:div>
                    <w:div w:id="294153120">
                      <w:marLeft w:val="0"/>
                      <w:marRight w:val="0"/>
                      <w:marTop w:val="0"/>
                      <w:marBottom w:val="0"/>
                      <w:divBdr>
                        <w:top w:val="none" w:sz="0" w:space="0" w:color="auto"/>
                        <w:left w:val="none" w:sz="0" w:space="0" w:color="auto"/>
                        <w:bottom w:val="none" w:sz="0" w:space="0" w:color="auto"/>
                        <w:right w:val="none" w:sz="0" w:space="0" w:color="auto"/>
                      </w:divBdr>
                      <w:divsChild>
                        <w:div w:id="294152535">
                          <w:marLeft w:val="0"/>
                          <w:marRight w:val="0"/>
                          <w:marTop w:val="0"/>
                          <w:marBottom w:val="0"/>
                          <w:divBdr>
                            <w:top w:val="none" w:sz="0" w:space="0" w:color="auto"/>
                            <w:left w:val="none" w:sz="0" w:space="0" w:color="auto"/>
                            <w:bottom w:val="none" w:sz="0" w:space="0" w:color="auto"/>
                            <w:right w:val="none" w:sz="0" w:space="0" w:color="auto"/>
                          </w:divBdr>
                        </w:div>
                      </w:divsChild>
                    </w:div>
                    <w:div w:id="294153269">
                      <w:marLeft w:val="0"/>
                      <w:marRight w:val="0"/>
                      <w:marTop w:val="0"/>
                      <w:marBottom w:val="0"/>
                      <w:divBdr>
                        <w:top w:val="none" w:sz="0" w:space="0" w:color="auto"/>
                        <w:left w:val="none" w:sz="0" w:space="0" w:color="auto"/>
                        <w:bottom w:val="none" w:sz="0" w:space="0" w:color="auto"/>
                        <w:right w:val="none" w:sz="0" w:space="0" w:color="auto"/>
                      </w:divBdr>
                      <w:divsChild>
                        <w:div w:id="294140763">
                          <w:marLeft w:val="0"/>
                          <w:marRight w:val="0"/>
                          <w:marTop w:val="0"/>
                          <w:marBottom w:val="0"/>
                          <w:divBdr>
                            <w:top w:val="none" w:sz="0" w:space="0" w:color="auto"/>
                            <w:left w:val="none" w:sz="0" w:space="0" w:color="auto"/>
                            <w:bottom w:val="none" w:sz="0" w:space="0" w:color="auto"/>
                            <w:right w:val="none" w:sz="0" w:space="0" w:color="auto"/>
                          </w:divBdr>
                        </w:div>
                      </w:divsChild>
                    </w:div>
                    <w:div w:id="294153298">
                      <w:marLeft w:val="0"/>
                      <w:marRight w:val="0"/>
                      <w:marTop w:val="0"/>
                      <w:marBottom w:val="0"/>
                      <w:divBdr>
                        <w:top w:val="none" w:sz="0" w:space="0" w:color="auto"/>
                        <w:left w:val="none" w:sz="0" w:space="0" w:color="auto"/>
                        <w:bottom w:val="none" w:sz="0" w:space="0" w:color="auto"/>
                        <w:right w:val="none" w:sz="0" w:space="0" w:color="auto"/>
                      </w:divBdr>
                      <w:divsChild>
                        <w:div w:id="294140983">
                          <w:marLeft w:val="0"/>
                          <w:marRight w:val="0"/>
                          <w:marTop w:val="0"/>
                          <w:marBottom w:val="0"/>
                          <w:divBdr>
                            <w:top w:val="none" w:sz="0" w:space="0" w:color="auto"/>
                            <w:left w:val="none" w:sz="0" w:space="0" w:color="auto"/>
                            <w:bottom w:val="none" w:sz="0" w:space="0" w:color="auto"/>
                            <w:right w:val="none" w:sz="0" w:space="0" w:color="auto"/>
                          </w:divBdr>
                        </w:div>
                      </w:divsChild>
                    </w:div>
                    <w:div w:id="294153377">
                      <w:marLeft w:val="0"/>
                      <w:marRight w:val="0"/>
                      <w:marTop w:val="0"/>
                      <w:marBottom w:val="0"/>
                      <w:divBdr>
                        <w:top w:val="none" w:sz="0" w:space="0" w:color="auto"/>
                        <w:left w:val="none" w:sz="0" w:space="0" w:color="auto"/>
                        <w:bottom w:val="none" w:sz="0" w:space="0" w:color="auto"/>
                        <w:right w:val="none" w:sz="0" w:space="0" w:color="auto"/>
                      </w:divBdr>
                      <w:divsChild>
                        <w:div w:id="294153671">
                          <w:marLeft w:val="0"/>
                          <w:marRight w:val="0"/>
                          <w:marTop w:val="0"/>
                          <w:marBottom w:val="0"/>
                          <w:divBdr>
                            <w:top w:val="none" w:sz="0" w:space="0" w:color="auto"/>
                            <w:left w:val="none" w:sz="0" w:space="0" w:color="auto"/>
                            <w:bottom w:val="none" w:sz="0" w:space="0" w:color="auto"/>
                            <w:right w:val="none" w:sz="0" w:space="0" w:color="auto"/>
                          </w:divBdr>
                        </w:div>
                      </w:divsChild>
                    </w:div>
                    <w:div w:id="294153845">
                      <w:marLeft w:val="0"/>
                      <w:marRight w:val="0"/>
                      <w:marTop w:val="0"/>
                      <w:marBottom w:val="0"/>
                      <w:divBdr>
                        <w:top w:val="none" w:sz="0" w:space="0" w:color="auto"/>
                        <w:left w:val="none" w:sz="0" w:space="0" w:color="auto"/>
                        <w:bottom w:val="none" w:sz="0" w:space="0" w:color="auto"/>
                        <w:right w:val="none" w:sz="0" w:space="0" w:color="auto"/>
                      </w:divBdr>
                    </w:div>
                    <w:div w:id="294153872">
                      <w:marLeft w:val="0"/>
                      <w:marRight w:val="0"/>
                      <w:marTop w:val="0"/>
                      <w:marBottom w:val="0"/>
                      <w:divBdr>
                        <w:top w:val="none" w:sz="0" w:space="0" w:color="auto"/>
                        <w:left w:val="none" w:sz="0" w:space="0" w:color="auto"/>
                        <w:bottom w:val="none" w:sz="0" w:space="0" w:color="auto"/>
                        <w:right w:val="none" w:sz="0" w:space="0" w:color="auto"/>
                      </w:divBdr>
                      <w:divsChild>
                        <w:div w:id="294150514">
                          <w:marLeft w:val="0"/>
                          <w:marRight w:val="0"/>
                          <w:marTop w:val="0"/>
                          <w:marBottom w:val="0"/>
                          <w:divBdr>
                            <w:top w:val="none" w:sz="0" w:space="0" w:color="auto"/>
                            <w:left w:val="none" w:sz="0" w:space="0" w:color="auto"/>
                            <w:bottom w:val="none" w:sz="0" w:space="0" w:color="auto"/>
                            <w:right w:val="none" w:sz="0" w:space="0" w:color="auto"/>
                          </w:divBdr>
                        </w:div>
                      </w:divsChild>
                    </w:div>
                    <w:div w:id="294154033">
                      <w:marLeft w:val="0"/>
                      <w:marRight w:val="0"/>
                      <w:marTop w:val="0"/>
                      <w:marBottom w:val="0"/>
                      <w:divBdr>
                        <w:top w:val="none" w:sz="0" w:space="0" w:color="auto"/>
                        <w:left w:val="none" w:sz="0" w:space="0" w:color="auto"/>
                        <w:bottom w:val="none" w:sz="0" w:space="0" w:color="auto"/>
                        <w:right w:val="none" w:sz="0" w:space="0" w:color="auto"/>
                      </w:divBdr>
                      <w:divsChild>
                        <w:div w:id="294148186">
                          <w:marLeft w:val="0"/>
                          <w:marRight w:val="0"/>
                          <w:marTop w:val="0"/>
                          <w:marBottom w:val="0"/>
                          <w:divBdr>
                            <w:top w:val="none" w:sz="0" w:space="0" w:color="auto"/>
                            <w:left w:val="none" w:sz="0" w:space="0" w:color="auto"/>
                            <w:bottom w:val="none" w:sz="0" w:space="0" w:color="auto"/>
                            <w:right w:val="none" w:sz="0" w:space="0" w:color="auto"/>
                          </w:divBdr>
                        </w:div>
                      </w:divsChild>
                    </w:div>
                    <w:div w:id="294154230">
                      <w:marLeft w:val="0"/>
                      <w:marRight w:val="0"/>
                      <w:marTop w:val="0"/>
                      <w:marBottom w:val="0"/>
                      <w:divBdr>
                        <w:top w:val="none" w:sz="0" w:space="0" w:color="auto"/>
                        <w:left w:val="none" w:sz="0" w:space="0" w:color="auto"/>
                        <w:bottom w:val="none" w:sz="0" w:space="0" w:color="auto"/>
                        <w:right w:val="none" w:sz="0" w:space="0" w:color="auto"/>
                      </w:divBdr>
                    </w:div>
                    <w:div w:id="294154331">
                      <w:marLeft w:val="0"/>
                      <w:marRight w:val="0"/>
                      <w:marTop w:val="0"/>
                      <w:marBottom w:val="0"/>
                      <w:divBdr>
                        <w:top w:val="none" w:sz="0" w:space="0" w:color="auto"/>
                        <w:left w:val="none" w:sz="0" w:space="0" w:color="auto"/>
                        <w:bottom w:val="none" w:sz="0" w:space="0" w:color="auto"/>
                        <w:right w:val="none" w:sz="0" w:space="0" w:color="auto"/>
                      </w:divBdr>
                      <w:divsChild>
                        <w:div w:id="294151159">
                          <w:marLeft w:val="0"/>
                          <w:marRight w:val="0"/>
                          <w:marTop w:val="0"/>
                          <w:marBottom w:val="0"/>
                          <w:divBdr>
                            <w:top w:val="none" w:sz="0" w:space="0" w:color="auto"/>
                            <w:left w:val="none" w:sz="0" w:space="0" w:color="auto"/>
                            <w:bottom w:val="none" w:sz="0" w:space="0" w:color="auto"/>
                            <w:right w:val="none" w:sz="0" w:space="0" w:color="auto"/>
                          </w:divBdr>
                        </w:div>
                      </w:divsChild>
                    </w:div>
                    <w:div w:id="294154335">
                      <w:marLeft w:val="0"/>
                      <w:marRight w:val="0"/>
                      <w:marTop w:val="0"/>
                      <w:marBottom w:val="0"/>
                      <w:divBdr>
                        <w:top w:val="none" w:sz="0" w:space="0" w:color="auto"/>
                        <w:left w:val="none" w:sz="0" w:space="0" w:color="auto"/>
                        <w:bottom w:val="none" w:sz="0" w:space="0" w:color="auto"/>
                        <w:right w:val="none" w:sz="0" w:space="0" w:color="auto"/>
                      </w:divBdr>
                      <w:divsChild>
                        <w:div w:id="294142528">
                          <w:marLeft w:val="0"/>
                          <w:marRight w:val="0"/>
                          <w:marTop w:val="0"/>
                          <w:marBottom w:val="0"/>
                          <w:divBdr>
                            <w:top w:val="none" w:sz="0" w:space="0" w:color="auto"/>
                            <w:left w:val="none" w:sz="0" w:space="0" w:color="auto"/>
                            <w:bottom w:val="none" w:sz="0" w:space="0" w:color="auto"/>
                            <w:right w:val="none" w:sz="0" w:space="0" w:color="auto"/>
                          </w:divBdr>
                        </w:div>
                      </w:divsChild>
                    </w:div>
                    <w:div w:id="294154368">
                      <w:marLeft w:val="0"/>
                      <w:marRight w:val="0"/>
                      <w:marTop w:val="0"/>
                      <w:marBottom w:val="0"/>
                      <w:divBdr>
                        <w:top w:val="none" w:sz="0" w:space="0" w:color="auto"/>
                        <w:left w:val="none" w:sz="0" w:space="0" w:color="auto"/>
                        <w:bottom w:val="none" w:sz="0" w:space="0" w:color="auto"/>
                        <w:right w:val="none" w:sz="0" w:space="0" w:color="auto"/>
                      </w:divBdr>
                    </w:div>
                    <w:div w:id="294154451">
                      <w:marLeft w:val="0"/>
                      <w:marRight w:val="0"/>
                      <w:marTop w:val="0"/>
                      <w:marBottom w:val="0"/>
                      <w:divBdr>
                        <w:top w:val="none" w:sz="0" w:space="0" w:color="auto"/>
                        <w:left w:val="none" w:sz="0" w:space="0" w:color="auto"/>
                        <w:bottom w:val="none" w:sz="0" w:space="0" w:color="auto"/>
                        <w:right w:val="none" w:sz="0" w:space="0" w:color="auto"/>
                      </w:divBdr>
                    </w:div>
                    <w:div w:id="294154458">
                      <w:marLeft w:val="0"/>
                      <w:marRight w:val="0"/>
                      <w:marTop w:val="0"/>
                      <w:marBottom w:val="0"/>
                      <w:divBdr>
                        <w:top w:val="none" w:sz="0" w:space="0" w:color="auto"/>
                        <w:left w:val="none" w:sz="0" w:space="0" w:color="auto"/>
                        <w:bottom w:val="none" w:sz="0" w:space="0" w:color="auto"/>
                        <w:right w:val="none" w:sz="0" w:space="0" w:color="auto"/>
                      </w:divBdr>
                      <w:divsChild>
                        <w:div w:id="294154710">
                          <w:marLeft w:val="0"/>
                          <w:marRight w:val="0"/>
                          <w:marTop w:val="0"/>
                          <w:marBottom w:val="0"/>
                          <w:divBdr>
                            <w:top w:val="none" w:sz="0" w:space="0" w:color="auto"/>
                            <w:left w:val="none" w:sz="0" w:space="0" w:color="auto"/>
                            <w:bottom w:val="none" w:sz="0" w:space="0" w:color="auto"/>
                            <w:right w:val="none" w:sz="0" w:space="0" w:color="auto"/>
                          </w:divBdr>
                        </w:div>
                      </w:divsChild>
                    </w:div>
                    <w:div w:id="294154539">
                      <w:marLeft w:val="0"/>
                      <w:marRight w:val="0"/>
                      <w:marTop w:val="0"/>
                      <w:marBottom w:val="0"/>
                      <w:divBdr>
                        <w:top w:val="none" w:sz="0" w:space="0" w:color="auto"/>
                        <w:left w:val="none" w:sz="0" w:space="0" w:color="auto"/>
                        <w:bottom w:val="none" w:sz="0" w:space="0" w:color="auto"/>
                        <w:right w:val="none" w:sz="0" w:space="0" w:color="auto"/>
                      </w:divBdr>
                      <w:divsChild>
                        <w:div w:id="294144303">
                          <w:marLeft w:val="0"/>
                          <w:marRight w:val="0"/>
                          <w:marTop w:val="0"/>
                          <w:marBottom w:val="0"/>
                          <w:divBdr>
                            <w:top w:val="none" w:sz="0" w:space="0" w:color="auto"/>
                            <w:left w:val="none" w:sz="0" w:space="0" w:color="auto"/>
                            <w:bottom w:val="none" w:sz="0" w:space="0" w:color="auto"/>
                            <w:right w:val="none" w:sz="0" w:space="0" w:color="auto"/>
                          </w:divBdr>
                        </w:div>
                      </w:divsChild>
                    </w:div>
                    <w:div w:id="294154561">
                      <w:marLeft w:val="0"/>
                      <w:marRight w:val="0"/>
                      <w:marTop w:val="0"/>
                      <w:marBottom w:val="0"/>
                      <w:divBdr>
                        <w:top w:val="none" w:sz="0" w:space="0" w:color="auto"/>
                        <w:left w:val="none" w:sz="0" w:space="0" w:color="auto"/>
                        <w:bottom w:val="none" w:sz="0" w:space="0" w:color="auto"/>
                        <w:right w:val="none" w:sz="0" w:space="0" w:color="auto"/>
                      </w:divBdr>
                      <w:divsChild>
                        <w:div w:id="294156956">
                          <w:marLeft w:val="0"/>
                          <w:marRight w:val="0"/>
                          <w:marTop w:val="0"/>
                          <w:marBottom w:val="0"/>
                          <w:divBdr>
                            <w:top w:val="none" w:sz="0" w:space="0" w:color="auto"/>
                            <w:left w:val="none" w:sz="0" w:space="0" w:color="auto"/>
                            <w:bottom w:val="none" w:sz="0" w:space="0" w:color="auto"/>
                            <w:right w:val="none" w:sz="0" w:space="0" w:color="auto"/>
                          </w:divBdr>
                        </w:div>
                      </w:divsChild>
                    </w:div>
                    <w:div w:id="294154605">
                      <w:marLeft w:val="0"/>
                      <w:marRight w:val="0"/>
                      <w:marTop w:val="0"/>
                      <w:marBottom w:val="0"/>
                      <w:divBdr>
                        <w:top w:val="none" w:sz="0" w:space="0" w:color="auto"/>
                        <w:left w:val="none" w:sz="0" w:space="0" w:color="auto"/>
                        <w:bottom w:val="none" w:sz="0" w:space="0" w:color="auto"/>
                        <w:right w:val="none" w:sz="0" w:space="0" w:color="auto"/>
                      </w:divBdr>
                    </w:div>
                    <w:div w:id="294154624">
                      <w:marLeft w:val="0"/>
                      <w:marRight w:val="0"/>
                      <w:marTop w:val="0"/>
                      <w:marBottom w:val="0"/>
                      <w:divBdr>
                        <w:top w:val="none" w:sz="0" w:space="0" w:color="auto"/>
                        <w:left w:val="none" w:sz="0" w:space="0" w:color="auto"/>
                        <w:bottom w:val="none" w:sz="0" w:space="0" w:color="auto"/>
                        <w:right w:val="none" w:sz="0" w:space="0" w:color="auto"/>
                      </w:divBdr>
                      <w:divsChild>
                        <w:div w:id="294141463">
                          <w:marLeft w:val="0"/>
                          <w:marRight w:val="0"/>
                          <w:marTop w:val="0"/>
                          <w:marBottom w:val="0"/>
                          <w:divBdr>
                            <w:top w:val="none" w:sz="0" w:space="0" w:color="auto"/>
                            <w:left w:val="none" w:sz="0" w:space="0" w:color="auto"/>
                            <w:bottom w:val="none" w:sz="0" w:space="0" w:color="auto"/>
                            <w:right w:val="none" w:sz="0" w:space="0" w:color="auto"/>
                          </w:divBdr>
                        </w:div>
                      </w:divsChild>
                    </w:div>
                    <w:div w:id="294154642">
                      <w:marLeft w:val="0"/>
                      <w:marRight w:val="0"/>
                      <w:marTop w:val="0"/>
                      <w:marBottom w:val="0"/>
                      <w:divBdr>
                        <w:top w:val="none" w:sz="0" w:space="0" w:color="auto"/>
                        <w:left w:val="none" w:sz="0" w:space="0" w:color="auto"/>
                        <w:bottom w:val="none" w:sz="0" w:space="0" w:color="auto"/>
                        <w:right w:val="none" w:sz="0" w:space="0" w:color="auto"/>
                      </w:divBdr>
                    </w:div>
                    <w:div w:id="294154647">
                      <w:marLeft w:val="0"/>
                      <w:marRight w:val="0"/>
                      <w:marTop w:val="0"/>
                      <w:marBottom w:val="0"/>
                      <w:divBdr>
                        <w:top w:val="none" w:sz="0" w:space="0" w:color="auto"/>
                        <w:left w:val="none" w:sz="0" w:space="0" w:color="auto"/>
                        <w:bottom w:val="none" w:sz="0" w:space="0" w:color="auto"/>
                        <w:right w:val="none" w:sz="0" w:space="0" w:color="auto"/>
                      </w:divBdr>
                    </w:div>
                    <w:div w:id="294154730">
                      <w:marLeft w:val="0"/>
                      <w:marRight w:val="0"/>
                      <w:marTop w:val="0"/>
                      <w:marBottom w:val="0"/>
                      <w:divBdr>
                        <w:top w:val="none" w:sz="0" w:space="0" w:color="auto"/>
                        <w:left w:val="none" w:sz="0" w:space="0" w:color="auto"/>
                        <w:bottom w:val="none" w:sz="0" w:space="0" w:color="auto"/>
                        <w:right w:val="none" w:sz="0" w:space="0" w:color="auto"/>
                      </w:divBdr>
                      <w:divsChild>
                        <w:div w:id="294149621">
                          <w:marLeft w:val="0"/>
                          <w:marRight w:val="0"/>
                          <w:marTop w:val="0"/>
                          <w:marBottom w:val="0"/>
                          <w:divBdr>
                            <w:top w:val="none" w:sz="0" w:space="0" w:color="auto"/>
                            <w:left w:val="none" w:sz="0" w:space="0" w:color="auto"/>
                            <w:bottom w:val="none" w:sz="0" w:space="0" w:color="auto"/>
                            <w:right w:val="none" w:sz="0" w:space="0" w:color="auto"/>
                          </w:divBdr>
                        </w:div>
                      </w:divsChild>
                    </w:div>
                    <w:div w:id="294154804">
                      <w:marLeft w:val="0"/>
                      <w:marRight w:val="0"/>
                      <w:marTop w:val="0"/>
                      <w:marBottom w:val="0"/>
                      <w:divBdr>
                        <w:top w:val="none" w:sz="0" w:space="0" w:color="auto"/>
                        <w:left w:val="none" w:sz="0" w:space="0" w:color="auto"/>
                        <w:bottom w:val="none" w:sz="0" w:space="0" w:color="auto"/>
                        <w:right w:val="none" w:sz="0" w:space="0" w:color="auto"/>
                      </w:divBdr>
                    </w:div>
                    <w:div w:id="294154822">
                      <w:marLeft w:val="0"/>
                      <w:marRight w:val="0"/>
                      <w:marTop w:val="0"/>
                      <w:marBottom w:val="0"/>
                      <w:divBdr>
                        <w:top w:val="none" w:sz="0" w:space="0" w:color="auto"/>
                        <w:left w:val="none" w:sz="0" w:space="0" w:color="auto"/>
                        <w:bottom w:val="none" w:sz="0" w:space="0" w:color="auto"/>
                        <w:right w:val="none" w:sz="0" w:space="0" w:color="auto"/>
                      </w:divBdr>
                      <w:divsChild>
                        <w:div w:id="294153285">
                          <w:marLeft w:val="0"/>
                          <w:marRight w:val="0"/>
                          <w:marTop w:val="0"/>
                          <w:marBottom w:val="0"/>
                          <w:divBdr>
                            <w:top w:val="none" w:sz="0" w:space="0" w:color="auto"/>
                            <w:left w:val="none" w:sz="0" w:space="0" w:color="auto"/>
                            <w:bottom w:val="none" w:sz="0" w:space="0" w:color="auto"/>
                            <w:right w:val="none" w:sz="0" w:space="0" w:color="auto"/>
                          </w:divBdr>
                        </w:div>
                      </w:divsChild>
                    </w:div>
                    <w:div w:id="294154829">
                      <w:marLeft w:val="0"/>
                      <w:marRight w:val="0"/>
                      <w:marTop w:val="0"/>
                      <w:marBottom w:val="0"/>
                      <w:divBdr>
                        <w:top w:val="none" w:sz="0" w:space="0" w:color="auto"/>
                        <w:left w:val="none" w:sz="0" w:space="0" w:color="auto"/>
                        <w:bottom w:val="none" w:sz="0" w:space="0" w:color="auto"/>
                        <w:right w:val="none" w:sz="0" w:space="0" w:color="auto"/>
                      </w:divBdr>
                    </w:div>
                    <w:div w:id="294154967">
                      <w:marLeft w:val="0"/>
                      <w:marRight w:val="0"/>
                      <w:marTop w:val="0"/>
                      <w:marBottom w:val="0"/>
                      <w:divBdr>
                        <w:top w:val="none" w:sz="0" w:space="0" w:color="auto"/>
                        <w:left w:val="none" w:sz="0" w:space="0" w:color="auto"/>
                        <w:bottom w:val="none" w:sz="0" w:space="0" w:color="auto"/>
                        <w:right w:val="none" w:sz="0" w:space="0" w:color="auto"/>
                      </w:divBdr>
                    </w:div>
                    <w:div w:id="294154984">
                      <w:marLeft w:val="0"/>
                      <w:marRight w:val="0"/>
                      <w:marTop w:val="0"/>
                      <w:marBottom w:val="0"/>
                      <w:divBdr>
                        <w:top w:val="none" w:sz="0" w:space="0" w:color="auto"/>
                        <w:left w:val="none" w:sz="0" w:space="0" w:color="auto"/>
                        <w:bottom w:val="none" w:sz="0" w:space="0" w:color="auto"/>
                        <w:right w:val="none" w:sz="0" w:space="0" w:color="auto"/>
                      </w:divBdr>
                    </w:div>
                    <w:div w:id="294155038">
                      <w:marLeft w:val="0"/>
                      <w:marRight w:val="0"/>
                      <w:marTop w:val="0"/>
                      <w:marBottom w:val="0"/>
                      <w:divBdr>
                        <w:top w:val="none" w:sz="0" w:space="0" w:color="auto"/>
                        <w:left w:val="none" w:sz="0" w:space="0" w:color="auto"/>
                        <w:bottom w:val="none" w:sz="0" w:space="0" w:color="auto"/>
                        <w:right w:val="none" w:sz="0" w:space="0" w:color="auto"/>
                      </w:divBdr>
                    </w:div>
                    <w:div w:id="294155104">
                      <w:marLeft w:val="0"/>
                      <w:marRight w:val="0"/>
                      <w:marTop w:val="0"/>
                      <w:marBottom w:val="0"/>
                      <w:divBdr>
                        <w:top w:val="none" w:sz="0" w:space="0" w:color="auto"/>
                        <w:left w:val="none" w:sz="0" w:space="0" w:color="auto"/>
                        <w:bottom w:val="none" w:sz="0" w:space="0" w:color="auto"/>
                        <w:right w:val="none" w:sz="0" w:space="0" w:color="auto"/>
                      </w:divBdr>
                      <w:divsChild>
                        <w:div w:id="294154473">
                          <w:marLeft w:val="0"/>
                          <w:marRight w:val="0"/>
                          <w:marTop w:val="0"/>
                          <w:marBottom w:val="0"/>
                          <w:divBdr>
                            <w:top w:val="none" w:sz="0" w:space="0" w:color="auto"/>
                            <w:left w:val="none" w:sz="0" w:space="0" w:color="auto"/>
                            <w:bottom w:val="none" w:sz="0" w:space="0" w:color="auto"/>
                            <w:right w:val="none" w:sz="0" w:space="0" w:color="auto"/>
                          </w:divBdr>
                        </w:div>
                      </w:divsChild>
                    </w:div>
                    <w:div w:id="294155181">
                      <w:marLeft w:val="0"/>
                      <w:marRight w:val="0"/>
                      <w:marTop w:val="0"/>
                      <w:marBottom w:val="0"/>
                      <w:divBdr>
                        <w:top w:val="none" w:sz="0" w:space="0" w:color="auto"/>
                        <w:left w:val="none" w:sz="0" w:space="0" w:color="auto"/>
                        <w:bottom w:val="none" w:sz="0" w:space="0" w:color="auto"/>
                        <w:right w:val="none" w:sz="0" w:space="0" w:color="auto"/>
                      </w:divBdr>
                      <w:divsChild>
                        <w:div w:id="294138466">
                          <w:marLeft w:val="0"/>
                          <w:marRight w:val="0"/>
                          <w:marTop w:val="0"/>
                          <w:marBottom w:val="0"/>
                          <w:divBdr>
                            <w:top w:val="none" w:sz="0" w:space="0" w:color="auto"/>
                            <w:left w:val="none" w:sz="0" w:space="0" w:color="auto"/>
                            <w:bottom w:val="none" w:sz="0" w:space="0" w:color="auto"/>
                            <w:right w:val="none" w:sz="0" w:space="0" w:color="auto"/>
                          </w:divBdr>
                        </w:div>
                      </w:divsChild>
                    </w:div>
                    <w:div w:id="294155198">
                      <w:marLeft w:val="0"/>
                      <w:marRight w:val="0"/>
                      <w:marTop w:val="0"/>
                      <w:marBottom w:val="0"/>
                      <w:divBdr>
                        <w:top w:val="none" w:sz="0" w:space="0" w:color="auto"/>
                        <w:left w:val="none" w:sz="0" w:space="0" w:color="auto"/>
                        <w:bottom w:val="none" w:sz="0" w:space="0" w:color="auto"/>
                        <w:right w:val="none" w:sz="0" w:space="0" w:color="auto"/>
                      </w:divBdr>
                    </w:div>
                    <w:div w:id="294155218">
                      <w:marLeft w:val="0"/>
                      <w:marRight w:val="0"/>
                      <w:marTop w:val="0"/>
                      <w:marBottom w:val="0"/>
                      <w:divBdr>
                        <w:top w:val="none" w:sz="0" w:space="0" w:color="auto"/>
                        <w:left w:val="none" w:sz="0" w:space="0" w:color="auto"/>
                        <w:bottom w:val="none" w:sz="0" w:space="0" w:color="auto"/>
                        <w:right w:val="none" w:sz="0" w:space="0" w:color="auto"/>
                      </w:divBdr>
                      <w:divsChild>
                        <w:div w:id="294151780">
                          <w:marLeft w:val="0"/>
                          <w:marRight w:val="0"/>
                          <w:marTop w:val="0"/>
                          <w:marBottom w:val="0"/>
                          <w:divBdr>
                            <w:top w:val="none" w:sz="0" w:space="0" w:color="auto"/>
                            <w:left w:val="none" w:sz="0" w:space="0" w:color="auto"/>
                            <w:bottom w:val="none" w:sz="0" w:space="0" w:color="auto"/>
                            <w:right w:val="none" w:sz="0" w:space="0" w:color="auto"/>
                          </w:divBdr>
                        </w:div>
                      </w:divsChild>
                    </w:div>
                    <w:div w:id="294155316">
                      <w:marLeft w:val="0"/>
                      <w:marRight w:val="0"/>
                      <w:marTop w:val="0"/>
                      <w:marBottom w:val="0"/>
                      <w:divBdr>
                        <w:top w:val="none" w:sz="0" w:space="0" w:color="auto"/>
                        <w:left w:val="none" w:sz="0" w:space="0" w:color="auto"/>
                        <w:bottom w:val="none" w:sz="0" w:space="0" w:color="auto"/>
                        <w:right w:val="none" w:sz="0" w:space="0" w:color="auto"/>
                      </w:divBdr>
                    </w:div>
                    <w:div w:id="294155583">
                      <w:marLeft w:val="0"/>
                      <w:marRight w:val="0"/>
                      <w:marTop w:val="0"/>
                      <w:marBottom w:val="0"/>
                      <w:divBdr>
                        <w:top w:val="none" w:sz="0" w:space="0" w:color="auto"/>
                        <w:left w:val="none" w:sz="0" w:space="0" w:color="auto"/>
                        <w:bottom w:val="none" w:sz="0" w:space="0" w:color="auto"/>
                        <w:right w:val="none" w:sz="0" w:space="0" w:color="auto"/>
                      </w:divBdr>
                    </w:div>
                    <w:div w:id="294155604">
                      <w:marLeft w:val="0"/>
                      <w:marRight w:val="0"/>
                      <w:marTop w:val="0"/>
                      <w:marBottom w:val="0"/>
                      <w:divBdr>
                        <w:top w:val="none" w:sz="0" w:space="0" w:color="auto"/>
                        <w:left w:val="none" w:sz="0" w:space="0" w:color="auto"/>
                        <w:bottom w:val="none" w:sz="0" w:space="0" w:color="auto"/>
                        <w:right w:val="none" w:sz="0" w:space="0" w:color="auto"/>
                      </w:divBdr>
                      <w:divsChild>
                        <w:div w:id="294139748">
                          <w:marLeft w:val="0"/>
                          <w:marRight w:val="0"/>
                          <w:marTop w:val="0"/>
                          <w:marBottom w:val="0"/>
                          <w:divBdr>
                            <w:top w:val="none" w:sz="0" w:space="0" w:color="auto"/>
                            <w:left w:val="none" w:sz="0" w:space="0" w:color="auto"/>
                            <w:bottom w:val="none" w:sz="0" w:space="0" w:color="auto"/>
                            <w:right w:val="none" w:sz="0" w:space="0" w:color="auto"/>
                          </w:divBdr>
                        </w:div>
                      </w:divsChild>
                    </w:div>
                    <w:div w:id="294155621">
                      <w:marLeft w:val="0"/>
                      <w:marRight w:val="0"/>
                      <w:marTop w:val="0"/>
                      <w:marBottom w:val="0"/>
                      <w:divBdr>
                        <w:top w:val="none" w:sz="0" w:space="0" w:color="auto"/>
                        <w:left w:val="none" w:sz="0" w:space="0" w:color="auto"/>
                        <w:bottom w:val="none" w:sz="0" w:space="0" w:color="auto"/>
                        <w:right w:val="none" w:sz="0" w:space="0" w:color="auto"/>
                      </w:divBdr>
                    </w:div>
                    <w:div w:id="294155722">
                      <w:marLeft w:val="0"/>
                      <w:marRight w:val="0"/>
                      <w:marTop w:val="0"/>
                      <w:marBottom w:val="0"/>
                      <w:divBdr>
                        <w:top w:val="none" w:sz="0" w:space="0" w:color="auto"/>
                        <w:left w:val="none" w:sz="0" w:space="0" w:color="auto"/>
                        <w:bottom w:val="none" w:sz="0" w:space="0" w:color="auto"/>
                        <w:right w:val="none" w:sz="0" w:space="0" w:color="auto"/>
                      </w:divBdr>
                      <w:divsChild>
                        <w:div w:id="294143513">
                          <w:marLeft w:val="0"/>
                          <w:marRight w:val="0"/>
                          <w:marTop w:val="0"/>
                          <w:marBottom w:val="0"/>
                          <w:divBdr>
                            <w:top w:val="none" w:sz="0" w:space="0" w:color="auto"/>
                            <w:left w:val="none" w:sz="0" w:space="0" w:color="auto"/>
                            <w:bottom w:val="none" w:sz="0" w:space="0" w:color="auto"/>
                            <w:right w:val="none" w:sz="0" w:space="0" w:color="auto"/>
                          </w:divBdr>
                        </w:div>
                      </w:divsChild>
                    </w:div>
                    <w:div w:id="294155738">
                      <w:marLeft w:val="0"/>
                      <w:marRight w:val="0"/>
                      <w:marTop w:val="0"/>
                      <w:marBottom w:val="0"/>
                      <w:divBdr>
                        <w:top w:val="none" w:sz="0" w:space="0" w:color="auto"/>
                        <w:left w:val="none" w:sz="0" w:space="0" w:color="auto"/>
                        <w:bottom w:val="none" w:sz="0" w:space="0" w:color="auto"/>
                        <w:right w:val="none" w:sz="0" w:space="0" w:color="auto"/>
                      </w:divBdr>
                      <w:divsChild>
                        <w:div w:id="294154834">
                          <w:marLeft w:val="0"/>
                          <w:marRight w:val="0"/>
                          <w:marTop w:val="0"/>
                          <w:marBottom w:val="0"/>
                          <w:divBdr>
                            <w:top w:val="none" w:sz="0" w:space="0" w:color="auto"/>
                            <w:left w:val="none" w:sz="0" w:space="0" w:color="auto"/>
                            <w:bottom w:val="none" w:sz="0" w:space="0" w:color="auto"/>
                            <w:right w:val="none" w:sz="0" w:space="0" w:color="auto"/>
                          </w:divBdr>
                        </w:div>
                      </w:divsChild>
                    </w:div>
                    <w:div w:id="294156048">
                      <w:marLeft w:val="0"/>
                      <w:marRight w:val="0"/>
                      <w:marTop w:val="0"/>
                      <w:marBottom w:val="0"/>
                      <w:divBdr>
                        <w:top w:val="none" w:sz="0" w:space="0" w:color="auto"/>
                        <w:left w:val="none" w:sz="0" w:space="0" w:color="auto"/>
                        <w:bottom w:val="none" w:sz="0" w:space="0" w:color="auto"/>
                        <w:right w:val="none" w:sz="0" w:space="0" w:color="auto"/>
                      </w:divBdr>
                      <w:divsChild>
                        <w:div w:id="294147471">
                          <w:marLeft w:val="0"/>
                          <w:marRight w:val="0"/>
                          <w:marTop w:val="0"/>
                          <w:marBottom w:val="0"/>
                          <w:divBdr>
                            <w:top w:val="none" w:sz="0" w:space="0" w:color="auto"/>
                            <w:left w:val="none" w:sz="0" w:space="0" w:color="auto"/>
                            <w:bottom w:val="none" w:sz="0" w:space="0" w:color="auto"/>
                            <w:right w:val="none" w:sz="0" w:space="0" w:color="auto"/>
                          </w:divBdr>
                        </w:div>
                      </w:divsChild>
                    </w:div>
                    <w:div w:id="294156182">
                      <w:marLeft w:val="0"/>
                      <w:marRight w:val="0"/>
                      <w:marTop w:val="0"/>
                      <w:marBottom w:val="0"/>
                      <w:divBdr>
                        <w:top w:val="none" w:sz="0" w:space="0" w:color="auto"/>
                        <w:left w:val="none" w:sz="0" w:space="0" w:color="auto"/>
                        <w:bottom w:val="none" w:sz="0" w:space="0" w:color="auto"/>
                        <w:right w:val="none" w:sz="0" w:space="0" w:color="auto"/>
                      </w:divBdr>
                    </w:div>
                    <w:div w:id="294156268">
                      <w:marLeft w:val="0"/>
                      <w:marRight w:val="0"/>
                      <w:marTop w:val="0"/>
                      <w:marBottom w:val="0"/>
                      <w:divBdr>
                        <w:top w:val="none" w:sz="0" w:space="0" w:color="auto"/>
                        <w:left w:val="none" w:sz="0" w:space="0" w:color="auto"/>
                        <w:bottom w:val="none" w:sz="0" w:space="0" w:color="auto"/>
                        <w:right w:val="none" w:sz="0" w:space="0" w:color="auto"/>
                      </w:divBdr>
                    </w:div>
                    <w:div w:id="294156314">
                      <w:marLeft w:val="0"/>
                      <w:marRight w:val="0"/>
                      <w:marTop w:val="0"/>
                      <w:marBottom w:val="0"/>
                      <w:divBdr>
                        <w:top w:val="none" w:sz="0" w:space="0" w:color="auto"/>
                        <w:left w:val="none" w:sz="0" w:space="0" w:color="auto"/>
                        <w:bottom w:val="none" w:sz="0" w:space="0" w:color="auto"/>
                        <w:right w:val="none" w:sz="0" w:space="0" w:color="auto"/>
                      </w:divBdr>
                      <w:divsChild>
                        <w:div w:id="294142958">
                          <w:marLeft w:val="0"/>
                          <w:marRight w:val="0"/>
                          <w:marTop w:val="0"/>
                          <w:marBottom w:val="0"/>
                          <w:divBdr>
                            <w:top w:val="none" w:sz="0" w:space="0" w:color="auto"/>
                            <w:left w:val="none" w:sz="0" w:space="0" w:color="auto"/>
                            <w:bottom w:val="none" w:sz="0" w:space="0" w:color="auto"/>
                            <w:right w:val="none" w:sz="0" w:space="0" w:color="auto"/>
                          </w:divBdr>
                        </w:div>
                      </w:divsChild>
                    </w:div>
                    <w:div w:id="294156360">
                      <w:marLeft w:val="0"/>
                      <w:marRight w:val="0"/>
                      <w:marTop w:val="0"/>
                      <w:marBottom w:val="0"/>
                      <w:divBdr>
                        <w:top w:val="none" w:sz="0" w:space="0" w:color="auto"/>
                        <w:left w:val="none" w:sz="0" w:space="0" w:color="auto"/>
                        <w:bottom w:val="none" w:sz="0" w:space="0" w:color="auto"/>
                        <w:right w:val="none" w:sz="0" w:space="0" w:color="auto"/>
                      </w:divBdr>
                      <w:divsChild>
                        <w:div w:id="294138680">
                          <w:marLeft w:val="0"/>
                          <w:marRight w:val="0"/>
                          <w:marTop w:val="0"/>
                          <w:marBottom w:val="0"/>
                          <w:divBdr>
                            <w:top w:val="none" w:sz="0" w:space="0" w:color="auto"/>
                            <w:left w:val="none" w:sz="0" w:space="0" w:color="auto"/>
                            <w:bottom w:val="none" w:sz="0" w:space="0" w:color="auto"/>
                            <w:right w:val="none" w:sz="0" w:space="0" w:color="auto"/>
                          </w:divBdr>
                        </w:div>
                      </w:divsChild>
                    </w:div>
                    <w:div w:id="294156411">
                      <w:marLeft w:val="0"/>
                      <w:marRight w:val="0"/>
                      <w:marTop w:val="0"/>
                      <w:marBottom w:val="0"/>
                      <w:divBdr>
                        <w:top w:val="none" w:sz="0" w:space="0" w:color="auto"/>
                        <w:left w:val="none" w:sz="0" w:space="0" w:color="auto"/>
                        <w:bottom w:val="none" w:sz="0" w:space="0" w:color="auto"/>
                        <w:right w:val="none" w:sz="0" w:space="0" w:color="auto"/>
                      </w:divBdr>
                    </w:div>
                    <w:div w:id="294156475">
                      <w:marLeft w:val="0"/>
                      <w:marRight w:val="0"/>
                      <w:marTop w:val="0"/>
                      <w:marBottom w:val="0"/>
                      <w:divBdr>
                        <w:top w:val="none" w:sz="0" w:space="0" w:color="auto"/>
                        <w:left w:val="none" w:sz="0" w:space="0" w:color="auto"/>
                        <w:bottom w:val="none" w:sz="0" w:space="0" w:color="auto"/>
                        <w:right w:val="none" w:sz="0" w:space="0" w:color="auto"/>
                      </w:divBdr>
                    </w:div>
                    <w:div w:id="294156542">
                      <w:marLeft w:val="0"/>
                      <w:marRight w:val="0"/>
                      <w:marTop w:val="0"/>
                      <w:marBottom w:val="0"/>
                      <w:divBdr>
                        <w:top w:val="none" w:sz="0" w:space="0" w:color="auto"/>
                        <w:left w:val="none" w:sz="0" w:space="0" w:color="auto"/>
                        <w:bottom w:val="none" w:sz="0" w:space="0" w:color="auto"/>
                        <w:right w:val="none" w:sz="0" w:space="0" w:color="auto"/>
                      </w:divBdr>
                      <w:divsChild>
                        <w:div w:id="294143838">
                          <w:marLeft w:val="0"/>
                          <w:marRight w:val="0"/>
                          <w:marTop w:val="0"/>
                          <w:marBottom w:val="0"/>
                          <w:divBdr>
                            <w:top w:val="none" w:sz="0" w:space="0" w:color="auto"/>
                            <w:left w:val="none" w:sz="0" w:space="0" w:color="auto"/>
                            <w:bottom w:val="none" w:sz="0" w:space="0" w:color="auto"/>
                            <w:right w:val="none" w:sz="0" w:space="0" w:color="auto"/>
                          </w:divBdr>
                        </w:div>
                      </w:divsChild>
                    </w:div>
                    <w:div w:id="294156616">
                      <w:marLeft w:val="0"/>
                      <w:marRight w:val="0"/>
                      <w:marTop w:val="0"/>
                      <w:marBottom w:val="0"/>
                      <w:divBdr>
                        <w:top w:val="none" w:sz="0" w:space="0" w:color="auto"/>
                        <w:left w:val="none" w:sz="0" w:space="0" w:color="auto"/>
                        <w:bottom w:val="none" w:sz="0" w:space="0" w:color="auto"/>
                        <w:right w:val="none" w:sz="0" w:space="0" w:color="auto"/>
                      </w:divBdr>
                      <w:divsChild>
                        <w:div w:id="294151211">
                          <w:marLeft w:val="0"/>
                          <w:marRight w:val="0"/>
                          <w:marTop w:val="0"/>
                          <w:marBottom w:val="0"/>
                          <w:divBdr>
                            <w:top w:val="none" w:sz="0" w:space="0" w:color="auto"/>
                            <w:left w:val="none" w:sz="0" w:space="0" w:color="auto"/>
                            <w:bottom w:val="none" w:sz="0" w:space="0" w:color="auto"/>
                            <w:right w:val="none" w:sz="0" w:space="0" w:color="auto"/>
                          </w:divBdr>
                        </w:div>
                      </w:divsChild>
                    </w:div>
                    <w:div w:id="294157016">
                      <w:marLeft w:val="0"/>
                      <w:marRight w:val="0"/>
                      <w:marTop w:val="0"/>
                      <w:marBottom w:val="0"/>
                      <w:divBdr>
                        <w:top w:val="none" w:sz="0" w:space="0" w:color="auto"/>
                        <w:left w:val="none" w:sz="0" w:space="0" w:color="auto"/>
                        <w:bottom w:val="none" w:sz="0" w:space="0" w:color="auto"/>
                        <w:right w:val="none" w:sz="0" w:space="0" w:color="auto"/>
                      </w:divBdr>
                      <w:divsChild>
                        <w:div w:id="294143131">
                          <w:marLeft w:val="0"/>
                          <w:marRight w:val="0"/>
                          <w:marTop w:val="0"/>
                          <w:marBottom w:val="0"/>
                          <w:divBdr>
                            <w:top w:val="none" w:sz="0" w:space="0" w:color="auto"/>
                            <w:left w:val="none" w:sz="0" w:space="0" w:color="auto"/>
                            <w:bottom w:val="none" w:sz="0" w:space="0" w:color="auto"/>
                            <w:right w:val="none" w:sz="0" w:space="0" w:color="auto"/>
                          </w:divBdr>
                        </w:div>
                      </w:divsChild>
                    </w:div>
                    <w:div w:id="294157116">
                      <w:marLeft w:val="0"/>
                      <w:marRight w:val="0"/>
                      <w:marTop w:val="0"/>
                      <w:marBottom w:val="0"/>
                      <w:divBdr>
                        <w:top w:val="none" w:sz="0" w:space="0" w:color="auto"/>
                        <w:left w:val="none" w:sz="0" w:space="0" w:color="auto"/>
                        <w:bottom w:val="none" w:sz="0" w:space="0" w:color="auto"/>
                        <w:right w:val="none" w:sz="0" w:space="0" w:color="auto"/>
                      </w:divBdr>
                      <w:divsChild>
                        <w:div w:id="294155516">
                          <w:marLeft w:val="0"/>
                          <w:marRight w:val="0"/>
                          <w:marTop w:val="0"/>
                          <w:marBottom w:val="0"/>
                          <w:divBdr>
                            <w:top w:val="none" w:sz="0" w:space="0" w:color="auto"/>
                            <w:left w:val="none" w:sz="0" w:space="0" w:color="auto"/>
                            <w:bottom w:val="none" w:sz="0" w:space="0" w:color="auto"/>
                            <w:right w:val="none" w:sz="0" w:space="0" w:color="auto"/>
                          </w:divBdr>
                        </w:div>
                      </w:divsChild>
                    </w:div>
                    <w:div w:id="294157131">
                      <w:marLeft w:val="0"/>
                      <w:marRight w:val="0"/>
                      <w:marTop w:val="0"/>
                      <w:marBottom w:val="0"/>
                      <w:divBdr>
                        <w:top w:val="none" w:sz="0" w:space="0" w:color="auto"/>
                        <w:left w:val="none" w:sz="0" w:space="0" w:color="auto"/>
                        <w:bottom w:val="none" w:sz="0" w:space="0" w:color="auto"/>
                        <w:right w:val="none" w:sz="0" w:space="0" w:color="auto"/>
                      </w:divBdr>
                      <w:divsChild>
                        <w:div w:id="294150027">
                          <w:marLeft w:val="0"/>
                          <w:marRight w:val="0"/>
                          <w:marTop w:val="0"/>
                          <w:marBottom w:val="0"/>
                          <w:divBdr>
                            <w:top w:val="none" w:sz="0" w:space="0" w:color="auto"/>
                            <w:left w:val="none" w:sz="0" w:space="0" w:color="auto"/>
                            <w:bottom w:val="none" w:sz="0" w:space="0" w:color="auto"/>
                            <w:right w:val="none" w:sz="0" w:space="0" w:color="auto"/>
                          </w:divBdr>
                        </w:div>
                      </w:divsChild>
                    </w:div>
                    <w:div w:id="294157270">
                      <w:marLeft w:val="0"/>
                      <w:marRight w:val="0"/>
                      <w:marTop w:val="0"/>
                      <w:marBottom w:val="0"/>
                      <w:divBdr>
                        <w:top w:val="none" w:sz="0" w:space="0" w:color="auto"/>
                        <w:left w:val="none" w:sz="0" w:space="0" w:color="auto"/>
                        <w:bottom w:val="none" w:sz="0" w:space="0" w:color="auto"/>
                        <w:right w:val="none" w:sz="0" w:space="0" w:color="auto"/>
                      </w:divBdr>
                    </w:div>
                    <w:div w:id="294157284">
                      <w:marLeft w:val="0"/>
                      <w:marRight w:val="0"/>
                      <w:marTop w:val="0"/>
                      <w:marBottom w:val="0"/>
                      <w:divBdr>
                        <w:top w:val="none" w:sz="0" w:space="0" w:color="auto"/>
                        <w:left w:val="none" w:sz="0" w:space="0" w:color="auto"/>
                        <w:bottom w:val="none" w:sz="0" w:space="0" w:color="auto"/>
                        <w:right w:val="none" w:sz="0" w:space="0" w:color="auto"/>
                      </w:divBdr>
                      <w:divsChild>
                        <w:div w:id="294152935">
                          <w:marLeft w:val="0"/>
                          <w:marRight w:val="0"/>
                          <w:marTop w:val="0"/>
                          <w:marBottom w:val="0"/>
                          <w:divBdr>
                            <w:top w:val="none" w:sz="0" w:space="0" w:color="auto"/>
                            <w:left w:val="none" w:sz="0" w:space="0" w:color="auto"/>
                            <w:bottom w:val="none" w:sz="0" w:space="0" w:color="auto"/>
                            <w:right w:val="none" w:sz="0" w:space="0" w:color="auto"/>
                          </w:divBdr>
                        </w:div>
                      </w:divsChild>
                    </w:div>
                    <w:div w:id="294157311">
                      <w:marLeft w:val="0"/>
                      <w:marRight w:val="0"/>
                      <w:marTop w:val="0"/>
                      <w:marBottom w:val="0"/>
                      <w:divBdr>
                        <w:top w:val="none" w:sz="0" w:space="0" w:color="auto"/>
                        <w:left w:val="none" w:sz="0" w:space="0" w:color="auto"/>
                        <w:bottom w:val="none" w:sz="0" w:space="0" w:color="auto"/>
                        <w:right w:val="none" w:sz="0" w:space="0" w:color="auto"/>
                      </w:divBdr>
                      <w:divsChild>
                        <w:div w:id="29413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48585">
          <w:marLeft w:val="0"/>
          <w:marRight w:val="0"/>
          <w:marTop w:val="0"/>
          <w:marBottom w:val="0"/>
          <w:divBdr>
            <w:top w:val="none" w:sz="0" w:space="0" w:color="auto"/>
            <w:left w:val="none" w:sz="0" w:space="0" w:color="auto"/>
            <w:bottom w:val="none" w:sz="0" w:space="0" w:color="auto"/>
            <w:right w:val="none" w:sz="0" w:space="0" w:color="auto"/>
          </w:divBdr>
          <w:divsChild>
            <w:div w:id="294144169">
              <w:marLeft w:val="0"/>
              <w:marRight w:val="0"/>
              <w:marTop w:val="0"/>
              <w:marBottom w:val="0"/>
              <w:divBdr>
                <w:top w:val="none" w:sz="0" w:space="0" w:color="auto"/>
                <w:left w:val="none" w:sz="0" w:space="0" w:color="auto"/>
                <w:bottom w:val="none" w:sz="0" w:space="0" w:color="auto"/>
                <w:right w:val="none" w:sz="0" w:space="0" w:color="auto"/>
              </w:divBdr>
              <w:divsChild>
                <w:div w:id="294138295">
                  <w:marLeft w:val="0"/>
                  <w:marRight w:val="0"/>
                  <w:marTop w:val="0"/>
                  <w:marBottom w:val="0"/>
                  <w:divBdr>
                    <w:top w:val="none" w:sz="0" w:space="0" w:color="auto"/>
                    <w:left w:val="none" w:sz="0" w:space="0" w:color="auto"/>
                    <w:bottom w:val="none" w:sz="0" w:space="0" w:color="auto"/>
                    <w:right w:val="none" w:sz="0" w:space="0" w:color="auto"/>
                  </w:divBdr>
                </w:div>
                <w:div w:id="294138492">
                  <w:marLeft w:val="0"/>
                  <w:marRight w:val="0"/>
                  <w:marTop w:val="0"/>
                  <w:marBottom w:val="0"/>
                  <w:divBdr>
                    <w:top w:val="none" w:sz="0" w:space="0" w:color="auto"/>
                    <w:left w:val="none" w:sz="0" w:space="0" w:color="auto"/>
                    <w:bottom w:val="none" w:sz="0" w:space="0" w:color="auto"/>
                    <w:right w:val="none" w:sz="0" w:space="0" w:color="auto"/>
                  </w:divBdr>
                </w:div>
                <w:div w:id="294138603">
                  <w:marLeft w:val="0"/>
                  <w:marRight w:val="0"/>
                  <w:marTop w:val="0"/>
                  <w:marBottom w:val="0"/>
                  <w:divBdr>
                    <w:top w:val="none" w:sz="0" w:space="0" w:color="auto"/>
                    <w:left w:val="none" w:sz="0" w:space="0" w:color="auto"/>
                    <w:bottom w:val="none" w:sz="0" w:space="0" w:color="auto"/>
                    <w:right w:val="none" w:sz="0" w:space="0" w:color="auto"/>
                  </w:divBdr>
                </w:div>
                <w:div w:id="294138618">
                  <w:marLeft w:val="0"/>
                  <w:marRight w:val="0"/>
                  <w:marTop w:val="0"/>
                  <w:marBottom w:val="0"/>
                  <w:divBdr>
                    <w:top w:val="none" w:sz="0" w:space="0" w:color="auto"/>
                    <w:left w:val="none" w:sz="0" w:space="0" w:color="auto"/>
                    <w:bottom w:val="none" w:sz="0" w:space="0" w:color="auto"/>
                    <w:right w:val="none" w:sz="0" w:space="0" w:color="auto"/>
                  </w:divBdr>
                </w:div>
                <w:div w:id="294138859">
                  <w:marLeft w:val="0"/>
                  <w:marRight w:val="0"/>
                  <w:marTop w:val="0"/>
                  <w:marBottom w:val="0"/>
                  <w:divBdr>
                    <w:top w:val="none" w:sz="0" w:space="0" w:color="auto"/>
                    <w:left w:val="none" w:sz="0" w:space="0" w:color="auto"/>
                    <w:bottom w:val="none" w:sz="0" w:space="0" w:color="auto"/>
                    <w:right w:val="none" w:sz="0" w:space="0" w:color="auto"/>
                  </w:divBdr>
                </w:div>
                <w:div w:id="294138873">
                  <w:marLeft w:val="0"/>
                  <w:marRight w:val="0"/>
                  <w:marTop w:val="0"/>
                  <w:marBottom w:val="0"/>
                  <w:divBdr>
                    <w:top w:val="none" w:sz="0" w:space="0" w:color="auto"/>
                    <w:left w:val="none" w:sz="0" w:space="0" w:color="auto"/>
                    <w:bottom w:val="none" w:sz="0" w:space="0" w:color="auto"/>
                    <w:right w:val="none" w:sz="0" w:space="0" w:color="auto"/>
                  </w:divBdr>
                </w:div>
                <w:div w:id="294139455">
                  <w:marLeft w:val="0"/>
                  <w:marRight w:val="0"/>
                  <w:marTop w:val="0"/>
                  <w:marBottom w:val="0"/>
                  <w:divBdr>
                    <w:top w:val="none" w:sz="0" w:space="0" w:color="auto"/>
                    <w:left w:val="none" w:sz="0" w:space="0" w:color="auto"/>
                    <w:bottom w:val="none" w:sz="0" w:space="0" w:color="auto"/>
                    <w:right w:val="none" w:sz="0" w:space="0" w:color="auto"/>
                  </w:divBdr>
                </w:div>
                <w:div w:id="294139537">
                  <w:marLeft w:val="0"/>
                  <w:marRight w:val="0"/>
                  <w:marTop w:val="0"/>
                  <w:marBottom w:val="0"/>
                  <w:divBdr>
                    <w:top w:val="none" w:sz="0" w:space="0" w:color="auto"/>
                    <w:left w:val="none" w:sz="0" w:space="0" w:color="auto"/>
                    <w:bottom w:val="none" w:sz="0" w:space="0" w:color="auto"/>
                    <w:right w:val="none" w:sz="0" w:space="0" w:color="auto"/>
                  </w:divBdr>
                </w:div>
                <w:div w:id="294139755">
                  <w:marLeft w:val="0"/>
                  <w:marRight w:val="0"/>
                  <w:marTop w:val="0"/>
                  <w:marBottom w:val="0"/>
                  <w:divBdr>
                    <w:top w:val="none" w:sz="0" w:space="0" w:color="auto"/>
                    <w:left w:val="none" w:sz="0" w:space="0" w:color="auto"/>
                    <w:bottom w:val="none" w:sz="0" w:space="0" w:color="auto"/>
                    <w:right w:val="none" w:sz="0" w:space="0" w:color="auto"/>
                  </w:divBdr>
                </w:div>
                <w:div w:id="294139971">
                  <w:marLeft w:val="0"/>
                  <w:marRight w:val="0"/>
                  <w:marTop w:val="0"/>
                  <w:marBottom w:val="0"/>
                  <w:divBdr>
                    <w:top w:val="none" w:sz="0" w:space="0" w:color="auto"/>
                    <w:left w:val="none" w:sz="0" w:space="0" w:color="auto"/>
                    <w:bottom w:val="none" w:sz="0" w:space="0" w:color="auto"/>
                    <w:right w:val="none" w:sz="0" w:space="0" w:color="auto"/>
                  </w:divBdr>
                </w:div>
                <w:div w:id="294140130">
                  <w:marLeft w:val="0"/>
                  <w:marRight w:val="0"/>
                  <w:marTop w:val="0"/>
                  <w:marBottom w:val="0"/>
                  <w:divBdr>
                    <w:top w:val="none" w:sz="0" w:space="0" w:color="auto"/>
                    <w:left w:val="none" w:sz="0" w:space="0" w:color="auto"/>
                    <w:bottom w:val="none" w:sz="0" w:space="0" w:color="auto"/>
                    <w:right w:val="none" w:sz="0" w:space="0" w:color="auto"/>
                  </w:divBdr>
                </w:div>
                <w:div w:id="294140249">
                  <w:marLeft w:val="0"/>
                  <w:marRight w:val="0"/>
                  <w:marTop w:val="0"/>
                  <w:marBottom w:val="0"/>
                  <w:divBdr>
                    <w:top w:val="none" w:sz="0" w:space="0" w:color="auto"/>
                    <w:left w:val="none" w:sz="0" w:space="0" w:color="auto"/>
                    <w:bottom w:val="none" w:sz="0" w:space="0" w:color="auto"/>
                    <w:right w:val="none" w:sz="0" w:space="0" w:color="auto"/>
                  </w:divBdr>
                </w:div>
                <w:div w:id="294140282">
                  <w:marLeft w:val="0"/>
                  <w:marRight w:val="0"/>
                  <w:marTop w:val="0"/>
                  <w:marBottom w:val="0"/>
                  <w:divBdr>
                    <w:top w:val="none" w:sz="0" w:space="0" w:color="auto"/>
                    <w:left w:val="none" w:sz="0" w:space="0" w:color="auto"/>
                    <w:bottom w:val="none" w:sz="0" w:space="0" w:color="auto"/>
                    <w:right w:val="none" w:sz="0" w:space="0" w:color="auto"/>
                  </w:divBdr>
                </w:div>
                <w:div w:id="294140371">
                  <w:marLeft w:val="0"/>
                  <w:marRight w:val="0"/>
                  <w:marTop w:val="0"/>
                  <w:marBottom w:val="0"/>
                  <w:divBdr>
                    <w:top w:val="none" w:sz="0" w:space="0" w:color="auto"/>
                    <w:left w:val="none" w:sz="0" w:space="0" w:color="auto"/>
                    <w:bottom w:val="none" w:sz="0" w:space="0" w:color="auto"/>
                    <w:right w:val="none" w:sz="0" w:space="0" w:color="auto"/>
                  </w:divBdr>
                </w:div>
                <w:div w:id="294140425">
                  <w:marLeft w:val="0"/>
                  <w:marRight w:val="0"/>
                  <w:marTop w:val="0"/>
                  <w:marBottom w:val="0"/>
                  <w:divBdr>
                    <w:top w:val="none" w:sz="0" w:space="0" w:color="auto"/>
                    <w:left w:val="none" w:sz="0" w:space="0" w:color="auto"/>
                    <w:bottom w:val="none" w:sz="0" w:space="0" w:color="auto"/>
                    <w:right w:val="none" w:sz="0" w:space="0" w:color="auto"/>
                  </w:divBdr>
                </w:div>
                <w:div w:id="294140446">
                  <w:marLeft w:val="0"/>
                  <w:marRight w:val="0"/>
                  <w:marTop w:val="0"/>
                  <w:marBottom w:val="0"/>
                  <w:divBdr>
                    <w:top w:val="none" w:sz="0" w:space="0" w:color="auto"/>
                    <w:left w:val="none" w:sz="0" w:space="0" w:color="auto"/>
                    <w:bottom w:val="none" w:sz="0" w:space="0" w:color="auto"/>
                    <w:right w:val="none" w:sz="0" w:space="0" w:color="auto"/>
                  </w:divBdr>
                </w:div>
                <w:div w:id="294140456">
                  <w:marLeft w:val="0"/>
                  <w:marRight w:val="0"/>
                  <w:marTop w:val="0"/>
                  <w:marBottom w:val="0"/>
                  <w:divBdr>
                    <w:top w:val="none" w:sz="0" w:space="0" w:color="auto"/>
                    <w:left w:val="none" w:sz="0" w:space="0" w:color="auto"/>
                    <w:bottom w:val="none" w:sz="0" w:space="0" w:color="auto"/>
                    <w:right w:val="none" w:sz="0" w:space="0" w:color="auto"/>
                  </w:divBdr>
                </w:div>
                <w:div w:id="294140879">
                  <w:marLeft w:val="0"/>
                  <w:marRight w:val="0"/>
                  <w:marTop w:val="0"/>
                  <w:marBottom w:val="0"/>
                  <w:divBdr>
                    <w:top w:val="none" w:sz="0" w:space="0" w:color="auto"/>
                    <w:left w:val="none" w:sz="0" w:space="0" w:color="auto"/>
                    <w:bottom w:val="none" w:sz="0" w:space="0" w:color="auto"/>
                    <w:right w:val="none" w:sz="0" w:space="0" w:color="auto"/>
                  </w:divBdr>
                </w:div>
                <w:div w:id="294140917">
                  <w:marLeft w:val="0"/>
                  <w:marRight w:val="0"/>
                  <w:marTop w:val="0"/>
                  <w:marBottom w:val="0"/>
                  <w:divBdr>
                    <w:top w:val="none" w:sz="0" w:space="0" w:color="auto"/>
                    <w:left w:val="none" w:sz="0" w:space="0" w:color="auto"/>
                    <w:bottom w:val="none" w:sz="0" w:space="0" w:color="auto"/>
                    <w:right w:val="none" w:sz="0" w:space="0" w:color="auto"/>
                  </w:divBdr>
                </w:div>
                <w:div w:id="294140951">
                  <w:marLeft w:val="0"/>
                  <w:marRight w:val="0"/>
                  <w:marTop w:val="0"/>
                  <w:marBottom w:val="0"/>
                  <w:divBdr>
                    <w:top w:val="none" w:sz="0" w:space="0" w:color="auto"/>
                    <w:left w:val="none" w:sz="0" w:space="0" w:color="auto"/>
                    <w:bottom w:val="none" w:sz="0" w:space="0" w:color="auto"/>
                    <w:right w:val="none" w:sz="0" w:space="0" w:color="auto"/>
                  </w:divBdr>
                </w:div>
                <w:div w:id="294141007">
                  <w:marLeft w:val="0"/>
                  <w:marRight w:val="0"/>
                  <w:marTop w:val="0"/>
                  <w:marBottom w:val="0"/>
                  <w:divBdr>
                    <w:top w:val="none" w:sz="0" w:space="0" w:color="auto"/>
                    <w:left w:val="none" w:sz="0" w:space="0" w:color="auto"/>
                    <w:bottom w:val="none" w:sz="0" w:space="0" w:color="auto"/>
                    <w:right w:val="none" w:sz="0" w:space="0" w:color="auto"/>
                  </w:divBdr>
                </w:div>
                <w:div w:id="294141208">
                  <w:marLeft w:val="0"/>
                  <w:marRight w:val="0"/>
                  <w:marTop w:val="0"/>
                  <w:marBottom w:val="0"/>
                  <w:divBdr>
                    <w:top w:val="none" w:sz="0" w:space="0" w:color="auto"/>
                    <w:left w:val="none" w:sz="0" w:space="0" w:color="auto"/>
                    <w:bottom w:val="none" w:sz="0" w:space="0" w:color="auto"/>
                    <w:right w:val="none" w:sz="0" w:space="0" w:color="auto"/>
                  </w:divBdr>
                </w:div>
                <w:div w:id="294141553">
                  <w:marLeft w:val="0"/>
                  <w:marRight w:val="0"/>
                  <w:marTop w:val="0"/>
                  <w:marBottom w:val="0"/>
                  <w:divBdr>
                    <w:top w:val="none" w:sz="0" w:space="0" w:color="auto"/>
                    <w:left w:val="none" w:sz="0" w:space="0" w:color="auto"/>
                    <w:bottom w:val="none" w:sz="0" w:space="0" w:color="auto"/>
                    <w:right w:val="none" w:sz="0" w:space="0" w:color="auto"/>
                  </w:divBdr>
                </w:div>
                <w:div w:id="294141739">
                  <w:marLeft w:val="0"/>
                  <w:marRight w:val="0"/>
                  <w:marTop w:val="0"/>
                  <w:marBottom w:val="0"/>
                  <w:divBdr>
                    <w:top w:val="none" w:sz="0" w:space="0" w:color="auto"/>
                    <w:left w:val="none" w:sz="0" w:space="0" w:color="auto"/>
                    <w:bottom w:val="none" w:sz="0" w:space="0" w:color="auto"/>
                    <w:right w:val="none" w:sz="0" w:space="0" w:color="auto"/>
                  </w:divBdr>
                </w:div>
                <w:div w:id="294141944">
                  <w:marLeft w:val="0"/>
                  <w:marRight w:val="0"/>
                  <w:marTop w:val="0"/>
                  <w:marBottom w:val="0"/>
                  <w:divBdr>
                    <w:top w:val="none" w:sz="0" w:space="0" w:color="auto"/>
                    <w:left w:val="none" w:sz="0" w:space="0" w:color="auto"/>
                    <w:bottom w:val="none" w:sz="0" w:space="0" w:color="auto"/>
                    <w:right w:val="none" w:sz="0" w:space="0" w:color="auto"/>
                  </w:divBdr>
                </w:div>
                <w:div w:id="294141959">
                  <w:marLeft w:val="0"/>
                  <w:marRight w:val="0"/>
                  <w:marTop w:val="0"/>
                  <w:marBottom w:val="0"/>
                  <w:divBdr>
                    <w:top w:val="none" w:sz="0" w:space="0" w:color="auto"/>
                    <w:left w:val="none" w:sz="0" w:space="0" w:color="auto"/>
                    <w:bottom w:val="none" w:sz="0" w:space="0" w:color="auto"/>
                    <w:right w:val="none" w:sz="0" w:space="0" w:color="auto"/>
                  </w:divBdr>
                </w:div>
                <w:div w:id="294142273">
                  <w:marLeft w:val="0"/>
                  <w:marRight w:val="0"/>
                  <w:marTop w:val="0"/>
                  <w:marBottom w:val="0"/>
                  <w:divBdr>
                    <w:top w:val="none" w:sz="0" w:space="0" w:color="auto"/>
                    <w:left w:val="none" w:sz="0" w:space="0" w:color="auto"/>
                    <w:bottom w:val="none" w:sz="0" w:space="0" w:color="auto"/>
                    <w:right w:val="none" w:sz="0" w:space="0" w:color="auto"/>
                  </w:divBdr>
                </w:div>
                <w:div w:id="294142287">
                  <w:marLeft w:val="0"/>
                  <w:marRight w:val="0"/>
                  <w:marTop w:val="0"/>
                  <w:marBottom w:val="0"/>
                  <w:divBdr>
                    <w:top w:val="none" w:sz="0" w:space="0" w:color="auto"/>
                    <w:left w:val="none" w:sz="0" w:space="0" w:color="auto"/>
                    <w:bottom w:val="none" w:sz="0" w:space="0" w:color="auto"/>
                    <w:right w:val="none" w:sz="0" w:space="0" w:color="auto"/>
                  </w:divBdr>
                </w:div>
                <w:div w:id="294142432">
                  <w:marLeft w:val="0"/>
                  <w:marRight w:val="0"/>
                  <w:marTop w:val="0"/>
                  <w:marBottom w:val="0"/>
                  <w:divBdr>
                    <w:top w:val="none" w:sz="0" w:space="0" w:color="auto"/>
                    <w:left w:val="none" w:sz="0" w:space="0" w:color="auto"/>
                    <w:bottom w:val="none" w:sz="0" w:space="0" w:color="auto"/>
                    <w:right w:val="none" w:sz="0" w:space="0" w:color="auto"/>
                  </w:divBdr>
                </w:div>
                <w:div w:id="294142703">
                  <w:marLeft w:val="0"/>
                  <w:marRight w:val="0"/>
                  <w:marTop w:val="0"/>
                  <w:marBottom w:val="0"/>
                  <w:divBdr>
                    <w:top w:val="none" w:sz="0" w:space="0" w:color="auto"/>
                    <w:left w:val="none" w:sz="0" w:space="0" w:color="auto"/>
                    <w:bottom w:val="none" w:sz="0" w:space="0" w:color="auto"/>
                    <w:right w:val="none" w:sz="0" w:space="0" w:color="auto"/>
                  </w:divBdr>
                </w:div>
                <w:div w:id="294142747">
                  <w:marLeft w:val="0"/>
                  <w:marRight w:val="0"/>
                  <w:marTop w:val="0"/>
                  <w:marBottom w:val="0"/>
                  <w:divBdr>
                    <w:top w:val="none" w:sz="0" w:space="0" w:color="auto"/>
                    <w:left w:val="none" w:sz="0" w:space="0" w:color="auto"/>
                    <w:bottom w:val="none" w:sz="0" w:space="0" w:color="auto"/>
                    <w:right w:val="none" w:sz="0" w:space="0" w:color="auto"/>
                  </w:divBdr>
                </w:div>
                <w:div w:id="294142961">
                  <w:marLeft w:val="0"/>
                  <w:marRight w:val="0"/>
                  <w:marTop w:val="0"/>
                  <w:marBottom w:val="0"/>
                  <w:divBdr>
                    <w:top w:val="none" w:sz="0" w:space="0" w:color="auto"/>
                    <w:left w:val="none" w:sz="0" w:space="0" w:color="auto"/>
                    <w:bottom w:val="none" w:sz="0" w:space="0" w:color="auto"/>
                    <w:right w:val="none" w:sz="0" w:space="0" w:color="auto"/>
                  </w:divBdr>
                </w:div>
                <w:div w:id="294143186">
                  <w:marLeft w:val="0"/>
                  <w:marRight w:val="0"/>
                  <w:marTop w:val="0"/>
                  <w:marBottom w:val="0"/>
                  <w:divBdr>
                    <w:top w:val="none" w:sz="0" w:space="0" w:color="auto"/>
                    <w:left w:val="none" w:sz="0" w:space="0" w:color="auto"/>
                    <w:bottom w:val="none" w:sz="0" w:space="0" w:color="auto"/>
                    <w:right w:val="none" w:sz="0" w:space="0" w:color="auto"/>
                  </w:divBdr>
                </w:div>
                <w:div w:id="294143510">
                  <w:marLeft w:val="0"/>
                  <w:marRight w:val="0"/>
                  <w:marTop w:val="0"/>
                  <w:marBottom w:val="0"/>
                  <w:divBdr>
                    <w:top w:val="none" w:sz="0" w:space="0" w:color="auto"/>
                    <w:left w:val="none" w:sz="0" w:space="0" w:color="auto"/>
                    <w:bottom w:val="none" w:sz="0" w:space="0" w:color="auto"/>
                    <w:right w:val="none" w:sz="0" w:space="0" w:color="auto"/>
                  </w:divBdr>
                </w:div>
                <w:div w:id="294143650">
                  <w:marLeft w:val="0"/>
                  <w:marRight w:val="0"/>
                  <w:marTop w:val="0"/>
                  <w:marBottom w:val="0"/>
                  <w:divBdr>
                    <w:top w:val="none" w:sz="0" w:space="0" w:color="auto"/>
                    <w:left w:val="none" w:sz="0" w:space="0" w:color="auto"/>
                    <w:bottom w:val="none" w:sz="0" w:space="0" w:color="auto"/>
                    <w:right w:val="none" w:sz="0" w:space="0" w:color="auto"/>
                  </w:divBdr>
                </w:div>
                <w:div w:id="294143930">
                  <w:marLeft w:val="0"/>
                  <w:marRight w:val="0"/>
                  <w:marTop w:val="0"/>
                  <w:marBottom w:val="0"/>
                  <w:divBdr>
                    <w:top w:val="none" w:sz="0" w:space="0" w:color="auto"/>
                    <w:left w:val="none" w:sz="0" w:space="0" w:color="auto"/>
                    <w:bottom w:val="none" w:sz="0" w:space="0" w:color="auto"/>
                    <w:right w:val="none" w:sz="0" w:space="0" w:color="auto"/>
                  </w:divBdr>
                </w:div>
                <w:div w:id="294143942">
                  <w:marLeft w:val="0"/>
                  <w:marRight w:val="0"/>
                  <w:marTop w:val="0"/>
                  <w:marBottom w:val="0"/>
                  <w:divBdr>
                    <w:top w:val="none" w:sz="0" w:space="0" w:color="auto"/>
                    <w:left w:val="none" w:sz="0" w:space="0" w:color="auto"/>
                    <w:bottom w:val="none" w:sz="0" w:space="0" w:color="auto"/>
                    <w:right w:val="none" w:sz="0" w:space="0" w:color="auto"/>
                  </w:divBdr>
                </w:div>
                <w:div w:id="294143978">
                  <w:marLeft w:val="0"/>
                  <w:marRight w:val="0"/>
                  <w:marTop w:val="0"/>
                  <w:marBottom w:val="0"/>
                  <w:divBdr>
                    <w:top w:val="none" w:sz="0" w:space="0" w:color="auto"/>
                    <w:left w:val="none" w:sz="0" w:space="0" w:color="auto"/>
                    <w:bottom w:val="none" w:sz="0" w:space="0" w:color="auto"/>
                    <w:right w:val="none" w:sz="0" w:space="0" w:color="auto"/>
                  </w:divBdr>
                </w:div>
                <w:div w:id="294144149">
                  <w:marLeft w:val="0"/>
                  <w:marRight w:val="0"/>
                  <w:marTop w:val="0"/>
                  <w:marBottom w:val="0"/>
                  <w:divBdr>
                    <w:top w:val="none" w:sz="0" w:space="0" w:color="auto"/>
                    <w:left w:val="none" w:sz="0" w:space="0" w:color="auto"/>
                    <w:bottom w:val="none" w:sz="0" w:space="0" w:color="auto"/>
                    <w:right w:val="none" w:sz="0" w:space="0" w:color="auto"/>
                  </w:divBdr>
                </w:div>
                <w:div w:id="294144254">
                  <w:marLeft w:val="0"/>
                  <w:marRight w:val="0"/>
                  <w:marTop w:val="0"/>
                  <w:marBottom w:val="0"/>
                  <w:divBdr>
                    <w:top w:val="none" w:sz="0" w:space="0" w:color="auto"/>
                    <w:left w:val="none" w:sz="0" w:space="0" w:color="auto"/>
                    <w:bottom w:val="none" w:sz="0" w:space="0" w:color="auto"/>
                    <w:right w:val="none" w:sz="0" w:space="0" w:color="auto"/>
                  </w:divBdr>
                </w:div>
                <w:div w:id="294144461">
                  <w:marLeft w:val="0"/>
                  <w:marRight w:val="0"/>
                  <w:marTop w:val="0"/>
                  <w:marBottom w:val="0"/>
                  <w:divBdr>
                    <w:top w:val="none" w:sz="0" w:space="0" w:color="auto"/>
                    <w:left w:val="none" w:sz="0" w:space="0" w:color="auto"/>
                    <w:bottom w:val="none" w:sz="0" w:space="0" w:color="auto"/>
                    <w:right w:val="none" w:sz="0" w:space="0" w:color="auto"/>
                  </w:divBdr>
                </w:div>
                <w:div w:id="294144472">
                  <w:marLeft w:val="0"/>
                  <w:marRight w:val="0"/>
                  <w:marTop w:val="0"/>
                  <w:marBottom w:val="0"/>
                  <w:divBdr>
                    <w:top w:val="none" w:sz="0" w:space="0" w:color="auto"/>
                    <w:left w:val="none" w:sz="0" w:space="0" w:color="auto"/>
                    <w:bottom w:val="none" w:sz="0" w:space="0" w:color="auto"/>
                    <w:right w:val="none" w:sz="0" w:space="0" w:color="auto"/>
                  </w:divBdr>
                </w:div>
                <w:div w:id="294144709">
                  <w:marLeft w:val="0"/>
                  <w:marRight w:val="0"/>
                  <w:marTop w:val="0"/>
                  <w:marBottom w:val="0"/>
                  <w:divBdr>
                    <w:top w:val="none" w:sz="0" w:space="0" w:color="auto"/>
                    <w:left w:val="none" w:sz="0" w:space="0" w:color="auto"/>
                    <w:bottom w:val="none" w:sz="0" w:space="0" w:color="auto"/>
                    <w:right w:val="none" w:sz="0" w:space="0" w:color="auto"/>
                  </w:divBdr>
                </w:div>
                <w:div w:id="294145097">
                  <w:marLeft w:val="0"/>
                  <w:marRight w:val="0"/>
                  <w:marTop w:val="0"/>
                  <w:marBottom w:val="0"/>
                  <w:divBdr>
                    <w:top w:val="none" w:sz="0" w:space="0" w:color="auto"/>
                    <w:left w:val="none" w:sz="0" w:space="0" w:color="auto"/>
                    <w:bottom w:val="none" w:sz="0" w:space="0" w:color="auto"/>
                    <w:right w:val="none" w:sz="0" w:space="0" w:color="auto"/>
                  </w:divBdr>
                </w:div>
                <w:div w:id="294145387">
                  <w:marLeft w:val="0"/>
                  <w:marRight w:val="0"/>
                  <w:marTop w:val="0"/>
                  <w:marBottom w:val="0"/>
                  <w:divBdr>
                    <w:top w:val="none" w:sz="0" w:space="0" w:color="auto"/>
                    <w:left w:val="none" w:sz="0" w:space="0" w:color="auto"/>
                    <w:bottom w:val="none" w:sz="0" w:space="0" w:color="auto"/>
                    <w:right w:val="none" w:sz="0" w:space="0" w:color="auto"/>
                  </w:divBdr>
                </w:div>
                <w:div w:id="294145504">
                  <w:marLeft w:val="0"/>
                  <w:marRight w:val="0"/>
                  <w:marTop w:val="0"/>
                  <w:marBottom w:val="0"/>
                  <w:divBdr>
                    <w:top w:val="none" w:sz="0" w:space="0" w:color="auto"/>
                    <w:left w:val="none" w:sz="0" w:space="0" w:color="auto"/>
                    <w:bottom w:val="none" w:sz="0" w:space="0" w:color="auto"/>
                    <w:right w:val="none" w:sz="0" w:space="0" w:color="auto"/>
                  </w:divBdr>
                </w:div>
                <w:div w:id="294145665">
                  <w:marLeft w:val="0"/>
                  <w:marRight w:val="0"/>
                  <w:marTop w:val="0"/>
                  <w:marBottom w:val="0"/>
                  <w:divBdr>
                    <w:top w:val="none" w:sz="0" w:space="0" w:color="auto"/>
                    <w:left w:val="none" w:sz="0" w:space="0" w:color="auto"/>
                    <w:bottom w:val="none" w:sz="0" w:space="0" w:color="auto"/>
                    <w:right w:val="none" w:sz="0" w:space="0" w:color="auto"/>
                  </w:divBdr>
                </w:div>
                <w:div w:id="294145781">
                  <w:marLeft w:val="0"/>
                  <w:marRight w:val="0"/>
                  <w:marTop w:val="0"/>
                  <w:marBottom w:val="0"/>
                  <w:divBdr>
                    <w:top w:val="none" w:sz="0" w:space="0" w:color="auto"/>
                    <w:left w:val="none" w:sz="0" w:space="0" w:color="auto"/>
                    <w:bottom w:val="none" w:sz="0" w:space="0" w:color="auto"/>
                    <w:right w:val="none" w:sz="0" w:space="0" w:color="auto"/>
                  </w:divBdr>
                </w:div>
                <w:div w:id="294145906">
                  <w:marLeft w:val="0"/>
                  <w:marRight w:val="0"/>
                  <w:marTop w:val="0"/>
                  <w:marBottom w:val="0"/>
                  <w:divBdr>
                    <w:top w:val="none" w:sz="0" w:space="0" w:color="auto"/>
                    <w:left w:val="none" w:sz="0" w:space="0" w:color="auto"/>
                    <w:bottom w:val="none" w:sz="0" w:space="0" w:color="auto"/>
                    <w:right w:val="none" w:sz="0" w:space="0" w:color="auto"/>
                  </w:divBdr>
                </w:div>
                <w:div w:id="294145915">
                  <w:marLeft w:val="0"/>
                  <w:marRight w:val="0"/>
                  <w:marTop w:val="0"/>
                  <w:marBottom w:val="0"/>
                  <w:divBdr>
                    <w:top w:val="none" w:sz="0" w:space="0" w:color="auto"/>
                    <w:left w:val="none" w:sz="0" w:space="0" w:color="auto"/>
                    <w:bottom w:val="none" w:sz="0" w:space="0" w:color="auto"/>
                    <w:right w:val="none" w:sz="0" w:space="0" w:color="auto"/>
                  </w:divBdr>
                </w:div>
                <w:div w:id="294146043">
                  <w:marLeft w:val="0"/>
                  <w:marRight w:val="0"/>
                  <w:marTop w:val="0"/>
                  <w:marBottom w:val="0"/>
                  <w:divBdr>
                    <w:top w:val="none" w:sz="0" w:space="0" w:color="auto"/>
                    <w:left w:val="none" w:sz="0" w:space="0" w:color="auto"/>
                    <w:bottom w:val="none" w:sz="0" w:space="0" w:color="auto"/>
                    <w:right w:val="none" w:sz="0" w:space="0" w:color="auto"/>
                  </w:divBdr>
                </w:div>
                <w:div w:id="294146194">
                  <w:marLeft w:val="0"/>
                  <w:marRight w:val="0"/>
                  <w:marTop w:val="0"/>
                  <w:marBottom w:val="0"/>
                  <w:divBdr>
                    <w:top w:val="none" w:sz="0" w:space="0" w:color="auto"/>
                    <w:left w:val="none" w:sz="0" w:space="0" w:color="auto"/>
                    <w:bottom w:val="none" w:sz="0" w:space="0" w:color="auto"/>
                    <w:right w:val="none" w:sz="0" w:space="0" w:color="auto"/>
                  </w:divBdr>
                </w:div>
                <w:div w:id="294146264">
                  <w:marLeft w:val="0"/>
                  <w:marRight w:val="0"/>
                  <w:marTop w:val="0"/>
                  <w:marBottom w:val="0"/>
                  <w:divBdr>
                    <w:top w:val="none" w:sz="0" w:space="0" w:color="auto"/>
                    <w:left w:val="none" w:sz="0" w:space="0" w:color="auto"/>
                    <w:bottom w:val="none" w:sz="0" w:space="0" w:color="auto"/>
                    <w:right w:val="none" w:sz="0" w:space="0" w:color="auto"/>
                  </w:divBdr>
                </w:div>
                <w:div w:id="294146923">
                  <w:marLeft w:val="0"/>
                  <w:marRight w:val="0"/>
                  <w:marTop w:val="0"/>
                  <w:marBottom w:val="0"/>
                  <w:divBdr>
                    <w:top w:val="none" w:sz="0" w:space="0" w:color="auto"/>
                    <w:left w:val="none" w:sz="0" w:space="0" w:color="auto"/>
                    <w:bottom w:val="none" w:sz="0" w:space="0" w:color="auto"/>
                    <w:right w:val="none" w:sz="0" w:space="0" w:color="auto"/>
                  </w:divBdr>
                </w:div>
                <w:div w:id="294146949">
                  <w:marLeft w:val="0"/>
                  <w:marRight w:val="0"/>
                  <w:marTop w:val="0"/>
                  <w:marBottom w:val="0"/>
                  <w:divBdr>
                    <w:top w:val="none" w:sz="0" w:space="0" w:color="auto"/>
                    <w:left w:val="none" w:sz="0" w:space="0" w:color="auto"/>
                    <w:bottom w:val="none" w:sz="0" w:space="0" w:color="auto"/>
                    <w:right w:val="none" w:sz="0" w:space="0" w:color="auto"/>
                  </w:divBdr>
                </w:div>
                <w:div w:id="294147083">
                  <w:marLeft w:val="0"/>
                  <w:marRight w:val="0"/>
                  <w:marTop w:val="0"/>
                  <w:marBottom w:val="0"/>
                  <w:divBdr>
                    <w:top w:val="none" w:sz="0" w:space="0" w:color="auto"/>
                    <w:left w:val="none" w:sz="0" w:space="0" w:color="auto"/>
                    <w:bottom w:val="none" w:sz="0" w:space="0" w:color="auto"/>
                    <w:right w:val="none" w:sz="0" w:space="0" w:color="auto"/>
                  </w:divBdr>
                </w:div>
                <w:div w:id="294147272">
                  <w:marLeft w:val="0"/>
                  <w:marRight w:val="0"/>
                  <w:marTop w:val="0"/>
                  <w:marBottom w:val="0"/>
                  <w:divBdr>
                    <w:top w:val="none" w:sz="0" w:space="0" w:color="auto"/>
                    <w:left w:val="none" w:sz="0" w:space="0" w:color="auto"/>
                    <w:bottom w:val="none" w:sz="0" w:space="0" w:color="auto"/>
                    <w:right w:val="none" w:sz="0" w:space="0" w:color="auto"/>
                  </w:divBdr>
                </w:div>
                <w:div w:id="294147375">
                  <w:marLeft w:val="0"/>
                  <w:marRight w:val="0"/>
                  <w:marTop w:val="0"/>
                  <w:marBottom w:val="0"/>
                  <w:divBdr>
                    <w:top w:val="none" w:sz="0" w:space="0" w:color="auto"/>
                    <w:left w:val="none" w:sz="0" w:space="0" w:color="auto"/>
                    <w:bottom w:val="none" w:sz="0" w:space="0" w:color="auto"/>
                    <w:right w:val="none" w:sz="0" w:space="0" w:color="auto"/>
                  </w:divBdr>
                </w:div>
                <w:div w:id="294147568">
                  <w:marLeft w:val="0"/>
                  <w:marRight w:val="0"/>
                  <w:marTop w:val="0"/>
                  <w:marBottom w:val="0"/>
                  <w:divBdr>
                    <w:top w:val="none" w:sz="0" w:space="0" w:color="auto"/>
                    <w:left w:val="none" w:sz="0" w:space="0" w:color="auto"/>
                    <w:bottom w:val="none" w:sz="0" w:space="0" w:color="auto"/>
                    <w:right w:val="none" w:sz="0" w:space="0" w:color="auto"/>
                  </w:divBdr>
                </w:div>
                <w:div w:id="294147834">
                  <w:marLeft w:val="0"/>
                  <w:marRight w:val="0"/>
                  <w:marTop w:val="0"/>
                  <w:marBottom w:val="0"/>
                  <w:divBdr>
                    <w:top w:val="none" w:sz="0" w:space="0" w:color="auto"/>
                    <w:left w:val="none" w:sz="0" w:space="0" w:color="auto"/>
                    <w:bottom w:val="none" w:sz="0" w:space="0" w:color="auto"/>
                    <w:right w:val="none" w:sz="0" w:space="0" w:color="auto"/>
                  </w:divBdr>
                </w:div>
                <w:div w:id="294147860">
                  <w:marLeft w:val="0"/>
                  <w:marRight w:val="0"/>
                  <w:marTop w:val="0"/>
                  <w:marBottom w:val="0"/>
                  <w:divBdr>
                    <w:top w:val="none" w:sz="0" w:space="0" w:color="auto"/>
                    <w:left w:val="none" w:sz="0" w:space="0" w:color="auto"/>
                    <w:bottom w:val="none" w:sz="0" w:space="0" w:color="auto"/>
                    <w:right w:val="none" w:sz="0" w:space="0" w:color="auto"/>
                  </w:divBdr>
                </w:div>
                <w:div w:id="294147877">
                  <w:marLeft w:val="0"/>
                  <w:marRight w:val="0"/>
                  <w:marTop w:val="0"/>
                  <w:marBottom w:val="0"/>
                  <w:divBdr>
                    <w:top w:val="none" w:sz="0" w:space="0" w:color="auto"/>
                    <w:left w:val="none" w:sz="0" w:space="0" w:color="auto"/>
                    <w:bottom w:val="none" w:sz="0" w:space="0" w:color="auto"/>
                    <w:right w:val="none" w:sz="0" w:space="0" w:color="auto"/>
                  </w:divBdr>
                </w:div>
                <w:div w:id="294147988">
                  <w:marLeft w:val="0"/>
                  <w:marRight w:val="0"/>
                  <w:marTop w:val="0"/>
                  <w:marBottom w:val="0"/>
                  <w:divBdr>
                    <w:top w:val="none" w:sz="0" w:space="0" w:color="auto"/>
                    <w:left w:val="none" w:sz="0" w:space="0" w:color="auto"/>
                    <w:bottom w:val="none" w:sz="0" w:space="0" w:color="auto"/>
                    <w:right w:val="none" w:sz="0" w:space="0" w:color="auto"/>
                  </w:divBdr>
                </w:div>
                <w:div w:id="294148276">
                  <w:marLeft w:val="0"/>
                  <w:marRight w:val="0"/>
                  <w:marTop w:val="0"/>
                  <w:marBottom w:val="0"/>
                  <w:divBdr>
                    <w:top w:val="none" w:sz="0" w:space="0" w:color="auto"/>
                    <w:left w:val="none" w:sz="0" w:space="0" w:color="auto"/>
                    <w:bottom w:val="none" w:sz="0" w:space="0" w:color="auto"/>
                    <w:right w:val="none" w:sz="0" w:space="0" w:color="auto"/>
                  </w:divBdr>
                </w:div>
                <w:div w:id="294148495">
                  <w:marLeft w:val="0"/>
                  <w:marRight w:val="0"/>
                  <w:marTop w:val="0"/>
                  <w:marBottom w:val="0"/>
                  <w:divBdr>
                    <w:top w:val="none" w:sz="0" w:space="0" w:color="auto"/>
                    <w:left w:val="none" w:sz="0" w:space="0" w:color="auto"/>
                    <w:bottom w:val="none" w:sz="0" w:space="0" w:color="auto"/>
                    <w:right w:val="none" w:sz="0" w:space="0" w:color="auto"/>
                  </w:divBdr>
                </w:div>
                <w:div w:id="294148586">
                  <w:marLeft w:val="0"/>
                  <w:marRight w:val="0"/>
                  <w:marTop w:val="0"/>
                  <w:marBottom w:val="0"/>
                  <w:divBdr>
                    <w:top w:val="none" w:sz="0" w:space="0" w:color="auto"/>
                    <w:left w:val="none" w:sz="0" w:space="0" w:color="auto"/>
                    <w:bottom w:val="none" w:sz="0" w:space="0" w:color="auto"/>
                    <w:right w:val="none" w:sz="0" w:space="0" w:color="auto"/>
                  </w:divBdr>
                </w:div>
                <w:div w:id="294148655">
                  <w:marLeft w:val="0"/>
                  <w:marRight w:val="0"/>
                  <w:marTop w:val="0"/>
                  <w:marBottom w:val="0"/>
                  <w:divBdr>
                    <w:top w:val="none" w:sz="0" w:space="0" w:color="auto"/>
                    <w:left w:val="none" w:sz="0" w:space="0" w:color="auto"/>
                    <w:bottom w:val="none" w:sz="0" w:space="0" w:color="auto"/>
                    <w:right w:val="none" w:sz="0" w:space="0" w:color="auto"/>
                  </w:divBdr>
                </w:div>
                <w:div w:id="294148903">
                  <w:marLeft w:val="0"/>
                  <w:marRight w:val="0"/>
                  <w:marTop w:val="0"/>
                  <w:marBottom w:val="0"/>
                  <w:divBdr>
                    <w:top w:val="none" w:sz="0" w:space="0" w:color="auto"/>
                    <w:left w:val="none" w:sz="0" w:space="0" w:color="auto"/>
                    <w:bottom w:val="none" w:sz="0" w:space="0" w:color="auto"/>
                    <w:right w:val="none" w:sz="0" w:space="0" w:color="auto"/>
                  </w:divBdr>
                </w:div>
                <w:div w:id="294148984">
                  <w:marLeft w:val="0"/>
                  <w:marRight w:val="0"/>
                  <w:marTop w:val="0"/>
                  <w:marBottom w:val="0"/>
                  <w:divBdr>
                    <w:top w:val="none" w:sz="0" w:space="0" w:color="auto"/>
                    <w:left w:val="none" w:sz="0" w:space="0" w:color="auto"/>
                    <w:bottom w:val="none" w:sz="0" w:space="0" w:color="auto"/>
                    <w:right w:val="none" w:sz="0" w:space="0" w:color="auto"/>
                  </w:divBdr>
                </w:div>
                <w:div w:id="294149201">
                  <w:marLeft w:val="0"/>
                  <w:marRight w:val="0"/>
                  <w:marTop w:val="0"/>
                  <w:marBottom w:val="0"/>
                  <w:divBdr>
                    <w:top w:val="none" w:sz="0" w:space="0" w:color="auto"/>
                    <w:left w:val="none" w:sz="0" w:space="0" w:color="auto"/>
                    <w:bottom w:val="none" w:sz="0" w:space="0" w:color="auto"/>
                    <w:right w:val="none" w:sz="0" w:space="0" w:color="auto"/>
                  </w:divBdr>
                </w:div>
                <w:div w:id="294149608">
                  <w:marLeft w:val="0"/>
                  <w:marRight w:val="0"/>
                  <w:marTop w:val="0"/>
                  <w:marBottom w:val="0"/>
                  <w:divBdr>
                    <w:top w:val="none" w:sz="0" w:space="0" w:color="auto"/>
                    <w:left w:val="none" w:sz="0" w:space="0" w:color="auto"/>
                    <w:bottom w:val="none" w:sz="0" w:space="0" w:color="auto"/>
                    <w:right w:val="none" w:sz="0" w:space="0" w:color="auto"/>
                  </w:divBdr>
                </w:div>
                <w:div w:id="294149616">
                  <w:marLeft w:val="0"/>
                  <w:marRight w:val="0"/>
                  <w:marTop w:val="0"/>
                  <w:marBottom w:val="0"/>
                  <w:divBdr>
                    <w:top w:val="none" w:sz="0" w:space="0" w:color="auto"/>
                    <w:left w:val="none" w:sz="0" w:space="0" w:color="auto"/>
                    <w:bottom w:val="none" w:sz="0" w:space="0" w:color="auto"/>
                    <w:right w:val="none" w:sz="0" w:space="0" w:color="auto"/>
                  </w:divBdr>
                </w:div>
                <w:div w:id="294149803">
                  <w:marLeft w:val="0"/>
                  <w:marRight w:val="0"/>
                  <w:marTop w:val="0"/>
                  <w:marBottom w:val="0"/>
                  <w:divBdr>
                    <w:top w:val="none" w:sz="0" w:space="0" w:color="auto"/>
                    <w:left w:val="none" w:sz="0" w:space="0" w:color="auto"/>
                    <w:bottom w:val="none" w:sz="0" w:space="0" w:color="auto"/>
                    <w:right w:val="none" w:sz="0" w:space="0" w:color="auto"/>
                  </w:divBdr>
                </w:div>
                <w:div w:id="294149921">
                  <w:marLeft w:val="0"/>
                  <w:marRight w:val="0"/>
                  <w:marTop w:val="0"/>
                  <w:marBottom w:val="0"/>
                  <w:divBdr>
                    <w:top w:val="none" w:sz="0" w:space="0" w:color="auto"/>
                    <w:left w:val="none" w:sz="0" w:space="0" w:color="auto"/>
                    <w:bottom w:val="none" w:sz="0" w:space="0" w:color="auto"/>
                    <w:right w:val="none" w:sz="0" w:space="0" w:color="auto"/>
                  </w:divBdr>
                </w:div>
                <w:div w:id="294149992">
                  <w:marLeft w:val="0"/>
                  <w:marRight w:val="0"/>
                  <w:marTop w:val="0"/>
                  <w:marBottom w:val="0"/>
                  <w:divBdr>
                    <w:top w:val="none" w:sz="0" w:space="0" w:color="auto"/>
                    <w:left w:val="none" w:sz="0" w:space="0" w:color="auto"/>
                    <w:bottom w:val="none" w:sz="0" w:space="0" w:color="auto"/>
                    <w:right w:val="none" w:sz="0" w:space="0" w:color="auto"/>
                  </w:divBdr>
                </w:div>
                <w:div w:id="294150023">
                  <w:marLeft w:val="0"/>
                  <w:marRight w:val="0"/>
                  <w:marTop w:val="0"/>
                  <w:marBottom w:val="0"/>
                  <w:divBdr>
                    <w:top w:val="none" w:sz="0" w:space="0" w:color="auto"/>
                    <w:left w:val="none" w:sz="0" w:space="0" w:color="auto"/>
                    <w:bottom w:val="none" w:sz="0" w:space="0" w:color="auto"/>
                    <w:right w:val="none" w:sz="0" w:space="0" w:color="auto"/>
                  </w:divBdr>
                </w:div>
                <w:div w:id="294150192">
                  <w:marLeft w:val="0"/>
                  <w:marRight w:val="0"/>
                  <w:marTop w:val="0"/>
                  <w:marBottom w:val="0"/>
                  <w:divBdr>
                    <w:top w:val="none" w:sz="0" w:space="0" w:color="auto"/>
                    <w:left w:val="none" w:sz="0" w:space="0" w:color="auto"/>
                    <w:bottom w:val="none" w:sz="0" w:space="0" w:color="auto"/>
                    <w:right w:val="none" w:sz="0" w:space="0" w:color="auto"/>
                  </w:divBdr>
                </w:div>
                <w:div w:id="294150250">
                  <w:marLeft w:val="0"/>
                  <w:marRight w:val="0"/>
                  <w:marTop w:val="0"/>
                  <w:marBottom w:val="0"/>
                  <w:divBdr>
                    <w:top w:val="none" w:sz="0" w:space="0" w:color="auto"/>
                    <w:left w:val="none" w:sz="0" w:space="0" w:color="auto"/>
                    <w:bottom w:val="none" w:sz="0" w:space="0" w:color="auto"/>
                    <w:right w:val="none" w:sz="0" w:space="0" w:color="auto"/>
                  </w:divBdr>
                </w:div>
                <w:div w:id="294150350">
                  <w:marLeft w:val="0"/>
                  <w:marRight w:val="0"/>
                  <w:marTop w:val="0"/>
                  <w:marBottom w:val="0"/>
                  <w:divBdr>
                    <w:top w:val="none" w:sz="0" w:space="0" w:color="auto"/>
                    <w:left w:val="none" w:sz="0" w:space="0" w:color="auto"/>
                    <w:bottom w:val="none" w:sz="0" w:space="0" w:color="auto"/>
                    <w:right w:val="none" w:sz="0" w:space="0" w:color="auto"/>
                  </w:divBdr>
                </w:div>
                <w:div w:id="294150681">
                  <w:marLeft w:val="0"/>
                  <w:marRight w:val="0"/>
                  <w:marTop w:val="0"/>
                  <w:marBottom w:val="0"/>
                  <w:divBdr>
                    <w:top w:val="none" w:sz="0" w:space="0" w:color="auto"/>
                    <w:left w:val="none" w:sz="0" w:space="0" w:color="auto"/>
                    <w:bottom w:val="none" w:sz="0" w:space="0" w:color="auto"/>
                    <w:right w:val="none" w:sz="0" w:space="0" w:color="auto"/>
                  </w:divBdr>
                </w:div>
                <w:div w:id="294150782">
                  <w:marLeft w:val="0"/>
                  <w:marRight w:val="0"/>
                  <w:marTop w:val="0"/>
                  <w:marBottom w:val="0"/>
                  <w:divBdr>
                    <w:top w:val="none" w:sz="0" w:space="0" w:color="auto"/>
                    <w:left w:val="none" w:sz="0" w:space="0" w:color="auto"/>
                    <w:bottom w:val="none" w:sz="0" w:space="0" w:color="auto"/>
                    <w:right w:val="none" w:sz="0" w:space="0" w:color="auto"/>
                  </w:divBdr>
                </w:div>
                <w:div w:id="294151119">
                  <w:marLeft w:val="0"/>
                  <w:marRight w:val="0"/>
                  <w:marTop w:val="0"/>
                  <w:marBottom w:val="0"/>
                  <w:divBdr>
                    <w:top w:val="none" w:sz="0" w:space="0" w:color="auto"/>
                    <w:left w:val="none" w:sz="0" w:space="0" w:color="auto"/>
                    <w:bottom w:val="none" w:sz="0" w:space="0" w:color="auto"/>
                    <w:right w:val="none" w:sz="0" w:space="0" w:color="auto"/>
                  </w:divBdr>
                </w:div>
                <w:div w:id="294151164">
                  <w:marLeft w:val="0"/>
                  <w:marRight w:val="0"/>
                  <w:marTop w:val="0"/>
                  <w:marBottom w:val="0"/>
                  <w:divBdr>
                    <w:top w:val="none" w:sz="0" w:space="0" w:color="auto"/>
                    <w:left w:val="none" w:sz="0" w:space="0" w:color="auto"/>
                    <w:bottom w:val="none" w:sz="0" w:space="0" w:color="auto"/>
                    <w:right w:val="none" w:sz="0" w:space="0" w:color="auto"/>
                  </w:divBdr>
                </w:div>
                <w:div w:id="294151285">
                  <w:marLeft w:val="0"/>
                  <w:marRight w:val="0"/>
                  <w:marTop w:val="0"/>
                  <w:marBottom w:val="0"/>
                  <w:divBdr>
                    <w:top w:val="none" w:sz="0" w:space="0" w:color="auto"/>
                    <w:left w:val="none" w:sz="0" w:space="0" w:color="auto"/>
                    <w:bottom w:val="none" w:sz="0" w:space="0" w:color="auto"/>
                    <w:right w:val="none" w:sz="0" w:space="0" w:color="auto"/>
                  </w:divBdr>
                </w:div>
                <w:div w:id="294151533">
                  <w:marLeft w:val="0"/>
                  <w:marRight w:val="0"/>
                  <w:marTop w:val="0"/>
                  <w:marBottom w:val="0"/>
                  <w:divBdr>
                    <w:top w:val="none" w:sz="0" w:space="0" w:color="auto"/>
                    <w:left w:val="none" w:sz="0" w:space="0" w:color="auto"/>
                    <w:bottom w:val="none" w:sz="0" w:space="0" w:color="auto"/>
                    <w:right w:val="none" w:sz="0" w:space="0" w:color="auto"/>
                  </w:divBdr>
                </w:div>
                <w:div w:id="294151799">
                  <w:marLeft w:val="0"/>
                  <w:marRight w:val="0"/>
                  <w:marTop w:val="0"/>
                  <w:marBottom w:val="0"/>
                  <w:divBdr>
                    <w:top w:val="none" w:sz="0" w:space="0" w:color="auto"/>
                    <w:left w:val="none" w:sz="0" w:space="0" w:color="auto"/>
                    <w:bottom w:val="none" w:sz="0" w:space="0" w:color="auto"/>
                    <w:right w:val="none" w:sz="0" w:space="0" w:color="auto"/>
                  </w:divBdr>
                </w:div>
                <w:div w:id="294151988">
                  <w:marLeft w:val="0"/>
                  <w:marRight w:val="0"/>
                  <w:marTop w:val="0"/>
                  <w:marBottom w:val="0"/>
                  <w:divBdr>
                    <w:top w:val="none" w:sz="0" w:space="0" w:color="auto"/>
                    <w:left w:val="none" w:sz="0" w:space="0" w:color="auto"/>
                    <w:bottom w:val="none" w:sz="0" w:space="0" w:color="auto"/>
                    <w:right w:val="none" w:sz="0" w:space="0" w:color="auto"/>
                  </w:divBdr>
                </w:div>
                <w:div w:id="294152087">
                  <w:marLeft w:val="0"/>
                  <w:marRight w:val="0"/>
                  <w:marTop w:val="0"/>
                  <w:marBottom w:val="0"/>
                  <w:divBdr>
                    <w:top w:val="none" w:sz="0" w:space="0" w:color="auto"/>
                    <w:left w:val="none" w:sz="0" w:space="0" w:color="auto"/>
                    <w:bottom w:val="none" w:sz="0" w:space="0" w:color="auto"/>
                    <w:right w:val="none" w:sz="0" w:space="0" w:color="auto"/>
                  </w:divBdr>
                </w:div>
                <w:div w:id="294152706">
                  <w:marLeft w:val="0"/>
                  <w:marRight w:val="0"/>
                  <w:marTop w:val="0"/>
                  <w:marBottom w:val="0"/>
                  <w:divBdr>
                    <w:top w:val="none" w:sz="0" w:space="0" w:color="auto"/>
                    <w:left w:val="none" w:sz="0" w:space="0" w:color="auto"/>
                    <w:bottom w:val="none" w:sz="0" w:space="0" w:color="auto"/>
                    <w:right w:val="none" w:sz="0" w:space="0" w:color="auto"/>
                  </w:divBdr>
                </w:div>
                <w:div w:id="294152870">
                  <w:marLeft w:val="0"/>
                  <w:marRight w:val="0"/>
                  <w:marTop w:val="0"/>
                  <w:marBottom w:val="0"/>
                  <w:divBdr>
                    <w:top w:val="none" w:sz="0" w:space="0" w:color="auto"/>
                    <w:left w:val="none" w:sz="0" w:space="0" w:color="auto"/>
                    <w:bottom w:val="none" w:sz="0" w:space="0" w:color="auto"/>
                    <w:right w:val="none" w:sz="0" w:space="0" w:color="auto"/>
                  </w:divBdr>
                </w:div>
                <w:div w:id="294153198">
                  <w:marLeft w:val="0"/>
                  <w:marRight w:val="0"/>
                  <w:marTop w:val="0"/>
                  <w:marBottom w:val="0"/>
                  <w:divBdr>
                    <w:top w:val="none" w:sz="0" w:space="0" w:color="auto"/>
                    <w:left w:val="none" w:sz="0" w:space="0" w:color="auto"/>
                    <w:bottom w:val="none" w:sz="0" w:space="0" w:color="auto"/>
                    <w:right w:val="none" w:sz="0" w:space="0" w:color="auto"/>
                  </w:divBdr>
                </w:div>
                <w:div w:id="294153273">
                  <w:marLeft w:val="0"/>
                  <w:marRight w:val="0"/>
                  <w:marTop w:val="0"/>
                  <w:marBottom w:val="0"/>
                  <w:divBdr>
                    <w:top w:val="none" w:sz="0" w:space="0" w:color="auto"/>
                    <w:left w:val="none" w:sz="0" w:space="0" w:color="auto"/>
                    <w:bottom w:val="none" w:sz="0" w:space="0" w:color="auto"/>
                    <w:right w:val="none" w:sz="0" w:space="0" w:color="auto"/>
                  </w:divBdr>
                </w:div>
                <w:div w:id="294153435">
                  <w:marLeft w:val="0"/>
                  <w:marRight w:val="0"/>
                  <w:marTop w:val="0"/>
                  <w:marBottom w:val="0"/>
                  <w:divBdr>
                    <w:top w:val="none" w:sz="0" w:space="0" w:color="auto"/>
                    <w:left w:val="none" w:sz="0" w:space="0" w:color="auto"/>
                    <w:bottom w:val="none" w:sz="0" w:space="0" w:color="auto"/>
                    <w:right w:val="none" w:sz="0" w:space="0" w:color="auto"/>
                  </w:divBdr>
                </w:div>
                <w:div w:id="294153522">
                  <w:marLeft w:val="0"/>
                  <w:marRight w:val="0"/>
                  <w:marTop w:val="0"/>
                  <w:marBottom w:val="0"/>
                  <w:divBdr>
                    <w:top w:val="none" w:sz="0" w:space="0" w:color="auto"/>
                    <w:left w:val="none" w:sz="0" w:space="0" w:color="auto"/>
                    <w:bottom w:val="none" w:sz="0" w:space="0" w:color="auto"/>
                    <w:right w:val="none" w:sz="0" w:space="0" w:color="auto"/>
                  </w:divBdr>
                </w:div>
                <w:div w:id="294153655">
                  <w:marLeft w:val="0"/>
                  <w:marRight w:val="0"/>
                  <w:marTop w:val="0"/>
                  <w:marBottom w:val="0"/>
                  <w:divBdr>
                    <w:top w:val="none" w:sz="0" w:space="0" w:color="auto"/>
                    <w:left w:val="none" w:sz="0" w:space="0" w:color="auto"/>
                    <w:bottom w:val="none" w:sz="0" w:space="0" w:color="auto"/>
                    <w:right w:val="none" w:sz="0" w:space="0" w:color="auto"/>
                  </w:divBdr>
                </w:div>
                <w:div w:id="294153868">
                  <w:marLeft w:val="0"/>
                  <w:marRight w:val="0"/>
                  <w:marTop w:val="0"/>
                  <w:marBottom w:val="0"/>
                  <w:divBdr>
                    <w:top w:val="none" w:sz="0" w:space="0" w:color="auto"/>
                    <w:left w:val="none" w:sz="0" w:space="0" w:color="auto"/>
                    <w:bottom w:val="none" w:sz="0" w:space="0" w:color="auto"/>
                    <w:right w:val="none" w:sz="0" w:space="0" w:color="auto"/>
                  </w:divBdr>
                </w:div>
                <w:div w:id="294154234">
                  <w:marLeft w:val="0"/>
                  <w:marRight w:val="0"/>
                  <w:marTop w:val="0"/>
                  <w:marBottom w:val="0"/>
                  <w:divBdr>
                    <w:top w:val="none" w:sz="0" w:space="0" w:color="auto"/>
                    <w:left w:val="none" w:sz="0" w:space="0" w:color="auto"/>
                    <w:bottom w:val="none" w:sz="0" w:space="0" w:color="auto"/>
                    <w:right w:val="none" w:sz="0" w:space="0" w:color="auto"/>
                  </w:divBdr>
                </w:div>
                <w:div w:id="294154304">
                  <w:marLeft w:val="0"/>
                  <w:marRight w:val="0"/>
                  <w:marTop w:val="0"/>
                  <w:marBottom w:val="0"/>
                  <w:divBdr>
                    <w:top w:val="none" w:sz="0" w:space="0" w:color="auto"/>
                    <w:left w:val="none" w:sz="0" w:space="0" w:color="auto"/>
                    <w:bottom w:val="none" w:sz="0" w:space="0" w:color="auto"/>
                    <w:right w:val="none" w:sz="0" w:space="0" w:color="auto"/>
                  </w:divBdr>
                </w:div>
                <w:div w:id="294154412">
                  <w:marLeft w:val="0"/>
                  <w:marRight w:val="0"/>
                  <w:marTop w:val="0"/>
                  <w:marBottom w:val="0"/>
                  <w:divBdr>
                    <w:top w:val="none" w:sz="0" w:space="0" w:color="auto"/>
                    <w:left w:val="none" w:sz="0" w:space="0" w:color="auto"/>
                    <w:bottom w:val="none" w:sz="0" w:space="0" w:color="auto"/>
                    <w:right w:val="none" w:sz="0" w:space="0" w:color="auto"/>
                  </w:divBdr>
                </w:div>
                <w:div w:id="294154464">
                  <w:marLeft w:val="0"/>
                  <w:marRight w:val="0"/>
                  <w:marTop w:val="0"/>
                  <w:marBottom w:val="0"/>
                  <w:divBdr>
                    <w:top w:val="none" w:sz="0" w:space="0" w:color="auto"/>
                    <w:left w:val="none" w:sz="0" w:space="0" w:color="auto"/>
                    <w:bottom w:val="none" w:sz="0" w:space="0" w:color="auto"/>
                    <w:right w:val="none" w:sz="0" w:space="0" w:color="auto"/>
                  </w:divBdr>
                </w:div>
                <w:div w:id="294154494">
                  <w:marLeft w:val="0"/>
                  <w:marRight w:val="0"/>
                  <w:marTop w:val="0"/>
                  <w:marBottom w:val="0"/>
                  <w:divBdr>
                    <w:top w:val="none" w:sz="0" w:space="0" w:color="auto"/>
                    <w:left w:val="none" w:sz="0" w:space="0" w:color="auto"/>
                    <w:bottom w:val="none" w:sz="0" w:space="0" w:color="auto"/>
                    <w:right w:val="none" w:sz="0" w:space="0" w:color="auto"/>
                  </w:divBdr>
                </w:div>
                <w:div w:id="294154610">
                  <w:marLeft w:val="0"/>
                  <w:marRight w:val="0"/>
                  <w:marTop w:val="0"/>
                  <w:marBottom w:val="0"/>
                  <w:divBdr>
                    <w:top w:val="none" w:sz="0" w:space="0" w:color="auto"/>
                    <w:left w:val="none" w:sz="0" w:space="0" w:color="auto"/>
                    <w:bottom w:val="none" w:sz="0" w:space="0" w:color="auto"/>
                    <w:right w:val="none" w:sz="0" w:space="0" w:color="auto"/>
                  </w:divBdr>
                </w:div>
                <w:div w:id="294154641">
                  <w:marLeft w:val="0"/>
                  <w:marRight w:val="0"/>
                  <w:marTop w:val="0"/>
                  <w:marBottom w:val="0"/>
                  <w:divBdr>
                    <w:top w:val="none" w:sz="0" w:space="0" w:color="auto"/>
                    <w:left w:val="none" w:sz="0" w:space="0" w:color="auto"/>
                    <w:bottom w:val="none" w:sz="0" w:space="0" w:color="auto"/>
                    <w:right w:val="none" w:sz="0" w:space="0" w:color="auto"/>
                  </w:divBdr>
                </w:div>
                <w:div w:id="294154686">
                  <w:marLeft w:val="0"/>
                  <w:marRight w:val="0"/>
                  <w:marTop w:val="0"/>
                  <w:marBottom w:val="0"/>
                  <w:divBdr>
                    <w:top w:val="none" w:sz="0" w:space="0" w:color="auto"/>
                    <w:left w:val="none" w:sz="0" w:space="0" w:color="auto"/>
                    <w:bottom w:val="none" w:sz="0" w:space="0" w:color="auto"/>
                    <w:right w:val="none" w:sz="0" w:space="0" w:color="auto"/>
                  </w:divBdr>
                </w:div>
                <w:div w:id="294154976">
                  <w:marLeft w:val="0"/>
                  <w:marRight w:val="0"/>
                  <w:marTop w:val="0"/>
                  <w:marBottom w:val="0"/>
                  <w:divBdr>
                    <w:top w:val="none" w:sz="0" w:space="0" w:color="auto"/>
                    <w:left w:val="none" w:sz="0" w:space="0" w:color="auto"/>
                    <w:bottom w:val="none" w:sz="0" w:space="0" w:color="auto"/>
                    <w:right w:val="none" w:sz="0" w:space="0" w:color="auto"/>
                  </w:divBdr>
                </w:div>
                <w:div w:id="294155190">
                  <w:marLeft w:val="0"/>
                  <w:marRight w:val="0"/>
                  <w:marTop w:val="0"/>
                  <w:marBottom w:val="0"/>
                  <w:divBdr>
                    <w:top w:val="none" w:sz="0" w:space="0" w:color="auto"/>
                    <w:left w:val="none" w:sz="0" w:space="0" w:color="auto"/>
                    <w:bottom w:val="none" w:sz="0" w:space="0" w:color="auto"/>
                    <w:right w:val="none" w:sz="0" w:space="0" w:color="auto"/>
                  </w:divBdr>
                </w:div>
                <w:div w:id="294155351">
                  <w:marLeft w:val="0"/>
                  <w:marRight w:val="0"/>
                  <w:marTop w:val="0"/>
                  <w:marBottom w:val="0"/>
                  <w:divBdr>
                    <w:top w:val="none" w:sz="0" w:space="0" w:color="auto"/>
                    <w:left w:val="none" w:sz="0" w:space="0" w:color="auto"/>
                    <w:bottom w:val="none" w:sz="0" w:space="0" w:color="auto"/>
                    <w:right w:val="none" w:sz="0" w:space="0" w:color="auto"/>
                  </w:divBdr>
                </w:div>
                <w:div w:id="294155400">
                  <w:marLeft w:val="0"/>
                  <w:marRight w:val="0"/>
                  <w:marTop w:val="0"/>
                  <w:marBottom w:val="0"/>
                  <w:divBdr>
                    <w:top w:val="none" w:sz="0" w:space="0" w:color="auto"/>
                    <w:left w:val="none" w:sz="0" w:space="0" w:color="auto"/>
                    <w:bottom w:val="none" w:sz="0" w:space="0" w:color="auto"/>
                    <w:right w:val="none" w:sz="0" w:space="0" w:color="auto"/>
                  </w:divBdr>
                </w:div>
                <w:div w:id="294155421">
                  <w:marLeft w:val="0"/>
                  <w:marRight w:val="0"/>
                  <w:marTop w:val="0"/>
                  <w:marBottom w:val="0"/>
                  <w:divBdr>
                    <w:top w:val="none" w:sz="0" w:space="0" w:color="auto"/>
                    <w:left w:val="none" w:sz="0" w:space="0" w:color="auto"/>
                    <w:bottom w:val="none" w:sz="0" w:space="0" w:color="auto"/>
                    <w:right w:val="none" w:sz="0" w:space="0" w:color="auto"/>
                  </w:divBdr>
                </w:div>
                <w:div w:id="294155558">
                  <w:marLeft w:val="0"/>
                  <w:marRight w:val="0"/>
                  <w:marTop w:val="0"/>
                  <w:marBottom w:val="0"/>
                  <w:divBdr>
                    <w:top w:val="none" w:sz="0" w:space="0" w:color="auto"/>
                    <w:left w:val="none" w:sz="0" w:space="0" w:color="auto"/>
                    <w:bottom w:val="none" w:sz="0" w:space="0" w:color="auto"/>
                    <w:right w:val="none" w:sz="0" w:space="0" w:color="auto"/>
                  </w:divBdr>
                </w:div>
                <w:div w:id="294155586">
                  <w:marLeft w:val="0"/>
                  <w:marRight w:val="0"/>
                  <w:marTop w:val="0"/>
                  <w:marBottom w:val="0"/>
                  <w:divBdr>
                    <w:top w:val="none" w:sz="0" w:space="0" w:color="auto"/>
                    <w:left w:val="none" w:sz="0" w:space="0" w:color="auto"/>
                    <w:bottom w:val="none" w:sz="0" w:space="0" w:color="auto"/>
                    <w:right w:val="none" w:sz="0" w:space="0" w:color="auto"/>
                  </w:divBdr>
                </w:div>
                <w:div w:id="294155720">
                  <w:marLeft w:val="0"/>
                  <w:marRight w:val="0"/>
                  <w:marTop w:val="0"/>
                  <w:marBottom w:val="0"/>
                  <w:divBdr>
                    <w:top w:val="none" w:sz="0" w:space="0" w:color="auto"/>
                    <w:left w:val="none" w:sz="0" w:space="0" w:color="auto"/>
                    <w:bottom w:val="none" w:sz="0" w:space="0" w:color="auto"/>
                    <w:right w:val="none" w:sz="0" w:space="0" w:color="auto"/>
                  </w:divBdr>
                </w:div>
                <w:div w:id="294155764">
                  <w:marLeft w:val="0"/>
                  <w:marRight w:val="0"/>
                  <w:marTop w:val="0"/>
                  <w:marBottom w:val="0"/>
                  <w:divBdr>
                    <w:top w:val="none" w:sz="0" w:space="0" w:color="auto"/>
                    <w:left w:val="none" w:sz="0" w:space="0" w:color="auto"/>
                    <w:bottom w:val="none" w:sz="0" w:space="0" w:color="auto"/>
                    <w:right w:val="none" w:sz="0" w:space="0" w:color="auto"/>
                  </w:divBdr>
                </w:div>
                <w:div w:id="294155988">
                  <w:marLeft w:val="0"/>
                  <w:marRight w:val="0"/>
                  <w:marTop w:val="0"/>
                  <w:marBottom w:val="0"/>
                  <w:divBdr>
                    <w:top w:val="none" w:sz="0" w:space="0" w:color="auto"/>
                    <w:left w:val="none" w:sz="0" w:space="0" w:color="auto"/>
                    <w:bottom w:val="none" w:sz="0" w:space="0" w:color="auto"/>
                    <w:right w:val="none" w:sz="0" w:space="0" w:color="auto"/>
                  </w:divBdr>
                </w:div>
                <w:div w:id="294155997">
                  <w:marLeft w:val="0"/>
                  <w:marRight w:val="0"/>
                  <w:marTop w:val="0"/>
                  <w:marBottom w:val="0"/>
                  <w:divBdr>
                    <w:top w:val="none" w:sz="0" w:space="0" w:color="auto"/>
                    <w:left w:val="none" w:sz="0" w:space="0" w:color="auto"/>
                    <w:bottom w:val="none" w:sz="0" w:space="0" w:color="auto"/>
                    <w:right w:val="none" w:sz="0" w:space="0" w:color="auto"/>
                  </w:divBdr>
                </w:div>
                <w:div w:id="294156017">
                  <w:marLeft w:val="0"/>
                  <w:marRight w:val="0"/>
                  <w:marTop w:val="0"/>
                  <w:marBottom w:val="0"/>
                  <w:divBdr>
                    <w:top w:val="none" w:sz="0" w:space="0" w:color="auto"/>
                    <w:left w:val="none" w:sz="0" w:space="0" w:color="auto"/>
                    <w:bottom w:val="none" w:sz="0" w:space="0" w:color="auto"/>
                    <w:right w:val="none" w:sz="0" w:space="0" w:color="auto"/>
                  </w:divBdr>
                </w:div>
                <w:div w:id="294156022">
                  <w:marLeft w:val="0"/>
                  <w:marRight w:val="0"/>
                  <w:marTop w:val="0"/>
                  <w:marBottom w:val="0"/>
                  <w:divBdr>
                    <w:top w:val="none" w:sz="0" w:space="0" w:color="auto"/>
                    <w:left w:val="none" w:sz="0" w:space="0" w:color="auto"/>
                    <w:bottom w:val="none" w:sz="0" w:space="0" w:color="auto"/>
                    <w:right w:val="none" w:sz="0" w:space="0" w:color="auto"/>
                  </w:divBdr>
                </w:div>
                <w:div w:id="294156472">
                  <w:marLeft w:val="0"/>
                  <w:marRight w:val="0"/>
                  <w:marTop w:val="0"/>
                  <w:marBottom w:val="0"/>
                  <w:divBdr>
                    <w:top w:val="none" w:sz="0" w:space="0" w:color="auto"/>
                    <w:left w:val="none" w:sz="0" w:space="0" w:color="auto"/>
                    <w:bottom w:val="none" w:sz="0" w:space="0" w:color="auto"/>
                    <w:right w:val="none" w:sz="0" w:space="0" w:color="auto"/>
                  </w:divBdr>
                </w:div>
                <w:div w:id="294156949">
                  <w:marLeft w:val="0"/>
                  <w:marRight w:val="0"/>
                  <w:marTop w:val="0"/>
                  <w:marBottom w:val="0"/>
                  <w:divBdr>
                    <w:top w:val="none" w:sz="0" w:space="0" w:color="auto"/>
                    <w:left w:val="none" w:sz="0" w:space="0" w:color="auto"/>
                    <w:bottom w:val="none" w:sz="0" w:space="0" w:color="auto"/>
                    <w:right w:val="none" w:sz="0" w:space="0" w:color="auto"/>
                  </w:divBdr>
                </w:div>
                <w:div w:id="29415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50646">
      <w:marLeft w:val="0"/>
      <w:marRight w:val="0"/>
      <w:marTop w:val="0"/>
      <w:marBottom w:val="0"/>
      <w:divBdr>
        <w:top w:val="none" w:sz="0" w:space="0" w:color="auto"/>
        <w:left w:val="none" w:sz="0" w:space="0" w:color="auto"/>
        <w:bottom w:val="none" w:sz="0" w:space="0" w:color="auto"/>
        <w:right w:val="none" w:sz="0" w:space="0" w:color="auto"/>
      </w:divBdr>
    </w:div>
    <w:div w:id="294150785">
      <w:marLeft w:val="0"/>
      <w:marRight w:val="0"/>
      <w:marTop w:val="0"/>
      <w:marBottom w:val="0"/>
      <w:divBdr>
        <w:top w:val="none" w:sz="0" w:space="0" w:color="auto"/>
        <w:left w:val="none" w:sz="0" w:space="0" w:color="auto"/>
        <w:bottom w:val="none" w:sz="0" w:space="0" w:color="auto"/>
        <w:right w:val="none" w:sz="0" w:space="0" w:color="auto"/>
      </w:divBdr>
      <w:divsChild>
        <w:div w:id="294138935">
          <w:marLeft w:val="0"/>
          <w:marRight w:val="0"/>
          <w:marTop w:val="0"/>
          <w:marBottom w:val="0"/>
          <w:divBdr>
            <w:top w:val="none" w:sz="0" w:space="0" w:color="auto"/>
            <w:left w:val="none" w:sz="0" w:space="0" w:color="auto"/>
            <w:bottom w:val="none" w:sz="0" w:space="0" w:color="auto"/>
            <w:right w:val="none" w:sz="0" w:space="0" w:color="auto"/>
          </w:divBdr>
        </w:div>
        <w:div w:id="294148882">
          <w:marLeft w:val="0"/>
          <w:marRight w:val="0"/>
          <w:marTop w:val="0"/>
          <w:marBottom w:val="0"/>
          <w:divBdr>
            <w:top w:val="none" w:sz="0" w:space="0" w:color="auto"/>
            <w:left w:val="none" w:sz="0" w:space="0" w:color="auto"/>
            <w:bottom w:val="none" w:sz="0" w:space="0" w:color="auto"/>
            <w:right w:val="none" w:sz="0" w:space="0" w:color="auto"/>
          </w:divBdr>
        </w:div>
        <w:div w:id="294155261">
          <w:marLeft w:val="0"/>
          <w:marRight w:val="0"/>
          <w:marTop w:val="0"/>
          <w:marBottom w:val="0"/>
          <w:divBdr>
            <w:top w:val="none" w:sz="0" w:space="0" w:color="auto"/>
            <w:left w:val="none" w:sz="0" w:space="0" w:color="auto"/>
            <w:bottom w:val="none" w:sz="0" w:space="0" w:color="auto"/>
            <w:right w:val="none" w:sz="0" w:space="0" w:color="auto"/>
          </w:divBdr>
        </w:div>
      </w:divsChild>
    </w:div>
    <w:div w:id="294150800">
      <w:marLeft w:val="0"/>
      <w:marRight w:val="0"/>
      <w:marTop w:val="0"/>
      <w:marBottom w:val="0"/>
      <w:divBdr>
        <w:top w:val="none" w:sz="0" w:space="0" w:color="auto"/>
        <w:left w:val="none" w:sz="0" w:space="0" w:color="auto"/>
        <w:bottom w:val="none" w:sz="0" w:space="0" w:color="auto"/>
        <w:right w:val="none" w:sz="0" w:space="0" w:color="auto"/>
      </w:divBdr>
      <w:divsChild>
        <w:div w:id="294151618">
          <w:marLeft w:val="0"/>
          <w:marRight w:val="0"/>
          <w:marTop w:val="0"/>
          <w:marBottom w:val="0"/>
          <w:divBdr>
            <w:top w:val="none" w:sz="0" w:space="0" w:color="auto"/>
            <w:left w:val="none" w:sz="0" w:space="0" w:color="auto"/>
            <w:bottom w:val="none" w:sz="0" w:space="0" w:color="auto"/>
            <w:right w:val="none" w:sz="0" w:space="0" w:color="auto"/>
          </w:divBdr>
        </w:div>
      </w:divsChild>
    </w:div>
    <w:div w:id="294150868">
      <w:marLeft w:val="0"/>
      <w:marRight w:val="0"/>
      <w:marTop w:val="0"/>
      <w:marBottom w:val="0"/>
      <w:divBdr>
        <w:top w:val="none" w:sz="0" w:space="0" w:color="auto"/>
        <w:left w:val="none" w:sz="0" w:space="0" w:color="auto"/>
        <w:bottom w:val="none" w:sz="0" w:space="0" w:color="auto"/>
        <w:right w:val="none" w:sz="0" w:space="0" w:color="auto"/>
      </w:divBdr>
      <w:divsChild>
        <w:div w:id="294143300">
          <w:marLeft w:val="0"/>
          <w:marRight w:val="0"/>
          <w:marTop w:val="0"/>
          <w:marBottom w:val="0"/>
          <w:divBdr>
            <w:top w:val="none" w:sz="0" w:space="0" w:color="auto"/>
            <w:left w:val="none" w:sz="0" w:space="0" w:color="auto"/>
            <w:bottom w:val="none" w:sz="0" w:space="0" w:color="auto"/>
            <w:right w:val="none" w:sz="0" w:space="0" w:color="auto"/>
          </w:divBdr>
        </w:div>
      </w:divsChild>
    </w:div>
    <w:div w:id="294150880">
      <w:marLeft w:val="0"/>
      <w:marRight w:val="0"/>
      <w:marTop w:val="0"/>
      <w:marBottom w:val="0"/>
      <w:divBdr>
        <w:top w:val="none" w:sz="0" w:space="0" w:color="auto"/>
        <w:left w:val="none" w:sz="0" w:space="0" w:color="auto"/>
        <w:bottom w:val="none" w:sz="0" w:space="0" w:color="auto"/>
        <w:right w:val="none" w:sz="0" w:space="0" w:color="auto"/>
      </w:divBdr>
    </w:div>
    <w:div w:id="294150885">
      <w:marLeft w:val="0"/>
      <w:marRight w:val="0"/>
      <w:marTop w:val="0"/>
      <w:marBottom w:val="0"/>
      <w:divBdr>
        <w:top w:val="none" w:sz="0" w:space="0" w:color="auto"/>
        <w:left w:val="none" w:sz="0" w:space="0" w:color="auto"/>
        <w:bottom w:val="none" w:sz="0" w:space="0" w:color="auto"/>
        <w:right w:val="none" w:sz="0" w:space="0" w:color="auto"/>
      </w:divBdr>
      <w:divsChild>
        <w:div w:id="294142097">
          <w:marLeft w:val="0"/>
          <w:marRight w:val="0"/>
          <w:marTop w:val="0"/>
          <w:marBottom w:val="0"/>
          <w:divBdr>
            <w:top w:val="none" w:sz="0" w:space="0" w:color="auto"/>
            <w:left w:val="none" w:sz="0" w:space="0" w:color="auto"/>
            <w:bottom w:val="none" w:sz="0" w:space="0" w:color="auto"/>
            <w:right w:val="none" w:sz="0" w:space="0" w:color="auto"/>
          </w:divBdr>
          <w:divsChild>
            <w:div w:id="294141200">
              <w:marLeft w:val="0"/>
              <w:marRight w:val="0"/>
              <w:marTop w:val="0"/>
              <w:marBottom w:val="0"/>
              <w:divBdr>
                <w:top w:val="none" w:sz="0" w:space="0" w:color="auto"/>
                <w:left w:val="none" w:sz="0" w:space="0" w:color="auto"/>
                <w:bottom w:val="none" w:sz="0" w:space="0" w:color="auto"/>
                <w:right w:val="none" w:sz="0" w:space="0" w:color="auto"/>
              </w:divBdr>
              <w:divsChild>
                <w:div w:id="294137993">
                  <w:marLeft w:val="0"/>
                  <w:marRight w:val="0"/>
                  <w:marTop w:val="0"/>
                  <w:marBottom w:val="0"/>
                  <w:divBdr>
                    <w:top w:val="none" w:sz="0" w:space="0" w:color="auto"/>
                    <w:left w:val="none" w:sz="0" w:space="0" w:color="auto"/>
                    <w:bottom w:val="none" w:sz="0" w:space="0" w:color="auto"/>
                    <w:right w:val="none" w:sz="0" w:space="0" w:color="auto"/>
                  </w:divBdr>
                </w:div>
                <w:div w:id="294138284">
                  <w:marLeft w:val="0"/>
                  <w:marRight w:val="0"/>
                  <w:marTop w:val="0"/>
                  <w:marBottom w:val="0"/>
                  <w:divBdr>
                    <w:top w:val="none" w:sz="0" w:space="0" w:color="auto"/>
                    <w:left w:val="none" w:sz="0" w:space="0" w:color="auto"/>
                    <w:bottom w:val="none" w:sz="0" w:space="0" w:color="auto"/>
                    <w:right w:val="none" w:sz="0" w:space="0" w:color="auto"/>
                  </w:divBdr>
                </w:div>
                <w:div w:id="294138397">
                  <w:marLeft w:val="0"/>
                  <w:marRight w:val="0"/>
                  <w:marTop w:val="0"/>
                  <w:marBottom w:val="0"/>
                  <w:divBdr>
                    <w:top w:val="none" w:sz="0" w:space="0" w:color="auto"/>
                    <w:left w:val="none" w:sz="0" w:space="0" w:color="auto"/>
                    <w:bottom w:val="none" w:sz="0" w:space="0" w:color="auto"/>
                    <w:right w:val="none" w:sz="0" w:space="0" w:color="auto"/>
                  </w:divBdr>
                </w:div>
                <w:div w:id="294138649">
                  <w:marLeft w:val="0"/>
                  <w:marRight w:val="0"/>
                  <w:marTop w:val="0"/>
                  <w:marBottom w:val="0"/>
                  <w:divBdr>
                    <w:top w:val="none" w:sz="0" w:space="0" w:color="auto"/>
                    <w:left w:val="none" w:sz="0" w:space="0" w:color="auto"/>
                    <w:bottom w:val="none" w:sz="0" w:space="0" w:color="auto"/>
                    <w:right w:val="none" w:sz="0" w:space="0" w:color="auto"/>
                  </w:divBdr>
                </w:div>
                <w:div w:id="294138798">
                  <w:marLeft w:val="0"/>
                  <w:marRight w:val="0"/>
                  <w:marTop w:val="0"/>
                  <w:marBottom w:val="0"/>
                  <w:divBdr>
                    <w:top w:val="none" w:sz="0" w:space="0" w:color="auto"/>
                    <w:left w:val="none" w:sz="0" w:space="0" w:color="auto"/>
                    <w:bottom w:val="none" w:sz="0" w:space="0" w:color="auto"/>
                    <w:right w:val="none" w:sz="0" w:space="0" w:color="auto"/>
                  </w:divBdr>
                </w:div>
                <w:div w:id="294138946">
                  <w:marLeft w:val="0"/>
                  <w:marRight w:val="0"/>
                  <w:marTop w:val="0"/>
                  <w:marBottom w:val="0"/>
                  <w:divBdr>
                    <w:top w:val="none" w:sz="0" w:space="0" w:color="auto"/>
                    <w:left w:val="none" w:sz="0" w:space="0" w:color="auto"/>
                    <w:bottom w:val="none" w:sz="0" w:space="0" w:color="auto"/>
                    <w:right w:val="none" w:sz="0" w:space="0" w:color="auto"/>
                  </w:divBdr>
                </w:div>
                <w:div w:id="294138961">
                  <w:marLeft w:val="0"/>
                  <w:marRight w:val="0"/>
                  <w:marTop w:val="0"/>
                  <w:marBottom w:val="0"/>
                  <w:divBdr>
                    <w:top w:val="none" w:sz="0" w:space="0" w:color="auto"/>
                    <w:left w:val="none" w:sz="0" w:space="0" w:color="auto"/>
                    <w:bottom w:val="none" w:sz="0" w:space="0" w:color="auto"/>
                    <w:right w:val="none" w:sz="0" w:space="0" w:color="auto"/>
                  </w:divBdr>
                </w:div>
                <w:div w:id="294139051">
                  <w:marLeft w:val="0"/>
                  <w:marRight w:val="0"/>
                  <w:marTop w:val="0"/>
                  <w:marBottom w:val="0"/>
                  <w:divBdr>
                    <w:top w:val="none" w:sz="0" w:space="0" w:color="auto"/>
                    <w:left w:val="none" w:sz="0" w:space="0" w:color="auto"/>
                    <w:bottom w:val="none" w:sz="0" w:space="0" w:color="auto"/>
                    <w:right w:val="none" w:sz="0" w:space="0" w:color="auto"/>
                  </w:divBdr>
                </w:div>
                <w:div w:id="294139143">
                  <w:marLeft w:val="0"/>
                  <w:marRight w:val="0"/>
                  <w:marTop w:val="0"/>
                  <w:marBottom w:val="0"/>
                  <w:divBdr>
                    <w:top w:val="none" w:sz="0" w:space="0" w:color="auto"/>
                    <w:left w:val="none" w:sz="0" w:space="0" w:color="auto"/>
                    <w:bottom w:val="none" w:sz="0" w:space="0" w:color="auto"/>
                    <w:right w:val="none" w:sz="0" w:space="0" w:color="auto"/>
                  </w:divBdr>
                </w:div>
                <w:div w:id="294139644">
                  <w:marLeft w:val="0"/>
                  <w:marRight w:val="0"/>
                  <w:marTop w:val="0"/>
                  <w:marBottom w:val="0"/>
                  <w:divBdr>
                    <w:top w:val="none" w:sz="0" w:space="0" w:color="auto"/>
                    <w:left w:val="none" w:sz="0" w:space="0" w:color="auto"/>
                    <w:bottom w:val="none" w:sz="0" w:space="0" w:color="auto"/>
                    <w:right w:val="none" w:sz="0" w:space="0" w:color="auto"/>
                  </w:divBdr>
                </w:div>
                <w:div w:id="294139662">
                  <w:marLeft w:val="0"/>
                  <w:marRight w:val="0"/>
                  <w:marTop w:val="0"/>
                  <w:marBottom w:val="0"/>
                  <w:divBdr>
                    <w:top w:val="none" w:sz="0" w:space="0" w:color="auto"/>
                    <w:left w:val="none" w:sz="0" w:space="0" w:color="auto"/>
                    <w:bottom w:val="none" w:sz="0" w:space="0" w:color="auto"/>
                    <w:right w:val="none" w:sz="0" w:space="0" w:color="auto"/>
                  </w:divBdr>
                </w:div>
                <w:div w:id="294139803">
                  <w:marLeft w:val="0"/>
                  <w:marRight w:val="0"/>
                  <w:marTop w:val="0"/>
                  <w:marBottom w:val="0"/>
                  <w:divBdr>
                    <w:top w:val="none" w:sz="0" w:space="0" w:color="auto"/>
                    <w:left w:val="none" w:sz="0" w:space="0" w:color="auto"/>
                    <w:bottom w:val="none" w:sz="0" w:space="0" w:color="auto"/>
                    <w:right w:val="none" w:sz="0" w:space="0" w:color="auto"/>
                  </w:divBdr>
                </w:div>
                <w:div w:id="294139862">
                  <w:marLeft w:val="0"/>
                  <w:marRight w:val="0"/>
                  <w:marTop w:val="0"/>
                  <w:marBottom w:val="0"/>
                  <w:divBdr>
                    <w:top w:val="none" w:sz="0" w:space="0" w:color="auto"/>
                    <w:left w:val="none" w:sz="0" w:space="0" w:color="auto"/>
                    <w:bottom w:val="none" w:sz="0" w:space="0" w:color="auto"/>
                    <w:right w:val="none" w:sz="0" w:space="0" w:color="auto"/>
                  </w:divBdr>
                </w:div>
                <w:div w:id="294140000">
                  <w:marLeft w:val="0"/>
                  <w:marRight w:val="0"/>
                  <w:marTop w:val="0"/>
                  <w:marBottom w:val="0"/>
                  <w:divBdr>
                    <w:top w:val="none" w:sz="0" w:space="0" w:color="auto"/>
                    <w:left w:val="none" w:sz="0" w:space="0" w:color="auto"/>
                    <w:bottom w:val="none" w:sz="0" w:space="0" w:color="auto"/>
                    <w:right w:val="none" w:sz="0" w:space="0" w:color="auto"/>
                  </w:divBdr>
                </w:div>
                <w:div w:id="294140017">
                  <w:marLeft w:val="0"/>
                  <w:marRight w:val="0"/>
                  <w:marTop w:val="0"/>
                  <w:marBottom w:val="0"/>
                  <w:divBdr>
                    <w:top w:val="none" w:sz="0" w:space="0" w:color="auto"/>
                    <w:left w:val="none" w:sz="0" w:space="0" w:color="auto"/>
                    <w:bottom w:val="none" w:sz="0" w:space="0" w:color="auto"/>
                    <w:right w:val="none" w:sz="0" w:space="0" w:color="auto"/>
                  </w:divBdr>
                </w:div>
                <w:div w:id="294140449">
                  <w:marLeft w:val="0"/>
                  <w:marRight w:val="0"/>
                  <w:marTop w:val="0"/>
                  <w:marBottom w:val="0"/>
                  <w:divBdr>
                    <w:top w:val="none" w:sz="0" w:space="0" w:color="auto"/>
                    <w:left w:val="none" w:sz="0" w:space="0" w:color="auto"/>
                    <w:bottom w:val="none" w:sz="0" w:space="0" w:color="auto"/>
                    <w:right w:val="none" w:sz="0" w:space="0" w:color="auto"/>
                  </w:divBdr>
                </w:div>
                <w:div w:id="294140534">
                  <w:marLeft w:val="0"/>
                  <w:marRight w:val="0"/>
                  <w:marTop w:val="0"/>
                  <w:marBottom w:val="0"/>
                  <w:divBdr>
                    <w:top w:val="none" w:sz="0" w:space="0" w:color="auto"/>
                    <w:left w:val="none" w:sz="0" w:space="0" w:color="auto"/>
                    <w:bottom w:val="none" w:sz="0" w:space="0" w:color="auto"/>
                    <w:right w:val="none" w:sz="0" w:space="0" w:color="auto"/>
                  </w:divBdr>
                </w:div>
                <w:div w:id="294140633">
                  <w:marLeft w:val="0"/>
                  <w:marRight w:val="0"/>
                  <w:marTop w:val="0"/>
                  <w:marBottom w:val="0"/>
                  <w:divBdr>
                    <w:top w:val="none" w:sz="0" w:space="0" w:color="auto"/>
                    <w:left w:val="none" w:sz="0" w:space="0" w:color="auto"/>
                    <w:bottom w:val="none" w:sz="0" w:space="0" w:color="auto"/>
                    <w:right w:val="none" w:sz="0" w:space="0" w:color="auto"/>
                  </w:divBdr>
                </w:div>
                <w:div w:id="294140868">
                  <w:marLeft w:val="0"/>
                  <w:marRight w:val="0"/>
                  <w:marTop w:val="0"/>
                  <w:marBottom w:val="0"/>
                  <w:divBdr>
                    <w:top w:val="none" w:sz="0" w:space="0" w:color="auto"/>
                    <w:left w:val="none" w:sz="0" w:space="0" w:color="auto"/>
                    <w:bottom w:val="none" w:sz="0" w:space="0" w:color="auto"/>
                    <w:right w:val="none" w:sz="0" w:space="0" w:color="auto"/>
                  </w:divBdr>
                </w:div>
                <w:div w:id="294140903">
                  <w:marLeft w:val="0"/>
                  <w:marRight w:val="0"/>
                  <w:marTop w:val="0"/>
                  <w:marBottom w:val="0"/>
                  <w:divBdr>
                    <w:top w:val="none" w:sz="0" w:space="0" w:color="auto"/>
                    <w:left w:val="none" w:sz="0" w:space="0" w:color="auto"/>
                    <w:bottom w:val="none" w:sz="0" w:space="0" w:color="auto"/>
                    <w:right w:val="none" w:sz="0" w:space="0" w:color="auto"/>
                  </w:divBdr>
                </w:div>
                <w:div w:id="294140979">
                  <w:marLeft w:val="0"/>
                  <w:marRight w:val="0"/>
                  <w:marTop w:val="0"/>
                  <w:marBottom w:val="0"/>
                  <w:divBdr>
                    <w:top w:val="none" w:sz="0" w:space="0" w:color="auto"/>
                    <w:left w:val="none" w:sz="0" w:space="0" w:color="auto"/>
                    <w:bottom w:val="none" w:sz="0" w:space="0" w:color="auto"/>
                    <w:right w:val="none" w:sz="0" w:space="0" w:color="auto"/>
                  </w:divBdr>
                </w:div>
                <w:div w:id="294141067">
                  <w:marLeft w:val="0"/>
                  <w:marRight w:val="0"/>
                  <w:marTop w:val="0"/>
                  <w:marBottom w:val="0"/>
                  <w:divBdr>
                    <w:top w:val="none" w:sz="0" w:space="0" w:color="auto"/>
                    <w:left w:val="none" w:sz="0" w:space="0" w:color="auto"/>
                    <w:bottom w:val="none" w:sz="0" w:space="0" w:color="auto"/>
                    <w:right w:val="none" w:sz="0" w:space="0" w:color="auto"/>
                  </w:divBdr>
                </w:div>
                <w:div w:id="294141172">
                  <w:marLeft w:val="0"/>
                  <w:marRight w:val="0"/>
                  <w:marTop w:val="0"/>
                  <w:marBottom w:val="0"/>
                  <w:divBdr>
                    <w:top w:val="none" w:sz="0" w:space="0" w:color="auto"/>
                    <w:left w:val="none" w:sz="0" w:space="0" w:color="auto"/>
                    <w:bottom w:val="none" w:sz="0" w:space="0" w:color="auto"/>
                    <w:right w:val="none" w:sz="0" w:space="0" w:color="auto"/>
                  </w:divBdr>
                </w:div>
                <w:div w:id="294141173">
                  <w:marLeft w:val="0"/>
                  <w:marRight w:val="0"/>
                  <w:marTop w:val="0"/>
                  <w:marBottom w:val="0"/>
                  <w:divBdr>
                    <w:top w:val="none" w:sz="0" w:space="0" w:color="auto"/>
                    <w:left w:val="none" w:sz="0" w:space="0" w:color="auto"/>
                    <w:bottom w:val="none" w:sz="0" w:space="0" w:color="auto"/>
                    <w:right w:val="none" w:sz="0" w:space="0" w:color="auto"/>
                  </w:divBdr>
                </w:div>
                <w:div w:id="294141720">
                  <w:marLeft w:val="0"/>
                  <w:marRight w:val="0"/>
                  <w:marTop w:val="0"/>
                  <w:marBottom w:val="0"/>
                  <w:divBdr>
                    <w:top w:val="none" w:sz="0" w:space="0" w:color="auto"/>
                    <w:left w:val="none" w:sz="0" w:space="0" w:color="auto"/>
                    <w:bottom w:val="none" w:sz="0" w:space="0" w:color="auto"/>
                    <w:right w:val="none" w:sz="0" w:space="0" w:color="auto"/>
                  </w:divBdr>
                </w:div>
                <w:div w:id="294141763">
                  <w:marLeft w:val="0"/>
                  <w:marRight w:val="0"/>
                  <w:marTop w:val="0"/>
                  <w:marBottom w:val="0"/>
                  <w:divBdr>
                    <w:top w:val="none" w:sz="0" w:space="0" w:color="auto"/>
                    <w:left w:val="none" w:sz="0" w:space="0" w:color="auto"/>
                    <w:bottom w:val="none" w:sz="0" w:space="0" w:color="auto"/>
                    <w:right w:val="none" w:sz="0" w:space="0" w:color="auto"/>
                  </w:divBdr>
                </w:div>
                <w:div w:id="294141773">
                  <w:marLeft w:val="0"/>
                  <w:marRight w:val="0"/>
                  <w:marTop w:val="0"/>
                  <w:marBottom w:val="0"/>
                  <w:divBdr>
                    <w:top w:val="none" w:sz="0" w:space="0" w:color="auto"/>
                    <w:left w:val="none" w:sz="0" w:space="0" w:color="auto"/>
                    <w:bottom w:val="none" w:sz="0" w:space="0" w:color="auto"/>
                    <w:right w:val="none" w:sz="0" w:space="0" w:color="auto"/>
                  </w:divBdr>
                </w:div>
                <w:div w:id="294142036">
                  <w:marLeft w:val="0"/>
                  <w:marRight w:val="0"/>
                  <w:marTop w:val="0"/>
                  <w:marBottom w:val="0"/>
                  <w:divBdr>
                    <w:top w:val="none" w:sz="0" w:space="0" w:color="auto"/>
                    <w:left w:val="none" w:sz="0" w:space="0" w:color="auto"/>
                    <w:bottom w:val="none" w:sz="0" w:space="0" w:color="auto"/>
                    <w:right w:val="none" w:sz="0" w:space="0" w:color="auto"/>
                  </w:divBdr>
                </w:div>
                <w:div w:id="294142044">
                  <w:marLeft w:val="0"/>
                  <w:marRight w:val="0"/>
                  <w:marTop w:val="0"/>
                  <w:marBottom w:val="0"/>
                  <w:divBdr>
                    <w:top w:val="none" w:sz="0" w:space="0" w:color="auto"/>
                    <w:left w:val="none" w:sz="0" w:space="0" w:color="auto"/>
                    <w:bottom w:val="none" w:sz="0" w:space="0" w:color="auto"/>
                    <w:right w:val="none" w:sz="0" w:space="0" w:color="auto"/>
                  </w:divBdr>
                </w:div>
                <w:div w:id="294142203">
                  <w:marLeft w:val="0"/>
                  <w:marRight w:val="0"/>
                  <w:marTop w:val="0"/>
                  <w:marBottom w:val="0"/>
                  <w:divBdr>
                    <w:top w:val="none" w:sz="0" w:space="0" w:color="auto"/>
                    <w:left w:val="none" w:sz="0" w:space="0" w:color="auto"/>
                    <w:bottom w:val="none" w:sz="0" w:space="0" w:color="auto"/>
                    <w:right w:val="none" w:sz="0" w:space="0" w:color="auto"/>
                  </w:divBdr>
                </w:div>
                <w:div w:id="294142394">
                  <w:marLeft w:val="0"/>
                  <w:marRight w:val="0"/>
                  <w:marTop w:val="0"/>
                  <w:marBottom w:val="0"/>
                  <w:divBdr>
                    <w:top w:val="none" w:sz="0" w:space="0" w:color="auto"/>
                    <w:left w:val="none" w:sz="0" w:space="0" w:color="auto"/>
                    <w:bottom w:val="none" w:sz="0" w:space="0" w:color="auto"/>
                    <w:right w:val="none" w:sz="0" w:space="0" w:color="auto"/>
                  </w:divBdr>
                </w:div>
                <w:div w:id="294142488">
                  <w:marLeft w:val="0"/>
                  <w:marRight w:val="0"/>
                  <w:marTop w:val="0"/>
                  <w:marBottom w:val="0"/>
                  <w:divBdr>
                    <w:top w:val="none" w:sz="0" w:space="0" w:color="auto"/>
                    <w:left w:val="none" w:sz="0" w:space="0" w:color="auto"/>
                    <w:bottom w:val="none" w:sz="0" w:space="0" w:color="auto"/>
                    <w:right w:val="none" w:sz="0" w:space="0" w:color="auto"/>
                  </w:divBdr>
                </w:div>
                <w:div w:id="294142601">
                  <w:marLeft w:val="0"/>
                  <w:marRight w:val="0"/>
                  <w:marTop w:val="0"/>
                  <w:marBottom w:val="0"/>
                  <w:divBdr>
                    <w:top w:val="none" w:sz="0" w:space="0" w:color="auto"/>
                    <w:left w:val="none" w:sz="0" w:space="0" w:color="auto"/>
                    <w:bottom w:val="none" w:sz="0" w:space="0" w:color="auto"/>
                    <w:right w:val="none" w:sz="0" w:space="0" w:color="auto"/>
                  </w:divBdr>
                </w:div>
                <w:div w:id="294142631">
                  <w:marLeft w:val="0"/>
                  <w:marRight w:val="0"/>
                  <w:marTop w:val="0"/>
                  <w:marBottom w:val="0"/>
                  <w:divBdr>
                    <w:top w:val="none" w:sz="0" w:space="0" w:color="auto"/>
                    <w:left w:val="none" w:sz="0" w:space="0" w:color="auto"/>
                    <w:bottom w:val="none" w:sz="0" w:space="0" w:color="auto"/>
                    <w:right w:val="none" w:sz="0" w:space="0" w:color="auto"/>
                  </w:divBdr>
                </w:div>
                <w:div w:id="294142692">
                  <w:marLeft w:val="0"/>
                  <w:marRight w:val="0"/>
                  <w:marTop w:val="0"/>
                  <w:marBottom w:val="0"/>
                  <w:divBdr>
                    <w:top w:val="none" w:sz="0" w:space="0" w:color="auto"/>
                    <w:left w:val="none" w:sz="0" w:space="0" w:color="auto"/>
                    <w:bottom w:val="none" w:sz="0" w:space="0" w:color="auto"/>
                    <w:right w:val="none" w:sz="0" w:space="0" w:color="auto"/>
                  </w:divBdr>
                </w:div>
                <w:div w:id="294142705">
                  <w:marLeft w:val="0"/>
                  <w:marRight w:val="0"/>
                  <w:marTop w:val="0"/>
                  <w:marBottom w:val="0"/>
                  <w:divBdr>
                    <w:top w:val="none" w:sz="0" w:space="0" w:color="auto"/>
                    <w:left w:val="none" w:sz="0" w:space="0" w:color="auto"/>
                    <w:bottom w:val="none" w:sz="0" w:space="0" w:color="auto"/>
                    <w:right w:val="none" w:sz="0" w:space="0" w:color="auto"/>
                  </w:divBdr>
                </w:div>
                <w:div w:id="294142732">
                  <w:marLeft w:val="0"/>
                  <w:marRight w:val="0"/>
                  <w:marTop w:val="0"/>
                  <w:marBottom w:val="0"/>
                  <w:divBdr>
                    <w:top w:val="none" w:sz="0" w:space="0" w:color="auto"/>
                    <w:left w:val="none" w:sz="0" w:space="0" w:color="auto"/>
                    <w:bottom w:val="none" w:sz="0" w:space="0" w:color="auto"/>
                    <w:right w:val="none" w:sz="0" w:space="0" w:color="auto"/>
                  </w:divBdr>
                </w:div>
                <w:div w:id="294142833">
                  <w:marLeft w:val="0"/>
                  <w:marRight w:val="0"/>
                  <w:marTop w:val="0"/>
                  <w:marBottom w:val="0"/>
                  <w:divBdr>
                    <w:top w:val="none" w:sz="0" w:space="0" w:color="auto"/>
                    <w:left w:val="none" w:sz="0" w:space="0" w:color="auto"/>
                    <w:bottom w:val="none" w:sz="0" w:space="0" w:color="auto"/>
                    <w:right w:val="none" w:sz="0" w:space="0" w:color="auto"/>
                  </w:divBdr>
                </w:div>
                <w:div w:id="294143175">
                  <w:marLeft w:val="0"/>
                  <w:marRight w:val="0"/>
                  <w:marTop w:val="0"/>
                  <w:marBottom w:val="0"/>
                  <w:divBdr>
                    <w:top w:val="none" w:sz="0" w:space="0" w:color="auto"/>
                    <w:left w:val="none" w:sz="0" w:space="0" w:color="auto"/>
                    <w:bottom w:val="none" w:sz="0" w:space="0" w:color="auto"/>
                    <w:right w:val="none" w:sz="0" w:space="0" w:color="auto"/>
                  </w:divBdr>
                </w:div>
                <w:div w:id="294143221">
                  <w:marLeft w:val="0"/>
                  <w:marRight w:val="0"/>
                  <w:marTop w:val="0"/>
                  <w:marBottom w:val="0"/>
                  <w:divBdr>
                    <w:top w:val="none" w:sz="0" w:space="0" w:color="auto"/>
                    <w:left w:val="none" w:sz="0" w:space="0" w:color="auto"/>
                    <w:bottom w:val="none" w:sz="0" w:space="0" w:color="auto"/>
                    <w:right w:val="none" w:sz="0" w:space="0" w:color="auto"/>
                  </w:divBdr>
                </w:div>
                <w:div w:id="294143592">
                  <w:marLeft w:val="0"/>
                  <w:marRight w:val="0"/>
                  <w:marTop w:val="0"/>
                  <w:marBottom w:val="0"/>
                  <w:divBdr>
                    <w:top w:val="none" w:sz="0" w:space="0" w:color="auto"/>
                    <w:left w:val="none" w:sz="0" w:space="0" w:color="auto"/>
                    <w:bottom w:val="none" w:sz="0" w:space="0" w:color="auto"/>
                    <w:right w:val="none" w:sz="0" w:space="0" w:color="auto"/>
                  </w:divBdr>
                </w:div>
                <w:div w:id="294143598">
                  <w:marLeft w:val="0"/>
                  <w:marRight w:val="0"/>
                  <w:marTop w:val="0"/>
                  <w:marBottom w:val="0"/>
                  <w:divBdr>
                    <w:top w:val="none" w:sz="0" w:space="0" w:color="auto"/>
                    <w:left w:val="none" w:sz="0" w:space="0" w:color="auto"/>
                    <w:bottom w:val="none" w:sz="0" w:space="0" w:color="auto"/>
                    <w:right w:val="none" w:sz="0" w:space="0" w:color="auto"/>
                  </w:divBdr>
                </w:div>
                <w:div w:id="294143839">
                  <w:marLeft w:val="0"/>
                  <w:marRight w:val="0"/>
                  <w:marTop w:val="0"/>
                  <w:marBottom w:val="0"/>
                  <w:divBdr>
                    <w:top w:val="none" w:sz="0" w:space="0" w:color="auto"/>
                    <w:left w:val="none" w:sz="0" w:space="0" w:color="auto"/>
                    <w:bottom w:val="none" w:sz="0" w:space="0" w:color="auto"/>
                    <w:right w:val="none" w:sz="0" w:space="0" w:color="auto"/>
                  </w:divBdr>
                </w:div>
                <w:div w:id="294143947">
                  <w:marLeft w:val="0"/>
                  <w:marRight w:val="0"/>
                  <w:marTop w:val="0"/>
                  <w:marBottom w:val="0"/>
                  <w:divBdr>
                    <w:top w:val="none" w:sz="0" w:space="0" w:color="auto"/>
                    <w:left w:val="none" w:sz="0" w:space="0" w:color="auto"/>
                    <w:bottom w:val="none" w:sz="0" w:space="0" w:color="auto"/>
                    <w:right w:val="none" w:sz="0" w:space="0" w:color="auto"/>
                  </w:divBdr>
                </w:div>
                <w:div w:id="294144243">
                  <w:marLeft w:val="0"/>
                  <w:marRight w:val="0"/>
                  <w:marTop w:val="0"/>
                  <w:marBottom w:val="0"/>
                  <w:divBdr>
                    <w:top w:val="none" w:sz="0" w:space="0" w:color="auto"/>
                    <w:left w:val="none" w:sz="0" w:space="0" w:color="auto"/>
                    <w:bottom w:val="none" w:sz="0" w:space="0" w:color="auto"/>
                    <w:right w:val="none" w:sz="0" w:space="0" w:color="auto"/>
                  </w:divBdr>
                </w:div>
                <w:div w:id="294144260">
                  <w:marLeft w:val="0"/>
                  <w:marRight w:val="0"/>
                  <w:marTop w:val="0"/>
                  <w:marBottom w:val="0"/>
                  <w:divBdr>
                    <w:top w:val="none" w:sz="0" w:space="0" w:color="auto"/>
                    <w:left w:val="none" w:sz="0" w:space="0" w:color="auto"/>
                    <w:bottom w:val="none" w:sz="0" w:space="0" w:color="auto"/>
                    <w:right w:val="none" w:sz="0" w:space="0" w:color="auto"/>
                  </w:divBdr>
                </w:div>
                <w:div w:id="294144652">
                  <w:marLeft w:val="0"/>
                  <w:marRight w:val="0"/>
                  <w:marTop w:val="0"/>
                  <w:marBottom w:val="0"/>
                  <w:divBdr>
                    <w:top w:val="none" w:sz="0" w:space="0" w:color="auto"/>
                    <w:left w:val="none" w:sz="0" w:space="0" w:color="auto"/>
                    <w:bottom w:val="none" w:sz="0" w:space="0" w:color="auto"/>
                    <w:right w:val="none" w:sz="0" w:space="0" w:color="auto"/>
                  </w:divBdr>
                </w:div>
                <w:div w:id="294144857">
                  <w:marLeft w:val="0"/>
                  <w:marRight w:val="0"/>
                  <w:marTop w:val="0"/>
                  <w:marBottom w:val="0"/>
                  <w:divBdr>
                    <w:top w:val="none" w:sz="0" w:space="0" w:color="auto"/>
                    <w:left w:val="none" w:sz="0" w:space="0" w:color="auto"/>
                    <w:bottom w:val="none" w:sz="0" w:space="0" w:color="auto"/>
                    <w:right w:val="none" w:sz="0" w:space="0" w:color="auto"/>
                  </w:divBdr>
                </w:div>
                <w:div w:id="294144880">
                  <w:marLeft w:val="0"/>
                  <w:marRight w:val="0"/>
                  <w:marTop w:val="0"/>
                  <w:marBottom w:val="0"/>
                  <w:divBdr>
                    <w:top w:val="none" w:sz="0" w:space="0" w:color="auto"/>
                    <w:left w:val="none" w:sz="0" w:space="0" w:color="auto"/>
                    <w:bottom w:val="none" w:sz="0" w:space="0" w:color="auto"/>
                    <w:right w:val="none" w:sz="0" w:space="0" w:color="auto"/>
                  </w:divBdr>
                </w:div>
                <w:div w:id="294145026">
                  <w:marLeft w:val="0"/>
                  <w:marRight w:val="0"/>
                  <w:marTop w:val="0"/>
                  <w:marBottom w:val="0"/>
                  <w:divBdr>
                    <w:top w:val="none" w:sz="0" w:space="0" w:color="auto"/>
                    <w:left w:val="none" w:sz="0" w:space="0" w:color="auto"/>
                    <w:bottom w:val="none" w:sz="0" w:space="0" w:color="auto"/>
                    <w:right w:val="none" w:sz="0" w:space="0" w:color="auto"/>
                  </w:divBdr>
                </w:div>
                <w:div w:id="294145443">
                  <w:marLeft w:val="0"/>
                  <w:marRight w:val="0"/>
                  <w:marTop w:val="0"/>
                  <w:marBottom w:val="0"/>
                  <w:divBdr>
                    <w:top w:val="none" w:sz="0" w:space="0" w:color="auto"/>
                    <w:left w:val="none" w:sz="0" w:space="0" w:color="auto"/>
                    <w:bottom w:val="none" w:sz="0" w:space="0" w:color="auto"/>
                    <w:right w:val="none" w:sz="0" w:space="0" w:color="auto"/>
                  </w:divBdr>
                </w:div>
                <w:div w:id="294145792">
                  <w:marLeft w:val="0"/>
                  <w:marRight w:val="0"/>
                  <w:marTop w:val="0"/>
                  <w:marBottom w:val="0"/>
                  <w:divBdr>
                    <w:top w:val="none" w:sz="0" w:space="0" w:color="auto"/>
                    <w:left w:val="none" w:sz="0" w:space="0" w:color="auto"/>
                    <w:bottom w:val="none" w:sz="0" w:space="0" w:color="auto"/>
                    <w:right w:val="none" w:sz="0" w:space="0" w:color="auto"/>
                  </w:divBdr>
                </w:div>
                <w:div w:id="294145816">
                  <w:marLeft w:val="0"/>
                  <w:marRight w:val="0"/>
                  <w:marTop w:val="0"/>
                  <w:marBottom w:val="0"/>
                  <w:divBdr>
                    <w:top w:val="none" w:sz="0" w:space="0" w:color="auto"/>
                    <w:left w:val="none" w:sz="0" w:space="0" w:color="auto"/>
                    <w:bottom w:val="none" w:sz="0" w:space="0" w:color="auto"/>
                    <w:right w:val="none" w:sz="0" w:space="0" w:color="auto"/>
                  </w:divBdr>
                </w:div>
                <w:div w:id="294145833">
                  <w:marLeft w:val="0"/>
                  <w:marRight w:val="0"/>
                  <w:marTop w:val="0"/>
                  <w:marBottom w:val="0"/>
                  <w:divBdr>
                    <w:top w:val="none" w:sz="0" w:space="0" w:color="auto"/>
                    <w:left w:val="none" w:sz="0" w:space="0" w:color="auto"/>
                    <w:bottom w:val="none" w:sz="0" w:space="0" w:color="auto"/>
                    <w:right w:val="none" w:sz="0" w:space="0" w:color="auto"/>
                  </w:divBdr>
                </w:div>
                <w:div w:id="294145844">
                  <w:marLeft w:val="0"/>
                  <w:marRight w:val="0"/>
                  <w:marTop w:val="0"/>
                  <w:marBottom w:val="0"/>
                  <w:divBdr>
                    <w:top w:val="none" w:sz="0" w:space="0" w:color="auto"/>
                    <w:left w:val="none" w:sz="0" w:space="0" w:color="auto"/>
                    <w:bottom w:val="none" w:sz="0" w:space="0" w:color="auto"/>
                    <w:right w:val="none" w:sz="0" w:space="0" w:color="auto"/>
                  </w:divBdr>
                </w:div>
                <w:div w:id="294145997">
                  <w:marLeft w:val="0"/>
                  <w:marRight w:val="0"/>
                  <w:marTop w:val="0"/>
                  <w:marBottom w:val="0"/>
                  <w:divBdr>
                    <w:top w:val="none" w:sz="0" w:space="0" w:color="auto"/>
                    <w:left w:val="none" w:sz="0" w:space="0" w:color="auto"/>
                    <w:bottom w:val="none" w:sz="0" w:space="0" w:color="auto"/>
                    <w:right w:val="none" w:sz="0" w:space="0" w:color="auto"/>
                  </w:divBdr>
                </w:div>
                <w:div w:id="294146177">
                  <w:marLeft w:val="0"/>
                  <w:marRight w:val="0"/>
                  <w:marTop w:val="0"/>
                  <w:marBottom w:val="0"/>
                  <w:divBdr>
                    <w:top w:val="none" w:sz="0" w:space="0" w:color="auto"/>
                    <w:left w:val="none" w:sz="0" w:space="0" w:color="auto"/>
                    <w:bottom w:val="none" w:sz="0" w:space="0" w:color="auto"/>
                    <w:right w:val="none" w:sz="0" w:space="0" w:color="auto"/>
                  </w:divBdr>
                </w:div>
                <w:div w:id="294146451">
                  <w:marLeft w:val="0"/>
                  <w:marRight w:val="0"/>
                  <w:marTop w:val="0"/>
                  <w:marBottom w:val="0"/>
                  <w:divBdr>
                    <w:top w:val="none" w:sz="0" w:space="0" w:color="auto"/>
                    <w:left w:val="none" w:sz="0" w:space="0" w:color="auto"/>
                    <w:bottom w:val="none" w:sz="0" w:space="0" w:color="auto"/>
                    <w:right w:val="none" w:sz="0" w:space="0" w:color="auto"/>
                  </w:divBdr>
                </w:div>
                <w:div w:id="294147138">
                  <w:marLeft w:val="0"/>
                  <w:marRight w:val="0"/>
                  <w:marTop w:val="0"/>
                  <w:marBottom w:val="0"/>
                  <w:divBdr>
                    <w:top w:val="none" w:sz="0" w:space="0" w:color="auto"/>
                    <w:left w:val="none" w:sz="0" w:space="0" w:color="auto"/>
                    <w:bottom w:val="none" w:sz="0" w:space="0" w:color="auto"/>
                    <w:right w:val="none" w:sz="0" w:space="0" w:color="auto"/>
                  </w:divBdr>
                </w:div>
                <w:div w:id="294147143">
                  <w:marLeft w:val="0"/>
                  <w:marRight w:val="0"/>
                  <w:marTop w:val="0"/>
                  <w:marBottom w:val="0"/>
                  <w:divBdr>
                    <w:top w:val="none" w:sz="0" w:space="0" w:color="auto"/>
                    <w:left w:val="none" w:sz="0" w:space="0" w:color="auto"/>
                    <w:bottom w:val="none" w:sz="0" w:space="0" w:color="auto"/>
                    <w:right w:val="none" w:sz="0" w:space="0" w:color="auto"/>
                  </w:divBdr>
                </w:div>
                <w:div w:id="294147167">
                  <w:marLeft w:val="0"/>
                  <w:marRight w:val="0"/>
                  <w:marTop w:val="0"/>
                  <w:marBottom w:val="0"/>
                  <w:divBdr>
                    <w:top w:val="none" w:sz="0" w:space="0" w:color="auto"/>
                    <w:left w:val="none" w:sz="0" w:space="0" w:color="auto"/>
                    <w:bottom w:val="none" w:sz="0" w:space="0" w:color="auto"/>
                    <w:right w:val="none" w:sz="0" w:space="0" w:color="auto"/>
                  </w:divBdr>
                </w:div>
                <w:div w:id="294147198">
                  <w:marLeft w:val="0"/>
                  <w:marRight w:val="0"/>
                  <w:marTop w:val="0"/>
                  <w:marBottom w:val="0"/>
                  <w:divBdr>
                    <w:top w:val="none" w:sz="0" w:space="0" w:color="auto"/>
                    <w:left w:val="none" w:sz="0" w:space="0" w:color="auto"/>
                    <w:bottom w:val="none" w:sz="0" w:space="0" w:color="auto"/>
                    <w:right w:val="none" w:sz="0" w:space="0" w:color="auto"/>
                  </w:divBdr>
                </w:div>
                <w:div w:id="294147370">
                  <w:marLeft w:val="0"/>
                  <w:marRight w:val="0"/>
                  <w:marTop w:val="0"/>
                  <w:marBottom w:val="0"/>
                  <w:divBdr>
                    <w:top w:val="none" w:sz="0" w:space="0" w:color="auto"/>
                    <w:left w:val="none" w:sz="0" w:space="0" w:color="auto"/>
                    <w:bottom w:val="none" w:sz="0" w:space="0" w:color="auto"/>
                    <w:right w:val="none" w:sz="0" w:space="0" w:color="auto"/>
                  </w:divBdr>
                </w:div>
                <w:div w:id="294147506">
                  <w:marLeft w:val="0"/>
                  <w:marRight w:val="0"/>
                  <w:marTop w:val="0"/>
                  <w:marBottom w:val="0"/>
                  <w:divBdr>
                    <w:top w:val="none" w:sz="0" w:space="0" w:color="auto"/>
                    <w:left w:val="none" w:sz="0" w:space="0" w:color="auto"/>
                    <w:bottom w:val="none" w:sz="0" w:space="0" w:color="auto"/>
                    <w:right w:val="none" w:sz="0" w:space="0" w:color="auto"/>
                  </w:divBdr>
                </w:div>
                <w:div w:id="294147666">
                  <w:marLeft w:val="0"/>
                  <w:marRight w:val="0"/>
                  <w:marTop w:val="0"/>
                  <w:marBottom w:val="0"/>
                  <w:divBdr>
                    <w:top w:val="none" w:sz="0" w:space="0" w:color="auto"/>
                    <w:left w:val="none" w:sz="0" w:space="0" w:color="auto"/>
                    <w:bottom w:val="none" w:sz="0" w:space="0" w:color="auto"/>
                    <w:right w:val="none" w:sz="0" w:space="0" w:color="auto"/>
                  </w:divBdr>
                </w:div>
                <w:div w:id="294147863">
                  <w:marLeft w:val="0"/>
                  <w:marRight w:val="0"/>
                  <w:marTop w:val="0"/>
                  <w:marBottom w:val="0"/>
                  <w:divBdr>
                    <w:top w:val="none" w:sz="0" w:space="0" w:color="auto"/>
                    <w:left w:val="none" w:sz="0" w:space="0" w:color="auto"/>
                    <w:bottom w:val="none" w:sz="0" w:space="0" w:color="auto"/>
                    <w:right w:val="none" w:sz="0" w:space="0" w:color="auto"/>
                  </w:divBdr>
                </w:div>
                <w:div w:id="294147926">
                  <w:marLeft w:val="0"/>
                  <w:marRight w:val="0"/>
                  <w:marTop w:val="0"/>
                  <w:marBottom w:val="0"/>
                  <w:divBdr>
                    <w:top w:val="none" w:sz="0" w:space="0" w:color="auto"/>
                    <w:left w:val="none" w:sz="0" w:space="0" w:color="auto"/>
                    <w:bottom w:val="none" w:sz="0" w:space="0" w:color="auto"/>
                    <w:right w:val="none" w:sz="0" w:space="0" w:color="auto"/>
                  </w:divBdr>
                </w:div>
                <w:div w:id="294148189">
                  <w:marLeft w:val="0"/>
                  <w:marRight w:val="0"/>
                  <w:marTop w:val="0"/>
                  <w:marBottom w:val="0"/>
                  <w:divBdr>
                    <w:top w:val="none" w:sz="0" w:space="0" w:color="auto"/>
                    <w:left w:val="none" w:sz="0" w:space="0" w:color="auto"/>
                    <w:bottom w:val="none" w:sz="0" w:space="0" w:color="auto"/>
                    <w:right w:val="none" w:sz="0" w:space="0" w:color="auto"/>
                  </w:divBdr>
                </w:div>
                <w:div w:id="294148340">
                  <w:marLeft w:val="0"/>
                  <w:marRight w:val="0"/>
                  <w:marTop w:val="0"/>
                  <w:marBottom w:val="0"/>
                  <w:divBdr>
                    <w:top w:val="none" w:sz="0" w:space="0" w:color="auto"/>
                    <w:left w:val="none" w:sz="0" w:space="0" w:color="auto"/>
                    <w:bottom w:val="none" w:sz="0" w:space="0" w:color="auto"/>
                    <w:right w:val="none" w:sz="0" w:space="0" w:color="auto"/>
                  </w:divBdr>
                </w:div>
                <w:div w:id="294148696">
                  <w:marLeft w:val="0"/>
                  <w:marRight w:val="0"/>
                  <w:marTop w:val="0"/>
                  <w:marBottom w:val="0"/>
                  <w:divBdr>
                    <w:top w:val="none" w:sz="0" w:space="0" w:color="auto"/>
                    <w:left w:val="none" w:sz="0" w:space="0" w:color="auto"/>
                    <w:bottom w:val="none" w:sz="0" w:space="0" w:color="auto"/>
                    <w:right w:val="none" w:sz="0" w:space="0" w:color="auto"/>
                  </w:divBdr>
                </w:div>
                <w:div w:id="294148738">
                  <w:marLeft w:val="0"/>
                  <w:marRight w:val="0"/>
                  <w:marTop w:val="0"/>
                  <w:marBottom w:val="0"/>
                  <w:divBdr>
                    <w:top w:val="none" w:sz="0" w:space="0" w:color="auto"/>
                    <w:left w:val="none" w:sz="0" w:space="0" w:color="auto"/>
                    <w:bottom w:val="none" w:sz="0" w:space="0" w:color="auto"/>
                    <w:right w:val="none" w:sz="0" w:space="0" w:color="auto"/>
                  </w:divBdr>
                </w:div>
                <w:div w:id="294148743">
                  <w:marLeft w:val="0"/>
                  <w:marRight w:val="0"/>
                  <w:marTop w:val="0"/>
                  <w:marBottom w:val="0"/>
                  <w:divBdr>
                    <w:top w:val="none" w:sz="0" w:space="0" w:color="auto"/>
                    <w:left w:val="none" w:sz="0" w:space="0" w:color="auto"/>
                    <w:bottom w:val="none" w:sz="0" w:space="0" w:color="auto"/>
                    <w:right w:val="none" w:sz="0" w:space="0" w:color="auto"/>
                  </w:divBdr>
                </w:div>
                <w:div w:id="294148878">
                  <w:marLeft w:val="0"/>
                  <w:marRight w:val="0"/>
                  <w:marTop w:val="0"/>
                  <w:marBottom w:val="0"/>
                  <w:divBdr>
                    <w:top w:val="none" w:sz="0" w:space="0" w:color="auto"/>
                    <w:left w:val="none" w:sz="0" w:space="0" w:color="auto"/>
                    <w:bottom w:val="none" w:sz="0" w:space="0" w:color="auto"/>
                    <w:right w:val="none" w:sz="0" w:space="0" w:color="auto"/>
                  </w:divBdr>
                </w:div>
                <w:div w:id="294149238">
                  <w:marLeft w:val="0"/>
                  <w:marRight w:val="0"/>
                  <w:marTop w:val="0"/>
                  <w:marBottom w:val="0"/>
                  <w:divBdr>
                    <w:top w:val="none" w:sz="0" w:space="0" w:color="auto"/>
                    <w:left w:val="none" w:sz="0" w:space="0" w:color="auto"/>
                    <w:bottom w:val="none" w:sz="0" w:space="0" w:color="auto"/>
                    <w:right w:val="none" w:sz="0" w:space="0" w:color="auto"/>
                  </w:divBdr>
                </w:div>
                <w:div w:id="294149315">
                  <w:marLeft w:val="0"/>
                  <w:marRight w:val="0"/>
                  <w:marTop w:val="0"/>
                  <w:marBottom w:val="0"/>
                  <w:divBdr>
                    <w:top w:val="none" w:sz="0" w:space="0" w:color="auto"/>
                    <w:left w:val="none" w:sz="0" w:space="0" w:color="auto"/>
                    <w:bottom w:val="none" w:sz="0" w:space="0" w:color="auto"/>
                    <w:right w:val="none" w:sz="0" w:space="0" w:color="auto"/>
                  </w:divBdr>
                </w:div>
                <w:div w:id="294149344">
                  <w:marLeft w:val="0"/>
                  <w:marRight w:val="0"/>
                  <w:marTop w:val="0"/>
                  <w:marBottom w:val="0"/>
                  <w:divBdr>
                    <w:top w:val="none" w:sz="0" w:space="0" w:color="auto"/>
                    <w:left w:val="none" w:sz="0" w:space="0" w:color="auto"/>
                    <w:bottom w:val="none" w:sz="0" w:space="0" w:color="auto"/>
                    <w:right w:val="none" w:sz="0" w:space="0" w:color="auto"/>
                  </w:divBdr>
                </w:div>
                <w:div w:id="294149486">
                  <w:marLeft w:val="0"/>
                  <w:marRight w:val="0"/>
                  <w:marTop w:val="0"/>
                  <w:marBottom w:val="0"/>
                  <w:divBdr>
                    <w:top w:val="none" w:sz="0" w:space="0" w:color="auto"/>
                    <w:left w:val="none" w:sz="0" w:space="0" w:color="auto"/>
                    <w:bottom w:val="none" w:sz="0" w:space="0" w:color="auto"/>
                    <w:right w:val="none" w:sz="0" w:space="0" w:color="auto"/>
                  </w:divBdr>
                </w:div>
                <w:div w:id="294149550">
                  <w:marLeft w:val="0"/>
                  <w:marRight w:val="0"/>
                  <w:marTop w:val="0"/>
                  <w:marBottom w:val="0"/>
                  <w:divBdr>
                    <w:top w:val="none" w:sz="0" w:space="0" w:color="auto"/>
                    <w:left w:val="none" w:sz="0" w:space="0" w:color="auto"/>
                    <w:bottom w:val="none" w:sz="0" w:space="0" w:color="auto"/>
                    <w:right w:val="none" w:sz="0" w:space="0" w:color="auto"/>
                  </w:divBdr>
                </w:div>
                <w:div w:id="294149633">
                  <w:marLeft w:val="0"/>
                  <w:marRight w:val="0"/>
                  <w:marTop w:val="0"/>
                  <w:marBottom w:val="0"/>
                  <w:divBdr>
                    <w:top w:val="none" w:sz="0" w:space="0" w:color="auto"/>
                    <w:left w:val="none" w:sz="0" w:space="0" w:color="auto"/>
                    <w:bottom w:val="none" w:sz="0" w:space="0" w:color="auto"/>
                    <w:right w:val="none" w:sz="0" w:space="0" w:color="auto"/>
                  </w:divBdr>
                </w:div>
                <w:div w:id="294149758">
                  <w:marLeft w:val="0"/>
                  <w:marRight w:val="0"/>
                  <w:marTop w:val="0"/>
                  <w:marBottom w:val="0"/>
                  <w:divBdr>
                    <w:top w:val="none" w:sz="0" w:space="0" w:color="auto"/>
                    <w:left w:val="none" w:sz="0" w:space="0" w:color="auto"/>
                    <w:bottom w:val="none" w:sz="0" w:space="0" w:color="auto"/>
                    <w:right w:val="none" w:sz="0" w:space="0" w:color="auto"/>
                  </w:divBdr>
                </w:div>
                <w:div w:id="294150170">
                  <w:marLeft w:val="0"/>
                  <w:marRight w:val="0"/>
                  <w:marTop w:val="0"/>
                  <w:marBottom w:val="0"/>
                  <w:divBdr>
                    <w:top w:val="none" w:sz="0" w:space="0" w:color="auto"/>
                    <w:left w:val="none" w:sz="0" w:space="0" w:color="auto"/>
                    <w:bottom w:val="none" w:sz="0" w:space="0" w:color="auto"/>
                    <w:right w:val="none" w:sz="0" w:space="0" w:color="auto"/>
                  </w:divBdr>
                </w:div>
                <w:div w:id="294150310">
                  <w:marLeft w:val="0"/>
                  <w:marRight w:val="0"/>
                  <w:marTop w:val="0"/>
                  <w:marBottom w:val="0"/>
                  <w:divBdr>
                    <w:top w:val="none" w:sz="0" w:space="0" w:color="auto"/>
                    <w:left w:val="none" w:sz="0" w:space="0" w:color="auto"/>
                    <w:bottom w:val="none" w:sz="0" w:space="0" w:color="auto"/>
                    <w:right w:val="none" w:sz="0" w:space="0" w:color="auto"/>
                  </w:divBdr>
                </w:div>
                <w:div w:id="294150776">
                  <w:marLeft w:val="0"/>
                  <w:marRight w:val="0"/>
                  <w:marTop w:val="0"/>
                  <w:marBottom w:val="0"/>
                  <w:divBdr>
                    <w:top w:val="none" w:sz="0" w:space="0" w:color="auto"/>
                    <w:left w:val="none" w:sz="0" w:space="0" w:color="auto"/>
                    <w:bottom w:val="none" w:sz="0" w:space="0" w:color="auto"/>
                    <w:right w:val="none" w:sz="0" w:space="0" w:color="auto"/>
                  </w:divBdr>
                </w:div>
                <w:div w:id="294150886">
                  <w:marLeft w:val="0"/>
                  <w:marRight w:val="0"/>
                  <w:marTop w:val="0"/>
                  <w:marBottom w:val="0"/>
                  <w:divBdr>
                    <w:top w:val="none" w:sz="0" w:space="0" w:color="auto"/>
                    <w:left w:val="none" w:sz="0" w:space="0" w:color="auto"/>
                    <w:bottom w:val="none" w:sz="0" w:space="0" w:color="auto"/>
                    <w:right w:val="none" w:sz="0" w:space="0" w:color="auto"/>
                  </w:divBdr>
                </w:div>
                <w:div w:id="294151035">
                  <w:marLeft w:val="0"/>
                  <w:marRight w:val="0"/>
                  <w:marTop w:val="0"/>
                  <w:marBottom w:val="0"/>
                  <w:divBdr>
                    <w:top w:val="none" w:sz="0" w:space="0" w:color="auto"/>
                    <w:left w:val="none" w:sz="0" w:space="0" w:color="auto"/>
                    <w:bottom w:val="none" w:sz="0" w:space="0" w:color="auto"/>
                    <w:right w:val="none" w:sz="0" w:space="0" w:color="auto"/>
                  </w:divBdr>
                </w:div>
                <w:div w:id="294151043">
                  <w:marLeft w:val="0"/>
                  <w:marRight w:val="0"/>
                  <w:marTop w:val="0"/>
                  <w:marBottom w:val="0"/>
                  <w:divBdr>
                    <w:top w:val="none" w:sz="0" w:space="0" w:color="auto"/>
                    <w:left w:val="none" w:sz="0" w:space="0" w:color="auto"/>
                    <w:bottom w:val="none" w:sz="0" w:space="0" w:color="auto"/>
                    <w:right w:val="none" w:sz="0" w:space="0" w:color="auto"/>
                  </w:divBdr>
                </w:div>
                <w:div w:id="294151444">
                  <w:marLeft w:val="0"/>
                  <w:marRight w:val="0"/>
                  <w:marTop w:val="0"/>
                  <w:marBottom w:val="0"/>
                  <w:divBdr>
                    <w:top w:val="none" w:sz="0" w:space="0" w:color="auto"/>
                    <w:left w:val="none" w:sz="0" w:space="0" w:color="auto"/>
                    <w:bottom w:val="none" w:sz="0" w:space="0" w:color="auto"/>
                    <w:right w:val="none" w:sz="0" w:space="0" w:color="auto"/>
                  </w:divBdr>
                </w:div>
                <w:div w:id="294151518">
                  <w:marLeft w:val="0"/>
                  <w:marRight w:val="0"/>
                  <w:marTop w:val="0"/>
                  <w:marBottom w:val="0"/>
                  <w:divBdr>
                    <w:top w:val="none" w:sz="0" w:space="0" w:color="auto"/>
                    <w:left w:val="none" w:sz="0" w:space="0" w:color="auto"/>
                    <w:bottom w:val="none" w:sz="0" w:space="0" w:color="auto"/>
                    <w:right w:val="none" w:sz="0" w:space="0" w:color="auto"/>
                  </w:divBdr>
                </w:div>
                <w:div w:id="294151553">
                  <w:marLeft w:val="0"/>
                  <w:marRight w:val="0"/>
                  <w:marTop w:val="0"/>
                  <w:marBottom w:val="0"/>
                  <w:divBdr>
                    <w:top w:val="none" w:sz="0" w:space="0" w:color="auto"/>
                    <w:left w:val="none" w:sz="0" w:space="0" w:color="auto"/>
                    <w:bottom w:val="none" w:sz="0" w:space="0" w:color="auto"/>
                    <w:right w:val="none" w:sz="0" w:space="0" w:color="auto"/>
                  </w:divBdr>
                </w:div>
                <w:div w:id="294151685">
                  <w:marLeft w:val="0"/>
                  <w:marRight w:val="0"/>
                  <w:marTop w:val="0"/>
                  <w:marBottom w:val="0"/>
                  <w:divBdr>
                    <w:top w:val="none" w:sz="0" w:space="0" w:color="auto"/>
                    <w:left w:val="none" w:sz="0" w:space="0" w:color="auto"/>
                    <w:bottom w:val="none" w:sz="0" w:space="0" w:color="auto"/>
                    <w:right w:val="none" w:sz="0" w:space="0" w:color="auto"/>
                  </w:divBdr>
                </w:div>
                <w:div w:id="294151989">
                  <w:marLeft w:val="0"/>
                  <w:marRight w:val="0"/>
                  <w:marTop w:val="0"/>
                  <w:marBottom w:val="0"/>
                  <w:divBdr>
                    <w:top w:val="none" w:sz="0" w:space="0" w:color="auto"/>
                    <w:left w:val="none" w:sz="0" w:space="0" w:color="auto"/>
                    <w:bottom w:val="none" w:sz="0" w:space="0" w:color="auto"/>
                    <w:right w:val="none" w:sz="0" w:space="0" w:color="auto"/>
                  </w:divBdr>
                </w:div>
                <w:div w:id="294152125">
                  <w:marLeft w:val="0"/>
                  <w:marRight w:val="0"/>
                  <w:marTop w:val="0"/>
                  <w:marBottom w:val="0"/>
                  <w:divBdr>
                    <w:top w:val="none" w:sz="0" w:space="0" w:color="auto"/>
                    <w:left w:val="none" w:sz="0" w:space="0" w:color="auto"/>
                    <w:bottom w:val="none" w:sz="0" w:space="0" w:color="auto"/>
                    <w:right w:val="none" w:sz="0" w:space="0" w:color="auto"/>
                  </w:divBdr>
                </w:div>
                <w:div w:id="294152129">
                  <w:marLeft w:val="0"/>
                  <w:marRight w:val="0"/>
                  <w:marTop w:val="0"/>
                  <w:marBottom w:val="0"/>
                  <w:divBdr>
                    <w:top w:val="none" w:sz="0" w:space="0" w:color="auto"/>
                    <w:left w:val="none" w:sz="0" w:space="0" w:color="auto"/>
                    <w:bottom w:val="none" w:sz="0" w:space="0" w:color="auto"/>
                    <w:right w:val="none" w:sz="0" w:space="0" w:color="auto"/>
                  </w:divBdr>
                </w:div>
                <w:div w:id="294152209">
                  <w:marLeft w:val="0"/>
                  <w:marRight w:val="0"/>
                  <w:marTop w:val="0"/>
                  <w:marBottom w:val="0"/>
                  <w:divBdr>
                    <w:top w:val="none" w:sz="0" w:space="0" w:color="auto"/>
                    <w:left w:val="none" w:sz="0" w:space="0" w:color="auto"/>
                    <w:bottom w:val="none" w:sz="0" w:space="0" w:color="auto"/>
                    <w:right w:val="none" w:sz="0" w:space="0" w:color="auto"/>
                  </w:divBdr>
                </w:div>
                <w:div w:id="294152637">
                  <w:marLeft w:val="0"/>
                  <w:marRight w:val="0"/>
                  <w:marTop w:val="0"/>
                  <w:marBottom w:val="0"/>
                  <w:divBdr>
                    <w:top w:val="none" w:sz="0" w:space="0" w:color="auto"/>
                    <w:left w:val="none" w:sz="0" w:space="0" w:color="auto"/>
                    <w:bottom w:val="none" w:sz="0" w:space="0" w:color="auto"/>
                    <w:right w:val="none" w:sz="0" w:space="0" w:color="auto"/>
                  </w:divBdr>
                </w:div>
                <w:div w:id="294152773">
                  <w:marLeft w:val="0"/>
                  <w:marRight w:val="0"/>
                  <w:marTop w:val="0"/>
                  <w:marBottom w:val="0"/>
                  <w:divBdr>
                    <w:top w:val="none" w:sz="0" w:space="0" w:color="auto"/>
                    <w:left w:val="none" w:sz="0" w:space="0" w:color="auto"/>
                    <w:bottom w:val="none" w:sz="0" w:space="0" w:color="auto"/>
                    <w:right w:val="none" w:sz="0" w:space="0" w:color="auto"/>
                  </w:divBdr>
                </w:div>
                <w:div w:id="294152844">
                  <w:marLeft w:val="0"/>
                  <w:marRight w:val="0"/>
                  <w:marTop w:val="0"/>
                  <w:marBottom w:val="0"/>
                  <w:divBdr>
                    <w:top w:val="none" w:sz="0" w:space="0" w:color="auto"/>
                    <w:left w:val="none" w:sz="0" w:space="0" w:color="auto"/>
                    <w:bottom w:val="none" w:sz="0" w:space="0" w:color="auto"/>
                    <w:right w:val="none" w:sz="0" w:space="0" w:color="auto"/>
                  </w:divBdr>
                </w:div>
                <w:div w:id="294152869">
                  <w:marLeft w:val="0"/>
                  <w:marRight w:val="0"/>
                  <w:marTop w:val="0"/>
                  <w:marBottom w:val="0"/>
                  <w:divBdr>
                    <w:top w:val="none" w:sz="0" w:space="0" w:color="auto"/>
                    <w:left w:val="none" w:sz="0" w:space="0" w:color="auto"/>
                    <w:bottom w:val="none" w:sz="0" w:space="0" w:color="auto"/>
                    <w:right w:val="none" w:sz="0" w:space="0" w:color="auto"/>
                  </w:divBdr>
                </w:div>
                <w:div w:id="294153108">
                  <w:marLeft w:val="0"/>
                  <w:marRight w:val="0"/>
                  <w:marTop w:val="0"/>
                  <w:marBottom w:val="0"/>
                  <w:divBdr>
                    <w:top w:val="none" w:sz="0" w:space="0" w:color="auto"/>
                    <w:left w:val="none" w:sz="0" w:space="0" w:color="auto"/>
                    <w:bottom w:val="none" w:sz="0" w:space="0" w:color="auto"/>
                    <w:right w:val="none" w:sz="0" w:space="0" w:color="auto"/>
                  </w:divBdr>
                </w:div>
                <w:div w:id="294153147">
                  <w:marLeft w:val="0"/>
                  <w:marRight w:val="0"/>
                  <w:marTop w:val="0"/>
                  <w:marBottom w:val="0"/>
                  <w:divBdr>
                    <w:top w:val="none" w:sz="0" w:space="0" w:color="auto"/>
                    <w:left w:val="none" w:sz="0" w:space="0" w:color="auto"/>
                    <w:bottom w:val="none" w:sz="0" w:space="0" w:color="auto"/>
                    <w:right w:val="none" w:sz="0" w:space="0" w:color="auto"/>
                  </w:divBdr>
                </w:div>
                <w:div w:id="294153177">
                  <w:marLeft w:val="0"/>
                  <w:marRight w:val="0"/>
                  <w:marTop w:val="0"/>
                  <w:marBottom w:val="0"/>
                  <w:divBdr>
                    <w:top w:val="none" w:sz="0" w:space="0" w:color="auto"/>
                    <w:left w:val="none" w:sz="0" w:space="0" w:color="auto"/>
                    <w:bottom w:val="none" w:sz="0" w:space="0" w:color="auto"/>
                    <w:right w:val="none" w:sz="0" w:space="0" w:color="auto"/>
                  </w:divBdr>
                </w:div>
                <w:div w:id="294153205">
                  <w:marLeft w:val="0"/>
                  <w:marRight w:val="0"/>
                  <w:marTop w:val="0"/>
                  <w:marBottom w:val="0"/>
                  <w:divBdr>
                    <w:top w:val="none" w:sz="0" w:space="0" w:color="auto"/>
                    <w:left w:val="none" w:sz="0" w:space="0" w:color="auto"/>
                    <w:bottom w:val="none" w:sz="0" w:space="0" w:color="auto"/>
                    <w:right w:val="none" w:sz="0" w:space="0" w:color="auto"/>
                  </w:divBdr>
                </w:div>
                <w:div w:id="294153565">
                  <w:marLeft w:val="0"/>
                  <w:marRight w:val="0"/>
                  <w:marTop w:val="0"/>
                  <w:marBottom w:val="0"/>
                  <w:divBdr>
                    <w:top w:val="none" w:sz="0" w:space="0" w:color="auto"/>
                    <w:left w:val="none" w:sz="0" w:space="0" w:color="auto"/>
                    <w:bottom w:val="none" w:sz="0" w:space="0" w:color="auto"/>
                    <w:right w:val="none" w:sz="0" w:space="0" w:color="auto"/>
                  </w:divBdr>
                </w:div>
                <w:div w:id="294153928">
                  <w:marLeft w:val="0"/>
                  <w:marRight w:val="0"/>
                  <w:marTop w:val="0"/>
                  <w:marBottom w:val="0"/>
                  <w:divBdr>
                    <w:top w:val="none" w:sz="0" w:space="0" w:color="auto"/>
                    <w:left w:val="none" w:sz="0" w:space="0" w:color="auto"/>
                    <w:bottom w:val="none" w:sz="0" w:space="0" w:color="auto"/>
                    <w:right w:val="none" w:sz="0" w:space="0" w:color="auto"/>
                  </w:divBdr>
                </w:div>
                <w:div w:id="294154016">
                  <w:marLeft w:val="0"/>
                  <w:marRight w:val="0"/>
                  <w:marTop w:val="0"/>
                  <w:marBottom w:val="0"/>
                  <w:divBdr>
                    <w:top w:val="none" w:sz="0" w:space="0" w:color="auto"/>
                    <w:left w:val="none" w:sz="0" w:space="0" w:color="auto"/>
                    <w:bottom w:val="none" w:sz="0" w:space="0" w:color="auto"/>
                    <w:right w:val="none" w:sz="0" w:space="0" w:color="auto"/>
                  </w:divBdr>
                </w:div>
                <w:div w:id="294154318">
                  <w:marLeft w:val="0"/>
                  <w:marRight w:val="0"/>
                  <w:marTop w:val="0"/>
                  <w:marBottom w:val="0"/>
                  <w:divBdr>
                    <w:top w:val="none" w:sz="0" w:space="0" w:color="auto"/>
                    <w:left w:val="none" w:sz="0" w:space="0" w:color="auto"/>
                    <w:bottom w:val="none" w:sz="0" w:space="0" w:color="auto"/>
                    <w:right w:val="none" w:sz="0" w:space="0" w:color="auto"/>
                  </w:divBdr>
                </w:div>
                <w:div w:id="294154429">
                  <w:marLeft w:val="0"/>
                  <w:marRight w:val="0"/>
                  <w:marTop w:val="0"/>
                  <w:marBottom w:val="0"/>
                  <w:divBdr>
                    <w:top w:val="none" w:sz="0" w:space="0" w:color="auto"/>
                    <w:left w:val="none" w:sz="0" w:space="0" w:color="auto"/>
                    <w:bottom w:val="none" w:sz="0" w:space="0" w:color="auto"/>
                    <w:right w:val="none" w:sz="0" w:space="0" w:color="auto"/>
                  </w:divBdr>
                </w:div>
                <w:div w:id="294154646">
                  <w:marLeft w:val="0"/>
                  <w:marRight w:val="0"/>
                  <w:marTop w:val="0"/>
                  <w:marBottom w:val="0"/>
                  <w:divBdr>
                    <w:top w:val="none" w:sz="0" w:space="0" w:color="auto"/>
                    <w:left w:val="none" w:sz="0" w:space="0" w:color="auto"/>
                    <w:bottom w:val="none" w:sz="0" w:space="0" w:color="auto"/>
                    <w:right w:val="none" w:sz="0" w:space="0" w:color="auto"/>
                  </w:divBdr>
                </w:div>
                <w:div w:id="294154820">
                  <w:marLeft w:val="0"/>
                  <w:marRight w:val="0"/>
                  <w:marTop w:val="0"/>
                  <w:marBottom w:val="0"/>
                  <w:divBdr>
                    <w:top w:val="none" w:sz="0" w:space="0" w:color="auto"/>
                    <w:left w:val="none" w:sz="0" w:space="0" w:color="auto"/>
                    <w:bottom w:val="none" w:sz="0" w:space="0" w:color="auto"/>
                    <w:right w:val="none" w:sz="0" w:space="0" w:color="auto"/>
                  </w:divBdr>
                </w:div>
                <w:div w:id="294155007">
                  <w:marLeft w:val="0"/>
                  <w:marRight w:val="0"/>
                  <w:marTop w:val="0"/>
                  <w:marBottom w:val="0"/>
                  <w:divBdr>
                    <w:top w:val="none" w:sz="0" w:space="0" w:color="auto"/>
                    <w:left w:val="none" w:sz="0" w:space="0" w:color="auto"/>
                    <w:bottom w:val="none" w:sz="0" w:space="0" w:color="auto"/>
                    <w:right w:val="none" w:sz="0" w:space="0" w:color="auto"/>
                  </w:divBdr>
                </w:div>
                <w:div w:id="294155117">
                  <w:marLeft w:val="0"/>
                  <w:marRight w:val="0"/>
                  <w:marTop w:val="0"/>
                  <w:marBottom w:val="0"/>
                  <w:divBdr>
                    <w:top w:val="none" w:sz="0" w:space="0" w:color="auto"/>
                    <w:left w:val="none" w:sz="0" w:space="0" w:color="auto"/>
                    <w:bottom w:val="none" w:sz="0" w:space="0" w:color="auto"/>
                    <w:right w:val="none" w:sz="0" w:space="0" w:color="auto"/>
                  </w:divBdr>
                </w:div>
                <w:div w:id="294155349">
                  <w:marLeft w:val="0"/>
                  <w:marRight w:val="0"/>
                  <w:marTop w:val="0"/>
                  <w:marBottom w:val="0"/>
                  <w:divBdr>
                    <w:top w:val="none" w:sz="0" w:space="0" w:color="auto"/>
                    <w:left w:val="none" w:sz="0" w:space="0" w:color="auto"/>
                    <w:bottom w:val="none" w:sz="0" w:space="0" w:color="auto"/>
                    <w:right w:val="none" w:sz="0" w:space="0" w:color="auto"/>
                  </w:divBdr>
                </w:div>
                <w:div w:id="294155437">
                  <w:marLeft w:val="0"/>
                  <w:marRight w:val="0"/>
                  <w:marTop w:val="0"/>
                  <w:marBottom w:val="0"/>
                  <w:divBdr>
                    <w:top w:val="none" w:sz="0" w:space="0" w:color="auto"/>
                    <w:left w:val="none" w:sz="0" w:space="0" w:color="auto"/>
                    <w:bottom w:val="none" w:sz="0" w:space="0" w:color="auto"/>
                    <w:right w:val="none" w:sz="0" w:space="0" w:color="auto"/>
                  </w:divBdr>
                </w:div>
                <w:div w:id="294155689">
                  <w:marLeft w:val="0"/>
                  <w:marRight w:val="0"/>
                  <w:marTop w:val="0"/>
                  <w:marBottom w:val="0"/>
                  <w:divBdr>
                    <w:top w:val="none" w:sz="0" w:space="0" w:color="auto"/>
                    <w:left w:val="none" w:sz="0" w:space="0" w:color="auto"/>
                    <w:bottom w:val="none" w:sz="0" w:space="0" w:color="auto"/>
                    <w:right w:val="none" w:sz="0" w:space="0" w:color="auto"/>
                  </w:divBdr>
                </w:div>
                <w:div w:id="294155999">
                  <w:marLeft w:val="0"/>
                  <w:marRight w:val="0"/>
                  <w:marTop w:val="0"/>
                  <w:marBottom w:val="0"/>
                  <w:divBdr>
                    <w:top w:val="none" w:sz="0" w:space="0" w:color="auto"/>
                    <w:left w:val="none" w:sz="0" w:space="0" w:color="auto"/>
                    <w:bottom w:val="none" w:sz="0" w:space="0" w:color="auto"/>
                    <w:right w:val="none" w:sz="0" w:space="0" w:color="auto"/>
                  </w:divBdr>
                </w:div>
                <w:div w:id="294156019">
                  <w:marLeft w:val="0"/>
                  <w:marRight w:val="0"/>
                  <w:marTop w:val="0"/>
                  <w:marBottom w:val="0"/>
                  <w:divBdr>
                    <w:top w:val="none" w:sz="0" w:space="0" w:color="auto"/>
                    <w:left w:val="none" w:sz="0" w:space="0" w:color="auto"/>
                    <w:bottom w:val="none" w:sz="0" w:space="0" w:color="auto"/>
                    <w:right w:val="none" w:sz="0" w:space="0" w:color="auto"/>
                  </w:divBdr>
                </w:div>
                <w:div w:id="294156353">
                  <w:marLeft w:val="0"/>
                  <w:marRight w:val="0"/>
                  <w:marTop w:val="0"/>
                  <w:marBottom w:val="0"/>
                  <w:divBdr>
                    <w:top w:val="none" w:sz="0" w:space="0" w:color="auto"/>
                    <w:left w:val="none" w:sz="0" w:space="0" w:color="auto"/>
                    <w:bottom w:val="none" w:sz="0" w:space="0" w:color="auto"/>
                    <w:right w:val="none" w:sz="0" w:space="0" w:color="auto"/>
                  </w:divBdr>
                </w:div>
                <w:div w:id="294156423">
                  <w:marLeft w:val="0"/>
                  <w:marRight w:val="0"/>
                  <w:marTop w:val="0"/>
                  <w:marBottom w:val="0"/>
                  <w:divBdr>
                    <w:top w:val="none" w:sz="0" w:space="0" w:color="auto"/>
                    <w:left w:val="none" w:sz="0" w:space="0" w:color="auto"/>
                    <w:bottom w:val="none" w:sz="0" w:space="0" w:color="auto"/>
                    <w:right w:val="none" w:sz="0" w:space="0" w:color="auto"/>
                  </w:divBdr>
                </w:div>
                <w:div w:id="294156594">
                  <w:marLeft w:val="0"/>
                  <w:marRight w:val="0"/>
                  <w:marTop w:val="0"/>
                  <w:marBottom w:val="0"/>
                  <w:divBdr>
                    <w:top w:val="none" w:sz="0" w:space="0" w:color="auto"/>
                    <w:left w:val="none" w:sz="0" w:space="0" w:color="auto"/>
                    <w:bottom w:val="none" w:sz="0" w:space="0" w:color="auto"/>
                    <w:right w:val="none" w:sz="0" w:space="0" w:color="auto"/>
                  </w:divBdr>
                </w:div>
                <w:div w:id="294156751">
                  <w:marLeft w:val="0"/>
                  <w:marRight w:val="0"/>
                  <w:marTop w:val="0"/>
                  <w:marBottom w:val="0"/>
                  <w:divBdr>
                    <w:top w:val="none" w:sz="0" w:space="0" w:color="auto"/>
                    <w:left w:val="none" w:sz="0" w:space="0" w:color="auto"/>
                    <w:bottom w:val="none" w:sz="0" w:space="0" w:color="auto"/>
                    <w:right w:val="none" w:sz="0" w:space="0" w:color="auto"/>
                  </w:divBdr>
                </w:div>
                <w:div w:id="294156915">
                  <w:marLeft w:val="0"/>
                  <w:marRight w:val="0"/>
                  <w:marTop w:val="0"/>
                  <w:marBottom w:val="0"/>
                  <w:divBdr>
                    <w:top w:val="none" w:sz="0" w:space="0" w:color="auto"/>
                    <w:left w:val="none" w:sz="0" w:space="0" w:color="auto"/>
                    <w:bottom w:val="none" w:sz="0" w:space="0" w:color="auto"/>
                    <w:right w:val="none" w:sz="0" w:space="0" w:color="auto"/>
                  </w:divBdr>
                </w:div>
                <w:div w:id="29415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4856">
          <w:marLeft w:val="0"/>
          <w:marRight w:val="0"/>
          <w:marTop w:val="0"/>
          <w:marBottom w:val="0"/>
          <w:divBdr>
            <w:top w:val="none" w:sz="0" w:space="0" w:color="auto"/>
            <w:left w:val="none" w:sz="0" w:space="0" w:color="auto"/>
            <w:bottom w:val="none" w:sz="0" w:space="0" w:color="auto"/>
            <w:right w:val="none" w:sz="0" w:space="0" w:color="auto"/>
          </w:divBdr>
          <w:divsChild>
            <w:div w:id="294150462">
              <w:marLeft w:val="0"/>
              <w:marRight w:val="0"/>
              <w:marTop w:val="0"/>
              <w:marBottom w:val="0"/>
              <w:divBdr>
                <w:top w:val="none" w:sz="0" w:space="0" w:color="auto"/>
                <w:left w:val="none" w:sz="0" w:space="0" w:color="auto"/>
                <w:bottom w:val="none" w:sz="0" w:space="0" w:color="auto"/>
                <w:right w:val="none" w:sz="0" w:space="0" w:color="auto"/>
              </w:divBdr>
              <w:divsChild>
                <w:div w:id="29414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1801">
          <w:marLeft w:val="0"/>
          <w:marRight w:val="0"/>
          <w:marTop w:val="0"/>
          <w:marBottom w:val="0"/>
          <w:divBdr>
            <w:top w:val="none" w:sz="0" w:space="0" w:color="auto"/>
            <w:left w:val="none" w:sz="0" w:space="0" w:color="auto"/>
            <w:bottom w:val="none" w:sz="0" w:space="0" w:color="auto"/>
            <w:right w:val="none" w:sz="0" w:space="0" w:color="auto"/>
          </w:divBdr>
          <w:divsChild>
            <w:div w:id="294149187">
              <w:marLeft w:val="0"/>
              <w:marRight w:val="0"/>
              <w:marTop w:val="0"/>
              <w:marBottom w:val="0"/>
              <w:divBdr>
                <w:top w:val="none" w:sz="0" w:space="0" w:color="auto"/>
                <w:left w:val="none" w:sz="0" w:space="0" w:color="auto"/>
                <w:bottom w:val="none" w:sz="0" w:space="0" w:color="auto"/>
                <w:right w:val="none" w:sz="0" w:space="0" w:color="auto"/>
              </w:divBdr>
              <w:divsChild>
                <w:div w:id="294139127">
                  <w:marLeft w:val="0"/>
                  <w:marRight w:val="0"/>
                  <w:marTop w:val="0"/>
                  <w:marBottom w:val="0"/>
                  <w:divBdr>
                    <w:top w:val="none" w:sz="0" w:space="0" w:color="auto"/>
                    <w:left w:val="none" w:sz="0" w:space="0" w:color="auto"/>
                    <w:bottom w:val="none" w:sz="0" w:space="0" w:color="auto"/>
                    <w:right w:val="none" w:sz="0" w:space="0" w:color="auto"/>
                  </w:divBdr>
                  <w:divsChild>
                    <w:div w:id="294138293">
                      <w:marLeft w:val="0"/>
                      <w:marRight w:val="0"/>
                      <w:marTop w:val="0"/>
                      <w:marBottom w:val="0"/>
                      <w:divBdr>
                        <w:top w:val="none" w:sz="0" w:space="0" w:color="auto"/>
                        <w:left w:val="none" w:sz="0" w:space="0" w:color="auto"/>
                        <w:bottom w:val="none" w:sz="0" w:space="0" w:color="auto"/>
                        <w:right w:val="none" w:sz="0" w:space="0" w:color="auto"/>
                      </w:divBdr>
                    </w:div>
                    <w:div w:id="294138389">
                      <w:marLeft w:val="0"/>
                      <w:marRight w:val="0"/>
                      <w:marTop w:val="0"/>
                      <w:marBottom w:val="0"/>
                      <w:divBdr>
                        <w:top w:val="none" w:sz="0" w:space="0" w:color="auto"/>
                        <w:left w:val="none" w:sz="0" w:space="0" w:color="auto"/>
                        <w:bottom w:val="none" w:sz="0" w:space="0" w:color="auto"/>
                        <w:right w:val="none" w:sz="0" w:space="0" w:color="auto"/>
                      </w:divBdr>
                      <w:divsChild>
                        <w:div w:id="294142218">
                          <w:marLeft w:val="0"/>
                          <w:marRight w:val="0"/>
                          <w:marTop w:val="0"/>
                          <w:marBottom w:val="0"/>
                          <w:divBdr>
                            <w:top w:val="none" w:sz="0" w:space="0" w:color="auto"/>
                            <w:left w:val="none" w:sz="0" w:space="0" w:color="auto"/>
                            <w:bottom w:val="none" w:sz="0" w:space="0" w:color="auto"/>
                            <w:right w:val="none" w:sz="0" w:space="0" w:color="auto"/>
                          </w:divBdr>
                        </w:div>
                      </w:divsChild>
                    </w:div>
                    <w:div w:id="294138451">
                      <w:marLeft w:val="0"/>
                      <w:marRight w:val="0"/>
                      <w:marTop w:val="0"/>
                      <w:marBottom w:val="0"/>
                      <w:divBdr>
                        <w:top w:val="none" w:sz="0" w:space="0" w:color="auto"/>
                        <w:left w:val="none" w:sz="0" w:space="0" w:color="auto"/>
                        <w:bottom w:val="none" w:sz="0" w:space="0" w:color="auto"/>
                        <w:right w:val="none" w:sz="0" w:space="0" w:color="auto"/>
                      </w:divBdr>
                    </w:div>
                    <w:div w:id="294138455">
                      <w:marLeft w:val="0"/>
                      <w:marRight w:val="0"/>
                      <w:marTop w:val="0"/>
                      <w:marBottom w:val="0"/>
                      <w:divBdr>
                        <w:top w:val="none" w:sz="0" w:space="0" w:color="auto"/>
                        <w:left w:val="none" w:sz="0" w:space="0" w:color="auto"/>
                        <w:bottom w:val="none" w:sz="0" w:space="0" w:color="auto"/>
                        <w:right w:val="none" w:sz="0" w:space="0" w:color="auto"/>
                      </w:divBdr>
                      <w:divsChild>
                        <w:div w:id="294148374">
                          <w:marLeft w:val="0"/>
                          <w:marRight w:val="0"/>
                          <w:marTop w:val="0"/>
                          <w:marBottom w:val="0"/>
                          <w:divBdr>
                            <w:top w:val="none" w:sz="0" w:space="0" w:color="auto"/>
                            <w:left w:val="none" w:sz="0" w:space="0" w:color="auto"/>
                            <w:bottom w:val="none" w:sz="0" w:space="0" w:color="auto"/>
                            <w:right w:val="none" w:sz="0" w:space="0" w:color="auto"/>
                          </w:divBdr>
                        </w:div>
                      </w:divsChild>
                    </w:div>
                    <w:div w:id="294138581">
                      <w:marLeft w:val="0"/>
                      <w:marRight w:val="0"/>
                      <w:marTop w:val="0"/>
                      <w:marBottom w:val="0"/>
                      <w:divBdr>
                        <w:top w:val="none" w:sz="0" w:space="0" w:color="auto"/>
                        <w:left w:val="none" w:sz="0" w:space="0" w:color="auto"/>
                        <w:bottom w:val="none" w:sz="0" w:space="0" w:color="auto"/>
                        <w:right w:val="none" w:sz="0" w:space="0" w:color="auto"/>
                      </w:divBdr>
                      <w:divsChild>
                        <w:div w:id="294147824">
                          <w:marLeft w:val="0"/>
                          <w:marRight w:val="0"/>
                          <w:marTop w:val="0"/>
                          <w:marBottom w:val="0"/>
                          <w:divBdr>
                            <w:top w:val="none" w:sz="0" w:space="0" w:color="auto"/>
                            <w:left w:val="none" w:sz="0" w:space="0" w:color="auto"/>
                            <w:bottom w:val="none" w:sz="0" w:space="0" w:color="auto"/>
                            <w:right w:val="none" w:sz="0" w:space="0" w:color="auto"/>
                          </w:divBdr>
                        </w:div>
                      </w:divsChild>
                    </w:div>
                    <w:div w:id="294138638">
                      <w:marLeft w:val="0"/>
                      <w:marRight w:val="0"/>
                      <w:marTop w:val="0"/>
                      <w:marBottom w:val="0"/>
                      <w:divBdr>
                        <w:top w:val="none" w:sz="0" w:space="0" w:color="auto"/>
                        <w:left w:val="none" w:sz="0" w:space="0" w:color="auto"/>
                        <w:bottom w:val="none" w:sz="0" w:space="0" w:color="auto"/>
                        <w:right w:val="none" w:sz="0" w:space="0" w:color="auto"/>
                      </w:divBdr>
                    </w:div>
                    <w:div w:id="294138681">
                      <w:marLeft w:val="0"/>
                      <w:marRight w:val="0"/>
                      <w:marTop w:val="0"/>
                      <w:marBottom w:val="0"/>
                      <w:divBdr>
                        <w:top w:val="none" w:sz="0" w:space="0" w:color="auto"/>
                        <w:left w:val="none" w:sz="0" w:space="0" w:color="auto"/>
                        <w:bottom w:val="none" w:sz="0" w:space="0" w:color="auto"/>
                        <w:right w:val="none" w:sz="0" w:space="0" w:color="auto"/>
                      </w:divBdr>
                    </w:div>
                    <w:div w:id="294138724">
                      <w:marLeft w:val="0"/>
                      <w:marRight w:val="0"/>
                      <w:marTop w:val="0"/>
                      <w:marBottom w:val="0"/>
                      <w:divBdr>
                        <w:top w:val="none" w:sz="0" w:space="0" w:color="auto"/>
                        <w:left w:val="none" w:sz="0" w:space="0" w:color="auto"/>
                        <w:bottom w:val="none" w:sz="0" w:space="0" w:color="auto"/>
                        <w:right w:val="none" w:sz="0" w:space="0" w:color="auto"/>
                      </w:divBdr>
                    </w:div>
                    <w:div w:id="294138808">
                      <w:marLeft w:val="0"/>
                      <w:marRight w:val="0"/>
                      <w:marTop w:val="0"/>
                      <w:marBottom w:val="0"/>
                      <w:divBdr>
                        <w:top w:val="none" w:sz="0" w:space="0" w:color="auto"/>
                        <w:left w:val="none" w:sz="0" w:space="0" w:color="auto"/>
                        <w:bottom w:val="none" w:sz="0" w:space="0" w:color="auto"/>
                        <w:right w:val="none" w:sz="0" w:space="0" w:color="auto"/>
                      </w:divBdr>
                    </w:div>
                    <w:div w:id="294138959">
                      <w:marLeft w:val="0"/>
                      <w:marRight w:val="0"/>
                      <w:marTop w:val="0"/>
                      <w:marBottom w:val="0"/>
                      <w:divBdr>
                        <w:top w:val="none" w:sz="0" w:space="0" w:color="auto"/>
                        <w:left w:val="none" w:sz="0" w:space="0" w:color="auto"/>
                        <w:bottom w:val="none" w:sz="0" w:space="0" w:color="auto"/>
                        <w:right w:val="none" w:sz="0" w:space="0" w:color="auto"/>
                      </w:divBdr>
                    </w:div>
                    <w:div w:id="294139035">
                      <w:marLeft w:val="0"/>
                      <w:marRight w:val="0"/>
                      <w:marTop w:val="0"/>
                      <w:marBottom w:val="0"/>
                      <w:divBdr>
                        <w:top w:val="none" w:sz="0" w:space="0" w:color="auto"/>
                        <w:left w:val="none" w:sz="0" w:space="0" w:color="auto"/>
                        <w:bottom w:val="none" w:sz="0" w:space="0" w:color="auto"/>
                        <w:right w:val="none" w:sz="0" w:space="0" w:color="auto"/>
                      </w:divBdr>
                    </w:div>
                    <w:div w:id="294139041">
                      <w:marLeft w:val="0"/>
                      <w:marRight w:val="0"/>
                      <w:marTop w:val="0"/>
                      <w:marBottom w:val="0"/>
                      <w:divBdr>
                        <w:top w:val="none" w:sz="0" w:space="0" w:color="auto"/>
                        <w:left w:val="none" w:sz="0" w:space="0" w:color="auto"/>
                        <w:bottom w:val="none" w:sz="0" w:space="0" w:color="auto"/>
                        <w:right w:val="none" w:sz="0" w:space="0" w:color="auto"/>
                      </w:divBdr>
                    </w:div>
                    <w:div w:id="294139169">
                      <w:marLeft w:val="0"/>
                      <w:marRight w:val="0"/>
                      <w:marTop w:val="0"/>
                      <w:marBottom w:val="0"/>
                      <w:divBdr>
                        <w:top w:val="none" w:sz="0" w:space="0" w:color="auto"/>
                        <w:left w:val="none" w:sz="0" w:space="0" w:color="auto"/>
                        <w:bottom w:val="none" w:sz="0" w:space="0" w:color="auto"/>
                        <w:right w:val="none" w:sz="0" w:space="0" w:color="auto"/>
                      </w:divBdr>
                    </w:div>
                    <w:div w:id="294139264">
                      <w:marLeft w:val="0"/>
                      <w:marRight w:val="0"/>
                      <w:marTop w:val="0"/>
                      <w:marBottom w:val="0"/>
                      <w:divBdr>
                        <w:top w:val="none" w:sz="0" w:space="0" w:color="auto"/>
                        <w:left w:val="none" w:sz="0" w:space="0" w:color="auto"/>
                        <w:bottom w:val="none" w:sz="0" w:space="0" w:color="auto"/>
                        <w:right w:val="none" w:sz="0" w:space="0" w:color="auto"/>
                      </w:divBdr>
                      <w:divsChild>
                        <w:div w:id="294143897">
                          <w:marLeft w:val="0"/>
                          <w:marRight w:val="0"/>
                          <w:marTop w:val="0"/>
                          <w:marBottom w:val="0"/>
                          <w:divBdr>
                            <w:top w:val="none" w:sz="0" w:space="0" w:color="auto"/>
                            <w:left w:val="none" w:sz="0" w:space="0" w:color="auto"/>
                            <w:bottom w:val="none" w:sz="0" w:space="0" w:color="auto"/>
                            <w:right w:val="none" w:sz="0" w:space="0" w:color="auto"/>
                          </w:divBdr>
                        </w:div>
                      </w:divsChild>
                    </w:div>
                    <w:div w:id="294139336">
                      <w:marLeft w:val="0"/>
                      <w:marRight w:val="0"/>
                      <w:marTop w:val="0"/>
                      <w:marBottom w:val="0"/>
                      <w:divBdr>
                        <w:top w:val="none" w:sz="0" w:space="0" w:color="auto"/>
                        <w:left w:val="none" w:sz="0" w:space="0" w:color="auto"/>
                        <w:bottom w:val="none" w:sz="0" w:space="0" w:color="auto"/>
                        <w:right w:val="none" w:sz="0" w:space="0" w:color="auto"/>
                      </w:divBdr>
                      <w:divsChild>
                        <w:div w:id="294138462">
                          <w:marLeft w:val="0"/>
                          <w:marRight w:val="0"/>
                          <w:marTop w:val="0"/>
                          <w:marBottom w:val="0"/>
                          <w:divBdr>
                            <w:top w:val="none" w:sz="0" w:space="0" w:color="auto"/>
                            <w:left w:val="none" w:sz="0" w:space="0" w:color="auto"/>
                            <w:bottom w:val="none" w:sz="0" w:space="0" w:color="auto"/>
                            <w:right w:val="none" w:sz="0" w:space="0" w:color="auto"/>
                          </w:divBdr>
                        </w:div>
                      </w:divsChild>
                    </w:div>
                    <w:div w:id="294139374">
                      <w:marLeft w:val="0"/>
                      <w:marRight w:val="0"/>
                      <w:marTop w:val="0"/>
                      <w:marBottom w:val="0"/>
                      <w:divBdr>
                        <w:top w:val="none" w:sz="0" w:space="0" w:color="auto"/>
                        <w:left w:val="none" w:sz="0" w:space="0" w:color="auto"/>
                        <w:bottom w:val="none" w:sz="0" w:space="0" w:color="auto"/>
                        <w:right w:val="none" w:sz="0" w:space="0" w:color="auto"/>
                      </w:divBdr>
                    </w:div>
                    <w:div w:id="294139400">
                      <w:marLeft w:val="0"/>
                      <w:marRight w:val="0"/>
                      <w:marTop w:val="0"/>
                      <w:marBottom w:val="0"/>
                      <w:divBdr>
                        <w:top w:val="none" w:sz="0" w:space="0" w:color="auto"/>
                        <w:left w:val="none" w:sz="0" w:space="0" w:color="auto"/>
                        <w:bottom w:val="none" w:sz="0" w:space="0" w:color="auto"/>
                        <w:right w:val="none" w:sz="0" w:space="0" w:color="auto"/>
                      </w:divBdr>
                    </w:div>
                    <w:div w:id="294139445">
                      <w:marLeft w:val="0"/>
                      <w:marRight w:val="0"/>
                      <w:marTop w:val="0"/>
                      <w:marBottom w:val="0"/>
                      <w:divBdr>
                        <w:top w:val="none" w:sz="0" w:space="0" w:color="auto"/>
                        <w:left w:val="none" w:sz="0" w:space="0" w:color="auto"/>
                        <w:bottom w:val="none" w:sz="0" w:space="0" w:color="auto"/>
                        <w:right w:val="none" w:sz="0" w:space="0" w:color="auto"/>
                      </w:divBdr>
                      <w:divsChild>
                        <w:div w:id="294147543">
                          <w:marLeft w:val="0"/>
                          <w:marRight w:val="0"/>
                          <w:marTop w:val="0"/>
                          <w:marBottom w:val="0"/>
                          <w:divBdr>
                            <w:top w:val="none" w:sz="0" w:space="0" w:color="auto"/>
                            <w:left w:val="none" w:sz="0" w:space="0" w:color="auto"/>
                            <w:bottom w:val="none" w:sz="0" w:space="0" w:color="auto"/>
                            <w:right w:val="none" w:sz="0" w:space="0" w:color="auto"/>
                          </w:divBdr>
                        </w:div>
                      </w:divsChild>
                    </w:div>
                    <w:div w:id="294139468">
                      <w:marLeft w:val="0"/>
                      <w:marRight w:val="0"/>
                      <w:marTop w:val="0"/>
                      <w:marBottom w:val="0"/>
                      <w:divBdr>
                        <w:top w:val="none" w:sz="0" w:space="0" w:color="auto"/>
                        <w:left w:val="none" w:sz="0" w:space="0" w:color="auto"/>
                        <w:bottom w:val="none" w:sz="0" w:space="0" w:color="auto"/>
                        <w:right w:val="none" w:sz="0" w:space="0" w:color="auto"/>
                      </w:divBdr>
                      <w:divsChild>
                        <w:div w:id="294154315">
                          <w:marLeft w:val="0"/>
                          <w:marRight w:val="0"/>
                          <w:marTop w:val="0"/>
                          <w:marBottom w:val="0"/>
                          <w:divBdr>
                            <w:top w:val="none" w:sz="0" w:space="0" w:color="auto"/>
                            <w:left w:val="none" w:sz="0" w:space="0" w:color="auto"/>
                            <w:bottom w:val="none" w:sz="0" w:space="0" w:color="auto"/>
                            <w:right w:val="none" w:sz="0" w:space="0" w:color="auto"/>
                          </w:divBdr>
                        </w:div>
                      </w:divsChild>
                    </w:div>
                    <w:div w:id="294139517">
                      <w:marLeft w:val="0"/>
                      <w:marRight w:val="0"/>
                      <w:marTop w:val="0"/>
                      <w:marBottom w:val="0"/>
                      <w:divBdr>
                        <w:top w:val="none" w:sz="0" w:space="0" w:color="auto"/>
                        <w:left w:val="none" w:sz="0" w:space="0" w:color="auto"/>
                        <w:bottom w:val="none" w:sz="0" w:space="0" w:color="auto"/>
                        <w:right w:val="none" w:sz="0" w:space="0" w:color="auto"/>
                      </w:divBdr>
                      <w:divsChild>
                        <w:div w:id="294138913">
                          <w:marLeft w:val="0"/>
                          <w:marRight w:val="0"/>
                          <w:marTop w:val="0"/>
                          <w:marBottom w:val="0"/>
                          <w:divBdr>
                            <w:top w:val="none" w:sz="0" w:space="0" w:color="auto"/>
                            <w:left w:val="none" w:sz="0" w:space="0" w:color="auto"/>
                            <w:bottom w:val="none" w:sz="0" w:space="0" w:color="auto"/>
                            <w:right w:val="none" w:sz="0" w:space="0" w:color="auto"/>
                          </w:divBdr>
                        </w:div>
                      </w:divsChild>
                    </w:div>
                    <w:div w:id="294139547">
                      <w:marLeft w:val="0"/>
                      <w:marRight w:val="0"/>
                      <w:marTop w:val="0"/>
                      <w:marBottom w:val="0"/>
                      <w:divBdr>
                        <w:top w:val="none" w:sz="0" w:space="0" w:color="auto"/>
                        <w:left w:val="none" w:sz="0" w:space="0" w:color="auto"/>
                        <w:bottom w:val="none" w:sz="0" w:space="0" w:color="auto"/>
                        <w:right w:val="none" w:sz="0" w:space="0" w:color="auto"/>
                      </w:divBdr>
                      <w:divsChild>
                        <w:div w:id="294144762">
                          <w:marLeft w:val="0"/>
                          <w:marRight w:val="0"/>
                          <w:marTop w:val="0"/>
                          <w:marBottom w:val="0"/>
                          <w:divBdr>
                            <w:top w:val="none" w:sz="0" w:space="0" w:color="auto"/>
                            <w:left w:val="none" w:sz="0" w:space="0" w:color="auto"/>
                            <w:bottom w:val="none" w:sz="0" w:space="0" w:color="auto"/>
                            <w:right w:val="none" w:sz="0" w:space="0" w:color="auto"/>
                          </w:divBdr>
                        </w:div>
                      </w:divsChild>
                    </w:div>
                    <w:div w:id="294139562">
                      <w:marLeft w:val="0"/>
                      <w:marRight w:val="0"/>
                      <w:marTop w:val="0"/>
                      <w:marBottom w:val="0"/>
                      <w:divBdr>
                        <w:top w:val="none" w:sz="0" w:space="0" w:color="auto"/>
                        <w:left w:val="none" w:sz="0" w:space="0" w:color="auto"/>
                        <w:bottom w:val="none" w:sz="0" w:space="0" w:color="auto"/>
                        <w:right w:val="none" w:sz="0" w:space="0" w:color="auto"/>
                      </w:divBdr>
                    </w:div>
                    <w:div w:id="294139604">
                      <w:marLeft w:val="0"/>
                      <w:marRight w:val="0"/>
                      <w:marTop w:val="0"/>
                      <w:marBottom w:val="0"/>
                      <w:divBdr>
                        <w:top w:val="none" w:sz="0" w:space="0" w:color="auto"/>
                        <w:left w:val="none" w:sz="0" w:space="0" w:color="auto"/>
                        <w:bottom w:val="none" w:sz="0" w:space="0" w:color="auto"/>
                        <w:right w:val="none" w:sz="0" w:space="0" w:color="auto"/>
                      </w:divBdr>
                      <w:divsChild>
                        <w:div w:id="294148037">
                          <w:marLeft w:val="0"/>
                          <w:marRight w:val="0"/>
                          <w:marTop w:val="0"/>
                          <w:marBottom w:val="0"/>
                          <w:divBdr>
                            <w:top w:val="none" w:sz="0" w:space="0" w:color="auto"/>
                            <w:left w:val="none" w:sz="0" w:space="0" w:color="auto"/>
                            <w:bottom w:val="none" w:sz="0" w:space="0" w:color="auto"/>
                            <w:right w:val="none" w:sz="0" w:space="0" w:color="auto"/>
                          </w:divBdr>
                        </w:div>
                      </w:divsChild>
                    </w:div>
                    <w:div w:id="294139758">
                      <w:marLeft w:val="0"/>
                      <w:marRight w:val="0"/>
                      <w:marTop w:val="0"/>
                      <w:marBottom w:val="0"/>
                      <w:divBdr>
                        <w:top w:val="none" w:sz="0" w:space="0" w:color="auto"/>
                        <w:left w:val="none" w:sz="0" w:space="0" w:color="auto"/>
                        <w:bottom w:val="none" w:sz="0" w:space="0" w:color="auto"/>
                        <w:right w:val="none" w:sz="0" w:space="0" w:color="auto"/>
                      </w:divBdr>
                    </w:div>
                    <w:div w:id="294139812">
                      <w:marLeft w:val="0"/>
                      <w:marRight w:val="0"/>
                      <w:marTop w:val="0"/>
                      <w:marBottom w:val="0"/>
                      <w:divBdr>
                        <w:top w:val="none" w:sz="0" w:space="0" w:color="auto"/>
                        <w:left w:val="none" w:sz="0" w:space="0" w:color="auto"/>
                        <w:bottom w:val="none" w:sz="0" w:space="0" w:color="auto"/>
                        <w:right w:val="none" w:sz="0" w:space="0" w:color="auto"/>
                      </w:divBdr>
                    </w:div>
                    <w:div w:id="294139994">
                      <w:marLeft w:val="0"/>
                      <w:marRight w:val="0"/>
                      <w:marTop w:val="0"/>
                      <w:marBottom w:val="0"/>
                      <w:divBdr>
                        <w:top w:val="none" w:sz="0" w:space="0" w:color="auto"/>
                        <w:left w:val="none" w:sz="0" w:space="0" w:color="auto"/>
                        <w:bottom w:val="none" w:sz="0" w:space="0" w:color="auto"/>
                        <w:right w:val="none" w:sz="0" w:space="0" w:color="auto"/>
                      </w:divBdr>
                      <w:divsChild>
                        <w:div w:id="294152699">
                          <w:marLeft w:val="0"/>
                          <w:marRight w:val="0"/>
                          <w:marTop w:val="0"/>
                          <w:marBottom w:val="0"/>
                          <w:divBdr>
                            <w:top w:val="none" w:sz="0" w:space="0" w:color="auto"/>
                            <w:left w:val="none" w:sz="0" w:space="0" w:color="auto"/>
                            <w:bottom w:val="none" w:sz="0" w:space="0" w:color="auto"/>
                            <w:right w:val="none" w:sz="0" w:space="0" w:color="auto"/>
                          </w:divBdr>
                        </w:div>
                      </w:divsChild>
                    </w:div>
                    <w:div w:id="294140048">
                      <w:marLeft w:val="0"/>
                      <w:marRight w:val="0"/>
                      <w:marTop w:val="0"/>
                      <w:marBottom w:val="0"/>
                      <w:divBdr>
                        <w:top w:val="none" w:sz="0" w:space="0" w:color="auto"/>
                        <w:left w:val="none" w:sz="0" w:space="0" w:color="auto"/>
                        <w:bottom w:val="none" w:sz="0" w:space="0" w:color="auto"/>
                        <w:right w:val="none" w:sz="0" w:space="0" w:color="auto"/>
                      </w:divBdr>
                      <w:divsChild>
                        <w:div w:id="294143991">
                          <w:marLeft w:val="0"/>
                          <w:marRight w:val="0"/>
                          <w:marTop w:val="0"/>
                          <w:marBottom w:val="0"/>
                          <w:divBdr>
                            <w:top w:val="none" w:sz="0" w:space="0" w:color="auto"/>
                            <w:left w:val="none" w:sz="0" w:space="0" w:color="auto"/>
                            <w:bottom w:val="none" w:sz="0" w:space="0" w:color="auto"/>
                            <w:right w:val="none" w:sz="0" w:space="0" w:color="auto"/>
                          </w:divBdr>
                        </w:div>
                      </w:divsChild>
                    </w:div>
                    <w:div w:id="294140062">
                      <w:marLeft w:val="0"/>
                      <w:marRight w:val="0"/>
                      <w:marTop w:val="0"/>
                      <w:marBottom w:val="0"/>
                      <w:divBdr>
                        <w:top w:val="none" w:sz="0" w:space="0" w:color="auto"/>
                        <w:left w:val="none" w:sz="0" w:space="0" w:color="auto"/>
                        <w:bottom w:val="none" w:sz="0" w:space="0" w:color="auto"/>
                        <w:right w:val="none" w:sz="0" w:space="0" w:color="auto"/>
                      </w:divBdr>
                    </w:div>
                    <w:div w:id="294140248">
                      <w:marLeft w:val="0"/>
                      <w:marRight w:val="0"/>
                      <w:marTop w:val="0"/>
                      <w:marBottom w:val="0"/>
                      <w:divBdr>
                        <w:top w:val="none" w:sz="0" w:space="0" w:color="auto"/>
                        <w:left w:val="none" w:sz="0" w:space="0" w:color="auto"/>
                        <w:bottom w:val="none" w:sz="0" w:space="0" w:color="auto"/>
                        <w:right w:val="none" w:sz="0" w:space="0" w:color="auto"/>
                      </w:divBdr>
                      <w:divsChild>
                        <w:div w:id="294143425">
                          <w:marLeft w:val="0"/>
                          <w:marRight w:val="0"/>
                          <w:marTop w:val="0"/>
                          <w:marBottom w:val="0"/>
                          <w:divBdr>
                            <w:top w:val="none" w:sz="0" w:space="0" w:color="auto"/>
                            <w:left w:val="none" w:sz="0" w:space="0" w:color="auto"/>
                            <w:bottom w:val="none" w:sz="0" w:space="0" w:color="auto"/>
                            <w:right w:val="none" w:sz="0" w:space="0" w:color="auto"/>
                          </w:divBdr>
                        </w:div>
                      </w:divsChild>
                    </w:div>
                    <w:div w:id="294140329">
                      <w:marLeft w:val="0"/>
                      <w:marRight w:val="0"/>
                      <w:marTop w:val="0"/>
                      <w:marBottom w:val="0"/>
                      <w:divBdr>
                        <w:top w:val="none" w:sz="0" w:space="0" w:color="auto"/>
                        <w:left w:val="none" w:sz="0" w:space="0" w:color="auto"/>
                        <w:bottom w:val="none" w:sz="0" w:space="0" w:color="auto"/>
                        <w:right w:val="none" w:sz="0" w:space="0" w:color="auto"/>
                      </w:divBdr>
                      <w:divsChild>
                        <w:div w:id="294149142">
                          <w:marLeft w:val="0"/>
                          <w:marRight w:val="0"/>
                          <w:marTop w:val="0"/>
                          <w:marBottom w:val="0"/>
                          <w:divBdr>
                            <w:top w:val="none" w:sz="0" w:space="0" w:color="auto"/>
                            <w:left w:val="none" w:sz="0" w:space="0" w:color="auto"/>
                            <w:bottom w:val="none" w:sz="0" w:space="0" w:color="auto"/>
                            <w:right w:val="none" w:sz="0" w:space="0" w:color="auto"/>
                          </w:divBdr>
                        </w:div>
                      </w:divsChild>
                    </w:div>
                    <w:div w:id="294140489">
                      <w:marLeft w:val="0"/>
                      <w:marRight w:val="0"/>
                      <w:marTop w:val="0"/>
                      <w:marBottom w:val="0"/>
                      <w:divBdr>
                        <w:top w:val="none" w:sz="0" w:space="0" w:color="auto"/>
                        <w:left w:val="none" w:sz="0" w:space="0" w:color="auto"/>
                        <w:bottom w:val="none" w:sz="0" w:space="0" w:color="auto"/>
                        <w:right w:val="none" w:sz="0" w:space="0" w:color="auto"/>
                      </w:divBdr>
                    </w:div>
                    <w:div w:id="294140492">
                      <w:marLeft w:val="0"/>
                      <w:marRight w:val="0"/>
                      <w:marTop w:val="0"/>
                      <w:marBottom w:val="0"/>
                      <w:divBdr>
                        <w:top w:val="none" w:sz="0" w:space="0" w:color="auto"/>
                        <w:left w:val="none" w:sz="0" w:space="0" w:color="auto"/>
                        <w:bottom w:val="none" w:sz="0" w:space="0" w:color="auto"/>
                        <w:right w:val="none" w:sz="0" w:space="0" w:color="auto"/>
                      </w:divBdr>
                    </w:div>
                    <w:div w:id="294140560">
                      <w:marLeft w:val="0"/>
                      <w:marRight w:val="0"/>
                      <w:marTop w:val="0"/>
                      <w:marBottom w:val="0"/>
                      <w:divBdr>
                        <w:top w:val="none" w:sz="0" w:space="0" w:color="auto"/>
                        <w:left w:val="none" w:sz="0" w:space="0" w:color="auto"/>
                        <w:bottom w:val="none" w:sz="0" w:space="0" w:color="auto"/>
                        <w:right w:val="none" w:sz="0" w:space="0" w:color="auto"/>
                      </w:divBdr>
                      <w:divsChild>
                        <w:div w:id="294148375">
                          <w:marLeft w:val="0"/>
                          <w:marRight w:val="0"/>
                          <w:marTop w:val="0"/>
                          <w:marBottom w:val="0"/>
                          <w:divBdr>
                            <w:top w:val="none" w:sz="0" w:space="0" w:color="auto"/>
                            <w:left w:val="none" w:sz="0" w:space="0" w:color="auto"/>
                            <w:bottom w:val="none" w:sz="0" w:space="0" w:color="auto"/>
                            <w:right w:val="none" w:sz="0" w:space="0" w:color="auto"/>
                          </w:divBdr>
                        </w:div>
                      </w:divsChild>
                    </w:div>
                    <w:div w:id="294140568">
                      <w:marLeft w:val="0"/>
                      <w:marRight w:val="0"/>
                      <w:marTop w:val="0"/>
                      <w:marBottom w:val="0"/>
                      <w:divBdr>
                        <w:top w:val="none" w:sz="0" w:space="0" w:color="auto"/>
                        <w:left w:val="none" w:sz="0" w:space="0" w:color="auto"/>
                        <w:bottom w:val="none" w:sz="0" w:space="0" w:color="auto"/>
                        <w:right w:val="none" w:sz="0" w:space="0" w:color="auto"/>
                      </w:divBdr>
                    </w:div>
                    <w:div w:id="294140645">
                      <w:marLeft w:val="0"/>
                      <w:marRight w:val="0"/>
                      <w:marTop w:val="0"/>
                      <w:marBottom w:val="0"/>
                      <w:divBdr>
                        <w:top w:val="none" w:sz="0" w:space="0" w:color="auto"/>
                        <w:left w:val="none" w:sz="0" w:space="0" w:color="auto"/>
                        <w:bottom w:val="none" w:sz="0" w:space="0" w:color="auto"/>
                        <w:right w:val="none" w:sz="0" w:space="0" w:color="auto"/>
                      </w:divBdr>
                    </w:div>
                    <w:div w:id="294140692">
                      <w:marLeft w:val="0"/>
                      <w:marRight w:val="0"/>
                      <w:marTop w:val="0"/>
                      <w:marBottom w:val="0"/>
                      <w:divBdr>
                        <w:top w:val="none" w:sz="0" w:space="0" w:color="auto"/>
                        <w:left w:val="none" w:sz="0" w:space="0" w:color="auto"/>
                        <w:bottom w:val="none" w:sz="0" w:space="0" w:color="auto"/>
                        <w:right w:val="none" w:sz="0" w:space="0" w:color="auto"/>
                      </w:divBdr>
                      <w:divsChild>
                        <w:div w:id="294138931">
                          <w:marLeft w:val="0"/>
                          <w:marRight w:val="0"/>
                          <w:marTop w:val="0"/>
                          <w:marBottom w:val="0"/>
                          <w:divBdr>
                            <w:top w:val="none" w:sz="0" w:space="0" w:color="auto"/>
                            <w:left w:val="none" w:sz="0" w:space="0" w:color="auto"/>
                            <w:bottom w:val="none" w:sz="0" w:space="0" w:color="auto"/>
                            <w:right w:val="none" w:sz="0" w:space="0" w:color="auto"/>
                          </w:divBdr>
                        </w:div>
                      </w:divsChild>
                    </w:div>
                    <w:div w:id="294140696">
                      <w:marLeft w:val="0"/>
                      <w:marRight w:val="0"/>
                      <w:marTop w:val="0"/>
                      <w:marBottom w:val="0"/>
                      <w:divBdr>
                        <w:top w:val="none" w:sz="0" w:space="0" w:color="auto"/>
                        <w:left w:val="none" w:sz="0" w:space="0" w:color="auto"/>
                        <w:bottom w:val="none" w:sz="0" w:space="0" w:color="auto"/>
                        <w:right w:val="none" w:sz="0" w:space="0" w:color="auto"/>
                      </w:divBdr>
                    </w:div>
                    <w:div w:id="294140730">
                      <w:marLeft w:val="0"/>
                      <w:marRight w:val="0"/>
                      <w:marTop w:val="0"/>
                      <w:marBottom w:val="0"/>
                      <w:divBdr>
                        <w:top w:val="none" w:sz="0" w:space="0" w:color="auto"/>
                        <w:left w:val="none" w:sz="0" w:space="0" w:color="auto"/>
                        <w:bottom w:val="none" w:sz="0" w:space="0" w:color="auto"/>
                        <w:right w:val="none" w:sz="0" w:space="0" w:color="auto"/>
                      </w:divBdr>
                    </w:div>
                    <w:div w:id="294140774">
                      <w:marLeft w:val="0"/>
                      <w:marRight w:val="0"/>
                      <w:marTop w:val="0"/>
                      <w:marBottom w:val="0"/>
                      <w:divBdr>
                        <w:top w:val="none" w:sz="0" w:space="0" w:color="auto"/>
                        <w:left w:val="none" w:sz="0" w:space="0" w:color="auto"/>
                        <w:bottom w:val="none" w:sz="0" w:space="0" w:color="auto"/>
                        <w:right w:val="none" w:sz="0" w:space="0" w:color="auto"/>
                      </w:divBdr>
                    </w:div>
                    <w:div w:id="294140882">
                      <w:marLeft w:val="0"/>
                      <w:marRight w:val="0"/>
                      <w:marTop w:val="0"/>
                      <w:marBottom w:val="0"/>
                      <w:divBdr>
                        <w:top w:val="none" w:sz="0" w:space="0" w:color="auto"/>
                        <w:left w:val="none" w:sz="0" w:space="0" w:color="auto"/>
                        <w:bottom w:val="none" w:sz="0" w:space="0" w:color="auto"/>
                        <w:right w:val="none" w:sz="0" w:space="0" w:color="auto"/>
                      </w:divBdr>
                      <w:divsChild>
                        <w:div w:id="294141603">
                          <w:marLeft w:val="0"/>
                          <w:marRight w:val="0"/>
                          <w:marTop w:val="0"/>
                          <w:marBottom w:val="0"/>
                          <w:divBdr>
                            <w:top w:val="none" w:sz="0" w:space="0" w:color="auto"/>
                            <w:left w:val="none" w:sz="0" w:space="0" w:color="auto"/>
                            <w:bottom w:val="none" w:sz="0" w:space="0" w:color="auto"/>
                            <w:right w:val="none" w:sz="0" w:space="0" w:color="auto"/>
                          </w:divBdr>
                        </w:div>
                      </w:divsChild>
                    </w:div>
                    <w:div w:id="294140912">
                      <w:marLeft w:val="0"/>
                      <w:marRight w:val="0"/>
                      <w:marTop w:val="0"/>
                      <w:marBottom w:val="0"/>
                      <w:divBdr>
                        <w:top w:val="none" w:sz="0" w:space="0" w:color="auto"/>
                        <w:left w:val="none" w:sz="0" w:space="0" w:color="auto"/>
                        <w:bottom w:val="none" w:sz="0" w:space="0" w:color="auto"/>
                        <w:right w:val="none" w:sz="0" w:space="0" w:color="auto"/>
                      </w:divBdr>
                      <w:divsChild>
                        <w:div w:id="294149613">
                          <w:marLeft w:val="0"/>
                          <w:marRight w:val="0"/>
                          <w:marTop w:val="0"/>
                          <w:marBottom w:val="0"/>
                          <w:divBdr>
                            <w:top w:val="none" w:sz="0" w:space="0" w:color="auto"/>
                            <w:left w:val="none" w:sz="0" w:space="0" w:color="auto"/>
                            <w:bottom w:val="none" w:sz="0" w:space="0" w:color="auto"/>
                            <w:right w:val="none" w:sz="0" w:space="0" w:color="auto"/>
                          </w:divBdr>
                        </w:div>
                      </w:divsChild>
                    </w:div>
                    <w:div w:id="294140953">
                      <w:marLeft w:val="0"/>
                      <w:marRight w:val="0"/>
                      <w:marTop w:val="0"/>
                      <w:marBottom w:val="0"/>
                      <w:divBdr>
                        <w:top w:val="none" w:sz="0" w:space="0" w:color="auto"/>
                        <w:left w:val="none" w:sz="0" w:space="0" w:color="auto"/>
                        <w:bottom w:val="none" w:sz="0" w:space="0" w:color="auto"/>
                        <w:right w:val="none" w:sz="0" w:space="0" w:color="auto"/>
                      </w:divBdr>
                      <w:divsChild>
                        <w:div w:id="294152451">
                          <w:marLeft w:val="0"/>
                          <w:marRight w:val="0"/>
                          <w:marTop w:val="0"/>
                          <w:marBottom w:val="0"/>
                          <w:divBdr>
                            <w:top w:val="none" w:sz="0" w:space="0" w:color="auto"/>
                            <w:left w:val="none" w:sz="0" w:space="0" w:color="auto"/>
                            <w:bottom w:val="none" w:sz="0" w:space="0" w:color="auto"/>
                            <w:right w:val="none" w:sz="0" w:space="0" w:color="auto"/>
                          </w:divBdr>
                        </w:div>
                      </w:divsChild>
                    </w:div>
                    <w:div w:id="294141109">
                      <w:marLeft w:val="0"/>
                      <w:marRight w:val="0"/>
                      <w:marTop w:val="0"/>
                      <w:marBottom w:val="0"/>
                      <w:divBdr>
                        <w:top w:val="none" w:sz="0" w:space="0" w:color="auto"/>
                        <w:left w:val="none" w:sz="0" w:space="0" w:color="auto"/>
                        <w:bottom w:val="none" w:sz="0" w:space="0" w:color="auto"/>
                        <w:right w:val="none" w:sz="0" w:space="0" w:color="auto"/>
                      </w:divBdr>
                    </w:div>
                    <w:div w:id="294141133">
                      <w:marLeft w:val="0"/>
                      <w:marRight w:val="0"/>
                      <w:marTop w:val="0"/>
                      <w:marBottom w:val="0"/>
                      <w:divBdr>
                        <w:top w:val="none" w:sz="0" w:space="0" w:color="auto"/>
                        <w:left w:val="none" w:sz="0" w:space="0" w:color="auto"/>
                        <w:bottom w:val="none" w:sz="0" w:space="0" w:color="auto"/>
                        <w:right w:val="none" w:sz="0" w:space="0" w:color="auto"/>
                      </w:divBdr>
                    </w:div>
                    <w:div w:id="294141175">
                      <w:marLeft w:val="0"/>
                      <w:marRight w:val="0"/>
                      <w:marTop w:val="0"/>
                      <w:marBottom w:val="0"/>
                      <w:divBdr>
                        <w:top w:val="none" w:sz="0" w:space="0" w:color="auto"/>
                        <w:left w:val="none" w:sz="0" w:space="0" w:color="auto"/>
                        <w:bottom w:val="none" w:sz="0" w:space="0" w:color="auto"/>
                        <w:right w:val="none" w:sz="0" w:space="0" w:color="auto"/>
                      </w:divBdr>
                      <w:divsChild>
                        <w:div w:id="294151592">
                          <w:marLeft w:val="0"/>
                          <w:marRight w:val="0"/>
                          <w:marTop w:val="0"/>
                          <w:marBottom w:val="0"/>
                          <w:divBdr>
                            <w:top w:val="none" w:sz="0" w:space="0" w:color="auto"/>
                            <w:left w:val="none" w:sz="0" w:space="0" w:color="auto"/>
                            <w:bottom w:val="none" w:sz="0" w:space="0" w:color="auto"/>
                            <w:right w:val="none" w:sz="0" w:space="0" w:color="auto"/>
                          </w:divBdr>
                        </w:div>
                      </w:divsChild>
                    </w:div>
                    <w:div w:id="294141269">
                      <w:marLeft w:val="0"/>
                      <w:marRight w:val="0"/>
                      <w:marTop w:val="0"/>
                      <w:marBottom w:val="0"/>
                      <w:divBdr>
                        <w:top w:val="none" w:sz="0" w:space="0" w:color="auto"/>
                        <w:left w:val="none" w:sz="0" w:space="0" w:color="auto"/>
                        <w:bottom w:val="none" w:sz="0" w:space="0" w:color="auto"/>
                        <w:right w:val="none" w:sz="0" w:space="0" w:color="auto"/>
                      </w:divBdr>
                    </w:div>
                    <w:div w:id="294141366">
                      <w:marLeft w:val="0"/>
                      <w:marRight w:val="0"/>
                      <w:marTop w:val="0"/>
                      <w:marBottom w:val="0"/>
                      <w:divBdr>
                        <w:top w:val="none" w:sz="0" w:space="0" w:color="auto"/>
                        <w:left w:val="none" w:sz="0" w:space="0" w:color="auto"/>
                        <w:bottom w:val="none" w:sz="0" w:space="0" w:color="auto"/>
                        <w:right w:val="none" w:sz="0" w:space="0" w:color="auto"/>
                      </w:divBdr>
                    </w:div>
                    <w:div w:id="294141409">
                      <w:marLeft w:val="0"/>
                      <w:marRight w:val="0"/>
                      <w:marTop w:val="0"/>
                      <w:marBottom w:val="0"/>
                      <w:divBdr>
                        <w:top w:val="none" w:sz="0" w:space="0" w:color="auto"/>
                        <w:left w:val="none" w:sz="0" w:space="0" w:color="auto"/>
                        <w:bottom w:val="none" w:sz="0" w:space="0" w:color="auto"/>
                        <w:right w:val="none" w:sz="0" w:space="0" w:color="auto"/>
                      </w:divBdr>
                      <w:divsChild>
                        <w:div w:id="294140544">
                          <w:marLeft w:val="0"/>
                          <w:marRight w:val="0"/>
                          <w:marTop w:val="0"/>
                          <w:marBottom w:val="0"/>
                          <w:divBdr>
                            <w:top w:val="none" w:sz="0" w:space="0" w:color="auto"/>
                            <w:left w:val="none" w:sz="0" w:space="0" w:color="auto"/>
                            <w:bottom w:val="none" w:sz="0" w:space="0" w:color="auto"/>
                            <w:right w:val="none" w:sz="0" w:space="0" w:color="auto"/>
                          </w:divBdr>
                        </w:div>
                      </w:divsChild>
                    </w:div>
                    <w:div w:id="294141489">
                      <w:marLeft w:val="0"/>
                      <w:marRight w:val="0"/>
                      <w:marTop w:val="0"/>
                      <w:marBottom w:val="0"/>
                      <w:divBdr>
                        <w:top w:val="none" w:sz="0" w:space="0" w:color="auto"/>
                        <w:left w:val="none" w:sz="0" w:space="0" w:color="auto"/>
                        <w:bottom w:val="none" w:sz="0" w:space="0" w:color="auto"/>
                        <w:right w:val="none" w:sz="0" w:space="0" w:color="auto"/>
                      </w:divBdr>
                      <w:divsChild>
                        <w:div w:id="294150980">
                          <w:marLeft w:val="0"/>
                          <w:marRight w:val="0"/>
                          <w:marTop w:val="0"/>
                          <w:marBottom w:val="0"/>
                          <w:divBdr>
                            <w:top w:val="none" w:sz="0" w:space="0" w:color="auto"/>
                            <w:left w:val="none" w:sz="0" w:space="0" w:color="auto"/>
                            <w:bottom w:val="none" w:sz="0" w:space="0" w:color="auto"/>
                            <w:right w:val="none" w:sz="0" w:space="0" w:color="auto"/>
                          </w:divBdr>
                        </w:div>
                      </w:divsChild>
                    </w:div>
                    <w:div w:id="294141502">
                      <w:marLeft w:val="0"/>
                      <w:marRight w:val="0"/>
                      <w:marTop w:val="0"/>
                      <w:marBottom w:val="0"/>
                      <w:divBdr>
                        <w:top w:val="none" w:sz="0" w:space="0" w:color="auto"/>
                        <w:left w:val="none" w:sz="0" w:space="0" w:color="auto"/>
                        <w:bottom w:val="none" w:sz="0" w:space="0" w:color="auto"/>
                        <w:right w:val="none" w:sz="0" w:space="0" w:color="auto"/>
                      </w:divBdr>
                    </w:div>
                    <w:div w:id="294141788">
                      <w:marLeft w:val="0"/>
                      <w:marRight w:val="0"/>
                      <w:marTop w:val="0"/>
                      <w:marBottom w:val="0"/>
                      <w:divBdr>
                        <w:top w:val="none" w:sz="0" w:space="0" w:color="auto"/>
                        <w:left w:val="none" w:sz="0" w:space="0" w:color="auto"/>
                        <w:bottom w:val="none" w:sz="0" w:space="0" w:color="auto"/>
                        <w:right w:val="none" w:sz="0" w:space="0" w:color="auto"/>
                      </w:divBdr>
                      <w:divsChild>
                        <w:div w:id="294144491">
                          <w:marLeft w:val="0"/>
                          <w:marRight w:val="0"/>
                          <w:marTop w:val="0"/>
                          <w:marBottom w:val="0"/>
                          <w:divBdr>
                            <w:top w:val="none" w:sz="0" w:space="0" w:color="auto"/>
                            <w:left w:val="none" w:sz="0" w:space="0" w:color="auto"/>
                            <w:bottom w:val="none" w:sz="0" w:space="0" w:color="auto"/>
                            <w:right w:val="none" w:sz="0" w:space="0" w:color="auto"/>
                          </w:divBdr>
                        </w:div>
                      </w:divsChild>
                    </w:div>
                    <w:div w:id="294141833">
                      <w:marLeft w:val="0"/>
                      <w:marRight w:val="0"/>
                      <w:marTop w:val="0"/>
                      <w:marBottom w:val="0"/>
                      <w:divBdr>
                        <w:top w:val="none" w:sz="0" w:space="0" w:color="auto"/>
                        <w:left w:val="none" w:sz="0" w:space="0" w:color="auto"/>
                        <w:bottom w:val="none" w:sz="0" w:space="0" w:color="auto"/>
                        <w:right w:val="none" w:sz="0" w:space="0" w:color="auto"/>
                      </w:divBdr>
                      <w:divsChild>
                        <w:div w:id="294152307">
                          <w:marLeft w:val="0"/>
                          <w:marRight w:val="0"/>
                          <w:marTop w:val="0"/>
                          <w:marBottom w:val="0"/>
                          <w:divBdr>
                            <w:top w:val="none" w:sz="0" w:space="0" w:color="auto"/>
                            <w:left w:val="none" w:sz="0" w:space="0" w:color="auto"/>
                            <w:bottom w:val="none" w:sz="0" w:space="0" w:color="auto"/>
                            <w:right w:val="none" w:sz="0" w:space="0" w:color="auto"/>
                          </w:divBdr>
                        </w:div>
                      </w:divsChild>
                    </w:div>
                    <w:div w:id="294141846">
                      <w:marLeft w:val="0"/>
                      <w:marRight w:val="0"/>
                      <w:marTop w:val="0"/>
                      <w:marBottom w:val="0"/>
                      <w:divBdr>
                        <w:top w:val="none" w:sz="0" w:space="0" w:color="auto"/>
                        <w:left w:val="none" w:sz="0" w:space="0" w:color="auto"/>
                        <w:bottom w:val="none" w:sz="0" w:space="0" w:color="auto"/>
                        <w:right w:val="none" w:sz="0" w:space="0" w:color="auto"/>
                      </w:divBdr>
                    </w:div>
                    <w:div w:id="294141876">
                      <w:marLeft w:val="0"/>
                      <w:marRight w:val="0"/>
                      <w:marTop w:val="0"/>
                      <w:marBottom w:val="0"/>
                      <w:divBdr>
                        <w:top w:val="none" w:sz="0" w:space="0" w:color="auto"/>
                        <w:left w:val="none" w:sz="0" w:space="0" w:color="auto"/>
                        <w:bottom w:val="none" w:sz="0" w:space="0" w:color="auto"/>
                        <w:right w:val="none" w:sz="0" w:space="0" w:color="auto"/>
                      </w:divBdr>
                      <w:divsChild>
                        <w:div w:id="294151588">
                          <w:marLeft w:val="0"/>
                          <w:marRight w:val="0"/>
                          <w:marTop w:val="0"/>
                          <w:marBottom w:val="0"/>
                          <w:divBdr>
                            <w:top w:val="none" w:sz="0" w:space="0" w:color="auto"/>
                            <w:left w:val="none" w:sz="0" w:space="0" w:color="auto"/>
                            <w:bottom w:val="none" w:sz="0" w:space="0" w:color="auto"/>
                            <w:right w:val="none" w:sz="0" w:space="0" w:color="auto"/>
                          </w:divBdr>
                        </w:div>
                      </w:divsChild>
                    </w:div>
                    <w:div w:id="294141962">
                      <w:marLeft w:val="0"/>
                      <w:marRight w:val="0"/>
                      <w:marTop w:val="0"/>
                      <w:marBottom w:val="0"/>
                      <w:divBdr>
                        <w:top w:val="none" w:sz="0" w:space="0" w:color="auto"/>
                        <w:left w:val="none" w:sz="0" w:space="0" w:color="auto"/>
                        <w:bottom w:val="none" w:sz="0" w:space="0" w:color="auto"/>
                        <w:right w:val="none" w:sz="0" w:space="0" w:color="auto"/>
                      </w:divBdr>
                    </w:div>
                    <w:div w:id="294141988">
                      <w:marLeft w:val="0"/>
                      <w:marRight w:val="0"/>
                      <w:marTop w:val="0"/>
                      <w:marBottom w:val="0"/>
                      <w:divBdr>
                        <w:top w:val="none" w:sz="0" w:space="0" w:color="auto"/>
                        <w:left w:val="none" w:sz="0" w:space="0" w:color="auto"/>
                        <w:bottom w:val="none" w:sz="0" w:space="0" w:color="auto"/>
                        <w:right w:val="none" w:sz="0" w:space="0" w:color="auto"/>
                      </w:divBdr>
                      <w:divsChild>
                        <w:div w:id="294156661">
                          <w:marLeft w:val="0"/>
                          <w:marRight w:val="0"/>
                          <w:marTop w:val="0"/>
                          <w:marBottom w:val="0"/>
                          <w:divBdr>
                            <w:top w:val="none" w:sz="0" w:space="0" w:color="auto"/>
                            <w:left w:val="none" w:sz="0" w:space="0" w:color="auto"/>
                            <w:bottom w:val="none" w:sz="0" w:space="0" w:color="auto"/>
                            <w:right w:val="none" w:sz="0" w:space="0" w:color="auto"/>
                          </w:divBdr>
                        </w:div>
                      </w:divsChild>
                    </w:div>
                    <w:div w:id="294142023">
                      <w:marLeft w:val="0"/>
                      <w:marRight w:val="0"/>
                      <w:marTop w:val="0"/>
                      <w:marBottom w:val="0"/>
                      <w:divBdr>
                        <w:top w:val="none" w:sz="0" w:space="0" w:color="auto"/>
                        <w:left w:val="none" w:sz="0" w:space="0" w:color="auto"/>
                        <w:bottom w:val="none" w:sz="0" w:space="0" w:color="auto"/>
                        <w:right w:val="none" w:sz="0" w:space="0" w:color="auto"/>
                      </w:divBdr>
                      <w:divsChild>
                        <w:div w:id="294140654">
                          <w:marLeft w:val="0"/>
                          <w:marRight w:val="0"/>
                          <w:marTop w:val="0"/>
                          <w:marBottom w:val="0"/>
                          <w:divBdr>
                            <w:top w:val="none" w:sz="0" w:space="0" w:color="auto"/>
                            <w:left w:val="none" w:sz="0" w:space="0" w:color="auto"/>
                            <w:bottom w:val="none" w:sz="0" w:space="0" w:color="auto"/>
                            <w:right w:val="none" w:sz="0" w:space="0" w:color="auto"/>
                          </w:divBdr>
                        </w:div>
                      </w:divsChild>
                    </w:div>
                    <w:div w:id="294142032">
                      <w:marLeft w:val="0"/>
                      <w:marRight w:val="0"/>
                      <w:marTop w:val="0"/>
                      <w:marBottom w:val="0"/>
                      <w:divBdr>
                        <w:top w:val="none" w:sz="0" w:space="0" w:color="auto"/>
                        <w:left w:val="none" w:sz="0" w:space="0" w:color="auto"/>
                        <w:bottom w:val="none" w:sz="0" w:space="0" w:color="auto"/>
                        <w:right w:val="none" w:sz="0" w:space="0" w:color="auto"/>
                      </w:divBdr>
                      <w:divsChild>
                        <w:div w:id="294151713">
                          <w:marLeft w:val="0"/>
                          <w:marRight w:val="0"/>
                          <w:marTop w:val="0"/>
                          <w:marBottom w:val="0"/>
                          <w:divBdr>
                            <w:top w:val="none" w:sz="0" w:space="0" w:color="auto"/>
                            <w:left w:val="none" w:sz="0" w:space="0" w:color="auto"/>
                            <w:bottom w:val="none" w:sz="0" w:space="0" w:color="auto"/>
                            <w:right w:val="none" w:sz="0" w:space="0" w:color="auto"/>
                          </w:divBdr>
                        </w:div>
                      </w:divsChild>
                    </w:div>
                    <w:div w:id="294142053">
                      <w:marLeft w:val="0"/>
                      <w:marRight w:val="0"/>
                      <w:marTop w:val="0"/>
                      <w:marBottom w:val="0"/>
                      <w:divBdr>
                        <w:top w:val="none" w:sz="0" w:space="0" w:color="auto"/>
                        <w:left w:val="none" w:sz="0" w:space="0" w:color="auto"/>
                        <w:bottom w:val="none" w:sz="0" w:space="0" w:color="auto"/>
                        <w:right w:val="none" w:sz="0" w:space="0" w:color="auto"/>
                      </w:divBdr>
                      <w:divsChild>
                        <w:div w:id="294157336">
                          <w:marLeft w:val="0"/>
                          <w:marRight w:val="0"/>
                          <w:marTop w:val="0"/>
                          <w:marBottom w:val="0"/>
                          <w:divBdr>
                            <w:top w:val="none" w:sz="0" w:space="0" w:color="auto"/>
                            <w:left w:val="none" w:sz="0" w:space="0" w:color="auto"/>
                            <w:bottom w:val="none" w:sz="0" w:space="0" w:color="auto"/>
                            <w:right w:val="none" w:sz="0" w:space="0" w:color="auto"/>
                          </w:divBdr>
                        </w:div>
                      </w:divsChild>
                    </w:div>
                    <w:div w:id="294142105">
                      <w:marLeft w:val="0"/>
                      <w:marRight w:val="0"/>
                      <w:marTop w:val="0"/>
                      <w:marBottom w:val="0"/>
                      <w:divBdr>
                        <w:top w:val="none" w:sz="0" w:space="0" w:color="auto"/>
                        <w:left w:val="none" w:sz="0" w:space="0" w:color="auto"/>
                        <w:bottom w:val="none" w:sz="0" w:space="0" w:color="auto"/>
                        <w:right w:val="none" w:sz="0" w:space="0" w:color="auto"/>
                      </w:divBdr>
                      <w:divsChild>
                        <w:div w:id="294150848">
                          <w:marLeft w:val="0"/>
                          <w:marRight w:val="0"/>
                          <w:marTop w:val="0"/>
                          <w:marBottom w:val="0"/>
                          <w:divBdr>
                            <w:top w:val="none" w:sz="0" w:space="0" w:color="auto"/>
                            <w:left w:val="none" w:sz="0" w:space="0" w:color="auto"/>
                            <w:bottom w:val="none" w:sz="0" w:space="0" w:color="auto"/>
                            <w:right w:val="none" w:sz="0" w:space="0" w:color="auto"/>
                          </w:divBdr>
                        </w:div>
                      </w:divsChild>
                    </w:div>
                    <w:div w:id="294142173">
                      <w:marLeft w:val="0"/>
                      <w:marRight w:val="0"/>
                      <w:marTop w:val="0"/>
                      <w:marBottom w:val="0"/>
                      <w:divBdr>
                        <w:top w:val="none" w:sz="0" w:space="0" w:color="auto"/>
                        <w:left w:val="none" w:sz="0" w:space="0" w:color="auto"/>
                        <w:bottom w:val="none" w:sz="0" w:space="0" w:color="auto"/>
                        <w:right w:val="none" w:sz="0" w:space="0" w:color="auto"/>
                      </w:divBdr>
                      <w:divsChild>
                        <w:div w:id="294147403">
                          <w:marLeft w:val="0"/>
                          <w:marRight w:val="0"/>
                          <w:marTop w:val="0"/>
                          <w:marBottom w:val="0"/>
                          <w:divBdr>
                            <w:top w:val="none" w:sz="0" w:space="0" w:color="auto"/>
                            <w:left w:val="none" w:sz="0" w:space="0" w:color="auto"/>
                            <w:bottom w:val="none" w:sz="0" w:space="0" w:color="auto"/>
                            <w:right w:val="none" w:sz="0" w:space="0" w:color="auto"/>
                          </w:divBdr>
                        </w:div>
                      </w:divsChild>
                    </w:div>
                    <w:div w:id="294142322">
                      <w:marLeft w:val="0"/>
                      <w:marRight w:val="0"/>
                      <w:marTop w:val="0"/>
                      <w:marBottom w:val="0"/>
                      <w:divBdr>
                        <w:top w:val="none" w:sz="0" w:space="0" w:color="auto"/>
                        <w:left w:val="none" w:sz="0" w:space="0" w:color="auto"/>
                        <w:bottom w:val="none" w:sz="0" w:space="0" w:color="auto"/>
                        <w:right w:val="none" w:sz="0" w:space="0" w:color="auto"/>
                      </w:divBdr>
                    </w:div>
                    <w:div w:id="294142468">
                      <w:marLeft w:val="0"/>
                      <w:marRight w:val="0"/>
                      <w:marTop w:val="0"/>
                      <w:marBottom w:val="0"/>
                      <w:divBdr>
                        <w:top w:val="none" w:sz="0" w:space="0" w:color="auto"/>
                        <w:left w:val="none" w:sz="0" w:space="0" w:color="auto"/>
                        <w:bottom w:val="none" w:sz="0" w:space="0" w:color="auto"/>
                        <w:right w:val="none" w:sz="0" w:space="0" w:color="auto"/>
                      </w:divBdr>
                      <w:divsChild>
                        <w:div w:id="294153492">
                          <w:marLeft w:val="0"/>
                          <w:marRight w:val="0"/>
                          <w:marTop w:val="0"/>
                          <w:marBottom w:val="0"/>
                          <w:divBdr>
                            <w:top w:val="none" w:sz="0" w:space="0" w:color="auto"/>
                            <w:left w:val="none" w:sz="0" w:space="0" w:color="auto"/>
                            <w:bottom w:val="none" w:sz="0" w:space="0" w:color="auto"/>
                            <w:right w:val="none" w:sz="0" w:space="0" w:color="auto"/>
                          </w:divBdr>
                        </w:div>
                      </w:divsChild>
                    </w:div>
                    <w:div w:id="294142479">
                      <w:marLeft w:val="0"/>
                      <w:marRight w:val="0"/>
                      <w:marTop w:val="0"/>
                      <w:marBottom w:val="0"/>
                      <w:divBdr>
                        <w:top w:val="none" w:sz="0" w:space="0" w:color="auto"/>
                        <w:left w:val="none" w:sz="0" w:space="0" w:color="auto"/>
                        <w:bottom w:val="none" w:sz="0" w:space="0" w:color="auto"/>
                        <w:right w:val="none" w:sz="0" w:space="0" w:color="auto"/>
                      </w:divBdr>
                    </w:div>
                    <w:div w:id="294142675">
                      <w:marLeft w:val="0"/>
                      <w:marRight w:val="0"/>
                      <w:marTop w:val="0"/>
                      <w:marBottom w:val="0"/>
                      <w:divBdr>
                        <w:top w:val="none" w:sz="0" w:space="0" w:color="auto"/>
                        <w:left w:val="none" w:sz="0" w:space="0" w:color="auto"/>
                        <w:bottom w:val="none" w:sz="0" w:space="0" w:color="auto"/>
                        <w:right w:val="none" w:sz="0" w:space="0" w:color="auto"/>
                      </w:divBdr>
                      <w:divsChild>
                        <w:div w:id="294145773">
                          <w:marLeft w:val="0"/>
                          <w:marRight w:val="0"/>
                          <w:marTop w:val="0"/>
                          <w:marBottom w:val="0"/>
                          <w:divBdr>
                            <w:top w:val="none" w:sz="0" w:space="0" w:color="auto"/>
                            <w:left w:val="none" w:sz="0" w:space="0" w:color="auto"/>
                            <w:bottom w:val="none" w:sz="0" w:space="0" w:color="auto"/>
                            <w:right w:val="none" w:sz="0" w:space="0" w:color="auto"/>
                          </w:divBdr>
                        </w:div>
                      </w:divsChild>
                    </w:div>
                    <w:div w:id="294142721">
                      <w:marLeft w:val="0"/>
                      <w:marRight w:val="0"/>
                      <w:marTop w:val="0"/>
                      <w:marBottom w:val="0"/>
                      <w:divBdr>
                        <w:top w:val="none" w:sz="0" w:space="0" w:color="auto"/>
                        <w:left w:val="none" w:sz="0" w:space="0" w:color="auto"/>
                        <w:bottom w:val="none" w:sz="0" w:space="0" w:color="auto"/>
                        <w:right w:val="none" w:sz="0" w:space="0" w:color="auto"/>
                      </w:divBdr>
                    </w:div>
                    <w:div w:id="294142723">
                      <w:marLeft w:val="0"/>
                      <w:marRight w:val="0"/>
                      <w:marTop w:val="0"/>
                      <w:marBottom w:val="0"/>
                      <w:divBdr>
                        <w:top w:val="none" w:sz="0" w:space="0" w:color="auto"/>
                        <w:left w:val="none" w:sz="0" w:space="0" w:color="auto"/>
                        <w:bottom w:val="none" w:sz="0" w:space="0" w:color="auto"/>
                        <w:right w:val="none" w:sz="0" w:space="0" w:color="auto"/>
                      </w:divBdr>
                    </w:div>
                    <w:div w:id="294142792">
                      <w:marLeft w:val="0"/>
                      <w:marRight w:val="0"/>
                      <w:marTop w:val="0"/>
                      <w:marBottom w:val="0"/>
                      <w:divBdr>
                        <w:top w:val="none" w:sz="0" w:space="0" w:color="auto"/>
                        <w:left w:val="none" w:sz="0" w:space="0" w:color="auto"/>
                        <w:bottom w:val="none" w:sz="0" w:space="0" w:color="auto"/>
                        <w:right w:val="none" w:sz="0" w:space="0" w:color="auto"/>
                      </w:divBdr>
                    </w:div>
                    <w:div w:id="294142799">
                      <w:marLeft w:val="0"/>
                      <w:marRight w:val="0"/>
                      <w:marTop w:val="0"/>
                      <w:marBottom w:val="0"/>
                      <w:divBdr>
                        <w:top w:val="none" w:sz="0" w:space="0" w:color="auto"/>
                        <w:left w:val="none" w:sz="0" w:space="0" w:color="auto"/>
                        <w:bottom w:val="none" w:sz="0" w:space="0" w:color="auto"/>
                        <w:right w:val="none" w:sz="0" w:space="0" w:color="auto"/>
                      </w:divBdr>
                    </w:div>
                    <w:div w:id="294142811">
                      <w:marLeft w:val="0"/>
                      <w:marRight w:val="0"/>
                      <w:marTop w:val="0"/>
                      <w:marBottom w:val="0"/>
                      <w:divBdr>
                        <w:top w:val="none" w:sz="0" w:space="0" w:color="auto"/>
                        <w:left w:val="none" w:sz="0" w:space="0" w:color="auto"/>
                        <w:bottom w:val="none" w:sz="0" w:space="0" w:color="auto"/>
                        <w:right w:val="none" w:sz="0" w:space="0" w:color="auto"/>
                      </w:divBdr>
                      <w:divsChild>
                        <w:div w:id="294141332">
                          <w:marLeft w:val="0"/>
                          <w:marRight w:val="0"/>
                          <w:marTop w:val="0"/>
                          <w:marBottom w:val="0"/>
                          <w:divBdr>
                            <w:top w:val="none" w:sz="0" w:space="0" w:color="auto"/>
                            <w:left w:val="none" w:sz="0" w:space="0" w:color="auto"/>
                            <w:bottom w:val="none" w:sz="0" w:space="0" w:color="auto"/>
                            <w:right w:val="none" w:sz="0" w:space="0" w:color="auto"/>
                          </w:divBdr>
                        </w:div>
                      </w:divsChild>
                    </w:div>
                    <w:div w:id="294142852">
                      <w:marLeft w:val="0"/>
                      <w:marRight w:val="0"/>
                      <w:marTop w:val="0"/>
                      <w:marBottom w:val="0"/>
                      <w:divBdr>
                        <w:top w:val="none" w:sz="0" w:space="0" w:color="auto"/>
                        <w:left w:val="none" w:sz="0" w:space="0" w:color="auto"/>
                        <w:bottom w:val="none" w:sz="0" w:space="0" w:color="auto"/>
                        <w:right w:val="none" w:sz="0" w:space="0" w:color="auto"/>
                      </w:divBdr>
                      <w:divsChild>
                        <w:div w:id="294145564">
                          <w:marLeft w:val="0"/>
                          <w:marRight w:val="0"/>
                          <w:marTop w:val="0"/>
                          <w:marBottom w:val="0"/>
                          <w:divBdr>
                            <w:top w:val="none" w:sz="0" w:space="0" w:color="auto"/>
                            <w:left w:val="none" w:sz="0" w:space="0" w:color="auto"/>
                            <w:bottom w:val="none" w:sz="0" w:space="0" w:color="auto"/>
                            <w:right w:val="none" w:sz="0" w:space="0" w:color="auto"/>
                          </w:divBdr>
                        </w:div>
                      </w:divsChild>
                    </w:div>
                    <w:div w:id="294142881">
                      <w:marLeft w:val="0"/>
                      <w:marRight w:val="0"/>
                      <w:marTop w:val="0"/>
                      <w:marBottom w:val="0"/>
                      <w:divBdr>
                        <w:top w:val="none" w:sz="0" w:space="0" w:color="auto"/>
                        <w:left w:val="none" w:sz="0" w:space="0" w:color="auto"/>
                        <w:bottom w:val="none" w:sz="0" w:space="0" w:color="auto"/>
                        <w:right w:val="none" w:sz="0" w:space="0" w:color="auto"/>
                      </w:divBdr>
                      <w:divsChild>
                        <w:div w:id="294151522">
                          <w:marLeft w:val="0"/>
                          <w:marRight w:val="0"/>
                          <w:marTop w:val="0"/>
                          <w:marBottom w:val="0"/>
                          <w:divBdr>
                            <w:top w:val="none" w:sz="0" w:space="0" w:color="auto"/>
                            <w:left w:val="none" w:sz="0" w:space="0" w:color="auto"/>
                            <w:bottom w:val="none" w:sz="0" w:space="0" w:color="auto"/>
                            <w:right w:val="none" w:sz="0" w:space="0" w:color="auto"/>
                          </w:divBdr>
                        </w:div>
                      </w:divsChild>
                    </w:div>
                    <w:div w:id="294142892">
                      <w:marLeft w:val="0"/>
                      <w:marRight w:val="0"/>
                      <w:marTop w:val="0"/>
                      <w:marBottom w:val="0"/>
                      <w:divBdr>
                        <w:top w:val="none" w:sz="0" w:space="0" w:color="auto"/>
                        <w:left w:val="none" w:sz="0" w:space="0" w:color="auto"/>
                        <w:bottom w:val="none" w:sz="0" w:space="0" w:color="auto"/>
                        <w:right w:val="none" w:sz="0" w:space="0" w:color="auto"/>
                      </w:divBdr>
                    </w:div>
                    <w:div w:id="294142904">
                      <w:marLeft w:val="0"/>
                      <w:marRight w:val="0"/>
                      <w:marTop w:val="0"/>
                      <w:marBottom w:val="0"/>
                      <w:divBdr>
                        <w:top w:val="none" w:sz="0" w:space="0" w:color="auto"/>
                        <w:left w:val="none" w:sz="0" w:space="0" w:color="auto"/>
                        <w:bottom w:val="none" w:sz="0" w:space="0" w:color="auto"/>
                        <w:right w:val="none" w:sz="0" w:space="0" w:color="auto"/>
                      </w:divBdr>
                    </w:div>
                    <w:div w:id="294142943">
                      <w:marLeft w:val="0"/>
                      <w:marRight w:val="0"/>
                      <w:marTop w:val="0"/>
                      <w:marBottom w:val="0"/>
                      <w:divBdr>
                        <w:top w:val="none" w:sz="0" w:space="0" w:color="auto"/>
                        <w:left w:val="none" w:sz="0" w:space="0" w:color="auto"/>
                        <w:bottom w:val="none" w:sz="0" w:space="0" w:color="auto"/>
                        <w:right w:val="none" w:sz="0" w:space="0" w:color="auto"/>
                      </w:divBdr>
                      <w:divsChild>
                        <w:div w:id="294154508">
                          <w:marLeft w:val="0"/>
                          <w:marRight w:val="0"/>
                          <w:marTop w:val="0"/>
                          <w:marBottom w:val="0"/>
                          <w:divBdr>
                            <w:top w:val="none" w:sz="0" w:space="0" w:color="auto"/>
                            <w:left w:val="none" w:sz="0" w:space="0" w:color="auto"/>
                            <w:bottom w:val="none" w:sz="0" w:space="0" w:color="auto"/>
                            <w:right w:val="none" w:sz="0" w:space="0" w:color="auto"/>
                          </w:divBdr>
                        </w:div>
                      </w:divsChild>
                    </w:div>
                    <w:div w:id="294142955">
                      <w:marLeft w:val="0"/>
                      <w:marRight w:val="0"/>
                      <w:marTop w:val="0"/>
                      <w:marBottom w:val="0"/>
                      <w:divBdr>
                        <w:top w:val="none" w:sz="0" w:space="0" w:color="auto"/>
                        <w:left w:val="none" w:sz="0" w:space="0" w:color="auto"/>
                        <w:bottom w:val="none" w:sz="0" w:space="0" w:color="auto"/>
                        <w:right w:val="none" w:sz="0" w:space="0" w:color="auto"/>
                      </w:divBdr>
                    </w:div>
                    <w:div w:id="294142975">
                      <w:marLeft w:val="0"/>
                      <w:marRight w:val="0"/>
                      <w:marTop w:val="0"/>
                      <w:marBottom w:val="0"/>
                      <w:divBdr>
                        <w:top w:val="none" w:sz="0" w:space="0" w:color="auto"/>
                        <w:left w:val="none" w:sz="0" w:space="0" w:color="auto"/>
                        <w:bottom w:val="none" w:sz="0" w:space="0" w:color="auto"/>
                        <w:right w:val="none" w:sz="0" w:space="0" w:color="auto"/>
                      </w:divBdr>
                    </w:div>
                    <w:div w:id="294142998">
                      <w:marLeft w:val="0"/>
                      <w:marRight w:val="0"/>
                      <w:marTop w:val="0"/>
                      <w:marBottom w:val="0"/>
                      <w:divBdr>
                        <w:top w:val="none" w:sz="0" w:space="0" w:color="auto"/>
                        <w:left w:val="none" w:sz="0" w:space="0" w:color="auto"/>
                        <w:bottom w:val="none" w:sz="0" w:space="0" w:color="auto"/>
                        <w:right w:val="none" w:sz="0" w:space="0" w:color="auto"/>
                      </w:divBdr>
                      <w:divsChild>
                        <w:div w:id="294155355">
                          <w:marLeft w:val="0"/>
                          <w:marRight w:val="0"/>
                          <w:marTop w:val="0"/>
                          <w:marBottom w:val="0"/>
                          <w:divBdr>
                            <w:top w:val="none" w:sz="0" w:space="0" w:color="auto"/>
                            <w:left w:val="none" w:sz="0" w:space="0" w:color="auto"/>
                            <w:bottom w:val="none" w:sz="0" w:space="0" w:color="auto"/>
                            <w:right w:val="none" w:sz="0" w:space="0" w:color="auto"/>
                          </w:divBdr>
                        </w:div>
                      </w:divsChild>
                    </w:div>
                    <w:div w:id="294143012">
                      <w:marLeft w:val="0"/>
                      <w:marRight w:val="0"/>
                      <w:marTop w:val="0"/>
                      <w:marBottom w:val="0"/>
                      <w:divBdr>
                        <w:top w:val="none" w:sz="0" w:space="0" w:color="auto"/>
                        <w:left w:val="none" w:sz="0" w:space="0" w:color="auto"/>
                        <w:bottom w:val="none" w:sz="0" w:space="0" w:color="auto"/>
                        <w:right w:val="none" w:sz="0" w:space="0" w:color="auto"/>
                      </w:divBdr>
                    </w:div>
                    <w:div w:id="294143082">
                      <w:marLeft w:val="0"/>
                      <w:marRight w:val="0"/>
                      <w:marTop w:val="0"/>
                      <w:marBottom w:val="0"/>
                      <w:divBdr>
                        <w:top w:val="none" w:sz="0" w:space="0" w:color="auto"/>
                        <w:left w:val="none" w:sz="0" w:space="0" w:color="auto"/>
                        <w:bottom w:val="none" w:sz="0" w:space="0" w:color="auto"/>
                        <w:right w:val="none" w:sz="0" w:space="0" w:color="auto"/>
                      </w:divBdr>
                    </w:div>
                    <w:div w:id="294143094">
                      <w:marLeft w:val="0"/>
                      <w:marRight w:val="0"/>
                      <w:marTop w:val="0"/>
                      <w:marBottom w:val="0"/>
                      <w:divBdr>
                        <w:top w:val="none" w:sz="0" w:space="0" w:color="auto"/>
                        <w:left w:val="none" w:sz="0" w:space="0" w:color="auto"/>
                        <w:bottom w:val="none" w:sz="0" w:space="0" w:color="auto"/>
                        <w:right w:val="none" w:sz="0" w:space="0" w:color="auto"/>
                      </w:divBdr>
                    </w:div>
                    <w:div w:id="294143098">
                      <w:marLeft w:val="0"/>
                      <w:marRight w:val="0"/>
                      <w:marTop w:val="0"/>
                      <w:marBottom w:val="0"/>
                      <w:divBdr>
                        <w:top w:val="none" w:sz="0" w:space="0" w:color="auto"/>
                        <w:left w:val="none" w:sz="0" w:space="0" w:color="auto"/>
                        <w:bottom w:val="none" w:sz="0" w:space="0" w:color="auto"/>
                        <w:right w:val="none" w:sz="0" w:space="0" w:color="auto"/>
                      </w:divBdr>
                    </w:div>
                    <w:div w:id="294143310">
                      <w:marLeft w:val="0"/>
                      <w:marRight w:val="0"/>
                      <w:marTop w:val="0"/>
                      <w:marBottom w:val="0"/>
                      <w:divBdr>
                        <w:top w:val="none" w:sz="0" w:space="0" w:color="auto"/>
                        <w:left w:val="none" w:sz="0" w:space="0" w:color="auto"/>
                        <w:bottom w:val="none" w:sz="0" w:space="0" w:color="auto"/>
                        <w:right w:val="none" w:sz="0" w:space="0" w:color="auto"/>
                      </w:divBdr>
                      <w:divsChild>
                        <w:div w:id="294148135">
                          <w:marLeft w:val="0"/>
                          <w:marRight w:val="0"/>
                          <w:marTop w:val="0"/>
                          <w:marBottom w:val="0"/>
                          <w:divBdr>
                            <w:top w:val="none" w:sz="0" w:space="0" w:color="auto"/>
                            <w:left w:val="none" w:sz="0" w:space="0" w:color="auto"/>
                            <w:bottom w:val="none" w:sz="0" w:space="0" w:color="auto"/>
                            <w:right w:val="none" w:sz="0" w:space="0" w:color="auto"/>
                          </w:divBdr>
                        </w:div>
                      </w:divsChild>
                    </w:div>
                    <w:div w:id="294143372">
                      <w:marLeft w:val="0"/>
                      <w:marRight w:val="0"/>
                      <w:marTop w:val="0"/>
                      <w:marBottom w:val="0"/>
                      <w:divBdr>
                        <w:top w:val="none" w:sz="0" w:space="0" w:color="auto"/>
                        <w:left w:val="none" w:sz="0" w:space="0" w:color="auto"/>
                        <w:bottom w:val="none" w:sz="0" w:space="0" w:color="auto"/>
                        <w:right w:val="none" w:sz="0" w:space="0" w:color="auto"/>
                      </w:divBdr>
                      <w:divsChild>
                        <w:div w:id="294143698">
                          <w:marLeft w:val="0"/>
                          <w:marRight w:val="0"/>
                          <w:marTop w:val="0"/>
                          <w:marBottom w:val="0"/>
                          <w:divBdr>
                            <w:top w:val="none" w:sz="0" w:space="0" w:color="auto"/>
                            <w:left w:val="none" w:sz="0" w:space="0" w:color="auto"/>
                            <w:bottom w:val="none" w:sz="0" w:space="0" w:color="auto"/>
                            <w:right w:val="none" w:sz="0" w:space="0" w:color="auto"/>
                          </w:divBdr>
                        </w:div>
                      </w:divsChild>
                    </w:div>
                    <w:div w:id="294143390">
                      <w:marLeft w:val="0"/>
                      <w:marRight w:val="0"/>
                      <w:marTop w:val="0"/>
                      <w:marBottom w:val="0"/>
                      <w:divBdr>
                        <w:top w:val="none" w:sz="0" w:space="0" w:color="auto"/>
                        <w:left w:val="none" w:sz="0" w:space="0" w:color="auto"/>
                        <w:bottom w:val="none" w:sz="0" w:space="0" w:color="auto"/>
                        <w:right w:val="none" w:sz="0" w:space="0" w:color="auto"/>
                      </w:divBdr>
                      <w:divsChild>
                        <w:div w:id="294149529">
                          <w:marLeft w:val="0"/>
                          <w:marRight w:val="0"/>
                          <w:marTop w:val="0"/>
                          <w:marBottom w:val="0"/>
                          <w:divBdr>
                            <w:top w:val="none" w:sz="0" w:space="0" w:color="auto"/>
                            <w:left w:val="none" w:sz="0" w:space="0" w:color="auto"/>
                            <w:bottom w:val="none" w:sz="0" w:space="0" w:color="auto"/>
                            <w:right w:val="none" w:sz="0" w:space="0" w:color="auto"/>
                          </w:divBdr>
                        </w:div>
                      </w:divsChild>
                    </w:div>
                    <w:div w:id="294143444">
                      <w:marLeft w:val="0"/>
                      <w:marRight w:val="0"/>
                      <w:marTop w:val="0"/>
                      <w:marBottom w:val="0"/>
                      <w:divBdr>
                        <w:top w:val="none" w:sz="0" w:space="0" w:color="auto"/>
                        <w:left w:val="none" w:sz="0" w:space="0" w:color="auto"/>
                        <w:bottom w:val="none" w:sz="0" w:space="0" w:color="auto"/>
                        <w:right w:val="none" w:sz="0" w:space="0" w:color="auto"/>
                      </w:divBdr>
                      <w:divsChild>
                        <w:div w:id="294150856">
                          <w:marLeft w:val="0"/>
                          <w:marRight w:val="0"/>
                          <w:marTop w:val="0"/>
                          <w:marBottom w:val="0"/>
                          <w:divBdr>
                            <w:top w:val="none" w:sz="0" w:space="0" w:color="auto"/>
                            <w:left w:val="none" w:sz="0" w:space="0" w:color="auto"/>
                            <w:bottom w:val="none" w:sz="0" w:space="0" w:color="auto"/>
                            <w:right w:val="none" w:sz="0" w:space="0" w:color="auto"/>
                          </w:divBdr>
                        </w:div>
                      </w:divsChild>
                    </w:div>
                    <w:div w:id="294143549">
                      <w:marLeft w:val="0"/>
                      <w:marRight w:val="0"/>
                      <w:marTop w:val="0"/>
                      <w:marBottom w:val="0"/>
                      <w:divBdr>
                        <w:top w:val="none" w:sz="0" w:space="0" w:color="auto"/>
                        <w:left w:val="none" w:sz="0" w:space="0" w:color="auto"/>
                        <w:bottom w:val="none" w:sz="0" w:space="0" w:color="auto"/>
                        <w:right w:val="none" w:sz="0" w:space="0" w:color="auto"/>
                      </w:divBdr>
                      <w:divsChild>
                        <w:div w:id="294141448">
                          <w:marLeft w:val="0"/>
                          <w:marRight w:val="0"/>
                          <w:marTop w:val="0"/>
                          <w:marBottom w:val="0"/>
                          <w:divBdr>
                            <w:top w:val="none" w:sz="0" w:space="0" w:color="auto"/>
                            <w:left w:val="none" w:sz="0" w:space="0" w:color="auto"/>
                            <w:bottom w:val="none" w:sz="0" w:space="0" w:color="auto"/>
                            <w:right w:val="none" w:sz="0" w:space="0" w:color="auto"/>
                          </w:divBdr>
                        </w:div>
                      </w:divsChild>
                    </w:div>
                    <w:div w:id="294143578">
                      <w:marLeft w:val="0"/>
                      <w:marRight w:val="0"/>
                      <w:marTop w:val="0"/>
                      <w:marBottom w:val="0"/>
                      <w:divBdr>
                        <w:top w:val="none" w:sz="0" w:space="0" w:color="auto"/>
                        <w:left w:val="none" w:sz="0" w:space="0" w:color="auto"/>
                        <w:bottom w:val="none" w:sz="0" w:space="0" w:color="auto"/>
                        <w:right w:val="none" w:sz="0" w:space="0" w:color="auto"/>
                      </w:divBdr>
                    </w:div>
                    <w:div w:id="294143688">
                      <w:marLeft w:val="0"/>
                      <w:marRight w:val="0"/>
                      <w:marTop w:val="0"/>
                      <w:marBottom w:val="0"/>
                      <w:divBdr>
                        <w:top w:val="none" w:sz="0" w:space="0" w:color="auto"/>
                        <w:left w:val="none" w:sz="0" w:space="0" w:color="auto"/>
                        <w:bottom w:val="none" w:sz="0" w:space="0" w:color="auto"/>
                        <w:right w:val="none" w:sz="0" w:space="0" w:color="auto"/>
                      </w:divBdr>
                      <w:divsChild>
                        <w:div w:id="294145260">
                          <w:marLeft w:val="0"/>
                          <w:marRight w:val="0"/>
                          <w:marTop w:val="0"/>
                          <w:marBottom w:val="0"/>
                          <w:divBdr>
                            <w:top w:val="none" w:sz="0" w:space="0" w:color="auto"/>
                            <w:left w:val="none" w:sz="0" w:space="0" w:color="auto"/>
                            <w:bottom w:val="none" w:sz="0" w:space="0" w:color="auto"/>
                            <w:right w:val="none" w:sz="0" w:space="0" w:color="auto"/>
                          </w:divBdr>
                        </w:div>
                      </w:divsChild>
                    </w:div>
                    <w:div w:id="294143901">
                      <w:marLeft w:val="0"/>
                      <w:marRight w:val="0"/>
                      <w:marTop w:val="0"/>
                      <w:marBottom w:val="0"/>
                      <w:divBdr>
                        <w:top w:val="none" w:sz="0" w:space="0" w:color="auto"/>
                        <w:left w:val="none" w:sz="0" w:space="0" w:color="auto"/>
                        <w:bottom w:val="none" w:sz="0" w:space="0" w:color="auto"/>
                        <w:right w:val="none" w:sz="0" w:space="0" w:color="auto"/>
                      </w:divBdr>
                      <w:divsChild>
                        <w:div w:id="294143108">
                          <w:marLeft w:val="0"/>
                          <w:marRight w:val="0"/>
                          <w:marTop w:val="0"/>
                          <w:marBottom w:val="0"/>
                          <w:divBdr>
                            <w:top w:val="none" w:sz="0" w:space="0" w:color="auto"/>
                            <w:left w:val="none" w:sz="0" w:space="0" w:color="auto"/>
                            <w:bottom w:val="none" w:sz="0" w:space="0" w:color="auto"/>
                            <w:right w:val="none" w:sz="0" w:space="0" w:color="auto"/>
                          </w:divBdr>
                        </w:div>
                      </w:divsChild>
                    </w:div>
                    <w:div w:id="294143928">
                      <w:marLeft w:val="0"/>
                      <w:marRight w:val="0"/>
                      <w:marTop w:val="0"/>
                      <w:marBottom w:val="0"/>
                      <w:divBdr>
                        <w:top w:val="none" w:sz="0" w:space="0" w:color="auto"/>
                        <w:left w:val="none" w:sz="0" w:space="0" w:color="auto"/>
                        <w:bottom w:val="none" w:sz="0" w:space="0" w:color="auto"/>
                        <w:right w:val="none" w:sz="0" w:space="0" w:color="auto"/>
                      </w:divBdr>
                    </w:div>
                    <w:div w:id="294143931">
                      <w:marLeft w:val="0"/>
                      <w:marRight w:val="0"/>
                      <w:marTop w:val="0"/>
                      <w:marBottom w:val="0"/>
                      <w:divBdr>
                        <w:top w:val="none" w:sz="0" w:space="0" w:color="auto"/>
                        <w:left w:val="none" w:sz="0" w:space="0" w:color="auto"/>
                        <w:bottom w:val="none" w:sz="0" w:space="0" w:color="auto"/>
                        <w:right w:val="none" w:sz="0" w:space="0" w:color="auto"/>
                      </w:divBdr>
                      <w:divsChild>
                        <w:div w:id="294141481">
                          <w:marLeft w:val="0"/>
                          <w:marRight w:val="0"/>
                          <w:marTop w:val="0"/>
                          <w:marBottom w:val="0"/>
                          <w:divBdr>
                            <w:top w:val="none" w:sz="0" w:space="0" w:color="auto"/>
                            <w:left w:val="none" w:sz="0" w:space="0" w:color="auto"/>
                            <w:bottom w:val="none" w:sz="0" w:space="0" w:color="auto"/>
                            <w:right w:val="none" w:sz="0" w:space="0" w:color="auto"/>
                          </w:divBdr>
                        </w:div>
                      </w:divsChild>
                    </w:div>
                    <w:div w:id="294143937">
                      <w:marLeft w:val="0"/>
                      <w:marRight w:val="0"/>
                      <w:marTop w:val="0"/>
                      <w:marBottom w:val="0"/>
                      <w:divBdr>
                        <w:top w:val="none" w:sz="0" w:space="0" w:color="auto"/>
                        <w:left w:val="none" w:sz="0" w:space="0" w:color="auto"/>
                        <w:bottom w:val="none" w:sz="0" w:space="0" w:color="auto"/>
                        <w:right w:val="none" w:sz="0" w:space="0" w:color="auto"/>
                      </w:divBdr>
                      <w:divsChild>
                        <w:div w:id="294152371">
                          <w:marLeft w:val="0"/>
                          <w:marRight w:val="0"/>
                          <w:marTop w:val="0"/>
                          <w:marBottom w:val="0"/>
                          <w:divBdr>
                            <w:top w:val="none" w:sz="0" w:space="0" w:color="auto"/>
                            <w:left w:val="none" w:sz="0" w:space="0" w:color="auto"/>
                            <w:bottom w:val="none" w:sz="0" w:space="0" w:color="auto"/>
                            <w:right w:val="none" w:sz="0" w:space="0" w:color="auto"/>
                          </w:divBdr>
                        </w:div>
                      </w:divsChild>
                    </w:div>
                    <w:div w:id="294143961">
                      <w:marLeft w:val="0"/>
                      <w:marRight w:val="0"/>
                      <w:marTop w:val="0"/>
                      <w:marBottom w:val="0"/>
                      <w:divBdr>
                        <w:top w:val="none" w:sz="0" w:space="0" w:color="auto"/>
                        <w:left w:val="none" w:sz="0" w:space="0" w:color="auto"/>
                        <w:bottom w:val="none" w:sz="0" w:space="0" w:color="auto"/>
                        <w:right w:val="none" w:sz="0" w:space="0" w:color="auto"/>
                      </w:divBdr>
                      <w:divsChild>
                        <w:div w:id="294149890">
                          <w:marLeft w:val="0"/>
                          <w:marRight w:val="0"/>
                          <w:marTop w:val="0"/>
                          <w:marBottom w:val="0"/>
                          <w:divBdr>
                            <w:top w:val="none" w:sz="0" w:space="0" w:color="auto"/>
                            <w:left w:val="none" w:sz="0" w:space="0" w:color="auto"/>
                            <w:bottom w:val="none" w:sz="0" w:space="0" w:color="auto"/>
                            <w:right w:val="none" w:sz="0" w:space="0" w:color="auto"/>
                          </w:divBdr>
                        </w:div>
                      </w:divsChild>
                    </w:div>
                    <w:div w:id="294144002">
                      <w:marLeft w:val="0"/>
                      <w:marRight w:val="0"/>
                      <w:marTop w:val="0"/>
                      <w:marBottom w:val="0"/>
                      <w:divBdr>
                        <w:top w:val="none" w:sz="0" w:space="0" w:color="auto"/>
                        <w:left w:val="none" w:sz="0" w:space="0" w:color="auto"/>
                        <w:bottom w:val="none" w:sz="0" w:space="0" w:color="auto"/>
                        <w:right w:val="none" w:sz="0" w:space="0" w:color="auto"/>
                      </w:divBdr>
                      <w:divsChild>
                        <w:div w:id="294144787">
                          <w:marLeft w:val="0"/>
                          <w:marRight w:val="0"/>
                          <w:marTop w:val="0"/>
                          <w:marBottom w:val="0"/>
                          <w:divBdr>
                            <w:top w:val="none" w:sz="0" w:space="0" w:color="auto"/>
                            <w:left w:val="none" w:sz="0" w:space="0" w:color="auto"/>
                            <w:bottom w:val="none" w:sz="0" w:space="0" w:color="auto"/>
                            <w:right w:val="none" w:sz="0" w:space="0" w:color="auto"/>
                          </w:divBdr>
                        </w:div>
                      </w:divsChild>
                    </w:div>
                    <w:div w:id="294144105">
                      <w:marLeft w:val="0"/>
                      <w:marRight w:val="0"/>
                      <w:marTop w:val="0"/>
                      <w:marBottom w:val="0"/>
                      <w:divBdr>
                        <w:top w:val="none" w:sz="0" w:space="0" w:color="auto"/>
                        <w:left w:val="none" w:sz="0" w:space="0" w:color="auto"/>
                        <w:bottom w:val="none" w:sz="0" w:space="0" w:color="auto"/>
                        <w:right w:val="none" w:sz="0" w:space="0" w:color="auto"/>
                      </w:divBdr>
                      <w:divsChild>
                        <w:div w:id="294144899">
                          <w:marLeft w:val="0"/>
                          <w:marRight w:val="0"/>
                          <w:marTop w:val="0"/>
                          <w:marBottom w:val="0"/>
                          <w:divBdr>
                            <w:top w:val="none" w:sz="0" w:space="0" w:color="auto"/>
                            <w:left w:val="none" w:sz="0" w:space="0" w:color="auto"/>
                            <w:bottom w:val="none" w:sz="0" w:space="0" w:color="auto"/>
                            <w:right w:val="none" w:sz="0" w:space="0" w:color="auto"/>
                          </w:divBdr>
                        </w:div>
                      </w:divsChild>
                    </w:div>
                    <w:div w:id="294144111">
                      <w:marLeft w:val="0"/>
                      <w:marRight w:val="0"/>
                      <w:marTop w:val="0"/>
                      <w:marBottom w:val="0"/>
                      <w:divBdr>
                        <w:top w:val="none" w:sz="0" w:space="0" w:color="auto"/>
                        <w:left w:val="none" w:sz="0" w:space="0" w:color="auto"/>
                        <w:bottom w:val="none" w:sz="0" w:space="0" w:color="auto"/>
                        <w:right w:val="none" w:sz="0" w:space="0" w:color="auto"/>
                      </w:divBdr>
                    </w:div>
                    <w:div w:id="294144114">
                      <w:marLeft w:val="0"/>
                      <w:marRight w:val="0"/>
                      <w:marTop w:val="0"/>
                      <w:marBottom w:val="0"/>
                      <w:divBdr>
                        <w:top w:val="none" w:sz="0" w:space="0" w:color="auto"/>
                        <w:left w:val="none" w:sz="0" w:space="0" w:color="auto"/>
                        <w:bottom w:val="none" w:sz="0" w:space="0" w:color="auto"/>
                        <w:right w:val="none" w:sz="0" w:space="0" w:color="auto"/>
                      </w:divBdr>
                    </w:div>
                    <w:div w:id="294144233">
                      <w:marLeft w:val="0"/>
                      <w:marRight w:val="0"/>
                      <w:marTop w:val="0"/>
                      <w:marBottom w:val="0"/>
                      <w:divBdr>
                        <w:top w:val="none" w:sz="0" w:space="0" w:color="auto"/>
                        <w:left w:val="none" w:sz="0" w:space="0" w:color="auto"/>
                        <w:bottom w:val="none" w:sz="0" w:space="0" w:color="auto"/>
                        <w:right w:val="none" w:sz="0" w:space="0" w:color="auto"/>
                      </w:divBdr>
                    </w:div>
                    <w:div w:id="294144291">
                      <w:marLeft w:val="0"/>
                      <w:marRight w:val="0"/>
                      <w:marTop w:val="0"/>
                      <w:marBottom w:val="0"/>
                      <w:divBdr>
                        <w:top w:val="none" w:sz="0" w:space="0" w:color="auto"/>
                        <w:left w:val="none" w:sz="0" w:space="0" w:color="auto"/>
                        <w:bottom w:val="none" w:sz="0" w:space="0" w:color="auto"/>
                        <w:right w:val="none" w:sz="0" w:space="0" w:color="auto"/>
                      </w:divBdr>
                      <w:divsChild>
                        <w:div w:id="294139315">
                          <w:marLeft w:val="0"/>
                          <w:marRight w:val="0"/>
                          <w:marTop w:val="0"/>
                          <w:marBottom w:val="0"/>
                          <w:divBdr>
                            <w:top w:val="none" w:sz="0" w:space="0" w:color="auto"/>
                            <w:left w:val="none" w:sz="0" w:space="0" w:color="auto"/>
                            <w:bottom w:val="none" w:sz="0" w:space="0" w:color="auto"/>
                            <w:right w:val="none" w:sz="0" w:space="0" w:color="auto"/>
                          </w:divBdr>
                        </w:div>
                      </w:divsChild>
                    </w:div>
                    <w:div w:id="294144341">
                      <w:marLeft w:val="0"/>
                      <w:marRight w:val="0"/>
                      <w:marTop w:val="0"/>
                      <w:marBottom w:val="0"/>
                      <w:divBdr>
                        <w:top w:val="none" w:sz="0" w:space="0" w:color="auto"/>
                        <w:left w:val="none" w:sz="0" w:space="0" w:color="auto"/>
                        <w:bottom w:val="none" w:sz="0" w:space="0" w:color="auto"/>
                        <w:right w:val="none" w:sz="0" w:space="0" w:color="auto"/>
                      </w:divBdr>
                      <w:divsChild>
                        <w:div w:id="294155920">
                          <w:marLeft w:val="0"/>
                          <w:marRight w:val="0"/>
                          <w:marTop w:val="0"/>
                          <w:marBottom w:val="0"/>
                          <w:divBdr>
                            <w:top w:val="none" w:sz="0" w:space="0" w:color="auto"/>
                            <w:left w:val="none" w:sz="0" w:space="0" w:color="auto"/>
                            <w:bottom w:val="none" w:sz="0" w:space="0" w:color="auto"/>
                            <w:right w:val="none" w:sz="0" w:space="0" w:color="auto"/>
                          </w:divBdr>
                        </w:div>
                      </w:divsChild>
                    </w:div>
                    <w:div w:id="294144379">
                      <w:marLeft w:val="0"/>
                      <w:marRight w:val="0"/>
                      <w:marTop w:val="0"/>
                      <w:marBottom w:val="0"/>
                      <w:divBdr>
                        <w:top w:val="none" w:sz="0" w:space="0" w:color="auto"/>
                        <w:left w:val="none" w:sz="0" w:space="0" w:color="auto"/>
                        <w:bottom w:val="none" w:sz="0" w:space="0" w:color="auto"/>
                        <w:right w:val="none" w:sz="0" w:space="0" w:color="auto"/>
                      </w:divBdr>
                    </w:div>
                    <w:div w:id="294144498">
                      <w:marLeft w:val="0"/>
                      <w:marRight w:val="0"/>
                      <w:marTop w:val="0"/>
                      <w:marBottom w:val="0"/>
                      <w:divBdr>
                        <w:top w:val="none" w:sz="0" w:space="0" w:color="auto"/>
                        <w:left w:val="none" w:sz="0" w:space="0" w:color="auto"/>
                        <w:bottom w:val="none" w:sz="0" w:space="0" w:color="auto"/>
                        <w:right w:val="none" w:sz="0" w:space="0" w:color="auto"/>
                      </w:divBdr>
                    </w:div>
                    <w:div w:id="294144651">
                      <w:marLeft w:val="0"/>
                      <w:marRight w:val="0"/>
                      <w:marTop w:val="0"/>
                      <w:marBottom w:val="0"/>
                      <w:divBdr>
                        <w:top w:val="none" w:sz="0" w:space="0" w:color="auto"/>
                        <w:left w:val="none" w:sz="0" w:space="0" w:color="auto"/>
                        <w:bottom w:val="none" w:sz="0" w:space="0" w:color="auto"/>
                        <w:right w:val="none" w:sz="0" w:space="0" w:color="auto"/>
                      </w:divBdr>
                      <w:divsChild>
                        <w:div w:id="294145976">
                          <w:marLeft w:val="0"/>
                          <w:marRight w:val="0"/>
                          <w:marTop w:val="0"/>
                          <w:marBottom w:val="0"/>
                          <w:divBdr>
                            <w:top w:val="none" w:sz="0" w:space="0" w:color="auto"/>
                            <w:left w:val="none" w:sz="0" w:space="0" w:color="auto"/>
                            <w:bottom w:val="none" w:sz="0" w:space="0" w:color="auto"/>
                            <w:right w:val="none" w:sz="0" w:space="0" w:color="auto"/>
                          </w:divBdr>
                        </w:div>
                      </w:divsChild>
                    </w:div>
                    <w:div w:id="294144694">
                      <w:marLeft w:val="0"/>
                      <w:marRight w:val="0"/>
                      <w:marTop w:val="0"/>
                      <w:marBottom w:val="0"/>
                      <w:divBdr>
                        <w:top w:val="none" w:sz="0" w:space="0" w:color="auto"/>
                        <w:left w:val="none" w:sz="0" w:space="0" w:color="auto"/>
                        <w:bottom w:val="none" w:sz="0" w:space="0" w:color="auto"/>
                        <w:right w:val="none" w:sz="0" w:space="0" w:color="auto"/>
                      </w:divBdr>
                    </w:div>
                    <w:div w:id="294144737">
                      <w:marLeft w:val="0"/>
                      <w:marRight w:val="0"/>
                      <w:marTop w:val="0"/>
                      <w:marBottom w:val="0"/>
                      <w:divBdr>
                        <w:top w:val="none" w:sz="0" w:space="0" w:color="auto"/>
                        <w:left w:val="none" w:sz="0" w:space="0" w:color="auto"/>
                        <w:bottom w:val="none" w:sz="0" w:space="0" w:color="auto"/>
                        <w:right w:val="none" w:sz="0" w:space="0" w:color="auto"/>
                      </w:divBdr>
                      <w:divsChild>
                        <w:div w:id="294157167">
                          <w:marLeft w:val="0"/>
                          <w:marRight w:val="0"/>
                          <w:marTop w:val="0"/>
                          <w:marBottom w:val="0"/>
                          <w:divBdr>
                            <w:top w:val="none" w:sz="0" w:space="0" w:color="auto"/>
                            <w:left w:val="none" w:sz="0" w:space="0" w:color="auto"/>
                            <w:bottom w:val="none" w:sz="0" w:space="0" w:color="auto"/>
                            <w:right w:val="none" w:sz="0" w:space="0" w:color="auto"/>
                          </w:divBdr>
                        </w:div>
                      </w:divsChild>
                    </w:div>
                    <w:div w:id="294144861">
                      <w:marLeft w:val="0"/>
                      <w:marRight w:val="0"/>
                      <w:marTop w:val="0"/>
                      <w:marBottom w:val="0"/>
                      <w:divBdr>
                        <w:top w:val="none" w:sz="0" w:space="0" w:color="auto"/>
                        <w:left w:val="none" w:sz="0" w:space="0" w:color="auto"/>
                        <w:bottom w:val="none" w:sz="0" w:space="0" w:color="auto"/>
                        <w:right w:val="none" w:sz="0" w:space="0" w:color="auto"/>
                      </w:divBdr>
                    </w:div>
                    <w:div w:id="294144923">
                      <w:marLeft w:val="0"/>
                      <w:marRight w:val="0"/>
                      <w:marTop w:val="0"/>
                      <w:marBottom w:val="0"/>
                      <w:divBdr>
                        <w:top w:val="none" w:sz="0" w:space="0" w:color="auto"/>
                        <w:left w:val="none" w:sz="0" w:space="0" w:color="auto"/>
                        <w:bottom w:val="none" w:sz="0" w:space="0" w:color="auto"/>
                        <w:right w:val="none" w:sz="0" w:space="0" w:color="auto"/>
                      </w:divBdr>
                      <w:divsChild>
                        <w:div w:id="294154251">
                          <w:marLeft w:val="0"/>
                          <w:marRight w:val="0"/>
                          <w:marTop w:val="0"/>
                          <w:marBottom w:val="0"/>
                          <w:divBdr>
                            <w:top w:val="none" w:sz="0" w:space="0" w:color="auto"/>
                            <w:left w:val="none" w:sz="0" w:space="0" w:color="auto"/>
                            <w:bottom w:val="none" w:sz="0" w:space="0" w:color="auto"/>
                            <w:right w:val="none" w:sz="0" w:space="0" w:color="auto"/>
                          </w:divBdr>
                        </w:div>
                      </w:divsChild>
                    </w:div>
                    <w:div w:id="294144937">
                      <w:marLeft w:val="0"/>
                      <w:marRight w:val="0"/>
                      <w:marTop w:val="0"/>
                      <w:marBottom w:val="0"/>
                      <w:divBdr>
                        <w:top w:val="none" w:sz="0" w:space="0" w:color="auto"/>
                        <w:left w:val="none" w:sz="0" w:space="0" w:color="auto"/>
                        <w:bottom w:val="none" w:sz="0" w:space="0" w:color="auto"/>
                        <w:right w:val="none" w:sz="0" w:space="0" w:color="auto"/>
                      </w:divBdr>
                    </w:div>
                    <w:div w:id="294144967">
                      <w:marLeft w:val="0"/>
                      <w:marRight w:val="0"/>
                      <w:marTop w:val="0"/>
                      <w:marBottom w:val="0"/>
                      <w:divBdr>
                        <w:top w:val="none" w:sz="0" w:space="0" w:color="auto"/>
                        <w:left w:val="none" w:sz="0" w:space="0" w:color="auto"/>
                        <w:bottom w:val="none" w:sz="0" w:space="0" w:color="auto"/>
                        <w:right w:val="none" w:sz="0" w:space="0" w:color="auto"/>
                      </w:divBdr>
                      <w:divsChild>
                        <w:div w:id="294154983">
                          <w:marLeft w:val="0"/>
                          <w:marRight w:val="0"/>
                          <w:marTop w:val="0"/>
                          <w:marBottom w:val="0"/>
                          <w:divBdr>
                            <w:top w:val="none" w:sz="0" w:space="0" w:color="auto"/>
                            <w:left w:val="none" w:sz="0" w:space="0" w:color="auto"/>
                            <w:bottom w:val="none" w:sz="0" w:space="0" w:color="auto"/>
                            <w:right w:val="none" w:sz="0" w:space="0" w:color="auto"/>
                          </w:divBdr>
                        </w:div>
                      </w:divsChild>
                    </w:div>
                    <w:div w:id="294145161">
                      <w:marLeft w:val="0"/>
                      <w:marRight w:val="0"/>
                      <w:marTop w:val="0"/>
                      <w:marBottom w:val="0"/>
                      <w:divBdr>
                        <w:top w:val="none" w:sz="0" w:space="0" w:color="auto"/>
                        <w:left w:val="none" w:sz="0" w:space="0" w:color="auto"/>
                        <w:bottom w:val="none" w:sz="0" w:space="0" w:color="auto"/>
                        <w:right w:val="none" w:sz="0" w:space="0" w:color="auto"/>
                      </w:divBdr>
                      <w:divsChild>
                        <w:div w:id="294150747">
                          <w:marLeft w:val="0"/>
                          <w:marRight w:val="0"/>
                          <w:marTop w:val="0"/>
                          <w:marBottom w:val="0"/>
                          <w:divBdr>
                            <w:top w:val="none" w:sz="0" w:space="0" w:color="auto"/>
                            <w:left w:val="none" w:sz="0" w:space="0" w:color="auto"/>
                            <w:bottom w:val="none" w:sz="0" w:space="0" w:color="auto"/>
                            <w:right w:val="none" w:sz="0" w:space="0" w:color="auto"/>
                          </w:divBdr>
                        </w:div>
                      </w:divsChild>
                    </w:div>
                    <w:div w:id="294145166">
                      <w:marLeft w:val="0"/>
                      <w:marRight w:val="0"/>
                      <w:marTop w:val="0"/>
                      <w:marBottom w:val="0"/>
                      <w:divBdr>
                        <w:top w:val="none" w:sz="0" w:space="0" w:color="auto"/>
                        <w:left w:val="none" w:sz="0" w:space="0" w:color="auto"/>
                        <w:bottom w:val="none" w:sz="0" w:space="0" w:color="auto"/>
                        <w:right w:val="none" w:sz="0" w:space="0" w:color="auto"/>
                      </w:divBdr>
                      <w:divsChild>
                        <w:div w:id="294148982">
                          <w:marLeft w:val="0"/>
                          <w:marRight w:val="0"/>
                          <w:marTop w:val="0"/>
                          <w:marBottom w:val="0"/>
                          <w:divBdr>
                            <w:top w:val="none" w:sz="0" w:space="0" w:color="auto"/>
                            <w:left w:val="none" w:sz="0" w:space="0" w:color="auto"/>
                            <w:bottom w:val="none" w:sz="0" w:space="0" w:color="auto"/>
                            <w:right w:val="none" w:sz="0" w:space="0" w:color="auto"/>
                          </w:divBdr>
                        </w:div>
                      </w:divsChild>
                    </w:div>
                    <w:div w:id="294145350">
                      <w:marLeft w:val="0"/>
                      <w:marRight w:val="0"/>
                      <w:marTop w:val="0"/>
                      <w:marBottom w:val="0"/>
                      <w:divBdr>
                        <w:top w:val="none" w:sz="0" w:space="0" w:color="auto"/>
                        <w:left w:val="none" w:sz="0" w:space="0" w:color="auto"/>
                        <w:bottom w:val="none" w:sz="0" w:space="0" w:color="auto"/>
                        <w:right w:val="none" w:sz="0" w:space="0" w:color="auto"/>
                      </w:divBdr>
                      <w:divsChild>
                        <w:div w:id="294141838">
                          <w:marLeft w:val="0"/>
                          <w:marRight w:val="0"/>
                          <w:marTop w:val="0"/>
                          <w:marBottom w:val="0"/>
                          <w:divBdr>
                            <w:top w:val="none" w:sz="0" w:space="0" w:color="auto"/>
                            <w:left w:val="none" w:sz="0" w:space="0" w:color="auto"/>
                            <w:bottom w:val="none" w:sz="0" w:space="0" w:color="auto"/>
                            <w:right w:val="none" w:sz="0" w:space="0" w:color="auto"/>
                          </w:divBdr>
                        </w:div>
                      </w:divsChild>
                    </w:div>
                    <w:div w:id="294145408">
                      <w:marLeft w:val="0"/>
                      <w:marRight w:val="0"/>
                      <w:marTop w:val="0"/>
                      <w:marBottom w:val="0"/>
                      <w:divBdr>
                        <w:top w:val="none" w:sz="0" w:space="0" w:color="auto"/>
                        <w:left w:val="none" w:sz="0" w:space="0" w:color="auto"/>
                        <w:bottom w:val="none" w:sz="0" w:space="0" w:color="auto"/>
                        <w:right w:val="none" w:sz="0" w:space="0" w:color="auto"/>
                      </w:divBdr>
                    </w:div>
                    <w:div w:id="294145708">
                      <w:marLeft w:val="0"/>
                      <w:marRight w:val="0"/>
                      <w:marTop w:val="0"/>
                      <w:marBottom w:val="0"/>
                      <w:divBdr>
                        <w:top w:val="none" w:sz="0" w:space="0" w:color="auto"/>
                        <w:left w:val="none" w:sz="0" w:space="0" w:color="auto"/>
                        <w:bottom w:val="none" w:sz="0" w:space="0" w:color="auto"/>
                        <w:right w:val="none" w:sz="0" w:space="0" w:color="auto"/>
                      </w:divBdr>
                    </w:div>
                    <w:div w:id="294145745">
                      <w:marLeft w:val="0"/>
                      <w:marRight w:val="0"/>
                      <w:marTop w:val="0"/>
                      <w:marBottom w:val="0"/>
                      <w:divBdr>
                        <w:top w:val="none" w:sz="0" w:space="0" w:color="auto"/>
                        <w:left w:val="none" w:sz="0" w:space="0" w:color="auto"/>
                        <w:bottom w:val="none" w:sz="0" w:space="0" w:color="auto"/>
                        <w:right w:val="none" w:sz="0" w:space="0" w:color="auto"/>
                      </w:divBdr>
                      <w:divsChild>
                        <w:div w:id="294140599">
                          <w:marLeft w:val="0"/>
                          <w:marRight w:val="0"/>
                          <w:marTop w:val="0"/>
                          <w:marBottom w:val="0"/>
                          <w:divBdr>
                            <w:top w:val="none" w:sz="0" w:space="0" w:color="auto"/>
                            <w:left w:val="none" w:sz="0" w:space="0" w:color="auto"/>
                            <w:bottom w:val="none" w:sz="0" w:space="0" w:color="auto"/>
                            <w:right w:val="none" w:sz="0" w:space="0" w:color="auto"/>
                          </w:divBdr>
                        </w:div>
                      </w:divsChild>
                    </w:div>
                    <w:div w:id="294145775">
                      <w:marLeft w:val="0"/>
                      <w:marRight w:val="0"/>
                      <w:marTop w:val="0"/>
                      <w:marBottom w:val="0"/>
                      <w:divBdr>
                        <w:top w:val="none" w:sz="0" w:space="0" w:color="auto"/>
                        <w:left w:val="none" w:sz="0" w:space="0" w:color="auto"/>
                        <w:bottom w:val="none" w:sz="0" w:space="0" w:color="auto"/>
                        <w:right w:val="none" w:sz="0" w:space="0" w:color="auto"/>
                      </w:divBdr>
                    </w:div>
                    <w:div w:id="294145797">
                      <w:marLeft w:val="0"/>
                      <w:marRight w:val="0"/>
                      <w:marTop w:val="0"/>
                      <w:marBottom w:val="0"/>
                      <w:divBdr>
                        <w:top w:val="none" w:sz="0" w:space="0" w:color="auto"/>
                        <w:left w:val="none" w:sz="0" w:space="0" w:color="auto"/>
                        <w:bottom w:val="none" w:sz="0" w:space="0" w:color="auto"/>
                        <w:right w:val="none" w:sz="0" w:space="0" w:color="auto"/>
                      </w:divBdr>
                      <w:divsChild>
                        <w:div w:id="294145085">
                          <w:marLeft w:val="0"/>
                          <w:marRight w:val="0"/>
                          <w:marTop w:val="0"/>
                          <w:marBottom w:val="0"/>
                          <w:divBdr>
                            <w:top w:val="none" w:sz="0" w:space="0" w:color="auto"/>
                            <w:left w:val="none" w:sz="0" w:space="0" w:color="auto"/>
                            <w:bottom w:val="none" w:sz="0" w:space="0" w:color="auto"/>
                            <w:right w:val="none" w:sz="0" w:space="0" w:color="auto"/>
                          </w:divBdr>
                        </w:div>
                      </w:divsChild>
                    </w:div>
                    <w:div w:id="294145814">
                      <w:marLeft w:val="0"/>
                      <w:marRight w:val="0"/>
                      <w:marTop w:val="0"/>
                      <w:marBottom w:val="0"/>
                      <w:divBdr>
                        <w:top w:val="none" w:sz="0" w:space="0" w:color="auto"/>
                        <w:left w:val="none" w:sz="0" w:space="0" w:color="auto"/>
                        <w:bottom w:val="none" w:sz="0" w:space="0" w:color="auto"/>
                        <w:right w:val="none" w:sz="0" w:space="0" w:color="auto"/>
                      </w:divBdr>
                      <w:divsChild>
                        <w:div w:id="294156439">
                          <w:marLeft w:val="0"/>
                          <w:marRight w:val="0"/>
                          <w:marTop w:val="0"/>
                          <w:marBottom w:val="0"/>
                          <w:divBdr>
                            <w:top w:val="none" w:sz="0" w:space="0" w:color="auto"/>
                            <w:left w:val="none" w:sz="0" w:space="0" w:color="auto"/>
                            <w:bottom w:val="none" w:sz="0" w:space="0" w:color="auto"/>
                            <w:right w:val="none" w:sz="0" w:space="0" w:color="auto"/>
                          </w:divBdr>
                        </w:div>
                      </w:divsChild>
                    </w:div>
                    <w:div w:id="294145882">
                      <w:marLeft w:val="0"/>
                      <w:marRight w:val="0"/>
                      <w:marTop w:val="0"/>
                      <w:marBottom w:val="0"/>
                      <w:divBdr>
                        <w:top w:val="none" w:sz="0" w:space="0" w:color="auto"/>
                        <w:left w:val="none" w:sz="0" w:space="0" w:color="auto"/>
                        <w:bottom w:val="none" w:sz="0" w:space="0" w:color="auto"/>
                        <w:right w:val="none" w:sz="0" w:space="0" w:color="auto"/>
                      </w:divBdr>
                      <w:divsChild>
                        <w:div w:id="294154648">
                          <w:marLeft w:val="0"/>
                          <w:marRight w:val="0"/>
                          <w:marTop w:val="0"/>
                          <w:marBottom w:val="0"/>
                          <w:divBdr>
                            <w:top w:val="none" w:sz="0" w:space="0" w:color="auto"/>
                            <w:left w:val="none" w:sz="0" w:space="0" w:color="auto"/>
                            <w:bottom w:val="none" w:sz="0" w:space="0" w:color="auto"/>
                            <w:right w:val="none" w:sz="0" w:space="0" w:color="auto"/>
                          </w:divBdr>
                        </w:div>
                      </w:divsChild>
                    </w:div>
                    <w:div w:id="294145903">
                      <w:marLeft w:val="0"/>
                      <w:marRight w:val="0"/>
                      <w:marTop w:val="0"/>
                      <w:marBottom w:val="0"/>
                      <w:divBdr>
                        <w:top w:val="none" w:sz="0" w:space="0" w:color="auto"/>
                        <w:left w:val="none" w:sz="0" w:space="0" w:color="auto"/>
                        <w:bottom w:val="none" w:sz="0" w:space="0" w:color="auto"/>
                        <w:right w:val="none" w:sz="0" w:space="0" w:color="auto"/>
                      </w:divBdr>
                      <w:divsChild>
                        <w:div w:id="294141696">
                          <w:marLeft w:val="0"/>
                          <w:marRight w:val="0"/>
                          <w:marTop w:val="0"/>
                          <w:marBottom w:val="0"/>
                          <w:divBdr>
                            <w:top w:val="none" w:sz="0" w:space="0" w:color="auto"/>
                            <w:left w:val="none" w:sz="0" w:space="0" w:color="auto"/>
                            <w:bottom w:val="none" w:sz="0" w:space="0" w:color="auto"/>
                            <w:right w:val="none" w:sz="0" w:space="0" w:color="auto"/>
                          </w:divBdr>
                        </w:div>
                      </w:divsChild>
                    </w:div>
                    <w:div w:id="294145935">
                      <w:marLeft w:val="0"/>
                      <w:marRight w:val="0"/>
                      <w:marTop w:val="0"/>
                      <w:marBottom w:val="0"/>
                      <w:divBdr>
                        <w:top w:val="none" w:sz="0" w:space="0" w:color="auto"/>
                        <w:left w:val="none" w:sz="0" w:space="0" w:color="auto"/>
                        <w:bottom w:val="none" w:sz="0" w:space="0" w:color="auto"/>
                        <w:right w:val="none" w:sz="0" w:space="0" w:color="auto"/>
                      </w:divBdr>
                    </w:div>
                    <w:div w:id="294146029">
                      <w:marLeft w:val="0"/>
                      <w:marRight w:val="0"/>
                      <w:marTop w:val="0"/>
                      <w:marBottom w:val="0"/>
                      <w:divBdr>
                        <w:top w:val="none" w:sz="0" w:space="0" w:color="auto"/>
                        <w:left w:val="none" w:sz="0" w:space="0" w:color="auto"/>
                        <w:bottom w:val="none" w:sz="0" w:space="0" w:color="auto"/>
                        <w:right w:val="none" w:sz="0" w:space="0" w:color="auto"/>
                      </w:divBdr>
                    </w:div>
                    <w:div w:id="294146124">
                      <w:marLeft w:val="0"/>
                      <w:marRight w:val="0"/>
                      <w:marTop w:val="0"/>
                      <w:marBottom w:val="0"/>
                      <w:divBdr>
                        <w:top w:val="none" w:sz="0" w:space="0" w:color="auto"/>
                        <w:left w:val="none" w:sz="0" w:space="0" w:color="auto"/>
                        <w:bottom w:val="none" w:sz="0" w:space="0" w:color="auto"/>
                        <w:right w:val="none" w:sz="0" w:space="0" w:color="auto"/>
                      </w:divBdr>
                      <w:divsChild>
                        <w:div w:id="294141754">
                          <w:marLeft w:val="0"/>
                          <w:marRight w:val="0"/>
                          <w:marTop w:val="0"/>
                          <w:marBottom w:val="0"/>
                          <w:divBdr>
                            <w:top w:val="none" w:sz="0" w:space="0" w:color="auto"/>
                            <w:left w:val="none" w:sz="0" w:space="0" w:color="auto"/>
                            <w:bottom w:val="none" w:sz="0" w:space="0" w:color="auto"/>
                            <w:right w:val="none" w:sz="0" w:space="0" w:color="auto"/>
                          </w:divBdr>
                        </w:div>
                      </w:divsChild>
                    </w:div>
                    <w:div w:id="294146255">
                      <w:marLeft w:val="0"/>
                      <w:marRight w:val="0"/>
                      <w:marTop w:val="0"/>
                      <w:marBottom w:val="0"/>
                      <w:divBdr>
                        <w:top w:val="none" w:sz="0" w:space="0" w:color="auto"/>
                        <w:left w:val="none" w:sz="0" w:space="0" w:color="auto"/>
                        <w:bottom w:val="none" w:sz="0" w:space="0" w:color="auto"/>
                        <w:right w:val="none" w:sz="0" w:space="0" w:color="auto"/>
                      </w:divBdr>
                    </w:div>
                    <w:div w:id="294146363">
                      <w:marLeft w:val="0"/>
                      <w:marRight w:val="0"/>
                      <w:marTop w:val="0"/>
                      <w:marBottom w:val="0"/>
                      <w:divBdr>
                        <w:top w:val="none" w:sz="0" w:space="0" w:color="auto"/>
                        <w:left w:val="none" w:sz="0" w:space="0" w:color="auto"/>
                        <w:bottom w:val="none" w:sz="0" w:space="0" w:color="auto"/>
                        <w:right w:val="none" w:sz="0" w:space="0" w:color="auto"/>
                      </w:divBdr>
                      <w:divsChild>
                        <w:div w:id="294144089">
                          <w:marLeft w:val="0"/>
                          <w:marRight w:val="0"/>
                          <w:marTop w:val="0"/>
                          <w:marBottom w:val="0"/>
                          <w:divBdr>
                            <w:top w:val="none" w:sz="0" w:space="0" w:color="auto"/>
                            <w:left w:val="none" w:sz="0" w:space="0" w:color="auto"/>
                            <w:bottom w:val="none" w:sz="0" w:space="0" w:color="auto"/>
                            <w:right w:val="none" w:sz="0" w:space="0" w:color="auto"/>
                          </w:divBdr>
                        </w:div>
                      </w:divsChild>
                    </w:div>
                    <w:div w:id="294146382">
                      <w:marLeft w:val="0"/>
                      <w:marRight w:val="0"/>
                      <w:marTop w:val="0"/>
                      <w:marBottom w:val="0"/>
                      <w:divBdr>
                        <w:top w:val="none" w:sz="0" w:space="0" w:color="auto"/>
                        <w:left w:val="none" w:sz="0" w:space="0" w:color="auto"/>
                        <w:bottom w:val="none" w:sz="0" w:space="0" w:color="auto"/>
                        <w:right w:val="none" w:sz="0" w:space="0" w:color="auto"/>
                      </w:divBdr>
                    </w:div>
                    <w:div w:id="294146393">
                      <w:marLeft w:val="0"/>
                      <w:marRight w:val="0"/>
                      <w:marTop w:val="0"/>
                      <w:marBottom w:val="0"/>
                      <w:divBdr>
                        <w:top w:val="none" w:sz="0" w:space="0" w:color="auto"/>
                        <w:left w:val="none" w:sz="0" w:space="0" w:color="auto"/>
                        <w:bottom w:val="none" w:sz="0" w:space="0" w:color="auto"/>
                        <w:right w:val="none" w:sz="0" w:space="0" w:color="auto"/>
                      </w:divBdr>
                      <w:divsChild>
                        <w:div w:id="294152968">
                          <w:marLeft w:val="0"/>
                          <w:marRight w:val="0"/>
                          <w:marTop w:val="0"/>
                          <w:marBottom w:val="0"/>
                          <w:divBdr>
                            <w:top w:val="none" w:sz="0" w:space="0" w:color="auto"/>
                            <w:left w:val="none" w:sz="0" w:space="0" w:color="auto"/>
                            <w:bottom w:val="none" w:sz="0" w:space="0" w:color="auto"/>
                            <w:right w:val="none" w:sz="0" w:space="0" w:color="auto"/>
                          </w:divBdr>
                        </w:div>
                      </w:divsChild>
                    </w:div>
                    <w:div w:id="294146424">
                      <w:marLeft w:val="0"/>
                      <w:marRight w:val="0"/>
                      <w:marTop w:val="0"/>
                      <w:marBottom w:val="0"/>
                      <w:divBdr>
                        <w:top w:val="none" w:sz="0" w:space="0" w:color="auto"/>
                        <w:left w:val="none" w:sz="0" w:space="0" w:color="auto"/>
                        <w:bottom w:val="none" w:sz="0" w:space="0" w:color="auto"/>
                        <w:right w:val="none" w:sz="0" w:space="0" w:color="auto"/>
                      </w:divBdr>
                      <w:divsChild>
                        <w:div w:id="294157216">
                          <w:marLeft w:val="0"/>
                          <w:marRight w:val="0"/>
                          <w:marTop w:val="0"/>
                          <w:marBottom w:val="0"/>
                          <w:divBdr>
                            <w:top w:val="none" w:sz="0" w:space="0" w:color="auto"/>
                            <w:left w:val="none" w:sz="0" w:space="0" w:color="auto"/>
                            <w:bottom w:val="none" w:sz="0" w:space="0" w:color="auto"/>
                            <w:right w:val="none" w:sz="0" w:space="0" w:color="auto"/>
                          </w:divBdr>
                        </w:div>
                      </w:divsChild>
                    </w:div>
                    <w:div w:id="294146670">
                      <w:marLeft w:val="0"/>
                      <w:marRight w:val="0"/>
                      <w:marTop w:val="0"/>
                      <w:marBottom w:val="0"/>
                      <w:divBdr>
                        <w:top w:val="none" w:sz="0" w:space="0" w:color="auto"/>
                        <w:left w:val="none" w:sz="0" w:space="0" w:color="auto"/>
                        <w:bottom w:val="none" w:sz="0" w:space="0" w:color="auto"/>
                        <w:right w:val="none" w:sz="0" w:space="0" w:color="auto"/>
                      </w:divBdr>
                      <w:divsChild>
                        <w:div w:id="294142560">
                          <w:marLeft w:val="0"/>
                          <w:marRight w:val="0"/>
                          <w:marTop w:val="0"/>
                          <w:marBottom w:val="0"/>
                          <w:divBdr>
                            <w:top w:val="none" w:sz="0" w:space="0" w:color="auto"/>
                            <w:left w:val="none" w:sz="0" w:space="0" w:color="auto"/>
                            <w:bottom w:val="none" w:sz="0" w:space="0" w:color="auto"/>
                            <w:right w:val="none" w:sz="0" w:space="0" w:color="auto"/>
                          </w:divBdr>
                        </w:div>
                      </w:divsChild>
                    </w:div>
                    <w:div w:id="294146727">
                      <w:marLeft w:val="0"/>
                      <w:marRight w:val="0"/>
                      <w:marTop w:val="0"/>
                      <w:marBottom w:val="0"/>
                      <w:divBdr>
                        <w:top w:val="none" w:sz="0" w:space="0" w:color="auto"/>
                        <w:left w:val="none" w:sz="0" w:space="0" w:color="auto"/>
                        <w:bottom w:val="none" w:sz="0" w:space="0" w:color="auto"/>
                        <w:right w:val="none" w:sz="0" w:space="0" w:color="auto"/>
                      </w:divBdr>
                      <w:divsChild>
                        <w:div w:id="294151907">
                          <w:marLeft w:val="0"/>
                          <w:marRight w:val="0"/>
                          <w:marTop w:val="0"/>
                          <w:marBottom w:val="0"/>
                          <w:divBdr>
                            <w:top w:val="none" w:sz="0" w:space="0" w:color="auto"/>
                            <w:left w:val="none" w:sz="0" w:space="0" w:color="auto"/>
                            <w:bottom w:val="none" w:sz="0" w:space="0" w:color="auto"/>
                            <w:right w:val="none" w:sz="0" w:space="0" w:color="auto"/>
                          </w:divBdr>
                        </w:div>
                      </w:divsChild>
                    </w:div>
                    <w:div w:id="294146762">
                      <w:marLeft w:val="0"/>
                      <w:marRight w:val="0"/>
                      <w:marTop w:val="0"/>
                      <w:marBottom w:val="0"/>
                      <w:divBdr>
                        <w:top w:val="none" w:sz="0" w:space="0" w:color="auto"/>
                        <w:left w:val="none" w:sz="0" w:space="0" w:color="auto"/>
                        <w:bottom w:val="none" w:sz="0" w:space="0" w:color="auto"/>
                        <w:right w:val="none" w:sz="0" w:space="0" w:color="auto"/>
                      </w:divBdr>
                      <w:divsChild>
                        <w:div w:id="294139892">
                          <w:marLeft w:val="0"/>
                          <w:marRight w:val="0"/>
                          <w:marTop w:val="0"/>
                          <w:marBottom w:val="0"/>
                          <w:divBdr>
                            <w:top w:val="none" w:sz="0" w:space="0" w:color="auto"/>
                            <w:left w:val="none" w:sz="0" w:space="0" w:color="auto"/>
                            <w:bottom w:val="none" w:sz="0" w:space="0" w:color="auto"/>
                            <w:right w:val="none" w:sz="0" w:space="0" w:color="auto"/>
                          </w:divBdr>
                        </w:div>
                      </w:divsChild>
                    </w:div>
                    <w:div w:id="294146774">
                      <w:marLeft w:val="0"/>
                      <w:marRight w:val="0"/>
                      <w:marTop w:val="0"/>
                      <w:marBottom w:val="0"/>
                      <w:divBdr>
                        <w:top w:val="none" w:sz="0" w:space="0" w:color="auto"/>
                        <w:left w:val="none" w:sz="0" w:space="0" w:color="auto"/>
                        <w:bottom w:val="none" w:sz="0" w:space="0" w:color="auto"/>
                        <w:right w:val="none" w:sz="0" w:space="0" w:color="auto"/>
                      </w:divBdr>
                      <w:divsChild>
                        <w:div w:id="294155587">
                          <w:marLeft w:val="0"/>
                          <w:marRight w:val="0"/>
                          <w:marTop w:val="0"/>
                          <w:marBottom w:val="0"/>
                          <w:divBdr>
                            <w:top w:val="none" w:sz="0" w:space="0" w:color="auto"/>
                            <w:left w:val="none" w:sz="0" w:space="0" w:color="auto"/>
                            <w:bottom w:val="none" w:sz="0" w:space="0" w:color="auto"/>
                            <w:right w:val="none" w:sz="0" w:space="0" w:color="auto"/>
                          </w:divBdr>
                        </w:div>
                      </w:divsChild>
                    </w:div>
                    <w:div w:id="294146836">
                      <w:marLeft w:val="0"/>
                      <w:marRight w:val="0"/>
                      <w:marTop w:val="0"/>
                      <w:marBottom w:val="0"/>
                      <w:divBdr>
                        <w:top w:val="none" w:sz="0" w:space="0" w:color="auto"/>
                        <w:left w:val="none" w:sz="0" w:space="0" w:color="auto"/>
                        <w:bottom w:val="none" w:sz="0" w:space="0" w:color="auto"/>
                        <w:right w:val="none" w:sz="0" w:space="0" w:color="auto"/>
                      </w:divBdr>
                    </w:div>
                    <w:div w:id="294146842">
                      <w:marLeft w:val="0"/>
                      <w:marRight w:val="0"/>
                      <w:marTop w:val="0"/>
                      <w:marBottom w:val="0"/>
                      <w:divBdr>
                        <w:top w:val="none" w:sz="0" w:space="0" w:color="auto"/>
                        <w:left w:val="none" w:sz="0" w:space="0" w:color="auto"/>
                        <w:bottom w:val="none" w:sz="0" w:space="0" w:color="auto"/>
                        <w:right w:val="none" w:sz="0" w:space="0" w:color="auto"/>
                      </w:divBdr>
                    </w:div>
                    <w:div w:id="294146843">
                      <w:marLeft w:val="0"/>
                      <w:marRight w:val="0"/>
                      <w:marTop w:val="0"/>
                      <w:marBottom w:val="0"/>
                      <w:divBdr>
                        <w:top w:val="none" w:sz="0" w:space="0" w:color="auto"/>
                        <w:left w:val="none" w:sz="0" w:space="0" w:color="auto"/>
                        <w:bottom w:val="none" w:sz="0" w:space="0" w:color="auto"/>
                        <w:right w:val="none" w:sz="0" w:space="0" w:color="auto"/>
                      </w:divBdr>
                      <w:divsChild>
                        <w:div w:id="294156562">
                          <w:marLeft w:val="0"/>
                          <w:marRight w:val="0"/>
                          <w:marTop w:val="0"/>
                          <w:marBottom w:val="0"/>
                          <w:divBdr>
                            <w:top w:val="none" w:sz="0" w:space="0" w:color="auto"/>
                            <w:left w:val="none" w:sz="0" w:space="0" w:color="auto"/>
                            <w:bottom w:val="none" w:sz="0" w:space="0" w:color="auto"/>
                            <w:right w:val="none" w:sz="0" w:space="0" w:color="auto"/>
                          </w:divBdr>
                        </w:div>
                      </w:divsChild>
                    </w:div>
                    <w:div w:id="294146913">
                      <w:marLeft w:val="0"/>
                      <w:marRight w:val="0"/>
                      <w:marTop w:val="0"/>
                      <w:marBottom w:val="0"/>
                      <w:divBdr>
                        <w:top w:val="none" w:sz="0" w:space="0" w:color="auto"/>
                        <w:left w:val="none" w:sz="0" w:space="0" w:color="auto"/>
                        <w:bottom w:val="none" w:sz="0" w:space="0" w:color="auto"/>
                        <w:right w:val="none" w:sz="0" w:space="0" w:color="auto"/>
                      </w:divBdr>
                      <w:divsChild>
                        <w:div w:id="294151298">
                          <w:marLeft w:val="0"/>
                          <w:marRight w:val="0"/>
                          <w:marTop w:val="0"/>
                          <w:marBottom w:val="0"/>
                          <w:divBdr>
                            <w:top w:val="none" w:sz="0" w:space="0" w:color="auto"/>
                            <w:left w:val="none" w:sz="0" w:space="0" w:color="auto"/>
                            <w:bottom w:val="none" w:sz="0" w:space="0" w:color="auto"/>
                            <w:right w:val="none" w:sz="0" w:space="0" w:color="auto"/>
                          </w:divBdr>
                        </w:div>
                      </w:divsChild>
                    </w:div>
                    <w:div w:id="294146950">
                      <w:marLeft w:val="0"/>
                      <w:marRight w:val="0"/>
                      <w:marTop w:val="0"/>
                      <w:marBottom w:val="0"/>
                      <w:divBdr>
                        <w:top w:val="none" w:sz="0" w:space="0" w:color="auto"/>
                        <w:left w:val="none" w:sz="0" w:space="0" w:color="auto"/>
                        <w:bottom w:val="none" w:sz="0" w:space="0" w:color="auto"/>
                        <w:right w:val="none" w:sz="0" w:space="0" w:color="auto"/>
                      </w:divBdr>
                    </w:div>
                    <w:div w:id="294147019">
                      <w:marLeft w:val="0"/>
                      <w:marRight w:val="0"/>
                      <w:marTop w:val="0"/>
                      <w:marBottom w:val="0"/>
                      <w:divBdr>
                        <w:top w:val="none" w:sz="0" w:space="0" w:color="auto"/>
                        <w:left w:val="none" w:sz="0" w:space="0" w:color="auto"/>
                        <w:bottom w:val="none" w:sz="0" w:space="0" w:color="auto"/>
                        <w:right w:val="none" w:sz="0" w:space="0" w:color="auto"/>
                      </w:divBdr>
                    </w:div>
                    <w:div w:id="294147119">
                      <w:marLeft w:val="0"/>
                      <w:marRight w:val="0"/>
                      <w:marTop w:val="0"/>
                      <w:marBottom w:val="0"/>
                      <w:divBdr>
                        <w:top w:val="none" w:sz="0" w:space="0" w:color="auto"/>
                        <w:left w:val="none" w:sz="0" w:space="0" w:color="auto"/>
                        <w:bottom w:val="none" w:sz="0" w:space="0" w:color="auto"/>
                        <w:right w:val="none" w:sz="0" w:space="0" w:color="auto"/>
                      </w:divBdr>
                    </w:div>
                    <w:div w:id="294147201">
                      <w:marLeft w:val="0"/>
                      <w:marRight w:val="0"/>
                      <w:marTop w:val="0"/>
                      <w:marBottom w:val="0"/>
                      <w:divBdr>
                        <w:top w:val="none" w:sz="0" w:space="0" w:color="auto"/>
                        <w:left w:val="none" w:sz="0" w:space="0" w:color="auto"/>
                        <w:bottom w:val="none" w:sz="0" w:space="0" w:color="auto"/>
                        <w:right w:val="none" w:sz="0" w:space="0" w:color="auto"/>
                      </w:divBdr>
                      <w:divsChild>
                        <w:div w:id="294146917">
                          <w:marLeft w:val="0"/>
                          <w:marRight w:val="0"/>
                          <w:marTop w:val="0"/>
                          <w:marBottom w:val="0"/>
                          <w:divBdr>
                            <w:top w:val="none" w:sz="0" w:space="0" w:color="auto"/>
                            <w:left w:val="none" w:sz="0" w:space="0" w:color="auto"/>
                            <w:bottom w:val="none" w:sz="0" w:space="0" w:color="auto"/>
                            <w:right w:val="none" w:sz="0" w:space="0" w:color="auto"/>
                          </w:divBdr>
                        </w:div>
                      </w:divsChild>
                    </w:div>
                    <w:div w:id="294147219">
                      <w:marLeft w:val="0"/>
                      <w:marRight w:val="0"/>
                      <w:marTop w:val="0"/>
                      <w:marBottom w:val="0"/>
                      <w:divBdr>
                        <w:top w:val="none" w:sz="0" w:space="0" w:color="auto"/>
                        <w:left w:val="none" w:sz="0" w:space="0" w:color="auto"/>
                        <w:bottom w:val="none" w:sz="0" w:space="0" w:color="auto"/>
                        <w:right w:val="none" w:sz="0" w:space="0" w:color="auto"/>
                      </w:divBdr>
                    </w:div>
                    <w:div w:id="294147281">
                      <w:marLeft w:val="0"/>
                      <w:marRight w:val="0"/>
                      <w:marTop w:val="0"/>
                      <w:marBottom w:val="0"/>
                      <w:divBdr>
                        <w:top w:val="none" w:sz="0" w:space="0" w:color="auto"/>
                        <w:left w:val="none" w:sz="0" w:space="0" w:color="auto"/>
                        <w:bottom w:val="none" w:sz="0" w:space="0" w:color="auto"/>
                        <w:right w:val="none" w:sz="0" w:space="0" w:color="auto"/>
                      </w:divBdr>
                      <w:divsChild>
                        <w:div w:id="294139330">
                          <w:marLeft w:val="0"/>
                          <w:marRight w:val="0"/>
                          <w:marTop w:val="0"/>
                          <w:marBottom w:val="0"/>
                          <w:divBdr>
                            <w:top w:val="none" w:sz="0" w:space="0" w:color="auto"/>
                            <w:left w:val="none" w:sz="0" w:space="0" w:color="auto"/>
                            <w:bottom w:val="none" w:sz="0" w:space="0" w:color="auto"/>
                            <w:right w:val="none" w:sz="0" w:space="0" w:color="auto"/>
                          </w:divBdr>
                        </w:div>
                      </w:divsChild>
                    </w:div>
                    <w:div w:id="294147380">
                      <w:marLeft w:val="0"/>
                      <w:marRight w:val="0"/>
                      <w:marTop w:val="0"/>
                      <w:marBottom w:val="0"/>
                      <w:divBdr>
                        <w:top w:val="none" w:sz="0" w:space="0" w:color="auto"/>
                        <w:left w:val="none" w:sz="0" w:space="0" w:color="auto"/>
                        <w:bottom w:val="none" w:sz="0" w:space="0" w:color="auto"/>
                        <w:right w:val="none" w:sz="0" w:space="0" w:color="auto"/>
                      </w:divBdr>
                      <w:divsChild>
                        <w:div w:id="294144357">
                          <w:marLeft w:val="0"/>
                          <w:marRight w:val="0"/>
                          <w:marTop w:val="0"/>
                          <w:marBottom w:val="0"/>
                          <w:divBdr>
                            <w:top w:val="none" w:sz="0" w:space="0" w:color="auto"/>
                            <w:left w:val="none" w:sz="0" w:space="0" w:color="auto"/>
                            <w:bottom w:val="none" w:sz="0" w:space="0" w:color="auto"/>
                            <w:right w:val="none" w:sz="0" w:space="0" w:color="auto"/>
                          </w:divBdr>
                        </w:div>
                      </w:divsChild>
                    </w:div>
                    <w:div w:id="294147381">
                      <w:marLeft w:val="0"/>
                      <w:marRight w:val="0"/>
                      <w:marTop w:val="0"/>
                      <w:marBottom w:val="0"/>
                      <w:divBdr>
                        <w:top w:val="none" w:sz="0" w:space="0" w:color="auto"/>
                        <w:left w:val="none" w:sz="0" w:space="0" w:color="auto"/>
                        <w:bottom w:val="none" w:sz="0" w:space="0" w:color="auto"/>
                        <w:right w:val="none" w:sz="0" w:space="0" w:color="auto"/>
                      </w:divBdr>
                    </w:div>
                    <w:div w:id="294147383">
                      <w:marLeft w:val="0"/>
                      <w:marRight w:val="0"/>
                      <w:marTop w:val="0"/>
                      <w:marBottom w:val="0"/>
                      <w:divBdr>
                        <w:top w:val="none" w:sz="0" w:space="0" w:color="auto"/>
                        <w:left w:val="none" w:sz="0" w:space="0" w:color="auto"/>
                        <w:bottom w:val="none" w:sz="0" w:space="0" w:color="auto"/>
                        <w:right w:val="none" w:sz="0" w:space="0" w:color="auto"/>
                      </w:divBdr>
                      <w:divsChild>
                        <w:div w:id="294141656">
                          <w:marLeft w:val="0"/>
                          <w:marRight w:val="0"/>
                          <w:marTop w:val="0"/>
                          <w:marBottom w:val="0"/>
                          <w:divBdr>
                            <w:top w:val="none" w:sz="0" w:space="0" w:color="auto"/>
                            <w:left w:val="none" w:sz="0" w:space="0" w:color="auto"/>
                            <w:bottom w:val="none" w:sz="0" w:space="0" w:color="auto"/>
                            <w:right w:val="none" w:sz="0" w:space="0" w:color="auto"/>
                          </w:divBdr>
                        </w:div>
                      </w:divsChild>
                    </w:div>
                    <w:div w:id="294147395">
                      <w:marLeft w:val="0"/>
                      <w:marRight w:val="0"/>
                      <w:marTop w:val="0"/>
                      <w:marBottom w:val="0"/>
                      <w:divBdr>
                        <w:top w:val="none" w:sz="0" w:space="0" w:color="auto"/>
                        <w:left w:val="none" w:sz="0" w:space="0" w:color="auto"/>
                        <w:bottom w:val="none" w:sz="0" w:space="0" w:color="auto"/>
                        <w:right w:val="none" w:sz="0" w:space="0" w:color="auto"/>
                      </w:divBdr>
                    </w:div>
                    <w:div w:id="294147447">
                      <w:marLeft w:val="0"/>
                      <w:marRight w:val="0"/>
                      <w:marTop w:val="0"/>
                      <w:marBottom w:val="0"/>
                      <w:divBdr>
                        <w:top w:val="none" w:sz="0" w:space="0" w:color="auto"/>
                        <w:left w:val="none" w:sz="0" w:space="0" w:color="auto"/>
                        <w:bottom w:val="none" w:sz="0" w:space="0" w:color="auto"/>
                        <w:right w:val="none" w:sz="0" w:space="0" w:color="auto"/>
                      </w:divBdr>
                    </w:div>
                    <w:div w:id="294147583">
                      <w:marLeft w:val="0"/>
                      <w:marRight w:val="0"/>
                      <w:marTop w:val="0"/>
                      <w:marBottom w:val="0"/>
                      <w:divBdr>
                        <w:top w:val="none" w:sz="0" w:space="0" w:color="auto"/>
                        <w:left w:val="none" w:sz="0" w:space="0" w:color="auto"/>
                        <w:bottom w:val="none" w:sz="0" w:space="0" w:color="auto"/>
                        <w:right w:val="none" w:sz="0" w:space="0" w:color="auto"/>
                      </w:divBdr>
                    </w:div>
                    <w:div w:id="294147611">
                      <w:marLeft w:val="0"/>
                      <w:marRight w:val="0"/>
                      <w:marTop w:val="0"/>
                      <w:marBottom w:val="0"/>
                      <w:divBdr>
                        <w:top w:val="none" w:sz="0" w:space="0" w:color="auto"/>
                        <w:left w:val="none" w:sz="0" w:space="0" w:color="auto"/>
                        <w:bottom w:val="none" w:sz="0" w:space="0" w:color="auto"/>
                        <w:right w:val="none" w:sz="0" w:space="0" w:color="auto"/>
                      </w:divBdr>
                      <w:divsChild>
                        <w:div w:id="294149295">
                          <w:marLeft w:val="0"/>
                          <w:marRight w:val="0"/>
                          <w:marTop w:val="0"/>
                          <w:marBottom w:val="0"/>
                          <w:divBdr>
                            <w:top w:val="none" w:sz="0" w:space="0" w:color="auto"/>
                            <w:left w:val="none" w:sz="0" w:space="0" w:color="auto"/>
                            <w:bottom w:val="none" w:sz="0" w:space="0" w:color="auto"/>
                            <w:right w:val="none" w:sz="0" w:space="0" w:color="auto"/>
                          </w:divBdr>
                        </w:div>
                      </w:divsChild>
                    </w:div>
                    <w:div w:id="294147851">
                      <w:marLeft w:val="0"/>
                      <w:marRight w:val="0"/>
                      <w:marTop w:val="0"/>
                      <w:marBottom w:val="0"/>
                      <w:divBdr>
                        <w:top w:val="none" w:sz="0" w:space="0" w:color="auto"/>
                        <w:left w:val="none" w:sz="0" w:space="0" w:color="auto"/>
                        <w:bottom w:val="none" w:sz="0" w:space="0" w:color="auto"/>
                        <w:right w:val="none" w:sz="0" w:space="0" w:color="auto"/>
                      </w:divBdr>
                    </w:div>
                    <w:div w:id="294147949">
                      <w:marLeft w:val="0"/>
                      <w:marRight w:val="0"/>
                      <w:marTop w:val="0"/>
                      <w:marBottom w:val="0"/>
                      <w:divBdr>
                        <w:top w:val="none" w:sz="0" w:space="0" w:color="auto"/>
                        <w:left w:val="none" w:sz="0" w:space="0" w:color="auto"/>
                        <w:bottom w:val="none" w:sz="0" w:space="0" w:color="auto"/>
                        <w:right w:val="none" w:sz="0" w:space="0" w:color="auto"/>
                      </w:divBdr>
                      <w:divsChild>
                        <w:div w:id="294154202">
                          <w:marLeft w:val="0"/>
                          <w:marRight w:val="0"/>
                          <w:marTop w:val="0"/>
                          <w:marBottom w:val="0"/>
                          <w:divBdr>
                            <w:top w:val="none" w:sz="0" w:space="0" w:color="auto"/>
                            <w:left w:val="none" w:sz="0" w:space="0" w:color="auto"/>
                            <w:bottom w:val="none" w:sz="0" w:space="0" w:color="auto"/>
                            <w:right w:val="none" w:sz="0" w:space="0" w:color="auto"/>
                          </w:divBdr>
                        </w:div>
                      </w:divsChild>
                    </w:div>
                    <w:div w:id="294147976">
                      <w:marLeft w:val="0"/>
                      <w:marRight w:val="0"/>
                      <w:marTop w:val="0"/>
                      <w:marBottom w:val="0"/>
                      <w:divBdr>
                        <w:top w:val="none" w:sz="0" w:space="0" w:color="auto"/>
                        <w:left w:val="none" w:sz="0" w:space="0" w:color="auto"/>
                        <w:bottom w:val="none" w:sz="0" w:space="0" w:color="auto"/>
                        <w:right w:val="none" w:sz="0" w:space="0" w:color="auto"/>
                      </w:divBdr>
                    </w:div>
                    <w:div w:id="294147999">
                      <w:marLeft w:val="0"/>
                      <w:marRight w:val="0"/>
                      <w:marTop w:val="0"/>
                      <w:marBottom w:val="0"/>
                      <w:divBdr>
                        <w:top w:val="none" w:sz="0" w:space="0" w:color="auto"/>
                        <w:left w:val="none" w:sz="0" w:space="0" w:color="auto"/>
                        <w:bottom w:val="none" w:sz="0" w:space="0" w:color="auto"/>
                        <w:right w:val="none" w:sz="0" w:space="0" w:color="auto"/>
                      </w:divBdr>
                    </w:div>
                    <w:div w:id="294148004">
                      <w:marLeft w:val="0"/>
                      <w:marRight w:val="0"/>
                      <w:marTop w:val="0"/>
                      <w:marBottom w:val="0"/>
                      <w:divBdr>
                        <w:top w:val="none" w:sz="0" w:space="0" w:color="auto"/>
                        <w:left w:val="none" w:sz="0" w:space="0" w:color="auto"/>
                        <w:bottom w:val="none" w:sz="0" w:space="0" w:color="auto"/>
                        <w:right w:val="none" w:sz="0" w:space="0" w:color="auto"/>
                      </w:divBdr>
                    </w:div>
                    <w:div w:id="294148099">
                      <w:marLeft w:val="0"/>
                      <w:marRight w:val="0"/>
                      <w:marTop w:val="0"/>
                      <w:marBottom w:val="0"/>
                      <w:divBdr>
                        <w:top w:val="none" w:sz="0" w:space="0" w:color="auto"/>
                        <w:left w:val="none" w:sz="0" w:space="0" w:color="auto"/>
                        <w:bottom w:val="none" w:sz="0" w:space="0" w:color="auto"/>
                        <w:right w:val="none" w:sz="0" w:space="0" w:color="auto"/>
                      </w:divBdr>
                    </w:div>
                    <w:div w:id="294148136">
                      <w:marLeft w:val="0"/>
                      <w:marRight w:val="0"/>
                      <w:marTop w:val="0"/>
                      <w:marBottom w:val="0"/>
                      <w:divBdr>
                        <w:top w:val="none" w:sz="0" w:space="0" w:color="auto"/>
                        <w:left w:val="none" w:sz="0" w:space="0" w:color="auto"/>
                        <w:bottom w:val="none" w:sz="0" w:space="0" w:color="auto"/>
                        <w:right w:val="none" w:sz="0" w:space="0" w:color="auto"/>
                      </w:divBdr>
                    </w:div>
                    <w:div w:id="294148199">
                      <w:marLeft w:val="0"/>
                      <w:marRight w:val="0"/>
                      <w:marTop w:val="0"/>
                      <w:marBottom w:val="0"/>
                      <w:divBdr>
                        <w:top w:val="none" w:sz="0" w:space="0" w:color="auto"/>
                        <w:left w:val="none" w:sz="0" w:space="0" w:color="auto"/>
                        <w:bottom w:val="none" w:sz="0" w:space="0" w:color="auto"/>
                        <w:right w:val="none" w:sz="0" w:space="0" w:color="auto"/>
                      </w:divBdr>
                    </w:div>
                    <w:div w:id="294148221">
                      <w:marLeft w:val="0"/>
                      <w:marRight w:val="0"/>
                      <w:marTop w:val="0"/>
                      <w:marBottom w:val="0"/>
                      <w:divBdr>
                        <w:top w:val="none" w:sz="0" w:space="0" w:color="auto"/>
                        <w:left w:val="none" w:sz="0" w:space="0" w:color="auto"/>
                        <w:bottom w:val="none" w:sz="0" w:space="0" w:color="auto"/>
                        <w:right w:val="none" w:sz="0" w:space="0" w:color="auto"/>
                      </w:divBdr>
                    </w:div>
                    <w:div w:id="294148232">
                      <w:marLeft w:val="0"/>
                      <w:marRight w:val="0"/>
                      <w:marTop w:val="0"/>
                      <w:marBottom w:val="0"/>
                      <w:divBdr>
                        <w:top w:val="none" w:sz="0" w:space="0" w:color="auto"/>
                        <w:left w:val="none" w:sz="0" w:space="0" w:color="auto"/>
                        <w:bottom w:val="none" w:sz="0" w:space="0" w:color="auto"/>
                        <w:right w:val="none" w:sz="0" w:space="0" w:color="auto"/>
                      </w:divBdr>
                    </w:div>
                    <w:div w:id="294148248">
                      <w:marLeft w:val="0"/>
                      <w:marRight w:val="0"/>
                      <w:marTop w:val="0"/>
                      <w:marBottom w:val="0"/>
                      <w:divBdr>
                        <w:top w:val="none" w:sz="0" w:space="0" w:color="auto"/>
                        <w:left w:val="none" w:sz="0" w:space="0" w:color="auto"/>
                        <w:bottom w:val="none" w:sz="0" w:space="0" w:color="auto"/>
                        <w:right w:val="none" w:sz="0" w:space="0" w:color="auto"/>
                      </w:divBdr>
                    </w:div>
                    <w:div w:id="294148673">
                      <w:marLeft w:val="0"/>
                      <w:marRight w:val="0"/>
                      <w:marTop w:val="0"/>
                      <w:marBottom w:val="0"/>
                      <w:divBdr>
                        <w:top w:val="none" w:sz="0" w:space="0" w:color="auto"/>
                        <w:left w:val="none" w:sz="0" w:space="0" w:color="auto"/>
                        <w:bottom w:val="none" w:sz="0" w:space="0" w:color="auto"/>
                        <w:right w:val="none" w:sz="0" w:space="0" w:color="auto"/>
                      </w:divBdr>
                    </w:div>
                    <w:div w:id="294148690">
                      <w:marLeft w:val="0"/>
                      <w:marRight w:val="0"/>
                      <w:marTop w:val="0"/>
                      <w:marBottom w:val="0"/>
                      <w:divBdr>
                        <w:top w:val="none" w:sz="0" w:space="0" w:color="auto"/>
                        <w:left w:val="none" w:sz="0" w:space="0" w:color="auto"/>
                        <w:bottom w:val="none" w:sz="0" w:space="0" w:color="auto"/>
                        <w:right w:val="none" w:sz="0" w:space="0" w:color="auto"/>
                      </w:divBdr>
                      <w:divsChild>
                        <w:div w:id="294143923">
                          <w:marLeft w:val="0"/>
                          <w:marRight w:val="0"/>
                          <w:marTop w:val="0"/>
                          <w:marBottom w:val="0"/>
                          <w:divBdr>
                            <w:top w:val="none" w:sz="0" w:space="0" w:color="auto"/>
                            <w:left w:val="none" w:sz="0" w:space="0" w:color="auto"/>
                            <w:bottom w:val="none" w:sz="0" w:space="0" w:color="auto"/>
                            <w:right w:val="none" w:sz="0" w:space="0" w:color="auto"/>
                          </w:divBdr>
                        </w:div>
                      </w:divsChild>
                    </w:div>
                    <w:div w:id="294148725">
                      <w:marLeft w:val="0"/>
                      <w:marRight w:val="0"/>
                      <w:marTop w:val="0"/>
                      <w:marBottom w:val="0"/>
                      <w:divBdr>
                        <w:top w:val="none" w:sz="0" w:space="0" w:color="auto"/>
                        <w:left w:val="none" w:sz="0" w:space="0" w:color="auto"/>
                        <w:bottom w:val="none" w:sz="0" w:space="0" w:color="auto"/>
                        <w:right w:val="none" w:sz="0" w:space="0" w:color="auto"/>
                      </w:divBdr>
                    </w:div>
                    <w:div w:id="294148739">
                      <w:marLeft w:val="0"/>
                      <w:marRight w:val="0"/>
                      <w:marTop w:val="0"/>
                      <w:marBottom w:val="0"/>
                      <w:divBdr>
                        <w:top w:val="none" w:sz="0" w:space="0" w:color="auto"/>
                        <w:left w:val="none" w:sz="0" w:space="0" w:color="auto"/>
                        <w:bottom w:val="none" w:sz="0" w:space="0" w:color="auto"/>
                        <w:right w:val="none" w:sz="0" w:space="0" w:color="auto"/>
                      </w:divBdr>
                      <w:divsChild>
                        <w:div w:id="294150400">
                          <w:marLeft w:val="0"/>
                          <w:marRight w:val="0"/>
                          <w:marTop w:val="0"/>
                          <w:marBottom w:val="0"/>
                          <w:divBdr>
                            <w:top w:val="none" w:sz="0" w:space="0" w:color="auto"/>
                            <w:left w:val="none" w:sz="0" w:space="0" w:color="auto"/>
                            <w:bottom w:val="none" w:sz="0" w:space="0" w:color="auto"/>
                            <w:right w:val="none" w:sz="0" w:space="0" w:color="auto"/>
                          </w:divBdr>
                        </w:div>
                      </w:divsChild>
                    </w:div>
                    <w:div w:id="294148799">
                      <w:marLeft w:val="0"/>
                      <w:marRight w:val="0"/>
                      <w:marTop w:val="0"/>
                      <w:marBottom w:val="0"/>
                      <w:divBdr>
                        <w:top w:val="none" w:sz="0" w:space="0" w:color="auto"/>
                        <w:left w:val="none" w:sz="0" w:space="0" w:color="auto"/>
                        <w:bottom w:val="none" w:sz="0" w:space="0" w:color="auto"/>
                        <w:right w:val="none" w:sz="0" w:space="0" w:color="auto"/>
                      </w:divBdr>
                    </w:div>
                    <w:div w:id="294148823">
                      <w:marLeft w:val="0"/>
                      <w:marRight w:val="0"/>
                      <w:marTop w:val="0"/>
                      <w:marBottom w:val="0"/>
                      <w:divBdr>
                        <w:top w:val="none" w:sz="0" w:space="0" w:color="auto"/>
                        <w:left w:val="none" w:sz="0" w:space="0" w:color="auto"/>
                        <w:bottom w:val="none" w:sz="0" w:space="0" w:color="auto"/>
                        <w:right w:val="none" w:sz="0" w:space="0" w:color="auto"/>
                      </w:divBdr>
                      <w:divsChild>
                        <w:div w:id="294140765">
                          <w:marLeft w:val="0"/>
                          <w:marRight w:val="0"/>
                          <w:marTop w:val="0"/>
                          <w:marBottom w:val="0"/>
                          <w:divBdr>
                            <w:top w:val="none" w:sz="0" w:space="0" w:color="auto"/>
                            <w:left w:val="none" w:sz="0" w:space="0" w:color="auto"/>
                            <w:bottom w:val="none" w:sz="0" w:space="0" w:color="auto"/>
                            <w:right w:val="none" w:sz="0" w:space="0" w:color="auto"/>
                          </w:divBdr>
                        </w:div>
                      </w:divsChild>
                    </w:div>
                    <w:div w:id="294148861">
                      <w:marLeft w:val="0"/>
                      <w:marRight w:val="0"/>
                      <w:marTop w:val="0"/>
                      <w:marBottom w:val="0"/>
                      <w:divBdr>
                        <w:top w:val="none" w:sz="0" w:space="0" w:color="auto"/>
                        <w:left w:val="none" w:sz="0" w:space="0" w:color="auto"/>
                        <w:bottom w:val="none" w:sz="0" w:space="0" w:color="auto"/>
                        <w:right w:val="none" w:sz="0" w:space="0" w:color="auto"/>
                      </w:divBdr>
                    </w:div>
                    <w:div w:id="294148991">
                      <w:marLeft w:val="0"/>
                      <w:marRight w:val="0"/>
                      <w:marTop w:val="0"/>
                      <w:marBottom w:val="0"/>
                      <w:divBdr>
                        <w:top w:val="none" w:sz="0" w:space="0" w:color="auto"/>
                        <w:left w:val="none" w:sz="0" w:space="0" w:color="auto"/>
                        <w:bottom w:val="none" w:sz="0" w:space="0" w:color="auto"/>
                        <w:right w:val="none" w:sz="0" w:space="0" w:color="auto"/>
                      </w:divBdr>
                      <w:divsChild>
                        <w:div w:id="294150442">
                          <w:marLeft w:val="0"/>
                          <w:marRight w:val="0"/>
                          <w:marTop w:val="0"/>
                          <w:marBottom w:val="0"/>
                          <w:divBdr>
                            <w:top w:val="none" w:sz="0" w:space="0" w:color="auto"/>
                            <w:left w:val="none" w:sz="0" w:space="0" w:color="auto"/>
                            <w:bottom w:val="none" w:sz="0" w:space="0" w:color="auto"/>
                            <w:right w:val="none" w:sz="0" w:space="0" w:color="auto"/>
                          </w:divBdr>
                        </w:div>
                      </w:divsChild>
                    </w:div>
                    <w:div w:id="294149122">
                      <w:marLeft w:val="0"/>
                      <w:marRight w:val="0"/>
                      <w:marTop w:val="0"/>
                      <w:marBottom w:val="0"/>
                      <w:divBdr>
                        <w:top w:val="none" w:sz="0" w:space="0" w:color="auto"/>
                        <w:left w:val="none" w:sz="0" w:space="0" w:color="auto"/>
                        <w:bottom w:val="none" w:sz="0" w:space="0" w:color="auto"/>
                        <w:right w:val="none" w:sz="0" w:space="0" w:color="auto"/>
                      </w:divBdr>
                      <w:divsChild>
                        <w:div w:id="294138432">
                          <w:marLeft w:val="0"/>
                          <w:marRight w:val="0"/>
                          <w:marTop w:val="0"/>
                          <w:marBottom w:val="0"/>
                          <w:divBdr>
                            <w:top w:val="none" w:sz="0" w:space="0" w:color="auto"/>
                            <w:left w:val="none" w:sz="0" w:space="0" w:color="auto"/>
                            <w:bottom w:val="none" w:sz="0" w:space="0" w:color="auto"/>
                            <w:right w:val="none" w:sz="0" w:space="0" w:color="auto"/>
                          </w:divBdr>
                        </w:div>
                      </w:divsChild>
                    </w:div>
                    <w:div w:id="294149229">
                      <w:marLeft w:val="0"/>
                      <w:marRight w:val="0"/>
                      <w:marTop w:val="0"/>
                      <w:marBottom w:val="0"/>
                      <w:divBdr>
                        <w:top w:val="none" w:sz="0" w:space="0" w:color="auto"/>
                        <w:left w:val="none" w:sz="0" w:space="0" w:color="auto"/>
                        <w:bottom w:val="none" w:sz="0" w:space="0" w:color="auto"/>
                        <w:right w:val="none" w:sz="0" w:space="0" w:color="auto"/>
                      </w:divBdr>
                    </w:div>
                    <w:div w:id="294149370">
                      <w:marLeft w:val="0"/>
                      <w:marRight w:val="0"/>
                      <w:marTop w:val="0"/>
                      <w:marBottom w:val="0"/>
                      <w:divBdr>
                        <w:top w:val="none" w:sz="0" w:space="0" w:color="auto"/>
                        <w:left w:val="none" w:sz="0" w:space="0" w:color="auto"/>
                        <w:bottom w:val="none" w:sz="0" w:space="0" w:color="auto"/>
                        <w:right w:val="none" w:sz="0" w:space="0" w:color="auto"/>
                      </w:divBdr>
                      <w:divsChild>
                        <w:div w:id="294152965">
                          <w:marLeft w:val="0"/>
                          <w:marRight w:val="0"/>
                          <w:marTop w:val="0"/>
                          <w:marBottom w:val="0"/>
                          <w:divBdr>
                            <w:top w:val="none" w:sz="0" w:space="0" w:color="auto"/>
                            <w:left w:val="none" w:sz="0" w:space="0" w:color="auto"/>
                            <w:bottom w:val="none" w:sz="0" w:space="0" w:color="auto"/>
                            <w:right w:val="none" w:sz="0" w:space="0" w:color="auto"/>
                          </w:divBdr>
                        </w:div>
                      </w:divsChild>
                    </w:div>
                    <w:div w:id="294149442">
                      <w:marLeft w:val="0"/>
                      <w:marRight w:val="0"/>
                      <w:marTop w:val="0"/>
                      <w:marBottom w:val="0"/>
                      <w:divBdr>
                        <w:top w:val="none" w:sz="0" w:space="0" w:color="auto"/>
                        <w:left w:val="none" w:sz="0" w:space="0" w:color="auto"/>
                        <w:bottom w:val="none" w:sz="0" w:space="0" w:color="auto"/>
                        <w:right w:val="none" w:sz="0" w:space="0" w:color="auto"/>
                      </w:divBdr>
                      <w:divsChild>
                        <w:div w:id="294150254">
                          <w:marLeft w:val="0"/>
                          <w:marRight w:val="0"/>
                          <w:marTop w:val="0"/>
                          <w:marBottom w:val="0"/>
                          <w:divBdr>
                            <w:top w:val="none" w:sz="0" w:space="0" w:color="auto"/>
                            <w:left w:val="none" w:sz="0" w:space="0" w:color="auto"/>
                            <w:bottom w:val="none" w:sz="0" w:space="0" w:color="auto"/>
                            <w:right w:val="none" w:sz="0" w:space="0" w:color="auto"/>
                          </w:divBdr>
                        </w:div>
                      </w:divsChild>
                    </w:div>
                    <w:div w:id="294149481">
                      <w:marLeft w:val="0"/>
                      <w:marRight w:val="0"/>
                      <w:marTop w:val="0"/>
                      <w:marBottom w:val="0"/>
                      <w:divBdr>
                        <w:top w:val="none" w:sz="0" w:space="0" w:color="auto"/>
                        <w:left w:val="none" w:sz="0" w:space="0" w:color="auto"/>
                        <w:bottom w:val="none" w:sz="0" w:space="0" w:color="auto"/>
                        <w:right w:val="none" w:sz="0" w:space="0" w:color="auto"/>
                      </w:divBdr>
                    </w:div>
                    <w:div w:id="294149674">
                      <w:marLeft w:val="0"/>
                      <w:marRight w:val="0"/>
                      <w:marTop w:val="0"/>
                      <w:marBottom w:val="0"/>
                      <w:divBdr>
                        <w:top w:val="none" w:sz="0" w:space="0" w:color="auto"/>
                        <w:left w:val="none" w:sz="0" w:space="0" w:color="auto"/>
                        <w:bottom w:val="none" w:sz="0" w:space="0" w:color="auto"/>
                        <w:right w:val="none" w:sz="0" w:space="0" w:color="auto"/>
                      </w:divBdr>
                    </w:div>
                    <w:div w:id="294149845">
                      <w:marLeft w:val="0"/>
                      <w:marRight w:val="0"/>
                      <w:marTop w:val="0"/>
                      <w:marBottom w:val="0"/>
                      <w:divBdr>
                        <w:top w:val="none" w:sz="0" w:space="0" w:color="auto"/>
                        <w:left w:val="none" w:sz="0" w:space="0" w:color="auto"/>
                        <w:bottom w:val="none" w:sz="0" w:space="0" w:color="auto"/>
                        <w:right w:val="none" w:sz="0" w:space="0" w:color="auto"/>
                      </w:divBdr>
                    </w:div>
                    <w:div w:id="294149846">
                      <w:marLeft w:val="0"/>
                      <w:marRight w:val="0"/>
                      <w:marTop w:val="0"/>
                      <w:marBottom w:val="0"/>
                      <w:divBdr>
                        <w:top w:val="none" w:sz="0" w:space="0" w:color="auto"/>
                        <w:left w:val="none" w:sz="0" w:space="0" w:color="auto"/>
                        <w:bottom w:val="none" w:sz="0" w:space="0" w:color="auto"/>
                        <w:right w:val="none" w:sz="0" w:space="0" w:color="auto"/>
                      </w:divBdr>
                      <w:divsChild>
                        <w:div w:id="294146709">
                          <w:marLeft w:val="0"/>
                          <w:marRight w:val="0"/>
                          <w:marTop w:val="0"/>
                          <w:marBottom w:val="0"/>
                          <w:divBdr>
                            <w:top w:val="none" w:sz="0" w:space="0" w:color="auto"/>
                            <w:left w:val="none" w:sz="0" w:space="0" w:color="auto"/>
                            <w:bottom w:val="none" w:sz="0" w:space="0" w:color="auto"/>
                            <w:right w:val="none" w:sz="0" w:space="0" w:color="auto"/>
                          </w:divBdr>
                        </w:div>
                      </w:divsChild>
                    </w:div>
                    <w:div w:id="294149906">
                      <w:marLeft w:val="0"/>
                      <w:marRight w:val="0"/>
                      <w:marTop w:val="0"/>
                      <w:marBottom w:val="0"/>
                      <w:divBdr>
                        <w:top w:val="none" w:sz="0" w:space="0" w:color="auto"/>
                        <w:left w:val="none" w:sz="0" w:space="0" w:color="auto"/>
                        <w:bottom w:val="none" w:sz="0" w:space="0" w:color="auto"/>
                        <w:right w:val="none" w:sz="0" w:space="0" w:color="auto"/>
                      </w:divBdr>
                    </w:div>
                    <w:div w:id="294150021">
                      <w:marLeft w:val="0"/>
                      <w:marRight w:val="0"/>
                      <w:marTop w:val="0"/>
                      <w:marBottom w:val="0"/>
                      <w:divBdr>
                        <w:top w:val="none" w:sz="0" w:space="0" w:color="auto"/>
                        <w:left w:val="none" w:sz="0" w:space="0" w:color="auto"/>
                        <w:bottom w:val="none" w:sz="0" w:space="0" w:color="auto"/>
                        <w:right w:val="none" w:sz="0" w:space="0" w:color="auto"/>
                      </w:divBdr>
                      <w:divsChild>
                        <w:div w:id="294149914">
                          <w:marLeft w:val="0"/>
                          <w:marRight w:val="0"/>
                          <w:marTop w:val="0"/>
                          <w:marBottom w:val="0"/>
                          <w:divBdr>
                            <w:top w:val="none" w:sz="0" w:space="0" w:color="auto"/>
                            <w:left w:val="none" w:sz="0" w:space="0" w:color="auto"/>
                            <w:bottom w:val="none" w:sz="0" w:space="0" w:color="auto"/>
                            <w:right w:val="none" w:sz="0" w:space="0" w:color="auto"/>
                          </w:divBdr>
                        </w:div>
                      </w:divsChild>
                    </w:div>
                    <w:div w:id="294150118">
                      <w:marLeft w:val="0"/>
                      <w:marRight w:val="0"/>
                      <w:marTop w:val="0"/>
                      <w:marBottom w:val="0"/>
                      <w:divBdr>
                        <w:top w:val="none" w:sz="0" w:space="0" w:color="auto"/>
                        <w:left w:val="none" w:sz="0" w:space="0" w:color="auto"/>
                        <w:bottom w:val="none" w:sz="0" w:space="0" w:color="auto"/>
                        <w:right w:val="none" w:sz="0" w:space="0" w:color="auto"/>
                      </w:divBdr>
                      <w:divsChild>
                        <w:div w:id="294148347">
                          <w:marLeft w:val="0"/>
                          <w:marRight w:val="0"/>
                          <w:marTop w:val="0"/>
                          <w:marBottom w:val="0"/>
                          <w:divBdr>
                            <w:top w:val="none" w:sz="0" w:space="0" w:color="auto"/>
                            <w:left w:val="none" w:sz="0" w:space="0" w:color="auto"/>
                            <w:bottom w:val="none" w:sz="0" w:space="0" w:color="auto"/>
                            <w:right w:val="none" w:sz="0" w:space="0" w:color="auto"/>
                          </w:divBdr>
                        </w:div>
                      </w:divsChild>
                    </w:div>
                    <w:div w:id="294150177">
                      <w:marLeft w:val="0"/>
                      <w:marRight w:val="0"/>
                      <w:marTop w:val="0"/>
                      <w:marBottom w:val="0"/>
                      <w:divBdr>
                        <w:top w:val="none" w:sz="0" w:space="0" w:color="auto"/>
                        <w:left w:val="none" w:sz="0" w:space="0" w:color="auto"/>
                        <w:bottom w:val="none" w:sz="0" w:space="0" w:color="auto"/>
                        <w:right w:val="none" w:sz="0" w:space="0" w:color="auto"/>
                      </w:divBdr>
                    </w:div>
                    <w:div w:id="294150300">
                      <w:marLeft w:val="0"/>
                      <w:marRight w:val="0"/>
                      <w:marTop w:val="0"/>
                      <w:marBottom w:val="0"/>
                      <w:divBdr>
                        <w:top w:val="none" w:sz="0" w:space="0" w:color="auto"/>
                        <w:left w:val="none" w:sz="0" w:space="0" w:color="auto"/>
                        <w:bottom w:val="none" w:sz="0" w:space="0" w:color="auto"/>
                        <w:right w:val="none" w:sz="0" w:space="0" w:color="auto"/>
                      </w:divBdr>
                      <w:divsChild>
                        <w:div w:id="294141288">
                          <w:marLeft w:val="0"/>
                          <w:marRight w:val="0"/>
                          <w:marTop w:val="0"/>
                          <w:marBottom w:val="0"/>
                          <w:divBdr>
                            <w:top w:val="none" w:sz="0" w:space="0" w:color="auto"/>
                            <w:left w:val="none" w:sz="0" w:space="0" w:color="auto"/>
                            <w:bottom w:val="none" w:sz="0" w:space="0" w:color="auto"/>
                            <w:right w:val="none" w:sz="0" w:space="0" w:color="auto"/>
                          </w:divBdr>
                        </w:div>
                      </w:divsChild>
                    </w:div>
                    <w:div w:id="294150488">
                      <w:marLeft w:val="0"/>
                      <w:marRight w:val="0"/>
                      <w:marTop w:val="0"/>
                      <w:marBottom w:val="0"/>
                      <w:divBdr>
                        <w:top w:val="none" w:sz="0" w:space="0" w:color="auto"/>
                        <w:left w:val="none" w:sz="0" w:space="0" w:color="auto"/>
                        <w:bottom w:val="none" w:sz="0" w:space="0" w:color="auto"/>
                        <w:right w:val="none" w:sz="0" w:space="0" w:color="auto"/>
                      </w:divBdr>
                    </w:div>
                    <w:div w:id="294150551">
                      <w:marLeft w:val="0"/>
                      <w:marRight w:val="0"/>
                      <w:marTop w:val="0"/>
                      <w:marBottom w:val="0"/>
                      <w:divBdr>
                        <w:top w:val="none" w:sz="0" w:space="0" w:color="auto"/>
                        <w:left w:val="none" w:sz="0" w:space="0" w:color="auto"/>
                        <w:bottom w:val="none" w:sz="0" w:space="0" w:color="auto"/>
                        <w:right w:val="none" w:sz="0" w:space="0" w:color="auto"/>
                      </w:divBdr>
                      <w:divsChild>
                        <w:div w:id="294151514">
                          <w:marLeft w:val="0"/>
                          <w:marRight w:val="0"/>
                          <w:marTop w:val="0"/>
                          <w:marBottom w:val="0"/>
                          <w:divBdr>
                            <w:top w:val="none" w:sz="0" w:space="0" w:color="auto"/>
                            <w:left w:val="none" w:sz="0" w:space="0" w:color="auto"/>
                            <w:bottom w:val="none" w:sz="0" w:space="0" w:color="auto"/>
                            <w:right w:val="none" w:sz="0" w:space="0" w:color="auto"/>
                          </w:divBdr>
                        </w:div>
                      </w:divsChild>
                    </w:div>
                    <w:div w:id="294150601">
                      <w:marLeft w:val="0"/>
                      <w:marRight w:val="0"/>
                      <w:marTop w:val="0"/>
                      <w:marBottom w:val="0"/>
                      <w:divBdr>
                        <w:top w:val="none" w:sz="0" w:space="0" w:color="auto"/>
                        <w:left w:val="none" w:sz="0" w:space="0" w:color="auto"/>
                        <w:bottom w:val="none" w:sz="0" w:space="0" w:color="auto"/>
                        <w:right w:val="none" w:sz="0" w:space="0" w:color="auto"/>
                      </w:divBdr>
                    </w:div>
                    <w:div w:id="294150714">
                      <w:marLeft w:val="0"/>
                      <w:marRight w:val="0"/>
                      <w:marTop w:val="0"/>
                      <w:marBottom w:val="0"/>
                      <w:divBdr>
                        <w:top w:val="none" w:sz="0" w:space="0" w:color="auto"/>
                        <w:left w:val="none" w:sz="0" w:space="0" w:color="auto"/>
                        <w:bottom w:val="none" w:sz="0" w:space="0" w:color="auto"/>
                        <w:right w:val="none" w:sz="0" w:space="0" w:color="auto"/>
                      </w:divBdr>
                    </w:div>
                    <w:div w:id="294150725">
                      <w:marLeft w:val="0"/>
                      <w:marRight w:val="0"/>
                      <w:marTop w:val="0"/>
                      <w:marBottom w:val="0"/>
                      <w:divBdr>
                        <w:top w:val="none" w:sz="0" w:space="0" w:color="auto"/>
                        <w:left w:val="none" w:sz="0" w:space="0" w:color="auto"/>
                        <w:bottom w:val="none" w:sz="0" w:space="0" w:color="auto"/>
                        <w:right w:val="none" w:sz="0" w:space="0" w:color="auto"/>
                      </w:divBdr>
                    </w:div>
                    <w:div w:id="294150818">
                      <w:marLeft w:val="0"/>
                      <w:marRight w:val="0"/>
                      <w:marTop w:val="0"/>
                      <w:marBottom w:val="0"/>
                      <w:divBdr>
                        <w:top w:val="none" w:sz="0" w:space="0" w:color="auto"/>
                        <w:left w:val="none" w:sz="0" w:space="0" w:color="auto"/>
                        <w:bottom w:val="none" w:sz="0" w:space="0" w:color="auto"/>
                        <w:right w:val="none" w:sz="0" w:space="0" w:color="auto"/>
                      </w:divBdr>
                    </w:div>
                    <w:div w:id="294150895">
                      <w:marLeft w:val="0"/>
                      <w:marRight w:val="0"/>
                      <w:marTop w:val="0"/>
                      <w:marBottom w:val="0"/>
                      <w:divBdr>
                        <w:top w:val="none" w:sz="0" w:space="0" w:color="auto"/>
                        <w:left w:val="none" w:sz="0" w:space="0" w:color="auto"/>
                        <w:bottom w:val="none" w:sz="0" w:space="0" w:color="auto"/>
                        <w:right w:val="none" w:sz="0" w:space="0" w:color="auto"/>
                      </w:divBdr>
                      <w:divsChild>
                        <w:div w:id="294144938">
                          <w:marLeft w:val="0"/>
                          <w:marRight w:val="0"/>
                          <w:marTop w:val="0"/>
                          <w:marBottom w:val="0"/>
                          <w:divBdr>
                            <w:top w:val="none" w:sz="0" w:space="0" w:color="auto"/>
                            <w:left w:val="none" w:sz="0" w:space="0" w:color="auto"/>
                            <w:bottom w:val="none" w:sz="0" w:space="0" w:color="auto"/>
                            <w:right w:val="none" w:sz="0" w:space="0" w:color="auto"/>
                          </w:divBdr>
                        </w:div>
                      </w:divsChild>
                    </w:div>
                    <w:div w:id="294150982">
                      <w:marLeft w:val="0"/>
                      <w:marRight w:val="0"/>
                      <w:marTop w:val="0"/>
                      <w:marBottom w:val="0"/>
                      <w:divBdr>
                        <w:top w:val="none" w:sz="0" w:space="0" w:color="auto"/>
                        <w:left w:val="none" w:sz="0" w:space="0" w:color="auto"/>
                        <w:bottom w:val="none" w:sz="0" w:space="0" w:color="auto"/>
                        <w:right w:val="none" w:sz="0" w:space="0" w:color="auto"/>
                      </w:divBdr>
                      <w:divsChild>
                        <w:div w:id="294139222">
                          <w:marLeft w:val="0"/>
                          <w:marRight w:val="0"/>
                          <w:marTop w:val="0"/>
                          <w:marBottom w:val="0"/>
                          <w:divBdr>
                            <w:top w:val="none" w:sz="0" w:space="0" w:color="auto"/>
                            <w:left w:val="none" w:sz="0" w:space="0" w:color="auto"/>
                            <w:bottom w:val="none" w:sz="0" w:space="0" w:color="auto"/>
                            <w:right w:val="none" w:sz="0" w:space="0" w:color="auto"/>
                          </w:divBdr>
                        </w:div>
                      </w:divsChild>
                    </w:div>
                    <w:div w:id="294151015">
                      <w:marLeft w:val="0"/>
                      <w:marRight w:val="0"/>
                      <w:marTop w:val="0"/>
                      <w:marBottom w:val="0"/>
                      <w:divBdr>
                        <w:top w:val="none" w:sz="0" w:space="0" w:color="auto"/>
                        <w:left w:val="none" w:sz="0" w:space="0" w:color="auto"/>
                        <w:bottom w:val="none" w:sz="0" w:space="0" w:color="auto"/>
                        <w:right w:val="none" w:sz="0" w:space="0" w:color="auto"/>
                      </w:divBdr>
                      <w:divsChild>
                        <w:div w:id="294147191">
                          <w:marLeft w:val="0"/>
                          <w:marRight w:val="0"/>
                          <w:marTop w:val="0"/>
                          <w:marBottom w:val="0"/>
                          <w:divBdr>
                            <w:top w:val="none" w:sz="0" w:space="0" w:color="auto"/>
                            <w:left w:val="none" w:sz="0" w:space="0" w:color="auto"/>
                            <w:bottom w:val="none" w:sz="0" w:space="0" w:color="auto"/>
                            <w:right w:val="none" w:sz="0" w:space="0" w:color="auto"/>
                          </w:divBdr>
                        </w:div>
                      </w:divsChild>
                    </w:div>
                    <w:div w:id="294151082">
                      <w:marLeft w:val="0"/>
                      <w:marRight w:val="0"/>
                      <w:marTop w:val="0"/>
                      <w:marBottom w:val="0"/>
                      <w:divBdr>
                        <w:top w:val="none" w:sz="0" w:space="0" w:color="auto"/>
                        <w:left w:val="none" w:sz="0" w:space="0" w:color="auto"/>
                        <w:bottom w:val="none" w:sz="0" w:space="0" w:color="auto"/>
                        <w:right w:val="none" w:sz="0" w:space="0" w:color="auto"/>
                      </w:divBdr>
                    </w:div>
                    <w:div w:id="294151177">
                      <w:marLeft w:val="0"/>
                      <w:marRight w:val="0"/>
                      <w:marTop w:val="0"/>
                      <w:marBottom w:val="0"/>
                      <w:divBdr>
                        <w:top w:val="none" w:sz="0" w:space="0" w:color="auto"/>
                        <w:left w:val="none" w:sz="0" w:space="0" w:color="auto"/>
                        <w:bottom w:val="none" w:sz="0" w:space="0" w:color="auto"/>
                        <w:right w:val="none" w:sz="0" w:space="0" w:color="auto"/>
                      </w:divBdr>
                      <w:divsChild>
                        <w:div w:id="294144083">
                          <w:marLeft w:val="0"/>
                          <w:marRight w:val="0"/>
                          <w:marTop w:val="0"/>
                          <w:marBottom w:val="0"/>
                          <w:divBdr>
                            <w:top w:val="none" w:sz="0" w:space="0" w:color="auto"/>
                            <w:left w:val="none" w:sz="0" w:space="0" w:color="auto"/>
                            <w:bottom w:val="none" w:sz="0" w:space="0" w:color="auto"/>
                            <w:right w:val="none" w:sz="0" w:space="0" w:color="auto"/>
                          </w:divBdr>
                        </w:div>
                      </w:divsChild>
                    </w:div>
                    <w:div w:id="294151333">
                      <w:marLeft w:val="0"/>
                      <w:marRight w:val="0"/>
                      <w:marTop w:val="0"/>
                      <w:marBottom w:val="0"/>
                      <w:divBdr>
                        <w:top w:val="none" w:sz="0" w:space="0" w:color="auto"/>
                        <w:left w:val="none" w:sz="0" w:space="0" w:color="auto"/>
                        <w:bottom w:val="none" w:sz="0" w:space="0" w:color="auto"/>
                        <w:right w:val="none" w:sz="0" w:space="0" w:color="auto"/>
                      </w:divBdr>
                    </w:div>
                    <w:div w:id="294151367">
                      <w:marLeft w:val="0"/>
                      <w:marRight w:val="0"/>
                      <w:marTop w:val="0"/>
                      <w:marBottom w:val="0"/>
                      <w:divBdr>
                        <w:top w:val="none" w:sz="0" w:space="0" w:color="auto"/>
                        <w:left w:val="none" w:sz="0" w:space="0" w:color="auto"/>
                        <w:bottom w:val="none" w:sz="0" w:space="0" w:color="auto"/>
                        <w:right w:val="none" w:sz="0" w:space="0" w:color="auto"/>
                      </w:divBdr>
                      <w:divsChild>
                        <w:div w:id="294148964">
                          <w:marLeft w:val="0"/>
                          <w:marRight w:val="0"/>
                          <w:marTop w:val="0"/>
                          <w:marBottom w:val="0"/>
                          <w:divBdr>
                            <w:top w:val="none" w:sz="0" w:space="0" w:color="auto"/>
                            <w:left w:val="none" w:sz="0" w:space="0" w:color="auto"/>
                            <w:bottom w:val="none" w:sz="0" w:space="0" w:color="auto"/>
                            <w:right w:val="none" w:sz="0" w:space="0" w:color="auto"/>
                          </w:divBdr>
                        </w:div>
                      </w:divsChild>
                    </w:div>
                    <w:div w:id="294151434">
                      <w:marLeft w:val="0"/>
                      <w:marRight w:val="0"/>
                      <w:marTop w:val="0"/>
                      <w:marBottom w:val="0"/>
                      <w:divBdr>
                        <w:top w:val="none" w:sz="0" w:space="0" w:color="auto"/>
                        <w:left w:val="none" w:sz="0" w:space="0" w:color="auto"/>
                        <w:bottom w:val="none" w:sz="0" w:space="0" w:color="auto"/>
                        <w:right w:val="none" w:sz="0" w:space="0" w:color="auto"/>
                      </w:divBdr>
                    </w:div>
                    <w:div w:id="294151576">
                      <w:marLeft w:val="0"/>
                      <w:marRight w:val="0"/>
                      <w:marTop w:val="0"/>
                      <w:marBottom w:val="0"/>
                      <w:divBdr>
                        <w:top w:val="none" w:sz="0" w:space="0" w:color="auto"/>
                        <w:left w:val="none" w:sz="0" w:space="0" w:color="auto"/>
                        <w:bottom w:val="none" w:sz="0" w:space="0" w:color="auto"/>
                        <w:right w:val="none" w:sz="0" w:space="0" w:color="auto"/>
                      </w:divBdr>
                      <w:divsChild>
                        <w:div w:id="294155391">
                          <w:marLeft w:val="0"/>
                          <w:marRight w:val="0"/>
                          <w:marTop w:val="0"/>
                          <w:marBottom w:val="0"/>
                          <w:divBdr>
                            <w:top w:val="none" w:sz="0" w:space="0" w:color="auto"/>
                            <w:left w:val="none" w:sz="0" w:space="0" w:color="auto"/>
                            <w:bottom w:val="none" w:sz="0" w:space="0" w:color="auto"/>
                            <w:right w:val="none" w:sz="0" w:space="0" w:color="auto"/>
                          </w:divBdr>
                        </w:div>
                      </w:divsChild>
                    </w:div>
                    <w:div w:id="294151647">
                      <w:marLeft w:val="0"/>
                      <w:marRight w:val="0"/>
                      <w:marTop w:val="0"/>
                      <w:marBottom w:val="0"/>
                      <w:divBdr>
                        <w:top w:val="none" w:sz="0" w:space="0" w:color="auto"/>
                        <w:left w:val="none" w:sz="0" w:space="0" w:color="auto"/>
                        <w:bottom w:val="none" w:sz="0" w:space="0" w:color="auto"/>
                        <w:right w:val="none" w:sz="0" w:space="0" w:color="auto"/>
                      </w:divBdr>
                      <w:divsChild>
                        <w:div w:id="294154754">
                          <w:marLeft w:val="0"/>
                          <w:marRight w:val="0"/>
                          <w:marTop w:val="0"/>
                          <w:marBottom w:val="0"/>
                          <w:divBdr>
                            <w:top w:val="none" w:sz="0" w:space="0" w:color="auto"/>
                            <w:left w:val="none" w:sz="0" w:space="0" w:color="auto"/>
                            <w:bottom w:val="none" w:sz="0" w:space="0" w:color="auto"/>
                            <w:right w:val="none" w:sz="0" w:space="0" w:color="auto"/>
                          </w:divBdr>
                        </w:div>
                      </w:divsChild>
                    </w:div>
                    <w:div w:id="294151741">
                      <w:marLeft w:val="0"/>
                      <w:marRight w:val="0"/>
                      <w:marTop w:val="0"/>
                      <w:marBottom w:val="0"/>
                      <w:divBdr>
                        <w:top w:val="none" w:sz="0" w:space="0" w:color="auto"/>
                        <w:left w:val="none" w:sz="0" w:space="0" w:color="auto"/>
                        <w:bottom w:val="none" w:sz="0" w:space="0" w:color="auto"/>
                        <w:right w:val="none" w:sz="0" w:space="0" w:color="auto"/>
                      </w:divBdr>
                    </w:div>
                    <w:div w:id="294152026">
                      <w:marLeft w:val="0"/>
                      <w:marRight w:val="0"/>
                      <w:marTop w:val="0"/>
                      <w:marBottom w:val="0"/>
                      <w:divBdr>
                        <w:top w:val="none" w:sz="0" w:space="0" w:color="auto"/>
                        <w:left w:val="none" w:sz="0" w:space="0" w:color="auto"/>
                        <w:bottom w:val="none" w:sz="0" w:space="0" w:color="auto"/>
                        <w:right w:val="none" w:sz="0" w:space="0" w:color="auto"/>
                      </w:divBdr>
                      <w:divsChild>
                        <w:div w:id="294150173">
                          <w:marLeft w:val="0"/>
                          <w:marRight w:val="0"/>
                          <w:marTop w:val="0"/>
                          <w:marBottom w:val="0"/>
                          <w:divBdr>
                            <w:top w:val="none" w:sz="0" w:space="0" w:color="auto"/>
                            <w:left w:val="none" w:sz="0" w:space="0" w:color="auto"/>
                            <w:bottom w:val="none" w:sz="0" w:space="0" w:color="auto"/>
                            <w:right w:val="none" w:sz="0" w:space="0" w:color="auto"/>
                          </w:divBdr>
                        </w:div>
                      </w:divsChild>
                    </w:div>
                    <w:div w:id="294152069">
                      <w:marLeft w:val="0"/>
                      <w:marRight w:val="0"/>
                      <w:marTop w:val="0"/>
                      <w:marBottom w:val="0"/>
                      <w:divBdr>
                        <w:top w:val="none" w:sz="0" w:space="0" w:color="auto"/>
                        <w:left w:val="none" w:sz="0" w:space="0" w:color="auto"/>
                        <w:bottom w:val="none" w:sz="0" w:space="0" w:color="auto"/>
                        <w:right w:val="none" w:sz="0" w:space="0" w:color="auto"/>
                      </w:divBdr>
                      <w:divsChild>
                        <w:div w:id="294150537">
                          <w:marLeft w:val="0"/>
                          <w:marRight w:val="0"/>
                          <w:marTop w:val="0"/>
                          <w:marBottom w:val="0"/>
                          <w:divBdr>
                            <w:top w:val="none" w:sz="0" w:space="0" w:color="auto"/>
                            <w:left w:val="none" w:sz="0" w:space="0" w:color="auto"/>
                            <w:bottom w:val="none" w:sz="0" w:space="0" w:color="auto"/>
                            <w:right w:val="none" w:sz="0" w:space="0" w:color="auto"/>
                          </w:divBdr>
                        </w:div>
                      </w:divsChild>
                    </w:div>
                    <w:div w:id="294152140">
                      <w:marLeft w:val="0"/>
                      <w:marRight w:val="0"/>
                      <w:marTop w:val="0"/>
                      <w:marBottom w:val="0"/>
                      <w:divBdr>
                        <w:top w:val="none" w:sz="0" w:space="0" w:color="auto"/>
                        <w:left w:val="none" w:sz="0" w:space="0" w:color="auto"/>
                        <w:bottom w:val="none" w:sz="0" w:space="0" w:color="auto"/>
                        <w:right w:val="none" w:sz="0" w:space="0" w:color="auto"/>
                      </w:divBdr>
                    </w:div>
                    <w:div w:id="294152198">
                      <w:marLeft w:val="0"/>
                      <w:marRight w:val="0"/>
                      <w:marTop w:val="0"/>
                      <w:marBottom w:val="0"/>
                      <w:divBdr>
                        <w:top w:val="none" w:sz="0" w:space="0" w:color="auto"/>
                        <w:left w:val="none" w:sz="0" w:space="0" w:color="auto"/>
                        <w:bottom w:val="none" w:sz="0" w:space="0" w:color="auto"/>
                        <w:right w:val="none" w:sz="0" w:space="0" w:color="auto"/>
                      </w:divBdr>
                      <w:divsChild>
                        <w:div w:id="294148414">
                          <w:marLeft w:val="0"/>
                          <w:marRight w:val="0"/>
                          <w:marTop w:val="0"/>
                          <w:marBottom w:val="0"/>
                          <w:divBdr>
                            <w:top w:val="none" w:sz="0" w:space="0" w:color="auto"/>
                            <w:left w:val="none" w:sz="0" w:space="0" w:color="auto"/>
                            <w:bottom w:val="none" w:sz="0" w:space="0" w:color="auto"/>
                            <w:right w:val="none" w:sz="0" w:space="0" w:color="auto"/>
                          </w:divBdr>
                        </w:div>
                      </w:divsChild>
                    </w:div>
                    <w:div w:id="294152238">
                      <w:marLeft w:val="0"/>
                      <w:marRight w:val="0"/>
                      <w:marTop w:val="0"/>
                      <w:marBottom w:val="0"/>
                      <w:divBdr>
                        <w:top w:val="none" w:sz="0" w:space="0" w:color="auto"/>
                        <w:left w:val="none" w:sz="0" w:space="0" w:color="auto"/>
                        <w:bottom w:val="none" w:sz="0" w:space="0" w:color="auto"/>
                        <w:right w:val="none" w:sz="0" w:space="0" w:color="auto"/>
                      </w:divBdr>
                    </w:div>
                    <w:div w:id="294152316">
                      <w:marLeft w:val="0"/>
                      <w:marRight w:val="0"/>
                      <w:marTop w:val="0"/>
                      <w:marBottom w:val="0"/>
                      <w:divBdr>
                        <w:top w:val="none" w:sz="0" w:space="0" w:color="auto"/>
                        <w:left w:val="none" w:sz="0" w:space="0" w:color="auto"/>
                        <w:bottom w:val="none" w:sz="0" w:space="0" w:color="auto"/>
                        <w:right w:val="none" w:sz="0" w:space="0" w:color="auto"/>
                      </w:divBdr>
                    </w:div>
                    <w:div w:id="294152446">
                      <w:marLeft w:val="0"/>
                      <w:marRight w:val="0"/>
                      <w:marTop w:val="0"/>
                      <w:marBottom w:val="0"/>
                      <w:divBdr>
                        <w:top w:val="none" w:sz="0" w:space="0" w:color="auto"/>
                        <w:left w:val="none" w:sz="0" w:space="0" w:color="auto"/>
                        <w:bottom w:val="none" w:sz="0" w:space="0" w:color="auto"/>
                        <w:right w:val="none" w:sz="0" w:space="0" w:color="auto"/>
                      </w:divBdr>
                      <w:divsChild>
                        <w:div w:id="294153790">
                          <w:marLeft w:val="0"/>
                          <w:marRight w:val="0"/>
                          <w:marTop w:val="0"/>
                          <w:marBottom w:val="0"/>
                          <w:divBdr>
                            <w:top w:val="none" w:sz="0" w:space="0" w:color="auto"/>
                            <w:left w:val="none" w:sz="0" w:space="0" w:color="auto"/>
                            <w:bottom w:val="none" w:sz="0" w:space="0" w:color="auto"/>
                            <w:right w:val="none" w:sz="0" w:space="0" w:color="auto"/>
                          </w:divBdr>
                        </w:div>
                      </w:divsChild>
                    </w:div>
                    <w:div w:id="294152450">
                      <w:marLeft w:val="0"/>
                      <w:marRight w:val="0"/>
                      <w:marTop w:val="0"/>
                      <w:marBottom w:val="0"/>
                      <w:divBdr>
                        <w:top w:val="none" w:sz="0" w:space="0" w:color="auto"/>
                        <w:left w:val="none" w:sz="0" w:space="0" w:color="auto"/>
                        <w:bottom w:val="none" w:sz="0" w:space="0" w:color="auto"/>
                        <w:right w:val="none" w:sz="0" w:space="0" w:color="auto"/>
                      </w:divBdr>
                      <w:divsChild>
                        <w:div w:id="294139955">
                          <w:marLeft w:val="0"/>
                          <w:marRight w:val="0"/>
                          <w:marTop w:val="0"/>
                          <w:marBottom w:val="0"/>
                          <w:divBdr>
                            <w:top w:val="none" w:sz="0" w:space="0" w:color="auto"/>
                            <w:left w:val="none" w:sz="0" w:space="0" w:color="auto"/>
                            <w:bottom w:val="none" w:sz="0" w:space="0" w:color="auto"/>
                            <w:right w:val="none" w:sz="0" w:space="0" w:color="auto"/>
                          </w:divBdr>
                        </w:div>
                      </w:divsChild>
                    </w:div>
                    <w:div w:id="294152479">
                      <w:marLeft w:val="0"/>
                      <w:marRight w:val="0"/>
                      <w:marTop w:val="0"/>
                      <w:marBottom w:val="0"/>
                      <w:divBdr>
                        <w:top w:val="none" w:sz="0" w:space="0" w:color="auto"/>
                        <w:left w:val="none" w:sz="0" w:space="0" w:color="auto"/>
                        <w:bottom w:val="none" w:sz="0" w:space="0" w:color="auto"/>
                        <w:right w:val="none" w:sz="0" w:space="0" w:color="auto"/>
                      </w:divBdr>
                    </w:div>
                    <w:div w:id="294152481">
                      <w:marLeft w:val="0"/>
                      <w:marRight w:val="0"/>
                      <w:marTop w:val="0"/>
                      <w:marBottom w:val="0"/>
                      <w:divBdr>
                        <w:top w:val="none" w:sz="0" w:space="0" w:color="auto"/>
                        <w:left w:val="none" w:sz="0" w:space="0" w:color="auto"/>
                        <w:bottom w:val="none" w:sz="0" w:space="0" w:color="auto"/>
                        <w:right w:val="none" w:sz="0" w:space="0" w:color="auto"/>
                      </w:divBdr>
                    </w:div>
                    <w:div w:id="294152488">
                      <w:marLeft w:val="0"/>
                      <w:marRight w:val="0"/>
                      <w:marTop w:val="0"/>
                      <w:marBottom w:val="0"/>
                      <w:divBdr>
                        <w:top w:val="none" w:sz="0" w:space="0" w:color="auto"/>
                        <w:left w:val="none" w:sz="0" w:space="0" w:color="auto"/>
                        <w:bottom w:val="none" w:sz="0" w:space="0" w:color="auto"/>
                        <w:right w:val="none" w:sz="0" w:space="0" w:color="auto"/>
                      </w:divBdr>
                      <w:divsChild>
                        <w:div w:id="294140307">
                          <w:marLeft w:val="0"/>
                          <w:marRight w:val="0"/>
                          <w:marTop w:val="0"/>
                          <w:marBottom w:val="0"/>
                          <w:divBdr>
                            <w:top w:val="none" w:sz="0" w:space="0" w:color="auto"/>
                            <w:left w:val="none" w:sz="0" w:space="0" w:color="auto"/>
                            <w:bottom w:val="none" w:sz="0" w:space="0" w:color="auto"/>
                            <w:right w:val="none" w:sz="0" w:space="0" w:color="auto"/>
                          </w:divBdr>
                        </w:div>
                      </w:divsChild>
                    </w:div>
                    <w:div w:id="294152601">
                      <w:marLeft w:val="0"/>
                      <w:marRight w:val="0"/>
                      <w:marTop w:val="0"/>
                      <w:marBottom w:val="0"/>
                      <w:divBdr>
                        <w:top w:val="none" w:sz="0" w:space="0" w:color="auto"/>
                        <w:left w:val="none" w:sz="0" w:space="0" w:color="auto"/>
                        <w:bottom w:val="none" w:sz="0" w:space="0" w:color="auto"/>
                        <w:right w:val="none" w:sz="0" w:space="0" w:color="auto"/>
                      </w:divBdr>
                    </w:div>
                    <w:div w:id="294152692">
                      <w:marLeft w:val="0"/>
                      <w:marRight w:val="0"/>
                      <w:marTop w:val="0"/>
                      <w:marBottom w:val="0"/>
                      <w:divBdr>
                        <w:top w:val="none" w:sz="0" w:space="0" w:color="auto"/>
                        <w:left w:val="none" w:sz="0" w:space="0" w:color="auto"/>
                        <w:bottom w:val="none" w:sz="0" w:space="0" w:color="auto"/>
                        <w:right w:val="none" w:sz="0" w:space="0" w:color="auto"/>
                      </w:divBdr>
                      <w:divsChild>
                        <w:div w:id="294156204">
                          <w:marLeft w:val="0"/>
                          <w:marRight w:val="0"/>
                          <w:marTop w:val="0"/>
                          <w:marBottom w:val="0"/>
                          <w:divBdr>
                            <w:top w:val="none" w:sz="0" w:space="0" w:color="auto"/>
                            <w:left w:val="none" w:sz="0" w:space="0" w:color="auto"/>
                            <w:bottom w:val="none" w:sz="0" w:space="0" w:color="auto"/>
                            <w:right w:val="none" w:sz="0" w:space="0" w:color="auto"/>
                          </w:divBdr>
                        </w:div>
                      </w:divsChild>
                    </w:div>
                    <w:div w:id="294152811">
                      <w:marLeft w:val="0"/>
                      <w:marRight w:val="0"/>
                      <w:marTop w:val="0"/>
                      <w:marBottom w:val="0"/>
                      <w:divBdr>
                        <w:top w:val="none" w:sz="0" w:space="0" w:color="auto"/>
                        <w:left w:val="none" w:sz="0" w:space="0" w:color="auto"/>
                        <w:bottom w:val="none" w:sz="0" w:space="0" w:color="auto"/>
                        <w:right w:val="none" w:sz="0" w:space="0" w:color="auto"/>
                      </w:divBdr>
                    </w:div>
                    <w:div w:id="294152823">
                      <w:marLeft w:val="0"/>
                      <w:marRight w:val="0"/>
                      <w:marTop w:val="0"/>
                      <w:marBottom w:val="0"/>
                      <w:divBdr>
                        <w:top w:val="none" w:sz="0" w:space="0" w:color="auto"/>
                        <w:left w:val="none" w:sz="0" w:space="0" w:color="auto"/>
                        <w:bottom w:val="none" w:sz="0" w:space="0" w:color="auto"/>
                        <w:right w:val="none" w:sz="0" w:space="0" w:color="auto"/>
                      </w:divBdr>
                      <w:divsChild>
                        <w:div w:id="294145521">
                          <w:marLeft w:val="0"/>
                          <w:marRight w:val="0"/>
                          <w:marTop w:val="0"/>
                          <w:marBottom w:val="0"/>
                          <w:divBdr>
                            <w:top w:val="none" w:sz="0" w:space="0" w:color="auto"/>
                            <w:left w:val="none" w:sz="0" w:space="0" w:color="auto"/>
                            <w:bottom w:val="none" w:sz="0" w:space="0" w:color="auto"/>
                            <w:right w:val="none" w:sz="0" w:space="0" w:color="auto"/>
                          </w:divBdr>
                        </w:div>
                      </w:divsChild>
                    </w:div>
                    <w:div w:id="294152849">
                      <w:marLeft w:val="0"/>
                      <w:marRight w:val="0"/>
                      <w:marTop w:val="0"/>
                      <w:marBottom w:val="0"/>
                      <w:divBdr>
                        <w:top w:val="none" w:sz="0" w:space="0" w:color="auto"/>
                        <w:left w:val="none" w:sz="0" w:space="0" w:color="auto"/>
                        <w:bottom w:val="none" w:sz="0" w:space="0" w:color="auto"/>
                        <w:right w:val="none" w:sz="0" w:space="0" w:color="auto"/>
                      </w:divBdr>
                      <w:divsChild>
                        <w:div w:id="294141871">
                          <w:marLeft w:val="0"/>
                          <w:marRight w:val="0"/>
                          <w:marTop w:val="0"/>
                          <w:marBottom w:val="0"/>
                          <w:divBdr>
                            <w:top w:val="none" w:sz="0" w:space="0" w:color="auto"/>
                            <w:left w:val="none" w:sz="0" w:space="0" w:color="auto"/>
                            <w:bottom w:val="none" w:sz="0" w:space="0" w:color="auto"/>
                            <w:right w:val="none" w:sz="0" w:space="0" w:color="auto"/>
                          </w:divBdr>
                        </w:div>
                      </w:divsChild>
                    </w:div>
                    <w:div w:id="294152875">
                      <w:marLeft w:val="0"/>
                      <w:marRight w:val="0"/>
                      <w:marTop w:val="0"/>
                      <w:marBottom w:val="0"/>
                      <w:divBdr>
                        <w:top w:val="none" w:sz="0" w:space="0" w:color="auto"/>
                        <w:left w:val="none" w:sz="0" w:space="0" w:color="auto"/>
                        <w:bottom w:val="none" w:sz="0" w:space="0" w:color="auto"/>
                        <w:right w:val="none" w:sz="0" w:space="0" w:color="auto"/>
                      </w:divBdr>
                    </w:div>
                    <w:div w:id="294152913">
                      <w:marLeft w:val="0"/>
                      <w:marRight w:val="0"/>
                      <w:marTop w:val="0"/>
                      <w:marBottom w:val="0"/>
                      <w:divBdr>
                        <w:top w:val="none" w:sz="0" w:space="0" w:color="auto"/>
                        <w:left w:val="none" w:sz="0" w:space="0" w:color="auto"/>
                        <w:bottom w:val="none" w:sz="0" w:space="0" w:color="auto"/>
                        <w:right w:val="none" w:sz="0" w:space="0" w:color="auto"/>
                      </w:divBdr>
                      <w:divsChild>
                        <w:div w:id="294152851">
                          <w:marLeft w:val="0"/>
                          <w:marRight w:val="0"/>
                          <w:marTop w:val="0"/>
                          <w:marBottom w:val="0"/>
                          <w:divBdr>
                            <w:top w:val="none" w:sz="0" w:space="0" w:color="auto"/>
                            <w:left w:val="none" w:sz="0" w:space="0" w:color="auto"/>
                            <w:bottom w:val="none" w:sz="0" w:space="0" w:color="auto"/>
                            <w:right w:val="none" w:sz="0" w:space="0" w:color="auto"/>
                          </w:divBdr>
                        </w:div>
                      </w:divsChild>
                    </w:div>
                    <w:div w:id="294152918">
                      <w:marLeft w:val="0"/>
                      <w:marRight w:val="0"/>
                      <w:marTop w:val="0"/>
                      <w:marBottom w:val="0"/>
                      <w:divBdr>
                        <w:top w:val="none" w:sz="0" w:space="0" w:color="auto"/>
                        <w:left w:val="none" w:sz="0" w:space="0" w:color="auto"/>
                        <w:bottom w:val="none" w:sz="0" w:space="0" w:color="auto"/>
                        <w:right w:val="none" w:sz="0" w:space="0" w:color="auto"/>
                      </w:divBdr>
                    </w:div>
                    <w:div w:id="294152943">
                      <w:marLeft w:val="0"/>
                      <w:marRight w:val="0"/>
                      <w:marTop w:val="0"/>
                      <w:marBottom w:val="0"/>
                      <w:divBdr>
                        <w:top w:val="none" w:sz="0" w:space="0" w:color="auto"/>
                        <w:left w:val="none" w:sz="0" w:space="0" w:color="auto"/>
                        <w:bottom w:val="none" w:sz="0" w:space="0" w:color="auto"/>
                        <w:right w:val="none" w:sz="0" w:space="0" w:color="auto"/>
                      </w:divBdr>
                      <w:divsChild>
                        <w:div w:id="294154751">
                          <w:marLeft w:val="0"/>
                          <w:marRight w:val="0"/>
                          <w:marTop w:val="0"/>
                          <w:marBottom w:val="0"/>
                          <w:divBdr>
                            <w:top w:val="none" w:sz="0" w:space="0" w:color="auto"/>
                            <w:left w:val="none" w:sz="0" w:space="0" w:color="auto"/>
                            <w:bottom w:val="none" w:sz="0" w:space="0" w:color="auto"/>
                            <w:right w:val="none" w:sz="0" w:space="0" w:color="auto"/>
                          </w:divBdr>
                        </w:div>
                      </w:divsChild>
                    </w:div>
                    <w:div w:id="294152991">
                      <w:marLeft w:val="0"/>
                      <w:marRight w:val="0"/>
                      <w:marTop w:val="0"/>
                      <w:marBottom w:val="0"/>
                      <w:divBdr>
                        <w:top w:val="none" w:sz="0" w:space="0" w:color="auto"/>
                        <w:left w:val="none" w:sz="0" w:space="0" w:color="auto"/>
                        <w:bottom w:val="none" w:sz="0" w:space="0" w:color="auto"/>
                        <w:right w:val="none" w:sz="0" w:space="0" w:color="auto"/>
                      </w:divBdr>
                      <w:divsChild>
                        <w:div w:id="294148273">
                          <w:marLeft w:val="0"/>
                          <w:marRight w:val="0"/>
                          <w:marTop w:val="0"/>
                          <w:marBottom w:val="0"/>
                          <w:divBdr>
                            <w:top w:val="none" w:sz="0" w:space="0" w:color="auto"/>
                            <w:left w:val="none" w:sz="0" w:space="0" w:color="auto"/>
                            <w:bottom w:val="none" w:sz="0" w:space="0" w:color="auto"/>
                            <w:right w:val="none" w:sz="0" w:space="0" w:color="auto"/>
                          </w:divBdr>
                        </w:div>
                      </w:divsChild>
                    </w:div>
                    <w:div w:id="294153387">
                      <w:marLeft w:val="0"/>
                      <w:marRight w:val="0"/>
                      <w:marTop w:val="0"/>
                      <w:marBottom w:val="0"/>
                      <w:divBdr>
                        <w:top w:val="none" w:sz="0" w:space="0" w:color="auto"/>
                        <w:left w:val="none" w:sz="0" w:space="0" w:color="auto"/>
                        <w:bottom w:val="none" w:sz="0" w:space="0" w:color="auto"/>
                        <w:right w:val="none" w:sz="0" w:space="0" w:color="auto"/>
                      </w:divBdr>
                      <w:divsChild>
                        <w:div w:id="294144213">
                          <w:marLeft w:val="0"/>
                          <w:marRight w:val="0"/>
                          <w:marTop w:val="0"/>
                          <w:marBottom w:val="0"/>
                          <w:divBdr>
                            <w:top w:val="none" w:sz="0" w:space="0" w:color="auto"/>
                            <w:left w:val="none" w:sz="0" w:space="0" w:color="auto"/>
                            <w:bottom w:val="none" w:sz="0" w:space="0" w:color="auto"/>
                            <w:right w:val="none" w:sz="0" w:space="0" w:color="auto"/>
                          </w:divBdr>
                        </w:div>
                      </w:divsChild>
                    </w:div>
                    <w:div w:id="294153471">
                      <w:marLeft w:val="0"/>
                      <w:marRight w:val="0"/>
                      <w:marTop w:val="0"/>
                      <w:marBottom w:val="0"/>
                      <w:divBdr>
                        <w:top w:val="none" w:sz="0" w:space="0" w:color="auto"/>
                        <w:left w:val="none" w:sz="0" w:space="0" w:color="auto"/>
                        <w:bottom w:val="none" w:sz="0" w:space="0" w:color="auto"/>
                        <w:right w:val="none" w:sz="0" w:space="0" w:color="auto"/>
                      </w:divBdr>
                      <w:divsChild>
                        <w:div w:id="294150447">
                          <w:marLeft w:val="0"/>
                          <w:marRight w:val="0"/>
                          <w:marTop w:val="0"/>
                          <w:marBottom w:val="0"/>
                          <w:divBdr>
                            <w:top w:val="none" w:sz="0" w:space="0" w:color="auto"/>
                            <w:left w:val="none" w:sz="0" w:space="0" w:color="auto"/>
                            <w:bottom w:val="none" w:sz="0" w:space="0" w:color="auto"/>
                            <w:right w:val="none" w:sz="0" w:space="0" w:color="auto"/>
                          </w:divBdr>
                        </w:div>
                      </w:divsChild>
                    </w:div>
                    <w:div w:id="294153570">
                      <w:marLeft w:val="0"/>
                      <w:marRight w:val="0"/>
                      <w:marTop w:val="0"/>
                      <w:marBottom w:val="0"/>
                      <w:divBdr>
                        <w:top w:val="none" w:sz="0" w:space="0" w:color="auto"/>
                        <w:left w:val="none" w:sz="0" w:space="0" w:color="auto"/>
                        <w:bottom w:val="none" w:sz="0" w:space="0" w:color="auto"/>
                        <w:right w:val="none" w:sz="0" w:space="0" w:color="auto"/>
                      </w:divBdr>
                      <w:divsChild>
                        <w:div w:id="294144811">
                          <w:marLeft w:val="0"/>
                          <w:marRight w:val="0"/>
                          <w:marTop w:val="0"/>
                          <w:marBottom w:val="0"/>
                          <w:divBdr>
                            <w:top w:val="none" w:sz="0" w:space="0" w:color="auto"/>
                            <w:left w:val="none" w:sz="0" w:space="0" w:color="auto"/>
                            <w:bottom w:val="none" w:sz="0" w:space="0" w:color="auto"/>
                            <w:right w:val="none" w:sz="0" w:space="0" w:color="auto"/>
                          </w:divBdr>
                        </w:div>
                      </w:divsChild>
                    </w:div>
                    <w:div w:id="294153585">
                      <w:marLeft w:val="0"/>
                      <w:marRight w:val="0"/>
                      <w:marTop w:val="0"/>
                      <w:marBottom w:val="0"/>
                      <w:divBdr>
                        <w:top w:val="none" w:sz="0" w:space="0" w:color="auto"/>
                        <w:left w:val="none" w:sz="0" w:space="0" w:color="auto"/>
                        <w:bottom w:val="none" w:sz="0" w:space="0" w:color="auto"/>
                        <w:right w:val="none" w:sz="0" w:space="0" w:color="auto"/>
                      </w:divBdr>
                      <w:divsChild>
                        <w:div w:id="294148096">
                          <w:marLeft w:val="0"/>
                          <w:marRight w:val="0"/>
                          <w:marTop w:val="0"/>
                          <w:marBottom w:val="0"/>
                          <w:divBdr>
                            <w:top w:val="none" w:sz="0" w:space="0" w:color="auto"/>
                            <w:left w:val="none" w:sz="0" w:space="0" w:color="auto"/>
                            <w:bottom w:val="none" w:sz="0" w:space="0" w:color="auto"/>
                            <w:right w:val="none" w:sz="0" w:space="0" w:color="auto"/>
                          </w:divBdr>
                        </w:div>
                      </w:divsChild>
                    </w:div>
                    <w:div w:id="294153611">
                      <w:marLeft w:val="0"/>
                      <w:marRight w:val="0"/>
                      <w:marTop w:val="0"/>
                      <w:marBottom w:val="0"/>
                      <w:divBdr>
                        <w:top w:val="none" w:sz="0" w:space="0" w:color="auto"/>
                        <w:left w:val="none" w:sz="0" w:space="0" w:color="auto"/>
                        <w:bottom w:val="none" w:sz="0" w:space="0" w:color="auto"/>
                        <w:right w:val="none" w:sz="0" w:space="0" w:color="auto"/>
                      </w:divBdr>
                    </w:div>
                    <w:div w:id="294153615">
                      <w:marLeft w:val="0"/>
                      <w:marRight w:val="0"/>
                      <w:marTop w:val="0"/>
                      <w:marBottom w:val="0"/>
                      <w:divBdr>
                        <w:top w:val="none" w:sz="0" w:space="0" w:color="auto"/>
                        <w:left w:val="none" w:sz="0" w:space="0" w:color="auto"/>
                        <w:bottom w:val="none" w:sz="0" w:space="0" w:color="auto"/>
                        <w:right w:val="none" w:sz="0" w:space="0" w:color="auto"/>
                      </w:divBdr>
                      <w:divsChild>
                        <w:div w:id="294140270">
                          <w:marLeft w:val="0"/>
                          <w:marRight w:val="0"/>
                          <w:marTop w:val="0"/>
                          <w:marBottom w:val="0"/>
                          <w:divBdr>
                            <w:top w:val="none" w:sz="0" w:space="0" w:color="auto"/>
                            <w:left w:val="none" w:sz="0" w:space="0" w:color="auto"/>
                            <w:bottom w:val="none" w:sz="0" w:space="0" w:color="auto"/>
                            <w:right w:val="none" w:sz="0" w:space="0" w:color="auto"/>
                          </w:divBdr>
                        </w:div>
                      </w:divsChild>
                    </w:div>
                    <w:div w:id="294153759">
                      <w:marLeft w:val="0"/>
                      <w:marRight w:val="0"/>
                      <w:marTop w:val="0"/>
                      <w:marBottom w:val="0"/>
                      <w:divBdr>
                        <w:top w:val="none" w:sz="0" w:space="0" w:color="auto"/>
                        <w:left w:val="none" w:sz="0" w:space="0" w:color="auto"/>
                        <w:bottom w:val="none" w:sz="0" w:space="0" w:color="auto"/>
                        <w:right w:val="none" w:sz="0" w:space="0" w:color="auto"/>
                      </w:divBdr>
                    </w:div>
                    <w:div w:id="294153848">
                      <w:marLeft w:val="0"/>
                      <w:marRight w:val="0"/>
                      <w:marTop w:val="0"/>
                      <w:marBottom w:val="0"/>
                      <w:divBdr>
                        <w:top w:val="none" w:sz="0" w:space="0" w:color="auto"/>
                        <w:left w:val="none" w:sz="0" w:space="0" w:color="auto"/>
                        <w:bottom w:val="none" w:sz="0" w:space="0" w:color="auto"/>
                        <w:right w:val="none" w:sz="0" w:space="0" w:color="auto"/>
                      </w:divBdr>
                      <w:divsChild>
                        <w:div w:id="294139819">
                          <w:marLeft w:val="0"/>
                          <w:marRight w:val="0"/>
                          <w:marTop w:val="0"/>
                          <w:marBottom w:val="0"/>
                          <w:divBdr>
                            <w:top w:val="none" w:sz="0" w:space="0" w:color="auto"/>
                            <w:left w:val="none" w:sz="0" w:space="0" w:color="auto"/>
                            <w:bottom w:val="none" w:sz="0" w:space="0" w:color="auto"/>
                            <w:right w:val="none" w:sz="0" w:space="0" w:color="auto"/>
                          </w:divBdr>
                        </w:div>
                      </w:divsChild>
                    </w:div>
                    <w:div w:id="294153865">
                      <w:marLeft w:val="0"/>
                      <w:marRight w:val="0"/>
                      <w:marTop w:val="0"/>
                      <w:marBottom w:val="0"/>
                      <w:divBdr>
                        <w:top w:val="none" w:sz="0" w:space="0" w:color="auto"/>
                        <w:left w:val="none" w:sz="0" w:space="0" w:color="auto"/>
                        <w:bottom w:val="none" w:sz="0" w:space="0" w:color="auto"/>
                        <w:right w:val="none" w:sz="0" w:space="0" w:color="auto"/>
                      </w:divBdr>
                    </w:div>
                    <w:div w:id="294153900">
                      <w:marLeft w:val="0"/>
                      <w:marRight w:val="0"/>
                      <w:marTop w:val="0"/>
                      <w:marBottom w:val="0"/>
                      <w:divBdr>
                        <w:top w:val="none" w:sz="0" w:space="0" w:color="auto"/>
                        <w:left w:val="none" w:sz="0" w:space="0" w:color="auto"/>
                        <w:bottom w:val="none" w:sz="0" w:space="0" w:color="auto"/>
                        <w:right w:val="none" w:sz="0" w:space="0" w:color="auto"/>
                      </w:divBdr>
                    </w:div>
                    <w:div w:id="294153916">
                      <w:marLeft w:val="0"/>
                      <w:marRight w:val="0"/>
                      <w:marTop w:val="0"/>
                      <w:marBottom w:val="0"/>
                      <w:divBdr>
                        <w:top w:val="none" w:sz="0" w:space="0" w:color="auto"/>
                        <w:left w:val="none" w:sz="0" w:space="0" w:color="auto"/>
                        <w:bottom w:val="none" w:sz="0" w:space="0" w:color="auto"/>
                        <w:right w:val="none" w:sz="0" w:space="0" w:color="auto"/>
                      </w:divBdr>
                    </w:div>
                    <w:div w:id="294153948">
                      <w:marLeft w:val="0"/>
                      <w:marRight w:val="0"/>
                      <w:marTop w:val="0"/>
                      <w:marBottom w:val="0"/>
                      <w:divBdr>
                        <w:top w:val="none" w:sz="0" w:space="0" w:color="auto"/>
                        <w:left w:val="none" w:sz="0" w:space="0" w:color="auto"/>
                        <w:bottom w:val="none" w:sz="0" w:space="0" w:color="auto"/>
                        <w:right w:val="none" w:sz="0" w:space="0" w:color="auto"/>
                      </w:divBdr>
                      <w:divsChild>
                        <w:div w:id="294149130">
                          <w:marLeft w:val="0"/>
                          <w:marRight w:val="0"/>
                          <w:marTop w:val="0"/>
                          <w:marBottom w:val="0"/>
                          <w:divBdr>
                            <w:top w:val="none" w:sz="0" w:space="0" w:color="auto"/>
                            <w:left w:val="none" w:sz="0" w:space="0" w:color="auto"/>
                            <w:bottom w:val="none" w:sz="0" w:space="0" w:color="auto"/>
                            <w:right w:val="none" w:sz="0" w:space="0" w:color="auto"/>
                          </w:divBdr>
                        </w:div>
                      </w:divsChild>
                    </w:div>
                    <w:div w:id="294154065">
                      <w:marLeft w:val="0"/>
                      <w:marRight w:val="0"/>
                      <w:marTop w:val="0"/>
                      <w:marBottom w:val="0"/>
                      <w:divBdr>
                        <w:top w:val="none" w:sz="0" w:space="0" w:color="auto"/>
                        <w:left w:val="none" w:sz="0" w:space="0" w:color="auto"/>
                        <w:bottom w:val="none" w:sz="0" w:space="0" w:color="auto"/>
                        <w:right w:val="none" w:sz="0" w:space="0" w:color="auto"/>
                      </w:divBdr>
                    </w:div>
                    <w:div w:id="294154087">
                      <w:marLeft w:val="0"/>
                      <w:marRight w:val="0"/>
                      <w:marTop w:val="0"/>
                      <w:marBottom w:val="0"/>
                      <w:divBdr>
                        <w:top w:val="none" w:sz="0" w:space="0" w:color="auto"/>
                        <w:left w:val="none" w:sz="0" w:space="0" w:color="auto"/>
                        <w:bottom w:val="none" w:sz="0" w:space="0" w:color="auto"/>
                        <w:right w:val="none" w:sz="0" w:space="0" w:color="auto"/>
                      </w:divBdr>
                    </w:div>
                    <w:div w:id="294154091">
                      <w:marLeft w:val="0"/>
                      <w:marRight w:val="0"/>
                      <w:marTop w:val="0"/>
                      <w:marBottom w:val="0"/>
                      <w:divBdr>
                        <w:top w:val="none" w:sz="0" w:space="0" w:color="auto"/>
                        <w:left w:val="none" w:sz="0" w:space="0" w:color="auto"/>
                        <w:bottom w:val="none" w:sz="0" w:space="0" w:color="auto"/>
                        <w:right w:val="none" w:sz="0" w:space="0" w:color="auto"/>
                      </w:divBdr>
                    </w:div>
                    <w:div w:id="294154105">
                      <w:marLeft w:val="0"/>
                      <w:marRight w:val="0"/>
                      <w:marTop w:val="0"/>
                      <w:marBottom w:val="0"/>
                      <w:divBdr>
                        <w:top w:val="none" w:sz="0" w:space="0" w:color="auto"/>
                        <w:left w:val="none" w:sz="0" w:space="0" w:color="auto"/>
                        <w:bottom w:val="none" w:sz="0" w:space="0" w:color="auto"/>
                        <w:right w:val="none" w:sz="0" w:space="0" w:color="auto"/>
                      </w:divBdr>
                    </w:div>
                    <w:div w:id="294154131">
                      <w:marLeft w:val="0"/>
                      <w:marRight w:val="0"/>
                      <w:marTop w:val="0"/>
                      <w:marBottom w:val="0"/>
                      <w:divBdr>
                        <w:top w:val="none" w:sz="0" w:space="0" w:color="auto"/>
                        <w:left w:val="none" w:sz="0" w:space="0" w:color="auto"/>
                        <w:bottom w:val="none" w:sz="0" w:space="0" w:color="auto"/>
                        <w:right w:val="none" w:sz="0" w:space="0" w:color="auto"/>
                      </w:divBdr>
                      <w:divsChild>
                        <w:div w:id="294141240">
                          <w:marLeft w:val="0"/>
                          <w:marRight w:val="0"/>
                          <w:marTop w:val="0"/>
                          <w:marBottom w:val="0"/>
                          <w:divBdr>
                            <w:top w:val="none" w:sz="0" w:space="0" w:color="auto"/>
                            <w:left w:val="none" w:sz="0" w:space="0" w:color="auto"/>
                            <w:bottom w:val="none" w:sz="0" w:space="0" w:color="auto"/>
                            <w:right w:val="none" w:sz="0" w:space="0" w:color="auto"/>
                          </w:divBdr>
                        </w:div>
                      </w:divsChild>
                    </w:div>
                    <w:div w:id="294154199">
                      <w:marLeft w:val="0"/>
                      <w:marRight w:val="0"/>
                      <w:marTop w:val="0"/>
                      <w:marBottom w:val="0"/>
                      <w:divBdr>
                        <w:top w:val="none" w:sz="0" w:space="0" w:color="auto"/>
                        <w:left w:val="none" w:sz="0" w:space="0" w:color="auto"/>
                        <w:bottom w:val="none" w:sz="0" w:space="0" w:color="auto"/>
                        <w:right w:val="none" w:sz="0" w:space="0" w:color="auto"/>
                      </w:divBdr>
                      <w:divsChild>
                        <w:div w:id="294152315">
                          <w:marLeft w:val="0"/>
                          <w:marRight w:val="0"/>
                          <w:marTop w:val="0"/>
                          <w:marBottom w:val="0"/>
                          <w:divBdr>
                            <w:top w:val="none" w:sz="0" w:space="0" w:color="auto"/>
                            <w:left w:val="none" w:sz="0" w:space="0" w:color="auto"/>
                            <w:bottom w:val="none" w:sz="0" w:space="0" w:color="auto"/>
                            <w:right w:val="none" w:sz="0" w:space="0" w:color="auto"/>
                          </w:divBdr>
                        </w:div>
                      </w:divsChild>
                    </w:div>
                    <w:div w:id="294154280">
                      <w:marLeft w:val="0"/>
                      <w:marRight w:val="0"/>
                      <w:marTop w:val="0"/>
                      <w:marBottom w:val="0"/>
                      <w:divBdr>
                        <w:top w:val="none" w:sz="0" w:space="0" w:color="auto"/>
                        <w:left w:val="none" w:sz="0" w:space="0" w:color="auto"/>
                        <w:bottom w:val="none" w:sz="0" w:space="0" w:color="auto"/>
                        <w:right w:val="none" w:sz="0" w:space="0" w:color="auto"/>
                      </w:divBdr>
                    </w:div>
                    <w:div w:id="294154334">
                      <w:marLeft w:val="0"/>
                      <w:marRight w:val="0"/>
                      <w:marTop w:val="0"/>
                      <w:marBottom w:val="0"/>
                      <w:divBdr>
                        <w:top w:val="none" w:sz="0" w:space="0" w:color="auto"/>
                        <w:left w:val="none" w:sz="0" w:space="0" w:color="auto"/>
                        <w:bottom w:val="none" w:sz="0" w:space="0" w:color="auto"/>
                        <w:right w:val="none" w:sz="0" w:space="0" w:color="auto"/>
                      </w:divBdr>
                      <w:divsChild>
                        <w:div w:id="294156348">
                          <w:marLeft w:val="0"/>
                          <w:marRight w:val="0"/>
                          <w:marTop w:val="0"/>
                          <w:marBottom w:val="0"/>
                          <w:divBdr>
                            <w:top w:val="none" w:sz="0" w:space="0" w:color="auto"/>
                            <w:left w:val="none" w:sz="0" w:space="0" w:color="auto"/>
                            <w:bottom w:val="none" w:sz="0" w:space="0" w:color="auto"/>
                            <w:right w:val="none" w:sz="0" w:space="0" w:color="auto"/>
                          </w:divBdr>
                        </w:div>
                      </w:divsChild>
                    </w:div>
                    <w:div w:id="294154419">
                      <w:marLeft w:val="0"/>
                      <w:marRight w:val="0"/>
                      <w:marTop w:val="0"/>
                      <w:marBottom w:val="0"/>
                      <w:divBdr>
                        <w:top w:val="none" w:sz="0" w:space="0" w:color="auto"/>
                        <w:left w:val="none" w:sz="0" w:space="0" w:color="auto"/>
                        <w:bottom w:val="none" w:sz="0" w:space="0" w:color="auto"/>
                        <w:right w:val="none" w:sz="0" w:space="0" w:color="auto"/>
                      </w:divBdr>
                    </w:div>
                    <w:div w:id="294154619">
                      <w:marLeft w:val="0"/>
                      <w:marRight w:val="0"/>
                      <w:marTop w:val="0"/>
                      <w:marBottom w:val="0"/>
                      <w:divBdr>
                        <w:top w:val="none" w:sz="0" w:space="0" w:color="auto"/>
                        <w:left w:val="none" w:sz="0" w:space="0" w:color="auto"/>
                        <w:bottom w:val="none" w:sz="0" w:space="0" w:color="auto"/>
                        <w:right w:val="none" w:sz="0" w:space="0" w:color="auto"/>
                      </w:divBdr>
                    </w:div>
                    <w:div w:id="294154660">
                      <w:marLeft w:val="0"/>
                      <w:marRight w:val="0"/>
                      <w:marTop w:val="0"/>
                      <w:marBottom w:val="0"/>
                      <w:divBdr>
                        <w:top w:val="none" w:sz="0" w:space="0" w:color="auto"/>
                        <w:left w:val="none" w:sz="0" w:space="0" w:color="auto"/>
                        <w:bottom w:val="none" w:sz="0" w:space="0" w:color="auto"/>
                        <w:right w:val="none" w:sz="0" w:space="0" w:color="auto"/>
                      </w:divBdr>
                      <w:divsChild>
                        <w:div w:id="294154616">
                          <w:marLeft w:val="0"/>
                          <w:marRight w:val="0"/>
                          <w:marTop w:val="0"/>
                          <w:marBottom w:val="0"/>
                          <w:divBdr>
                            <w:top w:val="none" w:sz="0" w:space="0" w:color="auto"/>
                            <w:left w:val="none" w:sz="0" w:space="0" w:color="auto"/>
                            <w:bottom w:val="none" w:sz="0" w:space="0" w:color="auto"/>
                            <w:right w:val="none" w:sz="0" w:space="0" w:color="auto"/>
                          </w:divBdr>
                        </w:div>
                      </w:divsChild>
                    </w:div>
                    <w:div w:id="294154726">
                      <w:marLeft w:val="0"/>
                      <w:marRight w:val="0"/>
                      <w:marTop w:val="0"/>
                      <w:marBottom w:val="0"/>
                      <w:divBdr>
                        <w:top w:val="none" w:sz="0" w:space="0" w:color="auto"/>
                        <w:left w:val="none" w:sz="0" w:space="0" w:color="auto"/>
                        <w:bottom w:val="none" w:sz="0" w:space="0" w:color="auto"/>
                        <w:right w:val="none" w:sz="0" w:space="0" w:color="auto"/>
                      </w:divBdr>
                      <w:divsChild>
                        <w:div w:id="294148656">
                          <w:marLeft w:val="0"/>
                          <w:marRight w:val="0"/>
                          <w:marTop w:val="0"/>
                          <w:marBottom w:val="0"/>
                          <w:divBdr>
                            <w:top w:val="none" w:sz="0" w:space="0" w:color="auto"/>
                            <w:left w:val="none" w:sz="0" w:space="0" w:color="auto"/>
                            <w:bottom w:val="none" w:sz="0" w:space="0" w:color="auto"/>
                            <w:right w:val="none" w:sz="0" w:space="0" w:color="auto"/>
                          </w:divBdr>
                        </w:div>
                      </w:divsChild>
                    </w:div>
                    <w:div w:id="294154763">
                      <w:marLeft w:val="0"/>
                      <w:marRight w:val="0"/>
                      <w:marTop w:val="0"/>
                      <w:marBottom w:val="0"/>
                      <w:divBdr>
                        <w:top w:val="none" w:sz="0" w:space="0" w:color="auto"/>
                        <w:left w:val="none" w:sz="0" w:space="0" w:color="auto"/>
                        <w:bottom w:val="none" w:sz="0" w:space="0" w:color="auto"/>
                        <w:right w:val="none" w:sz="0" w:space="0" w:color="auto"/>
                      </w:divBdr>
                    </w:div>
                    <w:div w:id="294154766">
                      <w:marLeft w:val="0"/>
                      <w:marRight w:val="0"/>
                      <w:marTop w:val="0"/>
                      <w:marBottom w:val="0"/>
                      <w:divBdr>
                        <w:top w:val="none" w:sz="0" w:space="0" w:color="auto"/>
                        <w:left w:val="none" w:sz="0" w:space="0" w:color="auto"/>
                        <w:bottom w:val="none" w:sz="0" w:space="0" w:color="auto"/>
                        <w:right w:val="none" w:sz="0" w:space="0" w:color="auto"/>
                      </w:divBdr>
                    </w:div>
                    <w:div w:id="294154772">
                      <w:marLeft w:val="0"/>
                      <w:marRight w:val="0"/>
                      <w:marTop w:val="0"/>
                      <w:marBottom w:val="0"/>
                      <w:divBdr>
                        <w:top w:val="none" w:sz="0" w:space="0" w:color="auto"/>
                        <w:left w:val="none" w:sz="0" w:space="0" w:color="auto"/>
                        <w:bottom w:val="none" w:sz="0" w:space="0" w:color="auto"/>
                        <w:right w:val="none" w:sz="0" w:space="0" w:color="auto"/>
                      </w:divBdr>
                    </w:div>
                    <w:div w:id="294154848">
                      <w:marLeft w:val="0"/>
                      <w:marRight w:val="0"/>
                      <w:marTop w:val="0"/>
                      <w:marBottom w:val="0"/>
                      <w:divBdr>
                        <w:top w:val="none" w:sz="0" w:space="0" w:color="auto"/>
                        <w:left w:val="none" w:sz="0" w:space="0" w:color="auto"/>
                        <w:bottom w:val="none" w:sz="0" w:space="0" w:color="auto"/>
                        <w:right w:val="none" w:sz="0" w:space="0" w:color="auto"/>
                      </w:divBdr>
                      <w:divsChild>
                        <w:div w:id="294138505">
                          <w:marLeft w:val="0"/>
                          <w:marRight w:val="0"/>
                          <w:marTop w:val="0"/>
                          <w:marBottom w:val="0"/>
                          <w:divBdr>
                            <w:top w:val="none" w:sz="0" w:space="0" w:color="auto"/>
                            <w:left w:val="none" w:sz="0" w:space="0" w:color="auto"/>
                            <w:bottom w:val="none" w:sz="0" w:space="0" w:color="auto"/>
                            <w:right w:val="none" w:sz="0" w:space="0" w:color="auto"/>
                          </w:divBdr>
                        </w:div>
                      </w:divsChild>
                    </w:div>
                    <w:div w:id="294154905">
                      <w:marLeft w:val="0"/>
                      <w:marRight w:val="0"/>
                      <w:marTop w:val="0"/>
                      <w:marBottom w:val="0"/>
                      <w:divBdr>
                        <w:top w:val="none" w:sz="0" w:space="0" w:color="auto"/>
                        <w:left w:val="none" w:sz="0" w:space="0" w:color="auto"/>
                        <w:bottom w:val="none" w:sz="0" w:space="0" w:color="auto"/>
                        <w:right w:val="none" w:sz="0" w:space="0" w:color="auto"/>
                      </w:divBdr>
                      <w:divsChild>
                        <w:div w:id="294146963">
                          <w:marLeft w:val="0"/>
                          <w:marRight w:val="0"/>
                          <w:marTop w:val="0"/>
                          <w:marBottom w:val="0"/>
                          <w:divBdr>
                            <w:top w:val="none" w:sz="0" w:space="0" w:color="auto"/>
                            <w:left w:val="none" w:sz="0" w:space="0" w:color="auto"/>
                            <w:bottom w:val="none" w:sz="0" w:space="0" w:color="auto"/>
                            <w:right w:val="none" w:sz="0" w:space="0" w:color="auto"/>
                          </w:divBdr>
                        </w:div>
                      </w:divsChild>
                    </w:div>
                    <w:div w:id="294154908">
                      <w:marLeft w:val="0"/>
                      <w:marRight w:val="0"/>
                      <w:marTop w:val="0"/>
                      <w:marBottom w:val="0"/>
                      <w:divBdr>
                        <w:top w:val="none" w:sz="0" w:space="0" w:color="auto"/>
                        <w:left w:val="none" w:sz="0" w:space="0" w:color="auto"/>
                        <w:bottom w:val="none" w:sz="0" w:space="0" w:color="auto"/>
                        <w:right w:val="none" w:sz="0" w:space="0" w:color="auto"/>
                      </w:divBdr>
                      <w:divsChild>
                        <w:div w:id="294145774">
                          <w:marLeft w:val="0"/>
                          <w:marRight w:val="0"/>
                          <w:marTop w:val="0"/>
                          <w:marBottom w:val="0"/>
                          <w:divBdr>
                            <w:top w:val="none" w:sz="0" w:space="0" w:color="auto"/>
                            <w:left w:val="none" w:sz="0" w:space="0" w:color="auto"/>
                            <w:bottom w:val="none" w:sz="0" w:space="0" w:color="auto"/>
                            <w:right w:val="none" w:sz="0" w:space="0" w:color="auto"/>
                          </w:divBdr>
                        </w:div>
                      </w:divsChild>
                    </w:div>
                    <w:div w:id="294155148">
                      <w:marLeft w:val="0"/>
                      <w:marRight w:val="0"/>
                      <w:marTop w:val="0"/>
                      <w:marBottom w:val="0"/>
                      <w:divBdr>
                        <w:top w:val="none" w:sz="0" w:space="0" w:color="auto"/>
                        <w:left w:val="none" w:sz="0" w:space="0" w:color="auto"/>
                        <w:bottom w:val="none" w:sz="0" w:space="0" w:color="auto"/>
                        <w:right w:val="none" w:sz="0" w:space="0" w:color="auto"/>
                      </w:divBdr>
                    </w:div>
                    <w:div w:id="294155186">
                      <w:marLeft w:val="0"/>
                      <w:marRight w:val="0"/>
                      <w:marTop w:val="0"/>
                      <w:marBottom w:val="0"/>
                      <w:divBdr>
                        <w:top w:val="none" w:sz="0" w:space="0" w:color="auto"/>
                        <w:left w:val="none" w:sz="0" w:space="0" w:color="auto"/>
                        <w:bottom w:val="none" w:sz="0" w:space="0" w:color="auto"/>
                        <w:right w:val="none" w:sz="0" w:space="0" w:color="auto"/>
                      </w:divBdr>
                    </w:div>
                    <w:div w:id="294155189">
                      <w:marLeft w:val="0"/>
                      <w:marRight w:val="0"/>
                      <w:marTop w:val="0"/>
                      <w:marBottom w:val="0"/>
                      <w:divBdr>
                        <w:top w:val="none" w:sz="0" w:space="0" w:color="auto"/>
                        <w:left w:val="none" w:sz="0" w:space="0" w:color="auto"/>
                        <w:bottom w:val="none" w:sz="0" w:space="0" w:color="auto"/>
                        <w:right w:val="none" w:sz="0" w:space="0" w:color="auto"/>
                      </w:divBdr>
                      <w:divsChild>
                        <w:div w:id="294138256">
                          <w:marLeft w:val="0"/>
                          <w:marRight w:val="0"/>
                          <w:marTop w:val="0"/>
                          <w:marBottom w:val="0"/>
                          <w:divBdr>
                            <w:top w:val="none" w:sz="0" w:space="0" w:color="auto"/>
                            <w:left w:val="none" w:sz="0" w:space="0" w:color="auto"/>
                            <w:bottom w:val="none" w:sz="0" w:space="0" w:color="auto"/>
                            <w:right w:val="none" w:sz="0" w:space="0" w:color="auto"/>
                          </w:divBdr>
                        </w:div>
                      </w:divsChild>
                    </w:div>
                    <w:div w:id="294155327">
                      <w:marLeft w:val="0"/>
                      <w:marRight w:val="0"/>
                      <w:marTop w:val="0"/>
                      <w:marBottom w:val="0"/>
                      <w:divBdr>
                        <w:top w:val="none" w:sz="0" w:space="0" w:color="auto"/>
                        <w:left w:val="none" w:sz="0" w:space="0" w:color="auto"/>
                        <w:bottom w:val="none" w:sz="0" w:space="0" w:color="auto"/>
                        <w:right w:val="none" w:sz="0" w:space="0" w:color="auto"/>
                      </w:divBdr>
                      <w:divsChild>
                        <w:div w:id="294153824">
                          <w:marLeft w:val="0"/>
                          <w:marRight w:val="0"/>
                          <w:marTop w:val="0"/>
                          <w:marBottom w:val="0"/>
                          <w:divBdr>
                            <w:top w:val="none" w:sz="0" w:space="0" w:color="auto"/>
                            <w:left w:val="none" w:sz="0" w:space="0" w:color="auto"/>
                            <w:bottom w:val="none" w:sz="0" w:space="0" w:color="auto"/>
                            <w:right w:val="none" w:sz="0" w:space="0" w:color="auto"/>
                          </w:divBdr>
                        </w:div>
                      </w:divsChild>
                    </w:div>
                    <w:div w:id="294155358">
                      <w:marLeft w:val="0"/>
                      <w:marRight w:val="0"/>
                      <w:marTop w:val="0"/>
                      <w:marBottom w:val="0"/>
                      <w:divBdr>
                        <w:top w:val="none" w:sz="0" w:space="0" w:color="auto"/>
                        <w:left w:val="none" w:sz="0" w:space="0" w:color="auto"/>
                        <w:bottom w:val="none" w:sz="0" w:space="0" w:color="auto"/>
                        <w:right w:val="none" w:sz="0" w:space="0" w:color="auto"/>
                      </w:divBdr>
                      <w:divsChild>
                        <w:div w:id="294144152">
                          <w:marLeft w:val="0"/>
                          <w:marRight w:val="0"/>
                          <w:marTop w:val="0"/>
                          <w:marBottom w:val="0"/>
                          <w:divBdr>
                            <w:top w:val="none" w:sz="0" w:space="0" w:color="auto"/>
                            <w:left w:val="none" w:sz="0" w:space="0" w:color="auto"/>
                            <w:bottom w:val="none" w:sz="0" w:space="0" w:color="auto"/>
                            <w:right w:val="none" w:sz="0" w:space="0" w:color="auto"/>
                          </w:divBdr>
                        </w:div>
                      </w:divsChild>
                    </w:div>
                    <w:div w:id="294155519">
                      <w:marLeft w:val="0"/>
                      <w:marRight w:val="0"/>
                      <w:marTop w:val="0"/>
                      <w:marBottom w:val="0"/>
                      <w:divBdr>
                        <w:top w:val="none" w:sz="0" w:space="0" w:color="auto"/>
                        <w:left w:val="none" w:sz="0" w:space="0" w:color="auto"/>
                        <w:bottom w:val="none" w:sz="0" w:space="0" w:color="auto"/>
                        <w:right w:val="none" w:sz="0" w:space="0" w:color="auto"/>
                      </w:divBdr>
                      <w:divsChild>
                        <w:div w:id="294142868">
                          <w:marLeft w:val="0"/>
                          <w:marRight w:val="0"/>
                          <w:marTop w:val="0"/>
                          <w:marBottom w:val="0"/>
                          <w:divBdr>
                            <w:top w:val="none" w:sz="0" w:space="0" w:color="auto"/>
                            <w:left w:val="none" w:sz="0" w:space="0" w:color="auto"/>
                            <w:bottom w:val="none" w:sz="0" w:space="0" w:color="auto"/>
                            <w:right w:val="none" w:sz="0" w:space="0" w:color="auto"/>
                          </w:divBdr>
                        </w:div>
                      </w:divsChild>
                    </w:div>
                    <w:div w:id="294155540">
                      <w:marLeft w:val="0"/>
                      <w:marRight w:val="0"/>
                      <w:marTop w:val="0"/>
                      <w:marBottom w:val="0"/>
                      <w:divBdr>
                        <w:top w:val="none" w:sz="0" w:space="0" w:color="auto"/>
                        <w:left w:val="none" w:sz="0" w:space="0" w:color="auto"/>
                        <w:bottom w:val="none" w:sz="0" w:space="0" w:color="auto"/>
                        <w:right w:val="none" w:sz="0" w:space="0" w:color="auto"/>
                      </w:divBdr>
                    </w:div>
                    <w:div w:id="294155830">
                      <w:marLeft w:val="0"/>
                      <w:marRight w:val="0"/>
                      <w:marTop w:val="0"/>
                      <w:marBottom w:val="0"/>
                      <w:divBdr>
                        <w:top w:val="none" w:sz="0" w:space="0" w:color="auto"/>
                        <w:left w:val="none" w:sz="0" w:space="0" w:color="auto"/>
                        <w:bottom w:val="none" w:sz="0" w:space="0" w:color="auto"/>
                        <w:right w:val="none" w:sz="0" w:space="0" w:color="auto"/>
                      </w:divBdr>
                    </w:div>
                    <w:div w:id="294155888">
                      <w:marLeft w:val="0"/>
                      <w:marRight w:val="0"/>
                      <w:marTop w:val="0"/>
                      <w:marBottom w:val="0"/>
                      <w:divBdr>
                        <w:top w:val="none" w:sz="0" w:space="0" w:color="auto"/>
                        <w:left w:val="none" w:sz="0" w:space="0" w:color="auto"/>
                        <w:bottom w:val="none" w:sz="0" w:space="0" w:color="auto"/>
                        <w:right w:val="none" w:sz="0" w:space="0" w:color="auto"/>
                      </w:divBdr>
                    </w:div>
                    <w:div w:id="294155923">
                      <w:marLeft w:val="0"/>
                      <w:marRight w:val="0"/>
                      <w:marTop w:val="0"/>
                      <w:marBottom w:val="0"/>
                      <w:divBdr>
                        <w:top w:val="none" w:sz="0" w:space="0" w:color="auto"/>
                        <w:left w:val="none" w:sz="0" w:space="0" w:color="auto"/>
                        <w:bottom w:val="none" w:sz="0" w:space="0" w:color="auto"/>
                        <w:right w:val="none" w:sz="0" w:space="0" w:color="auto"/>
                      </w:divBdr>
                      <w:divsChild>
                        <w:div w:id="294143309">
                          <w:marLeft w:val="0"/>
                          <w:marRight w:val="0"/>
                          <w:marTop w:val="0"/>
                          <w:marBottom w:val="0"/>
                          <w:divBdr>
                            <w:top w:val="none" w:sz="0" w:space="0" w:color="auto"/>
                            <w:left w:val="none" w:sz="0" w:space="0" w:color="auto"/>
                            <w:bottom w:val="none" w:sz="0" w:space="0" w:color="auto"/>
                            <w:right w:val="none" w:sz="0" w:space="0" w:color="auto"/>
                          </w:divBdr>
                        </w:div>
                      </w:divsChild>
                    </w:div>
                    <w:div w:id="294156053">
                      <w:marLeft w:val="0"/>
                      <w:marRight w:val="0"/>
                      <w:marTop w:val="0"/>
                      <w:marBottom w:val="0"/>
                      <w:divBdr>
                        <w:top w:val="none" w:sz="0" w:space="0" w:color="auto"/>
                        <w:left w:val="none" w:sz="0" w:space="0" w:color="auto"/>
                        <w:bottom w:val="none" w:sz="0" w:space="0" w:color="auto"/>
                        <w:right w:val="none" w:sz="0" w:space="0" w:color="auto"/>
                      </w:divBdr>
                    </w:div>
                    <w:div w:id="294156058">
                      <w:marLeft w:val="0"/>
                      <w:marRight w:val="0"/>
                      <w:marTop w:val="0"/>
                      <w:marBottom w:val="0"/>
                      <w:divBdr>
                        <w:top w:val="none" w:sz="0" w:space="0" w:color="auto"/>
                        <w:left w:val="none" w:sz="0" w:space="0" w:color="auto"/>
                        <w:bottom w:val="none" w:sz="0" w:space="0" w:color="auto"/>
                        <w:right w:val="none" w:sz="0" w:space="0" w:color="auto"/>
                      </w:divBdr>
                    </w:div>
                    <w:div w:id="294156135">
                      <w:marLeft w:val="0"/>
                      <w:marRight w:val="0"/>
                      <w:marTop w:val="0"/>
                      <w:marBottom w:val="0"/>
                      <w:divBdr>
                        <w:top w:val="none" w:sz="0" w:space="0" w:color="auto"/>
                        <w:left w:val="none" w:sz="0" w:space="0" w:color="auto"/>
                        <w:bottom w:val="none" w:sz="0" w:space="0" w:color="auto"/>
                        <w:right w:val="none" w:sz="0" w:space="0" w:color="auto"/>
                      </w:divBdr>
                    </w:div>
                    <w:div w:id="294156165">
                      <w:marLeft w:val="0"/>
                      <w:marRight w:val="0"/>
                      <w:marTop w:val="0"/>
                      <w:marBottom w:val="0"/>
                      <w:divBdr>
                        <w:top w:val="none" w:sz="0" w:space="0" w:color="auto"/>
                        <w:left w:val="none" w:sz="0" w:space="0" w:color="auto"/>
                        <w:bottom w:val="none" w:sz="0" w:space="0" w:color="auto"/>
                        <w:right w:val="none" w:sz="0" w:space="0" w:color="auto"/>
                      </w:divBdr>
                    </w:div>
                    <w:div w:id="294156187">
                      <w:marLeft w:val="0"/>
                      <w:marRight w:val="0"/>
                      <w:marTop w:val="0"/>
                      <w:marBottom w:val="0"/>
                      <w:divBdr>
                        <w:top w:val="none" w:sz="0" w:space="0" w:color="auto"/>
                        <w:left w:val="none" w:sz="0" w:space="0" w:color="auto"/>
                        <w:bottom w:val="none" w:sz="0" w:space="0" w:color="auto"/>
                        <w:right w:val="none" w:sz="0" w:space="0" w:color="auto"/>
                      </w:divBdr>
                    </w:div>
                    <w:div w:id="294156245">
                      <w:marLeft w:val="0"/>
                      <w:marRight w:val="0"/>
                      <w:marTop w:val="0"/>
                      <w:marBottom w:val="0"/>
                      <w:divBdr>
                        <w:top w:val="none" w:sz="0" w:space="0" w:color="auto"/>
                        <w:left w:val="none" w:sz="0" w:space="0" w:color="auto"/>
                        <w:bottom w:val="none" w:sz="0" w:space="0" w:color="auto"/>
                        <w:right w:val="none" w:sz="0" w:space="0" w:color="auto"/>
                      </w:divBdr>
                    </w:div>
                    <w:div w:id="294156246">
                      <w:marLeft w:val="0"/>
                      <w:marRight w:val="0"/>
                      <w:marTop w:val="0"/>
                      <w:marBottom w:val="0"/>
                      <w:divBdr>
                        <w:top w:val="none" w:sz="0" w:space="0" w:color="auto"/>
                        <w:left w:val="none" w:sz="0" w:space="0" w:color="auto"/>
                        <w:bottom w:val="none" w:sz="0" w:space="0" w:color="auto"/>
                        <w:right w:val="none" w:sz="0" w:space="0" w:color="auto"/>
                      </w:divBdr>
                      <w:divsChild>
                        <w:div w:id="294141020">
                          <w:marLeft w:val="0"/>
                          <w:marRight w:val="0"/>
                          <w:marTop w:val="0"/>
                          <w:marBottom w:val="0"/>
                          <w:divBdr>
                            <w:top w:val="none" w:sz="0" w:space="0" w:color="auto"/>
                            <w:left w:val="none" w:sz="0" w:space="0" w:color="auto"/>
                            <w:bottom w:val="none" w:sz="0" w:space="0" w:color="auto"/>
                            <w:right w:val="none" w:sz="0" w:space="0" w:color="auto"/>
                          </w:divBdr>
                        </w:div>
                      </w:divsChild>
                    </w:div>
                    <w:div w:id="294156309">
                      <w:marLeft w:val="0"/>
                      <w:marRight w:val="0"/>
                      <w:marTop w:val="0"/>
                      <w:marBottom w:val="0"/>
                      <w:divBdr>
                        <w:top w:val="none" w:sz="0" w:space="0" w:color="auto"/>
                        <w:left w:val="none" w:sz="0" w:space="0" w:color="auto"/>
                        <w:bottom w:val="none" w:sz="0" w:space="0" w:color="auto"/>
                        <w:right w:val="none" w:sz="0" w:space="0" w:color="auto"/>
                      </w:divBdr>
                    </w:div>
                    <w:div w:id="294156316">
                      <w:marLeft w:val="0"/>
                      <w:marRight w:val="0"/>
                      <w:marTop w:val="0"/>
                      <w:marBottom w:val="0"/>
                      <w:divBdr>
                        <w:top w:val="none" w:sz="0" w:space="0" w:color="auto"/>
                        <w:left w:val="none" w:sz="0" w:space="0" w:color="auto"/>
                        <w:bottom w:val="none" w:sz="0" w:space="0" w:color="auto"/>
                        <w:right w:val="none" w:sz="0" w:space="0" w:color="auto"/>
                      </w:divBdr>
                    </w:div>
                    <w:div w:id="294156352">
                      <w:marLeft w:val="0"/>
                      <w:marRight w:val="0"/>
                      <w:marTop w:val="0"/>
                      <w:marBottom w:val="0"/>
                      <w:divBdr>
                        <w:top w:val="none" w:sz="0" w:space="0" w:color="auto"/>
                        <w:left w:val="none" w:sz="0" w:space="0" w:color="auto"/>
                        <w:bottom w:val="none" w:sz="0" w:space="0" w:color="auto"/>
                        <w:right w:val="none" w:sz="0" w:space="0" w:color="auto"/>
                      </w:divBdr>
                    </w:div>
                    <w:div w:id="294156536">
                      <w:marLeft w:val="0"/>
                      <w:marRight w:val="0"/>
                      <w:marTop w:val="0"/>
                      <w:marBottom w:val="0"/>
                      <w:divBdr>
                        <w:top w:val="none" w:sz="0" w:space="0" w:color="auto"/>
                        <w:left w:val="none" w:sz="0" w:space="0" w:color="auto"/>
                        <w:bottom w:val="none" w:sz="0" w:space="0" w:color="auto"/>
                        <w:right w:val="none" w:sz="0" w:space="0" w:color="auto"/>
                      </w:divBdr>
                      <w:divsChild>
                        <w:div w:id="294146719">
                          <w:marLeft w:val="0"/>
                          <w:marRight w:val="0"/>
                          <w:marTop w:val="0"/>
                          <w:marBottom w:val="0"/>
                          <w:divBdr>
                            <w:top w:val="none" w:sz="0" w:space="0" w:color="auto"/>
                            <w:left w:val="none" w:sz="0" w:space="0" w:color="auto"/>
                            <w:bottom w:val="none" w:sz="0" w:space="0" w:color="auto"/>
                            <w:right w:val="none" w:sz="0" w:space="0" w:color="auto"/>
                          </w:divBdr>
                        </w:div>
                      </w:divsChild>
                    </w:div>
                    <w:div w:id="294156612">
                      <w:marLeft w:val="0"/>
                      <w:marRight w:val="0"/>
                      <w:marTop w:val="0"/>
                      <w:marBottom w:val="0"/>
                      <w:divBdr>
                        <w:top w:val="none" w:sz="0" w:space="0" w:color="auto"/>
                        <w:left w:val="none" w:sz="0" w:space="0" w:color="auto"/>
                        <w:bottom w:val="none" w:sz="0" w:space="0" w:color="auto"/>
                        <w:right w:val="none" w:sz="0" w:space="0" w:color="auto"/>
                      </w:divBdr>
                      <w:divsChild>
                        <w:div w:id="294139590">
                          <w:marLeft w:val="0"/>
                          <w:marRight w:val="0"/>
                          <w:marTop w:val="0"/>
                          <w:marBottom w:val="0"/>
                          <w:divBdr>
                            <w:top w:val="none" w:sz="0" w:space="0" w:color="auto"/>
                            <w:left w:val="none" w:sz="0" w:space="0" w:color="auto"/>
                            <w:bottom w:val="none" w:sz="0" w:space="0" w:color="auto"/>
                            <w:right w:val="none" w:sz="0" w:space="0" w:color="auto"/>
                          </w:divBdr>
                        </w:div>
                      </w:divsChild>
                    </w:div>
                    <w:div w:id="294156637">
                      <w:marLeft w:val="0"/>
                      <w:marRight w:val="0"/>
                      <w:marTop w:val="0"/>
                      <w:marBottom w:val="0"/>
                      <w:divBdr>
                        <w:top w:val="none" w:sz="0" w:space="0" w:color="auto"/>
                        <w:left w:val="none" w:sz="0" w:space="0" w:color="auto"/>
                        <w:bottom w:val="none" w:sz="0" w:space="0" w:color="auto"/>
                        <w:right w:val="none" w:sz="0" w:space="0" w:color="auto"/>
                      </w:divBdr>
                      <w:divsChild>
                        <w:div w:id="294143843">
                          <w:marLeft w:val="0"/>
                          <w:marRight w:val="0"/>
                          <w:marTop w:val="0"/>
                          <w:marBottom w:val="0"/>
                          <w:divBdr>
                            <w:top w:val="none" w:sz="0" w:space="0" w:color="auto"/>
                            <w:left w:val="none" w:sz="0" w:space="0" w:color="auto"/>
                            <w:bottom w:val="none" w:sz="0" w:space="0" w:color="auto"/>
                            <w:right w:val="none" w:sz="0" w:space="0" w:color="auto"/>
                          </w:divBdr>
                        </w:div>
                      </w:divsChild>
                    </w:div>
                    <w:div w:id="294156944">
                      <w:marLeft w:val="0"/>
                      <w:marRight w:val="0"/>
                      <w:marTop w:val="0"/>
                      <w:marBottom w:val="0"/>
                      <w:divBdr>
                        <w:top w:val="none" w:sz="0" w:space="0" w:color="auto"/>
                        <w:left w:val="none" w:sz="0" w:space="0" w:color="auto"/>
                        <w:bottom w:val="none" w:sz="0" w:space="0" w:color="auto"/>
                        <w:right w:val="none" w:sz="0" w:space="0" w:color="auto"/>
                      </w:divBdr>
                      <w:divsChild>
                        <w:div w:id="294155842">
                          <w:marLeft w:val="0"/>
                          <w:marRight w:val="0"/>
                          <w:marTop w:val="0"/>
                          <w:marBottom w:val="0"/>
                          <w:divBdr>
                            <w:top w:val="none" w:sz="0" w:space="0" w:color="auto"/>
                            <w:left w:val="none" w:sz="0" w:space="0" w:color="auto"/>
                            <w:bottom w:val="none" w:sz="0" w:space="0" w:color="auto"/>
                            <w:right w:val="none" w:sz="0" w:space="0" w:color="auto"/>
                          </w:divBdr>
                        </w:div>
                      </w:divsChild>
                    </w:div>
                    <w:div w:id="294157025">
                      <w:marLeft w:val="0"/>
                      <w:marRight w:val="0"/>
                      <w:marTop w:val="0"/>
                      <w:marBottom w:val="0"/>
                      <w:divBdr>
                        <w:top w:val="none" w:sz="0" w:space="0" w:color="auto"/>
                        <w:left w:val="none" w:sz="0" w:space="0" w:color="auto"/>
                        <w:bottom w:val="none" w:sz="0" w:space="0" w:color="auto"/>
                        <w:right w:val="none" w:sz="0" w:space="0" w:color="auto"/>
                      </w:divBdr>
                    </w:div>
                    <w:div w:id="294157035">
                      <w:marLeft w:val="0"/>
                      <w:marRight w:val="0"/>
                      <w:marTop w:val="0"/>
                      <w:marBottom w:val="0"/>
                      <w:divBdr>
                        <w:top w:val="none" w:sz="0" w:space="0" w:color="auto"/>
                        <w:left w:val="none" w:sz="0" w:space="0" w:color="auto"/>
                        <w:bottom w:val="none" w:sz="0" w:space="0" w:color="auto"/>
                        <w:right w:val="none" w:sz="0" w:space="0" w:color="auto"/>
                      </w:divBdr>
                      <w:divsChild>
                        <w:div w:id="294145223">
                          <w:marLeft w:val="0"/>
                          <w:marRight w:val="0"/>
                          <w:marTop w:val="0"/>
                          <w:marBottom w:val="0"/>
                          <w:divBdr>
                            <w:top w:val="none" w:sz="0" w:space="0" w:color="auto"/>
                            <w:left w:val="none" w:sz="0" w:space="0" w:color="auto"/>
                            <w:bottom w:val="none" w:sz="0" w:space="0" w:color="auto"/>
                            <w:right w:val="none" w:sz="0" w:space="0" w:color="auto"/>
                          </w:divBdr>
                        </w:div>
                      </w:divsChild>
                    </w:div>
                    <w:div w:id="294157060">
                      <w:marLeft w:val="0"/>
                      <w:marRight w:val="0"/>
                      <w:marTop w:val="0"/>
                      <w:marBottom w:val="0"/>
                      <w:divBdr>
                        <w:top w:val="none" w:sz="0" w:space="0" w:color="auto"/>
                        <w:left w:val="none" w:sz="0" w:space="0" w:color="auto"/>
                        <w:bottom w:val="none" w:sz="0" w:space="0" w:color="auto"/>
                        <w:right w:val="none" w:sz="0" w:space="0" w:color="auto"/>
                      </w:divBdr>
                    </w:div>
                    <w:div w:id="294157073">
                      <w:marLeft w:val="0"/>
                      <w:marRight w:val="0"/>
                      <w:marTop w:val="0"/>
                      <w:marBottom w:val="0"/>
                      <w:divBdr>
                        <w:top w:val="none" w:sz="0" w:space="0" w:color="auto"/>
                        <w:left w:val="none" w:sz="0" w:space="0" w:color="auto"/>
                        <w:bottom w:val="none" w:sz="0" w:space="0" w:color="auto"/>
                        <w:right w:val="none" w:sz="0" w:space="0" w:color="auto"/>
                      </w:divBdr>
                      <w:divsChild>
                        <w:div w:id="294143380">
                          <w:marLeft w:val="0"/>
                          <w:marRight w:val="0"/>
                          <w:marTop w:val="0"/>
                          <w:marBottom w:val="0"/>
                          <w:divBdr>
                            <w:top w:val="none" w:sz="0" w:space="0" w:color="auto"/>
                            <w:left w:val="none" w:sz="0" w:space="0" w:color="auto"/>
                            <w:bottom w:val="none" w:sz="0" w:space="0" w:color="auto"/>
                            <w:right w:val="none" w:sz="0" w:space="0" w:color="auto"/>
                          </w:divBdr>
                        </w:div>
                      </w:divsChild>
                    </w:div>
                    <w:div w:id="294157109">
                      <w:marLeft w:val="0"/>
                      <w:marRight w:val="0"/>
                      <w:marTop w:val="0"/>
                      <w:marBottom w:val="0"/>
                      <w:divBdr>
                        <w:top w:val="none" w:sz="0" w:space="0" w:color="auto"/>
                        <w:left w:val="none" w:sz="0" w:space="0" w:color="auto"/>
                        <w:bottom w:val="none" w:sz="0" w:space="0" w:color="auto"/>
                        <w:right w:val="none" w:sz="0" w:space="0" w:color="auto"/>
                      </w:divBdr>
                      <w:divsChild>
                        <w:div w:id="294142494">
                          <w:marLeft w:val="0"/>
                          <w:marRight w:val="0"/>
                          <w:marTop w:val="0"/>
                          <w:marBottom w:val="0"/>
                          <w:divBdr>
                            <w:top w:val="none" w:sz="0" w:space="0" w:color="auto"/>
                            <w:left w:val="none" w:sz="0" w:space="0" w:color="auto"/>
                            <w:bottom w:val="none" w:sz="0" w:space="0" w:color="auto"/>
                            <w:right w:val="none" w:sz="0" w:space="0" w:color="auto"/>
                          </w:divBdr>
                        </w:div>
                      </w:divsChild>
                    </w:div>
                    <w:div w:id="294157152">
                      <w:marLeft w:val="0"/>
                      <w:marRight w:val="0"/>
                      <w:marTop w:val="0"/>
                      <w:marBottom w:val="0"/>
                      <w:divBdr>
                        <w:top w:val="none" w:sz="0" w:space="0" w:color="auto"/>
                        <w:left w:val="none" w:sz="0" w:space="0" w:color="auto"/>
                        <w:bottom w:val="none" w:sz="0" w:space="0" w:color="auto"/>
                        <w:right w:val="none" w:sz="0" w:space="0" w:color="auto"/>
                      </w:divBdr>
                      <w:divsChild>
                        <w:div w:id="29414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150920">
      <w:marLeft w:val="0"/>
      <w:marRight w:val="0"/>
      <w:marTop w:val="0"/>
      <w:marBottom w:val="0"/>
      <w:divBdr>
        <w:top w:val="none" w:sz="0" w:space="0" w:color="auto"/>
        <w:left w:val="none" w:sz="0" w:space="0" w:color="auto"/>
        <w:bottom w:val="none" w:sz="0" w:space="0" w:color="auto"/>
        <w:right w:val="none" w:sz="0" w:space="0" w:color="auto"/>
      </w:divBdr>
    </w:div>
    <w:div w:id="294150940">
      <w:marLeft w:val="0"/>
      <w:marRight w:val="0"/>
      <w:marTop w:val="0"/>
      <w:marBottom w:val="0"/>
      <w:divBdr>
        <w:top w:val="none" w:sz="0" w:space="0" w:color="auto"/>
        <w:left w:val="none" w:sz="0" w:space="0" w:color="auto"/>
        <w:bottom w:val="none" w:sz="0" w:space="0" w:color="auto"/>
        <w:right w:val="none" w:sz="0" w:space="0" w:color="auto"/>
      </w:divBdr>
      <w:divsChild>
        <w:div w:id="294137995">
          <w:marLeft w:val="0"/>
          <w:marRight w:val="0"/>
          <w:marTop w:val="0"/>
          <w:marBottom w:val="0"/>
          <w:divBdr>
            <w:top w:val="none" w:sz="0" w:space="0" w:color="auto"/>
            <w:left w:val="none" w:sz="0" w:space="0" w:color="auto"/>
            <w:bottom w:val="none" w:sz="0" w:space="0" w:color="auto"/>
            <w:right w:val="none" w:sz="0" w:space="0" w:color="auto"/>
          </w:divBdr>
        </w:div>
        <w:div w:id="294138064">
          <w:marLeft w:val="0"/>
          <w:marRight w:val="0"/>
          <w:marTop w:val="0"/>
          <w:marBottom w:val="0"/>
          <w:divBdr>
            <w:top w:val="none" w:sz="0" w:space="0" w:color="auto"/>
            <w:left w:val="none" w:sz="0" w:space="0" w:color="auto"/>
            <w:bottom w:val="none" w:sz="0" w:space="0" w:color="auto"/>
            <w:right w:val="none" w:sz="0" w:space="0" w:color="auto"/>
          </w:divBdr>
        </w:div>
        <w:div w:id="294138095">
          <w:marLeft w:val="0"/>
          <w:marRight w:val="0"/>
          <w:marTop w:val="0"/>
          <w:marBottom w:val="0"/>
          <w:divBdr>
            <w:top w:val="none" w:sz="0" w:space="0" w:color="auto"/>
            <w:left w:val="none" w:sz="0" w:space="0" w:color="auto"/>
            <w:bottom w:val="none" w:sz="0" w:space="0" w:color="auto"/>
            <w:right w:val="none" w:sz="0" w:space="0" w:color="auto"/>
          </w:divBdr>
        </w:div>
        <w:div w:id="294138178">
          <w:marLeft w:val="0"/>
          <w:marRight w:val="0"/>
          <w:marTop w:val="0"/>
          <w:marBottom w:val="0"/>
          <w:divBdr>
            <w:top w:val="none" w:sz="0" w:space="0" w:color="auto"/>
            <w:left w:val="none" w:sz="0" w:space="0" w:color="auto"/>
            <w:bottom w:val="none" w:sz="0" w:space="0" w:color="auto"/>
            <w:right w:val="none" w:sz="0" w:space="0" w:color="auto"/>
          </w:divBdr>
        </w:div>
        <w:div w:id="294138228">
          <w:marLeft w:val="0"/>
          <w:marRight w:val="0"/>
          <w:marTop w:val="0"/>
          <w:marBottom w:val="0"/>
          <w:divBdr>
            <w:top w:val="none" w:sz="0" w:space="0" w:color="auto"/>
            <w:left w:val="none" w:sz="0" w:space="0" w:color="auto"/>
            <w:bottom w:val="none" w:sz="0" w:space="0" w:color="auto"/>
            <w:right w:val="none" w:sz="0" w:space="0" w:color="auto"/>
          </w:divBdr>
        </w:div>
        <w:div w:id="294138278">
          <w:marLeft w:val="0"/>
          <w:marRight w:val="0"/>
          <w:marTop w:val="0"/>
          <w:marBottom w:val="0"/>
          <w:divBdr>
            <w:top w:val="none" w:sz="0" w:space="0" w:color="auto"/>
            <w:left w:val="none" w:sz="0" w:space="0" w:color="auto"/>
            <w:bottom w:val="none" w:sz="0" w:space="0" w:color="auto"/>
            <w:right w:val="none" w:sz="0" w:space="0" w:color="auto"/>
          </w:divBdr>
        </w:div>
        <w:div w:id="294138336">
          <w:marLeft w:val="0"/>
          <w:marRight w:val="0"/>
          <w:marTop w:val="0"/>
          <w:marBottom w:val="0"/>
          <w:divBdr>
            <w:top w:val="none" w:sz="0" w:space="0" w:color="auto"/>
            <w:left w:val="none" w:sz="0" w:space="0" w:color="auto"/>
            <w:bottom w:val="none" w:sz="0" w:space="0" w:color="auto"/>
            <w:right w:val="none" w:sz="0" w:space="0" w:color="auto"/>
          </w:divBdr>
        </w:div>
        <w:div w:id="294138385">
          <w:marLeft w:val="0"/>
          <w:marRight w:val="0"/>
          <w:marTop w:val="0"/>
          <w:marBottom w:val="0"/>
          <w:divBdr>
            <w:top w:val="none" w:sz="0" w:space="0" w:color="auto"/>
            <w:left w:val="none" w:sz="0" w:space="0" w:color="auto"/>
            <w:bottom w:val="none" w:sz="0" w:space="0" w:color="auto"/>
            <w:right w:val="none" w:sz="0" w:space="0" w:color="auto"/>
          </w:divBdr>
        </w:div>
        <w:div w:id="294138398">
          <w:marLeft w:val="0"/>
          <w:marRight w:val="0"/>
          <w:marTop w:val="0"/>
          <w:marBottom w:val="0"/>
          <w:divBdr>
            <w:top w:val="none" w:sz="0" w:space="0" w:color="auto"/>
            <w:left w:val="none" w:sz="0" w:space="0" w:color="auto"/>
            <w:bottom w:val="none" w:sz="0" w:space="0" w:color="auto"/>
            <w:right w:val="none" w:sz="0" w:space="0" w:color="auto"/>
          </w:divBdr>
        </w:div>
        <w:div w:id="294138399">
          <w:marLeft w:val="0"/>
          <w:marRight w:val="0"/>
          <w:marTop w:val="0"/>
          <w:marBottom w:val="0"/>
          <w:divBdr>
            <w:top w:val="none" w:sz="0" w:space="0" w:color="auto"/>
            <w:left w:val="none" w:sz="0" w:space="0" w:color="auto"/>
            <w:bottom w:val="none" w:sz="0" w:space="0" w:color="auto"/>
            <w:right w:val="none" w:sz="0" w:space="0" w:color="auto"/>
          </w:divBdr>
        </w:div>
        <w:div w:id="294138532">
          <w:marLeft w:val="0"/>
          <w:marRight w:val="0"/>
          <w:marTop w:val="0"/>
          <w:marBottom w:val="0"/>
          <w:divBdr>
            <w:top w:val="none" w:sz="0" w:space="0" w:color="auto"/>
            <w:left w:val="none" w:sz="0" w:space="0" w:color="auto"/>
            <w:bottom w:val="none" w:sz="0" w:space="0" w:color="auto"/>
            <w:right w:val="none" w:sz="0" w:space="0" w:color="auto"/>
          </w:divBdr>
        </w:div>
        <w:div w:id="294138990">
          <w:marLeft w:val="0"/>
          <w:marRight w:val="0"/>
          <w:marTop w:val="0"/>
          <w:marBottom w:val="0"/>
          <w:divBdr>
            <w:top w:val="none" w:sz="0" w:space="0" w:color="auto"/>
            <w:left w:val="none" w:sz="0" w:space="0" w:color="auto"/>
            <w:bottom w:val="none" w:sz="0" w:space="0" w:color="auto"/>
            <w:right w:val="none" w:sz="0" w:space="0" w:color="auto"/>
          </w:divBdr>
        </w:div>
        <w:div w:id="294139003">
          <w:marLeft w:val="0"/>
          <w:marRight w:val="0"/>
          <w:marTop w:val="0"/>
          <w:marBottom w:val="0"/>
          <w:divBdr>
            <w:top w:val="none" w:sz="0" w:space="0" w:color="auto"/>
            <w:left w:val="none" w:sz="0" w:space="0" w:color="auto"/>
            <w:bottom w:val="none" w:sz="0" w:space="0" w:color="auto"/>
            <w:right w:val="none" w:sz="0" w:space="0" w:color="auto"/>
          </w:divBdr>
        </w:div>
        <w:div w:id="294139024">
          <w:marLeft w:val="0"/>
          <w:marRight w:val="0"/>
          <w:marTop w:val="0"/>
          <w:marBottom w:val="0"/>
          <w:divBdr>
            <w:top w:val="none" w:sz="0" w:space="0" w:color="auto"/>
            <w:left w:val="none" w:sz="0" w:space="0" w:color="auto"/>
            <w:bottom w:val="none" w:sz="0" w:space="0" w:color="auto"/>
            <w:right w:val="none" w:sz="0" w:space="0" w:color="auto"/>
          </w:divBdr>
        </w:div>
        <w:div w:id="294139287">
          <w:marLeft w:val="0"/>
          <w:marRight w:val="0"/>
          <w:marTop w:val="0"/>
          <w:marBottom w:val="0"/>
          <w:divBdr>
            <w:top w:val="none" w:sz="0" w:space="0" w:color="auto"/>
            <w:left w:val="none" w:sz="0" w:space="0" w:color="auto"/>
            <w:bottom w:val="none" w:sz="0" w:space="0" w:color="auto"/>
            <w:right w:val="none" w:sz="0" w:space="0" w:color="auto"/>
          </w:divBdr>
        </w:div>
        <w:div w:id="294139359">
          <w:marLeft w:val="0"/>
          <w:marRight w:val="0"/>
          <w:marTop w:val="0"/>
          <w:marBottom w:val="0"/>
          <w:divBdr>
            <w:top w:val="none" w:sz="0" w:space="0" w:color="auto"/>
            <w:left w:val="none" w:sz="0" w:space="0" w:color="auto"/>
            <w:bottom w:val="none" w:sz="0" w:space="0" w:color="auto"/>
            <w:right w:val="none" w:sz="0" w:space="0" w:color="auto"/>
          </w:divBdr>
        </w:div>
        <w:div w:id="294139435">
          <w:marLeft w:val="0"/>
          <w:marRight w:val="0"/>
          <w:marTop w:val="0"/>
          <w:marBottom w:val="0"/>
          <w:divBdr>
            <w:top w:val="none" w:sz="0" w:space="0" w:color="auto"/>
            <w:left w:val="none" w:sz="0" w:space="0" w:color="auto"/>
            <w:bottom w:val="none" w:sz="0" w:space="0" w:color="auto"/>
            <w:right w:val="none" w:sz="0" w:space="0" w:color="auto"/>
          </w:divBdr>
        </w:div>
        <w:div w:id="294139656">
          <w:marLeft w:val="0"/>
          <w:marRight w:val="0"/>
          <w:marTop w:val="0"/>
          <w:marBottom w:val="0"/>
          <w:divBdr>
            <w:top w:val="none" w:sz="0" w:space="0" w:color="auto"/>
            <w:left w:val="none" w:sz="0" w:space="0" w:color="auto"/>
            <w:bottom w:val="none" w:sz="0" w:space="0" w:color="auto"/>
            <w:right w:val="none" w:sz="0" w:space="0" w:color="auto"/>
          </w:divBdr>
        </w:div>
        <w:div w:id="294139740">
          <w:marLeft w:val="0"/>
          <w:marRight w:val="0"/>
          <w:marTop w:val="0"/>
          <w:marBottom w:val="0"/>
          <w:divBdr>
            <w:top w:val="none" w:sz="0" w:space="0" w:color="auto"/>
            <w:left w:val="none" w:sz="0" w:space="0" w:color="auto"/>
            <w:bottom w:val="none" w:sz="0" w:space="0" w:color="auto"/>
            <w:right w:val="none" w:sz="0" w:space="0" w:color="auto"/>
          </w:divBdr>
        </w:div>
        <w:div w:id="294139765">
          <w:marLeft w:val="0"/>
          <w:marRight w:val="0"/>
          <w:marTop w:val="0"/>
          <w:marBottom w:val="0"/>
          <w:divBdr>
            <w:top w:val="none" w:sz="0" w:space="0" w:color="auto"/>
            <w:left w:val="none" w:sz="0" w:space="0" w:color="auto"/>
            <w:bottom w:val="none" w:sz="0" w:space="0" w:color="auto"/>
            <w:right w:val="none" w:sz="0" w:space="0" w:color="auto"/>
          </w:divBdr>
        </w:div>
        <w:div w:id="294139880">
          <w:marLeft w:val="0"/>
          <w:marRight w:val="0"/>
          <w:marTop w:val="0"/>
          <w:marBottom w:val="0"/>
          <w:divBdr>
            <w:top w:val="none" w:sz="0" w:space="0" w:color="auto"/>
            <w:left w:val="none" w:sz="0" w:space="0" w:color="auto"/>
            <w:bottom w:val="none" w:sz="0" w:space="0" w:color="auto"/>
            <w:right w:val="none" w:sz="0" w:space="0" w:color="auto"/>
          </w:divBdr>
        </w:div>
        <w:div w:id="294139987">
          <w:marLeft w:val="0"/>
          <w:marRight w:val="0"/>
          <w:marTop w:val="0"/>
          <w:marBottom w:val="0"/>
          <w:divBdr>
            <w:top w:val="none" w:sz="0" w:space="0" w:color="auto"/>
            <w:left w:val="none" w:sz="0" w:space="0" w:color="auto"/>
            <w:bottom w:val="none" w:sz="0" w:space="0" w:color="auto"/>
            <w:right w:val="none" w:sz="0" w:space="0" w:color="auto"/>
          </w:divBdr>
        </w:div>
        <w:div w:id="294140186">
          <w:marLeft w:val="0"/>
          <w:marRight w:val="0"/>
          <w:marTop w:val="0"/>
          <w:marBottom w:val="0"/>
          <w:divBdr>
            <w:top w:val="none" w:sz="0" w:space="0" w:color="auto"/>
            <w:left w:val="none" w:sz="0" w:space="0" w:color="auto"/>
            <w:bottom w:val="none" w:sz="0" w:space="0" w:color="auto"/>
            <w:right w:val="none" w:sz="0" w:space="0" w:color="auto"/>
          </w:divBdr>
        </w:div>
        <w:div w:id="294140250">
          <w:marLeft w:val="0"/>
          <w:marRight w:val="0"/>
          <w:marTop w:val="0"/>
          <w:marBottom w:val="0"/>
          <w:divBdr>
            <w:top w:val="none" w:sz="0" w:space="0" w:color="auto"/>
            <w:left w:val="none" w:sz="0" w:space="0" w:color="auto"/>
            <w:bottom w:val="none" w:sz="0" w:space="0" w:color="auto"/>
            <w:right w:val="none" w:sz="0" w:space="0" w:color="auto"/>
          </w:divBdr>
        </w:div>
        <w:div w:id="294140262">
          <w:marLeft w:val="0"/>
          <w:marRight w:val="0"/>
          <w:marTop w:val="0"/>
          <w:marBottom w:val="0"/>
          <w:divBdr>
            <w:top w:val="none" w:sz="0" w:space="0" w:color="auto"/>
            <w:left w:val="none" w:sz="0" w:space="0" w:color="auto"/>
            <w:bottom w:val="none" w:sz="0" w:space="0" w:color="auto"/>
            <w:right w:val="none" w:sz="0" w:space="0" w:color="auto"/>
          </w:divBdr>
        </w:div>
        <w:div w:id="294140580">
          <w:marLeft w:val="0"/>
          <w:marRight w:val="0"/>
          <w:marTop w:val="0"/>
          <w:marBottom w:val="0"/>
          <w:divBdr>
            <w:top w:val="none" w:sz="0" w:space="0" w:color="auto"/>
            <w:left w:val="none" w:sz="0" w:space="0" w:color="auto"/>
            <w:bottom w:val="none" w:sz="0" w:space="0" w:color="auto"/>
            <w:right w:val="none" w:sz="0" w:space="0" w:color="auto"/>
          </w:divBdr>
        </w:div>
        <w:div w:id="294140594">
          <w:marLeft w:val="0"/>
          <w:marRight w:val="0"/>
          <w:marTop w:val="0"/>
          <w:marBottom w:val="0"/>
          <w:divBdr>
            <w:top w:val="none" w:sz="0" w:space="0" w:color="auto"/>
            <w:left w:val="none" w:sz="0" w:space="0" w:color="auto"/>
            <w:bottom w:val="none" w:sz="0" w:space="0" w:color="auto"/>
            <w:right w:val="none" w:sz="0" w:space="0" w:color="auto"/>
          </w:divBdr>
        </w:div>
        <w:div w:id="294140855">
          <w:marLeft w:val="0"/>
          <w:marRight w:val="0"/>
          <w:marTop w:val="0"/>
          <w:marBottom w:val="0"/>
          <w:divBdr>
            <w:top w:val="none" w:sz="0" w:space="0" w:color="auto"/>
            <w:left w:val="none" w:sz="0" w:space="0" w:color="auto"/>
            <w:bottom w:val="none" w:sz="0" w:space="0" w:color="auto"/>
            <w:right w:val="none" w:sz="0" w:space="0" w:color="auto"/>
          </w:divBdr>
        </w:div>
        <w:div w:id="294140867">
          <w:marLeft w:val="0"/>
          <w:marRight w:val="0"/>
          <w:marTop w:val="0"/>
          <w:marBottom w:val="0"/>
          <w:divBdr>
            <w:top w:val="none" w:sz="0" w:space="0" w:color="auto"/>
            <w:left w:val="none" w:sz="0" w:space="0" w:color="auto"/>
            <w:bottom w:val="none" w:sz="0" w:space="0" w:color="auto"/>
            <w:right w:val="none" w:sz="0" w:space="0" w:color="auto"/>
          </w:divBdr>
        </w:div>
        <w:div w:id="294140883">
          <w:marLeft w:val="0"/>
          <w:marRight w:val="0"/>
          <w:marTop w:val="0"/>
          <w:marBottom w:val="0"/>
          <w:divBdr>
            <w:top w:val="none" w:sz="0" w:space="0" w:color="auto"/>
            <w:left w:val="none" w:sz="0" w:space="0" w:color="auto"/>
            <w:bottom w:val="none" w:sz="0" w:space="0" w:color="auto"/>
            <w:right w:val="none" w:sz="0" w:space="0" w:color="auto"/>
          </w:divBdr>
        </w:div>
        <w:div w:id="294141278">
          <w:marLeft w:val="0"/>
          <w:marRight w:val="0"/>
          <w:marTop w:val="0"/>
          <w:marBottom w:val="0"/>
          <w:divBdr>
            <w:top w:val="none" w:sz="0" w:space="0" w:color="auto"/>
            <w:left w:val="none" w:sz="0" w:space="0" w:color="auto"/>
            <w:bottom w:val="none" w:sz="0" w:space="0" w:color="auto"/>
            <w:right w:val="none" w:sz="0" w:space="0" w:color="auto"/>
          </w:divBdr>
        </w:div>
        <w:div w:id="294141311">
          <w:marLeft w:val="0"/>
          <w:marRight w:val="0"/>
          <w:marTop w:val="0"/>
          <w:marBottom w:val="0"/>
          <w:divBdr>
            <w:top w:val="none" w:sz="0" w:space="0" w:color="auto"/>
            <w:left w:val="none" w:sz="0" w:space="0" w:color="auto"/>
            <w:bottom w:val="none" w:sz="0" w:space="0" w:color="auto"/>
            <w:right w:val="none" w:sz="0" w:space="0" w:color="auto"/>
          </w:divBdr>
        </w:div>
        <w:div w:id="294141326">
          <w:marLeft w:val="0"/>
          <w:marRight w:val="0"/>
          <w:marTop w:val="0"/>
          <w:marBottom w:val="0"/>
          <w:divBdr>
            <w:top w:val="none" w:sz="0" w:space="0" w:color="auto"/>
            <w:left w:val="none" w:sz="0" w:space="0" w:color="auto"/>
            <w:bottom w:val="none" w:sz="0" w:space="0" w:color="auto"/>
            <w:right w:val="none" w:sz="0" w:space="0" w:color="auto"/>
          </w:divBdr>
        </w:div>
        <w:div w:id="294141440">
          <w:marLeft w:val="0"/>
          <w:marRight w:val="0"/>
          <w:marTop w:val="0"/>
          <w:marBottom w:val="0"/>
          <w:divBdr>
            <w:top w:val="none" w:sz="0" w:space="0" w:color="auto"/>
            <w:left w:val="none" w:sz="0" w:space="0" w:color="auto"/>
            <w:bottom w:val="none" w:sz="0" w:space="0" w:color="auto"/>
            <w:right w:val="none" w:sz="0" w:space="0" w:color="auto"/>
          </w:divBdr>
        </w:div>
        <w:div w:id="294141595">
          <w:marLeft w:val="0"/>
          <w:marRight w:val="0"/>
          <w:marTop w:val="0"/>
          <w:marBottom w:val="0"/>
          <w:divBdr>
            <w:top w:val="none" w:sz="0" w:space="0" w:color="auto"/>
            <w:left w:val="none" w:sz="0" w:space="0" w:color="auto"/>
            <w:bottom w:val="none" w:sz="0" w:space="0" w:color="auto"/>
            <w:right w:val="none" w:sz="0" w:space="0" w:color="auto"/>
          </w:divBdr>
        </w:div>
        <w:div w:id="294141684">
          <w:marLeft w:val="0"/>
          <w:marRight w:val="0"/>
          <w:marTop w:val="0"/>
          <w:marBottom w:val="0"/>
          <w:divBdr>
            <w:top w:val="none" w:sz="0" w:space="0" w:color="auto"/>
            <w:left w:val="none" w:sz="0" w:space="0" w:color="auto"/>
            <w:bottom w:val="none" w:sz="0" w:space="0" w:color="auto"/>
            <w:right w:val="none" w:sz="0" w:space="0" w:color="auto"/>
          </w:divBdr>
        </w:div>
        <w:div w:id="294141708">
          <w:marLeft w:val="0"/>
          <w:marRight w:val="0"/>
          <w:marTop w:val="0"/>
          <w:marBottom w:val="0"/>
          <w:divBdr>
            <w:top w:val="none" w:sz="0" w:space="0" w:color="auto"/>
            <w:left w:val="none" w:sz="0" w:space="0" w:color="auto"/>
            <w:bottom w:val="none" w:sz="0" w:space="0" w:color="auto"/>
            <w:right w:val="none" w:sz="0" w:space="0" w:color="auto"/>
          </w:divBdr>
        </w:div>
        <w:div w:id="294141816">
          <w:marLeft w:val="0"/>
          <w:marRight w:val="0"/>
          <w:marTop w:val="0"/>
          <w:marBottom w:val="0"/>
          <w:divBdr>
            <w:top w:val="none" w:sz="0" w:space="0" w:color="auto"/>
            <w:left w:val="none" w:sz="0" w:space="0" w:color="auto"/>
            <w:bottom w:val="none" w:sz="0" w:space="0" w:color="auto"/>
            <w:right w:val="none" w:sz="0" w:space="0" w:color="auto"/>
          </w:divBdr>
        </w:div>
        <w:div w:id="294141878">
          <w:marLeft w:val="0"/>
          <w:marRight w:val="0"/>
          <w:marTop w:val="0"/>
          <w:marBottom w:val="0"/>
          <w:divBdr>
            <w:top w:val="none" w:sz="0" w:space="0" w:color="auto"/>
            <w:left w:val="none" w:sz="0" w:space="0" w:color="auto"/>
            <w:bottom w:val="none" w:sz="0" w:space="0" w:color="auto"/>
            <w:right w:val="none" w:sz="0" w:space="0" w:color="auto"/>
          </w:divBdr>
        </w:div>
        <w:div w:id="294142098">
          <w:marLeft w:val="0"/>
          <w:marRight w:val="0"/>
          <w:marTop w:val="0"/>
          <w:marBottom w:val="0"/>
          <w:divBdr>
            <w:top w:val="none" w:sz="0" w:space="0" w:color="auto"/>
            <w:left w:val="none" w:sz="0" w:space="0" w:color="auto"/>
            <w:bottom w:val="none" w:sz="0" w:space="0" w:color="auto"/>
            <w:right w:val="none" w:sz="0" w:space="0" w:color="auto"/>
          </w:divBdr>
        </w:div>
        <w:div w:id="294142154">
          <w:marLeft w:val="0"/>
          <w:marRight w:val="0"/>
          <w:marTop w:val="0"/>
          <w:marBottom w:val="0"/>
          <w:divBdr>
            <w:top w:val="none" w:sz="0" w:space="0" w:color="auto"/>
            <w:left w:val="none" w:sz="0" w:space="0" w:color="auto"/>
            <w:bottom w:val="none" w:sz="0" w:space="0" w:color="auto"/>
            <w:right w:val="none" w:sz="0" w:space="0" w:color="auto"/>
          </w:divBdr>
        </w:div>
        <w:div w:id="294142193">
          <w:marLeft w:val="0"/>
          <w:marRight w:val="0"/>
          <w:marTop w:val="0"/>
          <w:marBottom w:val="0"/>
          <w:divBdr>
            <w:top w:val="none" w:sz="0" w:space="0" w:color="auto"/>
            <w:left w:val="none" w:sz="0" w:space="0" w:color="auto"/>
            <w:bottom w:val="none" w:sz="0" w:space="0" w:color="auto"/>
            <w:right w:val="none" w:sz="0" w:space="0" w:color="auto"/>
          </w:divBdr>
        </w:div>
        <w:div w:id="294142281">
          <w:marLeft w:val="0"/>
          <w:marRight w:val="0"/>
          <w:marTop w:val="0"/>
          <w:marBottom w:val="0"/>
          <w:divBdr>
            <w:top w:val="none" w:sz="0" w:space="0" w:color="auto"/>
            <w:left w:val="none" w:sz="0" w:space="0" w:color="auto"/>
            <w:bottom w:val="none" w:sz="0" w:space="0" w:color="auto"/>
            <w:right w:val="none" w:sz="0" w:space="0" w:color="auto"/>
          </w:divBdr>
        </w:div>
        <w:div w:id="294142311">
          <w:marLeft w:val="0"/>
          <w:marRight w:val="0"/>
          <w:marTop w:val="0"/>
          <w:marBottom w:val="0"/>
          <w:divBdr>
            <w:top w:val="none" w:sz="0" w:space="0" w:color="auto"/>
            <w:left w:val="none" w:sz="0" w:space="0" w:color="auto"/>
            <w:bottom w:val="none" w:sz="0" w:space="0" w:color="auto"/>
            <w:right w:val="none" w:sz="0" w:space="0" w:color="auto"/>
          </w:divBdr>
        </w:div>
        <w:div w:id="294142396">
          <w:marLeft w:val="0"/>
          <w:marRight w:val="0"/>
          <w:marTop w:val="0"/>
          <w:marBottom w:val="0"/>
          <w:divBdr>
            <w:top w:val="none" w:sz="0" w:space="0" w:color="auto"/>
            <w:left w:val="none" w:sz="0" w:space="0" w:color="auto"/>
            <w:bottom w:val="none" w:sz="0" w:space="0" w:color="auto"/>
            <w:right w:val="none" w:sz="0" w:space="0" w:color="auto"/>
          </w:divBdr>
        </w:div>
        <w:div w:id="294142413">
          <w:marLeft w:val="0"/>
          <w:marRight w:val="0"/>
          <w:marTop w:val="0"/>
          <w:marBottom w:val="0"/>
          <w:divBdr>
            <w:top w:val="none" w:sz="0" w:space="0" w:color="auto"/>
            <w:left w:val="none" w:sz="0" w:space="0" w:color="auto"/>
            <w:bottom w:val="none" w:sz="0" w:space="0" w:color="auto"/>
            <w:right w:val="none" w:sz="0" w:space="0" w:color="auto"/>
          </w:divBdr>
        </w:div>
        <w:div w:id="294142507">
          <w:marLeft w:val="0"/>
          <w:marRight w:val="0"/>
          <w:marTop w:val="0"/>
          <w:marBottom w:val="0"/>
          <w:divBdr>
            <w:top w:val="none" w:sz="0" w:space="0" w:color="auto"/>
            <w:left w:val="none" w:sz="0" w:space="0" w:color="auto"/>
            <w:bottom w:val="none" w:sz="0" w:space="0" w:color="auto"/>
            <w:right w:val="none" w:sz="0" w:space="0" w:color="auto"/>
          </w:divBdr>
        </w:div>
        <w:div w:id="294142946">
          <w:marLeft w:val="0"/>
          <w:marRight w:val="0"/>
          <w:marTop w:val="0"/>
          <w:marBottom w:val="0"/>
          <w:divBdr>
            <w:top w:val="none" w:sz="0" w:space="0" w:color="auto"/>
            <w:left w:val="none" w:sz="0" w:space="0" w:color="auto"/>
            <w:bottom w:val="none" w:sz="0" w:space="0" w:color="auto"/>
            <w:right w:val="none" w:sz="0" w:space="0" w:color="auto"/>
          </w:divBdr>
        </w:div>
        <w:div w:id="294143049">
          <w:marLeft w:val="0"/>
          <w:marRight w:val="0"/>
          <w:marTop w:val="0"/>
          <w:marBottom w:val="0"/>
          <w:divBdr>
            <w:top w:val="none" w:sz="0" w:space="0" w:color="auto"/>
            <w:left w:val="none" w:sz="0" w:space="0" w:color="auto"/>
            <w:bottom w:val="none" w:sz="0" w:space="0" w:color="auto"/>
            <w:right w:val="none" w:sz="0" w:space="0" w:color="auto"/>
          </w:divBdr>
        </w:div>
        <w:div w:id="294143055">
          <w:marLeft w:val="0"/>
          <w:marRight w:val="0"/>
          <w:marTop w:val="0"/>
          <w:marBottom w:val="0"/>
          <w:divBdr>
            <w:top w:val="none" w:sz="0" w:space="0" w:color="auto"/>
            <w:left w:val="none" w:sz="0" w:space="0" w:color="auto"/>
            <w:bottom w:val="none" w:sz="0" w:space="0" w:color="auto"/>
            <w:right w:val="none" w:sz="0" w:space="0" w:color="auto"/>
          </w:divBdr>
        </w:div>
        <w:div w:id="294143066">
          <w:marLeft w:val="0"/>
          <w:marRight w:val="0"/>
          <w:marTop w:val="0"/>
          <w:marBottom w:val="0"/>
          <w:divBdr>
            <w:top w:val="none" w:sz="0" w:space="0" w:color="auto"/>
            <w:left w:val="none" w:sz="0" w:space="0" w:color="auto"/>
            <w:bottom w:val="none" w:sz="0" w:space="0" w:color="auto"/>
            <w:right w:val="none" w:sz="0" w:space="0" w:color="auto"/>
          </w:divBdr>
        </w:div>
        <w:div w:id="294143080">
          <w:marLeft w:val="0"/>
          <w:marRight w:val="0"/>
          <w:marTop w:val="0"/>
          <w:marBottom w:val="0"/>
          <w:divBdr>
            <w:top w:val="none" w:sz="0" w:space="0" w:color="auto"/>
            <w:left w:val="none" w:sz="0" w:space="0" w:color="auto"/>
            <w:bottom w:val="none" w:sz="0" w:space="0" w:color="auto"/>
            <w:right w:val="none" w:sz="0" w:space="0" w:color="auto"/>
          </w:divBdr>
        </w:div>
        <w:div w:id="294143180">
          <w:marLeft w:val="0"/>
          <w:marRight w:val="0"/>
          <w:marTop w:val="0"/>
          <w:marBottom w:val="0"/>
          <w:divBdr>
            <w:top w:val="none" w:sz="0" w:space="0" w:color="auto"/>
            <w:left w:val="none" w:sz="0" w:space="0" w:color="auto"/>
            <w:bottom w:val="none" w:sz="0" w:space="0" w:color="auto"/>
            <w:right w:val="none" w:sz="0" w:space="0" w:color="auto"/>
          </w:divBdr>
        </w:div>
        <w:div w:id="294143258">
          <w:marLeft w:val="0"/>
          <w:marRight w:val="0"/>
          <w:marTop w:val="0"/>
          <w:marBottom w:val="0"/>
          <w:divBdr>
            <w:top w:val="none" w:sz="0" w:space="0" w:color="auto"/>
            <w:left w:val="none" w:sz="0" w:space="0" w:color="auto"/>
            <w:bottom w:val="none" w:sz="0" w:space="0" w:color="auto"/>
            <w:right w:val="none" w:sz="0" w:space="0" w:color="auto"/>
          </w:divBdr>
        </w:div>
        <w:div w:id="294143274">
          <w:marLeft w:val="0"/>
          <w:marRight w:val="0"/>
          <w:marTop w:val="0"/>
          <w:marBottom w:val="0"/>
          <w:divBdr>
            <w:top w:val="none" w:sz="0" w:space="0" w:color="auto"/>
            <w:left w:val="none" w:sz="0" w:space="0" w:color="auto"/>
            <w:bottom w:val="none" w:sz="0" w:space="0" w:color="auto"/>
            <w:right w:val="none" w:sz="0" w:space="0" w:color="auto"/>
          </w:divBdr>
        </w:div>
        <w:div w:id="294143298">
          <w:marLeft w:val="0"/>
          <w:marRight w:val="0"/>
          <w:marTop w:val="0"/>
          <w:marBottom w:val="0"/>
          <w:divBdr>
            <w:top w:val="none" w:sz="0" w:space="0" w:color="auto"/>
            <w:left w:val="none" w:sz="0" w:space="0" w:color="auto"/>
            <w:bottom w:val="none" w:sz="0" w:space="0" w:color="auto"/>
            <w:right w:val="none" w:sz="0" w:space="0" w:color="auto"/>
          </w:divBdr>
        </w:div>
        <w:div w:id="294143440">
          <w:marLeft w:val="0"/>
          <w:marRight w:val="0"/>
          <w:marTop w:val="0"/>
          <w:marBottom w:val="0"/>
          <w:divBdr>
            <w:top w:val="none" w:sz="0" w:space="0" w:color="auto"/>
            <w:left w:val="none" w:sz="0" w:space="0" w:color="auto"/>
            <w:bottom w:val="none" w:sz="0" w:space="0" w:color="auto"/>
            <w:right w:val="none" w:sz="0" w:space="0" w:color="auto"/>
          </w:divBdr>
        </w:div>
        <w:div w:id="294143468">
          <w:marLeft w:val="0"/>
          <w:marRight w:val="0"/>
          <w:marTop w:val="0"/>
          <w:marBottom w:val="0"/>
          <w:divBdr>
            <w:top w:val="none" w:sz="0" w:space="0" w:color="auto"/>
            <w:left w:val="none" w:sz="0" w:space="0" w:color="auto"/>
            <w:bottom w:val="none" w:sz="0" w:space="0" w:color="auto"/>
            <w:right w:val="none" w:sz="0" w:space="0" w:color="auto"/>
          </w:divBdr>
        </w:div>
        <w:div w:id="294143787">
          <w:marLeft w:val="0"/>
          <w:marRight w:val="0"/>
          <w:marTop w:val="0"/>
          <w:marBottom w:val="0"/>
          <w:divBdr>
            <w:top w:val="none" w:sz="0" w:space="0" w:color="auto"/>
            <w:left w:val="none" w:sz="0" w:space="0" w:color="auto"/>
            <w:bottom w:val="none" w:sz="0" w:space="0" w:color="auto"/>
            <w:right w:val="none" w:sz="0" w:space="0" w:color="auto"/>
          </w:divBdr>
        </w:div>
        <w:div w:id="294143828">
          <w:marLeft w:val="0"/>
          <w:marRight w:val="0"/>
          <w:marTop w:val="0"/>
          <w:marBottom w:val="0"/>
          <w:divBdr>
            <w:top w:val="none" w:sz="0" w:space="0" w:color="auto"/>
            <w:left w:val="none" w:sz="0" w:space="0" w:color="auto"/>
            <w:bottom w:val="none" w:sz="0" w:space="0" w:color="auto"/>
            <w:right w:val="none" w:sz="0" w:space="0" w:color="auto"/>
          </w:divBdr>
        </w:div>
        <w:div w:id="294143848">
          <w:marLeft w:val="0"/>
          <w:marRight w:val="0"/>
          <w:marTop w:val="0"/>
          <w:marBottom w:val="0"/>
          <w:divBdr>
            <w:top w:val="none" w:sz="0" w:space="0" w:color="auto"/>
            <w:left w:val="none" w:sz="0" w:space="0" w:color="auto"/>
            <w:bottom w:val="none" w:sz="0" w:space="0" w:color="auto"/>
            <w:right w:val="none" w:sz="0" w:space="0" w:color="auto"/>
          </w:divBdr>
        </w:div>
        <w:div w:id="294143980">
          <w:marLeft w:val="0"/>
          <w:marRight w:val="0"/>
          <w:marTop w:val="0"/>
          <w:marBottom w:val="0"/>
          <w:divBdr>
            <w:top w:val="none" w:sz="0" w:space="0" w:color="auto"/>
            <w:left w:val="none" w:sz="0" w:space="0" w:color="auto"/>
            <w:bottom w:val="none" w:sz="0" w:space="0" w:color="auto"/>
            <w:right w:val="none" w:sz="0" w:space="0" w:color="auto"/>
          </w:divBdr>
        </w:div>
        <w:div w:id="294144281">
          <w:marLeft w:val="0"/>
          <w:marRight w:val="0"/>
          <w:marTop w:val="0"/>
          <w:marBottom w:val="0"/>
          <w:divBdr>
            <w:top w:val="none" w:sz="0" w:space="0" w:color="auto"/>
            <w:left w:val="none" w:sz="0" w:space="0" w:color="auto"/>
            <w:bottom w:val="none" w:sz="0" w:space="0" w:color="auto"/>
            <w:right w:val="none" w:sz="0" w:space="0" w:color="auto"/>
          </w:divBdr>
        </w:div>
        <w:div w:id="294144374">
          <w:marLeft w:val="0"/>
          <w:marRight w:val="0"/>
          <w:marTop w:val="0"/>
          <w:marBottom w:val="0"/>
          <w:divBdr>
            <w:top w:val="none" w:sz="0" w:space="0" w:color="auto"/>
            <w:left w:val="none" w:sz="0" w:space="0" w:color="auto"/>
            <w:bottom w:val="none" w:sz="0" w:space="0" w:color="auto"/>
            <w:right w:val="none" w:sz="0" w:space="0" w:color="auto"/>
          </w:divBdr>
        </w:div>
        <w:div w:id="294144753">
          <w:marLeft w:val="0"/>
          <w:marRight w:val="0"/>
          <w:marTop w:val="0"/>
          <w:marBottom w:val="0"/>
          <w:divBdr>
            <w:top w:val="none" w:sz="0" w:space="0" w:color="auto"/>
            <w:left w:val="none" w:sz="0" w:space="0" w:color="auto"/>
            <w:bottom w:val="none" w:sz="0" w:space="0" w:color="auto"/>
            <w:right w:val="none" w:sz="0" w:space="0" w:color="auto"/>
          </w:divBdr>
        </w:div>
        <w:div w:id="294144754">
          <w:marLeft w:val="0"/>
          <w:marRight w:val="0"/>
          <w:marTop w:val="0"/>
          <w:marBottom w:val="0"/>
          <w:divBdr>
            <w:top w:val="none" w:sz="0" w:space="0" w:color="auto"/>
            <w:left w:val="none" w:sz="0" w:space="0" w:color="auto"/>
            <w:bottom w:val="none" w:sz="0" w:space="0" w:color="auto"/>
            <w:right w:val="none" w:sz="0" w:space="0" w:color="auto"/>
          </w:divBdr>
        </w:div>
        <w:div w:id="294144782">
          <w:marLeft w:val="0"/>
          <w:marRight w:val="0"/>
          <w:marTop w:val="0"/>
          <w:marBottom w:val="0"/>
          <w:divBdr>
            <w:top w:val="none" w:sz="0" w:space="0" w:color="auto"/>
            <w:left w:val="none" w:sz="0" w:space="0" w:color="auto"/>
            <w:bottom w:val="none" w:sz="0" w:space="0" w:color="auto"/>
            <w:right w:val="none" w:sz="0" w:space="0" w:color="auto"/>
          </w:divBdr>
        </w:div>
        <w:div w:id="294144850">
          <w:marLeft w:val="0"/>
          <w:marRight w:val="0"/>
          <w:marTop w:val="0"/>
          <w:marBottom w:val="0"/>
          <w:divBdr>
            <w:top w:val="none" w:sz="0" w:space="0" w:color="auto"/>
            <w:left w:val="none" w:sz="0" w:space="0" w:color="auto"/>
            <w:bottom w:val="none" w:sz="0" w:space="0" w:color="auto"/>
            <w:right w:val="none" w:sz="0" w:space="0" w:color="auto"/>
          </w:divBdr>
        </w:div>
        <w:div w:id="294145157">
          <w:marLeft w:val="0"/>
          <w:marRight w:val="0"/>
          <w:marTop w:val="0"/>
          <w:marBottom w:val="0"/>
          <w:divBdr>
            <w:top w:val="none" w:sz="0" w:space="0" w:color="auto"/>
            <w:left w:val="none" w:sz="0" w:space="0" w:color="auto"/>
            <w:bottom w:val="none" w:sz="0" w:space="0" w:color="auto"/>
            <w:right w:val="none" w:sz="0" w:space="0" w:color="auto"/>
          </w:divBdr>
        </w:div>
        <w:div w:id="294145167">
          <w:marLeft w:val="0"/>
          <w:marRight w:val="0"/>
          <w:marTop w:val="0"/>
          <w:marBottom w:val="0"/>
          <w:divBdr>
            <w:top w:val="none" w:sz="0" w:space="0" w:color="auto"/>
            <w:left w:val="none" w:sz="0" w:space="0" w:color="auto"/>
            <w:bottom w:val="none" w:sz="0" w:space="0" w:color="auto"/>
            <w:right w:val="none" w:sz="0" w:space="0" w:color="auto"/>
          </w:divBdr>
        </w:div>
        <w:div w:id="294145289">
          <w:marLeft w:val="0"/>
          <w:marRight w:val="0"/>
          <w:marTop w:val="0"/>
          <w:marBottom w:val="0"/>
          <w:divBdr>
            <w:top w:val="none" w:sz="0" w:space="0" w:color="auto"/>
            <w:left w:val="none" w:sz="0" w:space="0" w:color="auto"/>
            <w:bottom w:val="none" w:sz="0" w:space="0" w:color="auto"/>
            <w:right w:val="none" w:sz="0" w:space="0" w:color="auto"/>
          </w:divBdr>
        </w:div>
        <w:div w:id="294145363">
          <w:marLeft w:val="0"/>
          <w:marRight w:val="0"/>
          <w:marTop w:val="0"/>
          <w:marBottom w:val="0"/>
          <w:divBdr>
            <w:top w:val="none" w:sz="0" w:space="0" w:color="auto"/>
            <w:left w:val="none" w:sz="0" w:space="0" w:color="auto"/>
            <w:bottom w:val="none" w:sz="0" w:space="0" w:color="auto"/>
            <w:right w:val="none" w:sz="0" w:space="0" w:color="auto"/>
          </w:divBdr>
        </w:div>
        <w:div w:id="294145372">
          <w:marLeft w:val="0"/>
          <w:marRight w:val="0"/>
          <w:marTop w:val="0"/>
          <w:marBottom w:val="0"/>
          <w:divBdr>
            <w:top w:val="none" w:sz="0" w:space="0" w:color="auto"/>
            <w:left w:val="none" w:sz="0" w:space="0" w:color="auto"/>
            <w:bottom w:val="none" w:sz="0" w:space="0" w:color="auto"/>
            <w:right w:val="none" w:sz="0" w:space="0" w:color="auto"/>
          </w:divBdr>
        </w:div>
        <w:div w:id="294145466">
          <w:marLeft w:val="0"/>
          <w:marRight w:val="0"/>
          <w:marTop w:val="0"/>
          <w:marBottom w:val="0"/>
          <w:divBdr>
            <w:top w:val="none" w:sz="0" w:space="0" w:color="auto"/>
            <w:left w:val="none" w:sz="0" w:space="0" w:color="auto"/>
            <w:bottom w:val="none" w:sz="0" w:space="0" w:color="auto"/>
            <w:right w:val="none" w:sz="0" w:space="0" w:color="auto"/>
          </w:divBdr>
        </w:div>
        <w:div w:id="294145572">
          <w:marLeft w:val="0"/>
          <w:marRight w:val="0"/>
          <w:marTop w:val="0"/>
          <w:marBottom w:val="0"/>
          <w:divBdr>
            <w:top w:val="none" w:sz="0" w:space="0" w:color="auto"/>
            <w:left w:val="none" w:sz="0" w:space="0" w:color="auto"/>
            <w:bottom w:val="none" w:sz="0" w:space="0" w:color="auto"/>
            <w:right w:val="none" w:sz="0" w:space="0" w:color="auto"/>
          </w:divBdr>
        </w:div>
        <w:div w:id="294145632">
          <w:marLeft w:val="0"/>
          <w:marRight w:val="0"/>
          <w:marTop w:val="0"/>
          <w:marBottom w:val="0"/>
          <w:divBdr>
            <w:top w:val="none" w:sz="0" w:space="0" w:color="auto"/>
            <w:left w:val="none" w:sz="0" w:space="0" w:color="auto"/>
            <w:bottom w:val="none" w:sz="0" w:space="0" w:color="auto"/>
            <w:right w:val="none" w:sz="0" w:space="0" w:color="auto"/>
          </w:divBdr>
        </w:div>
        <w:div w:id="294145730">
          <w:marLeft w:val="0"/>
          <w:marRight w:val="0"/>
          <w:marTop w:val="0"/>
          <w:marBottom w:val="0"/>
          <w:divBdr>
            <w:top w:val="none" w:sz="0" w:space="0" w:color="auto"/>
            <w:left w:val="none" w:sz="0" w:space="0" w:color="auto"/>
            <w:bottom w:val="none" w:sz="0" w:space="0" w:color="auto"/>
            <w:right w:val="none" w:sz="0" w:space="0" w:color="auto"/>
          </w:divBdr>
        </w:div>
        <w:div w:id="294145904">
          <w:marLeft w:val="0"/>
          <w:marRight w:val="0"/>
          <w:marTop w:val="0"/>
          <w:marBottom w:val="0"/>
          <w:divBdr>
            <w:top w:val="none" w:sz="0" w:space="0" w:color="auto"/>
            <w:left w:val="none" w:sz="0" w:space="0" w:color="auto"/>
            <w:bottom w:val="none" w:sz="0" w:space="0" w:color="auto"/>
            <w:right w:val="none" w:sz="0" w:space="0" w:color="auto"/>
          </w:divBdr>
        </w:div>
        <w:div w:id="294146105">
          <w:marLeft w:val="0"/>
          <w:marRight w:val="0"/>
          <w:marTop w:val="0"/>
          <w:marBottom w:val="0"/>
          <w:divBdr>
            <w:top w:val="none" w:sz="0" w:space="0" w:color="auto"/>
            <w:left w:val="none" w:sz="0" w:space="0" w:color="auto"/>
            <w:bottom w:val="none" w:sz="0" w:space="0" w:color="auto"/>
            <w:right w:val="none" w:sz="0" w:space="0" w:color="auto"/>
          </w:divBdr>
        </w:div>
        <w:div w:id="294146183">
          <w:marLeft w:val="0"/>
          <w:marRight w:val="0"/>
          <w:marTop w:val="0"/>
          <w:marBottom w:val="0"/>
          <w:divBdr>
            <w:top w:val="none" w:sz="0" w:space="0" w:color="auto"/>
            <w:left w:val="none" w:sz="0" w:space="0" w:color="auto"/>
            <w:bottom w:val="none" w:sz="0" w:space="0" w:color="auto"/>
            <w:right w:val="none" w:sz="0" w:space="0" w:color="auto"/>
          </w:divBdr>
        </w:div>
        <w:div w:id="294146216">
          <w:marLeft w:val="0"/>
          <w:marRight w:val="0"/>
          <w:marTop w:val="0"/>
          <w:marBottom w:val="0"/>
          <w:divBdr>
            <w:top w:val="none" w:sz="0" w:space="0" w:color="auto"/>
            <w:left w:val="none" w:sz="0" w:space="0" w:color="auto"/>
            <w:bottom w:val="none" w:sz="0" w:space="0" w:color="auto"/>
            <w:right w:val="none" w:sz="0" w:space="0" w:color="auto"/>
          </w:divBdr>
        </w:div>
        <w:div w:id="294146588">
          <w:marLeft w:val="0"/>
          <w:marRight w:val="0"/>
          <w:marTop w:val="0"/>
          <w:marBottom w:val="0"/>
          <w:divBdr>
            <w:top w:val="none" w:sz="0" w:space="0" w:color="auto"/>
            <w:left w:val="none" w:sz="0" w:space="0" w:color="auto"/>
            <w:bottom w:val="none" w:sz="0" w:space="0" w:color="auto"/>
            <w:right w:val="none" w:sz="0" w:space="0" w:color="auto"/>
          </w:divBdr>
        </w:div>
        <w:div w:id="294146680">
          <w:marLeft w:val="0"/>
          <w:marRight w:val="0"/>
          <w:marTop w:val="0"/>
          <w:marBottom w:val="0"/>
          <w:divBdr>
            <w:top w:val="none" w:sz="0" w:space="0" w:color="auto"/>
            <w:left w:val="none" w:sz="0" w:space="0" w:color="auto"/>
            <w:bottom w:val="none" w:sz="0" w:space="0" w:color="auto"/>
            <w:right w:val="none" w:sz="0" w:space="0" w:color="auto"/>
          </w:divBdr>
        </w:div>
        <w:div w:id="294146958">
          <w:marLeft w:val="0"/>
          <w:marRight w:val="0"/>
          <w:marTop w:val="0"/>
          <w:marBottom w:val="0"/>
          <w:divBdr>
            <w:top w:val="none" w:sz="0" w:space="0" w:color="auto"/>
            <w:left w:val="none" w:sz="0" w:space="0" w:color="auto"/>
            <w:bottom w:val="none" w:sz="0" w:space="0" w:color="auto"/>
            <w:right w:val="none" w:sz="0" w:space="0" w:color="auto"/>
          </w:divBdr>
        </w:div>
        <w:div w:id="294147046">
          <w:marLeft w:val="0"/>
          <w:marRight w:val="0"/>
          <w:marTop w:val="0"/>
          <w:marBottom w:val="0"/>
          <w:divBdr>
            <w:top w:val="none" w:sz="0" w:space="0" w:color="auto"/>
            <w:left w:val="none" w:sz="0" w:space="0" w:color="auto"/>
            <w:bottom w:val="none" w:sz="0" w:space="0" w:color="auto"/>
            <w:right w:val="none" w:sz="0" w:space="0" w:color="auto"/>
          </w:divBdr>
        </w:div>
        <w:div w:id="294147243">
          <w:marLeft w:val="0"/>
          <w:marRight w:val="0"/>
          <w:marTop w:val="0"/>
          <w:marBottom w:val="0"/>
          <w:divBdr>
            <w:top w:val="none" w:sz="0" w:space="0" w:color="auto"/>
            <w:left w:val="none" w:sz="0" w:space="0" w:color="auto"/>
            <w:bottom w:val="none" w:sz="0" w:space="0" w:color="auto"/>
            <w:right w:val="none" w:sz="0" w:space="0" w:color="auto"/>
          </w:divBdr>
        </w:div>
        <w:div w:id="294147461">
          <w:marLeft w:val="0"/>
          <w:marRight w:val="0"/>
          <w:marTop w:val="0"/>
          <w:marBottom w:val="0"/>
          <w:divBdr>
            <w:top w:val="none" w:sz="0" w:space="0" w:color="auto"/>
            <w:left w:val="none" w:sz="0" w:space="0" w:color="auto"/>
            <w:bottom w:val="none" w:sz="0" w:space="0" w:color="auto"/>
            <w:right w:val="none" w:sz="0" w:space="0" w:color="auto"/>
          </w:divBdr>
        </w:div>
        <w:div w:id="294148062">
          <w:marLeft w:val="0"/>
          <w:marRight w:val="0"/>
          <w:marTop w:val="0"/>
          <w:marBottom w:val="0"/>
          <w:divBdr>
            <w:top w:val="none" w:sz="0" w:space="0" w:color="auto"/>
            <w:left w:val="none" w:sz="0" w:space="0" w:color="auto"/>
            <w:bottom w:val="none" w:sz="0" w:space="0" w:color="auto"/>
            <w:right w:val="none" w:sz="0" w:space="0" w:color="auto"/>
          </w:divBdr>
        </w:div>
        <w:div w:id="294148070">
          <w:marLeft w:val="0"/>
          <w:marRight w:val="0"/>
          <w:marTop w:val="0"/>
          <w:marBottom w:val="0"/>
          <w:divBdr>
            <w:top w:val="none" w:sz="0" w:space="0" w:color="auto"/>
            <w:left w:val="none" w:sz="0" w:space="0" w:color="auto"/>
            <w:bottom w:val="none" w:sz="0" w:space="0" w:color="auto"/>
            <w:right w:val="none" w:sz="0" w:space="0" w:color="auto"/>
          </w:divBdr>
        </w:div>
        <w:div w:id="294148203">
          <w:marLeft w:val="0"/>
          <w:marRight w:val="0"/>
          <w:marTop w:val="0"/>
          <w:marBottom w:val="0"/>
          <w:divBdr>
            <w:top w:val="none" w:sz="0" w:space="0" w:color="auto"/>
            <w:left w:val="none" w:sz="0" w:space="0" w:color="auto"/>
            <w:bottom w:val="none" w:sz="0" w:space="0" w:color="auto"/>
            <w:right w:val="none" w:sz="0" w:space="0" w:color="auto"/>
          </w:divBdr>
        </w:div>
        <w:div w:id="294148666">
          <w:marLeft w:val="0"/>
          <w:marRight w:val="0"/>
          <w:marTop w:val="0"/>
          <w:marBottom w:val="0"/>
          <w:divBdr>
            <w:top w:val="none" w:sz="0" w:space="0" w:color="auto"/>
            <w:left w:val="none" w:sz="0" w:space="0" w:color="auto"/>
            <w:bottom w:val="none" w:sz="0" w:space="0" w:color="auto"/>
            <w:right w:val="none" w:sz="0" w:space="0" w:color="auto"/>
          </w:divBdr>
        </w:div>
        <w:div w:id="294148710">
          <w:marLeft w:val="0"/>
          <w:marRight w:val="0"/>
          <w:marTop w:val="0"/>
          <w:marBottom w:val="0"/>
          <w:divBdr>
            <w:top w:val="none" w:sz="0" w:space="0" w:color="auto"/>
            <w:left w:val="none" w:sz="0" w:space="0" w:color="auto"/>
            <w:bottom w:val="none" w:sz="0" w:space="0" w:color="auto"/>
            <w:right w:val="none" w:sz="0" w:space="0" w:color="auto"/>
          </w:divBdr>
        </w:div>
        <w:div w:id="294148791">
          <w:marLeft w:val="0"/>
          <w:marRight w:val="0"/>
          <w:marTop w:val="0"/>
          <w:marBottom w:val="0"/>
          <w:divBdr>
            <w:top w:val="none" w:sz="0" w:space="0" w:color="auto"/>
            <w:left w:val="none" w:sz="0" w:space="0" w:color="auto"/>
            <w:bottom w:val="none" w:sz="0" w:space="0" w:color="auto"/>
            <w:right w:val="none" w:sz="0" w:space="0" w:color="auto"/>
          </w:divBdr>
        </w:div>
        <w:div w:id="294149062">
          <w:marLeft w:val="0"/>
          <w:marRight w:val="0"/>
          <w:marTop w:val="0"/>
          <w:marBottom w:val="0"/>
          <w:divBdr>
            <w:top w:val="none" w:sz="0" w:space="0" w:color="auto"/>
            <w:left w:val="none" w:sz="0" w:space="0" w:color="auto"/>
            <w:bottom w:val="none" w:sz="0" w:space="0" w:color="auto"/>
            <w:right w:val="none" w:sz="0" w:space="0" w:color="auto"/>
          </w:divBdr>
        </w:div>
        <w:div w:id="294149078">
          <w:marLeft w:val="0"/>
          <w:marRight w:val="0"/>
          <w:marTop w:val="0"/>
          <w:marBottom w:val="0"/>
          <w:divBdr>
            <w:top w:val="none" w:sz="0" w:space="0" w:color="auto"/>
            <w:left w:val="none" w:sz="0" w:space="0" w:color="auto"/>
            <w:bottom w:val="none" w:sz="0" w:space="0" w:color="auto"/>
            <w:right w:val="none" w:sz="0" w:space="0" w:color="auto"/>
          </w:divBdr>
        </w:div>
        <w:div w:id="294149088">
          <w:marLeft w:val="0"/>
          <w:marRight w:val="0"/>
          <w:marTop w:val="0"/>
          <w:marBottom w:val="0"/>
          <w:divBdr>
            <w:top w:val="none" w:sz="0" w:space="0" w:color="auto"/>
            <w:left w:val="none" w:sz="0" w:space="0" w:color="auto"/>
            <w:bottom w:val="none" w:sz="0" w:space="0" w:color="auto"/>
            <w:right w:val="none" w:sz="0" w:space="0" w:color="auto"/>
          </w:divBdr>
        </w:div>
        <w:div w:id="294149097">
          <w:marLeft w:val="0"/>
          <w:marRight w:val="0"/>
          <w:marTop w:val="0"/>
          <w:marBottom w:val="0"/>
          <w:divBdr>
            <w:top w:val="none" w:sz="0" w:space="0" w:color="auto"/>
            <w:left w:val="none" w:sz="0" w:space="0" w:color="auto"/>
            <w:bottom w:val="none" w:sz="0" w:space="0" w:color="auto"/>
            <w:right w:val="none" w:sz="0" w:space="0" w:color="auto"/>
          </w:divBdr>
        </w:div>
        <w:div w:id="294149261">
          <w:marLeft w:val="0"/>
          <w:marRight w:val="0"/>
          <w:marTop w:val="0"/>
          <w:marBottom w:val="0"/>
          <w:divBdr>
            <w:top w:val="none" w:sz="0" w:space="0" w:color="auto"/>
            <w:left w:val="none" w:sz="0" w:space="0" w:color="auto"/>
            <w:bottom w:val="none" w:sz="0" w:space="0" w:color="auto"/>
            <w:right w:val="none" w:sz="0" w:space="0" w:color="auto"/>
          </w:divBdr>
        </w:div>
        <w:div w:id="294149326">
          <w:marLeft w:val="0"/>
          <w:marRight w:val="0"/>
          <w:marTop w:val="0"/>
          <w:marBottom w:val="0"/>
          <w:divBdr>
            <w:top w:val="none" w:sz="0" w:space="0" w:color="auto"/>
            <w:left w:val="none" w:sz="0" w:space="0" w:color="auto"/>
            <w:bottom w:val="none" w:sz="0" w:space="0" w:color="auto"/>
            <w:right w:val="none" w:sz="0" w:space="0" w:color="auto"/>
          </w:divBdr>
        </w:div>
        <w:div w:id="294149396">
          <w:marLeft w:val="0"/>
          <w:marRight w:val="0"/>
          <w:marTop w:val="0"/>
          <w:marBottom w:val="0"/>
          <w:divBdr>
            <w:top w:val="none" w:sz="0" w:space="0" w:color="auto"/>
            <w:left w:val="none" w:sz="0" w:space="0" w:color="auto"/>
            <w:bottom w:val="none" w:sz="0" w:space="0" w:color="auto"/>
            <w:right w:val="none" w:sz="0" w:space="0" w:color="auto"/>
          </w:divBdr>
        </w:div>
        <w:div w:id="294149844">
          <w:marLeft w:val="0"/>
          <w:marRight w:val="0"/>
          <w:marTop w:val="0"/>
          <w:marBottom w:val="0"/>
          <w:divBdr>
            <w:top w:val="none" w:sz="0" w:space="0" w:color="auto"/>
            <w:left w:val="none" w:sz="0" w:space="0" w:color="auto"/>
            <w:bottom w:val="none" w:sz="0" w:space="0" w:color="auto"/>
            <w:right w:val="none" w:sz="0" w:space="0" w:color="auto"/>
          </w:divBdr>
        </w:div>
        <w:div w:id="294149977">
          <w:marLeft w:val="0"/>
          <w:marRight w:val="0"/>
          <w:marTop w:val="0"/>
          <w:marBottom w:val="0"/>
          <w:divBdr>
            <w:top w:val="none" w:sz="0" w:space="0" w:color="auto"/>
            <w:left w:val="none" w:sz="0" w:space="0" w:color="auto"/>
            <w:bottom w:val="none" w:sz="0" w:space="0" w:color="auto"/>
            <w:right w:val="none" w:sz="0" w:space="0" w:color="auto"/>
          </w:divBdr>
        </w:div>
        <w:div w:id="294150343">
          <w:marLeft w:val="0"/>
          <w:marRight w:val="0"/>
          <w:marTop w:val="0"/>
          <w:marBottom w:val="0"/>
          <w:divBdr>
            <w:top w:val="none" w:sz="0" w:space="0" w:color="auto"/>
            <w:left w:val="none" w:sz="0" w:space="0" w:color="auto"/>
            <w:bottom w:val="none" w:sz="0" w:space="0" w:color="auto"/>
            <w:right w:val="none" w:sz="0" w:space="0" w:color="auto"/>
          </w:divBdr>
        </w:div>
        <w:div w:id="294150427">
          <w:marLeft w:val="0"/>
          <w:marRight w:val="0"/>
          <w:marTop w:val="0"/>
          <w:marBottom w:val="0"/>
          <w:divBdr>
            <w:top w:val="none" w:sz="0" w:space="0" w:color="auto"/>
            <w:left w:val="none" w:sz="0" w:space="0" w:color="auto"/>
            <w:bottom w:val="none" w:sz="0" w:space="0" w:color="auto"/>
            <w:right w:val="none" w:sz="0" w:space="0" w:color="auto"/>
          </w:divBdr>
        </w:div>
        <w:div w:id="294150435">
          <w:marLeft w:val="0"/>
          <w:marRight w:val="0"/>
          <w:marTop w:val="0"/>
          <w:marBottom w:val="0"/>
          <w:divBdr>
            <w:top w:val="none" w:sz="0" w:space="0" w:color="auto"/>
            <w:left w:val="none" w:sz="0" w:space="0" w:color="auto"/>
            <w:bottom w:val="none" w:sz="0" w:space="0" w:color="auto"/>
            <w:right w:val="none" w:sz="0" w:space="0" w:color="auto"/>
          </w:divBdr>
        </w:div>
        <w:div w:id="294150532">
          <w:marLeft w:val="0"/>
          <w:marRight w:val="0"/>
          <w:marTop w:val="0"/>
          <w:marBottom w:val="0"/>
          <w:divBdr>
            <w:top w:val="none" w:sz="0" w:space="0" w:color="auto"/>
            <w:left w:val="none" w:sz="0" w:space="0" w:color="auto"/>
            <w:bottom w:val="none" w:sz="0" w:space="0" w:color="auto"/>
            <w:right w:val="none" w:sz="0" w:space="0" w:color="auto"/>
          </w:divBdr>
        </w:div>
        <w:div w:id="294150728">
          <w:marLeft w:val="0"/>
          <w:marRight w:val="0"/>
          <w:marTop w:val="0"/>
          <w:marBottom w:val="0"/>
          <w:divBdr>
            <w:top w:val="none" w:sz="0" w:space="0" w:color="auto"/>
            <w:left w:val="none" w:sz="0" w:space="0" w:color="auto"/>
            <w:bottom w:val="none" w:sz="0" w:space="0" w:color="auto"/>
            <w:right w:val="none" w:sz="0" w:space="0" w:color="auto"/>
          </w:divBdr>
        </w:div>
        <w:div w:id="294150797">
          <w:marLeft w:val="0"/>
          <w:marRight w:val="0"/>
          <w:marTop w:val="0"/>
          <w:marBottom w:val="0"/>
          <w:divBdr>
            <w:top w:val="none" w:sz="0" w:space="0" w:color="auto"/>
            <w:left w:val="none" w:sz="0" w:space="0" w:color="auto"/>
            <w:bottom w:val="none" w:sz="0" w:space="0" w:color="auto"/>
            <w:right w:val="none" w:sz="0" w:space="0" w:color="auto"/>
          </w:divBdr>
        </w:div>
        <w:div w:id="294150804">
          <w:marLeft w:val="0"/>
          <w:marRight w:val="0"/>
          <w:marTop w:val="0"/>
          <w:marBottom w:val="0"/>
          <w:divBdr>
            <w:top w:val="none" w:sz="0" w:space="0" w:color="auto"/>
            <w:left w:val="none" w:sz="0" w:space="0" w:color="auto"/>
            <w:bottom w:val="none" w:sz="0" w:space="0" w:color="auto"/>
            <w:right w:val="none" w:sz="0" w:space="0" w:color="auto"/>
          </w:divBdr>
        </w:div>
        <w:div w:id="294150973">
          <w:marLeft w:val="0"/>
          <w:marRight w:val="0"/>
          <w:marTop w:val="0"/>
          <w:marBottom w:val="0"/>
          <w:divBdr>
            <w:top w:val="none" w:sz="0" w:space="0" w:color="auto"/>
            <w:left w:val="none" w:sz="0" w:space="0" w:color="auto"/>
            <w:bottom w:val="none" w:sz="0" w:space="0" w:color="auto"/>
            <w:right w:val="none" w:sz="0" w:space="0" w:color="auto"/>
          </w:divBdr>
        </w:div>
        <w:div w:id="294150978">
          <w:marLeft w:val="0"/>
          <w:marRight w:val="0"/>
          <w:marTop w:val="0"/>
          <w:marBottom w:val="0"/>
          <w:divBdr>
            <w:top w:val="none" w:sz="0" w:space="0" w:color="auto"/>
            <w:left w:val="none" w:sz="0" w:space="0" w:color="auto"/>
            <w:bottom w:val="none" w:sz="0" w:space="0" w:color="auto"/>
            <w:right w:val="none" w:sz="0" w:space="0" w:color="auto"/>
          </w:divBdr>
        </w:div>
        <w:div w:id="294151053">
          <w:marLeft w:val="0"/>
          <w:marRight w:val="0"/>
          <w:marTop w:val="0"/>
          <w:marBottom w:val="0"/>
          <w:divBdr>
            <w:top w:val="none" w:sz="0" w:space="0" w:color="auto"/>
            <w:left w:val="none" w:sz="0" w:space="0" w:color="auto"/>
            <w:bottom w:val="none" w:sz="0" w:space="0" w:color="auto"/>
            <w:right w:val="none" w:sz="0" w:space="0" w:color="auto"/>
          </w:divBdr>
        </w:div>
        <w:div w:id="294151064">
          <w:marLeft w:val="0"/>
          <w:marRight w:val="0"/>
          <w:marTop w:val="0"/>
          <w:marBottom w:val="0"/>
          <w:divBdr>
            <w:top w:val="none" w:sz="0" w:space="0" w:color="auto"/>
            <w:left w:val="none" w:sz="0" w:space="0" w:color="auto"/>
            <w:bottom w:val="none" w:sz="0" w:space="0" w:color="auto"/>
            <w:right w:val="none" w:sz="0" w:space="0" w:color="auto"/>
          </w:divBdr>
        </w:div>
        <w:div w:id="294151167">
          <w:marLeft w:val="0"/>
          <w:marRight w:val="0"/>
          <w:marTop w:val="0"/>
          <w:marBottom w:val="0"/>
          <w:divBdr>
            <w:top w:val="none" w:sz="0" w:space="0" w:color="auto"/>
            <w:left w:val="none" w:sz="0" w:space="0" w:color="auto"/>
            <w:bottom w:val="none" w:sz="0" w:space="0" w:color="auto"/>
            <w:right w:val="none" w:sz="0" w:space="0" w:color="auto"/>
          </w:divBdr>
        </w:div>
        <w:div w:id="294151232">
          <w:marLeft w:val="0"/>
          <w:marRight w:val="0"/>
          <w:marTop w:val="0"/>
          <w:marBottom w:val="0"/>
          <w:divBdr>
            <w:top w:val="none" w:sz="0" w:space="0" w:color="auto"/>
            <w:left w:val="none" w:sz="0" w:space="0" w:color="auto"/>
            <w:bottom w:val="none" w:sz="0" w:space="0" w:color="auto"/>
            <w:right w:val="none" w:sz="0" w:space="0" w:color="auto"/>
          </w:divBdr>
        </w:div>
        <w:div w:id="294151664">
          <w:marLeft w:val="0"/>
          <w:marRight w:val="0"/>
          <w:marTop w:val="0"/>
          <w:marBottom w:val="0"/>
          <w:divBdr>
            <w:top w:val="none" w:sz="0" w:space="0" w:color="auto"/>
            <w:left w:val="none" w:sz="0" w:space="0" w:color="auto"/>
            <w:bottom w:val="none" w:sz="0" w:space="0" w:color="auto"/>
            <w:right w:val="none" w:sz="0" w:space="0" w:color="auto"/>
          </w:divBdr>
        </w:div>
        <w:div w:id="294151902">
          <w:marLeft w:val="0"/>
          <w:marRight w:val="0"/>
          <w:marTop w:val="0"/>
          <w:marBottom w:val="0"/>
          <w:divBdr>
            <w:top w:val="none" w:sz="0" w:space="0" w:color="auto"/>
            <w:left w:val="none" w:sz="0" w:space="0" w:color="auto"/>
            <w:bottom w:val="none" w:sz="0" w:space="0" w:color="auto"/>
            <w:right w:val="none" w:sz="0" w:space="0" w:color="auto"/>
          </w:divBdr>
        </w:div>
        <w:div w:id="294151968">
          <w:marLeft w:val="0"/>
          <w:marRight w:val="0"/>
          <w:marTop w:val="0"/>
          <w:marBottom w:val="0"/>
          <w:divBdr>
            <w:top w:val="none" w:sz="0" w:space="0" w:color="auto"/>
            <w:left w:val="none" w:sz="0" w:space="0" w:color="auto"/>
            <w:bottom w:val="none" w:sz="0" w:space="0" w:color="auto"/>
            <w:right w:val="none" w:sz="0" w:space="0" w:color="auto"/>
          </w:divBdr>
        </w:div>
        <w:div w:id="294152254">
          <w:marLeft w:val="0"/>
          <w:marRight w:val="0"/>
          <w:marTop w:val="0"/>
          <w:marBottom w:val="0"/>
          <w:divBdr>
            <w:top w:val="none" w:sz="0" w:space="0" w:color="auto"/>
            <w:left w:val="none" w:sz="0" w:space="0" w:color="auto"/>
            <w:bottom w:val="none" w:sz="0" w:space="0" w:color="auto"/>
            <w:right w:val="none" w:sz="0" w:space="0" w:color="auto"/>
          </w:divBdr>
        </w:div>
        <w:div w:id="294152482">
          <w:marLeft w:val="0"/>
          <w:marRight w:val="0"/>
          <w:marTop w:val="0"/>
          <w:marBottom w:val="0"/>
          <w:divBdr>
            <w:top w:val="none" w:sz="0" w:space="0" w:color="auto"/>
            <w:left w:val="none" w:sz="0" w:space="0" w:color="auto"/>
            <w:bottom w:val="none" w:sz="0" w:space="0" w:color="auto"/>
            <w:right w:val="none" w:sz="0" w:space="0" w:color="auto"/>
          </w:divBdr>
        </w:div>
        <w:div w:id="294152627">
          <w:marLeft w:val="0"/>
          <w:marRight w:val="0"/>
          <w:marTop w:val="0"/>
          <w:marBottom w:val="0"/>
          <w:divBdr>
            <w:top w:val="none" w:sz="0" w:space="0" w:color="auto"/>
            <w:left w:val="none" w:sz="0" w:space="0" w:color="auto"/>
            <w:bottom w:val="none" w:sz="0" w:space="0" w:color="auto"/>
            <w:right w:val="none" w:sz="0" w:space="0" w:color="auto"/>
          </w:divBdr>
        </w:div>
        <w:div w:id="294152967">
          <w:marLeft w:val="0"/>
          <w:marRight w:val="0"/>
          <w:marTop w:val="0"/>
          <w:marBottom w:val="0"/>
          <w:divBdr>
            <w:top w:val="none" w:sz="0" w:space="0" w:color="auto"/>
            <w:left w:val="none" w:sz="0" w:space="0" w:color="auto"/>
            <w:bottom w:val="none" w:sz="0" w:space="0" w:color="auto"/>
            <w:right w:val="none" w:sz="0" w:space="0" w:color="auto"/>
          </w:divBdr>
        </w:div>
        <w:div w:id="294153004">
          <w:marLeft w:val="0"/>
          <w:marRight w:val="0"/>
          <w:marTop w:val="0"/>
          <w:marBottom w:val="0"/>
          <w:divBdr>
            <w:top w:val="none" w:sz="0" w:space="0" w:color="auto"/>
            <w:left w:val="none" w:sz="0" w:space="0" w:color="auto"/>
            <w:bottom w:val="none" w:sz="0" w:space="0" w:color="auto"/>
            <w:right w:val="none" w:sz="0" w:space="0" w:color="auto"/>
          </w:divBdr>
        </w:div>
        <w:div w:id="294153243">
          <w:marLeft w:val="0"/>
          <w:marRight w:val="0"/>
          <w:marTop w:val="0"/>
          <w:marBottom w:val="0"/>
          <w:divBdr>
            <w:top w:val="none" w:sz="0" w:space="0" w:color="auto"/>
            <w:left w:val="none" w:sz="0" w:space="0" w:color="auto"/>
            <w:bottom w:val="none" w:sz="0" w:space="0" w:color="auto"/>
            <w:right w:val="none" w:sz="0" w:space="0" w:color="auto"/>
          </w:divBdr>
        </w:div>
        <w:div w:id="294153456">
          <w:marLeft w:val="0"/>
          <w:marRight w:val="0"/>
          <w:marTop w:val="0"/>
          <w:marBottom w:val="0"/>
          <w:divBdr>
            <w:top w:val="none" w:sz="0" w:space="0" w:color="auto"/>
            <w:left w:val="none" w:sz="0" w:space="0" w:color="auto"/>
            <w:bottom w:val="none" w:sz="0" w:space="0" w:color="auto"/>
            <w:right w:val="none" w:sz="0" w:space="0" w:color="auto"/>
          </w:divBdr>
        </w:div>
        <w:div w:id="294153513">
          <w:marLeft w:val="0"/>
          <w:marRight w:val="0"/>
          <w:marTop w:val="0"/>
          <w:marBottom w:val="0"/>
          <w:divBdr>
            <w:top w:val="none" w:sz="0" w:space="0" w:color="auto"/>
            <w:left w:val="none" w:sz="0" w:space="0" w:color="auto"/>
            <w:bottom w:val="none" w:sz="0" w:space="0" w:color="auto"/>
            <w:right w:val="none" w:sz="0" w:space="0" w:color="auto"/>
          </w:divBdr>
        </w:div>
        <w:div w:id="294153552">
          <w:marLeft w:val="0"/>
          <w:marRight w:val="0"/>
          <w:marTop w:val="0"/>
          <w:marBottom w:val="0"/>
          <w:divBdr>
            <w:top w:val="none" w:sz="0" w:space="0" w:color="auto"/>
            <w:left w:val="none" w:sz="0" w:space="0" w:color="auto"/>
            <w:bottom w:val="none" w:sz="0" w:space="0" w:color="auto"/>
            <w:right w:val="none" w:sz="0" w:space="0" w:color="auto"/>
          </w:divBdr>
        </w:div>
        <w:div w:id="294153610">
          <w:marLeft w:val="0"/>
          <w:marRight w:val="0"/>
          <w:marTop w:val="0"/>
          <w:marBottom w:val="0"/>
          <w:divBdr>
            <w:top w:val="none" w:sz="0" w:space="0" w:color="auto"/>
            <w:left w:val="none" w:sz="0" w:space="0" w:color="auto"/>
            <w:bottom w:val="none" w:sz="0" w:space="0" w:color="auto"/>
            <w:right w:val="none" w:sz="0" w:space="0" w:color="auto"/>
          </w:divBdr>
        </w:div>
        <w:div w:id="294153632">
          <w:marLeft w:val="0"/>
          <w:marRight w:val="0"/>
          <w:marTop w:val="0"/>
          <w:marBottom w:val="0"/>
          <w:divBdr>
            <w:top w:val="none" w:sz="0" w:space="0" w:color="auto"/>
            <w:left w:val="none" w:sz="0" w:space="0" w:color="auto"/>
            <w:bottom w:val="none" w:sz="0" w:space="0" w:color="auto"/>
            <w:right w:val="none" w:sz="0" w:space="0" w:color="auto"/>
          </w:divBdr>
        </w:div>
        <w:div w:id="294153678">
          <w:marLeft w:val="0"/>
          <w:marRight w:val="0"/>
          <w:marTop w:val="0"/>
          <w:marBottom w:val="0"/>
          <w:divBdr>
            <w:top w:val="none" w:sz="0" w:space="0" w:color="auto"/>
            <w:left w:val="none" w:sz="0" w:space="0" w:color="auto"/>
            <w:bottom w:val="none" w:sz="0" w:space="0" w:color="auto"/>
            <w:right w:val="none" w:sz="0" w:space="0" w:color="auto"/>
          </w:divBdr>
        </w:div>
        <w:div w:id="294153726">
          <w:marLeft w:val="0"/>
          <w:marRight w:val="0"/>
          <w:marTop w:val="0"/>
          <w:marBottom w:val="0"/>
          <w:divBdr>
            <w:top w:val="none" w:sz="0" w:space="0" w:color="auto"/>
            <w:left w:val="none" w:sz="0" w:space="0" w:color="auto"/>
            <w:bottom w:val="none" w:sz="0" w:space="0" w:color="auto"/>
            <w:right w:val="none" w:sz="0" w:space="0" w:color="auto"/>
          </w:divBdr>
        </w:div>
        <w:div w:id="294153779">
          <w:marLeft w:val="0"/>
          <w:marRight w:val="0"/>
          <w:marTop w:val="0"/>
          <w:marBottom w:val="0"/>
          <w:divBdr>
            <w:top w:val="none" w:sz="0" w:space="0" w:color="auto"/>
            <w:left w:val="none" w:sz="0" w:space="0" w:color="auto"/>
            <w:bottom w:val="none" w:sz="0" w:space="0" w:color="auto"/>
            <w:right w:val="none" w:sz="0" w:space="0" w:color="auto"/>
          </w:divBdr>
        </w:div>
        <w:div w:id="294153843">
          <w:marLeft w:val="0"/>
          <w:marRight w:val="0"/>
          <w:marTop w:val="0"/>
          <w:marBottom w:val="0"/>
          <w:divBdr>
            <w:top w:val="none" w:sz="0" w:space="0" w:color="auto"/>
            <w:left w:val="none" w:sz="0" w:space="0" w:color="auto"/>
            <w:bottom w:val="none" w:sz="0" w:space="0" w:color="auto"/>
            <w:right w:val="none" w:sz="0" w:space="0" w:color="auto"/>
          </w:divBdr>
        </w:div>
        <w:div w:id="294153880">
          <w:marLeft w:val="0"/>
          <w:marRight w:val="0"/>
          <w:marTop w:val="0"/>
          <w:marBottom w:val="0"/>
          <w:divBdr>
            <w:top w:val="none" w:sz="0" w:space="0" w:color="auto"/>
            <w:left w:val="none" w:sz="0" w:space="0" w:color="auto"/>
            <w:bottom w:val="none" w:sz="0" w:space="0" w:color="auto"/>
            <w:right w:val="none" w:sz="0" w:space="0" w:color="auto"/>
          </w:divBdr>
        </w:div>
        <w:div w:id="294153933">
          <w:marLeft w:val="0"/>
          <w:marRight w:val="0"/>
          <w:marTop w:val="0"/>
          <w:marBottom w:val="0"/>
          <w:divBdr>
            <w:top w:val="none" w:sz="0" w:space="0" w:color="auto"/>
            <w:left w:val="none" w:sz="0" w:space="0" w:color="auto"/>
            <w:bottom w:val="none" w:sz="0" w:space="0" w:color="auto"/>
            <w:right w:val="none" w:sz="0" w:space="0" w:color="auto"/>
          </w:divBdr>
        </w:div>
        <w:div w:id="294154000">
          <w:marLeft w:val="0"/>
          <w:marRight w:val="0"/>
          <w:marTop w:val="0"/>
          <w:marBottom w:val="0"/>
          <w:divBdr>
            <w:top w:val="none" w:sz="0" w:space="0" w:color="auto"/>
            <w:left w:val="none" w:sz="0" w:space="0" w:color="auto"/>
            <w:bottom w:val="none" w:sz="0" w:space="0" w:color="auto"/>
            <w:right w:val="none" w:sz="0" w:space="0" w:color="auto"/>
          </w:divBdr>
        </w:div>
        <w:div w:id="294154006">
          <w:marLeft w:val="0"/>
          <w:marRight w:val="0"/>
          <w:marTop w:val="0"/>
          <w:marBottom w:val="0"/>
          <w:divBdr>
            <w:top w:val="none" w:sz="0" w:space="0" w:color="auto"/>
            <w:left w:val="none" w:sz="0" w:space="0" w:color="auto"/>
            <w:bottom w:val="none" w:sz="0" w:space="0" w:color="auto"/>
            <w:right w:val="none" w:sz="0" w:space="0" w:color="auto"/>
          </w:divBdr>
        </w:div>
        <w:div w:id="294154019">
          <w:marLeft w:val="0"/>
          <w:marRight w:val="0"/>
          <w:marTop w:val="0"/>
          <w:marBottom w:val="0"/>
          <w:divBdr>
            <w:top w:val="none" w:sz="0" w:space="0" w:color="auto"/>
            <w:left w:val="none" w:sz="0" w:space="0" w:color="auto"/>
            <w:bottom w:val="none" w:sz="0" w:space="0" w:color="auto"/>
            <w:right w:val="none" w:sz="0" w:space="0" w:color="auto"/>
          </w:divBdr>
        </w:div>
        <w:div w:id="294154177">
          <w:marLeft w:val="0"/>
          <w:marRight w:val="0"/>
          <w:marTop w:val="0"/>
          <w:marBottom w:val="0"/>
          <w:divBdr>
            <w:top w:val="none" w:sz="0" w:space="0" w:color="auto"/>
            <w:left w:val="none" w:sz="0" w:space="0" w:color="auto"/>
            <w:bottom w:val="none" w:sz="0" w:space="0" w:color="auto"/>
            <w:right w:val="none" w:sz="0" w:space="0" w:color="auto"/>
          </w:divBdr>
        </w:div>
        <w:div w:id="294154264">
          <w:marLeft w:val="0"/>
          <w:marRight w:val="0"/>
          <w:marTop w:val="0"/>
          <w:marBottom w:val="0"/>
          <w:divBdr>
            <w:top w:val="none" w:sz="0" w:space="0" w:color="auto"/>
            <w:left w:val="none" w:sz="0" w:space="0" w:color="auto"/>
            <w:bottom w:val="none" w:sz="0" w:space="0" w:color="auto"/>
            <w:right w:val="none" w:sz="0" w:space="0" w:color="auto"/>
          </w:divBdr>
        </w:div>
        <w:div w:id="294154330">
          <w:marLeft w:val="0"/>
          <w:marRight w:val="0"/>
          <w:marTop w:val="0"/>
          <w:marBottom w:val="0"/>
          <w:divBdr>
            <w:top w:val="none" w:sz="0" w:space="0" w:color="auto"/>
            <w:left w:val="none" w:sz="0" w:space="0" w:color="auto"/>
            <w:bottom w:val="none" w:sz="0" w:space="0" w:color="auto"/>
            <w:right w:val="none" w:sz="0" w:space="0" w:color="auto"/>
          </w:divBdr>
        </w:div>
        <w:div w:id="294154542">
          <w:marLeft w:val="0"/>
          <w:marRight w:val="0"/>
          <w:marTop w:val="0"/>
          <w:marBottom w:val="0"/>
          <w:divBdr>
            <w:top w:val="none" w:sz="0" w:space="0" w:color="auto"/>
            <w:left w:val="none" w:sz="0" w:space="0" w:color="auto"/>
            <w:bottom w:val="none" w:sz="0" w:space="0" w:color="auto"/>
            <w:right w:val="none" w:sz="0" w:space="0" w:color="auto"/>
          </w:divBdr>
        </w:div>
        <w:div w:id="294154670">
          <w:marLeft w:val="0"/>
          <w:marRight w:val="0"/>
          <w:marTop w:val="0"/>
          <w:marBottom w:val="0"/>
          <w:divBdr>
            <w:top w:val="none" w:sz="0" w:space="0" w:color="auto"/>
            <w:left w:val="none" w:sz="0" w:space="0" w:color="auto"/>
            <w:bottom w:val="none" w:sz="0" w:space="0" w:color="auto"/>
            <w:right w:val="none" w:sz="0" w:space="0" w:color="auto"/>
          </w:divBdr>
        </w:div>
        <w:div w:id="294154878">
          <w:marLeft w:val="0"/>
          <w:marRight w:val="0"/>
          <w:marTop w:val="0"/>
          <w:marBottom w:val="0"/>
          <w:divBdr>
            <w:top w:val="none" w:sz="0" w:space="0" w:color="auto"/>
            <w:left w:val="none" w:sz="0" w:space="0" w:color="auto"/>
            <w:bottom w:val="none" w:sz="0" w:space="0" w:color="auto"/>
            <w:right w:val="none" w:sz="0" w:space="0" w:color="auto"/>
          </w:divBdr>
        </w:div>
        <w:div w:id="294154962">
          <w:marLeft w:val="0"/>
          <w:marRight w:val="0"/>
          <w:marTop w:val="0"/>
          <w:marBottom w:val="0"/>
          <w:divBdr>
            <w:top w:val="none" w:sz="0" w:space="0" w:color="auto"/>
            <w:left w:val="none" w:sz="0" w:space="0" w:color="auto"/>
            <w:bottom w:val="none" w:sz="0" w:space="0" w:color="auto"/>
            <w:right w:val="none" w:sz="0" w:space="0" w:color="auto"/>
          </w:divBdr>
        </w:div>
        <w:div w:id="294155155">
          <w:marLeft w:val="0"/>
          <w:marRight w:val="0"/>
          <w:marTop w:val="0"/>
          <w:marBottom w:val="0"/>
          <w:divBdr>
            <w:top w:val="none" w:sz="0" w:space="0" w:color="auto"/>
            <w:left w:val="none" w:sz="0" w:space="0" w:color="auto"/>
            <w:bottom w:val="none" w:sz="0" w:space="0" w:color="auto"/>
            <w:right w:val="none" w:sz="0" w:space="0" w:color="auto"/>
          </w:divBdr>
        </w:div>
        <w:div w:id="294155205">
          <w:marLeft w:val="0"/>
          <w:marRight w:val="0"/>
          <w:marTop w:val="0"/>
          <w:marBottom w:val="0"/>
          <w:divBdr>
            <w:top w:val="none" w:sz="0" w:space="0" w:color="auto"/>
            <w:left w:val="none" w:sz="0" w:space="0" w:color="auto"/>
            <w:bottom w:val="none" w:sz="0" w:space="0" w:color="auto"/>
            <w:right w:val="none" w:sz="0" w:space="0" w:color="auto"/>
          </w:divBdr>
        </w:div>
        <w:div w:id="294155222">
          <w:marLeft w:val="0"/>
          <w:marRight w:val="0"/>
          <w:marTop w:val="0"/>
          <w:marBottom w:val="0"/>
          <w:divBdr>
            <w:top w:val="none" w:sz="0" w:space="0" w:color="auto"/>
            <w:left w:val="none" w:sz="0" w:space="0" w:color="auto"/>
            <w:bottom w:val="none" w:sz="0" w:space="0" w:color="auto"/>
            <w:right w:val="none" w:sz="0" w:space="0" w:color="auto"/>
          </w:divBdr>
        </w:div>
        <w:div w:id="294155590">
          <w:marLeft w:val="0"/>
          <w:marRight w:val="0"/>
          <w:marTop w:val="0"/>
          <w:marBottom w:val="0"/>
          <w:divBdr>
            <w:top w:val="none" w:sz="0" w:space="0" w:color="auto"/>
            <w:left w:val="none" w:sz="0" w:space="0" w:color="auto"/>
            <w:bottom w:val="none" w:sz="0" w:space="0" w:color="auto"/>
            <w:right w:val="none" w:sz="0" w:space="0" w:color="auto"/>
          </w:divBdr>
        </w:div>
        <w:div w:id="294155627">
          <w:marLeft w:val="0"/>
          <w:marRight w:val="0"/>
          <w:marTop w:val="0"/>
          <w:marBottom w:val="0"/>
          <w:divBdr>
            <w:top w:val="none" w:sz="0" w:space="0" w:color="auto"/>
            <w:left w:val="none" w:sz="0" w:space="0" w:color="auto"/>
            <w:bottom w:val="none" w:sz="0" w:space="0" w:color="auto"/>
            <w:right w:val="none" w:sz="0" w:space="0" w:color="auto"/>
          </w:divBdr>
        </w:div>
        <w:div w:id="294155699">
          <w:marLeft w:val="0"/>
          <w:marRight w:val="0"/>
          <w:marTop w:val="0"/>
          <w:marBottom w:val="0"/>
          <w:divBdr>
            <w:top w:val="none" w:sz="0" w:space="0" w:color="auto"/>
            <w:left w:val="none" w:sz="0" w:space="0" w:color="auto"/>
            <w:bottom w:val="none" w:sz="0" w:space="0" w:color="auto"/>
            <w:right w:val="none" w:sz="0" w:space="0" w:color="auto"/>
          </w:divBdr>
        </w:div>
        <w:div w:id="294155919">
          <w:marLeft w:val="0"/>
          <w:marRight w:val="0"/>
          <w:marTop w:val="0"/>
          <w:marBottom w:val="0"/>
          <w:divBdr>
            <w:top w:val="none" w:sz="0" w:space="0" w:color="auto"/>
            <w:left w:val="none" w:sz="0" w:space="0" w:color="auto"/>
            <w:bottom w:val="none" w:sz="0" w:space="0" w:color="auto"/>
            <w:right w:val="none" w:sz="0" w:space="0" w:color="auto"/>
          </w:divBdr>
        </w:div>
        <w:div w:id="294156126">
          <w:marLeft w:val="0"/>
          <w:marRight w:val="0"/>
          <w:marTop w:val="0"/>
          <w:marBottom w:val="0"/>
          <w:divBdr>
            <w:top w:val="none" w:sz="0" w:space="0" w:color="auto"/>
            <w:left w:val="none" w:sz="0" w:space="0" w:color="auto"/>
            <w:bottom w:val="none" w:sz="0" w:space="0" w:color="auto"/>
            <w:right w:val="none" w:sz="0" w:space="0" w:color="auto"/>
          </w:divBdr>
        </w:div>
        <w:div w:id="294156198">
          <w:marLeft w:val="0"/>
          <w:marRight w:val="0"/>
          <w:marTop w:val="0"/>
          <w:marBottom w:val="0"/>
          <w:divBdr>
            <w:top w:val="none" w:sz="0" w:space="0" w:color="auto"/>
            <w:left w:val="none" w:sz="0" w:space="0" w:color="auto"/>
            <w:bottom w:val="none" w:sz="0" w:space="0" w:color="auto"/>
            <w:right w:val="none" w:sz="0" w:space="0" w:color="auto"/>
          </w:divBdr>
        </w:div>
        <w:div w:id="294156279">
          <w:marLeft w:val="0"/>
          <w:marRight w:val="0"/>
          <w:marTop w:val="0"/>
          <w:marBottom w:val="0"/>
          <w:divBdr>
            <w:top w:val="none" w:sz="0" w:space="0" w:color="auto"/>
            <w:left w:val="none" w:sz="0" w:space="0" w:color="auto"/>
            <w:bottom w:val="none" w:sz="0" w:space="0" w:color="auto"/>
            <w:right w:val="none" w:sz="0" w:space="0" w:color="auto"/>
          </w:divBdr>
        </w:div>
        <w:div w:id="294156655">
          <w:marLeft w:val="0"/>
          <w:marRight w:val="0"/>
          <w:marTop w:val="0"/>
          <w:marBottom w:val="0"/>
          <w:divBdr>
            <w:top w:val="none" w:sz="0" w:space="0" w:color="auto"/>
            <w:left w:val="none" w:sz="0" w:space="0" w:color="auto"/>
            <w:bottom w:val="none" w:sz="0" w:space="0" w:color="auto"/>
            <w:right w:val="none" w:sz="0" w:space="0" w:color="auto"/>
          </w:divBdr>
        </w:div>
        <w:div w:id="294156771">
          <w:marLeft w:val="0"/>
          <w:marRight w:val="0"/>
          <w:marTop w:val="0"/>
          <w:marBottom w:val="0"/>
          <w:divBdr>
            <w:top w:val="none" w:sz="0" w:space="0" w:color="auto"/>
            <w:left w:val="none" w:sz="0" w:space="0" w:color="auto"/>
            <w:bottom w:val="none" w:sz="0" w:space="0" w:color="auto"/>
            <w:right w:val="none" w:sz="0" w:space="0" w:color="auto"/>
          </w:divBdr>
        </w:div>
        <w:div w:id="294156853">
          <w:marLeft w:val="0"/>
          <w:marRight w:val="0"/>
          <w:marTop w:val="0"/>
          <w:marBottom w:val="0"/>
          <w:divBdr>
            <w:top w:val="none" w:sz="0" w:space="0" w:color="auto"/>
            <w:left w:val="none" w:sz="0" w:space="0" w:color="auto"/>
            <w:bottom w:val="none" w:sz="0" w:space="0" w:color="auto"/>
            <w:right w:val="none" w:sz="0" w:space="0" w:color="auto"/>
          </w:divBdr>
        </w:div>
        <w:div w:id="294156907">
          <w:marLeft w:val="0"/>
          <w:marRight w:val="0"/>
          <w:marTop w:val="0"/>
          <w:marBottom w:val="0"/>
          <w:divBdr>
            <w:top w:val="none" w:sz="0" w:space="0" w:color="auto"/>
            <w:left w:val="none" w:sz="0" w:space="0" w:color="auto"/>
            <w:bottom w:val="none" w:sz="0" w:space="0" w:color="auto"/>
            <w:right w:val="none" w:sz="0" w:space="0" w:color="auto"/>
          </w:divBdr>
        </w:div>
        <w:div w:id="294157143">
          <w:marLeft w:val="0"/>
          <w:marRight w:val="0"/>
          <w:marTop w:val="0"/>
          <w:marBottom w:val="0"/>
          <w:divBdr>
            <w:top w:val="none" w:sz="0" w:space="0" w:color="auto"/>
            <w:left w:val="none" w:sz="0" w:space="0" w:color="auto"/>
            <w:bottom w:val="none" w:sz="0" w:space="0" w:color="auto"/>
            <w:right w:val="none" w:sz="0" w:space="0" w:color="auto"/>
          </w:divBdr>
        </w:div>
        <w:div w:id="294157322">
          <w:marLeft w:val="0"/>
          <w:marRight w:val="0"/>
          <w:marTop w:val="0"/>
          <w:marBottom w:val="0"/>
          <w:divBdr>
            <w:top w:val="none" w:sz="0" w:space="0" w:color="auto"/>
            <w:left w:val="none" w:sz="0" w:space="0" w:color="auto"/>
            <w:bottom w:val="none" w:sz="0" w:space="0" w:color="auto"/>
            <w:right w:val="none" w:sz="0" w:space="0" w:color="auto"/>
          </w:divBdr>
        </w:div>
        <w:div w:id="294157355">
          <w:marLeft w:val="0"/>
          <w:marRight w:val="0"/>
          <w:marTop w:val="0"/>
          <w:marBottom w:val="0"/>
          <w:divBdr>
            <w:top w:val="none" w:sz="0" w:space="0" w:color="auto"/>
            <w:left w:val="none" w:sz="0" w:space="0" w:color="auto"/>
            <w:bottom w:val="none" w:sz="0" w:space="0" w:color="auto"/>
            <w:right w:val="none" w:sz="0" w:space="0" w:color="auto"/>
          </w:divBdr>
        </w:div>
        <w:div w:id="294157441">
          <w:marLeft w:val="0"/>
          <w:marRight w:val="0"/>
          <w:marTop w:val="0"/>
          <w:marBottom w:val="0"/>
          <w:divBdr>
            <w:top w:val="none" w:sz="0" w:space="0" w:color="auto"/>
            <w:left w:val="none" w:sz="0" w:space="0" w:color="auto"/>
            <w:bottom w:val="none" w:sz="0" w:space="0" w:color="auto"/>
            <w:right w:val="none" w:sz="0" w:space="0" w:color="auto"/>
          </w:divBdr>
        </w:div>
        <w:div w:id="294157476">
          <w:marLeft w:val="0"/>
          <w:marRight w:val="0"/>
          <w:marTop w:val="0"/>
          <w:marBottom w:val="0"/>
          <w:divBdr>
            <w:top w:val="none" w:sz="0" w:space="0" w:color="auto"/>
            <w:left w:val="none" w:sz="0" w:space="0" w:color="auto"/>
            <w:bottom w:val="none" w:sz="0" w:space="0" w:color="auto"/>
            <w:right w:val="none" w:sz="0" w:space="0" w:color="auto"/>
          </w:divBdr>
        </w:div>
      </w:divsChild>
    </w:div>
    <w:div w:id="294150942">
      <w:marLeft w:val="0"/>
      <w:marRight w:val="0"/>
      <w:marTop w:val="0"/>
      <w:marBottom w:val="0"/>
      <w:divBdr>
        <w:top w:val="none" w:sz="0" w:space="0" w:color="auto"/>
        <w:left w:val="none" w:sz="0" w:space="0" w:color="auto"/>
        <w:bottom w:val="none" w:sz="0" w:space="0" w:color="auto"/>
        <w:right w:val="none" w:sz="0" w:space="0" w:color="auto"/>
      </w:divBdr>
    </w:div>
    <w:div w:id="294150969">
      <w:marLeft w:val="0"/>
      <w:marRight w:val="0"/>
      <w:marTop w:val="0"/>
      <w:marBottom w:val="0"/>
      <w:divBdr>
        <w:top w:val="none" w:sz="0" w:space="0" w:color="auto"/>
        <w:left w:val="none" w:sz="0" w:space="0" w:color="auto"/>
        <w:bottom w:val="none" w:sz="0" w:space="0" w:color="auto"/>
        <w:right w:val="none" w:sz="0" w:space="0" w:color="auto"/>
      </w:divBdr>
    </w:div>
    <w:div w:id="294150991">
      <w:marLeft w:val="0"/>
      <w:marRight w:val="0"/>
      <w:marTop w:val="0"/>
      <w:marBottom w:val="0"/>
      <w:divBdr>
        <w:top w:val="none" w:sz="0" w:space="0" w:color="auto"/>
        <w:left w:val="none" w:sz="0" w:space="0" w:color="auto"/>
        <w:bottom w:val="none" w:sz="0" w:space="0" w:color="auto"/>
        <w:right w:val="none" w:sz="0" w:space="0" w:color="auto"/>
      </w:divBdr>
    </w:div>
    <w:div w:id="294151000">
      <w:marLeft w:val="0"/>
      <w:marRight w:val="0"/>
      <w:marTop w:val="0"/>
      <w:marBottom w:val="0"/>
      <w:divBdr>
        <w:top w:val="none" w:sz="0" w:space="0" w:color="auto"/>
        <w:left w:val="none" w:sz="0" w:space="0" w:color="auto"/>
        <w:bottom w:val="none" w:sz="0" w:space="0" w:color="auto"/>
        <w:right w:val="none" w:sz="0" w:space="0" w:color="auto"/>
      </w:divBdr>
    </w:div>
    <w:div w:id="294151036">
      <w:marLeft w:val="0"/>
      <w:marRight w:val="0"/>
      <w:marTop w:val="0"/>
      <w:marBottom w:val="0"/>
      <w:divBdr>
        <w:top w:val="none" w:sz="0" w:space="0" w:color="auto"/>
        <w:left w:val="none" w:sz="0" w:space="0" w:color="auto"/>
        <w:bottom w:val="none" w:sz="0" w:space="0" w:color="auto"/>
        <w:right w:val="none" w:sz="0" w:space="0" w:color="auto"/>
      </w:divBdr>
      <w:divsChild>
        <w:div w:id="294145911">
          <w:marLeft w:val="0"/>
          <w:marRight w:val="0"/>
          <w:marTop w:val="0"/>
          <w:marBottom w:val="0"/>
          <w:divBdr>
            <w:top w:val="none" w:sz="0" w:space="0" w:color="auto"/>
            <w:left w:val="none" w:sz="0" w:space="0" w:color="auto"/>
            <w:bottom w:val="none" w:sz="0" w:space="0" w:color="auto"/>
            <w:right w:val="none" w:sz="0" w:space="0" w:color="auto"/>
          </w:divBdr>
          <w:divsChild>
            <w:div w:id="294150463">
              <w:marLeft w:val="0"/>
              <w:marRight w:val="0"/>
              <w:marTop w:val="0"/>
              <w:marBottom w:val="0"/>
              <w:divBdr>
                <w:top w:val="none" w:sz="0" w:space="0" w:color="auto"/>
                <w:left w:val="none" w:sz="0" w:space="0" w:color="auto"/>
                <w:bottom w:val="none" w:sz="0" w:space="0" w:color="auto"/>
                <w:right w:val="none" w:sz="0" w:space="0" w:color="auto"/>
              </w:divBdr>
              <w:divsChild>
                <w:div w:id="29415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1853">
          <w:marLeft w:val="0"/>
          <w:marRight w:val="0"/>
          <w:marTop w:val="0"/>
          <w:marBottom w:val="0"/>
          <w:divBdr>
            <w:top w:val="none" w:sz="0" w:space="0" w:color="auto"/>
            <w:left w:val="none" w:sz="0" w:space="0" w:color="auto"/>
            <w:bottom w:val="none" w:sz="0" w:space="0" w:color="auto"/>
            <w:right w:val="none" w:sz="0" w:space="0" w:color="auto"/>
          </w:divBdr>
          <w:divsChild>
            <w:div w:id="294142577">
              <w:marLeft w:val="0"/>
              <w:marRight w:val="0"/>
              <w:marTop w:val="0"/>
              <w:marBottom w:val="0"/>
              <w:divBdr>
                <w:top w:val="none" w:sz="0" w:space="0" w:color="auto"/>
                <w:left w:val="none" w:sz="0" w:space="0" w:color="auto"/>
                <w:bottom w:val="none" w:sz="0" w:space="0" w:color="auto"/>
                <w:right w:val="none" w:sz="0" w:space="0" w:color="auto"/>
              </w:divBdr>
              <w:divsChild>
                <w:div w:id="294138068">
                  <w:marLeft w:val="0"/>
                  <w:marRight w:val="0"/>
                  <w:marTop w:val="0"/>
                  <w:marBottom w:val="0"/>
                  <w:divBdr>
                    <w:top w:val="none" w:sz="0" w:space="0" w:color="auto"/>
                    <w:left w:val="none" w:sz="0" w:space="0" w:color="auto"/>
                    <w:bottom w:val="none" w:sz="0" w:space="0" w:color="auto"/>
                    <w:right w:val="none" w:sz="0" w:space="0" w:color="auto"/>
                  </w:divBdr>
                </w:div>
                <w:div w:id="294138302">
                  <w:marLeft w:val="0"/>
                  <w:marRight w:val="0"/>
                  <w:marTop w:val="0"/>
                  <w:marBottom w:val="0"/>
                  <w:divBdr>
                    <w:top w:val="none" w:sz="0" w:space="0" w:color="auto"/>
                    <w:left w:val="none" w:sz="0" w:space="0" w:color="auto"/>
                    <w:bottom w:val="none" w:sz="0" w:space="0" w:color="auto"/>
                    <w:right w:val="none" w:sz="0" w:space="0" w:color="auto"/>
                  </w:divBdr>
                </w:div>
                <w:div w:id="294138768">
                  <w:marLeft w:val="0"/>
                  <w:marRight w:val="0"/>
                  <w:marTop w:val="0"/>
                  <w:marBottom w:val="0"/>
                  <w:divBdr>
                    <w:top w:val="none" w:sz="0" w:space="0" w:color="auto"/>
                    <w:left w:val="none" w:sz="0" w:space="0" w:color="auto"/>
                    <w:bottom w:val="none" w:sz="0" w:space="0" w:color="auto"/>
                    <w:right w:val="none" w:sz="0" w:space="0" w:color="auto"/>
                  </w:divBdr>
                </w:div>
                <w:div w:id="294139464">
                  <w:marLeft w:val="0"/>
                  <w:marRight w:val="0"/>
                  <w:marTop w:val="0"/>
                  <w:marBottom w:val="0"/>
                  <w:divBdr>
                    <w:top w:val="none" w:sz="0" w:space="0" w:color="auto"/>
                    <w:left w:val="none" w:sz="0" w:space="0" w:color="auto"/>
                    <w:bottom w:val="none" w:sz="0" w:space="0" w:color="auto"/>
                    <w:right w:val="none" w:sz="0" w:space="0" w:color="auto"/>
                  </w:divBdr>
                </w:div>
                <w:div w:id="294139689">
                  <w:marLeft w:val="0"/>
                  <w:marRight w:val="0"/>
                  <w:marTop w:val="0"/>
                  <w:marBottom w:val="0"/>
                  <w:divBdr>
                    <w:top w:val="none" w:sz="0" w:space="0" w:color="auto"/>
                    <w:left w:val="none" w:sz="0" w:space="0" w:color="auto"/>
                    <w:bottom w:val="none" w:sz="0" w:space="0" w:color="auto"/>
                    <w:right w:val="none" w:sz="0" w:space="0" w:color="auto"/>
                  </w:divBdr>
                </w:div>
                <w:div w:id="294139757">
                  <w:marLeft w:val="0"/>
                  <w:marRight w:val="0"/>
                  <w:marTop w:val="0"/>
                  <w:marBottom w:val="0"/>
                  <w:divBdr>
                    <w:top w:val="none" w:sz="0" w:space="0" w:color="auto"/>
                    <w:left w:val="none" w:sz="0" w:space="0" w:color="auto"/>
                    <w:bottom w:val="none" w:sz="0" w:space="0" w:color="auto"/>
                    <w:right w:val="none" w:sz="0" w:space="0" w:color="auto"/>
                  </w:divBdr>
                </w:div>
                <w:div w:id="294139929">
                  <w:marLeft w:val="0"/>
                  <w:marRight w:val="0"/>
                  <w:marTop w:val="0"/>
                  <w:marBottom w:val="0"/>
                  <w:divBdr>
                    <w:top w:val="none" w:sz="0" w:space="0" w:color="auto"/>
                    <w:left w:val="none" w:sz="0" w:space="0" w:color="auto"/>
                    <w:bottom w:val="none" w:sz="0" w:space="0" w:color="auto"/>
                    <w:right w:val="none" w:sz="0" w:space="0" w:color="auto"/>
                  </w:divBdr>
                </w:div>
                <w:div w:id="294140054">
                  <w:marLeft w:val="0"/>
                  <w:marRight w:val="0"/>
                  <w:marTop w:val="0"/>
                  <w:marBottom w:val="0"/>
                  <w:divBdr>
                    <w:top w:val="none" w:sz="0" w:space="0" w:color="auto"/>
                    <w:left w:val="none" w:sz="0" w:space="0" w:color="auto"/>
                    <w:bottom w:val="none" w:sz="0" w:space="0" w:color="auto"/>
                    <w:right w:val="none" w:sz="0" w:space="0" w:color="auto"/>
                  </w:divBdr>
                </w:div>
                <w:div w:id="294140317">
                  <w:marLeft w:val="0"/>
                  <w:marRight w:val="0"/>
                  <w:marTop w:val="0"/>
                  <w:marBottom w:val="0"/>
                  <w:divBdr>
                    <w:top w:val="none" w:sz="0" w:space="0" w:color="auto"/>
                    <w:left w:val="none" w:sz="0" w:space="0" w:color="auto"/>
                    <w:bottom w:val="none" w:sz="0" w:space="0" w:color="auto"/>
                    <w:right w:val="none" w:sz="0" w:space="0" w:color="auto"/>
                  </w:divBdr>
                </w:div>
                <w:div w:id="294140345">
                  <w:marLeft w:val="0"/>
                  <w:marRight w:val="0"/>
                  <w:marTop w:val="0"/>
                  <w:marBottom w:val="0"/>
                  <w:divBdr>
                    <w:top w:val="none" w:sz="0" w:space="0" w:color="auto"/>
                    <w:left w:val="none" w:sz="0" w:space="0" w:color="auto"/>
                    <w:bottom w:val="none" w:sz="0" w:space="0" w:color="auto"/>
                    <w:right w:val="none" w:sz="0" w:space="0" w:color="auto"/>
                  </w:divBdr>
                </w:div>
                <w:div w:id="294140378">
                  <w:marLeft w:val="0"/>
                  <w:marRight w:val="0"/>
                  <w:marTop w:val="0"/>
                  <w:marBottom w:val="0"/>
                  <w:divBdr>
                    <w:top w:val="none" w:sz="0" w:space="0" w:color="auto"/>
                    <w:left w:val="none" w:sz="0" w:space="0" w:color="auto"/>
                    <w:bottom w:val="none" w:sz="0" w:space="0" w:color="auto"/>
                    <w:right w:val="none" w:sz="0" w:space="0" w:color="auto"/>
                  </w:divBdr>
                </w:div>
                <w:div w:id="294140653">
                  <w:marLeft w:val="0"/>
                  <w:marRight w:val="0"/>
                  <w:marTop w:val="0"/>
                  <w:marBottom w:val="0"/>
                  <w:divBdr>
                    <w:top w:val="none" w:sz="0" w:space="0" w:color="auto"/>
                    <w:left w:val="none" w:sz="0" w:space="0" w:color="auto"/>
                    <w:bottom w:val="none" w:sz="0" w:space="0" w:color="auto"/>
                    <w:right w:val="none" w:sz="0" w:space="0" w:color="auto"/>
                  </w:divBdr>
                </w:div>
                <w:div w:id="294140813">
                  <w:marLeft w:val="0"/>
                  <w:marRight w:val="0"/>
                  <w:marTop w:val="0"/>
                  <w:marBottom w:val="0"/>
                  <w:divBdr>
                    <w:top w:val="none" w:sz="0" w:space="0" w:color="auto"/>
                    <w:left w:val="none" w:sz="0" w:space="0" w:color="auto"/>
                    <w:bottom w:val="none" w:sz="0" w:space="0" w:color="auto"/>
                    <w:right w:val="none" w:sz="0" w:space="0" w:color="auto"/>
                  </w:divBdr>
                </w:div>
                <w:div w:id="294141643">
                  <w:marLeft w:val="0"/>
                  <w:marRight w:val="0"/>
                  <w:marTop w:val="0"/>
                  <w:marBottom w:val="0"/>
                  <w:divBdr>
                    <w:top w:val="none" w:sz="0" w:space="0" w:color="auto"/>
                    <w:left w:val="none" w:sz="0" w:space="0" w:color="auto"/>
                    <w:bottom w:val="none" w:sz="0" w:space="0" w:color="auto"/>
                    <w:right w:val="none" w:sz="0" w:space="0" w:color="auto"/>
                  </w:divBdr>
                </w:div>
                <w:div w:id="294141688">
                  <w:marLeft w:val="0"/>
                  <w:marRight w:val="0"/>
                  <w:marTop w:val="0"/>
                  <w:marBottom w:val="0"/>
                  <w:divBdr>
                    <w:top w:val="none" w:sz="0" w:space="0" w:color="auto"/>
                    <w:left w:val="none" w:sz="0" w:space="0" w:color="auto"/>
                    <w:bottom w:val="none" w:sz="0" w:space="0" w:color="auto"/>
                    <w:right w:val="none" w:sz="0" w:space="0" w:color="auto"/>
                  </w:divBdr>
                </w:div>
                <w:div w:id="294141899">
                  <w:marLeft w:val="0"/>
                  <w:marRight w:val="0"/>
                  <w:marTop w:val="0"/>
                  <w:marBottom w:val="0"/>
                  <w:divBdr>
                    <w:top w:val="none" w:sz="0" w:space="0" w:color="auto"/>
                    <w:left w:val="none" w:sz="0" w:space="0" w:color="auto"/>
                    <w:bottom w:val="none" w:sz="0" w:space="0" w:color="auto"/>
                    <w:right w:val="none" w:sz="0" w:space="0" w:color="auto"/>
                  </w:divBdr>
                </w:div>
                <w:div w:id="294141942">
                  <w:marLeft w:val="0"/>
                  <w:marRight w:val="0"/>
                  <w:marTop w:val="0"/>
                  <w:marBottom w:val="0"/>
                  <w:divBdr>
                    <w:top w:val="none" w:sz="0" w:space="0" w:color="auto"/>
                    <w:left w:val="none" w:sz="0" w:space="0" w:color="auto"/>
                    <w:bottom w:val="none" w:sz="0" w:space="0" w:color="auto"/>
                    <w:right w:val="none" w:sz="0" w:space="0" w:color="auto"/>
                  </w:divBdr>
                </w:div>
                <w:div w:id="294142110">
                  <w:marLeft w:val="0"/>
                  <w:marRight w:val="0"/>
                  <w:marTop w:val="0"/>
                  <w:marBottom w:val="0"/>
                  <w:divBdr>
                    <w:top w:val="none" w:sz="0" w:space="0" w:color="auto"/>
                    <w:left w:val="none" w:sz="0" w:space="0" w:color="auto"/>
                    <w:bottom w:val="none" w:sz="0" w:space="0" w:color="auto"/>
                    <w:right w:val="none" w:sz="0" w:space="0" w:color="auto"/>
                  </w:divBdr>
                </w:div>
                <w:div w:id="294142145">
                  <w:marLeft w:val="0"/>
                  <w:marRight w:val="0"/>
                  <w:marTop w:val="0"/>
                  <w:marBottom w:val="0"/>
                  <w:divBdr>
                    <w:top w:val="none" w:sz="0" w:space="0" w:color="auto"/>
                    <w:left w:val="none" w:sz="0" w:space="0" w:color="auto"/>
                    <w:bottom w:val="none" w:sz="0" w:space="0" w:color="auto"/>
                    <w:right w:val="none" w:sz="0" w:space="0" w:color="auto"/>
                  </w:divBdr>
                </w:div>
                <w:div w:id="294142244">
                  <w:marLeft w:val="0"/>
                  <w:marRight w:val="0"/>
                  <w:marTop w:val="0"/>
                  <w:marBottom w:val="0"/>
                  <w:divBdr>
                    <w:top w:val="none" w:sz="0" w:space="0" w:color="auto"/>
                    <w:left w:val="none" w:sz="0" w:space="0" w:color="auto"/>
                    <w:bottom w:val="none" w:sz="0" w:space="0" w:color="auto"/>
                    <w:right w:val="none" w:sz="0" w:space="0" w:color="auto"/>
                  </w:divBdr>
                </w:div>
                <w:div w:id="294142334">
                  <w:marLeft w:val="0"/>
                  <w:marRight w:val="0"/>
                  <w:marTop w:val="0"/>
                  <w:marBottom w:val="0"/>
                  <w:divBdr>
                    <w:top w:val="none" w:sz="0" w:space="0" w:color="auto"/>
                    <w:left w:val="none" w:sz="0" w:space="0" w:color="auto"/>
                    <w:bottom w:val="none" w:sz="0" w:space="0" w:color="auto"/>
                    <w:right w:val="none" w:sz="0" w:space="0" w:color="auto"/>
                  </w:divBdr>
                </w:div>
                <w:div w:id="294142442">
                  <w:marLeft w:val="0"/>
                  <w:marRight w:val="0"/>
                  <w:marTop w:val="0"/>
                  <w:marBottom w:val="0"/>
                  <w:divBdr>
                    <w:top w:val="none" w:sz="0" w:space="0" w:color="auto"/>
                    <w:left w:val="none" w:sz="0" w:space="0" w:color="auto"/>
                    <w:bottom w:val="none" w:sz="0" w:space="0" w:color="auto"/>
                    <w:right w:val="none" w:sz="0" w:space="0" w:color="auto"/>
                  </w:divBdr>
                </w:div>
                <w:div w:id="294142476">
                  <w:marLeft w:val="0"/>
                  <w:marRight w:val="0"/>
                  <w:marTop w:val="0"/>
                  <w:marBottom w:val="0"/>
                  <w:divBdr>
                    <w:top w:val="none" w:sz="0" w:space="0" w:color="auto"/>
                    <w:left w:val="none" w:sz="0" w:space="0" w:color="auto"/>
                    <w:bottom w:val="none" w:sz="0" w:space="0" w:color="auto"/>
                    <w:right w:val="none" w:sz="0" w:space="0" w:color="auto"/>
                  </w:divBdr>
                </w:div>
                <w:div w:id="294142652">
                  <w:marLeft w:val="0"/>
                  <w:marRight w:val="0"/>
                  <w:marTop w:val="0"/>
                  <w:marBottom w:val="0"/>
                  <w:divBdr>
                    <w:top w:val="none" w:sz="0" w:space="0" w:color="auto"/>
                    <w:left w:val="none" w:sz="0" w:space="0" w:color="auto"/>
                    <w:bottom w:val="none" w:sz="0" w:space="0" w:color="auto"/>
                    <w:right w:val="none" w:sz="0" w:space="0" w:color="auto"/>
                  </w:divBdr>
                </w:div>
                <w:div w:id="294142710">
                  <w:marLeft w:val="0"/>
                  <w:marRight w:val="0"/>
                  <w:marTop w:val="0"/>
                  <w:marBottom w:val="0"/>
                  <w:divBdr>
                    <w:top w:val="none" w:sz="0" w:space="0" w:color="auto"/>
                    <w:left w:val="none" w:sz="0" w:space="0" w:color="auto"/>
                    <w:bottom w:val="none" w:sz="0" w:space="0" w:color="auto"/>
                    <w:right w:val="none" w:sz="0" w:space="0" w:color="auto"/>
                  </w:divBdr>
                </w:div>
                <w:div w:id="294142737">
                  <w:marLeft w:val="0"/>
                  <w:marRight w:val="0"/>
                  <w:marTop w:val="0"/>
                  <w:marBottom w:val="0"/>
                  <w:divBdr>
                    <w:top w:val="none" w:sz="0" w:space="0" w:color="auto"/>
                    <w:left w:val="none" w:sz="0" w:space="0" w:color="auto"/>
                    <w:bottom w:val="none" w:sz="0" w:space="0" w:color="auto"/>
                    <w:right w:val="none" w:sz="0" w:space="0" w:color="auto"/>
                  </w:divBdr>
                </w:div>
                <w:div w:id="294143007">
                  <w:marLeft w:val="0"/>
                  <w:marRight w:val="0"/>
                  <w:marTop w:val="0"/>
                  <w:marBottom w:val="0"/>
                  <w:divBdr>
                    <w:top w:val="none" w:sz="0" w:space="0" w:color="auto"/>
                    <w:left w:val="none" w:sz="0" w:space="0" w:color="auto"/>
                    <w:bottom w:val="none" w:sz="0" w:space="0" w:color="auto"/>
                    <w:right w:val="none" w:sz="0" w:space="0" w:color="auto"/>
                  </w:divBdr>
                </w:div>
                <w:div w:id="294143332">
                  <w:marLeft w:val="0"/>
                  <w:marRight w:val="0"/>
                  <w:marTop w:val="0"/>
                  <w:marBottom w:val="0"/>
                  <w:divBdr>
                    <w:top w:val="none" w:sz="0" w:space="0" w:color="auto"/>
                    <w:left w:val="none" w:sz="0" w:space="0" w:color="auto"/>
                    <w:bottom w:val="none" w:sz="0" w:space="0" w:color="auto"/>
                    <w:right w:val="none" w:sz="0" w:space="0" w:color="auto"/>
                  </w:divBdr>
                </w:div>
                <w:div w:id="294143352">
                  <w:marLeft w:val="0"/>
                  <w:marRight w:val="0"/>
                  <w:marTop w:val="0"/>
                  <w:marBottom w:val="0"/>
                  <w:divBdr>
                    <w:top w:val="none" w:sz="0" w:space="0" w:color="auto"/>
                    <w:left w:val="none" w:sz="0" w:space="0" w:color="auto"/>
                    <w:bottom w:val="none" w:sz="0" w:space="0" w:color="auto"/>
                    <w:right w:val="none" w:sz="0" w:space="0" w:color="auto"/>
                  </w:divBdr>
                </w:div>
                <w:div w:id="294143491">
                  <w:marLeft w:val="0"/>
                  <w:marRight w:val="0"/>
                  <w:marTop w:val="0"/>
                  <w:marBottom w:val="0"/>
                  <w:divBdr>
                    <w:top w:val="none" w:sz="0" w:space="0" w:color="auto"/>
                    <w:left w:val="none" w:sz="0" w:space="0" w:color="auto"/>
                    <w:bottom w:val="none" w:sz="0" w:space="0" w:color="auto"/>
                    <w:right w:val="none" w:sz="0" w:space="0" w:color="auto"/>
                  </w:divBdr>
                </w:div>
                <w:div w:id="294143624">
                  <w:marLeft w:val="0"/>
                  <w:marRight w:val="0"/>
                  <w:marTop w:val="0"/>
                  <w:marBottom w:val="0"/>
                  <w:divBdr>
                    <w:top w:val="none" w:sz="0" w:space="0" w:color="auto"/>
                    <w:left w:val="none" w:sz="0" w:space="0" w:color="auto"/>
                    <w:bottom w:val="none" w:sz="0" w:space="0" w:color="auto"/>
                    <w:right w:val="none" w:sz="0" w:space="0" w:color="auto"/>
                  </w:divBdr>
                </w:div>
                <w:div w:id="294143661">
                  <w:marLeft w:val="0"/>
                  <w:marRight w:val="0"/>
                  <w:marTop w:val="0"/>
                  <w:marBottom w:val="0"/>
                  <w:divBdr>
                    <w:top w:val="none" w:sz="0" w:space="0" w:color="auto"/>
                    <w:left w:val="none" w:sz="0" w:space="0" w:color="auto"/>
                    <w:bottom w:val="none" w:sz="0" w:space="0" w:color="auto"/>
                    <w:right w:val="none" w:sz="0" w:space="0" w:color="auto"/>
                  </w:divBdr>
                </w:div>
                <w:div w:id="294143706">
                  <w:marLeft w:val="0"/>
                  <w:marRight w:val="0"/>
                  <w:marTop w:val="0"/>
                  <w:marBottom w:val="0"/>
                  <w:divBdr>
                    <w:top w:val="none" w:sz="0" w:space="0" w:color="auto"/>
                    <w:left w:val="none" w:sz="0" w:space="0" w:color="auto"/>
                    <w:bottom w:val="none" w:sz="0" w:space="0" w:color="auto"/>
                    <w:right w:val="none" w:sz="0" w:space="0" w:color="auto"/>
                  </w:divBdr>
                </w:div>
                <w:div w:id="294143954">
                  <w:marLeft w:val="0"/>
                  <w:marRight w:val="0"/>
                  <w:marTop w:val="0"/>
                  <w:marBottom w:val="0"/>
                  <w:divBdr>
                    <w:top w:val="none" w:sz="0" w:space="0" w:color="auto"/>
                    <w:left w:val="none" w:sz="0" w:space="0" w:color="auto"/>
                    <w:bottom w:val="none" w:sz="0" w:space="0" w:color="auto"/>
                    <w:right w:val="none" w:sz="0" w:space="0" w:color="auto"/>
                  </w:divBdr>
                </w:div>
                <w:div w:id="294144026">
                  <w:marLeft w:val="0"/>
                  <w:marRight w:val="0"/>
                  <w:marTop w:val="0"/>
                  <w:marBottom w:val="0"/>
                  <w:divBdr>
                    <w:top w:val="none" w:sz="0" w:space="0" w:color="auto"/>
                    <w:left w:val="none" w:sz="0" w:space="0" w:color="auto"/>
                    <w:bottom w:val="none" w:sz="0" w:space="0" w:color="auto"/>
                    <w:right w:val="none" w:sz="0" w:space="0" w:color="auto"/>
                  </w:divBdr>
                </w:div>
                <w:div w:id="294144620">
                  <w:marLeft w:val="0"/>
                  <w:marRight w:val="0"/>
                  <w:marTop w:val="0"/>
                  <w:marBottom w:val="0"/>
                  <w:divBdr>
                    <w:top w:val="none" w:sz="0" w:space="0" w:color="auto"/>
                    <w:left w:val="none" w:sz="0" w:space="0" w:color="auto"/>
                    <w:bottom w:val="none" w:sz="0" w:space="0" w:color="auto"/>
                    <w:right w:val="none" w:sz="0" w:space="0" w:color="auto"/>
                  </w:divBdr>
                </w:div>
                <w:div w:id="294144770">
                  <w:marLeft w:val="0"/>
                  <w:marRight w:val="0"/>
                  <w:marTop w:val="0"/>
                  <w:marBottom w:val="0"/>
                  <w:divBdr>
                    <w:top w:val="none" w:sz="0" w:space="0" w:color="auto"/>
                    <w:left w:val="none" w:sz="0" w:space="0" w:color="auto"/>
                    <w:bottom w:val="none" w:sz="0" w:space="0" w:color="auto"/>
                    <w:right w:val="none" w:sz="0" w:space="0" w:color="auto"/>
                  </w:divBdr>
                </w:div>
                <w:div w:id="294144796">
                  <w:marLeft w:val="0"/>
                  <w:marRight w:val="0"/>
                  <w:marTop w:val="0"/>
                  <w:marBottom w:val="0"/>
                  <w:divBdr>
                    <w:top w:val="none" w:sz="0" w:space="0" w:color="auto"/>
                    <w:left w:val="none" w:sz="0" w:space="0" w:color="auto"/>
                    <w:bottom w:val="none" w:sz="0" w:space="0" w:color="auto"/>
                    <w:right w:val="none" w:sz="0" w:space="0" w:color="auto"/>
                  </w:divBdr>
                </w:div>
                <w:div w:id="294144953">
                  <w:marLeft w:val="0"/>
                  <w:marRight w:val="0"/>
                  <w:marTop w:val="0"/>
                  <w:marBottom w:val="0"/>
                  <w:divBdr>
                    <w:top w:val="none" w:sz="0" w:space="0" w:color="auto"/>
                    <w:left w:val="none" w:sz="0" w:space="0" w:color="auto"/>
                    <w:bottom w:val="none" w:sz="0" w:space="0" w:color="auto"/>
                    <w:right w:val="none" w:sz="0" w:space="0" w:color="auto"/>
                  </w:divBdr>
                </w:div>
                <w:div w:id="294145035">
                  <w:marLeft w:val="0"/>
                  <w:marRight w:val="0"/>
                  <w:marTop w:val="0"/>
                  <w:marBottom w:val="0"/>
                  <w:divBdr>
                    <w:top w:val="none" w:sz="0" w:space="0" w:color="auto"/>
                    <w:left w:val="none" w:sz="0" w:space="0" w:color="auto"/>
                    <w:bottom w:val="none" w:sz="0" w:space="0" w:color="auto"/>
                    <w:right w:val="none" w:sz="0" w:space="0" w:color="auto"/>
                  </w:divBdr>
                </w:div>
                <w:div w:id="294145036">
                  <w:marLeft w:val="0"/>
                  <w:marRight w:val="0"/>
                  <w:marTop w:val="0"/>
                  <w:marBottom w:val="0"/>
                  <w:divBdr>
                    <w:top w:val="none" w:sz="0" w:space="0" w:color="auto"/>
                    <w:left w:val="none" w:sz="0" w:space="0" w:color="auto"/>
                    <w:bottom w:val="none" w:sz="0" w:space="0" w:color="auto"/>
                    <w:right w:val="none" w:sz="0" w:space="0" w:color="auto"/>
                  </w:divBdr>
                </w:div>
                <w:div w:id="294145218">
                  <w:marLeft w:val="0"/>
                  <w:marRight w:val="0"/>
                  <w:marTop w:val="0"/>
                  <w:marBottom w:val="0"/>
                  <w:divBdr>
                    <w:top w:val="none" w:sz="0" w:space="0" w:color="auto"/>
                    <w:left w:val="none" w:sz="0" w:space="0" w:color="auto"/>
                    <w:bottom w:val="none" w:sz="0" w:space="0" w:color="auto"/>
                    <w:right w:val="none" w:sz="0" w:space="0" w:color="auto"/>
                  </w:divBdr>
                </w:div>
                <w:div w:id="294145391">
                  <w:marLeft w:val="0"/>
                  <w:marRight w:val="0"/>
                  <w:marTop w:val="0"/>
                  <w:marBottom w:val="0"/>
                  <w:divBdr>
                    <w:top w:val="none" w:sz="0" w:space="0" w:color="auto"/>
                    <w:left w:val="none" w:sz="0" w:space="0" w:color="auto"/>
                    <w:bottom w:val="none" w:sz="0" w:space="0" w:color="auto"/>
                    <w:right w:val="none" w:sz="0" w:space="0" w:color="auto"/>
                  </w:divBdr>
                </w:div>
                <w:div w:id="294145552">
                  <w:marLeft w:val="0"/>
                  <w:marRight w:val="0"/>
                  <w:marTop w:val="0"/>
                  <w:marBottom w:val="0"/>
                  <w:divBdr>
                    <w:top w:val="none" w:sz="0" w:space="0" w:color="auto"/>
                    <w:left w:val="none" w:sz="0" w:space="0" w:color="auto"/>
                    <w:bottom w:val="none" w:sz="0" w:space="0" w:color="auto"/>
                    <w:right w:val="none" w:sz="0" w:space="0" w:color="auto"/>
                  </w:divBdr>
                </w:div>
                <w:div w:id="294145698">
                  <w:marLeft w:val="0"/>
                  <w:marRight w:val="0"/>
                  <w:marTop w:val="0"/>
                  <w:marBottom w:val="0"/>
                  <w:divBdr>
                    <w:top w:val="none" w:sz="0" w:space="0" w:color="auto"/>
                    <w:left w:val="none" w:sz="0" w:space="0" w:color="auto"/>
                    <w:bottom w:val="none" w:sz="0" w:space="0" w:color="auto"/>
                    <w:right w:val="none" w:sz="0" w:space="0" w:color="auto"/>
                  </w:divBdr>
                </w:div>
                <w:div w:id="294145830">
                  <w:marLeft w:val="0"/>
                  <w:marRight w:val="0"/>
                  <w:marTop w:val="0"/>
                  <w:marBottom w:val="0"/>
                  <w:divBdr>
                    <w:top w:val="none" w:sz="0" w:space="0" w:color="auto"/>
                    <w:left w:val="none" w:sz="0" w:space="0" w:color="auto"/>
                    <w:bottom w:val="none" w:sz="0" w:space="0" w:color="auto"/>
                    <w:right w:val="none" w:sz="0" w:space="0" w:color="auto"/>
                  </w:divBdr>
                </w:div>
                <w:div w:id="294145894">
                  <w:marLeft w:val="0"/>
                  <w:marRight w:val="0"/>
                  <w:marTop w:val="0"/>
                  <w:marBottom w:val="0"/>
                  <w:divBdr>
                    <w:top w:val="none" w:sz="0" w:space="0" w:color="auto"/>
                    <w:left w:val="none" w:sz="0" w:space="0" w:color="auto"/>
                    <w:bottom w:val="none" w:sz="0" w:space="0" w:color="auto"/>
                    <w:right w:val="none" w:sz="0" w:space="0" w:color="auto"/>
                  </w:divBdr>
                </w:div>
                <w:div w:id="294145948">
                  <w:marLeft w:val="0"/>
                  <w:marRight w:val="0"/>
                  <w:marTop w:val="0"/>
                  <w:marBottom w:val="0"/>
                  <w:divBdr>
                    <w:top w:val="none" w:sz="0" w:space="0" w:color="auto"/>
                    <w:left w:val="none" w:sz="0" w:space="0" w:color="auto"/>
                    <w:bottom w:val="none" w:sz="0" w:space="0" w:color="auto"/>
                    <w:right w:val="none" w:sz="0" w:space="0" w:color="auto"/>
                  </w:divBdr>
                </w:div>
                <w:div w:id="294146300">
                  <w:marLeft w:val="0"/>
                  <w:marRight w:val="0"/>
                  <w:marTop w:val="0"/>
                  <w:marBottom w:val="0"/>
                  <w:divBdr>
                    <w:top w:val="none" w:sz="0" w:space="0" w:color="auto"/>
                    <w:left w:val="none" w:sz="0" w:space="0" w:color="auto"/>
                    <w:bottom w:val="none" w:sz="0" w:space="0" w:color="auto"/>
                    <w:right w:val="none" w:sz="0" w:space="0" w:color="auto"/>
                  </w:divBdr>
                </w:div>
                <w:div w:id="294146386">
                  <w:marLeft w:val="0"/>
                  <w:marRight w:val="0"/>
                  <w:marTop w:val="0"/>
                  <w:marBottom w:val="0"/>
                  <w:divBdr>
                    <w:top w:val="none" w:sz="0" w:space="0" w:color="auto"/>
                    <w:left w:val="none" w:sz="0" w:space="0" w:color="auto"/>
                    <w:bottom w:val="none" w:sz="0" w:space="0" w:color="auto"/>
                    <w:right w:val="none" w:sz="0" w:space="0" w:color="auto"/>
                  </w:divBdr>
                </w:div>
                <w:div w:id="294146439">
                  <w:marLeft w:val="0"/>
                  <w:marRight w:val="0"/>
                  <w:marTop w:val="0"/>
                  <w:marBottom w:val="0"/>
                  <w:divBdr>
                    <w:top w:val="none" w:sz="0" w:space="0" w:color="auto"/>
                    <w:left w:val="none" w:sz="0" w:space="0" w:color="auto"/>
                    <w:bottom w:val="none" w:sz="0" w:space="0" w:color="auto"/>
                    <w:right w:val="none" w:sz="0" w:space="0" w:color="auto"/>
                  </w:divBdr>
                </w:div>
                <w:div w:id="294146482">
                  <w:marLeft w:val="0"/>
                  <w:marRight w:val="0"/>
                  <w:marTop w:val="0"/>
                  <w:marBottom w:val="0"/>
                  <w:divBdr>
                    <w:top w:val="none" w:sz="0" w:space="0" w:color="auto"/>
                    <w:left w:val="none" w:sz="0" w:space="0" w:color="auto"/>
                    <w:bottom w:val="none" w:sz="0" w:space="0" w:color="auto"/>
                    <w:right w:val="none" w:sz="0" w:space="0" w:color="auto"/>
                  </w:divBdr>
                </w:div>
                <w:div w:id="294146676">
                  <w:marLeft w:val="0"/>
                  <w:marRight w:val="0"/>
                  <w:marTop w:val="0"/>
                  <w:marBottom w:val="0"/>
                  <w:divBdr>
                    <w:top w:val="none" w:sz="0" w:space="0" w:color="auto"/>
                    <w:left w:val="none" w:sz="0" w:space="0" w:color="auto"/>
                    <w:bottom w:val="none" w:sz="0" w:space="0" w:color="auto"/>
                    <w:right w:val="none" w:sz="0" w:space="0" w:color="auto"/>
                  </w:divBdr>
                </w:div>
                <w:div w:id="294146692">
                  <w:marLeft w:val="0"/>
                  <w:marRight w:val="0"/>
                  <w:marTop w:val="0"/>
                  <w:marBottom w:val="0"/>
                  <w:divBdr>
                    <w:top w:val="none" w:sz="0" w:space="0" w:color="auto"/>
                    <w:left w:val="none" w:sz="0" w:space="0" w:color="auto"/>
                    <w:bottom w:val="none" w:sz="0" w:space="0" w:color="auto"/>
                    <w:right w:val="none" w:sz="0" w:space="0" w:color="auto"/>
                  </w:divBdr>
                </w:div>
                <w:div w:id="294146858">
                  <w:marLeft w:val="0"/>
                  <w:marRight w:val="0"/>
                  <w:marTop w:val="0"/>
                  <w:marBottom w:val="0"/>
                  <w:divBdr>
                    <w:top w:val="none" w:sz="0" w:space="0" w:color="auto"/>
                    <w:left w:val="none" w:sz="0" w:space="0" w:color="auto"/>
                    <w:bottom w:val="none" w:sz="0" w:space="0" w:color="auto"/>
                    <w:right w:val="none" w:sz="0" w:space="0" w:color="auto"/>
                  </w:divBdr>
                </w:div>
                <w:div w:id="294146969">
                  <w:marLeft w:val="0"/>
                  <w:marRight w:val="0"/>
                  <w:marTop w:val="0"/>
                  <w:marBottom w:val="0"/>
                  <w:divBdr>
                    <w:top w:val="none" w:sz="0" w:space="0" w:color="auto"/>
                    <w:left w:val="none" w:sz="0" w:space="0" w:color="auto"/>
                    <w:bottom w:val="none" w:sz="0" w:space="0" w:color="auto"/>
                    <w:right w:val="none" w:sz="0" w:space="0" w:color="auto"/>
                  </w:divBdr>
                </w:div>
                <w:div w:id="294147045">
                  <w:marLeft w:val="0"/>
                  <w:marRight w:val="0"/>
                  <w:marTop w:val="0"/>
                  <w:marBottom w:val="0"/>
                  <w:divBdr>
                    <w:top w:val="none" w:sz="0" w:space="0" w:color="auto"/>
                    <w:left w:val="none" w:sz="0" w:space="0" w:color="auto"/>
                    <w:bottom w:val="none" w:sz="0" w:space="0" w:color="auto"/>
                    <w:right w:val="none" w:sz="0" w:space="0" w:color="auto"/>
                  </w:divBdr>
                </w:div>
                <w:div w:id="294147181">
                  <w:marLeft w:val="0"/>
                  <w:marRight w:val="0"/>
                  <w:marTop w:val="0"/>
                  <w:marBottom w:val="0"/>
                  <w:divBdr>
                    <w:top w:val="none" w:sz="0" w:space="0" w:color="auto"/>
                    <w:left w:val="none" w:sz="0" w:space="0" w:color="auto"/>
                    <w:bottom w:val="none" w:sz="0" w:space="0" w:color="auto"/>
                    <w:right w:val="none" w:sz="0" w:space="0" w:color="auto"/>
                  </w:divBdr>
                </w:div>
                <w:div w:id="294147607">
                  <w:marLeft w:val="0"/>
                  <w:marRight w:val="0"/>
                  <w:marTop w:val="0"/>
                  <w:marBottom w:val="0"/>
                  <w:divBdr>
                    <w:top w:val="none" w:sz="0" w:space="0" w:color="auto"/>
                    <w:left w:val="none" w:sz="0" w:space="0" w:color="auto"/>
                    <w:bottom w:val="none" w:sz="0" w:space="0" w:color="auto"/>
                    <w:right w:val="none" w:sz="0" w:space="0" w:color="auto"/>
                  </w:divBdr>
                </w:div>
                <w:div w:id="294147696">
                  <w:marLeft w:val="0"/>
                  <w:marRight w:val="0"/>
                  <w:marTop w:val="0"/>
                  <w:marBottom w:val="0"/>
                  <w:divBdr>
                    <w:top w:val="none" w:sz="0" w:space="0" w:color="auto"/>
                    <w:left w:val="none" w:sz="0" w:space="0" w:color="auto"/>
                    <w:bottom w:val="none" w:sz="0" w:space="0" w:color="auto"/>
                    <w:right w:val="none" w:sz="0" w:space="0" w:color="auto"/>
                  </w:divBdr>
                </w:div>
                <w:div w:id="294147783">
                  <w:marLeft w:val="0"/>
                  <w:marRight w:val="0"/>
                  <w:marTop w:val="0"/>
                  <w:marBottom w:val="0"/>
                  <w:divBdr>
                    <w:top w:val="none" w:sz="0" w:space="0" w:color="auto"/>
                    <w:left w:val="none" w:sz="0" w:space="0" w:color="auto"/>
                    <w:bottom w:val="none" w:sz="0" w:space="0" w:color="auto"/>
                    <w:right w:val="none" w:sz="0" w:space="0" w:color="auto"/>
                  </w:divBdr>
                </w:div>
                <w:div w:id="294147828">
                  <w:marLeft w:val="0"/>
                  <w:marRight w:val="0"/>
                  <w:marTop w:val="0"/>
                  <w:marBottom w:val="0"/>
                  <w:divBdr>
                    <w:top w:val="none" w:sz="0" w:space="0" w:color="auto"/>
                    <w:left w:val="none" w:sz="0" w:space="0" w:color="auto"/>
                    <w:bottom w:val="none" w:sz="0" w:space="0" w:color="auto"/>
                    <w:right w:val="none" w:sz="0" w:space="0" w:color="auto"/>
                  </w:divBdr>
                </w:div>
                <w:div w:id="294147942">
                  <w:marLeft w:val="0"/>
                  <w:marRight w:val="0"/>
                  <w:marTop w:val="0"/>
                  <w:marBottom w:val="0"/>
                  <w:divBdr>
                    <w:top w:val="none" w:sz="0" w:space="0" w:color="auto"/>
                    <w:left w:val="none" w:sz="0" w:space="0" w:color="auto"/>
                    <w:bottom w:val="none" w:sz="0" w:space="0" w:color="auto"/>
                    <w:right w:val="none" w:sz="0" w:space="0" w:color="auto"/>
                  </w:divBdr>
                </w:div>
                <w:div w:id="294148510">
                  <w:marLeft w:val="0"/>
                  <w:marRight w:val="0"/>
                  <w:marTop w:val="0"/>
                  <w:marBottom w:val="0"/>
                  <w:divBdr>
                    <w:top w:val="none" w:sz="0" w:space="0" w:color="auto"/>
                    <w:left w:val="none" w:sz="0" w:space="0" w:color="auto"/>
                    <w:bottom w:val="none" w:sz="0" w:space="0" w:color="auto"/>
                    <w:right w:val="none" w:sz="0" w:space="0" w:color="auto"/>
                  </w:divBdr>
                </w:div>
                <w:div w:id="294148577">
                  <w:marLeft w:val="0"/>
                  <w:marRight w:val="0"/>
                  <w:marTop w:val="0"/>
                  <w:marBottom w:val="0"/>
                  <w:divBdr>
                    <w:top w:val="none" w:sz="0" w:space="0" w:color="auto"/>
                    <w:left w:val="none" w:sz="0" w:space="0" w:color="auto"/>
                    <w:bottom w:val="none" w:sz="0" w:space="0" w:color="auto"/>
                    <w:right w:val="none" w:sz="0" w:space="0" w:color="auto"/>
                  </w:divBdr>
                </w:div>
                <w:div w:id="294148633">
                  <w:marLeft w:val="0"/>
                  <w:marRight w:val="0"/>
                  <w:marTop w:val="0"/>
                  <w:marBottom w:val="0"/>
                  <w:divBdr>
                    <w:top w:val="none" w:sz="0" w:space="0" w:color="auto"/>
                    <w:left w:val="none" w:sz="0" w:space="0" w:color="auto"/>
                    <w:bottom w:val="none" w:sz="0" w:space="0" w:color="auto"/>
                    <w:right w:val="none" w:sz="0" w:space="0" w:color="auto"/>
                  </w:divBdr>
                </w:div>
                <w:div w:id="294148649">
                  <w:marLeft w:val="0"/>
                  <w:marRight w:val="0"/>
                  <w:marTop w:val="0"/>
                  <w:marBottom w:val="0"/>
                  <w:divBdr>
                    <w:top w:val="none" w:sz="0" w:space="0" w:color="auto"/>
                    <w:left w:val="none" w:sz="0" w:space="0" w:color="auto"/>
                    <w:bottom w:val="none" w:sz="0" w:space="0" w:color="auto"/>
                    <w:right w:val="none" w:sz="0" w:space="0" w:color="auto"/>
                  </w:divBdr>
                </w:div>
                <w:div w:id="294149156">
                  <w:marLeft w:val="0"/>
                  <w:marRight w:val="0"/>
                  <w:marTop w:val="0"/>
                  <w:marBottom w:val="0"/>
                  <w:divBdr>
                    <w:top w:val="none" w:sz="0" w:space="0" w:color="auto"/>
                    <w:left w:val="none" w:sz="0" w:space="0" w:color="auto"/>
                    <w:bottom w:val="none" w:sz="0" w:space="0" w:color="auto"/>
                    <w:right w:val="none" w:sz="0" w:space="0" w:color="auto"/>
                  </w:divBdr>
                </w:div>
                <w:div w:id="294149422">
                  <w:marLeft w:val="0"/>
                  <w:marRight w:val="0"/>
                  <w:marTop w:val="0"/>
                  <w:marBottom w:val="0"/>
                  <w:divBdr>
                    <w:top w:val="none" w:sz="0" w:space="0" w:color="auto"/>
                    <w:left w:val="none" w:sz="0" w:space="0" w:color="auto"/>
                    <w:bottom w:val="none" w:sz="0" w:space="0" w:color="auto"/>
                    <w:right w:val="none" w:sz="0" w:space="0" w:color="auto"/>
                  </w:divBdr>
                </w:div>
                <w:div w:id="294149601">
                  <w:marLeft w:val="0"/>
                  <w:marRight w:val="0"/>
                  <w:marTop w:val="0"/>
                  <w:marBottom w:val="0"/>
                  <w:divBdr>
                    <w:top w:val="none" w:sz="0" w:space="0" w:color="auto"/>
                    <w:left w:val="none" w:sz="0" w:space="0" w:color="auto"/>
                    <w:bottom w:val="none" w:sz="0" w:space="0" w:color="auto"/>
                    <w:right w:val="none" w:sz="0" w:space="0" w:color="auto"/>
                  </w:divBdr>
                </w:div>
                <w:div w:id="294149747">
                  <w:marLeft w:val="0"/>
                  <w:marRight w:val="0"/>
                  <w:marTop w:val="0"/>
                  <w:marBottom w:val="0"/>
                  <w:divBdr>
                    <w:top w:val="none" w:sz="0" w:space="0" w:color="auto"/>
                    <w:left w:val="none" w:sz="0" w:space="0" w:color="auto"/>
                    <w:bottom w:val="none" w:sz="0" w:space="0" w:color="auto"/>
                    <w:right w:val="none" w:sz="0" w:space="0" w:color="auto"/>
                  </w:divBdr>
                </w:div>
                <w:div w:id="294150353">
                  <w:marLeft w:val="0"/>
                  <w:marRight w:val="0"/>
                  <w:marTop w:val="0"/>
                  <w:marBottom w:val="0"/>
                  <w:divBdr>
                    <w:top w:val="none" w:sz="0" w:space="0" w:color="auto"/>
                    <w:left w:val="none" w:sz="0" w:space="0" w:color="auto"/>
                    <w:bottom w:val="none" w:sz="0" w:space="0" w:color="auto"/>
                    <w:right w:val="none" w:sz="0" w:space="0" w:color="auto"/>
                  </w:divBdr>
                </w:div>
                <w:div w:id="294150425">
                  <w:marLeft w:val="0"/>
                  <w:marRight w:val="0"/>
                  <w:marTop w:val="0"/>
                  <w:marBottom w:val="0"/>
                  <w:divBdr>
                    <w:top w:val="none" w:sz="0" w:space="0" w:color="auto"/>
                    <w:left w:val="none" w:sz="0" w:space="0" w:color="auto"/>
                    <w:bottom w:val="none" w:sz="0" w:space="0" w:color="auto"/>
                    <w:right w:val="none" w:sz="0" w:space="0" w:color="auto"/>
                  </w:divBdr>
                </w:div>
                <w:div w:id="294150643">
                  <w:marLeft w:val="0"/>
                  <w:marRight w:val="0"/>
                  <w:marTop w:val="0"/>
                  <w:marBottom w:val="0"/>
                  <w:divBdr>
                    <w:top w:val="none" w:sz="0" w:space="0" w:color="auto"/>
                    <w:left w:val="none" w:sz="0" w:space="0" w:color="auto"/>
                    <w:bottom w:val="none" w:sz="0" w:space="0" w:color="auto"/>
                    <w:right w:val="none" w:sz="0" w:space="0" w:color="auto"/>
                  </w:divBdr>
                </w:div>
                <w:div w:id="294150758">
                  <w:marLeft w:val="0"/>
                  <w:marRight w:val="0"/>
                  <w:marTop w:val="0"/>
                  <w:marBottom w:val="0"/>
                  <w:divBdr>
                    <w:top w:val="none" w:sz="0" w:space="0" w:color="auto"/>
                    <w:left w:val="none" w:sz="0" w:space="0" w:color="auto"/>
                    <w:bottom w:val="none" w:sz="0" w:space="0" w:color="auto"/>
                    <w:right w:val="none" w:sz="0" w:space="0" w:color="auto"/>
                  </w:divBdr>
                </w:div>
                <w:div w:id="294150948">
                  <w:marLeft w:val="0"/>
                  <w:marRight w:val="0"/>
                  <w:marTop w:val="0"/>
                  <w:marBottom w:val="0"/>
                  <w:divBdr>
                    <w:top w:val="none" w:sz="0" w:space="0" w:color="auto"/>
                    <w:left w:val="none" w:sz="0" w:space="0" w:color="auto"/>
                    <w:bottom w:val="none" w:sz="0" w:space="0" w:color="auto"/>
                    <w:right w:val="none" w:sz="0" w:space="0" w:color="auto"/>
                  </w:divBdr>
                </w:div>
                <w:div w:id="294150998">
                  <w:marLeft w:val="0"/>
                  <w:marRight w:val="0"/>
                  <w:marTop w:val="0"/>
                  <w:marBottom w:val="0"/>
                  <w:divBdr>
                    <w:top w:val="none" w:sz="0" w:space="0" w:color="auto"/>
                    <w:left w:val="none" w:sz="0" w:space="0" w:color="auto"/>
                    <w:bottom w:val="none" w:sz="0" w:space="0" w:color="auto"/>
                    <w:right w:val="none" w:sz="0" w:space="0" w:color="auto"/>
                  </w:divBdr>
                </w:div>
                <w:div w:id="294151024">
                  <w:marLeft w:val="0"/>
                  <w:marRight w:val="0"/>
                  <w:marTop w:val="0"/>
                  <w:marBottom w:val="0"/>
                  <w:divBdr>
                    <w:top w:val="none" w:sz="0" w:space="0" w:color="auto"/>
                    <w:left w:val="none" w:sz="0" w:space="0" w:color="auto"/>
                    <w:bottom w:val="none" w:sz="0" w:space="0" w:color="auto"/>
                    <w:right w:val="none" w:sz="0" w:space="0" w:color="auto"/>
                  </w:divBdr>
                </w:div>
                <w:div w:id="294151105">
                  <w:marLeft w:val="0"/>
                  <w:marRight w:val="0"/>
                  <w:marTop w:val="0"/>
                  <w:marBottom w:val="0"/>
                  <w:divBdr>
                    <w:top w:val="none" w:sz="0" w:space="0" w:color="auto"/>
                    <w:left w:val="none" w:sz="0" w:space="0" w:color="auto"/>
                    <w:bottom w:val="none" w:sz="0" w:space="0" w:color="auto"/>
                    <w:right w:val="none" w:sz="0" w:space="0" w:color="auto"/>
                  </w:divBdr>
                </w:div>
                <w:div w:id="294151439">
                  <w:marLeft w:val="0"/>
                  <w:marRight w:val="0"/>
                  <w:marTop w:val="0"/>
                  <w:marBottom w:val="0"/>
                  <w:divBdr>
                    <w:top w:val="none" w:sz="0" w:space="0" w:color="auto"/>
                    <w:left w:val="none" w:sz="0" w:space="0" w:color="auto"/>
                    <w:bottom w:val="none" w:sz="0" w:space="0" w:color="auto"/>
                    <w:right w:val="none" w:sz="0" w:space="0" w:color="auto"/>
                  </w:divBdr>
                </w:div>
                <w:div w:id="294151660">
                  <w:marLeft w:val="0"/>
                  <w:marRight w:val="0"/>
                  <w:marTop w:val="0"/>
                  <w:marBottom w:val="0"/>
                  <w:divBdr>
                    <w:top w:val="none" w:sz="0" w:space="0" w:color="auto"/>
                    <w:left w:val="none" w:sz="0" w:space="0" w:color="auto"/>
                    <w:bottom w:val="none" w:sz="0" w:space="0" w:color="auto"/>
                    <w:right w:val="none" w:sz="0" w:space="0" w:color="auto"/>
                  </w:divBdr>
                </w:div>
                <w:div w:id="294151736">
                  <w:marLeft w:val="0"/>
                  <w:marRight w:val="0"/>
                  <w:marTop w:val="0"/>
                  <w:marBottom w:val="0"/>
                  <w:divBdr>
                    <w:top w:val="none" w:sz="0" w:space="0" w:color="auto"/>
                    <w:left w:val="none" w:sz="0" w:space="0" w:color="auto"/>
                    <w:bottom w:val="none" w:sz="0" w:space="0" w:color="auto"/>
                    <w:right w:val="none" w:sz="0" w:space="0" w:color="auto"/>
                  </w:divBdr>
                </w:div>
                <w:div w:id="294151878">
                  <w:marLeft w:val="0"/>
                  <w:marRight w:val="0"/>
                  <w:marTop w:val="0"/>
                  <w:marBottom w:val="0"/>
                  <w:divBdr>
                    <w:top w:val="none" w:sz="0" w:space="0" w:color="auto"/>
                    <w:left w:val="none" w:sz="0" w:space="0" w:color="auto"/>
                    <w:bottom w:val="none" w:sz="0" w:space="0" w:color="auto"/>
                    <w:right w:val="none" w:sz="0" w:space="0" w:color="auto"/>
                  </w:divBdr>
                </w:div>
                <w:div w:id="294151915">
                  <w:marLeft w:val="0"/>
                  <w:marRight w:val="0"/>
                  <w:marTop w:val="0"/>
                  <w:marBottom w:val="0"/>
                  <w:divBdr>
                    <w:top w:val="none" w:sz="0" w:space="0" w:color="auto"/>
                    <w:left w:val="none" w:sz="0" w:space="0" w:color="auto"/>
                    <w:bottom w:val="none" w:sz="0" w:space="0" w:color="auto"/>
                    <w:right w:val="none" w:sz="0" w:space="0" w:color="auto"/>
                  </w:divBdr>
                </w:div>
                <w:div w:id="294152070">
                  <w:marLeft w:val="0"/>
                  <w:marRight w:val="0"/>
                  <w:marTop w:val="0"/>
                  <w:marBottom w:val="0"/>
                  <w:divBdr>
                    <w:top w:val="none" w:sz="0" w:space="0" w:color="auto"/>
                    <w:left w:val="none" w:sz="0" w:space="0" w:color="auto"/>
                    <w:bottom w:val="none" w:sz="0" w:space="0" w:color="auto"/>
                    <w:right w:val="none" w:sz="0" w:space="0" w:color="auto"/>
                  </w:divBdr>
                </w:div>
                <w:div w:id="294152098">
                  <w:marLeft w:val="0"/>
                  <w:marRight w:val="0"/>
                  <w:marTop w:val="0"/>
                  <w:marBottom w:val="0"/>
                  <w:divBdr>
                    <w:top w:val="none" w:sz="0" w:space="0" w:color="auto"/>
                    <w:left w:val="none" w:sz="0" w:space="0" w:color="auto"/>
                    <w:bottom w:val="none" w:sz="0" w:space="0" w:color="auto"/>
                    <w:right w:val="none" w:sz="0" w:space="0" w:color="auto"/>
                  </w:divBdr>
                </w:div>
                <w:div w:id="294152151">
                  <w:marLeft w:val="0"/>
                  <w:marRight w:val="0"/>
                  <w:marTop w:val="0"/>
                  <w:marBottom w:val="0"/>
                  <w:divBdr>
                    <w:top w:val="none" w:sz="0" w:space="0" w:color="auto"/>
                    <w:left w:val="none" w:sz="0" w:space="0" w:color="auto"/>
                    <w:bottom w:val="none" w:sz="0" w:space="0" w:color="auto"/>
                    <w:right w:val="none" w:sz="0" w:space="0" w:color="auto"/>
                  </w:divBdr>
                </w:div>
                <w:div w:id="294152215">
                  <w:marLeft w:val="0"/>
                  <w:marRight w:val="0"/>
                  <w:marTop w:val="0"/>
                  <w:marBottom w:val="0"/>
                  <w:divBdr>
                    <w:top w:val="none" w:sz="0" w:space="0" w:color="auto"/>
                    <w:left w:val="none" w:sz="0" w:space="0" w:color="auto"/>
                    <w:bottom w:val="none" w:sz="0" w:space="0" w:color="auto"/>
                    <w:right w:val="none" w:sz="0" w:space="0" w:color="auto"/>
                  </w:divBdr>
                </w:div>
                <w:div w:id="294152267">
                  <w:marLeft w:val="0"/>
                  <w:marRight w:val="0"/>
                  <w:marTop w:val="0"/>
                  <w:marBottom w:val="0"/>
                  <w:divBdr>
                    <w:top w:val="none" w:sz="0" w:space="0" w:color="auto"/>
                    <w:left w:val="none" w:sz="0" w:space="0" w:color="auto"/>
                    <w:bottom w:val="none" w:sz="0" w:space="0" w:color="auto"/>
                    <w:right w:val="none" w:sz="0" w:space="0" w:color="auto"/>
                  </w:divBdr>
                </w:div>
                <w:div w:id="294152414">
                  <w:marLeft w:val="0"/>
                  <w:marRight w:val="0"/>
                  <w:marTop w:val="0"/>
                  <w:marBottom w:val="0"/>
                  <w:divBdr>
                    <w:top w:val="none" w:sz="0" w:space="0" w:color="auto"/>
                    <w:left w:val="none" w:sz="0" w:space="0" w:color="auto"/>
                    <w:bottom w:val="none" w:sz="0" w:space="0" w:color="auto"/>
                    <w:right w:val="none" w:sz="0" w:space="0" w:color="auto"/>
                  </w:divBdr>
                </w:div>
                <w:div w:id="294152934">
                  <w:marLeft w:val="0"/>
                  <w:marRight w:val="0"/>
                  <w:marTop w:val="0"/>
                  <w:marBottom w:val="0"/>
                  <w:divBdr>
                    <w:top w:val="none" w:sz="0" w:space="0" w:color="auto"/>
                    <w:left w:val="none" w:sz="0" w:space="0" w:color="auto"/>
                    <w:bottom w:val="none" w:sz="0" w:space="0" w:color="auto"/>
                    <w:right w:val="none" w:sz="0" w:space="0" w:color="auto"/>
                  </w:divBdr>
                </w:div>
                <w:div w:id="294153000">
                  <w:marLeft w:val="0"/>
                  <w:marRight w:val="0"/>
                  <w:marTop w:val="0"/>
                  <w:marBottom w:val="0"/>
                  <w:divBdr>
                    <w:top w:val="none" w:sz="0" w:space="0" w:color="auto"/>
                    <w:left w:val="none" w:sz="0" w:space="0" w:color="auto"/>
                    <w:bottom w:val="none" w:sz="0" w:space="0" w:color="auto"/>
                    <w:right w:val="none" w:sz="0" w:space="0" w:color="auto"/>
                  </w:divBdr>
                </w:div>
                <w:div w:id="294153064">
                  <w:marLeft w:val="0"/>
                  <w:marRight w:val="0"/>
                  <w:marTop w:val="0"/>
                  <w:marBottom w:val="0"/>
                  <w:divBdr>
                    <w:top w:val="none" w:sz="0" w:space="0" w:color="auto"/>
                    <w:left w:val="none" w:sz="0" w:space="0" w:color="auto"/>
                    <w:bottom w:val="none" w:sz="0" w:space="0" w:color="auto"/>
                    <w:right w:val="none" w:sz="0" w:space="0" w:color="auto"/>
                  </w:divBdr>
                </w:div>
                <w:div w:id="294153388">
                  <w:marLeft w:val="0"/>
                  <w:marRight w:val="0"/>
                  <w:marTop w:val="0"/>
                  <w:marBottom w:val="0"/>
                  <w:divBdr>
                    <w:top w:val="none" w:sz="0" w:space="0" w:color="auto"/>
                    <w:left w:val="none" w:sz="0" w:space="0" w:color="auto"/>
                    <w:bottom w:val="none" w:sz="0" w:space="0" w:color="auto"/>
                    <w:right w:val="none" w:sz="0" w:space="0" w:color="auto"/>
                  </w:divBdr>
                </w:div>
                <w:div w:id="294153640">
                  <w:marLeft w:val="0"/>
                  <w:marRight w:val="0"/>
                  <w:marTop w:val="0"/>
                  <w:marBottom w:val="0"/>
                  <w:divBdr>
                    <w:top w:val="none" w:sz="0" w:space="0" w:color="auto"/>
                    <w:left w:val="none" w:sz="0" w:space="0" w:color="auto"/>
                    <w:bottom w:val="none" w:sz="0" w:space="0" w:color="auto"/>
                    <w:right w:val="none" w:sz="0" w:space="0" w:color="auto"/>
                  </w:divBdr>
                </w:div>
                <w:div w:id="294153717">
                  <w:marLeft w:val="0"/>
                  <w:marRight w:val="0"/>
                  <w:marTop w:val="0"/>
                  <w:marBottom w:val="0"/>
                  <w:divBdr>
                    <w:top w:val="none" w:sz="0" w:space="0" w:color="auto"/>
                    <w:left w:val="none" w:sz="0" w:space="0" w:color="auto"/>
                    <w:bottom w:val="none" w:sz="0" w:space="0" w:color="auto"/>
                    <w:right w:val="none" w:sz="0" w:space="0" w:color="auto"/>
                  </w:divBdr>
                </w:div>
                <w:div w:id="294153771">
                  <w:marLeft w:val="0"/>
                  <w:marRight w:val="0"/>
                  <w:marTop w:val="0"/>
                  <w:marBottom w:val="0"/>
                  <w:divBdr>
                    <w:top w:val="none" w:sz="0" w:space="0" w:color="auto"/>
                    <w:left w:val="none" w:sz="0" w:space="0" w:color="auto"/>
                    <w:bottom w:val="none" w:sz="0" w:space="0" w:color="auto"/>
                    <w:right w:val="none" w:sz="0" w:space="0" w:color="auto"/>
                  </w:divBdr>
                </w:div>
                <w:div w:id="294153903">
                  <w:marLeft w:val="0"/>
                  <w:marRight w:val="0"/>
                  <w:marTop w:val="0"/>
                  <w:marBottom w:val="0"/>
                  <w:divBdr>
                    <w:top w:val="none" w:sz="0" w:space="0" w:color="auto"/>
                    <w:left w:val="none" w:sz="0" w:space="0" w:color="auto"/>
                    <w:bottom w:val="none" w:sz="0" w:space="0" w:color="auto"/>
                    <w:right w:val="none" w:sz="0" w:space="0" w:color="auto"/>
                  </w:divBdr>
                </w:div>
                <w:div w:id="294154343">
                  <w:marLeft w:val="0"/>
                  <w:marRight w:val="0"/>
                  <w:marTop w:val="0"/>
                  <w:marBottom w:val="0"/>
                  <w:divBdr>
                    <w:top w:val="none" w:sz="0" w:space="0" w:color="auto"/>
                    <w:left w:val="none" w:sz="0" w:space="0" w:color="auto"/>
                    <w:bottom w:val="none" w:sz="0" w:space="0" w:color="auto"/>
                    <w:right w:val="none" w:sz="0" w:space="0" w:color="auto"/>
                  </w:divBdr>
                </w:div>
                <w:div w:id="294154361">
                  <w:marLeft w:val="0"/>
                  <w:marRight w:val="0"/>
                  <w:marTop w:val="0"/>
                  <w:marBottom w:val="0"/>
                  <w:divBdr>
                    <w:top w:val="none" w:sz="0" w:space="0" w:color="auto"/>
                    <w:left w:val="none" w:sz="0" w:space="0" w:color="auto"/>
                    <w:bottom w:val="none" w:sz="0" w:space="0" w:color="auto"/>
                    <w:right w:val="none" w:sz="0" w:space="0" w:color="auto"/>
                  </w:divBdr>
                </w:div>
                <w:div w:id="294154387">
                  <w:marLeft w:val="0"/>
                  <w:marRight w:val="0"/>
                  <w:marTop w:val="0"/>
                  <w:marBottom w:val="0"/>
                  <w:divBdr>
                    <w:top w:val="none" w:sz="0" w:space="0" w:color="auto"/>
                    <w:left w:val="none" w:sz="0" w:space="0" w:color="auto"/>
                    <w:bottom w:val="none" w:sz="0" w:space="0" w:color="auto"/>
                    <w:right w:val="none" w:sz="0" w:space="0" w:color="auto"/>
                  </w:divBdr>
                </w:div>
                <w:div w:id="294154621">
                  <w:marLeft w:val="0"/>
                  <w:marRight w:val="0"/>
                  <w:marTop w:val="0"/>
                  <w:marBottom w:val="0"/>
                  <w:divBdr>
                    <w:top w:val="none" w:sz="0" w:space="0" w:color="auto"/>
                    <w:left w:val="none" w:sz="0" w:space="0" w:color="auto"/>
                    <w:bottom w:val="none" w:sz="0" w:space="0" w:color="auto"/>
                    <w:right w:val="none" w:sz="0" w:space="0" w:color="auto"/>
                  </w:divBdr>
                </w:div>
                <w:div w:id="294154668">
                  <w:marLeft w:val="0"/>
                  <w:marRight w:val="0"/>
                  <w:marTop w:val="0"/>
                  <w:marBottom w:val="0"/>
                  <w:divBdr>
                    <w:top w:val="none" w:sz="0" w:space="0" w:color="auto"/>
                    <w:left w:val="none" w:sz="0" w:space="0" w:color="auto"/>
                    <w:bottom w:val="none" w:sz="0" w:space="0" w:color="auto"/>
                    <w:right w:val="none" w:sz="0" w:space="0" w:color="auto"/>
                  </w:divBdr>
                </w:div>
                <w:div w:id="294154736">
                  <w:marLeft w:val="0"/>
                  <w:marRight w:val="0"/>
                  <w:marTop w:val="0"/>
                  <w:marBottom w:val="0"/>
                  <w:divBdr>
                    <w:top w:val="none" w:sz="0" w:space="0" w:color="auto"/>
                    <w:left w:val="none" w:sz="0" w:space="0" w:color="auto"/>
                    <w:bottom w:val="none" w:sz="0" w:space="0" w:color="auto"/>
                    <w:right w:val="none" w:sz="0" w:space="0" w:color="auto"/>
                  </w:divBdr>
                </w:div>
                <w:div w:id="294155006">
                  <w:marLeft w:val="0"/>
                  <w:marRight w:val="0"/>
                  <w:marTop w:val="0"/>
                  <w:marBottom w:val="0"/>
                  <w:divBdr>
                    <w:top w:val="none" w:sz="0" w:space="0" w:color="auto"/>
                    <w:left w:val="none" w:sz="0" w:space="0" w:color="auto"/>
                    <w:bottom w:val="none" w:sz="0" w:space="0" w:color="auto"/>
                    <w:right w:val="none" w:sz="0" w:space="0" w:color="auto"/>
                  </w:divBdr>
                </w:div>
                <w:div w:id="294155089">
                  <w:marLeft w:val="0"/>
                  <w:marRight w:val="0"/>
                  <w:marTop w:val="0"/>
                  <w:marBottom w:val="0"/>
                  <w:divBdr>
                    <w:top w:val="none" w:sz="0" w:space="0" w:color="auto"/>
                    <w:left w:val="none" w:sz="0" w:space="0" w:color="auto"/>
                    <w:bottom w:val="none" w:sz="0" w:space="0" w:color="auto"/>
                    <w:right w:val="none" w:sz="0" w:space="0" w:color="auto"/>
                  </w:divBdr>
                </w:div>
                <w:div w:id="294155245">
                  <w:marLeft w:val="0"/>
                  <w:marRight w:val="0"/>
                  <w:marTop w:val="0"/>
                  <w:marBottom w:val="0"/>
                  <w:divBdr>
                    <w:top w:val="none" w:sz="0" w:space="0" w:color="auto"/>
                    <w:left w:val="none" w:sz="0" w:space="0" w:color="auto"/>
                    <w:bottom w:val="none" w:sz="0" w:space="0" w:color="auto"/>
                    <w:right w:val="none" w:sz="0" w:space="0" w:color="auto"/>
                  </w:divBdr>
                </w:div>
                <w:div w:id="294155298">
                  <w:marLeft w:val="0"/>
                  <w:marRight w:val="0"/>
                  <w:marTop w:val="0"/>
                  <w:marBottom w:val="0"/>
                  <w:divBdr>
                    <w:top w:val="none" w:sz="0" w:space="0" w:color="auto"/>
                    <w:left w:val="none" w:sz="0" w:space="0" w:color="auto"/>
                    <w:bottom w:val="none" w:sz="0" w:space="0" w:color="auto"/>
                    <w:right w:val="none" w:sz="0" w:space="0" w:color="auto"/>
                  </w:divBdr>
                </w:div>
                <w:div w:id="294155504">
                  <w:marLeft w:val="0"/>
                  <w:marRight w:val="0"/>
                  <w:marTop w:val="0"/>
                  <w:marBottom w:val="0"/>
                  <w:divBdr>
                    <w:top w:val="none" w:sz="0" w:space="0" w:color="auto"/>
                    <w:left w:val="none" w:sz="0" w:space="0" w:color="auto"/>
                    <w:bottom w:val="none" w:sz="0" w:space="0" w:color="auto"/>
                    <w:right w:val="none" w:sz="0" w:space="0" w:color="auto"/>
                  </w:divBdr>
                </w:div>
                <w:div w:id="294155562">
                  <w:marLeft w:val="0"/>
                  <w:marRight w:val="0"/>
                  <w:marTop w:val="0"/>
                  <w:marBottom w:val="0"/>
                  <w:divBdr>
                    <w:top w:val="none" w:sz="0" w:space="0" w:color="auto"/>
                    <w:left w:val="none" w:sz="0" w:space="0" w:color="auto"/>
                    <w:bottom w:val="none" w:sz="0" w:space="0" w:color="auto"/>
                    <w:right w:val="none" w:sz="0" w:space="0" w:color="auto"/>
                  </w:divBdr>
                </w:div>
                <w:div w:id="294155783">
                  <w:marLeft w:val="0"/>
                  <w:marRight w:val="0"/>
                  <w:marTop w:val="0"/>
                  <w:marBottom w:val="0"/>
                  <w:divBdr>
                    <w:top w:val="none" w:sz="0" w:space="0" w:color="auto"/>
                    <w:left w:val="none" w:sz="0" w:space="0" w:color="auto"/>
                    <w:bottom w:val="none" w:sz="0" w:space="0" w:color="auto"/>
                    <w:right w:val="none" w:sz="0" w:space="0" w:color="auto"/>
                  </w:divBdr>
                </w:div>
                <w:div w:id="294156107">
                  <w:marLeft w:val="0"/>
                  <w:marRight w:val="0"/>
                  <w:marTop w:val="0"/>
                  <w:marBottom w:val="0"/>
                  <w:divBdr>
                    <w:top w:val="none" w:sz="0" w:space="0" w:color="auto"/>
                    <w:left w:val="none" w:sz="0" w:space="0" w:color="auto"/>
                    <w:bottom w:val="none" w:sz="0" w:space="0" w:color="auto"/>
                    <w:right w:val="none" w:sz="0" w:space="0" w:color="auto"/>
                  </w:divBdr>
                </w:div>
                <w:div w:id="294156342">
                  <w:marLeft w:val="0"/>
                  <w:marRight w:val="0"/>
                  <w:marTop w:val="0"/>
                  <w:marBottom w:val="0"/>
                  <w:divBdr>
                    <w:top w:val="none" w:sz="0" w:space="0" w:color="auto"/>
                    <w:left w:val="none" w:sz="0" w:space="0" w:color="auto"/>
                    <w:bottom w:val="none" w:sz="0" w:space="0" w:color="auto"/>
                    <w:right w:val="none" w:sz="0" w:space="0" w:color="auto"/>
                  </w:divBdr>
                </w:div>
                <w:div w:id="294156364">
                  <w:marLeft w:val="0"/>
                  <w:marRight w:val="0"/>
                  <w:marTop w:val="0"/>
                  <w:marBottom w:val="0"/>
                  <w:divBdr>
                    <w:top w:val="none" w:sz="0" w:space="0" w:color="auto"/>
                    <w:left w:val="none" w:sz="0" w:space="0" w:color="auto"/>
                    <w:bottom w:val="none" w:sz="0" w:space="0" w:color="auto"/>
                    <w:right w:val="none" w:sz="0" w:space="0" w:color="auto"/>
                  </w:divBdr>
                </w:div>
                <w:div w:id="294156537">
                  <w:marLeft w:val="0"/>
                  <w:marRight w:val="0"/>
                  <w:marTop w:val="0"/>
                  <w:marBottom w:val="0"/>
                  <w:divBdr>
                    <w:top w:val="none" w:sz="0" w:space="0" w:color="auto"/>
                    <w:left w:val="none" w:sz="0" w:space="0" w:color="auto"/>
                    <w:bottom w:val="none" w:sz="0" w:space="0" w:color="auto"/>
                    <w:right w:val="none" w:sz="0" w:space="0" w:color="auto"/>
                  </w:divBdr>
                </w:div>
                <w:div w:id="294156573">
                  <w:marLeft w:val="0"/>
                  <w:marRight w:val="0"/>
                  <w:marTop w:val="0"/>
                  <w:marBottom w:val="0"/>
                  <w:divBdr>
                    <w:top w:val="none" w:sz="0" w:space="0" w:color="auto"/>
                    <w:left w:val="none" w:sz="0" w:space="0" w:color="auto"/>
                    <w:bottom w:val="none" w:sz="0" w:space="0" w:color="auto"/>
                    <w:right w:val="none" w:sz="0" w:space="0" w:color="auto"/>
                  </w:divBdr>
                </w:div>
                <w:div w:id="294156702">
                  <w:marLeft w:val="0"/>
                  <w:marRight w:val="0"/>
                  <w:marTop w:val="0"/>
                  <w:marBottom w:val="0"/>
                  <w:divBdr>
                    <w:top w:val="none" w:sz="0" w:space="0" w:color="auto"/>
                    <w:left w:val="none" w:sz="0" w:space="0" w:color="auto"/>
                    <w:bottom w:val="none" w:sz="0" w:space="0" w:color="auto"/>
                    <w:right w:val="none" w:sz="0" w:space="0" w:color="auto"/>
                  </w:divBdr>
                </w:div>
                <w:div w:id="294156955">
                  <w:marLeft w:val="0"/>
                  <w:marRight w:val="0"/>
                  <w:marTop w:val="0"/>
                  <w:marBottom w:val="0"/>
                  <w:divBdr>
                    <w:top w:val="none" w:sz="0" w:space="0" w:color="auto"/>
                    <w:left w:val="none" w:sz="0" w:space="0" w:color="auto"/>
                    <w:bottom w:val="none" w:sz="0" w:space="0" w:color="auto"/>
                    <w:right w:val="none" w:sz="0" w:space="0" w:color="auto"/>
                  </w:divBdr>
                </w:div>
                <w:div w:id="294157005">
                  <w:marLeft w:val="0"/>
                  <w:marRight w:val="0"/>
                  <w:marTop w:val="0"/>
                  <w:marBottom w:val="0"/>
                  <w:divBdr>
                    <w:top w:val="none" w:sz="0" w:space="0" w:color="auto"/>
                    <w:left w:val="none" w:sz="0" w:space="0" w:color="auto"/>
                    <w:bottom w:val="none" w:sz="0" w:space="0" w:color="auto"/>
                    <w:right w:val="none" w:sz="0" w:space="0" w:color="auto"/>
                  </w:divBdr>
                </w:div>
                <w:div w:id="294157023">
                  <w:marLeft w:val="0"/>
                  <w:marRight w:val="0"/>
                  <w:marTop w:val="0"/>
                  <w:marBottom w:val="0"/>
                  <w:divBdr>
                    <w:top w:val="none" w:sz="0" w:space="0" w:color="auto"/>
                    <w:left w:val="none" w:sz="0" w:space="0" w:color="auto"/>
                    <w:bottom w:val="none" w:sz="0" w:space="0" w:color="auto"/>
                    <w:right w:val="none" w:sz="0" w:space="0" w:color="auto"/>
                  </w:divBdr>
                </w:div>
                <w:div w:id="294157137">
                  <w:marLeft w:val="0"/>
                  <w:marRight w:val="0"/>
                  <w:marTop w:val="0"/>
                  <w:marBottom w:val="0"/>
                  <w:divBdr>
                    <w:top w:val="none" w:sz="0" w:space="0" w:color="auto"/>
                    <w:left w:val="none" w:sz="0" w:space="0" w:color="auto"/>
                    <w:bottom w:val="none" w:sz="0" w:space="0" w:color="auto"/>
                    <w:right w:val="none" w:sz="0" w:space="0" w:color="auto"/>
                  </w:divBdr>
                </w:div>
                <w:div w:id="29415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4906">
          <w:marLeft w:val="0"/>
          <w:marRight w:val="0"/>
          <w:marTop w:val="0"/>
          <w:marBottom w:val="0"/>
          <w:divBdr>
            <w:top w:val="none" w:sz="0" w:space="0" w:color="auto"/>
            <w:left w:val="none" w:sz="0" w:space="0" w:color="auto"/>
            <w:bottom w:val="none" w:sz="0" w:space="0" w:color="auto"/>
            <w:right w:val="none" w:sz="0" w:space="0" w:color="auto"/>
          </w:divBdr>
          <w:divsChild>
            <w:div w:id="294148701">
              <w:marLeft w:val="0"/>
              <w:marRight w:val="0"/>
              <w:marTop w:val="0"/>
              <w:marBottom w:val="0"/>
              <w:divBdr>
                <w:top w:val="none" w:sz="0" w:space="0" w:color="auto"/>
                <w:left w:val="none" w:sz="0" w:space="0" w:color="auto"/>
                <w:bottom w:val="none" w:sz="0" w:space="0" w:color="auto"/>
                <w:right w:val="none" w:sz="0" w:space="0" w:color="auto"/>
              </w:divBdr>
              <w:divsChild>
                <w:div w:id="294142978">
                  <w:marLeft w:val="0"/>
                  <w:marRight w:val="0"/>
                  <w:marTop w:val="0"/>
                  <w:marBottom w:val="0"/>
                  <w:divBdr>
                    <w:top w:val="none" w:sz="0" w:space="0" w:color="auto"/>
                    <w:left w:val="none" w:sz="0" w:space="0" w:color="auto"/>
                    <w:bottom w:val="none" w:sz="0" w:space="0" w:color="auto"/>
                    <w:right w:val="none" w:sz="0" w:space="0" w:color="auto"/>
                  </w:divBdr>
                  <w:divsChild>
                    <w:div w:id="294137986">
                      <w:marLeft w:val="0"/>
                      <w:marRight w:val="0"/>
                      <w:marTop w:val="0"/>
                      <w:marBottom w:val="0"/>
                      <w:divBdr>
                        <w:top w:val="none" w:sz="0" w:space="0" w:color="auto"/>
                        <w:left w:val="none" w:sz="0" w:space="0" w:color="auto"/>
                        <w:bottom w:val="none" w:sz="0" w:space="0" w:color="auto"/>
                        <w:right w:val="none" w:sz="0" w:space="0" w:color="auto"/>
                      </w:divBdr>
                    </w:div>
                    <w:div w:id="294138309">
                      <w:marLeft w:val="0"/>
                      <w:marRight w:val="0"/>
                      <w:marTop w:val="0"/>
                      <w:marBottom w:val="0"/>
                      <w:divBdr>
                        <w:top w:val="none" w:sz="0" w:space="0" w:color="auto"/>
                        <w:left w:val="none" w:sz="0" w:space="0" w:color="auto"/>
                        <w:bottom w:val="none" w:sz="0" w:space="0" w:color="auto"/>
                        <w:right w:val="none" w:sz="0" w:space="0" w:color="auto"/>
                      </w:divBdr>
                      <w:divsChild>
                        <w:div w:id="294152426">
                          <w:marLeft w:val="0"/>
                          <w:marRight w:val="0"/>
                          <w:marTop w:val="0"/>
                          <w:marBottom w:val="0"/>
                          <w:divBdr>
                            <w:top w:val="none" w:sz="0" w:space="0" w:color="auto"/>
                            <w:left w:val="none" w:sz="0" w:space="0" w:color="auto"/>
                            <w:bottom w:val="none" w:sz="0" w:space="0" w:color="auto"/>
                            <w:right w:val="none" w:sz="0" w:space="0" w:color="auto"/>
                          </w:divBdr>
                        </w:div>
                      </w:divsChild>
                    </w:div>
                    <w:div w:id="294138721">
                      <w:marLeft w:val="0"/>
                      <w:marRight w:val="0"/>
                      <w:marTop w:val="0"/>
                      <w:marBottom w:val="0"/>
                      <w:divBdr>
                        <w:top w:val="none" w:sz="0" w:space="0" w:color="auto"/>
                        <w:left w:val="none" w:sz="0" w:space="0" w:color="auto"/>
                        <w:bottom w:val="none" w:sz="0" w:space="0" w:color="auto"/>
                        <w:right w:val="none" w:sz="0" w:space="0" w:color="auto"/>
                      </w:divBdr>
                    </w:div>
                    <w:div w:id="294138934">
                      <w:marLeft w:val="0"/>
                      <w:marRight w:val="0"/>
                      <w:marTop w:val="0"/>
                      <w:marBottom w:val="0"/>
                      <w:divBdr>
                        <w:top w:val="none" w:sz="0" w:space="0" w:color="auto"/>
                        <w:left w:val="none" w:sz="0" w:space="0" w:color="auto"/>
                        <w:bottom w:val="none" w:sz="0" w:space="0" w:color="auto"/>
                        <w:right w:val="none" w:sz="0" w:space="0" w:color="auto"/>
                      </w:divBdr>
                    </w:div>
                    <w:div w:id="294139031">
                      <w:marLeft w:val="0"/>
                      <w:marRight w:val="0"/>
                      <w:marTop w:val="0"/>
                      <w:marBottom w:val="0"/>
                      <w:divBdr>
                        <w:top w:val="none" w:sz="0" w:space="0" w:color="auto"/>
                        <w:left w:val="none" w:sz="0" w:space="0" w:color="auto"/>
                        <w:bottom w:val="none" w:sz="0" w:space="0" w:color="auto"/>
                        <w:right w:val="none" w:sz="0" w:space="0" w:color="auto"/>
                      </w:divBdr>
                    </w:div>
                    <w:div w:id="294139094">
                      <w:marLeft w:val="0"/>
                      <w:marRight w:val="0"/>
                      <w:marTop w:val="0"/>
                      <w:marBottom w:val="0"/>
                      <w:divBdr>
                        <w:top w:val="none" w:sz="0" w:space="0" w:color="auto"/>
                        <w:left w:val="none" w:sz="0" w:space="0" w:color="auto"/>
                        <w:bottom w:val="none" w:sz="0" w:space="0" w:color="auto"/>
                        <w:right w:val="none" w:sz="0" w:space="0" w:color="auto"/>
                      </w:divBdr>
                      <w:divsChild>
                        <w:div w:id="294144400">
                          <w:marLeft w:val="0"/>
                          <w:marRight w:val="0"/>
                          <w:marTop w:val="0"/>
                          <w:marBottom w:val="0"/>
                          <w:divBdr>
                            <w:top w:val="none" w:sz="0" w:space="0" w:color="auto"/>
                            <w:left w:val="none" w:sz="0" w:space="0" w:color="auto"/>
                            <w:bottom w:val="none" w:sz="0" w:space="0" w:color="auto"/>
                            <w:right w:val="none" w:sz="0" w:space="0" w:color="auto"/>
                          </w:divBdr>
                        </w:div>
                      </w:divsChild>
                    </w:div>
                    <w:div w:id="294139123">
                      <w:marLeft w:val="0"/>
                      <w:marRight w:val="0"/>
                      <w:marTop w:val="0"/>
                      <w:marBottom w:val="0"/>
                      <w:divBdr>
                        <w:top w:val="none" w:sz="0" w:space="0" w:color="auto"/>
                        <w:left w:val="none" w:sz="0" w:space="0" w:color="auto"/>
                        <w:bottom w:val="none" w:sz="0" w:space="0" w:color="auto"/>
                        <w:right w:val="none" w:sz="0" w:space="0" w:color="auto"/>
                      </w:divBdr>
                    </w:div>
                    <w:div w:id="294139219">
                      <w:marLeft w:val="0"/>
                      <w:marRight w:val="0"/>
                      <w:marTop w:val="0"/>
                      <w:marBottom w:val="0"/>
                      <w:divBdr>
                        <w:top w:val="none" w:sz="0" w:space="0" w:color="auto"/>
                        <w:left w:val="none" w:sz="0" w:space="0" w:color="auto"/>
                        <w:bottom w:val="none" w:sz="0" w:space="0" w:color="auto"/>
                        <w:right w:val="none" w:sz="0" w:space="0" w:color="auto"/>
                      </w:divBdr>
                      <w:divsChild>
                        <w:div w:id="294155129">
                          <w:marLeft w:val="0"/>
                          <w:marRight w:val="0"/>
                          <w:marTop w:val="0"/>
                          <w:marBottom w:val="0"/>
                          <w:divBdr>
                            <w:top w:val="none" w:sz="0" w:space="0" w:color="auto"/>
                            <w:left w:val="none" w:sz="0" w:space="0" w:color="auto"/>
                            <w:bottom w:val="none" w:sz="0" w:space="0" w:color="auto"/>
                            <w:right w:val="none" w:sz="0" w:space="0" w:color="auto"/>
                          </w:divBdr>
                        </w:div>
                      </w:divsChild>
                    </w:div>
                    <w:div w:id="294139285">
                      <w:marLeft w:val="0"/>
                      <w:marRight w:val="0"/>
                      <w:marTop w:val="0"/>
                      <w:marBottom w:val="0"/>
                      <w:divBdr>
                        <w:top w:val="none" w:sz="0" w:space="0" w:color="auto"/>
                        <w:left w:val="none" w:sz="0" w:space="0" w:color="auto"/>
                        <w:bottom w:val="none" w:sz="0" w:space="0" w:color="auto"/>
                        <w:right w:val="none" w:sz="0" w:space="0" w:color="auto"/>
                      </w:divBdr>
                    </w:div>
                    <w:div w:id="294139487">
                      <w:marLeft w:val="0"/>
                      <w:marRight w:val="0"/>
                      <w:marTop w:val="0"/>
                      <w:marBottom w:val="0"/>
                      <w:divBdr>
                        <w:top w:val="none" w:sz="0" w:space="0" w:color="auto"/>
                        <w:left w:val="none" w:sz="0" w:space="0" w:color="auto"/>
                        <w:bottom w:val="none" w:sz="0" w:space="0" w:color="auto"/>
                        <w:right w:val="none" w:sz="0" w:space="0" w:color="auto"/>
                      </w:divBdr>
                    </w:div>
                    <w:div w:id="294139595">
                      <w:marLeft w:val="0"/>
                      <w:marRight w:val="0"/>
                      <w:marTop w:val="0"/>
                      <w:marBottom w:val="0"/>
                      <w:divBdr>
                        <w:top w:val="none" w:sz="0" w:space="0" w:color="auto"/>
                        <w:left w:val="none" w:sz="0" w:space="0" w:color="auto"/>
                        <w:bottom w:val="none" w:sz="0" w:space="0" w:color="auto"/>
                        <w:right w:val="none" w:sz="0" w:space="0" w:color="auto"/>
                      </w:divBdr>
                      <w:divsChild>
                        <w:div w:id="294141869">
                          <w:marLeft w:val="0"/>
                          <w:marRight w:val="0"/>
                          <w:marTop w:val="0"/>
                          <w:marBottom w:val="0"/>
                          <w:divBdr>
                            <w:top w:val="none" w:sz="0" w:space="0" w:color="auto"/>
                            <w:left w:val="none" w:sz="0" w:space="0" w:color="auto"/>
                            <w:bottom w:val="none" w:sz="0" w:space="0" w:color="auto"/>
                            <w:right w:val="none" w:sz="0" w:space="0" w:color="auto"/>
                          </w:divBdr>
                        </w:div>
                      </w:divsChild>
                    </w:div>
                    <w:div w:id="294139715">
                      <w:marLeft w:val="0"/>
                      <w:marRight w:val="0"/>
                      <w:marTop w:val="0"/>
                      <w:marBottom w:val="0"/>
                      <w:divBdr>
                        <w:top w:val="none" w:sz="0" w:space="0" w:color="auto"/>
                        <w:left w:val="none" w:sz="0" w:space="0" w:color="auto"/>
                        <w:bottom w:val="none" w:sz="0" w:space="0" w:color="auto"/>
                        <w:right w:val="none" w:sz="0" w:space="0" w:color="auto"/>
                      </w:divBdr>
                    </w:div>
                    <w:div w:id="294139818">
                      <w:marLeft w:val="0"/>
                      <w:marRight w:val="0"/>
                      <w:marTop w:val="0"/>
                      <w:marBottom w:val="0"/>
                      <w:divBdr>
                        <w:top w:val="none" w:sz="0" w:space="0" w:color="auto"/>
                        <w:left w:val="none" w:sz="0" w:space="0" w:color="auto"/>
                        <w:bottom w:val="none" w:sz="0" w:space="0" w:color="auto"/>
                        <w:right w:val="none" w:sz="0" w:space="0" w:color="auto"/>
                      </w:divBdr>
                    </w:div>
                    <w:div w:id="294139963">
                      <w:marLeft w:val="0"/>
                      <w:marRight w:val="0"/>
                      <w:marTop w:val="0"/>
                      <w:marBottom w:val="0"/>
                      <w:divBdr>
                        <w:top w:val="none" w:sz="0" w:space="0" w:color="auto"/>
                        <w:left w:val="none" w:sz="0" w:space="0" w:color="auto"/>
                        <w:bottom w:val="none" w:sz="0" w:space="0" w:color="auto"/>
                        <w:right w:val="none" w:sz="0" w:space="0" w:color="auto"/>
                      </w:divBdr>
                      <w:divsChild>
                        <w:div w:id="294144275">
                          <w:marLeft w:val="0"/>
                          <w:marRight w:val="0"/>
                          <w:marTop w:val="0"/>
                          <w:marBottom w:val="0"/>
                          <w:divBdr>
                            <w:top w:val="none" w:sz="0" w:space="0" w:color="auto"/>
                            <w:left w:val="none" w:sz="0" w:space="0" w:color="auto"/>
                            <w:bottom w:val="none" w:sz="0" w:space="0" w:color="auto"/>
                            <w:right w:val="none" w:sz="0" w:space="0" w:color="auto"/>
                          </w:divBdr>
                        </w:div>
                      </w:divsChild>
                    </w:div>
                    <w:div w:id="294140148">
                      <w:marLeft w:val="0"/>
                      <w:marRight w:val="0"/>
                      <w:marTop w:val="0"/>
                      <w:marBottom w:val="0"/>
                      <w:divBdr>
                        <w:top w:val="none" w:sz="0" w:space="0" w:color="auto"/>
                        <w:left w:val="none" w:sz="0" w:space="0" w:color="auto"/>
                        <w:bottom w:val="none" w:sz="0" w:space="0" w:color="auto"/>
                        <w:right w:val="none" w:sz="0" w:space="0" w:color="auto"/>
                      </w:divBdr>
                    </w:div>
                    <w:div w:id="294140251">
                      <w:marLeft w:val="0"/>
                      <w:marRight w:val="0"/>
                      <w:marTop w:val="0"/>
                      <w:marBottom w:val="0"/>
                      <w:divBdr>
                        <w:top w:val="none" w:sz="0" w:space="0" w:color="auto"/>
                        <w:left w:val="none" w:sz="0" w:space="0" w:color="auto"/>
                        <w:bottom w:val="none" w:sz="0" w:space="0" w:color="auto"/>
                        <w:right w:val="none" w:sz="0" w:space="0" w:color="auto"/>
                      </w:divBdr>
                      <w:divsChild>
                        <w:div w:id="294151719">
                          <w:marLeft w:val="0"/>
                          <w:marRight w:val="0"/>
                          <w:marTop w:val="0"/>
                          <w:marBottom w:val="0"/>
                          <w:divBdr>
                            <w:top w:val="none" w:sz="0" w:space="0" w:color="auto"/>
                            <w:left w:val="none" w:sz="0" w:space="0" w:color="auto"/>
                            <w:bottom w:val="none" w:sz="0" w:space="0" w:color="auto"/>
                            <w:right w:val="none" w:sz="0" w:space="0" w:color="auto"/>
                          </w:divBdr>
                        </w:div>
                      </w:divsChild>
                    </w:div>
                    <w:div w:id="294140396">
                      <w:marLeft w:val="0"/>
                      <w:marRight w:val="0"/>
                      <w:marTop w:val="0"/>
                      <w:marBottom w:val="0"/>
                      <w:divBdr>
                        <w:top w:val="none" w:sz="0" w:space="0" w:color="auto"/>
                        <w:left w:val="none" w:sz="0" w:space="0" w:color="auto"/>
                        <w:bottom w:val="none" w:sz="0" w:space="0" w:color="auto"/>
                        <w:right w:val="none" w:sz="0" w:space="0" w:color="auto"/>
                      </w:divBdr>
                      <w:divsChild>
                        <w:div w:id="294150844">
                          <w:marLeft w:val="0"/>
                          <w:marRight w:val="0"/>
                          <w:marTop w:val="0"/>
                          <w:marBottom w:val="0"/>
                          <w:divBdr>
                            <w:top w:val="none" w:sz="0" w:space="0" w:color="auto"/>
                            <w:left w:val="none" w:sz="0" w:space="0" w:color="auto"/>
                            <w:bottom w:val="none" w:sz="0" w:space="0" w:color="auto"/>
                            <w:right w:val="none" w:sz="0" w:space="0" w:color="auto"/>
                          </w:divBdr>
                        </w:div>
                      </w:divsChild>
                    </w:div>
                    <w:div w:id="294140480">
                      <w:marLeft w:val="0"/>
                      <w:marRight w:val="0"/>
                      <w:marTop w:val="0"/>
                      <w:marBottom w:val="0"/>
                      <w:divBdr>
                        <w:top w:val="none" w:sz="0" w:space="0" w:color="auto"/>
                        <w:left w:val="none" w:sz="0" w:space="0" w:color="auto"/>
                        <w:bottom w:val="none" w:sz="0" w:space="0" w:color="auto"/>
                        <w:right w:val="none" w:sz="0" w:space="0" w:color="auto"/>
                      </w:divBdr>
                    </w:div>
                    <w:div w:id="294140563">
                      <w:marLeft w:val="0"/>
                      <w:marRight w:val="0"/>
                      <w:marTop w:val="0"/>
                      <w:marBottom w:val="0"/>
                      <w:divBdr>
                        <w:top w:val="none" w:sz="0" w:space="0" w:color="auto"/>
                        <w:left w:val="none" w:sz="0" w:space="0" w:color="auto"/>
                        <w:bottom w:val="none" w:sz="0" w:space="0" w:color="auto"/>
                        <w:right w:val="none" w:sz="0" w:space="0" w:color="auto"/>
                      </w:divBdr>
                    </w:div>
                    <w:div w:id="294140605">
                      <w:marLeft w:val="0"/>
                      <w:marRight w:val="0"/>
                      <w:marTop w:val="0"/>
                      <w:marBottom w:val="0"/>
                      <w:divBdr>
                        <w:top w:val="none" w:sz="0" w:space="0" w:color="auto"/>
                        <w:left w:val="none" w:sz="0" w:space="0" w:color="auto"/>
                        <w:bottom w:val="none" w:sz="0" w:space="0" w:color="auto"/>
                        <w:right w:val="none" w:sz="0" w:space="0" w:color="auto"/>
                      </w:divBdr>
                    </w:div>
                    <w:div w:id="294140609">
                      <w:marLeft w:val="0"/>
                      <w:marRight w:val="0"/>
                      <w:marTop w:val="0"/>
                      <w:marBottom w:val="0"/>
                      <w:divBdr>
                        <w:top w:val="none" w:sz="0" w:space="0" w:color="auto"/>
                        <w:left w:val="none" w:sz="0" w:space="0" w:color="auto"/>
                        <w:bottom w:val="none" w:sz="0" w:space="0" w:color="auto"/>
                        <w:right w:val="none" w:sz="0" w:space="0" w:color="auto"/>
                      </w:divBdr>
                    </w:div>
                    <w:div w:id="294140679">
                      <w:marLeft w:val="0"/>
                      <w:marRight w:val="0"/>
                      <w:marTop w:val="0"/>
                      <w:marBottom w:val="0"/>
                      <w:divBdr>
                        <w:top w:val="none" w:sz="0" w:space="0" w:color="auto"/>
                        <w:left w:val="none" w:sz="0" w:space="0" w:color="auto"/>
                        <w:bottom w:val="none" w:sz="0" w:space="0" w:color="auto"/>
                        <w:right w:val="none" w:sz="0" w:space="0" w:color="auto"/>
                      </w:divBdr>
                    </w:div>
                    <w:div w:id="294140740">
                      <w:marLeft w:val="0"/>
                      <w:marRight w:val="0"/>
                      <w:marTop w:val="0"/>
                      <w:marBottom w:val="0"/>
                      <w:divBdr>
                        <w:top w:val="none" w:sz="0" w:space="0" w:color="auto"/>
                        <w:left w:val="none" w:sz="0" w:space="0" w:color="auto"/>
                        <w:bottom w:val="none" w:sz="0" w:space="0" w:color="auto"/>
                        <w:right w:val="none" w:sz="0" w:space="0" w:color="auto"/>
                      </w:divBdr>
                      <w:divsChild>
                        <w:div w:id="294154735">
                          <w:marLeft w:val="0"/>
                          <w:marRight w:val="0"/>
                          <w:marTop w:val="0"/>
                          <w:marBottom w:val="0"/>
                          <w:divBdr>
                            <w:top w:val="none" w:sz="0" w:space="0" w:color="auto"/>
                            <w:left w:val="none" w:sz="0" w:space="0" w:color="auto"/>
                            <w:bottom w:val="none" w:sz="0" w:space="0" w:color="auto"/>
                            <w:right w:val="none" w:sz="0" w:space="0" w:color="auto"/>
                          </w:divBdr>
                        </w:div>
                      </w:divsChild>
                    </w:div>
                    <w:div w:id="294140802">
                      <w:marLeft w:val="0"/>
                      <w:marRight w:val="0"/>
                      <w:marTop w:val="0"/>
                      <w:marBottom w:val="0"/>
                      <w:divBdr>
                        <w:top w:val="none" w:sz="0" w:space="0" w:color="auto"/>
                        <w:left w:val="none" w:sz="0" w:space="0" w:color="auto"/>
                        <w:bottom w:val="none" w:sz="0" w:space="0" w:color="auto"/>
                        <w:right w:val="none" w:sz="0" w:space="0" w:color="auto"/>
                      </w:divBdr>
                      <w:divsChild>
                        <w:div w:id="294142231">
                          <w:marLeft w:val="0"/>
                          <w:marRight w:val="0"/>
                          <w:marTop w:val="0"/>
                          <w:marBottom w:val="0"/>
                          <w:divBdr>
                            <w:top w:val="none" w:sz="0" w:space="0" w:color="auto"/>
                            <w:left w:val="none" w:sz="0" w:space="0" w:color="auto"/>
                            <w:bottom w:val="none" w:sz="0" w:space="0" w:color="auto"/>
                            <w:right w:val="none" w:sz="0" w:space="0" w:color="auto"/>
                          </w:divBdr>
                        </w:div>
                      </w:divsChild>
                    </w:div>
                    <w:div w:id="294140815">
                      <w:marLeft w:val="0"/>
                      <w:marRight w:val="0"/>
                      <w:marTop w:val="0"/>
                      <w:marBottom w:val="0"/>
                      <w:divBdr>
                        <w:top w:val="none" w:sz="0" w:space="0" w:color="auto"/>
                        <w:left w:val="none" w:sz="0" w:space="0" w:color="auto"/>
                        <w:bottom w:val="none" w:sz="0" w:space="0" w:color="auto"/>
                        <w:right w:val="none" w:sz="0" w:space="0" w:color="auto"/>
                      </w:divBdr>
                    </w:div>
                    <w:div w:id="294140823">
                      <w:marLeft w:val="0"/>
                      <w:marRight w:val="0"/>
                      <w:marTop w:val="0"/>
                      <w:marBottom w:val="0"/>
                      <w:divBdr>
                        <w:top w:val="none" w:sz="0" w:space="0" w:color="auto"/>
                        <w:left w:val="none" w:sz="0" w:space="0" w:color="auto"/>
                        <w:bottom w:val="none" w:sz="0" w:space="0" w:color="auto"/>
                        <w:right w:val="none" w:sz="0" w:space="0" w:color="auto"/>
                      </w:divBdr>
                    </w:div>
                    <w:div w:id="294140888">
                      <w:marLeft w:val="0"/>
                      <w:marRight w:val="0"/>
                      <w:marTop w:val="0"/>
                      <w:marBottom w:val="0"/>
                      <w:divBdr>
                        <w:top w:val="none" w:sz="0" w:space="0" w:color="auto"/>
                        <w:left w:val="none" w:sz="0" w:space="0" w:color="auto"/>
                        <w:bottom w:val="none" w:sz="0" w:space="0" w:color="auto"/>
                        <w:right w:val="none" w:sz="0" w:space="0" w:color="auto"/>
                      </w:divBdr>
                      <w:divsChild>
                        <w:div w:id="294138560">
                          <w:marLeft w:val="0"/>
                          <w:marRight w:val="0"/>
                          <w:marTop w:val="0"/>
                          <w:marBottom w:val="0"/>
                          <w:divBdr>
                            <w:top w:val="none" w:sz="0" w:space="0" w:color="auto"/>
                            <w:left w:val="none" w:sz="0" w:space="0" w:color="auto"/>
                            <w:bottom w:val="none" w:sz="0" w:space="0" w:color="auto"/>
                            <w:right w:val="none" w:sz="0" w:space="0" w:color="auto"/>
                          </w:divBdr>
                        </w:div>
                      </w:divsChild>
                    </w:div>
                    <w:div w:id="294140943">
                      <w:marLeft w:val="0"/>
                      <w:marRight w:val="0"/>
                      <w:marTop w:val="0"/>
                      <w:marBottom w:val="0"/>
                      <w:divBdr>
                        <w:top w:val="none" w:sz="0" w:space="0" w:color="auto"/>
                        <w:left w:val="none" w:sz="0" w:space="0" w:color="auto"/>
                        <w:bottom w:val="none" w:sz="0" w:space="0" w:color="auto"/>
                        <w:right w:val="none" w:sz="0" w:space="0" w:color="auto"/>
                      </w:divBdr>
                    </w:div>
                    <w:div w:id="294141209">
                      <w:marLeft w:val="0"/>
                      <w:marRight w:val="0"/>
                      <w:marTop w:val="0"/>
                      <w:marBottom w:val="0"/>
                      <w:divBdr>
                        <w:top w:val="none" w:sz="0" w:space="0" w:color="auto"/>
                        <w:left w:val="none" w:sz="0" w:space="0" w:color="auto"/>
                        <w:bottom w:val="none" w:sz="0" w:space="0" w:color="auto"/>
                        <w:right w:val="none" w:sz="0" w:space="0" w:color="auto"/>
                      </w:divBdr>
                    </w:div>
                    <w:div w:id="294141254">
                      <w:marLeft w:val="0"/>
                      <w:marRight w:val="0"/>
                      <w:marTop w:val="0"/>
                      <w:marBottom w:val="0"/>
                      <w:divBdr>
                        <w:top w:val="none" w:sz="0" w:space="0" w:color="auto"/>
                        <w:left w:val="none" w:sz="0" w:space="0" w:color="auto"/>
                        <w:bottom w:val="none" w:sz="0" w:space="0" w:color="auto"/>
                        <w:right w:val="none" w:sz="0" w:space="0" w:color="auto"/>
                      </w:divBdr>
                      <w:divsChild>
                        <w:div w:id="294147307">
                          <w:marLeft w:val="0"/>
                          <w:marRight w:val="0"/>
                          <w:marTop w:val="0"/>
                          <w:marBottom w:val="0"/>
                          <w:divBdr>
                            <w:top w:val="none" w:sz="0" w:space="0" w:color="auto"/>
                            <w:left w:val="none" w:sz="0" w:space="0" w:color="auto"/>
                            <w:bottom w:val="none" w:sz="0" w:space="0" w:color="auto"/>
                            <w:right w:val="none" w:sz="0" w:space="0" w:color="auto"/>
                          </w:divBdr>
                        </w:div>
                      </w:divsChild>
                    </w:div>
                    <w:div w:id="294141549">
                      <w:marLeft w:val="0"/>
                      <w:marRight w:val="0"/>
                      <w:marTop w:val="0"/>
                      <w:marBottom w:val="0"/>
                      <w:divBdr>
                        <w:top w:val="none" w:sz="0" w:space="0" w:color="auto"/>
                        <w:left w:val="none" w:sz="0" w:space="0" w:color="auto"/>
                        <w:bottom w:val="none" w:sz="0" w:space="0" w:color="auto"/>
                        <w:right w:val="none" w:sz="0" w:space="0" w:color="auto"/>
                      </w:divBdr>
                    </w:div>
                    <w:div w:id="294141552">
                      <w:marLeft w:val="0"/>
                      <w:marRight w:val="0"/>
                      <w:marTop w:val="0"/>
                      <w:marBottom w:val="0"/>
                      <w:divBdr>
                        <w:top w:val="none" w:sz="0" w:space="0" w:color="auto"/>
                        <w:left w:val="none" w:sz="0" w:space="0" w:color="auto"/>
                        <w:bottom w:val="none" w:sz="0" w:space="0" w:color="auto"/>
                        <w:right w:val="none" w:sz="0" w:space="0" w:color="auto"/>
                      </w:divBdr>
                    </w:div>
                    <w:div w:id="294141641">
                      <w:marLeft w:val="0"/>
                      <w:marRight w:val="0"/>
                      <w:marTop w:val="0"/>
                      <w:marBottom w:val="0"/>
                      <w:divBdr>
                        <w:top w:val="none" w:sz="0" w:space="0" w:color="auto"/>
                        <w:left w:val="none" w:sz="0" w:space="0" w:color="auto"/>
                        <w:bottom w:val="none" w:sz="0" w:space="0" w:color="auto"/>
                        <w:right w:val="none" w:sz="0" w:space="0" w:color="auto"/>
                      </w:divBdr>
                      <w:divsChild>
                        <w:div w:id="294148167">
                          <w:marLeft w:val="0"/>
                          <w:marRight w:val="0"/>
                          <w:marTop w:val="0"/>
                          <w:marBottom w:val="0"/>
                          <w:divBdr>
                            <w:top w:val="none" w:sz="0" w:space="0" w:color="auto"/>
                            <w:left w:val="none" w:sz="0" w:space="0" w:color="auto"/>
                            <w:bottom w:val="none" w:sz="0" w:space="0" w:color="auto"/>
                            <w:right w:val="none" w:sz="0" w:space="0" w:color="auto"/>
                          </w:divBdr>
                        </w:div>
                      </w:divsChild>
                    </w:div>
                    <w:div w:id="294141829">
                      <w:marLeft w:val="0"/>
                      <w:marRight w:val="0"/>
                      <w:marTop w:val="0"/>
                      <w:marBottom w:val="0"/>
                      <w:divBdr>
                        <w:top w:val="none" w:sz="0" w:space="0" w:color="auto"/>
                        <w:left w:val="none" w:sz="0" w:space="0" w:color="auto"/>
                        <w:bottom w:val="none" w:sz="0" w:space="0" w:color="auto"/>
                        <w:right w:val="none" w:sz="0" w:space="0" w:color="auto"/>
                      </w:divBdr>
                    </w:div>
                    <w:div w:id="294141891">
                      <w:marLeft w:val="0"/>
                      <w:marRight w:val="0"/>
                      <w:marTop w:val="0"/>
                      <w:marBottom w:val="0"/>
                      <w:divBdr>
                        <w:top w:val="none" w:sz="0" w:space="0" w:color="auto"/>
                        <w:left w:val="none" w:sz="0" w:space="0" w:color="auto"/>
                        <w:bottom w:val="none" w:sz="0" w:space="0" w:color="auto"/>
                        <w:right w:val="none" w:sz="0" w:space="0" w:color="auto"/>
                      </w:divBdr>
                      <w:divsChild>
                        <w:div w:id="294148811">
                          <w:marLeft w:val="0"/>
                          <w:marRight w:val="0"/>
                          <w:marTop w:val="0"/>
                          <w:marBottom w:val="0"/>
                          <w:divBdr>
                            <w:top w:val="none" w:sz="0" w:space="0" w:color="auto"/>
                            <w:left w:val="none" w:sz="0" w:space="0" w:color="auto"/>
                            <w:bottom w:val="none" w:sz="0" w:space="0" w:color="auto"/>
                            <w:right w:val="none" w:sz="0" w:space="0" w:color="auto"/>
                          </w:divBdr>
                        </w:div>
                      </w:divsChild>
                    </w:div>
                    <w:div w:id="294141989">
                      <w:marLeft w:val="0"/>
                      <w:marRight w:val="0"/>
                      <w:marTop w:val="0"/>
                      <w:marBottom w:val="0"/>
                      <w:divBdr>
                        <w:top w:val="none" w:sz="0" w:space="0" w:color="auto"/>
                        <w:left w:val="none" w:sz="0" w:space="0" w:color="auto"/>
                        <w:bottom w:val="none" w:sz="0" w:space="0" w:color="auto"/>
                        <w:right w:val="none" w:sz="0" w:space="0" w:color="auto"/>
                      </w:divBdr>
                    </w:div>
                    <w:div w:id="294142040">
                      <w:marLeft w:val="0"/>
                      <w:marRight w:val="0"/>
                      <w:marTop w:val="0"/>
                      <w:marBottom w:val="0"/>
                      <w:divBdr>
                        <w:top w:val="none" w:sz="0" w:space="0" w:color="auto"/>
                        <w:left w:val="none" w:sz="0" w:space="0" w:color="auto"/>
                        <w:bottom w:val="none" w:sz="0" w:space="0" w:color="auto"/>
                        <w:right w:val="none" w:sz="0" w:space="0" w:color="auto"/>
                      </w:divBdr>
                    </w:div>
                    <w:div w:id="294142074">
                      <w:marLeft w:val="0"/>
                      <w:marRight w:val="0"/>
                      <w:marTop w:val="0"/>
                      <w:marBottom w:val="0"/>
                      <w:divBdr>
                        <w:top w:val="none" w:sz="0" w:space="0" w:color="auto"/>
                        <w:left w:val="none" w:sz="0" w:space="0" w:color="auto"/>
                        <w:bottom w:val="none" w:sz="0" w:space="0" w:color="auto"/>
                        <w:right w:val="none" w:sz="0" w:space="0" w:color="auto"/>
                      </w:divBdr>
                      <w:divsChild>
                        <w:div w:id="294141141">
                          <w:marLeft w:val="0"/>
                          <w:marRight w:val="0"/>
                          <w:marTop w:val="0"/>
                          <w:marBottom w:val="0"/>
                          <w:divBdr>
                            <w:top w:val="none" w:sz="0" w:space="0" w:color="auto"/>
                            <w:left w:val="none" w:sz="0" w:space="0" w:color="auto"/>
                            <w:bottom w:val="none" w:sz="0" w:space="0" w:color="auto"/>
                            <w:right w:val="none" w:sz="0" w:space="0" w:color="auto"/>
                          </w:divBdr>
                        </w:div>
                      </w:divsChild>
                    </w:div>
                    <w:div w:id="294142087">
                      <w:marLeft w:val="0"/>
                      <w:marRight w:val="0"/>
                      <w:marTop w:val="0"/>
                      <w:marBottom w:val="0"/>
                      <w:divBdr>
                        <w:top w:val="none" w:sz="0" w:space="0" w:color="auto"/>
                        <w:left w:val="none" w:sz="0" w:space="0" w:color="auto"/>
                        <w:bottom w:val="none" w:sz="0" w:space="0" w:color="auto"/>
                        <w:right w:val="none" w:sz="0" w:space="0" w:color="auto"/>
                      </w:divBdr>
                    </w:div>
                    <w:div w:id="294142129">
                      <w:marLeft w:val="0"/>
                      <w:marRight w:val="0"/>
                      <w:marTop w:val="0"/>
                      <w:marBottom w:val="0"/>
                      <w:divBdr>
                        <w:top w:val="none" w:sz="0" w:space="0" w:color="auto"/>
                        <w:left w:val="none" w:sz="0" w:space="0" w:color="auto"/>
                        <w:bottom w:val="none" w:sz="0" w:space="0" w:color="auto"/>
                        <w:right w:val="none" w:sz="0" w:space="0" w:color="auto"/>
                      </w:divBdr>
                    </w:div>
                    <w:div w:id="294142136">
                      <w:marLeft w:val="0"/>
                      <w:marRight w:val="0"/>
                      <w:marTop w:val="0"/>
                      <w:marBottom w:val="0"/>
                      <w:divBdr>
                        <w:top w:val="none" w:sz="0" w:space="0" w:color="auto"/>
                        <w:left w:val="none" w:sz="0" w:space="0" w:color="auto"/>
                        <w:bottom w:val="none" w:sz="0" w:space="0" w:color="auto"/>
                        <w:right w:val="none" w:sz="0" w:space="0" w:color="auto"/>
                      </w:divBdr>
                      <w:divsChild>
                        <w:div w:id="294140556">
                          <w:marLeft w:val="0"/>
                          <w:marRight w:val="0"/>
                          <w:marTop w:val="0"/>
                          <w:marBottom w:val="0"/>
                          <w:divBdr>
                            <w:top w:val="none" w:sz="0" w:space="0" w:color="auto"/>
                            <w:left w:val="none" w:sz="0" w:space="0" w:color="auto"/>
                            <w:bottom w:val="none" w:sz="0" w:space="0" w:color="auto"/>
                            <w:right w:val="none" w:sz="0" w:space="0" w:color="auto"/>
                          </w:divBdr>
                        </w:div>
                      </w:divsChild>
                    </w:div>
                    <w:div w:id="294142185">
                      <w:marLeft w:val="0"/>
                      <w:marRight w:val="0"/>
                      <w:marTop w:val="0"/>
                      <w:marBottom w:val="0"/>
                      <w:divBdr>
                        <w:top w:val="none" w:sz="0" w:space="0" w:color="auto"/>
                        <w:left w:val="none" w:sz="0" w:space="0" w:color="auto"/>
                        <w:bottom w:val="none" w:sz="0" w:space="0" w:color="auto"/>
                        <w:right w:val="none" w:sz="0" w:space="0" w:color="auto"/>
                      </w:divBdr>
                      <w:divsChild>
                        <w:div w:id="294154777">
                          <w:marLeft w:val="0"/>
                          <w:marRight w:val="0"/>
                          <w:marTop w:val="0"/>
                          <w:marBottom w:val="0"/>
                          <w:divBdr>
                            <w:top w:val="none" w:sz="0" w:space="0" w:color="auto"/>
                            <w:left w:val="none" w:sz="0" w:space="0" w:color="auto"/>
                            <w:bottom w:val="none" w:sz="0" w:space="0" w:color="auto"/>
                            <w:right w:val="none" w:sz="0" w:space="0" w:color="auto"/>
                          </w:divBdr>
                        </w:div>
                      </w:divsChild>
                    </w:div>
                    <w:div w:id="294142187">
                      <w:marLeft w:val="0"/>
                      <w:marRight w:val="0"/>
                      <w:marTop w:val="0"/>
                      <w:marBottom w:val="0"/>
                      <w:divBdr>
                        <w:top w:val="none" w:sz="0" w:space="0" w:color="auto"/>
                        <w:left w:val="none" w:sz="0" w:space="0" w:color="auto"/>
                        <w:bottom w:val="none" w:sz="0" w:space="0" w:color="auto"/>
                        <w:right w:val="none" w:sz="0" w:space="0" w:color="auto"/>
                      </w:divBdr>
                    </w:div>
                    <w:div w:id="294142236">
                      <w:marLeft w:val="0"/>
                      <w:marRight w:val="0"/>
                      <w:marTop w:val="0"/>
                      <w:marBottom w:val="0"/>
                      <w:divBdr>
                        <w:top w:val="none" w:sz="0" w:space="0" w:color="auto"/>
                        <w:left w:val="none" w:sz="0" w:space="0" w:color="auto"/>
                        <w:bottom w:val="none" w:sz="0" w:space="0" w:color="auto"/>
                        <w:right w:val="none" w:sz="0" w:space="0" w:color="auto"/>
                      </w:divBdr>
                    </w:div>
                    <w:div w:id="294142274">
                      <w:marLeft w:val="0"/>
                      <w:marRight w:val="0"/>
                      <w:marTop w:val="0"/>
                      <w:marBottom w:val="0"/>
                      <w:divBdr>
                        <w:top w:val="none" w:sz="0" w:space="0" w:color="auto"/>
                        <w:left w:val="none" w:sz="0" w:space="0" w:color="auto"/>
                        <w:bottom w:val="none" w:sz="0" w:space="0" w:color="auto"/>
                        <w:right w:val="none" w:sz="0" w:space="0" w:color="auto"/>
                      </w:divBdr>
                    </w:div>
                    <w:div w:id="294142448">
                      <w:marLeft w:val="0"/>
                      <w:marRight w:val="0"/>
                      <w:marTop w:val="0"/>
                      <w:marBottom w:val="0"/>
                      <w:divBdr>
                        <w:top w:val="none" w:sz="0" w:space="0" w:color="auto"/>
                        <w:left w:val="none" w:sz="0" w:space="0" w:color="auto"/>
                        <w:bottom w:val="none" w:sz="0" w:space="0" w:color="auto"/>
                        <w:right w:val="none" w:sz="0" w:space="0" w:color="auto"/>
                      </w:divBdr>
                    </w:div>
                    <w:div w:id="294142460">
                      <w:marLeft w:val="0"/>
                      <w:marRight w:val="0"/>
                      <w:marTop w:val="0"/>
                      <w:marBottom w:val="0"/>
                      <w:divBdr>
                        <w:top w:val="none" w:sz="0" w:space="0" w:color="auto"/>
                        <w:left w:val="none" w:sz="0" w:space="0" w:color="auto"/>
                        <w:bottom w:val="none" w:sz="0" w:space="0" w:color="auto"/>
                        <w:right w:val="none" w:sz="0" w:space="0" w:color="auto"/>
                      </w:divBdr>
                      <w:divsChild>
                        <w:div w:id="294148726">
                          <w:marLeft w:val="0"/>
                          <w:marRight w:val="0"/>
                          <w:marTop w:val="0"/>
                          <w:marBottom w:val="0"/>
                          <w:divBdr>
                            <w:top w:val="none" w:sz="0" w:space="0" w:color="auto"/>
                            <w:left w:val="none" w:sz="0" w:space="0" w:color="auto"/>
                            <w:bottom w:val="none" w:sz="0" w:space="0" w:color="auto"/>
                            <w:right w:val="none" w:sz="0" w:space="0" w:color="auto"/>
                          </w:divBdr>
                        </w:div>
                      </w:divsChild>
                    </w:div>
                    <w:div w:id="294142660">
                      <w:marLeft w:val="0"/>
                      <w:marRight w:val="0"/>
                      <w:marTop w:val="0"/>
                      <w:marBottom w:val="0"/>
                      <w:divBdr>
                        <w:top w:val="none" w:sz="0" w:space="0" w:color="auto"/>
                        <w:left w:val="none" w:sz="0" w:space="0" w:color="auto"/>
                        <w:bottom w:val="none" w:sz="0" w:space="0" w:color="auto"/>
                        <w:right w:val="none" w:sz="0" w:space="0" w:color="auto"/>
                      </w:divBdr>
                      <w:divsChild>
                        <w:div w:id="294142694">
                          <w:marLeft w:val="0"/>
                          <w:marRight w:val="0"/>
                          <w:marTop w:val="0"/>
                          <w:marBottom w:val="0"/>
                          <w:divBdr>
                            <w:top w:val="none" w:sz="0" w:space="0" w:color="auto"/>
                            <w:left w:val="none" w:sz="0" w:space="0" w:color="auto"/>
                            <w:bottom w:val="none" w:sz="0" w:space="0" w:color="auto"/>
                            <w:right w:val="none" w:sz="0" w:space="0" w:color="auto"/>
                          </w:divBdr>
                        </w:div>
                      </w:divsChild>
                    </w:div>
                    <w:div w:id="294142801">
                      <w:marLeft w:val="0"/>
                      <w:marRight w:val="0"/>
                      <w:marTop w:val="0"/>
                      <w:marBottom w:val="0"/>
                      <w:divBdr>
                        <w:top w:val="none" w:sz="0" w:space="0" w:color="auto"/>
                        <w:left w:val="none" w:sz="0" w:space="0" w:color="auto"/>
                        <w:bottom w:val="none" w:sz="0" w:space="0" w:color="auto"/>
                        <w:right w:val="none" w:sz="0" w:space="0" w:color="auto"/>
                      </w:divBdr>
                      <w:divsChild>
                        <w:div w:id="294147523">
                          <w:marLeft w:val="0"/>
                          <w:marRight w:val="0"/>
                          <w:marTop w:val="0"/>
                          <w:marBottom w:val="0"/>
                          <w:divBdr>
                            <w:top w:val="none" w:sz="0" w:space="0" w:color="auto"/>
                            <w:left w:val="none" w:sz="0" w:space="0" w:color="auto"/>
                            <w:bottom w:val="none" w:sz="0" w:space="0" w:color="auto"/>
                            <w:right w:val="none" w:sz="0" w:space="0" w:color="auto"/>
                          </w:divBdr>
                        </w:div>
                      </w:divsChild>
                    </w:div>
                    <w:div w:id="294142947">
                      <w:marLeft w:val="0"/>
                      <w:marRight w:val="0"/>
                      <w:marTop w:val="0"/>
                      <w:marBottom w:val="0"/>
                      <w:divBdr>
                        <w:top w:val="none" w:sz="0" w:space="0" w:color="auto"/>
                        <w:left w:val="none" w:sz="0" w:space="0" w:color="auto"/>
                        <w:bottom w:val="none" w:sz="0" w:space="0" w:color="auto"/>
                        <w:right w:val="none" w:sz="0" w:space="0" w:color="auto"/>
                      </w:divBdr>
                      <w:divsChild>
                        <w:div w:id="294148250">
                          <w:marLeft w:val="0"/>
                          <w:marRight w:val="0"/>
                          <w:marTop w:val="0"/>
                          <w:marBottom w:val="0"/>
                          <w:divBdr>
                            <w:top w:val="none" w:sz="0" w:space="0" w:color="auto"/>
                            <w:left w:val="none" w:sz="0" w:space="0" w:color="auto"/>
                            <w:bottom w:val="none" w:sz="0" w:space="0" w:color="auto"/>
                            <w:right w:val="none" w:sz="0" w:space="0" w:color="auto"/>
                          </w:divBdr>
                        </w:div>
                      </w:divsChild>
                    </w:div>
                    <w:div w:id="294142956">
                      <w:marLeft w:val="0"/>
                      <w:marRight w:val="0"/>
                      <w:marTop w:val="0"/>
                      <w:marBottom w:val="0"/>
                      <w:divBdr>
                        <w:top w:val="none" w:sz="0" w:space="0" w:color="auto"/>
                        <w:left w:val="none" w:sz="0" w:space="0" w:color="auto"/>
                        <w:bottom w:val="none" w:sz="0" w:space="0" w:color="auto"/>
                        <w:right w:val="none" w:sz="0" w:space="0" w:color="auto"/>
                      </w:divBdr>
                      <w:divsChild>
                        <w:div w:id="294157382">
                          <w:marLeft w:val="0"/>
                          <w:marRight w:val="0"/>
                          <w:marTop w:val="0"/>
                          <w:marBottom w:val="0"/>
                          <w:divBdr>
                            <w:top w:val="none" w:sz="0" w:space="0" w:color="auto"/>
                            <w:left w:val="none" w:sz="0" w:space="0" w:color="auto"/>
                            <w:bottom w:val="none" w:sz="0" w:space="0" w:color="auto"/>
                            <w:right w:val="none" w:sz="0" w:space="0" w:color="auto"/>
                          </w:divBdr>
                        </w:div>
                      </w:divsChild>
                    </w:div>
                    <w:div w:id="294142993">
                      <w:marLeft w:val="0"/>
                      <w:marRight w:val="0"/>
                      <w:marTop w:val="0"/>
                      <w:marBottom w:val="0"/>
                      <w:divBdr>
                        <w:top w:val="none" w:sz="0" w:space="0" w:color="auto"/>
                        <w:left w:val="none" w:sz="0" w:space="0" w:color="auto"/>
                        <w:bottom w:val="none" w:sz="0" w:space="0" w:color="auto"/>
                        <w:right w:val="none" w:sz="0" w:space="0" w:color="auto"/>
                      </w:divBdr>
                      <w:divsChild>
                        <w:div w:id="294157219">
                          <w:marLeft w:val="0"/>
                          <w:marRight w:val="0"/>
                          <w:marTop w:val="0"/>
                          <w:marBottom w:val="0"/>
                          <w:divBdr>
                            <w:top w:val="none" w:sz="0" w:space="0" w:color="auto"/>
                            <w:left w:val="none" w:sz="0" w:space="0" w:color="auto"/>
                            <w:bottom w:val="none" w:sz="0" w:space="0" w:color="auto"/>
                            <w:right w:val="none" w:sz="0" w:space="0" w:color="auto"/>
                          </w:divBdr>
                        </w:div>
                      </w:divsChild>
                    </w:div>
                    <w:div w:id="294143036">
                      <w:marLeft w:val="0"/>
                      <w:marRight w:val="0"/>
                      <w:marTop w:val="0"/>
                      <w:marBottom w:val="0"/>
                      <w:divBdr>
                        <w:top w:val="none" w:sz="0" w:space="0" w:color="auto"/>
                        <w:left w:val="none" w:sz="0" w:space="0" w:color="auto"/>
                        <w:bottom w:val="none" w:sz="0" w:space="0" w:color="auto"/>
                        <w:right w:val="none" w:sz="0" w:space="0" w:color="auto"/>
                      </w:divBdr>
                    </w:div>
                    <w:div w:id="294143043">
                      <w:marLeft w:val="0"/>
                      <w:marRight w:val="0"/>
                      <w:marTop w:val="0"/>
                      <w:marBottom w:val="0"/>
                      <w:divBdr>
                        <w:top w:val="none" w:sz="0" w:space="0" w:color="auto"/>
                        <w:left w:val="none" w:sz="0" w:space="0" w:color="auto"/>
                        <w:bottom w:val="none" w:sz="0" w:space="0" w:color="auto"/>
                        <w:right w:val="none" w:sz="0" w:space="0" w:color="auto"/>
                      </w:divBdr>
                      <w:divsChild>
                        <w:div w:id="294147436">
                          <w:marLeft w:val="0"/>
                          <w:marRight w:val="0"/>
                          <w:marTop w:val="0"/>
                          <w:marBottom w:val="0"/>
                          <w:divBdr>
                            <w:top w:val="none" w:sz="0" w:space="0" w:color="auto"/>
                            <w:left w:val="none" w:sz="0" w:space="0" w:color="auto"/>
                            <w:bottom w:val="none" w:sz="0" w:space="0" w:color="auto"/>
                            <w:right w:val="none" w:sz="0" w:space="0" w:color="auto"/>
                          </w:divBdr>
                        </w:div>
                      </w:divsChild>
                    </w:div>
                    <w:div w:id="294143051">
                      <w:marLeft w:val="0"/>
                      <w:marRight w:val="0"/>
                      <w:marTop w:val="0"/>
                      <w:marBottom w:val="0"/>
                      <w:divBdr>
                        <w:top w:val="none" w:sz="0" w:space="0" w:color="auto"/>
                        <w:left w:val="none" w:sz="0" w:space="0" w:color="auto"/>
                        <w:bottom w:val="none" w:sz="0" w:space="0" w:color="auto"/>
                        <w:right w:val="none" w:sz="0" w:space="0" w:color="auto"/>
                      </w:divBdr>
                    </w:div>
                    <w:div w:id="294143065">
                      <w:marLeft w:val="0"/>
                      <w:marRight w:val="0"/>
                      <w:marTop w:val="0"/>
                      <w:marBottom w:val="0"/>
                      <w:divBdr>
                        <w:top w:val="none" w:sz="0" w:space="0" w:color="auto"/>
                        <w:left w:val="none" w:sz="0" w:space="0" w:color="auto"/>
                        <w:bottom w:val="none" w:sz="0" w:space="0" w:color="auto"/>
                        <w:right w:val="none" w:sz="0" w:space="0" w:color="auto"/>
                      </w:divBdr>
                      <w:divsChild>
                        <w:div w:id="294142782">
                          <w:marLeft w:val="0"/>
                          <w:marRight w:val="0"/>
                          <w:marTop w:val="0"/>
                          <w:marBottom w:val="0"/>
                          <w:divBdr>
                            <w:top w:val="none" w:sz="0" w:space="0" w:color="auto"/>
                            <w:left w:val="none" w:sz="0" w:space="0" w:color="auto"/>
                            <w:bottom w:val="none" w:sz="0" w:space="0" w:color="auto"/>
                            <w:right w:val="none" w:sz="0" w:space="0" w:color="auto"/>
                          </w:divBdr>
                        </w:div>
                      </w:divsChild>
                    </w:div>
                    <w:div w:id="294143099">
                      <w:marLeft w:val="0"/>
                      <w:marRight w:val="0"/>
                      <w:marTop w:val="0"/>
                      <w:marBottom w:val="0"/>
                      <w:divBdr>
                        <w:top w:val="none" w:sz="0" w:space="0" w:color="auto"/>
                        <w:left w:val="none" w:sz="0" w:space="0" w:color="auto"/>
                        <w:bottom w:val="none" w:sz="0" w:space="0" w:color="auto"/>
                        <w:right w:val="none" w:sz="0" w:space="0" w:color="auto"/>
                      </w:divBdr>
                    </w:div>
                    <w:div w:id="294143172">
                      <w:marLeft w:val="0"/>
                      <w:marRight w:val="0"/>
                      <w:marTop w:val="0"/>
                      <w:marBottom w:val="0"/>
                      <w:divBdr>
                        <w:top w:val="none" w:sz="0" w:space="0" w:color="auto"/>
                        <w:left w:val="none" w:sz="0" w:space="0" w:color="auto"/>
                        <w:bottom w:val="none" w:sz="0" w:space="0" w:color="auto"/>
                        <w:right w:val="none" w:sz="0" w:space="0" w:color="auto"/>
                      </w:divBdr>
                      <w:divsChild>
                        <w:div w:id="294145537">
                          <w:marLeft w:val="0"/>
                          <w:marRight w:val="0"/>
                          <w:marTop w:val="0"/>
                          <w:marBottom w:val="0"/>
                          <w:divBdr>
                            <w:top w:val="none" w:sz="0" w:space="0" w:color="auto"/>
                            <w:left w:val="none" w:sz="0" w:space="0" w:color="auto"/>
                            <w:bottom w:val="none" w:sz="0" w:space="0" w:color="auto"/>
                            <w:right w:val="none" w:sz="0" w:space="0" w:color="auto"/>
                          </w:divBdr>
                        </w:div>
                      </w:divsChild>
                    </w:div>
                    <w:div w:id="294143199">
                      <w:marLeft w:val="0"/>
                      <w:marRight w:val="0"/>
                      <w:marTop w:val="0"/>
                      <w:marBottom w:val="0"/>
                      <w:divBdr>
                        <w:top w:val="none" w:sz="0" w:space="0" w:color="auto"/>
                        <w:left w:val="none" w:sz="0" w:space="0" w:color="auto"/>
                        <w:bottom w:val="none" w:sz="0" w:space="0" w:color="auto"/>
                        <w:right w:val="none" w:sz="0" w:space="0" w:color="auto"/>
                      </w:divBdr>
                      <w:divsChild>
                        <w:div w:id="294149039">
                          <w:marLeft w:val="0"/>
                          <w:marRight w:val="0"/>
                          <w:marTop w:val="0"/>
                          <w:marBottom w:val="0"/>
                          <w:divBdr>
                            <w:top w:val="none" w:sz="0" w:space="0" w:color="auto"/>
                            <w:left w:val="none" w:sz="0" w:space="0" w:color="auto"/>
                            <w:bottom w:val="none" w:sz="0" w:space="0" w:color="auto"/>
                            <w:right w:val="none" w:sz="0" w:space="0" w:color="auto"/>
                          </w:divBdr>
                        </w:div>
                      </w:divsChild>
                    </w:div>
                    <w:div w:id="294143245">
                      <w:marLeft w:val="0"/>
                      <w:marRight w:val="0"/>
                      <w:marTop w:val="0"/>
                      <w:marBottom w:val="0"/>
                      <w:divBdr>
                        <w:top w:val="none" w:sz="0" w:space="0" w:color="auto"/>
                        <w:left w:val="none" w:sz="0" w:space="0" w:color="auto"/>
                        <w:bottom w:val="none" w:sz="0" w:space="0" w:color="auto"/>
                        <w:right w:val="none" w:sz="0" w:space="0" w:color="auto"/>
                      </w:divBdr>
                    </w:div>
                    <w:div w:id="294143284">
                      <w:marLeft w:val="0"/>
                      <w:marRight w:val="0"/>
                      <w:marTop w:val="0"/>
                      <w:marBottom w:val="0"/>
                      <w:divBdr>
                        <w:top w:val="none" w:sz="0" w:space="0" w:color="auto"/>
                        <w:left w:val="none" w:sz="0" w:space="0" w:color="auto"/>
                        <w:bottom w:val="none" w:sz="0" w:space="0" w:color="auto"/>
                        <w:right w:val="none" w:sz="0" w:space="0" w:color="auto"/>
                      </w:divBdr>
                      <w:divsChild>
                        <w:div w:id="294142931">
                          <w:marLeft w:val="0"/>
                          <w:marRight w:val="0"/>
                          <w:marTop w:val="0"/>
                          <w:marBottom w:val="0"/>
                          <w:divBdr>
                            <w:top w:val="none" w:sz="0" w:space="0" w:color="auto"/>
                            <w:left w:val="none" w:sz="0" w:space="0" w:color="auto"/>
                            <w:bottom w:val="none" w:sz="0" w:space="0" w:color="auto"/>
                            <w:right w:val="none" w:sz="0" w:space="0" w:color="auto"/>
                          </w:divBdr>
                        </w:div>
                      </w:divsChild>
                    </w:div>
                    <w:div w:id="294143447">
                      <w:marLeft w:val="0"/>
                      <w:marRight w:val="0"/>
                      <w:marTop w:val="0"/>
                      <w:marBottom w:val="0"/>
                      <w:divBdr>
                        <w:top w:val="none" w:sz="0" w:space="0" w:color="auto"/>
                        <w:left w:val="none" w:sz="0" w:space="0" w:color="auto"/>
                        <w:bottom w:val="none" w:sz="0" w:space="0" w:color="auto"/>
                        <w:right w:val="none" w:sz="0" w:space="0" w:color="auto"/>
                      </w:divBdr>
                    </w:div>
                    <w:div w:id="294143521">
                      <w:marLeft w:val="0"/>
                      <w:marRight w:val="0"/>
                      <w:marTop w:val="0"/>
                      <w:marBottom w:val="0"/>
                      <w:divBdr>
                        <w:top w:val="none" w:sz="0" w:space="0" w:color="auto"/>
                        <w:left w:val="none" w:sz="0" w:space="0" w:color="auto"/>
                        <w:bottom w:val="none" w:sz="0" w:space="0" w:color="auto"/>
                        <w:right w:val="none" w:sz="0" w:space="0" w:color="auto"/>
                      </w:divBdr>
                      <w:divsChild>
                        <w:div w:id="294145528">
                          <w:marLeft w:val="0"/>
                          <w:marRight w:val="0"/>
                          <w:marTop w:val="0"/>
                          <w:marBottom w:val="0"/>
                          <w:divBdr>
                            <w:top w:val="none" w:sz="0" w:space="0" w:color="auto"/>
                            <w:left w:val="none" w:sz="0" w:space="0" w:color="auto"/>
                            <w:bottom w:val="none" w:sz="0" w:space="0" w:color="auto"/>
                            <w:right w:val="none" w:sz="0" w:space="0" w:color="auto"/>
                          </w:divBdr>
                        </w:div>
                      </w:divsChild>
                    </w:div>
                    <w:div w:id="294143552">
                      <w:marLeft w:val="0"/>
                      <w:marRight w:val="0"/>
                      <w:marTop w:val="0"/>
                      <w:marBottom w:val="0"/>
                      <w:divBdr>
                        <w:top w:val="none" w:sz="0" w:space="0" w:color="auto"/>
                        <w:left w:val="none" w:sz="0" w:space="0" w:color="auto"/>
                        <w:bottom w:val="none" w:sz="0" w:space="0" w:color="auto"/>
                        <w:right w:val="none" w:sz="0" w:space="0" w:color="auto"/>
                      </w:divBdr>
                    </w:div>
                    <w:div w:id="294143672">
                      <w:marLeft w:val="0"/>
                      <w:marRight w:val="0"/>
                      <w:marTop w:val="0"/>
                      <w:marBottom w:val="0"/>
                      <w:divBdr>
                        <w:top w:val="none" w:sz="0" w:space="0" w:color="auto"/>
                        <w:left w:val="none" w:sz="0" w:space="0" w:color="auto"/>
                        <w:bottom w:val="none" w:sz="0" w:space="0" w:color="auto"/>
                        <w:right w:val="none" w:sz="0" w:space="0" w:color="auto"/>
                      </w:divBdr>
                    </w:div>
                    <w:div w:id="294143742">
                      <w:marLeft w:val="0"/>
                      <w:marRight w:val="0"/>
                      <w:marTop w:val="0"/>
                      <w:marBottom w:val="0"/>
                      <w:divBdr>
                        <w:top w:val="none" w:sz="0" w:space="0" w:color="auto"/>
                        <w:left w:val="none" w:sz="0" w:space="0" w:color="auto"/>
                        <w:bottom w:val="none" w:sz="0" w:space="0" w:color="auto"/>
                        <w:right w:val="none" w:sz="0" w:space="0" w:color="auto"/>
                      </w:divBdr>
                    </w:div>
                    <w:div w:id="294143874">
                      <w:marLeft w:val="0"/>
                      <w:marRight w:val="0"/>
                      <w:marTop w:val="0"/>
                      <w:marBottom w:val="0"/>
                      <w:divBdr>
                        <w:top w:val="none" w:sz="0" w:space="0" w:color="auto"/>
                        <w:left w:val="none" w:sz="0" w:space="0" w:color="auto"/>
                        <w:bottom w:val="none" w:sz="0" w:space="0" w:color="auto"/>
                        <w:right w:val="none" w:sz="0" w:space="0" w:color="auto"/>
                      </w:divBdr>
                      <w:divsChild>
                        <w:div w:id="294138502">
                          <w:marLeft w:val="0"/>
                          <w:marRight w:val="0"/>
                          <w:marTop w:val="0"/>
                          <w:marBottom w:val="0"/>
                          <w:divBdr>
                            <w:top w:val="none" w:sz="0" w:space="0" w:color="auto"/>
                            <w:left w:val="none" w:sz="0" w:space="0" w:color="auto"/>
                            <w:bottom w:val="none" w:sz="0" w:space="0" w:color="auto"/>
                            <w:right w:val="none" w:sz="0" w:space="0" w:color="auto"/>
                          </w:divBdr>
                        </w:div>
                      </w:divsChild>
                    </w:div>
                    <w:div w:id="294143914">
                      <w:marLeft w:val="0"/>
                      <w:marRight w:val="0"/>
                      <w:marTop w:val="0"/>
                      <w:marBottom w:val="0"/>
                      <w:divBdr>
                        <w:top w:val="none" w:sz="0" w:space="0" w:color="auto"/>
                        <w:left w:val="none" w:sz="0" w:space="0" w:color="auto"/>
                        <w:bottom w:val="none" w:sz="0" w:space="0" w:color="auto"/>
                        <w:right w:val="none" w:sz="0" w:space="0" w:color="auto"/>
                      </w:divBdr>
                    </w:div>
                    <w:div w:id="294143938">
                      <w:marLeft w:val="0"/>
                      <w:marRight w:val="0"/>
                      <w:marTop w:val="0"/>
                      <w:marBottom w:val="0"/>
                      <w:divBdr>
                        <w:top w:val="none" w:sz="0" w:space="0" w:color="auto"/>
                        <w:left w:val="none" w:sz="0" w:space="0" w:color="auto"/>
                        <w:bottom w:val="none" w:sz="0" w:space="0" w:color="auto"/>
                        <w:right w:val="none" w:sz="0" w:space="0" w:color="auto"/>
                      </w:divBdr>
                    </w:div>
                    <w:div w:id="294143994">
                      <w:marLeft w:val="0"/>
                      <w:marRight w:val="0"/>
                      <w:marTop w:val="0"/>
                      <w:marBottom w:val="0"/>
                      <w:divBdr>
                        <w:top w:val="none" w:sz="0" w:space="0" w:color="auto"/>
                        <w:left w:val="none" w:sz="0" w:space="0" w:color="auto"/>
                        <w:bottom w:val="none" w:sz="0" w:space="0" w:color="auto"/>
                        <w:right w:val="none" w:sz="0" w:space="0" w:color="auto"/>
                      </w:divBdr>
                    </w:div>
                    <w:div w:id="294144095">
                      <w:marLeft w:val="0"/>
                      <w:marRight w:val="0"/>
                      <w:marTop w:val="0"/>
                      <w:marBottom w:val="0"/>
                      <w:divBdr>
                        <w:top w:val="none" w:sz="0" w:space="0" w:color="auto"/>
                        <w:left w:val="none" w:sz="0" w:space="0" w:color="auto"/>
                        <w:bottom w:val="none" w:sz="0" w:space="0" w:color="auto"/>
                        <w:right w:val="none" w:sz="0" w:space="0" w:color="auto"/>
                      </w:divBdr>
                      <w:divsChild>
                        <w:div w:id="294149094">
                          <w:marLeft w:val="0"/>
                          <w:marRight w:val="0"/>
                          <w:marTop w:val="0"/>
                          <w:marBottom w:val="0"/>
                          <w:divBdr>
                            <w:top w:val="none" w:sz="0" w:space="0" w:color="auto"/>
                            <w:left w:val="none" w:sz="0" w:space="0" w:color="auto"/>
                            <w:bottom w:val="none" w:sz="0" w:space="0" w:color="auto"/>
                            <w:right w:val="none" w:sz="0" w:space="0" w:color="auto"/>
                          </w:divBdr>
                        </w:div>
                      </w:divsChild>
                    </w:div>
                    <w:div w:id="294144143">
                      <w:marLeft w:val="0"/>
                      <w:marRight w:val="0"/>
                      <w:marTop w:val="0"/>
                      <w:marBottom w:val="0"/>
                      <w:divBdr>
                        <w:top w:val="none" w:sz="0" w:space="0" w:color="auto"/>
                        <w:left w:val="none" w:sz="0" w:space="0" w:color="auto"/>
                        <w:bottom w:val="none" w:sz="0" w:space="0" w:color="auto"/>
                        <w:right w:val="none" w:sz="0" w:space="0" w:color="auto"/>
                      </w:divBdr>
                    </w:div>
                    <w:div w:id="294144250">
                      <w:marLeft w:val="0"/>
                      <w:marRight w:val="0"/>
                      <w:marTop w:val="0"/>
                      <w:marBottom w:val="0"/>
                      <w:divBdr>
                        <w:top w:val="none" w:sz="0" w:space="0" w:color="auto"/>
                        <w:left w:val="none" w:sz="0" w:space="0" w:color="auto"/>
                        <w:bottom w:val="none" w:sz="0" w:space="0" w:color="auto"/>
                        <w:right w:val="none" w:sz="0" w:space="0" w:color="auto"/>
                      </w:divBdr>
                      <w:divsChild>
                        <w:div w:id="294154529">
                          <w:marLeft w:val="0"/>
                          <w:marRight w:val="0"/>
                          <w:marTop w:val="0"/>
                          <w:marBottom w:val="0"/>
                          <w:divBdr>
                            <w:top w:val="none" w:sz="0" w:space="0" w:color="auto"/>
                            <w:left w:val="none" w:sz="0" w:space="0" w:color="auto"/>
                            <w:bottom w:val="none" w:sz="0" w:space="0" w:color="auto"/>
                            <w:right w:val="none" w:sz="0" w:space="0" w:color="auto"/>
                          </w:divBdr>
                        </w:div>
                      </w:divsChild>
                    </w:div>
                    <w:div w:id="294144280">
                      <w:marLeft w:val="0"/>
                      <w:marRight w:val="0"/>
                      <w:marTop w:val="0"/>
                      <w:marBottom w:val="0"/>
                      <w:divBdr>
                        <w:top w:val="none" w:sz="0" w:space="0" w:color="auto"/>
                        <w:left w:val="none" w:sz="0" w:space="0" w:color="auto"/>
                        <w:bottom w:val="none" w:sz="0" w:space="0" w:color="auto"/>
                        <w:right w:val="none" w:sz="0" w:space="0" w:color="auto"/>
                      </w:divBdr>
                      <w:divsChild>
                        <w:div w:id="294140060">
                          <w:marLeft w:val="0"/>
                          <w:marRight w:val="0"/>
                          <w:marTop w:val="0"/>
                          <w:marBottom w:val="0"/>
                          <w:divBdr>
                            <w:top w:val="none" w:sz="0" w:space="0" w:color="auto"/>
                            <w:left w:val="none" w:sz="0" w:space="0" w:color="auto"/>
                            <w:bottom w:val="none" w:sz="0" w:space="0" w:color="auto"/>
                            <w:right w:val="none" w:sz="0" w:space="0" w:color="auto"/>
                          </w:divBdr>
                        </w:div>
                      </w:divsChild>
                    </w:div>
                    <w:div w:id="294144352">
                      <w:marLeft w:val="0"/>
                      <w:marRight w:val="0"/>
                      <w:marTop w:val="0"/>
                      <w:marBottom w:val="0"/>
                      <w:divBdr>
                        <w:top w:val="none" w:sz="0" w:space="0" w:color="auto"/>
                        <w:left w:val="none" w:sz="0" w:space="0" w:color="auto"/>
                        <w:bottom w:val="none" w:sz="0" w:space="0" w:color="auto"/>
                        <w:right w:val="none" w:sz="0" w:space="0" w:color="auto"/>
                      </w:divBdr>
                      <w:divsChild>
                        <w:div w:id="294156849">
                          <w:marLeft w:val="0"/>
                          <w:marRight w:val="0"/>
                          <w:marTop w:val="0"/>
                          <w:marBottom w:val="0"/>
                          <w:divBdr>
                            <w:top w:val="none" w:sz="0" w:space="0" w:color="auto"/>
                            <w:left w:val="none" w:sz="0" w:space="0" w:color="auto"/>
                            <w:bottom w:val="none" w:sz="0" w:space="0" w:color="auto"/>
                            <w:right w:val="none" w:sz="0" w:space="0" w:color="auto"/>
                          </w:divBdr>
                        </w:div>
                      </w:divsChild>
                    </w:div>
                    <w:div w:id="294144386">
                      <w:marLeft w:val="0"/>
                      <w:marRight w:val="0"/>
                      <w:marTop w:val="0"/>
                      <w:marBottom w:val="0"/>
                      <w:divBdr>
                        <w:top w:val="none" w:sz="0" w:space="0" w:color="auto"/>
                        <w:left w:val="none" w:sz="0" w:space="0" w:color="auto"/>
                        <w:bottom w:val="none" w:sz="0" w:space="0" w:color="auto"/>
                        <w:right w:val="none" w:sz="0" w:space="0" w:color="auto"/>
                      </w:divBdr>
                      <w:divsChild>
                        <w:div w:id="294138400">
                          <w:marLeft w:val="0"/>
                          <w:marRight w:val="0"/>
                          <w:marTop w:val="0"/>
                          <w:marBottom w:val="0"/>
                          <w:divBdr>
                            <w:top w:val="none" w:sz="0" w:space="0" w:color="auto"/>
                            <w:left w:val="none" w:sz="0" w:space="0" w:color="auto"/>
                            <w:bottom w:val="none" w:sz="0" w:space="0" w:color="auto"/>
                            <w:right w:val="none" w:sz="0" w:space="0" w:color="auto"/>
                          </w:divBdr>
                        </w:div>
                      </w:divsChild>
                    </w:div>
                    <w:div w:id="294144614">
                      <w:marLeft w:val="0"/>
                      <w:marRight w:val="0"/>
                      <w:marTop w:val="0"/>
                      <w:marBottom w:val="0"/>
                      <w:divBdr>
                        <w:top w:val="none" w:sz="0" w:space="0" w:color="auto"/>
                        <w:left w:val="none" w:sz="0" w:space="0" w:color="auto"/>
                        <w:bottom w:val="none" w:sz="0" w:space="0" w:color="auto"/>
                        <w:right w:val="none" w:sz="0" w:space="0" w:color="auto"/>
                      </w:divBdr>
                      <w:divsChild>
                        <w:div w:id="294151582">
                          <w:marLeft w:val="0"/>
                          <w:marRight w:val="0"/>
                          <w:marTop w:val="0"/>
                          <w:marBottom w:val="0"/>
                          <w:divBdr>
                            <w:top w:val="none" w:sz="0" w:space="0" w:color="auto"/>
                            <w:left w:val="none" w:sz="0" w:space="0" w:color="auto"/>
                            <w:bottom w:val="none" w:sz="0" w:space="0" w:color="auto"/>
                            <w:right w:val="none" w:sz="0" w:space="0" w:color="auto"/>
                          </w:divBdr>
                        </w:div>
                      </w:divsChild>
                    </w:div>
                    <w:div w:id="294144705">
                      <w:marLeft w:val="0"/>
                      <w:marRight w:val="0"/>
                      <w:marTop w:val="0"/>
                      <w:marBottom w:val="0"/>
                      <w:divBdr>
                        <w:top w:val="none" w:sz="0" w:space="0" w:color="auto"/>
                        <w:left w:val="none" w:sz="0" w:space="0" w:color="auto"/>
                        <w:bottom w:val="none" w:sz="0" w:space="0" w:color="auto"/>
                        <w:right w:val="none" w:sz="0" w:space="0" w:color="auto"/>
                      </w:divBdr>
                      <w:divsChild>
                        <w:div w:id="294146503">
                          <w:marLeft w:val="0"/>
                          <w:marRight w:val="0"/>
                          <w:marTop w:val="0"/>
                          <w:marBottom w:val="0"/>
                          <w:divBdr>
                            <w:top w:val="none" w:sz="0" w:space="0" w:color="auto"/>
                            <w:left w:val="none" w:sz="0" w:space="0" w:color="auto"/>
                            <w:bottom w:val="none" w:sz="0" w:space="0" w:color="auto"/>
                            <w:right w:val="none" w:sz="0" w:space="0" w:color="auto"/>
                          </w:divBdr>
                        </w:div>
                      </w:divsChild>
                    </w:div>
                    <w:div w:id="294144723">
                      <w:marLeft w:val="0"/>
                      <w:marRight w:val="0"/>
                      <w:marTop w:val="0"/>
                      <w:marBottom w:val="0"/>
                      <w:divBdr>
                        <w:top w:val="none" w:sz="0" w:space="0" w:color="auto"/>
                        <w:left w:val="none" w:sz="0" w:space="0" w:color="auto"/>
                        <w:bottom w:val="none" w:sz="0" w:space="0" w:color="auto"/>
                        <w:right w:val="none" w:sz="0" w:space="0" w:color="auto"/>
                      </w:divBdr>
                      <w:divsChild>
                        <w:div w:id="294144266">
                          <w:marLeft w:val="0"/>
                          <w:marRight w:val="0"/>
                          <w:marTop w:val="0"/>
                          <w:marBottom w:val="0"/>
                          <w:divBdr>
                            <w:top w:val="none" w:sz="0" w:space="0" w:color="auto"/>
                            <w:left w:val="none" w:sz="0" w:space="0" w:color="auto"/>
                            <w:bottom w:val="none" w:sz="0" w:space="0" w:color="auto"/>
                            <w:right w:val="none" w:sz="0" w:space="0" w:color="auto"/>
                          </w:divBdr>
                        </w:div>
                      </w:divsChild>
                    </w:div>
                    <w:div w:id="294144741">
                      <w:marLeft w:val="0"/>
                      <w:marRight w:val="0"/>
                      <w:marTop w:val="0"/>
                      <w:marBottom w:val="0"/>
                      <w:divBdr>
                        <w:top w:val="none" w:sz="0" w:space="0" w:color="auto"/>
                        <w:left w:val="none" w:sz="0" w:space="0" w:color="auto"/>
                        <w:bottom w:val="none" w:sz="0" w:space="0" w:color="auto"/>
                        <w:right w:val="none" w:sz="0" w:space="0" w:color="auto"/>
                      </w:divBdr>
                      <w:divsChild>
                        <w:div w:id="294140965">
                          <w:marLeft w:val="0"/>
                          <w:marRight w:val="0"/>
                          <w:marTop w:val="0"/>
                          <w:marBottom w:val="0"/>
                          <w:divBdr>
                            <w:top w:val="none" w:sz="0" w:space="0" w:color="auto"/>
                            <w:left w:val="none" w:sz="0" w:space="0" w:color="auto"/>
                            <w:bottom w:val="none" w:sz="0" w:space="0" w:color="auto"/>
                            <w:right w:val="none" w:sz="0" w:space="0" w:color="auto"/>
                          </w:divBdr>
                        </w:div>
                      </w:divsChild>
                    </w:div>
                    <w:div w:id="294144810">
                      <w:marLeft w:val="0"/>
                      <w:marRight w:val="0"/>
                      <w:marTop w:val="0"/>
                      <w:marBottom w:val="0"/>
                      <w:divBdr>
                        <w:top w:val="none" w:sz="0" w:space="0" w:color="auto"/>
                        <w:left w:val="none" w:sz="0" w:space="0" w:color="auto"/>
                        <w:bottom w:val="none" w:sz="0" w:space="0" w:color="auto"/>
                        <w:right w:val="none" w:sz="0" w:space="0" w:color="auto"/>
                      </w:divBdr>
                      <w:divsChild>
                        <w:div w:id="294144972">
                          <w:marLeft w:val="0"/>
                          <w:marRight w:val="0"/>
                          <w:marTop w:val="0"/>
                          <w:marBottom w:val="0"/>
                          <w:divBdr>
                            <w:top w:val="none" w:sz="0" w:space="0" w:color="auto"/>
                            <w:left w:val="none" w:sz="0" w:space="0" w:color="auto"/>
                            <w:bottom w:val="none" w:sz="0" w:space="0" w:color="auto"/>
                            <w:right w:val="none" w:sz="0" w:space="0" w:color="auto"/>
                          </w:divBdr>
                        </w:div>
                      </w:divsChild>
                    </w:div>
                    <w:div w:id="294144918">
                      <w:marLeft w:val="0"/>
                      <w:marRight w:val="0"/>
                      <w:marTop w:val="0"/>
                      <w:marBottom w:val="0"/>
                      <w:divBdr>
                        <w:top w:val="none" w:sz="0" w:space="0" w:color="auto"/>
                        <w:left w:val="none" w:sz="0" w:space="0" w:color="auto"/>
                        <w:bottom w:val="none" w:sz="0" w:space="0" w:color="auto"/>
                        <w:right w:val="none" w:sz="0" w:space="0" w:color="auto"/>
                      </w:divBdr>
                      <w:divsChild>
                        <w:div w:id="294143623">
                          <w:marLeft w:val="0"/>
                          <w:marRight w:val="0"/>
                          <w:marTop w:val="0"/>
                          <w:marBottom w:val="0"/>
                          <w:divBdr>
                            <w:top w:val="none" w:sz="0" w:space="0" w:color="auto"/>
                            <w:left w:val="none" w:sz="0" w:space="0" w:color="auto"/>
                            <w:bottom w:val="none" w:sz="0" w:space="0" w:color="auto"/>
                            <w:right w:val="none" w:sz="0" w:space="0" w:color="auto"/>
                          </w:divBdr>
                        </w:div>
                      </w:divsChild>
                    </w:div>
                    <w:div w:id="294144943">
                      <w:marLeft w:val="0"/>
                      <w:marRight w:val="0"/>
                      <w:marTop w:val="0"/>
                      <w:marBottom w:val="0"/>
                      <w:divBdr>
                        <w:top w:val="none" w:sz="0" w:space="0" w:color="auto"/>
                        <w:left w:val="none" w:sz="0" w:space="0" w:color="auto"/>
                        <w:bottom w:val="none" w:sz="0" w:space="0" w:color="auto"/>
                        <w:right w:val="none" w:sz="0" w:space="0" w:color="auto"/>
                      </w:divBdr>
                    </w:div>
                    <w:div w:id="294145262">
                      <w:marLeft w:val="0"/>
                      <w:marRight w:val="0"/>
                      <w:marTop w:val="0"/>
                      <w:marBottom w:val="0"/>
                      <w:divBdr>
                        <w:top w:val="none" w:sz="0" w:space="0" w:color="auto"/>
                        <w:left w:val="none" w:sz="0" w:space="0" w:color="auto"/>
                        <w:bottom w:val="none" w:sz="0" w:space="0" w:color="auto"/>
                        <w:right w:val="none" w:sz="0" w:space="0" w:color="auto"/>
                      </w:divBdr>
                      <w:divsChild>
                        <w:div w:id="294145173">
                          <w:marLeft w:val="0"/>
                          <w:marRight w:val="0"/>
                          <w:marTop w:val="0"/>
                          <w:marBottom w:val="0"/>
                          <w:divBdr>
                            <w:top w:val="none" w:sz="0" w:space="0" w:color="auto"/>
                            <w:left w:val="none" w:sz="0" w:space="0" w:color="auto"/>
                            <w:bottom w:val="none" w:sz="0" w:space="0" w:color="auto"/>
                            <w:right w:val="none" w:sz="0" w:space="0" w:color="auto"/>
                          </w:divBdr>
                        </w:div>
                      </w:divsChild>
                    </w:div>
                    <w:div w:id="294145280">
                      <w:marLeft w:val="0"/>
                      <w:marRight w:val="0"/>
                      <w:marTop w:val="0"/>
                      <w:marBottom w:val="0"/>
                      <w:divBdr>
                        <w:top w:val="none" w:sz="0" w:space="0" w:color="auto"/>
                        <w:left w:val="none" w:sz="0" w:space="0" w:color="auto"/>
                        <w:bottom w:val="none" w:sz="0" w:space="0" w:color="auto"/>
                        <w:right w:val="none" w:sz="0" w:space="0" w:color="auto"/>
                      </w:divBdr>
                    </w:div>
                    <w:div w:id="294145644">
                      <w:marLeft w:val="0"/>
                      <w:marRight w:val="0"/>
                      <w:marTop w:val="0"/>
                      <w:marBottom w:val="0"/>
                      <w:divBdr>
                        <w:top w:val="none" w:sz="0" w:space="0" w:color="auto"/>
                        <w:left w:val="none" w:sz="0" w:space="0" w:color="auto"/>
                        <w:bottom w:val="none" w:sz="0" w:space="0" w:color="auto"/>
                        <w:right w:val="none" w:sz="0" w:space="0" w:color="auto"/>
                      </w:divBdr>
                      <w:divsChild>
                        <w:div w:id="294147242">
                          <w:marLeft w:val="0"/>
                          <w:marRight w:val="0"/>
                          <w:marTop w:val="0"/>
                          <w:marBottom w:val="0"/>
                          <w:divBdr>
                            <w:top w:val="none" w:sz="0" w:space="0" w:color="auto"/>
                            <w:left w:val="none" w:sz="0" w:space="0" w:color="auto"/>
                            <w:bottom w:val="none" w:sz="0" w:space="0" w:color="auto"/>
                            <w:right w:val="none" w:sz="0" w:space="0" w:color="auto"/>
                          </w:divBdr>
                        </w:div>
                      </w:divsChild>
                    </w:div>
                    <w:div w:id="294145707">
                      <w:marLeft w:val="0"/>
                      <w:marRight w:val="0"/>
                      <w:marTop w:val="0"/>
                      <w:marBottom w:val="0"/>
                      <w:divBdr>
                        <w:top w:val="none" w:sz="0" w:space="0" w:color="auto"/>
                        <w:left w:val="none" w:sz="0" w:space="0" w:color="auto"/>
                        <w:bottom w:val="none" w:sz="0" w:space="0" w:color="auto"/>
                        <w:right w:val="none" w:sz="0" w:space="0" w:color="auto"/>
                      </w:divBdr>
                    </w:div>
                    <w:div w:id="294145804">
                      <w:marLeft w:val="0"/>
                      <w:marRight w:val="0"/>
                      <w:marTop w:val="0"/>
                      <w:marBottom w:val="0"/>
                      <w:divBdr>
                        <w:top w:val="none" w:sz="0" w:space="0" w:color="auto"/>
                        <w:left w:val="none" w:sz="0" w:space="0" w:color="auto"/>
                        <w:bottom w:val="none" w:sz="0" w:space="0" w:color="auto"/>
                        <w:right w:val="none" w:sz="0" w:space="0" w:color="auto"/>
                      </w:divBdr>
                    </w:div>
                    <w:div w:id="294145868">
                      <w:marLeft w:val="0"/>
                      <w:marRight w:val="0"/>
                      <w:marTop w:val="0"/>
                      <w:marBottom w:val="0"/>
                      <w:divBdr>
                        <w:top w:val="none" w:sz="0" w:space="0" w:color="auto"/>
                        <w:left w:val="none" w:sz="0" w:space="0" w:color="auto"/>
                        <w:bottom w:val="none" w:sz="0" w:space="0" w:color="auto"/>
                        <w:right w:val="none" w:sz="0" w:space="0" w:color="auto"/>
                      </w:divBdr>
                      <w:divsChild>
                        <w:div w:id="294140506">
                          <w:marLeft w:val="0"/>
                          <w:marRight w:val="0"/>
                          <w:marTop w:val="0"/>
                          <w:marBottom w:val="0"/>
                          <w:divBdr>
                            <w:top w:val="none" w:sz="0" w:space="0" w:color="auto"/>
                            <w:left w:val="none" w:sz="0" w:space="0" w:color="auto"/>
                            <w:bottom w:val="none" w:sz="0" w:space="0" w:color="auto"/>
                            <w:right w:val="none" w:sz="0" w:space="0" w:color="auto"/>
                          </w:divBdr>
                        </w:div>
                      </w:divsChild>
                    </w:div>
                    <w:div w:id="294145962">
                      <w:marLeft w:val="0"/>
                      <w:marRight w:val="0"/>
                      <w:marTop w:val="0"/>
                      <w:marBottom w:val="0"/>
                      <w:divBdr>
                        <w:top w:val="none" w:sz="0" w:space="0" w:color="auto"/>
                        <w:left w:val="none" w:sz="0" w:space="0" w:color="auto"/>
                        <w:bottom w:val="none" w:sz="0" w:space="0" w:color="auto"/>
                        <w:right w:val="none" w:sz="0" w:space="0" w:color="auto"/>
                      </w:divBdr>
                      <w:divsChild>
                        <w:div w:id="294150989">
                          <w:marLeft w:val="0"/>
                          <w:marRight w:val="0"/>
                          <w:marTop w:val="0"/>
                          <w:marBottom w:val="0"/>
                          <w:divBdr>
                            <w:top w:val="none" w:sz="0" w:space="0" w:color="auto"/>
                            <w:left w:val="none" w:sz="0" w:space="0" w:color="auto"/>
                            <w:bottom w:val="none" w:sz="0" w:space="0" w:color="auto"/>
                            <w:right w:val="none" w:sz="0" w:space="0" w:color="auto"/>
                          </w:divBdr>
                        </w:div>
                      </w:divsChild>
                    </w:div>
                    <w:div w:id="294146377">
                      <w:marLeft w:val="0"/>
                      <w:marRight w:val="0"/>
                      <w:marTop w:val="0"/>
                      <w:marBottom w:val="0"/>
                      <w:divBdr>
                        <w:top w:val="none" w:sz="0" w:space="0" w:color="auto"/>
                        <w:left w:val="none" w:sz="0" w:space="0" w:color="auto"/>
                        <w:bottom w:val="none" w:sz="0" w:space="0" w:color="auto"/>
                        <w:right w:val="none" w:sz="0" w:space="0" w:color="auto"/>
                      </w:divBdr>
                    </w:div>
                    <w:div w:id="294146398">
                      <w:marLeft w:val="0"/>
                      <w:marRight w:val="0"/>
                      <w:marTop w:val="0"/>
                      <w:marBottom w:val="0"/>
                      <w:divBdr>
                        <w:top w:val="none" w:sz="0" w:space="0" w:color="auto"/>
                        <w:left w:val="none" w:sz="0" w:space="0" w:color="auto"/>
                        <w:bottom w:val="none" w:sz="0" w:space="0" w:color="auto"/>
                        <w:right w:val="none" w:sz="0" w:space="0" w:color="auto"/>
                      </w:divBdr>
                      <w:divsChild>
                        <w:div w:id="294139810">
                          <w:marLeft w:val="0"/>
                          <w:marRight w:val="0"/>
                          <w:marTop w:val="0"/>
                          <w:marBottom w:val="0"/>
                          <w:divBdr>
                            <w:top w:val="none" w:sz="0" w:space="0" w:color="auto"/>
                            <w:left w:val="none" w:sz="0" w:space="0" w:color="auto"/>
                            <w:bottom w:val="none" w:sz="0" w:space="0" w:color="auto"/>
                            <w:right w:val="none" w:sz="0" w:space="0" w:color="auto"/>
                          </w:divBdr>
                        </w:div>
                      </w:divsChild>
                    </w:div>
                    <w:div w:id="294146967">
                      <w:marLeft w:val="0"/>
                      <w:marRight w:val="0"/>
                      <w:marTop w:val="0"/>
                      <w:marBottom w:val="0"/>
                      <w:divBdr>
                        <w:top w:val="none" w:sz="0" w:space="0" w:color="auto"/>
                        <w:left w:val="none" w:sz="0" w:space="0" w:color="auto"/>
                        <w:bottom w:val="none" w:sz="0" w:space="0" w:color="auto"/>
                        <w:right w:val="none" w:sz="0" w:space="0" w:color="auto"/>
                      </w:divBdr>
                      <w:divsChild>
                        <w:div w:id="294152331">
                          <w:marLeft w:val="0"/>
                          <w:marRight w:val="0"/>
                          <w:marTop w:val="0"/>
                          <w:marBottom w:val="0"/>
                          <w:divBdr>
                            <w:top w:val="none" w:sz="0" w:space="0" w:color="auto"/>
                            <w:left w:val="none" w:sz="0" w:space="0" w:color="auto"/>
                            <w:bottom w:val="none" w:sz="0" w:space="0" w:color="auto"/>
                            <w:right w:val="none" w:sz="0" w:space="0" w:color="auto"/>
                          </w:divBdr>
                        </w:div>
                      </w:divsChild>
                    </w:div>
                    <w:div w:id="294147001">
                      <w:marLeft w:val="0"/>
                      <w:marRight w:val="0"/>
                      <w:marTop w:val="0"/>
                      <w:marBottom w:val="0"/>
                      <w:divBdr>
                        <w:top w:val="none" w:sz="0" w:space="0" w:color="auto"/>
                        <w:left w:val="none" w:sz="0" w:space="0" w:color="auto"/>
                        <w:bottom w:val="none" w:sz="0" w:space="0" w:color="auto"/>
                        <w:right w:val="none" w:sz="0" w:space="0" w:color="auto"/>
                      </w:divBdr>
                    </w:div>
                    <w:div w:id="294147078">
                      <w:marLeft w:val="0"/>
                      <w:marRight w:val="0"/>
                      <w:marTop w:val="0"/>
                      <w:marBottom w:val="0"/>
                      <w:divBdr>
                        <w:top w:val="none" w:sz="0" w:space="0" w:color="auto"/>
                        <w:left w:val="none" w:sz="0" w:space="0" w:color="auto"/>
                        <w:bottom w:val="none" w:sz="0" w:space="0" w:color="auto"/>
                        <w:right w:val="none" w:sz="0" w:space="0" w:color="auto"/>
                      </w:divBdr>
                    </w:div>
                    <w:div w:id="294147162">
                      <w:marLeft w:val="0"/>
                      <w:marRight w:val="0"/>
                      <w:marTop w:val="0"/>
                      <w:marBottom w:val="0"/>
                      <w:divBdr>
                        <w:top w:val="none" w:sz="0" w:space="0" w:color="auto"/>
                        <w:left w:val="none" w:sz="0" w:space="0" w:color="auto"/>
                        <w:bottom w:val="none" w:sz="0" w:space="0" w:color="auto"/>
                        <w:right w:val="none" w:sz="0" w:space="0" w:color="auto"/>
                      </w:divBdr>
                      <w:divsChild>
                        <w:div w:id="294145210">
                          <w:marLeft w:val="0"/>
                          <w:marRight w:val="0"/>
                          <w:marTop w:val="0"/>
                          <w:marBottom w:val="0"/>
                          <w:divBdr>
                            <w:top w:val="none" w:sz="0" w:space="0" w:color="auto"/>
                            <w:left w:val="none" w:sz="0" w:space="0" w:color="auto"/>
                            <w:bottom w:val="none" w:sz="0" w:space="0" w:color="auto"/>
                            <w:right w:val="none" w:sz="0" w:space="0" w:color="auto"/>
                          </w:divBdr>
                        </w:div>
                      </w:divsChild>
                    </w:div>
                    <w:div w:id="294147392">
                      <w:marLeft w:val="0"/>
                      <w:marRight w:val="0"/>
                      <w:marTop w:val="0"/>
                      <w:marBottom w:val="0"/>
                      <w:divBdr>
                        <w:top w:val="none" w:sz="0" w:space="0" w:color="auto"/>
                        <w:left w:val="none" w:sz="0" w:space="0" w:color="auto"/>
                        <w:bottom w:val="none" w:sz="0" w:space="0" w:color="auto"/>
                        <w:right w:val="none" w:sz="0" w:space="0" w:color="auto"/>
                      </w:divBdr>
                    </w:div>
                    <w:div w:id="294147525">
                      <w:marLeft w:val="0"/>
                      <w:marRight w:val="0"/>
                      <w:marTop w:val="0"/>
                      <w:marBottom w:val="0"/>
                      <w:divBdr>
                        <w:top w:val="none" w:sz="0" w:space="0" w:color="auto"/>
                        <w:left w:val="none" w:sz="0" w:space="0" w:color="auto"/>
                        <w:bottom w:val="none" w:sz="0" w:space="0" w:color="auto"/>
                        <w:right w:val="none" w:sz="0" w:space="0" w:color="auto"/>
                      </w:divBdr>
                      <w:divsChild>
                        <w:div w:id="294148255">
                          <w:marLeft w:val="0"/>
                          <w:marRight w:val="0"/>
                          <w:marTop w:val="0"/>
                          <w:marBottom w:val="0"/>
                          <w:divBdr>
                            <w:top w:val="none" w:sz="0" w:space="0" w:color="auto"/>
                            <w:left w:val="none" w:sz="0" w:space="0" w:color="auto"/>
                            <w:bottom w:val="none" w:sz="0" w:space="0" w:color="auto"/>
                            <w:right w:val="none" w:sz="0" w:space="0" w:color="auto"/>
                          </w:divBdr>
                        </w:div>
                      </w:divsChild>
                    </w:div>
                    <w:div w:id="294147706">
                      <w:marLeft w:val="0"/>
                      <w:marRight w:val="0"/>
                      <w:marTop w:val="0"/>
                      <w:marBottom w:val="0"/>
                      <w:divBdr>
                        <w:top w:val="none" w:sz="0" w:space="0" w:color="auto"/>
                        <w:left w:val="none" w:sz="0" w:space="0" w:color="auto"/>
                        <w:bottom w:val="none" w:sz="0" w:space="0" w:color="auto"/>
                        <w:right w:val="none" w:sz="0" w:space="0" w:color="auto"/>
                      </w:divBdr>
                      <w:divsChild>
                        <w:div w:id="294152614">
                          <w:marLeft w:val="0"/>
                          <w:marRight w:val="0"/>
                          <w:marTop w:val="0"/>
                          <w:marBottom w:val="0"/>
                          <w:divBdr>
                            <w:top w:val="none" w:sz="0" w:space="0" w:color="auto"/>
                            <w:left w:val="none" w:sz="0" w:space="0" w:color="auto"/>
                            <w:bottom w:val="none" w:sz="0" w:space="0" w:color="auto"/>
                            <w:right w:val="none" w:sz="0" w:space="0" w:color="auto"/>
                          </w:divBdr>
                        </w:div>
                      </w:divsChild>
                    </w:div>
                    <w:div w:id="294147719">
                      <w:marLeft w:val="0"/>
                      <w:marRight w:val="0"/>
                      <w:marTop w:val="0"/>
                      <w:marBottom w:val="0"/>
                      <w:divBdr>
                        <w:top w:val="none" w:sz="0" w:space="0" w:color="auto"/>
                        <w:left w:val="none" w:sz="0" w:space="0" w:color="auto"/>
                        <w:bottom w:val="none" w:sz="0" w:space="0" w:color="auto"/>
                        <w:right w:val="none" w:sz="0" w:space="0" w:color="auto"/>
                      </w:divBdr>
                      <w:divsChild>
                        <w:div w:id="294156477">
                          <w:marLeft w:val="0"/>
                          <w:marRight w:val="0"/>
                          <w:marTop w:val="0"/>
                          <w:marBottom w:val="0"/>
                          <w:divBdr>
                            <w:top w:val="none" w:sz="0" w:space="0" w:color="auto"/>
                            <w:left w:val="none" w:sz="0" w:space="0" w:color="auto"/>
                            <w:bottom w:val="none" w:sz="0" w:space="0" w:color="auto"/>
                            <w:right w:val="none" w:sz="0" w:space="0" w:color="auto"/>
                          </w:divBdr>
                        </w:div>
                      </w:divsChild>
                    </w:div>
                    <w:div w:id="294147736">
                      <w:marLeft w:val="0"/>
                      <w:marRight w:val="0"/>
                      <w:marTop w:val="0"/>
                      <w:marBottom w:val="0"/>
                      <w:divBdr>
                        <w:top w:val="none" w:sz="0" w:space="0" w:color="auto"/>
                        <w:left w:val="none" w:sz="0" w:space="0" w:color="auto"/>
                        <w:bottom w:val="none" w:sz="0" w:space="0" w:color="auto"/>
                        <w:right w:val="none" w:sz="0" w:space="0" w:color="auto"/>
                      </w:divBdr>
                    </w:div>
                    <w:div w:id="294147814">
                      <w:marLeft w:val="0"/>
                      <w:marRight w:val="0"/>
                      <w:marTop w:val="0"/>
                      <w:marBottom w:val="0"/>
                      <w:divBdr>
                        <w:top w:val="none" w:sz="0" w:space="0" w:color="auto"/>
                        <w:left w:val="none" w:sz="0" w:space="0" w:color="auto"/>
                        <w:bottom w:val="none" w:sz="0" w:space="0" w:color="auto"/>
                        <w:right w:val="none" w:sz="0" w:space="0" w:color="auto"/>
                      </w:divBdr>
                    </w:div>
                    <w:div w:id="294147886">
                      <w:marLeft w:val="0"/>
                      <w:marRight w:val="0"/>
                      <w:marTop w:val="0"/>
                      <w:marBottom w:val="0"/>
                      <w:divBdr>
                        <w:top w:val="none" w:sz="0" w:space="0" w:color="auto"/>
                        <w:left w:val="none" w:sz="0" w:space="0" w:color="auto"/>
                        <w:bottom w:val="none" w:sz="0" w:space="0" w:color="auto"/>
                        <w:right w:val="none" w:sz="0" w:space="0" w:color="auto"/>
                      </w:divBdr>
                      <w:divsChild>
                        <w:div w:id="294144551">
                          <w:marLeft w:val="0"/>
                          <w:marRight w:val="0"/>
                          <w:marTop w:val="0"/>
                          <w:marBottom w:val="0"/>
                          <w:divBdr>
                            <w:top w:val="none" w:sz="0" w:space="0" w:color="auto"/>
                            <w:left w:val="none" w:sz="0" w:space="0" w:color="auto"/>
                            <w:bottom w:val="none" w:sz="0" w:space="0" w:color="auto"/>
                            <w:right w:val="none" w:sz="0" w:space="0" w:color="auto"/>
                          </w:divBdr>
                        </w:div>
                      </w:divsChild>
                    </w:div>
                    <w:div w:id="294147941">
                      <w:marLeft w:val="0"/>
                      <w:marRight w:val="0"/>
                      <w:marTop w:val="0"/>
                      <w:marBottom w:val="0"/>
                      <w:divBdr>
                        <w:top w:val="none" w:sz="0" w:space="0" w:color="auto"/>
                        <w:left w:val="none" w:sz="0" w:space="0" w:color="auto"/>
                        <w:bottom w:val="none" w:sz="0" w:space="0" w:color="auto"/>
                        <w:right w:val="none" w:sz="0" w:space="0" w:color="auto"/>
                      </w:divBdr>
                      <w:divsChild>
                        <w:div w:id="294150952">
                          <w:marLeft w:val="0"/>
                          <w:marRight w:val="0"/>
                          <w:marTop w:val="0"/>
                          <w:marBottom w:val="0"/>
                          <w:divBdr>
                            <w:top w:val="none" w:sz="0" w:space="0" w:color="auto"/>
                            <w:left w:val="none" w:sz="0" w:space="0" w:color="auto"/>
                            <w:bottom w:val="none" w:sz="0" w:space="0" w:color="auto"/>
                            <w:right w:val="none" w:sz="0" w:space="0" w:color="auto"/>
                          </w:divBdr>
                        </w:div>
                      </w:divsChild>
                    </w:div>
                    <w:div w:id="294148122">
                      <w:marLeft w:val="0"/>
                      <w:marRight w:val="0"/>
                      <w:marTop w:val="0"/>
                      <w:marBottom w:val="0"/>
                      <w:divBdr>
                        <w:top w:val="none" w:sz="0" w:space="0" w:color="auto"/>
                        <w:left w:val="none" w:sz="0" w:space="0" w:color="auto"/>
                        <w:bottom w:val="none" w:sz="0" w:space="0" w:color="auto"/>
                        <w:right w:val="none" w:sz="0" w:space="0" w:color="auto"/>
                      </w:divBdr>
                      <w:divsChild>
                        <w:div w:id="294146256">
                          <w:marLeft w:val="0"/>
                          <w:marRight w:val="0"/>
                          <w:marTop w:val="0"/>
                          <w:marBottom w:val="0"/>
                          <w:divBdr>
                            <w:top w:val="none" w:sz="0" w:space="0" w:color="auto"/>
                            <w:left w:val="none" w:sz="0" w:space="0" w:color="auto"/>
                            <w:bottom w:val="none" w:sz="0" w:space="0" w:color="auto"/>
                            <w:right w:val="none" w:sz="0" w:space="0" w:color="auto"/>
                          </w:divBdr>
                        </w:div>
                      </w:divsChild>
                    </w:div>
                    <w:div w:id="294148160">
                      <w:marLeft w:val="0"/>
                      <w:marRight w:val="0"/>
                      <w:marTop w:val="0"/>
                      <w:marBottom w:val="0"/>
                      <w:divBdr>
                        <w:top w:val="none" w:sz="0" w:space="0" w:color="auto"/>
                        <w:left w:val="none" w:sz="0" w:space="0" w:color="auto"/>
                        <w:bottom w:val="none" w:sz="0" w:space="0" w:color="auto"/>
                        <w:right w:val="none" w:sz="0" w:space="0" w:color="auto"/>
                      </w:divBdr>
                      <w:divsChild>
                        <w:div w:id="294145323">
                          <w:marLeft w:val="0"/>
                          <w:marRight w:val="0"/>
                          <w:marTop w:val="0"/>
                          <w:marBottom w:val="0"/>
                          <w:divBdr>
                            <w:top w:val="none" w:sz="0" w:space="0" w:color="auto"/>
                            <w:left w:val="none" w:sz="0" w:space="0" w:color="auto"/>
                            <w:bottom w:val="none" w:sz="0" w:space="0" w:color="auto"/>
                            <w:right w:val="none" w:sz="0" w:space="0" w:color="auto"/>
                          </w:divBdr>
                        </w:div>
                      </w:divsChild>
                    </w:div>
                    <w:div w:id="294148351">
                      <w:marLeft w:val="0"/>
                      <w:marRight w:val="0"/>
                      <w:marTop w:val="0"/>
                      <w:marBottom w:val="0"/>
                      <w:divBdr>
                        <w:top w:val="none" w:sz="0" w:space="0" w:color="auto"/>
                        <w:left w:val="none" w:sz="0" w:space="0" w:color="auto"/>
                        <w:bottom w:val="none" w:sz="0" w:space="0" w:color="auto"/>
                        <w:right w:val="none" w:sz="0" w:space="0" w:color="auto"/>
                      </w:divBdr>
                      <w:divsChild>
                        <w:div w:id="294142165">
                          <w:marLeft w:val="0"/>
                          <w:marRight w:val="0"/>
                          <w:marTop w:val="0"/>
                          <w:marBottom w:val="0"/>
                          <w:divBdr>
                            <w:top w:val="none" w:sz="0" w:space="0" w:color="auto"/>
                            <w:left w:val="none" w:sz="0" w:space="0" w:color="auto"/>
                            <w:bottom w:val="none" w:sz="0" w:space="0" w:color="auto"/>
                            <w:right w:val="none" w:sz="0" w:space="0" w:color="auto"/>
                          </w:divBdr>
                        </w:div>
                      </w:divsChild>
                    </w:div>
                    <w:div w:id="294148399">
                      <w:marLeft w:val="0"/>
                      <w:marRight w:val="0"/>
                      <w:marTop w:val="0"/>
                      <w:marBottom w:val="0"/>
                      <w:divBdr>
                        <w:top w:val="none" w:sz="0" w:space="0" w:color="auto"/>
                        <w:left w:val="none" w:sz="0" w:space="0" w:color="auto"/>
                        <w:bottom w:val="none" w:sz="0" w:space="0" w:color="auto"/>
                        <w:right w:val="none" w:sz="0" w:space="0" w:color="auto"/>
                      </w:divBdr>
                      <w:divsChild>
                        <w:div w:id="294144661">
                          <w:marLeft w:val="0"/>
                          <w:marRight w:val="0"/>
                          <w:marTop w:val="0"/>
                          <w:marBottom w:val="0"/>
                          <w:divBdr>
                            <w:top w:val="none" w:sz="0" w:space="0" w:color="auto"/>
                            <w:left w:val="none" w:sz="0" w:space="0" w:color="auto"/>
                            <w:bottom w:val="none" w:sz="0" w:space="0" w:color="auto"/>
                            <w:right w:val="none" w:sz="0" w:space="0" w:color="auto"/>
                          </w:divBdr>
                        </w:div>
                      </w:divsChild>
                    </w:div>
                    <w:div w:id="294148486">
                      <w:marLeft w:val="0"/>
                      <w:marRight w:val="0"/>
                      <w:marTop w:val="0"/>
                      <w:marBottom w:val="0"/>
                      <w:divBdr>
                        <w:top w:val="none" w:sz="0" w:space="0" w:color="auto"/>
                        <w:left w:val="none" w:sz="0" w:space="0" w:color="auto"/>
                        <w:bottom w:val="none" w:sz="0" w:space="0" w:color="auto"/>
                        <w:right w:val="none" w:sz="0" w:space="0" w:color="auto"/>
                      </w:divBdr>
                    </w:div>
                    <w:div w:id="294148504">
                      <w:marLeft w:val="0"/>
                      <w:marRight w:val="0"/>
                      <w:marTop w:val="0"/>
                      <w:marBottom w:val="0"/>
                      <w:divBdr>
                        <w:top w:val="none" w:sz="0" w:space="0" w:color="auto"/>
                        <w:left w:val="none" w:sz="0" w:space="0" w:color="auto"/>
                        <w:bottom w:val="none" w:sz="0" w:space="0" w:color="auto"/>
                        <w:right w:val="none" w:sz="0" w:space="0" w:color="auto"/>
                      </w:divBdr>
                    </w:div>
                    <w:div w:id="294148831">
                      <w:marLeft w:val="0"/>
                      <w:marRight w:val="0"/>
                      <w:marTop w:val="0"/>
                      <w:marBottom w:val="0"/>
                      <w:divBdr>
                        <w:top w:val="none" w:sz="0" w:space="0" w:color="auto"/>
                        <w:left w:val="none" w:sz="0" w:space="0" w:color="auto"/>
                        <w:bottom w:val="none" w:sz="0" w:space="0" w:color="auto"/>
                        <w:right w:val="none" w:sz="0" w:space="0" w:color="auto"/>
                      </w:divBdr>
                    </w:div>
                    <w:div w:id="294149158">
                      <w:marLeft w:val="0"/>
                      <w:marRight w:val="0"/>
                      <w:marTop w:val="0"/>
                      <w:marBottom w:val="0"/>
                      <w:divBdr>
                        <w:top w:val="none" w:sz="0" w:space="0" w:color="auto"/>
                        <w:left w:val="none" w:sz="0" w:space="0" w:color="auto"/>
                        <w:bottom w:val="none" w:sz="0" w:space="0" w:color="auto"/>
                        <w:right w:val="none" w:sz="0" w:space="0" w:color="auto"/>
                      </w:divBdr>
                      <w:divsChild>
                        <w:div w:id="294152927">
                          <w:marLeft w:val="0"/>
                          <w:marRight w:val="0"/>
                          <w:marTop w:val="0"/>
                          <w:marBottom w:val="0"/>
                          <w:divBdr>
                            <w:top w:val="none" w:sz="0" w:space="0" w:color="auto"/>
                            <w:left w:val="none" w:sz="0" w:space="0" w:color="auto"/>
                            <w:bottom w:val="none" w:sz="0" w:space="0" w:color="auto"/>
                            <w:right w:val="none" w:sz="0" w:space="0" w:color="auto"/>
                          </w:divBdr>
                        </w:div>
                      </w:divsChild>
                    </w:div>
                    <w:div w:id="294149260">
                      <w:marLeft w:val="0"/>
                      <w:marRight w:val="0"/>
                      <w:marTop w:val="0"/>
                      <w:marBottom w:val="0"/>
                      <w:divBdr>
                        <w:top w:val="none" w:sz="0" w:space="0" w:color="auto"/>
                        <w:left w:val="none" w:sz="0" w:space="0" w:color="auto"/>
                        <w:bottom w:val="none" w:sz="0" w:space="0" w:color="auto"/>
                        <w:right w:val="none" w:sz="0" w:space="0" w:color="auto"/>
                      </w:divBdr>
                    </w:div>
                    <w:div w:id="294149294">
                      <w:marLeft w:val="0"/>
                      <w:marRight w:val="0"/>
                      <w:marTop w:val="0"/>
                      <w:marBottom w:val="0"/>
                      <w:divBdr>
                        <w:top w:val="none" w:sz="0" w:space="0" w:color="auto"/>
                        <w:left w:val="none" w:sz="0" w:space="0" w:color="auto"/>
                        <w:bottom w:val="none" w:sz="0" w:space="0" w:color="auto"/>
                        <w:right w:val="none" w:sz="0" w:space="0" w:color="auto"/>
                      </w:divBdr>
                      <w:divsChild>
                        <w:div w:id="294138032">
                          <w:marLeft w:val="0"/>
                          <w:marRight w:val="0"/>
                          <w:marTop w:val="0"/>
                          <w:marBottom w:val="0"/>
                          <w:divBdr>
                            <w:top w:val="none" w:sz="0" w:space="0" w:color="auto"/>
                            <w:left w:val="none" w:sz="0" w:space="0" w:color="auto"/>
                            <w:bottom w:val="none" w:sz="0" w:space="0" w:color="auto"/>
                            <w:right w:val="none" w:sz="0" w:space="0" w:color="auto"/>
                          </w:divBdr>
                        </w:div>
                      </w:divsChild>
                    </w:div>
                    <w:div w:id="294149347">
                      <w:marLeft w:val="0"/>
                      <w:marRight w:val="0"/>
                      <w:marTop w:val="0"/>
                      <w:marBottom w:val="0"/>
                      <w:divBdr>
                        <w:top w:val="none" w:sz="0" w:space="0" w:color="auto"/>
                        <w:left w:val="none" w:sz="0" w:space="0" w:color="auto"/>
                        <w:bottom w:val="none" w:sz="0" w:space="0" w:color="auto"/>
                        <w:right w:val="none" w:sz="0" w:space="0" w:color="auto"/>
                      </w:divBdr>
                    </w:div>
                    <w:div w:id="294149697">
                      <w:marLeft w:val="0"/>
                      <w:marRight w:val="0"/>
                      <w:marTop w:val="0"/>
                      <w:marBottom w:val="0"/>
                      <w:divBdr>
                        <w:top w:val="none" w:sz="0" w:space="0" w:color="auto"/>
                        <w:left w:val="none" w:sz="0" w:space="0" w:color="auto"/>
                        <w:bottom w:val="none" w:sz="0" w:space="0" w:color="auto"/>
                        <w:right w:val="none" w:sz="0" w:space="0" w:color="auto"/>
                      </w:divBdr>
                    </w:div>
                    <w:div w:id="294149904">
                      <w:marLeft w:val="0"/>
                      <w:marRight w:val="0"/>
                      <w:marTop w:val="0"/>
                      <w:marBottom w:val="0"/>
                      <w:divBdr>
                        <w:top w:val="none" w:sz="0" w:space="0" w:color="auto"/>
                        <w:left w:val="none" w:sz="0" w:space="0" w:color="auto"/>
                        <w:bottom w:val="none" w:sz="0" w:space="0" w:color="auto"/>
                        <w:right w:val="none" w:sz="0" w:space="0" w:color="auto"/>
                      </w:divBdr>
                      <w:divsChild>
                        <w:div w:id="294152220">
                          <w:marLeft w:val="0"/>
                          <w:marRight w:val="0"/>
                          <w:marTop w:val="0"/>
                          <w:marBottom w:val="0"/>
                          <w:divBdr>
                            <w:top w:val="none" w:sz="0" w:space="0" w:color="auto"/>
                            <w:left w:val="none" w:sz="0" w:space="0" w:color="auto"/>
                            <w:bottom w:val="none" w:sz="0" w:space="0" w:color="auto"/>
                            <w:right w:val="none" w:sz="0" w:space="0" w:color="auto"/>
                          </w:divBdr>
                        </w:div>
                      </w:divsChild>
                    </w:div>
                    <w:div w:id="294150030">
                      <w:marLeft w:val="0"/>
                      <w:marRight w:val="0"/>
                      <w:marTop w:val="0"/>
                      <w:marBottom w:val="0"/>
                      <w:divBdr>
                        <w:top w:val="none" w:sz="0" w:space="0" w:color="auto"/>
                        <w:left w:val="none" w:sz="0" w:space="0" w:color="auto"/>
                        <w:bottom w:val="none" w:sz="0" w:space="0" w:color="auto"/>
                        <w:right w:val="none" w:sz="0" w:space="0" w:color="auto"/>
                      </w:divBdr>
                      <w:divsChild>
                        <w:div w:id="294152591">
                          <w:marLeft w:val="0"/>
                          <w:marRight w:val="0"/>
                          <w:marTop w:val="0"/>
                          <w:marBottom w:val="0"/>
                          <w:divBdr>
                            <w:top w:val="none" w:sz="0" w:space="0" w:color="auto"/>
                            <w:left w:val="none" w:sz="0" w:space="0" w:color="auto"/>
                            <w:bottom w:val="none" w:sz="0" w:space="0" w:color="auto"/>
                            <w:right w:val="none" w:sz="0" w:space="0" w:color="auto"/>
                          </w:divBdr>
                        </w:div>
                      </w:divsChild>
                    </w:div>
                    <w:div w:id="294150044">
                      <w:marLeft w:val="0"/>
                      <w:marRight w:val="0"/>
                      <w:marTop w:val="0"/>
                      <w:marBottom w:val="0"/>
                      <w:divBdr>
                        <w:top w:val="none" w:sz="0" w:space="0" w:color="auto"/>
                        <w:left w:val="none" w:sz="0" w:space="0" w:color="auto"/>
                        <w:bottom w:val="none" w:sz="0" w:space="0" w:color="auto"/>
                        <w:right w:val="none" w:sz="0" w:space="0" w:color="auto"/>
                      </w:divBdr>
                    </w:div>
                    <w:div w:id="294150074">
                      <w:marLeft w:val="0"/>
                      <w:marRight w:val="0"/>
                      <w:marTop w:val="0"/>
                      <w:marBottom w:val="0"/>
                      <w:divBdr>
                        <w:top w:val="none" w:sz="0" w:space="0" w:color="auto"/>
                        <w:left w:val="none" w:sz="0" w:space="0" w:color="auto"/>
                        <w:bottom w:val="none" w:sz="0" w:space="0" w:color="auto"/>
                        <w:right w:val="none" w:sz="0" w:space="0" w:color="auto"/>
                      </w:divBdr>
                      <w:divsChild>
                        <w:div w:id="294140206">
                          <w:marLeft w:val="0"/>
                          <w:marRight w:val="0"/>
                          <w:marTop w:val="0"/>
                          <w:marBottom w:val="0"/>
                          <w:divBdr>
                            <w:top w:val="none" w:sz="0" w:space="0" w:color="auto"/>
                            <w:left w:val="none" w:sz="0" w:space="0" w:color="auto"/>
                            <w:bottom w:val="none" w:sz="0" w:space="0" w:color="auto"/>
                            <w:right w:val="none" w:sz="0" w:space="0" w:color="auto"/>
                          </w:divBdr>
                        </w:div>
                      </w:divsChild>
                    </w:div>
                    <w:div w:id="294150090">
                      <w:marLeft w:val="0"/>
                      <w:marRight w:val="0"/>
                      <w:marTop w:val="0"/>
                      <w:marBottom w:val="0"/>
                      <w:divBdr>
                        <w:top w:val="none" w:sz="0" w:space="0" w:color="auto"/>
                        <w:left w:val="none" w:sz="0" w:space="0" w:color="auto"/>
                        <w:bottom w:val="none" w:sz="0" w:space="0" w:color="auto"/>
                        <w:right w:val="none" w:sz="0" w:space="0" w:color="auto"/>
                      </w:divBdr>
                      <w:divsChild>
                        <w:div w:id="294146494">
                          <w:marLeft w:val="0"/>
                          <w:marRight w:val="0"/>
                          <w:marTop w:val="0"/>
                          <w:marBottom w:val="0"/>
                          <w:divBdr>
                            <w:top w:val="none" w:sz="0" w:space="0" w:color="auto"/>
                            <w:left w:val="none" w:sz="0" w:space="0" w:color="auto"/>
                            <w:bottom w:val="none" w:sz="0" w:space="0" w:color="auto"/>
                            <w:right w:val="none" w:sz="0" w:space="0" w:color="auto"/>
                          </w:divBdr>
                        </w:div>
                      </w:divsChild>
                    </w:div>
                    <w:div w:id="294150399">
                      <w:marLeft w:val="0"/>
                      <w:marRight w:val="0"/>
                      <w:marTop w:val="0"/>
                      <w:marBottom w:val="0"/>
                      <w:divBdr>
                        <w:top w:val="none" w:sz="0" w:space="0" w:color="auto"/>
                        <w:left w:val="none" w:sz="0" w:space="0" w:color="auto"/>
                        <w:bottom w:val="none" w:sz="0" w:space="0" w:color="auto"/>
                        <w:right w:val="none" w:sz="0" w:space="0" w:color="auto"/>
                      </w:divBdr>
                    </w:div>
                    <w:div w:id="294151026">
                      <w:marLeft w:val="0"/>
                      <w:marRight w:val="0"/>
                      <w:marTop w:val="0"/>
                      <w:marBottom w:val="0"/>
                      <w:divBdr>
                        <w:top w:val="none" w:sz="0" w:space="0" w:color="auto"/>
                        <w:left w:val="none" w:sz="0" w:space="0" w:color="auto"/>
                        <w:bottom w:val="none" w:sz="0" w:space="0" w:color="auto"/>
                        <w:right w:val="none" w:sz="0" w:space="0" w:color="auto"/>
                      </w:divBdr>
                    </w:div>
                    <w:div w:id="294151184">
                      <w:marLeft w:val="0"/>
                      <w:marRight w:val="0"/>
                      <w:marTop w:val="0"/>
                      <w:marBottom w:val="0"/>
                      <w:divBdr>
                        <w:top w:val="none" w:sz="0" w:space="0" w:color="auto"/>
                        <w:left w:val="none" w:sz="0" w:space="0" w:color="auto"/>
                        <w:bottom w:val="none" w:sz="0" w:space="0" w:color="auto"/>
                        <w:right w:val="none" w:sz="0" w:space="0" w:color="auto"/>
                      </w:divBdr>
                      <w:divsChild>
                        <w:div w:id="294142506">
                          <w:marLeft w:val="0"/>
                          <w:marRight w:val="0"/>
                          <w:marTop w:val="0"/>
                          <w:marBottom w:val="0"/>
                          <w:divBdr>
                            <w:top w:val="none" w:sz="0" w:space="0" w:color="auto"/>
                            <w:left w:val="none" w:sz="0" w:space="0" w:color="auto"/>
                            <w:bottom w:val="none" w:sz="0" w:space="0" w:color="auto"/>
                            <w:right w:val="none" w:sz="0" w:space="0" w:color="auto"/>
                          </w:divBdr>
                        </w:div>
                      </w:divsChild>
                    </w:div>
                    <w:div w:id="294151200">
                      <w:marLeft w:val="0"/>
                      <w:marRight w:val="0"/>
                      <w:marTop w:val="0"/>
                      <w:marBottom w:val="0"/>
                      <w:divBdr>
                        <w:top w:val="none" w:sz="0" w:space="0" w:color="auto"/>
                        <w:left w:val="none" w:sz="0" w:space="0" w:color="auto"/>
                        <w:bottom w:val="none" w:sz="0" w:space="0" w:color="auto"/>
                        <w:right w:val="none" w:sz="0" w:space="0" w:color="auto"/>
                      </w:divBdr>
                      <w:divsChild>
                        <w:div w:id="294142639">
                          <w:marLeft w:val="0"/>
                          <w:marRight w:val="0"/>
                          <w:marTop w:val="0"/>
                          <w:marBottom w:val="0"/>
                          <w:divBdr>
                            <w:top w:val="none" w:sz="0" w:space="0" w:color="auto"/>
                            <w:left w:val="none" w:sz="0" w:space="0" w:color="auto"/>
                            <w:bottom w:val="none" w:sz="0" w:space="0" w:color="auto"/>
                            <w:right w:val="none" w:sz="0" w:space="0" w:color="auto"/>
                          </w:divBdr>
                        </w:div>
                      </w:divsChild>
                    </w:div>
                    <w:div w:id="294151330">
                      <w:marLeft w:val="0"/>
                      <w:marRight w:val="0"/>
                      <w:marTop w:val="0"/>
                      <w:marBottom w:val="0"/>
                      <w:divBdr>
                        <w:top w:val="none" w:sz="0" w:space="0" w:color="auto"/>
                        <w:left w:val="none" w:sz="0" w:space="0" w:color="auto"/>
                        <w:bottom w:val="none" w:sz="0" w:space="0" w:color="auto"/>
                        <w:right w:val="none" w:sz="0" w:space="0" w:color="auto"/>
                      </w:divBdr>
                      <w:divsChild>
                        <w:div w:id="294138027">
                          <w:marLeft w:val="0"/>
                          <w:marRight w:val="0"/>
                          <w:marTop w:val="0"/>
                          <w:marBottom w:val="0"/>
                          <w:divBdr>
                            <w:top w:val="none" w:sz="0" w:space="0" w:color="auto"/>
                            <w:left w:val="none" w:sz="0" w:space="0" w:color="auto"/>
                            <w:bottom w:val="none" w:sz="0" w:space="0" w:color="auto"/>
                            <w:right w:val="none" w:sz="0" w:space="0" w:color="auto"/>
                          </w:divBdr>
                        </w:div>
                      </w:divsChild>
                    </w:div>
                    <w:div w:id="294151350">
                      <w:marLeft w:val="0"/>
                      <w:marRight w:val="0"/>
                      <w:marTop w:val="0"/>
                      <w:marBottom w:val="0"/>
                      <w:divBdr>
                        <w:top w:val="none" w:sz="0" w:space="0" w:color="auto"/>
                        <w:left w:val="none" w:sz="0" w:space="0" w:color="auto"/>
                        <w:bottom w:val="none" w:sz="0" w:space="0" w:color="auto"/>
                        <w:right w:val="none" w:sz="0" w:space="0" w:color="auto"/>
                      </w:divBdr>
                      <w:divsChild>
                        <w:div w:id="294152091">
                          <w:marLeft w:val="0"/>
                          <w:marRight w:val="0"/>
                          <w:marTop w:val="0"/>
                          <w:marBottom w:val="0"/>
                          <w:divBdr>
                            <w:top w:val="none" w:sz="0" w:space="0" w:color="auto"/>
                            <w:left w:val="none" w:sz="0" w:space="0" w:color="auto"/>
                            <w:bottom w:val="none" w:sz="0" w:space="0" w:color="auto"/>
                            <w:right w:val="none" w:sz="0" w:space="0" w:color="auto"/>
                          </w:divBdr>
                        </w:div>
                      </w:divsChild>
                    </w:div>
                    <w:div w:id="294151406">
                      <w:marLeft w:val="0"/>
                      <w:marRight w:val="0"/>
                      <w:marTop w:val="0"/>
                      <w:marBottom w:val="0"/>
                      <w:divBdr>
                        <w:top w:val="none" w:sz="0" w:space="0" w:color="auto"/>
                        <w:left w:val="none" w:sz="0" w:space="0" w:color="auto"/>
                        <w:bottom w:val="none" w:sz="0" w:space="0" w:color="auto"/>
                        <w:right w:val="none" w:sz="0" w:space="0" w:color="auto"/>
                      </w:divBdr>
                    </w:div>
                    <w:div w:id="294151528">
                      <w:marLeft w:val="0"/>
                      <w:marRight w:val="0"/>
                      <w:marTop w:val="0"/>
                      <w:marBottom w:val="0"/>
                      <w:divBdr>
                        <w:top w:val="none" w:sz="0" w:space="0" w:color="auto"/>
                        <w:left w:val="none" w:sz="0" w:space="0" w:color="auto"/>
                        <w:bottom w:val="none" w:sz="0" w:space="0" w:color="auto"/>
                        <w:right w:val="none" w:sz="0" w:space="0" w:color="auto"/>
                      </w:divBdr>
                      <w:divsChild>
                        <w:div w:id="294138746">
                          <w:marLeft w:val="0"/>
                          <w:marRight w:val="0"/>
                          <w:marTop w:val="0"/>
                          <w:marBottom w:val="0"/>
                          <w:divBdr>
                            <w:top w:val="none" w:sz="0" w:space="0" w:color="auto"/>
                            <w:left w:val="none" w:sz="0" w:space="0" w:color="auto"/>
                            <w:bottom w:val="none" w:sz="0" w:space="0" w:color="auto"/>
                            <w:right w:val="none" w:sz="0" w:space="0" w:color="auto"/>
                          </w:divBdr>
                        </w:div>
                      </w:divsChild>
                    </w:div>
                    <w:div w:id="294151569">
                      <w:marLeft w:val="0"/>
                      <w:marRight w:val="0"/>
                      <w:marTop w:val="0"/>
                      <w:marBottom w:val="0"/>
                      <w:divBdr>
                        <w:top w:val="none" w:sz="0" w:space="0" w:color="auto"/>
                        <w:left w:val="none" w:sz="0" w:space="0" w:color="auto"/>
                        <w:bottom w:val="none" w:sz="0" w:space="0" w:color="auto"/>
                        <w:right w:val="none" w:sz="0" w:space="0" w:color="auto"/>
                      </w:divBdr>
                      <w:divsChild>
                        <w:div w:id="294153276">
                          <w:marLeft w:val="0"/>
                          <w:marRight w:val="0"/>
                          <w:marTop w:val="0"/>
                          <w:marBottom w:val="0"/>
                          <w:divBdr>
                            <w:top w:val="none" w:sz="0" w:space="0" w:color="auto"/>
                            <w:left w:val="none" w:sz="0" w:space="0" w:color="auto"/>
                            <w:bottom w:val="none" w:sz="0" w:space="0" w:color="auto"/>
                            <w:right w:val="none" w:sz="0" w:space="0" w:color="auto"/>
                          </w:divBdr>
                        </w:div>
                      </w:divsChild>
                    </w:div>
                    <w:div w:id="294151689">
                      <w:marLeft w:val="0"/>
                      <w:marRight w:val="0"/>
                      <w:marTop w:val="0"/>
                      <w:marBottom w:val="0"/>
                      <w:divBdr>
                        <w:top w:val="none" w:sz="0" w:space="0" w:color="auto"/>
                        <w:left w:val="none" w:sz="0" w:space="0" w:color="auto"/>
                        <w:bottom w:val="none" w:sz="0" w:space="0" w:color="auto"/>
                        <w:right w:val="none" w:sz="0" w:space="0" w:color="auto"/>
                      </w:divBdr>
                      <w:divsChild>
                        <w:div w:id="294146886">
                          <w:marLeft w:val="0"/>
                          <w:marRight w:val="0"/>
                          <w:marTop w:val="0"/>
                          <w:marBottom w:val="0"/>
                          <w:divBdr>
                            <w:top w:val="none" w:sz="0" w:space="0" w:color="auto"/>
                            <w:left w:val="none" w:sz="0" w:space="0" w:color="auto"/>
                            <w:bottom w:val="none" w:sz="0" w:space="0" w:color="auto"/>
                            <w:right w:val="none" w:sz="0" w:space="0" w:color="auto"/>
                          </w:divBdr>
                        </w:div>
                      </w:divsChild>
                    </w:div>
                    <w:div w:id="294151772">
                      <w:marLeft w:val="0"/>
                      <w:marRight w:val="0"/>
                      <w:marTop w:val="0"/>
                      <w:marBottom w:val="0"/>
                      <w:divBdr>
                        <w:top w:val="none" w:sz="0" w:space="0" w:color="auto"/>
                        <w:left w:val="none" w:sz="0" w:space="0" w:color="auto"/>
                        <w:bottom w:val="none" w:sz="0" w:space="0" w:color="auto"/>
                        <w:right w:val="none" w:sz="0" w:space="0" w:color="auto"/>
                      </w:divBdr>
                    </w:div>
                    <w:div w:id="294151857">
                      <w:marLeft w:val="0"/>
                      <w:marRight w:val="0"/>
                      <w:marTop w:val="0"/>
                      <w:marBottom w:val="0"/>
                      <w:divBdr>
                        <w:top w:val="none" w:sz="0" w:space="0" w:color="auto"/>
                        <w:left w:val="none" w:sz="0" w:space="0" w:color="auto"/>
                        <w:bottom w:val="none" w:sz="0" w:space="0" w:color="auto"/>
                        <w:right w:val="none" w:sz="0" w:space="0" w:color="auto"/>
                      </w:divBdr>
                      <w:divsChild>
                        <w:div w:id="294142207">
                          <w:marLeft w:val="0"/>
                          <w:marRight w:val="0"/>
                          <w:marTop w:val="0"/>
                          <w:marBottom w:val="0"/>
                          <w:divBdr>
                            <w:top w:val="none" w:sz="0" w:space="0" w:color="auto"/>
                            <w:left w:val="none" w:sz="0" w:space="0" w:color="auto"/>
                            <w:bottom w:val="none" w:sz="0" w:space="0" w:color="auto"/>
                            <w:right w:val="none" w:sz="0" w:space="0" w:color="auto"/>
                          </w:divBdr>
                        </w:div>
                      </w:divsChild>
                    </w:div>
                    <w:div w:id="294151875">
                      <w:marLeft w:val="0"/>
                      <w:marRight w:val="0"/>
                      <w:marTop w:val="0"/>
                      <w:marBottom w:val="0"/>
                      <w:divBdr>
                        <w:top w:val="none" w:sz="0" w:space="0" w:color="auto"/>
                        <w:left w:val="none" w:sz="0" w:space="0" w:color="auto"/>
                        <w:bottom w:val="none" w:sz="0" w:space="0" w:color="auto"/>
                        <w:right w:val="none" w:sz="0" w:space="0" w:color="auto"/>
                      </w:divBdr>
                    </w:div>
                    <w:div w:id="294151935">
                      <w:marLeft w:val="0"/>
                      <w:marRight w:val="0"/>
                      <w:marTop w:val="0"/>
                      <w:marBottom w:val="0"/>
                      <w:divBdr>
                        <w:top w:val="none" w:sz="0" w:space="0" w:color="auto"/>
                        <w:left w:val="none" w:sz="0" w:space="0" w:color="auto"/>
                        <w:bottom w:val="none" w:sz="0" w:space="0" w:color="auto"/>
                        <w:right w:val="none" w:sz="0" w:space="0" w:color="auto"/>
                      </w:divBdr>
                    </w:div>
                    <w:div w:id="294152080">
                      <w:marLeft w:val="0"/>
                      <w:marRight w:val="0"/>
                      <w:marTop w:val="0"/>
                      <w:marBottom w:val="0"/>
                      <w:divBdr>
                        <w:top w:val="none" w:sz="0" w:space="0" w:color="auto"/>
                        <w:left w:val="none" w:sz="0" w:space="0" w:color="auto"/>
                        <w:bottom w:val="none" w:sz="0" w:space="0" w:color="auto"/>
                        <w:right w:val="none" w:sz="0" w:space="0" w:color="auto"/>
                      </w:divBdr>
                    </w:div>
                    <w:div w:id="294152094">
                      <w:marLeft w:val="0"/>
                      <w:marRight w:val="0"/>
                      <w:marTop w:val="0"/>
                      <w:marBottom w:val="0"/>
                      <w:divBdr>
                        <w:top w:val="none" w:sz="0" w:space="0" w:color="auto"/>
                        <w:left w:val="none" w:sz="0" w:space="0" w:color="auto"/>
                        <w:bottom w:val="none" w:sz="0" w:space="0" w:color="auto"/>
                        <w:right w:val="none" w:sz="0" w:space="0" w:color="auto"/>
                      </w:divBdr>
                    </w:div>
                    <w:div w:id="294152206">
                      <w:marLeft w:val="0"/>
                      <w:marRight w:val="0"/>
                      <w:marTop w:val="0"/>
                      <w:marBottom w:val="0"/>
                      <w:divBdr>
                        <w:top w:val="none" w:sz="0" w:space="0" w:color="auto"/>
                        <w:left w:val="none" w:sz="0" w:space="0" w:color="auto"/>
                        <w:bottom w:val="none" w:sz="0" w:space="0" w:color="auto"/>
                        <w:right w:val="none" w:sz="0" w:space="0" w:color="auto"/>
                      </w:divBdr>
                      <w:divsChild>
                        <w:div w:id="294153007">
                          <w:marLeft w:val="0"/>
                          <w:marRight w:val="0"/>
                          <w:marTop w:val="0"/>
                          <w:marBottom w:val="0"/>
                          <w:divBdr>
                            <w:top w:val="none" w:sz="0" w:space="0" w:color="auto"/>
                            <w:left w:val="none" w:sz="0" w:space="0" w:color="auto"/>
                            <w:bottom w:val="none" w:sz="0" w:space="0" w:color="auto"/>
                            <w:right w:val="none" w:sz="0" w:space="0" w:color="auto"/>
                          </w:divBdr>
                        </w:div>
                      </w:divsChild>
                    </w:div>
                    <w:div w:id="294152348">
                      <w:marLeft w:val="0"/>
                      <w:marRight w:val="0"/>
                      <w:marTop w:val="0"/>
                      <w:marBottom w:val="0"/>
                      <w:divBdr>
                        <w:top w:val="none" w:sz="0" w:space="0" w:color="auto"/>
                        <w:left w:val="none" w:sz="0" w:space="0" w:color="auto"/>
                        <w:bottom w:val="none" w:sz="0" w:space="0" w:color="auto"/>
                        <w:right w:val="none" w:sz="0" w:space="0" w:color="auto"/>
                      </w:divBdr>
                      <w:divsChild>
                        <w:div w:id="294142227">
                          <w:marLeft w:val="0"/>
                          <w:marRight w:val="0"/>
                          <w:marTop w:val="0"/>
                          <w:marBottom w:val="0"/>
                          <w:divBdr>
                            <w:top w:val="none" w:sz="0" w:space="0" w:color="auto"/>
                            <w:left w:val="none" w:sz="0" w:space="0" w:color="auto"/>
                            <w:bottom w:val="none" w:sz="0" w:space="0" w:color="auto"/>
                            <w:right w:val="none" w:sz="0" w:space="0" w:color="auto"/>
                          </w:divBdr>
                        </w:div>
                      </w:divsChild>
                    </w:div>
                    <w:div w:id="294152436">
                      <w:marLeft w:val="0"/>
                      <w:marRight w:val="0"/>
                      <w:marTop w:val="0"/>
                      <w:marBottom w:val="0"/>
                      <w:divBdr>
                        <w:top w:val="none" w:sz="0" w:space="0" w:color="auto"/>
                        <w:left w:val="none" w:sz="0" w:space="0" w:color="auto"/>
                        <w:bottom w:val="none" w:sz="0" w:space="0" w:color="auto"/>
                        <w:right w:val="none" w:sz="0" w:space="0" w:color="auto"/>
                      </w:divBdr>
                      <w:divsChild>
                        <w:div w:id="294141964">
                          <w:marLeft w:val="0"/>
                          <w:marRight w:val="0"/>
                          <w:marTop w:val="0"/>
                          <w:marBottom w:val="0"/>
                          <w:divBdr>
                            <w:top w:val="none" w:sz="0" w:space="0" w:color="auto"/>
                            <w:left w:val="none" w:sz="0" w:space="0" w:color="auto"/>
                            <w:bottom w:val="none" w:sz="0" w:space="0" w:color="auto"/>
                            <w:right w:val="none" w:sz="0" w:space="0" w:color="auto"/>
                          </w:divBdr>
                        </w:div>
                      </w:divsChild>
                    </w:div>
                    <w:div w:id="294152507">
                      <w:marLeft w:val="0"/>
                      <w:marRight w:val="0"/>
                      <w:marTop w:val="0"/>
                      <w:marBottom w:val="0"/>
                      <w:divBdr>
                        <w:top w:val="none" w:sz="0" w:space="0" w:color="auto"/>
                        <w:left w:val="none" w:sz="0" w:space="0" w:color="auto"/>
                        <w:bottom w:val="none" w:sz="0" w:space="0" w:color="auto"/>
                        <w:right w:val="none" w:sz="0" w:space="0" w:color="auto"/>
                      </w:divBdr>
                    </w:div>
                    <w:div w:id="294152596">
                      <w:marLeft w:val="0"/>
                      <w:marRight w:val="0"/>
                      <w:marTop w:val="0"/>
                      <w:marBottom w:val="0"/>
                      <w:divBdr>
                        <w:top w:val="none" w:sz="0" w:space="0" w:color="auto"/>
                        <w:left w:val="none" w:sz="0" w:space="0" w:color="auto"/>
                        <w:bottom w:val="none" w:sz="0" w:space="0" w:color="auto"/>
                        <w:right w:val="none" w:sz="0" w:space="0" w:color="auto"/>
                      </w:divBdr>
                    </w:div>
                    <w:div w:id="294152634">
                      <w:marLeft w:val="0"/>
                      <w:marRight w:val="0"/>
                      <w:marTop w:val="0"/>
                      <w:marBottom w:val="0"/>
                      <w:divBdr>
                        <w:top w:val="none" w:sz="0" w:space="0" w:color="auto"/>
                        <w:left w:val="none" w:sz="0" w:space="0" w:color="auto"/>
                        <w:bottom w:val="none" w:sz="0" w:space="0" w:color="auto"/>
                        <w:right w:val="none" w:sz="0" w:space="0" w:color="auto"/>
                      </w:divBdr>
                    </w:div>
                    <w:div w:id="294152782">
                      <w:marLeft w:val="0"/>
                      <w:marRight w:val="0"/>
                      <w:marTop w:val="0"/>
                      <w:marBottom w:val="0"/>
                      <w:divBdr>
                        <w:top w:val="none" w:sz="0" w:space="0" w:color="auto"/>
                        <w:left w:val="none" w:sz="0" w:space="0" w:color="auto"/>
                        <w:bottom w:val="none" w:sz="0" w:space="0" w:color="auto"/>
                        <w:right w:val="none" w:sz="0" w:space="0" w:color="auto"/>
                      </w:divBdr>
                    </w:div>
                    <w:div w:id="294152884">
                      <w:marLeft w:val="0"/>
                      <w:marRight w:val="0"/>
                      <w:marTop w:val="0"/>
                      <w:marBottom w:val="0"/>
                      <w:divBdr>
                        <w:top w:val="none" w:sz="0" w:space="0" w:color="auto"/>
                        <w:left w:val="none" w:sz="0" w:space="0" w:color="auto"/>
                        <w:bottom w:val="none" w:sz="0" w:space="0" w:color="auto"/>
                        <w:right w:val="none" w:sz="0" w:space="0" w:color="auto"/>
                      </w:divBdr>
                      <w:divsChild>
                        <w:div w:id="294146129">
                          <w:marLeft w:val="0"/>
                          <w:marRight w:val="0"/>
                          <w:marTop w:val="0"/>
                          <w:marBottom w:val="0"/>
                          <w:divBdr>
                            <w:top w:val="none" w:sz="0" w:space="0" w:color="auto"/>
                            <w:left w:val="none" w:sz="0" w:space="0" w:color="auto"/>
                            <w:bottom w:val="none" w:sz="0" w:space="0" w:color="auto"/>
                            <w:right w:val="none" w:sz="0" w:space="0" w:color="auto"/>
                          </w:divBdr>
                        </w:div>
                      </w:divsChild>
                    </w:div>
                    <w:div w:id="294152989">
                      <w:marLeft w:val="0"/>
                      <w:marRight w:val="0"/>
                      <w:marTop w:val="0"/>
                      <w:marBottom w:val="0"/>
                      <w:divBdr>
                        <w:top w:val="none" w:sz="0" w:space="0" w:color="auto"/>
                        <w:left w:val="none" w:sz="0" w:space="0" w:color="auto"/>
                        <w:bottom w:val="none" w:sz="0" w:space="0" w:color="auto"/>
                        <w:right w:val="none" w:sz="0" w:space="0" w:color="auto"/>
                      </w:divBdr>
                      <w:divsChild>
                        <w:div w:id="294153705">
                          <w:marLeft w:val="0"/>
                          <w:marRight w:val="0"/>
                          <w:marTop w:val="0"/>
                          <w:marBottom w:val="0"/>
                          <w:divBdr>
                            <w:top w:val="none" w:sz="0" w:space="0" w:color="auto"/>
                            <w:left w:val="none" w:sz="0" w:space="0" w:color="auto"/>
                            <w:bottom w:val="none" w:sz="0" w:space="0" w:color="auto"/>
                            <w:right w:val="none" w:sz="0" w:space="0" w:color="auto"/>
                          </w:divBdr>
                        </w:div>
                      </w:divsChild>
                    </w:div>
                    <w:div w:id="294153074">
                      <w:marLeft w:val="0"/>
                      <w:marRight w:val="0"/>
                      <w:marTop w:val="0"/>
                      <w:marBottom w:val="0"/>
                      <w:divBdr>
                        <w:top w:val="none" w:sz="0" w:space="0" w:color="auto"/>
                        <w:left w:val="none" w:sz="0" w:space="0" w:color="auto"/>
                        <w:bottom w:val="none" w:sz="0" w:space="0" w:color="auto"/>
                        <w:right w:val="none" w:sz="0" w:space="0" w:color="auto"/>
                      </w:divBdr>
                    </w:div>
                    <w:div w:id="294153280">
                      <w:marLeft w:val="0"/>
                      <w:marRight w:val="0"/>
                      <w:marTop w:val="0"/>
                      <w:marBottom w:val="0"/>
                      <w:divBdr>
                        <w:top w:val="none" w:sz="0" w:space="0" w:color="auto"/>
                        <w:left w:val="none" w:sz="0" w:space="0" w:color="auto"/>
                        <w:bottom w:val="none" w:sz="0" w:space="0" w:color="auto"/>
                        <w:right w:val="none" w:sz="0" w:space="0" w:color="auto"/>
                      </w:divBdr>
                      <w:divsChild>
                        <w:div w:id="294138674">
                          <w:marLeft w:val="0"/>
                          <w:marRight w:val="0"/>
                          <w:marTop w:val="0"/>
                          <w:marBottom w:val="0"/>
                          <w:divBdr>
                            <w:top w:val="none" w:sz="0" w:space="0" w:color="auto"/>
                            <w:left w:val="none" w:sz="0" w:space="0" w:color="auto"/>
                            <w:bottom w:val="none" w:sz="0" w:space="0" w:color="auto"/>
                            <w:right w:val="none" w:sz="0" w:space="0" w:color="auto"/>
                          </w:divBdr>
                        </w:div>
                      </w:divsChild>
                    </w:div>
                    <w:div w:id="294153360">
                      <w:marLeft w:val="0"/>
                      <w:marRight w:val="0"/>
                      <w:marTop w:val="0"/>
                      <w:marBottom w:val="0"/>
                      <w:divBdr>
                        <w:top w:val="none" w:sz="0" w:space="0" w:color="auto"/>
                        <w:left w:val="none" w:sz="0" w:space="0" w:color="auto"/>
                        <w:bottom w:val="none" w:sz="0" w:space="0" w:color="auto"/>
                        <w:right w:val="none" w:sz="0" w:space="0" w:color="auto"/>
                      </w:divBdr>
                      <w:divsChild>
                        <w:div w:id="294153071">
                          <w:marLeft w:val="0"/>
                          <w:marRight w:val="0"/>
                          <w:marTop w:val="0"/>
                          <w:marBottom w:val="0"/>
                          <w:divBdr>
                            <w:top w:val="none" w:sz="0" w:space="0" w:color="auto"/>
                            <w:left w:val="none" w:sz="0" w:space="0" w:color="auto"/>
                            <w:bottom w:val="none" w:sz="0" w:space="0" w:color="auto"/>
                            <w:right w:val="none" w:sz="0" w:space="0" w:color="auto"/>
                          </w:divBdr>
                        </w:div>
                      </w:divsChild>
                    </w:div>
                    <w:div w:id="294153404">
                      <w:marLeft w:val="0"/>
                      <w:marRight w:val="0"/>
                      <w:marTop w:val="0"/>
                      <w:marBottom w:val="0"/>
                      <w:divBdr>
                        <w:top w:val="none" w:sz="0" w:space="0" w:color="auto"/>
                        <w:left w:val="none" w:sz="0" w:space="0" w:color="auto"/>
                        <w:bottom w:val="none" w:sz="0" w:space="0" w:color="auto"/>
                        <w:right w:val="none" w:sz="0" w:space="0" w:color="auto"/>
                      </w:divBdr>
                    </w:div>
                    <w:div w:id="294153405">
                      <w:marLeft w:val="0"/>
                      <w:marRight w:val="0"/>
                      <w:marTop w:val="0"/>
                      <w:marBottom w:val="0"/>
                      <w:divBdr>
                        <w:top w:val="none" w:sz="0" w:space="0" w:color="auto"/>
                        <w:left w:val="none" w:sz="0" w:space="0" w:color="auto"/>
                        <w:bottom w:val="none" w:sz="0" w:space="0" w:color="auto"/>
                        <w:right w:val="none" w:sz="0" w:space="0" w:color="auto"/>
                      </w:divBdr>
                    </w:div>
                    <w:div w:id="294153558">
                      <w:marLeft w:val="0"/>
                      <w:marRight w:val="0"/>
                      <w:marTop w:val="0"/>
                      <w:marBottom w:val="0"/>
                      <w:divBdr>
                        <w:top w:val="none" w:sz="0" w:space="0" w:color="auto"/>
                        <w:left w:val="none" w:sz="0" w:space="0" w:color="auto"/>
                        <w:bottom w:val="none" w:sz="0" w:space="0" w:color="auto"/>
                        <w:right w:val="none" w:sz="0" w:space="0" w:color="auto"/>
                      </w:divBdr>
                    </w:div>
                    <w:div w:id="294153601">
                      <w:marLeft w:val="0"/>
                      <w:marRight w:val="0"/>
                      <w:marTop w:val="0"/>
                      <w:marBottom w:val="0"/>
                      <w:divBdr>
                        <w:top w:val="none" w:sz="0" w:space="0" w:color="auto"/>
                        <w:left w:val="none" w:sz="0" w:space="0" w:color="auto"/>
                        <w:bottom w:val="none" w:sz="0" w:space="0" w:color="auto"/>
                        <w:right w:val="none" w:sz="0" w:space="0" w:color="auto"/>
                      </w:divBdr>
                      <w:divsChild>
                        <w:div w:id="294144022">
                          <w:marLeft w:val="0"/>
                          <w:marRight w:val="0"/>
                          <w:marTop w:val="0"/>
                          <w:marBottom w:val="0"/>
                          <w:divBdr>
                            <w:top w:val="none" w:sz="0" w:space="0" w:color="auto"/>
                            <w:left w:val="none" w:sz="0" w:space="0" w:color="auto"/>
                            <w:bottom w:val="none" w:sz="0" w:space="0" w:color="auto"/>
                            <w:right w:val="none" w:sz="0" w:space="0" w:color="auto"/>
                          </w:divBdr>
                        </w:div>
                      </w:divsChild>
                    </w:div>
                    <w:div w:id="294153657">
                      <w:marLeft w:val="0"/>
                      <w:marRight w:val="0"/>
                      <w:marTop w:val="0"/>
                      <w:marBottom w:val="0"/>
                      <w:divBdr>
                        <w:top w:val="none" w:sz="0" w:space="0" w:color="auto"/>
                        <w:left w:val="none" w:sz="0" w:space="0" w:color="auto"/>
                        <w:bottom w:val="none" w:sz="0" w:space="0" w:color="auto"/>
                        <w:right w:val="none" w:sz="0" w:space="0" w:color="auto"/>
                      </w:divBdr>
                      <w:divsChild>
                        <w:div w:id="294157294">
                          <w:marLeft w:val="0"/>
                          <w:marRight w:val="0"/>
                          <w:marTop w:val="0"/>
                          <w:marBottom w:val="0"/>
                          <w:divBdr>
                            <w:top w:val="none" w:sz="0" w:space="0" w:color="auto"/>
                            <w:left w:val="none" w:sz="0" w:space="0" w:color="auto"/>
                            <w:bottom w:val="none" w:sz="0" w:space="0" w:color="auto"/>
                            <w:right w:val="none" w:sz="0" w:space="0" w:color="auto"/>
                          </w:divBdr>
                        </w:div>
                      </w:divsChild>
                    </w:div>
                    <w:div w:id="294154021">
                      <w:marLeft w:val="0"/>
                      <w:marRight w:val="0"/>
                      <w:marTop w:val="0"/>
                      <w:marBottom w:val="0"/>
                      <w:divBdr>
                        <w:top w:val="none" w:sz="0" w:space="0" w:color="auto"/>
                        <w:left w:val="none" w:sz="0" w:space="0" w:color="auto"/>
                        <w:bottom w:val="none" w:sz="0" w:space="0" w:color="auto"/>
                        <w:right w:val="none" w:sz="0" w:space="0" w:color="auto"/>
                      </w:divBdr>
                      <w:divsChild>
                        <w:div w:id="294139853">
                          <w:marLeft w:val="0"/>
                          <w:marRight w:val="0"/>
                          <w:marTop w:val="0"/>
                          <w:marBottom w:val="0"/>
                          <w:divBdr>
                            <w:top w:val="none" w:sz="0" w:space="0" w:color="auto"/>
                            <w:left w:val="none" w:sz="0" w:space="0" w:color="auto"/>
                            <w:bottom w:val="none" w:sz="0" w:space="0" w:color="auto"/>
                            <w:right w:val="none" w:sz="0" w:space="0" w:color="auto"/>
                          </w:divBdr>
                        </w:div>
                      </w:divsChild>
                    </w:div>
                    <w:div w:id="294154059">
                      <w:marLeft w:val="0"/>
                      <w:marRight w:val="0"/>
                      <w:marTop w:val="0"/>
                      <w:marBottom w:val="0"/>
                      <w:divBdr>
                        <w:top w:val="none" w:sz="0" w:space="0" w:color="auto"/>
                        <w:left w:val="none" w:sz="0" w:space="0" w:color="auto"/>
                        <w:bottom w:val="none" w:sz="0" w:space="0" w:color="auto"/>
                        <w:right w:val="none" w:sz="0" w:space="0" w:color="auto"/>
                      </w:divBdr>
                      <w:divsChild>
                        <w:div w:id="294138908">
                          <w:marLeft w:val="0"/>
                          <w:marRight w:val="0"/>
                          <w:marTop w:val="0"/>
                          <w:marBottom w:val="0"/>
                          <w:divBdr>
                            <w:top w:val="none" w:sz="0" w:space="0" w:color="auto"/>
                            <w:left w:val="none" w:sz="0" w:space="0" w:color="auto"/>
                            <w:bottom w:val="none" w:sz="0" w:space="0" w:color="auto"/>
                            <w:right w:val="none" w:sz="0" w:space="0" w:color="auto"/>
                          </w:divBdr>
                        </w:div>
                      </w:divsChild>
                    </w:div>
                    <w:div w:id="294154099">
                      <w:marLeft w:val="0"/>
                      <w:marRight w:val="0"/>
                      <w:marTop w:val="0"/>
                      <w:marBottom w:val="0"/>
                      <w:divBdr>
                        <w:top w:val="none" w:sz="0" w:space="0" w:color="auto"/>
                        <w:left w:val="none" w:sz="0" w:space="0" w:color="auto"/>
                        <w:bottom w:val="none" w:sz="0" w:space="0" w:color="auto"/>
                        <w:right w:val="none" w:sz="0" w:space="0" w:color="auto"/>
                      </w:divBdr>
                    </w:div>
                    <w:div w:id="294154306">
                      <w:marLeft w:val="0"/>
                      <w:marRight w:val="0"/>
                      <w:marTop w:val="0"/>
                      <w:marBottom w:val="0"/>
                      <w:divBdr>
                        <w:top w:val="none" w:sz="0" w:space="0" w:color="auto"/>
                        <w:left w:val="none" w:sz="0" w:space="0" w:color="auto"/>
                        <w:bottom w:val="none" w:sz="0" w:space="0" w:color="auto"/>
                        <w:right w:val="none" w:sz="0" w:space="0" w:color="auto"/>
                      </w:divBdr>
                    </w:div>
                    <w:div w:id="294154347">
                      <w:marLeft w:val="0"/>
                      <w:marRight w:val="0"/>
                      <w:marTop w:val="0"/>
                      <w:marBottom w:val="0"/>
                      <w:divBdr>
                        <w:top w:val="none" w:sz="0" w:space="0" w:color="auto"/>
                        <w:left w:val="none" w:sz="0" w:space="0" w:color="auto"/>
                        <w:bottom w:val="none" w:sz="0" w:space="0" w:color="auto"/>
                        <w:right w:val="none" w:sz="0" w:space="0" w:color="auto"/>
                      </w:divBdr>
                    </w:div>
                    <w:div w:id="294154481">
                      <w:marLeft w:val="0"/>
                      <w:marRight w:val="0"/>
                      <w:marTop w:val="0"/>
                      <w:marBottom w:val="0"/>
                      <w:divBdr>
                        <w:top w:val="none" w:sz="0" w:space="0" w:color="auto"/>
                        <w:left w:val="none" w:sz="0" w:space="0" w:color="auto"/>
                        <w:bottom w:val="none" w:sz="0" w:space="0" w:color="auto"/>
                        <w:right w:val="none" w:sz="0" w:space="0" w:color="auto"/>
                      </w:divBdr>
                      <w:divsChild>
                        <w:div w:id="294148730">
                          <w:marLeft w:val="0"/>
                          <w:marRight w:val="0"/>
                          <w:marTop w:val="0"/>
                          <w:marBottom w:val="0"/>
                          <w:divBdr>
                            <w:top w:val="none" w:sz="0" w:space="0" w:color="auto"/>
                            <w:left w:val="none" w:sz="0" w:space="0" w:color="auto"/>
                            <w:bottom w:val="none" w:sz="0" w:space="0" w:color="auto"/>
                            <w:right w:val="none" w:sz="0" w:space="0" w:color="auto"/>
                          </w:divBdr>
                        </w:div>
                      </w:divsChild>
                    </w:div>
                    <w:div w:id="294154495">
                      <w:marLeft w:val="0"/>
                      <w:marRight w:val="0"/>
                      <w:marTop w:val="0"/>
                      <w:marBottom w:val="0"/>
                      <w:divBdr>
                        <w:top w:val="none" w:sz="0" w:space="0" w:color="auto"/>
                        <w:left w:val="none" w:sz="0" w:space="0" w:color="auto"/>
                        <w:bottom w:val="none" w:sz="0" w:space="0" w:color="auto"/>
                        <w:right w:val="none" w:sz="0" w:space="0" w:color="auto"/>
                      </w:divBdr>
                    </w:div>
                    <w:div w:id="294154548">
                      <w:marLeft w:val="0"/>
                      <w:marRight w:val="0"/>
                      <w:marTop w:val="0"/>
                      <w:marBottom w:val="0"/>
                      <w:divBdr>
                        <w:top w:val="none" w:sz="0" w:space="0" w:color="auto"/>
                        <w:left w:val="none" w:sz="0" w:space="0" w:color="auto"/>
                        <w:bottom w:val="none" w:sz="0" w:space="0" w:color="auto"/>
                        <w:right w:val="none" w:sz="0" w:space="0" w:color="auto"/>
                      </w:divBdr>
                    </w:div>
                    <w:div w:id="294154768">
                      <w:marLeft w:val="0"/>
                      <w:marRight w:val="0"/>
                      <w:marTop w:val="0"/>
                      <w:marBottom w:val="0"/>
                      <w:divBdr>
                        <w:top w:val="none" w:sz="0" w:space="0" w:color="auto"/>
                        <w:left w:val="none" w:sz="0" w:space="0" w:color="auto"/>
                        <w:bottom w:val="none" w:sz="0" w:space="0" w:color="auto"/>
                        <w:right w:val="none" w:sz="0" w:space="0" w:color="auto"/>
                      </w:divBdr>
                      <w:divsChild>
                        <w:div w:id="294152916">
                          <w:marLeft w:val="0"/>
                          <w:marRight w:val="0"/>
                          <w:marTop w:val="0"/>
                          <w:marBottom w:val="0"/>
                          <w:divBdr>
                            <w:top w:val="none" w:sz="0" w:space="0" w:color="auto"/>
                            <w:left w:val="none" w:sz="0" w:space="0" w:color="auto"/>
                            <w:bottom w:val="none" w:sz="0" w:space="0" w:color="auto"/>
                            <w:right w:val="none" w:sz="0" w:space="0" w:color="auto"/>
                          </w:divBdr>
                        </w:div>
                      </w:divsChild>
                    </w:div>
                    <w:div w:id="294155063">
                      <w:marLeft w:val="0"/>
                      <w:marRight w:val="0"/>
                      <w:marTop w:val="0"/>
                      <w:marBottom w:val="0"/>
                      <w:divBdr>
                        <w:top w:val="none" w:sz="0" w:space="0" w:color="auto"/>
                        <w:left w:val="none" w:sz="0" w:space="0" w:color="auto"/>
                        <w:bottom w:val="none" w:sz="0" w:space="0" w:color="auto"/>
                        <w:right w:val="none" w:sz="0" w:space="0" w:color="auto"/>
                      </w:divBdr>
                      <w:divsChild>
                        <w:div w:id="294144223">
                          <w:marLeft w:val="0"/>
                          <w:marRight w:val="0"/>
                          <w:marTop w:val="0"/>
                          <w:marBottom w:val="0"/>
                          <w:divBdr>
                            <w:top w:val="none" w:sz="0" w:space="0" w:color="auto"/>
                            <w:left w:val="none" w:sz="0" w:space="0" w:color="auto"/>
                            <w:bottom w:val="none" w:sz="0" w:space="0" w:color="auto"/>
                            <w:right w:val="none" w:sz="0" w:space="0" w:color="auto"/>
                          </w:divBdr>
                        </w:div>
                      </w:divsChild>
                    </w:div>
                    <w:div w:id="294155139">
                      <w:marLeft w:val="0"/>
                      <w:marRight w:val="0"/>
                      <w:marTop w:val="0"/>
                      <w:marBottom w:val="0"/>
                      <w:divBdr>
                        <w:top w:val="none" w:sz="0" w:space="0" w:color="auto"/>
                        <w:left w:val="none" w:sz="0" w:space="0" w:color="auto"/>
                        <w:bottom w:val="none" w:sz="0" w:space="0" w:color="auto"/>
                        <w:right w:val="none" w:sz="0" w:space="0" w:color="auto"/>
                      </w:divBdr>
                    </w:div>
                    <w:div w:id="294155396">
                      <w:marLeft w:val="0"/>
                      <w:marRight w:val="0"/>
                      <w:marTop w:val="0"/>
                      <w:marBottom w:val="0"/>
                      <w:divBdr>
                        <w:top w:val="none" w:sz="0" w:space="0" w:color="auto"/>
                        <w:left w:val="none" w:sz="0" w:space="0" w:color="auto"/>
                        <w:bottom w:val="none" w:sz="0" w:space="0" w:color="auto"/>
                        <w:right w:val="none" w:sz="0" w:space="0" w:color="auto"/>
                      </w:divBdr>
                      <w:divsChild>
                        <w:div w:id="294151765">
                          <w:marLeft w:val="0"/>
                          <w:marRight w:val="0"/>
                          <w:marTop w:val="0"/>
                          <w:marBottom w:val="0"/>
                          <w:divBdr>
                            <w:top w:val="none" w:sz="0" w:space="0" w:color="auto"/>
                            <w:left w:val="none" w:sz="0" w:space="0" w:color="auto"/>
                            <w:bottom w:val="none" w:sz="0" w:space="0" w:color="auto"/>
                            <w:right w:val="none" w:sz="0" w:space="0" w:color="auto"/>
                          </w:divBdr>
                        </w:div>
                      </w:divsChild>
                    </w:div>
                    <w:div w:id="294155550">
                      <w:marLeft w:val="0"/>
                      <w:marRight w:val="0"/>
                      <w:marTop w:val="0"/>
                      <w:marBottom w:val="0"/>
                      <w:divBdr>
                        <w:top w:val="none" w:sz="0" w:space="0" w:color="auto"/>
                        <w:left w:val="none" w:sz="0" w:space="0" w:color="auto"/>
                        <w:bottom w:val="none" w:sz="0" w:space="0" w:color="auto"/>
                        <w:right w:val="none" w:sz="0" w:space="0" w:color="auto"/>
                      </w:divBdr>
                      <w:divsChild>
                        <w:div w:id="294140296">
                          <w:marLeft w:val="0"/>
                          <w:marRight w:val="0"/>
                          <w:marTop w:val="0"/>
                          <w:marBottom w:val="0"/>
                          <w:divBdr>
                            <w:top w:val="none" w:sz="0" w:space="0" w:color="auto"/>
                            <w:left w:val="none" w:sz="0" w:space="0" w:color="auto"/>
                            <w:bottom w:val="none" w:sz="0" w:space="0" w:color="auto"/>
                            <w:right w:val="none" w:sz="0" w:space="0" w:color="auto"/>
                          </w:divBdr>
                        </w:div>
                      </w:divsChild>
                    </w:div>
                    <w:div w:id="294155922">
                      <w:marLeft w:val="0"/>
                      <w:marRight w:val="0"/>
                      <w:marTop w:val="0"/>
                      <w:marBottom w:val="0"/>
                      <w:divBdr>
                        <w:top w:val="none" w:sz="0" w:space="0" w:color="auto"/>
                        <w:left w:val="none" w:sz="0" w:space="0" w:color="auto"/>
                        <w:bottom w:val="none" w:sz="0" w:space="0" w:color="auto"/>
                        <w:right w:val="none" w:sz="0" w:space="0" w:color="auto"/>
                      </w:divBdr>
                    </w:div>
                    <w:div w:id="294156006">
                      <w:marLeft w:val="0"/>
                      <w:marRight w:val="0"/>
                      <w:marTop w:val="0"/>
                      <w:marBottom w:val="0"/>
                      <w:divBdr>
                        <w:top w:val="none" w:sz="0" w:space="0" w:color="auto"/>
                        <w:left w:val="none" w:sz="0" w:space="0" w:color="auto"/>
                        <w:bottom w:val="none" w:sz="0" w:space="0" w:color="auto"/>
                        <w:right w:val="none" w:sz="0" w:space="0" w:color="auto"/>
                      </w:divBdr>
                    </w:div>
                    <w:div w:id="294156079">
                      <w:marLeft w:val="0"/>
                      <w:marRight w:val="0"/>
                      <w:marTop w:val="0"/>
                      <w:marBottom w:val="0"/>
                      <w:divBdr>
                        <w:top w:val="none" w:sz="0" w:space="0" w:color="auto"/>
                        <w:left w:val="none" w:sz="0" w:space="0" w:color="auto"/>
                        <w:bottom w:val="none" w:sz="0" w:space="0" w:color="auto"/>
                        <w:right w:val="none" w:sz="0" w:space="0" w:color="auto"/>
                      </w:divBdr>
                      <w:divsChild>
                        <w:div w:id="294155728">
                          <w:marLeft w:val="0"/>
                          <w:marRight w:val="0"/>
                          <w:marTop w:val="0"/>
                          <w:marBottom w:val="0"/>
                          <w:divBdr>
                            <w:top w:val="none" w:sz="0" w:space="0" w:color="auto"/>
                            <w:left w:val="none" w:sz="0" w:space="0" w:color="auto"/>
                            <w:bottom w:val="none" w:sz="0" w:space="0" w:color="auto"/>
                            <w:right w:val="none" w:sz="0" w:space="0" w:color="auto"/>
                          </w:divBdr>
                        </w:div>
                      </w:divsChild>
                    </w:div>
                    <w:div w:id="294156089">
                      <w:marLeft w:val="0"/>
                      <w:marRight w:val="0"/>
                      <w:marTop w:val="0"/>
                      <w:marBottom w:val="0"/>
                      <w:divBdr>
                        <w:top w:val="none" w:sz="0" w:space="0" w:color="auto"/>
                        <w:left w:val="none" w:sz="0" w:space="0" w:color="auto"/>
                        <w:bottom w:val="none" w:sz="0" w:space="0" w:color="auto"/>
                        <w:right w:val="none" w:sz="0" w:space="0" w:color="auto"/>
                      </w:divBdr>
                    </w:div>
                    <w:div w:id="294156111">
                      <w:marLeft w:val="0"/>
                      <w:marRight w:val="0"/>
                      <w:marTop w:val="0"/>
                      <w:marBottom w:val="0"/>
                      <w:divBdr>
                        <w:top w:val="none" w:sz="0" w:space="0" w:color="auto"/>
                        <w:left w:val="none" w:sz="0" w:space="0" w:color="auto"/>
                        <w:bottom w:val="none" w:sz="0" w:space="0" w:color="auto"/>
                        <w:right w:val="none" w:sz="0" w:space="0" w:color="auto"/>
                      </w:divBdr>
                      <w:divsChild>
                        <w:div w:id="294147400">
                          <w:marLeft w:val="0"/>
                          <w:marRight w:val="0"/>
                          <w:marTop w:val="0"/>
                          <w:marBottom w:val="0"/>
                          <w:divBdr>
                            <w:top w:val="none" w:sz="0" w:space="0" w:color="auto"/>
                            <w:left w:val="none" w:sz="0" w:space="0" w:color="auto"/>
                            <w:bottom w:val="none" w:sz="0" w:space="0" w:color="auto"/>
                            <w:right w:val="none" w:sz="0" w:space="0" w:color="auto"/>
                          </w:divBdr>
                        </w:div>
                      </w:divsChild>
                    </w:div>
                    <w:div w:id="294156254">
                      <w:marLeft w:val="0"/>
                      <w:marRight w:val="0"/>
                      <w:marTop w:val="0"/>
                      <w:marBottom w:val="0"/>
                      <w:divBdr>
                        <w:top w:val="none" w:sz="0" w:space="0" w:color="auto"/>
                        <w:left w:val="none" w:sz="0" w:space="0" w:color="auto"/>
                        <w:bottom w:val="none" w:sz="0" w:space="0" w:color="auto"/>
                        <w:right w:val="none" w:sz="0" w:space="0" w:color="auto"/>
                      </w:divBdr>
                      <w:divsChild>
                        <w:div w:id="294143642">
                          <w:marLeft w:val="0"/>
                          <w:marRight w:val="0"/>
                          <w:marTop w:val="0"/>
                          <w:marBottom w:val="0"/>
                          <w:divBdr>
                            <w:top w:val="none" w:sz="0" w:space="0" w:color="auto"/>
                            <w:left w:val="none" w:sz="0" w:space="0" w:color="auto"/>
                            <w:bottom w:val="none" w:sz="0" w:space="0" w:color="auto"/>
                            <w:right w:val="none" w:sz="0" w:space="0" w:color="auto"/>
                          </w:divBdr>
                        </w:div>
                      </w:divsChild>
                    </w:div>
                    <w:div w:id="294156385">
                      <w:marLeft w:val="0"/>
                      <w:marRight w:val="0"/>
                      <w:marTop w:val="0"/>
                      <w:marBottom w:val="0"/>
                      <w:divBdr>
                        <w:top w:val="none" w:sz="0" w:space="0" w:color="auto"/>
                        <w:left w:val="none" w:sz="0" w:space="0" w:color="auto"/>
                        <w:bottom w:val="none" w:sz="0" w:space="0" w:color="auto"/>
                        <w:right w:val="none" w:sz="0" w:space="0" w:color="auto"/>
                      </w:divBdr>
                      <w:divsChild>
                        <w:div w:id="294153952">
                          <w:marLeft w:val="0"/>
                          <w:marRight w:val="0"/>
                          <w:marTop w:val="0"/>
                          <w:marBottom w:val="0"/>
                          <w:divBdr>
                            <w:top w:val="none" w:sz="0" w:space="0" w:color="auto"/>
                            <w:left w:val="none" w:sz="0" w:space="0" w:color="auto"/>
                            <w:bottom w:val="none" w:sz="0" w:space="0" w:color="auto"/>
                            <w:right w:val="none" w:sz="0" w:space="0" w:color="auto"/>
                          </w:divBdr>
                        </w:div>
                      </w:divsChild>
                    </w:div>
                    <w:div w:id="294156502">
                      <w:marLeft w:val="0"/>
                      <w:marRight w:val="0"/>
                      <w:marTop w:val="0"/>
                      <w:marBottom w:val="0"/>
                      <w:divBdr>
                        <w:top w:val="none" w:sz="0" w:space="0" w:color="auto"/>
                        <w:left w:val="none" w:sz="0" w:space="0" w:color="auto"/>
                        <w:bottom w:val="none" w:sz="0" w:space="0" w:color="auto"/>
                        <w:right w:val="none" w:sz="0" w:space="0" w:color="auto"/>
                      </w:divBdr>
                      <w:divsChild>
                        <w:div w:id="294139467">
                          <w:marLeft w:val="0"/>
                          <w:marRight w:val="0"/>
                          <w:marTop w:val="0"/>
                          <w:marBottom w:val="0"/>
                          <w:divBdr>
                            <w:top w:val="none" w:sz="0" w:space="0" w:color="auto"/>
                            <w:left w:val="none" w:sz="0" w:space="0" w:color="auto"/>
                            <w:bottom w:val="none" w:sz="0" w:space="0" w:color="auto"/>
                            <w:right w:val="none" w:sz="0" w:space="0" w:color="auto"/>
                          </w:divBdr>
                        </w:div>
                      </w:divsChild>
                    </w:div>
                    <w:div w:id="294156855">
                      <w:marLeft w:val="0"/>
                      <w:marRight w:val="0"/>
                      <w:marTop w:val="0"/>
                      <w:marBottom w:val="0"/>
                      <w:divBdr>
                        <w:top w:val="none" w:sz="0" w:space="0" w:color="auto"/>
                        <w:left w:val="none" w:sz="0" w:space="0" w:color="auto"/>
                        <w:bottom w:val="none" w:sz="0" w:space="0" w:color="auto"/>
                        <w:right w:val="none" w:sz="0" w:space="0" w:color="auto"/>
                      </w:divBdr>
                    </w:div>
                    <w:div w:id="294156896">
                      <w:marLeft w:val="0"/>
                      <w:marRight w:val="0"/>
                      <w:marTop w:val="0"/>
                      <w:marBottom w:val="0"/>
                      <w:divBdr>
                        <w:top w:val="none" w:sz="0" w:space="0" w:color="auto"/>
                        <w:left w:val="none" w:sz="0" w:space="0" w:color="auto"/>
                        <w:bottom w:val="none" w:sz="0" w:space="0" w:color="auto"/>
                        <w:right w:val="none" w:sz="0" w:space="0" w:color="auto"/>
                      </w:divBdr>
                    </w:div>
                    <w:div w:id="294156920">
                      <w:marLeft w:val="0"/>
                      <w:marRight w:val="0"/>
                      <w:marTop w:val="0"/>
                      <w:marBottom w:val="0"/>
                      <w:divBdr>
                        <w:top w:val="none" w:sz="0" w:space="0" w:color="auto"/>
                        <w:left w:val="none" w:sz="0" w:space="0" w:color="auto"/>
                        <w:bottom w:val="none" w:sz="0" w:space="0" w:color="auto"/>
                        <w:right w:val="none" w:sz="0" w:space="0" w:color="auto"/>
                      </w:divBdr>
                    </w:div>
                    <w:div w:id="294156960">
                      <w:marLeft w:val="0"/>
                      <w:marRight w:val="0"/>
                      <w:marTop w:val="0"/>
                      <w:marBottom w:val="0"/>
                      <w:divBdr>
                        <w:top w:val="none" w:sz="0" w:space="0" w:color="auto"/>
                        <w:left w:val="none" w:sz="0" w:space="0" w:color="auto"/>
                        <w:bottom w:val="none" w:sz="0" w:space="0" w:color="auto"/>
                        <w:right w:val="none" w:sz="0" w:space="0" w:color="auto"/>
                      </w:divBdr>
                    </w:div>
                    <w:div w:id="294157236">
                      <w:marLeft w:val="0"/>
                      <w:marRight w:val="0"/>
                      <w:marTop w:val="0"/>
                      <w:marBottom w:val="0"/>
                      <w:divBdr>
                        <w:top w:val="none" w:sz="0" w:space="0" w:color="auto"/>
                        <w:left w:val="none" w:sz="0" w:space="0" w:color="auto"/>
                        <w:bottom w:val="none" w:sz="0" w:space="0" w:color="auto"/>
                        <w:right w:val="none" w:sz="0" w:space="0" w:color="auto"/>
                      </w:divBdr>
                    </w:div>
                    <w:div w:id="294157274">
                      <w:marLeft w:val="0"/>
                      <w:marRight w:val="0"/>
                      <w:marTop w:val="0"/>
                      <w:marBottom w:val="0"/>
                      <w:divBdr>
                        <w:top w:val="none" w:sz="0" w:space="0" w:color="auto"/>
                        <w:left w:val="none" w:sz="0" w:space="0" w:color="auto"/>
                        <w:bottom w:val="none" w:sz="0" w:space="0" w:color="auto"/>
                        <w:right w:val="none" w:sz="0" w:space="0" w:color="auto"/>
                      </w:divBdr>
                    </w:div>
                    <w:div w:id="2941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51041">
      <w:marLeft w:val="0"/>
      <w:marRight w:val="0"/>
      <w:marTop w:val="0"/>
      <w:marBottom w:val="0"/>
      <w:divBdr>
        <w:top w:val="none" w:sz="0" w:space="0" w:color="auto"/>
        <w:left w:val="none" w:sz="0" w:space="0" w:color="auto"/>
        <w:bottom w:val="none" w:sz="0" w:space="0" w:color="auto"/>
        <w:right w:val="none" w:sz="0" w:space="0" w:color="auto"/>
      </w:divBdr>
    </w:div>
    <w:div w:id="294151072">
      <w:marLeft w:val="0"/>
      <w:marRight w:val="0"/>
      <w:marTop w:val="0"/>
      <w:marBottom w:val="0"/>
      <w:divBdr>
        <w:top w:val="none" w:sz="0" w:space="0" w:color="auto"/>
        <w:left w:val="none" w:sz="0" w:space="0" w:color="auto"/>
        <w:bottom w:val="none" w:sz="0" w:space="0" w:color="auto"/>
        <w:right w:val="none" w:sz="0" w:space="0" w:color="auto"/>
      </w:divBdr>
    </w:div>
    <w:div w:id="294151124">
      <w:marLeft w:val="0"/>
      <w:marRight w:val="0"/>
      <w:marTop w:val="0"/>
      <w:marBottom w:val="0"/>
      <w:divBdr>
        <w:top w:val="none" w:sz="0" w:space="0" w:color="auto"/>
        <w:left w:val="none" w:sz="0" w:space="0" w:color="auto"/>
        <w:bottom w:val="none" w:sz="0" w:space="0" w:color="auto"/>
        <w:right w:val="none" w:sz="0" w:space="0" w:color="auto"/>
      </w:divBdr>
    </w:div>
    <w:div w:id="294151140">
      <w:marLeft w:val="0"/>
      <w:marRight w:val="0"/>
      <w:marTop w:val="0"/>
      <w:marBottom w:val="0"/>
      <w:divBdr>
        <w:top w:val="none" w:sz="0" w:space="0" w:color="auto"/>
        <w:left w:val="none" w:sz="0" w:space="0" w:color="auto"/>
        <w:bottom w:val="none" w:sz="0" w:space="0" w:color="auto"/>
        <w:right w:val="none" w:sz="0" w:space="0" w:color="auto"/>
      </w:divBdr>
    </w:div>
    <w:div w:id="294151148">
      <w:marLeft w:val="0"/>
      <w:marRight w:val="0"/>
      <w:marTop w:val="0"/>
      <w:marBottom w:val="0"/>
      <w:divBdr>
        <w:top w:val="none" w:sz="0" w:space="0" w:color="auto"/>
        <w:left w:val="none" w:sz="0" w:space="0" w:color="auto"/>
        <w:bottom w:val="none" w:sz="0" w:space="0" w:color="auto"/>
        <w:right w:val="none" w:sz="0" w:space="0" w:color="auto"/>
      </w:divBdr>
    </w:div>
    <w:div w:id="294151155">
      <w:marLeft w:val="0"/>
      <w:marRight w:val="0"/>
      <w:marTop w:val="0"/>
      <w:marBottom w:val="0"/>
      <w:divBdr>
        <w:top w:val="none" w:sz="0" w:space="0" w:color="auto"/>
        <w:left w:val="none" w:sz="0" w:space="0" w:color="auto"/>
        <w:bottom w:val="none" w:sz="0" w:space="0" w:color="auto"/>
        <w:right w:val="none" w:sz="0" w:space="0" w:color="auto"/>
      </w:divBdr>
      <w:divsChild>
        <w:div w:id="294144921">
          <w:marLeft w:val="0"/>
          <w:marRight w:val="0"/>
          <w:marTop w:val="0"/>
          <w:marBottom w:val="0"/>
          <w:divBdr>
            <w:top w:val="none" w:sz="0" w:space="0" w:color="auto"/>
            <w:left w:val="none" w:sz="0" w:space="0" w:color="auto"/>
            <w:bottom w:val="none" w:sz="0" w:space="0" w:color="auto"/>
            <w:right w:val="none" w:sz="0" w:space="0" w:color="auto"/>
          </w:divBdr>
          <w:divsChild>
            <w:div w:id="294141417">
              <w:marLeft w:val="374"/>
              <w:marRight w:val="0"/>
              <w:marTop w:val="0"/>
              <w:marBottom w:val="0"/>
              <w:divBdr>
                <w:top w:val="single" w:sz="24" w:space="7" w:color="D9D9D9"/>
                <w:left w:val="none" w:sz="0" w:space="0" w:color="auto"/>
                <w:bottom w:val="none" w:sz="0" w:space="0" w:color="auto"/>
                <w:right w:val="none" w:sz="0" w:space="0" w:color="auto"/>
              </w:divBdr>
              <w:divsChild>
                <w:div w:id="294141799">
                  <w:marLeft w:val="0"/>
                  <w:marRight w:val="0"/>
                  <w:marTop w:val="0"/>
                  <w:marBottom w:val="0"/>
                  <w:divBdr>
                    <w:top w:val="none" w:sz="0" w:space="0" w:color="auto"/>
                    <w:left w:val="none" w:sz="0" w:space="0" w:color="auto"/>
                    <w:bottom w:val="none" w:sz="0" w:space="0" w:color="auto"/>
                    <w:right w:val="none" w:sz="0" w:space="0" w:color="auto"/>
                  </w:divBdr>
                  <w:divsChild>
                    <w:div w:id="294143383">
                      <w:marLeft w:val="0"/>
                      <w:marRight w:val="0"/>
                      <w:marTop w:val="0"/>
                      <w:marBottom w:val="0"/>
                      <w:divBdr>
                        <w:top w:val="none" w:sz="0" w:space="0" w:color="auto"/>
                        <w:left w:val="none" w:sz="0" w:space="0" w:color="auto"/>
                        <w:bottom w:val="none" w:sz="0" w:space="0" w:color="auto"/>
                        <w:right w:val="none" w:sz="0" w:space="0" w:color="auto"/>
                      </w:divBdr>
                    </w:div>
                    <w:div w:id="294150179">
                      <w:marLeft w:val="0"/>
                      <w:marRight w:val="0"/>
                      <w:marTop w:val="0"/>
                      <w:marBottom w:val="0"/>
                      <w:divBdr>
                        <w:top w:val="none" w:sz="0" w:space="0" w:color="auto"/>
                        <w:left w:val="none" w:sz="0" w:space="0" w:color="auto"/>
                        <w:bottom w:val="none" w:sz="0" w:space="0" w:color="auto"/>
                        <w:right w:val="none" w:sz="0" w:space="0" w:color="auto"/>
                      </w:divBdr>
                    </w:div>
                    <w:div w:id="294153816">
                      <w:marLeft w:val="0"/>
                      <w:marRight w:val="0"/>
                      <w:marTop w:val="0"/>
                      <w:marBottom w:val="0"/>
                      <w:divBdr>
                        <w:top w:val="none" w:sz="0" w:space="0" w:color="auto"/>
                        <w:left w:val="none" w:sz="0" w:space="0" w:color="auto"/>
                        <w:bottom w:val="none" w:sz="0" w:space="0" w:color="auto"/>
                        <w:right w:val="none" w:sz="0" w:space="0" w:color="auto"/>
                      </w:divBdr>
                    </w:div>
                    <w:div w:id="294154104">
                      <w:marLeft w:val="0"/>
                      <w:marRight w:val="0"/>
                      <w:marTop w:val="0"/>
                      <w:marBottom w:val="0"/>
                      <w:divBdr>
                        <w:top w:val="none" w:sz="0" w:space="0" w:color="auto"/>
                        <w:left w:val="none" w:sz="0" w:space="0" w:color="auto"/>
                        <w:bottom w:val="none" w:sz="0" w:space="0" w:color="auto"/>
                        <w:right w:val="none" w:sz="0" w:space="0" w:color="auto"/>
                      </w:divBdr>
                    </w:div>
                    <w:div w:id="294157150">
                      <w:marLeft w:val="0"/>
                      <w:marRight w:val="0"/>
                      <w:marTop w:val="0"/>
                      <w:marBottom w:val="0"/>
                      <w:divBdr>
                        <w:top w:val="none" w:sz="0" w:space="0" w:color="auto"/>
                        <w:left w:val="none" w:sz="0" w:space="0" w:color="auto"/>
                        <w:bottom w:val="none" w:sz="0" w:space="0" w:color="auto"/>
                        <w:right w:val="none" w:sz="0" w:space="0" w:color="auto"/>
                      </w:divBdr>
                    </w:div>
                    <w:div w:id="294157226">
                      <w:marLeft w:val="0"/>
                      <w:marRight w:val="0"/>
                      <w:marTop w:val="0"/>
                      <w:marBottom w:val="0"/>
                      <w:divBdr>
                        <w:top w:val="none" w:sz="0" w:space="0" w:color="auto"/>
                        <w:left w:val="none" w:sz="0" w:space="0" w:color="auto"/>
                        <w:bottom w:val="none" w:sz="0" w:space="0" w:color="auto"/>
                        <w:right w:val="none" w:sz="0" w:space="0" w:color="auto"/>
                      </w:divBdr>
                    </w:div>
                  </w:divsChild>
                </w:div>
                <w:div w:id="294145951">
                  <w:marLeft w:val="0"/>
                  <w:marRight w:val="0"/>
                  <w:marTop w:val="0"/>
                  <w:marBottom w:val="0"/>
                  <w:divBdr>
                    <w:top w:val="none" w:sz="0" w:space="0" w:color="auto"/>
                    <w:left w:val="none" w:sz="0" w:space="0" w:color="auto"/>
                    <w:bottom w:val="none" w:sz="0" w:space="0" w:color="auto"/>
                    <w:right w:val="none" w:sz="0" w:space="0" w:color="auto"/>
                  </w:divBdr>
                </w:div>
                <w:div w:id="29415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9101">
          <w:marLeft w:val="0"/>
          <w:marRight w:val="0"/>
          <w:marTop w:val="0"/>
          <w:marBottom w:val="0"/>
          <w:divBdr>
            <w:top w:val="single" w:sz="8" w:space="12" w:color="D9D9D9"/>
            <w:left w:val="none" w:sz="0" w:space="0" w:color="auto"/>
            <w:bottom w:val="none" w:sz="0" w:space="0" w:color="auto"/>
            <w:right w:val="none" w:sz="0" w:space="0" w:color="auto"/>
          </w:divBdr>
          <w:divsChild>
            <w:div w:id="294152980">
              <w:marLeft w:val="0"/>
              <w:marRight w:val="0"/>
              <w:marTop w:val="0"/>
              <w:marBottom w:val="0"/>
              <w:divBdr>
                <w:top w:val="none" w:sz="0" w:space="0" w:color="auto"/>
                <w:left w:val="none" w:sz="0" w:space="0" w:color="auto"/>
                <w:bottom w:val="none" w:sz="0" w:space="0" w:color="auto"/>
                <w:right w:val="none" w:sz="0" w:space="0" w:color="auto"/>
              </w:divBdr>
            </w:div>
          </w:divsChild>
        </w:div>
        <w:div w:id="294154807">
          <w:marLeft w:val="0"/>
          <w:marRight w:val="0"/>
          <w:marTop w:val="0"/>
          <w:marBottom w:val="0"/>
          <w:divBdr>
            <w:top w:val="single" w:sz="8" w:space="12" w:color="D9D9D9"/>
            <w:left w:val="none" w:sz="0" w:space="0" w:color="auto"/>
            <w:bottom w:val="none" w:sz="0" w:space="0" w:color="auto"/>
            <w:right w:val="none" w:sz="0" w:space="0" w:color="auto"/>
          </w:divBdr>
          <w:divsChild>
            <w:div w:id="294148394">
              <w:marLeft w:val="187"/>
              <w:marRight w:val="187"/>
              <w:marTop w:val="0"/>
              <w:marBottom w:val="94"/>
              <w:divBdr>
                <w:top w:val="none" w:sz="0" w:space="0" w:color="auto"/>
                <w:left w:val="none" w:sz="0" w:space="0" w:color="auto"/>
                <w:bottom w:val="none" w:sz="0" w:space="0" w:color="auto"/>
                <w:right w:val="none" w:sz="0" w:space="0" w:color="auto"/>
              </w:divBdr>
            </w:div>
            <w:div w:id="294148588">
              <w:marLeft w:val="187"/>
              <w:marRight w:val="187"/>
              <w:marTop w:val="0"/>
              <w:marBottom w:val="94"/>
              <w:divBdr>
                <w:top w:val="none" w:sz="0" w:space="0" w:color="auto"/>
                <w:left w:val="none" w:sz="0" w:space="0" w:color="auto"/>
                <w:bottom w:val="none" w:sz="0" w:space="0" w:color="auto"/>
                <w:right w:val="none" w:sz="0" w:space="0" w:color="auto"/>
              </w:divBdr>
            </w:div>
            <w:div w:id="294150349">
              <w:marLeft w:val="187"/>
              <w:marRight w:val="187"/>
              <w:marTop w:val="0"/>
              <w:marBottom w:val="94"/>
              <w:divBdr>
                <w:top w:val="none" w:sz="0" w:space="0" w:color="auto"/>
                <w:left w:val="none" w:sz="0" w:space="0" w:color="auto"/>
                <w:bottom w:val="none" w:sz="0" w:space="0" w:color="auto"/>
                <w:right w:val="none" w:sz="0" w:space="0" w:color="auto"/>
              </w:divBdr>
            </w:div>
            <w:div w:id="294154432">
              <w:marLeft w:val="187"/>
              <w:marRight w:val="187"/>
              <w:marTop w:val="0"/>
              <w:marBottom w:val="94"/>
              <w:divBdr>
                <w:top w:val="none" w:sz="0" w:space="0" w:color="auto"/>
                <w:left w:val="none" w:sz="0" w:space="0" w:color="auto"/>
                <w:bottom w:val="none" w:sz="0" w:space="0" w:color="auto"/>
                <w:right w:val="none" w:sz="0" w:space="0" w:color="auto"/>
              </w:divBdr>
            </w:div>
          </w:divsChild>
        </w:div>
        <w:div w:id="294155816">
          <w:marLeft w:val="0"/>
          <w:marRight w:val="0"/>
          <w:marTop w:val="0"/>
          <w:marBottom w:val="0"/>
          <w:divBdr>
            <w:top w:val="none" w:sz="0" w:space="0" w:color="auto"/>
            <w:left w:val="none" w:sz="0" w:space="0" w:color="auto"/>
            <w:bottom w:val="none" w:sz="0" w:space="0" w:color="auto"/>
            <w:right w:val="none" w:sz="0" w:space="0" w:color="auto"/>
          </w:divBdr>
        </w:div>
        <w:div w:id="294156720">
          <w:marLeft w:val="0"/>
          <w:marRight w:val="0"/>
          <w:marTop w:val="0"/>
          <w:marBottom w:val="0"/>
          <w:divBdr>
            <w:top w:val="none" w:sz="0" w:space="0" w:color="auto"/>
            <w:left w:val="none" w:sz="0" w:space="0" w:color="auto"/>
            <w:bottom w:val="none" w:sz="0" w:space="0" w:color="auto"/>
            <w:right w:val="none" w:sz="0" w:space="0" w:color="auto"/>
          </w:divBdr>
          <w:divsChild>
            <w:div w:id="294145714">
              <w:marLeft w:val="2880"/>
              <w:marRight w:val="0"/>
              <w:marTop w:val="0"/>
              <w:marBottom w:val="0"/>
              <w:divBdr>
                <w:top w:val="none" w:sz="0" w:space="0" w:color="auto"/>
                <w:left w:val="none" w:sz="0" w:space="0" w:color="auto"/>
                <w:bottom w:val="none" w:sz="0" w:space="0" w:color="auto"/>
                <w:right w:val="none" w:sz="0" w:space="0" w:color="auto"/>
              </w:divBdr>
              <w:divsChild>
                <w:div w:id="294139199">
                  <w:marLeft w:val="0"/>
                  <w:marRight w:val="0"/>
                  <w:marTop w:val="0"/>
                  <w:marBottom w:val="0"/>
                  <w:divBdr>
                    <w:top w:val="none" w:sz="0" w:space="0" w:color="auto"/>
                    <w:left w:val="none" w:sz="0" w:space="0" w:color="auto"/>
                    <w:bottom w:val="none" w:sz="0" w:space="0" w:color="auto"/>
                    <w:right w:val="none" w:sz="0" w:space="0" w:color="auto"/>
                  </w:divBdr>
                </w:div>
              </w:divsChild>
            </w:div>
            <w:div w:id="2941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1166">
      <w:marLeft w:val="0"/>
      <w:marRight w:val="0"/>
      <w:marTop w:val="0"/>
      <w:marBottom w:val="0"/>
      <w:divBdr>
        <w:top w:val="none" w:sz="0" w:space="0" w:color="auto"/>
        <w:left w:val="none" w:sz="0" w:space="0" w:color="auto"/>
        <w:bottom w:val="none" w:sz="0" w:space="0" w:color="auto"/>
        <w:right w:val="none" w:sz="0" w:space="0" w:color="auto"/>
      </w:divBdr>
    </w:div>
    <w:div w:id="294151173">
      <w:marLeft w:val="0"/>
      <w:marRight w:val="0"/>
      <w:marTop w:val="0"/>
      <w:marBottom w:val="0"/>
      <w:divBdr>
        <w:top w:val="none" w:sz="0" w:space="0" w:color="auto"/>
        <w:left w:val="none" w:sz="0" w:space="0" w:color="auto"/>
        <w:bottom w:val="none" w:sz="0" w:space="0" w:color="auto"/>
        <w:right w:val="none" w:sz="0" w:space="0" w:color="auto"/>
      </w:divBdr>
      <w:divsChild>
        <w:div w:id="294146141">
          <w:marLeft w:val="0"/>
          <w:marRight w:val="0"/>
          <w:marTop w:val="0"/>
          <w:marBottom w:val="0"/>
          <w:divBdr>
            <w:top w:val="none" w:sz="0" w:space="0" w:color="auto"/>
            <w:left w:val="none" w:sz="0" w:space="0" w:color="auto"/>
            <w:bottom w:val="none" w:sz="0" w:space="0" w:color="auto"/>
            <w:right w:val="none" w:sz="0" w:space="0" w:color="auto"/>
          </w:divBdr>
          <w:divsChild>
            <w:div w:id="294154640">
              <w:marLeft w:val="0"/>
              <w:marRight w:val="0"/>
              <w:marTop w:val="0"/>
              <w:marBottom w:val="0"/>
              <w:divBdr>
                <w:top w:val="none" w:sz="0" w:space="0" w:color="auto"/>
                <w:left w:val="none" w:sz="0" w:space="0" w:color="auto"/>
                <w:bottom w:val="none" w:sz="0" w:space="0" w:color="auto"/>
                <w:right w:val="none" w:sz="0" w:space="0" w:color="auto"/>
              </w:divBdr>
              <w:divsChild>
                <w:div w:id="29414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9008">
          <w:marLeft w:val="0"/>
          <w:marRight w:val="0"/>
          <w:marTop w:val="0"/>
          <w:marBottom w:val="0"/>
          <w:divBdr>
            <w:top w:val="none" w:sz="0" w:space="0" w:color="auto"/>
            <w:left w:val="none" w:sz="0" w:space="0" w:color="auto"/>
            <w:bottom w:val="none" w:sz="0" w:space="0" w:color="auto"/>
            <w:right w:val="none" w:sz="0" w:space="0" w:color="auto"/>
          </w:divBdr>
          <w:divsChild>
            <w:div w:id="294153504">
              <w:marLeft w:val="0"/>
              <w:marRight w:val="0"/>
              <w:marTop w:val="0"/>
              <w:marBottom w:val="0"/>
              <w:divBdr>
                <w:top w:val="none" w:sz="0" w:space="0" w:color="auto"/>
                <w:left w:val="none" w:sz="0" w:space="0" w:color="auto"/>
                <w:bottom w:val="none" w:sz="0" w:space="0" w:color="auto"/>
                <w:right w:val="none" w:sz="0" w:space="0" w:color="auto"/>
              </w:divBdr>
              <w:divsChild>
                <w:div w:id="294138596">
                  <w:marLeft w:val="0"/>
                  <w:marRight w:val="0"/>
                  <w:marTop w:val="0"/>
                  <w:marBottom w:val="0"/>
                  <w:divBdr>
                    <w:top w:val="none" w:sz="0" w:space="0" w:color="auto"/>
                    <w:left w:val="none" w:sz="0" w:space="0" w:color="auto"/>
                    <w:bottom w:val="none" w:sz="0" w:space="0" w:color="auto"/>
                    <w:right w:val="none" w:sz="0" w:space="0" w:color="auto"/>
                  </w:divBdr>
                </w:div>
                <w:div w:id="294138937">
                  <w:marLeft w:val="0"/>
                  <w:marRight w:val="0"/>
                  <w:marTop w:val="0"/>
                  <w:marBottom w:val="0"/>
                  <w:divBdr>
                    <w:top w:val="none" w:sz="0" w:space="0" w:color="auto"/>
                    <w:left w:val="none" w:sz="0" w:space="0" w:color="auto"/>
                    <w:bottom w:val="none" w:sz="0" w:space="0" w:color="auto"/>
                    <w:right w:val="none" w:sz="0" w:space="0" w:color="auto"/>
                  </w:divBdr>
                </w:div>
                <w:div w:id="294138973">
                  <w:marLeft w:val="0"/>
                  <w:marRight w:val="0"/>
                  <w:marTop w:val="0"/>
                  <w:marBottom w:val="0"/>
                  <w:divBdr>
                    <w:top w:val="none" w:sz="0" w:space="0" w:color="auto"/>
                    <w:left w:val="none" w:sz="0" w:space="0" w:color="auto"/>
                    <w:bottom w:val="none" w:sz="0" w:space="0" w:color="auto"/>
                    <w:right w:val="none" w:sz="0" w:space="0" w:color="auto"/>
                  </w:divBdr>
                </w:div>
                <w:div w:id="294139071">
                  <w:marLeft w:val="0"/>
                  <w:marRight w:val="0"/>
                  <w:marTop w:val="0"/>
                  <w:marBottom w:val="0"/>
                  <w:divBdr>
                    <w:top w:val="none" w:sz="0" w:space="0" w:color="auto"/>
                    <w:left w:val="none" w:sz="0" w:space="0" w:color="auto"/>
                    <w:bottom w:val="none" w:sz="0" w:space="0" w:color="auto"/>
                    <w:right w:val="none" w:sz="0" w:space="0" w:color="auto"/>
                  </w:divBdr>
                </w:div>
                <w:div w:id="294139280">
                  <w:marLeft w:val="0"/>
                  <w:marRight w:val="0"/>
                  <w:marTop w:val="0"/>
                  <w:marBottom w:val="0"/>
                  <w:divBdr>
                    <w:top w:val="none" w:sz="0" w:space="0" w:color="auto"/>
                    <w:left w:val="none" w:sz="0" w:space="0" w:color="auto"/>
                    <w:bottom w:val="none" w:sz="0" w:space="0" w:color="auto"/>
                    <w:right w:val="none" w:sz="0" w:space="0" w:color="auto"/>
                  </w:divBdr>
                </w:div>
                <w:div w:id="294139492">
                  <w:marLeft w:val="0"/>
                  <w:marRight w:val="0"/>
                  <w:marTop w:val="0"/>
                  <w:marBottom w:val="0"/>
                  <w:divBdr>
                    <w:top w:val="none" w:sz="0" w:space="0" w:color="auto"/>
                    <w:left w:val="none" w:sz="0" w:space="0" w:color="auto"/>
                    <w:bottom w:val="none" w:sz="0" w:space="0" w:color="auto"/>
                    <w:right w:val="none" w:sz="0" w:space="0" w:color="auto"/>
                  </w:divBdr>
                </w:div>
                <w:div w:id="294140440">
                  <w:marLeft w:val="0"/>
                  <w:marRight w:val="0"/>
                  <w:marTop w:val="0"/>
                  <w:marBottom w:val="0"/>
                  <w:divBdr>
                    <w:top w:val="none" w:sz="0" w:space="0" w:color="auto"/>
                    <w:left w:val="none" w:sz="0" w:space="0" w:color="auto"/>
                    <w:bottom w:val="none" w:sz="0" w:space="0" w:color="auto"/>
                    <w:right w:val="none" w:sz="0" w:space="0" w:color="auto"/>
                  </w:divBdr>
                </w:div>
                <w:div w:id="294140941">
                  <w:marLeft w:val="0"/>
                  <w:marRight w:val="0"/>
                  <w:marTop w:val="0"/>
                  <w:marBottom w:val="0"/>
                  <w:divBdr>
                    <w:top w:val="none" w:sz="0" w:space="0" w:color="auto"/>
                    <w:left w:val="none" w:sz="0" w:space="0" w:color="auto"/>
                    <w:bottom w:val="none" w:sz="0" w:space="0" w:color="auto"/>
                    <w:right w:val="none" w:sz="0" w:space="0" w:color="auto"/>
                  </w:divBdr>
                </w:div>
                <w:div w:id="294141166">
                  <w:marLeft w:val="0"/>
                  <w:marRight w:val="0"/>
                  <w:marTop w:val="0"/>
                  <w:marBottom w:val="0"/>
                  <w:divBdr>
                    <w:top w:val="none" w:sz="0" w:space="0" w:color="auto"/>
                    <w:left w:val="none" w:sz="0" w:space="0" w:color="auto"/>
                    <w:bottom w:val="none" w:sz="0" w:space="0" w:color="auto"/>
                    <w:right w:val="none" w:sz="0" w:space="0" w:color="auto"/>
                  </w:divBdr>
                </w:div>
                <w:div w:id="294141340">
                  <w:marLeft w:val="0"/>
                  <w:marRight w:val="0"/>
                  <w:marTop w:val="0"/>
                  <w:marBottom w:val="0"/>
                  <w:divBdr>
                    <w:top w:val="none" w:sz="0" w:space="0" w:color="auto"/>
                    <w:left w:val="none" w:sz="0" w:space="0" w:color="auto"/>
                    <w:bottom w:val="none" w:sz="0" w:space="0" w:color="auto"/>
                    <w:right w:val="none" w:sz="0" w:space="0" w:color="auto"/>
                  </w:divBdr>
                </w:div>
                <w:div w:id="294141737">
                  <w:marLeft w:val="0"/>
                  <w:marRight w:val="0"/>
                  <w:marTop w:val="0"/>
                  <w:marBottom w:val="0"/>
                  <w:divBdr>
                    <w:top w:val="none" w:sz="0" w:space="0" w:color="auto"/>
                    <w:left w:val="none" w:sz="0" w:space="0" w:color="auto"/>
                    <w:bottom w:val="none" w:sz="0" w:space="0" w:color="auto"/>
                    <w:right w:val="none" w:sz="0" w:space="0" w:color="auto"/>
                  </w:divBdr>
                </w:div>
                <w:div w:id="294142094">
                  <w:marLeft w:val="0"/>
                  <w:marRight w:val="0"/>
                  <w:marTop w:val="0"/>
                  <w:marBottom w:val="0"/>
                  <w:divBdr>
                    <w:top w:val="none" w:sz="0" w:space="0" w:color="auto"/>
                    <w:left w:val="none" w:sz="0" w:space="0" w:color="auto"/>
                    <w:bottom w:val="none" w:sz="0" w:space="0" w:color="auto"/>
                    <w:right w:val="none" w:sz="0" w:space="0" w:color="auto"/>
                  </w:divBdr>
                </w:div>
                <w:div w:id="294142388">
                  <w:marLeft w:val="0"/>
                  <w:marRight w:val="0"/>
                  <w:marTop w:val="0"/>
                  <w:marBottom w:val="0"/>
                  <w:divBdr>
                    <w:top w:val="none" w:sz="0" w:space="0" w:color="auto"/>
                    <w:left w:val="none" w:sz="0" w:space="0" w:color="auto"/>
                    <w:bottom w:val="none" w:sz="0" w:space="0" w:color="auto"/>
                    <w:right w:val="none" w:sz="0" w:space="0" w:color="auto"/>
                  </w:divBdr>
                </w:div>
                <w:div w:id="294144264">
                  <w:marLeft w:val="0"/>
                  <w:marRight w:val="0"/>
                  <w:marTop w:val="0"/>
                  <w:marBottom w:val="0"/>
                  <w:divBdr>
                    <w:top w:val="none" w:sz="0" w:space="0" w:color="auto"/>
                    <w:left w:val="none" w:sz="0" w:space="0" w:color="auto"/>
                    <w:bottom w:val="none" w:sz="0" w:space="0" w:color="auto"/>
                    <w:right w:val="none" w:sz="0" w:space="0" w:color="auto"/>
                  </w:divBdr>
                </w:div>
                <w:div w:id="294145225">
                  <w:marLeft w:val="0"/>
                  <w:marRight w:val="0"/>
                  <w:marTop w:val="0"/>
                  <w:marBottom w:val="0"/>
                  <w:divBdr>
                    <w:top w:val="none" w:sz="0" w:space="0" w:color="auto"/>
                    <w:left w:val="none" w:sz="0" w:space="0" w:color="auto"/>
                    <w:bottom w:val="none" w:sz="0" w:space="0" w:color="auto"/>
                    <w:right w:val="none" w:sz="0" w:space="0" w:color="auto"/>
                  </w:divBdr>
                </w:div>
                <w:div w:id="294145659">
                  <w:marLeft w:val="0"/>
                  <w:marRight w:val="0"/>
                  <w:marTop w:val="0"/>
                  <w:marBottom w:val="0"/>
                  <w:divBdr>
                    <w:top w:val="none" w:sz="0" w:space="0" w:color="auto"/>
                    <w:left w:val="none" w:sz="0" w:space="0" w:color="auto"/>
                    <w:bottom w:val="none" w:sz="0" w:space="0" w:color="auto"/>
                    <w:right w:val="none" w:sz="0" w:space="0" w:color="auto"/>
                  </w:divBdr>
                </w:div>
                <w:div w:id="294145818">
                  <w:marLeft w:val="0"/>
                  <w:marRight w:val="0"/>
                  <w:marTop w:val="0"/>
                  <w:marBottom w:val="0"/>
                  <w:divBdr>
                    <w:top w:val="none" w:sz="0" w:space="0" w:color="auto"/>
                    <w:left w:val="none" w:sz="0" w:space="0" w:color="auto"/>
                    <w:bottom w:val="none" w:sz="0" w:space="0" w:color="auto"/>
                    <w:right w:val="none" w:sz="0" w:space="0" w:color="auto"/>
                  </w:divBdr>
                </w:div>
                <w:div w:id="294146166">
                  <w:marLeft w:val="0"/>
                  <w:marRight w:val="0"/>
                  <w:marTop w:val="0"/>
                  <w:marBottom w:val="0"/>
                  <w:divBdr>
                    <w:top w:val="none" w:sz="0" w:space="0" w:color="auto"/>
                    <w:left w:val="none" w:sz="0" w:space="0" w:color="auto"/>
                    <w:bottom w:val="none" w:sz="0" w:space="0" w:color="auto"/>
                    <w:right w:val="none" w:sz="0" w:space="0" w:color="auto"/>
                  </w:divBdr>
                </w:div>
                <w:div w:id="294147288">
                  <w:marLeft w:val="0"/>
                  <w:marRight w:val="0"/>
                  <w:marTop w:val="0"/>
                  <w:marBottom w:val="0"/>
                  <w:divBdr>
                    <w:top w:val="none" w:sz="0" w:space="0" w:color="auto"/>
                    <w:left w:val="none" w:sz="0" w:space="0" w:color="auto"/>
                    <w:bottom w:val="none" w:sz="0" w:space="0" w:color="auto"/>
                    <w:right w:val="none" w:sz="0" w:space="0" w:color="auto"/>
                  </w:divBdr>
                </w:div>
                <w:div w:id="294148503">
                  <w:marLeft w:val="0"/>
                  <w:marRight w:val="0"/>
                  <w:marTop w:val="0"/>
                  <w:marBottom w:val="0"/>
                  <w:divBdr>
                    <w:top w:val="none" w:sz="0" w:space="0" w:color="auto"/>
                    <w:left w:val="none" w:sz="0" w:space="0" w:color="auto"/>
                    <w:bottom w:val="none" w:sz="0" w:space="0" w:color="auto"/>
                    <w:right w:val="none" w:sz="0" w:space="0" w:color="auto"/>
                  </w:divBdr>
                </w:div>
                <w:div w:id="294148509">
                  <w:marLeft w:val="0"/>
                  <w:marRight w:val="0"/>
                  <w:marTop w:val="0"/>
                  <w:marBottom w:val="0"/>
                  <w:divBdr>
                    <w:top w:val="none" w:sz="0" w:space="0" w:color="auto"/>
                    <w:left w:val="none" w:sz="0" w:space="0" w:color="auto"/>
                    <w:bottom w:val="none" w:sz="0" w:space="0" w:color="auto"/>
                    <w:right w:val="none" w:sz="0" w:space="0" w:color="auto"/>
                  </w:divBdr>
                </w:div>
                <w:div w:id="294149327">
                  <w:marLeft w:val="0"/>
                  <w:marRight w:val="0"/>
                  <w:marTop w:val="0"/>
                  <w:marBottom w:val="0"/>
                  <w:divBdr>
                    <w:top w:val="none" w:sz="0" w:space="0" w:color="auto"/>
                    <w:left w:val="none" w:sz="0" w:space="0" w:color="auto"/>
                    <w:bottom w:val="none" w:sz="0" w:space="0" w:color="auto"/>
                    <w:right w:val="none" w:sz="0" w:space="0" w:color="auto"/>
                  </w:divBdr>
                </w:div>
                <w:div w:id="294149474">
                  <w:marLeft w:val="0"/>
                  <w:marRight w:val="0"/>
                  <w:marTop w:val="0"/>
                  <w:marBottom w:val="0"/>
                  <w:divBdr>
                    <w:top w:val="none" w:sz="0" w:space="0" w:color="auto"/>
                    <w:left w:val="none" w:sz="0" w:space="0" w:color="auto"/>
                    <w:bottom w:val="none" w:sz="0" w:space="0" w:color="auto"/>
                    <w:right w:val="none" w:sz="0" w:space="0" w:color="auto"/>
                  </w:divBdr>
                </w:div>
                <w:div w:id="294150470">
                  <w:marLeft w:val="0"/>
                  <w:marRight w:val="0"/>
                  <w:marTop w:val="0"/>
                  <w:marBottom w:val="0"/>
                  <w:divBdr>
                    <w:top w:val="none" w:sz="0" w:space="0" w:color="auto"/>
                    <w:left w:val="none" w:sz="0" w:space="0" w:color="auto"/>
                    <w:bottom w:val="none" w:sz="0" w:space="0" w:color="auto"/>
                    <w:right w:val="none" w:sz="0" w:space="0" w:color="auto"/>
                  </w:divBdr>
                </w:div>
                <w:div w:id="294150546">
                  <w:marLeft w:val="0"/>
                  <w:marRight w:val="0"/>
                  <w:marTop w:val="0"/>
                  <w:marBottom w:val="0"/>
                  <w:divBdr>
                    <w:top w:val="none" w:sz="0" w:space="0" w:color="auto"/>
                    <w:left w:val="none" w:sz="0" w:space="0" w:color="auto"/>
                    <w:bottom w:val="none" w:sz="0" w:space="0" w:color="auto"/>
                    <w:right w:val="none" w:sz="0" w:space="0" w:color="auto"/>
                  </w:divBdr>
                </w:div>
                <w:div w:id="294151259">
                  <w:marLeft w:val="0"/>
                  <w:marRight w:val="0"/>
                  <w:marTop w:val="0"/>
                  <w:marBottom w:val="0"/>
                  <w:divBdr>
                    <w:top w:val="none" w:sz="0" w:space="0" w:color="auto"/>
                    <w:left w:val="none" w:sz="0" w:space="0" w:color="auto"/>
                    <w:bottom w:val="none" w:sz="0" w:space="0" w:color="auto"/>
                    <w:right w:val="none" w:sz="0" w:space="0" w:color="auto"/>
                  </w:divBdr>
                </w:div>
                <w:div w:id="294151438">
                  <w:marLeft w:val="0"/>
                  <w:marRight w:val="0"/>
                  <w:marTop w:val="0"/>
                  <w:marBottom w:val="0"/>
                  <w:divBdr>
                    <w:top w:val="none" w:sz="0" w:space="0" w:color="auto"/>
                    <w:left w:val="none" w:sz="0" w:space="0" w:color="auto"/>
                    <w:bottom w:val="none" w:sz="0" w:space="0" w:color="auto"/>
                    <w:right w:val="none" w:sz="0" w:space="0" w:color="auto"/>
                  </w:divBdr>
                </w:div>
                <w:div w:id="294151499">
                  <w:marLeft w:val="0"/>
                  <w:marRight w:val="0"/>
                  <w:marTop w:val="0"/>
                  <w:marBottom w:val="0"/>
                  <w:divBdr>
                    <w:top w:val="none" w:sz="0" w:space="0" w:color="auto"/>
                    <w:left w:val="none" w:sz="0" w:space="0" w:color="auto"/>
                    <w:bottom w:val="none" w:sz="0" w:space="0" w:color="auto"/>
                    <w:right w:val="none" w:sz="0" w:space="0" w:color="auto"/>
                  </w:divBdr>
                </w:div>
                <w:div w:id="294151603">
                  <w:marLeft w:val="0"/>
                  <w:marRight w:val="0"/>
                  <w:marTop w:val="0"/>
                  <w:marBottom w:val="0"/>
                  <w:divBdr>
                    <w:top w:val="none" w:sz="0" w:space="0" w:color="auto"/>
                    <w:left w:val="none" w:sz="0" w:space="0" w:color="auto"/>
                    <w:bottom w:val="none" w:sz="0" w:space="0" w:color="auto"/>
                    <w:right w:val="none" w:sz="0" w:space="0" w:color="auto"/>
                  </w:divBdr>
                </w:div>
                <w:div w:id="294152605">
                  <w:marLeft w:val="0"/>
                  <w:marRight w:val="0"/>
                  <w:marTop w:val="0"/>
                  <w:marBottom w:val="0"/>
                  <w:divBdr>
                    <w:top w:val="none" w:sz="0" w:space="0" w:color="auto"/>
                    <w:left w:val="none" w:sz="0" w:space="0" w:color="auto"/>
                    <w:bottom w:val="none" w:sz="0" w:space="0" w:color="auto"/>
                    <w:right w:val="none" w:sz="0" w:space="0" w:color="auto"/>
                  </w:divBdr>
                </w:div>
                <w:div w:id="294153060">
                  <w:marLeft w:val="0"/>
                  <w:marRight w:val="0"/>
                  <w:marTop w:val="0"/>
                  <w:marBottom w:val="0"/>
                  <w:divBdr>
                    <w:top w:val="none" w:sz="0" w:space="0" w:color="auto"/>
                    <w:left w:val="none" w:sz="0" w:space="0" w:color="auto"/>
                    <w:bottom w:val="none" w:sz="0" w:space="0" w:color="auto"/>
                    <w:right w:val="none" w:sz="0" w:space="0" w:color="auto"/>
                  </w:divBdr>
                </w:div>
                <w:div w:id="294153207">
                  <w:marLeft w:val="0"/>
                  <w:marRight w:val="0"/>
                  <w:marTop w:val="0"/>
                  <w:marBottom w:val="0"/>
                  <w:divBdr>
                    <w:top w:val="none" w:sz="0" w:space="0" w:color="auto"/>
                    <w:left w:val="none" w:sz="0" w:space="0" w:color="auto"/>
                    <w:bottom w:val="none" w:sz="0" w:space="0" w:color="auto"/>
                    <w:right w:val="none" w:sz="0" w:space="0" w:color="auto"/>
                  </w:divBdr>
                </w:div>
                <w:div w:id="294153488">
                  <w:marLeft w:val="0"/>
                  <w:marRight w:val="0"/>
                  <w:marTop w:val="0"/>
                  <w:marBottom w:val="0"/>
                  <w:divBdr>
                    <w:top w:val="none" w:sz="0" w:space="0" w:color="auto"/>
                    <w:left w:val="none" w:sz="0" w:space="0" w:color="auto"/>
                    <w:bottom w:val="none" w:sz="0" w:space="0" w:color="auto"/>
                    <w:right w:val="none" w:sz="0" w:space="0" w:color="auto"/>
                  </w:divBdr>
                </w:div>
                <w:div w:id="294154158">
                  <w:marLeft w:val="0"/>
                  <w:marRight w:val="0"/>
                  <w:marTop w:val="0"/>
                  <w:marBottom w:val="0"/>
                  <w:divBdr>
                    <w:top w:val="none" w:sz="0" w:space="0" w:color="auto"/>
                    <w:left w:val="none" w:sz="0" w:space="0" w:color="auto"/>
                    <w:bottom w:val="none" w:sz="0" w:space="0" w:color="auto"/>
                    <w:right w:val="none" w:sz="0" w:space="0" w:color="auto"/>
                  </w:divBdr>
                </w:div>
                <w:div w:id="294154389">
                  <w:marLeft w:val="0"/>
                  <w:marRight w:val="0"/>
                  <w:marTop w:val="0"/>
                  <w:marBottom w:val="0"/>
                  <w:divBdr>
                    <w:top w:val="none" w:sz="0" w:space="0" w:color="auto"/>
                    <w:left w:val="none" w:sz="0" w:space="0" w:color="auto"/>
                    <w:bottom w:val="none" w:sz="0" w:space="0" w:color="auto"/>
                    <w:right w:val="none" w:sz="0" w:space="0" w:color="auto"/>
                  </w:divBdr>
                </w:div>
                <w:div w:id="294154435">
                  <w:marLeft w:val="0"/>
                  <w:marRight w:val="0"/>
                  <w:marTop w:val="0"/>
                  <w:marBottom w:val="0"/>
                  <w:divBdr>
                    <w:top w:val="none" w:sz="0" w:space="0" w:color="auto"/>
                    <w:left w:val="none" w:sz="0" w:space="0" w:color="auto"/>
                    <w:bottom w:val="none" w:sz="0" w:space="0" w:color="auto"/>
                    <w:right w:val="none" w:sz="0" w:space="0" w:color="auto"/>
                  </w:divBdr>
                </w:div>
                <w:div w:id="294156005">
                  <w:marLeft w:val="0"/>
                  <w:marRight w:val="0"/>
                  <w:marTop w:val="0"/>
                  <w:marBottom w:val="0"/>
                  <w:divBdr>
                    <w:top w:val="none" w:sz="0" w:space="0" w:color="auto"/>
                    <w:left w:val="none" w:sz="0" w:space="0" w:color="auto"/>
                    <w:bottom w:val="none" w:sz="0" w:space="0" w:color="auto"/>
                    <w:right w:val="none" w:sz="0" w:space="0" w:color="auto"/>
                  </w:divBdr>
                </w:div>
                <w:div w:id="29415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4566">
          <w:marLeft w:val="0"/>
          <w:marRight w:val="0"/>
          <w:marTop w:val="0"/>
          <w:marBottom w:val="0"/>
          <w:divBdr>
            <w:top w:val="none" w:sz="0" w:space="0" w:color="auto"/>
            <w:left w:val="none" w:sz="0" w:space="0" w:color="auto"/>
            <w:bottom w:val="none" w:sz="0" w:space="0" w:color="auto"/>
            <w:right w:val="none" w:sz="0" w:space="0" w:color="auto"/>
          </w:divBdr>
          <w:divsChild>
            <w:div w:id="294155620">
              <w:marLeft w:val="0"/>
              <w:marRight w:val="0"/>
              <w:marTop w:val="0"/>
              <w:marBottom w:val="0"/>
              <w:divBdr>
                <w:top w:val="none" w:sz="0" w:space="0" w:color="auto"/>
                <w:left w:val="none" w:sz="0" w:space="0" w:color="auto"/>
                <w:bottom w:val="none" w:sz="0" w:space="0" w:color="auto"/>
                <w:right w:val="none" w:sz="0" w:space="0" w:color="auto"/>
              </w:divBdr>
              <w:divsChild>
                <w:div w:id="294143418">
                  <w:marLeft w:val="0"/>
                  <w:marRight w:val="0"/>
                  <w:marTop w:val="0"/>
                  <w:marBottom w:val="0"/>
                  <w:divBdr>
                    <w:top w:val="none" w:sz="0" w:space="0" w:color="auto"/>
                    <w:left w:val="none" w:sz="0" w:space="0" w:color="auto"/>
                    <w:bottom w:val="none" w:sz="0" w:space="0" w:color="auto"/>
                    <w:right w:val="none" w:sz="0" w:space="0" w:color="auto"/>
                  </w:divBdr>
                  <w:divsChild>
                    <w:div w:id="294138241">
                      <w:marLeft w:val="0"/>
                      <w:marRight w:val="0"/>
                      <w:marTop w:val="0"/>
                      <w:marBottom w:val="0"/>
                      <w:divBdr>
                        <w:top w:val="none" w:sz="0" w:space="0" w:color="auto"/>
                        <w:left w:val="none" w:sz="0" w:space="0" w:color="auto"/>
                        <w:bottom w:val="none" w:sz="0" w:space="0" w:color="auto"/>
                        <w:right w:val="none" w:sz="0" w:space="0" w:color="auto"/>
                      </w:divBdr>
                    </w:div>
                    <w:div w:id="294139563">
                      <w:marLeft w:val="0"/>
                      <w:marRight w:val="0"/>
                      <w:marTop w:val="0"/>
                      <w:marBottom w:val="0"/>
                      <w:divBdr>
                        <w:top w:val="none" w:sz="0" w:space="0" w:color="auto"/>
                        <w:left w:val="none" w:sz="0" w:space="0" w:color="auto"/>
                        <w:bottom w:val="none" w:sz="0" w:space="0" w:color="auto"/>
                        <w:right w:val="none" w:sz="0" w:space="0" w:color="auto"/>
                      </w:divBdr>
                      <w:divsChild>
                        <w:div w:id="294152691">
                          <w:marLeft w:val="0"/>
                          <w:marRight w:val="0"/>
                          <w:marTop w:val="0"/>
                          <w:marBottom w:val="0"/>
                          <w:divBdr>
                            <w:top w:val="none" w:sz="0" w:space="0" w:color="auto"/>
                            <w:left w:val="none" w:sz="0" w:space="0" w:color="auto"/>
                            <w:bottom w:val="none" w:sz="0" w:space="0" w:color="auto"/>
                            <w:right w:val="none" w:sz="0" w:space="0" w:color="auto"/>
                          </w:divBdr>
                        </w:div>
                      </w:divsChild>
                    </w:div>
                    <w:div w:id="294140122">
                      <w:marLeft w:val="0"/>
                      <w:marRight w:val="0"/>
                      <w:marTop w:val="0"/>
                      <w:marBottom w:val="0"/>
                      <w:divBdr>
                        <w:top w:val="none" w:sz="0" w:space="0" w:color="auto"/>
                        <w:left w:val="none" w:sz="0" w:space="0" w:color="auto"/>
                        <w:bottom w:val="none" w:sz="0" w:space="0" w:color="auto"/>
                        <w:right w:val="none" w:sz="0" w:space="0" w:color="auto"/>
                      </w:divBdr>
                    </w:div>
                    <w:div w:id="294140401">
                      <w:marLeft w:val="0"/>
                      <w:marRight w:val="0"/>
                      <w:marTop w:val="0"/>
                      <w:marBottom w:val="0"/>
                      <w:divBdr>
                        <w:top w:val="none" w:sz="0" w:space="0" w:color="auto"/>
                        <w:left w:val="none" w:sz="0" w:space="0" w:color="auto"/>
                        <w:bottom w:val="none" w:sz="0" w:space="0" w:color="auto"/>
                        <w:right w:val="none" w:sz="0" w:space="0" w:color="auto"/>
                      </w:divBdr>
                      <w:divsChild>
                        <w:div w:id="294143089">
                          <w:marLeft w:val="0"/>
                          <w:marRight w:val="0"/>
                          <w:marTop w:val="0"/>
                          <w:marBottom w:val="0"/>
                          <w:divBdr>
                            <w:top w:val="none" w:sz="0" w:space="0" w:color="auto"/>
                            <w:left w:val="none" w:sz="0" w:space="0" w:color="auto"/>
                            <w:bottom w:val="none" w:sz="0" w:space="0" w:color="auto"/>
                            <w:right w:val="none" w:sz="0" w:space="0" w:color="auto"/>
                          </w:divBdr>
                        </w:div>
                      </w:divsChild>
                    </w:div>
                    <w:div w:id="294141386">
                      <w:marLeft w:val="0"/>
                      <w:marRight w:val="0"/>
                      <w:marTop w:val="0"/>
                      <w:marBottom w:val="0"/>
                      <w:divBdr>
                        <w:top w:val="none" w:sz="0" w:space="0" w:color="auto"/>
                        <w:left w:val="none" w:sz="0" w:space="0" w:color="auto"/>
                        <w:bottom w:val="none" w:sz="0" w:space="0" w:color="auto"/>
                        <w:right w:val="none" w:sz="0" w:space="0" w:color="auto"/>
                      </w:divBdr>
                    </w:div>
                    <w:div w:id="294141521">
                      <w:marLeft w:val="0"/>
                      <w:marRight w:val="0"/>
                      <w:marTop w:val="0"/>
                      <w:marBottom w:val="0"/>
                      <w:divBdr>
                        <w:top w:val="none" w:sz="0" w:space="0" w:color="auto"/>
                        <w:left w:val="none" w:sz="0" w:space="0" w:color="auto"/>
                        <w:bottom w:val="none" w:sz="0" w:space="0" w:color="auto"/>
                        <w:right w:val="none" w:sz="0" w:space="0" w:color="auto"/>
                      </w:divBdr>
                      <w:divsChild>
                        <w:div w:id="294138874">
                          <w:marLeft w:val="0"/>
                          <w:marRight w:val="0"/>
                          <w:marTop w:val="0"/>
                          <w:marBottom w:val="0"/>
                          <w:divBdr>
                            <w:top w:val="none" w:sz="0" w:space="0" w:color="auto"/>
                            <w:left w:val="none" w:sz="0" w:space="0" w:color="auto"/>
                            <w:bottom w:val="none" w:sz="0" w:space="0" w:color="auto"/>
                            <w:right w:val="none" w:sz="0" w:space="0" w:color="auto"/>
                          </w:divBdr>
                        </w:div>
                      </w:divsChild>
                    </w:div>
                    <w:div w:id="294141599">
                      <w:marLeft w:val="0"/>
                      <w:marRight w:val="0"/>
                      <w:marTop w:val="0"/>
                      <w:marBottom w:val="0"/>
                      <w:divBdr>
                        <w:top w:val="none" w:sz="0" w:space="0" w:color="auto"/>
                        <w:left w:val="none" w:sz="0" w:space="0" w:color="auto"/>
                        <w:bottom w:val="none" w:sz="0" w:space="0" w:color="auto"/>
                        <w:right w:val="none" w:sz="0" w:space="0" w:color="auto"/>
                      </w:divBdr>
                      <w:divsChild>
                        <w:div w:id="294138175">
                          <w:marLeft w:val="0"/>
                          <w:marRight w:val="0"/>
                          <w:marTop w:val="0"/>
                          <w:marBottom w:val="0"/>
                          <w:divBdr>
                            <w:top w:val="none" w:sz="0" w:space="0" w:color="auto"/>
                            <w:left w:val="none" w:sz="0" w:space="0" w:color="auto"/>
                            <w:bottom w:val="none" w:sz="0" w:space="0" w:color="auto"/>
                            <w:right w:val="none" w:sz="0" w:space="0" w:color="auto"/>
                          </w:divBdr>
                        </w:div>
                      </w:divsChild>
                    </w:div>
                    <w:div w:id="294142084">
                      <w:marLeft w:val="0"/>
                      <w:marRight w:val="0"/>
                      <w:marTop w:val="0"/>
                      <w:marBottom w:val="0"/>
                      <w:divBdr>
                        <w:top w:val="none" w:sz="0" w:space="0" w:color="auto"/>
                        <w:left w:val="none" w:sz="0" w:space="0" w:color="auto"/>
                        <w:bottom w:val="none" w:sz="0" w:space="0" w:color="auto"/>
                        <w:right w:val="none" w:sz="0" w:space="0" w:color="auto"/>
                      </w:divBdr>
                    </w:div>
                    <w:div w:id="294142346">
                      <w:marLeft w:val="0"/>
                      <w:marRight w:val="0"/>
                      <w:marTop w:val="0"/>
                      <w:marBottom w:val="0"/>
                      <w:divBdr>
                        <w:top w:val="none" w:sz="0" w:space="0" w:color="auto"/>
                        <w:left w:val="none" w:sz="0" w:space="0" w:color="auto"/>
                        <w:bottom w:val="none" w:sz="0" w:space="0" w:color="auto"/>
                        <w:right w:val="none" w:sz="0" w:space="0" w:color="auto"/>
                      </w:divBdr>
                    </w:div>
                    <w:div w:id="294143582">
                      <w:marLeft w:val="0"/>
                      <w:marRight w:val="0"/>
                      <w:marTop w:val="0"/>
                      <w:marBottom w:val="0"/>
                      <w:divBdr>
                        <w:top w:val="none" w:sz="0" w:space="0" w:color="auto"/>
                        <w:left w:val="none" w:sz="0" w:space="0" w:color="auto"/>
                        <w:bottom w:val="none" w:sz="0" w:space="0" w:color="auto"/>
                        <w:right w:val="none" w:sz="0" w:space="0" w:color="auto"/>
                      </w:divBdr>
                    </w:div>
                    <w:div w:id="294144125">
                      <w:marLeft w:val="0"/>
                      <w:marRight w:val="0"/>
                      <w:marTop w:val="0"/>
                      <w:marBottom w:val="0"/>
                      <w:divBdr>
                        <w:top w:val="none" w:sz="0" w:space="0" w:color="auto"/>
                        <w:left w:val="none" w:sz="0" w:space="0" w:color="auto"/>
                        <w:bottom w:val="none" w:sz="0" w:space="0" w:color="auto"/>
                        <w:right w:val="none" w:sz="0" w:space="0" w:color="auto"/>
                      </w:divBdr>
                      <w:divsChild>
                        <w:div w:id="294147947">
                          <w:marLeft w:val="0"/>
                          <w:marRight w:val="0"/>
                          <w:marTop w:val="0"/>
                          <w:marBottom w:val="0"/>
                          <w:divBdr>
                            <w:top w:val="none" w:sz="0" w:space="0" w:color="auto"/>
                            <w:left w:val="none" w:sz="0" w:space="0" w:color="auto"/>
                            <w:bottom w:val="none" w:sz="0" w:space="0" w:color="auto"/>
                            <w:right w:val="none" w:sz="0" w:space="0" w:color="auto"/>
                          </w:divBdr>
                        </w:div>
                      </w:divsChild>
                    </w:div>
                    <w:div w:id="294144504">
                      <w:marLeft w:val="0"/>
                      <w:marRight w:val="0"/>
                      <w:marTop w:val="0"/>
                      <w:marBottom w:val="0"/>
                      <w:divBdr>
                        <w:top w:val="none" w:sz="0" w:space="0" w:color="auto"/>
                        <w:left w:val="none" w:sz="0" w:space="0" w:color="auto"/>
                        <w:bottom w:val="none" w:sz="0" w:space="0" w:color="auto"/>
                        <w:right w:val="none" w:sz="0" w:space="0" w:color="auto"/>
                      </w:divBdr>
                    </w:div>
                    <w:div w:id="294145712">
                      <w:marLeft w:val="0"/>
                      <w:marRight w:val="0"/>
                      <w:marTop w:val="0"/>
                      <w:marBottom w:val="0"/>
                      <w:divBdr>
                        <w:top w:val="none" w:sz="0" w:space="0" w:color="auto"/>
                        <w:left w:val="none" w:sz="0" w:space="0" w:color="auto"/>
                        <w:bottom w:val="none" w:sz="0" w:space="0" w:color="auto"/>
                        <w:right w:val="none" w:sz="0" w:space="0" w:color="auto"/>
                      </w:divBdr>
                      <w:divsChild>
                        <w:div w:id="294143850">
                          <w:marLeft w:val="0"/>
                          <w:marRight w:val="0"/>
                          <w:marTop w:val="0"/>
                          <w:marBottom w:val="0"/>
                          <w:divBdr>
                            <w:top w:val="none" w:sz="0" w:space="0" w:color="auto"/>
                            <w:left w:val="none" w:sz="0" w:space="0" w:color="auto"/>
                            <w:bottom w:val="none" w:sz="0" w:space="0" w:color="auto"/>
                            <w:right w:val="none" w:sz="0" w:space="0" w:color="auto"/>
                          </w:divBdr>
                        </w:div>
                      </w:divsChild>
                    </w:div>
                    <w:div w:id="294146230">
                      <w:marLeft w:val="0"/>
                      <w:marRight w:val="0"/>
                      <w:marTop w:val="0"/>
                      <w:marBottom w:val="0"/>
                      <w:divBdr>
                        <w:top w:val="none" w:sz="0" w:space="0" w:color="auto"/>
                        <w:left w:val="none" w:sz="0" w:space="0" w:color="auto"/>
                        <w:bottom w:val="none" w:sz="0" w:space="0" w:color="auto"/>
                        <w:right w:val="none" w:sz="0" w:space="0" w:color="auto"/>
                      </w:divBdr>
                    </w:div>
                    <w:div w:id="294146279">
                      <w:marLeft w:val="0"/>
                      <w:marRight w:val="0"/>
                      <w:marTop w:val="0"/>
                      <w:marBottom w:val="0"/>
                      <w:divBdr>
                        <w:top w:val="none" w:sz="0" w:space="0" w:color="auto"/>
                        <w:left w:val="none" w:sz="0" w:space="0" w:color="auto"/>
                        <w:bottom w:val="none" w:sz="0" w:space="0" w:color="auto"/>
                        <w:right w:val="none" w:sz="0" w:space="0" w:color="auto"/>
                      </w:divBdr>
                    </w:div>
                    <w:div w:id="294146408">
                      <w:marLeft w:val="0"/>
                      <w:marRight w:val="0"/>
                      <w:marTop w:val="0"/>
                      <w:marBottom w:val="0"/>
                      <w:divBdr>
                        <w:top w:val="none" w:sz="0" w:space="0" w:color="auto"/>
                        <w:left w:val="none" w:sz="0" w:space="0" w:color="auto"/>
                        <w:bottom w:val="none" w:sz="0" w:space="0" w:color="auto"/>
                        <w:right w:val="none" w:sz="0" w:space="0" w:color="auto"/>
                      </w:divBdr>
                    </w:div>
                    <w:div w:id="294146821">
                      <w:marLeft w:val="0"/>
                      <w:marRight w:val="0"/>
                      <w:marTop w:val="0"/>
                      <w:marBottom w:val="0"/>
                      <w:divBdr>
                        <w:top w:val="none" w:sz="0" w:space="0" w:color="auto"/>
                        <w:left w:val="none" w:sz="0" w:space="0" w:color="auto"/>
                        <w:bottom w:val="none" w:sz="0" w:space="0" w:color="auto"/>
                        <w:right w:val="none" w:sz="0" w:space="0" w:color="auto"/>
                      </w:divBdr>
                    </w:div>
                    <w:div w:id="294146885">
                      <w:marLeft w:val="0"/>
                      <w:marRight w:val="0"/>
                      <w:marTop w:val="0"/>
                      <w:marBottom w:val="0"/>
                      <w:divBdr>
                        <w:top w:val="none" w:sz="0" w:space="0" w:color="auto"/>
                        <w:left w:val="none" w:sz="0" w:space="0" w:color="auto"/>
                        <w:bottom w:val="none" w:sz="0" w:space="0" w:color="auto"/>
                        <w:right w:val="none" w:sz="0" w:space="0" w:color="auto"/>
                      </w:divBdr>
                      <w:divsChild>
                        <w:div w:id="294139261">
                          <w:marLeft w:val="0"/>
                          <w:marRight w:val="0"/>
                          <w:marTop w:val="0"/>
                          <w:marBottom w:val="0"/>
                          <w:divBdr>
                            <w:top w:val="none" w:sz="0" w:space="0" w:color="auto"/>
                            <w:left w:val="none" w:sz="0" w:space="0" w:color="auto"/>
                            <w:bottom w:val="none" w:sz="0" w:space="0" w:color="auto"/>
                            <w:right w:val="none" w:sz="0" w:space="0" w:color="auto"/>
                          </w:divBdr>
                        </w:div>
                      </w:divsChild>
                    </w:div>
                    <w:div w:id="294147077">
                      <w:marLeft w:val="0"/>
                      <w:marRight w:val="0"/>
                      <w:marTop w:val="0"/>
                      <w:marBottom w:val="0"/>
                      <w:divBdr>
                        <w:top w:val="none" w:sz="0" w:space="0" w:color="auto"/>
                        <w:left w:val="none" w:sz="0" w:space="0" w:color="auto"/>
                        <w:bottom w:val="none" w:sz="0" w:space="0" w:color="auto"/>
                        <w:right w:val="none" w:sz="0" w:space="0" w:color="auto"/>
                      </w:divBdr>
                      <w:divsChild>
                        <w:div w:id="294149457">
                          <w:marLeft w:val="0"/>
                          <w:marRight w:val="0"/>
                          <w:marTop w:val="0"/>
                          <w:marBottom w:val="0"/>
                          <w:divBdr>
                            <w:top w:val="none" w:sz="0" w:space="0" w:color="auto"/>
                            <w:left w:val="none" w:sz="0" w:space="0" w:color="auto"/>
                            <w:bottom w:val="none" w:sz="0" w:space="0" w:color="auto"/>
                            <w:right w:val="none" w:sz="0" w:space="0" w:color="auto"/>
                          </w:divBdr>
                        </w:div>
                      </w:divsChild>
                    </w:div>
                    <w:div w:id="294147697">
                      <w:marLeft w:val="0"/>
                      <w:marRight w:val="0"/>
                      <w:marTop w:val="0"/>
                      <w:marBottom w:val="0"/>
                      <w:divBdr>
                        <w:top w:val="none" w:sz="0" w:space="0" w:color="auto"/>
                        <w:left w:val="none" w:sz="0" w:space="0" w:color="auto"/>
                        <w:bottom w:val="none" w:sz="0" w:space="0" w:color="auto"/>
                        <w:right w:val="none" w:sz="0" w:space="0" w:color="auto"/>
                      </w:divBdr>
                    </w:div>
                    <w:div w:id="294148828">
                      <w:marLeft w:val="0"/>
                      <w:marRight w:val="0"/>
                      <w:marTop w:val="0"/>
                      <w:marBottom w:val="0"/>
                      <w:divBdr>
                        <w:top w:val="none" w:sz="0" w:space="0" w:color="auto"/>
                        <w:left w:val="none" w:sz="0" w:space="0" w:color="auto"/>
                        <w:bottom w:val="none" w:sz="0" w:space="0" w:color="auto"/>
                        <w:right w:val="none" w:sz="0" w:space="0" w:color="auto"/>
                      </w:divBdr>
                    </w:div>
                    <w:div w:id="294149398">
                      <w:marLeft w:val="0"/>
                      <w:marRight w:val="0"/>
                      <w:marTop w:val="0"/>
                      <w:marBottom w:val="0"/>
                      <w:divBdr>
                        <w:top w:val="none" w:sz="0" w:space="0" w:color="auto"/>
                        <w:left w:val="none" w:sz="0" w:space="0" w:color="auto"/>
                        <w:bottom w:val="none" w:sz="0" w:space="0" w:color="auto"/>
                        <w:right w:val="none" w:sz="0" w:space="0" w:color="auto"/>
                      </w:divBdr>
                    </w:div>
                    <w:div w:id="294149907">
                      <w:marLeft w:val="0"/>
                      <w:marRight w:val="0"/>
                      <w:marTop w:val="0"/>
                      <w:marBottom w:val="0"/>
                      <w:divBdr>
                        <w:top w:val="none" w:sz="0" w:space="0" w:color="auto"/>
                        <w:left w:val="none" w:sz="0" w:space="0" w:color="auto"/>
                        <w:bottom w:val="none" w:sz="0" w:space="0" w:color="auto"/>
                        <w:right w:val="none" w:sz="0" w:space="0" w:color="auto"/>
                      </w:divBdr>
                      <w:divsChild>
                        <w:div w:id="294157333">
                          <w:marLeft w:val="0"/>
                          <w:marRight w:val="0"/>
                          <w:marTop w:val="0"/>
                          <w:marBottom w:val="0"/>
                          <w:divBdr>
                            <w:top w:val="none" w:sz="0" w:space="0" w:color="auto"/>
                            <w:left w:val="none" w:sz="0" w:space="0" w:color="auto"/>
                            <w:bottom w:val="none" w:sz="0" w:space="0" w:color="auto"/>
                            <w:right w:val="none" w:sz="0" w:space="0" w:color="auto"/>
                          </w:divBdr>
                        </w:div>
                      </w:divsChild>
                    </w:div>
                    <w:div w:id="294150829">
                      <w:marLeft w:val="0"/>
                      <w:marRight w:val="0"/>
                      <w:marTop w:val="0"/>
                      <w:marBottom w:val="0"/>
                      <w:divBdr>
                        <w:top w:val="none" w:sz="0" w:space="0" w:color="auto"/>
                        <w:left w:val="none" w:sz="0" w:space="0" w:color="auto"/>
                        <w:bottom w:val="none" w:sz="0" w:space="0" w:color="auto"/>
                        <w:right w:val="none" w:sz="0" w:space="0" w:color="auto"/>
                      </w:divBdr>
                    </w:div>
                    <w:div w:id="294151192">
                      <w:marLeft w:val="0"/>
                      <w:marRight w:val="0"/>
                      <w:marTop w:val="0"/>
                      <w:marBottom w:val="0"/>
                      <w:divBdr>
                        <w:top w:val="none" w:sz="0" w:space="0" w:color="auto"/>
                        <w:left w:val="none" w:sz="0" w:space="0" w:color="auto"/>
                        <w:bottom w:val="none" w:sz="0" w:space="0" w:color="auto"/>
                        <w:right w:val="none" w:sz="0" w:space="0" w:color="auto"/>
                      </w:divBdr>
                      <w:divsChild>
                        <w:div w:id="294151764">
                          <w:marLeft w:val="0"/>
                          <w:marRight w:val="0"/>
                          <w:marTop w:val="0"/>
                          <w:marBottom w:val="0"/>
                          <w:divBdr>
                            <w:top w:val="none" w:sz="0" w:space="0" w:color="auto"/>
                            <w:left w:val="none" w:sz="0" w:space="0" w:color="auto"/>
                            <w:bottom w:val="none" w:sz="0" w:space="0" w:color="auto"/>
                            <w:right w:val="none" w:sz="0" w:space="0" w:color="auto"/>
                          </w:divBdr>
                        </w:div>
                      </w:divsChild>
                    </w:div>
                    <w:div w:id="294151306">
                      <w:marLeft w:val="0"/>
                      <w:marRight w:val="0"/>
                      <w:marTop w:val="0"/>
                      <w:marBottom w:val="0"/>
                      <w:divBdr>
                        <w:top w:val="none" w:sz="0" w:space="0" w:color="auto"/>
                        <w:left w:val="none" w:sz="0" w:space="0" w:color="auto"/>
                        <w:bottom w:val="none" w:sz="0" w:space="0" w:color="auto"/>
                        <w:right w:val="none" w:sz="0" w:space="0" w:color="auto"/>
                      </w:divBdr>
                      <w:divsChild>
                        <w:div w:id="294140364">
                          <w:marLeft w:val="0"/>
                          <w:marRight w:val="0"/>
                          <w:marTop w:val="0"/>
                          <w:marBottom w:val="0"/>
                          <w:divBdr>
                            <w:top w:val="none" w:sz="0" w:space="0" w:color="auto"/>
                            <w:left w:val="none" w:sz="0" w:space="0" w:color="auto"/>
                            <w:bottom w:val="none" w:sz="0" w:space="0" w:color="auto"/>
                            <w:right w:val="none" w:sz="0" w:space="0" w:color="auto"/>
                          </w:divBdr>
                        </w:div>
                      </w:divsChild>
                    </w:div>
                    <w:div w:id="294151577">
                      <w:marLeft w:val="0"/>
                      <w:marRight w:val="0"/>
                      <w:marTop w:val="0"/>
                      <w:marBottom w:val="0"/>
                      <w:divBdr>
                        <w:top w:val="none" w:sz="0" w:space="0" w:color="auto"/>
                        <w:left w:val="none" w:sz="0" w:space="0" w:color="auto"/>
                        <w:bottom w:val="none" w:sz="0" w:space="0" w:color="auto"/>
                        <w:right w:val="none" w:sz="0" w:space="0" w:color="auto"/>
                      </w:divBdr>
                    </w:div>
                    <w:div w:id="294151836">
                      <w:marLeft w:val="0"/>
                      <w:marRight w:val="0"/>
                      <w:marTop w:val="0"/>
                      <w:marBottom w:val="0"/>
                      <w:divBdr>
                        <w:top w:val="none" w:sz="0" w:space="0" w:color="auto"/>
                        <w:left w:val="none" w:sz="0" w:space="0" w:color="auto"/>
                        <w:bottom w:val="none" w:sz="0" w:space="0" w:color="auto"/>
                        <w:right w:val="none" w:sz="0" w:space="0" w:color="auto"/>
                      </w:divBdr>
                      <w:divsChild>
                        <w:div w:id="294143356">
                          <w:marLeft w:val="0"/>
                          <w:marRight w:val="0"/>
                          <w:marTop w:val="0"/>
                          <w:marBottom w:val="0"/>
                          <w:divBdr>
                            <w:top w:val="none" w:sz="0" w:space="0" w:color="auto"/>
                            <w:left w:val="none" w:sz="0" w:space="0" w:color="auto"/>
                            <w:bottom w:val="none" w:sz="0" w:space="0" w:color="auto"/>
                            <w:right w:val="none" w:sz="0" w:space="0" w:color="auto"/>
                          </w:divBdr>
                        </w:div>
                      </w:divsChild>
                    </w:div>
                    <w:div w:id="294152280">
                      <w:marLeft w:val="0"/>
                      <w:marRight w:val="0"/>
                      <w:marTop w:val="0"/>
                      <w:marBottom w:val="0"/>
                      <w:divBdr>
                        <w:top w:val="none" w:sz="0" w:space="0" w:color="auto"/>
                        <w:left w:val="none" w:sz="0" w:space="0" w:color="auto"/>
                        <w:bottom w:val="none" w:sz="0" w:space="0" w:color="auto"/>
                        <w:right w:val="none" w:sz="0" w:space="0" w:color="auto"/>
                      </w:divBdr>
                    </w:div>
                    <w:div w:id="294152802">
                      <w:marLeft w:val="0"/>
                      <w:marRight w:val="0"/>
                      <w:marTop w:val="0"/>
                      <w:marBottom w:val="0"/>
                      <w:divBdr>
                        <w:top w:val="none" w:sz="0" w:space="0" w:color="auto"/>
                        <w:left w:val="none" w:sz="0" w:space="0" w:color="auto"/>
                        <w:bottom w:val="none" w:sz="0" w:space="0" w:color="auto"/>
                        <w:right w:val="none" w:sz="0" w:space="0" w:color="auto"/>
                      </w:divBdr>
                      <w:divsChild>
                        <w:div w:id="294155761">
                          <w:marLeft w:val="0"/>
                          <w:marRight w:val="0"/>
                          <w:marTop w:val="0"/>
                          <w:marBottom w:val="0"/>
                          <w:divBdr>
                            <w:top w:val="none" w:sz="0" w:space="0" w:color="auto"/>
                            <w:left w:val="none" w:sz="0" w:space="0" w:color="auto"/>
                            <w:bottom w:val="none" w:sz="0" w:space="0" w:color="auto"/>
                            <w:right w:val="none" w:sz="0" w:space="0" w:color="auto"/>
                          </w:divBdr>
                        </w:div>
                      </w:divsChild>
                    </w:div>
                    <w:div w:id="294153508">
                      <w:marLeft w:val="0"/>
                      <w:marRight w:val="0"/>
                      <w:marTop w:val="0"/>
                      <w:marBottom w:val="0"/>
                      <w:divBdr>
                        <w:top w:val="none" w:sz="0" w:space="0" w:color="auto"/>
                        <w:left w:val="none" w:sz="0" w:space="0" w:color="auto"/>
                        <w:bottom w:val="none" w:sz="0" w:space="0" w:color="auto"/>
                        <w:right w:val="none" w:sz="0" w:space="0" w:color="auto"/>
                      </w:divBdr>
                      <w:divsChild>
                        <w:div w:id="294154449">
                          <w:marLeft w:val="0"/>
                          <w:marRight w:val="0"/>
                          <w:marTop w:val="0"/>
                          <w:marBottom w:val="0"/>
                          <w:divBdr>
                            <w:top w:val="none" w:sz="0" w:space="0" w:color="auto"/>
                            <w:left w:val="none" w:sz="0" w:space="0" w:color="auto"/>
                            <w:bottom w:val="none" w:sz="0" w:space="0" w:color="auto"/>
                            <w:right w:val="none" w:sz="0" w:space="0" w:color="auto"/>
                          </w:divBdr>
                        </w:div>
                      </w:divsChild>
                    </w:div>
                    <w:div w:id="294153874">
                      <w:marLeft w:val="0"/>
                      <w:marRight w:val="0"/>
                      <w:marTop w:val="0"/>
                      <w:marBottom w:val="0"/>
                      <w:divBdr>
                        <w:top w:val="none" w:sz="0" w:space="0" w:color="auto"/>
                        <w:left w:val="none" w:sz="0" w:space="0" w:color="auto"/>
                        <w:bottom w:val="none" w:sz="0" w:space="0" w:color="auto"/>
                        <w:right w:val="none" w:sz="0" w:space="0" w:color="auto"/>
                      </w:divBdr>
                      <w:divsChild>
                        <w:div w:id="294156484">
                          <w:marLeft w:val="0"/>
                          <w:marRight w:val="0"/>
                          <w:marTop w:val="0"/>
                          <w:marBottom w:val="0"/>
                          <w:divBdr>
                            <w:top w:val="none" w:sz="0" w:space="0" w:color="auto"/>
                            <w:left w:val="none" w:sz="0" w:space="0" w:color="auto"/>
                            <w:bottom w:val="none" w:sz="0" w:space="0" w:color="auto"/>
                            <w:right w:val="none" w:sz="0" w:space="0" w:color="auto"/>
                          </w:divBdr>
                        </w:div>
                      </w:divsChild>
                    </w:div>
                    <w:div w:id="294154268">
                      <w:marLeft w:val="0"/>
                      <w:marRight w:val="0"/>
                      <w:marTop w:val="0"/>
                      <w:marBottom w:val="0"/>
                      <w:divBdr>
                        <w:top w:val="none" w:sz="0" w:space="0" w:color="auto"/>
                        <w:left w:val="none" w:sz="0" w:space="0" w:color="auto"/>
                        <w:bottom w:val="none" w:sz="0" w:space="0" w:color="auto"/>
                        <w:right w:val="none" w:sz="0" w:space="0" w:color="auto"/>
                      </w:divBdr>
                      <w:divsChild>
                        <w:div w:id="294142217">
                          <w:marLeft w:val="0"/>
                          <w:marRight w:val="0"/>
                          <w:marTop w:val="0"/>
                          <w:marBottom w:val="0"/>
                          <w:divBdr>
                            <w:top w:val="none" w:sz="0" w:space="0" w:color="auto"/>
                            <w:left w:val="none" w:sz="0" w:space="0" w:color="auto"/>
                            <w:bottom w:val="none" w:sz="0" w:space="0" w:color="auto"/>
                            <w:right w:val="none" w:sz="0" w:space="0" w:color="auto"/>
                          </w:divBdr>
                        </w:div>
                      </w:divsChild>
                    </w:div>
                    <w:div w:id="294155201">
                      <w:marLeft w:val="0"/>
                      <w:marRight w:val="0"/>
                      <w:marTop w:val="0"/>
                      <w:marBottom w:val="0"/>
                      <w:divBdr>
                        <w:top w:val="none" w:sz="0" w:space="0" w:color="auto"/>
                        <w:left w:val="none" w:sz="0" w:space="0" w:color="auto"/>
                        <w:bottom w:val="none" w:sz="0" w:space="0" w:color="auto"/>
                        <w:right w:val="none" w:sz="0" w:space="0" w:color="auto"/>
                      </w:divBdr>
                    </w:div>
                    <w:div w:id="294155297">
                      <w:marLeft w:val="0"/>
                      <w:marRight w:val="0"/>
                      <w:marTop w:val="0"/>
                      <w:marBottom w:val="0"/>
                      <w:divBdr>
                        <w:top w:val="none" w:sz="0" w:space="0" w:color="auto"/>
                        <w:left w:val="none" w:sz="0" w:space="0" w:color="auto"/>
                        <w:bottom w:val="none" w:sz="0" w:space="0" w:color="auto"/>
                        <w:right w:val="none" w:sz="0" w:space="0" w:color="auto"/>
                      </w:divBdr>
                      <w:divsChild>
                        <w:div w:id="294151834">
                          <w:marLeft w:val="0"/>
                          <w:marRight w:val="0"/>
                          <w:marTop w:val="0"/>
                          <w:marBottom w:val="0"/>
                          <w:divBdr>
                            <w:top w:val="none" w:sz="0" w:space="0" w:color="auto"/>
                            <w:left w:val="none" w:sz="0" w:space="0" w:color="auto"/>
                            <w:bottom w:val="none" w:sz="0" w:space="0" w:color="auto"/>
                            <w:right w:val="none" w:sz="0" w:space="0" w:color="auto"/>
                          </w:divBdr>
                        </w:div>
                      </w:divsChild>
                    </w:div>
                    <w:div w:id="294157011">
                      <w:marLeft w:val="0"/>
                      <w:marRight w:val="0"/>
                      <w:marTop w:val="0"/>
                      <w:marBottom w:val="0"/>
                      <w:divBdr>
                        <w:top w:val="none" w:sz="0" w:space="0" w:color="auto"/>
                        <w:left w:val="none" w:sz="0" w:space="0" w:color="auto"/>
                        <w:bottom w:val="none" w:sz="0" w:space="0" w:color="auto"/>
                        <w:right w:val="none" w:sz="0" w:space="0" w:color="auto"/>
                      </w:divBdr>
                      <w:divsChild>
                        <w:div w:id="29414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151190">
      <w:marLeft w:val="0"/>
      <w:marRight w:val="0"/>
      <w:marTop w:val="0"/>
      <w:marBottom w:val="0"/>
      <w:divBdr>
        <w:top w:val="none" w:sz="0" w:space="0" w:color="auto"/>
        <w:left w:val="none" w:sz="0" w:space="0" w:color="auto"/>
        <w:bottom w:val="none" w:sz="0" w:space="0" w:color="auto"/>
        <w:right w:val="none" w:sz="0" w:space="0" w:color="auto"/>
      </w:divBdr>
    </w:div>
    <w:div w:id="294151234">
      <w:marLeft w:val="0"/>
      <w:marRight w:val="0"/>
      <w:marTop w:val="0"/>
      <w:marBottom w:val="0"/>
      <w:divBdr>
        <w:top w:val="none" w:sz="0" w:space="0" w:color="auto"/>
        <w:left w:val="none" w:sz="0" w:space="0" w:color="auto"/>
        <w:bottom w:val="none" w:sz="0" w:space="0" w:color="auto"/>
        <w:right w:val="none" w:sz="0" w:space="0" w:color="auto"/>
      </w:divBdr>
    </w:div>
    <w:div w:id="294151244">
      <w:marLeft w:val="0"/>
      <w:marRight w:val="0"/>
      <w:marTop w:val="0"/>
      <w:marBottom w:val="0"/>
      <w:divBdr>
        <w:top w:val="none" w:sz="0" w:space="0" w:color="auto"/>
        <w:left w:val="none" w:sz="0" w:space="0" w:color="auto"/>
        <w:bottom w:val="none" w:sz="0" w:space="0" w:color="auto"/>
        <w:right w:val="none" w:sz="0" w:space="0" w:color="auto"/>
      </w:divBdr>
    </w:div>
    <w:div w:id="294151255">
      <w:marLeft w:val="0"/>
      <w:marRight w:val="0"/>
      <w:marTop w:val="0"/>
      <w:marBottom w:val="0"/>
      <w:divBdr>
        <w:top w:val="none" w:sz="0" w:space="0" w:color="auto"/>
        <w:left w:val="none" w:sz="0" w:space="0" w:color="auto"/>
        <w:bottom w:val="none" w:sz="0" w:space="0" w:color="auto"/>
        <w:right w:val="none" w:sz="0" w:space="0" w:color="auto"/>
      </w:divBdr>
    </w:div>
    <w:div w:id="294151256">
      <w:marLeft w:val="0"/>
      <w:marRight w:val="0"/>
      <w:marTop w:val="0"/>
      <w:marBottom w:val="0"/>
      <w:divBdr>
        <w:top w:val="none" w:sz="0" w:space="0" w:color="auto"/>
        <w:left w:val="none" w:sz="0" w:space="0" w:color="auto"/>
        <w:bottom w:val="none" w:sz="0" w:space="0" w:color="auto"/>
        <w:right w:val="none" w:sz="0" w:space="0" w:color="auto"/>
      </w:divBdr>
      <w:divsChild>
        <w:div w:id="294147388">
          <w:marLeft w:val="0"/>
          <w:marRight w:val="0"/>
          <w:marTop w:val="0"/>
          <w:marBottom w:val="0"/>
          <w:divBdr>
            <w:top w:val="none" w:sz="0" w:space="0" w:color="auto"/>
            <w:left w:val="none" w:sz="0" w:space="0" w:color="auto"/>
            <w:bottom w:val="none" w:sz="0" w:space="0" w:color="auto"/>
            <w:right w:val="none" w:sz="0" w:space="0" w:color="auto"/>
          </w:divBdr>
        </w:div>
      </w:divsChild>
    </w:div>
    <w:div w:id="294151261">
      <w:marLeft w:val="0"/>
      <w:marRight w:val="0"/>
      <w:marTop w:val="0"/>
      <w:marBottom w:val="0"/>
      <w:divBdr>
        <w:top w:val="none" w:sz="0" w:space="0" w:color="auto"/>
        <w:left w:val="none" w:sz="0" w:space="0" w:color="auto"/>
        <w:bottom w:val="none" w:sz="0" w:space="0" w:color="auto"/>
        <w:right w:val="none" w:sz="0" w:space="0" w:color="auto"/>
      </w:divBdr>
    </w:div>
    <w:div w:id="294151291">
      <w:marLeft w:val="0"/>
      <w:marRight w:val="0"/>
      <w:marTop w:val="0"/>
      <w:marBottom w:val="0"/>
      <w:divBdr>
        <w:top w:val="none" w:sz="0" w:space="0" w:color="auto"/>
        <w:left w:val="none" w:sz="0" w:space="0" w:color="auto"/>
        <w:bottom w:val="none" w:sz="0" w:space="0" w:color="auto"/>
        <w:right w:val="none" w:sz="0" w:space="0" w:color="auto"/>
      </w:divBdr>
    </w:div>
    <w:div w:id="294151292">
      <w:marLeft w:val="0"/>
      <w:marRight w:val="0"/>
      <w:marTop w:val="0"/>
      <w:marBottom w:val="0"/>
      <w:divBdr>
        <w:top w:val="none" w:sz="0" w:space="0" w:color="auto"/>
        <w:left w:val="none" w:sz="0" w:space="0" w:color="auto"/>
        <w:bottom w:val="none" w:sz="0" w:space="0" w:color="auto"/>
        <w:right w:val="none" w:sz="0" w:space="0" w:color="auto"/>
      </w:divBdr>
    </w:div>
    <w:div w:id="294151309">
      <w:marLeft w:val="0"/>
      <w:marRight w:val="0"/>
      <w:marTop w:val="0"/>
      <w:marBottom w:val="0"/>
      <w:divBdr>
        <w:top w:val="none" w:sz="0" w:space="0" w:color="auto"/>
        <w:left w:val="none" w:sz="0" w:space="0" w:color="auto"/>
        <w:bottom w:val="none" w:sz="0" w:space="0" w:color="auto"/>
        <w:right w:val="none" w:sz="0" w:space="0" w:color="auto"/>
      </w:divBdr>
    </w:div>
    <w:div w:id="294151373">
      <w:marLeft w:val="0"/>
      <w:marRight w:val="0"/>
      <w:marTop w:val="0"/>
      <w:marBottom w:val="0"/>
      <w:divBdr>
        <w:top w:val="none" w:sz="0" w:space="0" w:color="auto"/>
        <w:left w:val="none" w:sz="0" w:space="0" w:color="auto"/>
        <w:bottom w:val="none" w:sz="0" w:space="0" w:color="auto"/>
        <w:right w:val="none" w:sz="0" w:space="0" w:color="auto"/>
      </w:divBdr>
      <w:divsChild>
        <w:div w:id="294156643">
          <w:marLeft w:val="0"/>
          <w:marRight w:val="0"/>
          <w:marTop w:val="0"/>
          <w:marBottom w:val="0"/>
          <w:divBdr>
            <w:top w:val="none" w:sz="0" w:space="0" w:color="auto"/>
            <w:left w:val="none" w:sz="0" w:space="0" w:color="auto"/>
            <w:bottom w:val="none" w:sz="0" w:space="0" w:color="auto"/>
            <w:right w:val="none" w:sz="0" w:space="0" w:color="auto"/>
          </w:divBdr>
          <w:divsChild>
            <w:div w:id="294137998">
              <w:marLeft w:val="0"/>
              <w:marRight w:val="0"/>
              <w:marTop w:val="0"/>
              <w:marBottom w:val="0"/>
              <w:divBdr>
                <w:top w:val="none" w:sz="0" w:space="0" w:color="auto"/>
                <w:left w:val="none" w:sz="0" w:space="0" w:color="auto"/>
                <w:bottom w:val="none" w:sz="0" w:space="0" w:color="auto"/>
                <w:right w:val="none" w:sz="0" w:space="0" w:color="auto"/>
              </w:divBdr>
            </w:div>
            <w:div w:id="294138198">
              <w:marLeft w:val="0"/>
              <w:marRight w:val="0"/>
              <w:marTop w:val="0"/>
              <w:marBottom w:val="0"/>
              <w:divBdr>
                <w:top w:val="none" w:sz="0" w:space="0" w:color="auto"/>
                <w:left w:val="none" w:sz="0" w:space="0" w:color="auto"/>
                <w:bottom w:val="none" w:sz="0" w:space="0" w:color="auto"/>
                <w:right w:val="none" w:sz="0" w:space="0" w:color="auto"/>
              </w:divBdr>
            </w:div>
            <w:div w:id="294138421">
              <w:marLeft w:val="0"/>
              <w:marRight w:val="0"/>
              <w:marTop w:val="0"/>
              <w:marBottom w:val="0"/>
              <w:divBdr>
                <w:top w:val="none" w:sz="0" w:space="0" w:color="auto"/>
                <w:left w:val="none" w:sz="0" w:space="0" w:color="auto"/>
                <w:bottom w:val="none" w:sz="0" w:space="0" w:color="auto"/>
                <w:right w:val="none" w:sz="0" w:space="0" w:color="auto"/>
              </w:divBdr>
            </w:div>
            <w:div w:id="294138702">
              <w:marLeft w:val="0"/>
              <w:marRight w:val="0"/>
              <w:marTop w:val="0"/>
              <w:marBottom w:val="0"/>
              <w:divBdr>
                <w:top w:val="none" w:sz="0" w:space="0" w:color="auto"/>
                <w:left w:val="none" w:sz="0" w:space="0" w:color="auto"/>
                <w:bottom w:val="none" w:sz="0" w:space="0" w:color="auto"/>
                <w:right w:val="none" w:sz="0" w:space="0" w:color="auto"/>
              </w:divBdr>
            </w:div>
            <w:div w:id="294138846">
              <w:marLeft w:val="0"/>
              <w:marRight w:val="0"/>
              <w:marTop w:val="0"/>
              <w:marBottom w:val="0"/>
              <w:divBdr>
                <w:top w:val="none" w:sz="0" w:space="0" w:color="auto"/>
                <w:left w:val="none" w:sz="0" w:space="0" w:color="auto"/>
                <w:bottom w:val="none" w:sz="0" w:space="0" w:color="auto"/>
                <w:right w:val="none" w:sz="0" w:space="0" w:color="auto"/>
              </w:divBdr>
            </w:div>
            <w:div w:id="294139016">
              <w:marLeft w:val="0"/>
              <w:marRight w:val="0"/>
              <w:marTop w:val="0"/>
              <w:marBottom w:val="0"/>
              <w:divBdr>
                <w:top w:val="none" w:sz="0" w:space="0" w:color="auto"/>
                <w:left w:val="none" w:sz="0" w:space="0" w:color="auto"/>
                <w:bottom w:val="none" w:sz="0" w:space="0" w:color="auto"/>
                <w:right w:val="none" w:sz="0" w:space="0" w:color="auto"/>
              </w:divBdr>
            </w:div>
            <w:div w:id="294139620">
              <w:marLeft w:val="0"/>
              <w:marRight w:val="0"/>
              <w:marTop w:val="0"/>
              <w:marBottom w:val="0"/>
              <w:divBdr>
                <w:top w:val="none" w:sz="0" w:space="0" w:color="auto"/>
                <w:left w:val="none" w:sz="0" w:space="0" w:color="auto"/>
                <w:bottom w:val="none" w:sz="0" w:space="0" w:color="auto"/>
                <w:right w:val="none" w:sz="0" w:space="0" w:color="auto"/>
              </w:divBdr>
            </w:div>
            <w:div w:id="294139733">
              <w:marLeft w:val="0"/>
              <w:marRight w:val="0"/>
              <w:marTop w:val="0"/>
              <w:marBottom w:val="0"/>
              <w:divBdr>
                <w:top w:val="none" w:sz="0" w:space="0" w:color="auto"/>
                <w:left w:val="none" w:sz="0" w:space="0" w:color="auto"/>
                <w:bottom w:val="none" w:sz="0" w:space="0" w:color="auto"/>
                <w:right w:val="none" w:sz="0" w:space="0" w:color="auto"/>
              </w:divBdr>
            </w:div>
            <w:div w:id="294139777">
              <w:marLeft w:val="0"/>
              <w:marRight w:val="0"/>
              <w:marTop w:val="0"/>
              <w:marBottom w:val="0"/>
              <w:divBdr>
                <w:top w:val="none" w:sz="0" w:space="0" w:color="auto"/>
                <w:left w:val="none" w:sz="0" w:space="0" w:color="auto"/>
                <w:bottom w:val="none" w:sz="0" w:space="0" w:color="auto"/>
                <w:right w:val="none" w:sz="0" w:space="0" w:color="auto"/>
              </w:divBdr>
            </w:div>
            <w:div w:id="294139983">
              <w:marLeft w:val="0"/>
              <w:marRight w:val="0"/>
              <w:marTop w:val="0"/>
              <w:marBottom w:val="0"/>
              <w:divBdr>
                <w:top w:val="none" w:sz="0" w:space="0" w:color="auto"/>
                <w:left w:val="none" w:sz="0" w:space="0" w:color="auto"/>
                <w:bottom w:val="none" w:sz="0" w:space="0" w:color="auto"/>
                <w:right w:val="none" w:sz="0" w:space="0" w:color="auto"/>
              </w:divBdr>
            </w:div>
            <w:div w:id="294140007">
              <w:marLeft w:val="0"/>
              <w:marRight w:val="0"/>
              <w:marTop w:val="0"/>
              <w:marBottom w:val="0"/>
              <w:divBdr>
                <w:top w:val="none" w:sz="0" w:space="0" w:color="auto"/>
                <w:left w:val="none" w:sz="0" w:space="0" w:color="auto"/>
                <w:bottom w:val="none" w:sz="0" w:space="0" w:color="auto"/>
                <w:right w:val="none" w:sz="0" w:space="0" w:color="auto"/>
              </w:divBdr>
            </w:div>
            <w:div w:id="294140073">
              <w:marLeft w:val="0"/>
              <w:marRight w:val="0"/>
              <w:marTop w:val="0"/>
              <w:marBottom w:val="0"/>
              <w:divBdr>
                <w:top w:val="none" w:sz="0" w:space="0" w:color="auto"/>
                <w:left w:val="none" w:sz="0" w:space="0" w:color="auto"/>
                <w:bottom w:val="none" w:sz="0" w:space="0" w:color="auto"/>
                <w:right w:val="none" w:sz="0" w:space="0" w:color="auto"/>
              </w:divBdr>
            </w:div>
            <w:div w:id="294140113">
              <w:marLeft w:val="0"/>
              <w:marRight w:val="0"/>
              <w:marTop w:val="0"/>
              <w:marBottom w:val="0"/>
              <w:divBdr>
                <w:top w:val="none" w:sz="0" w:space="0" w:color="auto"/>
                <w:left w:val="none" w:sz="0" w:space="0" w:color="auto"/>
                <w:bottom w:val="none" w:sz="0" w:space="0" w:color="auto"/>
                <w:right w:val="none" w:sz="0" w:space="0" w:color="auto"/>
              </w:divBdr>
            </w:div>
            <w:div w:id="294140121">
              <w:marLeft w:val="0"/>
              <w:marRight w:val="0"/>
              <w:marTop w:val="0"/>
              <w:marBottom w:val="0"/>
              <w:divBdr>
                <w:top w:val="none" w:sz="0" w:space="0" w:color="auto"/>
                <w:left w:val="none" w:sz="0" w:space="0" w:color="auto"/>
                <w:bottom w:val="none" w:sz="0" w:space="0" w:color="auto"/>
                <w:right w:val="none" w:sz="0" w:space="0" w:color="auto"/>
              </w:divBdr>
            </w:div>
            <w:div w:id="294140362">
              <w:marLeft w:val="0"/>
              <w:marRight w:val="0"/>
              <w:marTop w:val="0"/>
              <w:marBottom w:val="0"/>
              <w:divBdr>
                <w:top w:val="none" w:sz="0" w:space="0" w:color="auto"/>
                <w:left w:val="none" w:sz="0" w:space="0" w:color="auto"/>
                <w:bottom w:val="none" w:sz="0" w:space="0" w:color="auto"/>
                <w:right w:val="none" w:sz="0" w:space="0" w:color="auto"/>
              </w:divBdr>
            </w:div>
            <w:div w:id="294140975">
              <w:marLeft w:val="0"/>
              <w:marRight w:val="0"/>
              <w:marTop w:val="0"/>
              <w:marBottom w:val="0"/>
              <w:divBdr>
                <w:top w:val="none" w:sz="0" w:space="0" w:color="auto"/>
                <w:left w:val="none" w:sz="0" w:space="0" w:color="auto"/>
                <w:bottom w:val="none" w:sz="0" w:space="0" w:color="auto"/>
                <w:right w:val="none" w:sz="0" w:space="0" w:color="auto"/>
              </w:divBdr>
            </w:div>
            <w:div w:id="294141313">
              <w:marLeft w:val="0"/>
              <w:marRight w:val="0"/>
              <w:marTop w:val="0"/>
              <w:marBottom w:val="0"/>
              <w:divBdr>
                <w:top w:val="none" w:sz="0" w:space="0" w:color="auto"/>
                <w:left w:val="none" w:sz="0" w:space="0" w:color="auto"/>
                <w:bottom w:val="none" w:sz="0" w:space="0" w:color="auto"/>
                <w:right w:val="none" w:sz="0" w:space="0" w:color="auto"/>
              </w:divBdr>
            </w:div>
            <w:div w:id="294141427">
              <w:marLeft w:val="0"/>
              <w:marRight w:val="0"/>
              <w:marTop w:val="0"/>
              <w:marBottom w:val="0"/>
              <w:divBdr>
                <w:top w:val="none" w:sz="0" w:space="0" w:color="auto"/>
                <w:left w:val="none" w:sz="0" w:space="0" w:color="auto"/>
                <w:bottom w:val="none" w:sz="0" w:space="0" w:color="auto"/>
                <w:right w:val="none" w:sz="0" w:space="0" w:color="auto"/>
              </w:divBdr>
            </w:div>
            <w:div w:id="294141575">
              <w:marLeft w:val="0"/>
              <w:marRight w:val="0"/>
              <w:marTop w:val="0"/>
              <w:marBottom w:val="0"/>
              <w:divBdr>
                <w:top w:val="none" w:sz="0" w:space="0" w:color="auto"/>
                <w:left w:val="none" w:sz="0" w:space="0" w:color="auto"/>
                <w:bottom w:val="none" w:sz="0" w:space="0" w:color="auto"/>
                <w:right w:val="none" w:sz="0" w:space="0" w:color="auto"/>
              </w:divBdr>
            </w:div>
            <w:div w:id="294141619">
              <w:marLeft w:val="0"/>
              <w:marRight w:val="0"/>
              <w:marTop w:val="0"/>
              <w:marBottom w:val="0"/>
              <w:divBdr>
                <w:top w:val="none" w:sz="0" w:space="0" w:color="auto"/>
                <w:left w:val="none" w:sz="0" w:space="0" w:color="auto"/>
                <w:bottom w:val="none" w:sz="0" w:space="0" w:color="auto"/>
                <w:right w:val="none" w:sz="0" w:space="0" w:color="auto"/>
              </w:divBdr>
            </w:div>
            <w:div w:id="294141729">
              <w:marLeft w:val="0"/>
              <w:marRight w:val="0"/>
              <w:marTop w:val="0"/>
              <w:marBottom w:val="0"/>
              <w:divBdr>
                <w:top w:val="none" w:sz="0" w:space="0" w:color="auto"/>
                <w:left w:val="none" w:sz="0" w:space="0" w:color="auto"/>
                <w:bottom w:val="none" w:sz="0" w:space="0" w:color="auto"/>
                <w:right w:val="none" w:sz="0" w:space="0" w:color="auto"/>
              </w:divBdr>
            </w:div>
            <w:div w:id="294142219">
              <w:marLeft w:val="0"/>
              <w:marRight w:val="0"/>
              <w:marTop w:val="0"/>
              <w:marBottom w:val="0"/>
              <w:divBdr>
                <w:top w:val="none" w:sz="0" w:space="0" w:color="auto"/>
                <w:left w:val="none" w:sz="0" w:space="0" w:color="auto"/>
                <w:bottom w:val="none" w:sz="0" w:space="0" w:color="auto"/>
                <w:right w:val="none" w:sz="0" w:space="0" w:color="auto"/>
              </w:divBdr>
            </w:div>
            <w:div w:id="294142503">
              <w:marLeft w:val="0"/>
              <w:marRight w:val="0"/>
              <w:marTop w:val="0"/>
              <w:marBottom w:val="0"/>
              <w:divBdr>
                <w:top w:val="none" w:sz="0" w:space="0" w:color="auto"/>
                <w:left w:val="none" w:sz="0" w:space="0" w:color="auto"/>
                <w:bottom w:val="none" w:sz="0" w:space="0" w:color="auto"/>
                <w:right w:val="none" w:sz="0" w:space="0" w:color="auto"/>
              </w:divBdr>
            </w:div>
            <w:div w:id="294142608">
              <w:marLeft w:val="0"/>
              <w:marRight w:val="0"/>
              <w:marTop w:val="0"/>
              <w:marBottom w:val="0"/>
              <w:divBdr>
                <w:top w:val="none" w:sz="0" w:space="0" w:color="auto"/>
                <w:left w:val="none" w:sz="0" w:space="0" w:color="auto"/>
                <w:bottom w:val="none" w:sz="0" w:space="0" w:color="auto"/>
                <w:right w:val="none" w:sz="0" w:space="0" w:color="auto"/>
              </w:divBdr>
            </w:div>
            <w:div w:id="294142816">
              <w:marLeft w:val="0"/>
              <w:marRight w:val="0"/>
              <w:marTop w:val="0"/>
              <w:marBottom w:val="0"/>
              <w:divBdr>
                <w:top w:val="none" w:sz="0" w:space="0" w:color="auto"/>
                <w:left w:val="none" w:sz="0" w:space="0" w:color="auto"/>
                <w:bottom w:val="none" w:sz="0" w:space="0" w:color="auto"/>
                <w:right w:val="none" w:sz="0" w:space="0" w:color="auto"/>
              </w:divBdr>
            </w:div>
            <w:div w:id="294143322">
              <w:marLeft w:val="0"/>
              <w:marRight w:val="0"/>
              <w:marTop w:val="0"/>
              <w:marBottom w:val="0"/>
              <w:divBdr>
                <w:top w:val="none" w:sz="0" w:space="0" w:color="auto"/>
                <w:left w:val="none" w:sz="0" w:space="0" w:color="auto"/>
                <w:bottom w:val="none" w:sz="0" w:space="0" w:color="auto"/>
                <w:right w:val="none" w:sz="0" w:space="0" w:color="auto"/>
              </w:divBdr>
            </w:div>
            <w:div w:id="294143351">
              <w:marLeft w:val="0"/>
              <w:marRight w:val="0"/>
              <w:marTop w:val="0"/>
              <w:marBottom w:val="0"/>
              <w:divBdr>
                <w:top w:val="none" w:sz="0" w:space="0" w:color="auto"/>
                <w:left w:val="none" w:sz="0" w:space="0" w:color="auto"/>
                <w:bottom w:val="none" w:sz="0" w:space="0" w:color="auto"/>
                <w:right w:val="none" w:sz="0" w:space="0" w:color="auto"/>
              </w:divBdr>
            </w:div>
            <w:div w:id="294143411">
              <w:marLeft w:val="0"/>
              <w:marRight w:val="0"/>
              <w:marTop w:val="0"/>
              <w:marBottom w:val="0"/>
              <w:divBdr>
                <w:top w:val="none" w:sz="0" w:space="0" w:color="auto"/>
                <w:left w:val="none" w:sz="0" w:space="0" w:color="auto"/>
                <w:bottom w:val="none" w:sz="0" w:space="0" w:color="auto"/>
                <w:right w:val="none" w:sz="0" w:space="0" w:color="auto"/>
              </w:divBdr>
            </w:div>
            <w:div w:id="294143431">
              <w:marLeft w:val="0"/>
              <w:marRight w:val="0"/>
              <w:marTop w:val="0"/>
              <w:marBottom w:val="0"/>
              <w:divBdr>
                <w:top w:val="none" w:sz="0" w:space="0" w:color="auto"/>
                <w:left w:val="none" w:sz="0" w:space="0" w:color="auto"/>
                <w:bottom w:val="none" w:sz="0" w:space="0" w:color="auto"/>
                <w:right w:val="none" w:sz="0" w:space="0" w:color="auto"/>
              </w:divBdr>
            </w:div>
            <w:div w:id="294144426">
              <w:marLeft w:val="0"/>
              <w:marRight w:val="0"/>
              <w:marTop w:val="0"/>
              <w:marBottom w:val="0"/>
              <w:divBdr>
                <w:top w:val="none" w:sz="0" w:space="0" w:color="auto"/>
                <w:left w:val="none" w:sz="0" w:space="0" w:color="auto"/>
                <w:bottom w:val="none" w:sz="0" w:space="0" w:color="auto"/>
                <w:right w:val="none" w:sz="0" w:space="0" w:color="auto"/>
              </w:divBdr>
            </w:div>
            <w:div w:id="294144574">
              <w:marLeft w:val="0"/>
              <w:marRight w:val="0"/>
              <w:marTop w:val="0"/>
              <w:marBottom w:val="0"/>
              <w:divBdr>
                <w:top w:val="none" w:sz="0" w:space="0" w:color="auto"/>
                <w:left w:val="none" w:sz="0" w:space="0" w:color="auto"/>
                <w:bottom w:val="none" w:sz="0" w:space="0" w:color="auto"/>
                <w:right w:val="none" w:sz="0" w:space="0" w:color="auto"/>
              </w:divBdr>
            </w:div>
            <w:div w:id="294144883">
              <w:marLeft w:val="0"/>
              <w:marRight w:val="0"/>
              <w:marTop w:val="0"/>
              <w:marBottom w:val="0"/>
              <w:divBdr>
                <w:top w:val="none" w:sz="0" w:space="0" w:color="auto"/>
                <w:left w:val="none" w:sz="0" w:space="0" w:color="auto"/>
                <w:bottom w:val="none" w:sz="0" w:space="0" w:color="auto"/>
                <w:right w:val="none" w:sz="0" w:space="0" w:color="auto"/>
              </w:divBdr>
            </w:div>
            <w:div w:id="294145077">
              <w:marLeft w:val="0"/>
              <w:marRight w:val="0"/>
              <w:marTop w:val="0"/>
              <w:marBottom w:val="0"/>
              <w:divBdr>
                <w:top w:val="none" w:sz="0" w:space="0" w:color="auto"/>
                <w:left w:val="none" w:sz="0" w:space="0" w:color="auto"/>
                <w:bottom w:val="none" w:sz="0" w:space="0" w:color="auto"/>
                <w:right w:val="none" w:sz="0" w:space="0" w:color="auto"/>
              </w:divBdr>
            </w:div>
            <w:div w:id="294145668">
              <w:marLeft w:val="0"/>
              <w:marRight w:val="0"/>
              <w:marTop w:val="0"/>
              <w:marBottom w:val="0"/>
              <w:divBdr>
                <w:top w:val="none" w:sz="0" w:space="0" w:color="auto"/>
                <w:left w:val="none" w:sz="0" w:space="0" w:color="auto"/>
                <w:bottom w:val="none" w:sz="0" w:space="0" w:color="auto"/>
                <w:right w:val="none" w:sz="0" w:space="0" w:color="auto"/>
              </w:divBdr>
            </w:div>
            <w:div w:id="294146549">
              <w:marLeft w:val="0"/>
              <w:marRight w:val="0"/>
              <w:marTop w:val="0"/>
              <w:marBottom w:val="0"/>
              <w:divBdr>
                <w:top w:val="none" w:sz="0" w:space="0" w:color="auto"/>
                <w:left w:val="none" w:sz="0" w:space="0" w:color="auto"/>
                <w:bottom w:val="none" w:sz="0" w:space="0" w:color="auto"/>
                <w:right w:val="none" w:sz="0" w:space="0" w:color="auto"/>
              </w:divBdr>
            </w:div>
            <w:div w:id="294146629">
              <w:marLeft w:val="0"/>
              <w:marRight w:val="0"/>
              <w:marTop w:val="0"/>
              <w:marBottom w:val="0"/>
              <w:divBdr>
                <w:top w:val="none" w:sz="0" w:space="0" w:color="auto"/>
                <w:left w:val="none" w:sz="0" w:space="0" w:color="auto"/>
                <w:bottom w:val="none" w:sz="0" w:space="0" w:color="auto"/>
                <w:right w:val="none" w:sz="0" w:space="0" w:color="auto"/>
              </w:divBdr>
            </w:div>
            <w:div w:id="294146791">
              <w:marLeft w:val="0"/>
              <w:marRight w:val="0"/>
              <w:marTop w:val="0"/>
              <w:marBottom w:val="0"/>
              <w:divBdr>
                <w:top w:val="none" w:sz="0" w:space="0" w:color="auto"/>
                <w:left w:val="none" w:sz="0" w:space="0" w:color="auto"/>
                <w:bottom w:val="none" w:sz="0" w:space="0" w:color="auto"/>
                <w:right w:val="none" w:sz="0" w:space="0" w:color="auto"/>
              </w:divBdr>
            </w:div>
            <w:div w:id="294146823">
              <w:marLeft w:val="0"/>
              <w:marRight w:val="0"/>
              <w:marTop w:val="0"/>
              <w:marBottom w:val="0"/>
              <w:divBdr>
                <w:top w:val="none" w:sz="0" w:space="0" w:color="auto"/>
                <w:left w:val="none" w:sz="0" w:space="0" w:color="auto"/>
                <w:bottom w:val="none" w:sz="0" w:space="0" w:color="auto"/>
                <w:right w:val="none" w:sz="0" w:space="0" w:color="auto"/>
              </w:divBdr>
            </w:div>
            <w:div w:id="294146889">
              <w:marLeft w:val="0"/>
              <w:marRight w:val="0"/>
              <w:marTop w:val="0"/>
              <w:marBottom w:val="0"/>
              <w:divBdr>
                <w:top w:val="none" w:sz="0" w:space="0" w:color="auto"/>
                <w:left w:val="none" w:sz="0" w:space="0" w:color="auto"/>
                <w:bottom w:val="none" w:sz="0" w:space="0" w:color="auto"/>
                <w:right w:val="none" w:sz="0" w:space="0" w:color="auto"/>
              </w:divBdr>
            </w:div>
            <w:div w:id="294146920">
              <w:marLeft w:val="0"/>
              <w:marRight w:val="0"/>
              <w:marTop w:val="0"/>
              <w:marBottom w:val="0"/>
              <w:divBdr>
                <w:top w:val="none" w:sz="0" w:space="0" w:color="auto"/>
                <w:left w:val="none" w:sz="0" w:space="0" w:color="auto"/>
                <w:bottom w:val="none" w:sz="0" w:space="0" w:color="auto"/>
                <w:right w:val="none" w:sz="0" w:space="0" w:color="auto"/>
              </w:divBdr>
            </w:div>
            <w:div w:id="294147462">
              <w:marLeft w:val="0"/>
              <w:marRight w:val="0"/>
              <w:marTop w:val="0"/>
              <w:marBottom w:val="0"/>
              <w:divBdr>
                <w:top w:val="none" w:sz="0" w:space="0" w:color="auto"/>
                <w:left w:val="none" w:sz="0" w:space="0" w:color="auto"/>
                <w:bottom w:val="none" w:sz="0" w:space="0" w:color="auto"/>
                <w:right w:val="none" w:sz="0" w:space="0" w:color="auto"/>
              </w:divBdr>
            </w:div>
            <w:div w:id="294147578">
              <w:marLeft w:val="0"/>
              <w:marRight w:val="0"/>
              <w:marTop w:val="0"/>
              <w:marBottom w:val="0"/>
              <w:divBdr>
                <w:top w:val="none" w:sz="0" w:space="0" w:color="auto"/>
                <w:left w:val="none" w:sz="0" w:space="0" w:color="auto"/>
                <w:bottom w:val="none" w:sz="0" w:space="0" w:color="auto"/>
                <w:right w:val="none" w:sz="0" w:space="0" w:color="auto"/>
              </w:divBdr>
            </w:div>
            <w:div w:id="294147680">
              <w:marLeft w:val="0"/>
              <w:marRight w:val="0"/>
              <w:marTop w:val="0"/>
              <w:marBottom w:val="0"/>
              <w:divBdr>
                <w:top w:val="none" w:sz="0" w:space="0" w:color="auto"/>
                <w:left w:val="none" w:sz="0" w:space="0" w:color="auto"/>
                <w:bottom w:val="none" w:sz="0" w:space="0" w:color="auto"/>
                <w:right w:val="none" w:sz="0" w:space="0" w:color="auto"/>
              </w:divBdr>
            </w:div>
            <w:div w:id="294147777">
              <w:marLeft w:val="0"/>
              <w:marRight w:val="0"/>
              <w:marTop w:val="0"/>
              <w:marBottom w:val="0"/>
              <w:divBdr>
                <w:top w:val="none" w:sz="0" w:space="0" w:color="auto"/>
                <w:left w:val="none" w:sz="0" w:space="0" w:color="auto"/>
                <w:bottom w:val="none" w:sz="0" w:space="0" w:color="auto"/>
                <w:right w:val="none" w:sz="0" w:space="0" w:color="auto"/>
              </w:divBdr>
            </w:div>
            <w:div w:id="294148102">
              <w:marLeft w:val="0"/>
              <w:marRight w:val="0"/>
              <w:marTop w:val="0"/>
              <w:marBottom w:val="0"/>
              <w:divBdr>
                <w:top w:val="none" w:sz="0" w:space="0" w:color="auto"/>
                <w:left w:val="none" w:sz="0" w:space="0" w:color="auto"/>
                <w:bottom w:val="none" w:sz="0" w:space="0" w:color="auto"/>
                <w:right w:val="none" w:sz="0" w:space="0" w:color="auto"/>
              </w:divBdr>
            </w:div>
            <w:div w:id="294148226">
              <w:marLeft w:val="0"/>
              <w:marRight w:val="0"/>
              <w:marTop w:val="0"/>
              <w:marBottom w:val="0"/>
              <w:divBdr>
                <w:top w:val="none" w:sz="0" w:space="0" w:color="auto"/>
                <w:left w:val="none" w:sz="0" w:space="0" w:color="auto"/>
                <w:bottom w:val="none" w:sz="0" w:space="0" w:color="auto"/>
                <w:right w:val="none" w:sz="0" w:space="0" w:color="auto"/>
              </w:divBdr>
            </w:div>
            <w:div w:id="294148363">
              <w:marLeft w:val="0"/>
              <w:marRight w:val="0"/>
              <w:marTop w:val="0"/>
              <w:marBottom w:val="0"/>
              <w:divBdr>
                <w:top w:val="none" w:sz="0" w:space="0" w:color="auto"/>
                <w:left w:val="none" w:sz="0" w:space="0" w:color="auto"/>
                <w:bottom w:val="none" w:sz="0" w:space="0" w:color="auto"/>
                <w:right w:val="none" w:sz="0" w:space="0" w:color="auto"/>
              </w:divBdr>
            </w:div>
            <w:div w:id="294148485">
              <w:marLeft w:val="0"/>
              <w:marRight w:val="0"/>
              <w:marTop w:val="0"/>
              <w:marBottom w:val="0"/>
              <w:divBdr>
                <w:top w:val="none" w:sz="0" w:space="0" w:color="auto"/>
                <w:left w:val="none" w:sz="0" w:space="0" w:color="auto"/>
                <w:bottom w:val="none" w:sz="0" w:space="0" w:color="auto"/>
                <w:right w:val="none" w:sz="0" w:space="0" w:color="auto"/>
              </w:divBdr>
            </w:div>
            <w:div w:id="294148518">
              <w:marLeft w:val="0"/>
              <w:marRight w:val="0"/>
              <w:marTop w:val="0"/>
              <w:marBottom w:val="0"/>
              <w:divBdr>
                <w:top w:val="none" w:sz="0" w:space="0" w:color="auto"/>
                <w:left w:val="none" w:sz="0" w:space="0" w:color="auto"/>
                <w:bottom w:val="none" w:sz="0" w:space="0" w:color="auto"/>
                <w:right w:val="none" w:sz="0" w:space="0" w:color="auto"/>
              </w:divBdr>
            </w:div>
            <w:div w:id="294148963">
              <w:marLeft w:val="0"/>
              <w:marRight w:val="0"/>
              <w:marTop w:val="0"/>
              <w:marBottom w:val="0"/>
              <w:divBdr>
                <w:top w:val="none" w:sz="0" w:space="0" w:color="auto"/>
                <w:left w:val="none" w:sz="0" w:space="0" w:color="auto"/>
                <w:bottom w:val="none" w:sz="0" w:space="0" w:color="auto"/>
                <w:right w:val="none" w:sz="0" w:space="0" w:color="auto"/>
              </w:divBdr>
            </w:div>
            <w:div w:id="294149017">
              <w:marLeft w:val="0"/>
              <w:marRight w:val="0"/>
              <w:marTop w:val="0"/>
              <w:marBottom w:val="0"/>
              <w:divBdr>
                <w:top w:val="none" w:sz="0" w:space="0" w:color="auto"/>
                <w:left w:val="none" w:sz="0" w:space="0" w:color="auto"/>
                <w:bottom w:val="none" w:sz="0" w:space="0" w:color="auto"/>
                <w:right w:val="none" w:sz="0" w:space="0" w:color="auto"/>
              </w:divBdr>
            </w:div>
            <w:div w:id="294149307">
              <w:marLeft w:val="0"/>
              <w:marRight w:val="0"/>
              <w:marTop w:val="0"/>
              <w:marBottom w:val="0"/>
              <w:divBdr>
                <w:top w:val="none" w:sz="0" w:space="0" w:color="auto"/>
                <w:left w:val="none" w:sz="0" w:space="0" w:color="auto"/>
                <w:bottom w:val="none" w:sz="0" w:space="0" w:color="auto"/>
                <w:right w:val="none" w:sz="0" w:space="0" w:color="auto"/>
              </w:divBdr>
            </w:div>
            <w:div w:id="294149328">
              <w:marLeft w:val="0"/>
              <w:marRight w:val="0"/>
              <w:marTop w:val="0"/>
              <w:marBottom w:val="0"/>
              <w:divBdr>
                <w:top w:val="none" w:sz="0" w:space="0" w:color="auto"/>
                <w:left w:val="none" w:sz="0" w:space="0" w:color="auto"/>
                <w:bottom w:val="none" w:sz="0" w:space="0" w:color="auto"/>
                <w:right w:val="none" w:sz="0" w:space="0" w:color="auto"/>
              </w:divBdr>
            </w:div>
            <w:div w:id="294149587">
              <w:marLeft w:val="0"/>
              <w:marRight w:val="0"/>
              <w:marTop w:val="0"/>
              <w:marBottom w:val="0"/>
              <w:divBdr>
                <w:top w:val="none" w:sz="0" w:space="0" w:color="auto"/>
                <w:left w:val="none" w:sz="0" w:space="0" w:color="auto"/>
                <w:bottom w:val="none" w:sz="0" w:space="0" w:color="auto"/>
                <w:right w:val="none" w:sz="0" w:space="0" w:color="auto"/>
              </w:divBdr>
            </w:div>
            <w:div w:id="294149628">
              <w:marLeft w:val="0"/>
              <w:marRight w:val="0"/>
              <w:marTop w:val="0"/>
              <w:marBottom w:val="0"/>
              <w:divBdr>
                <w:top w:val="none" w:sz="0" w:space="0" w:color="auto"/>
                <w:left w:val="none" w:sz="0" w:space="0" w:color="auto"/>
                <w:bottom w:val="none" w:sz="0" w:space="0" w:color="auto"/>
                <w:right w:val="none" w:sz="0" w:space="0" w:color="auto"/>
              </w:divBdr>
            </w:div>
            <w:div w:id="294149863">
              <w:marLeft w:val="0"/>
              <w:marRight w:val="0"/>
              <w:marTop w:val="0"/>
              <w:marBottom w:val="0"/>
              <w:divBdr>
                <w:top w:val="none" w:sz="0" w:space="0" w:color="auto"/>
                <w:left w:val="none" w:sz="0" w:space="0" w:color="auto"/>
                <w:bottom w:val="none" w:sz="0" w:space="0" w:color="auto"/>
                <w:right w:val="none" w:sz="0" w:space="0" w:color="auto"/>
              </w:divBdr>
            </w:div>
            <w:div w:id="294150552">
              <w:marLeft w:val="0"/>
              <w:marRight w:val="0"/>
              <w:marTop w:val="0"/>
              <w:marBottom w:val="0"/>
              <w:divBdr>
                <w:top w:val="none" w:sz="0" w:space="0" w:color="auto"/>
                <w:left w:val="none" w:sz="0" w:space="0" w:color="auto"/>
                <w:bottom w:val="none" w:sz="0" w:space="0" w:color="auto"/>
                <w:right w:val="none" w:sz="0" w:space="0" w:color="auto"/>
              </w:divBdr>
            </w:div>
            <w:div w:id="294150577">
              <w:marLeft w:val="0"/>
              <w:marRight w:val="0"/>
              <w:marTop w:val="0"/>
              <w:marBottom w:val="0"/>
              <w:divBdr>
                <w:top w:val="none" w:sz="0" w:space="0" w:color="auto"/>
                <w:left w:val="none" w:sz="0" w:space="0" w:color="auto"/>
                <w:bottom w:val="none" w:sz="0" w:space="0" w:color="auto"/>
                <w:right w:val="none" w:sz="0" w:space="0" w:color="auto"/>
              </w:divBdr>
            </w:div>
            <w:div w:id="294150651">
              <w:marLeft w:val="0"/>
              <w:marRight w:val="0"/>
              <w:marTop w:val="0"/>
              <w:marBottom w:val="0"/>
              <w:divBdr>
                <w:top w:val="none" w:sz="0" w:space="0" w:color="auto"/>
                <w:left w:val="none" w:sz="0" w:space="0" w:color="auto"/>
                <w:bottom w:val="none" w:sz="0" w:space="0" w:color="auto"/>
                <w:right w:val="none" w:sz="0" w:space="0" w:color="auto"/>
              </w:divBdr>
            </w:div>
            <w:div w:id="294150805">
              <w:marLeft w:val="0"/>
              <w:marRight w:val="0"/>
              <w:marTop w:val="0"/>
              <w:marBottom w:val="0"/>
              <w:divBdr>
                <w:top w:val="none" w:sz="0" w:space="0" w:color="auto"/>
                <w:left w:val="none" w:sz="0" w:space="0" w:color="auto"/>
                <w:bottom w:val="none" w:sz="0" w:space="0" w:color="auto"/>
                <w:right w:val="none" w:sz="0" w:space="0" w:color="auto"/>
              </w:divBdr>
            </w:div>
            <w:div w:id="294151029">
              <w:marLeft w:val="0"/>
              <w:marRight w:val="0"/>
              <w:marTop w:val="0"/>
              <w:marBottom w:val="0"/>
              <w:divBdr>
                <w:top w:val="none" w:sz="0" w:space="0" w:color="auto"/>
                <w:left w:val="none" w:sz="0" w:space="0" w:color="auto"/>
                <w:bottom w:val="none" w:sz="0" w:space="0" w:color="auto"/>
                <w:right w:val="none" w:sz="0" w:space="0" w:color="auto"/>
              </w:divBdr>
            </w:div>
            <w:div w:id="294151241">
              <w:marLeft w:val="0"/>
              <w:marRight w:val="0"/>
              <w:marTop w:val="0"/>
              <w:marBottom w:val="0"/>
              <w:divBdr>
                <w:top w:val="none" w:sz="0" w:space="0" w:color="auto"/>
                <w:left w:val="none" w:sz="0" w:space="0" w:color="auto"/>
                <w:bottom w:val="none" w:sz="0" w:space="0" w:color="auto"/>
                <w:right w:val="none" w:sz="0" w:space="0" w:color="auto"/>
              </w:divBdr>
            </w:div>
            <w:div w:id="294151361">
              <w:marLeft w:val="0"/>
              <w:marRight w:val="0"/>
              <w:marTop w:val="0"/>
              <w:marBottom w:val="0"/>
              <w:divBdr>
                <w:top w:val="none" w:sz="0" w:space="0" w:color="auto"/>
                <w:left w:val="none" w:sz="0" w:space="0" w:color="auto"/>
                <w:bottom w:val="none" w:sz="0" w:space="0" w:color="auto"/>
                <w:right w:val="none" w:sz="0" w:space="0" w:color="auto"/>
              </w:divBdr>
            </w:div>
            <w:div w:id="294151596">
              <w:marLeft w:val="0"/>
              <w:marRight w:val="0"/>
              <w:marTop w:val="0"/>
              <w:marBottom w:val="0"/>
              <w:divBdr>
                <w:top w:val="none" w:sz="0" w:space="0" w:color="auto"/>
                <w:left w:val="none" w:sz="0" w:space="0" w:color="auto"/>
                <w:bottom w:val="none" w:sz="0" w:space="0" w:color="auto"/>
                <w:right w:val="none" w:sz="0" w:space="0" w:color="auto"/>
              </w:divBdr>
            </w:div>
            <w:div w:id="294151635">
              <w:marLeft w:val="0"/>
              <w:marRight w:val="0"/>
              <w:marTop w:val="0"/>
              <w:marBottom w:val="0"/>
              <w:divBdr>
                <w:top w:val="none" w:sz="0" w:space="0" w:color="auto"/>
                <w:left w:val="none" w:sz="0" w:space="0" w:color="auto"/>
                <w:bottom w:val="none" w:sz="0" w:space="0" w:color="auto"/>
                <w:right w:val="none" w:sz="0" w:space="0" w:color="auto"/>
              </w:divBdr>
            </w:div>
            <w:div w:id="294152645">
              <w:marLeft w:val="0"/>
              <w:marRight w:val="0"/>
              <w:marTop w:val="0"/>
              <w:marBottom w:val="0"/>
              <w:divBdr>
                <w:top w:val="none" w:sz="0" w:space="0" w:color="auto"/>
                <w:left w:val="none" w:sz="0" w:space="0" w:color="auto"/>
                <w:bottom w:val="none" w:sz="0" w:space="0" w:color="auto"/>
                <w:right w:val="none" w:sz="0" w:space="0" w:color="auto"/>
              </w:divBdr>
            </w:div>
            <w:div w:id="294153043">
              <w:marLeft w:val="0"/>
              <w:marRight w:val="0"/>
              <w:marTop w:val="0"/>
              <w:marBottom w:val="0"/>
              <w:divBdr>
                <w:top w:val="none" w:sz="0" w:space="0" w:color="auto"/>
                <w:left w:val="none" w:sz="0" w:space="0" w:color="auto"/>
                <w:bottom w:val="none" w:sz="0" w:space="0" w:color="auto"/>
                <w:right w:val="none" w:sz="0" w:space="0" w:color="auto"/>
              </w:divBdr>
            </w:div>
            <w:div w:id="294153114">
              <w:marLeft w:val="0"/>
              <w:marRight w:val="0"/>
              <w:marTop w:val="0"/>
              <w:marBottom w:val="0"/>
              <w:divBdr>
                <w:top w:val="none" w:sz="0" w:space="0" w:color="auto"/>
                <w:left w:val="none" w:sz="0" w:space="0" w:color="auto"/>
                <w:bottom w:val="none" w:sz="0" w:space="0" w:color="auto"/>
                <w:right w:val="none" w:sz="0" w:space="0" w:color="auto"/>
              </w:divBdr>
            </w:div>
            <w:div w:id="294153213">
              <w:marLeft w:val="0"/>
              <w:marRight w:val="0"/>
              <w:marTop w:val="0"/>
              <w:marBottom w:val="0"/>
              <w:divBdr>
                <w:top w:val="none" w:sz="0" w:space="0" w:color="auto"/>
                <w:left w:val="none" w:sz="0" w:space="0" w:color="auto"/>
                <w:bottom w:val="none" w:sz="0" w:space="0" w:color="auto"/>
                <w:right w:val="none" w:sz="0" w:space="0" w:color="auto"/>
              </w:divBdr>
            </w:div>
            <w:div w:id="294153988">
              <w:marLeft w:val="0"/>
              <w:marRight w:val="0"/>
              <w:marTop w:val="0"/>
              <w:marBottom w:val="0"/>
              <w:divBdr>
                <w:top w:val="none" w:sz="0" w:space="0" w:color="auto"/>
                <w:left w:val="none" w:sz="0" w:space="0" w:color="auto"/>
                <w:bottom w:val="none" w:sz="0" w:space="0" w:color="auto"/>
                <w:right w:val="none" w:sz="0" w:space="0" w:color="auto"/>
              </w:divBdr>
            </w:div>
            <w:div w:id="294154153">
              <w:marLeft w:val="0"/>
              <w:marRight w:val="0"/>
              <w:marTop w:val="0"/>
              <w:marBottom w:val="0"/>
              <w:divBdr>
                <w:top w:val="none" w:sz="0" w:space="0" w:color="auto"/>
                <w:left w:val="none" w:sz="0" w:space="0" w:color="auto"/>
                <w:bottom w:val="none" w:sz="0" w:space="0" w:color="auto"/>
                <w:right w:val="none" w:sz="0" w:space="0" w:color="auto"/>
              </w:divBdr>
            </w:div>
            <w:div w:id="294154560">
              <w:marLeft w:val="0"/>
              <w:marRight w:val="0"/>
              <w:marTop w:val="0"/>
              <w:marBottom w:val="0"/>
              <w:divBdr>
                <w:top w:val="none" w:sz="0" w:space="0" w:color="auto"/>
                <w:left w:val="none" w:sz="0" w:space="0" w:color="auto"/>
                <w:bottom w:val="none" w:sz="0" w:space="0" w:color="auto"/>
                <w:right w:val="none" w:sz="0" w:space="0" w:color="auto"/>
              </w:divBdr>
            </w:div>
            <w:div w:id="294154636">
              <w:marLeft w:val="0"/>
              <w:marRight w:val="0"/>
              <w:marTop w:val="0"/>
              <w:marBottom w:val="0"/>
              <w:divBdr>
                <w:top w:val="none" w:sz="0" w:space="0" w:color="auto"/>
                <w:left w:val="none" w:sz="0" w:space="0" w:color="auto"/>
                <w:bottom w:val="none" w:sz="0" w:space="0" w:color="auto"/>
                <w:right w:val="none" w:sz="0" w:space="0" w:color="auto"/>
              </w:divBdr>
            </w:div>
            <w:div w:id="294155630">
              <w:marLeft w:val="0"/>
              <w:marRight w:val="0"/>
              <w:marTop w:val="0"/>
              <w:marBottom w:val="0"/>
              <w:divBdr>
                <w:top w:val="none" w:sz="0" w:space="0" w:color="auto"/>
                <w:left w:val="none" w:sz="0" w:space="0" w:color="auto"/>
                <w:bottom w:val="none" w:sz="0" w:space="0" w:color="auto"/>
                <w:right w:val="none" w:sz="0" w:space="0" w:color="auto"/>
              </w:divBdr>
            </w:div>
            <w:div w:id="294155870">
              <w:marLeft w:val="0"/>
              <w:marRight w:val="0"/>
              <w:marTop w:val="0"/>
              <w:marBottom w:val="0"/>
              <w:divBdr>
                <w:top w:val="none" w:sz="0" w:space="0" w:color="auto"/>
                <w:left w:val="none" w:sz="0" w:space="0" w:color="auto"/>
                <w:bottom w:val="none" w:sz="0" w:space="0" w:color="auto"/>
                <w:right w:val="none" w:sz="0" w:space="0" w:color="auto"/>
              </w:divBdr>
            </w:div>
            <w:div w:id="294155944">
              <w:marLeft w:val="0"/>
              <w:marRight w:val="0"/>
              <w:marTop w:val="0"/>
              <w:marBottom w:val="0"/>
              <w:divBdr>
                <w:top w:val="none" w:sz="0" w:space="0" w:color="auto"/>
                <w:left w:val="none" w:sz="0" w:space="0" w:color="auto"/>
                <w:bottom w:val="none" w:sz="0" w:space="0" w:color="auto"/>
                <w:right w:val="none" w:sz="0" w:space="0" w:color="auto"/>
              </w:divBdr>
            </w:div>
            <w:div w:id="294156300">
              <w:marLeft w:val="0"/>
              <w:marRight w:val="0"/>
              <w:marTop w:val="0"/>
              <w:marBottom w:val="0"/>
              <w:divBdr>
                <w:top w:val="none" w:sz="0" w:space="0" w:color="auto"/>
                <w:left w:val="none" w:sz="0" w:space="0" w:color="auto"/>
                <w:bottom w:val="none" w:sz="0" w:space="0" w:color="auto"/>
                <w:right w:val="none" w:sz="0" w:space="0" w:color="auto"/>
              </w:divBdr>
            </w:div>
            <w:div w:id="294156443">
              <w:marLeft w:val="0"/>
              <w:marRight w:val="0"/>
              <w:marTop w:val="0"/>
              <w:marBottom w:val="0"/>
              <w:divBdr>
                <w:top w:val="none" w:sz="0" w:space="0" w:color="auto"/>
                <w:left w:val="none" w:sz="0" w:space="0" w:color="auto"/>
                <w:bottom w:val="none" w:sz="0" w:space="0" w:color="auto"/>
                <w:right w:val="none" w:sz="0" w:space="0" w:color="auto"/>
              </w:divBdr>
            </w:div>
            <w:div w:id="294156513">
              <w:marLeft w:val="0"/>
              <w:marRight w:val="0"/>
              <w:marTop w:val="0"/>
              <w:marBottom w:val="0"/>
              <w:divBdr>
                <w:top w:val="none" w:sz="0" w:space="0" w:color="auto"/>
                <w:left w:val="none" w:sz="0" w:space="0" w:color="auto"/>
                <w:bottom w:val="none" w:sz="0" w:space="0" w:color="auto"/>
                <w:right w:val="none" w:sz="0" w:space="0" w:color="auto"/>
              </w:divBdr>
            </w:div>
            <w:div w:id="294156677">
              <w:marLeft w:val="0"/>
              <w:marRight w:val="0"/>
              <w:marTop w:val="0"/>
              <w:marBottom w:val="0"/>
              <w:divBdr>
                <w:top w:val="none" w:sz="0" w:space="0" w:color="auto"/>
                <w:left w:val="none" w:sz="0" w:space="0" w:color="auto"/>
                <w:bottom w:val="none" w:sz="0" w:space="0" w:color="auto"/>
                <w:right w:val="none" w:sz="0" w:space="0" w:color="auto"/>
              </w:divBdr>
            </w:div>
            <w:div w:id="294156832">
              <w:marLeft w:val="0"/>
              <w:marRight w:val="0"/>
              <w:marTop w:val="0"/>
              <w:marBottom w:val="0"/>
              <w:divBdr>
                <w:top w:val="none" w:sz="0" w:space="0" w:color="auto"/>
                <w:left w:val="none" w:sz="0" w:space="0" w:color="auto"/>
                <w:bottom w:val="none" w:sz="0" w:space="0" w:color="auto"/>
                <w:right w:val="none" w:sz="0" w:space="0" w:color="auto"/>
              </w:divBdr>
            </w:div>
            <w:div w:id="294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1420">
      <w:marLeft w:val="0"/>
      <w:marRight w:val="0"/>
      <w:marTop w:val="0"/>
      <w:marBottom w:val="0"/>
      <w:divBdr>
        <w:top w:val="none" w:sz="0" w:space="0" w:color="auto"/>
        <w:left w:val="none" w:sz="0" w:space="0" w:color="auto"/>
        <w:bottom w:val="none" w:sz="0" w:space="0" w:color="auto"/>
        <w:right w:val="none" w:sz="0" w:space="0" w:color="auto"/>
      </w:divBdr>
    </w:div>
    <w:div w:id="294151465">
      <w:marLeft w:val="0"/>
      <w:marRight w:val="0"/>
      <w:marTop w:val="0"/>
      <w:marBottom w:val="0"/>
      <w:divBdr>
        <w:top w:val="none" w:sz="0" w:space="0" w:color="auto"/>
        <w:left w:val="none" w:sz="0" w:space="0" w:color="auto"/>
        <w:bottom w:val="none" w:sz="0" w:space="0" w:color="auto"/>
        <w:right w:val="none" w:sz="0" w:space="0" w:color="auto"/>
      </w:divBdr>
      <w:divsChild>
        <w:div w:id="294146961">
          <w:marLeft w:val="0"/>
          <w:marRight w:val="0"/>
          <w:marTop w:val="0"/>
          <w:marBottom w:val="0"/>
          <w:divBdr>
            <w:top w:val="none" w:sz="0" w:space="0" w:color="auto"/>
            <w:left w:val="none" w:sz="0" w:space="0" w:color="auto"/>
            <w:bottom w:val="none" w:sz="0" w:space="0" w:color="auto"/>
            <w:right w:val="none" w:sz="0" w:space="0" w:color="auto"/>
          </w:divBdr>
        </w:div>
      </w:divsChild>
    </w:div>
    <w:div w:id="294151477">
      <w:marLeft w:val="0"/>
      <w:marRight w:val="0"/>
      <w:marTop w:val="0"/>
      <w:marBottom w:val="0"/>
      <w:divBdr>
        <w:top w:val="none" w:sz="0" w:space="0" w:color="auto"/>
        <w:left w:val="none" w:sz="0" w:space="0" w:color="auto"/>
        <w:bottom w:val="none" w:sz="0" w:space="0" w:color="auto"/>
        <w:right w:val="none" w:sz="0" w:space="0" w:color="auto"/>
      </w:divBdr>
    </w:div>
    <w:div w:id="294151482">
      <w:marLeft w:val="0"/>
      <w:marRight w:val="0"/>
      <w:marTop w:val="0"/>
      <w:marBottom w:val="0"/>
      <w:divBdr>
        <w:top w:val="none" w:sz="0" w:space="0" w:color="auto"/>
        <w:left w:val="none" w:sz="0" w:space="0" w:color="auto"/>
        <w:bottom w:val="none" w:sz="0" w:space="0" w:color="auto"/>
        <w:right w:val="none" w:sz="0" w:space="0" w:color="auto"/>
      </w:divBdr>
    </w:div>
    <w:div w:id="294151489">
      <w:marLeft w:val="0"/>
      <w:marRight w:val="0"/>
      <w:marTop w:val="0"/>
      <w:marBottom w:val="0"/>
      <w:divBdr>
        <w:top w:val="none" w:sz="0" w:space="0" w:color="auto"/>
        <w:left w:val="none" w:sz="0" w:space="0" w:color="auto"/>
        <w:bottom w:val="none" w:sz="0" w:space="0" w:color="auto"/>
        <w:right w:val="none" w:sz="0" w:space="0" w:color="auto"/>
      </w:divBdr>
    </w:div>
    <w:div w:id="294151506">
      <w:marLeft w:val="0"/>
      <w:marRight w:val="0"/>
      <w:marTop w:val="0"/>
      <w:marBottom w:val="0"/>
      <w:divBdr>
        <w:top w:val="none" w:sz="0" w:space="0" w:color="auto"/>
        <w:left w:val="none" w:sz="0" w:space="0" w:color="auto"/>
        <w:bottom w:val="none" w:sz="0" w:space="0" w:color="auto"/>
        <w:right w:val="none" w:sz="0" w:space="0" w:color="auto"/>
      </w:divBdr>
    </w:div>
    <w:div w:id="294151555">
      <w:marLeft w:val="0"/>
      <w:marRight w:val="0"/>
      <w:marTop w:val="0"/>
      <w:marBottom w:val="0"/>
      <w:divBdr>
        <w:top w:val="none" w:sz="0" w:space="0" w:color="auto"/>
        <w:left w:val="none" w:sz="0" w:space="0" w:color="auto"/>
        <w:bottom w:val="none" w:sz="0" w:space="0" w:color="auto"/>
        <w:right w:val="none" w:sz="0" w:space="0" w:color="auto"/>
      </w:divBdr>
    </w:div>
    <w:div w:id="294151575">
      <w:marLeft w:val="0"/>
      <w:marRight w:val="0"/>
      <w:marTop w:val="0"/>
      <w:marBottom w:val="0"/>
      <w:divBdr>
        <w:top w:val="none" w:sz="0" w:space="0" w:color="auto"/>
        <w:left w:val="none" w:sz="0" w:space="0" w:color="auto"/>
        <w:bottom w:val="none" w:sz="0" w:space="0" w:color="auto"/>
        <w:right w:val="none" w:sz="0" w:space="0" w:color="auto"/>
      </w:divBdr>
      <w:divsChild>
        <w:div w:id="294138024">
          <w:marLeft w:val="0"/>
          <w:marRight w:val="0"/>
          <w:marTop w:val="0"/>
          <w:marBottom w:val="0"/>
          <w:divBdr>
            <w:top w:val="none" w:sz="0" w:space="0" w:color="auto"/>
            <w:left w:val="none" w:sz="0" w:space="0" w:color="auto"/>
            <w:bottom w:val="none" w:sz="0" w:space="0" w:color="auto"/>
            <w:right w:val="none" w:sz="0" w:space="0" w:color="auto"/>
          </w:divBdr>
        </w:div>
        <w:div w:id="294138215">
          <w:marLeft w:val="0"/>
          <w:marRight w:val="0"/>
          <w:marTop w:val="0"/>
          <w:marBottom w:val="0"/>
          <w:divBdr>
            <w:top w:val="none" w:sz="0" w:space="0" w:color="auto"/>
            <w:left w:val="none" w:sz="0" w:space="0" w:color="auto"/>
            <w:bottom w:val="none" w:sz="0" w:space="0" w:color="auto"/>
            <w:right w:val="none" w:sz="0" w:space="0" w:color="auto"/>
          </w:divBdr>
        </w:div>
        <w:div w:id="294138446">
          <w:marLeft w:val="0"/>
          <w:marRight w:val="0"/>
          <w:marTop w:val="0"/>
          <w:marBottom w:val="0"/>
          <w:divBdr>
            <w:top w:val="none" w:sz="0" w:space="0" w:color="auto"/>
            <w:left w:val="none" w:sz="0" w:space="0" w:color="auto"/>
            <w:bottom w:val="none" w:sz="0" w:space="0" w:color="auto"/>
            <w:right w:val="none" w:sz="0" w:space="0" w:color="auto"/>
          </w:divBdr>
        </w:div>
        <w:div w:id="294139096">
          <w:marLeft w:val="0"/>
          <w:marRight w:val="0"/>
          <w:marTop w:val="0"/>
          <w:marBottom w:val="0"/>
          <w:divBdr>
            <w:top w:val="none" w:sz="0" w:space="0" w:color="auto"/>
            <w:left w:val="none" w:sz="0" w:space="0" w:color="auto"/>
            <w:bottom w:val="none" w:sz="0" w:space="0" w:color="auto"/>
            <w:right w:val="none" w:sz="0" w:space="0" w:color="auto"/>
          </w:divBdr>
        </w:div>
        <w:div w:id="294139106">
          <w:marLeft w:val="0"/>
          <w:marRight w:val="0"/>
          <w:marTop w:val="0"/>
          <w:marBottom w:val="0"/>
          <w:divBdr>
            <w:top w:val="none" w:sz="0" w:space="0" w:color="auto"/>
            <w:left w:val="none" w:sz="0" w:space="0" w:color="auto"/>
            <w:bottom w:val="none" w:sz="0" w:space="0" w:color="auto"/>
            <w:right w:val="none" w:sz="0" w:space="0" w:color="auto"/>
          </w:divBdr>
        </w:div>
        <w:div w:id="294139676">
          <w:marLeft w:val="0"/>
          <w:marRight w:val="0"/>
          <w:marTop w:val="0"/>
          <w:marBottom w:val="0"/>
          <w:divBdr>
            <w:top w:val="none" w:sz="0" w:space="0" w:color="auto"/>
            <w:left w:val="none" w:sz="0" w:space="0" w:color="auto"/>
            <w:bottom w:val="none" w:sz="0" w:space="0" w:color="auto"/>
            <w:right w:val="none" w:sz="0" w:space="0" w:color="auto"/>
          </w:divBdr>
        </w:div>
        <w:div w:id="294139698">
          <w:marLeft w:val="0"/>
          <w:marRight w:val="0"/>
          <w:marTop w:val="0"/>
          <w:marBottom w:val="0"/>
          <w:divBdr>
            <w:top w:val="none" w:sz="0" w:space="0" w:color="auto"/>
            <w:left w:val="none" w:sz="0" w:space="0" w:color="auto"/>
            <w:bottom w:val="none" w:sz="0" w:space="0" w:color="auto"/>
            <w:right w:val="none" w:sz="0" w:space="0" w:color="auto"/>
          </w:divBdr>
        </w:div>
        <w:div w:id="294139886">
          <w:marLeft w:val="0"/>
          <w:marRight w:val="0"/>
          <w:marTop w:val="0"/>
          <w:marBottom w:val="0"/>
          <w:divBdr>
            <w:top w:val="none" w:sz="0" w:space="0" w:color="auto"/>
            <w:left w:val="none" w:sz="0" w:space="0" w:color="auto"/>
            <w:bottom w:val="none" w:sz="0" w:space="0" w:color="auto"/>
            <w:right w:val="none" w:sz="0" w:space="0" w:color="auto"/>
          </w:divBdr>
        </w:div>
        <w:div w:id="294140789">
          <w:marLeft w:val="0"/>
          <w:marRight w:val="0"/>
          <w:marTop w:val="0"/>
          <w:marBottom w:val="0"/>
          <w:divBdr>
            <w:top w:val="none" w:sz="0" w:space="0" w:color="auto"/>
            <w:left w:val="none" w:sz="0" w:space="0" w:color="auto"/>
            <w:bottom w:val="none" w:sz="0" w:space="0" w:color="auto"/>
            <w:right w:val="none" w:sz="0" w:space="0" w:color="auto"/>
          </w:divBdr>
        </w:div>
        <w:div w:id="294140832">
          <w:marLeft w:val="0"/>
          <w:marRight w:val="0"/>
          <w:marTop w:val="0"/>
          <w:marBottom w:val="0"/>
          <w:divBdr>
            <w:top w:val="none" w:sz="0" w:space="0" w:color="auto"/>
            <w:left w:val="none" w:sz="0" w:space="0" w:color="auto"/>
            <w:bottom w:val="none" w:sz="0" w:space="0" w:color="auto"/>
            <w:right w:val="none" w:sz="0" w:space="0" w:color="auto"/>
          </w:divBdr>
        </w:div>
        <w:div w:id="294140938">
          <w:marLeft w:val="0"/>
          <w:marRight w:val="0"/>
          <w:marTop w:val="0"/>
          <w:marBottom w:val="0"/>
          <w:divBdr>
            <w:top w:val="none" w:sz="0" w:space="0" w:color="auto"/>
            <w:left w:val="none" w:sz="0" w:space="0" w:color="auto"/>
            <w:bottom w:val="none" w:sz="0" w:space="0" w:color="auto"/>
            <w:right w:val="none" w:sz="0" w:space="0" w:color="auto"/>
          </w:divBdr>
        </w:div>
        <w:div w:id="294140991">
          <w:marLeft w:val="0"/>
          <w:marRight w:val="0"/>
          <w:marTop w:val="0"/>
          <w:marBottom w:val="0"/>
          <w:divBdr>
            <w:top w:val="none" w:sz="0" w:space="0" w:color="auto"/>
            <w:left w:val="none" w:sz="0" w:space="0" w:color="auto"/>
            <w:bottom w:val="none" w:sz="0" w:space="0" w:color="auto"/>
            <w:right w:val="none" w:sz="0" w:space="0" w:color="auto"/>
          </w:divBdr>
        </w:div>
        <w:div w:id="294141054">
          <w:marLeft w:val="0"/>
          <w:marRight w:val="0"/>
          <w:marTop w:val="0"/>
          <w:marBottom w:val="0"/>
          <w:divBdr>
            <w:top w:val="none" w:sz="0" w:space="0" w:color="auto"/>
            <w:left w:val="none" w:sz="0" w:space="0" w:color="auto"/>
            <w:bottom w:val="none" w:sz="0" w:space="0" w:color="auto"/>
            <w:right w:val="none" w:sz="0" w:space="0" w:color="auto"/>
          </w:divBdr>
        </w:div>
        <w:div w:id="294141191">
          <w:marLeft w:val="0"/>
          <w:marRight w:val="0"/>
          <w:marTop w:val="0"/>
          <w:marBottom w:val="0"/>
          <w:divBdr>
            <w:top w:val="none" w:sz="0" w:space="0" w:color="auto"/>
            <w:left w:val="none" w:sz="0" w:space="0" w:color="auto"/>
            <w:bottom w:val="none" w:sz="0" w:space="0" w:color="auto"/>
            <w:right w:val="none" w:sz="0" w:space="0" w:color="auto"/>
          </w:divBdr>
        </w:div>
        <w:div w:id="294141203">
          <w:marLeft w:val="0"/>
          <w:marRight w:val="0"/>
          <w:marTop w:val="0"/>
          <w:marBottom w:val="0"/>
          <w:divBdr>
            <w:top w:val="none" w:sz="0" w:space="0" w:color="auto"/>
            <w:left w:val="none" w:sz="0" w:space="0" w:color="auto"/>
            <w:bottom w:val="none" w:sz="0" w:space="0" w:color="auto"/>
            <w:right w:val="none" w:sz="0" w:space="0" w:color="auto"/>
          </w:divBdr>
        </w:div>
        <w:div w:id="294141478">
          <w:marLeft w:val="0"/>
          <w:marRight w:val="0"/>
          <w:marTop w:val="0"/>
          <w:marBottom w:val="0"/>
          <w:divBdr>
            <w:top w:val="none" w:sz="0" w:space="0" w:color="auto"/>
            <w:left w:val="none" w:sz="0" w:space="0" w:color="auto"/>
            <w:bottom w:val="none" w:sz="0" w:space="0" w:color="auto"/>
            <w:right w:val="none" w:sz="0" w:space="0" w:color="auto"/>
          </w:divBdr>
        </w:div>
        <w:div w:id="294141487">
          <w:marLeft w:val="0"/>
          <w:marRight w:val="0"/>
          <w:marTop w:val="0"/>
          <w:marBottom w:val="0"/>
          <w:divBdr>
            <w:top w:val="none" w:sz="0" w:space="0" w:color="auto"/>
            <w:left w:val="none" w:sz="0" w:space="0" w:color="auto"/>
            <w:bottom w:val="none" w:sz="0" w:space="0" w:color="auto"/>
            <w:right w:val="none" w:sz="0" w:space="0" w:color="auto"/>
          </w:divBdr>
        </w:div>
        <w:div w:id="294141695">
          <w:marLeft w:val="0"/>
          <w:marRight w:val="0"/>
          <w:marTop w:val="0"/>
          <w:marBottom w:val="0"/>
          <w:divBdr>
            <w:top w:val="none" w:sz="0" w:space="0" w:color="auto"/>
            <w:left w:val="none" w:sz="0" w:space="0" w:color="auto"/>
            <w:bottom w:val="none" w:sz="0" w:space="0" w:color="auto"/>
            <w:right w:val="none" w:sz="0" w:space="0" w:color="auto"/>
          </w:divBdr>
        </w:div>
        <w:div w:id="294141713">
          <w:marLeft w:val="0"/>
          <w:marRight w:val="0"/>
          <w:marTop w:val="0"/>
          <w:marBottom w:val="0"/>
          <w:divBdr>
            <w:top w:val="none" w:sz="0" w:space="0" w:color="auto"/>
            <w:left w:val="none" w:sz="0" w:space="0" w:color="auto"/>
            <w:bottom w:val="none" w:sz="0" w:space="0" w:color="auto"/>
            <w:right w:val="none" w:sz="0" w:space="0" w:color="auto"/>
          </w:divBdr>
        </w:div>
        <w:div w:id="294141990">
          <w:marLeft w:val="0"/>
          <w:marRight w:val="0"/>
          <w:marTop w:val="0"/>
          <w:marBottom w:val="0"/>
          <w:divBdr>
            <w:top w:val="none" w:sz="0" w:space="0" w:color="auto"/>
            <w:left w:val="none" w:sz="0" w:space="0" w:color="auto"/>
            <w:bottom w:val="none" w:sz="0" w:space="0" w:color="auto"/>
            <w:right w:val="none" w:sz="0" w:space="0" w:color="auto"/>
          </w:divBdr>
        </w:div>
        <w:div w:id="294142149">
          <w:marLeft w:val="0"/>
          <w:marRight w:val="0"/>
          <w:marTop w:val="0"/>
          <w:marBottom w:val="0"/>
          <w:divBdr>
            <w:top w:val="none" w:sz="0" w:space="0" w:color="auto"/>
            <w:left w:val="none" w:sz="0" w:space="0" w:color="auto"/>
            <w:bottom w:val="none" w:sz="0" w:space="0" w:color="auto"/>
            <w:right w:val="none" w:sz="0" w:space="0" w:color="auto"/>
          </w:divBdr>
        </w:div>
        <w:div w:id="294142561">
          <w:marLeft w:val="0"/>
          <w:marRight w:val="0"/>
          <w:marTop w:val="0"/>
          <w:marBottom w:val="0"/>
          <w:divBdr>
            <w:top w:val="none" w:sz="0" w:space="0" w:color="auto"/>
            <w:left w:val="none" w:sz="0" w:space="0" w:color="auto"/>
            <w:bottom w:val="none" w:sz="0" w:space="0" w:color="auto"/>
            <w:right w:val="none" w:sz="0" w:space="0" w:color="auto"/>
          </w:divBdr>
        </w:div>
        <w:div w:id="294142567">
          <w:marLeft w:val="0"/>
          <w:marRight w:val="0"/>
          <w:marTop w:val="0"/>
          <w:marBottom w:val="0"/>
          <w:divBdr>
            <w:top w:val="none" w:sz="0" w:space="0" w:color="auto"/>
            <w:left w:val="none" w:sz="0" w:space="0" w:color="auto"/>
            <w:bottom w:val="none" w:sz="0" w:space="0" w:color="auto"/>
            <w:right w:val="none" w:sz="0" w:space="0" w:color="auto"/>
          </w:divBdr>
        </w:div>
        <w:div w:id="294142596">
          <w:marLeft w:val="0"/>
          <w:marRight w:val="0"/>
          <w:marTop w:val="0"/>
          <w:marBottom w:val="0"/>
          <w:divBdr>
            <w:top w:val="none" w:sz="0" w:space="0" w:color="auto"/>
            <w:left w:val="none" w:sz="0" w:space="0" w:color="auto"/>
            <w:bottom w:val="none" w:sz="0" w:space="0" w:color="auto"/>
            <w:right w:val="none" w:sz="0" w:space="0" w:color="auto"/>
          </w:divBdr>
        </w:div>
        <w:div w:id="294142806">
          <w:marLeft w:val="0"/>
          <w:marRight w:val="0"/>
          <w:marTop w:val="0"/>
          <w:marBottom w:val="0"/>
          <w:divBdr>
            <w:top w:val="none" w:sz="0" w:space="0" w:color="auto"/>
            <w:left w:val="none" w:sz="0" w:space="0" w:color="auto"/>
            <w:bottom w:val="none" w:sz="0" w:space="0" w:color="auto"/>
            <w:right w:val="none" w:sz="0" w:space="0" w:color="auto"/>
          </w:divBdr>
        </w:div>
        <w:div w:id="294142848">
          <w:marLeft w:val="0"/>
          <w:marRight w:val="0"/>
          <w:marTop w:val="0"/>
          <w:marBottom w:val="0"/>
          <w:divBdr>
            <w:top w:val="none" w:sz="0" w:space="0" w:color="auto"/>
            <w:left w:val="none" w:sz="0" w:space="0" w:color="auto"/>
            <w:bottom w:val="none" w:sz="0" w:space="0" w:color="auto"/>
            <w:right w:val="none" w:sz="0" w:space="0" w:color="auto"/>
          </w:divBdr>
        </w:div>
        <w:div w:id="294143058">
          <w:marLeft w:val="0"/>
          <w:marRight w:val="0"/>
          <w:marTop w:val="0"/>
          <w:marBottom w:val="0"/>
          <w:divBdr>
            <w:top w:val="none" w:sz="0" w:space="0" w:color="auto"/>
            <w:left w:val="none" w:sz="0" w:space="0" w:color="auto"/>
            <w:bottom w:val="none" w:sz="0" w:space="0" w:color="auto"/>
            <w:right w:val="none" w:sz="0" w:space="0" w:color="auto"/>
          </w:divBdr>
        </w:div>
        <w:div w:id="294143101">
          <w:marLeft w:val="0"/>
          <w:marRight w:val="0"/>
          <w:marTop w:val="0"/>
          <w:marBottom w:val="0"/>
          <w:divBdr>
            <w:top w:val="none" w:sz="0" w:space="0" w:color="auto"/>
            <w:left w:val="none" w:sz="0" w:space="0" w:color="auto"/>
            <w:bottom w:val="none" w:sz="0" w:space="0" w:color="auto"/>
            <w:right w:val="none" w:sz="0" w:space="0" w:color="auto"/>
          </w:divBdr>
        </w:div>
        <w:div w:id="294143475">
          <w:marLeft w:val="0"/>
          <w:marRight w:val="0"/>
          <w:marTop w:val="0"/>
          <w:marBottom w:val="0"/>
          <w:divBdr>
            <w:top w:val="none" w:sz="0" w:space="0" w:color="auto"/>
            <w:left w:val="none" w:sz="0" w:space="0" w:color="auto"/>
            <w:bottom w:val="none" w:sz="0" w:space="0" w:color="auto"/>
            <w:right w:val="none" w:sz="0" w:space="0" w:color="auto"/>
          </w:divBdr>
        </w:div>
        <w:div w:id="294143540">
          <w:marLeft w:val="0"/>
          <w:marRight w:val="0"/>
          <w:marTop w:val="0"/>
          <w:marBottom w:val="0"/>
          <w:divBdr>
            <w:top w:val="none" w:sz="0" w:space="0" w:color="auto"/>
            <w:left w:val="none" w:sz="0" w:space="0" w:color="auto"/>
            <w:bottom w:val="none" w:sz="0" w:space="0" w:color="auto"/>
            <w:right w:val="none" w:sz="0" w:space="0" w:color="auto"/>
          </w:divBdr>
        </w:div>
        <w:div w:id="294143653">
          <w:marLeft w:val="0"/>
          <w:marRight w:val="0"/>
          <w:marTop w:val="0"/>
          <w:marBottom w:val="0"/>
          <w:divBdr>
            <w:top w:val="none" w:sz="0" w:space="0" w:color="auto"/>
            <w:left w:val="none" w:sz="0" w:space="0" w:color="auto"/>
            <w:bottom w:val="none" w:sz="0" w:space="0" w:color="auto"/>
            <w:right w:val="none" w:sz="0" w:space="0" w:color="auto"/>
          </w:divBdr>
        </w:div>
        <w:div w:id="294143693">
          <w:marLeft w:val="0"/>
          <w:marRight w:val="0"/>
          <w:marTop w:val="0"/>
          <w:marBottom w:val="0"/>
          <w:divBdr>
            <w:top w:val="none" w:sz="0" w:space="0" w:color="auto"/>
            <w:left w:val="none" w:sz="0" w:space="0" w:color="auto"/>
            <w:bottom w:val="none" w:sz="0" w:space="0" w:color="auto"/>
            <w:right w:val="none" w:sz="0" w:space="0" w:color="auto"/>
          </w:divBdr>
        </w:div>
        <w:div w:id="294144310">
          <w:marLeft w:val="0"/>
          <w:marRight w:val="0"/>
          <w:marTop w:val="0"/>
          <w:marBottom w:val="0"/>
          <w:divBdr>
            <w:top w:val="none" w:sz="0" w:space="0" w:color="auto"/>
            <w:left w:val="none" w:sz="0" w:space="0" w:color="auto"/>
            <w:bottom w:val="none" w:sz="0" w:space="0" w:color="auto"/>
            <w:right w:val="none" w:sz="0" w:space="0" w:color="auto"/>
          </w:divBdr>
        </w:div>
        <w:div w:id="294144520">
          <w:marLeft w:val="0"/>
          <w:marRight w:val="0"/>
          <w:marTop w:val="0"/>
          <w:marBottom w:val="0"/>
          <w:divBdr>
            <w:top w:val="none" w:sz="0" w:space="0" w:color="auto"/>
            <w:left w:val="none" w:sz="0" w:space="0" w:color="auto"/>
            <w:bottom w:val="none" w:sz="0" w:space="0" w:color="auto"/>
            <w:right w:val="none" w:sz="0" w:space="0" w:color="auto"/>
          </w:divBdr>
        </w:div>
        <w:div w:id="294144674">
          <w:marLeft w:val="0"/>
          <w:marRight w:val="0"/>
          <w:marTop w:val="0"/>
          <w:marBottom w:val="0"/>
          <w:divBdr>
            <w:top w:val="none" w:sz="0" w:space="0" w:color="auto"/>
            <w:left w:val="none" w:sz="0" w:space="0" w:color="auto"/>
            <w:bottom w:val="none" w:sz="0" w:space="0" w:color="auto"/>
            <w:right w:val="none" w:sz="0" w:space="0" w:color="auto"/>
          </w:divBdr>
        </w:div>
        <w:div w:id="294144847">
          <w:marLeft w:val="0"/>
          <w:marRight w:val="0"/>
          <w:marTop w:val="0"/>
          <w:marBottom w:val="0"/>
          <w:divBdr>
            <w:top w:val="none" w:sz="0" w:space="0" w:color="auto"/>
            <w:left w:val="none" w:sz="0" w:space="0" w:color="auto"/>
            <w:bottom w:val="none" w:sz="0" w:space="0" w:color="auto"/>
            <w:right w:val="none" w:sz="0" w:space="0" w:color="auto"/>
          </w:divBdr>
        </w:div>
        <w:div w:id="294145113">
          <w:marLeft w:val="0"/>
          <w:marRight w:val="0"/>
          <w:marTop w:val="0"/>
          <w:marBottom w:val="0"/>
          <w:divBdr>
            <w:top w:val="none" w:sz="0" w:space="0" w:color="auto"/>
            <w:left w:val="none" w:sz="0" w:space="0" w:color="auto"/>
            <w:bottom w:val="none" w:sz="0" w:space="0" w:color="auto"/>
            <w:right w:val="none" w:sz="0" w:space="0" w:color="auto"/>
          </w:divBdr>
        </w:div>
        <w:div w:id="294145205">
          <w:marLeft w:val="0"/>
          <w:marRight w:val="0"/>
          <w:marTop w:val="0"/>
          <w:marBottom w:val="0"/>
          <w:divBdr>
            <w:top w:val="none" w:sz="0" w:space="0" w:color="auto"/>
            <w:left w:val="none" w:sz="0" w:space="0" w:color="auto"/>
            <w:bottom w:val="none" w:sz="0" w:space="0" w:color="auto"/>
            <w:right w:val="none" w:sz="0" w:space="0" w:color="auto"/>
          </w:divBdr>
        </w:div>
        <w:div w:id="294145271">
          <w:marLeft w:val="0"/>
          <w:marRight w:val="0"/>
          <w:marTop w:val="0"/>
          <w:marBottom w:val="0"/>
          <w:divBdr>
            <w:top w:val="none" w:sz="0" w:space="0" w:color="auto"/>
            <w:left w:val="none" w:sz="0" w:space="0" w:color="auto"/>
            <w:bottom w:val="none" w:sz="0" w:space="0" w:color="auto"/>
            <w:right w:val="none" w:sz="0" w:space="0" w:color="auto"/>
          </w:divBdr>
        </w:div>
        <w:div w:id="294145327">
          <w:marLeft w:val="0"/>
          <w:marRight w:val="0"/>
          <w:marTop w:val="0"/>
          <w:marBottom w:val="0"/>
          <w:divBdr>
            <w:top w:val="none" w:sz="0" w:space="0" w:color="auto"/>
            <w:left w:val="none" w:sz="0" w:space="0" w:color="auto"/>
            <w:bottom w:val="none" w:sz="0" w:space="0" w:color="auto"/>
            <w:right w:val="none" w:sz="0" w:space="0" w:color="auto"/>
          </w:divBdr>
        </w:div>
        <w:div w:id="294145702">
          <w:marLeft w:val="0"/>
          <w:marRight w:val="0"/>
          <w:marTop w:val="0"/>
          <w:marBottom w:val="0"/>
          <w:divBdr>
            <w:top w:val="none" w:sz="0" w:space="0" w:color="auto"/>
            <w:left w:val="none" w:sz="0" w:space="0" w:color="auto"/>
            <w:bottom w:val="none" w:sz="0" w:space="0" w:color="auto"/>
            <w:right w:val="none" w:sz="0" w:space="0" w:color="auto"/>
          </w:divBdr>
        </w:div>
        <w:div w:id="294145893">
          <w:marLeft w:val="0"/>
          <w:marRight w:val="0"/>
          <w:marTop w:val="0"/>
          <w:marBottom w:val="0"/>
          <w:divBdr>
            <w:top w:val="none" w:sz="0" w:space="0" w:color="auto"/>
            <w:left w:val="none" w:sz="0" w:space="0" w:color="auto"/>
            <w:bottom w:val="none" w:sz="0" w:space="0" w:color="auto"/>
            <w:right w:val="none" w:sz="0" w:space="0" w:color="auto"/>
          </w:divBdr>
        </w:div>
        <w:div w:id="294145990">
          <w:marLeft w:val="0"/>
          <w:marRight w:val="0"/>
          <w:marTop w:val="0"/>
          <w:marBottom w:val="0"/>
          <w:divBdr>
            <w:top w:val="none" w:sz="0" w:space="0" w:color="auto"/>
            <w:left w:val="none" w:sz="0" w:space="0" w:color="auto"/>
            <w:bottom w:val="none" w:sz="0" w:space="0" w:color="auto"/>
            <w:right w:val="none" w:sz="0" w:space="0" w:color="auto"/>
          </w:divBdr>
        </w:div>
        <w:div w:id="294146103">
          <w:marLeft w:val="0"/>
          <w:marRight w:val="0"/>
          <w:marTop w:val="0"/>
          <w:marBottom w:val="0"/>
          <w:divBdr>
            <w:top w:val="none" w:sz="0" w:space="0" w:color="auto"/>
            <w:left w:val="none" w:sz="0" w:space="0" w:color="auto"/>
            <w:bottom w:val="none" w:sz="0" w:space="0" w:color="auto"/>
            <w:right w:val="none" w:sz="0" w:space="0" w:color="auto"/>
          </w:divBdr>
        </w:div>
        <w:div w:id="294146167">
          <w:marLeft w:val="0"/>
          <w:marRight w:val="0"/>
          <w:marTop w:val="0"/>
          <w:marBottom w:val="0"/>
          <w:divBdr>
            <w:top w:val="none" w:sz="0" w:space="0" w:color="auto"/>
            <w:left w:val="none" w:sz="0" w:space="0" w:color="auto"/>
            <w:bottom w:val="none" w:sz="0" w:space="0" w:color="auto"/>
            <w:right w:val="none" w:sz="0" w:space="0" w:color="auto"/>
          </w:divBdr>
        </w:div>
        <w:div w:id="294146289">
          <w:marLeft w:val="0"/>
          <w:marRight w:val="0"/>
          <w:marTop w:val="0"/>
          <w:marBottom w:val="0"/>
          <w:divBdr>
            <w:top w:val="none" w:sz="0" w:space="0" w:color="auto"/>
            <w:left w:val="none" w:sz="0" w:space="0" w:color="auto"/>
            <w:bottom w:val="none" w:sz="0" w:space="0" w:color="auto"/>
            <w:right w:val="none" w:sz="0" w:space="0" w:color="auto"/>
          </w:divBdr>
        </w:div>
        <w:div w:id="294146765">
          <w:marLeft w:val="0"/>
          <w:marRight w:val="0"/>
          <w:marTop w:val="0"/>
          <w:marBottom w:val="0"/>
          <w:divBdr>
            <w:top w:val="none" w:sz="0" w:space="0" w:color="auto"/>
            <w:left w:val="none" w:sz="0" w:space="0" w:color="auto"/>
            <w:bottom w:val="none" w:sz="0" w:space="0" w:color="auto"/>
            <w:right w:val="none" w:sz="0" w:space="0" w:color="auto"/>
          </w:divBdr>
        </w:div>
        <w:div w:id="294146780">
          <w:marLeft w:val="0"/>
          <w:marRight w:val="0"/>
          <w:marTop w:val="0"/>
          <w:marBottom w:val="0"/>
          <w:divBdr>
            <w:top w:val="none" w:sz="0" w:space="0" w:color="auto"/>
            <w:left w:val="none" w:sz="0" w:space="0" w:color="auto"/>
            <w:bottom w:val="none" w:sz="0" w:space="0" w:color="auto"/>
            <w:right w:val="none" w:sz="0" w:space="0" w:color="auto"/>
          </w:divBdr>
        </w:div>
        <w:div w:id="294146890">
          <w:marLeft w:val="0"/>
          <w:marRight w:val="0"/>
          <w:marTop w:val="0"/>
          <w:marBottom w:val="0"/>
          <w:divBdr>
            <w:top w:val="none" w:sz="0" w:space="0" w:color="auto"/>
            <w:left w:val="none" w:sz="0" w:space="0" w:color="auto"/>
            <w:bottom w:val="none" w:sz="0" w:space="0" w:color="auto"/>
            <w:right w:val="none" w:sz="0" w:space="0" w:color="auto"/>
          </w:divBdr>
        </w:div>
        <w:div w:id="294146996">
          <w:marLeft w:val="0"/>
          <w:marRight w:val="0"/>
          <w:marTop w:val="0"/>
          <w:marBottom w:val="0"/>
          <w:divBdr>
            <w:top w:val="none" w:sz="0" w:space="0" w:color="auto"/>
            <w:left w:val="none" w:sz="0" w:space="0" w:color="auto"/>
            <w:bottom w:val="none" w:sz="0" w:space="0" w:color="auto"/>
            <w:right w:val="none" w:sz="0" w:space="0" w:color="auto"/>
          </w:divBdr>
        </w:div>
        <w:div w:id="294147139">
          <w:marLeft w:val="0"/>
          <w:marRight w:val="0"/>
          <w:marTop w:val="0"/>
          <w:marBottom w:val="0"/>
          <w:divBdr>
            <w:top w:val="none" w:sz="0" w:space="0" w:color="auto"/>
            <w:left w:val="none" w:sz="0" w:space="0" w:color="auto"/>
            <w:bottom w:val="none" w:sz="0" w:space="0" w:color="auto"/>
            <w:right w:val="none" w:sz="0" w:space="0" w:color="auto"/>
          </w:divBdr>
        </w:div>
        <w:div w:id="294147155">
          <w:marLeft w:val="0"/>
          <w:marRight w:val="0"/>
          <w:marTop w:val="0"/>
          <w:marBottom w:val="0"/>
          <w:divBdr>
            <w:top w:val="none" w:sz="0" w:space="0" w:color="auto"/>
            <w:left w:val="none" w:sz="0" w:space="0" w:color="auto"/>
            <w:bottom w:val="none" w:sz="0" w:space="0" w:color="auto"/>
            <w:right w:val="none" w:sz="0" w:space="0" w:color="auto"/>
          </w:divBdr>
        </w:div>
        <w:div w:id="294147195">
          <w:marLeft w:val="0"/>
          <w:marRight w:val="0"/>
          <w:marTop w:val="0"/>
          <w:marBottom w:val="0"/>
          <w:divBdr>
            <w:top w:val="none" w:sz="0" w:space="0" w:color="auto"/>
            <w:left w:val="none" w:sz="0" w:space="0" w:color="auto"/>
            <w:bottom w:val="none" w:sz="0" w:space="0" w:color="auto"/>
            <w:right w:val="none" w:sz="0" w:space="0" w:color="auto"/>
          </w:divBdr>
        </w:div>
        <w:div w:id="294147202">
          <w:marLeft w:val="0"/>
          <w:marRight w:val="0"/>
          <w:marTop w:val="0"/>
          <w:marBottom w:val="0"/>
          <w:divBdr>
            <w:top w:val="none" w:sz="0" w:space="0" w:color="auto"/>
            <w:left w:val="none" w:sz="0" w:space="0" w:color="auto"/>
            <w:bottom w:val="none" w:sz="0" w:space="0" w:color="auto"/>
            <w:right w:val="none" w:sz="0" w:space="0" w:color="auto"/>
          </w:divBdr>
        </w:div>
        <w:div w:id="294147248">
          <w:marLeft w:val="0"/>
          <w:marRight w:val="0"/>
          <w:marTop w:val="0"/>
          <w:marBottom w:val="0"/>
          <w:divBdr>
            <w:top w:val="none" w:sz="0" w:space="0" w:color="auto"/>
            <w:left w:val="none" w:sz="0" w:space="0" w:color="auto"/>
            <w:bottom w:val="none" w:sz="0" w:space="0" w:color="auto"/>
            <w:right w:val="none" w:sz="0" w:space="0" w:color="auto"/>
          </w:divBdr>
        </w:div>
        <w:div w:id="294147451">
          <w:marLeft w:val="0"/>
          <w:marRight w:val="0"/>
          <w:marTop w:val="0"/>
          <w:marBottom w:val="0"/>
          <w:divBdr>
            <w:top w:val="none" w:sz="0" w:space="0" w:color="auto"/>
            <w:left w:val="none" w:sz="0" w:space="0" w:color="auto"/>
            <w:bottom w:val="none" w:sz="0" w:space="0" w:color="auto"/>
            <w:right w:val="none" w:sz="0" w:space="0" w:color="auto"/>
          </w:divBdr>
        </w:div>
        <w:div w:id="294147455">
          <w:marLeft w:val="0"/>
          <w:marRight w:val="0"/>
          <w:marTop w:val="0"/>
          <w:marBottom w:val="0"/>
          <w:divBdr>
            <w:top w:val="none" w:sz="0" w:space="0" w:color="auto"/>
            <w:left w:val="none" w:sz="0" w:space="0" w:color="auto"/>
            <w:bottom w:val="none" w:sz="0" w:space="0" w:color="auto"/>
            <w:right w:val="none" w:sz="0" w:space="0" w:color="auto"/>
          </w:divBdr>
        </w:div>
        <w:div w:id="294147566">
          <w:marLeft w:val="0"/>
          <w:marRight w:val="0"/>
          <w:marTop w:val="0"/>
          <w:marBottom w:val="0"/>
          <w:divBdr>
            <w:top w:val="none" w:sz="0" w:space="0" w:color="auto"/>
            <w:left w:val="none" w:sz="0" w:space="0" w:color="auto"/>
            <w:bottom w:val="none" w:sz="0" w:space="0" w:color="auto"/>
            <w:right w:val="none" w:sz="0" w:space="0" w:color="auto"/>
          </w:divBdr>
        </w:div>
        <w:div w:id="294147627">
          <w:marLeft w:val="0"/>
          <w:marRight w:val="0"/>
          <w:marTop w:val="0"/>
          <w:marBottom w:val="0"/>
          <w:divBdr>
            <w:top w:val="none" w:sz="0" w:space="0" w:color="auto"/>
            <w:left w:val="none" w:sz="0" w:space="0" w:color="auto"/>
            <w:bottom w:val="none" w:sz="0" w:space="0" w:color="auto"/>
            <w:right w:val="none" w:sz="0" w:space="0" w:color="auto"/>
          </w:divBdr>
        </w:div>
        <w:div w:id="294147727">
          <w:marLeft w:val="0"/>
          <w:marRight w:val="0"/>
          <w:marTop w:val="0"/>
          <w:marBottom w:val="0"/>
          <w:divBdr>
            <w:top w:val="none" w:sz="0" w:space="0" w:color="auto"/>
            <w:left w:val="none" w:sz="0" w:space="0" w:color="auto"/>
            <w:bottom w:val="none" w:sz="0" w:space="0" w:color="auto"/>
            <w:right w:val="none" w:sz="0" w:space="0" w:color="auto"/>
          </w:divBdr>
        </w:div>
        <w:div w:id="294147875">
          <w:marLeft w:val="0"/>
          <w:marRight w:val="0"/>
          <w:marTop w:val="0"/>
          <w:marBottom w:val="0"/>
          <w:divBdr>
            <w:top w:val="none" w:sz="0" w:space="0" w:color="auto"/>
            <w:left w:val="none" w:sz="0" w:space="0" w:color="auto"/>
            <w:bottom w:val="none" w:sz="0" w:space="0" w:color="auto"/>
            <w:right w:val="none" w:sz="0" w:space="0" w:color="auto"/>
          </w:divBdr>
        </w:div>
        <w:div w:id="294147960">
          <w:marLeft w:val="0"/>
          <w:marRight w:val="0"/>
          <w:marTop w:val="0"/>
          <w:marBottom w:val="0"/>
          <w:divBdr>
            <w:top w:val="none" w:sz="0" w:space="0" w:color="auto"/>
            <w:left w:val="none" w:sz="0" w:space="0" w:color="auto"/>
            <w:bottom w:val="none" w:sz="0" w:space="0" w:color="auto"/>
            <w:right w:val="none" w:sz="0" w:space="0" w:color="auto"/>
          </w:divBdr>
        </w:div>
        <w:div w:id="294148010">
          <w:marLeft w:val="0"/>
          <w:marRight w:val="0"/>
          <w:marTop w:val="0"/>
          <w:marBottom w:val="0"/>
          <w:divBdr>
            <w:top w:val="none" w:sz="0" w:space="0" w:color="auto"/>
            <w:left w:val="none" w:sz="0" w:space="0" w:color="auto"/>
            <w:bottom w:val="none" w:sz="0" w:space="0" w:color="auto"/>
            <w:right w:val="none" w:sz="0" w:space="0" w:color="auto"/>
          </w:divBdr>
        </w:div>
        <w:div w:id="294148098">
          <w:marLeft w:val="0"/>
          <w:marRight w:val="0"/>
          <w:marTop w:val="0"/>
          <w:marBottom w:val="0"/>
          <w:divBdr>
            <w:top w:val="none" w:sz="0" w:space="0" w:color="auto"/>
            <w:left w:val="none" w:sz="0" w:space="0" w:color="auto"/>
            <w:bottom w:val="none" w:sz="0" w:space="0" w:color="auto"/>
            <w:right w:val="none" w:sz="0" w:space="0" w:color="auto"/>
          </w:divBdr>
        </w:div>
        <w:div w:id="294148423">
          <w:marLeft w:val="0"/>
          <w:marRight w:val="0"/>
          <w:marTop w:val="0"/>
          <w:marBottom w:val="0"/>
          <w:divBdr>
            <w:top w:val="none" w:sz="0" w:space="0" w:color="auto"/>
            <w:left w:val="none" w:sz="0" w:space="0" w:color="auto"/>
            <w:bottom w:val="none" w:sz="0" w:space="0" w:color="auto"/>
            <w:right w:val="none" w:sz="0" w:space="0" w:color="auto"/>
          </w:divBdr>
        </w:div>
        <w:div w:id="294148430">
          <w:marLeft w:val="0"/>
          <w:marRight w:val="0"/>
          <w:marTop w:val="0"/>
          <w:marBottom w:val="0"/>
          <w:divBdr>
            <w:top w:val="none" w:sz="0" w:space="0" w:color="auto"/>
            <w:left w:val="none" w:sz="0" w:space="0" w:color="auto"/>
            <w:bottom w:val="none" w:sz="0" w:space="0" w:color="auto"/>
            <w:right w:val="none" w:sz="0" w:space="0" w:color="auto"/>
          </w:divBdr>
        </w:div>
        <w:div w:id="294148473">
          <w:marLeft w:val="0"/>
          <w:marRight w:val="0"/>
          <w:marTop w:val="0"/>
          <w:marBottom w:val="0"/>
          <w:divBdr>
            <w:top w:val="none" w:sz="0" w:space="0" w:color="auto"/>
            <w:left w:val="none" w:sz="0" w:space="0" w:color="auto"/>
            <w:bottom w:val="none" w:sz="0" w:space="0" w:color="auto"/>
            <w:right w:val="none" w:sz="0" w:space="0" w:color="auto"/>
          </w:divBdr>
        </w:div>
        <w:div w:id="294148948">
          <w:marLeft w:val="0"/>
          <w:marRight w:val="0"/>
          <w:marTop w:val="0"/>
          <w:marBottom w:val="0"/>
          <w:divBdr>
            <w:top w:val="none" w:sz="0" w:space="0" w:color="auto"/>
            <w:left w:val="none" w:sz="0" w:space="0" w:color="auto"/>
            <w:bottom w:val="none" w:sz="0" w:space="0" w:color="auto"/>
            <w:right w:val="none" w:sz="0" w:space="0" w:color="auto"/>
          </w:divBdr>
        </w:div>
        <w:div w:id="294148996">
          <w:marLeft w:val="0"/>
          <w:marRight w:val="0"/>
          <w:marTop w:val="0"/>
          <w:marBottom w:val="0"/>
          <w:divBdr>
            <w:top w:val="none" w:sz="0" w:space="0" w:color="auto"/>
            <w:left w:val="none" w:sz="0" w:space="0" w:color="auto"/>
            <w:bottom w:val="none" w:sz="0" w:space="0" w:color="auto"/>
            <w:right w:val="none" w:sz="0" w:space="0" w:color="auto"/>
          </w:divBdr>
        </w:div>
        <w:div w:id="294149291">
          <w:marLeft w:val="0"/>
          <w:marRight w:val="0"/>
          <w:marTop w:val="0"/>
          <w:marBottom w:val="0"/>
          <w:divBdr>
            <w:top w:val="none" w:sz="0" w:space="0" w:color="auto"/>
            <w:left w:val="none" w:sz="0" w:space="0" w:color="auto"/>
            <w:bottom w:val="none" w:sz="0" w:space="0" w:color="auto"/>
            <w:right w:val="none" w:sz="0" w:space="0" w:color="auto"/>
          </w:divBdr>
        </w:div>
        <w:div w:id="294149369">
          <w:marLeft w:val="0"/>
          <w:marRight w:val="0"/>
          <w:marTop w:val="0"/>
          <w:marBottom w:val="0"/>
          <w:divBdr>
            <w:top w:val="none" w:sz="0" w:space="0" w:color="auto"/>
            <w:left w:val="none" w:sz="0" w:space="0" w:color="auto"/>
            <w:bottom w:val="none" w:sz="0" w:space="0" w:color="auto"/>
            <w:right w:val="none" w:sz="0" w:space="0" w:color="auto"/>
          </w:divBdr>
        </w:div>
        <w:div w:id="294149452">
          <w:marLeft w:val="0"/>
          <w:marRight w:val="0"/>
          <w:marTop w:val="0"/>
          <w:marBottom w:val="0"/>
          <w:divBdr>
            <w:top w:val="none" w:sz="0" w:space="0" w:color="auto"/>
            <w:left w:val="none" w:sz="0" w:space="0" w:color="auto"/>
            <w:bottom w:val="none" w:sz="0" w:space="0" w:color="auto"/>
            <w:right w:val="none" w:sz="0" w:space="0" w:color="auto"/>
          </w:divBdr>
        </w:div>
        <w:div w:id="294149801">
          <w:marLeft w:val="0"/>
          <w:marRight w:val="0"/>
          <w:marTop w:val="0"/>
          <w:marBottom w:val="0"/>
          <w:divBdr>
            <w:top w:val="none" w:sz="0" w:space="0" w:color="auto"/>
            <w:left w:val="none" w:sz="0" w:space="0" w:color="auto"/>
            <w:bottom w:val="none" w:sz="0" w:space="0" w:color="auto"/>
            <w:right w:val="none" w:sz="0" w:space="0" w:color="auto"/>
          </w:divBdr>
        </w:div>
        <w:div w:id="294149943">
          <w:marLeft w:val="0"/>
          <w:marRight w:val="0"/>
          <w:marTop w:val="0"/>
          <w:marBottom w:val="0"/>
          <w:divBdr>
            <w:top w:val="none" w:sz="0" w:space="0" w:color="auto"/>
            <w:left w:val="none" w:sz="0" w:space="0" w:color="auto"/>
            <w:bottom w:val="none" w:sz="0" w:space="0" w:color="auto"/>
            <w:right w:val="none" w:sz="0" w:space="0" w:color="auto"/>
          </w:divBdr>
        </w:div>
        <w:div w:id="294150018">
          <w:marLeft w:val="0"/>
          <w:marRight w:val="0"/>
          <w:marTop w:val="0"/>
          <w:marBottom w:val="0"/>
          <w:divBdr>
            <w:top w:val="none" w:sz="0" w:space="0" w:color="auto"/>
            <w:left w:val="none" w:sz="0" w:space="0" w:color="auto"/>
            <w:bottom w:val="none" w:sz="0" w:space="0" w:color="auto"/>
            <w:right w:val="none" w:sz="0" w:space="0" w:color="auto"/>
          </w:divBdr>
        </w:div>
        <w:div w:id="294150058">
          <w:marLeft w:val="0"/>
          <w:marRight w:val="0"/>
          <w:marTop w:val="0"/>
          <w:marBottom w:val="0"/>
          <w:divBdr>
            <w:top w:val="none" w:sz="0" w:space="0" w:color="auto"/>
            <w:left w:val="none" w:sz="0" w:space="0" w:color="auto"/>
            <w:bottom w:val="none" w:sz="0" w:space="0" w:color="auto"/>
            <w:right w:val="none" w:sz="0" w:space="0" w:color="auto"/>
          </w:divBdr>
        </w:div>
        <w:div w:id="294150168">
          <w:marLeft w:val="0"/>
          <w:marRight w:val="0"/>
          <w:marTop w:val="0"/>
          <w:marBottom w:val="0"/>
          <w:divBdr>
            <w:top w:val="none" w:sz="0" w:space="0" w:color="auto"/>
            <w:left w:val="none" w:sz="0" w:space="0" w:color="auto"/>
            <w:bottom w:val="none" w:sz="0" w:space="0" w:color="auto"/>
            <w:right w:val="none" w:sz="0" w:space="0" w:color="auto"/>
          </w:divBdr>
        </w:div>
        <w:div w:id="294150316">
          <w:marLeft w:val="0"/>
          <w:marRight w:val="0"/>
          <w:marTop w:val="0"/>
          <w:marBottom w:val="0"/>
          <w:divBdr>
            <w:top w:val="none" w:sz="0" w:space="0" w:color="auto"/>
            <w:left w:val="none" w:sz="0" w:space="0" w:color="auto"/>
            <w:bottom w:val="none" w:sz="0" w:space="0" w:color="auto"/>
            <w:right w:val="none" w:sz="0" w:space="0" w:color="auto"/>
          </w:divBdr>
        </w:div>
        <w:div w:id="294150347">
          <w:marLeft w:val="0"/>
          <w:marRight w:val="0"/>
          <w:marTop w:val="0"/>
          <w:marBottom w:val="0"/>
          <w:divBdr>
            <w:top w:val="none" w:sz="0" w:space="0" w:color="auto"/>
            <w:left w:val="none" w:sz="0" w:space="0" w:color="auto"/>
            <w:bottom w:val="none" w:sz="0" w:space="0" w:color="auto"/>
            <w:right w:val="none" w:sz="0" w:space="0" w:color="auto"/>
          </w:divBdr>
        </w:div>
        <w:div w:id="294150419">
          <w:marLeft w:val="0"/>
          <w:marRight w:val="0"/>
          <w:marTop w:val="0"/>
          <w:marBottom w:val="0"/>
          <w:divBdr>
            <w:top w:val="none" w:sz="0" w:space="0" w:color="auto"/>
            <w:left w:val="none" w:sz="0" w:space="0" w:color="auto"/>
            <w:bottom w:val="none" w:sz="0" w:space="0" w:color="auto"/>
            <w:right w:val="none" w:sz="0" w:space="0" w:color="auto"/>
          </w:divBdr>
        </w:div>
        <w:div w:id="294150465">
          <w:marLeft w:val="0"/>
          <w:marRight w:val="0"/>
          <w:marTop w:val="0"/>
          <w:marBottom w:val="0"/>
          <w:divBdr>
            <w:top w:val="none" w:sz="0" w:space="0" w:color="auto"/>
            <w:left w:val="none" w:sz="0" w:space="0" w:color="auto"/>
            <w:bottom w:val="none" w:sz="0" w:space="0" w:color="auto"/>
            <w:right w:val="none" w:sz="0" w:space="0" w:color="auto"/>
          </w:divBdr>
        </w:div>
        <w:div w:id="294150567">
          <w:marLeft w:val="0"/>
          <w:marRight w:val="0"/>
          <w:marTop w:val="0"/>
          <w:marBottom w:val="0"/>
          <w:divBdr>
            <w:top w:val="none" w:sz="0" w:space="0" w:color="auto"/>
            <w:left w:val="none" w:sz="0" w:space="0" w:color="auto"/>
            <w:bottom w:val="none" w:sz="0" w:space="0" w:color="auto"/>
            <w:right w:val="none" w:sz="0" w:space="0" w:color="auto"/>
          </w:divBdr>
        </w:div>
        <w:div w:id="294150620">
          <w:marLeft w:val="0"/>
          <w:marRight w:val="0"/>
          <w:marTop w:val="0"/>
          <w:marBottom w:val="0"/>
          <w:divBdr>
            <w:top w:val="none" w:sz="0" w:space="0" w:color="auto"/>
            <w:left w:val="none" w:sz="0" w:space="0" w:color="auto"/>
            <w:bottom w:val="none" w:sz="0" w:space="0" w:color="auto"/>
            <w:right w:val="none" w:sz="0" w:space="0" w:color="auto"/>
          </w:divBdr>
        </w:div>
        <w:div w:id="294150698">
          <w:marLeft w:val="0"/>
          <w:marRight w:val="0"/>
          <w:marTop w:val="0"/>
          <w:marBottom w:val="0"/>
          <w:divBdr>
            <w:top w:val="none" w:sz="0" w:space="0" w:color="auto"/>
            <w:left w:val="none" w:sz="0" w:space="0" w:color="auto"/>
            <w:bottom w:val="none" w:sz="0" w:space="0" w:color="auto"/>
            <w:right w:val="none" w:sz="0" w:space="0" w:color="auto"/>
          </w:divBdr>
        </w:div>
        <w:div w:id="294150791">
          <w:marLeft w:val="0"/>
          <w:marRight w:val="0"/>
          <w:marTop w:val="0"/>
          <w:marBottom w:val="0"/>
          <w:divBdr>
            <w:top w:val="none" w:sz="0" w:space="0" w:color="auto"/>
            <w:left w:val="none" w:sz="0" w:space="0" w:color="auto"/>
            <w:bottom w:val="none" w:sz="0" w:space="0" w:color="auto"/>
            <w:right w:val="none" w:sz="0" w:space="0" w:color="auto"/>
          </w:divBdr>
        </w:div>
        <w:div w:id="294150870">
          <w:marLeft w:val="0"/>
          <w:marRight w:val="0"/>
          <w:marTop w:val="0"/>
          <w:marBottom w:val="0"/>
          <w:divBdr>
            <w:top w:val="none" w:sz="0" w:space="0" w:color="auto"/>
            <w:left w:val="none" w:sz="0" w:space="0" w:color="auto"/>
            <w:bottom w:val="none" w:sz="0" w:space="0" w:color="auto"/>
            <w:right w:val="none" w:sz="0" w:space="0" w:color="auto"/>
          </w:divBdr>
        </w:div>
        <w:div w:id="294150922">
          <w:marLeft w:val="0"/>
          <w:marRight w:val="0"/>
          <w:marTop w:val="0"/>
          <w:marBottom w:val="0"/>
          <w:divBdr>
            <w:top w:val="none" w:sz="0" w:space="0" w:color="auto"/>
            <w:left w:val="none" w:sz="0" w:space="0" w:color="auto"/>
            <w:bottom w:val="none" w:sz="0" w:space="0" w:color="auto"/>
            <w:right w:val="none" w:sz="0" w:space="0" w:color="auto"/>
          </w:divBdr>
        </w:div>
        <w:div w:id="294151774">
          <w:marLeft w:val="0"/>
          <w:marRight w:val="0"/>
          <w:marTop w:val="0"/>
          <w:marBottom w:val="0"/>
          <w:divBdr>
            <w:top w:val="none" w:sz="0" w:space="0" w:color="auto"/>
            <w:left w:val="none" w:sz="0" w:space="0" w:color="auto"/>
            <w:bottom w:val="none" w:sz="0" w:space="0" w:color="auto"/>
            <w:right w:val="none" w:sz="0" w:space="0" w:color="auto"/>
          </w:divBdr>
        </w:div>
        <w:div w:id="294151804">
          <w:marLeft w:val="0"/>
          <w:marRight w:val="0"/>
          <w:marTop w:val="0"/>
          <w:marBottom w:val="0"/>
          <w:divBdr>
            <w:top w:val="none" w:sz="0" w:space="0" w:color="auto"/>
            <w:left w:val="none" w:sz="0" w:space="0" w:color="auto"/>
            <w:bottom w:val="none" w:sz="0" w:space="0" w:color="auto"/>
            <w:right w:val="none" w:sz="0" w:space="0" w:color="auto"/>
          </w:divBdr>
        </w:div>
        <w:div w:id="294151842">
          <w:marLeft w:val="0"/>
          <w:marRight w:val="0"/>
          <w:marTop w:val="0"/>
          <w:marBottom w:val="0"/>
          <w:divBdr>
            <w:top w:val="none" w:sz="0" w:space="0" w:color="auto"/>
            <w:left w:val="none" w:sz="0" w:space="0" w:color="auto"/>
            <w:bottom w:val="none" w:sz="0" w:space="0" w:color="auto"/>
            <w:right w:val="none" w:sz="0" w:space="0" w:color="auto"/>
          </w:divBdr>
        </w:div>
        <w:div w:id="294151849">
          <w:marLeft w:val="0"/>
          <w:marRight w:val="0"/>
          <w:marTop w:val="0"/>
          <w:marBottom w:val="0"/>
          <w:divBdr>
            <w:top w:val="none" w:sz="0" w:space="0" w:color="auto"/>
            <w:left w:val="none" w:sz="0" w:space="0" w:color="auto"/>
            <w:bottom w:val="none" w:sz="0" w:space="0" w:color="auto"/>
            <w:right w:val="none" w:sz="0" w:space="0" w:color="auto"/>
          </w:divBdr>
        </w:div>
        <w:div w:id="294152030">
          <w:marLeft w:val="0"/>
          <w:marRight w:val="0"/>
          <w:marTop w:val="0"/>
          <w:marBottom w:val="0"/>
          <w:divBdr>
            <w:top w:val="none" w:sz="0" w:space="0" w:color="auto"/>
            <w:left w:val="none" w:sz="0" w:space="0" w:color="auto"/>
            <w:bottom w:val="none" w:sz="0" w:space="0" w:color="auto"/>
            <w:right w:val="none" w:sz="0" w:space="0" w:color="auto"/>
          </w:divBdr>
        </w:div>
        <w:div w:id="294152405">
          <w:marLeft w:val="0"/>
          <w:marRight w:val="0"/>
          <w:marTop w:val="0"/>
          <w:marBottom w:val="0"/>
          <w:divBdr>
            <w:top w:val="none" w:sz="0" w:space="0" w:color="auto"/>
            <w:left w:val="none" w:sz="0" w:space="0" w:color="auto"/>
            <w:bottom w:val="none" w:sz="0" w:space="0" w:color="auto"/>
            <w:right w:val="none" w:sz="0" w:space="0" w:color="auto"/>
          </w:divBdr>
        </w:div>
        <w:div w:id="294152411">
          <w:marLeft w:val="0"/>
          <w:marRight w:val="0"/>
          <w:marTop w:val="0"/>
          <w:marBottom w:val="0"/>
          <w:divBdr>
            <w:top w:val="none" w:sz="0" w:space="0" w:color="auto"/>
            <w:left w:val="none" w:sz="0" w:space="0" w:color="auto"/>
            <w:bottom w:val="none" w:sz="0" w:space="0" w:color="auto"/>
            <w:right w:val="none" w:sz="0" w:space="0" w:color="auto"/>
          </w:divBdr>
        </w:div>
        <w:div w:id="294152638">
          <w:marLeft w:val="0"/>
          <w:marRight w:val="0"/>
          <w:marTop w:val="0"/>
          <w:marBottom w:val="0"/>
          <w:divBdr>
            <w:top w:val="none" w:sz="0" w:space="0" w:color="auto"/>
            <w:left w:val="none" w:sz="0" w:space="0" w:color="auto"/>
            <w:bottom w:val="none" w:sz="0" w:space="0" w:color="auto"/>
            <w:right w:val="none" w:sz="0" w:space="0" w:color="auto"/>
          </w:divBdr>
        </w:div>
        <w:div w:id="294152854">
          <w:marLeft w:val="0"/>
          <w:marRight w:val="0"/>
          <w:marTop w:val="0"/>
          <w:marBottom w:val="0"/>
          <w:divBdr>
            <w:top w:val="none" w:sz="0" w:space="0" w:color="auto"/>
            <w:left w:val="none" w:sz="0" w:space="0" w:color="auto"/>
            <w:bottom w:val="none" w:sz="0" w:space="0" w:color="auto"/>
            <w:right w:val="none" w:sz="0" w:space="0" w:color="auto"/>
          </w:divBdr>
        </w:div>
        <w:div w:id="294153112">
          <w:marLeft w:val="0"/>
          <w:marRight w:val="0"/>
          <w:marTop w:val="0"/>
          <w:marBottom w:val="0"/>
          <w:divBdr>
            <w:top w:val="none" w:sz="0" w:space="0" w:color="auto"/>
            <w:left w:val="none" w:sz="0" w:space="0" w:color="auto"/>
            <w:bottom w:val="none" w:sz="0" w:space="0" w:color="auto"/>
            <w:right w:val="none" w:sz="0" w:space="0" w:color="auto"/>
          </w:divBdr>
        </w:div>
        <w:div w:id="294153155">
          <w:marLeft w:val="0"/>
          <w:marRight w:val="0"/>
          <w:marTop w:val="0"/>
          <w:marBottom w:val="0"/>
          <w:divBdr>
            <w:top w:val="none" w:sz="0" w:space="0" w:color="auto"/>
            <w:left w:val="none" w:sz="0" w:space="0" w:color="auto"/>
            <w:bottom w:val="none" w:sz="0" w:space="0" w:color="auto"/>
            <w:right w:val="none" w:sz="0" w:space="0" w:color="auto"/>
          </w:divBdr>
        </w:div>
        <w:div w:id="294153189">
          <w:marLeft w:val="0"/>
          <w:marRight w:val="0"/>
          <w:marTop w:val="0"/>
          <w:marBottom w:val="0"/>
          <w:divBdr>
            <w:top w:val="none" w:sz="0" w:space="0" w:color="auto"/>
            <w:left w:val="none" w:sz="0" w:space="0" w:color="auto"/>
            <w:bottom w:val="none" w:sz="0" w:space="0" w:color="auto"/>
            <w:right w:val="none" w:sz="0" w:space="0" w:color="auto"/>
          </w:divBdr>
        </w:div>
        <w:div w:id="294153316">
          <w:marLeft w:val="0"/>
          <w:marRight w:val="0"/>
          <w:marTop w:val="0"/>
          <w:marBottom w:val="0"/>
          <w:divBdr>
            <w:top w:val="none" w:sz="0" w:space="0" w:color="auto"/>
            <w:left w:val="none" w:sz="0" w:space="0" w:color="auto"/>
            <w:bottom w:val="none" w:sz="0" w:space="0" w:color="auto"/>
            <w:right w:val="none" w:sz="0" w:space="0" w:color="auto"/>
          </w:divBdr>
        </w:div>
        <w:div w:id="294153336">
          <w:marLeft w:val="0"/>
          <w:marRight w:val="0"/>
          <w:marTop w:val="0"/>
          <w:marBottom w:val="0"/>
          <w:divBdr>
            <w:top w:val="none" w:sz="0" w:space="0" w:color="auto"/>
            <w:left w:val="none" w:sz="0" w:space="0" w:color="auto"/>
            <w:bottom w:val="none" w:sz="0" w:space="0" w:color="auto"/>
            <w:right w:val="none" w:sz="0" w:space="0" w:color="auto"/>
          </w:divBdr>
        </w:div>
        <w:div w:id="294153633">
          <w:marLeft w:val="0"/>
          <w:marRight w:val="0"/>
          <w:marTop w:val="0"/>
          <w:marBottom w:val="0"/>
          <w:divBdr>
            <w:top w:val="none" w:sz="0" w:space="0" w:color="auto"/>
            <w:left w:val="none" w:sz="0" w:space="0" w:color="auto"/>
            <w:bottom w:val="none" w:sz="0" w:space="0" w:color="auto"/>
            <w:right w:val="none" w:sz="0" w:space="0" w:color="auto"/>
          </w:divBdr>
        </w:div>
        <w:div w:id="294154162">
          <w:marLeft w:val="0"/>
          <w:marRight w:val="0"/>
          <w:marTop w:val="0"/>
          <w:marBottom w:val="0"/>
          <w:divBdr>
            <w:top w:val="none" w:sz="0" w:space="0" w:color="auto"/>
            <w:left w:val="none" w:sz="0" w:space="0" w:color="auto"/>
            <w:bottom w:val="none" w:sz="0" w:space="0" w:color="auto"/>
            <w:right w:val="none" w:sz="0" w:space="0" w:color="auto"/>
          </w:divBdr>
        </w:div>
        <w:div w:id="294154166">
          <w:marLeft w:val="0"/>
          <w:marRight w:val="0"/>
          <w:marTop w:val="0"/>
          <w:marBottom w:val="0"/>
          <w:divBdr>
            <w:top w:val="none" w:sz="0" w:space="0" w:color="auto"/>
            <w:left w:val="none" w:sz="0" w:space="0" w:color="auto"/>
            <w:bottom w:val="none" w:sz="0" w:space="0" w:color="auto"/>
            <w:right w:val="none" w:sz="0" w:space="0" w:color="auto"/>
          </w:divBdr>
        </w:div>
        <w:div w:id="294154290">
          <w:marLeft w:val="0"/>
          <w:marRight w:val="0"/>
          <w:marTop w:val="0"/>
          <w:marBottom w:val="0"/>
          <w:divBdr>
            <w:top w:val="none" w:sz="0" w:space="0" w:color="auto"/>
            <w:left w:val="none" w:sz="0" w:space="0" w:color="auto"/>
            <w:bottom w:val="none" w:sz="0" w:space="0" w:color="auto"/>
            <w:right w:val="none" w:sz="0" w:space="0" w:color="auto"/>
          </w:divBdr>
        </w:div>
        <w:div w:id="294154496">
          <w:marLeft w:val="0"/>
          <w:marRight w:val="0"/>
          <w:marTop w:val="0"/>
          <w:marBottom w:val="0"/>
          <w:divBdr>
            <w:top w:val="none" w:sz="0" w:space="0" w:color="auto"/>
            <w:left w:val="none" w:sz="0" w:space="0" w:color="auto"/>
            <w:bottom w:val="none" w:sz="0" w:space="0" w:color="auto"/>
            <w:right w:val="none" w:sz="0" w:space="0" w:color="auto"/>
          </w:divBdr>
        </w:div>
        <w:div w:id="294154497">
          <w:marLeft w:val="0"/>
          <w:marRight w:val="0"/>
          <w:marTop w:val="0"/>
          <w:marBottom w:val="0"/>
          <w:divBdr>
            <w:top w:val="none" w:sz="0" w:space="0" w:color="auto"/>
            <w:left w:val="none" w:sz="0" w:space="0" w:color="auto"/>
            <w:bottom w:val="none" w:sz="0" w:space="0" w:color="auto"/>
            <w:right w:val="none" w:sz="0" w:space="0" w:color="auto"/>
          </w:divBdr>
        </w:div>
        <w:div w:id="294154915">
          <w:marLeft w:val="0"/>
          <w:marRight w:val="0"/>
          <w:marTop w:val="0"/>
          <w:marBottom w:val="0"/>
          <w:divBdr>
            <w:top w:val="none" w:sz="0" w:space="0" w:color="auto"/>
            <w:left w:val="none" w:sz="0" w:space="0" w:color="auto"/>
            <w:bottom w:val="none" w:sz="0" w:space="0" w:color="auto"/>
            <w:right w:val="none" w:sz="0" w:space="0" w:color="auto"/>
          </w:divBdr>
        </w:div>
        <w:div w:id="294154945">
          <w:marLeft w:val="0"/>
          <w:marRight w:val="0"/>
          <w:marTop w:val="0"/>
          <w:marBottom w:val="0"/>
          <w:divBdr>
            <w:top w:val="none" w:sz="0" w:space="0" w:color="auto"/>
            <w:left w:val="none" w:sz="0" w:space="0" w:color="auto"/>
            <w:bottom w:val="none" w:sz="0" w:space="0" w:color="auto"/>
            <w:right w:val="none" w:sz="0" w:space="0" w:color="auto"/>
          </w:divBdr>
        </w:div>
        <w:div w:id="294154991">
          <w:marLeft w:val="0"/>
          <w:marRight w:val="0"/>
          <w:marTop w:val="0"/>
          <w:marBottom w:val="0"/>
          <w:divBdr>
            <w:top w:val="none" w:sz="0" w:space="0" w:color="auto"/>
            <w:left w:val="none" w:sz="0" w:space="0" w:color="auto"/>
            <w:bottom w:val="none" w:sz="0" w:space="0" w:color="auto"/>
            <w:right w:val="none" w:sz="0" w:space="0" w:color="auto"/>
          </w:divBdr>
        </w:div>
        <w:div w:id="294155195">
          <w:marLeft w:val="0"/>
          <w:marRight w:val="0"/>
          <w:marTop w:val="0"/>
          <w:marBottom w:val="0"/>
          <w:divBdr>
            <w:top w:val="none" w:sz="0" w:space="0" w:color="auto"/>
            <w:left w:val="none" w:sz="0" w:space="0" w:color="auto"/>
            <w:bottom w:val="none" w:sz="0" w:space="0" w:color="auto"/>
            <w:right w:val="none" w:sz="0" w:space="0" w:color="auto"/>
          </w:divBdr>
        </w:div>
        <w:div w:id="294155427">
          <w:marLeft w:val="0"/>
          <w:marRight w:val="0"/>
          <w:marTop w:val="0"/>
          <w:marBottom w:val="0"/>
          <w:divBdr>
            <w:top w:val="none" w:sz="0" w:space="0" w:color="auto"/>
            <w:left w:val="none" w:sz="0" w:space="0" w:color="auto"/>
            <w:bottom w:val="none" w:sz="0" w:space="0" w:color="auto"/>
            <w:right w:val="none" w:sz="0" w:space="0" w:color="auto"/>
          </w:divBdr>
        </w:div>
        <w:div w:id="294155449">
          <w:marLeft w:val="0"/>
          <w:marRight w:val="0"/>
          <w:marTop w:val="0"/>
          <w:marBottom w:val="0"/>
          <w:divBdr>
            <w:top w:val="none" w:sz="0" w:space="0" w:color="auto"/>
            <w:left w:val="none" w:sz="0" w:space="0" w:color="auto"/>
            <w:bottom w:val="none" w:sz="0" w:space="0" w:color="auto"/>
            <w:right w:val="none" w:sz="0" w:space="0" w:color="auto"/>
          </w:divBdr>
        </w:div>
        <w:div w:id="294156026">
          <w:marLeft w:val="0"/>
          <w:marRight w:val="0"/>
          <w:marTop w:val="0"/>
          <w:marBottom w:val="0"/>
          <w:divBdr>
            <w:top w:val="none" w:sz="0" w:space="0" w:color="auto"/>
            <w:left w:val="none" w:sz="0" w:space="0" w:color="auto"/>
            <w:bottom w:val="none" w:sz="0" w:space="0" w:color="auto"/>
            <w:right w:val="none" w:sz="0" w:space="0" w:color="auto"/>
          </w:divBdr>
        </w:div>
        <w:div w:id="294156201">
          <w:marLeft w:val="0"/>
          <w:marRight w:val="0"/>
          <w:marTop w:val="0"/>
          <w:marBottom w:val="0"/>
          <w:divBdr>
            <w:top w:val="none" w:sz="0" w:space="0" w:color="auto"/>
            <w:left w:val="none" w:sz="0" w:space="0" w:color="auto"/>
            <w:bottom w:val="none" w:sz="0" w:space="0" w:color="auto"/>
            <w:right w:val="none" w:sz="0" w:space="0" w:color="auto"/>
          </w:divBdr>
        </w:div>
        <w:div w:id="294156561">
          <w:marLeft w:val="0"/>
          <w:marRight w:val="0"/>
          <w:marTop w:val="0"/>
          <w:marBottom w:val="0"/>
          <w:divBdr>
            <w:top w:val="none" w:sz="0" w:space="0" w:color="auto"/>
            <w:left w:val="none" w:sz="0" w:space="0" w:color="auto"/>
            <w:bottom w:val="none" w:sz="0" w:space="0" w:color="auto"/>
            <w:right w:val="none" w:sz="0" w:space="0" w:color="auto"/>
          </w:divBdr>
        </w:div>
        <w:div w:id="294156613">
          <w:marLeft w:val="0"/>
          <w:marRight w:val="0"/>
          <w:marTop w:val="0"/>
          <w:marBottom w:val="0"/>
          <w:divBdr>
            <w:top w:val="none" w:sz="0" w:space="0" w:color="auto"/>
            <w:left w:val="none" w:sz="0" w:space="0" w:color="auto"/>
            <w:bottom w:val="none" w:sz="0" w:space="0" w:color="auto"/>
            <w:right w:val="none" w:sz="0" w:space="0" w:color="auto"/>
          </w:divBdr>
        </w:div>
        <w:div w:id="294156632">
          <w:marLeft w:val="0"/>
          <w:marRight w:val="0"/>
          <w:marTop w:val="0"/>
          <w:marBottom w:val="0"/>
          <w:divBdr>
            <w:top w:val="none" w:sz="0" w:space="0" w:color="auto"/>
            <w:left w:val="none" w:sz="0" w:space="0" w:color="auto"/>
            <w:bottom w:val="none" w:sz="0" w:space="0" w:color="auto"/>
            <w:right w:val="none" w:sz="0" w:space="0" w:color="auto"/>
          </w:divBdr>
        </w:div>
        <w:div w:id="294156678">
          <w:marLeft w:val="0"/>
          <w:marRight w:val="0"/>
          <w:marTop w:val="0"/>
          <w:marBottom w:val="0"/>
          <w:divBdr>
            <w:top w:val="none" w:sz="0" w:space="0" w:color="auto"/>
            <w:left w:val="none" w:sz="0" w:space="0" w:color="auto"/>
            <w:bottom w:val="none" w:sz="0" w:space="0" w:color="auto"/>
            <w:right w:val="none" w:sz="0" w:space="0" w:color="auto"/>
          </w:divBdr>
        </w:div>
        <w:div w:id="294157087">
          <w:marLeft w:val="0"/>
          <w:marRight w:val="0"/>
          <w:marTop w:val="0"/>
          <w:marBottom w:val="0"/>
          <w:divBdr>
            <w:top w:val="none" w:sz="0" w:space="0" w:color="auto"/>
            <w:left w:val="none" w:sz="0" w:space="0" w:color="auto"/>
            <w:bottom w:val="none" w:sz="0" w:space="0" w:color="auto"/>
            <w:right w:val="none" w:sz="0" w:space="0" w:color="auto"/>
          </w:divBdr>
        </w:div>
        <w:div w:id="294157256">
          <w:marLeft w:val="0"/>
          <w:marRight w:val="0"/>
          <w:marTop w:val="0"/>
          <w:marBottom w:val="0"/>
          <w:divBdr>
            <w:top w:val="none" w:sz="0" w:space="0" w:color="auto"/>
            <w:left w:val="none" w:sz="0" w:space="0" w:color="auto"/>
            <w:bottom w:val="none" w:sz="0" w:space="0" w:color="auto"/>
            <w:right w:val="none" w:sz="0" w:space="0" w:color="auto"/>
          </w:divBdr>
        </w:div>
        <w:div w:id="294157418">
          <w:marLeft w:val="0"/>
          <w:marRight w:val="0"/>
          <w:marTop w:val="0"/>
          <w:marBottom w:val="0"/>
          <w:divBdr>
            <w:top w:val="none" w:sz="0" w:space="0" w:color="auto"/>
            <w:left w:val="none" w:sz="0" w:space="0" w:color="auto"/>
            <w:bottom w:val="none" w:sz="0" w:space="0" w:color="auto"/>
            <w:right w:val="none" w:sz="0" w:space="0" w:color="auto"/>
          </w:divBdr>
        </w:div>
        <w:div w:id="294157425">
          <w:marLeft w:val="0"/>
          <w:marRight w:val="0"/>
          <w:marTop w:val="0"/>
          <w:marBottom w:val="0"/>
          <w:divBdr>
            <w:top w:val="none" w:sz="0" w:space="0" w:color="auto"/>
            <w:left w:val="none" w:sz="0" w:space="0" w:color="auto"/>
            <w:bottom w:val="none" w:sz="0" w:space="0" w:color="auto"/>
            <w:right w:val="none" w:sz="0" w:space="0" w:color="auto"/>
          </w:divBdr>
        </w:div>
      </w:divsChild>
    </w:div>
    <w:div w:id="294151646">
      <w:marLeft w:val="0"/>
      <w:marRight w:val="0"/>
      <w:marTop w:val="0"/>
      <w:marBottom w:val="0"/>
      <w:divBdr>
        <w:top w:val="none" w:sz="0" w:space="0" w:color="auto"/>
        <w:left w:val="none" w:sz="0" w:space="0" w:color="auto"/>
        <w:bottom w:val="none" w:sz="0" w:space="0" w:color="auto"/>
        <w:right w:val="none" w:sz="0" w:space="0" w:color="auto"/>
      </w:divBdr>
    </w:div>
    <w:div w:id="294151649">
      <w:marLeft w:val="0"/>
      <w:marRight w:val="0"/>
      <w:marTop w:val="0"/>
      <w:marBottom w:val="0"/>
      <w:divBdr>
        <w:top w:val="none" w:sz="0" w:space="0" w:color="auto"/>
        <w:left w:val="none" w:sz="0" w:space="0" w:color="auto"/>
        <w:bottom w:val="none" w:sz="0" w:space="0" w:color="auto"/>
        <w:right w:val="none" w:sz="0" w:space="0" w:color="auto"/>
      </w:divBdr>
    </w:div>
    <w:div w:id="294151657">
      <w:marLeft w:val="0"/>
      <w:marRight w:val="0"/>
      <w:marTop w:val="0"/>
      <w:marBottom w:val="0"/>
      <w:divBdr>
        <w:top w:val="none" w:sz="0" w:space="0" w:color="auto"/>
        <w:left w:val="none" w:sz="0" w:space="0" w:color="auto"/>
        <w:bottom w:val="none" w:sz="0" w:space="0" w:color="auto"/>
        <w:right w:val="none" w:sz="0" w:space="0" w:color="auto"/>
      </w:divBdr>
      <w:divsChild>
        <w:div w:id="294140473">
          <w:marLeft w:val="0"/>
          <w:marRight w:val="0"/>
          <w:marTop w:val="0"/>
          <w:marBottom w:val="0"/>
          <w:divBdr>
            <w:top w:val="none" w:sz="0" w:space="0" w:color="auto"/>
            <w:left w:val="none" w:sz="0" w:space="0" w:color="auto"/>
            <w:bottom w:val="none" w:sz="0" w:space="0" w:color="auto"/>
            <w:right w:val="none" w:sz="0" w:space="0" w:color="auto"/>
          </w:divBdr>
          <w:divsChild>
            <w:div w:id="294140404">
              <w:marLeft w:val="0"/>
              <w:marRight w:val="0"/>
              <w:marTop w:val="0"/>
              <w:marBottom w:val="0"/>
              <w:divBdr>
                <w:top w:val="none" w:sz="0" w:space="0" w:color="auto"/>
                <w:left w:val="none" w:sz="0" w:space="0" w:color="auto"/>
                <w:bottom w:val="none" w:sz="0" w:space="0" w:color="auto"/>
                <w:right w:val="none" w:sz="0" w:space="0" w:color="auto"/>
              </w:divBdr>
              <w:divsChild>
                <w:div w:id="29415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3083">
          <w:marLeft w:val="0"/>
          <w:marRight w:val="0"/>
          <w:marTop w:val="0"/>
          <w:marBottom w:val="0"/>
          <w:divBdr>
            <w:top w:val="none" w:sz="0" w:space="0" w:color="auto"/>
            <w:left w:val="none" w:sz="0" w:space="0" w:color="auto"/>
            <w:bottom w:val="none" w:sz="0" w:space="0" w:color="auto"/>
            <w:right w:val="none" w:sz="0" w:space="0" w:color="auto"/>
          </w:divBdr>
          <w:divsChild>
            <w:div w:id="294153445">
              <w:marLeft w:val="0"/>
              <w:marRight w:val="0"/>
              <w:marTop w:val="0"/>
              <w:marBottom w:val="0"/>
              <w:divBdr>
                <w:top w:val="none" w:sz="0" w:space="0" w:color="auto"/>
                <w:left w:val="none" w:sz="0" w:space="0" w:color="auto"/>
                <w:bottom w:val="none" w:sz="0" w:space="0" w:color="auto"/>
                <w:right w:val="none" w:sz="0" w:space="0" w:color="auto"/>
              </w:divBdr>
              <w:divsChild>
                <w:div w:id="294138043">
                  <w:marLeft w:val="0"/>
                  <w:marRight w:val="0"/>
                  <w:marTop w:val="0"/>
                  <w:marBottom w:val="0"/>
                  <w:divBdr>
                    <w:top w:val="none" w:sz="0" w:space="0" w:color="auto"/>
                    <w:left w:val="none" w:sz="0" w:space="0" w:color="auto"/>
                    <w:bottom w:val="none" w:sz="0" w:space="0" w:color="auto"/>
                    <w:right w:val="none" w:sz="0" w:space="0" w:color="auto"/>
                  </w:divBdr>
                </w:div>
                <w:div w:id="294138106">
                  <w:marLeft w:val="0"/>
                  <w:marRight w:val="0"/>
                  <w:marTop w:val="0"/>
                  <w:marBottom w:val="0"/>
                  <w:divBdr>
                    <w:top w:val="none" w:sz="0" w:space="0" w:color="auto"/>
                    <w:left w:val="none" w:sz="0" w:space="0" w:color="auto"/>
                    <w:bottom w:val="none" w:sz="0" w:space="0" w:color="auto"/>
                    <w:right w:val="none" w:sz="0" w:space="0" w:color="auto"/>
                  </w:divBdr>
                </w:div>
                <w:div w:id="294138307">
                  <w:marLeft w:val="0"/>
                  <w:marRight w:val="0"/>
                  <w:marTop w:val="0"/>
                  <w:marBottom w:val="0"/>
                  <w:divBdr>
                    <w:top w:val="none" w:sz="0" w:space="0" w:color="auto"/>
                    <w:left w:val="none" w:sz="0" w:space="0" w:color="auto"/>
                    <w:bottom w:val="none" w:sz="0" w:space="0" w:color="auto"/>
                    <w:right w:val="none" w:sz="0" w:space="0" w:color="auto"/>
                  </w:divBdr>
                </w:div>
                <w:div w:id="294138373">
                  <w:marLeft w:val="0"/>
                  <w:marRight w:val="0"/>
                  <w:marTop w:val="0"/>
                  <w:marBottom w:val="0"/>
                  <w:divBdr>
                    <w:top w:val="none" w:sz="0" w:space="0" w:color="auto"/>
                    <w:left w:val="none" w:sz="0" w:space="0" w:color="auto"/>
                    <w:bottom w:val="none" w:sz="0" w:space="0" w:color="auto"/>
                    <w:right w:val="none" w:sz="0" w:space="0" w:color="auto"/>
                  </w:divBdr>
                </w:div>
                <w:div w:id="294138424">
                  <w:marLeft w:val="0"/>
                  <w:marRight w:val="0"/>
                  <w:marTop w:val="0"/>
                  <w:marBottom w:val="0"/>
                  <w:divBdr>
                    <w:top w:val="none" w:sz="0" w:space="0" w:color="auto"/>
                    <w:left w:val="none" w:sz="0" w:space="0" w:color="auto"/>
                    <w:bottom w:val="none" w:sz="0" w:space="0" w:color="auto"/>
                    <w:right w:val="none" w:sz="0" w:space="0" w:color="auto"/>
                  </w:divBdr>
                </w:div>
                <w:div w:id="294138516">
                  <w:marLeft w:val="0"/>
                  <w:marRight w:val="0"/>
                  <w:marTop w:val="0"/>
                  <w:marBottom w:val="0"/>
                  <w:divBdr>
                    <w:top w:val="none" w:sz="0" w:space="0" w:color="auto"/>
                    <w:left w:val="none" w:sz="0" w:space="0" w:color="auto"/>
                    <w:bottom w:val="none" w:sz="0" w:space="0" w:color="auto"/>
                    <w:right w:val="none" w:sz="0" w:space="0" w:color="auto"/>
                  </w:divBdr>
                </w:div>
                <w:div w:id="294138628">
                  <w:marLeft w:val="0"/>
                  <w:marRight w:val="0"/>
                  <w:marTop w:val="0"/>
                  <w:marBottom w:val="0"/>
                  <w:divBdr>
                    <w:top w:val="none" w:sz="0" w:space="0" w:color="auto"/>
                    <w:left w:val="none" w:sz="0" w:space="0" w:color="auto"/>
                    <w:bottom w:val="none" w:sz="0" w:space="0" w:color="auto"/>
                    <w:right w:val="none" w:sz="0" w:space="0" w:color="auto"/>
                  </w:divBdr>
                </w:div>
                <w:div w:id="294138677">
                  <w:marLeft w:val="0"/>
                  <w:marRight w:val="0"/>
                  <w:marTop w:val="0"/>
                  <w:marBottom w:val="0"/>
                  <w:divBdr>
                    <w:top w:val="none" w:sz="0" w:space="0" w:color="auto"/>
                    <w:left w:val="none" w:sz="0" w:space="0" w:color="auto"/>
                    <w:bottom w:val="none" w:sz="0" w:space="0" w:color="auto"/>
                    <w:right w:val="none" w:sz="0" w:space="0" w:color="auto"/>
                  </w:divBdr>
                </w:div>
                <w:div w:id="294139188">
                  <w:marLeft w:val="0"/>
                  <w:marRight w:val="0"/>
                  <w:marTop w:val="0"/>
                  <w:marBottom w:val="0"/>
                  <w:divBdr>
                    <w:top w:val="none" w:sz="0" w:space="0" w:color="auto"/>
                    <w:left w:val="none" w:sz="0" w:space="0" w:color="auto"/>
                    <w:bottom w:val="none" w:sz="0" w:space="0" w:color="auto"/>
                    <w:right w:val="none" w:sz="0" w:space="0" w:color="auto"/>
                  </w:divBdr>
                </w:div>
                <w:div w:id="294139317">
                  <w:marLeft w:val="0"/>
                  <w:marRight w:val="0"/>
                  <w:marTop w:val="0"/>
                  <w:marBottom w:val="0"/>
                  <w:divBdr>
                    <w:top w:val="none" w:sz="0" w:space="0" w:color="auto"/>
                    <w:left w:val="none" w:sz="0" w:space="0" w:color="auto"/>
                    <w:bottom w:val="none" w:sz="0" w:space="0" w:color="auto"/>
                    <w:right w:val="none" w:sz="0" w:space="0" w:color="auto"/>
                  </w:divBdr>
                </w:div>
                <w:div w:id="294139344">
                  <w:marLeft w:val="0"/>
                  <w:marRight w:val="0"/>
                  <w:marTop w:val="0"/>
                  <w:marBottom w:val="0"/>
                  <w:divBdr>
                    <w:top w:val="none" w:sz="0" w:space="0" w:color="auto"/>
                    <w:left w:val="none" w:sz="0" w:space="0" w:color="auto"/>
                    <w:bottom w:val="none" w:sz="0" w:space="0" w:color="auto"/>
                    <w:right w:val="none" w:sz="0" w:space="0" w:color="auto"/>
                  </w:divBdr>
                </w:div>
                <w:div w:id="294139480">
                  <w:marLeft w:val="0"/>
                  <w:marRight w:val="0"/>
                  <w:marTop w:val="0"/>
                  <w:marBottom w:val="0"/>
                  <w:divBdr>
                    <w:top w:val="none" w:sz="0" w:space="0" w:color="auto"/>
                    <w:left w:val="none" w:sz="0" w:space="0" w:color="auto"/>
                    <w:bottom w:val="none" w:sz="0" w:space="0" w:color="auto"/>
                    <w:right w:val="none" w:sz="0" w:space="0" w:color="auto"/>
                  </w:divBdr>
                </w:div>
                <w:div w:id="294140021">
                  <w:marLeft w:val="0"/>
                  <w:marRight w:val="0"/>
                  <w:marTop w:val="0"/>
                  <w:marBottom w:val="0"/>
                  <w:divBdr>
                    <w:top w:val="none" w:sz="0" w:space="0" w:color="auto"/>
                    <w:left w:val="none" w:sz="0" w:space="0" w:color="auto"/>
                    <w:bottom w:val="none" w:sz="0" w:space="0" w:color="auto"/>
                    <w:right w:val="none" w:sz="0" w:space="0" w:color="auto"/>
                  </w:divBdr>
                </w:div>
                <w:div w:id="294140034">
                  <w:marLeft w:val="0"/>
                  <w:marRight w:val="0"/>
                  <w:marTop w:val="0"/>
                  <w:marBottom w:val="0"/>
                  <w:divBdr>
                    <w:top w:val="none" w:sz="0" w:space="0" w:color="auto"/>
                    <w:left w:val="none" w:sz="0" w:space="0" w:color="auto"/>
                    <w:bottom w:val="none" w:sz="0" w:space="0" w:color="auto"/>
                    <w:right w:val="none" w:sz="0" w:space="0" w:color="auto"/>
                  </w:divBdr>
                </w:div>
                <w:div w:id="294140041">
                  <w:marLeft w:val="0"/>
                  <w:marRight w:val="0"/>
                  <w:marTop w:val="0"/>
                  <w:marBottom w:val="0"/>
                  <w:divBdr>
                    <w:top w:val="none" w:sz="0" w:space="0" w:color="auto"/>
                    <w:left w:val="none" w:sz="0" w:space="0" w:color="auto"/>
                    <w:bottom w:val="none" w:sz="0" w:space="0" w:color="auto"/>
                    <w:right w:val="none" w:sz="0" w:space="0" w:color="auto"/>
                  </w:divBdr>
                </w:div>
                <w:div w:id="294140588">
                  <w:marLeft w:val="0"/>
                  <w:marRight w:val="0"/>
                  <w:marTop w:val="0"/>
                  <w:marBottom w:val="0"/>
                  <w:divBdr>
                    <w:top w:val="none" w:sz="0" w:space="0" w:color="auto"/>
                    <w:left w:val="none" w:sz="0" w:space="0" w:color="auto"/>
                    <w:bottom w:val="none" w:sz="0" w:space="0" w:color="auto"/>
                    <w:right w:val="none" w:sz="0" w:space="0" w:color="auto"/>
                  </w:divBdr>
                </w:div>
                <w:div w:id="294140597">
                  <w:marLeft w:val="0"/>
                  <w:marRight w:val="0"/>
                  <w:marTop w:val="0"/>
                  <w:marBottom w:val="0"/>
                  <w:divBdr>
                    <w:top w:val="none" w:sz="0" w:space="0" w:color="auto"/>
                    <w:left w:val="none" w:sz="0" w:space="0" w:color="auto"/>
                    <w:bottom w:val="none" w:sz="0" w:space="0" w:color="auto"/>
                    <w:right w:val="none" w:sz="0" w:space="0" w:color="auto"/>
                  </w:divBdr>
                </w:div>
                <w:div w:id="294140719">
                  <w:marLeft w:val="0"/>
                  <w:marRight w:val="0"/>
                  <w:marTop w:val="0"/>
                  <w:marBottom w:val="0"/>
                  <w:divBdr>
                    <w:top w:val="none" w:sz="0" w:space="0" w:color="auto"/>
                    <w:left w:val="none" w:sz="0" w:space="0" w:color="auto"/>
                    <w:bottom w:val="none" w:sz="0" w:space="0" w:color="auto"/>
                    <w:right w:val="none" w:sz="0" w:space="0" w:color="auto"/>
                  </w:divBdr>
                </w:div>
                <w:div w:id="294140787">
                  <w:marLeft w:val="0"/>
                  <w:marRight w:val="0"/>
                  <w:marTop w:val="0"/>
                  <w:marBottom w:val="0"/>
                  <w:divBdr>
                    <w:top w:val="none" w:sz="0" w:space="0" w:color="auto"/>
                    <w:left w:val="none" w:sz="0" w:space="0" w:color="auto"/>
                    <w:bottom w:val="none" w:sz="0" w:space="0" w:color="auto"/>
                    <w:right w:val="none" w:sz="0" w:space="0" w:color="auto"/>
                  </w:divBdr>
                </w:div>
                <w:div w:id="294141156">
                  <w:marLeft w:val="0"/>
                  <w:marRight w:val="0"/>
                  <w:marTop w:val="0"/>
                  <w:marBottom w:val="0"/>
                  <w:divBdr>
                    <w:top w:val="none" w:sz="0" w:space="0" w:color="auto"/>
                    <w:left w:val="none" w:sz="0" w:space="0" w:color="auto"/>
                    <w:bottom w:val="none" w:sz="0" w:space="0" w:color="auto"/>
                    <w:right w:val="none" w:sz="0" w:space="0" w:color="auto"/>
                  </w:divBdr>
                </w:div>
                <w:div w:id="294141165">
                  <w:marLeft w:val="0"/>
                  <w:marRight w:val="0"/>
                  <w:marTop w:val="0"/>
                  <w:marBottom w:val="0"/>
                  <w:divBdr>
                    <w:top w:val="none" w:sz="0" w:space="0" w:color="auto"/>
                    <w:left w:val="none" w:sz="0" w:space="0" w:color="auto"/>
                    <w:bottom w:val="none" w:sz="0" w:space="0" w:color="auto"/>
                    <w:right w:val="none" w:sz="0" w:space="0" w:color="auto"/>
                  </w:divBdr>
                </w:div>
                <w:div w:id="294141297">
                  <w:marLeft w:val="0"/>
                  <w:marRight w:val="0"/>
                  <w:marTop w:val="0"/>
                  <w:marBottom w:val="0"/>
                  <w:divBdr>
                    <w:top w:val="none" w:sz="0" w:space="0" w:color="auto"/>
                    <w:left w:val="none" w:sz="0" w:space="0" w:color="auto"/>
                    <w:bottom w:val="none" w:sz="0" w:space="0" w:color="auto"/>
                    <w:right w:val="none" w:sz="0" w:space="0" w:color="auto"/>
                  </w:divBdr>
                </w:div>
                <w:div w:id="294141350">
                  <w:marLeft w:val="0"/>
                  <w:marRight w:val="0"/>
                  <w:marTop w:val="0"/>
                  <w:marBottom w:val="0"/>
                  <w:divBdr>
                    <w:top w:val="none" w:sz="0" w:space="0" w:color="auto"/>
                    <w:left w:val="none" w:sz="0" w:space="0" w:color="auto"/>
                    <w:bottom w:val="none" w:sz="0" w:space="0" w:color="auto"/>
                    <w:right w:val="none" w:sz="0" w:space="0" w:color="auto"/>
                  </w:divBdr>
                </w:div>
                <w:div w:id="294141369">
                  <w:marLeft w:val="0"/>
                  <w:marRight w:val="0"/>
                  <w:marTop w:val="0"/>
                  <w:marBottom w:val="0"/>
                  <w:divBdr>
                    <w:top w:val="none" w:sz="0" w:space="0" w:color="auto"/>
                    <w:left w:val="none" w:sz="0" w:space="0" w:color="auto"/>
                    <w:bottom w:val="none" w:sz="0" w:space="0" w:color="auto"/>
                    <w:right w:val="none" w:sz="0" w:space="0" w:color="auto"/>
                  </w:divBdr>
                </w:div>
                <w:div w:id="294141779">
                  <w:marLeft w:val="0"/>
                  <w:marRight w:val="0"/>
                  <w:marTop w:val="0"/>
                  <w:marBottom w:val="0"/>
                  <w:divBdr>
                    <w:top w:val="none" w:sz="0" w:space="0" w:color="auto"/>
                    <w:left w:val="none" w:sz="0" w:space="0" w:color="auto"/>
                    <w:bottom w:val="none" w:sz="0" w:space="0" w:color="auto"/>
                    <w:right w:val="none" w:sz="0" w:space="0" w:color="auto"/>
                  </w:divBdr>
                </w:div>
                <w:div w:id="294141800">
                  <w:marLeft w:val="0"/>
                  <w:marRight w:val="0"/>
                  <w:marTop w:val="0"/>
                  <w:marBottom w:val="0"/>
                  <w:divBdr>
                    <w:top w:val="none" w:sz="0" w:space="0" w:color="auto"/>
                    <w:left w:val="none" w:sz="0" w:space="0" w:color="auto"/>
                    <w:bottom w:val="none" w:sz="0" w:space="0" w:color="auto"/>
                    <w:right w:val="none" w:sz="0" w:space="0" w:color="auto"/>
                  </w:divBdr>
                </w:div>
                <w:div w:id="294142163">
                  <w:marLeft w:val="0"/>
                  <w:marRight w:val="0"/>
                  <w:marTop w:val="0"/>
                  <w:marBottom w:val="0"/>
                  <w:divBdr>
                    <w:top w:val="none" w:sz="0" w:space="0" w:color="auto"/>
                    <w:left w:val="none" w:sz="0" w:space="0" w:color="auto"/>
                    <w:bottom w:val="none" w:sz="0" w:space="0" w:color="auto"/>
                    <w:right w:val="none" w:sz="0" w:space="0" w:color="auto"/>
                  </w:divBdr>
                </w:div>
                <w:div w:id="294142268">
                  <w:marLeft w:val="0"/>
                  <w:marRight w:val="0"/>
                  <w:marTop w:val="0"/>
                  <w:marBottom w:val="0"/>
                  <w:divBdr>
                    <w:top w:val="none" w:sz="0" w:space="0" w:color="auto"/>
                    <w:left w:val="none" w:sz="0" w:space="0" w:color="auto"/>
                    <w:bottom w:val="none" w:sz="0" w:space="0" w:color="auto"/>
                    <w:right w:val="none" w:sz="0" w:space="0" w:color="auto"/>
                  </w:divBdr>
                </w:div>
                <w:div w:id="294142270">
                  <w:marLeft w:val="0"/>
                  <w:marRight w:val="0"/>
                  <w:marTop w:val="0"/>
                  <w:marBottom w:val="0"/>
                  <w:divBdr>
                    <w:top w:val="none" w:sz="0" w:space="0" w:color="auto"/>
                    <w:left w:val="none" w:sz="0" w:space="0" w:color="auto"/>
                    <w:bottom w:val="none" w:sz="0" w:space="0" w:color="auto"/>
                    <w:right w:val="none" w:sz="0" w:space="0" w:color="auto"/>
                  </w:divBdr>
                </w:div>
                <w:div w:id="294142370">
                  <w:marLeft w:val="0"/>
                  <w:marRight w:val="0"/>
                  <w:marTop w:val="0"/>
                  <w:marBottom w:val="0"/>
                  <w:divBdr>
                    <w:top w:val="none" w:sz="0" w:space="0" w:color="auto"/>
                    <w:left w:val="none" w:sz="0" w:space="0" w:color="auto"/>
                    <w:bottom w:val="none" w:sz="0" w:space="0" w:color="auto"/>
                    <w:right w:val="none" w:sz="0" w:space="0" w:color="auto"/>
                  </w:divBdr>
                </w:div>
                <w:div w:id="294142493">
                  <w:marLeft w:val="0"/>
                  <w:marRight w:val="0"/>
                  <w:marTop w:val="0"/>
                  <w:marBottom w:val="0"/>
                  <w:divBdr>
                    <w:top w:val="none" w:sz="0" w:space="0" w:color="auto"/>
                    <w:left w:val="none" w:sz="0" w:space="0" w:color="auto"/>
                    <w:bottom w:val="none" w:sz="0" w:space="0" w:color="auto"/>
                    <w:right w:val="none" w:sz="0" w:space="0" w:color="auto"/>
                  </w:divBdr>
                </w:div>
                <w:div w:id="294142604">
                  <w:marLeft w:val="0"/>
                  <w:marRight w:val="0"/>
                  <w:marTop w:val="0"/>
                  <w:marBottom w:val="0"/>
                  <w:divBdr>
                    <w:top w:val="none" w:sz="0" w:space="0" w:color="auto"/>
                    <w:left w:val="none" w:sz="0" w:space="0" w:color="auto"/>
                    <w:bottom w:val="none" w:sz="0" w:space="0" w:color="auto"/>
                    <w:right w:val="none" w:sz="0" w:space="0" w:color="auto"/>
                  </w:divBdr>
                </w:div>
                <w:div w:id="294142847">
                  <w:marLeft w:val="0"/>
                  <w:marRight w:val="0"/>
                  <w:marTop w:val="0"/>
                  <w:marBottom w:val="0"/>
                  <w:divBdr>
                    <w:top w:val="none" w:sz="0" w:space="0" w:color="auto"/>
                    <w:left w:val="none" w:sz="0" w:space="0" w:color="auto"/>
                    <w:bottom w:val="none" w:sz="0" w:space="0" w:color="auto"/>
                    <w:right w:val="none" w:sz="0" w:space="0" w:color="auto"/>
                  </w:divBdr>
                </w:div>
                <w:div w:id="294142896">
                  <w:marLeft w:val="0"/>
                  <w:marRight w:val="0"/>
                  <w:marTop w:val="0"/>
                  <w:marBottom w:val="0"/>
                  <w:divBdr>
                    <w:top w:val="none" w:sz="0" w:space="0" w:color="auto"/>
                    <w:left w:val="none" w:sz="0" w:space="0" w:color="auto"/>
                    <w:bottom w:val="none" w:sz="0" w:space="0" w:color="auto"/>
                    <w:right w:val="none" w:sz="0" w:space="0" w:color="auto"/>
                  </w:divBdr>
                </w:div>
                <w:div w:id="294143105">
                  <w:marLeft w:val="0"/>
                  <w:marRight w:val="0"/>
                  <w:marTop w:val="0"/>
                  <w:marBottom w:val="0"/>
                  <w:divBdr>
                    <w:top w:val="none" w:sz="0" w:space="0" w:color="auto"/>
                    <w:left w:val="none" w:sz="0" w:space="0" w:color="auto"/>
                    <w:bottom w:val="none" w:sz="0" w:space="0" w:color="auto"/>
                    <w:right w:val="none" w:sz="0" w:space="0" w:color="auto"/>
                  </w:divBdr>
                </w:div>
                <w:div w:id="294143121">
                  <w:marLeft w:val="0"/>
                  <w:marRight w:val="0"/>
                  <w:marTop w:val="0"/>
                  <w:marBottom w:val="0"/>
                  <w:divBdr>
                    <w:top w:val="none" w:sz="0" w:space="0" w:color="auto"/>
                    <w:left w:val="none" w:sz="0" w:space="0" w:color="auto"/>
                    <w:bottom w:val="none" w:sz="0" w:space="0" w:color="auto"/>
                    <w:right w:val="none" w:sz="0" w:space="0" w:color="auto"/>
                  </w:divBdr>
                </w:div>
                <w:div w:id="294143232">
                  <w:marLeft w:val="0"/>
                  <w:marRight w:val="0"/>
                  <w:marTop w:val="0"/>
                  <w:marBottom w:val="0"/>
                  <w:divBdr>
                    <w:top w:val="none" w:sz="0" w:space="0" w:color="auto"/>
                    <w:left w:val="none" w:sz="0" w:space="0" w:color="auto"/>
                    <w:bottom w:val="none" w:sz="0" w:space="0" w:color="auto"/>
                    <w:right w:val="none" w:sz="0" w:space="0" w:color="auto"/>
                  </w:divBdr>
                </w:div>
                <w:div w:id="294143247">
                  <w:marLeft w:val="0"/>
                  <w:marRight w:val="0"/>
                  <w:marTop w:val="0"/>
                  <w:marBottom w:val="0"/>
                  <w:divBdr>
                    <w:top w:val="none" w:sz="0" w:space="0" w:color="auto"/>
                    <w:left w:val="none" w:sz="0" w:space="0" w:color="auto"/>
                    <w:bottom w:val="none" w:sz="0" w:space="0" w:color="auto"/>
                    <w:right w:val="none" w:sz="0" w:space="0" w:color="auto"/>
                  </w:divBdr>
                </w:div>
                <w:div w:id="294143608">
                  <w:marLeft w:val="0"/>
                  <w:marRight w:val="0"/>
                  <w:marTop w:val="0"/>
                  <w:marBottom w:val="0"/>
                  <w:divBdr>
                    <w:top w:val="none" w:sz="0" w:space="0" w:color="auto"/>
                    <w:left w:val="none" w:sz="0" w:space="0" w:color="auto"/>
                    <w:bottom w:val="none" w:sz="0" w:space="0" w:color="auto"/>
                    <w:right w:val="none" w:sz="0" w:space="0" w:color="auto"/>
                  </w:divBdr>
                </w:div>
                <w:div w:id="294143865">
                  <w:marLeft w:val="0"/>
                  <w:marRight w:val="0"/>
                  <w:marTop w:val="0"/>
                  <w:marBottom w:val="0"/>
                  <w:divBdr>
                    <w:top w:val="none" w:sz="0" w:space="0" w:color="auto"/>
                    <w:left w:val="none" w:sz="0" w:space="0" w:color="auto"/>
                    <w:bottom w:val="none" w:sz="0" w:space="0" w:color="auto"/>
                    <w:right w:val="none" w:sz="0" w:space="0" w:color="auto"/>
                  </w:divBdr>
                </w:div>
                <w:div w:id="294144048">
                  <w:marLeft w:val="0"/>
                  <w:marRight w:val="0"/>
                  <w:marTop w:val="0"/>
                  <w:marBottom w:val="0"/>
                  <w:divBdr>
                    <w:top w:val="none" w:sz="0" w:space="0" w:color="auto"/>
                    <w:left w:val="none" w:sz="0" w:space="0" w:color="auto"/>
                    <w:bottom w:val="none" w:sz="0" w:space="0" w:color="auto"/>
                    <w:right w:val="none" w:sz="0" w:space="0" w:color="auto"/>
                  </w:divBdr>
                </w:div>
                <w:div w:id="294144720">
                  <w:marLeft w:val="0"/>
                  <w:marRight w:val="0"/>
                  <w:marTop w:val="0"/>
                  <w:marBottom w:val="0"/>
                  <w:divBdr>
                    <w:top w:val="none" w:sz="0" w:space="0" w:color="auto"/>
                    <w:left w:val="none" w:sz="0" w:space="0" w:color="auto"/>
                    <w:bottom w:val="none" w:sz="0" w:space="0" w:color="auto"/>
                    <w:right w:val="none" w:sz="0" w:space="0" w:color="auto"/>
                  </w:divBdr>
                </w:div>
                <w:div w:id="294144766">
                  <w:marLeft w:val="0"/>
                  <w:marRight w:val="0"/>
                  <w:marTop w:val="0"/>
                  <w:marBottom w:val="0"/>
                  <w:divBdr>
                    <w:top w:val="none" w:sz="0" w:space="0" w:color="auto"/>
                    <w:left w:val="none" w:sz="0" w:space="0" w:color="auto"/>
                    <w:bottom w:val="none" w:sz="0" w:space="0" w:color="auto"/>
                    <w:right w:val="none" w:sz="0" w:space="0" w:color="auto"/>
                  </w:divBdr>
                </w:div>
                <w:div w:id="294144887">
                  <w:marLeft w:val="0"/>
                  <w:marRight w:val="0"/>
                  <w:marTop w:val="0"/>
                  <w:marBottom w:val="0"/>
                  <w:divBdr>
                    <w:top w:val="none" w:sz="0" w:space="0" w:color="auto"/>
                    <w:left w:val="none" w:sz="0" w:space="0" w:color="auto"/>
                    <w:bottom w:val="none" w:sz="0" w:space="0" w:color="auto"/>
                    <w:right w:val="none" w:sz="0" w:space="0" w:color="auto"/>
                  </w:divBdr>
                </w:div>
                <w:div w:id="294144892">
                  <w:marLeft w:val="0"/>
                  <w:marRight w:val="0"/>
                  <w:marTop w:val="0"/>
                  <w:marBottom w:val="0"/>
                  <w:divBdr>
                    <w:top w:val="none" w:sz="0" w:space="0" w:color="auto"/>
                    <w:left w:val="none" w:sz="0" w:space="0" w:color="auto"/>
                    <w:bottom w:val="none" w:sz="0" w:space="0" w:color="auto"/>
                    <w:right w:val="none" w:sz="0" w:space="0" w:color="auto"/>
                  </w:divBdr>
                </w:div>
                <w:div w:id="294144948">
                  <w:marLeft w:val="0"/>
                  <w:marRight w:val="0"/>
                  <w:marTop w:val="0"/>
                  <w:marBottom w:val="0"/>
                  <w:divBdr>
                    <w:top w:val="none" w:sz="0" w:space="0" w:color="auto"/>
                    <w:left w:val="none" w:sz="0" w:space="0" w:color="auto"/>
                    <w:bottom w:val="none" w:sz="0" w:space="0" w:color="auto"/>
                    <w:right w:val="none" w:sz="0" w:space="0" w:color="auto"/>
                  </w:divBdr>
                </w:div>
                <w:div w:id="294145155">
                  <w:marLeft w:val="0"/>
                  <w:marRight w:val="0"/>
                  <w:marTop w:val="0"/>
                  <w:marBottom w:val="0"/>
                  <w:divBdr>
                    <w:top w:val="none" w:sz="0" w:space="0" w:color="auto"/>
                    <w:left w:val="none" w:sz="0" w:space="0" w:color="auto"/>
                    <w:bottom w:val="none" w:sz="0" w:space="0" w:color="auto"/>
                    <w:right w:val="none" w:sz="0" w:space="0" w:color="auto"/>
                  </w:divBdr>
                </w:div>
                <w:div w:id="294145207">
                  <w:marLeft w:val="0"/>
                  <w:marRight w:val="0"/>
                  <w:marTop w:val="0"/>
                  <w:marBottom w:val="0"/>
                  <w:divBdr>
                    <w:top w:val="none" w:sz="0" w:space="0" w:color="auto"/>
                    <w:left w:val="none" w:sz="0" w:space="0" w:color="auto"/>
                    <w:bottom w:val="none" w:sz="0" w:space="0" w:color="auto"/>
                    <w:right w:val="none" w:sz="0" w:space="0" w:color="auto"/>
                  </w:divBdr>
                </w:div>
                <w:div w:id="294145233">
                  <w:marLeft w:val="0"/>
                  <w:marRight w:val="0"/>
                  <w:marTop w:val="0"/>
                  <w:marBottom w:val="0"/>
                  <w:divBdr>
                    <w:top w:val="none" w:sz="0" w:space="0" w:color="auto"/>
                    <w:left w:val="none" w:sz="0" w:space="0" w:color="auto"/>
                    <w:bottom w:val="none" w:sz="0" w:space="0" w:color="auto"/>
                    <w:right w:val="none" w:sz="0" w:space="0" w:color="auto"/>
                  </w:divBdr>
                </w:div>
                <w:div w:id="294145252">
                  <w:marLeft w:val="0"/>
                  <w:marRight w:val="0"/>
                  <w:marTop w:val="0"/>
                  <w:marBottom w:val="0"/>
                  <w:divBdr>
                    <w:top w:val="none" w:sz="0" w:space="0" w:color="auto"/>
                    <w:left w:val="none" w:sz="0" w:space="0" w:color="auto"/>
                    <w:bottom w:val="none" w:sz="0" w:space="0" w:color="auto"/>
                    <w:right w:val="none" w:sz="0" w:space="0" w:color="auto"/>
                  </w:divBdr>
                </w:div>
                <w:div w:id="294145401">
                  <w:marLeft w:val="0"/>
                  <w:marRight w:val="0"/>
                  <w:marTop w:val="0"/>
                  <w:marBottom w:val="0"/>
                  <w:divBdr>
                    <w:top w:val="none" w:sz="0" w:space="0" w:color="auto"/>
                    <w:left w:val="none" w:sz="0" w:space="0" w:color="auto"/>
                    <w:bottom w:val="none" w:sz="0" w:space="0" w:color="auto"/>
                    <w:right w:val="none" w:sz="0" w:space="0" w:color="auto"/>
                  </w:divBdr>
                </w:div>
                <w:div w:id="294145486">
                  <w:marLeft w:val="0"/>
                  <w:marRight w:val="0"/>
                  <w:marTop w:val="0"/>
                  <w:marBottom w:val="0"/>
                  <w:divBdr>
                    <w:top w:val="none" w:sz="0" w:space="0" w:color="auto"/>
                    <w:left w:val="none" w:sz="0" w:space="0" w:color="auto"/>
                    <w:bottom w:val="none" w:sz="0" w:space="0" w:color="auto"/>
                    <w:right w:val="none" w:sz="0" w:space="0" w:color="auto"/>
                  </w:divBdr>
                </w:div>
                <w:div w:id="294145527">
                  <w:marLeft w:val="0"/>
                  <w:marRight w:val="0"/>
                  <w:marTop w:val="0"/>
                  <w:marBottom w:val="0"/>
                  <w:divBdr>
                    <w:top w:val="none" w:sz="0" w:space="0" w:color="auto"/>
                    <w:left w:val="none" w:sz="0" w:space="0" w:color="auto"/>
                    <w:bottom w:val="none" w:sz="0" w:space="0" w:color="auto"/>
                    <w:right w:val="none" w:sz="0" w:space="0" w:color="auto"/>
                  </w:divBdr>
                </w:div>
                <w:div w:id="294145683">
                  <w:marLeft w:val="0"/>
                  <w:marRight w:val="0"/>
                  <w:marTop w:val="0"/>
                  <w:marBottom w:val="0"/>
                  <w:divBdr>
                    <w:top w:val="none" w:sz="0" w:space="0" w:color="auto"/>
                    <w:left w:val="none" w:sz="0" w:space="0" w:color="auto"/>
                    <w:bottom w:val="none" w:sz="0" w:space="0" w:color="auto"/>
                    <w:right w:val="none" w:sz="0" w:space="0" w:color="auto"/>
                  </w:divBdr>
                </w:div>
                <w:div w:id="294145767">
                  <w:marLeft w:val="0"/>
                  <w:marRight w:val="0"/>
                  <w:marTop w:val="0"/>
                  <w:marBottom w:val="0"/>
                  <w:divBdr>
                    <w:top w:val="none" w:sz="0" w:space="0" w:color="auto"/>
                    <w:left w:val="none" w:sz="0" w:space="0" w:color="auto"/>
                    <w:bottom w:val="none" w:sz="0" w:space="0" w:color="auto"/>
                    <w:right w:val="none" w:sz="0" w:space="0" w:color="auto"/>
                  </w:divBdr>
                </w:div>
                <w:div w:id="294145798">
                  <w:marLeft w:val="0"/>
                  <w:marRight w:val="0"/>
                  <w:marTop w:val="0"/>
                  <w:marBottom w:val="0"/>
                  <w:divBdr>
                    <w:top w:val="none" w:sz="0" w:space="0" w:color="auto"/>
                    <w:left w:val="none" w:sz="0" w:space="0" w:color="auto"/>
                    <w:bottom w:val="none" w:sz="0" w:space="0" w:color="auto"/>
                    <w:right w:val="none" w:sz="0" w:space="0" w:color="auto"/>
                  </w:divBdr>
                </w:div>
                <w:div w:id="294146181">
                  <w:marLeft w:val="0"/>
                  <w:marRight w:val="0"/>
                  <w:marTop w:val="0"/>
                  <w:marBottom w:val="0"/>
                  <w:divBdr>
                    <w:top w:val="none" w:sz="0" w:space="0" w:color="auto"/>
                    <w:left w:val="none" w:sz="0" w:space="0" w:color="auto"/>
                    <w:bottom w:val="none" w:sz="0" w:space="0" w:color="auto"/>
                    <w:right w:val="none" w:sz="0" w:space="0" w:color="auto"/>
                  </w:divBdr>
                </w:div>
                <w:div w:id="294146420">
                  <w:marLeft w:val="0"/>
                  <w:marRight w:val="0"/>
                  <w:marTop w:val="0"/>
                  <w:marBottom w:val="0"/>
                  <w:divBdr>
                    <w:top w:val="none" w:sz="0" w:space="0" w:color="auto"/>
                    <w:left w:val="none" w:sz="0" w:space="0" w:color="auto"/>
                    <w:bottom w:val="none" w:sz="0" w:space="0" w:color="auto"/>
                    <w:right w:val="none" w:sz="0" w:space="0" w:color="auto"/>
                  </w:divBdr>
                </w:div>
                <w:div w:id="294146474">
                  <w:marLeft w:val="0"/>
                  <w:marRight w:val="0"/>
                  <w:marTop w:val="0"/>
                  <w:marBottom w:val="0"/>
                  <w:divBdr>
                    <w:top w:val="none" w:sz="0" w:space="0" w:color="auto"/>
                    <w:left w:val="none" w:sz="0" w:space="0" w:color="auto"/>
                    <w:bottom w:val="none" w:sz="0" w:space="0" w:color="auto"/>
                    <w:right w:val="none" w:sz="0" w:space="0" w:color="auto"/>
                  </w:divBdr>
                </w:div>
                <w:div w:id="294146661">
                  <w:marLeft w:val="0"/>
                  <w:marRight w:val="0"/>
                  <w:marTop w:val="0"/>
                  <w:marBottom w:val="0"/>
                  <w:divBdr>
                    <w:top w:val="none" w:sz="0" w:space="0" w:color="auto"/>
                    <w:left w:val="none" w:sz="0" w:space="0" w:color="auto"/>
                    <w:bottom w:val="none" w:sz="0" w:space="0" w:color="auto"/>
                    <w:right w:val="none" w:sz="0" w:space="0" w:color="auto"/>
                  </w:divBdr>
                </w:div>
                <w:div w:id="294146699">
                  <w:marLeft w:val="0"/>
                  <w:marRight w:val="0"/>
                  <w:marTop w:val="0"/>
                  <w:marBottom w:val="0"/>
                  <w:divBdr>
                    <w:top w:val="none" w:sz="0" w:space="0" w:color="auto"/>
                    <w:left w:val="none" w:sz="0" w:space="0" w:color="auto"/>
                    <w:bottom w:val="none" w:sz="0" w:space="0" w:color="auto"/>
                    <w:right w:val="none" w:sz="0" w:space="0" w:color="auto"/>
                  </w:divBdr>
                </w:div>
                <w:div w:id="294146785">
                  <w:marLeft w:val="0"/>
                  <w:marRight w:val="0"/>
                  <w:marTop w:val="0"/>
                  <w:marBottom w:val="0"/>
                  <w:divBdr>
                    <w:top w:val="none" w:sz="0" w:space="0" w:color="auto"/>
                    <w:left w:val="none" w:sz="0" w:space="0" w:color="auto"/>
                    <w:bottom w:val="none" w:sz="0" w:space="0" w:color="auto"/>
                    <w:right w:val="none" w:sz="0" w:space="0" w:color="auto"/>
                  </w:divBdr>
                </w:div>
                <w:div w:id="294147096">
                  <w:marLeft w:val="0"/>
                  <w:marRight w:val="0"/>
                  <w:marTop w:val="0"/>
                  <w:marBottom w:val="0"/>
                  <w:divBdr>
                    <w:top w:val="none" w:sz="0" w:space="0" w:color="auto"/>
                    <w:left w:val="none" w:sz="0" w:space="0" w:color="auto"/>
                    <w:bottom w:val="none" w:sz="0" w:space="0" w:color="auto"/>
                    <w:right w:val="none" w:sz="0" w:space="0" w:color="auto"/>
                  </w:divBdr>
                </w:div>
                <w:div w:id="294147253">
                  <w:marLeft w:val="0"/>
                  <w:marRight w:val="0"/>
                  <w:marTop w:val="0"/>
                  <w:marBottom w:val="0"/>
                  <w:divBdr>
                    <w:top w:val="none" w:sz="0" w:space="0" w:color="auto"/>
                    <w:left w:val="none" w:sz="0" w:space="0" w:color="auto"/>
                    <w:bottom w:val="none" w:sz="0" w:space="0" w:color="auto"/>
                    <w:right w:val="none" w:sz="0" w:space="0" w:color="auto"/>
                  </w:divBdr>
                </w:div>
                <w:div w:id="294147437">
                  <w:marLeft w:val="0"/>
                  <w:marRight w:val="0"/>
                  <w:marTop w:val="0"/>
                  <w:marBottom w:val="0"/>
                  <w:divBdr>
                    <w:top w:val="none" w:sz="0" w:space="0" w:color="auto"/>
                    <w:left w:val="none" w:sz="0" w:space="0" w:color="auto"/>
                    <w:bottom w:val="none" w:sz="0" w:space="0" w:color="auto"/>
                    <w:right w:val="none" w:sz="0" w:space="0" w:color="auto"/>
                  </w:divBdr>
                </w:div>
                <w:div w:id="294147575">
                  <w:marLeft w:val="0"/>
                  <w:marRight w:val="0"/>
                  <w:marTop w:val="0"/>
                  <w:marBottom w:val="0"/>
                  <w:divBdr>
                    <w:top w:val="none" w:sz="0" w:space="0" w:color="auto"/>
                    <w:left w:val="none" w:sz="0" w:space="0" w:color="auto"/>
                    <w:bottom w:val="none" w:sz="0" w:space="0" w:color="auto"/>
                    <w:right w:val="none" w:sz="0" w:space="0" w:color="auto"/>
                  </w:divBdr>
                </w:div>
                <w:div w:id="294147684">
                  <w:marLeft w:val="0"/>
                  <w:marRight w:val="0"/>
                  <w:marTop w:val="0"/>
                  <w:marBottom w:val="0"/>
                  <w:divBdr>
                    <w:top w:val="none" w:sz="0" w:space="0" w:color="auto"/>
                    <w:left w:val="none" w:sz="0" w:space="0" w:color="auto"/>
                    <w:bottom w:val="none" w:sz="0" w:space="0" w:color="auto"/>
                    <w:right w:val="none" w:sz="0" w:space="0" w:color="auto"/>
                  </w:divBdr>
                </w:div>
                <w:div w:id="294148039">
                  <w:marLeft w:val="0"/>
                  <w:marRight w:val="0"/>
                  <w:marTop w:val="0"/>
                  <w:marBottom w:val="0"/>
                  <w:divBdr>
                    <w:top w:val="none" w:sz="0" w:space="0" w:color="auto"/>
                    <w:left w:val="none" w:sz="0" w:space="0" w:color="auto"/>
                    <w:bottom w:val="none" w:sz="0" w:space="0" w:color="auto"/>
                    <w:right w:val="none" w:sz="0" w:space="0" w:color="auto"/>
                  </w:divBdr>
                </w:div>
                <w:div w:id="294148181">
                  <w:marLeft w:val="0"/>
                  <w:marRight w:val="0"/>
                  <w:marTop w:val="0"/>
                  <w:marBottom w:val="0"/>
                  <w:divBdr>
                    <w:top w:val="none" w:sz="0" w:space="0" w:color="auto"/>
                    <w:left w:val="none" w:sz="0" w:space="0" w:color="auto"/>
                    <w:bottom w:val="none" w:sz="0" w:space="0" w:color="auto"/>
                    <w:right w:val="none" w:sz="0" w:space="0" w:color="auto"/>
                  </w:divBdr>
                </w:div>
                <w:div w:id="294148425">
                  <w:marLeft w:val="0"/>
                  <w:marRight w:val="0"/>
                  <w:marTop w:val="0"/>
                  <w:marBottom w:val="0"/>
                  <w:divBdr>
                    <w:top w:val="none" w:sz="0" w:space="0" w:color="auto"/>
                    <w:left w:val="none" w:sz="0" w:space="0" w:color="auto"/>
                    <w:bottom w:val="none" w:sz="0" w:space="0" w:color="auto"/>
                    <w:right w:val="none" w:sz="0" w:space="0" w:color="auto"/>
                  </w:divBdr>
                </w:div>
                <w:div w:id="294148557">
                  <w:marLeft w:val="0"/>
                  <w:marRight w:val="0"/>
                  <w:marTop w:val="0"/>
                  <w:marBottom w:val="0"/>
                  <w:divBdr>
                    <w:top w:val="none" w:sz="0" w:space="0" w:color="auto"/>
                    <w:left w:val="none" w:sz="0" w:space="0" w:color="auto"/>
                    <w:bottom w:val="none" w:sz="0" w:space="0" w:color="auto"/>
                    <w:right w:val="none" w:sz="0" w:space="0" w:color="auto"/>
                  </w:divBdr>
                </w:div>
                <w:div w:id="294148912">
                  <w:marLeft w:val="0"/>
                  <w:marRight w:val="0"/>
                  <w:marTop w:val="0"/>
                  <w:marBottom w:val="0"/>
                  <w:divBdr>
                    <w:top w:val="none" w:sz="0" w:space="0" w:color="auto"/>
                    <w:left w:val="none" w:sz="0" w:space="0" w:color="auto"/>
                    <w:bottom w:val="none" w:sz="0" w:space="0" w:color="auto"/>
                    <w:right w:val="none" w:sz="0" w:space="0" w:color="auto"/>
                  </w:divBdr>
                </w:div>
                <w:div w:id="294149040">
                  <w:marLeft w:val="0"/>
                  <w:marRight w:val="0"/>
                  <w:marTop w:val="0"/>
                  <w:marBottom w:val="0"/>
                  <w:divBdr>
                    <w:top w:val="none" w:sz="0" w:space="0" w:color="auto"/>
                    <w:left w:val="none" w:sz="0" w:space="0" w:color="auto"/>
                    <w:bottom w:val="none" w:sz="0" w:space="0" w:color="auto"/>
                    <w:right w:val="none" w:sz="0" w:space="0" w:color="auto"/>
                  </w:divBdr>
                </w:div>
                <w:div w:id="294149525">
                  <w:marLeft w:val="0"/>
                  <w:marRight w:val="0"/>
                  <w:marTop w:val="0"/>
                  <w:marBottom w:val="0"/>
                  <w:divBdr>
                    <w:top w:val="none" w:sz="0" w:space="0" w:color="auto"/>
                    <w:left w:val="none" w:sz="0" w:space="0" w:color="auto"/>
                    <w:bottom w:val="none" w:sz="0" w:space="0" w:color="auto"/>
                    <w:right w:val="none" w:sz="0" w:space="0" w:color="auto"/>
                  </w:divBdr>
                </w:div>
                <w:div w:id="294149544">
                  <w:marLeft w:val="0"/>
                  <w:marRight w:val="0"/>
                  <w:marTop w:val="0"/>
                  <w:marBottom w:val="0"/>
                  <w:divBdr>
                    <w:top w:val="none" w:sz="0" w:space="0" w:color="auto"/>
                    <w:left w:val="none" w:sz="0" w:space="0" w:color="auto"/>
                    <w:bottom w:val="none" w:sz="0" w:space="0" w:color="auto"/>
                    <w:right w:val="none" w:sz="0" w:space="0" w:color="auto"/>
                  </w:divBdr>
                </w:div>
                <w:div w:id="294149791">
                  <w:marLeft w:val="0"/>
                  <w:marRight w:val="0"/>
                  <w:marTop w:val="0"/>
                  <w:marBottom w:val="0"/>
                  <w:divBdr>
                    <w:top w:val="none" w:sz="0" w:space="0" w:color="auto"/>
                    <w:left w:val="none" w:sz="0" w:space="0" w:color="auto"/>
                    <w:bottom w:val="none" w:sz="0" w:space="0" w:color="auto"/>
                    <w:right w:val="none" w:sz="0" w:space="0" w:color="auto"/>
                  </w:divBdr>
                </w:div>
                <w:div w:id="294149807">
                  <w:marLeft w:val="0"/>
                  <w:marRight w:val="0"/>
                  <w:marTop w:val="0"/>
                  <w:marBottom w:val="0"/>
                  <w:divBdr>
                    <w:top w:val="none" w:sz="0" w:space="0" w:color="auto"/>
                    <w:left w:val="none" w:sz="0" w:space="0" w:color="auto"/>
                    <w:bottom w:val="none" w:sz="0" w:space="0" w:color="auto"/>
                    <w:right w:val="none" w:sz="0" w:space="0" w:color="auto"/>
                  </w:divBdr>
                </w:div>
                <w:div w:id="294149881">
                  <w:marLeft w:val="0"/>
                  <w:marRight w:val="0"/>
                  <w:marTop w:val="0"/>
                  <w:marBottom w:val="0"/>
                  <w:divBdr>
                    <w:top w:val="none" w:sz="0" w:space="0" w:color="auto"/>
                    <w:left w:val="none" w:sz="0" w:space="0" w:color="auto"/>
                    <w:bottom w:val="none" w:sz="0" w:space="0" w:color="auto"/>
                    <w:right w:val="none" w:sz="0" w:space="0" w:color="auto"/>
                  </w:divBdr>
                </w:div>
                <w:div w:id="294150112">
                  <w:marLeft w:val="0"/>
                  <w:marRight w:val="0"/>
                  <w:marTop w:val="0"/>
                  <w:marBottom w:val="0"/>
                  <w:divBdr>
                    <w:top w:val="none" w:sz="0" w:space="0" w:color="auto"/>
                    <w:left w:val="none" w:sz="0" w:space="0" w:color="auto"/>
                    <w:bottom w:val="none" w:sz="0" w:space="0" w:color="auto"/>
                    <w:right w:val="none" w:sz="0" w:space="0" w:color="auto"/>
                  </w:divBdr>
                </w:div>
                <w:div w:id="294150128">
                  <w:marLeft w:val="0"/>
                  <w:marRight w:val="0"/>
                  <w:marTop w:val="0"/>
                  <w:marBottom w:val="0"/>
                  <w:divBdr>
                    <w:top w:val="none" w:sz="0" w:space="0" w:color="auto"/>
                    <w:left w:val="none" w:sz="0" w:space="0" w:color="auto"/>
                    <w:bottom w:val="none" w:sz="0" w:space="0" w:color="auto"/>
                    <w:right w:val="none" w:sz="0" w:space="0" w:color="auto"/>
                  </w:divBdr>
                </w:div>
                <w:div w:id="294150203">
                  <w:marLeft w:val="0"/>
                  <w:marRight w:val="0"/>
                  <w:marTop w:val="0"/>
                  <w:marBottom w:val="0"/>
                  <w:divBdr>
                    <w:top w:val="none" w:sz="0" w:space="0" w:color="auto"/>
                    <w:left w:val="none" w:sz="0" w:space="0" w:color="auto"/>
                    <w:bottom w:val="none" w:sz="0" w:space="0" w:color="auto"/>
                    <w:right w:val="none" w:sz="0" w:space="0" w:color="auto"/>
                  </w:divBdr>
                </w:div>
                <w:div w:id="294150375">
                  <w:marLeft w:val="0"/>
                  <w:marRight w:val="0"/>
                  <w:marTop w:val="0"/>
                  <w:marBottom w:val="0"/>
                  <w:divBdr>
                    <w:top w:val="none" w:sz="0" w:space="0" w:color="auto"/>
                    <w:left w:val="none" w:sz="0" w:space="0" w:color="auto"/>
                    <w:bottom w:val="none" w:sz="0" w:space="0" w:color="auto"/>
                    <w:right w:val="none" w:sz="0" w:space="0" w:color="auto"/>
                  </w:divBdr>
                </w:div>
                <w:div w:id="294150405">
                  <w:marLeft w:val="0"/>
                  <w:marRight w:val="0"/>
                  <w:marTop w:val="0"/>
                  <w:marBottom w:val="0"/>
                  <w:divBdr>
                    <w:top w:val="none" w:sz="0" w:space="0" w:color="auto"/>
                    <w:left w:val="none" w:sz="0" w:space="0" w:color="auto"/>
                    <w:bottom w:val="none" w:sz="0" w:space="0" w:color="auto"/>
                    <w:right w:val="none" w:sz="0" w:space="0" w:color="auto"/>
                  </w:divBdr>
                </w:div>
                <w:div w:id="294150911">
                  <w:marLeft w:val="0"/>
                  <w:marRight w:val="0"/>
                  <w:marTop w:val="0"/>
                  <w:marBottom w:val="0"/>
                  <w:divBdr>
                    <w:top w:val="none" w:sz="0" w:space="0" w:color="auto"/>
                    <w:left w:val="none" w:sz="0" w:space="0" w:color="auto"/>
                    <w:bottom w:val="none" w:sz="0" w:space="0" w:color="auto"/>
                    <w:right w:val="none" w:sz="0" w:space="0" w:color="auto"/>
                  </w:divBdr>
                </w:div>
                <w:div w:id="294151313">
                  <w:marLeft w:val="0"/>
                  <w:marRight w:val="0"/>
                  <w:marTop w:val="0"/>
                  <w:marBottom w:val="0"/>
                  <w:divBdr>
                    <w:top w:val="none" w:sz="0" w:space="0" w:color="auto"/>
                    <w:left w:val="none" w:sz="0" w:space="0" w:color="auto"/>
                    <w:bottom w:val="none" w:sz="0" w:space="0" w:color="auto"/>
                    <w:right w:val="none" w:sz="0" w:space="0" w:color="auto"/>
                  </w:divBdr>
                </w:div>
                <w:div w:id="294151392">
                  <w:marLeft w:val="0"/>
                  <w:marRight w:val="0"/>
                  <w:marTop w:val="0"/>
                  <w:marBottom w:val="0"/>
                  <w:divBdr>
                    <w:top w:val="none" w:sz="0" w:space="0" w:color="auto"/>
                    <w:left w:val="none" w:sz="0" w:space="0" w:color="auto"/>
                    <w:bottom w:val="none" w:sz="0" w:space="0" w:color="auto"/>
                    <w:right w:val="none" w:sz="0" w:space="0" w:color="auto"/>
                  </w:divBdr>
                </w:div>
                <w:div w:id="294151448">
                  <w:marLeft w:val="0"/>
                  <w:marRight w:val="0"/>
                  <w:marTop w:val="0"/>
                  <w:marBottom w:val="0"/>
                  <w:divBdr>
                    <w:top w:val="none" w:sz="0" w:space="0" w:color="auto"/>
                    <w:left w:val="none" w:sz="0" w:space="0" w:color="auto"/>
                    <w:bottom w:val="none" w:sz="0" w:space="0" w:color="auto"/>
                    <w:right w:val="none" w:sz="0" w:space="0" w:color="auto"/>
                  </w:divBdr>
                </w:div>
                <w:div w:id="294151679">
                  <w:marLeft w:val="0"/>
                  <w:marRight w:val="0"/>
                  <w:marTop w:val="0"/>
                  <w:marBottom w:val="0"/>
                  <w:divBdr>
                    <w:top w:val="none" w:sz="0" w:space="0" w:color="auto"/>
                    <w:left w:val="none" w:sz="0" w:space="0" w:color="auto"/>
                    <w:bottom w:val="none" w:sz="0" w:space="0" w:color="auto"/>
                    <w:right w:val="none" w:sz="0" w:space="0" w:color="auto"/>
                  </w:divBdr>
                </w:div>
                <w:div w:id="294151690">
                  <w:marLeft w:val="0"/>
                  <w:marRight w:val="0"/>
                  <w:marTop w:val="0"/>
                  <w:marBottom w:val="0"/>
                  <w:divBdr>
                    <w:top w:val="none" w:sz="0" w:space="0" w:color="auto"/>
                    <w:left w:val="none" w:sz="0" w:space="0" w:color="auto"/>
                    <w:bottom w:val="none" w:sz="0" w:space="0" w:color="auto"/>
                    <w:right w:val="none" w:sz="0" w:space="0" w:color="auto"/>
                  </w:divBdr>
                </w:div>
                <w:div w:id="294151879">
                  <w:marLeft w:val="0"/>
                  <w:marRight w:val="0"/>
                  <w:marTop w:val="0"/>
                  <w:marBottom w:val="0"/>
                  <w:divBdr>
                    <w:top w:val="none" w:sz="0" w:space="0" w:color="auto"/>
                    <w:left w:val="none" w:sz="0" w:space="0" w:color="auto"/>
                    <w:bottom w:val="none" w:sz="0" w:space="0" w:color="auto"/>
                    <w:right w:val="none" w:sz="0" w:space="0" w:color="auto"/>
                  </w:divBdr>
                </w:div>
                <w:div w:id="294152251">
                  <w:marLeft w:val="0"/>
                  <w:marRight w:val="0"/>
                  <w:marTop w:val="0"/>
                  <w:marBottom w:val="0"/>
                  <w:divBdr>
                    <w:top w:val="none" w:sz="0" w:space="0" w:color="auto"/>
                    <w:left w:val="none" w:sz="0" w:space="0" w:color="auto"/>
                    <w:bottom w:val="none" w:sz="0" w:space="0" w:color="auto"/>
                    <w:right w:val="none" w:sz="0" w:space="0" w:color="auto"/>
                  </w:divBdr>
                </w:div>
                <w:div w:id="294152308">
                  <w:marLeft w:val="0"/>
                  <w:marRight w:val="0"/>
                  <w:marTop w:val="0"/>
                  <w:marBottom w:val="0"/>
                  <w:divBdr>
                    <w:top w:val="none" w:sz="0" w:space="0" w:color="auto"/>
                    <w:left w:val="none" w:sz="0" w:space="0" w:color="auto"/>
                    <w:bottom w:val="none" w:sz="0" w:space="0" w:color="auto"/>
                    <w:right w:val="none" w:sz="0" w:space="0" w:color="auto"/>
                  </w:divBdr>
                </w:div>
                <w:div w:id="294152376">
                  <w:marLeft w:val="0"/>
                  <w:marRight w:val="0"/>
                  <w:marTop w:val="0"/>
                  <w:marBottom w:val="0"/>
                  <w:divBdr>
                    <w:top w:val="none" w:sz="0" w:space="0" w:color="auto"/>
                    <w:left w:val="none" w:sz="0" w:space="0" w:color="auto"/>
                    <w:bottom w:val="none" w:sz="0" w:space="0" w:color="auto"/>
                    <w:right w:val="none" w:sz="0" w:space="0" w:color="auto"/>
                  </w:divBdr>
                </w:div>
                <w:div w:id="294152388">
                  <w:marLeft w:val="0"/>
                  <w:marRight w:val="0"/>
                  <w:marTop w:val="0"/>
                  <w:marBottom w:val="0"/>
                  <w:divBdr>
                    <w:top w:val="none" w:sz="0" w:space="0" w:color="auto"/>
                    <w:left w:val="none" w:sz="0" w:space="0" w:color="auto"/>
                    <w:bottom w:val="none" w:sz="0" w:space="0" w:color="auto"/>
                    <w:right w:val="none" w:sz="0" w:space="0" w:color="auto"/>
                  </w:divBdr>
                </w:div>
                <w:div w:id="294152452">
                  <w:marLeft w:val="0"/>
                  <w:marRight w:val="0"/>
                  <w:marTop w:val="0"/>
                  <w:marBottom w:val="0"/>
                  <w:divBdr>
                    <w:top w:val="none" w:sz="0" w:space="0" w:color="auto"/>
                    <w:left w:val="none" w:sz="0" w:space="0" w:color="auto"/>
                    <w:bottom w:val="none" w:sz="0" w:space="0" w:color="auto"/>
                    <w:right w:val="none" w:sz="0" w:space="0" w:color="auto"/>
                  </w:divBdr>
                </w:div>
                <w:div w:id="294152581">
                  <w:marLeft w:val="0"/>
                  <w:marRight w:val="0"/>
                  <w:marTop w:val="0"/>
                  <w:marBottom w:val="0"/>
                  <w:divBdr>
                    <w:top w:val="none" w:sz="0" w:space="0" w:color="auto"/>
                    <w:left w:val="none" w:sz="0" w:space="0" w:color="auto"/>
                    <w:bottom w:val="none" w:sz="0" w:space="0" w:color="auto"/>
                    <w:right w:val="none" w:sz="0" w:space="0" w:color="auto"/>
                  </w:divBdr>
                </w:div>
                <w:div w:id="294152725">
                  <w:marLeft w:val="0"/>
                  <w:marRight w:val="0"/>
                  <w:marTop w:val="0"/>
                  <w:marBottom w:val="0"/>
                  <w:divBdr>
                    <w:top w:val="none" w:sz="0" w:space="0" w:color="auto"/>
                    <w:left w:val="none" w:sz="0" w:space="0" w:color="auto"/>
                    <w:bottom w:val="none" w:sz="0" w:space="0" w:color="auto"/>
                    <w:right w:val="none" w:sz="0" w:space="0" w:color="auto"/>
                  </w:divBdr>
                </w:div>
                <w:div w:id="294152903">
                  <w:marLeft w:val="0"/>
                  <w:marRight w:val="0"/>
                  <w:marTop w:val="0"/>
                  <w:marBottom w:val="0"/>
                  <w:divBdr>
                    <w:top w:val="none" w:sz="0" w:space="0" w:color="auto"/>
                    <w:left w:val="none" w:sz="0" w:space="0" w:color="auto"/>
                    <w:bottom w:val="none" w:sz="0" w:space="0" w:color="auto"/>
                    <w:right w:val="none" w:sz="0" w:space="0" w:color="auto"/>
                  </w:divBdr>
                </w:div>
                <w:div w:id="294153080">
                  <w:marLeft w:val="0"/>
                  <w:marRight w:val="0"/>
                  <w:marTop w:val="0"/>
                  <w:marBottom w:val="0"/>
                  <w:divBdr>
                    <w:top w:val="none" w:sz="0" w:space="0" w:color="auto"/>
                    <w:left w:val="none" w:sz="0" w:space="0" w:color="auto"/>
                    <w:bottom w:val="none" w:sz="0" w:space="0" w:color="auto"/>
                    <w:right w:val="none" w:sz="0" w:space="0" w:color="auto"/>
                  </w:divBdr>
                </w:div>
                <w:div w:id="294153210">
                  <w:marLeft w:val="0"/>
                  <w:marRight w:val="0"/>
                  <w:marTop w:val="0"/>
                  <w:marBottom w:val="0"/>
                  <w:divBdr>
                    <w:top w:val="none" w:sz="0" w:space="0" w:color="auto"/>
                    <w:left w:val="none" w:sz="0" w:space="0" w:color="auto"/>
                    <w:bottom w:val="none" w:sz="0" w:space="0" w:color="auto"/>
                    <w:right w:val="none" w:sz="0" w:space="0" w:color="auto"/>
                  </w:divBdr>
                </w:div>
                <w:div w:id="294153225">
                  <w:marLeft w:val="0"/>
                  <w:marRight w:val="0"/>
                  <w:marTop w:val="0"/>
                  <w:marBottom w:val="0"/>
                  <w:divBdr>
                    <w:top w:val="none" w:sz="0" w:space="0" w:color="auto"/>
                    <w:left w:val="none" w:sz="0" w:space="0" w:color="auto"/>
                    <w:bottom w:val="none" w:sz="0" w:space="0" w:color="auto"/>
                    <w:right w:val="none" w:sz="0" w:space="0" w:color="auto"/>
                  </w:divBdr>
                </w:div>
                <w:div w:id="294153667">
                  <w:marLeft w:val="0"/>
                  <w:marRight w:val="0"/>
                  <w:marTop w:val="0"/>
                  <w:marBottom w:val="0"/>
                  <w:divBdr>
                    <w:top w:val="none" w:sz="0" w:space="0" w:color="auto"/>
                    <w:left w:val="none" w:sz="0" w:space="0" w:color="auto"/>
                    <w:bottom w:val="none" w:sz="0" w:space="0" w:color="auto"/>
                    <w:right w:val="none" w:sz="0" w:space="0" w:color="auto"/>
                  </w:divBdr>
                </w:div>
                <w:div w:id="294153826">
                  <w:marLeft w:val="0"/>
                  <w:marRight w:val="0"/>
                  <w:marTop w:val="0"/>
                  <w:marBottom w:val="0"/>
                  <w:divBdr>
                    <w:top w:val="none" w:sz="0" w:space="0" w:color="auto"/>
                    <w:left w:val="none" w:sz="0" w:space="0" w:color="auto"/>
                    <w:bottom w:val="none" w:sz="0" w:space="0" w:color="auto"/>
                    <w:right w:val="none" w:sz="0" w:space="0" w:color="auto"/>
                  </w:divBdr>
                </w:div>
                <w:div w:id="294153855">
                  <w:marLeft w:val="0"/>
                  <w:marRight w:val="0"/>
                  <w:marTop w:val="0"/>
                  <w:marBottom w:val="0"/>
                  <w:divBdr>
                    <w:top w:val="none" w:sz="0" w:space="0" w:color="auto"/>
                    <w:left w:val="none" w:sz="0" w:space="0" w:color="auto"/>
                    <w:bottom w:val="none" w:sz="0" w:space="0" w:color="auto"/>
                    <w:right w:val="none" w:sz="0" w:space="0" w:color="auto"/>
                  </w:divBdr>
                </w:div>
                <w:div w:id="294153960">
                  <w:marLeft w:val="0"/>
                  <w:marRight w:val="0"/>
                  <w:marTop w:val="0"/>
                  <w:marBottom w:val="0"/>
                  <w:divBdr>
                    <w:top w:val="none" w:sz="0" w:space="0" w:color="auto"/>
                    <w:left w:val="none" w:sz="0" w:space="0" w:color="auto"/>
                    <w:bottom w:val="none" w:sz="0" w:space="0" w:color="auto"/>
                    <w:right w:val="none" w:sz="0" w:space="0" w:color="auto"/>
                  </w:divBdr>
                </w:div>
                <w:div w:id="294154506">
                  <w:marLeft w:val="0"/>
                  <w:marRight w:val="0"/>
                  <w:marTop w:val="0"/>
                  <w:marBottom w:val="0"/>
                  <w:divBdr>
                    <w:top w:val="none" w:sz="0" w:space="0" w:color="auto"/>
                    <w:left w:val="none" w:sz="0" w:space="0" w:color="auto"/>
                    <w:bottom w:val="none" w:sz="0" w:space="0" w:color="auto"/>
                    <w:right w:val="none" w:sz="0" w:space="0" w:color="auto"/>
                  </w:divBdr>
                </w:div>
                <w:div w:id="294154720">
                  <w:marLeft w:val="0"/>
                  <w:marRight w:val="0"/>
                  <w:marTop w:val="0"/>
                  <w:marBottom w:val="0"/>
                  <w:divBdr>
                    <w:top w:val="none" w:sz="0" w:space="0" w:color="auto"/>
                    <w:left w:val="none" w:sz="0" w:space="0" w:color="auto"/>
                    <w:bottom w:val="none" w:sz="0" w:space="0" w:color="auto"/>
                    <w:right w:val="none" w:sz="0" w:space="0" w:color="auto"/>
                  </w:divBdr>
                </w:div>
                <w:div w:id="294154781">
                  <w:marLeft w:val="0"/>
                  <w:marRight w:val="0"/>
                  <w:marTop w:val="0"/>
                  <w:marBottom w:val="0"/>
                  <w:divBdr>
                    <w:top w:val="none" w:sz="0" w:space="0" w:color="auto"/>
                    <w:left w:val="none" w:sz="0" w:space="0" w:color="auto"/>
                    <w:bottom w:val="none" w:sz="0" w:space="0" w:color="auto"/>
                    <w:right w:val="none" w:sz="0" w:space="0" w:color="auto"/>
                  </w:divBdr>
                </w:div>
                <w:div w:id="294154903">
                  <w:marLeft w:val="0"/>
                  <w:marRight w:val="0"/>
                  <w:marTop w:val="0"/>
                  <w:marBottom w:val="0"/>
                  <w:divBdr>
                    <w:top w:val="none" w:sz="0" w:space="0" w:color="auto"/>
                    <w:left w:val="none" w:sz="0" w:space="0" w:color="auto"/>
                    <w:bottom w:val="none" w:sz="0" w:space="0" w:color="auto"/>
                    <w:right w:val="none" w:sz="0" w:space="0" w:color="auto"/>
                  </w:divBdr>
                </w:div>
                <w:div w:id="294155053">
                  <w:marLeft w:val="0"/>
                  <w:marRight w:val="0"/>
                  <w:marTop w:val="0"/>
                  <w:marBottom w:val="0"/>
                  <w:divBdr>
                    <w:top w:val="none" w:sz="0" w:space="0" w:color="auto"/>
                    <w:left w:val="none" w:sz="0" w:space="0" w:color="auto"/>
                    <w:bottom w:val="none" w:sz="0" w:space="0" w:color="auto"/>
                    <w:right w:val="none" w:sz="0" w:space="0" w:color="auto"/>
                  </w:divBdr>
                </w:div>
                <w:div w:id="294155319">
                  <w:marLeft w:val="0"/>
                  <w:marRight w:val="0"/>
                  <w:marTop w:val="0"/>
                  <w:marBottom w:val="0"/>
                  <w:divBdr>
                    <w:top w:val="none" w:sz="0" w:space="0" w:color="auto"/>
                    <w:left w:val="none" w:sz="0" w:space="0" w:color="auto"/>
                    <w:bottom w:val="none" w:sz="0" w:space="0" w:color="auto"/>
                    <w:right w:val="none" w:sz="0" w:space="0" w:color="auto"/>
                  </w:divBdr>
                </w:div>
                <w:div w:id="294155456">
                  <w:marLeft w:val="0"/>
                  <w:marRight w:val="0"/>
                  <w:marTop w:val="0"/>
                  <w:marBottom w:val="0"/>
                  <w:divBdr>
                    <w:top w:val="none" w:sz="0" w:space="0" w:color="auto"/>
                    <w:left w:val="none" w:sz="0" w:space="0" w:color="auto"/>
                    <w:bottom w:val="none" w:sz="0" w:space="0" w:color="auto"/>
                    <w:right w:val="none" w:sz="0" w:space="0" w:color="auto"/>
                  </w:divBdr>
                </w:div>
                <w:div w:id="294155745">
                  <w:marLeft w:val="0"/>
                  <w:marRight w:val="0"/>
                  <w:marTop w:val="0"/>
                  <w:marBottom w:val="0"/>
                  <w:divBdr>
                    <w:top w:val="none" w:sz="0" w:space="0" w:color="auto"/>
                    <w:left w:val="none" w:sz="0" w:space="0" w:color="auto"/>
                    <w:bottom w:val="none" w:sz="0" w:space="0" w:color="auto"/>
                    <w:right w:val="none" w:sz="0" w:space="0" w:color="auto"/>
                  </w:divBdr>
                </w:div>
                <w:div w:id="294155765">
                  <w:marLeft w:val="0"/>
                  <w:marRight w:val="0"/>
                  <w:marTop w:val="0"/>
                  <w:marBottom w:val="0"/>
                  <w:divBdr>
                    <w:top w:val="none" w:sz="0" w:space="0" w:color="auto"/>
                    <w:left w:val="none" w:sz="0" w:space="0" w:color="auto"/>
                    <w:bottom w:val="none" w:sz="0" w:space="0" w:color="auto"/>
                    <w:right w:val="none" w:sz="0" w:space="0" w:color="auto"/>
                  </w:divBdr>
                </w:div>
                <w:div w:id="294155833">
                  <w:marLeft w:val="0"/>
                  <w:marRight w:val="0"/>
                  <w:marTop w:val="0"/>
                  <w:marBottom w:val="0"/>
                  <w:divBdr>
                    <w:top w:val="none" w:sz="0" w:space="0" w:color="auto"/>
                    <w:left w:val="none" w:sz="0" w:space="0" w:color="auto"/>
                    <w:bottom w:val="none" w:sz="0" w:space="0" w:color="auto"/>
                    <w:right w:val="none" w:sz="0" w:space="0" w:color="auto"/>
                  </w:divBdr>
                </w:div>
                <w:div w:id="294156087">
                  <w:marLeft w:val="0"/>
                  <w:marRight w:val="0"/>
                  <w:marTop w:val="0"/>
                  <w:marBottom w:val="0"/>
                  <w:divBdr>
                    <w:top w:val="none" w:sz="0" w:space="0" w:color="auto"/>
                    <w:left w:val="none" w:sz="0" w:space="0" w:color="auto"/>
                    <w:bottom w:val="none" w:sz="0" w:space="0" w:color="auto"/>
                    <w:right w:val="none" w:sz="0" w:space="0" w:color="auto"/>
                  </w:divBdr>
                </w:div>
                <w:div w:id="294156468">
                  <w:marLeft w:val="0"/>
                  <w:marRight w:val="0"/>
                  <w:marTop w:val="0"/>
                  <w:marBottom w:val="0"/>
                  <w:divBdr>
                    <w:top w:val="none" w:sz="0" w:space="0" w:color="auto"/>
                    <w:left w:val="none" w:sz="0" w:space="0" w:color="auto"/>
                    <w:bottom w:val="none" w:sz="0" w:space="0" w:color="auto"/>
                    <w:right w:val="none" w:sz="0" w:space="0" w:color="auto"/>
                  </w:divBdr>
                </w:div>
                <w:div w:id="294156541">
                  <w:marLeft w:val="0"/>
                  <w:marRight w:val="0"/>
                  <w:marTop w:val="0"/>
                  <w:marBottom w:val="0"/>
                  <w:divBdr>
                    <w:top w:val="none" w:sz="0" w:space="0" w:color="auto"/>
                    <w:left w:val="none" w:sz="0" w:space="0" w:color="auto"/>
                    <w:bottom w:val="none" w:sz="0" w:space="0" w:color="auto"/>
                    <w:right w:val="none" w:sz="0" w:space="0" w:color="auto"/>
                  </w:divBdr>
                </w:div>
                <w:div w:id="294156776">
                  <w:marLeft w:val="0"/>
                  <w:marRight w:val="0"/>
                  <w:marTop w:val="0"/>
                  <w:marBottom w:val="0"/>
                  <w:divBdr>
                    <w:top w:val="none" w:sz="0" w:space="0" w:color="auto"/>
                    <w:left w:val="none" w:sz="0" w:space="0" w:color="auto"/>
                    <w:bottom w:val="none" w:sz="0" w:space="0" w:color="auto"/>
                    <w:right w:val="none" w:sz="0" w:space="0" w:color="auto"/>
                  </w:divBdr>
                </w:div>
                <w:div w:id="294156805">
                  <w:marLeft w:val="0"/>
                  <w:marRight w:val="0"/>
                  <w:marTop w:val="0"/>
                  <w:marBottom w:val="0"/>
                  <w:divBdr>
                    <w:top w:val="none" w:sz="0" w:space="0" w:color="auto"/>
                    <w:left w:val="none" w:sz="0" w:space="0" w:color="auto"/>
                    <w:bottom w:val="none" w:sz="0" w:space="0" w:color="auto"/>
                    <w:right w:val="none" w:sz="0" w:space="0" w:color="auto"/>
                  </w:divBdr>
                </w:div>
                <w:div w:id="294157363">
                  <w:marLeft w:val="0"/>
                  <w:marRight w:val="0"/>
                  <w:marTop w:val="0"/>
                  <w:marBottom w:val="0"/>
                  <w:divBdr>
                    <w:top w:val="none" w:sz="0" w:space="0" w:color="auto"/>
                    <w:left w:val="none" w:sz="0" w:space="0" w:color="auto"/>
                    <w:bottom w:val="none" w:sz="0" w:space="0" w:color="auto"/>
                    <w:right w:val="none" w:sz="0" w:space="0" w:color="auto"/>
                  </w:divBdr>
                </w:div>
                <w:div w:id="29415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5272">
          <w:marLeft w:val="0"/>
          <w:marRight w:val="0"/>
          <w:marTop w:val="0"/>
          <w:marBottom w:val="300"/>
          <w:divBdr>
            <w:top w:val="none" w:sz="0" w:space="0" w:color="auto"/>
            <w:left w:val="none" w:sz="0" w:space="0" w:color="auto"/>
            <w:bottom w:val="none" w:sz="0" w:space="0" w:color="auto"/>
            <w:right w:val="none" w:sz="0" w:space="0" w:color="auto"/>
          </w:divBdr>
        </w:div>
        <w:div w:id="294153876">
          <w:marLeft w:val="0"/>
          <w:marRight w:val="0"/>
          <w:marTop w:val="0"/>
          <w:marBottom w:val="0"/>
          <w:divBdr>
            <w:top w:val="none" w:sz="0" w:space="0" w:color="auto"/>
            <w:left w:val="none" w:sz="0" w:space="0" w:color="auto"/>
            <w:bottom w:val="none" w:sz="0" w:space="0" w:color="auto"/>
            <w:right w:val="none" w:sz="0" w:space="0" w:color="auto"/>
          </w:divBdr>
          <w:divsChild>
            <w:div w:id="294139088">
              <w:marLeft w:val="0"/>
              <w:marRight w:val="0"/>
              <w:marTop w:val="0"/>
              <w:marBottom w:val="0"/>
              <w:divBdr>
                <w:top w:val="none" w:sz="0" w:space="0" w:color="auto"/>
                <w:left w:val="none" w:sz="0" w:space="0" w:color="auto"/>
                <w:bottom w:val="none" w:sz="0" w:space="0" w:color="auto"/>
                <w:right w:val="none" w:sz="0" w:space="0" w:color="auto"/>
              </w:divBdr>
              <w:divsChild>
                <w:div w:id="294142913">
                  <w:marLeft w:val="0"/>
                  <w:marRight w:val="0"/>
                  <w:marTop w:val="0"/>
                  <w:marBottom w:val="0"/>
                  <w:divBdr>
                    <w:top w:val="none" w:sz="0" w:space="0" w:color="auto"/>
                    <w:left w:val="none" w:sz="0" w:space="0" w:color="auto"/>
                    <w:bottom w:val="none" w:sz="0" w:space="0" w:color="auto"/>
                    <w:right w:val="none" w:sz="0" w:space="0" w:color="auto"/>
                  </w:divBdr>
                  <w:divsChild>
                    <w:div w:id="294137994">
                      <w:marLeft w:val="0"/>
                      <w:marRight w:val="0"/>
                      <w:marTop w:val="0"/>
                      <w:marBottom w:val="0"/>
                      <w:divBdr>
                        <w:top w:val="none" w:sz="0" w:space="0" w:color="auto"/>
                        <w:left w:val="none" w:sz="0" w:space="0" w:color="auto"/>
                        <w:bottom w:val="none" w:sz="0" w:space="0" w:color="auto"/>
                        <w:right w:val="none" w:sz="0" w:space="0" w:color="auto"/>
                      </w:divBdr>
                      <w:divsChild>
                        <w:div w:id="294146804">
                          <w:marLeft w:val="0"/>
                          <w:marRight w:val="0"/>
                          <w:marTop w:val="0"/>
                          <w:marBottom w:val="0"/>
                          <w:divBdr>
                            <w:top w:val="none" w:sz="0" w:space="0" w:color="auto"/>
                            <w:left w:val="none" w:sz="0" w:space="0" w:color="auto"/>
                            <w:bottom w:val="none" w:sz="0" w:space="0" w:color="auto"/>
                            <w:right w:val="none" w:sz="0" w:space="0" w:color="auto"/>
                          </w:divBdr>
                        </w:div>
                      </w:divsChild>
                    </w:div>
                    <w:div w:id="294138004">
                      <w:marLeft w:val="0"/>
                      <w:marRight w:val="0"/>
                      <w:marTop w:val="0"/>
                      <w:marBottom w:val="0"/>
                      <w:divBdr>
                        <w:top w:val="none" w:sz="0" w:space="0" w:color="auto"/>
                        <w:left w:val="none" w:sz="0" w:space="0" w:color="auto"/>
                        <w:bottom w:val="none" w:sz="0" w:space="0" w:color="auto"/>
                        <w:right w:val="none" w:sz="0" w:space="0" w:color="auto"/>
                      </w:divBdr>
                    </w:div>
                    <w:div w:id="294138006">
                      <w:marLeft w:val="0"/>
                      <w:marRight w:val="0"/>
                      <w:marTop w:val="0"/>
                      <w:marBottom w:val="0"/>
                      <w:divBdr>
                        <w:top w:val="none" w:sz="0" w:space="0" w:color="auto"/>
                        <w:left w:val="none" w:sz="0" w:space="0" w:color="auto"/>
                        <w:bottom w:val="none" w:sz="0" w:space="0" w:color="auto"/>
                        <w:right w:val="none" w:sz="0" w:space="0" w:color="auto"/>
                      </w:divBdr>
                    </w:div>
                    <w:div w:id="294138067">
                      <w:marLeft w:val="0"/>
                      <w:marRight w:val="0"/>
                      <w:marTop w:val="0"/>
                      <w:marBottom w:val="0"/>
                      <w:divBdr>
                        <w:top w:val="none" w:sz="0" w:space="0" w:color="auto"/>
                        <w:left w:val="none" w:sz="0" w:space="0" w:color="auto"/>
                        <w:bottom w:val="none" w:sz="0" w:space="0" w:color="auto"/>
                        <w:right w:val="none" w:sz="0" w:space="0" w:color="auto"/>
                      </w:divBdr>
                    </w:div>
                    <w:div w:id="294138190">
                      <w:marLeft w:val="0"/>
                      <w:marRight w:val="0"/>
                      <w:marTop w:val="0"/>
                      <w:marBottom w:val="0"/>
                      <w:divBdr>
                        <w:top w:val="none" w:sz="0" w:space="0" w:color="auto"/>
                        <w:left w:val="none" w:sz="0" w:space="0" w:color="auto"/>
                        <w:bottom w:val="none" w:sz="0" w:space="0" w:color="auto"/>
                        <w:right w:val="none" w:sz="0" w:space="0" w:color="auto"/>
                      </w:divBdr>
                    </w:div>
                    <w:div w:id="294138292">
                      <w:marLeft w:val="0"/>
                      <w:marRight w:val="0"/>
                      <w:marTop w:val="0"/>
                      <w:marBottom w:val="0"/>
                      <w:divBdr>
                        <w:top w:val="none" w:sz="0" w:space="0" w:color="auto"/>
                        <w:left w:val="none" w:sz="0" w:space="0" w:color="auto"/>
                        <w:bottom w:val="none" w:sz="0" w:space="0" w:color="auto"/>
                        <w:right w:val="none" w:sz="0" w:space="0" w:color="auto"/>
                      </w:divBdr>
                      <w:divsChild>
                        <w:div w:id="294152717">
                          <w:marLeft w:val="0"/>
                          <w:marRight w:val="0"/>
                          <w:marTop w:val="0"/>
                          <w:marBottom w:val="0"/>
                          <w:divBdr>
                            <w:top w:val="none" w:sz="0" w:space="0" w:color="auto"/>
                            <w:left w:val="none" w:sz="0" w:space="0" w:color="auto"/>
                            <w:bottom w:val="none" w:sz="0" w:space="0" w:color="auto"/>
                            <w:right w:val="none" w:sz="0" w:space="0" w:color="auto"/>
                          </w:divBdr>
                        </w:div>
                      </w:divsChild>
                    </w:div>
                    <w:div w:id="294138337">
                      <w:marLeft w:val="0"/>
                      <w:marRight w:val="0"/>
                      <w:marTop w:val="0"/>
                      <w:marBottom w:val="0"/>
                      <w:divBdr>
                        <w:top w:val="none" w:sz="0" w:space="0" w:color="auto"/>
                        <w:left w:val="none" w:sz="0" w:space="0" w:color="auto"/>
                        <w:bottom w:val="none" w:sz="0" w:space="0" w:color="auto"/>
                        <w:right w:val="none" w:sz="0" w:space="0" w:color="auto"/>
                      </w:divBdr>
                    </w:div>
                    <w:div w:id="294138439">
                      <w:marLeft w:val="0"/>
                      <w:marRight w:val="0"/>
                      <w:marTop w:val="0"/>
                      <w:marBottom w:val="0"/>
                      <w:divBdr>
                        <w:top w:val="none" w:sz="0" w:space="0" w:color="auto"/>
                        <w:left w:val="none" w:sz="0" w:space="0" w:color="auto"/>
                        <w:bottom w:val="none" w:sz="0" w:space="0" w:color="auto"/>
                        <w:right w:val="none" w:sz="0" w:space="0" w:color="auto"/>
                      </w:divBdr>
                    </w:div>
                    <w:div w:id="294138452">
                      <w:marLeft w:val="0"/>
                      <w:marRight w:val="0"/>
                      <w:marTop w:val="0"/>
                      <w:marBottom w:val="0"/>
                      <w:divBdr>
                        <w:top w:val="none" w:sz="0" w:space="0" w:color="auto"/>
                        <w:left w:val="none" w:sz="0" w:space="0" w:color="auto"/>
                        <w:bottom w:val="none" w:sz="0" w:space="0" w:color="auto"/>
                        <w:right w:val="none" w:sz="0" w:space="0" w:color="auto"/>
                      </w:divBdr>
                      <w:divsChild>
                        <w:div w:id="294148288">
                          <w:marLeft w:val="0"/>
                          <w:marRight w:val="0"/>
                          <w:marTop w:val="0"/>
                          <w:marBottom w:val="0"/>
                          <w:divBdr>
                            <w:top w:val="none" w:sz="0" w:space="0" w:color="auto"/>
                            <w:left w:val="none" w:sz="0" w:space="0" w:color="auto"/>
                            <w:bottom w:val="none" w:sz="0" w:space="0" w:color="auto"/>
                            <w:right w:val="none" w:sz="0" w:space="0" w:color="auto"/>
                          </w:divBdr>
                        </w:div>
                      </w:divsChild>
                    </w:div>
                    <w:div w:id="294138557">
                      <w:marLeft w:val="0"/>
                      <w:marRight w:val="0"/>
                      <w:marTop w:val="0"/>
                      <w:marBottom w:val="0"/>
                      <w:divBdr>
                        <w:top w:val="none" w:sz="0" w:space="0" w:color="auto"/>
                        <w:left w:val="none" w:sz="0" w:space="0" w:color="auto"/>
                        <w:bottom w:val="none" w:sz="0" w:space="0" w:color="auto"/>
                        <w:right w:val="none" w:sz="0" w:space="0" w:color="auto"/>
                      </w:divBdr>
                      <w:divsChild>
                        <w:div w:id="294138116">
                          <w:marLeft w:val="0"/>
                          <w:marRight w:val="0"/>
                          <w:marTop w:val="0"/>
                          <w:marBottom w:val="0"/>
                          <w:divBdr>
                            <w:top w:val="none" w:sz="0" w:space="0" w:color="auto"/>
                            <w:left w:val="none" w:sz="0" w:space="0" w:color="auto"/>
                            <w:bottom w:val="none" w:sz="0" w:space="0" w:color="auto"/>
                            <w:right w:val="none" w:sz="0" w:space="0" w:color="auto"/>
                          </w:divBdr>
                        </w:div>
                      </w:divsChild>
                    </w:div>
                    <w:div w:id="294138672">
                      <w:marLeft w:val="0"/>
                      <w:marRight w:val="0"/>
                      <w:marTop w:val="0"/>
                      <w:marBottom w:val="0"/>
                      <w:divBdr>
                        <w:top w:val="none" w:sz="0" w:space="0" w:color="auto"/>
                        <w:left w:val="none" w:sz="0" w:space="0" w:color="auto"/>
                        <w:bottom w:val="none" w:sz="0" w:space="0" w:color="auto"/>
                        <w:right w:val="none" w:sz="0" w:space="0" w:color="auto"/>
                      </w:divBdr>
                      <w:divsChild>
                        <w:div w:id="294144526">
                          <w:marLeft w:val="0"/>
                          <w:marRight w:val="0"/>
                          <w:marTop w:val="0"/>
                          <w:marBottom w:val="0"/>
                          <w:divBdr>
                            <w:top w:val="none" w:sz="0" w:space="0" w:color="auto"/>
                            <w:left w:val="none" w:sz="0" w:space="0" w:color="auto"/>
                            <w:bottom w:val="none" w:sz="0" w:space="0" w:color="auto"/>
                            <w:right w:val="none" w:sz="0" w:space="0" w:color="auto"/>
                          </w:divBdr>
                        </w:div>
                      </w:divsChild>
                    </w:div>
                    <w:div w:id="294138689">
                      <w:marLeft w:val="0"/>
                      <w:marRight w:val="0"/>
                      <w:marTop w:val="0"/>
                      <w:marBottom w:val="0"/>
                      <w:divBdr>
                        <w:top w:val="none" w:sz="0" w:space="0" w:color="auto"/>
                        <w:left w:val="none" w:sz="0" w:space="0" w:color="auto"/>
                        <w:bottom w:val="none" w:sz="0" w:space="0" w:color="auto"/>
                        <w:right w:val="none" w:sz="0" w:space="0" w:color="auto"/>
                      </w:divBdr>
                    </w:div>
                    <w:div w:id="294138733">
                      <w:marLeft w:val="0"/>
                      <w:marRight w:val="0"/>
                      <w:marTop w:val="0"/>
                      <w:marBottom w:val="0"/>
                      <w:divBdr>
                        <w:top w:val="none" w:sz="0" w:space="0" w:color="auto"/>
                        <w:left w:val="none" w:sz="0" w:space="0" w:color="auto"/>
                        <w:bottom w:val="none" w:sz="0" w:space="0" w:color="auto"/>
                        <w:right w:val="none" w:sz="0" w:space="0" w:color="auto"/>
                      </w:divBdr>
                      <w:divsChild>
                        <w:div w:id="294150623">
                          <w:marLeft w:val="0"/>
                          <w:marRight w:val="0"/>
                          <w:marTop w:val="0"/>
                          <w:marBottom w:val="0"/>
                          <w:divBdr>
                            <w:top w:val="none" w:sz="0" w:space="0" w:color="auto"/>
                            <w:left w:val="none" w:sz="0" w:space="0" w:color="auto"/>
                            <w:bottom w:val="none" w:sz="0" w:space="0" w:color="auto"/>
                            <w:right w:val="none" w:sz="0" w:space="0" w:color="auto"/>
                          </w:divBdr>
                        </w:div>
                      </w:divsChild>
                    </w:div>
                    <w:div w:id="294138741">
                      <w:marLeft w:val="0"/>
                      <w:marRight w:val="0"/>
                      <w:marTop w:val="0"/>
                      <w:marBottom w:val="0"/>
                      <w:divBdr>
                        <w:top w:val="none" w:sz="0" w:space="0" w:color="auto"/>
                        <w:left w:val="none" w:sz="0" w:space="0" w:color="auto"/>
                        <w:bottom w:val="none" w:sz="0" w:space="0" w:color="auto"/>
                        <w:right w:val="none" w:sz="0" w:space="0" w:color="auto"/>
                      </w:divBdr>
                    </w:div>
                    <w:div w:id="294138805">
                      <w:marLeft w:val="0"/>
                      <w:marRight w:val="0"/>
                      <w:marTop w:val="0"/>
                      <w:marBottom w:val="0"/>
                      <w:divBdr>
                        <w:top w:val="none" w:sz="0" w:space="0" w:color="auto"/>
                        <w:left w:val="none" w:sz="0" w:space="0" w:color="auto"/>
                        <w:bottom w:val="none" w:sz="0" w:space="0" w:color="auto"/>
                        <w:right w:val="none" w:sz="0" w:space="0" w:color="auto"/>
                      </w:divBdr>
                      <w:divsChild>
                        <w:div w:id="294157296">
                          <w:marLeft w:val="0"/>
                          <w:marRight w:val="0"/>
                          <w:marTop w:val="0"/>
                          <w:marBottom w:val="0"/>
                          <w:divBdr>
                            <w:top w:val="none" w:sz="0" w:space="0" w:color="auto"/>
                            <w:left w:val="none" w:sz="0" w:space="0" w:color="auto"/>
                            <w:bottom w:val="none" w:sz="0" w:space="0" w:color="auto"/>
                            <w:right w:val="none" w:sz="0" w:space="0" w:color="auto"/>
                          </w:divBdr>
                        </w:div>
                      </w:divsChild>
                    </w:div>
                    <w:div w:id="294138827">
                      <w:marLeft w:val="0"/>
                      <w:marRight w:val="0"/>
                      <w:marTop w:val="0"/>
                      <w:marBottom w:val="0"/>
                      <w:divBdr>
                        <w:top w:val="none" w:sz="0" w:space="0" w:color="auto"/>
                        <w:left w:val="none" w:sz="0" w:space="0" w:color="auto"/>
                        <w:bottom w:val="none" w:sz="0" w:space="0" w:color="auto"/>
                        <w:right w:val="none" w:sz="0" w:space="0" w:color="auto"/>
                      </w:divBdr>
                    </w:div>
                    <w:div w:id="294138904">
                      <w:marLeft w:val="0"/>
                      <w:marRight w:val="0"/>
                      <w:marTop w:val="0"/>
                      <w:marBottom w:val="0"/>
                      <w:divBdr>
                        <w:top w:val="none" w:sz="0" w:space="0" w:color="auto"/>
                        <w:left w:val="none" w:sz="0" w:space="0" w:color="auto"/>
                        <w:bottom w:val="none" w:sz="0" w:space="0" w:color="auto"/>
                        <w:right w:val="none" w:sz="0" w:space="0" w:color="auto"/>
                      </w:divBdr>
                    </w:div>
                    <w:div w:id="294138962">
                      <w:marLeft w:val="0"/>
                      <w:marRight w:val="0"/>
                      <w:marTop w:val="0"/>
                      <w:marBottom w:val="0"/>
                      <w:divBdr>
                        <w:top w:val="none" w:sz="0" w:space="0" w:color="auto"/>
                        <w:left w:val="none" w:sz="0" w:space="0" w:color="auto"/>
                        <w:bottom w:val="none" w:sz="0" w:space="0" w:color="auto"/>
                        <w:right w:val="none" w:sz="0" w:space="0" w:color="auto"/>
                      </w:divBdr>
                      <w:divsChild>
                        <w:div w:id="294154787">
                          <w:marLeft w:val="0"/>
                          <w:marRight w:val="0"/>
                          <w:marTop w:val="0"/>
                          <w:marBottom w:val="0"/>
                          <w:divBdr>
                            <w:top w:val="none" w:sz="0" w:space="0" w:color="auto"/>
                            <w:left w:val="none" w:sz="0" w:space="0" w:color="auto"/>
                            <w:bottom w:val="none" w:sz="0" w:space="0" w:color="auto"/>
                            <w:right w:val="none" w:sz="0" w:space="0" w:color="auto"/>
                          </w:divBdr>
                        </w:div>
                      </w:divsChild>
                    </w:div>
                    <w:div w:id="294138986">
                      <w:marLeft w:val="0"/>
                      <w:marRight w:val="0"/>
                      <w:marTop w:val="0"/>
                      <w:marBottom w:val="0"/>
                      <w:divBdr>
                        <w:top w:val="none" w:sz="0" w:space="0" w:color="auto"/>
                        <w:left w:val="none" w:sz="0" w:space="0" w:color="auto"/>
                        <w:bottom w:val="none" w:sz="0" w:space="0" w:color="auto"/>
                        <w:right w:val="none" w:sz="0" w:space="0" w:color="auto"/>
                      </w:divBdr>
                      <w:divsChild>
                        <w:div w:id="294147759">
                          <w:marLeft w:val="0"/>
                          <w:marRight w:val="0"/>
                          <w:marTop w:val="0"/>
                          <w:marBottom w:val="0"/>
                          <w:divBdr>
                            <w:top w:val="none" w:sz="0" w:space="0" w:color="auto"/>
                            <w:left w:val="none" w:sz="0" w:space="0" w:color="auto"/>
                            <w:bottom w:val="none" w:sz="0" w:space="0" w:color="auto"/>
                            <w:right w:val="none" w:sz="0" w:space="0" w:color="auto"/>
                          </w:divBdr>
                        </w:div>
                      </w:divsChild>
                    </w:div>
                    <w:div w:id="294139047">
                      <w:marLeft w:val="0"/>
                      <w:marRight w:val="0"/>
                      <w:marTop w:val="0"/>
                      <w:marBottom w:val="0"/>
                      <w:divBdr>
                        <w:top w:val="none" w:sz="0" w:space="0" w:color="auto"/>
                        <w:left w:val="none" w:sz="0" w:space="0" w:color="auto"/>
                        <w:bottom w:val="none" w:sz="0" w:space="0" w:color="auto"/>
                        <w:right w:val="none" w:sz="0" w:space="0" w:color="auto"/>
                      </w:divBdr>
                      <w:divsChild>
                        <w:div w:id="294138924">
                          <w:marLeft w:val="0"/>
                          <w:marRight w:val="0"/>
                          <w:marTop w:val="0"/>
                          <w:marBottom w:val="0"/>
                          <w:divBdr>
                            <w:top w:val="none" w:sz="0" w:space="0" w:color="auto"/>
                            <w:left w:val="none" w:sz="0" w:space="0" w:color="auto"/>
                            <w:bottom w:val="none" w:sz="0" w:space="0" w:color="auto"/>
                            <w:right w:val="none" w:sz="0" w:space="0" w:color="auto"/>
                          </w:divBdr>
                        </w:div>
                      </w:divsChild>
                    </w:div>
                    <w:div w:id="294139128">
                      <w:marLeft w:val="0"/>
                      <w:marRight w:val="0"/>
                      <w:marTop w:val="0"/>
                      <w:marBottom w:val="0"/>
                      <w:divBdr>
                        <w:top w:val="none" w:sz="0" w:space="0" w:color="auto"/>
                        <w:left w:val="none" w:sz="0" w:space="0" w:color="auto"/>
                        <w:bottom w:val="none" w:sz="0" w:space="0" w:color="auto"/>
                        <w:right w:val="none" w:sz="0" w:space="0" w:color="auto"/>
                      </w:divBdr>
                      <w:divsChild>
                        <w:div w:id="294142398">
                          <w:marLeft w:val="0"/>
                          <w:marRight w:val="0"/>
                          <w:marTop w:val="0"/>
                          <w:marBottom w:val="0"/>
                          <w:divBdr>
                            <w:top w:val="none" w:sz="0" w:space="0" w:color="auto"/>
                            <w:left w:val="none" w:sz="0" w:space="0" w:color="auto"/>
                            <w:bottom w:val="none" w:sz="0" w:space="0" w:color="auto"/>
                            <w:right w:val="none" w:sz="0" w:space="0" w:color="auto"/>
                          </w:divBdr>
                        </w:div>
                      </w:divsChild>
                    </w:div>
                    <w:div w:id="294139161">
                      <w:marLeft w:val="0"/>
                      <w:marRight w:val="0"/>
                      <w:marTop w:val="0"/>
                      <w:marBottom w:val="0"/>
                      <w:divBdr>
                        <w:top w:val="none" w:sz="0" w:space="0" w:color="auto"/>
                        <w:left w:val="none" w:sz="0" w:space="0" w:color="auto"/>
                        <w:bottom w:val="none" w:sz="0" w:space="0" w:color="auto"/>
                        <w:right w:val="none" w:sz="0" w:space="0" w:color="auto"/>
                      </w:divBdr>
                    </w:div>
                    <w:div w:id="294139175">
                      <w:marLeft w:val="0"/>
                      <w:marRight w:val="0"/>
                      <w:marTop w:val="0"/>
                      <w:marBottom w:val="0"/>
                      <w:divBdr>
                        <w:top w:val="none" w:sz="0" w:space="0" w:color="auto"/>
                        <w:left w:val="none" w:sz="0" w:space="0" w:color="auto"/>
                        <w:bottom w:val="none" w:sz="0" w:space="0" w:color="auto"/>
                        <w:right w:val="none" w:sz="0" w:space="0" w:color="auto"/>
                      </w:divBdr>
                      <w:divsChild>
                        <w:div w:id="294149604">
                          <w:marLeft w:val="0"/>
                          <w:marRight w:val="0"/>
                          <w:marTop w:val="0"/>
                          <w:marBottom w:val="0"/>
                          <w:divBdr>
                            <w:top w:val="none" w:sz="0" w:space="0" w:color="auto"/>
                            <w:left w:val="none" w:sz="0" w:space="0" w:color="auto"/>
                            <w:bottom w:val="none" w:sz="0" w:space="0" w:color="auto"/>
                            <w:right w:val="none" w:sz="0" w:space="0" w:color="auto"/>
                          </w:divBdr>
                        </w:div>
                      </w:divsChild>
                    </w:div>
                    <w:div w:id="294139186">
                      <w:marLeft w:val="0"/>
                      <w:marRight w:val="0"/>
                      <w:marTop w:val="0"/>
                      <w:marBottom w:val="0"/>
                      <w:divBdr>
                        <w:top w:val="none" w:sz="0" w:space="0" w:color="auto"/>
                        <w:left w:val="none" w:sz="0" w:space="0" w:color="auto"/>
                        <w:bottom w:val="none" w:sz="0" w:space="0" w:color="auto"/>
                        <w:right w:val="none" w:sz="0" w:space="0" w:color="auto"/>
                      </w:divBdr>
                    </w:div>
                    <w:div w:id="294139204">
                      <w:marLeft w:val="0"/>
                      <w:marRight w:val="0"/>
                      <w:marTop w:val="0"/>
                      <w:marBottom w:val="0"/>
                      <w:divBdr>
                        <w:top w:val="none" w:sz="0" w:space="0" w:color="auto"/>
                        <w:left w:val="none" w:sz="0" w:space="0" w:color="auto"/>
                        <w:bottom w:val="none" w:sz="0" w:space="0" w:color="auto"/>
                        <w:right w:val="none" w:sz="0" w:space="0" w:color="auto"/>
                      </w:divBdr>
                      <w:divsChild>
                        <w:div w:id="294141544">
                          <w:marLeft w:val="0"/>
                          <w:marRight w:val="0"/>
                          <w:marTop w:val="0"/>
                          <w:marBottom w:val="0"/>
                          <w:divBdr>
                            <w:top w:val="none" w:sz="0" w:space="0" w:color="auto"/>
                            <w:left w:val="none" w:sz="0" w:space="0" w:color="auto"/>
                            <w:bottom w:val="none" w:sz="0" w:space="0" w:color="auto"/>
                            <w:right w:val="none" w:sz="0" w:space="0" w:color="auto"/>
                          </w:divBdr>
                        </w:div>
                      </w:divsChild>
                    </w:div>
                    <w:div w:id="294139223">
                      <w:marLeft w:val="0"/>
                      <w:marRight w:val="0"/>
                      <w:marTop w:val="0"/>
                      <w:marBottom w:val="0"/>
                      <w:divBdr>
                        <w:top w:val="none" w:sz="0" w:space="0" w:color="auto"/>
                        <w:left w:val="none" w:sz="0" w:space="0" w:color="auto"/>
                        <w:bottom w:val="none" w:sz="0" w:space="0" w:color="auto"/>
                        <w:right w:val="none" w:sz="0" w:space="0" w:color="auto"/>
                      </w:divBdr>
                    </w:div>
                    <w:div w:id="294139253">
                      <w:marLeft w:val="0"/>
                      <w:marRight w:val="0"/>
                      <w:marTop w:val="0"/>
                      <w:marBottom w:val="0"/>
                      <w:divBdr>
                        <w:top w:val="none" w:sz="0" w:space="0" w:color="auto"/>
                        <w:left w:val="none" w:sz="0" w:space="0" w:color="auto"/>
                        <w:bottom w:val="none" w:sz="0" w:space="0" w:color="auto"/>
                        <w:right w:val="none" w:sz="0" w:space="0" w:color="auto"/>
                      </w:divBdr>
                      <w:divsChild>
                        <w:div w:id="294154219">
                          <w:marLeft w:val="0"/>
                          <w:marRight w:val="0"/>
                          <w:marTop w:val="0"/>
                          <w:marBottom w:val="0"/>
                          <w:divBdr>
                            <w:top w:val="none" w:sz="0" w:space="0" w:color="auto"/>
                            <w:left w:val="none" w:sz="0" w:space="0" w:color="auto"/>
                            <w:bottom w:val="none" w:sz="0" w:space="0" w:color="auto"/>
                            <w:right w:val="none" w:sz="0" w:space="0" w:color="auto"/>
                          </w:divBdr>
                        </w:div>
                      </w:divsChild>
                    </w:div>
                    <w:div w:id="294139383">
                      <w:marLeft w:val="0"/>
                      <w:marRight w:val="0"/>
                      <w:marTop w:val="0"/>
                      <w:marBottom w:val="0"/>
                      <w:divBdr>
                        <w:top w:val="none" w:sz="0" w:space="0" w:color="auto"/>
                        <w:left w:val="none" w:sz="0" w:space="0" w:color="auto"/>
                        <w:bottom w:val="none" w:sz="0" w:space="0" w:color="auto"/>
                        <w:right w:val="none" w:sz="0" w:space="0" w:color="auto"/>
                      </w:divBdr>
                    </w:div>
                    <w:div w:id="294139388">
                      <w:marLeft w:val="0"/>
                      <w:marRight w:val="0"/>
                      <w:marTop w:val="0"/>
                      <w:marBottom w:val="0"/>
                      <w:divBdr>
                        <w:top w:val="none" w:sz="0" w:space="0" w:color="auto"/>
                        <w:left w:val="none" w:sz="0" w:space="0" w:color="auto"/>
                        <w:bottom w:val="none" w:sz="0" w:space="0" w:color="auto"/>
                        <w:right w:val="none" w:sz="0" w:space="0" w:color="auto"/>
                      </w:divBdr>
                      <w:divsChild>
                        <w:div w:id="294149359">
                          <w:marLeft w:val="0"/>
                          <w:marRight w:val="0"/>
                          <w:marTop w:val="0"/>
                          <w:marBottom w:val="0"/>
                          <w:divBdr>
                            <w:top w:val="none" w:sz="0" w:space="0" w:color="auto"/>
                            <w:left w:val="none" w:sz="0" w:space="0" w:color="auto"/>
                            <w:bottom w:val="none" w:sz="0" w:space="0" w:color="auto"/>
                            <w:right w:val="none" w:sz="0" w:space="0" w:color="auto"/>
                          </w:divBdr>
                        </w:div>
                      </w:divsChild>
                    </w:div>
                    <w:div w:id="294139429">
                      <w:marLeft w:val="0"/>
                      <w:marRight w:val="0"/>
                      <w:marTop w:val="0"/>
                      <w:marBottom w:val="0"/>
                      <w:divBdr>
                        <w:top w:val="none" w:sz="0" w:space="0" w:color="auto"/>
                        <w:left w:val="none" w:sz="0" w:space="0" w:color="auto"/>
                        <w:bottom w:val="none" w:sz="0" w:space="0" w:color="auto"/>
                        <w:right w:val="none" w:sz="0" w:space="0" w:color="auto"/>
                      </w:divBdr>
                      <w:divsChild>
                        <w:div w:id="294145329">
                          <w:marLeft w:val="0"/>
                          <w:marRight w:val="0"/>
                          <w:marTop w:val="0"/>
                          <w:marBottom w:val="0"/>
                          <w:divBdr>
                            <w:top w:val="none" w:sz="0" w:space="0" w:color="auto"/>
                            <w:left w:val="none" w:sz="0" w:space="0" w:color="auto"/>
                            <w:bottom w:val="none" w:sz="0" w:space="0" w:color="auto"/>
                            <w:right w:val="none" w:sz="0" w:space="0" w:color="auto"/>
                          </w:divBdr>
                        </w:div>
                      </w:divsChild>
                    </w:div>
                    <w:div w:id="294139430">
                      <w:marLeft w:val="0"/>
                      <w:marRight w:val="0"/>
                      <w:marTop w:val="0"/>
                      <w:marBottom w:val="0"/>
                      <w:divBdr>
                        <w:top w:val="none" w:sz="0" w:space="0" w:color="auto"/>
                        <w:left w:val="none" w:sz="0" w:space="0" w:color="auto"/>
                        <w:bottom w:val="none" w:sz="0" w:space="0" w:color="auto"/>
                        <w:right w:val="none" w:sz="0" w:space="0" w:color="auto"/>
                      </w:divBdr>
                    </w:div>
                    <w:div w:id="294139437">
                      <w:marLeft w:val="0"/>
                      <w:marRight w:val="0"/>
                      <w:marTop w:val="0"/>
                      <w:marBottom w:val="0"/>
                      <w:divBdr>
                        <w:top w:val="none" w:sz="0" w:space="0" w:color="auto"/>
                        <w:left w:val="none" w:sz="0" w:space="0" w:color="auto"/>
                        <w:bottom w:val="none" w:sz="0" w:space="0" w:color="auto"/>
                        <w:right w:val="none" w:sz="0" w:space="0" w:color="auto"/>
                      </w:divBdr>
                      <w:divsChild>
                        <w:div w:id="294144631">
                          <w:marLeft w:val="0"/>
                          <w:marRight w:val="0"/>
                          <w:marTop w:val="0"/>
                          <w:marBottom w:val="0"/>
                          <w:divBdr>
                            <w:top w:val="none" w:sz="0" w:space="0" w:color="auto"/>
                            <w:left w:val="none" w:sz="0" w:space="0" w:color="auto"/>
                            <w:bottom w:val="none" w:sz="0" w:space="0" w:color="auto"/>
                            <w:right w:val="none" w:sz="0" w:space="0" w:color="auto"/>
                          </w:divBdr>
                        </w:div>
                      </w:divsChild>
                    </w:div>
                    <w:div w:id="294139450">
                      <w:marLeft w:val="0"/>
                      <w:marRight w:val="0"/>
                      <w:marTop w:val="0"/>
                      <w:marBottom w:val="0"/>
                      <w:divBdr>
                        <w:top w:val="none" w:sz="0" w:space="0" w:color="auto"/>
                        <w:left w:val="none" w:sz="0" w:space="0" w:color="auto"/>
                        <w:bottom w:val="none" w:sz="0" w:space="0" w:color="auto"/>
                        <w:right w:val="none" w:sz="0" w:space="0" w:color="auto"/>
                      </w:divBdr>
                    </w:div>
                    <w:div w:id="294139495">
                      <w:marLeft w:val="0"/>
                      <w:marRight w:val="0"/>
                      <w:marTop w:val="0"/>
                      <w:marBottom w:val="0"/>
                      <w:divBdr>
                        <w:top w:val="none" w:sz="0" w:space="0" w:color="auto"/>
                        <w:left w:val="none" w:sz="0" w:space="0" w:color="auto"/>
                        <w:bottom w:val="none" w:sz="0" w:space="0" w:color="auto"/>
                        <w:right w:val="none" w:sz="0" w:space="0" w:color="auto"/>
                      </w:divBdr>
                      <w:divsChild>
                        <w:div w:id="294151049">
                          <w:marLeft w:val="0"/>
                          <w:marRight w:val="0"/>
                          <w:marTop w:val="0"/>
                          <w:marBottom w:val="0"/>
                          <w:divBdr>
                            <w:top w:val="none" w:sz="0" w:space="0" w:color="auto"/>
                            <w:left w:val="none" w:sz="0" w:space="0" w:color="auto"/>
                            <w:bottom w:val="none" w:sz="0" w:space="0" w:color="auto"/>
                            <w:right w:val="none" w:sz="0" w:space="0" w:color="auto"/>
                          </w:divBdr>
                        </w:div>
                      </w:divsChild>
                    </w:div>
                    <w:div w:id="294139587">
                      <w:marLeft w:val="0"/>
                      <w:marRight w:val="0"/>
                      <w:marTop w:val="0"/>
                      <w:marBottom w:val="0"/>
                      <w:divBdr>
                        <w:top w:val="none" w:sz="0" w:space="0" w:color="auto"/>
                        <w:left w:val="none" w:sz="0" w:space="0" w:color="auto"/>
                        <w:bottom w:val="none" w:sz="0" w:space="0" w:color="auto"/>
                        <w:right w:val="none" w:sz="0" w:space="0" w:color="auto"/>
                      </w:divBdr>
                      <w:divsChild>
                        <w:div w:id="294147966">
                          <w:marLeft w:val="0"/>
                          <w:marRight w:val="0"/>
                          <w:marTop w:val="0"/>
                          <w:marBottom w:val="0"/>
                          <w:divBdr>
                            <w:top w:val="none" w:sz="0" w:space="0" w:color="auto"/>
                            <w:left w:val="none" w:sz="0" w:space="0" w:color="auto"/>
                            <w:bottom w:val="none" w:sz="0" w:space="0" w:color="auto"/>
                            <w:right w:val="none" w:sz="0" w:space="0" w:color="auto"/>
                          </w:divBdr>
                        </w:div>
                      </w:divsChild>
                    </w:div>
                    <w:div w:id="294139649">
                      <w:marLeft w:val="0"/>
                      <w:marRight w:val="0"/>
                      <w:marTop w:val="0"/>
                      <w:marBottom w:val="0"/>
                      <w:divBdr>
                        <w:top w:val="none" w:sz="0" w:space="0" w:color="auto"/>
                        <w:left w:val="none" w:sz="0" w:space="0" w:color="auto"/>
                        <w:bottom w:val="none" w:sz="0" w:space="0" w:color="auto"/>
                        <w:right w:val="none" w:sz="0" w:space="0" w:color="auto"/>
                      </w:divBdr>
                    </w:div>
                    <w:div w:id="294139767">
                      <w:marLeft w:val="0"/>
                      <w:marRight w:val="0"/>
                      <w:marTop w:val="0"/>
                      <w:marBottom w:val="0"/>
                      <w:divBdr>
                        <w:top w:val="none" w:sz="0" w:space="0" w:color="auto"/>
                        <w:left w:val="none" w:sz="0" w:space="0" w:color="auto"/>
                        <w:bottom w:val="none" w:sz="0" w:space="0" w:color="auto"/>
                        <w:right w:val="none" w:sz="0" w:space="0" w:color="auto"/>
                      </w:divBdr>
                      <w:divsChild>
                        <w:div w:id="294152883">
                          <w:marLeft w:val="0"/>
                          <w:marRight w:val="0"/>
                          <w:marTop w:val="0"/>
                          <w:marBottom w:val="0"/>
                          <w:divBdr>
                            <w:top w:val="none" w:sz="0" w:space="0" w:color="auto"/>
                            <w:left w:val="none" w:sz="0" w:space="0" w:color="auto"/>
                            <w:bottom w:val="none" w:sz="0" w:space="0" w:color="auto"/>
                            <w:right w:val="none" w:sz="0" w:space="0" w:color="auto"/>
                          </w:divBdr>
                        </w:div>
                      </w:divsChild>
                    </w:div>
                    <w:div w:id="294139854">
                      <w:marLeft w:val="0"/>
                      <w:marRight w:val="0"/>
                      <w:marTop w:val="0"/>
                      <w:marBottom w:val="0"/>
                      <w:divBdr>
                        <w:top w:val="none" w:sz="0" w:space="0" w:color="auto"/>
                        <w:left w:val="none" w:sz="0" w:space="0" w:color="auto"/>
                        <w:bottom w:val="none" w:sz="0" w:space="0" w:color="auto"/>
                        <w:right w:val="none" w:sz="0" w:space="0" w:color="auto"/>
                      </w:divBdr>
                    </w:div>
                    <w:div w:id="294139924">
                      <w:marLeft w:val="0"/>
                      <w:marRight w:val="0"/>
                      <w:marTop w:val="0"/>
                      <w:marBottom w:val="0"/>
                      <w:divBdr>
                        <w:top w:val="none" w:sz="0" w:space="0" w:color="auto"/>
                        <w:left w:val="none" w:sz="0" w:space="0" w:color="auto"/>
                        <w:bottom w:val="none" w:sz="0" w:space="0" w:color="auto"/>
                        <w:right w:val="none" w:sz="0" w:space="0" w:color="auto"/>
                      </w:divBdr>
                    </w:div>
                    <w:div w:id="294139952">
                      <w:marLeft w:val="0"/>
                      <w:marRight w:val="0"/>
                      <w:marTop w:val="0"/>
                      <w:marBottom w:val="0"/>
                      <w:divBdr>
                        <w:top w:val="none" w:sz="0" w:space="0" w:color="auto"/>
                        <w:left w:val="none" w:sz="0" w:space="0" w:color="auto"/>
                        <w:bottom w:val="none" w:sz="0" w:space="0" w:color="auto"/>
                        <w:right w:val="none" w:sz="0" w:space="0" w:color="auto"/>
                      </w:divBdr>
                    </w:div>
                    <w:div w:id="294140070">
                      <w:marLeft w:val="0"/>
                      <w:marRight w:val="0"/>
                      <w:marTop w:val="0"/>
                      <w:marBottom w:val="0"/>
                      <w:divBdr>
                        <w:top w:val="none" w:sz="0" w:space="0" w:color="auto"/>
                        <w:left w:val="none" w:sz="0" w:space="0" w:color="auto"/>
                        <w:bottom w:val="none" w:sz="0" w:space="0" w:color="auto"/>
                        <w:right w:val="none" w:sz="0" w:space="0" w:color="auto"/>
                      </w:divBdr>
                    </w:div>
                    <w:div w:id="294140078">
                      <w:marLeft w:val="0"/>
                      <w:marRight w:val="0"/>
                      <w:marTop w:val="0"/>
                      <w:marBottom w:val="0"/>
                      <w:divBdr>
                        <w:top w:val="none" w:sz="0" w:space="0" w:color="auto"/>
                        <w:left w:val="none" w:sz="0" w:space="0" w:color="auto"/>
                        <w:bottom w:val="none" w:sz="0" w:space="0" w:color="auto"/>
                        <w:right w:val="none" w:sz="0" w:space="0" w:color="auto"/>
                      </w:divBdr>
                    </w:div>
                    <w:div w:id="294140112">
                      <w:marLeft w:val="0"/>
                      <w:marRight w:val="0"/>
                      <w:marTop w:val="0"/>
                      <w:marBottom w:val="0"/>
                      <w:divBdr>
                        <w:top w:val="none" w:sz="0" w:space="0" w:color="auto"/>
                        <w:left w:val="none" w:sz="0" w:space="0" w:color="auto"/>
                        <w:bottom w:val="none" w:sz="0" w:space="0" w:color="auto"/>
                        <w:right w:val="none" w:sz="0" w:space="0" w:color="auto"/>
                      </w:divBdr>
                    </w:div>
                    <w:div w:id="294140149">
                      <w:marLeft w:val="0"/>
                      <w:marRight w:val="0"/>
                      <w:marTop w:val="0"/>
                      <w:marBottom w:val="0"/>
                      <w:divBdr>
                        <w:top w:val="none" w:sz="0" w:space="0" w:color="auto"/>
                        <w:left w:val="none" w:sz="0" w:space="0" w:color="auto"/>
                        <w:bottom w:val="none" w:sz="0" w:space="0" w:color="auto"/>
                        <w:right w:val="none" w:sz="0" w:space="0" w:color="auto"/>
                      </w:divBdr>
                    </w:div>
                    <w:div w:id="294140175">
                      <w:marLeft w:val="0"/>
                      <w:marRight w:val="0"/>
                      <w:marTop w:val="0"/>
                      <w:marBottom w:val="0"/>
                      <w:divBdr>
                        <w:top w:val="none" w:sz="0" w:space="0" w:color="auto"/>
                        <w:left w:val="none" w:sz="0" w:space="0" w:color="auto"/>
                        <w:bottom w:val="none" w:sz="0" w:space="0" w:color="auto"/>
                        <w:right w:val="none" w:sz="0" w:space="0" w:color="auto"/>
                      </w:divBdr>
                      <w:divsChild>
                        <w:div w:id="294148612">
                          <w:marLeft w:val="0"/>
                          <w:marRight w:val="0"/>
                          <w:marTop w:val="0"/>
                          <w:marBottom w:val="0"/>
                          <w:divBdr>
                            <w:top w:val="none" w:sz="0" w:space="0" w:color="auto"/>
                            <w:left w:val="none" w:sz="0" w:space="0" w:color="auto"/>
                            <w:bottom w:val="none" w:sz="0" w:space="0" w:color="auto"/>
                            <w:right w:val="none" w:sz="0" w:space="0" w:color="auto"/>
                          </w:divBdr>
                        </w:div>
                      </w:divsChild>
                    </w:div>
                    <w:div w:id="294140196">
                      <w:marLeft w:val="0"/>
                      <w:marRight w:val="0"/>
                      <w:marTop w:val="0"/>
                      <w:marBottom w:val="0"/>
                      <w:divBdr>
                        <w:top w:val="none" w:sz="0" w:space="0" w:color="auto"/>
                        <w:left w:val="none" w:sz="0" w:space="0" w:color="auto"/>
                        <w:bottom w:val="none" w:sz="0" w:space="0" w:color="auto"/>
                        <w:right w:val="none" w:sz="0" w:space="0" w:color="auto"/>
                      </w:divBdr>
                    </w:div>
                    <w:div w:id="294140261">
                      <w:marLeft w:val="0"/>
                      <w:marRight w:val="0"/>
                      <w:marTop w:val="0"/>
                      <w:marBottom w:val="0"/>
                      <w:divBdr>
                        <w:top w:val="none" w:sz="0" w:space="0" w:color="auto"/>
                        <w:left w:val="none" w:sz="0" w:space="0" w:color="auto"/>
                        <w:bottom w:val="none" w:sz="0" w:space="0" w:color="auto"/>
                        <w:right w:val="none" w:sz="0" w:space="0" w:color="auto"/>
                      </w:divBdr>
                      <w:divsChild>
                        <w:div w:id="294152950">
                          <w:marLeft w:val="0"/>
                          <w:marRight w:val="0"/>
                          <w:marTop w:val="0"/>
                          <w:marBottom w:val="0"/>
                          <w:divBdr>
                            <w:top w:val="none" w:sz="0" w:space="0" w:color="auto"/>
                            <w:left w:val="none" w:sz="0" w:space="0" w:color="auto"/>
                            <w:bottom w:val="none" w:sz="0" w:space="0" w:color="auto"/>
                            <w:right w:val="none" w:sz="0" w:space="0" w:color="auto"/>
                          </w:divBdr>
                        </w:div>
                      </w:divsChild>
                    </w:div>
                    <w:div w:id="294140269">
                      <w:marLeft w:val="0"/>
                      <w:marRight w:val="0"/>
                      <w:marTop w:val="0"/>
                      <w:marBottom w:val="0"/>
                      <w:divBdr>
                        <w:top w:val="none" w:sz="0" w:space="0" w:color="auto"/>
                        <w:left w:val="none" w:sz="0" w:space="0" w:color="auto"/>
                        <w:bottom w:val="none" w:sz="0" w:space="0" w:color="auto"/>
                        <w:right w:val="none" w:sz="0" w:space="0" w:color="auto"/>
                      </w:divBdr>
                      <w:divsChild>
                        <w:div w:id="294142621">
                          <w:marLeft w:val="0"/>
                          <w:marRight w:val="0"/>
                          <w:marTop w:val="0"/>
                          <w:marBottom w:val="0"/>
                          <w:divBdr>
                            <w:top w:val="none" w:sz="0" w:space="0" w:color="auto"/>
                            <w:left w:val="none" w:sz="0" w:space="0" w:color="auto"/>
                            <w:bottom w:val="none" w:sz="0" w:space="0" w:color="auto"/>
                            <w:right w:val="none" w:sz="0" w:space="0" w:color="auto"/>
                          </w:divBdr>
                        </w:div>
                      </w:divsChild>
                    </w:div>
                    <w:div w:id="294140287">
                      <w:marLeft w:val="0"/>
                      <w:marRight w:val="0"/>
                      <w:marTop w:val="0"/>
                      <w:marBottom w:val="0"/>
                      <w:divBdr>
                        <w:top w:val="none" w:sz="0" w:space="0" w:color="auto"/>
                        <w:left w:val="none" w:sz="0" w:space="0" w:color="auto"/>
                        <w:bottom w:val="none" w:sz="0" w:space="0" w:color="auto"/>
                        <w:right w:val="none" w:sz="0" w:space="0" w:color="auto"/>
                      </w:divBdr>
                    </w:div>
                    <w:div w:id="294140301">
                      <w:marLeft w:val="0"/>
                      <w:marRight w:val="0"/>
                      <w:marTop w:val="0"/>
                      <w:marBottom w:val="0"/>
                      <w:divBdr>
                        <w:top w:val="none" w:sz="0" w:space="0" w:color="auto"/>
                        <w:left w:val="none" w:sz="0" w:space="0" w:color="auto"/>
                        <w:bottom w:val="none" w:sz="0" w:space="0" w:color="auto"/>
                        <w:right w:val="none" w:sz="0" w:space="0" w:color="auto"/>
                      </w:divBdr>
                      <w:divsChild>
                        <w:div w:id="294155367">
                          <w:marLeft w:val="0"/>
                          <w:marRight w:val="0"/>
                          <w:marTop w:val="0"/>
                          <w:marBottom w:val="0"/>
                          <w:divBdr>
                            <w:top w:val="none" w:sz="0" w:space="0" w:color="auto"/>
                            <w:left w:val="none" w:sz="0" w:space="0" w:color="auto"/>
                            <w:bottom w:val="none" w:sz="0" w:space="0" w:color="auto"/>
                            <w:right w:val="none" w:sz="0" w:space="0" w:color="auto"/>
                          </w:divBdr>
                        </w:div>
                      </w:divsChild>
                    </w:div>
                    <w:div w:id="294140421">
                      <w:marLeft w:val="0"/>
                      <w:marRight w:val="0"/>
                      <w:marTop w:val="0"/>
                      <w:marBottom w:val="0"/>
                      <w:divBdr>
                        <w:top w:val="none" w:sz="0" w:space="0" w:color="auto"/>
                        <w:left w:val="none" w:sz="0" w:space="0" w:color="auto"/>
                        <w:bottom w:val="none" w:sz="0" w:space="0" w:color="auto"/>
                        <w:right w:val="none" w:sz="0" w:space="0" w:color="auto"/>
                      </w:divBdr>
                      <w:divsChild>
                        <w:div w:id="294157458">
                          <w:marLeft w:val="0"/>
                          <w:marRight w:val="0"/>
                          <w:marTop w:val="0"/>
                          <w:marBottom w:val="0"/>
                          <w:divBdr>
                            <w:top w:val="none" w:sz="0" w:space="0" w:color="auto"/>
                            <w:left w:val="none" w:sz="0" w:space="0" w:color="auto"/>
                            <w:bottom w:val="none" w:sz="0" w:space="0" w:color="auto"/>
                            <w:right w:val="none" w:sz="0" w:space="0" w:color="auto"/>
                          </w:divBdr>
                        </w:div>
                      </w:divsChild>
                    </w:div>
                    <w:div w:id="294140487">
                      <w:marLeft w:val="0"/>
                      <w:marRight w:val="0"/>
                      <w:marTop w:val="0"/>
                      <w:marBottom w:val="0"/>
                      <w:divBdr>
                        <w:top w:val="none" w:sz="0" w:space="0" w:color="auto"/>
                        <w:left w:val="none" w:sz="0" w:space="0" w:color="auto"/>
                        <w:bottom w:val="none" w:sz="0" w:space="0" w:color="auto"/>
                        <w:right w:val="none" w:sz="0" w:space="0" w:color="auto"/>
                      </w:divBdr>
                    </w:div>
                    <w:div w:id="294140511">
                      <w:marLeft w:val="0"/>
                      <w:marRight w:val="0"/>
                      <w:marTop w:val="0"/>
                      <w:marBottom w:val="0"/>
                      <w:divBdr>
                        <w:top w:val="none" w:sz="0" w:space="0" w:color="auto"/>
                        <w:left w:val="none" w:sz="0" w:space="0" w:color="auto"/>
                        <w:bottom w:val="none" w:sz="0" w:space="0" w:color="auto"/>
                        <w:right w:val="none" w:sz="0" w:space="0" w:color="auto"/>
                      </w:divBdr>
                      <w:divsChild>
                        <w:div w:id="294155937">
                          <w:marLeft w:val="0"/>
                          <w:marRight w:val="0"/>
                          <w:marTop w:val="0"/>
                          <w:marBottom w:val="0"/>
                          <w:divBdr>
                            <w:top w:val="none" w:sz="0" w:space="0" w:color="auto"/>
                            <w:left w:val="none" w:sz="0" w:space="0" w:color="auto"/>
                            <w:bottom w:val="none" w:sz="0" w:space="0" w:color="auto"/>
                            <w:right w:val="none" w:sz="0" w:space="0" w:color="auto"/>
                          </w:divBdr>
                        </w:div>
                      </w:divsChild>
                    </w:div>
                    <w:div w:id="294140524">
                      <w:marLeft w:val="0"/>
                      <w:marRight w:val="0"/>
                      <w:marTop w:val="0"/>
                      <w:marBottom w:val="0"/>
                      <w:divBdr>
                        <w:top w:val="none" w:sz="0" w:space="0" w:color="auto"/>
                        <w:left w:val="none" w:sz="0" w:space="0" w:color="auto"/>
                        <w:bottom w:val="none" w:sz="0" w:space="0" w:color="auto"/>
                        <w:right w:val="none" w:sz="0" w:space="0" w:color="auto"/>
                      </w:divBdr>
                    </w:div>
                    <w:div w:id="294140532">
                      <w:marLeft w:val="0"/>
                      <w:marRight w:val="0"/>
                      <w:marTop w:val="0"/>
                      <w:marBottom w:val="0"/>
                      <w:divBdr>
                        <w:top w:val="none" w:sz="0" w:space="0" w:color="auto"/>
                        <w:left w:val="none" w:sz="0" w:space="0" w:color="auto"/>
                        <w:bottom w:val="none" w:sz="0" w:space="0" w:color="auto"/>
                        <w:right w:val="none" w:sz="0" w:space="0" w:color="auto"/>
                      </w:divBdr>
                      <w:divsChild>
                        <w:div w:id="294150661">
                          <w:marLeft w:val="0"/>
                          <w:marRight w:val="0"/>
                          <w:marTop w:val="0"/>
                          <w:marBottom w:val="0"/>
                          <w:divBdr>
                            <w:top w:val="none" w:sz="0" w:space="0" w:color="auto"/>
                            <w:left w:val="none" w:sz="0" w:space="0" w:color="auto"/>
                            <w:bottom w:val="none" w:sz="0" w:space="0" w:color="auto"/>
                            <w:right w:val="none" w:sz="0" w:space="0" w:color="auto"/>
                          </w:divBdr>
                        </w:div>
                      </w:divsChild>
                    </w:div>
                    <w:div w:id="294140540">
                      <w:marLeft w:val="0"/>
                      <w:marRight w:val="0"/>
                      <w:marTop w:val="0"/>
                      <w:marBottom w:val="0"/>
                      <w:divBdr>
                        <w:top w:val="none" w:sz="0" w:space="0" w:color="auto"/>
                        <w:left w:val="none" w:sz="0" w:space="0" w:color="auto"/>
                        <w:bottom w:val="none" w:sz="0" w:space="0" w:color="auto"/>
                        <w:right w:val="none" w:sz="0" w:space="0" w:color="auto"/>
                      </w:divBdr>
                    </w:div>
                    <w:div w:id="294140552">
                      <w:marLeft w:val="0"/>
                      <w:marRight w:val="0"/>
                      <w:marTop w:val="0"/>
                      <w:marBottom w:val="0"/>
                      <w:divBdr>
                        <w:top w:val="none" w:sz="0" w:space="0" w:color="auto"/>
                        <w:left w:val="none" w:sz="0" w:space="0" w:color="auto"/>
                        <w:bottom w:val="none" w:sz="0" w:space="0" w:color="auto"/>
                        <w:right w:val="none" w:sz="0" w:space="0" w:color="auto"/>
                      </w:divBdr>
                    </w:div>
                    <w:div w:id="294140718">
                      <w:marLeft w:val="0"/>
                      <w:marRight w:val="0"/>
                      <w:marTop w:val="0"/>
                      <w:marBottom w:val="0"/>
                      <w:divBdr>
                        <w:top w:val="none" w:sz="0" w:space="0" w:color="auto"/>
                        <w:left w:val="none" w:sz="0" w:space="0" w:color="auto"/>
                        <w:bottom w:val="none" w:sz="0" w:space="0" w:color="auto"/>
                        <w:right w:val="none" w:sz="0" w:space="0" w:color="auto"/>
                      </w:divBdr>
                    </w:div>
                    <w:div w:id="294140809">
                      <w:marLeft w:val="0"/>
                      <w:marRight w:val="0"/>
                      <w:marTop w:val="0"/>
                      <w:marBottom w:val="0"/>
                      <w:divBdr>
                        <w:top w:val="none" w:sz="0" w:space="0" w:color="auto"/>
                        <w:left w:val="none" w:sz="0" w:space="0" w:color="auto"/>
                        <w:bottom w:val="none" w:sz="0" w:space="0" w:color="auto"/>
                        <w:right w:val="none" w:sz="0" w:space="0" w:color="auto"/>
                      </w:divBdr>
                    </w:div>
                    <w:div w:id="294140834">
                      <w:marLeft w:val="0"/>
                      <w:marRight w:val="0"/>
                      <w:marTop w:val="0"/>
                      <w:marBottom w:val="0"/>
                      <w:divBdr>
                        <w:top w:val="none" w:sz="0" w:space="0" w:color="auto"/>
                        <w:left w:val="none" w:sz="0" w:space="0" w:color="auto"/>
                        <w:bottom w:val="none" w:sz="0" w:space="0" w:color="auto"/>
                        <w:right w:val="none" w:sz="0" w:space="0" w:color="auto"/>
                      </w:divBdr>
                    </w:div>
                    <w:div w:id="294140851">
                      <w:marLeft w:val="0"/>
                      <w:marRight w:val="0"/>
                      <w:marTop w:val="0"/>
                      <w:marBottom w:val="0"/>
                      <w:divBdr>
                        <w:top w:val="none" w:sz="0" w:space="0" w:color="auto"/>
                        <w:left w:val="none" w:sz="0" w:space="0" w:color="auto"/>
                        <w:bottom w:val="none" w:sz="0" w:space="0" w:color="auto"/>
                        <w:right w:val="none" w:sz="0" w:space="0" w:color="auto"/>
                      </w:divBdr>
                    </w:div>
                    <w:div w:id="294140940">
                      <w:marLeft w:val="0"/>
                      <w:marRight w:val="0"/>
                      <w:marTop w:val="0"/>
                      <w:marBottom w:val="0"/>
                      <w:divBdr>
                        <w:top w:val="none" w:sz="0" w:space="0" w:color="auto"/>
                        <w:left w:val="none" w:sz="0" w:space="0" w:color="auto"/>
                        <w:bottom w:val="none" w:sz="0" w:space="0" w:color="auto"/>
                        <w:right w:val="none" w:sz="0" w:space="0" w:color="auto"/>
                      </w:divBdr>
                      <w:divsChild>
                        <w:div w:id="294145212">
                          <w:marLeft w:val="0"/>
                          <w:marRight w:val="0"/>
                          <w:marTop w:val="0"/>
                          <w:marBottom w:val="0"/>
                          <w:divBdr>
                            <w:top w:val="none" w:sz="0" w:space="0" w:color="auto"/>
                            <w:left w:val="none" w:sz="0" w:space="0" w:color="auto"/>
                            <w:bottom w:val="none" w:sz="0" w:space="0" w:color="auto"/>
                            <w:right w:val="none" w:sz="0" w:space="0" w:color="auto"/>
                          </w:divBdr>
                        </w:div>
                      </w:divsChild>
                    </w:div>
                    <w:div w:id="294141009">
                      <w:marLeft w:val="0"/>
                      <w:marRight w:val="0"/>
                      <w:marTop w:val="0"/>
                      <w:marBottom w:val="0"/>
                      <w:divBdr>
                        <w:top w:val="none" w:sz="0" w:space="0" w:color="auto"/>
                        <w:left w:val="none" w:sz="0" w:space="0" w:color="auto"/>
                        <w:bottom w:val="none" w:sz="0" w:space="0" w:color="auto"/>
                        <w:right w:val="none" w:sz="0" w:space="0" w:color="auto"/>
                      </w:divBdr>
                      <w:divsChild>
                        <w:div w:id="294138879">
                          <w:marLeft w:val="0"/>
                          <w:marRight w:val="0"/>
                          <w:marTop w:val="0"/>
                          <w:marBottom w:val="0"/>
                          <w:divBdr>
                            <w:top w:val="none" w:sz="0" w:space="0" w:color="auto"/>
                            <w:left w:val="none" w:sz="0" w:space="0" w:color="auto"/>
                            <w:bottom w:val="none" w:sz="0" w:space="0" w:color="auto"/>
                            <w:right w:val="none" w:sz="0" w:space="0" w:color="auto"/>
                          </w:divBdr>
                        </w:div>
                      </w:divsChild>
                    </w:div>
                    <w:div w:id="294141016">
                      <w:marLeft w:val="0"/>
                      <w:marRight w:val="0"/>
                      <w:marTop w:val="0"/>
                      <w:marBottom w:val="0"/>
                      <w:divBdr>
                        <w:top w:val="none" w:sz="0" w:space="0" w:color="auto"/>
                        <w:left w:val="none" w:sz="0" w:space="0" w:color="auto"/>
                        <w:bottom w:val="none" w:sz="0" w:space="0" w:color="auto"/>
                        <w:right w:val="none" w:sz="0" w:space="0" w:color="auto"/>
                      </w:divBdr>
                    </w:div>
                    <w:div w:id="294141024">
                      <w:marLeft w:val="0"/>
                      <w:marRight w:val="0"/>
                      <w:marTop w:val="0"/>
                      <w:marBottom w:val="0"/>
                      <w:divBdr>
                        <w:top w:val="none" w:sz="0" w:space="0" w:color="auto"/>
                        <w:left w:val="none" w:sz="0" w:space="0" w:color="auto"/>
                        <w:bottom w:val="none" w:sz="0" w:space="0" w:color="auto"/>
                        <w:right w:val="none" w:sz="0" w:space="0" w:color="auto"/>
                      </w:divBdr>
                    </w:div>
                    <w:div w:id="294141128">
                      <w:marLeft w:val="0"/>
                      <w:marRight w:val="0"/>
                      <w:marTop w:val="0"/>
                      <w:marBottom w:val="0"/>
                      <w:divBdr>
                        <w:top w:val="none" w:sz="0" w:space="0" w:color="auto"/>
                        <w:left w:val="none" w:sz="0" w:space="0" w:color="auto"/>
                        <w:bottom w:val="none" w:sz="0" w:space="0" w:color="auto"/>
                        <w:right w:val="none" w:sz="0" w:space="0" w:color="auto"/>
                      </w:divBdr>
                    </w:div>
                    <w:div w:id="294141224">
                      <w:marLeft w:val="0"/>
                      <w:marRight w:val="0"/>
                      <w:marTop w:val="0"/>
                      <w:marBottom w:val="0"/>
                      <w:divBdr>
                        <w:top w:val="none" w:sz="0" w:space="0" w:color="auto"/>
                        <w:left w:val="none" w:sz="0" w:space="0" w:color="auto"/>
                        <w:bottom w:val="none" w:sz="0" w:space="0" w:color="auto"/>
                        <w:right w:val="none" w:sz="0" w:space="0" w:color="auto"/>
                      </w:divBdr>
                      <w:divsChild>
                        <w:div w:id="294139511">
                          <w:marLeft w:val="0"/>
                          <w:marRight w:val="0"/>
                          <w:marTop w:val="0"/>
                          <w:marBottom w:val="0"/>
                          <w:divBdr>
                            <w:top w:val="none" w:sz="0" w:space="0" w:color="auto"/>
                            <w:left w:val="none" w:sz="0" w:space="0" w:color="auto"/>
                            <w:bottom w:val="none" w:sz="0" w:space="0" w:color="auto"/>
                            <w:right w:val="none" w:sz="0" w:space="0" w:color="auto"/>
                          </w:divBdr>
                        </w:div>
                      </w:divsChild>
                    </w:div>
                    <w:div w:id="294141259">
                      <w:marLeft w:val="0"/>
                      <w:marRight w:val="0"/>
                      <w:marTop w:val="0"/>
                      <w:marBottom w:val="0"/>
                      <w:divBdr>
                        <w:top w:val="none" w:sz="0" w:space="0" w:color="auto"/>
                        <w:left w:val="none" w:sz="0" w:space="0" w:color="auto"/>
                        <w:bottom w:val="none" w:sz="0" w:space="0" w:color="auto"/>
                        <w:right w:val="none" w:sz="0" w:space="0" w:color="auto"/>
                      </w:divBdr>
                    </w:div>
                    <w:div w:id="294141355">
                      <w:marLeft w:val="0"/>
                      <w:marRight w:val="0"/>
                      <w:marTop w:val="0"/>
                      <w:marBottom w:val="0"/>
                      <w:divBdr>
                        <w:top w:val="none" w:sz="0" w:space="0" w:color="auto"/>
                        <w:left w:val="none" w:sz="0" w:space="0" w:color="auto"/>
                        <w:bottom w:val="none" w:sz="0" w:space="0" w:color="auto"/>
                        <w:right w:val="none" w:sz="0" w:space="0" w:color="auto"/>
                      </w:divBdr>
                      <w:divsChild>
                        <w:div w:id="294156540">
                          <w:marLeft w:val="0"/>
                          <w:marRight w:val="0"/>
                          <w:marTop w:val="0"/>
                          <w:marBottom w:val="0"/>
                          <w:divBdr>
                            <w:top w:val="none" w:sz="0" w:space="0" w:color="auto"/>
                            <w:left w:val="none" w:sz="0" w:space="0" w:color="auto"/>
                            <w:bottom w:val="none" w:sz="0" w:space="0" w:color="auto"/>
                            <w:right w:val="none" w:sz="0" w:space="0" w:color="auto"/>
                          </w:divBdr>
                        </w:div>
                      </w:divsChild>
                    </w:div>
                    <w:div w:id="294141365">
                      <w:marLeft w:val="0"/>
                      <w:marRight w:val="0"/>
                      <w:marTop w:val="0"/>
                      <w:marBottom w:val="0"/>
                      <w:divBdr>
                        <w:top w:val="none" w:sz="0" w:space="0" w:color="auto"/>
                        <w:left w:val="none" w:sz="0" w:space="0" w:color="auto"/>
                        <w:bottom w:val="none" w:sz="0" w:space="0" w:color="auto"/>
                        <w:right w:val="none" w:sz="0" w:space="0" w:color="auto"/>
                      </w:divBdr>
                      <w:divsChild>
                        <w:div w:id="294150670">
                          <w:marLeft w:val="0"/>
                          <w:marRight w:val="0"/>
                          <w:marTop w:val="0"/>
                          <w:marBottom w:val="0"/>
                          <w:divBdr>
                            <w:top w:val="none" w:sz="0" w:space="0" w:color="auto"/>
                            <w:left w:val="none" w:sz="0" w:space="0" w:color="auto"/>
                            <w:bottom w:val="none" w:sz="0" w:space="0" w:color="auto"/>
                            <w:right w:val="none" w:sz="0" w:space="0" w:color="auto"/>
                          </w:divBdr>
                        </w:div>
                      </w:divsChild>
                    </w:div>
                    <w:div w:id="294141434">
                      <w:marLeft w:val="0"/>
                      <w:marRight w:val="0"/>
                      <w:marTop w:val="0"/>
                      <w:marBottom w:val="0"/>
                      <w:divBdr>
                        <w:top w:val="none" w:sz="0" w:space="0" w:color="auto"/>
                        <w:left w:val="none" w:sz="0" w:space="0" w:color="auto"/>
                        <w:bottom w:val="none" w:sz="0" w:space="0" w:color="auto"/>
                        <w:right w:val="none" w:sz="0" w:space="0" w:color="auto"/>
                      </w:divBdr>
                      <w:divsChild>
                        <w:div w:id="294145737">
                          <w:marLeft w:val="0"/>
                          <w:marRight w:val="0"/>
                          <w:marTop w:val="0"/>
                          <w:marBottom w:val="0"/>
                          <w:divBdr>
                            <w:top w:val="none" w:sz="0" w:space="0" w:color="auto"/>
                            <w:left w:val="none" w:sz="0" w:space="0" w:color="auto"/>
                            <w:bottom w:val="none" w:sz="0" w:space="0" w:color="auto"/>
                            <w:right w:val="none" w:sz="0" w:space="0" w:color="auto"/>
                          </w:divBdr>
                        </w:div>
                      </w:divsChild>
                    </w:div>
                    <w:div w:id="294141471">
                      <w:marLeft w:val="0"/>
                      <w:marRight w:val="0"/>
                      <w:marTop w:val="0"/>
                      <w:marBottom w:val="0"/>
                      <w:divBdr>
                        <w:top w:val="none" w:sz="0" w:space="0" w:color="auto"/>
                        <w:left w:val="none" w:sz="0" w:space="0" w:color="auto"/>
                        <w:bottom w:val="none" w:sz="0" w:space="0" w:color="auto"/>
                        <w:right w:val="none" w:sz="0" w:space="0" w:color="auto"/>
                      </w:divBdr>
                      <w:divsChild>
                        <w:div w:id="294153744">
                          <w:marLeft w:val="0"/>
                          <w:marRight w:val="0"/>
                          <w:marTop w:val="0"/>
                          <w:marBottom w:val="0"/>
                          <w:divBdr>
                            <w:top w:val="none" w:sz="0" w:space="0" w:color="auto"/>
                            <w:left w:val="none" w:sz="0" w:space="0" w:color="auto"/>
                            <w:bottom w:val="none" w:sz="0" w:space="0" w:color="auto"/>
                            <w:right w:val="none" w:sz="0" w:space="0" w:color="auto"/>
                          </w:divBdr>
                        </w:div>
                      </w:divsChild>
                    </w:div>
                    <w:div w:id="294141492">
                      <w:marLeft w:val="0"/>
                      <w:marRight w:val="0"/>
                      <w:marTop w:val="0"/>
                      <w:marBottom w:val="0"/>
                      <w:divBdr>
                        <w:top w:val="none" w:sz="0" w:space="0" w:color="auto"/>
                        <w:left w:val="none" w:sz="0" w:space="0" w:color="auto"/>
                        <w:bottom w:val="none" w:sz="0" w:space="0" w:color="auto"/>
                        <w:right w:val="none" w:sz="0" w:space="0" w:color="auto"/>
                      </w:divBdr>
                      <w:divsChild>
                        <w:div w:id="294154043">
                          <w:marLeft w:val="0"/>
                          <w:marRight w:val="0"/>
                          <w:marTop w:val="0"/>
                          <w:marBottom w:val="0"/>
                          <w:divBdr>
                            <w:top w:val="none" w:sz="0" w:space="0" w:color="auto"/>
                            <w:left w:val="none" w:sz="0" w:space="0" w:color="auto"/>
                            <w:bottom w:val="none" w:sz="0" w:space="0" w:color="auto"/>
                            <w:right w:val="none" w:sz="0" w:space="0" w:color="auto"/>
                          </w:divBdr>
                        </w:div>
                      </w:divsChild>
                    </w:div>
                    <w:div w:id="294141501">
                      <w:marLeft w:val="0"/>
                      <w:marRight w:val="0"/>
                      <w:marTop w:val="0"/>
                      <w:marBottom w:val="0"/>
                      <w:divBdr>
                        <w:top w:val="none" w:sz="0" w:space="0" w:color="auto"/>
                        <w:left w:val="none" w:sz="0" w:space="0" w:color="auto"/>
                        <w:bottom w:val="none" w:sz="0" w:space="0" w:color="auto"/>
                        <w:right w:val="none" w:sz="0" w:space="0" w:color="auto"/>
                      </w:divBdr>
                    </w:div>
                    <w:div w:id="294141506">
                      <w:marLeft w:val="0"/>
                      <w:marRight w:val="0"/>
                      <w:marTop w:val="0"/>
                      <w:marBottom w:val="0"/>
                      <w:divBdr>
                        <w:top w:val="none" w:sz="0" w:space="0" w:color="auto"/>
                        <w:left w:val="none" w:sz="0" w:space="0" w:color="auto"/>
                        <w:bottom w:val="none" w:sz="0" w:space="0" w:color="auto"/>
                        <w:right w:val="none" w:sz="0" w:space="0" w:color="auto"/>
                      </w:divBdr>
                      <w:divsChild>
                        <w:div w:id="294145436">
                          <w:marLeft w:val="0"/>
                          <w:marRight w:val="0"/>
                          <w:marTop w:val="0"/>
                          <w:marBottom w:val="0"/>
                          <w:divBdr>
                            <w:top w:val="none" w:sz="0" w:space="0" w:color="auto"/>
                            <w:left w:val="none" w:sz="0" w:space="0" w:color="auto"/>
                            <w:bottom w:val="none" w:sz="0" w:space="0" w:color="auto"/>
                            <w:right w:val="none" w:sz="0" w:space="0" w:color="auto"/>
                          </w:divBdr>
                        </w:div>
                      </w:divsChild>
                    </w:div>
                    <w:div w:id="294141512">
                      <w:marLeft w:val="0"/>
                      <w:marRight w:val="0"/>
                      <w:marTop w:val="0"/>
                      <w:marBottom w:val="0"/>
                      <w:divBdr>
                        <w:top w:val="none" w:sz="0" w:space="0" w:color="auto"/>
                        <w:left w:val="none" w:sz="0" w:space="0" w:color="auto"/>
                        <w:bottom w:val="none" w:sz="0" w:space="0" w:color="auto"/>
                        <w:right w:val="none" w:sz="0" w:space="0" w:color="auto"/>
                      </w:divBdr>
                    </w:div>
                    <w:div w:id="294141556">
                      <w:marLeft w:val="0"/>
                      <w:marRight w:val="0"/>
                      <w:marTop w:val="0"/>
                      <w:marBottom w:val="0"/>
                      <w:divBdr>
                        <w:top w:val="none" w:sz="0" w:space="0" w:color="auto"/>
                        <w:left w:val="none" w:sz="0" w:space="0" w:color="auto"/>
                        <w:bottom w:val="none" w:sz="0" w:space="0" w:color="auto"/>
                        <w:right w:val="none" w:sz="0" w:space="0" w:color="auto"/>
                      </w:divBdr>
                      <w:divsChild>
                        <w:div w:id="294139058">
                          <w:marLeft w:val="0"/>
                          <w:marRight w:val="0"/>
                          <w:marTop w:val="0"/>
                          <w:marBottom w:val="0"/>
                          <w:divBdr>
                            <w:top w:val="none" w:sz="0" w:space="0" w:color="auto"/>
                            <w:left w:val="none" w:sz="0" w:space="0" w:color="auto"/>
                            <w:bottom w:val="none" w:sz="0" w:space="0" w:color="auto"/>
                            <w:right w:val="none" w:sz="0" w:space="0" w:color="auto"/>
                          </w:divBdr>
                        </w:div>
                      </w:divsChild>
                    </w:div>
                    <w:div w:id="294141602">
                      <w:marLeft w:val="0"/>
                      <w:marRight w:val="0"/>
                      <w:marTop w:val="0"/>
                      <w:marBottom w:val="0"/>
                      <w:divBdr>
                        <w:top w:val="none" w:sz="0" w:space="0" w:color="auto"/>
                        <w:left w:val="none" w:sz="0" w:space="0" w:color="auto"/>
                        <w:bottom w:val="none" w:sz="0" w:space="0" w:color="auto"/>
                        <w:right w:val="none" w:sz="0" w:space="0" w:color="auto"/>
                      </w:divBdr>
                      <w:divsChild>
                        <w:div w:id="294141571">
                          <w:marLeft w:val="0"/>
                          <w:marRight w:val="0"/>
                          <w:marTop w:val="0"/>
                          <w:marBottom w:val="0"/>
                          <w:divBdr>
                            <w:top w:val="none" w:sz="0" w:space="0" w:color="auto"/>
                            <w:left w:val="none" w:sz="0" w:space="0" w:color="auto"/>
                            <w:bottom w:val="none" w:sz="0" w:space="0" w:color="auto"/>
                            <w:right w:val="none" w:sz="0" w:space="0" w:color="auto"/>
                          </w:divBdr>
                        </w:div>
                      </w:divsChild>
                    </w:div>
                    <w:div w:id="294141644">
                      <w:marLeft w:val="0"/>
                      <w:marRight w:val="0"/>
                      <w:marTop w:val="0"/>
                      <w:marBottom w:val="0"/>
                      <w:divBdr>
                        <w:top w:val="none" w:sz="0" w:space="0" w:color="auto"/>
                        <w:left w:val="none" w:sz="0" w:space="0" w:color="auto"/>
                        <w:bottom w:val="none" w:sz="0" w:space="0" w:color="auto"/>
                        <w:right w:val="none" w:sz="0" w:space="0" w:color="auto"/>
                      </w:divBdr>
                    </w:div>
                    <w:div w:id="294141671">
                      <w:marLeft w:val="0"/>
                      <w:marRight w:val="0"/>
                      <w:marTop w:val="0"/>
                      <w:marBottom w:val="0"/>
                      <w:divBdr>
                        <w:top w:val="none" w:sz="0" w:space="0" w:color="auto"/>
                        <w:left w:val="none" w:sz="0" w:space="0" w:color="auto"/>
                        <w:bottom w:val="none" w:sz="0" w:space="0" w:color="auto"/>
                        <w:right w:val="none" w:sz="0" w:space="0" w:color="auto"/>
                      </w:divBdr>
                      <w:divsChild>
                        <w:div w:id="294142299">
                          <w:marLeft w:val="0"/>
                          <w:marRight w:val="0"/>
                          <w:marTop w:val="0"/>
                          <w:marBottom w:val="0"/>
                          <w:divBdr>
                            <w:top w:val="none" w:sz="0" w:space="0" w:color="auto"/>
                            <w:left w:val="none" w:sz="0" w:space="0" w:color="auto"/>
                            <w:bottom w:val="none" w:sz="0" w:space="0" w:color="auto"/>
                            <w:right w:val="none" w:sz="0" w:space="0" w:color="auto"/>
                          </w:divBdr>
                        </w:div>
                      </w:divsChild>
                    </w:div>
                    <w:div w:id="294141804">
                      <w:marLeft w:val="0"/>
                      <w:marRight w:val="0"/>
                      <w:marTop w:val="0"/>
                      <w:marBottom w:val="0"/>
                      <w:divBdr>
                        <w:top w:val="none" w:sz="0" w:space="0" w:color="auto"/>
                        <w:left w:val="none" w:sz="0" w:space="0" w:color="auto"/>
                        <w:bottom w:val="none" w:sz="0" w:space="0" w:color="auto"/>
                        <w:right w:val="none" w:sz="0" w:space="0" w:color="auto"/>
                      </w:divBdr>
                      <w:divsChild>
                        <w:div w:id="294147553">
                          <w:marLeft w:val="0"/>
                          <w:marRight w:val="0"/>
                          <w:marTop w:val="0"/>
                          <w:marBottom w:val="0"/>
                          <w:divBdr>
                            <w:top w:val="none" w:sz="0" w:space="0" w:color="auto"/>
                            <w:left w:val="none" w:sz="0" w:space="0" w:color="auto"/>
                            <w:bottom w:val="none" w:sz="0" w:space="0" w:color="auto"/>
                            <w:right w:val="none" w:sz="0" w:space="0" w:color="auto"/>
                          </w:divBdr>
                        </w:div>
                      </w:divsChild>
                    </w:div>
                    <w:div w:id="294141853">
                      <w:marLeft w:val="0"/>
                      <w:marRight w:val="0"/>
                      <w:marTop w:val="0"/>
                      <w:marBottom w:val="0"/>
                      <w:divBdr>
                        <w:top w:val="none" w:sz="0" w:space="0" w:color="auto"/>
                        <w:left w:val="none" w:sz="0" w:space="0" w:color="auto"/>
                        <w:bottom w:val="none" w:sz="0" w:space="0" w:color="auto"/>
                        <w:right w:val="none" w:sz="0" w:space="0" w:color="auto"/>
                      </w:divBdr>
                      <w:divsChild>
                        <w:div w:id="294146459">
                          <w:marLeft w:val="0"/>
                          <w:marRight w:val="0"/>
                          <w:marTop w:val="0"/>
                          <w:marBottom w:val="0"/>
                          <w:divBdr>
                            <w:top w:val="none" w:sz="0" w:space="0" w:color="auto"/>
                            <w:left w:val="none" w:sz="0" w:space="0" w:color="auto"/>
                            <w:bottom w:val="none" w:sz="0" w:space="0" w:color="auto"/>
                            <w:right w:val="none" w:sz="0" w:space="0" w:color="auto"/>
                          </w:divBdr>
                        </w:div>
                      </w:divsChild>
                    </w:div>
                    <w:div w:id="294142012">
                      <w:marLeft w:val="0"/>
                      <w:marRight w:val="0"/>
                      <w:marTop w:val="0"/>
                      <w:marBottom w:val="0"/>
                      <w:divBdr>
                        <w:top w:val="none" w:sz="0" w:space="0" w:color="auto"/>
                        <w:left w:val="none" w:sz="0" w:space="0" w:color="auto"/>
                        <w:bottom w:val="none" w:sz="0" w:space="0" w:color="auto"/>
                        <w:right w:val="none" w:sz="0" w:space="0" w:color="auto"/>
                      </w:divBdr>
                    </w:div>
                    <w:div w:id="294142078">
                      <w:marLeft w:val="0"/>
                      <w:marRight w:val="0"/>
                      <w:marTop w:val="0"/>
                      <w:marBottom w:val="0"/>
                      <w:divBdr>
                        <w:top w:val="none" w:sz="0" w:space="0" w:color="auto"/>
                        <w:left w:val="none" w:sz="0" w:space="0" w:color="auto"/>
                        <w:bottom w:val="none" w:sz="0" w:space="0" w:color="auto"/>
                        <w:right w:val="none" w:sz="0" w:space="0" w:color="auto"/>
                      </w:divBdr>
                      <w:divsChild>
                        <w:div w:id="294156718">
                          <w:marLeft w:val="0"/>
                          <w:marRight w:val="0"/>
                          <w:marTop w:val="0"/>
                          <w:marBottom w:val="0"/>
                          <w:divBdr>
                            <w:top w:val="none" w:sz="0" w:space="0" w:color="auto"/>
                            <w:left w:val="none" w:sz="0" w:space="0" w:color="auto"/>
                            <w:bottom w:val="none" w:sz="0" w:space="0" w:color="auto"/>
                            <w:right w:val="none" w:sz="0" w:space="0" w:color="auto"/>
                          </w:divBdr>
                        </w:div>
                      </w:divsChild>
                    </w:div>
                    <w:div w:id="294142133">
                      <w:marLeft w:val="0"/>
                      <w:marRight w:val="0"/>
                      <w:marTop w:val="0"/>
                      <w:marBottom w:val="0"/>
                      <w:divBdr>
                        <w:top w:val="none" w:sz="0" w:space="0" w:color="auto"/>
                        <w:left w:val="none" w:sz="0" w:space="0" w:color="auto"/>
                        <w:bottom w:val="none" w:sz="0" w:space="0" w:color="auto"/>
                        <w:right w:val="none" w:sz="0" w:space="0" w:color="auto"/>
                      </w:divBdr>
                      <w:divsChild>
                        <w:div w:id="294143551">
                          <w:marLeft w:val="0"/>
                          <w:marRight w:val="0"/>
                          <w:marTop w:val="0"/>
                          <w:marBottom w:val="0"/>
                          <w:divBdr>
                            <w:top w:val="none" w:sz="0" w:space="0" w:color="auto"/>
                            <w:left w:val="none" w:sz="0" w:space="0" w:color="auto"/>
                            <w:bottom w:val="none" w:sz="0" w:space="0" w:color="auto"/>
                            <w:right w:val="none" w:sz="0" w:space="0" w:color="auto"/>
                          </w:divBdr>
                        </w:div>
                      </w:divsChild>
                    </w:div>
                    <w:div w:id="294142143">
                      <w:marLeft w:val="0"/>
                      <w:marRight w:val="0"/>
                      <w:marTop w:val="0"/>
                      <w:marBottom w:val="0"/>
                      <w:divBdr>
                        <w:top w:val="none" w:sz="0" w:space="0" w:color="auto"/>
                        <w:left w:val="none" w:sz="0" w:space="0" w:color="auto"/>
                        <w:bottom w:val="none" w:sz="0" w:space="0" w:color="auto"/>
                        <w:right w:val="none" w:sz="0" w:space="0" w:color="auto"/>
                      </w:divBdr>
                    </w:div>
                    <w:div w:id="294142172">
                      <w:marLeft w:val="0"/>
                      <w:marRight w:val="0"/>
                      <w:marTop w:val="0"/>
                      <w:marBottom w:val="0"/>
                      <w:divBdr>
                        <w:top w:val="none" w:sz="0" w:space="0" w:color="auto"/>
                        <w:left w:val="none" w:sz="0" w:space="0" w:color="auto"/>
                        <w:bottom w:val="none" w:sz="0" w:space="0" w:color="auto"/>
                        <w:right w:val="none" w:sz="0" w:space="0" w:color="auto"/>
                      </w:divBdr>
                    </w:div>
                    <w:div w:id="294142223">
                      <w:marLeft w:val="0"/>
                      <w:marRight w:val="0"/>
                      <w:marTop w:val="0"/>
                      <w:marBottom w:val="0"/>
                      <w:divBdr>
                        <w:top w:val="none" w:sz="0" w:space="0" w:color="auto"/>
                        <w:left w:val="none" w:sz="0" w:space="0" w:color="auto"/>
                        <w:bottom w:val="none" w:sz="0" w:space="0" w:color="auto"/>
                        <w:right w:val="none" w:sz="0" w:space="0" w:color="auto"/>
                      </w:divBdr>
                      <w:divsChild>
                        <w:div w:id="294141229">
                          <w:marLeft w:val="0"/>
                          <w:marRight w:val="0"/>
                          <w:marTop w:val="0"/>
                          <w:marBottom w:val="0"/>
                          <w:divBdr>
                            <w:top w:val="none" w:sz="0" w:space="0" w:color="auto"/>
                            <w:left w:val="none" w:sz="0" w:space="0" w:color="auto"/>
                            <w:bottom w:val="none" w:sz="0" w:space="0" w:color="auto"/>
                            <w:right w:val="none" w:sz="0" w:space="0" w:color="auto"/>
                          </w:divBdr>
                        </w:div>
                      </w:divsChild>
                    </w:div>
                    <w:div w:id="294142306">
                      <w:marLeft w:val="0"/>
                      <w:marRight w:val="0"/>
                      <w:marTop w:val="0"/>
                      <w:marBottom w:val="0"/>
                      <w:divBdr>
                        <w:top w:val="none" w:sz="0" w:space="0" w:color="auto"/>
                        <w:left w:val="none" w:sz="0" w:space="0" w:color="auto"/>
                        <w:bottom w:val="none" w:sz="0" w:space="0" w:color="auto"/>
                        <w:right w:val="none" w:sz="0" w:space="0" w:color="auto"/>
                      </w:divBdr>
                    </w:div>
                    <w:div w:id="294142348">
                      <w:marLeft w:val="0"/>
                      <w:marRight w:val="0"/>
                      <w:marTop w:val="0"/>
                      <w:marBottom w:val="0"/>
                      <w:divBdr>
                        <w:top w:val="none" w:sz="0" w:space="0" w:color="auto"/>
                        <w:left w:val="none" w:sz="0" w:space="0" w:color="auto"/>
                        <w:bottom w:val="none" w:sz="0" w:space="0" w:color="auto"/>
                        <w:right w:val="none" w:sz="0" w:space="0" w:color="auto"/>
                      </w:divBdr>
                    </w:div>
                    <w:div w:id="294142440">
                      <w:marLeft w:val="0"/>
                      <w:marRight w:val="0"/>
                      <w:marTop w:val="0"/>
                      <w:marBottom w:val="0"/>
                      <w:divBdr>
                        <w:top w:val="none" w:sz="0" w:space="0" w:color="auto"/>
                        <w:left w:val="none" w:sz="0" w:space="0" w:color="auto"/>
                        <w:bottom w:val="none" w:sz="0" w:space="0" w:color="auto"/>
                        <w:right w:val="none" w:sz="0" w:space="0" w:color="auto"/>
                      </w:divBdr>
                      <w:divsChild>
                        <w:div w:id="294140372">
                          <w:marLeft w:val="0"/>
                          <w:marRight w:val="0"/>
                          <w:marTop w:val="0"/>
                          <w:marBottom w:val="0"/>
                          <w:divBdr>
                            <w:top w:val="none" w:sz="0" w:space="0" w:color="auto"/>
                            <w:left w:val="none" w:sz="0" w:space="0" w:color="auto"/>
                            <w:bottom w:val="none" w:sz="0" w:space="0" w:color="auto"/>
                            <w:right w:val="none" w:sz="0" w:space="0" w:color="auto"/>
                          </w:divBdr>
                        </w:div>
                      </w:divsChild>
                    </w:div>
                    <w:div w:id="294142467">
                      <w:marLeft w:val="0"/>
                      <w:marRight w:val="0"/>
                      <w:marTop w:val="0"/>
                      <w:marBottom w:val="0"/>
                      <w:divBdr>
                        <w:top w:val="none" w:sz="0" w:space="0" w:color="auto"/>
                        <w:left w:val="none" w:sz="0" w:space="0" w:color="auto"/>
                        <w:bottom w:val="none" w:sz="0" w:space="0" w:color="auto"/>
                        <w:right w:val="none" w:sz="0" w:space="0" w:color="auto"/>
                      </w:divBdr>
                      <w:divsChild>
                        <w:div w:id="294147332">
                          <w:marLeft w:val="0"/>
                          <w:marRight w:val="0"/>
                          <w:marTop w:val="0"/>
                          <w:marBottom w:val="0"/>
                          <w:divBdr>
                            <w:top w:val="none" w:sz="0" w:space="0" w:color="auto"/>
                            <w:left w:val="none" w:sz="0" w:space="0" w:color="auto"/>
                            <w:bottom w:val="none" w:sz="0" w:space="0" w:color="auto"/>
                            <w:right w:val="none" w:sz="0" w:space="0" w:color="auto"/>
                          </w:divBdr>
                        </w:div>
                      </w:divsChild>
                    </w:div>
                    <w:div w:id="294142609">
                      <w:marLeft w:val="0"/>
                      <w:marRight w:val="0"/>
                      <w:marTop w:val="0"/>
                      <w:marBottom w:val="0"/>
                      <w:divBdr>
                        <w:top w:val="none" w:sz="0" w:space="0" w:color="auto"/>
                        <w:left w:val="none" w:sz="0" w:space="0" w:color="auto"/>
                        <w:bottom w:val="none" w:sz="0" w:space="0" w:color="auto"/>
                        <w:right w:val="none" w:sz="0" w:space="0" w:color="auto"/>
                      </w:divBdr>
                    </w:div>
                    <w:div w:id="294142627">
                      <w:marLeft w:val="0"/>
                      <w:marRight w:val="0"/>
                      <w:marTop w:val="0"/>
                      <w:marBottom w:val="0"/>
                      <w:divBdr>
                        <w:top w:val="none" w:sz="0" w:space="0" w:color="auto"/>
                        <w:left w:val="none" w:sz="0" w:space="0" w:color="auto"/>
                        <w:bottom w:val="none" w:sz="0" w:space="0" w:color="auto"/>
                        <w:right w:val="none" w:sz="0" w:space="0" w:color="auto"/>
                      </w:divBdr>
                      <w:divsChild>
                        <w:div w:id="294143237">
                          <w:marLeft w:val="0"/>
                          <w:marRight w:val="0"/>
                          <w:marTop w:val="0"/>
                          <w:marBottom w:val="0"/>
                          <w:divBdr>
                            <w:top w:val="none" w:sz="0" w:space="0" w:color="auto"/>
                            <w:left w:val="none" w:sz="0" w:space="0" w:color="auto"/>
                            <w:bottom w:val="none" w:sz="0" w:space="0" w:color="auto"/>
                            <w:right w:val="none" w:sz="0" w:space="0" w:color="auto"/>
                          </w:divBdr>
                        </w:div>
                      </w:divsChild>
                    </w:div>
                    <w:div w:id="294142664">
                      <w:marLeft w:val="0"/>
                      <w:marRight w:val="0"/>
                      <w:marTop w:val="0"/>
                      <w:marBottom w:val="0"/>
                      <w:divBdr>
                        <w:top w:val="none" w:sz="0" w:space="0" w:color="auto"/>
                        <w:left w:val="none" w:sz="0" w:space="0" w:color="auto"/>
                        <w:bottom w:val="none" w:sz="0" w:space="0" w:color="auto"/>
                        <w:right w:val="none" w:sz="0" w:space="0" w:color="auto"/>
                      </w:divBdr>
                    </w:div>
                    <w:div w:id="294142722">
                      <w:marLeft w:val="0"/>
                      <w:marRight w:val="0"/>
                      <w:marTop w:val="0"/>
                      <w:marBottom w:val="0"/>
                      <w:divBdr>
                        <w:top w:val="none" w:sz="0" w:space="0" w:color="auto"/>
                        <w:left w:val="none" w:sz="0" w:space="0" w:color="auto"/>
                        <w:bottom w:val="none" w:sz="0" w:space="0" w:color="auto"/>
                        <w:right w:val="none" w:sz="0" w:space="0" w:color="auto"/>
                      </w:divBdr>
                      <w:divsChild>
                        <w:div w:id="294146530">
                          <w:marLeft w:val="0"/>
                          <w:marRight w:val="0"/>
                          <w:marTop w:val="0"/>
                          <w:marBottom w:val="0"/>
                          <w:divBdr>
                            <w:top w:val="none" w:sz="0" w:space="0" w:color="auto"/>
                            <w:left w:val="none" w:sz="0" w:space="0" w:color="auto"/>
                            <w:bottom w:val="none" w:sz="0" w:space="0" w:color="auto"/>
                            <w:right w:val="none" w:sz="0" w:space="0" w:color="auto"/>
                          </w:divBdr>
                        </w:div>
                      </w:divsChild>
                    </w:div>
                    <w:div w:id="294142746">
                      <w:marLeft w:val="0"/>
                      <w:marRight w:val="0"/>
                      <w:marTop w:val="0"/>
                      <w:marBottom w:val="0"/>
                      <w:divBdr>
                        <w:top w:val="none" w:sz="0" w:space="0" w:color="auto"/>
                        <w:left w:val="none" w:sz="0" w:space="0" w:color="auto"/>
                        <w:bottom w:val="none" w:sz="0" w:space="0" w:color="auto"/>
                        <w:right w:val="none" w:sz="0" w:space="0" w:color="auto"/>
                      </w:divBdr>
                    </w:div>
                    <w:div w:id="294142790">
                      <w:marLeft w:val="0"/>
                      <w:marRight w:val="0"/>
                      <w:marTop w:val="0"/>
                      <w:marBottom w:val="0"/>
                      <w:divBdr>
                        <w:top w:val="none" w:sz="0" w:space="0" w:color="auto"/>
                        <w:left w:val="none" w:sz="0" w:space="0" w:color="auto"/>
                        <w:bottom w:val="none" w:sz="0" w:space="0" w:color="auto"/>
                        <w:right w:val="none" w:sz="0" w:space="0" w:color="auto"/>
                      </w:divBdr>
                      <w:divsChild>
                        <w:div w:id="294145784">
                          <w:marLeft w:val="0"/>
                          <w:marRight w:val="0"/>
                          <w:marTop w:val="0"/>
                          <w:marBottom w:val="0"/>
                          <w:divBdr>
                            <w:top w:val="none" w:sz="0" w:space="0" w:color="auto"/>
                            <w:left w:val="none" w:sz="0" w:space="0" w:color="auto"/>
                            <w:bottom w:val="none" w:sz="0" w:space="0" w:color="auto"/>
                            <w:right w:val="none" w:sz="0" w:space="0" w:color="auto"/>
                          </w:divBdr>
                        </w:div>
                      </w:divsChild>
                    </w:div>
                    <w:div w:id="294142841">
                      <w:marLeft w:val="0"/>
                      <w:marRight w:val="0"/>
                      <w:marTop w:val="0"/>
                      <w:marBottom w:val="0"/>
                      <w:divBdr>
                        <w:top w:val="none" w:sz="0" w:space="0" w:color="auto"/>
                        <w:left w:val="none" w:sz="0" w:space="0" w:color="auto"/>
                        <w:bottom w:val="none" w:sz="0" w:space="0" w:color="auto"/>
                        <w:right w:val="none" w:sz="0" w:space="0" w:color="auto"/>
                      </w:divBdr>
                    </w:div>
                    <w:div w:id="294142901">
                      <w:marLeft w:val="0"/>
                      <w:marRight w:val="0"/>
                      <w:marTop w:val="0"/>
                      <w:marBottom w:val="0"/>
                      <w:divBdr>
                        <w:top w:val="none" w:sz="0" w:space="0" w:color="auto"/>
                        <w:left w:val="none" w:sz="0" w:space="0" w:color="auto"/>
                        <w:bottom w:val="none" w:sz="0" w:space="0" w:color="auto"/>
                        <w:right w:val="none" w:sz="0" w:space="0" w:color="auto"/>
                      </w:divBdr>
                    </w:div>
                    <w:div w:id="294142990">
                      <w:marLeft w:val="0"/>
                      <w:marRight w:val="0"/>
                      <w:marTop w:val="0"/>
                      <w:marBottom w:val="0"/>
                      <w:divBdr>
                        <w:top w:val="none" w:sz="0" w:space="0" w:color="auto"/>
                        <w:left w:val="none" w:sz="0" w:space="0" w:color="auto"/>
                        <w:bottom w:val="none" w:sz="0" w:space="0" w:color="auto"/>
                        <w:right w:val="none" w:sz="0" w:space="0" w:color="auto"/>
                      </w:divBdr>
                      <w:divsChild>
                        <w:div w:id="294157393">
                          <w:marLeft w:val="0"/>
                          <w:marRight w:val="0"/>
                          <w:marTop w:val="0"/>
                          <w:marBottom w:val="0"/>
                          <w:divBdr>
                            <w:top w:val="none" w:sz="0" w:space="0" w:color="auto"/>
                            <w:left w:val="none" w:sz="0" w:space="0" w:color="auto"/>
                            <w:bottom w:val="none" w:sz="0" w:space="0" w:color="auto"/>
                            <w:right w:val="none" w:sz="0" w:space="0" w:color="auto"/>
                          </w:divBdr>
                        </w:div>
                      </w:divsChild>
                    </w:div>
                    <w:div w:id="294143102">
                      <w:marLeft w:val="0"/>
                      <w:marRight w:val="0"/>
                      <w:marTop w:val="0"/>
                      <w:marBottom w:val="0"/>
                      <w:divBdr>
                        <w:top w:val="none" w:sz="0" w:space="0" w:color="auto"/>
                        <w:left w:val="none" w:sz="0" w:space="0" w:color="auto"/>
                        <w:bottom w:val="none" w:sz="0" w:space="0" w:color="auto"/>
                        <w:right w:val="none" w:sz="0" w:space="0" w:color="auto"/>
                      </w:divBdr>
                      <w:divsChild>
                        <w:div w:id="294154442">
                          <w:marLeft w:val="0"/>
                          <w:marRight w:val="0"/>
                          <w:marTop w:val="0"/>
                          <w:marBottom w:val="0"/>
                          <w:divBdr>
                            <w:top w:val="none" w:sz="0" w:space="0" w:color="auto"/>
                            <w:left w:val="none" w:sz="0" w:space="0" w:color="auto"/>
                            <w:bottom w:val="none" w:sz="0" w:space="0" w:color="auto"/>
                            <w:right w:val="none" w:sz="0" w:space="0" w:color="auto"/>
                          </w:divBdr>
                        </w:div>
                      </w:divsChild>
                    </w:div>
                    <w:div w:id="294143122">
                      <w:marLeft w:val="0"/>
                      <w:marRight w:val="0"/>
                      <w:marTop w:val="0"/>
                      <w:marBottom w:val="0"/>
                      <w:divBdr>
                        <w:top w:val="none" w:sz="0" w:space="0" w:color="auto"/>
                        <w:left w:val="none" w:sz="0" w:space="0" w:color="auto"/>
                        <w:bottom w:val="none" w:sz="0" w:space="0" w:color="auto"/>
                        <w:right w:val="none" w:sz="0" w:space="0" w:color="auto"/>
                      </w:divBdr>
                    </w:div>
                    <w:div w:id="294143155">
                      <w:marLeft w:val="0"/>
                      <w:marRight w:val="0"/>
                      <w:marTop w:val="0"/>
                      <w:marBottom w:val="0"/>
                      <w:divBdr>
                        <w:top w:val="none" w:sz="0" w:space="0" w:color="auto"/>
                        <w:left w:val="none" w:sz="0" w:space="0" w:color="auto"/>
                        <w:bottom w:val="none" w:sz="0" w:space="0" w:color="auto"/>
                        <w:right w:val="none" w:sz="0" w:space="0" w:color="auto"/>
                      </w:divBdr>
                      <w:divsChild>
                        <w:div w:id="294157126">
                          <w:marLeft w:val="0"/>
                          <w:marRight w:val="0"/>
                          <w:marTop w:val="0"/>
                          <w:marBottom w:val="0"/>
                          <w:divBdr>
                            <w:top w:val="none" w:sz="0" w:space="0" w:color="auto"/>
                            <w:left w:val="none" w:sz="0" w:space="0" w:color="auto"/>
                            <w:bottom w:val="none" w:sz="0" w:space="0" w:color="auto"/>
                            <w:right w:val="none" w:sz="0" w:space="0" w:color="auto"/>
                          </w:divBdr>
                        </w:div>
                      </w:divsChild>
                    </w:div>
                    <w:div w:id="294143156">
                      <w:marLeft w:val="0"/>
                      <w:marRight w:val="0"/>
                      <w:marTop w:val="0"/>
                      <w:marBottom w:val="0"/>
                      <w:divBdr>
                        <w:top w:val="none" w:sz="0" w:space="0" w:color="auto"/>
                        <w:left w:val="none" w:sz="0" w:space="0" w:color="auto"/>
                        <w:bottom w:val="none" w:sz="0" w:space="0" w:color="auto"/>
                        <w:right w:val="none" w:sz="0" w:space="0" w:color="auto"/>
                      </w:divBdr>
                      <w:divsChild>
                        <w:div w:id="294153175">
                          <w:marLeft w:val="0"/>
                          <w:marRight w:val="0"/>
                          <w:marTop w:val="0"/>
                          <w:marBottom w:val="0"/>
                          <w:divBdr>
                            <w:top w:val="none" w:sz="0" w:space="0" w:color="auto"/>
                            <w:left w:val="none" w:sz="0" w:space="0" w:color="auto"/>
                            <w:bottom w:val="none" w:sz="0" w:space="0" w:color="auto"/>
                            <w:right w:val="none" w:sz="0" w:space="0" w:color="auto"/>
                          </w:divBdr>
                        </w:div>
                      </w:divsChild>
                    </w:div>
                    <w:div w:id="294143227">
                      <w:marLeft w:val="0"/>
                      <w:marRight w:val="0"/>
                      <w:marTop w:val="0"/>
                      <w:marBottom w:val="0"/>
                      <w:divBdr>
                        <w:top w:val="none" w:sz="0" w:space="0" w:color="auto"/>
                        <w:left w:val="none" w:sz="0" w:space="0" w:color="auto"/>
                        <w:bottom w:val="none" w:sz="0" w:space="0" w:color="auto"/>
                        <w:right w:val="none" w:sz="0" w:space="0" w:color="auto"/>
                      </w:divBdr>
                      <w:divsChild>
                        <w:div w:id="294144123">
                          <w:marLeft w:val="0"/>
                          <w:marRight w:val="0"/>
                          <w:marTop w:val="0"/>
                          <w:marBottom w:val="0"/>
                          <w:divBdr>
                            <w:top w:val="none" w:sz="0" w:space="0" w:color="auto"/>
                            <w:left w:val="none" w:sz="0" w:space="0" w:color="auto"/>
                            <w:bottom w:val="none" w:sz="0" w:space="0" w:color="auto"/>
                            <w:right w:val="none" w:sz="0" w:space="0" w:color="auto"/>
                          </w:divBdr>
                        </w:div>
                      </w:divsChild>
                    </w:div>
                    <w:div w:id="294143365">
                      <w:marLeft w:val="0"/>
                      <w:marRight w:val="0"/>
                      <w:marTop w:val="0"/>
                      <w:marBottom w:val="0"/>
                      <w:divBdr>
                        <w:top w:val="none" w:sz="0" w:space="0" w:color="auto"/>
                        <w:left w:val="none" w:sz="0" w:space="0" w:color="auto"/>
                        <w:bottom w:val="none" w:sz="0" w:space="0" w:color="auto"/>
                        <w:right w:val="none" w:sz="0" w:space="0" w:color="auto"/>
                      </w:divBdr>
                    </w:div>
                    <w:div w:id="294143415">
                      <w:marLeft w:val="0"/>
                      <w:marRight w:val="0"/>
                      <w:marTop w:val="0"/>
                      <w:marBottom w:val="0"/>
                      <w:divBdr>
                        <w:top w:val="none" w:sz="0" w:space="0" w:color="auto"/>
                        <w:left w:val="none" w:sz="0" w:space="0" w:color="auto"/>
                        <w:bottom w:val="none" w:sz="0" w:space="0" w:color="auto"/>
                        <w:right w:val="none" w:sz="0" w:space="0" w:color="auto"/>
                      </w:divBdr>
                    </w:div>
                    <w:div w:id="294143416">
                      <w:marLeft w:val="0"/>
                      <w:marRight w:val="0"/>
                      <w:marTop w:val="0"/>
                      <w:marBottom w:val="0"/>
                      <w:divBdr>
                        <w:top w:val="none" w:sz="0" w:space="0" w:color="auto"/>
                        <w:left w:val="none" w:sz="0" w:space="0" w:color="auto"/>
                        <w:bottom w:val="none" w:sz="0" w:space="0" w:color="auto"/>
                        <w:right w:val="none" w:sz="0" w:space="0" w:color="auto"/>
                      </w:divBdr>
                      <w:divsChild>
                        <w:div w:id="294144950">
                          <w:marLeft w:val="0"/>
                          <w:marRight w:val="0"/>
                          <w:marTop w:val="0"/>
                          <w:marBottom w:val="0"/>
                          <w:divBdr>
                            <w:top w:val="none" w:sz="0" w:space="0" w:color="auto"/>
                            <w:left w:val="none" w:sz="0" w:space="0" w:color="auto"/>
                            <w:bottom w:val="none" w:sz="0" w:space="0" w:color="auto"/>
                            <w:right w:val="none" w:sz="0" w:space="0" w:color="auto"/>
                          </w:divBdr>
                        </w:div>
                      </w:divsChild>
                    </w:div>
                    <w:div w:id="294143421">
                      <w:marLeft w:val="0"/>
                      <w:marRight w:val="0"/>
                      <w:marTop w:val="0"/>
                      <w:marBottom w:val="0"/>
                      <w:divBdr>
                        <w:top w:val="none" w:sz="0" w:space="0" w:color="auto"/>
                        <w:left w:val="none" w:sz="0" w:space="0" w:color="auto"/>
                        <w:bottom w:val="none" w:sz="0" w:space="0" w:color="auto"/>
                        <w:right w:val="none" w:sz="0" w:space="0" w:color="auto"/>
                      </w:divBdr>
                    </w:div>
                    <w:div w:id="294143429">
                      <w:marLeft w:val="0"/>
                      <w:marRight w:val="0"/>
                      <w:marTop w:val="0"/>
                      <w:marBottom w:val="0"/>
                      <w:divBdr>
                        <w:top w:val="none" w:sz="0" w:space="0" w:color="auto"/>
                        <w:left w:val="none" w:sz="0" w:space="0" w:color="auto"/>
                        <w:bottom w:val="none" w:sz="0" w:space="0" w:color="auto"/>
                        <w:right w:val="none" w:sz="0" w:space="0" w:color="auto"/>
                      </w:divBdr>
                      <w:divsChild>
                        <w:div w:id="294153358">
                          <w:marLeft w:val="0"/>
                          <w:marRight w:val="0"/>
                          <w:marTop w:val="0"/>
                          <w:marBottom w:val="0"/>
                          <w:divBdr>
                            <w:top w:val="none" w:sz="0" w:space="0" w:color="auto"/>
                            <w:left w:val="none" w:sz="0" w:space="0" w:color="auto"/>
                            <w:bottom w:val="none" w:sz="0" w:space="0" w:color="auto"/>
                            <w:right w:val="none" w:sz="0" w:space="0" w:color="auto"/>
                          </w:divBdr>
                        </w:div>
                      </w:divsChild>
                    </w:div>
                    <w:div w:id="294143489">
                      <w:marLeft w:val="0"/>
                      <w:marRight w:val="0"/>
                      <w:marTop w:val="0"/>
                      <w:marBottom w:val="0"/>
                      <w:divBdr>
                        <w:top w:val="none" w:sz="0" w:space="0" w:color="auto"/>
                        <w:left w:val="none" w:sz="0" w:space="0" w:color="auto"/>
                        <w:bottom w:val="none" w:sz="0" w:space="0" w:color="auto"/>
                        <w:right w:val="none" w:sz="0" w:space="0" w:color="auto"/>
                      </w:divBdr>
                    </w:div>
                    <w:div w:id="294143503">
                      <w:marLeft w:val="0"/>
                      <w:marRight w:val="0"/>
                      <w:marTop w:val="0"/>
                      <w:marBottom w:val="0"/>
                      <w:divBdr>
                        <w:top w:val="none" w:sz="0" w:space="0" w:color="auto"/>
                        <w:left w:val="none" w:sz="0" w:space="0" w:color="auto"/>
                        <w:bottom w:val="none" w:sz="0" w:space="0" w:color="auto"/>
                        <w:right w:val="none" w:sz="0" w:space="0" w:color="auto"/>
                      </w:divBdr>
                      <w:divsChild>
                        <w:div w:id="294153258">
                          <w:marLeft w:val="0"/>
                          <w:marRight w:val="0"/>
                          <w:marTop w:val="0"/>
                          <w:marBottom w:val="0"/>
                          <w:divBdr>
                            <w:top w:val="none" w:sz="0" w:space="0" w:color="auto"/>
                            <w:left w:val="none" w:sz="0" w:space="0" w:color="auto"/>
                            <w:bottom w:val="none" w:sz="0" w:space="0" w:color="auto"/>
                            <w:right w:val="none" w:sz="0" w:space="0" w:color="auto"/>
                          </w:divBdr>
                        </w:div>
                      </w:divsChild>
                    </w:div>
                    <w:div w:id="294143548">
                      <w:marLeft w:val="0"/>
                      <w:marRight w:val="0"/>
                      <w:marTop w:val="0"/>
                      <w:marBottom w:val="0"/>
                      <w:divBdr>
                        <w:top w:val="none" w:sz="0" w:space="0" w:color="auto"/>
                        <w:left w:val="none" w:sz="0" w:space="0" w:color="auto"/>
                        <w:bottom w:val="none" w:sz="0" w:space="0" w:color="auto"/>
                        <w:right w:val="none" w:sz="0" w:space="0" w:color="auto"/>
                      </w:divBdr>
                    </w:div>
                    <w:div w:id="294143571">
                      <w:marLeft w:val="0"/>
                      <w:marRight w:val="0"/>
                      <w:marTop w:val="0"/>
                      <w:marBottom w:val="0"/>
                      <w:divBdr>
                        <w:top w:val="none" w:sz="0" w:space="0" w:color="auto"/>
                        <w:left w:val="none" w:sz="0" w:space="0" w:color="auto"/>
                        <w:bottom w:val="none" w:sz="0" w:space="0" w:color="auto"/>
                        <w:right w:val="none" w:sz="0" w:space="0" w:color="auto"/>
                      </w:divBdr>
                    </w:div>
                    <w:div w:id="294143605">
                      <w:marLeft w:val="0"/>
                      <w:marRight w:val="0"/>
                      <w:marTop w:val="0"/>
                      <w:marBottom w:val="0"/>
                      <w:divBdr>
                        <w:top w:val="none" w:sz="0" w:space="0" w:color="auto"/>
                        <w:left w:val="none" w:sz="0" w:space="0" w:color="auto"/>
                        <w:bottom w:val="none" w:sz="0" w:space="0" w:color="auto"/>
                        <w:right w:val="none" w:sz="0" w:space="0" w:color="auto"/>
                      </w:divBdr>
                      <w:divsChild>
                        <w:div w:id="294150127">
                          <w:marLeft w:val="0"/>
                          <w:marRight w:val="0"/>
                          <w:marTop w:val="0"/>
                          <w:marBottom w:val="0"/>
                          <w:divBdr>
                            <w:top w:val="none" w:sz="0" w:space="0" w:color="auto"/>
                            <w:left w:val="none" w:sz="0" w:space="0" w:color="auto"/>
                            <w:bottom w:val="none" w:sz="0" w:space="0" w:color="auto"/>
                            <w:right w:val="none" w:sz="0" w:space="0" w:color="auto"/>
                          </w:divBdr>
                        </w:div>
                      </w:divsChild>
                    </w:div>
                    <w:div w:id="294143658">
                      <w:marLeft w:val="0"/>
                      <w:marRight w:val="0"/>
                      <w:marTop w:val="0"/>
                      <w:marBottom w:val="0"/>
                      <w:divBdr>
                        <w:top w:val="none" w:sz="0" w:space="0" w:color="auto"/>
                        <w:left w:val="none" w:sz="0" w:space="0" w:color="auto"/>
                        <w:bottom w:val="none" w:sz="0" w:space="0" w:color="auto"/>
                        <w:right w:val="none" w:sz="0" w:space="0" w:color="auto"/>
                      </w:divBdr>
                      <w:divsChild>
                        <w:div w:id="294146037">
                          <w:marLeft w:val="0"/>
                          <w:marRight w:val="0"/>
                          <w:marTop w:val="0"/>
                          <w:marBottom w:val="0"/>
                          <w:divBdr>
                            <w:top w:val="none" w:sz="0" w:space="0" w:color="auto"/>
                            <w:left w:val="none" w:sz="0" w:space="0" w:color="auto"/>
                            <w:bottom w:val="none" w:sz="0" w:space="0" w:color="auto"/>
                            <w:right w:val="none" w:sz="0" w:space="0" w:color="auto"/>
                          </w:divBdr>
                        </w:div>
                      </w:divsChild>
                    </w:div>
                    <w:div w:id="294143675">
                      <w:marLeft w:val="0"/>
                      <w:marRight w:val="0"/>
                      <w:marTop w:val="0"/>
                      <w:marBottom w:val="0"/>
                      <w:divBdr>
                        <w:top w:val="none" w:sz="0" w:space="0" w:color="auto"/>
                        <w:left w:val="none" w:sz="0" w:space="0" w:color="auto"/>
                        <w:bottom w:val="none" w:sz="0" w:space="0" w:color="auto"/>
                        <w:right w:val="none" w:sz="0" w:space="0" w:color="auto"/>
                      </w:divBdr>
                    </w:div>
                    <w:div w:id="294143710">
                      <w:marLeft w:val="0"/>
                      <w:marRight w:val="0"/>
                      <w:marTop w:val="0"/>
                      <w:marBottom w:val="0"/>
                      <w:divBdr>
                        <w:top w:val="none" w:sz="0" w:space="0" w:color="auto"/>
                        <w:left w:val="none" w:sz="0" w:space="0" w:color="auto"/>
                        <w:bottom w:val="none" w:sz="0" w:space="0" w:color="auto"/>
                        <w:right w:val="none" w:sz="0" w:space="0" w:color="auto"/>
                      </w:divBdr>
                    </w:div>
                    <w:div w:id="294143735">
                      <w:marLeft w:val="0"/>
                      <w:marRight w:val="0"/>
                      <w:marTop w:val="0"/>
                      <w:marBottom w:val="0"/>
                      <w:divBdr>
                        <w:top w:val="none" w:sz="0" w:space="0" w:color="auto"/>
                        <w:left w:val="none" w:sz="0" w:space="0" w:color="auto"/>
                        <w:bottom w:val="none" w:sz="0" w:space="0" w:color="auto"/>
                        <w:right w:val="none" w:sz="0" w:space="0" w:color="auto"/>
                      </w:divBdr>
                    </w:div>
                    <w:div w:id="294143847">
                      <w:marLeft w:val="0"/>
                      <w:marRight w:val="0"/>
                      <w:marTop w:val="0"/>
                      <w:marBottom w:val="0"/>
                      <w:divBdr>
                        <w:top w:val="none" w:sz="0" w:space="0" w:color="auto"/>
                        <w:left w:val="none" w:sz="0" w:space="0" w:color="auto"/>
                        <w:bottom w:val="none" w:sz="0" w:space="0" w:color="auto"/>
                        <w:right w:val="none" w:sz="0" w:space="0" w:color="auto"/>
                      </w:divBdr>
                    </w:div>
                    <w:div w:id="294143860">
                      <w:marLeft w:val="0"/>
                      <w:marRight w:val="0"/>
                      <w:marTop w:val="0"/>
                      <w:marBottom w:val="0"/>
                      <w:divBdr>
                        <w:top w:val="none" w:sz="0" w:space="0" w:color="auto"/>
                        <w:left w:val="none" w:sz="0" w:space="0" w:color="auto"/>
                        <w:bottom w:val="none" w:sz="0" w:space="0" w:color="auto"/>
                        <w:right w:val="none" w:sz="0" w:space="0" w:color="auto"/>
                      </w:divBdr>
                    </w:div>
                    <w:div w:id="294143885">
                      <w:marLeft w:val="0"/>
                      <w:marRight w:val="0"/>
                      <w:marTop w:val="0"/>
                      <w:marBottom w:val="0"/>
                      <w:divBdr>
                        <w:top w:val="none" w:sz="0" w:space="0" w:color="auto"/>
                        <w:left w:val="none" w:sz="0" w:space="0" w:color="auto"/>
                        <w:bottom w:val="none" w:sz="0" w:space="0" w:color="auto"/>
                        <w:right w:val="none" w:sz="0" w:space="0" w:color="auto"/>
                      </w:divBdr>
                    </w:div>
                    <w:div w:id="294143907">
                      <w:marLeft w:val="0"/>
                      <w:marRight w:val="0"/>
                      <w:marTop w:val="0"/>
                      <w:marBottom w:val="0"/>
                      <w:divBdr>
                        <w:top w:val="none" w:sz="0" w:space="0" w:color="auto"/>
                        <w:left w:val="none" w:sz="0" w:space="0" w:color="auto"/>
                        <w:bottom w:val="none" w:sz="0" w:space="0" w:color="auto"/>
                        <w:right w:val="none" w:sz="0" w:space="0" w:color="auto"/>
                      </w:divBdr>
                    </w:div>
                    <w:div w:id="294143926">
                      <w:marLeft w:val="0"/>
                      <w:marRight w:val="0"/>
                      <w:marTop w:val="0"/>
                      <w:marBottom w:val="0"/>
                      <w:divBdr>
                        <w:top w:val="none" w:sz="0" w:space="0" w:color="auto"/>
                        <w:left w:val="none" w:sz="0" w:space="0" w:color="auto"/>
                        <w:bottom w:val="none" w:sz="0" w:space="0" w:color="auto"/>
                        <w:right w:val="none" w:sz="0" w:space="0" w:color="auto"/>
                      </w:divBdr>
                    </w:div>
                    <w:div w:id="294143990">
                      <w:marLeft w:val="0"/>
                      <w:marRight w:val="0"/>
                      <w:marTop w:val="0"/>
                      <w:marBottom w:val="0"/>
                      <w:divBdr>
                        <w:top w:val="none" w:sz="0" w:space="0" w:color="auto"/>
                        <w:left w:val="none" w:sz="0" w:space="0" w:color="auto"/>
                        <w:bottom w:val="none" w:sz="0" w:space="0" w:color="auto"/>
                        <w:right w:val="none" w:sz="0" w:space="0" w:color="auto"/>
                      </w:divBdr>
                      <w:divsChild>
                        <w:div w:id="294152759">
                          <w:marLeft w:val="0"/>
                          <w:marRight w:val="0"/>
                          <w:marTop w:val="0"/>
                          <w:marBottom w:val="0"/>
                          <w:divBdr>
                            <w:top w:val="none" w:sz="0" w:space="0" w:color="auto"/>
                            <w:left w:val="none" w:sz="0" w:space="0" w:color="auto"/>
                            <w:bottom w:val="none" w:sz="0" w:space="0" w:color="auto"/>
                            <w:right w:val="none" w:sz="0" w:space="0" w:color="auto"/>
                          </w:divBdr>
                        </w:div>
                      </w:divsChild>
                    </w:div>
                    <w:div w:id="294144009">
                      <w:marLeft w:val="0"/>
                      <w:marRight w:val="0"/>
                      <w:marTop w:val="0"/>
                      <w:marBottom w:val="0"/>
                      <w:divBdr>
                        <w:top w:val="none" w:sz="0" w:space="0" w:color="auto"/>
                        <w:left w:val="none" w:sz="0" w:space="0" w:color="auto"/>
                        <w:bottom w:val="none" w:sz="0" w:space="0" w:color="auto"/>
                        <w:right w:val="none" w:sz="0" w:space="0" w:color="auto"/>
                      </w:divBdr>
                      <w:divsChild>
                        <w:div w:id="294156564">
                          <w:marLeft w:val="0"/>
                          <w:marRight w:val="0"/>
                          <w:marTop w:val="0"/>
                          <w:marBottom w:val="0"/>
                          <w:divBdr>
                            <w:top w:val="none" w:sz="0" w:space="0" w:color="auto"/>
                            <w:left w:val="none" w:sz="0" w:space="0" w:color="auto"/>
                            <w:bottom w:val="none" w:sz="0" w:space="0" w:color="auto"/>
                            <w:right w:val="none" w:sz="0" w:space="0" w:color="auto"/>
                          </w:divBdr>
                        </w:div>
                      </w:divsChild>
                    </w:div>
                    <w:div w:id="294144126">
                      <w:marLeft w:val="0"/>
                      <w:marRight w:val="0"/>
                      <w:marTop w:val="0"/>
                      <w:marBottom w:val="0"/>
                      <w:divBdr>
                        <w:top w:val="none" w:sz="0" w:space="0" w:color="auto"/>
                        <w:left w:val="none" w:sz="0" w:space="0" w:color="auto"/>
                        <w:bottom w:val="none" w:sz="0" w:space="0" w:color="auto"/>
                        <w:right w:val="none" w:sz="0" w:space="0" w:color="auto"/>
                      </w:divBdr>
                      <w:divsChild>
                        <w:div w:id="294155730">
                          <w:marLeft w:val="0"/>
                          <w:marRight w:val="0"/>
                          <w:marTop w:val="0"/>
                          <w:marBottom w:val="0"/>
                          <w:divBdr>
                            <w:top w:val="none" w:sz="0" w:space="0" w:color="auto"/>
                            <w:left w:val="none" w:sz="0" w:space="0" w:color="auto"/>
                            <w:bottom w:val="none" w:sz="0" w:space="0" w:color="auto"/>
                            <w:right w:val="none" w:sz="0" w:space="0" w:color="auto"/>
                          </w:divBdr>
                        </w:div>
                      </w:divsChild>
                    </w:div>
                    <w:div w:id="294144158">
                      <w:marLeft w:val="0"/>
                      <w:marRight w:val="0"/>
                      <w:marTop w:val="0"/>
                      <w:marBottom w:val="0"/>
                      <w:divBdr>
                        <w:top w:val="none" w:sz="0" w:space="0" w:color="auto"/>
                        <w:left w:val="none" w:sz="0" w:space="0" w:color="auto"/>
                        <w:bottom w:val="none" w:sz="0" w:space="0" w:color="auto"/>
                        <w:right w:val="none" w:sz="0" w:space="0" w:color="auto"/>
                      </w:divBdr>
                    </w:div>
                    <w:div w:id="294144163">
                      <w:marLeft w:val="0"/>
                      <w:marRight w:val="0"/>
                      <w:marTop w:val="0"/>
                      <w:marBottom w:val="0"/>
                      <w:divBdr>
                        <w:top w:val="none" w:sz="0" w:space="0" w:color="auto"/>
                        <w:left w:val="none" w:sz="0" w:space="0" w:color="auto"/>
                        <w:bottom w:val="none" w:sz="0" w:space="0" w:color="auto"/>
                        <w:right w:val="none" w:sz="0" w:space="0" w:color="auto"/>
                      </w:divBdr>
                      <w:divsChild>
                        <w:div w:id="294155214">
                          <w:marLeft w:val="0"/>
                          <w:marRight w:val="0"/>
                          <w:marTop w:val="0"/>
                          <w:marBottom w:val="0"/>
                          <w:divBdr>
                            <w:top w:val="none" w:sz="0" w:space="0" w:color="auto"/>
                            <w:left w:val="none" w:sz="0" w:space="0" w:color="auto"/>
                            <w:bottom w:val="none" w:sz="0" w:space="0" w:color="auto"/>
                            <w:right w:val="none" w:sz="0" w:space="0" w:color="auto"/>
                          </w:divBdr>
                        </w:div>
                      </w:divsChild>
                    </w:div>
                    <w:div w:id="294144234">
                      <w:marLeft w:val="0"/>
                      <w:marRight w:val="0"/>
                      <w:marTop w:val="0"/>
                      <w:marBottom w:val="0"/>
                      <w:divBdr>
                        <w:top w:val="none" w:sz="0" w:space="0" w:color="auto"/>
                        <w:left w:val="none" w:sz="0" w:space="0" w:color="auto"/>
                        <w:bottom w:val="none" w:sz="0" w:space="0" w:color="auto"/>
                        <w:right w:val="none" w:sz="0" w:space="0" w:color="auto"/>
                      </w:divBdr>
                      <w:divsChild>
                        <w:div w:id="294143059">
                          <w:marLeft w:val="0"/>
                          <w:marRight w:val="0"/>
                          <w:marTop w:val="0"/>
                          <w:marBottom w:val="0"/>
                          <w:divBdr>
                            <w:top w:val="none" w:sz="0" w:space="0" w:color="auto"/>
                            <w:left w:val="none" w:sz="0" w:space="0" w:color="auto"/>
                            <w:bottom w:val="none" w:sz="0" w:space="0" w:color="auto"/>
                            <w:right w:val="none" w:sz="0" w:space="0" w:color="auto"/>
                          </w:divBdr>
                        </w:div>
                      </w:divsChild>
                    </w:div>
                    <w:div w:id="294144270">
                      <w:marLeft w:val="0"/>
                      <w:marRight w:val="0"/>
                      <w:marTop w:val="0"/>
                      <w:marBottom w:val="0"/>
                      <w:divBdr>
                        <w:top w:val="none" w:sz="0" w:space="0" w:color="auto"/>
                        <w:left w:val="none" w:sz="0" w:space="0" w:color="auto"/>
                        <w:bottom w:val="none" w:sz="0" w:space="0" w:color="auto"/>
                        <w:right w:val="none" w:sz="0" w:space="0" w:color="auto"/>
                      </w:divBdr>
                    </w:div>
                    <w:div w:id="294144382">
                      <w:marLeft w:val="0"/>
                      <w:marRight w:val="0"/>
                      <w:marTop w:val="0"/>
                      <w:marBottom w:val="0"/>
                      <w:divBdr>
                        <w:top w:val="none" w:sz="0" w:space="0" w:color="auto"/>
                        <w:left w:val="none" w:sz="0" w:space="0" w:color="auto"/>
                        <w:bottom w:val="none" w:sz="0" w:space="0" w:color="auto"/>
                        <w:right w:val="none" w:sz="0" w:space="0" w:color="auto"/>
                      </w:divBdr>
                      <w:divsChild>
                        <w:div w:id="294143167">
                          <w:marLeft w:val="0"/>
                          <w:marRight w:val="0"/>
                          <w:marTop w:val="0"/>
                          <w:marBottom w:val="0"/>
                          <w:divBdr>
                            <w:top w:val="none" w:sz="0" w:space="0" w:color="auto"/>
                            <w:left w:val="none" w:sz="0" w:space="0" w:color="auto"/>
                            <w:bottom w:val="none" w:sz="0" w:space="0" w:color="auto"/>
                            <w:right w:val="none" w:sz="0" w:space="0" w:color="auto"/>
                          </w:divBdr>
                        </w:div>
                      </w:divsChild>
                    </w:div>
                    <w:div w:id="294144390">
                      <w:marLeft w:val="0"/>
                      <w:marRight w:val="0"/>
                      <w:marTop w:val="0"/>
                      <w:marBottom w:val="0"/>
                      <w:divBdr>
                        <w:top w:val="none" w:sz="0" w:space="0" w:color="auto"/>
                        <w:left w:val="none" w:sz="0" w:space="0" w:color="auto"/>
                        <w:bottom w:val="none" w:sz="0" w:space="0" w:color="auto"/>
                        <w:right w:val="none" w:sz="0" w:space="0" w:color="auto"/>
                      </w:divBdr>
                    </w:div>
                    <w:div w:id="294144644">
                      <w:marLeft w:val="0"/>
                      <w:marRight w:val="0"/>
                      <w:marTop w:val="0"/>
                      <w:marBottom w:val="0"/>
                      <w:divBdr>
                        <w:top w:val="none" w:sz="0" w:space="0" w:color="auto"/>
                        <w:left w:val="none" w:sz="0" w:space="0" w:color="auto"/>
                        <w:bottom w:val="none" w:sz="0" w:space="0" w:color="auto"/>
                        <w:right w:val="none" w:sz="0" w:space="0" w:color="auto"/>
                      </w:divBdr>
                    </w:div>
                    <w:div w:id="294144655">
                      <w:marLeft w:val="0"/>
                      <w:marRight w:val="0"/>
                      <w:marTop w:val="0"/>
                      <w:marBottom w:val="0"/>
                      <w:divBdr>
                        <w:top w:val="none" w:sz="0" w:space="0" w:color="auto"/>
                        <w:left w:val="none" w:sz="0" w:space="0" w:color="auto"/>
                        <w:bottom w:val="none" w:sz="0" w:space="0" w:color="auto"/>
                        <w:right w:val="none" w:sz="0" w:space="0" w:color="auto"/>
                      </w:divBdr>
                    </w:div>
                    <w:div w:id="294144717">
                      <w:marLeft w:val="0"/>
                      <w:marRight w:val="0"/>
                      <w:marTop w:val="0"/>
                      <w:marBottom w:val="0"/>
                      <w:divBdr>
                        <w:top w:val="none" w:sz="0" w:space="0" w:color="auto"/>
                        <w:left w:val="none" w:sz="0" w:space="0" w:color="auto"/>
                        <w:bottom w:val="none" w:sz="0" w:space="0" w:color="auto"/>
                        <w:right w:val="none" w:sz="0" w:space="0" w:color="auto"/>
                      </w:divBdr>
                    </w:div>
                    <w:div w:id="294144751">
                      <w:marLeft w:val="0"/>
                      <w:marRight w:val="0"/>
                      <w:marTop w:val="0"/>
                      <w:marBottom w:val="0"/>
                      <w:divBdr>
                        <w:top w:val="none" w:sz="0" w:space="0" w:color="auto"/>
                        <w:left w:val="none" w:sz="0" w:space="0" w:color="auto"/>
                        <w:bottom w:val="none" w:sz="0" w:space="0" w:color="auto"/>
                        <w:right w:val="none" w:sz="0" w:space="0" w:color="auto"/>
                      </w:divBdr>
                      <w:divsChild>
                        <w:div w:id="294138034">
                          <w:marLeft w:val="0"/>
                          <w:marRight w:val="0"/>
                          <w:marTop w:val="0"/>
                          <w:marBottom w:val="0"/>
                          <w:divBdr>
                            <w:top w:val="none" w:sz="0" w:space="0" w:color="auto"/>
                            <w:left w:val="none" w:sz="0" w:space="0" w:color="auto"/>
                            <w:bottom w:val="none" w:sz="0" w:space="0" w:color="auto"/>
                            <w:right w:val="none" w:sz="0" w:space="0" w:color="auto"/>
                          </w:divBdr>
                        </w:div>
                      </w:divsChild>
                    </w:div>
                    <w:div w:id="294144757">
                      <w:marLeft w:val="0"/>
                      <w:marRight w:val="0"/>
                      <w:marTop w:val="0"/>
                      <w:marBottom w:val="0"/>
                      <w:divBdr>
                        <w:top w:val="none" w:sz="0" w:space="0" w:color="auto"/>
                        <w:left w:val="none" w:sz="0" w:space="0" w:color="auto"/>
                        <w:bottom w:val="none" w:sz="0" w:space="0" w:color="auto"/>
                        <w:right w:val="none" w:sz="0" w:space="0" w:color="auto"/>
                      </w:divBdr>
                      <w:divsChild>
                        <w:div w:id="294151978">
                          <w:marLeft w:val="0"/>
                          <w:marRight w:val="0"/>
                          <w:marTop w:val="0"/>
                          <w:marBottom w:val="0"/>
                          <w:divBdr>
                            <w:top w:val="none" w:sz="0" w:space="0" w:color="auto"/>
                            <w:left w:val="none" w:sz="0" w:space="0" w:color="auto"/>
                            <w:bottom w:val="none" w:sz="0" w:space="0" w:color="auto"/>
                            <w:right w:val="none" w:sz="0" w:space="0" w:color="auto"/>
                          </w:divBdr>
                        </w:div>
                      </w:divsChild>
                    </w:div>
                    <w:div w:id="294144928">
                      <w:marLeft w:val="0"/>
                      <w:marRight w:val="0"/>
                      <w:marTop w:val="0"/>
                      <w:marBottom w:val="0"/>
                      <w:divBdr>
                        <w:top w:val="none" w:sz="0" w:space="0" w:color="auto"/>
                        <w:left w:val="none" w:sz="0" w:space="0" w:color="auto"/>
                        <w:bottom w:val="none" w:sz="0" w:space="0" w:color="auto"/>
                        <w:right w:val="none" w:sz="0" w:space="0" w:color="auto"/>
                      </w:divBdr>
                    </w:div>
                    <w:div w:id="294144978">
                      <w:marLeft w:val="0"/>
                      <w:marRight w:val="0"/>
                      <w:marTop w:val="0"/>
                      <w:marBottom w:val="0"/>
                      <w:divBdr>
                        <w:top w:val="none" w:sz="0" w:space="0" w:color="auto"/>
                        <w:left w:val="none" w:sz="0" w:space="0" w:color="auto"/>
                        <w:bottom w:val="none" w:sz="0" w:space="0" w:color="auto"/>
                        <w:right w:val="none" w:sz="0" w:space="0" w:color="auto"/>
                      </w:divBdr>
                      <w:divsChild>
                        <w:div w:id="294147770">
                          <w:marLeft w:val="0"/>
                          <w:marRight w:val="0"/>
                          <w:marTop w:val="0"/>
                          <w:marBottom w:val="0"/>
                          <w:divBdr>
                            <w:top w:val="none" w:sz="0" w:space="0" w:color="auto"/>
                            <w:left w:val="none" w:sz="0" w:space="0" w:color="auto"/>
                            <w:bottom w:val="none" w:sz="0" w:space="0" w:color="auto"/>
                            <w:right w:val="none" w:sz="0" w:space="0" w:color="auto"/>
                          </w:divBdr>
                        </w:div>
                      </w:divsChild>
                    </w:div>
                    <w:div w:id="294144985">
                      <w:marLeft w:val="0"/>
                      <w:marRight w:val="0"/>
                      <w:marTop w:val="0"/>
                      <w:marBottom w:val="0"/>
                      <w:divBdr>
                        <w:top w:val="none" w:sz="0" w:space="0" w:color="auto"/>
                        <w:left w:val="none" w:sz="0" w:space="0" w:color="auto"/>
                        <w:bottom w:val="none" w:sz="0" w:space="0" w:color="auto"/>
                        <w:right w:val="none" w:sz="0" w:space="0" w:color="auto"/>
                      </w:divBdr>
                      <w:divsChild>
                        <w:div w:id="294141971">
                          <w:marLeft w:val="0"/>
                          <w:marRight w:val="0"/>
                          <w:marTop w:val="0"/>
                          <w:marBottom w:val="0"/>
                          <w:divBdr>
                            <w:top w:val="none" w:sz="0" w:space="0" w:color="auto"/>
                            <w:left w:val="none" w:sz="0" w:space="0" w:color="auto"/>
                            <w:bottom w:val="none" w:sz="0" w:space="0" w:color="auto"/>
                            <w:right w:val="none" w:sz="0" w:space="0" w:color="auto"/>
                          </w:divBdr>
                        </w:div>
                      </w:divsChild>
                    </w:div>
                    <w:div w:id="294145031">
                      <w:marLeft w:val="0"/>
                      <w:marRight w:val="0"/>
                      <w:marTop w:val="0"/>
                      <w:marBottom w:val="0"/>
                      <w:divBdr>
                        <w:top w:val="none" w:sz="0" w:space="0" w:color="auto"/>
                        <w:left w:val="none" w:sz="0" w:space="0" w:color="auto"/>
                        <w:bottom w:val="none" w:sz="0" w:space="0" w:color="auto"/>
                        <w:right w:val="none" w:sz="0" w:space="0" w:color="auto"/>
                      </w:divBdr>
                      <w:divsChild>
                        <w:div w:id="294155215">
                          <w:marLeft w:val="0"/>
                          <w:marRight w:val="0"/>
                          <w:marTop w:val="0"/>
                          <w:marBottom w:val="0"/>
                          <w:divBdr>
                            <w:top w:val="none" w:sz="0" w:space="0" w:color="auto"/>
                            <w:left w:val="none" w:sz="0" w:space="0" w:color="auto"/>
                            <w:bottom w:val="none" w:sz="0" w:space="0" w:color="auto"/>
                            <w:right w:val="none" w:sz="0" w:space="0" w:color="auto"/>
                          </w:divBdr>
                        </w:div>
                      </w:divsChild>
                    </w:div>
                    <w:div w:id="294145034">
                      <w:marLeft w:val="0"/>
                      <w:marRight w:val="0"/>
                      <w:marTop w:val="0"/>
                      <w:marBottom w:val="0"/>
                      <w:divBdr>
                        <w:top w:val="none" w:sz="0" w:space="0" w:color="auto"/>
                        <w:left w:val="none" w:sz="0" w:space="0" w:color="auto"/>
                        <w:bottom w:val="none" w:sz="0" w:space="0" w:color="auto"/>
                        <w:right w:val="none" w:sz="0" w:space="0" w:color="auto"/>
                      </w:divBdr>
                    </w:div>
                    <w:div w:id="294145076">
                      <w:marLeft w:val="0"/>
                      <w:marRight w:val="0"/>
                      <w:marTop w:val="0"/>
                      <w:marBottom w:val="0"/>
                      <w:divBdr>
                        <w:top w:val="none" w:sz="0" w:space="0" w:color="auto"/>
                        <w:left w:val="none" w:sz="0" w:space="0" w:color="auto"/>
                        <w:bottom w:val="none" w:sz="0" w:space="0" w:color="auto"/>
                        <w:right w:val="none" w:sz="0" w:space="0" w:color="auto"/>
                      </w:divBdr>
                      <w:divsChild>
                        <w:div w:id="294156336">
                          <w:marLeft w:val="0"/>
                          <w:marRight w:val="0"/>
                          <w:marTop w:val="0"/>
                          <w:marBottom w:val="0"/>
                          <w:divBdr>
                            <w:top w:val="none" w:sz="0" w:space="0" w:color="auto"/>
                            <w:left w:val="none" w:sz="0" w:space="0" w:color="auto"/>
                            <w:bottom w:val="none" w:sz="0" w:space="0" w:color="auto"/>
                            <w:right w:val="none" w:sz="0" w:space="0" w:color="auto"/>
                          </w:divBdr>
                        </w:div>
                      </w:divsChild>
                    </w:div>
                    <w:div w:id="294145104">
                      <w:marLeft w:val="0"/>
                      <w:marRight w:val="0"/>
                      <w:marTop w:val="0"/>
                      <w:marBottom w:val="0"/>
                      <w:divBdr>
                        <w:top w:val="none" w:sz="0" w:space="0" w:color="auto"/>
                        <w:left w:val="none" w:sz="0" w:space="0" w:color="auto"/>
                        <w:bottom w:val="none" w:sz="0" w:space="0" w:color="auto"/>
                        <w:right w:val="none" w:sz="0" w:space="0" w:color="auto"/>
                      </w:divBdr>
                    </w:div>
                    <w:div w:id="294145234">
                      <w:marLeft w:val="0"/>
                      <w:marRight w:val="0"/>
                      <w:marTop w:val="0"/>
                      <w:marBottom w:val="0"/>
                      <w:divBdr>
                        <w:top w:val="none" w:sz="0" w:space="0" w:color="auto"/>
                        <w:left w:val="none" w:sz="0" w:space="0" w:color="auto"/>
                        <w:bottom w:val="none" w:sz="0" w:space="0" w:color="auto"/>
                        <w:right w:val="none" w:sz="0" w:space="0" w:color="auto"/>
                      </w:divBdr>
                    </w:div>
                    <w:div w:id="294145402">
                      <w:marLeft w:val="0"/>
                      <w:marRight w:val="0"/>
                      <w:marTop w:val="0"/>
                      <w:marBottom w:val="0"/>
                      <w:divBdr>
                        <w:top w:val="none" w:sz="0" w:space="0" w:color="auto"/>
                        <w:left w:val="none" w:sz="0" w:space="0" w:color="auto"/>
                        <w:bottom w:val="none" w:sz="0" w:space="0" w:color="auto"/>
                        <w:right w:val="none" w:sz="0" w:space="0" w:color="auto"/>
                      </w:divBdr>
                      <w:divsChild>
                        <w:div w:id="294149777">
                          <w:marLeft w:val="0"/>
                          <w:marRight w:val="0"/>
                          <w:marTop w:val="0"/>
                          <w:marBottom w:val="0"/>
                          <w:divBdr>
                            <w:top w:val="none" w:sz="0" w:space="0" w:color="auto"/>
                            <w:left w:val="none" w:sz="0" w:space="0" w:color="auto"/>
                            <w:bottom w:val="none" w:sz="0" w:space="0" w:color="auto"/>
                            <w:right w:val="none" w:sz="0" w:space="0" w:color="auto"/>
                          </w:divBdr>
                        </w:div>
                      </w:divsChild>
                    </w:div>
                    <w:div w:id="294145405">
                      <w:marLeft w:val="0"/>
                      <w:marRight w:val="0"/>
                      <w:marTop w:val="0"/>
                      <w:marBottom w:val="0"/>
                      <w:divBdr>
                        <w:top w:val="none" w:sz="0" w:space="0" w:color="auto"/>
                        <w:left w:val="none" w:sz="0" w:space="0" w:color="auto"/>
                        <w:bottom w:val="none" w:sz="0" w:space="0" w:color="auto"/>
                        <w:right w:val="none" w:sz="0" w:space="0" w:color="auto"/>
                      </w:divBdr>
                      <w:divsChild>
                        <w:div w:id="294155737">
                          <w:marLeft w:val="0"/>
                          <w:marRight w:val="0"/>
                          <w:marTop w:val="0"/>
                          <w:marBottom w:val="0"/>
                          <w:divBdr>
                            <w:top w:val="none" w:sz="0" w:space="0" w:color="auto"/>
                            <w:left w:val="none" w:sz="0" w:space="0" w:color="auto"/>
                            <w:bottom w:val="none" w:sz="0" w:space="0" w:color="auto"/>
                            <w:right w:val="none" w:sz="0" w:space="0" w:color="auto"/>
                          </w:divBdr>
                        </w:div>
                      </w:divsChild>
                    </w:div>
                    <w:div w:id="294145450">
                      <w:marLeft w:val="0"/>
                      <w:marRight w:val="0"/>
                      <w:marTop w:val="0"/>
                      <w:marBottom w:val="0"/>
                      <w:divBdr>
                        <w:top w:val="none" w:sz="0" w:space="0" w:color="auto"/>
                        <w:left w:val="none" w:sz="0" w:space="0" w:color="auto"/>
                        <w:bottom w:val="none" w:sz="0" w:space="0" w:color="auto"/>
                        <w:right w:val="none" w:sz="0" w:space="0" w:color="auto"/>
                      </w:divBdr>
                    </w:div>
                    <w:div w:id="294145522">
                      <w:marLeft w:val="0"/>
                      <w:marRight w:val="0"/>
                      <w:marTop w:val="0"/>
                      <w:marBottom w:val="0"/>
                      <w:divBdr>
                        <w:top w:val="none" w:sz="0" w:space="0" w:color="auto"/>
                        <w:left w:val="none" w:sz="0" w:space="0" w:color="auto"/>
                        <w:bottom w:val="none" w:sz="0" w:space="0" w:color="auto"/>
                        <w:right w:val="none" w:sz="0" w:space="0" w:color="auto"/>
                      </w:divBdr>
                    </w:div>
                    <w:div w:id="294145561">
                      <w:marLeft w:val="0"/>
                      <w:marRight w:val="0"/>
                      <w:marTop w:val="0"/>
                      <w:marBottom w:val="0"/>
                      <w:divBdr>
                        <w:top w:val="none" w:sz="0" w:space="0" w:color="auto"/>
                        <w:left w:val="none" w:sz="0" w:space="0" w:color="auto"/>
                        <w:bottom w:val="none" w:sz="0" w:space="0" w:color="auto"/>
                        <w:right w:val="none" w:sz="0" w:space="0" w:color="auto"/>
                      </w:divBdr>
                    </w:div>
                    <w:div w:id="294145568">
                      <w:marLeft w:val="0"/>
                      <w:marRight w:val="0"/>
                      <w:marTop w:val="0"/>
                      <w:marBottom w:val="0"/>
                      <w:divBdr>
                        <w:top w:val="none" w:sz="0" w:space="0" w:color="auto"/>
                        <w:left w:val="none" w:sz="0" w:space="0" w:color="auto"/>
                        <w:bottom w:val="none" w:sz="0" w:space="0" w:color="auto"/>
                        <w:right w:val="none" w:sz="0" w:space="0" w:color="auto"/>
                      </w:divBdr>
                      <w:divsChild>
                        <w:div w:id="294153925">
                          <w:marLeft w:val="0"/>
                          <w:marRight w:val="0"/>
                          <w:marTop w:val="0"/>
                          <w:marBottom w:val="0"/>
                          <w:divBdr>
                            <w:top w:val="none" w:sz="0" w:space="0" w:color="auto"/>
                            <w:left w:val="none" w:sz="0" w:space="0" w:color="auto"/>
                            <w:bottom w:val="none" w:sz="0" w:space="0" w:color="auto"/>
                            <w:right w:val="none" w:sz="0" w:space="0" w:color="auto"/>
                          </w:divBdr>
                        </w:div>
                      </w:divsChild>
                    </w:div>
                    <w:div w:id="294145589">
                      <w:marLeft w:val="0"/>
                      <w:marRight w:val="0"/>
                      <w:marTop w:val="0"/>
                      <w:marBottom w:val="0"/>
                      <w:divBdr>
                        <w:top w:val="none" w:sz="0" w:space="0" w:color="auto"/>
                        <w:left w:val="none" w:sz="0" w:space="0" w:color="auto"/>
                        <w:bottom w:val="none" w:sz="0" w:space="0" w:color="auto"/>
                        <w:right w:val="none" w:sz="0" w:space="0" w:color="auto"/>
                      </w:divBdr>
                    </w:div>
                    <w:div w:id="294145613">
                      <w:marLeft w:val="0"/>
                      <w:marRight w:val="0"/>
                      <w:marTop w:val="0"/>
                      <w:marBottom w:val="0"/>
                      <w:divBdr>
                        <w:top w:val="none" w:sz="0" w:space="0" w:color="auto"/>
                        <w:left w:val="none" w:sz="0" w:space="0" w:color="auto"/>
                        <w:bottom w:val="none" w:sz="0" w:space="0" w:color="auto"/>
                        <w:right w:val="none" w:sz="0" w:space="0" w:color="auto"/>
                      </w:divBdr>
                      <w:divsChild>
                        <w:div w:id="294140125">
                          <w:marLeft w:val="0"/>
                          <w:marRight w:val="0"/>
                          <w:marTop w:val="0"/>
                          <w:marBottom w:val="0"/>
                          <w:divBdr>
                            <w:top w:val="none" w:sz="0" w:space="0" w:color="auto"/>
                            <w:left w:val="none" w:sz="0" w:space="0" w:color="auto"/>
                            <w:bottom w:val="none" w:sz="0" w:space="0" w:color="auto"/>
                            <w:right w:val="none" w:sz="0" w:space="0" w:color="auto"/>
                          </w:divBdr>
                        </w:div>
                      </w:divsChild>
                    </w:div>
                    <w:div w:id="294145648">
                      <w:marLeft w:val="0"/>
                      <w:marRight w:val="0"/>
                      <w:marTop w:val="0"/>
                      <w:marBottom w:val="0"/>
                      <w:divBdr>
                        <w:top w:val="none" w:sz="0" w:space="0" w:color="auto"/>
                        <w:left w:val="none" w:sz="0" w:space="0" w:color="auto"/>
                        <w:bottom w:val="none" w:sz="0" w:space="0" w:color="auto"/>
                        <w:right w:val="none" w:sz="0" w:space="0" w:color="auto"/>
                      </w:divBdr>
                      <w:divsChild>
                        <w:div w:id="294154775">
                          <w:marLeft w:val="0"/>
                          <w:marRight w:val="0"/>
                          <w:marTop w:val="0"/>
                          <w:marBottom w:val="0"/>
                          <w:divBdr>
                            <w:top w:val="none" w:sz="0" w:space="0" w:color="auto"/>
                            <w:left w:val="none" w:sz="0" w:space="0" w:color="auto"/>
                            <w:bottom w:val="none" w:sz="0" w:space="0" w:color="auto"/>
                            <w:right w:val="none" w:sz="0" w:space="0" w:color="auto"/>
                          </w:divBdr>
                        </w:div>
                      </w:divsChild>
                    </w:div>
                    <w:div w:id="294145664">
                      <w:marLeft w:val="0"/>
                      <w:marRight w:val="0"/>
                      <w:marTop w:val="0"/>
                      <w:marBottom w:val="0"/>
                      <w:divBdr>
                        <w:top w:val="none" w:sz="0" w:space="0" w:color="auto"/>
                        <w:left w:val="none" w:sz="0" w:space="0" w:color="auto"/>
                        <w:bottom w:val="none" w:sz="0" w:space="0" w:color="auto"/>
                        <w:right w:val="none" w:sz="0" w:space="0" w:color="auto"/>
                      </w:divBdr>
                    </w:div>
                    <w:div w:id="294145672">
                      <w:marLeft w:val="0"/>
                      <w:marRight w:val="0"/>
                      <w:marTop w:val="0"/>
                      <w:marBottom w:val="0"/>
                      <w:divBdr>
                        <w:top w:val="none" w:sz="0" w:space="0" w:color="auto"/>
                        <w:left w:val="none" w:sz="0" w:space="0" w:color="auto"/>
                        <w:bottom w:val="none" w:sz="0" w:space="0" w:color="auto"/>
                        <w:right w:val="none" w:sz="0" w:space="0" w:color="auto"/>
                      </w:divBdr>
                    </w:div>
                    <w:div w:id="294145722">
                      <w:marLeft w:val="0"/>
                      <w:marRight w:val="0"/>
                      <w:marTop w:val="0"/>
                      <w:marBottom w:val="0"/>
                      <w:divBdr>
                        <w:top w:val="none" w:sz="0" w:space="0" w:color="auto"/>
                        <w:left w:val="none" w:sz="0" w:space="0" w:color="auto"/>
                        <w:bottom w:val="none" w:sz="0" w:space="0" w:color="auto"/>
                        <w:right w:val="none" w:sz="0" w:space="0" w:color="auto"/>
                      </w:divBdr>
                      <w:divsChild>
                        <w:div w:id="294141261">
                          <w:marLeft w:val="0"/>
                          <w:marRight w:val="0"/>
                          <w:marTop w:val="0"/>
                          <w:marBottom w:val="0"/>
                          <w:divBdr>
                            <w:top w:val="none" w:sz="0" w:space="0" w:color="auto"/>
                            <w:left w:val="none" w:sz="0" w:space="0" w:color="auto"/>
                            <w:bottom w:val="none" w:sz="0" w:space="0" w:color="auto"/>
                            <w:right w:val="none" w:sz="0" w:space="0" w:color="auto"/>
                          </w:divBdr>
                        </w:div>
                      </w:divsChild>
                    </w:div>
                    <w:div w:id="294145741">
                      <w:marLeft w:val="0"/>
                      <w:marRight w:val="0"/>
                      <w:marTop w:val="0"/>
                      <w:marBottom w:val="0"/>
                      <w:divBdr>
                        <w:top w:val="none" w:sz="0" w:space="0" w:color="auto"/>
                        <w:left w:val="none" w:sz="0" w:space="0" w:color="auto"/>
                        <w:bottom w:val="none" w:sz="0" w:space="0" w:color="auto"/>
                        <w:right w:val="none" w:sz="0" w:space="0" w:color="auto"/>
                      </w:divBdr>
                    </w:div>
                    <w:div w:id="294145905">
                      <w:marLeft w:val="0"/>
                      <w:marRight w:val="0"/>
                      <w:marTop w:val="0"/>
                      <w:marBottom w:val="0"/>
                      <w:divBdr>
                        <w:top w:val="none" w:sz="0" w:space="0" w:color="auto"/>
                        <w:left w:val="none" w:sz="0" w:space="0" w:color="auto"/>
                        <w:bottom w:val="none" w:sz="0" w:space="0" w:color="auto"/>
                        <w:right w:val="none" w:sz="0" w:space="0" w:color="auto"/>
                      </w:divBdr>
                      <w:divsChild>
                        <w:div w:id="294145452">
                          <w:marLeft w:val="0"/>
                          <w:marRight w:val="0"/>
                          <w:marTop w:val="0"/>
                          <w:marBottom w:val="0"/>
                          <w:divBdr>
                            <w:top w:val="none" w:sz="0" w:space="0" w:color="auto"/>
                            <w:left w:val="none" w:sz="0" w:space="0" w:color="auto"/>
                            <w:bottom w:val="none" w:sz="0" w:space="0" w:color="auto"/>
                            <w:right w:val="none" w:sz="0" w:space="0" w:color="auto"/>
                          </w:divBdr>
                        </w:div>
                      </w:divsChild>
                    </w:div>
                    <w:div w:id="294145929">
                      <w:marLeft w:val="0"/>
                      <w:marRight w:val="0"/>
                      <w:marTop w:val="0"/>
                      <w:marBottom w:val="0"/>
                      <w:divBdr>
                        <w:top w:val="none" w:sz="0" w:space="0" w:color="auto"/>
                        <w:left w:val="none" w:sz="0" w:space="0" w:color="auto"/>
                        <w:bottom w:val="none" w:sz="0" w:space="0" w:color="auto"/>
                        <w:right w:val="none" w:sz="0" w:space="0" w:color="auto"/>
                      </w:divBdr>
                      <w:divsChild>
                        <w:div w:id="294149111">
                          <w:marLeft w:val="0"/>
                          <w:marRight w:val="0"/>
                          <w:marTop w:val="0"/>
                          <w:marBottom w:val="0"/>
                          <w:divBdr>
                            <w:top w:val="none" w:sz="0" w:space="0" w:color="auto"/>
                            <w:left w:val="none" w:sz="0" w:space="0" w:color="auto"/>
                            <w:bottom w:val="none" w:sz="0" w:space="0" w:color="auto"/>
                            <w:right w:val="none" w:sz="0" w:space="0" w:color="auto"/>
                          </w:divBdr>
                        </w:div>
                      </w:divsChild>
                    </w:div>
                    <w:div w:id="294145936">
                      <w:marLeft w:val="0"/>
                      <w:marRight w:val="0"/>
                      <w:marTop w:val="0"/>
                      <w:marBottom w:val="0"/>
                      <w:divBdr>
                        <w:top w:val="none" w:sz="0" w:space="0" w:color="auto"/>
                        <w:left w:val="none" w:sz="0" w:space="0" w:color="auto"/>
                        <w:bottom w:val="none" w:sz="0" w:space="0" w:color="auto"/>
                        <w:right w:val="none" w:sz="0" w:space="0" w:color="auto"/>
                      </w:divBdr>
                    </w:div>
                    <w:div w:id="294145952">
                      <w:marLeft w:val="0"/>
                      <w:marRight w:val="0"/>
                      <w:marTop w:val="0"/>
                      <w:marBottom w:val="0"/>
                      <w:divBdr>
                        <w:top w:val="none" w:sz="0" w:space="0" w:color="auto"/>
                        <w:left w:val="none" w:sz="0" w:space="0" w:color="auto"/>
                        <w:bottom w:val="none" w:sz="0" w:space="0" w:color="auto"/>
                        <w:right w:val="none" w:sz="0" w:space="0" w:color="auto"/>
                      </w:divBdr>
                    </w:div>
                    <w:div w:id="294146120">
                      <w:marLeft w:val="0"/>
                      <w:marRight w:val="0"/>
                      <w:marTop w:val="0"/>
                      <w:marBottom w:val="0"/>
                      <w:divBdr>
                        <w:top w:val="none" w:sz="0" w:space="0" w:color="auto"/>
                        <w:left w:val="none" w:sz="0" w:space="0" w:color="auto"/>
                        <w:bottom w:val="none" w:sz="0" w:space="0" w:color="auto"/>
                        <w:right w:val="none" w:sz="0" w:space="0" w:color="auto"/>
                      </w:divBdr>
                      <w:divsChild>
                        <w:div w:id="294139139">
                          <w:marLeft w:val="0"/>
                          <w:marRight w:val="0"/>
                          <w:marTop w:val="0"/>
                          <w:marBottom w:val="0"/>
                          <w:divBdr>
                            <w:top w:val="none" w:sz="0" w:space="0" w:color="auto"/>
                            <w:left w:val="none" w:sz="0" w:space="0" w:color="auto"/>
                            <w:bottom w:val="none" w:sz="0" w:space="0" w:color="auto"/>
                            <w:right w:val="none" w:sz="0" w:space="0" w:color="auto"/>
                          </w:divBdr>
                        </w:div>
                      </w:divsChild>
                    </w:div>
                    <w:div w:id="294146136">
                      <w:marLeft w:val="0"/>
                      <w:marRight w:val="0"/>
                      <w:marTop w:val="0"/>
                      <w:marBottom w:val="0"/>
                      <w:divBdr>
                        <w:top w:val="none" w:sz="0" w:space="0" w:color="auto"/>
                        <w:left w:val="none" w:sz="0" w:space="0" w:color="auto"/>
                        <w:bottom w:val="none" w:sz="0" w:space="0" w:color="auto"/>
                        <w:right w:val="none" w:sz="0" w:space="0" w:color="auto"/>
                      </w:divBdr>
                      <w:divsChild>
                        <w:div w:id="294151845">
                          <w:marLeft w:val="0"/>
                          <w:marRight w:val="0"/>
                          <w:marTop w:val="0"/>
                          <w:marBottom w:val="0"/>
                          <w:divBdr>
                            <w:top w:val="none" w:sz="0" w:space="0" w:color="auto"/>
                            <w:left w:val="none" w:sz="0" w:space="0" w:color="auto"/>
                            <w:bottom w:val="none" w:sz="0" w:space="0" w:color="auto"/>
                            <w:right w:val="none" w:sz="0" w:space="0" w:color="auto"/>
                          </w:divBdr>
                        </w:div>
                      </w:divsChild>
                    </w:div>
                    <w:div w:id="294146168">
                      <w:marLeft w:val="0"/>
                      <w:marRight w:val="0"/>
                      <w:marTop w:val="0"/>
                      <w:marBottom w:val="0"/>
                      <w:divBdr>
                        <w:top w:val="none" w:sz="0" w:space="0" w:color="auto"/>
                        <w:left w:val="none" w:sz="0" w:space="0" w:color="auto"/>
                        <w:bottom w:val="none" w:sz="0" w:space="0" w:color="auto"/>
                        <w:right w:val="none" w:sz="0" w:space="0" w:color="auto"/>
                      </w:divBdr>
                    </w:div>
                    <w:div w:id="294146178">
                      <w:marLeft w:val="0"/>
                      <w:marRight w:val="0"/>
                      <w:marTop w:val="0"/>
                      <w:marBottom w:val="0"/>
                      <w:divBdr>
                        <w:top w:val="none" w:sz="0" w:space="0" w:color="auto"/>
                        <w:left w:val="none" w:sz="0" w:space="0" w:color="auto"/>
                        <w:bottom w:val="none" w:sz="0" w:space="0" w:color="auto"/>
                        <w:right w:val="none" w:sz="0" w:space="0" w:color="auto"/>
                      </w:divBdr>
                      <w:divsChild>
                        <w:div w:id="294142055">
                          <w:marLeft w:val="0"/>
                          <w:marRight w:val="0"/>
                          <w:marTop w:val="0"/>
                          <w:marBottom w:val="0"/>
                          <w:divBdr>
                            <w:top w:val="none" w:sz="0" w:space="0" w:color="auto"/>
                            <w:left w:val="none" w:sz="0" w:space="0" w:color="auto"/>
                            <w:bottom w:val="none" w:sz="0" w:space="0" w:color="auto"/>
                            <w:right w:val="none" w:sz="0" w:space="0" w:color="auto"/>
                          </w:divBdr>
                        </w:div>
                      </w:divsChild>
                    </w:div>
                    <w:div w:id="294146263">
                      <w:marLeft w:val="0"/>
                      <w:marRight w:val="0"/>
                      <w:marTop w:val="0"/>
                      <w:marBottom w:val="0"/>
                      <w:divBdr>
                        <w:top w:val="none" w:sz="0" w:space="0" w:color="auto"/>
                        <w:left w:val="none" w:sz="0" w:space="0" w:color="auto"/>
                        <w:bottom w:val="none" w:sz="0" w:space="0" w:color="auto"/>
                        <w:right w:val="none" w:sz="0" w:space="0" w:color="auto"/>
                      </w:divBdr>
                    </w:div>
                    <w:div w:id="294146297">
                      <w:marLeft w:val="0"/>
                      <w:marRight w:val="0"/>
                      <w:marTop w:val="0"/>
                      <w:marBottom w:val="0"/>
                      <w:divBdr>
                        <w:top w:val="none" w:sz="0" w:space="0" w:color="auto"/>
                        <w:left w:val="none" w:sz="0" w:space="0" w:color="auto"/>
                        <w:bottom w:val="none" w:sz="0" w:space="0" w:color="auto"/>
                        <w:right w:val="none" w:sz="0" w:space="0" w:color="auto"/>
                      </w:divBdr>
                      <w:divsChild>
                        <w:div w:id="294138500">
                          <w:marLeft w:val="0"/>
                          <w:marRight w:val="0"/>
                          <w:marTop w:val="0"/>
                          <w:marBottom w:val="0"/>
                          <w:divBdr>
                            <w:top w:val="none" w:sz="0" w:space="0" w:color="auto"/>
                            <w:left w:val="none" w:sz="0" w:space="0" w:color="auto"/>
                            <w:bottom w:val="none" w:sz="0" w:space="0" w:color="auto"/>
                            <w:right w:val="none" w:sz="0" w:space="0" w:color="auto"/>
                          </w:divBdr>
                        </w:div>
                      </w:divsChild>
                    </w:div>
                    <w:div w:id="294146339">
                      <w:marLeft w:val="0"/>
                      <w:marRight w:val="0"/>
                      <w:marTop w:val="0"/>
                      <w:marBottom w:val="0"/>
                      <w:divBdr>
                        <w:top w:val="none" w:sz="0" w:space="0" w:color="auto"/>
                        <w:left w:val="none" w:sz="0" w:space="0" w:color="auto"/>
                        <w:bottom w:val="none" w:sz="0" w:space="0" w:color="auto"/>
                        <w:right w:val="none" w:sz="0" w:space="0" w:color="auto"/>
                      </w:divBdr>
                      <w:divsChild>
                        <w:div w:id="294139696">
                          <w:marLeft w:val="0"/>
                          <w:marRight w:val="0"/>
                          <w:marTop w:val="0"/>
                          <w:marBottom w:val="0"/>
                          <w:divBdr>
                            <w:top w:val="none" w:sz="0" w:space="0" w:color="auto"/>
                            <w:left w:val="none" w:sz="0" w:space="0" w:color="auto"/>
                            <w:bottom w:val="none" w:sz="0" w:space="0" w:color="auto"/>
                            <w:right w:val="none" w:sz="0" w:space="0" w:color="auto"/>
                          </w:divBdr>
                        </w:div>
                      </w:divsChild>
                    </w:div>
                    <w:div w:id="294146392">
                      <w:marLeft w:val="0"/>
                      <w:marRight w:val="0"/>
                      <w:marTop w:val="0"/>
                      <w:marBottom w:val="0"/>
                      <w:divBdr>
                        <w:top w:val="none" w:sz="0" w:space="0" w:color="auto"/>
                        <w:left w:val="none" w:sz="0" w:space="0" w:color="auto"/>
                        <w:bottom w:val="none" w:sz="0" w:space="0" w:color="auto"/>
                        <w:right w:val="none" w:sz="0" w:space="0" w:color="auto"/>
                      </w:divBdr>
                      <w:divsChild>
                        <w:div w:id="294150631">
                          <w:marLeft w:val="0"/>
                          <w:marRight w:val="0"/>
                          <w:marTop w:val="0"/>
                          <w:marBottom w:val="0"/>
                          <w:divBdr>
                            <w:top w:val="none" w:sz="0" w:space="0" w:color="auto"/>
                            <w:left w:val="none" w:sz="0" w:space="0" w:color="auto"/>
                            <w:bottom w:val="none" w:sz="0" w:space="0" w:color="auto"/>
                            <w:right w:val="none" w:sz="0" w:space="0" w:color="auto"/>
                          </w:divBdr>
                        </w:div>
                      </w:divsChild>
                    </w:div>
                    <w:div w:id="294146477">
                      <w:marLeft w:val="0"/>
                      <w:marRight w:val="0"/>
                      <w:marTop w:val="0"/>
                      <w:marBottom w:val="0"/>
                      <w:divBdr>
                        <w:top w:val="none" w:sz="0" w:space="0" w:color="auto"/>
                        <w:left w:val="none" w:sz="0" w:space="0" w:color="auto"/>
                        <w:bottom w:val="none" w:sz="0" w:space="0" w:color="auto"/>
                        <w:right w:val="none" w:sz="0" w:space="0" w:color="auto"/>
                      </w:divBdr>
                    </w:div>
                    <w:div w:id="294146500">
                      <w:marLeft w:val="0"/>
                      <w:marRight w:val="0"/>
                      <w:marTop w:val="0"/>
                      <w:marBottom w:val="0"/>
                      <w:divBdr>
                        <w:top w:val="none" w:sz="0" w:space="0" w:color="auto"/>
                        <w:left w:val="none" w:sz="0" w:space="0" w:color="auto"/>
                        <w:bottom w:val="none" w:sz="0" w:space="0" w:color="auto"/>
                        <w:right w:val="none" w:sz="0" w:space="0" w:color="auto"/>
                      </w:divBdr>
                      <w:divsChild>
                        <w:div w:id="294139235">
                          <w:marLeft w:val="0"/>
                          <w:marRight w:val="0"/>
                          <w:marTop w:val="0"/>
                          <w:marBottom w:val="0"/>
                          <w:divBdr>
                            <w:top w:val="none" w:sz="0" w:space="0" w:color="auto"/>
                            <w:left w:val="none" w:sz="0" w:space="0" w:color="auto"/>
                            <w:bottom w:val="none" w:sz="0" w:space="0" w:color="auto"/>
                            <w:right w:val="none" w:sz="0" w:space="0" w:color="auto"/>
                          </w:divBdr>
                        </w:div>
                      </w:divsChild>
                    </w:div>
                    <w:div w:id="294146511">
                      <w:marLeft w:val="0"/>
                      <w:marRight w:val="0"/>
                      <w:marTop w:val="0"/>
                      <w:marBottom w:val="0"/>
                      <w:divBdr>
                        <w:top w:val="none" w:sz="0" w:space="0" w:color="auto"/>
                        <w:left w:val="none" w:sz="0" w:space="0" w:color="auto"/>
                        <w:bottom w:val="none" w:sz="0" w:space="0" w:color="auto"/>
                        <w:right w:val="none" w:sz="0" w:space="0" w:color="auto"/>
                      </w:divBdr>
                      <w:divsChild>
                        <w:div w:id="294145558">
                          <w:marLeft w:val="0"/>
                          <w:marRight w:val="0"/>
                          <w:marTop w:val="0"/>
                          <w:marBottom w:val="0"/>
                          <w:divBdr>
                            <w:top w:val="none" w:sz="0" w:space="0" w:color="auto"/>
                            <w:left w:val="none" w:sz="0" w:space="0" w:color="auto"/>
                            <w:bottom w:val="none" w:sz="0" w:space="0" w:color="auto"/>
                            <w:right w:val="none" w:sz="0" w:space="0" w:color="auto"/>
                          </w:divBdr>
                        </w:div>
                      </w:divsChild>
                    </w:div>
                    <w:div w:id="294146599">
                      <w:marLeft w:val="0"/>
                      <w:marRight w:val="0"/>
                      <w:marTop w:val="0"/>
                      <w:marBottom w:val="0"/>
                      <w:divBdr>
                        <w:top w:val="none" w:sz="0" w:space="0" w:color="auto"/>
                        <w:left w:val="none" w:sz="0" w:space="0" w:color="auto"/>
                        <w:bottom w:val="none" w:sz="0" w:space="0" w:color="auto"/>
                        <w:right w:val="none" w:sz="0" w:space="0" w:color="auto"/>
                      </w:divBdr>
                    </w:div>
                    <w:div w:id="294146682">
                      <w:marLeft w:val="0"/>
                      <w:marRight w:val="0"/>
                      <w:marTop w:val="0"/>
                      <w:marBottom w:val="0"/>
                      <w:divBdr>
                        <w:top w:val="none" w:sz="0" w:space="0" w:color="auto"/>
                        <w:left w:val="none" w:sz="0" w:space="0" w:color="auto"/>
                        <w:bottom w:val="none" w:sz="0" w:space="0" w:color="auto"/>
                        <w:right w:val="none" w:sz="0" w:space="0" w:color="auto"/>
                      </w:divBdr>
                      <w:divsChild>
                        <w:div w:id="294145406">
                          <w:marLeft w:val="0"/>
                          <w:marRight w:val="0"/>
                          <w:marTop w:val="0"/>
                          <w:marBottom w:val="0"/>
                          <w:divBdr>
                            <w:top w:val="none" w:sz="0" w:space="0" w:color="auto"/>
                            <w:left w:val="none" w:sz="0" w:space="0" w:color="auto"/>
                            <w:bottom w:val="none" w:sz="0" w:space="0" w:color="auto"/>
                            <w:right w:val="none" w:sz="0" w:space="0" w:color="auto"/>
                          </w:divBdr>
                        </w:div>
                      </w:divsChild>
                    </w:div>
                    <w:div w:id="294146803">
                      <w:marLeft w:val="0"/>
                      <w:marRight w:val="0"/>
                      <w:marTop w:val="0"/>
                      <w:marBottom w:val="0"/>
                      <w:divBdr>
                        <w:top w:val="none" w:sz="0" w:space="0" w:color="auto"/>
                        <w:left w:val="none" w:sz="0" w:space="0" w:color="auto"/>
                        <w:bottom w:val="none" w:sz="0" w:space="0" w:color="auto"/>
                        <w:right w:val="none" w:sz="0" w:space="0" w:color="auto"/>
                      </w:divBdr>
                    </w:div>
                    <w:div w:id="294147018">
                      <w:marLeft w:val="0"/>
                      <w:marRight w:val="0"/>
                      <w:marTop w:val="0"/>
                      <w:marBottom w:val="0"/>
                      <w:divBdr>
                        <w:top w:val="none" w:sz="0" w:space="0" w:color="auto"/>
                        <w:left w:val="none" w:sz="0" w:space="0" w:color="auto"/>
                        <w:bottom w:val="none" w:sz="0" w:space="0" w:color="auto"/>
                        <w:right w:val="none" w:sz="0" w:space="0" w:color="auto"/>
                      </w:divBdr>
                      <w:divsChild>
                        <w:div w:id="294142014">
                          <w:marLeft w:val="0"/>
                          <w:marRight w:val="0"/>
                          <w:marTop w:val="0"/>
                          <w:marBottom w:val="0"/>
                          <w:divBdr>
                            <w:top w:val="none" w:sz="0" w:space="0" w:color="auto"/>
                            <w:left w:val="none" w:sz="0" w:space="0" w:color="auto"/>
                            <w:bottom w:val="none" w:sz="0" w:space="0" w:color="auto"/>
                            <w:right w:val="none" w:sz="0" w:space="0" w:color="auto"/>
                          </w:divBdr>
                        </w:div>
                      </w:divsChild>
                    </w:div>
                    <w:div w:id="294147023">
                      <w:marLeft w:val="0"/>
                      <w:marRight w:val="0"/>
                      <w:marTop w:val="0"/>
                      <w:marBottom w:val="0"/>
                      <w:divBdr>
                        <w:top w:val="none" w:sz="0" w:space="0" w:color="auto"/>
                        <w:left w:val="none" w:sz="0" w:space="0" w:color="auto"/>
                        <w:bottom w:val="none" w:sz="0" w:space="0" w:color="auto"/>
                        <w:right w:val="none" w:sz="0" w:space="0" w:color="auto"/>
                      </w:divBdr>
                      <w:divsChild>
                        <w:div w:id="294153328">
                          <w:marLeft w:val="0"/>
                          <w:marRight w:val="0"/>
                          <w:marTop w:val="0"/>
                          <w:marBottom w:val="0"/>
                          <w:divBdr>
                            <w:top w:val="none" w:sz="0" w:space="0" w:color="auto"/>
                            <w:left w:val="none" w:sz="0" w:space="0" w:color="auto"/>
                            <w:bottom w:val="none" w:sz="0" w:space="0" w:color="auto"/>
                            <w:right w:val="none" w:sz="0" w:space="0" w:color="auto"/>
                          </w:divBdr>
                        </w:div>
                      </w:divsChild>
                    </w:div>
                    <w:div w:id="294147081">
                      <w:marLeft w:val="0"/>
                      <w:marRight w:val="0"/>
                      <w:marTop w:val="0"/>
                      <w:marBottom w:val="0"/>
                      <w:divBdr>
                        <w:top w:val="none" w:sz="0" w:space="0" w:color="auto"/>
                        <w:left w:val="none" w:sz="0" w:space="0" w:color="auto"/>
                        <w:bottom w:val="none" w:sz="0" w:space="0" w:color="auto"/>
                        <w:right w:val="none" w:sz="0" w:space="0" w:color="auto"/>
                      </w:divBdr>
                      <w:divsChild>
                        <w:div w:id="294139488">
                          <w:marLeft w:val="0"/>
                          <w:marRight w:val="0"/>
                          <w:marTop w:val="0"/>
                          <w:marBottom w:val="0"/>
                          <w:divBdr>
                            <w:top w:val="none" w:sz="0" w:space="0" w:color="auto"/>
                            <w:left w:val="none" w:sz="0" w:space="0" w:color="auto"/>
                            <w:bottom w:val="none" w:sz="0" w:space="0" w:color="auto"/>
                            <w:right w:val="none" w:sz="0" w:space="0" w:color="auto"/>
                          </w:divBdr>
                        </w:div>
                      </w:divsChild>
                    </w:div>
                    <w:div w:id="294147220">
                      <w:marLeft w:val="0"/>
                      <w:marRight w:val="0"/>
                      <w:marTop w:val="0"/>
                      <w:marBottom w:val="0"/>
                      <w:divBdr>
                        <w:top w:val="none" w:sz="0" w:space="0" w:color="auto"/>
                        <w:left w:val="none" w:sz="0" w:space="0" w:color="auto"/>
                        <w:bottom w:val="none" w:sz="0" w:space="0" w:color="auto"/>
                        <w:right w:val="none" w:sz="0" w:space="0" w:color="auto"/>
                      </w:divBdr>
                      <w:divsChild>
                        <w:div w:id="294155211">
                          <w:marLeft w:val="0"/>
                          <w:marRight w:val="0"/>
                          <w:marTop w:val="0"/>
                          <w:marBottom w:val="0"/>
                          <w:divBdr>
                            <w:top w:val="none" w:sz="0" w:space="0" w:color="auto"/>
                            <w:left w:val="none" w:sz="0" w:space="0" w:color="auto"/>
                            <w:bottom w:val="none" w:sz="0" w:space="0" w:color="auto"/>
                            <w:right w:val="none" w:sz="0" w:space="0" w:color="auto"/>
                          </w:divBdr>
                        </w:div>
                      </w:divsChild>
                    </w:div>
                    <w:div w:id="294147374">
                      <w:marLeft w:val="0"/>
                      <w:marRight w:val="0"/>
                      <w:marTop w:val="0"/>
                      <w:marBottom w:val="0"/>
                      <w:divBdr>
                        <w:top w:val="none" w:sz="0" w:space="0" w:color="auto"/>
                        <w:left w:val="none" w:sz="0" w:space="0" w:color="auto"/>
                        <w:bottom w:val="none" w:sz="0" w:space="0" w:color="auto"/>
                        <w:right w:val="none" w:sz="0" w:space="0" w:color="auto"/>
                      </w:divBdr>
                      <w:divsChild>
                        <w:div w:id="294138384">
                          <w:marLeft w:val="0"/>
                          <w:marRight w:val="0"/>
                          <w:marTop w:val="0"/>
                          <w:marBottom w:val="0"/>
                          <w:divBdr>
                            <w:top w:val="none" w:sz="0" w:space="0" w:color="auto"/>
                            <w:left w:val="none" w:sz="0" w:space="0" w:color="auto"/>
                            <w:bottom w:val="none" w:sz="0" w:space="0" w:color="auto"/>
                            <w:right w:val="none" w:sz="0" w:space="0" w:color="auto"/>
                          </w:divBdr>
                        </w:div>
                      </w:divsChild>
                    </w:div>
                    <w:div w:id="294147491">
                      <w:marLeft w:val="0"/>
                      <w:marRight w:val="0"/>
                      <w:marTop w:val="0"/>
                      <w:marBottom w:val="0"/>
                      <w:divBdr>
                        <w:top w:val="none" w:sz="0" w:space="0" w:color="auto"/>
                        <w:left w:val="none" w:sz="0" w:space="0" w:color="auto"/>
                        <w:bottom w:val="none" w:sz="0" w:space="0" w:color="auto"/>
                        <w:right w:val="none" w:sz="0" w:space="0" w:color="auto"/>
                      </w:divBdr>
                    </w:div>
                    <w:div w:id="294147537">
                      <w:marLeft w:val="0"/>
                      <w:marRight w:val="0"/>
                      <w:marTop w:val="0"/>
                      <w:marBottom w:val="0"/>
                      <w:divBdr>
                        <w:top w:val="none" w:sz="0" w:space="0" w:color="auto"/>
                        <w:left w:val="none" w:sz="0" w:space="0" w:color="auto"/>
                        <w:bottom w:val="none" w:sz="0" w:space="0" w:color="auto"/>
                        <w:right w:val="none" w:sz="0" w:space="0" w:color="auto"/>
                      </w:divBdr>
                    </w:div>
                    <w:div w:id="294147558">
                      <w:marLeft w:val="0"/>
                      <w:marRight w:val="0"/>
                      <w:marTop w:val="0"/>
                      <w:marBottom w:val="0"/>
                      <w:divBdr>
                        <w:top w:val="none" w:sz="0" w:space="0" w:color="auto"/>
                        <w:left w:val="none" w:sz="0" w:space="0" w:color="auto"/>
                        <w:bottom w:val="none" w:sz="0" w:space="0" w:color="auto"/>
                        <w:right w:val="none" w:sz="0" w:space="0" w:color="auto"/>
                      </w:divBdr>
                    </w:div>
                    <w:div w:id="294147599">
                      <w:marLeft w:val="0"/>
                      <w:marRight w:val="0"/>
                      <w:marTop w:val="0"/>
                      <w:marBottom w:val="0"/>
                      <w:divBdr>
                        <w:top w:val="none" w:sz="0" w:space="0" w:color="auto"/>
                        <w:left w:val="none" w:sz="0" w:space="0" w:color="auto"/>
                        <w:bottom w:val="none" w:sz="0" w:space="0" w:color="auto"/>
                        <w:right w:val="none" w:sz="0" w:space="0" w:color="auto"/>
                      </w:divBdr>
                      <w:divsChild>
                        <w:div w:id="294143771">
                          <w:marLeft w:val="0"/>
                          <w:marRight w:val="0"/>
                          <w:marTop w:val="0"/>
                          <w:marBottom w:val="0"/>
                          <w:divBdr>
                            <w:top w:val="none" w:sz="0" w:space="0" w:color="auto"/>
                            <w:left w:val="none" w:sz="0" w:space="0" w:color="auto"/>
                            <w:bottom w:val="none" w:sz="0" w:space="0" w:color="auto"/>
                            <w:right w:val="none" w:sz="0" w:space="0" w:color="auto"/>
                          </w:divBdr>
                        </w:div>
                      </w:divsChild>
                    </w:div>
                    <w:div w:id="294147660">
                      <w:marLeft w:val="0"/>
                      <w:marRight w:val="0"/>
                      <w:marTop w:val="0"/>
                      <w:marBottom w:val="0"/>
                      <w:divBdr>
                        <w:top w:val="none" w:sz="0" w:space="0" w:color="auto"/>
                        <w:left w:val="none" w:sz="0" w:space="0" w:color="auto"/>
                        <w:bottom w:val="none" w:sz="0" w:space="0" w:color="auto"/>
                        <w:right w:val="none" w:sz="0" w:space="0" w:color="auto"/>
                      </w:divBdr>
                      <w:divsChild>
                        <w:div w:id="294147501">
                          <w:marLeft w:val="0"/>
                          <w:marRight w:val="0"/>
                          <w:marTop w:val="0"/>
                          <w:marBottom w:val="0"/>
                          <w:divBdr>
                            <w:top w:val="none" w:sz="0" w:space="0" w:color="auto"/>
                            <w:left w:val="none" w:sz="0" w:space="0" w:color="auto"/>
                            <w:bottom w:val="none" w:sz="0" w:space="0" w:color="auto"/>
                            <w:right w:val="none" w:sz="0" w:space="0" w:color="auto"/>
                          </w:divBdr>
                        </w:div>
                      </w:divsChild>
                    </w:div>
                    <w:div w:id="294147747">
                      <w:marLeft w:val="0"/>
                      <w:marRight w:val="0"/>
                      <w:marTop w:val="0"/>
                      <w:marBottom w:val="0"/>
                      <w:divBdr>
                        <w:top w:val="none" w:sz="0" w:space="0" w:color="auto"/>
                        <w:left w:val="none" w:sz="0" w:space="0" w:color="auto"/>
                        <w:bottom w:val="none" w:sz="0" w:space="0" w:color="auto"/>
                        <w:right w:val="none" w:sz="0" w:space="0" w:color="auto"/>
                      </w:divBdr>
                      <w:divsChild>
                        <w:div w:id="294153183">
                          <w:marLeft w:val="0"/>
                          <w:marRight w:val="0"/>
                          <w:marTop w:val="0"/>
                          <w:marBottom w:val="0"/>
                          <w:divBdr>
                            <w:top w:val="none" w:sz="0" w:space="0" w:color="auto"/>
                            <w:left w:val="none" w:sz="0" w:space="0" w:color="auto"/>
                            <w:bottom w:val="none" w:sz="0" w:space="0" w:color="auto"/>
                            <w:right w:val="none" w:sz="0" w:space="0" w:color="auto"/>
                          </w:divBdr>
                        </w:div>
                      </w:divsChild>
                    </w:div>
                    <w:div w:id="294147750">
                      <w:marLeft w:val="0"/>
                      <w:marRight w:val="0"/>
                      <w:marTop w:val="0"/>
                      <w:marBottom w:val="0"/>
                      <w:divBdr>
                        <w:top w:val="none" w:sz="0" w:space="0" w:color="auto"/>
                        <w:left w:val="none" w:sz="0" w:space="0" w:color="auto"/>
                        <w:bottom w:val="none" w:sz="0" w:space="0" w:color="auto"/>
                        <w:right w:val="none" w:sz="0" w:space="0" w:color="auto"/>
                      </w:divBdr>
                    </w:div>
                    <w:div w:id="294147768">
                      <w:marLeft w:val="0"/>
                      <w:marRight w:val="0"/>
                      <w:marTop w:val="0"/>
                      <w:marBottom w:val="0"/>
                      <w:divBdr>
                        <w:top w:val="none" w:sz="0" w:space="0" w:color="auto"/>
                        <w:left w:val="none" w:sz="0" w:space="0" w:color="auto"/>
                        <w:bottom w:val="none" w:sz="0" w:space="0" w:color="auto"/>
                        <w:right w:val="none" w:sz="0" w:space="0" w:color="auto"/>
                      </w:divBdr>
                    </w:div>
                    <w:div w:id="294147791">
                      <w:marLeft w:val="0"/>
                      <w:marRight w:val="0"/>
                      <w:marTop w:val="0"/>
                      <w:marBottom w:val="0"/>
                      <w:divBdr>
                        <w:top w:val="none" w:sz="0" w:space="0" w:color="auto"/>
                        <w:left w:val="none" w:sz="0" w:space="0" w:color="auto"/>
                        <w:bottom w:val="none" w:sz="0" w:space="0" w:color="auto"/>
                        <w:right w:val="none" w:sz="0" w:space="0" w:color="auto"/>
                      </w:divBdr>
                    </w:div>
                    <w:div w:id="294147808">
                      <w:marLeft w:val="0"/>
                      <w:marRight w:val="0"/>
                      <w:marTop w:val="0"/>
                      <w:marBottom w:val="0"/>
                      <w:divBdr>
                        <w:top w:val="none" w:sz="0" w:space="0" w:color="auto"/>
                        <w:left w:val="none" w:sz="0" w:space="0" w:color="auto"/>
                        <w:bottom w:val="none" w:sz="0" w:space="0" w:color="auto"/>
                        <w:right w:val="none" w:sz="0" w:space="0" w:color="auto"/>
                      </w:divBdr>
                    </w:div>
                    <w:div w:id="294147898">
                      <w:marLeft w:val="0"/>
                      <w:marRight w:val="0"/>
                      <w:marTop w:val="0"/>
                      <w:marBottom w:val="0"/>
                      <w:divBdr>
                        <w:top w:val="none" w:sz="0" w:space="0" w:color="auto"/>
                        <w:left w:val="none" w:sz="0" w:space="0" w:color="auto"/>
                        <w:bottom w:val="none" w:sz="0" w:space="0" w:color="auto"/>
                        <w:right w:val="none" w:sz="0" w:space="0" w:color="auto"/>
                      </w:divBdr>
                    </w:div>
                    <w:div w:id="294148055">
                      <w:marLeft w:val="0"/>
                      <w:marRight w:val="0"/>
                      <w:marTop w:val="0"/>
                      <w:marBottom w:val="0"/>
                      <w:divBdr>
                        <w:top w:val="none" w:sz="0" w:space="0" w:color="auto"/>
                        <w:left w:val="none" w:sz="0" w:space="0" w:color="auto"/>
                        <w:bottom w:val="none" w:sz="0" w:space="0" w:color="auto"/>
                        <w:right w:val="none" w:sz="0" w:space="0" w:color="auto"/>
                      </w:divBdr>
                    </w:div>
                    <w:div w:id="294148077">
                      <w:marLeft w:val="0"/>
                      <w:marRight w:val="0"/>
                      <w:marTop w:val="0"/>
                      <w:marBottom w:val="0"/>
                      <w:divBdr>
                        <w:top w:val="none" w:sz="0" w:space="0" w:color="auto"/>
                        <w:left w:val="none" w:sz="0" w:space="0" w:color="auto"/>
                        <w:bottom w:val="none" w:sz="0" w:space="0" w:color="auto"/>
                        <w:right w:val="none" w:sz="0" w:space="0" w:color="auto"/>
                      </w:divBdr>
                    </w:div>
                    <w:div w:id="294148110">
                      <w:marLeft w:val="0"/>
                      <w:marRight w:val="0"/>
                      <w:marTop w:val="0"/>
                      <w:marBottom w:val="0"/>
                      <w:divBdr>
                        <w:top w:val="none" w:sz="0" w:space="0" w:color="auto"/>
                        <w:left w:val="none" w:sz="0" w:space="0" w:color="auto"/>
                        <w:bottom w:val="none" w:sz="0" w:space="0" w:color="auto"/>
                        <w:right w:val="none" w:sz="0" w:space="0" w:color="auto"/>
                      </w:divBdr>
                      <w:divsChild>
                        <w:div w:id="294139348">
                          <w:marLeft w:val="0"/>
                          <w:marRight w:val="0"/>
                          <w:marTop w:val="0"/>
                          <w:marBottom w:val="0"/>
                          <w:divBdr>
                            <w:top w:val="none" w:sz="0" w:space="0" w:color="auto"/>
                            <w:left w:val="none" w:sz="0" w:space="0" w:color="auto"/>
                            <w:bottom w:val="none" w:sz="0" w:space="0" w:color="auto"/>
                            <w:right w:val="none" w:sz="0" w:space="0" w:color="auto"/>
                          </w:divBdr>
                        </w:div>
                      </w:divsChild>
                    </w:div>
                    <w:div w:id="294148212">
                      <w:marLeft w:val="0"/>
                      <w:marRight w:val="0"/>
                      <w:marTop w:val="0"/>
                      <w:marBottom w:val="0"/>
                      <w:divBdr>
                        <w:top w:val="none" w:sz="0" w:space="0" w:color="auto"/>
                        <w:left w:val="none" w:sz="0" w:space="0" w:color="auto"/>
                        <w:bottom w:val="none" w:sz="0" w:space="0" w:color="auto"/>
                        <w:right w:val="none" w:sz="0" w:space="0" w:color="auto"/>
                      </w:divBdr>
                    </w:div>
                    <w:div w:id="294148292">
                      <w:marLeft w:val="0"/>
                      <w:marRight w:val="0"/>
                      <w:marTop w:val="0"/>
                      <w:marBottom w:val="0"/>
                      <w:divBdr>
                        <w:top w:val="none" w:sz="0" w:space="0" w:color="auto"/>
                        <w:left w:val="none" w:sz="0" w:space="0" w:color="auto"/>
                        <w:bottom w:val="none" w:sz="0" w:space="0" w:color="auto"/>
                        <w:right w:val="none" w:sz="0" w:space="0" w:color="auto"/>
                      </w:divBdr>
                      <w:divsChild>
                        <w:div w:id="294144906">
                          <w:marLeft w:val="0"/>
                          <w:marRight w:val="0"/>
                          <w:marTop w:val="0"/>
                          <w:marBottom w:val="0"/>
                          <w:divBdr>
                            <w:top w:val="none" w:sz="0" w:space="0" w:color="auto"/>
                            <w:left w:val="none" w:sz="0" w:space="0" w:color="auto"/>
                            <w:bottom w:val="none" w:sz="0" w:space="0" w:color="auto"/>
                            <w:right w:val="none" w:sz="0" w:space="0" w:color="auto"/>
                          </w:divBdr>
                        </w:div>
                      </w:divsChild>
                    </w:div>
                    <w:div w:id="294148328">
                      <w:marLeft w:val="0"/>
                      <w:marRight w:val="0"/>
                      <w:marTop w:val="0"/>
                      <w:marBottom w:val="0"/>
                      <w:divBdr>
                        <w:top w:val="none" w:sz="0" w:space="0" w:color="auto"/>
                        <w:left w:val="none" w:sz="0" w:space="0" w:color="auto"/>
                        <w:bottom w:val="none" w:sz="0" w:space="0" w:color="auto"/>
                        <w:right w:val="none" w:sz="0" w:space="0" w:color="auto"/>
                      </w:divBdr>
                    </w:div>
                    <w:div w:id="294148344">
                      <w:marLeft w:val="0"/>
                      <w:marRight w:val="0"/>
                      <w:marTop w:val="0"/>
                      <w:marBottom w:val="0"/>
                      <w:divBdr>
                        <w:top w:val="none" w:sz="0" w:space="0" w:color="auto"/>
                        <w:left w:val="none" w:sz="0" w:space="0" w:color="auto"/>
                        <w:bottom w:val="none" w:sz="0" w:space="0" w:color="auto"/>
                        <w:right w:val="none" w:sz="0" w:space="0" w:color="auto"/>
                      </w:divBdr>
                    </w:div>
                    <w:div w:id="294148516">
                      <w:marLeft w:val="0"/>
                      <w:marRight w:val="0"/>
                      <w:marTop w:val="0"/>
                      <w:marBottom w:val="0"/>
                      <w:divBdr>
                        <w:top w:val="none" w:sz="0" w:space="0" w:color="auto"/>
                        <w:left w:val="none" w:sz="0" w:space="0" w:color="auto"/>
                        <w:bottom w:val="none" w:sz="0" w:space="0" w:color="auto"/>
                        <w:right w:val="none" w:sz="0" w:space="0" w:color="auto"/>
                      </w:divBdr>
                      <w:divsChild>
                        <w:div w:id="294153741">
                          <w:marLeft w:val="0"/>
                          <w:marRight w:val="0"/>
                          <w:marTop w:val="0"/>
                          <w:marBottom w:val="0"/>
                          <w:divBdr>
                            <w:top w:val="none" w:sz="0" w:space="0" w:color="auto"/>
                            <w:left w:val="none" w:sz="0" w:space="0" w:color="auto"/>
                            <w:bottom w:val="none" w:sz="0" w:space="0" w:color="auto"/>
                            <w:right w:val="none" w:sz="0" w:space="0" w:color="auto"/>
                          </w:divBdr>
                        </w:div>
                      </w:divsChild>
                    </w:div>
                    <w:div w:id="294148615">
                      <w:marLeft w:val="0"/>
                      <w:marRight w:val="0"/>
                      <w:marTop w:val="0"/>
                      <w:marBottom w:val="0"/>
                      <w:divBdr>
                        <w:top w:val="none" w:sz="0" w:space="0" w:color="auto"/>
                        <w:left w:val="none" w:sz="0" w:space="0" w:color="auto"/>
                        <w:bottom w:val="none" w:sz="0" w:space="0" w:color="auto"/>
                        <w:right w:val="none" w:sz="0" w:space="0" w:color="auto"/>
                      </w:divBdr>
                      <w:divsChild>
                        <w:div w:id="294150165">
                          <w:marLeft w:val="0"/>
                          <w:marRight w:val="0"/>
                          <w:marTop w:val="0"/>
                          <w:marBottom w:val="0"/>
                          <w:divBdr>
                            <w:top w:val="none" w:sz="0" w:space="0" w:color="auto"/>
                            <w:left w:val="none" w:sz="0" w:space="0" w:color="auto"/>
                            <w:bottom w:val="none" w:sz="0" w:space="0" w:color="auto"/>
                            <w:right w:val="none" w:sz="0" w:space="0" w:color="auto"/>
                          </w:divBdr>
                        </w:div>
                      </w:divsChild>
                    </w:div>
                    <w:div w:id="294148658">
                      <w:marLeft w:val="0"/>
                      <w:marRight w:val="0"/>
                      <w:marTop w:val="0"/>
                      <w:marBottom w:val="0"/>
                      <w:divBdr>
                        <w:top w:val="none" w:sz="0" w:space="0" w:color="auto"/>
                        <w:left w:val="none" w:sz="0" w:space="0" w:color="auto"/>
                        <w:bottom w:val="none" w:sz="0" w:space="0" w:color="auto"/>
                        <w:right w:val="none" w:sz="0" w:space="0" w:color="auto"/>
                      </w:divBdr>
                      <w:divsChild>
                        <w:div w:id="294156013">
                          <w:marLeft w:val="0"/>
                          <w:marRight w:val="0"/>
                          <w:marTop w:val="0"/>
                          <w:marBottom w:val="0"/>
                          <w:divBdr>
                            <w:top w:val="none" w:sz="0" w:space="0" w:color="auto"/>
                            <w:left w:val="none" w:sz="0" w:space="0" w:color="auto"/>
                            <w:bottom w:val="none" w:sz="0" w:space="0" w:color="auto"/>
                            <w:right w:val="none" w:sz="0" w:space="0" w:color="auto"/>
                          </w:divBdr>
                        </w:div>
                      </w:divsChild>
                    </w:div>
                    <w:div w:id="294148660">
                      <w:marLeft w:val="0"/>
                      <w:marRight w:val="0"/>
                      <w:marTop w:val="0"/>
                      <w:marBottom w:val="0"/>
                      <w:divBdr>
                        <w:top w:val="none" w:sz="0" w:space="0" w:color="auto"/>
                        <w:left w:val="none" w:sz="0" w:space="0" w:color="auto"/>
                        <w:bottom w:val="none" w:sz="0" w:space="0" w:color="auto"/>
                        <w:right w:val="none" w:sz="0" w:space="0" w:color="auto"/>
                      </w:divBdr>
                    </w:div>
                    <w:div w:id="294148695">
                      <w:marLeft w:val="0"/>
                      <w:marRight w:val="0"/>
                      <w:marTop w:val="0"/>
                      <w:marBottom w:val="0"/>
                      <w:divBdr>
                        <w:top w:val="none" w:sz="0" w:space="0" w:color="auto"/>
                        <w:left w:val="none" w:sz="0" w:space="0" w:color="auto"/>
                        <w:bottom w:val="none" w:sz="0" w:space="0" w:color="auto"/>
                        <w:right w:val="none" w:sz="0" w:space="0" w:color="auto"/>
                      </w:divBdr>
                    </w:div>
                    <w:div w:id="294148699">
                      <w:marLeft w:val="0"/>
                      <w:marRight w:val="0"/>
                      <w:marTop w:val="0"/>
                      <w:marBottom w:val="0"/>
                      <w:divBdr>
                        <w:top w:val="none" w:sz="0" w:space="0" w:color="auto"/>
                        <w:left w:val="none" w:sz="0" w:space="0" w:color="auto"/>
                        <w:bottom w:val="none" w:sz="0" w:space="0" w:color="auto"/>
                        <w:right w:val="none" w:sz="0" w:space="0" w:color="auto"/>
                      </w:divBdr>
                    </w:div>
                    <w:div w:id="294148732">
                      <w:marLeft w:val="0"/>
                      <w:marRight w:val="0"/>
                      <w:marTop w:val="0"/>
                      <w:marBottom w:val="0"/>
                      <w:divBdr>
                        <w:top w:val="none" w:sz="0" w:space="0" w:color="auto"/>
                        <w:left w:val="none" w:sz="0" w:space="0" w:color="auto"/>
                        <w:bottom w:val="none" w:sz="0" w:space="0" w:color="auto"/>
                        <w:right w:val="none" w:sz="0" w:space="0" w:color="auto"/>
                      </w:divBdr>
                    </w:div>
                    <w:div w:id="294148750">
                      <w:marLeft w:val="0"/>
                      <w:marRight w:val="0"/>
                      <w:marTop w:val="0"/>
                      <w:marBottom w:val="0"/>
                      <w:divBdr>
                        <w:top w:val="none" w:sz="0" w:space="0" w:color="auto"/>
                        <w:left w:val="none" w:sz="0" w:space="0" w:color="auto"/>
                        <w:bottom w:val="none" w:sz="0" w:space="0" w:color="auto"/>
                        <w:right w:val="none" w:sz="0" w:space="0" w:color="auto"/>
                      </w:divBdr>
                    </w:div>
                    <w:div w:id="294148775">
                      <w:marLeft w:val="0"/>
                      <w:marRight w:val="0"/>
                      <w:marTop w:val="0"/>
                      <w:marBottom w:val="0"/>
                      <w:divBdr>
                        <w:top w:val="none" w:sz="0" w:space="0" w:color="auto"/>
                        <w:left w:val="none" w:sz="0" w:space="0" w:color="auto"/>
                        <w:bottom w:val="none" w:sz="0" w:space="0" w:color="auto"/>
                        <w:right w:val="none" w:sz="0" w:space="0" w:color="auto"/>
                      </w:divBdr>
                      <w:divsChild>
                        <w:div w:id="294141186">
                          <w:marLeft w:val="0"/>
                          <w:marRight w:val="0"/>
                          <w:marTop w:val="0"/>
                          <w:marBottom w:val="0"/>
                          <w:divBdr>
                            <w:top w:val="none" w:sz="0" w:space="0" w:color="auto"/>
                            <w:left w:val="none" w:sz="0" w:space="0" w:color="auto"/>
                            <w:bottom w:val="none" w:sz="0" w:space="0" w:color="auto"/>
                            <w:right w:val="none" w:sz="0" w:space="0" w:color="auto"/>
                          </w:divBdr>
                        </w:div>
                      </w:divsChild>
                    </w:div>
                    <w:div w:id="294148790">
                      <w:marLeft w:val="0"/>
                      <w:marRight w:val="0"/>
                      <w:marTop w:val="0"/>
                      <w:marBottom w:val="0"/>
                      <w:divBdr>
                        <w:top w:val="none" w:sz="0" w:space="0" w:color="auto"/>
                        <w:left w:val="none" w:sz="0" w:space="0" w:color="auto"/>
                        <w:bottom w:val="none" w:sz="0" w:space="0" w:color="auto"/>
                        <w:right w:val="none" w:sz="0" w:space="0" w:color="auto"/>
                      </w:divBdr>
                      <w:divsChild>
                        <w:div w:id="294157008">
                          <w:marLeft w:val="0"/>
                          <w:marRight w:val="0"/>
                          <w:marTop w:val="0"/>
                          <w:marBottom w:val="0"/>
                          <w:divBdr>
                            <w:top w:val="none" w:sz="0" w:space="0" w:color="auto"/>
                            <w:left w:val="none" w:sz="0" w:space="0" w:color="auto"/>
                            <w:bottom w:val="none" w:sz="0" w:space="0" w:color="auto"/>
                            <w:right w:val="none" w:sz="0" w:space="0" w:color="auto"/>
                          </w:divBdr>
                        </w:div>
                      </w:divsChild>
                    </w:div>
                    <w:div w:id="294148792">
                      <w:marLeft w:val="0"/>
                      <w:marRight w:val="0"/>
                      <w:marTop w:val="0"/>
                      <w:marBottom w:val="0"/>
                      <w:divBdr>
                        <w:top w:val="none" w:sz="0" w:space="0" w:color="auto"/>
                        <w:left w:val="none" w:sz="0" w:space="0" w:color="auto"/>
                        <w:bottom w:val="none" w:sz="0" w:space="0" w:color="auto"/>
                        <w:right w:val="none" w:sz="0" w:space="0" w:color="auto"/>
                      </w:divBdr>
                      <w:divsChild>
                        <w:div w:id="294141908">
                          <w:marLeft w:val="0"/>
                          <w:marRight w:val="0"/>
                          <w:marTop w:val="0"/>
                          <w:marBottom w:val="0"/>
                          <w:divBdr>
                            <w:top w:val="none" w:sz="0" w:space="0" w:color="auto"/>
                            <w:left w:val="none" w:sz="0" w:space="0" w:color="auto"/>
                            <w:bottom w:val="none" w:sz="0" w:space="0" w:color="auto"/>
                            <w:right w:val="none" w:sz="0" w:space="0" w:color="auto"/>
                          </w:divBdr>
                        </w:div>
                      </w:divsChild>
                    </w:div>
                    <w:div w:id="294148795">
                      <w:marLeft w:val="0"/>
                      <w:marRight w:val="0"/>
                      <w:marTop w:val="0"/>
                      <w:marBottom w:val="0"/>
                      <w:divBdr>
                        <w:top w:val="none" w:sz="0" w:space="0" w:color="auto"/>
                        <w:left w:val="none" w:sz="0" w:space="0" w:color="auto"/>
                        <w:bottom w:val="none" w:sz="0" w:space="0" w:color="auto"/>
                        <w:right w:val="none" w:sz="0" w:space="0" w:color="auto"/>
                      </w:divBdr>
                      <w:divsChild>
                        <w:div w:id="294140842">
                          <w:marLeft w:val="0"/>
                          <w:marRight w:val="0"/>
                          <w:marTop w:val="0"/>
                          <w:marBottom w:val="0"/>
                          <w:divBdr>
                            <w:top w:val="none" w:sz="0" w:space="0" w:color="auto"/>
                            <w:left w:val="none" w:sz="0" w:space="0" w:color="auto"/>
                            <w:bottom w:val="none" w:sz="0" w:space="0" w:color="auto"/>
                            <w:right w:val="none" w:sz="0" w:space="0" w:color="auto"/>
                          </w:divBdr>
                        </w:div>
                      </w:divsChild>
                    </w:div>
                    <w:div w:id="294148928">
                      <w:marLeft w:val="0"/>
                      <w:marRight w:val="0"/>
                      <w:marTop w:val="0"/>
                      <w:marBottom w:val="0"/>
                      <w:divBdr>
                        <w:top w:val="none" w:sz="0" w:space="0" w:color="auto"/>
                        <w:left w:val="none" w:sz="0" w:space="0" w:color="auto"/>
                        <w:bottom w:val="none" w:sz="0" w:space="0" w:color="auto"/>
                        <w:right w:val="none" w:sz="0" w:space="0" w:color="auto"/>
                      </w:divBdr>
                      <w:divsChild>
                        <w:div w:id="294138448">
                          <w:marLeft w:val="0"/>
                          <w:marRight w:val="0"/>
                          <w:marTop w:val="0"/>
                          <w:marBottom w:val="0"/>
                          <w:divBdr>
                            <w:top w:val="none" w:sz="0" w:space="0" w:color="auto"/>
                            <w:left w:val="none" w:sz="0" w:space="0" w:color="auto"/>
                            <w:bottom w:val="none" w:sz="0" w:space="0" w:color="auto"/>
                            <w:right w:val="none" w:sz="0" w:space="0" w:color="auto"/>
                          </w:divBdr>
                        </w:div>
                      </w:divsChild>
                    </w:div>
                    <w:div w:id="294148959">
                      <w:marLeft w:val="0"/>
                      <w:marRight w:val="0"/>
                      <w:marTop w:val="0"/>
                      <w:marBottom w:val="0"/>
                      <w:divBdr>
                        <w:top w:val="none" w:sz="0" w:space="0" w:color="auto"/>
                        <w:left w:val="none" w:sz="0" w:space="0" w:color="auto"/>
                        <w:bottom w:val="none" w:sz="0" w:space="0" w:color="auto"/>
                        <w:right w:val="none" w:sz="0" w:space="0" w:color="auto"/>
                      </w:divBdr>
                    </w:div>
                    <w:div w:id="294149001">
                      <w:marLeft w:val="0"/>
                      <w:marRight w:val="0"/>
                      <w:marTop w:val="0"/>
                      <w:marBottom w:val="0"/>
                      <w:divBdr>
                        <w:top w:val="none" w:sz="0" w:space="0" w:color="auto"/>
                        <w:left w:val="none" w:sz="0" w:space="0" w:color="auto"/>
                        <w:bottom w:val="none" w:sz="0" w:space="0" w:color="auto"/>
                        <w:right w:val="none" w:sz="0" w:space="0" w:color="auto"/>
                      </w:divBdr>
                      <w:divsChild>
                        <w:div w:id="294152888">
                          <w:marLeft w:val="0"/>
                          <w:marRight w:val="0"/>
                          <w:marTop w:val="0"/>
                          <w:marBottom w:val="0"/>
                          <w:divBdr>
                            <w:top w:val="none" w:sz="0" w:space="0" w:color="auto"/>
                            <w:left w:val="none" w:sz="0" w:space="0" w:color="auto"/>
                            <w:bottom w:val="none" w:sz="0" w:space="0" w:color="auto"/>
                            <w:right w:val="none" w:sz="0" w:space="0" w:color="auto"/>
                          </w:divBdr>
                        </w:div>
                      </w:divsChild>
                    </w:div>
                    <w:div w:id="294149016">
                      <w:marLeft w:val="0"/>
                      <w:marRight w:val="0"/>
                      <w:marTop w:val="0"/>
                      <w:marBottom w:val="0"/>
                      <w:divBdr>
                        <w:top w:val="none" w:sz="0" w:space="0" w:color="auto"/>
                        <w:left w:val="none" w:sz="0" w:space="0" w:color="auto"/>
                        <w:bottom w:val="none" w:sz="0" w:space="0" w:color="auto"/>
                        <w:right w:val="none" w:sz="0" w:space="0" w:color="auto"/>
                      </w:divBdr>
                    </w:div>
                    <w:div w:id="294149048">
                      <w:marLeft w:val="0"/>
                      <w:marRight w:val="0"/>
                      <w:marTop w:val="0"/>
                      <w:marBottom w:val="0"/>
                      <w:divBdr>
                        <w:top w:val="none" w:sz="0" w:space="0" w:color="auto"/>
                        <w:left w:val="none" w:sz="0" w:space="0" w:color="auto"/>
                        <w:bottom w:val="none" w:sz="0" w:space="0" w:color="auto"/>
                        <w:right w:val="none" w:sz="0" w:space="0" w:color="auto"/>
                      </w:divBdr>
                    </w:div>
                    <w:div w:id="294149129">
                      <w:marLeft w:val="0"/>
                      <w:marRight w:val="0"/>
                      <w:marTop w:val="0"/>
                      <w:marBottom w:val="0"/>
                      <w:divBdr>
                        <w:top w:val="none" w:sz="0" w:space="0" w:color="auto"/>
                        <w:left w:val="none" w:sz="0" w:space="0" w:color="auto"/>
                        <w:bottom w:val="none" w:sz="0" w:space="0" w:color="auto"/>
                        <w:right w:val="none" w:sz="0" w:space="0" w:color="auto"/>
                      </w:divBdr>
                      <w:divsChild>
                        <w:div w:id="294153846">
                          <w:marLeft w:val="0"/>
                          <w:marRight w:val="0"/>
                          <w:marTop w:val="0"/>
                          <w:marBottom w:val="0"/>
                          <w:divBdr>
                            <w:top w:val="none" w:sz="0" w:space="0" w:color="auto"/>
                            <w:left w:val="none" w:sz="0" w:space="0" w:color="auto"/>
                            <w:bottom w:val="none" w:sz="0" w:space="0" w:color="auto"/>
                            <w:right w:val="none" w:sz="0" w:space="0" w:color="auto"/>
                          </w:divBdr>
                        </w:div>
                      </w:divsChild>
                    </w:div>
                    <w:div w:id="294149150">
                      <w:marLeft w:val="0"/>
                      <w:marRight w:val="0"/>
                      <w:marTop w:val="0"/>
                      <w:marBottom w:val="0"/>
                      <w:divBdr>
                        <w:top w:val="none" w:sz="0" w:space="0" w:color="auto"/>
                        <w:left w:val="none" w:sz="0" w:space="0" w:color="auto"/>
                        <w:bottom w:val="none" w:sz="0" w:space="0" w:color="auto"/>
                        <w:right w:val="none" w:sz="0" w:space="0" w:color="auto"/>
                      </w:divBdr>
                      <w:divsChild>
                        <w:div w:id="294157394">
                          <w:marLeft w:val="0"/>
                          <w:marRight w:val="0"/>
                          <w:marTop w:val="0"/>
                          <w:marBottom w:val="0"/>
                          <w:divBdr>
                            <w:top w:val="none" w:sz="0" w:space="0" w:color="auto"/>
                            <w:left w:val="none" w:sz="0" w:space="0" w:color="auto"/>
                            <w:bottom w:val="none" w:sz="0" w:space="0" w:color="auto"/>
                            <w:right w:val="none" w:sz="0" w:space="0" w:color="auto"/>
                          </w:divBdr>
                        </w:div>
                      </w:divsChild>
                    </w:div>
                    <w:div w:id="294149189">
                      <w:marLeft w:val="0"/>
                      <w:marRight w:val="0"/>
                      <w:marTop w:val="0"/>
                      <w:marBottom w:val="0"/>
                      <w:divBdr>
                        <w:top w:val="none" w:sz="0" w:space="0" w:color="auto"/>
                        <w:left w:val="none" w:sz="0" w:space="0" w:color="auto"/>
                        <w:bottom w:val="none" w:sz="0" w:space="0" w:color="auto"/>
                        <w:right w:val="none" w:sz="0" w:space="0" w:color="auto"/>
                      </w:divBdr>
                      <w:divsChild>
                        <w:div w:id="294154675">
                          <w:marLeft w:val="0"/>
                          <w:marRight w:val="0"/>
                          <w:marTop w:val="0"/>
                          <w:marBottom w:val="0"/>
                          <w:divBdr>
                            <w:top w:val="none" w:sz="0" w:space="0" w:color="auto"/>
                            <w:left w:val="none" w:sz="0" w:space="0" w:color="auto"/>
                            <w:bottom w:val="none" w:sz="0" w:space="0" w:color="auto"/>
                            <w:right w:val="none" w:sz="0" w:space="0" w:color="auto"/>
                          </w:divBdr>
                        </w:div>
                      </w:divsChild>
                    </w:div>
                    <w:div w:id="294149221">
                      <w:marLeft w:val="0"/>
                      <w:marRight w:val="0"/>
                      <w:marTop w:val="0"/>
                      <w:marBottom w:val="0"/>
                      <w:divBdr>
                        <w:top w:val="none" w:sz="0" w:space="0" w:color="auto"/>
                        <w:left w:val="none" w:sz="0" w:space="0" w:color="auto"/>
                        <w:bottom w:val="none" w:sz="0" w:space="0" w:color="auto"/>
                        <w:right w:val="none" w:sz="0" w:space="0" w:color="auto"/>
                      </w:divBdr>
                      <w:divsChild>
                        <w:div w:id="294138066">
                          <w:marLeft w:val="0"/>
                          <w:marRight w:val="0"/>
                          <w:marTop w:val="0"/>
                          <w:marBottom w:val="0"/>
                          <w:divBdr>
                            <w:top w:val="none" w:sz="0" w:space="0" w:color="auto"/>
                            <w:left w:val="none" w:sz="0" w:space="0" w:color="auto"/>
                            <w:bottom w:val="none" w:sz="0" w:space="0" w:color="auto"/>
                            <w:right w:val="none" w:sz="0" w:space="0" w:color="auto"/>
                          </w:divBdr>
                        </w:div>
                      </w:divsChild>
                    </w:div>
                    <w:div w:id="294149230">
                      <w:marLeft w:val="0"/>
                      <w:marRight w:val="0"/>
                      <w:marTop w:val="0"/>
                      <w:marBottom w:val="0"/>
                      <w:divBdr>
                        <w:top w:val="none" w:sz="0" w:space="0" w:color="auto"/>
                        <w:left w:val="none" w:sz="0" w:space="0" w:color="auto"/>
                        <w:bottom w:val="none" w:sz="0" w:space="0" w:color="auto"/>
                        <w:right w:val="none" w:sz="0" w:space="0" w:color="auto"/>
                      </w:divBdr>
                      <w:divsChild>
                        <w:div w:id="294155208">
                          <w:marLeft w:val="0"/>
                          <w:marRight w:val="0"/>
                          <w:marTop w:val="0"/>
                          <w:marBottom w:val="0"/>
                          <w:divBdr>
                            <w:top w:val="none" w:sz="0" w:space="0" w:color="auto"/>
                            <w:left w:val="none" w:sz="0" w:space="0" w:color="auto"/>
                            <w:bottom w:val="none" w:sz="0" w:space="0" w:color="auto"/>
                            <w:right w:val="none" w:sz="0" w:space="0" w:color="auto"/>
                          </w:divBdr>
                        </w:div>
                      </w:divsChild>
                    </w:div>
                    <w:div w:id="294149246">
                      <w:marLeft w:val="0"/>
                      <w:marRight w:val="0"/>
                      <w:marTop w:val="0"/>
                      <w:marBottom w:val="0"/>
                      <w:divBdr>
                        <w:top w:val="none" w:sz="0" w:space="0" w:color="auto"/>
                        <w:left w:val="none" w:sz="0" w:space="0" w:color="auto"/>
                        <w:bottom w:val="none" w:sz="0" w:space="0" w:color="auto"/>
                        <w:right w:val="none" w:sz="0" w:space="0" w:color="auto"/>
                      </w:divBdr>
                      <w:divsChild>
                        <w:div w:id="294141686">
                          <w:marLeft w:val="0"/>
                          <w:marRight w:val="0"/>
                          <w:marTop w:val="0"/>
                          <w:marBottom w:val="0"/>
                          <w:divBdr>
                            <w:top w:val="none" w:sz="0" w:space="0" w:color="auto"/>
                            <w:left w:val="none" w:sz="0" w:space="0" w:color="auto"/>
                            <w:bottom w:val="none" w:sz="0" w:space="0" w:color="auto"/>
                            <w:right w:val="none" w:sz="0" w:space="0" w:color="auto"/>
                          </w:divBdr>
                        </w:div>
                      </w:divsChild>
                    </w:div>
                    <w:div w:id="294149285">
                      <w:marLeft w:val="0"/>
                      <w:marRight w:val="0"/>
                      <w:marTop w:val="0"/>
                      <w:marBottom w:val="0"/>
                      <w:divBdr>
                        <w:top w:val="none" w:sz="0" w:space="0" w:color="auto"/>
                        <w:left w:val="none" w:sz="0" w:space="0" w:color="auto"/>
                        <w:bottom w:val="none" w:sz="0" w:space="0" w:color="auto"/>
                        <w:right w:val="none" w:sz="0" w:space="0" w:color="auto"/>
                      </w:divBdr>
                      <w:divsChild>
                        <w:div w:id="294154223">
                          <w:marLeft w:val="0"/>
                          <w:marRight w:val="0"/>
                          <w:marTop w:val="0"/>
                          <w:marBottom w:val="0"/>
                          <w:divBdr>
                            <w:top w:val="none" w:sz="0" w:space="0" w:color="auto"/>
                            <w:left w:val="none" w:sz="0" w:space="0" w:color="auto"/>
                            <w:bottom w:val="none" w:sz="0" w:space="0" w:color="auto"/>
                            <w:right w:val="none" w:sz="0" w:space="0" w:color="auto"/>
                          </w:divBdr>
                        </w:div>
                      </w:divsChild>
                    </w:div>
                    <w:div w:id="294149306">
                      <w:marLeft w:val="0"/>
                      <w:marRight w:val="0"/>
                      <w:marTop w:val="0"/>
                      <w:marBottom w:val="0"/>
                      <w:divBdr>
                        <w:top w:val="none" w:sz="0" w:space="0" w:color="auto"/>
                        <w:left w:val="none" w:sz="0" w:space="0" w:color="auto"/>
                        <w:bottom w:val="none" w:sz="0" w:space="0" w:color="auto"/>
                        <w:right w:val="none" w:sz="0" w:space="0" w:color="auto"/>
                      </w:divBdr>
                      <w:divsChild>
                        <w:div w:id="294153892">
                          <w:marLeft w:val="0"/>
                          <w:marRight w:val="0"/>
                          <w:marTop w:val="0"/>
                          <w:marBottom w:val="0"/>
                          <w:divBdr>
                            <w:top w:val="none" w:sz="0" w:space="0" w:color="auto"/>
                            <w:left w:val="none" w:sz="0" w:space="0" w:color="auto"/>
                            <w:bottom w:val="none" w:sz="0" w:space="0" w:color="auto"/>
                            <w:right w:val="none" w:sz="0" w:space="0" w:color="auto"/>
                          </w:divBdr>
                        </w:div>
                      </w:divsChild>
                    </w:div>
                    <w:div w:id="294149333">
                      <w:marLeft w:val="0"/>
                      <w:marRight w:val="0"/>
                      <w:marTop w:val="0"/>
                      <w:marBottom w:val="0"/>
                      <w:divBdr>
                        <w:top w:val="none" w:sz="0" w:space="0" w:color="auto"/>
                        <w:left w:val="none" w:sz="0" w:space="0" w:color="auto"/>
                        <w:bottom w:val="none" w:sz="0" w:space="0" w:color="auto"/>
                        <w:right w:val="none" w:sz="0" w:space="0" w:color="auto"/>
                      </w:divBdr>
                      <w:divsChild>
                        <w:div w:id="294155643">
                          <w:marLeft w:val="0"/>
                          <w:marRight w:val="0"/>
                          <w:marTop w:val="0"/>
                          <w:marBottom w:val="0"/>
                          <w:divBdr>
                            <w:top w:val="none" w:sz="0" w:space="0" w:color="auto"/>
                            <w:left w:val="none" w:sz="0" w:space="0" w:color="auto"/>
                            <w:bottom w:val="none" w:sz="0" w:space="0" w:color="auto"/>
                            <w:right w:val="none" w:sz="0" w:space="0" w:color="auto"/>
                          </w:divBdr>
                        </w:div>
                      </w:divsChild>
                    </w:div>
                    <w:div w:id="294149353">
                      <w:marLeft w:val="0"/>
                      <w:marRight w:val="0"/>
                      <w:marTop w:val="0"/>
                      <w:marBottom w:val="0"/>
                      <w:divBdr>
                        <w:top w:val="none" w:sz="0" w:space="0" w:color="auto"/>
                        <w:left w:val="none" w:sz="0" w:space="0" w:color="auto"/>
                        <w:bottom w:val="none" w:sz="0" w:space="0" w:color="auto"/>
                        <w:right w:val="none" w:sz="0" w:space="0" w:color="auto"/>
                      </w:divBdr>
                      <w:divsChild>
                        <w:div w:id="294149331">
                          <w:marLeft w:val="0"/>
                          <w:marRight w:val="0"/>
                          <w:marTop w:val="0"/>
                          <w:marBottom w:val="0"/>
                          <w:divBdr>
                            <w:top w:val="none" w:sz="0" w:space="0" w:color="auto"/>
                            <w:left w:val="none" w:sz="0" w:space="0" w:color="auto"/>
                            <w:bottom w:val="none" w:sz="0" w:space="0" w:color="auto"/>
                            <w:right w:val="none" w:sz="0" w:space="0" w:color="auto"/>
                          </w:divBdr>
                        </w:div>
                      </w:divsChild>
                    </w:div>
                    <w:div w:id="294149467">
                      <w:marLeft w:val="0"/>
                      <w:marRight w:val="0"/>
                      <w:marTop w:val="0"/>
                      <w:marBottom w:val="0"/>
                      <w:divBdr>
                        <w:top w:val="none" w:sz="0" w:space="0" w:color="auto"/>
                        <w:left w:val="none" w:sz="0" w:space="0" w:color="auto"/>
                        <w:bottom w:val="none" w:sz="0" w:space="0" w:color="auto"/>
                        <w:right w:val="none" w:sz="0" w:space="0" w:color="auto"/>
                      </w:divBdr>
                    </w:div>
                    <w:div w:id="294149509">
                      <w:marLeft w:val="0"/>
                      <w:marRight w:val="0"/>
                      <w:marTop w:val="0"/>
                      <w:marBottom w:val="0"/>
                      <w:divBdr>
                        <w:top w:val="none" w:sz="0" w:space="0" w:color="auto"/>
                        <w:left w:val="none" w:sz="0" w:space="0" w:color="auto"/>
                        <w:bottom w:val="none" w:sz="0" w:space="0" w:color="auto"/>
                        <w:right w:val="none" w:sz="0" w:space="0" w:color="auto"/>
                      </w:divBdr>
                      <w:divsChild>
                        <w:div w:id="294154992">
                          <w:marLeft w:val="0"/>
                          <w:marRight w:val="0"/>
                          <w:marTop w:val="0"/>
                          <w:marBottom w:val="0"/>
                          <w:divBdr>
                            <w:top w:val="none" w:sz="0" w:space="0" w:color="auto"/>
                            <w:left w:val="none" w:sz="0" w:space="0" w:color="auto"/>
                            <w:bottom w:val="none" w:sz="0" w:space="0" w:color="auto"/>
                            <w:right w:val="none" w:sz="0" w:space="0" w:color="auto"/>
                          </w:divBdr>
                        </w:div>
                      </w:divsChild>
                    </w:div>
                    <w:div w:id="294149603">
                      <w:marLeft w:val="0"/>
                      <w:marRight w:val="0"/>
                      <w:marTop w:val="0"/>
                      <w:marBottom w:val="0"/>
                      <w:divBdr>
                        <w:top w:val="none" w:sz="0" w:space="0" w:color="auto"/>
                        <w:left w:val="none" w:sz="0" w:space="0" w:color="auto"/>
                        <w:bottom w:val="none" w:sz="0" w:space="0" w:color="auto"/>
                        <w:right w:val="none" w:sz="0" w:space="0" w:color="auto"/>
                      </w:divBdr>
                    </w:div>
                    <w:div w:id="294149659">
                      <w:marLeft w:val="0"/>
                      <w:marRight w:val="0"/>
                      <w:marTop w:val="0"/>
                      <w:marBottom w:val="0"/>
                      <w:divBdr>
                        <w:top w:val="none" w:sz="0" w:space="0" w:color="auto"/>
                        <w:left w:val="none" w:sz="0" w:space="0" w:color="auto"/>
                        <w:bottom w:val="none" w:sz="0" w:space="0" w:color="auto"/>
                        <w:right w:val="none" w:sz="0" w:space="0" w:color="auto"/>
                      </w:divBdr>
                    </w:div>
                    <w:div w:id="294149700">
                      <w:marLeft w:val="0"/>
                      <w:marRight w:val="0"/>
                      <w:marTop w:val="0"/>
                      <w:marBottom w:val="0"/>
                      <w:divBdr>
                        <w:top w:val="none" w:sz="0" w:space="0" w:color="auto"/>
                        <w:left w:val="none" w:sz="0" w:space="0" w:color="auto"/>
                        <w:bottom w:val="none" w:sz="0" w:space="0" w:color="auto"/>
                        <w:right w:val="none" w:sz="0" w:space="0" w:color="auto"/>
                      </w:divBdr>
                    </w:div>
                    <w:div w:id="294149719">
                      <w:marLeft w:val="0"/>
                      <w:marRight w:val="0"/>
                      <w:marTop w:val="0"/>
                      <w:marBottom w:val="0"/>
                      <w:divBdr>
                        <w:top w:val="none" w:sz="0" w:space="0" w:color="auto"/>
                        <w:left w:val="none" w:sz="0" w:space="0" w:color="auto"/>
                        <w:bottom w:val="none" w:sz="0" w:space="0" w:color="auto"/>
                        <w:right w:val="none" w:sz="0" w:space="0" w:color="auto"/>
                      </w:divBdr>
                      <w:divsChild>
                        <w:div w:id="294152620">
                          <w:marLeft w:val="0"/>
                          <w:marRight w:val="0"/>
                          <w:marTop w:val="0"/>
                          <w:marBottom w:val="0"/>
                          <w:divBdr>
                            <w:top w:val="none" w:sz="0" w:space="0" w:color="auto"/>
                            <w:left w:val="none" w:sz="0" w:space="0" w:color="auto"/>
                            <w:bottom w:val="none" w:sz="0" w:space="0" w:color="auto"/>
                            <w:right w:val="none" w:sz="0" w:space="0" w:color="auto"/>
                          </w:divBdr>
                        </w:div>
                      </w:divsChild>
                    </w:div>
                    <w:div w:id="294149751">
                      <w:marLeft w:val="0"/>
                      <w:marRight w:val="0"/>
                      <w:marTop w:val="0"/>
                      <w:marBottom w:val="0"/>
                      <w:divBdr>
                        <w:top w:val="none" w:sz="0" w:space="0" w:color="auto"/>
                        <w:left w:val="none" w:sz="0" w:space="0" w:color="auto"/>
                        <w:bottom w:val="none" w:sz="0" w:space="0" w:color="auto"/>
                        <w:right w:val="none" w:sz="0" w:space="0" w:color="auto"/>
                      </w:divBdr>
                    </w:div>
                    <w:div w:id="294149827">
                      <w:marLeft w:val="0"/>
                      <w:marRight w:val="0"/>
                      <w:marTop w:val="0"/>
                      <w:marBottom w:val="0"/>
                      <w:divBdr>
                        <w:top w:val="none" w:sz="0" w:space="0" w:color="auto"/>
                        <w:left w:val="none" w:sz="0" w:space="0" w:color="auto"/>
                        <w:bottom w:val="none" w:sz="0" w:space="0" w:color="auto"/>
                        <w:right w:val="none" w:sz="0" w:space="0" w:color="auto"/>
                      </w:divBdr>
                    </w:div>
                    <w:div w:id="294149892">
                      <w:marLeft w:val="0"/>
                      <w:marRight w:val="0"/>
                      <w:marTop w:val="0"/>
                      <w:marBottom w:val="0"/>
                      <w:divBdr>
                        <w:top w:val="none" w:sz="0" w:space="0" w:color="auto"/>
                        <w:left w:val="none" w:sz="0" w:space="0" w:color="auto"/>
                        <w:bottom w:val="none" w:sz="0" w:space="0" w:color="auto"/>
                        <w:right w:val="none" w:sz="0" w:space="0" w:color="auto"/>
                      </w:divBdr>
                      <w:divsChild>
                        <w:div w:id="294153220">
                          <w:marLeft w:val="0"/>
                          <w:marRight w:val="0"/>
                          <w:marTop w:val="0"/>
                          <w:marBottom w:val="0"/>
                          <w:divBdr>
                            <w:top w:val="none" w:sz="0" w:space="0" w:color="auto"/>
                            <w:left w:val="none" w:sz="0" w:space="0" w:color="auto"/>
                            <w:bottom w:val="none" w:sz="0" w:space="0" w:color="auto"/>
                            <w:right w:val="none" w:sz="0" w:space="0" w:color="auto"/>
                          </w:divBdr>
                        </w:div>
                      </w:divsChild>
                    </w:div>
                    <w:div w:id="294150004">
                      <w:marLeft w:val="0"/>
                      <w:marRight w:val="0"/>
                      <w:marTop w:val="0"/>
                      <w:marBottom w:val="0"/>
                      <w:divBdr>
                        <w:top w:val="none" w:sz="0" w:space="0" w:color="auto"/>
                        <w:left w:val="none" w:sz="0" w:space="0" w:color="auto"/>
                        <w:bottom w:val="none" w:sz="0" w:space="0" w:color="auto"/>
                        <w:right w:val="none" w:sz="0" w:space="0" w:color="auto"/>
                      </w:divBdr>
                      <w:divsChild>
                        <w:div w:id="294141194">
                          <w:marLeft w:val="0"/>
                          <w:marRight w:val="0"/>
                          <w:marTop w:val="0"/>
                          <w:marBottom w:val="0"/>
                          <w:divBdr>
                            <w:top w:val="none" w:sz="0" w:space="0" w:color="auto"/>
                            <w:left w:val="none" w:sz="0" w:space="0" w:color="auto"/>
                            <w:bottom w:val="none" w:sz="0" w:space="0" w:color="auto"/>
                            <w:right w:val="none" w:sz="0" w:space="0" w:color="auto"/>
                          </w:divBdr>
                        </w:div>
                      </w:divsChild>
                    </w:div>
                    <w:div w:id="294150046">
                      <w:marLeft w:val="0"/>
                      <w:marRight w:val="0"/>
                      <w:marTop w:val="0"/>
                      <w:marBottom w:val="0"/>
                      <w:divBdr>
                        <w:top w:val="none" w:sz="0" w:space="0" w:color="auto"/>
                        <w:left w:val="none" w:sz="0" w:space="0" w:color="auto"/>
                        <w:bottom w:val="none" w:sz="0" w:space="0" w:color="auto"/>
                        <w:right w:val="none" w:sz="0" w:space="0" w:color="auto"/>
                      </w:divBdr>
                    </w:div>
                    <w:div w:id="294150060">
                      <w:marLeft w:val="0"/>
                      <w:marRight w:val="0"/>
                      <w:marTop w:val="0"/>
                      <w:marBottom w:val="0"/>
                      <w:divBdr>
                        <w:top w:val="none" w:sz="0" w:space="0" w:color="auto"/>
                        <w:left w:val="none" w:sz="0" w:space="0" w:color="auto"/>
                        <w:bottom w:val="none" w:sz="0" w:space="0" w:color="auto"/>
                        <w:right w:val="none" w:sz="0" w:space="0" w:color="auto"/>
                      </w:divBdr>
                      <w:divsChild>
                        <w:div w:id="294141431">
                          <w:marLeft w:val="0"/>
                          <w:marRight w:val="0"/>
                          <w:marTop w:val="0"/>
                          <w:marBottom w:val="0"/>
                          <w:divBdr>
                            <w:top w:val="none" w:sz="0" w:space="0" w:color="auto"/>
                            <w:left w:val="none" w:sz="0" w:space="0" w:color="auto"/>
                            <w:bottom w:val="none" w:sz="0" w:space="0" w:color="auto"/>
                            <w:right w:val="none" w:sz="0" w:space="0" w:color="auto"/>
                          </w:divBdr>
                        </w:div>
                      </w:divsChild>
                    </w:div>
                    <w:div w:id="294150214">
                      <w:marLeft w:val="0"/>
                      <w:marRight w:val="0"/>
                      <w:marTop w:val="0"/>
                      <w:marBottom w:val="0"/>
                      <w:divBdr>
                        <w:top w:val="none" w:sz="0" w:space="0" w:color="auto"/>
                        <w:left w:val="none" w:sz="0" w:space="0" w:color="auto"/>
                        <w:bottom w:val="none" w:sz="0" w:space="0" w:color="auto"/>
                        <w:right w:val="none" w:sz="0" w:space="0" w:color="auto"/>
                      </w:divBdr>
                      <w:divsChild>
                        <w:div w:id="294155452">
                          <w:marLeft w:val="0"/>
                          <w:marRight w:val="0"/>
                          <w:marTop w:val="0"/>
                          <w:marBottom w:val="0"/>
                          <w:divBdr>
                            <w:top w:val="none" w:sz="0" w:space="0" w:color="auto"/>
                            <w:left w:val="none" w:sz="0" w:space="0" w:color="auto"/>
                            <w:bottom w:val="none" w:sz="0" w:space="0" w:color="auto"/>
                            <w:right w:val="none" w:sz="0" w:space="0" w:color="auto"/>
                          </w:divBdr>
                        </w:div>
                      </w:divsChild>
                    </w:div>
                    <w:div w:id="294150222">
                      <w:marLeft w:val="0"/>
                      <w:marRight w:val="0"/>
                      <w:marTop w:val="0"/>
                      <w:marBottom w:val="0"/>
                      <w:divBdr>
                        <w:top w:val="none" w:sz="0" w:space="0" w:color="auto"/>
                        <w:left w:val="none" w:sz="0" w:space="0" w:color="auto"/>
                        <w:bottom w:val="none" w:sz="0" w:space="0" w:color="auto"/>
                        <w:right w:val="none" w:sz="0" w:space="0" w:color="auto"/>
                      </w:divBdr>
                    </w:div>
                    <w:div w:id="294150305">
                      <w:marLeft w:val="0"/>
                      <w:marRight w:val="0"/>
                      <w:marTop w:val="0"/>
                      <w:marBottom w:val="0"/>
                      <w:divBdr>
                        <w:top w:val="none" w:sz="0" w:space="0" w:color="auto"/>
                        <w:left w:val="none" w:sz="0" w:space="0" w:color="auto"/>
                        <w:bottom w:val="none" w:sz="0" w:space="0" w:color="auto"/>
                        <w:right w:val="none" w:sz="0" w:space="0" w:color="auto"/>
                      </w:divBdr>
                    </w:div>
                    <w:div w:id="294150351">
                      <w:marLeft w:val="0"/>
                      <w:marRight w:val="0"/>
                      <w:marTop w:val="0"/>
                      <w:marBottom w:val="0"/>
                      <w:divBdr>
                        <w:top w:val="none" w:sz="0" w:space="0" w:color="auto"/>
                        <w:left w:val="none" w:sz="0" w:space="0" w:color="auto"/>
                        <w:bottom w:val="none" w:sz="0" w:space="0" w:color="auto"/>
                        <w:right w:val="none" w:sz="0" w:space="0" w:color="auto"/>
                      </w:divBdr>
                      <w:divsChild>
                        <w:div w:id="294147269">
                          <w:marLeft w:val="0"/>
                          <w:marRight w:val="0"/>
                          <w:marTop w:val="0"/>
                          <w:marBottom w:val="0"/>
                          <w:divBdr>
                            <w:top w:val="none" w:sz="0" w:space="0" w:color="auto"/>
                            <w:left w:val="none" w:sz="0" w:space="0" w:color="auto"/>
                            <w:bottom w:val="none" w:sz="0" w:space="0" w:color="auto"/>
                            <w:right w:val="none" w:sz="0" w:space="0" w:color="auto"/>
                          </w:divBdr>
                        </w:div>
                      </w:divsChild>
                    </w:div>
                    <w:div w:id="294150409">
                      <w:marLeft w:val="0"/>
                      <w:marRight w:val="0"/>
                      <w:marTop w:val="0"/>
                      <w:marBottom w:val="0"/>
                      <w:divBdr>
                        <w:top w:val="none" w:sz="0" w:space="0" w:color="auto"/>
                        <w:left w:val="none" w:sz="0" w:space="0" w:color="auto"/>
                        <w:bottom w:val="none" w:sz="0" w:space="0" w:color="auto"/>
                        <w:right w:val="none" w:sz="0" w:space="0" w:color="auto"/>
                      </w:divBdr>
                    </w:div>
                    <w:div w:id="294150448">
                      <w:marLeft w:val="0"/>
                      <w:marRight w:val="0"/>
                      <w:marTop w:val="0"/>
                      <w:marBottom w:val="0"/>
                      <w:divBdr>
                        <w:top w:val="none" w:sz="0" w:space="0" w:color="auto"/>
                        <w:left w:val="none" w:sz="0" w:space="0" w:color="auto"/>
                        <w:bottom w:val="none" w:sz="0" w:space="0" w:color="auto"/>
                        <w:right w:val="none" w:sz="0" w:space="0" w:color="auto"/>
                      </w:divBdr>
                    </w:div>
                    <w:div w:id="294150568">
                      <w:marLeft w:val="0"/>
                      <w:marRight w:val="0"/>
                      <w:marTop w:val="0"/>
                      <w:marBottom w:val="0"/>
                      <w:divBdr>
                        <w:top w:val="none" w:sz="0" w:space="0" w:color="auto"/>
                        <w:left w:val="none" w:sz="0" w:space="0" w:color="auto"/>
                        <w:bottom w:val="none" w:sz="0" w:space="0" w:color="auto"/>
                        <w:right w:val="none" w:sz="0" w:space="0" w:color="auto"/>
                      </w:divBdr>
                    </w:div>
                    <w:div w:id="294150710">
                      <w:marLeft w:val="0"/>
                      <w:marRight w:val="0"/>
                      <w:marTop w:val="0"/>
                      <w:marBottom w:val="0"/>
                      <w:divBdr>
                        <w:top w:val="none" w:sz="0" w:space="0" w:color="auto"/>
                        <w:left w:val="none" w:sz="0" w:space="0" w:color="auto"/>
                        <w:bottom w:val="none" w:sz="0" w:space="0" w:color="auto"/>
                        <w:right w:val="none" w:sz="0" w:space="0" w:color="auto"/>
                      </w:divBdr>
                    </w:div>
                    <w:div w:id="294150773">
                      <w:marLeft w:val="0"/>
                      <w:marRight w:val="0"/>
                      <w:marTop w:val="0"/>
                      <w:marBottom w:val="0"/>
                      <w:divBdr>
                        <w:top w:val="none" w:sz="0" w:space="0" w:color="auto"/>
                        <w:left w:val="none" w:sz="0" w:space="0" w:color="auto"/>
                        <w:bottom w:val="none" w:sz="0" w:space="0" w:color="auto"/>
                        <w:right w:val="none" w:sz="0" w:space="0" w:color="auto"/>
                      </w:divBdr>
                    </w:div>
                    <w:div w:id="294150815">
                      <w:marLeft w:val="0"/>
                      <w:marRight w:val="0"/>
                      <w:marTop w:val="0"/>
                      <w:marBottom w:val="0"/>
                      <w:divBdr>
                        <w:top w:val="none" w:sz="0" w:space="0" w:color="auto"/>
                        <w:left w:val="none" w:sz="0" w:space="0" w:color="auto"/>
                        <w:bottom w:val="none" w:sz="0" w:space="0" w:color="auto"/>
                        <w:right w:val="none" w:sz="0" w:space="0" w:color="auto"/>
                      </w:divBdr>
                      <w:divsChild>
                        <w:div w:id="294156257">
                          <w:marLeft w:val="0"/>
                          <w:marRight w:val="0"/>
                          <w:marTop w:val="0"/>
                          <w:marBottom w:val="0"/>
                          <w:divBdr>
                            <w:top w:val="none" w:sz="0" w:space="0" w:color="auto"/>
                            <w:left w:val="none" w:sz="0" w:space="0" w:color="auto"/>
                            <w:bottom w:val="none" w:sz="0" w:space="0" w:color="auto"/>
                            <w:right w:val="none" w:sz="0" w:space="0" w:color="auto"/>
                          </w:divBdr>
                        </w:div>
                      </w:divsChild>
                    </w:div>
                    <w:div w:id="294150907">
                      <w:marLeft w:val="0"/>
                      <w:marRight w:val="0"/>
                      <w:marTop w:val="0"/>
                      <w:marBottom w:val="0"/>
                      <w:divBdr>
                        <w:top w:val="none" w:sz="0" w:space="0" w:color="auto"/>
                        <w:left w:val="none" w:sz="0" w:space="0" w:color="auto"/>
                        <w:bottom w:val="none" w:sz="0" w:space="0" w:color="auto"/>
                        <w:right w:val="none" w:sz="0" w:space="0" w:color="auto"/>
                      </w:divBdr>
                      <w:divsChild>
                        <w:div w:id="294142385">
                          <w:marLeft w:val="0"/>
                          <w:marRight w:val="0"/>
                          <w:marTop w:val="0"/>
                          <w:marBottom w:val="0"/>
                          <w:divBdr>
                            <w:top w:val="none" w:sz="0" w:space="0" w:color="auto"/>
                            <w:left w:val="none" w:sz="0" w:space="0" w:color="auto"/>
                            <w:bottom w:val="none" w:sz="0" w:space="0" w:color="auto"/>
                            <w:right w:val="none" w:sz="0" w:space="0" w:color="auto"/>
                          </w:divBdr>
                        </w:div>
                      </w:divsChild>
                    </w:div>
                    <w:div w:id="294151016">
                      <w:marLeft w:val="0"/>
                      <w:marRight w:val="0"/>
                      <w:marTop w:val="0"/>
                      <w:marBottom w:val="0"/>
                      <w:divBdr>
                        <w:top w:val="none" w:sz="0" w:space="0" w:color="auto"/>
                        <w:left w:val="none" w:sz="0" w:space="0" w:color="auto"/>
                        <w:bottom w:val="none" w:sz="0" w:space="0" w:color="auto"/>
                        <w:right w:val="none" w:sz="0" w:space="0" w:color="auto"/>
                      </w:divBdr>
                      <w:divsChild>
                        <w:div w:id="294148467">
                          <w:marLeft w:val="0"/>
                          <w:marRight w:val="0"/>
                          <w:marTop w:val="0"/>
                          <w:marBottom w:val="0"/>
                          <w:divBdr>
                            <w:top w:val="none" w:sz="0" w:space="0" w:color="auto"/>
                            <w:left w:val="none" w:sz="0" w:space="0" w:color="auto"/>
                            <w:bottom w:val="none" w:sz="0" w:space="0" w:color="auto"/>
                            <w:right w:val="none" w:sz="0" w:space="0" w:color="auto"/>
                          </w:divBdr>
                        </w:div>
                      </w:divsChild>
                    </w:div>
                    <w:div w:id="294151116">
                      <w:marLeft w:val="0"/>
                      <w:marRight w:val="0"/>
                      <w:marTop w:val="0"/>
                      <w:marBottom w:val="0"/>
                      <w:divBdr>
                        <w:top w:val="none" w:sz="0" w:space="0" w:color="auto"/>
                        <w:left w:val="none" w:sz="0" w:space="0" w:color="auto"/>
                        <w:bottom w:val="none" w:sz="0" w:space="0" w:color="auto"/>
                        <w:right w:val="none" w:sz="0" w:space="0" w:color="auto"/>
                      </w:divBdr>
                    </w:div>
                    <w:div w:id="294151277">
                      <w:marLeft w:val="0"/>
                      <w:marRight w:val="0"/>
                      <w:marTop w:val="0"/>
                      <w:marBottom w:val="0"/>
                      <w:divBdr>
                        <w:top w:val="none" w:sz="0" w:space="0" w:color="auto"/>
                        <w:left w:val="none" w:sz="0" w:space="0" w:color="auto"/>
                        <w:bottom w:val="none" w:sz="0" w:space="0" w:color="auto"/>
                        <w:right w:val="none" w:sz="0" w:space="0" w:color="auto"/>
                      </w:divBdr>
                      <w:divsChild>
                        <w:div w:id="294140788">
                          <w:marLeft w:val="0"/>
                          <w:marRight w:val="0"/>
                          <w:marTop w:val="0"/>
                          <w:marBottom w:val="0"/>
                          <w:divBdr>
                            <w:top w:val="none" w:sz="0" w:space="0" w:color="auto"/>
                            <w:left w:val="none" w:sz="0" w:space="0" w:color="auto"/>
                            <w:bottom w:val="none" w:sz="0" w:space="0" w:color="auto"/>
                            <w:right w:val="none" w:sz="0" w:space="0" w:color="auto"/>
                          </w:divBdr>
                        </w:div>
                      </w:divsChild>
                    </w:div>
                    <w:div w:id="294151471">
                      <w:marLeft w:val="0"/>
                      <w:marRight w:val="0"/>
                      <w:marTop w:val="0"/>
                      <w:marBottom w:val="0"/>
                      <w:divBdr>
                        <w:top w:val="none" w:sz="0" w:space="0" w:color="auto"/>
                        <w:left w:val="none" w:sz="0" w:space="0" w:color="auto"/>
                        <w:bottom w:val="none" w:sz="0" w:space="0" w:color="auto"/>
                        <w:right w:val="none" w:sz="0" w:space="0" w:color="auto"/>
                      </w:divBdr>
                      <w:divsChild>
                        <w:div w:id="294145306">
                          <w:marLeft w:val="0"/>
                          <w:marRight w:val="0"/>
                          <w:marTop w:val="0"/>
                          <w:marBottom w:val="0"/>
                          <w:divBdr>
                            <w:top w:val="none" w:sz="0" w:space="0" w:color="auto"/>
                            <w:left w:val="none" w:sz="0" w:space="0" w:color="auto"/>
                            <w:bottom w:val="none" w:sz="0" w:space="0" w:color="auto"/>
                            <w:right w:val="none" w:sz="0" w:space="0" w:color="auto"/>
                          </w:divBdr>
                        </w:div>
                      </w:divsChild>
                    </w:div>
                    <w:div w:id="294151542">
                      <w:marLeft w:val="0"/>
                      <w:marRight w:val="0"/>
                      <w:marTop w:val="0"/>
                      <w:marBottom w:val="0"/>
                      <w:divBdr>
                        <w:top w:val="none" w:sz="0" w:space="0" w:color="auto"/>
                        <w:left w:val="none" w:sz="0" w:space="0" w:color="auto"/>
                        <w:bottom w:val="none" w:sz="0" w:space="0" w:color="auto"/>
                        <w:right w:val="none" w:sz="0" w:space="0" w:color="auto"/>
                      </w:divBdr>
                    </w:div>
                    <w:div w:id="294151580">
                      <w:marLeft w:val="0"/>
                      <w:marRight w:val="0"/>
                      <w:marTop w:val="0"/>
                      <w:marBottom w:val="0"/>
                      <w:divBdr>
                        <w:top w:val="none" w:sz="0" w:space="0" w:color="auto"/>
                        <w:left w:val="none" w:sz="0" w:space="0" w:color="auto"/>
                        <w:bottom w:val="none" w:sz="0" w:space="0" w:color="auto"/>
                        <w:right w:val="none" w:sz="0" w:space="0" w:color="auto"/>
                      </w:divBdr>
                    </w:div>
                    <w:div w:id="294151658">
                      <w:marLeft w:val="0"/>
                      <w:marRight w:val="0"/>
                      <w:marTop w:val="0"/>
                      <w:marBottom w:val="0"/>
                      <w:divBdr>
                        <w:top w:val="none" w:sz="0" w:space="0" w:color="auto"/>
                        <w:left w:val="none" w:sz="0" w:space="0" w:color="auto"/>
                        <w:bottom w:val="none" w:sz="0" w:space="0" w:color="auto"/>
                        <w:right w:val="none" w:sz="0" w:space="0" w:color="auto"/>
                      </w:divBdr>
                    </w:div>
                    <w:div w:id="294151833">
                      <w:marLeft w:val="0"/>
                      <w:marRight w:val="0"/>
                      <w:marTop w:val="0"/>
                      <w:marBottom w:val="0"/>
                      <w:divBdr>
                        <w:top w:val="none" w:sz="0" w:space="0" w:color="auto"/>
                        <w:left w:val="none" w:sz="0" w:space="0" w:color="auto"/>
                        <w:bottom w:val="none" w:sz="0" w:space="0" w:color="auto"/>
                        <w:right w:val="none" w:sz="0" w:space="0" w:color="auto"/>
                      </w:divBdr>
                    </w:div>
                    <w:div w:id="294151916">
                      <w:marLeft w:val="0"/>
                      <w:marRight w:val="0"/>
                      <w:marTop w:val="0"/>
                      <w:marBottom w:val="0"/>
                      <w:divBdr>
                        <w:top w:val="none" w:sz="0" w:space="0" w:color="auto"/>
                        <w:left w:val="none" w:sz="0" w:space="0" w:color="auto"/>
                        <w:bottom w:val="none" w:sz="0" w:space="0" w:color="auto"/>
                        <w:right w:val="none" w:sz="0" w:space="0" w:color="auto"/>
                      </w:divBdr>
                    </w:div>
                    <w:div w:id="294151993">
                      <w:marLeft w:val="0"/>
                      <w:marRight w:val="0"/>
                      <w:marTop w:val="0"/>
                      <w:marBottom w:val="0"/>
                      <w:divBdr>
                        <w:top w:val="none" w:sz="0" w:space="0" w:color="auto"/>
                        <w:left w:val="none" w:sz="0" w:space="0" w:color="auto"/>
                        <w:bottom w:val="none" w:sz="0" w:space="0" w:color="auto"/>
                        <w:right w:val="none" w:sz="0" w:space="0" w:color="auto"/>
                      </w:divBdr>
                    </w:div>
                    <w:div w:id="294152079">
                      <w:marLeft w:val="0"/>
                      <w:marRight w:val="0"/>
                      <w:marTop w:val="0"/>
                      <w:marBottom w:val="0"/>
                      <w:divBdr>
                        <w:top w:val="none" w:sz="0" w:space="0" w:color="auto"/>
                        <w:left w:val="none" w:sz="0" w:space="0" w:color="auto"/>
                        <w:bottom w:val="none" w:sz="0" w:space="0" w:color="auto"/>
                        <w:right w:val="none" w:sz="0" w:space="0" w:color="auto"/>
                      </w:divBdr>
                    </w:div>
                    <w:div w:id="294152128">
                      <w:marLeft w:val="0"/>
                      <w:marRight w:val="0"/>
                      <w:marTop w:val="0"/>
                      <w:marBottom w:val="0"/>
                      <w:divBdr>
                        <w:top w:val="none" w:sz="0" w:space="0" w:color="auto"/>
                        <w:left w:val="none" w:sz="0" w:space="0" w:color="auto"/>
                        <w:bottom w:val="none" w:sz="0" w:space="0" w:color="auto"/>
                        <w:right w:val="none" w:sz="0" w:space="0" w:color="auto"/>
                      </w:divBdr>
                      <w:divsChild>
                        <w:div w:id="294146847">
                          <w:marLeft w:val="0"/>
                          <w:marRight w:val="0"/>
                          <w:marTop w:val="0"/>
                          <w:marBottom w:val="0"/>
                          <w:divBdr>
                            <w:top w:val="none" w:sz="0" w:space="0" w:color="auto"/>
                            <w:left w:val="none" w:sz="0" w:space="0" w:color="auto"/>
                            <w:bottom w:val="none" w:sz="0" w:space="0" w:color="auto"/>
                            <w:right w:val="none" w:sz="0" w:space="0" w:color="auto"/>
                          </w:divBdr>
                        </w:div>
                      </w:divsChild>
                    </w:div>
                    <w:div w:id="294152200">
                      <w:marLeft w:val="0"/>
                      <w:marRight w:val="0"/>
                      <w:marTop w:val="0"/>
                      <w:marBottom w:val="0"/>
                      <w:divBdr>
                        <w:top w:val="none" w:sz="0" w:space="0" w:color="auto"/>
                        <w:left w:val="none" w:sz="0" w:space="0" w:color="auto"/>
                        <w:bottom w:val="none" w:sz="0" w:space="0" w:color="auto"/>
                        <w:right w:val="none" w:sz="0" w:space="0" w:color="auto"/>
                      </w:divBdr>
                    </w:div>
                    <w:div w:id="294152232">
                      <w:marLeft w:val="0"/>
                      <w:marRight w:val="0"/>
                      <w:marTop w:val="0"/>
                      <w:marBottom w:val="0"/>
                      <w:divBdr>
                        <w:top w:val="none" w:sz="0" w:space="0" w:color="auto"/>
                        <w:left w:val="none" w:sz="0" w:space="0" w:color="auto"/>
                        <w:bottom w:val="none" w:sz="0" w:space="0" w:color="auto"/>
                        <w:right w:val="none" w:sz="0" w:space="0" w:color="auto"/>
                      </w:divBdr>
                      <w:divsChild>
                        <w:div w:id="294143084">
                          <w:marLeft w:val="0"/>
                          <w:marRight w:val="0"/>
                          <w:marTop w:val="0"/>
                          <w:marBottom w:val="0"/>
                          <w:divBdr>
                            <w:top w:val="none" w:sz="0" w:space="0" w:color="auto"/>
                            <w:left w:val="none" w:sz="0" w:space="0" w:color="auto"/>
                            <w:bottom w:val="none" w:sz="0" w:space="0" w:color="auto"/>
                            <w:right w:val="none" w:sz="0" w:space="0" w:color="auto"/>
                          </w:divBdr>
                        </w:div>
                      </w:divsChild>
                    </w:div>
                    <w:div w:id="294152368">
                      <w:marLeft w:val="0"/>
                      <w:marRight w:val="0"/>
                      <w:marTop w:val="0"/>
                      <w:marBottom w:val="0"/>
                      <w:divBdr>
                        <w:top w:val="none" w:sz="0" w:space="0" w:color="auto"/>
                        <w:left w:val="none" w:sz="0" w:space="0" w:color="auto"/>
                        <w:bottom w:val="none" w:sz="0" w:space="0" w:color="auto"/>
                        <w:right w:val="none" w:sz="0" w:space="0" w:color="auto"/>
                      </w:divBdr>
                      <w:divsChild>
                        <w:div w:id="294146914">
                          <w:marLeft w:val="0"/>
                          <w:marRight w:val="0"/>
                          <w:marTop w:val="0"/>
                          <w:marBottom w:val="0"/>
                          <w:divBdr>
                            <w:top w:val="none" w:sz="0" w:space="0" w:color="auto"/>
                            <w:left w:val="none" w:sz="0" w:space="0" w:color="auto"/>
                            <w:bottom w:val="none" w:sz="0" w:space="0" w:color="auto"/>
                            <w:right w:val="none" w:sz="0" w:space="0" w:color="auto"/>
                          </w:divBdr>
                        </w:div>
                      </w:divsChild>
                    </w:div>
                    <w:div w:id="294152449">
                      <w:marLeft w:val="0"/>
                      <w:marRight w:val="0"/>
                      <w:marTop w:val="0"/>
                      <w:marBottom w:val="0"/>
                      <w:divBdr>
                        <w:top w:val="none" w:sz="0" w:space="0" w:color="auto"/>
                        <w:left w:val="none" w:sz="0" w:space="0" w:color="auto"/>
                        <w:bottom w:val="none" w:sz="0" w:space="0" w:color="auto"/>
                        <w:right w:val="none" w:sz="0" w:space="0" w:color="auto"/>
                      </w:divBdr>
                    </w:div>
                    <w:div w:id="294152501">
                      <w:marLeft w:val="0"/>
                      <w:marRight w:val="0"/>
                      <w:marTop w:val="0"/>
                      <w:marBottom w:val="0"/>
                      <w:divBdr>
                        <w:top w:val="none" w:sz="0" w:space="0" w:color="auto"/>
                        <w:left w:val="none" w:sz="0" w:space="0" w:color="auto"/>
                        <w:bottom w:val="none" w:sz="0" w:space="0" w:color="auto"/>
                        <w:right w:val="none" w:sz="0" w:space="0" w:color="auto"/>
                      </w:divBdr>
                    </w:div>
                    <w:div w:id="294152561">
                      <w:marLeft w:val="0"/>
                      <w:marRight w:val="0"/>
                      <w:marTop w:val="0"/>
                      <w:marBottom w:val="0"/>
                      <w:divBdr>
                        <w:top w:val="none" w:sz="0" w:space="0" w:color="auto"/>
                        <w:left w:val="none" w:sz="0" w:space="0" w:color="auto"/>
                        <w:bottom w:val="none" w:sz="0" w:space="0" w:color="auto"/>
                        <w:right w:val="none" w:sz="0" w:space="0" w:color="auto"/>
                      </w:divBdr>
                    </w:div>
                    <w:div w:id="294152586">
                      <w:marLeft w:val="0"/>
                      <w:marRight w:val="0"/>
                      <w:marTop w:val="0"/>
                      <w:marBottom w:val="0"/>
                      <w:divBdr>
                        <w:top w:val="none" w:sz="0" w:space="0" w:color="auto"/>
                        <w:left w:val="none" w:sz="0" w:space="0" w:color="auto"/>
                        <w:bottom w:val="none" w:sz="0" w:space="0" w:color="auto"/>
                        <w:right w:val="none" w:sz="0" w:space="0" w:color="auto"/>
                      </w:divBdr>
                    </w:div>
                    <w:div w:id="294152677">
                      <w:marLeft w:val="0"/>
                      <w:marRight w:val="0"/>
                      <w:marTop w:val="0"/>
                      <w:marBottom w:val="0"/>
                      <w:divBdr>
                        <w:top w:val="none" w:sz="0" w:space="0" w:color="auto"/>
                        <w:left w:val="none" w:sz="0" w:space="0" w:color="auto"/>
                        <w:bottom w:val="none" w:sz="0" w:space="0" w:color="auto"/>
                        <w:right w:val="none" w:sz="0" w:space="0" w:color="auto"/>
                      </w:divBdr>
                      <w:divsChild>
                        <w:div w:id="294146512">
                          <w:marLeft w:val="0"/>
                          <w:marRight w:val="0"/>
                          <w:marTop w:val="0"/>
                          <w:marBottom w:val="0"/>
                          <w:divBdr>
                            <w:top w:val="none" w:sz="0" w:space="0" w:color="auto"/>
                            <w:left w:val="none" w:sz="0" w:space="0" w:color="auto"/>
                            <w:bottom w:val="none" w:sz="0" w:space="0" w:color="auto"/>
                            <w:right w:val="none" w:sz="0" w:space="0" w:color="auto"/>
                          </w:divBdr>
                        </w:div>
                      </w:divsChild>
                    </w:div>
                    <w:div w:id="294152687">
                      <w:marLeft w:val="0"/>
                      <w:marRight w:val="0"/>
                      <w:marTop w:val="0"/>
                      <w:marBottom w:val="0"/>
                      <w:divBdr>
                        <w:top w:val="none" w:sz="0" w:space="0" w:color="auto"/>
                        <w:left w:val="none" w:sz="0" w:space="0" w:color="auto"/>
                        <w:bottom w:val="none" w:sz="0" w:space="0" w:color="auto"/>
                        <w:right w:val="none" w:sz="0" w:space="0" w:color="auto"/>
                      </w:divBdr>
                      <w:divsChild>
                        <w:div w:id="294154672">
                          <w:marLeft w:val="0"/>
                          <w:marRight w:val="0"/>
                          <w:marTop w:val="0"/>
                          <w:marBottom w:val="0"/>
                          <w:divBdr>
                            <w:top w:val="none" w:sz="0" w:space="0" w:color="auto"/>
                            <w:left w:val="none" w:sz="0" w:space="0" w:color="auto"/>
                            <w:bottom w:val="none" w:sz="0" w:space="0" w:color="auto"/>
                            <w:right w:val="none" w:sz="0" w:space="0" w:color="auto"/>
                          </w:divBdr>
                        </w:div>
                      </w:divsChild>
                    </w:div>
                    <w:div w:id="294152690">
                      <w:marLeft w:val="0"/>
                      <w:marRight w:val="0"/>
                      <w:marTop w:val="0"/>
                      <w:marBottom w:val="0"/>
                      <w:divBdr>
                        <w:top w:val="none" w:sz="0" w:space="0" w:color="auto"/>
                        <w:left w:val="none" w:sz="0" w:space="0" w:color="auto"/>
                        <w:bottom w:val="none" w:sz="0" w:space="0" w:color="auto"/>
                        <w:right w:val="none" w:sz="0" w:space="0" w:color="auto"/>
                      </w:divBdr>
                      <w:divsChild>
                        <w:div w:id="294146671">
                          <w:marLeft w:val="0"/>
                          <w:marRight w:val="0"/>
                          <w:marTop w:val="0"/>
                          <w:marBottom w:val="0"/>
                          <w:divBdr>
                            <w:top w:val="none" w:sz="0" w:space="0" w:color="auto"/>
                            <w:left w:val="none" w:sz="0" w:space="0" w:color="auto"/>
                            <w:bottom w:val="none" w:sz="0" w:space="0" w:color="auto"/>
                            <w:right w:val="none" w:sz="0" w:space="0" w:color="auto"/>
                          </w:divBdr>
                        </w:div>
                      </w:divsChild>
                    </w:div>
                    <w:div w:id="294152831">
                      <w:marLeft w:val="0"/>
                      <w:marRight w:val="0"/>
                      <w:marTop w:val="0"/>
                      <w:marBottom w:val="0"/>
                      <w:divBdr>
                        <w:top w:val="none" w:sz="0" w:space="0" w:color="auto"/>
                        <w:left w:val="none" w:sz="0" w:space="0" w:color="auto"/>
                        <w:bottom w:val="none" w:sz="0" w:space="0" w:color="auto"/>
                        <w:right w:val="none" w:sz="0" w:space="0" w:color="auto"/>
                      </w:divBdr>
                    </w:div>
                    <w:div w:id="294152907">
                      <w:marLeft w:val="0"/>
                      <w:marRight w:val="0"/>
                      <w:marTop w:val="0"/>
                      <w:marBottom w:val="0"/>
                      <w:divBdr>
                        <w:top w:val="none" w:sz="0" w:space="0" w:color="auto"/>
                        <w:left w:val="none" w:sz="0" w:space="0" w:color="auto"/>
                        <w:bottom w:val="none" w:sz="0" w:space="0" w:color="auto"/>
                        <w:right w:val="none" w:sz="0" w:space="0" w:color="auto"/>
                      </w:divBdr>
                    </w:div>
                    <w:div w:id="294152999">
                      <w:marLeft w:val="0"/>
                      <w:marRight w:val="0"/>
                      <w:marTop w:val="0"/>
                      <w:marBottom w:val="0"/>
                      <w:divBdr>
                        <w:top w:val="none" w:sz="0" w:space="0" w:color="auto"/>
                        <w:left w:val="none" w:sz="0" w:space="0" w:color="auto"/>
                        <w:bottom w:val="none" w:sz="0" w:space="0" w:color="auto"/>
                        <w:right w:val="none" w:sz="0" w:space="0" w:color="auto"/>
                      </w:divBdr>
                      <w:divsChild>
                        <w:div w:id="294144845">
                          <w:marLeft w:val="0"/>
                          <w:marRight w:val="0"/>
                          <w:marTop w:val="0"/>
                          <w:marBottom w:val="0"/>
                          <w:divBdr>
                            <w:top w:val="none" w:sz="0" w:space="0" w:color="auto"/>
                            <w:left w:val="none" w:sz="0" w:space="0" w:color="auto"/>
                            <w:bottom w:val="none" w:sz="0" w:space="0" w:color="auto"/>
                            <w:right w:val="none" w:sz="0" w:space="0" w:color="auto"/>
                          </w:divBdr>
                        </w:div>
                      </w:divsChild>
                    </w:div>
                    <w:div w:id="294153092">
                      <w:marLeft w:val="0"/>
                      <w:marRight w:val="0"/>
                      <w:marTop w:val="0"/>
                      <w:marBottom w:val="0"/>
                      <w:divBdr>
                        <w:top w:val="none" w:sz="0" w:space="0" w:color="auto"/>
                        <w:left w:val="none" w:sz="0" w:space="0" w:color="auto"/>
                        <w:bottom w:val="none" w:sz="0" w:space="0" w:color="auto"/>
                        <w:right w:val="none" w:sz="0" w:space="0" w:color="auto"/>
                      </w:divBdr>
                    </w:div>
                    <w:div w:id="294153308">
                      <w:marLeft w:val="0"/>
                      <w:marRight w:val="0"/>
                      <w:marTop w:val="0"/>
                      <w:marBottom w:val="0"/>
                      <w:divBdr>
                        <w:top w:val="none" w:sz="0" w:space="0" w:color="auto"/>
                        <w:left w:val="none" w:sz="0" w:space="0" w:color="auto"/>
                        <w:bottom w:val="none" w:sz="0" w:space="0" w:color="auto"/>
                        <w:right w:val="none" w:sz="0" w:space="0" w:color="auto"/>
                      </w:divBdr>
                    </w:div>
                    <w:div w:id="294153421">
                      <w:marLeft w:val="0"/>
                      <w:marRight w:val="0"/>
                      <w:marTop w:val="0"/>
                      <w:marBottom w:val="0"/>
                      <w:divBdr>
                        <w:top w:val="none" w:sz="0" w:space="0" w:color="auto"/>
                        <w:left w:val="none" w:sz="0" w:space="0" w:color="auto"/>
                        <w:bottom w:val="none" w:sz="0" w:space="0" w:color="auto"/>
                        <w:right w:val="none" w:sz="0" w:space="0" w:color="auto"/>
                      </w:divBdr>
                      <w:divsChild>
                        <w:div w:id="294141710">
                          <w:marLeft w:val="0"/>
                          <w:marRight w:val="0"/>
                          <w:marTop w:val="0"/>
                          <w:marBottom w:val="0"/>
                          <w:divBdr>
                            <w:top w:val="none" w:sz="0" w:space="0" w:color="auto"/>
                            <w:left w:val="none" w:sz="0" w:space="0" w:color="auto"/>
                            <w:bottom w:val="none" w:sz="0" w:space="0" w:color="auto"/>
                            <w:right w:val="none" w:sz="0" w:space="0" w:color="auto"/>
                          </w:divBdr>
                        </w:div>
                      </w:divsChild>
                    </w:div>
                    <w:div w:id="294153424">
                      <w:marLeft w:val="0"/>
                      <w:marRight w:val="0"/>
                      <w:marTop w:val="0"/>
                      <w:marBottom w:val="0"/>
                      <w:divBdr>
                        <w:top w:val="none" w:sz="0" w:space="0" w:color="auto"/>
                        <w:left w:val="none" w:sz="0" w:space="0" w:color="auto"/>
                        <w:bottom w:val="none" w:sz="0" w:space="0" w:color="auto"/>
                        <w:right w:val="none" w:sz="0" w:space="0" w:color="auto"/>
                      </w:divBdr>
                      <w:divsChild>
                        <w:div w:id="294150983">
                          <w:marLeft w:val="0"/>
                          <w:marRight w:val="0"/>
                          <w:marTop w:val="0"/>
                          <w:marBottom w:val="0"/>
                          <w:divBdr>
                            <w:top w:val="none" w:sz="0" w:space="0" w:color="auto"/>
                            <w:left w:val="none" w:sz="0" w:space="0" w:color="auto"/>
                            <w:bottom w:val="none" w:sz="0" w:space="0" w:color="auto"/>
                            <w:right w:val="none" w:sz="0" w:space="0" w:color="auto"/>
                          </w:divBdr>
                        </w:div>
                      </w:divsChild>
                    </w:div>
                    <w:div w:id="294153443">
                      <w:marLeft w:val="0"/>
                      <w:marRight w:val="0"/>
                      <w:marTop w:val="0"/>
                      <w:marBottom w:val="0"/>
                      <w:divBdr>
                        <w:top w:val="none" w:sz="0" w:space="0" w:color="auto"/>
                        <w:left w:val="none" w:sz="0" w:space="0" w:color="auto"/>
                        <w:bottom w:val="none" w:sz="0" w:space="0" w:color="auto"/>
                        <w:right w:val="none" w:sz="0" w:space="0" w:color="auto"/>
                      </w:divBdr>
                    </w:div>
                    <w:div w:id="294153448">
                      <w:marLeft w:val="0"/>
                      <w:marRight w:val="0"/>
                      <w:marTop w:val="0"/>
                      <w:marBottom w:val="0"/>
                      <w:divBdr>
                        <w:top w:val="none" w:sz="0" w:space="0" w:color="auto"/>
                        <w:left w:val="none" w:sz="0" w:space="0" w:color="auto"/>
                        <w:bottom w:val="none" w:sz="0" w:space="0" w:color="auto"/>
                        <w:right w:val="none" w:sz="0" w:space="0" w:color="auto"/>
                      </w:divBdr>
                      <w:divsChild>
                        <w:div w:id="294148204">
                          <w:marLeft w:val="0"/>
                          <w:marRight w:val="0"/>
                          <w:marTop w:val="0"/>
                          <w:marBottom w:val="0"/>
                          <w:divBdr>
                            <w:top w:val="none" w:sz="0" w:space="0" w:color="auto"/>
                            <w:left w:val="none" w:sz="0" w:space="0" w:color="auto"/>
                            <w:bottom w:val="none" w:sz="0" w:space="0" w:color="auto"/>
                            <w:right w:val="none" w:sz="0" w:space="0" w:color="auto"/>
                          </w:divBdr>
                        </w:div>
                      </w:divsChild>
                    </w:div>
                    <w:div w:id="294153484">
                      <w:marLeft w:val="0"/>
                      <w:marRight w:val="0"/>
                      <w:marTop w:val="0"/>
                      <w:marBottom w:val="0"/>
                      <w:divBdr>
                        <w:top w:val="none" w:sz="0" w:space="0" w:color="auto"/>
                        <w:left w:val="none" w:sz="0" w:space="0" w:color="auto"/>
                        <w:bottom w:val="none" w:sz="0" w:space="0" w:color="auto"/>
                        <w:right w:val="none" w:sz="0" w:space="0" w:color="auto"/>
                      </w:divBdr>
                    </w:div>
                    <w:div w:id="294153485">
                      <w:marLeft w:val="0"/>
                      <w:marRight w:val="0"/>
                      <w:marTop w:val="0"/>
                      <w:marBottom w:val="0"/>
                      <w:divBdr>
                        <w:top w:val="none" w:sz="0" w:space="0" w:color="auto"/>
                        <w:left w:val="none" w:sz="0" w:space="0" w:color="auto"/>
                        <w:bottom w:val="none" w:sz="0" w:space="0" w:color="auto"/>
                        <w:right w:val="none" w:sz="0" w:space="0" w:color="auto"/>
                      </w:divBdr>
                    </w:div>
                    <w:div w:id="294153645">
                      <w:marLeft w:val="0"/>
                      <w:marRight w:val="0"/>
                      <w:marTop w:val="0"/>
                      <w:marBottom w:val="0"/>
                      <w:divBdr>
                        <w:top w:val="none" w:sz="0" w:space="0" w:color="auto"/>
                        <w:left w:val="none" w:sz="0" w:space="0" w:color="auto"/>
                        <w:bottom w:val="none" w:sz="0" w:space="0" w:color="auto"/>
                        <w:right w:val="none" w:sz="0" w:space="0" w:color="auto"/>
                      </w:divBdr>
                      <w:divsChild>
                        <w:div w:id="294151794">
                          <w:marLeft w:val="0"/>
                          <w:marRight w:val="0"/>
                          <w:marTop w:val="0"/>
                          <w:marBottom w:val="0"/>
                          <w:divBdr>
                            <w:top w:val="none" w:sz="0" w:space="0" w:color="auto"/>
                            <w:left w:val="none" w:sz="0" w:space="0" w:color="auto"/>
                            <w:bottom w:val="none" w:sz="0" w:space="0" w:color="auto"/>
                            <w:right w:val="none" w:sz="0" w:space="0" w:color="auto"/>
                          </w:divBdr>
                        </w:div>
                      </w:divsChild>
                    </w:div>
                    <w:div w:id="294153731">
                      <w:marLeft w:val="0"/>
                      <w:marRight w:val="0"/>
                      <w:marTop w:val="0"/>
                      <w:marBottom w:val="0"/>
                      <w:divBdr>
                        <w:top w:val="none" w:sz="0" w:space="0" w:color="auto"/>
                        <w:left w:val="none" w:sz="0" w:space="0" w:color="auto"/>
                        <w:bottom w:val="none" w:sz="0" w:space="0" w:color="auto"/>
                        <w:right w:val="none" w:sz="0" w:space="0" w:color="auto"/>
                      </w:divBdr>
                    </w:div>
                    <w:div w:id="294153753">
                      <w:marLeft w:val="0"/>
                      <w:marRight w:val="0"/>
                      <w:marTop w:val="0"/>
                      <w:marBottom w:val="0"/>
                      <w:divBdr>
                        <w:top w:val="none" w:sz="0" w:space="0" w:color="auto"/>
                        <w:left w:val="none" w:sz="0" w:space="0" w:color="auto"/>
                        <w:bottom w:val="none" w:sz="0" w:space="0" w:color="auto"/>
                        <w:right w:val="none" w:sz="0" w:space="0" w:color="auto"/>
                      </w:divBdr>
                    </w:div>
                    <w:div w:id="294153834">
                      <w:marLeft w:val="0"/>
                      <w:marRight w:val="0"/>
                      <w:marTop w:val="0"/>
                      <w:marBottom w:val="0"/>
                      <w:divBdr>
                        <w:top w:val="none" w:sz="0" w:space="0" w:color="auto"/>
                        <w:left w:val="none" w:sz="0" w:space="0" w:color="auto"/>
                        <w:bottom w:val="none" w:sz="0" w:space="0" w:color="auto"/>
                        <w:right w:val="none" w:sz="0" w:space="0" w:color="auto"/>
                      </w:divBdr>
                      <w:divsChild>
                        <w:div w:id="294153434">
                          <w:marLeft w:val="0"/>
                          <w:marRight w:val="0"/>
                          <w:marTop w:val="0"/>
                          <w:marBottom w:val="0"/>
                          <w:divBdr>
                            <w:top w:val="none" w:sz="0" w:space="0" w:color="auto"/>
                            <w:left w:val="none" w:sz="0" w:space="0" w:color="auto"/>
                            <w:bottom w:val="none" w:sz="0" w:space="0" w:color="auto"/>
                            <w:right w:val="none" w:sz="0" w:space="0" w:color="auto"/>
                          </w:divBdr>
                        </w:div>
                      </w:divsChild>
                    </w:div>
                    <w:div w:id="294153871">
                      <w:marLeft w:val="0"/>
                      <w:marRight w:val="0"/>
                      <w:marTop w:val="0"/>
                      <w:marBottom w:val="0"/>
                      <w:divBdr>
                        <w:top w:val="none" w:sz="0" w:space="0" w:color="auto"/>
                        <w:left w:val="none" w:sz="0" w:space="0" w:color="auto"/>
                        <w:bottom w:val="none" w:sz="0" w:space="0" w:color="auto"/>
                        <w:right w:val="none" w:sz="0" w:space="0" w:color="auto"/>
                      </w:divBdr>
                      <w:divsChild>
                        <w:div w:id="294151817">
                          <w:marLeft w:val="0"/>
                          <w:marRight w:val="0"/>
                          <w:marTop w:val="0"/>
                          <w:marBottom w:val="0"/>
                          <w:divBdr>
                            <w:top w:val="none" w:sz="0" w:space="0" w:color="auto"/>
                            <w:left w:val="none" w:sz="0" w:space="0" w:color="auto"/>
                            <w:bottom w:val="none" w:sz="0" w:space="0" w:color="auto"/>
                            <w:right w:val="none" w:sz="0" w:space="0" w:color="auto"/>
                          </w:divBdr>
                        </w:div>
                      </w:divsChild>
                    </w:div>
                    <w:div w:id="294153942">
                      <w:marLeft w:val="0"/>
                      <w:marRight w:val="0"/>
                      <w:marTop w:val="0"/>
                      <w:marBottom w:val="0"/>
                      <w:divBdr>
                        <w:top w:val="none" w:sz="0" w:space="0" w:color="auto"/>
                        <w:left w:val="none" w:sz="0" w:space="0" w:color="auto"/>
                        <w:bottom w:val="none" w:sz="0" w:space="0" w:color="auto"/>
                        <w:right w:val="none" w:sz="0" w:space="0" w:color="auto"/>
                      </w:divBdr>
                    </w:div>
                    <w:div w:id="294153953">
                      <w:marLeft w:val="0"/>
                      <w:marRight w:val="0"/>
                      <w:marTop w:val="0"/>
                      <w:marBottom w:val="0"/>
                      <w:divBdr>
                        <w:top w:val="none" w:sz="0" w:space="0" w:color="auto"/>
                        <w:left w:val="none" w:sz="0" w:space="0" w:color="auto"/>
                        <w:bottom w:val="none" w:sz="0" w:space="0" w:color="auto"/>
                        <w:right w:val="none" w:sz="0" w:space="0" w:color="auto"/>
                      </w:divBdr>
                    </w:div>
                    <w:div w:id="294153981">
                      <w:marLeft w:val="0"/>
                      <w:marRight w:val="0"/>
                      <w:marTop w:val="0"/>
                      <w:marBottom w:val="0"/>
                      <w:divBdr>
                        <w:top w:val="none" w:sz="0" w:space="0" w:color="auto"/>
                        <w:left w:val="none" w:sz="0" w:space="0" w:color="auto"/>
                        <w:bottom w:val="none" w:sz="0" w:space="0" w:color="auto"/>
                        <w:right w:val="none" w:sz="0" w:space="0" w:color="auto"/>
                      </w:divBdr>
                      <w:divsChild>
                        <w:div w:id="294154050">
                          <w:marLeft w:val="0"/>
                          <w:marRight w:val="0"/>
                          <w:marTop w:val="0"/>
                          <w:marBottom w:val="0"/>
                          <w:divBdr>
                            <w:top w:val="none" w:sz="0" w:space="0" w:color="auto"/>
                            <w:left w:val="none" w:sz="0" w:space="0" w:color="auto"/>
                            <w:bottom w:val="none" w:sz="0" w:space="0" w:color="auto"/>
                            <w:right w:val="none" w:sz="0" w:space="0" w:color="auto"/>
                          </w:divBdr>
                        </w:div>
                      </w:divsChild>
                    </w:div>
                    <w:div w:id="294153994">
                      <w:marLeft w:val="0"/>
                      <w:marRight w:val="0"/>
                      <w:marTop w:val="0"/>
                      <w:marBottom w:val="0"/>
                      <w:divBdr>
                        <w:top w:val="none" w:sz="0" w:space="0" w:color="auto"/>
                        <w:left w:val="none" w:sz="0" w:space="0" w:color="auto"/>
                        <w:bottom w:val="none" w:sz="0" w:space="0" w:color="auto"/>
                        <w:right w:val="none" w:sz="0" w:space="0" w:color="auto"/>
                      </w:divBdr>
                    </w:div>
                    <w:div w:id="294154032">
                      <w:marLeft w:val="0"/>
                      <w:marRight w:val="0"/>
                      <w:marTop w:val="0"/>
                      <w:marBottom w:val="0"/>
                      <w:divBdr>
                        <w:top w:val="none" w:sz="0" w:space="0" w:color="auto"/>
                        <w:left w:val="none" w:sz="0" w:space="0" w:color="auto"/>
                        <w:bottom w:val="none" w:sz="0" w:space="0" w:color="auto"/>
                        <w:right w:val="none" w:sz="0" w:space="0" w:color="auto"/>
                      </w:divBdr>
                    </w:div>
                    <w:div w:id="294154106">
                      <w:marLeft w:val="0"/>
                      <w:marRight w:val="0"/>
                      <w:marTop w:val="0"/>
                      <w:marBottom w:val="0"/>
                      <w:divBdr>
                        <w:top w:val="none" w:sz="0" w:space="0" w:color="auto"/>
                        <w:left w:val="none" w:sz="0" w:space="0" w:color="auto"/>
                        <w:bottom w:val="none" w:sz="0" w:space="0" w:color="auto"/>
                        <w:right w:val="none" w:sz="0" w:space="0" w:color="auto"/>
                      </w:divBdr>
                      <w:divsChild>
                        <w:div w:id="294155172">
                          <w:marLeft w:val="0"/>
                          <w:marRight w:val="0"/>
                          <w:marTop w:val="0"/>
                          <w:marBottom w:val="0"/>
                          <w:divBdr>
                            <w:top w:val="none" w:sz="0" w:space="0" w:color="auto"/>
                            <w:left w:val="none" w:sz="0" w:space="0" w:color="auto"/>
                            <w:bottom w:val="none" w:sz="0" w:space="0" w:color="auto"/>
                            <w:right w:val="none" w:sz="0" w:space="0" w:color="auto"/>
                          </w:divBdr>
                        </w:div>
                      </w:divsChild>
                    </w:div>
                    <w:div w:id="294154135">
                      <w:marLeft w:val="0"/>
                      <w:marRight w:val="0"/>
                      <w:marTop w:val="0"/>
                      <w:marBottom w:val="0"/>
                      <w:divBdr>
                        <w:top w:val="none" w:sz="0" w:space="0" w:color="auto"/>
                        <w:left w:val="none" w:sz="0" w:space="0" w:color="auto"/>
                        <w:bottom w:val="none" w:sz="0" w:space="0" w:color="auto"/>
                        <w:right w:val="none" w:sz="0" w:space="0" w:color="auto"/>
                      </w:divBdr>
                    </w:div>
                    <w:div w:id="294154352">
                      <w:marLeft w:val="0"/>
                      <w:marRight w:val="0"/>
                      <w:marTop w:val="0"/>
                      <w:marBottom w:val="0"/>
                      <w:divBdr>
                        <w:top w:val="none" w:sz="0" w:space="0" w:color="auto"/>
                        <w:left w:val="none" w:sz="0" w:space="0" w:color="auto"/>
                        <w:bottom w:val="none" w:sz="0" w:space="0" w:color="auto"/>
                        <w:right w:val="none" w:sz="0" w:space="0" w:color="auto"/>
                      </w:divBdr>
                    </w:div>
                    <w:div w:id="294154379">
                      <w:marLeft w:val="0"/>
                      <w:marRight w:val="0"/>
                      <w:marTop w:val="0"/>
                      <w:marBottom w:val="0"/>
                      <w:divBdr>
                        <w:top w:val="none" w:sz="0" w:space="0" w:color="auto"/>
                        <w:left w:val="none" w:sz="0" w:space="0" w:color="auto"/>
                        <w:bottom w:val="none" w:sz="0" w:space="0" w:color="auto"/>
                        <w:right w:val="none" w:sz="0" w:space="0" w:color="auto"/>
                      </w:divBdr>
                      <w:divsChild>
                        <w:div w:id="294150813">
                          <w:marLeft w:val="0"/>
                          <w:marRight w:val="0"/>
                          <w:marTop w:val="0"/>
                          <w:marBottom w:val="0"/>
                          <w:divBdr>
                            <w:top w:val="none" w:sz="0" w:space="0" w:color="auto"/>
                            <w:left w:val="none" w:sz="0" w:space="0" w:color="auto"/>
                            <w:bottom w:val="none" w:sz="0" w:space="0" w:color="auto"/>
                            <w:right w:val="none" w:sz="0" w:space="0" w:color="auto"/>
                          </w:divBdr>
                        </w:div>
                      </w:divsChild>
                    </w:div>
                    <w:div w:id="294154532">
                      <w:marLeft w:val="0"/>
                      <w:marRight w:val="0"/>
                      <w:marTop w:val="0"/>
                      <w:marBottom w:val="0"/>
                      <w:divBdr>
                        <w:top w:val="none" w:sz="0" w:space="0" w:color="auto"/>
                        <w:left w:val="none" w:sz="0" w:space="0" w:color="auto"/>
                        <w:bottom w:val="none" w:sz="0" w:space="0" w:color="auto"/>
                        <w:right w:val="none" w:sz="0" w:space="0" w:color="auto"/>
                      </w:divBdr>
                      <w:divsChild>
                        <w:div w:id="294140783">
                          <w:marLeft w:val="0"/>
                          <w:marRight w:val="0"/>
                          <w:marTop w:val="0"/>
                          <w:marBottom w:val="0"/>
                          <w:divBdr>
                            <w:top w:val="none" w:sz="0" w:space="0" w:color="auto"/>
                            <w:left w:val="none" w:sz="0" w:space="0" w:color="auto"/>
                            <w:bottom w:val="none" w:sz="0" w:space="0" w:color="auto"/>
                            <w:right w:val="none" w:sz="0" w:space="0" w:color="auto"/>
                          </w:divBdr>
                        </w:div>
                      </w:divsChild>
                    </w:div>
                    <w:div w:id="294154538">
                      <w:marLeft w:val="0"/>
                      <w:marRight w:val="0"/>
                      <w:marTop w:val="0"/>
                      <w:marBottom w:val="0"/>
                      <w:divBdr>
                        <w:top w:val="none" w:sz="0" w:space="0" w:color="auto"/>
                        <w:left w:val="none" w:sz="0" w:space="0" w:color="auto"/>
                        <w:bottom w:val="none" w:sz="0" w:space="0" w:color="auto"/>
                        <w:right w:val="none" w:sz="0" w:space="0" w:color="auto"/>
                      </w:divBdr>
                      <w:divsChild>
                        <w:div w:id="294140721">
                          <w:marLeft w:val="0"/>
                          <w:marRight w:val="0"/>
                          <w:marTop w:val="0"/>
                          <w:marBottom w:val="0"/>
                          <w:divBdr>
                            <w:top w:val="none" w:sz="0" w:space="0" w:color="auto"/>
                            <w:left w:val="none" w:sz="0" w:space="0" w:color="auto"/>
                            <w:bottom w:val="none" w:sz="0" w:space="0" w:color="auto"/>
                            <w:right w:val="none" w:sz="0" w:space="0" w:color="auto"/>
                          </w:divBdr>
                        </w:div>
                      </w:divsChild>
                    </w:div>
                    <w:div w:id="294154593">
                      <w:marLeft w:val="0"/>
                      <w:marRight w:val="0"/>
                      <w:marTop w:val="0"/>
                      <w:marBottom w:val="0"/>
                      <w:divBdr>
                        <w:top w:val="none" w:sz="0" w:space="0" w:color="auto"/>
                        <w:left w:val="none" w:sz="0" w:space="0" w:color="auto"/>
                        <w:bottom w:val="none" w:sz="0" w:space="0" w:color="auto"/>
                        <w:right w:val="none" w:sz="0" w:space="0" w:color="auto"/>
                      </w:divBdr>
                      <w:divsChild>
                        <w:div w:id="294152750">
                          <w:marLeft w:val="0"/>
                          <w:marRight w:val="0"/>
                          <w:marTop w:val="0"/>
                          <w:marBottom w:val="0"/>
                          <w:divBdr>
                            <w:top w:val="none" w:sz="0" w:space="0" w:color="auto"/>
                            <w:left w:val="none" w:sz="0" w:space="0" w:color="auto"/>
                            <w:bottom w:val="none" w:sz="0" w:space="0" w:color="auto"/>
                            <w:right w:val="none" w:sz="0" w:space="0" w:color="auto"/>
                          </w:divBdr>
                        </w:div>
                      </w:divsChild>
                    </w:div>
                    <w:div w:id="294154716">
                      <w:marLeft w:val="0"/>
                      <w:marRight w:val="0"/>
                      <w:marTop w:val="0"/>
                      <w:marBottom w:val="0"/>
                      <w:divBdr>
                        <w:top w:val="none" w:sz="0" w:space="0" w:color="auto"/>
                        <w:left w:val="none" w:sz="0" w:space="0" w:color="auto"/>
                        <w:bottom w:val="none" w:sz="0" w:space="0" w:color="auto"/>
                        <w:right w:val="none" w:sz="0" w:space="0" w:color="auto"/>
                      </w:divBdr>
                      <w:divsChild>
                        <w:div w:id="294143030">
                          <w:marLeft w:val="0"/>
                          <w:marRight w:val="0"/>
                          <w:marTop w:val="0"/>
                          <w:marBottom w:val="0"/>
                          <w:divBdr>
                            <w:top w:val="none" w:sz="0" w:space="0" w:color="auto"/>
                            <w:left w:val="none" w:sz="0" w:space="0" w:color="auto"/>
                            <w:bottom w:val="none" w:sz="0" w:space="0" w:color="auto"/>
                            <w:right w:val="none" w:sz="0" w:space="0" w:color="auto"/>
                          </w:divBdr>
                        </w:div>
                      </w:divsChild>
                    </w:div>
                    <w:div w:id="294154857">
                      <w:marLeft w:val="0"/>
                      <w:marRight w:val="0"/>
                      <w:marTop w:val="0"/>
                      <w:marBottom w:val="0"/>
                      <w:divBdr>
                        <w:top w:val="none" w:sz="0" w:space="0" w:color="auto"/>
                        <w:left w:val="none" w:sz="0" w:space="0" w:color="auto"/>
                        <w:bottom w:val="none" w:sz="0" w:space="0" w:color="auto"/>
                        <w:right w:val="none" w:sz="0" w:space="0" w:color="auto"/>
                      </w:divBdr>
                      <w:divsChild>
                        <w:div w:id="294147114">
                          <w:marLeft w:val="0"/>
                          <w:marRight w:val="0"/>
                          <w:marTop w:val="0"/>
                          <w:marBottom w:val="0"/>
                          <w:divBdr>
                            <w:top w:val="none" w:sz="0" w:space="0" w:color="auto"/>
                            <w:left w:val="none" w:sz="0" w:space="0" w:color="auto"/>
                            <w:bottom w:val="none" w:sz="0" w:space="0" w:color="auto"/>
                            <w:right w:val="none" w:sz="0" w:space="0" w:color="auto"/>
                          </w:divBdr>
                        </w:div>
                      </w:divsChild>
                    </w:div>
                    <w:div w:id="294154863">
                      <w:marLeft w:val="0"/>
                      <w:marRight w:val="0"/>
                      <w:marTop w:val="0"/>
                      <w:marBottom w:val="0"/>
                      <w:divBdr>
                        <w:top w:val="none" w:sz="0" w:space="0" w:color="auto"/>
                        <w:left w:val="none" w:sz="0" w:space="0" w:color="auto"/>
                        <w:bottom w:val="none" w:sz="0" w:space="0" w:color="auto"/>
                        <w:right w:val="none" w:sz="0" w:space="0" w:color="auto"/>
                      </w:divBdr>
                    </w:div>
                    <w:div w:id="294154883">
                      <w:marLeft w:val="0"/>
                      <w:marRight w:val="0"/>
                      <w:marTop w:val="0"/>
                      <w:marBottom w:val="0"/>
                      <w:divBdr>
                        <w:top w:val="none" w:sz="0" w:space="0" w:color="auto"/>
                        <w:left w:val="none" w:sz="0" w:space="0" w:color="auto"/>
                        <w:bottom w:val="none" w:sz="0" w:space="0" w:color="auto"/>
                        <w:right w:val="none" w:sz="0" w:space="0" w:color="auto"/>
                      </w:divBdr>
                      <w:divsChild>
                        <w:div w:id="294143767">
                          <w:marLeft w:val="0"/>
                          <w:marRight w:val="0"/>
                          <w:marTop w:val="0"/>
                          <w:marBottom w:val="0"/>
                          <w:divBdr>
                            <w:top w:val="none" w:sz="0" w:space="0" w:color="auto"/>
                            <w:left w:val="none" w:sz="0" w:space="0" w:color="auto"/>
                            <w:bottom w:val="none" w:sz="0" w:space="0" w:color="auto"/>
                            <w:right w:val="none" w:sz="0" w:space="0" w:color="auto"/>
                          </w:divBdr>
                        </w:div>
                      </w:divsChild>
                    </w:div>
                    <w:div w:id="294154931">
                      <w:marLeft w:val="0"/>
                      <w:marRight w:val="0"/>
                      <w:marTop w:val="0"/>
                      <w:marBottom w:val="0"/>
                      <w:divBdr>
                        <w:top w:val="none" w:sz="0" w:space="0" w:color="auto"/>
                        <w:left w:val="none" w:sz="0" w:space="0" w:color="auto"/>
                        <w:bottom w:val="none" w:sz="0" w:space="0" w:color="auto"/>
                        <w:right w:val="none" w:sz="0" w:space="0" w:color="auto"/>
                      </w:divBdr>
                    </w:div>
                    <w:div w:id="294154956">
                      <w:marLeft w:val="0"/>
                      <w:marRight w:val="0"/>
                      <w:marTop w:val="0"/>
                      <w:marBottom w:val="0"/>
                      <w:divBdr>
                        <w:top w:val="none" w:sz="0" w:space="0" w:color="auto"/>
                        <w:left w:val="none" w:sz="0" w:space="0" w:color="auto"/>
                        <w:bottom w:val="none" w:sz="0" w:space="0" w:color="auto"/>
                        <w:right w:val="none" w:sz="0" w:space="0" w:color="auto"/>
                      </w:divBdr>
                    </w:div>
                    <w:div w:id="294155061">
                      <w:marLeft w:val="0"/>
                      <w:marRight w:val="0"/>
                      <w:marTop w:val="0"/>
                      <w:marBottom w:val="0"/>
                      <w:divBdr>
                        <w:top w:val="none" w:sz="0" w:space="0" w:color="auto"/>
                        <w:left w:val="none" w:sz="0" w:space="0" w:color="auto"/>
                        <w:bottom w:val="none" w:sz="0" w:space="0" w:color="auto"/>
                        <w:right w:val="none" w:sz="0" w:space="0" w:color="auto"/>
                      </w:divBdr>
                      <w:divsChild>
                        <w:div w:id="294147745">
                          <w:marLeft w:val="0"/>
                          <w:marRight w:val="0"/>
                          <w:marTop w:val="0"/>
                          <w:marBottom w:val="0"/>
                          <w:divBdr>
                            <w:top w:val="none" w:sz="0" w:space="0" w:color="auto"/>
                            <w:left w:val="none" w:sz="0" w:space="0" w:color="auto"/>
                            <w:bottom w:val="none" w:sz="0" w:space="0" w:color="auto"/>
                            <w:right w:val="none" w:sz="0" w:space="0" w:color="auto"/>
                          </w:divBdr>
                        </w:div>
                      </w:divsChild>
                    </w:div>
                    <w:div w:id="294155142">
                      <w:marLeft w:val="0"/>
                      <w:marRight w:val="0"/>
                      <w:marTop w:val="0"/>
                      <w:marBottom w:val="0"/>
                      <w:divBdr>
                        <w:top w:val="none" w:sz="0" w:space="0" w:color="auto"/>
                        <w:left w:val="none" w:sz="0" w:space="0" w:color="auto"/>
                        <w:bottom w:val="none" w:sz="0" w:space="0" w:color="auto"/>
                        <w:right w:val="none" w:sz="0" w:space="0" w:color="auto"/>
                      </w:divBdr>
                      <w:divsChild>
                        <w:div w:id="294148990">
                          <w:marLeft w:val="0"/>
                          <w:marRight w:val="0"/>
                          <w:marTop w:val="0"/>
                          <w:marBottom w:val="0"/>
                          <w:divBdr>
                            <w:top w:val="none" w:sz="0" w:space="0" w:color="auto"/>
                            <w:left w:val="none" w:sz="0" w:space="0" w:color="auto"/>
                            <w:bottom w:val="none" w:sz="0" w:space="0" w:color="auto"/>
                            <w:right w:val="none" w:sz="0" w:space="0" w:color="auto"/>
                          </w:divBdr>
                        </w:div>
                      </w:divsChild>
                    </w:div>
                    <w:div w:id="294155159">
                      <w:marLeft w:val="0"/>
                      <w:marRight w:val="0"/>
                      <w:marTop w:val="0"/>
                      <w:marBottom w:val="0"/>
                      <w:divBdr>
                        <w:top w:val="none" w:sz="0" w:space="0" w:color="auto"/>
                        <w:left w:val="none" w:sz="0" w:space="0" w:color="auto"/>
                        <w:bottom w:val="none" w:sz="0" w:space="0" w:color="auto"/>
                        <w:right w:val="none" w:sz="0" w:space="0" w:color="auto"/>
                      </w:divBdr>
                      <w:divsChild>
                        <w:div w:id="294146571">
                          <w:marLeft w:val="0"/>
                          <w:marRight w:val="0"/>
                          <w:marTop w:val="0"/>
                          <w:marBottom w:val="0"/>
                          <w:divBdr>
                            <w:top w:val="none" w:sz="0" w:space="0" w:color="auto"/>
                            <w:left w:val="none" w:sz="0" w:space="0" w:color="auto"/>
                            <w:bottom w:val="none" w:sz="0" w:space="0" w:color="auto"/>
                            <w:right w:val="none" w:sz="0" w:space="0" w:color="auto"/>
                          </w:divBdr>
                        </w:div>
                      </w:divsChild>
                    </w:div>
                    <w:div w:id="294155194">
                      <w:marLeft w:val="0"/>
                      <w:marRight w:val="0"/>
                      <w:marTop w:val="0"/>
                      <w:marBottom w:val="0"/>
                      <w:divBdr>
                        <w:top w:val="none" w:sz="0" w:space="0" w:color="auto"/>
                        <w:left w:val="none" w:sz="0" w:space="0" w:color="auto"/>
                        <w:bottom w:val="none" w:sz="0" w:space="0" w:color="auto"/>
                        <w:right w:val="none" w:sz="0" w:space="0" w:color="auto"/>
                      </w:divBdr>
                    </w:div>
                    <w:div w:id="294155252">
                      <w:marLeft w:val="0"/>
                      <w:marRight w:val="0"/>
                      <w:marTop w:val="0"/>
                      <w:marBottom w:val="0"/>
                      <w:divBdr>
                        <w:top w:val="none" w:sz="0" w:space="0" w:color="auto"/>
                        <w:left w:val="none" w:sz="0" w:space="0" w:color="auto"/>
                        <w:bottom w:val="none" w:sz="0" w:space="0" w:color="auto"/>
                        <w:right w:val="none" w:sz="0" w:space="0" w:color="auto"/>
                      </w:divBdr>
                    </w:div>
                    <w:div w:id="294155286">
                      <w:marLeft w:val="0"/>
                      <w:marRight w:val="0"/>
                      <w:marTop w:val="0"/>
                      <w:marBottom w:val="0"/>
                      <w:divBdr>
                        <w:top w:val="none" w:sz="0" w:space="0" w:color="auto"/>
                        <w:left w:val="none" w:sz="0" w:space="0" w:color="auto"/>
                        <w:bottom w:val="none" w:sz="0" w:space="0" w:color="auto"/>
                        <w:right w:val="none" w:sz="0" w:space="0" w:color="auto"/>
                      </w:divBdr>
                    </w:div>
                    <w:div w:id="294155289">
                      <w:marLeft w:val="0"/>
                      <w:marRight w:val="0"/>
                      <w:marTop w:val="0"/>
                      <w:marBottom w:val="0"/>
                      <w:divBdr>
                        <w:top w:val="none" w:sz="0" w:space="0" w:color="auto"/>
                        <w:left w:val="none" w:sz="0" w:space="0" w:color="auto"/>
                        <w:bottom w:val="none" w:sz="0" w:space="0" w:color="auto"/>
                        <w:right w:val="none" w:sz="0" w:space="0" w:color="auto"/>
                      </w:divBdr>
                      <w:divsChild>
                        <w:div w:id="294144193">
                          <w:marLeft w:val="0"/>
                          <w:marRight w:val="0"/>
                          <w:marTop w:val="0"/>
                          <w:marBottom w:val="0"/>
                          <w:divBdr>
                            <w:top w:val="none" w:sz="0" w:space="0" w:color="auto"/>
                            <w:left w:val="none" w:sz="0" w:space="0" w:color="auto"/>
                            <w:bottom w:val="none" w:sz="0" w:space="0" w:color="auto"/>
                            <w:right w:val="none" w:sz="0" w:space="0" w:color="auto"/>
                          </w:divBdr>
                        </w:div>
                      </w:divsChild>
                    </w:div>
                    <w:div w:id="294155331">
                      <w:marLeft w:val="0"/>
                      <w:marRight w:val="0"/>
                      <w:marTop w:val="0"/>
                      <w:marBottom w:val="0"/>
                      <w:divBdr>
                        <w:top w:val="none" w:sz="0" w:space="0" w:color="auto"/>
                        <w:left w:val="none" w:sz="0" w:space="0" w:color="auto"/>
                        <w:bottom w:val="none" w:sz="0" w:space="0" w:color="auto"/>
                        <w:right w:val="none" w:sz="0" w:space="0" w:color="auto"/>
                      </w:divBdr>
                    </w:div>
                    <w:div w:id="294155423">
                      <w:marLeft w:val="0"/>
                      <w:marRight w:val="0"/>
                      <w:marTop w:val="0"/>
                      <w:marBottom w:val="0"/>
                      <w:divBdr>
                        <w:top w:val="none" w:sz="0" w:space="0" w:color="auto"/>
                        <w:left w:val="none" w:sz="0" w:space="0" w:color="auto"/>
                        <w:bottom w:val="none" w:sz="0" w:space="0" w:color="auto"/>
                        <w:right w:val="none" w:sz="0" w:space="0" w:color="auto"/>
                      </w:divBdr>
                      <w:divsChild>
                        <w:div w:id="294149952">
                          <w:marLeft w:val="0"/>
                          <w:marRight w:val="0"/>
                          <w:marTop w:val="0"/>
                          <w:marBottom w:val="0"/>
                          <w:divBdr>
                            <w:top w:val="none" w:sz="0" w:space="0" w:color="auto"/>
                            <w:left w:val="none" w:sz="0" w:space="0" w:color="auto"/>
                            <w:bottom w:val="none" w:sz="0" w:space="0" w:color="auto"/>
                            <w:right w:val="none" w:sz="0" w:space="0" w:color="auto"/>
                          </w:divBdr>
                        </w:div>
                      </w:divsChild>
                    </w:div>
                    <w:div w:id="294155518">
                      <w:marLeft w:val="0"/>
                      <w:marRight w:val="0"/>
                      <w:marTop w:val="0"/>
                      <w:marBottom w:val="0"/>
                      <w:divBdr>
                        <w:top w:val="none" w:sz="0" w:space="0" w:color="auto"/>
                        <w:left w:val="none" w:sz="0" w:space="0" w:color="auto"/>
                        <w:bottom w:val="none" w:sz="0" w:space="0" w:color="auto"/>
                        <w:right w:val="none" w:sz="0" w:space="0" w:color="auto"/>
                      </w:divBdr>
                      <w:divsChild>
                        <w:div w:id="294145802">
                          <w:marLeft w:val="0"/>
                          <w:marRight w:val="0"/>
                          <w:marTop w:val="0"/>
                          <w:marBottom w:val="0"/>
                          <w:divBdr>
                            <w:top w:val="none" w:sz="0" w:space="0" w:color="auto"/>
                            <w:left w:val="none" w:sz="0" w:space="0" w:color="auto"/>
                            <w:bottom w:val="none" w:sz="0" w:space="0" w:color="auto"/>
                            <w:right w:val="none" w:sz="0" w:space="0" w:color="auto"/>
                          </w:divBdr>
                        </w:div>
                      </w:divsChild>
                    </w:div>
                    <w:div w:id="294155575">
                      <w:marLeft w:val="0"/>
                      <w:marRight w:val="0"/>
                      <w:marTop w:val="0"/>
                      <w:marBottom w:val="0"/>
                      <w:divBdr>
                        <w:top w:val="none" w:sz="0" w:space="0" w:color="auto"/>
                        <w:left w:val="none" w:sz="0" w:space="0" w:color="auto"/>
                        <w:bottom w:val="none" w:sz="0" w:space="0" w:color="auto"/>
                        <w:right w:val="none" w:sz="0" w:space="0" w:color="auto"/>
                      </w:divBdr>
                      <w:divsChild>
                        <w:div w:id="294145335">
                          <w:marLeft w:val="0"/>
                          <w:marRight w:val="0"/>
                          <w:marTop w:val="0"/>
                          <w:marBottom w:val="0"/>
                          <w:divBdr>
                            <w:top w:val="none" w:sz="0" w:space="0" w:color="auto"/>
                            <w:left w:val="none" w:sz="0" w:space="0" w:color="auto"/>
                            <w:bottom w:val="none" w:sz="0" w:space="0" w:color="auto"/>
                            <w:right w:val="none" w:sz="0" w:space="0" w:color="auto"/>
                          </w:divBdr>
                        </w:div>
                      </w:divsChild>
                    </w:div>
                    <w:div w:id="294155619">
                      <w:marLeft w:val="0"/>
                      <w:marRight w:val="0"/>
                      <w:marTop w:val="0"/>
                      <w:marBottom w:val="0"/>
                      <w:divBdr>
                        <w:top w:val="none" w:sz="0" w:space="0" w:color="auto"/>
                        <w:left w:val="none" w:sz="0" w:space="0" w:color="auto"/>
                        <w:bottom w:val="none" w:sz="0" w:space="0" w:color="auto"/>
                        <w:right w:val="none" w:sz="0" w:space="0" w:color="auto"/>
                      </w:divBdr>
                      <w:divsChild>
                        <w:div w:id="294142986">
                          <w:marLeft w:val="0"/>
                          <w:marRight w:val="0"/>
                          <w:marTop w:val="0"/>
                          <w:marBottom w:val="0"/>
                          <w:divBdr>
                            <w:top w:val="none" w:sz="0" w:space="0" w:color="auto"/>
                            <w:left w:val="none" w:sz="0" w:space="0" w:color="auto"/>
                            <w:bottom w:val="none" w:sz="0" w:space="0" w:color="auto"/>
                            <w:right w:val="none" w:sz="0" w:space="0" w:color="auto"/>
                          </w:divBdr>
                        </w:div>
                      </w:divsChild>
                    </w:div>
                    <w:div w:id="294156082">
                      <w:marLeft w:val="0"/>
                      <w:marRight w:val="0"/>
                      <w:marTop w:val="0"/>
                      <w:marBottom w:val="0"/>
                      <w:divBdr>
                        <w:top w:val="none" w:sz="0" w:space="0" w:color="auto"/>
                        <w:left w:val="none" w:sz="0" w:space="0" w:color="auto"/>
                        <w:bottom w:val="none" w:sz="0" w:space="0" w:color="auto"/>
                        <w:right w:val="none" w:sz="0" w:space="0" w:color="auto"/>
                      </w:divBdr>
                    </w:div>
                    <w:div w:id="294156226">
                      <w:marLeft w:val="0"/>
                      <w:marRight w:val="0"/>
                      <w:marTop w:val="0"/>
                      <w:marBottom w:val="0"/>
                      <w:divBdr>
                        <w:top w:val="none" w:sz="0" w:space="0" w:color="auto"/>
                        <w:left w:val="none" w:sz="0" w:space="0" w:color="auto"/>
                        <w:bottom w:val="none" w:sz="0" w:space="0" w:color="auto"/>
                        <w:right w:val="none" w:sz="0" w:space="0" w:color="auto"/>
                      </w:divBdr>
                      <w:divsChild>
                        <w:div w:id="294153604">
                          <w:marLeft w:val="0"/>
                          <w:marRight w:val="0"/>
                          <w:marTop w:val="0"/>
                          <w:marBottom w:val="0"/>
                          <w:divBdr>
                            <w:top w:val="none" w:sz="0" w:space="0" w:color="auto"/>
                            <w:left w:val="none" w:sz="0" w:space="0" w:color="auto"/>
                            <w:bottom w:val="none" w:sz="0" w:space="0" w:color="auto"/>
                            <w:right w:val="none" w:sz="0" w:space="0" w:color="auto"/>
                          </w:divBdr>
                        </w:div>
                      </w:divsChild>
                    </w:div>
                    <w:div w:id="294156304">
                      <w:marLeft w:val="0"/>
                      <w:marRight w:val="0"/>
                      <w:marTop w:val="0"/>
                      <w:marBottom w:val="0"/>
                      <w:divBdr>
                        <w:top w:val="none" w:sz="0" w:space="0" w:color="auto"/>
                        <w:left w:val="none" w:sz="0" w:space="0" w:color="auto"/>
                        <w:bottom w:val="none" w:sz="0" w:space="0" w:color="auto"/>
                        <w:right w:val="none" w:sz="0" w:space="0" w:color="auto"/>
                      </w:divBdr>
                      <w:divsChild>
                        <w:div w:id="294140153">
                          <w:marLeft w:val="0"/>
                          <w:marRight w:val="0"/>
                          <w:marTop w:val="0"/>
                          <w:marBottom w:val="0"/>
                          <w:divBdr>
                            <w:top w:val="none" w:sz="0" w:space="0" w:color="auto"/>
                            <w:left w:val="none" w:sz="0" w:space="0" w:color="auto"/>
                            <w:bottom w:val="none" w:sz="0" w:space="0" w:color="auto"/>
                            <w:right w:val="none" w:sz="0" w:space="0" w:color="auto"/>
                          </w:divBdr>
                        </w:div>
                      </w:divsChild>
                    </w:div>
                    <w:div w:id="294156453">
                      <w:marLeft w:val="0"/>
                      <w:marRight w:val="0"/>
                      <w:marTop w:val="0"/>
                      <w:marBottom w:val="0"/>
                      <w:divBdr>
                        <w:top w:val="none" w:sz="0" w:space="0" w:color="auto"/>
                        <w:left w:val="none" w:sz="0" w:space="0" w:color="auto"/>
                        <w:bottom w:val="none" w:sz="0" w:space="0" w:color="auto"/>
                        <w:right w:val="none" w:sz="0" w:space="0" w:color="auto"/>
                      </w:divBdr>
                      <w:divsChild>
                        <w:div w:id="294142304">
                          <w:marLeft w:val="0"/>
                          <w:marRight w:val="0"/>
                          <w:marTop w:val="0"/>
                          <w:marBottom w:val="0"/>
                          <w:divBdr>
                            <w:top w:val="none" w:sz="0" w:space="0" w:color="auto"/>
                            <w:left w:val="none" w:sz="0" w:space="0" w:color="auto"/>
                            <w:bottom w:val="none" w:sz="0" w:space="0" w:color="auto"/>
                            <w:right w:val="none" w:sz="0" w:space="0" w:color="auto"/>
                          </w:divBdr>
                        </w:div>
                      </w:divsChild>
                    </w:div>
                    <w:div w:id="294156543">
                      <w:marLeft w:val="0"/>
                      <w:marRight w:val="0"/>
                      <w:marTop w:val="0"/>
                      <w:marBottom w:val="0"/>
                      <w:divBdr>
                        <w:top w:val="none" w:sz="0" w:space="0" w:color="auto"/>
                        <w:left w:val="none" w:sz="0" w:space="0" w:color="auto"/>
                        <w:bottom w:val="none" w:sz="0" w:space="0" w:color="auto"/>
                        <w:right w:val="none" w:sz="0" w:space="0" w:color="auto"/>
                      </w:divBdr>
                      <w:divsChild>
                        <w:div w:id="294138651">
                          <w:marLeft w:val="0"/>
                          <w:marRight w:val="0"/>
                          <w:marTop w:val="0"/>
                          <w:marBottom w:val="0"/>
                          <w:divBdr>
                            <w:top w:val="none" w:sz="0" w:space="0" w:color="auto"/>
                            <w:left w:val="none" w:sz="0" w:space="0" w:color="auto"/>
                            <w:bottom w:val="none" w:sz="0" w:space="0" w:color="auto"/>
                            <w:right w:val="none" w:sz="0" w:space="0" w:color="auto"/>
                          </w:divBdr>
                        </w:div>
                      </w:divsChild>
                    </w:div>
                    <w:div w:id="294156575">
                      <w:marLeft w:val="0"/>
                      <w:marRight w:val="0"/>
                      <w:marTop w:val="0"/>
                      <w:marBottom w:val="0"/>
                      <w:divBdr>
                        <w:top w:val="none" w:sz="0" w:space="0" w:color="auto"/>
                        <w:left w:val="none" w:sz="0" w:space="0" w:color="auto"/>
                        <w:bottom w:val="none" w:sz="0" w:space="0" w:color="auto"/>
                        <w:right w:val="none" w:sz="0" w:space="0" w:color="auto"/>
                      </w:divBdr>
                    </w:div>
                    <w:div w:id="294156635">
                      <w:marLeft w:val="0"/>
                      <w:marRight w:val="0"/>
                      <w:marTop w:val="0"/>
                      <w:marBottom w:val="0"/>
                      <w:divBdr>
                        <w:top w:val="none" w:sz="0" w:space="0" w:color="auto"/>
                        <w:left w:val="none" w:sz="0" w:space="0" w:color="auto"/>
                        <w:bottom w:val="none" w:sz="0" w:space="0" w:color="auto"/>
                        <w:right w:val="none" w:sz="0" w:space="0" w:color="auto"/>
                      </w:divBdr>
                    </w:div>
                    <w:div w:id="294156780">
                      <w:marLeft w:val="0"/>
                      <w:marRight w:val="0"/>
                      <w:marTop w:val="0"/>
                      <w:marBottom w:val="0"/>
                      <w:divBdr>
                        <w:top w:val="none" w:sz="0" w:space="0" w:color="auto"/>
                        <w:left w:val="none" w:sz="0" w:space="0" w:color="auto"/>
                        <w:bottom w:val="none" w:sz="0" w:space="0" w:color="auto"/>
                        <w:right w:val="none" w:sz="0" w:space="0" w:color="auto"/>
                      </w:divBdr>
                    </w:div>
                    <w:div w:id="294156844">
                      <w:marLeft w:val="0"/>
                      <w:marRight w:val="0"/>
                      <w:marTop w:val="0"/>
                      <w:marBottom w:val="0"/>
                      <w:divBdr>
                        <w:top w:val="none" w:sz="0" w:space="0" w:color="auto"/>
                        <w:left w:val="none" w:sz="0" w:space="0" w:color="auto"/>
                        <w:bottom w:val="none" w:sz="0" w:space="0" w:color="auto"/>
                        <w:right w:val="none" w:sz="0" w:space="0" w:color="auto"/>
                      </w:divBdr>
                      <w:divsChild>
                        <w:div w:id="294143826">
                          <w:marLeft w:val="0"/>
                          <w:marRight w:val="0"/>
                          <w:marTop w:val="0"/>
                          <w:marBottom w:val="0"/>
                          <w:divBdr>
                            <w:top w:val="none" w:sz="0" w:space="0" w:color="auto"/>
                            <w:left w:val="none" w:sz="0" w:space="0" w:color="auto"/>
                            <w:bottom w:val="none" w:sz="0" w:space="0" w:color="auto"/>
                            <w:right w:val="none" w:sz="0" w:space="0" w:color="auto"/>
                          </w:divBdr>
                        </w:div>
                      </w:divsChild>
                    </w:div>
                    <w:div w:id="294156856">
                      <w:marLeft w:val="0"/>
                      <w:marRight w:val="0"/>
                      <w:marTop w:val="0"/>
                      <w:marBottom w:val="0"/>
                      <w:divBdr>
                        <w:top w:val="none" w:sz="0" w:space="0" w:color="auto"/>
                        <w:left w:val="none" w:sz="0" w:space="0" w:color="auto"/>
                        <w:bottom w:val="none" w:sz="0" w:space="0" w:color="auto"/>
                        <w:right w:val="none" w:sz="0" w:space="0" w:color="auto"/>
                      </w:divBdr>
                    </w:div>
                    <w:div w:id="294156939">
                      <w:marLeft w:val="0"/>
                      <w:marRight w:val="0"/>
                      <w:marTop w:val="0"/>
                      <w:marBottom w:val="0"/>
                      <w:divBdr>
                        <w:top w:val="none" w:sz="0" w:space="0" w:color="auto"/>
                        <w:left w:val="none" w:sz="0" w:space="0" w:color="auto"/>
                        <w:bottom w:val="none" w:sz="0" w:space="0" w:color="auto"/>
                        <w:right w:val="none" w:sz="0" w:space="0" w:color="auto"/>
                      </w:divBdr>
                    </w:div>
                    <w:div w:id="294156976">
                      <w:marLeft w:val="0"/>
                      <w:marRight w:val="0"/>
                      <w:marTop w:val="0"/>
                      <w:marBottom w:val="0"/>
                      <w:divBdr>
                        <w:top w:val="none" w:sz="0" w:space="0" w:color="auto"/>
                        <w:left w:val="none" w:sz="0" w:space="0" w:color="auto"/>
                        <w:bottom w:val="none" w:sz="0" w:space="0" w:color="auto"/>
                        <w:right w:val="none" w:sz="0" w:space="0" w:color="auto"/>
                      </w:divBdr>
                      <w:divsChild>
                        <w:div w:id="294138547">
                          <w:marLeft w:val="0"/>
                          <w:marRight w:val="0"/>
                          <w:marTop w:val="0"/>
                          <w:marBottom w:val="0"/>
                          <w:divBdr>
                            <w:top w:val="none" w:sz="0" w:space="0" w:color="auto"/>
                            <w:left w:val="none" w:sz="0" w:space="0" w:color="auto"/>
                            <w:bottom w:val="none" w:sz="0" w:space="0" w:color="auto"/>
                            <w:right w:val="none" w:sz="0" w:space="0" w:color="auto"/>
                          </w:divBdr>
                        </w:div>
                      </w:divsChild>
                    </w:div>
                    <w:div w:id="294157145">
                      <w:marLeft w:val="0"/>
                      <w:marRight w:val="0"/>
                      <w:marTop w:val="0"/>
                      <w:marBottom w:val="0"/>
                      <w:divBdr>
                        <w:top w:val="none" w:sz="0" w:space="0" w:color="auto"/>
                        <w:left w:val="none" w:sz="0" w:space="0" w:color="auto"/>
                        <w:bottom w:val="none" w:sz="0" w:space="0" w:color="auto"/>
                        <w:right w:val="none" w:sz="0" w:space="0" w:color="auto"/>
                      </w:divBdr>
                      <w:divsChild>
                        <w:div w:id="294141762">
                          <w:marLeft w:val="0"/>
                          <w:marRight w:val="0"/>
                          <w:marTop w:val="0"/>
                          <w:marBottom w:val="0"/>
                          <w:divBdr>
                            <w:top w:val="none" w:sz="0" w:space="0" w:color="auto"/>
                            <w:left w:val="none" w:sz="0" w:space="0" w:color="auto"/>
                            <w:bottom w:val="none" w:sz="0" w:space="0" w:color="auto"/>
                            <w:right w:val="none" w:sz="0" w:space="0" w:color="auto"/>
                          </w:divBdr>
                        </w:div>
                      </w:divsChild>
                    </w:div>
                    <w:div w:id="294157278">
                      <w:marLeft w:val="0"/>
                      <w:marRight w:val="0"/>
                      <w:marTop w:val="0"/>
                      <w:marBottom w:val="0"/>
                      <w:divBdr>
                        <w:top w:val="none" w:sz="0" w:space="0" w:color="auto"/>
                        <w:left w:val="none" w:sz="0" w:space="0" w:color="auto"/>
                        <w:bottom w:val="none" w:sz="0" w:space="0" w:color="auto"/>
                        <w:right w:val="none" w:sz="0" w:space="0" w:color="auto"/>
                      </w:divBdr>
                      <w:divsChild>
                        <w:div w:id="294145358">
                          <w:marLeft w:val="0"/>
                          <w:marRight w:val="0"/>
                          <w:marTop w:val="0"/>
                          <w:marBottom w:val="0"/>
                          <w:divBdr>
                            <w:top w:val="none" w:sz="0" w:space="0" w:color="auto"/>
                            <w:left w:val="none" w:sz="0" w:space="0" w:color="auto"/>
                            <w:bottom w:val="none" w:sz="0" w:space="0" w:color="auto"/>
                            <w:right w:val="none" w:sz="0" w:space="0" w:color="auto"/>
                          </w:divBdr>
                        </w:div>
                      </w:divsChild>
                    </w:div>
                    <w:div w:id="29415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51724">
      <w:marLeft w:val="0"/>
      <w:marRight w:val="0"/>
      <w:marTop w:val="0"/>
      <w:marBottom w:val="0"/>
      <w:divBdr>
        <w:top w:val="none" w:sz="0" w:space="0" w:color="auto"/>
        <w:left w:val="none" w:sz="0" w:space="0" w:color="auto"/>
        <w:bottom w:val="none" w:sz="0" w:space="0" w:color="auto"/>
        <w:right w:val="none" w:sz="0" w:space="0" w:color="auto"/>
      </w:divBdr>
      <w:divsChild>
        <w:div w:id="294144307">
          <w:marLeft w:val="0"/>
          <w:marRight w:val="0"/>
          <w:marTop w:val="0"/>
          <w:marBottom w:val="0"/>
          <w:divBdr>
            <w:top w:val="none" w:sz="0" w:space="0" w:color="auto"/>
            <w:left w:val="none" w:sz="0" w:space="0" w:color="auto"/>
            <w:bottom w:val="none" w:sz="0" w:space="0" w:color="auto"/>
            <w:right w:val="none" w:sz="0" w:space="0" w:color="auto"/>
          </w:divBdr>
          <w:divsChild>
            <w:div w:id="294140409">
              <w:marLeft w:val="0"/>
              <w:marRight w:val="0"/>
              <w:marTop w:val="0"/>
              <w:marBottom w:val="0"/>
              <w:divBdr>
                <w:top w:val="none" w:sz="0" w:space="0" w:color="auto"/>
                <w:left w:val="none" w:sz="0" w:space="0" w:color="auto"/>
                <w:bottom w:val="none" w:sz="0" w:space="0" w:color="auto"/>
                <w:right w:val="none" w:sz="0" w:space="0" w:color="auto"/>
              </w:divBdr>
              <w:divsChild>
                <w:div w:id="294149946">
                  <w:marLeft w:val="0"/>
                  <w:marRight w:val="0"/>
                  <w:marTop w:val="0"/>
                  <w:marBottom w:val="0"/>
                  <w:divBdr>
                    <w:top w:val="none" w:sz="0" w:space="0" w:color="auto"/>
                    <w:left w:val="none" w:sz="0" w:space="0" w:color="auto"/>
                    <w:bottom w:val="none" w:sz="0" w:space="0" w:color="auto"/>
                    <w:right w:val="none" w:sz="0" w:space="0" w:color="auto"/>
                  </w:divBdr>
                  <w:divsChild>
                    <w:div w:id="294138003">
                      <w:marLeft w:val="0"/>
                      <w:marRight w:val="0"/>
                      <w:marTop w:val="0"/>
                      <w:marBottom w:val="0"/>
                      <w:divBdr>
                        <w:top w:val="none" w:sz="0" w:space="0" w:color="auto"/>
                        <w:left w:val="none" w:sz="0" w:space="0" w:color="auto"/>
                        <w:bottom w:val="none" w:sz="0" w:space="0" w:color="auto"/>
                        <w:right w:val="none" w:sz="0" w:space="0" w:color="auto"/>
                      </w:divBdr>
                    </w:div>
                    <w:div w:id="294139240">
                      <w:marLeft w:val="0"/>
                      <w:marRight w:val="0"/>
                      <w:marTop w:val="0"/>
                      <w:marBottom w:val="0"/>
                      <w:divBdr>
                        <w:top w:val="none" w:sz="0" w:space="0" w:color="auto"/>
                        <w:left w:val="none" w:sz="0" w:space="0" w:color="auto"/>
                        <w:bottom w:val="none" w:sz="0" w:space="0" w:color="auto"/>
                        <w:right w:val="none" w:sz="0" w:space="0" w:color="auto"/>
                      </w:divBdr>
                      <w:divsChild>
                        <w:div w:id="294139609">
                          <w:marLeft w:val="0"/>
                          <w:marRight w:val="0"/>
                          <w:marTop w:val="0"/>
                          <w:marBottom w:val="0"/>
                          <w:divBdr>
                            <w:top w:val="none" w:sz="0" w:space="0" w:color="auto"/>
                            <w:left w:val="none" w:sz="0" w:space="0" w:color="auto"/>
                            <w:bottom w:val="none" w:sz="0" w:space="0" w:color="auto"/>
                            <w:right w:val="none" w:sz="0" w:space="0" w:color="auto"/>
                          </w:divBdr>
                        </w:div>
                      </w:divsChild>
                    </w:div>
                    <w:div w:id="294139753">
                      <w:marLeft w:val="0"/>
                      <w:marRight w:val="0"/>
                      <w:marTop w:val="0"/>
                      <w:marBottom w:val="0"/>
                      <w:divBdr>
                        <w:top w:val="none" w:sz="0" w:space="0" w:color="auto"/>
                        <w:left w:val="none" w:sz="0" w:space="0" w:color="auto"/>
                        <w:bottom w:val="none" w:sz="0" w:space="0" w:color="auto"/>
                        <w:right w:val="none" w:sz="0" w:space="0" w:color="auto"/>
                      </w:divBdr>
                    </w:div>
                    <w:div w:id="294141154">
                      <w:marLeft w:val="0"/>
                      <w:marRight w:val="0"/>
                      <w:marTop w:val="0"/>
                      <w:marBottom w:val="0"/>
                      <w:divBdr>
                        <w:top w:val="none" w:sz="0" w:space="0" w:color="auto"/>
                        <w:left w:val="none" w:sz="0" w:space="0" w:color="auto"/>
                        <w:bottom w:val="none" w:sz="0" w:space="0" w:color="auto"/>
                        <w:right w:val="none" w:sz="0" w:space="0" w:color="auto"/>
                      </w:divBdr>
                    </w:div>
                    <w:div w:id="294141872">
                      <w:marLeft w:val="0"/>
                      <w:marRight w:val="0"/>
                      <w:marTop w:val="0"/>
                      <w:marBottom w:val="0"/>
                      <w:divBdr>
                        <w:top w:val="none" w:sz="0" w:space="0" w:color="auto"/>
                        <w:left w:val="none" w:sz="0" w:space="0" w:color="auto"/>
                        <w:bottom w:val="none" w:sz="0" w:space="0" w:color="auto"/>
                        <w:right w:val="none" w:sz="0" w:space="0" w:color="auto"/>
                      </w:divBdr>
                      <w:divsChild>
                        <w:div w:id="294140118">
                          <w:marLeft w:val="0"/>
                          <w:marRight w:val="0"/>
                          <w:marTop w:val="0"/>
                          <w:marBottom w:val="0"/>
                          <w:divBdr>
                            <w:top w:val="none" w:sz="0" w:space="0" w:color="auto"/>
                            <w:left w:val="none" w:sz="0" w:space="0" w:color="auto"/>
                            <w:bottom w:val="none" w:sz="0" w:space="0" w:color="auto"/>
                            <w:right w:val="none" w:sz="0" w:space="0" w:color="auto"/>
                          </w:divBdr>
                        </w:div>
                      </w:divsChild>
                    </w:div>
                    <w:div w:id="294143485">
                      <w:marLeft w:val="0"/>
                      <w:marRight w:val="0"/>
                      <w:marTop w:val="0"/>
                      <w:marBottom w:val="0"/>
                      <w:divBdr>
                        <w:top w:val="none" w:sz="0" w:space="0" w:color="auto"/>
                        <w:left w:val="none" w:sz="0" w:space="0" w:color="auto"/>
                        <w:bottom w:val="none" w:sz="0" w:space="0" w:color="auto"/>
                        <w:right w:val="none" w:sz="0" w:space="0" w:color="auto"/>
                      </w:divBdr>
                    </w:div>
                    <w:div w:id="294143869">
                      <w:marLeft w:val="0"/>
                      <w:marRight w:val="0"/>
                      <w:marTop w:val="0"/>
                      <w:marBottom w:val="0"/>
                      <w:divBdr>
                        <w:top w:val="none" w:sz="0" w:space="0" w:color="auto"/>
                        <w:left w:val="none" w:sz="0" w:space="0" w:color="auto"/>
                        <w:bottom w:val="none" w:sz="0" w:space="0" w:color="auto"/>
                        <w:right w:val="none" w:sz="0" w:space="0" w:color="auto"/>
                      </w:divBdr>
                      <w:divsChild>
                        <w:div w:id="294147504">
                          <w:marLeft w:val="0"/>
                          <w:marRight w:val="0"/>
                          <w:marTop w:val="0"/>
                          <w:marBottom w:val="0"/>
                          <w:divBdr>
                            <w:top w:val="none" w:sz="0" w:space="0" w:color="auto"/>
                            <w:left w:val="none" w:sz="0" w:space="0" w:color="auto"/>
                            <w:bottom w:val="none" w:sz="0" w:space="0" w:color="auto"/>
                            <w:right w:val="none" w:sz="0" w:space="0" w:color="auto"/>
                          </w:divBdr>
                        </w:div>
                      </w:divsChild>
                    </w:div>
                    <w:div w:id="294143987">
                      <w:marLeft w:val="0"/>
                      <w:marRight w:val="0"/>
                      <w:marTop w:val="0"/>
                      <w:marBottom w:val="0"/>
                      <w:divBdr>
                        <w:top w:val="none" w:sz="0" w:space="0" w:color="auto"/>
                        <w:left w:val="none" w:sz="0" w:space="0" w:color="auto"/>
                        <w:bottom w:val="none" w:sz="0" w:space="0" w:color="auto"/>
                        <w:right w:val="none" w:sz="0" w:space="0" w:color="auto"/>
                      </w:divBdr>
                    </w:div>
                    <w:div w:id="294144611">
                      <w:marLeft w:val="0"/>
                      <w:marRight w:val="0"/>
                      <w:marTop w:val="0"/>
                      <w:marBottom w:val="0"/>
                      <w:divBdr>
                        <w:top w:val="none" w:sz="0" w:space="0" w:color="auto"/>
                        <w:left w:val="none" w:sz="0" w:space="0" w:color="auto"/>
                        <w:bottom w:val="none" w:sz="0" w:space="0" w:color="auto"/>
                        <w:right w:val="none" w:sz="0" w:space="0" w:color="auto"/>
                      </w:divBdr>
                      <w:divsChild>
                        <w:div w:id="294139809">
                          <w:marLeft w:val="0"/>
                          <w:marRight w:val="0"/>
                          <w:marTop w:val="0"/>
                          <w:marBottom w:val="0"/>
                          <w:divBdr>
                            <w:top w:val="none" w:sz="0" w:space="0" w:color="auto"/>
                            <w:left w:val="none" w:sz="0" w:space="0" w:color="auto"/>
                            <w:bottom w:val="none" w:sz="0" w:space="0" w:color="auto"/>
                            <w:right w:val="none" w:sz="0" w:space="0" w:color="auto"/>
                          </w:divBdr>
                        </w:div>
                      </w:divsChild>
                    </w:div>
                    <w:div w:id="294145598">
                      <w:marLeft w:val="0"/>
                      <w:marRight w:val="0"/>
                      <w:marTop w:val="0"/>
                      <w:marBottom w:val="0"/>
                      <w:divBdr>
                        <w:top w:val="none" w:sz="0" w:space="0" w:color="auto"/>
                        <w:left w:val="none" w:sz="0" w:space="0" w:color="auto"/>
                        <w:bottom w:val="none" w:sz="0" w:space="0" w:color="auto"/>
                        <w:right w:val="none" w:sz="0" w:space="0" w:color="auto"/>
                      </w:divBdr>
                      <w:divsChild>
                        <w:div w:id="294151749">
                          <w:marLeft w:val="0"/>
                          <w:marRight w:val="0"/>
                          <w:marTop w:val="0"/>
                          <w:marBottom w:val="0"/>
                          <w:divBdr>
                            <w:top w:val="none" w:sz="0" w:space="0" w:color="auto"/>
                            <w:left w:val="none" w:sz="0" w:space="0" w:color="auto"/>
                            <w:bottom w:val="none" w:sz="0" w:space="0" w:color="auto"/>
                            <w:right w:val="none" w:sz="0" w:space="0" w:color="auto"/>
                          </w:divBdr>
                        </w:div>
                      </w:divsChild>
                    </w:div>
                    <w:div w:id="294145811">
                      <w:marLeft w:val="0"/>
                      <w:marRight w:val="0"/>
                      <w:marTop w:val="0"/>
                      <w:marBottom w:val="0"/>
                      <w:divBdr>
                        <w:top w:val="none" w:sz="0" w:space="0" w:color="auto"/>
                        <w:left w:val="none" w:sz="0" w:space="0" w:color="auto"/>
                        <w:bottom w:val="none" w:sz="0" w:space="0" w:color="auto"/>
                        <w:right w:val="none" w:sz="0" w:space="0" w:color="auto"/>
                      </w:divBdr>
                      <w:divsChild>
                        <w:div w:id="294146473">
                          <w:marLeft w:val="0"/>
                          <w:marRight w:val="0"/>
                          <w:marTop w:val="0"/>
                          <w:marBottom w:val="0"/>
                          <w:divBdr>
                            <w:top w:val="none" w:sz="0" w:space="0" w:color="auto"/>
                            <w:left w:val="none" w:sz="0" w:space="0" w:color="auto"/>
                            <w:bottom w:val="none" w:sz="0" w:space="0" w:color="auto"/>
                            <w:right w:val="none" w:sz="0" w:space="0" w:color="auto"/>
                          </w:divBdr>
                        </w:div>
                      </w:divsChild>
                    </w:div>
                    <w:div w:id="294146654">
                      <w:marLeft w:val="0"/>
                      <w:marRight w:val="0"/>
                      <w:marTop w:val="0"/>
                      <w:marBottom w:val="0"/>
                      <w:divBdr>
                        <w:top w:val="none" w:sz="0" w:space="0" w:color="auto"/>
                        <w:left w:val="none" w:sz="0" w:space="0" w:color="auto"/>
                        <w:bottom w:val="none" w:sz="0" w:space="0" w:color="auto"/>
                        <w:right w:val="none" w:sz="0" w:space="0" w:color="auto"/>
                      </w:divBdr>
                    </w:div>
                    <w:div w:id="294147163">
                      <w:marLeft w:val="0"/>
                      <w:marRight w:val="0"/>
                      <w:marTop w:val="0"/>
                      <w:marBottom w:val="0"/>
                      <w:divBdr>
                        <w:top w:val="none" w:sz="0" w:space="0" w:color="auto"/>
                        <w:left w:val="none" w:sz="0" w:space="0" w:color="auto"/>
                        <w:bottom w:val="none" w:sz="0" w:space="0" w:color="auto"/>
                        <w:right w:val="none" w:sz="0" w:space="0" w:color="auto"/>
                      </w:divBdr>
                      <w:divsChild>
                        <w:div w:id="294143536">
                          <w:marLeft w:val="0"/>
                          <w:marRight w:val="0"/>
                          <w:marTop w:val="0"/>
                          <w:marBottom w:val="0"/>
                          <w:divBdr>
                            <w:top w:val="none" w:sz="0" w:space="0" w:color="auto"/>
                            <w:left w:val="none" w:sz="0" w:space="0" w:color="auto"/>
                            <w:bottom w:val="none" w:sz="0" w:space="0" w:color="auto"/>
                            <w:right w:val="none" w:sz="0" w:space="0" w:color="auto"/>
                          </w:divBdr>
                        </w:div>
                      </w:divsChild>
                    </w:div>
                    <w:div w:id="294148142">
                      <w:marLeft w:val="0"/>
                      <w:marRight w:val="0"/>
                      <w:marTop w:val="0"/>
                      <w:marBottom w:val="0"/>
                      <w:divBdr>
                        <w:top w:val="none" w:sz="0" w:space="0" w:color="auto"/>
                        <w:left w:val="none" w:sz="0" w:space="0" w:color="auto"/>
                        <w:bottom w:val="none" w:sz="0" w:space="0" w:color="auto"/>
                        <w:right w:val="none" w:sz="0" w:space="0" w:color="auto"/>
                      </w:divBdr>
                      <w:divsChild>
                        <w:div w:id="294154975">
                          <w:marLeft w:val="0"/>
                          <w:marRight w:val="0"/>
                          <w:marTop w:val="0"/>
                          <w:marBottom w:val="0"/>
                          <w:divBdr>
                            <w:top w:val="none" w:sz="0" w:space="0" w:color="auto"/>
                            <w:left w:val="none" w:sz="0" w:space="0" w:color="auto"/>
                            <w:bottom w:val="none" w:sz="0" w:space="0" w:color="auto"/>
                            <w:right w:val="none" w:sz="0" w:space="0" w:color="auto"/>
                          </w:divBdr>
                        </w:div>
                      </w:divsChild>
                    </w:div>
                    <w:div w:id="294148312">
                      <w:marLeft w:val="0"/>
                      <w:marRight w:val="0"/>
                      <w:marTop w:val="0"/>
                      <w:marBottom w:val="0"/>
                      <w:divBdr>
                        <w:top w:val="none" w:sz="0" w:space="0" w:color="auto"/>
                        <w:left w:val="none" w:sz="0" w:space="0" w:color="auto"/>
                        <w:bottom w:val="none" w:sz="0" w:space="0" w:color="auto"/>
                        <w:right w:val="none" w:sz="0" w:space="0" w:color="auto"/>
                      </w:divBdr>
                    </w:div>
                    <w:div w:id="294149289">
                      <w:marLeft w:val="0"/>
                      <w:marRight w:val="0"/>
                      <w:marTop w:val="0"/>
                      <w:marBottom w:val="0"/>
                      <w:divBdr>
                        <w:top w:val="none" w:sz="0" w:space="0" w:color="auto"/>
                        <w:left w:val="none" w:sz="0" w:space="0" w:color="auto"/>
                        <w:bottom w:val="none" w:sz="0" w:space="0" w:color="auto"/>
                        <w:right w:val="none" w:sz="0" w:space="0" w:color="auto"/>
                      </w:divBdr>
                    </w:div>
                    <w:div w:id="294149855">
                      <w:marLeft w:val="0"/>
                      <w:marRight w:val="0"/>
                      <w:marTop w:val="0"/>
                      <w:marBottom w:val="0"/>
                      <w:divBdr>
                        <w:top w:val="none" w:sz="0" w:space="0" w:color="auto"/>
                        <w:left w:val="none" w:sz="0" w:space="0" w:color="auto"/>
                        <w:bottom w:val="none" w:sz="0" w:space="0" w:color="auto"/>
                        <w:right w:val="none" w:sz="0" w:space="0" w:color="auto"/>
                      </w:divBdr>
                      <w:divsChild>
                        <w:div w:id="294155579">
                          <w:marLeft w:val="0"/>
                          <w:marRight w:val="0"/>
                          <w:marTop w:val="0"/>
                          <w:marBottom w:val="0"/>
                          <w:divBdr>
                            <w:top w:val="none" w:sz="0" w:space="0" w:color="auto"/>
                            <w:left w:val="none" w:sz="0" w:space="0" w:color="auto"/>
                            <w:bottom w:val="none" w:sz="0" w:space="0" w:color="auto"/>
                            <w:right w:val="none" w:sz="0" w:space="0" w:color="auto"/>
                          </w:divBdr>
                        </w:div>
                      </w:divsChild>
                    </w:div>
                    <w:div w:id="294150695">
                      <w:marLeft w:val="0"/>
                      <w:marRight w:val="0"/>
                      <w:marTop w:val="0"/>
                      <w:marBottom w:val="0"/>
                      <w:divBdr>
                        <w:top w:val="none" w:sz="0" w:space="0" w:color="auto"/>
                        <w:left w:val="none" w:sz="0" w:space="0" w:color="auto"/>
                        <w:bottom w:val="none" w:sz="0" w:space="0" w:color="auto"/>
                        <w:right w:val="none" w:sz="0" w:space="0" w:color="auto"/>
                      </w:divBdr>
                    </w:div>
                    <w:div w:id="294150784">
                      <w:marLeft w:val="0"/>
                      <w:marRight w:val="0"/>
                      <w:marTop w:val="0"/>
                      <w:marBottom w:val="0"/>
                      <w:divBdr>
                        <w:top w:val="none" w:sz="0" w:space="0" w:color="auto"/>
                        <w:left w:val="none" w:sz="0" w:space="0" w:color="auto"/>
                        <w:bottom w:val="none" w:sz="0" w:space="0" w:color="auto"/>
                        <w:right w:val="none" w:sz="0" w:space="0" w:color="auto"/>
                      </w:divBdr>
                    </w:div>
                    <w:div w:id="294150835">
                      <w:marLeft w:val="0"/>
                      <w:marRight w:val="0"/>
                      <w:marTop w:val="0"/>
                      <w:marBottom w:val="0"/>
                      <w:divBdr>
                        <w:top w:val="none" w:sz="0" w:space="0" w:color="auto"/>
                        <w:left w:val="none" w:sz="0" w:space="0" w:color="auto"/>
                        <w:bottom w:val="none" w:sz="0" w:space="0" w:color="auto"/>
                        <w:right w:val="none" w:sz="0" w:space="0" w:color="auto"/>
                      </w:divBdr>
                      <w:divsChild>
                        <w:div w:id="294144662">
                          <w:marLeft w:val="0"/>
                          <w:marRight w:val="0"/>
                          <w:marTop w:val="0"/>
                          <w:marBottom w:val="0"/>
                          <w:divBdr>
                            <w:top w:val="none" w:sz="0" w:space="0" w:color="auto"/>
                            <w:left w:val="none" w:sz="0" w:space="0" w:color="auto"/>
                            <w:bottom w:val="none" w:sz="0" w:space="0" w:color="auto"/>
                            <w:right w:val="none" w:sz="0" w:space="0" w:color="auto"/>
                          </w:divBdr>
                        </w:div>
                      </w:divsChild>
                    </w:div>
                    <w:div w:id="294151111">
                      <w:marLeft w:val="0"/>
                      <w:marRight w:val="0"/>
                      <w:marTop w:val="0"/>
                      <w:marBottom w:val="0"/>
                      <w:divBdr>
                        <w:top w:val="none" w:sz="0" w:space="0" w:color="auto"/>
                        <w:left w:val="none" w:sz="0" w:space="0" w:color="auto"/>
                        <w:bottom w:val="none" w:sz="0" w:space="0" w:color="auto"/>
                        <w:right w:val="none" w:sz="0" w:space="0" w:color="auto"/>
                      </w:divBdr>
                      <w:divsChild>
                        <w:div w:id="294146771">
                          <w:marLeft w:val="0"/>
                          <w:marRight w:val="0"/>
                          <w:marTop w:val="0"/>
                          <w:marBottom w:val="0"/>
                          <w:divBdr>
                            <w:top w:val="none" w:sz="0" w:space="0" w:color="auto"/>
                            <w:left w:val="none" w:sz="0" w:space="0" w:color="auto"/>
                            <w:bottom w:val="none" w:sz="0" w:space="0" w:color="auto"/>
                            <w:right w:val="none" w:sz="0" w:space="0" w:color="auto"/>
                          </w:divBdr>
                        </w:div>
                      </w:divsChild>
                    </w:div>
                    <w:div w:id="294152097">
                      <w:marLeft w:val="0"/>
                      <w:marRight w:val="0"/>
                      <w:marTop w:val="0"/>
                      <w:marBottom w:val="0"/>
                      <w:divBdr>
                        <w:top w:val="none" w:sz="0" w:space="0" w:color="auto"/>
                        <w:left w:val="none" w:sz="0" w:space="0" w:color="auto"/>
                        <w:bottom w:val="none" w:sz="0" w:space="0" w:color="auto"/>
                        <w:right w:val="none" w:sz="0" w:space="0" w:color="auto"/>
                      </w:divBdr>
                      <w:divsChild>
                        <w:div w:id="294156681">
                          <w:marLeft w:val="0"/>
                          <w:marRight w:val="0"/>
                          <w:marTop w:val="0"/>
                          <w:marBottom w:val="0"/>
                          <w:divBdr>
                            <w:top w:val="none" w:sz="0" w:space="0" w:color="auto"/>
                            <w:left w:val="none" w:sz="0" w:space="0" w:color="auto"/>
                            <w:bottom w:val="none" w:sz="0" w:space="0" w:color="auto"/>
                            <w:right w:val="none" w:sz="0" w:space="0" w:color="auto"/>
                          </w:divBdr>
                        </w:div>
                      </w:divsChild>
                    </w:div>
                    <w:div w:id="294152483">
                      <w:marLeft w:val="0"/>
                      <w:marRight w:val="0"/>
                      <w:marTop w:val="0"/>
                      <w:marBottom w:val="0"/>
                      <w:divBdr>
                        <w:top w:val="none" w:sz="0" w:space="0" w:color="auto"/>
                        <w:left w:val="none" w:sz="0" w:space="0" w:color="auto"/>
                        <w:bottom w:val="none" w:sz="0" w:space="0" w:color="auto"/>
                        <w:right w:val="none" w:sz="0" w:space="0" w:color="auto"/>
                      </w:divBdr>
                    </w:div>
                    <w:div w:id="294154512">
                      <w:marLeft w:val="0"/>
                      <w:marRight w:val="0"/>
                      <w:marTop w:val="0"/>
                      <w:marBottom w:val="0"/>
                      <w:divBdr>
                        <w:top w:val="none" w:sz="0" w:space="0" w:color="auto"/>
                        <w:left w:val="none" w:sz="0" w:space="0" w:color="auto"/>
                        <w:bottom w:val="none" w:sz="0" w:space="0" w:color="auto"/>
                        <w:right w:val="none" w:sz="0" w:space="0" w:color="auto"/>
                      </w:divBdr>
                      <w:divsChild>
                        <w:div w:id="294151286">
                          <w:marLeft w:val="0"/>
                          <w:marRight w:val="0"/>
                          <w:marTop w:val="0"/>
                          <w:marBottom w:val="0"/>
                          <w:divBdr>
                            <w:top w:val="none" w:sz="0" w:space="0" w:color="auto"/>
                            <w:left w:val="none" w:sz="0" w:space="0" w:color="auto"/>
                            <w:bottom w:val="none" w:sz="0" w:space="0" w:color="auto"/>
                            <w:right w:val="none" w:sz="0" w:space="0" w:color="auto"/>
                          </w:divBdr>
                        </w:div>
                      </w:divsChild>
                    </w:div>
                    <w:div w:id="294154864">
                      <w:marLeft w:val="0"/>
                      <w:marRight w:val="0"/>
                      <w:marTop w:val="0"/>
                      <w:marBottom w:val="0"/>
                      <w:divBdr>
                        <w:top w:val="none" w:sz="0" w:space="0" w:color="auto"/>
                        <w:left w:val="none" w:sz="0" w:space="0" w:color="auto"/>
                        <w:bottom w:val="none" w:sz="0" w:space="0" w:color="auto"/>
                        <w:right w:val="none" w:sz="0" w:space="0" w:color="auto"/>
                      </w:divBdr>
                    </w:div>
                    <w:div w:id="294155001">
                      <w:marLeft w:val="0"/>
                      <w:marRight w:val="0"/>
                      <w:marTop w:val="0"/>
                      <w:marBottom w:val="0"/>
                      <w:divBdr>
                        <w:top w:val="none" w:sz="0" w:space="0" w:color="auto"/>
                        <w:left w:val="none" w:sz="0" w:space="0" w:color="auto"/>
                        <w:bottom w:val="none" w:sz="0" w:space="0" w:color="auto"/>
                        <w:right w:val="none" w:sz="0" w:space="0" w:color="auto"/>
                      </w:divBdr>
                    </w:div>
                    <w:div w:id="294155632">
                      <w:marLeft w:val="0"/>
                      <w:marRight w:val="0"/>
                      <w:marTop w:val="0"/>
                      <w:marBottom w:val="0"/>
                      <w:divBdr>
                        <w:top w:val="none" w:sz="0" w:space="0" w:color="auto"/>
                        <w:left w:val="none" w:sz="0" w:space="0" w:color="auto"/>
                        <w:bottom w:val="none" w:sz="0" w:space="0" w:color="auto"/>
                        <w:right w:val="none" w:sz="0" w:space="0" w:color="auto"/>
                      </w:divBdr>
                      <w:divsChild>
                        <w:div w:id="294139077">
                          <w:marLeft w:val="0"/>
                          <w:marRight w:val="0"/>
                          <w:marTop w:val="0"/>
                          <w:marBottom w:val="0"/>
                          <w:divBdr>
                            <w:top w:val="none" w:sz="0" w:space="0" w:color="auto"/>
                            <w:left w:val="none" w:sz="0" w:space="0" w:color="auto"/>
                            <w:bottom w:val="none" w:sz="0" w:space="0" w:color="auto"/>
                            <w:right w:val="none" w:sz="0" w:space="0" w:color="auto"/>
                          </w:divBdr>
                        </w:div>
                      </w:divsChild>
                    </w:div>
                    <w:div w:id="294156517">
                      <w:marLeft w:val="0"/>
                      <w:marRight w:val="0"/>
                      <w:marTop w:val="0"/>
                      <w:marBottom w:val="0"/>
                      <w:divBdr>
                        <w:top w:val="none" w:sz="0" w:space="0" w:color="auto"/>
                        <w:left w:val="none" w:sz="0" w:space="0" w:color="auto"/>
                        <w:bottom w:val="none" w:sz="0" w:space="0" w:color="auto"/>
                        <w:right w:val="none" w:sz="0" w:space="0" w:color="auto"/>
                      </w:divBdr>
                    </w:div>
                    <w:div w:id="294157014">
                      <w:marLeft w:val="0"/>
                      <w:marRight w:val="0"/>
                      <w:marTop w:val="0"/>
                      <w:marBottom w:val="0"/>
                      <w:divBdr>
                        <w:top w:val="none" w:sz="0" w:space="0" w:color="auto"/>
                        <w:left w:val="none" w:sz="0" w:space="0" w:color="auto"/>
                        <w:bottom w:val="none" w:sz="0" w:space="0" w:color="auto"/>
                        <w:right w:val="none" w:sz="0" w:space="0" w:color="auto"/>
                      </w:divBdr>
                      <w:divsChild>
                        <w:div w:id="294145505">
                          <w:marLeft w:val="0"/>
                          <w:marRight w:val="0"/>
                          <w:marTop w:val="0"/>
                          <w:marBottom w:val="0"/>
                          <w:divBdr>
                            <w:top w:val="none" w:sz="0" w:space="0" w:color="auto"/>
                            <w:left w:val="none" w:sz="0" w:space="0" w:color="auto"/>
                            <w:bottom w:val="none" w:sz="0" w:space="0" w:color="auto"/>
                            <w:right w:val="none" w:sz="0" w:space="0" w:color="auto"/>
                          </w:divBdr>
                        </w:div>
                      </w:divsChild>
                    </w:div>
                    <w:div w:id="29415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45048">
          <w:marLeft w:val="0"/>
          <w:marRight w:val="0"/>
          <w:marTop w:val="0"/>
          <w:marBottom w:val="0"/>
          <w:divBdr>
            <w:top w:val="none" w:sz="0" w:space="0" w:color="auto"/>
            <w:left w:val="none" w:sz="0" w:space="0" w:color="auto"/>
            <w:bottom w:val="none" w:sz="0" w:space="0" w:color="auto"/>
            <w:right w:val="none" w:sz="0" w:space="0" w:color="auto"/>
          </w:divBdr>
        </w:div>
        <w:div w:id="294147310">
          <w:marLeft w:val="0"/>
          <w:marRight w:val="0"/>
          <w:marTop w:val="0"/>
          <w:marBottom w:val="0"/>
          <w:divBdr>
            <w:top w:val="none" w:sz="0" w:space="0" w:color="auto"/>
            <w:left w:val="none" w:sz="0" w:space="0" w:color="auto"/>
            <w:bottom w:val="none" w:sz="0" w:space="0" w:color="auto"/>
            <w:right w:val="none" w:sz="0" w:space="0" w:color="auto"/>
          </w:divBdr>
          <w:divsChild>
            <w:div w:id="294138945">
              <w:marLeft w:val="0"/>
              <w:marRight w:val="0"/>
              <w:marTop w:val="0"/>
              <w:marBottom w:val="0"/>
              <w:divBdr>
                <w:top w:val="none" w:sz="0" w:space="0" w:color="auto"/>
                <w:left w:val="none" w:sz="0" w:space="0" w:color="auto"/>
                <w:bottom w:val="none" w:sz="0" w:space="0" w:color="auto"/>
                <w:right w:val="none" w:sz="0" w:space="0" w:color="auto"/>
              </w:divBdr>
              <w:divsChild>
                <w:div w:id="29414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7424">
          <w:marLeft w:val="0"/>
          <w:marRight w:val="0"/>
          <w:marTop w:val="0"/>
          <w:marBottom w:val="0"/>
          <w:divBdr>
            <w:top w:val="none" w:sz="0" w:space="0" w:color="auto"/>
            <w:left w:val="none" w:sz="0" w:space="0" w:color="auto"/>
            <w:bottom w:val="none" w:sz="0" w:space="0" w:color="auto"/>
            <w:right w:val="none" w:sz="0" w:space="0" w:color="auto"/>
          </w:divBdr>
          <w:divsChild>
            <w:div w:id="294142753">
              <w:marLeft w:val="0"/>
              <w:marRight w:val="0"/>
              <w:marTop w:val="0"/>
              <w:marBottom w:val="0"/>
              <w:divBdr>
                <w:top w:val="none" w:sz="0" w:space="0" w:color="auto"/>
                <w:left w:val="none" w:sz="0" w:space="0" w:color="auto"/>
                <w:bottom w:val="none" w:sz="0" w:space="0" w:color="auto"/>
                <w:right w:val="none" w:sz="0" w:space="0" w:color="auto"/>
              </w:divBdr>
              <w:divsChild>
                <w:div w:id="294138035">
                  <w:marLeft w:val="0"/>
                  <w:marRight w:val="0"/>
                  <w:marTop w:val="0"/>
                  <w:marBottom w:val="0"/>
                  <w:divBdr>
                    <w:top w:val="none" w:sz="0" w:space="0" w:color="auto"/>
                    <w:left w:val="none" w:sz="0" w:space="0" w:color="auto"/>
                    <w:bottom w:val="none" w:sz="0" w:space="0" w:color="auto"/>
                    <w:right w:val="none" w:sz="0" w:space="0" w:color="auto"/>
                  </w:divBdr>
                </w:div>
                <w:div w:id="294138210">
                  <w:marLeft w:val="0"/>
                  <w:marRight w:val="0"/>
                  <w:marTop w:val="0"/>
                  <w:marBottom w:val="0"/>
                  <w:divBdr>
                    <w:top w:val="none" w:sz="0" w:space="0" w:color="auto"/>
                    <w:left w:val="none" w:sz="0" w:space="0" w:color="auto"/>
                    <w:bottom w:val="none" w:sz="0" w:space="0" w:color="auto"/>
                    <w:right w:val="none" w:sz="0" w:space="0" w:color="auto"/>
                  </w:divBdr>
                </w:div>
                <w:div w:id="294138333">
                  <w:marLeft w:val="0"/>
                  <w:marRight w:val="0"/>
                  <w:marTop w:val="0"/>
                  <w:marBottom w:val="0"/>
                  <w:divBdr>
                    <w:top w:val="none" w:sz="0" w:space="0" w:color="auto"/>
                    <w:left w:val="none" w:sz="0" w:space="0" w:color="auto"/>
                    <w:bottom w:val="none" w:sz="0" w:space="0" w:color="auto"/>
                    <w:right w:val="none" w:sz="0" w:space="0" w:color="auto"/>
                  </w:divBdr>
                </w:div>
                <w:div w:id="294138423">
                  <w:marLeft w:val="0"/>
                  <w:marRight w:val="0"/>
                  <w:marTop w:val="0"/>
                  <w:marBottom w:val="0"/>
                  <w:divBdr>
                    <w:top w:val="none" w:sz="0" w:space="0" w:color="auto"/>
                    <w:left w:val="none" w:sz="0" w:space="0" w:color="auto"/>
                    <w:bottom w:val="none" w:sz="0" w:space="0" w:color="auto"/>
                    <w:right w:val="none" w:sz="0" w:space="0" w:color="auto"/>
                  </w:divBdr>
                </w:div>
                <w:div w:id="294138835">
                  <w:marLeft w:val="0"/>
                  <w:marRight w:val="0"/>
                  <w:marTop w:val="0"/>
                  <w:marBottom w:val="0"/>
                  <w:divBdr>
                    <w:top w:val="none" w:sz="0" w:space="0" w:color="auto"/>
                    <w:left w:val="none" w:sz="0" w:space="0" w:color="auto"/>
                    <w:bottom w:val="none" w:sz="0" w:space="0" w:color="auto"/>
                    <w:right w:val="none" w:sz="0" w:space="0" w:color="auto"/>
                  </w:divBdr>
                </w:div>
                <w:div w:id="294139009">
                  <w:marLeft w:val="0"/>
                  <w:marRight w:val="0"/>
                  <w:marTop w:val="0"/>
                  <w:marBottom w:val="0"/>
                  <w:divBdr>
                    <w:top w:val="none" w:sz="0" w:space="0" w:color="auto"/>
                    <w:left w:val="none" w:sz="0" w:space="0" w:color="auto"/>
                    <w:bottom w:val="none" w:sz="0" w:space="0" w:color="auto"/>
                    <w:right w:val="none" w:sz="0" w:space="0" w:color="auto"/>
                  </w:divBdr>
                </w:div>
                <w:div w:id="294139087">
                  <w:marLeft w:val="0"/>
                  <w:marRight w:val="0"/>
                  <w:marTop w:val="0"/>
                  <w:marBottom w:val="0"/>
                  <w:divBdr>
                    <w:top w:val="none" w:sz="0" w:space="0" w:color="auto"/>
                    <w:left w:val="none" w:sz="0" w:space="0" w:color="auto"/>
                    <w:bottom w:val="none" w:sz="0" w:space="0" w:color="auto"/>
                    <w:right w:val="none" w:sz="0" w:space="0" w:color="auto"/>
                  </w:divBdr>
                </w:div>
                <w:div w:id="294139184">
                  <w:marLeft w:val="0"/>
                  <w:marRight w:val="0"/>
                  <w:marTop w:val="0"/>
                  <w:marBottom w:val="0"/>
                  <w:divBdr>
                    <w:top w:val="none" w:sz="0" w:space="0" w:color="auto"/>
                    <w:left w:val="none" w:sz="0" w:space="0" w:color="auto"/>
                    <w:bottom w:val="none" w:sz="0" w:space="0" w:color="auto"/>
                    <w:right w:val="none" w:sz="0" w:space="0" w:color="auto"/>
                  </w:divBdr>
                </w:div>
                <w:div w:id="294139234">
                  <w:marLeft w:val="0"/>
                  <w:marRight w:val="0"/>
                  <w:marTop w:val="0"/>
                  <w:marBottom w:val="0"/>
                  <w:divBdr>
                    <w:top w:val="none" w:sz="0" w:space="0" w:color="auto"/>
                    <w:left w:val="none" w:sz="0" w:space="0" w:color="auto"/>
                    <w:bottom w:val="none" w:sz="0" w:space="0" w:color="auto"/>
                    <w:right w:val="none" w:sz="0" w:space="0" w:color="auto"/>
                  </w:divBdr>
                </w:div>
                <w:div w:id="294139825">
                  <w:marLeft w:val="0"/>
                  <w:marRight w:val="0"/>
                  <w:marTop w:val="0"/>
                  <w:marBottom w:val="0"/>
                  <w:divBdr>
                    <w:top w:val="none" w:sz="0" w:space="0" w:color="auto"/>
                    <w:left w:val="none" w:sz="0" w:space="0" w:color="auto"/>
                    <w:bottom w:val="none" w:sz="0" w:space="0" w:color="auto"/>
                    <w:right w:val="none" w:sz="0" w:space="0" w:color="auto"/>
                  </w:divBdr>
                </w:div>
                <w:div w:id="294139997">
                  <w:marLeft w:val="0"/>
                  <w:marRight w:val="0"/>
                  <w:marTop w:val="0"/>
                  <w:marBottom w:val="0"/>
                  <w:divBdr>
                    <w:top w:val="none" w:sz="0" w:space="0" w:color="auto"/>
                    <w:left w:val="none" w:sz="0" w:space="0" w:color="auto"/>
                    <w:bottom w:val="none" w:sz="0" w:space="0" w:color="auto"/>
                    <w:right w:val="none" w:sz="0" w:space="0" w:color="auto"/>
                  </w:divBdr>
                </w:div>
                <w:div w:id="294140157">
                  <w:marLeft w:val="0"/>
                  <w:marRight w:val="0"/>
                  <w:marTop w:val="0"/>
                  <w:marBottom w:val="0"/>
                  <w:divBdr>
                    <w:top w:val="none" w:sz="0" w:space="0" w:color="auto"/>
                    <w:left w:val="none" w:sz="0" w:space="0" w:color="auto"/>
                    <w:bottom w:val="none" w:sz="0" w:space="0" w:color="auto"/>
                    <w:right w:val="none" w:sz="0" w:space="0" w:color="auto"/>
                  </w:divBdr>
                </w:div>
                <w:div w:id="294140209">
                  <w:marLeft w:val="0"/>
                  <w:marRight w:val="0"/>
                  <w:marTop w:val="0"/>
                  <w:marBottom w:val="0"/>
                  <w:divBdr>
                    <w:top w:val="none" w:sz="0" w:space="0" w:color="auto"/>
                    <w:left w:val="none" w:sz="0" w:space="0" w:color="auto"/>
                    <w:bottom w:val="none" w:sz="0" w:space="0" w:color="auto"/>
                    <w:right w:val="none" w:sz="0" w:space="0" w:color="auto"/>
                  </w:divBdr>
                </w:div>
                <w:div w:id="294140478">
                  <w:marLeft w:val="0"/>
                  <w:marRight w:val="0"/>
                  <w:marTop w:val="0"/>
                  <w:marBottom w:val="0"/>
                  <w:divBdr>
                    <w:top w:val="none" w:sz="0" w:space="0" w:color="auto"/>
                    <w:left w:val="none" w:sz="0" w:space="0" w:color="auto"/>
                    <w:bottom w:val="none" w:sz="0" w:space="0" w:color="auto"/>
                    <w:right w:val="none" w:sz="0" w:space="0" w:color="auto"/>
                  </w:divBdr>
                </w:div>
                <w:div w:id="294141218">
                  <w:marLeft w:val="0"/>
                  <w:marRight w:val="0"/>
                  <w:marTop w:val="0"/>
                  <w:marBottom w:val="0"/>
                  <w:divBdr>
                    <w:top w:val="none" w:sz="0" w:space="0" w:color="auto"/>
                    <w:left w:val="none" w:sz="0" w:space="0" w:color="auto"/>
                    <w:bottom w:val="none" w:sz="0" w:space="0" w:color="auto"/>
                    <w:right w:val="none" w:sz="0" w:space="0" w:color="auto"/>
                  </w:divBdr>
                </w:div>
                <w:div w:id="294141325">
                  <w:marLeft w:val="0"/>
                  <w:marRight w:val="0"/>
                  <w:marTop w:val="0"/>
                  <w:marBottom w:val="0"/>
                  <w:divBdr>
                    <w:top w:val="none" w:sz="0" w:space="0" w:color="auto"/>
                    <w:left w:val="none" w:sz="0" w:space="0" w:color="auto"/>
                    <w:bottom w:val="none" w:sz="0" w:space="0" w:color="auto"/>
                    <w:right w:val="none" w:sz="0" w:space="0" w:color="auto"/>
                  </w:divBdr>
                </w:div>
                <w:div w:id="294141442">
                  <w:marLeft w:val="0"/>
                  <w:marRight w:val="0"/>
                  <w:marTop w:val="0"/>
                  <w:marBottom w:val="0"/>
                  <w:divBdr>
                    <w:top w:val="none" w:sz="0" w:space="0" w:color="auto"/>
                    <w:left w:val="none" w:sz="0" w:space="0" w:color="auto"/>
                    <w:bottom w:val="none" w:sz="0" w:space="0" w:color="auto"/>
                    <w:right w:val="none" w:sz="0" w:space="0" w:color="auto"/>
                  </w:divBdr>
                </w:div>
                <w:div w:id="294141781">
                  <w:marLeft w:val="0"/>
                  <w:marRight w:val="0"/>
                  <w:marTop w:val="0"/>
                  <w:marBottom w:val="0"/>
                  <w:divBdr>
                    <w:top w:val="none" w:sz="0" w:space="0" w:color="auto"/>
                    <w:left w:val="none" w:sz="0" w:space="0" w:color="auto"/>
                    <w:bottom w:val="none" w:sz="0" w:space="0" w:color="auto"/>
                    <w:right w:val="none" w:sz="0" w:space="0" w:color="auto"/>
                  </w:divBdr>
                </w:div>
                <w:div w:id="294142179">
                  <w:marLeft w:val="0"/>
                  <w:marRight w:val="0"/>
                  <w:marTop w:val="0"/>
                  <w:marBottom w:val="0"/>
                  <w:divBdr>
                    <w:top w:val="none" w:sz="0" w:space="0" w:color="auto"/>
                    <w:left w:val="none" w:sz="0" w:space="0" w:color="auto"/>
                    <w:bottom w:val="none" w:sz="0" w:space="0" w:color="auto"/>
                    <w:right w:val="none" w:sz="0" w:space="0" w:color="auto"/>
                  </w:divBdr>
                </w:div>
                <w:div w:id="294142190">
                  <w:marLeft w:val="0"/>
                  <w:marRight w:val="0"/>
                  <w:marTop w:val="0"/>
                  <w:marBottom w:val="0"/>
                  <w:divBdr>
                    <w:top w:val="none" w:sz="0" w:space="0" w:color="auto"/>
                    <w:left w:val="none" w:sz="0" w:space="0" w:color="auto"/>
                    <w:bottom w:val="none" w:sz="0" w:space="0" w:color="auto"/>
                    <w:right w:val="none" w:sz="0" w:space="0" w:color="auto"/>
                  </w:divBdr>
                </w:div>
                <w:div w:id="294142344">
                  <w:marLeft w:val="0"/>
                  <w:marRight w:val="0"/>
                  <w:marTop w:val="0"/>
                  <w:marBottom w:val="0"/>
                  <w:divBdr>
                    <w:top w:val="none" w:sz="0" w:space="0" w:color="auto"/>
                    <w:left w:val="none" w:sz="0" w:space="0" w:color="auto"/>
                    <w:bottom w:val="none" w:sz="0" w:space="0" w:color="auto"/>
                    <w:right w:val="none" w:sz="0" w:space="0" w:color="auto"/>
                  </w:divBdr>
                </w:div>
                <w:div w:id="294142364">
                  <w:marLeft w:val="0"/>
                  <w:marRight w:val="0"/>
                  <w:marTop w:val="0"/>
                  <w:marBottom w:val="0"/>
                  <w:divBdr>
                    <w:top w:val="none" w:sz="0" w:space="0" w:color="auto"/>
                    <w:left w:val="none" w:sz="0" w:space="0" w:color="auto"/>
                    <w:bottom w:val="none" w:sz="0" w:space="0" w:color="auto"/>
                    <w:right w:val="none" w:sz="0" w:space="0" w:color="auto"/>
                  </w:divBdr>
                </w:div>
                <w:div w:id="294142371">
                  <w:marLeft w:val="0"/>
                  <w:marRight w:val="0"/>
                  <w:marTop w:val="0"/>
                  <w:marBottom w:val="0"/>
                  <w:divBdr>
                    <w:top w:val="none" w:sz="0" w:space="0" w:color="auto"/>
                    <w:left w:val="none" w:sz="0" w:space="0" w:color="auto"/>
                    <w:bottom w:val="none" w:sz="0" w:space="0" w:color="auto"/>
                    <w:right w:val="none" w:sz="0" w:space="0" w:color="auto"/>
                  </w:divBdr>
                </w:div>
                <w:div w:id="294142817">
                  <w:marLeft w:val="0"/>
                  <w:marRight w:val="0"/>
                  <w:marTop w:val="0"/>
                  <w:marBottom w:val="0"/>
                  <w:divBdr>
                    <w:top w:val="none" w:sz="0" w:space="0" w:color="auto"/>
                    <w:left w:val="none" w:sz="0" w:space="0" w:color="auto"/>
                    <w:bottom w:val="none" w:sz="0" w:space="0" w:color="auto"/>
                    <w:right w:val="none" w:sz="0" w:space="0" w:color="auto"/>
                  </w:divBdr>
                </w:div>
                <w:div w:id="294143830">
                  <w:marLeft w:val="0"/>
                  <w:marRight w:val="0"/>
                  <w:marTop w:val="0"/>
                  <w:marBottom w:val="0"/>
                  <w:divBdr>
                    <w:top w:val="none" w:sz="0" w:space="0" w:color="auto"/>
                    <w:left w:val="none" w:sz="0" w:space="0" w:color="auto"/>
                    <w:bottom w:val="none" w:sz="0" w:space="0" w:color="auto"/>
                    <w:right w:val="none" w:sz="0" w:space="0" w:color="auto"/>
                  </w:divBdr>
                </w:div>
                <w:div w:id="294143878">
                  <w:marLeft w:val="0"/>
                  <w:marRight w:val="0"/>
                  <w:marTop w:val="0"/>
                  <w:marBottom w:val="0"/>
                  <w:divBdr>
                    <w:top w:val="none" w:sz="0" w:space="0" w:color="auto"/>
                    <w:left w:val="none" w:sz="0" w:space="0" w:color="auto"/>
                    <w:bottom w:val="none" w:sz="0" w:space="0" w:color="auto"/>
                    <w:right w:val="none" w:sz="0" w:space="0" w:color="auto"/>
                  </w:divBdr>
                </w:div>
                <w:div w:id="294143998">
                  <w:marLeft w:val="0"/>
                  <w:marRight w:val="0"/>
                  <w:marTop w:val="0"/>
                  <w:marBottom w:val="0"/>
                  <w:divBdr>
                    <w:top w:val="none" w:sz="0" w:space="0" w:color="auto"/>
                    <w:left w:val="none" w:sz="0" w:space="0" w:color="auto"/>
                    <w:bottom w:val="none" w:sz="0" w:space="0" w:color="auto"/>
                    <w:right w:val="none" w:sz="0" w:space="0" w:color="auto"/>
                  </w:divBdr>
                </w:div>
                <w:div w:id="294144388">
                  <w:marLeft w:val="0"/>
                  <w:marRight w:val="0"/>
                  <w:marTop w:val="0"/>
                  <w:marBottom w:val="0"/>
                  <w:divBdr>
                    <w:top w:val="none" w:sz="0" w:space="0" w:color="auto"/>
                    <w:left w:val="none" w:sz="0" w:space="0" w:color="auto"/>
                    <w:bottom w:val="none" w:sz="0" w:space="0" w:color="auto"/>
                    <w:right w:val="none" w:sz="0" w:space="0" w:color="auto"/>
                  </w:divBdr>
                </w:div>
                <w:div w:id="294144641">
                  <w:marLeft w:val="0"/>
                  <w:marRight w:val="0"/>
                  <w:marTop w:val="0"/>
                  <w:marBottom w:val="0"/>
                  <w:divBdr>
                    <w:top w:val="none" w:sz="0" w:space="0" w:color="auto"/>
                    <w:left w:val="none" w:sz="0" w:space="0" w:color="auto"/>
                    <w:bottom w:val="none" w:sz="0" w:space="0" w:color="auto"/>
                    <w:right w:val="none" w:sz="0" w:space="0" w:color="auto"/>
                  </w:divBdr>
                </w:div>
                <w:div w:id="294145149">
                  <w:marLeft w:val="0"/>
                  <w:marRight w:val="0"/>
                  <w:marTop w:val="0"/>
                  <w:marBottom w:val="0"/>
                  <w:divBdr>
                    <w:top w:val="none" w:sz="0" w:space="0" w:color="auto"/>
                    <w:left w:val="none" w:sz="0" w:space="0" w:color="auto"/>
                    <w:bottom w:val="none" w:sz="0" w:space="0" w:color="auto"/>
                    <w:right w:val="none" w:sz="0" w:space="0" w:color="auto"/>
                  </w:divBdr>
                </w:div>
                <w:div w:id="294145328">
                  <w:marLeft w:val="0"/>
                  <w:marRight w:val="0"/>
                  <w:marTop w:val="0"/>
                  <w:marBottom w:val="0"/>
                  <w:divBdr>
                    <w:top w:val="none" w:sz="0" w:space="0" w:color="auto"/>
                    <w:left w:val="none" w:sz="0" w:space="0" w:color="auto"/>
                    <w:bottom w:val="none" w:sz="0" w:space="0" w:color="auto"/>
                    <w:right w:val="none" w:sz="0" w:space="0" w:color="auto"/>
                  </w:divBdr>
                </w:div>
                <w:div w:id="294145375">
                  <w:marLeft w:val="0"/>
                  <w:marRight w:val="0"/>
                  <w:marTop w:val="0"/>
                  <w:marBottom w:val="0"/>
                  <w:divBdr>
                    <w:top w:val="none" w:sz="0" w:space="0" w:color="auto"/>
                    <w:left w:val="none" w:sz="0" w:space="0" w:color="auto"/>
                    <w:bottom w:val="none" w:sz="0" w:space="0" w:color="auto"/>
                    <w:right w:val="none" w:sz="0" w:space="0" w:color="auto"/>
                  </w:divBdr>
                </w:div>
                <w:div w:id="294145414">
                  <w:marLeft w:val="0"/>
                  <w:marRight w:val="0"/>
                  <w:marTop w:val="0"/>
                  <w:marBottom w:val="0"/>
                  <w:divBdr>
                    <w:top w:val="none" w:sz="0" w:space="0" w:color="auto"/>
                    <w:left w:val="none" w:sz="0" w:space="0" w:color="auto"/>
                    <w:bottom w:val="none" w:sz="0" w:space="0" w:color="auto"/>
                    <w:right w:val="none" w:sz="0" w:space="0" w:color="auto"/>
                  </w:divBdr>
                </w:div>
                <w:div w:id="294146419">
                  <w:marLeft w:val="0"/>
                  <w:marRight w:val="0"/>
                  <w:marTop w:val="0"/>
                  <w:marBottom w:val="0"/>
                  <w:divBdr>
                    <w:top w:val="none" w:sz="0" w:space="0" w:color="auto"/>
                    <w:left w:val="none" w:sz="0" w:space="0" w:color="auto"/>
                    <w:bottom w:val="none" w:sz="0" w:space="0" w:color="auto"/>
                    <w:right w:val="none" w:sz="0" w:space="0" w:color="auto"/>
                  </w:divBdr>
                </w:div>
                <w:div w:id="294146432">
                  <w:marLeft w:val="0"/>
                  <w:marRight w:val="0"/>
                  <w:marTop w:val="0"/>
                  <w:marBottom w:val="0"/>
                  <w:divBdr>
                    <w:top w:val="none" w:sz="0" w:space="0" w:color="auto"/>
                    <w:left w:val="none" w:sz="0" w:space="0" w:color="auto"/>
                    <w:bottom w:val="none" w:sz="0" w:space="0" w:color="auto"/>
                    <w:right w:val="none" w:sz="0" w:space="0" w:color="auto"/>
                  </w:divBdr>
                </w:div>
                <w:div w:id="294146568">
                  <w:marLeft w:val="0"/>
                  <w:marRight w:val="0"/>
                  <w:marTop w:val="0"/>
                  <w:marBottom w:val="0"/>
                  <w:divBdr>
                    <w:top w:val="none" w:sz="0" w:space="0" w:color="auto"/>
                    <w:left w:val="none" w:sz="0" w:space="0" w:color="auto"/>
                    <w:bottom w:val="none" w:sz="0" w:space="0" w:color="auto"/>
                    <w:right w:val="none" w:sz="0" w:space="0" w:color="auto"/>
                  </w:divBdr>
                </w:div>
                <w:div w:id="294147251">
                  <w:marLeft w:val="0"/>
                  <w:marRight w:val="0"/>
                  <w:marTop w:val="0"/>
                  <w:marBottom w:val="0"/>
                  <w:divBdr>
                    <w:top w:val="none" w:sz="0" w:space="0" w:color="auto"/>
                    <w:left w:val="none" w:sz="0" w:space="0" w:color="auto"/>
                    <w:bottom w:val="none" w:sz="0" w:space="0" w:color="auto"/>
                    <w:right w:val="none" w:sz="0" w:space="0" w:color="auto"/>
                  </w:divBdr>
                </w:div>
                <w:div w:id="294147554">
                  <w:marLeft w:val="0"/>
                  <w:marRight w:val="0"/>
                  <w:marTop w:val="0"/>
                  <w:marBottom w:val="0"/>
                  <w:divBdr>
                    <w:top w:val="none" w:sz="0" w:space="0" w:color="auto"/>
                    <w:left w:val="none" w:sz="0" w:space="0" w:color="auto"/>
                    <w:bottom w:val="none" w:sz="0" w:space="0" w:color="auto"/>
                    <w:right w:val="none" w:sz="0" w:space="0" w:color="auto"/>
                  </w:divBdr>
                </w:div>
                <w:div w:id="294147640">
                  <w:marLeft w:val="0"/>
                  <w:marRight w:val="0"/>
                  <w:marTop w:val="0"/>
                  <w:marBottom w:val="0"/>
                  <w:divBdr>
                    <w:top w:val="none" w:sz="0" w:space="0" w:color="auto"/>
                    <w:left w:val="none" w:sz="0" w:space="0" w:color="auto"/>
                    <w:bottom w:val="none" w:sz="0" w:space="0" w:color="auto"/>
                    <w:right w:val="none" w:sz="0" w:space="0" w:color="auto"/>
                  </w:divBdr>
                </w:div>
                <w:div w:id="294147671">
                  <w:marLeft w:val="0"/>
                  <w:marRight w:val="0"/>
                  <w:marTop w:val="0"/>
                  <w:marBottom w:val="0"/>
                  <w:divBdr>
                    <w:top w:val="none" w:sz="0" w:space="0" w:color="auto"/>
                    <w:left w:val="none" w:sz="0" w:space="0" w:color="auto"/>
                    <w:bottom w:val="none" w:sz="0" w:space="0" w:color="auto"/>
                    <w:right w:val="none" w:sz="0" w:space="0" w:color="auto"/>
                  </w:divBdr>
                </w:div>
                <w:div w:id="294147752">
                  <w:marLeft w:val="0"/>
                  <w:marRight w:val="0"/>
                  <w:marTop w:val="0"/>
                  <w:marBottom w:val="0"/>
                  <w:divBdr>
                    <w:top w:val="none" w:sz="0" w:space="0" w:color="auto"/>
                    <w:left w:val="none" w:sz="0" w:space="0" w:color="auto"/>
                    <w:bottom w:val="none" w:sz="0" w:space="0" w:color="auto"/>
                    <w:right w:val="none" w:sz="0" w:space="0" w:color="auto"/>
                  </w:divBdr>
                </w:div>
                <w:div w:id="294147932">
                  <w:marLeft w:val="0"/>
                  <w:marRight w:val="0"/>
                  <w:marTop w:val="0"/>
                  <w:marBottom w:val="0"/>
                  <w:divBdr>
                    <w:top w:val="none" w:sz="0" w:space="0" w:color="auto"/>
                    <w:left w:val="none" w:sz="0" w:space="0" w:color="auto"/>
                    <w:bottom w:val="none" w:sz="0" w:space="0" w:color="auto"/>
                    <w:right w:val="none" w:sz="0" w:space="0" w:color="auto"/>
                  </w:divBdr>
                </w:div>
                <w:div w:id="294148151">
                  <w:marLeft w:val="0"/>
                  <w:marRight w:val="0"/>
                  <w:marTop w:val="0"/>
                  <w:marBottom w:val="0"/>
                  <w:divBdr>
                    <w:top w:val="none" w:sz="0" w:space="0" w:color="auto"/>
                    <w:left w:val="none" w:sz="0" w:space="0" w:color="auto"/>
                    <w:bottom w:val="none" w:sz="0" w:space="0" w:color="auto"/>
                    <w:right w:val="none" w:sz="0" w:space="0" w:color="auto"/>
                  </w:divBdr>
                </w:div>
                <w:div w:id="294148243">
                  <w:marLeft w:val="0"/>
                  <w:marRight w:val="0"/>
                  <w:marTop w:val="0"/>
                  <w:marBottom w:val="0"/>
                  <w:divBdr>
                    <w:top w:val="none" w:sz="0" w:space="0" w:color="auto"/>
                    <w:left w:val="none" w:sz="0" w:space="0" w:color="auto"/>
                    <w:bottom w:val="none" w:sz="0" w:space="0" w:color="auto"/>
                    <w:right w:val="none" w:sz="0" w:space="0" w:color="auto"/>
                  </w:divBdr>
                </w:div>
                <w:div w:id="294148617">
                  <w:marLeft w:val="0"/>
                  <w:marRight w:val="0"/>
                  <w:marTop w:val="0"/>
                  <w:marBottom w:val="0"/>
                  <w:divBdr>
                    <w:top w:val="none" w:sz="0" w:space="0" w:color="auto"/>
                    <w:left w:val="none" w:sz="0" w:space="0" w:color="auto"/>
                    <w:bottom w:val="none" w:sz="0" w:space="0" w:color="auto"/>
                    <w:right w:val="none" w:sz="0" w:space="0" w:color="auto"/>
                  </w:divBdr>
                </w:div>
                <w:div w:id="294148734">
                  <w:marLeft w:val="0"/>
                  <w:marRight w:val="0"/>
                  <w:marTop w:val="0"/>
                  <w:marBottom w:val="0"/>
                  <w:divBdr>
                    <w:top w:val="none" w:sz="0" w:space="0" w:color="auto"/>
                    <w:left w:val="none" w:sz="0" w:space="0" w:color="auto"/>
                    <w:bottom w:val="none" w:sz="0" w:space="0" w:color="auto"/>
                    <w:right w:val="none" w:sz="0" w:space="0" w:color="auto"/>
                  </w:divBdr>
                </w:div>
                <w:div w:id="294149402">
                  <w:marLeft w:val="0"/>
                  <w:marRight w:val="0"/>
                  <w:marTop w:val="0"/>
                  <w:marBottom w:val="0"/>
                  <w:divBdr>
                    <w:top w:val="none" w:sz="0" w:space="0" w:color="auto"/>
                    <w:left w:val="none" w:sz="0" w:space="0" w:color="auto"/>
                    <w:bottom w:val="none" w:sz="0" w:space="0" w:color="auto"/>
                    <w:right w:val="none" w:sz="0" w:space="0" w:color="auto"/>
                  </w:divBdr>
                </w:div>
                <w:div w:id="294149576">
                  <w:marLeft w:val="0"/>
                  <w:marRight w:val="0"/>
                  <w:marTop w:val="0"/>
                  <w:marBottom w:val="0"/>
                  <w:divBdr>
                    <w:top w:val="none" w:sz="0" w:space="0" w:color="auto"/>
                    <w:left w:val="none" w:sz="0" w:space="0" w:color="auto"/>
                    <w:bottom w:val="none" w:sz="0" w:space="0" w:color="auto"/>
                    <w:right w:val="none" w:sz="0" w:space="0" w:color="auto"/>
                  </w:divBdr>
                </w:div>
                <w:div w:id="294149887">
                  <w:marLeft w:val="0"/>
                  <w:marRight w:val="0"/>
                  <w:marTop w:val="0"/>
                  <w:marBottom w:val="0"/>
                  <w:divBdr>
                    <w:top w:val="none" w:sz="0" w:space="0" w:color="auto"/>
                    <w:left w:val="none" w:sz="0" w:space="0" w:color="auto"/>
                    <w:bottom w:val="none" w:sz="0" w:space="0" w:color="auto"/>
                    <w:right w:val="none" w:sz="0" w:space="0" w:color="auto"/>
                  </w:divBdr>
                </w:div>
                <w:div w:id="294150105">
                  <w:marLeft w:val="0"/>
                  <w:marRight w:val="0"/>
                  <w:marTop w:val="0"/>
                  <w:marBottom w:val="0"/>
                  <w:divBdr>
                    <w:top w:val="none" w:sz="0" w:space="0" w:color="auto"/>
                    <w:left w:val="none" w:sz="0" w:space="0" w:color="auto"/>
                    <w:bottom w:val="none" w:sz="0" w:space="0" w:color="auto"/>
                    <w:right w:val="none" w:sz="0" w:space="0" w:color="auto"/>
                  </w:divBdr>
                </w:div>
                <w:div w:id="294150157">
                  <w:marLeft w:val="0"/>
                  <w:marRight w:val="0"/>
                  <w:marTop w:val="0"/>
                  <w:marBottom w:val="0"/>
                  <w:divBdr>
                    <w:top w:val="none" w:sz="0" w:space="0" w:color="auto"/>
                    <w:left w:val="none" w:sz="0" w:space="0" w:color="auto"/>
                    <w:bottom w:val="none" w:sz="0" w:space="0" w:color="auto"/>
                    <w:right w:val="none" w:sz="0" w:space="0" w:color="auto"/>
                  </w:divBdr>
                </w:div>
                <w:div w:id="294150615">
                  <w:marLeft w:val="0"/>
                  <w:marRight w:val="0"/>
                  <w:marTop w:val="0"/>
                  <w:marBottom w:val="0"/>
                  <w:divBdr>
                    <w:top w:val="none" w:sz="0" w:space="0" w:color="auto"/>
                    <w:left w:val="none" w:sz="0" w:space="0" w:color="auto"/>
                    <w:bottom w:val="none" w:sz="0" w:space="0" w:color="auto"/>
                    <w:right w:val="none" w:sz="0" w:space="0" w:color="auto"/>
                  </w:divBdr>
                </w:div>
                <w:div w:id="294150871">
                  <w:marLeft w:val="0"/>
                  <w:marRight w:val="0"/>
                  <w:marTop w:val="0"/>
                  <w:marBottom w:val="0"/>
                  <w:divBdr>
                    <w:top w:val="none" w:sz="0" w:space="0" w:color="auto"/>
                    <w:left w:val="none" w:sz="0" w:space="0" w:color="auto"/>
                    <w:bottom w:val="none" w:sz="0" w:space="0" w:color="auto"/>
                    <w:right w:val="none" w:sz="0" w:space="0" w:color="auto"/>
                  </w:divBdr>
                </w:div>
                <w:div w:id="294151521">
                  <w:marLeft w:val="0"/>
                  <w:marRight w:val="0"/>
                  <w:marTop w:val="0"/>
                  <w:marBottom w:val="0"/>
                  <w:divBdr>
                    <w:top w:val="none" w:sz="0" w:space="0" w:color="auto"/>
                    <w:left w:val="none" w:sz="0" w:space="0" w:color="auto"/>
                    <w:bottom w:val="none" w:sz="0" w:space="0" w:color="auto"/>
                    <w:right w:val="none" w:sz="0" w:space="0" w:color="auto"/>
                  </w:divBdr>
                </w:div>
                <w:div w:id="294151731">
                  <w:marLeft w:val="0"/>
                  <w:marRight w:val="0"/>
                  <w:marTop w:val="0"/>
                  <w:marBottom w:val="0"/>
                  <w:divBdr>
                    <w:top w:val="none" w:sz="0" w:space="0" w:color="auto"/>
                    <w:left w:val="none" w:sz="0" w:space="0" w:color="auto"/>
                    <w:bottom w:val="none" w:sz="0" w:space="0" w:color="auto"/>
                    <w:right w:val="none" w:sz="0" w:space="0" w:color="auto"/>
                  </w:divBdr>
                </w:div>
                <w:div w:id="294152249">
                  <w:marLeft w:val="0"/>
                  <w:marRight w:val="0"/>
                  <w:marTop w:val="0"/>
                  <w:marBottom w:val="0"/>
                  <w:divBdr>
                    <w:top w:val="none" w:sz="0" w:space="0" w:color="auto"/>
                    <w:left w:val="none" w:sz="0" w:space="0" w:color="auto"/>
                    <w:bottom w:val="none" w:sz="0" w:space="0" w:color="auto"/>
                    <w:right w:val="none" w:sz="0" w:space="0" w:color="auto"/>
                  </w:divBdr>
                </w:div>
                <w:div w:id="294152311">
                  <w:marLeft w:val="0"/>
                  <w:marRight w:val="0"/>
                  <w:marTop w:val="0"/>
                  <w:marBottom w:val="0"/>
                  <w:divBdr>
                    <w:top w:val="none" w:sz="0" w:space="0" w:color="auto"/>
                    <w:left w:val="none" w:sz="0" w:space="0" w:color="auto"/>
                    <w:bottom w:val="none" w:sz="0" w:space="0" w:color="auto"/>
                    <w:right w:val="none" w:sz="0" w:space="0" w:color="auto"/>
                  </w:divBdr>
                </w:div>
                <w:div w:id="294152600">
                  <w:marLeft w:val="0"/>
                  <w:marRight w:val="0"/>
                  <w:marTop w:val="0"/>
                  <w:marBottom w:val="0"/>
                  <w:divBdr>
                    <w:top w:val="none" w:sz="0" w:space="0" w:color="auto"/>
                    <w:left w:val="none" w:sz="0" w:space="0" w:color="auto"/>
                    <w:bottom w:val="none" w:sz="0" w:space="0" w:color="auto"/>
                    <w:right w:val="none" w:sz="0" w:space="0" w:color="auto"/>
                  </w:divBdr>
                </w:div>
                <w:div w:id="294152784">
                  <w:marLeft w:val="0"/>
                  <w:marRight w:val="0"/>
                  <w:marTop w:val="0"/>
                  <w:marBottom w:val="0"/>
                  <w:divBdr>
                    <w:top w:val="none" w:sz="0" w:space="0" w:color="auto"/>
                    <w:left w:val="none" w:sz="0" w:space="0" w:color="auto"/>
                    <w:bottom w:val="none" w:sz="0" w:space="0" w:color="auto"/>
                    <w:right w:val="none" w:sz="0" w:space="0" w:color="auto"/>
                  </w:divBdr>
                </w:div>
                <w:div w:id="294152862">
                  <w:marLeft w:val="0"/>
                  <w:marRight w:val="0"/>
                  <w:marTop w:val="0"/>
                  <w:marBottom w:val="0"/>
                  <w:divBdr>
                    <w:top w:val="none" w:sz="0" w:space="0" w:color="auto"/>
                    <w:left w:val="none" w:sz="0" w:space="0" w:color="auto"/>
                    <w:bottom w:val="none" w:sz="0" w:space="0" w:color="auto"/>
                    <w:right w:val="none" w:sz="0" w:space="0" w:color="auto"/>
                  </w:divBdr>
                </w:div>
                <w:div w:id="294153041">
                  <w:marLeft w:val="0"/>
                  <w:marRight w:val="0"/>
                  <w:marTop w:val="0"/>
                  <w:marBottom w:val="0"/>
                  <w:divBdr>
                    <w:top w:val="none" w:sz="0" w:space="0" w:color="auto"/>
                    <w:left w:val="none" w:sz="0" w:space="0" w:color="auto"/>
                    <w:bottom w:val="none" w:sz="0" w:space="0" w:color="auto"/>
                    <w:right w:val="none" w:sz="0" w:space="0" w:color="auto"/>
                  </w:divBdr>
                </w:div>
                <w:div w:id="294153126">
                  <w:marLeft w:val="0"/>
                  <w:marRight w:val="0"/>
                  <w:marTop w:val="0"/>
                  <w:marBottom w:val="0"/>
                  <w:divBdr>
                    <w:top w:val="none" w:sz="0" w:space="0" w:color="auto"/>
                    <w:left w:val="none" w:sz="0" w:space="0" w:color="auto"/>
                    <w:bottom w:val="none" w:sz="0" w:space="0" w:color="auto"/>
                    <w:right w:val="none" w:sz="0" w:space="0" w:color="auto"/>
                  </w:divBdr>
                </w:div>
                <w:div w:id="294153172">
                  <w:marLeft w:val="0"/>
                  <w:marRight w:val="0"/>
                  <w:marTop w:val="0"/>
                  <w:marBottom w:val="0"/>
                  <w:divBdr>
                    <w:top w:val="none" w:sz="0" w:space="0" w:color="auto"/>
                    <w:left w:val="none" w:sz="0" w:space="0" w:color="auto"/>
                    <w:bottom w:val="none" w:sz="0" w:space="0" w:color="auto"/>
                    <w:right w:val="none" w:sz="0" w:space="0" w:color="auto"/>
                  </w:divBdr>
                </w:div>
                <w:div w:id="294153396">
                  <w:marLeft w:val="0"/>
                  <w:marRight w:val="0"/>
                  <w:marTop w:val="0"/>
                  <w:marBottom w:val="0"/>
                  <w:divBdr>
                    <w:top w:val="none" w:sz="0" w:space="0" w:color="auto"/>
                    <w:left w:val="none" w:sz="0" w:space="0" w:color="auto"/>
                    <w:bottom w:val="none" w:sz="0" w:space="0" w:color="auto"/>
                    <w:right w:val="none" w:sz="0" w:space="0" w:color="auto"/>
                  </w:divBdr>
                </w:div>
                <w:div w:id="294153548">
                  <w:marLeft w:val="0"/>
                  <w:marRight w:val="0"/>
                  <w:marTop w:val="0"/>
                  <w:marBottom w:val="0"/>
                  <w:divBdr>
                    <w:top w:val="none" w:sz="0" w:space="0" w:color="auto"/>
                    <w:left w:val="none" w:sz="0" w:space="0" w:color="auto"/>
                    <w:bottom w:val="none" w:sz="0" w:space="0" w:color="auto"/>
                    <w:right w:val="none" w:sz="0" w:space="0" w:color="auto"/>
                  </w:divBdr>
                </w:div>
                <w:div w:id="294153818">
                  <w:marLeft w:val="0"/>
                  <w:marRight w:val="0"/>
                  <w:marTop w:val="0"/>
                  <w:marBottom w:val="0"/>
                  <w:divBdr>
                    <w:top w:val="none" w:sz="0" w:space="0" w:color="auto"/>
                    <w:left w:val="none" w:sz="0" w:space="0" w:color="auto"/>
                    <w:bottom w:val="none" w:sz="0" w:space="0" w:color="auto"/>
                    <w:right w:val="none" w:sz="0" w:space="0" w:color="auto"/>
                  </w:divBdr>
                </w:div>
                <w:div w:id="294153920">
                  <w:marLeft w:val="0"/>
                  <w:marRight w:val="0"/>
                  <w:marTop w:val="0"/>
                  <w:marBottom w:val="0"/>
                  <w:divBdr>
                    <w:top w:val="none" w:sz="0" w:space="0" w:color="auto"/>
                    <w:left w:val="none" w:sz="0" w:space="0" w:color="auto"/>
                    <w:bottom w:val="none" w:sz="0" w:space="0" w:color="auto"/>
                    <w:right w:val="none" w:sz="0" w:space="0" w:color="auto"/>
                  </w:divBdr>
                </w:div>
                <w:div w:id="294154008">
                  <w:marLeft w:val="0"/>
                  <w:marRight w:val="0"/>
                  <w:marTop w:val="0"/>
                  <w:marBottom w:val="0"/>
                  <w:divBdr>
                    <w:top w:val="none" w:sz="0" w:space="0" w:color="auto"/>
                    <w:left w:val="none" w:sz="0" w:space="0" w:color="auto"/>
                    <w:bottom w:val="none" w:sz="0" w:space="0" w:color="auto"/>
                    <w:right w:val="none" w:sz="0" w:space="0" w:color="auto"/>
                  </w:divBdr>
                </w:div>
                <w:div w:id="294154170">
                  <w:marLeft w:val="0"/>
                  <w:marRight w:val="0"/>
                  <w:marTop w:val="0"/>
                  <w:marBottom w:val="0"/>
                  <w:divBdr>
                    <w:top w:val="none" w:sz="0" w:space="0" w:color="auto"/>
                    <w:left w:val="none" w:sz="0" w:space="0" w:color="auto"/>
                    <w:bottom w:val="none" w:sz="0" w:space="0" w:color="auto"/>
                    <w:right w:val="none" w:sz="0" w:space="0" w:color="auto"/>
                  </w:divBdr>
                </w:div>
                <w:div w:id="294154179">
                  <w:marLeft w:val="0"/>
                  <w:marRight w:val="0"/>
                  <w:marTop w:val="0"/>
                  <w:marBottom w:val="0"/>
                  <w:divBdr>
                    <w:top w:val="none" w:sz="0" w:space="0" w:color="auto"/>
                    <w:left w:val="none" w:sz="0" w:space="0" w:color="auto"/>
                    <w:bottom w:val="none" w:sz="0" w:space="0" w:color="auto"/>
                    <w:right w:val="none" w:sz="0" w:space="0" w:color="auto"/>
                  </w:divBdr>
                </w:div>
                <w:div w:id="294154240">
                  <w:marLeft w:val="0"/>
                  <w:marRight w:val="0"/>
                  <w:marTop w:val="0"/>
                  <w:marBottom w:val="0"/>
                  <w:divBdr>
                    <w:top w:val="none" w:sz="0" w:space="0" w:color="auto"/>
                    <w:left w:val="none" w:sz="0" w:space="0" w:color="auto"/>
                    <w:bottom w:val="none" w:sz="0" w:space="0" w:color="auto"/>
                    <w:right w:val="none" w:sz="0" w:space="0" w:color="auto"/>
                  </w:divBdr>
                </w:div>
                <w:div w:id="294154650">
                  <w:marLeft w:val="0"/>
                  <w:marRight w:val="0"/>
                  <w:marTop w:val="0"/>
                  <w:marBottom w:val="0"/>
                  <w:divBdr>
                    <w:top w:val="none" w:sz="0" w:space="0" w:color="auto"/>
                    <w:left w:val="none" w:sz="0" w:space="0" w:color="auto"/>
                    <w:bottom w:val="none" w:sz="0" w:space="0" w:color="auto"/>
                    <w:right w:val="none" w:sz="0" w:space="0" w:color="auto"/>
                  </w:divBdr>
                </w:div>
                <w:div w:id="294154662">
                  <w:marLeft w:val="0"/>
                  <w:marRight w:val="0"/>
                  <w:marTop w:val="0"/>
                  <w:marBottom w:val="0"/>
                  <w:divBdr>
                    <w:top w:val="none" w:sz="0" w:space="0" w:color="auto"/>
                    <w:left w:val="none" w:sz="0" w:space="0" w:color="auto"/>
                    <w:bottom w:val="none" w:sz="0" w:space="0" w:color="auto"/>
                    <w:right w:val="none" w:sz="0" w:space="0" w:color="auto"/>
                  </w:divBdr>
                </w:div>
                <w:div w:id="294154902">
                  <w:marLeft w:val="0"/>
                  <w:marRight w:val="0"/>
                  <w:marTop w:val="0"/>
                  <w:marBottom w:val="0"/>
                  <w:divBdr>
                    <w:top w:val="none" w:sz="0" w:space="0" w:color="auto"/>
                    <w:left w:val="none" w:sz="0" w:space="0" w:color="auto"/>
                    <w:bottom w:val="none" w:sz="0" w:space="0" w:color="auto"/>
                    <w:right w:val="none" w:sz="0" w:space="0" w:color="auto"/>
                  </w:divBdr>
                </w:div>
                <w:div w:id="294155077">
                  <w:marLeft w:val="0"/>
                  <w:marRight w:val="0"/>
                  <w:marTop w:val="0"/>
                  <w:marBottom w:val="0"/>
                  <w:divBdr>
                    <w:top w:val="none" w:sz="0" w:space="0" w:color="auto"/>
                    <w:left w:val="none" w:sz="0" w:space="0" w:color="auto"/>
                    <w:bottom w:val="none" w:sz="0" w:space="0" w:color="auto"/>
                    <w:right w:val="none" w:sz="0" w:space="0" w:color="auto"/>
                  </w:divBdr>
                </w:div>
                <w:div w:id="294155094">
                  <w:marLeft w:val="0"/>
                  <w:marRight w:val="0"/>
                  <w:marTop w:val="0"/>
                  <w:marBottom w:val="0"/>
                  <w:divBdr>
                    <w:top w:val="none" w:sz="0" w:space="0" w:color="auto"/>
                    <w:left w:val="none" w:sz="0" w:space="0" w:color="auto"/>
                    <w:bottom w:val="none" w:sz="0" w:space="0" w:color="auto"/>
                    <w:right w:val="none" w:sz="0" w:space="0" w:color="auto"/>
                  </w:divBdr>
                </w:div>
                <w:div w:id="294155549">
                  <w:marLeft w:val="0"/>
                  <w:marRight w:val="0"/>
                  <w:marTop w:val="0"/>
                  <w:marBottom w:val="0"/>
                  <w:divBdr>
                    <w:top w:val="none" w:sz="0" w:space="0" w:color="auto"/>
                    <w:left w:val="none" w:sz="0" w:space="0" w:color="auto"/>
                    <w:bottom w:val="none" w:sz="0" w:space="0" w:color="auto"/>
                    <w:right w:val="none" w:sz="0" w:space="0" w:color="auto"/>
                  </w:divBdr>
                </w:div>
                <w:div w:id="294155684">
                  <w:marLeft w:val="0"/>
                  <w:marRight w:val="0"/>
                  <w:marTop w:val="0"/>
                  <w:marBottom w:val="0"/>
                  <w:divBdr>
                    <w:top w:val="none" w:sz="0" w:space="0" w:color="auto"/>
                    <w:left w:val="none" w:sz="0" w:space="0" w:color="auto"/>
                    <w:bottom w:val="none" w:sz="0" w:space="0" w:color="auto"/>
                    <w:right w:val="none" w:sz="0" w:space="0" w:color="auto"/>
                  </w:divBdr>
                </w:div>
                <w:div w:id="294155971">
                  <w:marLeft w:val="0"/>
                  <w:marRight w:val="0"/>
                  <w:marTop w:val="0"/>
                  <w:marBottom w:val="0"/>
                  <w:divBdr>
                    <w:top w:val="none" w:sz="0" w:space="0" w:color="auto"/>
                    <w:left w:val="none" w:sz="0" w:space="0" w:color="auto"/>
                    <w:bottom w:val="none" w:sz="0" w:space="0" w:color="auto"/>
                    <w:right w:val="none" w:sz="0" w:space="0" w:color="auto"/>
                  </w:divBdr>
                </w:div>
                <w:div w:id="294156010">
                  <w:marLeft w:val="0"/>
                  <w:marRight w:val="0"/>
                  <w:marTop w:val="0"/>
                  <w:marBottom w:val="0"/>
                  <w:divBdr>
                    <w:top w:val="none" w:sz="0" w:space="0" w:color="auto"/>
                    <w:left w:val="none" w:sz="0" w:space="0" w:color="auto"/>
                    <w:bottom w:val="none" w:sz="0" w:space="0" w:color="auto"/>
                    <w:right w:val="none" w:sz="0" w:space="0" w:color="auto"/>
                  </w:divBdr>
                </w:div>
                <w:div w:id="294156526">
                  <w:marLeft w:val="0"/>
                  <w:marRight w:val="0"/>
                  <w:marTop w:val="0"/>
                  <w:marBottom w:val="0"/>
                  <w:divBdr>
                    <w:top w:val="none" w:sz="0" w:space="0" w:color="auto"/>
                    <w:left w:val="none" w:sz="0" w:space="0" w:color="auto"/>
                    <w:bottom w:val="none" w:sz="0" w:space="0" w:color="auto"/>
                    <w:right w:val="none" w:sz="0" w:space="0" w:color="auto"/>
                  </w:divBdr>
                </w:div>
                <w:div w:id="294156538">
                  <w:marLeft w:val="0"/>
                  <w:marRight w:val="0"/>
                  <w:marTop w:val="0"/>
                  <w:marBottom w:val="0"/>
                  <w:divBdr>
                    <w:top w:val="none" w:sz="0" w:space="0" w:color="auto"/>
                    <w:left w:val="none" w:sz="0" w:space="0" w:color="auto"/>
                    <w:bottom w:val="none" w:sz="0" w:space="0" w:color="auto"/>
                    <w:right w:val="none" w:sz="0" w:space="0" w:color="auto"/>
                  </w:divBdr>
                </w:div>
                <w:div w:id="294156566">
                  <w:marLeft w:val="0"/>
                  <w:marRight w:val="0"/>
                  <w:marTop w:val="0"/>
                  <w:marBottom w:val="0"/>
                  <w:divBdr>
                    <w:top w:val="none" w:sz="0" w:space="0" w:color="auto"/>
                    <w:left w:val="none" w:sz="0" w:space="0" w:color="auto"/>
                    <w:bottom w:val="none" w:sz="0" w:space="0" w:color="auto"/>
                    <w:right w:val="none" w:sz="0" w:space="0" w:color="auto"/>
                  </w:divBdr>
                </w:div>
                <w:div w:id="2941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51756">
      <w:marLeft w:val="0"/>
      <w:marRight w:val="0"/>
      <w:marTop w:val="0"/>
      <w:marBottom w:val="0"/>
      <w:divBdr>
        <w:top w:val="none" w:sz="0" w:space="0" w:color="auto"/>
        <w:left w:val="none" w:sz="0" w:space="0" w:color="auto"/>
        <w:bottom w:val="none" w:sz="0" w:space="0" w:color="auto"/>
        <w:right w:val="none" w:sz="0" w:space="0" w:color="auto"/>
      </w:divBdr>
    </w:div>
    <w:div w:id="294151777">
      <w:marLeft w:val="0"/>
      <w:marRight w:val="0"/>
      <w:marTop w:val="0"/>
      <w:marBottom w:val="0"/>
      <w:divBdr>
        <w:top w:val="none" w:sz="0" w:space="0" w:color="auto"/>
        <w:left w:val="none" w:sz="0" w:space="0" w:color="auto"/>
        <w:bottom w:val="none" w:sz="0" w:space="0" w:color="auto"/>
        <w:right w:val="none" w:sz="0" w:space="0" w:color="auto"/>
      </w:divBdr>
    </w:div>
    <w:div w:id="294151782">
      <w:marLeft w:val="0"/>
      <w:marRight w:val="0"/>
      <w:marTop w:val="0"/>
      <w:marBottom w:val="0"/>
      <w:divBdr>
        <w:top w:val="none" w:sz="0" w:space="0" w:color="auto"/>
        <w:left w:val="none" w:sz="0" w:space="0" w:color="auto"/>
        <w:bottom w:val="none" w:sz="0" w:space="0" w:color="auto"/>
        <w:right w:val="none" w:sz="0" w:space="0" w:color="auto"/>
      </w:divBdr>
      <w:divsChild>
        <w:div w:id="294150619">
          <w:marLeft w:val="0"/>
          <w:marRight w:val="0"/>
          <w:marTop w:val="0"/>
          <w:marBottom w:val="0"/>
          <w:divBdr>
            <w:top w:val="none" w:sz="0" w:space="0" w:color="auto"/>
            <w:left w:val="none" w:sz="0" w:space="0" w:color="auto"/>
            <w:bottom w:val="none" w:sz="0" w:space="0" w:color="auto"/>
            <w:right w:val="none" w:sz="0" w:space="0" w:color="auto"/>
          </w:divBdr>
          <w:divsChild>
            <w:div w:id="294151152">
              <w:marLeft w:val="0"/>
              <w:marRight w:val="0"/>
              <w:marTop w:val="0"/>
              <w:marBottom w:val="0"/>
              <w:divBdr>
                <w:top w:val="none" w:sz="0" w:space="0" w:color="auto"/>
                <w:left w:val="none" w:sz="0" w:space="0" w:color="auto"/>
                <w:bottom w:val="none" w:sz="0" w:space="0" w:color="auto"/>
                <w:right w:val="none" w:sz="0" w:space="0" w:color="auto"/>
              </w:divBdr>
              <w:divsChild>
                <w:div w:id="29414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5124">
          <w:marLeft w:val="0"/>
          <w:marRight w:val="0"/>
          <w:marTop w:val="0"/>
          <w:marBottom w:val="0"/>
          <w:divBdr>
            <w:top w:val="none" w:sz="0" w:space="0" w:color="auto"/>
            <w:left w:val="none" w:sz="0" w:space="0" w:color="auto"/>
            <w:bottom w:val="none" w:sz="0" w:space="0" w:color="auto"/>
            <w:right w:val="none" w:sz="0" w:space="0" w:color="auto"/>
          </w:divBdr>
          <w:divsChild>
            <w:div w:id="294154416">
              <w:marLeft w:val="0"/>
              <w:marRight w:val="0"/>
              <w:marTop w:val="0"/>
              <w:marBottom w:val="0"/>
              <w:divBdr>
                <w:top w:val="none" w:sz="0" w:space="0" w:color="auto"/>
                <w:left w:val="none" w:sz="0" w:space="0" w:color="auto"/>
                <w:bottom w:val="none" w:sz="0" w:space="0" w:color="auto"/>
                <w:right w:val="none" w:sz="0" w:space="0" w:color="auto"/>
              </w:divBdr>
              <w:divsChild>
                <w:div w:id="294154658">
                  <w:marLeft w:val="0"/>
                  <w:marRight w:val="0"/>
                  <w:marTop w:val="0"/>
                  <w:marBottom w:val="0"/>
                  <w:divBdr>
                    <w:top w:val="none" w:sz="0" w:space="0" w:color="auto"/>
                    <w:left w:val="none" w:sz="0" w:space="0" w:color="auto"/>
                    <w:bottom w:val="none" w:sz="0" w:space="0" w:color="auto"/>
                    <w:right w:val="none" w:sz="0" w:space="0" w:color="auto"/>
                  </w:divBdr>
                  <w:divsChild>
                    <w:div w:id="294138000">
                      <w:marLeft w:val="0"/>
                      <w:marRight w:val="0"/>
                      <w:marTop w:val="0"/>
                      <w:marBottom w:val="0"/>
                      <w:divBdr>
                        <w:top w:val="none" w:sz="0" w:space="0" w:color="auto"/>
                        <w:left w:val="none" w:sz="0" w:space="0" w:color="auto"/>
                        <w:bottom w:val="none" w:sz="0" w:space="0" w:color="auto"/>
                        <w:right w:val="none" w:sz="0" w:space="0" w:color="auto"/>
                      </w:divBdr>
                      <w:divsChild>
                        <w:div w:id="294154708">
                          <w:marLeft w:val="0"/>
                          <w:marRight w:val="0"/>
                          <w:marTop w:val="0"/>
                          <w:marBottom w:val="0"/>
                          <w:divBdr>
                            <w:top w:val="none" w:sz="0" w:space="0" w:color="auto"/>
                            <w:left w:val="none" w:sz="0" w:space="0" w:color="auto"/>
                            <w:bottom w:val="none" w:sz="0" w:space="0" w:color="auto"/>
                            <w:right w:val="none" w:sz="0" w:space="0" w:color="auto"/>
                          </w:divBdr>
                        </w:div>
                      </w:divsChild>
                    </w:div>
                    <w:div w:id="294138087">
                      <w:marLeft w:val="0"/>
                      <w:marRight w:val="0"/>
                      <w:marTop w:val="0"/>
                      <w:marBottom w:val="0"/>
                      <w:divBdr>
                        <w:top w:val="none" w:sz="0" w:space="0" w:color="auto"/>
                        <w:left w:val="none" w:sz="0" w:space="0" w:color="auto"/>
                        <w:bottom w:val="none" w:sz="0" w:space="0" w:color="auto"/>
                        <w:right w:val="none" w:sz="0" w:space="0" w:color="auto"/>
                      </w:divBdr>
                      <w:divsChild>
                        <w:div w:id="294147812">
                          <w:marLeft w:val="0"/>
                          <w:marRight w:val="0"/>
                          <w:marTop w:val="0"/>
                          <w:marBottom w:val="0"/>
                          <w:divBdr>
                            <w:top w:val="none" w:sz="0" w:space="0" w:color="auto"/>
                            <w:left w:val="none" w:sz="0" w:space="0" w:color="auto"/>
                            <w:bottom w:val="none" w:sz="0" w:space="0" w:color="auto"/>
                            <w:right w:val="none" w:sz="0" w:space="0" w:color="auto"/>
                          </w:divBdr>
                        </w:div>
                      </w:divsChild>
                    </w:div>
                    <w:div w:id="294138141">
                      <w:marLeft w:val="0"/>
                      <w:marRight w:val="0"/>
                      <w:marTop w:val="0"/>
                      <w:marBottom w:val="0"/>
                      <w:divBdr>
                        <w:top w:val="none" w:sz="0" w:space="0" w:color="auto"/>
                        <w:left w:val="none" w:sz="0" w:space="0" w:color="auto"/>
                        <w:bottom w:val="none" w:sz="0" w:space="0" w:color="auto"/>
                        <w:right w:val="none" w:sz="0" w:space="0" w:color="auto"/>
                      </w:divBdr>
                      <w:divsChild>
                        <w:div w:id="294141047">
                          <w:marLeft w:val="0"/>
                          <w:marRight w:val="0"/>
                          <w:marTop w:val="0"/>
                          <w:marBottom w:val="0"/>
                          <w:divBdr>
                            <w:top w:val="none" w:sz="0" w:space="0" w:color="auto"/>
                            <w:left w:val="none" w:sz="0" w:space="0" w:color="auto"/>
                            <w:bottom w:val="none" w:sz="0" w:space="0" w:color="auto"/>
                            <w:right w:val="none" w:sz="0" w:space="0" w:color="auto"/>
                          </w:divBdr>
                        </w:div>
                      </w:divsChild>
                    </w:div>
                    <w:div w:id="294138202">
                      <w:marLeft w:val="0"/>
                      <w:marRight w:val="0"/>
                      <w:marTop w:val="0"/>
                      <w:marBottom w:val="0"/>
                      <w:divBdr>
                        <w:top w:val="none" w:sz="0" w:space="0" w:color="auto"/>
                        <w:left w:val="none" w:sz="0" w:space="0" w:color="auto"/>
                        <w:bottom w:val="none" w:sz="0" w:space="0" w:color="auto"/>
                        <w:right w:val="none" w:sz="0" w:space="0" w:color="auto"/>
                      </w:divBdr>
                      <w:divsChild>
                        <w:div w:id="294144543">
                          <w:marLeft w:val="0"/>
                          <w:marRight w:val="0"/>
                          <w:marTop w:val="0"/>
                          <w:marBottom w:val="0"/>
                          <w:divBdr>
                            <w:top w:val="none" w:sz="0" w:space="0" w:color="auto"/>
                            <w:left w:val="none" w:sz="0" w:space="0" w:color="auto"/>
                            <w:bottom w:val="none" w:sz="0" w:space="0" w:color="auto"/>
                            <w:right w:val="none" w:sz="0" w:space="0" w:color="auto"/>
                          </w:divBdr>
                        </w:div>
                      </w:divsChild>
                    </w:div>
                    <w:div w:id="294138216">
                      <w:marLeft w:val="0"/>
                      <w:marRight w:val="0"/>
                      <w:marTop w:val="0"/>
                      <w:marBottom w:val="0"/>
                      <w:divBdr>
                        <w:top w:val="none" w:sz="0" w:space="0" w:color="auto"/>
                        <w:left w:val="none" w:sz="0" w:space="0" w:color="auto"/>
                        <w:bottom w:val="none" w:sz="0" w:space="0" w:color="auto"/>
                        <w:right w:val="none" w:sz="0" w:space="0" w:color="auto"/>
                      </w:divBdr>
                    </w:div>
                    <w:div w:id="294138237">
                      <w:marLeft w:val="0"/>
                      <w:marRight w:val="0"/>
                      <w:marTop w:val="0"/>
                      <w:marBottom w:val="0"/>
                      <w:divBdr>
                        <w:top w:val="none" w:sz="0" w:space="0" w:color="auto"/>
                        <w:left w:val="none" w:sz="0" w:space="0" w:color="auto"/>
                        <w:bottom w:val="none" w:sz="0" w:space="0" w:color="auto"/>
                        <w:right w:val="none" w:sz="0" w:space="0" w:color="auto"/>
                      </w:divBdr>
                      <w:divsChild>
                        <w:div w:id="294157037">
                          <w:marLeft w:val="0"/>
                          <w:marRight w:val="0"/>
                          <w:marTop w:val="0"/>
                          <w:marBottom w:val="0"/>
                          <w:divBdr>
                            <w:top w:val="none" w:sz="0" w:space="0" w:color="auto"/>
                            <w:left w:val="none" w:sz="0" w:space="0" w:color="auto"/>
                            <w:bottom w:val="none" w:sz="0" w:space="0" w:color="auto"/>
                            <w:right w:val="none" w:sz="0" w:space="0" w:color="auto"/>
                          </w:divBdr>
                        </w:div>
                      </w:divsChild>
                    </w:div>
                    <w:div w:id="294138265">
                      <w:marLeft w:val="0"/>
                      <w:marRight w:val="0"/>
                      <w:marTop w:val="0"/>
                      <w:marBottom w:val="0"/>
                      <w:divBdr>
                        <w:top w:val="none" w:sz="0" w:space="0" w:color="auto"/>
                        <w:left w:val="none" w:sz="0" w:space="0" w:color="auto"/>
                        <w:bottom w:val="none" w:sz="0" w:space="0" w:color="auto"/>
                        <w:right w:val="none" w:sz="0" w:space="0" w:color="auto"/>
                      </w:divBdr>
                    </w:div>
                    <w:div w:id="294138368">
                      <w:marLeft w:val="0"/>
                      <w:marRight w:val="0"/>
                      <w:marTop w:val="0"/>
                      <w:marBottom w:val="0"/>
                      <w:divBdr>
                        <w:top w:val="none" w:sz="0" w:space="0" w:color="auto"/>
                        <w:left w:val="none" w:sz="0" w:space="0" w:color="auto"/>
                        <w:bottom w:val="none" w:sz="0" w:space="0" w:color="auto"/>
                        <w:right w:val="none" w:sz="0" w:space="0" w:color="auto"/>
                      </w:divBdr>
                      <w:divsChild>
                        <w:div w:id="294147144">
                          <w:marLeft w:val="0"/>
                          <w:marRight w:val="0"/>
                          <w:marTop w:val="0"/>
                          <w:marBottom w:val="0"/>
                          <w:divBdr>
                            <w:top w:val="none" w:sz="0" w:space="0" w:color="auto"/>
                            <w:left w:val="none" w:sz="0" w:space="0" w:color="auto"/>
                            <w:bottom w:val="none" w:sz="0" w:space="0" w:color="auto"/>
                            <w:right w:val="none" w:sz="0" w:space="0" w:color="auto"/>
                          </w:divBdr>
                        </w:div>
                      </w:divsChild>
                    </w:div>
                    <w:div w:id="294138392">
                      <w:marLeft w:val="0"/>
                      <w:marRight w:val="0"/>
                      <w:marTop w:val="0"/>
                      <w:marBottom w:val="0"/>
                      <w:divBdr>
                        <w:top w:val="none" w:sz="0" w:space="0" w:color="auto"/>
                        <w:left w:val="none" w:sz="0" w:space="0" w:color="auto"/>
                        <w:bottom w:val="none" w:sz="0" w:space="0" w:color="auto"/>
                        <w:right w:val="none" w:sz="0" w:space="0" w:color="auto"/>
                      </w:divBdr>
                      <w:divsChild>
                        <w:div w:id="294155885">
                          <w:marLeft w:val="0"/>
                          <w:marRight w:val="0"/>
                          <w:marTop w:val="0"/>
                          <w:marBottom w:val="0"/>
                          <w:divBdr>
                            <w:top w:val="none" w:sz="0" w:space="0" w:color="auto"/>
                            <w:left w:val="none" w:sz="0" w:space="0" w:color="auto"/>
                            <w:bottom w:val="none" w:sz="0" w:space="0" w:color="auto"/>
                            <w:right w:val="none" w:sz="0" w:space="0" w:color="auto"/>
                          </w:divBdr>
                        </w:div>
                      </w:divsChild>
                    </w:div>
                    <w:div w:id="294138428">
                      <w:marLeft w:val="0"/>
                      <w:marRight w:val="0"/>
                      <w:marTop w:val="0"/>
                      <w:marBottom w:val="0"/>
                      <w:divBdr>
                        <w:top w:val="none" w:sz="0" w:space="0" w:color="auto"/>
                        <w:left w:val="none" w:sz="0" w:space="0" w:color="auto"/>
                        <w:bottom w:val="none" w:sz="0" w:space="0" w:color="auto"/>
                        <w:right w:val="none" w:sz="0" w:space="0" w:color="auto"/>
                      </w:divBdr>
                    </w:div>
                    <w:div w:id="294138619">
                      <w:marLeft w:val="0"/>
                      <w:marRight w:val="0"/>
                      <w:marTop w:val="0"/>
                      <w:marBottom w:val="0"/>
                      <w:divBdr>
                        <w:top w:val="none" w:sz="0" w:space="0" w:color="auto"/>
                        <w:left w:val="none" w:sz="0" w:space="0" w:color="auto"/>
                        <w:bottom w:val="none" w:sz="0" w:space="0" w:color="auto"/>
                        <w:right w:val="none" w:sz="0" w:space="0" w:color="auto"/>
                      </w:divBdr>
                      <w:divsChild>
                        <w:div w:id="294148432">
                          <w:marLeft w:val="0"/>
                          <w:marRight w:val="0"/>
                          <w:marTop w:val="0"/>
                          <w:marBottom w:val="0"/>
                          <w:divBdr>
                            <w:top w:val="none" w:sz="0" w:space="0" w:color="auto"/>
                            <w:left w:val="none" w:sz="0" w:space="0" w:color="auto"/>
                            <w:bottom w:val="none" w:sz="0" w:space="0" w:color="auto"/>
                            <w:right w:val="none" w:sz="0" w:space="0" w:color="auto"/>
                          </w:divBdr>
                        </w:div>
                      </w:divsChild>
                    </w:div>
                    <w:div w:id="294138648">
                      <w:marLeft w:val="0"/>
                      <w:marRight w:val="0"/>
                      <w:marTop w:val="0"/>
                      <w:marBottom w:val="0"/>
                      <w:divBdr>
                        <w:top w:val="none" w:sz="0" w:space="0" w:color="auto"/>
                        <w:left w:val="none" w:sz="0" w:space="0" w:color="auto"/>
                        <w:bottom w:val="none" w:sz="0" w:space="0" w:color="auto"/>
                        <w:right w:val="none" w:sz="0" w:space="0" w:color="auto"/>
                      </w:divBdr>
                    </w:div>
                    <w:div w:id="294138654">
                      <w:marLeft w:val="0"/>
                      <w:marRight w:val="0"/>
                      <w:marTop w:val="0"/>
                      <w:marBottom w:val="0"/>
                      <w:divBdr>
                        <w:top w:val="none" w:sz="0" w:space="0" w:color="auto"/>
                        <w:left w:val="none" w:sz="0" w:space="0" w:color="auto"/>
                        <w:bottom w:val="none" w:sz="0" w:space="0" w:color="auto"/>
                        <w:right w:val="none" w:sz="0" w:space="0" w:color="auto"/>
                      </w:divBdr>
                      <w:divsChild>
                        <w:div w:id="294152769">
                          <w:marLeft w:val="0"/>
                          <w:marRight w:val="0"/>
                          <w:marTop w:val="0"/>
                          <w:marBottom w:val="0"/>
                          <w:divBdr>
                            <w:top w:val="none" w:sz="0" w:space="0" w:color="auto"/>
                            <w:left w:val="none" w:sz="0" w:space="0" w:color="auto"/>
                            <w:bottom w:val="none" w:sz="0" w:space="0" w:color="auto"/>
                            <w:right w:val="none" w:sz="0" w:space="0" w:color="auto"/>
                          </w:divBdr>
                        </w:div>
                      </w:divsChild>
                    </w:div>
                    <w:div w:id="294138679">
                      <w:marLeft w:val="0"/>
                      <w:marRight w:val="0"/>
                      <w:marTop w:val="0"/>
                      <w:marBottom w:val="0"/>
                      <w:divBdr>
                        <w:top w:val="none" w:sz="0" w:space="0" w:color="auto"/>
                        <w:left w:val="none" w:sz="0" w:space="0" w:color="auto"/>
                        <w:bottom w:val="none" w:sz="0" w:space="0" w:color="auto"/>
                        <w:right w:val="none" w:sz="0" w:space="0" w:color="auto"/>
                      </w:divBdr>
                    </w:div>
                    <w:div w:id="294138693">
                      <w:marLeft w:val="0"/>
                      <w:marRight w:val="0"/>
                      <w:marTop w:val="0"/>
                      <w:marBottom w:val="0"/>
                      <w:divBdr>
                        <w:top w:val="none" w:sz="0" w:space="0" w:color="auto"/>
                        <w:left w:val="none" w:sz="0" w:space="0" w:color="auto"/>
                        <w:bottom w:val="none" w:sz="0" w:space="0" w:color="auto"/>
                        <w:right w:val="none" w:sz="0" w:space="0" w:color="auto"/>
                      </w:divBdr>
                    </w:div>
                    <w:div w:id="294138720">
                      <w:marLeft w:val="0"/>
                      <w:marRight w:val="0"/>
                      <w:marTop w:val="0"/>
                      <w:marBottom w:val="0"/>
                      <w:divBdr>
                        <w:top w:val="none" w:sz="0" w:space="0" w:color="auto"/>
                        <w:left w:val="none" w:sz="0" w:space="0" w:color="auto"/>
                        <w:bottom w:val="none" w:sz="0" w:space="0" w:color="auto"/>
                        <w:right w:val="none" w:sz="0" w:space="0" w:color="auto"/>
                      </w:divBdr>
                    </w:div>
                    <w:div w:id="294138758">
                      <w:marLeft w:val="0"/>
                      <w:marRight w:val="0"/>
                      <w:marTop w:val="0"/>
                      <w:marBottom w:val="0"/>
                      <w:divBdr>
                        <w:top w:val="none" w:sz="0" w:space="0" w:color="auto"/>
                        <w:left w:val="none" w:sz="0" w:space="0" w:color="auto"/>
                        <w:bottom w:val="none" w:sz="0" w:space="0" w:color="auto"/>
                        <w:right w:val="none" w:sz="0" w:space="0" w:color="auto"/>
                      </w:divBdr>
                    </w:div>
                    <w:div w:id="294138807">
                      <w:marLeft w:val="0"/>
                      <w:marRight w:val="0"/>
                      <w:marTop w:val="0"/>
                      <w:marBottom w:val="0"/>
                      <w:divBdr>
                        <w:top w:val="none" w:sz="0" w:space="0" w:color="auto"/>
                        <w:left w:val="none" w:sz="0" w:space="0" w:color="auto"/>
                        <w:bottom w:val="none" w:sz="0" w:space="0" w:color="auto"/>
                        <w:right w:val="none" w:sz="0" w:space="0" w:color="auto"/>
                      </w:divBdr>
                    </w:div>
                    <w:div w:id="294138834">
                      <w:marLeft w:val="0"/>
                      <w:marRight w:val="0"/>
                      <w:marTop w:val="0"/>
                      <w:marBottom w:val="0"/>
                      <w:divBdr>
                        <w:top w:val="none" w:sz="0" w:space="0" w:color="auto"/>
                        <w:left w:val="none" w:sz="0" w:space="0" w:color="auto"/>
                        <w:bottom w:val="none" w:sz="0" w:space="0" w:color="auto"/>
                        <w:right w:val="none" w:sz="0" w:space="0" w:color="auto"/>
                      </w:divBdr>
                    </w:div>
                    <w:div w:id="294138928">
                      <w:marLeft w:val="0"/>
                      <w:marRight w:val="0"/>
                      <w:marTop w:val="0"/>
                      <w:marBottom w:val="0"/>
                      <w:divBdr>
                        <w:top w:val="none" w:sz="0" w:space="0" w:color="auto"/>
                        <w:left w:val="none" w:sz="0" w:space="0" w:color="auto"/>
                        <w:bottom w:val="none" w:sz="0" w:space="0" w:color="auto"/>
                        <w:right w:val="none" w:sz="0" w:space="0" w:color="auto"/>
                      </w:divBdr>
                    </w:div>
                    <w:div w:id="294139006">
                      <w:marLeft w:val="0"/>
                      <w:marRight w:val="0"/>
                      <w:marTop w:val="0"/>
                      <w:marBottom w:val="0"/>
                      <w:divBdr>
                        <w:top w:val="none" w:sz="0" w:space="0" w:color="auto"/>
                        <w:left w:val="none" w:sz="0" w:space="0" w:color="auto"/>
                        <w:bottom w:val="none" w:sz="0" w:space="0" w:color="auto"/>
                        <w:right w:val="none" w:sz="0" w:space="0" w:color="auto"/>
                      </w:divBdr>
                      <w:divsChild>
                        <w:div w:id="294151079">
                          <w:marLeft w:val="0"/>
                          <w:marRight w:val="0"/>
                          <w:marTop w:val="0"/>
                          <w:marBottom w:val="0"/>
                          <w:divBdr>
                            <w:top w:val="none" w:sz="0" w:space="0" w:color="auto"/>
                            <w:left w:val="none" w:sz="0" w:space="0" w:color="auto"/>
                            <w:bottom w:val="none" w:sz="0" w:space="0" w:color="auto"/>
                            <w:right w:val="none" w:sz="0" w:space="0" w:color="auto"/>
                          </w:divBdr>
                        </w:div>
                      </w:divsChild>
                    </w:div>
                    <w:div w:id="294139084">
                      <w:marLeft w:val="0"/>
                      <w:marRight w:val="0"/>
                      <w:marTop w:val="0"/>
                      <w:marBottom w:val="0"/>
                      <w:divBdr>
                        <w:top w:val="none" w:sz="0" w:space="0" w:color="auto"/>
                        <w:left w:val="none" w:sz="0" w:space="0" w:color="auto"/>
                        <w:bottom w:val="none" w:sz="0" w:space="0" w:color="auto"/>
                        <w:right w:val="none" w:sz="0" w:space="0" w:color="auto"/>
                      </w:divBdr>
                      <w:divsChild>
                        <w:div w:id="294148182">
                          <w:marLeft w:val="0"/>
                          <w:marRight w:val="0"/>
                          <w:marTop w:val="0"/>
                          <w:marBottom w:val="0"/>
                          <w:divBdr>
                            <w:top w:val="none" w:sz="0" w:space="0" w:color="auto"/>
                            <w:left w:val="none" w:sz="0" w:space="0" w:color="auto"/>
                            <w:bottom w:val="none" w:sz="0" w:space="0" w:color="auto"/>
                            <w:right w:val="none" w:sz="0" w:space="0" w:color="auto"/>
                          </w:divBdr>
                        </w:div>
                      </w:divsChild>
                    </w:div>
                    <w:div w:id="294139097">
                      <w:marLeft w:val="0"/>
                      <w:marRight w:val="0"/>
                      <w:marTop w:val="0"/>
                      <w:marBottom w:val="0"/>
                      <w:divBdr>
                        <w:top w:val="none" w:sz="0" w:space="0" w:color="auto"/>
                        <w:left w:val="none" w:sz="0" w:space="0" w:color="auto"/>
                        <w:bottom w:val="none" w:sz="0" w:space="0" w:color="auto"/>
                        <w:right w:val="none" w:sz="0" w:space="0" w:color="auto"/>
                      </w:divBdr>
                    </w:div>
                    <w:div w:id="294139194">
                      <w:marLeft w:val="0"/>
                      <w:marRight w:val="0"/>
                      <w:marTop w:val="0"/>
                      <w:marBottom w:val="0"/>
                      <w:divBdr>
                        <w:top w:val="none" w:sz="0" w:space="0" w:color="auto"/>
                        <w:left w:val="none" w:sz="0" w:space="0" w:color="auto"/>
                        <w:bottom w:val="none" w:sz="0" w:space="0" w:color="auto"/>
                        <w:right w:val="none" w:sz="0" w:space="0" w:color="auto"/>
                      </w:divBdr>
                      <w:divsChild>
                        <w:div w:id="294140408">
                          <w:marLeft w:val="0"/>
                          <w:marRight w:val="0"/>
                          <w:marTop w:val="0"/>
                          <w:marBottom w:val="0"/>
                          <w:divBdr>
                            <w:top w:val="none" w:sz="0" w:space="0" w:color="auto"/>
                            <w:left w:val="none" w:sz="0" w:space="0" w:color="auto"/>
                            <w:bottom w:val="none" w:sz="0" w:space="0" w:color="auto"/>
                            <w:right w:val="none" w:sz="0" w:space="0" w:color="auto"/>
                          </w:divBdr>
                        </w:div>
                      </w:divsChild>
                    </w:div>
                    <w:div w:id="294139260">
                      <w:marLeft w:val="0"/>
                      <w:marRight w:val="0"/>
                      <w:marTop w:val="0"/>
                      <w:marBottom w:val="0"/>
                      <w:divBdr>
                        <w:top w:val="none" w:sz="0" w:space="0" w:color="auto"/>
                        <w:left w:val="none" w:sz="0" w:space="0" w:color="auto"/>
                        <w:bottom w:val="none" w:sz="0" w:space="0" w:color="auto"/>
                        <w:right w:val="none" w:sz="0" w:space="0" w:color="auto"/>
                      </w:divBdr>
                      <w:divsChild>
                        <w:div w:id="294152003">
                          <w:marLeft w:val="0"/>
                          <w:marRight w:val="0"/>
                          <w:marTop w:val="0"/>
                          <w:marBottom w:val="0"/>
                          <w:divBdr>
                            <w:top w:val="none" w:sz="0" w:space="0" w:color="auto"/>
                            <w:left w:val="none" w:sz="0" w:space="0" w:color="auto"/>
                            <w:bottom w:val="none" w:sz="0" w:space="0" w:color="auto"/>
                            <w:right w:val="none" w:sz="0" w:space="0" w:color="auto"/>
                          </w:divBdr>
                        </w:div>
                      </w:divsChild>
                    </w:div>
                    <w:div w:id="294139265">
                      <w:marLeft w:val="0"/>
                      <w:marRight w:val="0"/>
                      <w:marTop w:val="0"/>
                      <w:marBottom w:val="0"/>
                      <w:divBdr>
                        <w:top w:val="none" w:sz="0" w:space="0" w:color="auto"/>
                        <w:left w:val="none" w:sz="0" w:space="0" w:color="auto"/>
                        <w:bottom w:val="none" w:sz="0" w:space="0" w:color="auto"/>
                        <w:right w:val="none" w:sz="0" w:space="0" w:color="auto"/>
                      </w:divBdr>
                      <w:divsChild>
                        <w:div w:id="294138364">
                          <w:marLeft w:val="0"/>
                          <w:marRight w:val="0"/>
                          <w:marTop w:val="0"/>
                          <w:marBottom w:val="0"/>
                          <w:divBdr>
                            <w:top w:val="none" w:sz="0" w:space="0" w:color="auto"/>
                            <w:left w:val="none" w:sz="0" w:space="0" w:color="auto"/>
                            <w:bottom w:val="none" w:sz="0" w:space="0" w:color="auto"/>
                            <w:right w:val="none" w:sz="0" w:space="0" w:color="auto"/>
                          </w:divBdr>
                        </w:div>
                      </w:divsChild>
                    </w:div>
                    <w:div w:id="294139454">
                      <w:marLeft w:val="0"/>
                      <w:marRight w:val="0"/>
                      <w:marTop w:val="0"/>
                      <w:marBottom w:val="0"/>
                      <w:divBdr>
                        <w:top w:val="none" w:sz="0" w:space="0" w:color="auto"/>
                        <w:left w:val="none" w:sz="0" w:space="0" w:color="auto"/>
                        <w:bottom w:val="none" w:sz="0" w:space="0" w:color="auto"/>
                        <w:right w:val="none" w:sz="0" w:space="0" w:color="auto"/>
                      </w:divBdr>
                    </w:div>
                    <w:div w:id="294139459">
                      <w:marLeft w:val="0"/>
                      <w:marRight w:val="0"/>
                      <w:marTop w:val="0"/>
                      <w:marBottom w:val="0"/>
                      <w:divBdr>
                        <w:top w:val="none" w:sz="0" w:space="0" w:color="auto"/>
                        <w:left w:val="none" w:sz="0" w:space="0" w:color="auto"/>
                        <w:bottom w:val="none" w:sz="0" w:space="0" w:color="auto"/>
                        <w:right w:val="none" w:sz="0" w:space="0" w:color="auto"/>
                      </w:divBdr>
                      <w:divsChild>
                        <w:div w:id="294155827">
                          <w:marLeft w:val="0"/>
                          <w:marRight w:val="0"/>
                          <w:marTop w:val="0"/>
                          <w:marBottom w:val="0"/>
                          <w:divBdr>
                            <w:top w:val="none" w:sz="0" w:space="0" w:color="auto"/>
                            <w:left w:val="none" w:sz="0" w:space="0" w:color="auto"/>
                            <w:bottom w:val="none" w:sz="0" w:space="0" w:color="auto"/>
                            <w:right w:val="none" w:sz="0" w:space="0" w:color="auto"/>
                          </w:divBdr>
                        </w:div>
                      </w:divsChild>
                    </w:div>
                    <w:div w:id="294139496">
                      <w:marLeft w:val="0"/>
                      <w:marRight w:val="0"/>
                      <w:marTop w:val="0"/>
                      <w:marBottom w:val="0"/>
                      <w:divBdr>
                        <w:top w:val="none" w:sz="0" w:space="0" w:color="auto"/>
                        <w:left w:val="none" w:sz="0" w:space="0" w:color="auto"/>
                        <w:bottom w:val="none" w:sz="0" w:space="0" w:color="auto"/>
                        <w:right w:val="none" w:sz="0" w:space="0" w:color="auto"/>
                      </w:divBdr>
                    </w:div>
                    <w:div w:id="294139535">
                      <w:marLeft w:val="0"/>
                      <w:marRight w:val="0"/>
                      <w:marTop w:val="0"/>
                      <w:marBottom w:val="0"/>
                      <w:divBdr>
                        <w:top w:val="none" w:sz="0" w:space="0" w:color="auto"/>
                        <w:left w:val="none" w:sz="0" w:space="0" w:color="auto"/>
                        <w:bottom w:val="none" w:sz="0" w:space="0" w:color="auto"/>
                        <w:right w:val="none" w:sz="0" w:space="0" w:color="auto"/>
                      </w:divBdr>
                    </w:div>
                    <w:div w:id="294139561">
                      <w:marLeft w:val="0"/>
                      <w:marRight w:val="0"/>
                      <w:marTop w:val="0"/>
                      <w:marBottom w:val="0"/>
                      <w:divBdr>
                        <w:top w:val="none" w:sz="0" w:space="0" w:color="auto"/>
                        <w:left w:val="none" w:sz="0" w:space="0" w:color="auto"/>
                        <w:bottom w:val="none" w:sz="0" w:space="0" w:color="auto"/>
                        <w:right w:val="none" w:sz="0" w:space="0" w:color="auto"/>
                      </w:divBdr>
                    </w:div>
                    <w:div w:id="294139564">
                      <w:marLeft w:val="0"/>
                      <w:marRight w:val="0"/>
                      <w:marTop w:val="0"/>
                      <w:marBottom w:val="0"/>
                      <w:divBdr>
                        <w:top w:val="none" w:sz="0" w:space="0" w:color="auto"/>
                        <w:left w:val="none" w:sz="0" w:space="0" w:color="auto"/>
                        <w:bottom w:val="none" w:sz="0" w:space="0" w:color="auto"/>
                        <w:right w:val="none" w:sz="0" w:space="0" w:color="auto"/>
                      </w:divBdr>
                      <w:divsChild>
                        <w:div w:id="294147628">
                          <w:marLeft w:val="0"/>
                          <w:marRight w:val="0"/>
                          <w:marTop w:val="0"/>
                          <w:marBottom w:val="0"/>
                          <w:divBdr>
                            <w:top w:val="none" w:sz="0" w:space="0" w:color="auto"/>
                            <w:left w:val="none" w:sz="0" w:space="0" w:color="auto"/>
                            <w:bottom w:val="none" w:sz="0" w:space="0" w:color="auto"/>
                            <w:right w:val="none" w:sz="0" w:space="0" w:color="auto"/>
                          </w:divBdr>
                        </w:div>
                      </w:divsChild>
                    </w:div>
                    <w:div w:id="294139570">
                      <w:marLeft w:val="0"/>
                      <w:marRight w:val="0"/>
                      <w:marTop w:val="0"/>
                      <w:marBottom w:val="0"/>
                      <w:divBdr>
                        <w:top w:val="none" w:sz="0" w:space="0" w:color="auto"/>
                        <w:left w:val="none" w:sz="0" w:space="0" w:color="auto"/>
                        <w:bottom w:val="none" w:sz="0" w:space="0" w:color="auto"/>
                        <w:right w:val="none" w:sz="0" w:space="0" w:color="auto"/>
                      </w:divBdr>
                      <w:divsChild>
                        <w:div w:id="294150712">
                          <w:marLeft w:val="0"/>
                          <w:marRight w:val="0"/>
                          <w:marTop w:val="0"/>
                          <w:marBottom w:val="0"/>
                          <w:divBdr>
                            <w:top w:val="none" w:sz="0" w:space="0" w:color="auto"/>
                            <w:left w:val="none" w:sz="0" w:space="0" w:color="auto"/>
                            <w:bottom w:val="none" w:sz="0" w:space="0" w:color="auto"/>
                            <w:right w:val="none" w:sz="0" w:space="0" w:color="auto"/>
                          </w:divBdr>
                        </w:div>
                      </w:divsChild>
                    </w:div>
                    <w:div w:id="294139675">
                      <w:marLeft w:val="0"/>
                      <w:marRight w:val="0"/>
                      <w:marTop w:val="0"/>
                      <w:marBottom w:val="0"/>
                      <w:divBdr>
                        <w:top w:val="none" w:sz="0" w:space="0" w:color="auto"/>
                        <w:left w:val="none" w:sz="0" w:space="0" w:color="auto"/>
                        <w:bottom w:val="none" w:sz="0" w:space="0" w:color="auto"/>
                        <w:right w:val="none" w:sz="0" w:space="0" w:color="auto"/>
                      </w:divBdr>
                      <w:divsChild>
                        <w:div w:id="294139503">
                          <w:marLeft w:val="0"/>
                          <w:marRight w:val="0"/>
                          <w:marTop w:val="0"/>
                          <w:marBottom w:val="0"/>
                          <w:divBdr>
                            <w:top w:val="none" w:sz="0" w:space="0" w:color="auto"/>
                            <w:left w:val="none" w:sz="0" w:space="0" w:color="auto"/>
                            <w:bottom w:val="none" w:sz="0" w:space="0" w:color="auto"/>
                            <w:right w:val="none" w:sz="0" w:space="0" w:color="auto"/>
                          </w:divBdr>
                        </w:div>
                      </w:divsChild>
                    </w:div>
                    <w:div w:id="294139680">
                      <w:marLeft w:val="0"/>
                      <w:marRight w:val="0"/>
                      <w:marTop w:val="0"/>
                      <w:marBottom w:val="0"/>
                      <w:divBdr>
                        <w:top w:val="none" w:sz="0" w:space="0" w:color="auto"/>
                        <w:left w:val="none" w:sz="0" w:space="0" w:color="auto"/>
                        <w:bottom w:val="none" w:sz="0" w:space="0" w:color="auto"/>
                        <w:right w:val="none" w:sz="0" w:space="0" w:color="auto"/>
                      </w:divBdr>
                    </w:div>
                    <w:div w:id="294139761">
                      <w:marLeft w:val="0"/>
                      <w:marRight w:val="0"/>
                      <w:marTop w:val="0"/>
                      <w:marBottom w:val="0"/>
                      <w:divBdr>
                        <w:top w:val="none" w:sz="0" w:space="0" w:color="auto"/>
                        <w:left w:val="none" w:sz="0" w:space="0" w:color="auto"/>
                        <w:bottom w:val="none" w:sz="0" w:space="0" w:color="auto"/>
                        <w:right w:val="none" w:sz="0" w:space="0" w:color="auto"/>
                      </w:divBdr>
                    </w:div>
                    <w:div w:id="294139790">
                      <w:marLeft w:val="0"/>
                      <w:marRight w:val="0"/>
                      <w:marTop w:val="0"/>
                      <w:marBottom w:val="0"/>
                      <w:divBdr>
                        <w:top w:val="none" w:sz="0" w:space="0" w:color="auto"/>
                        <w:left w:val="none" w:sz="0" w:space="0" w:color="auto"/>
                        <w:bottom w:val="none" w:sz="0" w:space="0" w:color="auto"/>
                        <w:right w:val="none" w:sz="0" w:space="0" w:color="auto"/>
                      </w:divBdr>
                    </w:div>
                    <w:div w:id="294140001">
                      <w:marLeft w:val="0"/>
                      <w:marRight w:val="0"/>
                      <w:marTop w:val="0"/>
                      <w:marBottom w:val="0"/>
                      <w:divBdr>
                        <w:top w:val="none" w:sz="0" w:space="0" w:color="auto"/>
                        <w:left w:val="none" w:sz="0" w:space="0" w:color="auto"/>
                        <w:bottom w:val="none" w:sz="0" w:space="0" w:color="auto"/>
                        <w:right w:val="none" w:sz="0" w:space="0" w:color="auto"/>
                      </w:divBdr>
                    </w:div>
                    <w:div w:id="294140057">
                      <w:marLeft w:val="0"/>
                      <w:marRight w:val="0"/>
                      <w:marTop w:val="0"/>
                      <w:marBottom w:val="0"/>
                      <w:divBdr>
                        <w:top w:val="none" w:sz="0" w:space="0" w:color="auto"/>
                        <w:left w:val="none" w:sz="0" w:space="0" w:color="auto"/>
                        <w:bottom w:val="none" w:sz="0" w:space="0" w:color="auto"/>
                        <w:right w:val="none" w:sz="0" w:space="0" w:color="auto"/>
                      </w:divBdr>
                    </w:div>
                    <w:div w:id="294140108">
                      <w:marLeft w:val="0"/>
                      <w:marRight w:val="0"/>
                      <w:marTop w:val="0"/>
                      <w:marBottom w:val="0"/>
                      <w:divBdr>
                        <w:top w:val="none" w:sz="0" w:space="0" w:color="auto"/>
                        <w:left w:val="none" w:sz="0" w:space="0" w:color="auto"/>
                        <w:bottom w:val="none" w:sz="0" w:space="0" w:color="auto"/>
                        <w:right w:val="none" w:sz="0" w:space="0" w:color="auto"/>
                      </w:divBdr>
                    </w:div>
                    <w:div w:id="294140127">
                      <w:marLeft w:val="0"/>
                      <w:marRight w:val="0"/>
                      <w:marTop w:val="0"/>
                      <w:marBottom w:val="0"/>
                      <w:divBdr>
                        <w:top w:val="none" w:sz="0" w:space="0" w:color="auto"/>
                        <w:left w:val="none" w:sz="0" w:space="0" w:color="auto"/>
                        <w:bottom w:val="none" w:sz="0" w:space="0" w:color="auto"/>
                        <w:right w:val="none" w:sz="0" w:space="0" w:color="auto"/>
                      </w:divBdr>
                      <w:divsChild>
                        <w:div w:id="294149166">
                          <w:marLeft w:val="0"/>
                          <w:marRight w:val="0"/>
                          <w:marTop w:val="0"/>
                          <w:marBottom w:val="0"/>
                          <w:divBdr>
                            <w:top w:val="none" w:sz="0" w:space="0" w:color="auto"/>
                            <w:left w:val="none" w:sz="0" w:space="0" w:color="auto"/>
                            <w:bottom w:val="none" w:sz="0" w:space="0" w:color="auto"/>
                            <w:right w:val="none" w:sz="0" w:space="0" w:color="auto"/>
                          </w:divBdr>
                        </w:div>
                      </w:divsChild>
                    </w:div>
                    <w:div w:id="294140180">
                      <w:marLeft w:val="0"/>
                      <w:marRight w:val="0"/>
                      <w:marTop w:val="0"/>
                      <w:marBottom w:val="0"/>
                      <w:divBdr>
                        <w:top w:val="none" w:sz="0" w:space="0" w:color="auto"/>
                        <w:left w:val="none" w:sz="0" w:space="0" w:color="auto"/>
                        <w:bottom w:val="none" w:sz="0" w:space="0" w:color="auto"/>
                        <w:right w:val="none" w:sz="0" w:space="0" w:color="auto"/>
                      </w:divBdr>
                    </w:div>
                    <w:div w:id="294140310">
                      <w:marLeft w:val="0"/>
                      <w:marRight w:val="0"/>
                      <w:marTop w:val="0"/>
                      <w:marBottom w:val="0"/>
                      <w:divBdr>
                        <w:top w:val="none" w:sz="0" w:space="0" w:color="auto"/>
                        <w:left w:val="none" w:sz="0" w:space="0" w:color="auto"/>
                        <w:bottom w:val="none" w:sz="0" w:space="0" w:color="auto"/>
                        <w:right w:val="none" w:sz="0" w:space="0" w:color="auto"/>
                      </w:divBdr>
                    </w:div>
                    <w:div w:id="294140340">
                      <w:marLeft w:val="0"/>
                      <w:marRight w:val="0"/>
                      <w:marTop w:val="0"/>
                      <w:marBottom w:val="0"/>
                      <w:divBdr>
                        <w:top w:val="none" w:sz="0" w:space="0" w:color="auto"/>
                        <w:left w:val="none" w:sz="0" w:space="0" w:color="auto"/>
                        <w:bottom w:val="none" w:sz="0" w:space="0" w:color="auto"/>
                        <w:right w:val="none" w:sz="0" w:space="0" w:color="auto"/>
                      </w:divBdr>
                    </w:div>
                    <w:div w:id="294140666">
                      <w:marLeft w:val="0"/>
                      <w:marRight w:val="0"/>
                      <w:marTop w:val="0"/>
                      <w:marBottom w:val="0"/>
                      <w:divBdr>
                        <w:top w:val="none" w:sz="0" w:space="0" w:color="auto"/>
                        <w:left w:val="none" w:sz="0" w:space="0" w:color="auto"/>
                        <w:bottom w:val="none" w:sz="0" w:space="0" w:color="auto"/>
                        <w:right w:val="none" w:sz="0" w:space="0" w:color="auto"/>
                      </w:divBdr>
                      <w:divsChild>
                        <w:div w:id="294141723">
                          <w:marLeft w:val="0"/>
                          <w:marRight w:val="0"/>
                          <w:marTop w:val="0"/>
                          <w:marBottom w:val="0"/>
                          <w:divBdr>
                            <w:top w:val="none" w:sz="0" w:space="0" w:color="auto"/>
                            <w:left w:val="none" w:sz="0" w:space="0" w:color="auto"/>
                            <w:bottom w:val="none" w:sz="0" w:space="0" w:color="auto"/>
                            <w:right w:val="none" w:sz="0" w:space="0" w:color="auto"/>
                          </w:divBdr>
                        </w:div>
                      </w:divsChild>
                    </w:div>
                    <w:div w:id="294140698">
                      <w:marLeft w:val="0"/>
                      <w:marRight w:val="0"/>
                      <w:marTop w:val="0"/>
                      <w:marBottom w:val="0"/>
                      <w:divBdr>
                        <w:top w:val="none" w:sz="0" w:space="0" w:color="auto"/>
                        <w:left w:val="none" w:sz="0" w:space="0" w:color="auto"/>
                        <w:bottom w:val="none" w:sz="0" w:space="0" w:color="auto"/>
                        <w:right w:val="none" w:sz="0" w:space="0" w:color="auto"/>
                      </w:divBdr>
                    </w:div>
                    <w:div w:id="294140703">
                      <w:marLeft w:val="0"/>
                      <w:marRight w:val="0"/>
                      <w:marTop w:val="0"/>
                      <w:marBottom w:val="0"/>
                      <w:divBdr>
                        <w:top w:val="none" w:sz="0" w:space="0" w:color="auto"/>
                        <w:left w:val="none" w:sz="0" w:space="0" w:color="auto"/>
                        <w:bottom w:val="none" w:sz="0" w:space="0" w:color="auto"/>
                        <w:right w:val="none" w:sz="0" w:space="0" w:color="auto"/>
                      </w:divBdr>
                      <w:divsChild>
                        <w:div w:id="294148764">
                          <w:marLeft w:val="0"/>
                          <w:marRight w:val="0"/>
                          <w:marTop w:val="0"/>
                          <w:marBottom w:val="0"/>
                          <w:divBdr>
                            <w:top w:val="none" w:sz="0" w:space="0" w:color="auto"/>
                            <w:left w:val="none" w:sz="0" w:space="0" w:color="auto"/>
                            <w:bottom w:val="none" w:sz="0" w:space="0" w:color="auto"/>
                            <w:right w:val="none" w:sz="0" w:space="0" w:color="auto"/>
                          </w:divBdr>
                        </w:div>
                      </w:divsChild>
                    </w:div>
                    <w:div w:id="294140861">
                      <w:marLeft w:val="0"/>
                      <w:marRight w:val="0"/>
                      <w:marTop w:val="0"/>
                      <w:marBottom w:val="0"/>
                      <w:divBdr>
                        <w:top w:val="none" w:sz="0" w:space="0" w:color="auto"/>
                        <w:left w:val="none" w:sz="0" w:space="0" w:color="auto"/>
                        <w:bottom w:val="none" w:sz="0" w:space="0" w:color="auto"/>
                        <w:right w:val="none" w:sz="0" w:space="0" w:color="auto"/>
                      </w:divBdr>
                      <w:divsChild>
                        <w:div w:id="294139272">
                          <w:marLeft w:val="0"/>
                          <w:marRight w:val="0"/>
                          <w:marTop w:val="0"/>
                          <w:marBottom w:val="0"/>
                          <w:divBdr>
                            <w:top w:val="none" w:sz="0" w:space="0" w:color="auto"/>
                            <w:left w:val="none" w:sz="0" w:space="0" w:color="auto"/>
                            <w:bottom w:val="none" w:sz="0" w:space="0" w:color="auto"/>
                            <w:right w:val="none" w:sz="0" w:space="0" w:color="auto"/>
                          </w:divBdr>
                        </w:div>
                      </w:divsChild>
                    </w:div>
                    <w:div w:id="294140893">
                      <w:marLeft w:val="0"/>
                      <w:marRight w:val="0"/>
                      <w:marTop w:val="0"/>
                      <w:marBottom w:val="0"/>
                      <w:divBdr>
                        <w:top w:val="none" w:sz="0" w:space="0" w:color="auto"/>
                        <w:left w:val="none" w:sz="0" w:space="0" w:color="auto"/>
                        <w:bottom w:val="none" w:sz="0" w:space="0" w:color="auto"/>
                        <w:right w:val="none" w:sz="0" w:space="0" w:color="auto"/>
                      </w:divBdr>
                    </w:div>
                    <w:div w:id="294140895">
                      <w:marLeft w:val="0"/>
                      <w:marRight w:val="0"/>
                      <w:marTop w:val="0"/>
                      <w:marBottom w:val="0"/>
                      <w:divBdr>
                        <w:top w:val="none" w:sz="0" w:space="0" w:color="auto"/>
                        <w:left w:val="none" w:sz="0" w:space="0" w:color="auto"/>
                        <w:bottom w:val="none" w:sz="0" w:space="0" w:color="auto"/>
                        <w:right w:val="none" w:sz="0" w:space="0" w:color="auto"/>
                      </w:divBdr>
                      <w:divsChild>
                        <w:div w:id="294139552">
                          <w:marLeft w:val="0"/>
                          <w:marRight w:val="0"/>
                          <w:marTop w:val="0"/>
                          <w:marBottom w:val="0"/>
                          <w:divBdr>
                            <w:top w:val="none" w:sz="0" w:space="0" w:color="auto"/>
                            <w:left w:val="none" w:sz="0" w:space="0" w:color="auto"/>
                            <w:bottom w:val="none" w:sz="0" w:space="0" w:color="auto"/>
                            <w:right w:val="none" w:sz="0" w:space="0" w:color="auto"/>
                          </w:divBdr>
                        </w:div>
                      </w:divsChild>
                    </w:div>
                    <w:div w:id="294140910">
                      <w:marLeft w:val="0"/>
                      <w:marRight w:val="0"/>
                      <w:marTop w:val="0"/>
                      <w:marBottom w:val="0"/>
                      <w:divBdr>
                        <w:top w:val="none" w:sz="0" w:space="0" w:color="auto"/>
                        <w:left w:val="none" w:sz="0" w:space="0" w:color="auto"/>
                        <w:bottom w:val="none" w:sz="0" w:space="0" w:color="auto"/>
                        <w:right w:val="none" w:sz="0" w:space="0" w:color="auto"/>
                      </w:divBdr>
                    </w:div>
                    <w:div w:id="294140954">
                      <w:marLeft w:val="0"/>
                      <w:marRight w:val="0"/>
                      <w:marTop w:val="0"/>
                      <w:marBottom w:val="0"/>
                      <w:divBdr>
                        <w:top w:val="none" w:sz="0" w:space="0" w:color="auto"/>
                        <w:left w:val="none" w:sz="0" w:space="0" w:color="auto"/>
                        <w:bottom w:val="none" w:sz="0" w:space="0" w:color="auto"/>
                        <w:right w:val="none" w:sz="0" w:space="0" w:color="auto"/>
                      </w:divBdr>
                      <w:divsChild>
                        <w:div w:id="294141580">
                          <w:marLeft w:val="0"/>
                          <w:marRight w:val="0"/>
                          <w:marTop w:val="0"/>
                          <w:marBottom w:val="0"/>
                          <w:divBdr>
                            <w:top w:val="none" w:sz="0" w:space="0" w:color="auto"/>
                            <w:left w:val="none" w:sz="0" w:space="0" w:color="auto"/>
                            <w:bottom w:val="none" w:sz="0" w:space="0" w:color="auto"/>
                            <w:right w:val="none" w:sz="0" w:space="0" w:color="auto"/>
                          </w:divBdr>
                        </w:div>
                      </w:divsChild>
                    </w:div>
                    <w:div w:id="294140976">
                      <w:marLeft w:val="0"/>
                      <w:marRight w:val="0"/>
                      <w:marTop w:val="0"/>
                      <w:marBottom w:val="0"/>
                      <w:divBdr>
                        <w:top w:val="none" w:sz="0" w:space="0" w:color="auto"/>
                        <w:left w:val="none" w:sz="0" w:space="0" w:color="auto"/>
                        <w:bottom w:val="none" w:sz="0" w:space="0" w:color="auto"/>
                        <w:right w:val="none" w:sz="0" w:space="0" w:color="auto"/>
                      </w:divBdr>
                      <w:divsChild>
                        <w:div w:id="294149193">
                          <w:marLeft w:val="0"/>
                          <w:marRight w:val="0"/>
                          <w:marTop w:val="0"/>
                          <w:marBottom w:val="0"/>
                          <w:divBdr>
                            <w:top w:val="none" w:sz="0" w:space="0" w:color="auto"/>
                            <w:left w:val="none" w:sz="0" w:space="0" w:color="auto"/>
                            <w:bottom w:val="none" w:sz="0" w:space="0" w:color="auto"/>
                            <w:right w:val="none" w:sz="0" w:space="0" w:color="auto"/>
                          </w:divBdr>
                        </w:div>
                      </w:divsChild>
                    </w:div>
                    <w:div w:id="294140981">
                      <w:marLeft w:val="0"/>
                      <w:marRight w:val="0"/>
                      <w:marTop w:val="0"/>
                      <w:marBottom w:val="0"/>
                      <w:divBdr>
                        <w:top w:val="none" w:sz="0" w:space="0" w:color="auto"/>
                        <w:left w:val="none" w:sz="0" w:space="0" w:color="auto"/>
                        <w:bottom w:val="none" w:sz="0" w:space="0" w:color="auto"/>
                        <w:right w:val="none" w:sz="0" w:space="0" w:color="auto"/>
                      </w:divBdr>
                    </w:div>
                    <w:div w:id="294141098">
                      <w:marLeft w:val="0"/>
                      <w:marRight w:val="0"/>
                      <w:marTop w:val="0"/>
                      <w:marBottom w:val="0"/>
                      <w:divBdr>
                        <w:top w:val="none" w:sz="0" w:space="0" w:color="auto"/>
                        <w:left w:val="none" w:sz="0" w:space="0" w:color="auto"/>
                        <w:bottom w:val="none" w:sz="0" w:space="0" w:color="auto"/>
                        <w:right w:val="none" w:sz="0" w:space="0" w:color="auto"/>
                      </w:divBdr>
                    </w:div>
                    <w:div w:id="294141099">
                      <w:marLeft w:val="0"/>
                      <w:marRight w:val="0"/>
                      <w:marTop w:val="0"/>
                      <w:marBottom w:val="0"/>
                      <w:divBdr>
                        <w:top w:val="none" w:sz="0" w:space="0" w:color="auto"/>
                        <w:left w:val="none" w:sz="0" w:space="0" w:color="auto"/>
                        <w:bottom w:val="none" w:sz="0" w:space="0" w:color="auto"/>
                        <w:right w:val="none" w:sz="0" w:space="0" w:color="auto"/>
                      </w:divBdr>
                    </w:div>
                    <w:div w:id="294141106">
                      <w:marLeft w:val="0"/>
                      <w:marRight w:val="0"/>
                      <w:marTop w:val="0"/>
                      <w:marBottom w:val="0"/>
                      <w:divBdr>
                        <w:top w:val="none" w:sz="0" w:space="0" w:color="auto"/>
                        <w:left w:val="none" w:sz="0" w:space="0" w:color="auto"/>
                        <w:bottom w:val="none" w:sz="0" w:space="0" w:color="auto"/>
                        <w:right w:val="none" w:sz="0" w:space="0" w:color="auto"/>
                      </w:divBdr>
                    </w:div>
                    <w:div w:id="294141115">
                      <w:marLeft w:val="0"/>
                      <w:marRight w:val="0"/>
                      <w:marTop w:val="0"/>
                      <w:marBottom w:val="0"/>
                      <w:divBdr>
                        <w:top w:val="none" w:sz="0" w:space="0" w:color="auto"/>
                        <w:left w:val="none" w:sz="0" w:space="0" w:color="auto"/>
                        <w:bottom w:val="none" w:sz="0" w:space="0" w:color="auto"/>
                        <w:right w:val="none" w:sz="0" w:space="0" w:color="auto"/>
                      </w:divBdr>
                      <w:divsChild>
                        <w:div w:id="294145676">
                          <w:marLeft w:val="0"/>
                          <w:marRight w:val="0"/>
                          <w:marTop w:val="0"/>
                          <w:marBottom w:val="0"/>
                          <w:divBdr>
                            <w:top w:val="none" w:sz="0" w:space="0" w:color="auto"/>
                            <w:left w:val="none" w:sz="0" w:space="0" w:color="auto"/>
                            <w:bottom w:val="none" w:sz="0" w:space="0" w:color="auto"/>
                            <w:right w:val="none" w:sz="0" w:space="0" w:color="auto"/>
                          </w:divBdr>
                        </w:div>
                      </w:divsChild>
                    </w:div>
                    <w:div w:id="294141118">
                      <w:marLeft w:val="0"/>
                      <w:marRight w:val="0"/>
                      <w:marTop w:val="0"/>
                      <w:marBottom w:val="0"/>
                      <w:divBdr>
                        <w:top w:val="none" w:sz="0" w:space="0" w:color="auto"/>
                        <w:left w:val="none" w:sz="0" w:space="0" w:color="auto"/>
                        <w:bottom w:val="none" w:sz="0" w:space="0" w:color="auto"/>
                        <w:right w:val="none" w:sz="0" w:space="0" w:color="auto"/>
                      </w:divBdr>
                    </w:div>
                    <w:div w:id="294141143">
                      <w:marLeft w:val="0"/>
                      <w:marRight w:val="0"/>
                      <w:marTop w:val="0"/>
                      <w:marBottom w:val="0"/>
                      <w:divBdr>
                        <w:top w:val="none" w:sz="0" w:space="0" w:color="auto"/>
                        <w:left w:val="none" w:sz="0" w:space="0" w:color="auto"/>
                        <w:bottom w:val="none" w:sz="0" w:space="0" w:color="auto"/>
                        <w:right w:val="none" w:sz="0" w:space="0" w:color="auto"/>
                      </w:divBdr>
                    </w:div>
                    <w:div w:id="294141176">
                      <w:marLeft w:val="0"/>
                      <w:marRight w:val="0"/>
                      <w:marTop w:val="0"/>
                      <w:marBottom w:val="0"/>
                      <w:divBdr>
                        <w:top w:val="none" w:sz="0" w:space="0" w:color="auto"/>
                        <w:left w:val="none" w:sz="0" w:space="0" w:color="auto"/>
                        <w:bottom w:val="none" w:sz="0" w:space="0" w:color="auto"/>
                        <w:right w:val="none" w:sz="0" w:space="0" w:color="auto"/>
                      </w:divBdr>
                    </w:div>
                    <w:div w:id="294141298">
                      <w:marLeft w:val="0"/>
                      <w:marRight w:val="0"/>
                      <w:marTop w:val="0"/>
                      <w:marBottom w:val="0"/>
                      <w:divBdr>
                        <w:top w:val="none" w:sz="0" w:space="0" w:color="auto"/>
                        <w:left w:val="none" w:sz="0" w:space="0" w:color="auto"/>
                        <w:bottom w:val="none" w:sz="0" w:space="0" w:color="auto"/>
                        <w:right w:val="none" w:sz="0" w:space="0" w:color="auto"/>
                      </w:divBdr>
                      <w:divsChild>
                        <w:div w:id="294151778">
                          <w:marLeft w:val="0"/>
                          <w:marRight w:val="0"/>
                          <w:marTop w:val="0"/>
                          <w:marBottom w:val="0"/>
                          <w:divBdr>
                            <w:top w:val="none" w:sz="0" w:space="0" w:color="auto"/>
                            <w:left w:val="none" w:sz="0" w:space="0" w:color="auto"/>
                            <w:bottom w:val="none" w:sz="0" w:space="0" w:color="auto"/>
                            <w:right w:val="none" w:sz="0" w:space="0" w:color="auto"/>
                          </w:divBdr>
                        </w:div>
                      </w:divsChild>
                    </w:div>
                    <w:div w:id="294141361">
                      <w:marLeft w:val="0"/>
                      <w:marRight w:val="0"/>
                      <w:marTop w:val="0"/>
                      <w:marBottom w:val="0"/>
                      <w:divBdr>
                        <w:top w:val="none" w:sz="0" w:space="0" w:color="auto"/>
                        <w:left w:val="none" w:sz="0" w:space="0" w:color="auto"/>
                        <w:bottom w:val="none" w:sz="0" w:space="0" w:color="auto"/>
                        <w:right w:val="none" w:sz="0" w:space="0" w:color="auto"/>
                      </w:divBdr>
                    </w:div>
                    <w:div w:id="294141482">
                      <w:marLeft w:val="0"/>
                      <w:marRight w:val="0"/>
                      <w:marTop w:val="0"/>
                      <w:marBottom w:val="0"/>
                      <w:divBdr>
                        <w:top w:val="none" w:sz="0" w:space="0" w:color="auto"/>
                        <w:left w:val="none" w:sz="0" w:space="0" w:color="auto"/>
                        <w:bottom w:val="none" w:sz="0" w:space="0" w:color="auto"/>
                        <w:right w:val="none" w:sz="0" w:space="0" w:color="auto"/>
                      </w:divBdr>
                    </w:div>
                    <w:div w:id="294141485">
                      <w:marLeft w:val="0"/>
                      <w:marRight w:val="0"/>
                      <w:marTop w:val="0"/>
                      <w:marBottom w:val="0"/>
                      <w:divBdr>
                        <w:top w:val="none" w:sz="0" w:space="0" w:color="auto"/>
                        <w:left w:val="none" w:sz="0" w:space="0" w:color="auto"/>
                        <w:bottom w:val="none" w:sz="0" w:space="0" w:color="auto"/>
                        <w:right w:val="none" w:sz="0" w:space="0" w:color="auto"/>
                      </w:divBdr>
                      <w:divsChild>
                        <w:div w:id="294143191">
                          <w:marLeft w:val="0"/>
                          <w:marRight w:val="0"/>
                          <w:marTop w:val="0"/>
                          <w:marBottom w:val="0"/>
                          <w:divBdr>
                            <w:top w:val="none" w:sz="0" w:space="0" w:color="auto"/>
                            <w:left w:val="none" w:sz="0" w:space="0" w:color="auto"/>
                            <w:bottom w:val="none" w:sz="0" w:space="0" w:color="auto"/>
                            <w:right w:val="none" w:sz="0" w:space="0" w:color="auto"/>
                          </w:divBdr>
                        </w:div>
                      </w:divsChild>
                    </w:div>
                    <w:div w:id="294141522">
                      <w:marLeft w:val="0"/>
                      <w:marRight w:val="0"/>
                      <w:marTop w:val="0"/>
                      <w:marBottom w:val="0"/>
                      <w:divBdr>
                        <w:top w:val="none" w:sz="0" w:space="0" w:color="auto"/>
                        <w:left w:val="none" w:sz="0" w:space="0" w:color="auto"/>
                        <w:bottom w:val="none" w:sz="0" w:space="0" w:color="auto"/>
                        <w:right w:val="none" w:sz="0" w:space="0" w:color="auto"/>
                      </w:divBdr>
                      <w:divsChild>
                        <w:div w:id="294144873">
                          <w:marLeft w:val="0"/>
                          <w:marRight w:val="0"/>
                          <w:marTop w:val="0"/>
                          <w:marBottom w:val="0"/>
                          <w:divBdr>
                            <w:top w:val="none" w:sz="0" w:space="0" w:color="auto"/>
                            <w:left w:val="none" w:sz="0" w:space="0" w:color="auto"/>
                            <w:bottom w:val="none" w:sz="0" w:space="0" w:color="auto"/>
                            <w:right w:val="none" w:sz="0" w:space="0" w:color="auto"/>
                          </w:divBdr>
                        </w:div>
                      </w:divsChild>
                    </w:div>
                    <w:div w:id="294141626">
                      <w:marLeft w:val="0"/>
                      <w:marRight w:val="0"/>
                      <w:marTop w:val="0"/>
                      <w:marBottom w:val="0"/>
                      <w:divBdr>
                        <w:top w:val="none" w:sz="0" w:space="0" w:color="auto"/>
                        <w:left w:val="none" w:sz="0" w:space="0" w:color="auto"/>
                        <w:bottom w:val="none" w:sz="0" w:space="0" w:color="auto"/>
                        <w:right w:val="none" w:sz="0" w:space="0" w:color="auto"/>
                      </w:divBdr>
                      <w:divsChild>
                        <w:div w:id="294144768">
                          <w:marLeft w:val="0"/>
                          <w:marRight w:val="0"/>
                          <w:marTop w:val="0"/>
                          <w:marBottom w:val="0"/>
                          <w:divBdr>
                            <w:top w:val="none" w:sz="0" w:space="0" w:color="auto"/>
                            <w:left w:val="none" w:sz="0" w:space="0" w:color="auto"/>
                            <w:bottom w:val="none" w:sz="0" w:space="0" w:color="auto"/>
                            <w:right w:val="none" w:sz="0" w:space="0" w:color="auto"/>
                          </w:divBdr>
                        </w:div>
                      </w:divsChild>
                    </w:div>
                    <w:div w:id="294141711">
                      <w:marLeft w:val="0"/>
                      <w:marRight w:val="0"/>
                      <w:marTop w:val="0"/>
                      <w:marBottom w:val="0"/>
                      <w:divBdr>
                        <w:top w:val="none" w:sz="0" w:space="0" w:color="auto"/>
                        <w:left w:val="none" w:sz="0" w:space="0" w:color="auto"/>
                        <w:bottom w:val="none" w:sz="0" w:space="0" w:color="auto"/>
                        <w:right w:val="none" w:sz="0" w:space="0" w:color="auto"/>
                      </w:divBdr>
                      <w:divsChild>
                        <w:div w:id="294138145">
                          <w:marLeft w:val="0"/>
                          <w:marRight w:val="0"/>
                          <w:marTop w:val="0"/>
                          <w:marBottom w:val="0"/>
                          <w:divBdr>
                            <w:top w:val="none" w:sz="0" w:space="0" w:color="auto"/>
                            <w:left w:val="none" w:sz="0" w:space="0" w:color="auto"/>
                            <w:bottom w:val="none" w:sz="0" w:space="0" w:color="auto"/>
                            <w:right w:val="none" w:sz="0" w:space="0" w:color="auto"/>
                          </w:divBdr>
                        </w:div>
                      </w:divsChild>
                    </w:div>
                    <w:div w:id="294141847">
                      <w:marLeft w:val="0"/>
                      <w:marRight w:val="0"/>
                      <w:marTop w:val="0"/>
                      <w:marBottom w:val="0"/>
                      <w:divBdr>
                        <w:top w:val="none" w:sz="0" w:space="0" w:color="auto"/>
                        <w:left w:val="none" w:sz="0" w:space="0" w:color="auto"/>
                        <w:bottom w:val="none" w:sz="0" w:space="0" w:color="auto"/>
                        <w:right w:val="none" w:sz="0" w:space="0" w:color="auto"/>
                      </w:divBdr>
                    </w:div>
                    <w:div w:id="294142059">
                      <w:marLeft w:val="0"/>
                      <w:marRight w:val="0"/>
                      <w:marTop w:val="0"/>
                      <w:marBottom w:val="0"/>
                      <w:divBdr>
                        <w:top w:val="none" w:sz="0" w:space="0" w:color="auto"/>
                        <w:left w:val="none" w:sz="0" w:space="0" w:color="auto"/>
                        <w:bottom w:val="none" w:sz="0" w:space="0" w:color="auto"/>
                        <w:right w:val="none" w:sz="0" w:space="0" w:color="auto"/>
                      </w:divBdr>
                      <w:divsChild>
                        <w:div w:id="294144140">
                          <w:marLeft w:val="0"/>
                          <w:marRight w:val="0"/>
                          <w:marTop w:val="0"/>
                          <w:marBottom w:val="0"/>
                          <w:divBdr>
                            <w:top w:val="none" w:sz="0" w:space="0" w:color="auto"/>
                            <w:left w:val="none" w:sz="0" w:space="0" w:color="auto"/>
                            <w:bottom w:val="none" w:sz="0" w:space="0" w:color="auto"/>
                            <w:right w:val="none" w:sz="0" w:space="0" w:color="auto"/>
                          </w:divBdr>
                        </w:div>
                      </w:divsChild>
                    </w:div>
                    <w:div w:id="294142139">
                      <w:marLeft w:val="0"/>
                      <w:marRight w:val="0"/>
                      <w:marTop w:val="0"/>
                      <w:marBottom w:val="0"/>
                      <w:divBdr>
                        <w:top w:val="none" w:sz="0" w:space="0" w:color="auto"/>
                        <w:left w:val="none" w:sz="0" w:space="0" w:color="auto"/>
                        <w:bottom w:val="none" w:sz="0" w:space="0" w:color="auto"/>
                        <w:right w:val="none" w:sz="0" w:space="0" w:color="auto"/>
                      </w:divBdr>
                    </w:div>
                    <w:div w:id="294142157">
                      <w:marLeft w:val="0"/>
                      <w:marRight w:val="0"/>
                      <w:marTop w:val="0"/>
                      <w:marBottom w:val="0"/>
                      <w:divBdr>
                        <w:top w:val="none" w:sz="0" w:space="0" w:color="auto"/>
                        <w:left w:val="none" w:sz="0" w:space="0" w:color="auto"/>
                        <w:bottom w:val="none" w:sz="0" w:space="0" w:color="auto"/>
                        <w:right w:val="none" w:sz="0" w:space="0" w:color="auto"/>
                      </w:divBdr>
                      <w:divsChild>
                        <w:div w:id="294147309">
                          <w:marLeft w:val="0"/>
                          <w:marRight w:val="0"/>
                          <w:marTop w:val="0"/>
                          <w:marBottom w:val="0"/>
                          <w:divBdr>
                            <w:top w:val="none" w:sz="0" w:space="0" w:color="auto"/>
                            <w:left w:val="none" w:sz="0" w:space="0" w:color="auto"/>
                            <w:bottom w:val="none" w:sz="0" w:space="0" w:color="auto"/>
                            <w:right w:val="none" w:sz="0" w:space="0" w:color="auto"/>
                          </w:divBdr>
                        </w:div>
                      </w:divsChild>
                    </w:div>
                    <w:div w:id="294142182">
                      <w:marLeft w:val="0"/>
                      <w:marRight w:val="0"/>
                      <w:marTop w:val="0"/>
                      <w:marBottom w:val="0"/>
                      <w:divBdr>
                        <w:top w:val="none" w:sz="0" w:space="0" w:color="auto"/>
                        <w:left w:val="none" w:sz="0" w:space="0" w:color="auto"/>
                        <w:bottom w:val="none" w:sz="0" w:space="0" w:color="auto"/>
                        <w:right w:val="none" w:sz="0" w:space="0" w:color="auto"/>
                      </w:divBdr>
                    </w:div>
                    <w:div w:id="294142220">
                      <w:marLeft w:val="0"/>
                      <w:marRight w:val="0"/>
                      <w:marTop w:val="0"/>
                      <w:marBottom w:val="0"/>
                      <w:divBdr>
                        <w:top w:val="none" w:sz="0" w:space="0" w:color="auto"/>
                        <w:left w:val="none" w:sz="0" w:space="0" w:color="auto"/>
                        <w:bottom w:val="none" w:sz="0" w:space="0" w:color="auto"/>
                        <w:right w:val="none" w:sz="0" w:space="0" w:color="auto"/>
                      </w:divBdr>
                      <w:divsChild>
                        <w:div w:id="294145968">
                          <w:marLeft w:val="0"/>
                          <w:marRight w:val="0"/>
                          <w:marTop w:val="0"/>
                          <w:marBottom w:val="0"/>
                          <w:divBdr>
                            <w:top w:val="none" w:sz="0" w:space="0" w:color="auto"/>
                            <w:left w:val="none" w:sz="0" w:space="0" w:color="auto"/>
                            <w:bottom w:val="none" w:sz="0" w:space="0" w:color="auto"/>
                            <w:right w:val="none" w:sz="0" w:space="0" w:color="auto"/>
                          </w:divBdr>
                        </w:div>
                      </w:divsChild>
                    </w:div>
                    <w:div w:id="294142239">
                      <w:marLeft w:val="0"/>
                      <w:marRight w:val="0"/>
                      <w:marTop w:val="0"/>
                      <w:marBottom w:val="0"/>
                      <w:divBdr>
                        <w:top w:val="none" w:sz="0" w:space="0" w:color="auto"/>
                        <w:left w:val="none" w:sz="0" w:space="0" w:color="auto"/>
                        <w:bottom w:val="none" w:sz="0" w:space="0" w:color="auto"/>
                        <w:right w:val="none" w:sz="0" w:space="0" w:color="auto"/>
                      </w:divBdr>
                      <w:divsChild>
                        <w:div w:id="294157176">
                          <w:marLeft w:val="0"/>
                          <w:marRight w:val="0"/>
                          <w:marTop w:val="0"/>
                          <w:marBottom w:val="0"/>
                          <w:divBdr>
                            <w:top w:val="none" w:sz="0" w:space="0" w:color="auto"/>
                            <w:left w:val="none" w:sz="0" w:space="0" w:color="auto"/>
                            <w:bottom w:val="none" w:sz="0" w:space="0" w:color="auto"/>
                            <w:right w:val="none" w:sz="0" w:space="0" w:color="auto"/>
                          </w:divBdr>
                        </w:div>
                      </w:divsChild>
                    </w:div>
                    <w:div w:id="294142255">
                      <w:marLeft w:val="0"/>
                      <w:marRight w:val="0"/>
                      <w:marTop w:val="0"/>
                      <w:marBottom w:val="0"/>
                      <w:divBdr>
                        <w:top w:val="none" w:sz="0" w:space="0" w:color="auto"/>
                        <w:left w:val="none" w:sz="0" w:space="0" w:color="auto"/>
                        <w:bottom w:val="none" w:sz="0" w:space="0" w:color="auto"/>
                        <w:right w:val="none" w:sz="0" w:space="0" w:color="auto"/>
                      </w:divBdr>
                      <w:divsChild>
                        <w:div w:id="294149218">
                          <w:marLeft w:val="0"/>
                          <w:marRight w:val="0"/>
                          <w:marTop w:val="0"/>
                          <w:marBottom w:val="0"/>
                          <w:divBdr>
                            <w:top w:val="none" w:sz="0" w:space="0" w:color="auto"/>
                            <w:left w:val="none" w:sz="0" w:space="0" w:color="auto"/>
                            <w:bottom w:val="none" w:sz="0" w:space="0" w:color="auto"/>
                            <w:right w:val="none" w:sz="0" w:space="0" w:color="auto"/>
                          </w:divBdr>
                        </w:div>
                      </w:divsChild>
                    </w:div>
                    <w:div w:id="294142272">
                      <w:marLeft w:val="0"/>
                      <w:marRight w:val="0"/>
                      <w:marTop w:val="0"/>
                      <w:marBottom w:val="0"/>
                      <w:divBdr>
                        <w:top w:val="none" w:sz="0" w:space="0" w:color="auto"/>
                        <w:left w:val="none" w:sz="0" w:space="0" w:color="auto"/>
                        <w:bottom w:val="none" w:sz="0" w:space="0" w:color="auto"/>
                        <w:right w:val="none" w:sz="0" w:space="0" w:color="auto"/>
                      </w:divBdr>
                    </w:div>
                    <w:div w:id="294142342">
                      <w:marLeft w:val="0"/>
                      <w:marRight w:val="0"/>
                      <w:marTop w:val="0"/>
                      <w:marBottom w:val="0"/>
                      <w:divBdr>
                        <w:top w:val="none" w:sz="0" w:space="0" w:color="auto"/>
                        <w:left w:val="none" w:sz="0" w:space="0" w:color="auto"/>
                        <w:bottom w:val="none" w:sz="0" w:space="0" w:color="auto"/>
                        <w:right w:val="none" w:sz="0" w:space="0" w:color="auto"/>
                      </w:divBdr>
                    </w:div>
                    <w:div w:id="294142351">
                      <w:marLeft w:val="0"/>
                      <w:marRight w:val="0"/>
                      <w:marTop w:val="0"/>
                      <w:marBottom w:val="0"/>
                      <w:divBdr>
                        <w:top w:val="none" w:sz="0" w:space="0" w:color="auto"/>
                        <w:left w:val="none" w:sz="0" w:space="0" w:color="auto"/>
                        <w:bottom w:val="none" w:sz="0" w:space="0" w:color="auto"/>
                        <w:right w:val="none" w:sz="0" w:space="0" w:color="auto"/>
                      </w:divBdr>
                      <w:divsChild>
                        <w:div w:id="294154568">
                          <w:marLeft w:val="0"/>
                          <w:marRight w:val="0"/>
                          <w:marTop w:val="0"/>
                          <w:marBottom w:val="0"/>
                          <w:divBdr>
                            <w:top w:val="none" w:sz="0" w:space="0" w:color="auto"/>
                            <w:left w:val="none" w:sz="0" w:space="0" w:color="auto"/>
                            <w:bottom w:val="none" w:sz="0" w:space="0" w:color="auto"/>
                            <w:right w:val="none" w:sz="0" w:space="0" w:color="auto"/>
                          </w:divBdr>
                        </w:div>
                      </w:divsChild>
                    </w:div>
                    <w:div w:id="294142405">
                      <w:marLeft w:val="0"/>
                      <w:marRight w:val="0"/>
                      <w:marTop w:val="0"/>
                      <w:marBottom w:val="0"/>
                      <w:divBdr>
                        <w:top w:val="none" w:sz="0" w:space="0" w:color="auto"/>
                        <w:left w:val="none" w:sz="0" w:space="0" w:color="auto"/>
                        <w:bottom w:val="none" w:sz="0" w:space="0" w:color="auto"/>
                        <w:right w:val="none" w:sz="0" w:space="0" w:color="auto"/>
                      </w:divBdr>
                    </w:div>
                    <w:div w:id="294142512">
                      <w:marLeft w:val="0"/>
                      <w:marRight w:val="0"/>
                      <w:marTop w:val="0"/>
                      <w:marBottom w:val="0"/>
                      <w:divBdr>
                        <w:top w:val="none" w:sz="0" w:space="0" w:color="auto"/>
                        <w:left w:val="none" w:sz="0" w:space="0" w:color="auto"/>
                        <w:bottom w:val="none" w:sz="0" w:space="0" w:color="auto"/>
                        <w:right w:val="none" w:sz="0" w:space="0" w:color="auto"/>
                      </w:divBdr>
                      <w:divsChild>
                        <w:div w:id="294150838">
                          <w:marLeft w:val="0"/>
                          <w:marRight w:val="0"/>
                          <w:marTop w:val="0"/>
                          <w:marBottom w:val="0"/>
                          <w:divBdr>
                            <w:top w:val="none" w:sz="0" w:space="0" w:color="auto"/>
                            <w:left w:val="none" w:sz="0" w:space="0" w:color="auto"/>
                            <w:bottom w:val="none" w:sz="0" w:space="0" w:color="auto"/>
                            <w:right w:val="none" w:sz="0" w:space="0" w:color="auto"/>
                          </w:divBdr>
                        </w:div>
                      </w:divsChild>
                    </w:div>
                    <w:div w:id="294142514">
                      <w:marLeft w:val="0"/>
                      <w:marRight w:val="0"/>
                      <w:marTop w:val="0"/>
                      <w:marBottom w:val="0"/>
                      <w:divBdr>
                        <w:top w:val="none" w:sz="0" w:space="0" w:color="auto"/>
                        <w:left w:val="none" w:sz="0" w:space="0" w:color="auto"/>
                        <w:bottom w:val="none" w:sz="0" w:space="0" w:color="auto"/>
                        <w:right w:val="none" w:sz="0" w:space="0" w:color="auto"/>
                      </w:divBdr>
                      <w:divsChild>
                        <w:div w:id="294138269">
                          <w:marLeft w:val="0"/>
                          <w:marRight w:val="0"/>
                          <w:marTop w:val="0"/>
                          <w:marBottom w:val="0"/>
                          <w:divBdr>
                            <w:top w:val="none" w:sz="0" w:space="0" w:color="auto"/>
                            <w:left w:val="none" w:sz="0" w:space="0" w:color="auto"/>
                            <w:bottom w:val="none" w:sz="0" w:space="0" w:color="auto"/>
                            <w:right w:val="none" w:sz="0" w:space="0" w:color="auto"/>
                          </w:divBdr>
                        </w:div>
                      </w:divsChild>
                    </w:div>
                    <w:div w:id="294142551">
                      <w:marLeft w:val="0"/>
                      <w:marRight w:val="0"/>
                      <w:marTop w:val="0"/>
                      <w:marBottom w:val="0"/>
                      <w:divBdr>
                        <w:top w:val="none" w:sz="0" w:space="0" w:color="auto"/>
                        <w:left w:val="none" w:sz="0" w:space="0" w:color="auto"/>
                        <w:bottom w:val="none" w:sz="0" w:space="0" w:color="auto"/>
                        <w:right w:val="none" w:sz="0" w:space="0" w:color="auto"/>
                      </w:divBdr>
                      <w:divsChild>
                        <w:div w:id="294146261">
                          <w:marLeft w:val="0"/>
                          <w:marRight w:val="0"/>
                          <w:marTop w:val="0"/>
                          <w:marBottom w:val="0"/>
                          <w:divBdr>
                            <w:top w:val="none" w:sz="0" w:space="0" w:color="auto"/>
                            <w:left w:val="none" w:sz="0" w:space="0" w:color="auto"/>
                            <w:bottom w:val="none" w:sz="0" w:space="0" w:color="auto"/>
                            <w:right w:val="none" w:sz="0" w:space="0" w:color="auto"/>
                          </w:divBdr>
                        </w:div>
                      </w:divsChild>
                    </w:div>
                    <w:div w:id="294142698">
                      <w:marLeft w:val="0"/>
                      <w:marRight w:val="0"/>
                      <w:marTop w:val="0"/>
                      <w:marBottom w:val="0"/>
                      <w:divBdr>
                        <w:top w:val="none" w:sz="0" w:space="0" w:color="auto"/>
                        <w:left w:val="none" w:sz="0" w:space="0" w:color="auto"/>
                        <w:bottom w:val="none" w:sz="0" w:space="0" w:color="auto"/>
                        <w:right w:val="none" w:sz="0" w:space="0" w:color="auto"/>
                      </w:divBdr>
                    </w:div>
                    <w:div w:id="294142812">
                      <w:marLeft w:val="0"/>
                      <w:marRight w:val="0"/>
                      <w:marTop w:val="0"/>
                      <w:marBottom w:val="0"/>
                      <w:divBdr>
                        <w:top w:val="none" w:sz="0" w:space="0" w:color="auto"/>
                        <w:left w:val="none" w:sz="0" w:space="0" w:color="auto"/>
                        <w:bottom w:val="none" w:sz="0" w:space="0" w:color="auto"/>
                        <w:right w:val="none" w:sz="0" w:space="0" w:color="auto"/>
                      </w:divBdr>
                    </w:div>
                    <w:div w:id="294142813">
                      <w:marLeft w:val="0"/>
                      <w:marRight w:val="0"/>
                      <w:marTop w:val="0"/>
                      <w:marBottom w:val="0"/>
                      <w:divBdr>
                        <w:top w:val="none" w:sz="0" w:space="0" w:color="auto"/>
                        <w:left w:val="none" w:sz="0" w:space="0" w:color="auto"/>
                        <w:bottom w:val="none" w:sz="0" w:space="0" w:color="auto"/>
                        <w:right w:val="none" w:sz="0" w:space="0" w:color="auto"/>
                      </w:divBdr>
                      <w:divsChild>
                        <w:div w:id="294152735">
                          <w:marLeft w:val="0"/>
                          <w:marRight w:val="0"/>
                          <w:marTop w:val="0"/>
                          <w:marBottom w:val="0"/>
                          <w:divBdr>
                            <w:top w:val="none" w:sz="0" w:space="0" w:color="auto"/>
                            <w:left w:val="none" w:sz="0" w:space="0" w:color="auto"/>
                            <w:bottom w:val="none" w:sz="0" w:space="0" w:color="auto"/>
                            <w:right w:val="none" w:sz="0" w:space="0" w:color="auto"/>
                          </w:divBdr>
                        </w:div>
                      </w:divsChild>
                    </w:div>
                    <w:div w:id="294142834">
                      <w:marLeft w:val="0"/>
                      <w:marRight w:val="0"/>
                      <w:marTop w:val="0"/>
                      <w:marBottom w:val="0"/>
                      <w:divBdr>
                        <w:top w:val="none" w:sz="0" w:space="0" w:color="auto"/>
                        <w:left w:val="none" w:sz="0" w:space="0" w:color="auto"/>
                        <w:bottom w:val="none" w:sz="0" w:space="0" w:color="auto"/>
                        <w:right w:val="none" w:sz="0" w:space="0" w:color="auto"/>
                      </w:divBdr>
                      <w:divsChild>
                        <w:div w:id="294150388">
                          <w:marLeft w:val="0"/>
                          <w:marRight w:val="0"/>
                          <w:marTop w:val="0"/>
                          <w:marBottom w:val="0"/>
                          <w:divBdr>
                            <w:top w:val="none" w:sz="0" w:space="0" w:color="auto"/>
                            <w:left w:val="none" w:sz="0" w:space="0" w:color="auto"/>
                            <w:bottom w:val="none" w:sz="0" w:space="0" w:color="auto"/>
                            <w:right w:val="none" w:sz="0" w:space="0" w:color="auto"/>
                          </w:divBdr>
                        </w:div>
                      </w:divsChild>
                    </w:div>
                    <w:div w:id="294142916">
                      <w:marLeft w:val="0"/>
                      <w:marRight w:val="0"/>
                      <w:marTop w:val="0"/>
                      <w:marBottom w:val="0"/>
                      <w:divBdr>
                        <w:top w:val="none" w:sz="0" w:space="0" w:color="auto"/>
                        <w:left w:val="none" w:sz="0" w:space="0" w:color="auto"/>
                        <w:bottom w:val="none" w:sz="0" w:space="0" w:color="auto"/>
                        <w:right w:val="none" w:sz="0" w:space="0" w:color="auto"/>
                      </w:divBdr>
                    </w:div>
                    <w:div w:id="294143354">
                      <w:marLeft w:val="0"/>
                      <w:marRight w:val="0"/>
                      <w:marTop w:val="0"/>
                      <w:marBottom w:val="0"/>
                      <w:divBdr>
                        <w:top w:val="none" w:sz="0" w:space="0" w:color="auto"/>
                        <w:left w:val="none" w:sz="0" w:space="0" w:color="auto"/>
                        <w:bottom w:val="none" w:sz="0" w:space="0" w:color="auto"/>
                        <w:right w:val="none" w:sz="0" w:space="0" w:color="auto"/>
                      </w:divBdr>
                    </w:div>
                    <w:div w:id="294143406">
                      <w:marLeft w:val="0"/>
                      <w:marRight w:val="0"/>
                      <w:marTop w:val="0"/>
                      <w:marBottom w:val="0"/>
                      <w:divBdr>
                        <w:top w:val="none" w:sz="0" w:space="0" w:color="auto"/>
                        <w:left w:val="none" w:sz="0" w:space="0" w:color="auto"/>
                        <w:bottom w:val="none" w:sz="0" w:space="0" w:color="auto"/>
                        <w:right w:val="none" w:sz="0" w:space="0" w:color="auto"/>
                      </w:divBdr>
                    </w:div>
                    <w:div w:id="294143426">
                      <w:marLeft w:val="0"/>
                      <w:marRight w:val="0"/>
                      <w:marTop w:val="0"/>
                      <w:marBottom w:val="0"/>
                      <w:divBdr>
                        <w:top w:val="none" w:sz="0" w:space="0" w:color="auto"/>
                        <w:left w:val="none" w:sz="0" w:space="0" w:color="auto"/>
                        <w:bottom w:val="none" w:sz="0" w:space="0" w:color="auto"/>
                        <w:right w:val="none" w:sz="0" w:space="0" w:color="auto"/>
                      </w:divBdr>
                    </w:div>
                    <w:div w:id="294143476">
                      <w:marLeft w:val="0"/>
                      <w:marRight w:val="0"/>
                      <w:marTop w:val="0"/>
                      <w:marBottom w:val="0"/>
                      <w:divBdr>
                        <w:top w:val="none" w:sz="0" w:space="0" w:color="auto"/>
                        <w:left w:val="none" w:sz="0" w:space="0" w:color="auto"/>
                        <w:bottom w:val="none" w:sz="0" w:space="0" w:color="auto"/>
                        <w:right w:val="none" w:sz="0" w:space="0" w:color="auto"/>
                      </w:divBdr>
                      <w:divsChild>
                        <w:div w:id="294139438">
                          <w:marLeft w:val="0"/>
                          <w:marRight w:val="0"/>
                          <w:marTop w:val="0"/>
                          <w:marBottom w:val="0"/>
                          <w:divBdr>
                            <w:top w:val="none" w:sz="0" w:space="0" w:color="auto"/>
                            <w:left w:val="none" w:sz="0" w:space="0" w:color="auto"/>
                            <w:bottom w:val="none" w:sz="0" w:space="0" w:color="auto"/>
                            <w:right w:val="none" w:sz="0" w:space="0" w:color="auto"/>
                          </w:divBdr>
                        </w:div>
                      </w:divsChild>
                    </w:div>
                    <w:div w:id="294143559">
                      <w:marLeft w:val="0"/>
                      <w:marRight w:val="0"/>
                      <w:marTop w:val="0"/>
                      <w:marBottom w:val="0"/>
                      <w:divBdr>
                        <w:top w:val="none" w:sz="0" w:space="0" w:color="auto"/>
                        <w:left w:val="none" w:sz="0" w:space="0" w:color="auto"/>
                        <w:bottom w:val="none" w:sz="0" w:space="0" w:color="auto"/>
                        <w:right w:val="none" w:sz="0" w:space="0" w:color="auto"/>
                      </w:divBdr>
                      <w:divsChild>
                        <w:div w:id="294149030">
                          <w:marLeft w:val="0"/>
                          <w:marRight w:val="0"/>
                          <w:marTop w:val="0"/>
                          <w:marBottom w:val="0"/>
                          <w:divBdr>
                            <w:top w:val="none" w:sz="0" w:space="0" w:color="auto"/>
                            <w:left w:val="none" w:sz="0" w:space="0" w:color="auto"/>
                            <w:bottom w:val="none" w:sz="0" w:space="0" w:color="auto"/>
                            <w:right w:val="none" w:sz="0" w:space="0" w:color="auto"/>
                          </w:divBdr>
                        </w:div>
                      </w:divsChild>
                    </w:div>
                    <w:div w:id="294143635">
                      <w:marLeft w:val="0"/>
                      <w:marRight w:val="0"/>
                      <w:marTop w:val="0"/>
                      <w:marBottom w:val="0"/>
                      <w:divBdr>
                        <w:top w:val="none" w:sz="0" w:space="0" w:color="auto"/>
                        <w:left w:val="none" w:sz="0" w:space="0" w:color="auto"/>
                        <w:bottom w:val="none" w:sz="0" w:space="0" w:color="auto"/>
                        <w:right w:val="none" w:sz="0" w:space="0" w:color="auto"/>
                      </w:divBdr>
                      <w:divsChild>
                        <w:div w:id="294154267">
                          <w:marLeft w:val="0"/>
                          <w:marRight w:val="0"/>
                          <w:marTop w:val="0"/>
                          <w:marBottom w:val="0"/>
                          <w:divBdr>
                            <w:top w:val="none" w:sz="0" w:space="0" w:color="auto"/>
                            <w:left w:val="none" w:sz="0" w:space="0" w:color="auto"/>
                            <w:bottom w:val="none" w:sz="0" w:space="0" w:color="auto"/>
                            <w:right w:val="none" w:sz="0" w:space="0" w:color="auto"/>
                          </w:divBdr>
                        </w:div>
                      </w:divsChild>
                    </w:div>
                    <w:div w:id="294143639">
                      <w:marLeft w:val="0"/>
                      <w:marRight w:val="0"/>
                      <w:marTop w:val="0"/>
                      <w:marBottom w:val="0"/>
                      <w:divBdr>
                        <w:top w:val="none" w:sz="0" w:space="0" w:color="auto"/>
                        <w:left w:val="none" w:sz="0" w:space="0" w:color="auto"/>
                        <w:bottom w:val="none" w:sz="0" w:space="0" w:color="auto"/>
                        <w:right w:val="none" w:sz="0" w:space="0" w:color="auto"/>
                      </w:divBdr>
                      <w:divsChild>
                        <w:div w:id="294148569">
                          <w:marLeft w:val="0"/>
                          <w:marRight w:val="0"/>
                          <w:marTop w:val="0"/>
                          <w:marBottom w:val="0"/>
                          <w:divBdr>
                            <w:top w:val="none" w:sz="0" w:space="0" w:color="auto"/>
                            <w:left w:val="none" w:sz="0" w:space="0" w:color="auto"/>
                            <w:bottom w:val="none" w:sz="0" w:space="0" w:color="auto"/>
                            <w:right w:val="none" w:sz="0" w:space="0" w:color="auto"/>
                          </w:divBdr>
                        </w:div>
                      </w:divsChild>
                    </w:div>
                    <w:div w:id="294143645">
                      <w:marLeft w:val="0"/>
                      <w:marRight w:val="0"/>
                      <w:marTop w:val="0"/>
                      <w:marBottom w:val="0"/>
                      <w:divBdr>
                        <w:top w:val="none" w:sz="0" w:space="0" w:color="auto"/>
                        <w:left w:val="none" w:sz="0" w:space="0" w:color="auto"/>
                        <w:bottom w:val="none" w:sz="0" w:space="0" w:color="auto"/>
                        <w:right w:val="none" w:sz="0" w:space="0" w:color="auto"/>
                      </w:divBdr>
                      <w:divsChild>
                        <w:div w:id="294141849">
                          <w:marLeft w:val="0"/>
                          <w:marRight w:val="0"/>
                          <w:marTop w:val="0"/>
                          <w:marBottom w:val="0"/>
                          <w:divBdr>
                            <w:top w:val="none" w:sz="0" w:space="0" w:color="auto"/>
                            <w:left w:val="none" w:sz="0" w:space="0" w:color="auto"/>
                            <w:bottom w:val="none" w:sz="0" w:space="0" w:color="auto"/>
                            <w:right w:val="none" w:sz="0" w:space="0" w:color="auto"/>
                          </w:divBdr>
                        </w:div>
                      </w:divsChild>
                    </w:div>
                    <w:div w:id="294143652">
                      <w:marLeft w:val="0"/>
                      <w:marRight w:val="0"/>
                      <w:marTop w:val="0"/>
                      <w:marBottom w:val="0"/>
                      <w:divBdr>
                        <w:top w:val="none" w:sz="0" w:space="0" w:color="auto"/>
                        <w:left w:val="none" w:sz="0" w:space="0" w:color="auto"/>
                        <w:bottom w:val="none" w:sz="0" w:space="0" w:color="auto"/>
                        <w:right w:val="none" w:sz="0" w:space="0" w:color="auto"/>
                      </w:divBdr>
                      <w:divsChild>
                        <w:div w:id="294140104">
                          <w:marLeft w:val="0"/>
                          <w:marRight w:val="0"/>
                          <w:marTop w:val="0"/>
                          <w:marBottom w:val="0"/>
                          <w:divBdr>
                            <w:top w:val="none" w:sz="0" w:space="0" w:color="auto"/>
                            <w:left w:val="none" w:sz="0" w:space="0" w:color="auto"/>
                            <w:bottom w:val="none" w:sz="0" w:space="0" w:color="auto"/>
                            <w:right w:val="none" w:sz="0" w:space="0" w:color="auto"/>
                          </w:divBdr>
                        </w:div>
                      </w:divsChild>
                    </w:div>
                    <w:div w:id="294143654">
                      <w:marLeft w:val="0"/>
                      <w:marRight w:val="0"/>
                      <w:marTop w:val="0"/>
                      <w:marBottom w:val="0"/>
                      <w:divBdr>
                        <w:top w:val="none" w:sz="0" w:space="0" w:color="auto"/>
                        <w:left w:val="none" w:sz="0" w:space="0" w:color="auto"/>
                        <w:bottom w:val="none" w:sz="0" w:space="0" w:color="auto"/>
                        <w:right w:val="none" w:sz="0" w:space="0" w:color="auto"/>
                      </w:divBdr>
                    </w:div>
                    <w:div w:id="294143709">
                      <w:marLeft w:val="0"/>
                      <w:marRight w:val="0"/>
                      <w:marTop w:val="0"/>
                      <w:marBottom w:val="0"/>
                      <w:divBdr>
                        <w:top w:val="none" w:sz="0" w:space="0" w:color="auto"/>
                        <w:left w:val="none" w:sz="0" w:space="0" w:color="auto"/>
                        <w:bottom w:val="none" w:sz="0" w:space="0" w:color="auto"/>
                        <w:right w:val="none" w:sz="0" w:space="0" w:color="auto"/>
                      </w:divBdr>
                      <w:divsChild>
                        <w:div w:id="294138346">
                          <w:marLeft w:val="0"/>
                          <w:marRight w:val="0"/>
                          <w:marTop w:val="0"/>
                          <w:marBottom w:val="0"/>
                          <w:divBdr>
                            <w:top w:val="none" w:sz="0" w:space="0" w:color="auto"/>
                            <w:left w:val="none" w:sz="0" w:space="0" w:color="auto"/>
                            <w:bottom w:val="none" w:sz="0" w:space="0" w:color="auto"/>
                            <w:right w:val="none" w:sz="0" w:space="0" w:color="auto"/>
                          </w:divBdr>
                        </w:div>
                      </w:divsChild>
                    </w:div>
                    <w:div w:id="294143745">
                      <w:marLeft w:val="0"/>
                      <w:marRight w:val="0"/>
                      <w:marTop w:val="0"/>
                      <w:marBottom w:val="0"/>
                      <w:divBdr>
                        <w:top w:val="none" w:sz="0" w:space="0" w:color="auto"/>
                        <w:left w:val="none" w:sz="0" w:space="0" w:color="auto"/>
                        <w:bottom w:val="none" w:sz="0" w:space="0" w:color="auto"/>
                        <w:right w:val="none" w:sz="0" w:space="0" w:color="auto"/>
                      </w:divBdr>
                      <w:divsChild>
                        <w:div w:id="294141205">
                          <w:marLeft w:val="0"/>
                          <w:marRight w:val="0"/>
                          <w:marTop w:val="0"/>
                          <w:marBottom w:val="0"/>
                          <w:divBdr>
                            <w:top w:val="none" w:sz="0" w:space="0" w:color="auto"/>
                            <w:left w:val="none" w:sz="0" w:space="0" w:color="auto"/>
                            <w:bottom w:val="none" w:sz="0" w:space="0" w:color="auto"/>
                            <w:right w:val="none" w:sz="0" w:space="0" w:color="auto"/>
                          </w:divBdr>
                        </w:div>
                      </w:divsChild>
                    </w:div>
                    <w:div w:id="294143756">
                      <w:marLeft w:val="0"/>
                      <w:marRight w:val="0"/>
                      <w:marTop w:val="0"/>
                      <w:marBottom w:val="0"/>
                      <w:divBdr>
                        <w:top w:val="none" w:sz="0" w:space="0" w:color="auto"/>
                        <w:left w:val="none" w:sz="0" w:space="0" w:color="auto"/>
                        <w:bottom w:val="none" w:sz="0" w:space="0" w:color="auto"/>
                        <w:right w:val="none" w:sz="0" w:space="0" w:color="auto"/>
                      </w:divBdr>
                      <w:divsChild>
                        <w:div w:id="294149049">
                          <w:marLeft w:val="0"/>
                          <w:marRight w:val="0"/>
                          <w:marTop w:val="0"/>
                          <w:marBottom w:val="0"/>
                          <w:divBdr>
                            <w:top w:val="none" w:sz="0" w:space="0" w:color="auto"/>
                            <w:left w:val="none" w:sz="0" w:space="0" w:color="auto"/>
                            <w:bottom w:val="none" w:sz="0" w:space="0" w:color="auto"/>
                            <w:right w:val="none" w:sz="0" w:space="0" w:color="auto"/>
                          </w:divBdr>
                        </w:div>
                      </w:divsChild>
                    </w:div>
                    <w:div w:id="294143856">
                      <w:marLeft w:val="0"/>
                      <w:marRight w:val="0"/>
                      <w:marTop w:val="0"/>
                      <w:marBottom w:val="0"/>
                      <w:divBdr>
                        <w:top w:val="none" w:sz="0" w:space="0" w:color="auto"/>
                        <w:left w:val="none" w:sz="0" w:space="0" w:color="auto"/>
                        <w:bottom w:val="none" w:sz="0" w:space="0" w:color="auto"/>
                        <w:right w:val="none" w:sz="0" w:space="0" w:color="auto"/>
                      </w:divBdr>
                      <w:divsChild>
                        <w:div w:id="294145651">
                          <w:marLeft w:val="0"/>
                          <w:marRight w:val="0"/>
                          <w:marTop w:val="0"/>
                          <w:marBottom w:val="0"/>
                          <w:divBdr>
                            <w:top w:val="none" w:sz="0" w:space="0" w:color="auto"/>
                            <w:left w:val="none" w:sz="0" w:space="0" w:color="auto"/>
                            <w:bottom w:val="none" w:sz="0" w:space="0" w:color="auto"/>
                            <w:right w:val="none" w:sz="0" w:space="0" w:color="auto"/>
                          </w:divBdr>
                        </w:div>
                      </w:divsChild>
                    </w:div>
                    <w:div w:id="294143891">
                      <w:marLeft w:val="0"/>
                      <w:marRight w:val="0"/>
                      <w:marTop w:val="0"/>
                      <w:marBottom w:val="0"/>
                      <w:divBdr>
                        <w:top w:val="none" w:sz="0" w:space="0" w:color="auto"/>
                        <w:left w:val="none" w:sz="0" w:space="0" w:color="auto"/>
                        <w:bottom w:val="none" w:sz="0" w:space="0" w:color="auto"/>
                        <w:right w:val="none" w:sz="0" w:space="0" w:color="auto"/>
                      </w:divBdr>
                    </w:div>
                    <w:div w:id="294143932">
                      <w:marLeft w:val="0"/>
                      <w:marRight w:val="0"/>
                      <w:marTop w:val="0"/>
                      <w:marBottom w:val="0"/>
                      <w:divBdr>
                        <w:top w:val="none" w:sz="0" w:space="0" w:color="auto"/>
                        <w:left w:val="none" w:sz="0" w:space="0" w:color="auto"/>
                        <w:bottom w:val="none" w:sz="0" w:space="0" w:color="auto"/>
                        <w:right w:val="none" w:sz="0" w:space="0" w:color="auto"/>
                      </w:divBdr>
                      <w:divsChild>
                        <w:div w:id="294153490">
                          <w:marLeft w:val="0"/>
                          <w:marRight w:val="0"/>
                          <w:marTop w:val="0"/>
                          <w:marBottom w:val="0"/>
                          <w:divBdr>
                            <w:top w:val="none" w:sz="0" w:space="0" w:color="auto"/>
                            <w:left w:val="none" w:sz="0" w:space="0" w:color="auto"/>
                            <w:bottom w:val="none" w:sz="0" w:space="0" w:color="auto"/>
                            <w:right w:val="none" w:sz="0" w:space="0" w:color="auto"/>
                          </w:divBdr>
                        </w:div>
                      </w:divsChild>
                    </w:div>
                    <w:div w:id="294143967">
                      <w:marLeft w:val="0"/>
                      <w:marRight w:val="0"/>
                      <w:marTop w:val="0"/>
                      <w:marBottom w:val="0"/>
                      <w:divBdr>
                        <w:top w:val="none" w:sz="0" w:space="0" w:color="auto"/>
                        <w:left w:val="none" w:sz="0" w:space="0" w:color="auto"/>
                        <w:bottom w:val="none" w:sz="0" w:space="0" w:color="auto"/>
                        <w:right w:val="none" w:sz="0" w:space="0" w:color="auto"/>
                      </w:divBdr>
                    </w:div>
                    <w:div w:id="294144042">
                      <w:marLeft w:val="0"/>
                      <w:marRight w:val="0"/>
                      <w:marTop w:val="0"/>
                      <w:marBottom w:val="0"/>
                      <w:divBdr>
                        <w:top w:val="none" w:sz="0" w:space="0" w:color="auto"/>
                        <w:left w:val="none" w:sz="0" w:space="0" w:color="auto"/>
                        <w:bottom w:val="none" w:sz="0" w:space="0" w:color="auto"/>
                        <w:right w:val="none" w:sz="0" w:space="0" w:color="auto"/>
                      </w:divBdr>
                    </w:div>
                    <w:div w:id="294144054">
                      <w:marLeft w:val="0"/>
                      <w:marRight w:val="0"/>
                      <w:marTop w:val="0"/>
                      <w:marBottom w:val="0"/>
                      <w:divBdr>
                        <w:top w:val="none" w:sz="0" w:space="0" w:color="auto"/>
                        <w:left w:val="none" w:sz="0" w:space="0" w:color="auto"/>
                        <w:bottom w:val="none" w:sz="0" w:space="0" w:color="auto"/>
                        <w:right w:val="none" w:sz="0" w:space="0" w:color="auto"/>
                      </w:divBdr>
                    </w:div>
                    <w:div w:id="294144068">
                      <w:marLeft w:val="0"/>
                      <w:marRight w:val="0"/>
                      <w:marTop w:val="0"/>
                      <w:marBottom w:val="0"/>
                      <w:divBdr>
                        <w:top w:val="none" w:sz="0" w:space="0" w:color="auto"/>
                        <w:left w:val="none" w:sz="0" w:space="0" w:color="auto"/>
                        <w:bottom w:val="none" w:sz="0" w:space="0" w:color="auto"/>
                        <w:right w:val="none" w:sz="0" w:space="0" w:color="auto"/>
                      </w:divBdr>
                      <w:divsChild>
                        <w:div w:id="294150321">
                          <w:marLeft w:val="0"/>
                          <w:marRight w:val="0"/>
                          <w:marTop w:val="0"/>
                          <w:marBottom w:val="0"/>
                          <w:divBdr>
                            <w:top w:val="none" w:sz="0" w:space="0" w:color="auto"/>
                            <w:left w:val="none" w:sz="0" w:space="0" w:color="auto"/>
                            <w:bottom w:val="none" w:sz="0" w:space="0" w:color="auto"/>
                            <w:right w:val="none" w:sz="0" w:space="0" w:color="auto"/>
                          </w:divBdr>
                        </w:div>
                      </w:divsChild>
                    </w:div>
                    <w:div w:id="294144100">
                      <w:marLeft w:val="0"/>
                      <w:marRight w:val="0"/>
                      <w:marTop w:val="0"/>
                      <w:marBottom w:val="0"/>
                      <w:divBdr>
                        <w:top w:val="none" w:sz="0" w:space="0" w:color="auto"/>
                        <w:left w:val="none" w:sz="0" w:space="0" w:color="auto"/>
                        <w:bottom w:val="none" w:sz="0" w:space="0" w:color="auto"/>
                        <w:right w:val="none" w:sz="0" w:space="0" w:color="auto"/>
                      </w:divBdr>
                    </w:div>
                    <w:div w:id="294144153">
                      <w:marLeft w:val="0"/>
                      <w:marRight w:val="0"/>
                      <w:marTop w:val="0"/>
                      <w:marBottom w:val="0"/>
                      <w:divBdr>
                        <w:top w:val="none" w:sz="0" w:space="0" w:color="auto"/>
                        <w:left w:val="none" w:sz="0" w:space="0" w:color="auto"/>
                        <w:bottom w:val="none" w:sz="0" w:space="0" w:color="auto"/>
                        <w:right w:val="none" w:sz="0" w:space="0" w:color="auto"/>
                      </w:divBdr>
                      <w:divsChild>
                        <w:div w:id="294149982">
                          <w:marLeft w:val="0"/>
                          <w:marRight w:val="0"/>
                          <w:marTop w:val="0"/>
                          <w:marBottom w:val="0"/>
                          <w:divBdr>
                            <w:top w:val="none" w:sz="0" w:space="0" w:color="auto"/>
                            <w:left w:val="none" w:sz="0" w:space="0" w:color="auto"/>
                            <w:bottom w:val="none" w:sz="0" w:space="0" w:color="auto"/>
                            <w:right w:val="none" w:sz="0" w:space="0" w:color="auto"/>
                          </w:divBdr>
                        </w:div>
                      </w:divsChild>
                    </w:div>
                    <w:div w:id="294144203">
                      <w:marLeft w:val="0"/>
                      <w:marRight w:val="0"/>
                      <w:marTop w:val="0"/>
                      <w:marBottom w:val="0"/>
                      <w:divBdr>
                        <w:top w:val="none" w:sz="0" w:space="0" w:color="auto"/>
                        <w:left w:val="none" w:sz="0" w:space="0" w:color="auto"/>
                        <w:bottom w:val="none" w:sz="0" w:space="0" w:color="auto"/>
                        <w:right w:val="none" w:sz="0" w:space="0" w:color="auto"/>
                      </w:divBdr>
                    </w:div>
                    <w:div w:id="294144298">
                      <w:marLeft w:val="0"/>
                      <w:marRight w:val="0"/>
                      <w:marTop w:val="0"/>
                      <w:marBottom w:val="0"/>
                      <w:divBdr>
                        <w:top w:val="none" w:sz="0" w:space="0" w:color="auto"/>
                        <w:left w:val="none" w:sz="0" w:space="0" w:color="auto"/>
                        <w:bottom w:val="none" w:sz="0" w:space="0" w:color="auto"/>
                        <w:right w:val="none" w:sz="0" w:space="0" w:color="auto"/>
                      </w:divBdr>
                      <w:divsChild>
                        <w:div w:id="294150444">
                          <w:marLeft w:val="0"/>
                          <w:marRight w:val="0"/>
                          <w:marTop w:val="0"/>
                          <w:marBottom w:val="0"/>
                          <w:divBdr>
                            <w:top w:val="none" w:sz="0" w:space="0" w:color="auto"/>
                            <w:left w:val="none" w:sz="0" w:space="0" w:color="auto"/>
                            <w:bottom w:val="none" w:sz="0" w:space="0" w:color="auto"/>
                            <w:right w:val="none" w:sz="0" w:space="0" w:color="auto"/>
                          </w:divBdr>
                        </w:div>
                      </w:divsChild>
                    </w:div>
                    <w:div w:id="294144372">
                      <w:marLeft w:val="0"/>
                      <w:marRight w:val="0"/>
                      <w:marTop w:val="0"/>
                      <w:marBottom w:val="0"/>
                      <w:divBdr>
                        <w:top w:val="none" w:sz="0" w:space="0" w:color="auto"/>
                        <w:left w:val="none" w:sz="0" w:space="0" w:color="auto"/>
                        <w:bottom w:val="none" w:sz="0" w:space="0" w:color="auto"/>
                        <w:right w:val="none" w:sz="0" w:space="0" w:color="auto"/>
                      </w:divBdr>
                    </w:div>
                    <w:div w:id="294144546">
                      <w:marLeft w:val="0"/>
                      <w:marRight w:val="0"/>
                      <w:marTop w:val="0"/>
                      <w:marBottom w:val="0"/>
                      <w:divBdr>
                        <w:top w:val="none" w:sz="0" w:space="0" w:color="auto"/>
                        <w:left w:val="none" w:sz="0" w:space="0" w:color="auto"/>
                        <w:bottom w:val="none" w:sz="0" w:space="0" w:color="auto"/>
                        <w:right w:val="none" w:sz="0" w:space="0" w:color="auto"/>
                      </w:divBdr>
                    </w:div>
                    <w:div w:id="294144562">
                      <w:marLeft w:val="0"/>
                      <w:marRight w:val="0"/>
                      <w:marTop w:val="0"/>
                      <w:marBottom w:val="0"/>
                      <w:divBdr>
                        <w:top w:val="none" w:sz="0" w:space="0" w:color="auto"/>
                        <w:left w:val="none" w:sz="0" w:space="0" w:color="auto"/>
                        <w:bottom w:val="none" w:sz="0" w:space="0" w:color="auto"/>
                        <w:right w:val="none" w:sz="0" w:space="0" w:color="auto"/>
                      </w:divBdr>
                    </w:div>
                    <w:div w:id="294144825">
                      <w:marLeft w:val="0"/>
                      <w:marRight w:val="0"/>
                      <w:marTop w:val="0"/>
                      <w:marBottom w:val="0"/>
                      <w:divBdr>
                        <w:top w:val="none" w:sz="0" w:space="0" w:color="auto"/>
                        <w:left w:val="none" w:sz="0" w:space="0" w:color="auto"/>
                        <w:bottom w:val="none" w:sz="0" w:space="0" w:color="auto"/>
                        <w:right w:val="none" w:sz="0" w:space="0" w:color="auto"/>
                      </w:divBdr>
                      <w:divsChild>
                        <w:div w:id="294155811">
                          <w:marLeft w:val="0"/>
                          <w:marRight w:val="0"/>
                          <w:marTop w:val="0"/>
                          <w:marBottom w:val="0"/>
                          <w:divBdr>
                            <w:top w:val="none" w:sz="0" w:space="0" w:color="auto"/>
                            <w:left w:val="none" w:sz="0" w:space="0" w:color="auto"/>
                            <w:bottom w:val="none" w:sz="0" w:space="0" w:color="auto"/>
                            <w:right w:val="none" w:sz="0" w:space="0" w:color="auto"/>
                          </w:divBdr>
                        </w:div>
                      </w:divsChild>
                    </w:div>
                    <w:div w:id="294144870">
                      <w:marLeft w:val="0"/>
                      <w:marRight w:val="0"/>
                      <w:marTop w:val="0"/>
                      <w:marBottom w:val="0"/>
                      <w:divBdr>
                        <w:top w:val="none" w:sz="0" w:space="0" w:color="auto"/>
                        <w:left w:val="none" w:sz="0" w:space="0" w:color="auto"/>
                        <w:bottom w:val="none" w:sz="0" w:space="0" w:color="auto"/>
                        <w:right w:val="none" w:sz="0" w:space="0" w:color="auto"/>
                      </w:divBdr>
                    </w:div>
                    <w:div w:id="294144896">
                      <w:marLeft w:val="0"/>
                      <w:marRight w:val="0"/>
                      <w:marTop w:val="0"/>
                      <w:marBottom w:val="0"/>
                      <w:divBdr>
                        <w:top w:val="none" w:sz="0" w:space="0" w:color="auto"/>
                        <w:left w:val="none" w:sz="0" w:space="0" w:color="auto"/>
                        <w:bottom w:val="none" w:sz="0" w:space="0" w:color="auto"/>
                        <w:right w:val="none" w:sz="0" w:space="0" w:color="auto"/>
                      </w:divBdr>
                    </w:div>
                    <w:div w:id="294144949">
                      <w:marLeft w:val="0"/>
                      <w:marRight w:val="0"/>
                      <w:marTop w:val="0"/>
                      <w:marBottom w:val="0"/>
                      <w:divBdr>
                        <w:top w:val="none" w:sz="0" w:space="0" w:color="auto"/>
                        <w:left w:val="none" w:sz="0" w:space="0" w:color="auto"/>
                        <w:bottom w:val="none" w:sz="0" w:space="0" w:color="auto"/>
                        <w:right w:val="none" w:sz="0" w:space="0" w:color="auto"/>
                      </w:divBdr>
                    </w:div>
                    <w:div w:id="294144963">
                      <w:marLeft w:val="0"/>
                      <w:marRight w:val="0"/>
                      <w:marTop w:val="0"/>
                      <w:marBottom w:val="0"/>
                      <w:divBdr>
                        <w:top w:val="none" w:sz="0" w:space="0" w:color="auto"/>
                        <w:left w:val="none" w:sz="0" w:space="0" w:color="auto"/>
                        <w:bottom w:val="none" w:sz="0" w:space="0" w:color="auto"/>
                        <w:right w:val="none" w:sz="0" w:space="0" w:color="auto"/>
                      </w:divBdr>
                    </w:div>
                    <w:div w:id="294145007">
                      <w:marLeft w:val="0"/>
                      <w:marRight w:val="0"/>
                      <w:marTop w:val="0"/>
                      <w:marBottom w:val="0"/>
                      <w:divBdr>
                        <w:top w:val="none" w:sz="0" w:space="0" w:color="auto"/>
                        <w:left w:val="none" w:sz="0" w:space="0" w:color="auto"/>
                        <w:bottom w:val="none" w:sz="0" w:space="0" w:color="auto"/>
                        <w:right w:val="none" w:sz="0" w:space="0" w:color="auto"/>
                      </w:divBdr>
                      <w:divsChild>
                        <w:div w:id="294138804">
                          <w:marLeft w:val="0"/>
                          <w:marRight w:val="0"/>
                          <w:marTop w:val="0"/>
                          <w:marBottom w:val="0"/>
                          <w:divBdr>
                            <w:top w:val="none" w:sz="0" w:space="0" w:color="auto"/>
                            <w:left w:val="none" w:sz="0" w:space="0" w:color="auto"/>
                            <w:bottom w:val="none" w:sz="0" w:space="0" w:color="auto"/>
                            <w:right w:val="none" w:sz="0" w:space="0" w:color="auto"/>
                          </w:divBdr>
                        </w:div>
                      </w:divsChild>
                    </w:div>
                    <w:div w:id="294145028">
                      <w:marLeft w:val="0"/>
                      <w:marRight w:val="0"/>
                      <w:marTop w:val="0"/>
                      <w:marBottom w:val="0"/>
                      <w:divBdr>
                        <w:top w:val="none" w:sz="0" w:space="0" w:color="auto"/>
                        <w:left w:val="none" w:sz="0" w:space="0" w:color="auto"/>
                        <w:bottom w:val="none" w:sz="0" w:space="0" w:color="auto"/>
                        <w:right w:val="none" w:sz="0" w:space="0" w:color="auto"/>
                      </w:divBdr>
                      <w:divsChild>
                        <w:div w:id="294144506">
                          <w:marLeft w:val="0"/>
                          <w:marRight w:val="0"/>
                          <w:marTop w:val="0"/>
                          <w:marBottom w:val="0"/>
                          <w:divBdr>
                            <w:top w:val="none" w:sz="0" w:space="0" w:color="auto"/>
                            <w:left w:val="none" w:sz="0" w:space="0" w:color="auto"/>
                            <w:bottom w:val="none" w:sz="0" w:space="0" w:color="auto"/>
                            <w:right w:val="none" w:sz="0" w:space="0" w:color="auto"/>
                          </w:divBdr>
                        </w:div>
                      </w:divsChild>
                    </w:div>
                    <w:div w:id="294145062">
                      <w:marLeft w:val="0"/>
                      <w:marRight w:val="0"/>
                      <w:marTop w:val="0"/>
                      <w:marBottom w:val="0"/>
                      <w:divBdr>
                        <w:top w:val="none" w:sz="0" w:space="0" w:color="auto"/>
                        <w:left w:val="none" w:sz="0" w:space="0" w:color="auto"/>
                        <w:bottom w:val="none" w:sz="0" w:space="0" w:color="auto"/>
                        <w:right w:val="none" w:sz="0" w:space="0" w:color="auto"/>
                      </w:divBdr>
                    </w:div>
                    <w:div w:id="294145081">
                      <w:marLeft w:val="0"/>
                      <w:marRight w:val="0"/>
                      <w:marTop w:val="0"/>
                      <w:marBottom w:val="0"/>
                      <w:divBdr>
                        <w:top w:val="none" w:sz="0" w:space="0" w:color="auto"/>
                        <w:left w:val="none" w:sz="0" w:space="0" w:color="auto"/>
                        <w:bottom w:val="none" w:sz="0" w:space="0" w:color="auto"/>
                        <w:right w:val="none" w:sz="0" w:space="0" w:color="auto"/>
                      </w:divBdr>
                      <w:divsChild>
                        <w:div w:id="294155599">
                          <w:marLeft w:val="0"/>
                          <w:marRight w:val="0"/>
                          <w:marTop w:val="0"/>
                          <w:marBottom w:val="0"/>
                          <w:divBdr>
                            <w:top w:val="none" w:sz="0" w:space="0" w:color="auto"/>
                            <w:left w:val="none" w:sz="0" w:space="0" w:color="auto"/>
                            <w:bottom w:val="none" w:sz="0" w:space="0" w:color="auto"/>
                            <w:right w:val="none" w:sz="0" w:space="0" w:color="auto"/>
                          </w:divBdr>
                        </w:div>
                      </w:divsChild>
                    </w:div>
                    <w:div w:id="294145092">
                      <w:marLeft w:val="0"/>
                      <w:marRight w:val="0"/>
                      <w:marTop w:val="0"/>
                      <w:marBottom w:val="0"/>
                      <w:divBdr>
                        <w:top w:val="none" w:sz="0" w:space="0" w:color="auto"/>
                        <w:left w:val="none" w:sz="0" w:space="0" w:color="auto"/>
                        <w:bottom w:val="none" w:sz="0" w:space="0" w:color="auto"/>
                        <w:right w:val="none" w:sz="0" w:space="0" w:color="auto"/>
                      </w:divBdr>
                      <w:divsChild>
                        <w:div w:id="294142321">
                          <w:marLeft w:val="0"/>
                          <w:marRight w:val="0"/>
                          <w:marTop w:val="0"/>
                          <w:marBottom w:val="0"/>
                          <w:divBdr>
                            <w:top w:val="none" w:sz="0" w:space="0" w:color="auto"/>
                            <w:left w:val="none" w:sz="0" w:space="0" w:color="auto"/>
                            <w:bottom w:val="none" w:sz="0" w:space="0" w:color="auto"/>
                            <w:right w:val="none" w:sz="0" w:space="0" w:color="auto"/>
                          </w:divBdr>
                        </w:div>
                      </w:divsChild>
                    </w:div>
                    <w:div w:id="294145124">
                      <w:marLeft w:val="0"/>
                      <w:marRight w:val="0"/>
                      <w:marTop w:val="0"/>
                      <w:marBottom w:val="0"/>
                      <w:divBdr>
                        <w:top w:val="none" w:sz="0" w:space="0" w:color="auto"/>
                        <w:left w:val="none" w:sz="0" w:space="0" w:color="auto"/>
                        <w:bottom w:val="none" w:sz="0" w:space="0" w:color="auto"/>
                        <w:right w:val="none" w:sz="0" w:space="0" w:color="auto"/>
                      </w:divBdr>
                    </w:div>
                    <w:div w:id="294145134">
                      <w:marLeft w:val="0"/>
                      <w:marRight w:val="0"/>
                      <w:marTop w:val="0"/>
                      <w:marBottom w:val="0"/>
                      <w:divBdr>
                        <w:top w:val="none" w:sz="0" w:space="0" w:color="auto"/>
                        <w:left w:val="none" w:sz="0" w:space="0" w:color="auto"/>
                        <w:bottom w:val="none" w:sz="0" w:space="0" w:color="auto"/>
                        <w:right w:val="none" w:sz="0" w:space="0" w:color="auto"/>
                      </w:divBdr>
                    </w:div>
                    <w:div w:id="294145139">
                      <w:marLeft w:val="0"/>
                      <w:marRight w:val="0"/>
                      <w:marTop w:val="0"/>
                      <w:marBottom w:val="0"/>
                      <w:divBdr>
                        <w:top w:val="none" w:sz="0" w:space="0" w:color="auto"/>
                        <w:left w:val="none" w:sz="0" w:space="0" w:color="auto"/>
                        <w:bottom w:val="none" w:sz="0" w:space="0" w:color="auto"/>
                        <w:right w:val="none" w:sz="0" w:space="0" w:color="auto"/>
                      </w:divBdr>
                      <w:divsChild>
                        <w:div w:id="294154145">
                          <w:marLeft w:val="0"/>
                          <w:marRight w:val="0"/>
                          <w:marTop w:val="0"/>
                          <w:marBottom w:val="0"/>
                          <w:divBdr>
                            <w:top w:val="none" w:sz="0" w:space="0" w:color="auto"/>
                            <w:left w:val="none" w:sz="0" w:space="0" w:color="auto"/>
                            <w:bottom w:val="none" w:sz="0" w:space="0" w:color="auto"/>
                            <w:right w:val="none" w:sz="0" w:space="0" w:color="auto"/>
                          </w:divBdr>
                        </w:div>
                      </w:divsChild>
                    </w:div>
                    <w:div w:id="294145172">
                      <w:marLeft w:val="0"/>
                      <w:marRight w:val="0"/>
                      <w:marTop w:val="0"/>
                      <w:marBottom w:val="0"/>
                      <w:divBdr>
                        <w:top w:val="none" w:sz="0" w:space="0" w:color="auto"/>
                        <w:left w:val="none" w:sz="0" w:space="0" w:color="auto"/>
                        <w:bottom w:val="none" w:sz="0" w:space="0" w:color="auto"/>
                        <w:right w:val="none" w:sz="0" w:space="0" w:color="auto"/>
                      </w:divBdr>
                    </w:div>
                    <w:div w:id="294145187">
                      <w:marLeft w:val="0"/>
                      <w:marRight w:val="0"/>
                      <w:marTop w:val="0"/>
                      <w:marBottom w:val="0"/>
                      <w:divBdr>
                        <w:top w:val="none" w:sz="0" w:space="0" w:color="auto"/>
                        <w:left w:val="none" w:sz="0" w:space="0" w:color="auto"/>
                        <w:bottom w:val="none" w:sz="0" w:space="0" w:color="auto"/>
                        <w:right w:val="none" w:sz="0" w:space="0" w:color="auto"/>
                      </w:divBdr>
                      <w:divsChild>
                        <w:div w:id="294147295">
                          <w:marLeft w:val="0"/>
                          <w:marRight w:val="0"/>
                          <w:marTop w:val="0"/>
                          <w:marBottom w:val="0"/>
                          <w:divBdr>
                            <w:top w:val="none" w:sz="0" w:space="0" w:color="auto"/>
                            <w:left w:val="none" w:sz="0" w:space="0" w:color="auto"/>
                            <w:bottom w:val="none" w:sz="0" w:space="0" w:color="auto"/>
                            <w:right w:val="none" w:sz="0" w:space="0" w:color="auto"/>
                          </w:divBdr>
                        </w:div>
                      </w:divsChild>
                    </w:div>
                    <w:div w:id="294145351">
                      <w:marLeft w:val="0"/>
                      <w:marRight w:val="0"/>
                      <w:marTop w:val="0"/>
                      <w:marBottom w:val="0"/>
                      <w:divBdr>
                        <w:top w:val="none" w:sz="0" w:space="0" w:color="auto"/>
                        <w:left w:val="none" w:sz="0" w:space="0" w:color="auto"/>
                        <w:bottom w:val="none" w:sz="0" w:space="0" w:color="auto"/>
                        <w:right w:val="none" w:sz="0" w:space="0" w:color="auto"/>
                      </w:divBdr>
                    </w:div>
                    <w:div w:id="294145433">
                      <w:marLeft w:val="0"/>
                      <w:marRight w:val="0"/>
                      <w:marTop w:val="0"/>
                      <w:marBottom w:val="0"/>
                      <w:divBdr>
                        <w:top w:val="none" w:sz="0" w:space="0" w:color="auto"/>
                        <w:left w:val="none" w:sz="0" w:space="0" w:color="auto"/>
                        <w:bottom w:val="none" w:sz="0" w:space="0" w:color="auto"/>
                        <w:right w:val="none" w:sz="0" w:space="0" w:color="auto"/>
                      </w:divBdr>
                    </w:div>
                    <w:div w:id="294145677">
                      <w:marLeft w:val="0"/>
                      <w:marRight w:val="0"/>
                      <w:marTop w:val="0"/>
                      <w:marBottom w:val="0"/>
                      <w:divBdr>
                        <w:top w:val="none" w:sz="0" w:space="0" w:color="auto"/>
                        <w:left w:val="none" w:sz="0" w:space="0" w:color="auto"/>
                        <w:bottom w:val="none" w:sz="0" w:space="0" w:color="auto"/>
                        <w:right w:val="none" w:sz="0" w:space="0" w:color="auto"/>
                      </w:divBdr>
                      <w:divsChild>
                        <w:div w:id="294143813">
                          <w:marLeft w:val="0"/>
                          <w:marRight w:val="0"/>
                          <w:marTop w:val="0"/>
                          <w:marBottom w:val="0"/>
                          <w:divBdr>
                            <w:top w:val="none" w:sz="0" w:space="0" w:color="auto"/>
                            <w:left w:val="none" w:sz="0" w:space="0" w:color="auto"/>
                            <w:bottom w:val="none" w:sz="0" w:space="0" w:color="auto"/>
                            <w:right w:val="none" w:sz="0" w:space="0" w:color="auto"/>
                          </w:divBdr>
                        </w:div>
                      </w:divsChild>
                    </w:div>
                    <w:div w:id="294145711">
                      <w:marLeft w:val="0"/>
                      <w:marRight w:val="0"/>
                      <w:marTop w:val="0"/>
                      <w:marBottom w:val="0"/>
                      <w:divBdr>
                        <w:top w:val="none" w:sz="0" w:space="0" w:color="auto"/>
                        <w:left w:val="none" w:sz="0" w:space="0" w:color="auto"/>
                        <w:bottom w:val="none" w:sz="0" w:space="0" w:color="auto"/>
                        <w:right w:val="none" w:sz="0" w:space="0" w:color="auto"/>
                      </w:divBdr>
                    </w:div>
                    <w:div w:id="294145734">
                      <w:marLeft w:val="0"/>
                      <w:marRight w:val="0"/>
                      <w:marTop w:val="0"/>
                      <w:marBottom w:val="0"/>
                      <w:divBdr>
                        <w:top w:val="none" w:sz="0" w:space="0" w:color="auto"/>
                        <w:left w:val="none" w:sz="0" w:space="0" w:color="auto"/>
                        <w:bottom w:val="none" w:sz="0" w:space="0" w:color="auto"/>
                        <w:right w:val="none" w:sz="0" w:space="0" w:color="auto"/>
                      </w:divBdr>
                    </w:div>
                    <w:div w:id="294145836">
                      <w:marLeft w:val="0"/>
                      <w:marRight w:val="0"/>
                      <w:marTop w:val="0"/>
                      <w:marBottom w:val="0"/>
                      <w:divBdr>
                        <w:top w:val="none" w:sz="0" w:space="0" w:color="auto"/>
                        <w:left w:val="none" w:sz="0" w:space="0" w:color="auto"/>
                        <w:bottom w:val="none" w:sz="0" w:space="0" w:color="auto"/>
                        <w:right w:val="none" w:sz="0" w:space="0" w:color="auto"/>
                      </w:divBdr>
                    </w:div>
                    <w:div w:id="294145887">
                      <w:marLeft w:val="0"/>
                      <w:marRight w:val="0"/>
                      <w:marTop w:val="0"/>
                      <w:marBottom w:val="0"/>
                      <w:divBdr>
                        <w:top w:val="none" w:sz="0" w:space="0" w:color="auto"/>
                        <w:left w:val="none" w:sz="0" w:space="0" w:color="auto"/>
                        <w:bottom w:val="none" w:sz="0" w:space="0" w:color="auto"/>
                        <w:right w:val="none" w:sz="0" w:space="0" w:color="auto"/>
                      </w:divBdr>
                    </w:div>
                    <w:div w:id="294145890">
                      <w:marLeft w:val="0"/>
                      <w:marRight w:val="0"/>
                      <w:marTop w:val="0"/>
                      <w:marBottom w:val="0"/>
                      <w:divBdr>
                        <w:top w:val="none" w:sz="0" w:space="0" w:color="auto"/>
                        <w:left w:val="none" w:sz="0" w:space="0" w:color="auto"/>
                        <w:bottom w:val="none" w:sz="0" w:space="0" w:color="auto"/>
                        <w:right w:val="none" w:sz="0" w:space="0" w:color="auto"/>
                      </w:divBdr>
                    </w:div>
                    <w:div w:id="294145983">
                      <w:marLeft w:val="0"/>
                      <w:marRight w:val="0"/>
                      <w:marTop w:val="0"/>
                      <w:marBottom w:val="0"/>
                      <w:divBdr>
                        <w:top w:val="none" w:sz="0" w:space="0" w:color="auto"/>
                        <w:left w:val="none" w:sz="0" w:space="0" w:color="auto"/>
                        <w:bottom w:val="none" w:sz="0" w:space="0" w:color="auto"/>
                        <w:right w:val="none" w:sz="0" w:space="0" w:color="auto"/>
                      </w:divBdr>
                    </w:div>
                    <w:div w:id="294145989">
                      <w:marLeft w:val="0"/>
                      <w:marRight w:val="0"/>
                      <w:marTop w:val="0"/>
                      <w:marBottom w:val="0"/>
                      <w:divBdr>
                        <w:top w:val="none" w:sz="0" w:space="0" w:color="auto"/>
                        <w:left w:val="none" w:sz="0" w:space="0" w:color="auto"/>
                        <w:bottom w:val="none" w:sz="0" w:space="0" w:color="auto"/>
                        <w:right w:val="none" w:sz="0" w:space="0" w:color="auto"/>
                      </w:divBdr>
                    </w:div>
                    <w:div w:id="294146003">
                      <w:marLeft w:val="0"/>
                      <w:marRight w:val="0"/>
                      <w:marTop w:val="0"/>
                      <w:marBottom w:val="0"/>
                      <w:divBdr>
                        <w:top w:val="none" w:sz="0" w:space="0" w:color="auto"/>
                        <w:left w:val="none" w:sz="0" w:space="0" w:color="auto"/>
                        <w:bottom w:val="none" w:sz="0" w:space="0" w:color="auto"/>
                        <w:right w:val="none" w:sz="0" w:space="0" w:color="auto"/>
                      </w:divBdr>
                    </w:div>
                    <w:div w:id="294146010">
                      <w:marLeft w:val="0"/>
                      <w:marRight w:val="0"/>
                      <w:marTop w:val="0"/>
                      <w:marBottom w:val="0"/>
                      <w:divBdr>
                        <w:top w:val="none" w:sz="0" w:space="0" w:color="auto"/>
                        <w:left w:val="none" w:sz="0" w:space="0" w:color="auto"/>
                        <w:bottom w:val="none" w:sz="0" w:space="0" w:color="auto"/>
                        <w:right w:val="none" w:sz="0" w:space="0" w:color="auto"/>
                      </w:divBdr>
                    </w:div>
                    <w:div w:id="294146039">
                      <w:marLeft w:val="0"/>
                      <w:marRight w:val="0"/>
                      <w:marTop w:val="0"/>
                      <w:marBottom w:val="0"/>
                      <w:divBdr>
                        <w:top w:val="none" w:sz="0" w:space="0" w:color="auto"/>
                        <w:left w:val="none" w:sz="0" w:space="0" w:color="auto"/>
                        <w:bottom w:val="none" w:sz="0" w:space="0" w:color="auto"/>
                        <w:right w:val="none" w:sz="0" w:space="0" w:color="auto"/>
                      </w:divBdr>
                    </w:div>
                    <w:div w:id="294146042">
                      <w:marLeft w:val="0"/>
                      <w:marRight w:val="0"/>
                      <w:marTop w:val="0"/>
                      <w:marBottom w:val="0"/>
                      <w:divBdr>
                        <w:top w:val="none" w:sz="0" w:space="0" w:color="auto"/>
                        <w:left w:val="none" w:sz="0" w:space="0" w:color="auto"/>
                        <w:bottom w:val="none" w:sz="0" w:space="0" w:color="auto"/>
                        <w:right w:val="none" w:sz="0" w:space="0" w:color="auto"/>
                      </w:divBdr>
                      <w:divsChild>
                        <w:div w:id="294155073">
                          <w:marLeft w:val="0"/>
                          <w:marRight w:val="0"/>
                          <w:marTop w:val="0"/>
                          <w:marBottom w:val="0"/>
                          <w:divBdr>
                            <w:top w:val="none" w:sz="0" w:space="0" w:color="auto"/>
                            <w:left w:val="none" w:sz="0" w:space="0" w:color="auto"/>
                            <w:bottom w:val="none" w:sz="0" w:space="0" w:color="auto"/>
                            <w:right w:val="none" w:sz="0" w:space="0" w:color="auto"/>
                          </w:divBdr>
                        </w:div>
                      </w:divsChild>
                    </w:div>
                    <w:div w:id="294146070">
                      <w:marLeft w:val="0"/>
                      <w:marRight w:val="0"/>
                      <w:marTop w:val="0"/>
                      <w:marBottom w:val="0"/>
                      <w:divBdr>
                        <w:top w:val="none" w:sz="0" w:space="0" w:color="auto"/>
                        <w:left w:val="none" w:sz="0" w:space="0" w:color="auto"/>
                        <w:bottom w:val="none" w:sz="0" w:space="0" w:color="auto"/>
                        <w:right w:val="none" w:sz="0" w:space="0" w:color="auto"/>
                      </w:divBdr>
                    </w:div>
                    <w:div w:id="294146093">
                      <w:marLeft w:val="0"/>
                      <w:marRight w:val="0"/>
                      <w:marTop w:val="0"/>
                      <w:marBottom w:val="0"/>
                      <w:divBdr>
                        <w:top w:val="none" w:sz="0" w:space="0" w:color="auto"/>
                        <w:left w:val="none" w:sz="0" w:space="0" w:color="auto"/>
                        <w:bottom w:val="none" w:sz="0" w:space="0" w:color="auto"/>
                        <w:right w:val="none" w:sz="0" w:space="0" w:color="auto"/>
                      </w:divBdr>
                    </w:div>
                    <w:div w:id="294146132">
                      <w:marLeft w:val="0"/>
                      <w:marRight w:val="0"/>
                      <w:marTop w:val="0"/>
                      <w:marBottom w:val="0"/>
                      <w:divBdr>
                        <w:top w:val="none" w:sz="0" w:space="0" w:color="auto"/>
                        <w:left w:val="none" w:sz="0" w:space="0" w:color="auto"/>
                        <w:bottom w:val="none" w:sz="0" w:space="0" w:color="auto"/>
                        <w:right w:val="none" w:sz="0" w:space="0" w:color="auto"/>
                      </w:divBdr>
                      <w:divsChild>
                        <w:div w:id="294151500">
                          <w:marLeft w:val="0"/>
                          <w:marRight w:val="0"/>
                          <w:marTop w:val="0"/>
                          <w:marBottom w:val="0"/>
                          <w:divBdr>
                            <w:top w:val="none" w:sz="0" w:space="0" w:color="auto"/>
                            <w:left w:val="none" w:sz="0" w:space="0" w:color="auto"/>
                            <w:bottom w:val="none" w:sz="0" w:space="0" w:color="auto"/>
                            <w:right w:val="none" w:sz="0" w:space="0" w:color="auto"/>
                          </w:divBdr>
                        </w:div>
                      </w:divsChild>
                    </w:div>
                    <w:div w:id="294146200">
                      <w:marLeft w:val="0"/>
                      <w:marRight w:val="0"/>
                      <w:marTop w:val="0"/>
                      <w:marBottom w:val="0"/>
                      <w:divBdr>
                        <w:top w:val="none" w:sz="0" w:space="0" w:color="auto"/>
                        <w:left w:val="none" w:sz="0" w:space="0" w:color="auto"/>
                        <w:bottom w:val="none" w:sz="0" w:space="0" w:color="auto"/>
                        <w:right w:val="none" w:sz="0" w:space="0" w:color="auto"/>
                      </w:divBdr>
                      <w:divsChild>
                        <w:div w:id="294146316">
                          <w:marLeft w:val="0"/>
                          <w:marRight w:val="0"/>
                          <w:marTop w:val="0"/>
                          <w:marBottom w:val="0"/>
                          <w:divBdr>
                            <w:top w:val="none" w:sz="0" w:space="0" w:color="auto"/>
                            <w:left w:val="none" w:sz="0" w:space="0" w:color="auto"/>
                            <w:bottom w:val="none" w:sz="0" w:space="0" w:color="auto"/>
                            <w:right w:val="none" w:sz="0" w:space="0" w:color="auto"/>
                          </w:divBdr>
                        </w:div>
                      </w:divsChild>
                    </w:div>
                    <w:div w:id="294146224">
                      <w:marLeft w:val="0"/>
                      <w:marRight w:val="0"/>
                      <w:marTop w:val="0"/>
                      <w:marBottom w:val="0"/>
                      <w:divBdr>
                        <w:top w:val="none" w:sz="0" w:space="0" w:color="auto"/>
                        <w:left w:val="none" w:sz="0" w:space="0" w:color="auto"/>
                        <w:bottom w:val="none" w:sz="0" w:space="0" w:color="auto"/>
                        <w:right w:val="none" w:sz="0" w:space="0" w:color="auto"/>
                      </w:divBdr>
                      <w:divsChild>
                        <w:div w:id="294146381">
                          <w:marLeft w:val="0"/>
                          <w:marRight w:val="0"/>
                          <w:marTop w:val="0"/>
                          <w:marBottom w:val="0"/>
                          <w:divBdr>
                            <w:top w:val="none" w:sz="0" w:space="0" w:color="auto"/>
                            <w:left w:val="none" w:sz="0" w:space="0" w:color="auto"/>
                            <w:bottom w:val="none" w:sz="0" w:space="0" w:color="auto"/>
                            <w:right w:val="none" w:sz="0" w:space="0" w:color="auto"/>
                          </w:divBdr>
                        </w:div>
                      </w:divsChild>
                    </w:div>
                    <w:div w:id="294146282">
                      <w:marLeft w:val="0"/>
                      <w:marRight w:val="0"/>
                      <w:marTop w:val="0"/>
                      <w:marBottom w:val="0"/>
                      <w:divBdr>
                        <w:top w:val="none" w:sz="0" w:space="0" w:color="auto"/>
                        <w:left w:val="none" w:sz="0" w:space="0" w:color="auto"/>
                        <w:bottom w:val="none" w:sz="0" w:space="0" w:color="auto"/>
                        <w:right w:val="none" w:sz="0" w:space="0" w:color="auto"/>
                      </w:divBdr>
                      <w:divsChild>
                        <w:div w:id="294145121">
                          <w:marLeft w:val="0"/>
                          <w:marRight w:val="0"/>
                          <w:marTop w:val="0"/>
                          <w:marBottom w:val="0"/>
                          <w:divBdr>
                            <w:top w:val="none" w:sz="0" w:space="0" w:color="auto"/>
                            <w:left w:val="none" w:sz="0" w:space="0" w:color="auto"/>
                            <w:bottom w:val="none" w:sz="0" w:space="0" w:color="auto"/>
                            <w:right w:val="none" w:sz="0" w:space="0" w:color="auto"/>
                          </w:divBdr>
                        </w:div>
                      </w:divsChild>
                    </w:div>
                    <w:div w:id="294146312">
                      <w:marLeft w:val="0"/>
                      <w:marRight w:val="0"/>
                      <w:marTop w:val="0"/>
                      <w:marBottom w:val="0"/>
                      <w:divBdr>
                        <w:top w:val="none" w:sz="0" w:space="0" w:color="auto"/>
                        <w:left w:val="none" w:sz="0" w:space="0" w:color="auto"/>
                        <w:bottom w:val="none" w:sz="0" w:space="0" w:color="auto"/>
                        <w:right w:val="none" w:sz="0" w:space="0" w:color="auto"/>
                      </w:divBdr>
                      <w:divsChild>
                        <w:div w:id="294138960">
                          <w:marLeft w:val="0"/>
                          <w:marRight w:val="0"/>
                          <w:marTop w:val="0"/>
                          <w:marBottom w:val="0"/>
                          <w:divBdr>
                            <w:top w:val="none" w:sz="0" w:space="0" w:color="auto"/>
                            <w:left w:val="none" w:sz="0" w:space="0" w:color="auto"/>
                            <w:bottom w:val="none" w:sz="0" w:space="0" w:color="auto"/>
                            <w:right w:val="none" w:sz="0" w:space="0" w:color="auto"/>
                          </w:divBdr>
                        </w:div>
                      </w:divsChild>
                    </w:div>
                    <w:div w:id="294146540">
                      <w:marLeft w:val="0"/>
                      <w:marRight w:val="0"/>
                      <w:marTop w:val="0"/>
                      <w:marBottom w:val="0"/>
                      <w:divBdr>
                        <w:top w:val="none" w:sz="0" w:space="0" w:color="auto"/>
                        <w:left w:val="none" w:sz="0" w:space="0" w:color="auto"/>
                        <w:bottom w:val="none" w:sz="0" w:space="0" w:color="auto"/>
                        <w:right w:val="none" w:sz="0" w:space="0" w:color="auto"/>
                      </w:divBdr>
                      <w:divsChild>
                        <w:div w:id="294147406">
                          <w:marLeft w:val="0"/>
                          <w:marRight w:val="0"/>
                          <w:marTop w:val="0"/>
                          <w:marBottom w:val="0"/>
                          <w:divBdr>
                            <w:top w:val="none" w:sz="0" w:space="0" w:color="auto"/>
                            <w:left w:val="none" w:sz="0" w:space="0" w:color="auto"/>
                            <w:bottom w:val="none" w:sz="0" w:space="0" w:color="auto"/>
                            <w:right w:val="none" w:sz="0" w:space="0" w:color="auto"/>
                          </w:divBdr>
                        </w:div>
                      </w:divsChild>
                    </w:div>
                    <w:div w:id="294146634">
                      <w:marLeft w:val="0"/>
                      <w:marRight w:val="0"/>
                      <w:marTop w:val="0"/>
                      <w:marBottom w:val="0"/>
                      <w:divBdr>
                        <w:top w:val="none" w:sz="0" w:space="0" w:color="auto"/>
                        <w:left w:val="none" w:sz="0" w:space="0" w:color="auto"/>
                        <w:bottom w:val="none" w:sz="0" w:space="0" w:color="auto"/>
                        <w:right w:val="none" w:sz="0" w:space="0" w:color="auto"/>
                      </w:divBdr>
                      <w:divsChild>
                        <w:div w:id="294149277">
                          <w:marLeft w:val="0"/>
                          <w:marRight w:val="0"/>
                          <w:marTop w:val="0"/>
                          <w:marBottom w:val="0"/>
                          <w:divBdr>
                            <w:top w:val="none" w:sz="0" w:space="0" w:color="auto"/>
                            <w:left w:val="none" w:sz="0" w:space="0" w:color="auto"/>
                            <w:bottom w:val="none" w:sz="0" w:space="0" w:color="auto"/>
                            <w:right w:val="none" w:sz="0" w:space="0" w:color="auto"/>
                          </w:divBdr>
                        </w:div>
                      </w:divsChild>
                    </w:div>
                    <w:div w:id="294146643">
                      <w:marLeft w:val="0"/>
                      <w:marRight w:val="0"/>
                      <w:marTop w:val="0"/>
                      <w:marBottom w:val="0"/>
                      <w:divBdr>
                        <w:top w:val="none" w:sz="0" w:space="0" w:color="auto"/>
                        <w:left w:val="none" w:sz="0" w:space="0" w:color="auto"/>
                        <w:bottom w:val="none" w:sz="0" w:space="0" w:color="auto"/>
                        <w:right w:val="none" w:sz="0" w:space="0" w:color="auto"/>
                      </w:divBdr>
                      <w:divsChild>
                        <w:div w:id="294145569">
                          <w:marLeft w:val="0"/>
                          <w:marRight w:val="0"/>
                          <w:marTop w:val="0"/>
                          <w:marBottom w:val="0"/>
                          <w:divBdr>
                            <w:top w:val="none" w:sz="0" w:space="0" w:color="auto"/>
                            <w:left w:val="none" w:sz="0" w:space="0" w:color="auto"/>
                            <w:bottom w:val="none" w:sz="0" w:space="0" w:color="auto"/>
                            <w:right w:val="none" w:sz="0" w:space="0" w:color="auto"/>
                          </w:divBdr>
                        </w:div>
                      </w:divsChild>
                    </w:div>
                    <w:div w:id="294146720">
                      <w:marLeft w:val="0"/>
                      <w:marRight w:val="0"/>
                      <w:marTop w:val="0"/>
                      <w:marBottom w:val="0"/>
                      <w:divBdr>
                        <w:top w:val="none" w:sz="0" w:space="0" w:color="auto"/>
                        <w:left w:val="none" w:sz="0" w:space="0" w:color="auto"/>
                        <w:bottom w:val="none" w:sz="0" w:space="0" w:color="auto"/>
                        <w:right w:val="none" w:sz="0" w:space="0" w:color="auto"/>
                      </w:divBdr>
                      <w:divsChild>
                        <w:div w:id="294145294">
                          <w:marLeft w:val="0"/>
                          <w:marRight w:val="0"/>
                          <w:marTop w:val="0"/>
                          <w:marBottom w:val="0"/>
                          <w:divBdr>
                            <w:top w:val="none" w:sz="0" w:space="0" w:color="auto"/>
                            <w:left w:val="none" w:sz="0" w:space="0" w:color="auto"/>
                            <w:bottom w:val="none" w:sz="0" w:space="0" w:color="auto"/>
                            <w:right w:val="none" w:sz="0" w:space="0" w:color="auto"/>
                          </w:divBdr>
                        </w:div>
                      </w:divsChild>
                    </w:div>
                    <w:div w:id="294146809">
                      <w:marLeft w:val="0"/>
                      <w:marRight w:val="0"/>
                      <w:marTop w:val="0"/>
                      <w:marBottom w:val="0"/>
                      <w:divBdr>
                        <w:top w:val="none" w:sz="0" w:space="0" w:color="auto"/>
                        <w:left w:val="none" w:sz="0" w:space="0" w:color="auto"/>
                        <w:bottom w:val="none" w:sz="0" w:space="0" w:color="auto"/>
                        <w:right w:val="none" w:sz="0" w:space="0" w:color="auto"/>
                      </w:divBdr>
                      <w:divsChild>
                        <w:div w:id="294141597">
                          <w:marLeft w:val="0"/>
                          <w:marRight w:val="0"/>
                          <w:marTop w:val="0"/>
                          <w:marBottom w:val="0"/>
                          <w:divBdr>
                            <w:top w:val="none" w:sz="0" w:space="0" w:color="auto"/>
                            <w:left w:val="none" w:sz="0" w:space="0" w:color="auto"/>
                            <w:bottom w:val="none" w:sz="0" w:space="0" w:color="auto"/>
                            <w:right w:val="none" w:sz="0" w:space="0" w:color="auto"/>
                          </w:divBdr>
                        </w:div>
                      </w:divsChild>
                    </w:div>
                    <w:div w:id="294146941">
                      <w:marLeft w:val="0"/>
                      <w:marRight w:val="0"/>
                      <w:marTop w:val="0"/>
                      <w:marBottom w:val="0"/>
                      <w:divBdr>
                        <w:top w:val="none" w:sz="0" w:space="0" w:color="auto"/>
                        <w:left w:val="none" w:sz="0" w:space="0" w:color="auto"/>
                        <w:bottom w:val="none" w:sz="0" w:space="0" w:color="auto"/>
                        <w:right w:val="none" w:sz="0" w:space="0" w:color="auto"/>
                      </w:divBdr>
                      <w:divsChild>
                        <w:div w:id="294144801">
                          <w:marLeft w:val="0"/>
                          <w:marRight w:val="0"/>
                          <w:marTop w:val="0"/>
                          <w:marBottom w:val="0"/>
                          <w:divBdr>
                            <w:top w:val="none" w:sz="0" w:space="0" w:color="auto"/>
                            <w:left w:val="none" w:sz="0" w:space="0" w:color="auto"/>
                            <w:bottom w:val="none" w:sz="0" w:space="0" w:color="auto"/>
                            <w:right w:val="none" w:sz="0" w:space="0" w:color="auto"/>
                          </w:divBdr>
                        </w:div>
                      </w:divsChild>
                    </w:div>
                    <w:div w:id="294147026">
                      <w:marLeft w:val="0"/>
                      <w:marRight w:val="0"/>
                      <w:marTop w:val="0"/>
                      <w:marBottom w:val="0"/>
                      <w:divBdr>
                        <w:top w:val="none" w:sz="0" w:space="0" w:color="auto"/>
                        <w:left w:val="none" w:sz="0" w:space="0" w:color="auto"/>
                        <w:bottom w:val="none" w:sz="0" w:space="0" w:color="auto"/>
                        <w:right w:val="none" w:sz="0" w:space="0" w:color="auto"/>
                      </w:divBdr>
                      <w:divsChild>
                        <w:div w:id="294147681">
                          <w:marLeft w:val="0"/>
                          <w:marRight w:val="0"/>
                          <w:marTop w:val="0"/>
                          <w:marBottom w:val="0"/>
                          <w:divBdr>
                            <w:top w:val="none" w:sz="0" w:space="0" w:color="auto"/>
                            <w:left w:val="none" w:sz="0" w:space="0" w:color="auto"/>
                            <w:bottom w:val="none" w:sz="0" w:space="0" w:color="auto"/>
                            <w:right w:val="none" w:sz="0" w:space="0" w:color="auto"/>
                          </w:divBdr>
                        </w:div>
                      </w:divsChild>
                    </w:div>
                    <w:div w:id="294147057">
                      <w:marLeft w:val="0"/>
                      <w:marRight w:val="0"/>
                      <w:marTop w:val="0"/>
                      <w:marBottom w:val="0"/>
                      <w:divBdr>
                        <w:top w:val="none" w:sz="0" w:space="0" w:color="auto"/>
                        <w:left w:val="none" w:sz="0" w:space="0" w:color="auto"/>
                        <w:bottom w:val="none" w:sz="0" w:space="0" w:color="auto"/>
                        <w:right w:val="none" w:sz="0" w:space="0" w:color="auto"/>
                      </w:divBdr>
                    </w:div>
                    <w:div w:id="294147090">
                      <w:marLeft w:val="0"/>
                      <w:marRight w:val="0"/>
                      <w:marTop w:val="0"/>
                      <w:marBottom w:val="0"/>
                      <w:divBdr>
                        <w:top w:val="none" w:sz="0" w:space="0" w:color="auto"/>
                        <w:left w:val="none" w:sz="0" w:space="0" w:color="auto"/>
                        <w:bottom w:val="none" w:sz="0" w:space="0" w:color="auto"/>
                        <w:right w:val="none" w:sz="0" w:space="0" w:color="auto"/>
                      </w:divBdr>
                      <w:divsChild>
                        <w:div w:id="294145404">
                          <w:marLeft w:val="0"/>
                          <w:marRight w:val="0"/>
                          <w:marTop w:val="0"/>
                          <w:marBottom w:val="0"/>
                          <w:divBdr>
                            <w:top w:val="none" w:sz="0" w:space="0" w:color="auto"/>
                            <w:left w:val="none" w:sz="0" w:space="0" w:color="auto"/>
                            <w:bottom w:val="none" w:sz="0" w:space="0" w:color="auto"/>
                            <w:right w:val="none" w:sz="0" w:space="0" w:color="auto"/>
                          </w:divBdr>
                        </w:div>
                      </w:divsChild>
                    </w:div>
                    <w:div w:id="294147098">
                      <w:marLeft w:val="0"/>
                      <w:marRight w:val="0"/>
                      <w:marTop w:val="0"/>
                      <w:marBottom w:val="0"/>
                      <w:divBdr>
                        <w:top w:val="none" w:sz="0" w:space="0" w:color="auto"/>
                        <w:left w:val="none" w:sz="0" w:space="0" w:color="auto"/>
                        <w:bottom w:val="none" w:sz="0" w:space="0" w:color="auto"/>
                        <w:right w:val="none" w:sz="0" w:space="0" w:color="auto"/>
                      </w:divBdr>
                      <w:divsChild>
                        <w:div w:id="294153556">
                          <w:marLeft w:val="0"/>
                          <w:marRight w:val="0"/>
                          <w:marTop w:val="0"/>
                          <w:marBottom w:val="0"/>
                          <w:divBdr>
                            <w:top w:val="none" w:sz="0" w:space="0" w:color="auto"/>
                            <w:left w:val="none" w:sz="0" w:space="0" w:color="auto"/>
                            <w:bottom w:val="none" w:sz="0" w:space="0" w:color="auto"/>
                            <w:right w:val="none" w:sz="0" w:space="0" w:color="auto"/>
                          </w:divBdr>
                        </w:div>
                      </w:divsChild>
                    </w:div>
                    <w:div w:id="294147134">
                      <w:marLeft w:val="0"/>
                      <w:marRight w:val="0"/>
                      <w:marTop w:val="0"/>
                      <w:marBottom w:val="0"/>
                      <w:divBdr>
                        <w:top w:val="none" w:sz="0" w:space="0" w:color="auto"/>
                        <w:left w:val="none" w:sz="0" w:space="0" w:color="auto"/>
                        <w:bottom w:val="none" w:sz="0" w:space="0" w:color="auto"/>
                        <w:right w:val="none" w:sz="0" w:space="0" w:color="auto"/>
                      </w:divBdr>
                      <w:divsChild>
                        <w:div w:id="294141250">
                          <w:marLeft w:val="0"/>
                          <w:marRight w:val="0"/>
                          <w:marTop w:val="0"/>
                          <w:marBottom w:val="0"/>
                          <w:divBdr>
                            <w:top w:val="none" w:sz="0" w:space="0" w:color="auto"/>
                            <w:left w:val="none" w:sz="0" w:space="0" w:color="auto"/>
                            <w:bottom w:val="none" w:sz="0" w:space="0" w:color="auto"/>
                            <w:right w:val="none" w:sz="0" w:space="0" w:color="auto"/>
                          </w:divBdr>
                        </w:div>
                      </w:divsChild>
                    </w:div>
                    <w:div w:id="294147151">
                      <w:marLeft w:val="0"/>
                      <w:marRight w:val="0"/>
                      <w:marTop w:val="0"/>
                      <w:marBottom w:val="0"/>
                      <w:divBdr>
                        <w:top w:val="none" w:sz="0" w:space="0" w:color="auto"/>
                        <w:left w:val="none" w:sz="0" w:space="0" w:color="auto"/>
                        <w:bottom w:val="none" w:sz="0" w:space="0" w:color="auto"/>
                        <w:right w:val="none" w:sz="0" w:space="0" w:color="auto"/>
                      </w:divBdr>
                      <w:divsChild>
                        <w:div w:id="294145687">
                          <w:marLeft w:val="0"/>
                          <w:marRight w:val="0"/>
                          <w:marTop w:val="0"/>
                          <w:marBottom w:val="0"/>
                          <w:divBdr>
                            <w:top w:val="none" w:sz="0" w:space="0" w:color="auto"/>
                            <w:left w:val="none" w:sz="0" w:space="0" w:color="auto"/>
                            <w:bottom w:val="none" w:sz="0" w:space="0" w:color="auto"/>
                            <w:right w:val="none" w:sz="0" w:space="0" w:color="auto"/>
                          </w:divBdr>
                        </w:div>
                      </w:divsChild>
                    </w:div>
                    <w:div w:id="294147357">
                      <w:marLeft w:val="0"/>
                      <w:marRight w:val="0"/>
                      <w:marTop w:val="0"/>
                      <w:marBottom w:val="0"/>
                      <w:divBdr>
                        <w:top w:val="none" w:sz="0" w:space="0" w:color="auto"/>
                        <w:left w:val="none" w:sz="0" w:space="0" w:color="auto"/>
                        <w:bottom w:val="none" w:sz="0" w:space="0" w:color="auto"/>
                        <w:right w:val="none" w:sz="0" w:space="0" w:color="auto"/>
                      </w:divBdr>
                      <w:divsChild>
                        <w:div w:id="294143782">
                          <w:marLeft w:val="0"/>
                          <w:marRight w:val="0"/>
                          <w:marTop w:val="0"/>
                          <w:marBottom w:val="0"/>
                          <w:divBdr>
                            <w:top w:val="none" w:sz="0" w:space="0" w:color="auto"/>
                            <w:left w:val="none" w:sz="0" w:space="0" w:color="auto"/>
                            <w:bottom w:val="none" w:sz="0" w:space="0" w:color="auto"/>
                            <w:right w:val="none" w:sz="0" w:space="0" w:color="auto"/>
                          </w:divBdr>
                        </w:div>
                      </w:divsChild>
                    </w:div>
                    <w:div w:id="294147512">
                      <w:marLeft w:val="0"/>
                      <w:marRight w:val="0"/>
                      <w:marTop w:val="0"/>
                      <w:marBottom w:val="0"/>
                      <w:divBdr>
                        <w:top w:val="none" w:sz="0" w:space="0" w:color="auto"/>
                        <w:left w:val="none" w:sz="0" w:space="0" w:color="auto"/>
                        <w:bottom w:val="none" w:sz="0" w:space="0" w:color="auto"/>
                        <w:right w:val="none" w:sz="0" w:space="0" w:color="auto"/>
                      </w:divBdr>
                    </w:div>
                    <w:div w:id="294147519">
                      <w:marLeft w:val="0"/>
                      <w:marRight w:val="0"/>
                      <w:marTop w:val="0"/>
                      <w:marBottom w:val="0"/>
                      <w:divBdr>
                        <w:top w:val="none" w:sz="0" w:space="0" w:color="auto"/>
                        <w:left w:val="none" w:sz="0" w:space="0" w:color="auto"/>
                        <w:bottom w:val="none" w:sz="0" w:space="0" w:color="auto"/>
                        <w:right w:val="none" w:sz="0" w:space="0" w:color="auto"/>
                      </w:divBdr>
                      <w:divsChild>
                        <w:div w:id="294148547">
                          <w:marLeft w:val="0"/>
                          <w:marRight w:val="0"/>
                          <w:marTop w:val="0"/>
                          <w:marBottom w:val="0"/>
                          <w:divBdr>
                            <w:top w:val="none" w:sz="0" w:space="0" w:color="auto"/>
                            <w:left w:val="none" w:sz="0" w:space="0" w:color="auto"/>
                            <w:bottom w:val="none" w:sz="0" w:space="0" w:color="auto"/>
                            <w:right w:val="none" w:sz="0" w:space="0" w:color="auto"/>
                          </w:divBdr>
                        </w:div>
                      </w:divsChild>
                    </w:div>
                    <w:div w:id="294147527">
                      <w:marLeft w:val="0"/>
                      <w:marRight w:val="0"/>
                      <w:marTop w:val="0"/>
                      <w:marBottom w:val="0"/>
                      <w:divBdr>
                        <w:top w:val="none" w:sz="0" w:space="0" w:color="auto"/>
                        <w:left w:val="none" w:sz="0" w:space="0" w:color="auto"/>
                        <w:bottom w:val="none" w:sz="0" w:space="0" w:color="auto"/>
                        <w:right w:val="none" w:sz="0" w:space="0" w:color="auto"/>
                      </w:divBdr>
                      <w:divsChild>
                        <w:div w:id="294143739">
                          <w:marLeft w:val="0"/>
                          <w:marRight w:val="0"/>
                          <w:marTop w:val="0"/>
                          <w:marBottom w:val="0"/>
                          <w:divBdr>
                            <w:top w:val="none" w:sz="0" w:space="0" w:color="auto"/>
                            <w:left w:val="none" w:sz="0" w:space="0" w:color="auto"/>
                            <w:bottom w:val="none" w:sz="0" w:space="0" w:color="auto"/>
                            <w:right w:val="none" w:sz="0" w:space="0" w:color="auto"/>
                          </w:divBdr>
                        </w:div>
                      </w:divsChild>
                    </w:div>
                    <w:div w:id="294147563">
                      <w:marLeft w:val="0"/>
                      <w:marRight w:val="0"/>
                      <w:marTop w:val="0"/>
                      <w:marBottom w:val="0"/>
                      <w:divBdr>
                        <w:top w:val="none" w:sz="0" w:space="0" w:color="auto"/>
                        <w:left w:val="none" w:sz="0" w:space="0" w:color="auto"/>
                        <w:bottom w:val="none" w:sz="0" w:space="0" w:color="auto"/>
                        <w:right w:val="none" w:sz="0" w:space="0" w:color="auto"/>
                      </w:divBdr>
                    </w:div>
                    <w:div w:id="294147591">
                      <w:marLeft w:val="0"/>
                      <w:marRight w:val="0"/>
                      <w:marTop w:val="0"/>
                      <w:marBottom w:val="0"/>
                      <w:divBdr>
                        <w:top w:val="none" w:sz="0" w:space="0" w:color="auto"/>
                        <w:left w:val="none" w:sz="0" w:space="0" w:color="auto"/>
                        <w:bottom w:val="none" w:sz="0" w:space="0" w:color="auto"/>
                        <w:right w:val="none" w:sz="0" w:space="0" w:color="auto"/>
                      </w:divBdr>
                      <w:divsChild>
                        <w:div w:id="294142572">
                          <w:marLeft w:val="0"/>
                          <w:marRight w:val="0"/>
                          <w:marTop w:val="0"/>
                          <w:marBottom w:val="0"/>
                          <w:divBdr>
                            <w:top w:val="none" w:sz="0" w:space="0" w:color="auto"/>
                            <w:left w:val="none" w:sz="0" w:space="0" w:color="auto"/>
                            <w:bottom w:val="none" w:sz="0" w:space="0" w:color="auto"/>
                            <w:right w:val="none" w:sz="0" w:space="0" w:color="auto"/>
                          </w:divBdr>
                        </w:div>
                      </w:divsChild>
                    </w:div>
                    <w:div w:id="294147646">
                      <w:marLeft w:val="0"/>
                      <w:marRight w:val="0"/>
                      <w:marTop w:val="0"/>
                      <w:marBottom w:val="0"/>
                      <w:divBdr>
                        <w:top w:val="none" w:sz="0" w:space="0" w:color="auto"/>
                        <w:left w:val="none" w:sz="0" w:space="0" w:color="auto"/>
                        <w:bottom w:val="none" w:sz="0" w:space="0" w:color="auto"/>
                        <w:right w:val="none" w:sz="0" w:space="0" w:color="auto"/>
                      </w:divBdr>
                    </w:div>
                    <w:div w:id="294147668">
                      <w:marLeft w:val="0"/>
                      <w:marRight w:val="0"/>
                      <w:marTop w:val="0"/>
                      <w:marBottom w:val="0"/>
                      <w:divBdr>
                        <w:top w:val="none" w:sz="0" w:space="0" w:color="auto"/>
                        <w:left w:val="none" w:sz="0" w:space="0" w:color="auto"/>
                        <w:bottom w:val="none" w:sz="0" w:space="0" w:color="auto"/>
                        <w:right w:val="none" w:sz="0" w:space="0" w:color="auto"/>
                      </w:divBdr>
                      <w:divsChild>
                        <w:div w:id="294139351">
                          <w:marLeft w:val="0"/>
                          <w:marRight w:val="0"/>
                          <w:marTop w:val="0"/>
                          <w:marBottom w:val="0"/>
                          <w:divBdr>
                            <w:top w:val="none" w:sz="0" w:space="0" w:color="auto"/>
                            <w:left w:val="none" w:sz="0" w:space="0" w:color="auto"/>
                            <w:bottom w:val="none" w:sz="0" w:space="0" w:color="auto"/>
                            <w:right w:val="none" w:sz="0" w:space="0" w:color="auto"/>
                          </w:divBdr>
                        </w:div>
                      </w:divsChild>
                    </w:div>
                    <w:div w:id="294147693">
                      <w:marLeft w:val="0"/>
                      <w:marRight w:val="0"/>
                      <w:marTop w:val="0"/>
                      <w:marBottom w:val="0"/>
                      <w:divBdr>
                        <w:top w:val="none" w:sz="0" w:space="0" w:color="auto"/>
                        <w:left w:val="none" w:sz="0" w:space="0" w:color="auto"/>
                        <w:bottom w:val="none" w:sz="0" w:space="0" w:color="auto"/>
                        <w:right w:val="none" w:sz="0" w:space="0" w:color="auto"/>
                      </w:divBdr>
                      <w:divsChild>
                        <w:div w:id="294154569">
                          <w:marLeft w:val="0"/>
                          <w:marRight w:val="0"/>
                          <w:marTop w:val="0"/>
                          <w:marBottom w:val="0"/>
                          <w:divBdr>
                            <w:top w:val="none" w:sz="0" w:space="0" w:color="auto"/>
                            <w:left w:val="none" w:sz="0" w:space="0" w:color="auto"/>
                            <w:bottom w:val="none" w:sz="0" w:space="0" w:color="auto"/>
                            <w:right w:val="none" w:sz="0" w:space="0" w:color="auto"/>
                          </w:divBdr>
                        </w:div>
                      </w:divsChild>
                    </w:div>
                    <w:div w:id="294147868">
                      <w:marLeft w:val="0"/>
                      <w:marRight w:val="0"/>
                      <w:marTop w:val="0"/>
                      <w:marBottom w:val="0"/>
                      <w:divBdr>
                        <w:top w:val="none" w:sz="0" w:space="0" w:color="auto"/>
                        <w:left w:val="none" w:sz="0" w:space="0" w:color="auto"/>
                        <w:bottom w:val="none" w:sz="0" w:space="0" w:color="auto"/>
                        <w:right w:val="none" w:sz="0" w:space="0" w:color="auto"/>
                      </w:divBdr>
                      <w:divsChild>
                        <w:div w:id="294144668">
                          <w:marLeft w:val="0"/>
                          <w:marRight w:val="0"/>
                          <w:marTop w:val="0"/>
                          <w:marBottom w:val="0"/>
                          <w:divBdr>
                            <w:top w:val="none" w:sz="0" w:space="0" w:color="auto"/>
                            <w:left w:val="none" w:sz="0" w:space="0" w:color="auto"/>
                            <w:bottom w:val="none" w:sz="0" w:space="0" w:color="auto"/>
                            <w:right w:val="none" w:sz="0" w:space="0" w:color="auto"/>
                          </w:divBdr>
                        </w:div>
                      </w:divsChild>
                    </w:div>
                    <w:div w:id="294147874">
                      <w:marLeft w:val="0"/>
                      <w:marRight w:val="0"/>
                      <w:marTop w:val="0"/>
                      <w:marBottom w:val="0"/>
                      <w:divBdr>
                        <w:top w:val="none" w:sz="0" w:space="0" w:color="auto"/>
                        <w:left w:val="none" w:sz="0" w:space="0" w:color="auto"/>
                        <w:bottom w:val="none" w:sz="0" w:space="0" w:color="auto"/>
                        <w:right w:val="none" w:sz="0" w:space="0" w:color="auto"/>
                      </w:divBdr>
                      <w:divsChild>
                        <w:div w:id="294156035">
                          <w:marLeft w:val="0"/>
                          <w:marRight w:val="0"/>
                          <w:marTop w:val="0"/>
                          <w:marBottom w:val="0"/>
                          <w:divBdr>
                            <w:top w:val="none" w:sz="0" w:space="0" w:color="auto"/>
                            <w:left w:val="none" w:sz="0" w:space="0" w:color="auto"/>
                            <w:bottom w:val="none" w:sz="0" w:space="0" w:color="auto"/>
                            <w:right w:val="none" w:sz="0" w:space="0" w:color="auto"/>
                          </w:divBdr>
                        </w:div>
                      </w:divsChild>
                    </w:div>
                    <w:div w:id="294148193">
                      <w:marLeft w:val="0"/>
                      <w:marRight w:val="0"/>
                      <w:marTop w:val="0"/>
                      <w:marBottom w:val="0"/>
                      <w:divBdr>
                        <w:top w:val="none" w:sz="0" w:space="0" w:color="auto"/>
                        <w:left w:val="none" w:sz="0" w:space="0" w:color="auto"/>
                        <w:bottom w:val="none" w:sz="0" w:space="0" w:color="auto"/>
                        <w:right w:val="none" w:sz="0" w:space="0" w:color="auto"/>
                      </w:divBdr>
                      <w:divsChild>
                        <w:div w:id="294138569">
                          <w:marLeft w:val="0"/>
                          <w:marRight w:val="0"/>
                          <w:marTop w:val="0"/>
                          <w:marBottom w:val="0"/>
                          <w:divBdr>
                            <w:top w:val="none" w:sz="0" w:space="0" w:color="auto"/>
                            <w:left w:val="none" w:sz="0" w:space="0" w:color="auto"/>
                            <w:bottom w:val="none" w:sz="0" w:space="0" w:color="auto"/>
                            <w:right w:val="none" w:sz="0" w:space="0" w:color="auto"/>
                          </w:divBdr>
                        </w:div>
                      </w:divsChild>
                    </w:div>
                    <w:div w:id="294148228">
                      <w:marLeft w:val="0"/>
                      <w:marRight w:val="0"/>
                      <w:marTop w:val="0"/>
                      <w:marBottom w:val="0"/>
                      <w:divBdr>
                        <w:top w:val="none" w:sz="0" w:space="0" w:color="auto"/>
                        <w:left w:val="none" w:sz="0" w:space="0" w:color="auto"/>
                        <w:bottom w:val="none" w:sz="0" w:space="0" w:color="auto"/>
                        <w:right w:val="none" w:sz="0" w:space="0" w:color="auto"/>
                      </w:divBdr>
                      <w:divsChild>
                        <w:div w:id="294142590">
                          <w:marLeft w:val="0"/>
                          <w:marRight w:val="0"/>
                          <w:marTop w:val="0"/>
                          <w:marBottom w:val="0"/>
                          <w:divBdr>
                            <w:top w:val="none" w:sz="0" w:space="0" w:color="auto"/>
                            <w:left w:val="none" w:sz="0" w:space="0" w:color="auto"/>
                            <w:bottom w:val="none" w:sz="0" w:space="0" w:color="auto"/>
                            <w:right w:val="none" w:sz="0" w:space="0" w:color="auto"/>
                          </w:divBdr>
                        </w:div>
                      </w:divsChild>
                    </w:div>
                    <w:div w:id="294148447">
                      <w:marLeft w:val="0"/>
                      <w:marRight w:val="0"/>
                      <w:marTop w:val="0"/>
                      <w:marBottom w:val="0"/>
                      <w:divBdr>
                        <w:top w:val="none" w:sz="0" w:space="0" w:color="auto"/>
                        <w:left w:val="none" w:sz="0" w:space="0" w:color="auto"/>
                        <w:bottom w:val="none" w:sz="0" w:space="0" w:color="auto"/>
                        <w:right w:val="none" w:sz="0" w:space="0" w:color="auto"/>
                      </w:divBdr>
                      <w:divsChild>
                        <w:div w:id="294146695">
                          <w:marLeft w:val="0"/>
                          <w:marRight w:val="0"/>
                          <w:marTop w:val="0"/>
                          <w:marBottom w:val="0"/>
                          <w:divBdr>
                            <w:top w:val="none" w:sz="0" w:space="0" w:color="auto"/>
                            <w:left w:val="none" w:sz="0" w:space="0" w:color="auto"/>
                            <w:bottom w:val="none" w:sz="0" w:space="0" w:color="auto"/>
                            <w:right w:val="none" w:sz="0" w:space="0" w:color="auto"/>
                          </w:divBdr>
                        </w:div>
                      </w:divsChild>
                    </w:div>
                    <w:div w:id="294148525">
                      <w:marLeft w:val="0"/>
                      <w:marRight w:val="0"/>
                      <w:marTop w:val="0"/>
                      <w:marBottom w:val="0"/>
                      <w:divBdr>
                        <w:top w:val="none" w:sz="0" w:space="0" w:color="auto"/>
                        <w:left w:val="none" w:sz="0" w:space="0" w:color="auto"/>
                        <w:bottom w:val="none" w:sz="0" w:space="0" w:color="auto"/>
                        <w:right w:val="none" w:sz="0" w:space="0" w:color="auto"/>
                      </w:divBdr>
                    </w:div>
                    <w:div w:id="294148632">
                      <w:marLeft w:val="0"/>
                      <w:marRight w:val="0"/>
                      <w:marTop w:val="0"/>
                      <w:marBottom w:val="0"/>
                      <w:divBdr>
                        <w:top w:val="none" w:sz="0" w:space="0" w:color="auto"/>
                        <w:left w:val="none" w:sz="0" w:space="0" w:color="auto"/>
                        <w:bottom w:val="none" w:sz="0" w:space="0" w:color="auto"/>
                        <w:right w:val="none" w:sz="0" w:space="0" w:color="auto"/>
                      </w:divBdr>
                    </w:div>
                    <w:div w:id="294148659">
                      <w:marLeft w:val="0"/>
                      <w:marRight w:val="0"/>
                      <w:marTop w:val="0"/>
                      <w:marBottom w:val="0"/>
                      <w:divBdr>
                        <w:top w:val="none" w:sz="0" w:space="0" w:color="auto"/>
                        <w:left w:val="none" w:sz="0" w:space="0" w:color="auto"/>
                        <w:bottom w:val="none" w:sz="0" w:space="0" w:color="auto"/>
                        <w:right w:val="none" w:sz="0" w:space="0" w:color="auto"/>
                      </w:divBdr>
                    </w:div>
                    <w:div w:id="294148671">
                      <w:marLeft w:val="0"/>
                      <w:marRight w:val="0"/>
                      <w:marTop w:val="0"/>
                      <w:marBottom w:val="0"/>
                      <w:divBdr>
                        <w:top w:val="none" w:sz="0" w:space="0" w:color="auto"/>
                        <w:left w:val="none" w:sz="0" w:space="0" w:color="auto"/>
                        <w:bottom w:val="none" w:sz="0" w:space="0" w:color="auto"/>
                        <w:right w:val="none" w:sz="0" w:space="0" w:color="auto"/>
                      </w:divBdr>
                      <w:divsChild>
                        <w:div w:id="294151775">
                          <w:marLeft w:val="0"/>
                          <w:marRight w:val="0"/>
                          <w:marTop w:val="0"/>
                          <w:marBottom w:val="0"/>
                          <w:divBdr>
                            <w:top w:val="none" w:sz="0" w:space="0" w:color="auto"/>
                            <w:left w:val="none" w:sz="0" w:space="0" w:color="auto"/>
                            <w:bottom w:val="none" w:sz="0" w:space="0" w:color="auto"/>
                            <w:right w:val="none" w:sz="0" w:space="0" w:color="auto"/>
                          </w:divBdr>
                        </w:div>
                      </w:divsChild>
                    </w:div>
                    <w:div w:id="294148834">
                      <w:marLeft w:val="0"/>
                      <w:marRight w:val="0"/>
                      <w:marTop w:val="0"/>
                      <w:marBottom w:val="0"/>
                      <w:divBdr>
                        <w:top w:val="none" w:sz="0" w:space="0" w:color="auto"/>
                        <w:left w:val="none" w:sz="0" w:space="0" w:color="auto"/>
                        <w:bottom w:val="none" w:sz="0" w:space="0" w:color="auto"/>
                        <w:right w:val="none" w:sz="0" w:space="0" w:color="auto"/>
                      </w:divBdr>
                    </w:div>
                    <w:div w:id="294148915">
                      <w:marLeft w:val="0"/>
                      <w:marRight w:val="0"/>
                      <w:marTop w:val="0"/>
                      <w:marBottom w:val="0"/>
                      <w:divBdr>
                        <w:top w:val="none" w:sz="0" w:space="0" w:color="auto"/>
                        <w:left w:val="none" w:sz="0" w:space="0" w:color="auto"/>
                        <w:bottom w:val="none" w:sz="0" w:space="0" w:color="auto"/>
                        <w:right w:val="none" w:sz="0" w:space="0" w:color="auto"/>
                      </w:divBdr>
                      <w:divsChild>
                        <w:div w:id="294139728">
                          <w:marLeft w:val="0"/>
                          <w:marRight w:val="0"/>
                          <w:marTop w:val="0"/>
                          <w:marBottom w:val="0"/>
                          <w:divBdr>
                            <w:top w:val="none" w:sz="0" w:space="0" w:color="auto"/>
                            <w:left w:val="none" w:sz="0" w:space="0" w:color="auto"/>
                            <w:bottom w:val="none" w:sz="0" w:space="0" w:color="auto"/>
                            <w:right w:val="none" w:sz="0" w:space="0" w:color="auto"/>
                          </w:divBdr>
                        </w:div>
                      </w:divsChild>
                    </w:div>
                    <w:div w:id="294148957">
                      <w:marLeft w:val="0"/>
                      <w:marRight w:val="0"/>
                      <w:marTop w:val="0"/>
                      <w:marBottom w:val="0"/>
                      <w:divBdr>
                        <w:top w:val="none" w:sz="0" w:space="0" w:color="auto"/>
                        <w:left w:val="none" w:sz="0" w:space="0" w:color="auto"/>
                        <w:bottom w:val="none" w:sz="0" w:space="0" w:color="auto"/>
                        <w:right w:val="none" w:sz="0" w:space="0" w:color="auto"/>
                      </w:divBdr>
                    </w:div>
                    <w:div w:id="294148976">
                      <w:marLeft w:val="0"/>
                      <w:marRight w:val="0"/>
                      <w:marTop w:val="0"/>
                      <w:marBottom w:val="0"/>
                      <w:divBdr>
                        <w:top w:val="none" w:sz="0" w:space="0" w:color="auto"/>
                        <w:left w:val="none" w:sz="0" w:space="0" w:color="auto"/>
                        <w:bottom w:val="none" w:sz="0" w:space="0" w:color="auto"/>
                        <w:right w:val="none" w:sz="0" w:space="0" w:color="auto"/>
                      </w:divBdr>
                      <w:divsChild>
                        <w:div w:id="294145594">
                          <w:marLeft w:val="0"/>
                          <w:marRight w:val="0"/>
                          <w:marTop w:val="0"/>
                          <w:marBottom w:val="0"/>
                          <w:divBdr>
                            <w:top w:val="none" w:sz="0" w:space="0" w:color="auto"/>
                            <w:left w:val="none" w:sz="0" w:space="0" w:color="auto"/>
                            <w:bottom w:val="none" w:sz="0" w:space="0" w:color="auto"/>
                            <w:right w:val="none" w:sz="0" w:space="0" w:color="auto"/>
                          </w:divBdr>
                        </w:div>
                      </w:divsChild>
                    </w:div>
                    <w:div w:id="294149004">
                      <w:marLeft w:val="0"/>
                      <w:marRight w:val="0"/>
                      <w:marTop w:val="0"/>
                      <w:marBottom w:val="0"/>
                      <w:divBdr>
                        <w:top w:val="none" w:sz="0" w:space="0" w:color="auto"/>
                        <w:left w:val="none" w:sz="0" w:space="0" w:color="auto"/>
                        <w:bottom w:val="none" w:sz="0" w:space="0" w:color="auto"/>
                        <w:right w:val="none" w:sz="0" w:space="0" w:color="auto"/>
                      </w:divBdr>
                      <w:divsChild>
                        <w:div w:id="294145541">
                          <w:marLeft w:val="0"/>
                          <w:marRight w:val="0"/>
                          <w:marTop w:val="0"/>
                          <w:marBottom w:val="0"/>
                          <w:divBdr>
                            <w:top w:val="none" w:sz="0" w:space="0" w:color="auto"/>
                            <w:left w:val="none" w:sz="0" w:space="0" w:color="auto"/>
                            <w:bottom w:val="none" w:sz="0" w:space="0" w:color="auto"/>
                            <w:right w:val="none" w:sz="0" w:space="0" w:color="auto"/>
                          </w:divBdr>
                        </w:div>
                      </w:divsChild>
                    </w:div>
                    <w:div w:id="294149010">
                      <w:marLeft w:val="0"/>
                      <w:marRight w:val="0"/>
                      <w:marTop w:val="0"/>
                      <w:marBottom w:val="0"/>
                      <w:divBdr>
                        <w:top w:val="none" w:sz="0" w:space="0" w:color="auto"/>
                        <w:left w:val="none" w:sz="0" w:space="0" w:color="auto"/>
                        <w:bottom w:val="none" w:sz="0" w:space="0" w:color="auto"/>
                        <w:right w:val="none" w:sz="0" w:space="0" w:color="auto"/>
                      </w:divBdr>
                      <w:divsChild>
                        <w:div w:id="294146340">
                          <w:marLeft w:val="0"/>
                          <w:marRight w:val="0"/>
                          <w:marTop w:val="0"/>
                          <w:marBottom w:val="0"/>
                          <w:divBdr>
                            <w:top w:val="none" w:sz="0" w:space="0" w:color="auto"/>
                            <w:left w:val="none" w:sz="0" w:space="0" w:color="auto"/>
                            <w:bottom w:val="none" w:sz="0" w:space="0" w:color="auto"/>
                            <w:right w:val="none" w:sz="0" w:space="0" w:color="auto"/>
                          </w:divBdr>
                        </w:div>
                      </w:divsChild>
                    </w:div>
                    <w:div w:id="294149052">
                      <w:marLeft w:val="0"/>
                      <w:marRight w:val="0"/>
                      <w:marTop w:val="0"/>
                      <w:marBottom w:val="0"/>
                      <w:divBdr>
                        <w:top w:val="none" w:sz="0" w:space="0" w:color="auto"/>
                        <w:left w:val="none" w:sz="0" w:space="0" w:color="auto"/>
                        <w:bottom w:val="none" w:sz="0" w:space="0" w:color="auto"/>
                        <w:right w:val="none" w:sz="0" w:space="0" w:color="auto"/>
                      </w:divBdr>
                    </w:div>
                    <w:div w:id="294149148">
                      <w:marLeft w:val="0"/>
                      <w:marRight w:val="0"/>
                      <w:marTop w:val="0"/>
                      <w:marBottom w:val="0"/>
                      <w:divBdr>
                        <w:top w:val="none" w:sz="0" w:space="0" w:color="auto"/>
                        <w:left w:val="none" w:sz="0" w:space="0" w:color="auto"/>
                        <w:bottom w:val="none" w:sz="0" w:space="0" w:color="auto"/>
                        <w:right w:val="none" w:sz="0" w:space="0" w:color="auto"/>
                      </w:divBdr>
                    </w:div>
                    <w:div w:id="294149191">
                      <w:marLeft w:val="0"/>
                      <w:marRight w:val="0"/>
                      <w:marTop w:val="0"/>
                      <w:marBottom w:val="0"/>
                      <w:divBdr>
                        <w:top w:val="none" w:sz="0" w:space="0" w:color="auto"/>
                        <w:left w:val="none" w:sz="0" w:space="0" w:color="auto"/>
                        <w:bottom w:val="none" w:sz="0" w:space="0" w:color="auto"/>
                        <w:right w:val="none" w:sz="0" w:space="0" w:color="auto"/>
                      </w:divBdr>
                      <w:divsChild>
                        <w:div w:id="294142524">
                          <w:marLeft w:val="0"/>
                          <w:marRight w:val="0"/>
                          <w:marTop w:val="0"/>
                          <w:marBottom w:val="0"/>
                          <w:divBdr>
                            <w:top w:val="none" w:sz="0" w:space="0" w:color="auto"/>
                            <w:left w:val="none" w:sz="0" w:space="0" w:color="auto"/>
                            <w:bottom w:val="none" w:sz="0" w:space="0" w:color="auto"/>
                            <w:right w:val="none" w:sz="0" w:space="0" w:color="auto"/>
                          </w:divBdr>
                        </w:div>
                      </w:divsChild>
                    </w:div>
                    <w:div w:id="294149208">
                      <w:marLeft w:val="0"/>
                      <w:marRight w:val="0"/>
                      <w:marTop w:val="0"/>
                      <w:marBottom w:val="0"/>
                      <w:divBdr>
                        <w:top w:val="none" w:sz="0" w:space="0" w:color="auto"/>
                        <w:left w:val="none" w:sz="0" w:space="0" w:color="auto"/>
                        <w:bottom w:val="none" w:sz="0" w:space="0" w:color="auto"/>
                        <w:right w:val="none" w:sz="0" w:space="0" w:color="auto"/>
                      </w:divBdr>
                    </w:div>
                    <w:div w:id="294149216">
                      <w:marLeft w:val="0"/>
                      <w:marRight w:val="0"/>
                      <w:marTop w:val="0"/>
                      <w:marBottom w:val="0"/>
                      <w:divBdr>
                        <w:top w:val="none" w:sz="0" w:space="0" w:color="auto"/>
                        <w:left w:val="none" w:sz="0" w:space="0" w:color="auto"/>
                        <w:bottom w:val="none" w:sz="0" w:space="0" w:color="auto"/>
                        <w:right w:val="none" w:sz="0" w:space="0" w:color="auto"/>
                      </w:divBdr>
                      <w:divsChild>
                        <w:div w:id="294151918">
                          <w:marLeft w:val="0"/>
                          <w:marRight w:val="0"/>
                          <w:marTop w:val="0"/>
                          <w:marBottom w:val="0"/>
                          <w:divBdr>
                            <w:top w:val="none" w:sz="0" w:space="0" w:color="auto"/>
                            <w:left w:val="none" w:sz="0" w:space="0" w:color="auto"/>
                            <w:bottom w:val="none" w:sz="0" w:space="0" w:color="auto"/>
                            <w:right w:val="none" w:sz="0" w:space="0" w:color="auto"/>
                          </w:divBdr>
                        </w:div>
                      </w:divsChild>
                    </w:div>
                    <w:div w:id="294149462">
                      <w:marLeft w:val="0"/>
                      <w:marRight w:val="0"/>
                      <w:marTop w:val="0"/>
                      <w:marBottom w:val="0"/>
                      <w:divBdr>
                        <w:top w:val="none" w:sz="0" w:space="0" w:color="auto"/>
                        <w:left w:val="none" w:sz="0" w:space="0" w:color="auto"/>
                        <w:bottom w:val="none" w:sz="0" w:space="0" w:color="auto"/>
                        <w:right w:val="none" w:sz="0" w:space="0" w:color="auto"/>
                      </w:divBdr>
                    </w:div>
                    <w:div w:id="294149554">
                      <w:marLeft w:val="0"/>
                      <w:marRight w:val="0"/>
                      <w:marTop w:val="0"/>
                      <w:marBottom w:val="0"/>
                      <w:divBdr>
                        <w:top w:val="none" w:sz="0" w:space="0" w:color="auto"/>
                        <w:left w:val="none" w:sz="0" w:space="0" w:color="auto"/>
                        <w:bottom w:val="none" w:sz="0" w:space="0" w:color="auto"/>
                        <w:right w:val="none" w:sz="0" w:space="0" w:color="auto"/>
                      </w:divBdr>
                    </w:div>
                    <w:div w:id="294149563">
                      <w:marLeft w:val="0"/>
                      <w:marRight w:val="0"/>
                      <w:marTop w:val="0"/>
                      <w:marBottom w:val="0"/>
                      <w:divBdr>
                        <w:top w:val="none" w:sz="0" w:space="0" w:color="auto"/>
                        <w:left w:val="none" w:sz="0" w:space="0" w:color="auto"/>
                        <w:bottom w:val="none" w:sz="0" w:space="0" w:color="auto"/>
                        <w:right w:val="none" w:sz="0" w:space="0" w:color="auto"/>
                      </w:divBdr>
                    </w:div>
                    <w:div w:id="294149592">
                      <w:marLeft w:val="0"/>
                      <w:marRight w:val="0"/>
                      <w:marTop w:val="0"/>
                      <w:marBottom w:val="0"/>
                      <w:divBdr>
                        <w:top w:val="none" w:sz="0" w:space="0" w:color="auto"/>
                        <w:left w:val="none" w:sz="0" w:space="0" w:color="auto"/>
                        <w:bottom w:val="none" w:sz="0" w:space="0" w:color="auto"/>
                        <w:right w:val="none" w:sz="0" w:space="0" w:color="auto"/>
                      </w:divBdr>
                    </w:div>
                    <w:div w:id="294149607">
                      <w:marLeft w:val="0"/>
                      <w:marRight w:val="0"/>
                      <w:marTop w:val="0"/>
                      <w:marBottom w:val="0"/>
                      <w:divBdr>
                        <w:top w:val="none" w:sz="0" w:space="0" w:color="auto"/>
                        <w:left w:val="none" w:sz="0" w:space="0" w:color="auto"/>
                        <w:bottom w:val="none" w:sz="0" w:space="0" w:color="auto"/>
                        <w:right w:val="none" w:sz="0" w:space="0" w:color="auto"/>
                      </w:divBdr>
                      <w:divsChild>
                        <w:div w:id="294143627">
                          <w:marLeft w:val="0"/>
                          <w:marRight w:val="0"/>
                          <w:marTop w:val="0"/>
                          <w:marBottom w:val="0"/>
                          <w:divBdr>
                            <w:top w:val="none" w:sz="0" w:space="0" w:color="auto"/>
                            <w:left w:val="none" w:sz="0" w:space="0" w:color="auto"/>
                            <w:bottom w:val="none" w:sz="0" w:space="0" w:color="auto"/>
                            <w:right w:val="none" w:sz="0" w:space="0" w:color="auto"/>
                          </w:divBdr>
                        </w:div>
                      </w:divsChild>
                    </w:div>
                    <w:div w:id="294149714">
                      <w:marLeft w:val="0"/>
                      <w:marRight w:val="0"/>
                      <w:marTop w:val="0"/>
                      <w:marBottom w:val="0"/>
                      <w:divBdr>
                        <w:top w:val="none" w:sz="0" w:space="0" w:color="auto"/>
                        <w:left w:val="none" w:sz="0" w:space="0" w:color="auto"/>
                        <w:bottom w:val="none" w:sz="0" w:space="0" w:color="auto"/>
                        <w:right w:val="none" w:sz="0" w:space="0" w:color="auto"/>
                      </w:divBdr>
                    </w:div>
                    <w:div w:id="294149789">
                      <w:marLeft w:val="0"/>
                      <w:marRight w:val="0"/>
                      <w:marTop w:val="0"/>
                      <w:marBottom w:val="0"/>
                      <w:divBdr>
                        <w:top w:val="none" w:sz="0" w:space="0" w:color="auto"/>
                        <w:left w:val="none" w:sz="0" w:space="0" w:color="auto"/>
                        <w:bottom w:val="none" w:sz="0" w:space="0" w:color="auto"/>
                        <w:right w:val="none" w:sz="0" w:space="0" w:color="auto"/>
                      </w:divBdr>
                    </w:div>
                    <w:div w:id="294149848">
                      <w:marLeft w:val="0"/>
                      <w:marRight w:val="0"/>
                      <w:marTop w:val="0"/>
                      <w:marBottom w:val="0"/>
                      <w:divBdr>
                        <w:top w:val="none" w:sz="0" w:space="0" w:color="auto"/>
                        <w:left w:val="none" w:sz="0" w:space="0" w:color="auto"/>
                        <w:bottom w:val="none" w:sz="0" w:space="0" w:color="auto"/>
                        <w:right w:val="none" w:sz="0" w:space="0" w:color="auto"/>
                      </w:divBdr>
                      <w:divsChild>
                        <w:div w:id="294153752">
                          <w:marLeft w:val="0"/>
                          <w:marRight w:val="0"/>
                          <w:marTop w:val="0"/>
                          <w:marBottom w:val="0"/>
                          <w:divBdr>
                            <w:top w:val="none" w:sz="0" w:space="0" w:color="auto"/>
                            <w:left w:val="none" w:sz="0" w:space="0" w:color="auto"/>
                            <w:bottom w:val="none" w:sz="0" w:space="0" w:color="auto"/>
                            <w:right w:val="none" w:sz="0" w:space="0" w:color="auto"/>
                          </w:divBdr>
                        </w:div>
                      </w:divsChild>
                    </w:div>
                    <w:div w:id="294149981">
                      <w:marLeft w:val="0"/>
                      <w:marRight w:val="0"/>
                      <w:marTop w:val="0"/>
                      <w:marBottom w:val="0"/>
                      <w:divBdr>
                        <w:top w:val="none" w:sz="0" w:space="0" w:color="auto"/>
                        <w:left w:val="none" w:sz="0" w:space="0" w:color="auto"/>
                        <w:bottom w:val="none" w:sz="0" w:space="0" w:color="auto"/>
                        <w:right w:val="none" w:sz="0" w:space="0" w:color="auto"/>
                      </w:divBdr>
                      <w:divsChild>
                        <w:div w:id="294149284">
                          <w:marLeft w:val="0"/>
                          <w:marRight w:val="0"/>
                          <w:marTop w:val="0"/>
                          <w:marBottom w:val="0"/>
                          <w:divBdr>
                            <w:top w:val="none" w:sz="0" w:space="0" w:color="auto"/>
                            <w:left w:val="none" w:sz="0" w:space="0" w:color="auto"/>
                            <w:bottom w:val="none" w:sz="0" w:space="0" w:color="auto"/>
                            <w:right w:val="none" w:sz="0" w:space="0" w:color="auto"/>
                          </w:divBdr>
                        </w:div>
                      </w:divsChild>
                    </w:div>
                    <w:div w:id="294150013">
                      <w:marLeft w:val="0"/>
                      <w:marRight w:val="0"/>
                      <w:marTop w:val="0"/>
                      <w:marBottom w:val="0"/>
                      <w:divBdr>
                        <w:top w:val="none" w:sz="0" w:space="0" w:color="auto"/>
                        <w:left w:val="none" w:sz="0" w:space="0" w:color="auto"/>
                        <w:bottom w:val="none" w:sz="0" w:space="0" w:color="auto"/>
                        <w:right w:val="none" w:sz="0" w:space="0" w:color="auto"/>
                      </w:divBdr>
                      <w:divsChild>
                        <w:div w:id="294150713">
                          <w:marLeft w:val="0"/>
                          <w:marRight w:val="0"/>
                          <w:marTop w:val="0"/>
                          <w:marBottom w:val="0"/>
                          <w:divBdr>
                            <w:top w:val="none" w:sz="0" w:space="0" w:color="auto"/>
                            <w:left w:val="none" w:sz="0" w:space="0" w:color="auto"/>
                            <w:bottom w:val="none" w:sz="0" w:space="0" w:color="auto"/>
                            <w:right w:val="none" w:sz="0" w:space="0" w:color="auto"/>
                          </w:divBdr>
                        </w:div>
                      </w:divsChild>
                    </w:div>
                    <w:div w:id="294150089">
                      <w:marLeft w:val="0"/>
                      <w:marRight w:val="0"/>
                      <w:marTop w:val="0"/>
                      <w:marBottom w:val="0"/>
                      <w:divBdr>
                        <w:top w:val="none" w:sz="0" w:space="0" w:color="auto"/>
                        <w:left w:val="none" w:sz="0" w:space="0" w:color="auto"/>
                        <w:bottom w:val="none" w:sz="0" w:space="0" w:color="auto"/>
                        <w:right w:val="none" w:sz="0" w:space="0" w:color="auto"/>
                      </w:divBdr>
                      <w:divsChild>
                        <w:div w:id="294156065">
                          <w:marLeft w:val="0"/>
                          <w:marRight w:val="0"/>
                          <w:marTop w:val="0"/>
                          <w:marBottom w:val="0"/>
                          <w:divBdr>
                            <w:top w:val="none" w:sz="0" w:space="0" w:color="auto"/>
                            <w:left w:val="none" w:sz="0" w:space="0" w:color="auto"/>
                            <w:bottom w:val="none" w:sz="0" w:space="0" w:color="auto"/>
                            <w:right w:val="none" w:sz="0" w:space="0" w:color="auto"/>
                          </w:divBdr>
                        </w:div>
                      </w:divsChild>
                    </w:div>
                    <w:div w:id="294150336">
                      <w:marLeft w:val="0"/>
                      <w:marRight w:val="0"/>
                      <w:marTop w:val="0"/>
                      <w:marBottom w:val="0"/>
                      <w:divBdr>
                        <w:top w:val="none" w:sz="0" w:space="0" w:color="auto"/>
                        <w:left w:val="none" w:sz="0" w:space="0" w:color="auto"/>
                        <w:bottom w:val="none" w:sz="0" w:space="0" w:color="auto"/>
                        <w:right w:val="none" w:sz="0" w:space="0" w:color="auto"/>
                      </w:divBdr>
                    </w:div>
                    <w:div w:id="294150366">
                      <w:marLeft w:val="0"/>
                      <w:marRight w:val="0"/>
                      <w:marTop w:val="0"/>
                      <w:marBottom w:val="0"/>
                      <w:divBdr>
                        <w:top w:val="none" w:sz="0" w:space="0" w:color="auto"/>
                        <w:left w:val="none" w:sz="0" w:space="0" w:color="auto"/>
                        <w:bottom w:val="none" w:sz="0" w:space="0" w:color="auto"/>
                        <w:right w:val="none" w:sz="0" w:space="0" w:color="auto"/>
                      </w:divBdr>
                    </w:div>
                    <w:div w:id="294150434">
                      <w:marLeft w:val="0"/>
                      <w:marRight w:val="0"/>
                      <w:marTop w:val="0"/>
                      <w:marBottom w:val="0"/>
                      <w:divBdr>
                        <w:top w:val="none" w:sz="0" w:space="0" w:color="auto"/>
                        <w:left w:val="none" w:sz="0" w:space="0" w:color="auto"/>
                        <w:bottom w:val="none" w:sz="0" w:space="0" w:color="auto"/>
                        <w:right w:val="none" w:sz="0" w:space="0" w:color="auto"/>
                      </w:divBdr>
                      <w:divsChild>
                        <w:div w:id="294145047">
                          <w:marLeft w:val="0"/>
                          <w:marRight w:val="0"/>
                          <w:marTop w:val="0"/>
                          <w:marBottom w:val="0"/>
                          <w:divBdr>
                            <w:top w:val="none" w:sz="0" w:space="0" w:color="auto"/>
                            <w:left w:val="none" w:sz="0" w:space="0" w:color="auto"/>
                            <w:bottom w:val="none" w:sz="0" w:space="0" w:color="auto"/>
                            <w:right w:val="none" w:sz="0" w:space="0" w:color="auto"/>
                          </w:divBdr>
                        </w:div>
                      </w:divsChild>
                    </w:div>
                    <w:div w:id="294150468">
                      <w:marLeft w:val="0"/>
                      <w:marRight w:val="0"/>
                      <w:marTop w:val="0"/>
                      <w:marBottom w:val="0"/>
                      <w:divBdr>
                        <w:top w:val="none" w:sz="0" w:space="0" w:color="auto"/>
                        <w:left w:val="none" w:sz="0" w:space="0" w:color="auto"/>
                        <w:bottom w:val="none" w:sz="0" w:space="0" w:color="auto"/>
                        <w:right w:val="none" w:sz="0" w:space="0" w:color="auto"/>
                      </w:divBdr>
                      <w:divsChild>
                        <w:div w:id="294150036">
                          <w:marLeft w:val="0"/>
                          <w:marRight w:val="0"/>
                          <w:marTop w:val="0"/>
                          <w:marBottom w:val="0"/>
                          <w:divBdr>
                            <w:top w:val="none" w:sz="0" w:space="0" w:color="auto"/>
                            <w:left w:val="none" w:sz="0" w:space="0" w:color="auto"/>
                            <w:bottom w:val="none" w:sz="0" w:space="0" w:color="auto"/>
                            <w:right w:val="none" w:sz="0" w:space="0" w:color="auto"/>
                          </w:divBdr>
                        </w:div>
                      </w:divsChild>
                    </w:div>
                    <w:div w:id="294150510">
                      <w:marLeft w:val="0"/>
                      <w:marRight w:val="0"/>
                      <w:marTop w:val="0"/>
                      <w:marBottom w:val="0"/>
                      <w:divBdr>
                        <w:top w:val="none" w:sz="0" w:space="0" w:color="auto"/>
                        <w:left w:val="none" w:sz="0" w:space="0" w:color="auto"/>
                        <w:bottom w:val="none" w:sz="0" w:space="0" w:color="auto"/>
                        <w:right w:val="none" w:sz="0" w:space="0" w:color="auto"/>
                      </w:divBdr>
                      <w:divsChild>
                        <w:div w:id="294141053">
                          <w:marLeft w:val="0"/>
                          <w:marRight w:val="0"/>
                          <w:marTop w:val="0"/>
                          <w:marBottom w:val="0"/>
                          <w:divBdr>
                            <w:top w:val="none" w:sz="0" w:space="0" w:color="auto"/>
                            <w:left w:val="none" w:sz="0" w:space="0" w:color="auto"/>
                            <w:bottom w:val="none" w:sz="0" w:space="0" w:color="auto"/>
                            <w:right w:val="none" w:sz="0" w:space="0" w:color="auto"/>
                          </w:divBdr>
                        </w:div>
                      </w:divsChild>
                    </w:div>
                    <w:div w:id="294150559">
                      <w:marLeft w:val="0"/>
                      <w:marRight w:val="0"/>
                      <w:marTop w:val="0"/>
                      <w:marBottom w:val="0"/>
                      <w:divBdr>
                        <w:top w:val="none" w:sz="0" w:space="0" w:color="auto"/>
                        <w:left w:val="none" w:sz="0" w:space="0" w:color="auto"/>
                        <w:bottom w:val="none" w:sz="0" w:space="0" w:color="auto"/>
                        <w:right w:val="none" w:sz="0" w:space="0" w:color="auto"/>
                      </w:divBdr>
                      <w:divsChild>
                        <w:div w:id="294145072">
                          <w:marLeft w:val="0"/>
                          <w:marRight w:val="0"/>
                          <w:marTop w:val="0"/>
                          <w:marBottom w:val="0"/>
                          <w:divBdr>
                            <w:top w:val="none" w:sz="0" w:space="0" w:color="auto"/>
                            <w:left w:val="none" w:sz="0" w:space="0" w:color="auto"/>
                            <w:bottom w:val="none" w:sz="0" w:space="0" w:color="auto"/>
                            <w:right w:val="none" w:sz="0" w:space="0" w:color="auto"/>
                          </w:divBdr>
                        </w:div>
                      </w:divsChild>
                    </w:div>
                    <w:div w:id="294150579">
                      <w:marLeft w:val="0"/>
                      <w:marRight w:val="0"/>
                      <w:marTop w:val="0"/>
                      <w:marBottom w:val="0"/>
                      <w:divBdr>
                        <w:top w:val="none" w:sz="0" w:space="0" w:color="auto"/>
                        <w:left w:val="none" w:sz="0" w:space="0" w:color="auto"/>
                        <w:bottom w:val="none" w:sz="0" w:space="0" w:color="auto"/>
                        <w:right w:val="none" w:sz="0" w:space="0" w:color="auto"/>
                      </w:divBdr>
                      <w:divsChild>
                        <w:div w:id="294142527">
                          <w:marLeft w:val="0"/>
                          <w:marRight w:val="0"/>
                          <w:marTop w:val="0"/>
                          <w:marBottom w:val="0"/>
                          <w:divBdr>
                            <w:top w:val="none" w:sz="0" w:space="0" w:color="auto"/>
                            <w:left w:val="none" w:sz="0" w:space="0" w:color="auto"/>
                            <w:bottom w:val="none" w:sz="0" w:space="0" w:color="auto"/>
                            <w:right w:val="none" w:sz="0" w:space="0" w:color="auto"/>
                          </w:divBdr>
                        </w:div>
                      </w:divsChild>
                    </w:div>
                    <w:div w:id="294150672">
                      <w:marLeft w:val="0"/>
                      <w:marRight w:val="0"/>
                      <w:marTop w:val="0"/>
                      <w:marBottom w:val="0"/>
                      <w:divBdr>
                        <w:top w:val="none" w:sz="0" w:space="0" w:color="auto"/>
                        <w:left w:val="none" w:sz="0" w:space="0" w:color="auto"/>
                        <w:bottom w:val="none" w:sz="0" w:space="0" w:color="auto"/>
                        <w:right w:val="none" w:sz="0" w:space="0" w:color="auto"/>
                      </w:divBdr>
                      <w:divsChild>
                        <w:div w:id="294151410">
                          <w:marLeft w:val="0"/>
                          <w:marRight w:val="0"/>
                          <w:marTop w:val="0"/>
                          <w:marBottom w:val="0"/>
                          <w:divBdr>
                            <w:top w:val="none" w:sz="0" w:space="0" w:color="auto"/>
                            <w:left w:val="none" w:sz="0" w:space="0" w:color="auto"/>
                            <w:bottom w:val="none" w:sz="0" w:space="0" w:color="auto"/>
                            <w:right w:val="none" w:sz="0" w:space="0" w:color="auto"/>
                          </w:divBdr>
                        </w:div>
                      </w:divsChild>
                    </w:div>
                    <w:div w:id="294150754">
                      <w:marLeft w:val="0"/>
                      <w:marRight w:val="0"/>
                      <w:marTop w:val="0"/>
                      <w:marBottom w:val="0"/>
                      <w:divBdr>
                        <w:top w:val="none" w:sz="0" w:space="0" w:color="auto"/>
                        <w:left w:val="none" w:sz="0" w:space="0" w:color="auto"/>
                        <w:bottom w:val="none" w:sz="0" w:space="0" w:color="auto"/>
                        <w:right w:val="none" w:sz="0" w:space="0" w:color="auto"/>
                      </w:divBdr>
                    </w:div>
                    <w:div w:id="294150879">
                      <w:marLeft w:val="0"/>
                      <w:marRight w:val="0"/>
                      <w:marTop w:val="0"/>
                      <w:marBottom w:val="0"/>
                      <w:divBdr>
                        <w:top w:val="none" w:sz="0" w:space="0" w:color="auto"/>
                        <w:left w:val="none" w:sz="0" w:space="0" w:color="auto"/>
                        <w:bottom w:val="none" w:sz="0" w:space="0" w:color="auto"/>
                        <w:right w:val="none" w:sz="0" w:space="0" w:color="auto"/>
                      </w:divBdr>
                      <w:divsChild>
                        <w:div w:id="294145701">
                          <w:marLeft w:val="0"/>
                          <w:marRight w:val="0"/>
                          <w:marTop w:val="0"/>
                          <w:marBottom w:val="0"/>
                          <w:divBdr>
                            <w:top w:val="none" w:sz="0" w:space="0" w:color="auto"/>
                            <w:left w:val="none" w:sz="0" w:space="0" w:color="auto"/>
                            <w:bottom w:val="none" w:sz="0" w:space="0" w:color="auto"/>
                            <w:right w:val="none" w:sz="0" w:space="0" w:color="auto"/>
                          </w:divBdr>
                        </w:div>
                      </w:divsChild>
                    </w:div>
                    <w:div w:id="294150934">
                      <w:marLeft w:val="0"/>
                      <w:marRight w:val="0"/>
                      <w:marTop w:val="0"/>
                      <w:marBottom w:val="0"/>
                      <w:divBdr>
                        <w:top w:val="none" w:sz="0" w:space="0" w:color="auto"/>
                        <w:left w:val="none" w:sz="0" w:space="0" w:color="auto"/>
                        <w:bottom w:val="none" w:sz="0" w:space="0" w:color="auto"/>
                        <w:right w:val="none" w:sz="0" w:space="0" w:color="auto"/>
                      </w:divBdr>
                      <w:divsChild>
                        <w:div w:id="294141573">
                          <w:marLeft w:val="0"/>
                          <w:marRight w:val="0"/>
                          <w:marTop w:val="0"/>
                          <w:marBottom w:val="0"/>
                          <w:divBdr>
                            <w:top w:val="none" w:sz="0" w:space="0" w:color="auto"/>
                            <w:left w:val="none" w:sz="0" w:space="0" w:color="auto"/>
                            <w:bottom w:val="none" w:sz="0" w:space="0" w:color="auto"/>
                            <w:right w:val="none" w:sz="0" w:space="0" w:color="auto"/>
                          </w:divBdr>
                        </w:div>
                      </w:divsChild>
                    </w:div>
                    <w:div w:id="294150965">
                      <w:marLeft w:val="0"/>
                      <w:marRight w:val="0"/>
                      <w:marTop w:val="0"/>
                      <w:marBottom w:val="0"/>
                      <w:divBdr>
                        <w:top w:val="none" w:sz="0" w:space="0" w:color="auto"/>
                        <w:left w:val="none" w:sz="0" w:space="0" w:color="auto"/>
                        <w:bottom w:val="none" w:sz="0" w:space="0" w:color="auto"/>
                        <w:right w:val="none" w:sz="0" w:space="0" w:color="auto"/>
                      </w:divBdr>
                    </w:div>
                    <w:div w:id="294151040">
                      <w:marLeft w:val="0"/>
                      <w:marRight w:val="0"/>
                      <w:marTop w:val="0"/>
                      <w:marBottom w:val="0"/>
                      <w:divBdr>
                        <w:top w:val="none" w:sz="0" w:space="0" w:color="auto"/>
                        <w:left w:val="none" w:sz="0" w:space="0" w:color="auto"/>
                        <w:bottom w:val="none" w:sz="0" w:space="0" w:color="auto"/>
                        <w:right w:val="none" w:sz="0" w:space="0" w:color="auto"/>
                      </w:divBdr>
                      <w:divsChild>
                        <w:div w:id="294149993">
                          <w:marLeft w:val="0"/>
                          <w:marRight w:val="0"/>
                          <w:marTop w:val="0"/>
                          <w:marBottom w:val="0"/>
                          <w:divBdr>
                            <w:top w:val="none" w:sz="0" w:space="0" w:color="auto"/>
                            <w:left w:val="none" w:sz="0" w:space="0" w:color="auto"/>
                            <w:bottom w:val="none" w:sz="0" w:space="0" w:color="auto"/>
                            <w:right w:val="none" w:sz="0" w:space="0" w:color="auto"/>
                          </w:divBdr>
                        </w:div>
                      </w:divsChild>
                    </w:div>
                    <w:div w:id="294151076">
                      <w:marLeft w:val="0"/>
                      <w:marRight w:val="0"/>
                      <w:marTop w:val="0"/>
                      <w:marBottom w:val="0"/>
                      <w:divBdr>
                        <w:top w:val="none" w:sz="0" w:space="0" w:color="auto"/>
                        <w:left w:val="none" w:sz="0" w:space="0" w:color="auto"/>
                        <w:bottom w:val="none" w:sz="0" w:space="0" w:color="auto"/>
                        <w:right w:val="none" w:sz="0" w:space="0" w:color="auto"/>
                      </w:divBdr>
                    </w:div>
                    <w:div w:id="294151215">
                      <w:marLeft w:val="0"/>
                      <w:marRight w:val="0"/>
                      <w:marTop w:val="0"/>
                      <w:marBottom w:val="0"/>
                      <w:divBdr>
                        <w:top w:val="none" w:sz="0" w:space="0" w:color="auto"/>
                        <w:left w:val="none" w:sz="0" w:space="0" w:color="auto"/>
                        <w:bottom w:val="none" w:sz="0" w:space="0" w:color="auto"/>
                        <w:right w:val="none" w:sz="0" w:space="0" w:color="auto"/>
                      </w:divBdr>
                    </w:div>
                    <w:div w:id="294151310">
                      <w:marLeft w:val="0"/>
                      <w:marRight w:val="0"/>
                      <w:marTop w:val="0"/>
                      <w:marBottom w:val="0"/>
                      <w:divBdr>
                        <w:top w:val="none" w:sz="0" w:space="0" w:color="auto"/>
                        <w:left w:val="none" w:sz="0" w:space="0" w:color="auto"/>
                        <w:bottom w:val="none" w:sz="0" w:space="0" w:color="auto"/>
                        <w:right w:val="none" w:sz="0" w:space="0" w:color="auto"/>
                      </w:divBdr>
                    </w:div>
                    <w:div w:id="294151312">
                      <w:marLeft w:val="0"/>
                      <w:marRight w:val="0"/>
                      <w:marTop w:val="0"/>
                      <w:marBottom w:val="0"/>
                      <w:divBdr>
                        <w:top w:val="none" w:sz="0" w:space="0" w:color="auto"/>
                        <w:left w:val="none" w:sz="0" w:space="0" w:color="auto"/>
                        <w:bottom w:val="none" w:sz="0" w:space="0" w:color="auto"/>
                        <w:right w:val="none" w:sz="0" w:space="0" w:color="auto"/>
                      </w:divBdr>
                    </w:div>
                    <w:div w:id="294151378">
                      <w:marLeft w:val="0"/>
                      <w:marRight w:val="0"/>
                      <w:marTop w:val="0"/>
                      <w:marBottom w:val="0"/>
                      <w:divBdr>
                        <w:top w:val="none" w:sz="0" w:space="0" w:color="auto"/>
                        <w:left w:val="none" w:sz="0" w:space="0" w:color="auto"/>
                        <w:bottom w:val="none" w:sz="0" w:space="0" w:color="auto"/>
                        <w:right w:val="none" w:sz="0" w:space="0" w:color="auto"/>
                      </w:divBdr>
                    </w:div>
                    <w:div w:id="294151476">
                      <w:marLeft w:val="0"/>
                      <w:marRight w:val="0"/>
                      <w:marTop w:val="0"/>
                      <w:marBottom w:val="0"/>
                      <w:divBdr>
                        <w:top w:val="none" w:sz="0" w:space="0" w:color="auto"/>
                        <w:left w:val="none" w:sz="0" w:space="0" w:color="auto"/>
                        <w:bottom w:val="none" w:sz="0" w:space="0" w:color="auto"/>
                        <w:right w:val="none" w:sz="0" w:space="0" w:color="auto"/>
                      </w:divBdr>
                    </w:div>
                    <w:div w:id="294151481">
                      <w:marLeft w:val="0"/>
                      <w:marRight w:val="0"/>
                      <w:marTop w:val="0"/>
                      <w:marBottom w:val="0"/>
                      <w:divBdr>
                        <w:top w:val="none" w:sz="0" w:space="0" w:color="auto"/>
                        <w:left w:val="none" w:sz="0" w:space="0" w:color="auto"/>
                        <w:bottom w:val="none" w:sz="0" w:space="0" w:color="auto"/>
                        <w:right w:val="none" w:sz="0" w:space="0" w:color="auto"/>
                      </w:divBdr>
                    </w:div>
                    <w:div w:id="294151551">
                      <w:marLeft w:val="0"/>
                      <w:marRight w:val="0"/>
                      <w:marTop w:val="0"/>
                      <w:marBottom w:val="0"/>
                      <w:divBdr>
                        <w:top w:val="none" w:sz="0" w:space="0" w:color="auto"/>
                        <w:left w:val="none" w:sz="0" w:space="0" w:color="auto"/>
                        <w:bottom w:val="none" w:sz="0" w:space="0" w:color="auto"/>
                        <w:right w:val="none" w:sz="0" w:space="0" w:color="auto"/>
                      </w:divBdr>
                    </w:div>
                    <w:div w:id="294151650">
                      <w:marLeft w:val="0"/>
                      <w:marRight w:val="0"/>
                      <w:marTop w:val="0"/>
                      <w:marBottom w:val="0"/>
                      <w:divBdr>
                        <w:top w:val="none" w:sz="0" w:space="0" w:color="auto"/>
                        <w:left w:val="none" w:sz="0" w:space="0" w:color="auto"/>
                        <w:bottom w:val="none" w:sz="0" w:space="0" w:color="auto"/>
                        <w:right w:val="none" w:sz="0" w:space="0" w:color="auto"/>
                      </w:divBdr>
                      <w:divsChild>
                        <w:div w:id="294139155">
                          <w:marLeft w:val="0"/>
                          <w:marRight w:val="0"/>
                          <w:marTop w:val="0"/>
                          <w:marBottom w:val="0"/>
                          <w:divBdr>
                            <w:top w:val="none" w:sz="0" w:space="0" w:color="auto"/>
                            <w:left w:val="none" w:sz="0" w:space="0" w:color="auto"/>
                            <w:bottom w:val="none" w:sz="0" w:space="0" w:color="auto"/>
                            <w:right w:val="none" w:sz="0" w:space="0" w:color="auto"/>
                          </w:divBdr>
                        </w:div>
                      </w:divsChild>
                    </w:div>
                    <w:div w:id="294151673">
                      <w:marLeft w:val="0"/>
                      <w:marRight w:val="0"/>
                      <w:marTop w:val="0"/>
                      <w:marBottom w:val="0"/>
                      <w:divBdr>
                        <w:top w:val="none" w:sz="0" w:space="0" w:color="auto"/>
                        <w:left w:val="none" w:sz="0" w:space="0" w:color="auto"/>
                        <w:bottom w:val="none" w:sz="0" w:space="0" w:color="auto"/>
                        <w:right w:val="none" w:sz="0" w:space="0" w:color="auto"/>
                      </w:divBdr>
                    </w:div>
                    <w:div w:id="294151747">
                      <w:marLeft w:val="0"/>
                      <w:marRight w:val="0"/>
                      <w:marTop w:val="0"/>
                      <w:marBottom w:val="0"/>
                      <w:divBdr>
                        <w:top w:val="none" w:sz="0" w:space="0" w:color="auto"/>
                        <w:left w:val="none" w:sz="0" w:space="0" w:color="auto"/>
                        <w:bottom w:val="none" w:sz="0" w:space="0" w:color="auto"/>
                        <w:right w:val="none" w:sz="0" w:space="0" w:color="auto"/>
                      </w:divBdr>
                      <w:divsChild>
                        <w:div w:id="294144424">
                          <w:marLeft w:val="0"/>
                          <w:marRight w:val="0"/>
                          <w:marTop w:val="0"/>
                          <w:marBottom w:val="0"/>
                          <w:divBdr>
                            <w:top w:val="none" w:sz="0" w:space="0" w:color="auto"/>
                            <w:left w:val="none" w:sz="0" w:space="0" w:color="auto"/>
                            <w:bottom w:val="none" w:sz="0" w:space="0" w:color="auto"/>
                            <w:right w:val="none" w:sz="0" w:space="0" w:color="auto"/>
                          </w:divBdr>
                        </w:div>
                      </w:divsChild>
                    </w:div>
                    <w:div w:id="294151781">
                      <w:marLeft w:val="0"/>
                      <w:marRight w:val="0"/>
                      <w:marTop w:val="0"/>
                      <w:marBottom w:val="0"/>
                      <w:divBdr>
                        <w:top w:val="none" w:sz="0" w:space="0" w:color="auto"/>
                        <w:left w:val="none" w:sz="0" w:space="0" w:color="auto"/>
                        <w:bottom w:val="none" w:sz="0" w:space="0" w:color="auto"/>
                        <w:right w:val="none" w:sz="0" w:space="0" w:color="auto"/>
                      </w:divBdr>
                    </w:div>
                    <w:div w:id="294151859">
                      <w:marLeft w:val="0"/>
                      <w:marRight w:val="0"/>
                      <w:marTop w:val="0"/>
                      <w:marBottom w:val="0"/>
                      <w:divBdr>
                        <w:top w:val="none" w:sz="0" w:space="0" w:color="auto"/>
                        <w:left w:val="none" w:sz="0" w:space="0" w:color="auto"/>
                        <w:bottom w:val="none" w:sz="0" w:space="0" w:color="auto"/>
                        <w:right w:val="none" w:sz="0" w:space="0" w:color="auto"/>
                      </w:divBdr>
                    </w:div>
                    <w:div w:id="294151886">
                      <w:marLeft w:val="0"/>
                      <w:marRight w:val="0"/>
                      <w:marTop w:val="0"/>
                      <w:marBottom w:val="0"/>
                      <w:divBdr>
                        <w:top w:val="none" w:sz="0" w:space="0" w:color="auto"/>
                        <w:left w:val="none" w:sz="0" w:space="0" w:color="auto"/>
                        <w:bottom w:val="none" w:sz="0" w:space="0" w:color="auto"/>
                        <w:right w:val="none" w:sz="0" w:space="0" w:color="auto"/>
                      </w:divBdr>
                    </w:div>
                    <w:div w:id="294151949">
                      <w:marLeft w:val="0"/>
                      <w:marRight w:val="0"/>
                      <w:marTop w:val="0"/>
                      <w:marBottom w:val="0"/>
                      <w:divBdr>
                        <w:top w:val="none" w:sz="0" w:space="0" w:color="auto"/>
                        <w:left w:val="none" w:sz="0" w:space="0" w:color="auto"/>
                        <w:bottom w:val="none" w:sz="0" w:space="0" w:color="auto"/>
                        <w:right w:val="none" w:sz="0" w:space="0" w:color="auto"/>
                      </w:divBdr>
                    </w:div>
                    <w:div w:id="294152051">
                      <w:marLeft w:val="0"/>
                      <w:marRight w:val="0"/>
                      <w:marTop w:val="0"/>
                      <w:marBottom w:val="0"/>
                      <w:divBdr>
                        <w:top w:val="none" w:sz="0" w:space="0" w:color="auto"/>
                        <w:left w:val="none" w:sz="0" w:space="0" w:color="auto"/>
                        <w:bottom w:val="none" w:sz="0" w:space="0" w:color="auto"/>
                        <w:right w:val="none" w:sz="0" w:space="0" w:color="auto"/>
                      </w:divBdr>
                    </w:div>
                    <w:div w:id="294152113">
                      <w:marLeft w:val="0"/>
                      <w:marRight w:val="0"/>
                      <w:marTop w:val="0"/>
                      <w:marBottom w:val="0"/>
                      <w:divBdr>
                        <w:top w:val="none" w:sz="0" w:space="0" w:color="auto"/>
                        <w:left w:val="none" w:sz="0" w:space="0" w:color="auto"/>
                        <w:bottom w:val="none" w:sz="0" w:space="0" w:color="auto"/>
                        <w:right w:val="none" w:sz="0" w:space="0" w:color="auto"/>
                      </w:divBdr>
                    </w:div>
                    <w:div w:id="294152216">
                      <w:marLeft w:val="0"/>
                      <w:marRight w:val="0"/>
                      <w:marTop w:val="0"/>
                      <w:marBottom w:val="0"/>
                      <w:divBdr>
                        <w:top w:val="none" w:sz="0" w:space="0" w:color="auto"/>
                        <w:left w:val="none" w:sz="0" w:space="0" w:color="auto"/>
                        <w:bottom w:val="none" w:sz="0" w:space="0" w:color="auto"/>
                        <w:right w:val="none" w:sz="0" w:space="0" w:color="auto"/>
                      </w:divBdr>
                      <w:divsChild>
                        <w:div w:id="294153450">
                          <w:marLeft w:val="0"/>
                          <w:marRight w:val="0"/>
                          <w:marTop w:val="0"/>
                          <w:marBottom w:val="0"/>
                          <w:divBdr>
                            <w:top w:val="none" w:sz="0" w:space="0" w:color="auto"/>
                            <w:left w:val="none" w:sz="0" w:space="0" w:color="auto"/>
                            <w:bottom w:val="none" w:sz="0" w:space="0" w:color="auto"/>
                            <w:right w:val="none" w:sz="0" w:space="0" w:color="auto"/>
                          </w:divBdr>
                        </w:div>
                      </w:divsChild>
                    </w:div>
                    <w:div w:id="294152223">
                      <w:marLeft w:val="0"/>
                      <w:marRight w:val="0"/>
                      <w:marTop w:val="0"/>
                      <w:marBottom w:val="0"/>
                      <w:divBdr>
                        <w:top w:val="none" w:sz="0" w:space="0" w:color="auto"/>
                        <w:left w:val="none" w:sz="0" w:space="0" w:color="auto"/>
                        <w:bottom w:val="none" w:sz="0" w:space="0" w:color="auto"/>
                        <w:right w:val="none" w:sz="0" w:space="0" w:color="auto"/>
                      </w:divBdr>
                    </w:div>
                    <w:div w:id="294152302">
                      <w:marLeft w:val="0"/>
                      <w:marRight w:val="0"/>
                      <w:marTop w:val="0"/>
                      <w:marBottom w:val="0"/>
                      <w:divBdr>
                        <w:top w:val="none" w:sz="0" w:space="0" w:color="auto"/>
                        <w:left w:val="none" w:sz="0" w:space="0" w:color="auto"/>
                        <w:bottom w:val="none" w:sz="0" w:space="0" w:color="auto"/>
                        <w:right w:val="none" w:sz="0" w:space="0" w:color="auto"/>
                      </w:divBdr>
                    </w:div>
                    <w:div w:id="294152430">
                      <w:marLeft w:val="0"/>
                      <w:marRight w:val="0"/>
                      <w:marTop w:val="0"/>
                      <w:marBottom w:val="0"/>
                      <w:divBdr>
                        <w:top w:val="none" w:sz="0" w:space="0" w:color="auto"/>
                        <w:left w:val="none" w:sz="0" w:space="0" w:color="auto"/>
                        <w:bottom w:val="none" w:sz="0" w:space="0" w:color="auto"/>
                        <w:right w:val="none" w:sz="0" w:space="0" w:color="auto"/>
                      </w:divBdr>
                      <w:divsChild>
                        <w:div w:id="294152380">
                          <w:marLeft w:val="0"/>
                          <w:marRight w:val="0"/>
                          <w:marTop w:val="0"/>
                          <w:marBottom w:val="0"/>
                          <w:divBdr>
                            <w:top w:val="none" w:sz="0" w:space="0" w:color="auto"/>
                            <w:left w:val="none" w:sz="0" w:space="0" w:color="auto"/>
                            <w:bottom w:val="none" w:sz="0" w:space="0" w:color="auto"/>
                            <w:right w:val="none" w:sz="0" w:space="0" w:color="auto"/>
                          </w:divBdr>
                        </w:div>
                      </w:divsChild>
                    </w:div>
                    <w:div w:id="294152593">
                      <w:marLeft w:val="0"/>
                      <w:marRight w:val="0"/>
                      <w:marTop w:val="0"/>
                      <w:marBottom w:val="0"/>
                      <w:divBdr>
                        <w:top w:val="none" w:sz="0" w:space="0" w:color="auto"/>
                        <w:left w:val="none" w:sz="0" w:space="0" w:color="auto"/>
                        <w:bottom w:val="none" w:sz="0" w:space="0" w:color="auto"/>
                        <w:right w:val="none" w:sz="0" w:space="0" w:color="auto"/>
                      </w:divBdr>
                      <w:divsChild>
                        <w:div w:id="294155442">
                          <w:marLeft w:val="0"/>
                          <w:marRight w:val="0"/>
                          <w:marTop w:val="0"/>
                          <w:marBottom w:val="0"/>
                          <w:divBdr>
                            <w:top w:val="none" w:sz="0" w:space="0" w:color="auto"/>
                            <w:left w:val="none" w:sz="0" w:space="0" w:color="auto"/>
                            <w:bottom w:val="none" w:sz="0" w:space="0" w:color="auto"/>
                            <w:right w:val="none" w:sz="0" w:space="0" w:color="auto"/>
                          </w:divBdr>
                        </w:div>
                      </w:divsChild>
                    </w:div>
                    <w:div w:id="294152658">
                      <w:marLeft w:val="0"/>
                      <w:marRight w:val="0"/>
                      <w:marTop w:val="0"/>
                      <w:marBottom w:val="0"/>
                      <w:divBdr>
                        <w:top w:val="none" w:sz="0" w:space="0" w:color="auto"/>
                        <w:left w:val="none" w:sz="0" w:space="0" w:color="auto"/>
                        <w:bottom w:val="none" w:sz="0" w:space="0" w:color="auto"/>
                        <w:right w:val="none" w:sz="0" w:space="0" w:color="auto"/>
                      </w:divBdr>
                    </w:div>
                    <w:div w:id="294152667">
                      <w:marLeft w:val="0"/>
                      <w:marRight w:val="0"/>
                      <w:marTop w:val="0"/>
                      <w:marBottom w:val="0"/>
                      <w:divBdr>
                        <w:top w:val="none" w:sz="0" w:space="0" w:color="auto"/>
                        <w:left w:val="none" w:sz="0" w:space="0" w:color="auto"/>
                        <w:bottom w:val="none" w:sz="0" w:space="0" w:color="auto"/>
                        <w:right w:val="none" w:sz="0" w:space="0" w:color="auto"/>
                      </w:divBdr>
                    </w:div>
                    <w:div w:id="294152704">
                      <w:marLeft w:val="0"/>
                      <w:marRight w:val="0"/>
                      <w:marTop w:val="0"/>
                      <w:marBottom w:val="0"/>
                      <w:divBdr>
                        <w:top w:val="none" w:sz="0" w:space="0" w:color="auto"/>
                        <w:left w:val="none" w:sz="0" w:space="0" w:color="auto"/>
                        <w:bottom w:val="none" w:sz="0" w:space="0" w:color="auto"/>
                        <w:right w:val="none" w:sz="0" w:space="0" w:color="auto"/>
                      </w:divBdr>
                    </w:div>
                    <w:div w:id="294152992">
                      <w:marLeft w:val="0"/>
                      <w:marRight w:val="0"/>
                      <w:marTop w:val="0"/>
                      <w:marBottom w:val="0"/>
                      <w:divBdr>
                        <w:top w:val="none" w:sz="0" w:space="0" w:color="auto"/>
                        <w:left w:val="none" w:sz="0" w:space="0" w:color="auto"/>
                        <w:bottom w:val="none" w:sz="0" w:space="0" w:color="auto"/>
                        <w:right w:val="none" w:sz="0" w:space="0" w:color="auto"/>
                      </w:divBdr>
                    </w:div>
                    <w:div w:id="294153084">
                      <w:marLeft w:val="0"/>
                      <w:marRight w:val="0"/>
                      <w:marTop w:val="0"/>
                      <w:marBottom w:val="0"/>
                      <w:divBdr>
                        <w:top w:val="none" w:sz="0" w:space="0" w:color="auto"/>
                        <w:left w:val="none" w:sz="0" w:space="0" w:color="auto"/>
                        <w:bottom w:val="none" w:sz="0" w:space="0" w:color="auto"/>
                        <w:right w:val="none" w:sz="0" w:space="0" w:color="auto"/>
                      </w:divBdr>
                      <w:divsChild>
                        <w:div w:id="294151109">
                          <w:marLeft w:val="0"/>
                          <w:marRight w:val="0"/>
                          <w:marTop w:val="0"/>
                          <w:marBottom w:val="0"/>
                          <w:divBdr>
                            <w:top w:val="none" w:sz="0" w:space="0" w:color="auto"/>
                            <w:left w:val="none" w:sz="0" w:space="0" w:color="auto"/>
                            <w:bottom w:val="none" w:sz="0" w:space="0" w:color="auto"/>
                            <w:right w:val="none" w:sz="0" w:space="0" w:color="auto"/>
                          </w:divBdr>
                        </w:div>
                      </w:divsChild>
                    </w:div>
                    <w:div w:id="294153123">
                      <w:marLeft w:val="0"/>
                      <w:marRight w:val="0"/>
                      <w:marTop w:val="0"/>
                      <w:marBottom w:val="0"/>
                      <w:divBdr>
                        <w:top w:val="none" w:sz="0" w:space="0" w:color="auto"/>
                        <w:left w:val="none" w:sz="0" w:space="0" w:color="auto"/>
                        <w:bottom w:val="none" w:sz="0" w:space="0" w:color="auto"/>
                        <w:right w:val="none" w:sz="0" w:space="0" w:color="auto"/>
                      </w:divBdr>
                    </w:div>
                    <w:div w:id="294153134">
                      <w:marLeft w:val="0"/>
                      <w:marRight w:val="0"/>
                      <w:marTop w:val="0"/>
                      <w:marBottom w:val="0"/>
                      <w:divBdr>
                        <w:top w:val="none" w:sz="0" w:space="0" w:color="auto"/>
                        <w:left w:val="none" w:sz="0" w:space="0" w:color="auto"/>
                        <w:bottom w:val="none" w:sz="0" w:space="0" w:color="auto"/>
                        <w:right w:val="none" w:sz="0" w:space="0" w:color="auto"/>
                      </w:divBdr>
                    </w:div>
                    <w:div w:id="294153156">
                      <w:marLeft w:val="0"/>
                      <w:marRight w:val="0"/>
                      <w:marTop w:val="0"/>
                      <w:marBottom w:val="0"/>
                      <w:divBdr>
                        <w:top w:val="none" w:sz="0" w:space="0" w:color="auto"/>
                        <w:left w:val="none" w:sz="0" w:space="0" w:color="auto"/>
                        <w:bottom w:val="none" w:sz="0" w:space="0" w:color="auto"/>
                        <w:right w:val="none" w:sz="0" w:space="0" w:color="auto"/>
                      </w:divBdr>
                      <w:divsChild>
                        <w:div w:id="294156166">
                          <w:marLeft w:val="0"/>
                          <w:marRight w:val="0"/>
                          <w:marTop w:val="0"/>
                          <w:marBottom w:val="0"/>
                          <w:divBdr>
                            <w:top w:val="none" w:sz="0" w:space="0" w:color="auto"/>
                            <w:left w:val="none" w:sz="0" w:space="0" w:color="auto"/>
                            <w:bottom w:val="none" w:sz="0" w:space="0" w:color="auto"/>
                            <w:right w:val="none" w:sz="0" w:space="0" w:color="auto"/>
                          </w:divBdr>
                        </w:div>
                      </w:divsChild>
                    </w:div>
                    <w:div w:id="294153329">
                      <w:marLeft w:val="0"/>
                      <w:marRight w:val="0"/>
                      <w:marTop w:val="0"/>
                      <w:marBottom w:val="0"/>
                      <w:divBdr>
                        <w:top w:val="none" w:sz="0" w:space="0" w:color="auto"/>
                        <w:left w:val="none" w:sz="0" w:space="0" w:color="auto"/>
                        <w:bottom w:val="none" w:sz="0" w:space="0" w:color="auto"/>
                        <w:right w:val="none" w:sz="0" w:space="0" w:color="auto"/>
                      </w:divBdr>
                      <w:divsChild>
                        <w:div w:id="294140418">
                          <w:marLeft w:val="0"/>
                          <w:marRight w:val="0"/>
                          <w:marTop w:val="0"/>
                          <w:marBottom w:val="0"/>
                          <w:divBdr>
                            <w:top w:val="none" w:sz="0" w:space="0" w:color="auto"/>
                            <w:left w:val="none" w:sz="0" w:space="0" w:color="auto"/>
                            <w:bottom w:val="none" w:sz="0" w:space="0" w:color="auto"/>
                            <w:right w:val="none" w:sz="0" w:space="0" w:color="auto"/>
                          </w:divBdr>
                        </w:div>
                      </w:divsChild>
                    </w:div>
                    <w:div w:id="294153337">
                      <w:marLeft w:val="0"/>
                      <w:marRight w:val="0"/>
                      <w:marTop w:val="0"/>
                      <w:marBottom w:val="0"/>
                      <w:divBdr>
                        <w:top w:val="none" w:sz="0" w:space="0" w:color="auto"/>
                        <w:left w:val="none" w:sz="0" w:space="0" w:color="auto"/>
                        <w:bottom w:val="none" w:sz="0" w:space="0" w:color="auto"/>
                        <w:right w:val="none" w:sz="0" w:space="0" w:color="auto"/>
                      </w:divBdr>
                    </w:div>
                    <w:div w:id="294153502">
                      <w:marLeft w:val="0"/>
                      <w:marRight w:val="0"/>
                      <w:marTop w:val="0"/>
                      <w:marBottom w:val="0"/>
                      <w:divBdr>
                        <w:top w:val="none" w:sz="0" w:space="0" w:color="auto"/>
                        <w:left w:val="none" w:sz="0" w:space="0" w:color="auto"/>
                        <w:bottom w:val="none" w:sz="0" w:space="0" w:color="auto"/>
                        <w:right w:val="none" w:sz="0" w:space="0" w:color="auto"/>
                      </w:divBdr>
                    </w:div>
                    <w:div w:id="294153520">
                      <w:marLeft w:val="0"/>
                      <w:marRight w:val="0"/>
                      <w:marTop w:val="0"/>
                      <w:marBottom w:val="0"/>
                      <w:divBdr>
                        <w:top w:val="none" w:sz="0" w:space="0" w:color="auto"/>
                        <w:left w:val="none" w:sz="0" w:space="0" w:color="auto"/>
                        <w:bottom w:val="none" w:sz="0" w:space="0" w:color="auto"/>
                        <w:right w:val="none" w:sz="0" w:space="0" w:color="auto"/>
                      </w:divBdr>
                    </w:div>
                    <w:div w:id="294153529">
                      <w:marLeft w:val="0"/>
                      <w:marRight w:val="0"/>
                      <w:marTop w:val="0"/>
                      <w:marBottom w:val="0"/>
                      <w:divBdr>
                        <w:top w:val="none" w:sz="0" w:space="0" w:color="auto"/>
                        <w:left w:val="none" w:sz="0" w:space="0" w:color="auto"/>
                        <w:bottom w:val="none" w:sz="0" w:space="0" w:color="auto"/>
                        <w:right w:val="none" w:sz="0" w:space="0" w:color="auto"/>
                      </w:divBdr>
                      <w:divsChild>
                        <w:div w:id="294145266">
                          <w:marLeft w:val="0"/>
                          <w:marRight w:val="0"/>
                          <w:marTop w:val="0"/>
                          <w:marBottom w:val="0"/>
                          <w:divBdr>
                            <w:top w:val="none" w:sz="0" w:space="0" w:color="auto"/>
                            <w:left w:val="none" w:sz="0" w:space="0" w:color="auto"/>
                            <w:bottom w:val="none" w:sz="0" w:space="0" w:color="auto"/>
                            <w:right w:val="none" w:sz="0" w:space="0" w:color="auto"/>
                          </w:divBdr>
                        </w:div>
                      </w:divsChild>
                    </w:div>
                    <w:div w:id="294153536">
                      <w:marLeft w:val="0"/>
                      <w:marRight w:val="0"/>
                      <w:marTop w:val="0"/>
                      <w:marBottom w:val="0"/>
                      <w:divBdr>
                        <w:top w:val="none" w:sz="0" w:space="0" w:color="auto"/>
                        <w:left w:val="none" w:sz="0" w:space="0" w:color="auto"/>
                        <w:bottom w:val="none" w:sz="0" w:space="0" w:color="auto"/>
                        <w:right w:val="none" w:sz="0" w:space="0" w:color="auto"/>
                      </w:divBdr>
                      <w:divsChild>
                        <w:div w:id="294138158">
                          <w:marLeft w:val="0"/>
                          <w:marRight w:val="0"/>
                          <w:marTop w:val="0"/>
                          <w:marBottom w:val="0"/>
                          <w:divBdr>
                            <w:top w:val="none" w:sz="0" w:space="0" w:color="auto"/>
                            <w:left w:val="none" w:sz="0" w:space="0" w:color="auto"/>
                            <w:bottom w:val="none" w:sz="0" w:space="0" w:color="auto"/>
                            <w:right w:val="none" w:sz="0" w:space="0" w:color="auto"/>
                          </w:divBdr>
                        </w:div>
                      </w:divsChild>
                    </w:div>
                    <w:div w:id="294153969">
                      <w:marLeft w:val="0"/>
                      <w:marRight w:val="0"/>
                      <w:marTop w:val="0"/>
                      <w:marBottom w:val="0"/>
                      <w:divBdr>
                        <w:top w:val="none" w:sz="0" w:space="0" w:color="auto"/>
                        <w:left w:val="none" w:sz="0" w:space="0" w:color="auto"/>
                        <w:bottom w:val="none" w:sz="0" w:space="0" w:color="auto"/>
                        <w:right w:val="none" w:sz="0" w:space="0" w:color="auto"/>
                      </w:divBdr>
                    </w:div>
                    <w:div w:id="294153971">
                      <w:marLeft w:val="0"/>
                      <w:marRight w:val="0"/>
                      <w:marTop w:val="0"/>
                      <w:marBottom w:val="0"/>
                      <w:divBdr>
                        <w:top w:val="none" w:sz="0" w:space="0" w:color="auto"/>
                        <w:left w:val="none" w:sz="0" w:space="0" w:color="auto"/>
                        <w:bottom w:val="none" w:sz="0" w:space="0" w:color="auto"/>
                        <w:right w:val="none" w:sz="0" w:space="0" w:color="auto"/>
                      </w:divBdr>
                    </w:div>
                    <w:div w:id="294154017">
                      <w:marLeft w:val="0"/>
                      <w:marRight w:val="0"/>
                      <w:marTop w:val="0"/>
                      <w:marBottom w:val="0"/>
                      <w:divBdr>
                        <w:top w:val="none" w:sz="0" w:space="0" w:color="auto"/>
                        <w:left w:val="none" w:sz="0" w:space="0" w:color="auto"/>
                        <w:bottom w:val="none" w:sz="0" w:space="0" w:color="auto"/>
                        <w:right w:val="none" w:sz="0" w:space="0" w:color="auto"/>
                      </w:divBdr>
                      <w:divsChild>
                        <w:div w:id="294157384">
                          <w:marLeft w:val="0"/>
                          <w:marRight w:val="0"/>
                          <w:marTop w:val="0"/>
                          <w:marBottom w:val="0"/>
                          <w:divBdr>
                            <w:top w:val="none" w:sz="0" w:space="0" w:color="auto"/>
                            <w:left w:val="none" w:sz="0" w:space="0" w:color="auto"/>
                            <w:bottom w:val="none" w:sz="0" w:space="0" w:color="auto"/>
                            <w:right w:val="none" w:sz="0" w:space="0" w:color="auto"/>
                          </w:divBdr>
                        </w:div>
                      </w:divsChild>
                    </w:div>
                    <w:div w:id="294154056">
                      <w:marLeft w:val="0"/>
                      <w:marRight w:val="0"/>
                      <w:marTop w:val="0"/>
                      <w:marBottom w:val="0"/>
                      <w:divBdr>
                        <w:top w:val="none" w:sz="0" w:space="0" w:color="auto"/>
                        <w:left w:val="none" w:sz="0" w:space="0" w:color="auto"/>
                        <w:bottom w:val="none" w:sz="0" w:space="0" w:color="auto"/>
                        <w:right w:val="none" w:sz="0" w:space="0" w:color="auto"/>
                      </w:divBdr>
                      <w:divsChild>
                        <w:div w:id="294155733">
                          <w:marLeft w:val="0"/>
                          <w:marRight w:val="0"/>
                          <w:marTop w:val="0"/>
                          <w:marBottom w:val="0"/>
                          <w:divBdr>
                            <w:top w:val="none" w:sz="0" w:space="0" w:color="auto"/>
                            <w:left w:val="none" w:sz="0" w:space="0" w:color="auto"/>
                            <w:bottom w:val="none" w:sz="0" w:space="0" w:color="auto"/>
                            <w:right w:val="none" w:sz="0" w:space="0" w:color="auto"/>
                          </w:divBdr>
                        </w:div>
                      </w:divsChild>
                    </w:div>
                    <w:div w:id="294154121">
                      <w:marLeft w:val="0"/>
                      <w:marRight w:val="0"/>
                      <w:marTop w:val="0"/>
                      <w:marBottom w:val="0"/>
                      <w:divBdr>
                        <w:top w:val="none" w:sz="0" w:space="0" w:color="auto"/>
                        <w:left w:val="none" w:sz="0" w:space="0" w:color="auto"/>
                        <w:bottom w:val="none" w:sz="0" w:space="0" w:color="auto"/>
                        <w:right w:val="none" w:sz="0" w:space="0" w:color="auto"/>
                      </w:divBdr>
                      <w:divsChild>
                        <w:div w:id="294148174">
                          <w:marLeft w:val="0"/>
                          <w:marRight w:val="0"/>
                          <w:marTop w:val="0"/>
                          <w:marBottom w:val="0"/>
                          <w:divBdr>
                            <w:top w:val="none" w:sz="0" w:space="0" w:color="auto"/>
                            <w:left w:val="none" w:sz="0" w:space="0" w:color="auto"/>
                            <w:bottom w:val="none" w:sz="0" w:space="0" w:color="auto"/>
                            <w:right w:val="none" w:sz="0" w:space="0" w:color="auto"/>
                          </w:divBdr>
                        </w:div>
                      </w:divsChild>
                    </w:div>
                    <w:div w:id="294154235">
                      <w:marLeft w:val="0"/>
                      <w:marRight w:val="0"/>
                      <w:marTop w:val="0"/>
                      <w:marBottom w:val="0"/>
                      <w:divBdr>
                        <w:top w:val="none" w:sz="0" w:space="0" w:color="auto"/>
                        <w:left w:val="none" w:sz="0" w:space="0" w:color="auto"/>
                        <w:bottom w:val="none" w:sz="0" w:space="0" w:color="auto"/>
                        <w:right w:val="none" w:sz="0" w:space="0" w:color="auto"/>
                      </w:divBdr>
                      <w:divsChild>
                        <w:div w:id="294156843">
                          <w:marLeft w:val="0"/>
                          <w:marRight w:val="0"/>
                          <w:marTop w:val="0"/>
                          <w:marBottom w:val="0"/>
                          <w:divBdr>
                            <w:top w:val="none" w:sz="0" w:space="0" w:color="auto"/>
                            <w:left w:val="none" w:sz="0" w:space="0" w:color="auto"/>
                            <w:bottom w:val="none" w:sz="0" w:space="0" w:color="auto"/>
                            <w:right w:val="none" w:sz="0" w:space="0" w:color="auto"/>
                          </w:divBdr>
                        </w:div>
                      </w:divsChild>
                    </w:div>
                    <w:div w:id="294154392">
                      <w:marLeft w:val="0"/>
                      <w:marRight w:val="0"/>
                      <w:marTop w:val="0"/>
                      <w:marBottom w:val="0"/>
                      <w:divBdr>
                        <w:top w:val="none" w:sz="0" w:space="0" w:color="auto"/>
                        <w:left w:val="none" w:sz="0" w:space="0" w:color="auto"/>
                        <w:bottom w:val="none" w:sz="0" w:space="0" w:color="auto"/>
                        <w:right w:val="none" w:sz="0" w:space="0" w:color="auto"/>
                      </w:divBdr>
                    </w:div>
                    <w:div w:id="294154428">
                      <w:marLeft w:val="0"/>
                      <w:marRight w:val="0"/>
                      <w:marTop w:val="0"/>
                      <w:marBottom w:val="0"/>
                      <w:divBdr>
                        <w:top w:val="none" w:sz="0" w:space="0" w:color="auto"/>
                        <w:left w:val="none" w:sz="0" w:space="0" w:color="auto"/>
                        <w:bottom w:val="none" w:sz="0" w:space="0" w:color="auto"/>
                        <w:right w:val="none" w:sz="0" w:space="0" w:color="auto"/>
                      </w:divBdr>
                    </w:div>
                    <w:div w:id="294154484">
                      <w:marLeft w:val="0"/>
                      <w:marRight w:val="0"/>
                      <w:marTop w:val="0"/>
                      <w:marBottom w:val="0"/>
                      <w:divBdr>
                        <w:top w:val="none" w:sz="0" w:space="0" w:color="auto"/>
                        <w:left w:val="none" w:sz="0" w:space="0" w:color="auto"/>
                        <w:bottom w:val="none" w:sz="0" w:space="0" w:color="auto"/>
                        <w:right w:val="none" w:sz="0" w:space="0" w:color="auto"/>
                      </w:divBdr>
                    </w:div>
                    <w:div w:id="294154490">
                      <w:marLeft w:val="0"/>
                      <w:marRight w:val="0"/>
                      <w:marTop w:val="0"/>
                      <w:marBottom w:val="0"/>
                      <w:divBdr>
                        <w:top w:val="none" w:sz="0" w:space="0" w:color="auto"/>
                        <w:left w:val="none" w:sz="0" w:space="0" w:color="auto"/>
                        <w:bottom w:val="none" w:sz="0" w:space="0" w:color="auto"/>
                        <w:right w:val="none" w:sz="0" w:space="0" w:color="auto"/>
                      </w:divBdr>
                      <w:divsChild>
                        <w:div w:id="294146086">
                          <w:marLeft w:val="0"/>
                          <w:marRight w:val="0"/>
                          <w:marTop w:val="0"/>
                          <w:marBottom w:val="0"/>
                          <w:divBdr>
                            <w:top w:val="none" w:sz="0" w:space="0" w:color="auto"/>
                            <w:left w:val="none" w:sz="0" w:space="0" w:color="auto"/>
                            <w:bottom w:val="none" w:sz="0" w:space="0" w:color="auto"/>
                            <w:right w:val="none" w:sz="0" w:space="0" w:color="auto"/>
                          </w:divBdr>
                        </w:div>
                      </w:divsChild>
                    </w:div>
                    <w:div w:id="294154534">
                      <w:marLeft w:val="0"/>
                      <w:marRight w:val="0"/>
                      <w:marTop w:val="0"/>
                      <w:marBottom w:val="0"/>
                      <w:divBdr>
                        <w:top w:val="none" w:sz="0" w:space="0" w:color="auto"/>
                        <w:left w:val="none" w:sz="0" w:space="0" w:color="auto"/>
                        <w:bottom w:val="none" w:sz="0" w:space="0" w:color="auto"/>
                        <w:right w:val="none" w:sz="0" w:space="0" w:color="auto"/>
                      </w:divBdr>
                      <w:divsChild>
                        <w:div w:id="294140550">
                          <w:marLeft w:val="0"/>
                          <w:marRight w:val="0"/>
                          <w:marTop w:val="0"/>
                          <w:marBottom w:val="0"/>
                          <w:divBdr>
                            <w:top w:val="none" w:sz="0" w:space="0" w:color="auto"/>
                            <w:left w:val="none" w:sz="0" w:space="0" w:color="auto"/>
                            <w:bottom w:val="none" w:sz="0" w:space="0" w:color="auto"/>
                            <w:right w:val="none" w:sz="0" w:space="0" w:color="auto"/>
                          </w:divBdr>
                        </w:div>
                      </w:divsChild>
                    </w:div>
                    <w:div w:id="294154547">
                      <w:marLeft w:val="0"/>
                      <w:marRight w:val="0"/>
                      <w:marTop w:val="0"/>
                      <w:marBottom w:val="0"/>
                      <w:divBdr>
                        <w:top w:val="none" w:sz="0" w:space="0" w:color="auto"/>
                        <w:left w:val="none" w:sz="0" w:space="0" w:color="auto"/>
                        <w:bottom w:val="none" w:sz="0" w:space="0" w:color="auto"/>
                        <w:right w:val="none" w:sz="0" w:space="0" w:color="auto"/>
                      </w:divBdr>
                    </w:div>
                    <w:div w:id="294154760">
                      <w:marLeft w:val="0"/>
                      <w:marRight w:val="0"/>
                      <w:marTop w:val="0"/>
                      <w:marBottom w:val="0"/>
                      <w:divBdr>
                        <w:top w:val="none" w:sz="0" w:space="0" w:color="auto"/>
                        <w:left w:val="none" w:sz="0" w:space="0" w:color="auto"/>
                        <w:bottom w:val="none" w:sz="0" w:space="0" w:color="auto"/>
                        <w:right w:val="none" w:sz="0" w:space="0" w:color="auto"/>
                      </w:divBdr>
                      <w:divsChild>
                        <w:div w:id="294145940">
                          <w:marLeft w:val="0"/>
                          <w:marRight w:val="0"/>
                          <w:marTop w:val="0"/>
                          <w:marBottom w:val="0"/>
                          <w:divBdr>
                            <w:top w:val="none" w:sz="0" w:space="0" w:color="auto"/>
                            <w:left w:val="none" w:sz="0" w:space="0" w:color="auto"/>
                            <w:bottom w:val="none" w:sz="0" w:space="0" w:color="auto"/>
                            <w:right w:val="none" w:sz="0" w:space="0" w:color="auto"/>
                          </w:divBdr>
                        </w:div>
                      </w:divsChild>
                    </w:div>
                    <w:div w:id="294154783">
                      <w:marLeft w:val="0"/>
                      <w:marRight w:val="0"/>
                      <w:marTop w:val="0"/>
                      <w:marBottom w:val="0"/>
                      <w:divBdr>
                        <w:top w:val="none" w:sz="0" w:space="0" w:color="auto"/>
                        <w:left w:val="none" w:sz="0" w:space="0" w:color="auto"/>
                        <w:bottom w:val="none" w:sz="0" w:space="0" w:color="auto"/>
                        <w:right w:val="none" w:sz="0" w:space="0" w:color="auto"/>
                      </w:divBdr>
                      <w:divsChild>
                        <w:div w:id="294138297">
                          <w:marLeft w:val="0"/>
                          <w:marRight w:val="0"/>
                          <w:marTop w:val="0"/>
                          <w:marBottom w:val="0"/>
                          <w:divBdr>
                            <w:top w:val="none" w:sz="0" w:space="0" w:color="auto"/>
                            <w:left w:val="none" w:sz="0" w:space="0" w:color="auto"/>
                            <w:bottom w:val="none" w:sz="0" w:space="0" w:color="auto"/>
                            <w:right w:val="none" w:sz="0" w:space="0" w:color="auto"/>
                          </w:divBdr>
                        </w:div>
                      </w:divsChild>
                    </w:div>
                    <w:div w:id="294154797">
                      <w:marLeft w:val="0"/>
                      <w:marRight w:val="0"/>
                      <w:marTop w:val="0"/>
                      <w:marBottom w:val="0"/>
                      <w:divBdr>
                        <w:top w:val="none" w:sz="0" w:space="0" w:color="auto"/>
                        <w:left w:val="none" w:sz="0" w:space="0" w:color="auto"/>
                        <w:bottom w:val="none" w:sz="0" w:space="0" w:color="auto"/>
                        <w:right w:val="none" w:sz="0" w:space="0" w:color="auto"/>
                      </w:divBdr>
                      <w:divsChild>
                        <w:div w:id="294156424">
                          <w:marLeft w:val="0"/>
                          <w:marRight w:val="0"/>
                          <w:marTop w:val="0"/>
                          <w:marBottom w:val="0"/>
                          <w:divBdr>
                            <w:top w:val="none" w:sz="0" w:space="0" w:color="auto"/>
                            <w:left w:val="none" w:sz="0" w:space="0" w:color="auto"/>
                            <w:bottom w:val="none" w:sz="0" w:space="0" w:color="auto"/>
                            <w:right w:val="none" w:sz="0" w:space="0" w:color="auto"/>
                          </w:divBdr>
                        </w:div>
                      </w:divsChild>
                    </w:div>
                    <w:div w:id="294154801">
                      <w:marLeft w:val="0"/>
                      <w:marRight w:val="0"/>
                      <w:marTop w:val="0"/>
                      <w:marBottom w:val="0"/>
                      <w:divBdr>
                        <w:top w:val="none" w:sz="0" w:space="0" w:color="auto"/>
                        <w:left w:val="none" w:sz="0" w:space="0" w:color="auto"/>
                        <w:bottom w:val="none" w:sz="0" w:space="0" w:color="auto"/>
                        <w:right w:val="none" w:sz="0" w:space="0" w:color="auto"/>
                      </w:divBdr>
                      <w:divsChild>
                        <w:div w:id="294143262">
                          <w:marLeft w:val="0"/>
                          <w:marRight w:val="0"/>
                          <w:marTop w:val="0"/>
                          <w:marBottom w:val="0"/>
                          <w:divBdr>
                            <w:top w:val="none" w:sz="0" w:space="0" w:color="auto"/>
                            <w:left w:val="none" w:sz="0" w:space="0" w:color="auto"/>
                            <w:bottom w:val="none" w:sz="0" w:space="0" w:color="auto"/>
                            <w:right w:val="none" w:sz="0" w:space="0" w:color="auto"/>
                          </w:divBdr>
                        </w:div>
                      </w:divsChild>
                    </w:div>
                    <w:div w:id="294154830">
                      <w:marLeft w:val="0"/>
                      <w:marRight w:val="0"/>
                      <w:marTop w:val="0"/>
                      <w:marBottom w:val="0"/>
                      <w:divBdr>
                        <w:top w:val="none" w:sz="0" w:space="0" w:color="auto"/>
                        <w:left w:val="none" w:sz="0" w:space="0" w:color="auto"/>
                        <w:bottom w:val="none" w:sz="0" w:space="0" w:color="auto"/>
                        <w:right w:val="none" w:sz="0" w:space="0" w:color="auto"/>
                      </w:divBdr>
                    </w:div>
                    <w:div w:id="294154934">
                      <w:marLeft w:val="0"/>
                      <w:marRight w:val="0"/>
                      <w:marTop w:val="0"/>
                      <w:marBottom w:val="0"/>
                      <w:divBdr>
                        <w:top w:val="none" w:sz="0" w:space="0" w:color="auto"/>
                        <w:left w:val="none" w:sz="0" w:space="0" w:color="auto"/>
                        <w:bottom w:val="none" w:sz="0" w:space="0" w:color="auto"/>
                        <w:right w:val="none" w:sz="0" w:space="0" w:color="auto"/>
                      </w:divBdr>
                    </w:div>
                    <w:div w:id="294154988">
                      <w:marLeft w:val="0"/>
                      <w:marRight w:val="0"/>
                      <w:marTop w:val="0"/>
                      <w:marBottom w:val="0"/>
                      <w:divBdr>
                        <w:top w:val="none" w:sz="0" w:space="0" w:color="auto"/>
                        <w:left w:val="none" w:sz="0" w:space="0" w:color="auto"/>
                        <w:bottom w:val="none" w:sz="0" w:space="0" w:color="auto"/>
                        <w:right w:val="none" w:sz="0" w:space="0" w:color="auto"/>
                      </w:divBdr>
                      <w:divsChild>
                        <w:div w:id="294139418">
                          <w:marLeft w:val="0"/>
                          <w:marRight w:val="0"/>
                          <w:marTop w:val="0"/>
                          <w:marBottom w:val="0"/>
                          <w:divBdr>
                            <w:top w:val="none" w:sz="0" w:space="0" w:color="auto"/>
                            <w:left w:val="none" w:sz="0" w:space="0" w:color="auto"/>
                            <w:bottom w:val="none" w:sz="0" w:space="0" w:color="auto"/>
                            <w:right w:val="none" w:sz="0" w:space="0" w:color="auto"/>
                          </w:divBdr>
                        </w:div>
                      </w:divsChild>
                    </w:div>
                    <w:div w:id="294154994">
                      <w:marLeft w:val="0"/>
                      <w:marRight w:val="0"/>
                      <w:marTop w:val="0"/>
                      <w:marBottom w:val="0"/>
                      <w:divBdr>
                        <w:top w:val="none" w:sz="0" w:space="0" w:color="auto"/>
                        <w:left w:val="none" w:sz="0" w:space="0" w:color="auto"/>
                        <w:bottom w:val="none" w:sz="0" w:space="0" w:color="auto"/>
                        <w:right w:val="none" w:sz="0" w:space="0" w:color="auto"/>
                      </w:divBdr>
                      <w:divsChild>
                        <w:div w:id="294156912">
                          <w:marLeft w:val="0"/>
                          <w:marRight w:val="0"/>
                          <w:marTop w:val="0"/>
                          <w:marBottom w:val="0"/>
                          <w:divBdr>
                            <w:top w:val="none" w:sz="0" w:space="0" w:color="auto"/>
                            <w:left w:val="none" w:sz="0" w:space="0" w:color="auto"/>
                            <w:bottom w:val="none" w:sz="0" w:space="0" w:color="auto"/>
                            <w:right w:val="none" w:sz="0" w:space="0" w:color="auto"/>
                          </w:divBdr>
                        </w:div>
                      </w:divsChild>
                    </w:div>
                    <w:div w:id="294155013">
                      <w:marLeft w:val="0"/>
                      <w:marRight w:val="0"/>
                      <w:marTop w:val="0"/>
                      <w:marBottom w:val="0"/>
                      <w:divBdr>
                        <w:top w:val="none" w:sz="0" w:space="0" w:color="auto"/>
                        <w:left w:val="none" w:sz="0" w:space="0" w:color="auto"/>
                        <w:bottom w:val="none" w:sz="0" w:space="0" w:color="auto"/>
                        <w:right w:val="none" w:sz="0" w:space="0" w:color="auto"/>
                      </w:divBdr>
                    </w:div>
                    <w:div w:id="294155066">
                      <w:marLeft w:val="0"/>
                      <w:marRight w:val="0"/>
                      <w:marTop w:val="0"/>
                      <w:marBottom w:val="0"/>
                      <w:divBdr>
                        <w:top w:val="none" w:sz="0" w:space="0" w:color="auto"/>
                        <w:left w:val="none" w:sz="0" w:space="0" w:color="auto"/>
                        <w:bottom w:val="none" w:sz="0" w:space="0" w:color="auto"/>
                        <w:right w:val="none" w:sz="0" w:space="0" w:color="auto"/>
                      </w:divBdr>
                      <w:divsChild>
                        <w:div w:id="294138669">
                          <w:marLeft w:val="0"/>
                          <w:marRight w:val="0"/>
                          <w:marTop w:val="0"/>
                          <w:marBottom w:val="0"/>
                          <w:divBdr>
                            <w:top w:val="none" w:sz="0" w:space="0" w:color="auto"/>
                            <w:left w:val="none" w:sz="0" w:space="0" w:color="auto"/>
                            <w:bottom w:val="none" w:sz="0" w:space="0" w:color="auto"/>
                            <w:right w:val="none" w:sz="0" w:space="0" w:color="auto"/>
                          </w:divBdr>
                        </w:div>
                      </w:divsChild>
                    </w:div>
                    <w:div w:id="294155081">
                      <w:marLeft w:val="0"/>
                      <w:marRight w:val="0"/>
                      <w:marTop w:val="0"/>
                      <w:marBottom w:val="0"/>
                      <w:divBdr>
                        <w:top w:val="none" w:sz="0" w:space="0" w:color="auto"/>
                        <w:left w:val="none" w:sz="0" w:space="0" w:color="auto"/>
                        <w:bottom w:val="none" w:sz="0" w:space="0" w:color="auto"/>
                        <w:right w:val="none" w:sz="0" w:space="0" w:color="auto"/>
                      </w:divBdr>
                      <w:divsChild>
                        <w:div w:id="294149987">
                          <w:marLeft w:val="0"/>
                          <w:marRight w:val="0"/>
                          <w:marTop w:val="0"/>
                          <w:marBottom w:val="0"/>
                          <w:divBdr>
                            <w:top w:val="none" w:sz="0" w:space="0" w:color="auto"/>
                            <w:left w:val="none" w:sz="0" w:space="0" w:color="auto"/>
                            <w:bottom w:val="none" w:sz="0" w:space="0" w:color="auto"/>
                            <w:right w:val="none" w:sz="0" w:space="0" w:color="auto"/>
                          </w:divBdr>
                        </w:div>
                      </w:divsChild>
                    </w:div>
                    <w:div w:id="294155087">
                      <w:marLeft w:val="0"/>
                      <w:marRight w:val="0"/>
                      <w:marTop w:val="0"/>
                      <w:marBottom w:val="0"/>
                      <w:divBdr>
                        <w:top w:val="none" w:sz="0" w:space="0" w:color="auto"/>
                        <w:left w:val="none" w:sz="0" w:space="0" w:color="auto"/>
                        <w:bottom w:val="none" w:sz="0" w:space="0" w:color="auto"/>
                        <w:right w:val="none" w:sz="0" w:space="0" w:color="auto"/>
                      </w:divBdr>
                      <w:divsChild>
                        <w:div w:id="294153979">
                          <w:marLeft w:val="0"/>
                          <w:marRight w:val="0"/>
                          <w:marTop w:val="0"/>
                          <w:marBottom w:val="0"/>
                          <w:divBdr>
                            <w:top w:val="none" w:sz="0" w:space="0" w:color="auto"/>
                            <w:left w:val="none" w:sz="0" w:space="0" w:color="auto"/>
                            <w:bottom w:val="none" w:sz="0" w:space="0" w:color="auto"/>
                            <w:right w:val="none" w:sz="0" w:space="0" w:color="auto"/>
                          </w:divBdr>
                        </w:div>
                      </w:divsChild>
                    </w:div>
                    <w:div w:id="294155121">
                      <w:marLeft w:val="0"/>
                      <w:marRight w:val="0"/>
                      <w:marTop w:val="0"/>
                      <w:marBottom w:val="0"/>
                      <w:divBdr>
                        <w:top w:val="none" w:sz="0" w:space="0" w:color="auto"/>
                        <w:left w:val="none" w:sz="0" w:space="0" w:color="auto"/>
                        <w:bottom w:val="none" w:sz="0" w:space="0" w:color="auto"/>
                        <w:right w:val="none" w:sz="0" w:space="0" w:color="auto"/>
                      </w:divBdr>
                      <w:divsChild>
                        <w:div w:id="294145090">
                          <w:marLeft w:val="0"/>
                          <w:marRight w:val="0"/>
                          <w:marTop w:val="0"/>
                          <w:marBottom w:val="0"/>
                          <w:divBdr>
                            <w:top w:val="none" w:sz="0" w:space="0" w:color="auto"/>
                            <w:left w:val="none" w:sz="0" w:space="0" w:color="auto"/>
                            <w:bottom w:val="none" w:sz="0" w:space="0" w:color="auto"/>
                            <w:right w:val="none" w:sz="0" w:space="0" w:color="auto"/>
                          </w:divBdr>
                        </w:div>
                      </w:divsChild>
                    </w:div>
                    <w:div w:id="294155138">
                      <w:marLeft w:val="0"/>
                      <w:marRight w:val="0"/>
                      <w:marTop w:val="0"/>
                      <w:marBottom w:val="0"/>
                      <w:divBdr>
                        <w:top w:val="none" w:sz="0" w:space="0" w:color="auto"/>
                        <w:left w:val="none" w:sz="0" w:space="0" w:color="auto"/>
                        <w:bottom w:val="none" w:sz="0" w:space="0" w:color="auto"/>
                        <w:right w:val="none" w:sz="0" w:space="0" w:color="auto"/>
                      </w:divBdr>
                    </w:div>
                    <w:div w:id="294155179">
                      <w:marLeft w:val="0"/>
                      <w:marRight w:val="0"/>
                      <w:marTop w:val="0"/>
                      <w:marBottom w:val="0"/>
                      <w:divBdr>
                        <w:top w:val="none" w:sz="0" w:space="0" w:color="auto"/>
                        <w:left w:val="none" w:sz="0" w:space="0" w:color="auto"/>
                        <w:bottom w:val="none" w:sz="0" w:space="0" w:color="auto"/>
                        <w:right w:val="none" w:sz="0" w:space="0" w:color="auto"/>
                      </w:divBdr>
                      <w:divsChild>
                        <w:div w:id="294144350">
                          <w:marLeft w:val="0"/>
                          <w:marRight w:val="0"/>
                          <w:marTop w:val="0"/>
                          <w:marBottom w:val="0"/>
                          <w:divBdr>
                            <w:top w:val="none" w:sz="0" w:space="0" w:color="auto"/>
                            <w:left w:val="none" w:sz="0" w:space="0" w:color="auto"/>
                            <w:bottom w:val="none" w:sz="0" w:space="0" w:color="auto"/>
                            <w:right w:val="none" w:sz="0" w:space="0" w:color="auto"/>
                          </w:divBdr>
                        </w:div>
                      </w:divsChild>
                    </w:div>
                    <w:div w:id="294155290">
                      <w:marLeft w:val="0"/>
                      <w:marRight w:val="0"/>
                      <w:marTop w:val="0"/>
                      <w:marBottom w:val="0"/>
                      <w:divBdr>
                        <w:top w:val="none" w:sz="0" w:space="0" w:color="auto"/>
                        <w:left w:val="none" w:sz="0" w:space="0" w:color="auto"/>
                        <w:bottom w:val="none" w:sz="0" w:space="0" w:color="auto"/>
                        <w:right w:val="none" w:sz="0" w:space="0" w:color="auto"/>
                      </w:divBdr>
                    </w:div>
                    <w:div w:id="294155347">
                      <w:marLeft w:val="0"/>
                      <w:marRight w:val="0"/>
                      <w:marTop w:val="0"/>
                      <w:marBottom w:val="0"/>
                      <w:divBdr>
                        <w:top w:val="none" w:sz="0" w:space="0" w:color="auto"/>
                        <w:left w:val="none" w:sz="0" w:space="0" w:color="auto"/>
                        <w:bottom w:val="none" w:sz="0" w:space="0" w:color="auto"/>
                        <w:right w:val="none" w:sz="0" w:space="0" w:color="auto"/>
                      </w:divBdr>
                    </w:div>
                    <w:div w:id="294155376">
                      <w:marLeft w:val="0"/>
                      <w:marRight w:val="0"/>
                      <w:marTop w:val="0"/>
                      <w:marBottom w:val="0"/>
                      <w:divBdr>
                        <w:top w:val="none" w:sz="0" w:space="0" w:color="auto"/>
                        <w:left w:val="none" w:sz="0" w:space="0" w:color="auto"/>
                        <w:bottom w:val="none" w:sz="0" w:space="0" w:color="auto"/>
                        <w:right w:val="none" w:sz="0" w:space="0" w:color="auto"/>
                      </w:divBdr>
                      <w:divsChild>
                        <w:div w:id="294148965">
                          <w:marLeft w:val="0"/>
                          <w:marRight w:val="0"/>
                          <w:marTop w:val="0"/>
                          <w:marBottom w:val="0"/>
                          <w:divBdr>
                            <w:top w:val="none" w:sz="0" w:space="0" w:color="auto"/>
                            <w:left w:val="none" w:sz="0" w:space="0" w:color="auto"/>
                            <w:bottom w:val="none" w:sz="0" w:space="0" w:color="auto"/>
                            <w:right w:val="none" w:sz="0" w:space="0" w:color="auto"/>
                          </w:divBdr>
                        </w:div>
                      </w:divsChild>
                    </w:div>
                    <w:div w:id="294155410">
                      <w:marLeft w:val="0"/>
                      <w:marRight w:val="0"/>
                      <w:marTop w:val="0"/>
                      <w:marBottom w:val="0"/>
                      <w:divBdr>
                        <w:top w:val="none" w:sz="0" w:space="0" w:color="auto"/>
                        <w:left w:val="none" w:sz="0" w:space="0" w:color="auto"/>
                        <w:bottom w:val="none" w:sz="0" w:space="0" w:color="auto"/>
                        <w:right w:val="none" w:sz="0" w:space="0" w:color="auto"/>
                      </w:divBdr>
                    </w:div>
                    <w:div w:id="294155483">
                      <w:marLeft w:val="0"/>
                      <w:marRight w:val="0"/>
                      <w:marTop w:val="0"/>
                      <w:marBottom w:val="0"/>
                      <w:divBdr>
                        <w:top w:val="none" w:sz="0" w:space="0" w:color="auto"/>
                        <w:left w:val="none" w:sz="0" w:space="0" w:color="auto"/>
                        <w:bottom w:val="none" w:sz="0" w:space="0" w:color="auto"/>
                        <w:right w:val="none" w:sz="0" w:space="0" w:color="auto"/>
                      </w:divBdr>
                    </w:div>
                    <w:div w:id="294155515">
                      <w:marLeft w:val="0"/>
                      <w:marRight w:val="0"/>
                      <w:marTop w:val="0"/>
                      <w:marBottom w:val="0"/>
                      <w:divBdr>
                        <w:top w:val="none" w:sz="0" w:space="0" w:color="auto"/>
                        <w:left w:val="none" w:sz="0" w:space="0" w:color="auto"/>
                        <w:bottom w:val="none" w:sz="0" w:space="0" w:color="auto"/>
                        <w:right w:val="none" w:sz="0" w:space="0" w:color="auto"/>
                      </w:divBdr>
                    </w:div>
                    <w:div w:id="294155527">
                      <w:marLeft w:val="0"/>
                      <w:marRight w:val="0"/>
                      <w:marTop w:val="0"/>
                      <w:marBottom w:val="0"/>
                      <w:divBdr>
                        <w:top w:val="none" w:sz="0" w:space="0" w:color="auto"/>
                        <w:left w:val="none" w:sz="0" w:space="0" w:color="auto"/>
                        <w:bottom w:val="none" w:sz="0" w:space="0" w:color="auto"/>
                        <w:right w:val="none" w:sz="0" w:space="0" w:color="auto"/>
                      </w:divBdr>
                    </w:div>
                    <w:div w:id="294155531">
                      <w:marLeft w:val="0"/>
                      <w:marRight w:val="0"/>
                      <w:marTop w:val="0"/>
                      <w:marBottom w:val="0"/>
                      <w:divBdr>
                        <w:top w:val="none" w:sz="0" w:space="0" w:color="auto"/>
                        <w:left w:val="none" w:sz="0" w:space="0" w:color="auto"/>
                        <w:bottom w:val="none" w:sz="0" w:space="0" w:color="auto"/>
                        <w:right w:val="none" w:sz="0" w:space="0" w:color="auto"/>
                      </w:divBdr>
                      <w:divsChild>
                        <w:div w:id="294141382">
                          <w:marLeft w:val="0"/>
                          <w:marRight w:val="0"/>
                          <w:marTop w:val="0"/>
                          <w:marBottom w:val="0"/>
                          <w:divBdr>
                            <w:top w:val="none" w:sz="0" w:space="0" w:color="auto"/>
                            <w:left w:val="none" w:sz="0" w:space="0" w:color="auto"/>
                            <w:bottom w:val="none" w:sz="0" w:space="0" w:color="auto"/>
                            <w:right w:val="none" w:sz="0" w:space="0" w:color="auto"/>
                          </w:divBdr>
                        </w:div>
                      </w:divsChild>
                    </w:div>
                    <w:div w:id="294155543">
                      <w:marLeft w:val="0"/>
                      <w:marRight w:val="0"/>
                      <w:marTop w:val="0"/>
                      <w:marBottom w:val="0"/>
                      <w:divBdr>
                        <w:top w:val="none" w:sz="0" w:space="0" w:color="auto"/>
                        <w:left w:val="none" w:sz="0" w:space="0" w:color="auto"/>
                        <w:bottom w:val="none" w:sz="0" w:space="0" w:color="auto"/>
                        <w:right w:val="none" w:sz="0" w:space="0" w:color="auto"/>
                      </w:divBdr>
                      <w:divsChild>
                        <w:div w:id="294155585">
                          <w:marLeft w:val="0"/>
                          <w:marRight w:val="0"/>
                          <w:marTop w:val="0"/>
                          <w:marBottom w:val="0"/>
                          <w:divBdr>
                            <w:top w:val="none" w:sz="0" w:space="0" w:color="auto"/>
                            <w:left w:val="none" w:sz="0" w:space="0" w:color="auto"/>
                            <w:bottom w:val="none" w:sz="0" w:space="0" w:color="auto"/>
                            <w:right w:val="none" w:sz="0" w:space="0" w:color="auto"/>
                          </w:divBdr>
                        </w:div>
                      </w:divsChild>
                    </w:div>
                    <w:div w:id="294155582">
                      <w:marLeft w:val="0"/>
                      <w:marRight w:val="0"/>
                      <w:marTop w:val="0"/>
                      <w:marBottom w:val="0"/>
                      <w:divBdr>
                        <w:top w:val="none" w:sz="0" w:space="0" w:color="auto"/>
                        <w:left w:val="none" w:sz="0" w:space="0" w:color="auto"/>
                        <w:bottom w:val="none" w:sz="0" w:space="0" w:color="auto"/>
                        <w:right w:val="none" w:sz="0" w:space="0" w:color="auto"/>
                      </w:divBdr>
                      <w:divsChild>
                        <w:div w:id="294157302">
                          <w:marLeft w:val="0"/>
                          <w:marRight w:val="0"/>
                          <w:marTop w:val="0"/>
                          <w:marBottom w:val="0"/>
                          <w:divBdr>
                            <w:top w:val="none" w:sz="0" w:space="0" w:color="auto"/>
                            <w:left w:val="none" w:sz="0" w:space="0" w:color="auto"/>
                            <w:bottom w:val="none" w:sz="0" w:space="0" w:color="auto"/>
                            <w:right w:val="none" w:sz="0" w:space="0" w:color="auto"/>
                          </w:divBdr>
                        </w:div>
                      </w:divsChild>
                    </w:div>
                    <w:div w:id="294155625">
                      <w:marLeft w:val="0"/>
                      <w:marRight w:val="0"/>
                      <w:marTop w:val="0"/>
                      <w:marBottom w:val="0"/>
                      <w:divBdr>
                        <w:top w:val="none" w:sz="0" w:space="0" w:color="auto"/>
                        <w:left w:val="none" w:sz="0" w:space="0" w:color="auto"/>
                        <w:bottom w:val="none" w:sz="0" w:space="0" w:color="auto"/>
                        <w:right w:val="none" w:sz="0" w:space="0" w:color="auto"/>
                      </w:divBdr>
                      <w:divsChild>
                        <w:div w:id="294142092">
                          <w:marLeft w:val="0"/>
                          <w:marRight w:val="0"/>
                          <w:marTop w:val="0"/>
                          <w:marBottom w:val="0"/>
                          <w:divBdr>
                            <w:top w:val="none" w:sz="0" w:space="0" w:color="auto"/>
                            <w:left w:val="none" w:sz="0" w:space="0" w:color="auto"/>
                            <w:bottom w:val="none" w:sz="0" w:space="0" w:color="auto"/>
                            <w:right w:val="none" w:sz="0" w:space="0" w:color="auto"/>
                          </w:divBdr>
                        </w:div>
                      </w:divsChild>
                    </w:div>
                    <w:div w:id="294155727">
                      <w:marLeft w:val="0"/>
                      <w:marRight w:val="0"/>
                      <w:marTop w:val="0"/>
                      <w:marBottom w:val="0"/>
                      <w:divBdr>
                        <w:top w:val="none" w:sz="0" w:space="0" w:color="auto"/>
                        <w:left w:val="none" w:sz="0" w:space="0" w:color="auto"/>
                        <w:bottom w:val="none" w:sz="0" w:space="0" w:color="auto"/>
                        <w:right w:val="none" w:sz="0" w:space="0" w:color="auto"/>
                      </w:divBdr>
                      <w:divsChild>
                        <w:div w:id="294146140">
                          <w:marLeft w:val="0"/>
                          <w:marRight w:val="0"/>
                          <w:marTop w:val="0"/>
                          <w:marBottom w:val="0"/>
                          <w:divBdr>
                            <w:top w:val="none" w:sz="0" w:space="0" w:color="auto"/>
                            <w:left w:val="none" w:sz="0" w:space="0" w:color="auto"/>
                            <w:bottom w:val="none" w:sz="0" w:space="0" w:color="auto"/>
                            <w:right w:val="none" w:sz="0" w:space="0" w:color="auto"/>
                          </w:divBdr>
                        </w:div>
                      </w:divsChild>
                    </w:div>
                    <w:div w:id="294155743">
                      <w:marLeft w:val="0"/>
                      <w:marRight w:val="0"/>
                      <w:marTop w:val="0"/>
                      <w:marBottom w:val="0"/>
                      <w:divBdr>
                        <w:top w:val="none" w:sz="0" w:space="0" w:color="auto"/>
                        <w:left w:val="none" w:sz="0" w:space="0" w:color="auto"/>
                        <w:bottom w:val="none" w:sz="0" w:space="0" w:color="auto"/>
                        <w:right w:val="none" w:sz="0" w:space="0" w:color="auto"/>
                      </w:divBdr>
                    </w:div>
                    <w:div w:id="294155748">
                      <w:marLeft w:val="0"/>
                      <w:marRight w:val="0"/>
                      <w:marTop w:val="0"/>
                      <w:marBottom w:val="0"/>
                      <w:divBdr>
                        <w:top w:val="none" w:sz="0" w:space="0" w:color="auto"/>
                        <w:left w:val="none" w:sz="0" w:space="0" w:color="auto"/>
                        <w:bottom w:val="none" w:sz="0" w:space="0" w:color="auto"/>
                        <w:right w:val="none" w:sz="0" w:space="0" w:color="auto"/>
                      </w:divBdr>
                    </w:div>
                    <w:div w:id="294155762">
                      <w:marLeft w:val="0"/>
                      <w:marRight w:val="0"/>
                      <w:marTop w:val="0"/>
                      <w:marBottom w:val="0"/>
                      <w:divBdr>
                        <w:top w:val="none" w:sz="0" w:space="0" w:color="auto"/>
                        <w:left w:val="none" w:sz="0" w:space="0" w:color="auto"/>
                        <w:bottom w:val="none" w:sz="0" w:space="0" w:color="auto"/>
                        <w:right w:val="none" w:sz="0" w:space="0" w:color="auto"/>
                      </w:divBdr>
                    </w:div>
                    <w:div w:id="294155786">
                      <w:marLeft w:val="0"/>
                      <w:marRight w:val="0"/>
                      <w:marTop w:val="0"/>
                      <w:marBottom w:val="0"/>
                      <w:divBdr>
                        <w:top w:val="none" w:sz="0" w:space="0" w:color="auto"/>
                        <w:left w:val="none" w:sz="0" w:space="0" w:color="auto"/>
                        <w:bottom w:val="none" w:sz="0" w:space="0" w:color="auto"/>
                        <w:right w:val="none" w:sz="0" w:space="0" w:color="auto"/>
                      </w:divBdr>
                    </w:div>
                    <w:div w:id="294155824">
                      <w:marLeft w:val="0"/>
                      <w:marRight w:val="0"/>
                      <w:marTop w:val="0"/>
                      <w:marBottom w:val="0"/>
                      <w:divBdr>
                        <w:top w:val="none" w:sz="0" w:space="0" w:color="auto"/>
                        <w:left w:val="none" w:sz="0" w:space="0" w:color="auto"/>
                        <w:bottom w:val="none" w:sz="0" w:space="0" w:color="auto"/>
                        <w:right w:val="none" w:sz="0" w:space="0" w:color="auto"/>
                      </w:divBdr>
                      <w:divsChild>
                        <w:div w:id="294150544">
                          <w:marLeft w:val="0"/>
                          <w:marRight w:val="0"/>
                          <w:marTop w:val="0"/>
                          <w:marBottom w:val="0"/>
                          <w:divBdr>
                            <w:top w:val="none" w:sz="0" w:space="0" w:color="auto"/>
                            <w:left w:val="none" w:sz="0" w:space="0" w:color="auto"/>
                            <w:bottom w:val="none" w:sz="0" w:space="0" w:color="auto"/>
                            <w:right w:val="none" w:sz="0" w:space="0" w:color="auto"/>
                          </w:divBdr>
                        </w:div>
                      </w:divsChild>
                    </w:div>
                    <w:div w:id="294155921">
                      <w:marLeft w:val="0"/>
                      <w:marRight w:val="0"/>
                      <w:marTop w:val="0"/>
                      <w:marBottom w:val="0"/>
                      <w:divBdr>
                        <w:top w:val="none" w:sz="0" w:space="0" w:color="auto"/>
                        <w:left w:val="none" w:sz="0" w:space="0" w:color="auto"/>
                        <w:bottom w:val="none" w:sz="0" w:space="0" w:color="auto"/>
                        <w:right w:val="none" w:sz="0" w:space="0" w:color="auto"/>
                      </w:divBdr>
                    </w:div>
                    <w:div w:id="294155974">
                      <w:marLeft w:val="0"/>
                      <w:marRight w:val="0"/>
                      <w:marTop w:val="0"/>
                      <w:marBottom w:val="0"/>
                      <w:divBdr>
                        <w:top w:val="none" w:sz="0" w:space="0" w:color="auto"/>
                        <w:left w:val="none" w:sz="0" w:space="0" w:color="auto"/>
                        <w:bottom w:val="none" w:sz="0" w:space="0" w:color="auto"/>
                        <w:right w:val="none" w:sz="0" w:space="0" w:color="auto"/>
                      </w:divBdr>
                    </w:div>
                    <w:div w:id="294156096">
                      <w:marLeft w:val="0"/>
                      <w:marRight w:val="0"/>
                      <w:marTop w:val="0"/>
                      <w:marBottom w:val="0"/>
                      <w:divBdr>
                        <w:top w:val="none" w:sz="0" w:space="0" w:color="auto"/>
                        <w:left w:val="none" w:sz="0" w:space="0" w:color="auto"/>
                        <w:bottom w:val="none" w:sz="0" w:space="0" w:color="auto"/>
                        <w:right w:val="none" w:sz="0" w:space="0" w:color="auto"/>
                      </w:divBdr>
                    </w:div>
                    <w:div w:id="294156106">
                      <w:marLeft w:val="0"/>
                      <w:marRight w:val="0"/>
                      <w:marTop w:val="0"/>
                      <w:marBottom w:val="0"/>
                      <w:divBdr>
                        <w:top w:val="none" w:sz="0" w:space="0" w:color="auto"/>
                        <w:left w:val="none" w:sz="0" w:space="0" w:color="auto"/>
                        <w:bottom w:val="none" w:sz="0" w:space="0" w:color="auto"/>
                        <w:right w:val="none" w:sz="0" w:space="0" w:color="auto"/>
                      </w:divBdr>
                      <w:divsChild>
                        <w:div w:id="294150135">
                          <w:marLeft w:val="0"/>
                          <w:marRight w:val="0"/>
                          <w:marTop w:val="0"/>
                          <w:marBottom w:val="0"/>
                          <w:divBdr>
                            <w:top w:val="none" w:sz="0" w:space="0" w:color="auto"/>
                            <w:left w:val="none" w:sz="0" w:space="0" w:color="auto"/>
                            <w:bottom w:val="none" w:sz="0" w:space="0" w:color="auto"/>
                            <w:right w:val="none" w:sz="0" w:space="0" w:color="auto"/>
                          </w:divBdr>
                        </w:div>
                      </w:divsChild>
                    </w:div>
                    <w:div w:id="294156178">
                      <w:marLeft w:val="0"/>
                      <w:marRight w:val="0"/>
                      <w:marTop w:val="0"/>
                      <w:marBottom w:val="0"/>
                      <w:divBdr>
                        <w:top w:val="none" w:sz="0" w:space="0" w:color="auto"/>
                        <w:left w:val="none" w:sz="0" w:space="0" w:color="auto"/>
                        <w:bottom w:val="none" w:sz="0" w:space="0" w:color="auto"/>
                        <w:right w:val="none" w:sz="0" w:space="0" w:color="auto"/>
                      </w:divBdr>
                    </w:div>
                    <w:div w:id="294156368">
                      <w:marLeft w:val="0"/>
                      <w:marRight w:val="0"/>
                      <w:marTop w:val="0"/>
                      <w:marBottom w:val="0"/>
                      <w:divBdr>
                        <w:top w:val="none" w:sz="0" w:space="0" w:color="auto"/>
                        <w:left w:val="none" w:sz="0" w:space="0" w:color="auto"/>
                        <w:bottom w:val="none" w:sz="0" w:space="0" w:color="auto"/>
                        <w:right w:val="none" w:sz="0" w:space="0" w:color="auto"/>
                      </w:divBdr>
                      <w:divsChild>
                        <w:div w:id="294147500">
                          <w:marLeft w:val="0"/>
                          <w:marRight w:val="0"/>
                          <w:marTop w:val="0"/>
                          <w:marBottom w:val="0"/>
                          <w:divBdr>
                            <w:top w:val="none" w:sz="0" w:space="0" w:color="auto"/>
                            <w:left w:val="none" w:sz="0" w:space="0" w:color="auto"/>
                            <w:bottom w:val="none" w:sz="0" w:space="0" w:color="auto"/>
                            <w:right w:val="none" w:sz="0" w:space="0" w:color="auto"/>
                          </w:divBdr>
                        </w:div>
                      </w:divsChild>
                    </w:div>
                    <w:div w:id="294156432">
                      <w:marLeft w:val="0"/>
                      <w:marRight w:val="0"/>
                      <w:marTop w:val="0"/>
                      <w:marBottom w:val="0"/>
                      <w:divBdr>
                        <w:top w:val="none" w:sz="0" w:space="0" w:color="auto"/>
                        <w:left w:val="none" w:sz="0" w:space="0" w:color="auto"/>
                        <w:bottom w:val="none" w:sz="0" w:space="0" w:color="auto"/>
                        <w:right w:val="none" w:sz="0" w:space="0" w:color="auto"/>
                      </w:divBdr>
                      <w:divsChild>
                        <w:div w:id="294151181">
                          <w:marLeft w:val="0"/>
                          <w:marRight w:val="0"/>
                          <w:marTop w:val="0"/>
                          <w:marBottom w:val="0"/>
                          <w:divBdr>
                            <w:top w:val="none" w:sz="0" w:space="0" w:color="auto"/>
                            <w:left w:val="none" w:sz="0" w:space="0" w:color="auto"/>
                            <w:bottom w:val="none" w:sz="0" w:space="0" w:color="auto"/>
                            <w:right w:val="none" w:sz="0" w:space="0" w:color="auto"/>
                          </w:divBdr>
                        </w:div>
                      </w:divsChild>
                    </w:div>
                    <w:div w:id="294156516">
                      <w:marLeft w:val="0"/>
                      <w:marRight w:val="0"/>
                      <w:marTop w:val="0"/>
                      <w:marBottom w:val="0"/>
                      <w:divBdr>
                        <w:top w:val="none" w:sz="0" w:space="0" w:color="auto"/>
                        <w:left w:val="none" w:sz="0" w:space="0" w:color="auto"/>
                        <w:bottom w:val="none" w:sz="0" w:space="0" w:color="auto"/>
                        <w:right w:val="none" w:sz="0" w:space="0" w:color="auto"/>
                      </w:divBdr>
                    </w:div>
                    <w:div w:id="294156555">
                      <w:marLeft w:val="0"/>
                      <w:marRight w:val="0"/>
                      <w:marTop w:val="0"/>
                      <w:marBottom w:val="0"/>
                      <w:divBdr>
                        <w:top w:val="none" w:sz="0" w:space="0" w:color="auto"/>
                        <w:left w:val="none" w:sz="0" w:space="0" w:color="auto"/>
                        <w:bottom w:val="none" w:sz="0" w:space="0" w:color="auto"/>
                        <w:right w:val="none" w:sz="0" w:space="0" w:color="auto"/>
                      </w:divBdr>
                      <w:divsChild>
                        <w:div w:id="294146985">
                          <w:marLeft w:val="0"/>
                          <w:marRight w:val="0"/>
                          <w:marTop w:val="0"/>
                          <w:marBottom w:val="0"/>
                          <w:divBdr>
                            <w:top w:val="none" w:sz="0" w:space="0" w:color="auto"/>
                            <w:left w:val="none" w:sz="0" w:space="0" w:color="auto"/>
                            <w:bottom w:val="none" w:sz="0" w:space="0" w:color="auto"/>
                            <w:right w:val="none" w:sz="0" w:space="0" w:color="auto"/>
                          </w:divBdr>
                        </w:div>
                      </w:divsChild>
                    </w:div>
                    <w:div w:id="294156731">
                      <w:marLeft w:val="0"/>
                      <w:marRight w:val="0"/>
                      <w:marTop w:val="0"/>
                      <w:marBottom w:val="0"/>
                      <w:divBdr>
                        <w:top w:val="none" w:sz="0" w:space="0" w:color="auto"/>
                        <w:left w:val="none" w:sz="0" w:space="0" w:color="auto"/>
                        <w:bottom w:val="none" w:sz="0" w:space="0" w:color="auto"/>
                        <w:right w:val="none" w:sz="0" w:space="0" w:color="auto"/>
                      </w:divBdr>
                    </w:div>
                    <w:div w:id="294156743">
                      <w:marLeft w:val="0"/>
                      <w:marRight w:val="0"/>
                      <w:marTop w:val="0"/>
                      <w:marBottom w:val="0"/>
                      <w:divBdr>
                        <w:top w:val="none" w:sz="0" w:space="0" w:color="auto"/>
                        <w:left w:val="none" w:sz="0" w:space="0" w:color="auto"/>
                        <w:bottom w:val="none" w:sz="0" w:space="0" w:color="auto"/>
                        <w:right w:val="none" w:sz="0" w:space="0" w:color="auto"/>
                      </w:divBdr>
                      <w:divsChild>
                        <w:div w:id="294148829">
                          <w:marLeft w:val="0"/>
                          <w:marRight w:val="0"/>
                          <w:marTop w:val="0"/>
                          <w:marBottom w:val="0"/>
                          <w:divBdr>
                            <w:top w:val="none" w:sz="0" w:space="0" w:color="auto"/>
                            <w:left w:val="none" w:sz="0" w:space="0" w:color="auto"/>
                            <w:bottom w:val="none" w:sz="0" w:space="0" w:color="auto"/>
                            <w:right w:val="none" w:sz="0" w:space="0" w:color="auto"/>
                          </w:divBdr>
                        </w:div>
                      </w:divsChild>
                    </w:div>
                    <w:div w:id="294156758">
                      <w:marLeft w:val="0"/>
                      <w:marRight w:val="0"/>
                      <w:marTop w:val="0"/>
                      <w:marBottom w:val="0"/>
                      <w:divBdr>
                        <w:top w:val="none" w:sz="0" w:space="0" w:color="auto"/>
                        <w:left w:val="none" w:sz="0" w:space="0" w:color="auto"/>
                        <w:bottom w:val="none" w:sz="0" w:space="0" w:color="auto"/>
                        <w:right w:val="none" w:sz="0" w:space="0" w:color="auto"/>
                      </w:divBdr>
                    </w:div>
                    <w:div w:id="294156794">
                      <w:marLeft w:val="0"/>
                      <w:marRight w:val="0"/>
                      <w:marTop w:val="0"/>
                      <w:marBottom w:val="0"/>
                      <w:divBdr>
                        <w:top w:val="none" w:sz="0" w:space="0" w:color="auto"/>
                        <w:left w:val="none" w:sz="0" w:space="0" w:color="auto"/>
                        <w:bottom w:val="none" w:sz="0" w:space="0" w:color="auto"/>
                        <w:right w:val="none" w:sz="0" w:space="0" w:color="auto"/>
                      </w:divBdr>
                      <w:divsChild>
                        <w:div w:id="294151331">
                          <w:marLeft w:val="0"/>
                          <w:marRight w:val="0"/>
                          <w:marTop w:val="0"/>
                          <w:marBottom w:val="0"/>
                          <w:divBdr>
                            <w:top w:val="none" w:sz="0" w:space="0" w:color="auto"/>
                            <w:left w:val="none" w:sz="0" w:space="0" w:color="auto"/>
                            <w:bottom w:val="none" w:sz="0" w:space="0" w:color="auto"/>
                            <w:right w:val="none" w:sz="0" w:space="0" w:color="auto"/>
                          </w:divBdr>
                        </w:div>
                      </w:divsChild>
                    </w:div>
                    <w:div w:id="294156814">
                      <w:marLeft w:val="0"/>
                      <w:marRight w:val="0"/>
                      <w:marTop w:val="0"/>
                      <w:marBottom w:val="0"/>
                      <w:divBdr>
                        <w:top w:val="none" w:sz="0" w:space="0" w:color="auto"/>
                        <w:left w:val="none" w:sz="0" w:space="0" w:color="auto"/>
                        <w:bottom w:val="none" w:sz="0" w:space="0" w:color="auto"/>
                        <w:right w:val="none" w:sz="0" w:space="0" w:color="auto"/>
                      </w:divBdr>
                    </w:div>
                    <w:div w:id="294156845">
                      <w:marLeft w:val="0"/>
                      <w:marRight w:val="0"/>
                      <w:marTop w:val="0"/>
                      <w:marBottom w:val="0"/>
                      <w:divBdr>
                        <w:top w:val="none" w:sz="0" w:space="0" w:color="auto"/>
                        <w:left w:val="none" w:sz="0" w:space="0" w:color="auto"/>
                        <w:bottom w:val="none" w:sz="0" w:space="0" w:color="auto"/>
                        <w:right w:val="none" w:sz="0" w:space="0" w:color="auto"/>
                      </w:divBdr>
                      <w:divsChild>
                        <w:div w:id="294141025">
                          <w:marLeft w:val="0"/>
                          <w:marRight w:val="0"/>
                          <w:marTop w:val="0"/>
                          <w:marBottom w:val="0"/>
                          <w:divBdr>
                            <w:top w:val="none" w:sz="0" w:space="0" w:color="auto"/>
                            <w:left w:val="none" w:sz="0" w:space="0" w:color="auto"/>
                            <w:bottom w:val="none" w:sz="0" w:space="0" w:color="auto"/>
                            <w:right w:val="none" w:sz="0" w:space="0" w:color="auto"/>
                          </w:divBdr>
                        </w:div>
                      </w:divsChild>
                    </w:div>
                    <w:div w:id="294156906">
                      <w:marLeft w:val="0"/>
                      <w:marRight w:val="0"/>
                      <w:marTop w:val="0"/>
                      <w:marBottom w:val="0"/>
                      <w:divBdr>
                        <w:top w:val="none" w:sz="0" w:space="0" w:color="auto"/>
                        <w:left w:val="none" w:sz="0" w:space="0" w:color="auto"/>
                        <w:bottom w:val="none" w:sz="0" w:space="0" w:color="auto"/>
                        <w:right w:val="none" w:sz="0" w:space="0" w:color="auto"/>
                      </w:divBdr>
                      <w:divsChild>
                        <w:div w:id="294154520">
                          <w:marLeft w:val="0"/>
                          <w:marRight w:val="0"/>
                          <w:marTop w:val="0"/>
                          <w:marBottom w:val="0"/>
                          <w:divBdr>
                            <w:top w:val="none" w:sz="0" w:space="0" w:color="auto"/>
                            <w:left w:val="none" w:sz="0" w:space="0" w:color="auto"/>
                            <w:bottom w:val="none" w:sz="0" w:space="0" w:color="auto"/>
                            <w:right w:val="none" w:sz="0" w:space="0" w:color="auto"/>
                          </w:divBdr>
                        </w:div>
                      </w:divsChild>
                    </w:div>
                    <w:div w:id="294157080">
                      <w:marLeft w:val="0"/>
                      <w:marRight w:val="0"/>
                      <w:marTop w:val="0"/>
                      <w:marBottom w:val="0"/>
                      <w:divBdr>
                        <w:top w:val="none" w:sz="0" w:space="0" w:color="auto"/>
                        <w:left w:val="none" w:sz="0" w:space="0" w:color="auto"/>
                        <w:bottom w:val="none" w:sz="0" w:space="0" w:color="auto"/>
                        <w:right w:val="none" w:sz="0" w:space="0" w:color="auto"/>
                      </w:divBdr>
                      <w:divsChild>
                        <w:div w:id="294140232">
                          <w:marLeft w:val="0"/>
                          <w:marRight w:val="0"/>
                          <w:marTop w:val="0"/>
                          <w:marBottom w:val="0"/>
                          <w:divBdr>
                            <w:top w:val="none" w:sz="0" w:space="0" w:color="auto"/>
                            <w:left w:val="none" w:sz="0" w:space="0" w:color="auto"/>
                            <w:bottom w:val="none" w:sz="0" w:space="0" w:color="auto"/>
                            <w:right w:val="none" w:sz="0" w:space="0" w:color="auto"/>
                          </w:divBdr>
                        </w:div>
                      </w:divsChild>
                    </w:div>
                    <w:div w:id="294157095">
                      <w:marLeft w:val="0"/>
                      <w:marRight w:val="0"/>
                      <w:marTop w:val="0"/>
                      <w:marBottom w:val="0"/>
                      <w:divBdr>
                        <w:top w:val="none" w:sz="0" w:space="0" w:color="auto"/>
                        <w:left w:val="none" w:sz="0" w:space="0" w:color="auto"/>
                        <w:bottom w:val="none" w:sz="0" w:space="0" w:color="auto"/>
                        <w:right w:val="none" w:sz="0" w:space="0" w:color="auto"/>
                      </w:divBdr>
                      <w:divsChild>
                        <w:div w:id="294139820">
                          <w:marLeft w:val="0"/>
                          <w:marRight w:val="0"/>
                          <w:marTop w:val="0"/>
                          <w:marBottom w:val="0"/>
                          <w:divBdr>
                            <w:top w:val="none" w:sz="0" w:space="0" w:color="auto"/>
                            <w:left w:val="none" w:sz="0" w:space="0" w:color="auto"/>
                            <w:bottom w:val="none" w:sz="0" w:space="0" w:color="auto"/>
                            <w:right w:val="none" w:sz="0" w:space="0" w:color="auto"/>
                          </w:divBdr>
                        </w:div>
                      </w:divsChild>
                    </w:div>
                    <w:div w:id="294157147">
                      <w:marLeft w:val="0"/>
                      <w:marRight w:val="0"/>
                      <w:marTop w:val="0"/>
                      <w:marBottom w:val="0"/>
                      <w:divBdr>
                        <w:top w:val="none" w:sz="0" w:space="0" w:color="auto"/>
                        <w:left w:val="none" w:sz="0" w:space="0" w:color="auto"/>
                        <w:bottom w:val="none" w:sz="0" w:space="0" w:color="auto"/>
                        <w:right w:val="none" w:sz="0" w:space="0" w:color="auto"/>
                      </w:divBdr>
                      <w:divsChild>
                        <w:div w:id="294140349">
                          <w:marLeft w:val="0"/>
                          <w:marRight w:val="0"/>
                          <w:marTop w:val="0"/>
                          <w:marBottom w:val="0"/>
                          <w:divBdr>
                            <w:top w:val="none" w:sz="0" w:space="0" w:color="auto"/>
                            <w:left w:val="none" w:sz="0" w:space="0" w:color="auto"/>
                            <w:bottom w:val="none" w:sz="0" w:space="0" w:color="auto"/>
                            <w:right w:val="none" w:sz="0" w:space="0" w:color="auto"/>
                          </w:divBdr>
                        </w:div>
                      </w:divsChild>
                    </w:div>
                    <w:div w:id="294157265">
                      <w:marLeft w:val="0"/>
                      <w:marRight w:val="0"/>
                      <w:marTop w:val="0"/>
                      <w:marBottom w:val="0"/>
                      <w:divBdr>
                        <w:top w:val="none" w:sz="0" w:space="0" w:color="auto"/>
                        <w:left w:val="none" w:sz="0" w:space="0" w:color="auto"/>
                        <w:bottom w:val="none" w:sz="0" w:space="0" w:color="auto"/>
                        <w:right w:val="none" w:sz="0" w:space="0" w:color="auto"/>
                      </w:divBdr>
                      <w:divsChild>
                        <w:div w:id="294141658">
                          <w:marLeft w:val="0"/>
                          <w:marRight w:val="0"/>
                          <w:marTop w:val="0"/>
                          <w:marBottom w:val="0"/>
                          <w:divBdr>
                            <w:top w:val="none" w:sz="0" w:space="0" w:color="auto"/>
                            <w:left w:val="none" w:sz="0" w:space="0" w:color="auto"/>
                            <w:bottom w:val="none" w:sz="0" w:space="0" w:color="auto"/>
                            <w:right w:val="none" w:sz="0" w:space="0" w:color="auto"/>
                          </w:divBdr>
                        </w:div>
                      </w:divsChild>
                    </w:div>
                    <w:div w:id="294157315">
                      <w:marLeft w:val="0"/>
                      <w:marRight w:val="0"/>
                      <w:marTop w:val="0"/>
                      <w:marBottom w:val="0"/>
                      <w:divBdr>
                        <w:top w:val="none" w:sz="0" w:space="0" w:color="auto"/>
                        <w:left w:val="none" w:sz="0" w:space="0" w:color="auto"/>
                        <w:bottom w:val="none" w:sz="0" w:space="0" w:color="auto"/>
                        <w:right w:val="none" w:sz="0" w:space="0" w:color="auto"/>
                      </w:divBdr>
                    </w:div>
                    <w:div w:id="294157397">
                      <w:marLeft w:val="0"/>
                      <w:marRight w:val="0"/>
                      <w:marTop w:val="0"/>
                      <w:marBottom w:val="0"/>
                      <w:divBdr>
                        <w:top w:val="none" w:sz="0" w:space="0" w:color="auto"/>
                        <w:left w:val="none" w:sz="0" w:space="0" w:color="auto"/>
                        <w:bottom w:val="none" w:sz="0" w:space="0" w:color="auto"/>
                        <w:right w:val="none" w:sz="0" w:space="0" w:color="auto"/>
                      </w:divBdr>
                    </w:div>
                    <w:div w:id="294157424">
                      <w:marLeft w:val="0"/>
                      <w:marRight w:val="0"/>
                      <w:marTop w:val="0"/>
                      <w:marBottom w:val="0"/>
                      <w:divBdr>
                        <w:top w:val="none" w:sz="0" w:space="0" w:color="auto"/>
                        <w:left w:val="none" w:sz="0" w:space="0" w:color="auto"/>
                        <w:bottom w:val="none" w:sz="0" w:space="0" w:color="auto"/>
                        <w:right w:val="none" w:sz="0" w:space="0" w:color="auto"/>
                      </w:divBdr>
                      <w:divsChild>
                        <w:div w:id="294141185">
                          <w:marLeft w:val="0"/>
                          <w:marRight w:val="0"/>
                          <w:marTop w:val="0"/>
                          <w:marBottom w:val="0"/>
                          <w:divBdr>
                            <w:top w:val="none" w:sz="0" w:space="0" w:color="auto"/>
                            <w:left w:val="none" w:sz="0" w:space="0" w:color="auto"/>
                            <w:bottom w:val="none" w:sz="0" w:space="0" w:color="auto"/>
                            <w:right w:val="none" w:sz="0" w:space="0" w:color="auto"/>
                          </w:divBdr>
                        </w:div>
                      </w:divsChild>
                    </w:div>
                    <w:div w:id="29415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55679">
          <w:marLeft w:val="0"/>
          <w:marRight w:val="0"/>
          <w:marTop w:val="0"/>
          <w:marBottom w:val="0"/>
          <w:divBdr>
            <w:top w:val="none" w:sz="0" w:space="0" w:color="auto"/>
            <w:left w:val="none" w:sz="0" w:space="0" w:color="auto"/>
            <w:bottom w:val="none" w:sz="0" w:space="0" w:color="auto"/>
            <w:right w:val="none" w:sz="0" w:space="0" w:color="auto"/>
          </w:divBdr>
          <w:divsChild>
            <w:div w:id="294145675">
              <w:marLeft w:val="0"/>
              <w:marRight w:val="0"/>
              <w:marTop w:val="0"/>
              <w:marBottom w:val="0"/>
              <w:divBdr>
                <w:top w:val="none" w:sz="0" w:space="0" w:color="auto"/>
                <w:left w:val="none" w:sz="0" w:space="0" w:color="auto"/>
                <w:bottom w:val="none" w:sz="0" w:space="0" w:color="auto"/>
                <w:right w:val="none" w:sz="0" w:space="0" w:color="auto"/>
              </w:divBdr>
              <w:divsChild>
                <w:div w:id="294138223">
                  <w:marLeft w:val="0"/>
                  <w:marRight w:val="0"/>
                  <w:marTop w:val="0"/>
                  <w:marBottom w:val="0"/>
                  <w:divBdr>
                    <w:top w:val="none" w:sz="0" w:space="0" w:color="auto"/>
                    <w:left w:val="none" w:sz="0" w:space="0" w:color="auto"/>
                    <w:bottom w:val="none" w:sz="0" w:space="0" w:color="auto"/>
                    <w:right w:val="none" w:sz="0" w:space="0" w:color="auto"/>
                  </w:divBdr>
                </w:div>
                <w:div w:id="294138350">
                  <w:marLeft w:val="0"/>
                  <w:marRight w:val="0"/>
                  <w:marTop w:val="0"/>
                  <w:marBottom w:val="0"/>
                  <w:divBdr>
                    <w:top w:val="none" w:sz="0" w:space="0" w:color="auto"/>
                    <w:left w:val="none" w:sz="0" w:space="0" w:color="auto"/>
                    <w:bottom w:val="none" w:sz="0" w:space="0" w:color="auto"/>
                    <w:right w:val="none" w:sz="0" w:space="0" w:color="auto"/>
                  </w:divBdr>
                </w:div>
                <w:div w:id="294138534">
                  <w:marLeft w:val="0"/>
                  <w:marRight w:val="0"/>
                  <w:marTop w:val="0"/>
                  <w:marBottom w:val="0"/>
                  <w:divBdr>
                    <w:top w:val="none" w:sz="0" w:space="0" w:color="auto"/>
                    <w:left w:val="none" w:sz="0" w:space="0" w:color="auto"/>
                    <w:bottom w:val="none" w:sz="0" w:space="0" w:color="auto"/>
                    <w:right w:val="none" w:sz="0" w:space="0" w:color="auto"/>
                  </w:divBdr>
                </w:div>
                <w:div w:id="294138624">
                  <w:marLeft w:val="0"/>
                  <w:marRight w:val="0"/>
                  <w:marTop w:val="0"/>
                  <w:marBottom w:val="0"/>
                  <w:divBdr>
                    <w:top w:val="none" w:sz="0" w:space="0" w:color="auto"/>
                    <w:left w:val="none" w:sz="0" w:space="0" w:color="auto"/>
                    <w:bottom w:val="none" w:sz="0" w:space="0" w:color="auto"/>
                    <w:right w:val="none" w:sz="0" w:space="0" w:color="auto"/>
                  </w:divBdr>
                </w:div>
                <w:div w:id="294138652">
                  <w:marLeft w:val="0"/>
                  <w:marRight w:val="0"/>
                  <w:marTop w:val="0"/>
                  <w:marBottom w:val="0"/>
                  <w:divBdr>
                    <w:top w:val="none" w:sz="0" w:space="0" w:color="auto"/>
                    <w:left w:val="none" w:sz="0" w:space="0" w:color="auto"/>
                    <w:bottom w:val="none" w:sz="0" w:space="0" w:color="auto"/>
                    <w:right w:val="none" w:sz="0" w:space="0" w:color="auto"/>
                  </w:divBdr>
                </w:div>
                <w:div w:id="294138800">
                  <w:marLeft w:val="0"/>
                  <w:marRight w:val="0"/>
                  <w:marTop w:val="0"/>
                  <w:marBottom w:val="0"/>
                  <w:divBdr>
                    <w:top w:val="none" w:sz="0" w:space="0" w:color="auto"/>
                    <w:left w:val="none" w:sz="0" w:space="0" w:color="auto"/>
                    <w:bottom w:val="none" w:sz="0" w:space="0" w:color="auto"/>
                    <w:right w:val="none" w:sz="0" w:space="0" w:color="auto"/>
                  </w:divBdr>
                </w:div>
                <w:div w:id="294138902">
                  <w:marLeft w:val="0"/>
                  <w:marRight w:val="0"/>
                  <w:marTop w:val="0"/>
                  <w:marBottom w:val="0"/>
                  <w:divBdr>
                    <w:top w:val="none" w:sz="0" w:space="0" w:color="auto"/>
                    <w:left w:val="none" w:sz="0" w:space="0" w:color="auto"/>
                    <w:bottom w:val="none" w:sz="0" w:space="0" w:color="auto"/>
                    <w:right w:val="none" w:sz="0" w:space="0" w:color="auto"/>
                  </w:divBdr>
                </w:div>
                <w:div w:id="294139039">
                  <w:marLeft w:val="0"/>
                  <w:marRight w:val="0"/>
                  <w:marTop w:val="0"/>
                  <w:marBottom w:val="0"/>
                  <w:divBdr>
                    <w:top w:val="none" w:sz="0" w:space="0" w:color="auto"/>
                    <w:left w:val="none" w:sz="0" w:space="0" w:color="auto"/>
                    <w:bottom w:val="none" w:sz="0" w:space="0" w:color="auto"/>
                    <w:right w:val="none" w:sz="0" w:space="0" w:color="auto"/>
                  </w:divBdr>
                </w:div>
                <w:div w:id="294139196">
                  <w:marLeft w:val="0"/>
                  <w:marRight w:val="0"/>
                  <w:marTop w:val="0"/>
                  <w:marBottom w:val="0"/>
                  <w:divBdr>
                    <w:top w:val="none" w:sz="0" w:space="0" w:color="auto"/>
                    <w:left w:val="none" w:sz="0" w:space="0" w:color="auto"/>
                    <w:bottom w:val="none" w:sz="0" w:space="0" w:color="auto"/>
                    <w:right w:val="none" w:sz="0" w:space="0" w:color="auto"/>
                  </w:divBdr>
                </w:div>
                <w:div w:id="294139290">
                  <w:marLeft w:val="0"/>
                  <w:marRight w:val="0"/>
                  <w:marTop w:val="0"/>
                  <w:marBottom w:val="0"/>
                  <w:divBdr>
                    <w:top w:val="none" w:sz="0" w:space="0" w:color="auto"/>
                    <w:left w:val="none" w:sz="0" w:space="0" w:color="auto"/>
                    <w:bottom w:val="none" w:sz="0" w:space="0" w:color="auto"/>
                    <w:right w:val="none" w:sz="0" w:space="0" w:color="auto"/>
                  </w:divBdr>
                </w:div>
                <w:div w:id="294139314">
                  <w:marLeft w:val="0"/>
                  <w:marRight w:val="0"/>
                  <w:marTop w:val="0"/>
                  <w:marBottom w:val="0"/>
                  <w:divBdr>
                    <w:top w:val="none" w:sz="0" w:space="0" w:color="auto"/>
                    <w:left w:val="none" w:sz="0" w:space="0" w:color="auto"/>
                    <w:bottom w:val="none" w:sz="0" w:space="0" w:color="auto"/>
                    <w:right w:val="none" w:sz="0" w:space="0" w:color="auto"/>
                  </w:divBdr>
                </w:div>
                <w:div w:id="294139479">
                  <w:marLeft w:val="0"/>
                  <w:marRight w:val="0"/>
                  <w:marTop w:val="0"/>
                  <w:marBottom w:val="0"/>
                  <w:divBdr>
                    <w:top w:val="none" w:sz="0" w:space="0" w:color="auto"/>
                    <w:left w:val="none" w:sz="0" w:space="0" w:color="auto"/>
                    <w:bottom w:val="none" w:sz="0" w:space="0" w:color="auto"/>
                    <w:right w:val="none" w:sz="0" w:space="0" w:color="auto"/>
                  </w:divBdr>
                </w:div>
                <w:div w:id="294139600">
                  <w:marLeft w:val="0"/>
                  <w:marRight w:val="0"/>
                  <w:marTop w:val="0"/>
                  <w:marBottom w:val="0"/>
                  <w:divBdr>
                    <w:top w:val="none" w:sz="0" w:space="0" w:color="auto"/>
                    <w:left w:val="none" w:sz="0" w:space="0" w:color="auto"/>
                    <w:bottom w:val="none" w:sz="0" w:space="0" w:color="auto"/>
                    <w:right w:val="none" w:sz="0" w:space="0" w:color="auto"/>
                  </w:divBdr>
                </w:div>
                <w:div w:id="294139665">
                  <w:marLeft w:val="0"/>
                  <w:marRight w:val="0"/>
                  <w:marTop w:val="0"/>
                  <w:marBottom w:val="0"/>
                  <w:divBdr>
                    <w:top w:val="none" w:sz="0" w:space="0" w:color="auto"/>
                    <w:left w:val="none" w:sz="0" w:space="0" w:color="auto"/>
                    <w:bottom w:val="none" w:sz="0" w:space="0" w:color="auto"/>
                    <w:right w:val="none" w:sz="0" w:space="0" w:color="auto"/>
                  </w:divBdr>
                </w:div>
                <w:div w:id="294139930">
                  <w:marLeft w:val="0"/>
                  <w:marRight w:val="0"/>
                  <w:marTop w:val="0"/>
                  <w:marBottom w:val="0"/>
                  <w:divBdr>
                    <w:top w:val="none" w:sz="0" w:space="0" w:color="auto"/>
                    <w:left w:val="none" w:sz="0" w:space="0" w:color="auto"/>
                    <w:bottom w:val="none" w:sz="0" w:space="0" w:color="auto"/>
                    <w:right w:val="none" w:sz="0" w:space="0" w:color="auto"/>
                  </w:divBdr>
                </w:div>
                <w:div w:id="294139966">
                  <w:marLeft w:val="0"/>
                  <w:marRight w:val="0"/>
                  <w:marTop w:val="0"/>
                  <w:marBottom w:val="0"/>
                  <w:divBdr>
                    <w:top w:val="none" w:sz="0" w:space="0" w:color="auto"/>
                    <w:left w:val="none" w:sz="0" w:space="0" w:color="auto"/>
                    <w:bottom w:val="none" w:sz="0" w:space="0" w:color="auto"/>
                    <w:right w:val="none" w:sz="0" w:space="0" w:color="auto"/>
                  </w:divBdr>
                </w:div>
                <w:div w:id="294140005">
                  <w:marLeft w:val="0"/>
                  <w:marRight w:val="0"/>
                  <w:marTop w:val="0"/>
                  <w:marBottom w:val="0"/>
                  <w:divBdr>
                    <w:top w:val="none" w:sz="0" w:space="0" w:color="auto"/>
                    <w:left w:val="none" w:sz="0" w:space="0" w:color="auto"/>
                    <w:bottom w:val="none" w:sz="0" w:space="0" w:color="auto"/>
                    <w:right w:val="none" w:sz="0" w:space="0" w:color="auto"/>
                  </w:divBdr>
                </w:div>
                <w:div w:id="294140022">
                  <w:marLeft w:val="0"/>
                  <w:marRight w:val="0"/>
                  <w:marTop w:val="0"/>
                  <w:marBottom w:val="0"/>
                  <w:divBdr>
                    <w:top w:val="none" w:sz="0" w:space="0" w:color="auto"/>
                    <w:left w:val="none" w:sz="0" w:space="0" w:color="auto"/>
                    <w:bottom w:val="none" w:sz="0" w:space="0" w:color="auto"/>
                    <w:right w:val="none" w:sz="0" w:space="0" w:color="auto"/>
                  </w:divBdr>
                </w:div>
                <w:div w:id="294140211">
                  <w:marLeft w:val="0"/>
                  <w:marRight w:val="0"/>
                  <w:marTop w:val="0"/>
                  <w:marBottom w:val="0"/>
                  <w:divBdr>
                    <w:top w:val="none" w:sz="0" w:space="0" w:color="auto"/>
                    <w:left w:val="none" w:sz="0" w:space="0" w:color="auto"/>
                    <w:bottom w:val="none" w:sz="0" w:space="0" w:color="auto"/>
                    <w:right w:val="none" w:sz="0" w:space="0" w:color="auto"/>
                  </w:divBdr>
                </w:div>
                <w:div w:id="294140324">
                  <w:marLeft w:val="0"/>
                  <w:marRight w:val="0"/>
                  <w:marTop w:val="0"/>
                  <w:marBottom w:val="0"/>
                  <w:divBdr>
                    <w:top w:val="none" w:sz="0" w:space="0" w:color="auto"/>
                    <w:left w:val="none" w:sz="0" w:space="0" w:color="auto"/>
                    <w:bottom w:val="none" w:sz="0" w:space="0" w:color="auto"/>
                    <w:right w:val="none" w:sz="0" w:space="0" w:color="auto"/>
                  </w:divBdr>
                </w:div>
                <w:div w:id="294140394">
                  <w:marLeft w:val="0"/>
                  <w:marRight w:val="0"/>
                  <w:marTop w:val="0"/>
                  <w:marBottom w:val="0"/>
                  <w:divBdr>
                    <w:top w:val="none" w:sz="0" w:space="0" w:color="auto"/>
                    <w:left w:val="none" w:sz="0" w:space="0" w:color="auto"/>
                    <w:bottom w:val="none" w:sz="0" w:space="0" w:color="auto"/>
                    <w:right w:val="none" w:sz="0" w:space="0" w:color="auto"/>
                  </w:divBdr>
                </w:div>
                <w:div w:id="294140780">
                  <w:marLeft w:val="0"/>
                  <w:marRight w:val="0"/>
                  <w:marTop w:val="0"/>
                  <w:marBottom w:val="0"/>
                  <w:divBdr>
                    <w:top w:val="none" w:sz="0" w:space="0" w:color="auto"/>
                    <w:left w:val="none" w:sz="0" w:space="0" w:color="auto"/>
                    <w:bottom w:val="none" w:sz="0" w:space="0" w:color="auto"/>
                    <w:right w:val="none" w:sz="0" w:space="0" w:color="auto"/>
                  </w:divBdr>
                </w:div>
                <w:div w:id="294140898">
                  <w:marLeft w:val="0"/>
                  <w:marRight w:val="0"/>
                  <w:marTop w:val="0"/>
                  <w:marBottom w:val="0"/>
                  <w:divBdr>
                    <w:top w:val="none" w:sz="0" w:space="0" w:color="auto"/>
                    <w:left w:val="none" w:sz="0" w:space="0" w:color="auto"/>
                    <w:bottom w:val="none" w:sz="0" w:space="0" w:color="auto"/>
                    <w:right w:val="none" w:sz="0" w:space="0" w:color="auto"/>
                  </w:divBdr>
                </w:div>
                <w:div w:id="294141282">
                  <w:marLeft w:val="0"/>
                  <w:marRight w:val="0"/>
                  <w:marTop w:val="0"/>
                  <w:marBottom w:val="0"/>
                  <w:divBdr>
                    <w:top w:val="none" w:sz="0" w:space="0" w:color="auto"/>
                    <w:left w:val="none" w:sz="0" w:space="0" w:color="auto"/>
                    <w:bottom w:val="none" w:sz="0" w:space="0" w:color="auto"/>
                    <w:right w:val="none" w:sz="0" w:space="0" w:color="auto"/>
                  </w:divBdr>
                </w:div>
                <w:div w:id="294141357">
                  <w:marLeft w:val="0"/>
                  <w:marRight w:val="0"/>
                  <w:marTop w:val="0"/>
                  <w:marBottom w:val="0"/>
                  <w:divBdr>
                    <w:top w:val="none" w:sz="0" w:space="0" w:color="auto"/>
                    <w:left w:val="none" w:sz="0" w:space="0" w:color="auto"/>
                    <w:bottom w:val="none" w:sz="0" w:space="0" w:color="auto"/>
                    <w:right w:val="none" w:sz="0" w:space="0" w:color="auto"/>
                  </w:divBdr>
                </w:div>
                <w:div w:id="294141388">
                  <w:marLeft w:val="0"/>
                  <w:marRight w:val="0"/>
                  <w:marTop w:val="0"/>
                  <w:marBottom w:val="0"/>
                  <w:divBdr>
                    <w:top w:val="none" w:sz="0" w:space="0" w:color="auto"/>
                    <w:left w:val="none" w:sz="0" w:space="0" w:color="auto"/>
                    <w:bottom w:val="none" w:sz="0" w:space="0" w:color="auto"/>
                    <w:right w:val="none" w:sz="0" w:space="0" w:color="auto"/>
                  </w:divBdr>
                </w:div>
                <w:div w:id="294141407">
                  <w:marLeft w:val="0"/>
                  <w:marRight w:val="0"/>
                  <w:marTop w:val="0"/>
                  <w:marBottom w:val="0"/>
                  <w:divBdr>
                    <w:top w:val="none" w:sz="0" w:space="0" w:color="auto"/>
                    <w:left w:val="none" w:sz="0" w:space="0" w:color="auto"/>
                    <w:bottom w:val="none" w:sz="0" w:space="0" w:color="auto"/>
                    <w:right w:val="none" w:sz="0" w:space="0" w:color="auto"/>
                  </w:divBdr>
                </w:div>
                <w:div w:id="294141525">
                  <w:marLeft w:val="0"/>
                  <w:marRight w:val="0"/>
                  <w:marTop w:val="0"/>
                  <w:marBottom w:val="0"/>
                  <w:divBdr>
                    <w:top w:val="none" w:sz="0" w:space="0" w:color="auto"/>
                    <w:left w:val="none" w:sz="0" w:space="0" w:color="auto"/>
                    <w:bottom w:val="none" w:sz="0" w:space="0" w:color="auto"/>
                    <w:right w:val="none" w:sz="0" w:space="0" w:color="auto"/>
                  </w:divBdr>
                </w:div>
                <w:div w:id="294141527">
                  <w:marLeft w:val="0"/>
                  <w:marRight w:val="0"/>
                  <w:marTop w:val="0"/>
                  <w:marBottom w:val="0"/>
                  <w:divBdr>
                    <w:top w:val="none" w:sz="0" w:space="0" w:color="auto"/>
                    <w:left w:val="none" w:sz="0" w:space="0" w:color="auto"/>
                    <w:bottom w:val="none" w:sz="0" w:space="0" w:color="auto"/>
                    <w:right w:val="none" w:sz="0" w:space="0" w:color="auto"/>
                  </w:divBdr>
                </w:div>
                <w:div w:id="294141672">
                  <w:marLeft w:val="0"/>
                  <w:marRight w:val="0"/>
                  <w:marTop w:val="0"/>
                  <w:marBottom w:val="0"/>
                  <w:divBdr>
                    <w:top w:val="none" w:sz="0" w:space="0" w:color="auto"/>
                    <w:left w:val="none" w:sz="0" w:space="0" w:color="auto"/>
                    <w:bottom w:val="none" w:sz="0" w:space="0" w:color="auto"/>
                    <w:right w:val="none" w:sz="0" w:space="0" w:color="auto"/>
                  </w:divBdr>
                </w:div>
                <w:div w:id="294141805">
                  <w:marLeft w:val="0"/>
                  <w:marRight w:val="0"/>
                  <w:marTop w:val="0"/>
                  <w:marBottom w:val="0"/>
                  <w:divBdr>
                    <w:top w:val="none" w:sz="0" w:space="0" w:color="auto"/>
                    <w:left w:val="none" w:sz="0" w:space="0" w:color="auto"/>
                    <w:bottom w:val="none" w:sz="0" w:space="0" w:color="auto"/>
                    <w:right w:val="none" w:sz="0" w:space="0" w:color="auto"/>
                  </w:divBdr>
                </w:div>
                <w:div w:id="294142042">
                  <w:marLeft w:val="0"/>
                  <w:marRight w:val="0"/>
                  <w:marTop w:val="0"/>
                  <w:marBottom w:val="0"/>
                  <w:divBdr>
                    <w:top w:val="none" w:sz="0" w:space="0" w:color="auto"/>
                    <w:left w:val="none" w:sz="0" w:space="0" w:color="auto"/>
                    <w:bottom w:val="none" w:sz="0" w:space="0" w:color="auto"/>
                    <w:right w:val="none" w:sz="0" w:space="0" w:color="auto"/>
                  </w:divBdr>
                </w:div>
                <w:div w:id="294142122">
                  <w:marLeft w:val="0"/>
                  <w:marRight w:val="0"/>
                  <w:marTop w:val="0"/>
                  <w:marBottom w:val="0"/>
                  <w:divBdr>
                    <w:top w:val="none" w:sz="0" w:space="0" w:color="auto"/>
                    <w:left w:val="none" w:sz="0" w:space="0" w:color="auto"/>
                    <w:bottom w:val="none" w:sz="0" w:space="0" w:color="auto"/>
                    <w:right w:val="none" w:sz="0" w:space="0" w:color="auto"/>
                  </w:divBdr>
                </w:div>
                <w:div w:id="294142335">
                  <w:marLeft w:val="0"/>
                  <w:marRight w:val="0"/>
                  <w:marTop w:val="0"/>
                  <w:marBottom w:val="0"/>
                  <w:divBdr>
                    <w:top w:val="none" w:sz="0" w:space="0" w:color="auto"/>
                    <w:left w:val="none" w:sz="0" w:space="0" w:color="auto"/>
                    <w:bottom w:val="none" w:sz="0" w:space="0" w:color="auto"/>
                    <w:right w:val="none" w:sz="0" w:space="0" w:color="auto"/>
                  </w:divBdr>
                </w:div>
                <w:div w:id="294142941">
                  <w:marLeft w:val="0"/>
                  <w:marRight w:val="0"/>
                  <w:marTop w:val="0"/>
                  <w:marBottom w:val="0"/>
                  <w:divBdr>
                    <w:top w:val="none" w:sz="0" w:space="0" w:color="auto"/>
                    <w:left w:val="none" w:sz="0" w:space="0" w:color="auto"/>
                    <w:bottom w:val="none" w:sz="0" w:space="0" w:color="auto"/>
                    <w:right w:val="none" w:sz="0" w:space="0" w:color="auto"/>
                  </w:divBdr>
                </w:div>
                <w:div w:id="294143315">
                  <w:marLeft w:val="0"/>
                  <w:marRight w:val="0"/>
                  <w:marTop w:val="0"/>
                  <w:marBottom w:val="0"/>
                  <w:divBdr>
                    <w:top w:val="none" w:sz="0" w:space="0" w:color="auto"/>
                    <w:left w:val="none" w:sz="0" w:space="0" w:color="auto"/>
                    <w:bottom w:val="none" w:sz="0" w:space="0" w:color="auto"/>
                    <w:right w:val="none" w:sz="0" w:space="0" w:color="auto"/>
                  </w:divBdr>
                </w:div>
                <w:div w:id="294143522">
                  <w:marLeft w:val="0"/>
                  <w:marRight w:val="0"/>
                  <w:marTop w:val="0"/>
                  <w:marBottom w:val="0"/>
                  <w:divBdr>
                    <w:top w:val="none" w:sz="0" w:space="0" w:color="auto"/>
                    <w:left w:val="none" w:sz="0" w:space="0" w:color="auto"/>
                    <w:bottom w:val="none" w:sz="0" w:space="0" w:color="auto"/>
                    <w:right w:val="none" w:sz="0" w:space="0" w:color="auto"/>
                  </w:divBdr>
                </w:div>
                <w:div w:id="294143764">
                  <w:marLeft w:val="0"/>
                  <w:marRight w:val="0"/>
                  <w:marTop w:val="0"/>
                  <w:marBottom w:val="0"/>
                  <w:divBdr>
                    <w:top w:val="none" w:sz="0" w:space="0" w:color="auto"/>
                    <w:left w:val="none" w:sz="0" w:space="0" w:color="auto"/>
                    <w:bottom w:val="none" w:sz="0" w:space="0" w:color="auto"/>
                    <w:right w:val="none" w:sz="0" w:space="0" w:color="auto"/>
                  </w:divBdr>
                </w:div>
                <w:div w:id="294143792">
                  <w:marLeft w:val="0"/>
                  <w:marRight w:val="0"/>
                  <w:marTop w:val="0"/>
                  <w:marBottom w:val="0"/>
                  <w:divBdr>
                    <w:top w:val="none" w:sz="0" w:space="0" w:color="auto"/>
                    <w:left w:val="none" w:sz="0" w:space="0" w:color="auto"/>
                    <w:bottom w:val="none" w:sz="0" w:space="0" w:color="auto"/>
                    <w:right w:val="none" w:sz="0" w:space="0" w:color="auto"/>
                  </w:divBdr>
                </w:div>
                <w:div w:id="294144242">
                  <w:marLeft w:val="0"/>
                  <w:marRight w:val="0"/>
                  <w:marTop w:val="0"/>
                  <w:marBottom w:val="0"/>
                  <w:divBdr>
                    <w:top w:val="none" w:sz="0" w:space="0" w:color="auto"/>
                    <w:left w:val="none" w:sz="0" w:space="0" w:color="auto"/>
                    <w:bottom w:val="none" w:sz="0" w:space="0" w:color="auto"/>
                    <w:right w:val="none" w:sz="0" w:space="0" w:color="auto"/>
                  </w:divBdr>
                </w:div>
                <w:div w:id="294144335">
                  <w:marLeft w:val="0"/>
                  <w:marRight w:val="0"/>
                  <w:marTop w:val="0"/>
                  <w:marBottom w:val="0"/>
                  <w:divBdr>
                    <w:top w:val="none" w:sz="0" w:space="0" w:color="auto"/>
                    <w:left w:val="none" w:sz="0" w:space="0" w:color="auto"/>
                    <w:bottom w:val="none" w:sz="0" w:space="0" w:color="auto"/>
                    <w:right w:val="none" w:sz="0" w:space="0" w:color="auto"/>
                  </w:divBdr>
                </w:div>
                <w:div w:id="294144416">
                  <w:marLeft w:val="0"/>
                  <w:marRight w:val="0"/>
                  <w:marTop w:val="0"/>
                  <w:marBottom w:val="0"/>
                  <w:divBdr>
                    <w:top w:val="none" w:sz="0" w:space="0" w:color="auto"/>
                    <w:left w:val="none" w:sz="0" w:space="0" w:color="auto"/>
                    <w:bottom w:val="none" w:sz="0" w:space="0" w:color="auto"/>
                    <w:right w:val="none" w:sz="0" w:space="0" w:color="auto"/>
                  </w:divBdr>
                </w:div>
                <w:div w:id="294144841">
                  <w:marLeft w:val="0"/>
                  <w:marRight w:val="0"/>
                  <w:marTop w:val="0"/>
                  <w:marBottom w:val="0"/>
                  <w:divBdr>
                    <w:top w:val="none" w:sz="0" w:space="0" w:color="auto"/>
                    <w:left w:val="none" w:sz="0" w:space="0" w:color="auto"/>
                    <w:bottom w:val="none" w:sz="0" w:space="0" w:color="auto"/>
                    <w:right w:val="none" w:sz="0" w:space="0" w:color="auto"/>
                  </w:divBdr>
                </w:div>
                <w:div w:id="294145018">
                  <w:marLeft w:val="0"/>
                  <w:marRight w:val="0"/>
                  <w:marTop w:val="0"/>
                  <w:marBottom w:val="0"/>
                  <w:divBdr>
                    <w:top w:val="none" w:sz="0" w:space="0" w:color="auto"/>
                    <w:left w:val="none" w:sz="0" w:space="0" w:color="auto"/>
                    <w:bottom w:val="none" w:sz="0" w:space="0" w:color="auto"/>
                    <w:right w:val="none" w:sz="0" w:space="0" w:color="auto"/>
                  </w:divBdr>
                </w:div>
                <w:div w:id="294145164">
                  <w:marLeft w:val="0"/>
                  <w:marRight w:val="0"/>
                  <w:marTop w:val="0"/>
                  <w:marBottom w:val="0"/>
                  <w:divBdr>
                    <w:top w:val="none" w:sz="0" w:space="0" w:color="auto"/>
                    <w:left w:val="none" w:sz="0" w:space="0" w:color="auto"/>
                    <w:bottom w:val="none" w:sz="0" w:space="0" w:color="auto"/>
                    <w:right w:val="none" w:sz="0" w:space="0" w:color="auto"/>
                  </w:divBdr>
                </w:div>
                <w:div w:id="294145246">
                  <w:marLeft w:val="0"/>
                  <w:marRight w:val="0"/>
                  <w:marTop w:val="0"/>
                  <w:marBottom w:val="0"/>
                  <w:divBdr>
                    <w:top w:val="none" w:sz="0" w:space="0" w:color="auto"/>
                    <w:left w:val="none" w:sz="0" w:space="0" w:color="auto"/>
                    <w:bottom w:val="none" w:sz="0" w:space="0" w:color="auto"/>
                    <w:right w:val="none" w:sz="0" w:space="0" w:color="auto"/>
                  </w:divBdr>
                </w:div>
                <w:div w:id="294145250">
                  <w:marLeft w:val="0"/>
                  <w:marRight w:val="0"/>
                  <w:marTop w:val="0"/>
                  <w:marBottom w:val="0"/>
                  <w:divBdr>
                    <w:top w:val="none" w:sz="0" w:space="0" w:color="auto"/>
                    <w:left w:val="none" w:sz="0" w:space="0" w:color="auto"/>
                    <w:bottom w:val="none" w:sz="0" w:space="0" w:color="auto"/>
                    <w:right w:val="none" w:sz="0" w:space="0" w:color="auto"/>
                  </w:divBdr>
                </w:div>
                <w:div w:id="294145507">
                  <w:marLeft w:val="0"/>
                  <w:marRight w:val="0"/>
                  <w:marTop w:val="0"/>
                  <w:marBottom w:val="0"/>
                  <w:divBdr>
                    <w:top w:val="none" w:sz="0" w:space="0" w:color="auto"/>
                    <w:left w:val="none" w:sz="0" w:space="0" w:color="auto"/>
                    <w:bottom w:val="none" w:sz="0" w:space="0" w:color="auto"/>
                    <w:right w:val="none" w:sz="0" w:space="0" w:color="auto"/>
                  </w:divBdr>
                </w:div>
                <w:div w:id="294146218">
                  <w:marLeft w:val="0"/>
                  <w:marRight w:val="0"/>
                  <w:marTop w:val="0"/>
                  <w:marBottom w:val="0"/>
                  <w:divBdr>
                    <w:top w:val="none" w:sz="0" w:space="0" w:color="auto"/>
                    <w:left w:val="none" w:sz="0" w:space="0" w:color="auto"/>
                    <w:bottom w:val="none" w:sz="0" w:space="0" w:color="auto"/>
                    <w:right w:val="none" w:sz="0" w:space="0" w:color="auto"/>
                  </w:divBdr>
                </w:div>
                <w:div w:id="294146434">
                  <w:marLeft w:val="0"/>
                  <w:marRight w:val="0"/>
                  <w:marTop w:val="0"/>
                  <w:marBottom w:val="0"/>
                  <w:divBdr>
                    <w:top w:val="none" w:sz="0" w:space="0" w:color="auto"/>
                    <w:left w:val="none" w:sz="0" w:space="0" w:color="auto"/>
                    <w:bottom w:val="none" w:sz="0" w:space="0" w:color="auto"/>
                    <w:right w:val="none" w:sz="0" w:space="0" w:color="auto"/>
                  </w:divBdr>
                </w:div>
                <w:div w:id="294146586">
                  <w:marLeft w:val="0"/>
                  <w:marRight w:val="0"/>
                  <w:marTop w:val="0"/>
                  <w:marBottom w:val="0"/>
                  <w:divBdr>
                    <w:top w:val="none" w:sz="0" w:space="0" w:color="auto"/>
                    <w:left w:val="none" w:sz="0" w:space="0" w:color="auto"/>
                    <w:bottom w:val="none" w:sz="0" w:space="0" w:color="auto"/>
                    <w:right w:val="none" w:sz="0" w:space="0" w:color="auto"/>
                  </w:divBdr>
                </w:div>
                <w:div w:id="294146851">
                  <w:marLeft w:val="0"/>
                  <w:marRight w:val="0"/>
                  <w:marTop w:val="0"/>
                  <w:marBottom w:val="0"/>
                  <w:divBdr>
                    <w:top w:val="none" w:sz="0" w:space="0" w:color="auto"/>
                    <w:left w:val="none" w:sz="0" w:space="0" w:color="auto"/>
                    <w:bottom w:val="none" w:sz="0" w:space="0" w:color="auto"/>
                    <w:right w:val="none" w:sz="0" w:space="0" w:color="auto"/>
                  </w:divBdr>
                </w:div>
                <w:div w:id="294147017">
                  <w:marLeft w:val="0"/>
                  <w:marRight w:val="0"/>
                  <w:marTop w:val="0"/>
                  <w:marBottom w:val="0"/>
                  <w:divBdr>
                    <w:top w:val="none" w:sz="0" w:space="0" w:color="auto"/>
                    <w:left w:val="none" w:sz="0" w:space="0" w:color="auto"/>
                    <w:bottom w:val="none" w:sz="0" w:space="0" w:color="auto"/>
                    <w:right w:val="none" w:sz="0" w:space="0" w:color="auto"/>
                  </w:divBdr>
                </w:div>
                <w:div w:id="294147448">
                  <w:marLeft w:val="0"/>
                  <w:marRight w:val="0"/>
                  <w:marTop w:val="0"/>
                  <w:marBottom w:val="0"/>
                  <w:divBdr>
                    <w:top w:val="none" w:sz="0" w:space="0" w:color="auto"/>
                    <w:left w:val="none" w:sz="0" w:space="0" w:color="auto"/>
                    <w:bottom w:val="none" w:sz="0" w:space="0" w:color="auto"/>
                    <w:right w:val="none" w:sz="0" w:space="0" w:color="auto"/>
                  </w:divBdr>
                </w:div>
                <w:div w:id="294147484">
                  <w:marLeft w:val="0"/>
                  <w:marRight w:val="0"/>
                  <w:marTop w:val="0"/>
                  <w:marBottom w:val="0"/>
                  <w:divBdr>
                    <w:top w:val="none" w:sz="0" w:space="0" w:color="auto"/>
                    <w:left w:val="none" w:sz="0" w:space="0" w:color="auto"/>
                    <w:bottom w:val="none" w:sz="0" w:space="0" w:color="auto"/>
                    <w:right w:val="none" w:sz="0" w:space="0" w:color="auto"/>
                  </w:divBdr>
                </w:div>
                <w:div w:id="294147538">
                  <w:marLeft w:val="0"/>
                  <w:marRight w:val="0"/>
                  <w:marTop w:val="0"/>
                  <w:marBottom w:val="0"/>
                  <w:divBdr>
                    <w:top w:val="none" w:sz="0" w:space="0" w:color="auto"/>
                    <w:left w:val="none" w:sz="0" w:space="0" w:color="auto"/>
                    <w:bottom w:val="none" w:sz="0" w:space="0" w:color="auto"/>
                    <w:right w:val="none" w:sz="0" w:space="0" w:color="auto"/>
                  </w:divBdr>
                </w:div>
                <w:div w:id="294147549">
                  <w:marLeft w:val="0"/>
                  <w:marRight w:val="0"/>
                  <w:marTop w:val="0"/>
                  <w:marBottom w:val="0"/>
                  <w:divBdr>
                    <w:top w:val="none" w:sz="0" w:space="0" w:color="auto"/>
                    <w:left w:val="none" w:sz="0" w:space="0" w:color="auto"/>
                    <w:bottom w:val="none" w:sz="0" w:space="0" w:color="auto"/>
                    <w:right w:val="none" w:sz="0" w:space="0" w:color="auto"/>
                  </w:divBdr>
                </w:div>
                <w:div w:id="294147636">
                  <w:marLeft w:val="0"/>
                  <w:marRight w:val="0"/>
                  <w:marTop w:val="0"/>
                  <w:marBottom w:val="0"/>
                  <w:divBdr>
                    <w:top w:val="none" w:sz="0" w:space="0" w:color="auto"/>
                    <w:left w:val="none" w:sz="0" w:space="0" w:color="auto"/>
                    <w:bottom w:val="none" w:sz="0" w:space="0" w:color="auto"/>
                    <w:right w:val="none" w:sz="0" w:space="0" w:color="auto"/>
                  </w:divBdr>
                </w:div>
                <w:div w:id="294148152">
                  <w:marLeft w:val="0"/>
                  <w:marRight w:val="0"/>
                  <w:marTop w:val="0"/>
                  <w:marBottom w:val="0"/>
                  <w:divBdr>
                    <w:top w:val="none" w:sz="0" w:space="0" w:color="auto"/>
                    <w:left w:val="none" w:sz="0" w:space="0" w:color="auto"/>
                    <w:bottom w:val="none" w:sz="0" w:space="0" w:color="auto"/>
                    <w:right w:val="none" w:sz="0" w:space="0" w:color="auto"/>
                  </w:divBdr>
                </w:div>
                <w:div w:id="294148249">
                  <w:marLeft w:val="0"/>
                  <w:marRight w:val="0"/>
                  <w:marTop w:val="0"/>
                  <w:marBottom w:val="0"/>
                  <w:divBdr>
                    <w:top w:val="none" w:sz="0" w:space="0" w:color="auto"/>
                    <w:left w:val="none" w:sz="0" w:space="0" w:color="auto"/>
                    <w:bottom w:val="none" w:sz="0" w:space="0" w:color="auto"/>
                    <w:right w:val="none" w:sz="0" w:space="0" w:color="auto"/>
                  </w:divBdr>
                </w:div>
                <w:div w:id="294148550">
                  <w:marLeft w:val="0"/>
                  <w:marRight w:val="0"/>
                  <w:marTop w:val="0"/>
                  <w:marBottom w:val="0"/>
                  <w:divBdr>
                    <w:top w:val="none" w:sz="0" w:space="0" w:color="auto"/>
                    <w:left w:val="none" w:sz="0" w:space="0" w:color="auto"/>
                    <w:bottom w:val="none" w:sz="0" w:space="0" w:color="auto"/>
                    <w:right w:val="none" w:sz="0" w:space="0" w:color="auto"/>
                  </w:divBdr>
                </w:div>
                <w:div w:id="294148627">
                  <w:marLeft w:val="0"/>
                  <w:marRight w:val="0"/>
                  <w:marTop w:val="0"/>
                  <w:marBottom w:val="0"/>
                  <w:divBdr>
                    <w:top w:val="none" w:sz="0" w:space="0" w:color="auto"/>
                    <w:left w:val="none" w:sz="0" w:space="0" w:color="auto"/>
                    <w:bottom w:val="none" w:sz="0" w:space="0" w:color="auto"/>
                    <w:right w:val="none" w:sz="0" w:space="0" w:color="auto"/>
                  </w:divBdr>
                </w:div>
                <w:div w:id="294148669">
                  <w:marLeft w:val="0"/>
                  <w:marRight w:val="0"/>
                  <w:marTop w:val="0"/>
                  <w:marBottom w:val="0"/>
                  <w:divBdr>
                    <w:top w:val="none" w:sz="0" w:space="0" w:color="auto"/>
                    <w:left w:val="none" w:sz="0" w:space="0" w:color="auto"/>
                    <w:bottom w:val="none" w:sz="0" w:space="0" w:color="auto"/>
                    <w:right w:val="none" w:sz="0" w:space="0" w:color="auto"/>
                  </w:divBdr>
                </w:div>
                <w:div w:id="294148692">
                  <w:marLeft w:val="0"/>
                  <w:marRight w:val="0"/>
                  <w:marTop w:val="0"/>
                  <w:marBottom w:val="0"/>
                  <w:divBdr>
                    <w:top w:val="none" w:sz="0" w:space="0" w:color="auto"/>
                    <w:left w:val="none" w:sz="0" w:space="0" w:color="auto"/>
                    <w:bottom w:val="none" w:sz="0" w:space="0" w:color="auto"/>
                    <w:right w:val="none" w:sz="0" w:space="0" w:color="auto"/>
                  </w:divBdr>
                </w:div>
                <w:div w:id="294148814">
                  <w:marLeft w:val="0"/>
                  <w:marRight w:val="0"/>
                  <w:marTop w:val="0"/>
                  <w:marBottom w:val="0"/>
                  <w:divBdr>
                    <w:top w:val="none" w:sz="0" w:space="0" w:color="auto"/>
                    <w:left w:val="none" w:sz="0" w:space="0" w:color="auto"/>
                    <w:bottom w:val="none" w:sz="0" w:space="0" w:color="auto"/>
                    <w:right w:val="none" w:sz="0" w:space="0" w:color="auto"/>
                  </w:divBdr>
                </w:div>
                <w:div w:id="294148842">
                  <w:marLeft w:val="0"/>
                  <w:marRight w:val="0"/>
                  <w:marTop w:val="0"/>
                  <w:marBottom w:val="0"/>
                  <w:divBdr>
                    <w:top w:val="none" w:sz="0" w:space="0" w:color="auto"/>
                    <w:left w:val="none" w:sz="0" w:space="0" w:color="auto"/>
                    <w:bottom w:val="none" w:sz="0" w:space="0" w:color="auto"/>
                    <w:right w:val="none" w:sz="0" w:space="0" w:color="auto"/>
                  </w:divBdr>
                </w:div>
                <w:div w:id="294148866">
                  <w:marLeft w:val="0"/>
                  <w:marRight w:val="0"/>
                  <w:marTop w:val="0"/>
                  <w:marBottom w:val="0"/>
                  <w:divBdr>
                    <w:top w:val="none" w:sz="0" w:space="0" w:color="auto"/>
                    <w:left w:val="none" w:sz="0" w:space="0" w:color="auto"/>
                    <w:bottom w:val="none" w:sz="0" w:space="0" w:color="auto"/>
                    <w:right w:val="none" w:sz="0" w:space="0" w:color="auto"/>
                  </w:divBdr>
                </w:div>
                <w:div w:id="294148917">
                  <w:marLeft w:val="0"/>
                  <w:marRight w:val="0"/>
                  <w:marTop w:val="0"/>
                  <w:marBottom w:val="0"/>
                  <w:divBdr>
                    <w:top w:val="none" w:sz="0" w:space="0" w:color="auto"/>
                    <w:left w:val="none" w:sz="0" w:space="0" w:color="auto"/>
                    <w:bottom w:val="none" w:sz="0" w:space="0" w:color="auto"/>
                    <w:right w:val="none" w:sz="0" w:space="0" w:color="auto"/>
                  </w:divBdr>
                </w:div>
                <w:div w:id="294148918">
                  <w:marLeft w:val="0"/>
                  <w:marRight w:val="0"/>
                  <w:marTop w:val="0"/>
                  <w:marBottom w:val="0"/>
                  <w:divBdr>
                    <w:top w:val="none" w:sz="0" w:space="0" w:color="auto"/>
                    <w:left w:val="none" w:sz="0" w:space="0" w:color="auto"/>
                    <w:bottom w:val="none" w:sz="0" w:space="0" w:color="auto"/>
                    <w:right w:val="none" w:sz="0" w:space="0" w:color="auto"/>
                  </w:divBdr>
                </w:div>
                <w:div w:id="294148938">
                  <w:marLeft w:val="0"/>
                  <w:marRight w:val="0"/>
                  <w:marTop w:val="0"/>
                  <w:marBottom w:val="0"/>
                  <w:divBdr>
                    <w:top w:val="none" w:sz="0" w:space="0" w:color="auto"/>
                    <w:left w:val="none" w:sz="0" w:space="0" w:color="auto"/>
                    <w:bottom w:val="none" w:sz="0" w:space="0" w:color="auto"/>
                    <w:right w:val="none" w:sz="0" w:space="0" w:color="auto"/>
                  </w:divBdr>
                </w:div>
                <w:div w:id="294148955">
                  <w:marLeft w:val="0"/>
                  <w:marRight w:val="0"/>
                  <w:marTop w:val="0"/>
                  <w:marBottom w:val="0"/>
                  <w:divBdr>
                    <w:top w:val="none" w:sz="0" w:space="0" w:color="auto"/>
                    <w:left w:val="none" w:sz="0" w:space="0" w:color="auto"/>
                    <w:bottom w:val="none" w:sz="0" w:space="0" w:color="auto"/>
                    <w:right w:val="none" w:sz="0" w:space="0" w:color="auto"/>
                  </w:divBdr>
                </w:div>
                <w:div w:id="294149451">
                  <w:marLeft w:val="0"/>
                  <w:marRight w:val="0"/>
                  <w:marTop w:val="0"/>
                  <w:marBottom w:val="0"/>
                  <w:divBdr>
                    <w:top w:val="none" w:sz="0" w:space="0" w:color="auto"/>
                    <w:left w:val="none" w:sz="0" w:space="0" w:color="auto"/>
                    <w:bottom w:val="none" w:sz="0" w:space="0" w:color="auto"/>
                    <w:right w:val="none" w:sz="0" w:space="0" w:color="auto"/>
                  </w:divBdr>
                </w:div>
                <w:div w:id="294149503">
                  <w:marLeft w:val="0"/>
                  <w:marRight w:val="0"/>
                  <w:marTop w:val="0"/>
                  <w:marBottom w:val="0"/>
                  <w:divBdr>
                    <w:top w:val="none" w:sz="0" w:space="0" w:color="auto"/>
                    <w:left w:val="none" w:sz="0" w:space="0" w:color="auto"/>
                    <w:bottom w:val="none" w:sz="0" w:space="0" w:color="auto"/>
                    <w:right w:val="none" w:sz="0" w:space="0" w:color="auto"/>
                  </w:divBdr>
                </w:div>
                <w:div w:id="294149693">
                  <w:marLeft w:val="0"/>
                  <w:marRight w:val="0"/>
                  <w:marTop w:val="0"/>
                  <w:marBottom w:val="0"/>
                  <w:divBdr>
                    <w:top w:val="none" w:sz="0" w:space="0" w:color="auto"/>
                    <w:left w:val="none" w:sz="0" w:space="0" w:color="auto"/>
                    <w:bottom w:val="none" w:sz="0" w:space="0" w:color="auto"/>
                    <w:right w:val="none" w:sz="0" w:space="0" w:color="auto"/>
                  </w:divBdr>
                </w:div>
                <w:div w:id="294149886">
                  <w:marLeft w:val="0"/>
                  <w:marRight w:val="0"/>
                  <w:marTop w:val="0"/>
                  <w:marBottom w:val="0"/>
                  <w:divBdr>
                    <w:top w:val="none" w:sz="0" w:space="0" w:color="auto"/>
                    <w:left w:val="none" w:sz="0" w:space="0" w:color="auto"/>
                    <w:bottom w:val="none" w:sz="0" w:space="0" w:color="auto"/>
                    <w:right w:val="none" w:sz="0" w:space="0" w:color="auto"/>
                  </w:divBdr>
                </w:div>
                <w:div w:id="294149898">
                  <w:marLeft w:val="0"/>
                  <w:marRight w:val="0"/>
                  <w:marTop w:val="0"/>
                  <w:marBottom w:val="0"/>
                  <w:divBdr>
                    <w:top w:val="none" w:sz="0" w:space="0" w:color="auto"/>
                    <w:left w:val="none" w:sz="0" w:space="0" w:color="auto"/>
                    <w:bottom w:val="none" w:sz="0" w:space="0" w:color="auto"/>
                    <w:right w:val="none" w:sz="0" w:space="0" w:color="auto"/>
                  </w:divBdr>
                </w:div>
                <w:div w:id="294149999">
                  <w:marLeft w:val="0"/>
                  <w:marRight w:val="0"/>
                  <w:marTop w:val="0"/>
                  <w:marBottom w:val="0"/>
                  <w:divBdr>
                    <w:top w:val="none" w:sz="0" w:space="0" w:color="auto"/>
                    <w:left w:val="none" w:sz="0" w:space="0" w:color="auto"/>
                    <w:bottom w:val="none" w:sz="0" w:space="0" w:color="auto"/>
                    <w:right w:val="none" w:sz="0" w:space="0" w:color="auto"/>
                  </w:divBdr>
                </w:div>
                <w:div w:id="294150047">
                  <w:marLeft w:val="0"/>
                  <w:marRight w:val="0"/>
                  <w:marTop w:val="0"/>
                  <w:marBottom w:val="0"/>
                  <w:divBdr>
                    <w:top w:val="none" w:sz="0" w:space="0" w:color="auto"/>
                    <w:left w:val="none" w:sz="0" w:space="0" w:color="auto"/>
                    <w:bottom w:val="none" w:sz="0" w:space="0" w:color="auto"/>
                    <w:right w:val="none" w:sz="0" w:space="0" w:color="auto"/>
                  </w:divBdr>
                </w:div>
                <w:div w:id="294150189">
                  <w:marLeft w:val="0"/>
                  <w:marRight w:val="0"/>
                  <w:marTop w:val="0"/>
                  <w:marBottom w:val="0"/>
                  <w:divBdr>
                    <w:top w:val="none" w:sz="0" w:space="0" w:color="auto"/>
                    <w:left w:val="none" w:sz="0" w:space="0" w:color="auto"/>
                    <w:bottom w:val="none" w:sz="0" w:space="0" w:color="auto"/>
                    <w:right w:val="none" w:sz="0" w:space="0" w:color="auto"/>
                  </w:divBdr>
                </w:div>
                <w:div w:id="294150437">
                  <w:marLeft w:val="0"/>
                  <w:marRight w:val="0"/>
                  <w:marTop w:val="0"/>
                  <w:marBottom w:val="0"/>
                  <w:divBdr>
                    <w:top w:val="none" w:sz="0" w:space="0" w:color="auto"/>
                    <w:left w:val="none" w:sz="0" w:space="0" w:color="auto"/>
                    <w:bottom w:val="none" w:sz="0" w:space="0" w:color="auto"/>
                    <w:right w:val="none" w:sz="0" w:space="0" w:color="auto"/>
                  </w:divBdr>
                </w:div>
                <w:div w:id="294150798">
                  <w:marLeft w:val="0"/>
                  <w:marRight w:val="0"/>
                  <w:marTop w:val="0"/>
                  <w:marBottom w:val="0"/>
                  <w:divBdr>
                    <w:top w:val="none" w:sz="0" w:space="0" w:color="auto"/>
                    <w:left w:val="none" w:sz="0" w:space="0" w:color="auto"/>
                    <w:bottom w:val="none" w:sz="0" w:space="0" w:color="auto"/>
                    <w:right w:val="none" w:sz="0" w:space="0" w:color="auto"/>
                  </w:divBdr>
                </w:div>
                <w:div w:id="294150830">
                  <w:marLeft w:val="0"/>
                  <w:marRight w:val="0"/>
                  <w:marTop w:val="0"/>
                  <w:marBottom w:val="0"/>
                  <w:divBdr>
                    <w:top w:val="none" w:sz="0" w:space="0" w:color="auto"/>
                    <w:left w:val="none" w:sz="0" w:space="0" w:color="auto"/>
                    <w:bottom w:val="none" w:sz="0" w:space="0" w:color="auto"/>
                    <w:right w:val="none" w:sz="0" w:space="0" w:color="auto"/>
                  </w:divBdr>
                </w:div>
                <w:div w:id="294150912">
                  <w:marLeft w:val="0"/>
                  <w:marRight w:val="0"/>
                  <w:marTop w:val="0"/>
                  <w:marBottom w:val="0"/>
                  <w:divBdr>
                    <w:top w:val="none" w:sz="0" w:space="0" w:color="auto"/>
                    <w:left w:val="none" w:sz="0" w:space="0" w:color="auto"/>
                    <w:bottom w:val="none" w:sz="0" w:space="0" w:color="auto"/>
                    <w:right w:val="none" w:sz="0" w:space="0" w:color="auto"/>
                  </w:divBdr>
                </w:div>
                <w:div w:id="294150936">
                  <w:marLeft w:val="0"/>
                  <w:marRight w:val="0"/>
                  <w:marTop w:val="0"/>
                  <w:marBottom w:val="0"/>
                  <w:divBdr>
                    <w:top w:val="none" w:sz="0" w:space="0" w:color="auto"/>
                    <w:left w:val="none" w:sz="0" w:space="0" w:color="auto"/>
                    <w:bottom w:val="none" w:sz="0" w:space="0" w:color="auto"/>
                    <w:right w:val="none" w:sz="0" w:space="0" w:color="auto"/>
                  </w:divBdr>
                </w:div>
                <w:div w:id="294151205">
                  <w:marLeft w:val="0"/>
                  <w:marRight w:val="0"/>
                  <w:marTop w:val="0"/>
                  <w:marBottom w:val="0"/>
                  <w:divBdr>
                    <w:top w:val="none" w:sz="0" w:space="0" w:color="auto"/>
                    <w:left w:val="none" w:sz="0" w:space="0" w:color="auto"/>
                    <w:bottom w:val="none" w:sz="0" w:space="0" w:color="auto"/>
                    <w:right w:val="none" w:sz="0" w:space="0" w:color="auto"/>
                  </w:divBdr>
                </w:div>
                <w:div w:id="294151788">
                  <w:marLeft w:val="0"/>
                  <w:marRight w:val="0"/>
                  <w:marTop w:val="0"/>
                  <w:marBottom w:val="0"/>
                  <w:divBdr>
                    <w:top w:val="none" w:sz="0" w:space="0" w:color="auto"/>
                    <w:left w:val="none" w:sz="0" w:space="0" w:color="auto"/>
                    <w:bottom w:val="none" w:sz="0" w:space="0" w:color="auto"/>
                    <w:right w:val="none" w:sz="0" w:space="0" w:color="auto"/>
                  </w:divBdr>
                </w:div>
                <w:div w:id="294152048">
                  <w:marLeft w:val="0"/>
                  <w:marRight w:val="0"/>
                  <w:marTop w:val="0"/>
                  <w:marBottom w:val="0"/>
                  <w:divBdr>
                    <w:top w:val="none" w:sz="0" w:space="0" w:color="auto"/>
                    <w:left w:val="none" w:sz="0" w:space="0" w:color="auto"/>
                    <w:bottom w:val="none" w:sz="0" w:space="0" w:color="auto"/>
                    <w:right w:val="none" w:sz="0" w:space="0" w:color="auto"/>
                  </w:divBdr>
                </w:div>
                <w:div w:id="294152107">
                  <w:marLeft w:val="0"/>
                  <w:marRight w:val="0"/>
                  <w:marTop w:val="0"/>
                  <w:marBottom w:val="0"/>
                  <w:divBdr>
                    <w:top w:val="none" w:sz="0" w:space="0" w:color="auto"/>
                    <w:left w:val="none" w:sz="0" w:space="0" w:color="auto"/>
                    <w:bottom w:val="none" w:sz="0" w:space="0" w:color="auto"/>
                    <w:right w:val="none" w:sz="0" w:space="0" w:color="auto"/>
                  </w:divBdr>
                </w:div>
                <w:div w:id="294152233">
                  <w:marLeft w:val="0"/>
                  <w:marRight w:val="0"/>
                  <w:marTop w:val="0"/>
                  <w:marBottom w:val="0"/>
                  <w:divBdr>
                    <w:top w:val="none" w:sz="0" w:space="0" w:color="auto"/>
                    <w:left w:val="none" w:sz="0" w:space="0" w:color="auto"/>
                    <w:bottom w:val="none" w:sz="0" w:space="0" w:color="auto"/>
                    <w:right w:val="none" w:sz="0" w:space="0" w:color="auto"/>
                  </w:divBdr>
                </w:div>
                <w:div w:id="294152651">
                  <w:marLeft w:val="0"/>
                  <w:marRight w:val="0"/>
                  <w:marTop w:val="0"/>
                  <w:marBottom w:val="0"/>
                  <w:divBdr>
                    <w:top w:val="none" w:sz="0" w:space="0" w:color="auto"/>
                    <w:left w:val="none" w:sz="0" w:space="0" w:color="auto"/>
                    <w:bottom w:val="none" w:sz="0" w:space="0" w:color="auto"/>
                    <w:right w:val="none" w:sz="0" w:space="0" w:color="auto"/>
                  </w:divBdr>
                </w:div>
                <w:div w:id="294153267">
                  <w:marLeft w:val="0"/>
                  <w:marRight w:val="0"/>
                  <w:marTop w:val="0"/>
                  <w:marBottom w:val="0"/>
                  <w:divBdr>
                    <w:top w:val="none" w:sz="0" w:space="0" w:color="auto"/>
                    <w:left w:val="none" w:sz="0" w:space="0" w:color="auto"/>
                    <w:bottom w:val="none" w:sz="0" w:space="0" w:color="auto"/>
                    <w:right w:val="none" w:sz="0" w:space="0" w:color="auto"/>
                  </w:divBdr>
                </w:div>
                <w:div w:id="294153516">
                  <w:marLeft w:val="0"/>
                  <w:marRight w:val="0"/>
                  <w:marTop w:val="0"/>
                  <w:marBottom w:val="0"/>
                  <w:divBdr>
                    <w:top w:val="none" w:sz="0" w:space="0" w:color="auto"/>
                    <w:left w:val="none" w:sz="0" w:space="0" w:color="auto"/>
                    <w:bottom w:val="none" w:sz="0" w:space="0" w:color="auto"/>
                    <w:right w:val="none" w:sz="0" w:space="0" w:color="auto"/>
                  </w:divBdr>
                </w:div>
                <w:div w:id="294153593">
                  <w:marLeft w:val="0"/>
                  <w:marRight w:val="0"/>
                  <w:marTop w:val="0"/>
                  <w:marBottom w:val="0"/>
                  <w:divBdr>
                    <w:top w:val="none" w:sz="0" w:space="0" w:color="auto"/>
                    <w:left w:val="none" w:sz="0" w:space="0" w:color="auto"/>
                    <w:bottom w:val="none" w:sz="0" w:space="0" w:color="auto"/>
                    <w:right w:val="none" w:sz="0" w:space="0" w:color="auto"/>
                  </w:divBdr>
                </w:div>
                <w:div w:id="294153811">
                  <w:marLeft w:val="0"/>
                  <w:marRight w:val="0"/>
                  <w:marTop w:val="0"/>
                  <w:marBottom w:val="0"/>
                  <w:divBdr>
                    <w:top w:val="none" w:sz="0" w:space="0" w:color="auto"/>
                    <w:left w:val="none" w:sz="0" w:space="0" w:color="auto"/>
                    <w:bottom w:val="none" w:sz="0" w:space="0" w:color="auto"/>
                    <w:right w:val="none" w:sz="0" w:space="0" w:color="auto"/>
                  </w:divBdr>
                </w:div>
                <w:div w:id="294153966">
                  <w:marLeft w:val="0"/>
                  <w:marRight w:val="0"/>
                  <w:marTop w:val="0"/>
                  <w:marBottom w:val="0"/>
                  <w:divBdr>
                    <w:top w:val="none" w:sz="0" w:space="0" w:color="auto"/>
                    <w:left w:val="none" w:sz="0" w:space="0" w:color="auto"/>
                    <w:bottom w:val="none" w:sz="0" w:space="0" w:color="auto"/>
                    <w:right w:val="none" w:sz="0" w:space="0" w:color="auto"/>
                  </w:divBdr>
                </w:div>
                <w:div w:id="294154085">
                  <w:marLeft w:val="0"/>
                  <w:marRight w:val="0"/>
                  <w:marTop w:val="0"/>
                  <w:marBottom w:val="0"/>
                  <w:divBdr>
                    <w:top w:val="none" w:sz="0" w:space="0" w:color="auto"/>
                    <w:left w:val="none" w:sz="0" w:space="0" w:color="auto"/>
                    <w:bottom w:val="none" w:sz="0" w:space="0" w:color="auto"/>
                    <w:right w:val="none" w:sz="0" w:space="0" w:color="auto"/>
                  </w:divBdr>
                </w:div>
                <w:div w:id="294154184">
                  <w:marLeft w:val="0"/>
                  <w:marRight w:val="0"/>
                  <w:marTop w:val="0"/>
                  <w:marBottom w:val="0"/>
                  <w:divBdr>
                    <w:top w:val="none" w:sz="0" w:space="0" w:color="auto"/>
                    <w:left w:val="none" w:sz="0" w:space="0" w:color="auto"/>
                    <w:bottom w:val="none" w:sz="0" w:space="0" w:color="auto"/>
                    <w:right w:val="none" w:sz="0" w:space="0" w:color="auto"/>
                  </w:divBdr>
                </w:div>
                <w:div w:id="294154194">
                  <w:marLeft w:val="0"/>
                  <w:marRight w:val="0"/>
                  <w:marTop w:val="0"/>
                  <w:marBottom w:val="0"/>
                  <w:divBdr>
                    <w:top w:val="none" w:sz="0" w:space="0" w:color="auto"/>
                    <w:left w:val="none" w:sz="0" w:space="0" w:color="auto"/>
                    <w:bottom w:val="none" w:sz="0" w:space="0" w:color="auto"/>
                    <w:right w:val="none" w:sz="0" w:space="0" w:color="auto"/>
                  </w:divBdr>
                </w:div>
                <w:div w:id="294154704">
                  <w:marLeft w:val="0"/>
                  <w:marRight w:val="0"/>
                  <w:marTop w:val="0"/>
                  <w:marBottom w:val="0"/>
                  <w:divBdr>
                    <w:top w:val="none" w:sz="0" w:space="0" w:color="auto"/>
                    <w:left w:val="none" w:sz="0" w:space="0" w:color="auto"/>
                    <w:bottom w:val="none" w:sz="0" w:space="0" w:color="auto"/>
                    <w:right w:val="none" w:sz="0" w:space="0" w:color="auto"/>
                  </w:divBdr>
                </w:div>
                <w:div w:id="294154893">
                  <w:marLeft w:val="0"/>
                  <w:marRight w:val="0"/>
                  <w:marTop w:val="0"/>
                  <w:marBottom w:val="0"/>
                  <w:divBdr>
                    <w:top w:val="none" w:sz="0" w:space="0" w:color="auto"/>
                    <w:left w:val="none" w:sz="0" w:space="0" w:color="auto"/>
                    <w:bottom w:val="none" w:sz="0" w:space="0" w:color="auto"/>
                    <w:right w:val="none" w:sz="0" w:space="0" w:color="auto"/>
                  </w:divBdr>
                </w:div>
                <w:div w:id="294154959">
                  <w:marLeft w:val="0"/>
                  <w:marRight w:val="0"/>
                  <w:marTop w:val="0"/>
                  <w:marBottom w:val="0"/>
                  <w:divBdr>
                    <w:top w:val="none" w:sz="0" w:space="0" w:color="auto"/>
                    <w:left w:val="none" w:sz="0" w:space="0" w:color="auto"/>
                    <w:bottom w:val="none" w:sz="0" w:space="0" w:color="auto"/>
                    <w:right w:val="none" w:sz="0" w:space="0" w:color="auto"/>
                  </w:divBdr>
                </w:div>
                <w:div w:id="294155015">
                  <w:marLeft w:val="0"/>
                  <w:marRight w:val="0"/>
                  <w:marTop w:val="0"/>
                  <w:marBottom w:val="0"/>
                  <w:divBdr>
                    <w:top w:val="none" w:sz="0" w:space="0" w:color="auto"/>
                    <w:left w:val="none" w:sz="0" w:space="0" w:color="auto"/>
                    <w:bottom w:val="none" w:sz="0" w:space="0" w:color="auto"/>
                    <w:right w:val="none" w:sz="0" w:space="0" w:color="auto"/>
                  </w:divBdr>
                </w:div>
                <w:div w:id="294155145">
                  <w:marLeft w:val="0"/>
                  <w:marRight w:val="0"/>
                  <w:marTop w:val="0"/>
                  <w:marBottom w:val="0"/>
                  <w:divBdr>
                    <w:top w:val="none" w:sz="0" w:space="0" w:color="auto"/>
                    <w:left w:val="none" w:sz="0" w:space="0" w:color="auto"/>
                    <w:bottom w:val="none" w:sz="0" w:space="0" w:color="auto"/>
                    <w:right w:val="none" w:sz="0" w:space="0" w:color="auto"/>
                  </w:divBdr>
                </w:div>
                <w:div w:id="294155150">
                  <w:marLeft w:val="0"/>
                  <w:marRight w:val="0"/>
                  <w:marTop w:val="0"/>
                  <w:marBottom w:val="0"/>
                  <w:divBdr>
                    <w:top w:val="none" w:sz="0" w:space="0" w:color="auto"/>
                    <w:left w:val="none" w:sz="0" w:space="0" w:color="auto"/>
                    <w:bottom w:val="none" w:sz="0" w:space="0" w:color="auto"/>
                    <w:right w:val="none" w:sz="0" w:space="0" w:color="auto"/>
                  </w:divBdr>
                </w:div>
                <w:div w:id="294155182">
                  <w:marLeft w:val="0"/>
                  <w:marRight w:val="0"/>
                  <w:marTop w:val="0"/>
                  <w:marBottom w:val="0"/>
                  <w:divBdr>
                    <w:top w:val="none" w:sz="0" w:space="0" w:color="auto"/>
                    <w:left w:val="none" w:sz="0" w:space="0" w:color="auto"/>
                    <w:bottom w:val="none" w:sz="0" w:space="0" w:color="auto"/>
                    <w:right w:val="none" w:sz="0" w:space="0" w:color="auto"/>
                  </w:divBdr>
                </w:div>
                <w:div w:id="294155221">
                  <w:marLeft w:val="0"/>
                  <w:marRight w:val="0"/>
                  <w:marTop w:val="0"/>
                  <w:marBottom w:val="0"/>
                  <w:divBdr>
                    <w:top w:val="none" w:sz="0" w:space="0" w:color="auto"/>
                    <w:left w:val="none" w:sz="0" w:space="0" w:color="auto"/>
                    <w:bottom w:val="none" w:sz="0" w:space="0" w:color="auto"/>
                    <w:right w:val="none" w:sz="0" w:space="0" w:color="auto"/>
                  </w:divBdr>
                </w:div>
                <w:div w:id="294155282">
                  <w:marLeft w:val="0"/>
                  <w:marRight w:val="0"/>
                  <w:marTop w:val="0"/>
                  <w:marBottom w:val="0"/>
                  <w:divBdr>
                    <w:top w:val="none" w:sz="0" w:space="0" w:color="auto"/>
                    <w:left w:val="none" w:sz="0" w:space="0" w:color="auto"/>
                    <w:bottom w:val="none" w:sz="0" w:space="0" w:color="auto"/>
                    <w:right w:val="none" w:sz="0" w:space="0" w:color="auto"/>
                  </w:divBdr>
                </w:div>
                <w:div w:id="294155374">
                  <w:marLeft w:val="0"/>
                  <w:marRight w:val="0"/>
                  <w:marTop w:val="0"/>
                  <w:marBottom w:val="0"/>
                  <w:divBdr>
                    <w:top w:val="none" w:sz="0" w:space="0" w:color="auto"/>
                    <w:left w:val="none" w:sz="0" w:space="0" w:color="auto"/>
                    <w:bottom w:val="none" w:sz="0" w:space="0" w:color="auto"/>
                    <w:right w:val="none" w:sz="0" w:space="0" w:color="auto"/>
                  </w:divBdr>
                </w:div>
                <w:div w:id="294155454">
                  <w:marLeft w:val="0"/>
                  <w:marRight w:val="0"/>
                  <w:marTop w:val="0"/>
                  <w:marBottom w:val="0"/>
                  <w:divBdr>
                    <w:top w:val="none" w:sz="0" w:space="0" w:color="auto"/>
                    <w:left w:val="none" w:sz="0" w:space="0" w:color="auto"/>
                    <w:bottom w:val="none" w:sz="0" w:space="0" w:color="auto"/>
                    <w:right w:val="none" w:sz="0" w:space="0" w:color="auto"/>
                  </w:divBdr>
                </w:div>
                <w:div w:id="294155576">
                  <w:marLeft w:val="0"/>
                  <w:marRight w:val="0"/>
                  <w:marTop w:val="0"/>
                  <w:marBottom w:val="0"/>
                  <w:divBdr>
                    <w:top w:val="none" w:sz="0" w:space="0" w:color="auto"/>
                    <w:left w:val="none" w:sz="0" w:space="0" w:color="auto"/>
                    <w:bottom w:val="none" w:sz="0" w:space="0" w:color="auto"/>
                    <w:right w:val="none" w:sz="0" w:space="0" w:color="auto"/>
                  </w:divBdr>
                </w:div>
                <w:div w:id="294155644">
                  <w:marLeft w:val="0"/>
                  <w:marRight w:val="0"/>
                  <w:marTop w:val="0"/>
                  <w:marBottom w:val="0"/>
                  <w:divBdr>
                    <w:top w:val="none" w:sz="0" w:space="0" w:color="auto"/>
                    <w:left w:val="none" w:sz="0" w:space="0" w:color="auto"/>
                    <w:bottom w:val="none" w:sz="0" w:space="0" w:color="auto"/>
                    <w:right w:val="none" w:sz="0" w:space="0" w:color="auto"/>
                  </w:divBdr>
                </w:div>
                <w:div w:id="294155908">
                  <w:marLeft w:val="0"/>
                  <w:marRight w:val="0"/>
                  <w:marTop w:val="0"/>
                  <w:marBottom w:val="0"/>
                  <w:divBdr>
                    <w:top w:val="none" w:sz="0" w:space="0" w:color="auto"/>
                    <w:left w:val="none" w:sz="0" w:space="0" w:color="auto"/>
                    <w:bottom w:val="none" w:sz="0" w:space="0" w:color="auto"/>
                    <w:right w:val="none" w:sz="0" w:space="0" w:color="auto"/>
                  </w:divBdr>
                </w:div>
                <w:div w:id="294155980">
                  <w:marLeft w:val="0"/>
                  <w:marRight w:val="0"/>
                  <w:marTop w:val="0"/>
                  <w:marBottom w:val="0"/>
                  <w:divBdr>
                    <w:top w:val="none" w:sz="0" w:space="0" w:color="auto"/>
                    <w:left w:val="none" w:sz="0" w:space="0" w:color="auto"/>
                    <w:bottom w:val="none" w:sz="0" w:space="0" w:color="auto"/>
                    <w:right w:val="none" w:sz="0" w:space="0" w:color="auto"/>
                  </w:divBdr>
                </w:div>
                <w:div w:id="294156175">
                  <w:marLeft w:val="0"/>
                  <w:marRight w:val="0"/>
                  <w:marTop w:val="0"/>
                  <w:marBottom w:val="0"/>
                  <w:divBdr>
                    <w:top w:val="none" w:sz="0" w:space="0" w:color="auto"/>
                    <w:left w:val="none" w:sz="0" w:space="0" w:color="auto"/>
                    <w:bottom w:val="none" w:sz="0" w:space="0" w:color="auto"/>
                    <w:right w:val="none" w:sz="0" w:space="0" w:color="auto"/>
                  </w:divBdr>
                </w:div>
                <w:div w:id="294156183">
                  <w:marLeft w:val="0"/>
                  <w:marRight w:val="0"/>
                  <w:marTop w:val="0"/>
                  <w:marBottom w:val="0"/>
                  <w:divBdr>
                    <w:top w:val="none" w:sz="0" w:space="0" w:color="auto"/>
                    <w:left w:val="none" w:sz="0" w:space="0" w:color="auto"/>
                    <w:bottom w:val="none" w:sz="0" w:space="0" w:color="auto"/>
                    <w:right w:val="none" w:sz="0" w:space="0" w:color="auto"/>
                  </w:divBdr>
                </w:div>
                <w:div w:id="294156234">
                  <w:marLeft w:val="0"/>
                  <w:marRight w:val="0"/>
                  <w:marTop w:val="0"/>
                  <w:marBottom w:val="0"/>
                  <w:divBdr>
                    <w:top w:val="none" w:sz="0" w:space="0" w:color="auto"/>
                    <w:left w:val="none" w:sz="0" w:space="0" w:color="auto"/>
                    <w:bottom w:val="none" w:sz="0" w:space="0" w:color="auto"/>
                    <w:right w:val="none" w:sz="0" w:space="0" w:color="auto"/>
                  </w:divBdr>
                </w:div>
                <w:div w:id="294156376">
                  <w:marLeft w:val="0"/>
                  <w:marRight w:val="0"/>
                  <w:marTop w:val="0"/>
                  <w:marBottom w:val="0"/>
                  <w:divBdr>
                    <w:top w:val="none" w:sz="0" w:space="0" w:color="auto"/>
                    <w:left w:val="none" w:sz="0" w:space="0" w:color="auto"/>
                    <w:bottom w:val="none" w:sz="0" w:space="0" w:color="auto"/>
                    <w:right w:val="none" w:sz="0" w:space="0" w:color="auto"/>
                  </w:divBdr>
                </w:div>
                <w:div w:id="294156500">
                  <w:marLeft w:val="0"/>
                  <w:marRight w:val="0"/>
                  <w:marTop w:val="0"/>
                  <w:marBottom w:val="0"/>
                  <w:divBdr>
                    <w:top w:val="none" w:sz="0" w:space="0" w:color="auto"/>
                    <w:left w:val="none" w:sz="0" w:space="0" w:color="auto"/>
                    <w:bottom w:val="none" w:sz="0" w:space="0" w:color="auto"/>
                    <w:right w:val="none" w:sz="0" w:space="0" w:color="auto"/>
                  </w:divBdr>
                </w:div>
                <w:div w:id="294157018">
                  <w:marLeft w:val="0"/>
                  <w:marRight w:val="0"/>
                  <w:marTop w:val="0"/>
                  <w:marBottom w:val="0"/>
                  <w:divBdr>
                    <w:top w:val="none" w:sz="0" w:space="0" w:color="auto"/>
                    <w:left w:val="none" w:sz="0" w:space="0" w:color="auto"/>
                    <w:bottom w:val="none" w:sz="0" w:space="0" w:color="auto"/>
                    <w:right w:val="none" w:sz="0" w:space="0" w:color="auto"/>
                  </w:divBdr>
                </w:div>
                <w:div w:id="29415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5889">
          <w:marLeft w:val="0"/>
          <w:marRight w:val="0"/>
          <w:marTop w:val="0"/>
          <w:marBottom w:val="0"/>
          <w:divBdr>
            <w:top w:val="none" w:sz="0" w:space="0" w:color="auto"/>
            <w:left w:val="none" w:sz="0" w:space="0" w:color="auto"/>
            <w:bottom w:val="none" w:sz="0" w:space="0" w:color="auto"/>
            <w:right w:val="none" w:sz="0" w:space="0" w:color="auto"/>
          </w:divBdr>
        </w:div>
      </w:divsChild>
    </w:div>
    <w:div w:id="294151917">
      <w:marLeft w:val="0"/>
      <w:marRight w:val="0"/>
      <w:marTop w:val="0"/>
      <w:marBottom w:val="0"/>
      <w:divBdr>
        <w:top w:val="none" w:sz="0" w:space="0" w:color="auto"/>
        <w:left w:val="none" w:sz="0" w:space="0" w:color="auto"/>
        <w:bottom w:val="none" w:sz="0" w:space="0" w:color="auto"/>
        <w:right w:val="none" w:sz="0" w:space="0" w:color="auto"/>
      </w:divBdr>
    </w:div>
    <w:div w:id="294151933">
      <w:marLeft w:val="0"/>
      <w:marRight w:val="0"/>
      <w:marTop w:val="0"/>
      <w:marBottom w:val="0"/>
      <w:divBdr>
        <w:top w:val="none" w:sz="0" w:space="0" w:color="auto"/>
        <w:left w:val="none" w:sz="0" w:space="0" w:color="auto"/>
        <w:bottom w:val="none" w:sz="0" w:space="0" w:color="auto"/>
        <w:right w:val="none" w:sz="0" w:space="0" w:color="auto"/>
      </w:divBdr>
    </w:div>
    <w:div w:id="294152009">
      <w:marLeft w:val="0"/>
      <w:marRight w:val="0"/>
      <w:marTop w:val="0"/>
      <w:marBottom w:val="0"/>
      <w:divBdr>
        <w:top w:val="none" w:sz="0" w:space="0" w:color="auto"/>
        <w:left w:val="none" w:sz="0" w:space="0" w:color="auto"/>
        <w:bottom w:val="none" w:sz="0" w:space="0" w:color="auto"/>
        <w:right w:val="none" w:sz="0" w:space="0" w:color="auto"/>
      </w:divBdr>
    </w:div>
    <w:div w:id="294152023">
      <w:marLeft w:val="0"/>
      <w:marRight w:val="0"/>
      <w:marTop w:val="0"/>
      <w:marBottom w:val="0"/>
      <w:divBdr>
        <w:top w:val="none" w:sz="0" w:space="0" w:color="auto"/>
        <w:left w:val="none" w:sz="0" w:space="0" w:color="auto"/>
        <w:bottom w:val="none" w:sz="0" w:space="0" w:color="auto"/>
        <w:right w:val="none" w:sz="0" w:space="0" w:color="auto"/>
      </w:divBdr>
    </w:div>
    <w:div w:id="294152028">
      <w:marLeft w:val="0"/>
      <w:marRight w:val="0"/>
      <w:marTop w:val="0"/>
      <w:marBottom w:val="0"/>
      <w:divBdr>
        <w:top w:val="none" w:sz="0" w:space="0" w:color="auto"/>
        <w:left w:val="none" w:sz="0" w:space="0" w:color="auto"/>
        <w:bottom w:val="none" w:sz="0" w:space="0" w:color="auto"/>
        <w:right w:val="none" w:sz="0" w:space="0" w:color="auto"/>
      </w:divBdr>
    </w:div>
    <w:div w:id="294152045">
      <w:marLeft w:val="0"/>
      <w:marRight w:val="0"/>
      <w:marTop w:val="0"/>
      <w:marBottom w:val="0"/>
      <w:divBdr>
        <w:top w:val="none" w:sz="0" w:space="0" w:color="auto"/>
        <w:left w:val="none" w:sz="0" w:space="0" w:color="auto"/>
        <w:bottom w:val="none" w:sz="0" w:space="0" w:color="auto"/>
        <w:right w:val="none" w:sz="0" w:space="0" w:color="auto"/>
      </w:divBdr>
    </w:div>
    <w:div w:id="294152054">
      <w:marLeft w:val="0"/>
      <w:marRight w:val="0"/>
      <w:marTop w:val="0"/>
      <w:marBottom w:val="0"/>
      <w:divBdr>
        <w:top w:val="none" w:sz="0" w:space="0" w:color="auto"/>
        <w:left w:val="none" w:sz="0" w:space="0" w:color="auto"/>
        <w:bottom w:val="none" w:sz="0" w:space="0" w:color="auto"/>
        <w:right w:val="none" w:sz="0" w:space="0" w:color="auto"/>
      </w:divBdr>
    </w:div>
    <w:div w:id="294152074">
      <w:marLeft w:val="0"/>
      <w:marRight w:val="0"/>
      <w:marTop w:val="0"/>
      <w:marBottom w:val="0"/>
      <w:divBdr>
        <w:top w:val="none" w:sz="0" w:space="0" w:color="auto"/>
        <w:left w:val="none" w:sz="0" w:space="0" w:color="auto"/>
        <w:bottom w:val="none" w:sz="0" w:space="0" w:color="auto"/>
        <w:right w:val="none" w:sz="0" w:space="0" w:color="auto"/>
      </w:divBdr>
    </w:div>
    <w:div w:id="294152078">
      <w:marLeft w:val="0"/>
      <w:marRight w:val="0"/>
      <w:marTop w:val="0"/>
      <w:marBottom w:val="0"/>
      <w:divBdr>
        <w:top w:val="none" w:sz="0" w:space="0" w:color="auto"/>
        <w:left w:val="none" w:sz="0" w:space="0" w:color="auto"/>
        <w:bottom w:val="none" w:sz="0" w:space="0" w:color="auto"/>
        <w:right w:val="none" w:sz="0" w:space="0" w:color="auto"/>
      </w:divBdr>
    </w:div>
    <w:div w:id="294152119">
      <w:marLeft w:val="0"/>
      <w:marRight w:val="0"/>
      <w:marTop w:val="0"/>
      <w:marBottom w:val="0"/>
      <w:divBdr>
        <w:top w:val="none" w:sz="0" w:space="0" w:color="auto"/>
        <w:left w:val="none" w:sz="0" w:space="0" w:color="auto"/>
        <w:bottom w:val="none" w:sz="0" w:space="0" w:color="auto"/>
        <w:right w:val="none" w:sz="0" w:space="0" w:color="auto"/>
      </w:divBdr>
      <w:divsChild>
        <w:div w:id="294146808">
          <w:marLeft w:val="0"/>
          <w:marRight w:val="0"/>
          <w:marTop w:val="0"/>
          <w:marBottom w:val="0"/>
          <w:divBdr>
            <w:top w:val="none" w:sz="0" w:space="0" w:color="auto"/>
            <w:left w:val="none" w:sz="0" w:space="0" w:color="auto"/>
            <w:bottom w:val="none" w:sz="0" w:space="0" w:color="auto"/>
            <w:right w:val="none" w:sz="0" w:space="0" w:color="auto"/>
          </w:divBdr>
          <w:divsChild>
            <w:div w:id="294140274">
              <w:marLeft w:val="0"/>
              <w:marRight w:val="0"/>
              <w:marTop w:val="0"/>
              <w:marBottom w:val="0"/>
              <w:divBdr>
                <w:top w:val="none" w:sz="0" w:space="0" w:color="auto"/>
                <w:left w:val="none" w:sz="0" w:space="0" w:color="auto"/>
                <w:bottom w:val="none" w:sz="0" w:space="0" w:color="auto"/>
                <w:right w:val="none" w:sz="0" w:space="0" w:color="auto"/>
              </w:divBdr>
            </w:div>
            <w:div w:id="294143765">
              <w:marLeft w:val="0"/>
              <w:marRight w:val="0"/>
              <w:marTop w:val="0"/>
              <w:marBottom w:val="100"/>
              <w:divBdr>
                <w:top w:val="none" w:sz="0" w:space="0" w:color="auto"/>
                <w:left w:val="none" w:sz="0" w:space="0" w:color="auto"/>
                <w:bottom w:val="none" w:sz="0" w:space="0" w:color="auto"/>
                <w:right w:val="none" w:sz="0" w:space="0" w:color="auto"/>
              </w:divBdr>
              <w:divsChild>
                <w:div w:id="294138625">
                  <w:marLeft w:val="0"/>
                  <w:marRight w:val="0"/>
                  <w:marTop w:val="0"/>
                  <w:marBottom w:val="0"/>
                  <w:divBdr>
                    <w:top w:val="none" w:sz="0" w:space="0" w:color="auto"/>
                    <w:left w:val="none" w:sz="0" w:space="0" w:color="auto"/>
                    <w:bottom w:val="none" w:sz="0" w:space="0" w:color="auto"/>
                    <w:right w:val="none" w:sz="0" w:space="0" w:color="auto"/>
                  </w:divBdr>
                  <w:divsChild>
                    <w:div w:id="294140939">
                      <w:marLeft w:val="0"/>
                      <w:marRight w:val="0"/>
                      <w:marTop w:val="0"/>
                      <w:marBottom w:val="0"/>
                      <w:divBdr>
                        <w:top w:val="none" w:sz="0" w:space="0" w:color="auto"/>
                        <w:left w:val="none" w:sz="0" w:space="0" w:color="auto"/>
                        <w:bottom w:val="none" w:sz="0" w:space="0" w:color="auto"/>
                        <w:right w:val="none" w:sz="0" w:space="0" w:color="auto"/>
                      </w:divBdr>
                    </w:div>
                    <w:div w:id="29415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6259">
              <w:marLeft w:val="0"/>
              <w:marRight w:val="0"/>
              <w:marTop w:val="0"/>
              <w:marBottom w:val="100"/>
              <w:divBdr>
                <w:top w:val="none" w:sz="0" w:space="0" w:color="auto"/>
                <w:left w:val="none" w:sz="0" w:space="0" w:color="auto"/>
                <w:bottom w:val="none" w:sz="0" w:space="0" w:color="auto"/>
                <w:right w:val="none" w:sz="0" w:space="0" w:color="auto"/>
              </w:divBdr>
              <w:divsChild>
                <w:div w:id="294144033">
                  <w:marLeft w:val="0"/>
                  <w:marRight w:val="0"/>
                  <w:marTop w:val="0"/>
                  <w:marBottom w:val="0"/>
                  <w:divBdr>
                    <w:top w:val="none" w:sz="0" w:space="0" w:color="auto"/>
                    <w:left w:val="none" w:sz="0" w:space="0" w:color="auto"/>
                    <w:bottom w:val="none" w:sz="0" w:space="0" w:color="auto"/>
                    <w:right w:val="none" w:sz="0" w:space="0" w:color="auto"/>
                  </w:divBdr>
                  <w:divsChild>
                    <w:div w:id="294144103">
                      <w:marLeft w:val="0"/>
                      <w:marRight w:val="0"/>
                      <w:marTop w:val="0"/>
                      <w:marBottom w:val="0"/>
                      <w:divBdr>
                        <w:top w:val="none" w:sz="0" w:space="0" w:color="auto"/>
                        <w:left w:val="none" w:sz="0" w:space="0" w:color="auto"/>
                        <w:bottom w:val="none" w:sz="0" w:space="0" w:color="auto"/>
                        <w:right w:val="none" w:sz="0" w:space="0" w:color="auto"/>
                      </w:divBdr>
                    </w:div>
                    <w:div w:id="2941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8526">
              <w:marLeft w:val="0"/>
              <w:marRight w:val="0"/>
              <w:marTop w:val="0"/>
              <w:marBottom w:val="100"/>
              <w:divBdr>
                <w:top w:val="none" w:sz="0" w:space="0" w:color="auto"/>
                <w:left w:val="none" w:sz="0" w:space="0" w:color="auto"/>
                <w:bottom w:val="none" w:sz="0" w:space="0" w:color="auto"/>
                <w:right w:val="none" w:sz="0" w:space="0" w:color="auto"/>
              </w:divBdr>
              <w:divsChild>
                <w:div w:id="294157189">
                  <w:marLeft w:val="0"/>
                  <w:marRight w:val="0"/>
                  <w:marTop w:val="0"/>
                  <w:marBottom w:val="0"/>
                  <w:divBdr>
                    <w:top w:val="none" w:sz="0" w:space="0" w:color="auto"/>
                    <w:left w:val="none" w:sz="0" w:space="0" w:color="auto"/>
                    <w:bottom w:val="none" w:sz="0" w:space="0" w:color="auto"/>
                    <w:right w:val="none" w:sz="0" w:space="0" w:color="auto"/>
                  </w:divBdr>
                  <w:divsChild>
                    <w:div w:id="294141457">
                      <w:marLeft w:val="0"/>
                      <w:marRight w:val="0"/>
                      <w:marTop w:val="0"/>
                      <w:marBottom w:val="0"/>
                      <w:divBdr>
                        <w:top w:val="none" w:sz="0" w:space="0" w:color="auto"/>
                        <w:left w:val="none" w:sz="0" w:space="0" w:color="auto"/>
                        <w:bottom w:val="none" w:sz="0" w:space="0" w:color="auto"/>
                        <w:right w:val="none" w:sz="0" w:space="0" w:color="auto"/>
                      </w:divBdr>
                    </w:div>
                    <w:div w:id="29414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9161">
              <w:marLeft w:val="0"/>
              <w:marRight w:val="0"/>
              <w:marTop w:val="0"/>
              <w:marBottom w:val="100"/>
              <w:divBdr>
                <w:top w:val="none" w:sz="0" w:space="0" w:color="auto"/>
                <w:left w:val="none" w:sz="0" w:space="0" w:color="auto"/>
                <w:bottom w:val="none" w:sz="0" w:space="0" w:color="auto"/>
                <w:right w:val="none" w:sz="0" w:space="0" w:color="auto"/>
              </w:divBdr>
              <w:divsChild>
                <w:div w:id="294157224">
                  <w:marLeft w:val="0"/>
                  <w:marRight w:val="0"/>
                  <w:marTop w:val="0"/>
                  <w:marBottom w:val="0"/>
                  <w:divBdr>
                    <w:top w:val="none" w:sz="0" w:space="0" w:color="auto"/>
                    <w:left w:val="none" w:sz="0" w:space="0" w:color="auto"/>
                    <w:bottom w:val="none" w:sz="0" w:space="0" w:color="auto"/>
                    <w:right w:val="none" w:sz="0" w:space="0" w:color="auto"/>
                  </w:divBdr>
                  <w:divsChild>
                    <w:div w:id="294151354">
                      <w:marLeft w:val="0"/>
                      <w:marRight w:val="0"/>
                      <w:marTop w:val="0"/>
                      <w:marBottom w:val="0"/>
                      <w:divBdr>
                        <w:top w:val="none" w:sz="0" w:space="0" w:color="auto"/>
                        <w:left w:val="none" w:sz="0" w:space="0" w:color="auto"/>
                        <w:bottom w:val="none" w:sz="0" w:space="0" w:color="auto"/>
                        <w:right w:val="none" w:sz="0" w:space="0" w:color="auto"/>
                      </w:divBdr>
                    </w:div>
                    <w:div w:id="29415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0592">
              <w:marLeft w:val="0"/>
              <w:marRight w:val="0"/>
              <w:marTop w:val="0"/>
              <w:marBottom w:val="0"/>
              <w:divBdr>
                <w:top w:val="none" w:sz="0" w:space="0" w:color="auto"/>
                <w:left w:val="none" w:sz="0" w:space="0" w:color="auto"/>
                <w:bottom w:val="none" w:sz="0" w:space="0" w:color="auto"/>
                <w:right w:val="none" w:sz="0" w:space="0" w:color="auto"/>
              </w:divBdr>
            </w:div>
            <w:div w:id="294151466">
              <w:marLeft w:val="0"/>
              <w:marRight w:val="0"/>
              <w:marTop w:val="0"/>
              <w:marBottom w:val="100"/>
              <w:divBdr>
                <w:top w:val="none" w:sz="0" w:space="0" w:color="auto"/>
                <w:left w:val="none" w:sz="0" w:space="0" w:color="auto"/>
                <w:bottom w:val="none" w:sz="0" w:space="0" w:color="auto"/>
                <w:right w:val="none" w:sz="0" w:space="0" w:color="auto"/>
              </w:divBdr>
              <w:divsChild>
                <w:div w:id="294152595">
                  <w:marLeft w:val="0"/>
                  <w:marRight w:val="0"/>
                  <w:marTop w:val="0"/>
                  <w:marBottom w:val="0"/>
                  <w:divBdr>
                    <w:top w:val="none" w:sz="0" w:space="0" w:color="auto"/>
                    <w:left w:val="none" w:sz="0" w:space="0" w:color="auto"/>
                    <w:bottom w:val="none" w:sz="0" w:space="0" w:color="auto"/>
                    <w:right w:val="none" w:sz="0" w:space="0" w:color="auto"/>
                  </w:divBdr>
                  <w:divsChild>
                    <w:div w:id="294141922">
                      <w:marLeft w:val="0"/>
                      <w:marRight w:val="0"/>
                      <w:marTop w:val="0"/>
                      <w:marBottom w:val="0"/>
                      <w:divBdr>
                        <w:top w:val="none" w:sz="0" w:space="0" w:color="auto"/>
                        <w:left w:val="none" w:sz="0" w:space="0" w:color="auto"/>
                        <w:bottom w:val="none" w:sz="0" w:space="0" w:color="auto"/>
                        <w:right w:val="none" w:sz="0" w:space="0" w:color="auto"/>
                      </w:divBdr>
                    </w:div>
                    <w:div w:id="29414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3808">
              <w:marLeft w:val="0"/>
              <w:marRight w:val="0"/>
              <w:marTop w:val="0"/>
              <w:marBottom w:val="0"/>
              <w:divBdr>
                <w:top w:val="none" w:sz="0" w:space="0" w:color="auto"/>
                <w:left w:val="none" w:sz="0" w:space="0" w:color="auto"/>
                <w:bottom w:val="none" w:sz="0" w:space="0" w:color="auto"/>
                <w:right w:val="none" w:sz="0" w:space="0" w:color="auto"/>
              </w:divBdr>
            </w:div>
            <w:div w:id="294154607">
              <w:marLeft w:val="0"/>
              <w:marRight w:val="0"/>
              <w:marTop w:val="0"/>
              <w:marBottom w:val="100"/>
              <w:divBdr>
                <w:top w:val="none" w:sz="0" w:space="0" w:color="auto"/>
                <w:left w:val="none" w:sz="0" w:space="0" w:color="auto"/>
                <w:bottom w:val="none" w:sz="0" w:space="0" w:color="auto"/>
                <w:right w:val="none" w:sz="0" w:space="0" w:color="auto"/>
              </w:divBdr>
              <w:divsChild>
                <w:div w:id="294153098">
                  <w:marLeft w:val="0"/>
                  <w:marRight w:val="0"/>
                  <w:marTop w:val="0"/>
                  <w:marBottom w:val="0"/>
                  <w:divBdr>
                    <w:top w:val="none" w:sz="0" w:space="0" w:color="auto"/>
                    <w:left w:val="none" w:sz="0" w:space="0" w:color="auto"/>
                    <w:bottom w:val="none" w:sz="0" w:space="0" w:color="auto"/>
                    <w:right w:val="none" w:sz="0" w:space="0" w:color="auto"/>
                  </w:divBdr>
                  <w:divsChild>
                    <w:div w:id="294139832">
                      <w:marLeft w:val="0"/>
                      <w:marRight w:val="0"/>
                      <w:marTop w:val="0"/>
                      <w:marBottom w:val="0"/>
                      <w:divBdr>
                        <w:top w:val="none" w:sz="0" w:space="0" w:color="auto"/>
                        <w:left w:val="none" w:sz="0" w:space="0" w:color="auto"/>
                        <w:bottom w:val="none" w:sz="0" w:space="0" w:color="auto"/>
                        <w:right w:val="none" w:sz="0" w:space="0" w:color="auto"/>
                      </w:divBdr>
                    </w:div>
                    <w:div w:id="29415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5537">
              <w:marLeft w:val="3156"/>
              <w:marRight w:val="3140"/>
              <w:marTop w:val="0"/>
              <w:marBottom w:val="0"/>
              <w:divBdr>
                <w:top w:val="none" w:sz="0" w:space="0" w:color="auto"/>
                <w:left w:val="none" w:sz="0" w:space="0" w:color="auto"/>
                <w:bottom w:val="none" w:sz="0" w:space="0" w:color="auto"/>
                <w:right w:val="none" w:sz="0" w:space="0" w:color="auto"/>
              </w:divBdr>
            </w:div>
            <w:div w:id="294156640">
              <w:marLeft w:val="0"/>
              <w:marRight w:val="0"/>
              <w:marTop w:val="0"/>
              <w:marBottom w:val="100"/>
              <w:divBdr>
                <w:top w:val="none" w:sz="0" w:space="0" w:color="auto"/>
                <w:left w:val="none" w:sz="0" w:space="0" w:color="auto"/>
                <w:bottom w:val="none" w:sz="0" w:space="0" w:color="auto"/>
                <w:right w:val="none" w:sz="0" w:space="0" w:color="auto"/>
              </w:divBdr>
              <w:divsChild>
                <w:div w:id="294148751">
                  <w:marLeft w:val="0"/>
                  <w:marRight w:val="0"/>
                  <w:marTop w:val="0"/>
                  <w:marBottom w:val="0"/>
                  <w:divBdr>
                    <w:top w:val="none" w:sz="0" w:space="0" w:color="auto"/>
                    <w:left w:val="none" w:sz="0" w:space="0" w:color="auto"/>
                    <w:bottom w:val="none" w:sz="0" w:space="0" w:color="auto"/>
                    <w:right w:val="none" w:sz="0" w:space="0" w:color="auto"/>
                  </w:divBdr>
                  <w:divsChild>
                    <w:div w:id="294151077">
                      <w:marLeft w:val="0"/>
                      <w:marRight w:val="0"/>
                      <w:marTop w:val="0"/>
                      <w:marBottom w:val="0"/>
                      <w:divBdr>
                        <w:top w:val="none" w:sz="0" w:space="0" w:color="auto"/>
                        <w:left w:val="none" w:sz="0" w:space="0" w:color="auto"/>
                        <w:bottom w:val="none" w:sz="0" w:space="0" w:color="auto"/>
                        <w:right w:val="none" w:sz="0" w:space="0" w:color="auto"/>
                      </w:divBdr>
                    </w:div>
                    <w:div w:id="29415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7164">
              <w:marLeft w:val="0"/>
              <w:marRight w:val="0"/>
              <w:marTop w:val="0"/>
              <w:marBottom w:val="100"/>
              <w:divBdr>
                <w:top w:val="none" w:sz="0" w:space="0" w:color="auto"/>
                <w:left w:val="none" w:sz="0" w:space="0" w:color="auto"/>
                <w:bottom w:val="none" w:sz="0" w:space="0" w:color="auto"/>
                <w:right w:val="none" w:sz="0" w:space="0" w:color="auto"/>
              </w:divBdr>
              <w:divsChild>
                <w:div w:id="294145419">
                  <w:marLeft w:val="0"/>
                  <w:marRight w:val="0"/>
                  <w:marTop w:val="0"/>
                  <w:marBottom w:val="0"/>
                  <w:divBdr>
                    <w:top w:val="none" w:sz="0" w:space="0" w:color="auto"/>
                    <w:left w:val="none" w:sz="0" w:space="0" w:color="auto"/>
                    <w:bottom w:val="none" w:sz="0" w:space="0" w:color="auto"/>
                    <w:right w:val="none" w:sz="0" w:space="0" w:color="auto"/>
                  </w:divBdr>
                  <w:divsChild>
                    <w:div w:id="294156433">
                      <w:marLeft w:val="0"/>
                      <w:marRight w:val="0"/>
                      <w:marTop w:val="0"/>
                      <w:marBottom w:val="0"/>
                      <w:divBdr>
                        <w:top w:val="none" w:sz="0" w:space="0" w:color="auto"/>
                        <w:left w:val="none" w:sz="0" w:space="0" w:color="auto"/>
                        <w:bottom w:val="none" w:sz="0" w:space="0" w:color="auto"/>
                        <w:right w:val="none" w:sz="0" w:space="0" w:color="auto"/>
                      </w:divBdr>
                    </w:div>
                    <w:div w:id="29415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7313">
              <w:marLeft w:val="0"/>
              <w:marRight w:val="0"/>
              <w:marTop w:val="0"/>
              <w:marBottom w:val="100"/>
              <w:divBdr>
                <w:top w:val="none" w:sz="0" w:space="0" w:color="auto"/>
                <w:left w:val="none" w:sz="0" w:space="0" w:color="auto"/>
                <w:bottom w:val="none" w:sz="0" w:space="0" w:color="auto"/>
                <w:right w:val="none" w:sz="0" w:space="0" w:color="auto"/>
              </w:divBdr>
              <w:divsChild>
                <w:div w:id="294139393">
                  <w:marLeft w:val="0"/>
                  <w:marRight w:val="0"/>
                  <w:marTop w:val="0"/>
                  <w:marBottom w:val="0"/>
                  <w:divBdr>
                    <w:top w:val="none" w:sz="0" w:space="0" w:color="auto"/>
                    <w:left w:val="none" w:sz="0" w:space="0" w:color="auto"/>
                    <w:bottom w:val="none" w:sz="0" w:space="0" w:color="auto"/>
                    <w:right w:val="none" w:sz="0" w:space="0" w:color="auto"/>
                  </w:divBdr>
                  <w:divsChild>
                    <w:div w:id="294144064">
                      <w:marLeft w:val="0"/>
                      <w:marRight w:val="0"/>
                      <w:marTop w:val="0"/>
                      <w:marBottom w:val="0"/>
                      <w:divBdr>
                        <w:top w:val="none" w:sz="0" w:space="0" w:color="auto"/>
                        <w:left w:val="none" w:sz="0" w:space="0" w:color="auto"/>
                        <w:bottom w:val="none" w:sz="0" w:space="0" w:color="auto"/>
                        <w:right w:val="none" w:sz="0" w:space="0" w:color="auto"/>
                      </w:divBdr>
                    </w:div>
                    <w:div w:id="29415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49606">
          <w:marLeft w:val="0"/>
          <w:marRight w:val="0"/>
          <w:marTop w:val="0"/>
          <w:marBottom w:val="0"/>
          <w:divBdr>
            <w:top w:val="none" w:sz="0" w:space="0" w:color="auto"/>
            <w:left w:val="none" w:sz="0" w:space="0" w:color="auto"/>
            <w:bottom w:val="none" w:sz="0" w:space="0" w:color="auto"/>
            <w:right w:val="none" w:sz="0" w:space="0" w:color="auto"/>
          </w:divBdr>
        </w:div>
      </w:divsChild>
    </w:div>
    <w:div w:id="294152136">
      <w:marLeft w:val="0"/>
      <w:marRight w:val="0"/>
      <w:marTop w:val="0"/>
      <w:marBottom w:val="0"/>
      <w:divBdr>
        <w:top w:val="none" w:sz="0" w:space="0" w:color="auto"/>
        <w:left w:val="none" w:sz="0" w:space="0" w:color="auto"/>
        <w:bottom w:val="none" w:sz="0" w:space="0" w:color="auto"/>
        <w:right w:val="none" w:sz="0" w:space="0" w:color="auto"/>
      </w:divBdr>
      <w:divsChild>
        <w:div w:id="294139866">
          <w:marLeft w:val="0"/>
          <w:marRight w:val="0"/>
          <w:marTop w:val="0"/>
          <w:marBottom w:val="0"/>
          <w:divBdr>
            <w:top w:val="none" w:sz="0" w:space="0" w:color="auto"/>
            <w:left w:val="none" w:sz="0" w:space="0" w:color="auto"/>
            <w:bottom w:val="none" w:sz="0" w:space="0" w:color="auto"/>
            <w:right w:val="none" w:sz="0" w:space="0" w:color="auto"/>
          </w:divBdr>
          <w:divsChild>
            <w:div w:id="294145016">
              <w:marLeft w:val="0"/>
              <w:marRight w:val="0"/>
              <w:marTop w:val="0"/>
              <w:marBottom w:val="0"/>
              <w:divBdr>
                <w:top w:val="none" w:sz="0" w:space="0" w:color="auto"/>
                <w:left w:val="none" w:sz="0" w:space="0" w:color="auto"/>
                <w:bottom w:val="none" w:sz="0" w:space="0" w:color="auto"/>
                <w:right w:val="none" w:sz="0" w:space="0" w:color="auto"/>
              </w:divBdr>
              <w:divsChild>
                <w:div w:id="294138008">
                  <w:marLeft w:val="0"/>
                  <w:marRight w:val="0"/>
                  <w:marTop w:val="0"/>
                  <w:marBottom w:val="0"/>
                  <w:divBdr>
                    <w:top w:val="none" w:sz="0" w:space="0" w:color="auto"/>
                    <w:left w:val="none" w:sz="0" w:space="0" w:color="auto"/>
                    <w:bottom w:val="none" w:sz="0" w:space="0" w:color="auto"/>
                    <w:right w:val="none" w:sz="0" w:space="0" w:color="auto"/>
                  </w:divBdr>
                </w:div>
                <w:div w:id="294138058">
                  <w:marLeft w:val="0"/>
                  <w:marRight w:val="0"/>
                  <w:marTop w:val="0"/>
                  <w:marBottom w:val="0"/>
                  <w:divBdr>
                    <w:top w:val="none" w:sz="0" w:space="0" w:color="auto"/>
                    <w:left w:val="none" w:sz="0" w:space="0" w:color="auto"/>
                    <w:bottom w:val="none" w:sz="0" w:space="0" w:color="auto"/>
                    <w:right w:val="none" w:sz="0" w:space="0" w:color="auto"/>
                  </w:divBdr>
                </w:div>
                <w:div w:id="294138088">
                  <w:marLeft w:val="0"/>
                  <w:marRight w:val="0"/>
                  <w:marTop w:val="0"/>
                  <w:marBottom w:val="0"/>
                  <w:divBdr>
                    <w:top w:val="none" w:sz="0" w:space="0" w:color="auto"/>
                    <w:left w:val="none" w:sz="0" w:space="0" w:color="auto"/>
                    <w:bottom w:val="none" w:sz="0" w:space="0" w:color="auto"/>
                    <w:right w:val="none" w:sz="0" w:space="0" w:color="auto"/>
                  </w:divBdr>
                </w:div>
                <w:div w:id="294138277">
                  <w:marLeft w:val="0"/>
                  <w:marRight w:val="0"/>
                  <w:marTop w:val="0"/>
                  <w:marBottom w:val="0"/>
                  <w:divBdr>
                    <w:top w:val="none" w:sz="0" w:space="0" w:color="auto"/>
                    <w:left w:val="none" w:sz="0" w:space="0" w:color="auto"/>
                    <w:bottom w:val="none" w:sz="0" w:space="0" w:color="auto"/>
                    <w:right w:val="none" w:sz="0" w:space="0" w:color="auto"/>
                  </w:divBdr>
                </w:div>
                <w:div w:id="294138279">
                  <w:marLeft w:val="0"/>
                  <w:marRight w:val="0"/>
                  <w:marTop w:val="0"/>
                  <w:marBottom w:val="0"/>
                  <w:divBdr>
                    <w:top w:val="none" w:sz="0" w:space="0" w:color="auto"/>
                    <w:left w:val="none" w:sz="0" w:space="0" w:color="auto"/>
                    <w:bottom w:val="none" w:sz="0" w:space="0" w:color="auto"/>
                    <w:right w:val="none" w:sz="0" w:space="0" w:color="auto"/>
                  </w:divBdr>
                </w:div>
                <w:div w:id="294138403">
                  <w:marLeft w:val="0"/>
                  <w:marRight w:val="0"/>
                  <w:marTop w:val="0"/>
                  <w:marBottom w:val="0"/>
                  <w:divBdr>
                    <w:top w:val="none" w:sz="0" w:space="0" w:color="auto"/>
                    <w:left w:val="none" w:sz="0" w:space="0" w:color="auto"/>
                    <w:bottom w:val="none" w:sz="0" w:space="0" w:color="auto"/>
                    <w:right w:val="none" w:sz="0" w:space="0" w:color="auto"/>
                  </w:divBdr>
                </w:div>
                <w:div w:id="294138642">
                  <w:marLeft w:val="0"/>
                  <w:marRight w:val="0"/>
                  <w:marTop w:val="0"/>
                  <w:marBottom w:val="0"/>
                  <w:divBdr>
                    <w:top w:val="none" w:sz="0" w:space="0" w:color="auto"/>
                    <w:left w:val="none" w:sz="0" w:space="0" w:color="auto"/>
                    <w:bottom w:val="none" w:sz="0" w:space="0" w:color="auto"/>
                    <w:right w:val="none" w:sz="0" w:space="0" w:color="auto"/>
                  </w:divBdr>
                </w:div>
                <w:div w:id="294138688">
                  <w:marLeft w:val="0"/>
                  <w:marRight w:val="0"/>
                  <w:marTop w:val="0"/>
                  <w:marBottom w:val="0"/>
                  <w:divBdr>
                    <w:top w:val="none" w:sz="0" w:space="0" w:color="auto"/>
                    <w:left w:val="none" w:sz="0" w:space="0" w:color="auto"/>
                    <w:bottom w:val="none" w:sz="0" w:space="0" w:color="auto"/>
                    <w:right w:val="none" w:sz="0" w:space="0" w:color="auto"/>
                  </w:divBdr>
                </w:div>
                <w:div w:id="294139107">
                  <w:marLeft w:val="0"/>
                  <w:marRight w:val="0"/>
                  <w:marTop w:val="0"/>
                  <w:marBottom w:val="0"/>
                  <w:divBdr>
                    <w:top w:val="none" w:sz="0" w:space="0" w:color="auto"/>
                    <w:left w:val="none" w:sz="0" w:space="0" w:color="auto"/>
                    <w:bottom w:val="none" w:sz="0" w:space="0" w:color="auto"/>
                    <w:right w:val="none" w:sz="0" w:space="0" w:color="auto"/>
                  </w:divBdr>
                </w:div>
                <w:div w:id="294139362">
                  <w:marLeft w:val="0"/>
                  <w:marRight w:val="0"/>
                  <w:marTop w:val="0"/>
                  <w:marBottom w:val="0"/>
                  <w:divBdr>
                    <w:top w:val="none" w:sz="0" w:space="0" w:color="auto"/>
                    <w:left w:val="none" w:sz="0" w:space="0" w:color="auto"/>
                    <w:bottom w:val="none" w:sz="0" w:space="0" w:color="auto"/>
                    <w:right w:val="none" w:sz="0" w:space="0" w:color="auto"/>
                  </w:divBdr>
                </w:div>
                <w:div w:id="294139463">
                  <w:marLeft w:val="0"/>
                  <w:marRight w:val="0"/>
                  <w:marTop w:val="0"/>
                  <w:marBottom w:val="0"/>
                  <w:divBdr>
                    <w:top w:val="none" w:sz="0" w:space="0" w:color="auto"/>
                    <w:left w:val="none" w:sz="0" w:space="0" w:color="auto"/>
                    <w:bottom w:val="none" w:sz="0" w:space="0" w:color="auto"/>
                    <w:right w:val="none" w:sz="0" w:space="0" w:color="auto"/>
                  </w:divBdr>
                </w:div>
                <w:div w:id="294139520">
                  <w:marLeft w:val="0"/>
                  <w:marRight w:val="0"/>
                  <w:marTop w:val="0"/>
                  <w:marBottom w:val="0"/>
                  <w:divBdr>
                    <w:top w:val="none" w:sz="0" w:space="0" w:color="auto"/>
                    <w:left w:val="none" w:sz="0" w:space="0" w:color="auto"/>
                    <w:bottom w:val="none" w:sz="0" w:space="0" w:color="auto"/>
                    <w:right w:val="none" w:sz="0" w:space="0" w:color="auto"/>
                  </w:divBdr>
                </w:div>
                <w:div w:id="294139584">
                  <w:marLeft w:val="0"/>
                  <w:marRight w:val="0"/>
                  <w:marTop w:val="0"/>
                  <w:marBottom w:val="0"/>
                  <w:divBdr>
                    <w:top w:val="none" w:sz="0" w:space="0" w:color="auto"/>
                    <w:left w:val="none" w:sz="0" w:space="0" w:color="auto"/>
                    <w:bottom w:val="none" w:sz="0" w:space="0" w:color="auto"/>
                    <w:right w:val="none" w:sz="0" w:space="0" w:color="auto"/>
                  </w:divBdr>
                </w:div>
                <w:div w:id="294139769">
                  <w:marLeft w:val="0"/>
                  <w:marRight w:val="0"/>
                  <w:marTop w:val="0"/>
                  <w:marBottom w:val="0"/>
                  <w:divBdr>
                    <w:top w:val="none" w:sz="0" w:space="0" w:color="auto"/>
                    <w:left w:val="none" w:sz="0" w:space="0" w:color="auto"/>
                    <w:bottom w:val="none" w:sz="0" w:space="0" w:color="auto"/>
                    <w:right w:val="none" w:sz="0" w:space="0" w:color="auto"/>
                  </w:divBdr>
                </w:div>
                <w:div w:id="294140348">
                  <w:marLeft w:val="0"/>
                  <w:marRight w:val="0"/>
                  <w:marTop w:val="0"/>
                  <w:marBottom w:val="0"/>
                  <w:divBdr>
                    <w:top w:val="none" w:sz="0" w:space="0" w:color="auto"/>
                    <w:left w:val="none" w:sz="0" w:space="0" w:color="auto"/>
                    <w:bottom w:val="none" w:sz="0" w:space="0" w:color="auto"/>
                    <w:right w:val="none" w:sz="0" w:space="0" w:color="auto"/>
                  </w:divBdr>
                </w:div>
                <w:div w:id="294140406">
                  <w:marLeft w:val="0"/>
                  <w:marRight w:val="0"/>
                  <w:marTop w:val="0"/>
                  <w:marBottom w:val="0"/>
                  <w:divBdr>
                    <w:top w:val="none" w:sz="0" w:space="0" w:color="auto"/>
                    <w:left w:val="none" w:sz="0" w:space="0" w:color="auto"/>
                    <w:bottom w:val="none" w:sz="0" w:space="0" w:color="auto"/>
                    <w:right w:val="none" w:sz="0" w:space="0" w:color="auto"/>
                  </w:divBdr>
                </w:div>
                <w:div w:id="294140565">
                  <w:marLeft w:val="0"/>
                  <w:marRight w:val="0"/>
                  <w:marTop w:val="0"/>
                  <w:marBottom w:val="0"/>
                  <w:divBdr>
                    <w:top w:val="none" w:sz="0" w:space="0" w:color="auto"/>
                    <w:left w:val="none" w:sz="0" w:space="0" w:color="auto"/>
                    <w:bottom w:val="none" w:sz="0" w:space="0" w:color="auto"/>
                    <w:right w:val="none" w:sz="0" w:space="0" w:color="auto"/>
                  </w:divBdr>
                </w:div>
                <w:div w:id="294140596">
                  <w:marLeft w:val="0"/>
                  <w:marRight w:val="0"/>
                  <w:marTop w:val="0"/>
                  <w:marBottom w:val="0"/>
                  <w:divBdr>
                    <w:top w:val="none" w:sz="0" w:space="0" w:color="auto"/>
                    <w:left w:val="none" w:sz="0" w:space="0" w:color="auto"/>
                    <w:bottom w:val="none" w:sz="0" w:space="0" w:color="auto"/>
                    <w:right w:val="none" w:sz="0" w:space="0" w:color="auto"/>
                  </w:divBdr>
                </w:div>
                <w:div w:id="294140617">
                  <w:marLeft w:val="0"/>
                  <w:marRight w:val="0"/>
                  <w:marTop w:val="0"/>
                  <w:marBottom w:val="0"/>
                  <w:divBdr>
                    <w:top w:val="none" w:sz="0" w:space="0" w:color="auto"/>
                    <w:left w:val="none" w:sz="0" w:space="0" w:color="auto"/>
                    <w:bottom w:val="none" w:sz="0" w:space="0" w:color="auto"/>
                    <w:right w:val="none" w:sz="0" w:space="0" w:color="auto"/>
                  </w:divBdr>
                </w:div>
                <w:div w:id="294140687">
                  <w:marLeft w:val="0"/>
                  <w:marRight w:val="0"/>
                  <w:marTop w:val="0"/>
                  <w:marBottom w:val="0"/>
                  <w:divBdr>
                    <w:top w:val="none" w:sz="0" w:space="0" w:color="auto"/>
                    <w:left w:val="none" w:sz="0" w:space="0" w:color="auto"/>
                    <w:bottom w:val="none" w:sz="0" w:space="0" w:color="auto"/>
                    <w:right w:val="none" w:sz="0" w:space="0" w:color="auto"/>
                  </w:divBdr>
                </w:div>
                <w:div w:id="294140700">
                  <w:marLeft w:val="0"/>
                  <w:marRight w:val="0"/>
                  <w:marTop w:val="0"/>
                  <w:marBottom w:val="0"/>
                  <w:divBdr>
                    <w:top w:val="none" w:sz="0" w:space="0" w:color="auto"/>
                    <w:left w:val="none" w:sz="0" w:space="0" w:color="auto"/>
                    <w:bottom w:val="none" w:sz="0" w:space="0" w:color="auto"/>
                    <w:right w:val="none" w:sz="0" w:space="0" w:color="auto"/>
                  </w:divBdr>
                </w:div>
                <w:div w:id="294140706">
                  <w:marLeft w:val="0"/>
                  <w:marRight w:val="0"/>
                  <w:marTop w:val="0"/>
                  <w:marBottom w:val="0"/>
                  <w:divBdr>
                    <w:top w:val="none" w:sz="0" w:space="0" w:color="auto"/>
                    <w:left w:val="none" w:sz="0" w:space="0" w:color="auto"/>
                    <w:bottom w:val="none" w:sz="0" w:space="0" w:color="auto"/>
                    <w:right w:val="none" w:sz="0" w:space="0" w:color="auto"/>
                  </w:divBdr>
                </w:div>
                <w:div w:id="294140849">
                  <w:marLeft w:val="0"/>
                  <w:marRight w:val="0"/>
                  <w:marTop w:val="0"/>
                  <w:marBottom w:val="0"/>
                  <w:divBdr>
                    <w:top w:val="none" w:sz="0" w:space="0" w:color="auto"/>
                    <w:left w:val="none" w:sz="0" w:space="0" w:color="auto"/>
                    <w:bottom w:val="none" w:sz="0" w:space="0" w:color="auto"/>
                    <w:right w:val="none" w:sz="0" w:space="0" w:color="auto"/>
                  </w:divBdr>
                </w:div>
                <w:div w:id="294140933">
                  <w:marLeft w:val="0"/>
                  <w:marRight w:val="0"/>
                  <w:marTop w:val="0"/>
                  <w:marBottom w:val="0"/>
                  <w:divBdr>
                    <w:top w:val="none" w:sz="0" w:space="0" w:color="auto"/>
                    <w:left w:val="none" w:sz="0" w:space="0" w:color="auto"/>
                    <w:bottom w:val="none" w:sz="0" w:space="0" w:color="auto"/>
                    <w:right w:val="none" w:sz="0" w:space="0" w:color="auto"/>
                  </w:divBdr>
                </w:div>
                <w:div w:id="294141033">
                  <w:marLeft w:val="0"/>
                  <w:marRight w:val="0"/>
                  <w:marTop w:val="0"/>
                  <w:marBottom w:val="0"/>
                  <w:divBdr>
                    <w:top w:val="none" w:sz="0" w:space="0" w:color="auto"/>
                    <w:left w:val="none" w:sz="0" w:space="0" w:color="auto"/>
                    <w:bottom w:val="none" w:sz="0" w:space="0" w:color="auto"/>
                    <w:right w:val="none" w:sz="0" w:space="0" w:color="auto"/>
                  </w:divBdr>
                </w:div>
                <w:div w:id="294141042">
                  <w:marLeft w:val="0"/>
                  <w:marRight w:val="0"/>
                  <w:marTop w:val="0"/>
                  <w:marBottom w:val="0"/>
                  <w:divBdr>
                    <w:top w:val="none" w:sz="0" w:space="0" w:color="auto"/>
                    <w:left w:val="none" w:sz="0" w:space="0" w:color="auto"/>
                    <w:bottom w:val="none" w:sz="0" w:space="0" w:color="auto"/>
                    <w:right w:val="none" w:sz="0" w:space="0" w:color="auto"/>
                  </w:divBdr>
                </w:div>
                <w:div w:id="294141181">
                  <w:marLeft w:val="0"/>
                  <w:marRight w:val="0"/>
                  <w:marTop w:val="0"/>
                  <w:marBottom w:val="0"/>
                  <w:divBdr>
                    <w:top w:val="none" w:sz="0" w:space="0" w:color="auto"/>
                    <w:left w:val="none" w:sz="0" w:space="0" w:color="auto"/>
                    <w:bottom w:val="none" w:sz="0" w:space="0" w:color="auto"/>
                    <w:right w:val="none" w:sz="0" w:space="0" w:color="auto"/>
                  </w:divBdr>
                </w:div>
                <w:div w:id="294141364">
                  <w:marLeft w:val="0"/>
                  <w:marRight w:val="0"/>
                  <w:marTop w:val="0"/>
                  <w:marBottom w:val="0"/>
                  <w:divBdr>
                    <w:top w:val="none" w:sz="0" w:space="0" w:color="auto"/>
                    <w:left w:val="none" w:sz="0" w:space="0" w:color="auto"/>
                    <w:bottom w:val="none" w:sz="0" w:space="0" w:color="auto"/>
                    <w:right w:val="none" w:sz="0" w:space="0" w:color="auto"/>
                  </w:divBdr>
                </w:div>
                <w:div w:id="294141391">
                  <w:marLeft w:val="0"/>
                  <w:marRight w:val="0"/>
                  <w:marTop w:val="0"/>
                  <w:marBottom w:val="0"/>
                  <w:divBdr>
                    <w:top w:val="none" w:sz="0" w:space="0" w:color="auto"/>
                    <w:left w:val="none" w:sz="0" w:space="0" w:color="auto"/>
                    <w:bottom w:val="none" w:sz="0" w:space="0" w:color="auto"/>
                    <w:right w:val="none" w:sz="0" w:space="0" w:color="auto"/>
                  </w:divBdr>
                </w:div>
                <w:div w:id="294141620">
                  <w:marLeft w:val="0"/>
                  <w:marRight w:val="0"/>
                  <w:marTop w:val="0"/>
                  <w:marBottom w:val="0"/>
                  <w:divBdr>
                    <w:top w:val="none" w:sz="0" w:space="0" w:color="auto"/>
                    <w:left w:val="none" w:sz="0" w:space="0" w:color="auto"/>
                    <w:bottom w:val="none" w:sz="0" w:space="0" w:color="auto"/>
                    <w:right w:val="none" w:sz="0" w:space="0" w:color="auto"/>
                  </w:divBdr>
                </w:div>
                <w:div w:id="294141984">
                  <w:marLeft w:val="0"/>
                  <w:marRight w:val="0"/>
                  <w:marTop w:val="0"/>
                  <w:marBottom w:val="0"/>
                  <w:divBdr>
                    <w:top w:val="none" w:sz="0" w:space="0" w:color="auto"/>
                    <w:left w:val="none" w:sz="0" w:space="0" w:color="auto"/>
                    <w:bottom w:val="none" w:sz="0" w:space="0" w:color="auto"/>
                    <w:right w:val="none" w:sz="0" w:space="0" w:color="auto"/>
                  </w:divBdr>
                </w:div>
                <w:div w:id="294142017">
                  <w:marLeft w:val="0"/>
                  <w:marRight w:val="0"/>
                  <w:marTop w:val="0"/>
                  <w:marBottom w:val="0"/>
                  <w:divBdr>
                    <w:top w:val="none" w:sz="0" w:space="0" w:color="auto"/>
                    <w:left w:val="none" w:sz="0" w:space="0" w:color="auto"/>
                    <w:bottom w:val="none" w:sz="0" w:space="0" w:color="auto"/>
                    <w:right w:val="none" w:sz="0" w:space="0" w:color="auto"/>
                  </w:divBdr>
                </w:div>
                <w:div w:id="294142162">
                  <w:marLeft w:val="0"/>
                  <w:marRight w:val="0"/>
                  <w:marTop w:val="0"/>
                  <w:marBottom w:val="0"/>
                  <w:divBdr>
                    <w:top w:val="none" w:sz="0" w:space="0" w:color="auto"/>
                    <w:left w:val="none" w:sz="0" w:space="0" w:color="auto"/>
                    <w:bottom w:val="none" w:sz="0" w:space="0" w:color="auto"/>
                    <w:right w:val="none" w:sz="0" w:space="0" w:color="auto"/>
                  </w:divBdr>
                </w:div>
                <w:div w:id="294142291">
                  <w:marLeft w:val="0"/>
                  <w:marRight w:val="0"/>
                  <w:marTop w:val="0"/>
                  <w:marBottom w:val="0"/>
                  <w:divBdr>
                    <w:top w:val="none" w:sz="0" w:space="0" w:color="auto"/>
                    <w:left w:val="none" w:sz="0" w:space="0" w:color="auto"/>
                    <w:bottom w:val="none" w:sz="0" w:space="0" w:color="auto"/>
                    <w:right w:val="none" w:sz="0" w:space="0" w:color="auto"/>
                  </w:divBdr>
                </w:div>
                <w:div w:id="294142515">
                  <w:marLeft w:val="0"/>
                  <w:marRight w:val="0"/>
                  <w:marTop w:val="0"/>
                  <w:marBottom w:val="0"/>
                  <w:divBdr>
                    <w:top w:val="none" w:sz="0" w:space="0" w:color="auto"/>
                    <w:left w:val="none" w:sz="0" w:space="0" w:color="auto"/>
                    <w:bottom w:val="none" w:sz="0" w:space="0" w:color="auto"/>
                    <w:right w:val="none" w:sz="0" w:space="0" w:color="auto"/>
                  </w:divBdr>
                </w:div>
                <w:div w:id="294142611">
                  <w:marLeft w:val="0"/>
                  <w:marRight w:val="0"/>
                  <w:marTop w:val="0"/>
                  <w:marBottom w:val="0"/>
                  <w:divBdr>
                    <w:top w:val="none" w:sz="0" w:space="0" w:color="auto"/>
                    <w:left w:val="none" w:sz="0" w:space="0" w:color="auto"/>
                    <w:bottom w:val="none" w:sz="0" w:space="0" w:color="auto"/>
                    <w:right w:val="none" w:sz="0" w:space="0" w:color="auto"/>
                  </w:divBdr>
                </w:div>
                <w:div w:id="294142933">
                  <w:marLeft w:val="0"/>
                  <w:marRight w:val="0"/>
                  <w:marTop w:val="0"/>
                  <w:marBottom w:val="0"/>
                  <w:divBdr>
                    <w:top w:val="none" w:sz="0" w:space="0" w:color="auto"/>
                    <w:left w:val="none" w:sz="0" w:space="0" w:color="auto"/>
                    <w:bottom w:val="none" w:sz="0" w:space="0" w:color="auto"/>
                    <w:right w:val="none" w:sz="0" w:space="0" w:color="auto"/>
                  </w:divBdr>
                </w:div>
                <w:div w:id="294142996">
                  <w:marLeft w:val="0"/>
                  <w:marRight w:val="0"/>
                  <w:marTop w:val="0"/>
                  <w:marBottom w:val="0"/>
                  <w:divBdr>
                    <w:top w:val="none" w:sz="0" w:space="0" w:color="auto"/>
                    <w:left w:val="none" w:sz="0" w:space="0" w:color="auto"/>
                    <w:bottom w:val="none" w:sz="0" w:space="0" w:color="auto"/>
                    <w:right w:val="none" w:sz="0" w:space="0" w:color="auto"/>
                  </w:divBdr>
                </w:div>
                <w:div w:id="294143250">
                  <w:marLeft w:val="0"/>
                  <w:marRight w:val="0"/>
                  <w:marTop w:val="0"/>
                  <w:marBottom w:val="0"/>
                  <w:divBdr>
                    <w:top w:val="none" w:sz="0" w:space="0" w:color="auto"/>
                    <w:left w:val="none" w:sz="0" w:space="0" w:color="auto"/>
                    <w:bottom w:val="none" w:sz="0" w:space="0" w:color="auto"/>
                    <w:right w:val="none" w:sz="0" w:space="0" w:color="auto"/>
                  </w:divBdr>
                </w:div>
                <w:div w:id="294143403">
                  <w:marLeft w:val="0"/>
                  <w:marRight w:val="0"/>
                  <w:marTop w:val="0"/>
                  <w:marBottom w:val="0"/>
                  <w:divBdr>
                    <w:top w:val="none" w:sz="0" w:space="0" w:color="auto"/>
                    <w:left w:val="none" w:sz="0" w:space="0" w:color="auto"/>
                    <w:bottom w:val="none" w:sz="0" w:space="0" w:color="auto"/>
                    <w:right w:val="none" w:sz="0" w:space="0" w:color="auto"/>
                  </w:divBdr>
                </w:div>
                <w:div w:id="294143628">
                  <w:marLeft w:val="0"/>
                  <w:marRight w:val="0"/>
                  <w:marTop w:val="0"/>
                  <w:marBottom w:val="0"/>
                  <w:divBdr>
                    <w:top w:val="none" w:sz="0" w:space="0" w:color="auto"/>
                    <w:left w:val="none" w:sz="0" w:space="0" w:color="auto"/>
                    <w:bottom w:val="none" w:sz="0" w:space="0" w:color="auto"/>
                    <w:right w:val="none" w:sz="0" w:space="0" w:color="auto"/>
                  </w:divBdr>
                </w:div>
                <w:div w:id="294143636">
                  <w:marLeft w:val="0"/>
                  <w:marRight w:val="0"/>
                  <w:marTop w:val="0"/>
                  <w:marBottom w:val="0"/>
                  <w:divBdr>
                    <w:top w:val="none" w:sz="0" w:space="0" w:color="auto"/>
                    <w:left w:val="none" w:sz="0" w:space="0" w:color="auto"/>
                    <w:bottom w:val="none" w:sz="0" w:space="0" w:color="auto"/>
                    <w:right w:val="none" w:sz="0" w:space="0" w:color="auto"/>
                  </w:divBdr>
                </w:div>
                <w:div w:id="294143825">
                  <w:marLeft w:val="0"/>
                  <w:marRight w:val="0"/>
                  <w:marTop w:val="0"/>
                  <w:marBottom w:val="0"/>
                  <w:divBdr>
                    <w:top w:val="none" w:sz="0" w:space="0" w:color="auto"/>
                    <w:left w:val="none" w:sz="0" w:space="0" w:color="auto"/>
                    <w:bottom w:val="none" w:sz="0" w:space="0" w:color="auto"/>
                    <w:right w:val="none" w:sz="0" w:space="0" w:color="auto"/>
                  </w:divBdr>
                </w:div>
                <w:div w:id="294143887">
                  <w:marLeft w:val="0"/>
                  <w:marRight w:val="0"/>
                  <w:marTop w:val="0"/>
                  <w:marBottom w:val="0"/>
                  <w:divBdr>
                    <w:top w:val="none" w:sz="0" w:space="0" w:color="auto"/>
                    <w:left w:val="none" w:sz="0" w:space="0" w:color="auto"/>
                    <w:bottom w:val="none" w:sz="0" w:space="0" w:color="auto"/>
                    <w:right w:val="none" w:sz="0" w:space="0" w:color="auto"/>
                  </w:divBdr>
                </w:div>
                <w:div w:id="294144077">
                  <w:marLeft w:val="0"/>
                  <w:marRight w:val="0"/>
                  <w:marTop w:val="0"/>
                  <w:marBottom w:val="0"/>
                  <w:divBdr>
                    <w:top w:val="none" w:sz="0" w:space="0" w:color="auto"/>
                    <w:left w:val="none" w:sz="0" w:space="0" w:color="auto"/>
                    <w:bottom w:val="none" w:sz="0" w:space="0" w:color="auto"/>
                    <w:right w:val="none" w:sz="0" w:space="0" w:color="auto"/>
                  </w:divBdr>
                </w:div>
                <w:div w:id="294144207">
                  <w:marLeft w:val="0"/>
                  <w:marRight w:val="0"/>
                  <w:marTop w:val="0"/>
                  <w:marBottom w:val="0"/>
                  <w:divBdr>
                    <w:top w:val="none" w:sz="0" w:space="0" w:color="auto"/>
                    <w:left w:val="none" w:sz="0" w:space="0" w:color="auto"/>
                    <w:bottom w:val="none" w:sz="0" w:space="0" w:color="auto"/>
                    <w:right w:val="none" w:sz="0" w:space="0" w:color="auto"/>
                  </w:divBdr>
                </w:div>
                <w:div w:id="294144235">
                  <w:marLeft w:val="0"/>
                  <w:marRight w:val="0"/>
                  <w:marTop w:val="0"/>
                  <w:marBottom w:val="0"/>
                  <w:divBdr>
                    <w:top w:val="none" w:sz="0" w:space="0" w:color="auto"/>
                    <w:left w:val="none" w:sz="0" w:space="0" w:color="auto"/>
                    <w:bottom w:val="none" w:sz="0" w:space="0" w:color="auto"/>
                    <w:right w:val="none" w:sz="0" w:space="0" w:color="auto"/>
                  </w:divBdr>
                </w:div>
                <w:div w:id="294144358">
                  <w:marLeft w:val="0"/>
                  <w:marRight w:val="0"/>
                  <w:marTop w:val="0"/>
                  <w:marBottom w:val="0"/>
                  <w:divBdr>
                    <w:top w:val="none" w:sz="0" w:space="0" w:color="auto"/>
                    <w:left w:val="none" w:sz="0" w:space="0" w:color="auto"/>
                    <w:bottom w:val="none" w:sz="0" w:space="0" w:color="auto"/>
                    <w:right w:val="none" w:sz="0" w:space="0" w:color="auto"/>
                  </w:divBdr>
                </w:div>
                <w:div w:id="294144422">
                  <w:marLeft w:val="0"/>
                  <w:marRight w:val="0"/>
                  <w:marTop w:val="0"/>
                  <w:marBottom w:val="0"/>
                  <w:divBdr>
                    <w:top w:val="none" w:sz="0" w:space="0" w:color="auto"/>
                    <w:left w:val="none" w:sz="0" w:space="0" w:color="auto"/>
                    <w:bottom w:val="none" w:sz="0" w:space="0" w:color="auto"/>
                    <w:right w:val="none" w:sz="0" w:space="0" w:color="auto"/>
                  </w:divBdr>
                </w:div>
                <w:div w:id="294144792">
                  <w:marLeft w:val="0"/>
                  <w:marRight w:val="0"/>
                  <w:marTop w:val="0"/>
                  <w:marBottom w:val="0"/>
                  <w:divBdr>
                    <w:top w:val="none" w:sz="0" w:space="0" w:color="auto"/>
                    <w:left w:val="none" w:sz="0" w:space="0" w:color="auto"/>
                    <w:bottom w:val="none" w:sz="0" w:space="0" w:color="auto"/>
                    <w:right w:val="none" w:sz="0" w:space="0" w:color="auto"/>
                  </w:divBdr>
                </w:div>
                <w:div w:id="29414511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0"/>
                  <w:divBdr>
                    <w:top w:val="none" w:sz="0" w:space="0" w:color="auto"/>
                    <w:left w:val="none" w:sz="0" w:space="0" w:color="auto"/>
                    <w:bottom w:val="none" w:sz="0" w:space="0" w:color="auto"/>
                    <w:right w:val="none" w:sz="0" w:space="0" w:color="auto"/>
                  </w:divBdr>
                </w:div>
                <w:div w:id="294145370">
                  <w:marLeft w:val="0"/>
                  <w:marRight w:val="0"/>
                  <w:marTop w:val="0"/>
                  <w:marBottom w:val="0"/>
                  <w:divBdr>
                    <w:top w:val="none" w:sz="0" w:space="0" w:color="auto"/>
                    <w:left w:val="none" w:sz="0" w:space="0" w:color="auto"/>
                    <w:bottom w:val="none" w:sz="0" w:space="0" w:color="auto"/>
                    <w:right w:val="none" w:sz="0" w:space="0" w:color="auto"/>
                  </w:divBdr>
                </w:div>
                <w:div w:id="294146405">
                  <w:marLeft w:val="0"/>
                  <w:marRight w:val="0"/>
                  <w:marTop w:val="0"/>
                  <w:marBottom w:val="0"/>
                  <w:divBdr>
                    <w:top w:val="none" w:sz="0" w:space="0" w:color="auto"/>
                    <w:left w:val="none" w:sz="0" w:space="0" w:color="auto"/>
                    <w:bottom w:val="none" w:sz="0" w:space="0" w:color="auto"/>
                    <w:right w:val="none" w:sz="0" w:space="0" w:color="auto"/>
                  </w:divBdr>
                </w:div>
                <w:div w:id="294146468">
                  <w:marLeft w:val="0"/>
                  <w:marRight w:val="0"/>
                  <w:marTop w:val="0"/>
                  <w:marBottom w:val="0"/>
                  <w:divBdr>
                    <w:top w:val="none" w:sz="0" w:space="0" w:color="auto"/>
                    <w:left w:val="none" w:sz="0" w:space="0" w:color="auto"/>
                    <w:bottom w:val="none" w:sz="0" w:space="0" w:color="auto"/>
                    <w:right w:val="none" w:sz="0" w:space="0" w:color="auto"/>
                  </w:divBdr>
                </w:div>
                <w:div w:id="294146574">
                  <w:marLeft w:val="0"/>
                  <w:marRight w:val="0"/>
                  <w:marTop w:val="0"/>
                  <w:marBottom w:val="0"/>
                  <w:divBdr>
                    <w:top w:val="none" w:sz="0" w:space="0" w:color="auto"/>
                    <w:left w:val="none" w:sz="0" w:space="0" w:color="auto"/>
                    <w:bottom w:val="none" w:sz="0" w:space="0" w:color="auto"/>
                    <w:right w:val="none" w:sz="0" w:space="0" w:color="auto"/>
                  </w:divBdr>
                </w:div>
                <w:div w:id="294147107">
                  <w:marLeft w:val="0"/>
                  <w:marRight w:val="0"/>
                  <w:marTop w:val="0"/>
                  <w:marBottom w:val="0"/>
                  <w:divBdr>
                    <w:top w:val="none" w:sz="0" w:space="0" w:color="auto"/>
                    <w:left w:val="none" w:sz="0" w:space="0" w:color="auto"/>
                    <w:bottom w:val="none" w:sz="0" w:space="0" w:color="auto"/>
                    <w:right w:val="none" w:sz="0" w:space="0" w:color="auto"/>
                  </w:divBdr>
                </w:div>
                <w:div w:id="294147231">
                  <w:marLeft w:val="0"/>
                  <w:marRight w:val="0"/>
                  <w:marTop w:val="0"/>
                  <w:marBottom w:val="0"/>
                  <w:divBdr>
                    <w:top w:val="none" w:sz="0" w:space="0" w:color="auto"/>
                    <w:left w:val="none" w:sz="0" w:space="0" w:color="auto"/>
                    <w:bottom w:val="none" w:sz="0" w:space="0" w:color="auto"/>
                    <w:right w:val="none" w:sz="0" w:space="0" w:color="auto"/>
                  </w:divBdr>
                </w:div>
                <w:div w:id="294147339">
                  <w:marLeft w:val="0"/>
                  <w:marRight w:val="0"/>
                  <w:marTop w:val="0"/>
                  <w:marBottom w:val="0"/>
                  <w:divBdr>
                    <w:top w:val="none" w:sz="0" w:space="0" w:color="auto"/>
                    <w:left w:val="none" w:sz="0" w:space="0" w:color="auto"/>
                    <w:bottom w:val="none" w:sz="0" w:space="0" w:color="auto"/>
                    <w:right w:val="none" w:sz="0" w:space="0" w:color="auto"/>
                  </w:divBdr>
                </w:div>
                <w:div w:id="294147533">
                  <w:marLeft w:val="0"/>
                  <w:marRight w:val="0"/>
                  <w:marTop w:val="0"/>
                  <w:marBottom w:val="0"/>
                  <w:divBdr>
                    <w:top w:val="none" w:sz="0" w:space="0" w:color="auto"/>
                    <w:left w:val="none" w:sz="0" w:space="0" w:color="auto"/>
                    <w:bottom w:val="none" w:sz="0" w:space="0" w:color="auto"/>
                    <w:right w:val="none" w:sz="0" w:space="0" w:color="auto"/>
                  </w:divBdr>
                </w:div>
                <w:div w:id="294147878">
                  <w:marLeft w:val="0"/>
                  <w:marRight w:val="0"/>
                  <w:marTop w:val="0"/>
                  <w:marBottom w:val="0"/>
                  <w:divBdr>
                    <w:top w:val="none" w:sz="0" w:space="0" w:color="auto"/>
                    <w:left w:val="none" w:sz="0" w:space="0" w:color="auto"/>
                    <w:bottom w:val="none" w:sz="0" w:space="0" w:color="auto"/>
                    <w:right w:val="none" w:sz="0" w:space="0" w:color="auto"/>
                  </w:divBdr>
                </w:div>
                <w:div w:id="294148092">
                  <w:marLeft w:val="0"/>
                  <w:marRight w:val="0"/>
                  <w:marTop w:val="0"/>
                  <w:marBottom w:val="0"/>
                  <w:divBdr>
                    <w:top w:val="none" w:sz="0" w:space="0" w:color="auto"/>
                    <w:left w:val="none" w:sz="0" w:space="0" w:color="auto"/>
                    <w:bottom w:val="none" w:sz="0" w:space="0" w:color="auto"/>
                    <w:right w:val="none" w:sz="0" w:space="0" w:color="auto"/>
                  </w:divBdr>
                </w:div>
                <w:div w:id="294148150">
                  <w:marLeft w:val="0"/>
                  <w:marRight w:val="0"/>
                  <w:marTop w:val="0"/>
                  <w:marBottom w:val="0"/>
                  <w:divBdr>
                    <w:top w:val="none" w:sz="0" w:space="0" w:color="auto"/>
                    <w:left w:val="none" w:sz="0" w:space="0" w:color="auto"/>
                    <w:bottom w:val="none" w:sz="0" w:space="0" w:color="auto"/>
                    <w:right w:val="none" w:sz="0" w:space="0" w:color="auto"/>
                  </w:divBdr>
                </w:div>
                <w:div w:id="294148202">
                  <w:marLeft w:val="0"/>
                  <w:marRight w:val="0"/>
                  <w:marTop w:val="0"/>
                  <w:marBottom w:val="0"/>
                  <w:divBdr>
                    <w:top w:val="none" w:sz="0" w:space="0" w:color="auto"/>
                    <w:left w:val="none" w:sz="0" w:space="0" w:color="auto"/>
                    <w:bottom w:val="none" w:sz="0" w:space="0" w:color="auto"/>
                    <w:right w:val="none" w:sz="0" w:space="0" w:color="auto"/>
                  </w:divBdr>
                </w:div>
                <w:div w:id="294148479">
                  <w:marLeft w:val="0"/>
                  <w:marRight w:val="0"/>
                  <w:marTop w:val="0"/>
                  <w:marBottom w:val="0"/>
                  <w:divBdr>
                    <w:top w:val="none" w:sz="0" w:space="0" w:color="auto"/>
                    <w:left w:val="none" w:sz="0" w:space="0" w:color="auto"/>
                    <w:bottom w:val="none" w:sz="0" w:space="0" w:color="auto"/>
                    <w:right w:val="none" w:sz="0" w:space="0" w:color="auto"/>
                  </w:divBdr>
                </w:div>
                <w:div w:id="294148517">
                  <w:marLeft w:val="0"/>
                  <w:marRight w:val="0"/>
                  <w:marTop w:val="0"/>
                  <w:marBottom w:val="0"/>
                  <w:divBdr>
                    <w:top w:val="none" w:sz="0" w:space="0" w:color="auto"/>
                    <w:left w:val="none" w:sz="0" w:space="0" w:color="auto"/>
                    <w:bottom w:val="none" w:sz="0" w:space="0" w:color="auto"/>
                    <w:right w:val="none" w:sz="0" w:space="0" w:color="auto"/>
                  </w:divBdr>
                </w:div>
                <w:div w:id="294148578">
                  <w:marLeft w:val="0"/>
                  <w:marRight w:val="0"/>
                  <w:marTop w:val="0"/>
                  <w:marBottom w:val="0"/>
                  <w:divBdr>
                    <w:top w:val="none" w:sz="0" w:space="0" w:color="auto"/>
                    <w:left w:val="none" w:sz="0" w:space="0" w:color="auto"/>
                    <w:bottom w:val="none" w:sz="0" w:space="0" w:color="auto"/>
                    <w:right w:val="none" w:sz="0" w:space="0" w:color="auto"/>
                  </w:divBdr>
                </w:div>
                <w:div w:id="294148595">
                  <w:marLeft w:val="0"/>
                  <w:marRight w:val="0"/>
                  <w:marTop w:val="0"/>
                  <w:marBottom w:val="0"/>
                  <w:divBdr>
                    <w:top w:val="none" w:sz="0" w:space="0" w:color="auto"/>
                    <w:left w:val="none" w:sz="0" w:space="0" w:color="auto"/>
                    <w:bottom w:val="none" w:sz="0" w:space="0" w:color="auto"/>
                    <w:right w:val="none" w:sz="0" w:space="0" w:color="auto"/>
                  </w:divBdr>
                </w:div>
                <w:div w:id="294148841">
                  <w:marLeft w:val="0"/>
                  <w:marRight w:val="0"/>
                  <w:marTop w:val="0"/>
                  <w:marBottom w:val="0"/>
                  <w:divBdr>
                    <w:top w:val="none" w:sz="0" w:space="0" w:color="auto"/>
                    <w:left w:val="none" w:sz="0" w:space="0" w:color="auto"/>
                    <w:bottom w:val="none" w:sz="0" w:space="0" w:color="auto"/>
                    <w:right w:val="none" w:sz="0" w:space="0" w:color="auto"/>
                  </w:divBdr>
                </w:div>
                <w:div w:id="294149136">
                  <w:marLeft w:val="0"/>
                  <w:marRight w:val="0"/>
                  <w:marTop w:val="0"/>
                  <w:marBottom w:val="0"/>
                  <w:divBdr>
                    <w:top w:val="none" w:sz="0" w:space="0" w:color="auto"/>
                    <w:left w:val="none" w:sz="0" w:space="0" w:color="auto"/>
                    <w:bottom w:val="none" w:sz="0" w:space="0" w:color="auto"/>
                    <w:right w:val="none" w:sz="0" w:space="0" w:color="auto"/>
                  </w:divBdr>
                </w:div>
                <w:div w:id="294149140">
                  <w:marLeft w:val="0"/>
                  <w:marRight w:val="0"/>
                  <w:marTop w:val="0"/>
                  <w:marBottom w:val="0"/>
                  <w:divBdr>
                    <w:top w:val="none" w:sz="0" w:space="0" w:color="auto"/>
                    <w:left w:val="none" w:sz="0" w:space="0" w:color="auto"/>
                    <w:bottom w:val="none" w:sz="0" w:space="0" w:color="auto"/>
                    <w:right w:val="none" w:sz="0" w:space="0" w:color="auto"/>
                  </w:divBdr>
                </w:div>
                <w:div w:id="294149167">
                  <w:marLeft w:val="0"/>
                  <w:marRight w:val="0"/>
                  <w:marTop w:val="0"/>
                  <w:marBottom w:val="0"/>
                  <w:divBdr>
                    <w:top w:val="none" w:sz="0" w:space="0" w:color="auto"/>
                    <w:left w:val="none" w:sz="0" w:space="0" w:color="auto"/>
                    <w:bottom w:val="none" w:sz="0" w:space="0" w:color="auto"/>
                    <w:right w:val="none" w:sz="0" w:space="0" w:color="auto"/>
                  </w:divBdr>
                </w:div>
                <w:div w:id="294149177">
                  <w:marLeft w:val="0"/>
                  <w:marRight w:val="0"/>
                  <w:marTop w:val="0"/>
                  <w:marBottom w:val="0"/>
                  <w:divBdr>
                    <w:top w:val="none" w:sz="0" w:space="0" w:color="auto"/>
                    <w:left w:val="none" w:sz="0" w:space="0" w:color="auto"/>
                    <w:bottom w:val="none" w:sz="0" w:space="0" w:color="auto"/>
                    <w:right w:val="none" w:sz="0" w:space="0" w:color="auto"/>
                  </w:divBdr>
                </w:div>
                <w:div w:id="294149312">
                  <w:marLeft w:val="0"/>
                  <w:marRight w:val="0"/>
                  <w:marTop w:val="0"/>
                  <w:marBottom w:val="0"/>
                  <w:divBdr>
                    <w:top w:val="none" w:sz="0" w:space="0" w:color="auto"/>
                    <w:left w:val="none" w:sz="0" w:space="0" w:color="auto"/>
                    <w:bottom w:val="none" w:sz="0" w:space="0" w:color="auto"/>
                    <w:right w:val="none" w:sz="0" w:space="0" w:color="auto"/>
                  </w:divBdr>
                </w:div>
                <w:div w:id="294149517">
                  <w:marLeft w:val="0"/>
                  <w:marRight w:val="0"/>
                  <w:marTop w:val="0"/>
                  <w:marBottom w:val="0"/>
                  <w:divBdr>
                    <w:top w:val="none" w:sz="0" w:space="0" w:color="auto"/>
                    <w:left w:val="none" w:sz="0" w:space="0" w:color="auto"/>
                    <w:bottom w:val="none" w:sz="0" w:space="0" w:color="auto"/>
                    <w:right w:val="none" w:sz="0" w:space="0" w:color="auto"/>
                  </w:divBdr>
                </w:div>
                <w:div w:id="294149741">
                  <w:marLeft w:val="0"/>
                  <w:marRight w:val="0"/>
                  <w:marTop w:val="0"/>
                  <w:marBottom w:val="0"/>
                  <w:divBdr>
                    <w:top w:val="none" w:sz="0" w:space="0" w:color="auto"/>
                    <w:left w:val="none" w:sz="0" w:space="0" w:color="auto"/>
                    <w:bottom w:val="none" w:sz="0" w:space="0" w:color="auto"/>
                    <w:right w:val="none" w:sz="0" w:space="0" w:color="auto"/>
                  </w:divBdr>
                </w:div>
                <w:div w:id="294149798">
                  <w:marLeft w:val="0"/>
                  <w:marRight w:val="0"/>
                  <w:marTop w:val="0"/>
                  <w:marBottom w:val="0"/>
                  <w:divBdr>
                    <w:top w:val="none" w:sz="0" w:space="0" w:color="auto"/>
                    <w:left w:val="none" w:sz="0" w:space="0" w:color="auto"/>
                    <w:bottom w:val="none" w:sz="0" w:space="0" w:color="auto"/>
                    <w:right w:val="none" w:sz="0" w:space="0" w:color="auto"/>
                  </w:divBdr>
                </w:div>
                <w:div w:id="294150110">
                  <w:marLeft w:val="0"/>
                  <w:marRight w:val="0"/>
                  <w:marTop w:val="0"/>
                  <w:marBottom w:val="0"/>
                  <w:divBdr>
                    <w:top w:val="none" w:sz="0" w:space="0" w:color="auto"/>
                    <w:left w:val="none" w:sz="0" w:space="0" w:color="auto"/>
                    <w:bottom w:val="none" w:sz="0" w:space="0" w:color="auto"/>
                    <w:right w:val="none" w:sz="0" w:space="0" w:color="auto"/>
                  </w:divBdr>
                </w:div>
                <w:div w:id="294150152">
                  <w:marLeft w:val="0"/>
                  <w:marRight w:val="0"/>
                  <w:marTop w:val="0"/>
                  <w:marBottom w:val="0"/>
                  <w:divBdr>
                    <w:top w:val="none" w:sz="0" w:space="0" w:color="auto"/>
                    <w:left w:val="none" w:sz="0" w:space="0" w:color="auto"/>
                    <w:bottom w:val="none" w:sz="0" w:space="0" w:color="auto"/>
                    <w:right w:val="none" w:sz="0" w:space="0" w:color="auto"/>
                  </w:divBdr>
                </w:div>
                <w:div w:id="294150183">
                  <w:marLeft w:val="0"/>
                  <w:marRight w:val="0"/>
                  <w:marTop w:val="0"/>
                  <w:marBottom w:val="0"/>
                  <w:divBdr>
                    <w:top w:val="none" w:sz="0" w:space="0" w:color="auto"/>
                    <w:left w:val="none" w:sz="0" w:space="0" w:color="auto"/>
                    <w:bottom w:val="none" w:sz="0" w:space="0" w:color="auto"/>
                    <w:right w:val="none" w:sz="0" w:space="0" w:color="auto"/>
                  </w:divBdr>
                </w:div>
                <w:div w:id="294150231">
                  <w:marLeft w:val="0"/>
                  <w:marRight w:val="0"/>
                  <w:marTop w:val="0"/>
                  <w:marBottom w:val="0"/>
                  <w:divBdr>
                    <w:top w:val="none" w:sz="0" w:space="0" w:color="auto"/>
                    <w:left w:val="none" w:sz="0" w:space="0" w:color="auto"/>
                    <w:bottom w:val="none" w:sz="0" w:space="0" w:color="auto"/>
                    <w:right w:val="none" w:sz="0" w:space="0" w:color="auto"/>
                  </w:divBdr>
                </w:div>
                <w:div w:id="294150372">
                  <w:marLeft w:val="0"/>
                  <w:marRight w:val="0"/>
                  <w:marTop w:val="0"/>
                  <w:marBottom w:val="0"/>
                  <w:divBdr>
                    <w:top w:val="none" w:sz="0" w:space="0" w:color="auto"/>
                    <w:left w:val="none" w:sz="0" w:space="0" w:color="auto"/>
                    <w:bottom w:val="none" w:sz="0" w:space="0" w:color="auto"/>
                    <w:right w:val="none" w:sz="0" w:space="0" w:color="auto"/>
                  </w:divBdr>
                </w:div>
                <w:div w:id="294150533">
                  <w:marLeft w:val="0"/>
                  <w:marRight w:val="0"/>
                  <w:marTop w:val="0"/>
                  <w:marBottom w:val="0"/>
                  <w:divBdr>
                    <w:top w:val="none" w:sz="0" w:space="0" w:color="auto"/>
                    <w:left w:val="none" w:sz="0" w:space="0" w:color="auto"/>
                    <w:bottom w:val="none" w:sz="0" w:space="0" w:color="auto"/>
                    <w:right w:val="none" w:sz="0" w:space="0" w:color="auto"/>
                  </w:divBdr>
                </w:div>
                <w:div w:id="294150534">
                  <w:marLeft w:val="0"/>
                  <w:marRight w:val="0"/>
                  <w:marTop w:val="0"/>
                  <w:marBottom w:val="0"/>
                  <w:divBdr>
                    <w:top w:val="none" w:sz="0" w:space="0" w:color="auto"/>
                    <w:left w:val="none" w:sz="0" w:space="0" w:color="auto"/>
                    <w:bottom w:val="none" w:sz="0" w:space="0" w:color="auto"/>
                    <w:right w:val="none" w:sz="0" w:space="0" w:color="auto"/>
                  </w:divBdr>
                </w:div>
                <w:div w:id="294150609">
                  <w:marLeft w:val="0"/>
                  <w:marRight w:val="0"/>
                  <w:marTop w:val="0"/>
                  <w:marBottom w:val="0"/>
                  <w:divBdr>
                    <w:top w:val="none" w:sz="0" w:space="0" w:color="auto"/>
                    <w:left w:val="none" w:sz="0" w:space="0" w:color="auto"/>
                    <w:bottom w:val="none" w:sz="0" w:space="0" w:color="auto"/>
                    <w:right w:val="none" w:sz="0" w:space="0" w:color="auto"/>
                  </w:divBdr>
                </w:div>
                <w:div w:id="294150663">
                  <w:marLeft w:val="0"/>
                  <w:marRight w:val="0"/>
                  <w:marTop w:val="0"/>
                  <w:marBottom w:val="0"/>
                  <w:divBdr>
                    <w:top w:val="none" w:sz="0" w:space="0" w:color="auto"/>
                    <w:left w:val="none" w:sz="0" w:space="0" w:color="auto"/>
                    <w:bottom w:val="none" w:sz="0" w:space="0" w:color="auto"/>
                    <w:right w:val="none" w:sz="0" w:space="0" w:color="auto"/>
                  </w:divBdr>
                </w:div>
                <w:div w:id="294150665">
                  <w:marLeft w:val="0"/>
                  <w:marRight w:val="0"/>
                  <w:marTop w:val="0"/>
                  <w:marBottom w:val="0"/>
                  <w:divBdr>
                    <w:top w:val="none" w:sz="0" w:space="0" w:color="auto"/>
                    <w:left w:val="none" w:sz="0" w:space="0" w:color="auto"/>
                    <w:bottom w:val="none" w:sz="0" w:space="0" w:color="auto"/>
                    <w:right w:val="none" w:sz="0" w:space="0" w:color="auto"/>
                  </w:divBdr>
                </w:div>
                <w:div w:id="294150917">
                  <w:marLeft w:val="0"/>
                  <w:marRight w:val="0"/>
                  <w:marTop w:val="0"/>
                  <w:marBottom w:val="0"/>
                  <w:divBdr>
                    <w:top w:val="none" w:sz="0" w:space="0" w:color="auto"/>
                    <w:left w:val="none" w:sz="0" w:space="0" w:color="auto"/>
                    <w:bottom w:val="none" w:sz="0" w:space="0" w:color="auto"/>
                    <w:right w:val="none" w:sz="0" w:space="0" w:color="auto"/>
                  </w:divBdr>
                </w:div>
                <w:div w:id="294151108">
                  <w:marLeft w:val="0"/>
                  <w:marRight w:val="0"/>
                  <w:marTop w:val="0"/>
                  <w:marBottom w:val="0"/>
                  <w:divBdr>
                    <w:top w:val="none" w:sz="0" w:space="0" w:color="auto"/>
                    <w:left w:val="none" w:sz="0" w:space="0" w:color="auto"/>
                    <w:bottom w:val="none" w:sz="0" w:space="0" w:color="auto"/>
                    <w:right w:val="none" w:sz="0" w:space="0" w:color="auto"/>
                  </w:divBdr>
                </w:div>
                <w:div w:id="294151198">
                  <w:marLeft w:val="0"/>
                  <w:marRight w:val="0"/>
                  <w:marTop w:val="0"/>
                  <w:marBottom w:val="0"/>
                  <w:divBdr>
                    <w:top w:val="none" w:sz="0" w:space="0" w:color="auto"/>
                    <w:left w:val="none" w:sz="0" w:space="0" w:color="auto"/>
                    <w:bottom w:val="none" w:sz="0" w:space="0" w:color="auto"/>
                    <w:right w:val="none" w:sz="0" w:space="0" w:color="auto"/>
                  </w:divBdr>
                </w:div>
                <w:div w:id="294151214">
                  <w:marLeft w:val="0"/>
                  <w:marRight w:val="0"/>
                  <w:marTop w:val="0"/>
                  <w:marBottom w:val="0"/>
                  <w:divBdr>
                    <w:top w:val="none" w:sz="0" w:space="0" w:color="auto"/>
                    <w:left w:val="none" w:sz="0" w:space="0" w:color="auto"/>
                    <w:bottom w:val="none" w:sz="0" w:space="0" w:color="auto"/>
                    <w:right w:val="none" w:sz="0" w:space="0" w:color="auto"/>
                  </w:divBdr>
                </w:div>
                <w:div w:id="294151347">
                  <w:marLeft w:val="0"/>
                  <w:marRight w:val="0"/>
                  <w:marTop w:val="0"/>
                  <w:marBottom w:val="0"/>
                  <w:divBdr>
                    <w:top w:val="none" w:sz="0" w:space="0" w:color="auto"/>
                    <w:left w:val="none" w:sz="0" w:space="0" w:color="auto"/>
                    <w:bottom w:val="none" w:sz="0" w:space="0" w:color="auto"/>
                    <w:right w:val="none" w:sz="0" w:space="0" w:color="auto"/>
                  </w:divBdr>
                </w:div>
                <w:div w:id="294151472">
                  <w:marLeft w:val="0"/>
                  <w:marRight w:val="0"/>
                  <w:marTop w:val="0"/>
                  <w:marBottom w:val="0"/>
                  <w:divBdr>
                    <w:top w:val="none" w:sz="0" w:space="0" w:color="auto"/>
                    <w:left w:val="none" w:sz="0" w:space="0" w:color="auto"/>
                    <w:bottom w:val="none" w:sz="0" w:space="0" w:color="auto"/>
                    <w:right w:val="none" w:sz="0" w:space="0" w:color="auto"/>
                  </w:divBdr>
                </w:div>
                <w:div w:id="294151486">
                  <w:marLeft w:val="0"/>
                  <w:marRight w:val="0"/>
                  <w:marTop w:val="0"/>
                  <w:marBottom w:val="0"/>
                  <w:divBdr>
                    <w:top w:val="none" w:sz="0" w:space="0" w:color="auto"/>
                    <w:left w:val="none" w:sz="0" w:space="0" w:color="auto"/>
                    <w:bottom w:val="none" w:sz="0" w:space="0" w:color="auto"/>
                    <w:right w:val="none" w:sz="0" w:space="0" w:color="auto"/>
                  </w:divBdr>
                </w:div>
                <w:div w:id="294151726">
                  <w:marLeft w:val="0"/>
                  <w:marRight w:val="0"/>
                  <w:marTop w:val="0"/>
                  <w:marBottom w:val="0"/>
                  <w:divBdr>
                    <w:top w:val="none" w:sz="0" w:space="0" w:color="auto"/>
                    <w:left w:val="none" w:sz="0" w:space="0" w:color="auto"/>
                    <w:bottom w:val="none" w:sz="0" w:space="0" w:color="auto"/>
                    <w:right w:val="none" w:sz="0" w:space="0" w:color="auto"/>
                  </w:divBdr>
                </w:div>
                <w:div w:id="294152111">
                  <w:marLeft w:val="0"/>
                  <w:marRight w:val="0"/>
                  <w:marTop w:val="0"/>
                  <w:marBottom w:val="0"/>
                  <w:divBdr>
                    <w:top w:val="none" w:sz="0" w:space="0" w:color="auto"/>
                    <w:left w:val="none" w:sz="0" w:space="0" w:color="auto"/>
                    <w:bottom w:val="none" w:sz="0" w:space="0" w:color="auto"/>
                    <w:right w:val="none" w:sz="0" w:space="0" w:color="auto"/>
                  </w:divBdr>
                </w:div>
                <w:div w:id="294152270">
                  <w:marLeft w:val="0"/>
                  <w:marRight w:val="0"/>
                  <w:marTop w:val="0"/>
                  <w:marBottom w:val="0"/>
                  <w:divBdr>
                    <w:top w:val="none" w:sz="0" w:space="0" w:color="auto"/>
                    <w:left w:val="none" w:sz="0" w:space="0" w:color="auto"/>
                    <w:bottom w:val="none" w:sz="0" w:space="0" w:color="auto"/>
                    <w:right w:val="none" w:sz="0" w:space="0" w:color="auto"/>
                  </w:divBdr>
                </w:div>
                <w:div w:id="294152278">
                  <w:marLeft w:val="0"/>
                  <w:marRight w:val="0"/>
                  <w:marTop w:val="0"/>
                  <w:marBottom w:val="0"/>
                  <w:divBdr>
                    <w:top w:val="none" w:sz="0" w:space="0" w:color="auto"/>
                    <w:left w:val="none" w:sz="0" w:space="0" w:color="auto"/>
                    <w:bottom w:val="none" w:sz="0" w:space="0" w:color="auto"/>
                    <w:right w:val="none" w:sz="0" w:space="0" w:color="auto"/>
                  </w:divBdr>
                </w:div>
                <w:div w:id="294152325">
                  <w:marLeft w:val="0"/>
                  <w:marRight w:val="0"/>
                  <w:marTop w:val="0"/>
                  <w:marBottom w:val="0"/>
                  <w:divBdr>
                    <w:top w:val="none" w:sz="0" w:space="0" w:color="auto"/>
                    <w:left w:val="none" w:sz="0" w:space="0" w:color="auto"/>
                    <w:bottom w:val="none" w:sz="0" w:space="0" w:color="auto"/>
                    <w:right w:val="none" w:sz="0" w:space="0" w:color="auto"/>
                  </w:divBdr>
                </w:div>
                <w:div w:id="294152478">
                  <w:marLeft w:val="0"/>
                  <w:marRight w:val="0"/>
                  <w:marTop w:val="0"/>
                  <w:marBottom w:val="0"/>
                  <w:divBdr>
                    <w:top w:val="none" w:sz="0" w:space="0" w:color="auto"/>
                    <w:left w:val="none" w:sz="0" w:space="0" w:color="auto"/>
                    <w:bottom w:val="none" w:sz="0" w:space="0" w:color="auto"/>
                    <w:right w:val="none" w:sz="0" w:space="0" w:color="auto"/>
                  </w:divBdr>
                </w:div>
                <w:div w:id="294152792">
                  <w:marLeft w:val="0"/>
                  <w:marRight w:val="0"/>
                  <w:marTop w:val="0"/>
                  <w:marBottom w:val="0"/>
                  <w:divBdr>
                    <w:top w:val="none" w:sz="0" w:space="0" w:color="auto"/>
                    <w:left w:val="none" w:sz="0" w:space="0" w:color="auto"/>
                    <w:bottom w:val="none" w:sz="0" w:space="0" w:color="auto"/>
                    <w:right w:val="none" w:sz="0" w:space="0" w:color="auto"/>
                  </w:divBdr>
                </w:div>
                <w:div w:id="294153029">
                  <w:marLeft w:val="0"/>
                  <w:marRight w:val="0"/>
                  <w:marTop w:val="0"/>
                  <w:marBottom w:val="0"/>
                  <w:divBdr>
                    <w:top w:val="none" w:sz="0" w:space="0" w:color="auto"/>
                    <w:left w:val="none" w:sz="0" w:space="0" w:color="auto"/>
                    <w:bottom w:val="none" w:sz="0" w:space="0" w:color="auto"/>
                    <w:right w:val="none" w:sz="0" w:space="0" w:color="auto"/>
                  </w:divBdr>
                </w:div>
                <w:div w:id="294153087">
                  <w:marLeft w:val="0"/>
                  <w:marRight w:val="0"/>
                  <w:marTop w:val="0"/>
                  <w:marBottom w:val="0"/>
                  <w:divBdr>
                    <w:top w:val="none" w:sz="0" w:space="0" w:color="auto"/>
                    <w:left w:val="none" w:sz="0" w:space="0" w:color="auto"/>
                    <w:bottom w:val="none" w:sz="0" w:space="0" w:color="auto"/>
                    <w:right w:val="none" w:sz="0" w:space="0" w:color="auto"/>
                  </w:divBdr>
                </w:div>
                <w:div w:id="294153204">
                  <w:marLeft w:val="0"/>
                  <w:marRight w:val="0"/>
                  <w:marTop w:val="0"/>
                  <w:marBottom w:val="0"/>
                  <w:divBdr>
                    <w:top w:val="none" w:sz="0" w:space="0" w:color="auto"/>
                    <w:left w:val="none" w:sz="0" w:space="0" w:color="auto"/>
                    <w:bottom w:val="none" w:sz="0" w:space="0" w:color="auto"/>
                    <w:right w:val="none" w:sz="0" w:space="0" w:color="auto"/>
                  </w:divBdr>
                </w:div>
                <w:div w:id="294153509">
                  <w:marLeft w:val="0"/>
                  <w:marRight w:val="0"/>
                  <w:marTop w:val="0"/>
                  <w:marBottom w:val="0"/>
                  <w:divBdr>
                    <w:top w:val="none" w:sz="0" w:space="0" w:color="auto"/>
                    <w:left w:val="none" w:sz="0" w:space="0" w:color="auto"/>
                    <w:bottom w:val="none" w:sz="0" w:space="0" w:color="auto"/>
                    <w:right w:val="none" w:sz="0" w:space="0" w:color="auto"/>
                  </w:divBdr>
                </w:div>
                <w:div w:id="294153579">
                  <w:marLeft w:val="0"/>
                  <w:marRight w:val="0"/>
                  <w:marTop w:val="0"/>
                  <w:marBottom w:val="0"/>
                  <w:divBdr>
                    <w:top w:val="none" w:sz="0" w:space="0" w:color="auto"/>
                    <w:left w:val="none" w:sz="0" w:space="0" w:color="auto"/>
                    <w:bottom w:val="none" w:sz="0" w:space="0" w:color="auto"/>
                    <w:right w:val="none" w:sz="0" w:space="0" w:color="auto"/>
                  </w:divBdr>
                </w:div>
                <w:div w:id="294153891">
                  <w:marLeft w:val="0"/>
                  <w:marRight w:val="0"/>
                  <w:marTop w:val="0"/>
                  <w:marBottom w:val="0"/>
                  <w:divBdr>
                    <w:top w:val="none" w:sz="0" w:space="0" w:color="auto"/>
                    <w:left w:val="none" w:sz="0" w:space="0" w:color="auto"/>
                    <w:bottom w:val="none" w:sz="0" w:space="0" w:color="auto"/>
                    <w:right w:val="none" w:sz="0" w:space="0" w:color="auto"/>
                  </w:divBdr>
                </w:div>
                <w:div w:id="294153921">
                  <w:marLeft w:val="0"/>
                  <w:marRight w:val="0"/>
                  <w:marTop w:val="0"/>
                  <w:marBottom w:val="0"/>
                  <w:divBdr>
                    <w:top w:val="none" w:sz="0" w:space="0" w:color="auto"/>
                    <w:left w:val="none" w:sz="0" w:space="0" w:color="auto"/>
                    <w:bottom w:val="none" w:sz="0" w:space="0" w:color="auto"/>
                    <w:right w:val="none" w:sz="0" w:space="0" w:color="auto"/>
                  </w:divBdr>
                </w:div>
                <w:div w:id="294154608">
                  <w:marLeft w:val="0"/>
                  <w:marRight w:val="0"/>
                  <w:marTop w:val="0"/>
                  <w:marBottom w:val="0"/>
                  <w:divBdr>
                    <w:top w:val="none" w:sz="0" w:space="0" w:color="auto"/>
                    <w:left w:val="none" w:sz="0" w:space="0" w:color="auto"/>
                    <w:bottom w:val="none" w:sz="0" w:space="0" w:color="auto"/>
                    <w:right w:val="none" w:sz="0" w:space="0" w:color="auto"/>
                  </w:divBdr>
                </w:div>
                <w:div w:id="294154999">
                  <w:marLeft w:val="0"/>
                  <w:marRight w:val="0"/>
                  <w:marTop w:val="0"/>
                  <w:marBottom w:val="0"/>
                  <w:divBdr>
                    <w:top w:val="none" w:sz="0" w:space="0" w:color="auto"/>
                    <w:left w:val="none" w:sz="0" w:space="0" w:color="auto"/>
                    <w:bottom w:val="none" w:sz="0" w:space="0" w:color="auto"/>
                    <w:right w:val="none" w:sz="0" w:space="0" w:color="auto"/>
                  </w:divBdr>
                </w:div>
                <w:div w:id="294155227">
                  <w:marLeft w:val="0"/>
                  <w:marRight w:val="0"/>
                  <w:marTop w:val="0"/>
                  <w:marBottom w:val="0"/>
                  <w:divBdr>
                    <w:top w:val="none" w:sz="0" w:space="0" w:color="auto"/>
                    <w:left w:val="none" w:sz="0" w:space="0" w:color="auto"/>
                    <w:bottom w:val="none" w:sz="0" w:space="0" w:color="auto"/>
                    <w:right w:val="none" w:sz="0" w:space="0" w:color="auto"/>
                  </w:divBdr>
                </w:div>
                <w:div w:id="294155469">
                  <w:marLeft w:val="0"/>
                  <w:marRight w:val="0"/>
                  <w:marTop w:val="0"/>
                  <w:marBottom w:val="0"/>
                  <w:divBdr>
                    <w:top w:val="none" w:sz="0" w:space="0" w:color="auto"/>
                    <w:left w:val="none" w:sz="0" w:space="0" w:color="auto"/>
                    <w:bottom w:val="none" w:sz="0" w:space="0" w:color="auto"/>
                    <w:right w:val="none" w:sz="0" w:space="0" w:color="auto"/>
                  </w:divBdr>
                </w:div>
                <w:div w:id="294155927">
                  <w:marLeft w:val="0"/>
                  <w:marRight w:val="0"/>
                  <w:marTop w:val="0"/>
                  <w:marBottom w:val="0"/>
                  <w:divBdr>
                    <w:top w:val="none" w:sz="0" w:space="0" w:color="auto"/>
                    <w:left w:val="none" w:sz="0" w:space="0" w:color="auto"/>
                    <w:bottom w:val="none" w:sz="0" w:space="0" w:color="auto"/>
                    <w:right w:val="none" w:sz="0" w:space="0" w:color="auto"/>
                  </w:divBdr>
                </w:div>
                <w:div w:id="294156491">
                  <w:marLeft w:val="0"/>
                  <w:marRight w:val="0"/>
                  <w:marTop w:val="0"/>
                  <w:marBottom w:val="0"/>
                  <w:divBdr>
                    <w:top w:val="none" w:sz="0" w:space="0" w:color="auto"/>
                    <w:left w:val="none" w:sz="0" w:space="0" w:color="auto"/>
                    <w:bottom w:val="none" w:sz="0" w:space="0" w:color="auto"/>
                    <w:right w:val="none" w:sz="0" w:space="0" w:color="auto"/>
                  </w:divBdr>
                </w:div>
                <w:div w:id="294156523">
                  <w:marLeft w:val="0"/>
                  <w:marRight w:val="0"/>
                  <w:marTop w:val="0"/>
                  <w:marBottom w:val="0"/>
                  <w:divBdr>
                    <w:top w:val="none" w:sz="0" w:space="0" w:color="auto"/>
                    <w:left w:val="none" w:sz="0" w:space="0" w:color="auto"/>
                    <w:bottom w:val="none" w:sz="0" w:space="0" w:color="auto"/>
                    <w:right w:val="none" w:sz="0" w:space="0" w:color="auto"/>
                  </w:divBdr>
                </w:div>
                <w:div w:id="294156713">
                  <w:marLeft w:val="0"/>
                  <w:marRight w:val="0"/>
                  <w:marTop w:val="0"/>
                  <w:marBottom w:val="0"/>
                  <w:divBdr>
                    <w:top w:val="none" w:sz="0" w:space="0" w:color="auto"/>
                    <w:left w:val="none" w:sz="0" w:space="0" w:color="auto"/>
                    <w:bottom w:val="none" w:sz="0" w:space="0" w:color="auto"/>
                    <w:right w:val="none" w:sz="0" w:space="0" w:color="auto"/>
                  </w:divBdr>
                </w:div>
                <w:div w:id="294156777">
                  <w:marLeft w:val="0"/>
                  <w:marRight w:val="0"/>
                  <w:marTop w:val="0"/>
                  <w:marBottom w:val="0"/>
                  <w:divBdr>
                    <w:top w:val="none" w:sz="0" w:space="0" w:color="auto"/>
                    <w:left w:val="none" w:sz="0" w:space="0" w:color="auto"/>
                    <w:bottom w:val="none" w:sz="0" w:space="0" w:color="auto"/>
                    <w:right w:val="none" w:sz="0" w:space="0" w:color="auto"/>
                  </w:divBdr>
                </w:div>
                <w:div w:id="294156898">
                  <w:marLeft w:val="0"/>
                  <w:marRight w:val="0"/>
                  <w:marTop w:val="0"/>
                  <w:marBottom w:val="0"/>
                  <w:divBdr>
                    <w:top w:val="none" w:sz="0" w:space="0" w:color="auto"/>
                    <w:left w:val="none" w:sz="0" w:space="0" w:color="auto"/>
                    <w:bottom w:val="none" w:sz="0" w:space="0" w:color="auto"/>
                    <w:right w:val="none" w:sz="0" w:space="0" w:color="auto"/>
                  </w:divBdr>
                </w:div>
                <w:div w:id="294156964">
                  <w:marLeft w:val="0"/>
                  <w:marRight w:val="0"/>
                  <w:marTop w:val="0"/>
                  <w:marBottom w:val="0"/>
                  <w:divBdr>
                    <w:top w:val="none" w:sz="0" w:space="0" w:color="auto"/>
                    <w:left w:val="none" w:sz="0" w:space="0" w:color="auto"/>
                    <w:bottom w:val="none" w:sz="0" w:space="0" w:color="auto"/>
                    <w:right w:val="none" w:sz="0" w:space="0" w:color="auto"/>
                  </w:divBdr>
                </w:div>
                <w:div w:id="294157097">
                  <w:marLeft w:val="0"/>
                  <w:marRight w:val="0"/>
                  <w:marTop w:val="0"/>
                  <w:marBottom w:val="0"/>
                  <w:divBdr>
                    <w:top w:val="none" w:sz="0" w:space="0" w:color="auto"/>
                    <w:left w:val="none" w:sz="0" w:space="0" w:color="auto"/>
                    <w:bottom w:val="none" w:sz="0" w:space="0" w:color="auto"/>
                    <w:right w:val="none" w:sz="0" w:space="0" w:color="auto"/>
                  </w:divBdr>
                </w:div>
                <w:div w:id="294157148">
                  <w:marLeft w:val="0"/>
                  <w:marRight w:val="0"/>
                  <w:marTop w:val="0"/>
                  <w:marBottom w:val="0"/>
                  <w:divBdr>
                    <w:top w:val="none" w:sz="0" w:space="0" w:color="auto"/>
                    <w:left w:val="none" w:sz="0" w:space="0" w:color="auto"/>
                    <w:bottom w:val="none" w:sz="0" w:space="0" w:color="auto"/>
                    <w:right w:val="none" w:sz="0" w:space="0" w:color="auto"/>
                  </w:divBdr>
                </w:div>
                <w:div w:id="2941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0733">
          <w:marLeft w:val="0"/>
          <w:marRight w:val="0"/>
          <w:marTop w:val="0"/>
          <w:marBottom w:val="0"/>
          <w:divBdr>
            <w:top w:val="none" w:sz="0" w:space="0" w:color="auto"/>
            <w:left w:val="none" w:sz="0" w:space="0" w:color="auto"/>
            <w:bottom w:val="none" w:sz="0" w:space="0" w:color="auto"/>
            <w:right w:val="none" w:sz="0" w:space="0" w:color="auto"/>
          </w:divBdr>
          <w:divsChild>
            <w:div w:id="294138887">
              <w:marLeft w:val="0"/>
              <w:marRight w:val="0"/>
              <w:marTop w:val="0"/>
              <w:marBottom w:val="0"/>
              <w:divBdr>
                <w:top w:val="none" w:sz="0" w:space="0" w:color="auto"/>
                <w:left w:val="none" w:sz="0" w:space="0" w:color="auto"/>
                <w:bottom w:val="none" w:sz="0" w:space="0" w:color="auto"/>
                <w:right w:val="none" w:sz="0" w:space="0" w:color="auto"/>
              </w:divBdr>
              <w:divsChild>
                <w:div w:id="294145208">
                  <w:marLeft w:val="0"/>
                  <w:marRight w:val="0"/>
                  <w:marTop w:val="0"/>
                  <w:marBottom w:val="0"/>
                  <w:divBdr>
                    <w:top w:val="none" w:sz="0" w:space="0" w:color="auto"/>
                    <w:left w:val="none" w:sz="0" w:space="0" w:color="auto"/>
                    <w:bottom w:val="none" w:sz="0" w:space="0" w:color="auto"/>
                    <w:right w:val="none" w:sz="0" w:space="0" w:color="auto"/>
                  </w:divBdr>
                  <w:divsChild>
                    <w:div w:id="294137990">
                      <w:marLeft w:val="0"/>
                      <w:marRight w:val="0"/>
                      <w:marTop w:val="0"/>
                      <w:marBottom w:val="0"/>
                      <w:divBdr>
                        <w:top w:val="none" w:sz="0" w:space="0" w:color="auto"/>
                        <w:left w:val="none" w:sz="0" w:space="0" w:color="auto"/>
                        <w:bottom w:val="none" w:sz="0" w:space="0" w:color="auto"/>
                        <w:right w:val="none" w:sz="0" w:space="0" w:color="auto"/>
                      </w:divBdr>
                      <w:divsChild>
                        <w:div w:id="294154390">
                          <w:marLeft w:val="0"/>
                          <w:marRight w:val="0"/>
                          <w:marTop w:val="0"/>
                          <w:marBottom w:val="0"/>
                          <w:divBdr>
                            <w:top w:val="none" w:sz="0" w:space="0" w:color="auto"/>
                            <w:left w:val="none" w:sz="0" w:space="0" w:color="auto"/>
                            <w:bottom w:val="none" w:sz="0" w:space="0" w:color="auto"/>
                            <w:right w:val="none" w:sz="0" w:space="0" w:color="auto"/>
                          </w:divBdr>
                        </w:div>
                      </w:divsChild>
                    </w:div>
                    <w:div w:id="294138013">
                      <w:marLeft w:val="0"/>
                      <w:marRight w:val="0"/>
                      <w:marTop w:val="0"/>
                      <w:marBottom w:val="0"/>
                      <w:divBdr>
                        <w:top w:val="none" w:sz="0" w:space="0" w:color="auto"/>
                        <w:left w:val="none" w:sz="0" w:space="0" w:color="auto"/>
                        <w:bottom w:val="none" w:sz="0" w:space="0" w:color="auto"/>
                        <w:right w:val="none" w:sz="0" w:space="0" w:color="auto"/>
                      </w:divBdr>
                      <w:divsChild>
                        <w:div w:id="294141649">
                          <w:marLeft w:val="0"/>
                          <w:marRight w:val="0"/>
                          <w:marTop w:val="0"/>
                          <w:marBottom w:val="0"/>
                          <w:divBdr>
                            <w:top w:val="none" w:sz="0" w:space="0" w:color="auto"/>
                            <w:left w:val="none" w:sz="0" w:space="0" w:color="auto"/>
                            <w:bottom w:val="none" w:sz="0" w:space="0" w:color="auto"/>
                            <w:right w:val="none" w:sz="0" w:space="0" w:color="auto"/>
                          </w:divBdr>
                        </w:div>
                      </w:divsChild>
                    </w:div>
                    <w:div w:id="294138026">
                      <w:marLeft w:val="0"/>
                      <w:marRight w:val="0"/>
                      <w:marTop w:val="0"/>
                      <w:marBottom w:val="0"/>
                      <w:divBdr>
                        <w:top w:val="none" w:sz="0" w:space="0" w:color="auto"/>
                        <w:left w:val="none" w:sz="0" w:space="0" w:color="auto"/>
                        <w:bottom w:val="none" w:sz="0" w:space="0" w:color="auto"/>
                        <w:right w:val="none" w:sz="0" w:space="0" w:color="auto"/>
                      </w:divBdr>
                    </w:div>
                    <w:div w:id="294138037">
                      <w:marLeft w:val="0"/>
                      <w:marRight w:val="0"/>
                      <w:marTop w:val="0"/>
                      <w:marBottom w:val="0"/>
                      <w:divBdr>
                        <w:top w:val="none" w:sz="0" w:space="0" w:color="auto"/>
                        <w:left w:val="none" w:sz="0" w:space="0" w:color="auto"/>
                        <w:bottom w:val="none" w:sz="0" w:space="0" w:color="auto"/>
                        <w:right w:val="none" w:sz="0" w:space="0" w:color="auto"/>
                      </w:divBdr>
                      <w:divsChild>
                        <w:div w:id="294154993">
                          <w:marLeft w:val="0"/>
                          <w:marRight w:val="0"/>
                          <w:marTop w:val="0"/>
                          <w:marBottom w:val="0"/>
                          <w:divBdr>
                            <w:top w:val="none" w:sz="0" w:space="0" w:color="auto"/>
                            <w:left w:val="none" w:sz="0" w:space="0" w:color="auto"/>
                            <w:bottom w:val="none" w:sz="0" w:space="0" w:color="auto"/>
                            <w:right w:val="none" w:sz="0" w:space="0" w:color="auto"/>
                          </w:divBdr>
                        </w:div>
                      </w:divsChild>
                    </w:div>
                    <w:div w:id="294138048">
                      <w:marLeft w:val="0"/>
                      <w:marRight w:val="0"/>
                      <w:marTop w:val="0"/>
                      <w:marBottom w:val="0"/>
                      <w:divBdr>
                        <w:top w:val="none" w:sz="0" w:space="0" w:color="auto"/>
                        <w:left w:val="none" w:sz="0" w:space="0" w:color="auto"/>
                        <w:bottom w:val="none" w:sz="0" w:space="0" w:color="auto"/>
                        <w:right w:val="none" w:sz="0" w:space="0" w:color="auto"/>
                      </w:divBdr>
                    </w:div>
                    <w:div w:id="294138098">
                      <w:marLeft w:val="0"/>
                      <w:marRight w:val="0"/>
                      <w:marTop w:val="0"/>
                      <w:marBottom w:val="0"/>
                      <w:divBdr>
                        <w:top w:val="none" w:sz="0" w:space="0" w:color="auto"/>
                        <w:left w:val="none" w:sz="0" w:space="0" w:color="auto"/>
                        <w:bottom w:val="none" w:sz="0" w:space="0" w:color="auto"/>
                        <w:right w:val="none" w:sz="0" w:space="0" w:color="auto"/>
                      </w:divBdr>
                    </w:div>
                    <w:div w:id="294138117">
                      <w:marLeft w:val="0"/>
                      <w:marRight w:val="0"/>
                      <w:marTop w:val="0"/>
                      <w:marBottom w:val="0"/>
                      <w:divBdr>
                        <w:top w:val="none" w:sz="0" w:space="0" w:color="auto"/>
                        <w:left w:val="none" w:sz="0" w:space="0" w:color="auto"/>
                        <w:bottom w:val="none" w:sz="0" w:space="0" w:color="auto"/>
                        <w:right w:val="none" w:sz="0" w:space="0" w:color="auto"/>
                      </w:divBdr>
                      <w:divsChild>
                        <w:div w:id="294140542">
                          <w:marLeft w:val="0"/>
                          <w:marRight w:val="0"/>
                          <w:marTop w:val="0"/>
                          <w:marBottom w:val="0"/>
                          <w:divBdr>
                            <w:top w:val="none" w:sz="0" w:space="0" w:color="auto"/>
                            <w:left w:val="none" w:sz="0" w:space="0" w:color="auto"/>
                            <w:bottom w:val="none" w:sz="0" w:space="0" w:color="auto"/>
                            <w:right w:val="none" w:sz="0" w:space="0" w:color="auto"/>
                          </w:divBdr>
                        </w:div>
                      </w:divsChild>
                    </w:div>
                    <w:div w:id="294138131">
                      <w:marLeft w:val="0"/>
                      <w:marRight w:val="0"/>
                      <w:marTop w:val="0"/>
                      <w:marBottom w:val="0"/>
                      <w:divBdr>
                        <w:top w:val="none" w:sz="0" w:space="0" w:color="auto"/>
                        <w:left w:val="none" w:sz="0" w:space="0" w:color="auto"/>
                        <w:bottom w:val="none" w:sz="0" w:space="0" w:color="auto"/>
                        <w:right w:val="none" w:sz="0" w:space="0" w:color="auto"/>
                      </w:divBdr>
                      <w:divsChild>
                        <w:div w:id="294150932">
                          <w:marLeft w:val="0"/>
                          <w:marRight w:val="0"/>
                          <w:marTop w:val="0"/>
                          <w:marBottom w:val="0"/>
                          <w:divBdr>
                            <w:top w:val="none" w:sz="0" w:space="0" w:color="auto"/>
                            <w:left w:val="none" w:sz="0" w:space="0" w:color="auto"/>
                            <w:bottom w:val="none" w:sz="0" w:space="0" w:color="auto"/>
                            <w:right w:val="none" w:sz="0" w:space="0" w:color="auto"/>
                          </w:divBdr>
                        </w:div>
                      </w:divsChild>
                    </w:div>
                    <w:div w:id="294138133">
                      <w:marLeft w:val="0"/>
                      <w:marRight w:val="0"/>
                      <w:marTop w:val="0"/>
                      <w:marBottom w:val="0"/>
                      <w:divBdr>
                        <w:top w:val="none" w:sz="0" w:space="0" w:color="auto"/>
                        <w:left w:val="none" w:sz="0" w:space="0" w:color="auto"/>
                        <w:bottom w:val="none" w:sz="0" w:space="0" w:color="auto"/>
                        <w:right w:val="none" w:sz="0" w:space="0" w:color="auto"/>
                      </w:divBdr>
                    </w:div>
                    <w:div w:id="294138137">
                      <w:marLeft w:val="0"/>
                      <w:marRight w:val="0"/>
                      <w:marTop w:val="0"/>
                      <w:marBottom w:val="0"/>
                      <w:divBdr>
                        <w:top w:val="none" w:sz="0" w:space="0" w:color="auto"/>
                        <w:left w:val="none" w:sz="0" w:space="0" w:color="auto"/>
                        <w:bottom w:val="none" w:sz="0" w:space="0" w:color="auto"/>
                        <w:right w:val="none" w:sz="0" w:space="0" w:color="auto"/>
                      </w:divBdr>
                      <w:divsChild>
                        <w:div w:id="294151822">
                          <w:marLeft w:val="0"/>
                          <w:marRight w:val="0"/>
                          <w:marTop w:val="0"/>
                          <w:marBottom w:val="0"/>
                          <w:divBdr>
                            <w:top w:val="none" w:sz="0" w:space="0" w:color="auto"/>
                            <w:left w:val="none" w:sz="0" w:space="0" w:color="auto"/>
                            <w:bottom w:val="none" w:sz="0" w:space="0" w:color="auto"/>
                            <w:right w:val="none" w:sz="0" w:space="0" w:color="auto"/>
                          </w:divBdr>
                        </w:div>
                      </w:divsChild>
                    </w:div>
                    <w:div w:id="294138182">
                      <w:marLeft w:val="0"/>
                      <w:marRight w:val="0"/>
                      <w:marTop w:val="0"/>
                      <w:marBottom w:val="0"/>
                      <w:divBdr>
                        <w:top w:val="none" w:sz="0" w:space="0" w:color="auto"/>
                        <w:left w:val="none" w:sz="0" w:space="0" w:color="auto"/>
                        <w:bottom w:val="none" w:sz="0" w:space="0" w:color="auto"/>
                        <w:right w:val="none" w:sz="0" w:space="0" w:color="auto"/>
                      </w:divBdr>
                      <w:divsChild>
                        <w:div w:id="294146232">
                          <w:marLeft w:val="0"/>
                          <w:marRight w:val="0"/>
                          <w:marTop w:val="0"/>
                          <w:marBottom w:val="0"/>
                          <w:divBdr>
                            <w:top w:val="none" w:sz="0" w:space="0" w:color="auto"/>
                            <w:left w:val="none" w:sz="0" w:space="0" w:color="auto"/>
                            <w:bottom w:val="none" w:sz="0" w:space="0" w:color="auto"/>
                            <w:right w:val="none" w:sz="0" w:space="0" w:color="auto"/>
                          </w:divBdr>
                        </w:div>
                      </w:divsChild>
                    </w:div>
                    <w:div w:id="294138205">
                      <w:marLeft w:val="0"/>
                      <w:marRight w:val="0"/>
                      <w:marTop w:val="0"/>
                      <w:marBottom w:val="0"/>
                      <w:divBdr>
                        <w:top w:val="none" w:sz="0" w:space="0" w:color="auto"/>
                        <w:left w:val="none" w:sz="0" w:space="0" w:color="auto"/>
                        <w:bottom w:val="none" w:sz="0" w:space="0" w:color="auto"/>
                        <w:right w:val="none" w:sz="0" w:space="0" w:color="auto"/>
                      </w:divBdr>
                      <w:divsChild>
                        <w:div w:id="294140229">
                          <w:marLeft w:val="0"/>
                          <w:marRight w:val="0"/>
                          <w:marTop w:val="0"/>
                          <w:marBottom w:val="0"/>
                          <w:divBdr>
                            <w:top w:val="none" w:sz="0" w:space="0" w:color="auto"/>
                            <w:left w:val="none" w:sz="0" w:space="0" w:color="auto"/>
                            <w:bottom w:val="none" w:sz="0" w:space="0" w:color="auto"/>
                            <w:right w:val="none" w:sz="0" w:space="0" w:color="auto"/>
                          </w:divBdr>
                        </w:div>
                      </w:divsChild>
                    </w:div>
                    <w:div w:id="294138238">
                      <w:marLeft w:val="0"/>
                      <w:marRight w:val="0"/>
                      <w:marTop w:val="0"/>
                      <w:marBottom w:val="0"/>
                      <w:divBdr>
                        <w:top w:val="none" w:sz="0" w:space="0" w:color="auto"/>
                        <w:left w:val="none" w:sz="0" w:space="0" w:color="auto"/>
                        <w:bottom w:val="none" w:sz="0" w:space="0" w:color="auto"/>
                        <w:right w:val="none" w:sz="0" w:space="0" w:color="auto"/>
                      </w:divBdr>
                    </w:div>
                    <w:div w:id="294138280">
                      <w:marLeft w:val="0"/>
                      <w:marRight w:val="0"/>
                      <w:marTop w:val="0"/>
                      <w:marBottom w:val="0"/>
                      <w:divBdr>
                        <w:top w:val="none" w:sz="0" w:space="0" w:color="auto"/>
                        <w:left w:val="none" w:sz="0" w:space="0" w:color="auto"/>
                        <w:bottom w:val="none" w:sz="0" w:space="0" w:color="auto"/>
                        <w:right w:val="none" w:sz="0" w:space="0" w:color="auto"/>
                      </w:divBdr>
                    </w:div>
                    <w:div w:id="294138310">
                      <w:marLeft w:val="0"/>
                      <w:marRight w:val="0"/>
                      <w:marTop w:val="0"/>
                      <w:marBottom w:val="0"/>
                      <w:divBdr>
                        <w:top w:val="none" w:sz="0" w:space="0" w:color="auto"/>
                        <w:left w:val="none" w:sz="0" w:space="0" w:color="auto"/>
                        <w:bottom w:val="none" w:sz="0" w:space="0" w:color="auto"/>
                        <w:right w:val="none" w:sz="0" w:space="0" w:color="auto"/>
                      </w:divBdr>
                      <w:divsChild>
                        <w:div w:id="294150339">
                          <w:marLeft w:val="0"/>
                          <w:marRight w:val="0"/>
                          <w:marTop w:val="0"/>
                          <w:marBottom w:val="0"/>
                          <w:divBdr>
                            <w:top w:val="none" w:sz="0" w:space="0" w:color="auto"/>
                            <w:left w:val="none" w:sz="0" w:space="0" w:color="auto"/>
                            <w:bottom w:val="none" w:sz="0" w:space="0" w:color="auto"/>
                            <w:right w:val="none" w:sz="0" w:space="0" w:color="auto"/>
                          </w:divBdr>
                        </w:div>
                      </w:divsChild>
                    </w:div>
                    <w:div w:id="294138365">
                      <w:marLeft w:val="0"/>
                      <w:marRight w:val="0"/>
                      <w:marTop w:val="0"/>
                      <w:marBottom w:val="0"/>
                      <w:divBdr>
                        <w:top w:val="none" w:sz="0" w:space="0" w:color="auto"/>
                        <w:left w:val="none" w:sz="0" w:space="0" w:color="auto"/>
                        <w:bottom w:val="none" w:sz="0" w:space="0" w:color="auto"/>
                        <w:right w:val="none" w:sz="0" w:space="0" w:color="auto"/>
                      </w:divBdr>
                      <w:divsChild>
                        <w:div w:id="294138119">
                          <w:marLeft w:val="0"/>
                          <w:marRight w:val="0"/>
                          <w:marTop w:val="0"/>
                          <w:marBottom w:val="0"/>
                          <w:divBdr>
                            <w:top w:val="none" w:sz="0" w:space="0" w:color="auto"/>
                            <w:left w:val="none" w:sz="0" w:space="0" w:color="auto"/>
                            <w:bottom w:val="none" w:sz="0" w:space="0" w:color="auto"/>
                            <w:right w:val="none" w:sz="0" w:space="0" w:color="auto"/>
                          </w:divBdr>
                        </w:div>
                      </w:divsChild>
                    </w:div>
                    <w:div w:id="294138395">
                      <w:marLeft w:val="0"/>
                      <w:marRight w:val="0"/>
                      <w:marTop w:val="0"/>
                      <w:marBottom w:val="0"/>
                      <w:divBdr>
                        <w:top w:val="none" w:sz="0" w:space="0" w:color="auto"/>
                        <w:left w:val="none" w:sz="0" w:space="0" w:color="auto"/>
                        <w:bottom w:val="none" w:sz="0" w:space="0" w:color="auto"/>
                        <w:right w:val="none" w:sz="0" w:space="0" w:color="auto"/>
                      </w:divBdr>
                      <w:divsChild>
                        <w:div w:id="294140528">
                          <w:marLeft w:val="0"/>
                          <w:marRight w:val="0"/>
                          <w:marTop w:val="0"/>
                          <w:marBottom w:val="0"/>
                          <w:divBdr>
                            <w:top w:val="none" w:sz="0" w:space="0" w:color="auto"/>
                            <w:left w:val="none" w:sz="0" w:space="0" w:color="auto"/>
                            <w:bottom w:val="none" w:sz="0" w:space="0" w:color="auto"/>
                            <w:right w:val="none" w:sz="0" w:space="0" w:color="auto"/>
                          </w:divBdr>
                        </w:div>
                      </w:divsChild>
                    </w:div>
                    <w:div w:id="294138417">
                      <w:marLeft w:val="0"/>
                      <w:marRight w:val="0"/>
                      <w:marTop w:val="0"/>
                      <w:marBottom w:val="0"/>
                      <w:divBdr>
                        <w:top w:val="none" w:sz="0" w:space="0" w:color="auto"/>
                        <w:left w:val="none" w:sz="0" w:space="0" w:color="auto"/>
                        <w:bottom w:val="none" w:sz="0" w:space="0" w:color="auto"/>
                        <w:right w:val="none" w:sz="0" w:space="0" w:color="auto"/>
                      </w:divBdr>
                      <w:divsChild>
                        <w:div w:id="294146675">
                          <w:marLeft w:val="0"/>
                          <w:marRight w:val="0"/>
                          <w:marTop w:val="0"/>
                          <w:marBottom w:val="0"/>
                          <w:divBdr>
                            <w:top w:val="none" w:sz="0" w:space="0" w:color="auto"/>
                            <w:left w:val="none" w:sz="0" w:space="0" w:color="auto"/>
                            <w:bottom w:val="none" w:sz="0" w:space="0" w:color="auto"/>
                            <w:right w:val="none" w:sz="0" w:space="0" w:color="auto"/>
                          </w:divBdr>
                        </w:div>
                      </w:divsChild>
                    </w:div>
                    <w:div w:id="294138426">
                      <w:marLeft w:val="0"/>
                      <w:marRight w:val="0"/>
                      <w:marTop w:val="0"/>
                      <w:marBottom w:val="0"/>
                      <w:divBdr>
                        <w:top w:val="none" w:sz="0" w:space="0" w:color="auto"/>
                        <w:left w:val="none" w:sz="0" w:space="0" w:color="auto"/>
                        <w:bottom w:val="none" w:sz="0" w:space="0" w:color="auto"/>
                        <w:right w:val="none" w:sz="0" w:space="0" w:color="auto"/>
                      </w:divBdr>
                    </w:div>
                    <w:div w:id="294138429">
                      <w:marLeft w:val="0"/>
                      <w:marRight w:val="0"/>
                      <w:marTop w:val="0"/>
                      <w:marBottom w:val="0"/>
                      <w:divBdr>
                        <w:top w:val="none" w:sz="0" w:space="0" w:color="auto"/>
                        <w:left w:val="none" w:sz="0" w:space="0" w:color="auto"/>
                        <w:bottom w:val="none" w:sz="0" w:space="0" w:color="auto"/>
                        <w:right w:val="none" w:sz="0" w:space="0" w:color="auto"/>
                      </w:divBdr>
                      <w:divsChild>
                        <w:div w:id="294154744">
                          <w:marLeft w:val="0"/>
                          <w:marRight w:val="0"/>
                          <w:marTop w:val="0"/>
                          <w:marBottom w:val="0"/>
                          <w:divBdr>
                            <w:top w:val="none" w:sz="0" w:space="0" w:color="auto"/>
                            <w:left w:val="none" w:sz="0" w:space="0" w:color="auto"/>
                            <w:bottom w:val="none" w:sz="0" w:space="0" w:color="auto"/>
                            <w:right w:val="none" w:sz="0" w:space="0" w:color="auto"/>
                          </w:divBdr>
                        </w:div>
                      </w:divsChild>
                    </w:div>
                    <w:div w:id="294138465">
                      <w:marLeft w:val="0"/>
                      <w:marRight w:val="0"/>
                      <w:marTop w:val="0"/>
                      <w:marBottom w:val="0"/>
                      <w:divBdr>
                        <w:top w:val="none" w:sz="0" w:space="0" w:color="auto"/>
                        <w:left w:val="none" w:sz="0" w:space="0" w:color="auto"/>
                        <w:bottom w:val="none" w:sz="0" w:space="0" w:color="auto"/>
                        <w:right w:val="none" w:sz="0" w:space="0" w:color="auto"/>
                      </w:divBdr>
                      <w:divsChild>
                        <w:div w:id="294140210">
                          <w:marLeft w:val="0"/>
                          <w:marRight w:val="0"/>
                          <w:marTop w:val="0"/>
                          <w:marBottom w:val="0"/>
                          <w:divBdr>
                            <w:top w:val="none" w:sz="0" w:space="0" w:color="auto"/>
                            <w:left w:val="none" w:sz="0" w:space="0" w:color="auto"/>
                            <w:bottom w:val="none" w:sz="0" w:space="0" w:color="auto"/>
                            <w:right w:val="none" w:sz="0" w:space="0" w:color="auto"/>
                          </w:divBdr>
                        </w:div>
                      </w:divsChild>
                    </w:div>
                    <w:div w:id="294138472">
                      <w:marLeft w:val="0"/>
                      <w:marRight w:val="0"/>
                      <w:marTop w:val="0"/>
                      <w:marBottom w:val="0"/>
                      <w:divBdr>
                        <w:top w:val="none" w:sz="0" w:space="0" w:color="auto"/>
                        <w:left w:val="none" w:sz="0" w:space="0" w:color="auto"/>
                        <w:bottom w:val="none" w:sz="0" w:space="0" w:color="auto"/>
                        <w:right w:val="none" w:sz="0" w:space="0" w:color="auto"/>
                      </w:divBdr>
                      <w:divsChild>
                        <w:div w:id="294140629">
                          <w:marLeft w:val="0"/>
                          <w:marRight w:val="0"/>
                          <w:marTop w:val="0"/>
                          <w:marBottom w:val="0"/>
                          <w:divBdr>
                            <w:top w:val="none" w:sz="0" w:space="0" w:color="auto"/>
                            <w:left w:val="none" w:sz="0" w:space="0" w:color="auto"/>
                            <w:bottom w:val="none" w:sz="0" w:space="0" w:color="auto"/>
                            <w:right w:val="none" w:sz="0" w:space="0" w:color="auto"/>
                          </w:divBdr>
                        </w:div>
                      </w:divsChild>
                    </w:div>
                    <w:div w:id="294138475">
                      <w:marLeft w:val="0"/>
                      <w:marRight w:val="0"/>
                      <w:marTop w:val="0"/>
                      <w:marBottom w:val="0"/>
                      <w:divBdr>
                        <w:top w:val="none" w:sz="0" w:space="0" w:color="auto"/>
                        <w:left w:val="none" w:sz="0" w:space="0" w:color="auto"/>
                        <w:bottom w:val="none" w:sz="0" w:space="0" w:color="auto"/>
                        <w:right w:val="none" w:sz="0" w:space="0" w:color="auto"/>
                      </w:divBdr>
                    </w:div>
                    <w:div w:id="294138482">
                      <w:marLeft w:val="0"/>
                      <w:marRight w:val="0"/>
                      <w:marTop w:val="0"/>
                      <w:marBottom w:val="0"/>
                      <w:divBdr>
                        <w:top w:val="none" w:sz="0" w:space="0" w:color="auto"/>
                        <w:left w:val="none" w:sz="0" w:space="0" w:color="auto"/>
                        <w:bottom w:val="none" w:sz="0" w:space="0" w:color="auto"/>
                        <w:right w:val="none" w:sz="0" w:space="0" w:color="auto"/>
                      </w:divBdr>
                      <w:divsChild>
                        <w:div w:id="294141826">
                          <w:marLeft w:val="0"/>
                          <w:marRight w:val="0"/>
                          <w:marTop w:val="0"/>
                          <w:marBottom w:val="0"/>
                          <w:divBdr>
                            <w:top w:val="none" w:sz="0" w:space="0" w:color="auto"/>
                            <w:left w:val="none" w:sz="0" w:space="0" w:color="auto"/>
                            <w:bottom w:val="none" w:sz="0" w:space="0" w:color="auto"/>
                            <w:right w:val="none" w:sz="0" w:space="0" w:color="auto"/>
                          </w:divBdr>
                        </w:div>
                      </w:divsChild>
                    </w:div>
                    <w:div w:id="294138517">
                      <w:marLeft w:val="0"/>
                      <w:marRight w:val="0"/>
                      <w:marTop w:val="0"/>
                      <w:marBottom w:val="0"/>
                      <w:divBdr>
                        <w:top w:val="none" w:sz="0" w:space="0" w:color="auto"/>
                        <w:left w:val="none" w:sz="0" w:space="0" w:color="auto"/>
                        <w:bottom w:val="none" w:sz="0" w:space="0" w:color="auto"/>
                        <w:right w:val="none" w:sz="0" w:space="0" w:color="auto"/>
                      </w:divBdr>
                    </w:div>
                    <w:div w:id="294138527">
                      <w:marLeft w:val="0"/>
                      <w:marRight w:val="0"/>
                      <w:marTop w:val="0"/>
                      <w:marBottom w:val="0"/>
                      <w:divBdr>
                        <w:top w:val="none" w:sz="0" w:space="0" w:color="auto"/>
                        <w:left w:val="none" w:sz="0" w:space="0" w:color="auto"/>
                        <w:bottom w:val="none" w:sz="0" w:space="0" w:color="auto"/>
                        <w:right w:val="none" w:sz="0" w:space="0" w:color="auto"/>
                      </w:divBdr>
                    </w:div>
                    <w:div w:id="294138528">
                      <w:marLeft w:val="0"/>
                      <w:marRight w:val="0"/>
                      <w:marTop w:val="0"/>
                      <w:marBottom w:val="0"/>
                      <w:divBdr>
                        <w:top w:val="none" w:sz="0" w:space="0" w:color="auto"/>
                        <w:left w:val="none" w:sz="0" w:space="0" w:color="auto"/>
                        <w:bottom w:val="none" w:sz="0" w:space="0" w:color="auto"/>
                        <w:right w:val="none" w:sz="0" w:space="0" w:color="auto"/>
                      </w:divBdr>
                      <w:divsChild>
                        <w:div w:id="294155645">
                          <w:marLeft w:val="0"/>
                          <w:marRight w:val="0"/>
                          <w:marTop w:val="0"/>
                          <w:marBottom w:val="0"/>
                          <w:divBdr>
                            <w:top w:val="none" w:sz="0" w:space="0" w:color="auto"/>
                            <w:left w:val="none" w:sz="0" w:space="0" w:color="auto"/>
                            <w:bottom w:val="none" w:sz="0" w:space="0" w:color="auto"/>
                            <w:right w:val="none" w:sz="0" w:space="0" w:color="auto"/>
                          </w:divBdr>
                        </w:div>
                      </w:divsChild>
                    </w:div>
                    <w:div w:id="294138531">
                      <w:marLeft w:val="0"/>
                      <w:marRight w:val="0"/>
                      <w:marTop w:val="0"/>
                      <w:marBottom w:val="0"/>
                      <w:divBdr>
                        <w:top w:val="none" w:sz="0" w:space="0" w:color="auto"/>
                        <w:left w:val="none" w:sz="0" w:space="0" w:color="auto"/>
                        <w:bottom w:val="none" w:sz="0" w:space="0" w:color="auto"/>
                        <w:right w:val="none" w:sz="0" w:space="0" w:color="auto"/>
                      </w:divBdr>
                      <w:divsChild>
                        <w:div w:id="294150201">
                          <w:marLeft w:val="0"/>
                          <w:marRight w:val="0"/>
                          <w:marTop w:val="0"/>
                          <w:marBottom w:val="0"/>
                          <w:divBdr>
                            <w:top w:val="none" w:sz="0" w:space="0" w:color="auto"/>
                            <w:left w:val="none" w:sz="0" w:space="0" w:color="auto"/>
                            <w:bottom w:val="none" w:sz="0" w:space="0" w:color="auto"/>
                            <w:right w:val="none" w:sz="0" w:space="0" w:color="auto"/>
                          </w:divBdr>
                        </w:div>
                      </w:divsChild>
                    </w:div>
                    <w:div w:id="294138559">
                      <w:marLeft w:val="0"/>
                      <w:marRight w:val="0"/>
                      <w:marTop w:val="0"/>
                      <w:marBottom w:val="0"/>
                      <w:divBdr>
                        <w:top w:val="none" w:sz="0" w:space="0" w:color="auto"/>
                        <w:left w:val="none" w:sz="0" w:space="0" w:color="auto"/>
                        <w:bottom w:val="none" w:sz="0" w:space="0" w:color="auto"/>
                        <w:right w:val="none" w:sz="0" w:space="0" w:color="auto"/>
                      </w:divBdr>
                    </w:div>
                    <w:div w:id="294138572">
                      <w:marLeft w:val="0"/>
                      <w:marRight w:val="0"/>
                      <w:marTop w:val="0"/>
                      <w:marBottom w:val="0"/>
                      <w:divBdr>
                        <w:top w:val="none" w:sz="0" w:space="0" w:color="auto"/>
                        <w:left w:val="none" w:sz="0" w:space="0" w:color="auto"/>
                        <w:bottom w:val="none" w:sz="0" w:space="0" w:color="auto"/>
                        <w:right w:val="none" w:sz="0" w:space="0" w:color="auto"/>
                      </w:divBdr>
                    </w:div>
                    <w:div w:id="294138578">
                      <w:marLeft w:val="0"/>
                      <w:marRight w:val="0"/>
                      <w:marTop w:val="0"/>
                      <w:marBottom w:val="0"/>
                      <w:divBdr>
                        <w:top w:val="none" w:sz="0" w:space="0" w:color="auto"/>
                        <w:left w:val="none" w:sz="0" w:space="0" w:color="auto"/>
                        <w:bottom w:val="none" w:sz="0" w:space="0" w:color="auto"/>
                        <w:right w:val="none" w:sz="0" w:space="0" w:color="auto"/>
                      </w:divBdr>
                    </w:div>
                    <w:div w:id="294138616">
                      <w:marLeft w:val="0"/>
                      <w:marRight w:val="0"/>
                      <w:marTop w:val="0"/>
                      <w:marBottom w:val="0"/>
                      <w:divBdr>
                        <w:top w:val="none" w:sz="0" w:space="0" w:color="auto"/>
                        <w:left w:val="none" w:sz="0" w:space="0" w:color="auto"/>
                        <w:bottom w:val="none" w:sz="0" w:space="0" w:color="auto"/>
                        <w:right w:val="none" w:sz="0" w:space="0" w:color="auto"/>
                      </w:divBdr>
                    </w:div>
                    <w:div w:id="294138657">
                      <w:marLeft w:val="0"/>
                      <w:marRight w:val="0"/>
                      <w:marTop w:val="0"/>
                      <w:marBottom w:val="0"/>
                      <w:divBdr>
                        <w:top w:val="none" w:sz="0" w:space="0" w:color="auto"/>
                        <w:left w:val="none" w:sz="0" w:space="0" w:color="auto"/>
                        <w:bottom w:val="none" w:sz="0" w:space="0" w:color="auto"/>
                        <w:right w:val="none" w:sz="0" w:space="0" w:color="auto"/>
                      </w:divBdr>
                    </w:div>
                    <w:div w:id="294138706">
                      <w:marLeft w:val="0"/>
                      <w:marRight w:val="0"/>
                      <w:marTop w:val="0"/>
                      <w:marBottom w:val="0"/>
                      <w:divBdr>
                        <w:top w:val="none" w:sz="0" w:space="0" w:color="auto"/>
                        <w:left w:val="none" w:sz="0" w:space="0" w:color="auto"/>
                        <w:bottom w:val="none" w:sz="0" w:space="0" w:color="auto"/>
                        <w:right w:val="none" w:sz="0" w:space="0" w:color="auto"/>
                      </w:divBdr>
                    </w:div>
                    <w:div w:id="294138726">
                      <w:marLeft w:val="0"/>
                      <w:marRight w:val="0"/>
                      <w:marTop w:val="0"/>
                      <w:marBottom w:val="0"/>
                      <w:divBdr>
                        <w:top w:val="none" w:sz="0" w:space="0" w:color="auto"/>
                        <w:left w:val="none" w:sz="0" w:space="0" w:color="auto"/>
                        <w:bottom w:val="none" w:sz="0" w:space="0" w:color="auto"/>
                        <w:right w:val="none" w:sz="0" w:space="0" w:color="auto"/>
                      </w:divBdr>
                    </w:div>
                    <w:div w:id="294138732">
                      <w:marLeft w:val="0"/>
                      <w:marRight w:val="0"/>
                      <w:marTop w:val="0"/>
                      <w:marBottom w:val="0"/>
                      <w:divBdr>
                        <w:top w:val="none" w:sz="0" w:space="0" w:color="auto"/>
                        <w:left w:val="none" w:sz="0" w:space="0" w:color="auto"/>
                        <w:bottom w:val="none" w:sz="0" w:space="0" w:color="auto"/>
                        <w:right w:val="none" w:sz="0" w:space="0" w:color="auto"/>
                      </w:divBdr>
                    </w:div>
                    <w:div w:id="294138790">
                      <w:marLeft w:val="0"/>
                      <w:marRight w:val="0"/>
                      <w:marTop w:val="0"/>
                      <w:marBottom w:val="0"/>
                      <w:divBdr>
                        <w:top w:val="none" w:sz="0" w:space="0" w:color="auto"/>
                        <w:left w:val="none" w:sz="0" w:space="0" w:color="auto"/>
                        <w:bottom w:val="none" w:sz="0" w:space="0" w:color="auto"/>
                        <w:right w:val="none" w:sz="0" w:space="0" w:color="auto"/>
                      </w:divBdr>
                    </w:div>
                    <w:div w:id="294138816">
                      <w:marLeft w:val="0"/>
                      <w:marRight w:val="0"/>
                      <w:marTop w:val="0"/>
                      <w:marBottom w:val="0"/>
                      <w:divBdr>
                        <w:top w:val="none" w:sz="0" w:space="0" w:color="auto"/>
                        <w:left w:val="none" w:sz="0" w:space="0" w:color="auto"/>
                        <w:bottom w:val="none" w:sz="0" w:space="0" w:color="auto"/>
                        <w:right w:val="none" w:sz="0" w:space="0" w:color="auto"/>
                      </w:divBdr>
                      <w:divsChild>
                        <w:div w:id="294150313">
                          <w:marLeft w:val="0"/>
                          <w:marRight w:val="0"/>
                          <w:marTop w:val="0"/>
                          <w:marBottom w:val="0"/>
                          <w:divBdr>
                            <w:top w:val="none" w:sz="0" w:space="0" w:color="auto"/>
                            <w:left w:val="none" w:sz="0" w:space="0" w:color="auto"/>
                            <w:bottom w:val="none" w:sz="0" w:space="0" w:color="auto"/>
                            <w:right w:val="none" w:sz="0" w:space="0" w:color="auto"/>
                          </w:divBdr>
                        </w:div>
                      </w:divsChild>
                    </w:div>
                    <w:div w:id="294138840">
                      <w:marLeft w:val="0"/>
                      <w:marRight w:val="0"/>
                      <w:marTop w:val="0"/>
                      <w:marBottom w:val="0"/>
                      <w:divBdr>
                        <w:top w:val="none" w:sz="0" w:space="0" w:color="auto"/>
                        <w:left w:val="none" w:sz="0" w:space="0" w:color="auto"/>
                        <w:bottom w:val="none" w:sz="0" w:space="0" w:color="auto"/>
                        <w:right w:val="none" w:sz="0" w:space="0" w:color="auto"/>
                      </w:divBdr>
                    </w:div>
                    <w:div w:id="294138854">
                      <w:marLeft w:val="0"/>
                      <w:marRight w:val="0"/>
                      <w:marTop w:val="0"/>
                      <w:marBottom w:val="0"/>
                      <w:divBdr>
                        <w:top w:val="none" w:sz="0" w:space="0" w:color="auto"/>
                        <w:left w:val="none" w:sz="0" w:space="0" w:color="auto"/>
                        <w:bottom w:val="none" w:sz="0" w:space="0" w:color="auto"/>
                        <w:right w:val="none" w:sz="0" w:space="0" w:color="auto"/>
                      </w:divBdr>
                      <w:divsChild>
                        <w:div w:id="294143881">
                          <w:marLeft w:val="0"/>
                          <w:marRight w:val="0"/>
                          <w:marTop w:val="0"/>
                          <w:marBottom w:val="0"/>
                          <w:divBdr>
                            <w:top w:val="none" w:sz="0" w:space="0" w:color="auto"/>
                            <w:left w:val="none" w:sz="0" w:space="0" w:color="auto"/>
                            <w:bottom w:val="none" w:sz="0" w:space="0" w:color="auto"/>
                            <w:right w:val="none" w:sz="0" w:space="0" w:color="auto"/>
                          </w:divBdr>
                        </w:div>
                      </w:divsChild>
                    </w:div>
                    <w:div w:id="294138858">
                      <w:marLeft w:val="0"/>
                      <w:marRight w:val="0"/>
                      <w:marTop w:val="0"/>
                      <w:marBottom w:val="0"/>
                      <w:divBdr>
                        <w:top w:val="none" w:sz="0" w:space="0" w:color="auto"/>
                        <w:left w:val="none" w:sz="0" w:space="0" w:color="auto"/>
                        <w:bottom w:val="none" w:sz="0" w:space="0" w:color="auto"/>
                        <w:right w:val="none" w:sz="0" w:space="0" w:color="auto"/>
                      </w:divBdr>
                      <w:divsChild>
                        <w:div w:id="294139617">
                          <w:marLeft w:val="0"/>
                          <w:marRight w:val="0"/>
                          <w:marTop w:val="0"/>
                          <w:marBottom w:val="0"/>
                          <w:divBdr>
                            <w:top w:val="none" w:sz="0" w:space="0" w:color="auto"/>
                            <w:left w:val="none" w:sz="0" w:space="0" w:color="auto"/>
                            <w:bottom w:val="none" w:sz="0" w:space="0" w:color="auto"/>
                            <w:right w:val="none" w:sz="0" w:space="0" w:color="auto"/>
                          </w:divBdr>
                        </w:div>
                      </w:divsChild>
                    </w:div>
                    <w:div w:id="294138900">
                      <w:marLeft w:val="0"/>
                      <w:marRight w:val="0"/>
                      <w:marTop w:val="0"/>
                      <w:marBottom w:val="0"/>
                      <w:divBdr>
                        <w:top w:val="none" w:sz="0" w:space="0" w:color="auto"/>
                        <w:left w:val="none" w:sz="0" w:space="0" w:color="auto"/>
                        <w:bottom w:val="none" w:sz="0" w:space="0" w:color="auto"/>
                        <w:right w:val="none" w:sz="0" w:space="0" w:color="auto"/>
                      </w:divBdr>
                      <w:divsChild>
                        <w:div w:id="294138077">
                          <w:marLeft w:val="0"/>
                          <w:marRight w:val="0"/>
                          <w:marTop w:val="0"/>
                          <w:marBottom w:val="0"/>
                          <w:divBdr>
                            <w:top w:val="none" w:sz="0" w:space="0" w:color="auto"/>
                            <w:left w:val="none" w:sz="0" w:space="0" w:color="auto"/>
                            <w:bottom w:val="none" w:sz="0" w:space="0" w:color="auto"/>
                            <w:right w:val="none" w:sz="0" w:space="0" w:color="auto"/>
                          </w:divBdr>
                        </w:div>
                      </w:divsChild>
                    </w:div>
                    <w:div w:id="294138916">
                      <w:marLeft w:val="0"/>
                      <w:marRight w:val="0"/>
                      <w:marTop w:val="0"/>
                      <w:marBottom w:val="0"/>
                      <w:divBdr>
                        <w:top w:val="none" w:sz="0" w:space="0" w:color="auto"/>
                        <w:left w:val="none" w:sz="0" w:space="0" w:color="auto"/>
                        <w:bottom w:val="none" w:sz="0" w:space="0" w:color="auto"/>
                        <w:right w:val="none" w:sz="0" w:space="0" w:color="auto"/>
                      </w:divBdr>
                      <w:divsChild>
                        <w:div w:id="294149337">
                          <w:marLeft w:val="0"/>
                          <w:marRight w:val="0"/>
                          <w:marTop w:val="0"/>
                          <w:marBottom w:val="0"/>
                          <w:divBdr>
                            <w:top w:val="none" w:sz="0" w:space="0" w:color="auto"/>
                            <w:left w:val="none" w:sz="0" w:space="0" w:color="auto"/>
                            <w:bottom w:val="none" w:sz="0" w:space="0" w:color="auto"/>
                            <w:right w:val="none" w:sz="0" w:space="0" w:color="auto"/>
                          </w:divBdr>
                        </w:div>
                      </w:divsChild>
                    </w:div>
                    <w:div w:id="294138923">
                      <w:marLeft w:val="0"/>
                      <w:marRight w:val="0"/>
                      <w:marTop w:val="0"/>
                      <w:marBottom w:val="0"/>
                      <w:divBdr>
                        <w:top w:val="none" w:sz="0" w:space="0" w:color="auto"/>
                        <w:left w:val="none" w:sz="0" w:space="0" w:color="auto"/>
                        <w:bottom w:val="none" w:sz="0" w:space="0" w:color="auto"/>
                        <w:right w:val="none" w:sz="0" w:space="0" w:color="auto"/>
                      </w:divBdr>
                      <w:divsChild>
                        <w:div w:id="294157405">
                          <w:marLeft w:val="0"/>
                          <w:marRight w:val="0"/>
                          <w:marTop w:val="0"/>
                          <w:marBottom w:val="0"/>
                          <w:divBdr>
                            <w:top w:val="none" w:sz="0" w:space="0" w:color="auto"/>
                            <w:left w:val="none" w:sz="0" w:space="0" w:color="auto"/>
                            <w:bottom w:val="none" w:sz="0" w:space="0" w:color="auto"/>
                            <w:right w:val="none" w:sz="0" w:space="0" w:color="auto"/>
                          </w:divBdr>
                        </w:div>
                      </w:divsChild>
                    </w:div>
                    <w:div w:id="294138949">
                      <w:marLeft w:val="0"/>
                      <w:marRight w:val="0"/>
                      <w:marTop w:val="0"/>
                      <w:marBottom w:val="0"/>
                      <w:divBdr>
                        <w:top w:val="none" w:sz="0" w:space="0" w:color="auto"/>
                        <w:left w:val="none" w:sz="0" w:space="0" w:color="auto"/>
                        <w:bottom w:val="none" w:sz="0" w:space="0" w:color="auto"/>
                        <w:right w:val="none" w:sz="0" w:space="0" w:color="auto"/>
                      </w:divBdr>
                      <w:divsChild>
                        <w:div w:id="294148390">
                          <w:marLeft w:val="0"/>
                          <w:marRight w:val="0"/>
                          <w:marTop w:val="0"/>
                          <w:marBottom w:val="0"/>
                          <w:divBdr>
                            <w:top w:val="none" w:sz="0" w:space="0" w:color="auto"/>
                            <w:left w:val="none" w:sz="0" w:space="0" w:color="auto"/>
                            <w:bottom w:val="none" w:sz="0" w:space="0" w:color="auto"/>
                            <w:right w:val="none" w:sz="0" w:space="0" w:color="auto"/>
                          </w:divBdr>
                        </w:div>
                      </w:divsChild>
                    </w:div>
                    <w:div w:id="294138956">
                      <w:marLeft w:val="0"/>
                      <w:marRight w:val="0"/>
                      <w:marTop w:val="0"/>
                      <w:marBottom w:val="0"/>
                      <w:divBdr>
                        <w:top w:val="none" w:sz="0" w:space="0" w:color="auto"/>
                        <w:left w:val="none" w:sz="0" w:space="0" w:color="auto"/>
                        <w:bottom w:val="none" w:sz="0" w:space="0" w:color="auto"/>
                        <w:right w:val="none" w:sz="0" w:space="0" w:color="auto"/>
                      </w:divBdr>
                    </w:div>
                    <w:div w:id="294138957">
                      <w:marLeft w:val="0"/>
                      <w:marRight w:val="0"/>
                      <w:marTop w:val="0"/>
                      <w:marBottom w:val="0"/>
                      <w:divBdr>
                        <w:top w:val="none" w:sz="0" w:space="0" w:color="auto"/>
                        <w:left w:val="none" w:sz="0" w:space="0" w:color="auto"/>
                        <w:bottom w:val="none" w:sz="0" w:space="0" w:color="auto"/>
                        <w:right w:val="none" w:sz="0" w:space="0" w:color="auto"/>
                      </w:divBdr>
                    </w:div>
                    <w:div w:id="294138984">
                      <w:marLeft w:val="0"/>
                      <w:marRight w:val="0"/>
                      <w:marTop w:val="0"/>
                      <w:marBottom w:val="0"/>
                      <w:divBdr>
                        <w:top w:val="none" w:sz="0" w:space="0" w:color="auto"/>
                        <w:left w:val="none" w:sz="0" w:space="0" w:color="auto"/>
                        <w:bottom w:val="none" w:sz="0" w:space="0" w:color="auto"/>
                        <w:right w:val="none" w:sz="0" w:space="0" w:color="auto"/>
                      </w:divBdr>
                    </w:div>
                    <w:div w:id="294138993">
                      <w:marLeft w:val="0"/>
                      <w:marRight w:val="0"/>
                      <w:marTop w:val="0"/>
                      <w:marBottom w:val="0"/>
                      <w:divBdr>
                        <w:top w:val="none" w:sz="0" w:space="0" w:color="auto"/>
                        <w:left w:val="none" w:sz="0" w:space="0" w:color="auto"/>
                        <w:bottom w:val="none" w:sz="0" w:space="0" w:color="auto"/>
                        <w:right w:val="none" w:sz="0" w:space="0" w:color="auto"/>
                      </w:divBdr>
                      <w:divsChild>
                        <w:div w:id="294151586">
                          <w:marLeft w:val="0"/>
                          <w:marRight w:val="0"/>
                          <w:marTop w:val="0"/>
                          <w:marBottom w:val="0"/>
                          <w:divBdr>
                            <w:top w:val="none" w:sz="0" w:space="0" w:color="auto"/>
                            <w:left w:val="none" w:sz="0" w:space="0" w:color="auto"/>
                            <w:bottom w:val="none" w:sz="0" w:space="0" w:color="auto"/>
                            <w:right w:val="none" w:sz="0" w:space="0" w:color="auto"/>
                          </w:divBdr>
                        </w:div>
                      </w:divsChild>
                    </w:div>
                    <w:div w:id="294139018">
                      <w:marLeft w:val="0"/>
                      <w:marRight w:val="0"/>
                      <w:marTop w:val="0"/>
                      <w:marBottom w:val="0"/>
                      <w:divBdr>
                        <w:top w:val="none" w:sz="0" w:space="0" w:color="auto"/>
                        <w:left w:val="none" w:sz="0" w:space="0" w:color="auto"/>
                        <w:bottom w:val="none" w:sz="0" w:space="0" w:color="auto"/>
                        <w:right w:val="none" w:sz="0" w:space="0" w:color="auto"/>
                      </w:divBdr>
                      <w:divsChild>
                        <w:div w:id="294151895">
                          <w:marLeft w:val="0"/>
                          <w:marRight w:val="0"/>
                          <w:marTop w:val="0"/>
                          <w:marBottom w:val="0"/>
                          <w:divBdr>
                            <w:top w:val="none" w:sz="0" w:space="0" w:color="auto"/>
                            <w:left w:val="none" w:sz="0" w:space="0" w:color="auto"/>
                            <w:bottom w:val="none" w:sz="0" w:space="0" w:color="auto"/>
                            <w:right w:val="none" w:sz="0" w:space="0" w:color="auto"/>
                          </w:divBdr>
                        </w:div>
                      </w:divsChild>
                    </w:div>
                    <w:div w:id="294139021">
                      <w:marLeft w:val="0"/>
                      <w:marRight w:val="0"/>
                      <w:marTop w:val="0"/>
                      <w:marBottom w:val="0"/>
                      <w:divBdr>
                        <w:top w:val="none" w:sz="0" w:space="0" w:color="auto"/>
                        <w:left w:val="none" w:sz="0" w:space="0" w:color="auto"/>
                        <w:bottom w:val="none" w:sz="0" w:space="0" w:color="auto"/>
                        <w:right w:val="none" w:sz="0" w:space="0" w:color="auto"/>
                      </w:divBdr>
                      <w:divsChild>
                        <w:div w:id="294153863">
                          <w:marLeft w:val="0"/>
                          <w:marRight w:val="0"/>
                          <w:marTop w:val="0"/>
                          <w:marBottom w:val="0"/>
                          <w:divBdr>
                            <w:top w:val="none" w:sz="0" w:space="0" w:color="auto"/>
                            <w:left w:val="none" w:sz="0" w:space="0" w:color="auto"/>
                            <w:bottom w:val="none" w:sz="0" w:space="0" w:color="auto"/>
                            <w:right w:val="none" w:sz="0" w:space="0" w:color="auto"/>
                          </w:divBdr>
                        </w:div>
                      </w:divsChild>
                    </w:div>
                    <w:div w:id="294139032">
                      <w:marLeft w:val="0"/>
                      <w:marRight w:val="0"/>
                      <w:marTop w:val="0"/>
                      <w:marBottom w:val="0"/>
                      <w:divBdr>
                        <w:top w:val="none" w:sz="0" w:space="0" w:color="auto"/>
                        <w:left w:val="none" w:sz="0" w:space="0" w:color="auto"/>
                        <w:bottom w:val="none" w:sz="0" w:space="0" w:color="auto"/>
                        <w:right w:val="none" w:sz="0" w:space="0" w:color="auto"/>
                      </w:divBdr>
                    </w:div>
                    <w:div w:id="294139061">
                      <w:marLeft w:val="0"/>
                      <w:marRight w:val="0"/>
                      <w:marTop w:val="0"/>
                      <w:marBottom w:val="0"/>
                      <w:divBdr>
                        <w:top w:val="none" w:sz="0" w:space="0" w:color="auto"/>
                        <w:left w:val="none" w:sz="0" w:space="0" w:color="auto"/>
                        <w:bottom w:val="none" w:sz="0" w:space="0" w:color="auto"/>
                        <w:right w:val="none" w:sz="0" w:space="0" w:color="auto"/>
                      </w:divBdr>
                    </w:div>
                    <w:div w:id="294139115">
                      <w:marLeft w:val="0"/>
                      <w:marRight w:val="0"/>
                      <w:marTop w:val="0"/>
                      <w:marBottom w:val="0"/>
                      <w:divBdr>
                        <w:top w:val="none" w:sz="0" w:space="0" w:color="auto"/>
                        <w:left w:val="none" w:sz="0" w:space="0" w:color="auto"/>
                        <w:bottom w:val="none" w:sz="0" w:space="0" w:color="auto"/>
                        <w:right w:val="none" w:sz="0" w:space="0" w:color="auto"/>
                      </w:divBdr>
                    </w:div>
                    <w:div w:id="294139134">
                      <w:marLeft w:val="0"/>
                      <w:marRight w:val="0"/>
                      <w:marTop w:val="0"/>
                      <w:marBottom w:val="0"/>
                      <w:divBdr>
                        <w:top w:val="none" w:sz="0" w:space="0" w:color="auto"/>
                        <w:left w:val="none" w:sz="0" w:space="0" w:color="auto"/>
                        <w:bottom w:val="none" w:sz="0" w:space="0" w:color="auto"/>
                        <w:right w:val="none" w:sz="0" w:space="0" w:color="auto"/>
                      </w:divBdr>
                      <w:divsChild>
                        <w:div w:id="294139724">
                          <w:marLeft w:val="0"/>
                          <w:marRight w:val="0"/>
                          <w:marTop w:val="0"/>
                          <w:marBottom w:val="0"/>
                          <w:divBdr>
                            <w:top w:val="none" w:sz="0" w:space="0" w:color="auto"/>
                            <w:left w:val="none" w:sz="0" w:space="0" w:color="auto"/>
                            <w:bottom w:val="none" w:sz="0" w:space="0" w:color="auto"/>
                            <w:right w:val="none" w:sz="0" w:space="0" w:color="auto"/>
                          </w:divBdr>
                        </w:div>
                      </w:divsChild>
                    </w:div>
                    <w:div w:id="294139147">
                      <w:marLeft w:val="0"/>
                      <w:marRight w:val="0"/>
                      <w:marTop w:val="0"/>
                      <w:marBottom w:val="0"/>
                      <w:divBdr>
                        <w:top w:val="none" w:sz="0" w:space="0" w:color="auto"/>
                        <w:left w:val="none" w:sz="0" w:space="0" w:color="auto"/>
                        <w:bottom w:val="none" w:sz="0" w:space="0" w:color="auto"/>
                        <w:right w:val="none" w:sz="0" w:space="0" w:color="auto"/>
                      </w:divBdr>
                      <w:divsChild>
                        <w:div w:id="294141834">
                          <w:marLeft w:val="0"/>
                          <w:marRight w:val="0"/>
                          <w:marTop w:val="0"/>
                          <w:marBottom w:val="0"/>
                          <w:divBdr>
                            <w:top w:val="none" w:sz="0" w:space="0" w:color="auto"/>
                            <w:left w:val="none" w:sz="0" w:space="0" w:color="auto"/>
                            <w:bottom w:val="none" w:sz="0" w:space="0" w:color="auto"/>
                            <w:right w:val="none" w:sz="0" w:space="0" w:color="auto"/>
                          </w:divBdr>
                        </w:div>
                      </w:divsChild>
                    </w:div>
                    <w:div w:id="294139150">
                      <w:marLeft w:val="0"/>
                      <w:marRight w:val="0"/>
                      <w:marTop w:val="0"/>
                      <w:marBottom w:val="0"/>
                      <w:divBdr>
                        <w:top w:val="none" w:sz="0" w:space="0" w:color="auto"/>
                        <w:left w:val="none" w:sz="0" w:space="0" w:color="auto"/>
                        <w:bottom w:val="none" w:sz="0" w:space="0" w:color="auto"/>
                        <w:right w:val="none" w:sz="0" w:space="0" w:color="auto"/>
                      </w:divBdr>
                    </w:div>
                    <w:div w:id="294139174">
                      <w:marLeft w:val="0"/>
                      <w:marRight w:val="0"/>
                      <w:marTop w:val="0"/>
                      <w:marBottom w:val="0"/>
                      <w:divBdr>
                        <w:top w:val="none" w:sz="0" w:space="0" w:color="auto"/>
                        <w:left w:val="none" w:sz="0" w:space="0" w:color="auto"/>
                        <w:bottom w:val="none" w:sz="0" w:space="0" w:color="auto"/>
                        <w:right w:val="none" w:sz="0" w:space="0" w:color="auto"/>
                      </w:divBdr>
                    </w:div>
                    <w:div w:id="294139179">
                      <w:marLeft w:val="0"/>
                      <w:marRight w:val="0"/>
                      <w:marTop w:val="0"/>
                      <w:marBottom w:val="0"/>
                      <w:divBdr>
                        <w:top w:val="none" w:sz="0" w:space="0" w:color="auto"/>
                        <w:left w:val="none" w:sz="0" w:space="0" w:color="auto"/>
                        <w:bottom w:val="none" w:sz="0" w:space="0" w:color="auto"/>
                        <w:right w:val="none" w:sz="0" w:space="0" w:color="auto"/>
                      </w:divBdr>
                    </w:div>
                    <w:div w:id="294139192">
                      <w:marLeft w:val="0"/>
                      <w:marRight w:val="0"/>
                      <w:marTop w:val="0"/>
                      <w:marBottom w:val="0"/>
                      <w:divBdr>
                        <w:top w:val="none" w:sz="0" w:space="0" w:color="auto"/>
                        <w:left w:val="none" w:sz="0" w:space="0" w:color="auto"/>
                        <w:bottom w:val="none" w:sz="0" w:space="0" w:color="auto"/>
                        <w:right w:val="none" w:sz="0" w:space="0" w:color="auto"/>
                      </w:divBdr>
                    </w:div>
                    <w:div w:id="294139231">
                      <w:marLeft w:val="0"/>
                      <w:marRight w:val="0"/>
                      <w:marTop w:val="0"/>
                      <w:marBottom w:val="0"/>
                      <w:divBdr>
                        <w:top w:val="none" w:sz="0" w:space="0" w:color="auto"/>
                        <w:left w:val="none" w:sz="0" w:space="0" w:color="auto"/>
                        <w:bottom w:val="none" w:sz="0" w:space="0" w:color="auto"/>
                        <w:right w:val="none" w:sz="0" w:space="0" w:color="auto"/>
                      </w:divBdr>
                    </w:div>
                    <w:div w:id="294139244">
                      <w:marLeft w:val="0"/>
                      <w:marRight w:val="0"/>
                      <w:marTop w:val="0"/>
                      <w:marBottom w:val="0"/>
                      <w:divBdr>
                        <w:top w:val="none" w:sz="0" w:space="0" w:color="auto"/>
                        <w:left w:val="none" w:sz="0" w:space="0" w:color="auto"/>
                        <w:bottom w:val="none" w:sz="0" w:space="0" w:color="auto"/>
                        <w:right w:val="none" w:sz="0" w:space="0" w:color="auto"/>
                      </w:divBdr>
                      <w:divsChild>
                        <w:div w:id="294140109">
                          <w:marLeft w:val="0"/>
                          <w:marRight w:val="0"/>
                          <w:marTop w:val="0"/>
                          <w:marBottom w:val="0"/>
                          <w:divBdr>
                            <w:top w:val="none" w:sz="0" w:space="0" w:color="auto"/>
                            <w:left w:val="none" w:sz="0" w:space="0" w:color="auto"/>
                            <w:bottom w:val="none" w:sz="0" w:space="0" w:color="auto"/>
                            <w:right w:val="none" w:sz="0" w:space="0" w:color="auto"/>
                          </w:divBdr>
                        </w:div>
                      </w:divsChild>
                    </w:div>
                    <w:div w:id="294139256">
                      <w:marLeft w:val="0"/>
                      <w:marRight w:val="0"/>
                      <w:marTop w:val="0"/>
                      <w:marBottom w:val="0"/>
                      <w:divBdr>
                        <w:top w:val="none" w:sz="0" w:space="0" w:color="auto"/>
                        <w:left w:val="none" w:sz="0" w:space="0" w:color="auto"/>
                        <w:bottom w:val="none" w:sz="0" w:space="0" w:color="auto"/>
                        <w:right w:val="none" w:sz="0" w:space="0" w:color="auto"/>
                      </w:divBdr>
                    </w:div>
                    <w:div w:id="294139273">
                      <w:marLeft w:val="0"/>
                      <w:marRight w:val="0"/>
                      <w:marTop w:val="0"/>
                      <w:marBottom w:val="0"/>
                      <w:divBdr>
                        <w:top w:val="none" w:sz="0" w:space="0" w:color="auto"/>
                        <w:left w:val="none" w:sz="0" w:space="0" w:color="auto"/>
                        <w:bottom w:val="none" w:sz="0" w:space="0" w:color="auto"/>
                        <w:right w:val="none" w:sz="0" w:space="0" w:color="auto"/>
                      </w:divBdr>
                    </w:div>
                    <w:div w:id="294139291">
                      <w:marLeft w:val="0"/>
                      <w:marRight w:val="0"/>
                      <w:marTop w:val="0"/>
                      <w:marBottom w:val="0"/>
                      <w:divBdr>
                        <w:top w:val="none" w:sz="0" w:space="0" w:color="auto"/>
                        <w:left w:val="none" w:sz="0" w:space="0" w:color="auto"/>
                        <w:bottom w:val="none" w:sz="0" w:space="0" w:color="auto"/>
                        <w:right w:val="none" w:sz="0" w:space="0" w:color="auto"/>
                      </w:divBdr>
                    </w:div>
                    <w:div w:id="294139304">
                      <w:marLeft w:val="0"/>
                      <w:marRight w:val="0"/>
                      <w:marTop w:val="0"/>
                      <w:marBottom w:val="0"/>
                      <w:divBdr>
                        <w:top w:val="none" w:sz="0" w:space="0" w:color="auto"/>
                        <w:left w:val="none" w:sz="0" w:space="0" w:color="auto"/>
                        <w:bottom w:val="none" w:sz="0" w:space="0" w:color="auto"/>
                        <w:right w:val="none" w:sz="0" w:space="0" w:color="auto"/>
                      </w:divBdr>
                      <w:divsChild>
                        <w:div w:id="294155035">
                          <w:marLeft w:val="0"/>
                          <w:marRight w:val="0"/>
                          <w:marTop w:val="0"/>
                          <w:marBottom w:val="0"/>
                          <w:divBdr>
                            <w:top w:val="none" w:sz="0" w:space="0" w:color="auto"/>
                            <w:left w:val="none" w:sz="0" w:space="0" w:color="auto"/>
                            <w:bottom w:val="none" w:sz="0" w:space="0" w:color="auto"/>
                            <w:right w:val="none" w:sz="0" w:space="0" w:color="auto"/>
                          </w:divBdr>
                        </w:div>
                      </w:divsChild>
                    </w:div>
                    <w:div w:id="294139306">
                      <w:marLeft w:val="0"/>
                      <w:marRight w:val="0"/>
                      <w:marTop w:val="0"/>
                      <w:marBottom w:val="0"/>
                      <w:divBdr>
                        <w:top w:val="none" w:sz="0" w:space="0" w:color="auto"/>
                        <w:left w:val="none" w:sz="0" w:space="0" w:color="auto"/>
                        <w:bottom w:val="none" w:sz="0" w:space="0" w:color="auto"/>
                        <w:right w:val="none" w:sz="0" w:space="0" w:color="auto"/>
                      </w:divBdr>
                    </w:div>
                    <w:div w:id="294139323">
                      <w:marLeft w:val="0"/>
                      <w:marRight w:val="0"/>
                      <w:marTop w:val="0"/>
                      <w:marBottom w:val="0"/>
                      <w:divBdr>
                        <w:top w:val="none" w:sz="0" w:space="0" w:color="auto"/>
                        <w:left w:val="none" w:sz="0" w:space="0" w:color="auto"/>
                        <w:bottom w:val="none" w:sz="0" w:space="0" w:color="auto"/>
                        <w:right w:val="none" w:sz="0" w:space="0" w:color="auto"/>
                      </w:divBdr>
                    </w:div>
                    <w:div w:id="294139333">
                      <w:marLeft w:val="0"/>
                      <w:marRight w:val="0"/>
                      <w:marTop w:val="0"/>
                      <w:marBottom w:val="0"/>
                      <w:divBdr>
                        <w:top w:val="none" w:sz="0" w:space="0" w:color="auto"/>
                        <w:left w:val="none" w:sz="0" w:space="0" w:color="auto"/>
                        <w:bottom w:val="none" w:sz="0" w:space="0" w:color="auto"/>
                        <w:right w:val="none" w:sz="0" w:space="0" w:color="auto"/>
                      </w:divBdr>
                      <w:divsChild>
                        <w:div w:id="294152295">
                          <w:marLeft w:val="0"/>
                          <w:marRight w:val="0"/>
                          <w:marTop w:val="0"/>
                          <w:marBottom w:val="0"/>
                          <w:divBdr>
                            <w:top w:val="none" w:sz="0" w:space="0" w:color="auto"/>
                            <w:left w:val="none" w:sz="0" w:space="0" w:color="auto"/>
                            <w:bottom w:val="none" w:sz="0" w:space="0" w:color="auto"/>
                            <w:right w:val="none" w:sz="0" w:space="0" w:color="auto"/>
                          </w:divBdr>
                        </w:div>
                      </w:divsChild>
                    </w:div>
                    <w:div w:id="294139339">
                      <w:marLeft w:val="0"/>
                      <w:marRight w:val="0"/>
                      <w:marTop w:val="0"/>
                      <w:marBottom w:val="0"/>
                      <w:divBdr>
                        <w:top w:val="none" w:sz="0" w:space="0" w:color="auto"/>
                        <w:left w:val="none" w:sz="0" w:space="0" w:color="auto"/>
                        <w:bottom w:val="none" w:sz="0" w:space="0" w:color="auto"/>
                        <w:right w:val="none" w:sz="0" w:space="0" w:color="auto"/>
                      </w:divBdr>
                      <w:divsChild>
                        <w:div w:id="294147327">
                          <w:marLeft w:val="0"/>
                          <w:marRight w:val="0"/>
                          <w:marTop w:val="0"/>
                          <w:marBottom w:val="0"/>
                          <w:divBdr>
                            <w:top w:val="none" w:sz="0" w:space="0" w:color="auto"/>
                            <w:left w:val="none" w:sz="0" w:space="0" w:color="auto"/>
                            <w:bottom w:val="none" w:sz="0" w:space="0" w:color="auto"/>
                            <w:right w:val="none" w:sz="0" w:space="0" w:color="auto"/>
                          </w:divBdr>
                        </w:div>
                      </w:divsChild>
                    </w:div>
                    <w:div w:id="294139341">
                      <w:marLeft w:val="0"/>
                      <w:marRight w:val="0"/>
                      <w:marTop w:val="0"/>
                      <w:marBottom w:val="0"/>
                      <w:divBdr>
                        <w:top w:val="none" w:sz="0" w:space="0" w:color="auto"/>
                        <w:left w:val="none" w:sz="0" w:space="0" w:color="auto"/>
                        <w:bottom w:val="none" w:sz="0" w:space="0" w:color="auto"/>
                        <w:right w:val="none" w:sz="0" w:space="0" w:color="auto"/>
                      </w:divBdr>
                    </w:div>
                    <w:div w:id="294139377">
                      <w:marLeft w:val="0"/>
                      <w:marRight w:val="0"/>
                      <w:marTop w:val="0"/>
                      <w:marBottom w:val="0"/>
                      <w:divBdr>
                        <w:top w:val="none" w:sz="0" w:space="0" w:color="auto"/>
                        <w:left w:val="none" w:sz="0" w:space="0" w:color="auto"/>
                        <w:bottom w:val="none" w:sz="0" w:space="0" w:color="auto"/>
                        <w:right w:val="none" w:sz="0" w:space="0" w:color="auto"/>
                      </w:divBdr>
                      <w:divsChild>
                        <w:div w:id="294147302">
                          <w:marLeft w:val="0"/>
                          <w:marRight w:val="0"/>
                          <w:marTop w:val="0"/>
                          <w:marBottom w:val="0"/>
                          <w:divBdr>
                            <w:top w:val="none" w:sz="0" w:space="0" w:color="auto"/>
                            <w:left w:val="none" w:sz="0" w:space="0" w:color="auto"/>
                            <w:bottom w:val="none" w:sz="0" w:space="0" w:color="auto"/>
                            <w:right w:val="none" w:sz="0" w:space="0" w:color="auto"/>
                          </w:divBdr>
                        </w:div>
                      </w:divsChild>
                    </w:div>
                    <w:div w:id="294139446">
                      <w:marLeft w:val="0"/>
                      <w:marRight w:val="0"/>
                      <w:marTop w:val="0"/>
                      <w:marBottom w:val="0"/>
                      <w:divBdr>
                        <w:top w:val="none" w:sz="0" w:space="0" w:color="auto"/>
                        <w:left w:val="none" w:sz="0" w:space="0" w:color="auto"/>
                        <w:bottom w:val="none" w:sz="0" w:space="0" w:color="auto"/>
                        <w:right w:val="none" w:sz="0" w:space="0" w:color="auto"/>
                      </w:divBdr>
                    </w:div>
                    <w:div w:id="294139462">
                      <w:marLeft w:val="0"/>
                      <w:marRight w:val="0"/>
                      <w:marTop w:val="0"/>
                      <w:marBottom w:val="0"/>
                      <w:divBdr>
                        <w:top w:val="none" w:sz="0" w:space="0" w:color="auto"/>
                        <w:left w:val="none" w:sz="0" w:space="0" w:color="auto"/>
                        <w:bottom w:val="none" w:sz="0" w:space="0" w:color="auto"/>
                        <w:right w:val="none" w:sz="0" w:space="0" w:color="auto"/>
                      </w:divBdr>
                      <w:divsChild>
                        <w:div w:id="294150693">
                          <w:marLeft w:val="0"/>
                          <w:marRight w:val="0"/>
                          <w:marTop w:val="0"/>
                          <w:marBottom w:val="0"/>
                          <w:divBdr>
                            <w:top w:val="none" w:sz="0" w:space="0" w:color="auto"/>
                            <w:left w:val="none" w:sz="0" w:space="0" w:color="auto"/>
                            <w:bottom w:val="none" w:sz="0" w:space="0" w:color="auto"/>
                            <w:right w:val="none" w:sz="0" w:space="0" w:color="auto"/>
                          </w:divBdr>
                        </w:div>
                      </w:divsChild>
                    </w:div>
                    <w:div w:id="294139466">
                      <w:marLeft w:val="0"/>
                      <w:marRight w:val="0"/>
                      <w:marTop w:val="0"/>
                      <w:marBottom w:val="0"/>
                      <w:divBdr>
                        <w:top w:val="none" w:sz="0" w:space="0" w:color="auto"/>
                        <w:left w:val="none" w:sz="0" w:space="0" w:color="auto"/>
                        <w:bottom w:val="none" w:sz="0" w:space="0" w:color="auto"/>
                        <w:right w:val="none" w:sz="0" w:space="0" w:color="auto"/>
                      </w:divBdr>
                      <w:divsChild>
                        <w:div w:id="294146672">
                          <w:marLeft w:val="0"/>
                          <w:marRight w:val="0"/>
                          <w:marTop w:val="0"/>
                          <w:marBottom w:val="0"/>
                          <w:divBdr>
                            <w:top w:val="none" w:sz="0" w:space="0" w:color="auto"/>
                            <w:left w:val="none" w:sz="0" w:space="0" w:color="auto"/>
                            <w:bottom w:val="none" w:sz="0" w:space="0" w:color="auto"/>
                            <w:right w:val="none" w:sz="0" w:space="0" w:color="auto"/>
                          </w:divBdr>
                        </w:div>
                      </w:divsChild>
                    </w:div>
                    <w:div w:id="294139486">
                      <w:marLeft w:val="0"/>
                      <w:marRight w:val="0"/>
                      <w:marTop w:val="0"/>
                      <w:marBottom w:val="0"/>
                      <w:divBdr>
                        <w:top w:val="none" w:sz="0" w:space="0" w:color="auto"/>
                        <w:left w:val="none" w:sz="0" w:space="0" w:color="auto"/>
                        <w:bottom w:val="none" w:sz="0" w:space="0" w:color="auto"/>
                        <w:right w:val="none" w:sz="0" w:space="0" w:color="auto"/>
                      </w:divBdr>
                      <w:divsChild>
                        <w:div w:id="294140444">
                          <w:marLeft w:val="0"/>
                          <w:marRight w:val="0"/>
                          <w:marTop w:val="0"/>
                          <w:marBottom w:val="0"/>
                          <w:divBdr>
                            <w:top w:val="none" w:sz="0" w:space="0" w:color="auto"/>
                            <w:left w:val="none" w:sz="0" w:space="0" w:color="auto"/>
                            <w:bottom w:val="none" w:sz="0" w:space="0" w:color="auto"/>
                            <w:right w:val="none" w:sz="0" w:space="0" w:color="auto"/>
                          </w:divBdr>
                        </w:div>
                      </w:divsChild>
                    </w:div>
                    <w:div w:id="294139489">
                      <w:marLeft w:val="0"/>
                      <w:marRight w:val="0"/>
                      <w:marTop w:val="0"/>
                      <w:marBottom w:val="0"/>
                      <w:divBdr>
                        <w:top w:val="none" w:sz="0" w:space="0" w:color="auto"/>
                        <w:left w:val="none" w:sz="0" w:space="0" w:color="auto"/>
                        <w:bottom w:val="none" w:sz="0" w:space="0" w:color="auto"/>
                        <w:right w:val="none" w:sz="0" w:space="0" w:color="auto"/>
                      </w:divBdr>
                      <w:divsChild>
                        <w:div w:id="294143708">
                          <w:marLeft w:val="0"/>
                          <w:marRight w:val="0"/>
                          <w:marTop w:val="0"/>
                          <w:marBottom w:val="0"/>
                          <w:divBdr>
                            <w:top w:val="none" w:sz="0" w:space="0" w:color="auto"/>
                            <w:left w:val="none" w:sz="0" w:space="0" w:color="auto"/>
                            <w:bottom w:val="none" w:sz="0" w:space="0" w:color="auto"/>
                            <w:right w:val="none" w:sz="0" w:space="0" w:color="auto"/>
                          </w:divBdr>
                        </w:div>
                      </w:divsChild>
                    </w:div>
                    <w:div w:id="294139534">
                      <w:marLeft w:val="0"/>
                      <w:marRight w:val="0"/>
                      <w:marTop w:val="0"/>
                      <w:marBottom w:val="0"/>
                      <w:divBdr>
                        <w:top w:val="none" w:sz="0" w:space="0" w:color="auto"/>
                        <w:left w:val="none" w:sz="0" w:space="0" w:color="auto"/>
                        <w:bottom w:val="none" w:sz="0" w:space="0" w:color="auto"/>
                        <w:right w:val="none" w:sz="0" w:space="0" w:color="auto"/>
                      </w:divBdr>
                    </w:div>
                    <w:div w:id="294139542">
                      <w:marLeft w:val="0"/>
                      <w:marRight w:val="0"/>
                      <w:marTop w:val="0"/>
                      <w:marBottom w:val="0"/>
                      <w:divBdr>
                        <w:top w:val="none" w:sz="0" w:space="0" w:color="auto"/>
                        <w:left w:val="none" w:sz="0" w:space="0" w:color="auto"/>
                        <w:bottom w:val="none" w:sz="0" w:space="0" w:color="auto"/>
                        <w:right w:val="none" w:sz="0" w:space="0" w:color="auto"/>
                      </w:divBdr>
                    </w:div>
                    <w:div w:id="294139578">
                      <w:marLeft w:val="0"/>
                      <w:marRight w:val="0"/>
                      <w:marTop w:val="0"/>
                      <w:marBottom w:val="0"/>
                      <w:divBdr>
                        <w:top w:val="none" w:sz="0" w:space="0" w:color="auto"/>
                        <w:left w:val="none" w:sz="0" w:space="0" w:color="auto"/>
                        <w:bottom w:val="none" w:sz="0" w:space="0" w:color="auto"/>
                        <w:right w:val="none" w:sz="0" w:space="0" w:color="auto"/>
                      </w:divBdr>
                      <w:divsChild>
                        <w:div w:id="294145435">
                          <w:marLeft w:val="0"/>
                          <w:marRight w:val="0"/>
                          <w:marTop w:val="0"/>
                          <w:marBottom w:val="0"/>
                          <w:divBdr>
                            <w:top w:val="none" w:sz="0" w:space="0" w:color="auto"/>
                            <w:left w:val="none" w:sz="0" w:space="0" w:color="auto"/>
                            <w:bottom w:val="none" w:sz="0" w:space="0" w:color="auto"/>
                            <w:right w:val="none" w:sz="0" w:space="0" w:color="auto"/>
                          </w:divBdr>
                        </w:div>
                      </w:divsChild>
                    </w:div>
                    <w:div w:id="294139618">
                      <w:marLeft w:val="0"/>
                      <w:marRight w:val="0"/>
                      <w:marTop w:val="0"/>
                      <w:marBottom w:val="0"/>
                      <w:divBdr>
                        <w:top w:val="none" w:sz="0" w:space="0" w:color="auto"/>
                        <w:left w:val="none" w:sz="0" w:space="0" w:color="auto"/>
                        <w:bottom w:val="none" w:sz="0" w:space="0" w:color="auto"/>
                        <w:right w:val="none" w:sz="0" w:space="0" w:color="auto"/>
                      </w:divBdr>
                      <w:divsChild>
                        <w:div w:id="294143699">
                          <w:marLeft w:val="0"/>
                          <w:marRight w:val="0"/>
                          <w:marTop w:val="0"/>
                          <w:marBottom w:val="0"/>
                          <w:divBdr>
                            <w:top w:val="none" w:sz="0" w:space="0" w:color="auto"/>
                            <w:left w:val="none" w:sz="0" w:space="0" w:color="auto"/>
                            <w:bottom w:val="none" w:sz="0" w:space="0" w:color="auto"/>
                            <w:right w:val="none" w:sz="0" w:space="0" w:color="auto"/>
                          </w:divBdr>
                        </w:div>
                      </w:divsChild>
                    </w:div>
                    <w:div w:id="294139622">
                      <w:marLeft w:val="0"/>
                      <w:marRight w:val="0"/>
                      <w:marTop w:val="0"/>
                      <w:marBottom w:val="0"/>
                      <w:divBdr>
                        <w:top w:val="none" w:sz="0" w:space="0" w:color="auto"/>
                        <w:left w:val="none" w:sz="0" w:space="0" w:color="auto"/>
                        <w:bottom w:val="none" w:sz="0" w:space="0" w:color="auto"/>
                        <w:right w:val="none" w:sz="0" w:space="0" w:color="auto"/>
                      </w:divBdr>
                      <w:divsChild>
                        <w:div w:id="294147352">
                          <w:marLeft w:val="0"/>
                          <w:marRight w:val="0"/>
                          <w:marTop w:val="0"/>
                          <w:marBottom w:val="0"/>
                          <w:divBdr>
                            <w:top w:val="none" w:sz="0" w:space="0" w:color="auto"/>
                            <w:left w:val="none" w:sz="0" w:space="0" w:color="auto"/>
                            <w:bottom w:val="none" w:sz="0" w:space="0" w:color="auto"/>
                            <w:right w:val="none" w:sz="0" w:space="0" w:color="auto"/>
                          </w:divBdr>
                        </w:div>
                      </w:divsChild>
                    </w:div>
                    <w:div w:id="294139623">
                      <w:marLeft w:val="0"/>
                      <w:marRight w:val="0"/>
                      <w:marTop w:val="0"/>
                      <w:marBottom w:val="0"/>
                      <w:divBdr>
                        <w:top w:val="none" w:sz="0" w:space="0" w:color="auto"/>
                        <w:left w:val="none" w:sz="0" w:space="0" w:color="auto"/>
                        <w:bottom w:val="none" w:sz="0" w:space="0" w:color="auto"/>
                        <w:right w:val="none" w:sz="0" w:space="0" w:color="auto"/>
                      </w:divBdr>
                      <w:divsChild>
                        <w:div w:id="294138926">
                          <w:marLeft w:val="0"/>
                          <w:marRight w:val="0"/>
                          <w:marTop w:val="0"/>
                          <w:marBottom w:val="0"/>
                          <w:divBdr>
                            <w:top w:val="none" w:sz="0" w:space="0" w:color="auto"/>
                            <w:left w:val="none" w:sz="0" w:space="0" w:color="auto"/>
                            <w:bottom w:val="none" w:sz="0" w:space="0" w:color="auto"/>
                            <w:right w:val="none" w:sz="0" w:space="0" w:color="auto"/>
                          </w:divBdr>
                        </w:div>
                      </w:divsChild>
                    </w:div>
                    <w:div w:id="294139629">
                      <w:marLeft w:val="0"/>
                      <w:marRight w:val="0"/>
                      <w:marTop w:val="0"/>
                      <w:marBottom w:val="0"/>
                      <w:divBdr>
                        <w:top w:val="none" w:sz="0" w:space="0" w:color="auto"/>
                        <w:left w:val="none" w:sz="0" w:space="0" w:color="auto"/>
                        <w:bottom w:val="none" w:sz="0" w:space="0" w:color="auto"/>
                        <w:right w:val="none" w:sz="0" w:space="0" w:color="auto"/>
                      </w:divBdr>
                    </w:div>
                    <w:div w:id="294139645">
                      <w:marLeft w:val="0"/>
                      <w:marRight w:val="0"/>
                      <w:marTop w:val="0"/>
                      <w:marBottom w:val="0"/>
                      <w:divBdr>
                        <w:top w:val="none" w:sz="0" w:space="0" w:color="auto"/>
                        <w:left w:val="none" w:sz="0" w:space="0" w:color="auto"/>
                        <w:bottom w:val="none" w:sz="0" w:space="0" w:color="auto"/>
                        <w:right w:val="none" w:sz="0" w:space="0" w:color="auto"/>
                      </w:divBdr>
                    </w:div>
                    <w:div w:id="294139664">
                      <w:marLeft w:val="0"/>
                      <w:marRight w:val="0"/>
                      <w:marTop w:val="0"/>
                      <w:marBottom w:val="0"/>
                      <w:divBdr>
                        <w:top w:val="none" w:sz="0" w:space="0" w:color="auto"/>
                        <w:left w:val="none" w:sz="0" w:space="0" w:color="auto"/>
                        <w:bottom w:val="none" w:sz="0" w:space="0" w:color="auto"/>
                        <w:right w:val="none" w:sz="0" w:space="0" w:color="auto"/>
                      </w:divBdr>
                    </w:div>
                    <w:div w:id="294139677">
                      <w:marLeft w:val="0"/>
                      <w:marRight w:val="0"/>
                      <w:marTop w:val="0"/>
                      <w:marBottom w:val="0"/>
                      <w:divBdr>
                        <w:top w:val="none" w:sz="0" w:space="0" w:color="auto"/>
                        <w:left w:val="none" w:sz="0" w:space="0" w:color="auto"/>
                        <w:bottom w:val="none" w:sz="0" w:space="0" w:color="auto"/>
                        <w:right w:val="none" w:sz="0" w:space="0" w:color="auto"/>
                      </w:divBdr>
                      <w:divsChild>
                        <w:div w:id="294140613">
                          <w:marLeft w:val="0"/>
                          <w:marRight w:val="0"/>
                          <w:marTop w:val="0"/>
                          <w:marBottom w:val="0"/>
                          <w:divBdr>
                            <w:top w:val="none" w:sz="0" w:space="0" w:color="auto"/>
                            <w:left w:val="none" w:sz="0" w:space="0" w:color="auto"/>
                            <w:bottom w:val="none" w:sz="0" w:space="0" w:color="auto"/>
                            <w:right w:val="none" w:sz="0" w:space="0" w:color="auto"/>
                          </w:divBdr>
                        </w:div>
                      </w:divsChild>
                    </w:div>
                    <w:div w:id="294139687">
                      <w:marLeft w:val="0"/>
                      <w:marRight w:val="0"/>
                      <w:marTop w:val="0"/>
                      <w:marBottom w:val="0"/>
                      <w:divBdr>
                        <w:top w:val="none" w:sz="0" w:space="0" w:color="auto"/>
                        <w:left w:val="none" w:sz="0" w:space="0" w:color="auto"/>
                        <w:bottom w:val="none" w:sz="0" w:space="0" w:color="auto"/>
                        <w:right w:val="none" w:sz="0" w:space="0" w:color="auto"/>
                      </w:divBdr>
                    </w:div>
                    <w:div w:id="294139690">
                      <w:marLeft w:val="0"/>
                      <w:marRight w:val="0"/>
                      <w:marTop w:val="0"/>
                      <w:marBottom w:val="0"/>
                      <w:divBdr>
                        <w:top w:val="none" w:sz="0" w:space="0" w:color="auto"/>
                        <w:left w:val="none" w:sz="0" w:space="0" w:color="auto"/>
                        <w:bottom w:val="none" w:sz="0" w:space="0" w:color="auto"/>
                        <w:right w:val="none" w:sz="0" w:space="0" w:color="auto"/>
                      </w:divBdr>
                      <w:divsChild>
                        <w:div w:id="294144383">
                          <w:marLeft w:val="0"/>
                          <w:marRight w:val="0"/>
                          <w:marTop w:val="0"/>
                          <w:marBottom w:val="0"/>
                          <w:divBdr>
                            <w:top w:val="none" w:sz="0" w:space="0" w:color="auto"/>
                            <w:left w:val="none" w:sz="0" w:space="0" w:color="auto"/>
                            <w:bottom w:val="none" w:sz="0" w:space="0" w:color="auto"/>
                            <w:right w:val="none" w:sz="0" w:space="0" w:color="auto"/>
                          </w:divBdr>
                        </w:div>
                      </w:divsChild>
                    </w:div>
                    <w:div w:id="294139704">
                      <w:marLeft w:val="0"/>
                      <w:marRight w:val="0"/>
                      <w:marTop w:val="0"/>
                      <w:marBottom w:val="0"/>
                      <w:divBdr>
                        <w:top w:val="none" w:sz="0" w:space="0" w:color="auto"/>
                        <w:left w:val="none" w:sz="0" w:space="0" w:color="auto"/>
                        <w:bottom w:val="none" w:sz="0" w:space="0" w:color="auto"/>
                        <w:right w:val="none" w:sz="0" w:space="0" w:color="auto"/>
                      </w:divBdr>
                      <w:divsChild>
                        <w:div w:id="294150354">
                          <w:marLeft w:val="0"/>
                          <w:marRight w:val="0"/>
                          <w:marTop w:val="0"/>
                          <w:marBottom w:val="0"/>
                          <w:divBdr>
                            <w:top w:val="none" w:sz="0" w:space="0" w:color="auto"/>
                            <w:left w:val="none" w:sz="0" w:space="0" w:color="auto"/>
                            <w:bottom w:val="none" w:sz="0" w:space="0" w:color="auto"/>
                            <w:right w:val="none" w:sz="0" w:space="0" w:color="auto"/>
                          </w:divBdr>
                        </w:div>
                      </w:divsChild>
                    </w:div>
                    <w:div w:id="294139766">
                      <w:marLeft w:val="0"/>
                      <w:marRight w:val="0"/>
                      <w:marTop w:val="0"/>
                      <w:marBottom w:val="0"/>
                      <w:divBdr>
                        <w:top w:val="none" w:sz="0" w:space="0" w:color="auto"/>
                        <w:left w:val="none" w:sz="0" w:space="0" w:color="auto"/>
                        <w:bottom w:val="none" w:sz="0" w:space="0" w:color="auto"/>
                        <w:right w:val="none" w:sz="0" w:space="0" w:color="auto"/>
                      </w:divBdr>
                      <w:divsChild>
                        <w:div w:id="294145463">
                          <w:marLeft w:val="0"/>
                          <w:marRight w:val="0"/>
                          <w:marTop w:val="0"/>
                          <w:marBottom w:val="0"/>
                          <w:divBdr>
                            <w:top w:val="none" w:sz="0" w:space="0" w:color="auto"/>
                            <w:left w:val="none" w:sz="0" w:space="0" w:color="auto"/>
                            <w:bottom w:val="none" w:sz="0" w:space="0" w:color="auto"/>
                            <w:right w:val="none" w:sz="0" w:space="0" w:color="auto"/>
                          </w:divBdr>
                        </w:div>
                      </w:divsChild>
                    </w:div>
                    <w:div w:id="294139775">
                      <w:marLeft w:val="0"/>
                      <w:marRight w:val="0"/>
                      <w:marTop w:val="0"/>
                      <w:marBottom w:val="0"/>
                      <w:divBdr>
                        <w:top w:val="none" w:sz="0" w:space="0" w:color="auto"/>
                        <w:left w:val="none" w:sz="0" w:space="0" w:color="auto"/>
                        <w:bottom w:val="none" w:sz="0" w:space="0" w:color="auto"/>
                        <w:right w:val="none" w:sz="0" w:space="0" w:color="auto"/>
                      </w:divBdr>
                      <w:divsChild>
                        <w:div w:id="294140471">
                          <w:marLeft w:val="0"/>
                          <w:marRight w:val="0"/>
                          <w:marTop w:val="0"/>
                          <w:marBottom w:val="0"/>
                          <w:divBdr>
                            <w:top w:val="none" w:sz="0" w:space="0" w:color="auto"/>
                            <w:left w:val="none" w:sz="0" w:space="0" w:color="auto"/>
                            <w:bottom w:val="none" w:sz="0" w:space="0" w:color="auto"/>
                            <w:right w:val="none" w:sz="0" w:space="0" w:color="auto"/>
                          </w:divBdr>
                        </w:div>
                      </w:divsChild>
                    </w:div>
                    <w:div w:id="294139789">
                      <w:marLeft w:val="0"/>
                      <w:marRight w:val="0"/>
                      <w:marTop w:val="0"/>
                      <w:marBottom w:val="0"/>
                      <w:divBdr>
                        <w:top w:val="none" w:sz="0" w:space="0" w:color="auto"/>
                        <w:left w:val="none" w:sz="0" w:space="0" w:color="auto"/>
                        <w:bottom w:val="none" w:sz="0" w:space="0" w:color="auto"/>
                        <w:right w:val="none" w:sz="0" w:space="0" w:color="auto"/>
                      </w:divBdr>
                      <w:divsChild>
                        <w:div w:id="294141114">
                          <w:marLeft w:val="0"/>
                          <w:marRight w:val="0"/>
                          <w:marTop w:val="0"/>
                          <w:marBottom w:val="0"/>
                          <w:divBdr>
                            <w:top w:val="none" w:sz="0" w:space="0" w:color="auto"/>
                            <w:left w:val="none" w:sz="0" w:space="0" w:color="auto"/>
                            <w:bottom w:val="none" w:sz="0" w:space="0" w:color="auto"/>
                            <w:right w:val="none" w:sz="0" w:space="0" w:color="auto"/>
                          </w:divBdr>
                        </w:div>
                      </w:divsChild>
                    </w:div>
                    <w:div w:id="294139798">
                      <w:marLeft w:val="0"/>
                      <w:marRight w:val="0"/>
                      <w:marTop w:val="0"/>
                      <w:marBottom w:val="0"/>
                      <w:divBdr>
                        <w:top w:val="none" w:sz="0" w:space="0" w:color="auto"/>
                        <w:left w:val="none" w:sz="0" w:space="0" w:color="auto"/>
                        <w:bottom w:val="none" w:sz="0" w:space="0" w:color="auto"/>
                        <w:right w:val="none" w:sz="0" w:space="0" w:color="auto"/>
                      </w:divBdr>
                    </w:div>
                    <w:div w:id="294139835">
                      <w:marLeft w:val="0"/>
                      <w:marRight w:val="0"/>
                      <w:marTop w:val="0"/>
                      <w:marBottom w:val="0"/>
                      <w:divBdr>
                        <w:top w:val="none" w:sz="0" w:space="0" w:color="auto"/>
                        <w:left w:val="none" w:sz="0" w:space="0" w:color="auto"/>
                        <w:bottom w:val="none" w:sz="0" w:space="0" w:color="auto"/>
                        <w:right w:val="none" w:sz="0" w:space="0" w:color="auto"/>
                      </w:divBdr>
                      <w:divsChild>
                        <w:div w:id="294145559">
                          <w:marLeft w:val="0"/>
                          <w:marRight w:val="0"/>
                          <w:marTop w:val="0"/>
                          <w:marBottom w:val="0"/>
                          <w:divBdr>
                            <w:top w:val="none" w:sz="0" w:space="0" w:color="auto"/>
                            <w:left w:val="none" w:sz="0" w:space="0" w:color="auto"/>
                            <w:bottom w:val="none" w:sz="0" w:space="0" w:color="auto"/>
                            <w:right w:val="none" w:sz="0" w:space="0" w:color="auto"/>
                          </w:divBdr>
                        </w:div>
                      </w:divsChild>
                    </w:div>
                    <w:div w:id="294139838">
                      <w:marLeft w:val="0"/>
                      <w:marRight w:val="0"/>
                      <w:marTop w:val="0"/>
                      <w:marBottom w:val="0"/>
                      <w:divBdr>
                        <w:top w:val="none" w:sz="0" w:space="0" w:color="auto"/>
                        <w:left w:val="none" w:sz="0" w:space="0" w:color="auto"/>
                        <w:bottom w:val="none" w:sz="0" w:space="0" w:color="auto"/>
                        <w:right w:val="none" w:sz="0" w:space="0" w:color="auto"/>
                      </w:divBdr>
                    </w:div>
                    <w:div w:id="294139846">
                      <w:marLeft w:val="0"/>
                      <w:marRight w:val="0"/>
                      <w:marTop w:val="0"/>
                      <w:marBottom w:val="0"/>
                      <w:divBdr>
                        <w:top w:val="none" w:sz="0" w:space="0" w:color="auto"/>
                        <w:left w:val="none" w:sz="0" w:space="0" w:color="auto"/>
                        <w:bottom w:val="none" w:sz="0" w:space="0" w:color="auto"/>
                        <w:right w:val="none" w:sz="0" w:space="0" w:color="auto"/>
                      </w:divBdr>
                      <w:divsChild>
                        <w:div w:id="294149270">
                          <w:marLeft w:val="0"/>
                          <w:marRight w:val="0"/>
                          <w:marTop w:val="0"/>
                          <w:marBottom w:val="0"/>
                          <w:divBdr>
                            <w:top w:val="none" w:sz="0" w:space="0" w:color="auto"/>
                            <w:left w:val="none" w:sz="0" w:space="0" w:color="auto"/>
                            <w:bottom w:val="none" w:sz="0" w:space="0" w:color="auto"/>
                            <w:right w:val="none" w:sz="0" w:space="0" w:color="auto"/>
                          </w:divBdr>
                        </w:div>
                      </w:divsChild>
                    </w:div>
                    <w:div w:id="294139877">
                      <w:marLeft w:val="0"/>
                      <w:marRight w:val="0"/>
                      <w:marTop w:val="0"/>
                      <w:marBottom w:val="0"/>
                      <w:divBdr>
                        <w:top w:val="none" w:sz="0" w:space="0" w:color="auto"/>
                        <w:left w:val="none" w:sz="0" w:space="0" w:color="auto"/>
                        <w:bottom w:val="none" w:sz="0" w:space="0" w:color="auto"/>
                        <w:right w:val="none" w:sz="0" w:space="0" w:color="auto"/>
                      </w:divBdr>
                      <w:divsChild>
                        <w:div w:id="294148513">
                          <w:marLeft w:val="0"/>
                          <w:marRight w:val="0"/>
                          <w:marTop w:val="0"/>
                          <w:marBottom w:val="0"/>
                          <w:divBdr>
                            <w:top w:val="none" w:sz="0" w:space="0" w:color="auto"/>
                            <w:left w:val="none" w:sz="0" w:space="0" w:color="auto"/>
                            <w:bottom w:val="none" w:sz="0" w:space="0" w:color="auto"/>
                            <w:right w:val="none" w:sz="0" w:space="0" w:color="auto"/>
                          </w:divBdr>
                        </w:div>
                      </w:divsChild>
                    </w:div>
                    <w:div w:id="294139884">
                      <w:marLeft w:val="0"/>
                      <w:marRight w:val="0"/>
                      <w:marTop w:val="0"/>
                      <w:marBottom w:val="0"/>
                      <w:divBdr>
                        <w:top w:val="none" w:sz="0" w:space="0" w:color="auto"/>
                        <w:left w:val="none" w:sz="0" w:space="0" w:color="auto"/>
                        <w:bottom w:val="none" w:sz="0" w:space="0" w:color="auto"/>
                        <w:right w:val="none" w:sz="0" w:space="0" w:color="auto"/>
                      </w:divBdr>
                      <w:divsChild>
                        <w:div w:id="294138120">
                          <w:marLeft w:val="0"/>
                          <w:marRight w:val="0"/>
                          <w:marTop w:val="0"/>
                          <w:marBottom w:val="0"/>
                          <w:divBdr>
                            <w:top w:val="none" w:sz="0" w:space="0" w:color="auto"/>
                            <w:left w:val="none" w:sz="0" w:space="0" w:color="auto"/>
                            <w:bottom w:val="none" w:sz="0" w:space="0" w:color="auto"/>
                            <w:right w:val="none" w:sz="0" w:space="0" w:color="auto"/>
                          </w:divBdr>
                        </w:div>
                      </w:divsChild>
                    </w:div>
                    <w:div w:id="294139893">
                      <w:marLeft w:val="0"/>
                      <w:marRight w:val="0"/>
                      <w:marTop w:val="0"/>
                      <w:marBottom w:val="0"/>
                      <w:divBdr>
                        <w:top w:val="none" w:sz="0" w:space="0" w:color="auto"/>
                        <w:left w:val="none" w:sz="0" w:space="0" w:color="auto"/>
                        <w:bottom w:val="none" w:sz="0" w:space="0" w:color="auto"/>
                        <w:right w:val="none" w:sz="0" w:space="0" w:color="auto"/>
                      </w:divBdr>
                    </w:div>
                    <w:div w:id="294139967">
                      <w:marLeft w:val="0"/>
                      <w:marRight w:val="0"/>
                      <w:marTop w:val="0"/>
                      <w:marBottom w:val="0"/>
                      <w:divBdr>
                        <w:top w:val="none" w:sz="0" w:space="0" w:color="auto"/>
                        <w:left w:val="none" w:sz="0" w:space="0" w:color="auto"/>
                        <w:bottom w:val="none" w:sz="0" w:space="0" w:color="auto"/>
                        <w:right w:val="none" w:sz="0" w:space="0" w:color="auto"/>
                      </w:divBdr>
                    </w:div>
                    <w:div w:id="294139986">
                      <w:marLeft w:val="0"/>
                      <w:marRight w:val="0"/>
                      <w:marTop w:val="0"/>
                      <w:marBottom w:val="0"/>
                      <w:divBdr>
                        <w:top w:val="none" w:sz="0" w:space="0" w:color="auto"/>
                        <w:left w:val="none" w:sz="0" w:space="0" w:color="auto"/>
                        <w:bottom w:val="none" w:sz="0" w:space="0" w:color="auto"/>
                        <w:right w:val="none" w:sz="0" w:space="0" w:color="auto"/>
                      </w:divBdr>
                    </w:div>
                    <w:div w:id="294140002">
                      <w:marLeft w:val="0"/>
                      <w:marRight w:val="0"/>
                      <w:marTop w:val="0"/>
                      <w:marBottom w:val="0"/>
                      <w:divBdr>
                        <w:top w:val="none" w:sz="0" w:space="0" w:color="auto"/>
                        <w:left w:val="none" w:sz="0" w:space="0" w:color="auto"/>
                        <w:bottom w:val="none" w:sz="0" w:space="0" w:color="auto"/>
                        <w:right w:val="none" w:sz="0" w:space="0" w:color="auto"/>
                      </w:divBdr>
                      <w:divsChild>
                        <w:div w:id="294143996">
                          <w:marLeft w:val="0"/>
                          <w:marRight w:val="0"/>
                          <w:marTop w:val="0"/>
                          <w:marBottom w:val="0"/>
                          <w:divBdr>
                            <w:top w:val="none" w:sz="0" w:space="0" w:color="auto"/>
                            <w:left w:val="none" w:sz="0" w:space="0" w:color="auto"/>
                            <w:bottom w:val="none" w:sz="0" w:space="0" w:color="auto"/>
                            <w:right w:val="none" w:sz="0" w:space="0" w:color="auto"/>
                          </w:divBdr>
                        </w:div>
                      </w:divsChild>
                    </w:div>
                    <w:div w:id="294140018">
                      <w:marLeft w:val="0"/>
                      <w:marRight w:val="0"/>
                      <w:marTop w:val="0"/>
                      <w:marBottom w:val="0"/>
                      <w:divBdr>
                        <w:top w:val="none" w:sz="0" w:space="0" w:color="auto"/>
                        <w:left w:val="none" w:sz="0" w:space="0" w:color="auto"/>
                        <w:bottom w:val="none" w:sz="0" w:space="0" w:color="auto"/>
                        <w:right w:val="none" w:sz="0" w:space="0" w:color="auto"/>
                      </w:divBdr>
                      <w:divsChild>
                        <w:div w:id="294157063">
                          <w:marLeft w:val="0"/>
                          <w:marRight w:val="0"/>
                          <w:marTop w:val="0"/>
                          <w:marBottom w:val="0"/>
                          <w:divBdr>
                            <w:top w:val="none" w:sz="0" w:space="0" w:color="auto"/>
                            <w:left w:val="none" w:sz="0" w:space="0" w:color="auto"/>
                            <w:bottom w:val="none" w:sz="0" w:space="0" w:color="auto"/>
                            <w:right w:val="none" w:sz="0" w:space="0" w:color="auto"/>
                          </w:divBdr>
                        </w:div>
                      </w:divsChild>
                    </w:div>
                    <w:div w:id="294140040">
                      <w:marLeft w:val="0"/>
                      <w:marRight w:val="0"/>
                      <w:marTop w:val="0"/>
                      <w:marBottom w:val="0"/>
                      <w:divBdr>
                        <w:top w:val="none" w:sz="0" w:space="0" w:color="auto"/>
                        <w:left w:val="none" w:sz="0" w:space="0" w:color="auto"/>
                        <w:bottom w:val="none" w:sz="0" w:space="0" w:color="auto"/>
                        <w:right w:val="none" w:sz="0" w:space="0" w:color="auto"/>
                      </w:divBdr>
                    </w:div>
                    <w:div w:id="294140046">
                      <w:marLeft w:val="0"/>
                      <w:marRight w:val="0"/>
                      <w:marTop w:val="0"/>
                      <w:marBottom w:val="0"/>
                      <w:divBdr>
                        <w:top w:val="none" w:sz="0" w:space="0" w:color="auto"/>
                        <w:left w:val="none" w:sz="0" w:space="0" w:color="auto"/>
                        <w:bottom w:val="none" w:sz="0" w:space="0" w:color="auto"/>
                        <w:right w:val="none" w:sz="0" w:space="0" w:color="auto"/>
                      </w:divBdr>
                    </w:div>
                    <w:div w:id="294140047">
                      <w:marLeft w:val="0"/>
                      <w:marRight w:val="0"/>
                      <w:marTop w:val="0"/>
                      <w:marBottom w:val="0"/>
                      <w:divBdr>
                        <w:top w:val="none" w:sz="0" w:space="0" w:color="auto"/>
                        <w:left w:val="none" w:sz="0" w:space="0" w:color="auto"/>
                        <w:bottom w:val="none" w:sz="0" w:space="0" w:color="auto"/>
                        <w:right w:val="none" w:sz="0" w:space="0" w:color="auto"/>
                      </w:divBdr>
                    </w:div>
                    <w:div w:id="294140053">
                      <w:marLeft w:val="0"/>
                      <w:marRight w:val="0"/>
                      <w:marTop w:val="0"/>
                      <w:marBottom w:val="0"/>
                      <w:divBdr>
                        <w:top w:val="none" w:sz="0" w:space="0" w:color="auto"/>
                        <w:left w:val="none" w:sz="0" w:space="0" w:color="auto"/>
                        <w:bottom w:val="none" w:sz="0" w:space="0" w:color="auto"/>
                        <w:right w:val="none" w:sz="0" w:space="0" w:color="auto"/>
                      </w:divBdr>
                      <w:divsChild>
                        <w:div w:id="294145051">
                          <w:marLeft w:val="0"/>
                          <w:marRight w:val="0"/>
                          <w:marTop w:val="0"/>
                          <w:marBottom w:val="0"/>
                          <w:divBdr>
                            <w:top w:val="none" w:sz="0" w:space="0" w:color="auto"/>
                            <w:left w:val="none" w:sz="0" w:space="0" w:color="auto"/>
                            <w:bottom w:val="none" w:sz="0" w:space="0" w:color="auto"/>
                            <w:right w:val="none" w:sz="0" w:space="0" w:color="auto"/>
                          </w:divBdr>
                        </w:div>
                      </w:divsChild>
                    </w:div>
                    <w:div w:id="294140064">
                      <w:marLeft w:val="0"/>
                      <w:marRight w:val="0"/>
                      <w:marTop w:val="0"/>
                      <w:marBottom w:val="0"/>
                      <w:divBdr>
                        <w:top w:val="none" w:sz="0" w:space="0" w:color="auto"/>
                        <w:left w:val="none" w:sz="0" w:space="0" w:color="auto"/>
                        <w:bottom w:val="none" w:sz="0" w:space="0" w:color="auto"/>
                        <w:right w:val="none" w:sz="0" w:space="0" w:color="auto"/>
                      </w:divBdr>
                      <w:divsChild>
                        <w:div w:id="294148128">
                          <w:marLeft w:val="0"/>
                          <w:marRight w:val="0"/>
                          <w:marTop w:val="0"/>
                          <w:marBottom w:val="0"/>
                          <w:divBdr>
                            <w:top w:val="none" w:sz="0" w:space="0" w:color="auto"/>
                            <w:left w:val="none" w:sz="0" w:space="0" w:color="auto"/>
                            <w:bottom w:val="none" w:sz="0" w:space="0" w:color="auto"/>
                            <w:right w:val="none" w:sz="0" w:space="0" w:color="auto"/>
                          </w:divBdr>
                        </w:div>
                      </w:divsChild>
                    </w:div>
                    <w:div w:id="294140083">
                      <w:marLeft w:val="0"/>
                      <w:marRight w:val="0"/>
                      <w:marTop w:val="0"/>
                      <w:marBottom w:val="0"/>
                      <w:divBdr>
                        <w:top w:val="none" w:sz="0" w:space="0" w:color="auto"/>
                        <w:left w:val="none" w:sz="0" w:space="0" w:color="auto"/>
                        <w:bottom w:val="none" w:sz="0" w:space="0" w:color="auto"/>
                        <w:right w:val="none" w:sz="0" w:space="0" w:color="auto"/>
                      </w:divBdr>
                    </w:div>
                    <w:div w:id="294140222">
                      <w:marLeft w:val="0"/>
                      <w:marRight w:val="0"/>
                      <w:marTop w:val="0"/>
                      <w:marBottom w:val="0"/>
                      <w:divBdr>
                        <w:top w:val="none" w:sz="0" w:space="0" w:color="auto"/>
                        <w:left w:val="none" w:sz="0" w:space="0" w:color="auto"/>
                        <w:bottom w:val="none" w:sz="0" w:space="0" w:color="auto"/>
                        <w:right w:val="none" w:sz="0" w:space="0" w:color="auto"/>
                      </w:divBdr>
                    </w:div>
                    <w:div w:id="294140252">
                      <w:marLeft w:val="0"/>
                      <w:marRight w:val="0"/>
                      <w:marTop w:val="0"/>
                      <w:marBottom w:val="0"/>
                      <w:divBdr>
                        <w:top w:val="none" w:sz="0" w:space="0" w:color="auto"/>
                        <w:left w:val="none" w:sz="0" w:space="0" w:color="auto"/>
                        <w:bottom w:val="none" w:sz="0" w:space="0" w:color="auto"/>
                        <w:right w:val="none" w:sz="0" w:space="0" w:color="auto"/>
                      </w:divBdr>
                    </w:div>
                    <w:div w:id="294140263">
                      <w:marLeft w:val="0"/>
                      <w:marRight w:val="0"/>
                      <w:marTop w:val="0"/>
                      <w:marBottom w:val="0"/>
                      <w:divBdr>
                        <w:top w:val="none" w:sz="0" w:space="0" w:color="auto"/>
                        <w:left w:val="none" w:sz="0" w:space="0" w:color="auto"/>
                        <w:bottom w:val="none" w:sz="0" w:space="0" w:color="auto"/>
                        <w:right w:val="none" w:sz="0" w:space="0" w:color="auto"/>
                      </w:divBdr>
                      <w:divsChild>
                        <w:div w:id="294139452">
                          <w:marLeft w:val="0"/>
                          <w:marRight w:val="0"/>
                          <w:marTop w:val="0"/>
                          <w:marBottom w:val="0"/>
                          <w:divBdr>
                            <w:top w:val="none" w:sz="0" w:space="0" w:color="auto"/>
                            <w:left w:val="none" w:sz="0" w:space="0" w:color="auto"/>
                            <w:bottom w:val="none" w:sz="0" w:space="0" w:color="auto"/>
                            <w:right w:val="none" w:sz="0" w:space="0" w:color="auto"/>
                          </w:divBdr>
                        </w:div>
                      </w:divsChild>
                    </w:div>
                    <w:div w:id="294140304">
                      <w:marLeft w:val="0"/>
                      <w:marRight w:val="0"/>
                      <w:marTop w:val="0"/>
                      <w:marBottom w:val="0"/>
                      <w:divBdr>
                        <w:top w:val="none" w:sz="0" w:space="0" w:color="auto"/>
                        <w:left w:val="none" w:sz="0" w:space="0" w:color="auto"/>
                        <w:bottom w:val="none" w:sz="0" w:space="0" w:color="auto"/>
                        <w:right w:val="none" w:sz="0" w:space="0" w:color="auto"/>
                      </w:divBdr>
                      <w:divsChild>
                        <w:div w:id="294141138">
                          <w:marLeft w:val="0"/>
                          <w:marRight w:val="0"/>
                          <w:marTop w:val="0"/>
                          <w:marBottom w:val="0"/>
                          <w:divBdr>
                            <w:top w:val="none" w:sz="0" w:space="0" w:color="auto"/>
                            <w:left w:val="none" w:sz="0" w:space="0" w:color="auto"/>
                            <w:bottom w:val="none" w:sz="0" w:space="0" w:color="auto"/>
                            <w:right w:val="none" w:sz="0" w:space="0" w:color="auto"/>
                          </w:divBdr>
                        </w:div>
                      </w:divsChild>
                    </w:div>
                    <w:div w:id="294140332">
                      <w:marLeft w:val="0"/>
                      <w:marRight w:val="0"/>
                      <w:marTop w:val="0"/>
                      <w:marBottom w:val="0"/>
                      <w:divBdr>
                        <w:top w:val="none" w:sz="0" w:space="0" w:color="auto"/>
                        <w:left w:val="none" w:sz="0" w:space="0" w:color="auto"/>
                        <w:bottom w:val="none" w:sz="0" w:space="0" w:color="auto"/>
                        <w:right w:val="none" w:sz="0" w:space="0" w:color="auto"/>
                      </w:divBdr>
                    </w:div>
                    <w:div w:id="294140375">
                      <w:marLeft w:val="0"/>
                      <w:marRight w:val="0"/>
                      <w:marTop w:val="0"/>
                      <w:marBottom w:val="0"/>
                      <w:divBdr>
                        <w:top w:val="none" w:sz="0" w:space="0" w:color="auto"/>
                        <w:left w:val="none" w:sz="0" w:space="0" w:color="auto"/>
                        <w:bottom w:val="none" w:sz="0" w:space="0" w:color="auto"/>
                        <w:right w:val="none" w:sz="0" w:space="0" w:color="auto"/>
                      </w:divBdr>
                      <w:divsChild>
                        <w:div w:id="294157468">
                          <w:marLeft w:val="0"/>
                          <w:marRight w:val="0"/>
                          <w:marTop w:val="0"/>
                          <w:marBottom w:val="0"/>
                          <w:divBdr>
                            <w:top w:val="none" w:sz="0" w:space="0" w:color="auto"/>
                            <w:left w:val="none" w:sz="0" w:space="0" w:color="auto"/>
                            <w:bottom w:val="none" w:sz="0" w:space="0" w:color="auto"/>
                            <w:right w:val="none" w:sz="0" w:space="0" w:color="auto"/>
                          </w:divBdr>
                        </w:div>
                      </w:divsChild>
                    </w:div>
                    <w:div w:id="294140395">
                      <w:marLeft w:val="0"/>
                      <w:marRight w:val="0"/>
                      <w:marTop w:val="0"/>
                      <w:marBottom w:val="0"/>
                      <w:divBdr>
                        <w:top w:val="none" w:sz="0" w:space="0" w:color="auto"/>
                        <w:left w:val="none" w:sz="0" w:space="0" w:color="auto"/>
                        <w:bottom w:val="none" w:sz="0" w:space="0" w:color="auto"/>
                        <w:right w:val="none" w:sz="0" w:space="0" w:color="auto"/>
                      </w:divBdr>
                    </w:div>
                    <w:div w:id="294140402">
                      <w:marLeft w:val="0"/>
                      <w:marRight w:val="0"/>
                      <w:marTop w:val="0"/>
                      <w:marBottom w:val="0"/>
                      <w:divBdr>
                        <w:top w:val="none" w:sz="0" w:space="0" w:color="auto"/>
                        <w:left w:val="none" w:sz="0" w:space="0" w:color="auto"/>
                        <w:bottom w:val="none" w:sz="0" w:space="0" w:color="auto"/>
                        <w:right w:val="none" w:sz="0" w:space="0" w:color="auto"/>
                      </w:divBdr>
                    </w:div>
                    <w:div w:id="294140419">
                      <w:marLeft w:val="0"/>
                      <w:marRight w:val="0"/>
                      <w:marTop w:val="0"/>
                      <w:marBottom w:val="0"/>
                      <w:divBdr>
                        <w:top w:val="none" w:sz="0" w:space="0" w:color="auto"/>
                        <w:left w:val="none" w:sz="0" w:space="0" w:color="auto"/>
                        <w:bottom w:val="none" w:sz="0" w:space="0" w:color="auto"/>
                        <w:right w:val="none" w:sz="0" w:space="0" w:color="auto"/>
                      </w:divBdr>
                      <w:divsChild>
                        <w:div w:id="294149099">
                          <w:marLeft w:val="0"/>
                          <w:marRight w:val="0"/>
                          <w:marTop w:val="0"/>
                          <w:marBottom w:val="0"/>
                          <w:divBdr>
                            <w:top w:val="none" w:sz="0" w:space="0" w:color="auto"/>
                            <w:left w:val="none" w:sz="0" w:space="0" w:color="auto"/>
                            <w:bottom w:val="none" w:sz="0" w:space="0" w:color="auto"/>
                            <w:right w:val="none" w:sz="0" w:space="0" w:color="auto"/>
                          </w:divBdr>
                        </w:div>
                      </w:divsChild>
                    </w:div>
                    <w:div w:id="294140432">
                      <w:marLeft w:val="0"/>
                      <w:marRight w:val="0"/>
                      <w:marTop w:val="0"/>
                      <w:marBottom w:val="0"/>
                      <w:divBdr>
                        <w:top w:val="none" w:sz="0" w:space="0" w:color="auto"/>
                        <w:left w:val="none" w:sz="0" w:space="0" w:color="auto"/>
                        <w:bottom w:val="none" w:sz="0" w:space="0" w:color="auto"/>
                        <w:right w:val="none" w:sz="0" w:space="0" w:color="auto"/>
                      </w:divBdr>
                    </w:div>
                    <w:div w:id="294140438">
                      <w:marLeft w:val="0"/>
                      <w:marRight w:val="0"/>
                      <w:marTop w:val="0"/>
                      <w:marBottom w:val="0"/>
                      <w:divBdr>
                        <w:top w:val="none" w:sz="0" w:space="0" w:color="auto"/>
                        <w:left w:val="none" w:sz="0" w:space="0" w:color="auto"/>
                        <w:bottom w:val="none" w:sz="0" w:space="0" w:color="auto"/>
                        <w:right w:val="none" w:sz="0" w:space="0" w:color="auto"/>
                      </w:divBdr>
                      <w:divsChild>
                        <w:div w:id="294154455">
                          <w:marLeft w:val="0"/>
                          <w:marRight w:val="0"/>
                          <w:marTop w:val="0"/>
                          <w:marBottom w:val="0"/>
                          <w:divBdr>
                            <w:top w:val="none" w:sz="0" w:space="0" w:color="auto"/>
                            <w:left w:val="none" w:sz="0" w:space="0" w:color="auto"/>
                            <w:bottom w:val="none" w:sz="0" w:space="0" w:color="auto"/>
                            <w:right w:val="none" w:sz="0" w:space="0" w:color="auto"/>
                          </w:divBdr>
                        </w:div>
                      </w:divsChild>
                    </w:div>
                    <w:div w:id="294140439">
                      <w:marLeft w:val="0"/>
                      <w:marRight w:val="0"/>
                      <w:marTop w:val="0"/>
                      <w:marBottom w:val="0"/>
                      <w:divBdr>
                        <w:top w:val="none" w:sz="0" w:space="0" w:color="auto"/>
                        <w:left w:val="none" w:sz="0" w:space="0" w:color="auto"/>
                        <w:bottom w:val="none" w:sz="0" w:space="0" w:color="auto"/>
                        <w:right w:val="none" w:sz="0" w:space="0" w:color="auto"/>
                      </w:divBdr>
                      <w:divsChild>
                        <w:div w:id="294154949">
                          <w:marLeft w:val="0"/>
                          <w:marRight w:val="0"/>
                          <w:marTop w:val="0"/>
                          <w:marBottom w:val="0"/>
                          <w:divBdr>
                            <w:top w:val="none" w:sz="0" w:space="0" w:color="auto"/>
                            <w:left w:val="none" w:sz="0" w:space="0" w:color="auto"/>
                            <w:bottom w:val="none" w:sz="0" w:space="0" w:color="auto"/>
                            <w:right w:val="none" w:sz="0" w:space="0" w:color="auto"/>
                          </w:divBdr>
                        </w:div>
                      </w:divsChild>
                    </w:div>
                    <w:div w:id="294140443">
                      <w:marLeft w:val="0"/>
                      <w:marRight w:val="0"/>
                      <w:marTop w:val="0"/>
                      <w:marBottom w:val="0"/>
                      <w:divBdr>
                        <w:top w:val="none" w:sz="0" w:space="0" w:color="auto"/>
                        <w:left w:val="none" w:sz="0" w:space="0" w:color="auto"/>
                        <w:bottom w:val="none" w:sz="0" w:space="0" w:color="auto"/>
                        <w:right w:val="none" w:sz="0" w:space="0" w:color="auto"/>
                      </w:divBdr>
                      <w:divsChild>
                        <w:div w:id="294143386">
                          <w:marLeft w:val="0"/>
                          <w:marRight w:val="0"/>
                          <w:marTop w:val="0"/>
                          <w:marBottom w:val="0"/>
                          <w:divBdr>
                            <w:top w:val="none" w:sz="0" w:space="0" w:color="auto"/>
                            <w:left w:val="none" w:sz="0" w:space="0" w:color="auto"/>
                            <w:bottom w:val="none" w:sz="0" w:space="0" w:color="auto"/>
                            <w:right w:val="none" w:sz="0" w:space="0" w:color="auto"/>
                          </w:divBdr>
                        </w:div>
                      </w:divsChild>
                    </w:div>
                    <w:div w:id="294140462">
                      <w:marLeft w:val="0"/>
                      <w:marRight w:val="0"/>
                      <w:marTop w:val="0"/>
                      <w:marBottom w:val="0"/>
                      <w:divBdr>
                        <w:top w:val="none" w:sz="0" w:space="0" w:color="auto"/>
                        <w:left w:val="none" w:sz="0" w:space="0" w:color="auto"/>
                        <w:bottom w:val="none" w:sz="0" w:space="0" w:color="auto"/>
                        <w:right w:val="none" w:sz="0" w:space="0" w:color="auto"/>
                      </w:divBdr>
                    </w:div>
                    <w:div w:id="294140491">
                      <w:marLeft w:val="0"/>
                      <w:marRight w:val="0"/>
                      <w:marTop w:val="0"/>
                      <w:marBottom w:val="0"/>
                      <w:divBdr>
                        <w:top w:val="none" w:sz="0" w:space="0" w:color="auto"/>
                        <w:left w:val="none" w:sz="0" w:space="0" w:color="auto"/>
                        <w:bottom w:val="none" w:sz="0" w:space="0" w:color="auto"/>
                        <w:right w:val="none" w:sz="0" w:space="0" w:color="auto"/>
                      </w:divBdr>
                      <w:divsChild>
                        <w:div w:id="294148670">
                          <w:marLeft w:val="0"/>
                          <w:marRight w:val="0"/>
                          <w:marTop w:val="0"/>
                          <w:marBottom w:val="0"/>
                          <w:divBdr>
                            <w:top w:val="none" w:sz="0" w:space="0" w:color="auto"/>
                            <w:left w:val="none" w:sz="0" w:space="0" w:color="auto"/>
                            <w:bottom w:val="none" w:sz="0" w:space="0" w:color="auto"/>
                            <w:right w:val="none" w:sz="0" w:space="0" w:color="auto"/>
                          </w:divBdr>
                        </w:div>
                      </w:divsChild>
                    </w:div>
                    <w:div w:id="294140498">
                      <w:marLeft w:val="0"/>
                      <w:marRight w:val="0"/>
                      <w:marTop w:val="0"/>
                      <w:marBottom w:val="0"/>
                      <w:divBdr>
                        <w:top w:val="none" w:sz="0" w:space="0" w:color="auto"/>
                        <w:left w:val="none" w:sz="0" w:space="0" w:color="auto"/>
                        <w:bottom w:val="none" w:sz="0" w:space="0" w:color="auto"/>
                        <w:right w:val="none" w:sz="0" w:space="0" w:color="auto"/>
                      </w:divBdr>
                    </w:div>
                    <w:div w:id="294140501">
                      <w:marLeft w:val="0"/>
                      <w:marRight w:val="0"/>
                      <w:marTop w:val="0"/>
                      <w:marBottom w:val="0"/>
                      <w:divBdr>
                        <w:top w:val="none" w:sz="0" w:space="0" w:color="auto"/>
                        <w:left w:val="none" w:sz="0" w:space="0" w:color="auto"/>
                        <w:bottom w:val="none" w:sz="0" w:space="0" w:color="auto"/>
                        <w:right w:val="none" w:sz="0" w:space="0" w:color="auto"/>
                      </w:divBdr>
                    </w:div>
                    <w:div w:id="294140549">
                      <w:marLeft w:val="0"/>
                      <w:marRight w:val="0"/>
                      <w:marTop w:val="0"/>
                      <w:marBottom w:val="0"/>
                      <w:divBdr>
                        <w:top w:val="none" w:sz="0" w:space="0" w:color="auto"/>
                        <w:left w:val="none" w:sz="0" w:space="0" w:color="auto"/>
                        <w:bottom w:val="none" w:sz="0" w:space="0" w:color="auto"/>
                        <w:right w:val="none" w:sz="0" w:space="0" w:color="auto"/>
                      </w:divBdr>
                      <w:divsChild>
                        <w:div w:id="294143115">
                          <w:marLeft w:val="0"/>
                          <w:marRight w:val="0"/>
                          <w:marTop w:val="0"/>
                          <w:marBottom w:val="0"/>
                          <w:divBdr>
                            <w:top w:val="none" w:sz="0" w:space="0" w:color="auto"/>
                            <w:left w:val="none" w:sz="0" w:space="0" w:color="auto"/>
                            <w:bottom w:val="none" w:sz="0" w:space="0" w:color="auto"/>
                            <w:right w:val="none" w:sz="0" w:space="0" w:color="auto"/>
                          </w:divBdr>
                        </w:div>
                      </w:divsChild>
                    </w:div>
                    <w:div w:id="294140589">
                      <w:marLeft w:val="0"/>
                      <w:marRight w:val="0"/>
                      <w:marTop w:val="0"/>
                      <w:marBottom w:val="0"/>
                      <w:divBdr>
                        <w:top w:val="none" w:sz="0" w:space="0" w:color="auto"/>
                        <w:left w:val="none" w:sz="0" w:space="0" w:color="auto"/>
                        <w:bottom w:val="none" w:sz="0" w:space="0" w:color="auto"/>
                        <w:right w:val="none" w:sz="0" w:space="0" w:color="auto"/>
                      </w:divBdr>
                      <w:divsChild>
                        <w:div w:id="294145861">
                          <w:marLeft w:val="0"/>
                          <w:marRight w:val="0"/>
                          <w:marTop w:val="0"/>
                          <w:marBottom w:val="0"/>
                          <w:divBdr>
                            <w:top w:val="none" w:sz="0" w:space="0" w:color="auto"/>
                            <w:left w:val="none" w:sz="0" w:space="0" w:color="auto"/>
                            <w:bottom w:val="none" w:sz="0" w:space="0" w:color="auto"/>
                            <w:right w:val="none" w:sz="0" w:space="0" w:color="auto"/>
                          </w:divBdr>
                        </w:div>
                      </w:divsChild>
                    </w:div>
                    <w:div w:id="294140593">
                      <w:marLeft w:val="0"/>
                      <w:marRight w:val="0"/>
                      <w:marTop w:val="0"/>
                      <w:marBottom w:val="0"/>
                      <w:divBdr>
                        <w:top w:val="none" w:sz="0" w:space="0" w:color="auto"/>
                        <w:left w:val="none" w:sz="0" w:space="0" w:color="auto"/>
                        <w:bottom w:val="none" w:sz="0" w:space="0" w:color="auto"/>
                        <w:right w:val="none" w:sz="0" w:space="0" w:color="auto"/>
                      </w:divBdr>
                      <w:divsChild>
                        <w:div w:id="294147544">
                          <w:marLeft w:val="0"/>
                          <w:marRight w:val="0"/>
                          <w:marTop w:val="0"/>
                          <w:marBottom w:val="0"/>
                          <w:divBdr>
                            <w:top w:val="none" w:sz="0" w:space="0" w:color="auto"/>
                            <w:left w:val="none" w:sz="0" w:space="0" w:color="auto"/>
                            <w:bottom w:val="none" w:sz="0" w:space="0" w:color="auto"/>
                            <w:right w:val="none" w:sz="0" w:space="0" w:color="auto"/>
                          </w:divBdr>
                        </w:div>
                      </w:divsChild>
                    </w:div>
                    <w:div w:id="294140608">
                      <w:marLeft w:val="0"/>
                      <w:marRight w:val="0"/>
                      <w:marTop w:val="0"/>
                      <w:marBottom w:val="0"/>
                      <w:divBdr>
                        <w:top w:val="none" w:sz="0" w:space="0" w:color="auto"/>
                        <w:left w:val="none" w:sz="0" w:space="0" w:color="auto"/>
                        <w:bottom w:val="none" w:sz="0" w:space="0" w:color="auto"/>
                        <w:right w:val="none" w:sz="0" w:space="0" w:color="auto"/>
                      </w:divBdr>
                      <w:divsChild>
                        <w:div w:id="294149578">
                          <w:marLeft w:val="0"/>
                          <w:marRight w:val="0"/>
                          <w:marTop w:val="0"/>
                          <w:marBottom w:val="0"/>
                          <w:divBdr>
                            <w:top w:val="none" w:sz="0" w:space="0" w:color="auto"/>
                            <w:left w:val="none" w:sz="0" w:space="0" w:color="auto"/>
                            <w:bottom w:val="none" w:sz="0" w:space="0" w:color="auto"/>
                            <w:right w:val="none" w:sz="0" w:space="0" w:color="auto"/>
                          </w:divBdr>
                        </w:div>
                      </w:divsChild>
                    </w:div>
                    <w:div w:id="294140630">
                      <w:marLeft w:val="0"/>
                      <w:marRight w:val="0"/>
                      <w:marTop w:val="0"/>
                      <w:marBottom w:val="0"/>
                      <w:divBdr>
                        <w:top w:val="none" w:sz="0" w:space="0" w:color="auto"/>
                        <w:left w:val="none" w:sz="0" w:space="0" w:color="auto"/>
                        <w:bottom w:val="none" w:sz="0" w:space="0" w:color="auto"/>
                        <w:right w:val="none" w:sz="0" w:space="0" w:color="auto"/>
                      </w:divBdr>
                      <w:divsChild>
                        <w:div w:id="294148350">
                          <w:marLeft w:val="0"/>
                          <w:marRight w:val="0"/>
                          <w:marTop w:val="0"/>
                          <w:marBottom w:val="0"/>
                          <w:divBdr>
                            <w:top w:val="none" w:sz="0" w:space="0" w:color="auto"/>
                            <w:left w:val="none" w:sz="0" w:space="0" w:color="auto"/>
                            <w:bottom w:val="none" w:sz="0" w:space="0" w:color="auto"/>
                            <w:right w:val="none" w:sz="0" w:space="0" w:color="auto"/>
                          </w:divBdr>
                        </w:div>
                      </w:divsChild>
                    </w:div>
                    <w:div w:id="294140631">
                      <w:marLeft w:val="0"/>
                      <w:marRight w:val="0"/>
                      <w:marTop w:val="0"/>
                      <w:marBottom w:val="0"/>
                      <w:divBdr>
                        <w:top w:val="none" w:sz="0" w:space="0" w:color="auto"/>
                        <w:left w:val="none" w:sz="0" w:space="0" w:color="auto"/>
                        <w:bottom w:val="none" w:sz="0" w:space="0" w:color="auto"/>
                        <w:right w:val="none" w:sz="0" w:space="0" w:color="auto"/>
                      </w:divBdr>
                    </w:div>
                    <w:div w:id="294140646">
                      <w:marLeft w:val="0"/>
                      <w:marRight w:val="0"/>
                      <w:marTop w:val="0"/>
                      <w:marBottom w:val="0"/>
                      <w:divBdr>
                        <w:top w:val="none" w:sz="0" w:space="0" w:color="auto"/>
                        <w:left w:val="none" w:sz="0" w:space="0" w:color="auto"/>
                        <w:bottom w:val="none" w:sz="0" w:space="0" w:color="auto"/>
                        <w:right w:val="none" w:sz="0" w:space="0" w:color="auto"/>
                      </w:divBdr>
                      <w:divsChild>
                        <w:div w:id="294138242">
                          <w:marLeft w:val="0"/>
                          <w:marRight w:val="0"/>
                          <w:marTop w:val="0"/>
                          <w:marBottom w:val="0"/>
                          <w:divBdr>
                            <w:top w:val="none" w:sz="0" w:space="0" w:color="auto"/>
                            <w:left w:val="none" w:sz="0" w:space="0" w:color="auto"/>
                            <w:bottom w:val="none" w:sz="0" w:space="0" w:color="auto"/>
                            <w:right w:val="none" w:sz="0" w:space="0" w:color="auto"/>
                          </w:divBdr>
                        </w:div>
                      </w:divsChild>
                    </w:div>
                    <w:div w:id="294140710">
                      <w:marLeft w:val="0"/>
                      <w:marRight w:val="0"/>
                      <w:marTop w:val="0"/>
                      <w:marBottom w:val="0"/>
                      <w:divBdr>
                        <w:top w:val="none" w:sz="0" w:space="0" w:color="auto"/>
                        <w:left w:val="none" w:sz="0" w:space="0" w:color="auto"/>
                        <w:bottom w:val="none" w:sz="0" w:space="0" w:color="auto"/>
                        <w:right w:val="none" w:sz="0" w:space="0" w:color="auto"/>
                      </w:divBdr>
                    </w:div>
                    <w:div w:id="294140722">
                      <w:marLeft w:val="0"/>
                      <w:marRight w:val="0"/>
                      <w:marTop w:val="0"/>
                      <w:marBottom w:val="0"/>
                      <w:divBdr>
                        <w:top w:val="none" w:sz="0" w:space="0" w:color="auto"/>
                        <w:left w:val="none" w:sz="0" w:space="0" w:color="auto"/>
                        <w:bottom w:val="none" w:sz="0" w:space="0" w:color="auto"/>
                        <w:right w:val="none" w:sz="0" w:space="0" w:color="auto"/>
                      </w:divBdr>
                      <w:divsChild>
                        <w:div w:id="294154471">
                          <w:marLeft w:val="0"/>
                          <w:marRight w:val="0"/>
                          <w:marTop w:val="0"/>
                          <w:marBottom w:val="0"/>
                          <w:divBdr>
                            <w:top w:val="none" w:sz="0" w:space="0" w:color="auto"/>
                            <w:left w:val="none" w:sz="0" w:space="0" w:color="auto"/>
                            <w:bottom w:val="none" w:sz="0" w:space="0" w:color="auto"/>
                            <w:right w:val="none" w:sz="0" w:space="0" w:color="auto"/>
                          </w:divBdr>
                        </w:div>
                      </w:divsChild>
                    </w:div>
                    <w:div w:id="294140731">
                      <w:marLeft w:val="0"/>
                      <w:marRight w:val="0"/>
                      <w:marTop w:val="0"/>
                      <w:marBottom w:val="0"/>
                      <w:divBdr>
                        <w:top w:val="none" w:sz="0" w:space="0" w:color="auto"/>
                        <w:left w:val="none" w:sz="0" w:space="0" w:color="auto"/>
                        <w:bottom w:val="none" w:sz="0" w:space="0" w:color="auto"/>
                        <w:right w:val="none" w:sz="0" w:space="0" w:color="auto"/>
                      </w:divBdr>
                      <w:divsChild>
                        <w:div w:id="294156319">
                          <w:marLeft w:val="0"/>
                          <w:marRight w:val="0"/>
                          <w:marTop w:val="0"/>
                          <w:marBottom w:val="0"/>
                          <w:divBdr>
                            <w:top w:val="none" w:sz="0" w:space="0" w:color="auto"/>
                            <w:left w:val="none" w:sz="0" w:space="0" w:color="auto"/>
                            <w:bottom w:val="none" w:sz="0" w:space="0" w:color="auto"/>
                            <w:right w:val="none" w:sz="0" w:space="0" w:color="auto"/>
                          </w:divBdr>
                        </w:div>
                      </w:divsChild>
                    </w:div>
                    <w:div w:id="294140828">
                      <w:marLeft w:val="0"/>
                      <w:marRight w:val="0"/>
                      <w:marTop w:val="0"/>
                      <w:marBottom w:val="0"/>
                      <w:divBdr>
                        <w:top w:val="none" w:sz="0" w:space="0" w:color="auto"/>
                        <w:left w:val="none" w:sz="0" w:space="0" w:color="auto"/>
                        <w:bottom w:val="none" w:sz="0" w:space="0" w:color="auto"/>
                        <w:right w:val="none" w:sz="0" w:space="0" w:color="auto"/>
                      </w:divBdr>
                    </w:div>
                    <w:div w:id="294140831">
                      <w:marLeft w:val="0"/>
                      <w:marRight w:val="0"/>
                      <w:marTop w:val="0"/>
                      <w:marBottom w:val="0"/>
                      <w:divBdr>
                        <w:top w:val="none" w:sz="0" w:space="0" w:color="auto"/>
                        <w:left w:val="none" w:sz="0" w:space="0" w:color="auto"/>
                        <w:bottom w:val="none" w:sz="0" w:space="0" w:color="auto"/>
                        <w:right w:val="none" w:sz="0" w:space="0" w:color="auto"/>
                      </w:divBdr>
                    </w:div>
                    <w:div w:id="294140850">
                      <w:marLeft w:val="0"/>
                      <w:marRight w:val="0"/>
                      <w:marTop w:val="0"/>
                      <w:marBottom w:val="0"/>
                      <w:divBdr>
                        <w:top w:val="none" w:sz="0" w:space="0" w:color="auto"/>
                        <w:left w:val="none" w:sz="0" w:space="0" w:color="auto"/>
                        <w:bottom w:val="none" w:sz="0" w:space="0" w:color="auto"/>
                        <w:right w:val="none" w:sz="0" w:space="0" w:color="auto"/>
                      </w:divBdr>
                      <w:divsChild>
                        <w:div w:id="294149188">
                          <w:marLeft w:val="0"/>
                          <w:marRight w:val="0"/>
                          <w:marTop w:val="0"/>
                          <w:marBottom w:val="0"/>
                          <w:divBdr>
                            <w:top w:val="none" w:sz="0" w:space="0" w:color="auto"/>
                            <w:left w:val="none" w:sz="0" w:space="0" w:color="auto"/>
                            <w:bottom w:val="none" w:sz="0" w:space="0" w:color="auto"/>
                            <w:right w:val="none" w:sz="0" w:space="0" w:color="auto"/>
                          </w:divBdr>
                        </w:div>
                      </w:divsChild>
                    </w:div>
                    <w:div w:id="294140852">
                      <w:marLeft w:val="0"/>
                      <w:marRight w:val="0"/>
                      <w:marTop w:val="0"/>
                      <w:marBottom w:val="0"/>
                      <w:divBdr>
                        <w:top w:val="none" w:sz="0" w:space="0" w:color="auto"/>
                        <w:left w:val="none" w:sz="0" w:space="0" w:color="auto"/>
                        <w:bottom w:val="none" w:sz="0" w:space="0" w:color="auto"/>
                        <w:right w:val="none" w:sz="0" w:space="0" w:color="auto"/>
                      </w:divBdr>
                      <w:divsChild>
                        <w:div w:id="294144081">
                          <w:marLeft w:val="0"/>
                          <w:marRight w:val="0"/>
                          <w:marTop w:val="0"/>
                          <w:marBottom w:val="0"/>
                          <w:divBdr>
                            <w:top w:val="none" w:sz="0" w:space="0" w:color="auto"/>
                            <w:left w:val="none" w:sz="0" w:space="0" w:color="auto"/>
                            <w:bottom w:val="none" w:sz="0" w:space="0" w:color="auto"/>
                            <w:right w:val="none" w:sz="0" w:space="0" w:color="auto"/>
                          </w:divBdr>
                        </w:div>
                      </w:divsChild>
                    </w:div>
                    <w:div w:id="294140857">
                      <w:marLeft w:val="0"/>
                      <w:marRight w:val="0"/>
                      <w:marTop w:val="0"/>
                      <w:marBottom w:val="0"/>
                      <w:divBdr>
                        <w:top w:val="none" w:sz="0" w:space="0" w:color="auto"/>
                        <w:left w:val="none" w:sz="0" w:space="0" w:color="auto"/>
                        <w:bottom w:val="none" w:sz="0" w:space="0" w:color="auto"/>
                        <w:right w:val="none" w:sz="0" w:space="0" w:color="auto"/>
                      </w:divBdr>
                      <w:divsChild>
                        <w:div w:id="294146752">
                          <w:marLeft w:val="0"/>
                          <w:marRight w:val="0"/>
                          <w:marTop w:val="0"/>
                          <w:marBottom w:val="0"/>
                          <w:divBdr>
                            <w:top w:val="none" w:sz="0" w:space="0" w:color="auto"/>
                            <w:left w:val="none" w:sz="0" w:space="0" w:color="auto"/>
                            <w:bottom w:val="none" w:sz="0" w:space="0" w:color="auto"/>
                            <w:right w:val="none" w:sz="0" w:space="0" w:color="auto"/>
                          </w:divBdr>
                        </w:div>
                      </w:divsChild>
                    </w:div>
                    <w:div w:id="294140863">
                      <w:marLeft w:val="0"/>
                      <w:marRight w:val="0"/>
                      <w:marTop w:val="0"/>
                      <w:marBottom w:val="0"/>
                      <w:divBdr>
                        <w:top w:val="none" w:sz="0" w:space="0" w:color="auto"/>
                        <w:left w:val="none" w:sz="0" w:space="0" w:color="auto"/>
                        <w:bottom w:val="none" w:sz="0" w:space="0" w:color="auto"/>
                        <w:right w:val="none" w:sz="0" w:space="0" w:color="auto"/>
                      </w:divBdr>
                    </w:div>
                    <w:div w:id="294140865">
                      <w:marLeft w:val="0"/>
                      <w:marRight w:val="0"/>
                      <w:marTop w:val="0"/>
                      <w:marBottom w:val="0"/>
                      <w:divBdr>
                        <w:top w:val="none" w:sz="0" w:space="0" w:color="auto"/>
                        <w:left w:val="none" w:sz="0" w:space="0" w:color="auto"/>
                        <w:bottom w:val="none" w:sz="0" w:space="0" w:color="auto"/>
                        <w:right w:val="none" w:sz="0" w:space="0" w:color="auto"/>
                      </w:divBdr>
                      <w:divsChild>
                        <w:div w:id="294138653">
                          <w:marLeft w:val="0"/>
                          <w:marRight w:val="0"/>
                          <w:marTop w:val="0"/>
                          <w:marBottom w:val="0"/>
                          <w:divBdr>
                            <w:top w:val="none" w:sz="0" w:space="0" w:color="auto"/>
                            <w:left w:val="none" w:sz="0" w:space="0" w:color="auto"/>
                            <w:bottom w:val="none" w:sz="0" w:space="0" w:color="auto"/>
                            <w:right w:val="none" w:sz="0" w:space="0" w:color="auto"/>
                          </w:divBdr>
                        </w:div>
                      </w:divsChild>
                    </w:div>
                    <w:div w:id="294140929">
                      <w:marLeft w:val="0"/>
                      <w:marRight w:val="0"/>
                      <w:marTop w:val="0"/>
                      <w:marBottom w:val="0"/>
                      <w:divBdr>
                        <w:top w:val="none" w:sz="0" w:space="0" w:color="auto"/>
                        <w:left w:val="none" w:sz="0" w:space="0" w:color="auto"/>
                        <w:bottom w:val="none" w:sz="0" w:space="0" w:color="auto"/>
                        <w:right w:val="none" w:sz="0" w:space="0" w:color="auto"/>
                      </w:divBdr>
                    </w:div>
                    <w:div w:id="294140957">
                      <w:marLeft w:val="0"/>
                      <w:marRight w:val="0"/>
                      <w:marTop w:val="0"/>
                      <w:marBottom w:val="0"/>
                      <w:divBdr>
                        <w:top w:val="none" w:sz="0" w:space="0" w:color="auto"/>
                        <w:left w:val="none" w:sz="0" w:space="0" w:color="auto"/>
                        <w:bottom w:val="none" w:sz="0" w:space="0" w:color="auto"/>
                        <w:right w:val="none" w:sz="0" w:space="0" w:color="auto"/>
                      </w:divBdr>
                      <w:divsChild>
                        <w:div w:id="294155803">
                          <w:marLeft w:val="0"/>
                          <w:marRight w:val="0"/>
                          <w:marTop w:val="0"/>
                          <w:marBottom w:val="0"/>
                          <w:divBdr>
                            <w:top w:val="none" w:sz="0" w:space="0" w:color="auto"/>
                            <w:left w:val="none" w:sz="0" w:space="0" w:color="auto"/>
                            <w:bottom w:val="none" w:sz="0" w:space="0" w:color="auto"/>
                            <w:right w:val="none" w:sz="0" w:space="0" w:color="auto"/>
                          </w:divBdr>
                        </w:div>
                      </w:divsChild>
                    </w:div>
                    <w:div w:id="294140961">
                      <w:marLeft w:val="0"/>
                      <w:marRight w:val="0"/>
                      <w:marTop w:val="0"/>
                      <w:marBottom w:val="0"/>
                      <w:divBdr>
                        <w:top w:val="none" w:sz="0" w:space="0" w:color="auto"/>
                        <w:left w:val="none" w:sz="0" w:space="0" w:color="auto"/>
                        <w:bottom w:val="none" w:sz="0" w:space="0" w:color="auto"/>
                        <w:right w:val="none" w:sz="0" w:space="0" w:color="auto"/>
                      </w:divBdr>
                      <w:divsChild>
                        <w:div w:id="294155874">
                          <w:marLeft w:val="0"/>
                          <w:marRight w:val="0"/>
                          <w:marTop w:val="0"/>
                          <w:marBottom w:val="0"/>
                          <w:divBdr>
                            <w:top w:val="none" w:sz="0" w:space="0" w:color="auto"/>
                            <w:left w:val="none" w:sz="0" w:space="0" w:color="auto"/>
                            <w:bottom w:val="none" w:sz="0" w:space="0" w:color="auto"/>
                            <w:right w:val="none" w:sz="0" w:space="0" w:color="auto"/>
                          </w:divBdr>
                        </w:div>
                      </w:divsChild>
                    </w:div>
                    <w:div w:id="294140987">
                      <w:marLeft w:val="0"/>
                      <w:marRight w:val="0"/>
                      <w:marTop w:val="0"/>
                      <w:marBottom w:val="0"/>
                      <w:divBdr>
                        <w:top w:val="none" w:sz="0" w:space="0" w:color="auto"/>
                        <w:left w:val="none" w:sz="0" w:space="0" w:color="auto"/>
                        <w:bottom w:val="none" w:sz="0" w:space="0" w:color="auto"/>
                        <w:right w:val="none" w:sz="0" w:space="0" w:color="auto"/>
                      </w:divBdr>
                    </w:div>
                    <w:div w:id="294141001">
                      <w:marLeft w:val="0"/>
                      <w:marRight w:val="0"/>
                      <w:marTop w:val="0"/>
                      <w:marBottom w:val="0"/>
                      <w:divBdr>
                        <w:top w:val="none" w:sz="0" w:space="0" w:color="auto"/>
                        <w:left w:val="none" w:sz="0" w:space="0" w:color="auto"/>
                        <w:bottom w:val="none" w:sz="0" w:space="0" w:color="auto"/>
                        <w:right w:val="none" w:sz="0" w:space="0" w:color="auto"/>
                      </w:divBdr>
                    </w:div>
                    <w:div w:id="294141004">
                      <w:marLeft w:val="0"/>
                      <w:marRight w:val="0"/>
                      <w:marTop w:val="0"/>
                      <w:marBottom w:val="0"/>
                      <w:divBdr>
                        <w:top w:val="none" w:sz="0" w:space="0" w:color="auto"/>
                        <w:left w:val="none" w:sz="0" w:space="0" w:color="auto"/>
                        <w:bottom w:val="none" w:sz="0" w:space="0" w:color="auto"/>
                        <w:right w:val="none" w:sz="0" w:space="0" w:color="auto"/>
                      </w:divBdr>
                    </w:div>
                    <w:div w:id="294141017">
                      <w:marLeft w:val="0"/>
                      <w:marRight w:val="0"/>
                      <w:marTop w:val="0"/>
                      <w:marBottom w:val="0"/>
                      <w:divBdr>
                        <w:top w:val="none" w:sz="0" w:space="0" w:color="auto"/>
                        <w:left w:val="none" w:sz="0" w:space="0" w:color="auto"/>
                        <w:bottom w:val="none" w:sz="0" w:space="0" w:color="auto"/>
                        <w:right w:val="none" w:sz="0" w:space="0" w:color="auto"/>
                      </w:divBdr>
                      <w:divsChild>
                        <w:div w:id="294149967">
                          <w:marLeft w:val="0"/>
                          <w:marRight w:val="0"/>
                          <w:marTop w:val="0"/>
                          <w:marBottom w:val="0"/>
                          <w:divBdr>
                            <w:top w:val="none" w:sz="0" w:space="0" w:color="auto"/>
                            <w:left w:val="none" w:sz="0" w:space="0" w:color="auto"/>
                            <w:bottom w:val="none" w:sz="0" w:space="0" w:color="auto"/>
                            <w:right w:val="none" w:sz="0" w:space="0" w:color="auto"/>
                          </w:divBdr>
                        </w:div>
                      </w:divsChild>
                    </w:div>
                    <w:div w:id="294141046">
                      <w:marLeft w:val="0"/>
                      <w:marRight w:val="0"/>
                      <w:marTop w:val="0"/>
                      <w:marBottom w:val="0"/>
                      <w:divBdr>
                        <w:top w:val="none" w:sz="0" w:space="0" w:color="auto"/>
                        <w:left w:val="none" w:sz="0" w:space="0" w:color="auto"/>
                        <w:bottom w:val="none" w:sz="0" w:space="0" w:color="auto"/>
                        <w:right w:val="none" w:sz="0" w:space="0" w:color="auto"/>
                      </w:divBdr>
                      <w:divsChild>
                        <w:div w:id="294138567">
                          <w:marLeft w:val="0"/>
                          <w:marRight w:val="0"/>
                          <w:marTop w:val="0"/>
                          <w:marBottom w:val="0"/>
                          <w:divBdr>
                            <w:top w:val="none" w:sz="0" w:space="0" w:color="auto"/>
                            <w:left w:val="none" w:sz="0" w:space="0" w:color="auto"/>
                            <w:bottom w:val="none" w:sz="0" w:space="0" w:color="auto"/>
                            <w:right w:val="none" w:sz="0" w:space="0" w:color="auto"/>
                          </w:divBdr>
                        </w:div>
                      </w:divsChild>
                    </w:div>
                    <w:div w:id="294141049">
                      <w:marLeft w:val="0"/>
                      <w:marRight w:val="0"/>
                      <w:marTop w:val="0"/>
                      <w:marBottom w:val="0"/>
                      <w:divBdr>
                        <w:top w:val="none" w:sz="0" w:space="0" w:color="auto"/>
                        <w:left w:val="none" w:sz="0" w:space="0" w:color="auto"/>
                        <w:bottom w:val="none" w:sz="0" w:space="0" w:color="auto"/>
                        <w:right w:val="none" w:sz="0" w:space="0" w:color="auto"/>
                      </w:divBdr>
                      <w:divsChild>
                        <w:div w:id="294149699">
                          <w:marLeft w:val="0"/>
                          <w:marRight w:val="0"/>
                          <w:marTop w:val="0"/>
                          <w:marBottom w:val="0"/>
                          <w:divBdr>
                            <w:top w:val="none" w:sz="0" w:space="0" w:color="auto"/>
                            <w:left w:val="none" w:sz="0" w:space="0" w:color="auto"/>
                            <w:bottom w:val="none" w:sz="0" w:space="0" w:color="auto"/>
                            <w:right w:val="none" w:sz="0" w:space="0" w:color="auto"/>
                          </w:divBdr>
                        </w:div>
                      </w:divsChild>
                    </w:div>
                    <w:div w:id="294141050">
                      <w:marLeft w:val="0"/>
                      <w:marRight w:val="0"/>
                      <w:marTop w:val="0"/>
                      <w:marBottom w:val="0"/>
                      <w:divBdr>
                        <w:top w:val="none" w:sz="0" w:space="0" w:color="auto"/>
                        <w:left w:val="none" w:sz="0" w:space="0" w:color="auto"/>
                        <w:bottom w:val="none" w:sz="0" w:space="0" w:color="auto"/>
                        <w:right w:val="none" w:sz="0" w:space="0" w:color="auto"/>
                      </w:divBdr>
                      <w:divsChild>
                        <w:div w:id="294153045">
                          <w:marLeft w:val="0"/>
                          <w:marRight w:val="0"/>
                          <w:marTop w:val="0"/>
                          <w:marBottom w:val="0"/>
                          <w:divBdr>
                            <w:top w:val="none" w:sz="0" w:space="0" w:color="auto"/>
                            <w:left w:val="none" w:sz="0" w:space="0" w:color="auto"/>
                            <w:bottom w:val="none" w:sz="0" w:space="0" w:color="auto"/>
                            <w:right w:val="none" w:sz="0" w:space="0" w:color="auto"/>
                          </w:divBdr>
                        </w:div>
                      </w:divsChild>
                    </w:div>
                    <w:div w:id="294141095">
                      <w:marLeft w:val="0"/>
                      <w:marRight w:val="0"/>
                      <w:marTop w:val="0"/>
                      <w:marBottom w:val="0"/>
                      <w:divBdr>
                        <w:top w:val="none" w:sz="0" w:space="0" w:color="auto"/>
                        <w:left w:val="none" w:sz="0" w:space="0" w:color="auto"/>
                        <w:bottom w:val="none" w:sz="0" w:space="0" w:color="auto"/>
                        <w:right w:val="none" w:sz="0" w:space="0" w:color="auto"/>
                      </w:divBdr>
                      <w:divsChild>
                        <w:div w:id="294156862">
                          <w:marLeft w:val="0"/>
                          <w:marRight w:val="0"/>
                          <w:marTop w:val="0"/>
                          <w:marBottom w:val="0"/>
                          <w:divBdr>
                            <w:top w:val="none" w:sz="0" w:space="0" w:color="auto"/>
                            <w:left w:val="none" w:sz="0" w:space="0" w:color="auto"/>
                            <w:bottom w:val="none" w:sz="0" w:space="0" w:color="auto"/>
                            <w:right w:val="none" w:sz="0" w:space="0" w:color="auto"/>
                          </w:divBdr>
                        </w:div>
                      </w:divsChild>
                    </w:div>
                    <w:div w:id="294141100">
                      <w:marLeft w:val="0"/>
                      <w:marRight w:val="0"/>
                      <w:marTop w:val="0"/>
                      <w:marBottom w:val="0"/>
                      <w:divBdr>
                        <w:top w:val="none" w:sz="0" w:space="0" w:color="auto"/>
                        <w:left w:val="none" w:sz="0" w:space="0" w:color="auto"/>
                        <w:bottom w:val="none" w:sz="0" w:space="0" w:color="auto"/>
                        <w:right w:val="none" w:sz="0" w:space="0" w:color="auto"/>
                      </w:divBdr>
                      <w:divsChild>
                        <w:div w:id="294147890">
                          <w:marLeft w:val="0"/>
                          <w:marRight w:val="0"/>
                          <w:marTop w:val="0"/>
                          <w:marBottom w:val="0"/>
                          <w:divBdr>
                            <w:top w:val="none" w:sz="0" w:space="0" w:color="auto"/>
                            <w:left w:val="none" w:sz="0" w:space="0" w:color="auto"/>
                            <w:bottom w:val="none" w:sz="0" w:space="0" w:color="auto"/>
                            <w:right w:val="none" w:sz="0" w:space="0" w:color="auto"/>
                          </w:divBdr>
                        </w:div>
                      </w:divsChild>
                    </w:div>
                    <w:div w:id="294141182">
                      <w:marLeft w:val="0"/>
                      <w:marRight w:val="0"/>
                      <w:marTop w:val="0"/>
                      <w:marBottom w:val="0"/>
                      <w:divBdr>
                        <w:top w:val="none" w:sz="0" w:space="0" w:color="auto"/>
                        <w:left w:val="none" w:sz="0" w:space="0" w:color="auto"/>
                        <w:bottom w:val="none" w:sz="0" w:space="0" w:color="auto"/>
                        <w:right w:val="none" w:sz="0" w:space="0" w:color="auto"/>
                      </w:divBdr>
                      <w:divsChild>
                        <w:div w:id="294146523">
                          <w:marLeft w:val="0"/>
                          <w:marRight w:val="0"/>
                          <w:marTop w:val="0"/>
                          <w:marBottom w:val="0"/>
                          <w:divBdr>
                            <w:top w:val="none" w:sz="0" w:space="0" w:color="auto"/>
                            <w:left w:val="none" w:sz="0" w:space="0" w:color="auto"/>
                            <w:bottom w:val="none" w:sz="0" w:space="0" w:color="auto"/>
                            <w:right w:val="none" w:sz="0" w:space="0" w:color="auto"/>
                          </w:divBdr>
                        </w:div>
                      </w:divsChild>
                    </w:div>
                    <w:div w:id="294141190">
                      <w:marLeft w:val="0"/>
                      <w:marRight w:val="0"/>
                      <w:marTop w:val="0"/>
                      <w:marBottom w:val="0"/>
                      <w:divBdr>
                        <w:top w:val="none" w:sz="0" w:space="0" w:color="auto"/>
                        <w:left w:val="none" w:sz="0" w:space="0" w:color="auto"/>
                        <w:bottom w:val="none" w:sz="0" w:space="0" w:color="auto"/>
                        <w:right w:val="none" w:sz="0" w:space="0" w:color="auto"/>
                      </w:divBdr>
                      <w:divsChild>
                        <w:div w:id="294149664">
                          <w:marLeft w:val="0"/>
                          <w:marRight w:val="0"/>
                          <w:marTop w:val="0"/>
                          <w:marBottom w:val="0"/>
                          <w:divBdr>
                            <w:top w:val="none" w:sz="0" w:space="0" w:color="auto"/>
                            <w:left w:val="none" w:sz="0" w:space="0" w:color="auto"/>
                            <w:bottom w:val="none" w:sz="0" w:space="0" w:color="auto"/>
                            <w:right w:val="none" w:sz="0" w:space="0" w:color="auto"/>
                          </w:divBdr>
                        </w:div>
                      </w:divsChild>
                    </w:div>
                    <w:div w:id="294141207">
                      <w:marLeft w:val="0"/>
                      <w:marRight w:val="0"/>
                      <w:marTop w:val="0"/>
                      <w:marBottom w:val="0"/>
                      <w:divBdr>
                        <w:top w:val="none" w:sz="0" w:space="0" w:color="auto"/>
                        <w:left w:val="none" w:sz="0" w:space="0" w:color="auto"/>
                        <w:bottom w:val="none" w:sz="0" w:space="0" w:color="auto"/>
                        <w:right w:val="none" w:sz="0" w:space="0" w:color="auto"/>
                      </w:divBdr>
                    </w:div>
                    <w:div w:id="294141212">
                      <w:marLeft w:val="0"/>
                      <w:marRight w:val="0"/>
                      <w:marTop w:val="0"/>
                      <w:marBottom w:val="0"/>
                      <w:divBdr>
                        <w:top w:val="none" w:sz="0" w:space="0" w:color="auto"/>
                        <w:left w:val="none" w:sz="0" w:space="0" w:color="auto"/>
                        <w:bottom w:val="none" w:sz="0" w:space="0" w:color="auto"/>
                        <w:right w:val="none" w:sz="0" w:space="0" w:color="auto"/>
                      </w:divBdr>
                      <w:divsChild>
                        <w:div w:id="294152518">
                          <w:marLeft w:val="0"/>
                          <w:marRight w:val="0"/>
                          <w:marTop w:val="0"/>
                          <w:marBottom w:val="0"/>
                          <w:divBdr>
                            <w:top w:val="none" w:sz="0" w:space="0" w:color="auto"/>
                            <w:left w:val="none" w:sz="0" w:space="0" w:color="auto"/>
                            <w:bottom w:val="none" w:sz="0" w:space="0" w:color="auto"/>
                            <w:right w:val="none" w:sz="0" w:space="0" w:color="auto"/>
                          </w:divBdr>
                        </w:div>
                      </w:divsChild>
                    </w:div>
                    <w:div w:id="294141223">
                      <w:marLeft w:val="0"/>
                      <w:marRight w:val="0"/>
                      <w:marTop w:val="0"/>
                      <w:marBottom w:val="0"/>
                      <w:divBdr>
                        <w:top w:val="none" w:sz="0" w:space="0" w:color="auto"/>
                        <w:left w:val="none" w:sz="0" w:space="0" w:color="auto"/>
                        <w:bottom w:val="none" w:sz="0" w:space="0" w:color="auto"/>
                        <w:right w:val="none" w:sz="0" w:space="0" w:color="auto"/>
                      </w:divBdr>
                      <w:divsChild>
                        <w:div w:id="294151910">
                          <w:marLeft w:val="0"/>
                          <w:marRight w:val="0"/>
                          <w:marTop w:val="0"/>
                          <w:marBottom w:val="0"/>
                          <w:divBdr>
                            <w:top w:val="none" w:sz="0" w:space="0" w:color="auto"/>
                            <w:left w:val="none" w:sz="0" w:space="0" w:color="auto"/>
                            <w:bottom w:val="none" w:sz="0" w:space="0" w:color="auto"/>
                            <w:right w:val="none" w:sz="0" w:space="0" w:color="auto"/>
                          </w:divBdr>
                        </w:div>
                      </w:divsChild>
                    </w:div>
                    <w:div w:id="294141237">
                      <w:marLeft w:val="0"/>
                      <w:marRight w:val="0"/>
                      <w:marTop w:val="0"/>
                      <w:marBottom w:val="0"/>
                      <w:divBdr>
                        <w:top w:val="none" w:sz="0" w:space="0" w:color="auto"/>
                        <w:left w:val="none" w:sz="0" w:space="0" w:color="auto"/>
                        <w:bottom w:val="none" w:sz="0" w:space="0" w:color="auto"/>
                        <w:right w:val="none" w:sz="0" w:space="0" w:color="auto"/>
                      </w:divBdr>
                    </w:div>
                    <w:div w:id="294141260">
                      <w:marLeft w:val="0"/>
                      <w:marRight w:val="0"/>
                      <w:marTop w:val="0"/>
                      <w:marBottom w:val="0"/>
                      <w:divBdr>
                        <w:top w:val="none" w:sz="0" w:space="0" w:color="auto"/>
                        <w:left w:val="none" w:sz="0" w:space="0" w:color="auto"/>
                        <w:bottom w:val="none" w:sz="0" w:space="0" w:color="auto"/>
                        <w:right w:val="none" w:sz="0" w:space="0" w:color="auto"/>
                      </w:divBdr>
                    </w:div>
                    <w:div w:id="294141272">
                      <w:marLeft w:val="0"/>
                      <w:marRight w:val="0"/>
                      <w:marTop w:val="0"/>
                      <w:marBottom w:val="0"/>
                      <w:divBdr>
                        <w:top w:val="none" w:sz="0" w:space="0" w:color="auto"/>
                        <w:left w:val="none" w:sz="0" w:space="0" w:color="auto"/>
                        <w:bottom w:val="none" w:sz="0" w:space="0" w:color="auto"/>
                        <w:right w:val="none" w:sz="0" w:space="0" w:color="auto"/>
                      </w:divBdr>
                    </w:div>
                    <w:div w:id="294141277">
                      <w:marLeft w:val="0"/>
                      <w:marRight w:val="0"/>
                      <w:marTop w:val="0"/>
                      <w:marBottom w:val="0"/>
                      <w:divBdr>
                        <w:top w:val="none" w:sz="0" w:space="0" w:color="auto"/>
                        <w:left w:val="none" w:sz="0" w:space="0" w:color="auto"/>
                        <w:bottom w:val="none" w:sz="0" w:space="0" w:color="auto"/>
                        <w:right w:val="none" w:sz="0" w:space="0" w:color="auto"/>
                      </w:divBdr>
                      <w:divsChild>
                        <w:div w:id="294140496">
                          <w:marLeft w:val="0"/>
                          <w:marRight w:val="0"/>
                          <w:marTop w:val="0"/>
                          <w:marBottom w:val="0"/>
                          <w:divBdr>
                            <w:top w:val="none" w:sz="0" w:space="0" w:color="auto"/>
                            <w:left w:val="none" w:sz="0" w:space="0" w:color="auto"/>
                            <w:bottom w:val="none" w:sz="0" w:space="0" w:color="auto"/>
                            <w:right w:val="none" w:sz="0" w:space="0" w:color="auto"/>
                          </w:divBdr>
                        </w:div>
                      </w:divsChild>
                    </w:div>
                    <w:div w:id="294141281">
                      <w:marLeft w:val="0"/>
                      <w:marRight w:val="0"/>
                      <w:marTop w:val="0"/>
                      <w:marBottom w:val="0"/>
                      <w:divBdr>
                        <w:top w:val="none" w:sz="0" w:space="0" w:color="auto"/>
                        <w:left w:val="none" w:sz="0" w:space="0" w:color="auto"/>
                        <w:bottom w:val="none" w:sz="0" w:space="0" w:color="auto"/>
                        <w:right w:val="none" w:sz="0" w:space="0" w:color="auto"/>
                      </w:divBdr>
                    </w:div>
                    <w:div w:id="294141352">
                      <w:marLeft w:val="0"/>
                      <w:marRight w:val="0"/>
                      <w:marTop w:val="0"/>
                      <w:marBottom w:val="0"/>
                      <w:divBdr>
                        <w:top w:val="none" w:sz="0" w:space="0" w:color="auto"/>
                        <w:left w:val="none" w:sz="0" w:space="0" w:color="auto"/>
                        <w:bottom w:val="none" w:sz="0" w:space="0" w:color="auto"/>
                        <w:right w:val="none" w:sz="0" w:space="0" w:color="auto"/>
                      </w:divBdr>
                      <w:divsChild>
                        <w:div w:id="294147944">
                          <w:marLeft w:val="0"/>
                          <w:marRight w:val="0"/>
                          <w:marTop w:val="0"/>
                          <w:marBottom w:val="0"/>
                          <w:divBdr>
                            <w:top w:val="none" w:sz="0" w:space="0" w:color="auto"/>
                            <w:left w:val="none" w:sz="0" w:space="0" w:color="auto"/>
                            <w:bottom w:val="none" w:sz="0" w:space="0" w:color="auto"/>
                            <w:right w:val="none" w:sz="0" w:space="0" w:color="auto"/>
                          </w:divBdr>
                        </w:div>
                      </w:divsChild>
                    </w:div>
                    <w:div w:id="294141392">
                      <w:marLeft w:val="0"/>
                      <w:marRight w:val="0"/>
                      <w:marTop w:val="0"/>
                      <w:marBottom w:val="0"/>
                      <w:divBdr>
                        <w:top w:val="none" w:sz="0" w:space="0" w:color="auto"/>
                        <w:left w:val="none" w:sz="0" w:space="0" w:color="auto"/>
                        <w:bottom w:val="none" w:sz="0" w:space="0" w:color="auto"/>
                        <w:right w:val="none" w:sz="0" w:space="0" w:color="auto"/>
                      </w:divBdr>
                    </w:div>
                    <w:div w:id="294141397">
                      <w:marLeft w:val="0"/>
                      <w:marRight w:val="0"/>
                      <w:marTop w:val="0"/>
                      <w:marBottom w:val="0"/>
                      <w:divBdr>
                        <w:top w:val="none" w:sz="0" w:space="0" w:color="auto"/>
                        <w:left w:val="none" w:sz="0" w:space="0" w:color="auto"/>
                        <w:bottom w:val="none" w:sz="0" w:space="0" w:color="auto"/>
                        <w:right w:val="none" w:sz="0" w:space="0" w:color="auto"/>
                      </w:divBdr>
                    </w:div>
                    <w:div w:id="294141420">
                      <w:marLeft w:val="0"/>
                      <w:marRight w:val="0"/>
                      <w:marTop w:val="0"/>
                      <w:marBottom w:val="0"/>
                      <w:divBdr>
                        <w:top w:val="none" w:sz="0" w:space="0" w:color="auto"/>
                        <w:left w:val="none" w:sz="0" w:space="0" w:color="auto"/>
                        <w:bottom w:val="none" w:sz="0" w:space="0" w:color="auto"/>
                        <w:right w:val="none" w:sz="0" w:space="0" w:color="auto"/>
                      </w:divBdr>
                    </w:div>
                    <w:div w:id="294141432">
                      <w:marLeft w:val="0"/>
                      <w:marRight w:val="0"/>
                      <w:marTop w:val="0"/>
                      <w:marBottom w:val="0"/>
                      <w:divBdr>
                        <w:top w:val="none" w:sz="0" w:space="0" w:color="auto"/>
                        <w:left w:val="none" w:sz="0" w:space="0" w:color="auto"/>
                        <w:bottom w:val="none" w:sz="0" w:space="0" w:color="auto"/>
                        <w:right w:val="none" w:sz="0" w:space="0" w:color="auto"/>
                      </w:divBdr>
                    </w:div>
                    <w:div w:id="294141483">
                      <w:marLeft w:val="0"/>
                      <w:marRight w:val="0"/>
                      <w:marTop w:val="0"/>
                      <w:marBottom w:val="0"/>
                      <w:divBdr>
                        <w:top w:val="none" w:sz="0" w:space="0" w:color="auto"/>
                        <w:left w:val="none" w:sz="0" w:space="0" w:color="auto"/>
                        <w:bottom w:val="none" w:sz="0" w:space="0" w:color="auto"/>
                        <w:right w:val="none" w:sz="0" w:space="0" w:color="auto"/>
                      </w:divBdr>
                    </w:div>
                    <w:div w:id="294141520">
                      <w:marLeft w:val="0"/>
                      <w:marRight w:val="0"/>
                      <w:marTop w:val="0"/>
                      <w:marBottom w:val="0"/>
                      <w:divBdr>
                        <w:top w:val="none" w:sz="0" w:space="0" w:color="auto"/>
                        <w:left w:val="none" w:sz="0" w:space="0" w:color="auto"/>
                        <w:bottom w:val="none" w:sz="0" w:space="0" w:color="auto"/>
                        <w:right w:val="none" w:sz="0" w:space="0" w:color="auto"/>
                      </w:divBdr>
                      <w:divsChild>
                        <w:div w:id="294149676">
                          <w:marLeft w:val="0"/>
                          <w:marRight w:val="0"/>
                          <w:marTop w:val="0"/>
                          <w:marBottom w:val="0"/>
                          <w:divBdr>
                            <w:top w:val="none" w:sz="0" w:space="0" w:color="auto"/>
                            <w:left w:val="none" w:sz="0" w:space="0" w:color="auto"/>
                            <w:bottom w:val="none" w:sz="0" w:space="0" w:color="auto"/>
                            <w:right w:val="none" w:sz="0" w:space="0" w:color="auto"/>
                          </w:divBdr>
                        </w:div>
                      </w:divsChild>
                    </w:div>
                    <w:div w:id="294141541">
                      <w:marLeft w:val="0"/>
                      <w:marRight w:val="0"/>
                      <w:marTop w:val="0"/>
                      <w:marBottom w:val="0"/>
                      <w:divBdr>
                        <w:top w:val="none" w:sz="0" w:space="0" w:color="auto"/>
                        <w:left w:val="none" w:sz="0" w:space="0" w:color="auto"/>
                        <w:bottom w:val="none" w:sz="0" w:space="0" w:color="auto"/>
                        <w:right w:val="none" w:sz="0" w:space="0" w:color="auto"/>
                      </w:divBdr>
                    </w:div>
                    <w:div w:id="294141610">
                      <w:marLeft w:val="0"/>
                      <w:marRight w:val="0"/>
                      <w:marTop w:val="0"/>
                      <w:marBottom w:val="0"/>
                      <w:divBdr>
                        <w:top w:val="none" w:sz="0" w:space="0" w:color="auto"/>
                        <w:left w:val="none" w:sz="0" w:space="0" w:color="auto"/>
                        <w:bottom w:val="none" w:sz="0" w:space="0" w:color="auto"/>
                        <w:right w:val="none" w:sz="0" w:space="0" w:color="auto"/>
                      </w:divBdr>
                    </w:div>
                    <w:div w:id="294141628">
                      <w:marLeft w:val="0"/>
                      <w:marRight w:val="0"/>
                      <w:marTop w:val="0"/>
                      <w:marBottom w:val="0"/>
                      <w:divBdr>
                        <w:top w:val="none" w:sz="0" w:space="0" w:color="auto"/>
                        <w:left w:val="none" w:sz="0" w:space="0" w:color="auto"/>
                        <w:bottom w:val="none" w:sz="0" w:space="0" w:color="auto"/>
                        <w:right w:val="none" w:sz="0" w:space="0" w:color="auto"/>
                      </w:divBdr>
                      <w:divsChild>
                        <w:div w:id="294151089">
                          <w:marLeft w:val="0"/>
                          <w:marRight w:val="0"/>
                          <w:marTop w:val="0"/>
                          <w:marBottom w:val="0"/>
                          <w:divBdr>
                            <w:top w:val="none" w:sz="0" w:space="0" w:color="auto"/>
                            <w:left w:val="none" w:sz="0" w:space="0" w:color="auto"/>
                            <w:bottom w:val="none" w:sz="0" w:space="0" w:color="auto"/>
                            <w:right w:val="none" w:sz="0" w:space="0" w:color="auto"/>
                          </w:divBdr>
                        </w:div>
                      </w:divsChild>
                    </w:div>
                    <w:div w:id="294141637">
                      <w:marLeft w:val="0"/>
                      <w:marRight w:val="0"/>
                      <w:marTop w:val="0"/>
                      <w:marBottom w:val="0"/>
                      <w:divBdr>
                        <w:top w:val="none" w:sz="0" w:space="0" w:color="auto"/>
                        <w:left w:val="none" w:sz="0" w:space="0" w:color="auto"/>
                        <w:bottom w:val="none" w:sz="0" w:space="0" w:color="auto"/>
                        <w:right w:val="none" w:sz="0" w:space="0" w:color="auto"/>
                      </w:divBdr>
                      <w:divsChild>
                        <w:div w:id="294156115">
                          <w:marLeft w:val="0"/>
                          <w:marRight w:val="0"/>
                          <w:marTop w:val="0"/>
                          <w:marBottom w:val="0"/>
                          <w:divBdr>
                            <w:top w:val="none" w:sz="0" w:space="0" w:color="auto"/>
                            <w:left w:val="none" w:sz="0" w:space="0" w:color="auto"/>
                            <w:bottom w:val="none" w:sz="0" w:space="0" w:color="auto"/>
                            <w:right w:val="none" w:sz="0" w:space="0" w:color="auto"/>
                          </w:divBdr>
                        </w:div>
                      </w:divsChild>
                    </w:div>
                    <w:div w:id="294141675">
                      <w:marLeft w:val="0"/>
                      <w:marRight w:val="0"/>
                      <w:marTop w:val="0"/>
                      <w:marBottom w:val="0"/>
                      <w:divBdr>
                        <w:top w:val="none" w:sz="0" w:space="0" w:color="auto"/>
                        <w:left w:val="none" w:sz="0" w:space="0" w:color="auto"/>
                        <w:bottom w:val="none" w:sz="0" w:space="0" w:color="auto"/>
                        <w:right w:val="none" w:sz="0" w:space="0" w:color="auto"/>
                      </w:divBdr>
                      <w:divsChild>
                        <w:div w:id="294152952">
                          <w:marLeft w:val="0"/>
                          <w:marRight w:val="0"/>
                          <w:marTop w:val="0"/>
                          <w:marBottom w:val="0"/>
                          <w:divBdr>
                            <w:top w:val="none" w:sz="0" w:space="0" w:color="auto"/>
                            <w:left w:val="none" w:sz="0" w:space="0" w:color="auto"/>
                            <w:bottom w:val="none" w:sz="0" w:space="0" w:color="auto"/>
                            <w:right w:val="none" w:sz="0" w:space="0" w:color="auto"/>
                          </w:divBdr>
                        </w:div>
                      </w:divsChild>
                    </w:div>
                    <w:div w:id="294141687">
                      <w:marLeft w:val="0"/>
                      <w:marRight w:val="0"/>
                      <w:marTop w:val="0"/>
                      <w:marBottom w:val="0"/>
                      <w:divBdr>
                        <w:top w:val="none" w:sz="0" w:space="0" w:color="auto"/>
                        <w:left w:val="none" w:sz="0" w:space="0" w:color="auto"/>
                        <w:bottom w:val="none" w:sz="0" w:space="0" w:color="auto"/>
                        <w:right w:val="none" w:sz="0" w:space="0" w:color="auto"/>
                      </w:divBdr>
                    </w:div>
                    <w:div w:id="294141700">
                      <w:marLeft w:val="0"/>
                      <w:marRight w:val="0"/>
                      <w:marTop w:val="0"/>
                      <w:marBottom w:val="0"/>
                      <w:divBdr>
                        <w:top w:val="none" w:sz="0" w:space="0" w:color="auto"/>
                        <w:left w:val="none" w:sz="0" w:space="0" w:color="auto"/>
                        <w:bottom w:val="none" w:sz="0" w:space="0" w:color="auto"/>
                        <w:right w:val="none" w:sz="0" w:space="0" w:color="auto"/>
                      </w:divBdr>
                      <w:divsChild>
                        <w:div w:id="294147482">
                          <w:marLeft w:val="0"/>
                          <w:marRight w:val="0"/>
                          <w:marTop w:val="0"/>
                          <w:marBottom w:val="0"/>
                          <w:divBdr>
                            <w:top w:val="none" w:sz="0" w:space="0" w:color="auto"/>
                            <w:left w:val="none" w:sz="0" w:space="0" w:color="auto"/>
                            <w:bottom w:val="none" w:sz="0" w:space="0" w:color="auto"/>
                            <w:right w:val="none" w:sz="0" w:space="0" w:color="auto"/>
                          </w:divBdr>
                        </w:div>
                      </w:divsChild>
                    </w:div>
                    <w:div w:id="294141716">
                      <w:marLeft w:val="0"/>
                      <w:marRight w:val="0"/>
                      <w:marTop w:val="0"/>
                      <w:marBottom w:val="0"/>
                      <w:divBdr>
                        <w:top w:val="none" w:sz="0" w:space="0" w:color="auto"/>
                        <w:left w:val="none" w:sz="0" w:space="0" w:color="auto"/>
                        <w:bottom w:val="none" w:sz="0" w:space="0" w:color="auto"/>
                        <w:right w:val="none" w:sz="0" w:space="0" w:color="auto"/>
                      </w:divBdr>
                      <w:divsChild>
                        <w:div w:id="294139397">
                          <w:marLeft w:val="0"/>
                          <w:marRight w:val="0"/>
                          <w:marTop w:val="0"/>
                          <w:marBottom w:val="0"/>
                          <w:divBdr>
                            <w:top w:val="none" w:sz="0" w:space="0" w:color="auto"/>
                            <w:left w:val="none" w:sz="0" w:space="0" w:color="auto"/>
                            <w:bottom w:val="none" w:sz="0" w:space="0" w:color="auto"/>
                            <w:right w:val="none" w:sz="0" w:space="0" w:color="auto"/>
                          </w:divBdr>
                        </w:div>
                      </w:divsChild>
                    </w:div>
                    <w:div w:id="294141738">
                      <w:marLeft w:val="0"/>
                      <w:marRight w:val="0"/>
                      <w:marTop w:val="0"/>
                      <w:marBottom w:val="0"/>
                      <w:divBdr>
                        <w:top w:val="none" w:sz="0" w:space="0" w:color="auto"/>
                        <w:left w:val="none" w:sz="0" w:space="0" w:color="auto"/>
                        <w:bottom w:val="none" w:sz="0" w:space="0" w:color="auto"/>
                        <w:right w:val="none" w:sz="0" w:space="0" w:color="auto"/>
                      </w:divBdr>
                      <w:divsChild>
                        <w:div w:id="294143482">
                          <w:marLeft w:val="0"/>
                          <w:marRight w:val="0"/>
                          <w:marTop w:val="0"/>
                          <w:marBottom w:val="0"/>
                          <w:divBdr>
                            <w:top w:val="none" w:sz="0" w:space="0" w:color="auto"/>
                            <w:left w:val="none" w:sz="0" w:space="0" w:color="auto"/>
                            <w:bottom w:val="none" w:sz="0" w:space="0" w:color="auto"/>
                            <w:right w:val="none" w:sz="0" w:space="0" w:color="auto"/>
                          </w:divBdr>
                        </w:div>
                      </w:divsChild>
                    </w:div>
                    <w:div w:id="294141774">
                      <w:marLeft w:val="0"/>
                      <w:marRight w:val="0"/>
                      <w:marTop w:val="0"/>
                      <w:marBottom w:val="0"/>
                      <w:divBdr>
                        <w:top w:val="none" w:sz="0" w:space="0" w:color="auto"/>
                        <w:left w:val="none" w:sz="0" w:space="0" w:color="auto"/>
                        <w:bottom w:val="none" w:sz="0" w:space="0" w:color="auto"/>
                        <w:right w:val="none" w:sz="0" w:space="0" w:color="auto"/>
                      </w:divBdr>
                      <w:divsChild>
                        <w:div w:id="294154721">
                          <w:marLeft w:val="0"/>
                          <w:marRight w:val="0"/>
                          <w:marTop w:val="0"/>
                          <w:marBottom w:val="0"/>
                          <w:divBdr>
                            <w:top w:val="none" w:sz="0" w:space="0" w:color="auto"/>
                            <w:left w:val="none" w:sz="0" w:space="0" w:color="auto"/>
                            <w:bottom w:val="none" w:sz="0" w:space="0" w:color="auto"/>
                            <w:right w:val="none" w:sz="0" w:space="0" w:color="auto"/>
                          </w:divBdr>
                        </w:div>
                      </w:divsChild>
                    </w:div>
                    <w:div w:id="294141784">
                      <w:marLeft w:val="0"/>
                      <w:marRight w:val="0"/>
                      <w:marTop w:val="0"/>
                      <w:marBottom w:val="0"/>
                      <w:divBdr>
                        <w:top w:val="none" w:sz="0" w:space="0" w:color="auto"/>
                        <w:left w:val="none" w:sz="0" w:space="0" w:color="auto"/>
                        <w:bottom w:val="none" w:sz="0" w:space="0" w:color="auto"/>
                        <w:right w:val="none" w:sz="0" w:space="0" w:color="auto"/>
                      </w:divBdr>
                    </w:div>
                    <w:div w:id="294141822">
                      <w:marLeft w:val="0"/>
                      <w:marRight w:val="0"/>
                      <w:marTop w:val="0"/>
                      <w:marBottom w:val="0"/>
                      <w:divBdr>
                        <w:top w:val="none" w:sz="0" w:space="0" w:color="auto"/>
                        <w:left w:val="none" w:sz="0" w:space="0" w:color="auto"/>
                        <w:bottom w:val="none" w:sz="0" w:space="0" w:color="auto"/>
                        <w:right w:val="none" w:sz="0" w:space="0" w:color="auto"/>
                      </w:divBdr>
                    </w:div>
                    <w:div w:id="294141825">
                      <w:marLeft w:val="0"/>
                      <w:marRight w:val="0"/>
                      <w:marTop w:val="0"/>
                      <w:marBottom w:val="0"/>
                      <w:divBdr>
                        <w:top w:val="none" w:sz="0" w:space="0" w:color="auto"/>
                        <w:left w:val="none" w:sz="0" w:space="0" w:color="auto"/>
                        <w:bottom w:val="none" w:sz="0" w:space="0" w:color="auto"/>
                        <w:right w:val="none" w:sz="0" w:space="0" w:color="auto"/>
                      </w:divBdr>
                      <w:divsChild>
                        <w:div w:id="294144314">
                          <w:marLeft w:val="0"/>
                          <w:marRight w:val="0"/>
                          <w:marTop w:val="0"/>
                          <w:marBottom w:val="0"/>
                          <w:divBdr>
                            <w:top w:val="none" w:sz="0" w:space="0" w:color="auto"/>
                            <w:left w:val="none" w:sz="0" w:space="0" w:color="auto"/>
                            <w:bottom w:val="none" w:sz="0" w:space="0" w:color="auto"/>
                            <w:right w:val="none" w:sz="0" w:space="0" w:color="auto"/>
                          </w:divBdr>
                        </w:div>
                      </w:divsChild>
                    </w:div>
                    <w:div w:id="294141852">
                      <w:marLeft w:val="0"/>
                      <w:marRight w:val="0"/>
                      <w:marTop w:val="0"/>
                      <w:marBottom w:val="0"/>
                      <w:divBdr>
                        <w:top w:val="none" w:sz="0" w:space="0" w:color="auto"/>
                        <w:left w:val="none" w:sz="0" w:space="0" w:color="auto"/>
                        <w:bottom w:val="none" w:sz="0" w:space="0" w:color="auto"/>
                        <w:right w:val="none" w:sz="0" w:space="0" w:color="auto"/>
                      </w:divBdr>
                      <w:divsChild>
                        <w:div w:id="294139816">
                          <w:marLeft w:val="0"/>
                          <w:marRight w:val="0"/>
                          <w:marTop w:val="0"/>
                          <w:marBottom w:val="0"/>
                          <w:divBdr>
                            <w:top w:val="none" w:sz="0" w:space="0" w:color="auto"/>
                            <w:left w:val="none" w:sz="0" w:space="0" w:color="auto"/>
                            <w:bottom w:val="none" w:sz="0" w:space="0" w:color="auto"/>
                            <w:right w:val="none" w:sz="0" w:space="0" w:color="auto"/>
                          </w:divBdr>
                        </w:div>
                      </w:divsChild>
                    </w:div>
                    <w:div w:id="294141880">
                      <w:marLeft w:val="0"/>
                      <w:marRight w:val="0"/>
                      <w:marTop w:val="0"/>
                      <w:marBottom w:val="0"/>
                      <w:divBdr>
                        <w:top w:val="none" w:sz="0" w:space="0" w:color="auto"/>
                        <w:left w:val="none" w:sz="0" w:space="0" w:color="auto"/>
                        <w:bottom w:val="none" w:sz="0" w:space="0" w:color="auto"/>
                        <w:right w:val="none" w:sz="0" w:space="0" w:color="auto"/>
                      </w:divBdr>
                      <w:divsChild>
                        <w:div w:id="294140959">
                          <w:marLeft w:val="0"/>
                          <w:marRight w:val="0"/>
                          <w:marTop w:val="0"/>
                          <w:marBottom w:val="0"/>
                          <w:divBdr>
                            <w:top w:val="none" w:sz="0" w:space="0" w:color="auto"/>
                            <w:left w:val="none" w:sz="0" w:space="0" w:color="auto"/>
                            <w:bottom w:val="none" w:sz="0" w:space="0" w:color="auto"/>
                            <w:right w:val="none" w:sz="0" w:space="0" w:color="auto"/>
                          </w:divBdr>
                        </w:div>
                      </w:divsChild>
                    </w:div>
                    <w:div w:id="294141883">
                      <w:marLeft w:val="0"/>
                      <w:marRight w:val="0"/>
                      <w:marTop w:val="0"/>
                      <w:marBottom w:val="0"/>
                      <w:divBdr>
                        <w:top w:val="none" w:sz="0" w:space="0" w:color="auto"/>
                        <w:left w:val="none" w:sz="0" w:space="0" w:color="auto"/>
                        <w:bottom w:val="none" w:sz="0" w:space="0" w:color="auto"/>
                        <w:right w:val="none" w:sz="0" w:space="0" w:color="auto"/>
                      </w:divBdr>
                      <w:divsChild>
                        <w:div w:id="294151056">
                          <w:marLeft w:val="0"/>
                          <w:marRight w:val="0"/>
                          <w:marTop w:val="0"/>
                          <w:marBottom w:val="0"/>
                          <w:divBdr>
                            <w:top w:val="none" w:sz="0" w:space="0" w:color="auto"/>
                            <w:left w:val="none" w:sz="0" w:space="0" w:color="auto"/>
                            <w:bottom w:val="none" w:sz="0" w:space="0" w:color="auto"/>
                            <w:right w:val="none" w:sz="0" w:space="0" w:color="auto"/>
                          </w:divBdr>
                        </w:div>
                      </w:divsChild>
                    </w:div>
                    <w:div w:id="294141884">
                      <w:marLeft w:val="0"/>
                      <w:marRight w:val="0"/>
                      <w:marTop w:val="0"/>
                      <w:marBottom w:val="0"/>
                      <w:divBdr>
                        <w:top w:val="none" w:sz="0" w:space="0" w:color="auto"/>
                        <w:left w:val="none" w:sz="0" w:space="0" w:color="auto"/>
                        <w:bottom w:val="none" w:sz="0" w:space="0" w:color="auto"/>
                        <w:right w:val="none" w:sz="0" w:space="0" w:color="auto"/>
                      </w:divBdr>
                    </w:div>
                    <w:div w:id="294141947">
                      <w:marLeft w:val="0"/>
                      <w:marRight w:val="0"/>
                      <w:marTop w:val="0"/>
                      <w:marBottom w:val="0"/>
                      <w:divBdr>
                        <w:top w:val="none" w:sz="0" w:space="0" w:color="auto"/>
                        <w:left w:val="none" w:sz="0" w:space="0" w:color="auto"/>
                        <w:bottom w:val="none" w:sz="0" w:space="0" w:color="auto"/>
                        <w:right w:val="none" w:sz="0" w:space="0" w:color="auto"/>
                      </w:divBdr>
                      <w:divsChild>
                        <w:div w:id="294139811">
                          <w:marLeft w:val="0"/>
                          <w:marRight w:val="0"/>
                          <w:marTop w:val="0"/>
                          <w:marBottom w:val="0"/>
                          <w:divBdr>
                            <w:top w:val="none" w:sz="0" w:space="0" w:color="auto"/>
                            <w:left w:val="none" w:sz="0" w:space="0" w:color="auto"/>
                            <w:bottom w:val="none" w:sz="0" w:space="0" w:color="auto"/>
                            <w:right w:val="none" w:sz="0" w:space="0" w:color="auto"/>
                          </w:divBdr>
                        </w:div>
                      </w:divsChild>
                    </w:div>
                    <w:div w:id="294141957">
                      <w:marLeft w:val="0"/>
                      <w:marRight w:val="0"/>
                      <w:marTop w:val="0"/>
                      <w:marBottom w:val="0"/>
                      <w:divBdr>
                        <w:top w:val="none" w:sz="0" w:space="0" w:color="auto"/>
                        <w:left w:val="none" w:sz="0" w:space="0" w:color="auto"/>
                        <w:bottom w:val="none" w:sz="0" w:space="0" w:color="auto"/>
                        <w:right w:val="none" w:sz="0" w:space="0" w:color="auto"/>
                      </w:divBdr>
                    </w:div>
                    <w:div w:id="294141994">
                      <w:marLeft w:val="0"/>
                      <w:marRight w:val="0"/>
                      <w:marTop w:val="0"/>
                      <w:marBottom w:val="0"/>
                      <w:divBdr>
                        <w:top w:val="none" w:sz="0" w:space="0" w:color="auto"/>
                        <w:left w:val="none" w:sz="0" w:space="0" w:color="auto"/>
                        <w:bottom w:val="none" w:sz="0" w:space="0" w:color="auto"/>
                        <w:right w:val="none" w:sz="0" w:space="0" w:color="auto"/>
                      </w:divBdr>
                      <w:divsChild>
                        <w:div w:id="294150664">
                          <w:marLeft w:val="0"/>
                          <w:marRight w:val="0"/>
                          <w:marTop w:val="0"/>
                          <w:marBottom w:val="0"/>
                          <w:divBdr>
                            <w:top w:val="none" w:sz="0" w:space="0" w:color="auto"/>
                            <w:left w:val="none" w:sz="0" w:space="0" w:color="auto"/>
                            <w:bottom w:val="none" w:sz="0" w:space="0" w:color="auto"/>
                            <w:right w:val="none" w:sz="0" w:space="0" w:color="auto"/>
                          </w:divBdr>
                        </w:div>
                      </w:divsChild>
                    </w:div>
                    <w:div w:id="294142016">
                      <w:marLeft w:val="0"/>
                      <w:marRight w:val="0"/>
                      <w:marTop w:val="0"/>
                      <w:marBottom w:val="0"/>
                      <w:divBdr>
                        <w:top w:val="none" w:sz="0" w:space="0" w:color="auto"/>
                        <w:left w:val="none" w:sz="0" w:space="0" w:color="auto"/>
                        <w:bottom w:val="none" w:sz="0" w:space="0" w:color="auto"/>
                        <w:right w:val="none" w:sz="0" w:space="0" w:color="auto"/>
                      </w:divBdr>
                      <w:divsChild>
                        <w:div w:id="294142777">
                          <w:marLeft w:val="0"/>
                          <w:marRight w:val="0"/>
                          <w:marTop w:val="0"/>
                          <w:marBottom w:val="0"/>
                          <w:divBdr>
                            <w:top w:val="none" w:sz="0" w:space="0" w:color="auto"/>
                            <w:left w:val="none" w:sz="0" w:space="0" w:color="auto"/>
                            <w:bottom w:val="none" w:sz="0" w:space="0" w:color="auto"/>
                            <w:right w:val="none" w:sz="0" w:space="0" w:color="auto"/>
                          </w:divBdr>
                        </w:div>
                      </w:divsChild>
                    </w:div>
                    <w:div w:id="294142024">
                      <w:marLeft w:val="0"/>
                      <w:marRight w:val="0"/>
                      <w:marTop w:val="0"/>
                      <w:marBottom w:val="0"/>
                      <w:divBdr>
                        <w:top w:val="none" w:sz="0" w:space="0" w:color="auto"/>
                        <w:left w:val="none" w:sz="0" w:space="0" w:color="auto"/>
                        <w:bottom w:val="none" w:sz="0" w:space="0" w:color="auto"/>
                        <w:right w:val="none" w:sz="0" w:space="0" w:color="auto"/>
                      </w:divBdr>
                      <w:divsChild>
                        <w:div w:id="294138259">
                          <w:marLeft w:val="0"/>
                          <w:marRight w:val="0"/>
                          <w:marTop w:val="0"/>
                          <w:marBottom w:val="0"/>
                          <w:divBdr>
                            <w:top w:val="none" w:sz="0" w:space="0" w:color="auto"/>
                            <w:left w:val="none" w:sz="0" w:space="0" w:color="auto"/>
                            <w:bottom w:val="none" w:sz="0" w:space="0" w:color="auto"/>
                            <w:right w:val="none" w:sz="0" w:space="0" w:color="auto"/>
                          </w:divBdr>
                        </w:div>
                      </w:divsChild>
                    </w:div>
                    <w:div w:id="294142026">
                      <w:marLeft w:val="0"/>
                      <w:marRight w:val="0"/>
                      <w:marTop w:val="0"/>
                      <w:marBottom w:val="0"/>
                      <w:divBdr>
                        <w:top w:val="none" w:sz="0" w:space="0" w:color="auto"/>
                        <w:left w:val="none" w:sz="0" w:space="0" w:color="auto"/>
                        <w:bottom w:val="none" w:sz="0" w:space="0" w:color="auto"/>
                        <w:right w:val="none" w:sz="0" w:space="0" w:color="auto"/>
                      </w:divBdr>
                    </w:div>
                    <w:div w:id="294142049">
                      <w:marLeft w:val="0"/>
                      <w:marRight w:val="0"/>
                      <w:marTop w:val="0"/>
                      <w:marBottom w:val="0"/>
                      <w:divBdr>
                        <w:top w:val="none" w:sz="0" w:space="0" w:color="auto"/>
                        <w:left w:val="none" w:sz="0" w:space="0" w:color="auto"/>
                        <w:bottom w:val="none" w:sz="0" w:space="0" w:color="auto"/>
                        <w:right w:val="none" w:sz="0" w:space="0" w:color="auto"/>
                      </w:divBdr>
                      <w:divsChild>
                        <w:div w:id="294139660">
                          <w:marLeft w:val="0"/>
                          <w:marRight w:val="0"/>
                          <w:marTop w:val="0"/>
                          <w:marBottom w:val="0"/>
                          <w:divBdr>
                            <w:top w:val="none" w:sz="0" w:space="0" w:color="auto"/>
                            <w:left w:val="none" w:sz="0" w:space="0" w:color="auto"/>
                            <w:bottom w:val="none" w:sz="0" w:space="0" w:color="auto"/>
                            <w:right w:val="none" w:sz="0" w:space="0" w:color="auto"/>
                          </w:divBdr>
                        </w:div>
                      </w:divsChild>
                    </w:div>
                    <w:div w:id="294142052">
                      <w:marLeft w:val="0"/>
                      <w:marRight w:val="0"/>
                      <w:marTop w:val="0"/>
                      <w:marBottom w:val="0"/>
                      <w:divBdr>
                        <w:top w:val="none" w:sz="0" w:space="0" w:color="auto"/>
                        <w:left w:val="none" w:sz="0" w:space="0" w:color="auto"/>
                        <w:bottom w:val="none" w:sz="0" w:space="0" w:color="auto"/>
                        <w:right w:val="none" w:sz="0" w:space="0" w:color="auto"/>
                      </w:divBdr>
                      <w:divsChild>
                        <w:div w:id="294146406">
                          <w:marLeft w:val="0"/>
                          <w:marRight w:val="0"/>
                          <w:marTop w:val="0"/>
                          <w:marBottom w:val="0"/>
                          <w:divBdr>
                            <w:top w:val="none" w:sz="0" w:space="0" w:color="auto"/>
                            <w:left w:val="none" w:sz="0" w:space="0" w:color="auto"/>
                            <w:bottom w:val="none" w:sz="0" w:space="0" w:color="auto"/>
                            <w:right w:val="none" w:sz="0" w:space="0" w:color="auto"/>
                          </w:divBdr>
                        </w:div>
                      </w:divsChild>
                    </w:div>
                    <w:div w:id="294142079">
                      <w:marLeft w:val="0"/>
                      <w:marRight w:val="0"/>
                      <w:marTop w:val="0"/>
                      <w:marBottom w:val="0"/>
                      <w:divBdr>
                        <w:top w:val="none" w:sz="0" w:space="0" w:color="auto"/>
                        <w:left w:val="none" w:sz="0" w:space="0" w:color="auto"/>
                        <w:bottom w:val="none" w:sz="0" w:space="0" w:color="auto"/>
                        <w:right w:val="none" w:sz="0" w:space="0" w:color="auto"/>
                      </w:divBdr>
                      <w:divsChild>
                        <w:div w:id="294140333">
                          <w:marLeft w:val="0"/>
                          <w:marRight w:val="0"/>
                          <w:marTop w:val="0"/>
                          <w:marBottom w:val="0"/>
                          <w:divBdr>
                            <w:top w:val="none" w:sz="0" w:space="0" w:color="auto"/>
                            <w:left w:val="none" w:sz="0" w:space="0" w:color="auto"/>
                            <w:bottom w:val="none" w:sz="0" w:space="0" w:color="auto"/>
                            <w:right w:val="none" w:sz="0" w:space="0" w:color="auto"/>
                          </w:divBdr>
                        </w:div>
                      </w:divsChild>
                    </w:div>
                    <w:div w:id="294142095">
                      <w:marLeft w:val="0"/>
                      <w:marRight w:val="0"/>
                      <w:marTop w:val="0"/>
                      <w:marBottom w:val="0"/>
                      <w:divBdr>
                        <w:top w:val="none" w:sz="0" w:space="0" w:color="auto"/>
                        <w:left w:val="none" w:sz="0" w:space="0" w:color="auto"/>
                        <w:bottom w:val="none" w:sz="0" w:space="0" w:color="auto"/>
                        <w:right w:val="none" w:sz="0" w:space="0" w:color="auto"/>
                      </w:divBdr>
                      <w:divsChild>
                        <w:div w:id="294147426">
                          <w:marLeft w:val="0"/>
                          <w:marRight w:val="0"/>
                          <w:marTop w:val="0"/>
                          <w:marBottom w:val="0"/>
                          <w:divBdr>
                            <w:top w:val="none" w:sz="0" w:space="0" w:color="auto"/>
                            <w:left w:val="none" w:sz="0" w:space="0" w:color="auto"/>
                            <w:bottom w:val="none" w:sz="0" w:space="0" w:color="auto"/>
                            <w:right w:val="none" w:sz="0" w:space="0" w:color="auto"/>
                          </w:divBdr>
                        </w:div>
                      </w:divsChild>
                    </w:div>
                    <w:div w:id="294142099">
                      <w:marLeft w:val="0"/>
                      <w:marRight w:val="0"/>
                      <w:marTop w:val="0"/>
                      <w:marBottom w:val="0"/>
                      <w:divBdr>
                        <w:top w:val="none" w:sz="0" w:space="0" w:color="auto"/>
                        <w:left w:val="none" w:sz="0" w:space="0" w:color="auto"/>
                        <w:bottom w:val="none" w:sz="0" w:space="0" w:color="auto"/>
                        <w:right w:val="none" w:sz="0" w:space="0" w:color="auto"/>
                      </w:divBdr>
                    </w:div>
                    <w:div w:id="294142104">
                      <w:marLeft w:val="0"/>
                      <w:marRight w:val="0"/>
                      <w:marTop w:val="0"/>
                      <w:marBottom w:val="0"/>
                      <w:divBdr>
                        <w:top w:val="none" w:sz="0" w:space="0" w:color="auto"/>
                        <w:left w:val="none" w:sz="0" w:space="0" w:color="auto"/>
                        <w:bottom w:val="none" w:sz="0" w:space="0" w:color="auto"/>
                        <w:right w:val="none" w:sz="0" w:space="0" w:color="auto"/>
                      </w:divBdr>
                      <w:divsChild>
                        <w:div w:id="294151019">
                          <w:marLeft w:val="0"/>
                          <w:marRight w:val="0"/>
                          <w:marTop w:val="0"/>
                          <w:marBottom w:val="0"/>
                          <w:divBdr>
                            <w:top w:val="none" w:sz="0" w:space="0" w:color="auto"/>
                            <w:left w:val="none" w:sz="0" w:space="0" w:color="auto"/>
                            <w:bottom w:val="none" w:sz="0" w:space="0" w:color="auto"/>
                            <w:right w:val="none" w:sz="0" w:space="0" w:color="auto"/>
                          </w:divBdr>
                        </w:div>
                      </w:divsChild>
                    </w:div>
                    <w:div w:id="294142150">
                      <w:marLeft w:val="0"/>
                      <w:marRight w:val="0"/>
                      <w:marTop w:val="0"/>
                      <w:marBottom w:val="0"/>
                      <w:divBdr>
                        <w:top w:val="none" w:sz="0" w:space="0" w:color="auto"/>
                        <w:left w:val="none" w:sz="0" w:space="0" w:color="auto"/>
                        <w:bottom w:val="none" w:sz="0" w:space="0" w:color="auto"/>
                        <w:right w:val="none" w:sz="0" w:space="0" w:color="auto"/>
                      </w:divBdr>
                      <w:divsChild>
                        <w:div w:id="294155731">
                          <w:marLeft w:val="0"/>
                          <w:marRight w:val="0"/>
                          <w:marTop w:val="0"/>
                          <w:marBottom w:val="0"/>
                          <w:divBdr>
                            <w:top w:val="none" w:sz="0" w:space="0" w:color="auto"/>
                            <w:left w:val="none" w:sz="0" w:space="0" w:color="auto"/>
                            <w:bottom w:val="none" w:sz="0" w:space="0" w:color="auto"/>
                            <w:right w:val="none" w:sz="0" w:space="0" w:color="auto"/>
                          </w:divBdr>
                        </w:div>
                      </w:divsChild>
                    </w:div>
                    <w:div w:id="294142195">
                      <w:marLeft w:val="0"/>
                      <w:marRight w:val="0"/>
                      <w:marTop w:val="0"/>
                      <w:marBottom w:val="0"/>
                      <w:divBdr>
                        <w:top w:val="none" w:sz="0" w:space="0" w:color="auto"/>
                        <w:left w:val="none" w:sz="0" w:space="0" w:color="auto"/>
                        <w:bottom w:val="none" w:sz="0" w:space="0" w:color="auto"/>
                        <w:right w:val="none" w:sz="0" w:space="0" w:color="auto"/>
                      </w:divBdr>
                      <w:divsChild>
                        <w:div w:id="294153799">
                          <w:marLeft w:val="0"/>
                          <w:marRight w:val="0"/>
                          <w:marTop w:val="0"/>
                          <w:marBottom w:val="0"/>
                          <w:divBdr>
                            <w:top w:val="none" w:sz="0" w:space="0" w:color="auto"/>
                            <w:left w:val="none" w:sz="0" w:space="0" w:color="auto"/>
                            <w:bottom w:val="none" w:sz="0" w:space="0" w:color="auto"/>
                            <w:right w:val="none" w:sz="0" w:space="0" w:color="auto"/>
                          </w:divBdr>
                        </w:div>
                      </w:divsChild>
                    </w:div>
                    <w:div w:id="294142228">
                      <w:marLeft w:val="0"/>
                      <w:marRight w:val="0"/>
                      <w:marTop w:val="0"/>
                      <w:marBottom w:val="0"/>
                      <w:divBdr>
                        <w:top w:val="none" w:sz="0" w:space="0" w:color="auto"/>
                        <w:left w:val="none" w:sz="0" w:space="0" w:color="auto"/>
                        <w:bottom w:val="none" w:sz="0" w:space="0" w:color="auto"/>
                        <w:right w:val="none" w:sz="0" w:space="0" w:color="auto"/>
                      </w:divBdr>
                    </w:div>
                    <w:div w:id="294142234">
                      <w:marLeft w:val="0"/>
                      <w:marRight w:val="0"/>
                      <w:marTop w:val="0"/>
                      <w:marBottom w:val="0"/>
                      <w:divBdr>
                        <w:top w:val="none" w:sz="0" w:space="0" w:color="auto"/>
                        <w:left w:val="none" w:sz="0" w:space="0" w:color="auto"/>
                        <w:bottom w:val="none" w:sz="0" w:space="0" w:color="auto"/>
                        <w:right w:val="none" w:sz="0" w:space="0" w:color="auto"/>
                      </w:divBdr>
                      <w:divsChild>
                        <w:div w:id="294150629">
                          <w:marLeft w:val="0"/>
                          <w:marRight w:val="0"/>
                          <w:marTop w:val="0"/>
                          <w:marBottom w:val="0"/>
                          <w:divBdr>
                            <w:top w:val="none" w:sz="0" w:space="0" w:color="auto"/>
                            <w:left w:val="none" w:sz="0" w:space="0" w:color="auto"/>
                            <w:bottom w:val="none" w:sz="0" w:space="0" w:color="auto"/>
                            <w:right w:val="none" w:sz="0" w:space="0" w:color="auto"/>
                          </w:divBdr>
                        </w:div>
                      </w:divsChild>
                    </w:div>
                    <w:div w:id="294142237">
                      <w:marLeft w:val="0"/>
                      <w:marRight w:val="0"/>
                      <w:marTop w:val="0"/>
                      <w:marBottom w:val="0"/>
                      <w:divBdr>
                        <w:top w:val="none" w:sz="0" w:space="0" w:color="auto"/>
                        <w:left w:val="none" w:sz="0" w:space="0" w:color="auto"/>
                        <w:bottom w:val="none" w:sz="0" w:space="0" w:color="auto"/>
                        <w:right w:val="none" w:sz="0" w:space="0" w:color="auto"/>
                      </w:divBdr>
                      <w:divsChild>
                        <w:div w:id="294139177">
                          <w:marLeft w:val="0"/>
                          <w:marRight w:val="0"/>
                          <w:marTop w:val="0"/>
                          <w:marBottom w:val="0"/>
                          <w:divBdr>
                            <w:top w:val="none" w:sz="0" w:space="0" w:color="auto"/>
                            <w:left w:val="none" w:sz="0" w:space="0" w:color="auto"/>
                            <w:bottom w:val="none" w:sz="0" w:space="0" w:color="auto"/>
                            <w:right w:val="none" w:sz="0" w:space="0" w:color="auto"/>
                          </w:divBdr>
                        </w:div>
                      </w:divsChild>
                    </w:div>
                    <w:div w:id="294142253">
                      <w:marLeft w:val="0"/>
                      <w:marRight w:val="0"/>
                      <w:marTop w:val="0"/>
                      <w:marBottom w:val="0"/>
                      <w:divBdr>
                        <w:top w:val="none" w:sz="0" w:space="0" w:color="auto"/>
                        <w:left w:val="none" w:sz="0" w:space="0" w:color="auto"/>
                        <w:bottom w:val="none" w:sz="0" w:space="0" w:color="auto"/>
                        <w:right w:val="none" w:sz="0" w:space="0" w:color="auto"/>
                      </w:divBdr>
                    </w:div>
                    <w:div w:id="294142260">
                      <w:marLeft w:val="0"/>
                      <w:marRight w:val="0"/>
                      <w:marTop w:val="0"/>
                      <w:marBottom w:val="0"/>
                      <w:divBdr>
                        <w:top w:val="none" w:sz="0" w:space="0" w:color="auto"/>
                        <w:left w:val="none" w:sz="0" w:space="0" w:color="auto"/>
                        <w:bottom w:val="none" w:sz="0" w:space="0" w:color="auto"/>
                        <w:right w:val="none" w:sz="0" w:space="0" w:color="auto"/>
                      </w:divBdr>
                    </w:div>
                    <w:div w:id="294142269">
                      <w:marLeft w:val="0"/>
                      <w:marRight w:val="0"/>
                      <w:marTop w:val="0"/>
                      <w:marBottom w:val="0"/>
                      <w:divBdr>
                        <w:top w:val="none" w:sz="0" w:space="0" w:color="auto"/>
                        <w:left w:val="none" w:sz="0" w:space="0" w:color="auto"/>
                        <w:bottom w:val="none" w:sz="0" w:space="0" w:color="auto"/>
                        <w:right w:val="none" w:sz="0" w:space="0" w:color="auto"/>
                      </w:divBdr>
                    </w:div>
                    <w:div w:id="294142289">
                      <w:marLeft w:val="0"/>
                      <w:marRight w:val="0"/>
                      <w:marTop w:val="0"/>
                      <w:marBottom w:val="0"/>
                      <w:divBdr>
                        <w:top w:val="none" w:sz="0" w:space="0" w:color="auto"/>
                        <w:left w:val="none" w:sz="0" w:space="0" w:color="auto"/>
                        <w:bottom w:val="none" w:sz="0" w:space="0" w:color="auto"/>
                        <w:right w:val="none" w:sz="0" w:space="0" w:color="auto"/>
                      </w:divBdr>
                      <w:divsChild>
                        <w:div w:id="294153096">
                          <w:marLeft w:val="0"/>
                          <w:marRight w:val="0"/>
                          <w:marTop w:val="0"/>
                          <w:marBottom w:val="0"/>
                          <w:divBdr>
                            <w:top w:val="none" w:sz="0" w:space="0" w:color="auto"/>
                            <w:left w:val="none" w:sz="0" w:space="0" w:color="auto"/>
                            <w:bottom w:val="none" w:sz="0" w:space="0" w:color="auto"/>
                            <w:right w:val="none" w:sz="0" w:space="0" w:color="auto"/>
                          </w:divBdr>
                        </w:div>
                      </w:divsChild>
                    </w:div>
                    <w:div w:id="294142307">
                      <w:marLeft w:val="0"/>
                      <w:marRight w:val="0"/>
                      <w:marTop w:val="0"/>
                      <w:marBottom w:val="0"/>
                      <w:divBdr>
                        <w:top w:val="none" w:sz="0" w:space="0" w:color="auto"/>
                        <w:left w:val="none" w:sz="0" w:space="0" w:color="auto"/>
                        <w:bottom w:val="none" w:sz="0" w:space="0" w:color="auto"/>
                        <w:right w:val="none" w:sz="0" w:space="0" w:color="auto"/>
                      </w:divBdr>
                      <w:divsChild>
                        <w:div w:id="294144295">
                          <w:marLeft w:val="0"/>
                          <w:marRight w:val="0"/>
                          <w:marTop w:val="0"/>
                          <w:marBottom w:val="0"/>
                          <w:divBdr>
                            <w:top w:val="none" w:sz="0" w:space="0" w:color="auto"/>
                            <w:left w:val="none" w:sz="0" w:space="0" w:color="auto"/>
                            <w:bottom w:val="none" w:sz="0" w:space="0" w:color="auto"/>
                            <w:right w:val="none" w:sz="0" w:space="0" w:color="auto"/>
                          </w:divBdr>
                        </w:div>
                      </w:divsChild>
                    </w:div>
                    <w:div w:id="294142315">
                      <w:marLeft w:val="0"/>
                      <w:marRight w:val="0"/>
                      <w:marTop w:val="0"/>
                      <w:marBottom w:val="0"/>
                      <w:divBdr>
                        <w:top w:val="none" w:sz="0" w:space="0" w:color="auto"/>
                        <w:left w:val="none" w:sz="0" w:space="0" w:color="auto"/>
                        <w:bottom w:val="none" w:sz="0" w:space="0" w:color="auto"/>
                        <w:right w:val="none" w:sz="0" w:space="0" w:color="auto"/>
                      </w:divBdr>
                      <w:divsChild>
                        <w:div w:id="294141958">
                          <w:marLeft w:val="0"/>
                          <w:marRight w:val="0"/>
                          <w:marTop w:val="0"/>
                          <w:marBottom w:val="0"/>
                          <w:divBdr>
                            <w:top w:val="none" w:sz="0" w:space="0" w:color="auto"/>
                            <w:left w:val="none" w:sz="0" w:space="0" w:color="auto"/>
                            <w:bottom w:val="none" w:sz="0" w:space="0" w:color="auto"/>
                            <w:right w:val="none" w:sz="0" w:space="0" w:color="auto"/>
                          </w:divBdr>
                        </w:div>
                      </w:divsChild>
                    </w:div>
                    <w:div w:id="294142318">
                      <w:marLeft w:val="0"/>
                      <w:marRight w:val="0"/>
                      <w:marTop w:val="0"/>
                      <w:marBottom w:val="0"/>
                      <w:divBdr>
                        <w:top w:val="none" w:sz="0" w:space="0" w:color="auto"/>
                        <w:left w:val="none" w:sz="0" w:space="0" w:color="auto"/>
                        <w:bottom w:val="none" w:sz="0" w:space="0" w:color="auto"/>
                        <w:right w:val="none" w:sz="0" w:space="0" w:color="auto"/>
                      </w:divBdr>
                    </w:div>
                    <w:div w:id="294142358">
                      <w:marLeft w:val="0"/>
                      <w:marRight w:val="0"/>
                      <w:marTop w:val="0"/>
                      <w:marBottom w:val="0"/>
                      <w:divBdr>
                        <w:top w:val="none" w:sz="0" w:space="0" w:color="auto"/>
                        <w:left w:val="none" w:sz="0" w:space="0" w:color="auto"/>
                        <w:bottom w:val="none" w:sz="0" w:space="0" w:color="auto"/>
                        <w:right w:val="none" w:sz="0" w:space="0" w:color="auto"/>
                      </w:divBdr>
                    </w:div>
                    <w:div w:id="294142359">
                      <w:marLeft w:val="0"/>
                      <w:marRight w:val="0"/>
                      <w:marTop w:val="0"/>
                      <w:marBottom w:val="0"/>
                      <w:divBdr>
                        <w:top w:val="none" w:sz="0" w:space="0" w:color="auto"/>
                        <w:left w:val="none" w:sz="0" w:space="0" w:color="auto"/>
                        <w:bottom w:val="none" w:sz="0" w:space="0" w:color="auto"/>
                        <w:right w:val="none" w:sz="0" w:space="0" w:color="auto"/>
                      </w:divBdr>
                      <w:divsChild>
                        <w:div w:id="294139279">
                          <w:marLeft w:val="0"/>
                          <w:marRight w:val="0"/>
                          <w:marTop w:val="0"/>
                          <w:marBottom w:val="0"/>
                          <w:divBdr>
                            <w:top w:val="none" w:sz="0" w:space="0" w:color="auto"/>
                            <w:left w:val="none" w:sz="0" w:space="0" w:color="auto"/>
                            <w:bottom w:val="none" w:sz="0" w:space="0" w:color="auto"/>
                            <w:right w:val="none" w:sz="0" w:space="0" w:color="auto"/>
                          </w:divBdr>
                        </w:div>
                      </w:divsChild>
                    </w:div>
                    <w:div w:id="294142362">
                      <w:marLeft w:val="0"/>
                      <w:marRight w:val="0"/>
                      <w:marTop w:val="0"/>
                      <w:marBottom w:val="0"/>
                      <w:divBdr>
                        <w:top w:val="none" w:sz="0" w:space="0" w:color="auto"/>
                        <w:left w:val="none" w:sz="0" w:space="0" w:color="auto"/>
                        <w:bottom w:val="none" w:sz="0" w:space="0" w:color="auto"/>
                        <w:right w:val="none" w:sz="0" w:space="0" w:color="auto"/>
                      </w:divBdr>
                      <w:divsChild>
                        <w:div w:id="294140515">
                          <w:marLeft w:val="0"/>
                          <w:marRight w:val="0"/>
                          <w:marTop w:val="0"/>
                          <w:marBottom w:val="0"/>
                          <w:divBdr>
                            <w:top w:val="none" w:sz="0" w:space="0" w:color="auto"/>
                            <w:left w:val="none" w:sz="0" w:space="0" w:color="auto"/>
                            <w:bottom w:val="none" w:sz="0" w:space="0" w:color="auto"/>
                            <w:right w:val="none" w:sz="0" w:space="0" w:color="auto"/>
                          </w:divBdr>
                        </w:div>
                      </w:divsChild>
                    </w:div>
                    <w:div w:id="294142363">
                      <w:marLeft w:val="0"/>
                      <w:marRight w:val="0"/>
                      <w:marTop w:val="0"/>
                      <w:marBottom w:val="0"/>
                      <w:divBdr>
                        <w:top w:val="none" w:sz="0" w:space="0" w:color="auto"/>
                        <w:left w:val="none" w:sz="0" w:space="0" w:color="auto"/>
                        <w:bottom w:val="none" w:sz="0" w:space="0" w:color="auto"/>
                        <w:right w:val="none" w:sz="0" w:space="0" w:color="auto"/>
                      </w:divBdr>
                      <w:divsChild>
                        <w:div w:id="294153282">
                          <w:marLeft w:val="0"/>
                          <w:marRight w:val="0"/>
                          <w:marTop w:val="0"/>
                          <w:marBottom w:val="0"/>
                          <w:divBdr>
                            <w:top w:val="none" w:sz="0" w:space="0" w:color="auto"/>
                            <w:left w:val="none" w:sz="0" w:space="0" w:color="auto"/>
                            <w:bottom w:val="none" w:sz="0" w:space="0" w:color="auto"/>
                            <w:right w:val="none" w:sz="0" w:space="0" w:color="auto"/>
                          </w:divBdr>
                        </w:div>
                      </w:divsChild>
                    </w:div>
                    <w:div w:id="294142372">
                      <w:marLeft w:val="0"/>
                      <w:marRight w:val="0"/>
                      <w:marTop w:val="0"/>
                      <w:marBottom w:val="0"/>
                      <w:divBdr>
                        <w:top w:val="none" w:sz="0" w:space="0" w:color="auto"/>
                        <w:left w:val="none" w:sz="0" w:space="0" w:color="auto"/>
                        <w:bottom w:val="none" w:sz="0" w:space="0" w:color="auto"/>
                        <w:right w:val="none" w:sz="0" w:space="0" w:color="auto"/>
                      </w:divBdr>
                    </w:div>
                    <w:div w:id="294142382">
                      <w:marLeft w:val="0"/>
                      <w:marRight w:val="0"/>
                      <w:marTop w:val="0"/>
                      <w:marBottom w:val="0"/>
                      <w:divBdr>
                        <w:top w:val="none" w:sz="0" w:space="0" w:color="auto"/>
                        <w:left w:val="none" w:sz="0" w:space="0" w:color="auto"/>
                        <w:bottom w:val="none" w:sz="0" w:space="0" w:color="auto"/>
                        <w:right w:val="none" w:sz="0" w:space="0" w:color="auto"/>
                      </w:divBdr>
                      <w:divsChild>
                        <w:div w:id="294142793">
                          <w:marLeft w:val="0"/>
                          <w:marRight w:val="0"/>
                          <w:marTop w:val="0"/>
                          <w:marBottom w:val="0"/>
                          <w:divBdr>
                            <w:top w:val="none" w:sz="0" w:space="0" w:color="auto"/>
                            <w:left w:val="none" w:sz="0" w:space="0" w:color="auto"/>
                            <w:bottom w:val="none" w:sz="0" w:space="0" w:color="auto"/>
                            <w:right w:val="none" w:sz="0" w:space="0" w:color="auto"/>
                          </w:divBdr>
                        </w:div>
                      </w:divsChild>
                    </w:div>
                    <w:div w:id="294142408">
                      <w:marLeft w:val="0"/>
                      <w:marRight w:val="0"/>
                      <w:marTop w:val="0"/>
                      <w:marBottom w:val="0"/>
                      <w:divBdr>
                        <w:top w:val="none" w:sz="0" w:space="0" w:color="auto"/>
                        <w:left w:val="none" w:sz="0" w:space="0" w:color="auto"/>
                        <w:bottom w:val="none" w:sz="0" w:space="0" w:color="auto"/>
                        <w:right w:val="none" w:sz="0" w:space="0" w:color="auto"/>
                      </w:divBdr>
                      <w:divsChild>
                        <w:div w:id="294140133">
                          <w:marLeft w:val="0"/>
                          <w:marRight w:val="0"/>
                          <w:marTop w:val="0"/>
                          <w:marBottom w:val="0"/>
                          <w:divBdr>
                            <w:top w:val="none" w:sz="0" w:space="0" w:color="auto"/>
                            <w:left w:val="none" w:sz="0" w:space="0" w:color="auto"/>
                            <w:bottom w:val="none" w:sz="0" w:space="0" w:color="auto"/>
                            <w:right w:val="none" w:sz="0" w:space="0" w:color="auto"/>
                          </w:divBdr>
                        </w:div>
                      </w:divsChild>
                    </w:div>
                    <w:div w:id="294142414">
                      <w:marLeft w:val="0"/>
                      <w:marRight w:val="0"/>
                      <w:marTop w:val="0"/>
                      <w:marBottom w:val="0"/>
                      <w:divBdr>
                        <w:top w:val="none" w:sz="0" w:space="0" w:color="auto"/>
                        <w:left w:val="none" w:sz="0" w:space="0" w:color="auto"/>
                        <w:bottom w:val="none" w:sz="0" w:space="0" w:color="auto"/>
                        <w:right w:val="none" w:sz="0" w:space="0" w:color="auto"/>
                      </w:divBdr>
                      <w:divsChild>
                        <w:div w:id="294150412">
                          <w:marLeft w:val="0"/>
                          <w:marRight w:val="0"/>
                          <w:marTop w:val="0"/>
                          <w:marBottom w:val="0"/>
                          <w:divBdr>
                            <w:top w:val="none" w:sz="0" w:space="0" w:color="auto"/>
                            <w:left w:val="none" w:sz="0" w:space="0" w:color="auto"/>
                            <w:bottom w:val="none" w:sz="0" w:space="0" w:color="auto"/>
                            <w:right w:val="none" w:sz="0" w:space="0" w:color="auto"/>
                          </w:divBdr>
                        </w:div>
                      </w:divsChild>
                    </w:div>
                    <w:div w:id="294142441">
                      <w:marLeft w:val="0"/>
                      <w:marRight w:val="0"/>
                      <w:marTop w:val="0"/>
                      <w:marBottom w:val="0"/>
                      <w:divBdr>
                        <w:top w:val="none" w:sz="0" w:space="0" w:color="auto"/>
                        <w:left w:val="none" w:sz="0" w:space="0" w:color="auto"/>
                        <w:bottom w:val="none" w:sz="0" w:space="0" w:color="auto"/>
                        <w:right w:val="none" w:sz="0" w:space="0" w:color="auto"/>
                      </w:divBdr>
                    </w:div>
                    <w:div w:id="294142465">
                      <w:marLeft w:val="0"/>
                      <w:marRight w:val="0"/>
                      <w:marTop w:val="0"/>
                      <w:marBottom w:val="0"/>
                      <w:divBdr>
                        <w:top w:val="none" w:sz="0" w:space="0" w:color="auto"/>
                        <w:left w:val="none" w:sz="0" w:space="0" w:color="auto"/>
                        <w:bottom w:val="none" w:sz="0" w:space="0" w:color="auto"/>
                        <w:right w:val="none" w:sz="0" w:space="0" w:color="auto"/>
                      </w:divBdr>
                      <w:divsChild>
                        <w:div w:id="294147266">
                          <w:marLeft w:val="0"/>
                          <w:marRight w:val="0"/>
                          <w:marTop w:val="0"/>
                          <w:marBottom w:val="0"/>
                          <w:divBdr>
                            <w:top w:val="none" w:sz="0" w:space="0" w:color="auto"/>
                            <w:left w:val="none" w:sz="0" w:space="0" w:color="auto"/>
                            <w:bottom w:val="none" w:sz="0" w:space="0" w:color="auto"/>
                            <w:right w:val="none" w:sz="0" w:space="0" w:color="auto"/>
                          </w:divBdr>
                        </w:div>
                      </w:divsChild>
                    </w:div>
                    <w:div w:id="294142496">
                      <w:marLeft w:val="0"/>
                      <w:marRight w:val="0"/>
                      <w:marTop w:val="0"/>
                      <w:marBottom w:val="0"/>
                      <w:divBdr>
                        <w:top w:val="none" w:sz="0" w:space="0" w:color="auto"/>
                        <w:left w:val="none" w:sz="0" w:space="0" w:color="auto"/>
                        <w:bottom w:val="none" w:sz="0" w:space="0" w:color="auto"/>
                        <w:right w:val="none" w:sz="0" w:space="0" w:color="auto"/>
                      </w:divBdr>
                    </w:div>
                    <w:div w:id="294142534">
                      <w:marLeft w:val="0"/>
                      <w:marRight w:val="0"/>
                      <w:marTop w:val="0"/>
                      <w:marBottom w:val="0"/>
                      <w:divBdr>
                        <w:top w:val="none" w:sz="0" w:space="0" w:color="auto"/>
                        <w:left w:val="none" w:sz="0" w:space="0" w:color="auto"/>
                        <w:bottom w:val="none" w:sz="0" w:space="0" w:color="auto"/>
                        <w:right w:val="none" w:sz="0" w:space="0" w:color="auto"/>
                      </w:divBdr>
                      <w:divsChild>
                        <w:div w:id="294140584">
                          <w:marLeft w:val="0"/>
                          <w:marRight w:val="0"/>
                          <w:marTop w:val="0"/>
                          <w:marBottom w:val="0"/>
                          <w:divBdr>
                            <w:top w:val="none" w:sz="0" w:space="0" w:color="auto"/>
                            <w:left w:val="none" w:sz="0" w:space="0" w:color="auto"/>
                            <w:bottom w:val="none" w:sz="0" w:space="0" w:color="auto"/>
                            <w:right w:val="none" w:sz="0" w:space="0" w:color="auto"/>
                          </w:divBdr>
                        </w:div>
                      </w:divsChild>
                    </w:div>
                    <w:div w:id="294142547">
                      <w:marLeft w:val="0"/>
                      <w:marRight w:val="0"/>
                      <w:marTop w:val="0"/>
                      <w:marBottom w:val="0"/>
                      <w:divBdr>
                        <w:top w:val="none" w:sz="0" w:space="0" w:color="auto"/>
                        <w:left w:val="none" w:sz="0" w:space="0" w:color="auto"/>
                        <w:bottom w:val="none" w:sz="0" w:space="0" w:color="auto"/>
                        <w:right w:val="none" w:sz="0" w:space="0" w:color="auto"/>
                      </w:divBdr>
                    </w:div>
                    <w:div w:id="294142553">
                      <w:marLeft w:val="0"/>
                      <w:marRight w:val="0"/>
                      <w:marTop w:val="0"/>
                      <w:marBottom w:val="0"/>
                      <w:divBdr>
                        <w:top w:val="none" w:sz="0" w:space="0" w:color="auto"/>
                        <w:left w:val="none" w:sz="0" w:space="0" w:color="auto"/>
                        <w:bottom w:val="none" w:sz="0" w:space="0" w:color="auto"/>
                        <w:right w:val="none" w:sz="0" w:space="0" w:color="auto"/>
                      </w:divBdr>
                      <w:divsChild>
                        <w:div w:id="294144664">
                          <w:marLeft w:val="0"/>
                          <w:marRight w:val="0"/>
                          <w:marTop w:val="0"/>
                          <w:marBottom w:val="0"/>
                          <w:divBdr>
                            <w:top w:val="none" w:sz="0" w:space="0" w:color="auto"/>
                            <w:left w:val="none" w:sz="0" w:space="0" w:color="auto"/>
                            <w:bottom w:val="none" w:sz="0" w:space="0" w:color="auto"/>
                            <w:right w:val="none" w:sz="0" w:space="0" w:color="auto"/>
                          </w:divBdr>
                        </w:div>
                      </w:divsChild>
                    </w:div>
                    <w:div w:id="294142585">
                      <w:marLeft w:val="0"/>
                      <w:marRight w:val="0"/>
                      <w:marTop w:val="0"/>
                      <w:marBottom w:val="0"/>
                      <w:divBdr>
                        <w:top w:val="none" w:sz="0" w:space="0" w:color="auto"/>
                        <w:left w:val="none" w:sz="0" w:space="0" w:color="auto"/>
                        <w:bottom w:val="none" w:sz="0" w:space="0" w:color="auto"/>
                        <w:right w:val="none" w:sz="0" w:space="0" w:color="auto"/>
                      </w:divBdr>
                    </w:div>
                    <w:div w:id="294142593">
                      <w:marLeft w:val="0"/>
                      <w:marRight w:val="0"/>
                      <w:marTop w:val="0"/>
                      <w:marBottom w:val="0"/>
                      <w:divBdr>
                        <w:top w:val="none" w:sz="0" w:space="0" w:color="auto"/>
                        <w:left w:val="none" w:sz="0" w:space="0" w:color="auto"/>
                        <w:bottom w:val="none" w:sz="0" w:space="0" w:color="auto"/>
                        <w:right w:val="none" w:sz="0" w:space="0" w:color="auto"/>
                      </w:divBdr>
                    </w:div>
                    <w:div w:id="294142610">
                      <w:marLeft w:val="0"/>
                      <w:marRight w:val="0"/>
                      <w:marTop w:val="0"/>
                      <w:marBottom w:val="0"/>
                      <w:divBdr>
                        <w:top w:val="none" w:sz="0" w:space="0" w:color="auto"/>
                        <w:left w:val="none" w:sz="0" w:space="0" w:color="auto"/>
                        <w:bottom w:val="none" w:sz="0" w:space="0" w:color="auto"/>
                        <w:right w:val="none" w:sz="0" w:space="0" w:color="auto"/>
                      </w:divBdr>
                      <w:divsChild>
                        <w:div w:id="294156535">
                          <w:marLeft w:val="0"/>
                          <w:marRight w:val="0"/>
                          <w:marTop w:val="0"/>
                          <w:marBottom w:val="0"/>
                          <w:divBdr>
                            <w:top w:val="none" w:sz="0" w:space="0" w:color="auto"/>
                            <w:left w:val="none" w:sz="0" w:space="0" w:color="auto"/>
                            <w:bottom w:val="none" w:sz="0" w:space="0" w:color="auto"/>
                            <w:right w:val="none" w:sz="0" w:space="0" w:color="auto"/>
                          </w:divBdr>
                        </w:div>
                      </w:divsChild>
                    </w:div>
                    <w:div w:id="294142612">
                      <w:marLeft w:val="0"/>
                      <w:marRight w:val="0"/>
                      <w:marTop w:val="0"/>
                      <w:marBottom w:val="0"/>
                      <w:divBdr>
                        <w:top w:val="none" w:sz="0" w:space="0" w:color="auto"/>
                        <w:left w:val="none" w:sz="0" w:space="0" w:color="auto"/>
                        <w:bottom w:val="none" w:sz="0" w:space="0" w:color="auto"/>
                        <w:right w:val="none" w:sz="0" w:space="0" w:color="auto"/>
                      </w:divBdr>
                    </w:div>
                    <w:div w:id="294142630">
                      <w:marLeft w:val="0"/>
                      <w:marRight w:val="0"/>
                      <w:marTop w:val="0"/>
                      <w:marBottom w:val="0"/>
                      <w:divBdr>
                        <w:top w:val="none" w:sz="0" w:space="0" w:color="auto"/>
                        <w:left w:val="none" w:sz="0" w:space="0" w:color="auto"/>
                        <w:bottom w:val="none" w:sz="0" w:space="0" w:color="auto"/>
                        <w:right w:val="none" w:sz="0" w:space="0" w:color="auto"/>
                      </w:divBdr>
                      <w:divsChild>
                        <w:div w:id="294147324">
                          <w:marLeft w:val="0"/>
                          <w:marRight w:val="0"/>
                          <w:marTop w:val="0"/>
                          <w:marBottom w:val="0"/>
                          <w:divBdr>
                            <w:top w:val="none" w:sz="0" w:space="0" w:color="auto"/>
                            <w:left w:val="none" w:sz="0" w:space="0" w:color="auto"/>
                            <w:bottom w:val="none" w:sz="0" w:space="0" w:color="auto"/>
                            <w:right w:val="none" w:sz="0" w:space="0" w:color="auto"/>
                          </w:divBdr>
                        </w:div>
                      </w:divsChild>
                    </w:div>
                    <w:div w:id="294142666">
                      <w:marLeft w:val="0"/>
                      <w:marRight w:val="0"/>
                      <w:marTop w:val="0"/>
                      <w:marBottom w:val="0"/>
                      <w:divBdr>
                        <w:top w:val="none" w:sz="0" w:space="0" w:color="auto"/>
                        <w:left w:val="none" w:sz="0" w:space="0" w:color="auto"/>
                        <w:bottom w:val="none" w:sz="0" w:space="0" w:color="auto"/>
                        <w:right w:val="none" w:sz="0" w:space="0" w:color="auto"/>
                      </w:divBdr>
                    </w:div>
                    <w:div w:id="294142756">
                      <w:marLeft w:val="0"/>
                      <w:marRight w:val="0"/>
                      <w:marTop w:val="0"/>
                      <w:marBottom w:val="0"/>
                      <w:divBdr>
                        <w:top w:val="none" w:sz="0" w:space="0" w:color="auto"/>
                        <w:left w:val="none" w:sz="0" w:space="0" w:color="auto"/>
                        <w:bottom w:val="none" w:sz="0" w:space="0" w:color="auto"/>
                        <w:right w:val="none" w:sz="0" w:space="0" w:color="auto"/>
                      </w:divBdr>
                    </w:div>
                    <w:div w:id="294142789">
                      <w:marLeft w:val="0"/>
                      <w:marRight w:val="0"/>
                      <w:marTop w:val="0"/>
                      <w:marBottom w:val="0"/>
                      <w:divBdr>
                        <w:top w:val="none" w:sz="0" w:space="0" w:color="auto"/>
                        <w:left w:val="none" w:sz="0" w:space="0" w:color="auto"/>
                        <w:bottom w:val="none" w:sz="0" w:space="0" w:color="auto"/>
                        <w:right w:val="none" w:sz="0" w:space="0" w:color="auto"/>
                      </w:divBdr>
                      <w:divsChild>
                        <w:div w:id="294141618">
                          <w:marLeft w:val="0"/>
                          <w:marRight w:val="0"/>
                          <w:marTop w:val="0"/>
                          <w:marBottom w:val="0"/>
                          <w:divBdr>
                            <w:top w:val="none" w:sz="0" w:space="0" w:color="auto"/>
                            <w:left w:val="none" w:sz="0" w:space="0" w:color="auto"/>
                            <w:bottom w:val="none" w:sz="0" w:space="0" w:color="auto"/>
                            <w:right w:val="none" w:sz="0" w:space="0" w:color="auto"/>
                          </w:divBdr>
                        </w:div>
                      </w:divsChild>
                    </w:div>
                    <w:div w:id="294142798">
                      <w:marLeft w:val="0"/>
                      <w:marRight w:val="0"/>
                      <w:marTop w:val="0"/>
                      <w:marBottom w:val="0"/>
                      <w:divBdr>
                        <w:top w:val="none" w:sz="0" w:space="0" w:color="auto"/>
                        <w:left w:val="none" w:sz="0" w:space="0" w:color="auto"/>
                        <w:bottom w:val="none" w:sz="0" w:space="0" w:color="auto"/>
                        <w:right w:val="none" w:sz="0" w:space="0" w:color="auto"/>
                      </w:divBdr>
                      <w:divsChild>
                        <w:div w:id="294142882">
                          <w:marLeft w:val="0"/>
                          <w:marRight w:val="0"/>
                          <w:marTop w:val="0"/>
                          <w:marBottom w:val="0"/>
                          <w:divBdr>
                            <w:top w:val="none" w:sz="0" w:space="0" w:color="auto"/>
                            <w:left w:val="none" w:sz="0" w:space="0" w:color="auto"/>
                            <w:bottom w:val="none" w:sz="0" w:space="0" w:color="auto"/>
                            <w:right w:val="none" w:sz="0" w:space="0" w:color="auto"/>
                          </w:divBdr>
                        </w:div>
                      </w:divsChild>
                    </w:div>
                    <w:div w:id="294142802">
                      <w:marLeft w:val="0"/>
                      <w:marRight w:val="0"/>
                      <w:marTop w:val="0"/>
                      <w:marBottom w:val="0"/>
                      <w:divBdr>
                        <w:top w:val="none" w:sz="0" w:space="0" w:color="auto"/>
                        <w:left w:val="none" w:sz="0" w:space="0" w:color="auto"/>
                        <w:bottom w:val="none" w:sz="0" w:space="0" w:color="auto"/>
                        <w:right w:val="none" w:sz="0" w:space="0" w:color="auto"/>
                      </w:divBdr>
                      <w:divsChild>
                        <w:div w:id="294145749">
                          <w:marLeft w:val="0"/>
                          <w:marRight w:val="0"/>
                          <w:marTop w:val="0"/>
                          <w:marBottom w:val="0"/>
                          <w:divBdr>
                            <w:top w:val="none" w:sz="0" w:space="0" w:color="auto"/>
                            <w:left w:val="none" w:sz="0" w:space="0" w:color="auto"/>
                            <w:bottom w:val="none" w:sz="0" w:space="0" w:color="auto"/>
                            <w:right w:val="none" w:sz="0" w:space="0" w:color="auto"/>
                          </w:divBdr>
                        </w:div>
                      </w:divsChild>
                    </w:div>
                    <w:div w:id="294142838">
                      <w:marLeft w:val="0"/>
                      <w:marRight w:val="0"/>
                      <w:marTop w:val="0"/>
                      <w:marBottom w:val="0"/>
                      <w:divBdr>
                        <w:top w:val="none" w:sz="0" w:space="0" w:color="auto"/>
                        <w:left w:val="none" w:sz="0" w:space="0" w:color="auto"/>
                        <w:bottom w:val="none" w:sz="0" w:space="0" w:color="auto"/>
                        <w:right w:val="none" w:sz="0" w:space="0" w:color="auto"/>
                      </w:divBdr>
                      <w:divsChild>
                        <w:div w:id="294146314">
                          <w:marLeft w:val="0"/>
                          <w:marRight w:val="0"/>
                          <w:marTop w:val="0"/>
                          <w:marBottom w:val="0"/>
                          <w:divBdr>
                            <w:top w:val="none" w:sz="0" w:space="0" w:color="auto"/>
                            <w:left w:val="none" w:sz="0" w:space="0" w:color="auto"/>
                            <w:bottom w:val="none" w:sz="0" w:space="0" w:color="auto"/>
                            <w:right w:val="none" w:sz="0" w:space="0" w:color="auto"/>
                          </w:divBdr>
                        </w:div>
                      </w:divsChild>
                    </w:div>
                    <w:div w:id="294142893">
                      <w:marLeft w:val="0"/>
                      <w:marRight w:val="0"/>
                      <w:marTop w:val="0"/>
                      <w:marBottom w:val="0"/>
                      <w:divBdr>
                        <w:top w:val="none" w:sz="0" w:space="0" w:color="auto"/>
                        <w:left w:val="none" w:sz="0" w:space="0" w:color="auto"/>
                        <w:bottom w:val="none" w:sz="0" w:space="0" w:color="auto"/>
                        <w:right w:val="none" w:sz="0" w:space="0" w:color="auto"/>
                      </w:divBdr>
                      <w:divsChild>
                        <w:div w:id="294154674">
                          <w:marLeft w:val="0"/>
                          <w:marRight w:val="0"/>
                          <w:marTop w:val="0"/>
                          <w:marBottom w:val="0"/>
                          <w:divBdr>
                            <w:top w:val="none" w:sz="0" w:space="0" w:color="auto"/>
                            <w:left w:val="none" w:sz="0" w:space="0" w:color="auto"/>
                            <w:bottom w:val="none" w:sz="0" w:space="0" w:color="auto"/>
                            <w:right w:val="none" w:sz="0" w:space="0" w:color="auto"/>
                          </w:divBdr>
                        </w:div>
                      </w:divsChild>
                    </w:div>
                    <w:div w:id="294142918">
                      <w:marLeft w:val="0"/>
                      <w:marRight w:val="0"/>
                      <w:marTop w:val="0"/>
                      <w:marBottom w:val="0"/>
                      <w:divBdr>
                        <w:top w:val="none" w:sz="0" w:space="0" w:color="auto"/>
                        <w:left w:val="none" w:sz="0" w:space="0" w:color="auto"/>
                        <w:bottom w:val="none" w:sz="0" w:space="0" w:color="auto"/>
                        <w:right w:val="none" w:sz="0" w:space="0" w:color="auto"/>
                      </w:divBdr>
                    </w:div>
                    <w:div w:id="294142968">
                      <w:marLeft w:val="0"/>
                      <w:marRight w:val="0"/>
                      <w:marTop w:val="0"/>
                      <w:marBottom w:val="0"/>
                      <w:divBdr>
                        <w:top w:val="none" w:sz="0" w:space="0" w:color="auto"/>
                        <w:left w:val="none" w:sz="0" w:space="0" w:color="auto"/>
                        <w:bottom w:val="none" w:sz="0" w:space="0" w:color="auto"/>
                        <w:right w:val="none" w:sz="0" w:space="0" w:color="auto"/>
                      </w:divBdr>
                    </w:div>
                    <w:div w:id="294143009">
                      <w:marLeft w:val="0"/>
                      <w:marRight w:val="0"/>
                      <w:marTop w:val="0"/>
                      <w:marBottom w:val="0"/>
                      <w:divBdr>
                        <w:top w:val="none" w:sz="0" w:space="0" w:color="auto"/>
                        <w:left w:val="none" w:sz="0" w:space="0" w:color="auto"/>
                        <w:bottom w:val="none" w:sz="0" w:space="0" w:color="auto"/>
                        <w:right w:val="none" w:sz="0" w:space="0" w:color="auto"/>
                      </w:divBdr>
                      <w:divsChild>
                        <w:div w:id="294145991">
                          <w:marLeft w:val="0"/>
                          <w:marRight w:val="0"/>
                          <w:marTop w:val="0"/>
                          <w:marBottom w:val="0"/>
                          <w:divBdr>
                            <w:top w:val="none" w:sz="0" w:space="0" w:color="auto"/>
                            <w:left w:val="none" w:sz="0" w:space="0" w:color="auto"/>
                            <w:bottom w:val="none" w:sz="0" w:space="0" w:color="auto"/>
                            <w:right w:val="none" w:sz="0" w:space="0" w:color="auto"/>
                          </w:divBdr>
                        </w:div>
                      </w:divsChild>
                    </w:div>
                    <w:div w:id="294143010">
                      <w:marLeft w:val="0"/>
                      <w:marRight w:val="0"/>
                      <w:marTop w:val="0"/>
                      <w:marBottom w:val="0"/>
                      <w:divBdr>
                        <w:top w:val="none" w:sz="0" w:space="0" w:color="auto"/>
                        <w:left w:val="none" w:sz="0" w:space="0" w:color="auto"/>
                        <w:bottom w:val="none" w:sz="0" w:space="0" w:color="auto"/>
                        <w:right w:val="none" w:sz="0" w:space="0" w:color="auto"/>
                      </w:divBdr>
                    </w:div>
                    <w:div w:id="294143026">
                      <w:marLeft w:val="0"/>
                      <w:marRight w:val="0"/>
                      <w:marTop w:val="0"/>
                      <w:marBottom w:val="0"/>
                      <w:divBdr>
                        <w:top w:val="none" w:sz="0" w:space="0" w:color="auto"/>
                        <w:left w:val="none" w:sz="0" w:space="0" w:color="auto"/>
                        <w:bottom w:val="none" w:sz="0" w:space="0" w:color="auto"/>
                        <w:right w:val="none" w:sz="0" w:space="0" w:color="auto"/>
                      </w:divBdr>
                    </w:div>
                    <w:div w:id="294143113">
                      <w:marLeft w:val="0"/>
                      <w:marRight w:val="0"/>
                      <w:marTop w:val="0"/>
                      <w:marBottom w:val="0"/>
                      <w:divBdr>
                        <w:top w:val="none" w:sz="0" w:space="0" w:color="auto"/>
                        <w:left w:val="none" w:sz="0" w:space="0" w:color="auto"/>
                        <w:bottom w:val="none" w:sz="0" w:space="0" w:color="auto"/>
                        <w:right w:val="none" w:sz="0" w:space="0" w:color="auto"/>
                      </w:divBdr>
                      <w:divsChild>
                        <w:div w:id="294141258">
                          <w:marLeft w:val="0"/>
                          <w:marRight w:val="0"/>
                          <w:marTop w:val="0"/>
                          <w:marBottom w:val="0"/>
                          <w:divBdr>
                            <w:top w:val="none" w:sz="0" w:space="0" w:color="auto"/>
                            <w:left w:val="none" w:sz="0" w:space="0" w:color="auto"/>
                            <w:bottom w:val="none" w:sz="0" w:space="0" w:color="auto"/>
                            <w:right w:val="none" w:sz="0" w:space="0" w:color="auto"/>
                          </w:divBdr>
                        </w:div>
                      </w:divsChild>
                    </w:div>
                    <w:div w:id="294143119">
                      <w:marLeft w:val="0"/>
                      <w:marRight w:val="0"/>
                      <w:marTop w:val="0"/>
                      <w:marBottom w:val="0"/>
                      <w:divBdr>
                        <w:top w:val="none" w:sz="0" w:space="0" w:color="auto"/>
                        <w:left w:val="none" w:sz="0" w:space="0" w:color="auto"/>
                        <w:bottom w:val="none" w:sz="0" w:space="0" w:color="auto"/>
                        <w:right w:val="none" w:sz="0" w:space="0" w:color="auto"/>
                      </w:divBdr>
                    </w:div>
                    <w:div w:id="294143125">
                      <w:marLeft w:val="0"/>
                      <w:marRight w:val="0"/>
                      <w:marTop w:val="0"/>
                      <w:marBottom w:val="0"/>
                      <w:divBdr>
                        <w:top w:val="none" w:sz="0" w:space="0" w:color="auto"/>
                        <w:left w:val="none" w:sz="0" w:space="0" w:color="auto"/>
                        <w:bottom w:val="none" w:sz="0" w:space="0" w:color="auto"/>
                        <w:right w:val="none" w:sz="0" w:space="0" w:color="auto"/>
                      </w:divBdr>
                      <w:divsChild>
                        <w:div w:id="294151112">
                          <w:marLeft w:val="0"/>
                          <w:marRight w:val="0"/>
                          <w:marTop w:val="0"/>
                          <w:marBottom w:val="0"/>
                          <w:divBdr>
                            <w:top w:val="none" w:sz="0" w:space="0" w:color="auto"/>
                            <w:left w:val="none" w:sz="0" w:space="0" w:color="auto"/>
                            <w:bottom w:val="none" w:sz="0" w:space="0" w:color="auto"/>
                            <w:right w:val="none" w:sz="0" w:space="0" w:color="auto"/>
                          </w:divBdr>
                        </w:div>
                      </w:divsChild>
                    </w:div>
                    <w:div w:id="294143133">
                      <w:marLeft w:val="0"/>
                      <w:marRight w:val="0"/>
                      <w:marTop w:val="0"/>
                      <w:marBottom w:val="0"/>
                      <w:divBdr>
                        <w:top w:val="none" w:sz="0" w:space="0" w:color="auto"/>
                        <w:left w:val="none" w:sz="0" w:space="0" w:color="auto"/>
                        <w:bottom w:val="none" w:sz="0" w:space="0" w:color="auto"/>
                        <w:right w:val="none" w:sz="0" w:space="0" w:color="auto"/>
                      </w:divBdr>
                      <w:divsChild>
                        <w:div w:id="294150584">
                          <w:marLeft w:val="0"/>
                          <w:marRight w:val="0"/>
                          <w:marTop w:val="0"/>
                          <w:marBottom w:val="0"/>
                          <w:divBdr>
                            <w:top w:val="none" w:sz="0" w:space="0" w:color="auto"/>
                            <w:left w:val="none" w:sz="0" w:space="0" w:color="auto"/>
                            <w:bottom w:val="none" w:sz="0" w:space="0" w:color="auto"/>
                            <w:right w:val="none" w:sz="0" w:space="0" w:color="auto"/>
                          </w:divBdr>
                        </w:div>
                      </w:divsChild>
                    </w:div>
                    <w:div w:id="294143143">
                      <w:marLeft w:val="0"/>
                      <w:marRight w:val="0"/>
                      <w:marTop w:val="0"/>
                      <w:marBottom w:val="0"/>
                      <w:divBdr>
                        <w:top w:val="none" w:sz="0" w:space="0" w:color="auto"/>
                        <w:left w:val="none" w:sz="0" w:space="0" w:color="auto"/>
                        <w:bottom w:val="none" w:sz="0" w:space="0" w:color="auto"/>
                        <w:right w:val="none" w:sz="0" w:space="0" w:color="auto"/>
                      </w:divBdr>
                    </w:div>
                    <w:div w:id="294143202">
                      <w:marLeft w:val="0"/>
                      <w:marRight w:val="0"/>
                      <w:marTop w:val="0"/>
                      <w:marBottom w:val="0"/>
                      <w:divBdr>
                        <w:top w:val="none" w:sz="0" w:space="0" w:color="auto"/>
                        <w:left w:val="none" w:sz="0" w:space="0" w:color="auto"/>
                        <w:bottom w:val="none" w:sz="0" w:space="0" w:color="auto"/>
                        <w:right w:val="none" w:sz="0" w:space="0" w:color="auto"/>
                      </w:divBdr>
                    </w:div>
                    <w:div w:id="294143273">
                      <w:marLeft w:val="0"/>
                      <w:marRight w:val="0"/>
                      <w:marTop w:val="0"/>
                      <w:marBottom w:val="0"/>
                      <w:divBdr>
                        <w:top w:val="none" w:sz="0" w:space="0" w:color="auto"/>
                        <w:left w:val="none" w:sz="0" w:space="0" w:color="auto"/>
                        <w:bottom w:val="none" w:sz="0" w:space="0" w:color="auto"/>
                        <w:right w:val="none" w:sz="0" w:space="0" w:color="auto"/>
                      </w:divBdr>
                    </w:div>
                    <w:div w:id="294143285">
                      <w:marLeft w:val="0"/>
                      <w:marRight w:val="0"/>
                      <w:marTop w:val="0"/>
                      <w:marBottom w:val="0"/>
                      <w:divBdr>
                        <w:top w:val="none" w:sz="0" w:space="0" w:color="auto"/>
                        <w:left w:val="none" w:sz="0" w:space="0" w:color="auto"/>
                        <w:bottom w:val="none" w:sz="0" w:space="0" w:color="auto"/>
                        <w:right w:val="none" w:sz="0" w:space="0" w:color="auto"/>
                      </w:divBdr>
                    </w:div>
                    <w:div w:id="294143290">
                      <w:marLeft w:val="0"/>
                      <w:marRight w:val="0"/>
                      <w:marTop w:val="0"/>
                      <w:marBottom w:val="0"/>
                      <w:divBdr>
                        <w:top w:val="none" w:sz="0" w:space="0" w:color="auto"/>
                        <w:left w:val="none" w:sz="0" w:space="0" w:color="auto"/>
                        <w:bottom w:val="none" w:sz="0" w:space="0" w:color="auto"/>
                        <w:right w:val="none" w:sz="0" w:space="0" w:color="auto"/>
                      </w:divBdr>
                    </w:div>
                    <w:div w:id="294143299">
                      <w:marLeft w:val="0"/>
                      <w:marRight w:val="0"/>
                      <w:marTop w:val="0"/>
                      <w:marBottom w:val="0"/>
                      <w:divBdr>
                        <w:top w:val="none" w:sz="0" w:space="0" w:color="auto"/>
                        <w:left w:val="none" w:sz="0" w:space="0" w:color="auto"/>
                        <w:bottom w:val="none" w:sz="0" w:space="0" w:color="auto"/>
                        <w:right w:val="none" w:sz="0" w:space="0" w:color="auto"/>
                      </w:divBdr>
                      <w:divsChild>
                        <w:div w:id="294138941">
                          <w:marLeft w:val="0"/>
                          <w:marRight w:val="0"/>
                          <w:marTop w:val="0"/>
                          <w:marBottom w:val="0"/>
                          <w:divBdr>
                            <w:top w:val="none" w:sz="0" w:space="0" w:color="auto"/>
                            <w:left w:val="none" w:sz="0" w:space="0" w:color="auto"/>
                            <w:bottom w:val="none" w:sz="0" w:space="0" w:color="auto"/>
                            <w:right w:val="none" w:sz="0" w:space="0" w:color="auto"/>
                          </w:divBdr>
                        </w:div>
                      </w:divsChild>
                    </w:div>
                    <w:div w:id="294143329">
                      <w:marLeft w:val="0"/>
                      <w:marRight w:val="0"/>
                      <w:marTop w:val="0"/>
                      <w:marBottom w:val="0"/>
                      <w:divBdr>
                        <w:top w:val="none" w:sz="0" w:space="0" w:color="auto"/>
                        <w:left w:val="none" w:sz="0" w:space="0" w:color="auto"/>
                        <w:bottom w:val="none" w:sz="0" w:space="0" w:color="auto"/>
                        <w:right w:val="none" w:sz="0" w:space="0" w:color="auto"/>
                      </w:divBdr>
                    </w:div>
                    <w:div w:id="294143345">
                      <w:marLeft w:val="0"/>
                      <w:marRight w:val="0"/>
                      <w:marTop w:val="0"/>
                      <w:marBottom w:val="0"/>
                      <w:divBdr>
                        <w:top w:val="none" w:sz="0" w:space="0" w:color="auto"/>
                        <w:left w:val="none" w:sz="0" w:space="0" w:color="auto"/>
                        <w:bottom w:val="none" w:sz="0" w:space="0" w:color="auto"/>
                        <w:right w:val="none" w:sz="0" w:space="0" w:color="auto"/>
                      </w:divBdr>
                      <w:divsChild>
                        <w:div w:id="294155750">
                          <w:marLeft w:val="0"/>
                          <w:marRight w:val="0"/>
                          <w:marTop w:val="0"/>
                          <w:marBottom w:val="0"/>
                          <w:divBdr>
                            <w:top w:val="none" w:sz="0" w:space="0" w:color="auto"/>
                            <w:left w:val="none" w:sz="0" w:space="0" w:color="auto"/>
                            <w:bottom w:val="none" w:sz="0" w:space="0" w:color="auto"/>
                            <w:right w:val="none" w:sz="0" w:space="0" w:color="auto"/>
                          </w:divBdr>
                        </w:div>
                      </w:divsChild>
                    </w:div>
                    <w:div w:id="294143366">
                      <w:marLeft w:val="0"/>
                      <w:marRight w:val="0"/>
                      <w:marTop w:val="0"/>
                      <w:marBottom w:val="0"/>
                      <w:divBdr>
                        <w:top w:val="none" w:sz="0" w:space="0" w:color="auto"/>
                        <w:left w:val="none" w:sz="0" w:space="0" w:color="auto"/>
                        <w:bottom w:val="none" w:sz="0" w:space="0" w:color="auto"/>
                        <w:right w:val="none" w:sz="0" w:space="0" w:color="auto"/>
                      </w:divBdr>
                    </w:div>
                    <w:div w:id="294143382">
                      <w:marLeft w:val="0"/>
                      <w:marRight w:val="0"/>
                      <w:marTop w:val="0"/>
                      <w:marBottom w:val="0"/>
                      <w:divBdr>
                        <w:top w:val="none" w:sz="0" w:space="0" w:color="auto"/>
                        <w:left w:val="none" w:sz="0" w:space="0" w:color="auto"/>
                        <w:bottom w:val="none" w:sz="0" w:space="0" w:color="auto"/>
                        <w:right w:val="none" w:sz="0" w:space="0" w:color="auto"/>
                      </w:divBdr>
                    </w:div>
                    <w:div w:id="294143405">
                      <w:marLeft w:val="0"/>
                      <w:marRight w:val="0"/>
                      <w:marTop w:val="0"/>
                      <w:marBottom w:val="0"/>
                      <w:divBdr>
                        <w:top w:val="none" w:sz="0" w:space="0" w:color="auto"/>
                        <w:left w:val="none" w:sz="0" w:space="0" w:color="auto"/>
                        <w:bottom w:val="none" w:sz="0" w:space="0" w:color="auto"/>
                        <w:right w:val="none" w:sz="0" w:space="0" w:color="auto"/>
                      </w:divBdr>
                      <w:divsChild>
                        <w:div w:id="294156892">
                          <w:marLeft w:val="0"/>
                          <w:marRight w:val="0"/>
                          <w:marTop w:val="0"/>
                          <w:marBottom w:val="0"/>
                          <w:divBdr>
                            <w:top w:val="none" w:sz="0" w:space="0" w:color="auto"/>
                            <w:left w:val="none" w:sz="0" w:space="0" w:color="auto"/>
                            <w:bottom w:val="none" w:sz="0" w:space="0" w:color="auto"/>
                            <w:right w:val="none" w:sz="0" w:space="0" w:color="auto"/>
                          </w:divBdr>
                        </w:div>
                      </w:divsChild>
                    </w:div>
                    <w:div w:id="294143441">
                      <w:marLeft w:val="0"/>
                      <w:marRight w:val="0"/>
                      <w:marTop w:val="0"/>
                      <w:marBottom w:val="0"/>
                      <w:divBdr>
                        <w:top w:val="none" w:sz="0" w:space="0" w:color="auto"/>
                        <w:left w:val="none" w:sz="0" w:space="0" w:color="auto"/>
                        <w:bottom w:val="none" w:sz="0" w:space="0" w:color="auto"/>
                        <w:right w:val="none" w:sz="0" w:space="0" w:color="auto"/>
                      </w:divBdr>
                      <w:divsChild>
                        <w:div w:id="294141882">
                          <w:marLeft w:val="0"/>
                          <w:marRight w:val="0"/>
                          <w:marTop w:val="0"/>
                          <w:marBottom w:val="0"/>
                          <w:divBdr>
                            <w:top w:val="none" w:sz="0" w:space="0" w:color="auto"/>
                            <w:left w:val="none" w:sz="0" w:space="0" w:color="auto"/>
                            <w:bottom w:val="none" w:sz="0" w:space="0" w:color="auto"/>
                            <w:right w:val="none" w:sz="0" w:space="0" w:color="auto"/>
                          </w:divBdr>
                        </w:div>
                      </w:divsChild>
                    </w:div>
                    <w:div w:id="294143452">
                      <w:marLeft w:val="0"/>
                      <w:marRight w:val="0"/>
                      <w:marTop w:val="0"/>
                      <w:marBottom w:val="0"/>
                      <w:divBdr>
                        <w:top w:val="none" w:sz="0" w:space="0" w:color="auto"/>
                        <w:left w:val="none" w:sz="0" w:space="0" w:color="auto"/>
                        <w:bottom w:val="none" w:sz="0" w:space="0" w:color="auto"/>
                        <w:right w:val="none" w:sz="0" w:space="0" w:color="auto"/>
                      </w:divBdr>
                    </w:div>
                    <w:div w:id="294143473">
                      <w:marLeft w:val="0"/>
                      <w:marRight w:val="0"/>
                      <w:marTop w:val="0"/>
                      <w:marBottom w:val="0"/>
                      <w:divBdr>
                        <w:top w:val="none" w:sz="0" w:space="0" w:color="auto"/>
                        <w:left w:val="none" w:sz="0" w:space="0" w:color="auto"/>
                        <w:bottom w:val="none" w:sz="0" w:space="0" w:color="auto"/>
                        <w:right w:val="none" w:sz="0" w:space="0" w:color="auto"/>
                      </w:divBdr>
                      <w:divsChild>
                        <w:div w:id="294144728">
                          <w:marLeft w:val="0"/>
                          <w:marRight w:val="0"/>
                          <w:marTop w:val="0"/>
                          <w:marBottom w:val="0"/>
                          <w:divBdr>
                            <w:top w:val="none" w:sz="0" w:space="0" w:color="auto"/>
                            <w:left w:val="none" w:sz="0" w:space="0" w:color="auto"/>
                            <w:bottom w:val="none" w:sz="0" w:space="0" w:color="auto"/>
                            <w:right w:val="none" w:sz="0" w:space="0" w:color="auto"/>
                          </w:divBdr>
                        </w:div>
                      </w:divsChild>
                    </w:div>
                    <w:div w:id="294143479">
                      <w:marLeft w:val="0"/>
                      <w:marRight w:val="0"/>
                      <w:marTop w:val="0"/>
                      <w:marBottom w:val="0"/>
                      <w:divBdr>
                        <w:top w:val="none" w:sz="0" w:space="0" w:color="auto"/>
                        <w:left w:val="none" w:sz="0" w:space="0" w:color="auto"/>
                        <w:bottom w:val="none" w:sz="0" w:space="0" w:color="auto"/>
                        <w:right w:val="none" w:sz="0" w:space="0" w:color="auto"/>
                      </w:divBdr>
                    </w:div>
                    <w:div w:id="294143527">
                      <w:marLeft w:val="0"/>
                      <w:marRight w:val="0"/>
                      <w:marTop w:val="0"/>
                      <w:marBottom w:val="0"/>
                      <w:divBdr>
                        <w:top w:val="none" w:sz="0" w:space="0" w:color="auto"/>
                        <w:left w:val="none" w:sz="0" w:space="0" w:color="auto"/>
                        <w:bottom w:val="none" w:sz="0" w:space="0" w:color="auto"/>
                        <w:right w:val="none" w:sz="0" w:space="0" w:color="auto"/>
                      </w:divBdr>
                    </w:div>
                    <w:div w:id="294143547">
                      <w:marLeft w:val="0"/>
                      <w:marRight w:val="0"/>
                      <w:marTop w:val="0"/>
                      <w:marBottom w:val="0"/>
                      <w:divBdr>
                        <w:top w:val="none" w:sz="0" w:space="0" w:color="auto"/>
                        <w:left w:val="none" w:sz="0" w:space="0" w:color="auto"/>
                        <w:bottom w:val="none" w:sz="0" w:space="0" w:color="auto"/>
                        <w:right w:val="none" w:sz="0" w:space="0" w:color="auto"/>
                      </w:divBdr>
                      <w:divsChild>
                        <w:div w:id="294150029">
                          <w:marLeft w:val="0"/>
                          <w:marRight w:val="0"/>
                          <w:marTop w:val="0"/>
                          <w:marBottom w:val="0"/>
                          <w:divBdr>
                            <w:top w:val="none" w:sz="0" w:space="0" w:color="auto"/>
                            <w:left w:val="none" w:sz="0" w:space="0" w:color="auto"/>
                            <w:bottom w:val="none" w:sz="0" w:space="0" w:color="auto"/>
                            <w:right w:val="none" w:sz="0" w:space="0" w:color="auto"/>
                          </w:divBdr>
                        </w:div>
                      </w:divsChild>
                    </w:div>
                    <w:div w:id="294143566">
                      <w:marLeft w:val="0"/>
                      <w:marRight w:val="0"/>
                      <w:marTop w:val="0"/>
                      <w:marBottom w:val="0"/>
                      <w:divBdr>
                        <w:top w:val="none" w:sz="0" w:space="0" w:color="auto"/>
                        <w:left w:val="none" w:sz="0" w:space="0" w:color="auto"/>
                        <w:bottom w:val="none" w:sz="0" w:space="0" w:color="auto"/>
                        <w:right w:val="none" w:sz="0" w:space="0" w:color="auto"/>
                      </w:divBdr>
                      <w:divsChild>
                        <w:div w:id="294143374">
                          <w:marLeft w:val="0"/>
                          <w:marRight w:val="0"/>
                          <w:marTop w:val="0"/>
                          <w:marBottom w:val="0"/>
                          <w:divBdr>
                            <w:top w:val="none" w:sz="0" w:space="0" w:color="auto"/>
                            <w:left w:val="none" w:sz="0" w:space="0" w:color="auto"/>
                            <w:bottom w:val="none" w:sz="0" w:space="0" w:color="auto"/>
                            <w:right w:val="none" w:sz="0" w:space="0" w:color="auto"/>
                          </w:divBdr>
                        </w:div>
                      </w:divsChild>
                    </w:div>
                    <w:div w:id="294143597">
                      <w:marLeft w:val="0"/>
                      <w:marRight w:val="0"/>
                      <w:marTop w:val="0"/>
                      <w:marBottom w:val="0"/>
                      <w:divBdr>
                        <w:top w:val="none" w:sz="0" w:space="0" w:color="auto"/>
                        <w:left w:val="none" w:sz="0" w:space="0" w:color="auto"/>
                        <w:bottom w:val="none" w:sz="0" w:space="0" w:color="auto"/>
                        <w:right w:val="none" w:sz="0" w:space="0" w:color="auto"/>
                      </w:divBdr>
                    </w:div>
                    <w:div w:id="294143617">
                      <w:marLeft w:val="0"/>
                      <w:marRight w:val="0"/>
                      <w:marTop w:val="0"/>
                      <w:marBottom w:val="0"/>
                      <w:divBdr>
                        <w:top w:val="none" w:sz="0" w:space="0" w:color="auto"/>
                        <w:left w:val="none" w:sz="0" w:space="0" w:color="auto"/>
                        <w:bottom w:val="none" w:sz="0" w:space="0" w:color="auto"/>
                        <w:right w:val="none" w:sz="0" w:space="0" w:color="auto"/>
                      </w:divBdr>
                      <w:divsChild>
                        <w:div w:id="294152874">
                          <w:marLeft w:val="0"/>
                          <w:marRight w:val="0"/>
                          <w:marTop w:val="0"/>
                          <w:marBottom w:val="0"/>
                          <w:divBdr>
                            <w:top w:val="none" w:sz="0" w:space="0" w:color="auto"/>
                            <w:left w:val="none" w:sz="0" w:space="0" w:color="auto"/>
                            <w:bottom w:val="none" w:sz="0" w:space="0" w:color="auto"/>
                            <w:right w:val="none" w:sz="0" w:space="0" w:color="auto"/>
                          </w:divBdr>
                        </w:div>
                      </w:divsChild>
                    </w:div>
                    <w:div w:id="294143632">
                      <w:marLeft w:val="0"/>
                      <w:marRight w:val="0"/>
                      <w:marTop w:val="0"/>
                      <w:marBottom w:val="0"/>
                      <w:divBdr>
                        <w:top w:val="none" w:sz="0" w:space="0" w:color="auto"/>
                        <w:left w:val="none" w:sz="0" w:space="0" w:color="auto"/>
                        <w:bottom w:val="none" w:sz="0" w:space="0" w:color="auto"/>
                        <w:right w:val="none" w:sz="0" w:space="0" w:color="auto"/>
                      </w:divBdr>
                      <w:divsChild>
                        <w:div w:id="294146170">
                          <w:marLeft w:val="0"/>
                          <w:marRight w:val="0"/>
                          <w:marTop w:val="0"/>
                          <w:marBottom w:val="0"/>
                          <w:divBdr>
                            <w:top w:val="none" w:sz="0" w:space="0" w:color="auto"/>
                            <w:left w:val="none" w:sz="0" w:space="0" w:color="auto"/>
                            <w:bottom w:val="none" w:sz="0" w:space="0" w:color="auto"/>
                            <w:right w:val="none" w:sz="0" w:space="0" w:color="auto"/>
                          </w:divBdr>
                        </w:div>
                      </w:divsChild>
                    </w:div>
                    <w:div w:id="294143637">
                      <w:marLeft w:val="0"/>
                      <w:marRight w:val="0"/>
                      <w:marTop w:val="0"/>
                      <w:marBottom w:val="0"/>
                      <w:divBdr>
                        <w:top w:val="none" w:sz="0" w:space="0" w:color="auto"/>
                        <w:left w:val="none" w:sz="0" w:space="0" w:color="auto"/>
                        <w:bottom w:val="none" w:sz="0" w:space="0" w:color="auto"/>
                        <w:right w:val="none" w:sz="0" w:space="0" w:color="auto"/>
                      </w:divBdr>
                      <w:divsChild>
                        <w:div w:id="294153296">
                          <w:marLeft w:val="0"/>
                          <w:marRight w:val="0"/>
                          <w:marTop w:val="0"/>
                          <w:marBottom w:val="0"/>
                          <w:divBdr>
                            <w:top w:val="none" w:sz="0" w:space="0" w:color="auto"/>
                            <w:left w:val="none" w:sz="0" w:space="0" w:color="auto"/>
                            <w:bottom w:val="none" w:sz="0" w:space="0" w:color="auto"/>
                            <w:right w:val="none" w:sz="0" w:space="0" w:color="auto"/>
                          </w:divBdr>
                        </w:div>
                      </w:divsChild>
                    </w:div>
                    <w:div w:id="294143655">
                      <w:marLeft w:val="0"/>
                      <w:marRight w:val="0"/>
                      <w:marTop w:val="0"/>
                      <w:marBottom w:val="0"/>
                      <w:divBdr>
                        <w:top w:val="none" w:sz="0" w:space="0" w:color="auto"/>
                        <w:left w:val="none" w:sz="0" w:space="0" w:color="auto"/>
                        <w:bottom w:val="none" w:sz="0" w:space="0" w:color="auto"/>
                        <w:right w:val="none" w:sz="0" w:space="0" w:color="auto"/>
                      </w:divBdr>
                    </w:div>
                    <w:div w:id="294143682">
                      <w:marLeft w:val="0"/>
                      <w:marRight w:val="0"/>
                      <w:marTop w:val="0"/>
                      <w:marBottom w:val="0"/>
                      <w:divBdr>
                        <w:top w:val="none" w:sz="0" w:space="0" w:color="auto"/>
                        <w:left w:val="none" w:sz="0" w:space="0" w:color="auto"/>
                        <w:bottom w:val="none" w:sz="0" w:space="0" w:color="auto"/>
                        <w:right w:val="none" w:sz="0" w:space="0" w:color="auto"/>
                      </w:divBdr>
                      <w:divsChild>
                        <w:div w:id="294138944">
                          <w:marLeft w:val="0"/>
                          <w:marRight w:val="0"/>
                          <w:marTop w:val="0"/>
                          <w:marBottom w:val="0"/>
                          <w:divBdr>
                            <w:top w:val="none" w:sz="0" w:space="0" w:color="auto"/>
                            <w:left w:val="none" w:sz="0" w:space="0" w:color="auto"/>
                            <w:bottom w:val="none" w:sz="0" w:space="0" w:color="auto"/>
                            <w:right w:val="none" w:sz="0" w:space="0" w:color="auto"/>
                          </w:divBdr>
                        </w:div>
                      </w:divsChild>
                    </w:div>
                    <w:div w:id="294143685">
                      <w:marLeft w:val="0"/>
                      <w:marRight w:val="0"/>
                      <w:marTop w:val="0"/>
                      <w:marBottom w:val="0"/>
                      <w:divBdr>
                        <w:top w:val="none" w:sz="0" w:space="0" w:color="auto"/>
                        <w:left w:val="none" w:sz="0" w:space="0" w:color="auto"/>
                        <w:bottom w:val="none" w:sz="0" w:space="0" w:color="auto"/>
                        <w:right w:val="none" w:sz="0" w:space="0" w:color="auto"/>
                      </w:divBdr>
                      <w:divsChild>
                        <w:div w:id="294151268">
                          <w:marLeft w:val="0"/>
                          <w:marRight w:val="0"/>
                          <w:marTop w:val="0"/>
                          <w:marBottom w:val="0"/>
                          <w:divBdr>
                            <w:top w:val="none" w:sz="0" w:space="0" w:color="auto"/>
                            <w:left w:val="none" w:sz="0" w:space="0" w:color="auto"/>
                            <w:bottom w:val="none" w:sz="0" w:space="0" w:color="auto"/>
                            <w:right w:val="none" w:sz="0" w:space="0" w:color="auto"/>
                          </w:divBdr>
                        </w:div>
                      </w:divsChild>
                    </w:div>
                    <w:div w:id="294143778">
                      <w:marLeft w:val="0"/>
                      <w:marRight w:val="0"/>
                      <w:marTop w:val="0"/>
                      <w:marBottom w:val="0"/>
                      <w:divBdr>
                        <w:top w:val="none" w:sz="0" w:space="0" w:color="auto"/>
                        <w:left w:val="none" w:sz="0" w:space="0" w:color="auto"/>
                        <w:bottom w:val="none" w:sz="0" w:space="0" w:color="auto"/>
                        <w:right w:val="none" w:sz="0" w:space="0" w:color="auto"/>
                      </w:divBdr>
                      <w:divsChild>
                        <w:div w:id="294150979">
                          <w:marLeft w:val="0"/>
                          <w:marRight w:val="0"/>
                          <w:marTop w:val="0"/>
                          <w:marBottom w:val="0"/>
                          <w:divBdr>
                            <w:top w:val="none" w:sz="0" w:space="0" w:color="auto"/>
                            <w:left w:val="none" w:sz="0" w:space="0" w:color="auto"/>
                            <w:bottom w:val="none" w:sz="0" w:space="0" w:color="auto"/>
                            <w:right w:val="none" w:sz="0" w:space="0" w:color="auto"/>
                          </w:divBdr>
                        </w:div>
                      </w:divsChild>
                    </w:div>
                    <w:div w:id="294143807">
                      <w:marLeft w:val="0"/>
                      <w:marRight w:val="0"/>
                      <w:marTop w:val="0"/>
                      <w:marBottom w:val="0"/>
                      <w:divBdr>
                        <w:top w:val="none" w:sz="0" w:space="0" w:color="auto"/>
                        <w:left w:val="none" w:sz="0" w:space="0" w:color="auto"/>
                        <w:bottom w:val="none" w:sz="0" w:space="0" w:color="auto"/>
                        <w:right w:val="none" w:sz="0" w:space="0" w:color="auto"/>
                      </w:divBdr>
                      <w:divsChild>
                        <w:div w:id="294152065">
                          <w:marLeft w:val="0"/>
                          <w:marRight w:val="0"/>
                          <w:marTop w:val="0"/>
                          <w:marBottom w:val="0"/>
                          <w:divBdr>
                            <w:top w:val="none" w:sz="0" w:space="0" w:color="auto"/>
                            <w:left w:val="none" w:sz="0" w:space="0" w:color="auto"/>
                            <w:bottom w:val="none" w:sz="0" w:space="0" w:color="auto"/>
                            <w:right w:val="none" w:sz="0" w:space="0" w:color="auto"/>
                          </w:divBdr>
                        </w:div>
                      </w:divsChild>
                    </w:div>
                    <w:div w:id="294143919">
                      <w:marLeft w:val="0"/>
                      <w:marRight w:val="0"/>
                      <w:marTop w:val="0"/>
                      <w:marBottom w:val="0"/>
                      <w:divBdr>
                        <w:top w:val="none" w:sz="0" w:space="0" w:color="auto"/>
                        <w:left w:val="none" w:sz="0" w:space="0" w:color="auto"/>
                        <w:bottom w:val="none" w:sz="0" w:space="0" w:color="auto"/>
                        <w:right w:val="none" w:sz="0" w:space="0" w:color="auto"/>
                      </w:divBdr>
                    </w:div>
                    <w:div w:id="294143951">
                      <w:marLeft w:val="0"/>
                      <w:marRight w:val="0"/>
                      <w:marTop w:val="0"/>
                      <w:marBottom w:val="0"/>
                      <w:divBdr>
                        <w:top w:val="none" w:sz="0" w:space="0" w:color="auto"/>
                        <w:left w:val="none" w:sz="0" w:space="0" w:color="auto"/>
                        <w:bottom w:val="none" w:sz="0" w:space="0" w:color="auto"/>
                        <w:right w:val="none" w:sz="0" w:space="0" w:color="auto"/>
                      </w:divBdr>
                    </w:div>
                    <w:div w:id="294143966">
                      <w:marLeft w:val="0"/>
                      <w:marRight w:val="0"/>
                      <w:marTop w:val="0"/>
                      <w:marBottom w:val="0"/>
                      <w:divBdr>
                        <w:top w:val="none" w:sz="0" w:space="0" w:color="auto"/>
                        <w:left w:val="none" w:sz="0" w:space="0" w:color="auto"/>
                        <w:bottom w:val="none" w:sz="0" w:space="0" w:color="auto"/>
                        <w:right w:val="none" w:sz="0" w:space="0" w:color="auto"/>
                      </w:divBdr>
                    </w:div>
                    <w:div w:id="294143972">
                      <w:marLeft w:val="0"/>
                      <w:marRight w:val="0"/>
                      <w:marTop w:val="0"/>
                      <w:marBottom w:val="0"/>
                      <w:divBdr>
                        <w:top w:val="none" w:sz="0" w:space="0" w:color="auto"/>
                        <w:left w:val="none" w:sz="0" w:space="0" w:color="auto"/>
                        <w:bottom w:val="none" w:sz="0" w:space="0" w:color="auto"/>
                        <w:right w:val="none" w:sz="0" w:space="0" w:color="auto"/>
                      </w:divBdr>
                    </w:div>
                    <w:div w:id="294144013">
                      <w:marLeft w:val="0"/>
                      <w:marRight w:val="0"/>
                      <w:marTop w:val="0"/>
                      <w:marBottom w:val="0"/>
                      <w:divBdr>
                        <w:top w:val="none" w:sz="0" w:space="0" w:color="auto"/>
                        <w:left w:val="none" w:sz="0" w:space="0" w:color="auto"/>
                        <w:bottom w:val="none" w:sz="0" w:space="0" w:color="auto"/>
                        <w:right w:val="none" w:sz="0" w:space="0" w:color="auto"/>
                      </w:divBdr>
                    </w:div>
                    <w:div w:id="294144020">
                      <w:marLeft w:val="0"/>
                      <w:marRight w:val="0"/>
                      <w:marTop w:val="0"/>
                      <w:marBottom w:val="0"/>
                      <w:divBdr>
                        <w:top w:val="none" w:sz="0" w:space="0" w:color="auto"/>
                        <w:left w:val="none" w:sz="0" w:space="0" w:color="auto"/>
                        <w:bottom w:val="none" w:sz="0" w:space="0" w:color="auto"/>
                        <w:right w:val="none" w:sz="0" w:space="0" w:color="auto"/>
                      </w:divBdr>
                    </w:div>
                    <w:div w:id="294144030">
                      <w:marLeft w:val="0"/>
                      <w:marRight w:val="0"/>
                      <w:marTop w:val="0"/>
                      <w:marBottom w:val="0"/>
                      <w:divBdr>
                        <w:top w:val="none" w:sz="0" w:space="0" w:color="auto"/>
                        <w:left w:val="none" w:sz="0" w:space="0" w:color="auto"/>
                        <w:bottom w:val="none" w:sz="0" w:space="0" w:color="auto"/>
                        <w:right w:val="none" w:sz="0" w:space="0" w:color="auto"/>
                      </w:divBdr>
                    </w:div>
                    <w:div w:id="294144069">
                      <w:marLeft w:val="0"/>
                      <w:marRight w:val="0"/>
                      <w:marTop w:val="0"/>
                      <w:marBottom w:val="0"/>
                      <w:divBdr>
                        <w:top w:val="none" w:sz="0" w:space="0" w:color="auto"/>
                        <w:left w:val="none" w:sz="0" w:space="0" w:color="auto"/>
                        <w:bottom w:val="none" w:sz="0" w:space="0" w:color="auto"/>
                        <w:right w:val="none" w:sz="0" w:space="0" w:color="auto"/>
                      </w:divBdr>
                    </w:div>
                    <w:div w:id="294144072">
                      <w:marLeft w:val="0"/>
                      <w:marRight w:val="0"/>
                      <w:marTop w:val="0"/>
                      <w:marBottom w:val="0"/>
                      <w:divBdr>
                        <w:top w:val="none" w:sz="0" w:space="0" w:color="auto"/>
                        <w:left w:val="none" w:sz="0" w:space="0" w:color="auto"/>
                        <w:bottom w:val="none" w:sz="0" w:space="0" w:color="auto"/>
                        <w:right w:val="none" w:sz="0" w:space="0" w:color="auto"/>
                      </w:divBdr>
                    </w:div>
                    <w:div w:id="294144102">
                      <w:marLeft w:val="0"/>
                      <w:marRight w:val="0"/>
                      <w:marTop w:val="0"/>
                      <w:marBottom w:val="0"/>
                      <w:divBdr>
                        <w:top w:val="none" w:sz="0" w:space="0" w:color="auto"/>
                        <w:left w:val="none" w:sz="0" w:space="0" w:color="auto"/>
                        <w:bottom w:val="none" w:sz="0" w:space="0" w:color="auto"/>
                        <w:right w:val="none" w:sz="0" w:space="0" w:color="auto"/>
                      </w:divBdr>
                    </w:div>
                    <w:div w:id="294144128">
                      <w:marLeft w:val="0"/>
                      <w:marRight w:val="0"/>
                      <w:marTop w:val="0"/>
                      <w:marBottom w:val="0"/>
                      <w:divBdr>
                        <w:top w:val="none" w:sz="0" w:space="0" w:color="auto"/>
                        <w:left w:val="none" w:sz="0" w:space="0" w:color="auto"/>
                        <w:bottom w:val="none" w:sz="0" w:space="0" w:color="auto"/>
                        <w:right w:val="none" w:sz="0" w:space="0" w:color="auto"/>
                      </w:divBdr>
                      <w:divsChild>
                        <w:div w:id="294146835">
                          <w:marLeft w:val="0"/>
                          <w:marRight w:val="0"/>
                          <w:marTop w:val="0"/>
                          <w:marBottom w:val="0"/>
                          <w:divBdr>
                            <w:top w:val="none" w:sz="0" w:space="0" w:color="auto"/>
                            <w:left w:val="none" w:sz="0" w:space="0" w:color="auto"/>
                            <w:bottom w:val="none" w:sz="0" w:space="0" w:color="auto"/>
                            <w:right w:val="none" w:sz="0" w:space="0" w:color="auto"/>
                          </w:divBdr>
                        </w:div>
                      </w:divsChild>
                    </w:div>
                    <w:div w:id="294144132">
                      <w:marLeft w:val="0"/>
                      <w:marRight w:val="0"/>
                      <w:marTop w:val="0"/>
                      <w:marBottom w:val="0"/>
                      <w:divBdr>
                        <w:top w:val="none" w:sz="0" w:space="0" w:color="auto"/>
                        <w:left w:val="none" w:sz="0" w:space="0" w:color="auto"/>
                        <w:bottom w:val="none" w:sz="0" w:space="0" w:color="auto"/>
                        <w:right w:val="none" w:sz="0" w:space="0" w:color="auto"/>
                      </w:divBdr>
                      <w:divsChild>
                        <w:div w:id="294148210">
                          <w:marLeft w:val="0"/>
                          <w:marRight w:val="0"/>
                          <w:marTop w:val="0"/>
                          <w:marBottom w:val="0"/>
                          <w:divBdr>
                            <w:top w:val="none" w:sz="0" w:space="0" w:color="auto"/>
                            <w:left w:val="none" w:sz="0" w:space="0" w:color="auto"/>
                            <w:bottom w:val="none" w:sz="0" w:space="0" w:color="auto"/>
                            <w:right w:val="none" w:sz="0" w:space="0" w:color="auto"/>
                          </w:divBdr>
                        </w:div>
                      </w:divsChild>
                    </w:div>
                    <w:div w:id="294144144">
                      <w:marLeft w:val="0"/>
                      <w:marRight w:val="0"/>
                      <w:marTop w:val="0"/>
                      <w:marBottom w:val="0"/>
                      <w:divBdr>
                        <w:top w:val="none" w:sz="0" w:space="0" w:color="auto"/>
                        <w:left w:val="none" w:sz="0" w:space="0" w:color="auto"/>
                        <w:bottom w:val="none" w:sz="0" w:space="0" w:color="auto"/>
                        <w:right w:val="none" w:sz="0" w:space="0" w:color="auto"/>
                      </w:divBdr>
                      <w:divsChild>
                        <w:div w:id="294140635">
                          <w:marLeft w:val="0"/>
                          <w:marRight w:val="0"/>
                          <w:marTop w:val="0"/>
                          <w:marBottom w:val="0"/>
                          <w:divBdr>
                            <w:top w:val="none" w:sz="0" w:space="0" w:color="auto"/>
                            <w:left w:val="none" w:sz="0" w:space="0" w:color="auto"/>
                            <w:bottom w:val="none" w:sz="0" w:space="0" w:color="auto"/>
                            <w:right w:val="none" w:sz="0" w:space="0" w:color="auto"/>
                          </w:divBdr>
                        </w:div>
                      </w:divsChild>
                    </w:div>
                    <w:div w:id="294144154">
                      <w:marLeft w:val="0"/>
                      <w:marRight w:val="0"/>
                      <w:marTop w:val="0"/>
                      <w:marBottom w:val="0"/>
                      <w:divBdr>
                        <w:top w:val="none" w:sz="0" w:space="0" w:color="auto"/>
                        <w:left w:val="none" w:sz="0" w:space="0" w:color="auto"/>
                        <w:bottom w:val="none" w:sz="0" w:space="0" w:color="auto"/>
                        <w:right w:val="none" w:sz="0" w:space="0" w:color="auto"/>
                      </w:divBdr>
                      <w:divsChild>
                        <w:div w:id="294150996">
                          <w:marLeft w:val="0"/>
                          <w:marRight w:val="0"/>
                          <w:marTop w:val="0"/>
                          <w:marBottom w:val="0"/>
                          <w:divBdr>
                            <w:top w:val="none" w:sz="0" w:space="0" w:color="auto"/>
                            <w:left w:val="none" w:sz="0" w:space="0" w:color="auto"/>
                            <w:bottom w:val="none" w:sz="0" w:space="0" w:color="auto"/>
                            <w:right w:val="none" w:sz="0" w:space="0" w:color="auto"/>
                          </w:divBdr>
                        </w:div>
                      </w:divsChild>
                    </w:div>
                    <w:div w:id="294144156">
                      <w:marLeft w:val="0"/>
                      <w:marRight w:val="0"/>
                      <w:marTop w:val="0"/>
                      <w:marBottom w:val="0"/>
                      <w:divBdr>
                        <w:top w:val="none" w:sz="0" w:space="0" w:color="auto"/>
                        <w:left w:val="none" w:sz="0" w:space="0" w:color="auto"/>
                        <w:bottom w:val="none" w:sz="0" w:space="0" w:color="auto"/>
                        <w:right w:val="none" w:sz="0" w:space="0" w:color="auto"/>
                      </w:divBdr>
                      <w:divsChild>
                        <w:div w:id="294148315">
                          <w:marLeft w:val="0"/>
                          <w:marRight w:val="0"/>
                          <w:marTop w:val="0"/>
                          <w:marBottom w:val="0"/>
                          <w:divBdr>
                            <w:top w:val="none" w:sz="0" w:space="0" w:color="auto"/>
                            <w:left w:val="none" w:sz="0" w:space="0" w:color="auto"/>
                            <w:bottom w:val="none" w:sz="0" w:space="0" w:color="auto"/>
                            <w:right w:val="none" w:sz="0" w:space="0" w:color="auto"/>
                          </w:divBdr>
                        </w:div>
                      </w:divsChild>
                    </w:div>
                    <w:div w:id="294144159">
                      <w:marLeft w:val="0"/>
                      <w:marRight w:val="0"/>
                      <w:marTop w:val="0"/>
                      <w:marBottom w:val="0"/>
                      <w:divBdr>
                        <w:top w:val="none" w:sz="0" w:space="0" w:color="auto"/>
                        <w:left w:val="none" w:sz="0" w:space="0" w:color="auto"/>
                        <w:bottom w:val="none" w:sz="0" w:space="0" w:color="auto"/>
                        <w:right w:val="none" w:sz="0" w:space="0" w:color="auto"/>
                      </w:divBdr>
                      <w:divsChild>
                        <w:div w:id="294151178">
                          <w:marLeft w:val="0"/>
                          <w:marRight w:val="0"/>
                          <w:marTop w:val="0"/>
                          <w:marBottom w:val="0"/>
                          <w:divBdr>
                            <w:top w:val="none" w:sz="0" w:space="0" w:color="auto"/>
                            <w:left w:val="none" w:sz="0" w:space="0" w:color="auto"/>
                            <w:bottom w:val="none" w:sz="0" w:space="0" w:color="auto"/>
                            <w:right w:val="none" w:sz="0" w:space="0" w:color="auto"/>
                          </w:divBdr>
                        </w:div>
                      </w:divsChild>
                    </w:div>
                    <w:div w:id="294144184">
                      <w:marLeft w:val="0"/>
                      <w:marRight w:val="0"/>
                      <w:marTop w:val="0"/>
                      <w:marBottom w:val="0"/>
                      <w:divBdr>
                        <w:top w:val="none" w:sz="0" w:space="0" w:color="auto"/>
                        <w:left w:val="none" w:sz="0" w:space="0" w:color="auto"/>
                        <w:bottom w:val="none" w:sz="0" w:space="0" w:color="auto"/>
                        <w:right w:val="none" w:sz="0" w:space="0" w:color="auto"/>
                      </w:divBdr>
                    </w:div>
                    <w:div w:id="294144186">
                      <w:marLeft w:val="0"/>
                      <w:marRight w:val="0"/>
                      <w:marTop w:val="0"/>
                      <w:marBottom w:val="0"/>
                      <w:divBdr>
                        <w:top w:val="none" w:sz="0" w:space="0" w:color="auto"/>
                        <w:left w:val="none" w:sz="0" w:space="0" w:color="auto"/>
                        <w:bottom w:val="none" w:sz="0" w:space="0" w:color="auto"/>
                        <w:right w:val="none" w:sz="0" w:space="0" w:color="auto"/>
                      </w:divBdr>
                    </w:div>
                    <w:div w:id="294144202">
                      <w:marLeft w:val="0"/>
                      <w:marRight w:val="0"/>
                      <w:marTop w:val="0"/>
                      <w:marBottom w:val="0"/>
                      <w:divBdr>
                        <w:top w:val="none" w:sz="0" w:space="0" w:color="auto"/>
                        <w:left w:val="none" w:sz="0" w:space="0" w:color="auto"/>
                        <w:bottom w:val="none" w:sz="0" w:space="0" w:color="auto"/>
                        <w:right w:val="none" w:sz="0" w:space="0" w:color="auto"/>
                      </w:divBdr>
                      <w:divsChild>
                        <w:div w:id="294144216">
                          <w:marLeft w:val="0"/>
                          <w:marRight w:val="0"/>
                          <w:marTop w:val="0"/>
                          <w:marBottom w:val="0"/>
                          <w:divBdr>
                            <w:top w:val="none" w:sz="0" w:space="0" w:color="auto"/>
                            <w:left w:val="none" w:sz="0" w:space="0" w:color="auto"/>
                            <w:bottom w:val="none" w:sz="0" w:space="0" w:color="auto"/>
                            <w:right w:val="none" w:sz="0" w:space="0" w:color="auto"/>
                          </w:divBdr>
                        </w:div>
                      </w:divsChild>
                    </w:div>
                    <w:div w:id="294144249">
                      <w:marLeft w:val="0"/>
                      <w:marRight w:val="0"/>
                      <w:marTop w:val="0"/>
                      <w:marBottom w:val="0"/>
                      <w:divBdr>
                        <w:top w:val="none" w:sz="0" w:space="0" w:color="auto"/>
                        <w:left w:val="none" w:sz="0" w:space="0" w:color="auto"/>
                        <w:bottom w:val="none" w:sz="0" w:space="0" w:color="auto"/>
                        <w:right w:val="none" w:sz="0" w:space="0" w:color="auto"/>
                      </w:divBdr>
                      <w:divsChild>
                        <w:div w:id="294138296">
                          <w:marLeft w:val="0"/>
                          <w:marRight w:val="0"/>
                          <w:marTop w:val="0"/>
                          <w:marBottom w:val="0"/>
                          <w:divBdr>
                            <w:top w:val="none" w:sz="0" w:space="0" w:color="auto"/>
                            <w:left w:val="none" w:sz="0" w:space="0" w:color="auto"/>
                            <w:bottom w:val="none" w:sz="0" w:space="0" w:color="auto"/>
                            <w:right w:val="none" w:sz="0" w:space="0" w:color="auto"/>
                          </w:divBdr>
                        </w:div>
                      </w:divsChild>
                    </w:div>
                    <w:div w:id="294144257">
                      <w:marLeft w:val="0"/>
                      <w:marRight w:val="0"/>
                      <w:marTop w:val="0"/>
                      <w:marBottom w:val="0"/>
                      <w:divBdr>
                        <w:top w:val="none" w:sz="0" w:space="0" w:color="auto"/>
                        <w:left w:val="none" w:sz="0" w:space="0" w:color="auto"/>
                        <w:bottom w:val="none" w:sz="0" w:space="0" w:color="auto"/>
                        <w:right w:val="none" w:sz="0" w:space="0" w:color="auto"/>
                      </w:divBdr>
                      <w:divsChild>
                        <w:div w:id="294152559">
                          <w:marLeft w:val="0"/>
                          <w:marRight w:val="0"/>
                          <w:marTop w:val="0"/>
                          <w:marBottom w:val="0"/>
                          <w:divBdr>
                            <w:top w:val="none" w:sz="0" w:space="0" w:color="auto"/>
                            <w:left w:val="none" w:sz="0" w:space="0" w:color="auto"/>
                            <w:bottom w:val="none" w:sz="0" w:space="0" w:color="auto"/>
                            <w:right w:val="none" w:sz="0" w:space="0" w:color="auto"/>
                          </w:divBdr>
                        </w:div>
                      </w:divsChild>
                    </w:div>
                    <w:div w:id="294144324">
                      <w:marLeft w:val="0"/>
                      <w:marRight w:val="0"/>
                      <w:marTop w:val="0"/>
                      <w:marBottom w:val="0"/>
                      <w:divBdr>
                        <w:top w:val="none" w:sz="0" w:space="0" w:color="auto"/>
                        <w:left w:val="none" w:sz="0" w:space="0" w:color="auto"/>
                        <w:bottom w:val="none" w:sz="0" w:space="0" w:color="auto"/>
                        <w:right w:val="none" w:sz="0" w:space="0" w:color="auto"/>
                      </w:divBdr>
                    </w:div>
                    <w:div w:id="294144339">
                      <w:marLeft w:val="0"/>
                      <w:marRight w:val="0"/>
                      <w:marTop w:val="0"/>
                      <w:marBottom w:val="0"/>
                      <w:divBdr>
                        <w:top w:val="none" w:sz="0" w:space="0" w:color="auto"/>
                        <w:left w:val="none" w:sz="0" w:space="0" w:color="auto"/>
                        <w:bottom w:val="none" w:sz="0" w:space="0" w:color="auto"/>
                        <w:right w:val="none" w:sz="0" w:space="0" w:color="auto"/>
                      </w:divBdr>
                    </w:div>
                    <w:div w:id="294144349">
                      <w:marLeft w:val="0"/>
                      <w:marRight w:val="0"/>
                      <w:marTop w:val="0"/>
                      <w:marBottom w:val="0"/>
                      <w:divBdr>
                        <w:top w:val="none" w:sz="0" w:space="0" w:color="auto"/>
                        <w:left w:val="none" w:sz="0" w:space="0" w:color="auto"/>
                        <w:bottom w:val="none" w:sz="0" w:space="0" w:color="auto"/>
                        <w:right w:val="none" w:sz="0" w:space="0" w:color="auto"/>
                      </w:divBdr>
                    </w:div>
                    <w:div w:id="294144376">
                      <w:marLeft w:val="0"/>
                      <w:marRight w:val="0"/>
                      <w:marTop w:val="0"/>
                      <w:marBottom w:val="0"/>
                      <w:divBdr>
                        <w:top w:val="none" w:sz="0" w:space="0" w:color="auto"/>
                        <w:left w:val="none" w:sz="0" w:space="0" w:color="auto"/>
                        <w:bottom w:val="none" w:sz="0" w:space="0" w:color="auto"/>
                        <w:right w:val="none" w:sz="0" w:space="0" w:color="auto"/>
                      </w:divBdr>
                    </w:div>
                    <w:div w:id="294144377">
                      <w:marLeft w:val="0"/>
                      <w:marRight w:val="0"/>
                      <w:marTop w:val="0"/>
                      <w:marBottom w:val="0"/>
                      <w:divBdr>
                        <w:top w:val="none" w:sz="0" w:space="0" w:color="auto"/>
                        <w:left w:val="none" w:sz="0" w:space="0" w:color="auto"/>
                        <w:bottom w:val="none" w:sz="0" w:space="0" w:color="auto"/>
                        <w:right w:val="none" w:sz="0" w:space="0" w:color="auto"/>
                      </w:divBdr>
                      <w:divsChild>
                        <w:div w:id="294148163">
                          <w:marLeft w:val="0"/>
                          <w:marRight w:val="0"/>
                          <w:marTop w:val="0"/>
                          <w:marBottom w:val="0"/>
                          <w:divBdr>
                            <w:top w:val="none" w:sz="0" w:space="0" w:color="auto"/>
                            <w:left w:val="none" w:sz="0" w:space="0" w:color="auto"/>
                            <w:bottom w:val="none" w:sz="0" w:space="0" w:color="auto"/>
                            <w:right w:val="none" w:sz="0" w:space="0" w:color="auto"/>
                          </w:divBdr>
                        </w:div>
                      </w:divsChild>
                    </w:div>
                    <w:div w:id="294144396">
                      <w:marLeft w:val="0"/>
                      <w:marRight w:val="0"/>
                      <w:marTop w:val="0"/>
                      <w:marBottom w:val="0"/>
                      <w:divBdr>
                        <w:top w:val="none" w:sz="0" w:space="0" w:color="auto"/>
                        <w:left w:val="none" w:sz="0" w:space="0" w:color="auto"/>
                        <w:bottom w:val="none" w:sz="0" w:space="0" w:color="auto"/>
                        <w:right w:val="none" w:sz="0" w:space="0" w:color="auto"/>
                      </w:divBdr>
                      <w:divsChild>
                        <w:div w:id="294151941">
                          <w:marLeft w:val="0"/>
                          <w:marRight w:val="0"/>
                          <w:marTop w:val="0"/>
                          <w:marBottom w:val="0"/>
                          <w:divBdr>
                            <w:top w:val="none" w:sz="0" w:space="0" w:color="auto"/>
                            <w:left w:val="none" w:sz="0" w:space="0" w:color="auto"/>
                            <w:bottom w:val="none" w:sz="0" w:space="0" w:color="auto"/>
                            <w:right w:val="none" w:sz="0" w:space="0" w:color="auto"/>
                          </w:divBdr>
                        </w:div>
                      </w:divsChild>
                    </w:div>
                    <w:div w:id="294144415">
                      <w:marLeft w:val="0"/>
                      <w:marRight w:val="0"/>
                      <w:marTop w:val="0"/>
                      <w:marBottom w:val="0"/>
                      <w:divBdr>
                        <w:top w:val="none" w:sz="0" w:space="0" w:color="auto"/>
                        <w:left w:val="none" w:sz="0" w:space="0" w:color="auto"/>
                        <w:bottom w:val="none" w:sz="0" w:space="0" w:color="auto"/>
                        <w:right w:val="none" w:sz="0" w:space="0" w:color="auto"/>
                      </w:divBdr>
                    </w:div>
                    <w:div w:id="294144418">
                      <w:marLeft w:val="0"/>
                      <w:marRight w:val="0"/>
                      <w:marTop w:val="0"/>
                      <w:marBottom w:val="0"/>
                      <w:divBdr>
                        <w:top w:val="none" w:sz="0" w:space="0" w:color="auto"/>
                        <w:left w:val="none" w:sz="0" w:space="0" w:color="auto"/>
                        <w:bottom w:val="none" w:sz="0" w:space="0" w:color="auto"/>
                        <w:right w:val="none" w:sz="0" w:space="0" w:color="auto"/>
                      </w:divBdr>
                    </w:div>
                    <w:div w:id="294144466">
                      <w:marLeft w:val="0"/>
                      <w:marRight w:val="0"/>
                      <w:marTop w:val="0"/>
                      <w:marBottom w:val="0"/>
                      <w:divBdr>
                        <w:top w:val="none" w:sz="0" w:space="0" w:color="auto"/>
                        <w:left w:val="none" w:sz="0" w:space="0" w:color="auto"/>
                        <w:bottom w:val="none" w:sz="0" w:space="0" w:color="auto"/>
                        <w:right w:val="none" w:sz="0" w:space="0" w:color="auto"/>
                      </w:divBdr>
                      <w:divsChild>
                        <w:div w:id="294149480">
                          <w:marLeft w:val="0"/>
                          <w:marRight w:val="0"/>
                          <w:marTop w:val="0"/>
                          <w:marBottom w:val="0"/>
                          <w:divBdr>
                            <w:top w:val="none" w:sz="0" w:space="0" w:color="auto"/>
                            <w:left w:val="none" w:sz="0" w:space="0" w:color="auto"/>
                            <w:bottom w:val="none" w:sz="0" w:space="0" w:color="auto"/>
                            <w:right w:val="none" w:sz="0" w:space="0" w:color="auto"/>
                          </w:divBdr>
                        </w:div>
                      </w:divsChild>
                    </w:div>
                    <w:div w:id="294144477">
                      <w:marLeft w:val="0"/>
                      <w:marRight w:val="0"/>
                      <w:marTop w:val="0"/>
                      <w:marBottom w:val="0"/>
                      <w:divBdr>
                        <w:top w:val="none" w:sz="0" w:space="0" w:color="auto"/>
                        <w:left w:val="none" w:sz="0" w:space="0" w:color="auto"/>
                        <w:bottom w:val="none" w:sz="0" w:space="0" w:color="auto"/>
                        <w:right w:val="none" w:sz="0" w:space="0" w:color="auto"/>
                      </w:divBdr>
                    </w:div>
                    <w:div w:id="294144478">
                      <w:marLeft w:val="0"/>
                      <w:marRight w:val="0"/>
                      <w:marTop w:val="0"/>
                      <w:marBottom w:val="0"/>
                      <w:divBdr>
                        <w:top w:val="none" w:sz="0" w:space="0" w:color="auto"/>
                        <w:left w:val="none" w:sz="0" w:space="0" w:color="auto"/>
                        <w:bottom w:val="none" w:sz="0" w:space="0" w:color="auto"/>
                        <w:right w:val="none" w:sz="0" w:space="0" w:color="auto"/>
                      </w:divBdr>
                      <w:divsChild>
                        <w:div w:id="294144131">
                          <w:marLeft w:val="0"/>
                          <w:marRight w:val="0"/>
                          <w:marTop w:val="0"/>
                          <w:marBottom w:val="0"/>
                          <w:divBdr>
                            <w:top w:val="none" w:sz="0" w:space="0" w:color="auto"/>
                            <w:left w:val="none" w:sz="0" w:space="0" w:color="auto"/>
                            <w:bottom w:val="none" w:sz="0" w:space="0" w:color="auto"/>
                            <w:right w:val="none" w:sz="0" w:space="0" w:color="auto"/>
                          </w:divBdr>
                        </w:div>
                      </w:divsChild>
                    </w:div>
                    <w:div w:id="294144479">
                      <w:marLeft w:val="0"/>
                      <w:marRight w:val="0"/>
                      <w:marTop w:val="0"/>
                      <w:marBottom w:val="0"/>
                      <w:divBdr>
                        <w:top w:val="none" w:sz="0" w:space="0" w:color="auto"/>
                        <w:left w:val="none" w:sz="0" w:space="0" w:color="auto"/>
                        <w:bottom w:val="none" w:sz="0" w:space="0" w:color="auto"/>
                        <w:right w:val="none" w:sz="0" w:space="0" w:color="auto"/>
                      </w:divBdr>
                      <w:divsChild>
                        <w:div w:id="294155881">
                          <w:marLeft w:val="0"/>
                          <w:marRight w:val="0"/>
                          <w:marTop w:val="0"/>
                          <w:marBottom w:val="0"/>
                          <w:divBdr>
                            <w:top w:val="none" w:sz="0" w:space="0" w:color="auto"/>
                            <w:left w:val="none" w:sz="0" w:space="0" w:color="auto"/>
                            <w:bottom w:val="none" w:sz="0" w:space="0" w:color="auto"/>
                            <w:right w:val="none" w:sz="0" w:space="0" w:color="auto"/>
                          </w:divBdr>
                        </w:div>
                      </w:divsChild>
                    </w:div>
                    <w:div w:id="294144499">
                      <w:marLeft w:val="0"/>
                      <w:marRight w:val="0"/>
                      <w:marTop w:val="0"/>
                      <w:marBottom w:val="0"/>
                      <w:divBdr>
                        <w:top w:val="none" w:sz="0" w:space="0" w:color="auto"/>
                        <w:left w:val="none" w:sz="0" w:space="0" w:color="auto"/>
                        <w:bottom w:val="none" w:sz="0" w:space="0" w:color="auto"/>
                        <w:right w:val="none" w:sz="0" w:space="0" w:color="auto"/>
                      </w:divBdr>
                      <w:divsChild>
                        <w:div w:id="294156557">
                          <w:marLeft w:val="0"/>
                          <w:marRight w:val="0"/>
                          <w:marTop w:val="0"/>
                          <w:marBottom w:val="0"/>
                          <w:divBdr>
                            <w:top w:val="none" w:sz="0" w:space="0" w:color="auto"/>
                            <w:left w:val="none" w:sz="0" w:space="0" w:color="auto"/>
                            <w:bottom w:val="none" w:sz="0" w:space="0" w:color="auto"/>
                            <w:right w:val="none" w:sz="0" w:space="0" w:color="auto"/>
                          </w:divBdr>
                        </w:div>
                      </w:divsChild>
                    </w:div>
                    <w:div w:id="294144541">
                      <w:marLeft w:val="0"/>
                      <w:marRight w:val="0"/>
                      <w:marTop w:val="0"/>
                      <w:marBottom w:val="0"/>
                      <w:divBdr>
                        <w:top w:val="none" w:sz="0" w:space="0" w:color="auto"/>
                        <w:left w:val="none" w:sz="0" w:space="0" w:color="auto"/>
                        <w:bottom w:val="none" w:sz="0" w:space="0" w:color="auto"/>
                        <w:right w:val="none" w:sz="0" w:space="0" w:color="auto"/>
                      </w:divBdr>
                    </w:div>
                    <w:div w:id="294144542">
                      <w:marLeft w:val="0"/>
                      <w:marRight w:val="0"/>
                      <w:marTop w:val="0"/>
                      <w:marBottom w:val="0"/>
                      <w:divBdr>
                        <w:top w:val="none" w:sz="0" w:space="0" w:color="auto"/>
                        <w:left w:val="none" w:sz="0" w:space="0" w:color="auto"/>
                        <w:bottom w:val="none" w:sz="0" w:space="0" w:color="auto"/>
                        <w:right w:val="none" w:sz="0" w:space="0" w:color="auto"/>
                      </w:divBdr>
                    </w:div>
                    <w:div w:id="294144584">
                      <w:marLeft w:val="0"/>
                      <w:marRight w:val="0"/>
                      <w:marTop w:val="0"/>
                      <w:marBottom w:val="0"/>
                      <w:divBdr>
                        <w:top w:val="none" w:sz="0" w:space="0" w:color="auto"/>
                        <w:left w:val="none" w:sz="0" w:space="0" w:color="auto"/>
                        <w:bottom w:val="none" w:sz="0" w:space="0" w:color="auto"/>
                        <w:right w:val="none" w:sz="0" w:space="0" w:color="auto"/>
                      </w:divBdr>
                    </w:div>
                    <w:div w:id="294144613">
                      <w:marLeft w:val="0"/>
                      <w:marRight w:val="0"/>
                      <w:marTop w:val="0"/>
                      <w:marBottom w:val="0"/>
                      <w:divBdr>
                        <w:top w:val="none" w:sz="0" w:space="0" w:color="auto"/>
                        <w:left w:val="none" w:sz="0" w:space="0" w:color="auto"/>
                        <w:bottom w:val="none" w:sz="0" w:space="0" w:color="auto"/>
                        <w:right w:val="none" w:sz="0" w:space="0" w:color="auto"/>
                      </w:divBdr>
                      <w:divsChild>
                        <w:div w:id="294140623">
                          <w:marLeft w:val="0"/>
                          <w:marRight w:val="0"/>
                          <w:marTop w:val="0"/>
                          <w:marBottom w:val="0"/>
                          <w:divBdr>
                            <w:top w:val="none" w:sz="0" w:space="0" w:color="auto"/>
                            <w:left w:val="none" w:sz="0" w:space="0" w:color="auto"/>
                            <w:bottom w:val="none" w:sz="0" w:space="0" w:color="auto"/>
                            <w:right w:val="none" w:sz="0" w:space="0" w:color="auto"/>
                          </w:divBdr>
                        </w:div>
                      </w:divsChild>
                    </w:div>
                    <w:div w:id="294144636">
                      <w:marLeft w:val="0"/>
                      <w:marRight w:val="0"/>
                      <w:marTop w:val="0"/>
                      <w:marBottom w:val="0"/>
                      <w:divBdr>
                        <w:top w:val="none" w:sz="0" w:space="0" w:color="auto"/>
                        <w:left w:val="none" w:sz="0" w:space="0" w:color="auto"/>
                        <w:bottom w:val="none" w:sz="0" w:space="0" w:color="auto"/>
                        <w:right w:val="none" w:sz="0" w:space="0" w:color="auto"/>
                      </w:divBdr>
                    </w:div>
                    <w:div w:id="294144640">
                      <w:marLeft w:val="0"/>
                      <w:marRight w:val="0"/>
                      <w:marTop w:val="0"/>
                      <w:marBottom w:val="0"/>
                      <w:divBdr>
                        <w:top w:val="none" w:sz="0" w:space="0" w:color="auto"/>
                        <w:left w:val="none" w:sz="0" w:space="0" w:color="auto"/>
                        <w:bottom w:val="none" w:sz="0" w:space="0" w:color="auto"/>
                        <w:right w:val="none" w:sz="0" w:space="0" w:color="auto"/>
                      </w:divBdr>
                      <w:divsChild>
                        <w:div w:id="294146551">
                          <w:marLeft w:val="0"/>
                          <w:marRight w:val="0"/>
                          <w:marTop w:val="0"/>
                          <w:marBottom w:val="0"/>
                          <w:divBdr>
                            <w:top w:val="none" w:sz="0" w:space="0" w:color="auto"/>
                            <w:left w:val="none" w:sz="0" w:space="0" w:color="auto"/>
                            <w:bottom w:val="none" w:sz="0" w:space="0" w:color="auto"/>
                            <w:right w:val="none" w:sz="0" w:space="0" w:color="auto"/>
                          </w:divBdr>
                        </w:div>
                      </w:divsChild>
                    </w:div>
                    <w:div w:id="294144666">
                      <w:marLeft w:val="0"/>
                      <w:marRight w:val="0"/>
                      <w:marTop w:val="0"/>
                      <w:marBottom w:val="0"/>
                      <w:divBdr>
                        <w:top w:val="none" w:sz="0" w:space="0" w:color="auto"/>
                        <w:left w:val="none" w:sz="0" w:space="0" w:color="auto"/>
                        <w:bottom w:val="none" w:sz="0" w:space="0" w:color="auto"/>
                        <w:right w:val="none" w:sz="0" w:space="0" w:color="auto"/>
                      </w:divBdr>
                    </w:div>
                    <w:div w:id="294144742">
                      <w:marLeft w:val="0"/>
                      <w:marRight w:val="0"/>
                      <w:marTop w:val="0"/>
                      <w:marBottom w:val="0"/>
                      <w:divBdr>
                        <w:top w:val="none" w:sz="0" w:space="0" w:color="auto"/>
                        <w:left w:val="none" w:sz="0" w:space="0" w:color="auto"/>
                        <w:bottom w:val="none" w:sz="0" w:space="0" w:color="auto"/>
                        <w:right w:val="none" w:sz="0" w:space="0" w:color="auto"/>
                      </w:divBdr>
                    </w:div>
                    <w:div w:id="294144881">
                      <w:marLeft w:val="0"/>
                      <w:marRight w:val="0"/>
                      <w:marTop w:val="0"/>
                      <w:marBottom w:val="0"/>
                      <w:divBdr>
                        <w:top w:val="none" w:sz="0" w:space="0" w:color="auto"/>
                        <w:left w:val="none" w:sz="0" w:space="0" w:color="auto"/>
                        <w:bottom w:val="none" w:sz="0" w:space="0" w:color="auto"/>
                        <w:right w:val="none" w:sz="0" w:space="0" w:color="auto"/>
                      </w:divBdr>
                    </w:div>
                    <w:div w:id="294144910">
                      <w:marLeft w:val="0"/>
                      <w:marRight w:val="0"/>
                      <w:marTop w:val="0"/>
                      <w:marBottom w:val="0"/>
                      <w:divBdr>
                        <w:top w:val="none" w:sz="0" w:space="0" w:color="auto"/>
                        <w:left w:val="none" w:sz="0" w:space="0" w:color="auto"/>
                        <w:bottom w:val="none" w:sz="0" w:space="0" w:color="auto"/>
                        <w:right w:val="none" w:sz="0" w:space="0" w:color="auto"/>
                      </w:divBdr>
                    </w:div>
                    <w:div w:id="294144931">
                      <w:marLeft w:val="0"/>
                      <w:marRight w:val="0"/>
                      <w:marTop w:val="0"/>
                      <w:marBottom w:val="0"/>
                      <w:divBdr>
                        <w:top w:val="none" w:sz="0" w:space="0" w:color="auto"/>
                        <w:left w:val="none" w:sz="0" w:space="0" w:color="auto"/>
                        <w:bottom w:val="none" w:sz="0" w:space="0" w:color="auto"/>
                        <w:right w:val="none" w:sz="0" w:space="0" w:color="auto"/>
                      </w:divBdr>
                    </w:div>
                    <w:div w:id="294144965">
                      <w:marLeft w:val="0"/>
                      <w:marRight w:val="0"/>
                      <w:marTop w:val="0"/>
                      <w:marBottom w:val="0"/>
                      <w:divBdr>
                        <w:top w:val="none" w:sz="0" w:space="0" w:color="auto"/>
                        <w:left w:val="none" w:sz="0" w:space="0" w:color="auto"/>
                        <w:bottom w:val="none" w:sz="0" w:space="0" w:color="auto"/>
                        <w:right w:val="none" w:sz="0" w:space="0" w:color="auto"/>
                      </w:divBdr>
                    </w:div>
                    <w:div w:id="294144986">
                      <w:marLeft w:val="0"/>
                      <w:marRight w:val="0"/>
                      <w:marTop w:val="0"/>
                      <w:marBottom w:val="0"/>
                      <w:divBdr>
                        <w:top w:val="none" w:sz="0" w:space="0" w:color="auto"/>
                        <w:left w:val="none" w:sz="0" w:space="0" w:color="auto"/>
                        <w:bottom w:val="none" w:sz="0" w:space="0" w:color="auto"/>
                        <w:right w:val="none" w:sz="0" w:space="0" w:color="auto"/>
                      </w:divBdr>
                    </w:div>
                    <w:div w:id="294144987">
                      <w:marLeft w:val="0"/>
                      <w:marRight w:val="0"/>
                      <w:marTop w:val="0"/>
                      <w:marBottom w:val="0"/>
                      <w:divBdr>
                        <w:top w:val="none" w:sz="0" w:space="0" w:color="auto"/>
                        <w:left w:val="none" w:sz="0" w:space="0" w:color="auto"/>
                        <w:bottom w:val="none" w:sz="0" w:space="0" w:color="auto"/>
                        <w:right w:val="none" w:sz="0" w:space="0" w:color="auto"/>
                      </w:divBdr>
                      <w:divsChild>
                        <w:div w:id="294148927">
                          <w:marLeft w:val="0"/>
                          <w:marRight w:val="0"/>
                          <w:marTop w:val="0"/>
                          <w:marBottom w:val="0"/>
                          <w:divBdr>
                            <w:top w:val="none" w:sz="0" w:space="0" w:color="auto"/>
                            <w:left w:val="none" w:sz="0" w:space="0" w:color="auto"/>
                            <w:bottom w:val="none" w:sz="0" w:space="0" w:color="auto"/>
                            <w:right w:val="none" w:sz="0" w:space="0" w:color="auto"/>
                          </w:divBdr>
                        </w:div>
                      </w:divsChild>
                    </w:div>
                    <w:div w:id="294144994">
                      <w:marLeft w:val="0"/>
                      <w:marRight w:val="0"/>
                      <w:marTop w:val="0"/>
                      <w:marBottom w:val="0"/>
                      <w:divBdr>
                        <w:top w:val="none" w:sz="0" w:space="0" w:color="auto"/>
                        <w:left w:val="none" w:sz="0" w:space="0" w:color="auto"/>
                        <w:bottom w:val="none" w:sz="0" w:space="0" w:color="auto"/>
                        <w:right w:val="none" w:sz="0" w:space="0" w:color="auto"/>
                      </w:divBdr>
                      <w:divsChild>
                        <w:div w:id="294139233">
                          <w:marLeft w:val="0"/>
                          <w:marRight w:val="0"/>
                          <w:marTop w:val="0"/>
                          <w:marBottom w:val="0"/>
                          <w:divBdr>
                            <w:top w:val="none" w:sz="0" w:space="0" w:color="auto"/>
                            <w:left w:val="none" w:sz="0" w:space="0" w:color="auto"/>
                            <w:bottom w:val="none" w:sz="0" w:space="0" w:color="auto"/>
                            <w:right w:val="none" w:sz="0" w:space="0" w:color="auto"/>
                          </w:divBdr>
                        </w:div>
                      </w:divsChild>
                    </w:div>
                    <w:div w:id="294145022">
                      <w:marLeft w:val="0"/>
                      <w:marRight w:val="0"/>
                      <w:marTop w:val="0"/>
                      <w:marBottom w:val="0"/>
                      <w:divBdr>
                        <w:top w:val="none" w:sz="0" w:space="0" w:color="auto"/>
                        <w:left w:val="none" w:sz="0" w:space="0" w:color="auto"/>
                        <w:bottom w:val="none" w:sz="0" w:space="0" w:color="auto"/>
                        <w:right w:val="none" w:sz="0" w:space="0" w:color="auto"/>
                      </w:divBdr>
                    </w:div>
                    <w:div w:id="294145038">
                      <w:marLeft w:val="0"/>
                      <w:marRight w:val="0"/>
                      <w:marTop w:val="0"/>
                      <w:marBottom w:val="0"/>
                      <w:divBdr>
                        <w:top w:val="none" w:sz="0" w:space="0" w:color="auto"/>
                        <w:left w:val="none" w:sz="0" w:space="0" w:color="auto"/>
                        <w:bottom w:val="none" w:sz="0" w:space="0" w:color="auto"/>
                        <w:right w:val="none" w:sz="0" w:space="0" w:color="auto"/>
                      </w:divBdr>
                      <w:divsChild>
                        <w:div w:id="294151620">
                          <w:marLeft w:val="0"/>
                          <w:marRight w:val="0"/>
                          <w:marTop w:val="0"/>
                          <w:marBottom w:val="0"/>
                          <w:divBdr>
                            <w:top w:val="none" w:sz="0" w:space="0" w:color="auto"/>
                            <w:left w:val="none" w:sz="0" w:space="0" w:color="auto"/>
                            <w:bottom w:val="none" w:sz="0" w:space="0" w:color="auto"/>
                            <w:right w:val="none" w:sz="0" w:space="0" w:color="auto"/>
                          </w:divBdr>
                        </w:div>
                      </w:divsChild>
                    </w:div>
                    <w:div w:id="294145041">
                      <w:marLeft w:val="0"/>
                      <w:marRight w:val="0"/>
                      <w:marTop w:val="0"/>
                      <w:marBottom w:val="0"/>
                      <w:divBdr>
                        <w:top w:val="none" w:sz="0" w:space="0" w:color="auto"/>
                        <w:left w:val="none" w:sz="0" w:space="0" w:color="auto"/>
                        <w:bottom w:val="none" w:sz="0" w:space="0" w:color="auto"/>
                        <w:right w:val="none" w:sz="0" w:space="0" w:color="auto"/>
                      </w:divBdr>
                      <w:divsChild>
                        <w:div w:id="294151080">
                          <w:marLeft w:val="0"/>
                          <w:marRight w:val="0"/>
                          <w:marTop w:val="0"/>
                          <w:marBottom w:val="0"/>
                          <w:divBdr>
                            <w:top w:val="none" w:sz="0" w:space="0" w:color="auto"/>
                            <w:left w:val="none" w:sz="0" w:space="0" w:color="auto"/>
                            <w:bottom w:val="none" w:sz="0" w:space="0" w:color="auto"/>
                            <w:right w:val="none" w:sz="0" w:space="0" w:color="auto"/>
                          </w:divBdr>
                        </w:div>
                      </w:divsChild>
                    </w:div>
                    <w:div w:id="294145101">
                      <w:marLeft w:val="0"/>
                      <w:marRight w:val="0"/>
                      <w:marTop w:val="0"/>
                      <w:marBottom w:val="0"/>
                      <w:divBdr>
                        <w:top w:val="none" w:sz="0" w:space="0" w:color="auto"/>
                        <w:left w:val="none" w:sz="0" w:space="0" w:color="auto"/>
                        <w:bottom w:val="none" w:sz="0" w:space="0" w:color="auto"/>
                        <w:right w:val="none" w:sz="0" w:space="0" w:color="auto"/>
                      </w:divBdr>
                      <w:divsChild>
                        <w:div w:id="294143091">
                          <w:marLeft w:val="0"/>
                          <w:marRight w:val="0"/>
                          <w:marTop w:val="0"/>
                          <w:marBottom w:val="0"/>
                          <w:divBdr>
                            <w:top w:val="none" w:sz="0" w:space="0" w:color="auto"/>
                            <w:left w:val="none" w:sz="0" w:space="0" w:color="auto"/>
                            <w:bottom w:val="none" w:sz="0" w:space="0" w:color="auto"/>
                            <w:right w:val="none" w:sz="0" w:space="0" w:color="auto"/>
                          </w:divBdr>
                        </w:div>
                      </w:divsChild>
                    </w:div>
                    <w:div w:id="294145143">
                      <w:marLeft w:val="0"/>
                      <w:marRight w:val="0"/>
                      <w:marTop w:val="0"/>
                      <w:marBottom w:val="0"/>
                      <w:divBdr>
                        <w:top w:val="none" w:sz="0" w:space="0" w:color="auto"/>
                        <w:left w:val="none" w:sz="0" w:space="0" w:color="auto"/>
                        <w:bottom w:val="none" w:sz="0" w:space="0" w:color="auto"/>
                        <w:right w:val="none" w:sz="0" w:space="0" w:color="auto"/>
                      </w:divBdr>
                      <w:divsChild>
                        <w:div w:id="294148059">
                          <w:marLeft w:val="0"/>
                          <w:marRight w:val="0"/>
                          <w:marTop w:val="0"/>
                          <w:marBottom w:val="0"/>
                          <w:divBdr>
                            <w:top w:val="none" w:sz="0" w:space="0" w:color="auto"/>
                            <w:left w:val="none" w:sz="0" w:space="0" w:color="auto"/>
                            <w:bottom w:val="none" w:sz="0" w:space="0" w:color="auto"/>
                            <w:right w:val="none" w:sz="0" w:space="0" w:color="auto"/>
                          </w:divBdr>
                        </w:div>
                      </w:divsChild>
                    </w:div>
                    <w:div w:id="294145147">
                      <w:marLeft w:val="0"/>
                      <w:marRight w:val="0"/>
                      <w:marTop w:val="0"/>
                      <w:marBottom w:val="0"/>
                      <w:divBdr>
                        <w:top w:val="none" w:sz="0" w:space="0" w:color="auto"/>
                        <w:left w:val="none" w:sz="0" w:space="0" w:color="auto"/>
                        <w:bottom w:val="none" w:sz="0" w:space="0" w:color="auto"/>
                        <w:right w:val="none" w:sz="0" w:space="0" w:color="auto"/>
                      </w:divBdr>
                      <w:divsChild>
                        <w:div w:id="294144361">
                          <w:marLeft w:val="0"/>
                          <w:marRight w:val="0"/>
                          <w:marTop w:val="0"/>
                          <w:marBottom w:val="0"/>
                          <w:divBdr>
                            <w:top w:val="none" w:sz="0" w:space="0" w:color="auto"/>
                            <w:left w:val="none" w:sz="0" w:space="0" w:color="auto"/>
                            <w:bottom w:val="none" w:sz="0" w:space="0" w:color="auto"/>
                            <w:right w:val="none" w:sz="0" w:space="0" w:color="auto"/>
                          </w:divBdr>
                        </w:div>
                      </w:divsChild>
                    </w:div>
                    <w:div w:id="294145184">
                      <w:marLeft w:val="0"/>
                      <w:marRight w:val="0"/>
                      <w:marTop w:val="0"/>
                      <w:marBottom w:val="0"/>
                      <w:divBdr>
                        <w:top w:val="none" w:sz="0" w:space="0" w:color="auto"/>
                        <w:left w:val="none" w:sz="0" w:space="0" w:color="auto"/>
                        <w:bottom w:val="none" w:sz="0" w:space="0" w:color="auto"/>
                        <w:right w:val="none" w:sz="0" w:space="0" w:color="auto"/>
                      </w:divBdr>
                      <w:divsChild>
                        <w:div w:id="294145367">
                          <w:marLeft w:val="0"/>
                          <w:marRight w:val="0"/>
                          <w:marTop w:val="0"/>
                          <w:marBottom w:val="0"/>
                          <w:divBdr>
                            <w:top w:val="none" w:sz="0" w:space="0" w:color="auto"/>
                            <w:left w:val="none" w:sz="0" w:space="0" w:color="auto"/>
                            <w:bottom w:val="none" w:sz="0" w:space="0" w:color="auto"/>
                            <w:right w:val="none" w:sz="0" w:space="0" w:color="auto"/>
                          </w:divBdr>
                        </w:div>
                      </w:divsChild>
                    </w:div>
                    <w:div w:id="294145199">
                      <w:marLeft w:val="0"/>
                      <w:marRight w:val="0"/>
                      <w:marTop w:val="0"/>
                      <w:marBottom w:val="0"/>
                      <w:divBdr>
                        <w:top w:val="none" w:sz="0" w:space="0" w:color="auto"/>
                        <w:left w:val="none" w:sz="0" w:space="0" w:color="auto"/>
                        <w:bottom w:val="none" w:sz="0" w:space="0" w:color="auto"/>
                        <w:right w:val="none" w:sz="0" w:space="0" w:color="auto"/>
                      </w:divBdr>
                    </w:div>
                    <w:div w:id="294145240">
                      <w:marLeft w:val="0"/>
                      <w:marRight w:val="0"/>
                      <w:marTop w:val="0"/>
                      <w:marBottom w:val="0"/>
                      <w:divBdr>
                        <w:top w:val="none" w:sz="0" w:space="0" w:color="auto"/>
                        <w:left w:val="none" w:sz="0" w:space="0" w:color="auto"/>
                        <w:bottom w:val="none" w:sz="0" w:space="0" w:color="auto"/>
                        <w:right w:val="none" w:sz="0" w:space="0" w:color="auto"/>
                      </w:divBdr>
                    </w:div>
                    <w:div w:id="294145249">
                      <w:marLeft w:val="0"/>
                      <w:marRight w:val="0"/>
                      <w:marTop w:val="0"/>
                      <w:marBottom w:val="0"/>
                      <w:divBdr>
                        <w:top w:val="none" w:sz="0" w:space="0" w:color="auto"/>
                        <w:left w:val="none" w:sz="0" w:space="0" w:color="auto"/>
                        <w:bottom w:val="none" w:sz="0" w:space="0" w:color="auto"/>
                        <w:right w:val="none" w:sz="0" w:space="0" w:color="auto"/>
                      </w:divBdr>
                    </w:div>
                    <w:div w:id="294145304">
                      <w:marLeft w:val="0"/>
                      <w:marRight w:val="0"/>
                      <w:marTop w:val="0"/>
                      <w:marBottom w:val="0"/>
                      <w:divBdr>
                        <w:top w:val="none" w:sz="0" w:space="0" w:color="auto"/>
                        <w:left w:val="none" w:sz="0" w:space="0" w:color="auto"/>
                        <w:bottom w:val="none" w:sz="0" w:space="0" w:color="auto"/>
                        <w:right w:val="none" w:sz="0" w:space="0" w:color="auto"/>
                      </w:divBdr>
                      <w:divsChild>
                        <w:div w:id="294153161">
                          <w:marLeft w:val="0"/>
                          <w:marRight w:val="0"/>
                          <w:marTop w:val="0"/>
                          <w:marBottom w:val="0"/>
                          <w:divBdr>
                            <w:top w:val="none" w:sz="0" w:space="0" w:color="auto"/>
                            <w:left w:val="none" w:sz="0" w:space="0" w:color="auto"/>
                            <w:bottom w:val="none" w:sz="0" w:space="0" w:color="auto"/>
                            <w:right w:val="none" w:sz="0" w:space="0" w:color="auto"/>
                          </w:divBdr>
                        </w:div>
                      </w:divsChild>
                    </w:div>
                    <w:div w:id="294145311">
                      <w:marLeft w:val="0"/>
                      <w:marRight w:val="0"/>
                      <w:marTop w:val="0"/>
                      <w:marBottom w:val="0"/>
                      <w:divBdr>
                        <w:top w:val="none" w:sz="0" w:space="0" w:color="auto"/>
                        <w:left w:val="none" w:sz="0" w:space="0" w:color="auto"/>
                        <w:bottom w:val="none" w:sz="0" w:space="0" w:color="auto"/>
                        <w:right w:val="none" w:sz="0" w:space="0" w:color="auto"/>
                      </w:divBdr>
                    </w:div>
                    <w:div w:id="294145321">
                      <w:marLeft w:val="0"/>
                      <w:marRight w:val="0"/>
                      <w:marTop w:val="0"/>
                      <w:marBottom w:val="0"/>
                      <w:divBdr>
                        <w:top w:val="none" w:sz="0" w:space="0" w:color="auto"/>
                        <w:left w:val="none" w:sz="0" w:space="0" w:color="auto"/>
                        <w:bottom w:val="none" w:sz="0" w:space="0" w:color="auto"/>
                        <w:right w:val="none" w:sz="0" w:space="0" w:color="auto"/>
                      </w:divBdr>
                      <w:divsChild>
                        <w:div w:id="294154986">
                          <w:marLeft w:val="0"/>
                          <w:marRight w:val="0"/>
                          <w:marTop w:val="0"/>
                          <w:marBottom w:val="0"/>
                          <w:divBdr>
                            <w:top w:val="none" w:sz="0" w:space="0" w:color="auto"/>
                            <w:left w:val="none" w:sz="0" w:space="0" w:color="auto"/>
                            <w:bottom w:val="none" w:sz="0" w:space="0" w:color="auto"/>
                            <w:right w:val="none" w:sz="0" w:space="0" w:color="auto"/>
                          </w:divBdr>
                        </w:div>
                      </w:divsChild>
                    </w:div>
                    <w:div w:id="294145349">
                      <w:marLeft w:val="0"/>
                      <w:marRight w:val="0"/>
                      <w:marTop w:val="0"/>
                      <w:marBottom w:val="0"/>
                      <w:divBdr>
                        <w:top w:val="none" w:sz="0" w:space="0" w:color="auto"/>
                        <w:left w:val="none" w:sz="0" w:space="0" w:color="auto"/>
                        <w:bottom w:val="none" w:sz="0" w:space="0" w:color="auto"/>
                        <w:right w:val="none" w:sz="0" w:space="0" w:color="auto"/>
                      </w:divBdr>
                      <w:divsChild>
                        <w:div w:id="294141813">
                          <w:marLeft w:val="0"/>
                          <w:marRight w:val="0"/>
                          <w:marTop w:val="0"/>
                          <w:marBottom w:val="0"/>
                          <w:divBdr>
                            <w:top w:val="none" w:sz="0" w:space="0" w:color="auto"/>
                            <w:left w:val="none" w:sz="0" w:space="0" w:color="auto"/>
                            <w:bottom w:val="none" w:sz="0" w:space="0" w:color="auto"/>
                            <w:right w:val="none" w:sz="0" w:space="0" w:color="auto"/>
                          </w:divBdr>
                        </w:div>
                      </w:divsChild>
                    </w:div>
                    <w:div w:id="294145379">
                      <w:marLeft w:val="0"/>
                      <w:marRight w:val="0"/>
                      <w:marTop w:val="0"/>
                      <w:marBottom w:val="0"/>
                      <w:divBdr>
                        <w:top w:val="none" w:sz="0" w:space="0" w:color="auto"/>
                        <w:left w:val="none" w:sz="0" w:space="0" w:color="auto"/>
                        <w:bottom w:val="none" w:sz="0" w:space="0" w:color="auto"/>
                        <w:right w:val="none" w:sz="0" w:space="0" w:color="auto"/>
                      </w:divBdr>
                    </w:div>
                    <w:div w:id="294145424">
                      <w:marLeft w:val="0"/>
                      <w:marRight w:val="0"/>
                      <w:marTop w:val="0"/>
                      <w:marBottom w:val="0"/>
                      <w:divBdr>
                        <w:top w:val="none" w:sz="0" w:space="0" w:color="auto"/>
                        <w:left w:val="none" w:sz="0" w:space="0" w:color="auto"/>
                        <w:bottom w:val="none" w:sz="0" w:space="0" w:color="auto"/>
                        <w:right w:val="none" w:sz="0" w:space="0" w:color="auto"/>
                      </w:divBdr>
                    </w:div>
                    <w:div w:id="294145494">
                      <w:marLeft w:val="0"/>
                      <w:marRight w:val="0"/>
                      <w:marTop w:val="0"/>
                      <w:marBottom w:val="0"/>
                      <w:divBdr>
                        <w:top w:val="none" w:sz="0" w:space="0" w:color="auto"/>
                        <w:left w:val="none" w:sz="0" w:space="0" w:color="auto"/>
                        <w:bottom w:val="none" w:sz="0" w:space="0" w:color="auto"/>
                        <w:right w:val="none" w:sz="0" w:space="0" w:color="auto"/>
                      </w:divBdr>
                    </w:div>
                    <w:div w:id="294145502">
                      <w:marLeft w:val="0"/>
                      <w:marRight w:val="0"/>
                      <w:marTop w:val="0"/>
                      <w:marBottom w:val="0"/>
                      <w:divBdr>
                        <w:top w:val="none" w:sz="0" w:space="0" w:color="auto"/>
                        <w:left w:val="none" w:sz="0" w:space="0" w:color="auto"/>
                        <w:bottom w:val="none" w:sz="0" w:space="0" w:color="auto"/>
                        <w:right w:val="none" w:sz="0" w:space="0" w:color="auto"/>
                      </w:divBdr>
                      <w:divsChild>
                        <w:div w:id="294154635">
                          <w:marLeft w:val="0"/>
                          <w:marRight w:val="0"/>
                          <w:marTop w:val="0"/>
                          <w:marBottom w:val="0"/>
                          <w:divBdr>
                            <w:top w:val="none" w:sz="0" w:space="0" w:color="auto"/>
                            <w:left w:val="none" w:sz="0" w:space="0" w:color="auto"/>
                            <w:bottom w:val="none" w:sz="0" w:space="0" w:color="auto"/>
                            <w:right w:val="none" w:sz="0" w:space="0" w:color="auto"/>
                          </w:divBdr>
                        </w:div>
                      </w:divsChild>
                    </w:div>
                    <w:div w:id="294145513">
                      <w:marLeft w:val="0"/>
                      <w:marRight w:val="0"/>
                      <w:marTop w:val="0"/>
                      <w:marBottom w:val="0"/>
                      <w:divBdr>
                        <w:top w:val="none" w:sz="0" w:space="0" w:color="auto"/>
                        <w:left w:val="none" w:sz="0" w:space="0" w:color="auto"/>
                        <w:bottom w:val="none" w:sz="0" w:space="0" w:color="auto"/>
                        <w:right w:val="none" w:sz="0" w:space="0" w:color="auto"/>
                      </w:divBdr>
                    </w:div>
                    <w:div w:id="294145520">
                      <w:marLeft w:val="0"/>
                      <w:marRight w:val="0"/>
                      <w:marTop w:val="0"/>
                      <w:marBottom w:val="0"/>
                      <w:divBdr>
                        <w:top w:val="none" w:sz="0" w:space="0" w:color="auto"/>
                        <w:left w:val="none" w:sz="0" w:space="0" w:color="auto"/>
                        <w:bottom w:val="none" w:sz="0" w:space="0" w:color="auto"/>
                        <w:right w:val="none" w:sz="0" w:space="0" w:color="auto"/>
                      </w:divBdr>
                    </w:div>
                    <w:div w:id="294145534">
                      <w:marLeft w:val="0"/>
                      <w:marRight w:val="0"/>
                      <w:marTop w:val="0"/>
                      <w:marBottom w:val="0"/>
                      <w:divBdr>
                        <w:top w:val="none" w:sz="0" w:space="0" w:color="auto"/>
                        <w:left w:val="none" w:sz="0" w:space="0" w:color="auto"/>
                        <w:bottom w:val="none" w:sz="0" w:space="0" w:color="auto"/>
                        <w:right w:val="none" w:sz="0" w:space="0" w:color="auto"/>
                      </w:divBdr>
                    </w:div>
                    <w:div w:id="294145547">
                      <w:marLeft w:val="0"/>
                      <w:marRight w:val="0"/>
                      <w:marTop w:val="0"/>
                      <w:marBottom w:val="0"/>
                      <w:divBdr>
                        <w:top w:val="none" w:sz="0" w:space="0" w:color="auto"/>
                        <w:left w:val="none" w:sz="0" w:space="0" w:color="auto"/>
                        <w:bottom w:val="none" w:sz="0" w:space="0" w:color="auto"/>
                        <w:right w:val="none" w:sz="0" w:space="0" w:color="auto"/>
                      </w:divBdr>
                      <w:divsChild>
                        <w:div w:id="294148176">
                          <w:marLeft w:val="0"/>
                          <w:marRight w:val="0"/>
                          <w:marTop w:val="0"/>
                          <w:marBottom w:val="0"/>
                          <w:divBdr>
                            <w:top w:val="none" w:sz="0" w:space="0" w:color="auto"/>
                            <w:left w:val="none" w:sz="0" w:space="0" w:color="auto"/>
                            <w:bottom w:val="none" w:sz="0" w:space="0" w:color="auto"/>
                            <w:right w:val="none" w:sz="0" w:space="0" w:color="auto"/>
                          </w:divBdr>
                        </w:div>
                      </w:divsChild>
                    </w:div>
                    <w:div w:id="294145592">
                      <w:marLeft w:val="0"/>
                      <w:marRight w:val="0"/>
                      <w:marTop w:val="0"/>
                      <w:marBottom w:val="0"/>
                      <w:divBdr>
                        <w:top w:val="none" w:sz="0" w:space="0" w:color="auto"/>
                        <w:left w:val="none" w:sz="0" w:space="0" w:color="auto"/>
                        <w:bottom w:val="none" w:sz="0" w:space="0" w:color="auto"/>
                        <w:right w:val="none" w:sz="0" w:space="0" w:color="auto"/>
                      </w:divBdr>
                    </w:div>
                    <w:div w:id="294145608">
                      <w:marLeft w:val="0"/>
                      <w:marRight w:val="0"/>
                      <w:marTop w:val="0"/>
                      <w:marBottom w:val="0"/>
                      <w:divBdr>
                        <w:top w:val="none" w:sz="0" w:space="0" w:color="auto"/>
                        <w:left w:val="none" w:sz="0" w:space="0" w:color="auto"/>
                        <w:bottom w:val="none" w:sz="0" w:space="0" w:color="auto"/>
                        <w:right w:val="none" w:sz="0" w:space="0" w:color="auto"/>
                      </w:divBdr>
                    </w:div>
                    <w:div w:id="294145622">
                      <w:marLeft w:val="0"/>
                      <w:marRight w:val="0"/>
                      <w:marTop w:val="0"/>
                      <w:marBottom w:val="0"/>
                      <w:divBdr>
                        <w:top w:val="none" w:sz="0" w:space="0" w:color="auto"/>
                        <w:left w:val="none" w:sz="0" w:space="0" w:color="auto"/>
                        <w:bottom w:val="none" w:sz="0" w:space="0" w:color="auto"/>
                        <w:right w:val="none" w:sz="0" w:space="0" w:color="auto"/>
                      </w:divBdr>
                    </w:div>
                    <w:div w:id="294145626">
                      <w:marLeft w:val="0"/>
                      <w:marRight w:val="0"/>
                      <w:marTop w:val="0"/>
                      <w:marBottom w:val="0"/>
                      <w:divBdr>
                        <w:top w:val="none" w:sz="0" w:space="0" w:color="auto"/>
                        <w:left w:val="none" w:sz="0" w:space="0" w:color="auto"/>
                        <w:bottom w:val="none" w:sz="0" w:space="0" w:color="auto"/>
                        <w:right w:val="none" w:sz="0" w:space="0" w:color="auto"/>
                      </w:divBdr>
                    </w:div>
                    <w:div w:id="294145635">
                      <w:marLeft w:val="0"/>
                      <w:marRight w:val="0"/>
                      <w:marTop w:val="0"/>
                      <w:marBottom w:val="0"/>
                      <w:divBdr>
                        <w:top w:val="none" w:sz="0" w:space="0" w:color="auto"/>
                        <w:left w:val="none" w:sz="0" w:space="0" w:color="auto"/>
                        <w:bottom w:val="none" w:sz="0" w:space="0" w:color="auto"/>
                        <w:right w:val="none" w:sz="0" w:space="0" w:color="auto"/>
                      </w:divBdr>
                      <w:divsChild>
                        <w:div w:id="294156437">
                          <w:marLeft w:val="0"/>
                          <w:marRight w:val="0"/>
                          <w:marTop w:val="0"/>
                          <w:marBottom w:val="0"/>
                          <w:divBdr>
                            <w:top w:val="none" w:sz="0" w:space="0" w:color="auto"/>
                            <w:left w:val="none" w:sz="0" w:space="0" w:color="auto"/>
                            <w:bottom w:val="none" w:sz="0" w:space="0" w:color="auto"/>
                            <w:right w:val="none" w:sz="0" w:space="0" w:color="auto"/>
                          </w:divBdr>
                        </w:div>
                      </w:divsChild>
                    </w:div>
                    <w:div w:id="294145692">
                      <w:marLeft w:val="0"/>
                      <w:marRight w:val="0"/>
                      <w:marTop w:val="0"/>
                      <w:marBottom w:val="0"/>
                      <w:divBdr>
                        <w:top w:val="none" w:sz="0" w:space="0" w:color="auto"/>
                        <w:left w:val="none" w:sz="0" w:space="0" w:color="auto"/>
                        <w:bottom w:val="none" w:sz="0" w:space="0" w:color="auto"/>
                        <w:right w:val="none" w:sz="0" w:space="0" w:color="auto"/>
                      </w:divBdr>
                      <w:divsChild>
                        <w:div w:id="294144507">
                          <w:marLeft w:val="0"/>
                          <w:marRight w:val="0"/>
                          <w:marTop w:val="0"/>
                          <w:marBottom w:val="0"/>
                          <w:divBdr>
                            <w:top w:val="none" w:sz="0" w:space="0" w:color="auto"/>
                            <w:left w:val="none" w:sz="0" w:space="0" w:color="auto"/>
                            <w:bottom w:val="none" w:sz="0" w:space="0" w:color="auto"/>
                            <w:right w:val="none" w:sz="0" w:space="0" w:color="auto"/>
                          </w:divBdr>
                        </w:div>
                      </w:divsChild>
                    </w:div>
                    <w:div w:id="294145720">
                      <w:marLeft w:val="0"/>
                      <w:marRight w:val="0"/>
                      <w:marTop w:val="0"/>
                      <w:marBottom w:val="0"/>
                      <w:divBdr>
                        <w:top w:val="none" w:sz="0" w:space="0" w:color="auto"/>
                        <w:left w:val="none" w:sz="0" w:space="0" w:color="auto"/>
                        <w:bottom w:val="none" w:sz="0" w:space="0" w:color="auto"/>
                        <w:right w:val="none" w:sz="0" w:space="0" w:color="auto"/>
                      </w:divBdr>
                    </w:div>
                    <w:div w:id="294145727">
                      <w:marLeft w:val="0"/>
                      <w:marRight w:val="0"/>
                      <w:marTop w:val="0"/>
                      <w:marBottom w:val="0"/>
                      <w:divBdr>
                        <w:top w:val="none" w:sz="0" w:space="0" w:color="auto"/>
                        <w:left w:val="none" w:sz="0" w:space="0" w:color="auto"/>
                        <w:bottom w:val="none" w:sz="0" w:space="0" w:color="auto"/>
                        <w:right w:val="none" w:sz="0" w:space="0" w:color="auto"/>
                      </w:divBdr>
                    </w:div>
                    <w:div w:id="294145743">
                      <w:marLeft w:val="0"/>
                      <w:marRight w:val="0"/>
                      <w:marTop w:val="0"/>
                      <w:marBottom w:val="0"/>
                      <w:divBdr>
                        <w:top w:val="none" w:sz="0" w:space="0" w:color="auto"/>
                        <w:left w:val="none" w:sz="0" w:space="0" w:color="auto"/>
                        <w:bottom w:val="none" w:sz="0" w:space="0" w:color="auto"/>
                        <w:right w:val="none" w:sz="0" w:space="0" w:color="auto"/>
                      </w:divBdr>
                    </w:div>
                    <w:div w:id="294145748">
                      <w:marLeft w:val="0"/>
                      <w:marRight w:val="0"/>
                      <w:marTop w:val="0"/>
                      <w:marBottom w:val="0"/>
                      <w:divBdr>
                        <w:top w:val="none" w:sz="0" w:space="0" w:color="auto"/>
                        <w:left w:val="none" w:sz="0" w:space="0" w:color="auto"/>
                        <w:bottom w:val="none" w:sz="0" w:space="0" w:color="auto"/>
                        <w:right w:val="none" w:sz="0" w:space="0" w:color="auto"/>
                      </w:divBdr>
                    </w:div>
                    <w:div w:id="294145764">
                      <w:marLeft w:val="0"/>
                      <w:marRight w:val="0"/>
                      <w:marTop w:val="0"/>
                      <w:marBottom w:val="0"/>
                      <w:divBdr>
                        <w:top w:val="none" w:sz="0" w:space="0" w:color="auto"/>
                        <w:left w:val="none" w:sz="0" w:space="0" w:color="auto"/>
                        <w:bottom w:val="none" w:sz="0" w:space="0" w:color="auto"/>
                        <w:right w:val="none" w:sz="0" w:space="0" w:color="auto"/>
                      </w:divBdr>
                      <w:divsChild>
                        <w:div w:id="294150889">
                          <w:marLeft w:val="0"/>
                          <w:marRight w:val="0"/>
                          <w:marTop w:val="0"/>
                          <w:marBottom w:val="0"/>
                          <w:divBdr>
                            <w:top w:val="none" w:sz="0" w:space="0" w:color="auto"/>
                            <w:left w:val="none" w:sz="0" w:space="0" w:color="auto"/>
                            <w:bottom w:val="none" w:sz="0" w:space="0" w:color="auto"/>
                            <w:right w:val="none" w:sz="0" w:space="0" w:color="auto"/>
                          </w:divBdr>
                        </w:div>
                      </w:divsChild>
                    </w:div>
                    <w:div w:id="294145794">
                      <w:marLeft w:val="0"/>
                      <w:marRight w:val="0"/>
                      <w:marTop w:val="0"/>
                      <w:marBottom w:val="0"/>
                      <w:divBdr>
                        <w:top w:val="none" w:sz="0" w:space="0" w:color="auto"/>
                        <w:left w:val="none" w:sz="0" w:space="0" w:color="auto"/>
                        <w:bottom w:val="none" w:sz="0" w:space="0" w:color="auto"/>
                        <w:right w:val="none" w:sz="0" w:space="0" w:color="auto"/>
                      </w:divBdr>
                    </w:div>
                    <w:div w:id="294145809">
                      <w:marLeft w:val="0"/>
                      <w:marRight w:val="0"/>
                      <w:marTop w:val="0"/>
                      <w:marBottom w:val="0"/>
                      <w:divBdr>
                        <w:top w:val="none" w:sz="0" w:space="0" w:color="auto"/>
                        <w:left w:val="none" w:sz="0" w:space="0" w:color="auto"/>
                        <w:bottom w:val="none" w:sz="0" w:space="0" w:color="auto"/>
                        <w:right w:val="none" w:sz="0" w:space="0" w:color="auto"/>
                      </w:divBdr>
                      <w:divsChild>
                        <w:div w:id="294150453">
                          <w:marLeft w:val="0"/>
                          <w:marRight w:val="0"/>
                          <w:marTop w:val="0"/>
                          <w:marBottom w:val="0"/>
                          <w:divBdr>
                            <w:top w:val="none" w:sz="0" w:space="0" w:color="auto"/>
                            <w:left w:val="none" w:sz="0" w:space="0" w:color="auto"/>
                            <w:bottom w:val="none" w:sz="0" w:space="0" w:color="auto"/>
                            <w:right w:val="none" w:sz="0" w:space="0" w:color="auto"/>
                          </w:divBdr>
                        </w:div>
                      </w:divsChild>
                    </w:div>
                    <w:div w:id="294145847">
                      <w:marLeft w:val="0"/>
                      <w:marRight w:val="0"/>
                      <w:marTop w:val="0"/>
                      <w:marBottom w:val="0"/>
                      <w:divBdr>
                        <w:top w:val="none" w:sz="0" w:space="0" w:color="auto"/>
                        <w:left w:val="none" w:sz="0" w:space="0" w:color="auto"/>
                        <w:bottom w:val="none" w:sz="0" w:space="0" w:color="auto"/>
                        <w:right w:val="none" w:sz="0" w:space="0" w:color="auto"/>
                      </w:divBdr>
                      <w:divsChild>
                        <w:div w:id="294146237">
                          <w:marLeft w:val="0"/>
                          <w:marRight w:val="0"/>
                          <w:marTop w:val="0"/>
                          <w:marBottom w:val="0"/>
                          <w:divBdr>
                            <w:top w:val="none" w:sz="0" w:space="0" w:color="auto"/>
                            <w:left w:val="none" w:sz="0" w:space="0" w:color="auto"/>
                            <w:bottom w:val="none" w:sz="0" w:space="0" w:color="auto"/>
                            <w:right w:val="none" w:sz="0" w:space="0" w:color="auto"/>
                          </w:divBdr>
                        </w:div>
                      </w:divsChild>
                    </w:div>
                    <w:div w:id="294145993">
                      <w:marLeft w:val="0"/>
                      <w:marRight w:val="0"/>
                      <w:marTop w:val="0"/>
                      <w:marBottom w:val="0"/>
                      <w:divBdr>
                        <w:top w:val="none" w:sz="0" w:space="0" w:color="auto"/>
                        <w:left w:val="none" w:sz="0" w:space="0" w:color="auto"/>
                        <w:bottom w:val="none" w:sz="0" w:space="0" w:color="auto"/>
                        <w:right w:val="none" w:sz="0" w:space="0" w:color="auto"/>
                      </w:divBdr>
                    </w:div>
                    <w:div w:id="294146069">
                      <w:marLeft w:val="0"/>
                      <w:marRight w:val="0"/>
                      <w:marTop w:val="0"/>
                      <w:marBottom w:val="0"/>
                      <w:divBdr>
                        <w:top w:val="none" w:sz="0" w:space="0" w:color="auto"/>
                        <w:left w:val="none" w:sz="0" w:space="0" w:color="auto"/>
                        <w:bottom w:val="none" w:sz="0" w:space="0" w:color="auto"/>
                        <w:right w:val="none" w:sz="0" w:space="0" w:color="auto"/>
                      </w:divBdr>
                    </w:div>
                    <w:div w:id="294146094">
                      <w:marLeft w:val="0"/>
                      <w:marRight w:val="0"/>
                      <w:marTop w:val="0"/>
                      <w:marBottom w:val="0"/>
                      <w:divBdr>
                        <w:top w:val="none" w:sz="0" w:space="0" w:color="auto"/>
                        <w:left w:val="none" w:sz="0" w:space="0" w:color="auto"/>
                        <w:bottom w:val="none" w:sz="0" w:space="0" w:color="auto"/>
                        <w:right w:val="none" w:sz="0" w:space="0" w:color="auto"/>
                      </w:divBdr>
                      <w:divsChild>
                        <w:div w:id="294150394">
                          <w:marLeft w:val="0"/>
                          <w:marRight w:val="0"/>
                          <w:marTop w:val="0"/>
                          <w:marBottom w:val="0"/>
                          <w:divBdr>
                            <w:top w:val="none" w:sz="0" w:space="0" w:color="auto"/>
                            <w:left w:val="none" w:sz="0" w:space="0" w:color="auto"/>
                            <w:bottom w:val="none" w:sz="0" w:space="0" w:color="auto"/>
                            <w:right w:val="none" w:sz="0" w:space="0" w:color="auto"/>
                          </w:divBdr>
                        </w:div>
                      </w:divsChild>
                    </w:div>
                    <w:div w:id="294146095">
                      <w:marLeft w:val="0"/>
                      <w:marRight w:val="0"/>
                      <w:marTop w:val="0"/>
                      <w:marBottom w:val="0"/>
                      <w:divBdr>
                        <w:top w:val="none" w:sz="0" w:space="0" w:color="auto"/>
                        <w:left w:val="none" w:sz="0" w:space="0" w:color="auto"/>
                        <w:bottom w:val="none" w:sz="0" w:space="0" w:color="auto"/>
                        <w:right w:val="none" w:sz="0" w:space="0" w:color="auto"/>
                      </w:divBdr>
                    </w:div>
                    <w:div w:id="294146134">
                      <w:marLeft w:val="0"/>
                      <w:marRight w:val="0"/>
                      <w:marTop w:val="0"/>
                      <w:marBottom w:val="0"/>
                      <w:divBdr>
                        <w:top w:val="none" w:sz="0" w:space="0" w:color="auto"/>
                        <w:left w:val="none" w:sz="0" w:space="0" w:color="auto"/>
                        <w:bottom w:val="none" w:sz="0" w:space="0" w:color="auto"/>
                        <w:right w:val="none" w:sz="0" w:space="0" w:color="auto"/>
                      </w:divBdr>
                      <w:divsChild>
                        <w:div w:id="294140461">
                          <w:marLeft w:val="0"/>
                          <w:marRight w:val="0"/>
                          <w:marTop w:val="0"/>
                          <w:marBottom w:val="0"/>
                          <w:divBdr>
                            <w:top w:val="none" w:sz="0" w:space="0" w:color="auto"/>
                            <w:left w:val="none" w:sz="0" w:space="0" w:color="auto"/>
                            <w:bottom w:val="none" w:sz="0" w:space="0" w:color="auto"/>
                            <w:right w:val="none" w:sz="0" w:space="0" w:color="auto"/>
                          </w:divBdr>
                        </w:div>
                      </w:divsChild>
                    </w:div>
                    <w:div w:id="294146143">
                      <w:marLeft w:val="0"/>
                      <w:marRight w:val="0"/>
                      <w:marTop w:val="0"/>
                      <w:marBottom w:val="0"/>
                      <w:divBdr>
                        <w:top w:val="none" w:sz="0" w:space="0" w:color="auto"/>
                        <w:left w:val="none" w:sz="0" w:space="0" w:color="auto"/>
                        <w:bottom w:val="none" w:sz="0" w:space="0" w:color="auto"/>
                        <w:right w:val="none" w:sz="0" w:space="0" w:color="auto"/>
                      </w:divBdr>
                      <w:divsChild>
                        <w:div w:id="294140359">
                          <w:marLeft w:val="0"/>
                          <w:marRight w:val="0"/>
                          <w:marTop w:val="0"/>
                          <w:marBottom w:val="0"/>
                          <w:divBdr>
                            <w:top w:val="none" w:sz="0" w:space="0" w:color="auto"/>
                            <w:left w:val="none" w:sz="0" w:space="0" w:color="auto"/>
                            <w:bottom w:val="none" w:sz="0" w:space="0" w:color="auto"/>
                            <w:right w:val="none" w:sz="0" w:space="0" w:color="auto"/>
                          </w:divBdr>
                        </w:div>
                      </w:divsChild>
                    </w:div>
                    <w:div w:id="294146172">
                      <w:marLeft w:val="0"/>
                      <w:marRight w:val="0"/>
                      <w:marTop w:val="0"/>
                      <w:marBottom w:val="0"/>
                      <w:divBdr>
                        <w:top w:val="none" w:sz="0" w:space="0" w:color="auto"/>
                        <w:left w:val="none" w:sz="0" w:space="0" w:color="auto"/>
                        <w:bottom w:val="none" w:sz="0" w:space="0" w:color="auto"/>
                        <w:right w:val="none" w:sz="0" w:space="0" w:color="auto"/>
                      </w:divBdr>
                      <w:divsChild>
                        <w:div w:id="294140937">
                          <w:marLeft w:val="0"/>
                          <w:marRight w:val="0"/>
                          <w:marTop w:val="0"/>
                          <w:marBottom w:val="0"/>
                          <w:divBdr>
                            <w:top w:val="none" w:sz="0" w:space="0" w:color="auto"/>
                            <w:left w:val="none" w:sz="0" w:space="0" w:color="auto"/>
                            <w:bottom w:val="none" w:sz="0" w:space="0" w:color="auto"/>
                            <w:right w:val="none" w:sz="0" w:space="0" w:color="auto"/>
                          </w:divBdr>
                        </w:div>
                      </w:divsChild>
                    </w:div>
                    <w:div w:id="294146188">
                      <w:marLeft w:val="0"/>
                      <w:marRight w:val="0"/>
                      <w:marTop w:val="0"/>
                      <w:marBottom w:val="0"/>
                      <w:divBdr>
                        <w:top w:val="none" w:sz="0" w:space="0" w:color="auto"/>
                        <w:left w:val="none" w:sz="0" w:space="0" w:color="auto"/>
                        <w:bottom w:val="none" w:sz="0" w:space="0" w:color="auto"/>
                        <w:right w:val="none" w:sz="0" w:space="0" w:color="auto"/>
                      </w:divBdr>
                    </w:div>
                    <w:div w:id="294146251">
                      <w:marLeft w:val="0"/>
                      <w:marRight w:val="0"/>
                      <w:marTop w:val="0"/>
                      <w:marBottom w:val="0"/>
                      <w:divBdr>
                        <w:top w:val="none" w:sz="0" w:space="0" w:color="auto"/>
                        <w:left w:val="none" w:sz="0" w:space="0" w:color="auto"/>
                        <w:bottom w:val="none" w:sz="0" w:space="0" w:color="auto"/>
                        <w:right w:val="none" w:sz="0" w:space="0" w:color="auto"/>
                      </w:divBdr>
                    </w:div>
                    <w:div w:id="294146253">
                      <w:marLeft w:val="0"/>
                      <w:marRight w:val="0"/>
                      <w:marTop w:val="0"/>
                      <w:marBottom w:val="0"/>
                      <w:divBdr>
                        <w:top w:val="none" w:sz="0" w:space="0" w:color="auto"/>
                        <w:left w:val="none" w:sz="0" w:space="0" w:color="auto"/>
                        <w:bottom w:val="none" w:sz="0" w:space="0" w:color="auto"/>
                        <w:right w:val="none" w:sz="0" w:space="0" w:color="auto"/>
                      </w:divBdr>
                    </w:div>
                    <w:div w:id="294146276">
                      <w:marLeft w:val="0"/>
                      <w:marRight w:val="0"/>
                      <w:marTop w:val="0"/>
                      <w:marBottom w:val="0"/>
                      <w:divBdr>
                        <w:top w:val="none" w:sz="0" w:space="0" w:color="auto"/>
                        <w:left w:val="none" w:sz="0" w:space="0" w:color="auto"/>
                        <w:bottom w:val="none" w:sz="0" w:space="0" w:color="auto"/>
                        <w:right w:val="none" w:sz="0" w:space="0" w:color="auto"/>
                      </w:divBdr>
                    </w:div>
                    <w:div w:id="294146283">
                      <w:marLeft w:val="0"/>
                      <w:marRight w:val="0"/>
                      <w:marTop w:val="0"/>
                      <w:marBottom w:val="0"/>
                      <w:divBdr>
                        <w:top w:val="none" w:sz="0" w:space="0" w:color="auto"/>
                        <w:left w:val="none" w:sz="0" w:space="0" w:color="auto"/>
                        <w:bottom w:val="none" w:sz="0" w:space="0" w:color="auto"/>
                        <w:right w:val="none" w:sz="0" w:space="0" w:color="auto"/>
                      </w:divBdr>
                    </w:div>
                    <w:div w:id="294146322">
                      <w:marLeft w:val="0"/>
                      <w:marRight w:val="0"/>
                      <w:marTop w:val="0"/>
                      <w:marBottom w:val="0"/>
                      <w:divBdr>
                        <w:top w:val="none" w:sz="0" w:space="0" w:color="auto"/>
                        <w:left w:val="none" w:sz="0" w:space="0" w:color="auto"/>
                        <w:bottom w:val="none" w:sz="0" w:space="0" w:color="auto"/>
                        <w:right w:val="none" w:sz="0" w:space="0" w:color="auto"/>
                      </w:divBdr>
                      <w:divsChild>
                        <w:div w:id="294145689">
                          <w:marLeft w:val="0"/>
                          <w:marRight w:val="0"/>
                          <w:marTop w:val="0"/>
                          <w:marBottom w:val="0"/>
                          <w:divBdr>
                            <w:top w:val="none" w:sz="0" w:space="0" w:color="auto"/>
                            <w:left w:val="none" w:sz="0" w:space="0" w:color="auto"/>
                            <w:bottom w:val="none" w:sz="0" w:space="0" w:color="auto"/>
                            <w:right w:val="none" w:sz="0" w:space="0" w:color="auto"/>
                          </w:divBdr>
                        </w:div>
                      </w:divsChild>
                    </w:div>
                    <w:div w:id="294146337">
                      <w:marLeft w:val="0"/>
                      <w:marRight w:val="0"/>
                      <w:marTop w:val="0"/>
                      <w:marBottom w:val="0"/>
                      <w:divBdr>
                        <w:top w:val="none" w:sz="0" w:space="0" w:color="auto"/>
                        <w:left w:val="none" w:sz="0" w:space="0" w:color="auto"/>
                        <w:bottom w:val="none" w:sz="0" w:space="0" w:color="auto"/>
                        <w:right w:val="none" w:sz="0" w:space="0" w:color="auto"/>
                      </w:divBdr>
                    </w:div>
                    <w:div w:id="294146378">
                      <w:marLeft w:val="0"/>
                      <w:marRight w:val="0"/>
                      <w:marTop w:val="0"/>
                      <w:marBottom w:val="0"/>
                      <w:divBdr>
                        <w:top w:val="none" w:sz="0" w:space="0" w:color="auto"/>
                        <w:left w:val="none" w:sz="0" w:space="0" w:color="auto"/>
                        <w:bottom w:val="none" w:sz="0" w:space="0" w:color="auto"/>
                        <w:right w:val="none" w:sz="0" w:space="0" w:color="auto"/>
                      </w:divBdr>
                      <w:divsChild>
                        <w:div w:id="294149118">
                          <w:marLeft w:val="0"/>
                          <w:marRight w:val="0"/>
                          <w:marTop w:val="0"/>
                          <w:marBottom w:val="0"/>
                          <w:divBdr>
                            <w:top w:val="none" w:sz="0" w:space="0" w:color="auto"/>
                            <w:left w:val="none" w:sz="0" w:space="0" w:color="auto"/>
                            <w:bottom w:val="none" w:sz="0" w:space="0" w:color="auto"/>
                            <w:right w:val="none" w:sz="0" w:space="0" w:color="auto"/>
                          </w:divBdr>
                        </w:div>
                      </w:divsChild>
                    </w:div>
                    <w:div w:id="294146476">
                      <w:marLeft w:val="0"/>
                      <w:marRight w:val="0"/>
                      <w:marTop w:val="0"/>
                      <w:marBottom w:val="0"/>
                      <w:divBdr>
                        <w:top w:val="none" w:sz="0" w:space="0" w:color="auto"/>
                        <w:left w:val="none" w:sz="0" w:space="0" w:color="auto"/>
                        <w:bottom w:val="none" w:sz="0" w:space="0" w:color="auto"/>
                        <w:right w:val="none" w:sz="0" w:space="0" w:color="auto"/>
                      </w:divBdr>
                      <w:divsChild>
                        <w:div w:id="294139636">
                          <w:marLeft w:val="0"/>
                          <w:marRight w:val="0"/>
                          <w:marTop w:val="0"/>
                          <w:marBottom w:val="0"/>
                          <w:divBdr>
                            <w:top w:val="none" w:sz="0" w:space="0" w:color="auto"/>
                            <w:left w:val="none" w:sz="0" w:space="0" w:color="auto"/>
                            <w:bottom w:val="none" w:sz="0" w:space="0" w:color="auto"/>
                            <w:right w:val="none" w:sz="0" w:space="0" w:color="auto"/>
                          </w:divBdr>
                        </w:div>
                      </w:divsChild>
                    </w:div>
                    <w:div w:id="294146514">
                      <w:marLeft w:val="0"/>
                      <w:marRight w:val="0"/>
                      <w:marTop w:val="0"/>
                      <w:marBottom w:val="0"/>
                      <w:divBdr>
                        <w:top w:val="none" w:sz="0" w:space="0" w:color="auto"/>
                        <w:left w:val="none" w:sz="0" w:space="0" w:color="auto"/>
                        <w:bottom w:val="none" w:sz="0" w:space="0" w:color="auto"/>
                        <w:right w:val="none" w:sz="0" w:space="0" w:color="auto"/>
                      </w:divBdr>
                      <w:divsChild>
                        <w:div w:id="294142038">
                          <w:marLeft w:val="0"/>
                          <w:marRight w:val="0"/>
                          <w:marTop w:val="0"/>
                          <w:marBottom w:val="0"/>
                          <w:divBdr>
                            <w:top w:val="none" w:sz="0" w:space="0" w:color="auto"/>
                            <w:left w:val="none" w:sz="0" w:space="0" w:color="auto"/>
                            <w:bottom w:val="none" w:sz="0" w:space="0" w:color="auto"/>
                            <w:right w:val="none" w:sz="0" w:space="0" w:color="auto"/>
                          </w:divBdr>
                        </w:div>
                      </w:divsChild>
                    </w:div>
                    <w:div w:id="294146554">
                      <w:marLeft w:val="0"/>
                      <w:marRight w:val="0"/>
                      <w:marTop w:val="0"/>
                      <w:marBottom w:val="0"/>
                      <w:divBdr>
                        <w:top w:val="none" w:sz="0" w:space="0" w:color="auto"/>
                        <w:left w:val="none" w:sz="0" w:space="0" w:color="auto"/>
                        <w:bottom w:val="none" w:sz="0" w:space="0" w:color="auto"/>
                        <w:right w:val="none" w:sz="0" w:space="0" w:color="auto"/>
                      </w:divBdr>
                      <w:divsChild>
                        <w:div w:id="294138456">
                          <w:marLeft w:val="0"/>
                          <w:marRight w:val="0"/>
                          <w:marTop w:val="0"/>
                          <w:marBottom w:val="0"/>
                          <w:divBdr>
                            <w:top w:val="none" w:sz="0" w:space="0" w:color="auto"/>
                            <w:left w:val="none" w:sz="0" w:space="0" w:color="auto"/>
                            <w:bottom w:val="none" w:sz="0" w:space="0" w:color="auto"/>
                            <w:right w:val="none" w:sz="0" w:space="0" w:color="auto"/>
                          </w:divBdr>
                        </w:div>
                      </w:divsChild>
                    </w:div>
                    <w:div w:id="294146561">
                      <w:marLeft w:val="0"/>
                      <w:marRight w:val="0"/>
                      <w:marTop w:val="0"/>
                      <w:marBottom w:val="0"/>
                      <w:divBdr>
                        <w:top w:val="none" w:sz="0" w:space="0" w:color="auto"/>
                        <w:left w:val="none" w:sz="0" w:space="0" w:color="auto"/>
                        <w:bottom w:val="none" w:sz="0" w:space="0" w:color="auto"/>
                        <w:right w:val="none" w:sz="0" w:space="0" w:color="auto"/>
                      </w:divBdr>
                      <w:divsChild>
                        <w:div w:id="294139980">
                          <w:marLeft w:val="0"/>
                          <w:marRight w:val="0"/>
                          <w:marTop w:val="0"/>
                          <w:marBottom w:val="0"/>
                          <w:divBdr>
                            <w:top w:val="none" w:sz="0" w:space="0" w:color="auto"/>
                            <w:left w:val="none" w:sz="0" w:space="0" w:color="auto"/>
                            <w:bottom w:val="none" w:sz="0" w:space="0" w:color="auto"/>
                            <w:right w:val="none" w:sz="0" w:space="0" w:color="auto"/>
                          </w:divBdr>
                        </w:div>
                      </w:divsChild>
                    </w:div>
                    <w:div w:id="294146583">
                      <w:marLeft w:val="0"/>
                      <w:marRight w:val="0"/>
                      <w:marTop w:val="0"/>
                      <w:marBottom w:val="0"/>
                      <w:divBdr>
                        <w:top w:val="none" w:sz="0" w:space="0" w:color="auto"/>
                        <w:left w:val="none" w:sz="0" w:space="0" w:color="auto"/>
                        <w:bottom w:val="none" w:sz="0" w:space="0" w:color="auto"/>
                        <w:right w:val="none" w:sz="0" w:space="0" w:color="auto"/>
                      </w:divBdr>
                      <w:divsChild>
                        <w:div w:id="294140715">
                          <w:marLeft w:val="0"/>
                          <w:marRight w:val="0"/>
                          <w:marTop w:val="0"/>
                          <w:marBottom w:val="0"/>
                          <w:divBdr>
                            <w:top w:val="none" w:sz="0" w:space="0" w:color="auto"/>
                            <w:left w:val="none" w:sz="0" w:space="0" w:color="auto"/>
                            <w:bottom w:val="none" w:sz="0" w:space="0" w:color="auto"/>
                            <w:right w:val="none" w:sz="0" w:space="0" w:color="auto"/>
                          </w:divBdr>
                        </w:div>
                      </w:divsChild>
                    </w:div>
                    <w:div w:id="294146646">
                      <w:marLeft w:val="0"/>
                      <w:marRight w:val="0"/>
                      <w:marTop w:val="0"/>
                      <w:marBottom w:val="0"/>
                      <w:divBdr>
                        <w:top w:val="none" w:sz="0" w:space="0" w:color="auto"/>
                        <w:left w:val="none" w:sz="0" w:space="0" w:color="auto"/>
                        <w:bottom w:val="none" w:sz="0" w:space="0" w:color="auto"/>
                        <w:right w:val="none" w:sz="0" w:space="0" w:color="auto"/>
                      </w:divBdr>
                      <w:divsChild>
                        <w:div w:id="294142879">
                          <w:marLeft w:val="0"/>
                          <w:marRight w:val="0"/>
                          <w:marTop w:val="0"/>
                          <w:marBottom w:val="0"/>
                          <w:divBdr>
                            <w:top w:val="none" w:sz="0" w:space="0" w:color="auto"/>
                            <w:left w:val="none" w:sz="0" w:space="0" w:color="auto"/>
                            <w:bottom w:val="none" w:sz="0" w:space="0" w:color="auto"/>
                            <w:right w:val="none" w:sz="0" w:space="0" w:color="auto"/>
                          </w:divBdr>
                        </w:div>
                      </w:divsChild>
                    </w:div>
                    <w:div w:id="294146652">
                      <w:marLeft w:val="0"/>
                      <w:marRight w:val="0"/>
                      <w:marTop w:val="0"/>
                      <w:marBottom w:val="0"/>
                      <w:divBdr>
                        <w:top w:val="none" w:sz="0" w:space="0" w:color="auto"/>
                        <w:left w:val="none" w:sz="0" w:space="0" w:color="auto"/>
                        <w:bottom w:val="none" w:sz="0" w:space="0" w:color="auto"/>
                        <w:right w:val="none" w:sz="0" w:space="0" w:color="auto"/>
                      </w:divBdr>
                      <w:divsChild>
                        <w:div w:id="294147125">
                          <w:marLeft w:val="0"/>
                          <w:marRight w:val="0"/>
                          <w:marTop w:val="0"/>
                          <w:marBottom w:val="0"/>
                          <w:divBdr>
                            <w:top w:val="none" w:sz="0" w:space="0" w:color="auto"/>
                            <w:left w:val="none" w:sz="0" w:space="0" w:color="auto"/>
                            <w:bottom w:val="none" w:sz="0" w:space="0" w:color="auto"/>
                            <w:right w:val="none" w:sz="0" w:space="0" w:color="auto"/>
                          </w:divBdr>
                        </w:div>
                      </w:divsChild>
                    </w:div>
                    <w:div w:id="294146659">
                      <w:marLeft w:val="0"/>
                      <w:marRight w:val="0"/>
                      <w:marTop w:val="0"/>
                      <w:marBottom w:val="0"/>
                      <w:divBdr>
                        <w:top w:val="none" w:sz="0" w:space="0" w:color="auto"/>
                        <w:left w:val="none" w:sz="0" w:space="0" w:color="auto"/>
                        <w:bottom w:val="none" w:sz="0" w:space="0" w:color="auto"/>
                        <w:right w:val="none" w:sz="0" w:space="0" w:color="auto"/>
                      </w:divBdr>
                      <w:divsChild>
                        <w:div w:id="294151844">
                          <w:marLeft w:val="0"/>
                          <w:marRight w:val="0"/>
                          <w:marTop w:val="0"/>
                          <w:marBottom w:val="0"/>
                          <w:divBdr>
                            <w:top w:val="none" w:sz="0" w:space="0" w:color="auto"/>
                            <w:left w:val="none" w:sz="0" w:space="0" w:color="auto"/>
                            <w:bottom w:val="none" w:sz="0" w:space="0" w:color="auto"/>
                            <w:right w:val="none" w:sz="0" w:space="0" w:color="auto"/>
                          </w:divBdr>
                        </w:div>
                      </w:divsChild>
                    </w:div>
                    <w:div w:id="294146666">
                      <w:marLeft w:val="0"/>
                      <w:marRight w:val="0"/>
                      <w:marTop w:val="0"/>
                      <w:marBottom w:val="0"/>
                      <w:divBdr>
                        <w:top w:val="none" w:sz="0" w:space="0" w:color="auto"/>
                        <w:left w:val="none" w:sz="0" w:space="0" w:color="auto"/>
                        <w:bottom w:val="none" w:sz="0" w:space="0" w:color="auto"/>
                        <w:right w:val="none" w:sz="0" w:space="0" w:color="auto"/>
                      </w:divBdr>
                    </w:div>
                    <w:div w:id="294146678">
                      <w:marLeft w:val="0"/>
                      <w:marRight w:val="0"/>
                      <w:marTop w:val="0"/>
                      <w:marBottom w:val="0"/>
                      <w:divBdr>
                        <w:top w:val="none" w:sz="0" w:space="0" w:color="auto"/>
                        <w:left w:val="none" w:sz="0" w:space="0" w:color="auto"/>
                        <w:bottom w:val="none" w:sz="0" w:space="0" w:color="auto"/>
                        <w:right w:val="none" w:sz="0" w:space="0" w:color="auto"/>
                      </w:divBdr>
                      <w:divsChild>
                        <w:div w:id="294147580">
                          <w:marLeft w:val="0"/>
                          <w:marRight w:val="0"/>
                          <w:marTop w:val="0"/>
                          <w:marBottom w:val="0"/>
                          <w:divBdr>
                            <w:top w:val="none" w:sz="0" w:space="0" w:color="auto"/>
                            <w:left w:val="none" w:sz="0" w:space="0" w:color="auto"/>
                            <w:bottom w:val="none" w:sz="0" w:space="0" w:color="auto"/>
                            <w:right w:val="none" w:sz="0" w:space="0" w:color="auto"/>
                          </w:divBdr>
                        </w:div>
                      </w:divsChild>
                    </w:div>
                    <w:div w:id="294146698">
                      <w:marLeft w:val="0"/>
                      <w:marRight w:val="0"/>
                      <w:marTop w:val="0"/>
                      <w:marBottom w:val="0"/>
                      <w:divBdr>
                        <w:top w:val="none" w:sz="0" w:space="0" w:color="auto"/>
                        <w:left w:val="none" w:sz="0" w:space="0" w:color="auto"/>
                        <w:bottom w:val="none" w:sz="0" w:space="0" w:color="auto"/>
                        <w:right w:val="none" w:sz="0" w:space="0" w:color="auto"/>
                      </w:divBdr>
                      <w:divsChild>
                        <w:div w:id="294145366">
                          <w:marLeft w:val="0"/>
                          <w:marRight w:val="0"/>
                          <w:marTop w:val="0"/>
                          <w:marBottom w:val="0"/>
                          <w:divBdr>
                            <w:top w:val="none" w:sz="0" w:space="0" w:color="auto"/>
                            <w:left w:val="none" w:sz="0" w:space="0" w:color="auto"/>
                            <w:bottom w:val="none" w:sz="0" w:space="0" w:color="auto"/>
                            <w:right w:val="none" w:sz="0" w:space="0" w:color="auto"/>
                          </w:divBdr>
                        </w:div>
                      </w:divsChild>
                    </w:div>
                    <w:div w:id="294146755">
                      <w:marLeft w:val="0"/>
                      <w:marRight w:val="0"/>
                      <w:marTop w:val="0"/>
                      <w:marBottom w:val="0"/>
                      <w:divBdr>
                        <w:top w:val="none" w:sz="0" w:space="0" w:color="auto"/>
                        <w:left w:val="none" w:sz="0" w:space="0" w:color="auto"/>
                        <w:bottom w:val="none" w:sz="0" w:space="0" w:color="auto"/>
                        <w:right w:val="none" w:sz="0" w:space="0" w:color="auto"/>
                      </w:divBdr>
                      <w:divsChild>
                        <w:div w:id="294142541">
                          <w:marLeft w:val="0"/>
                          <w:marRight w:val="0"/>
                          <w:marTop w:val="0"/>
                          <w:marBottom w:val="0"/>
                          <w:divBdr>
                            <w:top w:val="none" w:sz="0" w:space="0" w:color="auto"/>
                            <w:left w:val="none" w:sz="0" w:space="0" w:color="auto"/>
                            <w:bottom w:val="none" w:sz="0" w:space="0" w:color="auto"/>
                            <w:right w:val="none" w:sz="0" w:space="0" w:color="auto"/>
                          </w:divBdr>
                        </w:div>
                      </w:divsChild>
                    </w:div>
                    <w:div w:id="294146761">
                      <w:marLeft w:val="0"/>
                      <w:marRight w:val="0"/>
                      <w:marTop w:val="0"/>
                      <w:marBottom w:val="0"/>
                      <w:divBdr>
                        <w:top w:val="none" w:sz="0" w:space="0" w:color="auto"/>
                        <w:left w:val="none" w:sz="0" w:space="0" w:color="auto"/>
                        <w:bottom w:val="none" w:sz="0" w:space="0" w:color="auto"/>
                        <w:right w:val="none" w:sz="0" w:space="0" w:color="auto"/>
                      </w:divBdr>
                    </w:div>
                    <w:div w:id="294146790">
                      <w:marLeft w:val="0"/>
                      <w:marRight w:val="0"/>
                      <w:marTop w:val="0"/>
                      <w:marBottom w:val="0"/>
                      <w:divBdr>
                        <w:top w:val="none" w:sz="0" w:space="0" w:color="auto"/>
                        <w:left w:val="none" w:sz="0" w:space="0" w:color="auto"/>
                        <w:bottom w:val="none" w:sz="0" w:space="0" w:color="auto"/>
                        <w:right w:val="none" w:sz="0" w:space="0" w:color="auto"/>
                      </w:divBdr>
                    </w:div>
                    <w:div w:id="294146812">
                      <w:marLeft w:val="0"/>
                      <w:marRight w:val="0"/>
                      <w:marTop w:val="0"/>
                      <w:marBottom w:val="0"/>
                      <w:divBdr>
                        <w:top w:val="none" w:sz="0" w:space="0" w:color="auto"/>
                        <w:left w:val="none" w:sz="0" w:space="0" w:color="auto"/>
                        <w:bottom w:val="none" w:sz="0" w:space="0" w:color="auto"/>
                        <w:right w:val="none" w:sz="0" w:space="0" w:color="auto"/>
                      </w:divBdr>
                    </w:div>
                    <w:div w:id="294146866">
                      <w:marLeft w:val="0"/>
                      <w:marRight w:val="0"/>
                      <w:marTop w:val="0"/>
                      <w:marBottom w:val="0"/>
                      <w:divBdr>
                        <w:top w:val="none" w:sz="0" w:space="0" w:color="auto"/>
                        <w:left w:val="none" w:sz="0" w:space="0" w:color="auto"/>
                        <w:bottom w:val="none" w:sz="0" w:space="0" w:color="auto"/>
                        <w:right w:val="none" w:sz="0" w:space="0" w:color="auto"/>
                      </w:divBdr>
                    </w:div>
                    <w:div w:id="294146869">
                      <w:marLeft w:val="0"/>
                      <w:marRight w:val="0"/>
                      <w:marTop w:val="0"/>
                      <w:marBottom w:val="0"/>
                      <w:divBdr>
                        <w:top w:val="none" w:sz="0" w:space="0" w:color="auto"/>
                        <w:left w:val="none" w:sz="0" w:space="0" w:color="auto"/>
                        <w:bottom w:val="none" w:sz="0" w:space="0" w:color="auto"/>
                        <w:right w:val="none" w:sz="0" w:space="0" w:color="auto"/>
                      </w:divBdr>
                    </w:div>
                    <w:div w:id="294146871">
                      <w:marLeft w:val="0"/>
                      <w:marRight w:val="0"/>
                      <w:marTop w:val="0"/>
                      <w:marBottom w:val="0"/>
                      <w:divBdr>
                        <w:top w:val="none" w:sz="0" w:space="0" w:color="auto"/>
                        <w:left w:val="none" w:sz="0" w:space="0" w:color="auto"/>
                        <w:bottom w:val="none" w:sz="0" w:space="0" w:color="auto"/>
                        <w:right w:val="none" w:sz="0" w:space="0" w:color="auto"/>
                      </w:divBdr>
                      <w:divsChild>
                        <w:div w:id="294147632">
                          <w:marLeft w:val="0"/>
                          <w:marRight w:val="0"/>
                          <w:marTop w:val="0"/>
                          <w:marBottom w:val="0"/>
                          <w:divBdr>
                            <w:top w:val="none" w:sz="0" w:space="0" w:color="auto"/>
                            <w:left w:val="none" w:sz="0" w:space="0" w:color="auto"/>
                            <w:bottom w:val="none" w:sz="0" w:space="0" w:color="auto"/>
                            <w:right w:val="none" w:sz="0" w:space="0" w:color="auto"/>
                          </w:divBdr>
                        </w:div>
                      </w:divsChild>
                    </w:div>
                    <w:div w:id="294146883">
                      <w:marLeft w:val="0"/>
                      <w:marRight w:val="0"/>
                      <w:marTop w:val="0"/>
                      <w:marBottom w:val="0"/>
                      <w:divBdr>
                        <w:top w:val="none" w:sz="0" w:space="0" w:color="auto"/>
                        <w:left w:val="none" w:sz="0" w:space="0" w:color="auto"/>
                        <w:bottom w:val="none" w:sz="0" w:space="0" w:color="auto"/>
                        <w:right w:val="none" w:sz="0" w:space="0" w:color="auto"/>
                      </w:divBdr>
                    </w:div>
                    <w:div w:id="294146891">
                      <w:marLeft w:val="0"/>
                      <w:marRight w:val="0"/>
                      <w:marTop w:val="0"/>
                      <w:marBottom w:val="0"/>
                      <w:divBdr>
                        <w:top w:val="none" w:sz="0" w:space="0" w:color="auto"/>
                        <w:left w:val="none" w:sz="0" w:space="0" w:color="auto"/>
                        <w:bottom w:val="none" w:sz="0" w:space="0" w:color="auto"/>
                        <w:right w:val="none" w:sz="0" w:space="0" w:color="auto"/>
                      </w:divBdr>
                      <w:divsChild>
                        <w:div w:id="294154527">
                          <w:marLeft w:val="0"/>
                          <w:marRight w:val="0"/>
                          <w:marTop w:val="0"/>
                          <w:marBottom w:val="0"/>
                          <w:divBdr>
                            <w:top w:val="none" w:sz="0" w:space="0" w:color="auto"/>
                            <w:left w:val="none" w:sz="0" w:space="0" w:color="auto"/>
                            <w:bottom w:val="none" w:sz="0" w:space="0" w:color="auto"/>
                            <w:right w:val="none" w:sz="0" w:space="0" w:color="auto"/>
                          </w:divBdr>
                        </w:div>
                      </w:divsChild>
                    </w:div>
                    <w:div w:id="294146910">
                      <w:marLeft w:val="0"/>
                      <w:marRight w:val="0"/>
                      <w:marTop w:val="0"/>
                      <w:marBottom w:val="0"/>
                      <w:divBdr>
                        <w:top w:val="none" w:sz="0" w:space="0" w:color="auto"/>
                        <w:left w:val="none" w:sz="0" w:space="0" w:color="auto"/>
                        <w:bottom w:val="none" w:sz="0" w:space="0" w:color="auto"/>
                        <w:right w:val="none" w:sz="0" w:space="0" w:color="auto"/>
                      </w:divBdr>
                    </w:div>
                    <w:div w:id="294146912">
                      <w:marLeft w:val="0"/>
                      <w:marRight w:val="0"/>
                      <w:marTop w:val="0"/>
                      <w:marBottom w:val="0"/>
                      <w:divBdr>
                        <w:top w:val="none" w:sz="0" w:space="0" w:color="auto"/>
                        <w:left w:val="none" w:sz="0" w:space="0" w:color="auto"/>
                        <w:bottom w:val="none" w:sz="0" w:space="0" w:color="auto"/>
                        <w:right w:val="none" w:sz="0" w:space="0" w:color="auto"/>
                      </w:divBdr>
                      <w:divsChild>
                        <w:div w:id="294156020">
                          <w:marLeft w:val="0"/>
                          <w:marRight w:val="0"/>
                          <w:marTop w:val="0"/>
                          <w:marBottom w:val="0"/>
                          <w:divBdr>
                            <w:top w:val="none" w:sz="0" w:space="0" w:color="auto"/>
                            <w:left w:val="none" w:sz="0" w:space="0" w:color="auto"/>
                            <w:bottom w:val="none" w:sz="0" w:space="0" w:color="auto"/>
                            <w:right w:val="none" w:sz="0" w:space="0" w:color="auto"/>
                          </w:divBdr>
                        </w:div>
                      </w:divsChild>
                    </w:div>
                    <w:div w:id="294146916">
                      <w:marLeft w:val="0"/>
                      <w:marRight w:val="0"/>
                      <w:marTop w:val="0"/>
                      <w:marBottom w:val="0"/>
                      <w:divBdr>
                        <w:top w:val="none" w:sz="0" w:space="0" w:color="auto"/>
                        <w:left w:val="none" w:sz="0" w:space="0" w:color="auto"/>
                        <w:bottom w:val="none" w:sz="0" w:space="0" w:color="auto"/>
                        <w:right w:val="none" w:sz="0" w:space="0" w:color="auto"/>
                      </w:divBdr>
                    </w:div>
                    <w:div w:id="294146939">
                      <w:marLeft w:val="0"/>
                      <w:marRight w:val="0"/>
                      <w:marTop w:val="0"/>
                      <w:marBottom w:val="0"/>
                      <w:divBdr>
                        <w:top w:val="none" w:sz="0" w:space="0" w:color="auto"/>
                        <w:left w:val="none" w:sz="0" w:space="0" w:color="auto"/>
                        <w:bottom w:val="none" w:sz="0" w:space="0" w:color="auto"/>
                        <w:right w:val="none" w:sz="0" w:space="0" w:color="auto"/>
                      </w:divBdr>
                    </w:div>
                    <w:div w:id="294146943">
                      <w:marLeft w:val="0"/>
                      <w:marRight w:val="0"/>
                      <w:marTop w:val="0"/>
                      <w:marBottom w:val="0"/>
                      <w:divBdr>
                        <w:top w:val="none" w:sz="0" w:space="0" w:color="auto"/>
                        <w:left w:val="none" w:sz="0" w:space="0" w:color="auto"/>
                        <w:bottom w:val="none" w:sz="0" w:space="0" w:color="auto"/>
                        <w:right w:val="none" w:sz="0" w:space="0" w:color="auto"/>
                      </w:divBdr>
                    </w:div>
                    <w:div w:id="294147002">
                      <w:marLeft w:val="0"/>
                      <w:marRight w:val="0"/>
                      <w:marTop w:val="0"/>
                      <w:marBottom w:val="0"/>
                      <w:divBdr>
                        <w:top w:val="none" w:sz="0" w:space="0" w:color="auto"/>
                        <w:left w:val="none" w:sz="0" w:space="0" w:color="auto"/>
                        <w:bottom w:val="none" w:sz="0" w:space="0" w:color="auto"/>
                        <w:right w:val="none" w:sz="0" w:space="0" w:color="auto"/>
                      </w:divBdr>
                    </w:div>
                    <w:div w:id="294147038">
                      <w:marLeft w:val="0"/>
                      <w:marRight w:val="0"/>
                      <w:marTop w:val="0"/>
                      <w:marBottom w:val="0"/>
                      <w:divBdr>
                        <w:top w:val="none" w:sz="0" w:space="0" w:color="auto"/>
                        <w:left w:val="none" w:sz="0" w:space="0" w:color="auto"/>
                        <w:bottom w:val="none" w:sz="0" w:space="0" w:color="auto"/>
                        <w:right w:val="none" w:sz="0" w:space="0" w:color="auto"/>
                      </w:divBdr>
                      <w:divsChild>
                        <w:div w:id="294151893">
                          <w:marLeft w:val="0"/>
                          <w:marRight w:val="0"/>
                          <w:marTop w:val="0"/>
                          <w:marBottom w:val="0"/>
                          <w:divBdr>
                            <w:top w:val="none" w:sz="0" w:space="0" w:color="auto"/>
                            <w:left w:val="none" w:sz="0" w:space="0" w:color="auto"/>
                            <w:bottom w:val="none" w:sz="0" w:space="0" w:color="auto"/>
                            <w:right w:val="none" w:sz="0" w:space="0" w:color="auto"/>
                          </w:divBdr>
                        </w:div>
                      </w:divsChild>
                    </w:div>
                    <w:div w:id="294147043">
                      <w:marLeft w:val="0"/>
                      <w:marRight w:val="0"/>
                      <w:marTop w:val="0"/>
                      <w:marBottom w:val="0"/>
                      <w:divBdr>
                        <w:top w:val="none" w:sz="0" w:space="0" w:color="auto"/>
                        <w:left w:val="none" w:sz="0" w:space="0" w:color="auto"/>
                        <w:bottom w:val="none" w:sz="0" w:space="0" w:color="auto"/>
                        <w:right w:val="none" w:sz="0" w:space="0" w:color="auto"/>
                      </w:divBdr>
                      <w:divsChild>
                        <w:div w:id="294147809">
                          <w:marLeft w:val="0"/>
                          <w:marRight w:val="0"/>
                          <w:marTop w:val="0"/>
                          <w:marBottom w:val="0"/>
                          <w:divBdr>
                            <w:top w:val="none" w:sz="0" w:space="0" w:color="auto"/>
                            <w:left w:val="none" w:sz="0" w:space="0" w:color="auto"/>
                            <w:bottom w:val="none" w:sz="0" w:space="0" w:color="auto"/>
                            <w:right w:val="none" w:sz="0" w:space="0" w:color="auto"/>
                          </w:divBdr>
                        </w:div>
                      </w:divsChild>
                    </w:div>
                    <w:div w:id="294147103">
                      <w:marLeft w:val="0"/>
                      <w:marRight w:val="0"/>
                      <w:marTop w:val="0"/>
                      <w:marBottom w:val="0"/>
                      <w:divBdr>
                        <w:top w:val="none" w:sz="0" w:space="0" w:color="auto"/>
                        <w:left w:val="none" w:sz="0" w:space="0" w:color="auto"/>
                        <w:bottom w:val="none" w:sz="0" w:space="0" w:color="auto"/>
                        <w:right w:val="none" w:sz="0" w:space="0" w:color="auto"/>
                      </w:divBdr>
                    </w:div>
                    <w:div w:id="294147129">
                      <w:marLeft w:val="0"/>
                      <w:marRight w:val="0"/>
                      <w:marTop w:val="0"/>
                      <w:marBottom w:val="0"/>
                      <w:divBdr>
                        <w:top w:val="none" w:sz="0" w:space="0" w:color="auto"/>
                        <w:left w:val="none" w:sz="0" w:space="0" w:color="auto"/>
                        <w:bottom w:val="none" w:sz="0" w:space="0" w:color="auto"/>
                        <w:right w:val="none" w:sz="0" w:space="0" w:color="auto"/>
                      </w:divBdr>
                      <w:divsChild>
                        <w:div w:id="294142256">
                          <w:marLeft w:val="0"/>
                          <w:marRight w:val="0"/>
                          <w:marTop w:val="0"/>
                          <w:marBottom w:val="0"/>
                          <w:divBdr>
                            <w:top w:val="none" w:sz="0" w:space="0" w:color="auto"/>
                            <w:left w:val="none" w:sz="0" w:space="0" w:color="auto"/>
                            <w:bottom w:val="none" w:sz="0" w:space="0" w:color="auto"/>
                            <w:right w:val="none" w:sz="0" w:space="0" w:color="auto"/>
                          </w:divBdr>
                        </w:div>
                      </w:divsChild>
                    </w:div>
                    <w:div w:id="294147157">
                      <w:marLeft w:val="0"/>
                      <w:marRight w:val="0"/>
                      <w:marTop w:val="0"/>
                      <w:marBottom w:val="0"/>
                      <w:divBdr>
                        <w:top w:val="none" w:sz="0" w:space="0" w:color="auto"/>
                        <w:left w:val="none" w:sz="0" w:space="0" w:color="auto"/>
                        <w:bottom w:val="none" w:sz="0" w:space="0" w:color="auto"/>
                        <w:right w:val="none" w:sz="0" w:space="0" w:color="auto"/>
                      </w:divBdr>
                      <w:divsChild>
                        <w:div w:id="294139220">
                          <w:marLeft w:val="0"/>
                          <w:marRight w:val="0"/>
                          <w:marTop w:val="0"/>
                          <w:marBottom w:val="0"/>
                          <w:divBdr>
                            <w:top w:val="none" w:sz="0" w:space="0" w:color="auto"/>
                            <w:left w:val="none" w:sz="0" w:space="0" w:color="auto"/>
                            <w:bottom w:val="none" w:sz="0" w:space="0" w:color="auto"/>
                            <w:right w:val="none" w:sz="0" w:space="0" w:color="auto"/>
                          </w:divBdr>
                        </w:div>
                      </w:divsChild>
                    </w:div>
                    <w:div w:id="294147193">
                      <w:marLeft w:val="0"/>
                      <w:marRight w:val="0"/>
                      <w:marTop w:val="0"/>
                      <w:marBottom w:val="0"/>
                      <w:divBdr>
                        <w:top w:val="none" w:sz="0" w:space="0" w:color="auto"/>
                        <w:left w:val="none" w:sz="0" w:space="0" w:color="auto"/>
                        <w:bottom w:val="none" w:sz="0" w:space="0" w:color="auto"/>
                        <w:right w:val="none" w:sz="0" w:space="0" w:color="auto"/>
                      </w:divBdr>
                      <w:divsChild>
                        <w:div w:id="294149222">
                          <w:marLeft w:val="0"/>
                          <w:marRight w:val="0"/>
                          <w:marTop w:val="0"/>
                          <w:marBottom w:val="0"/>
                          <w:divBdr>
                            <w:top w:val="none" w:sz="0" w:space="0" w:color="auto"/>
                            <w:left w:val="none" w:sz="0" w:space="0" w:color="auto"/>
                            <w:bottom w:val="none" w:sz="0" w:space="0" w:color="auto"/>
                            <w:right w:val="none" w:sz="0" w:space="0" w:color="auto"/>
                          </w:divBdr>
                        </w:div>
                      </w:divsChild>
                    </w:div>
                    <w:div w:id="294147257">
                      <w:marLeft w:val="0"/>
                      <w:marRight w:val="0"/>
                      <w:marTop w:val="0"/>
                      <w:marBottom w:val="0"/>
                      <w:divBdr>
                        <w:top w:val="none" w:sz="0" w:space="0" w:color="auto"/>
                        <w:left w:val="none" w:sz="0" w:space="0" w:color="auto"/>
                        <w:bottom w:val="none" w:sz="0" w:space="0" w:color="auto"/>
                        <w:right w:val="none" w:sz="0" w:space="0" w:color="auto"/>
                      </w:divBdr>
                    </w:div>
                    <w:div w:id="294147261">
                      <w:marLeft w:val="0"/>
                      <w:marRight w:val="0"/>
                      <w:marTop w:val="0"/>
                      <w:marBottom w:val="0"/>
                      <w:divBdr>
                        <w:top w:val="none" w:sz="0" w:space="0" w:color="auto"/>
                        <w:left w:val="none" w:sz="0" w:space="0" w:color="auto"/>
                        <w:bottom w:val="none" w:sz="0" w:space="0" w:color="auto"/>
                        <w:right w:val="none" w:sz="0" w:space="0" w:color="auto"/>
                      </w:divBdr>
                      <w:divsChild>
                        <w:div w:id="294141581">
                          <w:marLeft w:val="0"/>
                          <w:marRight w:val="0"/>
                          <w:marTop w:val="0"/>
                          <w:marBottom w:val="0"/>
                          <w:divBdr>
                            <w:top w:val="none" w:sz="0" w:space="0" w:color="auto"/>
                            <w:left w:val="none" w:sz="0" w:space="0" w:color="auto"/>
                            <w:bottom w:val="none" w:sz="0" w:space="0" w:color="auto"/>
                            <w:right w:val="none" w:sz="0" w:space="0" w:color="auto"/>
                          </w:divBdr>
                        </w:div>
                      </w:divsChild>
                    </w:div>
                    <w:div w:id="294147315">
                      <w:marLeft w:val="0"/>
                      <w:marRight w:val="0"/>
                      <w:marTop w:val="0"/>
                      <w:marBottom w:val="0"/>
                      <w:divBdr>
                        <w:top w:val="none" w:sz="0" w:space="0" w:color="auto"/>
                        <w:left w:val="none" w:sz="0" w:space="0" w:color="auto"/>
                        <w:bottom w:val="none" w:sz="0" w:space="0" w:color="auto"/>
                        <w:right w:val="none" w:sz="0" w:space="0" w:color="auto"/>
                      </w:divBdr>
                    </w:div>
                    <w:div w:id="294147338">
                      <w:marLeft w:val="0"/>
                      <w:marRight w:val="0"/>
                      <w:marTop w:val="0"/>
                      <w:marBottom w:val="0"/>
                      <w:divBdr>
                        <w:top w:val="none" w:sz="0" w:space="0" w:color="auto"/>
                        <w:left w:val="none" w:sz="0" w:space="0" w:color="auto"/>
                        <w:bottom w:val="none" w:sz="0" w:space="0" w:color="auto"/>
                        <w:right w:val="none" w:sz="0" w:space="0" w:color="auto"/>
                      </w:divBdr>
                      <w:divsChild>
                        <w:div w:id="294140335">
                          <w:marLeft w:val="0"/>
                          <w:marRight w:val="0"/>
                          <w:marTop w:val="0"/>
                          <w:marBottom w:val="0"/>
                          <w:divBdr>
                            <w:top w:val="none" w:sz="0" w:space="0" w:color="auto"/>
                            <w:left w:val="none" w:sz="0" w:space="0" w:color="auto"/>
                            <w:bottom w:val="none" w:sz="0" w:space="0" w:color="auto"/>
                            <w:right w:val="none" w:sz="0" w:space="0" w:color="auto"/>
                          </w:divBdr>
                        </w:div>
                      </w:divsChild>
                    </w:div>
                    <w:div w:id="294147350">
                      <w:marLeft w:val="0"/>
                      <w:marRight w:val="0"/>
                      <w:marTop w:val="0"/>
                      <w:marBottom w:val="0"/>
                      <w:divBdr>
                        <w:top w:val="none" w:sz="0" w:space="0" w:color="auto"/>
                        <w:left w:val="none" w:sz="0" w:space="0" w:color="auto"/>
                        <w:bottom w:val="none" w:sz="0" w:space="0" w:color="auto"/>
                        <w:right w:val="none" w:sz="0" w:space="0" w:color="auto"/>
                      </w:divBdr>
                    </w:div>
                    <w:div w:id="294147410">
                      <w:marLeft w:val="0"/>
                      <w:marRight w:val="0"/>
                      <w:marTop w:val="0"/>
                      <w:marBottom w:val="0"/>
                      <w:divBdr>
                        <w:top w:val="none" w:sz="0" w:space="0" w:color="auto"/>
                        <w:left w:val="none" w:sz="0" w:space="0" w:color="auto"/>
                        <w:bottom w:val="none" w:sz="0" w:space="0" w:color="auto"/>
                        <w:right w:val="none" w:sz="0" w:space="0" w:color="auto"/>
                      </w:divBdr>
                    </w:div>
                    <w:div w:id="294147411">
                      <w:marLeft w:val="0"/>
                      <w:marRight w:val="0"/>
                      <w:marTop w:val="0"/>
                      <w:marBottom w:val="0"/>
                      <w:divBdr>
                        <w:top w:val="none" w:sz="0" w:space="0" w:color="auto"/>
                        <w:left w:val="none" w:sz="0" w:space="0" w:color="auto"/>
                        <w:bottom w:val="none" w:sz="0" w:space="0" w:color="auto"/>
                        <w:right w:val="none" w:sz="0" w:space="0" w:color="auto"/>
                      </w:divBdr>
                    </w:div>
                    <w:div w:id="294147458">
                      <w:marLeft w:val="0"/>
                      <w:marRight w:val="0"/>
                      <w:marTop w:val="0"/>
                      <w:marBottom w:val="0"/>
                      <w:divBdr>
                        <w:top w:val="none" w:sz="0" w:space="0" w:color="auto"/>
                        <w:left w:val="none" w:sz="0" w:space="0" w:color="auto"/>
                        <w:bottom w:val="none" w:sz="0" w:space="0" w:color="auto"/>
                        <w:right w:val="none" w:sz="0" w:space="0" w:color="auto"/>
                      </w:divBdr>
                    </w:div>
                    <w:div w:id="294147467">
                      <w:marLeft w:val="0"/>
                      <w:marRight w:val="0"/>
                      <w:marTop w:val="0"/>
                      <w:marBottom w:val="0"/>
                      <w:divBdr>
                        <w:top w:val="none" w:sz="0" w:space="0" w:color="auto"/>
                        <w:left w:val="none" w:sz="0" w:space="0" w:color="auto"/>
                        <w:bottom w:val="none" w:sz="0" w:space="0" w:color="auto"/>
                        <w:right w:val="none" w:sz="0" w:space="0" w:color="auto"/>
                      </w:divBdr>
                      <w:divsChild>
                        <w:div w:id="294154582">
                          <w:marLeft w:val="0"/>
                          <w:marRight w:val="0"/>
                          <w:marTop w:val="0"/>
                          <w:marBottom w:val="0"/>
                          <w:divBdr>
                            <w:top w:val="none" w:sz="0" w:space="0" w:color="auto"/>
                            <w:left w:val="none" w:sz="0" w:space="0" w:color="auto"/>
                            <w:bottom w:val="none" w:sz="0" w:space="0" w:color="auto"/>
                            <w:right w:val="none" w:sz="0" w:space="0" w:color="auto"/>
                          </w:divBdr>
                        </w:div>
                      </w:divsChild>
                    </w:div>
                    <w:div w:id="294147490">
                      <w:marLeft w:val="0"/>
                      <w:marRight w:val="0"/>
                      <w:marTop w:val="0"/>
                      <w:marBottom w:val="0"/>
                      <w:divBdr>
                        <w:top w:val="none" w:sz="0" w:space="0" w:color="auto"/>
                        <w:left w:val="none" w:sz="0" w:space="0" w:color="auto"/>
                        <w:bottom w:val="none" w:sz="0" w:space="0" w:color="auto"/>
                        <w:right w:val="none" w:sz="0" w:space="0" w:color="auto"/>
                      </w:divBdr>
                    </w:div>
                    <w:div w:id="294147562">
                      <w:marLeft w:val="0"/>
                      <w:marRight w:val="0"/>
                      <w:marTop w:val="0"/>
                      <w:marBottom w:val="0"/>
                      <w:divBdr>
                        <w:top w:val="none" w:sz="0" w:space="0" w:color="auto"/>
                        <w:left w:val="none" w:sz="0" w:space="0" w:color="auto"/>
                        <w:bottom w:val="none" w:sz="0" w:space="0" w:color="auto"/>
                        <w:right w:val="none" w:sz="0" w:space="0" w:color="auto"/>
                      </w:divBdr>
                      <w:divsChild>
                        <w:div w:id="294153398">
                          <w:marLeft w:val="0"/>
                          <w:marRight w:val="0"/>
                          <w:marTop w:val="0"/>
                          <w:marBottom w:val="0"/>
                          <w:divBdr>
                            <w:top w:val="none" w:sz="0" w:space="0" w:color="auto"/>
                            <w:left w:val="none" w:sz="0" w:space="0" w:color="auto"/>
                            <w:bottom w:val="none" w:sz="0" w:space="0" w:color="auto"/>
                            <w:right w:val="none" w:sz="0" w:space="0" w:color="auto"/>
                          </w:divBdr>
                        </w:div>
                      </w:divsChild>
                    </w:div>
                    <w:div w:id="294147606">
                      <w:marLeft w:val="0"/>
                      <w:marRight w:val="0"/>
                      <w:marTop w:val="0"/>
                      <w:marBottom w:val="0"/>
                      <w:divBdr>
                        <w:top w:val="none" w:sz="0" w:space="0" w:color="auto"/>
                        <w:left w:val="none" w:sz="0" w:space="0" w:color="auto"/>
                        <w:bottom w:val="none" w:sz="0" w:space="0" w:color="auto"/>
                        <w:right w:val="none" w:sz="0" w:space="0" w:color="auto"/>
                      </w:divBdr>
                      <w:divsChild>
                        <w:div w:id="294153955">
                          <w:marLeft w:val="0"/>
                          <w:marRight w:val="0"/>
                          <w:marTop w:val="0"/>
                          <w:marBottom w:val="0"/>
                          <w:divBdr>
                            <w:top w:val="none" w:sz="0" w:space="0" w:color="auto"/>
                            <w:left w:val="none" w:sz="0" w:space="0" w:color="auto"/>
                            <w:bottom w:val="none" w:sz="0" w:space="0" w:color="auto"/>
                            <w:right w:val="none" w:sz="0" w:space="0" w:color="auto"/>
                          </w:divBdr>
                        </w:div>
                      </w:divsChild>
                    </w:div>
                    <w:div w:id="294147613">
                      <w:marLeft w:val="0"/>
                      <w:marRight w:val="0"/>
                      <w:marTop w:val="0"/>
                      <w:marBottom w:val="0"/>
                      <w:divBdr>
                        <w:top w:val="none" w:sz="0" w:space="0" w:color="auto"/>
                        <w:left w:val="none" w:sz="0" w:space="0" w:color="auto"/>
                        <w:bottom w:val="none" w:sz="0" w:space="0" w:color="auto"/>
                        <w:right w:val="none" w:sz="0" w:space="0" w:color="auto"/>
                      </w:divBdr>
                      <w:divsChild>
                        <w:div w:id="294139379">
                          <w:marLeft w:val="0"/>
                          <w:marRight w:val="0"/>
                          <w:marTop w:val="0"/>
                          <w:marBottom w:val="0"/>
                          <w:divBdr>
                            <w:top w:val="none" w:sz="0" w:space="0" w:color="auto"/>
                            <w:left w:val="none" w:sz="0" w:space="0" w:color="auto"/>
                            <w:bottom w:val="none" w:sz="0" w:space="0" w:color="auto"/>
                            <w:right w:val="none" w:sz="0" w:space="0" w:color="auto"/>
                          </w:divBdr>
                        </w:div>
                      </w:divsChild>
                    </w:div>
                    <w:div w:id="294147637">
                      <w:marLeft w:val="0"/>
                      <w:marRight w:val="0"/>
                      <w:marTop w:val="0"/>
                      <w:marBottom w:val="0"/>
                      <w:divBdr>
                        <w:top w:val="none" w:sz="0" w:space="0" w:color="auto"/>
                        <w:left w:val="none" w:sz="0" w:space="0" w:color="auto"/>
                        <w:bottom w:val="none" w:sz="0" w:space="0" w:color="auto"/>
                        <w:right w:val="none" w:sz="0" w:space="0" w:color="auto"/>
                      </w:divBdr>
                      <w:divsChild>
                        <w:div w:id="294149706">
                          <w:marLeft w:val="0"/>
                          <w:marRight w:val="0"/>
                          <w:marTop w:val="0"/>
                          <w:marBottom w:val="0"/>
                          <w:divBdr>
                            <w:top w:val="none" w:sz="0" w:space="0" w:color="auto"/>
                            <w:left w:val="none" w:sz="0" w:space="0" w:color="auto"/>
                            <w:bottom w:val="none" w:sz="0" w:space="0" w:color="auto"/>
                            <w:right w:val="none" w:sz="0" w:space="0" w:color="auto"/>
                          </w:divBdr>
                        </w:div>
                      </w:divsChild>
                    </w:div>
                    <w:div w:id="294147743">
                      <w:marLeft w:val="0"/>
                      <w:marRight w:val="0"/>
                      <w:marTop w:val="0"/>
                      <w:marBottom w:val="0"/>
                      <w:divBdr>
                        <w:top w:val="none" w:sz="0" w:space="0" w:color="auto"/>
                        <w:left w:val="none" w:sz="0" w:space="0" w:color="auto"/>
                        <w:bottom w:val="none" w:sz="0" w:space="0" w:color="auto"/>
                        <w:right w:val="none" w:sz="0" w:space="0" w:color="auto"/>
                      </w:divBdr>
                    </w:div>
                    <w:div w:id="294147755">
                      <w:marLeft w:val="0"/>
                      <w:marRight w:val="0"/>
                      <w:marTop w:val="0"/>
                      <w:marBottom w:val="0"/>
                      <w:divBdr>
                        <w:top w:val="none" w:sz="0" w:space="0" w:color="auto"/>
                        <w:left w:val="none" w:sz="0" w:space="0" w:color="auto"/>
                        <w:bottom w:val="none" w:sz="0" w:space="0" w:color="auto"/>
                        <w:right w:val="none" w:sz="0" w:space="0" w:color="auto"/>
                      </w:divBdr>
                      <w:divsChild>
                        <w:div w:id="294143225">
                          <w:marLeft w:val="0"/>
                          <w:marRight w:val="0"/>
                          <w:marTop w:val="0"/>
                          <w:marBottom w:val="0"/>
                          <w:divBdr>
                            <w:top w:val="none" w:sz="0" w:space="0" w:color="auto"/>
                            <w:left w:val="none" w:sz="0" w:space="0" w:color="auto"/>
                            <w:bottom w:val="none" w:sz="0" w:space="0" w:color="auto"/>
                            <w:right w:val="none" w:sz="0" w:space="0" w:color="auto"/>
                          </w:divBdr>
                        </w:div>
                      </w:divsChild>
                    </w:div>
                    <w:div w:id="294147774">
                      <w:marLeft w:val="0"/>
                      <w:marRight w:val="0"/>
                      <w:marTop w:val="0"/>
                      <w:marBottom w:val="0"/>
                      <w:divBdr>
                        <w:top w:val="none" w:sz="0" w:space="0" w:color="auto"/>
                        <w:left w:val="none" w:sz="0" w:space="0" w:color="auto"/>
                        <w:bottom w:val="none" w:sz="0" w:space="0" w:color="auto"/>
                        <w:right w:val="none" w:sz="0" w:space="0" w:color="auto"/>
                      </w:divBdr>
                    </w:div>
                    <w:div w:id="294147829">
                      <w:marLeft w:val="0"/>
                      <w:marRight w:val="0"/>
                      <w:marTop w:val="0"/>
                      <w:marBottom w:val="0"/>
                      <w:divBdr>
                        <w:top w:val="none" w:sz="0" w:space="0" w:color="auto"/>
                        <w:left w:val="none" w:sz="0" w:space="0" w:color="auto"/>
                        <w:bottom w:val="none" w:sz="0" w:space="0" w:color="auto"/>
                        <w:right w:val="none" w:sz="0" w:space="0" w:color="auto"/>
                      </w:divBdr>
                      <w:divsChild>
                        <w:div w:id="294156405">
                          <w:marLeft w:val="0"/>
                          <w:marRight w:val="0"/>
                          <w:marTop w:val="0"/>
                          <w:marBottom w:val="0"/>
                          <w:divBdr>
                            <w:top w:val="none" w:sz="0" w:space="0" w:color="auto"/>
                            <w:left w:val="none" w:sz="0" w:space="0" w:color="auto"/>
                            <w:bottom w:val="none" w:sz="0" w:space="0" w:color="auto"/>
                            <w:right w:val="none" w:sz="0" w:space="0" w:color="auto"/>
                          </w:divBdr>
                        </w:div>
                      </w:divsChild>
                    </w:div>
                    <w:div w:id="294147854">
                      <w:marLeft w:val="0"/>
                      <w:marRight w:val="0"/>
                      <w:marTop w:val="0"/>
                      <w:marBottom w:val="0"/>
                      <w:divBdr>
                        <w:top w:val="none" w:sz="0" w:space="0" w:color="auto"/>
                        <w:left w:val="none" w:sz="0" w:space="0" w:color="auto"/>
                        <w:bottom w:val="none" w:sz="0" w:space="0" w:color="auto"/>
                        <w:right w:val="none" w:sz="0" w:space="0" w:color="auto"/>
                      </w:divBdr>
                    </w:div>
                    <w:div w:id="294147864">
                      <w:marLeft w:val="0"/>
                      <w:marRight w:val="0"/>
                      <w:marTop w:val="0"/>
                      <w:marBottom w:val="0"/>
                      <w:divBdr>
                        <w:top w:val="none" w:sz="0" w:space="0" w:color="auto"/>
                        <w:left w:val="none" w:sz="0" w:space="0" w:color="auto"/>
                        <w:bottom w:val="none" w:sz="0" w:space="0" w:color="auto"/>
                        <w:right w:val="none" w:sz="0" w:space="0" w:color="auto"/>
                      </w:divBdr>
                      <w:divsChild>
                        <w:div w:id="294146555">
                          <w:marLeft w:val="0"/>
                          <w:marRight w:val="0"/>
                          <w:marTop w:val="0"/>
                          <w:marBottom w:val="0"/>
                          <w:divBdr>
                            <w:top w:val="none" w:sz="0" w:space="0" w:color="auto"/>
                            <w:left w:val="none" w:sz="0" w:space="0" w:color="auto"/>
                            <w:bottom w:val="none" w:sz="0" w:space="0" w:color="auto"/>
                            <w:right w:val="none" w:sz="0" w:space="0" w:color="auto"/>
                          </w:divBdr>
                        </w:div>
                      </w:divsChild>
                    </w:div>
                    <w:div w:id="294147893">
                      <w:marLeft w:val="0"/>
                      <w:marRight w:val="0"/>
                      <w:marTop w:val="0"/>
                      <w:marBottom w:val="0"/>
                      <w:divBdr>
                        <w:top w:val="none" w:sz="0" w:space="0" w:color="auto"/>
                        <w:left w:val="none" w:sz="0" w:space="0" w:color="auto"/>
                        <w:bottom w:val="none" w:sz="0" w:space="0" w:color="auto"/>
                        <w:right w:val="none" w:sz="0" w:space="0" w:color="auto"/>
                      </w:divBdr>
                    </w:div>
                    <w:div w:id="294147902">
                      <w:marLeft w:val="0"/>
                      <w:marRight w:val="0"/>
                      <w:marTop w:val="0"/>
                      <w:marBottom w:val="0"/>
                      <w:divBdr>
                        <w:top w:val="none" w:sz="0" w:space="0" w:color="auto"/>
                        <w:left w:val="none" w:sz="0" w:space="0" w:color="auto"/>
                        <w:bottom w:val="none" w:sz="0" w:space="0" w:color="auto"/>
                        <w:right w:val="none" w:sz="0" w:space="0" w:color="auto"/>
                      </w:divBdr>
                    </w:div>
                    <w:div w:id="294147936">
                      <w:marLeft w:val="0"/>
                      <w:marRight w:val="0"/>
                      <w:marTop w:val="0"/>
                      <w:marBottom w:val="0"/>
                      <w:divBdr>
                        <w:top w:val="none" w:sz="0" w:space="0" w:color="auto"/>
                        <w:left w:val="none" w:sz="0" w:space="0" w:color="auto"/>
                        <w:bottom w:val="none" w:sz="0" w:space="0" w:color="auto"/>
                        <w:right w:val="none" w:sz="0" w:space="0" w:color="auto"/>
                      </w:divBdr>
                    </w:div>
                    <w:div w:id="294147968">
                      <w:marLeft w:val="0"/>
                      <w:marRight w:val="0"/>
                      <w:marTop w:val="0"/>
                      <w:marBottom w:val="0"/>
                      <w:divBdr>
                        <w:top w:val="none" w:sz="0" w:space="0" w:color="auto"/>
                        <w:left w:val="none" w:sz="0" w:space="0" w:color="auto"/>
                        <w:bottom w:val="none" w:sz="0" w:space="0" w:color="auto"/>
                        <w:right w:val="none" w:sz="0" w:space="0" w:color="auto"/>
                      </w:divBdr>
                    </w:div>
                    <w:div w:id="294147978">
                      <w:marLeft w:val="0"/>
                      <w:marRight w:val="0"/>
                      <w:marTop w:val="0"/>
                      <w:marBottom w:val="0"/>
                      <w:divBdr>
                        <w:top w:val="none" w:sz="0" w:space="0" w:color="auto"/>
                        <w:left w:val="none" w:sz="0" w:space="0" w:color="auto"/>
                        <w:bottom w:val="none" w:sz="0" w:space="0" w:color="auto"/>
                        <w:right w:val="none" w:sz="0" w:space="0" w:color="auto"/>
                      </w:divBdr>
                      <w:divsChild>
                        <w:div w:id="294147099">
                          <w:marLeft w:val="0"/>
                          <w:marRight w:val="0"/>
                          <w:marTop w:val="0"/>
                          <w:marBottom w:val="0"/>
                          <w:divBdr>
                            <w:top w:val="none" w:sz="0" w:space="0" w:color="auto"/>
                            <w:left w:val="none" w:sz="0" w:space="0" w:color="auto"/>
                            <w:bottom w:val="none" w:sz="0" w:space="0" w:color="auto"/>
                            <w:right w:val="none" w:sz="0" w:space="0" w:color="auto"/>
                          </w:divBdr>
                        </w:div>
                      </w:divsChild>
                    </w:div>
                    <w:div w:id="294147989">
                      <w:marLeft w:val="0"/>
                      <w:marRight w:val="0"/>
                      <w:marTop w:val="0"/>
                      <w:marBottom w:val="0"/>
                      <w:divBdr>
                        <w:top w:val="none" w:sz="0" w:space="0" w:color="auto"/>
                        <w:left w:val="none" w:sz="0" w:space="0" w:color="auto"/>
                        <w:bottom w:val="none" w:sz="0" w:space="0" w:color="auto"/>
                        <w:right w:val="none" w:sz="0" w:space="0" w:color="auto"/>
                      </w:divBdr>
                      <w:divsChild>
                        <w:div w:id="294138989">
                          <w:marLeft w:val="0"/>
                          <w:marRight w:val="0"/>
                          <w:marTop w:val="0"/>
                          <w:marBottom w:val="0"/>
                          <w:divBdr>
                            <w:top w:val="none" w:sz="0" w:space="0" w:color="auto"/>
                            <w:left w:val="none" w:sz="0" w:space="0" w:color="auto"/>
                            <w:bottom w:val="none" w:sz="0" w:space="0" w:color="auto"/>
                            <w:right w:val="none" w:sz="0" w:space="0" w:color="auto"/>
                          </w:divBdr>
                        </w:div>
                      </w:divsChild>
                    </w:div>
                    <w:div w:id="294148042">
                      <w:marLeft w:val="0"/>
                      <w:marRight w:val="0"/>
                      <w:marTop w:val="0"/>
                      <w:marBottom w:val="0"/>
                      <w:divBdr>
                        <w:top w:val="none" w:sz="0" w:space="0" w:color="auto"/>
                        <w:left w:val="none" w:sz="0" w:space="0" w:color="auto"/>
                        <w:bottom w:val="none" w:sz="0" w:space="0" w:color="auto"/>
                        <w:right w:val="none" w:sz="0" w:space="0" w:color="auto"/>
                      </w:divBdr>
                      <w:divsChild>
                        <w:div w:id="294157222">
                          <w:marLeft w:val="0"/>
                          <w:marRight w:val="0"/>
                          <w:marTop w:val="0"/>
                          <w:marBottom w:val="0"/>
                          <w:divBdr>
                            <w:top w:val="none" w:sz="0" w:space="0" w:color="auto"/>
                            <w:left w:val="none" w:sz="0" w:space="0" w:color="auto"/>
                            <w:bottom w:val="none" w:sz="0" w:space="0" w:color="auto"/>
                            <w:right w:val="none" w:sz="0" w:space="0" w:color="auto"/>
                          </w:divBdr>
                        </w:div>
                      </w:divsChild>
                    </w:div>
                    <w:div w:id="294148088">
                      <w:marLeft w:val="0"/>
                      <w:marRight w:val="0"/>
                      <w:marTop w:val="0"/>
                      <w:marBottom w:val="0"/>
                      <w:divBdr>
                        <w:top w:val="none" w:sz="0" w:space="0" w:color="auto"/>
                        <w:left w:val="none" w:sz="0" w:space="0" w:color="auto"/>
                        <w:bottom w:val="none" w:sz="0" w:space="0" w:color="auto"/>
                        <w:right w:val="none" w:sz="0" w:space="0" w:color="auto"/>
                      </w:divBdr>
                      <w:divsChild>
                        <w:div w:id="294154990">
                          <w:marLeft w:val="0"/>
                          <w:marRight w:val="0"/>
                          <w:marTop w:val="0"/>
                          <w:marBottom w:val="0"/>
                          <w:divBdr>
                            <w:top w:val="none" w:sz="0" w:space="0" w:color="auto"/>
                            <w:left w:val="none" w:sz="0" w:space="0" w:color="auto"/>
                            <w:bottom w:val="none" w:sz="0" w:space="0" w:color="auto"/>
                            <w:right w:val="none" w:sz="0" w:space="0" w:color="auto"/>
                          </w:divBdr>
                        </w:div>
                      </w:divsChild>
                    </w:div>
                    <w:div w:id="294148126">
                      <w:marLeft w:val="0"/>
                      <w:marRight w:val="0"/>
                      <w:marTop w:val="0"/>
                      <w:marBottom w:val="0"/>
                      <w:divBdr>
                        <w:top w:val="none" w:sz="0" w:space="0" w:color="auto"/>
                        <w:left w:val="none" w:sz="0" w:space="0" w:color="auto"/>
                        <w:bottom w:val="none" w:sz="0" w:space="0" w:color="auto"/>
                        <w:right w:val="none" w:sz="0" w:space="0" w:color="auto"/>
                      </w:divBdr>
                    </w:div>
                    <w:div w:id="294148218">
                      <w:marLeft w:val="0"/>
                      <w:marRight w:val="0"/>
                      <w:marTop w:val="0"/>
                      <w:marBottom w:val="0"/>
                      <w:divBdr>
                        <w:top w:val="none" w:sz="0" w:space="0" w:color="auto"/>
                        <w:left w:val="none" w:sz="0" w:space="0" w:color="auto"/>
                        <w:bottom w:val="none" w:sz="0" w:space="0" w:color="auto"/>
                        <w:right w:val="none" w:sz="0" w:space="0" w:color="auto"/>
                      </w:divBdr>
                    </w:div>
                    <w:div w:id="294148223">
                      <w:marLeft w:val="0"/>
                      <w:marRight w:val="0"/>
                      <w:marTop w:val="0"/>
                      <w:marBottom w:val="0"/>
                      <w:divBdr>
                        <w:top w:val="none" w:sz="0" w:space="0" w:color="auto"/>
                        <w:left w:val="none" w:sz="0" w:space="0" w:color="auto"/>
                        <w:bottom w:val="none" w:sz="0" w:space="0" w:color="auto"/>
                        <w:right w:val="none" w:sz="0" w:space="0" w:color="auto"/>
                      </w:divBdr>
                      <w:divsChild>
                        <w:div w:id="294146210">
                          <w:marLeft w:val="0"/>
                          <w:marRight w:val="0"/>
                          <w:marTop w:val="0"/>
                          <w:marBottom w:val="0"/>
                          <w:divBdr>
                            <w:top w:val="none" w:sz="0" w:space="0" w:color="auto"/>
                            <w:left w:val="none" w:sz="0" w:space="0" w:color="auto"/>
                            <w:bottom w:val="none" w:sz="0" w:space="0" w:color="auto"/>
                            <w:right w:val="none" w:sz="0" w:space="0" w:color="auto"/>
                          </w:divBdr>
                        </w:div>
                      </w:divsChild>
                    </w:div>
                    <w:div w:id="294148244">
                      <w:marLeft w:val="0"/>
                      <w:marRight w:val="0"/>
                      <w:marTop w:val="0"/>
                      <w:marBottom w:val="0"/>
                      <w:divBdr>
                        <w:top w:val="none" w:sz="0" w:space="0" w:color="auto"/>
                        <w:left w:val="none" w:sz="0" w:space="0" w:color="auto"/>
                        <w:bottom w:val="none" w:sz="0" w:space="0" w:color="auto"/>
                        <w:right w:val="none" w:sz="0" w:space="0" w:color="auto"/>
                      </w:divBdr>
                      <w:divsChild>
                        <w:div w:id="294153595">
                          <w:marLeft w:val="0"/>
                          <w:marRight w:val="0"/>
                          <w:marTop w:val="0"/>
                          <w:marBottom w:val="0"/>
                          <w:divBdr>
                            <w:top w:val="none" w:sz="0" w:space="0" w:color="auto"/>
                            <w:left w:val="none" w:sz="0" w:space="0" w:color="auto"/>
                            <w:bottom w:val="none" w:sz="0" w:space="0" w:color="auto"/>
                            <w:right w:val="none" w:sz="0" w:space="0" w:color="auto"/>
                          </w:divBdr>
                        </w:div>
                      </w:divsChild>
                    </w:div>
                    <w:div w:id="294148263">
                      <w:marLeft w:val="0"/>
                      <w:marRight w:val="0"/>
                      <w:marTop w:val="0"/>
                      <w:marBottom w:val="0"/>
                      <w:divBdr>
                        <w:top w:val="none" w:sz="0" w:space="0" w:color="auto"/>
                        <w:left w:val="none" w:sz="0" w:space="0" w:color="auto"/>
                        <w:bottom w:val="none" w:sz="0" w:space="0" w:color="auto"/>
                        <w:right w:val="none" w:sz="0" w:space="0" w:color="auto"/>
                      </w:divBdr>
                    </w:div>
                    <w:div w:id="294148266">
                      <w:marLeft w:val="0"/>
                      <w:marRight w:val="0"/>
                      <w:marTop w:val="0"/>
                      <w:marBottom w:val="0"/>
                      <w:divBdr>
                        <w:top w:val="none" w:sz="0" w:space="0" w:color="auto"/>
                        <w:left w:val="none" w:sz="0" w:space="0" w:color="auto"/>
                        <w:bottom w:val="none" w:sz="0" w:space="0" w:color="auto"/>
                        <w:right w:val="none" w:sz="0" w:space="0" w:color="auto"/>
                      </w:divBdr>
                    </w:div>
                    <w:div w:id="294148269">
                      <w:marLeft w:val="0"/>
                      <w:marRight w:val="0"/>
                      <w:marTop w:val="0"/>
                      <w:marBottom w:val="0"/>
                      <w:divBdr>
                        <w:top w:val="none" w:sz="0" w:space="0" w:color="auto"/>
                        <w:left w:val="none" w:sz="0" w:space="0" w:color="auto"/>
                        <w:bottom w:val="none" w:sz="0" w:space="0" w:color="auto"/>
                        <w:right w:val="none" w:sz="0" w:space="0" w:color="auto"/>
                      </w:divBdr>
                      <w:divsChild>
                        <w:div w:id="294146118">
                          <w:marLeft w:val="0"/>
                          <w:marRight w:val="0"/>
                          <w:marTop w:val="0"/>
                          <w:marBottom w:val="0"/>
                          <w:divBdr>
                            <w:top w:val="none" w:sz="0" w:space="0" w:color="auto"/>
                            <w:left w:val="none" w:sz="0" w:space="0" w:color="auto"/>
                            <w:bottom w:val="none" w:sz="0" w:space="0" w:color="auto"/>
                            <w:right w:val="none" w:sz="0" w:space="0" w:color="auto"/>
                          </w:divBdr>
                        </w:div>
                      </w:divsChild>
                    </w:div>
                    <w:div w:id="294148326">
                      <w:marLeft w:val="0"/>
                      <w:marRight w:val="0"/>
                      <w:marTop w:val="0"/>
                      <w:marBottom w:val="0"/>
                      <w:divBdr>
                        <w:top w:val="none" w:sz="0" w:space="0" w:color="auto"/>
                        <w:left w:val="none" w:sz="0" w:space="0" w:color="auto"/>
                        <w:bottom w:val="none" w:sz="0" w:space="0" w:color="auto"/>
                        <w:right w:val="none" w:sz="0" w:space="0" w:color="auto"/>
                      </w:divBdr>
                    </w:div>
                    <w:div w:id="294148331">
                      <w:marLeft w:val="0"/>
                      <w:marRight w:val="0"/>
                      <w:marTop w:val="0"/>
                      <w:marBottom w:val="0"/>
                      <w:divBdr>
                        <w:top w:val="none" w:sz="0" w:space="0" w:color="auto"/>
                        <w:left w:val="none" w:sz="0" w:space="0" w:color="auto"/>
                        <w:bottom w:val="none" w:sz="0" w:space="0" w:color="auto"/>
                        <w:right w:val="none" w:sz="0" w:space="0" w:color="auto"/>
                      </w:divBdr>
                      <w:divsChild>
                        <w:div w:id="294154156">
                          <w:marLeft w:val="0"/>
                          <w:marRight w:val="0"/>
                          <w:marTop w:val="0"/>
                          <w:marBottom w:val="0"/>
                          <w:divBdr>
                            <w:top w:val="none" w:sz="0" w:space="0" w:color="auto"/>
                            <w:left w:val="none" w:sz="0" w:space="0" w:color="auto"/>
                            <w:bottom w:val="none" w:sz="0" w:space="0" w:color="auto"/>
                            <w:right w:val="none" w:sz="0" w:space="0" w:color="auto"/>
                          </w:divBdr>
                        </w:div>
                      </w:divsChild>
                    </w:div>
                    <w:div w:id="294148345">
                      <w:marLeft w:val="0"/>
                      <w:marRight w:val="0"/>
                      <w:marTop w:val="0"/>
                      <w:marBottom w:val="0"/>
                      <w:divBdr>
                        <w:top w:val="none" w:sz="0" w:space="0" w:color="auto"/>
                        <w:left w:val="none" w:sz="0" w:space="0" w:color="auto"/>
                        <w:bottom w:val="none" w:sz="0" w:space="0" w:color="auto"/>
                        <w:right w:val="none" w:sz="0" w:space="0" w:color="auto"/>
                      </w:divBdr>
                    </w:div>
                    <w:div w:id="294148396">
                      <w:marLeft w:val="0"/>
                      <w:marRight w:val="0"/>
                      <w:marTop w:val="0"/>
                      <w:marBottom w:val="0"/>
                      <w:divBdr>
                        <w:top w:val="none" w:sz="0" w:space="0" w:color="auto"/>
                        <w:left w:val="none" w:sz="0" w:space="0" w:color="auto"/>
                        <w:bottom w:val="none" w:sz="0" w:space="0" w:color="auto"/>
                        <w:right w:val="none" w:sz="0" w:space="0" w:color="auto"/>
                      </w:divBdr>
                      <w:divsChild>
                        <w:div w:id="294145012">
                          <w:marLeft w:val="0"/>
                          <w:marRight w:val="0"/>
                          <w:marTop w:val="0"/>
                          <w:marBottom w:val="0"/>
                          <w:divBdr>
                            <w:top w:val="none" w:sz="0" w:space="0" w:color="auto"/>
                            <w:left w:val="none" w:sz="0" w:space="0" w:color="auto"/>
                            <w:bottom w:val="none" w:sz="0" w:space="0" w:color="auto"/>
                            <w:right w:val="none" w:sz="0" w:space="0" w:color="auto"/>
                          </w:divBdr>
                        </w:div>
                      </w:divsChild>
                    </w:div>
                    <w:div w:id="294148406">
                      <w:marLeft w:val="0"/>
                      <w:marRight w:val="0"/>
                      <w:marTop w:val="0"/>
                      <w:marBottom w:val="0"/>
                      <w:divBdr>
                        <w:top w:val="none" w:sz="0" w:space="0" w:color="auto"/>
                        <w:left w:val="none" w:sz="0" w:space="0" w:color="auto"/>
                        <w:bottom w:val="none" w:sz="0" w:space="0" w:color="auto"/>
                        <w:right w:val="none" w:sz="0" w:space="0" w:color="auto"/>
                      </w:divBdr>
                      <w:divsChild>
                        <w:div w:id="294141677">
                          <w:marLeft w:val="0"/>
                          <w:marRight w:val="0"/>
                          <w:marTop w:val="0"/>
                          <w:marBottom w:val="0"/>
                          <w:divBdr>
                            <w:top w:val="none" w:sz="0" w:space="0" w:color="auto"/>
                            <w:left w:val="none" w:sz="0" w:space="0" w:color="auto"/>
                            <w:bottom w:val="none" w:sz="0" w:space="0" w:color="auto"/>
                            <w:right w:val="none" w:sz="0" w:space="0" w:color="auto"/>
                          </w:divBdr>
                        </w:div>
                      </w:divsChild>
                    </w:div>
                    <w:div w:id="294148433">
                      <w:marLeft w:val="0"/>
                      <w:marRight w:val="0"/>
                      <w:marTop w:val="0"/>
                      <w:marBottom w:val="0"/>
                      <w:divBdr>
                        <w:top w:val="none" w:sz="0" w:space="0" w:color="auto"/>
                        <w:left w:val="none" w:sz="0" w:space="0" w:color="auto"/>
                        <w:bottom w:val="none" w:sz="0" w:space="0" w:color="auto"/>
                        <w:right w:val="none" w:sz="0" w:space="0" w:color="auto"/>
                      </w:divBdr>
                    </w:div>
                    <w:div w:id="294148464">
                      <w:marLeft w:val="0"/>
                      <w:marRight w:val="0"/>
                      <w:marTop w:val="0"/>
                      <w:marBottom w:val="0"/>
                      <w:divBdr>
                        <w:top w:val="none" w:sz="0" w:space="0" w:color="auto"/>
                        <w:left w:val="none" w:sz="0" w:space="0" w:color="auto"/>
                        <w:bottom w:val="none" w:sz="0" w:space="0" w:color="auto"/>
                        <w:right w:val="none" w:sz="0" w:space="0" w:color="auto"/>
                      </w:divBdr>
                      <w:divsChild>
                        <w:div w:id="294155000">
                          <w:marLeft w:val="0"/>
                          <w:marRight w:val="0"/>
                          <w:marTop w:val="0"/>
                          <w:marBottom w:val="0"/>
                          <w:divBdr>
                            <w:top w:val="none" w:sz="0" w:space="0" w:color="auto"/>
                            <w:left w:val="none" w:sz="0" w:space="0" w:color="auto"/>
                            <w:bottom w:val="none" w:sz="0" w:space="0" w:color="auto"/>
                            <w:right w:val="none" w:sz="0" w:space="0" w:color="auto"/>
                          </w:divBdr>
                        </w:div>
                      </w:divsChild>
                    </w:div>
                    <w:div w:id="294148466">
                      <w:marLeft w:val="0"/>
                      <w:marRight w:val="0"/>
                      <w:marTop w:val="0"/>
                      <w:marBottom w:val="0"/>
                      <w:divBdr>
                        <w:top w:val="none" w:sz="0" w:space="0" w:color="auto"/>
                        <w:left w:val="none" w:sz="0" w:space="0" w:color="auto"/>
                        <w:bottom w:val="none" w:sz="0" w:space="0" w:color="auto"/>
                        <w:right w:val="none" w:sz="0" w:space="0" w:color="auto"/>
                      </w:divBdr>
                    </w:div>
                    <w:div w:id="294148469">
                      <w:marLeft w:val="0"/>
                      <w:marRight w:val="0"/>
                      <w:marTop w:val="0"/>
                      <w:marBottom w:val="0"/>
                      <w:divBdr>
                        <w:top w:val="none" w:sz="0" w:space="0" w:color="auto"/>
                        <w:left w:val="none" w:sz="0" w:space="0" w:color="auto"/>
                        <w:bottom w:val="none" w:sz="0" w:space="0" w:color="auto"/>
                        <w:right w:val="none" w:sz="0" w:space="0" w:color="auto"/>
                      </w:divBdr>
                    </w:div>
                    <w:div w:id="294148487">
                      <w:marLeft w:val="0"/>
                      <w:marRight w:val="0"/>
                      <w:marTop w:val="0"/>
                      <w:marBottom w:val="0"/>
                      <w:divBdr>
                        <w:top w:val="none" w:sz="0" w:space="0" w:color="auto"/>
                        <w:left w:val="none" w:sz="0" w:space="0" w:color="auto"/>
                        <w:bottom w:val="none" w:sz="0" w:space="0" w:color="auto"/>
                        <w:right w:val="none" w:sz="0" w:space="0" w:color="auto"/>
                      </w:divBdr>
                    </w:div>
                    <w:div w:id="294148502">
                      <w:marLeft w:val="0"/>
                      <w:marRight w:val="0"/>
                      <w:marTop w:val="0"/>
                      <w:marBottom w:val="0"/>
                      <w:divBdr>
                        <w:top w:val="none" w:sz="0" w:space="0" w:color="auto"/>
                        <w:left w:val="none" w:sz="0" w:space="0" w:color="auto"/>
                        <w:bottom w:val="none" w:sz="0" w:space="0" w:color="auto"/>
                        <w:right w:val="none" w:sz="0" w:space="0" w:color="auto"/>
                      </w:divBdr>
                      <w:divsChild>
                        <w:div w:id="294139596">
                          <w:marLeft w:val="0"/>
                          <w:marRight w:val="0"/>
                          <w:marTop w:val="0"/>
                          <w:marBottom w:val="0"/>
                          <w:divBdr>
                            <w:top w:val="none" w:sz="0" w:space="0" w:color="auto"/>
                            <w:left w:val="none" w:sz="0" w:space="0" w:color="auto"/>
                            <w:bottom w:val="none" w:sz="0" w:space="0" w:color="auto"/>
                            <w:right w:val="none" w:sz="0" w:space="0" w:color="auto"/>
                          </w:divBdr>
                        </w:div>
                      </w:divsChild>
                    </w:div>
                    <w:div w:id="294148541">
                      <w:marLeft w:val="0"/>
                      <w:marRight w:val="0"/>
                      <w:marTop w:val="0"/>
                      <w:marBottom w:val="0"/>
                      <w:divBdr>
                        <w:top w:val="none" w:sz="0" w:space="0" w:color="auto"/>
                        <w:left w:val="none" w:sz="0" w:space="0" w:color="auto"/>
                        <w:bottom w:val="none" w:sz="0" w:space="0" w:color="auto"/>
                        <w:right w:val="none" w:sz="0" w:space="0" w:color="auto"/>
                      </w:divBdr>
                      <w:divsChild>
                        <w:div w:id="294141840">
                          <w:marLeft w:val="0"/>
                          <w:marRight w:val="0"/>
                          <w:marTop w:val="0"/>
                          <w:marBottom w:val="0"/>
                          <w:divBdr>
                            <w:top w:val="none" w:sz="0" w:space="0" w:color="auto"/>
                            <w:left w:val="none" w:sz="0" w:space="0" w:color="auto"/>
                            <w:bottom w:val="none" w:sz="0" w:space="0" w:color="auto"/>
                            <w:right w:val="none" w:sz="0" w:space="0" w:color="auto"/>
                          </w:divBdr>
                        </w:div>
                      </w:divsChild>
                    </w:div>
                    <w:div w:id="294148548">
                      <w:marLeft w:val="0"/>
                      <w:marRight w:val="0"/>
                      <w:marTop w:val="0"/>
                      <w:marBottom w:val="0"/>
                      <w:divBdr>
                        <w:top w:val="none" w:sz="0" w:space="0" w:color="auto"/>
                        <w:left w:val="none" w:sz="0" w:space="0" w:color="auto"/>
                        <w:bottom w:val="none" w:sz="0" w:space="0" w:color="auto"/>
                        <w:right w:val="none" w:sz="0" w:space="0" w:color="auto"/>
                      </w:divBdr>
                      <w:divsChild>
                        <w:div w:id="294155577">
                          <w:marLeft w:val="0"/>
                          <w:marRight w:val="0"/>
                          <w:marTop w:val="0"/>
                          <w:marBottom w:val="0"/>
                          <w:divBdr>
                            <w:top w:val="none" w:sz="0" w:space="0" w:color="auto"/>
                            <w:left w:val="none" w:sz="0" w:space="0" w:color="auto"/>
                            <w:bottom w:val="none" w:sz="0" w:space="0" w:color="auto"/>
                            <w:right w:val="none" w:sz="0" w:space="0" w:color="auto"/>
                          </w:divBdr>
                        </w:div>
                      </w:divsChild>
                    </w:div>
                    <w:div w:id="294148576">
                      <w:marLeft w:val="0"/>
                      <w:marRight w:val="0"/>
                      <w:marTop w:val="0"/>
                      <w:marBottom w:val="0"/>
                      <w:divBdr>
                        <w:top w:val="none" w:sz="0" w:space="0" w:color="auto"/>
                        <w:left w:val="none" w:sz="0" w:space="0" w:color="auto"/>
                        <w:bottom w:val="none" w:sz="0" w:space="0" w:color="auto"/>
                        <w:right w:val="none" w:sz="0" w:space="0" w:color="auto"/>
                      </w:divBdr>
                    </w:div>
                    <w:div w:id="294148579">
                      <w:marLeft w:val="0"/>
                      <w:marRight w:val="0"/>
                      <w:marTop w:val="0"/>
                      <w:marBottom w:val="0"/>
                      <w:divBdr>
                        <w:top w:val="none" w:sz="0" w:space="0" w:color="auto"/>
                        <w:left w:val="none" w:sz="0" w:space="0" w:color="auto"/>
                        <w:bottom w:val="none" w:sz="0" w:space="0" w:color="auto"/>
                        <w:right w:val="none" w:sz="0" w:space="0" w:color="auto"/>
                      </w:divBdr>
                      <w:divsChild>
                        <w:div w:id="294141238">
                          <w:marLeft w:val="0"/>
                          <w:marRight w:val="0"/>
                          <w:marTop w:val="0"/>
                          <w:marBottom w:val="0"/>
                          <w:divBdr>
                            <w:top w:val="none" w:sz="0" w:space="0" w:color="auto"/>
                            <w:left w:val="none" w:sz="0" w:space="0" w:color="auto"/>
                            <w:bottom w:val="none" w:sz="0" w:space="0" w:color="auto"/>
                            <w:right w:val="none" w:sz="0" w:space="0" w:color="auto"/>
                          </w:divBdr>
                        </w:div>
                      </w:divsChild>
                    </w:div>
                    <w:div w:id="294148596">
                      <w:marLeft w:val="0"/>
                      <w:marRight w:val="0"/>
                      <w:marTop w:val="0"/>
                      <w:marBottom w:val="0"/>
                      <w:divBdr>
                        <w:top w:val="none" w:sz="0" w:space="0" w:color="auto"/>
                        <w:left w:val="none" w:sz="0" w:space="0" w:color="auto"/>
                        <w:bottom w:val="none" w:sz="0" w:space="0" w:color="auto"/>
                        <w:right w:val="none" w:sz="0" w:space="0" w:color="auto"/>
                      </w:divBdr>
                      <w:divsChild>
                        <w:div w:id="294149162">
                          <w:marLeft w:val="0"/>
                          <w:marRight w:val="0"/>
                          <w:marTop w:val="0"/>
                          <w:marBottom w:val="0"/>
                          <w:divBdr>
                            <w:top w:val="none" w:sz="0" w:space="0" w:color="auto"/>
                            <w:left w:val="none" w:sz="0" w:space="0" w:color="auto"/>
                            <w:bottom w:val="none" w:sz="0" w:space="0" w:color="auto"/>
                            <w:right w:val="none" w:sz="0" w:space="0" w:color="auto"/>
                          </w:divBdr>
                        </w:div>
                      </w:divsChild>
                    </w:div>
                    <w:div w:id="294148611">
                      <w:marLeft w:val="0"/>
                      <w:marRight w:val="0"/>
                      <w:marTop w:val="0"/>
                      <w:marBottom w:val="0"/>
                      <w:divBdr>
                        <w:top w:val="none" w:sz="0" w:space="0" w:color="auto"/>
                        <w:left w:val="none" w:sz="0" w:space="0" w:color="auto"/>
                        <w:bottom w:val="none" w:sz="0" w:space="0" w:color="auto"/>
                        <w:right w:val="none" w:sz="0" w:space="0" w:color="auto"/>
                      </w:divBdr>
                      <w:divsChild>
                        <w:div w:id="294155966">
                          <w:marLeft w:val="0"/>
                          <w:marRight w:val="0"/>
                          <w:marTop w:val="0"/>
                          <w:marBottom w:val="0"/>
                          <w:divBdr>
                            <w:top w:val="none" w:sz="0" w:space="0" w:color="auto"/>
                            <w:left w:val="none" w:sz="0" w:space="0" w:color="auto"/>
                            <w:bottom w:val="none" w:sz="0" w:space="0" w:color="auto"/>
                            <w:right w:val="none" w:sz="0" w:space="0" w:color="auto"/>
                          </w:divBdr>
                        </w:div>
                      </w:divsChild>
                    </w:div>
                    <w:div w:id="294148613">
                      <w:marLeft w:val="0"/>
                      <w:marRight w:val="0"/>
                      <w:marTop w:val="0"/>
                      <w:marBottom w:val="0"/>
                      <w:divBdr>
                        <w:top w:val="none" w:sz="0" w:space="0" w:color="auto"/>
                        <w:left w:val="none" w:sz="0" w:space="0" w:color="auto"/>
                        <w:bottom w:val="none" w:sz="0" w:space="0" w:color="auto"/>
                        <w:right w:val="none" w:sz="0" w:space="0" w:color="auto"/>
                      </w:divBdr>
                    </w:div>
                    <w:div w:id="294148685">
                      <w:marLeft w:val="0"/>
                      <w:marRight w:val="0"/>
                      <w:marTop w:val="0"/>
                      <w:marBottom w:val="0"/>
                      <w:divBdr>
                        <w:top w:val="none" w:sz="0" w:space="0" w:color="auto"/>
                        <w:left w:val="none" w:sz="0" w:space="0" w:color="auto"/>
                        <w:bottom w:val="none" w:sz="0" w:space="0" w:color="auto"/>
                        <w:right w:val="none" w:sz="0" w:space="0" w:color="auto"/>
                      </w:divBdr>
                    </w:div>
                    <w:div w:id="294148698">
                      <w:marLeft w:val="0"/>
                      <w:marRight w:val="0"/>
                      <w:marTop w:val="0"/>
                      <w:marBottom w:val="0"/>
                      <w:divBdr>
                        <w:top w:val="none" w:sz="0" w:space="0" w:color="auto"/>
                        <w:left w:val="none" w:sz="0" w:space="0" w:color="auto"/>
                        <w:bottom w:val="none" w:sz="0" w:space="0" w:color="auto"/>
                        <w:right w:val="none" w:sz="0" w:space="0" w:color="auto"/>
                      </w:divBdr>
                      <w:divsChild>
                        <w:div w:id="294138978">
                          <w:marLeft w:val="0"/>
                          <w:marRight w:val="0"/>
                          <w:marTop w:val="0"/>
                          <w:marBottom w:val="0"/>
                          <w:divBdr>
                            <w:top w:val="none" w:sz="0" w:space="0" w:color="auto"/>
                            <w:left w:val="none" w:sz="0" w:space="0" w:color="auto"/>
                            <w:bottom w:val="none" w:sz="0" w:space="0" w:color="auto"/>
                            <w:right w:val="none" w:sz="0" w:space="0" w:color="auto"/>
                          </w:divBdr>
                        </w:div>
                      </w:divsChild>
                    </w:div>
                    <w:div w:id="294148735">
                      <w:marLeft w:val="0"/>
                      <w:marRight w:val="0"/>
                      <w:marTop w:val="0"/>
                      <w:marBottom w:val="0"/>
                      <w:divBdr>
                        <w:top w:val="none" w:sz="0" w:space="0" w:color="auto"/>
                        <w:left w:val="none" w:sz="0" w:space="0" w:color="auto"/>
                        <w:bottom w:val="none" w:sz="0" w:space="0" w:color="auto"/>
                        <w:right w:val="none" w:sz="0" w:space="0" w:color="auto"/>
                      </w:divBdr>
                    </w:div>
                    <w:div w:id="294148737">
                      <w:marLeft w:val="0"/>
                      <w:marRight w:val="0"/>
                      <w:marTop w:val="0"/>
                      <w:marBottom w:val="0"/>
                      <w:divBdr>
                        <w:top w:val="none" w:sz="0" w:space="0" w:color="auto"/>
                        <w:left w:val="none" w:sz="0" w:space="0" w:color="auto"/>
                        <w:bottom w:val="none" w:sz="0" w:space="0" w:color="auto"/>
                        <w:right w:val="none" w:sz="0" w:space="0" w:color="auto"/>
                      </w:divBdr>
                    </w:div>
                    <w:div w:id="294148780">
                      <w:marLeft w:val="0"/>
                      <w:marRight w:val="0"/>
                      <w:marTop w:val="0"/>
                      <w:marBottom w:val="0"/>
                      <w:divBdr>
                        <w:top w:val="none" w:sz="0" w:space="0" w:color="auto"/>
                        <w:left w:val="none" w:sz="0" w:space="0" w:color="auto"/>
                        <w:bottom w:val="none" w:sz="0" w:space="0" w:color="auto"/>
                        <w:right w:val="none" w:sz="0" w:space="0" w:color="auto"/>
                      </w:divBdr>
                      <w:divsChild>
                        <w:div w:id="294148566">
                          <w:marLeft w:val="0"/>
                          <w:marRight w:val="0"/>
                          <w:marTop w:val="0"/>
                          <w:marBottom w:val="0"/>
                          <w:divBdr>
                            <w:top w:val="none" w:sz="0" w:space="0" w:color="auto"/>
                            <w:left w:val="none" w:sz="0" w:space="0" w:color="auto"/>
                            <w:bottom w:val="none" w:sz="0" w:space="0" w:color="auto"/>
                            <w:right w:val="none" w:sz="0" w:space="0" w:color="auto"/>
                          </w:divBdr>
                        </w:div>
                      </w:divsChild>
                    </w:div>
                    <w:div w:id="294148793">
                      <w:marLeft w:val="0"/>
                      <w:marRight w:val="0"/>
                      <w:marTop w:val="0"/>
                      <w:marBottom w:val="0"/>
                      <w:divBdr>
                        <w:top w:val="none" w:sz="0" w:space="0" w:color="auto"/>
                        <w:left w:val="none" w:sz="0" w:space="0" w:color="auto"/>
                        <w:bottom w:val="none" w:sz="0" w:space="0" w:color="auto"/>
                        <w:right w:val="none" w:sz="0" w:space="0" w:color="auto"/>
                      </w:divBdr>
                      <w:divsChild>
                        <w:div w:id="294146543">
                          <w:marLeft w:val="0"/>
                          <w:marRight w:val="0"/>
                          <w:marTop w:val="0"/>
                          <w:marBottom w:val="0"/>
                          <w:divBdr>
                            <w:top w:val="none" w:sz="0" w:space="0" w:color="auto"/>
                            <w:left w:val="none" w:sz="0" w:space="0" w:color="auto"/>
                            <w:bottom w:val="none" w:sz="0" w:space="0" w:color="auto"/>
                            <w:right w:val="none" w:sz="0" w:space="0" w:color="auto"/>
                          </w:divBdr>
                        </w:div>
                      </w:divsChild>
                    </w:div>
                    <w:div w:id="294148800">
                      <w:marLeft w:val="0"/>
                      <w:marRight w:val="0"/>
                      <w:marTop w:val="0"/>
                      <w:marBottom w:val="0"/>
                      <w:divBdr>
                        <w:top w:val="none" w:sz="0" w:space="0" w:color="auto"/>
                        <w:left w:val="none" w:sz="0" w:space="0" w:color="auto"/>
                        <w:bottom w:val="none" w:sz="0" w:space="0" w:color="auto"/>
                        <w:right w:val="none" w:sz="0" w:space="0" w:color="auto"/>
                      </w:divBdr>
                      <w:divsChild>
                        <w:div w:id="294154103">
                          <w:marLeft w:val="0"/>
                          <w:marRight w:val="0"/>
                          <w:marTop w:val="0"/>
                          <w:marBottom w:val="0"/>
                          <w:divBdr>
                            <w:top w:val="none" w:sz="0" w:space="0" w:color="auto"/>
                            <w:left w:val="none" w:sz="0" w:space="0" w:color="auto"/>
                            <w:bottom w:val="none" w:sz="0" w:space="0" w:color="auto"/>
                            <w:right w:val="none" w:sz="0" w:space="0" w:color="auto"/>
                          </w:divBdr>
                        </w:div>
                      </w:divsChild>
                    </w:div>
                    <w:div w:id="294148802">
                      <w:marLeft w:val="0"/>
                      <w:marRight w:val="0"/>
                      <w:marTop w:val="0"/>
                      <w:marBottom w:val="0"/>
                      <w:divBdr>
                        <w:top w:val="none" w:sz="0" w:space="0" w:color="auto"/>
                        <w:left w:val="none" w:sz="0" w:space="0" w:color="auto"/>
                        <w:bottom w:val="none" w:sz="0" w:space="0" w:color="auto"/>
                        <w:right w:val="none" w:sz="0" w:space="0" w:color="auto"/>
                      </w:divBdr>
                    </w:div>
                    <w:div w:id="294148833">
                      <w:marLeft w:val="0"/>
                      <w:marRight w:val="0"/>
                      <w:marTop w:val="0"/>
                      <w:marBottom w:val="0"/>
                      <w:divBdr>
                        <w:top w:val="none" w:sz="0" w:space="0" w:color="auto"/>
                        <w:left w:val="none" w:sz="0" w:space="0" w:color="auto"/>
                        <w:bottom w:val="none" w:sz="0" w:space="0" w:color="auto"/>
                        <w:right w:val="none" w:sz="0" w:space="0" w:color="auto"/>
                      </w:divBdr>
                    </w:div>
                    <w:div w:id="294148836">
                      <w:marLeft w:val="0"/>
                      <w:marRight w:val="0"/>
                      <w:marTop w:val="0"/>
                      <w:marBottom w:val="0"/>
                      <w:divBdr>
                        <w:top w:val="none" w:sz="0" w:space="0" w:color="auto"/>
                        <w:left w:val="none" w:sz="0" w:space="0" w:color="auto"/>
                        <w:bottom w:val="none" w:sz="0" w:space="0" w:color="auto"/>
                        <w:right w:val="none" w:sz="0" w:space="0" w:color="auto"/>
                      </w:divBdr>
                    </w:div>
                    <w:div w:id="294148837">
                      <w:marLeft w:val="0"/>
                      <w:marRight w:val="0"/>
                      <w:marTop w:val="0"/>
                      <w:marBottom w:val="0"/>
                      <w:divBdr>
                        <w:top w:val="none" w:sz="0" w:space="0" w:color="auto"/>
                        <w:left w:val="none" w:sz="0" w:space="0" w:color="auto"/>
                        <w:bottom w:val="none" w:sz="0" w:space="0" w:color="auto"/>
                        <w:right w:val="none" w:sz="0" w:space="0" w:color="auto"/>
                      </w:divBdr>
                    </w:div>
                    <w:div w:id="294148894">
                      <w:marLeft w:val="0"/>
                      <w:marRight w:val="0"/>
                      <w:marTop w:val="0"/>
                      <w:marBottom w:val="0"/>
                      <w:divBdr>
                        <w:top w:val="none" w:sz="0" w:space="0" w:color="auto"/>
                        <w:left w:val="none" w:sz="0" w:space="0" w:color="auto"/>
                        <w:bottom w:val="none" w:sz="0" w:space="0" w:color="auto"/>
                        <w:right w:val="none" w:sz="0" w:space="0" w:color="auto"/>
                      </w:divBdr>
                    </w:div>
                    <w:div w:id="294148913">
                      <w:marLeft w:val="0"/>
                      <w:marRight w:val="0"/>
                      <w:marTop w:val="0"/>
                      <w:marBottom w:val="0"/>
                      <w:divBdr>
                        <w:top w:val="none" w:sz="0" w:space="0" w:color="auto"/>
                        <w:left w:val="none" w:sz="0" w:space="0" w:color="auto"/>
                        <w:bottom w:val="none" w:sz="0" w:space="0" w:color="auto"/>
                        <w:right w:val="none" w:sz="0" w:space="0" w:color="auto"/>
                      </w:divBdr>
                      <w:divsChild>
                        <w:div w:id="294140414">
                          <w:marLeft w:val="0"/>
                          <w:marRight w:val="0"/>
                          <w:marTop w:val="0"/>
                          <w:marBottom w:val="0"/>
                          <w:divBdr>
                            <w:top w:val="none" w:sz="0" w:space="0" w:color="auto"/>
                            <w:left w:val="none" w:sz="0" w:space="0" w:color="auto"/>
                            <w:bottom w:val="none" w:sz="0" w:space="0" w:color="auto"/>
                            <w:right w:val="none" w:sz="0" w:space="0" w:color="auto"/>
                          </w:divBdr>
                        </w:div>
                      </w:divsChild>
                    </w:div>
                    <w:div w:id="294148941">
                      <w:marLeft w:val="0"/>
                      <w:marRight w:val="0"/>
                      <w:marTop w:val="0"/>
                      <w:marBottom w:val="0"/>
                      <w:divBdr>
                        <w:top w:val="none" w:sz="0" w:space="0" w:color="auto"/>
                        <w:left w:val="none" w:sz="0" w:space="0" w:color="auto"/>
                        <w:bottom w:val="none" w:sz="0" w:space="0" w:color="auto"/>
                        <w:right w:val="none" w:sz="0" w:space="0" w:color="auto"/>
                      </w:divBdr>
                      <w:divsChild>
                        <w:div w:id="294155601">
                          <w:marLeft w:val="0"/>
                          <w:marRight w:val="0"/>
                          <w:marTop w:val="0"/>
                          <w:marBottom w:val="0"/>
                          <w:divBdr>
                            <w:top w:val="none" w:sz="0" w:space="0" w:color="auto"/>
                            <w:left w:val="none" w:sz="0" w:space="0" w:color="auto"/>
                            <w:bottom w:val="none" w:sz="0" w:space="0" w:color="auto"/>
                            <w:right w:val="none" w:sz="0" w:space="0" w:color="auto"/>
                          </w:divBdr>
                        </w:div>
                      </w:divsChild>
                    </w:div>
                    <w:div w:id="294148947">
                      <w:marLeft w:val="0"/>
                      <w:marRight w:val="0"/>
                      <w:marTop w:val="0"/>
                      <w:marBottom w:val="0"/>
                      <w:divBdr>
                        <w:top w:val="none" w:sz="0" w:space="0" w:color="auto"/>
                        <w:left w:val="none" w:sz="0" w:space="0" w:color="auto"/>
                        <w:bottom w:val="none" w:sz="0" w:space="0" w:color="auto"/>
                        <w:right w:val="none" w:sz="0" w:space="0" w:color="auto"/>
                      </w:divBdr>
                    </w:div>
                    <w:div w:id="294149031">
                      <w:marLeft w:val="0"/>
                      <w:marRight w:val="0"/>
                      <w:marTop w:val="0"/>
                      <w:marBottom w:val="0"/>
                      <w:divBdr>
                        <w:top w:val="none" w:sz="0" w:space="0" w:color="auto"/>
                        <w:left w:val="none" w:sz="0" w:space="0" w:color="auto"/>
                        <w:bottom w:val="none" w:sz="0" w:space="0" w:color="auto"/>
                        <w:right w:val="none" w:sz="0" w:space="0" w:color="auto"/>
                      </w:divBdr>
                      <w:divsChild>
                        <w:div w:id="294154817">
                          <w:marLeft w:val="0"/>
                          <w:marRight w:val="0"/>
                          <w:marTop w:val="0"/>
                          <w:marBottom w:val="0"/>
                          <w:divBdr>
                            <w:top w:val="none" w:sz="0" w:space="0" w:color="auto"/>
                            <w:left w:val="none" w:sz="0" w:space="0" w:color="auto"/>
                            <w:bottom w:val="none" w:sz="0" w:space="0" w:color="auto"/>
                            <w:right w:val="none" w:sz="0" w:space="0" w:color="auto"/>
                          </w:divBdr>
                        </w:div>
                      </w:divsChild>
                    </w:div>
                    <w:div w:id="294149038">
                      <w:marLeft w:val="0"/>
                      <w:marRight w:val="0"/>
                      <w:marTop w:val="0"/>
                      <w:marBottom w:val="0"/>
                      <w:divBdr>
                        <w:top w:val="none" w:sz="0" w:space="0" w:color="auto"/>
                        <w:left w:val="none" w:sz="0" w:space="0" w:color="auto"/>
                        <w:bottom w:val="none" w:sz="0" w:space="0" w:color="auto"/>
                        <w:right w:val="none" w:sz="0" w:space="0" w:color="auto"/>
                      </w:divBdr>
                      <w:divsChild>
                        <w:div w:id="294142544">
                          <w:marLeft w:val="0"/>
                          <w:marRight w:val="0"/>
                          <w:marTop w:val="0"/>
                          <w:marBottom w:val="0"/>
                          <w:divBdr>
                            <w:top w:val="none" w:sz="0" w:space="0" w:color="auto"/>
                            <w:left w:val="none" w:sz="0" w:space="0" w:color="auto"/>
                            <w:bottom w:val="none" w:sz="0" w:space="0" w:color="auto"/>
                            <w:right w:val="none" w:sz="0" w:space="0" w:color="auto"/>
                          </w:divBdr>
                        </w:div>
                      </w:divsChild>
                    </w:div>
                    <w:div w:id="294149050">
                      <w:marLeft w:val="0"/>
                      <w:marRight w:val="0"/>
                      <w:marTop w:val="0"/>
                      <w:marBottom w:val="0"/>
                      <w:divBdr>
                        <w:top w:val="none" w:sz="0" w:space="0" w:color="auto"/>
                        <w:left w:val="none" w:sz="0" w:space="0" w:color="auto"/>
                        <w:bottom w:val="none" w:sz="0" w:space="0" w:color="auto"/>
                        <w:right w:val="none" w:sz="0" w:space="0" w:color="auto"/>
                      </w:divBdr>
                      <w:divsChild>
                        <w:div w:id="294149937">
                          <w:marLeft w:val="0"/>
                          <w:marRight w:val="0"/>
                          <w:marTop w:val="0"/>
                          <w:marBottom w:val="0"/>
                          <w:divBdr>
                            <w:top w:val="none" w:sz="0" w:space="0" w:color="auto"/>
                            <w:left w:val="none" w:sz="0" w:space="0" w:color="auto"/>
                            <w:bottom w:val="none" w:sz="0" w:space="0" w:color="auto"/>
                            <w:right w:val="none" w:sz="0" w:space="0" w:color="auto"/>
                          </w:divBdr>
                        </w:div>
                      </w:divsChild>
                    </w:div>
                    <w:div w:id="294149060">
                      <w:marLeft w:val="0"/>
                      <w:marRight w:val="0"/>
                      <w:marTop w:val="0"/>
                      <w:marBottom w:val="0"/>
                      <w:divBdr>
                        <w:top w:val="none" w:sz="0" w:space="0" w:color="auto"/>
                        <w:left w:val="none" w:sz="0" w:space="0" w:color="auto"/>
                        <w:bottom w:val="none" w:sz="0" w:space="0" w:color="auto"/>
                        <w:right w:val="none" w:sz="0" w:space="0" w:color="auto"/>
                      </w:divBdr>
                      <w:divsChild>
                        <w:div w:id="294153568">
                          <w:marLeft w:val="0"/>
                          <w:marRight w:val="0"/>
                          <w:marTop w:val="0"/>
                          <w:marBottom w:val="0"/>
                          <w:divBdr>
                            <w:top w:val="none" w:sz="0" w:space="0" w:color="auto"/>
                            <w:left w:val="none" w:sz="0" w:space="0" w:color="auto"/>
                            <w:bottom w:val="none" w:sz="0" w:space="0" w:color="auto"/>
                            <w:right w:val="none" w:sz="0" w:space="0" w:color="auto"/>
                          </w:divBdr>
                        </w:div>
                      </w:divsChild>
                    </w:div>
                    <w:div w:id="294149091">
                      <w:marLeft w:val="0"/>
                      <w:marRight w:val="0"/>
                      <w:marTop w:val="0"/>
                      <w:marBottom w:val="0"/>
                      <w:divBdr>
                        <w:top w:val="none" w:sz="0" w:space="0" w:color="auto"/>
                        <w:left w:val="none" w:sz="0" w:space="0" w:color="auto"/>
                        <w:bottom w:val="none" w:sz="0" w:space="0" w:color="auto"/>
                        <w:right w:val="none" w:sz="0" w:space="0" w:color="auto"/>
                      </w:divBdr>
                      <w:divsChild>
                        <w:div w:id="294155588">
                          <w:marLeft w:val="0"/>
                          <w:marRight w:val="0"/>
                          <w:marTop w:val="0"/>
                          <w:marBottom w:val="0"/>
                          <w:divBdr>
                            <w:top w:val="none" w:sz="0" w:space="0" w:color="auto"/>
                            <w:left w:val="none" w:sz="0" w:space="0" w:color="auto"/>
                            <w:bottom w:val="none" w:sz="0" w:space="0" w:color="auto"/>
                            <w:right w:val="none" w:sz="0" w:space="0" w:color="auto"/>
                          </w:divBdr>
                        </w:div>
                      </w:divsChild>
                    </w:div>
                    <w:div w:id="294149123">
                      <w:marLeft w:val="0"/>
                      <w:marRight w:val="0"/>
                      <w:marTop w:val="0"/>
                      <w:marBottom w:val="0"/>
                      <w:divBdr>
                        <w:top w:val="none" w:sz="0" w:space="0" w:color="auto"/>
                        <w:left w:val="none" w:sz="0" w:space="0" w:color="auto"/>
                        <w:bottom w:val="none" w:sz="0" w:space="0" w:color="auto"/>
                        <w:right w:val="none" w:sz="0" w:space="0" w:color="auto"/>
                      </w:divBdr>
                      <w:divsChild>
                        <w:div w:id="294148966">
                          <w:marLeft w:val="0"/>
                          <w:marRight w:val="0"/>
                          <w:marTop w:val="0"/>
                          <w:marBottom w:val="0"/>
                          <w:divBdr>
                            <w:top w:val="none" w:sz="0" w:space="0" w:color="auto"/>
                            <w:left w:val="none" w:sz="0" w:space="0" w:color="auto"/>
                            <w:bottom w:val="none" w:sz="0" w:space="0" w:color="auto"/>
                            <w:right w:val="none" w:sz="0" w:space="0" w:color="auto"/>
                          </w:divBdr>
                        </w:div>
                      </w:divsChild>
                    </w:div>
                    <w:div w:id="294149146">
                      <w:marLeft w:val="0"/>
                      <w:marRight w:val="0"/>
                      <w:marTop w:val="0"/>
                      <w:marBottom w:val="0"/>
                      <w:divBdr>
                        <w:top w:val="none" w:sz="0" w:space="0" w:color="auto"/>
                        <w:left w:val="none" w:sz="0" w:space="0" w:color="auto"/>
                        <w:bottom w:val="none" w:sz="0" w:space="0" w:color="auto"/>
                        <w:right w:val="none" w:sz="0" w:space="0" w:color="auto"/>
                      </w:divBdr>
                      <w:divsChild>
                        <w:div w:id="294152330">
                          <w:marLeft w:val="0"/>
                          <w:marRight w:val="0"/>
                          <w:marTop w:val="0"/>
                          <w:marBottom w:val="0"/>
                          <w:divBdr>
                            <w:top w:val="none" w:sz="0" w:space="0" w:color="auto"/>
                            <w:left w:val="none" w:sz="0" w:space="0" w:color="auto"/>
                            <w:bottom w:val="none" w:sz="0" w:space="0" w:color="auto"/>
                            <w:right w:val="none" w:sz="0" w:space="0" w:color="auto"/>
                          </w:divBdr>
                        </w:div>
                      </w:divsChild>
                    </w:div>
                    <w:div w:id="294149151">
                      <w:marLeft w:val="0"/>
                      <w:marRight w:val="0"/>
                      <w:marTop w:val="0"/>
                      <w:marBottom w:val="0"/>
                      <w:divBdr>
                        <w:top w:val="none" w:sz="0" w:space="0" w:color="auto"/>
                        <w:left w:val="none" w:sz="0" w:space="0" w:color="auto"/>
                        <w:bottom w:val="none" w:sz="0" w:space="0" w:color="auto"/>
                        <w:right w:val="none" w:sz="0" w:space="0" w:color="auto"/>
                      </w:divBdr>
                      <w:divsChild>
                        <w:div w:id="294146907">
                          <w:marLeft w:val="0"/>
                          <w:marRight w:val="0"/>
                          <w:marTop w:val="0"/>
                          <w:marBottom w:val="0"/>
                          <w:divBdr>
                            <w:top w:val="none" w:sz="0" w:space="0" w:color="auto"/>
                            <w:left w:val="none" w:sz="0" w:space="0" w:color="auto"/>
                            <w:bottom w:val="none" w:sz="0" w:space="0" w:color="auto"/>
                            <w:right w:val="none" w:sz="0" w:space="0" w:color="auto"/>
                          </w:divBdr>
                        </w:div>
                      </w:divsChild>
                    </w:div>
                    <w:div w:id="294149200">
                      <w:marLeft w:val="0"/>
                      <w:marRight w:val="0"/>
                      <w:marTop w:val="0"/>
                      <w:marBottom w:val="0"/>
                      <w:divBdr>
                        <w:top w:val="none" w:sz="0" w:space="0" w:color="auto"/>
                        <w:left w:val="none" w:sz="0" w:space="0" w:color="auto"/>
                        <w:bottom w:val="none" w:sz="0" w:space="0" w:color="auto"/>
                        <w:right w:val="none" w:sz="0" w:space="0" w:color="auto"/>
                      </w:divBdr>
                      <w:divsChild>
                        <w:div w:id="294152607">
                          <w:marLeft w:val="0"/>
                          <w:marRight w:val="0"/>
                          <w:marTop w:val="0"/>
                          <w:marBottom w:val="0"/>
                          <w:divBdr>
                            <w:top w:val="none" w:sz="0" w:space="0" w:color="auto"/>
                            <w:left w:val="none" w:sz="0" w:space="0" w:color="auto"/>
                            <w:bottom w:val="none" w:sz="0" w:space="0" w:color="auto"/>
                            <w:right w:val="none" w:sz="0" w:space="0" w:color="auto"/>
                          </w:divBdr>
                        </w:div>
                      </w:divsChild>
                    </w:div>
                    <w:div w:id="294149207">
                      <w:marLeft w:val="0"/>
                      <w:marRight w:val="0"/>
                      <w:marTop w:val="0"/>
                      <w:marBottom w:val="0"/>
                      <w:divBdr>
                        <w:top w:val="none" w:sz="0" w:space="0" w:color="auto"/>
                        <w:left w:val="none" w:sz="0" w:space="0" w:color="auto"/>
                        <w:bottom w:val="none" w:sz="0" w:space="0" w:color="auto"/>
                        <w:right w:val="none" w:sz="0" w:space="0" w:color="auto"/>
                      </w:divBdr>
                    </w:div>
                    <w:div w:id="294149211">
                      <w:marLeft w:val="0"/>
                      <w:marRight w:val="0"/>
                      <w:marTop w:val="0"/>
                      <w:marBottom w:val="0"/>
                      <w:divBdr>
                        <w:top w:val="none" w:sz="0" w:space="0" w:color="auto"/>
                        <w:left w:val="none" w:sz="0" w:space="0" w:color="auto"/>
                        <w:bottom w:val="none" w:sz="0" w:space="0" w:color="auto"/>
                        <w:right w:val="none" w:sz="0" w:space="0" w:color="auto"/>
                      </w:divBdr>
                      <w:divsChild>
                        <w:div w:id="294138014">
                          <w:marLeft w:val="0"/>
                          <w:marRight w:val="0"/>
                          <w:marTop w:val="0"/>
                          <w:marBottom w:val="0"/>
                          <w:divBdr>
                            <w:top w:val="none" w:sz="0" w:space="0" w:color="auto"/>
                            <w:left w:val="none" w:sz="0" w:space="0" w:color="auto"/>
                            <w:bottom w:val="none" w:sz="0" w:space="0" w:color="auto"/>
                            <w:right w:val="none" w:sz="0" w:space="0" w:color="auto"/>
                          </w:divBdr>
                        </w:div>
                      </w:divsChild>
                    </w:div>
                    <w:div w:id="294149215">
                      <w:marLeft w:val="0"/>
                      <w:marRight w:val="0"/>
                      <w:marTop w:val="0"/>
                      <w:marBottom w:val="0"/>
                      <w:divBdr>
                        <w:top w:val="none" w:sz="0" w:space="0" w:color="auto"/>
                        <w:left w:val="none" w:sz="0" w:space="0" w:color="auto"/>
                        <w:bottom w:val="none" w:sz="0" w:space="0" w:color="auto"/>
                        <w:right w:val="none" w:sz="0" w:space="0" w:color="auto"/>
                      </w:divBdr>
                      <w:divsChild>
                        <w:div w:id="294152050">
                          <w:marLeft w:val="0"/>
                          <w:marRight w:val="0"/>
                          <w:marTop w:val="0"/>
                          <w:marBottom w:val="0"/>
                          <w:divBdr>
                            <w:top w:val="none" w:sz="0" w:space="0" w:color="auto"/>
                            <w:left w:val="none" w:sz="0" w:space="0" w:color="auto"/>
                            <w:bottom w:val="none" w:sz="0" w:space="0" w:color="auto"/>
                            <w:right w:val="none" w:sz="0" w:space="0" w:color="auto"/>
                          </w:divBdr>
                        </w:div>
                      </w:divsChild>
                    </w:div>
                    <w:div w:id="294149231">
                      <w:marLeft w:val="0"/>
                      <w:marRight w:val="0"/>
                      <w:marTop w:val="0"/>
                      <w:marBottom w:val="0"/>
                      <w:divBdr>
                        <w:top w:val="none" w:sz="0" w:space="0" w:color="auto"/>
                        <w:left w:val="none" w:sz="0" w:space="0" w:color="auto"/>
                        <w:bottom w:val="none" w:sz="0" w:space="0" w:color="auto"/>
                        <w:right w:val="none" w:sz="0" w:space="0" w:color="auto"/>
                      </w:divBdr>
                      <w:divsChild>
                        <w:div w:id="294156846">
                          <w:marLeft w:val="0"/>
                          <w:marRight w:val="0"/>
                          <w:marTop w:val="0"/>
                          <w:marBottom w:val="0"/>
                          <w:divBdr>
                            <w:top w:val="none" w:sz="0" w:space="0" w:color="auto"/>
                            <w:left w:val="none" w:sz="0" w:space="0" w:color="auto"/>
                            <w:bottom w:val="none" w:sz="0" w:space="0" w:color="auto"/>
                            <w:right w:val="none" w:sz="0" w:space="0" w:color="auto"/>
                          </w:divBdr>
                        </w:div>
                      </w:divsChild>
                    </w:div>
                    <w:div w:id="294149301">
                      <w:marLeft w:val="0"/>
                      <w:marRight w:val="0"/>
                      <w:marTop w:val="0"/>
                      <w:marBottom w:val="0"/>
                      <w:divBdr>
                        <w:top w:val="none" w:sz="0" w:space="0" w:color="auto"/>
                        <w:left w:val="none" w:sz="0" w:space="0" w:color="auto"/>
                        <w:bottom w:val="none" w:sz="0" w:space="0" w:color="auto"/>
                        <w:right w:val="none" w:sz="0" w:space="0" w:color="auto"/>
                      </w:divBdr>
                    </w:div>
                    <w:div w:id="294149321">
                      <w:marLeft w:val="0"/>
                      <w:marRight w:val="0"/>
                      <w:marTop w:val="0"/>
                      <w:marBottom w:val="0"/>
                      <w:divBdr>
                        <w:top w:val="none" w:sz="0" w:space="0" w:color="auto"/>
                        <w:left w:val="none" w:sz="0" w:space="0" w:color="auto"/>
                        <w:bottom w:val="none" w:sz="0" w:space="0" w:color="auto"/>
                        <w:right w:val="none" w:sz="0" w:space="0" w:color="auto"/>
                      </w:divBdr>
                    </w:div>
                    <w:div w:id="294149354">
                      <w:marLeft w:val="0"/>
                      <w:marRight w:val="0"/>
                      <w:marTop w:val="0"/>
                      <w:marBottom w:val="0"/>
                      <w:divBdr>
                        <w:top w:val="none" w:sz="0" w:space="0" w:color="auto"/>
                        <w:left w:val="none" w:sz="0" w:space="0" w:color="auto"/>
                        <w:bottom w:val="none" w:sz="0" w:space="0" w:color="auto"/>
                        <w:right w:val="none" w:sz="0" w:space="0" w:color="auto"/>
                      </w:divBdr>
                    </w:div>
                    <w:div w:id="294149380">
                      <w:marLeft w:val="0"/>
                      <w:marRight w:val="0"/>
                      <w:marTop w:val="0"/>
                      <w:marBottom w:val="0"/>
                      <w:divBdr>
                        <w:top w:val="none" w:sz="0" w:space="0" w:color="auto"/>
                        <w:left w:val="none" w:sz="0" w:space="0" w:color="auto"/>
                        <w:bottom w:val="none" w:sz="0" w:space="0" w:color="auto"/>
                        <w:right w:val="none" w:sz="0" w:space="0" w:color="auto"/>
                      </w:divBdr>
                    </w:div>
                    <w:div w:id="294149389">
                      <w:marLeft w:val="0"/>
                      <w:marRight w:val="0"/>
                      <w:marTop w:val="0"/>
                      <w:marBottom w:val="0"/>
                      <w:divBdr>
                        <w:top w:val="none" w:sz="0" w:space="0" w:color="auto"/>
                        <w:left w:val="none" w:sz="0" w:space="0" w:color="auto"/>
                        <w:bottom w:val="none" w:sz="0" w:space="0" w:color="auto"/>
                        <w:right w:val="none" w:sz="0" w:space="0" w:color="auto"/>
                      </w:divBdr>
                    </w:div>
                    <w:div w:id="294149400">
                      <w:marLeft w:val="0"/>
                      <w:marRight w:val="0"/>
                      <w:marTop w:val="0"/>
                      <w:marBottom w:val="0"/>
                      <w:divBdr>
                        <w:top w:val="none" w:sz="0" w:space="0" w:color="auto"/>
                        <w:left w:val="none" w:sz="0" w:space="0" w:color="auto"/>
                        <w:bottom w:val="none" w:sz="0" w:space="0" w:color="auto"/>
                        <w:right w:val="none" w:sz="0" w:space="0" w:color="auto"/>
                      </w:divBdr>
                      <w:divsChild>
                        <w:div w:id="294152542">
                          <w:marLeft w:val="0"/>
                          <w:marRight w:val="0"/>
                          <w:marTop w:val="0"/>
                          <w:marBottom w:val="0"/>
                          <w:divBdr>
                            <w:top w:val="none" w:sz="0" w:space="0" w:color="auto"/>
                            <w:left w:val="none" w:sz="0" w:space="0" w:color="auto"/>
                            <w:bottom w:val="none" w:sz="0" w:space="0" w:color="auto"/>
                            <w:right w:val="none" w:sz="0" w:space="0" w:color="auto"/>
                          </w:divBdr>
                        </w:div>
                      </w:divsChild>
                    </w:div>
                    <w:div w:id="294149446">
                      <w:marLeft w:val="0"/>
                      <w:marRight w:val="0"/>
                      <w:marTop w:val="0"/>
                      <w:marBottom w:val="0"/>
                      <w:divBdr>
                        <w:top w:val="none" w:sz="0" w:space="0" w:color="auto"/>
                        <w:left w:val="none" w:sz="0" w:space="0" w:color="auto"/>
                        <w:bottom w:val="none" w:sz="0" w:space="0" w:color="auto"/>
                        <w:right w:val="none" w:sz="0" w:space="0" w:color="auto"/>
                      </w:divBdr>
                    </w:div>
                    <w:div w:id="294149473">
                      <w:marLeft w:val="0"/>
                      <w:marRight w:val="0"/>
                      <w:marTop w:val="0"/>
                      <w:marBottom w:val="0"/>
                      <w:divBdr>
                        <w:top w:val="none" w:sz="0" w:space="0" w:color="auto"/>
                        <w:left w:val="none" w:sz="0" w:space="0" w:color="auto"/>
                        <w:bottom w:val="none" w:sz="0" w:space="0" w:color="auto"/>
                        <w:right w:val="none" w:sz="0" w:space="0" w:color="auto"/>
                      </w:divBdr>
                      <w:divsChild>
                        <w:div w:id="294148559">
                          <w:marLeft w:val="0"/>
                          <w:marRight w:val="0"/>
                          <w:marTop w:val="0"/>
                          <w:marBottom w:val="0"/>
                          <w:divBdr>
                            <w:top w:val="none" w:sz="0" w:space="0" w:color="auto"/>
                            <w:left w:val="none" w:sz="0" w:space="0" w:color="auto"/>
                            <w:bottom w:val="none" w:sz="0" w:space="0" w:color="auto"/>
                            <w:right w:val="none" w:sz="0" w:space="0" w:color="auto"/>
                          </w:divBdr>
                        </w:div>
                      </w:divsChild>
                    </w:div>
                    <w:div w:id="294149511">
                      <w:marLeft w:val="0"/>
                      <w:marRight w:val="0"/>
                      <w:marTop w:val="0"/>
                      <w:marBottom w:val="0"/>
                      <w:divBdr>
                        <w:top w:val="none" w:sz="0" w:space="0" w:color="auto"/>
                        <w:left w:val="none" w:sz="0" w:space="0" w:color="auto"/>
                        <w:bottom w:val="none" w:sz="0" w:space="0" w:color="auto"/>
                        <w:right w:val="none" w:sz="0" w:space="0" w:color="auto"/>
                      </w:divBdr>
                    </w:div>
                    <w:div w:id="294149512">
                      <w:marLeft w:val="0"/>
                      <w:marRight w:val="0"/>
                      <w:marTop w:val="0"/>
                      <w:marBottom w:val="0"/>
                      <w:divBdr>
                        <w:top w:val="none" w:sz="0" w:space="0" w:color="auto"/>
                        <w:left w:val="none" w:sz="0" w:space="0" w:color="auto"/>
                        <w:bottom w:val="none" w:sz="0" w:space="0" w:color="auto"/>
                        <w:right w:val="none" w:sz="0" w:space="0" w:color="auto"/>
                      </w:divBdr>
                      <w:divsChild>
                        <w:div w:id="294152757">
                          <w:marLeft w:val="0"/>
                          <w:marRight w:val="0"/>
                          <w:marTop w:val="0"/>
                          <w:marBottom w:val="0"/>
                          <w:divBdr>
                            <w:top w:val="none" w:sz="0" w:space="0" w:color="auto"/>
                            <w:left w:val="none" w:sz="0" w:space="0" w:color="auto"/>
                            <w:bottom w:val="none" w:sz="0" w:space="0" w:color="auto"/>
                            <w:right w:val="none" w:sz="0" w:space="0" w:color="auto"/>
                          </w:divBdr>
                        </w:div>
                      </w:divsChild>
                    </w:div>
                    <w:div w:id="294149584">
                      <w:marLeft w:val="0"/>
                      <w:marRight w:val="0"/>
                      <w:marTop w:val="0"/>
                      <w:marBottom w:val="0"/>
                      <w:divBdr>
                        <w:top w:val="none" w:sz="0" w:space="0" w:color="auto"/>
                        <w:left w:val="none" w:sz="0" w:space="0" w:color="auto"/>
                        <w:bottom w:val="none" w:sz="0" w:space="0" w:color="auto"/>
                        <w:right w:val="none" w:sz="0" w:space="0" w:color="auto"/>
                      </w:divBdr>
                    </w:div>
                    <w:div w:id="294149585">
                      <w:marLeft w:val="0"/>
                      <w:marRight w:val="0"/>
                      <w:marTop w:val="0"/>
                      <w:marBottom w:val="0"/>
                      <w:divBdr>
                        <w:top w:val="none" w:sz="0" w:space="0" w:color="auto"/>
                        <w:left w:val="none" w:sz="0" w:space="0" w:color="auto"/>
                        <w:bottom w:val="none" w:sz="0" w:space="0" w:color="auto"/>
                        <w:right w:val="none" w:sz="0" w:space="0" w:color="auto"/>
                      </w:divBdr>
                    </w:div>
                    <w:div w:id="294149599">
                      <w:marLeft w:val="0"/>
                      <w:marRight w:val="0"/>
                      <w:marTop w:val="0"/>
                      <w:marBottom w:val="0"/>
                      <w:divBdr>
                        <w:top w:val="none" w:sz="0" w:space="0" w:color="auto"/>
                        <w:left w:val="none" w:sz="0" w:space="0" w:color="auto"/>
                        <w:bottom w:val="none" w:sz="0" w:space="0" w:color="auto"/>
                        <w:right w:val="none" w:sz="0" w:space="0" w:color="auto"/>
                      </w:divBdr>
                      <w:divsChild>
                        <w:div w:id="294142189">
                          <w:marLeft w:val="0"/>
                          <w:marRight w:val="0"/>
                          <w:marTop w:val="0"/>
                          <w:marBottom w:val="0"/>
                          <w:divBdr>
                            <w:top w:val="none" w:sz="0" w:space="0" w:color="auto"/>
                            <w:left w:val="none" w:sz="0" w:space="0" w:color="auto"/>
                            <w:bottom w:val="none" w:sz="0" w:space="0" w:color="auto"/>
                            <w:right w:val="none" w:sz="0" w:space="0" w:color="auto"/>
                          </w:divBdr>
                        </w:div>
                      </w:divsChild>
                    </w:div>
                    <w:div w:id="294149622">
                      <w:marLeft w:val="0"/>
                      <w:marRight w:val="0"/>
                      <w:marTop w:val="0"/>
                      <w:marBottom w:val="0"/>
                      <w:divBdr>
                        <w:top w:val="none" w:sz="0" w:space="0" w:color="auto"/>
                        <w:left w:val="none" w:sz="0" w:space="0" w:color="auto"/>
                        <w:bottom w:val="none" w:sz="0" w:space="0" w:color="auto"/>
                        <w:right w:val="none" w:sz="0" w:space="0" w:color="auto"/>
                      </w:divBdr>
                    </w:div>
                    <w:div w:id="294149627">
                      <w:marLeft w:val="0"/>
                      <w:marRight w:val="0"/>
                      <w:marTop w:val="0"/>
                      <w:marBottom w:val="0"/>
                      <w:divBdr>
                        <w:top w:val="none" w:sz="0" w:space="0" w:color="auto"/>
                        <w:left w:val="none" w:sz="0" w:space="0" w:color="auto"/>
                        <w:bottom w:val="none" w:sz="0" w:space="0" w:color="auto"/>
                        <w:right w:val="none" w:sz="0" w:space="0" w:color="auto"/>
                      </w:divBdr>
                    </w:div>
                    <w:div w:id="294149684">
                      <w:marLeft w:val="0"/>
                      <w:marRight w:val="0"/>
                      <w:marTop w:val="0"/>
                      <w:marBottom w:val="0"/>
                      <w:divBdr>
                        <w:top w:val="none" w:sz="0" w:space="0" w:color="auto"/>
                        <w:left w:val="none" w:sz="0" w:space="0" w:color="auto"/>
                        <w:bottom w:val="none" w:sz="0" w:space="0" w:color="auto"/>
                        <w:right w:val="none" w:sz="0" w:space="0" w:color="auto"/>
                      </w:divBdr>
                    </w:div>
                    <w:div w:id="294149705">
                      <w:marLeft w:val="0"/>
                      <w:marRight w:val="0"/>
                      <w:marTop w:val="0"/>
                      <w:marBottom w:val="0"/>
                      <w:divBdr>
                        <w:top w:val="none" w:sz="0" w:space="0" w:color="auto"/>
                        <w:left w:val="none" w:sz="0" w:space="0" w:color="auto"/>
                        <w:bottom w:val="none" w:sz="0" w:space="0" w:color="auto"/>
                        <w:right w:val="none" w:sz="0" w:space="0" w:color="auto"/>
                      </w:divBdr>
                      <w:divsChild>
                        <w:div w:id="294146379">
                          <w:marLeft w:val="0"/>
                          <w:marRight w:val="0"/>
                          <w:marTop w:val="0"/>
                          <w:marBottom w:val="0"/>
                          <w:divBdr>
                            <w:top w:val="none" w:sz="0" w:space="0" w:color="auto"/>
                            <w:left w:val="none" w:sz="0" w:space="0" w:color="auto"/>
                            <w:bottom w:val="none" w:sz="0" w:space="0" w:color="auto"/>
                            <w:right w:val="none" w:sz="0" w:space="0" w:color="auto"/>
                          </w:divBdr>
                        </w:div>
                      </w:divsChild>
                    </w:div>
                    <w:div w:id="294149723">
                      <w:marLeft w:val="0"/>
                      <w:marRight w:val="0"/>
                      <w:marTop w:val="0"/>
                      <w:marBottom w:val="0"/>
                      <w:divBdr>
                        <w:top w:val="none" w:sz="0" w:space="0" w:color="auto"/>
                        <w:left w:val="none" w:sz="0" w:space="0" w:color="auto"/>
                        <w:bottom w:val="none" w:sz="0" w:space="0" w:color="auto"/>
                        <w:right w:val="none" w:sz="0" w:space="0" w:color="auto"/>
                      </w:divBdr>
                      <w:divsChild>
                        <w:div w:id="294153750">
                          <w:marLeft w:val="0"/>
                          <w:marRight w:val="0"/>
                          <w:marTop w:val="0"/>
                          <w:marBottom w:val="0"/>
                          <w:divBdr>
                            <w:top w:val="none" w:sz="0" w:space="0" w:color="auto"/>
                            <w:left w:val="none" w:sz="0" w:space="0" w:color="auto"/>
                            <w:bottom w:val="none" w:sz="0" w:space="0" w:color="auto"/>
                            <w:right w:val="none" w:sz="0" w:space="0" w:color="auto"/>
                          </w:divBdr>
                        </w:div>
                      </w:divsChild>
                    </w:div>
                    <w:div w:id="294149730">
                      <w:marLeft w:val="0"/>
                      <w:marRight w:val="0"/>
                      <w:marTop w:val="0"/>
                      <w:marBottom w:val="0"/>
                      <w:divBdr>
                        <w:top w:val="none" w:sz="0" w:space="0" w:color="auto"/>
                        <w:left w:val="none" w:sz="0" w:space="0" w:color="auto"/>
                        <w:bottom w:val="none" w:sz="0" w:space="0" w:color="auto"/>
                        <w:right w:val="none" w:sz="0" w:space="0" w:color="auto"/>
                      </w:divBdr>
                    </w:div>
                    <w:div w:id="294149733">
                      <w:marLeft w:val="0"/>
                      <w:marRight w:val="0"/>
                      <w:marTop w:val="0"/>
                      <w:marBottom w:val="0"/>
                      <w:divBdr>
                        <w:top w:val="none" w:sz="0" w:space="0" w:color="auto"/>
                        <w:left w:val="none" w:sz="0" w:space="0" w:color="auto"/>
                        <w:bottom w:val="none" w:sz="0" w:space="0" w:color="auto"/>
                        <w:right w:val="none" w:sz="0" w:space="0" w:color="auto"/>
                      </w:divBdr>
                      <w:divsChild>
                        <w:div w:id="294145584">
                          <w:marLeft w:val="0"/>
                          <w:marRight w:val="0"/>
                          <w:marTop w:val="0"/>
                          <w:marBottom w:val="0"/>
                          <w:divBdr>
                            <w:top w:val="none" w:sz="0" w:space="0" w:color="auto"/>
                            <w:left w:val="none" w:sz="0" w:space="0" w:color="auto"/>
                            <w:bottom w:val="none" w:sz="0" w:space="0" w:color="auto"/>
                            <w:right w:val="none" w:sz="0" w:space="0" w:color="auto"/>
                          </w:divBdr>
                        </w:div>
                      </w:divsChild>
                    </w:div>
                    <w:div w:id="294149768">
                      <w:marLeft w:val="0"/>
                      <w:marRight w:val="0"/>
                      <w:marTop w:val="0"/>
                      <w:marBottom w:val="0"/>
                      <w:divBdr>
                        <w:top w:val="none" w:sz="0" w:space="0" w:color="auto"/>
                        <w:left w:val="none" w:sz="0" w:space="0" w:color="auto"/>
                        <w:bottom w:val="none" w:sz="0" w:space="0" w:color="auto"/>
                        <w:right w:val="none" w:sz="0" w:space="0" w:color="auto"/>
                      </w:divBdr>
                    </w:div>
                    <w:div w:id="294149783">
                      <w:marLeft w:val="0"/>
                      <w:marRight w:val="0"/>
                      <w:marTop w:val="0"/>
                      <w:marBottom w:val="0"/>
                      <w:divBdr>
                        <w:top w:val="none" w:sz="0" w:space="0" w:color="auto"/>
                        <w:left w:val="none" w:sz="0" w:space="0" w:color="auto"/>
                        <w:bottom w:val="none" w:sz="0" w:space="0" w:color="auto"/>
                        <w:right w:val="none" w:sz="0" w:space="0" w:color="auto"/>
                      </w:divBdr>
                      <w:divsChild>
                        <w:div w:id="294139004">
                          <w:marLeft w:val="0"/>
                          <w:marRight w:val="0"/>
                          <w:marTop w:val="0"/>
                          <w:marBottom w:val="0"/>
                          <w:divBdr>
                            <w:top w:val="none" w:sz="0" w:space="0" w:color="auto"/>
                            <w:left w:val="none" w:sz="0" w:space="0" w:color="auto"/>
                            <w:bottom w:val="none" w:sz="0" w:space="0" w:color="auto"/>
                            <w:right w:val="none" w:sz="0" w:space="0" w:color="auto"/>
                          </w:divBdr>
                        </w:div>
                      </w:divsChild>
                    </w:div>
                    <w:div w:id="294149795">
                      <w:marLeft w:val="0"/>
                      <w:marRight w:val="0"/>
                      <w:marTop w:val="0"/>
                      <w:marBottom w:val="0"/>
                      <w:divBdr>
                        <w:top w:val="none" w:sz="0" w:space="0" w:color="auto"/>
                        <w:left w:val="none" w:sz="0" w:space="0" w:color="auto"/>
                        <w:bottom w:val="none" w:sz="0" w:space="0" w:color="auto"/>
                        <w:right w:val="none" w:sz="0" w:space="0" w:color="auto"/>
                      </w:divBdr>
                    </w:div>
                    <w:div w:id="294149832">
                      <w:marLeft w:val="0"/>
                      <w:marRight w:val="0"/>
                      <w:marTop w:val="0"/>
                      <w:marBottom w:val="0"/>
                      <w:divBdr>
                        <w:top w:val="none" w:sz="0" w:space="0" w:color="auto"/>
                        <w:left w:val="none" w:sz="0" w:space="0" w:color="auto"/>
                        <w:bottom w:val="none" w:sz="0" w:space="0" w:color="auto"/>
                        <w:right w:val="none" w:sz="0" w:space="0" w:color="auto"/>
                      </w:divBdr>
                      <w:divsChild>
                        <w:div w:id="294138135">
                          <w:marLeft w:val="0"/>
                          <w:marRight w:val="0"/>
                          <w:marTop w:val="0"/>
                          <w:marBottom w:val="0"/>
                          <w:divBdr>
                            <w:top w:val="none" w:sz="0" w:space="0" w:color="auto"/>
                            <w:left w:val="none" w:sz="0" w:space="0" w:color="auto"/>
                            <w:bottom w:val="none" w:sz="0" w:space="0" w:color="auto"/>
                            <w:right w:val="none" w:sz="0" w:space="0" w:color="auto"/>
                          </w:divBdr>
                        </w:div>
                      </w:divsChild>
                    </w:div>
                    <w:div w:id="294149835">
                      <w:marLeft w:val="0"/>
                      <w:marRight w:val="0"/>
                      <w:marTop w:val="0"/>
                      <w:marBottom w:val="0"/>
                      <w:divBdr>
                        <w:top w:val="none" w:sz="0" w:space="0" w:color="auto"/>
                        <w:left w:val="none" w:sz="0" w:space="0" w:color="auto"/>
                        <w:bottom w:val="none" w:sz="0" w:space="0" w:color="auto"/>
                        <w:right w:val="none" w:sz="0" w:space="0" w:color="auto"/>
                      </w:divBdr>
                    </w:div>
                    <w:div w:id="294149857">
                      <w:marLeft w:val="0"/>
                      <w:marRight w:val="0"/>
                      <w:marTop w:val="0"/>
                      <w:marBottom w:val="0"/>
                      <w:divBdr>
                        <w:top w:val="none" w:sz="0" w:space="0" w:color="auto"/>
                        <w:left w:val="none" w:sz="0" w:space="0" w:color="auto"/>
                        <w:bottom w:val="none" w:sz="0" w:space="0" w:color="auto"/>
                        <w:right w:val="none" w:sz="0" w:space="0" w:color="auto"/>
                      </w:divBdr>
                      <w:divsChild>
                        <w:div w:id="294146304">
                          <w:marLeft w:val="0"/>
                          <w:marRight w:val="0"/>
                          <w:marTop w:val="0"/>
                          <w:marBottom w:val="0"/>
                          <w:divBdr>
                            <w:top w:val="none" w:sz="0" w:space="0" w:color="auto"/>
                            <w:left w:val="none" w:sz="0" w:space="0" w:color="auto"/>
                            <w:bottom w:val="none" w:sz="0" w:space="0" w:color="auto"/>
                            <w:right w:val="none" w:sz="0" w:space="0" w:color="auto"/>
                          </w:divBdr>
                        </w:div>
                      </w:divsChild>
                    </w:div>
                    <w:div w:id="294149889">
                      <w:marLeft w:val="0"/>
                      <w:marRight w:val="0"/>
                      <w:marTop w:val="0"/>
                      <w:marBottom w:val="0"/>
                      <w:divBdr>
                        <w:top w:val="none" w:sz="0" w:space="0" w:color="auto"/>
                        <w:left w:val="none" w:sz="0" w:space="0" w:color="auto"/>
                        <w:bottom w:val="none" w:sz="0" w:space="0" w:color="auto"/>
                        <w:right w:val="none" w:sz="0" w:space="0" w:color="auto"/>
                      </w:divBdr>
                      <w:divsChild>
                        <w:div w:id="294155318">
                          <w:marLeft w:val="0"/>
                          <w:marRight w:val="0"/>
                          <w:marTop w:val="0"/>
                          <w:marBottom w:val="0"/>
                          <w:divBdr>
                            <w:top w:val="none" w:sz="0" w:space="0" w:color="auto"/>
                            <w:left w:val="none" w:sz="0" w:space="0" w:color="auto"/>
                            <w:bottom w:val="none" w:sz="0" w:space="0" w:color="auto"/>
                            <w:right w:val="none" w:sz="0" w:space="0" w:color="auto"/>
                          </w:divBdr>
                        </w:div>
                      </w:divsChild>
                    </w:div>
                    <w:div w:id="294149903">
                      <w:marLeft w:val="0"/>
                      <w:marRight w:val="0"/>
                      <w:marTop w:val="0"/>
                      <w:marBottom w:val="0"/>
                      <w:divBdr>
                        <w:top w:val="none" w:sz="0" w:space="0" w:color="auto"/>
                        <w:left w:val="none" w:sz="0" w:space="0" w:color="auto"/>
                        <w:bottom w:val="none" w:sz="0" w:space="0" w:color="auto"/>
                        <w:right w:val="none" w:sz="0" w:space="0" w:color="auto"/>
                      </w:divBdr>
                      <w:divsChild>
                        <w:div w:id="294154918">
                          <w:marLeft w:val="0"/>
                          <w:marRight w:val="0"/>
                          <w:marTop w:val="0"/>
                          <w:marBottom w:val="0"/>
                          <w:divBdr>
                            <w:top w:val="none" w:sz="0" w:space="0" w:color="auto"/>
                            <w:left w:val="none" w:sz="0" w:space="0" w:color="auto"/>
                            <w:bottom w:val="none" w:sz="0" w:space="0" w:color="auto"/>
                            <w:right w:val="none" w:sz="0" w:space="0" w:color="auto"/>
                          </w:divBdr>
                        </w:div>
                      </w:divsChild>
                    </w:div>
                    <w:div w:id="294149911">
                      <w:marLeft w:val="0"/>
                      <w:marRight w:val="0"/>
                      <w:marTop w:val="0"/>
                      <w:marBottom w:val="0"/>
                      <w:divBdr>
                        <w:top w:val="none" w:sz="0" w:space="0" w:color="auto"/>
                        <w:left w:val="none" w:sz="0" w:space="0" w:color="auto"/>
                        <w:bottom w:val="none" w:sz="0" w:space="0" w:color="auto"/>
                        <w:right w:val="none" w:sz="0" w:space="0" w:color="auto"/>
                      </w:divBdr>
                    </w:div>
                    <w:div w:id="294149956">
                      <w:marLeft w:val="0"/>
                      <w:marRight w:val="0"/>
                      <w:marTop w:val="0"/>
                      <w:marBottom w:val="0"/>
                      <w:divBdr>
                        <w:top w:val="none" w:sz="0" w:space="0" w:color="auto"/>
                        <w:left w:val="none" w:sz="0" w:space="0" w:color="auto"/>
                        <w:bottom w:val="none" w:sz="0" w:space="0" w:color="auto"/>
                        <w:right w:val="none" w:sz="0" w:space="0" w:color="auto"/>
                      </w:divBdr>
                      <w:divsChild>
                        <w:div w:id="294156179">
                          <w:marLeft w:val="0"/>
                          <w:marRight w:val="0"/>
                          <w:marTop w:val="0"/>
                          <w:marBottom w:val="0"/>
                          <w:divBdr>
                            <w:top w:val="none" w:sz="0" w:space="0" w:color="auto"/>
                            <w:left w:val="none" w:sz="0" w:space="0" w:color="auto"/>
                            <w:bottom w:val="none" w:sz="0" w:space="0" w:color="auto"/>
                            <w:right w:val="none" w:sz="0" w:space="0" w:color="auto"/>
                          </w:divBdr>
                        </w:div>
                      </w:divsChild>
                    </w:div>
                    <w:div w:id="294150001">
                      <w:marLeft w:val="0"/>
                      <w:marRight w:val="0"/>
                      <w:marTop w:val="0"/>
                      <w:marBottom w:val="0"/>
                      <w:divBdr>
                        <w:top w:val="none" w:sz="0" w:space="0" w:color="auto"/>
                        <w:left w:val="none" w:sz="0" w:space="0" w:color="auto"/>
                        <w:bottom w:val="none" w:sz="0" w:space="0" w:color="auto"/>
                        <w:right w:val="none" w:sz="0" w:space="0" w:color="auto"/>
                      </w:divBdr>
                    </w:div>
                    <w:div w:id="294150057">
                      <w:marLeft w:val="0"/>
                      <w:marRight w:val="0"/>
                      <w:marTop w:val="0"/>
                      <w:marBottom w:val="0"/>
                      <w:divBdr>
                        <w:top w:val="none" w:sz="0" w:space="0" w:color="auto"/>
                        <w:left w:val="none" w:sz="0" w:space="0" w:color="auto"/>
                        <w:bottom w:val="none" w:sz="0" w:space="0" w:color="auto"/>
                        <w:right w:val="none" w:sz="0" w:space="0" w:color="auto"/>
                      </w:divBdr>
                    </w:div>
                    <w:div w:id="294150062">
                      <w:marLeft w:val="0"/>
                      <w:marRight w:val="0"/>
                      <w:marTop w:val="0"/>
                      <w:marBottom w:val="0"/>
                      <w:divBdr>
                        <w:top w:val="none" w:sz="0" w:space="0" w:color="auto"/>
                        <w:left w:val="none" w:sz="0" w:space="0" w:color="auto"/>
                        <w:bottom w:val="none" w:sz="0" w:space="0" w:color="auto"/>
                        <w:right w:val="none" w:sz="0" w:space="0" w:color="auto"/>
                      </w:divBdr>
                    </w:div>
                    <w:div w:id="294150077">
                      <w:marLeft w:val="0"/>
                      <w:marRight w:val="0"/>
                      <w:marTop w:val="0"/>
                      <w:marBottom w:val="0"/>
                      <w:divBdr>
                        <w:top w:val="none" w:sz="0" w:space="0" w:color="auto"/>
                        <w:left w:val="none" w:sz="0" w:space="0" w:color="auto"/>
                        <w:bottom w:val="none" w:sz="0" w:space="0" w:color="auto"/>
                        <w:right w:val="none" w:sz="0" w:space="0" w:color="auto"/>
                      </w:divBdr>
                    </w:div>
                    <w:div w:id="294150080">
                      <w:marLeft w:val="0"/>
                      <w:marRight w:val="0"/>
                      <w:marTop w:val="0"/>
                      <w:marBottom w:val="0"/>
                      <w:divBdr>
                        <w:top w:val="none" w:sz="0" w:space="0" w:color="auto"/>
                        <w:left w:val="none" w:sz="0" w:space="0" w:color="auto"/>
                        <w:bottom w:val="none" w:sz="0" w:space="0" w:color="auto"/>
                        <w:right w:val="none" w:sz="0" w:space="0" w:color="auto"/>
                      </w:divBdr>
                    </w:div>
                    <w:div w:id="294150106">
                      <w:marLeft w:val="0"/>
                      <w:marRight w:val="0"/>
                      <w:marTop w:val="0"/>
                      <w:marBottom w:val="0"/>
                      <w:divBdr>
                        <w:top w:val="none" w:sz="0" w:space="0" w:color="auto"/>
                        <w:left w:val="none" w:sz="0" w:space="0" w:color="auto"/>
                        <w:bottom w:val="none" w:sz="0" w:space="0" w:color="auto"/>
                        <w:right w:val="none" w:sz="0" w:space="0" w:color="auto"/>
                      </w:divBdr>
                    </w:div>
                    <w:div w:id="294150147">
                      <w:marLeft w:val="0"/>
                      <w:marRight w:val="0"/>
                      <w:marTop w:val="0"/>
                      <w:marBottom w:val="0"/>
                      <w:divBdr>
                        <w:top w:val="none" w:sz="0" w:space="0" w:color="auto"/>
                        <w:left w:val="none" w:sz="0" w:space="0" w:color="auto"/>
                        <w:bottom w:val="none" w:sz="0" w:space="0" w:color="auto"/>
                        <w:right w:val="none" w:sz="0" w:space="0" w:color="auto"/>
                      </w:divBdr>
                      <w:divsChild>
                        <w:div w:id="294151973">
                          <w:marLeft w:val="0"/>
                          <w:marRight w:val="0"/>
                          <w:marTop w:val="0"/>
                          <w:marBottom w:val="0"/>
                          <w:divBdr>
                            <w:top w:val="none" w:sz="0" w:space="0" w:color="auto"/>
                            <w:left w:val="none" w:sz="0" w:space="0" w:color="auto"/>
                            <w:bottom w:val="none" w:sz="0" w:space="0" w:color="auto"/>
                            <w:right w:val="none" w:sz="0" w:space="0" w:color="auto"/>
                          </w:divBdr>
                        </w:div>
                      </w:divsChild>
                    </w:div>
                    <w:div w:id="294150164">
                      <w:marLeft w:val="0"/>
                      <w:marRight w:val="0"/>
                      <w:marTop w:val="0"/>
                      <w:marBottom w:val="0"/>
                      <w:divBdr>
                        <w:top w:val="none" w:sz="0" w:space="0" w:color="auto"/>
                        <w:left w:val="none" w:sz="0" w:space="0" w:color="auto"/>
                        <w:bottom w:val="none" w:sz="0" w:space="0" w:color="auto"/>
                        <w:right w:val="none" w:sz="0" w:space="0" w:color="auto"/>
                      </w:divBdr>
                      <w:divsChild>
                        <w:div w:id="294142509">
                          <w:marLeft w:val="0"/>
                          <w:marRight w:val="0"/>
                          <w:marTop w:val="0"/>
                          <w:marBottom w:val="0"/>
                          <w:divBdr>
                            <w:top w:val="none" w:sz="0" w:space="0" w:color="auto"/>
                            <w:left w:val="none" w:sz="0" w:space="0" w:color="auto"/>
                            <w:bottom w:val="none" w:sz="0" w:space="0" w:color="auto"/>
                            <w:right w:val="none" w:sz="0" w:space="0" w:color="auto"/>
                          </w:divBdr>
                        </w:div>
                      </w:divsChild>
                    </w:div>
                    <w:div w:id="294150174">
                      <w:marLeft w:val="0"/>
                      <w:marRight w:val="0"/>
                      <w:marTop w:val="0"/>
                      <w:marBottom w:val="0"/>
                      <w:divBdr>
                        <w:top w:val="none" w:sz="0" w:space="0" w:color="auto"/>
                        <w:left w:val="none" w:sz="0" w:space="0" w:color="auto"/>
                        <w:bottom w:val="none" w:sz="0" w:space="0" w:color="auto"/>
                        <w:right w:val="none" w:sz="0" w:space="0" w:color="auto"/>
                      </w:divBdr>
                      <w:divsChild>
                        <w:div w:id="294141863">
                          <w:marLeft w:val="0"/>
                          <w:marRight w:val="0"/>
                          <w:marTop w:val="0"/>
                          <w:marBottom w:val="0"/>
                          <w:divBdr>
                            <w:top w:val="none" w:sz="0" w:space="0" w:color="auto"/>
                            <w:left w:val="none" w:sz="0" w:space="0" w:color="auto"/>
                            <w:bottom w:val="none" w:sz="0" w:space="0" w:color="auto"/>
                            <w:right w:val="none" w:sz="0" w:space="0" w:color="auto"/>
                          </w:divBdr>
                        </w:div>
                      </w:divsChild>
                    </w:div>
                    <w:div w:id="294150186">
                      <w:marLeft w:val="0"/>
                      <w:marRight w:val="0"/>
                      <w:marTop w:val="0"/>
                      <w:marBottom w:val="0"/>
                      <w:divBdr>
                        <w:top w:val="none" w:sz="0" w:space="0" w:color="auto"/>
                        <w:left w:val="none" w:sz="0" w:space="0" w:color="auto"/>
                        <w:bottom w:val="none" w:sz="0" w:space="0" w:color="auto"/>
                        <w:right w:val="none" w:sz="0" w:space="0" w:color="auto"/>
                      </w:divBdr>
                      <w:divsChild>
                        <w:div w:id="294139026">
                          <w:marLeft w:val="0"/>
                          <w:marRight w:val="0"/>
                          <w:marTop w:val="0"/>
                          <w:marBottom w:val="0"/>
                          <w:divBdr>
                            <w:top w:val="none" w:sz="0" w:space="0" w:color="auto"/>
                            <w:left w:val="none" w:sz="0" w:space="0" w:color="auto"/>
                            <w:bottom w:val="none" w:sz="0" w:space="0" w:color="auto"/>
                            <w:right w:val="none" w:sz="0" w:space="0" w:color="auto"/>
                          </w:divBdr>
                        </w:div>
                      </w:divsChild>
                    </w:div>
                    <w:div w:id="294150188">
                      <w:marLeft w:val="0"/>
                      <w:marRight w:val="0"/>
                      <w:marTop w:val="0"/>
                      <w:marBottom w:val="0"/>
                      <w:divBdr>
                        <w:top w:val="none" w:sz="0" w:space="0" w:color="auto"/>
                        <w:left w:val="none" w:sz="0" w:space="0" w:color="auto"/>
                        <w:bottom w:val="none" w:sz="0" w:space="0" w:color="auto"/>
                        <w:right w:val="none" w:sz="0" w:space="0" w:color="auto"/>
                      </w:divBdr>
                    </w:div>
                    <w:div w:id="294150248">
                      <w:marLeft w:val="0"/>
                      <w:marRight w:val="0"/>
                      <w:marTop w:val="0"/>
                      <w:marBottom w:val="0"/>
                      <w:divBdr>
                        <w:top w:val="none" w:sz="0" w:space="0" w:color="auto"/>
                        <w:left w:val="none" w:sz="0" w:space="0" w:color="auto"/>
                        <w:bottom w:val="none" w:sz="0" w:space="0" w:color="auto"/>
                        <w:right w:val="none" w:sz="0" w:space="0" w:color="auto"/>
                      </w:divBdr>
                    </w:div>
                    <w:div w:id="294150266">
                      <w:marLeft w:val="0"/>
                      <w:marRight w:val="0"/>
                      <w:marTop w:val="0"/>
                      <w:marBottom w:val="0"/>
                      <w:divBdr>
                        <w:top w:val="none" w:sz="0" w:space="0" w:color="auto"/>
                        <w:left w:val="none" w:sz="0" w:space="0" w:color="auto"/>
                        <w:bottom w:val="none" w:sz="0" w:space="0" w:color="auto"/>
                        <w:right w:val="none" w:sz="0" w:space="0" w:color="auto"/>
                      </w:divBdr>
                    </w:div>
                    <w:div w:id="294150320">
                      <w:marLeft w:val="0"/>
                      <w:marRight w:val="0"/>
                      <w:marTop w:val="0"/>
                      <w:marBottom w:val="0"/>
                      <w:divBdr>
                        <w:top w:val="none" w:sz="0" w:space="0" w:color="auto"/>
                        <w:left w:val="none" w:sz="0" w:space="0" w:color="auto"/>
                        <w:bottom w:val="none" w:sz="0" w:space="0" w:color="auto"/>
                        <w:right w:val="none" w:sz="0" w:space="0" w:color="auto"/>
                      </w:divBdr>
                      <w:divsChild>
                        <w:div w:id="294147133">
                          <w:marLeft w:val="0"/>
                          <w:marRight w:val="0"/>
                          <w:marTop w:val="0"/>
                          <w:marBottom w:val="0"/>
                          <w:divBdr>
                            <w:top w:val="none" w:sz="0" w:space="0" w:color="auto"/>
                            <w:left w:val="none" w:sz="0" w:space="0" w:color="auto"/>
                            <w:bottom w:val="none" w:sz="0" w:space="0" w:color="auto"/>
                            <w:right w:val="none" w:sz="0" w:space="0" w:color="auto"/>
                          </w:divBdr>
                        </w:div>
                      </w:divsChild>
                    </w:div>
                    <w:div w:id="294150324">
                      <w:marLeft w:val="0"/>
                      <w:marRight w:val="0"/>
                      <w:marTop w:val="0"/>
                      <w:marBottom w:val="0"/>
                      <w:divBdr>
                        <w:top w:val="none" w:sz="0" w:space="0" w:color="auto"/>
                        <w:left w:val="none" w:sz="0" w:space="0" w:color="auto"/>
                        <w:bottom w:val="none" w:sz="0" w:space="0" w:color="auto"/>
                        <w:right w:val="none" w:sz="0" w:space="0" w:color="auto"/>
                      </w:divBdr>
                    </w:div>
                    <w:div w:id="294150328">
                      <w:marLeft w:val="0"/>
                      <w:marRight w:val="0"/>
                      <w:marTop w:val="0"/>
                      <w:marBottom w:val="0"/>
                      <w:divBdr>
                        <w:top w:val="none" w:sz="0" w:space="0" w:color="auto"/>
                        <w:left w:val="none" w:sz="0" w:space="0" w:color="auto"/>
                        <w:bottom w:val="none" w:sz="0" w:space="0" w:color="auto"/>
                        <w:right w:val="none" w:sz="0" w:space="0" w:color="auto"/>
                      </w:divBdr>
                    </w:div>
                    <w:div w:id="294150342">
                      <w:marLeft w:val="0"/>
                      <w:marRight w:val="0"/>
                      <w:marTop w:val="0"/>
                      <w:marBottom w:val="0"/>
                      <w:divBdr>
                        <w:top w:val="none" w:sz="0" w:space="0" w:color="auto"/>
                        <w:left w:val="none" w:sz="0" w:space="0" w:color="auto"/>
                        <w:bottom w:val="none" w:sz="0" w:space="0" w:color="auto"/>
                        <w:right w:val="none" w:sz="0" w:space="0" w:color="auto"/>
                      </w:divBdr>
                      <w:divsChild>
                        <w:div w:id="294140916">
                          <w:marLeft w:val="0"/>
                          <w:marRight w:val="0"/>
                          <w:marTop w:val="0"/>
                          <w:marBottom w:val="0"/>
                          <w:divBdr>
                            <w:top w:val="none" w:sz="0" w:space="0" w:color="auto"/>
                            <w:left w:val="none" w:sz="0" w:space="0" w:color="auto"/>
                            <w:bottom w:val="none" w:sz="0" w:space="0" w:color="auto"/>
                            <w:right w:val="none" w:sz="0" w:space="0" w:color="auto"/>
                          </w:divBdr>
                        </w:div>
                      </w:divsChild>
                    </w:div>
                    <w:div w:id="294150368">
                      <w:marLeft w:val="0"/>
                      <w:marRight w:val="0"/>
                      <w:marTop w:val="0"/>
                      <w:marBottom w:val="0"/>
                      <w:divBdr>
                        <w:top w:val="none" w:sz="0" w:space="0" w:color="auto"/>
                        <w:left w:val="none" w:sz="0" w:space="0" w:color="auto"/>
                        <w:bottom w:val="none" w:sz="0" w:space="0" w:color="auto"/>
                        <w:right w:val="none" w:sz="0" w:space="0" w:color="auto"/>
                      </w:divBdr>
                    </w:div>
                    <w:div w:id="294150422">
                      <w:marLeft w:val="0"/>
                      <w:marRight w:val="0"/>
                      <w:marTop w:val="0"/>
                      <w:marBottom w:val="0"/>
                      <w:divBdr>
                        <w:top w:val="none" w:sz="0" w:space="0" w:color="auto"/>
                        <w:left w:val="none" w:sz="0" w:space="0" w:color="auto"/>
                        <w:bottom w:val="none" w:sz="0" w:space="0" w:color="auto"/>
                        <w:right w:val="none" w:sz="0" w:space="0" w:color="auto"/>
                      </w:divBdr>
                    </w:div>
                    <w:div w:id="294150479">
                      <w:marLeft w:val="0"/>
                      <w:marRight w:val="0"/>
                      <w:marTop w:val="0"/>
                      <w:marBottom w:val="0"/>
                      <w:divBdr>
                        <w:top w:val="none" w:sz="0" w:space="0" w:color="auto"/>
                        <w:left w:val="none" w:sz="0" w:space="0" w:color="auto"/>
                        <w:bottom w:val="none" w:sz="0" w:space="0" w:color="auto"/>
                        <w:right w:val="none" w:sz="0" w:space="0" w:color="auto"/>
                      </w:divBdr>
                    </w:div>
                    <w:div w:id="294150483">
                      <w:marLeft w:val="0"/>
                      <w:marRight w:val="0"/>
                      <w:marTop w:val="0"/>
                      <w:marBottom w:val="0"/>
                      <w:divBdr>
                        <w:top w:val="none" w:sz="0" w:space="0" w:color="auto"/>
                        <w:left w:val="none" w:sz="0" w:space="0" w:color="auto"/>
                        <w:bottom w:val="none" w:sz="0" w:space="0" w:color="auto"/>
                        <w:right w:val="none" w:sz="0" w:space="0" w:color="auto"/>
                      </w:divBdr>
                    </w:div>
                    <w:div w:id="294150491">
                      <w:marLeft w:val="0"/>
                      <w:marRight w:val="0"/>
                      <w:marTop w:val="0"/>
                      <w:marBottom w:val="0"/>
                      <w:divBdr>
                        <w:top w:val="none" w:sz="0" w:space="0" w:color="auto"/>
                        <w:left w:val="none" w:sz="0" w:space="0" w:color="auto"/>
                        <w:bottom w:val="none" w:sz="0" w:space="0" w:color="auto"/>
                        <w:right w:val="none" w:sz="0" w:space="0" w:color="auto"/>
                      </w:divBdr>
                    </w:div>
                    <w:div w:id="294150507">
                      <w:marLeft w:val="0"/>
                      <w:marRight w:val="0"/>
                      <w:marTop w:val="0"/>
                      <w:marBottom w:val="0"/>
                      <w:divBdr>
                        <w:top w:val="none" w:sz="0" w:space="0" w:color="auto"/>
                        <w:left w:val="none" w:sz="0" w:space="0" w:color="auto"/>
                        <w:bottom w:val="none" w:sz="0" w:space="0" w:color="auto"/>
                        <w:right w:val="none" w:sz="0" w:space="0" w:color="auto"/>
                      </w:divBdr>
                      <w:divsChild>
                        <w:div w:id="294155277">
                          <w:marLeft w:val="0"/>
                          <w:marRight w:val="0"/>
                          <w:marTop w:val="0"/>
                          <w:marBottom w:val="0"/>
                          <w:divBdr>
                            <w:top w:val="none" w:sz="0" w:space="0" w:color="auto"/>
                            <w:left w:val="none" w:sz="0" w:space="0" w:color="auto"/>
                            <w:bottom w:val="none" w:sz="0" w:space="0" w:color="auto"/>
                            <w:right w:val="none" w:sz="0" w:space="0" w:color="auto"/>
                          </w:divBdr>
                        </w:div>
                      </w:divsChild>
                    </w:div>
                    <w:div w:id="294150517">
                      <w:marLeft w:val="0"/>
                      <w:marRight w:val="0"/>
                      <w:marTop w:val="0"/>
                      <w:marBottom w:val="0"/>
                      <w:divBdr>
                        <w:top w:val="none" w:sz="0" w:space="0" w:color="auto"/>
                        <w:left w:val="none" w:sz="0" w:space="0" w:color="auto"/>
                        <w:bottom w:val="none" w:sz="0" w:space="0" w:color="auto"/>
                        <w:right w:val="none" w:sz="0" w:space="0" w:color="auto"/>
                      </w:divBdr>
                      <w:divsChild>
                        <w:div w:id="294153359">
                          <w:marLeft w:val="0"/>
                          <w:marRight w:val="0"/>
                          <w:marTop w:val="0"/>
                          <w:marBottom w:val="0"/>
                          <w:divBdr>
                            <w:top w:val="none" w:sz="0" w:space="0" w:color="auto"/>
                            <w:left w:val="none" w:sz="0" w:space="0" w:color="auto"/>
                            <w:bottom w:val="none" w:sz="0" w:space="0" w:color="auto"/>
                            <w:right w:val="none" w:sz="0" w:space="0" w:color="auto"/>
                          </w:divBdr>
                        </w:div>
                      </w:divsChild>
                    </w:div>
                    <w:div w:id="294150538">
                      <w:marLeft w:val="0"/>
                      <w:marRight w:val="0"/>
                      <w:marTop w:val="0"/>
                      <w:marBottom w:val="0"/>
                      <w:divBdr>
                        <w:top w:val="none" w:sz="0" w:space="0" w:color="auto"/>
                        <w:left w:val="none" w:sz="0" w:space="0" w:color="auto"/>
                        <w:bottom w:val="none" w:sz="0" w:space="0" w:color="auto"/>
                        <w:right w:val="none" w:sz="0" w:space="0" w:color="auto"/>
                      </w:divBdr>
                    </w:div>
                    <w:div w:id="294150560">
                      <w:marLeft w:val="0"/>
                      <w:marRight w:val="0"/>
                      <w:marTop w:val="0"/>
                      <w:marBottom w:val="0"/>
                      <w:divBdr>
                        <w:top w:val="none" w:sz="0" w:space="0" w:color="auto"/>
                        <w:left w:val="none" w:sz="0" w:space="0" w:color="auto"/>
                        <w:bottom w:val="none" w:sz="0" w:space="0" w:color="auto"/>
                        <w:right w:val="none" w:sz="0" w:space="0" w:color="auto"/>
                      </w:divBdr>
                    </w:div>
                    <w:div w:id="294150561">
                      <w:marLeft w:val="0"/>
                      <w:marRight w:val="0"/>
                      <w:marTop w:val="0"/>
                      <w:marBottom w:val="0"/>
                      <w:divBdr>
                        <w:top w:val="none" w:sz="0" w:space="0" w:color="auto"/>
                        <w:left w:val="none" w:sz="0" w:space="0" w:color="auto"/>
                        <w:bottom w:val="none" w:sz="0" w:space="0" w:color="auto"/>
                        <w:right w:val="none" w:sz="0" w:space="0" w:color="auto"/>
                      </w:divBdr>
                      <w:divsChild>
                        <w:div w:id="294149115">
                          <w:marLeft w:val="0"/>
                          <w:marRight w:val="0"/>
                          <w:marTop w:val="0"/>
                          <w:marBottom w:val="0"/>
                          <w:divBdr>
                            <w:top w:val="none" w:sz="0" w:space="0" w:color="auto"/>
                            <w:left w:val="none" w:sz="0" w:space="0" w:color="auto"/>
                            <w:bottom w:val="none" w:sz="0" w:space="0" w:color="auto"/>
                            <w:right w:val="none" w:sz="0" w:space="0" w:color="auto"/>
                          </w:divBdr>
                        </w:div>
                      </w:divsChild>
                    </w:div>
                    <w:div w:id="294150566">
                      <w:marLeft w:val="0"/>
                      <w:marRight w:val="0"/>
                      <w:marTop w:val="0"/>
                      <w:marBottom w:val="0"/>
                      <w:divBdr>
                        <w:top w:val="none" w:sz="0" w:space="0" w:color="auto"/>
                        <w:left w:val="none" w:sz="0" w:space="0" w:color="auto"/>
                        <w:bottom w:val="none" w:sz="0" w:space="0" w:color="auto"/>
                        <w:right w:val="none" w:sz="0" w:space="0" w:color="auto"/>
                      </w:divBdr>
                      <w:divsChild>
                        <w:div w:id="294145974">
                          <w:marLeft w:val="0"/>
                          <w:marRight w:val="0"/>
                          <w:marTop w:val="0"/>
                          <w:marBottom w:val="0"/>
                          <w:divBdr>
                            <w:top w:val="none" w:sz="0" w:space="0" w:color="auto"/>
                            <w:left w:val="none" w:sz="0" w:space="0" w:color="auto"/>
                            <w:bottom w:val="none" w:sz="0" w:space="0" w:color="auto"/>
                            <w:right w:val="none" w:sz="0" w:space="0" w:color="auto"/>
                          </w:divBdr>
                        </w:div>
                      </w:divsChild>
                    </w:div>
                    <w:div w:id="294150611">
                      <w:marLeft w:val="0"/>
                      <w:marRight w:val="0"/>
                      <w:marTop w:val="0"/>
                      <w:marBottom w:val="0"/>
                      <w:divBdr>
                        <w:top w:val="none" w:sz="0" w:space="0" w:color="auto"/>
                        <w:left w:val="none" w:sz="0" w:space="0" w:color="auto"/>
                        <w:bottom w:val="none" w:sz="0" w:space="0" w:color="auto"/>
                        <w:right w:val="none" w:sz="0" w:space="0" w:color="auto"/>
                      </w:divBdr>
                    </w:div>
                    <w:div w:id="294150650">
                      <w:marLeft w:val="0"/>
                      <w:marRight w:val="0"/>
                      <w:marTop w:val="0"/>
                      <w:marBottom w:val="0"/>
                      <w:divBdr>
                        <w:top w:val="none" w:sz="0" w:space="0" w:color="auto"/>
                        <w:left w:val="none" w:sz="0" w:space="0" w:color="auto"/>
                        <w:bottom w:val="none" w:sz="0" w:space="0" w:color="auto"/>
                        <w:right w:val="none" w:sz="0" w:space="0" w:color="auto"/>
                      </w:divBdr>
                      <w:divsChild>
                        <w:div w:id="294153031">
                          <w:marLeft w:val="0"/>
                          <w:marRight w:val="0"/>
                          <w:marTop w:val="0"/>
                          <w:marBottom w:val="0"/>
                          <w:divBdr>
                            <w:top w:val="none" w:sz="0" w:space="0" w:color="auto"/>
                            <w:left w:val="none" w:sz="0" w:space="0" w:color="auto"/>
                            <w:bottom w:val="none" w:sz="0" w:space="0" w:color="auto"/>
                            <w:right w:val="none" w:sz="0" w:space="0" w:color="auto"/>
                          </w:divBdr>
                        </w:div>
                      </w:divsChild>
                    </w:div>
                    <w:div w:id="294150732">
                      <w:marLeft w:val="0"/>
                      <w:marRight w:val="0"/>
                      <w:marTop w:val="0"/>
                      <w:marBottom w:val="0"/>
                      <w:divBdr>
                        <w:top w:val="none" w:sz="0" w:space="0" w:color="auto"/>
                        <w:left w:val="none" w:sz="0" w:space="0" w:color="auto"/>
                        <w:bottom w:val="none" w:sz="0" w:space="0" w:color="auto"/>
                        <w:right w:val="none" w:sz="0" w:space="0" w:color="auto"/>
                      </w:divBdr>
                      <w:divsChild>
                        <w:div w:id="294153491">
                          <w:marLeft w:val="0"/>
                          <w:marRight w:val="0"/>
                          <w:marTop w:val="0"/>
                          <w:marBottom w:val="0"/>
                          <w:divBdr>
                            <w:top w:val="none" w:sz="0" w:space="0" w:color="auto"/>
                            <w:left w:val="none" w:sz="0" w:space="0" w:color="auto"/>
                            <w:bottom w:val="none" w:sz="0" w:space="0" w:color="auto"/>
                            <w:right w:val="none" w:sz="0" w:space="0" w:color="auto"/>
                          </w:divBdr>
                        </w:div>
                      </w:divsChild>
                    </w:div>
                    <w:div w:id="294150734">
                      <w:marLeft w:val="0"/>
                      <w:marRight w:val="0"/>
                      <w:marTop w:val="0"/>
                      <w:marBottom w:val="0"/>
                      <w:divBdr>
                        <w:top w:val="none" w:sz="0" w:space="0" w:color="auto"/>
                        <w:left w:val="none" w:sz="0" w:space="0" w:color="auto"/>
                        <w:bottom w:val="none" w:sz="0" w:space="0" w:color="auto"/>
                        <w:right w:val="none" w:sz="0" w:space="0" w:color="auto"/>
                      </w:divBdr>
                    </w:div>
                    <w:div w:id="294150743">
                      <w:marLeft w:val="0"/>
                      <w:marRight w:val="0"/>
                      <w:marTop w:val="0"/>
                      <w:marBottom w:val="0"/>
                      <w:divBdr>
                        <w:top w:val="none" w:sz="0" w:space="0" w:color="auto"/>
                        <w:left w:val="none" w:sz="0" w:space="0" w:color="auto"/>
                        <w:bottom w:val="none" w:sz="0" w:space="0" w:color="auto"/>
                        <w:right w:val="none" w:sz="0" w:space="0" w:color="auto"/>
                      </w:divBdr>
                      <w:divsChild>
                        <w:div w:id="294152545">
                          <w:marLeft w:val="0"/>
                          <w:marRight w:val="0"/>
                          <w:marTop w:val="0"/>
                          <w:marBottom w:val="0"/>
                          <w:divBdr>
                            <w:top w:val="none" w:sz="0" w:space="0" w:color="auto"/>
                            <w:left w:val="none" w:sz="0" w:space="0" w:color="auto"/>
                            <w:bottom w:val="none" w:sz="0" w:space="0" w:color="auto"/>
                            <w:right w:val="none" w:sz="0" w:space="0" w:color="auto"/>
                          </w:divBdr>
                        </w:div>
                      </w:divsChild>
                    </w:div>
                    <w:div w:id="294150761">
                      <w:marLeft w:val="0"/>
                      <w:marRight w:val="0"/>
                      <w:marTop w:val="0"/>
                      <w:marBottom w:val="0"/>
                      <w:divBdr>
                        <w:top w:val="none" w:sz="0" w:space="0" w:color="auto"/>
                        <w:left w:val="none" w:sz="0" w:space="0" w:color="auto"/>
                        <w:bottom w:val="none" w:sz="0" w:space="0" w:color="auto"/>
                        <w:right w:val="none" w:sz="0" w:space="0" w:color="auto"/>
                      </w:divBdr>
                    </w:div>
                    <w:div w:id="294150769">
                      <w:marLeft w:val="0"/>
                      <w:marRight w:val="0"/>
                      <w:marTop w:val="0"/>
                      <w:marBottom w:val="0"/>
                      <w:divBdr>
                        <w:top w:val="none" w:sz="0" w:space="0" w:color="auto"/>
                        <w:left w:val="none" w:sz="0" w:space="0" w:color="auto"/>
                        <w:bottom w:val="none" w:sz="0" w:space="0" w:color="auto"/>
                        <w:right w:val="none" w:sz="0" w:space="0" w:color="auto"/>
                      </w:divBdr>
                    </w:div>
                    <w:div w:id="294150783">
                      <w:marLeft w:val="0"/>
                      <w:marRight w:val="0"/>
                      <w:marTop w:val="0"/>
                      <w:marBottom w:val="0"/>
                      <w:divBdr>
                        <w:top w:val="none" w:sz="0" w:space="0" w:color="auto"/>
                        <w:left w:val="none" w:sz="0" w:space="0" w:color="auto"/>
                        <w:bottom w:val="none" w:sz="0" w:space="0" w:color="auto"/>
                        <w:right w:val="none" w:sz="0" w:space="0" w:color="auto"/>
                      </w:divBdr>
                      <w:divsChild>
                        <w:div w:id="294146198">
                          <w:marLeft w:val="0"/>
                          <w:marRight w:val="0"/>
                          <w:marTop w:val="0"/>
                          <w:marBottom w:val="0"/>
                          <w:divBdr>
                            <w:top w:val="none" w:sz="0" w:space="0" w:color="auto"/>
                            <w:left w:val="none" w:sz="0" w:space="0" w:color="auto"/>
                            <w:bottom w:val="none" w:sz="0" w:space="0" w:color="auto"/>
                            <w:right w:val="none" w:sz="0" w:space="0" w:color="auto"/>
                          </w:divBdr>
                        </w:div>
                      </w:divsChild>
                    </w:div>
                    <w:div w:id="294150822">
                      <w:marLeft w:val="0"/>
                      <w:marRight w:val="0"/>
                      <w:marTop w:val="0"/>
                      <w:marBottom w:val="0"/>
                      <w:divBdr>
                        <w:top w:val="none" w:sz="0" w:space="0" w:color="auto"/>
                        <w:left w:val="none" w:sz="0" w:space="0" w:color="auto"/>
                        <w:bottom w:val="none" w:sz="0" w:space="0" w:color="auto"/>
                        <w:right w:val="none" w:sz="0" w:space="0" w:color="auto"/>
                      </w:divBdr>
                    </w:div>
                    <w:div w:id="294150852">
                      <w:marLeft w:val="0"/>
                      <w:marRight w:val="0"/>
                      <w:marTop w:val="0"/>
                      <w:marBottom w:val="0"/>
                      <w:divBdr>
                        <w:top w:val="none" w:sz="0" w:space="0" w:color="auto"/>
                        <w:left w:val="none" w:sz="0" w:space="0" w:color="auto"/>
                        <w:bottom w:val="none" w:sz="0" w:space="0" w:color="auto"/>
                        <w:right w:val="none" w:sz="0" w:space="0" w:color="auto"/>
                      </w:divBdr>
                      <w:divsChild>
                        <w:div w:id="294156489">
                          <w:marLeft w:val="0"/>
                          <w:marRight w:val="0"/>
                          <w:marTop w:val="0"/>
                          <w:marBottom w:val="0"/>
                          <w:divBdr>
                            <w:top w:val="none" w:sz="0" w:space="0" w:color="auto"/>
                            <w:left w:val="none" w:sz="0" w:space="0" w:color="auto"/>
                            <w:bottom w:val="none" w:sz="0" w:space="0" w:color="auto"/>
                            <w:right w:val="none" w:sz="0" w:space="0" w:color="auto"/>
                          </w:divBdr>
                        </w:div>
                      </w:divsChild>
                    </w:div>
                    <w:div w:id="294150892">
                      <w:marLeft w:val="0"/>
                      <w:marRight w:val="0"/>
                      <w:marTop w:val="0"/>
                      <w:marBottom w:val="0"/>
                      <w:divBdr>
                        <w:top w:val="none" w:sz="0" w:space="0" w:color="auto"/>
                        <w:left w:val="none" w:sz="0" w:space="0" w:color="auto"/>
                        <w:bottom w:val="none" w:sz="0" w:space="0" w:color="auto"/>
                        <w:right w:val="none" w:sz="0" w:space="0" w:color="auto"/>
                      </w:divBdr>
                    </w:div>
                    <w:div w:id="294150906">
                      <w:marLeft w:val="0"/>
                      <w:marRight w:val="0"/>
                      <w:marTop w:val="0"/>
                      <w:marBottom w:val="0"/>
                      <w:divBdr>
                        <w:top w:val="none" w:sz="0" w:space="0" w:color="auto"/>
                        <w:left w:val="none" w:sz="0" w:space="0" w:color="auto"/>
                        <w:bottom w:val="none" w:sz="0" w:space="0" w:color="auto"/>
                        <w:right w:val="none" w:sz="0" w:space="0" w:color="auto"/>
                      </w:divBdr>
                      <w:divsChild>
                        <w:div w:id="294143308">
                          <w:marLeft w:val="0"/>
                          <w:marRight w:val="0"/>
                          <w:marTop w:val="0"/>
                          <w:marBottom w:val="0"/>
                          <w:divBdr>
                            <w:top w:val="none" w:sz="0" w:space="0" w:color="auto"/>
                            <w:left w:val="none" w:sz="0" w:space="0" w:color="auto"/>
                            <w:bottom w:val="none" w:sz="0" w:space="0" w:color="auto"/>
                            <w:right w:val="none" w:sz="0" w:space="0" w:color="auto"/>
                          </w:divBdr>
                        </w:div>
                      </w:divsChild>
                    </w:div>
                    <w:div w:id="294150958">
                      <w:marLeft w:val="0"/>
                      <w:marRight w:val="0"/>
                      <w:marTop w:val="0"/>
                      <w:marBottom w:val="0"/>
                      <w:divBdr>
                        <w:top w:val="none" w:sz="0" w:space="0" w:color="auto"/>
                        <w:left w:val="none" w:sz="0" w:space="0" w:color="auto"/>
                        <w:bottom w:val="none" w:sz="0" w:space="0" w:color="auto"/>
                        <w:right w:val="none" w:sz="0" w:space="0" w:color="auto"/>
                      </w:divBdr>
                      <w:divsChild>
                        <w:div w:id="294150526">
                          <w:marLeft w:val="0"/>
                          <w:marRight w:val="0"/>
                          <w:marTop w:val="0"/>
                          <w:marBottom w:val="0"/>
                          <w:divBdr>
                            <w:top w:val="none" w:sz="0" w:space="0" w:color="auto"/>
                            <w:left w:val="none" w:sz="0" w:space="0" w:color="auto"/>
                            <w:bottom w:val="none" w:sz="0" w:space="0" w:color="auto"/>
                            <w:right w:val="none" w:sz="0" w:space="0" w:color="auto"/>
                          </w:divBdr>
                        </w:div>
                      </w:divsChild>
                    </w:div>
                    <w:div w:id="294150966">
                      <w:marLeft w:val="0"/>
                      <w:marRight w:val="0"/>
                      <w:marTop w:val="0"/>
                      <w:marBottom w:val="0"/>
                      <w:divBdr>
                        <w:top w:val="none" w:sz="0" w:space="0" w:color="auto"/>
                        <w:left w:val="none" w:sz="0" w:space="0" w:color="auto"/>
                        <w:bottom w:val="none" w:sz="0" w:space="0" w:color="auto"/>
                        <w:right w:val="none" w:sz="0" w:space="0" w:color="auto"/>
                      </w:divBdr>
                      <w:divsChild>
                        <w:div w:id="294142655">
                          <w:marLeft w:val="0"/>
                          <w:marRight w:val="0"/>
                          <w:marTop w:val="0"/>
                          <w:marBottom w:val="0"/>
                          <w:divBdr>
                            <w:top w:val="none" w:sz="0" w:space="0" w:color="auto"/>
                            <w:left w:val="none" w:sz="0" w:space="0" w:color="auto"/>
                            <w:bottom w:val="none" w:sz="0" w:space="0" w:color="auto"/>
                            <w:right w:val="none" w:sz="0" w:space="0" w:color="auto"/>
                          </w:divBdr>
                        </w:div>
                      </w:divsChild>
                    </w:div>
                    <w:div w:id="294150987">
                      <w:marLeft w:val="0"/>
                      <w:marRight w:val="0"/>
                      <w:marTop w:val="0"/>
                      <w:marBottom w:val="0"/>
                      <w:divBdr>
                        <w:top w:val="none" w:sz="0" w:space="0" w:color="auto"/>
                        <w:left w:val="none" w:sz="0" w:space="0" w:color="auto"/>
                        <w:bottom w:val="none" w:sz="0" w:space="0" w:color="auto"/>
                        <w:right w:val="none" w:sz="0" w:space="0" w:color="auto"/>
                      </w:divBdr>
                    </w:div>
                    <w:div w:id="294150992">
                      <w:marLeft w:val="0"/>
                      <w:marRight w:val="0"/>
                      <w:marTop w:val="0"/>
                      <w:marBottom w:val="0"/>
                      <w:divBdr>
                        <w:top w:val="none" w:sz="0" w:space="0" w:color="auto"/>
                        <w:left w:val="none" w:sz="0" w:space="0" w:color="auto"/>
                        <w:bottom w:val="none" w:sz="0" w:space="0" w:color="auto"/>
                        <w:right w:val="none" w:sz="0" w:space="0" w:color="auto"/>
                      </w:divBdr>
                      <w:divsChild>
                        <w:div w:id="294149234">
                          <w:marLeft w:val="0"/>
                          <w:marRight w:val="0"/>
                          <w:marTop w:val="0"/>
                          <w:marBottom w:val="0"/>
                          <w:divBdr>
                            <w:top w:val="none" w:sz="0" w:space="0" w:color="auto"/>
                            <w:left w:val="none" w:sz="0" w:space="0" w:color="auto"/>
                            <w:bottom w:val="none" w:sz="0" w:space="0" w:color="auto"/>
                            <w:right w:val="none" w:sz="0" w:space="0" w:color="auto"/>
                          </w:divBdr>
                        </w:div>
                      </w:divsChild>
                    </w:div>
                    <w:div w:id="294151010">
                      <w:marLeft w:val="0"/>
                      <w:marRight w:val="0"/>
                      <w:marTop w:val="0"/>
                      <w:marBottom w:val="0"/>
                      <w:divBdr>
                        <w:top w:val="none" w:sz="0" w:space="0" w:color="auto"/>
                        <w:left w:val="none" w:sz="0" w:space="0" w:color="auto"/>
                        <w:bottom w:val="none" w:sz="0" w:space="0" w:color="auto"/>
                        <w:right w:val="none" w:sz="0" w:space="0" w:color="auto"/>
                      </w:divBdr>
                      <w:divsChild>
                        <w:div w:id="294150874">
                          <w:marLeft w:val="0"/>
                          <w:marRight w:val="0"/>
                          <w:marTop w:val="0"/>
                          <w:marBottom w:val="0"/>
                          <w:divBdr>
                            <w:top w:val="none" w:sz="0" w:space="0" w:color="auto"/>
                            <w:left w:val="none" w:sz="0" w:space="0" w:color="auto"/>
                            <w:bottom w:val="none" w:sz="0" w:space="0" w:color="auto"/>
                            <w:right w:val="none" w:sz="0" w:space="0" w:color="auto"/>
                          </w:divBdr>
                        </w:div>
                      </w:divsChild>
                    </w:div>
                    <w:div w:id="294151017">
                      <w:marLeft w:val="0"/>
                      <w:marRight w:val="0"/>
                      <w:marTop w:val="0"/>
                      <w:marBottom w:val="0"/>
                      <w:divBdr>
                        <w:top w:val="none" w:sz="0" w:space="0" w:color="auto"/>
                        <w:left w:val="none" w:sz="0" w:space="0" w:color="auto"/>
                        <w:bottom w:val="none" w:sz="0" w:space="0" w:color="auto"/>
                        <w:right w:val="none" w:sz="0" w:space="0" w:color="auto"/>
                      </w:divBdr>
                    </w:div>
                    <w:div w:id="294151028">
                      <w:marLeft w:val="0"/>
                      <w:marRight w:val="0"/>
                      <w:marTop w:val="0"/>
                      <w:marBottom w:val="0"/>
                      <w:divBdr>
                        <w:top w:val="none" w:sz="0" w:space="0" w:color="auto"/>
                        <w:left w:val="none" w:sz="0" w:space="0" w:color="auto"/>
                        <w:bottom w:val="none" w:sz="0" w:space="0" w:color="auto"/>
                        <w:right w:val="none" w:sz="0" w:space="0" w:color="auto"/>
                      </w:divBdr>
                    </w:div>
                    <w:div w:id="294151084">
                      <w:marLeft w:val="0"/>
                      <w:marRight w:val="0"/>
                      <w:marTop w:val="0"/>
                      <w:marBottom w:val="0"/>
                      <w:divBdr>
                        <w:top w:val="none" w:sz="0" w:space="0" w:color="auto"/>
                        <w:left w:val="none" w:sz="0" w:space="0" w:color="auto"/>
                        <w:bottom w:val="none" w:sz="0" w:space="0" w:color="auto"/>
                        <w:right w:val="none" w:sz="0" w:space="0" w:color="auto"/>
                      </w:divBdr>
                    </w:div>
                    <w:div w:id="294151099">
                      <w:marLeft w:val="0"/>
                      <w:marRight w:val="0"/>
                      <w:marTop w:val="0"/>
                      <w:marBottom w:val="0"/>
                      <w:divBdr>
                        <w:top w:val="none" w:sz="0" w:space="0" w:color="auto"/>
                        <w:left w:val="none" w:sz="0" w:space="0" w:color="auto"/>
                        <w:bottom w:val="none" w:sz="0" w:space="0" w:color="auto"/>
                        <w:right w:val="none" w:sz="0" w:space="0" w:color="auto"/>
                      </w:divBdr>
                      <w:divsChild>
                        <w:div w:id="294154468">
                          <w:marLeft w:val="0"/>
                          <w:marRight w:val="0"/>
                          <w:marTop w:val="0"/>
                          <w:marBottom w:val="0"/>
                          <w:divBdr>
                            <w:top w:val="none" w:sz="0" w:space="0" w:color="auto"/>
                            <w:left w:val="none" w:sz="0" w:space="0" w:color="auto"/>
                            <w:bottom w:val="none" w:sz="0" w:space="0" w:color="auto"/>
                            <w:right w:val="none" w:sz="0" w:space="0" w:color="auto"/>
                          </w:divBdr>
                        </w:div>
                      </w:divsChild>
                    </w:div>
                    <w:div w:id="294151122">
                      <w:marLeft w:val="0"/>
                      <w:marRight w:val="0"/>
                      <w:marTop w:val="0"/>
                      <w:marBottom w:val="0"/>
                      <w:divBdr>
                        <w:top w:val="none" w:sz="0" w:space="0" w:color="auto"/>
                        <w:left w:val="none" w:sz="0" w:space="0" w:color="auto"/>
                        <w:bottom w:val="none" w:sz="0" w:space="0" w:color="auto"/>
                        <w:right w:val="none" w:sz="0" w:space="0" w:color="auto"/>
                      </w:divBdr>
                      <w:divsChild>
                        <w:div w:id="294138156">
                          <w:marLeft w:val="0"/>
                          <w:marRight w:val="0"/>
                          <w:marTop w:val="0"/>
                          <w:marBottom w:val="0"/>
                          <w:divBdr>
                            <w:top w:val="none" w:sz="0" w:space="0" w:color="auto"/>
                            <w:left w:val="none" w:sz="0" w:space="0" w:color="auto"/>
                            <w:bottom w:val="none" w:sz="0" w:space="0" w:color="auto"/>
                            <w:right w:val="none" w:sz="0" w:space="0" w:color="auto"/>
                          </w:divBdr>
                        </w:div>
                      </w:divsChild>
                    </w:div>
                    <w:div w:id="294151129">
                      <w:marLeft w:val="0"/>
                      <w:marRight w:val="0"/>
                      <w:marTop w:val="0"/>
                      <w:marBottom w:val="0"/>
                      <w:divBdr>
                        <w:top w:val="none" w:sz="0" w:space="0" w:color="auto"/>
                        <w:left w:val="none" w:sz="0" w:space="0" w:color="auto"/>
                        <w:bottom w:val="none" w:sz="0" w:space="0" w:color="auto"/>
                        <w:right w:val="none" w:sz="0" w:space="0" w:color="auto"/>
                      </w:divBdr>
                    </w:div>
                    <w:div w:id="294151131">
                      <w:marLeft w:val="0"/>
                      <w:marRight w:val="0"/>
                      <w:marTop w:val="0"/>
                      <w:marBottom w:val="0"/>
                      <w:divBdr>
                        <w:top w:val="none" w:sz="0" w:space="0" w:color="auto"/>
                        <w:left w:val="none" w:sz="0" w:space="0" w:color="auto"/>
                        <w:bottom w:val="none" w:sz="0" w:space="0" w:color="auto"/>
                        <w:right w:val="none" w:sz="0" w:space="0" w:color="auto"/>
                      </w:divBdr>
                      <w:divsChild>
                        <w:div w:id="294146023">
                          <w:marLeft w:val="0"/>
                          <w:marRight w:val="0"/>
                          <w:marTop w:val="0"/>
                          <w:marBottom w:val="0"/>
                          <w:divBdr>
                            <w:top w:val="none" w:sz="0" w:space="0" w:color="auto"/>
                            <w:left w:val="none" w:sz="0" w:space="0" w:color="auto"/>
                            <w:bottom w:val="none" w:sz="0" w:space="0" w:color="auto"/>
                            <w:right w:val="none" w:sz="0" w:space="0" w:color="auto"/>
                          </w:divBdr>
                        </w:div>
                      </w:divsChild>
                    </w:div>
                    <w:div w:id="294151156">
                      <w:marLeft w:val="0"/>
                      <w:marRight w:val="0"/>
                      <w:marTop w:val="0"/>
                      <w:marBottom w:val="0"/>
                      <w:divBdr>
                        <w:top w:val="none" w:sz="0" w:space="0" w:color="auto"/>
                        <w:left w:val="none" w:sz="0" w:space="0" w:color="auto"/>
                        <w:bottom w:val="none" w:sz="0" w:space="0" w:color="auto"/>
                        <w:right w:val="none" w:sz="0" w:space="0" w:color="auto"/>
                      </w:divBdr>
                    </w:div>
                    <w:div w:id="294151172">
                      <w:marLeft w:val="0"/>
                      <w:marRight w:val="0"/>
                      <w:marTop w:val="0"/>
                      <w:marBottom w:val="0"/>
                      <w:divBdr>
                        <w:top w:val="none" w:sz="0" w:space="0" w:color="auto"/>
                        <w:left w:val="none" w:sz="0" w:space="0" w:color="auto"/>
                        <w:bottom w:val="none" w:sz="0" w:space="0" w:color="auto"/>
                        <w:right w:val="none" w:sz="0" w:space="0" w:color="auto"/>
                      </w:divBdr>
                      <w:divsChild>
                        <w:div w:id="294148309">
                          <w:marLeft w:val="0"/>
                          <w:marRight w:val="0"/>
                          <w:marTop w:val="0"/>
                          <w:marBottom w:val="0"/>
                          <w:divBdr>
                            <w:top w:val="none" w:sz="0" w:space="0" w:color="auto"/>
                            <w:left w:val="none" w:sz="0" w:space="0" w:color="auto"/>
                            <w:bottom w:val="none" w:sz="0" w:space="0" w:color="auto"/>
                            <w:right w:val="none" w:sz="0" w:space="0" w:color="auto"/>
                          </w:divBdr>
                        </w:div>
                      </w:divsChild>
                    </w:div>
                    <w:div w:id="294151216">
                      <w:marLeft w:val="0"/>
                      <w:marRight w:val="0"/>
                      <w:marTop w:val="0"/>
                      <w:marBottom w:val="0"/>
                      <w:divBdr>
                        <w:top w:val="none" w:sz="0" w:space="0" w:color="auto"/>
                        <w:left w:val="none" w:sz="0" w:space="0" w:color="auto"/>
                        <w:bottom w:val="none" w:sz="0" w:space="0" w:color="auto"/>
                        <w:right w:val="none" w:sz="0" w:space="0" w:color="auto"/>
                      </w:divBdr>
                    </w:div>
                    <w:div w:id="294151227">
                      <w:marLeft w:val="0"/>
                      <w:marRight w:val="0"/>
                      <w:marTop w:val="0"/>
                      <w:marBottom w:val="0"/>
                      <w:divBdr>
                        <w:top w:val="none" w:sz="0" w:space="0" w:color="auto"/>
                        <w:left w:val="none" w:sz="0" w:space="0" w:color="auto"/>
                        <w:bottom w:val="none" w:sz="0" w:space="0" w:color="auto"/>
                        <w:right w:val="none" w:sz="0" w:space="0" w:color="auto"/>
                      </w:divBdr>
                      <w:divsChild>
                        <w:div w:id="294152813">
                          <w:marLeft w:val="0"/>
                          <w:marRight w:val="0"/>
                          <w:marTop w:val="0"/>
                          <w:marBottom w:val="0"/>
                          <w:divBdr>
                            <w:top w:val="none" w:sz="0" w:space="0" w:color="auto"/>
                            <w:left w:val="none" w:sz="0" w:space="0" w:color="auto"/>
                            <w:bottom w:val="none" w:sz="0" w:space="0" w:color="auto"/>
                            <w:right w:val="none" w:sz="0" w:space="0" w:color="auto"/>
                          </w:divBdr>
                        </w:div>
                      </w:divsChild>
                    </w:div>
                    <w:div w:id="294151233">
                      <w:marLeft w:val="0"/>
                      <w:marRight w:val="0"/>
                      <w:marTop w:val="0"/>
                      <w:marBottom w:val="0"/>
                      <w:divBdr>
                        <w:top w:val="none" w:sz="0" w:space="0" w:color="auto"/>
                        <w:left w:val="none" w:sz="0" w:space="0" w:color="auto"/>
                        <w:bottom w:val="none" w:sz="0" w:space="0" w:color="auto"/>
                        <w:right w:val="none" w:sz="0" w:space="0" w:color="auto"/>
                      </w:divBdr>
                    </w:div>
                    <w:div w:id="294151235">
                      <w:marLeft w:val="0"/>
                      <w:marRight w:val="0"/>
                      <w:marTop w:val="0"/>
                      <w:marBottom w:val="0"/>
                      <w:divBdr>
                        <w:top w:val="none" w:sz="0" w:space="0" w:color="auto"/>
                        <w:left w:val="none" w:sz="0" w:space="0" w:color="auto"/>
                        <w:bottom w:val="none" w:sz="0" w:space="0" w:color="auto"/>
                        <w:right w:val="none" w:sz="0" w:space="0" w:color="auto"/>
                      </w:divBdr>
                    </w:div>
                    <w:div w:id="294151236">
                      <w:marLeft w:val="0"/>
                      <w:marRight w:val="0"/>
                      <w:marTop w:val="0"/>
                      <w:marBottom w:val="0"/>
                      <w:divBdr>
                        <w:top w:val="none" w:sz="0" w:space="0" w:color="auto"/>
                        <w:left w:val="none" w:sz="0" w:space="0" w:color="auto"/>
                        <w:bottom w:val="none" w:sz="0" w:space="0" w:color="auto"/>
                        <w:right w:val="none" w:sz="0" w:space="0" w:color="auto"/>
                      </w:divBdr>
                    </w:div>
                    <w:div w:id="294151260">
                      <w:marLeft w:val="0"/>
                      <w:marRight w:val="0"/>
                      <w:marTop w:val="0"/>
                      <w:marBottom w:val="0"/>
                      <w:divBdr>
                        <w:top w:val="none" w:sz="0" w:space="0" w:color="auto"/>
                        <w:left w:val="none" w:sz="0" w:space="0" w:color="auto"/>
                        <w:bottom w:val="none" w:sz="0" w:space="0" w:color="auto"/>
                        <w:right w:val="none" w:sz="0" w:space="0" w:color="auto"/>
                      </w:divBdr>
                    </w:div>
                    <w:div w:id="294151270">
                      <w:marLeft w:val="0"/>
                      <w:marRight w:val="0"/>
                      <w:marTop w:val="0"/>
                      <w:marBottom w:val="0"/>
                      <w:divBdr>
                        <w:top w:val="none" w:sz="0" w:space="0" w:color="auto"/>
                        <w:left w:val="none" w:sz="0" w:space="0" w:color="auto"/>
                        <w:bottom w:val="none" w:sz="0" w:space="0" w:color="auto"/>
                        <w:right w:val="none" w:sz="0" w:space="0" w:color="auto"/>
                      </w:divBdr>
                    </w:div>
                    <w:div w:id="294151275">
                      <w:marLeft w:val="0"/>
                      <w:marRight w:val="0"/>
                      <w:marTop w:val="0"/>
                      <w:marBottom w:val="0"/>
                      <w:divBdr>
                        <w:top w:val="none" w:sz="0" w:space="0" w:color="auto"/>
                        <w:left w:val="none" w:sz="0" w:space="0" w:color="auto"/>
                        <w:bottom w:val="none" w:sz="0" w:space="0" w:color="auto"/>
                        <w:right w:val="none" w:sz="0" w:space="0" w:color="auto"/>
                      </w:divBdr>
                      <w:divsChild>
                        <w:div w:id="294144049">
                          <w:marLeft w:val="0"/>
                          <w:marRight w:val="0"/>
                          <w:marTop w:val="0"/>
                          <w:marBottom w:val="0"/>
                          <w:divBdr>
                            <w:top w:val="none" w:sz="0" w:space="0" w:color="auto"/>
                            <w:left w:val="none" w:sz="0" w:space="0" w:color="auto"/>
                            <w:bottom w:val="none" w:sz="0" w:space="0" w:color="auto"/>
                            <w:right w:val="none" w:sz="0" w:space="0" w:color="auto"/>
                          </w:divBdr>
                        </w:div>
                      </w:divsChild>
                    </w:div>
                    <w:div w:id="294151297">
                      <w:marLeft w:val="0"/>
                      <w:marRight w:val="0"/>
                      <w:marTop w:val="0"/>
                      <w:marBottom w:val="0"/>
                      <w:divBdr>
                        <w:top w:val="none" w:sz="0" w:space="0" w:color="auto"/>
                        <w:left w:val="none" w:sz="0" w:space="0" w:color="auto"/>
                        <w:bottom w:val="none" w:sz="0" w:space="0" w:color="auto"/>
                        <w:right w:val="none" w:sz="0" w:space="0" w:color="auto"/>
                      </w:divBdr>
                    </w:div>
                    <w:div w:id="294151318">
                      <w:marLeft w:val="0"/>
                      <w:marRight w:val="0"/>
                      <w:marTop w:val="0"/>
                      <w:marBottom w:val="0"/>
                      <w:divBdr>
                        <w:top w:val="none" w:sz="0" w:space="0" w:color="auto"/>
                        <w:left w:val="none" w:sz="0" w:space="0" w:color="auto"/>
                        <w:bottom w:val="none" w:sz="0" w:space="0" w:color="auto"/>
                        <w:right w:val="none" w:sz="0" w:space="0" w:color="auto"/>
                      </w:divBdr>
                    </w:div>
                    <w:div w:id="294151320">
                      <w:marLeft w:val="0"/>
                      <w:marRight w:val="0"/>
                      <w:marTop w:val="0"/>
                      <w:marBottom w:val="0"/>
                      <w:divBdr>
                        <w:top w:val="none" w:sz="0" w:space="0" w:color="auto"/>
                        <w:left w:val="none" w:sz="0" w:space="0" w:color="auto"/>
                        <w:bottom w:val="none" w:sz="0" w:space="0" w:color="auto"/>
                        <w:right w:val="none" w:sz="0" w:space="0" w:color="auto"/>
                      </w:divBdr>
                    </w:div>
                    <w:div w:id="294151365">
                      <w:marLeft w:val="0"/>
                      <w:marRight w:val="0"/>
                      <w:marTop w:val="0"/>
                      <w:marBottom w:val="0"/>
                      <w:divBdr>
                        <w:top w:val="none" w:sz="0" w:space="0" w:color="auto"/>
                        <w:left w:val="none" w:sz="0" w:space="0" w:color="auto"/>
                        <w:bottom w:val="none" w:sz="0" w:space="0" w:color="auto"/>
                        <w:right w:val="none" w:sz="0" w:space="0" w:color="auto"/>
                      </w:divBdr>
                      <w:divsChild>
                        <w:div w:id="294146563">
                          <w:marLeft w:val="0"/>
                          <w:marRight w:val="0"/>
                          <w:marTop w:val="0"/>
                          <w:marBottom w:val="0"/>
                          <w:divBdr>
                            <w:top w:val="none" w:sz="0" w:space="0" w:color="auto"/>
                            <w:left w:val="none" w:sz="0" w:space="0" w:color="auto"/>
                            <w:bottom w:val="none" w:sz="0" w:space="0" w:color="auto"/>
                            <w:right w:val="none" w:sz="0" w:space="0" w:color="auto"/>
                          </w:divBdr>
                        </w:div>
                      </w:divsChild>
                    </w:div>
                    <w:div w:id="294151370">
                      <w:marLeft w:val="0"/>
                      <w:marRight w:val="0"/>
                      <w:marTop w:val="0"/>
                      <w:marBottom w:val="0"/>
                      <w:divBdr>
                        <w:top w:val="none" w:sz="0" w:space="0" w:color="auto"/>
                        <w:left w:val="none" w:sz="0" w:space="0" w:color="auto"/>
                        <w:bottom w:val="none" w:sz="0" w:space="0" w:color="auto"/>
                        <w:right w:val="none" w:sz="0" w:space="0" w:color="auto"/>
                      </w:divBdr>
                    </w:div>
                    <w:div w:id="294151408">
                      <w:marLeft w:val="0"/>
                      <w:marRight w:val="0"/>
                      <w:marTop w:val="0"/>
                      <w:marBottom w:val="0"/>
                      <w:divBdr>
                        <w:top w:val="none" w:sz="0" w:space="0" w:color="auto"/>
                        <w:left w:val="none" w:sz="0" w:space="0" w:color="auto"/>
                        <w:bottom w:val="none" w:sz="0" w:space="0" w:color="auto"/>
                        <w:right w:val="none" w:sz="0" w:space="0" w:color="auto"/>
                      </w:divBdr>
                    </w:div>
                    <w:div w:id="294151424">
                      <w:marLeft w:val="0"/>
                      <w:marRight w:val="0"/>
                      <w:marTop w:val="0"/>
                      <w:marBottom w:val="0"/>
                      <w:divBdr>
                        <w:top w:val="none" w:sz="0" w:space="0" w:color="auto"/>
                        <w:left w:val="none" w:sz="0" w:space="0" w:color="auto"/>
                        <w:bottom w:val="none" w:sz="0" w:space="0" w:color="auto"/>
                        <w:right w:val="none" w:sz="0" w:space="0" w:color="auto"/>
                      </w:divBdr>
                      <w:divsChild>
                        <w:div w:id="294148488">
                          <w:marLeft w:val="0"/>
                          <w:marRight w:val="0"/>
                          <w:marTop w:val="0"/>
                          <w:marBottom w:val="0"/>
                          <w:divBdr>
                            <w:top w:val="none" w:sz="0" w:space="0" w:color="auto"/>
                            <w:left w:val="none" w:sz="0" w:space="0" w:color="auto"/>
                            <w:bottom w:val="none" w:sz="0" w:space="0" w:color="auto"/>
                            <w:right w:val="none" w:sz="0" w:space="0" w:color="auto"/>
                          </w:divBdr>
                        </w:div>
                      </w:divsChild>
                    </w:div>
                    <w:div w:id="294151483">
                      <w:marLeft w:val="0"/>
                      <w:marRight w:val="0"/>
                      <w:marTop w:val="0"/>
                      <w:marBottom w:val="0"/>
                      <w:divBdr>
                        <w:top w:val="none" w:sz="0" w:space="0" w:color="auto"/>
                        <w:left w:val="none" w:sz="0" w:space="0" w:color="auto"/>
                        <w:bottom w:val="none" w:sz="0" w:space="0" w:color="auto"/>
                        <w:right w:val="none" w:sz="0" w:space="0" w:color="auto"/>
                      </w:divBdr>
                    </w:div>
                    <w:div w:id="294151504">
                      <w:marLeft w:val="0"/>
                      <w:marRight w:val="0"/>
                      <w:marTop w:val="0"/>
                      <w:marBottom w:val="0"/>
                      <w:divBdr>
                        <w:top w:val="none" w:sz="0" w:space="0" w:color="auto"/>
                        <w:left w:val="none" w:sz="0" w:space="0" w:color="auto"/>
                        <w:bottom w:val="none" w:sz="0" w:space="0" w:color="auto"/>
                        <w:right w:val="none" w:sz="0" w:space="0" w:color="auto"/>
                      </w:divBdr>
                    </w:div>
                    <w:div w:id="294151537">
                      <w:marLeft w:val="0"/>
                      <w:marRight w:val="0"/>
                      <w:marTop w:val="0"/>
                      <w:marBottom w:val="0"/>
                      <w:divBdr>
                        <w:top w:val="none" w:sz="0" w:space="0" w:color="auto"/>
                        <w:left w:val="none" w:sz="0" w:space="0" w:color="auto"/>
                        <w:bottom w:val="none" w:sz="0" w:space="0" w:color="auto"/>
                        <w:right w:val="none" w:sz="0" w:space="0" w:color="auto"/>
                      </w:divBdr>
                    </w:div>
                    <w:div w:id="294151566">
                      <w:marLeft w:val="0"/>
                      <w:marRight w:val="0"/>
                      <w:marTop w:val="0"/>
                      <w:marBottom w:val="0"/>
                      <w:divBdr>
                        <w:top w:val="none" w:sz="0" w:space="0" w:color="auto"/>
                        <w:left w:val="none" w:sz="0" w:space="0" w:color="auto"/>
                        <w:bottom w:val="none" w:sz="0" w:space="0" w:color="auto"/>
                        <w:right w:val="none" w:sz="0" w:space="0" w:color="auto"/>
                      </w:divBdr>
                    </w:div>
                    <w:div w:id="294151589">
                      <w:marLeft w:val="0"/>
                      <w:marRight w:val="0"/>
                      <w:marTop w:val="0"/>
                      <w:marBottom w:val="0"/>
                      <w:divBdr>
                        <w:top w:val="none" w:sz="0" w:space="0" w:color="auto"/>
                        <w:left w:val="none" w:sz="0" w:space="0" w:color="auto"/>
                        <w:bottom w:val="none" w:sz="0" w:space="0" w:color="auto"/>
                        <w:right w:val="none" w:sz="0" w:space="0" w:color="auto"/>
                      </w:divBdr>
                      <w:divsChild>
                        <w:div w:id="294147478">
                          <w:marLeft w:val="0"/>
                          <w:marRight w:val="0"/>
                          <w:marTop w:val="0"/>
                          <w:marBottom w:val="0"/>
                          <w:divBdr>
                            <w:top w:val="none" w:sz="0" w:space="0" w:color="auto"/>
                            <w:left w:val="none" w:sz="0" w:space="0" w:color="auto"/>
                            <w:bottom w:val="none" w:sz="0" w:space="0" w:color="auto"/>
                            <w:right w:val="none" w:sz="0" w:space="0" w:color="auto"/>
                          </w:divBdr>
                        </w:div>
                      </w:divsChild>
                    </w:div>
                    <w:div w:id="294151605">
                      <w:marLeft w:val="0"/>
                      <w:marRight w:val="0"/>
                      <w:marTop w:val="0"/>
                      <w:marBottom w:val="0"/>
                      <w:divBdr>
                        <w:top w:val="none" w:sz="0" w:space="0" w:color="auto"/>
                        <w:left w:val="none" w:sz="0" w:space="0" w:color="auto"/>
                        <w:bottom w:val="none" w:sz="0" w:space="0" w:color="auto"/>
                        <w:right w:val="none" w:sz="0" w:space="0" w:color="auto"/>
                      </w:divBdr>
                    </w:div>
                    <w:div w:id="294151630">
                      <w:marLeft w:val="0"/>
                      <w:marRight w:val="0"/>
                      <w:marTop w:val="0"/>
                      <w:marBottom w:val="0"/>
                      <w:divBdr>
                        <w:top w:val="none" w:sz="0" w:space="0" w:color="auto"/>
                        <w:left w:val="none" w:sz="0" w:space="0" w:color="auto"/>
                        <w:bottom w:val="none" w:sz="0" w:space="0" w:color="auto"/>
                        <w:right w:val="none" w:sz="0" w:space="0" w:color="auto"/>
                      </w:divBdr>
                      <w:divsChild>
                        <w:div w:id="294156576">
                          <w:marLeft w:val="0"/>
                          <w:marRight w:val="0"/>
                          <w:marTop w:val="0"/>
                          <w:marBottom w:val="0"/>
                          <w:divBdr>
                            <w:top w:val="none" w:sz="0" w:space="0" w:color="auto"/>
                            <w:left w:val="none" w:sz="0" w:space="0" w:color="auto"/>
                            <w:bottom w:val="none" w:sz="0" w:space="0" w:color="auto"/>
                            <w:right w:val="none" w:sz="0" w:space="0" w:color="auto"/>
                          </w:divBdr>
                        </w:div>
                      </w:divsChild>
                    </w:div>
                    <w:div w:id="294151674">
                      <w:marLeft w:val="0"/>
                      <w:marRight w:val="0"/>
                      <w:marTop w:val="0"/>
                      <w:marBottom w:val="0"/>
                      <w:divBdr>
                        <w:top w:val="none" w:sz="0" w:space="0" w:color="auto"/>
                        <w:left w:val="none" w:sz="0" w:space="0" w:color="auto"/>
                        <w:bottom w:val="none" w:sz="0" w:space="0" w:color="auto"/>
                        <w:right w:val="none" w:sz="0" w:space="0" w:color="auto"/>
                      </w:divBdr>
                      <w:divsChild>
                        <w:div w:id="294144795">
                          <w:marLeft w:val="0"/>
                          <w:marRight w:val="0"/>
                          <w:marTop w:val="0"/>
                          <w:marBottom w:val="0"/>
                          <w:divBdr>
                            <w:top w:val="none" w:sz="0" w:space="0" w:color="auto"/>
                            <w:left w:val="none" w:sz="0" w:space="0" w:color="auto"/>
                            <w:bottom w:val="none" w:sz="0" w:space="0" w:color="auto"/>
                            <w:right w:val="none" w:sz="0" w:space="0" w:color="auto"/>
                          </w:divBdr>
                        </w:div>
                      </w:divsChild>
                    </w:div>
                    <w:div w:id="294151687">
                      <w:marLeft w:val="0"/>
                      <w:marRight w:val="0"/>
                      <w:marTop w:val="0"/>
                      <w:marBottom w:val="0"/>
                      <w:divBdr>
                        <w:top w:val="none" w:sz="0" w:space="0" w:color="auto"/>
                        <w:left w:val="none" w:sz="0" w:space="0" w:color="auto"/>
                        <w:bottom w:val="none" w:sz="0" w:space="0" w:color="auto"/>
                        <w:right w:val="none" w:sz="0" w:space="0" w:color="auto"/>
                      </w:divBdr>
                      <w:divsChild>
                        <w:div w:id="294150731">
                          <w:marLeft w:val="0"/>
                          <w:marRight w:val="0"/>
                          <w:marTop w:val="0"/>
                          <w:marBottom w:val="0"/>
                          <w:divBdr>
                            <w:top w:val="none" w:sz="0" w:space="0" w:color="auto"/>
                            <w:left w:val="none" w:sz="0" w:space="0" w:color="auto"/>
                            <w:bottom w:val="none" w:sz="0" w:space="0" w:color="auto"/>
                            <w:right w:val="none" w:sz="0" w:space="0" w:color="auto"/>
                          </w:divBdr>
                        </w:div>
                      </w:divsChild>
                    </w:div>
                    <w:div w:id="294151691">
                      <w:marLeft w:val="0"/>
                      <w:marRight w:val="0"/>
                      <w:marTop w:val="0"/>
                      <w:marBottom w:val="0"/>
                      <w:divBdr>
                        <w:top w:val="none" w:sz="0" w:space="0" w:color="auto"/>
                        <w:left w:val="none" w:sz="0" w:space="0" w:color="auto"/>
                        <w:bottom w:val="none" w:sz="0" w:space="0" w:color="auto"/>
                        <w:right w:val="none" w:sz="0" w:space="0" w:color="auto"/>
                      </w:divBdr>
                      <w:divsChild>
                        <w:div w:id="294155166">
                          <w:marLeft w:val="0"/>
                          <w:marRight w:val="0"/>
                          <w:marTop w:val="0"/>
                          <w:marBottom w:val="0"/>
                          <w:divBdr>
                            <w:top w:val="none" w:sz="0" w:space="0" w:color="auto"/>
                            <w:left w:val="none" w:sz="0" w:space="0" w:color="auto"/>
                            <w:bottom w:val="none" w:sz="0" w:space="0" w:color="auto"/>
                            <w:right w:val="none" w:sz="0" w:space="0" w:color="auto"/>
                          </w:divBdr>
                        </w:div>
                      </w:divsChild>
                    </w:div>
                    <w:div w:id="294151697">
                      <w:marLeft w:val="0"/>
                      <w:marRight w:val="0"/>
                      <w:marTop w:val="0"/>
                      <w:marBottom w:val="0"/>
                      <w:divBdr>
                        <w:top w:val="none" w:sz="0" w:space="0" w:color="auto"/>
                        <w:left w:val="none" w:sz="0" w:space="0" w:color="auto"/>
                        <w:bottom w:val="none" w:sz="0" w:space="0" w:color="auto"/>
                        <w:right w:val="none" w:sz="0" w:space="0" w:color="auto"/>
                      </w:divBdr>
                      <w:divsChild>
                        <w:div w:id="294145776">
                          <w:marLeft w:val="0"/>
                          <w:marRight w:val="0"/>
                          <w:marTop w:val="0"/>
                          <w:marBottom w:val="0"/>
                          <w:divBdr>
                            <w:top w:val="none" w:sz="0" w:space="0" w:color="auto"/>
                            <w:left w:val="none" w:sz="0" w:space="0" w:color="auto"/>
                            <w:bottom w:val="none" w:sz="0" w:space="0" w:color="auto"/>
                            <w:right w:val="none" w:sz="0" w:space="0" w:color="auto"/>
                          </w:divBdr>
                        </w:div>
                      </w:divsChild>
                    </w:div>
                    <w:div w:id="294151698">
                      <w:marLeft w:val="0"/>
                      <w:marRight w:val="0"/>
                      <w:marTop w:val="0"/>
                      <w:marBottom w:val="0"/>
                      <w:divBdr>
                        <w:top w:val="none" w:sz="0" w:space="0" w:color="auto"/>
                        <w:left w:val="none" w:sz="0" w:space="0" w:color="auto"/>
                        <w:bottom w:val="none" w:sz="0" w:space="0" w:color="auto"/>
                        <w:right w:val="none" w:sz="0" w:space="0" w:color="auto"/>
                      </w:divBdr>
                    </w:div>
                    <w:div w:id="294151699">
                      <w:marLeft w:val="0"/>
                      <w:marRight w:val="0"/>
                      <w:marTop w:val="0"/>
                      <w:marBottom w:val="0"/>
                      <w:divBdr>
                        <w:top w:val="none" w:sz="0" w:space="0" w:color="auto"/>
                        <w:left w:val="none" w:sz="0" w:space="0" w:color="auto"/>
                        <w:bottom w:val="none" w:sz="0" w:space="0" w:color="auto"/>
                        <w:right w:val="none" w:sz="0" w:space="0" w:color="auto"/>
                      </w:divBdr>
                      <w:divsChild>
                        <w:div w:id="294146937">
                          <w:marLeft w:val="0"/>
                          <w:marRight w:val="0"/>
                          <w:marTop w:val="0"/>
                          <w:marBottom w:val="0"/>
                          <w:divBdr>
                            <w:top w:val="none" w:sz="0" w:space="0" w:color="auto"/>
                            <w:left w:val="none" w:sz="0" w:space="0" w:color="auto"/>
                            <w:bottom w:val="none" w:sz="0" w:space="0" w:color="auto"/>
                            <w:right w:val="none" w:sz="0" w:space="0" w:color="auto"/>
                          </w:divBdr>
                        </w:div>
                      </w:divsChild>
                    </w:div>
                    <w:div w:id="294151708">
                      <w:marLeft w:val="0"/>
                      <w:marRight w:val="0"/>
                      <w:marTop w:val="0"/>
                      <w:marBottom w:val="0"/>
                      <w:divBdr>
                        <w:top w:val="none" w:sz="0" w:space="0" w:color="auto"/>
                        <w:left w:val="none" w:sz="0" w:space="0" w:color="auto"/>
                        <w:bottom w:val="none" w:sz="0" w:space="0" w:color="auto"/>
                        <w:right w:val="none" w:sz="0" w:space="0" w:color="auto"/>
                      </w:divBdr>
                    </w:div>
                    <w:div w:id="294151762">
                      <w:marLeft w:val="0"/>
                      <w:marRight w:val="0"/>
                      <w:marTop w:val="0"/>
                      <w:marBottom w:val="0"/>
                      <w:divBdr>
                        <w:top w:val="none" w:sz="0" w:space="0" w:color="auto"/>
                        <w:left w:val="none" w:sz="0" w:space="0" w:color="auto"/>
                        <w:bottom w:val="none" w:sz="0" w:space="0" w:color="auto"/>
                        <w:right w:val="none" w:sz="0" w:space="0" w:color="auto"/>
                      </w:divBdr>
                      <w:divsChild>
                        <w:div w:id="294147283">
                          <w:marLeft w:val="0"/>
                          <w:marRight w:val="0"/>
                          <w:marTop w:val="0"/>
                          <w:marBottom w:val="0"/>
                          <w:divBdr>
                            <w:top w:val="none" w:sz="0" w:space="0" w:color="auto"/>
                            <w:left w:val="none" w:sz="0" w:space="0" w:color="auto"/>
                            <w:bottom w:val="none" w:sz="0" w:space="0" w:color="auto"/>
                            <w:right w:val="none" w:sz="0" w:space="0" w:color="auto"/>
                          </w:divBdr>
                        </w:div>
                      </w:divsChild>
                    </w:div>
                    <w:div w:id="294151779">
                      <w:marLeft w:val="0"/>
                      <w:marRight w:val="0"/>
                      <w:marTop w:val="0"/>
                      <w:marBottom w:val="0"/>
                      <w:divBdr>
                        <w:top w:val="none" w:sz="0" w:space="0" w:color="auto"/>
                        <w:left w:val="none" w:sz="0" w:space="0" w:color="auto"/>
                        <w:bottom w:val="none" w:sz="0" w:space="0" w:color="auto"/>
                        <w:right w:val="none" w:sz="0" w:space="0" w:color="auto"/>
                      </w:divBdr>
                    </w:div>
                    <w:div w:id="294151867">
                      <w:marLeft w:val="0"/>
                      <w:marRight w:val="0"/>
                      <w:marTop w:val="0"/>
                      <w:marBottom w:val="0"/>
                      <w:divBdr>
                        <w:top w:val="none" w:sz="0" w:space="0" w:color="auto"/>
                        <w:left w:val="none" w:sz="0" w:space="0" w:color="auto"/>
                        <w:bottom w:val="none" w:sz="0" w:space="0" w:color="auto"/>
                        <w:right w:val="none" w:sz="0" w:space="0" w:color="auto"/>
                      </w:divBdr>
                      <w:divsChild>
                        <w:div w:id="294148648">
                          <w:marLeft w:val="0"/>
                          <w:marRight w:val="0"/>
                          <w:marTop w:val="0"/>
                          <w:marBottom w:val="0"/>
                          <w:divBdr>
                            <w:top w:val="none" w:sz="0" w:space="0" w:color="auto"/>
                            <w:left w:val="none" w:sz="0" w:space="0" w:color="auto"/>
                            <w:bottom w:val="none" w:sz="0" w:space="0" w:color="auto"/>
                            <w:right w:val="none" w:sz="0" w:space="0" w:color="auto"/>
                          </w:divBdr>
                        </w:div>
                      </w:divsChild>
                    </w:div>
                    <w:div w:id="294151899">
                      <w:marLeft w:val="0"/>
                      <w:marRight w:val="0"/>
                      <w:marTop w:val="0"/>
                      <w:marBottom w:val="0"/>
                      <w:divBdr>
                        <w:top w:val="none" w:sz="0" w:space="0" w:color="auto"/>
                        <w:left w:val="none" w:sz="0" w:space="0" w:color="auto"/>
                        <w:bottom w:val="none" w:sz="0" w:space="0" w:color="auto"/>
                        <w:right w:val="none" w:sz="0" w:space="0" w:color="auto"/>
                      </w:divBdr>
                      <w:divsChild>
                        <w:div w:id="294156830">
                          <w:marLeft w:val="0"/>
                          <w:marRight w:val="0"/>
                          <w:marTop w:val="0"/>
                          <w:marBottom w:val="0"/>
                          <w:divBdr>
                            <w:top w:val="none" w:sz="0" w:space="0" w:color="auto"/>
                            <w:left w:val="none" w:sz="0" w:space="0" w:color="auto"/>
                            <w:bottom w:val="none" w:sz="0" w:space="0" w:color="auto"/>
                            <w:right w:val="none" w:sz="0" w:space="0" w:color="auto"/>
                          </w:divBdr>
                        </w:div>
                      </w:divsChild>
                    </w:div>
                    <w:div w:id="294151905">
                      <w:marLeft w:val="0"/>
                      <w:marRight w:val="0"/>
                      <w:marTop w:val="0"/>
                      <w:marBottom w:val="0"/>
                      <w:divBdr>
                        <w:top w:val="none" w:sz="0" w:space="0" w:color="auto"/>
                        <w:left w:val="none" w:sz="0" w:space="0" w:color="auto"/>
                        <w:bottom w:val="none" w:sz="0" w:space="0" w:color="auto"/>
                        <w:right w:val="none" w:sz="0" w:space="0" w:color="auto"/>
                      </w:divBdr>
                      <w:divsChild>
                        <w:div w:id="294139034">
                          <w:marLeft w:val="0"/>
                          <w:marRight w:val="0"/>
                          <w:marTop w:val="0"/>
                          <w:marBottom w:val="0"/>
                          <w:divBdr>
                            <w:top w:val="none" w:sz="0" w:space="0" w:color="auto"/>
                            <w:left w:val="none" w:sz="0" w:space="0" w:color="auto"/>
                            <w:bottom w:val="none" w:sz="0" w:space="0" w:color="auto"/>
                            <w:right w:val="none" w:sz="0" w:space="0" w:color="auto"/>
                          </w:divBdr>
                        </w:div>
                      </w:divsChild>
                    </w:div>
                    <w:div w:id="294151924">
                      <w:marLeft w:val="0"/>
                      <w:marRight w:val="0"/>
                      <w:marTop w:val="0"/>
                      <w:marBottom w:val="0"/>
                      <w:divBdr>
                        <w:top w:val="none" w:sz="0" w:space="0" w:color="auto"/>
                        <w:left w:val="none" w:sz="0" w:space="0" w:color="auto"/>
                        <w:bottom w:val="none" w:sz="0" w:space="0" w:color="auto"/>
                        <w:right w:val="none" w:sz="0" w:space="0" w:color="auto"/>
                      </w:divBdr>
                      <w:divsChild>
                        <w:div w:id="294155808">
                          <w:marLeft w:val="0"/>
                          <w:marRight w:val="0"/>
                          <w:marTop w:val="0"/>
                          <w:marBottom w:val="0"/>
                          <w:divBdr>
                            <w:top w:val="none" w:sz="0" w:space="0" w:color="auto"/>
                            <w:left w:val="none" w:sz="0" w:space="0" w:color="auto"/>
                            <w:bottom w:val="none" w:sz="0" w:space="0" w:color="auto"/>
                            <w:right w:val="none" w:sz="0" w:space="0" w:color="auto"/>
                          </w:divBdr>
                        </w:div>
                      </w:divsChild>
                    </w:div>
                    <w:div w:id="294151932">
                      <w:marLeft w:val="0"/>
                      <w:marRight w:val="0"/>
                      <w:marTop w:val="0"/>
                      <w:marBottom w:val="0"/>
                      <w:divBdr>
                        <w:top w:val="none" w:sz="0" w:space="0" w:color="auto"/>
                        <w:left w:val="none" w:sz="0" w:space="0" w:color="auto"/>
                        <w:bottom w:val="none" w:sz="0" w:space="0" w:color="auto"/>
                        <w:right w:val="none" w:sz="0" w:space="0" w:color="auto"/>
                      </w:divBdr>
                    </w:div>
                    <w:div w:id="294151943">
                      <w:marLeft w:val="0"/>
                      <w:marRight w:val="0"/>
                      <w:marTop w:val="0"/>
                      <w:marBottom w:val="0"/>
                      <w:divBdr>
                        <w:top w:val="none" w:sz="0" w:space="0" w:color="auto"/>
                        <w:left w:val="none" w:sz="0" w:space="0" w:color="auto"/>
                        <w:bottom w:val="none" w:sz="0" w:space="0" w:color="auto"/>
                        <w:right w:val="none" w:sz="0" w:space="0" w:color="auto"/>
                      </w:divBdr>
                    </w:div>
                    <w:div w:id="294151961">
                      <w:marLeft w:val="0"/>
                      <w:marRight w:val="0"/>
                      <w:marTop w:val="0"/>
                      <w:marBottom w:val="0"/>
                      <w:divBdr>
                        <w:top w:val="none" w:sz="0" w:space="0" w:color="auto"/>
                        <w:left w:val="none" w:sz="0" w:space="0" w:color="auto"/>
                        <w:bottom w:val="none" w:sz="0" w:space="0" w:color="auto"/>
                        <w:right w:val="none" w:sz="0" w:space="0" w:color="auto"/>
                      </w:divBdr>
                      <w:divsChild>
                        <w:div w:id="294142428">
                          <w:marLeft w:val="0"/>
                          <w:marRight w:val="0"/>
                          <w:marTop w:val="0"/>
                          <w:marBottom w:val="0"/>
                          <w:divBdr>
                            <w:top w:val="none" w:sz="0" w:space="0" w:color="auto"/>
                            <w:left w:val="none" w:sz="0" w:space="0" w:color="auto"/>
                            <w:bottom w:val="none" w:sz="0" w:space="0" w:color="auto"/>
                            <w:right w:val="none" w:sz="0" w:space="0" w:color="auto"/>
                          </w:divBdr>
                        </w:div>
                      </w:divsChild>
                    </w:div>
                    <w:div w:id="294151971">
                      <w:marLeft w:val="0"/>
                      <w:marRight w:val="0"/>
                      <w:marTop w:val="0"/>
                      <w:marBottom w:val="0"/>
                      <w:divBdr>
                        <w:top w:val="none" w:sz="0" w:space="0" w:color="auto"/>
                        <w:left w:val="none" w:sz="0" w:space="0" w:color="auto"/>
                        <w:bottom w:val="none" w:sz="0" w:space="0" w:color="auto"/>
                        <w:right w:val="none" w:sz="0" w:space="0" w:color="auto"/>
                      </w:divBdr>
                    </w:div>
                    <w:div w:id="294151977">
                      <w:marLeft w:val="0"/>
                      <w:marRight w:val="0"/>
                      <w:marTop w:val="0"/>
                      <w:marBottom w:val="0"/>
                      <w:divBdr>
                        <w:top w:val="none" w:sz="0" w:space="0" w:color="auto"/>
                        <w:left w:val="none" w:sz="0" w:space="0" w:color="auto"/>
                        <w:bottom w:val="none" w:sz="0" w:space="0" w:color="auto"/>
                        <w:right w:val="none" w:sz="0" w:space="0" w:color="auto"/>
                      </w:divBdr>
                    </w:div>
                    <w:div w:id="294151979">
                      <w:marLeft w:val="0"/>
                      <w:marRight w:val="0"/>
                      <w:marTop w:val="0"/>
                      <w:marBottom w:val="0"/>
                      <w:divBdr>
                        <w:top w:val="none" w:sz="0" w:space="0" w:color="auto"/>
                        <w:left w:val="none" w:sz="0" w:space="0" w:color="auto"/>
                        <w:bottom w:val="none" w:sz="0" w:space="0" w:color="auto"/>
                        <w:right w:val="none" w:sz="0" w:space="0" w:color="auto"/>
                      </w:divBdr>
                      <w:divsChild>
                        <w:div w:id="294143541">
                          <w:marLeft w:val="0"/>
                          <w:marRight w:val="0"/>
                          <w:marTop w:val="0"/>
                          <w:marBottom w:val="0"/>
                          <w:divBdr>
                            <w:top w:val="none" w:sz="0" w:space="0" w:color="auto"/>
                            <w:left w:val="none" w:sz="0" w:space="0" w:color="auto"/>
                            <w:bottom w:val="none" w:sz="0" w:space="0" w:color="auto"/>
                            <w:right w:val="none" w:sz="0" w:space="0" w:color="auto"/>
                          </w:divBdr>
                        </w:div>
                      </w:divsChild>
                    </w:div>
                    <w:div w:id="294152037">
                      <w:marLeft w:val="0"/>
                      <w:marRight w:val="0"/>
                      <w:marTop w:val="0"/>
                      <w:marBottom w:val="0"/>
                      <w:divBdr>
                        <w:top w:val="none" w:sz="0" w:space="0" w:color="auto"/>
                        <w:left w:val="none" w:sz="0" w:space="0" w:color="auto"/>
                        <w:bottom w:val="none" w:sz="0" w:space="0" w:color="auto"/>
                        <w:right w:val="none" w:sz="0" w:space="0" w:color="auto"/>
                      </w:divBdr>
                    </w:div>
                    <w:div w:id="294152076">
                      <w:marLeft w:val="0"/>
                      <w:marRight w:val="0"/>
                      <w:marTop w:val="0"/>
                      <w:marBottom w:val="0"/>
                      <w:divBdr>
                        <w:top w:val="none" w:sz="0" w:space="0" w:color="auto"/>
                        <w:left w:val="none" w:sz="0" w:space="0" w:color="auto"/>
                        <w:bottom w:val="none" w:sz="0" w:space="0" w:color="auto"/>
                        <w:right w:val="none" w:sz="0" w:space="0" w:color="auto"/>
                      </w:divBdr>
                    </w:div>
                    <w:div w:id="294152124">
                      <w:marLeft w:val="0"/>
                      <w:marRight w:val="0"/>
                      <w:marTop w:val="0"/>
                      <w:marBottom w:val="0"/>
                      <w:divBdr>
                        <w:top w:val="none" w:sz="0" w:space="0" w:color="auto"/>
                        <w:left w:val="none" w:sz="0" w:space="0" w:color="auto"/>
                        <w:bottom w:val="none" w:sz="0" w:space="0" w:color="auto"/>
                        <w:right w:val="none" w:sz="0" w:space="0" w:color="auto"/>
                      </w:divBdr>
                      <w:divsChild>
                        <w:div w:id="294153888">
                          <w:marLeft w:val="0"/>
                          <w:marRight w:val="0"/>
                          <w:marTop w:val="0"/>
                          <w:marBottom w:val="0"/>
                          <w:divBdr>
                            <w:top w:val="none" w:sz="0" w:space="0" w:color="auto"/>
                            <w:left w:val="none" w:sz="0" w:space="0" w:color="auto"/>
                            <w:bottom w:val="none" w:sz="0" w:space="0" w:color="auto"/>
                            <w:right w:val="none" w:sz="0" w:space="0" w:color="auto"/>
                          </w:divBdr>
                        </w:div>
                      </w:divsChild>
                    </w:div>
                    <w:div w:id="294152141">
                      <w:marLeft w:val="0"/>
                      <w:marRight w:val="0"/>
                      <w:marTop w:val="0"/>
                      <w:marBottom w:val="0"/>
                      <w:divBdr>
                        <w:top w:val="none" w:sz="0" w:space="0" w:color="auto"/>
                        <w:left w:val="none" w:sz="0" w:space="0" w:color="auto"/>
                        <w:bottom w:val="none" w:sz="0" w:space="0" w:color="auto"/>
                        <w:right w:val="none" w:sz="0" w:space="0" w:color="auto"/>
                      </w:divBdr>
                    </w:div>
                    <w:div w:id="294152145">
                      <w:marLeft w:val="0"/>
                      <w:marRight w:val="0"/>
                      <w:marTop w:val="0"/>
                      <w:marBottom w:val="0"/>
                      <w:divBdr>
                        <w:top w:val="none" w:sz="0" w:space="0" w:color="auto"/>
                        <w:left w:val="none" w:sz="0" w:space="0" w:color="auto"/>
                        <w:bottom w:val="none" w:sz="0" w:space="0" w:color="auto"/>
                        <w:right w:val="none" w:sz="0" w:space="0" w:color="auto"/>
                      </w:divBdr>
                    </w:div>
                    <w:div w:id="294152147">
                      <w:marLeft w:val="0"/>
                      <w:marRight w:val="0"/>
                      <w:marTop w:val="0"/>
                      <w:marBottom w:val="0"/>
                      <w:divBdr>
                        <w:top w:val="none" w:sz="0" w:space="0" w:color="auto"/>
                        <w:left w:val="none" w:sz="0" w:space="0" w:color="auto"/>
                        <w:bottom w:val="none" w:sz="0" w:space="0" w:color="auto"/>
                        <w:right w:val="none" w:sz="0" w:space="0" w:color="auto"/>
                      </w:divBdr>
                      <w:divsChild>
                        <w:div w:id="294140253">
                          <w:marLeft w:val="0"/>
                          <w:marRight w:val="0"/>
                          <w:marTop w:val="0"/>
                          <w:marBottom w:val="0"/>
                          <w:divBdr>
                            <w:top w:val="none" w:sz="0" w:space="0" w:color="auto"/>
                            <w:left w:val="none" w:sz="0" w:space="0" w:color="auto"/>
                            <w:bottom w:val="none" w:sz="0" w:space="0" w:color="auto"/>
                            <w:right w:val="none" w:sz="0" w:space="0" w:color="auto"/>
                          </w:divBdr>
                        </w:div>
                      </w:divsChild>
                    </w:div>
                    <w:div w:id="294152158">
                      <w:marLeft w:val="0"/>
                      <w:marRight w:val="0"/>
                      <w:marTop w:val="0"/>
                      <w:marBottom w:val="0"/>
                      <w:divBdr>
                        <w:top w:val="none" w:sz="0" w:space="0" w:color="auto"/>
                        <w:left w:val="none" w:sz="0" w:space="0" w:color="auto"/>
                        <w:bottom w:val="none" w:sz="0" w:space="0" w:color="auto"/>
                        <w:right w:val="none" w:sz="0" w:space="0" w:color="auto"/>
                      </w:divBdr>
                      <w:divsChild>
                        <w:div w:id="294143555">
                          <w:marLeft w:val="0"/>
                          <w:marRight w:val="0"/>
                          <w:marTop w:val="0"/>
                          <w:marBottom w:val="0"/>
                          <w:divBdr>
                            <w:top w:val="none" w:sz="0" w:space="0" w:color="auto"/>
                            <w:left w:val="none" w:sz="0" w:space="0" w:color="auto"/>
                            <w:bottom w:val="none" w:sz="0" w:space="0" w:color="auto"/>
                            <w:right w:val="none" w:sz="0" w:space="0" w:color="auto"/>
                          </w:divBdr>
                        </w:div>
                      </w:divsChild>
                    </w:div>
                    <w:div w:id="294152161">
                      <w:marLeft w:val="0"/>
                      <w:marRight w:val="0"/>
                      <w:marTop w:val="0"/>
                      <w:marBottom w:val="0"/>
                      <w:divBdr>
                        <w:top w:val="none" w:sz="0" w:space="0" w:color="auto"/>
                        <w:left w:val="none" w:sz="0" w:space="0" w:color="auto"/>
                        <w:bottom w:val="none" w:sz="0" w:space="0" w:color="auto"/>
                        <w:right w:val="none" w:sz="0" w:space="0" w:color="auto"/>
                      </w:divBdr>
                    </w:div>
                    <w:div w:id="294152177">
                      <w:marLeft w:val="0"/>
                      <w:marRight w:val="0"/>
                      <w:marTop w:val="0"/>
                      <w:marBottom w:val="0"/>
                      <w:divBdr>
                        <w:top w:val="none" w:sz="0" w:space="0" w:color="auto"/>
                        <w:left w:val="none" w:sz="0" w:space="0" w:color="auto"/>
                        <w:bottom w:val="none" w:sz="0" w:space="0" w:color="auto"/>
                        <w:right w:val="none" w:sz="0" w:space="0" w:color="auto"/>
                      </w:divBdr>
                    </w:div>
                    <w:div w:id="294152221">
                      <w:marLeft w:val="0"/>
                      <w:marRight w:val="0"/>
                      <w:marTop w:val="0"/>
                      <w:marBottom w:val="0"/>
                      <w:divBdr>
                        <w:top w:val="none" w:sz="0" w:space="0" w:color="auto"/>
                        <w:left w:val="none" w:sz="0" w:space="0" w:color="auto"/>
                        <w:bottom w:val="none" w:sz="0" w:space="0" w:color="auto"/>
                        <w:right w:val="none" w:sz="0" w:space="0" w:color="auto"/>
                      </w:divBdr>
                    </w:div>
                    <w:div w:id="294152240">
                      <w:marLeft w:val="0"/>
                      <w:marRight w:val="0"/>
                      <w:marTop w:val="0"/>
                      <w:marBottom w:val="0"/>
                      <w:divBdr>
                        <w:top w:val="none" w:sz="0" w:space="0" w:color="auto"/>
                        <w:left w:val="none" w:sz="0" w:space="0" w:color="auto"/>
                        <w:bottom w:val="none" w:sz="0" w:space="0" w:color="auto"/>
                        <w:right w:val="none" w:sz="0" w:space="0" w:color="auto"/>
                      </w:divBdr>
                    </w:div>
                    <w:div w:id="294152244">
                      <w:marLeft w:val="0"/>
                      <w:marRight w:val="0"/>
                      <w:marTop w:val="0"/>
                      <w:marBottom w:val="0"/>
                      <w:divBdr>
                        <w:top w:val="none" w:sz="0" w:space="0" w:color="auto"/>
                        <w:left w:val="none" w:sz="0" w:space="0" w:color="auto"/>
                        <w:bottom w:val="none" w:sz="0" w:space="0" w:color="auto"/>
                        <w:right w:val="none" w:sz="0" w:space="0" w:color="auto"/>
                      </w:divBdr>
                    </w:div>
                    <w:div w:id="294152247">
                      <w:marLeft w:val="0"/>
                      <w:marRight w:val="0"/>
                      <w:marTop w:val="0"/>
                      <w:marBottom w:val="0"/>
                      <w:divBdr>
                        <w:top w:val="none" w:sz="0" w:space="0" w:color="auto"/>
                        <w:left w:val="none" w:sz="0" w:space="0" w:color="auto"/>
                        <w:bottom w:val="none" w:sz="0" w:space="0" w:color="auto"/>
                        <w:right w:val="none" w:sz="0" w:space="0" w:color="auto"/>
                      </w:divBdr>
                      <w:divsChild>
                        <w:div w:id="294139089">
                          <w:marLeft w:val="0"/>
                          <w:marRight w:val="0"/>
                          <w:marTop w:val="0"/>
                          <w:marBottom w:val="0"/>
                          <w:divBdr>
                            <w:top w:val="none" w:sz="0" w:space="0" w:color="auto"/>
                            <w:left w:val="none" w:sz="0" w:space="0" w:color="auto"/>
                            <w:bottom w:val="none" w:sz="0" w:space="0" w:color="auto"/>
                            <w:right w:val="none" w:sz="0" w:space="0" w:color="auto"/>
                          </w:divBdr>
                        </w:div>
                      </w:divsChild>
                    </w:div>
                    <w:div w:id="294152258">
                      <w:marLeft w:val="0"/>
                      <w:marRight w:val="0"/>
                      <w:marTop w:val="0"/>
                      <w:marBottom w:val="0"/>
                      <w:divBdr>
                        <w:top w:val="none" w:sz="0" w:space="0" w:color="auto"/>
                        <w:left w:val="none" w:sz="0" w:space="0" w:color="auto"/>
                        <w:bottom w:val="none" w:sz="0" w:space="0" w:color="auto"/>
                        <w:right w:val="none" w:sz="0" w:space="0" w:color="auto"/>
                      </w:divBdr>
                    </w:div>
                    <w:div w:id="294152268">
                      <w:marLeft w:val="0"/>
                      <w:marRight w:val="0"/>
                      <w:marTop w:val="0"/>
                      <w:marBottom w:val="0"/>
                      <w:divBdr>
                        <w:top w:val="none" w:sz="0" w:space="0" w:color="auto"/>
                        <w:left w:val="none" w:sz="0" w:space="0" w:color="auto"/>
                        <w:bottom w:val="none" w:sz="0" w:space="0" w:color="auto"/>
                        <w:right w:val="none" w:sz="0" w:space="0" w:color="auto"/>
                      </w:divBdr>
                      <w:divsChild>
                        <w:div w:id="294154154">
                          <w:marLeft w:val="0"/>
                          <w:marRight w:val="0"/>
                          <w:marTop w:val="0"/>
                          <w:marBottom w:val="0"/>
                          <w:divBdr>
                            <w:top w:val="none" w:sz="0" w:space="0" w:color="auto"/>
                            <w:left w:val="none" w:sz="0" w:space="0" w:color="auto"/>
                            <w:bottom w:val="none" w:sz="0" w:space="0" w:color="auto"/>
                            <w:right w:val="none" w:sz="0" w:space="0" w:color="auto"/>
                          </w:divBdr>
                        </w:div>
                      </w:divsChild>
                    </w:div>
                    <w:div w:id="294152289">
                      <w:marLeft w:val="0"/>
                      <w:marRight w:val="0"/>
                      <w:marTop w:val="0"/>
                      <w:marBottom w:val="0"/>
                      <w:divBdr>
                        <w:top w:val="none" w:sz="0" w:space="0" w:color="auto"/>
                        <w:left w:val="none" w:sz="0" w:space="0" w:color="auto"/>
                        <w:bottom w:val="none" w:sz="0" w:space="0" w:color="auto"/>
                        <w:right w:val="none" w:sz="0" w:space="0" w:color="auto"/>
                      </w:divBdr>
                    </w:div>
                    <w:div w:id="294152292">
                      <w:marLeft w:val="0"/>
                      <w:marRight w:val="0"/>
                      <w:marTop w:val="0"/>
                      <w:marBottom w:val="0"/>
                      <w:divBdr>
                        <w:top w:val="none" w:sz="0" w:space="0" w:color="auto"/>
                        <w:left w:val="none" w:sz="0" w:space="0" w:color="auto"/>
                        <w:bottom w:val="none" w:sz="0" w:space="0" w:color="auto"/>
                        <w:right w:val="none" w:sz="0" w:space="0" w:color="auto"/>
                      </w:divBdr>
                    </w:div>
                    <w:div w:id="294152293">
                      <w:marLeft w:val="0"/>
                      <w:marRight w:val="0"/>
                      <w:marTop w:val="0"/>
                      <w:marBottom w:val="0"/>
                      <w:divBdr>
                        <w:top w:val="none" w:sz="0" w:space="0" w:color="auto"/>
                        <w:left w:val="none" w:sz="0" w:space="0" w:color="auto"/>
                        <w:bottom w:val="none" w:sz="0" w:space="0" w:color="auto"/>
                        <w:right w:val="none" w:sz="0" w:space="0" w:color="auto"/>
                      </w:divBdr>
                      <w:divsChild>
                        <w:div w:id="294143456">
                          <w:marLeft w:val="0"/>
                          <w:marRight w:val="0"/>
                          <w:marTop w:val="0"/>
                          <w:marBottom w:val="0"/>
                          <w:divBdr>
                            <w:top w:val="none" w:sz="0" w:space="0" w:color="auto"/>
                            <w:left w:val="none" w:sz="0" w:space="0" w:color="auto"/>
                            <w:bottom w:val="none" w:sz="0" w:space="0" w:color="auto"/>
                            <w:right w:val="none" w:sz="0" w:space="0" w:color="auto"/>
                          </w:divBdr>
                        </w:div>
                      </w:divsChild>
                    </w:div>
                    <w:div w:id="294152310">
                      <w:marLeft w:val="0"/>
                      <w:marRight w:val="0"/>
                      <w:marTop w:val="0"/>
                      <w:marBottom w:val="0"/>
                      <w:divBdr>
                        <w:top w:val="none" w:sz="0" w:space="0" w:color="auto"/>
                        <w:left w:val="none" w:sz="0" w:space="0" w:color="auto"/>
                        <w:bottom w:val="none" w:sz="0" w:space="0" w:color="auto"/>
                        <w:right w:val="none" w:sz="0" w:space="0" w:color="auto"/>
                      </w:divBdr>
                      <w:divsChild>
                        <w:div w:id="294152979">
                          <w:marLeft w:val="0"/>
                          <w:marRight w:val="0"/>
                          <w:marTop w:val="0"/>
                          <w:marBottom w:val="0"/>
                          <w:divBdr>
                            <w:top w:val="none" w:sz="0" w:space="0" w:color="auto"/>
                            <w:left w:val="none" w:sz="0" w:space="0" w:color="auto"/>
                            <w:bottom w:val="none" w:sz="0" w:space="0" w:color="auto"/>
                            <w:right w:val="none" w:sz="0" w:space="0" w:color="auto"/>
                          </w:divBdr>
                        </w:div>
                      </w:divsChild>
                    </w:div>
                    <w:div w:id="294152398">
                      <w:marLeft w:val="0"/>
                      <w:marRight w:val="0"/>
                      <w:marTop w:val="0"/>
                      <w:marBottom w:val="0"/>
                      <w:divBdr>
                        <w:top w:val="none" w:sz="0" w:space="0" w:color="auto"/>
                        <w:left w:val="none" w:sz="0" w:space="0" w:color="auto"/>
                        <w:bottom w:val="none" w:sz="0" w:space="0" w:color="auto"/>
                        <w:right w:val="none" w:sz="0" w:space="0" w:color="auto"/>
                      </w:divBdr>
                    </w:div>
                    <w:div w:id="294152489">
                      <w:marLeft w:val="0"/>
                      <w:marRight w:val="0"/>
                      <w:marTop w:val="0"/>
                      <w:marBottom w:val="0"/>
                      <w:divBdr>
                        <w:top w:val="none" w:sz="0" w:space="0" w:color="auto"/>
                        <w:left w:val="none" w:sz="0" w:space="0" w:color="auto"/>
                        <w:bottom w:val="none" w:sz="0" w:space="0" w:color="auto"/>
                        <w:right w:val="none" w:sz="0" w:space="0" w:color="auto"/>
                      </w:divBdr>
                    </w:div>
                    <w:div w:id="294152491">
                      <w:marLeft w:val="0"/>
                      <w:marRight w:val="0"/>
                      <w:marTop w:val="0"/>
                      <w:marBottom w:val="0"/>
                      <w:divBdr>
                        <w:top w:val="none" w:sz="0" w:space="0" w:color="auto"/>
                        <w:left w:val="none" w:sz="0" w:space="0" w:color="auto"/>
                        <w:bottom w:val="none" w:sz="0" w:space="0" w:color="auto"/>
                        <w:right w:val="none" w:sz="0" w:space="0" w:color="auto"/>
                      </w:divBdr>
                    </w:div>
                    <w:div w:id="294152493">
                      <w:marLeft w:val="0"/>
                      <w:marRight w:val="0"/>
                      <w:marTop w:val="0"/>
                      <w:marBottom w:val="0"/>
                      <w:divBdr>
                        <w:top w:val="none" w:sz="0" w:space="0" w:color="auto"/>
                        <w:left w:val="none" w:sz="0" w:space="0" w:color="auto"/>
                        <w:bottom w:val="none" w:sz="0" w:space="0" w:color="auto"/>
                        <w:right w:val="none" w:sz="0" w:space="0" w:color="auto"/>
                      </w:divBdr>
                      <w:divsChild>
                        <w:div w:id="294149405">
                          <w:marLeft w:val="0"/>
                          <w:marRight w:val="0"/>
                          <w:marTop w:val="0"/>
                          <w:marBottom w:val="0"/>
                          <w:divBdr>
                            <w:top w:val="none" w:sz="0" w:space="0" w:color="auto"/>
                            <w:left w:val="none" w:sz="0" w:space="0" w:color="auto"/>
                            <w:bottom w:val="none" w:sz="0" w:space="0" w:color="auto"/>
                            <w:right w:val="none" w:sz="0" w:space="0" w:color="auto"/>
                          </w:divBdr>
                        </w:div>
                      </w:divsChild>
                    </w:div>
                    <w:div w:id="294152495">
                      <w:marLeft w:val="0"/>
                      <w:marRight w:val="0"/>
                      <w:marTop w:val="0"/>
                      <w:marBottom w:val="0"/>
                      <w:divBdr>
                        <w:top w:val="none" w:sz="0" w:space="0" w:color="auto"/>
                        <w:left w:val="none" w:sz="0" w:space="0" w:color="auto"/>
                        <w:bottom w:val="none" w:sz="0" w:space="0" w:color="auto"/>
                        <w:right w:val="none" w:sz="0" w:space="0" w:color="auto"/>
                      </w:divBdr>
                      <w:divsChild>
                        <w:div w:id="294155973">
                          <w:marLeft w:val="0"/>
                          <w:marRight w:val="0"/>
                          <w:marTop w:val="0"/>
                          <w:marBottom w:val="0"/>
                          <w:divBdr>
                            <w:top w:val="none" w:sz="0" w:space="0" w:color="auto"/>
                            <w:left w:val="none" w:sz="0" w:space="0" w:color="auto"/>
                            <w:bottom w:val="none" w:sz="0" w:space="0" w:color="auto"/>
                            <w:right w:val="none" w:sz="0" w:space="0" w:color="auto"/>
                          </w:divBdr>
                        </w:div>
                      </w:divsChild>
                    </w:div>
                    <w:div w:id="294152506">
                      <w:marLeft w:val="0"/>
                      <w:marRight w:val="0"/>
                      <w:marTop w:val="0"/>
                      <w:marBottom w:val="0"/>
                      <w:divBdr>
                        <w:top w:val="none" w:sz="0" w:space="0" w:color="auto"/>
                        <w:left w:val="none" w:sz="0" w:space="0" w:color="auto"/>
                        <w:bottom w:val="none" w:sz="0" w:space="0" w:color="auto"/>
                        <w:right w:val="none" w:sz="0" w:space="0" w:color="auto"/>
                      </w:divBdr>
                    </w:div>
                    <w:div w:id="294152509">
                      <w:marLeft w:val="0"/>
                      <w:marRight w:val="0"/>
                      <w:marTop w:val="0"/>
                      <w:marBottom w:val="0"/>
                      <w:divBdr>
                        <w:top w:val="none" w:sz="0" w:space="0" w:color="auto"/>
                        <w:left w:val="none" w:sz="0" w:space="0" w:color="auto"/>
                        <w:bottom w:val="none" w:sz="0" w:space="0" w:color="auto"/>
                        <w:right w:val="none" w:sz="0" w:space="0" w:color="auto"/>
                      </w:divBdr>
                      <w:divsChild>
                        <w:div w:id="294144199">
                          <w:marLeft w:val="0"/>
                          <w:marRight w:val="0"/>
                          <w:marTop w:val="0"/>
                          <w:marBottom w:val="0"/>
                          <w:divBdr>
                            <w:top w:val="none" w:sz="0" w:space="0" w:color="auto"/>
                            <w:left w:val="none" w:sz="0" w:space="0" w:color="auto"/>
                            <w:bottom w:val="none" w:sz="0" w:space="0" w:color="auto"/>
                            <w:right w:val="none" w:sz="0" w:space="0" w:color="auto"/>
                          </w:divBdr>
                        </w:div>
                      </w:divsChild>
                    </w:div>
                    <w:div w:id="294152539">
                      <w:marLeft w:val="0"/>
                      <w:marRight w:val="0"/>
                      <w:marTop w:val="0"/>
                      <w:marBottom w:val="0"/>
                      <w:divBdr>
                        <w:top w:val="none" w:sz="0" w:space="0" w:color="auto"/>
                        <w:left w:val="none" w:sz="0" w:space="0" w:color="auto"/>
                        <w:bottom w:val="none" w:sz="0" w:space="0" w:color="auto"/>
                        <w:right w:val="none" w:sz="0" w:space="0" w:color="auto"/>
                      </w:divBdr>
                    </w:div>
                    <w:div w:id="294152587">
                      <w:marLeft w:val="0"/>
                      <w:marRight w:val="0"/>
                      <w:marTop w:val="0"/>
                      <w:marBottom w:val="0"/>
                      <w:divBdr>
                        <w:top w:val="none" w:sz="0" w:space="0" w:color="auto"/>
                        <w:left w:val="none" w:sz="0" w:space="0" w:color="auto"/>
                        <w:bottom w:val="none" w:sz="0" w:space="0" w:color="auto"/>
                        <w:right w:val="none" w:sz="0" w:space="0" w:color="auto"/>
                      </w:divBdr>
                    </w:div>
                    <w:div w:id="294152617">
                      <w:marLeft w:val="0"/>
                      <w:marRight w:val="0"/>
                      <w:marTop w:val="0"/>
                      <w:marBottom w:val="0"/>
                      <w:divBdr>
                        <w:top w:val="none" w:sz="0" w:space="0" w:color="auto"/>
                        <w:left w:val="none" w:sz="0" w:space="0" w:color="auto"/>
                        <w:bottom w:val="none" w:sz="0" w:space="0" w:color="auto"/>
                        <w:right w:val="none" w:sz="0" w:space="0" w:color="auto"/>
                      </w:divBdr>
                      <w:divsChild>
                        <w:div w:id="294153603">
                          <w:marLeft w:val="0"/>
                          <w:marRight w:val="0"/>
                          <w:marTop w:val="0"/>
                          <w:marBottom w:val="0"/>
                          <w:divBdr>
                            <w:top w:val="none" w:sz="0" w:space="0" w:color="auto"/>
                            <w:left w:val="none" w:sz="0" w:space="0" w:color="auto"/>
                            <w:bottom w:val="none" w:sz="0" w:space="0" w:color="auto"/>
                            <w:right w:val="none" w:sz="0" w:space="0" w:color="auto"/>
                          </w:divBdr>
                        </w:div>
                      </w:divsChild>
                    </w:div>
                    <w:div w:id="294152628">
                      <w:marLeft w:val="0"/>
                      <w:marRight w:val="0"/>
                      <w:marTop w:val="0"/>
                      <w:marBottom w:val="0"/>
                      <w:divBdr>
                        <w:top w:val="none" w:sz="0" w:space="0" w:color="auto"/>
                        <w:left w:val="none" w:sz="0" w:space="0" w:color="auto"/>
                        <w:bottom w:val="none" w:sz="0" w:space="0" w:color="auto"/>
                        <w:right w:val="none" w:sz="0" w:space="0" w:color="auto"/>
                      </w:divBdr>
                      <w:divsChild>
                        <w:div w:id="294153581">
                          <w:marLeft w:val="0"/>
                          <w:marRight w:val="0"/>
                          <w:marTop w:val="0"/>
                          <w:marBottom w:val="0"/>
                          <w:divBdr>
                            <w:top w:val="none" w:sz="0" w:space="0" w:color="auto"/>
                            <w:left w:val="none" w:sz="0" w:space="0" w:color="auto"/>
                            <w:bottom w:val="none" w:sz="0" w:space="0" w:color="auto"/>
                            <w:right w:val="none" w:sz="0" w:space="0" w:color="auto"/>
                          </w:divBdr>
                        </w:div>
                      </w:divsChild>
                    </w:div>
                    <w:div w:id="294152631">
                      <w:marLeft w:val="0"/>
                      <w:marRight w:val="0"/>
                      <w:marTop w:val="0"/>
                      <w:marBottom w:val="0"/>
                      <w:divBdr>
                        <w:top w:val="none" w:sz="0" w:space="0" w:color="auto"/>
                        <w:left w:val="none" w:sz="0" w:space="0" w:color="auto"/>
                        <w:bottom w:val="none" w:sz="0" w:space="0" w:color="auto"/>
                        <w:right w:val="none" w:sz="0" w:space="0" w:color="auto"/>
                      </w:divBdr>
                    </w:div>
                    <w:div w:id="294152635">
                      <w:marLeft w:val="0"/>
                      <w:marRight w:val="0"/>
                      <w:marTop w:val="0"/>
                      <w:marBottom w:val="0"/>
                      <w:divBdr>
                        <w:top w:val="none" w:sz="0" w:space="0" w:color="auto"/>
                        <w:left w:val="none" w:sz="0" w:space="0" w:color="auto"/>
                        <w:bottom w:val="none" w:sz="0" w:space="0" w:color="auto"/>
                        <w:right w:val="none" w:sz="0" w:space="0" w:color="auto"/>
                      </w:divBdr>
                    </w:div>
                    <w:div w:id="294152662">
                      <w:marLeft w:val="0"/>
                      <w:marRight w:val="0"/>
                      <w:marTop w:val="0"/>
                      <w:marBottom w:val="0"/>
                      <w:divBdr>
                        <w:top w:val="none" w:sz="0" w:space="0" w:color="auto"/>
                        <w:left w:val="none" w:sz="0" w:space="0" w:color="auto"/>
                        <w:bottom w:val="none" w:sz="0" w:space="0" w:color="auto"/>
                        <w:right w:val="none" w:sz="0" w:space="0" w:color="auto"/>
                      </w:divBdr>
                      <w:divsChild>
                        <w:div w:id="294148067">
                          <w:marLeft w:val="0"/>
                          <w:marRight w:val="0"/>
                          <w:marTop w:val="0"/>
                          <w:marBottom w:val="0"/>
                          <w:divBdr>
                            <w:top w:val="none" w:sz="0" w:space="0" w:color="auto"/>
                            <w:left w:val="none" w:sz="0" w:space="0" w:color="auto"/>
                            <w:bottom w:val="none" w:sz="0" w:space="0" w:color="auto"/>
                            <w:right w:val="none" w:sz="0" w:space="0" w:color="auto"/>
                          </w:divBdr>
                        </w:div>
                      </w:divsChild>
                    </w:div>
                    <w:div w:id="294152671">
                      <w:marLeft w:val="0"/>
                      <w:marRight w:val="0"/>
                      <w:marTop w:val="0"/>
                      <w:marBottom w:val="0"/>
                      <w:divBdr>
                        <w:top w:val="none" w:sz="0" w:space="0" w:color="auto"/>
                        <w:left w:val="none" w:sz="0" w:space="0" w:color="auto"/>
                        <w:bottom w:val="none" w:sz="0" w:space="0" w:color="auto"/>
                        <w:right w:val="none" w:sz="0" w:space="0" w:color="auto"/>
                      </w:divBdr>
                      <w:divsChild>
                        <w:div w:id="294144076">
                          <w:marLeft w:val="0"/>
                          <w:marRight w:val="0"/>
                          <w:marTop w:val="0"/>
                          <w:marBottom w:val="0"/>
                          <w:divBdr>
                            <w:top w:val="none" w:sz="0" w:space="0" w:color="auto"/>
                            <w:left w:val="none" w:sz="0" w:space="0" w:color="auto"/>
                            <w:bottom w:val="none" w:sz="0" w:space="0" w:color="auto"/>
                            <w:right w:val="none" w:sz="0" w:space="0" w:color="auto"/>
                          </w:divBdr>
                        </w:div>
                      </w:divsChild>
                    </w:div>
                    <w:div w:id="294152676">
                      <w:marLeft w:val="0"/>
                      <w:marRight w:val="0"/>
                      <w:marTop w:val="0"/>
                      <w:marBottom w:val="0"/>
                      <w:divBdr>
                        <w:top w:val="none" w:sz="0" w:space="0" w:color="auto"/>
                        <w:left w:val="none" w:sz="0" w:space="0" w:color="auto"/>
                        <w:bottom w:val="none" w:sz="0" w:space="0" w:color="auto"/>
                        <w:right w:val="none" w:sz="0" w:space="0" w:color="auto"/>
                      </w:divBdr>
                    </w:div>
                    <w:div w:id="294152682">
                      <w:marLeft w:val="0"/>
                      <w:marRight w:val="0"/>
                      <w:marTop w:val="0"/>
                      <w:marBottom w:val="0"/>
                      <w:divBdr>
                        <w:top w:val="none" w:sz="0" w:space="0" w:color="auto"/>
                        <w:left w:val="none" w:sz="0" w:space="0" w:color="auto"/>
                        <w:bottom w:val="none" w:sz="0" w:space="0" w:color="auto"/>
                        <w:right w:val="none" w:sz="0" w:space="0" w:color="auto"/>
                      </w:divBdr>
                    </w:div>
                    <w:div w:id="294152696">
                      <w:marLeft w:val="0"/>
                      <w:marRight w:val="0"/>
                      <w:marTop w:val="0"/>
                      <w:marBottom w:val="0"/>
                      <w:divBdr>
                        <w:top w:val="none" w:sz="0" w:space="0" w:color="auto"/>
                        <w:left w:val="none" w:sz="0" w:space="0" w:color="auto"/>
                        <w:bottom w:val="none" w:sz="0" w:space="0" w:color="auto"/>
                        <w:right w:val="none" w:sz="0" w:space="0" w:color="auto"/>
                      </w:divBdr>
                    </w:div>
                    <w:div w:id="294152741">
                      <w:marLeft w:val="0"/>
                      <w:marRight w:val="0"/>
                      <w:marTop w:val="0"/>
                      <w:marBottom w:val="0"/>
                      <w:divBdr>
                        <w:top w:val="none" w:sz="0" w:space="0" w:color="auto"/>
                        <w:left w:val="none" w:sz="0" w:space="0" w:color="auto"/>
                        <w:bottom w:val="none" w:sz="0" w:space="0" w:color="auto"/>
                        <w:right w:val="none" w:sz="0" w:space="0" w:color="auto"/>
                      </w:divBdr>
                    </w:div>
                    <w:div w:id="294152760">
                      <w:marLeft w:val="0"/>
                      <w:marRight w:val="0"/>
                      <w:marTop w:val="0"/>
                      <w:marBottom w:val="0"/>
                      <w:divBdr>
                        <w:top w:val="none" w:sz="0" w:space="0" w:color="auto"/>
                        <w:left w:val="none" w:sz="0" w:space="0" w:color="auto"/>
                        <w:bottom w:val="none" w:sz="0" w:space="0" w:color="auto"/>
                        <w:right w:val="none" w:sz="0" w:space="0" w:color="auto"/>
                      </w:divBdr>
                    </w:div>
                    <w:div w:id="294152786">
                      <w:marLeft w:val="0"/>
                      <w:marRight w:val="0"/>
                      <w:marTop w:val="0"/>
                      <w:marBottom w:val="0"/>
                      <w:divBdr>
                        <w:top w:val="none" w:sz="0" w:space="0" w:color="auto"/>
                        <w:left w:val="none" w:sz="0" w:space="0" w:color="auto"/>
                        <w:bottom w:val="none" w:sz="0" w:space="0" w:color="auto"/>
                        <w:right w:val="none" w:sz="0" w:space="0" w:color="auto"/>
                      </w:divBdr>
                      <w:divsChild>
                        <w:div w:id="294153340">
                          <w:marLeft w:val="0"/>
                          <w:marRight w:val="0"/>
                          <w:marTop w:val="0"/>
                          <w:marBottom w:val="0"/>
                          <w:divBdr>
                            <w:top w:val="none" w:sz="0" w:space="0" w:color="auto"/>
                            <w:left w:val="none" w:sz="0" w:space="0" w:color="auto"/>
                            <w:bottom w:val="none" w:sz="0" w:space="0" w:color="auto"/>
                            <w:right w:val="none" w:sz="0" w:space="0" w:color="auto"/>
                          </w:divBdr>
                        </w:div>
                      </w:divsChild>
                    </w:div>
                    <w:div w:id="294152796">
                      <w:marLeft w:val="0"/>
                      <w:marRight w:val="0"/>
                      <w:marTop w:val="0"/>
                      <w:marBottom w:val="0"/>
                      <w:divBdr>
                        <w:top w:val="none" w:sz="0" w:space="0" w:color="auto"/>
                        <w:left w:val="none" w:sz="0" w:space="0" w:color="auto"/>
                        <w:bottom w:val="none" w:sz="0" w:space="0" w:color="auto"/>
                        <w:right w:val="none" w:sz="0" w:space="0" w:color="auto"/>
                      </w:divBdr>
                    </w:div>
                    <w:div w:id="294152799">
                      <w:marLeft w:val="0"/>
                      <w:marRight w:val="0"/>
                      <w:marTop w:val="0"/>
                      <w:marBottom w:val="0"/>
                      <w:divBdr>
                        <w:top w:val="none" w:sz="0" w:space="0" w:color="auto"/>
                        <w:left w:val="none" w:sz="0" w:space="0" w:color="auto"/>
                        <w:bottom w:val="none" w:sz="0" w:space="0" w:color="auto"/>
                        <w:right w:val="none" w:sz="0" w:space="0" w:color="auto"/>
                      </w:divBdr>
                      <w:divsChild>
                        <w:div w:id="294150051">
                          <w:marLeft w:val="0"/>
                          <w:marRight w:val="0"/>
                          <w:marTop w:val="0"/>
                          <w:marBottom w:val="0"/>
                          <w:divBdr>
                            <w:top w:val="none" w:sz="0" w:space="0" w:color="auto"/>
                            <w:left w:val="none" w:sz="0" w:space="0" w:color="auto"/>
                            <w:bottom w:val="none" w:sz="0" w:space="0" w:color="auto"/>
                            <w:right w:val="none" w:sz="0" w:space="0" w:color="auto"/>
                          </w:divBdr>
                        </w:div>
                      </w:divsChild>
                    </w:div>
                    <w:div w:id="294152827">
                      <w:marLeft w:val="0"/>
                      <w:marRight w:val="0"/>
                      <w:marTop w:val="0"/>
                      <w:marBottom w:val="0"/>
                      <w:divBdr>
                        <w:top w:val="none" w:sz="0" w:space="0" w:color="auto"/>
                        <w:left w:val="none" w:sz="0" w:space="0" w:color="auto"/>
                        <w:bottom w:val="none" w:sz="0" w:space="0" w:color="auto"/>
                        <w:right w:val="none" w:sz="0" w:space="0" w:color="auto"/>
                      </w:divBdr>
                    </w:div>
                    <w:div w:id="294152834">
                      <w:marLeft w:val="0"/>
                      <w:marRight w:val="0"/>
                      <w:marTop w:val="0"/>
                      <w:marBottom w:val="0"/>
                      <w:divBdr>
                        <w:top w:val="none" w:sz="0" w:space="0" w:color="auto"/>
                        <w:left w:val="none" w:sz="0" w:space="0" w:color="auto"/>
                        <w:bottom w:val="none" w:sz="0" w:space="0" w:color="auto"/>
                        <w:right w:val="none" w:sz="0" w:space="0" w:color="auto"/>
                      </w:divBdr>
                      <w:divsChild>
                        <w:div w:id="294141268">
                          <w:marLeft w:val="0"/>
                          <w:marRight w:val="0"/>
                          <w:marTop w:val="0"/>
                          <w:marBottom w:val="0"/>
                          <w:divBdr>
                            <w:top w:val="none" w:sz="0" w:space="0" w:color="auto"/>
                            <w:left w:val="none" w:sz="0" w:space="0" w:color="auto"/>
                            <w:bottom w:val="none" w:sz="0" w:space="0" w:color="auto"/>
                            <w:right w:val="none" w:sz="0" w:space="0" w:color="auto"/>
                          </w:divBdr>
                        </w:div>
                      </w:divsChild>
                    </w:div>
                    <w:div w:id="294152887">
                      <w:marLeft w:val="0"/>
                      <w:marRight w:val="0"/>
                      <w:marTop w:val="0"/>
                      <w:marBottom w:val="0"/>
                      <w:divBdr>
                        <w:top w:val="none" w:sz="0" w:space="0" w:color="auto"/>
                        <w:left w:val="none" w:sz="0" w:space="0" w:color="auto"/>
                        <w:bottom w:val="none" w:sz="0" w:space="0" w:color="auto"/>
                        <w:right w:val="none" w:sz="0" w:space="0" w:color="auto"/>
                      </w:divBdr>
                      <w:divsChild>
                        <w:div w:id="294150185">
                          <w:marLeft w:val="0"/>
                          <w:marRight w:val="0"/>
                          <w:marTop w:val="0"/>
                          <w:marBottom w:val="0"/>
                          <w:divBdr>
                            <w:top w:val="none" w:sz="0" w:space="0" w:color="auto"/>
                            <w:left w:val="none" w:sz="0" w:space="0" w:color="auto"/>
                            <w:bottom w:val="none" w:sz="0" w:space="0" w:color="auto"/>
                            <w:right w:val="none" w:sz="0" w:space="0" w:color="auto"/>
                          </w:divBdr>
                        </w:div>
                      </w:divsChild>
                    </w:div>
                    <w:div w:id="294152998">
                      <w:marLeft w:val="0"/>
                      <w:marRight w:val="0"/>
                      <w:marTop w:val="0"/>
                      <w:marBottom w:val="0"/>
                      <w:divBdr>
                        <w:top w:val="none" w:sz="0" w:space="0" w:color="auto"/>
                        <w:left w:val="none" w:sz="0" w:space="0" w:color="auto"/>
                        <w:bottom w:val="none" w:sz="0" w:space="0" w:color="auto"/>
                        <w:right w:val="none" w:sz="0" w:space="0" w:color="auto"/>
                      </w:divBdr>
                      <w:divsChild>
                        <w:div w:id="294150162">
                          <w:marLeft w:val="0"/>
                          <w:marRight w:val="0"/>
                          <w:marTop w:val="0"/>
                          <w:marBottom w:val="0"/>
                          <w:divBdr>
                            <w:top w:val="none" w:sz="0" w:space="0" w:color="auto"/>
                            <w:left w:val="none" w:sz="0" w:space="0" w:color="auto"/>
                            <w:bottom w:val="none" w:sz="0" w:space="0" w:color="auto"/>
                            <w:right w:val="none" w:sz="0" w:space="0" w:color="auto"/>
                          </w:divBdr>
                        </w:div>
                      </w:divsChild>
                    </w:div>
                    <w:div w:id="294153026">
                      <w:marLeft w:val="0"/>
                      <w:marRight w:val="0"/>
                      <w:marTop w:val="0"/>
                      <w:marBottom w:val="0"/>
                      <w:divBdr>
                        <w:top w:val="none" w:sz="0" w:space="0" w:color="auto"/>
                        <w:left w:val="none" w:sz="0" w:space="0" w:color="auto"/>
                        <w:bottom w:val="none" w:sz="0" w:space="0" w:color="auto"/>
                        <w:right w:val="none" w:sz="0" w:space="0" w:color="auto"/>
                      </w:divBdr>
                      <w:divsChild>
                        <w:div w:id="294152297">
                          <w:marLeft w:val="0"/>
                          <w:marRight w:val="0"/>
                          <w:marTop w:val="0"/>
                          <w:marBottom w:val="0"/>
                          <w:divBdr>
                            <w:top w:val="none" w:sz="0" w:space="0" w:color="auto"/>
                            <w:left w:val="none" w:sz="0" w:space="0" w:color="auto"/>
                            <w:bottom w:val="none" w:sz="0" w:space="0" w:color="auto"/>
                            <w:right w:val="none" w:sz="0" w:space="0" w:color="auto"/>
                          </w:divBdr>
                        </w:div>
                      </w:divsChild>
                    </w:div>
                    <w:div w:id="294153050">
                      <w:marLeft w:val="0"/>
                      <w:marRight w:val="0"/>
                      <w:marTop w:val="0"/>
                      <w:marBottom w:val="0"/>
                      <w:divBdr>
                        <w:top w:val="none" w:sz="0" w:space="0" w:color="auto"/>
                        <w:left w:val="none" w:sz="0" w:space="0" w:color="auto"/>
                        <w:bottom w:val="none" w:sz="0" w:space="0" w:color="auto"/>
                        <w:right w:val="none" w:sz="0" w:space="0" w:color="auto"/>
                      </w:divBdr>
                    </w:div>
                    <w:div w:id="294153051">
                      <w:marLeft w:val="0"/>
                      <w:marRight w:val="0"/>
                      <w:marTop w:val="0"/>
                      <w:marBottom w:val="0"/>
                      <w:divBdr>
                        <w:top w:val="none" w:sz="0" w:space="0" w:color="auto"/>
                        <w:left w:val="none" w:sz="0" w:space="0" w:color="auto"/>
                        <w:bottom w:val="none" w:sz="0" w:space="0" w:color="auto"/>
                        <w:right w:val="none" w:sz="0" w:space="0" w:color="auto"/>
                      </w:divBdr>
                      <w:divsChild>
                        <w:div w:id="294150702">
                          <w:marLeft w:val="0"/>
                          <w:marRight w:val="0"/>
                          <w:marTop w:val="0"/>
                          <w:marBottom w:val="0"/>
                          <w:divBdr>
                            <w:top w:val="none" w:sz="0" w:space="0" w:color="auto"/>
                            <w:left w:val="none" w:sz="0" w:space="0" w:color="auto"/>
                            <w:bottom w:val="none" w:sz="0" w:space="0" w:color="auto"/>
                            <w:right w:val="none" w:sz="0" w:space="0" w:color="auto"/>
                          </w:divBdr>
                        </w:div>
                      </w:divsChild>
                    </w:div>
                    <w:div w:id="294153052">
                      <w:marLeft w:val="0"/>
                      <w:marRight w:val="0"/>
                      <w:marTop w:val="0"/>
                      <w:marBottom w:val="0"/>
                      <w:divBdr>
                        <w:top w:val="none" w:sz="0" w:space="0" w:color="auto"/>
                        <w:left w:val="none" w:sz="0" w:space="0" w:color="auto"/>
                        <w:bottom w:val="none" w:sz="0" w:space="0" w:color="auto"/>
                        <w:right w:val="none" w:sz="0" w:space="0" w:color="auto"/>
                      </w:divBdr>
                    </w:div>
                    <w:div w:id="294153076">
                      <w:marLeft w:val="0"/>
                      <w:marRight w:val="0"/>
                      <w:marTop w:val="0"/>
                      <w:marBottom w:val="0"/>
                      <w:divBdr>
                        <w:top w:val="none" w:sz="0" w:space="0" w:color="auto"/>
                        <w:left w:val="none" w:sz="0" w:space="0" w:color="auto"/>
                        <w:bottom w:val="none" w:sz="0" w:space="0" w:color="auto"/>
                        <w:right w:val="none" w:sz="0" w:space="0" w:color="auto"/>
                      </w:divBdr>
                    </w:div>
                    <w:div w:id="294153077">
                      <w:marLeft w:val="0"/>
                      <w:marRight w:val="0"/>
                      <w:marTop w:val="0"/>
                      <w:marBottom w:val="0"/>
                      <w:divBdr>
                        <w:top w:val="none" w:sz="0" w:space="0" w:color="auto"/>
                        <w:left w:val="none" w:sz="0" w:space="0" w:color="auto"/>
                        <w:bottom w:val="none" w:sz="0" w:space="0" w:color="auto"/>
                        <w:right w:val="none" w:sz="0" w:space="0" w:color="auto"/>
                      </w:divBdr>
                    </w:div>
                    <w:div w:id="294153089">
                      <w:marLeft w:val="0"/>
                      <w:marRight w:val="0"/>
                      <w:marTop w:val="0"/>
                      <w:marBottom w:val="0"/>
                      <w:divBdr>
                        <w:top w:val="none" w:sz="0" w:space="0" w:color="auto"/>
                        <w:left w:val="none" w:sz="0" w:space="0" w:color="auto"/>
                        <w:bottom w:val="none" w:sz="0" w:space="0" w:color="auto"/>
                        <w:right w:val="none" w:sz="0" w:space="0" w:color="auto"/>
                      </w:divBdr>
                    </w:div>
                    <w:div w:id="294153109">
                      <w:marLeft w:val="0"/>
                      <w:marRight w:val="0"/>
                      <w:marTop w:val="0"/>
                      <w:marBottom w:val="0"/>
                      <w:divBdr>
                        <w:top w:val="none" w:sz="0" w:space="0" w:color="auto"/>
                        <w:left w:val="none" w:sz="0" w:space="0" w:color="auto"/>
                        <w:bottom w:val="none" w:sz="0" w:space="0" w:color="auto"/>
                        <w:right w:val="none" w:sz="0" w:space="0" w:color="auto"/>
                      </w:divBdr>
                      <w:divsChild>
                        <w:div w:id="294145757">
                          <w:marLeft w:val="0"/>
                          <w:marRight w:val="0"/>
                          <w:marTop w:val="0"/>
                          <w:marBottom w:val="0"/>
                          <w:divBdr>
                            <w:top w:val="none" w:sz="0" w:space="0" w:color="auto"/>
                            <w:left w:val="none" w:sz="0" w:space="0" w:color="auto"/>
                            <w:bottom w:val="none" w:sz="0" w:space="0" w:color="auto"/>
                            <w:right w:val="none" w:sz="0" w:space="0" w:color="auto"/>
                          </w:divBdr>
                        </w:div>
                      </w:divsChild>
                    </w:div>
                    <w:div w:id="294153138">
                      <w:marLeft w:val="0"/>
                      <w:marRight w:val="0"/>
                      <w:marTop w:val="0"/>
                      <w:marBottom w:val="0"/>
                      <w:divBdr>
                        <w:top w:val="none" w:sz="0" w:space="0" w:color="auto"/>
                        <w:left w:val="none" w:sz="0" w:space="0" w:color="auto"/>
                        <w:bottom w:val="none" w:sz="0" w:space="0" w:color="auto"/>
                        <w:right w:val="none" w:sz="0" w:space="0" w:color="auto"/>
                      </w:divBdr>
                      <w:divsChild>
                        <w:div w:id="294145886">
                          <w:marLeft w:val="0"/>
                          <w:marRight w:val="0"/>
                          <w:marTop w:val="0"/>
                          <w:marBottom w:val="0"/>
                          <w:divBdr>
                            <w:top w:val="none" w:sz="0" w:space="0" w:color="auto"/>
                            <w:left w:val="none" w:sz="0" w:space="0" w:color="auto"/>
                            <w:bottom w:val="none" w:sz="0" w:space="0" w:color="auto"/>
                            <w:right w:val="none" w:sz="0" w:space="0" w:color="auto"/>
                          </w:divBdr>
                        </w:div>
                      </w:divsChild>
                    </w:div>
                    <w:div w:id="294153170">
                      <w:marLeft w:val="0"/>
                      <w:marRight w:val="0"/>
                      <w:marTop w:val="0"/>
                      <w:marBottom w:val="0"/>
                      <w:divBdr>
                        <w:top w:val="none" w:sz="0" w:space="0" w:color="auto"/>
                        <w:left w:val="none" w:sz="0" w:space="0" w:color="auto"/>
                        <w:bottom w:val="none" w:sz="0" w:space="0" w:color="auto"/>
                        <w:right w:val="none" w:sz="0" w:space="0" w:color="auto"/>
                      </w:divBdr>
                    </w:div>
                    <w:div w:id="294153194">
                      <w:marLeft w:val="0"/>
                      <w:marRight w:val="0"/>
                      <w:marTop w:val="0"/>
                      <w:marBottom w:val="0"/>
                      <w:divBdr>
                        <w:top w:val="none" w:sz="0" w:space="0" w:color="auto"/>
                        <w:left w:val="none" w:sz="0" w:space="0" w:color="auto"/>
                        <w:bottom w:val="none" w:sz="0" w:space="0" w:color="auto"/>
                        <w:right w:val="none" w:sz="0" w:space="0" w:color="auto"/>
                      </w:divBdr>
                    </w:div>
                    <w:div w:id="294153237">
                      <w:marLeft w:val="0"/>
                      <w:marRight w:val="0"/>
                      <w:marTop w:val="0"/>
                      <w:marBottom w:val="0"/>
                      <w:divBdr>
                        <w:top w:val="none" w:sz="0" w:space="0" w:color="auto"/>
                        <w:left w:val="none" w:sz="0" w:space="0" w:color="auto"/>
                        <w:bottom w:val="none" w:sz="0" w:space="0" w:color="auto"/>
                        <w:right w:val="none" w:sz="0" w:space="0" w:color="auto"/>
                      </w:divBdr>
                    </w:div>
                    <w:div w:id="294153239">
                      <w:marLeft w:val="0"/>
                      <w:marRight w:val="0"/>
                      <w:marTop w:val="0"/>
                      <w:marBottom w:val="0"/>
                      <w:divBdr>
                        <w:top w:val="none" w:sz="0" w:space="0" w:color="auto"/>
                        <w:left w:val="none" w:sz="0" w:space="0" w:color="auto"/>
                        <w:bottom w:val="none" w:sz="0" w:space="0" w:color="auto"/>
                        <w:right w:val="none" w:sz="0" w:space="0" w:color="auto"/>
                      </w:divBdr>
                      <w:divsChild>
                        <w:div w:id="294153107">
                          <w:marLeft w:val="0"/>
                          <w:marRight w:val="0"/>
                          <w:marTop w:val="0"/>
                          <w:marBottom w:val="0"/>
                          <w:divBdr>
                            <w:top w:val="none" w:sz="0" w:space="0" w:color="auto"/>
                            <w:left w:val="none" w:sz="0" w:space="0" w:color="auto"/>
                            <w:bottom w:val="none" w:sz="0" w:space="0" w:color="auto"/>
                            <w:right w:val="none" w:sz="0" w:space="0" w:color="auto"/>
                          </w:divBdr>
                        </w:div>
                      </w:divsChild>
                    </w:div>
                    <w:div w:id="294153270">
                      <w:marLeft w:val="0"/>
                      <w:marRight w:val="0"/>
                      <w:marTop w:val="0"/>
                      <w:marBottom w:val="0"/>
                      <w:divBdr>
                        <w:top w:val="none" w:sz="0" w:space="0" w:color="auto"/>
                        <w:left w:val="none" w:sz="0" w:space="0" w:color="auto"/>
                        <w:bottom w:val="none" w:sz="0" w:space="0" w:color="auto"/>
                        <w:right w:val="none" w:sz="0" w:space="0" w:color="auto"/>
                      </w:divBdr>
                    </w:div>
                    <w:div w:id="294153283">
                      <w:marLeft w:val="0"/>
                      <w:marRight w:val="0"/>
                      <w:marTop w:val="0"/>
                      <w:marBottom w:val="0"/>
                      <w:divBdr>
                        <w:top w:val="none" w:sz="0" w:space="0" w:color="auto"/>
                        <w:left w:val="none" w:sz="0" w:space="0" w:color="auto"/>
                        <w:bottom w:val="none" w:sz="0" w:space="0" w:color="auto"/>
                        <w:right w:val="none" w:sz="0" w:space="0" w:color="auto"/>
                      </w:divBdr>
                    </w:div>
                    <w:div w:id="294153354">
                      <w:marLeft w:val="0"/>
                      <w:marRight w:val="0"/>
                      <w:marTop w:val="0"/>
                      <w:marBottom w:val="0"/>
                      <w:divBdr>
                        <w:top w:val="none" w:sz="0" w:space="0" w:color="auto"/>
                        <w:left w:val="none" w:sz="0" w:space="0" w:color="auto"/>
                        <w:bottom w:val="none" w:sz="0" w:space="0" w:color="auto"/>
                        <w:right w:val="none" w:sz="0" w:space="0" w:color="auto"/>
                      </w:divBdr>
                    </w:div>
                    <w:div w:id="294153367">
                      <w:marLeft w:val="0"/>
                      <w:marRight w:val="0"/>
                      <w:marTop w:val="0"/>
                      <w:marBottom w:val="0"/>
                      <w:divBdr>
                        <w:top w:val="none" w:sz="0" w:space="0" w:color="auto"/>
                        <w:left w:val="none" w:sz="0" w:space="0" w:color="auto"/>
                        <w:bottom w:val="none" w:sz="0" w:space="0" w:color="auto"/>
                        <w:right w:val="none" w:sz="0" w:space="0" w:color="auto"/>
                      </w:divBdr>
                    </w:div>
                    <w:div w:id="294153383">
                      <w:marLeft w:val="0"/>
                      <w:marRight w:val="0"/>
                      <w:marTop w:val="0"/>
                      <w:marBottom w:val="0"/>
                      <w:divBdr>
                        <w:top w:val="none" w:sz="0" w:space="0" w:color="auto"/>
                        <w:left w:val="none" w:sz="0" w:space="0" w:color="auto"/>
                        <w:bottom w:val="none" w:sz="0" w:space="0" w:color="auto"/>
                        <w:right w:val="none" w:sz="0" w:space="0" w:color="auto"/>
                      </w:divBdr>
                    </w:div>
                    <w:div w:id="294153397">
                      <w:marLeft w:val="0"/>
                      <w:marRight w:val="0"/>
                      <w:marTop w:val="0"/>
                      <w:marBottom w:val="0"/>
                      <w:divBdr>
                        <w:top w:val="none" w:sz="0" w:space="0" w:color="auto"/>
                        <w:left w:val="none" w:sz="0" w:space="0" w:color="auto"/>
                        <w:bottom w:val="none" w:sz="0" w:space="0" w:color="auto"/>
                        <w:right w:val="none" w:sz="0" w:space="0" w:color="auto"/>
                      </w:divBdr>
                      <w:divsChild>
                        <w:div w:id="294147172">
                          <w:marLeft w:val="0"/>
                          <w:marRight w:val="0"/>
                          <w:marTop w:val="0"/>
                          <w:marBottom w:val="0"/>
                          <w:divBdr>
                            <w:top w:val="none" w:sz="0" w:space="0" w:color="auto"/>
                            <w:left w:val="none" w:sz="0" w:space="0" w:color="auto"/>
                            <w:bottom w:val="none" w:sz="0" w:space="0" w:color="auto"/>
                            <w:right w:val="none" w:sz="0" w:space="0" w:color="auto"/>
                          </w:divBdr>
                        </w:div>
                      </w:divsChild>
                    </w:div>
                    <w:div w:id="294153414">
                      <w:marLeft w:val="0"/>
                      <w:marRight w:val="0"/>
                      <w:marTop w:val="0"/>
                      <w:marBottom w:val="0"/>
                      <w:divBdr>
                        <w:top w:val="none" w:sz="0" w:space="0" w:color="auto"/>
                        <w:left w:val="none" w:sz="0" w:space="0" w:color="auto"/>
                        <w:bottom w:val="none" w:sz="0" w:space="0" w:color="auto"/>
                        <w:right w:val="none" w:sz="0" w:space="0" w:color="auto"/>
                      </w:divBdr>
                    </w:div>
                    <w:div w:id="294153457">
                      <w:marLeft w:val="0"/>
                      <w:marRight w:val="0"/>
                      <w:marTop w:val="0"/>
                      <w:marBottom w:val="0"/>
                      <w:divBdr>
                        <w:top w:val="none" w:sz="0" w:space="0" w:color="auto"/>
                        <w:left w:val="none" w:sz="0" w:space="0" w:color="auto"/>
                        <w:bottom w:val="none" w:sz="0" w:space="0" w:color="auto"/>
                        <w:right w:val="none" w:sz="0" w:space="0" w:color="auto"/>
                      </w:divBdr>
                    </w:div>
                    <w:div w:id="294153476">
                      <w:marLeft w:val="0"/>
                      <w:marRight w:val="0"/>
                      <w:marTop w:val="0"/>
                      <w:marBottom w:val="0"/>
                      <w:divBdr>
                        <w:top w:val="none" w:sz="0" w:space="0" w:color="auto"/>
                        <w:left w:val="none" w:sz="0" w:space="0" w:color="auto"/>
                        <w:bottom w:val="none" w:sz="0" w:space="0" w:color="auto"/>
                        <w:right w:val="none" w:sz="0" w:space="0" w:color="auto"/>
                      </w:divBdr>
                      <w:divsChild>
                        <w:div w:id="294153351">
                          <w:marLeft w:val="0"/>
                          <w:marRight w:val="0"/>
                          <w:marTop w:val="0"/>
                          <w:marBottom w:val="0"/>
                          <w:divBdr>
                            <w:top w:val="none" w:sz="0" w:space="0" w:color="auto"/>
                            <w:left w:val="none" w:sz="0" w:space="0" w:color="auto"/>
                            <w:bottom w:val="none" w:sz="0" w:space="0" w:color="auto"/>
                            <w:right w:val="none" w:sz="0" w:space="0" w:color="auto"/>
                          </w:divBdr>
                        </w:div>
                      </w:divsChild>
                    </w:div>
                    <w:div w:id="294153496">
                      <w:marLeft w:val="0"/>
                      <w:marRight w:val="0"/>
                      <w:marTop w:val="0"/>
                      <w:marBottom w:val="0"/>
                      <w:divBdr>
                        <w:top w:val="none" w:sz="0" w:space="0" w:color="auto"/>
                        <w:left w:val="none" w:sz="0" w:space="0" w:color="auto"/>
                        <w:bottom w:val="none" w:sz="0" w:space="0" w:color="auto"/>
                        <w:right w:val="none" w:sz="0" w:space="0" w:color="auto"/>
                      </w:divBdr>
                    </w:div>
                    <w:div w:id="294153528">
                      <w:marLeft w:val="0"/>
                      <w:marRight w:val="0"/>
                      <w:marTop w:val="0"/>
                      <w:marBottom w:val="0"/>
                      <w:divBdr>
                        <w:top w:val="none" w:sz="0" w:space="0" w:color="auto"/>
                        <w:left w:val="none" w:sz="0" w:space="0" w:color="auto"/>
                        <w:bottom w:val="none" w:sz="0" w:space="0" w:color="auto"/>
                        <w:right w:val="none" w:sz="0" w:space="0" w:color="auto"/>
                      </w:divBdr>
                    </w:div>
                    <w:div w:id="294153551">
                      <w:marLeft w:val="0"/>
                      <w:marRight w:val="0"/>
                      <w:marTop w:val="0"/>
                      <w:marBottom w:val="0"/>
                      <w:divBdr>
                        <w:top w:val="none" w:sz="0" w:space="0" w:color="auto"/>
                        <w:left w:val="none" w:sz="0" w:space="0" w:color="auto"/>
                        <w:bottom w:val="none" w:sz="0" w:space="0" w:color="auto"/>
                        <w:right w:val="none" w:sz="0" w:space="0" w:color="auto"/>
                      </w:divBdr>
                    </w:div>
                    <w:div w:id="294153555">
                      <w:marLeft w:val="0"/>
                      <w:marRight w:val="0"/>
                      <w:marTop w:val="0"/>
                      <w:marBottom w:val="0"/>
                      <w:divBdr>
                        <w:top w:val="none" w:sz="0" w:space="0" w:color="auto"/>
                        <w:left w:val="none" w:sz="0" w:space="0" w:color="auto"/>
                        <w:bottom w:val="none" w:sz="0" w:space="0" w:color="auto"/>
                        <w:right w:val="none" w:sz="0" w:space="0" w:color="auto"/>
                      </w:divBdr>
                    </w:div>
                    <w:div w:id="294153571">
                      <w:marLeft w:val="0"/>
                      <w:marRight w:val="0"/>
                      <w:marTop w:val="0"/>
                      <w:marBottom w:val="0"/>
                      <w:divBdr>
                        <w:top w:val="none" w:sz="0" w:space="0" w:color="auto"/>
                        <w:left w:val="none" w:sz="0" w:space="0" w:color="auto"/>
                        <w:bottom w:val="none" w:sz="0" w:space="0" w:color="auto"/>
                        <w:right w:val="none" w:sz="0" w:space="0" w:color="auto"/>
                      </w:divBdr>
                      <w:divsChild>
                        <w:div w:id="294147080">
                          <w:marLeft w:val="0"/>
                          <w:marRight w:val="0"/>
                          <w:marTop w:val="0"/>
                          <w:marBottom w:val="0"/>
                          <w:divBdr>
                            <w:top w:val="none" w:sz="0" w:space="0" w:color="auto"/>
                            <w:left w:val="none" w:sz="0" w:space="0" w:color="auto"/>
                            <w:bottom w:val="none" w:sz="0" w:space="0" w:color="auto"/>
                            <w:right w:val="none" w:sz="0" w:space="0" w:color="auto"/>
                          </w:divBdr>
                        </w:div>
                      </w:divsChild>
                    </w:div>
                    <w:div w:id="294153591">
                      <w:marLeft w:val="0"/>
                      <w:marRight w:val="0"/>
                      <w:marTop w:val="0"/>
                      <w:marBottom w:val="0"/>
                      <w:divBdr>
                        <w:top w:val="none" w:sz="0" w:space="0" w:color="auto"/>
                        <w:left w:val="none" w:sz="0" w:space="0" w:color="auto"/>
                        <w:bottom w:val="none" w:sz="0" w:space="0" w:color="auto"/>
                        <w:right w:val="none" w:sz="0" w:space="0" w:color="auto"/>
                      </w:divBdr>
                      <w:divsChild>
                        <w:div w:id="294142294">
                          <w:marLeft w:val="0"/>
                          <w:marRight w:val="0"/>
                          <w:marTop w:val="0"/>
                          <w:marBottom w:val="0"/>
                          <w:divBdr>
                            <w:top w:val="none" w:sz="0" w:space="0" w:color="auto"/>
                            <w:left w:val="none" w:sz="0" w:space="0" w:color="auto"/>
                            <w:bottom w:val="none" w:sz="0" w:space="0" w:color="auto"/>
                            <w:right w:val="none" w:sz="0" w:space="0" w:color="auto"/>
                          </w:divBdr>
                        </w:div>
                      </w:divsChild>
                    </w:div>
                    <w:div w:id="294153608">
                      <w:marLeft w:val="0"/>
                      <w:marRight w:val="0"/>
                      <w:marTop w:val="0"/>
                      <w:marBottom w:val="0"/>
                      <w:divBdr>
                        <w:top w:val="none" w:sz="0" w:space="0" w:color="auto"/>
                        <w:left w:val="none" w:sz="0" w:space="0" w:color="auto"/>
                        <w:bottom w:val="none" w:sz="0" w:space="0" w:color="auto"/>
                        <w:right w:val="none" w:sz="0" w:space="0" w:color="auto"/>
                      </w:divBdr>
                      <w:divsChild>
                        <w:div w:id="294150003">
                          <w:marLeft w:val="0"/>
                          <w:marRight w:val="0"/>
                          <w:marTop w:val="0"/>
                          <w:marBottom w:val="0"/>
                          <w:divBdr>
                            <w:top w:val="none" w:sz="0" w:space="0" w:color="auto"/>
                            <w:left w:val="none" w:sz="0" w:space="0" w:color="auto"/>
                            <w:bottom w:val="none" w:sz="0" w:space="0" w:color="auto"/>
                            <w:right w:val="none" w:sz="0" w:space="0" w:color="auto"/>
                          </w:divBdr>
                        </w:div>
                      </w:divsChild>
                    </w:div>
                    <w:div w:id="294153624">
                      <w:marLeft w:val="0"/>
                      <w:marRight w:val="0"/>
                      <w:marTop w:val="0"/>
                      <w:marBottom w:val="0"/>
                      <w:divBdr>
                        <w:top w:val="none" w:sz="0" w:space="0" w:color="auto"/>
                        <w:left w:val="none" w:sz="0" w:space="0" w:color="auto"/>
                        <w:bottom w:val="none" w:sz="0" w:space="0" w:color="auto"/>
                        <w:right w:val="none" w:sz="0" w:space="0" w:color="auto"/>
                      </w:divBdr>
                      <w:divsChild>
                        <w:div w:id="294152835">
                          <w:marLeft w:val="0"/>
                          <w:marRight w:val="0"/>
                          <w:marTop w:val="0"/>
                          <w:marBottom w:val="0"/>
                          <w:divBdr>
                            <w:top w:val="none" w:sz="0" w:space="0" w:color="auto"/>
                            <w:left w:val="none" w:sz="0" w:space="0" w:color="auto"/>
                            <w:bottom w:val="none" w:sz="0" w:space="0" w:color="auto"/>
                            <w:right w:val="none" w:sz="0" w:space="0" w:color="auto"/>
                          </w:divBdr>
                        </w:div>
                      </w:divsChild>
                    </w:div>
                    <w:div w:id="294153625">
                      <w:marLeft w:val="0"/>
                      <w:marRight w:val="0"/>
                      <w:marTop w:val="0"/>
                      <w:marBottom w:val="0"/>
                      <w:divBdr>
                        <w:top w:val="none" w:sz="0" w:space="0" w:color="auto"/>
                        <w:left w:val="none" w:sz="0" w:space="0" w:color="auto"/>
                        <w:bottom w:val="none" w:sz="0" w:space="0" w:color="auto"/>
                        <w:right w:val="none" w:sz="0" w:space="0" w:color="auto"/>
                      </w:divBdr>
                      <w:divsChild>
                        <w:div w:id="294152938">
                          <w:marLeft w:val="0"/>
                          <w:marRight w:val="0"/>
                          <w:marTop w:val="0"/>
                          <w:marBottom w:val="0"/>
                          <w:divBdr>
                            <w:top w:val="none" w:sz="0" w:space="0" w:color="auto"/>
                            <w:left w:val="none" w:sz="0" w:space="0" w:color="auto"/>
                            <w:bottom w:val="none" w:sz="0" w:space="0" w:color="auto"/>
                            <w:right w:val="none" w:sz="0" w:space="0" w:color="auto"/>
                          </w:divBdr>
                        </w:div>
                      </w:divsChild>
                    </w:div>
                    <w:div w:id="294153637">
                      <w:marLeft w:val="0"/>
                      <w:marRight w:val="0"/>
                      <w:marTop w:val="0"/>
                      <w:marBottom w:val="0"/>
                      <w:divBdr>
                        <w:top w:val="none" w:sz="0" w:space="0" w:color="auto"/>
                        <w:left w:val="none" w:sz="0" w:space="0" w:color="auto"/>
                        <w:bottom w:val="none" w:sz="0" w:space="0" w:color="auto"/>
                        <w:right w:val="none" w:sz="0" w:space="0" w:color="auto"/>
                      </w:divBdr>
                    </w:div>
                    <w:div w:id="294153704">
                      <w:marLeft w:val="0"/>
                      <w:marRight w:val="0"/>
                      <w:marTop w:val="0"/>
                      <w:marBottom w:val="0"/>
                      <w:divBdr>
                        <w:top w:val="none" w:sz="0" w:space="0" w:color="auto"/>
                        <w:left w:val="none" w:sz="0" w:space="0" w:color="auto"/>
                        <w:bottom w:val="none" w:sz="0" w:space="0" w:color="auto"/>
                        <w:right w:val="none" w:sz="0" w:space="0" w:color="auto"/>
                      </w:divBdr>
                    </w:div>
                    <w:div w:id="294153757">
                      <w:marLeft w:val="0"/>
                      <w:marRight w:val="0"/>
                      <w:marTop w:val="0"/>
                      <w:marBottom w:val="0"/>
                      <w:divBdr>
                        <w:top w:val="none" w:sz="0" w:space="0" w:color="auto"/>
                        <w:left w:val="none" w:sz="0" w:space="0" w:color="auto"/>
                        <w:bottom w:val="none" w:sz="0" w:space="0" w:color="auto"/>
                        <w:right w:val="none" w:sz="0" w:space="0" w:color="auto"/>
                      </w:divBdr>
                      <w:divsChild>
                        <w:div w:id="294142794">
                          <w:marLeft w:val="0"/>
                          <w:marRight w:val="0"/>
                          <w:marTop w:val="0"/>
                          <w:marBottom w:val="0"/>
                          <w:divBdr>
                            <w:top w:val="none" w:sz="0" w:space="0" w:color="auto"/>
                            <w:left w:val="none" w:sz="0" w:space="0" w:color="auto"/>
                            <w:bottom w:val="none" w:sz="0" w:space="0" w:color="auto"/>
                            <w:right w:val="none" w:sz="0" w:space="0" w:color="auto"/>
                          </w:divBdr>
                        </w:div>
                      </w:divsChild>
                    </w:div>
                    <w:div w:id="294153801">
                      <w:marLeft w:val="0"/>
                      <w:marRight w:val="0"/>
                      <w:marTop w:val="0"/>
                      <w:marBottom w:val="0"/>
                      <w:divBdr>
                        <w:top w:val="none" w:sz="0" w:space="0" w:color="auto"/>
                        <w:left w:val="none" w:sz="0" w:space="0" w:color="auto"/>
                        <w:bottom w:val="none" w:sz="0" w:space="0" w:color="auto"/>
                        <w:right w:val="none" w:sz="0" w:space="0" w:color="auto"/>
                      </w:divBdr>
                      <w:divsChild>
                        <w:div w:id="294152317">
                          <w:marLeft w:val="0"/>
                          <w:marRight w:val="0"/>
                          <w:marTop w:val="0"/>
                          <w:marBottom w:val="0"/>
                          <w:divBdr>
                            <w:top w:val="none" w:sz="0" w:space="0" w:color="auto"/>
                            <w:left w:val="none" w:sz="0" w:space="0" w:color="auto"/>
                            <w:bottom w:val="none" w:sz="0" w:space="0" w:color="auto"/>
                            <w:right w:val="none" w:sz="0" w:space="0" w:color="auto"/>
                          </w:divBdr>
                        </w:div>
                      </w:divsChild>
                    </w:div>
                    <w:div w:id="294153805">
                      <w:marLeft w:val="0"/>
                      <w:marRight w:val="0"/>
                      <w:marTop w:val="0"/>
                      <w:marBottom w:val="0"/>
                      <w:divBdr>
                        <w:top w:val="none" w:sz="0" w:space="0" w:color="auto"/>
                        <w:left w:val="none" w:sz="0" w:space="0" w:color="auto"/>
                        <w:bottom w:val="none" w:sz="0" w:space="0" w:color="auto"/>
                        <w:right w:val="none" w:sz="0" w:space="0" w:color="auto"/>
                      </w:divBdr>
                      <w:divsChild>
                        <w:div w:id="294145301">
                          <w:marLeft w:val="0"/>
                          <w:marRight w:val="0"/>
                          <w:marTop w:val="0"/>
                          <w:marBottom w:val="0"/>
                          <w:divBdr>
                            <w:top w:val="none" w:sz="0" w:space="0" w:color="auto"/>
                            <w:left w:val="none" w:sz="0" w:space="0" w:color="auto"/>
                            <w:bottom w:val="none" w:sz="0" w:space="0" w:color="auto"/>
                            <w:right w:val="none" w:sz="0" w:space="0" w:color="auto"/>
                          </w:divBdr>
                        </w:div>
                      </w:divsChild>
                    </w:div>
                    <w:div w:id="294153809">
                      <w:marLeft w:val="0"/>
                      <w:marRight w:val="0"/>
                      <w:marTop w:val="0"/>
                      <w:marBottom w:val="0"/>
                      <w:divBdr>
                        <w:top w:val="none" w:sz="0" w:space="0" w:color="auto"/>
                        <w:left w:val="none" w:sz="0" w:space="0" w:color="auto"/>
                        <w:bottom w:val="none" w:sz="0" w:space="0" w:color="auto"/>
                        <w:right w:val="none" w:sz="0" w:space="0" w:color="auto"/>
                      </w:divBdr>
                    </w:div>
                    <w:div w:id="294153820">
                      <w:marLeft w:val="0"/>
                      <w:marRight w:val="0"/>
                      <w:marTop w:val="0"/>
                      <w:marBottom w:val="0"/>
                      <w:divBdr>
                        <w:top w:val="none" w:sz="0" w:space="0" w:color="auto"/>
                        <w:left w:val="none" w:sz="0" w:space="0" w:color="auto"/>
                        <w:bottom w:val="none" w:sz="0" w:space="0" w:color="auto"/>
                        <w:right w:val="none" w:sz="0" w:space="0" w:color="auto"/>
                      </w:divBdr>
                    </w:div>
                    <w:div w:id="294153877">
                      <w:marLeft w:val="0"/>
                      <w:marRight w:val="0"/>
                      <w:marTop w:val="0"/>
                      <w:marBottom w:val="0"/>
                      <w:divBdr>
                        <w:top w:val="none" w:sz="0" w:space="0" w:color="auto"/>
                        <w:left w:val="none" w:sz="0" w:space="0" w:color="auto"/>
                        <w:bottom w:val="none" w:sz="0" w:space="0" w:color="auto"/>
                        <w:right w:val="none" w:sz="0" w:space="0" w:color="auto"/>
                      </w:divBdr>
                    </w:div>
                    <w:div w:id="294153908">
                      <w:marLeft w:val="0"/>
                      <w:marRight w:val="0"/>
                      <w:marTop w:val="0"/>
                      <w:marBottom w:val="0"/>
                      <w:divBdr>
                        <w:top w:val="none" w:sz="0" w:space="0" w:color="auto"/>
                        <w:left w:val="none" w:sz="0" w:space="0" w:color="auto"/>
                        <w:bottom w:val="none" w:sz="0" w:space="0" w:color="auto"/>
                        <w:right w:val="none" w:sz="0" w:space="0" w:color="auto"/>
                      </w:divBdr>
                    </w:div>
                    <w:div w:id="294153941">
                      <w:marLeft w:val="0"/>
                      <w:marRight w:val="0"/>
                      <w:marTop w:val="0"/>
                      <w:marBottom w:val="0"/>
                      <w:divBdr>
                        <w:top w:val="none" w:sz="0" w:space="0" w:color="auto"/>
                        <w:left w:val="none" w:sz="0" w:space="0" w:color="auto"/>
                        <w:bottom w:val="none" w:sz="0" w:space="0" w:color="auto"/>
                        <w:right w:val="none" w:sz="0" w:space="0" w:color="auto"/>
                      </w:divBdr>
                    </w:div>
                    <w:div w:id="294153976">
                      <w:marLeft w:val="0"/>
                      <w:marRight w:val="0"/>
                      <w:marTop w:val="0"/>
                      <w:marBottom w:val="0"/>
                      <w:divBdr>
                        <w:top w:val="none" w:sz="0" w:space="0" w:color="auto"/>
                        <w:left w:val="none" w:sz="0" w:space="0" w:color="auto"/>
                        <w:bottom w:val="none" w:sz="0" w:space="0" w:color="auto"/>
                        <w:right w:val="none" w:sz="0" w:space="0" w:color="auto"/>
                      </w:divBdr>
                    </w:div>
                    <w:div w:id="294154025">
                      <w:marLeft w:val="0"/>
                      <w:marRight w:val="0"/>
                      <w:marTop w:val="0"/>
                      <w:marBottom w:val="0"/>
                      <w:divBdr>
                        <w:top w:val="none" w:sz="0" w:space="0" w:color="auto"/>
                        <w:left w:val="none" w:sz="0" w:space="0" w:color="auto"/>
                        <w:bottom w:val="none" w:sz="0" w:space="0" w:color="auto"/>
                        <w:right w:val="none" w:sz="0" w:space="0" w:color="auto"/>
                      </w:divBdr>
                      <w:divsChild>
                        <w:div w:id="294147694">
                          <w:marLeft w:val="0"/>
                          <w:marRight w:val="0"/>
                          <w:marTop w:val="0"/>
                          <w:marBottom w:val="0"/>
                          <w:divBdr>
                            <w:top w:val="none" w:sz="0" w:space="0" w:color="auto"/>
                            <w:left w:val="none" w:sz="0" w:space="0" w:color="auto"/>
                            <w:bottom w:val="none" w:sz="0" w:space="0" w:color="auto"/>
                            <w:right w:val="none" w:sz="0" w:space="0" w:color="auto"/>
                          </w:divBdr>
                        </w:div>
                      </w:divsChild>
                    </w:div>
                    <w:div w:id="294154069">
                      <w:marLeft w:val="0"/>
                      <w:marRight w:val="0"/>
                      <w:marTop w:val="0"/>
                      <w:marBottom w:val="0"/>
                      <w:divBdr>
                        <w:top w:val="none" w:sz="0" w:space="0" w:color="auto"/>
                        <w:left w:val="none" w:sz="0" w:space="0" w:color="auto"/>
                        <w:bottom w:val="none" w:sz="0" w:space="0" w:color="auto"/>
                        <w:right w:val="none" w:sz="0" w:space="0" w:color="auto"/>
                      </w:divBdr>
                      <w:divsChild>
                        <w:div w:id="294147872">
                          <w:marLeft w:val="0"/>
                          <w:marRight w:val="0"/>
                          <w:marTop w:val="0"/>
                          <w:marBottom w:val="0"/>
                          <w:divBdr>
                            <w:top w:val="none" w:sz="0" w:space="0" w:color="auto"/>
                            <w:left w:val="none" w:sz="0" w:space="0" w:color="auto"/>
                            <w:bottom w:val="none" w:sz="0" w:space="0" w:color="auto"/>
                            <w:right w:val="none" w:sz="0" w:space="0" w:color="auto"/>
                          </w:divBdr>
                        </w:div>
                      </w:divsChild>
                    </w:div>
                    <w:div w:id="294154086">
                      <w:marLeft w:val="0"/>
                      <w:marRight w:val="0"/>
                      <w:marTop w:val="0"/>
                      <w:marBottom w:val="0"/>
                      <w:divBdr>
                        <w:top w:val="none" w:sz="0" w:space="0" w:color="auto"/>
                        <w:left w:val="none" w:sz="0" w:space="0" w:color="auto"/>
                        <w:bottom w:val="none" w:sz="0" w:space="0" w:color="auto"/>
                        <w:right w:val="none" w:sz="0" w:space="0" w:color="auto"/>
                      </w:divBdr>
                    </w:div>
                    <w:div w:id="294154092">
                      <w:marLeft w:val="0"/>
                      <w:marRight w:val="0"/>
                      <w:marTop w:val="0"/>
                      <w:marBottom w:val="0"/>
                      <w:divBdr>
                        <w:top w:val="none" w:sz="0" w:space="0" w:color="auto"/>
                        <w:left w:val="none" w:sz="0" w:space="0" w:color="auto"/>
                        <w:bottom w:val="none" w:sz="0" w:space="0" w:color="auto"/>
                        <w:right w:val="none" w:sz="0" w:space="0" w:color="auto"/>
                      </w:divBdr>
                      <w:divsChild>
                        <w:div w:id="294143662">
                          <w:marLeft w:val="0"/>
                          <w:marRight w:val="0"/>
                          <w:marTop w:val="0"/>
                          <w:marBottom w:val="0"/>
                          <w:divBdr>
                            <w:top w:val="none" w:sz="0" w:space="0" w:color="auto"/>
                            <w:left w:val="none" w:sz="0" w:space="0" w:color="auto"/>
                            <w:bottom w:val="none" w:sz="0" w:space="0" w:color="auto"/>
                            <w:right w:val="none" w:sz="0" w:space="0" w:color="auto"/>
                          </w:divBdr>
                        </w:div>
                      </w:divsChild>
                    </w:div>
                    <w:div w:id="294154138">
                      <w:marLeft w:val="0"/>
                      <w:marRight w:val="0"/>
                      <w:marTop w:val="0"/>
                      <w:marBottom w:val="0"/>
                      <w:divBdr>
                        <w:top w:val="none" w:sz="0" w:space="0" w:color="auto"/>
                        <w:left w:val="none" w:sz="0" w:space="0" w:color="auto"/>
                        <w:bottom w:val="none" w:sz="0" w:space="0" w:color="auto"/>
                        <w:right w:val="none" w:sz="0" w:space="0" w:color="auto"/>
                      </w:divBdr>
                      <w:divsChild>
                        <w:div w:id="294155820">
                          <w:marLeft w:val="0"/>
                          <w:marRight w:val="0"/>
                          <w:marTop w:val="0"/>
                          <w:marBottom w:val="0"/>
                          <w:divBdr>
                            <w:top w:val="none" w:sz="0" w:space="0" w:color="auto"/>
                            <w:left w:val="none" w:sz="0" w:space="0" w:color="auto"/>
                            <w:bottom w:val="none" w:sz="0" w:space="0" w:color="auto"/>
                            <w:right w:val="none" w:sz="0" w:space="0" w:color="auto"/>
                          </w:divBdr>
                        </w:div>
                      </w:divsChild>
                    </w:div>
                    <w:div w:id="294154148">
                      <w:marLeft w:val="0"/>
                      <w:marRight w:val="0"/>
                      <w:marTop w:val="0"/>
                      <w:marBottom w:val="0"/>
                      <w:divBdr>
                        <w:top w:val="none" w:sz="0" w:space="0" w:color="auto"/>
                        <w:left w:val="none" w:sz="0" w:space="0" w:color="auto"/>
                        <w:bottom w:val="none" w:sz="0" w:space="0" w:color="auto"/>
                        <w:right w:val="none" w:sz="0" w:space="0" w:color="auto"/>
                      </w:divBdr>
                    </w:div>
                    <w:div w:id="294154150">
                      <w:marLeft w:val="0"/>
                      <w:marRight w:val="0"/>
                      <w:marTop w:val="0"/>
                      <w:marBottom w:val="0"/>
                      <w:divBdr>
                        <w:top w:val="none" w:sz="0" w:space="0" w:color="auto"/>
                        <w:left w:val="none" w:sz="0" w:space="0" w:color="auto"/>
                        <w:bottom w:val="none" w:sz="0" w:space="0" w:color="auto"/>
                        <w:right w:val="none" w:sz="0" w:space="0" w:color="auto"/>
                      </w:divBdr>
                      <w:divsChild>
                        <w:div w:id="294143508">
                          <w:marLeft w:val="0"/>
                          <w:marRight w:val="0"/>
                          <w:marTop w:val="0"/>
                          <w:marBottom w:val="0"/>
                          <w:divBdr>
                            <w:top w:val="none" w:sz="0" w:space="0" w:color="auto"/>
                            <w:left w:val="none" w:sz="0" w:space="0" w:color="auto"/>
                            <w:bottom w:val="none" w:sz="0" w:space="0" w:color="auto"/>
                            <w:right w:val="none" w:sz="0" w:space="0" w:color="auto"/>
                          </w:divBdr>
                        </w:div>
                      </w:divsChild>
                    </w:div>
                    <w:div w:id="294154152">
                      <w:marLeft w:val="0"/>
                      <w:marRight w:val="0"/>
                      <w:marTop w:val="0"/>
                      <w:marBottom w:val="0"/>
                      <w:divBdr>
                        <w:top w:val="none" w:sz="0" w:space="0" w:color="auto"/>
                        <w:left w:val="none" w:sz="0" w:space="0" w:color="auto"/>
                        <w:bottom w:val="none" w:sz="0" w:space="0" w:color="auto"/>
                        <w:right w:val="none" w:sz="0" w:space="0" w:color="auto"/>
                      </w:divBdr>
                    </w:div>
                    <w:div w:id="294154262">
                      <w:marLeft w:val="0"/>
                      <w:marRight w:val="0"/>
                      <w:marTop w:val="0"/>
                      <w:marBottom w:val="0"/>
                      <w:divBdr>
                        <w:top w:val="none" w:sz="0" w:space="0" w:color="auto"/>
                        <w:left w:val="none" w:sz="0" w:space="0" w:color="auto"/>
                        <w:bottom w:val="none" w:sz="0" w:space="0" w:color="auto"/>
                        <w:right w:val="none" w:sz="0" w:space="0" w:color="auto"/>
                      </w:divBdr>
                      <w:divsChild>
                        <w:div w:id="294145653">
                          <w:marLeft w:val="0"/>
                          <w:marRight w:val="0"/>
                          <w:marTop w:val="0"/>
                          <w:marBottom w:val="0"/>
                          <w:divBdr>
                            <w:top w:val="none" w:sz="0" w:space="0" w:color="auto"/>
                            <w:left w:val="none" w:sz="0" w:space="0" w:color="auto"/>
                            <w:bottom w:val="none" w:sz="0" w:space="0" w:color="auto"/>
                            <w:right w:val="none" w:sz="0" w:space="0" w:color="auto"/>
                          </w:divBdr>
                        </w:div>
                      </w:divsChild>
                    </w:div>
                    <w:div w:id="294154276">
                      <w:marLeft w:val="0"/>
                      <w:marRight w:val="0"/>
                      <w:marTop w:val="0"/>
                      <w:marBottom w:val="0"/>
                      <w:divBdr>
                        <w:top w:val="none" w:sz="0" w:space="0" w:color="auto"/>
                        <w:left w:val="none" w:sz="0" w:space="0" w:color="auto"/>
                        <w:bottom w:val="none" w:sz="0" w:space="0" w:color="auto"/>
                        <w:right w:val="none" w:sz="0" w:space="0" w:color="auto"/>
                      </w:divBdr>
                      <w:divsChild>
                        <w:div w:id="294138351">
                          <w:marLeft w:val="0"/>
                          <w:marRight w:val="0"/>
                          <w:marTop w:val="0"/>
                          <w:marBottom w:val="0"/>
                          <w:divBdr>
                            <w:top w:val="none" w:sz="0" w:space="0" w:color="auto"/>
                            <w:left w:val="none" w:sz="0" w:space="0" w:color="auto"/>
                            <w:bottom w:val="none" w:sz="0" w:space="0" w:color="auto"/>
                            <w:right w:val="none" w:sz="0" w:space="0" w:color="auto"/>
                          </w:divBdr>
                        </w:div>
                      </w:divsChild>
                    </w:div>
                    <w:div w:id="294154286">
                      <w:marLeft w:val="0"/>
                      <w:marRight w:val="0"/>
                      <w:marTop w:val="0"/>
                      <w:marBottom w:val="0"/>
                      <w:divBdr>
                        <w:top w:val="none" w:sz="0" w:space="0" w:color="auto"/>
                        <w:left w:val="none" w:sz="0" w:space="0" w:color="auto"/>
                        <w:bottom w:val="none" w:sz="0" w:space="0" w:color="auto"/>
                        <w:right w:val="none" w:sz="0" w:space="0" w:color="auto"/>
                      </w:divBdr>
                    </w:div>
                    <w:div w:id="294154357">
                      <w:marLeft w:val="0"/>
                      <w:marRight w:val="0"/>
                      <w:marTop w:val="0"/>
                      <w:marBottom w:val="0"/>
                      <w:divBdr>
                        <w:top w:val="none" w:sz="0" w:space="0" w:color="auto"/>
                        <w:left w:val="none" w:sz="0" w:space="0" w:color="auto"/>
                        <w:bottom w:val="none" w:sz="0" w:space="0" w:color="auto"/>
                        <w:right w:val="none" w:sz="0" w:space="0" w:color="auto"/>
                      </w:divBdr>
                      <w:divsChild>
                        <w:div w:id="294150457">
                          <w:marLeft w:val="0"/>
                          <w:marRight w:val="0"/>
                          <w:marTop w:val="0"/>
                          <w:marBottom w:val="0"/>
                          <w:divBdr>
                            <w:top w:val="none" w:sz="0" w:space="0" w:color="auto"/>
                            <w:left w:val="none" w:sz="0" w:space="0" w:color="auto"/>
                            <w:bottom w:val="none" w:sz="0" w:space="0" w:color="auto"/>
                            <w:right w:val="none" w:sz="0" w:space="0" w:color="auto"/>
                          </w:divBdr>
                        </w:div>
                      </w:divsChild>
                    </w:div>
                    <w:div w:id="294154360">
                      <w:marLeft w:val="0"/>
                      <w:marRight w:val="0"/>
                      <w:marTop w:val="0"/>
                      <w:marBottom w:val="0"/>
                      <w:divBdr>
                        <w:top w:val="none" w:sz="0" w:space="0" w:color="auto"/>
                        <w:left w:val="none" w:sz="0" w:space="0" w:color="auto"/>
                        <w:bottom w:val="none" w:sz="0" w:space="0" w:color="auto"/>
                        <w:right w:val="none" w:sz="0" w:space="0" w:color="auto"/>
                      </w:divBdr>
                    </w:div>
                    <w:div w:id="294154408">
                      <w:marLeft w:val="0"/>
                      <w:marRight w:val="0"/>
                      <w:marTop w:val="0"/>
                      <w:marBottom w:val="0"/>
                      <w:divBdr>
                        <w:top w:val="none" w:sz="0" w:space="0" w:color="auto"/>
                        <w:left w:val="none" w:sz="0" w:space="0" w:color="auto"/>
                        <w:bottom w:val="none" w:sz="0" w:space="0" w:color="auto"/>
                        <w:right w:val="none" w:sz="0" w:space="0" w:color="auto"/>
                      </w:divBdr>
                      <w:divsChild>
                        <w:div w:id="294139764">
                          <w:marLeft w:val="0"/>
                          <w:marRight w:val="0"/>
                          <w:marTop w:val="0"/>
                          <w:marBottom w:val="0"/>
                          <w:divBdr>
                            <w:top w:val="none" w:sz="0" w:space="0" w:color="auto"/>
                            <w:left w:val="none" w:sz="0" w:space="0" w:color="auto"/>
                            <w:bottom w:val="none" w:sz="0" w:space="0" w:color="auto"/>
                            <w:right w:val="none" w:sz="0" w:space="0" w:color="auto"/>
                          </w:divBdr>
                        </w:div>
                      </w:divsChild>
                    </w:div>
                    <w:div w:id="294154460">
                      <w:marLeft w:val="0"/>
                      <w:marRight w:val="0"/>
                      <w:marTop w:val="0"/>
                      <w:marBottom w:val="0"/>
                      <w:divBdr>
                        <w:top w:val="none" w:sz="0" w:space="0" w:color="auto"/>
                        <w:left w:val="none" w:sz="0" w:space="0" w:color="auto"/>
                        <w:bottom w:val="none" w:sz="0" w:space="0" w:color="auto"/>
                        <w:right w:val="none" w:sz="0" w:space="0" w:color="auto"/>
                      </w:divBdr>
                    </w:div>
                    <w:div w:id="294154462">
                      <w:marLeft w:val="0"/>
                      <w:marRight w:val="0"/>
                      <w:marTop w:val="0"/>
                      <w:marBottom w:val="0"/>
                      <w:divBdr>
                        <w:top w:val="none" w:sz="0" w:space="0" w:color="auto"/>
                        <w:left w:val="none" w:sz="0" w:space="0" w:color="auto"/>
                        <w:bottom w:val="none" w:sz="0" w:space="0" w:color="auto"/>
                        <w:right w:val="none" w:sz="0" w:space="0" w:color="auto"/>
                      </w:divBdr>
                      <w:divsChild>
                        <w:div w:id="294150031">
                          <w:marLeft w:val="0"/>
                          <w:marRight w:val="0"/>
                          <w:marTop w:val="0"/>
                          <w:marBottom w:val="0"/>
                          <w:divBdr>
                            <w:top w:val="none" w:sz="0" w:space="0" w:color="auto"/>
                            <w:left w:val="none" w:sz="0" w:space="0" w:color="auto"/>
                            <w:bottom w:val="none" w:sz="0" w:space="0" w:color="auto"/>
                            <w:right w:val="none" w:sz="0" w:space="0" w:color="auto"/>
                          </w:divBdr>
                        </w:div>
                      </w:divsChild>
                    </w:div>
                    <w:div w:id="294154480">
                      <w:marLeft w:val="0"/>
                      <w:marRight w:val="0"/>
                      <w:marTop w:val="0"/>
                      <w:marBottom w:val="0"/>
                      <w:divBdr>
                        <w:top w:val="none" w:sz="0" w:space="0" w:color="auto"/>
                        <w:left w:val="none" w:sz="0" w:space="0" w:color="auto"/>
                        <w:bottom w:val="none" w:sz="0" w:space="0" w:color="auto"/>
                        <w:right w:val="none" w:sz="0" w:space="0" w:color="auto"/>
                      </w:divBdr>
                    </w:div>
                    <w:div w:id="294154557">
                      <w:marLeft w:val="0"/>
                      <w:marRight w:val="0"/>
                      <w:marTop w:val="0"/>
                      <w:marBottom w:val="0"/>
                      <w:divBdr>
                        <w:top w:val="none" w:sz="0" w:space="0" w:color="auto"/>
                        <w:left w:val="none" w:sz="0" w:space="0" w:color="auto"/>
                        <w:bottom w:val="none" w:sz="0" w:space="0" w:color="auto"/>
                        <w:right w:val="none" w:sz="0" w:space="0" w:color="auto"/>
                      </w:divBdr>
                      <w:divsChild>
                        <w:div w:id="294145875">
                          <w:marLeft w:val="0"/>
                          <w:marRight w:val="0"/>
                          <w:marTop w:val="0"/>
                          <w:marBottom w:val="0"/>
                          <w:divBdr>
                            <w:top w:val="none" w:sz="0" w:space="0" w:color="auto"/>
                            <w:left w:val="none" w:sz="0" w:space="0" w:color="auto"/>
                            <w:bottom w:val="none" w:sz="0" w:space="0" w:color="auto"/>
                            <w:right w:val="none" w:sz="0" w:space="0" w:color="auto"/>
                          </w:divBdr>
                        </w:div>
                      </w:divsChild>
                    </w:div>
                    <w:div w:id="294154559">
                      <w:marLeft w:val="0"/>
                      <w:marRight w:val="0"/>
                      <w:marTop w:val="0"/>
                      <w:marBottom w:val="0"/>
                      <w:divBdr>
                        <w:top w:val="none" w:sz="0" w:space="0" w:color="auto"/>
                        <w:left w:val="none" w:sz="0" w:space="0" w:color="auto"/>
                        <w:bottom w:val="none" w:sz="0" w:space="0" w:color="auto"/>
                        <w:right w:val="none" w:sz="0" w:space="0" w:color="auto"/>
                      </w:divBdr>
                    </w:div>
                    <w:div w:id="294154562">
                      <w:marLeft w:val="0"/>
                      <w:marRight w:val="0"/>
                      <w:marTop w:val="0"/>
                      <w:marBottom w:val="0"/>
                      <w:divBdr>
                        <w:top w:val="none" w:sz="0" w:space="0" w:color="auto"/>
                        <w:left w:val="none" w:sz="0" w:space="0" w:color="auto"/>
                        <w:bottom w:val="none" w:sz="0" w:space="0" w:color="auto"/>
                        <w:right w:val="none" w:sz="0" w:space="0" w:color="auto"/>
                      </w:divBdr>
                      <w:divsChild>
                        <w:div w:id="294138839">
                          <w:marLeft w:val="0"/>
                          <w:marRight w:val="0"/>
                          <w:marTop w:val="0"/>
                          <w:marBottom w:val="0"/>
                          <w:divBdr>
                            <w:top w:val="none" w:sz="0" w:space="0" w:color="auto"/>
                            <w:left w:val="none" w:sz="0" w:space="0" w:color="auto"/>
                            <w:bottom w:val="none" w:sz="0" w:space="0" w:color="auto"/>
                            <w:right w:val="none" w:sz="0" w:space="0" w:color="auto"/>
                          </w:divBdr>
                        </w:div>
                      </w:divsChild>
                    </w:div>
                    <w:div w:id="294154615">
                      <w:marLeft w:val="0"/>
                      <w:marRight w:val="0"/>
                      <w:marTop w:val="0"/>
                      <w:marBottom w:val="0"/>
                      <w:divBdr>
                        <w:top w:val="none" w:sz="0" w:space="0" w:color="auto"/>
                        <w:left w:val="none" w:sz="0" w:space="0" w:color="auto"/>
                        <w:bottom w:val="none" w:sz="0" w:space="0" w:color="auto"/>
                        <w:right w:val="none" w:sz="0" w:space="0" w:color="auto"/>
                      </w:divBdr>
                    </w:div>
                    <w:div w:id="294154622">
                      <w:marLeft w:val="0"/>
                      <w:marRight w:val="0"/>
                      <w:marTop w:val="0"/>
                      <w:marBottom w:val="0"/>
                      <w:divBdr>
                        <w:top w:val="none" w:sz="0" w:space="0" w:color="auto"/>
                        <w:left w:val="none" w:sz="0" w:space="0" w:color="auto"/>
                        <w:bottom w:val="none" w:sz="0" w:space="0" w:color="auto"/>
                        <w:right w:val="none" w:sz="0" w:space="0" w:color="auto"/>
                      </w:divBdr>
                    </w:div>
                    <w:div w:id="294154629">
                      <w:marLeft w:val="0"/>
                      <w:marRight w:val="0"/>
                      <w:marTop w:val="0"/>
                      <w:marBottom w:val="0"/>
                      <w:divBdr>
                        <w:top w:val="none" w:sz="0" w:space="0" w:color="auto"/>
                        <w:left w:val="none" w:sz="0" w:space="0" w:color="auto"/>
                        <w:bottom w:val="none" w:sz="0" w:space="0" w:color="auto"/>
                        <w:right w:val="none" w:sz="0" w:space="0" w:color="auto"/>
                      </w:divBdr>
                    </w:div>
                    <w:div w:id="294154673">
                      <w:marLeft w:val="0"/>
                      <w:marRight w:val="0"/>
                      <w:marTop w:val="0"/>
                      <w:marBottom w:val="0"/>
                      <w:divBdr>
                        <w:top w:val="none" w:sz="0" w:space="0" w:color="auto"/>
                        <w:left w:val="none" w:sz="0" w:space="0" w:color="auto"/>
                        <w:bottom w:val="none" w:sz="0" w:space="0" w:color="auto"/>
                        <w:right w:val="none" w:sz="0" w:space="0" w:color="auto"/>
                      </w:divBdr>
                    </w:div>
                    <w:div w:id="294154693">
                      <w:marLeft w:val="0"/>
                      <w:marRight w:val="0"/>
                      <w:marTop w:val="0"/>
                      <w:marBottom w:val="0"/>
                      <w:divBdr>
                        <w:top w:val="none" w:sz="0" w:space="0" w:color="auto"/>
                        <w:left w:val="none" w:sz="0" w:space="0" w:color="auto"/>
                        <w:bottom w:val="none" w:sz="0" w:space="0" w:color="auto"/>
                        <w:right w:val="none" w:sz="0" w:space="0" w:color="auto"/>
                      </w:divBdr>
                      <w:divsChild>
                        <w:div w:id="294142999">
                          <w:marLeft w:val="0"/>
                          <w:marRight w:val="0"/>
                          <w:marTop w:val="0"/>
                          <w:marBottom w:val="0"/>
                          <w:divBdr>
                            <w:top w:val="none" w:sz="0" w:space="0" w:color="auto"/>
                            <w:left w:val="none" w:sz="0" w:space="0" w:color="auto"/>
                            <w:bottom w:val="none" w:sz="0" w:space="0" w:color="auto"/>
                            <w:right w:val="none" w:sz="0" w:space="0" w:color="auto"/>
                          </w:divBdr>
                        </w:div>
                      </w:divsChild>
                    </w:div>
                    <w:div w:id="294154711">
                      <w:marLeft w:val="0"/>
                      <w:marRight w:val="0"/>
                      <w:marTop w:val="0"/>
                      <w:marBottom w:val="0"/>
                      <w:divBdr>
                        <w:top w:val="none" w:sz="0" w:space="0" w:color="auto"/>
                        <w:left w:val="none" w:sz="0" w:space="0" w:color="auto"/>
                        <w:bottom w:val="none" w:sz="0" w:space="0" w:color="auto"/>
                        <w:right w:val="none" w:sz="0" w:space="0" w:color="auto"/>
                      </w:divBdr>
                    </w:div>
                    <w:div w:id="294154729">
                      <w:marLeft w:val="0"/>
                      <w:marRight w:val="0"/>
                      <w:marTop w:val="0"/>
                      <w:marBottom w:val="0"/>
                      <w:divBdr>
                        <w:top w:val="none" w:sz="0" w:space="0" w:color="auto"/>
                        <w:left w:val="none" w:sz="0" w:space="0" w:color="auto"/>
                        <w:bottom w:val="none" w:sz="0" w:space="0" w:color="auto"/>
                        <w:right w:val="none" w:sz="0" w:space="0" w:color="auto"/>
                      </w:divBdr>
                    </w:div>
                    <w:div w:id="294154774">
                      <w:marLeft w:val="0"/>
                      <w:marRight w:val="0"/>
                      <w:marTop w:val="0"/>
                      <w:marBottom w:val="0"/>
                      <w:divBdr>
                        <w:top w:val="none" w:sz="0" w:space="0" w:color="auto"/>
                        <w:left w:val="none" w:sz="0" w:space="0" w:color="auto"/>
                        <w:bottom w:val="none" w:sz="0" w:space="0" w:color="auto"/>
                        <w:right w:val="none" w:sz="0" w:space="0" w:color="auto"/>
                      </w:divBdr>
                      <w:divsChild>
                        <w:div w:id="294151744">
                          <w:marLeft w:val="0"/>
                          <w:marRight w:val="0"/>
                          <w:marTop w:val="0"/>
                          <w:marBottom w:val="0"/>
                          <w:divBdr>
                            <w:top w:val="none" w:sz="0" w:space="0" w:color="auto"/>
                            <w:left w:val="none" w:sz="0" w:space="0" w:color="auto"/>
                            <w:bottom w:val="none" w:sz="0" w:space="0" w:color="auto"/>
                            <w:right w:val="none" w:sz="0" w:space="0" w:color="auto"/>
                          </w:divBdr>
                        </w:div>
                      </w:divsChild>
                    </w:div>
                    <w:div w:id="294154805">
                      <w:marLeft w:val="0"/>
                      <w:marRight w:val="0"/>
                      <w:marTop w:val="0"/>
                      <w:marBottom w:val="0"/>
                      <w:divBdr>
                        <w:top w:val="none" w:sz="0" w:space="0" w:color="auto"/>
                        <w:left w:val="none" w:sz="0" w:space="0" w:color="auto"/>
                        <w:bottom w:val="none" w:sz="0" w:space="0" w:color="auto"/>
                        <w:right w:val="none" w:sz="0" w:space="0" w:color="auto"/>
                      </w:divBdr>
                    </w:div>
                    <w:div w:id="294154812">
                      <w:marLeft w:val="0"/>
                      <w:marRight w:val="0"/>
                      <w:marTop w:val="0"/>
                      <w:marBottom w:val="0"/>
                      <w:divBdr>
                        <w:top w:val="none" w:sz="0" w:space="0" w:color="auto"/>
                        <w:left w:val="none" w:sz="0" w:space="0" w:color="auto"/>
                        <w:bottom w:val="none" w:sz="0" w:space="0" w:color="auto"/>
                        <w:right w:val="none" w:sz="0" w:space="0" w:color="auto"/>
                      </w:divBdr>
                    </w:div>
                    <w:div w:id="294154819">
                      <w:marLeft w:val="0"/>
                      <w:marRight w:val="0"/>
                      <w:marTop w:val="0"/>
                      <w:marBottom w:val="0"/>
                      <w:divBdr>
                        <w:top w:val="none" w:sz="0" w:space="0" w:color="auto"/>
                        <w:left w:val="none" w:sz="0" w:space="0" w:color="auto"/>
                        <w:bottom w:val="none" w:sz="0" w:space="0" w:color="auto"/>
                        <w:right w:val="none" w:sz="0" w:space="0" w:color="auto"/>
                      </w:divBdr>
                    </w:div>
                    <w:div w:id="294154840">
                      <w:marLeft w:val="0"/>
                      <w:marRight w:val="0"/>
                      <w:marTop w:val="0"/>
                      <w:marBottom w:val="0"/>
                      <w:divBdr>
                        <w:top w:val="none" w:sz="0" w:space="0" w:color="auto"/>
                        <w:left w:val="none" w:sz="0" w:space="0" w:color="auto"/>
                        <w:bottom w:val="none" w:sz="0" w:space="0" w:color="auto"/>
                        <w:right w:val="none" w:sz="0" w:space="0" w:color="auto"/>
                      </w:divBdr>
                    </w:div>
                    <w:div w:id="294154842">
                      <w:marLeft w:val="0"/>
                      <w:marRight w:val="0"/>
                      <w:marTop w:val="0"/>
                      <w:marBottom w:val="0"/>
                      <w:divBdr>
                        <w:top w:val="none" w:sz="0" w:space="0" w:color="auto"/>
                        <w:left w:val="none" w:sz="0" w:space="0" w:color="auto"/>
                        <w:bottom w:val="none" w:sz="0" w:space="0" w:color="auto"/>
                        <w:right w:val="none" w:sz="0" w:space="0" w:color="auto"/>
                      </w:divBdr>
                    </w:div>
                    <w:div w:id="294154907">
                      <w:marLeft w:val="0"/>
                      <w:marRight w:val="0"/>
                      <w:marTop w:val="0"/>
                      <w:marBottom w:val="0"/>
                      <w:divBdr>
                        <w:top w:val="none" w:sz="0" w:space="0" w:color="auto"/>
                        <w:left w:val="none" w:sz="0" w:space="0" w:color="auto"/>
                        <w:bottom w:val="none" w:sz="0" w:space="0" w:color="auto"/>
                        <w:right w:val="none" w:sz="0" w:space="0" w:color="auto"/>
                      </w:divBdr>
                    </w:div>
                    <w:div w:id="294154920">
                      <w:marLeft w:val="0"/>
                      <w:marRight w:val="0"/>
                      <w:marTop w:val="0"/>
                      <w:marBottom w:val="0"/>
                      <w:divBdr>
                        <w:top w:val="none" w:sz="0" w:space="0" w:color="auto"/>
                        <w:left w:val="none" w:sz="0" w:space="0" w:color="auto"/>
                        <w:bottom w:val="none" w:sz="0" w:space="0" w:color="auto"/>
                        <w:right w:val="none" w:sz="0" w:space="0" w:color="auto"/>
                      </w:divBdr>
                    </w:div>
                    <w:div w:id="294154938">
                      <w:marLeft w:val="0"/>
                      <w:marRight w:val="0"/>
                      <w:marTop w:val="0"/>
                      <w:marBottom w:val="0"/>
                      <w:divBdr>
                        <w:top w:val="none" w:sz="0" w:space="0" w:color="auto"/>
                        <w:left w:val="none" w:sz="0" w:space="0" w:color="auto"/>
                        <w:bottom w:val="none" w:sz="0" w:space="0" w:color="auto"/>
                        <w:right w:val="none" w:sz="0" w:space="0" w:color="auto"/>
                      </w:divBdr>
                    </w:div>
                    <w:div w:id="294155012">
                      <w:marLeft w:val="0"/>
                      <w:marRight w:val="0"/>
                      <w:marTop w:val="0"/>
                      <w:marBottom w:val="0"/>
                      <w:divBdr>
                        <w:top w:val="none" w:sz="0" w:space="0" w:color="auto"/>
                        <w:left w:val="none" w:sz="0" w:space="0" w:color="auto"/>
                        <w:bottom w:val="none" w:sz="0" w:space="0" w:color="auto"/>
                        <w:right w:val="none" w:sz="0" w:space="0" w:color="auto"/>
                      </w:divBdr>
                      <w:divsChild>
                        <w:div w:id="294144117">
                          <w:marLeft w:val="0"/>
                          <w:marRight w:val="0"/>
                          <w:marTop w:val="0"/>
                          <w:marBottom w:val="0"/>
                          <w:divBdr>
                            <w:top w:val="none" w:sz="0" w:space="0" w:color="auto"/>
                            <w:left w:val="none" w:sz="0" w:space="0" w:color="auto"/>
                            <w:bottom w:val="none" w:sz="0" w:space="0" w:color="auto"/>
                            <w:right w:val="none" w:sz="0" w:space="0" w:color="auto"/>
                          </w:divBdr>
                        </w:div>
                      </w:divsChild>
                    </w:div>
                    <w:div w:id="294155027">
                      <w:marLeft w:val="0"/>
                      <w:marRight w:val="0"/>
                      <w:marTop w:val="0"/>
                      <w:marBottom w:val="0"/>
                      <w:divBdr>
                        <w:top w:val="none" w:sz="0" w:space="0" w:color="auto"/>
                        <w:left w:val="none" w:sz="0" w:space="0" w:color="auto"/>
                        <w:bottom w:val="none" w:sz="0" w:space="0" w:color="auto"/>
                        <w:right w:val="none" w:sz="0" w:space="0" w:color="auto"/>
                      </w:divBdr>
                      <w:divsChild>
                        <w:div w:id="294139366">
                          <w:marLeft w:val="0"/>
                          <w:marRight w:val="0"/>
                          <w:marTop w:val="0"/>
                          <w:marBottom w:val="0"/>
                          <w:divBdr>
                            <w:top w:val="none" w:sz="0" w:space="0" w:color="auto"/>
                            <w:left w:val="none" w:sz="0" w:space="0" w:color="auto"/>
                            <w:bottom w:val="none" w:sz="0" w:space="0" w:color="auto"/>
                            <w:right w:val="none" w:sz="0" w:space="0" w:color="auto"/>
                          </w:divBdr>
                        </w:div>
                      </w:divsChild>
                    </w:div>
                    <w:div w:id="294155043">
                      <w:marLeft w:val="0"/>
                      <w:marRight w:val="0"/>
                      <w:marTop w:val="0"/>
                      <w:marBottom w:val="0"/>
                      <w:divBdr>
                        <w:top w:val="none" w:sz="0" w:space="0" w:color="auto"/>
                        <w:left w:val="none" w:sz="0" w:space="0" w:color="auto"/>
                        <w:bottom w:val="none" w:sz="0" w:space="0" w:color="auto"/>
                        <w:right w:val="none" w:sz="0" w:space="0" w:color="auto"/>
                      </w:divBdr>
                      <w:divsChild>
                        <w:div w:id="294153256">
                          <w:marLeft w:val="0"/>
                          <w:marRight w:val="0"/>
                          <w:marTop w:val="0"/>
                          <w:marBottom w:val="0"/>
                          <w:divBdr>
                            <w:top w:val="none" w:sz="0" w:space="0" w:color="auto"/>
                            <w:left w:val="none" w:sz="0" w:space="0" w:color="auto"/>
                            <w:bottom w:val="none" w:sz="0" w:space="0" w:color="auto"/>
                            <w:right w:val="none" w:sz="0" w:space="0" w:color="auto"/>
                          </w:divBdr>
                        </w:div>
                      </w:divsChild>
                    </w:div>
                    <w:div w:id="294155049">
                      <w:marLeft w:val="0"/>
                      <w:marRight w:val="0"/>
                      <w:marTop w:val="0"/>
                      <w:marBottom w:val="0"/>
                      <w:divBdr>
                        <w:top w:val="none" w:sz="0" w:space="0" w:color="auto"/>
                        <w:left w:val="none" w:sz="0" w:space="0" w:color="auto"/>
                        <w:bottom w:val="none" w:sz="0" w:space="0" w:color="auto"/>
                        <w:right w:val="none" w:sz="0" w:space="0" w:color="auto"/>
                      </w:divBdr>
                      <w:divsChild>
                        <w:div w:id="294139187">
                          <w:marLeft w:val="0"/>
                          <w:marRight w:val="0"/>
                          <w:marTop w:val="0"/>
                          <w:marBottom w:val="0"/>
                          <w:divBdr>
                            <w:top w:val="none" w:sz="0" w:space="0" w:color="auto"/>
                            <w:left w:val="none" w:sz="0" w:space="0" w:color="auto"/>
                            <w:bottom w:val="none" w:sz="0" w:space="0" w:color="auto"/>
                            <w:right w:val="none" w:sz="0" w:space="0" w:color="auto"/>
                          </w:divBdr>
                        </w:div>
                      </w:divsChild>
                    </w:div>
                    <w:div w:id="294155116">
                      <w:marLeft w:val="0"/>
                      <w:marRight w:val="0"/>
                      <w:marTop w:val="0"/>
                      <w:marBottom w:val="0"/>
                      <w:divBdr>
                        <w:top w:val="none" w:sz="0" w:space="0" w:color="auto"/>
                        <w:left w:val="none" w:sz="0" w:space="0" w:color="auto"/>
                        <w:bottom w:val="none" w:sz="0" w:space="0" w:color="auto"/>
                        <w:right w:val="none" w:sz="0" w:space="0" w:color="auto"/>
                      </w:divBdr>
                      <w:divsChild>
                        <w:div w:id="294146641">
                          <w:marLeft w:val="0"/>
                          <w:marRight w:val="0"/>
                          <w:marTop w:val="0"/>
                          <w:marBottom w:val="0"/>
                          <w:divBdr>
                            <w:top w:val="none" w:sz="0" w:space="0" w:color="auto"/>
                            <w:left w:val="none" w:sz="0" w:space="0" w:color="auto"/>
                            <w:bottom w:val="none" w:sz="0" w:space="0" w:color="auto"/>
                            <w:right w:val="none" w:sz="0" w:space="0" w:color="auto"/>
                          </w:divBdr>
                        </w:div>
                      </w:divsChild>
                    </w:div>
                    <w:div w:id="294155135">
                      <w:marLeft w:val="0"/>
                      <w:marRight w:val="0"/>
                      <w:marTop w:val="0"/>
                      <w:marBottom w:val="0"/>
                      <w:divBdr>
                        <w:top w:val="none" w:sz="0" w:space="0" w:color="auto"/>
                        <w:left w:val="none" w:sz="0" w:space="0" w:color="auto"/>
                        <w:bottom w:val="none" w:sz="0" w:space="0" w:color="auto"/>
                        <w:right w:val="none" w:sz="0" w:space="0" w:color="auto"/>
                      </w:divBdr>
                      <w:divsChild>
                        <w:div w:id="294149928">
                          <w:marLeft w:val="0"/>
                          <w:marRight w:val="0"/>
                          <w:marTop w:val="0"/>
                          <w:marBottom w:val="0"/>
                          <w:divBdr>
                            <w:top w:val="none" w:sz="0" w:space="0" w:color="auto"/>
                            <w:left w:val="none" w:sz="0" w:space="0" w:color="auto"/>
                            <w:bottom w:val="none" w:sz="0" w:space="0" w:color="auto"/>
                            <w:right w:val="none" w:sz="0" w:space="0" w:color="auto"/>
                          </w:divBdr>
                        </w:div>
                      </w:divsChild>
                    </w:div>
                    <w:div w:id="294155141">
                      <w:marLeft w:val="0"/>
                      <w:marRight w:val="0"/>
                      <w:marTop w:val="0"/>
                      <w:marBottom w:val="0"/>
                      <w:divBdr>
                        <w:top w:val="none" w:sz="0" w:space="0" w:color="auto"/>
                        <w:left w:val="none" w:sz="0" w:space="0" w:color="auto"/>
                        <w:bottom w:val="none" w:sz="0" w:space="0" w:color="auto"/>
                        <w:right w:val="none" w:sz="0" w:space="0" w:color="auto"/>
                      </w:divBdr>
                    </w:div>
                    <w:div w:id="294155168">
                      <w:marLeft w:val="0"/>
                      <w:marRight w:val="0"/>
                      <w:marTop w:val="0"/>
                      <w:marBottom w:val="0"/>
                      <w:divBdr>
                        <w:top w:val="none" w:sz="0" w:space="0" w:color="auto"/>
                        <w:left w:val="none" w:sz="0" w:space="0" w:color="auto"/>
                        <w:bottom w:val="none" w:sz="0" w:space="0" w:color="auto"/>
                        <w:right w:val="none" w:sz="0" w:space="0" w:color="auto"/>
                      </w:divBdr>
                    </w:div>
                    <w:div w:id="294155178">
                      <w:marLeft w:val="0"/>
                      <w:marRight w:val="0"/>
                      <w:marTop w:val="0"/>
                      <w:marBottom w:val="0"/>
                      <w:divBdr>
                        <w:top w:val="none" w:sz="0" w:space="0" w:color="auto"/>
                        <w:left w:val="none" w:sz="0" w:space="0" w:color="auto"/>
                        <w:bottom w:val="none" w:sz="0" w:space="0" w:color="auto"/>
                        <w:right w:val="none" w:sz="0" w:space="0" w:color="auto"/>
                      </w:divBdr>
                    </w:div>
                    <w:div w:id="294155196">
                      <w:marLeft w:val="0"/>
                      <w:marRight w:val="0"/>
                      <w:marTop w:val="0"/>
                      <w:marBottom w:val="0"/>
                      <w:divBdr>
                        <w:top w:val="none" w:sz="0" w:space="0" w:color="auto"/>
                        <w:left w:val="none" w:sz="0" w:space="0" w:color="auto"/>
                        <w:bottom w:val="none" w:sz="0" w:space="0" w:color="auto"/>
                        <w:right w:val="none" w:sz="0" w:space="0" w:color="auto"/>
                      </w:divBdr>
                      <w:divsChild>
                        <w:div w:id="294139178">
                          <w:marLeft w:val="0"/>
                          <w:marRight w:val="0"/>
                          <w:marTop w:val="0"/>
                          <w:marBottom w:val="0"/>
                          <w:divBdr>
                            <w:top w:val="none" w:sz="0" w:space="0" w:color="auto"/>
                            <w:left w:val="none" w:sz="0" w:space="0" w:color="auto"/>
                            <w:bottom w:val="none" w:sz="0" w:space="0" w:color="auto"/>
                            <w:right w:val="none" w:sz="0" w:space="0" w:color="auto"/>
                          </w:divBdr>
                        </w:div>
                      </w:divsChild>
                    </w:div>
                    <w:div w:id="294155203">
                      <w:marLeft w:val="0"/>
                      <w:marRight w:val="0"/>
                      <w:marTop w:val="0"/>
                      <w:marBottom w:val="0"/>
                      <w:divBdr>
                        <w:top w:val="none" w:sz="0" w:space="0" w:color="auto"/>
                        <w:left w:val="none" w:sz="0" w:space="0" w:color="auto"/>
                        <w:bottom w:val="none" w:sz="0" w:space="0" w:color="auto"/>
                        <w:right w:val="none" w:sz="0" w:space="0" w:color="auto"/>
                      </w:divBdr>
                      <w:divsChild>
                        <w:div w:id="294149138">
                          <w:marLeft w:val="0"/>
                          <w:marRight w:val="0"/>
                          <w:marTop w:val="0"/>
                          <w:marBottom w:val="0"/>
                          <w:divBdr>
                            <w:top w:val="none" w:sz="0" w:space="0" w:color="auto"/>
                            <w:left w:val="none" w:sz="0" w:space="0" w:color="auto"/>
                            <w:bottom w:val="none" w:sz="0" w:space="0" w:color="auto"/>
                            <w:right w:val="none" w:sz="0" w:space="0" w:color="auto"/>
                          </w:divBdr>
                        </w:div>
                      </w:divsChild>
                    </w:div>
                    <w:div w:id="294155217">
                      <w:marLeft w:val="0"/>
                      <w:marRight w:val="0"/>
                      <w:marTop w:val="0"/>
                      <w:marBottom w:val="0"/>
                      <w:divBdr>
                        <w:top w:val="none" w:sz="0" w:space="0" w:color="auto"/>
                        <w:left w:val="none" w:sz="0" w:space="0" w:color="auto"/>
                        <w:bottom w:val="none" w:sz="0" w:space="0" w:color="auto"/>
                        <w:right w:val="none" w:sz="0" w:space="0" w:color="auto"/>
                      </w:divBdr>
                      <w:divsChild>
                        <w:div w:id="294143120">
                          <w:marLeft w:val="0"/>
                          <w:marRight w:val="0"/>
                          <w:marTop w:val="0"/>
                          <w:marBottom w:val="0"/>
                          <w:divBdr>
                            <w:top w:val="none" w:sz="0" w:space="0" w:color="auto"/>
                            <w:left w:val="none" w:sz="0" w:space="0" w:color="auto"/>
                            <w:bottom w:val="none" w:sz="0" w:space="0" w:color="auto"/>
                            <w:right w:val="none" w:sz="0" w:space="0" w:color="auto"/>
                          </w:divBdr>
                        </w:div>
                      </w:divsChild>
                    </w:div>
                    <w:div w:id="294155228">
                      <w:marLeft w:val="0"/>
                      <w:marRight w:val="0"/>
                      <w:marTop w:val="0"/>
                      <w:marBottom w:val="0"/>
                      <w:divBdr>
                        <w:top w:val="none" w:sz="0" w:space="0" w:color="auto"/>
                        <w:left w:val="none" w:sz="0" w:space="0" w:color="auto"/>
                        <w:bottom w:val="none" w:sz="0" w:space="0" w:color="auto"/>
                        <w:right w:val="none" w:sz="0" w:space="0" w:color="auto"/>
                      </w:divBdr>
                    </w:div>
                    <w:div w:id="294155249">
                      <w:marLeft w:val="0"/>
                      <w:marRight w:val="0"/>
                      <w:marTop w:val="0"/>
                      <w:marBottom w:val="0"/>
                      <w:divBdr>
                        <w:top w:val="none" w:sz="0" w:space="0" w:color="auto"/>
                        <w:left w:val="none" w:sz="0" w:space="0" w:color="auto"/>
                        <w:bottom w:val="none" w:sz="0" w:space="0" w:color="auto"/>
                        <w:right w:val="none" w:sz="0" w:space="0" w:color="auto"/>
                      </w:divBdr>
                      <w:divsChild>
                        <w:div w:id="294146703">
                          <w:marLeft w:val="0"/>
                          <w:marRight w:val="0"/>
                          <w:marTop w:val="0"/>
                          <w:marBottom w:val="0"/>
                          <w:divBdr>
                            <w:top w:val="none" w:sz="0" w:space="0" w:color="auto"/>
                            <w:left w:val="none" w:sz="0" w:space="0" w:color="auto"/>
                            <w:bottom w:val="none" w:sz="0" w:space="0" w:color="auto"/>
                            <w:right w:val="none" w:sz="0" w:space="0" w:color="auto"/>
                          </w:divBdr>
                        </w:div>
                      </w:divsChild>
                    </w:div>
                    <w:div w:id="294155275">
                      <w:marLeft w:val="0"/>
                      <w:marRight w:val="0"/>
                      <w:marTop w:val="0"/>
                      <w:marBottom w:val="0"/>
                      <w:divBdr>
                        <w:top w:val="none" w:sz="0" w:space="0" w:color="auto"/>
                        <w:left w:val="none" w:sz="0" w:space="0" w:color="auto"/>
                        <w:bottom w:val="none" w:sz="0" w:space="0" w:color="auto"/>
                        <w:right w:val="none" w:sz="0" w:space="0" w:color="auto"/>
                      </w:divBdr>
                    </w:div>
                    <w:div w:id="294155305">
                      <w:marLeft w:val="0"/>
                      <w:marRight w:val="0"/>
                      <w:marTop w:val="0"/>
                      <w:marBottom w:val="0"/>
                      <w:divBdr>
                        <w:top w:val="none" w:sz="0" w:space="0" w:color="auto"/>
                        <w:left w:val="none" w:sz="0" w:space="0" w:color="auto"/>
                        <w:bottom w:val="none" w:sz="0" w:space="0" w:color="auto"/>
                        <w:right w:val="none" w:sz="0" w:space="0" w:color="auto"/>
                      </w:divBdr>
                      <w:divsChild>
                        <w:div w:id="294142356">
                          <w:marLeft w:val="0"/>
                          <w:marRight w:val="0"/>
                          <w:marTop w:val="0"/>
                          <w:marBottom w:val="0"/>
                          <w:divBdr>
                            <w:top w:val="none" w:sz="0" w:space="0" w:color="auto"/>
                            <w:left w:val="none" w:sz="0" w:space="0" w:color="auto"/>
                            <w:bottom w:val="none" w:sz="0" w:space="0" w:color="auto"/>
                            <w:right w:val="none" w:sz="0" w:space="0" w:color="auto"/>
                          </w:divBdr>
                        </w:div>
                      </w:divsChild>
                    </w:div>
                    <w:div w:id="294155315">
                      <w:marLeft w:val="0"/>
                      <w:marRight w:val="0"/>
                      <w:marTop w:val="0"/>
                      <w:marBottom w:val="0"/>
                      <w:divBdr>
                        <w:top w:val="none" w:sz="0" w:space="0" w:color="auto"/>
                        <w:left w:val="none" w:sz="0" w:space="0" w:color="auto"/>
                        <w:bottom w:val="none" w:sz="0" w:space="0" w:color="auto"/>
                        <w:right w:val="none" w:sz="0" w:space="0" w:color="auto"/>
                      </w:divBdr>
                    </w:div>
                    <w:div w:id="294155325">
                      <w:marLeft w:val="0"/>
                      <w:marRight w:val="0"/>
                      <w:marTop w:val="0"/>
                      <w:marBottom w:val="0"/>
                      <w:divBdr>
                        <w:top w:val="none" w:sz="0" w:space="0" w:color="auto"/>
                        <w:left w:val="none" w:sz="0" w:space="0" w:color="auto"/>
                        <w:bottom w:val="none" w:sz="0" w:space="0" w:color="auto"/>
                        <w:right w:val="none" w:sz="0" w:space="0" w:color="auto"/>
                      </w:divBdr>
                      <w:divsChild>
                        <w:div w:id="294141462">
                          <w:marLeft w:val="0"/>
                          <w:marRight w:val="0"/>
                          <w:marTop w:val="0"/>
                          <w:marBottom w:val="0"/>
                          <w:divBdr>
                            <w:top w:val="none" w:sz="0" w:space="0" w:color="auto"/>
                            <w:left w:val="none" w:sz="0" w:space="0" w:color="auto"/>
                            <w:bottom w:val="none" w:sz="0" w:space="0" w:color="auto"/>
                            <w:right w:val="none" w:sz="0" w:space="0" w:color="auto"/>
                          </w:divBdr>
                        </w:div>
                      </w:divsChild>
                    </w:div>
                    <w:div w:id="294155332">
                      <w:marLeft w:val="0"/>
                      <w:marRight w:val="0"/>
                      <w:marTop w:val="0"/>
                      <w:marBottom w:val="0"/>
                      <w:divBdr>
                        <w:top w:val="none" w:sz="0" w:space="0" w:color="auto"/>
                        <w:left w:val="none" w:sz="0" w:space="0" w:color="auto"/>
                        <w:bottom w:val="none" w:sz="0" w:space="0" w:color="auto"/>
                        <w:right w:val="none" w:sz="0" w:space="0" w:color="auto"/>
                      </w:divBdr>
                    </w:div>
                    <w:div w:id="294155342">
                      <w:marLeft w:val="0"/>
                      <w:marRight w:val="0"/>
                      <w:marTop w:val="0"/>
                      <w:marBottom w:val="0"/>
                      <w:divBdr>
                        <w:top w:val="none" w:sz="0" w:space="0" w:color="auto"/>
                        <w:left w:val="none" w:sz="0" w:space="0" w:color="auto"/>
                        <w:bottom w:val="none" w:sz="0" w:space="0" w:color="auto"/>
                        <w:right w:val="none" w:sz="0" w:space="0" w:color="auto"/>
                      </w:divBdr>
                    </w:div>
                    <w:div w:id="294155370">
                      <w:marLeft w:val="0"/>
                      <w:marRight w:val="0"/>
                      <w:marTop w:val="0"/>
                      <w:marBottom w:val="0"/>
                      <w:divBdr>
                        <w:top w:val="none" w:sz="0" w:space="0" w:color="auto"/>
                        <w:left w:val="none" w:sz="0" w:space="0" w:color="auto"/>
                        <w:bottom w:val="none" w:sz="0" w:space="0" w:color="auto"/>
                        <w:right w:val="none" w:sz="0" w:space="0" w:color="auto"/>
                      </w:divBdr>
                      <w:divsChild>
                        <w:div w:id="294146462">
                          <w:marLeft w:val="0"/>
                          <w:marRight w:val="0"/>
                          <w:marTop w:val="0"/>
                          <w:marBottom w:val="0"/>
                          <w:divBdr>
                            <w:top w:val="none" w:sz="0" w:space="0" w:color="auto"/>
                            <w:left w:val="none" w:sz="0" w:space="0" w:color="auto"/>
                            <w:bottom w:val="none" w:sz="0" w:space="0" w:color="auto"/>
                            <w:right w:val="none" w:sz="0" w:space="0" w:color="auto"/>
                          </w:divBdr>
                        </w:div>
                      </w:divsChild>
                    </w:div>
                    <w:div w:id="294155399">
                      <w:marLeft w:val="0"/>
                      <w:marRight w:val="0"/>
                      <w:marTop w:val="0"/>
                      <w:marBottom w:val="0"/>
                      <w:divBdr>
                        <w:top w:val="none" w:sz="0" w:space="0" w:color="auto"/>
                        <w:left w:val="none" w:sz="0" w:space="0" w:color="auto"/>
                        <w:bottom w:val="none" w:sz="0" w:space="0" w:color="auto"/>
                        <w:right w:val="none" w:sz="0" w:space="0" w:color="auto"/>
                      </w:divBdr>
                    </w:div>
                    <w:div w:id="294155403">
                      <w:marLeft w:val="0"/>
                      <w:marRight w:val="0"/>
                      <w:marTop w:val="0"/>
                      <w:marBottom w:val="0"/>
                      <w:divBdr>
                        <w:top w:val="none" w:sz="0" w:space="0" w:color="auto"/>
                        <w:left w:val="none" w:sz="0" w:space="0" w:color="auto"/>
                        <w:bottom w:val="none" w:sz="0" w:space="0" w:color="auto"/>
                        <w:right w:val="none" w:sz="0" w:space="0" w:color="auto"/>
                      </w:divBdr>
                      <w:divsChild>
                        <w:div w:id="294141034">
                          <w:marLeft w:val="0"/>
                          <w:marRight w:val="0"/>
                          <w:marTop w:val="0"/>
                          <w:marBottom w:val="0"/>
                          <w:divBdr>
                            <w:top w:val="none" w:sz="0" w:space="0" w:color="auto"/>
                            <w:left w:val="none" w:sz="0" w:space="0" w:color="auto"/>
                            <w:bottom w:val="none" w:sz="0" w:space="0" w:color="auto"/>
                            <w:right w:val="none" w:sz="0" w:space="0" w:color="auto"/>
                          </w:divBdr>
                        </w:div>
                      </w:divsChild>
                    </w:div>
                    <w:div w:id="294155457">
                      <w:marLeft w:val="0"/>
                      <w:marRight w:val="0"/>
                      <w:marTop w:val="0"/>
                      <w:marBottom w:val="0"/>
                      <w:divBdr>
                        <w:top w:val="none" w:sz="0" w:space="0" w:color="auto"/>
                        <w:left w:val="none" w:sz="0" w:space="0" w:color="auto"/>
                        <w:bottom w:val="none" w:sz="0" w:space="0" w:color="auto"/>
                        <w:right w:val="none" w:sz="0" w:space="0" w:color="auto"/>
                      </w:divBdr>
                      <w:divsChild>
                        <w:div w:id="294144453">
                          <w:marLeft w:val="0"/>
                          <w:marRight w:val="0"/>
                          <w:marTop w:val="0"/>
                          <w:marBottom w:val="0"/>
                          <w:divBdr>
                            <w:top w:val="none" w:sz="0" w:space="0" w:color="auto"/>
                            <w:left w:val="none" w:sz="0" w:space="0" w:color="auto"/>
                            <w:bottom w:val="none" w:sz="0" w:space="0" w:color="auto"/>
                            <w:right w:val="none" w:sz="0" w:space="0" w:color="auto"/>
                          </w:divBdr>
                        </w:div>
                      </w:divsChild>
                    </w:div>
                    <w:div w:id="294155468">
                      <w:marLeft w:val="0"/>
                      <w:marRight w:val="0"/>
                      <w:marTop w:val="0"/>
                      <w:marBottom w:val="0"/>
                      <w:divBdr>
                        <w:top w:val="none" w:sz="0" w:space="0" w:color="auto"/>
                        <w:left w:val="none" w:sz="0" w:space="0" w:color="auto"/>
                        <w:bottom w:val="none" w:sz="0" w:space="0" w:color="auto"/>
                        <w:right w:val="none" w:sz="0" w:space="0" w:color="auto"/>
                      </w:divBdr>
                    </w:div>
                    <w:div w:id="294155476">
                      <w:marLeft w:val="0"/>
                      <w:marRight w:val="0"/>
                      <w:marTop w:val="0"/>
                      <w:marBottom w:val="0"/>
                      <w:divBdr>
                        <w:top w:val="none" w:sz="0" w:space="0" w:color="auto"/>
                        <w:left w:val="none" w:sz="0" w:space="0" w:color="auto"/>
                        <w:bottom w:val="none" w:sz="0" w:space="0" w:color="auto"/>
                        <w:right w:val="none" w:sz="0" w:space="0" w:color="auto"/>
                      </w:divBdr>
                    </w:div>
                    <w:div w:id="294155488">
                      <w:marLeft w:val="0"/>
                      <w:marRight w:val="0"/>
                      <w:marTop w:val="0"/>
                      <w:marBottom w:val="0"/>
                      <w:divBdr>
                        <w:top w:val="none" w:sz="0" w:space="0" w:color="auto"/>
                        <w:left w:val="none" w:sz="0" w:space="0" w:color="auto"/>
                        <w:bottom w:val="none" w:sz="0" w:space="0" w:color="auto"/>
                        <w:right w:val="none" w:sz="0" w:space="0" w:color="auto"/>
                      </w:divBdr>
                      <w:divsChild>
                        <w:div w:id="294154701">
                          <w:marLeft w:val="0"/>
                          <w:marRight w:val="0"/>
                          <w:marTop w:val="0"/>
                          <w:marBottom w:val="0"/>
                          <w:divBdr>
                            <w:top w:val="none" w:sz="0" w:space="0" w:color="auto"/>
                            <w:left w:val="none" w:sz="0" w:space="0" w:color="auto"/>
                            <w:bottom w:val="none" w:sz="0" w:space="0" w:color="auto"/>
                            <w:right w:val="none" w:sz="0" w:space="0" w:color="auto"/>
                          </w:divBdr>
                        </w:div>
                      </w:divsChild>
                    </w:div>
                    <w:div w:id="294155494">
                      <w:marLeft w:val="0"/>
                      <w:marRight w:val="0"/>
                      <w:marTop w:val="0"/>
                      <w:marBottom w:val="0"/>
                      <w:divBdr>
                        <w:top w:val="none" w:sz="0" w:space="0" w:color="auto"/>
                        <w:left w:val="none" w:sz="0" w:space="0" w:color="auto"/>
                        <w:bottom w:val="none" w:sz="0" w:space="0" w:color="auto"/>
                        <w:right w:val="none" w:sz="0" w:space="0" w:color="auto"/>
                      </w:divBdr>
                    </w:div>
                    <w:div w:id="294155517">
                      <w:marLeft w:val="0"/>
                      <w:marRight w:val="0"/>
                      <w:marTop w:val="0"/>
                      <w:marBottom w:val="0"/>
                      <w:divBdr>
                        <w:top w:val="none" w:sz="0" w:space="0" w:color="auto"/>
                        <w:left w:val="none" w:sz="0" w:space="0" w:color="auto"/>
                        <w:bottom w:val="none" w:sz="0" w:space="0" w:color="auto"/>
                        <w:right w:val="none" w:sz="0" w:space="0" w:color="auto"/>
                      </w:divBdr>
                    </w:div>
                    <w:div w:id="294155529">
                      <w:marLeft w:val="0"/>
                      <w:marRight w:val="0"/>
                      <w:marTop w:val="0"/>
                      <w:marBottom w:val="0"/>
                      <w:divBdr>
                        <w:top w:val="none" w:sz="0" w:space="0" w:color="auto"/>
                        <w:left w:val="none" w:sz="0" w:space="0" w:color="auto"/>
                        <w:bottom w:val="none" w:sz="0" w:space="0" w:color="auto"/>
                        <w:right w:val="none" w:sz="0" w:space="0" w:color="auto"/>
                      </w:divBdr>
                      <w:divsChild>
                        <w:div w:id="294139787">
                          <w:marLeft w:val="0"/>
                          <w:marRight w:val="0"/>
                          <w:marTop w:val="0"/>
                          <w:marBottom w:val="0"/>
                          <w:divBdr>
                            <w:top w:val="none" w:sz="0" w:space="0" w:color="auto"/>
                            <w:left w:val="none" w:sz="0" w:space="0" w:color="auto"/>
                            <w:bottom w:val="none" w:sz="0" w:space="0" w:color="auto"/>
                            <w:right w:val="none" w:sz="0" w:space="0" w:color="auto"/>
                          </w:divBdr>
                        </w:div>
                      </w:divsChild>
                    </w:div>
                    <w:div w:id="294155535">
                      <w:marLeft w:val="0"/>
                      <w:marRight w:val="0"/>
                      <w:marTop w:val="0"/>
                      <w:marBottom w:val="0"/>
                      <w:divBdr>
                        <w:top w:val="none" w:sz="0" w:space="0" w:color="auto"/>
                        <w:left w:val="none" w:sz="0" w:space="0" w:color="auto"/>
                        <w:bottom w:val="none" w:sz="0" w:space="0" w:color="auto"/>
                        <w:right w:val="none" w:sz="0" w:space="0" w:color="auto"/>
                      </w:divBdr>
                    </w:div>
                    <w:div w:id="294155559">
                      <w:marLeft w:val="0"/>
                      <w:marRight w:val="0"/>
                      <w:marTop w:val="0"/>
                      <w:marBottom w:val="0"/>
                      <w:divBdr>
                        <w:top w:val="none" w:sz="0" w:space="0" w:color="auto"/>
                        <w:left w:val="none" w:sz="0" w:space="0" w:color="auto"/>
                        <w:bottom w:val="none" w:sz="0" w:space="0" w:color="auto"/>
                        <w:right w:val="none" w:sz="0" w:space="0" w:color="auto"/>
                      </w:divBdr>
                    </w:div>
                    <w:div w:id="294155596">
                      <w:marLeft w:val="0"/>
                      <w:marRight w:val="0"/>
                      <w:marTop w:val="0"/>
                      <w:marBottom w:val="0"/>
                      <w:divBdr>
                        <w:top w:val="none" w:sz="0" w:space="0" w:color="auto"/>
                        <w:left w:val="none" w:sz="0" w:space="0" w:color="auto"/>
                        <w:bottom w:val="none" w:sz="0" w:space="0" w:color="auto"/>
                        <w:right w:val="none" w:sz="0" w:space="0" w:color="auto"/>
                      </w:divBdr>
                      <w:divsChild>
                        <w:div w:id="294144439">
                          <w:marLeft w:val="0"/>
                          <w:marRight w:val="0"/>
                          <w:marTop w:val="0"/>
                          <w:marBottom w:val="0"/>
                          <w:divBdr>
                            <w:top w:val="none" w:sz="0" w:space="0" w:color="auto"/>
                            <w:left w:val="none" w:sz="0" w:space="0" w:color="auto"/>
                            <w:bottom w:val="none" w:sz="0" w:space="0" w:color="auto"/>
                            <w:right w:val="none" w:sz="0" w:space="0" w:color="auto"/>
                          </w:divBdr>
                        </w:div>
                      </w:divsChild>
                    </w:div>
                    <w:div w:id="294155666">
                      <w:marLeft w:val="0"/>
                      <w:marRight w:val="0"/>
                      <w:marTop w:val="0"/>
                      <w:marBottom w:val="0"/>
                      <w:divBdr>
                        <w:top w:val="none" w:sz="0" w:space="0" w:color="auto"/>
                        <w:left w:val="none" w:sz="0" w:space="0" w:color="auto"/>
                        <w:bottom w:val="none" w:sz="0" w:space="0" w:color="auto"/>
                        <w:right w:val="none" w:sz="0" w:space="0" w:color="auto"/>
                      </w:divBdr>
                    </w:div>
                    <w:div w:id="294155685">
                      <w:marLeft w:val="0"/>
                      <w:marRight w:val="0"/>
                      <w:marTop w:val="0"/>
                      <w:marBottom w:val="0"/>
                      <w:divBdr>
                        <w:top w:val="none" w:sz="0" w:space="0" w:color="auto"/>
                        <w:left w:val="none" w:sz="0" w:space="0" w:color="auto"/>
                        <w:bottom w:val="none" w:sz="0" w:space="0" w:color="auto"/>
                        <w:right w:val="none" w:sz="0" w:space="0" w:color="auto"/>
                      </w:divBdr>
                      <w:divsChild>
                        <w:div w:id="294152387">
                          <w:marLeft w:val="0"/>
                          <w:marRight w:val="0"/>
                          <w:marTop w:val="0"/>
                          <w:marBottom w:val="0"/>
                          <w:divBdr>
                            <w:top w:val="none" w:sz="0" w:space="0" w:color="auto"/>
                            <w:left w:val="none" w:sz="0" w:space="0" w:color="auto"/>
                            <w:bottom w:val="none" w:sz="0" w:space="0" w:color="auto"/>
                            <w:right w:val="none" w:sz="0" w:space="0" w:color="auto"/>
                          </w:divBdr>
                        </w:div>
                      </w:divsChild>
                    </w:div>
                    <w:div w:id="294155724">
                      <w:marLeft w:val="0"/>
                      <w:marRight w:val="0"/>
                      <w:marTop w:val="0"/>
                      <w:marBottom w:val="0"/>
                      <w:divBdr>
                        <w:top w:val="none" w:sz="0" w:space="0" w:color="auto"/>
                        <w:left w:val="none" w:sz="0" w:space="0" w:color="auto"/>
                        <w:bottom w:val="none" w:sz="0" w:space="0" w:color="auto"/>
                        <w:right w:val="none" w:sz="0" w:space="0" w:color="auto"/>
                      </w:divBdr>
                      <w:divsChild>
                        <w:div w:id="294153672">
                          <w:marLeft w:val="0"/>
                          <w:marRight w:val="0"/>
                          <w:marTop w:val="0"/>
                          <w:marBottom w:val="0"/>
                          <w:divBdr>
                            <w:top w:val="none" w:sz="0" w:space="0" w:color="auto"/>
                            <w:left w:val="none" w:sz="0" w:space="0" w:color="auto"/>
                            <w:bottom w:val="none" w:sz="0" w:space="0" w:color="auto"/>
                            <w:right w:val="none" w:sz="0" w:space="0" w:color="auto"/>
                          </w:divBdr>
                        </w:div>
                      </w:divsChild>
                    </w:div>
                    <w:div w:id="294155726">
                      <w:marLeft w:val="0"/>
                      <w:marRight w:val="0"/>
                      <w:marTop w:val="0"/>
                      <w:marBottom w:val="0"/>
                      <w:divBdr>
                        <w:top w:val="none" w:sz="0" w:space="0" w:color="auto"/>
                        <w:left w:val="none" w:sz="0" w:space="0" w:color="auto"/>
                        <w:bottom w:val="none" w:sz="0" w:space="0" w:color="auto"/>
                        <w:right w:val="none" w:sz="0" w:space="0" w:color="auto"/>
                      </w:divBdr>
                    </w:div>
                    <w:div w:id="294155759">
                      <w:marLeft w:val="0"/>
                      <w:marRight w:val="0"/>
                      <w:marTop w:val="0"/>
                      <w:marBottom w:val="0"/>
                      <w:divBdr>
                        <w:top w:val="none" w:sz="0" w:space="0" w:color="auto"/>
                        <w:left w:val="none" w:sz="0" w:space="0" w:color="auto"/>
                        <w:bottom w:val="none" w:sz="0" w:space="0" w:color="auto"/>
                        <w:right w:val="none" w:sz="0" w:space="0" w:color="auto"/>
                      </w:divBdr>
                    </w:div>
                    <w:div w:id="294155763">
                      <w:marLeft w:val="0"/>
                      <w:marRight w:val="0"/>
                      <w:marTop w:val="0"/>
                      <w:marBottom w:val="0"/>
                      <w:divBdr>
                        <w:top w:val="none" w:sz="0" w:space="0" w:color="auto"/>
                        <w:left w:val="none" w:sz="0" w:space="0" w:color="auto"/>
                        <w:bottom w:val="none" w:sz="0" w:space="0" w:color="auto"/>
                        <w:right w:val="none" w:sz="0" w:space="0" w:color="auto"/>
                      </w:divBdr>
                      <w:divsChild>
                        <w:div w:id="294144894">
                          <w:marLeft w:val="0"/>
                          <w:marRight w:val="0"/>
                          <w:marTop w:val="0"/>
                          <w:marBottom w:val="0"/>
                          <w:divBdr>
                            <w:top w:val="none" w:sz="0" w:space="0" w:color="auto"/>
                            <w:left w:val="none" w:sz="0" w:space="0" w:color="auto"/>
                            <w:bottom w:val="none" w:sz="0" w:space="0" w:color="auto"/>
                            <w:right w:val="none" w:sz="0" w:space="0" w:color="auto"/>
                          </w:divBdr>
                        </w:div>
                      </w:divsChild>
                    </w:div>
                    <w:div w:id="294155804">
                      <w:marLeft w:val="0"/>
                      <w:marRight w:val="0"/>
                      <w:marTop w:val="0"/>
                      <w:marBottom w:val="0"/>
                      <w:divBdr>
                        <w:top w:val="none" w:sz="0" w:space="0" w:color="auto"/>
                        <w:left w:val="none" w:sz="0" w:space="0" w:color="auto"/>
                        <w:bottom w:val="none" w:sz="0" w:space="0" w:color="auto"/>
                        <w:right w:val="none" w:sz="0" w:space="0" w:color="auto"/>
                      </w:divBdr>
                      <w:divsChild>
                        <w:div w:id="294145201">
                          <w:marLeft w:val="0"/>
                          <w:marRight w:val="0"/>
                          <w:marTop w:val="0"/>
                          <w:marBottom w:val="0"/>
                          <w:divBdr>
                            <w:top w:val="none" w:sz="0" w:space="0" w:color="auto"/>
                            <w:left w:val="none" w:sz="0" w:space="0" w:color="auto"/>
                            <w:bottom w:val="none" w:sz="0" w:space="0" w:color="auto"/>
                            <w:right w:val="none" w:sz="0" w:space="0" w:color="auto"/>
                          </w:divBdr>
                        </w:div>
                      </w:divsChild>
                    </w:div>
                    <w:div w:id="294155868">
                      <w:marLeft w:val="0"/>
                      <w:marRight w:val="0"/>
                      <w:marTop w:val="0"/>
                      <w:marBottom w:val="0"/>
                      <w:divBdr>
                        <w:top w:val="none" w:sz="0" w:space="0" w:color="auto"/>
                        <w:left w:val="none" w:sz="0" w:space="0" w:color="auto"/>
                        <w:bottom w:val="none" w:sz="0" w:space="0" w:color="auto"/>
                        <w:right w:val="none" w:sz="0" w:space="0" w:color="auto"/>
                      </w:divBdr>
                    </w:div>
                    <w:div w:id="294155876">
                      <w:marLeft w:val="0"/>
                      <w:marRight w:val="0"/>
                      <w:marTop w:val="0"/>
                      <w:marBottom w:val="0"/>
                      <w:divBdr>
                        <w:top w:val="none" w:sz="0" w:space="0" w:color="auto"/>
                        <w:left w:val="none" w:sz="0" w:space="0" w:color="auto"/>
                        <w:bottom w:val="none" w:sz="0" w:space="0" w:color="auto"/>
                        <w:right w:val="none" w:sz="0" w:space="0" w:color="auto"/>
                      </w:divBdr>
                    </w:div>
                    <w:div w:id="294155915">
                      <w:marLeft w:val="0"/>
                      <w:marRight w:val="0"/>
                      <w:marTop w:val="0"/>
                      <w:marBottom w:val="0"/>
                      <w:divBdr>
                        <w:top w:val="none" w:sz="0" w:space="0" w:color="auto"/>
                        <w:left w:val="none" w:sz="0" w:space="0" w:color="auto"/>
                        <w:bottom w:val="none" w:sz="0" w:space="0" w:color="auto"/>
                        <w:right w:val="none" w:sz="0" w:space="0" w:color="auto"/>
                      </w:divBdr>
                      <w:divsChild>
                        <w:div w:id="294138152">
                          <w:marLeft w:val="0"/>
                          <w:marRight w:val="0"/>
                          <w:marTop w:val="0"/>
                          <w:marBottom w:val="0"/>
                          <w:divBdr>
                            <w:top w:val="none" w:sz="0" w:space="0" w:color="auto"/>
                            <w:left w:val="none" w:sz="0" w:space="0" w:color="auto"/>
                            <w:bottom w:val="none" w:sz="0" w:space="0" w:color="auto"/>
                            <w:right w:val="none" w:sz="0" w:space="0" w:color="auto"/>
                          </w:divBdr>
                        </w:div>
                      </w:divsChild>
                    </w:div>
                    <w:div w:id="294155916">
                      <w:marLeft w:val="0"/>
                      <w:marRight w:val="0"/>
                      <w:marTop w:val="0"/>
                      <w:marBottom w:val="0"/>
                      <w:divBdr>
                        <w:top w:val="none" w:sz="0" w:space="0" w:color="auto"/>
                        <w:left w:val="none" w:sz="0" w:space="0" w:color="auto"/>
                        <w:bottom w:val="none" w:sz="0" w:space="0" w:color="auto"/>
                        <w:right w:val="none" w:sz="0" w:space="0" w:color="auto"/>
                      </w:divBdr>
                      <w:divsChild>
                        <w:div w:id="294144006">
                          <w:marLeft w:val="0"/>
                          <w:marRight w:val="0"/>
                          <w:marTop w:val="0"/>
                          <w:marBottom w:val="0"/>
                          <w:divBdr>
                            <w:top w:val="none" w:sz="0" w:space="0" w:color="auto"/>
                            <w:left w:val="none" w:sz="0" w:space="0" w:color="auto"/>
                            <w:bottom w:val="none" w:sz="0" w:space="0" w:color="auto"/>
                            <w:right w:val="none" w:sz="0" w:space="0" w:color="auto"/>
                          </w:divBdr>
                        </w:div>
                      </w:divsChild>
                    </w:div>
                    <w:div w:id="294155947">
                      <w:marLeft w:val="0"/>
                      <w:marRight w:val="0"/>
                      <w:marTop w:val="0"/>
                      <w:marBottom w:val="0"/>
                      <w:divBdr>
                        <w:top w:val="none" w:sz="0" w:space="0" w:color="auto"/>
                        <w:left w:val="none" w:sz="0" w:space="0" w:color="auto"/>
                        <w:bottom w:val="none" w:sz="0" w:space="0" w:color="auto"/>
                        <w:right w:val="none" w:sz="0" w:space="0" w:color="auto"/>
                      </w:divBdr>
                      <w:divsChild>
                        <w:div w:id="294145992">
                          <w:marLeft w:val="0"/>
                          <w:marRight w:val="0"/>
                          <w:marTop w:val="0"/>
                          <w:marBottom w:val="0"/>
                          <w:divBdr>
                            <w:top w:val="none" w:sz="0" w:space="0" w:color="auto"/>
                            <w:left w:val="none" w:sz="0" w:space="0" w:color="auto"/>
                            <w:bottom w:val="none" w:sz="0" w:space="0" w:color="auto"/>
                            <w:right w:val="none" w:sz="0" w:space="0" w:color="auto"/>
                          </w:divBdr>
                        </w:div>
                      </w:divsChild>
                    </w:div>
                    <w:div w:id="294155991">
                      <w:marLeft w:val="0"/>
                      <w:marRight w:val="0"/>
                      <w:marTop w:val="0"/>
                      <w:marBottom w:val="0"/>
                      <w:divBdr>
                        <w:top w:val="none" w:sz="0" w:space="0" w:color="auto"/>
                        <w:left w:val="none" w:sz="0" w:space="0" w:color="auto"/>
                        <w:bottom w:val="none" w:sz="0" w:space="0" w:color="auto"/>
                        <w:right w:val="none" w:sz="0" w:space="0" w:color="auto"/>
                      </w:divBdr>
                    </w:div>
                    <w:div w:id="294156070">
                      <w:marLeft w:val="0"/>
                      <w:marRight w:val="0"/>
                      <w:marTop w:val="0"/>
                      <w:marBottom w:val="0"/>
                      <w:divBdr>
                        <w:top w:val="none" w:sz="0" w:space="0" w:color="auto"/>
                        <w:left w:val="none" w:sz="0" w:space="0" w:color="auto"/>
                        <w:bottom w:val="none" w:sz="0" w:space="0" w:color="auto"/>
                        <w:right w:val="none" w:sz="0" w:space="0" w:color="auto"/>
                      </w:divBdr>
                    </w:div>
                    <w:div w:id="294156104">
                      <w:marLeft w:val="0"/>
                      <w:marRight w:val="0"/>
                      <w:marTop w:val="0"/>
                      <w:marBottom w:val="0"/>
                      <w:divBdr>
                        <w:top w:val="none" w:sz="0" w:space="0" w:color="auto"/>
                        <w:left w:val="none" w:sz="0" w:space="0" w:color="auto"/>
                        <w:bottom w:val="none" w:sz="0" w:space="0" w:color="auto"/>
                        <w:right w:val="none" w:sz="0" w:space="0" w:color="auto"/>
                      </w:divBdr>
                    </w:div>
                    <w:div w:id="294156108">
                      <w:marLeft w:val="0"/>
                      <w:marRight w:val="0"/>
                      <w:marTop w:val="0"/>
                      <w:marBottom w:val="0"/>
                      <w:divBdr>
                        <w:top w:val="none" w:sz="0" w:space="0" w:color="auto"/>
                        <w:left w:val="none" w:sz="0" w:space="0" w:color="auto"/>
                        <w:bottom w:val="none" w:sz="0" w:space="0" w:color="auto"/>
                        <w:right w:val="none" w:sz="0" w:space="0" w:color="auto"/>
                      </w:divBdr>
                      <w:divsChild>
                        <w:div w:id="294156158">
                          <w:marLeft w:val="0"/>
                          <w:marRight w:val="0"/>
                          <w:marTop w:val="0"/>
                          <w:marBottom w:val="0"/>
                          <w:divBdr>
                            <w:top w:val="none" w:sz="0" w:space="0" w:color="auto"/>
                            <w:left w:val="none" w:sz="0" w:space="0" w:color="auto"/>
                            <w:bottom w:val="none" w:sz="0" w:space="0" w:color="auto"/>
                            <w:right w:val="none" w:sz="0" w:space="0" w:color="auto"/>
                          </w:divBdr>
                        </w:div>
                      </w:divsChild>
                    </w:div>
                    <w:div w:id="294156112">
                      <w:marLeft w:val="0"/>
                      <w:marRight w:val="0"/>
                      <w:marTop w:val="0"/>
                      <w:marBottom w:val="0"/>
                      <w:divBdr>
                        <w:top w:val="none" w:sz="0" w:space="0" w:color="auto"/>
                        <w:left w:val="none" w:sz="0" w:space="0" w:color="auto"/>
                        <w:bottom w:val="none" w:sz="0" w:space="0" w:color="auto"/>
                        <w:right w:val="none" w:sz="0" w:space="0" w:color="auto"/>
                      </w:divBdr>
                      <w:divsChild>
                        <w:div w:id="294156399">
                          <w:marLeft w:val="0"/>
                          <w:marRight w:val="0"/>
                          <w:marTop w:val="0"/>
                          <w:marBottom w:val="0"/>
                          <w:divBdr>
                            <w:top w:val="none" w:sz="0" w:space="0" w:color="auto"/>
                            <w:left w:val="none" w:sz="0" w:space="0" w:color="auto"/>
                            <w:bottom w:val="none" w:sz="0" w:space="0" w:color="auto"/>
                            <w:right w:val="none" w:sz="0" w:space="0" w:color="auto"/>
                          </w:divBdr>
                        </w:div>
                      </w:divsChild>
                    </w:div>
                    <w:div w:id="294156150">
                      <w:marLeft w:val="0"/>
                      <w:marRight w:val="0"/>
                      <w:marTop w:val="0"/>
                      <w:marBottom w:val="0"/>
                      <w:divBdr>
                        <w:top w:val="none" w:sz="0" w:space="0" w:color="auto"/>
                        <w:left w:val="none" w:sz="0" w:space="0" w:color="auto"/>
                        <w:bottom w:val="none" w:sz="0" w:space="0" w:color="auto"/>
                        <w:right w:val="none" w:sz="0" w:space="0" w:color="auto"/>
                      </w:divBdr>
                      <w:divsChild>
                        <w:div w:id="294150284">
                          <w:marLeft w:val="0"/>
                          <w:marRight w:val="0"/>
                          <w:marTop w:val="0"/>
                          <w:marBottom w:val="0"/>
                          <w:divBdr>
                            <w:top w:val="none" w:sz="0" w:space="0" w:color="auto"/>
                            <w:left w:val="none" w:sz="0" w:space="0" w:color="auto"/>
                            <w:bottom w:val="none" w:sz="0" w:space="0" w:color="auto"/>
                            <w:right w:val="none" w:sz="0" w:space="0" w:color="auto"/>
                          </w:divBdr>
                        </w:div>
                      </w:divsChild>
                    </w:div>
                    <w:div w:id="294156151">
                      <w:marLeft w:val="0"/>
                      <w:marRight w:val="0"/>
                      <w:marTop w:val="0"/>
                      <w:marBottom w:val="0"/>
                      <w:divBdr>
                        <w:top w:val="none" w:sz="0" w:space="0" w:color="auto"/>
                        <w:left w:val="none" w:sz="0" w:space="0" w:color="auto"/>
                        <w:bottom w:val="none" w:sz="0" w:space="0" w:color="auto"/>
                        <w:right w:val="none" w:sz="0" w:space="0" w:color="auto"/>
                      </w:divBdr>
                      <w:divsChild>
                        <w:div w:id="294138199">
                          <w:marLeft w:val="0"/>
                          <w:marRight w:val="0"/>
                          <w:marTop w:val="0"/>
                          <w:marBottom w:val="0"/>
                          <w:divBdr>
                            <w:top w:val="none" w:sz="0" w:space="0" w:color="auto"/>
                            <w:left w:val="none" w:sz="0" w:space="0" w:color="auto"/>
                            <w:bottom w:val="none" w:sz="0" w:space="0" w:color="auto"/>
                            <w:right w:val="none" w:sz="0" w:space="0" w:color="auto"/>
                          </w:divBdr>
                        </w:div>
                      </w:divsChild>
                    </w:div>
                    <w:div w:id="294156174">
                      <w:marLeft w:val="0"/>
                      <w:marRight w:val="0"/>
                      <w:marTop w:val="0"/>
                      <w:marBottom w:val="0"/>
                      <w:divBdr>
                        <w:top w:val="none" w:sz="0" w:space="0" w:color="auto"/>
                        <w:left w:val="none" w:sz="0" w:space="0" w:color="auto"/>
                        <w:bottom w:val="none" w:sz="0" w:space="0" w:color="auto"/>
                        <w:right w:val="none" w:sz="0" w:space="0" w:color="auto"/>
                      </w:divBdr>
                      <w:divsChild>
                        <w:div w:id="294141928">
                          <w:marLeft w:val="0"/>
                          <w:marRight w:val="0"/>
                          <w:marTop w:val="0"/>
                          <w:marBottom w:val="0"/>
                          <w:divBdr>
                            <w:top w:val="none" w:sz="0" w:space="0" w:color="auto"/>
                            <w:left w:val="none" w:sz="0" w:space="0" w:color="auto"/>
                            <w:bottom w:val="none" w:sz="0" w:space="0" w:color="auto"/>
                            <w:right w:val="none" w:sz="0" w:space="0" w:color="auto"/>
                          </w:divBdr>
                        </w:div>
                      </w:divsChild>
                    </w:div>
                    <w:div w:id="294156191">
                      <w:marLeft w:val="0"/>
                      <w:marRight w:val="0"/>
                      <w:marTop w:val="0"/>
                      <w:marBottom w:val="0"/>
                      <w:divBdr>
                        <w:top w:val="none" w:sz="0" w:space="0" w:color="auto"/>
                        <w:left w:val="none" w:sz="0" w:space="0" w:color="auto"/>
                        <w:bottom w:val="none" w:sz="0" w:space="0" w:color="auto"/>
                        <w:right w:val="none" w:sz="0" w:space="0" w:color="auto"/>
                      </w:divBdr>
                    </w:div>
                    <w:div w:id="294156193">
                      <w:marLeft w:val="0"/>
                      <w:marRight w:val="0"/>
                      <w:marTop w:val="0"/>
                      <w:marBottom w:val="0"/>
                      <w:divBdr>
                        <w:top w:val="none" w:sz="0" w:space="0" w:color="auto"/>
                        <w:left w:val="none" w:sz="0" w:space="0" w:color="auto"/>
                        <w:bottom w:val="none" w:sz="0" w:space="0" w:color="auto"/>
                        <w:right w:val="none" w:sz="0" w:space="0" w:color="auto"/>
                      </w:divBdr>
                    </w:div>
                    <w:div w:id="294156199">
                      <w:marLeft w:val="0"/>
                      <w:marRight w:val="0"/>
                      <w:marTop w:val="0"/>
                      <w:marBottom w:val="0"/>
                      <w:divBdr>
                        <w:top w:val="none" w:sz="0" w:space="0" w:color="auto"/>
                        <w:left w:val="none" w:sz="0" w:space="0" w:color="auto"/>
                        <w:bottom w:val="none" w:sz="0" w:space="0" w:color="auto"/>
                        <w:right w:val="none" w:sz="0" w:space="0" w:color="auto"/>
                      </w:divBdr>
                    </w:div>
                    <w:div w:id="294156214">
                      <w:marLeft w:val="0"/>
                      <w:marRight w:val="0"/>
                      <w:marTop w:val="0"/>
                      <w:marBottom w:val="0"/>
                      <w:divBdr>
                        <w:top w:val="none" w:sz="0" w:space="0" w:color="auto"/>
                        <w:left w:val="none" w:sz="0" w:space="0" w:color="auto"/>
                        <w:bottom w:val="none" w:sz="0" w:space="0" w:color="auto"/>
                        <w:right w:val="none" w:sz="0" w:space="0" w:color="auto"/>
                      </w:divBdr>
                    </w:div>
                    <w:div w:id="294156233">
                      <w:marLeft w:val="0"/>
                      <w:marRight w:val="0"/>
                      <w:marTop w:val="0"/>
                      <w:marBottom w:val="0"/>
                      <w:divBdr>
                        <w:top w:val="none" w:sz="0" w:space="0" w:color="auto"/>
                        <w:left w:val="none" w:sz="0" w:space="0" w:color="auto"/>
                        <w:bottom w:val="none" w:sz="0" w:space="0" w:color="auto"/>
                        <w:right w:val="none" w:sz="0" w:space="0" w:color="auto"/>
                      </w:divBdr>
                      <w:divsChild>
                        <w:div w:id="294151722">
                          <w:marLeft w:val="0"/>
                          <w:marRight w:val="0"/>
                          <w:marTop w:val="0"/>
                          <w:marBottom w:val="0"/>
                          <w:divBdr>
                            <w:top w:val="none" w:sz="0" w:space="0" w:color="auto"/>
                            <w:left w:val="none" w:sz="0" w:space="0" w:color="auto"/>
                            <w:bottom w:val="none" w:sz="0" w:space="0" w:color="auto"/>
                            <w:right w:val="none" w:sz="0" w:space="0" w:color="auto"/>
                          </w:divBdr>
                        </w:div>
                      </w:divsChild>
                    </w:div>
                    <w:div w:id="294156255">
                      <w:marLeft w:val="0"/>
                      <w:marRight w:val="0"/>
                      <w:marTop w:val="0"/>
                      <w:marBottom w:val="0"/>
                      <w:divBdr>
                        <w:top w:val="none" w:sz="0" w:space="0" w:color="auto"/>
                        <w:left w:val="none" w:sz="0" w:space="0" w:color="auto"/>
                        <w:bottom w:val="none" w:sz="0" w:space="0" w:color="auto"/>
                        <w:right w:val="none" w:sz="0" w:space="0" w:color="auto"/>
                      </w:divBdr>
                      <w:divsChild>
                        <w:div w:id="294149179">
                          <w:marLeft w:val="0"/>
                          <w:marRight w:val="0"/>
                          <w:marTop w:val="0"/>
                          <w:marBottom w:val="0"/>
                          <w:divBdr>
                            <w:top w:val="none" w:sz="0" w:space="0" w:color="auto"/>
                            <w:left w:val="none" w:sz="0" w:space="0" w:color="auto"/>
                            <w:bottom w:val="none" w:sz="0" w:space="0" w:color="auto"/>
                            <w:right w:val="none" w:sz="0" w:space="0" w:color="auto"/>
                          </w:divBdr>
                        </w:div>
                      </w:divsChild>
                    </w:div>
                    <w:div w:id="294156287">
                      <w:marLeft w:val="0"/>
                      <w:marRight w:val="0"/>
                      <w:marTop w:val="0"/>
                      <w:marBottom w:val="0"/>
                      <w:divBdr>
                        <w:top w:val="none" w:sz="0" w:space="0" w:color="auto"/>
                        <w:left w:val="none" w:sz="0" w:space="0" w:color="auto"/>
                        <w:bottom w:val="none" w:sz="0" w:space="0" w:color="auto"/>
                        <w:right w:val="none" w:sz="0" w:space="0" w:color="auto"/>
                      </w:divBdr>
                    </w:div>
                    <w:div w:id="294156295">
                      <w:marLeft w:val="0"/>
                      <w:marRight w:val="0"/>
                      <w:marTop w:val="0"/>
                      <w:marBottom w:val="0"/>
                      <w:divBdr>
                        <w:top w:val="none" w:sz="0" w:space="0" w:color="auto"/>
                        <w:left w:val="none" w:sz="0" w:space="0" w:color="auto"/>
                        <w:bottom w:val="none" w:sz="0" w:space="0" w:color="auto"/>
                        <w:right w:val="none" w:sz="0" w:space="0" w:color="auto"/>
                      </w:divBdr>
                      <w:divsChild>
                        <w:div w:id="294148505">
                          <w:marLeft w:val="0"/>
                          <w:marRight w:val="0"/>
                          <w:marTop w:val="0"/>
                          <w:marBottom w:val="0"/>
                          <w:divBdr>
                            <w:top w:val="none" w:sz="0" w:space="0" w:color="auto"/>
                            <w:left w:val="none" w:sz="0" w:space="0" w:color="auto"/>
                            <w:bottom w:val="none" w:sz="0" w:space="0" w:color="auto"/>
                            <w:right w:val="none" w:sz="0" w:space="0" w:color="auto"/>
                          </w:divBdr>
                        </w:div>
                      </w:divsChild>
                    </w:div>
                    <w:div w:id="294156366">
                      <w:marLeft w:val="0"/>
                      <w:marRight w:val="0"/>
                      <w:marTop w:val="0"/>
                      <w:marBottom w:val="0"/>
                      <w:divBdr>
                        <w:top w:val="none" w:sz="0" w:space="0" w:color="auto"/>
                        <w:left w:val="none" w:sz="0" w:space="0" w:color="auto"/>
                        <w:bottom w:val="none" w:sz="0" w:space="0" w:color="auto"/>
                        <w:right w:val="none" w:sz="0" w:space="0" w:color="auto"/>
                      </w:divBdr>
                    </w:div>
                    <w:div w:id="294156384">
                      <w:marLeft w:val="0"/>
                      <w:marRight w:val="0"/>
                      <w:marTop w:val="0"/>
                      <w:marBottom w:val="0"/>
                      <w:divBdr>
                        <w:top w:val="none" w:sz="0" w:space="0" w:color="auto"/>
                        <w:left w:val="none" w:sz="0" w:space="0" w:color="auto"/>
                        <w:bottom w:val="none" w:sz="0" w:space="0" w:color="auto"/>
                        <w:right w:val="none" w:sz="0" w:space="0" w:color="auto"/>
                      </w:divBdr>
                      <w:divsChild>
                        <w:div w:id="294143689">
                          <w:marLeft w:val="0"/>
                          <w:marRight w:val="0"/>
                          <w:marTop w:val="0"/>
                          <w:marBottom w:val="0"/>
                          <w:divBdr>
                            <w:top w:val="none" w:sz="0" w:space="0" w:color="auto"/>
                            <w:left w:val="none" w:sz="0" w:space="0" w:color="auto"/>
                            <w:bottom w:val="none" w:sz="0" w:space="0" w:color="auto"/>
                            <w:right w:val="none" w:sz="0" w:space="0" w:color="auto"/>
                          </w:divBdr>
                        </w:div>
                      </w:divsChild>
                    </w:div>
                    <w:div w:id="294156401">
                      <w:marLeft w:val="0"/>
                      <w:marRight w:val="0"/>
                      <w:marTop w:val="0"/>
                      <w:marBottom w:val="0"/>
                      <w:divBdr>
                        <w:top w:val="none" w:sz="0" w:space="0" w:color="auto"/>
                        <w:left w:val="none" w:sz="0" w:space="0" w:color="auto"/>
                        <w:bottom w:val="none" w:sz="0" w:space="0" w:color="auto"/>
                        <w:right w:val="none" w:sz="0" w:space="0" w:color="auto"/>
                      </w:divBdr>
                      <w:divsChild>
                        <w:div w:id="294139926">
                          <w:marLeft w:val="0"/>
                          <w:marRight w:val="0"/>
                          <w:marTop w:val="0"/>
                          <w:marBottom w:val="0"/>
                          <w:divBdr>
                            <w:top w:val="none" w:sz="0" w:space="0" w:color="auto"/>
                            <w:left w:val="none" w:sz="0" w:space="0" w:color="auto"/>
                            <w:bottom w:val="none" w:sz="0" w:space="0" w:color="auto"/>
                            <w:right w:val="none" w:sz="0" w:space="0" w:color="auto"/>
                          </w:divBdr>
                        </w:div>
                      </w:divsChild>
                    </w:div>
                    <w:div w:id="294156403">
                      <w:marLeft w:val="0"/>
                      <w:marRight w:val="0"/>
                      <w:marTop w:val="0"/>
                      <w:marBottom w:val="0"/>
                      <w:divBdr>
                        <w:top w:val="none" w:sz="0" w:space="0" w:color="auto"/>
                        <w:left w:val="none" w:sz="0" w:space="0" w:color="auto"/>
                        <w:bottom w:val="none" w:sz="0" w:space="0" w:color="auto"/>
                        <w:right w:val="none" w:sz="0" w:space="0" w:color="auto"/>
                      </w:divBdr>
                    </w:div>
                    <w:div w:id="294156412">
                      <w:marLeft w:val="0"/>
                      <w:marRight w:val="0"/>
                      <w:marTop w:val="0"/>
                      <w:marBottom w:val="0"/>
                      <w:divBdr>
                        <w:top w:val="none" w:sz="0" w:space="0" w:color="auto"/>
                        <w:left w:val="none" w:sz="0" w:space="0" w:color="auto"/>
                        <w:bottom w:val="none" w:sz="0" w:space="0" w:color="auto"/>
                        <w:right w:val="none" w:sz="0" w:space="0" w:color="auto"/>
                      </w:divBdr>
                      <w:divsChild>
                        <w:div w:id="294144330">
                          <w:marLeft w:val="0"/>
                          <w:marRight w:val="0"/>
                          <w:marTop w:val="0"/>
                          <w:marBottom w:val="0"/>
                          <w:divBdr>
                            <w:top w:val="none" w:sz="0" w:space="0" w:color="auto"/>
                            <w:left w:val="none" w:sz="0" w:space="0" w:color="auto"/>
                            <w:bottom w:val="none" w:sz="0" w:space="0" w:color="auto"/>
                            <w:right w:val="none" w:sz="0" w:space="0" w:color="auto"/>
                          </w:divBdr>
                        </w:div>
                      </w:divsChild>
                    </w:div>
                    <w:div w:id="294156417">
                      <w:marLeft w:val="0"/>
                      <w:marRight w:val="0"/>
                      <w:marTop w:val="0"/>
                      <w:marBottom w:val="0"/>
                      <w:divBdr>
                        <w:top w:val="none" w:sz="0" w:space="0" w:color="auto"/>
                        <w:left w:val="none" w:sz="0" w:space="0" w:color="auto"/>
                        <w:bottom w:val="none" w:sz="0" w:space="0" w:color="auto"/>
                        <w:right w:val="none" w:sz="0" w:space="0" w:color="auto"/>
                      </w:divBdr>
                    </w:div>
                    <w:div w:id="294156422">
                      <w:marLeft w:val="0"/>
                      <w:marRight w:val="0"/>
                      <w:marTop w:val="0"/>
                      <w:marBottom w:val="0"/>
                      <w:divBdr>
                        <w:top w:val="none" w:sz="0" w:space="0" w:color="auto"/>
                        <w:left w:val="none" w:sz="0" w:space="0" w:color="auto"/>
                        <w:bottom w:val="none" w:sz="0" w:space="0" w:color="auto"/>
                        <w:right w:val="none" w:sz="0" w:space="0" w:color="auto"/>
                      </w:divBdr>
                    </w:div>
                    <w:div w:id="294156447">
                      <w:marLeft w:val="0"/>
                      <w:marRight w:val="0"/>
                      <w:marTop w:val="0"/>
                      <w:marBottom w:val="0"/>
                      <w:divBdr>
                        <w:top w:val="none" w:sz="0" w:space="0" w:color="auto"/>
                        <w:left w:val="none" w:sz="0" w:space="0" w:color="auto"/>
                        <w:bottom w:val="none" w:sz="0" w:space="0" w:color="auto"/>
                        <w:right w:val="none" w:sz="0" w:space="0" w:color="auto"/>
                      </w:divBdr>
                    </w:div>
                    <w:div w:id="294156456">
                      <w:marLeft w:val="0"/>
                      <w:marRight w:val="0"/>
                      <w:marTop w:val="0"/>
                      <w:marBottom w:val="0"/>
                      <w:divBdr>
                        <w:top w:val="none" w:sz="0" w:space="0" w:color="auto"/>
                        <w:left w:val="none" w:sz="0" w:space="0" w:color="auto"/>
                        <w:bottom w:val="none" w:sz="0" w:space="0" w:color="auto"/>
                        <w:right w:val="none" w:sz="0" w:space="0" w:color="auto"/>
                      </w:divBdr>
                    </w:div>
                    <w:div w:id="294156457">
                      <w:marLeft w:val="0"/>
                      <w:marRight w:val="0"/>
                      <w:marTop w:val="0"/>
                      <w:marBottom w:val="0"/>
                      <w:divBdr>
                        <w:top w:val="none" w:sz="0" w:space="0" w:color="auto"/>
                        <w:left w:val="none" w:sz="0" w:space="0" w:color="auto"/>
                        <w:bottom w:val="none" w:sz="0" w:space="0" w:color="auto"/>
                        <w:right w:val="none" w:sz="0" w:space="0" w:color="auto"/>
                      </w:divBdr>
                    </w:div>
                    <w:div w:id="294156487">
                      <w:marLeft w:val="0"/>
                      <w:marRight w:val="0"/>
                      <w:marTop w:val="0"/>
                      <w:marBottom w:val="0"/>
                      <w:divBdr>
                        <w:top w:val="none" w:sz="0" w:space="0" w:color="auto"/>
                        <w:left w:val="none" w:sz="0" w:space="0" w:color="auto"/>
                        <w:bottom w:val="none" w:sz="0" w:space="0" w:color="auto"/>
                        <w:right w:val="none" w:sz="0" w:space="0" w:color="auto"/>
                      </w:divBdr>
                      <w:divsChild>
                        <w:div w:id="294156294">
                          <w:marLeft w:val="0"/>
                          <w:marRight w:val="0"/>
                          <w:marTop w:val="0"/>
                          <w:marBottom w:val="0"/>
                          <w:divBdr>
                            <w:top w:val="none" w:sz="0" w:space="0" w:color="auto"/>
                            <w:left w:val="none" w:sz="0" w:space="0" w:color="auto"/>
                            <w:bottom w:val="none" w:sz="0" w:space="0" w:color="auto"/>
                            <w:right w:val="none" w:sz="0" w:space="0" w:color="auto"/>
                          </w:divBdr>
                        </w:div>
                      </w:divsChild>
                    </w:div>
                    <w:div w:id="294156496">
                      <w:marLeft w:val="0"/>
                      <w:marRight w:val="0"/>
                      <w:marTop w:val="0"/>
                      <w:marBottom w:val="0"/>
                      <w:divBdr>
                        <w:top w:val="none" w:sz="0" w:space="0" w:color="auto"/>
                        <w:left w:val="none" w:sz="0" w:space="0" w:color="auto"/>
                        <w:bottom w:val="none" w:sz="0" w:space="0" w:color="auto"/>
                        <w:right w:val="none" w:sz="0" w:space="0" w:color="auto"/>
                      </w:divBdr>
                    </w:div>
                    <w:div w:id="294156547">
                      <w:marLeft w:val="0"/>
                      <w:marRight w:val="0"/>
                      <w:marTop w:val="0"/>
                      <w:marBottom w:val="0"/>
                      <w:divBdr>
                        <w:top w:val="none" w:sz="0" w:space="0" w:color="auto"/>
                        <w:left w:val="none" w:sz="0" w:space="0" w:color="auto"/>
                        <w:bottom w:val="none" w:sz="0" w:space="0" w:color="auto"/>
                        <w:right w:val="none" w:sz="0" w:space="0" w:color="auto"/>
                      </w:divBdr>
                    </w:div>
                    <w:div w:id="294156551">
                      <w:marLeft w:val="0"/>
                      <w:marRight w:val="0"/>
                      <w:marTop w:val="0"/>
                      <w:marBottom w:val="0"/>
                      <w:divBdr>
                        <w:top w:val="none" w:sz="0" w:space="0" w:color="auto"/>
                        <w:left w:val="none" w:sz="0" w:space="0" w:color="auto"/>
                        <w:bottom w:val="none" w:sz="0" w:space="0" w:color="auto"/>
                        <w:right w:val="none" w:sz="0" w:space="0" w:color="auto"/>
                      </w:divBdr>
                    </w:div>
                    <w:div w:id="294156581">
                      <w:marLeft w:val="0"/>
                      <w:marRight w:val="0"/>
                      <w:marTop w:val="0"/>
                      <w:marBottom w:val="0"/>
                      <w:divBdr>
                        <w:top w:val="none" w:sz="0" w:space="0" w:color="auto"/>
                        <w:left w:val="none" w:sz="0" w:space="0" w:color="auto"/>
                        <w:bottom w:val="none" w:sz="0" w:space="0" w:color="auto"/>
                        <w:right w:val="none" w:sz="0" w:space="0" w:color="auto"/>
                      </w:divBdr>
                    </w:div>
                    <w:div w:id="294156618">
                      <w:marLeft w:val="0"/>
                      <w:marRight w:val="0"/>
                      <w:marTop w:val="0"/>
                      <w:marBottom w:val="0"/>
                      <w:divBdr>
                        <w:top w:val="none" w:sz="0" w:space="0" w:color="auto"/>
                        <w:left w:val="none" w:sz="0" w:space="0" w:color="auto"/>
                        <w:bottom w:val="none" w:sz="0" w:space="0" w:color="auto"/>
                        <w:right w:val="none" w:sz="0" w:space="0" w:color="auto"/>
                      </w:divBdr>
                    </w:div>
                    <w:div w:id="294156646">
                      <w:marLeft w:val="0"/>
                      <w:marRight w:val="0"/>
                      <w:marTop w:val="0"/>
                      <w:marBottom w:val="0"/>
                      <w:divBdr>
                        <w:top w:val="none" w:sz="0" w:space="0" w:color="auto"/>
                        <w:left w:val="none" w:sz="0" w:space="0" w:color="auto"/>
                        <w:bottom w:val="none" w:sz="0" w:space="0" w:color="auto"/>
                        <w:right w:val="none" w:sz="0" w:space="0" w:color="auto"/>
                      </w:divBdr>
                    </w:div>
                    <w:div w:id="294156666">
                      <w:marLeft w:val="0"/>
                      <w:marRight w:val="0"/>
                      <w:marTop w:val="0"/>
                      <w:marBottom w:val="0"/>
                      <w:divBdr>
                        <w:top w:val="none" w:sz="0" w:space="0" w:color="auto"/>
                        <w:left w:val="none" w:sz="0" w:space="0" w:color="auto"/>
                        <w:bottom w:val="none" w:sz="0" w:space="0" w:color="auto"/>
                        <w:right w:val="none" w:sz="0" w:space="0" w:color="auto"/>
                      </w:divBdr>
                      <w:divsChild>
                        <w:div w:id="294155259">
                          <w:marLeft w:val="0"/>
                          <w:marRight w:val="0"/>
                          <w:marTop w:val="0"/>
                          <w:marBottom w:val="0"/>
                          <w:divBdr>
                            <w:top w:val="none" w:sz="0" w:space="0" w:color="auto"/>
                            <w:left w:val="none" w:sz="0" w:space="0" w:color="auto"/>
                            <w:bottom w:val="none" w:sz="0" w:space="0" w:color="auto"/>
                            <w:right w:val="none" w:sz="0" w:space="0" w:color="auto"/>
                          </w:divBdr>
                        </w:div>
                      </w:divsChild>
                    </w:div>
                    <w:div w:id="294156667">
                      <w:marLeft w:val="0"/>
                      <w:marRight w:val="0"/>
                      <w:marTop w:val="0"/>
                      <w:marBottom w:val="0"/>
                      <w:divBdr>
                        <w:top w:val="none" w:sz="0" w:space="0" w:color="auto"/>
                        <w:left w:val="none" w:sz="0" w:space="0" w:color="auto"/>
                        <w:bottom w:val="none" w:sz="0" w:space="0" w:color="auto"/>
                        <w:right w:val="none" w:sz="0" w:space="0" w:color="auto"/>
                      </w:divBdr>
                    </w:div>
                    <w:div w:id="294156672">
                      <w:marLeft w:val="0"/>
                      <w:marRight w:val="0"/>
                      <w:marTop w:val="0"/>
                      <w:marBottom w:val="0"/>
                      <w:divBdr>
                        <w:top w:val="none" w:sz="0" w:space="0" w:color="auto"/>
                        <w:left w:val="none" w:sz="0" w:space="0" w:color="auto"/>
                        <w:bottom w:val="none" w:sz="0" w:space="0" w:color="auto"/>
                        <w:right w:val="none" w:sz="0" w:space="0" w:color="auto"/>
                      </w:divBdr>
                      <w:divsChild>
                        <w:div w:id="294152603">
                          <w:marLeft w:val="0"/>
                          <w:marRight w:val="0"/>
                          <w:marTop w:val="0"/>
                          <w:marBottom w:val="0"/>
                          <w:divBdr>
                            <w:top w:val="none" w:sz="0" w:space="0" w:color="auto"/>
                            <w:left w:val="none" w:sz="0" w:space="0" w:color="auto"/>
                            <w:bottom w:val="none" w:sz="0" w:space="0" w:color="auto"/>
                            <w:right w:val="none" w:sz="0" w:space="0" w:color="auto"/>
                          </w:divBdr>
                        </w:div>
                      </w:divsChild>
                    </w:div>
                    <w:div w:id="294156675">
                      <w:marLeft w:val="0"/>
                      <w:marRight w:val="0"/>
                      <w:marTop w:val="0"/>
                      <w:marBottom w:val="0"/>
                      <w:divBdr>
                        <w:top w:val="none" w:sz="0" w:space="0" w:color="auto"/>
                        <w:left w:val="none" w:sz="0" w:space="0" w:color="auto"/>
                        <w:bottom w:val="none" w:sz="0" w:space="0" w:color="auto"/>
                        <w:right w:val="none" w:sz="0" w:space="0" w:color="auto"/>
                      </w:divBdr>
                      <w:divsChild>
                        <w:div w:id="294157374">
                          <w:marLeft w:val="0"/>
                          <w:marRight w:val="0"/>
                          <w:marTop w:val="0"/>
                          <w:marBottom w:val="0"/>
                          <w:divBdr>
                            <w:top w:val="none" w:sz="0" w:space="0" w:color="auto"/>
                            <w:left w:val="none" w:sz="0" w:space="0" w:color="auto"/>
                            <w:bottom w:val="none" w:sz="0" w:space="0" w:color="auto"/>
                            <w:right w:val="none" w:sz="0" w:space="0" w:color="auto"/>
                          </w:divBdr>
                        </w:div>
                      </w:divsChild>
                    </w:div>
                    <w:div w:id="294156696">
                      <w:marLeft w:val="0"/>
                      <w:marRight w:val="0"/>
                      <w:marTop w:val="0"/>
                      <w:marBottom w:val="0"/>
                      <w:divBdr>
                        <w:top w:val="none" w:sz="0" w:space="0" w:color="auto"/>
                        <w:left w:val="none" w:sz="0" w:space="0" w:color="auto"/>
                        <w:bottom w:val="none" w:sz="0" w:space="0" w:color="auto"/>
                        <w:right w:val="none" w:sz="0" w:space="0" w:color="auto"/>
                      </w:divBdr>
                      <w:divsChild>
                        <w:div w:id="294153505">
                          <w:marLeft w:val="0"/>
                          <w:marRight w:val="0"/>
                          <w:marTop w:val="0"/>
                          <w:marBottom w:val="0"/>
                          <w:divBdr>
                            <w:top w:val="none" w:sz="0" w:space="0" w:color="auto"/>
                            <w:left w:val="none" w:sz="0" w:space="0" w:color="auto"/>
                            <w:bottom w:val="none" w:sz="0" w:space="0" w:color="auto"/>
                            <w:right w:val="none" w:sz="0" w:space="0" w:color="auto"/>
                          </w:divBdr>
                        </w:div>
                      </w:divsChild>
                    </w:div>
                    <w:div w:id="294156729">
                      <w:marLeft w:val="0"/>
                      <w:marRight w:val="0"/>
                      <w:marTop w:val="0"/>
                      <w:marBottom w:val="0"/>
                      <w:divBdr>
                        <w:top w:val="none" w:sz="0" w:space="0" w:color="auto"/>
                        <w:left w:val="none" w:sz="0" w:space="0" w:color="auto"/>
                        <w:bottom w:val="none" w:sz="0" w:space="0" w:color="auto"/>
                        <w:right w:val="none" w:sz="0" w:space="0" w:color="auto"/>
                      </w:divBdr>
                      <w:divsChild>
                        <w:div w:id="294141537">
                          <w:marLeft w:val="0"/>
                          <w:marRight w:val="0"/>
                          <w:marTop w:val="0"/>
                          <w:marBottom w:val="0"/>
                          <w:divBdr>
                            <w:top w:val="none" w:sz="0" w:space="0" w:color="auto"/>
                            <w:left w:val="none" w:sz="0" w:space="0" w:color="auto"/>
                            <w:bottom w:val="none" w:sz="0" w:space="0" w:color="auto"/>
                            <w:right w:val="none" w:sz="0" w:space="0" w:color="auto"/>
                          </w:divBdr>
                        </w:div>
                      </w:divsChild>
                    </w:div>
                    <w:div w:id="294156736">
                      <w:marLeft w:val="0"/>
                      <w:marRight w:val="0"/>
                      <w:marTop w:val="0"/>
                      <w:marBottom w:val="0"/>
                      <w:divBdr>
                        <w:top w:val="none" w:sz="0" w:space="0" w:color="auto"/>
                        <w:left w:val="none" w:sz="0" w:space="0" w:color="auto"/>
                        <w:bottom w:val="none" w:sz="0" w:space="0" w:color="auto"/>
                        <w:right w:val="none" w:sz="0" w:space="0" w:color="auto"/>
                      </w:divBdr>
                      <w:divsChild>
                        <w:div w:id="294146347">
                          <w:marLeft w:val="0"/>
                          <w:marRight w:val="0"/>
                          <w:marTop w:val="0"/>
                          <w:marBottom w:val="0"/>
                          <w:divBdr>
                            <w:top w:val="none" w:sz="0" w:space="0" w:color="auto"/>
                            <w:left w:val="none" w:sz="0" w:space="0" w:color="auto"/>
                            <w:bottom w:val="none" w:sz="0" w:space="0" w:color="auto"/>
                            <w:right w:val="none" w:sz="0" w:space="0" w:color="auto"/>
                          </w:divBdr>
                        </w:div>
                      </w:divsChild>
                    </w:div>
                    <w:div w:id="294156763">
                      <w:marLeft w:val="0"/>
                      <w:marRight w:val="0"/>
                      <w:marTop w:val="0"/>
                      <w:marBottom w:val="0"/>
                      <w:divBdr>
                        <w:top w:val="none" w:sz="0" w:space="0" w:color="auto"/>
                        <w:left w:val="none" w:sz="0" w:space="0" w:color="auto"/>
                        <w:bottom w:val="none" w:sz="0" w:space="0" w:color="auto"/>
                        <w:right w:val="none" w:sz="0" w:space="0" w:color="auto"/>
                      </w:divBdr>
                      <w:divsChild>
                        <w:div w:id="294148745">
                          <w:marLeft w:val="0"/>
                          <w:marRight w:val="0"/>
                          <w:marTop w:val="0"/>
                          <w:marBottom w:val="0"/>
                          <w:divBdr>
                            <w:top w:val="none" w:sz="0" w:space="0" w:color="auto"/>
                            <w:left w:val="none" w:sz="0" w:space="0" w:color="auto"/>
                            <w:bottom w:val="none" w:sz="0" w:space="0" w:color="auto"/>
                            <w:right w:val="none" w:sz="0" w:space="0" w:color="auto"/>
                          </w:divBdr>
                        </w:div>
                      </w:divsChild>
                    </w:div>
                    <w:div w:id="294156790">
                      <w:marLeft w:val="0"/>
                      <w:marRight w:val="0"/>
                      <w:marTop w:val="0"/>
                      <w:marBottom w:val="0"/>
                      <w:divBdr>
                        <w:top w:val="none" w:sz="0" w:space="0" w:color="auto"/>
                        <w:left w:val="none" w:sz="0" w:space="0" w:color="auto"/>
                        <w:bottom w:val="none" w:sz="0" w:space="0" w:color="auto"/>
                        <w:right w:val="none" w:sz="0" w:space="0" w:color="auto"/>
                      </w:divBdr>
                    </w:div>
                    <w:div w:id="294156815">
                      <w:marLeft w:val="0"/>
                      <w:marRight w:val="0"/>
                      <w:marTop w:val="0"/>
                      <w:marBottom w:val="0"/>
                      <w:divBdr>
                        <w:top w:val="none" w:sz="0" w:space="0" w:color="auto"/>
                        <w:left w:val="none" w:sz="0" w:space="0" w:color="auto"/>
                        <w:bottom w:val="none" w:sz="0" w:space="0" w:color="auto"/>
                        <w:right w:val="none" w:sz="0" w:space="0" w:color="auto"/>
                      </w:divBdr>
                      <w:divsChild>
                        <w:div w:id="294155688">
                          <w:marLeft w:val="0"/>
                          <w:marRight w:val="0"/>
                          <w:marTop w:val="0"/>
                          <w:marBottom w:val="0"/>
                          <w:divBdr>
                            <w:top w:val="none" w:sz="0" w:space="0" w:color="auto"/>
                            <w:left w:val="none" w:sz="0" w:space="0" w:color="auto"/>
                            <w:bottom w:val="none" w:sz="0" w:space="0" w:color="auto"/>
                            <w:right w:val="none" w:sz="0" w:space="0" w:color="auto"/>
                          </w:divBdr>
                        </w:div>
                      </w:divsChild>
                    </w:div>
                    <w:div w:id="294156821">
                      <w:marLeft w:val="0"/>
                      <w:marRight w:val="0"/>
                      <w:marTop w:val="0"/>
                      <w:marBottom w:val="0"/>
                      <w:divBdr>
                        <w:top w:val="none" w:sz="0" w:space="0" w:color="auto"/>
                        <w:left w:val="none" w:sz="0" w:space="0" w:color="auto"/>
                        <w:bottom w:val="none" w:sz="0" w:space="0" w:color="auto"/>
                        <w:right w:val="none" w:sz="0" w:space="0" w:color="auto"/>
                      </w:divBdr>
                      <w:divsChild>
                        <w:div w:id="294145604">
                          <w:marLeft w:val="0"/>
                          <w:marRight w:val="0"/>
                          <w:marTop w:val="0"/>
                          <w:marBottom w:val="0"/>
                          <w:divBdr>
                            <w:top w:val="none" w:sz="0" w:space="0" w:color="auto"/>
                            <w:left w:val="none" w:sz="0" w:space="0" w:color="auto"/>
                            <w:bottom w:val="none" w:sz="0" w:space="0" w:color="auto"/>
                            <w:right w:val="none" w:sz="0" w:space="0" w:color="auto"/>
                          </w:divBdr>
                        </w:div>
                      </w:divsChild>
                    </w:div>
                    <w:div w:id="294156831">
                      <w:marLeft w:val="0"/>
                      <w:marRight w:val="0"/>
                      <w:marTop w:val="0"/>
                      <w:marBottom w:val="0"/>
                      <w:divBdr>
                        <w:top w:val="none" w:sz="0" w:space="0" w:color="auto"/>
                        <w:left w:val="none" w:sz="0" w:space="0" w:color="auto"/>
                        <w:bottom w:val="none" w:sz="0" w:space="0" w:color="auto"/>
                        <w:right w:val="none" w:sz="0" w:space="0" w:color="auto"/>
                      </w:divBdr>
                      <w:divsChild>
                        <w:div w:id="294139633">
                          <w:marLeft w:val="0"/>
                          <w:marRight w:val="0"/>
                          <w:marTop w:val="0"/>
                          <w:marBottom w:val="0"/>
                          <w:divBdr>
                            <w:top w:val="none" w:sz="0" w:space="0" w:color="auto"/>
                            <w:left w:val="none" w:sz="0" w:space="0" w:color="auto"/>
                            <w:bottom w:val="none" w:sz="0" w:space="0" w:color="auto"/>
                            <w:right w:val="none" w:sz="0" w:space="0" w:color="auto"/>
                          </w:divBdr>
                        </w:div>
                      </w:divsChild>
                    </w:div>
                    <w:div w:id="294156883">
                      <w:marLeft w:val="0"/>
                      <w:marRight w:val="0"/>
                      <w:marTop w:val="0"/>
                      <w:marBottom w:val="0"/>
                      <w:divBdr>
                        <w:top w:val="none" w:sz="0" w:space="0" w:color="auto"/>
                        <w:left w:val="none" w:sz="0" w:space="0" w:color="auto"/>
                        <w:bottom w:val="none" w:sz="0" w:space="0" w:color="auto"/>
                        <w:right w:val="none" w:sz="0" w:space="0" w:color="auto"/>
                      </w:divBdr>
                    </w:div>
                    <w:div w:id="294156945">
                      <w:marLeft w:val="0"/>
                      <w:marRight w:val="0"/>
                      <w:marTop w:val="0"/>
                      <w:marBottom w:val="0"/>
                      <w:divBdr>
                        <w:top w:val="none" w:sz="0" w:space="0" w:color="auto"/>
                        <w:left w:val="none" w:sz="0" w:space="0" w:color="auto"/>
                        <w:bottom w:val="none" w:sz="0" w:space="0" w:color="auto"/>
                        <w:right w:val="none" w:sz="0" w:space="0" w:color="auto"/>
                      </w:divBdr>
                      <w:divsChild>
                        <w:div w:id="294141518">
                          <w:marLeft w:val="0"/>
                          <w:marRight w:val="0"/>
                          <w:marTop w:val="0"/>
                          <w:marBottom w:val="0"/>
                          <w:divBdr>
                            <w:top w:val="none" w:sz="0" w:space="0" w:color="auto"/>
                            <w:left w:val="none" w:sz="0" w:space="0" w:color="auto"/>
                            <w:bottom w:val="none" w:sz="0" w:space="0" w:color="auto"/>
                            <w:right w:val="none" w:sz="0" w:space="0" w:color="auto"/>
                          </w:divBdr>
                        </w:div>
                      </w:divsChild>
                    </w:div>
                    <w:div w:id="294156957">
                      <w:marLeft w:val="0"/>
                      <w:marRight w:val="0"/>
                      <w:marTop w:val="0"/>
                      <w:marBottom w:val="0"/>
                      <w:divBdr>
                        <w:top w:val="none" w:sz="0" w:space="0" w:color="auto"/>
                        <w:left w:val="none" w:sz="0" w:space="0" w:color="auto"/>
                        <w:bottom w:val="none" w:sz="0" w:space="0" w:color="auto"/>
                        <w:right w:val="none" w:sz="0" w:space="0" w:color="auto"/>
                      </w:divBdr>
                      <w:divsChild>
                        <w:div w:id="294138594">
                          <w:marLeft w:val="0"/>
                          <w:marRight w:val="0"/>
                          <w:marTop w:val="0"/>
                          <w:marBottom w:val="0"/>
                          <w:divBdr>
                            <w:top w:val="none" w:sz="0" w:space="0" w:color="auto"/>
                            <w:left w:val="none" w:sz="0" w:space="0" w:color="auto"/>
                            <w:bottom w:val="none" w:sz="0" w:space="0" w:color="auto"/>
                            <w:right w:val="none" w:sz="0" w:space="0" w:color="auto"/>
                          </w:divBdr>
                        </w:div>
                      </w:divsChild>
                    </w:div>
                    <w:div w:id="294156969">
                      <w:marLeft w:val="0"/>
                      <w:marRight w:val="0"/>
                      <w:marTop w:val="0"/>
                      <w:marBottom w:val="0"/>
                      <w:divBdr>
                        <w:top w:val="none" w:sz="0" w:space="0" w:color="auto"/>
                        <w:left w:val="none" w:sz="0" w:space="0" w:color="auto"/>
                        <w:bottom w:val="none" w:sz="0" w:space="0" w:color="auto"/>
                        <w:right w:val="none" w:sz="0" w:space="0" w:color="auto"/>
                      </w:divBdr>
                      <w:divsChild>
                        <w:div w:id="294157221">
                          <w:marLeft w:val="0"/>
                          <w:marRight w:val="0"/>
                          <w:marTop w:val="0"/>
                          <w:marBottom w:val="0"/>
                          <w:divBdr>
                            <w:top w:val="none" w:sz="0" w:space="0" w:color="auto"/>
                            <w:left w:val="none" w:sz="0" w:space="0" w:color="auto"/>
                            <w:bottom w:val="none" w:sz="0" w:space="0" w:color="auto"/>
                            <w:right w:val="none" w:sz="0" w:space="0" w:color="auto"/>
                          </w:divBdr>
                        </w:div>
                      </w:divsChild>
                    </w:div>
                    <w:div w:id="294156973">
                      <w:marLeft w:val="0"/>
                      <w:marRight w:val="0"/>
                      <w:marTop w:val="0"/>
                      <w:marBottom w:val="0"/>
                      <w:divBdr>
                        <w:top w:val="none" w:sz="0" w:space="0" w:color="auto"/>
                        <w:left w:val="none" w:sz="0" w:space="0" w:color="auto"/>
                        <w:bottom w:val="none" w:sz="0" w:space="0" w:color="auto"/>
                        <w:right w:val="none" w:sz="0" w:space="0" w:color="auto"/>
                      </w:divBdr>
                    </w:div>
                    <w:div w:id="294156995">
                      <w:marLeft w:val="0"/>
                      <w:marRight w:val="0"/>
                      <w:marTop w:val="0"/>
                      <w:marBottom w:val="0"/>
                      <w:divBdr>
                        <w:top w:val="none" w:sz="0" w:space="0" w:color="auto"/>
                        <w:left w:val="none" w:sz="0" w:space="0" w:color="auto"/>
                        <w:bottom w:val="none" w:sz="0" w:space="0" w:color="auto"/>
                        <w:right w:val="none" w:sz="0" w:space="0" w:color="auto"/>
                      </w:divBdr>
                      <w:divsChild>
                        <w:div w:id="294153984">
                          <w:marLeft w:val="0"/>
                          <w:marRight w:val="0"/>
                          <w:marTop w:val="0"/>
                          <w:marBottom w:val="0"/>
                          <w:divBdr>
                            <w:top w:val="none" w:sz="0" w:space="0" w:color="auto"/>
                            <w:left w:val="none" w:sz="0" w:space="0" w:color="auto"/>
                            <w:bottom w:val="none" w:sz="0" w:space="0" w:color="auto"/>
                            <w:right w:val="none" w:sz="0" w:space="0" w:color="auto"/>
                          </w:divBdr>
                        </w:div>
                      </w:divsChild>
                    </w:div>
                    <w:div w:id="294157024">
                      <w:marLeft w:val="0"/>
                      <w:marRight w:val="0"/>
                      <w:marTop w:val="0"/>
                      <w:marBottom w:val="0"/>
                      <w:divBdr>
                        <w:top w:val="none" w:sz="0" w:space="0" w:color="auto"/>
                        <w:left w:val="none" w:sz="0" w:space="0" w:color="auto"/>
                        <w:bottom w:val="none" w:sz="0" w:space="0" w:color="auto"/>
                        <w:right w:val="none" w:sz="0" w:space="0" w:color="auto"/>
                      </w:divBdr>
                      <w:divsChild>
                        <w:div w:id="294154279">
                          <w:marLeft w:val="0"/>
                          <w:marRight w:val="0"/>
                          <w:marTop w:val="0"/>
                          <w:marBottom w:val="0"/>
                          <w:divBdr>
                            <w:top w:val="none" w:sz="0" w:space="0" w:color="auto"/>
                            <w:left w:val="none" w:sz="0" w:space="0" w:color="auto"/>
                            <w:bottom w:val="none" w:sz="0" w:space="0" w:color="auto"/>
                            <w:right w:val="none" w:sz="0" w:space="0" w:color="auto"/>
                          </w:divBdr>
                        </w:div>
                      </w:divsChild>
                    </w:div>
                    <w:div w:id="294157046">
                      <w:marLeft w:val="0"/>
                      <w:marRight w:val="0"/>
                      <w:marTop w:val="0"/>
                      <w:marBottom w:val="0"/>
                      <w:divBdr>
                        <w:top w:val="none" w:sz="0" w:space="0" w:color="auto"/>
                        <w:left w:val="none" w:sz="0" w:space="0" w:color="auto"/>
                        <w:bottom w:val="none" w:sz="0" w:space="0" w:color="auto"/>
                        <w:right w:val="none" w:sz="0" w:space="0" w:color="auto"/>
                      </w:divBdr>
                    </w:div>
                    <w:div w:id="294157053">
                      <w:marLeft w:val="0"/>
                      <w:marRight w:val="0"/>
                      <w:marTop w:val="0"/>
                      <w:marBottom w:val="0"/>
                      <w:divBdr>
                        <w:top w:val="none" w:sz="0" w:space="0" w:color="auto"/>
                        <w:left w:val="none" w:sz="0" w:space="0" w:color="auto"/>
                        <w:bottom w:val="none" w:sz="0" w:space="0" w:color="auto"/>
                        <w:right w:val="none" w:sz="0" w:space="0" w:color="auto"/>
                      </w:divBdr>
                    </w:div>
                    <w:div w:id="294157071">
                      <w:marLeft w:val="0"/>
                      <w:marRight w:val="0"/>
                      <w:marTop w:val="0"/>
                      <w:marBottom w:val="0"/>
                      <w:divBdr>
                        <w:top w:val="none" w:sz="0" w:space="0" w:color="auto"/>
                        <w:left w:val="none" w:sz="0" w:space="0" w:color="auto"/>
                        <w:bottom w:val="none" w:sz="0" w:space="0" w:color="auto"/>
                        <w:right w:val="none" w:sz="0" w:space="0" w:color="auto"/>
                      </w:divBdr>
                    </w:div>
                    <w:div w:id="294157074">
                      <w:marLeft w:val="0"/>
                      <w:marRight w:val="0"/>
                      <w:marTop w:val="0"/>
                      <w:marBottom w:val="0"/>
                      <w:divBdr>
                        <w:top w:val="none" w:sz="0" w:space="0" w:color="auto"/>
                        <w:left w:val="none" w:sz="0" w:space="0" w:color="auto"/>
                        <w:bottom w:val="none" w:sz="0" w:space="0" w:color="auto"/>
                        <w:right w:val="none" w:sz="0" w:space="0" w:color="auto"/>
                      </w:divBdr>
                    </w:div>
                    <w:div w:id="294157084">
                      <w:marLeft w:val="0"/>
                      <w:marRight w:val="0"/>
                      <w:marTop w:val="0"/>
                      <w:marBottom w:val="0"/>
                      <w:divBdr>
                        <w:top w:val="none" w:sz="0" w:space="0" w:color="auto"/>
                        <w:left w:val="none" w:sz="0" w:space="0" w:color="auto"/>
                        <w:bottom w:val="none" w:sz="0" w:space="0" w:color="auto"/>
                        <w:right w:val="none" w:sz="0" w:space="0" w:color="auto"/>
                      </w:divBdr>
                      <w:divsChild>
                        <w:div w:id="294151929">
                          <w:marLeft w:val="0"/>
                          <w:marRight w:val="0"/>
                          <w:marTop w:val="0"/>
                          <w:marBottom w:val="0"/>
                          <w:divBdr>
                            <w:top w:val="none" w:sz="0" w:space="0" w:color="auto"/>
                            <w:left w:val="none" w:sz="0" w:space="0" w:color="auto"/>
                            <w:bottom w:val="none" w:sz="0" w:space="0" w:color="auto"/>
                            <w:right w:val="none" w:sz="0" w:space="0" w:color="auto"/>
                          </w:divBdr>
                        </w:div>
                      </w:divsChild>
                    </w:div>
                    <w:div w:id="294157091">
                      <w:marLeft w:val="0"/>
                      <w:marRight w:val="0"/>
                      <w:marTop w:val="0"/>
                      <w:marBottom w:val="0"/>
                      <w:divBdr>
                        <w:top w:val="none" w:sz="0" w:space="0" w:color="auto"/>
                        <w:left w:val="none" w:sz="0" w:space="0" w:color="auto"/>
                        <w:bottom w:val="none" w:sz="0" w:space="0" w:color="auto"/>
                        <w:right w:val="none" w:sz="0" w:space="0" w:color="auto"/>
                      </w:divBdr>
                      <w:divsChild>
                        <w:div w:id="294151815">
                          <w:marLeft w:val="0"/>
                          <w:marRight w:val="0"/>
                          <w:marTop w:val="0"/>
                          <w:marBottom w:val="0"/>
                          <w:divBdr>
                            <w:top w:val="none" w:sz="0" w:space="0" w:color="auto"/>
                            <w:left w:val="none" w:sz="0" w:space="0" w:color="auto"/>
                            <w:bottom w:val="none" w:sz="0" w:space="0" w:color="auto"/>
                            <w:right w:val="none" w:sz="0" w:space="0" w:color="auto"/>
                          </w:divBdr>
                        </w:div>
                      </w:divsChild>
                    </w:div>
                    <w:div w:id="294157107">
                      <w:marLeft w:val="0"/>
                      <w:marRight w:val="0"/>
                      <w:marTop w:val="0"/>
                      <w:marBottom w:val="0"/>
                      <w:divBdr>
                        <w:top w:val="none" w:sz="0" w:space="0" w:color="auto"/>
                        <w:left w:val="none" w:sz="0" w:space="0" w:color="auto"/>
                        <w:bottom w:val="none" w:sz="0" w:space="0" w:color="auto"/>
                        <w:right w:val="none" w:sz="0" w:space="0" w:color="auto"/>
                      </w:divBdr>
                      <w:divsChild>
                        <w:div w:id="294152160">
                          <w:marLeft w:val="0"/>
                          <w:marRight w:val="0"/>
                          <w:marTop w:val="0"/>
                          <w:marBottom w:val="0"/>
                          <w:divBdr>
                            <w:top w:val="none" w:sz="0" w:space="0" w:color="auto"/>
                            <w:left w:val="none" w:sz="0" w:space="0" w:color="auto"/>
                            <w:bottom w:val="none" w:sz="0" w:space="0" w:color="auto"/>
                            <w:right w:val="none" w:sz="0" w:space="0" w:color="auto"/>
                          </w:divBdr>
                        </w:div>
                      </w:divsChild>
                    </w:div>
                    <w:div w:id="294157115">
                      <w:marLeft w:val="0"/>
                      <w:marRight w:val="0"/>
                      <w:marTop w:val="0"/>
                      <w:marBottom w:val="0"/>
                      <w:divBdr>
                        <w:top w:val="none" w:sz="0" w:space="0" w:color="auto"/>
                        <w:left w:val="none" w:sz="0" w:space="0" w:color="auto"/>
                        <w:bottom w:val="none" w:sz="0" w:space="0" w:color="auto"/>
                        <w:right w:val="none" w:sz="0" w:space="0" w:color="auto"/>
                      </w:divBdr>
                      <w:divsChild>
                        <w:div w:id="294142689">
                          <w:marLeft w:val="0"/>
                          <w:marRight w:val="0"/>
                          <w:marTop w:val="0"/>
                          <w:marBottom w:val="0"/>
                          <w:divBdr>
                            <w:top w:val="none" w:sz="0" w:space="0" w:color="auto"/>
                            <w:left w:val="none" w:sz="0" w:space="0" w:color="auto"/>
                            <w:bottom w:val="none" w:sz="0" w:space="0" w:color="auto"/>
                            <w:right w:val="none" w:sz="0" w:space="0" w:color="auto"/>
                          </w:divBdr>
                        </w:div>
                      </w:divsChild>
                    </w:div>
                    <w:div w:id="294157161">
                      <w:marLeft w:val="0"/>
                      <w:marRight w:val="0"/>
                      <w:marTop w:val="0"/>
                      <w:marBottom w:val="0"/>
                      <w:divBdr>
                        <w:top w:val="none" w:sz="0" w:space="0" w:color="auto"/>
                        <w:left w:val="none" w:sz="0" w:space="0" w:color="auto"/>
                        <w:bottom w:val="none" w:sz="0" w:space="0" w:color="auto"/>
                        <w:right w:val="none" w:sz="0" w:space="0" w:color="auto"/>
                      </w:divBdr>
                      <w:divsChild>
                        <w:div w:id="294150068">
                          <w:marLeft w:val="0"/>
                          <w:marRight w:val="0"/>
                          <w:marTop w:val="0"/>
                          <w:marBottom w:val="0"/>
                          <w:divBdr>
                            <w:top w:val="none" w:sz="0" w:space="0" w:color="auto"/>
                            <w:left w:val="none" w:sz="0" w:space="0" w:color="auto"/>
                            <w:bottom w:val="none" w:sz="0" w:space="0" w:color="auto"/>
                            <w:right w:val="none" w:sz="0" w:space="0" w:color="auto"/>
                          </w:divBdr>
                        </w:div>
                      </w:divsChild>
                    </w:div>
                    <w:div w:id="294157165">
                      <w:marLeft w:val="0"/>
                      <w:marRight w:val="0"/>
                      <w:marTop w:val="0"/>
                      <w:marBottom w:val="0"/>
                      <w:divBdr>
                        <w:top w:val="none" w:sz="0" w:space="0" w:color="auto"/>
                        <w:left w:val="none" w:sz="0" w:space="0" w:color="auto"/>
                        <w:bottom w:val="none" w:sz="0" w:space="0" w:color="auto"/>
                        <w:right w:val="none" w:sz="0" w:space="0" w:color="auto"/>
                      </w:divBdr>
                      <w:divsChild>
                        <w:div w:id="294144656">
                          <w:marLeft w:val="0"/>
                          <w:marRight w:val="0"/>
                          <w:marTop w:val="0"/>
                          <w:marBottom w:val="0"/>
                          <w:divBdr>
                            <w:top w:val="none" w:sz="0" w:space="0" w:color="auto"/>
                            <w:left w:val="none" w:sz="0" w:space="0" w:color="auto"/>
                            <w:bottom w:val="none" w:sz="0" w:space="0" w:color="auto"/>
                            <w:right w:val="none" w:sz="0" w:space="0" w:color="auto"/>
                          </w:divBdr>
                        </w:div>
                      </w:divsChild>
                    </w:div>
                    <w:div w:id="294157166">
                      <w:marLeft w:val="0"/>
                      <w:marRight w:val="0"/>
                      <w:marTop w:val="0"/>
                      <w:marBottom w:val="0"/>
                      <w:divBdr>
                        <w:top w:val="none" w:sz="0" w:space="0" w:color="auto"/>
                        <w:left w:val="none" w:sz="0" w:space="0" w:color="auto"/>
                        <w:bottom w:val="none" w:sz="0" w:space="0" w:color="auto"/>
                        <w:right w:val="none" w:sz="0" w:space="0" w:color="auto"/>
                      </w:divBdr>
                    </w:div>
                    <w:div w:id="294157227">
                      <w:marLeft w:val="0"/>
                      <w:marRight w:val="0"/>
                      <w:marTop w:val="0"/>
                      <w:marBottom w:val="0"/>
                      <w:divBdr>
                        <w:top w:val="none" w:sz="0" w:space="0" w:color="auto"/>
                        <w:left w:val="none" w:sz="0" w:space="0" w:color="auto"/>
                        <w:bottom w:val="none" w:sz="0" w:space="0" w:color="auto"/>
                        <w:right w:val="none" w:sz="0" w:space="0" w:color="auto"/>
                      </w:divBdr>
                      <w:divsChild>
                        <w:div w:id="294149757">
                          <w:marLeft w:val="0"/>
                          <w:marRight w:val="0"/>
                          <w:marTop w:val="0"/>
                          <w:marBottom w:val="0"/>
                          <w:divBdr>
                            <w:top w:val="none" w:sz="0" w:space="0" w:color="auto"/>
                            <w:left w:val="none" w:sz="0" w:space="0" w:color="auto"/>
                            <w:bottom w:val="none" w:sz="0" w:space="0" w:color="auto"/>
                            <w:right w:val="none" w:sz="0" w:space="0" w:color="auto"/>
                          </w:divBdr>
                        </w:div>
                      </w:divsChild>
                    </w:div>
                    <w:div w:id="294157264">
                      <w:marLeft w:val="0"/>
                      <w:marRight w:val="0"/>
                      <w:marTop w:val="0"/>
                      <w:marBottom w:val="0"/>
                      <w:divBdr>
                        <w:top w:val="none" w:sz="0" w:space="0" w:color="auto"/>
                        <w:left w:val="none" w:sz="0" w:space="0" w:color="auto"/>
                        <w:bottom w:val="none" w:sz="0" w:space="0" w:color="auto"/>
                        <w:right w:val="none" w:sz="0" w:space="0" w:color="auto"/>
                      </w:divBdr>
                    </w:div>
                    <w:div w:id="294157288">
                      <w:marLeft w:val="0"/>
                      <w:marRight w:val="0"/>
                      <w:marTop w:val="0"/>
                      <w:marBottom w:val="0"/>
                      <w:divBdr>
                        <w:top w:val="none" w:sz="0" w:space="0" w:color="auto"/>
                        <w:left w:val="none" w:sz="0" w:space="0" w:color="auto"/>
                        <w:bottom w:val="none" w:sz="0" w:space="0" w:color="auto"/>
                        <w:right w:val="none" w:sz="0" w:space="0" w:color="auto"/>
                      </w:divBdr>
                    </w:div>
                    <w:div w:id="294157301">
                      <w:marLeft w:val="0"/>
                      <w:marRight w:val="0"/>
                      <w:marTop w:val="0"/>
                      <w:marBottom w:val="0"/>
                      <w:divBdr>
                        <w:top w:val="none" w:sz="0" w:space="0" w:color="auto"/>
                        <w:left w:val="none" w:sz="0" w:space="0" w:color="auto"/>
                        <w:bottom w:val="none" w:sz="0" w:space="0" w:color="auto"/>
                        <w:right w:val="none" w:sz="0" w:space="0" w:color="auto"/>
                      </w:divBdr>
                      <w:divsChild>
                        <w:div w:id="294155239">
                          <w:marLeft w:val="0"/>
                          <w:marRight w:val="0"/>
                          <w:marTop w:val="0"/>
                          <w:marBottom w:val="0"/>
                          <w:divBdr>
                            <w:top w:val="none" w:sz="0" w:space="0" w:color="auto"/>
                            <w:left w:val="none" w:sz="0" w:space="0" w:color="auto"/>
                            <w:bottom w:val="none" w:sz="0" w:space="0" w:color="auto"/>
                            <w:right w:val="none" w:sz="0" w:space="0" w:color="auto"/>
                          </w:divBdr>
                        </w:div>
                      </w:divsChild>
                    </w:div>
                    <w:div w:id="294157307">
                      <w:marLeft w:val="0"/>
                      <w:marRight w:val="0"/>
                      <w:marTop w:val="0"/>
                      <w:marBottom w:val="0"/>
                      <w:divBdr>
                        <w:top w:val="none" w:sz="0" w:space="0" w:color="auto"/>
                        <w:left w:val="none" w:sz="0" w:space="0" w:color="auto"/>
                        <w:bottom w:val="none" w:sz="0" w:space="0" w:color="auto"/>
                        <w:right w:val="none" w:sz="0" w:space="0" w:color="auto"/>
                      </w:divBdr>
                      <w:divsChild>
                        <w:div w:id="294146979">
                          <w:marLeft w:val="0"/>
                          <w:marRight w:val="0"/>
                          <w:marTop w:val="0"/>
                          <w:marBottom w:val="0"/>
                          <w:divBdr>
                            <w:top w:val="none" w:sz="0" w:space="0" w:color="auto"/>
                            <w:left w:val="none" w:sz="0" w:space="0" w:color="auto"/>
                            <w:bottom w:val="none" w:sz="0" w:space="0" w:color="auto"/>
                            <w:right w:val="none" w:sz="0" w:space="0" w:color="auto"/>
                          </w:divBdr>
                        </w:div>
                      </w:divsChild>
                    </w:div>
                    <w:div w:id="294157330">
                      <w:marLeft w:val="0"/>
                      <w:marRight w:val="0"/>
                      <w:marTop w:val="0"/>
                      <w:marBottom w:val="0"/>
                      <w:divBdr>
                        <w:top w:val="none" w:sz="0" w:space="0" w:color="auto"/>
                        <w:left w:val="none" w:sz="0" w:space="0" w:color="auto"/>
                        <w:bottom w:val="none" w:sz="0" w:space="0" w:color="auto"/>
                        <w:right w:val="none" w:sz="0" w:space="0" w:color="auto"/>
                      </w:divBdr>
                      <w:divsChild>
                        <w:div w:id="294152060">
                          <w:marLeft w:val="0"/>
                          <w:marRight w:val="0"/>
                          <w:marTop w:val="0"/>
                          <w:marBottom w:val="0"/>
                          <w:divBdr>
                            <w:top w:val="none" w:sz="0" w:space="0" w:color="auto"/>
                            <w:left w:val="none" w:sz="0" w:space="0" w:color="auto"/>
                            <w:bottom w:val="none" w:sz="0" w:space="0" w:color="auto"/>
                            <w:right w:val="none" w:sz="0" w:space="0" w:color="auto"/>
                          </w:divBdr>
                        </w:div>
                      </w:divsChild>
                    </w:div>
                    <w:div w:id="294157341">
                      <w:marLeft w:val="0"/>
                      <w:marRight w:val="0"/>
                      <w:marTop w:val="0"/>
                      <w:marBottom w:val="0"/>
                      <w:divBdr>
                        <w:top w:val="none" w:sz="0" w:space="0" w:color="auto"/>
                        <w:left w:val="none" w:sz="0" w:space="0" w:color="auto"/>
                        <w:bottom w:val="none" w:sz="0" w:space="0" w:color="auto"/>
                        <w:right w:val="none" w:sz="0" w:space="0" w:color="auto"/>
                      </w:divBdr>
                      <w:divsChild>
                        <w:div w:id="294152783">
                          <w:marLeft w:val="0"/>
                          <w:marRight w:val="0"/>
                          <w:marTop w:val="0"/>
                          <w:marBottom w:val="0"/>
                          <w:divBdr>
                            <w:top w:val="none" w:sz="0" w:space="0" w:color="auto"/>
                            <w:left w:val="none" w:sz="0" w:space="0" w:color="auto"/>
                            <w:bottom w:val="none" w:sz="0" w:space="0" w:color="auto"/>
                            <w:right w:val="none" w:sz="0" w:space="0" w:color="auto"/>
                          </w:divBdr>
                        </w:div>
                      </w:divsChild>
                    </w:div>
                    <w:div w:id="294157345">
                      <w:marLeft w:val="0"/>
                      <w:marRight w:val="0"/>
                      <w:marTop w:val="0"/>
                      <w:marBottom w:val="0"/>
                      <w:divBdr>
                        <w:top w:val="none" w:sz="0" w:space="0" w:color="auto"/>
                        <w:left w:val="none" w:sz="0" w:space="0" w:color="auto"/>
                        <w:bottom w:val="none" w:sz="0" w:space="0" w:color="auto"/>
                        <w:right w:val="none" w:sz="0" w:space="0" w:color="auto"/>
                      </w:divBdr>
                      <w:divsChild>
                        <w:div w:id="294139800">
                          <w:marLeft w:val="0"/>
                          <w:marRight w:val="0"/>
                          <w:marTop w:val="0"/>
                          <w:marBottom w:val="0"/>
                          <w:divBdr>
                            <w:top w:val="none" w:sz="0" w:space="0" w:color="auto"/>
                            <w:left w:val="none" w:sz="0" w:space="0" w:color="auto"/>
                            <w:bottom w:val="none" w:sz="0" w:space="0" w:color="auto"/>
                            <w:right w:val="none" w:sz="0" w:space="0" w:color="auto"/>
                          </w:divBdr>
                        </w:div>
                      </w:divsChild>
                    </w:div>
                    <w:div w:id="294157373">
                      <w:marLeft w:val="0"/>
                      <w:marRight w:val="0"/>
                      <w:marTop w:val="0"/>
                      <w:marBottom w:val="0"/>
                      <w:divBdr>
                        <w:top w:val="none" w:sz="0" w:space="0" w:color="auto"/>
                        <w:left w:val="none" w:sz="0" w:space="0" w:color="auto"/>
                        <w:bottom w:val="none" w:sz="0" w:space="0" w:color="auto"/>
                        <w:right w:val="none" w:sz="0" w:space="0" w:color="auto"/>
                      </w:divBdr>
                      <w:divsChild>
                        <w:div w:id="294155242">
                          <w:marLeft w:val="0"/>
                          <w:marRight w:val="0"/>
                          <w:marTop w:val="0"/>
                          <w:marBottom w:val="0"/>
                          <w:divBdr>
                            <w:top w:val="none" w:sz="0" w:space="0" w:color="auto"/>
                            <w:left w:val="none" w:sz="0" w:space="0" w:color="auto"/>
                            <w:bottom w:val="none" w:sz="0" w:space="0" w:color="auto"/>
                            <w:right w:val="none" w:sz="0" w:space="0" w:color="auto"/>
                          </w:divBdr>
                        </w:div>
                      </w:divsChild>
                    </w:div>
                    <w:div w:id="294157376">
                      <w:marLeft w:val="0"/>
                      <w:marRight w:val="0"/>
                      <w:marTop w:val="0"/>
                      <w:marBottom w:val="0"/>
                      <w:divBdr>
                        <w:top w:val="none" w:sz="0" w:space="0" w:color="auto"/>
                        <w:left w:val="none" w:sz="0" w:space="0" w:color="auto"/>
                        <w:bottom w:val="none" w:sz="0" w:space="0" w:color="auto"/>
                        <w:right w:val="none" w:sz="0" w:space="0" w:color="auto"/>
                      </w:divBdr>
                      <w:divsChild>
                        <w:div w:id="294145488">
                          <w:marLeft w:val="0"/>
                          <w:marRight w:val="0"/>
                          <w:marTop w:val="0"/>
                          <w:marBottom w:val="0"/>
                          <w:divBdr>
                            <w:top w:val="none" w:sz="0" w:space="0" w:color="auto"/>
                            <w:left w:val="none" w:sz="0" w:space="0" w:color="auto"/>
                            <w:bottom w:val="none" w:sz="0" w:space="0" w:color="auto"/>
                            <w:right w:val="none" w:sz="0" w:space="0" w:color="auto"/>
                          </w:divBdr>
                        </w:div>
                      </w:divsChild>
                    </w:div>
                    <w:div w:id="294157392">
                      <w:marLeft w:val="0"/>
                      <w:marRight w:val="0"/>
                      <w:marTop w:val="0"/>
                      <w:marBottom w:val="0"/>
                      <w:divBdr>
                        <w:top w:val="none" w:sz="0" w:space="0" w:color="auto"/>
                        <w:left w:val="none" w:sz="0" w:space="0" w:color="auto"/>
                        <w:bottom w:val="none" w:sz="0" w:space="0" w:color="auto"/>
                        <w:right w:val="none" w:sz="0" w:space="0" w:color="auto"/>
                      </w:divBdr>
                      <w:divsChild>
                        <w:div w:id="294145265">
                          <w:marLeft w:val="0"/>
                          <w:marRight w:val="0"/>
                          <w:marTop w:val="0"/>
                          <w:marBottom w:val="0"/>
                          <w:divBdr>
                            <w:top w:val="none" w:sz="0" w:space="0" w:color="auto"/>
                            <w:left w:val="none" w:sz="0" w:space="0" w:color="auto"/>
                            <w:bottom w:val="none" w:sz="0" w:space="0" w:color="auto"/>
                            <w:right w:val="none" w:sz="0" w:space="0" w:color="auto"/>
                          </w:divBdr>
                        </w:div>
                      </w:divsChild>
                    </w:div>
                    <w:div w:id="294157428">
                      <w:marLeft w:val="0"/>
                      <w:marRight w:val="0"/>
                      <w:marTop w:val="0"/>
                      <w:marBottom w:val="0"/>
                      <w:divBdr>
                        <w:top w:val="none" w:sz="0" w:space="0" w:color="auto"/>
                        <w:left w:val="none" w:sz="0" w:space="0" w:color="auto"/>
                        <w:bottom w:val="none" w:sz="0" w:space="0" w:color="auto"/>
                        <w:right w:val="none" w:sz="0" w:space="0" w:color="auto"/>
                      </w:divBdr>
                      <w:divsChild>
                        <w:div w:id="29414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53725">
          <w:marLeft w:val="0"/>
          <w:marRight w:val="0"/>
          <w:marTop w:val="0"/>
          <w:marBottom w:val="0"/>
          <w:divBdr>
            <w:top w:val="none" w:sz="0" w:space="0" w:color="auto"/>
            <w:left w:val="none" w:sz="0" w:space="0" w:color="auto"/>
            <w:bottom w:val="none" w:sz="0" w:space="0" w:color="auto"/>
            <w:right w:val="none" w:sz="0" w:space="0" w:color="auto"/>
          </w:divBdr>
          <w:divsChild>
            <w:div w:id="294150402">
              <w:marLeft w:val="0"/>
              <w:marRight w:val="0"/>
              <w:marTop w:val="0"/>
              <w:marBottom w:val="0"/>
              <w:divBdr>
                <w:top w:val="none" w:sz="0" w:space="0" w:color="auto"/>
                <w:left w:val="none" w:sz="0" w:space="0" w:color="auto"/>
                <w:bottom w:val="none" w:sz="0" w:space="0" w:color="auto"/>
                <w:right w:val="none" w:sz="0" w:space="0" w:color="auto"/>
              </w:divBdr>
              <w:divsChild>
                <w:div w:id="29414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52195">
      <w:marLeft w:val="0"/>
      <w:marRight w:val="0"/>
      <w:marTop w:val="0"/>
      <w:marBottom w:val="0"/>
      <w:divBdr>
        <w:top w:val="none" w:sz="0" w:space="0" w:color="auto"/>
        <w:left w:val="none" w:sz="0" w:space="0" w:color="auto"/>
        <w:bottom w:val="none" w:sz="0" w:space="0" w:color="auto"/>
        <w:right w:val="none" w:sz="0" w:space="0" w:color="auto"/>
      </w:divBdr>
    </w:div>
    <w:div w:id="294152202">
      <w:marLeft w:val="0"/>
      <w:marRight w:val="0"/>
      <w:marTop w:val="0"/>
      <w:marBottom w:val="0"/>
      <w:divBdr>
        <w:top w:val="none" w:sz="0" w:space="0" w:color="auto"/>
        <w:left w:val="none" w:sz="0" w:space="0" w:color="auto"/>
        <w:bottom w:val="none" w:sz="0" w:space="0" w:color="auto"/>
        <w:right w:val="none" w:sz="0" w:space="0" w:color="auto"/>
      </w:divBdr>
    </w:div>
    <w:div w:id="294152294">
      <w:marLeft w:val="0"/>
      <w:marRight w:val="0"/>
      <w:marTop w:val="0"/>
      <w:marBottom w:val="0"/>
      <w:divBdr>
        <w:top w:val="none" w:sz="0" w:space="0" w:color="auto"/>
        <w:left w:val="none" w:sz="0" w:space="0" w:color="auto"/>
        <w:bottom w:val="none" w:sz="0" w:space="0" w:color="auto"/>
        <w:right w:val="none" w:sz="0" w:space="0" w:color="auto"/>
      </w:divBdr>
    </w:div>
    <w:div w:id="294152338">
      <w:marLeft w:val="0"/>
      <w:marRight w:val="0"/>
      <w:marTop w:val="0"/>
      <w:marBottom w:val="0"/>
      <w:divBdr>
        <w:top w:val="none" w:sz="0" w:space="0" w:color="auto"/>
        <w:left w:val="none" w:sz="0" w:space="0" w:color="auto"/>
        <w:bottom w:val="none" w:sz="0" w:space="0" w:color="auto"/>
        <w:right w:val="none" w:sz="0" w:space="0" w:color="auto"/>
      </w:divBdr>
      <w:divsChild>
        <w:div w:id="294142181">
          <w:marLeft w:val="0"/>
          <w:marRight w:val="0"/>
          <w:marTop w:val="0"/>
          <w:marBottom w:val="0"/>
          <w:divBdr>
            <w:top w:val="none" w:sz="0" w:space="0" w:color="auto"/>
            <w:left w:val="none" w:sz="0" w:space="0" w:color="auto"/>
            <w:bottom w:val="none" w:sz="0" w:space="0" w:color="auto"/>
            <w:right w:val="none" w:sz="0" w:space="0" w:color="auto"/>
          </w:divBdr>
          <w:divsChild>
            <w:div w:id="294149042">
              <w:marLeft w:val="0"/>
              <w:marRight w:val="0"/>
              <w:marTop w:val="0"/>
              <w:marBottom w:val="0"/>
              <w:divBdr>
                <w:top w:val="none" w:sz="0" w:space="0" w:color="auto"/>
                <w:left w:val="none" w:sz="0" w:space="0" w:color="auto"/>
                <w:bottom w:val="none" w:sz="0" w:space="0" w:color="auto"/>
                <w:right w:val="none" w:sz="0" w:space="0" w:color="auto"/>
              </w:divBdr>
              <w:divsChild>
                <w:div w:id="294151060">
                  <w:marLeft w:val="0"/>
                  <w:marRight w:val="0"/>
                  <w:marTop w:val="0"/>
                  <w:marBottom w:val="0"/>
                  <w:divBdr>
                    <w:top w:val="none" w:sz="0" w:space="0" w:color="auto"/>
                    <w:left w:val="none" w:sz="0" w:space="0" w:color="auto"/>
                    <w:bottom w:val="none" w:sz="0" w:space="0" w:color="auto"/>
                    <w:right w:val="none" w:sz="0" w:space="0" w:color="auto"/>
                  </w:divBdr>
                  <w:divsChild>
                    <w:div w:id="294138078">
                      <w:marLeft w:val="0"/>
                      <w:marRight w:val="0"/>
                      <w:marTop w:val="0"/>
                      <w:marBottom w:val="0"/>
                      <w:divBdr>
                        <w:top w:val="none" w:sz="0" w:space="0" w:color="auto"/>
                        <w:left w:val="none" w:sz="0" w:space="0" w:color="auto"/>
                        <w:bottom w:val="none" w:sz="0" w:space="0" w:color="auto"/>
                        <w:right w:val="none" w:sz="0" w:space="0" w:color="auto"/>
                      </w:divBdr>
                    </w:div>
                    <w:div w:id="294138108">
                      <w:marLeft w:val="0"/>
                      <w:marRight w:val="0"/>
                      <w:marTop w:val="0"/>
                      <w:marBottom w:val="0"/>
                      <w:divBdr>
                        <w:top w:val="none" w:sz="0" w:space="0" w:color="auto"/>
                        <w:left w:val="none" w:sz="0" w:space="0" w:color="auto"/>
                        <w:bottom w:val="none" w:sz="0" w:space="0" w:color="auto"/>
                        <w:right w:val="none" w:sz="0" w:space="0" w:color="auto"/>
                      </w:divBdr>
                    </w:div>
                    <w:div w:id="294138191">
                      <w:marLeft w:val="0"/>
                      <w:marRight w:val="0"/>
                      <w:marTop w:val="0"/>
                      <w:marBottom w:val="0"/>
                      <w:divBdr>
                        <w:top w:val="none" w:sz="0" w:space="0" w:color="auto"/>
                        <w:left w:val="none" w:sz="0" w:space="0" w:color="auto"/>
                        <w:bottom w:val="none" w:sz="0" w:space="0" w:color="auto"/>
                        <w:right w:val="none" w:sz="0" w:space="0" w:color="auto"/>
                      </w:divBdr>
                    </w:div>
                    <w:div w:id="294138264">
                      <w:marLeft w:val="0"/>
                      <w:marRight w:val="0"/>
                      <w:marTop w:val="0"/>
                      <w:marBottom w:val="0"/>
                      <w:divBdr>
                        <w:top w:val="none" w:sz="0" w:space="0" w:color="auto"/>
                        <w:left w:val="none" w:sz="0" w:space="0" w:color="auto"/>
                        <w:bottom w:val="none" w:sz="0" w:space="0" w:color="auto"/>
                        <w:right w:val="none" w:sz="0" w:space="0" w:color="auto"/>
                      </w:divBdr>
                      <w:divsChild>
                        <w:div w:id="294146371">
                          <w:marLeft w:val="0"/>
                          <w:marRight w:val="0"/>
                          <w:marTop w:val="0"/>
                          <w:marBottom w:val="0"/>
                          <w:divBdr>
                            <w:top w:val="none" w:sz="0" w:space="0" w:color="auto"/>
                            <w:left w:val="none" w:sz="0" w:space="0" w:color="auto"/>
                            <w:bottom w:val="none" w:sz="0" w:space="0" w:color="auto"/>
                            <w:right w:val="none" w:sz="0" w:space="0" w:color="auto"/>
                          </w:divBdr>
                        </w:div>
                      </w:divsChild>
                    </w:div>
                    <w:div w:id="294138268">
                      <w:marLeft w:val="0"/>
                      <w:marRight w:val="0"/>
                      <w:marTop w:val="0"/>
                      <w:marBottom w:val="0"/>
                      <w:divBdr>
                        <w:top w:val="none" w:sz="0" w:space="0" w:color="auto"/>
                        <w:left w:val="none" w:sz="0" w:space="0" w:color="auto"/>
                        <w:bottom w:val="none" w:sz="0" w:space="0" w:color="auto"/>
                        <w:right w:val="none" w:sz="0" w:space="0" w:color="auto"/>
                      </w:divBdr>
                    </w:div>
                    <w:div w:id="294138329">
                      <w:marLeft w:val="0"/>
                      <w:marRight w:val="0"/>
                      <w:marTop w:val="0"/>
                      <w:marBottom w:val="0"/>
                      <w:divBdr>
                        <w:top w:val="none" w:sz="0" w:space="0" w:color="auto"/>
                        <w:left w:val="none" w:sz="0" w:space="0" w:color="auto"/>
                        <w:bottom w:val="none" w:sz="0" w:space="0" w:color="auto"/>
                        <w:right w:val="none" w:sz="0" w:space="0" w:color="auto"/>
                      </w:divBdr>
                    </w:div>
                    <w:div w:id="294138361">
                      <w:marLeft w:val="0"/>
                      <w:marRight w:val="0"/>
                      <w:marTop w:val="0"/>
                      <w:marBottom w:val="0"/>
                      <w:divBdr>
                        <w:top w:val="none" w:sz="0" w:space="0" w:color="auto"/>
                        <w:left w:val="none" w:sz="0" w:space="0" w:color="auto"/>
                        <w:bottom w:val="none" w:sz="0" w:space="0" w:color="auto"/>
                        <w:right w:val="none" w:sz="0" w:space="0" w:color="auto"/>
                      </w:divBdr>
                      <w:divsChild>
                        <w:div w:id="294139890">
                          <w:marLeft w:val="0"/>
                          <w:marRight w:val="0"/>
                          <w:marTop w:val="0"/>
                          <w:marBottom w:val="0"/>
                          <w:divBdr>
                            <w:top w:val="none" w:sz="0" w:space="0" w:color="auto"/>
                            <w:left w:val="none" w:sz="0" w:space="0" w:color="auto"/>
                            <w:bottom w:val="none" w:sz="0" w:space="0" w:color="auto"/>
                            <w:right w:val="none" w:sz="0" w:space="0" w:color="auto"/>
                          </w:divBdr>
                        </w:div>
                      </w:divsChild>
                    </w:div>
                    <w:div w:id="294138370">
                      <w:marLeft w:val="0"/>
                      <w:marRight w:val="0"/>
                      <w:marTop w:val="0"/>
                      <w:marBottom w:val="0"/>
                      <w:divBdr>
                        <w:top w:val="none" w:sz="0" w:space="0" w:color="auto"/>
                        <w:left w:val="none" w:sz="0" w:space="0" w:color="auto"/>
                        <w:bottom w:val="none" w:sz="0" w:space="0" w:color="auto"/>
                        <w:right w:val="none" w:sz="0" w:space="0" w:color="auto"/>
                      </w:divBdr>
                    </w:div>
                    <w:div w:id="294138394">
                      <w:marLeft w:val="0"/>
                      <w:marRight w:val="0"/>
                      <w:marTop w:val="0"/>
                      <w:marBottom w:val="0"/>
                      <w:divBdr>
                        <w:top w:val="none" w:sz="0" w:space="0" w:color="auto"/>
                        <w:left w:val="none" w:sz="0" w:space="0" w:color="auto"/>
                        <w:bottom w:val="none" w:sz="0" w:space="0" w:color="auto"/>
                        <w:right w:val="none" w:sz="0" w:space="0" w:color="auto"/>
                      </w:divBdr>
                    </w:div>
                    <w:div w:id="294138413">
                      <w:marLeft w:val="0"/>
                      <w:marRight w:val="0"/>
                      <w:marTop w:val="0"/>
                      <w:marBottom w:val="0"/>
                      <w:divBdr>
                        <w:top w:val="none" w:sz="0" w:space="0" w:color="auto"/>
                        <w:left w:val="none" w:sz="0" w:space="0" w:color="auto"/>
                        <w:bottom w:val="none" w:sz="0" w:space="0" w:color="auto"/>
                        <w:right w:val="none" w:sz="0" w:space="0" w:color="auto"/>
                      </w:divBdr>
                      <w:divsChild>
                        <w:div w:id="294151545">
                          <w:marLeft w:val="0"/>
                          <w:marRight w:val="0"/>
                          <w:marTop w:val="0"/>
                          <w:marBottom w:val="0"/>
                          <w:divBdr>
                            <w:top w:val="none" w:sz="0" w:space="0" w:color="auto"/>
                            <w:left w:val="none" w:sz="0" w:space="0" w:color="auto"/>
                            <w:bottom w:val="none" w:sz="0" w:space="0" w:color="auto"/>
                            <w:right w:val="none" w:sz="0" w:space="0" w:color="auto"/>
                          </w:divBdr>
                        </w:div>
                      </w:divsChild>
                    </w:div>
                    <w:div w:id="294138508">
                      <w:marLeft w:val="0"/>
                      <w:marRight w:val="0"/>
                      <w:marTop w:val="0"/>
                      <w:marBottom w:val="0"/>
                      <w:divBdr>
                        <w:top w:val="none" w:sz="0" w:space="0" w:color="auto"/>
                        <w:left w:val="none" w:sz="0" w:space="0" w:color="auto"/>
                        <w:bottom w:val="none" w:sz="0" w:space="0" w:color="auto"/>
                        <w:right w:val="none" w:sz="0" w:space="0" w:color="auto"/>
                      </w:divBdr>
                    </w:div>
                    <w:div w:id="294138573">
                      <w:marLeft w:val="0"/>
                      <w:marRight w:val="0"/>
                      <w:marTop w:val="0"/>
                      <w:marBottom w:val="0"/>
                      <w:divBdr>
                        <w:top w:val="none" w:sz="0" w:space="0" w:color="auto"/>
                        <w:left w:val="none" w:sz="0" w:space="0" w:color="auto"/>
                        <w:bottom w:val="none" w:sz="0" w:space="0" w:color="auto"/>
                        <w:right w:val="none" w:sz="0" w:space="0" w:color="auto"/>
                      </w:divBdr>
                      <w:divsChild>
                        <w:div w:id="294143757">
                          <w:marLeft w:val="0"/>
                          <w:marRight w:val="0"/>
                          <w:marTop w:val="0"/>
                          <w:marBottom w:val="0"/>
                          <w:divBdr>
                            <w:top w:val="none" w:sz="0" w:space="0" w:color="auto"/>
                            <w:left w:val="none" w:sz="0" w:space="0" w:color="auto"/>
                            <w:bottom w:val="none" w:sz="0" w:space="0" w:color="auto"/>
                            <w:right w:val="none" w:sz="0" w:space="0" w:color="auto"/>
                          </w:divBdr>
                        </w:div>
                      </w:divsChild>
                    </w:div>
                    <w:div w:id="294138575">
                      <w:marLeft w:val="0"/>
                      <w:marRight w:val="0"/>
                      <w:marTop w:val="0"/>
                      <w:marBottom w:val="0"/>
                      <w:divBdr>
                        <w:top w:val="none" w:sz="0" w:space="0" w:color="auto"/>
                        <w:left w:val="none" w:sz="0" w:space="0" w:color="auto"/>
                        <w:bottom w:val="none" w:sz="0" w:space="0" w:color="auto"/>
                        <w:right w:val="none" w:sz="0" w:space="0" w:color="auto"/>
                      </w:divBdr>
                      <w:divsChild>
                        <w:div w:id="294155438">
                          <w:marLeft w:val="0"/>
                          <w:marRight w:val="0"/>
                          <w:marTop w:val="0"/>
                          <w:marBottom w:val="0"/>
                          <w:divBdr>
                            <w:top w:val="none" w:sz="0" w:space="0" w:color="auto"/>
                            <w:left w:val="none" w:sz="0" w:space="0" w:color="auto"/>
                            <w:bottom w:val="none" w:sz="0" w:space="0" w:color="auto"/>
                            <w:right w:val="none" w:sz="0" w:space="0" w:color="auto"/>
                          </w:divBdr>
                        </w:div>
                      </w:divsChild>
                    </w:div>
                    <w:div w:id="294138609">
                      <w:marLeft w:val="0"/>
                      <w:marRight w:val="0"/>
                      <w:marTop w:val="0"/>
                      <w:marBottom w:val="0"/>
                      <w:divBdr>
                        <w:top w:val="none" w:sz="0" w:space="0" w:color="auto"/>
                        <w:left w:val="none" w:sz="0" w:space="0" w:color="auto"/>
                        <w:bottom w:val="none" w:sz="0" w:space="0" w:color="auto"/>
                        <w:right w:val="none" w:sz="0" w:space="0" w:color="auto"/>
                      </w:divBdr>
                      <w:divsChild>
                        <w:div w:id="294141586">
                          <w:marLeft w:val="0"/>
                          <w:marRight w:val="0"/>
                          <w:marTop w:val="0"/>
                          <w:marBottom w:val="0"/>
                          <w:divBdr>
                            <w:top w:val="none" w:sz="0" w:space="0" w:color="auto"/>
                            <w:left w:val="none" w:sz="0" w:space="0" w:color="auto"/>
                            <w:bottom w:val="none" w:sz="0" w:space="0" w:color="auto"/>
                            <w:right w:val="none" w:sz="0" w:space="0" w:color="auto"/>
                          </w:divBdr>
                        </w:div>
                      </w:divsChild>
                    </w:div>
                    <w:div w:id="294138712">
                      <w:marLeft w:val="0"/>
                      <w:marRight w:val="0"/>
                      <w:marTop w:val="0"/>
                      <w:marBottom w:val="0"/>
                      <w:divBdr>
                        <w:top w:val="none" w:sz="0" w:space="0" w:color="auto"/>
                        <w:left w:val="none" w:sz="0" w:space="0" w:color="auto"/>
                        <w:bottom w:val="none" w:sz="0" w:space="0" w:color="auto"/>
                        <w:right w:val="none" w:sz="0" w:space="0" w:color="auto"/>
                      </w:divBdr>
                    </w:div>
                    <w:div w:id="294138718">
                      <w:marLeft w:val="0"/>
                      <w:marRight w:val="0"/>
                      <w:marTop w:val="0"/>
                      <w:marBottom w:val="0"/>
                      <w:divBdr>
                        <w:top w:val="none" w:sz="0" w:space="0" w:color="auto"/>
                        <w:left w:val="none" w:sz="0" w:space="0" w:color="auto"/>
                        <w:bottom w:val="none" w:sz="0" w:space="0" w:color="auto"/>
                        <w:right w:val="none" w:sz="0" w:space="0" w:color="auto"/>
                      </w:divBdr>
                    </w:div>
                    <w:div w:id="294138730">
                      <w:marLeft w:val="0"/>
                      <w:marRight w:val="0"/>
                      <w:marTop w:val="0"/>
                      <w:marBottom w:val="0"/>
                      <w:divBdr>
                        <w:top w:val="none" w:sz="0" w:space="0" w:color="auto"/>
                        <w:left w:val="none" w:sz="0" w:space="0" w:color="auto"/>
                        <w:bottom w:val="none" w:sz="0" w:space="0" w:color="auto"/>
                        <w:right w:val="none" w:sz="0" w:space="0" w:color="auto"/>
                      </w:divBdr>
                      <w:divsChild>
                        <w:div w:id="294155304">
                          <w:marLeft w:val="0"/>
                          <w:marRight w:val="0"/>
                          <w:marTop w:val="0"/>
                          <w:marBottom w:val="0"/>
                          <w:divBdr>
                            <w:top w:val="none" w:sz="0" w:space="0" w:color="auto"/>
                            <w:left w:val="none" w:sz="0" w:space="0" w:color="auto"/>
                            <w:bottom w:val="none" w:sz="0" w:space="0" w:color="auto"/>
                            <w:right w:val="none" w:sz="0" w:space="0" w:color="auto"/>
                          </w:divBdr>
                        </w:div>
                      </w:divsChild>
                    </w:div>
                    <w:div w:id="294138731">
                      <w:marLeft w:val="0"/>
                      <w:marRight w:val="0"/>
                      <w:marTop w:val="0"/>
                      <w:marBottom w:val="0"/>
                      <w:divBdr>
                        <w:top w:val="none" w:sz="0" w:space="0" w:color="auto"/>
                        <w:left w:val="none" w:sz="0" w:space="0" w:color="auto"/>
                        <w:bottom w:val="none" w:sz="0" w:space="0" w:color="auto"/>
                        <w:right w:val="none" w:sz="0" w:space="0" w:color="auto"/>
                      </w:divBdr>
                    </w:div>
                    <w:div w:id="294138788">
                      <w:marLeft w:val="0"/>
                      <w:marRight w:val="0"/>
                      <w:marTop w:val="0"/>
                      <w:marBottom w:val="0"/>
                      <w:divBdr>
                        <w:top w:val="none" w:sz="0" w:space="0" w:color="auto"/>
                        <w:left w:val="none" w:sz="0" w:space="0" w:color="auto"/>
                        <w:bottom w:val="none" w:sz="0" w:space="0" w:color="auto"/>
                        <w:right w:val="none" w:sz="0" w:space="0" w:color="auto"/>
                      </w:divBdr>
                    </w:div>
                    <w:div w:id="294138853">
                      <w:marLeft w:val="0"/>
                      <w:marRight w:val="0"/>
                      <w:marTop w:val="0"/>
                      <w:marBottom w:val="0"/>
                      <w:divBdr>
                        <w:top w:val="none" w:sz="0" w:space="0" w:color="auto"/>
                        <w:left w:val="none" w:sz="0" w:space="0" w:color="auto"/>
                        <w:bottom w:val="none" w:sz="0" w:space="0" w:color="auto"/>
                        <w:right w:val="none" w:sz="0" w:space="0" w:color="auto"/>
                      </w:divBdr>
                      <w:divsChild>
                        <w:div w:id="294146083">
                          <w:marLeft w:val="0"/>
                          <w:marRight w:val="0"/>
                          <w:marTop w:val="0"/>
                          <w:marBottom w:val="0"/>
                          <w:divBdr>
                            <w:top w:val="none" w:sz="0" w:space="0" w:color="auto"/>
                            <w:left w:val="none" w:sz="0" w:space="0" w:color="auto"/>
                            <w:bottom w:val="none" w:sz="0" w:space="0" w:color="auto"/>
                            <w:right w:val="none" w:sz="0" w:space="0" w:color="auto"/>
                          </w:divBdr>
                        </w:div>
                      </w:divsChild>
                    </w:div>
                    <w:div w:id="294138918">
                      <w:marLeft w:val="0"/>
                      <w:marRight w:val="0"/>
                      <w:marTop w:val="0"/>
                      <w:marBottom w:val="0"/>
                      <w:divBdr>
                        <w:top w:val="none" w:sz="0" w:space="0" w:color="auto"/>
                        <w:left w:val="none" w:sz="0" w:space="0" w:color="auto"/>
                        <w:bottom w:val="none" w:sz="0" w:space="0" w:color="auto"/>
                        <w:right w:val="none" w:sz="0" w:space="0" w:color="auto"/>
                      </w:divBdr>
                      <w:divsChild>
                        <w:div w:id="294150840">
                          <w:marLeft w:val="0"/>
                          <w:marRight w:val="0"/>
                          <w:marTop w:val="0"/>
                          <w:marBottom w:val="0"/>
                          <w:divBdr>
                            <w:top w:val="none" w:sz="0" w:space="0" w:color="auto"/>
                            <w:left w:val="none" w:sz="0" w:space="0" w:color="auto"/>
                            <w:bottom w:val="none" w:sz="0" w:space="0" w:color="auto"/>
                            <w:right w:val="none" w:sz="0" w:space="0" w:color="auto"/>
                          </w:divBdr>
                        </w:div>
                      </w:divsChild>
                    </w:div>
                    <w:div w:id="294139101">
                      <w:marLeft w:val="0"/>
                      <w:marRight w:val="0"/>
                      <w:marTop w:val="0"/>
                      <w:marBottom w:val="0"/>
                      <w:divBdr>
                        <w:top w:val="none" w:sz="0" w:space="0" w:color="auto"/>
                        <w:left w:val="none" w:sz="0" w:space="0" w:color="auto"/>
                        <w:bottom w:val="none" w:sz="0" w:space="0" w:color="auto"/>
                        <w:right w:val="none" w:sz="0" w:space="0" w:color="auto"/>
                      </w:divBdr>
                      <w:divsChild>
                        <w:div w:id="294141387">
                          <w:marLeft w:val="0"/>
                          <w:marRight w:val="0"/>
                          <w:marTop w:val="0"/>
                          <w:marBottom w:val="0"/>
                          <w:divBdr>
                            <w:top w:val="none" w:sz="0" w:space="0" w:color="auto"/>
                            <w:left w:val="none" w:sz="0" w:space="0" w:color="auto"/>
                            <w:bottom w:val="none" w:sz="0" w:space="0" w:color="auto"/>
                            <w:right w:val="none" w:sz="0" w:space="0" w:color="auto"/>
                          </w:divBdr>
                        </w:div>
                      </w:divsChild>
                    </w:div>
                    <w:div w:id="294139168">
                      <w:marLeft w:val="0"/>
                      <w:marRight w:val="0"/>
                      <w:marTop w:val="0"/>
                      <w:marBottom w:val="0"/>
                      <w:divBdr>
                        <w:top w:val="none" w:sz="0" w:space="0" w:color="auto"/>
                        <w:left w:val="none" w:sz="0" w:space="0" w:color="auto"/>
                        <w:bottom w:val="none" w:sz="0" w:space="0" w:color="auto"/>
                        <w:right w:val="none" w:sz="0" w:space="0" w:color="auto"/>
                      </w:divBdr>
                      <w:divsChild>
                        <w:div w:id="294143959">
                          <w:marLeft w:val="0"/>
                          <w:marRight w:val="0"/>
                          <w:marTop w:val="0"/>
                          <w:marBottom w:val="0"/>
                          <w:divBdr>
                            <w:top w:val="none" w:sz="0" w:space="0" w:color="auto"/>
                            <w:left w:val="none" w:sz="0" w:space="0" w:color="auto"/>
                            <w:bottom w:val="none" w:sz="0" w:space="0" w:color="auto"/>
                            <w:right w:val="none" w:sz="0" w:space="0" w:color="auto"/>
                          </w:divBdr>
                        </w:div>
                      </w:divsChild>
                    </w:div>
                    <w:div w:id="294139357">
                      <w:marLeft w:val="0"/>
                      <w:marRight w:val="0"/>
                      <w:marTop w:val="0"/>
                      <w:marBottom w:val="0"/>
                      <w:divBdr>
                        <w:top w:val="none" w:sz="0" w:space="0" w:color="auto"/>
                        <w:left w:val="none" w:sz="0" w:space="0" w:color="auto"/>
                        <w:bottom w:val="none" w:sz="0" w:space="0" w:color="auto"/>
                        <w:right w:val="none" w:sz="0" w:space="0" w:color="auto"/>
                      </w:divBdr>
                      <w:divsChild>
                        <w:div w:id="294146333">
                          <w:marLeft w:val="0"/>
                          <w:marRight w:val="0"/>
                          <w:marTop w:val="0"/>
                          <w:marBottom w:val="0"/>
                          <w:divBdr>
                            <w:top w:val="none" w:sz="0" w:space="0" w:color="auto"/>
                            <w:left w:val="none" w:sz="0" w:space="0" w:color="auto"/>
                            <w:bottom w:val="none" w:sz="0" w:space="0" w:color="auto"/>
                            <w:right w:val="none" w:sz="0" w:space="0" w:color="auto"/>
                          </w:divBdr>
                        </w:div>
                      </w:divsChild>
                    </w:div>
                    <w:div w:id="294139444">
                      <w:marLeft w:val="0"/>
                      <w:marRight w:val="0"/>
                      <w:marTop w:val="0"/>
                      <w:marBottom w:val="0"/>
                      <w:divBdr>
                        <w:top w:val="none" w:sz="0" w:space="0" w:color="auto"/>
                        <w:left w:val="none" w:sz="0" w:space="0" w:color="auto"/>
                        <w:bottom w:val="none" w:sz="0" w:space="0" w:color="auto"/>
                        <w:right w:val="none" w:sz="0" w:space="0" w:color="auto"/>
                      </w:divBdr>
                      <w:divsChild>
                        <w:div w:id="294151723">
                          <w:marLeft w:val="0"/>
                          <w:marRight w:val="0"/>
                          <w:marTop w:val="0"/>
                          <w:marBottom w:val="0"/>
                          <w:divBdr>
                            <w:top w:val="none" w:sz="0" w:space="0" w:color="auto"/>
                            <w:left w:val="none" w:sz="0" w:space="0" w:color="auto"/>
                            <w:bottom w:val="none" w:sz="0" w:space="0" w:color="auto"/>
                            <w:right w:val="none" w:sz="0" w:space="0" w:color="auto"/>
                          </w:divBdr>
                        </w:div>
                      </w:divsChild>
                    </w:div>
                    <w:div w:id="294139456">
                      <w:marLeft w:val="0"/>
                      <w:marRight w:val="0"/>
                      <w:marTop w:val="0"/>
                      <w:marBottom w:val="0"/>
                      <w:divBdr>
                        <w:top w:val="none" w:sz="0" w:space="0" w:color="auto"/>
                        <w:left w:val="none" w:sz="0" w:space="0" w:color="auto"/>
                        <w:bottom w:val="none" w:sz="0" w:space="0" w:color="auto"/>
                        <w:right w:val="none" w:sz="0" w:space="0" w:color="auto"/>
                      </w:divBdr>
                      <w:divsChild>
                        <w:div w:id="294150553">
                          <w:marLeft w:val="0"/>
                          <w:marRight w:val="0"/>
                          <w:marTop w:val="0"/>
                          <w:marBottom w:val="0"/>
                          <w:divBdr>
                            <w:top w:val="none" w:sz="0" w:space="0" w:color="auto"/>
                            <w:left w:val="none" w:sz="0" w:space="0" w:color="auto"/>
                            <w:bottom w:val="none" w:sz="0" w:space="0" w:color="auto"/>
                            <w:right w:val="none" w:sz="0" w:space="0" w:color="auto"/>
                          </w:divBdr>
                        </w:div>
                      </w:divsChild>
                    </w:div>
                    <w:div w:id="294139493">
                      <w:marLeft w:val="0"/>
                      <w:marRight w:val="0"/>
                      <w:marTop w:val="0"/>
                      <w:marBottom w:val="0"/>
                      <w:divBdr>
                        <w:top w:val="none" w:sz="0" w:space="0" w:color="auto"/>
                        <w:left w:val="none" w:sz="0" w:space="0" w:color="auto"/>
                        <w:bottom w:val="none" w:sz="0" w:space="0" w:color="auto"/>
                        <w:right w:val="none" w:sz="0" w:space="0" w:color="auto"/>
                      </w:divBdr>
                      <w:divsChild>
                        <w:div w:id="294157354">
                          <w:marLeft w:val="0"/>
                          <w:marRight w:val="0"/>
                          <w:marTop w:val="0"/>
                          <w:marBottom w:val="0"/>
                          <w:divBdr>
                            <w:top w:val="none" w:sz="0" w:space="0" w:color="auto"/>
                            <w:left w:val="none" w:sz="0" w:space="0" w:color="auto"/>
                            <w:bottom w:val="none" w:sz="0" w:space="0" w:color="auto"/>
                            <w:right w:val="none" w:sz="0" w:space="0" w:color="auto"/>
                          </w:divBdr>
                        </w:div>
                      </w:divsChild>
                    </w:div>
                    <w:div w:id="294139504">
                      <w:marLeft w:val="0"/>
                      <w:marRight w:val="0"/>
                      <w:marTop w:val="0"/>
                      <w:marBottom w:val="0"/>
                      <w:divBdr>
                        <w:top w:val="none" w:sz="0" w:space="0" w:color="auto"/>
                        <w:left w:val="none" w:sz="0" w:space="0" w:color="auto"/>
                        <w:bottom w:val="none" w:sz="0" w:space="0" w:color="auto"/>
                        <w:right w:val="none" w:sz="0" w:space="0" w:color="auto"/>
                      </w:divBdr>
                      <w:divsChild>
                        <w:div w:id="294157364">
                          <w:marLeft w:val="0"/>
                          <w:marRight w:val="0"/>
                          <w:marTop w:val="0"/>
                          <w:marBottom w:val="0"/>
                          <w:divBdr>
                            <w:top w:val="none" w:sz="0" w:space="0" w:color="auto"/>
                            <w:left w:val="none" w:sz="0" w:space="0" w:color="auto"/>
                            <w:bottom w:val="none" w:sz="0" w:space="0" w:color="auto"/>
                            <w:right w:val="none" w:sz="0" w:space="0" w:color="auto"/>
                          </w:divBdr>
                        </w:div>
                      </w:divsChild>
                    </w:div>
                    <w:div w:id="294139519">
                      <w:marLeft w:val="0"/>
                      <w:marRight w:val="0"/>
                      <w:marTop w:val="0"/>
                      <w:marBottom w:val="0"/>
                      <w:divBdr>
                        <w:top w:val="none" w:sz="0" w:space="0" w:color="auto"/>
                        <w:left w:val="none" w:sz="0" w:space="0" w:color="auto"/>
                        <w:bottom w:val="none" w:sz="0" w:space="0" w:color="auto"/>
                        <w:right w:val="none" w:sz="0" w:space="0" w:color="auto"/>
                      </w:divBdr>
                      <w:divsChild>
                        <w:div w:id="294156723">
                          <w:marLeft w:val="0"/>
                          <w:marRight w:val="0"/>
                          <w:marTop w:val="0"/>
                          <w:marBottom w:val="0"/>
                          <w:divBdr>
                            <w:top w:val="none" w:sz="0" w:space="0" w:color="auto"/>
                            <w:left w:val="none" w:sz="0" w:space="0" w:color="auto"/>
                            <w:bottom w:val="none" w:sz="0" w:space="0" w:color="auto"/>
                            <w:right w:val="none" w:sz="0" w:space="0" w:color="auto"/>
                          </w:divBdr>
                        </w:div>
                      </w:divsChild>
                    </w:div>
                    <w:div w:id="294139560">
                      <w:marLeft w:val="0"/>
                      <w:marRight w:val="0"/>
                      <w:marTop w:val="0"/>
                      <w:marBottom w:val="0"/>
                      <w:divBdr>
                        <w:top w:val="none" w:sz="0" w:space="0" w:color="auto"/>
                        <w:left w:val="none" w:sz="0" w:space="0" w:color="auto"/>
                        <w:bottom w:val="none" w:sz="0" w:space="0" w:color="auto"/>
                        <w:right w:val="none" w:sz="0" w:space="0" w:color="auto"/>
                      </w:divBdr>
                      <w:divsChild>
                        <w:div w:id="294144966">
                          <w:marLeft w:val="0"/>
                          <w:marRight w:val="0"/>
                          <w:marTop w:val="0"/>
                          <w:marBottom w:val="0"/>
                          <w:divBdr>
                            <w:top w:val="none" w:sz="0" w:space="0" w:color="auto"/>
                            <w:left w:val="none" w:sz="0" w:space="0" w:color="auto"/>
                            <w:bottom w:val="none" w:sz="0" w:space="0" w:color="auto"/>
                            <w:right w:val="none" w:sz="0" w:space="0" w:color="auto"/>
                          </w:divBdr>
                        </w:div>
                      </w:divsChild>
                    </w:div>
                    <w:div w:id="294139667">
                      <w:marLeft w:val="0"/>
                      <w:marRight w:val="0"/>
                      <w:marTop w:val="0"/>
                      <w:marBottom w:val="0"/>
                      <w:divBdr>
                        <w:top w:val="none" w:sz="0" w:space="0" w:color="auto"/>
                        <w:left w:val="none" w:sz="0" w:space="0" w:color="auto"/>
                        <w:bottom w:val="none" w:sz="0" w:space="0" w:color="auto"/>
                        <w:right w:val="none" w:sz="0" w:space="0" w:color="auto"/>
                      </w:divBdr>
                      <w:divsChild>
                        <w:div w:id="294143740">
                          <w:marLeft w:val="0"/>
                          <w:marRight w:val="0"/>
                          <w:marTop w:val="0"/>
                          <w:marBottom w:val="0"/>
                          <w:divBdr>
                            <w:top w:val="none" w:sz="0" w:space="0" w:color="auto"/>
                            <w:left w:val="none" w:sz="0" w:space="0" w:color="auto"/>
                            <w:bottom w:val="none" w:sz="0" w:space="0" w:color="auto"/>
                            <w:right w:val="none" w:sz="0" w:space="0" w:color="auto"/>
                          </w:divBdr>
                        </w:div>
                      </w:divsChild>
                    </w:div>
                    <w:div w:id="294139957">
                      <w:marLeft w:val="0"/>
                      <w:marRight w:val="0"/>
                      <w:marTop w:val="0"/>
                      <w:marBottom w:val="0"/>
                      <w:divBdr>
                        <w:top w:val="none" w:sz="0" w:space="0" w:color="auto"/>
                        <w:left w:val="none" w:sz="0" w:space="0" w:color="auto"/>
                        <w:bottom w:val="none" w:sz="0" w:space="0" w:color="auto"/>
                        <w:right w:val="none" w:sz="0" w:space="0" w:color="auto"/>
                      </w:divBdr>
                    </w:div>
                    <w:div w:id="294140009">
                      <w:marLeft w:val="0"/>
                      <w:marRight w:val="0"/>
                      <w:marTop w:val="0"/>
                      <w:marBottom w:val="0"/>
                      <w:divBdr>
                        <w:top w:val="none" w:sz="0" w:space="0" w:color="auto"/>
                        <w:left w:val="none" w:sz="0" w:space="0" w:color="auto"/>
                        <w:bottom w:val="none" w:sz="0" w:space="0" w:color="auto"/>
                        <w:right w:val="none" w:sz="0" w:space="0" w:color="auto"/>
                      </w:divBdr>
                      <w:divsChild>
                        <w:div w:id="294154824">
                          <w:marLeft w:val="0"/>
                          <w:marRight w:val="0"/>
                          <w:marTop w:val="0"/>
                          <w:marBottom w:val="0"/>
                          <w:divBdr>
                            <w:top w:val="none" w:sz="0" w:space="0" w:color="auto"/>
                            <w:left w:val="none" w:sz="0" w:space="0" w:color="auto"/>
                            <w:bottom w:val="none" w:sz="0" w:space="0" w:color="auto"/>
                            <w:right w:val="none" w:sz="0" w:space="0" w:color="auto"/>
                          </w:divBdr>
                        </w:div>
                      </w:divsChild>
                    </w:div>
                    <w:div w:id="294140049">
                      <w:marLeft w:val="0"/>
                      <w:marRight w:val="0"/>
                      <w:marTop w:val="0"/>
                      <w:marBottom w:val="0"/>
                      <w:divBdr>
                        <w:top w:val="none" w:sz="0" w:space="0" w:color="auto"/>
                        <w:left w:val="none" w:sz="0" w:space="0" w:color="auto"/>
                        <w:bottom w:val="none" w:sz="0" w:space="0" w:color="auto"/>
                        <w:right w:val="none" w:sz="0" w:space="0" w:color="auto"/>
                      </w:divBdr>
                      <w:divsChild>
                        <w:div w:id="294155177">
                          <w:marLeft w:val="0"/>
                          <w:marRight w:val="0"/>
                          <w:marTop w:val="0"/>
                          <w:marBottom w:val="0"/>
                          <w:divBdr>
                            <w:top w:val="none" w:sz="0" w:space="0" w:color="auto"/>
                            <w:left w:val="none" w:sz="0" w:space="0" w:color="auto"/>
                            <w:bottom w:val="none" w:sz="0" w:space="0" w:color="auto"/>
                            <w:right w:val="none" w:sz="0" w:space="0" w:color="auto"/>
                          </w:divBdr>
                        </w:div>
                      </w:divsChild>
                    </w:div>
                    <w:div w:id="294140055">
                      <w:marLeft w:val="0"/>
                      <w:marRight w:val="0"/>
                      <w:marTop w:val="0"/>
                      <w:marBottom w:val="0"/>
                      <w:divBdr>
                        <w:top w:val="none" w:sz="0" w:space="0" w:color="auto"/>
                        <w:left w:val="none" w:sz="0" w:space="0" w:color="auto"/>
                        <w:bottom w:val="none" w:sz="0" w:space="0" w:color="auto"/>
                        <w:right w:val="none" w:sz="0" w:space="0" w:color="auto"/>
                      </w:divBdr>
                      <w:divsChild>
                        <w:div w:id="294143769">
                          <w:marLeft w:val="0"/>
                          <w:marRight w:val="0"/>
                          <w:marTop w:val="0"/>
                          <w:marBottom w:val="0"/>
                          <w:divBdr>
                            <w:top w:val="none" w:sz="0" w:space="0" w:color="auto"/>
                            <w:left w:val="none" w:sz="0" w:space="0" w:color="auto"/>
                            <w:bottom w:val="none" w:sz="0" w:space="0" w:color="auto"/>
                            <w:right w:val="none" w:sz="0" w:space="0" w:color="auto"/>
                          </w:divBdr>
                        </w:div>
                      </w:divsChild>
                    </w:div>
                    <w:div w:id="294140088">
                      <w:marLeft w:val="0"/>
                      <w:marRight w:val="0"/>
                      <w:marTop w:val="0"/>
                      <w:marBottom w:val="0"/>
                      <w:divBdr>
                        <w:top w:val="none" w:sz="0" w:space="0" w:color="auto"/>
                        <w:left w:val="none" w:sz="0" w:space="0" w:color="auto"/>
                        <w:bottom w:val="none" w:sz="0" w:space="0" w:color="auto"/>
                        <w:right w:val="none" w:sz="0" w:space="0" w:color="auto"/>
                      </w:divBdr>
                    </w:div>
                    <w:div w:id="294140115">
                      <w:marLeft w:val="0"/>
                      <w:marRight w:val="0"/>
                      <w:marTop w:val="0"/>
                      <w:marBottom w:val="0"/>
                      <w:divBdr>
                        <w:top w:val="none" w:sz="0" w:space="0" w:color="auto"/>
                        <w:left w:val="none" w:sz="0" w:space="0" w:color="auto"/>
                        <w:bottom w:val="none" w:sz="0" w:space="0" w:color="auto"/>
                        <w:right w:val="none" w:sz="0" w:space="0" w:color="auto"/>
                      </w:divBdr>
                      <w:divsChild>
                        <w:div w:id="294153538">
                          <w:marLeft w:val="0"/>
                          <w:marRight w:val="0"/>
                          <w:marTop w:val="0"/>
                          <w:marBottom w:val="0"/>
                          <w:divBdr>
                            <w:top w:val="none" w:sz="0" w:space="0" w:color="auto"/>
                            <w:left w:val="none" w:sz="0" w:space="0" w:color="auto"/>
                            <w:bottom w:val="none" w:sz="0" w:space="0" w:color="auto"/>
                            <w:right w:val="none" w:sz="0" w:space="0" w:color="auto"/>
                          </w:divBdr>
                        </w:div>
                      </w:divsChild>
                    </w:div>
                    <w:div w:id="294140128">
                      <w:marLeft w:val="0"/>
                      <w:marRight w:val="0"/>
                      <w:marTop w:val="0"/>
                      <w:marBottom w:val="0"/>
                      <w:divBdr>
                        <w:top w:val="none" w:sz="0" w:space="0" w:color="auto"/>
                        <w:left w:val="none" w:sz="0" w:space="0" w:color="auto"/>
                        <w:bottom w:val="none" w:sz="0" w:space="0" w:color="auto"/>
                        <w:right w:val="none" w:sz="0" w:space="0" w:color="auto"/>
                      </w:divBdr>
                    </w:div>
                    <w:div w:id="294140168">
                      <w:marLeft w:val="0"/>
                      <w:marRight w:val="0"/>
                      <w:marTop w:val="0"/>
                      <w:marBottom w:val="0"/>
                      <w:divBdr>
                        <w:top w:val="none" w:sz="0" w:space="0" w:color="auto"/>
                        <w:left w:val="none" w:sz="0" w:space="0" w:color="auto"/>
                        <w:bottom w:val="none" w:sz="0" w:space="0" w:color="auto"/>
                        <w:right w:val="none" w:sz="0" w:space="0" w:color="auto"/>
                      </w:divBdr>
                      <w:divsChild>
                        <w:div w:id="294154294">
                          <w:marLeft w:val="0"/>
                          <w:marRight w:val="0"/>
                          <w:marTop w:val="0"/>
                          <w:marBottom w:val="0"/>
                          <w:divBdr>
                            <w:top w:val="none" w:sz="0" w:space="0" w:color="auto"/>
                            <w:left w:val="none" w:sz="0" w:space="0" w:color="auto"/>
                            <w:bottom w:val="none" w:sz="0" w:space="0" w:color="auto"/>
                            <w:right w:val="none" w:sz="0" w:space="0" w:color="auto"/>
                          </w:divBdr>
                        </w:div>
                      </w:divsChild>
                    </w:div>
                    <w:div w:id="294140236">
                      <w:marLeft w:val="0"/>
                      <w:marRight w:val="0"/>
                      <w:marTop w:val="0"/>
                      <w:marBottom w:val="0"/>
                      <w:divBdr>
                        <w:top w:val="none" w:sz="0" w:space="0" w:color="auto"/>
                        <w:left w:val="none" w:sz="0" w:space="0" w:color="auto"/>
                        <w:bottom w:val="none" w:sz="0" w:space="0" w:color="auto"/>
                        <w:right w:val="none" w:sz="0" w:space="0" w:color="auto"/>
                      </w:divBdr>
                      <w:divsChild>
                        <w:div w:id="294150111">
                          <w:marLeft w:val="0"/>
                          <w:marRight w:val="0"/>
                          <w:marTop w:val="0"/>
                          <w:marBottom w:val="0"/>
                          <w:divBdr>
                            <w:top w:val="none" w:sz="0" w:space="0" w:color="auto"/>
                            <w:left w:val="none" w:sz="0" w:space="0" w:color="auto"/>
                            <w:bottom w:val="none" w:sz="0" w:space="0" w:color="auto"/>
                            <w:right w:val="none" w:sz="0" w:space="0" w:color="auto"/>
                          </w:divBdr>
                        </w:div>
                      </w:divsChild>
                    </w:div>
                    <w:div w:id="294140374">
                      <w:marLeft w:val="0"/>
                      <w:marRight w:val="0"/>
                      <w:marTop w:val="0"/>
                      <w:marBottom w:val="0"/>
                      <w:divBdr>
                        <w:top w:val="none" w:sz="0" w:space="0" w:color="auto"/>
                        <w:left w:val="none" w:sz="0" w:space="0" w:color="auto"/>
                        <w:bottom w:val="none" w:sz="0" w:space="0" w:color="auto"/>
                        <w:right w:val="none" w:sz="0" w:space="0" w:color="auto"/>
                      </w:divBdr>
                      <w:divsChild>
                        <w:div w:id="294157442">
                          <w:marLeft w:val="0"/>
                          <w:marRight w:val="0"/>
                          <w:marTop w:val="0"/>
                          <w:marBottom w:val="0"/>
                          <w:divBdr>
                            <w:top w:val="none" w:sz="0" w:space="0" w:color="auto"/>
                            <w:left w:val="none" w:sz="0" w:space="0" w:color="auto"/>
                            <w:bottom w:val="none" w:sz="0" w:space="0" w:color="auto"/>
                            <w:right w:val="none" w:sz="0" w:space="0" w:color="auto"/>
                          </w:divBdr>
                        </w:div>
                      </w:divsChild>
                    </w:div>
                    <w:div w:id="294140379">
                      <w:marLeft w:val="0"/>
                      <w:marRight w:val="0"/>
                      <w:marTop w:val="0"/>
                      <w:marBottom w:val="0"/>
                      <w:divBdr>
                        <w:top w:val="none" w:sz="0" w:space="0" w:color="auto"/>
                        <w:left w:val="none" w:sz="0" w:space="0" w:color="auto"/>
                        <w:bottom w:val="none" w:sz="0" w:space="0" w:color="auto"/>
                        <w:right w:val="none" w:sz="0" w:space="0" w:color="auto"/>
                      </w:divBdr>
                    </w:div>
                    <w:div w:id="294140434">
                      <w:marLeft w:val="0"/>
                      <w:marRight w:val="0"/>
                      <w:marTop w:val="0"/>
                      <w:marBottom w:val="0"/>
                      <w:divBdr>
                        <w:top w:val="none" w:sz="0" w:space="0" w:color="auto"/>
                        <w:left w:val="none" w:sz="0" w:space="0" w:color="auto"/>
                        <w:bottom w:val="none" w:sz="0" w:space="0" w:color="auto"/>
                        <w:right w:val="none" w:sz="0" w:space="0" w:color="auto"/>
                      </w:divBdr>
                      <w:divsChild>
                        <w:div w:id="294157478">
                          <w:marLeft w:val="0"/>
                          <w:marRight w:val="0"/>
                          <w:marTop w:val="0"/>
                          <w:marBottom w:val="0"/>
                          <w:divBdr>
                            <w:top w:val="none" w:sz="0" w:space="0" w:color="auto"/>
                            <w:left w:val="none" w:sz="0" w:space="0" w:color="auto"/>
                            <w:bottom w:val="none" w:sz="0" w:space="0" w:color="auto"/>
                            <w:right w:val="none" w:sz="0" w:space="0" w:color="auto"/>
                          </w:divBdr>
                        </w:div>
                      </w:divsChild>
                    </w:div>
                    <w:div w:id="294140508">
                      <w:marLeft w:val="0"/>
                      <w:marRight w:val="0"/>
                      <w:marTop w:val="0"/>
                      <w:marBottom w:val="0"/>
                      <w:divBdr>
                        <w:top w:val="none" w:sz="0" w:space="0" w:color="auto"/>
                        <w:left w:val="none" w:sz="0" w:space="0" w:color="auto"/>
                        <w:bottom w:val="none" w:sz="0" w:space="0" w:color="auto"/>
                        <w:right w:val="none" w:sz="0" w:space="0" w:color="auto"/>
                      </w:divBdr>
                      <w:divsChild>
                        <w:div w:id="294139730">
                          <w:marLeft w:val="0"/>
                          <w:marRight w:val="0"/>
                          <w:marTop w:val="0"/>
                          <w:marBottom w:val="0"/>
                          <w:divBdr>
                            <w:top w:val="none" w:sz="0" w:space="0" w:color="auto"/>
                            <w:left w:val="none" w:sz="0" w:space="0" w:color="auto"/>
                            <w:bottom w:val="none" w:sz="0" w:space="0" w:color="auto"/>
                            <w:right w:val="none" w:sz="0" w:space="0" w:color="auto"/>
                          </w:divBdr>
                        </w:div>
                      </w:divsChild>
                    </w:div>
                    <w:div w:id="294140570">
                      <w:marLeft w:val="0"/>
                      <w:marRight w:val="0"/>
                      <w:marTop w:val="0"/>
                      <w:marBottom w:val="0"/>
                      <w:divBdr>
                        <w:top w:val="none" w:sz="0" w:space="0" w:color="auto"/>
                        <w:left w:val="none" w:sz="0" w:space="0" w:color="auto"/>
                        <w:bottom w:val="none" w:sz="0" w:space="0" w:color="auto"/>
                        <w:right w:val="none" w:sz="0" w:space="0" w:color="auto"/>
                      </w:divBdr>
                    </w:div>
                    <w:div w:id="294140658">
                      <w:marLeft w:val="0"/>
                      <w:marRight w:val="0"/>
                      <w:marTop w:val="0"/>
                      <w:marBottom w:val="0"/>
                      <w:divBdr>
                        <w:top w:val="none" w:sz="0" w:space="0" w:color="auto"/>
                        <w:left w:val="none" w:sz="0" w:space="0" w:color="auto"/>
                        <w:bottom w:val="none" w:sz="0" w:space="0" w:color="auto"/>
                        <w:right w:val="none" w:sz="0" w:space="0" w:color="auto"/>
                      </w:divBdr>
                    </w:div>
                    <w:div w:id="294140691">
                      <w:marLeft w:val="0"/>
                      <w:marRight w:val="0"/>
                      <w:marTop w:val="0"/>
                      <w:marBottom w:val="0"/>
                      <w:divBdr>
                        <w:top w:val="none" w:sz="0" w:space="0" w:color="auto"/>
                        <w:left w:val="none" w:sz="0" w:space="0" w:color="auto"/>
                        <w:bottom w:val="none" w:sz="0" w:space="0" w:color="auto"/>
                        <w:right w:val="none" w:sz="0" w:space="0" w:color="auto"/>
                      </w:divBdr>
                    </w:div>
                    <w:div w:id="294140803">
                      <w:marLeft w:val="0"/>
                      <w:marRight w:val="0"/>
                      <w:marTop w:val="0"/>
                      <w:marBottom w:val="0"/>
                      <w:divBdr>
                        <w:top w:val="none" w:sz="0" w:space="0" w:color="auto"/>
                        <w:left w:val="none" w:sz="0" w:space="0" w:color="auto"/>
                        <w:bottom w:val="none" w:sz="0" w:space="0" w:color="auto"/>
                        <w:right w:val="none" w:sz="0" w:space="0" w:color="auto"/>
                      </w:divBdr>
                    </w:div>
                    <w:div w:id="294140853">
                      <w:marLeft w:val="0"/>
                      <w:marRight w:val="0"/>
                      <w:marTop w:val="0"/>
                      <w:marBottom w:val="0"/>
                      <w:divBdr>
                        <w:top w:val="none" w:sz="0" w:space="0" w:color="auto"/>
                        <w:left w:val="none" w:sz="0" w:space="0" w:color="auto"/>
                        <w:bottom w:val="none" w:sz="0" w:space="0" w:color="auto"/>
                        <w:right w:val="none" w:sz="0" w:space="0" w:color="auto"/>
                      </w:divBdr>
                    </w:div>
                    <w:div w:id="294140873">
                      <w:marLeft w:val="0"/>
                      <w:marRight w:val="0"/>
                      <w:marTop w:val="0"/>
                      <w:marBottom w:val="0"/>
                      <w:divBdr>
                        <w:top w:val="none" w:sz="0" w:space="0" w:color="auto"/>
                        <w:left w:val="none" w:sz="0" w:space="0" w:color="auto"/>
                        <w:bottom w:val="none" w:sz="0" w:space="0" w:color="auto"/>
                        <w:right w:val="none" w:sz="0" w:space="0" w:color="auto"/>
                      </w:divBdr>
                    </w:div>
                    <w:div w:id="294140890">
                      <w:marLeft w:val="0"/>
                      <w:marRight w:val="0"/>
                      <w:marTop w:val="0"/>
                      <w:marBottom w:val="0"/>
                      <w:divBdr>
                        <w:top w:val="none" w:sz="0" w:space="0" w:color="auto"/>
                        <w:left w:val="none" w:sz="0" w:space="0" w:color="auto"/>
                        <w:bottom w:val="none" w:sz="0" w:space="0" w:color="auto"/>
                        <w:right w:val="none" w:sz="0" w:space="0" w:color="auto"/>
                      </w:divBdr>
                    </w:div>
                    <w:div w:id="294140977">
                      <w:marLeft w:val="0"/>
                      <w:marRight w:val="0"/>
                      <w:marTop w:val="0"/>
                      <w:marBottom w:val="0"/>
                      <w:divBdr>
                        <w:top w:val="none" w:sz="0" w:space="0" w:color="auto"/>
                        <w:left w:val="none" w:sz="0" w:space="0" w:color="auto"/>
                        <w:bottom w:val="none" w:sz="0" w:space="0" w:color="auto"/>
                        <w:right w:val="none" w:sz="0" w:space="0" w:color="auto"/>
                      </w:divBdr>
                    </w:div>
                    <w:div w:id="294141068">
                      <w:marLeft w:val="0"/>
                      <w:marRight w:val="0"/>
                      <w:marTop w:val="0"/>
                      <w:marBottom w:val="0"/>
                      <w:divBdr>
                        <w:top w:val="none" w:sz="0" w:space="0" w:color="auto"/>
                        <w:left w:val="none" w:sz="0" w:space="0" w:color="auto"/>
                        <w:bottom w:val="none" w:sz="0" w:space="0" w:color="auto"/>
                        <w:right w:val="none" w:sz="0" w:space="0" w:color="auto"/>
                      </w:divBdr>
                      <w:divsChild>
                        <w:div w:id="294140039">
                          <w:marLeft w:val="0"/>
                          <w:marRight w:val="0"/>
                          <w:marTop w:val="0"/>
                          <w:marBottom w:val="0"/>
                          <w:divBdr>
                            <w:top w:val="none" w:sz="0" w:space="0" w:color="auto"/>
                            <w:left w:val="none" w:sz="0" w:space="0" w:color="auto"/>
                            <w:bottom w:val="none" w:sz="0" w:space="0" w:color="auto"/>
                            <w:right w:val="none" w:sz="0" w:space="0" w:color="auto"/>
                          </w:divBdr>
                        </w:div>
                      </w:divsChild>
                    </w:div>
                    <w:div w:id="294141169">
                      <w:marLeft w:val="0"/>
                      <w:marRight w:val="0"/>
                      <w:marTop w:val="0"/>
                      <w:marBottom w:val="0"/>
                      <w:divBdr>
                        <w:top w:val="none" w:sz="0" w:space="0" w:color="auto"/>
                        <w:left w:val="none" w:sz="0" w:space="0" w:color="auto"/>
                        <w:bottom w:val="none" w:sz="0" w:space="0" w:color="auto"/>
                        <w:right w:val="none" w:sz="0" w:space="0" w:color="auto"/>
                      </w:divBdr>
                      <w:divsChild>
                        <w:div w:id="294156450">
                          <w:marLeft w:val="0"/>
                          <w:marRight w:val="0"/>
                          <w:marTop w:val="0"/>
                          <w:marBottom w:val="0"/>
                          <w:divBdr>
                            <w:top w:val="none" w:sz="0" w:space="0" w:color="auto"/>
                            <w:left w:val="none" w:sz="0" w:space="0" w:color="auto"/>
                            <w:bottom w:val="none" w:sz="0" w:space="0" w:color="auto"/>
                            <w:right w:val="none" w:sz="0" w:space="0" w:color="auto"/>
                          </w:divBdr>
                        </w:div>
                      </w:divsChild>
                    </w:div>
                    <w:div w:id="294141170">
                      <w:marLeft w:val="0"/>
                      <w:marRight w:val="0"/>
                      <w:marTop w:val="0"/>
                      <w:marBottom w:val="0"/>
                      <w:divBdr>
                        <w:top w:val="none" w:sz="0" w:space="0" w:color="auto"/>
                        <w:left w:val="none" w:sz="0" w:space="0" w:color="auto"/>
                        <w:bottom w:val="none" w:sz="0" w:space="0" w:color="auto"/>
                        <w:right w:val="none" w:sz="0" w:space="0" w:color="auto"/>
                      </w:divBdr>
                      <w:divsChild>
                        <w:div w:id="294149070">
                          <w:marLeft w:val="0"/>
                          <w:marRight w:val="0"/>
                          <w:marTop w:val="0"/>
                          <w:marBottom w:val="0"/>
                          <w:divBdr>
                            <w:top w:val="none" w:sz="0" w:space="0" w:color="auto"/>
                            <w:left w:val="none" w:sz="0" w:space="0" w:color="auto"/>
                            <w:bottom w:val="none" w:sz="0" w:space="0" w:color="auto"/>
                            <w:right w:val="none" w:sz="0" w:space="0" w:color="auto"/>
                          </w:divBdr>
                        </w:div>
                      </w:divsChild>
                    </w:div>
                    <w:div w:id="294141284">
                      <w:marLeft w:val="0"/>
                      <w:marRight w:val="0"/>
                      <w:marTop w:val="0"/>
                      <w:marBottom w:val="0"/>
                      <w:divBdr>
                        <w:top w:val="none" w:sz="0" w:space="0" w:color="auto"/>
                        <w:left w:val="none" w:sz="0" w:space="0" w:color="auto"/>
                        <w:bottom w:val="none" w:sz="0" w:space="0" w:color="auto"/>
                        <w:right w:val="none" w:sz="0" w:space="0" w:color="auto"/>
                      </w:divBdr>
                    </w:div>
                    <w:div w:id="294141292">
                      <w:marLeft w:val="0"/>
                      <w:marRight w:val="0"/>
                      <w:marTop w:val="0"/>
                      <w:marBottom w:val="0"/>
                      <w:divBdr>
                        <w:top w:val="none" w:sz="0" w:space="0" w:color="auto"/>
                        <w:left w:val="none" w:sz="0" w:space="0" w:color="auto"/>
                        <w:bottom w:val="none" w:sz="0" w:space="0" w:color="auto"/>
                        <w:right w:val="none" w:sz="0" w:space="0" w:color="auto"/>
                      </w:divBdr>
                    </w:div>
                    <w:div w:id="294141394">
                      <w:marLeft w:val="0"/>
                      <w:marRight w:val="0"/>
                      <w:marTop w:val="0"/>
                      <w:marBottom w:val="0"/>
                      <w:divBdr>
                        <w:top w:val="none" w:sz="0" w:space="0" w:color="auto"/>
                        <w:left w:val="none" w:sz="0" w:space="0" w:color="auto"/>
                        <w:bottom w:val="none" w:sz="0" w:space="0" w:color="auto"/>
                        <w:right w:val="none" w:sz="0" w:space="0" w:color="auto"/>
                      </w:divBdr>
                    </w:div>
                    <w:div w:id="294141451">
                      <w:marLeft w:val="0"/>
                      <w:marRight w:val="0"/>
                      <w:marTop w:val="0"/>
                      <w:marBottom w:val="0"/>
                      <w:divBdr>
                        <w:top w:val="none" w:sz="0" w:space="0" w:color="auto"/>
                        <w:left w:val="none" w:sz="0" w:space="0" w:color="auto"/>
                        <w:bottom w:val="none" w:sz="0" w:space="0" w:color="auto"/>
                        <w:right w:val="none" w:sz="0" w:space="0" w:color="auto"/>
                      </w:divBdr>
                      <w:divsChild>
                        <w:div w:id="294138411">
                          <w:marLeft w:val="0"/>
                          <w:marRight w:val="0"/>
                          <w:marTop w:val="0"/>
                          <w:marBottom w:val="0"/>
                          <w:divBdr>
                            <w:top w:val="none" w:sz="0" w:space="0" w:color="auto"/>
                            <w:left w:val="none" w:sz="0" w:space="0" w:color="auto"/>
                            <w:bottom w:val="none" w:sz="0" w:space="0" w:color="auto"/>
                            <w:right w:val="none" w:sz="0" w:space="0" w:color="auto"/>
                          </w:divBdr>
                        </w:div>
                      </w:divsChild>
                    </w:div>
                    <w:div w:id="294141464">
                      <w:marLeft w:val="0"/>
                      <w:marRight w:val="0"/>
                      <w:marTop w:val="0"/>
                      <w:marBottom w:val="0"/>
                      <w:divBdr>
                        <w:top w:val="none" w:sz="0" w:space="0" w:color="auto"/>
                        <w:left w:val="none" w:sz="0" w:space="0" w:color="auto"/>
                        <w:bottom w:val="none" w:sz="0" w:space="0" w:color="auto"/>
                        <w:right w:val="none" w:sz="0" w:space="0" w:color="auto"/>
                      </w:divBdr>
                    </w:div>
                    <w:div w:id="294141594">
                      <w:marLeft w:val="0"/>
                      <w:marRight w:val="0"/>
                      <w:marTop w:val="0"/>
                      <w:marBottom w:val="0"/>
                      <w:divBdr>
                        <w:top w:val="none" w:sz="0" w:space="0" w:color="auto"/>
                        <w:left w:val="none" w:sz="0" w:space="0" w:color="auto"/>
                        <w:bottom w:val="none" w:sz="0" w:space="0" w:color="auto"/>
                        <w:right w:val="none" w:sz="0" w:space="0" w:color="auto"/>
                      </w:divBdr>
                      <w:divsChild>
                        <w:div w:id="294146227">
                          <w:marLeft w:val="0"/>
                          <w:marRight w:val="0"/>
                          <w:marTop w:val="0"/>
                          <w:marBottom w:val="0"/>
                          <w:divBdr>
                            <w:top w:val="none" w:sz="0" w:space="0" w:color="auto"/>
                            <w:left w:val="none" w:sz="0" w:space="0" w:color="auto"/>
                            <w:bottom w:val="none" w:sz="0" w:space="0" w:color="auto"/>
                            <w:right w:val="none" w:sz="0" w:space="0" w:color="auto"/>
                          </w:divBdr>
                        </w:div>
                      </w:divsChild>
                    </w:div>
                    <w:div w:id="294141601">
                      <w:marLeft w:val="0"/>
                      <w:marRight w:val="0"/>
                      <w:marTop w:val="0"/>
                      <w:marBottom w:val="0"/>
                      <w:divBdr>
                        <w:top w:val="none" w:sz="0" w:space="0" w:color="auto"/>
                        <w:left w:val="none" w:sz="0" w:space="0" w:color="auto"/>
                        <w:bottom w:val="none" w:sz="0" w:space="0" w:color="auto"/>
                        <w:right w:val="none" w:sz="0" w:space="0" w:color="auto"/>
                      </w:divBdr>
                      <w:divsChild>
                        <w:div w:id="294138240">
                          <w:marLeft w:val="0"/>
                          <w:marRight w:val="0"/>
                          <w:marTop w:val="0"/>
                          <w:marBottom w:val="0"/>
                          <w:divBdr>
                            <w:top w:val="none" w:sz="0" w:space="0" w:color="auto"/>
                            <w:left w:val="none" w:sz="0" w:space="0" w:color="auto"/>
                            <w:bottom w:val="none" w:sz="0" w:space="0" w:color="auto"/>
                            <w:right w:val="none" w:sz="0" w:space="0" w:color="auto"/>
                          </w:divBdr>
                        </w:div>
                      </w:divsChild>
                    </w:div>
                    <w:div w:id="294141663">
                      <w:marLeft w:val="0"/>
                      <w:marRight w:val="0"/>
                      <w:marTop w:val="0"/>
                      <w:marBottom w:val="0"/>
                      <w:divBdr>
                        <w:top w:val="none" w:sz="0" w:space="0" w:color="auto"/>
                        <w:left w:val="none" w:sz="0" w:space="0" w:color="auto"/>
                        <w:bottom w:val="none" w:sz="0" w:space="0" w:color="auto"/>
                        <w:right w:val="none" w:sz="0" w:space="0" w:color="auto"/>
                      </w:divBdr>
                      <w:divsChild>
                        <w:div w:id="294142575">
                          <w:marLeft w:val="0"/>
                          <w:marRight w:val="0"/>
                          <w:marTop w:val="0"/>
                          <w:marBottom w:val="0"/>
                          <w:divBdr>
                            <w:top w:val="none" w:sz="0" w:space="0" w:color="auto"/>
                            <w:left w:val="none" w:sz="0" w:space="0" w:color="auto"/>
                            <w:bottom w:val="none" w:sz="0" w:space="0" w:color="auto"/>
                            <w:right w:val="none" w:sz="0" w:space="0" w:color="auto"/>
                          </w:divBdr>
                        </w:div>
                      </w:divsChild>
                    </w:div>
                    <w:div w:id="294141709">
                      <w:marLeft w:val="0"/>
                      <w:marRight w:val="0"/>
                      <w:marTop w:val="0"/>
                      <w:marBottom w:val="0"/>
                      <w:divBdr>
                        <w:top w:val="none" w:sz="0" w:space="0" w:color="auto"/>
                        <w:left w:val="none" w:sz="0" w:space="0" w:color="auto"/>
                        <w:bottom w:val="none" w:sz="0" w:space="0" w:color="auto"/>
                        <w:right w:val="none" w:sz="0" w:space="0" w:color="auto"/>
                      </w:divBdr>
                      <w:divsChild>
                        <w:div w:id="294141981">
                          <w:marLeft w:val="0"/>
                          <w:marRight w:val="0"/>
                          <w:marTop w:val="0"/>
                          <w:marBottom w:val="0"/>
                          <w:divBdr>
                            <w:top w:val="none" w:sz="0" w:space="0" w:color="auto"/>
                            <w:left w:val="none" w:sz="0" w:space="0" w:color="auto"/>
                            <w:bottom w:val="none" w:sz="0" w:space="0" w:color="auto"/>
                            <w:right w:val="none" w:sz="0" w:space="0" w:color="auto"/>
                          </w:divBdr>
                        </w:div>
                      </w:divsChild>
                    </w:div>
                    <w:div w:id="294141745">
                      <w:marLeft w:val="0"/>
                      <w:marRight w:val="0"/>
                      <w:marTop w:val="0"/>
                      <w:marBottom w:val="0"/>
                      <w:divBdr>
                        <w:top w:val="none" w:sz="0" w:space="0" w:color="auto"/>
                        <w:left w:val="none" w:sz="0" w:space="0" w:color="auto"/>
                        <w:bottom w:val="none" w:sz="0" w:space="0" w:color="auto"/>
                        <w:right w:val="none" w:sz="0" w:space="0" w:color="auto"/>
                      </w:divBdr>
                    </w:div>
                    <w:div w:id="294141748">
                      <w:marLeft w:val="0"/>
                      <w:marRight w:val="0"/>
                      <w:marTop w:val="0"/>
                      <w:marBottom w:val="0"/>
                      <w:divBdr>
                        <w:top w:val="none" w:sz="0" w:space="0" w:color="auto"/>
                        <w:left w:val="none" w:sz="0" w:space="0" w:color="auto"/>
                        <w:bottom w:val="none" w:sz="0" w:space="0" w:color="auto"/>
                        <w:right w:val="none" w:sz="0" w:space="0" w:color="auto"/>
                      </w:divBdr>
                      <w:divsChild>
                        <w:div w:id="294138301">
                          <w:marLeft w:val="0"/>
                          <w:marRight w:val="0"/>
                          <w:marTop w:val="0"/>
                          <w:marBottom w:val="0"/>
                          <w:divBdr>
                            <w:top w:val="none" w:sz="0" w:space="0" w:color="auto"/>
                            <w:left w:val="none" w:sz="0" w:space="0" w:color="auto"/>
                            <w:bottom w:val="none" w:sz="0" w:space="0" w:color="auto"/>
                            <w:right w:val="none" w:sz="0" w:space="0" w:color="auto"/>
                          </w:divBdr>
                        </w:div>
                      </w:divsChild>
                    </w:div>
                    <w:div w:id="294141835">
                      <w:marLeft w:val="0"/>
                      <w:marRight w:val="0"/>
                      <w:marTop w:val="0"/>
                      <w:marBottom w:val="0"/>
                      <w:divBdr>
                        <w:top w:val="none" w:sz="0" w:space="0" w:color="auto"/>
                        <w:left w:val="none" w:sz="0" w:space="0" w:color="auto"/>
                        <w:bottom w:val="none" w:sz="0" w:space="0" w:color="auto"/>
                        <w:right w:val="none" w:sz="0" w:space="0" w:color="auto"/>
                      </w:divBdr>
                      <w:divsChild>
                        <w:div w:id="294149461">
                          <w:marLeft w:val="0"/>
                          <w:marRight w:val="0"/>
                          <w:marTop w:val="0"/>
                          <w:marBottom w:val="0"/>
                          <w:divBdr>
                            <w:top w:val="none" w:sz="0" w:space="0" w:color="auto"/>
                            <w:left w:val="none" w:sz="0" w:space="0" w:color="auto"/>
                            <w:bottom w:val="none" w:sz="0" w:space="0" w:color="auto"/>
                            <w:right w:val="none" w:sz="0" w:space="0" w:color="auto"/>
                          </w:divBdr>
                        </w:div>
                      </w:divsChild>
                    </w:div>
                    <w:div w:id="294141845">
                      <w:marLeft w:val="0"/>
                      <w:marRight w:val="0"/>
                      <w:marTop w:val="0"/>
                      <w:marBottom w:val="0"/>
                      <w:divBdr>
                        <w:top w:val="none" w:sz="0" w:space="0" w:color="auto"/>
                        <w:left w:val="none" w:sz="0" w:space="0" w:color="auto"/>
                        <w:bottom w:val="none" w:sz="0" w:space="0" w:color="auto"/>
                        <w:right w:val="none" w:sz="0" w:space="0" w:color="auto"/>
                      </w:divBdr>
                    </w:div>
                    <w:div w:id="294141905">
                      <w:marLeft w:val="0"/>
                      <w:marRight w:val="0"/>
                      <w:marTop w:val="0"/>
                      <w:marBottom w:val="0"/>
                      <w:divBdr>
                        <w:top w:val="none" w:sz="0" w:space="0" w:color="auto"/>
                        <w:left w:val="none" w:sz="0" w:space="0" w:color="auto"/>
                        <w:bottom w:val="none" w:sz="0" w:space="0" w:color="auto"/>
                        <w:right w:val="none" w:sz="0" w:space="0" w:color="auto"/>
                      </w:divBdr>
                    </w:div>
                    <w:div w:id="294141935">
                      <w:marLeft w:val="0"/>
                      <w:marRight w:val="0"/>
                      <w:marTop w:val="0"/>
                      <w:marBottom w:val="0"/>
                      <w:divBdr>
                        <w:top w:val="none" w:sz="0" w:space="0" w:color="auto"/>
                        <w:left w:val="none" w:sz="0" w:space="0" w:color="auto"/>
                        <w:bottom w:val="none" w:sz="0" w:space="0" w:color="auto"/>
                        <w:right w:val="none" w:sz="0" w:space="0" w:color="auto"/>
                      </w:divBdr>
                    </w:div>
                    <w:div w:id="294142007">
                      <w:marLeft w:val="0"/>
                      <w:marRight w:val="0"/>
                      <w:marTop w:val="0"/>
                      <w:marBottom w:val="0"/>
                      <w:divBdr>
                        <w:top w:val="none" w:sz="0" w:space="0" w:color="auto"/>
                        <w:left w:val="none" w:sz="0" w:space="0" w:color="auto"/>
                        <w:bottom w:val="none" w:sz="0" w:space="0" w:color="auto"/>
                        <w:right w:val="none" w:sz="0" w:space="0" w:color="auto"/>
                      </w:divBdr>
                    </w:div>
                    <w:div w:id="294142050">
                      <w:marLeft w:val="0"/>
                      <w:marRight w:val="0"/>
                      <w:marTop w:val="0"/>
                      <w:marBottom w:val="0"/>
                      <w:divBdr>
                        <w:top w:val="none" w:sz="0" w:space="0" w:color="auto"/>
                        <w:left w:val="none" w:sz="0" w:space="0" w:color="auto"/>
                        <w:bottom w:val="none" w:sz="0" w:space="0" w:color="auto"/>
                        <w:right w:val="none" w:sz="0" w:space="0" w:color="auto"/>
                      </w:divBdr>
                      <w:divsChild>
                        <w:div w:id="294139796">
                          <w:marLeft w:val="0"/>
                          <w:marRight w:val="0"/>
                          <w:marTop w:val="0"/>
                          <w:marBottom w:val="0"/>
                          <w:divBdr>
                            <w:top w:val="none" w:sz="0" w:space="0" w:color="auto"/>
                            <w:left w:val="none" w:sz="0" w:space="0" w:color="auto"/>
                            <w:bottom w:val="none" w:sz="0" w:space="0" w:color="auto"/>
                            <w:right w:val="none" w:sz="0" w:space="0" w:color="auto"/>
                          </w:divBdr>
                        </w:div>
                      </w:divsChild>
                    </w:div>
                    <w:div w:id="294142155">
                      <w:marLeft w:val="0"/>
                      <w:marRight w:val="0"/>
                      <w:marTop w:val="0"/>
                      <w:marBottom w:val="0"/>
                      <w:divBdr>
                        <w:top w:val="none" w:sz="0" w:space="0" w:color="auto"/>
                        <w:left w:val="none" w:sz="0" w:space="0" w:color="auto"/>
                        <w:bottom w:val="none" w:sz="0" w:space="0" w:color="auto"/>
                        <w:right w:val="none" w:sz="0" w:space="0" w:color="auto"/>
                      </w:divBdr>
                    </w:div>
                    <w:div w:id="294142177">
                      <w:marLeft w:val="0"/>
                      <w:marRight w:val="0"/>
                      <w:marTop w:val="0"/>
                      <w:marBottom w:val="0"/>
                      <w:divBdr>
                        <w:top w:val="none" w:sz="0" w:space="0" w:color="auto"/>
                        <w:left w:val="none" w:sz="0" w:space="0" w:color="auto"/>
                        <w:bottom w:val="none" w:sz="0" w:space="0" w:color="auto"/>
                        <w:right w:val="none" w:sz="0" w:space="0" w:color="auto"/>
                      </w:divBdr>
                    </w:div>
                    <w:div w:id="294142333">
                      <w:marLeft w:val="0"/>
                      <w:marRight w:val="0"/>
                      <w:marTop w:val="0"/>
                      <w:marBottom w:val="0"/>
                      <w:divBdr>
                        <w:top w:val="none" w:sz="0" w:space="0" w:color="auto"/>
                        <w:left w:val="none" w:sz="0" w:space="0" w:color="auto"/>
                        <w:bottom w:val="none" w:sz="0" w:space="0" w:color="auto"/>
                        <w:right w:val="none" w:sz="0" w:space="0" w:color="auto"/>
                      </w:divBdr>
                      <w:divsChild>
                        <w:div w:id="294143092">
                          <w:marLeft w:val="0"/>
                          <w:marRight w:val="0"/>
                          <w:marTop w:val="0"/>
                          <w:marBottom w:val="0"/>
                          <w:divBdr>
                            <w:top w:val="none" w:sz="0" w:space="0" w:color="auto"/>
                            <w:left w:val="none" w:sz="0" w:space="0" w:color="auto"/>
                            <w:bottom w:val="none" w:sz="0" w:space="0" w:color="auto"/>
                            <w:right w:val="none" w:sz="0" w:space="0" w:color="auto"/>
                          </w:divBdr>
                        </w:div>
                      </w:divsChild>
                    </w:div>
                    <w:div w:id="294142379">
                      <w:marLeft w:val="0"/>
                      <w:marRight w:val="0"/>
                      <w:marTop w:val="0"/>
                      <w:marBottom w:val="0"/>
                      <w:divBdr>
                        <w:top w:val="none" w:sz="0" w:space="0" w:color="auto"/>
                        <w:left w:val="none" w:sz="0" w:space="0" w:color="auto"/>
                        <w:bottom w:val="none" w:sz="0" w:space="0" w:color="auto"/>
                        <w:right w:val="none" w:sz="0" w:space="0" w:color="auto"/>
                      </w:divBdr>
                    </w:div>
                    <w:div w:id="294142454">
                      <w:marLeft w:val="0"/>
                      <w:marRight w:val="0"/>
                      <w:marTop w:val="0"/>
                      <w:marBottom w:val="0"/>
                      <w:divBdr>
                        <w:top w:val="none" w:sz="0" w:space="0" w:color="auto"/>
                        <w:left w:val="none" w:sz="0" w:space="0" w:color="auto"/>
                        <w:bottom w:val="none" w:sz="0" w:space="0" w:color="auto"/>
                        <w:right w:val="none" w:sz="0" w:space="0" w:color="auto"/>
                      </w:divBdr>
                    </w:div>
                    <w:div w:id="294142475">
                      <w:marLeft w:val="0"/>
                      <w:marRight w:val="0"/>
                      <w:marTop w:val="0"/>
                      <w:marBottom w:val="0"/>
                      <w:divBdr>
                        <w:top w:val="none" w:sz="0" w:space="0" w:color="auto"/>
                        <w:left w:val="none" w:sz="0" w:space="0" w:color="auto"/>
                        <w:bottom w:val="none" w:sz="0" w:space="0" w:color="auto"/>
                        <w:right w:val="none" w:sz="0" w:space="0" w:color="auto"/>
                      </w:divBdr>
                    </w:div>
                    <w:div w:id="294142543">
                      <w:marLeft w:val="0"/>
                      <w:marRight w:val="0"/>
                      <w:marTop w:val="0"/>
                      <w:marBottom w:val="0"/>
                      <w:divBdr>
                        <w:top w:val="none" w:sz="0" w:space="0" w:color="auto"/>
                        <w:left w:val="none" w:sz="0" w:space="0" w:color="auto"/>
                        <w:bottom w:val="none" w:sz="0" w:space="0" w:color="auto"/>
                        <w:right w:val="none" w:sz="0" w:space="0" w:color="auto"/>
                      </w:divBdr>
                      <w:divsChild>
                        <w:div w:id="294154155">
                          <w:marLeft w:val="0"/>
                          <w:marRight w:val="0"/>
                          <w:marTop w:val="0"/>
                          <w:marBottom w:val="0"/>
                          <w:divBdr>
                            <w:top w:val="none" w:sz="0" w:space="0" w:color="auto"/>
                            <w:left w:val="none" w:sz="0" w:space="0" w:color="auto"/>
                            <w:bottom w:val="none" w:sz="0" w:space="0" w:color="auto"/>
                            <w:right w:val="none" w:sz="0" w:space="0" w:color="auto"/>
                          </w:divBdr>
                        </w:div>
                      </w:divsChild>
                    </w:div>
                    <w:div w:id="294142647">
                      <w:marLeft w:val="0"/>
                      <w:marRight w:val="0"/>
                      <w:marTop w:val="0"/>
                      <w:marBottom w:val="0"/>
                      <w:divBdr>
                        <w:top w:val="none" w:sz="0" w:space="0" w:color="auto"/>
                        <w:left w:val="none" w:sz="0" w:space="0" w:color="auto"/>
                        <w:bottom w:val="none" w:sz="0" w:space="0" w:color="auto"/>
                        <w:right w:val="none" w:sz="0" w:space="0" w:color="auto"/>
                      </w:divBdr>
                      <w:divsChild>
                        <w:div w:id="294143502">
                          <w:marLeft w:val="0"/>
                          <w:marRight w:val="0"/>
                          <w:marTop w:val="0"/>
                          <w:marBottom w:val="0"/>
                          <w:divBdr>
                            <w:top w:val="none" w:sz="0" w:space="0" w:color="auto"/>
                            <w:left w:val="none" w:sz="0" w:space="0" w:color="auto"/>
                            <w:bottom w:val="none" w:sz="0" w:space="0" w:color="auto"/>
                            <w:right w:val="none" w:sz="0" w:space="0" w:color="auto"/>
                          </w:divBdr>
                        </w:div>
                      </w:divsChild>
                    </w:div>
                    <w:div w:id="294143063">
                      <w:marLeft w:val="0"/>
                      <w:marRight w:val="0"/>
                      <w:marTop w:val="0"/>
                      <w:marBottom w:val="0"/>
                      <w:divBdr>
                        <w:top w:val="none" w:sz="0" w:space="0" w:color="auto"/>
                        <w:left w:val="none" w:sz="0" w:space="0" w:color="auto"/>
                        <w:bottom w:val="none" w:sz="0" w:space="0" w:color="auto"/>
                        <w:right w:val="none" w:sz="0" w:space="0" w:color="auto"/>
                      </w:divBdr>
                    </w:div>
                    <w:div w:id="294143075">
                      <w:marLeft w:val="0"/>
                      <w:marRight w:val="0"/>
                      <w:marTop w:val="0"/>
                      <w:marBottom w:val="0"/>
                      <w:divBdr>
                        <w:top w:val="none" w:sz="0" w:space="0" w:color="auto"/>
                        <w:left w:val="none" w:sz="0" w:space="0" w:color="auto"/>
                        <w:bottom w:val="none" w:sz="0" w:space="0" w:color="auto"/>
                        <w:right w:val="none" w:sz="0" w:space="0" w:color="auto"/>
                      </w:divBdr>
                    </w:div>
                    <w:div w:id="294143160">
                      <w:marLeft w:val="0"/>
                      <w:marRight w:val="0"/>
                      <w:marTop w:val="0"/>
                      <w:marBottom w:val="0"/>
                      <w:divBdr>
                        <w:top w:val="none" w:sz="0" w:space="0" w:color="auto"/>
                        <w:left w:val="none" w:sz="0" w:space="0" w:color="auto"/>
                        <w:bottom w:val="none" w:sz="0" w:space="0" w:color="auto"/>
                        <w:right w:val="none" w:sz="0" w:space="0" w:color="auto"/>
                      </w:divBdr>
                    </w:div>
                    <w:div w:id="294143220">
                      <w:marLeft w:val="0"/>
                      <w:marRight w:val="0"/>
                      <w:marTop w:val="0"/>
                      <w:marBottom w:val="0"/>
                      <w:divBdr>
                        <w:top w:val="none" w:sz="0" w:space="0" w:color="auto"/>
                        <w:left w:val="none" w:sz="0" w:space="0" w:color="auto"/>
                        <w:bottom w:val="none" w:sz="0" w:space="0" w:color="auto"/>
                        <w:right w:val="none" w:sz="0" w:space="0" w:color="auto"/>
                      </w:divBdr>
                    </w:div>
                    <w:div w:id="294143424">
                      <w:marLeft w:val="0"/>
                      <w:marRight w:val="0"/>
                      <w:marTop w:val="0"/>
                      <w:marBottom w:val="0"/>
                      <w:divBdr>
                        <w:top w:val="none" w:sz="0" w:space="0" w:color="auto"/>
                        <w:left w:val="none" w:sz="0" w:space="0" w:color="auto"/>
                        <w:bottom w:val="none" w:sz="0" w:space="0" w:color="auto"/>
                        <w:right w:val="none" w:sz="0" w:space="0" w:color="auto"/>
                      </w:divBdr>
                      <w:divsChild>
                        <w:div w:id="294139851">
                          <w:marLeft w:val="0"/>
                          <w:marRight w:val="0"/>
                          <w:marTop w:val="0"/>
                          <w:marBottom w:val="0"/>
                          <w:divBdr>
                            <w:top w:val="none" w:sz="0" w:space="0" w:color="auto"/>
                            <w:left w:val="none" w:sz="0" w:space="0" w:color="auto"/>
                            <w:bottom w:val="none" w:sz="0" w:space="0" w:color="auto"/>
                            <w:right w:val="none" w:sz="0" w:space="0" w:color="auto"/>
                          </w:divBdr>
                        </w:div>
                      </w:divsChild>
                    </w:div>
                    <w:div w:id="294143496">
                      <w:marLeft w:val="0"/>
                      <w:marRight w:val="0"/>
                      <w:marTop w:val="0"/>
                      <w:marBottom w:val="0"/>
                      <w:divBdr>
                        <w:top w:val="none" w:sz="0" w:space="0" w:color="auto"/>
                        <w:left w:val="none" w:sz="0" w:space="0" w:color="auto"/>
                        <w:bottom w:val="none" w:sz="0" w:space="0" w:color="auto"/>
                        <w:right w:val="none" w:sz="0" w:space="0" w:color="auto"/>
                      </w:divBdr>
                      <w:divsChild>
                        <w:div w:id="294139212">
                          <w:marLeft w:val="0"/>
                          <w:marRight w:val="0"/>
                          <w:marTop w:val="0"/>
                          <w:marBottom w:val="0"/>
                          <w:divBdr>
                            <w:top w:val="none" w:sz="0" w:space="0" w:color="auto"/>
                            <w:left w:val="none" w:sz="0" w:space="0" w:color="auto"/>
                            <w:bottom w:val="none" w:sz="0" w:space="0" w:color="auto"/>
                            <w:right w:val="none" w:sz="0" w:space="0" w:color="auto"/>
                          </w:divBdr>
                        </w:div>
                      </w:divsChild>
                    </w:div>
                    <w:div w:id="294143505">
                      <w:marLeft w:val="0"/>
                      <w:marRight w:val="0"/>
                      <w:marTop w:val="0"/>
                      <w:marBottom w:val="0"/>
                      <w:divBdr>
                        <w:top w:val="none" w:sz="0" w:space="0" w:color="auto"/>
                        <w:left w:val="none" w:sz="0" w:space="0" w:color="auto"/>
                        <w:bottom w:val="none" w:sz="0" w:space="0" w:color="auto"/>
                        <w:right w:val="none" w:sz="0" w:space="0" w:color="auto"/>
                      </w:divBdr>
                      <w:divsChild>
                        <w:div w:id="294146464">
                          <w:marLeft w:val="0"/>
                          <w:marRight w:val="0"/>
                          <w:marTop w:val="0"/>
                          <w:marBottom w:val="0"/>
                          <w:divBdr>
                            <w:top w:val="none" w:sz="0" w:space="0" w:color="auto"/>
                            <w:left w:val="none" w:sz="0" w:space="0" w:color="auto"/>
                            <w:bottom w:val="none" w:sz="0" w:space="0" w:color="auto"/>
                            <w:right w:val="none" w:sz="0" w:space="0" w:color="auto"/>
                          </w:divBdr>
                        </w:div>
                      </w:divsChild>
                    </w:div>
                    <w:div w:id="294143517">
                      <w:marLeft w:val="0"/>
                      <w:marRight w:val="0"/>
                      <w:marTop w:val="0"/>
                      <w:marBottom w:val="0"/>
                      <w:divBdr>
                        <w:top w:val="none" w:sz="0" w:space="0" w:color="auto"/>
                        <w:left w:val="none" w:sz="0" w:space="0" w:color="auto"/>
                        <w:bottom w:val="none" w:sz="0" w:space="0" w:color="auto"/>
                        <w:right w:val="none" w:sz="0" w:space="0" w:color="auto"/>
                      </w:divBdr>
                    </w:div>
                    <w:div w:id="294143529">
                      <w:marLeft w:val="0"/>
                      <w:marRight w:val="0"/>
                      <w:marTop w:val="0"/>
                      <w:marBottom w:val="0"/>
                      <w:divBdr>
                        <w:top w:val="none" w:sz="0" w:space="0" w:color="auto"/>
                        <w:left w:val="none" w:sz="0" w:space="0" w:color="auto"/>
                        <w:bottom w:val="none" w:sz="0" w:space="0" w:color="auto"/>
                        <w:right w:val="none" w:sz="0" w:space="0" w:color="auto"/>
                      </w:divBdr>
                    </w:div>
                    <w:div w:id="294143591">
                      <w:marLeft w:val="0"/>
                      <w:marRight w:val="0"/>
                      <w:marTop w:val="0"/>
                      <w:marBottom w:val="0"/>
                      <w:divBdr>
                        <w:top w:val="none" w:sz="0" w:space="0" w:color="auto"/>
                        <w:left w:val="none" w:sz="0" w:space="0" w:color="auto"/>
                        <w:bottom w:val="none" w:sz="0" w:space="0" w:color="auto"/>
                        <w:right w:val="none" w:sz="0" w:space="0" w:color="auto"/>
                      </w:divBdr>
                      <w:divsChild>
                        <w:div w:id="294153515">
                          <w:marLeft w:val="0"/>
                          <w:marRight w:val="0"/>
                          <w:marTop w:val="0"/>
                          <w:marBottom w:val="0"/>
                          <w:divBdr>
                            <w:top w:val="none" w:sz="0" w:space="0" w:color="auto"/>
                            <w:left w:val="none" w:sz="0" w:space="0" w:color="auto"/>
                            <w:bottom w:val="none" w:sz="0" w:space="0" w:color="auto"/>
                            <w:right w:val="none" w:sz="0" w:space="0" w:color="auto"/>
                          </w:divBdr>
                        </w:div>
                      </w:divsChild>
                    </w:div>
                    <w:div w:id="294143596">
                      <w:marLeft w:val="0"/>
                      <w:marRight w:val="0"/>
                      <w:marTop w:val="0"/>
                      <w:marBottom w:val="0"/>
                      <w:divBdr>
                        <w:top w:val="none" w:sz="0" w:space="0" w:color="auto"/>
                        <w:left w:val="none" w:sz="0" w:space="0" w:color="auto"/>
                        <w:bottom w:val="none" w:sz="0" w:space="0" w:color="auto"/>
                        <w:right w:val="none" w:sz="0" w:space="0" w:color="auto"/>
                      </w:divBdr>
                      <w:divsChild>
                        <w:div w:id="294140465">
                          <w:marLeft w:val="0"/>
                          <w:marRight w:val="0"/>
                          <w:marTop w:val="0"/>
                          <w:marBottom w:val="0"/>
                          <w:divBdr>
                            <w:top w:val="none" w:sz="0" w:space="0" w:color="auto"/>
                            <w:left w:val="none" w:sz="0" w:space="0" w:color="auto"/>
                            <w:bottom w:val="none" w:sz="0" w:space="0" w:color="auto"/>
                            <w:right w:val="none" w:sz="0" w:space="0" w:color="auto"/>
                          </w:divBdr>
                        </w:div>
                      </w:divsChild>
                    </w:div>
                    <w:div w:id="294143649">
                      <w:marLeft w:val="0"/>
                      <w:marRight w:val="0"/>
                      <w:marTop w:val="0"/>
                      <w:marBottom w:val="0"/>
                      <w:divBdr>
                        <w:top w:val="none" w:sz="0" w:space="0" w:color="auto"/>
                        <w:left w:val="none" w:sz="0" w:space="0" w:color="auto"/>
                        <w:bottom w:val="none" w:sz="0" w:space="0" w:color="auto"/>
                        <w:right w:val="none" w:sz="0" w:space="0" w:color="auto"/>
                      </w:divBdr>
                    </w:div>
                    <w:div w:id="294143713">
                      <w:marLeft w:val="0"/>
                      <w:marRight w:val="0"/>
                      <w:marTop w:val="0"/>
                      <w:marBottom w:val="0"/>
                      <w:divBdr>
                        <w:top w:val="none" w:sz="0" w:space="0" w:color="auto"/>
                        <w:left w:val="none" w:sz="0" w:space="0" w:color="auto"/>
                        <w:bottom w:val="none" w:sz="0" w:space="0" w:color="auto"/>
                        <w:right w:val="none" w:sz="0" w:space="0" w:color="auto"/>
                      </w:divBdr>
                      <w:divsChild>
                        <w:div w:id="294154477">
                          <w:marLeft w:val="0"/>
                          <w:marRight w:val="0"/>
                          <w:marTop w:val="0"/>
                          <w:marBottom w:val="0"/>
                          <w:divBdr>
                            <w:top w:val="none" w:sz="0" w:space="0" w:color="auto"/>
                            <w:left w:val="none" w:sz="0" w:space="0" w:color="auto"/>
                            <w:bottom w:val="none" w:sz="0" w:space="0" w:color="auto"/>
                            <w:right w:val="none" w:sz="0" w:space="0" w:color="auto"/>
                          </w:divBdr>
                        </w:div>
                      </w:divsChild>
                    </w:div>
                    <w:div w:id="294143784">
                      <w:marLeft w:val="0"/>
                      <w:marRight w:val="0"/>
                      <w:marTop w:val="0"/>
                      <w:marBottom w:val="0"/>
                      <w:divBdr>
                        <w:top w:val="none" w:sz="0" w:space="0" w:color="auto"/>
                        <w:left w:val="none" w:sz="0" w:space="0" w:color="auto"/>
                        <w:bottom w:val="none" w:sz="0" w:space="0" w:color="auto"/>
                        <w:right w:val="none" w:sz="0" w:space="0" w:color="auto"/>
                      </w:divBdr>
                      <w:divsChild>
                        <w:div w:id="294138738">
                          <w:marLeft w:val="0"/>
                          <w:marRight w:val="0"/>
                          <w:marTop w:val="0"/>
                          <w:marBottom w:val="0"/>
                          <w:divBdr>
                            <w:top w:val="none" w:sz="0" w:space="0" w:color="auto"/>
                            <w:left w:val="none" w:sz="0" w:space="0" w:color="auto"/>
                            <w:bottom w:val="none" w:sz="0" w:space="0" w:color="auto"/>
                            <w:right w:val="none" w:sz="0" w:space="0" w:color="auto"/>
                          </w:divBdr>
                        </w:div>
                      </w:divsChild>
                    </w:div>
                    <w:div w:id="294143785">
                      <w:marLeft w:val="0"/>
                      <w:marRight w:val="0"/>
                      <w:marTop w:val="0"/>
                      <w:marBottom w:val="0"/>
                      <w:divBdr>
                        <w:top w:val="none" w:sz="0" w:space="0" w:color="auto"/>
                        <w:left w:val="none" w:sz="0" w:space="0" w:color="auto"/>
                        <w:bottom w:val="none" w:sz="0" w:space="0" w:color="auto"/>
                        <w:right w:val="none" w:sz="0" w:space="0" w:color="auto"/>
                      </w:divBdr>
                      <w:divsChild>
                        <w:div w:id="294142469">
                          <w:marLeft w:val="0"/>
                          <w:marRight w:val="0"/>
                          <w:marTop w:val="0"/>
                          <w:marBottom w:val="0"/>
                          <w:divBdr>
                            <w:top w:val="none" w:sz="0" w:space="0" w:color="auto"/>
                            <w:left w:val="none" w:sz="0" w:space="0" w:color="auto"/>
                            <w:bottom w:val="none" w:sz="0" w:space="0" w:color="auto"/>
                            <w:right w:val="none" w:sz="0" w:space="0" w:color="auto"/>
                          </w:divBdr>
                        </w:div>
                      </w:divsChild>
                    </w:div>
                    <w:div w:id="294143842">
                      <w:marLeft w:val="0"/>
                      <w:marRight w:val="0"/>
                      <w:marTop w:val="0"/>
                      <w:marBottom w:val="0"/>
                      <w:divBdr>
                        <w:top w:val="none" w:sz="0" w:space="0" w:color="auto"/>
                        <w:left w:val="none" w:sz="0" w:space="0" w:color="auto"/>
                        <w:bottom w:val="none" w:sz="0" w:space="0" w:color="auto"/>
                        <w:right w:val="none" w:sz="0" w:space="0" w:color="auto"/>
                      </w:divBdr>
                      <w:divsChild>
                        <w:div w:id="294153453">
                          <w:marLeft w:val="0"/>
                          <w:marRight w:val="0"/>
                          <w:marTop w:val="0"/>
                          <w:marBottom w:val="0"/>
                          <w:divBdr>
                            <w:top w:val="none" w:sz="0" w:space="0" w:color="auto"/>
                            <w:left w:val="none" w:sz="0" w:space="0" w:color="auto"/>
                            <w:bottom w:val="none" w:sz="0" w:space="0" w:color="auto"/>
                            <w:right w:val="none" w:sz="0" w:space="0" w:color="auto"/>
                          </w:divBdr>
                        </w:div>
                      </w:divsChild>
                    </w:div>
                    <w:div w:id="294144003">
                      <w:marLeft w:val="0"/>
                      <w:marRight w:val="0"/>
                      <w:marTop w:val="0"/>
                      <w:marBottom w:val="0"/>
                      <w:divBdr>
                        <w:top w:val="none" w:sz="0" w:space="0" w:color="auto"/>
                        <w:left w:val="none" w:sz="0" w:space="0" w:color="auto"/>
                        <w:bottom w:val="none" w:sz="0" w:space="0" w:color="auto"/>
                        <w:right w:val="none" w:sz="0" w:space="0" w:color="auto"/>
                      </w:divBdr>
                    </w:div>
                    <w:div w:id="294144016">
                      <w:marLeft w:val="0"/>
                      <w:marRight w:val="0"/>
                      <w:marTop w:val="0"/>
                      <w:marBottom w:val="0"/>
                      <w:divBdr>
                        <w:top w:val="none" w:sz="0" w:space="0" w:color="auto"/>
                        <w:left w:val="none" w:sz="0" w:space="0" w:color="auto"/>
                        <w:bottom w:val="none" w:sz="0" w:space="0" w:color="auto"/>
                        <w:right w:val="none" w:sz="0" w:space="0" w:color="auto"/>
                      </w:divBdr>
                      <w:divsChild>
                        <w:div w:id="294140398">
                          <w:marLeft w:val="0"/>
                          <w:marRight w:val="0"/>
                          <w:marTop w:val="0"/>
                          <w:marBottom w:val="0"/>
                          <w:divBdr>
                            <w:top w:val="none" w:sz="0" w:space="0" w:color="auto"/>
                            <w:left w:val="none" w:sz="0" w:space="0" w:color="auto"/>
                            <w:bottom w:val="none" w:sz="0" w:space="0" w:color="auto"/>
                            <w:right w:val="none" w:sz="0" w:space="0" w:color="auto"/>
                          </w:divBdr>
                        </w:div>
                      </w:divsChild>
                    </w:div>
                    <w:div w:id="294144070">
                      <w:marLeft w:val="0"/>
                      <w:marRight w:val="0"/>
                      <w:marTop w:val="0"/>
                      <w:marBottom w:val="0"/>
                      <w:divBdr>
                        <w:top w:val="none" w:sz="0" w:space="0" w:color="auto"/>
                        <w:left w:val="none" w:sz="0" w:space="0" w:color="auto"/>
                        <w:bottom w:val="none" w:sz="0" w:space="0" w:color="auto"/>
                        <w:right w:val="none" w:sz="0" w:space="0" w:color="auto"/>
                      </w:divBdr>
                      <w:divsChild>
                        <w:div w:id="294152648">
                          <w:marLeft w:val="0"/>
                          <w:marRight w:val="0"/>
                          <w:marTop w:val="0"/>
                          <w:marBottom w:val="0"/>
                          <w:divBdr>
                            <w:top w:val="none" w:sz="0" w:space="0" w:color="auto"/>
                            <w:left w:val="none" w:sz="0" w:space="0" w:color="auto"/>
                            <w:bottom w:val="none" w:sz="0" w:space="0" w:color="auto"/>
                            <w:right w:val="none" w:sz="0" w:space="0" w:color="auto"/>
                          </w:divBdr>
                        </w:div>
                      </w:divsChild>
                    </w:div>
                    <w:div w:id="294144208">
                      <w:marLeft w:val="0"/>
                      <w:marRight w:val="0"/>
                      <w:marTop w:val="0"/>
                      <w:marBottom w:val="0"/>
                      <w:divBdr>
                        <w:top w:val="none" w:sz="0" w:space="0" w:color="auto"/>
                        <w:left w:val="none" w:sz="0" w:space="0" w:color="auto"/>
                        <w:bottom w:val="none" w:sz="0" w:space="0" w:color="auto"/>
                        <w:right w:val="none" w:sz="0" w:space="0" w:color="auto"/>
                      </w:divBdr>
                      <w:divsChild>
                        <w:div w:id="294143872">
                          <w:marLeft w:val="0"/>
                          <w:marRight w:val="0"/>
                          <w:marTop w:val="0"/>
                          <w:marBottom w:val="0"/>
                          <w:divBdr>
                            <w:top w:val="none" w:sz="0" w:space="0" w:color="auto"/>
                            <w:left w:val="none" w:sz="0" w:space="0" w:color="auto"/>
                            <w:bottom w:val="none" w:sz="0" w:space="0" w:color="auto"/>
                            <w:right w:val="none" w:sz="0" w:space="0" w:color="auto"/>
                          </w:divBdr>
                        </w:div>
                      </w:divsChild>
                    </w:div>
                    <w:div w:id="294144411">
                      <w:marLeft w:val="0"/>
                      <w:marRight w:val="0"/>
                      <w:marTop w:val="0"/>
                      <w:marBottom w:val="0"/>
                      <w:divBdr>
                        <w:top w:val="none" w:sz="0" w:space="0" w:color="auto"/>
                        <w:left w:val="none" w:sz="0" w:space="0" w:color="auto"/>
                        <w:bottom w:val="none" w:sz="0" w:space="0" w:color="auto"/>
                        <w:right w:val="none" w:sz="0" w:space="0" w:color="auto"/>
                      </w:divBdr>
                      <w:divsChild>
                        <w:div w:id="294148895">
                          <w:marLeft w:val="0"/>
                          <w:marRight w:val="0"/>
                          <w:marTop w:val="0"/>
                          <w:marBottom w:val="0"/>
                          <w:divBdr>
                            <w:top w:val="none" w:sz="0" w:space="0" w:color="auto"/>
                            <w:left w:val="none" w:sz="0" w:space="0" w:color="auto"/>
                            <w:bottom w:val="none" w:sz="0" w:space="0" w:color="auto"/>
                            <w:right w:val="none" w:sz="0" w:space="0" w:color="auto"/>
                          </w:divBdr>
                        </w:div>
                      </w:divsChild>
                    </w:div>
                    <w:div w:id="294144413">
                      <w:marLeft w:val="0"/>
                      <w:marRight w:val="0"/>
                      <w:marTop w:val="0"/>
                      <w:marBottom w:val="0"/>
                      <w:divBdr>
                        <w:top w:val="none" w:sz="0" w:space="0" w:color="auto"/>
                        <w:left w:val="none" w:sz="0" w:space="0" w:color="auto"/>
                        <w:bottom w:val="none" w:sz="0" w:space="0" w:color="auto"/>
                        <w:right w:val="none" w:sz="0" w:space="0" w:color="auto"/>
                      </w:divBdr>
                    </w:div>
                    <w:div w:id="294144436">
                      <w:marLeft w:val="0"/>
                      <w:marRight w:val="0"/>
                      <w:marTop w:val="0"/>
                      <w:marBottom w:val="0"/>
                      <w:divBdr>
                        <w:top w:val="none" w:sz="0" w:space="0" w:color="auto"/>
                        <w:left w:val="none" w:sz="0" w:space="0" w:color="auto"/>
                        <w:bottom w:val="none" w:sz="0" w:space="0" w:color="auto"/>
                        <w:right w:val="none" w:sz="0" w:space="0" w:color="auto"/>
                      </w:divBdr>
                    </w:div>
                    <w:div w:id="294144442">
                      <w:marLeft w:val="0"/>
                      <w:marRight w:val="0"/>
                      <w:marTop w:val="0"/>
                      <w:marBottom w:val="0"/>
                      <w:divBdr>
                        <w:top w:val="none" w:sz="0" w:space="0" w:color="auto"/>
                        <w:left w:val="none" w:sz="0" w:space="0" w:color="auto"/>
                        <w:bottom w:val="none" w:sz="0" w:space="0" w:color="auto"/>
                        <w:right w:val="none" w:sz="0" w:space="0" w:color="auto"/>
                      </w:divBdr>
                      <w:divsChild>
                        <w:div w:id="294141415">
                          <w:marLeft w:val="0"/>
                          <w:marRight w:val="0"/>
                          <w:marTop w:val="0"/>
                          <w:marBottom w:val="0"/>
                          <w:divBdr>
                            <w:top w:val="none" w:sz="0" w:space="0" w:color="auto"/>
                            <w:left w:val="none" w:sz="0" w:space="0" w:color="auto"/>
                            <w:bottom w:val="none" w:sz="0" w:space="0" w:color="auto"/>
                            <w:right w:val="none" w:sz="0" w:space="0" w:color="auto"/>
                          </w:divBdr>
                        </w:div>
                      </w:divsChild>
                    </w:div>
                    <w:div w:id="294144514">
                      <w:marLeft w:val="0"/>
                      <w:marRight w:val="0"/>
                      <w:marTop w:val="0"/>
                      <w:marBottom w:val="0"/>
                      <w:divBdr>
                        <w:top w:val="none" w:sz="0" w:space="0" w:color="auto"/>
                        <w:left w:val="none" w:sz="0" w:space="0" w:color="auto"/>
                        <w:bottom w:val="none" w:sz="0" w:space="0" w:color="auto"/>
                        <w:right w:val="none" w:sz="0" w:space="0" w:color="auto"/>
                      </w:divBdr>
                      <w:divsChild>
                        <w:div w:id="294141372">
                          <w:marLeft w:val="0"/>
                          <w:marRight w:val="0"/>
                          <w:marTop w:val="0"/>
                          <w:marBottom w:val="0"/>
                          <w:divBdr>
                            <w:top w:val="none" w:sz="0" w:space="0" w:color="auto"/>
                            <w:left w:val="none" w:sz="0" w:space="0" w:color="auto"/>
                            <w:bottom w:val="none" w:sz="0" w:space="0" w:color="auto"/>
                            <w:right w:val="none" w:sz="0" w:space="0" w:color="auto"/>
                          </w:divBdr>
                        </w:div>
                      </w:divsChild>
                    </w:div>
                    <w:div w:id="294144521">
                      <w:marLeft w:val="0"/>
                      <w:marRight w:val="0"/>
                      <w:marTop w:val="0"/>
                      <w:marBottom w:val="0"/>
                      <w:divBdr>
                        <w:top w:val="none" w:sz="0" w:space="0" w:color="auto"/>
                        <w:left w:val="none" w:sz="0" w:space="0" w:color="auto"/>
                        <w:bottom w:val="none" w:sz="0" w:space="0" w:color="auto"/>
                        <w:right w:val="none" w:sz="0" w:space="0" w:color="auto"/>
                      </w:divBdr>
                    </w:div>
                    <w:div w:id="294144596">
                      <w:marLeft w:val="0"/>
                      <w:marRight w:val="0"/>
                      <w:marTop w:val="0"/>
                      <w:marBottom w:val="0"/>
                      <w:divBdr>
                        <w:top w:val="none" w:sz="0" w:space="0" w:color="auto"/>
                        <w:left w:val="none" w:sz="0" w:space="0" w:color="auto"/>
                        <w:bottom w:val="none" w:sz="0" w:space="0" w:color="auto"/>
                        <w:right w:val="none" w:sz="0" w:space="0" w:color="auto"/>
                      </w:divBdr>
                      <w:divsChild>
                        <w:div w:id="294148594">
                          <w:marLeft w:val="0"/>
                          <w:marRight w:val="0"/>
                          <w:marTop w:val="0"/>
                          <w:marBottom w:val="0"/>
                          <w:divBdr>
                            <w:top w:val="none" w:sz="0" w:space="0" w:color="auto"/>
                            <w:left w:val="none" w:sz="0" w:space="0" w:color="auto"/>
                            <w:bottom w:val="none" w:sz="0" w:space="0" w:color="auto"/>
                            <w:right w:val="none" w:sz="0" w:space="0" w:color="auto"/>
                          </w:divBdr>
                        </w:div>
                      </w:divsChild>
                    </w:div>
                    <w:div w:id="294144603">
                      <w:marLeft w:val="0"/>
                      <w:marRight w:val="0"/>
                      <w:marTop w:val="0"/>
                      <w:marBottom w:val="0"/>
                      <w:divBdr>
                        <w:top w:val="none" w:sz="0" w:space="0" w:color="auto"/>
                        <w:left w:val="none" w:sz="0" w:space="0" w:color="auto"/>
                        <w:bottom w:val="none" w:sz="0" w:space="0" w:color="auto"/>
                        <w:right w:val="none" w:sz="0" w:space="0" w:color="auto"/>
                      </w:divBdr>
                    </w:div>
                    <w:div w:id="294144642">
                      <w:marLeft w:val="0"/>
                      <w:marRight w:val="0"/>
                      <w:marTop w:val="0"/>
                      <w:marBottom w:val="0"/>
                      <w:divBdr>
                        <w:top w:val="none" w:sz="0" w:space="0" w:color="auto"/>
                        <w:left w:val="none" w:sz="0" w:space="0" w:color="auto"/>
                        <w:bottom w:val="none" w:sz="0" w:space="0" w:color="auto"/>
                        <w:right w:val="none" w:sz="0" w:space="0" w:color="auto"/>
                      </w:divBdr>
                      <w:divsChild>
                        <w:div w:id="294154940">
                          <w:marLeft w:val="0"/>
                          <w:marRight w:val="0"/>
                          <w:marTop w:val="0"/>
                          <w:marBottom w:val="0"/>
                          <w:divBdr>
                            <w:top w:val="none" w:sz="0" w:space="0" w:color="auto"/>
                            <w:left w:val="none" w:sz="0" w:space="0" w:color="auto"/>
                            <w:bottom w:val="none" w:sz="0" w:space="0" w:color="auto"/>
                            <w:right w:val="none" w:sz="0" w:space="0" w:color="auto"/>
                          </w:divBdr>
                        </w:div>
                      </w:divsChild>
                    </w:div>
                    <w:div w:id="294144727">
                      <w:marLeft w:val="0"/>
                      <w:marRight w:val="0"/>
                      <w:marTop w:val="0"/>
                      <w:marBottom w:val="0"/>
                      <w:divBdr>
                        <w:top w:val="none" w:sz="0" w:space="0" w:color="auto"/>
                        <w:left w:val="none" w:sz="0" w:space="0" w:color="auto"/>
                        <w:bottom w:val="none" w:sz="0" w:space="0" w:color="auto"/>
                        <w:right w:val="none" w:sz="0" w:space="0" w:color="auto"/>
                      </w:divBdr>
                      <w:divsChild>
                        <w:div w:id="294155846">
                          <w:marLeft w:val="0"/>
                          <w:marRight w:val="0"/>
                          <w:marTop w:val="0"/>
                          <w:marBottom w:val="0"/>
                          <w:divBdr>
                            <w:top w:val="none" w:sz="0" w:space="0" w:color="auto"/>
                            <w:left w:val="none" w:sz="0" w:space="0" w:color="auto"/>
                            <w:bottom w:val="none" w:sz="0" w:space="0" w:color="auto"/>
                            <w:right w:val="none" w:sz="0" w:space="0" w:color="auto"/>
                          </w:divBdr>
                        </w:div>
                      </w:divsChild>
                    </w:div>
                    <w:div w:id="294144780">
                      <w:marLeft w:val="0"/>
                      <w:marRight w:val="0"/>
                      <w:marTop w:val="0"/>
                      <w:marBottom w:val="0"/>
                      <w:divBdr>
                        <w:top w:val="none" w:sz="0" w:space="0" w:color="auto"/>
                        <w:left w:val="none" w:sz="0" w:space="0" w:color="auto"/>
                        <w:bottom w:val="none" w:sz="0" w:space="0" w:color="auto"/>
                        <w:right w:val="none" w:sz="0" w:space="0" w:color="auto"/>
                      </w:divBdr>
                    </w:div>
                    <w:div w:id="294144835">
                      <w:marLeft w:val="0"/>
                      <w:marRight w:val="0"/>
                      <w:marTop w:val="0"/>
                      <w:marBottom w:val="0"/>
                      <w:divBdr>
                        <w:top w:val="none" w:sz="0" w:space="0" w:color="auto"/>
                        <w:left w:val="none" w:sz="0" w:space="0" w:color="auto"/>
                        <w:bottom w:val="none" w:sz="0" w:space="0" w:color="auto"/>
                        <w:right w:val="none" w:sz="0" w:space="0" w:color="auto"/>
                      </w:divBdr>
                    </w:div>
                    <w:div w:id="294144844">
                      <w:marLeft w:val="0"/>
                      <w:marRight w:val="0"/>
                      <w:marTop w:val="0"/>
                      <w:marBottom w:val="0"/>
                      <w:divBdr>
                        <w:top w:val="none" w:sz="0" w:space="0" w:color="auto"/>
                        <w:left w:val="none" w:sz="0" w:space="0" w:color="auto"/>
                        <w:bottom w:val="none" w:sz="0" w:space="0" w:color="auto"/>
                        <w:right w:val="none" w:sz="0" w:space="0" w:color="auto"/>
                      </w:divBdr>
                      <w:divsChild>
                        <w:div w:id="294149288">
                          <w:marLeft w:val="0"/>
                          <w:marRight w:val="0"/>
                          <w:marTop w:val="0"/>
                          <w:marBottom w:val="0"/>
                          <w:divBdr>
                            <w:top w:val="none" w:sz="0" w:space="0" w:color="auto"/>
                            <w:left w:val="none" w:sz="0" w:space="0" w:color="auto"/>
                            <w:bottom w:val="none" w:sz="0" w:space="0" w:color="auto"/>
                            <w:right w:val="none" w:sz="0" w:space="0" w:color="auto"/>
                          </w:divBdr>
                        </w:div>
                      </w:divsChild>
                    </w:div>
                    <w:div w:id="294144970">
                      <w:marLeft w:val="0"/>
                      <w:marRight w:val="0"/>
                      <w:marTop w:val="0"/>
                      <w:marBottom w:val="0"/>
                      <w:divBdr>
                        <w:top w:val="none" w:sz="0" w:space="0" w:color="auto"/>
                        <w:left w:val="none" w:sz="0" w:space="0" w:color="auto"/>
                        <w:bottom w:val="none" w:sz="0" w:space="0" w:color="auto"/>
                        <w:right w:val="none" w:sz="0" w:space="0" w:color="auto"/>
                      </w:divBdr>
                    </w:div>
                    <w:div w:id="294145130">
                      <w:marLeft w:val="0"/>
                      <w:marRight w:val="0"/>
                      <w:marTop w:val="0"/>
                      <w:marBottom w:val="0"/>
                      <w:divBdr>
                        <w:top w:val="none" w:sz="0" w:space="0" w:color="auto"/>
                        <w:left w:val="none" w:sz="0" w:space="0" w:color="auto"/>
                        <w:bottom w:val="none" w:sz="0" w:space="0" w:color="auto"/>
                        <w:right w:val="none" w:sz="0" w:space="0" w:color="auto"/>
                      </w:divBdr>
                    </w:div>
                    <w:div w:id="294145180">
                      <w:marLeft w:val="0"/>
                      <w:marRight w:val="0"/>
                      <w:marTop w:val="0"/>
                      <w:marBottom w:val="0"/>
                      <w:divBdr>
                        <w:top w:val="none" w:sz="0" w:space="0" w:color="auto"/>
                        <w:left w:val="none" w:sz="0" w:space="0" w:color="auto"/>
                        <w:bottom w:val="none" w:sz="0" w:space="0" w:color="auto"/>
                        <w:right w:val="none" w:sz="0" w:space="0" w:color="auto"/>
                      </w:divBdr>
                    </w:div>
                    <w:div w:id="294145214">
                      <w:marLeft w:val="0"/>
                      <w:marRight w:val="0"/>
                      <w:marTop w:val="0"/>
                      <w:marBottom w:val="0"/>
                      <w:divBdr>
                        <w:top w:val="none" w:sz="0" w:space="0" w:color="auto"/>
                        <w:left w:val="none" w:sz="0" w:space="0" w:color="auto"/>
                        <w:bottom w:val="none" w:sz="0" w:space="0" w:color="auto"/>
                        <w:right w:val="none" w:sz="0" w:space="0" w:color="auto"/>
                      </w:divBdr>
                      <w:divsChild>
                        <w:div w:id="294143870">
                          <w:marLeft w:val="0"/>
                          <w:marRight w:val="0"/>
                          <w:marTop w:val="0"/>
                          <w:marBottom w:val="0"/>
                          <w:divBdr>
                            <w:top w:val="none" w:sz="0" w:space="0" w:color="auto"/>
                            <w:left w:val="none" w:sz="0" w:space="0" w:color="auto"/>
                            <w:bottom w:val="none" w:sz="0" w:space="0" w:color="auto"/>
                            <w:right w:val="none" w:sz="0" w:space="0" w:color="auto"/>
                          </w:divBdr>
                        </w:div>
                      </w:divsChild>
                    </w:div>
                    <w:div w:id="294145256">
                      <w:marLeft w:val="0"/>
                      <w:marRight w:val="0"/>
                      <w:marTop w:val="0"/>
                      <w:marBottom w:val="0"/>
                      <w:divBdr>
                        <w:top w:val="none" w:sz="0" w:space="0" w:color="auto"/>
                        <w:left w:val="none" w:sz="0" w:space="0" w:color="auto"/>
                        <w:bottom w:val="none" w:sz="0" w:space="0" w:color="auto"/>
                        <w:right w:val="none" w:sz="0" w:space="0" w:color="auto"/>
                      </w:divBdr>
                    </w:div>
                    <w:div w:id="294145312">
                      <w:marLeft w:val="0"/>
                      <w:marRight w:val="0"/>
                      <w:marTop w:val="0"/>
                      <w:marBottom w:val="0"/>
                      <w:divBdr>
                        <w:top w:val="none" w:sz="0" w:space="0" w:color="auto"/>
                        <w:left w:val="none" w:sz="0" w:space="0" w:color="auto"/>
                        <w:bottom w:val="none" w:sz="0" w:space="0" w:color="auto"/>
                        <w:right w:val="none" w:sz="0" w:space="0" w:color="auto"/>
                      </w:divBdr>
                    </w:div>
                    <w:div w:id="294145332">
                      <w:marLeft w:val="0"/>
                      <w:marRight w:val="0"/>
                      <w:marTop w:val="0"/>
                      <w:marBottom w:val="0"/>
                      <w:divBdr>
                        <w:top w:val="none" w:sz="0" w:space="0" w:color="auto"/>
                        <w:left w:val="none" w:sz="0" w:space="0" w:color="auto"/>
                        <w:bottom w:val="none" w:sz="0" w:space="0" w:color="auto"/>
                        <w:right w:val="none" w:sz="0" w:space="0" w:color="auto"/>
                      </w:divBdr>
                      <w:divsChild>
                        <w:div w:id="294146824">
                          <w:marLeft w:val="0"/>
                          <w:marRight w:val="0"/>
                          <w:marTop w:val="0"/>
                          <w:marBottom w:val="0"/>
                          <w:divBdr>
                            <w:top w:val="none" w:sz="0" w:space="0" w:color="auto"/>
                            <w:left w:val="none" w:sz="0" w:space="0" w:color="auto"/>
                            <w:bottom w:val="none" w:sz="0" w:space="0" w:color="auto"/>
                            <w:right w:val="none" w:sz="0" w:space="0" w:color="auto"/>
                          </w:divBdr>
                        </w:div>
                      </w:divsChild>
                    </w:div>
                    <w:div w:id="294145346">
                      <w:marLeft w:val="0"/>
                      <w:marRight w:val="0"/>
                      <w:marTop w:val="0"/>
                      <w:marBottom w:val="0"/>
                      <w:divBdr>
                        <w:top w:val="none" w:sz="0" w:space="0" w:color="auto"/>
                        <w:left w:val="none" w:sz="0" w:space="0" w:color="auto"/>
                        <w:bottom w:val="none" w:sz="0" w:space="0" w:color="auto"/>
                        <w:right w:val="none" w:sz="0" w:space="0" w:color="auto"/>
                      </w:divBdr>
                    </w:div>
                    <w:div w:id="294145359">
                      <w:marLeft w:val="0"/>
                      <w:marRight w:val="0"/>
                      <w:marTop w:val="0"/>
                      <w:marBottom w:val="0"/>
                      <w:divBdr>
                        <w:top w:val="none" w:sz="0" w:space="0" w:color="auto"/>
                        <w:left w:val="none" w:sz="0" w:space="0" w:color="auto"/>
                        <w:bottom w:val="none" w:sz="0" w:space="0" w:color="auto"/>
                        <w:right w:val="none" w:sz="0" w:space="0" w:color="auto"/>
                      </w:divBdr>
                      <w:divsChild>
                        <w:div w:id="294150938">
                          <w:marLeft w:val="0"/>
                          <w:marRight w:val="0"/>
                          <w:marTop w:val="0"/>
                          <w:marBottom w:val="0"/>
                          <w:divBdr>
                            <w:top w:val="none" w:sz="0" w:space="0" w:color="auto"/>
                            <w:left w:val="none" w:sz="0" w:space="0" w:color="auto"/>
                            <w:bottom w:val="none" w:sz="0" w:space="0" w:color="auto"/>
                            <w:right w:val="none" w:sz="0" w:space="0" w:color="auto"/>
                          </w:divBdr>
                        </w:div>
                      </w:divsChild>
                    </w:div>
                    <w:div w:id="294145421">
                      <w:marLeft w:val="0"/>
                      <w:marRight w:val="0"/>
                      <w:marTop w:val="0"/>
                      <w:marBottom w:val="0"/>
                      <w:divBdr>
                        <w:top w:val="none" w:sz="0" w:space="0" w:color="auto"/>
                        <w:left w:val="none" w:sz="0" w:space="0" w:color="auto"/>
                        <w:bottom w:val="none" w:sz="0" w:space="0" w:color="auto"/>
                        <w:right w:val="none" w:sz="0" w:space="0" w:color="auto"/>
                      </w:divBdr>
                      <w:divsChild>
                        <w:div w:id="294157308">
                          <w:marLeft w:val="0"/>
                          <w:marRight w:val="0"/>
                          <w:marTop w:val="0"/>
                          <w:marBottom w:val="0"/>
                          <w:divBdr>
                            <w:top w:val="none" w:sz="0" w:space="0" w:color="auto"/>
                            <w:left w:val="none" w:sz="0" w:space="0" w:color="auto"/>
                            <w:bottom w:val="none" w:sz="0" w:space="0" w:color="auto"/>
                            <w:right w:val="none" w:sz="0" w:space="0" w:color="auto"/>
                          </w:divBdr>
                        </w:div>
                      </w:divsChild>
                    </w:div>
                    <w:div w:id="294145464">
                      <w:marLeft w:val="0"/>
                      <w:marRight w:val="0"/>
                      <w:marTop w:val="0"/>
                      <w:marBottom w:val="0"/>
                      <w:divBdr>
                        <w:top w:val="none" w:sz="0" w:space="0" w:color="auto"/>
                        <w:left w:val="none" w:sz="0" w:space="0" w:color="auto"/>
                        <w:bottom w:val="none" w:sz="0" w:space="0" w:color="auto"/>
                        <w:right w:val="none" w:sz="0" w:space="0" w:color="auto"/>
                      </w:divBdr>
                      <w:divsChild>
                        <w:div w:id="294155378">
                          <w:marLeft w:val="0"/>
                          <w:marRight w:val="0"/>
                          <w:marTop w:val="0"/>
                          <w:marBottom w:val="0"/>
                          <w:divBdr>
                            <w:top w:val="none" w:sz="0" w:space="0" w:color="auto"/>
                            <w:left w:val="none" w:sz="0" w:space="0" w:color="auto"/>
                            <w:bottom w:val="none" w:sz="0" w:space="0" w:color="auto"/>
                            <w:right w:val="none" w:sz="0" w:space="0" w:color="auto"/>
                          </w:divBdr>
                        </w:div>
                      </w:divsChild>
                    </w:div>
                    <w:div w:id="294145491">
                      <w:marLeft w:val="0"/>
                      <w:marRight w:val="0"/>
                      <w:marTop w:val="0"/>
                      <w:marBottom w:val="0"/>
                      <w:divBdr>
                        <w:top w:val="none" w:sz="0" w:space="0" w:color="auto"/>
                        <w:left w:val="none" w:sz="0" w:space="0" w:color="auto"/>
                        <w:bottom w:val="none" w:sz="0" w:space="0" w:color="auto"/>
                        <w:right w:val="none" w:sz="0" w:space="0" w:color="auto"/>
                      </w:divBdr>
                    </w:div>
                    <w:div w:id="294145499">
                      <w:marLeft w:val="0"/>
                      <w:marRight w:val="0"/>
                      <w:marTop w:val="0"/>
                      <w:marBottom w:val="0"/>
                      <w:divBdr>
                        <w:top w:val="none" w:sz="0" w:space="0" w:color="auto"/>
                        <w:left w:val="none" w:sz="0" w:space="0" w:color="auto"/>
                        <w:bottom w:val="none" w:sz="0" w:space="0" w:color="auto"/>
                        <w:right w:val="none" w:sz="0" w:space="0" w:color="auto"/>
                      </w:divBdr>
                    </w:div>
                    <w:div w:id="294145538">
                      <w:marLeft w:val="0"/>
                      <w:marRight w:val="0"/>
                      <w:marTop w:val="0"/>
                      <w:marBottom w:val="0"/>
                      <w:divBdr>
                        <w:top w:val="none" w:sz="0" w:space="0" w:color="auto"/>
                        <w:left w:val="none" w:sz="0" w:space="0" w:color="auto"/>
                        <w:bottom w:val="none" w:sz="0" w:space="0" w:color="auto"/>
                        <w:right w:val="none" w:sz="0" w:space="0" w:color="auto"/>
                      </w:divBdr>
                      <w:divsChild>
                        <w:div w:id="294153275">
                          <w:marLeft w:val="0"/>
                          <w:marRight w:val="0"/>
                          <w:marTop w:val="0"/>
                          <w:marBottom w:val="0"/>
                          <w:divBdr>
                            <w:top w:val="none" w:sz="0" w:space="0" w:color="auto"/>
                            <w:left w:val="none" w:sz="0" w:space="0" w:color="auto"/>
                            <w:bottom w:val="none" w:sz="0" w:space="0" w:color="auto"/>
                            <w:right w:val="none" w:sz="0" w:space="0" w:color="auto"/>
                          </w:divBdr>
                        </w:div>
                      </w:divsChild>
                    </w:div>
                    <w:div w:id="294145618">
                      <w:marLeft w:val="0"/>
                      <w:marRight w:val="0"/>
                      <w:marTop w:val="0"/>
                      <w:marBottom w:val="0"/>
                      <w:divBdr>
                        <w:top w:val="none" w:sz="0" w:space="0" w:color="auto"/>
                        <w:left w:val="none" w:sz="0" w:space="0" w:color="auto"/>
                        <w:bottom w:val="none" w:sz="0" w:space="0" w:color="auto"/>
                        <w:right w:val="none" w:sz="0" w:space="0" w:color="auto"/>
                      </w:divBdr>
                      <w:divsChild>
                        <w:div w:id="294141150">
                          <w:marLeft w:val="0"/>
                          <w:marRight w:val="0"/>
                          <w:marTop w:val="0"/>
                          <w:marBottom w:val="0"/>
                          <w:divBdr>
                            <w:top w:val="none" w:sz="0" w:space="0" w:color="auto"/>
                            <w:left w:val="none" w:sz="0" w:space="0" w:color="auto"/>
                            <w:bottom w:val="none" w:sz="0" w:space="0" w:color="auto"/>
                            <w:right w:val="none" w:sz="0" w:space="0" w:color="auto"/>
                          </w:divBdr>
                        </w:div>
                      </w:divsChild>
                    </w:div>
                    <w:div w:id="294145650">
                      <w:marLeft w:val="0"/>
                      <w:marRight w:val="0"/>
                      <w:marTop w:val="0"/>
                      <w:marBottom w:val="0"/>
                      <w:divBdr>
                        <w:top w:val="none" w:sz="0" w:space="0" w:color="auto"/>
                        <w:left w:val="none" w:sz="0" w:space="0" w:color="auto"/>
                        <w:bottom w:val="none" w:sz="0" w:space="0" w:color="auto"/>
                        <w:right w:val="none" w:sz="0" w:space="0" w:color="auto"/>
                      </w:divBdr>
                    </w:div>
                    <w:div w:id="294145655">
                      <w:marLeft w:val="0"/>
                      <w:marRight w:val="0"/>
                      <w:marTop w:val="0"/>
                      <w:marBottom w:val="0"/>
                      <w:divBdr>
                        <w:top w:val="none" w:sz="0" w:space="0" w:color="auto"/>
                        <w:left w:val="none" w:sz="0" w:space="0" w:color="auto"/>
                        <w:bottom w:val="none" w:sz="0" w:space="0" w:color="auto"/>
                        <w:right w:val="none" w:sz="0" w:space="0" w:color="auto"/>
                      </w:divBdr>
                    </w:div>
                    <w:div w:id="294145753">
                      <w:marLeft w:val="0"/>
                      <w:marRight w:val="0"/>
                      <w:marTop w:val="0"/>
                      <w:marBottom w:val="0"/>
                      <w:divBdr>
                        <w:top w:val="none" w:sz="0" w:space="0" w:color="auto"/>
                        <w:left w:val="none" w:sz="0" w:space="0" w:color="auto"/>
                        <w:bottom w:val="none" w:sz="0" w:space="0" w:color="auto"/>
                        <w:right w:val="none" w:sz="0" w:space="0" w:color="auto"/>
                      </w:divBdr>
                    </w:div>
                    <w:div w:id="294145777">
                      <w:marLeft w:val="0"/>
                      <w:marRight w:val="0"/>
                      <w:marTop w:val="0"/>
                      <w:marBottom w:val="0"/>
                      <w:divBdr>
                        <w:top w:val="none" w:sz="0" w:space="0" w:color="auto"/>
                        <w:left w:val="none" w:sz="0" w:space="0" w:color="auto"/>
                        <w:bottom w:val="none" w:sz="0" w:space="0" w:color="auto"/>
                        <w:right w:val="none" w:sz="0" w:space="0" w:color="auto"/>
                      </w:divBdr>
                      <w:divsChild>
                        <w:div w:id="294141045">
                          <w:marLeft w:val="0"/>
                          <w:marRight w:val="0"/>
                          <w:marTop w:val="0"/>
                          <w:marBottom w:val="0"/>
                          <w:divBdr>
                            <w:top w:val="none" w:sz="0" w:space="0" w:color="auto"/>
                            <w:left w:val="none" w:sz="0" w:space="0" w:color="auto"/>
                            <w:bottom w:val="none" w:sz="0" w:space="0" w:color="auto"/>
                            <w:right w:val="none" w:sz="0" w:space="0" w:color="auto"/>
                          </w:divBdr>
                        </w:div>
                      </w:divsChild>
                    </w:div>
                    <w:div w:id="294145782">
                      <w:marLeft w:val="0"/>
                      <w:marRight w:val="0"/>
                      <w:marTop w:val="0"/>
                      <w:marBottom w:val="0"/>
                      <w:divBdr>
                        <w:top w:val="none" w:sz="0" w:space="0" w:color="auto"/>
                        <w:left w:val="none" w:sz="0" w:space="0" w:color="auto"/>
                        <w:bottom w:val="none" w:sz="0" w:space="0" w:color="auto"/>
                        <w:right w:val="none" w:sz="0" w:space="0" w:color="auto"/>
                      </w:divBdr>
                      <w:divsChild>
                        <w:div w:id="294150279">
                          <w:marLeft w:val="0"/>
                          <w:marRight w:val="0"/>
                          <w:marTop w:val="0"/>
                          <w:marBottom w:val="0"/>
                          <w:divBdr>
                            <w:top w:val="none" w:sz="0" w:space="0" w:color="auto"/>
                            <w:left w:val="none" w:sz="0" w:space="0" w:color="auto"/>
                            <w:bottom w:val="none" w:sz="0" w:space="0" w:color="auto"/>
                            <w:right w:val="none" w:sz="0" w:space="0" w:color="auto"/>
                          </w:divBdr>
                        </w:div>
                      </w:divsChild>
                    </w:div>
                    <w:div w:id="294145800">
                      <w:marLeft w:val="0"/>
                      <w:marRight w:val="0"/>
                      <w:marTop w:val="0"/>
                      <w:marBottom w:val="0"/>
                      <w:divBdr>
                        <w:top w:val="none" w:sz="0" w:space="0" w:color="auto"/>
                        <w:left w:val="none" w:sz="0" w:space="0" w:color="auto"/>
                        <w:bottom w:val="none" w:sz="0" w:space="0" w:color="auto"/>
                        <w:right w:val="none" w:sz="0" w:space="0" w:color="auto"/>
                      </w:divBdr>
                    </w:div>
                    <w:div w:id="294145822">
                      <w:marLeft w:val="0"/>
                      <w:marRight w:val="0"/>
                      <w:marTop w:val="0"/>
                      <w:marBottom w:val="0"/>
                      <w:divBdr>
                        <w:top w:val="none" w:sz="0" w:space="0" w:color="auto"/>
                        <w:left w:val="none" w:sz="0" w:space="0" w:color="auto"/>
                        <w:bottom w:val="none" w:sz="0" w:space="0" w:color="auto"/>
                        <w:right w:val="none" w:sz="0" w:space="0" w:color="auto"/>
                      </w:divBdr>
                      <w:divsChild>
                        <w:div w:id="294144012">
                          <w:marLeft w:val="0"/>
                          <w:marRight w:val="0"/>
                          <w:marTop w:val="0"/>
                          <w:marBottom w:val="0"/>
                          <w:divBdr>
                            <w:top w:val="none" w:sz="0" w:space="0" w:color="auto"/>
                            <w:left w:val="none" w:sz="0" w:space="0" w:color="auto"/>
                            <w:bottom w:val="none" w:sz="0" w:space="0" w:color="auto"/>
                            <w:right w:val="none" w:sz="0" w:space="0" w:color="auto"/>
                          </w:divBdr>
                        </w:div>
                      </w:divsChild>
                    </w:div>
                    <w:div w:id="294145860">
                      <w:marLeft w:val="0"/>
                      <w:marRight w:val="0"/>
                      <w:marTop w:val="0"/>
                      <w:marBottom w:val="0"/>
                      <w:divBdr>
                        <w:top w:val="none" w:sz="0" w:space="0" w:color="auto"/>
                        <w:left w:val="none" w:sz="0" w:space="0" w:color="auto"/>
                        <w:bottom w:val="none" w:sz="0" w:space="0" w:color="auto"/>
                        <w:right w:val="none" w:sz="0" w:space="0" w:color="auto"/>
                      </w:divBdr>
                      <w:divsChild>
                        <w:div w:id="294147494">
                          <w:marLeft w:val="0"/>
                          <w:marRight w:val="0"/>
                          <w:marTop w:val="0"/>
                          <w:marBottom w:val="0"/>
                          <w:divBdr>
                            <w:top w:val="none" w:sz="0" w:space="0" w:color="auto"/>
                            <w:left w:val="none" w:sz="0" w:space="0" w:color="auto"/>
                            <w:bottom w:val="none" w:sz="0" w:space="0" w:color="auto"/>
                            <w:right w:val="none" w:sz="0" w:space="0" w:color="auto"/>
                          </w:divBdr>
                        </w:div>
                      </w:divsChild>
                    </w:div>
                    <w:div w:id="294145870">
                      <w:marLeft w:val="0"/>
                      <w:marRight w:val="0"/>
                      <w:marTop w:val="0"/>
                      <w:marBottom w:val="0"/>
                      <w:divBdr>
                        <w:top w:val="none" w:sz="0" w:space="0" w:color="auto"/>
                        <w:left w:val="none" w:sz="0" w:space="0" w:color="auto"/>
                        <w:bottom w:val="none" w:sz="0" w:space="0" w:color="auto"/>
                        <w:right w:val="none" w:sz="0" w:space="0" w:color="auto"/>
                      </w:divBdr>
                    </w:div>
                    <w:div w:id="294145877">
                      <w:marLeft w:val="0"/>
                      <w:marRight w:val="0"/>
                      <w:marTop w:val="0"/>
                      <w:marBottom w:val="0"/>
                      <w:divBdr>
                        <w:top w:val="none" w:sz="0" w:space="0" w:color="auto"/>
                        <w:left w:val="none" w:sz="0" w:space="0" w:color="auto"/>
                        <w:bottom w:val="none" w:sz="0" w:space="0" w:color="auto"/>
                        <w:right w:val="none" w:sz="0" w:space="0" w:color="auto"/>
                      </w:divBdr>
                    </w:div>
                    <w:div w:id="294145912">
                      <w:marLeft w:val="0"/>
                      <w:marRight w:val="0"/>
                      <w:marTop w:val="0"/>
                      <w:marBottom w:val="0"/>
                      <w:divBdr>
                        <w:top w:val="none" w:sz="0" w:space="0" w:color="auto"/>
                        <w:left w:val="none" w:sz="0" w:space="0" w:color="auto"/>
                        <w:bottom w:val="none" w:sz="0" w:space="0" w:color="auto"/>
                        <w:right w:val="none" w:sz="0" w:space="0" w:color="auto"/>
                      </w:divBdr>
                    </w:div>
                    <w:div w:id="294145937">
                      <w:marLeft w:val="0"/>
                      <w:marRight w:val="0"/>
                      <w:marTop w:val="0"/>
                      <w:marBottom w:val="0"/>
                      <w:divBdr>
                        <w:top w:val="none" w:sz="0" w:space="0" w:color="auto"/>
                        <w:left w:val="none" w:sz="0" w:space="0" w:color="auto"/>
                        <w:bottom w:val="none" w:sz="0" w:space="0" w:color="auto"/>
                        <w:right w:val="none" w:sz="0" w:space="0" w:color="auto"/>
                      </w:divBdr>
                      <w:divsChild>
                        <w:div w:id="294145563">
                          <w:marLeft w:val="0"/>
                          <w:marRight w:val="0"/>
                          <w:marTop w:val="0"/>
                          <w:marBottom w:val="0"/>
                          <w:divBdr>
                            <w:top w:val="none" w:sz="0" w:space="0" w:color="auto"/>
                            <w:left w:val="none" w:sz="0" w:space="0" w:color="auto"/>
                            <w:bottom w:val="none" w:sz="0" w:space="0" w:color="auto"/>
                            <w:right w:val="none" w:sz="0" w:space="0" w:color="auto"/>
                          </w:divBdr>
                        </w:div>
                      </w:divsChild>
                    </w:div>
                    <w:div w:id="294145939">
                      <w:marLeft w:val="0"/>
                      <w:marRight w:val="0"/>
                      <w:marTop w:val="0"/>
                      <w:marBottom w:val="0"/>
                      <w:divBdr>
                        <w:top w:val="none" w:sz="0" w:space="0" w:color="auto"/>
                        <w:left w:val="none" w:sz="0" w:space="0" w:color="auto"/>
                        <w:bottom w:val="none" w:sz="0" w:space="0" w:color="auto"/>
                        <w:right w:val="none" w:sz="0" w:space="0" w:color="auto"/>
                      </w:divBdr>
                    </w:div>
                    <w:div w:id="294146065">
                      <w:marLeft w:val="0"/>
                      <w:marRight w:val="0"/>
                      <w:marTop w:val="0"/>
                      <w:marBottom w:val="0"/>
                      <w:divBdr>
                        <w:top w:val="none" w:sz="0" w:space="0" w:color="auto"/>
                        <w:left w:val="none" w:sz="0" w:space="0" w:color="auto"/>
                        <w:bottom w:val="none" w:sz="0" w:space="0" w:color="auto"/>
                        <w:right w:val="none" w:sz="0" w:space="0" w:color="auto"/>
                      </w:divBdr>
                    </w:div>
                    <w:div w:id="294146096">
                      <w:marLeft w:val="0"/>
                      <w:marRight w:val="0"/>
                      <w:marTop w:val="0"/>
                      <w:marBottom w:val="0"/>
                      <w:divBdr>
                        <w:top w:val="none" w:sz="0" w:space="0" w:color="auto"/>
                        <w:left w:val="none" w:sz="0" w:space="0" w:color="auto"/>
                        <w:bottom w:val="none" w:sz="0" w:space="0" w:color="auto"/>
                        <w:right w:val="none" w:sz="0" w:space="0" w:color="auto"/>
                      </w:divBdr>
                      <w:divsChild>
                        <w:div w:id="294155655">
                          <w:marLeft w:val="0"/>
                          <w:marRight w:val="0"/>
                          <w:marTop w:val="0"/>
                          <w:marBottom w:val="0"/>
                          <w:divBdr>
                            <w:top w:val="none" w:sz="0" w:space="0" w:color="auto"/>
                            <w:left w:val="none" w:sz="0" w:space="0" w:color="auto"/>
                            <w:bottom w:val="none" w:sz="0" w:space="0" w:color="auto"/>
                            <w:right w:val="none" w:sz="0" w:space="0" w:color="auto"/>
                          </w:divBdr>
                        </w:div>
                      </w:divsChild>
                    </w:div>
                    <w:div w:id="294146267">
                      <w:marLeft w:val="0"/>
                      <w:marRight w:val="0"/>
                      <w:marTop w:val="0"/>
                      <w:marBottom w:val="0"/>
                      <w:divBdr>
                        <w:top w:val="none" w:sz="0" w:space="0" w:color="auto"/>
                        <w:left w:val="none" w:sz="0" w:space="0" w:color="auto"/>
                        <w:bottom w:val="none" w:sz="0" w:space="0" w:color="auto"/>
                        <w:right w:val="none" w:sz="0" w:space="0" w:color="auto"/>
                      </w:divBdr>
                      <w:divsChild>
                        <w:div w:id="294153557">
                          <w:marLeft w:val="0"/>
                          <w:marRight w:val="0"/>
                          <w:marTop w:val="0"/>
                          <w:marBottom w:val="0"/>
                          <w:divBdr>
                            <w:top w:val="none" w:sz="0" w:space="0" w:color="auto"/>
                            <w:left w:val="none" w:sz="0" w:space="0" w:color="auto"/>
                            <w:bottom w:val="none" w:sz="0" w:space="0" w:color="auto"/>
                            <w:right w:val="none" w:sz="0" w:space="0" w:color="auto"/>
                          </w:divBdr>
                        </w:div>
                      </w:divsChild>
                    </w:div>
                    <w:div w:id="294146275">
                      <w:marLeft w:val="0"/>
                      <w:marRight w:val="0"/>
                      <w:marTop w:val="0"/>
                      <w:marBottom w:val="0"/>
                      <w:divBdr>
                        <w:top w:val="none" w:sz="0" w:space="0" w:color="auto"/>
                        <w:left w:val="none" w:sz="0" w:space="0" w:color="auto"/>
                        <w:bottom w:val="none" w:sz="0" w:space="0" w:color="auto"/>
                        <w:right w:val="none" w:sz="0" w:space="0" w:color="auto"/>
                      </w:divBdr>
                      <w:divsChild>
                        <w:div w:id="294146025">
                          <w:marLeft w:val="0"/>
                          <w:marRight w:val="0"/>
                          <w:marTop w:val="0"/>
                          <w:marBottom w:val="0"/>
                          <w:divBdr>
                            <w:top w:val="none" w:sz="0" w:space="0" w:color="auto"/>
                            <w:left w:val="none" w:sz="0" w:space="0" w:color="auto"/>
                            <w:bottom w:val="none" w:sz="0" w:space="0" w:color="auto"/>
                            <w:right w:val="none" w:sz="0" w:space="0" w:color="auto"/>
                          </w:divBdr>
                        </w:div>
                      </w:divsChild>
                    </w:div>
                    <w:div w:id="294146287">
                      <w:marLeft w:val="0"/>
                      <w:marRight w:val="0"/>
                      <w:marTop w:val="0"/>
                      <w:marBottom w:val="0"/>
                      <w:divBdr>
                        <w:top w:val="none" w:sz="0" w:space="0" w:color="auto"/>
                        <w:left w:val="none" w:sz="0" w:space="0" w:color="auto"/>
                        <w:bottom w:val="none" w:sz="0" w:space="0" w:color="auto"/>
                        <w:right w:val="none" w:sz="0" w:space="0" w:color="auto"/>
                      </w:divBdr>
                    </w:div>
                    <w:div w:id="294146296">
                      <w:marLeft w:val="0"/>
                      <w:marRight w:val="0"/>
                      <w:marTop w:val="0"/>
                      <w:marBottom w:val="0"/>
                      <w:divBdr>
                        <w:top w:val="none" w:sz="0" w:space="0" w:color="auto"/>
                        <w:left w:val="none" w:sz="0" w:space="0" w:color="auto"/>
                        <w:bottom w:val="none" w:sz="0" w:space="0" w:color="auto"/>
                        <w:right w:val="none" w:sz="0" w:space="0" w:color="auto"/>
                      </w:divBdr>
                    </w:div>
                    <w:div w:id="294146335">
                      <w:marLeft w:val="0"/>
                      <w:marRight w:val="0"/>
                      <w:marTop w:val="0"/>
                      <w:marBottom w:val="0"/>
                      <w:divBdr>
                        <w:top w:val="none" w:sz="0" w:space="0" w:color="auto"/>
                        <w:left w:val="none" w:sz="0" w:space="0" w:color="auto"/>
                        <w:bottom w:val="none" w:sz="0" w:space="0" w:color="auto"/>
                        <w:right w:val="none" w:sz="0" w:space="0" w:color="auto"/>
                      </w:divBdr>
                    </w:div>
                    <w:div w:id="294146366">
                      <w:marLeft w:val="0"/>
                      <w:marRight w:val="0"/>
                      <w:marTop w:val="0"/>
                      <w:marBottom w:val="0"/>
                      <w:divBdr>
                        <w:top w:val="none" w:sz="0" w:space="0" w:color="auto"/>
                        <w:left w:val="none" w:sz="0" w:space="0" w:color="auto"/>
                        <w:bottom w:val="none" w:sz="0" w:space="0" w:color="auto"/>
                        <w:right w:val="none" w:sz="0" w:space="0" w:color="auto"/>
                      </w:divBdr>
                    </w:div>
                    <w:div w:id="294146403">
                      <w:marLeft w:val="0"/>
                      <w:marRight w:val="0"/>
                      <w:marTop w:val="0"/>
                      <w:marBottom w:val="0"/>
                      <w:divBdr>
                        <w:top w:val="none" w:sz="0" w:space="0" w:color="auto"/>
                        <w:left w:val="none" w:sz="0" w:space="0" w:color="auto"/>
                        <w:bottom w:val="none" w:sz="0" w:space="0" w:color="auto"/>
                        <w:right w:val="none" w:sz="0" w:space="0" w:color="auto"/>
                      </w:divBdr>
                      <w:divsChild>
                        <w:div w:id="294149735">
                          <w:marLeft w:val="0"/>
                          <w:marRight w:val="0"/>
                          <w:marTop w:val="0"/>
                          <w:marBottom w:val="0"/>
                          <w:divBdr>
                            <w:top w:val="none" w:sz="0" w:space="0" w:color="auto"/>
                            <w:left w:val="none" w:sz="0" w:space="0" w:color="auto"/>
                            <w:bottom w:val="none" w:sz="0" w:space="0" w:color="auto"/>
                            <w:right w:val="none" w:sz="0" w:space="0" w:color="auto"/>
                          </w:divBdr>
                        </w:div>
                      </w:divsChild>
                    </w:div>
                    <w:div w:id="294146509">
                      <w:marLeft w:val="0"/>
                      <w:marRight w:val="0"/>
                      <w:marTop w:val="0"/>
                      <w:marBottom w:val="0"/>
                      <w:divBdr>
                        <w:top w:val="none" w:sz="0" w:space="0" w:color="auto"/>
                        <w:left w:val="none" w:sz="0" w:space="0" w:color="auto"/>
                        <w:bottom w:val="none" w:sz="0" w:space="0" w:color="auto"/>
                        <w:right w:val="none" w:sz="0" w:space="0" w:color="auto"/>
                      </w:divBdr>
                      <w:divsChild>
                        <w:div w:id="294151645">
                          <w:marLeft w:val="0"/>
                          <w:marRight w:val="0"/>
                          <w:marTop w:val="0"/>
                          <w:marBottom w:val="0"/>
                          <w:divBdr>
                            <w:top w:val="none" w:sz="0" w:space="0" w:color="auto"/>
                            <w:left w:val="none" w:sz="0" w:space="0" w:color="auto"/>
                            <w:bottom w:val="none" w:sz="0" w:space="0" w:color="auto"/>
                            <w:right w:val="none" w:sz="0" w:space="0" w:color="auto"/>
                          </w:divBdr>
                        </w:div>
                      </w:divsChild>
                    </w:div>
                    <w:div w:id="294146572">
                      <w:marLeft w:val="0"/>
                      <w:marRight w:val="0"/>
                      <w:marTop w:val="0"/>
                      <w:marBottom w:val="0"/>
                      <w:divBdr>
                        <w:top w:val="none" w:sz="0" w:space="0" w:color="auto"/>
                        <w:left w:val="none" w:sz="0" w:space="0" w:color="auto"/>
                        <w:bottom w:val="none" w:sz="0" w:space="0" w:color="auto"/>
                        <w:right w:val="none" w:sz="0" w:space="0" w:color="auto"/>
                      </w:divBdr>
                    </w:div>
                    <w:div w:id="294146648">
                      <w:marLeft w:val="0"/>
                      <w:marRight w:val="0"/>
                      <w:marTop w:val="0"/>
                      <w:marBottom w:val="0"/>
                      <w:divBdr>
                        <w:top w:val="none" w:sz="0" w:space="0" w:color="auto"/>
                        <w:left w:val="none" w:sz="0" w:space="0" w:color="auto"/>
                        <w:bottom w:val="none" w:sz="0" w:space="0" w:color="auto"/>
                        <w:right w:val="none" w:sz="0" w:space="0" w:color="auto"/>
                      </w:divBdr>
                      <w:divsChild>
                        <w:div w:id="294153884">
                          <w:marLeft w:val="0"/>
                          <w:marRight w:val="0"/>
                          <w:marTop w:val="0"/>
                          <w:marBottom w:val="0"/>
                          <w:divBdr>
                            <w:top w:val="none" w:sz="0" w:space="0" w:color="auto"/>
                            <w:left w:val="none" w:sz="0" w:space="0" w:color="auto"/>
                            <w:bottom w:val="none" w:sz="0" w:space="0" w:color="auto"/>
                            <w:right w:val="none" w:sz="0" w:space="0" w:color="auto"/>
                          </w:divBdr>
                        </w:div>
                      </w:divsChild>
                    </w:div>
                    <w:div w:id="294146734">
                      <w:marLeft w:val="0"/>
                      <w:marRight w:val="0"/>
                      <w:marTop w:val="0"/>
                      <w:marBottom w:val="0"/>
                      <w:divBdr>
                        <w:top w:val="none" w:sz="0" w:space="0" w:color="auto"/>
                        <w:left w:val="none" w:sz="0" w:space="0" w:color="auto"/>
                        <w:bottom w:val="none" w:sz="0" w:space="0" w:color="auto"/>
                        <w:right w:val="none" w:sz="0" w:space="0" w:color="auto"/>
                      </w:divBdr>
                      <w:divsChild>
                        <w:div w:id="294149308">
                          <w:marLeft w:val="0"/>
                          <w:marRight w:val="0"/>
                          <w:marTop w:val="0"/>
                          <w:marBottom w:val="0"/>
                          <w:divBdr>
                            <w:top w:val="none" w:sz="0" w:space="0" w:color="auto"/>
                            <w:left w:val="none" w:sz="0" w:space="0" w:color="auto"/>
                            <w:bottom w:val="none" w:sz="0" w:space="0" w:color="auto"/>
                            <w:right w:val="none" w:sz="0" w:space="0" w:color="auto"/>
                          </w:divBdr>
                        </w:div>
                      </w:divsChild>
                    </w:div>
                    <w:div w:id="294146777">
                      <w:marLeft w:val="0"/>
                      <w:marRight w:val="0"/>
                      <w:marTop w:val="0"/>
                      <w:marBottom w:val="0"/>
                      <w:divBdr>
                        <w:top w:val="none" w:sz="0" w:space="0" w:color="auto"/>
                        <w:left w:val="none" w:sz="0" w:space="0" w:color="auto"/>
                        <w:bottom w:val="none" w:sz="0" w:space="0" w:color="auto"/>
                        <w:right w:val="none" w:sz="0" w:space="0" w:color="auto"/>
                      </w:divBdr>
                      <w:divsChild>
                        <w:div w:id="294140288">
                          <w:marLeft w:val="0"/>
                          <w:marRight w:val="0"/>
                          <w:marTop w:val="0"/>
                          <w:marBottom w:val="0"/>
                          <w:divBdr>
                            <w:top w:val="none" w:sz="0" w:space="0" w:color="auto"/>
                            <w:left w:val="none" w:sz="0" w:space="0" w:color="auto"/>
                            <w:bottom w:val="none" w:sz="0" w:space="0" w:color="auto"/>
                            <w:right w:val="none" w:sz="0" w:space="0" w:color="auto"/>
                          </w:divBdr>
                        </w:div>
                      </w:divsChild>
                    </w:div>
                    <w:div w:id="294146779">
                      <w:marLeft w:val="0"/>
                      <w:marRight w:val="0"/>
                      <w:marTop w:val="0"/>
                      <w:marBottom w:val="0"/>
                      <w:divBdr>
                        <w:top w:val="none" w:sz="0" w:space="0" w:color="auto"/>
                        <w:left w:val="none" w:sz="0" w:space="0" w:color="auto"/>
                        <w:bottom w:val="none" w:sz="0" w:space="0" w:color="auto"/>
                        <w:right w:val="none" w:sz="0" w:space="0" w:color="auto"/>
                      </w:divBdr>
                    </w:div>
                    <w:div w:id="294146801">
                      <w:marLeft w:val="0"/>
                      <w:marRight w:val="0"/>
                      <w:marTop w:val="0"/>
                      <w:marBottom w:val="0"/>
                      <w:divBdr>
                        <w:top w:val="none" w:sz="0" w:space="0" w:color="auto"/>
                        <w:left w:val="none" w:sz="0" w:space="0" w:color="auto"/>
                        <w:bottom w:val="none" w:sz="0" w:space="0" w:color="auto"/>
                        <w:right w:val="none" w:sz="0" w:space="0" w:color="auto"/>
                      </w:divBdr>
                    </w:div>
                    <w:div w:id="294146802">
                      <w:marLeft w:val="0"/>
                      <w:marRight w:val="0"/>
                      <w:marTop w:val="0"/>
                      <w:marBottom w:val="0"/>
                      <w:divBdr>
                        <w:top w:val="none" w:sz="0" w:space="0" w:color="auto"/>
                        <w:left w:val="none" w:sz="0" w:space="0" w:color="auto"/>
                        <w:bottom w:val="none" w:sz="0" w:space="0" w:color="auto"/>
                        <w:right w:val="none" w:sz="0" w:space="0" w:color="auto"/>
                      </w:divBdr>
                    </w:div>
                    <w:div w:id="294146855">
                      <w:marLeft w:val="0"/>
                      <w:marRight w:val="0"/>
                      <w:marTop w:val="0"/>
                      <w:marBottom w:val="0"/>
                      <w:divBdr>
                        <w:top w:val="none" w:sz="0" w:space="0" w:color="auto"/>
                        <w:left w:val="none" w:sz="0" w:space="0" w:color="auto"/>
                        <w:bottom w:val="none" w:sz="0" w:space="0" w:color="auto"/>
                        <w:right w:val="none" w:sz="0" w:space="0" w:color="auto"/>
                      </w:divBdr>
                      <w:divsChild>
                        <w:div w:id="294150228">
                          <w:marLeft w:val="0"/>
                          <w:marRight w:val="0"/>
                          <w:marTop w:val="0"/>
                          <w:marBottom w:val="0"/>
                          <w:divBdr>
                            <w:top w:val="none" w:sz="0" w:space="0" w:color="auto"/>
                            <w:left w:val="none" w:sz="0" w:space="0" w:color="auto"/>
                            <w:bottom w:val="none" w:sz="0" w:space="0" w:color="auto"/>
                            <w:right w:val="none" w:sz="0" w:space="0" w:color="auto"/>
                          </w:divBdr>
                        </w:div>
                      </w:divsChild>
                    </w:div>
                    <w:div w:id="294146892">
                      <w:marLeft w:val="0"/>
                      <w:marRight w:val="0"/>
                      <w:marTop w:val="0"/>
                      <w:marBottom w:val="0"/>
                      <w:divBdr>
                        <w:top w:val="none" w:sz="0" w:space="0" w:color="auto"/>
                        <w:left w:val="none" w:sz="0" w:space="0" w:color="auto"/>
                        <w:bottom w:val="none" w:sz="0" w:space="0" w:color="auto"/>
                        <w:right w:val="none" w:sz="0" w:space="0" w:color="auto"/>
                      </w:divBdr>
                      <w:divsChild>
                        <w:div w:id="294143038">
                          <w:marLeft w:val="0"/>
                          <w:marRight w:val="0"/>
                          <w:marTop w:val="0"/>
                          <w:marBottom w:val="0"/>
                          <w:divBdr>
                            <w:top w:val="none" w:sz="0" w:space="0" w:color="auto"/>
                            <w:left w:val="none" w:sz="0" w:space="0" w:color="auto"/>
                            <w:bottom w:val="none" w:sz="0" w:space="0" w:color="auto"/>
                            <w:right w:val="none" w:sz="0" w:space="0" w:color="auto"/>
                          </w:divBdr>
                        </w:div>
                      </w:divsChild>
                    </w:div>
                    <w:div w:id="294146901">
                      <w:marLeft w:val="0"/>
                      <w:marRight w:val="0"/>
                      <w:marTop w:val="0"/>
                      <w:marBottom w:val="0"/>
                      <w:divBdr>
                        <w:top w:val="none" w:sz="0" w:space="0" w:color="auto"/>
                        <w:left w:val="none" w:sz="0" w:space="0" w:color="auto"/>
                        <w:bottom w:val="none" w:sz="0" w:space="0" w:color="auto"/>
                        <w:right w:val="none" w:sz="0" w:space="0" w:color="auto"/>
                      </w:divBdr>
                    </w:div>
                    <w:div w:id="294146925">
                      <w:marLeft w:val="0"/>
                      <w:marRight w:val="0"/>
                      <w:marTop w:val="0"/>
                      <w:marBottom w:val="0"/>
                      <w:divBdr>
                        <w:top w:val="none" w:sz="0" w:space="0" w:color="auto"/>
                        <w:left w:val="none" w:sz="0" w:space="0" w:color="auto"/>
                        <w:bottom w:val="none" w:sz="0" w:space="0" w:color="auto"/>
                        <w:right w:val="none" w:sz="0" w:space="0" w:color="auto"/>
                      </w:divBdr>
                    </w:div>
                    <w:div w:id="294146991">
                      <w:marLeft w:val="0"/>
                      <w:marRight w:val="0"/>
                      <w:marTop w:val="0"/>
                      <w:marBottom w:val="0"/>
                      <w:divBdr>
                        <w:top w:val="none" w:sz="0" w:space="0" w:color="auto"/>
                        <w:left w:val="none" w:sz="0" w:space="0" w:color="auto"/>
                        <w:bottom w:val="none" w:sz="0" w:space="0" w:color="auto"/>
                        <w:right w:val="none" w:sz="0" w:space="0" w:color="auto"/>
                      </w:divBdr>
                    </w:div>
                    <w:div w:id="294147069">
                      <w:marLeft w:val="0"/>
                      <w:marRight w:val="0"/>
                      <w:marTop w:val="0"/>
                      <w:marBottom w:val="0"/>
                      <w:divBdr>
                        <w:top w:val="none" w:sz="0" w:space="0" w:color="auto"/>
                        <w:left w:val="none" w:sz="0" w:space="0" w:color="auto"/>
                        <w:bottom w:val="none" w:sz="0" w:space="0" w:color="auto"/>
                        <w:right w:val="none" w:sz="0" w:space="0" w:color="auto"/>
                      </w:divBdr>
                      <w:divsChild>
                        <w:div w:id="294139056">
                          <w:marLeft w:val="0"/>
                          <w:marRight w:val="0"/>
                          <w:marTop w:val="0"/>
                          <w:marBottom w:val="0"/>
                          <w:divBdr>
                            <w:top w:val="none" w:sz="0" w:space="0" w:color="auto"/>
                            <w:left w:val="none" w:sz="0" w:space="0" w:color="auto"/>
                            <w:bottom w:val="none" w:sz="0" w:space="0" w:color="auto"/>
                            <w:right w:val="none" w:sz="0" w:space="0" w:color="auto"/>
                          </w:divBdr>
                        </w:div>
                      </w:divsChild>
                    </w:div>
                    <w:div w:id="294147183">
                      <w:marLeft w:val="0"/>
                      <w:marRight w:val="0"/>
                      <w:marTop w:val="0"/>
                      <w:marBottom w:val="0"/>
                      <w:divBdr>
                        <w:top w:val="none" w:sz="0" w:space="0" w:color="auto"/>
                        <w:left w:val="none" w:sz="0" w:space="0" w:color="auto"/>
                        <w:bottom w:val="none" w:sz="0" w:space="0" w:color="auto"/>
                        <w:right w:val="none" w:sz="0" w:space="0" w:color="auto"/>
                      </w:divBdr>
                    </w:div>
                    <w:div w:id="294147185">
                      <w:marLeft w:val="0"/>
                      <w:marRight w:val="0"/>
                      <w:marTop w:val="0"/>
                      <w:marBottom w:val="0"/>
                      <w:divBdr>
                        <w:top w:val="none" w:sz="0" w:space="0" w:color="auto"/>
                        <w:left w:val="none" w:sz="0" w:space="0" w:color="auto"/>
                        <w:bottom w:val="none" w:sz="0" w:space="0" w:color="auto"/>
                        <w:right w:val="none" w:sz="0" w:space="0" w:color="auto"/>
                      </w:divBdr>
                      <w:divsChild>
                        <w:div w:id="294139683">
                          <w:marLeft w:val="0"/>
                          <w:marRight w:val="0"/>
                          <w:marTop w:val="0"/>
                          <w:marBottom w:val="0"/>
                          <w:divBdr>
                            <w:top w:val="none" w:sz="0" w:space="0" w:color="auto"/>
                            <w:left w:val="none" w:sz="0" w:space="0" w:color="auto"/>
                            <w:bottom w:val="none" w:sz="0" w:space="0" w:color="auto"/>
                            <w:right w:val="none" w:sz="0" w:space="0" w:color="auto"/>
                          </w:divBdr>
                        </w:div>
                      </w:divsChild>
                    </w:div>
                    <w:div w:id="294147218">
                      <w:marLeft w:val="0"/>
                      <w:marRight w:val="0"/>
                      <w:marTop w:val="0"/>
                      <w:marBottom w:val="0"/>
                      <w:divBdr>
                        <w:top w:val="none" w:sz="0" w:space="0" w:color="auto"/>
                        <w:left w:val="none" w:sz="0" w:space="0" w:color="auto"/>
                        <w:bottom w:val="none" w:sz="0" w:space="0" w:color="auto"/>
                        <w:right w:val="none" w:sz="0" w:space="0" w:color="auto"/>
                      </w:divBdr>
                    </w:div>
                    <w:div w:id="294147303">
                      <w:marLeft w:val="0"/>
                      <w:marRight w:val="0"/>
                      <w:marTop w:val="0"/>
                      <w:marBottom w:val="0"/>
                      <w:divBdr>
                        <w:top w:val="none" w:sz="0" w:space="0" w:color="auto"/>
                        <w:left w:val="none" w:sz="0" w:space="0" w:color="auto"/>
                        <w:bottom w:val="none" w:sz="0" w:space="0" w:color="auto"/>
                        <w:right w:val="none" w:sz="0" w:space="0" w:color="auto"/>
                      </w:divBdr>
                    </w:div>
                    <w:div w:id="294147372">
                      <w:marLeft w:val="0"/>
                      <w:marRight w:val="0"/>
                      <w:marTop w:val="0"/>
                      <w:marBottom w:val="0"/>
                      <w:divBdr>
                        <w:top w:val="none" w:sz="0" w:space="0" w:color="auto"/>
                        <w:left w:val="none" w:sz="0" w:space="0" w:color="auto"/>
                        <w:bottom w:val="none" w:sz="0" w:space="0" w:color="auto"/>
                        <w:right w:val="none" w:sz="0" w:space="0" w:color="auto"/>
                      </w:divBdr>
                    </w:div>
                    <w:div w:id="294147454">
                      <w:marLeft w:val="0"/>
                      <w:marRight w:val="0"/>
                      <w:marTop w:val="0"/>
                      <w:marBottom w:val="0"/>
                      <w:divBdr>
                        <w:top w:val="none" w:sz="0" w:space="0" w:color="auto"/>
                        <w:left w:val="none" w:sz="0" w:space="0" w:color="auto"/>
                        <w:bottom w:val="none" w:sz="0" w:space="0" w:color="auto"/>
                        <w:right w:val="none" w:sz="0" w:space="0" w:color="auto"/>
                      </w:divBdr>
                      <w:divsChild>
                        <w:div w:id="294142780">
                          <w:marLeft w:val="0"/>
                          <w:marRight w:val="0"/>
                          <w:marTop w:val="0"/>
                          <w:marBottom w:val="0"/>
                          <w:divBdr>
                            <w:top w:val="none" w:sz="0" w:space="0" w:color="auto"/>
                            <w:left w:val="none" w:sz="0" w:space="0" w:color="auto"/>
                            <w:bottom w:val="none" w:sz="0" w:space="0" w:color="auto"/>
                            <w:right w:val="none" w:sz="0" w:space="0" w:color="auto"/>
                          </w:divBdr>
                        </w:div>
                      </w:divsChild>
                    </w:div>
                    <w:div w:id="294147483">
                      <w:marLeft w:val="0"/>
                      <w:marRight w:val="0"/>
                      <w:marTop w:val="0"/>
                      <w:marBottom w:val="0"/>
                      <w:divBdr>
                        <w:top w:val="none" w:sz="0" w:space="0" w:color="auto"/>
                        <w:left w:val="none" w:sz="0" w:space="0" w:color="auto"/>
                        <w:bottom w:val="none" w:sz="0" w:space="0" w:color="auto"/>
                        <w:right w:val="none" w:sz="0" w:space="0" w:color="auto"/>
                      </w:divBdr>
                      <w:divsChild>
                        <w:div w:id="294145819">
                          <w:marLeft w:val="0"/>
                          <w:marRight w:val="0"/>
                          <w:marTop w:val="0"/>
                          <w:marBottom w:val="0"/>
                          <w:divBdr>
                            <w:top w:val="none" w:sz="0" w:space="0" w:color="auto"/>
                            <w:left w:val="none" w:sz="0" w:space="0" w:color="auto"/>
                            <w:bottom w:val="none" w:sz="0" w:space="0" w:color="auto"/>
                            <w:right w:val="none" w:sz="0" w:space="0" w:color="auto"/>
                          </w:divBdr>
                        </w:div>
                      </w:divsChild>
                    </w:div>
                    <w:div w:id="294147495">
                      <w:marLeft w:val="0"/>
                      <w:marRight w:val="0"/>
                      <w:marTop w:val="0"/>
                      <w:marBottom w:val="0"/>
                      <w:divBdr>
                        <w:top w:val="none" w:sz="0" w:space="0" w:color="auto"/>
                        <w:left w:val="none" w:sz="0" w:space="0" w:color="auto"/>
                        <w:bottom w:val="none" w:sz="0" w:space="0" w:color="auto"/>
                        <w:right w:val="none" w:sz="0" w:space="0" w:color="auto"/>
                      </w:divBdr>
                      <w:divsChild>
                        <w:div w:id="294153828">
                          <w:marLeft w:val="0"/>
                          <w:marRight w:val="0"/>
                          <w:marTop w:val="0"/>
                          <w:marBottom w:val="0"/>
                          <w:divBdr>
                            <w:top w:val="none" w:sz="0" w:space="0" w:color="auto"/>
                            <w:left w:val="none" w:sz="0" w:space="0" w:color="auto"/>
                            <w:bottom w:val="none" w:sz="0" w:space="0" w:color="auto"/>
                            <w:right w:val="none" w:sz="0" w:space="0" w:color="auto"/>
                          </w:divBdr>
                        </w:div>
                      </w:divsChild>
                    </w:div>
                    <w:div w:id="294147546">
                      <w:marLeft w:val="0"/>
                      <w:marRight w:val="0"/>
                      <w:marTop w:val="0"/>
                      <w:marBottom w:val="0"/>
                      <w:divBdr>
                        <w:top w:val="none" w:sz="0" w:space="0" w:color="auto"/>
                        <w:left w:val="none" w:sz="0" w:space="0" w:color="auto"/>
                        <w:bottom w:val="none" w:sz="0" w:space="0" w:color="auto"/>
                        <w:right w:val="none" w:sz="0" w:space="0" w:color="auto"/>
                      </w:divBdr>
                      <w:divsChild>
                        <w:div w:id="294154430">
                          <w:marLeft w:val="0"/>
                          <w:marRight w:val="0"/>
                          <w:marTop w:val="0"/>
                          <w:marBottom w:val="0"/>
                          <w:divBdr>
                            <w:top w:val="none" w:sz="0" w:space="0" w:color="auto"/>
                            <w:left w:val="none" w:sz="0" w:space="0" w:color="auto"/>
                            <w:bottom w:val="none" w:sz="0" w:space="0" w:color="auto"/>
                            <w:right w:val="none" w:sz="0" w:space="0" w:color="auto"/>
                          </w:divBdr>
                        </w:div>
                      </w:divsChild>
                    </w:div>
                    <w:div w:id="294147630">
                      <w:marLeft w:val="0"/>
                      <w:marRight w:val="0"/>
                      <w:marTop w:val="0"/>
                      <w:marBottom w:val="0"/>
                      <w:divBdr>
                        <w:top w:val="none" w:sz="0" w:space="0" w:color="auto"/>
                        <w:left w:val="none" w:sz="0" w:space="0" w:color="auto"/>
                        <w:bottom w:val="none" w:sz="0" w:space="0" w:color="auto"/>
                        <w:right w:val="none" w:sz="0" w:space="0" w:color="auto"/>
                      </w:divBdr>
                    </w:div>
                    <w:div w:id="294147663">
                      <w:marLeft w:val="0"/>
                      <w:marRight w:val="0"/>
                      <w:marTop w:val="0"/>
                      <w:marBottom w:val="0"/>
                      <w:divBdr>
                        <w:top w:val="none" w:sz="0" w:space="0" w:color="auto"/>
                        <w:left w:val="none" w:sz="0" w:space="0" w:color="auto"/>
                        <w:bottom w:val="none" w:sz="0" w:space="0" w:color="auto"/>
                        <w:right w:val="none" w:sz="0" w:space="0" w:color="auto"/>
                      </w:divBdr>
                      <w:divsChild>
                        <w:div w:id="294142180">
                          <w:marLeft w:val="0"/>
                          <w:marRight w:val="0"/>
                          <w:marTop w:val="0"/>
                          <w:marBottom w:val="0"/>
                          <w:divBdr>
                            <w:top w:val="none" w:sz="0" w:space="0" w:color="auto"/>
                            <w:left w:val="none" w:sz="0" w:space="0" w:color="auto"/>
                            <w:bottom w:val="none" w:sz="0" w:space="0" w:color="auto"/>
                            <w:right w:val="none" w:sz="0" w:space="0" w:color="auto"/>
                          </w:divBdr>
                        </w:div>
                      </w:divsChild>
                    </w:div>
                    <w:div w:id="294147735">
                      <w:marLeft w:val="0"/>
                      <w:marRight w:val="0"/>
                      <w:marTop w:val="0"/>
                      <w:marBottom w:val="0"/>
                      <w:divBdr>
                        <w:top w:val="none" w:sz="0" w:space="0" w:color="auto"/>
                        <w:left w:val="none" w:sz="0" w:space="0" w:color="auto"/>
                        <w:bottom w:val="none" w:sz="0" w:space="0" w:color="auto"/>
                        <w:right w:val="none" w:sz="0" w:space="0" w:color="auto"/>
                      </w:divBdr>
                      <w:divsChild>
                        <w:div w:id="294141770">
                          <w:marLeft w:val="0"/>
                          <w:marRight w:val="0"/>
                          <w:marTop w:val="0"/>
                          <w:marBottom w:val="0"/>
                          <w:divBdr>
                            <w:top w:val="none" w:sz="0" w:space="0" w:color="auto"/>
                            <w:left w:val="none" w:sz="0" w:space="0" w:color="auto"/>
                            <w:bottom w:val="none" w:sz="0" w:space="0" w:color="auto"/>
                            <w:right w:val="none" w:sz="0" w:space="0" w:color="auto"/>
                          </w:divBdr>
                        </w:div>
                      </w:divsChild>
                    </w:div>
                    <w:div w:id="294147740">
                      <w:marLeft w:val="0"/>
                      <w:marRight w:val="0"/>
                      <w:marTop w:val="0"/>
                      <w:marBottom w:val="0"/>
                      <w:divBdr>
                        <w:top w:val="none" w:sz="0" w:space="0" w:color="auto"/>
                        <w:left w:val="none" w:sz="0" w:space="0" w:color="auto"/>
                        <w:bottom w:val="none" w:sz="0" w:space="0" w:color="auto"/>
                        <w:right w:val="none" w:sz="0" w:space="0" w:color="auto"/>
                      </w:divBdr>
                    </w:div>
                    <w:div w:id="294147760">
                      <w:marLeft w:val="0"/>
                      <w:marRight w:val="0"/>
                      <w:marTop w:val="0"/>
                      <w:marBottom w:val="0"/>
                      <w:divBdr>
                        <w:top w:val="none" w:sz="0" w:space="0" w:color="auto"/>
                        <w:left w:val="none" w:sz="0" w:space="0" w:color="auto"/>
                        <w:bottom w:val="none" w:sz="0" w:space="0" w:color="auto"/>
                        <w:right w:val="none" w:sz="0" w:space="0" w:color="auto"/>
                      </w:divBdr>
                    </w:div>
                    <w:div w:id="294147778">
                      <w:marLeft w:val="0"/>
                      <w:marRight w:val="0"/>
                      <w:marTop w:val="0"/>
                      <w:marBottom w:val="0"/>
                      <w:divBdr>
                        <w:top w:val="none" w:sz="0" w:space="0" w:color="auto"/>
                        <w:left w:val="none" w:sz="0" w:space="0" w:color="auto"/>
                        <w:bottom w:val="none" w:sz="0" w:space="0" w:color="auto"/>
                        <w:right w:val="none" w:sz="0" w:space="0" w:color="auto"/>
                      </w:divBdr>
                      <w:divsChild>
                        <w:div w:id="294157317">
                          <w:marLeft w:val="0"/>
                          <w:marRight w:val="0"/>
                          <w:marTop w:val="0"/>
                          <w:marBottom w:val="0"/>
                          <w:divBdr>
                            <w:top w:val="none" w:sz="0" w:space="0" w:color="auto"/>
                            <w:left w:val="none" w:sz="0" w:space="0" w:color="auto"/>
                            <w:bottom w:val="none" w:sz="0" w:space="0" w:color="auto"/>
                            <w:right w:val="none" w:sz="0" w:space="0" w:color="auto"/>
                          </w:divBdr>
                        </w:div>
                      </w:divsChild>
                    </w:div>
                    <w:div w:id="294147929">
                      <w:marLeft w:val="0"/>
                      <w:marRight w:val="0"/>
                      <w:marTop w:val="0"/>
                      <w:marBottom w:val="0"/>
                      <w:divBdr>
                        <w:top w:val="none" w:sz="0" w:space="0" w:color="auto"/>
                        <w:left w:val="none" w:sz="0" w:space="0" w:color="auto"/>
                        <w:bottom w:val="none" w:sz="0" w:space="0" w:color="auto"/>
                        <w:right w:val="none" w:sz="0" w:space="0" w:color="auto"/>
                      </w:divBdr>
                      <w:divsChild>
                        <w:div w:id="294153590">
                          <w:marLeft w:val="0"/>
                          <w:marRight w:val="0"/>
                          <w:marTop w:val="0"/>
                          <w:marBottom w:val="0"/>
                          <w:divBdr>
                            <w:top w:val="none" w:sz="0" w:space="0" w:color="auto"/>
                            <w:left w:val="none" w:sz="0" w:space="0" w:color="auto"/>
                            <w:bottom w:val="none" w:sz="0" w:space="0" w:color="auto"/>
                            <w:right w:val="none" w:sz="0" w:space="0" w:color="auto"/>
                          </w:divBdr>
                        </w:div>
                      </w:divsChild>
                    </w:div>
                    <w:div w:id="294147981">
                      <w:marLeft w:val="0"/>
                      <w:marRight w:val="0"/>
                      <w:marTop w:val="0"/>
                      <w:marBottom w:val="0"/>
                      <w:divBdr>
                        <w:top w:val="none" w:sz="0" w:space="0" w:color="auto"/>
                        <w:left w:val="none" w:sz="0" w:space="0" w:color="auto"/>
                        <w:bottom w:val="none" w:sz="0" w:space="0" w:color="auto"/>
                        <w:right w:val="none" w:sz="0" w:space="0" w:color="auto"/>
                      </w:divBdr>
                      <w:divsChild>
                        <w:div w:id="294140704">
                          <w:marLeft w:val="0"/>
                          <w:marRight w:val="0"/>
                          <w:marTop w:val="0"/>
                          <w:marBottom w:val="0"/>
                          <w:divBdr>
                            <w:top w:val="none" w:sz="0" w:space="0" w:color="auto"/>
                            <w:left w:val="none" w:sz="0" w:space="0" w:color="auto"/>
                            <w:bottom w:val="none" w:sz="0" w:space="0" w:color="auto"/>
                            <w:right w:val="none" w:sz="0" w:space="0" w:color="auto"/>
                          </w:divBdr>
                        </w:div>
                      </w:divsChild>
                    </w:div>
                    <w:div w:id="294148034">
                      <w:marLeft w:val="0"/>
                      <w:marRight w:val="0"/>
                      <w:marTop w:val="0"/>
                      <w:marBottom w:val="0"/>
                      <w:divBdr>
                        <w:top w:val="none" w:sz="0" w:space="0" w:color="auto"/>
                        <w:left w:val="none" w:sz="0" w:space="0" w:color="auto"/>
                        <w:bottom w:val="none" w:sz="0" w:space="0" w:color="auto"/>
                        <w:right w:val="none" w:sz="0" w:space="0" w:color="auto"/>
                      </w:divBdr>
                      <w:divsChild>
                        <w:div w:id="294142445">
                          <w:marLeft w:val="0"/>
                          <w:marRight w:val="0"/>
                          <w:marTop w:val="0"/>
                          <w:marBottom w:val="0"/>
                          <w:divBdr>
                            <w:top w:val="none" w:sz="0" w:space="0" w:color="auto"/>
                            <w:left w:val="none" w:sz="0" w:space="0" w:color="auto"/>
                            <w:bottom w:val="none" w:sz="0" w:space="0" w:color="auto"/>
                            <w:right w:val="none" w:sz="0" w:space="0" w:color="auto"/>
                          </w:divBdr>
                        </w:div>
                      </w:divsChild>
                    </w:div>
                    <w:div w:id="294148061">
                      <w:marLeft w:val="0"/>
                      <w:marRight w:val="0"/>
                      <w:marTop w:val="0"/>
                      <w:marBottom w:val="0"/>
                      <w:divBdr>
                        <w:top w:val="none" w:sz="0" w:space="0" w:color="auto"/>
                        <w:left w:val="none" w:sz="0" w:space="0" w:color="auto"/>
                        <w:bottom w:val="none" w:sz="0" w:space="0" w:color="auto"/>
                        <w:right w:val="none" w:sz="0" w:space="0" w:color="auto"/>
                      </w:divBdr>
                      <w:divsChild>
                        <w:div w:id="294147203">
                          <w:marLeft w:val="0"/>
                          <w:marRight w:val="0"/>
                          <w:marTop w:val="0"/>
                          <w:marBottom w:val="0"/>
                          <w:divBdr>
                            <w:top w:val="none" w:sz="0" w:space="0" w:color="auto"/>
                            <w:left w:val="none" w:sz="0" w:space="0" w:color="auto"/>
                            <w:bottom w:val="none" w:sz="0" w:space="0" w:color="auto"/>
                            <w:right w:val="none" w:sz="0" w:space="0" w:color="auto"/>
                          </w:divBdr>
                        </w:div>
                      </w:divsChild>
                    </w:div>
                    <w:div w:id="294148063">
                      <w:marLeft w:val="0"/>
                      <w:marRight w:val="0"/>
                      <w:marTop w:val="0"/>
                      <w:marBottom w:val="0"/>
                      <w:divBdr>
                        <w:top w:val="none" w:sz="0" w:space="0" w:color="auto"/>
                        <w:left w:val="none" w:sz="0" w:space="0" w:color="auto"/>
                        <w:bottom w:val="none" w:sz="0" w:space="0" w:color="auto"/>
                        <w:right w:val="none" w:sz="0" w:space="0" w:color="auto"/>
                      </w:divBdr>
                    </w:div>
                    <w:div w:id="294148106">
                      <w:marLeft w:val="0"/>
                      <w:marRight w:val="0"/>
                      <w:marTop w:val="0"/>
                      <w:marBottom w:val="0"/>
                      <w:divBdr>
                        <w:top w:val="none" w:sz="0" w:space="0" w:color="auto"/>
                        <w:left w:val="none" w:sz="0" w:space="0" w:color="auto"/>
                        <w:bottom w:val="none" w:sz="0" w:space="0" w:color="auto"/>
                        <w:right w:val="none" w:sz="0" w:space="0" w:color="auto"/>
                      </w:divBdr>
                      <w:divsChild>
                        <w:div w:id="294139086">
                          <w:marLeft w:val="0"/>
                          <w:marRight w:val="0"/>
                          <w:marTop w:val="0"/>
                          <w:marBottom w:val="0"/>
                          <w:divBdr>
                            <w:top w:val="none" w:sz="0" w:space="0" w:color="auto"/>
                            <w:left w:val="none" w:sz="0" w:space="0" w:color="auto"/>
                            <w:bottom w:val="none" w:sz="0" w:space="0" w:color="auto"/>
                            <w:right w:val="none" w:sz="0" w:space="0" w:color="auto"/>
                          </w:divBdr>
                        </w:div>
                      </w:divsChild>
                    </w:div>
                    <w:div w:id="294148121">
                      <w:marLeft w:val="0"/>
                      <w:marRight w:val="0"/>
                      <w:marTop w:val="0"/>
                      <w:marBottom w:val="0"/>
                      <w:divBdr>
                        <w:top w:val="none" w:sz="0" w:space="0" w:color="auto"/>
                        <w:left w:val="none" w:sz="0" w:space="0" w:color="auto"/>
                        <w:bottom w:val="none" w:sz="0" w:space="0" w:color="auto"/>
                        <w:right w:val="none" w:sz="0" w:space="0" w:color="auto"/>
                      </w:divBdr>
                    </w:div>
                    <w:div w:id="294148337">
                      <w:marLeft w:val="0"/>
                      <w:marRight w:val="0"/>
                      <w:marTop w:val="0"/>
                      <w:marBottom w:val="0"/>
                      <w:divBdr>
                        <w:top w:val="none" w:sz="0" w:space="0" w:color="auto"/>
                        <w:left w:val="none" w:sz="0" w:space="0" w:color="auto"/>
                        <w:bottom w:val="none" w:sz="0" w:space="0" w:color="auto"/>
                        <w:right w:val="none" w:sz="0" w:space="0" w:color="auto"/>
                      </w:divBdr>
                      <w:divsChild>
                        <w:div w:id="294141865">
                          <w:marLeft w:val="0"/>
                          <w:marRight w:val="0"/>
                          <w:marTop w:val="0"/>
                          <w:marBottom w:val="0"/>
                          <w:divBdr>
                            <w:top w:val="none" w:sz="0" w:space="0" w:color="auto"/>
                            <w:left w:val="none" w:sz="0" w:space="0" w:color="auto"/>
                            <w:bottom w:val="none" w:sz="0" w:space="0" w:color="auto"/>
                            <w:right w:val="none" w:sz="0" w:space="0" w:color="auto"/>
                          </w:divBdr>
                        </w:div>
                      </w:divsChild>
                    </w:div>
                    <w:div w:id="294148702">
                      <w:marLeft w:val="0"/>
                      <w:marRight w:val="0"/>
                      <w:marTop w:val="0"/>
                      <w:marBottom w:val="0"/>
                      <w:divBdr>
                        <w:top w:val="none" w:sz="0" w:space="0" w:color="auto"/>
                        <w:left w:val="none" w:sz="0" w:space="0" w:color="auto"/>
                        <w:bottom w:val="none" w:sz="0" w:space="0" w:color="auto"/>
                        <w:right w:val="none" w:sz="0" w:space="0" w:color="auto"/>
                      </w:divBdr>
                    </w:div>
                    <w:div w:id="294148787">
                      <w:marLeft w:val="0"/>
                      <w:marRight w:val="0"/>
                      <w:marTop w:val="0"/>
                      <w:marBottom w:val="0"/>
                      <w:divBdr>
                        <w:top w:val="none" w:sz="0" w:space="0" w:color="auto"/>
                        <w:left w:val="none" w:sz="0" w:space="0" w:color="auto"/>
                        <w:bottom w:val="none" w:sz="0" w:space="0" w:color="auto"/>
                        <w:right w:val="none" w:sz="0" w:space="0" w:color="auto"/>
                      </w:divBdr>
                    </w:div>
                    <w:div w:id="294148852">
                      <w:marLeft w:val="0"/>
                      <w:marRight w:val="0"/>
                      <w:marTop w:val="0"/>
                      <w:marBottom w:val="0"/>
                      <w:divBdr>
                        <w:top w:val="none" w:sz="0" w:space="0" w:color="auto"/>
                        <w:left w:val="none" w:sz="0" w:space="0" w:color="auto"/>
                        <w:bottom w:val="none" w:sz="0" w:space="0" w:color="auto"/>
                        <w:right w:val="none" w:sz="0" w:space="0" w:color="auto"/>
                      </w:divBdr>
                    </w:div>
                    <w:div w:id="294148854">
                      <w:marLeft w:val="0"/>
                      <w:marRight w:val="0"/>
                      <w:marTop w:val="0"/>
                      <w:marBottom w:val="0"/>
                      <w:divBdr>
                        <w:top w:val="none" w:sz="0" w:space="0" w:color="auto"/>
                        <w:left w:val="none" w:sz="0" w:space="0" w:color="auto"/>
                        <w:bottom w:val="none" w:sz="0" w:space="0" w:color="auto"/>
                        <w:right w:val="none" w:sz="0" w:space="0" w:color="auto"/>
                      </w:divBdr>
                    </w:div>
                    <w:div w:id="294148886">
                      <w:marLeft w:val="0"/>
                      <w:marRight w:val="0"/>
                      <w:marTop w:val="0"/>
                      <w:marBottom w:val="0"/>
                      <w:divBdr>
                        <w:top w:val="none" w:sz="0" w:space="0" w:color="auto"/>
                        <w:left w:val="none" w:sz="0" w:space="0" w:color="auto"/>
                        <w:bottom w:val="none" w:sz="0" w:space="0" w:color="auto"/>
                        <w:right w:val="none" w:sz="0" w:space="0" w:color="auto"/>
                      </w:divBdr>
                    </w:div>
                    <w:div w:id="294148920">
                      <w:marLeft w:val="0"/>
                      <w:marRight w:val="0"/>
                      <w:marTop w:val="0"/>
                      <w:marBottom w:val="0"/>
                      <w:divBdr>
                        <w:top w:val="none" w:sz="0" w:space="0" w:color="auto"/>
                        <w:left w:val="none" w:sz="0" w:space="0" w:color="auto"/>
                        <w:bottom w:val="none" w:sz="0" w:space="0" w:color="auto"/>
                        <w:right w:val="none" w:sz="0" w:space="0" w:color="auto"/>
                      </w:divBdr>
                      <w:divsChild>
                        <w:div w:id="294147294">
                          <w:marLeft w:val="0"/>
                          <w:marRight w:val="0"/>
                          <w:marTop w:val="0"/>
                          <w:marBottom w:val="0"/>
                          <w:divBdr>
                            <w:top w:val="none" w:sz="0" w:space="0" w:color="auto"/>
                            <w:left w:val="none" w:sz="0" w:space="0" w:color="auto"/>
                            <w:bottom w:val="none" w:sz="0" w:space="0" w:color="auto"/>
                            <w:right w:val="none" w:sz="0" w:space="0" w:color="auto"/>
                          </w:divBdr>
                        </w:div>
                      </w:divsChild>
                    </w:div>
                    <w:div w:id="294148929">
                      <w:marLeft w:val="0"/>
                      <w:marRight w:val="0"/>
                      <w:marTop w:val="0"/>
                      <w:marBottom w:val="0"/>
                      <w:divBdr>
                        <w:top w:val="none" w:sz="0" w:space="0" w:color="auto"/>
                        <w:left w:val="none" w:sz="0" w:space="0" w:color="auto"/>
                        <w:bottom w:val="none" w:sz="0" w:space="0" w:color="auto"/>
                        <w:right w:val="none" w:sz="0" w:space="0" w:color="auto"/>
                      </w:divBdr>
                    </w:div>
                    <w:div w:id="294149057">
                      <w:marLeft w:val="0"/>
                      <w:marRight w:val="0"/>
                      <w:marTop w:val="0"/>
                      <w:marBottom w:val="0"/>
                      <w:divBdr>
                        <w:top w:val="none" w:sz="0" w:space="0" w:color="auto"/>
                        <w:left w:val="none" w:sz="0" w:space="0" w:color="auto"/>
                        <w:bottom w:val="none" w:sz="0" w:space="0" w:color="auto"/>
                        <w:right w:val="none" w:sz="0" w:space="0" w:color="auto"/>
                      </w:divBdr>
                    </w:div>
                    <w:div w:id="294149083">
                      <w:marLeft w:val="0"/>
                      <w:marRight w:val="0"/>
                      <w:marTop w:val="0"/>
                      <w:marBottom w:val="0"/>
                      <w:divBdr>
                        <w:top w:val="none" w:sz="0" w:space="0" w:color="auto"/>
                        <w:left w:val="none" w:sz="0" w:space="0" w:color="auto"/>
                        <w:bottom w:val="none" w:sz="0" w:space="0" w:color="auto"/>
                        <w:right w:val="none" w:sz="0" w:space="0" w:color="auto"/>
                      </w:divBdr>
                      <w:divsChild>
                        <w:div w:id="294154003">
                          <w:marLeft w:val="0"/>
                          <w:marRight w:val="0"/>
                          <w:marTop w:val="0"/>
                          <w:marBottom w:val="0"/>
                          <w:divBdr>
                            <w:top w:val="none" w:sz="0" w:space="0" w:color="auto"/>
                            <w:left w:val="none" w:sz="0" w:space="0" w:color="auto"/>
                            <w:bottom w:val="none" w:sz="0" w:space="0" w:color="auto"/>
                            <w:right w:val="none" w:sz="0" w:space="0" w:color="auto"/>
                          </w:divBdr>
                        </w:div>
                      </w:divsChild>
                    </w:div>
                    <w:div w:id="294149134">
                      <w:marLeft w:val="0"/>
                      <w:marRight w:val="0"/>
                      <w:marTop w:val="0"/>
                      <w:marBottom w:val="0"/>
                      <w:divBdr>
                        <w:top w:val="none" w:sz="0" w:space="0" w:color="auto"/>
                        <w:left w:val="none" w:sz="0" w:space="0" w:color="auto"/>
                        <w:bottom w:val="none" w:sz="0" w:space="0" w:color="auto"/>
                        <w:right w:val="none" w:sz="0" w:space="0" w:color="auto"/>
                      </w:divBdr>
                      <w:divsChild>
                        <w:div w:id="294148378">
                          <w:marLeft w:val="0"/>
                          <w:marRight w:val="0"/>
                          <w:marTop w:val="0"/>
                          <w:marBottom w:val="0"/>
                          <w:divBdr>
                            <w:top w:val="none" w:sz="0" w:space="0" w:color="auto"/>
                            <w:left w:val="none" w:sz="0" w:space="0" w:color="auto"/>
                            <w:bottom w:val="none" w:sz="0" w:space="0" w:color="auto"/>
                            <w:right w:val="none" w:sz="0" w:space="0" w:color="auto"/>
                          </w:divBdr>
                        </w:div>
                      </w:divsChild>
                    </w:div>
                    <w:div w:id="294149203">
                      <w:marLeft w:val="0"/>
                      <w:marRight w:val="0"/>
                      <w:marTop w:val="0"/>
                      <w:marBottom w:val="0"/>
                      <w:divBdr>
                        <w:top w:val="none" w:sz="0" w:space="0" w:color="auto"/>
                        <w:left w:val="none" w:sz="0" w:space="0" w:color="auto"/>
                        <w:bottom w:val="none" w:sz="0" w:space="0" w:color="auto"/>
                        <w:right w:val="none" w:sz="0" w:space="0" w:color="auto"/>
                      </w:divBdr>
                    </w:div>
                    <w:div w:id="294149205">
                      <w:marLeft w:val="0"/>
                      <w:marRight w:val="0"/>
                      <w:marTop w:val="0"/>
                      <w:marBottom w:val="0"/>
                      <w:divBdr>
                        <w:top w:val="none" w:sz="0" w:space="0" w:color="auto"/>
                        <w:left w:val="none" w:sz="0" w:space="0" w:color="auto"/>
                        <w:bottom w:val="none" w:sz="0" w:space="0" w:color="auto"/>
                        <w:right w:val="none" w:sz="0" w:space="0" w:color="auto"/>
                      </w:divBdr>
                    </w:div>
                    <w:div w:id="294149241">
                      <w:marLeft w:val="0"/>
                      <w:marRight w:val="0"/>
                      <w:marTop w:val="0"/>
                      <w:marBottom w:val="0"/>
                      <w:divBdr>
                        <w:top w:val="none" w:sz="0" w:space="0" w:color="auto"/>
                        <w:left w:val="none" w:sz="0" w:space="0" w:color="auto"/>
                        <w:bottom w:val="none" w:sz="0" w:space="0" w:color="auto"/>
                        <w:right w:val="none" w:sz="0" w:space="0" w:color="auto"/>
                      </w:divBdr>
                    </w:div>
                    <w:div w:id="294149302">
                      <w:marLeft w:val="0"/>
                      <w:marRight w:val="0"/>
                      <w:marTop w:val="0"/>
                      <w:marBottom w:val="0"/>
                      <w:divBdr>
                        <w:top w:val="none" w:sz="0" w:space="0" w:color="auto"/>
                        <w:left w:val="none" w:sz="0" w:space="0" w:color="auto"/>
                        <w:bottom w:val="none" w:sz="0" w:space="0" w:color="auto"/>
                        <w:right w:val="none" w:sz="0" w:space="0" w:color="auto"/>
                      </w:divBdr>
                    </w:div>
                    <w:div w:id="294149320">
                      <w:marLeft w:val="0"/>
                      <w:marRight w:val="0"/>
                      <w:marTop w:val="0"/>
                      <w:marBottom w:val="0"/>
                      <w:divBdr>
                        <w:top w:val="none" w:sz="0" w:space="0" w:color="auto"/>
                        <w:left w:val="none" w:sz="0" w:space="0" w:color="auto"/>
                        <w:bottom w:val="none" w:sz="0" w:space="0" w:color="auto"/>
                        <w:right w:val="none" w:sz="0" w:space="0" w:color="auto"/>
                      </w:divBdr>
                      <w:divsChild>
                        <w:div w:id="294157437">
                          <w:marLeft w:val="0"/>
                          <w:marRight w:val="0"/>
                          <w:marTop w:val="0"/>
                          <w:marBottom w:val="0"/>
                          <w:divBdr>
                            <w:top w:val="none" w:sz="0" w:space="0" w:color="auto"/>
                            <w:left w:val="none" w:sz="0" w:space="0" w:color="auto"/>
                            <w:bottom w:val="none" w:sz="0" w:space="0" w:color="auto"/>
                            <w:right w:val="none" w:sz="0" w:space="0" w:color="auto"/>
                          </w:divBdr>
                        </w:div>
                      </w:divsChild>
                    </w:div>
                    <w:div w:id="294149356">
                      <w:marLeft w:val="0"/>
                      <w:marRight w:val="0"/>
                      <w:marTop w:val="0"/>
                      <w:marBottom w:val="0"/>
                      <w:divBdr>
                        <w:top w:val="none" w:sz="0" w:space="0" w:color="auto"/>
                        <w:left w:val="none" w:sz="0" w:space="0" w:color="auto"/>
                        <w:bottom w:val="none" w:sz="0" w:space="0" w:color="auto"/>
                        <w:right w:val="none" w:sz="0" w:space="0" w:color="auto"/>
                      </w:divBdr>
                      <w:divsChild>
                        <w:div w:id="294146332">
                          <w:marLeft w:val="0"/>
                          <w:marRight w:val="0"/>
                          <w:marTop w:val="0"/>
                          <w:marBottom w:val="0"/>
                          <w:divBdr>
                            <w:top w:val="none" w:sz="0" w:space="0" w:color="auto"/>
                            <w:left w:val="none" w:sz="0" w:space="0" w:color="auto"/>
                            <w:bottom w:val="none" w:sz="0" w:space="0" w:color="auto"/>
                            <w:right w:val="none" w:sz="0" w:space="0" w:color="auto"/>
                          </w:divBdr>
                        </w:div>
                      </w:divsChild>
                    </w:div>
                    <w:div w:id="294149449">
                      <w:marLeft w:val="0"/>
                      <w:marRight w:val="0"/>
                      <w:marTop w:val="0"/>
                      <w:marBottom w:val="0"/>
                      <w:divBdr>
                        <w:top w:val="none" w:sz="0" w:space="0" w:color="auto"/>
                        <w:left w:val="none" w:sz="0" w:space="0" w:color="auto"/>
                        <w:bottom w:val="none" w:sz="0" w:space="0" w:color="auto"/>
                        <w:right w:val="none" w:sz="0" w:space="0" w:color="auto"/>
                      </w:divBdr>
                      <w:divsChild>
                        <w:div w:id="294153079">
                          <w:marLeft w:val="0"/>
                          <w:marRight w:val="0"/>
                          <w:marTop w:val="0"/>
                          <w:marBottom w:val="0"/>
                          <w:divBdr>
                            <w:top w:val="none" w:sz="0" w:space="0" w:color="auto"/>
                            <w:left w:val="none" w:sz="0" w:space="0" w:color="auto"/>
                            <w:bottom w:val="none" w:sz="0" w:space="0" w:color="auto"/>
                            <w:right w:val="none" w:sz="0" w:space="0" w:color="auto"/>
                          </w:divBdr>
                        </w:div>
                      </w:divsChild>
                    </w:div>
                    <w:div w:id="294149556">
                      <w:marLeft w:val="0"/>
                      <w:marRight w:val="0"/>
                      <w:marTop w:val="0"/>
                      <w:marBottom w:val="0"/>
                      <w:divBdr>
                        <w:top w:val="none" w:sz="0" w:space="0" w:color="auto"/>
                        <w:left w:val="none" w:sz="0" w:space="0" w:color="auto"/>
                        <w:bottom w:val="none" w:sz="0" w:space="0" w:color="auto"/>
                        <w:right w:val="none" w:sz="0" w:space="0" w:color="auto"/>
                      </w:divBdr>
                    </w:div>
                    <w:div w:id="294149612">
                      <w:marLeft w:val="0"/>
                      <w:marRight w:val="0"/>
                      <w:marTop w:val="0"/>
                      <w:marBottom w:val="0"/>
                      <w:divBdr>
                        <w:top w:val="none" w:sz="0" w:space="0" w:color="auto"/>
                        <w:left w:val="none" w:sz="0" w:space="0" w:color="auto"/>
                        <w:bottom w:val="none" w:sz="0" w:space="0" w:color="auto"/>
                        <w:right w:val="none" w:sz="0" w:space="0" w:color="auto"/>
                      </w:divBdr>
                      <w:divsChild>
                        <w:div w:id="294148798">
                          <w:marLeft w:val="0"/>
                          <w:marRight w:val="0"/>
                          <w:marTop w:val="0"/>
                          <w:marBottom w:val="0"/>
                          <w:divBdr>
                            <w:top w:val="none" w:sz="0" w:space="0" w:color="auto"/>
                            <w:left w:val="none" w:sz="0" w:space="0" w:color="auto"/>
                            <w:bottom w:val="none" w:sz="0" w:space="0" w:color="auto"/>
                            <w:right w:val="none" w:sz="0" w:space="0" w:color="auto"/>
                          </w:divBdr>
                        </w:div>
                      </w:divsChild>
                    </w:div>
                    <w:div w:id="294149657">
                      <w:marLeft w:val="0"/>
                      <w:marRight w:val="0"/>
                      <w:marTop w:val="0"/>
                      <w:marBottom w:val="0"/>
                      <w:divBdr>
                        <w:top w:val="none" w:sz="0" w:space="0" w:color="auto"/>
                        <w:left w:val="none" w:sz="0" w:space="0" w:color="auto"/>
                        <w:bottom w:val="none" w:sz="0" w:space="0" w:color="auto"/>
                        <w:right w:val="none" w:sz="0" w:space="0" w:color="auto"/>
                      </w:divBdr>
                      <w:divsChild>
                        <w:div w:id="294139750">
                          <w:marLeft w:val="0"/>
                          <w:marRight w:val="0"/>
                          <w:marTop w:val="0"/>
                          <w:marBottom w:val="0"/>
                          <w:divBdr>
                            <w:top w:val="none" w:sz="0" w:space="0" w:color="auto"/>
                            <w:left w:val="none" w:sz="0" w:space="0" w:color="auto"/>
                            <w:bottom w:val="none" w:sz="0" w:space="0" w:color="auto"/>
                            <w:right w:val="none" w:sz="0" w:space="0" w:color="auto"/>
                          </w:divBdr>
                        </w:div>
                      </w:divsChild>
                    </w:div>
                    <w:div w:id="294149703">
                      <w:marLeft w:val="0"/>
                      <w:marRight w:val="0"/>
                      <w:marTop w:val="0"/>
                      <w:marBottom w:val="0"/>
                      <w:divBdr>
                        <w:top w:val="none" w:sz="0" w:space="0" w:color="auto"/>
                        <w:left w:val="none" w:sz="0" w:space="0" w:color="auto"/>
                        <w:bottom w:val="none" w:sz="0" w:space="0" w:color="auto"/>
                        <w:right w:val="none" w:sz="0" w:space="0" w:color="auto"/>
                      </w:divBdr>
                    </w:div>
                    <w:div w:id="294149725">
                      <w:marLeft w:val="0"/>
                      <w:marRight w:val="0"/>
                      <w:marTop w:val="0"/>
                      <w:marBottom w:val="0"/>
                      <w:divBdr>
                        <w:top w:val="none" w:sz="0" w:space="0" w:color="auto"/>
                        <w:left w:val="none" w:sz="0" w:space="0" w:color="auto"/>
                        <w:bottom w:val="none" w:sz="0" w:space="0" w:color="auto"/>
                        <w:right w:val="none" w:sz="0" w:space="0" w:color="auto"/>
                      </w:divBdr>
                    </w:div>
                    <w:div w:id="294149778">
                      <w:marLeft w:val="0"/>
                      <w:marRight w:val="0"/>
                      <w:marTop w:val="0"/>
                      <w:marBottom w:val="0"/>
                      <w:divBdr>
                        <w:top w:val="none" w:sz="0" w:space="0" w:color="auto"/>
                        <w:left w:val="none" w:sz="0" w:space="0" w:color="auto"/>
                        <w:bottom w:val="none" w:sz="0" w:space="0" w:color="auto"/>
                        <w:right w:val="none" w:sz="0" w:space="0" w:color="auto"/>
                      </w:divBdr>
                      <w:divsChild>
                        <w:div w:id="294155079">
                          <w:marLeft w:val="0"/>
                          <w:marRight w:val="0"/>
                          <w:marTop w:val="0"/>
                          <w:marBottom w:val="0"/>
                          <w:divBdr>
                            <w:top w:val="none" w:sz="0" w:space="0" w:color="auto"/>
                            <w:left w:val="none" w:sz="0" w:space="0" w:color="auto"/>
                            <w:bottom w:val="none" w:sz="0" w:space="0" w:color="auto"/>
                            <w:right w:val="none" w:sz="0" w:space="0" w:color="auto"/>
                          </w:divBdr>
                        </w:div>
                      </w:divsChild>
                    </w:div>
                    <w:div w:id="294149796">
                      <w:marLeft w:val="0"/>
                      <w:marRight w:val="0"/>
                      <w:marTop w:val="0"/>
                      <w:marBottom w:val="0"/>
                      <w:divBdr>
                        <w:top w:val="none" w:sz="0" w:space="0" w:color="auto"/>
                        <w:left w:val="none" w:sz="0" w:space="0" w:color="auto"/>
                        <w:bottom w:val="none" w:sz="0" w:space="0" w:color="auto"/>
                        <w:right w:val="none" w:sz="0" w:space="0" w:color="auto"/>
                      </w:divBdr>
                      <w:divsChild>
                        <w:div w:id="294146049">
                          <w:marLeft w:val="0"/>
                          <w:marRight w:val="0"/>
                          <w:marTop w:val="0"/>
                          <w:marBottom w:val="0"/>
                          <w:divBdr>
                            <w:top w:val="none" w:sz="0" w:space="0" w:color="auto"/>
                            <w:left w:val="none" w:sz="0" w:space="0" w:color="auto"/>
                            <w:bottom w:val="none" w:sz="0" w:space="0" w:color="auto"/>
                            <w:right w:val="none" w:sz="0" w:space="0" w:color="auto"/>
                          </w:divBdr>
                        </w:div>
                      </w:divsChild>
                    </w:div>
                    <w:div w:id="294149858">
                      <w:marLeft w:val="0"/>
                      <w:marRight w:val="0"/>
                      <w:marTop w:val="0"/>
                      <w:marBottom w:val="0"/>
                      <w:divBdr>
                        <w:top w:val="none" w:sz="0" w:space="0" w:color="auto"/>
                        <w:left w:val="none" w:sz="0" w:space="0" w:color="auto"/>
                        <w:bottom w:val="none" w:sz="0" w:space="0" w:color="auto"/>
                        <w:right w:val="none" w:sz="0" w:space="0" w:color="auto"/>
                      </w:divBdr>
                      <w:divsChild>
                        <w:div w:id="294139044">
                          <w:marLeft w:val="0"/>
                          <w:marRight w:val="0"/>
                          <w:marTop w:val="0"/>
                          <w:marBottom w:val="0"/>
                          <w:divBdr>
                            <w:top w:val="none" w:sz="0" w:space="0" w:color="auto"/>
                            <w:left w:val="none" w:sz="0" w:space="0" w:color="auto"/>
                            <w:bottom w:val="none" w:sz="0" w:space="0" w:color="auto"/>
                            <w:right w:val="none" w:sz="0" w:space="0" w:color="auto"/>
                          </w:divBdr>
                        </w:div>
                      </w:divsChild>
                    </w:div>
                    <w:div w:id="294149931">
                      <w:marLeft w:val="0"/>
                      <w:marRight w:val="0"/>
                      <w:marTop w:val="0"/>
                      <w:marBottom w:val="0"/>
                      <w:divBdr>
                        <w:top w:val="none" w:sz="0" w:space="0" w:color="auto"/>
                        <w:left w:val="none" w:sz="0" w:space="0" w:color="auto"/>
                        <w:bottom w:val="none" w:sz="0" w:space="0" w:color="auto"/>
                        <w:right w:val="none" w:sz="0" w:space="0" w:color="auto"/>
                      </w:divBdr>
                    </w:div>
                    <w:div w:id="294149933">
                      <w:marLeft w:val="0"/>
                      <w:marRight w:val="0"/>
                      <w:marTop w:val="0"/>
                      <w:marBottom w:val="0"/>
                      <w:divBdr>
                        <w:top w:val="none" w:sz="0" w:space="0" w:color="auto"/>
                        <w:left w:val="none" w:sz="0" w:space="0" w:color="auto"/>
                        <w:bottom w:val="none" w:sz="0" w:space="0" w:color="auto"/>
                        <w:right w:val="none" w:sz="0" w:space="0" w:color="auto"/>
                      </w:divBdr>
                      <w:divsChild>
                        <w:div w:id="294152909">
                          <w:marLeft w:val="0"/>
                          <w:marRight w:val="0"/>
                          <w:marTop w:val="0"/>
                          <w:marBottom w:val="0"/>
                          <w:divBdr>
                            <w:top w:val="none" w:sz="0" w:space="0" w:color="auto"/>
                            <w:left w:val="none" w:sz="0" w:space="0" w:color="auto"/>
                            <w:bottom w:val="none" w:sz="0" w:space="0" w:color="auto"/>
                            <w:right w:val="none" w:sz="0" w:space="0" w:color="auto"/>
                          </w:divBdr>
                        </w:div>
                      </w:divsChild>
                    </w:div>
                    <w:div w:id="294149957">
                      <w:marLeft w:val="0"/>
                      <w:marRight w:val="0"/>
                      <w:marTop w:val="0"/>
                      <w:marBottom w:val="0"/>
                      <w:divBdr>
                        <w:top w:val="none" w:sz="0" w:space="0" w:color="auto"/>
                        <w:left w:val="none" w:sz="0" w:space="0" w:color="auto"/>
                        <w:bottom w:val="none" w:sz="0" w:space="0" w:color="auto"/>
                        <w:right w:val="none" w:sz="0" w:space="0" w:color="auto"/>
                      </w:divBdr>
                      <w:divsChild>
                        <w:div w:id="294150641">
                          <w:marLeft w:val="0"/>
                          <w:marRight w:val="0"/>
                          <w:marTop w:val="0"/>
                          <w:marBottom w:val="0"/>
                          <w:divBdr>
                            <w:top w:val="none" w:sz="0" w:space="0" w:color="auto"/>
                            <w:left w:val="none" w:sz="0" w:space="0" w:color="auto"/>
                            <w:bottom w:val="none" w:sz="0" w:space="0" w:color="auto"/>
                            <w:right w:val="none" w:sz="0" w:space="0" w:color="auto"/>
                          </w:divBdr>
                        </w:div>
                      </w:divsChild>
                    </w:div>
                    <w:div w:id="294150038">
                      <w:marLeft w:val="0"/>
                      <w:marRight w:val="0"/>
                      <w:marTop w:val="0"/>
                      <w:marBottom w:val="0"/>
                      <w:divBdr>
                        <w:top w:val="none" w:sz="0" w:space="0" w:color="auto"/>
                        <w:left w:val="none" w:sz="0" w:space="0" w:color="auto"/>
                        <w:bottom w:val="none" w:sz="0" w:space="0" w:color="auto"/>
                        <w:right w:val="none" w:sz="0" w:space="0" w:color="auto"/>
                      </w:divBdr>
                    </w:div>
                    <w:div w:id="294150079">
                      <w:marLeft w:val="0"/>
                      <w:marRight w:val="0"/>
                      <w:marTop w:val="0"/>
                      <w:marBottom w:val="0"/>
                      <w:divBdr>
                        <w:top w:val="none" w:sz="0" w:space="0" w:color="auto"/>
                        <w:left w:val="none" w:sz="0" w:space="0" w:color="auto"/>
                        <w:bottom w:val="none" w:sz="0" w:space="0" w:color="auto"/>
                        <w:right w:val="none" w:sz="0" w:space="0" w:color="auto"/>
                      </w:divBdr>
                      <w:divsChild>
                        <w:div w:id="294156196">
                          <w:marLeft w:val="0"/>
                          <w:marRight w:val="0"/>
                          <w:marTop w:val="0"/>
                          <w:marBottom w:val="0"/>
                          <w:divBdr>
                            <w:top w:val="none" w:sz="0" w:space="0" w:color="auto"/>
                            <w:left w:val="none" w:sz="0" w:space="0" w:color="auto"/>
                            <w:bottom w:val="none" w:sz="0" w:space="0" w:color="auto"/>
                            <w:right w:val="none" w:sz="0" w:space="0" w:color="auto"/>
                          </w:divBdr>
                        </w:div>
                      </w:divsChild>
                    </w:div>
                    <w:div w:id="294150194">
                      <w:marLeft w:val="0"/>
                      <w:marRight w:val="0"/>
                      <w:marTop w:val="0"/>
                      <w:marBottom w:val="0"/>
                      <w:divBdr>
                        <w:top w:val="none" w:sz="0" w:space="0" w:color="auto"/>
                        <w:left w:val="none" w:sz="0" w:space="0" w:color="auto"/>
                        <w:bottom w:val="none" w:sz="0" w:space="0" w:color="auto"/>
                        <w:right w:val="none" w:sz="0" w:space="0" w:color="auto"/>
                      </w:divBdr>
                      <w:divsChild>
                        <w:div w:id="294152193">
                          <w:marLeft w:val="0"/>
                          <w:marRight w:val="0"/>
                          <w:marTop w:val="0"/>
                          <w:marBottom w:val="0"/>
                          <w:divBdr>
                            <w:top w:val="none" w:sz="0" w:space="0" w:color="auto"/>
                            <w:left w:val="none" w:sz="0" w:space="0" w:color="auto"/>
                            <w:bottom w:val="none" w:sz="0" w:space="0" w:color="auto"/>
                            <w:right w:val="none" w:sz="0" w:space="0" w:color="auto"/>
                          </w:divBdr>
                        </w:div>
                      </w:divsChild>
                    </w:div>
                    <w:div w:id="294150213">
                      <w:marLeft w:val="0"/>
                      <w:marRight w:val="0"/>
                      <w:marTop w:val="0"/>
                      <w:marBottom w:val="0"/>
                      <w:divBdr>
                        <w:top w:val="none" w:sz="0" w:space="0" w:color="auto"/>
                        <w:left w:val="none" w:sz="0" w:space="0" w:color="auto"/>
                        <w:bottom w:val="none" w:sz="0" w:space="0" w:color="auto"/>
                        <w:right w:val="none" w:sz="0" w:space="0" w:color="auto"/>
                      </w:divBdr>
                    </w:div>
                    <w:div w:id="294150274">
                      <w:marLeft w:val="0"/>
                      <w:marRight w:val="0"/>
                      <w:marTop w:val="0"/>
                      <w:marBottom w:val="0"/>
                      <w:divBdr>
                        <w:top w:val="none" w:sz="0" w:space="0" w:color="auto"/>
                        <w:left w:val="none" w:sz="0" w:space="0" w:color="auto"/>
                        <w:bottom w:val="none" w:sz="0" w:space="0" w:color="auto"/>
                        <w:right w:val="none" w:sz="0" w:space="0" w:color="auto"/>
                      </w:divBdr>
                    </w:div>
                    <w:div w:id="294150389">
                      <w:marLeft w:val="0"/>
                      <w:marRight w:val="0"/>
                      <w:marTop w:val="0"/>
                      <w:marBottom w:val="0"/>
                      <w:divBdr>
                        <w:top w:val="none" w:sz="0" w:space="0" w:color="auto"/>
                        <w:left w:val="none" w:sz="0" w:space="0" w:color="auto"/>
                        <w:bottom w:val="none" w:sz="0" w:space="0" w:color="auto"/>
                        <w:right w:val="none" w:sz="0" w:space="0" w:color="auto"/>
                      </w:divBdr>
                    </w:div>
                    <w:div w:id="294150390">
                      <w:marLeft w:val="0"/>
                      <w:marRight w:val="0"/>
                      <w:marTop w:val="0"/>
                      <w:marBottom w:val="0"/>
                      <w:divBdr>
                        <w:top w:val="none" w:sz="0" w:space="0" w:color="auto"/>
                        <w:left w:val="none" w:sz="0" w:space="0" w:color="auto"/>
                        <w:bottom w:val="none" w:sz="0" w:space="0" w:color="auto"/>
                        <w:right w:val="none" w:sz="0" w:space="0" w:color="auto"/>
                      </w:divBdr>
                    </w:div>
                    <w:div w:id="294150446">
                      <w:marLeft w:val="0"/>
                      <w:marRight w:val="0"/>
                      <w:marTop w:val="0"/>
                      <w:marBottom w:val="0"/>
                      <w:divBdr>
                        <w:top w:val="none" w:sz="0" w:space="0" w:color="auto"/>
                        <w:left w:val="none" w:sz="0" w:space="0" w:color="auto"/>
                        <w:bottom w:val="none" w:sz="0" w:space="0" w:color="auto"/>
                        <w:right w:val="none" w:sz="0" w:space="0" w:color="auto"/>
                      </w:divBdr>
                      <w:divsChild>
                        <w:div w:id="294152486">
                          <w:marLeft w:val="0"/>
                          <w:marRight w:val="0"/>
                          <w:marTop w:val="0"/>
                          <w:marBottom w:val="0"/>
                          <w:divBdr>
                            <w:top w:val="none" w:sz="0" w:space="0" w:color="auto"/>
                            <w:left w:val="none" w:sz="0" w:space="0" w:color="auto"/>
                            <w:bottom w:val="none" w:sz="0" w:space="0" w:color="auto"/>
                            <w:right w:val="none" w:sz="0" w:space="0" w:color="auto"/>
                          </w:divBdr>
                        </w:div>
                      </w:divsChild>
                    </w:div>
                    <w:div w:id="294150521">
                      <w:marLeft w:val="0"/>
                      <w:marRight w:val="0"/>
                      <w:marTop w:val="0"/>
                      <w:marBottom w:val="0"/>
                      <w:divBdr>
                        <w:top w:val="none" w:sz="0" w:space="0" w:color="auto"/>
                        <w:left w:val="none" w:sz="0" w:space="0" w:color="auto"/>
                        <w:bottom w:val="none" w:sz="0" w:space="0" w:color="auto"/>
                        <w:right w:val="none" w:sz="0" w:space="0" w:color="auto"/>
                      </w:divBdr>
                      <w:divsChild>
                        <w:div w:id="294144826">
                          <w:marLeft w:val="0"/>
                          <w:marRight w:val="0"/>
                          <w:marTop w:val="0"/>
                          <w:marBottom w:val="0"/>
                          <w:divBdr>
                            <w:top w:val="none" w:sz="0" w:space="0" w:color="auto"/>
                            <w:left w:val="none" w:sz="0" w:space="0" w:color="auto"/>
                            <w:bottom w:val="none" w:sz="0" w:space="0" w:color="auto"/>
                            <w:right w:val="none" w:sz="0" w:space="0" w:color="auto"/>
                          </w:divBdr>
                        </w:div>
                      </w:divsChild>
                    </w:div>
                    <w:div w:id="294150543">
                      <w:marLeft w:val="0"/>
                      <w:marRight w:val="0"/>
                      <w:marTop w:val="0"/>
                      <w:marBottom w:val="0"/>
                      <w:divBdr>
                        <w:top w:val="none" w:sz="0" w:space="0" w:color="auto"/>
                        <w:left w:val="none" w:sz="0" w:space="0" w:color="auto"/>
                        <w:bottom w:val="none" w:sz="0" w:space="0" w:color="auto"/>
                        <w:right w:val="none" w:sz="0" w:space="0" w:color="auto"/>
                      </w:divBdr>
                      <w:divsChild>
                        <w:div w:id="294147260">
                          <w:marLeft w:val="0"/>
                          <w:marRight w:val="0"/>
                          <w:marTop w:val="0"/>
                          <w:marBottom w:val="0"/>
                          <w:divBdr>
                            <w:top w:val="none" w:sz="0" w:space="0" w:color="auto"/>
                            <w:left w:val="none" w:sz="0" w:space="0" w:color="auto"/>
                            <w:bottom w:val="none" w:sz="0" w:space="0" w:color="auto"/>
                            <w:right w:val="none" w:sz="0" w:space="0" w:color="auto"/>
                          </w:divBdr>
                        </w:div>
                      </w:divsChild>
                    </w:div>
                    <w:div w:id="294150557">
                      <w:marLeft w:val="0"/>
                      <w:marRight w:val="0"/>
                      <w:marTop w:val="0"/>
                      <w:marBottom w:val="0"/>
                      <w:divBdr>
                        <w:top w:val="none" w:sz="0" w:space="0" w:color="auto"/>
                        <w:left w:val="none" w:sz="0" w:space="0" w:color="auto"/>
                        <w:bottom w:val="none" w:sz="0" w:space="0" w:color="auto"/>
                        <w:right w:val="none" w:sz="0" w:space="0" w:color="auto"/>
                      </w:divBdr>
                    </w:div>
                    <w:div w:id="294150926">
                      <w:marLeft w:val="0"/>
                      <w:marRight w:val="0"/>
                      <w:marTop w:val="0"/>
                      <w:marBottom w:val="0"/>
                      <w:divBdr>
                        <w:top w:val="none" w:sz="0" w:space="0" w:color="auto"/>
                        <w:left w:val="none" w:sz="0" w:space="0" w:color="auto"/>
                        <w:bottom w:val="none" w:sz="0" w:space="0" w:color="auto"/>
                        <w:right w:val="none" w:sz="0" w:space="0" w:color="auto"/>
                      </w:divBdr>
                      <w:divsChild>
                        <w:div w:id="294139557">
                          <w:marLeft w:val="0"/>
                          <w:marRight w:val="0"/>
                          <w:marTop w:val="0"/>
                          <w:marBottom w:val="0"/>
                          <w:divBdr>
                            <w:top w:val="none" w:sz="0" w:space="0" w:color="auto"/>
                            <w:left w:val="none" w:sz="0" w:space="0" w:color="auto"/>
                            <w:bottom w:val="none" w:sz="0" w:space="0" w:color="auto"/>
                            <w:right w:val="none" w:sz="0" w:space="0" w:color="auto"/>
                          </w:divBdr>
                        </w:div>
                      </w:divsChild>
                    </w:div>
                    <w:div w:id="294151139">
                      <w:marLeft w:val="0"/>
                      <w:marRight w:val="0"/>
                      <w:marTop w:val="0"/>
                      <w:marBottom w:val="0"/>
                      <w:divBdr>
                        <w:top w:val="none" w:sz="0" w:space="0" w:color="auto"/>
                        <w:left w:val="none" w:sz="0" w:space="0" w:color="auto"/>
                        <w:bottom w:val="none" w:sz="0" w:space="0" w:color="auto"/>
                        <w:right w:val="none" w:sz="0" w:space="0" w:color="auto"/>
                      </w:divBdr>
                    </w:div>
                    <w:div w:id="294151212">
                      <w:marLeft w:val="0"/>
                      <w:marRight w:val="0"/>
                      <w:marTop w:val="0"/>
                      <w:marBottom w:val="0"/>
                      <w:divBdr>
                        <w:top w:val="none" w:sz="0" w:space="0" w:color="auto"/>
                        <w:left w:val="none" w:sz="0" w:space="0" w:color="auto"/>
                        <w:bottom w:val="none" w:sz="0" w:space="0" w:color="auto"/>
                        <w:right w:val="none" w:sz="0" w:space="0" w:color="auto"/>
                      </w:divBdr>
                    </w:div>
                    <w:div w:id="294151464">
                      <w:marLeft w:val="0"/>
                      <w:marRight w:val="0"/>
                      <w:marTop w:val="0"/>
                      <w:marBottom w:val="0"/>
                      <w:divBdr>
                        <w:top w:val="none" w:sz="0" w:space="0" w:color="auto"/>
                        <w:left w:val="none" w:sz="0" w:space="0" w:color="auto"/>
                        <w:bottom w:val="none" w:sz="0" w:space="0" w:color="auto"/>
                        <w:right w:val="none" w:sz="0" w:space="0" w:color="auto"/>
                      </w:divBdr>
                    </w:div>
                    <w:div w:id="294151492">
                      <w:marLeft w:val="0"/>
                      <w:marRight w:val="0"/>
                      <w:marTop w:val="0"/>
                      <w:marBottom w:val="0"/>
                      <w:divBdr>
                        <w:top w:val="none" w:sz="0" w:space="0" w:color="auto"/>
                        <w:left w:val="none" w:sz="0" w:space="0" w:color="auto"/>
                        <w:bottom w:val="none" w:sz="0" w:space="0" w:color="auto"/>
                        <w:right w:val="none" w:sz="0" w:space="0" w:color="auto"/>
                      </w:divBdr>
                      <w:divsChild>
                        <w:div w:id="294139301">
                          <w:marLeft w:val="0"/>
                          <w:marRight w:val="0"/>
                          <w:marTop w:val="0"/>
                          <w:marBottom w:val="0"/>
                          <w:divBdr>
                            <w:top w:val="none" w:sz="0" w:space="0" w:color="auto"/>
                            <w:left w:val="none" w:sz="0" w:space="0" w:color="auto"/>
                            <w:bottom w:val="none" w:sz="0" w:space="0" w:color="auto"/>
                            <w:right w:val="none" w:sz="0" w:space="0" w:color="auto"/>
                          </w:divBdr>
                        </w:div>
                      </w:divsChild>
                    </w:div>
                    <w:div w:id="294151509">
                      <w:marLeft w:val="0"/>
                      <w:marRight w:val="0"/>
                      <w:marTop w:val="0"/>
                      <w:marBottom w:val="0"/>
                      <w:divBdr>
                        <w:top w:val="none" w:sz="0" w:space="0" w:color="auto"/>
                        <w:left w:val="none" w:sz="0" w:space="0" w:color="auto"/>
                        <w:bottom w:val="none" w:sz="0" w:space="0" w:color="auto"/>
                        <w:right w:val="none" w:sz="0" w:space="0" w:color="auto"/>
                      </w:divBdr>
                    </w:div>
                    <w:div w:id="294151561">
                      <w:marLeft w:val="0"/>
                      <w:marRight w:val="0"/>
                      <w:marTop w:val="0"/>
                      <w:marBottom w:val="0"/>
                      <w:divBdr>
                        <w:top w:val="none" w:sz="0" w:space="0" w:color="auto"/>
                        <w:left w:val="none" w:sz="0" w:space="0" w:color="auto"/>
                        <w:bottom w:val="none" w:sz="0" w:space="0" w:color="auto"/>
                        <w:right w:val="none" w:sz="0" w:space="0" w:color="auto"/>
                      </w:divBdr>
                      <w:divsChild>
                        <w:div w:id="294154140">
                          <w:marLeft w:val="0"/>
                          <w:marRight w:val="0"/>
                          <w:marTop w:val="0"/>
                          <w:marBottom w:val="0"/>
                          <w:divBdr>
                            <w:top w:val="none" w:sz="0" w:space="0" w:color="auto"/>
                            <w:left w:val="none" w:sz="0" w:space="0" w:color="auto"/>
                            <w:bottom w:val="none" w:sz="0" w:space="0" w:color="auto"/>
                            <w:right w:val="none" w:sz="0" w:space="0" w:color="auto"/>
                          </w:divBdr>
                        </w:div>
                      </w:divsChild>
                    </w:div>
                    <w:div w:id="294151693">
                      <w:marLeft w:val="0"/>
                      <w:marRight w:val="0"/>
                      <w:marTop w:val="0"/>
                      <w:marBottom w:val="0"/>
                      <w:divBdr>
                        <w:top w:val="none" w:sz="0" w:space="0" w:color="auto"/>
                        <w:left w:val="none" w:sz="0" w:space="0" w:color="auto"/>
                        <w:bottom w:val="none" w:sz="0" w:space="0" w:color="auto"/>
                        <w:right w:val="none" w:sz="0" w:space="0" w:color="auto"/>
                      </w:divBdr>
                    </w:div>
                    <w:div w:id="294151752">
                      <w:marLeft w:val="0"/>
                      <w:marRight w:val="0"/>
                      <w:marTop w:val="0"/>
                      <w:marBottom w:val="0"/>
                      <w:divBdr>
                        <w:top w:val="none" w:sz="0" w:space="0" w:color="auto"/>
                        <w:left w:val="none" w:sz="0" w:space="0" w:color="auto"/>
                        <w:bottom w:val="none" w:sz="0" w:space="0" w:color="auto"/>
                        <w:right w:val="none" w:sz="0" w:space="0" w:color="auto"/>
                      </w:divBdr>
                      <w:divsChild>
                        <w:div w:id="294149475">
                          <w:marLeft w:val="0"/>
                          <w:marRight w:val="0"/>
                          <w:marTop w:val="0"/>
                          <w:marBottom w:val="0"/>
                          <w:divBdr>
                            <w:top w:val="none" w:sz="0" w:space="0" w:color="auto"/>
                            <w:left w:val="none" w:sz="0" w:space="0" w:color="auto"/>
                            <w:bottom w:val="none" w:sz="0" w:space="0" w:color="auto"/>
                            <w:right w:val="none" w:sz="0" w:space="0" w:color="auto"/>
                          </w:divBdr>
                        </w:div>
                      </w:divsChild>
                    </w:div>
                    <w:div w:id="294151825">
                      <w:marLeft w:val="0"/>
                      <w:marRight w:val="0"/>
                      <w:marTop w:val="0"/>
                      <w:marBottom w:val="0"/>
                      <w:divBdr>
                        <w:top w:val="none" w:sz="0" w:space="0" w:color="auto"/>
                        <w:left w:val="none" w:sz="0" w:space="0" w:color="auto"/>
                        <w:bottom w:val="none" w:sz="0" w:space="0" w:color="auto"/>
                        <w:right w:val="none" w:sz="0" w:space="0" w:color="auto"/>
                      </w:divBdr>
                    </w:div>
                    <w:div w:id="294151872">
                      <w:marLeft w:val="0"/>
                      <w:marRight w:val="0"/>
                      <w:marTop w:val="0"/>
                      <w:marBottom w:val="0"/>
                      <w:divBdr>
                        <w:top w:val="none" w:sz="0" w:space="0" w:color="auto"/>
                        <w:left w:val="none" w:sz="0" w:space="0" w:color="auto"/>
                        <w:bottom w:val="none" w:sz="0" w:space="0" w:color="auto"/>
                        <w:right w:val="none" w:sz="0" w:space="0" w:color="auto"/>
                      </w:divBdr>
                    </w:div>
                    <w:div w:id="294151884">
                      <w:marLeft w:val="0"/>
                      <w:marRight w:val="0"/>
                      <w:marTop w:val="0"/>
                      <w:marBottom w:val="0"/>
                      <w:divBdr>
                        <w:top w:val="none" w:sz="0" w:space="0" w:color="auto"/>
                        <w:left w:val="none" w:sz="0" w:space="0" w:color="auto"/>
                        <w:bottom w:val="none" w:sz="0" w:space="0" w:color="auto"/>
                        <w:right w:val="none" w:sz="0" w:space="0" w:color="auto"/>
                      </w:divBdr>
                      <w:divsChild>
                        <w:div w:id="294143935">
                          <w:marLeft w:val="0"/>
                          <w:marRight w:val="0"/>
                          <w:marTop w:val="0"/>
                          <w:marBottom w:val="0"/>
                          <w:divBdr>
                            <w:top w:val="none" w:sz="0" w:space="0" w:color="auto"/>
                            <w:left w:val="none" w:sz="0" w:space="0" w:color="auto"/>
                            <w:bottom w:val="none" w:sz="0" w:space="0" w:color="auto"/>
                            <w:right w:val="none" w:sz="0" w:space="0" w:color="auto"/>
                          </w:divBdr>
                        </w:div>
                      </w:divsChild>
                    </w:div>
                    <w:div w:id="294151928">
                      <w:marLeft w:val="0"/>
                      <w:marRight w:val="0"/>
                      <w:marTop w:val="0"/>
                      <w:marBottom w:val="0"/>
                      <w:divBdr>
                        <w:top w:val="none" w:sz="0" w:space="0" w:color="auto"/>
                        <w:left w:val="none" w:sz="0" w:space="0" w:color="auto"/>
                        <w:bottom w:val="none" w:sz="0" w:space="0" w:color="auto"/>
                        <w:right w:val="none" w:sz="0" w:space="0" w:color="auto"/>
                      </w:divBdr>
                      <w:divsChild>
                        <w:div w:id="294151402">
                          <w:marLeft w:val="0"/>
                          <w:marRight w:val="0"/>
                          <w:marTop w:val="0"/>
                          <w:marBottom w:val="0"/>
                          <w:divBdr>
                            <w:top w:val="none" w:sz="0" w:space="0" w:color="auto"/>
                            <w:left w:val="none" w:sz="0" w:space="0" w:color="auto"/>
                            <w:bottom w:val="none" w:sz="0" w:space="0" w:color="auto"/>
                            <w:right w:val="none" w:sz="0" w:space="0" w:color="auto"/>
                          </w:divBdr>
                        </w:div>
                      </w:divsChild>
                    </w:div>
                    <w:div w:id="294151948">
                      <w:marLeft w:val="0"/>
                      <w:marRight w:val="0"/>
                      <w:marTop w:val="0"/>
                      <w:marBottom w:val="0"/>
                      <w:divBdr>
                        <w:top w:val="none" w:sz="0" w:space="0" w:color="auto"/>
                        <w:left w:val="none" w:sz="0" w:space="0" w:color="auto"/>
                        <w:bottom w:val="none" w:sz="0" w:space="0" w:color="auto"/>
                        <w:right w:val="none" w:sz="0" w:space="0" w:color="auto"/>
                      </w:divBdr>
                    </w:div>
                    <w:div w:id="294151986">
                      <w:marLeft w:val="0"/>
                      <w:marRight w:val="0"/>
                      <w:marTop w:val="0"/>
                      <w:marBottom w:val="0"/>
                      <w:divBdr>
                        <w:top w:val="none" w:sz="0" w:space="0" w:color="auto"/>
                        <w:left w:val="none" w:sz="0" w:space="0" w:color="auto"/>
                        <w:bottom w:val="none" w:sz="0" w:space="0" w:color="auto"/>
                        <w:right w:val="none" w:sz="0" w:space="0" w:color="auto"/>
                      </w:divBdr>
                      <w:divsChild>
                        <w:div w:id="294150032">
                          <w:marLeft w:val="0"/>
                          <w:marRight w:val="0"/>
                          <w:marTop w:val="0"/>
                          <w:marBottom w:val="0"/>
                          <w:divBdr>
                            <w:top w:val="none" w:sz="0" w:space="0" w:color="auto"/>
                            <w:left w:val="none" w:sz="0" w:space="0" w:color="auto"/>
                            <w:bottom w:val="none" w:sz="0" w:space="0" w:color="auto"/>
                            <w:right w:val="none" w:sz="0" w:space="0" w:color="auto"/>
                          </w:divBdr>
                        </w:div>
                      </w:divsChild>
                    </w:div>
                    <w:div w:id="294152034">
                      <w:marLeft w:val="0"/>
                      <w:marRight w:val="0"/>
                      <w:marTop w:val="0"/>
                      <w:marBottom w:val="0"/>
                      <w:divBdr>
                        <w:top w:val="none" w:sz="0" w:space="0" w:color="auto"/>
                        <w:left w:val="none" w:sz="0" w:space="0" w:color="auto"/>
                        <w:bottom w:val="none" w:sz="0" w:space="0" w:color="auto"/>
                        <w:right w:val="none" w:sz="0" w:space="0" w:color="auto"/>
                      </w:divBdr>
                      <w:divsChild>
                        <w:div w:id="294153722">
                          <w:marLeft w:val="0"/>
                          <w:marRight w:val="0"/>
                          <w:marTop w:val="0"/>
                          <w:marBottom w:val="0"/>
                          <w:divBdr>
                            <w:top w:val="none" w:sz="0" w:space="0" w:color="auto"/>
                            <w:left w:val="none" w:sz="0" w:space="0" w:color="auto"/>
                            <w:bottom w:val="none" w:sz="0" w:space="0" w:color="auto"/>
                            <w:right w:val="none" w:sz="0" w:space="0" w:color="auto"/>
                          </w:divBdr>
                        </w:div>
                      </w:divsChild>
                    </w:div>
                    <w:div w:id="294152042">
                      <w:marLeft w:val="0"/>
                      <w:marRight w:val="0"/>
                      <w:marTop w:val="0"/>
                      <w:marBottom w:val="0"/>
                      <w:divBdr>
                        <w:top w:val="none" w:sz="0" w:space="0" w:color="auto"/>
                        <w:left w:val="none" w:sz="0" w:space="0" w:color="auto"/>
                        <w:bottom w:val="none" w:sz="0" w:space="0" w:color="auto"/>
                        <w:right w:val="none" w:sz="0" w:space="0" w:color="auto"/>
                      </w:divBdr>
                      <w:divsChild>
                        <w:div w:id="294150893">
                          <w:marLeft w:val="0"/>
                          <w:marRight w:val="0"/>
                          <w:marTop w:val="0"/>
                          <w:marBottom w:val="0"/>
                          <w:divBdr>
                            <w:top w:val="none" w:sz="0" w:space="0" w:color="auto"/>
                            <w:left w:val="none" w:sz="0" w:space="0" w:color="auto"/>
                            <w:bottom w:val="none" w:sz="0" w:space="0" w:color="auto"/>
                            <w:right w:val="none" w:sz="0" w:space="0" w:color="auto"/>
                          </w:divBdr>
                        </w:div>
                      </w:divsChild>
                    </w:div>
                    <w:div w:id="294152083">
                      <w:marLeft w:val="0"/>
                      <w:marRight w:val="0"/>
                      <w:marTop w:val="0"/>
                      <w:marBottom w:val="0"/>
                      <w:divBdr>
                        <w:top w:val="none" w:sz="0" w:space="0" w:color="auto"/>
                        <w:left w:val="none" w:sz="0" w:space="0" w:color="auto"/>
                        <w:bottom w:val="none" w:sz="0" w:space="0" w:color="auto"/>
                        <w:right w:val="none" w:sz="0" w:space="0" w:color="auto"/>
                      </w:divBdr>
                    </w:div>
                    <w:div w:id="294152130">
                      <w:marLeft w:val="0"/>
                      <w:marRight w:val="0"/>
                      <w:marTop w:val="0"/>
                      <w:marBottom w:val="0"/>
                      <w:divBdr>
                        <w:top w:val="none" w:sz="0" w:space="0" w:color="auto"/>
                        <w:left w:val="none" w:sz="0" w:space="0" w:color="auto"/>
                        <w:bottom w:val="none" w:sz="0" w:space="0" w:color="auto"/>
                        <w:right w:val="none" w:sz="0" w:space="0" w:color="auto"/>
                      </w:divBdr>
                      <w:divsChild>
                        <w:div w:id="294148819">
                          <w:marLeft w:val="0"/>
                          <w:marRight w:val="0"/>
                          <w:marTop w:val="0"/>
                          <w:marBottom w:val="0"/>
                          <w:divBdr>
                            <w:top w:val="none" w:sz="0" w:space="0" w:color="auto"/>
                            <w:left w:val="none" w:sz="0" w:space="0" w:color="auto"/>
                            <w:bottom w:val="none" w:sz="0" w:space="0" w:color="auto"/>
                            <w:right w:val="none" w:sz="0" w:space="0" w:color="auto"/>
                          </w:divBdr>
                        </w:div>
                      </w:divsChild>
                    </w:div>
                    <w:div w:id="294152144">
                      <w:marLeft w:val="0"/>
                      <w:marRight w:val="0"/>
                      <w:marTop w:val="0"/>
                      <w:marBottom w:val="0"/>
                      <w:divBdr>
                        <w:top w:val="none" w:sz="0" w:space="0" w:color="auto"/>
                        <w:left w:val="none" w:sz="0" w:space="0" w:color="auto"/>
                        <w:bottom w:val="none" w:sz="0" w:space="0" w:color="auto"/>
                        <w:right w:val="none" w:sz="0" w:space="0" w:color="auto"/>
                      </w:divBdr>
                      <w:divsChild>
                        <w:div w:id="294152925">
                          <w:marLeft w:val="0"/>
                          <w:marRight w:val="0"/>
                          <w:marTop w:val="0"/>
                          <w:marBottom w:val="0"/>
                          <w:divBdr>
                            <w:top w:val="none" w:sz="0" w:space="0" w:color="auto"/>
                            <w:left w:val="none" w:sz="0" w:space="0" w:color="auto"/>
                            <w:bottom w:val="none" w:sz="0" w:space="0" w:color="auto"/>
                            <w:right w:val="none" w:sz="0" w:space="0" w:color="auto"/>
                          </w:divBdr>
                        </w:div>
                      </w:divsChild>
                    </w:div>
                    <w:div w:id="294152228">
                      <w:marLeft w:val="0"/>
                      <w:marRight w:val="0"/>
                      <w:marTop w:val="0"/>
                      <w:marBottom w:val="0"/>
                      <w:divBdr>
                        <w:top w:val="none" w:sz="0" w:space="0" w:color="auto"/>
                        <w:left w:val="none" w:sz="0" w:space="0" w:color="auto"/>
                        <w:bottom w:val="none" w:sz="0" w:space="0" w:color="auto"/>
                        <w:right w:val="none" w:sz="0" w:space="0" w:color="auto"/>
                      </w:divBdr>
                      <w:divsChild>
                        <w:div w:id="294142343">
                          <w:marLeft w:val="0"/>
                          <w:marRight w:val="0"/>
                          <w:marTop w:val="0"/>
                          <w:marBottom w:val="0"/>
                          <w:divBdr>
                            <w:top w:val="none" w:sz="0" w:space="0" w:color="auto"/>
                            <w:left w:val="none" w:sz="0" w:space="0" w:color="auto"/>
                            <w:bottom w:val="none" w:sz="0" w:space="0" w:color="auto"/>
                            <w:right w:val="none" w:sz="0" w:space="0" w:color="auto"/>
                          </w:divBdr>
                        </w:div>
                      </w:divsChild>
                    </w:div>
                    <w:div w:id="294152257">
                      <w:marLeft w:val="0"/>
                      <w:marRight w:val="0"/>
                      <w:marTop w:val="0"/>
                      <w:marBottom w:val="0"/>
                      <w:divBdr>
                        <w:top w:val="none" w:sz="0" w:space="0" w:color="auto"/>
                        <w:left w:val="none" w:sz="0" w:space="0" w:color="auto"/>
                        <w:bottom w:val="none" w:sz="0" w:space="0" w:color="auto"/>
                        <w:right w:val="none" w:sz="0" w:space="0" w:color="auto"/>
                      </w:divBdr>
                    </w:div>
                    <w:div w:id="294152262">
                      <w:marLeft w:val="0"/>
                      <w:marRight w:val="0"/>
                      <w:marTop w:val="0"/>
                      <w:marBottom w:val="0"/>
                      <w:divBdr>
                        <w:top w:val="none" w:sz="0" w:space="0" w:color="auto"/>
                        <w:left w:val="none" w:sz="0" w:space="0" w:color="auto"/>
                        <w:bottom w:val="none" w:sz="0" w:space="0" w:color="auto"/>
                        <w:right w:val="none" w:sz="0" w:space="0" w:color="auto"/>
                      </w:divBdr>
                      <w:divsChild>
                        <w:div w:id="294146470">
                          <w:marLeft w:val="0"/>
                          <w:marRight w:val="0"/>
                          <w:marTop w:val="0"/>
                          <w:marBottom w:val="0"/>
                          <w:divBdr>
                            <w:top w:val="none" w:sz="0" w:space="0" w:color="auto"/>
                            <w:left w:val="none" w:sz="0" w:space="0" w:color="auto"/>
                            <w:bottom w:val="none" w:sz="0" w:space="0" w:color="auto"/>
                            <w:right w:val="none" w:sz="0" w:space="0" w:color="auto"/>
                          </w:divBdr>
                        </w:div>
                      </w:divsChild>
                    </w:div>
                    <w:div w:id="294152312">
                      <w:marLeft w:val="0"/>
                      <w:marRight w:val="0"/>
                      <w:marTop w:val="0"/>
                      <w:marBottom w:val="0"/>
                      <w:divBdr>
                        <w:top w:val="none" w:sz="0" w:space="0" w:color="auto"/>
                        <w:left w:val="none" w:sz="0" w:space="0" w:color="auto"/>
                        <w:bottom w:val="none" w:sz="0" w:space="0" w:color="auto"/>
                        <w:right w:val="none" w:sz="0" w:space="0" w:color="auto"/>
                      </w:divBdr>
                      <w:divsChild>
                        <w:div w:id="294157040">
                          <w:marLeft w:val="0"/>
                          <w:marRight w:val="0"/>
                          <w:marTop w:val="0"/>
                          <w:marBottom w:val="0"/>
                          <w:divBdr>
                            <w:top w:val="none" w:sz="0" w:space="0" w:color="auto"/>
                            <w:left w:val="none" w:sz="0" w:space="0" w:color="auto"/>
                            <w:bottom w:val="none" w:sz="0" w:space="0" w:color="auto"/>
                            <w:right w:val="none" w:sz="0" w:space="0" w:color="auto"/>
                          </w:divBdr>
                        </w:div>
                      </w:divsChild>
                    </w:div>
                    <w:div w:id="294152327">
                      <w:marLeft w:val="0"/>
                      <w:marRight w:val="0"/>
                      <w:marTop w:val="0"/>
                      <w:marBottom w:val="0"/>
                      <w:divBdr>
                        <w:top w:val="none" w:sz="0" w:space="0" w:color="auto"/>
                        <w:left w:val="none" w:sz="0" w:space="0" w:color="auto"/>
                        <w:bottom w:val="none" w:sz="0" w:space="0" w:color="auto"/>
                        <w:right w:val="none" w:sz="0" w:space="0" w:color="auto"/>
                      </w:divBdr>
                      <w:divsChild>
                        <w:div w:id="294147194">
                          <w:marLeft w:val="0"/>
                          <w:marRight w:val="0"/>
                          <w:marTop w:val="0"/>
                          <w:marBottom w:val="0"/>
                          <w:divBdr>
                            <w:top w:val="none" w:sz="0" w:space="0" w:color="auto"/>
                            <w:left w:val="none" w:sz="0" w:space="0" w:color="auto"/>
                            <w:bottom w:val="none" w:sz="0" w:space="0" w:color="auto"/>
                            <w:right w:val="none" w:sz="0" w:space="0" w:color="auto"/>
                          </w:divBdr>
                        </w:div>
                      </w:divsChild>
                    </w:div>
                    <w:div w:id="294152432">
                      <w:marLeft w:val="0"/>
                      <w:marRight w:val="0"/>
                      <w:marTop w:val="0"/>
                      <w:marBottom w:val="0"/>
                      <w:divBdr>
                        <w:top w:val="none" w:sz="0" w:space="0" w:color="auto"/>
                        <w:left w:val="none" w:sz="0" w:space="0" w:color="auto"/>
                        <w:bottom w:val="none" w:sz="0" w:space="0" w:color="auto"/>
                        <w:right w:val="none" w:sz="0" w:space="0" w:color="auto"/>
                      </w:divBdr>
                    </w:div>
                    <w:div w:id="294152527">
                      <w:marLeft w:val="0"/>
                      <w:marRight w:val="0"/>
                      <w:marTop w:val="0"/>
                      <w:marBottom w:val="0"/>
                      <w:divBdr>
                        <w:top w:val="none" w:sz="0" w:space="0" w:color="auto"/>
                        <w:left w:val="none" w:sz="0" w:space="0" w:color="auto"/>
                        <w:bottom w:val="none" w:sz="0" w:space="0" w:color="auto"/>
                        <w:right w:val="none" w:sz="0" w:space="0" w:color="auto"/>
                      </w:divBdr>
                    </w:div>
                    <w:div w:id="294152565">
                      <w:marLeft w:val="0"/>
                      <w:marRight w:val="0"/>
                      <w:marTop w:val="0"/>
                      <w:marBottom w:val="0"/>
                      <w:divBdr>
                        <w:top w:val="none" w:sz="0" w:space="0" w:color="auto"/>
                        <w:left w:val="none" w:sz="0" w:space="0" w:color="auto"/>
                        <w:bottom w:val="none" w:sz="0" w:space="0" w:color="auto"/>
                        <w:right w:val="none" w:sz="0" w:space="0" w:color="auto"/>
                      </w:divBdr>
                    </w:div>
                    <w:div w:id="294152569">
                      <w:marLeft w:val="0"/>
                      <w:marRight w:val="0"/>
                      <w:marTop w:val="0"/>
                      <w:marBottom w:val="0"/>
                      <w:divBdr>
                        <w:top w:val="none" w:sz="0" w:space="0" w:color="auto"/>
                        <w:left w:val="none" w:sz="0" w:space="0" w:color="auto"/>
                        <w:bottom w:val="none" w:sz="0" w:space="0" w:color="auto"/>
                        <w:right w:val="none" w:sz="0" w:space="0" w:color="auto"/>
                      </w:divBdr>
                    </w:div>
                    <w:div w:id="294152700">
                      <w:marLeft w:val="0"/>
                      <w:marRight w:val="0"/>
                      <w:marTop w:val="0"/>
                      <w:marBottom w:val="0"/>
                      <w:divBdr>
                        <w:top w:val="none" w:sz="0" w:space="0" w:color="auto"/>
                        <w:left w:val="none" w:sz="0" w:space="0" w:color="auto"/>
                        <w:bottom w:val="none" w:sz="0" w:space="0" w:color="auto"/>
                        <w:right w:val="none" w:sz="0" w:space="0" w:color="auto"/>
                      </w:divBdr>
                      <w:divsChild>
                        <w:div w:id="294148590">
                          <w:marLeft w:val="0"/>
                          <w:marRight w:val="0"/>
                          <w:marTop w:val="0"/>
                          <w:marBottom w:val="0"/>
                          <w:divBdr>
                            <w:top w:val="none" w:sz="0" w:space="0" w:color="auto"/>
                            <w:left w:val="none" w:sz="0" w:space="0" w:color="auto"/>
                            <w:bottom w:val="none" w:sz="0" w:space="0" w:color="auto"/>
                            <w:right w:val="none" w:sz="0" w:space="0" w:color="auto"/>
                          </w:divBdr>
                        </w:div>
                      </w:divsChild>
                    </w:div>
                    <w:div w:id="294152701">
                      <w:marLeft w:val="0"/>
                      <w:marRight w:val="0"/>
                      <w:marTop w:val="0"/>
                      <w:marBottom w:val="0"/>
                      <w:divBdr>
                        <w:top w:val="none" w:sz="0" w:space="0" w:color="auto"/>
                        <w:left w:val="none" w:sz="0" w:space="0" w:color="auto"/>
                        <w:bottom w:val="none" w:sz="0" w:space="0" w:color="auto"/>
                        <w:right w:val="none" w:sz="0" w:space="0" w:color="auto"/>
                      </w:divBdr>
                    </w:div>
                    <w:div w:id="294152705">
                      <w:marLeft w:val="0"/>
                      <w:marRight w:val="0"/>
                      <w:marTop w:val="0"/>
                      <w:marBottom w:val="0"/>
                      <w:divBdr>
                        <w:top w:val="none" w:sz="0" w:space="0" w:color="auto"/>
                        <w:left w:val="none" w:sz="0" w:space="0" w:color="auto"/>
                        <w:bottom w:val="none" w:sz="0" w:space="0" w:color="auto"/>
                        <w:right w:val="none" w:sz="0" w:space="0" w:color="auto"/>
                      </w:divBdr>
                      <w:divsChild>
                        <w:div w:id="294144784">
                          <w:marLeft w:val="0"/>
                          <w:marRight w:val="0"/>
                          <w:marTop w:val="0"/>
                          <w:marBottom w:val="0"/>
                          <w:divBdr>
                            <w:top w:val="none" w:sz="0" w:space="0" w:color="auto"/>
                            <w:left w:val="none" w:sz="0" w:space="0" w:color="auto"/>
                            <w:bottom w:val="none" w:sz="0" w:space="0" w:color="auto"/>
                            <w:right w:val="none" w:sz="0" w:space="0" w:color="auto"/>
                          </w:divBdr>
                        </w:div>
                      </w:divsChild>
                    </w:div>
                    <w:div w:id="294152889">
                      <w:marLeft w:val="0"/>
                      <w:marRight w:val="0"/>
                      <w:marTop w:val="0"/>
                      <w:marBottom w:val="0"/>
                      <w:divBdr>
                        <w:top w:val="none" w:sz="0" w:space="0" w:color="auto"/>
                        <w:left w:val="none" w:sz="0" w:space="0" w:color="auto"/>
                        <w:bottom w:val="none" w:sz="0" w:space="0" w:color="auto"/>
                        <w:right w:val="none" w:sz="0" w:space="0" w:color="auto"/>
                      </w:divBdr>
                    </w:div>
                    <w:div w:id="294152929">
                      <w:marLeft w:val="0"/>
                      <w:marRight w:val="0"/>
                      <w:marTop w:val="0"/>
                      <w:marBottom w:val="0"/>
                      <w:divBdr>
                        <w:top w:val="none" w:sz="0" w:space="0" w:color="auto"/>
                        <w:left w:val="none" w:sz="0" w:space="0" w:color="auto"/>
                        <w:bottom w:val="none" w:sz="0" w:space="0" w:color="auto"/>
                        <w:right w:val="none" w:sz="0" w:space="0" w:color="auto"/>
                      </w:divBdr>
                    </w:div>
                    <w:div w:id="294152970">
                      <w:marLeft w:val="0"/>
                      <w:marRight w:val="0"/>
                      <w:marTop w:val="0"/>
                      <w:marBottom w:val="0"/>
                      <w:divBdr>
                        <w:top w:val="none" w:sz="0" w:space="0" w:color="auto"/>
                        <w:left w:val="none" w:sz="0" w:space="0" w:color="auto"/>
                        <w:bottom w:val="none" w:sz="0" w:space="0" w:color="auto"/>
                        <w:right w:val="none" w:sz="0" w:space="0" w:color="auto"/>
                      </w:divBdr>
                      <w:divsChild>
                        <w:div w:id="294141390">
                          <w:marLeft w:val="0"/>
                          <w:marRight w:val="0"/>
                          <w:marTop w:val="0"/>
                          <w:marBottom w:val="0"/>
                          <w:divBdr>
                            <w:top w:val="none" w:sz="0" w:space="0" w:color="auto"/>
                            <w:left w:val="none" w:sz="0" w:space="0" w:color="auto"/>
                            <w:bottom w:val="none" w:sz="0" w:space="0" w:color="auto"/>
                            <w:right w:val="none" w:sz="0" w:space="0" w:color="auto"/>
                          </w:divBdr>
                        </w:div>
                      </w:divsChild>
                    </w:div>
                    <w:div w:id="294153040">
                      <w:marLeft w:val="0"/>
                      <w:marRight w:val="0"/>
                      <w:marTop w:val="0"/>
                      <w:marBottom w:val="0"/>
                      <w:divBdr>
                        <w:top w:val="none" w:sz="0" w:space="0" w:color="auto"/>
                        <w:left w:val="none" w:sz="0" w:space="0" w:color="auto"/>
                        <w:bottom w:val="none" w:sz="0" w:space="0" w:color="auto"/>
                        <w:right w:val="none" w:sz="0" w:space="0" w:color="auto"/>
                      </w:divBdr>
                    </w:div>
                    <w:div w:id="294153196">
                      <w:marLeft w:val="0"/>
                      <w:marRight w:val="0"/>
                      <w:marTop w:val="0"/>
                      <w:marBottom w:val="0"/>
                      <w:divBdr>
                        <w:top w:val="none" w:sz="0" w:space="0" w:color="auto"/>
                        <w:left w:val="none" w:sz="0" w:space="0" w:color="auto"/>
                        <w:bottom w:val="none" w:sz="0" w:space="0" w:color="auto"/>
                        <w:right w:val="none" w:sz="0" w:space="0" w:color="auto"/>
                      </w:divBdr>
                      <w:divsChild>
                        <w:div w:id="294156716">
                          <w:marLeft w:val="0"/>
                          <w:marRight w:val="0"/>
                          <w:marTop w:val="0"/>
                          <w:marBottom w:val="0"/>
                          <w:divBdr>
                            <w:top w:val="none" w:sz="0" w:space="0" w:color="auto"/>
                            <w:left w:val="none" w:sz="0" w:space="0" w:color="auto"/>
                            <w:bottom w:val="none" w:sz="0" w:space="0" w:color="auto"/>
                            <w:right w:val="none" w:sz="0" w:space="0" w:color="auto"/>
                          </w:divBdr>
                        </w:div>
                      </w:divsChild>
                    </w:div>
                    <w:div w:id="294153224">
                      <w:marLeft w:val="0"/>
                      <w:marRight w:val="0"/>
                      <w:marTop w:val="0"/>
                      <w:marBottom w:val="0"/>
                      <w:divBdr>
                        <w:top w:val="none" w:sz="0" w:space="0" w:color="auto"/>
                        <w:left w:val="none" w:sz="0" w:space="0" w:color="auto"/>
                        <w:bottom w:val="none" w:sz="0" w:space="0" w:color="auto"/>
                        <w:right w:val="none" w:sz="0" w:space="0" w:color="auto"/>
                      </w:divBdr>
                    </w:div>
                    <w:div w:id="294153268">
                      <w:marLeft w:val="0"/>
                      <w:marRight w:val="0"/>
                      <w:marTop w:val="0"/>
                      <w:marBottom w:val="0"/>
                      <w:divBdr>
                        <w:top w:val="none" w:sz="0" w:space="0" w:color="auto"/>
                        <w:left w:val="none" w:sz="0" w:space="0" w:color="auto"/>
                        <w:bottom w:val="none" w:sz="0" w:space="0" w:color="auto"/>
                        <w:right w:val="none" w:sz="0" w:space="0" w:color="auto"/>
                      </w:divBdr>
                      <w:divsChild>
                        <w:div w:id="294153597">
                          <w:marLeft w:val="0"/>
                          <w:marRight w:val="0"/>
                          <w:marTop w:val="0"/>
                          <w:marBottom w:val="0"/>
                          <w:divBdr>
                            <w:top w:val="none" w:sz="0" w:space="0" w:color="auto"/>
                            <w:left w:val="none" w:sz="0" w:space="0" w:color="auto"/>
                            <w:bottom w:val="none" w:sz="0" w:space="0" w:color="auto"/>
                            <w:right w:val="none" w:sz="0" w:space="0" w:color="auto"/>
                          </w:divBdr>
                        </w:div>
                      </w:divsChild>
                    </w:div>
                    <w:div w:id="294153290">
                      <w:marLeft w:val="0"/>
                      <w:marRight w:val="0"/>
                      <w:marTop w:val="0"/>
                      <w:marBottom w:val="0"/>
                      <w:divBdr>
                        <w:top w:val="none" w:sz="0" w:space="0" w:color="auto"/>
                        <w:left w:val="none" w:sz="0" w:space="0" w:color="auto"/>
                        <w:bottom w:val="none" w:sz="0" w:space="0" w:color="auto"/>
                        <w:right w:val="none" w:sz="0" w:space="0" w:color="auto"/>
                      </w:divBdr>
                    </w:div>
                    <w:div w:id="294153313">
                      <w:marLeft w:val="0"/>
                      <w:marRight w:val="0"/>
                      <w:marTop w:val="0"/>
                      <w:marBottom w:val="0"/>
                      <w:divBdr>
                        <w:top w:val="none" w:sz="0" w:space="0" w:color="auto"/>
                        <w:left w:val="none" w:sz="0" w:space="0" w:color="auto"/>
                        <w:bottom w:val="none" w:sz="0" w:space="0" w:color="auto"/>
                        <w:right w:val="none" w:sz="0" w:space="0" w:color="auto"/>
                      </w:divBdr>
                    </w:div>
                    <w:div w:id="294153366">
                      <w:marLeft w:val="0"/>
                      <w:marRight w:val="0"/>
                      <w:marTop w:val="0"/>
                      <w:marBottom w:val="0"/>
                      <w:divBdr>
                        <w:top w:val="none" w:sz="0" w:space="0" w:color="auto"/>
                        <w:left w:val="none" w:sz="0" w:space="0" w:color="auto"/>
                        <w:bottom w:val="none" w:sz="0" w:space="0" w:color="auto"/>
                        <w:right w:val="none" w:sz="0" w:space="0" w:color="auto"/>
                      </w:divBdr>
                      <w:divsChild>
                        <w:div w:id="294144999">
                          <w:marLeft w:val="0"/>
                          <w:marRight w:val="0"/>
                          <w:marTop w:val="0"/>
                          <w:marBottom w:val="0"/>
                          <w:divBdr>
                            <w:top w:val="none" w:sz="0" w:space="0" w:color="auto"/>
                            <w:left w:val="none" w:sz="0" w:space="0" w:color="auto"/>
                            <w:bottom w:val="none" w:sz="0" w:space="0" w:color="auto"/>
                            <w:right w:val="none" w:sz="0" w:space="0" w:color="auto"/>
                          </w:divBdr>
                        </w:div>
                      </w:divsChild>
                    </w:div>
                    <w:div w:id="294153376">
                      <w:marLeft w:val="0"/>
                      <w:marRight w:val="0"/>
                      <w:marTop w:val="0"/>
                      <w:marBottom w:val="0"/>
                      <w:divBdr>
                        <w:top w:val="none" w:sz="0" w:space="0" w:color="auto"/>
                        <w:left w:val="none" w:sz="0" w:space="0" w:color="auto"/>
                        <w:bottom w:val="none" w:sz="0" w:space="0" w:color="auto"/>
                        <w:right w:val="none" w:sz="0" w:space="0" w:color="auto"/>
                      </w:divBdr>
                      <w:divsChild>
                        <w:div w:id="294146099">
                          <w:marLeft w:val="0"/>
                          <w:marRight w:val="0"/>
                          <w:marTop w:val="0"/>
                          <w:marBottom w:val="0"/>
                          <w:divBdr>
                            <w:top w:val="none" w:sz="0" w:space="0" w:color="auto"/>
                            <w:left w:val="none" w:sz="0" w:space="0" w:color="auto"/>
                            <w:bottom w:val="none" w:sz="0" w:space="0" w:color="auto"/>
                            <w:right w:val="none" w:sz="0" w:space="0" w:color="auto"/>
                          </w:divBdr>
                        </w:div>
                      </w:divsChild>
                    </w:div>
                    <w:div w:id="294153618">
                      <w:marLeft w:val="0"/>
                      <w:marRight w:val="0"/>
                      <w:marTop w:val="0"/>
                      <w:marBottom w:val="0"/>
                      <w:divBdr>
                        <w:top w:val="none" w:sz="0" w:space="0" w:color="auto"/>
                        <w:left w:val="none" w:sz="0" w:space="0" w:color="auto"/>
                        <w:bottom w:val="none" w:sz="0" w:space="0" w:color="auto"/>
                        <w:right w:val="none" w:sz="0" w:space="0" w:color="auto"/>
                      </w:divBdr>
                      <w:divsChild>
                        <w:div w:id="294138162">
                          <w:marLeft w:val="0"/>
                          <w:marRight w:val="0"/>
                          <w:marTop w:val="0"/>
                          <w:marBottom w:val="0"/>
                          <w:divBdr>
                            <w:top w:val="none" w:sz="0" w:space="0" w:color="auto"/>
                            <w:left w:val="none" w:sz="0" w:space="0" w:color="auto"/>
                            <w:bottom w:val="none" w:sz="0" w:space="0" w:color="auto"/>
                            <w:right w:val="none" w:sz="0" w:space="0" w:color="auto"/>
                          </w:divBdr>
                        </w:div>
                      </w:divsChild>
                    </w:div>
                    <w:div w:id="294153636">
                      <w:marLeft w:val="0"/>
                      <w:marRight w:val="0"/>
                      <w:marTop w:val="0"/>
                      <w:marBottom w:val="0"/>
                      <w:divBdr>
                        <w:top w:val="none" w:sz="0" w:space="0" w:color="auto"/>
                        <w:left w:val="none" w:sz="0" w:space="0" w:color="auto"/>
                        <w:bottom w:val="none" w:sz="0" w:space="0" w:color="auto"/>
                        <w:right w:val="none" w:sz="0" w:space="0" w:color="auto"/>
                      </w:divBdr>
                    </w:div>
                    <w:div w:id="294153729">
                      <w:marLeft w:val="0"/>
                      <w:marRight w:val="0"/>
                      <w:marTop w:val="0"/>
                      <w:marBottom w:val="0"/>
                      <w:divBdr>
                        <w:top w:val="none" w:sz="0" w:space="0" w:color="auto"/>
                        <w:left w:val="none" w:sz="0" w:space="0" w:color="auto"/>
                        <w:bottom w:val="none" w:sz="0" w:space="0" w:color="auto"/>
                        <w:right w:val="none" w:sz="0" w:space="0" w:color="auto"/>
                      </w:divBdr>
                      <w:divsChild>
                        <w:div w:id="294151389">
                          <w:marLeft w:val="0"/>
                          <w:marRight w:val="0"/>
                          <w:marTop w:val="0"/>
                          <w:marBottom w:val="0"/>
                          <w:divBdr>
                            <w:top w:val="none" w:sz="0" w:space="0" w:color="auto"/>
                            <w:left w:val="none" w:sz="0" w:space="0" w:color="auto"/>
                            <w:bottom w:val="none" w:sz="0" w:space="0" w:color="auto"/>
                            <w:right w:val="none" w:sz="0" w:space="0" w:color="auto"/>
                          </w:divBdr>
                        </w:div>
                      </w:divsChild>
                    </w:div>
                    <w:div w:id="294153735">
                      <w:marLeft w:val="0"/>
                      <w:marRight w:val="0"/>
                      <w:marTop w:val="0"/>
                      <w:marBottom w:val="0"/>
                      <w:divBdr>
                        <w:top w:val="none" w:sz="0" w:space="0" w:color="auto"/>
                        <w:left w:val="none" w:sz="0" w:space="0" w:color="auto"/>
                        <w:bottom w:val="none" w:sz="0" w:space="0" w:color="auto"/>
                        <w:right w:val="none" w:sz="0" w:space="0" w:color="auto"/>
                      </w:divBdr>
                      <w:divsChild>
                        <w:div w:id="294139516">
                          <w:marLeft w:val="0"/>
                          <w:marRight w:val="0"/>
                          <w:marTop w:val="0"/>
                          <w:marBottom w:val="0"/>
                          <w:divBdr>
                            <w:top w:val="none" w:sz="0" w:space="0" w:color="auto"/>
                            <w:left w:val="none" w:sz="0" w:space="0" w:color="auto"/>
                            <w:bottom w:val="none" w:sz="0" w:space="0" w:color="auto"/>
                            <w:right w:val="none" w:sz="0" w:space="0" w:color="auto"/>
                          </w:divBdr>
                        </w:div>
                      </w:divsChild>
                    </w:div>
                    <w:div w:id="294153746">
                      <w:marLeft w:val="0"/>
                      <w:marRight w:val="0"/>
                      <w:marTop w:val="0"/>
                      <w:marBottom w:val="0"/>
                      <w:divBdr>
                        <w:top w:val="none" w:sz="0" w:space="0" w:color="auto"/>
                        <w:left w:val="none" w:sz="0" w:space="0" w:color="auto"/>
                        <w:bottom w:val="none" w:sz="0" w:space="0" w:color="auto"/>
                        <w:right w:val="none" w:sz="0" w:space="0" w:color="auto"/>
                      </w:divBdr>
                      <w:divsChild>
                        <w:div w:id="294142004">
                          <w:marLeft w:val="0"/>
                          <w:marRight w:val="0"/>
                          <w:marTop w:val="0"/>
                          <w:marBottom w:val="0"/>
                          <w:divBdr>
                            <w:top w:val="none" w:sz="0" w:space="0" w:color="auto"/>
                            <w:left w:val="none" w:sz="0" w:space="0" w:color="auto"/>
                            <w:bottom w:val="none" w:sz="0" w:space="0" w:color="auto"/>
                            <w:right w:val="none" w:sz="0" w:space="0" w:color="auto"/>
                          </w:divBdr>
                        </w:div>
                      </w:divsChild>
                    </w:div>
                    <w:div w:id="294153857">
                      <w:marLeft w:val="0"/>
                      <w:marRight w:val="0"/>
                      <w:marTop w:val="0"/>
                      <w:marBottom w:val="0"/>
                      <w:divBdr>
                        <w:top w:val="none" w:sz="0" w:space="0" w:color="auto"/>
                        <w:left w:val="none" w:sz="0" w:space="0" w:color="auto"/>
                        <w:bottom w:val="none" w:sz="0" w:space="0" w:color="auto"/>
                        <w:right w:val="none" w:sz="0" w:space="0" w:color="auto"/>
                      </w:divBdr>
                      <w:divsChild>
                        <w:div w:id="294149910">
                          <w:marLeft w:val="0"/>
                          <w:marRight w:val="0"/>
                          <w:marTop w:val="0"/>
                          <w:marBottom w:val="0"/>
                          <w:divBdr>
                            <w:top w:val="none" w:sz="0" w:space="0" w:color="auto"/>
                            <w:left w:val="none" w:sz="0" w:space="0" w:color="auto"/>
                            <w:bottom w:val="none" w:sz="0" w:space="0" w:color="auto"/>
                            <w:right w:val="none" w:sz="0" w:space="0" w:color="auto"/>
                          </w:divBdr>
                        </w:div>
                      </w:divsChild>
                    </w:div>
                    <w:div w:id="294153918">
                      <w:marLeft w:val="0"/>
                      <w:marRight w:val="0"/>
                      <w:marTop w:val="0"/>
                      <w:marBottom w:val="0"/>
                      <w:divBdr>
                        <w:top w:val="none" w:sz="0" w:space="0" w:color="auto"/>
                        <w:left w:val="none" w:sz="0" w:space="0" w:color="auto"/>
                        <w:bottom w:val="none" w:sz="0" w:space="0" w:color="auto"/>
                        <w:right w:val="none" w:sz="0" w:space="0" w:color="auto"/>
                      </w:divBdr>
                      <w:divsChild>
                        <w:div w:id="294138987">
                          <w:marLeft w:val="0"/>
                          <w:marRight w:val="0"/>
                          <w:marTop w:val="0"/>
                          <w:marBottom w:val="0"/>
                          <w:divBdr>
                            <w:top w:val="none" w:sz="0" w:space="0" w:color="auto"/>
                            <w:left w:val="none" w:sz="0" w:space="0" w:color="auto"/>
                            <w:bottom w:val="none" w:sz="0" w:space="0" w:color="auto"/>
                            <w:right w:val="none" w:sz="0" w:space="0" w:color="auto"/>
                          </w:divBdr>
                        </w:div>
                      </w:divsChild>
                    </w:div>
                    <w:div w:id="294153934">
                      <w:marLeft w:val="0"/>
                      <w:marRight w:val="0"/>
                      <w:marTop w:val="0"/>
                      <w:marBottom w:val="0"/>
                      <w:divBdr>
                        <w:top w:val="none" w:sz="0" w:space="0" w:color="auto"/>
                        <w:left w:val="none" w:sz="0" w:space="0" w:color="auto"/>
                        <w:bottom w:val="none" w:sz="0" w:space="0" w:color="auto"/>
                        <w:right w:val="none" w:sz="0" w:space="0" w:color="auto"/>
                      </w:divBdr>
                      <w:divsChild>
                        <w:div w:id="294156378">
                          <w:marLeft w:val="0"/>
                          <w:marRight w:val="0"/>
                          <w:marTop w:val="0"/>
                          <w:marBottom w:val="0"/>
                          <w:divBdr>
                            <w:top w:val="none" w:sz="0" w:space="0" w:color="auto"/>
                            <w:left w:val="none" w:sz="0" w:space="0" w:color="auto"/>
                            <w:bottom w:val="none" w:sz="0" w:space="0" w:color="auto"/>
                            <w:right w:val="none" w:sz="0" w:space="0" w:color="auto"/>
                          </w:divBdr>
                        </w:div>
                      </w:divsChild>
                    </w:div>
                    <w:div w:id="294153982">
                      <w:marLeft w:val="0"/>
                      <w:marRight w:val="0"/>
                      <w:marTop w:val="0"/>
                      <w:marBottom w:val="0"/>
                      <w:divBdr>
                        <w:top w:val="none" w:sz="0" w:space="0" w:color="auto"/>
                        <w:left w:val="none" w:sz="0" w:space="0" w:color="auto"/>
                        <w:bottom w:val="none" w:sz="0" w:space="0" w:color="auto"/>
                        <w:right w:val="none" w:sz="0" w:space="0" w:color="auto"/>
                      </w:divBdr>
                      <w:divsChild>
                        <w:div w:id="294154108">
                          <w:marLeft w:val="0"/>
                          <w:marRight w:val="0"/>
                          <w:marTop w:val="0"/>
                          <w:marBottom w:val="0"/>
                          <w:divBdr>
                            <w:top w:val="none" w:sz="0" w:space="0" w:color="auto"/>
                            <w:left w:val="none" w:sz="0" w:space="0" w:color="auto"/>
                            <w:bottom w:val="none" w:sz="0" w:space="0" w:color="auto"/>
                            <w:right w:val="none" w:sz="0" w:space="0" w:color="auto"/>
                          </w:divBdr>
                        </w:div>
                      </w:divsChild>
                    </w:div>
                    <w:div w:id="294153985">
                      <w:marLeft w:val="0"/>
                      <w:marRight w:val="0"/>
                      <w:marTop w:val="0"/>
                      <w:marBottom w:val="0"/>
                      <w:divBdr>
                        <w:top w:val="none" w:sz="0" w:space="0" w:color="auto"/>
                        <w:left w:val="none" w:sz="0" w:space="0" w:color="auto"/>
                        <w:bottom w:val="none" w:sz="0" w:space="0" w:color="auto"/>
                        <w:right w:val="none" w:sz="0" w:space="0" w:color="auto"/>
                      </w:divBdr>
                      <w:divsChild>
                        <w:div w:id="294147487">
                          <w:marLeft w:val="0"/>
                          <w:marRight w:val="0"/>
                          <w:marTop w:val="0"/>
                          <w:marBottom w:val="0"/>
                          <w:divBdr>
                            <w:top w:val="none" w:sz="0" w:space="0" w:color="auto"/>
                            <w:left w:val="none" w:sz="0" w:space="0" w:color="auto"/>
                            <w:bottom w:val="none" w:sz="0" w:space="0" w:color="auto"/>
                            <w:right w:val="none" w:sz="0" w:space="0" w:color="auto"/>
                          </w:divBdr>
                        </w:div>
                      </w:divsChild>
                    </w:div>
                    <w:div w:id="294154015">
                      <w:marLeft w:val="0"/>
                      <w:marRight w:val="0"/>
                      <w:marTop w:val="0"/>
                      <w:marBottom w:val="0"/>
                      <w:divBdr>
                        <w:top w:val="none" w:sz="0" w:space="0" w:color="auto"/>
                        <w:left w:val="none" w:sz="0" w:space="0" w:color="auto"/>
                        <w:bottom w:val="none" w:sz="0" w:space="0" w:color="auto"/>
                        <w:right w:val="none" w:sz="0" w:space="0" w:color="auto"/>
                      </w:divBdr>
                      <w:divsChild>
                        <w:div w:id="294146766">
                          <w:marLeft w:val="0"/>
                          <w:marRight w:val="0"/>
                          <w:marTop w:val="0"/>
                          <w:marBottom w:val="0"/>
                          <w:divBdr>
                            <w:top w:val="none" w:sz="0" w:space="0" w:color="auto"/>
                            <w:left w:val="none" w:sz="0" w:space="0" w:color="auto"/>
                            <w:bottom w:val="none" w:sz="0" w:space="0" w:color="auto"/>
                            <w:right w:val="none" w:sz="0" w:space="0" w:color="auto"/>
                          </w:divBdr>
                        </w:div>
                      </w:divsChild>
                    </w:div>
                    <w:div w:id="294154063">
                      <w:marLeft w:val="0"/>
                      <w:marRight w:val="0"/>
                      <w:marTop w:val="0"/>
                      <w:marBottom w:val="0"/>
                      <w:divBdr>
                        <w:top w:val="none" w:sz="0" w:space="0" w:color="auto"/>
                        <w:left w:val="none" w:sz="0" w:space="0" w:color="auto"/>
                        <w:bottom w:val="none" w:sz="0" w:space="0" w:color="auto"/>
                        <w:right w:val="none" w:sz="0" w:space="0" w:color="auto"/>
                      </w:divBdr>
                    </w:div>
                    <w:div w:id="294154093">
                      <w:marLeft w:val="0"/>
                      <w:marRight w:val="0"/>
                      <w:marTop w:val="0"/>
                      <w:marBottom w:val="0"/>
                      <w:divBdr>
                        <w:top w:val="none" w:sz="0" w:space="0" w:color="auto"/>
                        <w:left w:val="none" w:sz="0" w:space="0" w:color="auto"/>
                        <w:bottom w:val="none" w:sz="0" w:space="0" w:color="auto"/>
                        <w:right w:val="none" w:sz="0" w:space="0" w:color="auto"/>
                      </w:divBdr>
                    </w:div>
                    <w:div w:id="294154229">
                      <w:marLeft w:val="0"/>
                      <w:marRight w:val="0"/>
                      <w:marTop w:val="0"/>
                      <w:marBottom w:val="0"/>
                      <w:divBdr>
                        <w:top w:val="none" w:sz="0" w:space="0" w:color="auto"/>
                        <w:left w:val="none" w:sz="0" w:space="0" w:color="auto"/>
                        <w:bottom w:val="none" w:sz="0" w:space="0" w:color="auto"/>
                        <w:right w:val="none" w:sz="0" w:space="0" w:color="auto"/>
                      </w:divBdr>
                      <w:divsChild>
                        <w:div w:id="294149823">
                          <w:marLeft w:val="0"/>
                          <w:marRight w:val="0"/>
                          <w:marTop w:val="0"/>
                          <w:marBottom w:val="0"/>
                          <w:divBdr>
                            <w:top w:val="none" w:sz="0" w:space="0" w:color="auto"/>
                            <w:left w:val="none" w:sz="0" w:space="0" w:color="auto"/>
                            <w:bottom w:val="none" w:sz="0" w:space="0" w:color="auto"/>
                            <w:right w:val="none" w:sz="0" w:space="0" w:color="auto"/>
                          </w:divBdr>
                        </w:div>
                      </w:divsChild>
                    </w:div>
                    <w:div w:id="294154281">
                      <w:marLeft w:val="0"/>
                      <w:marRight w:val="0"/>
                      <w:marTop w:val="0"/>
                      <w:marBottom w:val="0"/>
                      <w:divBdr>
                        <w:top w:val="none" w:sz="0" w:space="0" w:color="auto"/>
                        <w:left w:val="none" w:sz="0" w:space="0" w:color="auto"/>
                        <w:bottom w:val="none" w:sz="0" w:space="0" w:color="auto"/>
                        <w:right w:val="none" w:sz="0" w:space="0" w:color="auto"/>
                      </w:divBdr>
                    </w:div>
                    <w:div w:id="294154391">
                      <w:marLeft w:val="0"/>
                      <w:marRight w:val="0"/>
                      <w:marTop w:val="0"/>
                      <w:marBottom w:val="0"/>
                      <w:divBdr>
                        <w:top w:val="none" w:sz="0" w:space="0" w:color="auto"/>
                        <w:left w:val="none" w:sz="0" w:space="0" w:color="auto"/>
                        <w:bottom w:val="none" w:sz="0" w:space="0" w:color="auto"/>
                        <w:right w:val="none" w:sz="0" w:space="0" w:color="auto"/>
                      </w:divBdr>
                      <w:divsChild>
                        <w:div w:id="294145630">
                          <w:marLeft w:val="0"/>
                          <w:marRight w:val="0"/>
                          <w:marTop w:val="0"/>
                          <w:marBottom w:val="0"/>
                          <w:divBdr>
                            <w:top w:val="none" w:sz="0" w:space="0" w:color="auto"/>
                            <w:left w:val="none" w:sz="0" w:space="0" w:color="auto"/>
                            <w:bottom w:val="none" w:sz="0" w:space="0" w:color="auto"/>
                            <w:right w:val="none" w:sz="0" w:space="0" w:color="auto"/>
                          </w:divBdr>
                        </w:div>
                      </w:divsChild>
                    </w:div>
                    <w:div w:id="294154550">
                      <w:marLeft w:val="0"/>
                      <w:marRight w:val="0"/>
                      <w:marTop w:val="0"/>
                      <w:marBottom w:val="0"/>
                      <w:divBdr>
                        <w:top w:val="none" w:sz="0" w:space="0" w:color="auto"/>
                        <w:left w:val="none" w:sz="0" w:space="0" w:color="auto"/>
                        <w:bottom w:val="none" w:sz="0" w:space="0" w:color="auto"/>
                        <w:right w:val="none" w:sz="0" w:space="0" w:color="auto"/>
                      </w:divBdr>
                    </w:div>
                    <w:div w:id="294154753">
                      <w:marLeft w:val="0"/>
                      <w:marRight w:val="0"/>
                      <w:marTop w:val="0"/>
                      <w:marBottom w:val="0"/>
                      <w:divBdr>
                        <w:top w:val="none" w:sz="0" w:space="0" w:color="auto"/>
                        <w:left w:val="none" w:sz="0" w:space="0" w:color="auto"/>
                        <w:bottom w:val="none" w:sz="0" w:space="0" w:color="auto"/>
                        <w:right w:val="none" w:sz="0" w:space="0" w:color="auto"/>
                      </w:divBdr>
                      <w:divsChild>
                        <w:div w:id="294144247">
                          <w:marLeft w:val="0"/>
                          <w:marRight w:val="0"/>
                          <w:marTop w:val="0"/>
                          <w:marBottom w:val="0"/>
                          <w:divBdr>
                            <w:top w:val="none" w:sz="0" w:space="0" w:color="auto"/>
                            <w:left w:val="none" w:sz="0" w:space="0" w:color="auto"/>
                            <w:bottom w:val="none" w:sz="0" w:space="0" w:color="auto"/>
                            <w:right w:val="none" w:sz="0" w:space="0" w:color="auto"/>
                          </w:divBdr>
                        </w:div>
                      </w:divsChild>
                    </w:div>
                    <w:div w:id="294154849">
                      <w:marLeft w:val="0"/>
                      <w:marRight w:val="0"/>
                      <w:marTop w:val="0"/>
                      <w:marBottom w:val="0"/>
                      <w:divBdr>
                        <w:top w:val="none" w:sz="0" w:space="0" w:color="auto"/>
                        <w:left w:val="none" w:sz="0" w:space="0" w:color="auto"/>
                        <w:bottom w:val="none" w:sz="0" w:space="0" w:color="auto"/>
                        <w:right w:val="none" w:sz="0" w:space="0" w:color="auto"/>
                      </w:divBdr>
                    </w:div>
                    <w:div w:id="294154867">
                      <w:marLeft w:val="0"/>
                      <w:marRight w:val="0"/>
                      <w:marTop w:val="0"/>
                      <w:marBottom w:val="0"/>
                      <w:divBdr>
                        <w:top w:val="none" w:sz="0" w:space="0" w:color="auto"/>
                        <w:left w:val="none" w:sz="0" w:space="0" w:color="auto"/>
                        <w:bottom w:val="none" w:sz="0" w:space="0" w:color="auto"/>
                        <w:right w:val="none" w:sz="0" w:space="0" w:color="auto"/>
                      </w:divBdr>
                    </w:div>
                    <w:div w:id="294154895">
                      <w:marLeft w:val="0"/>
                      <w:marRight w:val="0"/>
                      <w:marTop w:val="0"/>
                      <w:marBottom w:val="0"/>
                      <w:divBdr>
                        <w:top w:val="none" w:sz="0" w:space="0" w:color="auto"/>
                        <w:left w:val="none" w:sz="0" w:space="0" w:color="auto"/>
                        <w:bottom w:val="none" w:sz="0" w:space="0" w:color="auto"/>
                        <w:right w:val="none" w:sz="0" w:space="0" w:color="auto"/>
                      </w:divBdr>
                      <w:divsChild>
                        <w:div w:id="294139878">
                          <w:marLeft w:val="0"/>
                          <w:marRight w:val="0"/>
                          <w:marTop w:val="0"/>
                          <w:marBottom w:val="0"/>
                          <w:divBdr>
                            <w:top w:val="none" w:sz="0" w:space="0" w:color="auto"/>
                            <w:left w:val="none" w:sz="0" w:space="0" w:color="auto"/>
                            <w:bottom w:val="none" w:sz="0" w:space="0" w:color="auto"/>
                            <w:right w:val="none" w:sz="0" w:space="0" w:color="auto"/>
                          </w:divBdr>
                        </w:div>
                      </w:divsChild>
                    </w:div>
                    <w:div w:id="294154923">
                      <w:marLeft w:val="0"/>
                      <w:marRight w:val="0"/>
                      <w:marTop w:val="0"/>
                      <w:marBottom w:val="0"/>
                      <w:divBdr>
                        <w:top w:val="none" w:sz="0" w:space="0" w:color="auto"/>
                        <w:left w:val="none" w:sz="0" w:space="0" w:color="auto"/>
                        <w:bottom w:val="none" w:sz="0" w:space="0" w:color="auto"/>
                        <w:right w:val="none" w:sz="0" w:space="0" w:color="auto"/>
                      </w:divBdr>
                    </w:div>
                    <w:div w:id="294155021">
                      <w:marLeft w:val="0"/>
                      <w:marRight w:val="0"/>
                      <w:marTop w:val="0"/>
                      <w:marBottom w:val="0"/>
                      <w:divBdr>
                        <w:top w:val="none" w:sz="0" w:space="0" w:color="auto"/>
                        <w:left w:val="none" w:sz="0" w:space="0" w:color="auto"/>
                        <w:bottom w:val="none" w:sz="0" w:space="0" w:color="auto"/>
                        <w:right w:val="none" w:sz="0" w:space="0" w:color="auto"/>
                      </w:divBdr>
                    </w:div>
                    <w:div w:id="294155029">
                      <w:marLeft w:val="0"/>
                      <w:marRight w:val="0"/>
                      <w:marTop w:val="0"/>
                      <w:marBottom w:val="0"/>
                      <w:divBdr>
                        <w:top w:val="none" w:sz="0" w:space="0" w:color="auto"/>
                        <w:left w:val="none" w:sz="0" w:space="0" w:color="auto"/>
                        <w:bottom w:val="none" w:sz="0" w:space="0" w:color="auto"/>
                        <w:right w:val="none" w:sz="0" w:space="0" w:color="auto"/>
                      </w:divBdr>
                    </w:div>
                    <w:div w:id="294155113">
                      <w:marLeft w:val="0"/>
                      <w:marRight w:val="0"/>
                      <w:marTop w:val="0"/>
                      <w:marBottom w:val="0"/>
                      <w:divBdr>
                        <w:top w:val="none" w:sz="0" w:space="0" w:color="auto"/>
                        <w:left w:val="none" w:sz="0" w:space="0" w:color="auto"/>
                        <w:bottom w:val="none" w:sz="0" w:space="0" w:color="auto"/>
                        <w:right w:val="none" w:sz="0" w:space="0" w:color="auto"/>
                      </w:divBdr>
                      <w:divsChild>
                        <w:div w:id="294139725">
                          <w:marLeft w:val="0"/>
                          <w:marRight w:val="0"/>
                          <w:marTop w:val="0"/>
                          <w:marBottom w:val="0"/>
                          <w:divBdr>
                            <w:top w:val="none" w:sz="0" w:space="0" w:color="auto"/>
                            <w:left w:val="none" w:sz="0" w:space="0" w:color="auto"/>
                            <w:bottom w:val="none" w:sz="0" w:space="0" w:color="auto"/>
                            <w:right w:val="none" w:sz="0" w:space="0" w:color="auto"/>
                          </w:divBdr>
                        </w:div>
                      </w:divsChild>
                    </w:div>
                    <w:div w:id="294155213">
                      <w:marLeft w:val="0"/>
                      <w:marRight w:val="0"/>
                      <w:marTop w:val="0"/>
                      <w:marBottom w:val="0"/>
                      <w:divBdr>
                        <w:top w:val="none" w:sz="0" w:space="0" w:color="auto"/>
                        <w:left w:val="none" w:sz="0" w:space="0" w:color="auto"/>
                        <w:bottom w:val="none" w:sz="0" w:space="0" w:color="auto"/>
                        <w:right w:val="none" w:sz="0" w:space="0" w:color="auto"/>
                      </w:divBdr>
                    </w:div>
                    <w:div w:id="294155366">
                      <w:marLeft w:val="0"/>
                      <w:marRight w:val="0"/>
                      <w:marTop w:val="0"/>
                      <w:marBottom w:val="0"/>
                      <w:divBdr>
                        <w:top w:val="none" w:sz="0" w:space="0" w:color="auto"/>
                        <w:left w:val="none" w:sz="0" w:space="0" w:color="auto"/>
                        <w:bottom w:val="none" w:sz="0" w:space="0" w:color="auto"/>
                        <w:right w:val="none" w:sz="0" w:space="0" w:color="auto"/>
                      </w:divBdr>
                    </w:div>
                    <w:div w:id="294155380">
                      <w:marLeft w:val="0"/>
                      <w:marRight w:val="0"/>
                      <w:marTop w:val="0"/>
                      <w:marBottom w:val="0"/>
                      <w:divBdr>
                        <w:top w:val="none" w:sz="0" w:space="0" w:color="auto"/>
                        <w:left w:val="none" w:sz="0" w:space="0" w:color="auto"/>
                        <w:bottom w:val="none" w:sz="0" w:space="0" w:color="auto"/>
                        <w:right w:val="none" w:sz="0" w:space="0" w:color="auto"/>
                      </w:divBdr>
                      <w:divsChild>
                        <w:div w:id="294147229">
                          <w:marLeft w:val="0"/>
                          <w:marRight w:val="0"/>
                          <w:marTop w:val="0"/>
                          <w:marBottom w:val="0"/>
                          <w:divBdr>
                            <w:top w:val="none" w:sz="0" w:space="0" w:color="auto"/>
                            <w:left w:val="none" w:sz="0" w:space="0" w:color="auto"/>
                            <w:bottom w:val="none" w:sz="0" w:space="0" w:color="auto"/>
                            <w:right w:val="none" w:sz="0" w:space="0" w:color="auto"/>
                          </w:divBdr>
                        </w:div>
                      </w:divsChild>
                    </w:div>
                    <w:div w:id="294155506">
                      <w:marLeft w:val="0"/>
                      <w:marRight w:val="0"/>
                      <w:marTop w:val="0"/>
                      <w:marBottom w:val="0"/>
                      <w:divBdr>
                        <w:top w:val="none" w:sz="0" w:space="0" w:color="auto"/>
                        <w:left w:val="none" w:sz="0" w:space="0" w:color="auto"/>
                        <w:bottom w:val="none" w:sz="0" w:space="0" w:color="auto"/>
                        <w:right w:val="none" w:sz="0" w:space="0" w:color="auto"/>
                      </w:divBdr>
                      <w:divsChild>
                        <w:div w:id="294149173">
                          <w:marLeft w:val="0"/>
                          <w:marRight w:val="0"/>
                          <w:marTop w:val="0"/>
                          <w:marBottom w:val="0"/>
                          <w:divBdr>
                            <w:top w:val="none" w:sz="0" w:space="0" w:color="auto"/>
                            <w:left w:val="none" w:sz="0" w:space="0" w:color="auto"/>
                            <w:bottom w:val="none" w:sz="0" w:space="0" w:color="auto"/>
                            <w:right w:val="none" w:sz="0" w:space="0" w:color="auto"/>
                          </w:divBdr>
                        </w:div>
                      </w:divsChild>
                    </w:div>
                    <w:div w:id="294155548">
                      <w:marLeft w:val="0"/>
                      <w:marRight w:val="0"/>
                      <w:marTop w:val="0"/>
                      <w:marBottom w:val="0"/>
                      <w:divBdr>
                        <w:top w:val="none" w:sz="0" w:space="0" w:color="auto"/>
                        <w:left w:val="none" w:sz="0" w:space="0" w:color="auto"/>
                        <w:bottom w:val="none" w:sz="0" w:space="0" w:color="auto"/>
                        <w:right w:val="none" w:sz="0" w:space="0" w:color="auto"/>
                      </w:divBdr>
                      <w:divsChild>
                        <w:div w:id="294152010">
                          <w:marLeft w:val="0"/>
                          <w:marRight w:val="0"/>
                          <w:marTop w:val="0"/>
                          <w:marBottom w:val="0"/>
                          <w:divBdr>
                            <w:top w:val="none" w:sz="0" w:space="0" w:color="auto"/>
                            <w:left w:val="none" w:sz="0" w:space="0" w:color="auto"/>
                            <w:bottom w:val="none" w:sz="0" w:space="0" w:color="auto"/>
                            <w:right w:val="none" w:sz="0" w:space="0" w:color="auto"/>
                          </w:divBdr>
                        </w:div>
                      </w:divsChild>
                    </w:div>
                    <w:div w:id="294155664">
                      <w:marLeft w:val="0"/>
                      <w:marRight w:val="0"/>
                      <w:marTop w:val="0"/>
                      <w:marBottom w:val="0"/>
                      <w:divBdr>
                        <w:top w:val="none" w:sz="0" w:space="0" w:color="auto"/>
                        <w:left w:val="none" w:sz="0" w:space="0" w:color="auto"/>
                        <w:bottom w:val="none" w:sz="0" w:space="0" w:color="auto"/>
                        <w:right w:val="none" w:sz="0" w:space="0" w:color="auto"/>
                      </w:divBdr>
                      <w:divsChild>
                        <w:div w:id="294147073">
                          <w:marLeft w:val="0"/>
                          <w:marRight w:val="0"/>
                          <w:marTop w:val="0"/>
                          <w:marBottom w:val="0"/>
                          <w:divBdr>
                            <w:top w:val="none" w:sz="0" w:space="0" w:color="auto"/>
                            <w:left w:val="none" w:sz="0" w:space="0" w:color="auto"/>
                            <w:bottom w:val="none" w:sz="0" w:space="0" w:color="auto"/>
                            <w:right w:val="none" w:sz="0" w:space="0" w:color="auto"/>
                          </w:divBdr>
                        </w:div>
                      </w:divsChild>
                    </w:div>
                    <w:div w:id="294155746">
                      <w:marLeft w:val="0"/>
                      <w:marRight w:val="0"/>
                      <w:marTop w:val="0"/>
                      <w:marBottom w:val="0"/>
                      <w:divBdr>
                        <w:top w:val="none" w:sz="0" w:space="0" w:color="auto"/>
                        <w:left w:val="none" w:sz="0" w:space="0" w:color="auto"/>
                        <w:bottom w:val="none" w:sz="0" w:space="0" w:color="auto"/>
                        <w:right w:val="none" w:sz="0" w:space="0" w:color="auto"/>
                      </w:divBdr>
                      <w:divsChild>
                        <w:div w:id="294156404">
                          <w:marLeft w:val="0"/>
                          <w:marRight w:val="0"/>
                          <w:marTop w:val="0"/>
                          <w:marBottom w:val="0"/>
                          <w:divBdr>
                            <w:top w:val="none" w:sz="0" w:space="0" w:color="auto"/>
                            <w:left w:val="none" w:sz="0" w:space="0" w:color="auto"/>
                            <w:bottom w:val="none" w:sz="0" w:space="0" w:color="auto"/>
                            <w:right w:val="none" w:sz="0" w:space="0" w:color="auto"/>
                          </w:divBdr>
                        </w:div>
                      </w:divsChild>
                    </w:div>
                    <w:div w:id="294155771">
                      <w:marLeft w:val="0"/>
                      <w:marRight w:val="0"/>
                      <w:marTop w:val="0"/>
                      <w:marBottom w:val="0"/>
                      <w:divBdr>
                        <w:top w:val="none" w:sz="0" w:space="0" w:color="auto"/>
                        <w:left w:val="none" w:sz="0" w:space="0" w:color="auto"/>
                        <w:bottom w:val="none" w:sz="0" w:space="0" w:color="auto"/>
                        <w:right w:val="none" w:sz="0" w:space="0" w:color="auto"/>
                      </w:divBdr>
                    </w:div>
                    <w:div w:id="294155796">
                      <w:marLeft w:val="0"/>
                      <w:marRight w:val="0"/>
                      <w:marTop w:val="0"/>
                      <w:marBottom w:val="0"/>
                      <w:divBdr>
                        <w:top w:val="none" w:sz="0" w:space="0" w:color="auto"/>
                        <w:left w:val="none" w:sz="0" w:space="0" w:color="auto"/>
                        <w:bottom w:val="none" w:sz="0" w:space="0" w:color="auto"/>
                        <w:right w:val="none" w:sz="0" w:space="0" w:color="auto"/>
                      </w:divBdr>
                    </w:div>
                    <w:div w:id="294155806">
                      <w:marLeft w:val="0"/>
                      <w:marRight w:val="0"/>
                      <w:marTop w:val="0"/>
                      <w:marBottom w:val="0"/>
                      <w:divBdr>
                        <w:top w:val="none" w:sz="0" w:space="0" w:color="auto"/>
                        <w:left w:val="none" w:sz="0" w:space="0" w:color="auto"/>
                        <w:bottom w:val="none" w:sz="0" w:space="0" w:color="auto"/>
                        <w:right w:val="none" w:sz="0" w:space="0" w:color="auto"/>
                      </w:divBdr>
                    </w:div>
                    <w:div w:id="294155817">
                      <w:marLeft w:val="0"/>
                      <w:marRight w:val="0"/>
                      <w:marTop w:val="0"/>
                      <w:marBottom w:val="0"/>
                      <w:divBdr>
                        <w:top w:val="none" w:sz="0" w:space="0" w:color="auto"/>
                        <w:left w:val="none" w:sz="0" w:space="0" w:color="auto"/>
                        <w:bottom w:val="none" w:sz="0" w:space="0" w:color="auto"/>
                        <w:right w:val="none" w:sz="0" w:space="0" w:color="auto"/>
                      </w:divBdr>
                    </w:div>
                    <w:div w:id="294155942">
                      <w:marLeft w:val="0"/>
                      <w:marRight w:val="0"/>
                      <w:marTop w:val="0"/>
                      <w:marBottom w:val="0"/>
                      <w:divBdr>
                        <w:top w:val="none" w:sz="0" w:space="0" w:color="auto"/>
                        <w:left w:val="none" w:sz="0" w:space="0" w:color="auto"/>
                        <w:bottom w:val="none" w:sz="0" w:space="0" w:color="auto"/>
                        <w:right w:val="none" w:sz="0" w:space="0" w:color="auto"/>
                      </w:divBdr>
                    </w:div>
                    <w:div w:id="294155949">
                      <w:marLeft w:val="0"/>
                      <w:marRight w:val="0"/>
                      <w:marTop w:val="0"/>
                      <w:marBottom w:val="0"/>
                      <w:divBdr>
                        <w:top w:val="none" w:sz="0" w:space="0" w:color="auto"/>
                        <w:left w:val="none" w:sz="0" w:space="0" w:color="auto"/>
                        <w:bottom w:val="none" w:sz="0" w:space="0" w:color="auto"/>
                        <w:right w:val="none" w:sz="0" w:space="0" w:color="auto"/>
                      </w:divBdr>
                    </w:div>
                    <w:div w:id="294155953">
                      <w:marLeft w:val="0"/>
                      <w:marRight w:val="0"/>
                      <w:marTop w:val="0"/>
                      <w:marBottom w:val="0"/>
                      <w:divBdr>
                        <w:top w:val="none" w:sz="0" w:space="0" w:color="auto"/>
                        <w:left w:val="none" w:sz="0" w:space="0" w:color="auto"/>
                        <w:bottom w:val="none" w:sz="0" w:space="0" w:color="auto"/>
                        <w:right w:val="none" w:sz="0" w:space="0" w:color="auto"/>
                      </w:divBdr>
                      <w:divsChild>
                        <w:div w:id="294155686">
                          <w:marLeft w:val="0"/>
                          <w:marRight w:val="0"/>
                          <w:marTop w:val="0"/>
                          <w:marBottom w:val="0"/>
                          <w:divBdr>
                            <w:top w:val="none" w:sz="0" w:space="0" w:color="auto"/>
                            <w:left w:val="none" w:sz="0" w:space="0" w:color="auto"/>
                            <w:bottom w:val="none" w:sz="0" w:space="0" w:color="auto"/>
                            <w:right w:val="none" w:sz="0" w:space="0" w:color="auto"/>
                          </w:divBdr>
                        </w:div>
                      </w:divsChild>
                    </w:div>
                    <w:div w:id="294155979">
                      <w:marLeft w:val="0"/>
                      <w:marRight w:val="0"/>
                      <w:marTop w:val="0"/>
                      <w:marBottom w:val="0"/>
                      <w:divBdr>
                        <w:top w:val="none" w:sz="0" w:space="0" w:color="auto"/>
                        <w:left w:val="none" w:sz="0" w:space="0" w:color="auto"/>
                        <w:bottom w:val="none" w:sz="0" w:space="0" w:color="auto"/>
                        <w:right w:val="none" w:sz="0" w:space="0" w:color="auto"/>
                      </w:divBdr>
                    </w:div>
                    <w:div w:id="294156122">
                      <w:marLeft w:val="0"/>
                      <w:marRight w:val="0"/>
                      <w:marTop w:val="0"/>
                      <w:marBottom w:val="0"/>
                      <w:divBdr>
                        <w:top w:val="none" w:sz="0" w:space="0" w:color="auto"/>
                        <w:left w:val="none" w:sz="0" w:space="0" w:color="auto"/>
                        <w:bottom w:val="none" w:sz="0" w:space="0" w:color="auto"/>
                        <w:right w:val="none" w:sz="0" w:space="0" w:color="auto"/>
                      </w:divBdr>
                    </w:div>
                    <w:div w:id="294156137">
                      <w:marLeft w:val="0"/>
                      <w:marRight w:val="0"/>
                      <w:marTop w:val="0"/>
                      <w:marBottom w:val="0"/>
                      <w:divBdr>
                        <w:top w:val="none" w:sz="0" w:space="0" w:color="auto"/>
                        <w:left w:val="none" w:sz="0" w:space="0" w:color="auto"/>
                        <w:bottom w:val="none" w:sz="0" w:space="0" w:color="auto"/>
                        <w:right w:val="none" w:sz="0" w:space="0" w:color="auto"/>
                      </w:divBdr>
                    </w:div>
                    <w:div w:id="294156138">
                      <w:marLeft w:val="0"/>
                      <w:marRight w:val="0"/>
                      <w:marTop w:val="0"/>
                      <w:marBottom w:val="0"/>
                      <w:divBdr>
                        <w:top w:val="none" w:sz="0" w:space="0" w:color="auto"/>
                        <w:left w:val="none" w:sz="0" w:space="0" w:color="auto"/>
                        <w:bottom w:val="none" w:sz="0" w:space="0" w:color="auto"/>
                        <w:right w:val="none" w:sz="0" w:space="0" w:color="auto"/>
                      </w:divBdr>
                    </w:div>
                    <w:div w:id="294156168">
                      <w:marLeft w:val="0"/>
                      <w:marRight w:val="0"/>
                      <w:marTop w:val="0"/>
                      <w:marBottom w:val="0"/>
                      <w:divBdr>
                        <w:top w:val="none" w:sz="0" w:space="0" w:color="auto"/>
                        <w:left w:val="none" w:sz="0" w:space="0" w:color="auto"/>
                        <w:bottom w:val="none" w:sz="0" w:space="0" w:color="auto"/>
                        <w:right w:val="none" w:sz="0" w:space="0" w:color="auto"/>
                      </w:divBdr>
                      <w:divsChild>
                        <w:div w:id="294143248">
                          <w:marLeft w:val="0"/>
                          <w:marRight w:val="0"/>
                          <w:marTop w:val="0"/>
                          <w:marBottom w:val="0"/>
                          <w:divBdr>
                            <w:top w:val="none" w:sz="0" w:space="0" w:color="auto"/>
                            <w:left w:val="none" w:sz="0" w:space="0" w:color="auto"/>
                            <w:bottom w:val="none" w:sz="0" w:space="0" w:color="auto"/>
                            <w:right w:val="none" w:sz="0" w:space="0" w:color="auto"/>
                          </w:divBdr>
                        </w:div>
                      </w:divsChild>
                    </w:div>
                    <w:div w:id="294156205">
                      <w:marLeft w:val="0"/>
                      <w:marRight w:val="0"/>
                      <w:marTop w:val="0"/>
                      <w:marBottom w:val="0"/>
                      <w:divBdr>
                        <w:top w:val="none" w:sz="0" w:space="0" w:color="auto"/>
                        <w:left w:val="none" w:sz="0" w:space="0" w:color="auto"/>
                        <w:bottom w:val="none" w:sz="0" w:space="0" w:color="auto"/>
                        <w:right w:val="none" w:sz="0" w:space="0" w:color="auto"/>
                      </w:divBdr>
                    </w:div>
                    <w:div w:id="294156216">
                      <w:marLeft w:val="0"/>
                      <w:marRight w:val="0"/>
                      <w:marTop w:val="0"/>
                      <w:marBottom w:val="0"/>
                      <w:divBdr>
                        <w:top w:val="none" w:sz="0" w:space="0" w:color="auto"/>
                        <w:left w:val="none" w:sz="0" w:space="0" w:color="auto"/>
                        <w:bottom w:val="none" w:sz="0" w:space="0" w:color="auto"/>
                        <w:right w:val="none" w:sz="0" w:space="0" w:color="auto"/>
                      </w:divBdr>
                      <w:divsChild>
                        <w:div w:id="294144878">
                          <w:marLeft w:val="0"/>
                          <w:marRight w:val="0"/>
                          <w:marTop w:val="0"/>
                          <w:marBottom w:val="0"/>
                          <w:divBdr>
                            <w:top w:val="none" w:sz="0" w:space="0" w:color="auto"/>
                            <w:left w:val="none" w:sz="0" w:space="0" w:color="auto"/>
                            <w:bottom w:val="none" w:sz="0" w:space="0" w:color="auto"/>
                            <w:right w:val="none" w:sz="0" w:space="0" w:color="auto"/>
                          </w:divBdr>
                        </w:div>
                      </w:divsChild>
                    </w:div>
                    <w:div w:id="294156258">
                      <w:marLeft w:val="0"/>
                      <w:marRight w:val="0"/>
                      <w:marTop w:val="0"/>
                      <w:marBottom w:val="0"/>
                      <w:divBdr>
                        <w:top w:val="none" w:sz="0" w:space="0" w:color="auto"/>
                        <w:left w:val="none" w:sz="0" w:space="0" w:color="auto"/>
                        <w:bottom w:val="none" w:sz="0" w:space="0" w:color="auto"/>
                        <w:right w:val="none" w:sz="0" w:space="0" w:color="auto"/>
                      </w:divBdr>
                      <w:divsChild>
                        <w:div w:id="294139197">
                          <w:marLeft w:val="0"/>
                          <w:marRight w:val="0"/>
                          <w:marTop w:val="0"/>
                          <w:marBottom w:val="0"/>
                          <w:divBdr>
                            <w:top w:val="none" w:sz="0" w:space="0" w:color="auto"/>
                            <w:left w:val="none" w:sz="0" w:space="0" w:color="auto"/>
                            <w:bottom w:val="none" w:sz="0" w:space="0" w:color="auto"/>
                            <w:right w:val="none" w:sz="0" w:space="0" w:color="auto"/>
                          </w:divBdr>
                        </w:div>
                      </w:divsChild>
                    </w:div>
                    <w:div w:id="294156351">
                      <w:marLeft w:val="0"/>
                      <w:marRight w:val="0"/>
                      <w:marTop w:val="0"/>
                      <w:marBottom w:val="0"/>
                      <w:divBdr>
                        <w:top w:val="none" w:sz="0" w:space="0" w:color="auto"/>
                        <w:left w:val="none" w:sz="0" w:space="0" w:color="auto"/>
                        <w:bottom w:val="none" w:sz="0" w:space="0" w:color="auto"/>
                        <w:right w:val="none" w:sz="0" w:space="0" w:color="auto"/>
                      </w:divBdr>
                    </w:div>
                    <w:div w:id="294156393">
                      <w:marLeft w:val="0"/>
                      <w:marRight w:val="0"/>
                      <w:marTop w:val="0"/>
                      <w:marBottom w:val="0"/>
                      <w:divBdr>
                        <w:top w:val="none" w:sz="0" w:space="0" w:color="auto"/>
                        <w:left w:val="none" w:sz="0" w:space="0" w:color="auto"/>
                        <w:bottom w:val="none" w:sz="0" w:space="0" w:color="auto"/>
                        <w:right w:val="none" w:sz="0" w:space="0" w:color="auto"/>
                      </w:divBdr>
                    </w:div>
                    <w:div w:id="294156512">
                      <w:marLeft w:val="0"/>
                      <w:marRight w:val="0"/>
                      <w:marTop w:val="0"/>
                      <w:marBottom w:val="0"/>
                      <w:divBdr>
                        <w:top w:val="none" w:sz="0" w:space="0" w:color="auto"/>
                        <w:left w:val="none" w:sz="0" w:space="0" w:color="auto"/>
                        <w:bottom w:val="none" w:sz="0" w:space="0" w:color="auto"/>
                        <w:right w:val="none" w:sz="0" w:space="0" w:color="auto"/>
                      </w:divBdr>
                    </w:div>
                    <w:div w:id="294156645">
                      <w:marLeft w:val="0"/>
                      <w:marRight w:val="0"/>
                      <w:marTop w:val="0"/>
                      <w:marBottom w:val="0"/>
                      <w:divBdr>
                        <w:top w:val="none" w:sz="0" w:space="0" w:color="auto"/>
                        <w:left w:val="none" w:sz="0" w:space="0" w:color="auto"/>
                        <w:bottom w:val="none" w:sz="0" w:space="0" w:color="auto"/>
                        <w:right w:val="none" w:sz="0" w:space="0" w:color="auto"/>
                      </w:divBdr>
                    </w:div>
                    <w:div w:id="294156684">
                      <w:marLeft w:val="0"/>
                      <w:marRight w:val="0"/>
                      <w:marTop w:val="0"/>
                      <w:marBottom w:val="0"/>
                      <w:divBdr>
                        <w:top w:val="none" w:sz="0" w:space="0" w:color="auto"/>
                        <w:left w:val="none" w:sz="0" w:space="0" w:color="auto"/>
                        <w:bottom w:val="none" w:sz="0" w:space="0" w:color="auto"/>
                        <w:right w:val="none" w:sz="0" w:space="0" w:color="auto"/>
                      </w:divBdr>
                      <w:divsChild>
                        <w:div w:id="294138832">
                          <w:marLeft w:val="0"/>
                          <w:marRight w:val="0"/>
                          <w:marTop w:val="0"/>
                          <w:marBottom w:val="0"/>
                          <w:divBdr>
                            <w:top w:val="none" w:sz="0" w:space="0" w:color="auto"/>
                            <w:left w:val="none" w:sz="0" w:space="0" w:color="auto"/>
                            <w:bottom w:val="none" w:sz="0" w:space="0" w:color="auto"/>
                            <w:right w:val="none" w:sz="0" w:space="0" w:color="auto"/>
                          </w:divBdr>
                        </w:div>
                      </w:divsChild>
                    </w:div>
                    <w:div w:id="294156698">
                      <w:marLeft w:val="0"/>
                      <w:marRight w:val="0"/>
                      <w:marTop w:val="0"/>
                      <w:marBottom w:val="0"/>
                      <w:divBdr>
                        <w:top w:val="none" w:sz="0" w:space="0" w:color="auto"/>
                        <w:left w:val="none" w:sz="0" w:space="0" w:color="auto"/>
                        <w:bottom w:val="none" w:sz="0" w:space="0" w:color="auto"/>
                        <w:right w:val="none" w:sz="0" w:space="0" w:color="auto"/>
                      </w:divBdr>
                    </w:div>
                    <w:div w:id="294156707">
                      <w:marLeft w:val="0"/>
                      <w:marRight w:val="0"/>
                      <w:marTop w:val="0"/>
                      <w:marBottom w:val="0"/>
                      <w:divBdr>
                        <w:top w:val="none" w:sz="0" w:space="0" w:color="auto"/>
                        <w:left w:val="none" w:sz="0" w:space="0" w:color="auto"/>
                        <w:bottom w:val="none" w:sz="0" w:space="0" w:color="auto"/>
                        <w:right w:val="none" w:sz="0" w:space="0" w:color="auto"/>
                      </w:divBdr>
                    </w:div>
                    <w:div w:id="294156754">
                      <w:marLeft w:val="0"/>
                      <w:marRight w:val="0"/>
                      <w:marTop w:val="0"/>
                      <w:marBottom w:val="0"/>
                      <w:divBdr>
                        <w:top w:val="none" w:sz="0" w:space="0" w:color="auto"/>
                        <w:left w:val="none" w:sz="0" w:space="0" w:color="auto"/>
                        <w:bottom w:val="none" w:sz="0" w:space="0" w:color="auto"/>
                        <w:right w:val="none" w:sz="0" w:space="0" w:color="auto"/>
                      </w:divBdr>
                    </w:div>
                    <w:div w:id="294156948">
                      <w:marLeft w:val="0"/>
                      <w:marRight w:val="0"/>
                      <w:marTop w:val="0"/>
                      <w:marBottom w:val="0"/>
                      <w:divBdr>
                        <w:top w:val="none" w:sz="0" w:space="0" w:color="auto"/>
                        <w:left w:val="none" w:sz="0" w:space="0" w:color="auto"/>
                        <w:bottom w:val="none" w:sz="0" w:space="0" w:color="auto"/>
                        <w:right w:val="none" w:sz="0" w:space="0" w:color="auto"/>
                      </w:divBdr>
                      <w:divsChild>
                        <w:div w:id="294151100">
                          <w:marLeft w:val="0"/>
                          <w:marRight w:val="0"/>
                          <w:marTop w:val="0"/>
                          <w:marBottom w:val="0"/>
                          <w:divBdr>
                            <w:top w:val="none" w:sz="0" w:space="0" w:color="auto"/>
                            <w:left w:val="none" w:sz="0" w:space="0" w:color="auto"/>
                            <w:bottom w:val="none" w:sz="0" w:space="0" w:color="auto"/>
                            <w:right w:val="none" w:sz="0" w:space="0" w:color="auto"/>
                          </w:divBdr>
                        </w:div>
                      </w:divsChild>
                    </w:div>
                    <w:div w:id="294156950">
                      <w:marLeft w:val="0"/>
                      <w:marRight w:val="0"/>
                      <w:marTop w:val="0"/>
                      <w:marBottom w:val="0"/>
                      <w:divBdr>
                        <w:top w:val="none" w:sz="0" w:space="0" w:color="auto"/>
                        <w:left w:val="none" w:sz="0" w:space="0" w:color="auto"/>
                        <w:bottom w:val="none" w:sz="0" w:space="0" w:color="auto"/>
                        <w:right w:val="none" w:sz="0" w:space="0" w:color="auto"/>
                      </w:divBdr>
                    </w:div>
                    <w:div w:id="294156968">
                      <w:marLeft w:val="0"/>
                      <w:marRight w:val="0"/>
                      <w:marTop w:val="0"/>
                      <w:marBottom w:val="0"/>
                      <w:divBdr>
                        <w:top w:val="none" w:sz="0" w:space="0" w:color="auto"/>
                        <w:left w:val="none" w:sz="0" w:space="0" w:color="auto"/>
                        <w:bottom w:val="none" w:sz="0" w:space="0" w:color="auto"/>
                        <w:right w:val="none" w:sz="0" w:space="0" w:color="auto"/>
                      </w:divBdr>
                      <w:divsChild>
                        <w:div w:id="294149393">
                          <w:marLeft w:val="0"/>
                          <w:marRight w:val="0"/>
                          <w:marTop w:val="0"/>
                          <w:marBottom w:val="0"/>
                          <w:divBdr>
                            <w:top w:val="none" w:sz="0" w:space="0" w:color="auto"/>
                            <w:left w:val="none" w:sz="0" w:space="0" w:color="auto"/>
                            <w:bottom w:val="none" w:sz="0" w:space="0" w:color="auto"/>
                            <w:right w:val="none" w:sz="0" w:space="0" w:color="auto"/>
                          </w:divBdr>
                        </w:div>
                      </w:divsChild>
                    </w:div>
                    <w:div w:id="294156970">
                      <w:marLeft w:val="0"/>
                      <w:marRight w:val="0"/>
                      <w:marTop w:val="0"/>
                      <w:marBottom w:val="0"/>
                      <w:divBdr>
                        <w:top w:val="none" w:sz="0" w:space="0" w:color="auto"/>
                        <w:left w:val="none" w:sz="0" w:space="0" w:color="auto"/>
                        <w:bottom w:val="none" w:sz="0" w:space="0" w:color="auto"/>
                        <w:right w:val="none" w:sz="0" w:space="0" w:color="auto"/>
                      </w:divBdr>
                    </w:div>
                    <w:div w:id="294156978">
                      <w:marLeft w:val="0"/>
                      <w:marRight w:val="0"/>
                      <w:marTop w:val="0"/>
                      <w:marBottom w:val="0"/>
                      <w:divBdr>
                        <w:top w:val="none" w:sz="0" w:space="0" w:color="auto"/>
                        <w:left w:val="none" w:sz="0" w:space="0" w:color="auto"/>
                        <w:bottom w:val="none" w:sz="0" w:space="0" w:color="auto"/>
                        <w:right w:val="none" w:sz="0" w:space="0" w:color="auto"/>
                      </w:divBdr>
                    </w:div>
                    <w:div w:id="294156980">
                      <w:marLeft w:val="0"/>
                      <w:marRight w:val="0"/>
                      <w:marTop w:val="0"/>
                      <w:marBottom w:val="0"/>
                      <w:divBdr>
                        <w:top w:val="none" w:sz="0" w:space="0" w:color="auto"/>
                        <w:left w:val="none" w:sz="0" w:space="0" w:color="auto"/>
                        <w:bottom w:val="none" w:sz="0" w:space="0" w:color="auto"/>
                        <w:right w:val="none" w:sz="0" w:space="0" w:color="auto"/>
                      </w:divBdr>
                    </w:div>
                    <w:div w:id="294157027">
                      <w:marLeft w:val="0"/>
                      <w:marRight w:val="0"/>
                      <w:marTop w:val="0"/>
                      <w:marBottom w:val="0"/>
                      <w:divBdr>
                        <w:top w:val="none" w:sz="0" w:space="0" w:color="auto"/>
                        <w:left w:val="none" w:sz="0" w:space="0" w:color="auto"/>
                        <w:bottom w:val="none" w:sz="0" w:space="0" w:color="auto"/>
                        <w:right w:val="none" w:sz="0" w:space="0" w:color="auto"/>
                      </w:divBdr>
                      <w:divsChild>
                        <w:div w:id="294138525">
                          <w:marLeft w:val="0"/>
                          <w:marRight w:val="0"/>
                          <w:marTop w:val="0"/>
                          <w:marBottom w:val="0"/>
                          <w:divBdr>
                            <w:top w:val="none" w:sz="0" w:space="0" w:color="auto"/>
                            <w:left w:val="none" w:sz="0" w:space="0" w:color="auto"/>
                            <w:bottom w:val="none" w:sz="0" w:space="0" w:color="auto"/>
                            <w:right w:val="none" w:sz="0" w:space="0" w:color="auto"/>
                          </w:divBdr>
                        </w:div>
                      </w:divsChild>
                    </w:div>
                    <w:div w:id="294157194">
                      <w:marLeft w:val="0"/>
                      <w:marRight w:val="0"/>
                      <w:marTop w:val="0"/>
                      <w:marBottom w:val="0"/>
                      <w:divBdr>
                        <w:top w:val="none" w:sz="0" w:space="0" w:color="auto"/>
                        <w:left w:val="none" w:sz="0" w:space="0" w:color="auto"/>
                        <w:bottom w:val="none" w:sz="0" w:space="0" w:color="auto"/>
                        <w:right w:val="none" w:sz="0" w:space="0" w:color="auto"/>
                      </w:divBdr>
                    </w:div>
                    <w:div w:id="294157214">
                      <w:marLeft w:val="0"/>
                      <w:marRight w:val="0"/>
                      <w:marTop w:val="0"/>
                      <w:marBottom w:val="0"/>
                      <w:divBdr>
                        <w:top w:val="none" w:sz="0" w:space="0" w:color="auto"/>
                        <w:left w:val="none" w:sz="0" w:space="0" w:color="auto"/>
                        <w:bottom w:val="none" w:sz="0" w:space="0" w:color="auto"/>
                        <w:right w:val="none" w:sz="0" w:space="0" w:color="auto"/>
                      </w:divBdr>
                      <w:divsChild>
                        <w:div w:id="294156800">
                          <w:marLeft w:val="0"/>
                          <w:marRight w:val="0"/>
                          <w:marTop w:val="0"/>
                          <w:marBottom w:val="0"/>
                          <w:divBdr>
                            <w:top w:val="none" w:sz="0" w:space="0" w:color="auto"/>
                            <w:left w:val="none" w:sz="0" w:space="0" w:color="auto"/>
                            <w:bottom w:val="none" w:sz="0" w:space="0" w:color="auto"/>
                            <w:right w:val="none" w:sz="0" w:space="0" w:color="auto"/>
                          </w:divBdr>
                        </w:div>
                      </w:divsChild>
                    </w:div>
                    <w:div w:id="294157241">
                      <w:marLeft w:val="0"/>
                      <w:marRight w:val="0"/>
                      <w:marTop w:val="0"/>
                      <w:marBottom w:val="0"/>
                      <w:divBdr>
                        <w:top w:val="none" w:sz="0" w:space="0" w:color="auto"/>
                        <w:left w:val="none" w:sz="0" w:space="0" w:color="auto"/>
                        <w:bottom w:val="none" w:sz="0" w:space="0" w:color="auto"/>
                        <w:right w:val="none" w:sz="0" w:space="0" w:color="auto"/>
                      </w:divBdr>
                      <w:divsChild>
                        <w:div w:id="294146591">
                          <w:marLeft w:val="0"/>
                          <w:marRight w:val="0"/>
                          <w:marTop w:val="0"/>
                          <w:marBottom w:val="0"/>
                          <w:divBdr>
                            <w:top w:val="none" w:sz="0" w:space="0" w:color="auto"/>
                            <w:left w:val="none" w:sz="0" w:space="0" w:color="auto"/>
                            <w:bottom w:val="none" w:sz="0" w:space="0" w:color="auto"/>
                            <w:right w:val="none" w:sz="0" w:space="0" w:color="auto"/>
                          </w:divBdr>
                        </w:div>
                      </w:divsChild>
                    </w:div>
                    <w:div w:id="294157343">
                      <w:marLeft w:val="0"/>
                      <w:marRight w:val="0"/>
                      <w:marTop w:val="0"/>
                      <w:marBottom w:val="0"/>
                      <w:divBdr>
                        <w:top w:val="none" w:sz="0" w:space="0" w:color="auto"/>
                        <w:left w:val="none" w:sz="0" w:space="0" w:color="auto"/>
                        <w:bottom w:val="none" w:sz="0" w:space="0" w:color="auto"/>
                        <w:right w:val="none" w:sz="0" w:space="0" w:color="auto"/>
                      </w:divBdr>
                    </w:div>
                    <w:div w:id="294157362">
                      <w:marLeft w:val="0"/>
                      <w:marRight w:val="0"/>
                      <w:marTop w:val="0"/>
                      <w:marBottom w:val="0"/>
                      <w:divBdr>
                        <w:top w:val="none" w:sz="0" w:space="0" w:color="auto"/>
                        <w:left w:val="none" w:sz="0" w:space="0" w:color="auto"/>
                        <w:bottom w:val="none" w:sz="0" w:space="0" w:color="auto"/>
                        <w:right w:val="none" w:sz="0" w:space="0" w:color="auto"/>
                      </w:divBdr>
                    </w:div>
                    <w:div w:id="294157429">
                      <w:marLeft w:val="0"/>
                      <w:marRight w:val="0"/>
                      <w:marTop w:val="0"/>
                      <w:marBottom w:val="0"/>
                      <w:divBdr>
                        <w:top w:val="none" w:sz="0" w:space="0" w:color="auto"/>
                        <w:left w:val="none" w:sz="0" w:space="0" w:color="auto"/>
                        <w:bottom w:val="none" w:sz="0" w:space="0" w:color="auto"/>
                        <w:right w:val="none" w:sz="0" w:space="0" w:color="auto"/>
                      </w:divBdr>
                    </w:div>
                    <w:div w:id="294157435">
                      <w:marLeft w:val="0"/>
                      <w:marRight w:val="0"/>
                      <w:marTop w:val="0"/>
                      <w:marBottom w:val="0"/>
                      <w:divBdr>
                        <w:top w:val="none" w:sz="0" w:space="0" w:color="auto"/>
                        <w:left w:val="none" w:sz="0" w:space="0" w:color="auto"/>
                        <w:bottom w:val="none" w:sz="0" w:space="0" w:color="auto"/>
                        <w:right w:val="none" w:sz="0" w:space="0" w:color="auto"/>
                      </w:divBdr>
                      <w:divsChild>
                        <w:div w:id="29415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45438">
          <w:marLeft w:val="0"/>
          <w:marRight w:val="0"/>
          <w:marTop w:val="0"/>
          <w:marBottom w:val="0"/>
          <w:divBdr>
            <w:top w:val="none" w:sz="0" w:space="0" w:color="auto"/>
            <w:left w:val="none" w:sz="0" w:space="0" w:color="auto"/>
            <w:bottom w:val="none" w:sz="0" w:space="0" w:color="auto"/>
            <w:right w:val="none" w:sz="0" w:space="0" w:color="auto"/>
          </w:divBdr>
          <w:divsChild>
            <w:div w:id="294147405">
              <w:marLeft w:val="0"/>
              <w:marRight w:val="0"/>
              <w:marTop w:val="0"/>
              <w:marBottom w:val="0"/>
              <w:divBdr>
                <w:top w:val="none" w:sz="0" w:space="0" w:color="auto"/>
                <w:left w:val="none" w:sz="0" w:space="0" w:color="auto"/>
                <w:bottom w:val="none" w:sz="0" w:space="0" w:color="auto"/>
                <w:right w:val="none" w:sz="0" w:space="0" w:color="auto"/>
              </w:divBdr>
              <w:divsChild>
                <w:div w:id="294138105">
                  <w:marLeft w:val="0"/>
                  <w:marRight w:val="0"/>
                  <w:marTop w:val="0"/>
                  <w:marBottom w:val="0"/>
                  <w:divBdr>
                    <w:top w:val="none" w:sz="0" w:space="0" w:color="auto"/>
                    <w:left w:val="none" w:sz="0" w:space="0" w:color="auto"/>
                    <w:bottom w:val="none" w:sz="0" w:space="0" w:color="auto"/>
                    <w:right w:val="none" w:sz="0" w:space="0" w:color="auto"/>
                  </w:divBdr>
                </w:div>
                <w:div w:id="294138233">
                  <w:marLeft w:val="0"/>
                  <w:marRight w:val="0"/>
                  <w:marTop w:val="0"/>
                  <w:marBottom w:val="0"/>
                  <w:divBdr>
                    <w:top w:val="none" w:sz="0" w:space="0" w:color="auto"/>
                    <w:left w:val="none" w:sz="0" w:space="0" w:color="auto"/>
                    <w:bottom w:val="none" w:sz="0" w:space="0" w:color="auto"/>
                    <w:right w:val="none" w:sz="0" w:space="0" w:color="auto"/>
                  </w:divBdr>
                </w:div>
                <w:div w:id="294138262">
                  <w:marLeft w:val="0"/>
                  <w:marRight w:val="0"/>
                  <w:marTop w:val="0"/>
                  <w:marBottom w:val="0"/>
                  <w:divBdr>
                    <w:top w:val="none" w:sz="0" w:space="0" w:color="auto"/>
                    <w:left w:val="none" w:sz="0" w:space="0" w:color="auto"/>
                    <w:bottom w:val="none" w:sz="0" w:space="0" w:color="auto"/>
                    <w:right w:val="none" w:sz="0" w:space="0" w:color="auto"/>
                  </w:divBdr>
                </w:div>
                <w:div w:id="294138334">
                  <w:marLeft w:val="0"/>
                  <w:marRight w:val="0"/>
                  <w:marTop w:val="0"/>
                  <w:marBottom w:val="0"/>
                  <w:divBdr>
                    <w:top w:val="none" w:sz="0" w:space="0" w:color="auto"/>
                    <w:left w:val="none" w:sz="0" w:space="0" w:color="auto"/>
                    <w:bottom w:val="none" w:sz="0" w:space="0" w:color="auto"/>
                    <w:right w:val="none" w:sz="0" w:space="0" w:color="auto"/>
                  </w:divBdr>
                </w:div>
                <w:div w:id="294138499">
                  <w:marLeft w:val="0"/>
                  <w:marRight w:val="0"/>
                  <w:marTop w:val="0"/>
                  <w:marBottom w:val="0"/>
                  <w:divBdr>
                    <w:top w:val="none" w:sz="0" w:space="0" w:color="auto"/>
                    <w:left w:val="none" w:sz="0" w:space="0" w:color="auto"/>
                    <w:bottom w:val="none" w:sz="0" w:space="0" w:color="auto"/>
                    <w:right w:val="none" w:sz="0" w:space="0" w:color="auto"/>
                  </w:divBdr>
                </w:div>
                <w:div w:id="294138512">
                  <w:marLeft w:val="0"/>
                  <w:marRight w:val="0"/>
                  <w:marTop w:val="0"/>
                  <w:marBottom w:val="0"/>
                  <w:divBdr>
                    <w:top w:val="none" w:sz="0" w:space="0" w:color="auto"/>
                    <w:left w:val="none" w:sz="0" w:space="0" w:color="auto"/>
                    <w:bottom w:val="none" w:sz="0" w:space="0" w:color="auto"/>
                    <w:right w:val="none" w:sz="0" w:space="0" w:color="auto"/>
                  </w:divBdr>
                </w:div>
                <w:div w:id="294138656">
                  <w:marLeft w:val="0"/>
                  <w:marRight w:val="0"/>
                  <w:marTop w:val="0"/>
                  <w:marBottom w:val="0"/>
                  <w:divBdr>
                    <w:top w:val="none" w:sz="0" w:space="0" w:color="auto"/>
                    <w:left w:val="none" w:sz="0" w:space="0" w:color="auto"/>
                    <w:bottom w:val="none" w:sz="0" w:space="0" w:color="auto"/>
                    <w:right w:val="none" w:sz="0" w:space="0" w:color="auto"/>
                  </w:divBdr>
                </w:div>
                <w:div w:id="294138659">
                  <w:marLeft w:val="0"/>
                  <w:marRight w:val="0"/>
                  <w:marTop w:val="0"/>
                  <w:marBottom w:val="0"/>
                  <w:divBdr>
                    <w:top w:val="none" w:sz="0" w:space="0" w:color="auto"/>
                    <w:left w:val="none" w:sz="0" w:space="0" w:color="auto"/>
                    <w:bottom w:val="none" w:sz="0" w:space="0" w:color="auto"/>
                    <w:right w:val="none" w:sz="0" w:space="0" w:color="auto"/>
                  </w:divBdr>
                </w:div>
                <w:div w:id="294138806">
                  <w:marLeft w:val="0"/>
                  <w:marRight w:val="0"/>
                  <w:marTop w:val="0"/>
                  <w:marBottom w:val="0"/>
                  <w:divBdr>
                    <w:top w:val="none" w:sz="0" w:space="0" w:color="auto"/>
                    <w:left w:val="none" w:sz="0" w:space="0" w:color="auto"/>
                    <w:bottom w:val="none" w:sz="0" w:space="0" w:color="auto"/>
                    <w:right w:val="none" w:sz="0" w:space="0" w:color="auto"/>
                  </w:divBdr>
                </w:div>
                <w:div w:id="294138883">
                  <w:marLeft w:val="0"/>
                  <w:marRight w:val="0"/>
                  <w:marTop w:val="0"/>
                  <w:marBottom w:val="0"/>
                  <w:divBdr>
                    <w:top w:val="none" w:sz="0" w:space="0" w:color="auto"/>
                    <w:left w:val="none" w:sz="0" w:space="0" w:color="auto"/>
                    <w:bottom w:val="none" w:sz="0" w:space="0" w:color="auto"/>
                    <w:right w:val="none" w:sz="0" w:space="0" w:color="auto"/>
                  </w:divBdr>
                </w:div>
                <w:div w:id="294138975">
                  <w:marLeft w:val="0"/>
                  <w:marRight w:val="0"/>
                  <w:marTop w:val="0"/>
                  <w:marBottom w:val="0"/>
                  <w:divBdr>
                    <w:top w:val="none" w:sz="0" w:space="0" w:color="auto"/>
                    <w:left w:val="none" w:sz="0" w:space="0" w:color="auto"/>
                    <w:bottom w:val="none" w:sz="0" w:space="0" w:color="auto"/>
                    <w:right w:val="none" w:sz="0" w:space="0" w:color="auto"/>
                  </w:divBdr>
                </w:div>
                <w:div w:id="294139019">
                  <w:marLeft w:val="0"/>
                  <w:marRight w:val="0"/>
                  <w:marTop w:val="0"/>
                  <w:marBottom w:val="0"/>
                  <w:divBdr>
                    <w:top w:val="none" w:sz="0" w:space="0" w:color="auto"/>
                    <w:left w:val="none" w:sz="0" w:space="0" w:color="auto"/>
                    <w:bottom w:val="none" w:sz="0" w:space="0" w:color="auto"/>
                    <w:right w:val="none" w:sz="0" w:space="0" w:color="auto"/>
                  </w:divBdr>
                </w:div>
                <w:div w:id="294139037">
                  <w:marLeft w:val="0"/>
                  <w:marRight w:val="0"/>
                  <w:marTop w:val="0"/>
                  <w:marBottom w:val="0"/>
                  <w:divBdr>
                    <w:top w:val="none" w:sz="0" w:space="0" w:color="auto"/>
                    <w:left w:val="none" w:sz="0" w:space="0" w:color="auto"/>
                    <w:bottom w:val="none" w:sz="0" w:space="0" w:color="auto"/>
                    <w:right w:val="none" w:sz="0" w:space="0" w:color="auto"/>
                  </w:divBdr>
                </w:div>
                <w:div w:id="294139049">
                  <w:marLeft w:val="0"/>
                  <w:marRight w:val="0"/>
                  <w:marTop w:val="0"/>
                  <w:marBottom w:val="0"/>
                  <w:divBdr>
                    <w:top w:val="none" w:sz="0" w:space="0" w:color="auto"/>
                    <w:left w:val="none" w:sz="0" w:space="0" w:color="auto"/>
                    <w:bottom w:val="none" w:sz="0" w:space="0" w:color="auto"/>
                    <w:right w:val="none" w:sz="0" w:space="0" w:color="auto"/>
                  </w:divBdr>
                </w:div>
                <w:div w:id="294139114">
                  <w:marLeft w:val="0"/>
                  <w:marRight w:val="0"/>
                  <w:marTop w:val="0"/>
                  <w:marBottom w:val="0"/>
                  <w:divBdr>
                    <w:top w:val="none" w:sz="0" w:space="0" w:color="auto"/>
                    <w:left w:val="none" w:sz="0" w:space="0" w:color="auto"/>
                    <w:bottom w:val="none" w:sz="0" w:space="0" w:color="auto"/>
                    <w:right w:val="none" w:sz="0" w:space="0" w:color="auto"/>
                  </w:divBdr>
                </w:div>
                <w:div w:id="294139135">
                  <w:marLeft w:val="0"/>
                  <w:marRight w:val="0"/>
                  <w:marTop w:val="0"/>
                  <w:marBottom w:val="0"/>
                  <w:divBdr>
                    <w:top w:val="none" w:sz="0" w:space="0" w:color="auto"/>
                    <w:left w:val="none" w:sz="0" w:space="0" w:color="auto"/>
                    <w:bottom w:val="none" w:sz="0" w:space="0" w:color="auto"/>
                    <w:right w:val="none" w:sz="0" w:space="0" w:color="auto"/>
                  </w:divBdr>
                </w:div>
                <w:div w:id="294139331">
                  <w:marLeft w:val="0"/>
                  <w:marRight w:val="0"/>
                  <w:marTop w:val="0"/>
                  <w:marBottom w:val="0"/>
                  <w:divBdr>
                    <w:top w:val="none" w:sz="0" w:space="0" w:color="auto"/>
                    <w:left w:val="none" w:sz="0" w:space="0" w:color="auto"/>
                    <w:bottom w:val="none" w:sz="0" w:space="0" w:color="auto"/>
                    <w:right w:val="none" w:sz="0" w:space="0" w:color="auto"/>
                  </w:divBdr>
                </w:div>
                <w:div w:id="294139337">
                  <w:marLeft w:val="0"/>
                  <w:marRight w:val="0"/>
                  <w:marTop w:val="0"/>
                  <w:marBottom w:val="0"/>
                  <w:divBdr>
                    <w:top w:val="none" w:sz="0" w:space="0" w:color="auto"/>
                    <w:left w:val="none" w:sz="0" w:space="0" w:color="auto"/>
                    <w:bottom w:val="none" w:sz="0" w:space="0" w:color="auto"/>
                    <w:right w:val="none" w:sz="0" w:space="0" w:color="auto"/>
                  </w:divBdr>
                </w:div>
                <w:div w:id="294139553">
                  <w:marLeft w:val="0"/>
                  <w:marRight w:val="0"/>
                  <w:marTop w:val="0"/>
                  <w:marBottom w:val="0"/>
                  <w:divBdr>
                    <w:top w:val="none" w:sz="0" w:space="0" w:color="auto"/>
                    <w:left w:val="none" w:sz="0" w:space="0" w:color="auto"/>
                    <w:bottom w:val="none" w:sz="0" w:space="0" w:color="auto"/>
                    <w:right w:val="none" w:sz="0" w:space="0" w:color="auto"/>
                  </w:divBdr>
                </w:div>
                <w:div w:id="294139565">
                  <w:marLeft w:val="0"/>
                  <w:marRight w:val="0"/>
                  <w:marTop w:val="0"/>
                  <w:marBottom w:val="0"/>
                  <w:divBdr>
                    <w:top w:val="none" w:sz="0" w:space="0" w:color="auto"/>
                    <w:left w:val="none" w:sz="0" w:space="0" w:color="auto"/>
                    <w:bottom w:val="none" w:sz="0" w:space="0" w:color="auto"/>
                    <w:right w:val="none" w:sz="0" w:space="0" w:color="auto"/>
                  </w:divBdr>
                </w:div>
                <w:div w:id="294139876">
                  <w:marLeft w:val="0"/>
                  <w:marRight w:val="0"/>
                  <w:marTop w:val="0"/>
                  <w:marBottom w:val="0"/>
                  <w:divBdr>
                    <w:top w:val="none" w:sz="0" w:space="0" w:color="auto"/>
                    <w:left w:val="none" w:sz="0" w:space="0" w:color="auto"/>
                    <w:bottom w:val="none" w:sz="0" w:space="0" w:color="auto"/>
                    <w:right w:val="none" w:sz="0" w:space="0" w:color="auto"/>
                  </w:divBdr>
                </w:div>
                <w:div w:id="294140029">
                  <w:marLeft w:val="0"/>
                  <w:marRight w:val="0"/>
                  <w:marTop w:val="0"/>
                  <w:marBottom w:val="0"/>
                  <w:divBdr>
                    <w:top w:val="none" w:sz="0" w:space="0" w:color="auto"/>
                    <w:left w:val="none" w:sz="0" w:space="0" w:color="auto"/>
                    <w:bottom w:val="none" w:sz="0" w:space="0" w:color="auto"/>
                    <w:right w:val="none" w:sz="0" w:space="0" w:color="auto"/>
                  </w:divBdr>
                </w:div>
                <w:div w:id="294140201">
                  <w:marLeft w:val="0"/>
                  <w:marRight w:val="0"/>
                  <w:marTop w:val="0"/>
                  <w:marBottom w:val="0"/>
                  <w:divBdr>
                    <w:top w:val="none" w:sz="0" w:space="0" w:color="auto"/>
                    <w:left w:val="none" w:sz="0" w:space="0" w:color="auto"/>
                    <w:bottom w:val="none" w:sz="0" w:space="0" w:color="auto"/>
                    <w:right w:val="none" w:sz="0" w:space="0" w:color="auto"/>
                  </w:divBdr>
                </w:div>
                <w:div w:id="294140243">
                  <w:marLeft w:val="0"/>
                  <w:marRight w:val="0"/>
                  <w:marTop w:val="0"/>
                  <w:marBottom w:val="0"/>
                  <w:divBdr>
                    <w:top w:val="none" w:sz="0" w:space="0" w:color="auto"/>
                    <w:left w:val="none" w:sz="0" w:space="0" w:color="auto"/>
                    <w:bottom w:val="none" w:sz="0" w:space="0" w:color="auto"/>
                    <w:right w:val="none" w:sz="0" w:space="0" w:color="auto"/>
                  </w:divBdr>
                </w:div>
                <w:div w:id="294140525">
                  <w:marLeft w:val="0"/>
                  <w:marRight w:val="0"/>
                  <w:marTop w:val="0"/>
                  <w:marBottom w:val="0"/>
                  <w:divBdr>
                    <w:top w:val="none" w:sz="0" w:space="0" w:color="auto"/>
                    <w:left w:val="none" w:sz="0" w:space="0" w:color="auto"/>
                    <w:bottom w:val="none" w:sz="0" w:space="0" w:color="auto"/>
                    <w:right w:val="none" w:sz="0" w:space="0" w:color="auto"/>
                  </w:divBdr>
                </w:div>
                <w:div w:id="294140947">
                  <w:marLeft w:val="0"/>
                  <w:marRight w:val="0"/>
                  <w:marTop w:val="0"/>
                  <w:marBottom w:val="0"/>
                  <w:divBdr>
                    <w:top w:val="none" w:sz="0" w:space="0" w:color="auto"/>
                    <w:left w:val="none" w:sz="0" w:space="0" w:color="auto"/>
                    <w:bottom w:val="none" w:sz="0" w:space="0" w:color="auto"/>
                    <w:right w:val="none" w:sz="0" w:space="0" w:color="auto"/>
                  </w:divBdr>
                </w:div>
                <w:div w:id="294141018">
                  <w:marLeft w:val="0"/>
                  <w:marRight w:val="0"/>
                  <w:marTop w:val="0"/>
                  <w:marBottom w:val="0"/>
                  <w:divBdr>
                    <w:top w:val="none" w:sz="0" w:space="0" w:color="auto"/>
                    <w:left w:val="none" w:sz="0" w:space="0" w:color="auto"/>
                    <w:bottom w:val="none" w:sz="0" w:space="0" w:color="auto"/>
                    <w:right w:val="none" w:sz="0" w:space="0" w:color="auto"/>
                  </w:divBdr>
                </w:div>
                <w:div w:id="294141239">
                  <w:marLeft w:val="0"/>
                  <w:marRight w:val="0"/>
                  <w:marTop w:val="0"/>
                  <w:marBottom w:val="0"/>
                  <w:divBdr>
                    <w:top w:val="none" w:sz="0" w:space="0" w:color="auto"/>
                    <w:left w:val="none" w:sz="0" w:space="0" w:color="auto"/>
                    <w:bottom w:val="none" w:sz="0" w:space="0" w:color="auto"/>
                    <w:right w:val="none" w:sz="0" w:space="0" w:color="auto"/>
                  </w:divBdr>
                </w:div>
                <w:div w:id="294141345">
                  <w:marLeft w:val="0"/>
                  <w:marRight w:val="0"/>
                  <w:marTop w:val="0"/>
                  <w:marBottom w:val="0"/>
                  <w:divBdr>
                    <w:top w:val="none" w:sz="0" w:space="0" w:color="auto"/>
                    <w:left w:val="none" w:sz="0" w:space="0" w:color="auto"/>
                    <w:bottom w:val="none" w:sz="0" w:space="0" w:color="auto"/>
                    <w:right w:val="none" w:sz="0" w:space="0" w:color="auto"/>
                  </w:divBdr>
                </w:div>
                <w:div w:id="294141383">
                  <w:marLeft w:val="0"/>
                  <w:marRight w:val="0"/>
                  <w:marTop w:val="0"/>
                  <w:marBottom w:val="0"/>
                  <w:divBdr>
                    <w:top w:val="none" w:sz="0" w:space="0" w:color="auto"/>
                    <w:left w:val="none" w:sz="0" w:space="0" w:color="auto"/>
                    <w:bottom w:val="none" w:sz="0" w:space="0" w:color="auto"/>
                    <w:right w:val="none" w:sz="0" w:space="0" w:color="auto"/>
                  </w:divBdr>
                </w:div>
                <w:div w:id="294141515">
                  <w:marLeft w:val="0"/>
                  <w:marRight w:val="0"/>
                  <w:marTop w:val="0"/>
                  <w:marBottom w:val="0"/>
                  <w:divBdr>
                    <w:top w:val="none" w:sz="0" w:space="0" w:color="auto"/>
                    <w:left w:val="none" w:sz="0" w:space="0" w:color="auto"/>
                    <w:bottom w:val="none" w:sz="0" w:space="0" w:color="auto"/>
                    <w:right w:val="none" w:sz="0" w:space="0" w:color="auto"/>
                  </w:divBdr>
                </w:div>
                <w:div w:id="294141577">
                  <w:marLeft w:val="0"/>
                  <w:marRight w:val="0"/>
                  <w:marTop w:val="0"/>
                  <w:marBottom w:val="0"/>
                  <w:divBdr>
                    <w:top w:val="none" w:sz="0" w:space="0" w:color="auto"/>
                    <w:left w:val="none" w:sz="0" w:space="0" w:color="auto"/>
                    <w:bottom w:val="none" w:sz="0" w:space="0" w:color="auto"/>
                    <w:right w:val="none" w:sz="0" w:space="0" w:color="auto"/>
                  </w:divBdr>
                </w:div>
                <w:div w:id="294141609">
                  <w:marLeft w:val="0"/>
                  <w:marRight w:val="0"/>
                  <w:marTop w:val="0"/>
                  <w:marBottom w:val="0"/>
                  <w:divBdr>
                    <w:top w:val="none" w:sz="0" w:space="0" w:color="auto"/>
                    <w:left w:val="none" w:sz="0" w:space="0" w:color="auto"/>
                    <w:bottom w:val="none" w:sz="0" w:space="0" w:color="auto"/>
                    <w:right w:val="none" w:sz="0" w:space="0" w:color="auto"/>
                  </w:divBdr>
                </w:div>
                <w:div w:id="294141665">
                  <w:marLeft w:val="0"/>
                  <w:marRight w:val="0"/>
                  <w:marTop w:val="0"/>
                  <w:marBottom w:val="0"/>
                  <w:divBdr>
                    <w:top w:val="none" w:sz="0" w:space="0" w:color="auto"/>
                    <w:left w:val="none" w:sz="0" w:space="0" w:color="auto"/>
                    <w:bottom w:val="none" w:sz="0" w:space="0" w:color="auto"/>
                    <w:right w:val="none" w:sz="0" w:space="0" w:color="auto"/>
                  </w:divBdr>
                </w:div>
                <w:div w:id="294141704">
                  <w:marLeft w:val="0"/>
                  <w:marRight w:val="0"/>
                  <w:marTop w:val="0"/>
                  <w:marBottom w:val="0"/>
                  <w:divBdr>
                    <w:top w:val="none" w:sz="0" w:space="0" w:color="auto"/>
                    <w:left w:val="none" w:sz="0" w:space="0" w:color="auto"/>
                    <w:bottom w:val="none" w:sz="0" w:space="0" w:color="auto"/>
                    <w:right w:val="none" w:sz="0" w:space="0" w:color="auto"/>
                  </w:divBdr>
                </w:div>
                <w:div w:id="294141975">
                  <w:marLeft w:val="0"/>
                  <w:marRight w:val="0"/>
                  <w:marTop w:val="0"/>
                  <w:marBottom w:val="0"/>
                  <w:divBdr>
                    <w:top w:val="none" w:sz="0" w:space="0" w:color="auto"/>
                    <w:left w:val="none" w:sz="0" w:space="0" w:color="auto"/>
                    <w:bottom w:val="none" w:sz="0" w:space="0" w:color="auto"/>
                    <w:right w:val="none" w:sz="0" w:space="0" w:color="auto"/>
                  </w:divBdr>
                </w:div>
                <w:div w:id="294142166">
                  <w:marLeft w:val="0"/>
                  <w:marRight w:val="0"/>
                  <w:marTop w:val="0"/>
                  <w:marBottom w:val="0"/>
                  <w:divBdr>
                    <w:top w:val="none" w:sz="0" w:space="0" w:color="auto"/>
                    <w:left w:val="none" w:sz="0" w:space="0" w:color="auto"/>
                    <w:bottom w:val="none" w:sz="0" w:space="0" w:color="auto"/>
                    <w:right w:val="none" w:sz="0" w:space="0" w:color="auto"/>
                  </w:divBdr>
                </w:div>
                <w:div w:id="294142293">
                  <w:marLeft w:val="0"/>
                  <w:marRight w:val="0"/>
                  <w:marTop w:val="0"/>
                  <w:marBottom w:val="0"/>
                  <w:divBdr>
                    <w:top w:val="none" w:sz="0" w:space="0" w:color="auto"/>
                    <w:left w:val="none" w:sz="0" w:space="0" w:color="auto"/>
                    <w:bottom w:val="none" w:sz="0" w:space="0" w:color="auto"/>
                    <w:right w:val="none" w:sz="0" w:space="0" w:color="auto"/>
                  </w:divBdr>
                </w:div>
                <w:div w:id="294142683">
                  <w:marLeft w:val="0"/>
                  <w:marRight w:val="0"/>
                  <w:marTop w:val="0"/>
                  <w:marBottom w:val="0"/>
                  <w:divBdr>
                    <w:top w:val="none" w:sz="0" w:space="0" w:color="auto"/>
                    <w:left w:val="none" w:sz="0" w:space="0" w:color="auto"/>
                    <w:bottom w:val="none" w:sz="0" w:space="0" w:color="auto"/>
                    <w:right w:val="none" w:sz="0" w:space="0" w:color="auto"/>
                  </w:divBdr>
                </w:div>
                <w:div w:id="294143034">
                  <w:marLeft w:val="0"/>
                  <w:marRight w:val="0"/>
                  <w:marTop w:val="0"/>
                  <w:marBottom w:val="0"/>
                  <w:divBdr>
                    <w:top w:val="none" w:sz="0" w:space="0" w:color="auto"/>
                    <w:left w:val="none" w:sz="0" w:space="0" w:color="auto"/>
                    <w:bottom w:val="none" w:sz="0" w:space="0" w:color="auto"/>
                    <w:right w:val="none" w:sz="0" w:space="0" w:color="auto"/>
                  </w:divBdr>
                </w:div>
                <w:div w:id="294143142">
                  <w:marLeft w:val="0"/>
                  <w:marRight w:val="0"/>
                  <w:marTop w:val="0"/>
                  <w:marBottom w:val="0"/>
                  <w:divBdr>
                    <w:top w:val="none" w:sz="0" w:space="0" w:color="auto"/>
                    <w:left w:val="none" w:sz="0" w:space="0" w:color="auto"/>
                    <w:bottom w:val="none" w:sz="0" w:space="0" w:color="auto"/>
                    <w:right w:val="none" w:sz="0" w:space="0" w:color="auto"/>
                  </w:divBdr>
                </w:div>
                <w:div w:id="294143532">
                  <w:marLeft w:val="0"/>
                  <w:marRight w:val="0"/>
                  <w:marTop w:val="0"/>
                  <w:marBottom w:val="0"/>
                  <w:divBdr>
                    <w:top w:val="none" w:sz="0" w:space="0" w:color="auto"/>
                    <w:left w:val="none" w:sz="0" w:space="0" w:color="auto"/>
                    <w:bottom w:val="none" w:sz="0" w:space="0" w:color="auto"/>
                    <w:right w:val="none" w:sz="0" w:space="0" w:color="auto"/>
                  </w:divBdr>
                </w:div>
                <w:div w:id="294144036">
                  <w:marLeft w:val="0"/>
                  <w:marRight w:val="0"/>
                  <w:marTop w:val="0"/>
                  <w:marBottom w:val="0"/>
                  <w:divBdr>
                    <w:top w:val="none" w:sz="0" w:space="0" w:color="auto"/>
                    <w:left w:val="none" w:sz="0" w:space="0" w:color="auto"/>
                    <w:bottom w:val="none" w:sz="0" w:space="0" w:color="auto"/>
                    <w:right w:val="none" w:sz="0" w:space="0" w:color="auto"/>
                  </w:divBdr>
                </w:div>
                <w:div w:id="294144067">
                  <w:marLeft w:val="0"/>
                  <w:marRight w:val="0"/>
                  <w:marTop w:val="0"/>
                  <w:marBottom w:val="0"/>
                  <w:divBdr>
                    <w:top w:val="none" w:sz="0" w:space="0" w:color="auto"/>
                    <w:left w:val="none" w:sz="0" w:space="0" w:color="auto"/>
                    <w:bottom w:val="none" w:sz="0" w:space="0" w:color="auto"/>
                    <w:right w:val="none" w:sz="0" w:space="0" w:color="auto"/>
                  </w:divBdr>
                </w:div>
                <w:div w:id="294144316">
                  <w:marLeft w:val="0"/>
                  <w:marRight w:val="0"/>
                  <w:marTop w:val="0"/>
                  <w:marBottom w:val="0"/>
                  <w:divBdr>
                    <w:top w:val="none" w:sz="0" w:space="0" w:color="auto"/>
                    <w:left w:val="none" w:sz="0" w:space="0" w:color="auto"/>
                    <w:bottom w:val="none" w:sz="0" w:space="0" w:color="auto"/>
                    <w:right w:val="none" w:sz="0" w:space="0" w:color="auto"/>
                  </w:divBdr>
                </w:div>
                <w:div w:id="294144351">
                  <w:marLeft w:val="0"/>
                  <w:marRight w:val="0"/>
                  <w:marTop w:val="0"/>
                  <w:marBottom w:val="0"/>
                  <w:divBdr>
                    <w:top w:val="none" w:sz="0" w:space="0" w:color="auto"/>
                    <w:left w:val="none" w:sz="0" w:space="0" w:color="auto"/>
                    <w:bottom w:val="none" w:sz="0" w:space="0" w:color="auto"/>
                    <w:right w:val="none" w:sz="0" w:space="0" w:color="auto"/>
                  </w:divBdr>
                </w:div>
                <w:div w:id="294144497">
                  <w:marLeft w:val="0"/>
                  <w:marRight w:val="0"/>
                  <w:marTop w:val="0"/>
                  <w:marBottom w:val="0"/>
                  <w:divBdr>
                    <w:top w:val="none" w:sz="0" w:space="0" w:color="auto"/>
                    <w:left w:val="none" w:sz="0" w:space="0" w:color="auto"/>
                    <w:bottom w:val="none" w:sz="0" w:space="0" w:color="auto"/>
                    <w:right w:val="none" w:sz="0" w:space="0" w:color="auto"/>
                  </w:divBdr>
                </w:div>
                <w:div w:id="294144632">
                  <w:marLeft w:val="0"/>
                  <w:marRight w:val="0"/>
                  <w:marTop w:val="0"/>
                  <w:marBottom w:val="0"/>
                  <w:divBdr>
                    <w:top w:val="none" w:sz="0" w:space="0" w:color="auto"/>
                    <w:left w:val="none" w:sz="0" w:space="0" w:color="auto"/>
                    <w:bottom w:val="none" w:sz="0" w:space="0" w:color="auto"/>
                    <w:right w:val="none" w:sz="0" w:space="0" w:color="auto"/>
                  </w:divBdr>
                </w:div>
                <w:div w:id="294144719">
                  <w:marLeft w:val="0"/>
                  <w:marRight w:val="0"/>
                  <w:marTop w:val="0"/>
                  <w:marBottom w:val="0"/>
                  <w:divBdr>
                    <w:top w:val="none" w:sz="0" w:space="0" w:color="auto"/>
                    <w:left w:val="none" w:sz="0" w:space="0" w:color="auto"/>
                    <w:bottom w:val="none" w:sz="0" w:space="0" w:color="auto"/>
                    <w:right w:val="none" w:sz="0" w:space="0" w:color="auto"/>
                  </w:divBdr>
                </w:div>
                <w:div w:id="294145128">
                  <w:marLeft w:val="0"/>
                  <w:marRight w:val="0"/>
                  <w:marTop w:val="0"/>
                  <w:marBottom w:val="0"/>
                  <w:divBdr>
                    <w:top w:val="none" w:sz="0" w:space="0" w:color="auto"/>
                    <w:left w:val="none" w:sz="0" w:space="0" w:color="auto"/>
                    <w:bottom w:val="none" w:sz="0" w:space="0" w:color="auto"/>
                    <w:right w:val="none" w:sz="0" w:space="0" w:color="auto"/>
                  </w:divBdr>
                </w:div>
                <w:div w:id="294145257">
                  <w:marLeft w:val="0"/>
                  <w:marRight w:val="0"/>
                  <w:marTop w:val="0"/>
                  <w:marBottom w:val="0"/>
                  <w:divBdr>
                    <w:top w:val="none" w:sz="0" w:space="0" w:color="auto"/>
                    <w:left w:val="none" w:sz="0" w:space="0" w:color="auto"/>
                    <w:bottom w:val="none" w:sz="0" w:space="0" w:color="auto"/>
                    <w:right w:val="none" w:sz="0" w:space="0" w:color="auto"/>
                  </w:divBdr>
                </w:div>
                <w:div w:id="294145610">
                  <w:marLeft w:val="0"/>
                  <w:marRight w:val="0"/>
                  <w:marTop w:val="0"/>
                  <w:marBottom w:val="0"/>
                  <w:divBdr>
                    <w:top w:val="none" w:sz="0" w:space="0" w:color="auto"/>
                    <w:left w:val="none" w:sz="0" w:space="0" w:color="auto"/>
                    <w:bottom w:val="none" w:sz="0" w:space="0" w:color="auto"/>
                    <w:right w:val="none" w:sz="0" w:space="0" w:color="auto"/>
                  </w:divBdr>
                </w:div>
                <w:div w:id="294145867">
                  <w:marLeft w:val="0"/>
                  <w:marRight w:val="0"/>
                  <w:marTop w:val="0"/>
                  <w:marBottom w:val="0"/>
                  <w:divBdr>
                    <w:top w:val="none" w:sz="0" w:space="0" w:color="auto"/>
                    <w:left w:val="none" w:sz="0" w:space="0" w:color="auto"/>
                    <w:bottom w:val="none" w:sz="0" w:space="0" w:color="auto"/>
                    <w:right w:val="none" w:sz="0" w:space="0" w:color="auto"/>
                  </w:divBdr>
                </w:div>
                <w:div w:id="294145954">
                  <w:marLeft w:val="0"/>
                  <w:marRight w:val="0"/>
                  <w:marTop w:val="0"/>
                  <w:marBottom w:val="0"/>
                  <w:divBdr>
                    <w:top w:val="none" w:sz="0" w:space="0" w:color="auto"/>
                    <w:left w:val="none" w:sz="0" w:space="0" w:color="auto"/>
                    <w:bottom w:val="none" w:sz="0" w:space="0" w:color="auto"/>
                    <w:right w:val="none" w:sz="0" w:space="0" w:color="auto"/>
                  </w:divBdr>
                </w:div>
                <w:div w:id="294146396">
                  <w:marLeft w:val="0"/>
                  <w:marRight w:val="0"/>
                  <w:marTop w:val="0"/>
                  <w:marBottom w:val="0"/>
                  <w:divBdr>
                    <w:top w:val="none" w:sz="0" w:space="0" w:color="auto"/>
                    <w:left w:val="none" w:sz="0" w:space="0" w:color="auto"/>
                    <w:bottom w:val="none" w:sz="0" w:space="0" w:color="auto"/>
                    <w:right w:val="none" w:sz="0" w:space="0" w:color="auto"/>
                  </w:divBdr>
                </w:div>
                <w:div w:id="294146585">
                  <w:marLeft w:val="0"/>
                  <w:marRight w:val="0"/>
                  <w:marTop w:val="0"/>
                  <w:marBottom w:val="0"/>
                  <w:divBdr>
                    <w:top w:val="none" w:sz="0" w:space="0" w:color="auto"/>
                    <w:left w:val="none" w:sz="0" w:space="0" w:color="auto"/>
                    <w:bottom w:val="none" w:sz="0" w:space="0" w:color="auto"/>
                    <w:right w:val="none" w:sz="0" w:space="0" w:color="auto"/>
                  </w:divBdr>
                </w:div>
                <w:div w:id="294147016">
                  <w:marLeft w:val="0"/>
                  <w:marRight w:val="0"/>
                  <w:marTop w:val="0"/>
                  <w:marBottom w:val="0"/>
                  <w:divBdr>
                    <w:top w:val="none" w:sz="0" w:space="0" w:color="auto"/>
                    <w:left w:val="none" w:sz="0" w:space="0" w:color="auto"/>
                    <w:bottom w:val="none" w:sz="0" w:space="0" w:color="auto"/>
                    <w:right w:val="none" w:sz="0" w:space="0" w:color="auto"/>
                  </w:divBdr>
                </w:div>
                <w:div w:id="294147034">
                  <w:marLeft w:val="0"/>
                  <w:marRight w:val="0"/>
                  <w:marTop w:val="0"/>
                  <w:marBottom w:val="0"/>
                  <w:divBdr>
                    <w:top w:val="none" w:sz="0" w:space="0" w:color="auto"/>
                    <w:left w:val="none" w:sz="0" w:space="0" w:color="auto"/>
                    <w:bottom w:val="none" w:sz="0" w:space="0" w:color="auto"/>
                    <w:right w:val="none" w:sz="0" w:space="0" w:color="auto"/>
                  </w:divBdr>
                </w:div>
                <w:div w:id="294147174">
                  <w:marLeft w:val="0"/>
                  <w:marRight w:val="0"/>
                  <w:marTop w:val="0"/>
                  <w:marBottom w:val="0"/>
                  <w:divBdr>
                    <w:top w:val="none" w:sz="0" w:space="0" w:color="auto"/>
                    <w:left w:val="none" w:sz="0" w:space="0" w:color="auto"/>
                    <w:bottom w:val="none" w:sz="0" w:space="0" w:color="auto"/>
                    <w:right w:val="none" w:sz="0" w:space="0" w:color="auto"/>
                  </w:divBdr>
                </w:div>
                <w:div w:id="294147239">
                  <w:marLeft w:val="0"/>
                  <w:marRight w:val="0"/>
                  <w:marTop w:val="0"/>
                  <w:marBottom w:val="0"/>
                  <w:divBdr>
                    <w:top w:val="none" w:sz="0" w:space="0" w:color="auto"/>
                    <w:left w:val="none" w:sz="0" w:space="0" w:color="auto"/>
                    <w:bottom w:val="none" w:sz="0" w:space="0" w:color="auto"/>
                    <w:right w:val="none" w:sz="0" w:space="0" w:color="auto"/>
                  </w:divBdr>
                </w:div>
                <w:div w:id="294147499">
                  <w:marLeft w:val="0"/>
                  <w:marRight w:val="0"/>
                  <w:marTop w:val="0"/>
                  <w:marBottom w:val="0"/>
                  <w:divBdr>
                    <w:top w:val="none" w:sz="0" w:space="0" w:color="auto"/>
                    <w:left w:val="none" w:sz="0" w:space="0" w:color="auto"/>
                    <w:bottom w:val="none" w:sz="0" w:space="0" w:color="auto"/>
                    <w:right w:val="none" w:sz="0" w:space="0" w:color="auto"/>
                  </w:divBdr>
                </w:div>
                <w:div w:id="294147621">
                  <w:marLeft w:val="0"/>
                  <w:marRight w:val="0"/>
                  <w:marTop w:val="0"/>
                  <w:marBottom w:val="0"/>
                  <w:divBdr>
                    <w:top w:val="none" w:sz="0" w:space="0" w:color="auto"/>
                    <w:left w:val="none" w:sz="0" w:space="0" w:color="auto"/>
                    <w:bottom w:val="none" w:sz="0" w:space="0" w:color="auto"/>
                    <w:right w:val="none" w:sz="0" w:space="0" w:color="auto"/>
                  </w:divBdr>
                </w:div>
                <w:div w:id="294147678">
                  <w:marLeft w:val="0"/>
                  <w:marRight w:val="0"/>
                  <w:marTop w:val="0"/>
                  <w:marBottom w:val="0"/>
                  <w:divBdr>
                    <w:top w:val="none" w:sz="0" w:space="0" w:color="auto"/>
                    <w:left w:val="none" w:sz="0" w:space="0" w:color="auto"/>
                    <w:bottom w:val="none" w:sz="0" w:space="0" w:color="auto"/>
                    <w:right w:val="none" w:sz="0" w:space="0" w:color="auto"/>
                  </w:divBdr>
                </w:div>
                <w:div w:id="294148125">
                  <w:marLeft w:val="0"/>
                  <w:marRight w:val="0"/>
                  <w:marTop w:val="0"/>
                  <w:marBottom w:val="0"/>
                  <w:divBdr>
                    <w:top w:val="none" w:sz="0" w:space="0" w:color="auto"/>
                    <w:left w:val="none" w:sz="0" w:space="0" w:color="auto"/>
                    <w:bottom w:val="none" w:sz="0" w:space="0" w:color="auto"/>
                    <w:right w:val="none" w:sz="0" w:space="0" w:color="auto"/>
                  </w:divBdr>
                </w:div>
                <w:div w:id="294148217">
                  <w:marLeft w:val="0"/>
                  <w:marRight w:val="0"/>
                  <w:marTop w:val="0"/>
                  <w:marBottom w:val="0"/>
                  <w:divBdr>
                    <w:top w:val="none" w:sz="0" w:space="0" w:color="auto"/>
                    <w:left w:val="none" w:sz="0" w:space="0" w:color="auto"/>
                    <w:bottom w:val="none" w:sz="0" w:space="0" w:color="auto"/>
                    <w:right w:val="none" w:sz="0" w:space="0" w:color="auto"/>
                  </w:divBdr>
                </w:div>
                <w:div w:id="294148306">
                  <w:marLeft w:val="0"/>
                  <w:marRight w:val="0"/>
                  <w:marTop w:val="0"/>
                  <w:marBottom w:val="0"/>
                  <w:divBdr>
                    <w:top w:val="none" w:sz="0" w:space="0" w:color="auto"/>
                    <w:left w:val="none" w:sz="0" w:space="0" w:color="auto"/>
                    <w:bottom w:val="none" w:sz="0" w:space="0" w:color="auto"/>
                    <w:right w:val="none" w:sz="0" w:space="0" w:color="auto"/>
                  </w:divBdr>
                </w:div>
                <w:div w:id="294148392">
                  <w:marLeft w:val="0"/>
                  <w:marRight w:val="0"/>
                  <w:marTop w:val="0"/>
                  <w:marBottom w:val="0"/>
                  <w:divBdr>
                    <w:top w:val="none" w:sz="0" w:space="0" w:color="auto"/>
                    <w:left w:val="none" w:sz="0" w:space="0" w:color="auto"/>
                    <w:bottom w:val="none" w:sz="0" w:space="0" w:color="auto"/>
                    <w:right w:val="none" w:sz="0" w:space="0" w:color="auto"/>
                  </w:divBdr>
                </w:div>
                <w:div w:id="294148857">
                  <w:marLeft w:val="0"/>
                  <w:marRight w:val="0"/>
                  <w:marTop w:val="0"/>
                  <w:marBottom w:val="0"/>
                  <w:divBdr>
                    <w:top w:val="none" w:sz="0" w:space="0" w:color="auto"/>
                    <w:left w:val="none" w:sz="0" w:space="0" w:color="auto"/>
                    <w:bottom w:val="none" w:sz="0" w:space="0" w:color="auto"/>
                    <w:right w:val="none" w:sz="0" w:space="0" w:color="auto"/>
                  </w:divBdr>
                </w:div>
                <w:div w:id="294148892">
                  <w:marLeft w:val="0"/>
                  <w:marRight w:val="0"/>
                  <w:marTop w:val="0"/>
                  <w:marBottom w:val="0"/>
                  <w:divBdr>
                    <w:top w:val="none" w:sz="0" w:space="0" w:color="auto"/>
                    <w:left w:val="none" w:sz="0" w:space="0" w:color="auto"/>
                    <w:bottom w:val="none" w:sz="0" w:space="0" w:color="auto"/>
                    <w:right w:val="none" w:sz="0" w:space="0" w:color="auto"/>
                  </w:divBdr>
                </w:div>
                <w:div w:id="294149109">
                  <w:marLeft w:val="0"/>
                  <w:marRight w:val="0"/>
                  <w:marTop w:val="0"/>
                  <w:marBottom w:val="0"/>
                  <w:divBdr>
                    <w:top w:val="none" w:sz="0" w:space="0" w:color="auto"/>
                    <w:left w:val="none" w:sz="0" w:space="0" w:color="auto"/>
                    <w:bottom w:val="none" w:sz="0" w:space="0" w:color="auto"/>
                    <w:right w:val="none" w:sz="0" w:space="0" w:color="auto"/>
                  </w:divBdr>
                </w:div>
                <w:div w:id="294149213">
                  <w:marLeft w:val="0"/>
                  <w:marRight w:val="0"/>
                  <w:marTop w:val="0"/>
                  <w:marBottom w:val="0"/>
                  <w:divBdr>
                    <w:top w:val="none" w:sz="0" w:space="0" w:color="auto"/>
                    <w:left w:val="none" w:sz="0" w:space="0" w:color="auto"/>
                    <w:bottom w:val="none" w:sz="0" w:space="0" w:color="auto"/>
                    <w:right w:val="none" w:sz="0" w:space="0" w:color="auto"/>
                  </w:divBdr>
                </w:div>
                <w:div w:id="294149272">
                  <w:marLeft w:val="0"/>
                  <w:marRight w:val="0"/>
                  <w:marTop w:val="0"/>
                  <w:marBottom w:val="0"/>
                  <w:divBdr>
                    <w:top w:val="none" w:sz="0" w:space="0" w:color="auto"/>
                    <w:left w:val="none" w:sz="0" w:space="0" w:color="auto"/>
                    <w:bottom w:val="none" w:sz="0" w:space="0" w:color="auto"/>
                    <w:right w:val="none" w:sz="0" w:space="0" w:color="auto"/>
                  </w:divBdr>
                </w:div>
                <w:div w:id="294149304">
                  <w:marLeft w:val="0"/>
                  <w:marRight w:val="0"/>
                  <w:marTop w:val="0"/>
                  <w:marBottom w:val="0"/>
                  <w:divBdr>
                    <w:top w:val="none" w:sz="0" w:space="0" w:color="auto"/>
                    <w:left w:val="none" w:sz="0" w:space="0" w:color="auto"/>
                    <w:bottom w:val="none" w:sz="0" w:space="0" w:color="auto"/>
                    <w:right w:val="none" w:sz="0" w:space="0" w:color="auto"/>
                  </w:divBdr>
                </w:div>
                <w:div w:id="294149309">
                  <w:marLeft w:val="0"/>
                  <w:marRight w:val="0"/>
                  <w:marTop w:val="0"/>
                  <w:marBottom w:val="0"/>
                  <w:divBdr>
                    <w:top w:val="none" w:sz="0" w:space="0" w:color="auto"/>
                    <w:left w:val="none" w:sz="0" w:space="0" w:color="auto"/>
                    <w:bottom w:val="none" w:sz="0" w:space="0" w:color="auto"/>
                    <w:right w:val="none" w:sz="0" w:space="0" w:color="auto"/>
                  </w:divBdr>
                </w:div>
                <w:div w:id="294149345">
                  <w:marLeft w:val="0"/>
                  <w:marRight w:val="0"/>
                  <w:marTop w:val="0"/>
                  <w:marBottom w:val="0"/>
                  <w:divBdr>
                    <w:top w:val="none" w:sz="0" w:space="0" w:color="auto"/>
                    <w:left w:val="none" w:sz="0" w:space="0" w:color="auto"/>
                    <w:bottom w:val="none" w:sz="0" w:space="0" w:color="auto"/>
                    <w:right w:val="none" w:sz="0" w:space="0" w:color="auto"/>
                  </w:divBdr>
                </w:div>
                <w:div w:id="294149577">
                  <w:marLeft w:val="0"/>
                  <w:marRight w:val="0"/>
                  <w:marTop w:val="0"/>
                  <w:marBottom w:val="0"/>
                  <w:divBdr>
                    <w:top w:val="none" w:sz="0" w:space="0" w:color="auto"/>
                    <w:left w:val="none" w:sz="0" w:space="0" w:color="auto"/>
                    <w:bottom w:val="none" w:sz="0" w:space="0" w:color="auto"/>
                    <w:right w:val="none" w:sz="0" w:space="0" w:color="auto"/>
                  </w:divBdr>
                </w:div>
                <w:div w:id="294149785">
                  <w:marLeft w:val="0"/>
                  <w:marRight w:val="0"/>
                  <w:marTop w:val="0"/>
                  <w:marBottom w:val="0"/>
                  <w:divBdr>
                    <w:top w:val="none" w:sz="0" w:space="0" w:color="auto"/>
                    <w:left w:val="none" w:sz="0" w:space="0" w:color="auto"/>
                    <w:bottom w:val="none" w:sz="0" w:space="0" w:color="auto"/>
                    <w:right w:val="none" w:sz="0" w:space="0" w:color="auto"/>
                  </w:divBdr>
                </w:div>
                <w:div w:id="294149902">
                  <w:marLeft w:val="0"/>
                  <w:marRight w:val="0"/>
                  <w:marTop w:val="0"/>
                  <w:marBottom w:val="0"/>
                  <w:divBdr>
                    <w:top w:val="none" w:sz="0" w:space="0" w:color="auto"/>
                    <w:left w:val="none" w:sz="0" w:space="0" w:color="auto"/>
                    <w:bottom w:val="none" w:sz="0" w:space="0" w:color="auto"/>
                    <w:right w:val="none" w:sz="0" w:space="0" w:color="auto"/>
                  </w:divBdr>
                </w:div>
                <w:div w:id="294150252">
                  <w:marLeft w:val="0"/>
                  <w:marRight w:val="0"/>
                  <w:marTop w:val="0"/>
                  <w:marBottom w:val="0"/>
                  <w:divBdr>
                    <w:top w:val="none" w:sz="0" w:space="0" w:color="auto"/>
                    <w:left w:val="none" w:sz="0" w:space="0" w:color="auto"/>
                    <w:bottom w:val="none" w:sz="0" w:space="0" w:color="auto"/>
                    <w:right w:val="none" w:sz="0" w:space="0" w:color="auto"/>
                  </w:divBdr>
                </w:div>
                <w:div w:id="294150365">
                  <w:marLeft w:val="0"/>
                  <w:marRight w:val="0"/>
                  <w:marTop w:val="0"/>
                  <w:marBottom w:val="0"/>
                  <w:divBdr>
                    <w:top w:val="none" w:sz="0" w:space="0" w:color="auto"/>
                    <w:left w:val="none" w:sz="0" w:space="0" w:color="auto"/>
                    <w:bottom w:val="none" w:sz="0" w:space="0" w:color="auto"/>
                    <w:right w:val="none" w:sz="0" w:space="0" w:color="auto"/>
                  </w:divBdr>
                </w:div>
                <w:div w:id="294150440">
                  <w:marLeft w:val="0"/>
                  <w:marRight w:val="0"/>
                  <w:marTop w:val="0"/>
                  <w:marBottom w:val="0"/>
                  <w:divBdr>
                    <w:top w:val="none" w:sz="0" w:space="0" w:color="auto"/>
                    <w:left w:val="none" w:sz="0" w:space="0" w:color="auto"/>
                    <w:bottom w:val="none" w:sz="0" w:space="0" w:color="auto"/>
                    <w:right w:val="none" w:sz="0" w:space="0" w:color="auto"/>
                  </w:divBdr>
                </w:div>
                <w:div w:id="294150452">
                  <w:marLeft w:val="0"/>
                  <w:marRight w:val="0"/>
                  <w:marTop w:val="0"/>
                  <w:marBottom w:val="0"/>
                  <w:divBdr>
                    <w:top w:val="none" w:sz="0" w:space="0" w:color="auto"/>
                    <w:left w:val="none" w:sz="0" w:space="0" w:color="auto"/>
                    <w:bottom w:val="none" w:sz="0" w:space="0" w:color="auto"/>
                    <w:right w:val="none" w:sz="0" w:space="0" w:color="auto"/>
                  </w:divBdr>
                </w:div>
                <w:div w:id="294150519">
                  <w:marLeft w:val="0"/>
                  <w:marRight w:val="0"/>
                  <w:marTop w:val="0"/>
                  <w:marBottom w:val="0"/>
                  <w:divBdr>
                    <w:top w:val="none" w:sz="0" w:space="0" w:color="auto"/>
                    <w:left w:val="none" w:sz="0" w:space="0" w:color="auto"/>
                    <w:bottom w:val="none" w:sz="0" w:space="0" w:color="auto"/>
                    <w:right w:val="none" w:sz="0" w:space="0" w:color="auto"/>
                  </w:divBdr>
                </w:div>
                <w:div w:id="294150929">
                  <w:marLeft w:val="0"/>
                  <w:marRight w:val="0"/>
                  <w:marTop w:val="0"/>
                  <w:marBottom w:val="0"/>
                  <w:divBdr>
                    <w:top w:val="none" w:sz="0" w:space="0" w:color="auto"/>
                    <w:left w:val="none" w:sz="0" w:space="0" w:color="auto"/>
                    <w:bottom w:val="none" w:sz="0" w:space="0" w:color="auto"/>
                    <w:right w:val="none" w:sz="0" w:space="0" w:color="auto"/>
                  </w:divBdr>
                </w:div>
                <w:div w:id="294150937">
                  <w:marLeft w:val="0"/>
                  <w:marRight w:val="0"/>
                  <w:marTop w:val="0"/>
                  <w:marBottom w:val="0"/>
                  <w:divBdr>
                    <w:top w:val="none" w:sz="0" w:space="0" w:color="auto"/>
                    <w:left w:val="none" w:sz="0" w:space="0" w:color="auto"/>
                    <w:bottom w:val="none" w:sz="0" w:space="0" w:color="auto"/>
                    <w:right w:val="none" w:sz="0" w:space="0" w:color="auto"/>
                  </w:divBdr>
                </w:div>
                <w:div w:id="294150967">
                  <w:marLeft w:val="0"/>
                  <w:marRight w:val="0"/>
                  <w:marTop w:val="0"/>
                  <w:marBottom w:val="0"/>
                  <w:divBdr>
                    <w:top w:val="none" w:sz="0" w:space="0" w:color="auto"/>
                    <w:left w:val="none" w:sz="0" w:space="0" w:color="auto"/>
                    <w:bottom w:val="none" w:sz="0" w:space="0" w:color="auto"/>
                    <w:right w:val="none" w:sz="0" w:space="0" w:color="auto"/>
                  </w:divBdr>
                </w:div>
                <w:div w:id="294151165">
                  <w:marLeft w:val="0"/>
                  <w:marRight w:val="0"/>
                  <w:marTop w:val="0"/>
                  <w:marBottom w:val="0"/>
                  <w:divBdr>
                    <w:top w:val="none" w:sz="0" w:space="0" w:color="auto"/>
                    <w:left w:val="none" w:sz="0" w:space="0" w:color="auto"/>
                    <w:bottom w:val="none" w:sz="0" w:space="0" w:color="auto"/>
                    <w:right w:val="none" w:sz="0" w:space="0" w:color="auto"/>
                  </w:divBdr>
                </w:div>
                <w:div w:id="294151655">
                  <w:marLeft w:val="0"/>
                  <w:marRight w:val="0"/>
                  <w:marTop w:val="0"/>
                  <w:marBottom w:val="0"/>
                  <w:divBdr>
                    <w:top w:val="none" w:sz="0" w:space="0" w:color="auto"/>
                    <w:left w:val="none" w:sz="0" w:space="0" w:color="auto"/>
                    <w:bottom w:val="none" w:sz="0" w:space="0" w:color="auto"/>
                    <w:right w:val="none" w:sz="0" w:space="0" w:color="auto"/>
                  </w:divBdr>
                </w:div>
                <w:div w:id="294151963">
                  <w:marLeft w:val="0"/>
                  <w:marRight w:val="0"/>
                  <w:marTop w:val="0"/>
                  <w:marBottom w:val="0"/>
                  <w:divBdr>
                    <w:top w:val="none" w:sz="0" w:space="0" w:color="auto"/>
                    <w:left w:val="none" w:sz="0" w:space="0" w:color="auto"/>
                    <w:bottom w:val="none" w:sz="0" w:space="0" w:color="auto"/>
                    <w:right w:val="none" w:sz="0" w:space="0" w:color="auto"/>
                  </w:divBdr>
                </w:div>
                <w:div w:id="294152269">
                  <w:marLeft w:val="0"/>
                  <w:marRight w:val="0"/>
                  <w:marTop w:val="0"/>
                  <w:marBottom w:val="0"/>
                  <w:divBdr>
                    <w:top w:val="none" w:sz="0" w:space="0" w:color="auto"/>
                    <w:left w:val="none" w:sz="0" w:space="0" w:color="auto"/>
                    <w:bottom w:val="none" w:sz="0" w:space="0" w:color="auto"/>
                    <w:right w:val="none" w:sz="0" w:space="0" w:color="auto"/>
                  </w:divBdr>
                </w:div>
                <w:div w:id="294152524">
                  <w:marLeft w:val="0"/>
                  <w:marRight w:val="0"/>
                  <w:marTop w:val="0"/>
                  <w:marBottom w:val="0"/>
                  <w:divBdr>
                    <w:top w:val="none" w:sz="0" w:space="0" w:color="auto"/>
                    <w:left w:val="none" w:sz="0" w:space="0" w:color="auto"/>
                    <w:bottom w:val="none" w:sz="0" w:space="0" w:color="auto"/>
                    <w:right w:val="none" w:sz="0" w:space="0" w:color="auto"/>
                  </w:divBdr>
                </w:div>
                <w:div w:id="294152553">
                  <w:marLeft w:val="0"/>
                  <w:marRight w:val="0"/>
                  <w:marTop w:val="0"/>
                  <w:marBottom w:val="0"/>
                  <w:divBdr>
                    <w:top w:val="none" w:sz="0" w:space="0" w:color="auto"/>
                    <w:left w:val="none" w:sz="0" w:space="0" w:color="auto"/>
                    <w:bottom w:val="none" w:sz="0" w:space="0" w:color="auto"/>
                    <w:right w:val="none" w:sz="0" w:space="0" w:color="auto"/>
                  </w:divBdr>
                </w:div>
                <w:div w:id="294152594">
                  <w:marLeft w:val="0"/>
                  <w:marRight w:val="0"/>
                  <w:marTop w:val="0"/>
                  <w:marBottom w:val="0"/>
                  <w:divBdr>
                    <w:top w:val="none" w:sz="0" w:space="0" w:color="auto"/>
                    <w:left w:val="none" w:sz="0" w:space="0" w:color="auto"/>
                    <w:bottom w:val="none" w:sz="0" w:space="0" w:color="auto"/>
                    <w:right w:val="none" w:sz="0" w:space="0" w:color="auto"/>
                  </w:divBdr>
                </w:div>
                <w:div w:id="294152828">
                  <w:marLeft w:val="0"/>
                  <w:marRight w:val="0"/>
                  <w:marTop w:val="0"/>
                  <w:marBottom w:val="0"/>
                  <w:divBdr>
                    <w:top w:val="none" w:sz="0" w:space="0" w:color="auto"/>
                    <w:left w:val="none" w:sz="0" w:space="0" w:color="auto"/>
                    <w:bottom w:val="none" w:sz="0" w:space="0" w:color="auto"/>
                    <w:right w:val="none" w:sz="0" w:space="0" w:color="auto"/>
                  </w:divBdr>
                </w:div>
                <w:div w:id="294152858">
                  <w:marLeft w:val="0"/>
                  <w:marRight w:val="0"/>
                  <w:marTop w:val="0"/>
                  <w:marBottom w:val="0"/>
                  <w:divBdr>
                    <w:top w:val="none" w:sz="0" w:space="0" w:color="auto"/>
                    <w:left w:val="none" w:sz="0" w:space="0" w:color="auto"/>
                    <w:bottom w:val="none" w:sz="0" w:space="0" w:color="auto"/>
                    <w:right w:val="none" w:sz="0" w:space="0" w:color="auto"/>
                  </w:divBdr>
                </w:div>
                <w:div w:id="294152877">
                  <w:marLeft w:val="0"/>
                  <w:marRight w:val="0"/>
                  <w:marTop w:val="0"/>
                  <w:marBottom w:val="0"/>
                  <w:divBdr>
                    <w:top w:val="none" w:sz="0" w:space="0" w:color="auto"/>
                    <w:left w:val="none" w:sz="0" w:space="0" w:color="auto"/>
                    <w:bottom w:val="none" w:sz="0" w:space="0" w:color="auto"/>
                    <w:right w:val="none" w:sz="0" w:space="0" w:color="auto"/>
                  </w:divBdr>
                </w:div>
                <w:div w:id="294152910">
                  <w:marLeft w:val="0"/>
                  <w:marRight w:val="0"/>
                  <w:marTop w:val="0"/>
                  <w:marBottom w:val="0"/>
                  <w:divBdr>
                    <w:top w:val="none" w:sz="0" w:space="0" w:color="auto"/>
                    <w:left w:val="none" w:sz="0" w:space="0" w:color="auto"/>
                    <w:bottom w:val="none" w:sz="0" w:space="0" w:color="auto"/>
                    <w:right w:val="none" w:sz="0" w:space="0" w:color="auto"/>
                  </w:divBdr>
                </w:div>
                <w:div w:id="294152939">
                  <w:marLeft w:val="0"/>
                  <w:marRight w:val="0"/>
                  <w:marTop w:val="0"/>
                  <w:marBottom w:val="0"/>
                  <w:divBdr>
                    <w:top w:val="none" w:sz="0" w:space="0" w:color="auto"/>
                    <w:left w:val="none" w:sz="0" w:space="0" w:color="auto"/>
                    <w:bottom w:val="none" w:sz="0" w:space="0" w:color="auto"/>
                    <w:right w:val="none" w:sz="0" w:space="0" w:color="auto"/>
                  </w:divBdr>
                </w:div>
                <w:div w:id="294153249">
                  <w:marLeft w:val="0"/>
                  <w:marRight w:val="0"/>
                  <w:marTop w:val="0"/>
                  <w:marBottom w:val="0"/>
                  <w:divBdr>
                    <w:top w:val="none" w:sz="0" w:space="0" w:color="auto"/>
                    <w:left w:val="none" w:sz="0" w:space="0" w:color="auto"/>
                    <w:bottom w:val="none" w:sz="0" w:space="0" w:color="auto"/>
                    <w:right w:val="none" w:sz="0" w:space="0" w:color="auto"/>
                  </w:divBdr>
                </w:div>
                <w:div w:id="294153724">
                  <w:marLeft w:val="0"/>
                  <w:marRight w:val="0"/>
                  <w:marTop w:val="0"/>
                  <w:marBottom w:val="0"/>
                  <w:divBdr>
                    <w:top w:val="none" w:sz="0" w:space="0" w:color="auto"/>
                    <w:left w:val="none" w:sz="0" w:space="0" w:color="auto"/>
                    <w:bottom w:val="none" w:sz="0" w:space="0" w:color="auto"/>
                    <w:right w:val="none" w:sz="0" w:space="0" w:color="auto"/>
                  </w:divBdr>
                </w:div>
                <w:div w:id="294153897">
                  <w:marLeft w:val="0"/>
                  <w:marRight w:val="0"/>
                  <w:marTop w:val="0"/>
                  <w:marBottom w:val="0"/>
                  <w:divBdr>
                    <w:top w:val="none" w:sz="0" w:space="0" w:color="auto"/>
                    <w:left w:val="none" w:sz="0" w:space="0" w:color="auto"/>
                    <w:bottom w:val="none" w:sz="0" w:space="0" w:color="auto"/>
                    <w:right w:val="none" w:sz="0" w:space="0" w:color="auto"/>
                  </w:divBdr>
                </w:div>
                <w:div w:id="294154241">
                  <w:marLeft w:val="0"/>
                  <w:marRight w:val="0"/>
                  <w:marTop w:val="0"/>
                  <w:marBottom w:val="0"/>
                  <w:divBdr>
                    <w:top w:val="none" w:sz="0" w:space="0" w:color="auto"/>
                    <w:left w:val="none" w:sz="0" w:space="0" w:color="auto"/>
                    <w:bottom w:val="none" w:sz="0" w:space="0" w:color="auto"/>
                    <w:right w:val="none" w:sz="0" w:space="0" w:color="auto"/>
                  </w:divBdr>
                </w:div>
                <w:div w:id="294154421">
                  <w:marLeft w:val="0"/>
                  <w:marRight w:val="0"/>
                  <w:marTop w:val="0"/>
                  <w:marBottom w:val="0"/>
                  <w:divBdr>
                    <w:top w:val="none" w:sz="0" w:space="0" w:color="auto"/>
                    <w:left w:val="none" w:sz="0" w:space="0" w:color="auto"/>
                    <w:bottom w:val="none" w:sz="0" w:space="0" w:color="auto"/>
                    <w:right w:val="none" w:sz="0" w:space="0" w:color="auto"/>
                  </w:divBdr>
                </w:div>
                <w:div w:id="294154482">
                  <w:marLeft w:val="0"/>
                  <w:marRight w:val="0"/>
                  <w:marTop w:val="0"/>
                  <w:marBottom w:val="0"/>
                  <w:divBdr>
                    <w:top w:val="none" w:sz="0" w:space="0" w:color="auto"/>
                    <w:left w:val="none" w:sz="0" w:space="0" w:color="auto"/>
                    <w:bottom w:val="none" w:sz="0" w:space="0" w:color="auto"/>
                    <w:right w:val="none" w:sz="0" w:space="0" w:color="auto"/>
                  </w:divBdr>
                </w:div>
                <w:div w:id="294154583">
                  <w:marLeft w:val="0"/>
                  <w:marRight w:val="0"/>
                  <w:marTop w:val="0"/>
                  <w:marBottom w:val="0"/>
                  <w:divBdr>
                    <w:top w:val="none" w:sz="0" w:space="0" w:color="auto"/>
                    <w:left w:val="none" w:sz="0" w:space="0" w:color="auto"/>
                    <w:bottom w:val="none" w:sz="0" w:space="0" w:color="auto"/>
                    <w:right w:val="none" w:sz="0" w:space="0" w:color="auto"/>
                  </w:divBdr>
                </w:div>
                <w:div w:id="294154663">
                  <w:marLeft w:val="0"/>
                  <w:marRight w:val="0"/>
                  <w:marTop w:val="0"/>
                  <w:marBottom w:val="0"/>
                  <w:divBdr>
                    <w:top w:val="none" w:sz="0" w:space="0" w:color="auto"/>
                    <w:left w:val="none" w:sz="0" w:space="0" w:color="auto"/>
                    <w:bottom w:val="none" w:sz="0" w:space="0" w:color="auto"/>
                    <w:right w:val="none" w:sz="0" w:space="0" w:color="auto"/>
                  </w:divBdr>
                </w:div>
                <w:div w:id="294154724">
                  <w:marLeft w:val="0"/>
                  <w:marRight w:val="0"/>
                  <w:marTop w:val="0"/>
                  <w:marBottom w:val="0"/>
                  <w:divBdr>
                    <w:top w:val="none" w:sz="0" w:space="0" w:color="auto"/>
                    <w:left w:val="none" w:sz="0" w:space="0" w:color="auto"/>
                    <w:bottom w:val="none" w:sz="0" w:space="0" w:color="auto"/>
                    <w:right w:val="none" w:sz="0" w:space="0" w:color="auto"/>
                  </w:divBdr>
                </w:div>
                <w:div w:id="294154809">
                  <w:marLeft w:val="0"/>
                  <w:marRight w:val="0"/>
                  <w:marTop w:val="0"/>
                  <w:marBottom w:val="0"/>
                  <w:divBdr>
                    <w:top w:val="none" w:sz="0" w:space="0" w:color="auto"/>
                    <w:left w:val="none" w:sz="0" w:space="0" w:color="auto"/>
                    <w:bottom w:val="none" w:sz="0" w:space="0" w:color="auto"/>
                    <w:right w:val="none" w:sz="0" w:space="0" w:color="auto"/>
                  </w:divBdr>
                </w:div>
                <w:div w:id="294154855">
                  <w:marLeft w:val="0"/>
                  <w:marRight w:val="0"/>
                  <w:marTop w:val="0"/>
                  <w:marBottom w:val="0"/>
                  <w:divBdr>
                    <w:top w:val="none" w:sz="0" w:space="0" w:color="auto"/>
                    <w:left w:val="none" w:sz="0" w:space="0" w:color="auto"/>
                    <w:bottom w:val="none" w:sz="0" w:space="0" w:color="auto"/>
                    <w:right w:val="none" w:sz="0" w:space="0" w:color="auto"/>
                  </w:divBdr>
                </w:div>
                <w:div w:id="294154964">
                  <w:marLeft w:val="0"/>
                  <w:marRight w:val="0"/>
                  <w:marTop w:val="0"/>
                  <w:marBottom w:val="0"/>
                  <w:divBdr>
                    <w:top w:val="none" w:sz="0" w:space="0" w:color="auto"/>
                    <w:left w:val="none" w:sz="0" w:space="0" w:color="auto"/>
                    <w:bottom w:val="none" w:sz="0" w:space="0" w:color="auto"/>
                    <w:right w:val="none" w:sz="0" w:space="0" w:color="auto"/>
                  </w:divBdr>
                </w:div>
                <w:div w:id="294155072">
                  <w:marLeft w:val="0"/>
                  <w:marRight w:val="0"/>
                  <w:marTop w:val="0"/>
                  <w:marBottom w:val="0"/>
                  <w:divBdr>
                    <w:top w:val="none" w:sz="0" w:space="0" w:color="auto"/>
                    <w:left w:val="none" w:sz="0" w:space="0" w:color="auto"/>
                    <w:bottom w:val="none" w:sz="0" w:space="0" w:color="auto"/>
                    <w:right w:val="none" w:sz="0" w:space="0" w:color="auto"/>
                  </w:divBdr>
                </w:div>
                <w:div w:id="294155348">
                  <w:marLeft w:val="0"/>
                  <w:marRight w:val="0"/>
                  <w:marTop w:val="0"/>
                  <w:marBottom w:val="0"/>
                  <w:divBdr>
                    <w:top w:val="none" w:sz="0" w:space="0" w:color="auto"/>
                    <w:left w:val="none" w:sz="0" w:space="0" w:color="auto"/>
                    <w:bottom w:val="none" w:sz="0" w:space="0" w:color="auto"/>
                    <w:right w:val="none" w:sz="0" w:space="0" w:color="auto"/>
                  </w:divBdr>
                </w:div>
                <w:div w:id="294155639">
                  <w:marLeft w:val="0"/>
                  <w:marRight w:val="0"/>
                  <w:marTop w:val="0"/>
                  <w:marBottom w:val="0"/>
                  <w:divBdr>
                    <w:top w:val="none" w:sz="0" w:space="0" w:color="auto"/>
                    <w:left w:val="none" w:sz="0" w:space="0" w:color="auto"/>
                    <w:bottom w:val="none" w:sz="0" w:space="0" w:color="auto"/>
                    <w:right w:val="none" w:sz="0" w:space="0" w:color="auto"/>
                  </w:divBdr>
                </w:div>
                <w:div w:id="294155851">
                  <w:marLeft w:val="0"/>
                  <w:marRight w:val="0"/>
                  <w:marTop w:val="0"/>
                  <w:marBottom w:val="0"/>
                  <w:divBdr>
                    <w:top w:val="none" w:sz="0" w:space="0" w:color="auto"/>
                    <w:left w:val="none" w:sz="0" w:space="0" w:color="auto"/>
                    <w:bottom w:val="none" w:sz="0" w:space="0" w:color="auto"/>
                    <w:right w:val="none" w:sz="0" w:space="0" w:color="auto"/>
                  </w:divBdr>
                </w:div>
                <w:div w:id="294155918">
                  <w:marLeft w:val="0"/>
                  <w:marRight w:val="0"/>
                  <w:marTop w:val="0"/>
                  <w:marBottom w:val="0"/>
                  <w:divBdr>
                    <w:top w:val="none" w:sz="0" w:space="0" w:color="auto"/>
                    <w:left w:val="none" w:sz="0" w:space="0" w:color="auto"/>
                    <w:bottom w:val="none" w:sz="0" w:space="0" w:color="auto"/>
                    <w:right w:val="none" w:sz="0" w:space="0" w:color="auto"/>
                  </w:divBdr>
                </w:div>
                <w:div w:id="294156116">
                  <w:marLeft w:val="0"/>
                  <w:marRight w:val="0"/>
                  <w:marTop w:val="0"/>
                  <w:marBottom w:val="0"/>
                  <w:divBdr>
                    <w:top w:val="none" w:sz="0" w:space="0" w:color="auto"/>
                    <w:left w:val="none" w:sz="0" w:space="0" w:color="auto"/>
                    <w:bottom w:val="none" w:sz="0" w:space="0" w:color="auto"/>
                    <w:right w:val="none" w:sz="0" w:space="0" w:color="auto"/>
                  </w:divBdr>
                </w:div>
                <w:div w:id="294156326">
                  <w:marLeft w:val="0"/>
                  <w:marRight w:val="0"/>
                  <w:marTop w:val="0"/>
                  <w:marBottom w:val="0"/>
                  <w:divBdr>
                    <w:top w:val="none" w:sz="0" w:space="0" w:color="auto"/>
                    <w:left w:val="none" w:sz="0" w:space="0" w:color="auto"/>
                    <w:bottom w:val="none" w:sz="0" w:space="0" w:color="auto"/>
                    <w:right w:val="none" w:sz="0" w:space="0" w:color="auto"/>
                  </w:divBdr>
                </w:div>
                <w:div w:id="294156332">
                  <w:marLeft w:val="0"/>
                  <w:marRight w:val="0"/>
                  <w:marTop w:val="0"/>
                  <w:marBottom w:val="0"/>
                  <w:divBdr>
                    <w:top w:val="none" w:sz="0" w:space="0" w:color="auto"/>
                    <w:left w:val="none" w:sz="0" w:space="0" w:color="auto"/>
                    <w:bottom w:val="none" w:sz="0" w:space="0" w:color="auto"/>
                    <w:right w:val="none" w:sz="0" w:space="0" w:color="auto"/>
                  </w:divBdr>
                </w:div>
                <w:div w:id="294156375">
                  <w:marLeft w:val="0"/>
                  <w:marRight w:val="0"/>
                  <w:marTop w:val="0"/>
                  <w:marBottom w:val="0"/>
                  <w:divBdr>
                    <w:top w:val="none" w:sz="0" w:space="0" w:color="auto"/>
                    <w:left w:val="none" w:sz="0" w:space="0" w:color="auto"/>
                    <w:bottom w:val="none" w:sz="0" w:space="0" w:color="auto"/>
                    <w:right w:val="none" w:sz="0" w:space="0" w:color="auto"/>
                  </w:divBdr>
                </w:div>
                <w:div w:id="294156599">
                  <w:marLeft w:val="0"/>
                  <w:marRight w:val="0"/>
                  <w:marTop w:val="0"/>
                  <w:marBottom w:val="0"/>
                  <w:divBdr>
                    <w:top w:val="none" w:sz="0" w:space="0" w:color="auto"/>
                    <w:left w:val="none" w:sz="0" w:space="0" w:color="auto"/>
                    <w:bottom w:val="none" w:sz="0" w:space="0" w:color="auto"/>
                    <w:right w:val="none" w:sz="0" w:space="0" w:color="auto"/>
                  </w:divBdr>
                </w:div>
                <w:div w:id="294156884">
                  <w:marLeft w:val="0"/>
                  <w:marRight w:val="0"/>
                  <w:marTop w:val="0"/>
                  <w:marBottom w:val="0"/>
                  <w:divBdr>
                    <w:top w:val="none" w:sz="0" w:space="0" w:color="auto"/>
                    <w:left w:val="none" w:sz="0" w:space="0" w:color="auto"/>
                    <w:bottom w:val="none" w:sz="0" w:space="0" w:color="auto"/>
                    <w:right w:val="none" w:sz="0" w:space="0" w:color="auto"/>
                  </w:divBdr>
                </w:div>
                <w:div w:id="2941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9541">
          <w:marLeft w:val="0"/>
          <w:marRight w:val="0"/>
          <w:marTop w:val="0"/>
          <w:marBottom w:val="0"/>
          <w:divBdr>
            <w:top w:val="none" w:sz="0" w:space="0" w:color="auto"/>
            <w:left w:val="none" w:sz="0" w:space="0" w:color="auto"/>
            <w:bottom w:val="none" w:sz="0" w:space="0" w:color="auto"/>
            <w:right w:val="none" w:sz="0" w:space="0" w:color="auto"/>
          </w:divBdr>
          <w:divsChild>
            <w:div w:id="294140860">
              <w:marLeft w:val="0"/>
              <w:marRight w:val="0"/>
              <w:marTop w:val="0"/>
              <w:marBottom w:val="0"/>
              <w:divBdr>
                <w:top w:val="none" w:sz="0" w:space="0" w:color="auto"/>
                <w:left w:val="none" w:sz="0" w:space="0" w:color="auto"/>
                <w:bottom w:val="none" w:sz="0" w:space="0" w:color="auto"/>
                <w:right w:val="none" w:sz="0" w:space="0" w:color="auto"/>
              </w:divBdr>
              <w:divsChild>
                <w:div w:id="29414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52373">
      <w:marLeft w:val="0"/>
      <w:marRight w:val="0"/>
      <w:marTop w:val="0"/>
      <w:marBottom w:val="0"/>
      <w:divBdr>
        <w:top w:val="none" w:sz="0" w:space="0" w:color="auto"/>
        <w:left w:val="none" w:sz="0" w:space="0" w:color="auto"/>
        <w:bottom w:val="none" w:sz="0" w:space="0" w:color="auto"/>
        <w:right w:val="none" w:sz="0" w:space="0" w:color="auto"/>
      </w:divBdr>
    </w:div>
    <w:div w:id="294152386">
      <w:marLeft w:val="0"/>
      <w:marRight w:val="0"/>
      <w:marTop w:val="0"/>
      <w:marBottom w:val="0"/>
      <w:divBdr>
        <w:top w:val="none" w:sz="0" w:space="0" w:color="auto"/>
        <w:left w:val="none" w:sz="0" w:space="0" w:color="auto"/>
        <w:bottom w:val="none" w:sz="0" w:space="0" w:color="auto"/>
        <w:right w:val="none" w:sz="0" w:space="0" w:color="auto"/>
      </w:divBdr>
    </w:div>
    <w:div w:id="294152389">
      <w:marLeft w:val="0"/>
      <w:marRight w:val="0"/>
      <w:marTop w:val="0"/>
      <w:marBottom w:val="0"/>
      <w:divBdr>
        <w:top w:val="none" w:sz="0" w:space="0" w:color="auto"/>
        <w:left w:val="none" w:sz="0" w:space="0" w:color="auto"/>
        <w:bottom w:val="none" w:sz="0" w:space="0" w:color="auto"/>
        <w:right w:val="none" w:sz="0" w:space="0" w:color="auto"/>
      </w:divBdr>
    </w:div>
    <w:div w:id="294152403">
      <w:marLeft w:val="0"/>
      <w:marRight w:val="0"/>
      <w:marTop w:val="0"/>
      <w:marBottom w:val="0"/>
      <w:divBdr>
        <w:top w:val="none" w:sz="0" w:space="0" w:color="auto"/>
        <w:left w:val="none" w:sz="0" w:space="0" w:color="auto"/>
        <w:bottom w:val="none" w:sz="0" w:space="0" w:color="auto"/>
        <w:right w:val="none" w:sz="0" w:space="0" w:color="auto"/>
      </w:divBdr>
    </w:div>
    <w:div w:id="294152468">
      <w:marLeft w:val="0"/>
      <w:marRight w:val="0"/>
      <w:marTop w:val="0"/>
      <w:marBottom w:val="0"/>
      <w:divBdr>
        <w:top w:val="none" w:sz="0" w:space="0" w:color="auto"/>
        <w:left w:val="none" w:sz="0" w:space="0" w:color="auto"/>
        <w:bottom w:val="none" w:sz="0" w:space="0" w:color="auto"/>
        <w:right w:val="none" w:sz="0" w:space="0" w:color="auto"/>
      </w:divBdr>
    </w:div>
    <w:div w:id="294152511">
      <w:marLeft w:val="0"/>
      <w:marRight w:val="0"/>
      <w:marTop w:val="0"/>
      <w:marBottom w:val="0"/>
      <w:divBdr>
        <w:top w:val="none" w:sz="0" w:space="0" w:color="auto"/>
        <w:left w:val="none" w:sz="0" w:space="0" w:color="auto"/>
        <w:bottom w:val="none" w:sz="0" w:space="0" w:color="auto"/>
        <w:right w:val="none" w:sz="0" w:space="0" w:color="auto"/>
      </w:divBdr>
    </w:div>
    <w:div w:id="294152513">
      <w:marLeft w:val="0"/>
      <w:marRight w:val="0"/>
      <w:marTop w:val="0"/>
      <w:marBottom w:val="0"/>
      <w:divBdr>
        <w:top w:val="none" w:sz="0" w:space="0" w:color="auto"/>
        <w:left w:val="none" w:sz="0" w:space="0" w:color="auto"/>
        <w:bottom w:val="none" w:sz="0" w:space="0" w:color="auto"/>
        <w:right w:val="none" w:sz="0" w:space="0" w:color="auto"/>
      </w:divBdr>
      <w:divsChild>
        <w:div w:id="294156052">
          <w:marLeft w:val="0"/>
          <w:marRight w:val="0"/>
          <w:marTop w:val="0"/>
          <w:marBottom w:val="0"/>
          <w:divBdr>
            <w:top w:val="none" w:sz="0" w:space="0" w:color="auto"/>
            <w:left w:val="none" w:sz="0" w:space="0" w:color="auto"/>
            <w:bottom w:val="none" w:sz="0" w:space="0" w:color="auto"/>
            <w:right w:val="none" w:sz="0" w:space="0" w:color="auto"/>
          </w:divBdr>
        </w:div>
      </w:divsChild>
    </w:div>
    <w:div w:id="294152564">
      <w:marLeft w:val="0"/>
      <w:marRight w:val="0"/>
      <w:marTop w:val="0"/>
      <w:marBottom w:val="0"/>
      <w:divBdr>
        <w:top w:val="none" w:sz="0" w:space="0" w:color="auto"/>
        <w:left w:val="none" w:sz="0" w:space="0" w:color="auto"/>
        <w:bottom w:val="none" w:sz="0" w:space="0" w:color="auto"/>
        <w:right w:val="none" w:sz="0" w:space="0" w:color="auto"/>
      </w:divBdr>
    </w:div>
    <w:div w:id="294152577">
      <w:marLeft w:val="0"/>
      <w:marRight w:val="0"/>
      <w:marTop w:val="0"/>
      <w:marBottom w:val="0"/>
      <w:divBdr>
        <w:top w:val="none" w:sz="0" w:space="0" w:color="auto"/>
        <w:left w:val="none" w:sz="0" w:space="0" w:color="auto"/>
        <w:bottom w:val="none" w:sz="0" w:space="0" w:color="auto"/>
        <w:right w:val="none" w:sz="0" w:space="0" w:color="auto"/>
      </w:divBdr>
    </w:div>
    <w:div w:id="294152647">
      <w:marLeft w:val="0"/>
      <w:marRight w:val="0"/>
      <w:marTop w:val="0"/>
      <w:marBottom w:val="0"/>
      <w:divBdr>
        <w:top w:val="none" w:sz="0" w:space="0" w:color="auto"/>
        <w:left w:val="none" w:sz="0" w:space="0" w:color="auto"/>
        <w:bottom w:val="none" w:sz="0" w:space="0" w:color="auto"/>
        <w:right w:val="none" w:sz="0" w:space="0" w:color="auto"/>
      </w:divBdr>
    </w:div>
    <w:div w:id="294152664">
      <w:marLeft w:val="0"/>
      <w:marRight w:val="0"/>
      <w:marTop w:val="0"/>
      <w:marBottom w:val="0"/>
      <w:divBdr>
        <w:top w:val="none" w:sz="0" w:space="0" w:color="auto"/>
        <w:left w:val="none" w:sz="0" w:space="0" w:color="auto"/>
        <w:bottom w:val="none" w:sz="0" w:space="0" w:color="auto"/>
        <w:right w:val="none" w:sz="0" w:space="0" w:color="auto"/>
      </w:divBdr>
      <w:divsChild>
        <w:div w:id="294156292">
          <w:marLeft w:val="0"/>
          <w:marRight w:val="0"/>
          <w:marTop w:val="0"/>
          <w:marBottom w:val="0"/>
          <w:divBdr>
            <w:top w:val="none" w:sz="0" w:space="0" w:color="auto"/>
            <w:left w:val="none" w:sz="0" w:space="0" w:color="auto"/>
            <w:bottom w:val="none" w:sz="0" w:space="0" w:color="auto"/>
            <w:right w:val="none" w:sz="0" w:space="0" w:color="auto"/>
          </w:divBdr>
          <w:divsChild>
            <w:div w:id="294142700">
              <w:marLeft w:val="0"/>
              <w:marRight w:val="0"/>
              <w:marTop w:val="0"/>
              <w:marBottom w:val="0"/>
              <w:divBdr>
                <w:top w:val="none" w:sz="0" w:space="0" w:color="auto"/>
                <w:left w:val="none" w:sz="0" w:space="0" w:color="auto"/>
                <w:bottom w:val="none" w:sz="0" w:space="0" w:color="auto"/>
                <w:right w:val="none" w:sz="0" w:space="0" w:color="auto"/>
              </w:divBdr>
              <w:divsChild>
                <w:div w:id="294145605">
                  <w:marLeft w:val="0"/>
                  <w:marRight w:val="0"/>
                  <w:marTop w:val="0"/>
                  <w:marBottom w:val="0"/>
                  <w:divBdr>
                    <w:top w:val="none" w:sz="0" w:space="0" w:color="auto"/>
                    <w:left w:val="none" w:sz="0" w:space="0" w:color="auto"/>
                    <w:bottom w:val="none" w:sz="0" w:space="0" w:color="auto"/>
                    <w:right w:val="none" w:sz="0" w:space="0" w:color="auto"/>
                  </w:divBdr>
                  <w:divsChild>
                    <w:div w:id="294138092">
                      <w:marLeft w:val="0"/>
                      <w:marRight w:val="0"/>
                      <w:marTop w:val="0"/>
                      <w:marBottom w:val="0"/>
                      <w:divBdr>
                        <w:top w:val="none" w:sz="0" w:space="0" w:color="auto"/>
                        <w:left w:val="none" w:sz="0" w:space="0" w:color="auto"/>
                        <w:bottom w:val="none" w:sz="0" w:space="0" w:color="auto"/>
                        <w:right w:val="none" w:sz="0" w:space="0" w:color="auto"/>
                      </w:divBdr>
                    </w:div>
                    <w:div w:id="294138101">
                      <w:marLeft w:val="0"/>
                      <w:marRight w:val="0"/>
                      <w:marTop w:val="0"/>
                      <w:marBottom w:val="0"/>
                      <w:divBdr>
                        <w:top w:val="none" w:sz="0" w:space="0" w:color="auto"/>
                        <w:left w:val="none" w:sz="0" w:space="0" w:color="auto"/>
                        <w:bottom w:val="none" w:sz="0" w:space="0" w:color="auto"/>
                        <w:right w:val="none" w:sz="0" w:space="0" w:color="auto"/>
                      </w:divBdr>
                    </w:div>
                    <w:div w:id="294138144">
                      <w:marLeft w:val="0"/>
                      <w:marRight w:val="0"/>
                      <w:marTop w:val="0"/>
                      <w:marBottom w:val="0"/>
                      <w:divBdr>
                        <w:top w:val="none" w:sz="0" w:space="0" w:color="auto"/>
                        <w:left w:val="none" w:sz="0" w:space="0" w:color="auto"/>
                        <w:bottom w:val="none" w:sz="0" w:space="0" w:color="auto"/>
                        <w:right w:val="none" w:sz="0" w:space="0" w:color="auto"/>
                      </w:divBdr>
                      <w:divsChild>
                        <w:div w:id="294139198">
                          <w:marLeft w:val="0"/>
                          <w:marRight w:val="0"/>
                          <w:marTop w:val="0"/>
                          <w:marBottom w:val="0"/>
                          <w:divBdr>
                            <w:top w:val="none" w:sz="0" w:space="0" w:color="auto"/>
                            <w:left w:val="none" w:sz="0" w:space="0" w:color="auto"/>
                            <w:bottom w:val="none" w:sz="0" w:space="0" w:color="auto"/>
                            <w:right w:val="none" w:sz="0" w:space="0" w:color="auto"/>
                          </w:divBdr>
                        </w:div>
                      </w:divsChild>
                    </w:div>
                    <w:div w:id="294138147">
                      <w:marLeft w:val="0"/>
                      <w:marRight w:val="0"/>
                      <w:marTop w:val="0"/>
                      <w:marBottom w:val="0"/>
                      <w:divBdr>
                        <w:top w:val="none" w:sz="0" w:space="0" w:color="auto"/>
                        <w:left w:val="none" w:sz="0" w:space="0" w:color="auto"/>
                        <w:bottom w:val="none" w:sz="0" w:space="0" w:color="auto"/>
                        <w:right w:val="none" w:sz="0" w:space="0" w:color="auto"/>
                      </w:divBdr>
                      <w:divsChild>
                        <w:div w:id="294148489">
                          <w:marLeft w:val="0"/>
                          <w:marRight w:val="0"/>
                          <w:marTop w:val="0"/>
                          <w:marBottom w:val="0"/>
                          <w:divBdr>
                            <w:top w:val="none" w:sz="0" w:space="0" w:color="auto"/>
                            <w:left w:val="none" w:sz="0" w:space="0" w:color="auto"/>
                            <w:bottom w:val="none" w:sz="0" w:space="0" w:color="auto"/>
                            <w:right w:val="none" w:sz="0" w:space="0" w:color="auto"/>
                          </w:divBdr>
                        </w:div>
                      </w:divsChild>
                    </w:div>
                    <w:div w:id="294138213">
                      <w:marLeft w:val="0"/>
                      <w:marRight w:val="0"/>
                      <w:marTop w:val="0"/>
                      <w:marBottom w:val="0"/>
                      <w:divBdr>
                        <w:top w:val="none" w:sz="0" w:space="0" w:color="auto"/>
                        <w:left w:val="none" w:sz="0" w:space="0" w:color="auto"/>
                        <w:bottom w:val="none" w:sz="0" w:space="0" w:color="auto"/>
                        <w:right w:val="none" w:sz="0" w:space="0" w:color="auto"/>
                      </w:divBdr>
                      <w:divsChild>
                        <w:div w:id="294140365">
                          <w:marLeft w:val="0"/>
                          <w:marRight w:val="0"/>
                          <w:marTop w:val="0"/>
                          <w:marBottom w:val="0"/>
                          <w:divBdr>
                            <w:top w:val="none" w:sz="0" w:space="0" w:color="auto"/>
                            <w:left w:val="none" w:sz="0" w:space="0" w:color="auto"/>
                            <w:bottom w:val="none" w:sz="0" w:space="0" w:color="auto"/>
                            <w:right w:val="none" w:sz="0" w:space="0" w:color="auto"/>
                          </w:divBdr>
                        </w:div>
                      </w:divsChild>
                    </w:div>
                    <w:div w:id="294138459">
                      <w:marLeft w:val="0"/>
                      <w:marRight w:val="0"/>
                      <w:marTop w:val="0"/>
                      <w:marBottom w:val="0"/>
                      <w:divBdr>
                        <w:top w:val="none" w:sz="0" w:space="0" w:color="auto"/>
                        <w:left w:val="none" w:sz="0" w:space="0" w:color="auto"/>
                        <w:bottom w:val="none" w:sz="0" w:space="0" w:color="auto"/>
                        <w:right w:val="none" w:sz="0" w:space="0" w:color="auto"/>
                      </w:divBdr>
                      <w:divsChild>
                        <w:div w:id="294149183">
                          <w:marLeft w:val="0"/>
                          <w:marRight w:val="0"/>
                          <w:marTop w:val="0"/>
                          <w:marBottom w:val="0"/>
                          <w:divBdr>
                            <w:top w:val="none" w:sz="0" w:space="0" w:color="auto"/>
                            <w:left w:val="none" w:sz="0" w:space="0" w:color="auto"/>
                            <w:bottom w:val="none" w:sz="0" w:space="0" w:color="auto"/>
                            <w:right w:val="none" w:sz="0" w:space="0" w:color="auto"/>
                          </w:divBdr>
                        </w:div>
                      </w:divsChild>
                    </w:div>
                    <w:div w:id="294138470">
                      <w:marLeft w:val="0"/>
                      <w:marRight w:val="0"/>
                      <w:marTop w:val="0"/>
                      <w:marBottom w:val="0"/>
                      <w:divBdr>
                        <w:top w:val="none" w:sz="0" w:space="0" w:color="auto"/>
                        <w:left w:val="none" w:sz="0" w:space="0" w:color="auto"/>
                        <w:bottom w:val="none" w:sz="0" w:space="0" w:color="auto"/>
                        <w:right w:val="none" w:sz="0" w:space="0" w:color="auto"/>
                      </w:divBdr>
                    </w:div>
                    <w:div w:id="294138491">
                      <w:marLeft w:val="0"/>
                      <w:marRight w:val="0"/>
                      <w:marTop w:val="0"/>
                      <w:marBottom w:val="0"/>
                      <w:divBdr>
                        <w:top w:val="none" w:sz="0" w:space="0" w:color="auto"/>
                        <w:left w:val="none" w:sz="0" w:space="0" w:color="auto"/>
                        <w:bottom w:val="none" w:sz="0" w:space="0" w:color="auto"/>
                        <w:right w:val="none" w:sz="0" w:space="0" w:color="auto"/>
                      </w:divBdr>
                      <w:divsChild>
                        <w:div w:id="294140624">
                          <w:marLeft w:val="0"/>
                          <w:marRight w:val="0"/>
                          <w:marTop w:val="0"/>
                          <w:marBottom w:val="0"/>
                          <w:divBdr>
                            <w:top w:val="none" w:sz="0" w:space="0" w:color="auto"/>
                            <w:left w:val="none" w:sz="0" w:space="0" w:color="auto"/>
                            <w:bottom w:val="none" w:sz="0" w:space="0" w:color="auto"/>
                            <w:right w:val="none" w:sz="0" w:space="0" w:color="auto"/>
                          </w:divBdr>
                        </w:div>
                      </w:divsChild>
                    </w:div>
                    <w:div w:id="294138515">
                      <w:marLeft w:val="0"/>
                      <w:marRight w:val="0"/>
                      <w:marTop w:val="0"/>
                      <w:marBottom w:val="0"/>
                      <w:divBdr>
                        <w:top w:val="none" w:sz="0" w:space="0" w:color="auto"/>
                        <w:left w:val="none" w:sz="0" w:space="0" w:color="auto"/>
                        <w:bottom w:val="none" w:sz="0" w:space="0" w:color="auto"/>
                        <w:right w:val="none" w:sz="0" w:space="0" w:color="auto"/>
                      </w:divBdr>
                      <w:divsChild>
                        <w:div w:id="294146126">
                          <w:marLeft w:val="0"/>
                          <w:marRight w:val="0"/>
                          <w:marTop w:val="0"/>
                          <w:marBottom w:val="0"/>
                          <w:divBdr>
                            <w:top w:val="none" w:sz="0" w:space="0" w:color="auto"/>
                            <w:left w:val="none" w:sz="0" w:space="0" w:color="auto"/>
                            <w:bottom w:val="none" w:sz="0" w:space="0" w:color="auto"/>
                            <w:right w:val="none" w:sz="0" w:space="0" w:color="auto"/>
                          </w:divBdr>
                        </w:div>
                      </w:divsChild>
                    </w:div>
                    <w:div w:id="294138529">
                      <w:marLeft w:val="0"/>
                      <w:marRight w:val="0"/>
                      <w:marTop w:val="0"/>
                      <w:marBottom w:val="0"/>
                      <w:divBdr>
                        <w:top w:val="none" w:sz="0" w:space="0" w:color="auto"/>
                        <w:left w:val="none" w:sz="0" w:space="0" w:color="auto"/>
                        <w:bottom w:val="none" w:sz="0" w:space="0" w:color="auto"/>
                        <w:right w:val="none" w:sz="0" w:space="0" w:color="auto"/>
                      </w:divBdr>
                      <w:divsChild>
                        <w:div w:id="294152235">
                          <w:marLeft w:val="0"/>
                          <w:marRight w:val="0"/>
                          <w:marTop w:val="0"/>
                          <w:marBottom w:val="0"/>
                          <w:divBdr>
                            <w:top w:val="none" w:sz="0" w:space="0" w:color="auto"/>
                            <w:left w:val="none" w:sz="0" w:space="0" w:color="auto"/>
                            <w:bottom w:val="none" w:sz="0" w:space="0" w:color="auto"/>
                            <w:right w:val="none" w:sz="0" w:space="0" w:color="auto"/>
                          </w:divBdr>
                        </w:div>
                      </w:divsChild>
                    </w:div>
                    <w:div w:id="294138580">
                      <w:marLeft w:val="0"/>
                      <w:marRight w:val="0"/>
                      <w:marTop w:val="0"/>
                      <w:marBottom w:val="0"/>
                      <w:divBdr>
                        <w:top w:val="none" w:sz="0" w:space="0" w:color="auto"/>
                        <w:left w:val="none" w:sz="0" w:space="0" w:color="auto"/>
                        <w:bottom w:val="none" w:sz="0" w:space="0" w:color="auto"/>
                        <w:right w:val="none" w:sz="0" w:space="0" w:color="auto"/>
                      </w:divBdr>
                      <w:divsChild>
                        <w:div w:id="294146810">
                          <w:marLeft w:val="0"/>
                          <w:marRight w:val="0"/>
                          <w:marTop w:val="0"/>
                          <w:marBottom w:val="0"/>
                          <w:divBdr>
                            <w:top w:val="none" w:sz="0" w:space="0" w:color="auto"/>
                            <w:left w:val="none" w:sz="0" w:space="0" w:color="auto"/>
                            <w:bottom w:val="none" w:sz="0" w:space="0" w:color="auto"/>
                            <w:right w:val="none" w:sz="0" w:space="0" w:color="auto"/>
                          </w:divBdr>
                        </w:div>
                      </w:divsChild>
                    </w:div>
                    <w:div w:id="294138606">
                      <w:marLeft w:val="0"/>
                      <w:marRight w:val="0"/>
                      <w:marTop w:val="0"/>
                      <w:marBottom w:val="0"/>
                      <w:divBdr>
                        <w:top w:val="none" w:sz="0" w:space="0" w:color="auto"/>
                        <w:left w:val="none" w:sz="0" w:space="0" w:color="auto"/>
                        <w:bottom w:val="none" w:sz="0" w:space="0" w:color="auto"/>
                        <w:right w:val="none" w:sz="0" w:space="0" w:color="auto"/>
                      </w:divBdr>
                    </w:div>
                    <w:div w:id="294138655">
                      <w:marLeft w:val="0"/>
                      <w:marRight w:val="0"/>
                      <w:marTop w:val="0"/>
                      <w:marBottom w:val="0"/>
                      <w:divBdr>
                        <w:top w:val="none" w:sz="0" w:space="0" w:color="auto"/>
                        <w:left w:val="none" w:sz="0" w:space="0" w:color="auto"/>
                        <w:bottom w:val="none" w:sz="0" w:space="0" w:color="auto"/>
                        <w:right w:val="none" w:sz="0" w:space="0" w:color="auto"/>
                      </w:divBdr>
                      <w:divsChild>
                        <w:div w:id="294146242">
                          <w:marLeft w:val="0"/>
                          <w:marRight w:val="0"/>
                          <w:marTop w:val="0"/>
                          <w:marBottom w:val="0"/>
                          <w:divBdr>
                            <w:top w:val="none" w:sz="0" w:space="0" w:color="auto"/>
                            <w:left w:val="none" w:sz="0" w:space="0" w:color="auto"/>
                            <w:bottom w:val="none" w:sz="0" w:space="0" w:color="auto"/>
                            <w:right w:val="none" w:sz="0" w:space="0" w:color="auto"/>
                          </w:divBdr>
                        </w:div>
                      </w:divsChild>
                    </w:div>
                    <w:div w:id="294138729">
                      <w:marLeft w:val="0"/>
                      <w:marRight w:val="0"/>
                      <w:marTop w:val="0"/>
                      <w:marBottom w:val="0"/>
                      <w:divBdr>
                        <w:top w:val="none" w:sz="0" w:space="0" w:color="auto"/>
                        <w:left w:val="none" w:sz="0" w:space="0" w:color="auto"/>
                        <w:bottom w:val="none" w:sz="0" w:space="0" w:color="auto"/>
                        <w:right w:val="none" w:sz="0" w:space="0" w:color="auto"/>
                      </w:divBdr>
                    </w:div>
                    <w:div w:id="294138736">
                      <w:marLeft w:val="0"/>
                      <w:marRight w:val="0"/>
                      <w:marTop w:val="0"/>
                      <w:marBottom w:val="0"/>
                      <w:divBdr>
                        <w:top w:val="none" w:sz="0" w:space="0" w:color="auto"/>
                        <w:left w:val="none" w:sz="0" w:space="0" w:color="auto"/>
                        <w:bottom w:val="none" w:sz="0" w:space="0" w:color="auto"/>
                        <w:right w:val="none" w:sz="0" w:space="0" w:color="auto"/>
                      </w:divBdr>
                    </w:div>
                    <w:div w:id="294138833">
                      <w:marLeft w:val="0"/>
                      <w:marRight w:val="0"/>
                      <w:marTop w:val="0"/>
                      <w:marBottom w:val="0"/>
                      <w:divBdr>
                        <w:top w:val="none" w:sz="0" w:space="0" w:color="auto"/>
                        <w:left w:val="none" w:sz="0" w:space="0" w:color="auto"/>
                        <w:bottom w:val="none" w:sz="0" w:space="0" w:color="auto"/>
                        <w:right w:val="none" w:sz="0" w:space="0" w:color="auto"/>
                      </w:divBdr>
                      <w:divsChild>
                        <w:div w:id="294153113">
                          <w:marLeft w:val="0"/>
                          <w:marRight w:val="0"/>
                          <w:marTop w:val="0"/>
                          <w:marBottom w:val="0"/>
                          <w:divBdr>
                            <w:top w:val="none" w:sz="0" w:space="0" w:color="auto"/>
                            <w:left w:val="none" w:sz="0" w:space="0" w:color="auto"/>
                            <w:bottom w:val="none" w:sz="0" w:space="0" w:color="auto"/>
                            <w:right w:val="none" w:sz="0" w:space="0" w:color="auto"/>
                          </w:divBdr>
                        </w:div>
                      </w:divsChild>
                    </w:div>
                    <w:div w:id="294138850">
                      <w:marLeft w:val="0"/>
                      <w:marRight w:val="0"/>
                      <w:marTop w:val="0"/>
                      <w:marBottom w:val="0"/>
                      <w:divBdr>
                        <w:top w:val="none" w:sz="0" w:space="0" w:color="auto"/>
                        <w:left w:val="none" w:sz="0" w:space="0" w:color="auto"/>
                        <w:bottom w:val="none" w:sz="0" w:space="0" w:color="auto"/>
                        <w:right w:val="none" w:sz="0" w:space="0" w:color="auto"/>
                      </w:divBdr>
                    </w:div>
                    <w:div w:id="294138863">
                      <w:marLeft w:val="0"/>
                      <w:marRight w:val="0"/>
                      <w:marTop w:val="0"/>
                      <w:marBottom w:val="0"/>
                      <w:divBdr>
                        <w:top w:val="none" w:sz="0" w:space="0" w:color="auto"/>
                        <w:left w:val="none" w:sz="0" w:space="0" w:color="auto"/>
                        <w:bottom w:val="none" w:sz="0" w:space="0" w:color="auto"/>
                        <w:right w:val="none" w:sz="0" w:space="0" w:color="auto"/>
                      </w:divBdr>
                    </w:div>
                    <w:div w:id="294138897">
                      <w:marLeft w:val="0"/>
                      <w:marRight w:val="0"/>
                      <w:marTop w:val="0"/>
                      <w:marBottom w:val="0"/>
                      <w:divBdr>
                        <w:top w:val="none" w:sz="0" w:space="0" w:color="auto"/>
                        <w:left w:val="none" w:sz="0" w:space="0" w:color="auto"/>
                        <w:bottom w:val="none" w:sz="0" w:space="0" w:color="auto"/>
                        <w:right w:val="none" w:sz="0" w:space="0" w:color="auto"/>
                      </w:divBdr>
                    </w:div>
                    <w:div w:id="294139023">
                      <w:marLeft w:val="0"/>
                      <w:marRight w:val="0"/>
                      <w:marTop w:val="0"/>
                      <w:marBottom w:val="0"/>
                      <w:divBdr>
                        <w:top w:val="none" w:sz="0" w:space="0" w:color="auto"/>
                        <w:left w:val="none" w:sz="0" w:space="0" w:color="auto"/>
                        <w:bottom w:val="none" w:sz="0" w:space="0" w:color="auto"/>
                        <w:right w:val="none" w:sz="0" w:space="0" w:color="auto"/>
                      </w:divBdr>
                      <w:divsChild>
                        <w:div w:id="294143800">
                          <w:marLeft w:val="0"/>
                          <w:marRight w:val="0"/>
                          <w:marTop w:val="0"/>
                          <w:marBottom w:val="0"/>
                          <w:divBdr>
                            <w:top w:val="none" w:sz="0" w:space="0" w:color="auto"/>
                            <w:left w:val="none" w:sz="0" w:space="0" w:color="auto"/>
                            <w:bottom w:val="none" w:sz="0" w:space="0" w:color="auto"/>
                            <w:right w:val="none" w:sz="0" w:space="0" w:color="auto"/>
                          </w:divBdr>
                        </w:div>
                      </w:divsChild>
                    </w:div>
                    <w:div w:id="294139092">
                      <w:marLeft w:val="0"/>
                      <w:marRight w:val="0"/>
                      <w:marTop w:val="0"/>
                      <w:marBottom w:val="0"/>
                      <w:divBdr>
                        <w:top w:val="none" w:sz="0" w:space="0" w:color="auto"/>
                        <w:left w:val="none" w:sz="0" w:space="0" w:color="auto"/>
                        <w:bottom w:val="none" w:sz="0" w:space="0" w:color="auto"/>
                        <w:right w:val="none" w:sz="0" w:space="0" w:color="auto"/>
                      </w:divBdr>
                      <w:divsChild>
                        <w:div w:id="294145600">
                          <w:marLeft w:val="0"/>
                          <w:marRight w:val="0"/>
                          <w:marTop w:val="0"/>
                          <w:marBottom w:val="0"/>
                          <w:divBdr>
                            <w:top w:val="none" w:sz="0" w:space="0" w:color="auto"/>
                            <w:left w:val="none" w:sz="0" w:space="0" w:color="auto"/>
                            <w:bottom w:val="none" w:sz="0" w:space="0" w:color="auto"/>
                            <w:right w:val="none" w:sz="0" w:space="0" w:color="auto"/>
                          </w:divBdr>
                        </w:div>
                      </w:divsChild>
                    </w:div>
                    <w:div w:id="294139146">
                      <w:marLeft w:val="0"/>
                      <w:marRight w:val="0"/>
                      <w:marTop w:val="0"/>
                      <w:marBottom w:val="0"/>
                      <w:divBdr>
                        <w:top w:val="none" w:sz="0" w:space="0" w:color="auto"/>
                        <w:left w:val="none" w:sz="0" w:space="0" w:color="auto"/>
                        <w:bottom w:val="none" w:sz="0" w:space="0" w:color="auto"/>
                        <w:right w:val="none" w:sz="0" w:space="0" w:color="auto"/>
                      </w:divBdr>
                      <w:divsChild>
                        <w:div w:id="294138290">
                          <w:marLeft w:val="0"/>
                          <w:marRight w:val="0"/>
                          <w:marTop w:val="0"/>
                          <w:marBottom w:val="0"/>
                          <w:divBdr>
                            <w:top w:val="none" w:sz="0" w:space="0" w:color="auto"/>
                            <w:left w:val="none" w:sz="0" w:space="0" w:color="auto"/>
                            <w:bottom w:val="none" w:sz="0" w:space="0" w:color="auto"/>
                            <w:right w:val="none" w:sz="0" w:space="0" w:color="auto"/>
                          </w:divBdr>
                        </w:div>
                      </w:divsChild>
                    </w:div>
                    <w:div w:id="294139149">
                      <w:marLeft w:val="0"/>
                      <w:marRight w:val="0"/>
                      <w:marTop w:val="0"/>
                      <w:marBottom w:val="0"/>
                      <w:divBdr>
                        <w:top w:val="none" w:sz="0" w:space="0" w:color="auto"/>
                        <w:left w:val="none" w:sz="0" w:space="0" w:color="auto"/>
                        <w:bottom w:val="none" w:sz="0" w:space="0" w:color="auto"/>
                        <w:right w:val="none" w:sz="0" w:space="0" w:color="auto"/>
                      </w:divBdr>
                    </w:div>
                    <w:div w:id="294139206">
                      <w:marLeft w:val="0"/>
                      <w:marRight w:val="0"/>
                      <w:marTop w:val="0"/>
                      <w:marBottom w:val="0"/>
                      <w:divBdr>
                        <w:top w:val="none" w:sz="0" w:space="0" w:color="auto"/>
                        <w:left w:val="none" w:sz="0" w:space="0" w:color="auto"/>
                        <w:bottom w:val="none" w:sz="0" w:space="0" w:color="auto"/>
                        <w:right w:val="none" w:sz="0" w:space="0" w:color="auto"/>
                      </w:divBdr>
                      <w:divsChild>
                        <w:div w:id="294154960">
                          <w:marLeft w:val="0"/>
                          <w:marRight w:val="0"/>
                          <w:marTop w:val="0"/>
                          <w:marBottom w:val="0"/>
                          <w:divBdr>
                            <w:top w:val="none" w:sz="0" w:space="0" w:color="auto"/>
                            <w:left w:val="none" w:sz="0" w:space="0" w:color="auto"/>
                            <w:bottom w:val="none" w:sz="0" w:space="0" w:color="auto"/>
                            <w:right w:val="none" w:sz="0" w:space="0" w:color="auto"/>
                          </w:divBdr>
                        </w:div>
                      </w:divsChild>
                    </w:div>
                    <w:div w:id="294139262">
                      <w:marLeft w:val="0"/>
                      <w:marRight w:val="0"/>
                      <w:marTop w:val="0"/>
                      <w:marBottom w:val="0"/>
                      <w:divBdr>
                        <w:top w:val="none" w:sz="0" w:space="0" w:color="auto"/>
                        <w:left w:val="none" w:sz="0" w:space="0" w:color="auto"/>
                        <w:bottom w:val="none" w:sz="0" w:space="0" w:color="auto"/>
                        <w:right w:val="none" w:sz="0" w:space="0" w:color="auto"/>
                      </w:divBdr>
                      <w:divsChild>
                        <w:div w:id="294153309">
                          <w:marLeft w:val="0"/>
                          <w:marRight w:val="0"/>
                          <w:marTop w:val="0"/>
                          <w:marBottom w:val="0"/>
                          <w:divBdr>
                            <w:top w:val="none" w:sz="0" w:space="0" w:color="auto"/>
                            <w:left w:val="none" w:sz="0" w:space="0" w:color="auto"/>
                            <w:bottom w:val="none" w:sz="0" w:space="0" w:color="auto"/>
                            <w:right w:val="none" w:sz="0" w:space="0" w:color="auto"/>
                          </w:divBdr>
                        </w:div>
                      </w:divsChild>
                    </w:div>
                    <w:div w:id="294139321">
                      <w:marLeft w:val="0"/>
                      <w:marRight w:val="0"/>
                      <w:marTop w:val="0"/>
                      <w:marBottom w:val="0"/>
                      <w:divBdr>
                        <w:top w:val="none" w:sz="0" w:space="0" w:color="auto"/>
                        <w:left w:val="none" w:sz="0" w:space="0" w:color="auto"/>
                        <w:bottom w:val="none" w:sz="0" w:space="0" w:color="auto"/>
                        <w:right w:val="none" w:sz="0" w:space="0" w:color="auto"/>
                      </w:divBdr>
                    </w:div>
                    <w:div w:id="294139465">
                      <w:marLeft w:val="0"/>
                      <w:marRight w:val="0"/>
                      <w:marTop w:val="0"/>
                      <w:marBottom w:val="0"/>
                      <w:divBdr>
                        <w:top w:val="none" w:sz="0" w:space="0" w:color="auto"/>
                        <w:left w:val="none" w:sz="0" w:space="0" w:color="auto"/>
                        <w:bottom w:val="none" w:sz="0" w:space="0" w:color="auto"/>
                        <w:right w:val="none" w:sz="0" w:space="0" w:color="auto"/>
                      </w:divBdr>
                    </w:div>
                    <w:div w:id="294139510">
                      <w:marLeft w:val="0"/>
                      <w:marRight w:val="0"/>
                      <w:marTop w:val="0"/>
                      <w:marBottom w:val="0"/>
                      <w:divBdr>
                        <w:top w:val="none" w:sz="0" w:space="0" w:color="auto"/>
                        <w:left w:val="none" w:sz="0" w:space="0" w:color="auto"/>
                        <w:bottom w:val="none" w:sz="0" w:space="0" w:color="auto"/>
                        <w:right w:val="none" w:sz="0" w:space="0" w:color="auto"/>
                      </w:divBdr>
                    </w:div>
                    <w:div w:id="294139549">
                      <w:marLeft w:val="0"/>
                      <w:marRight w:val="0"/>
                      <w:marTop w:val="0"/>
                      <w:marBottom w:val="0"/>
                      <w:divBdr>
                        <w:top w:val="none" w:sz="0" w:space="0" w:color="auto"/>
                        <w:left w:val="none" w:sz="0" w:space="0" w:color="auto"/>
                        <w:bottom w:val="none" w:sz="0" w:space="0" w:color="auto"/>
                        <w:right w:val="none" w:sz="0" w:space="0" w:color="auto"/>
                      </w:divBdr>
                    </w:div>
                    <w:div w:id="294139581">
                      <w:marLeft w:val="0"/>
                      <w:marRight w:val="0"/>
                      <w:marTop w:val="0"/>
                      <w:marBottom w:val="0"/>
                      <w:divBdr>
                        <w:top w:val="none" w:sz="0" w:space="0" w:color="auto"/>
                        <w:left w:val="none" w:sz="0" w:space="0" w:color="auto"/>
                        <w:bottom w:val="none" w:sz="0" w:space="0" w:color="auto"/>
                        <w:right w:val="none" w:sz="0" w:space="0" w:color="auto"/>
                      </w:divBdr>
                    </w:div>
                    <w:div w:id="294139663">
                      <w:marLeft w:val="0"/>
                      <w:marRight w:val="0"/>
                      <w:marTop w:val="0"/>
                      <w:marBottom w:val="0"/>
                      <w:divBdr>
                        <w:top w:val="none" w:sz="0" w:space="0" w:color="auto"/>
                        <w:left w:val="none" w:sz="0" w:space="0" w:color="auto"/>
                        <w:bottom w:val="none" w:sz="0" w:space="0" w:color="auto"/>
                        <w:right w:val="none" w:sz="0" w:space="0" w:color="auto"/>
                      </w:divBdr>
                      <w:divsChild>
                        <w:div w:id="294140504">
                          <w:marLeft w:val="0"/>
                          <w:marRight w:val="0"/>
                          <w:marTop w:val="0"/>
                          <w:marBottom w:val="0"/>
                          <w:divBdr>
                            <w:top w:val="none" w:sz="0" w:space="0" w:color="auto"/>
                            <w:left w:val="none" w:sz="0" w:space="0" w:color="auto"/>
                            <w:bottom w:val="none" w:sz="0" w:space="0" w:color="auto"/>
                            <w:right w:val="none" w:sz="0" w:space="0" w:color="auto"/>
                          </w:divBdr>
                        </w:div>
                      </w:divsChild>
                    </w:div>
                    <w:div w:id="294139699">
                      <w:marLeft w:val="0"/>
                      <w:marRight w:val="0"/>
                      <w:marTop w:val="0"/>
                      <w:marBottom w:val="0"/>
                      <w:divBdr>
                        <w:top w:val="none" w:sz="0" w:space="0" w:color="auto"/>
                        <w:left w:val="none" w:sz="0" w:space="0" w:color="auto"/>
                        <w:bottom w:val="none" w:sz="0" w:space="0" w:color="auto"/>
                        <w:right w:val="none" w:sz="0" w:space="0" w:color="auto"/>
                      </w:divBdr>
                      <w:divsChild>
                        <w:div w:id="294143798">
                          <w:marLeft w:val="0"/>
                          <w:marRight w:val="0"/>
                          <w:marTop w:val="0"/>
                          <w:marBottom w:val="0"/>
                          <w:divBdr>
                            <w:top w:val="none" w:sz="0" w:space="0" w:color="auto"/>
                            <w:left w:val="none" w:sz="0" w:space="0" w:color="auto"/>
                            <w:bottom w:val="none" w:sz="0" w:space="0" w:color="auto"/>
                            <w:right w:val="none" w:sz="0" w:space="0" w:color="auto"/>
                          </w:divBdr>
                        </w:div>
                      </w:divsChild>
                    </w:div>
                    <w:div w:id="294139717">
                      <w:marLeft w:val="0"/>
                      <w:marRight w:val="0"/>
                      <w:marTop w:val="0"/>
                      <w:marBottom w:val="0"/>
                      <w:divBdr>
                        <w:top w:val="none" w:sz="0" w:space="0" w:color="auto"/>
                        <w:left w:val="none" w:sz="0" w:space="0" w:color="auto"/>
                        <w:bottom w:val="none" w:sz="0" w:space="0" w:color="auto"/>
                        <w:right w:val="none" w:sz="0" w:space="0" w:color="auto"/>
                      </w:divBdr>
                      <w:divsChild>
                        <w:div w:id="294156966">
                          <w:marLeft w:val="0"/>
                          <w:marRight w:val="0"/>
                          <w:marTop w:val="0"/>
                          <w:marBottom w:val="0"/>
                          <w:divBdr>
                            <w:top w:val="none" w:sz="0" w:space="0" w:color="auto"/>
                            <w:left w:val="none" w:sz="0" w:space="0" w:color="auto"/>
                            <w:bottom w:val="none" w:sz="0" w:space="0" w:color="auto"/>
                            <w:right w:val="none" w:sz="0" w:space="0" w:color="auto"/>
                          </w:divBdr>
                        </w:div>
                      </w:divsChild>
                    </w:div>
                    <w:div w:id="294139904">
                      <w:marLeft w:val="0"/>
                      <w:marRight w:val="0"/>
                      <w:marTop w:val="0"/>
                      <w:marBottom w:val="0"/>
                      <w:divBdr>
                        <w:top w:val="none" w:sz="0" w:space="0" w:color="auto"/>
                        <w:left w:val="none" w:sz="0" w:space="0" w:color="auto"/>
                        <w:bottom w:val="none" w:sz="0" w:space="0" w:color="auto"/>
                        <w:right w:val="none" w:sz="0" w:space="0" w:color="auto"/>
                      </w:divBdr>
                    </w:div>
                    <w:div w:id="294139922">
                      <w:marLeft w:val="0"/>
                      <w:marRight w:val="0"/>
                      <w:marTop w:val="0"/>
                      <w:marBottom w:val="0"/>
                      <w:divBdr>
                        <w:top w:val="none" w:sz="0" w:space="0" w:color="auto"/>
                        <w:left w:val="none" w:sz="0" w:space="0" w:color="auto"/>
                        <w:bottom w:val="none" w:sz="0" w:space="0" w:color="auto"/>
                        <w:right w:val="none" w:sz="0" w:space="0" w:color="auto"/>
                      </w:divBdr>
                    </w:div>
                    <w:div w:id="294139934">
                      <w:marLeft w:val="0"/>
                      <w:marRight w:val="0"/>
                      <w:marTop w:val="0"/>
                      <w:marBottom w:val="0"/>
                      <w:divBdr>
                        <w:top w:val="none" w:sz="0" w:space="0" w:color="auto"/>
                        <w:left w:val="none" w:sz="0" w:space="0" w:color="auto"/>
                        <w:bottom w:val="none" w:sz="0" w:space="0" w:color="auto"/>
                        <w:right w:val="none" w:sz="0" w:space="0" w:color="auto"/>
                      </w:divBdr>
                    </w:div>
                    <w:div w:id="294139940">
                      <w:marLeft w:val="0"/>
                      <w:marRight w:val="0"/>
                      <w:marTop w:val="0"/>
                      <w:marBottom w:val="0"/>
                      <w:divBdr>
                        <w:top w:val="none" w:sz="0" w:space="0" w:color="auto"/>
                        <w:left w:val="none" w:sz="0" w:space="0" w:color="auto"/>
                        <w:bottom w:val="none" w:sz="0" w:space="0" w:color="auto"/>
                        <w:right w:val="none" w:sz="0" w:space="0" w:color="auto"/>
                      </w:divBdr>
                      <w:divsChild>
                        <w:div w:id="294147653">
                          <w:marLeft w:val="0"/>
                          <w:marRight w:val="0"/>
                          <w:marTop w:val="0"/>
                          <w:marBottom w:val="0"/>
                          <w:divBdr>
                            <w:top w:val="none" w:sz="0" w:space="0" w:color="auto"/>
                            <w:left w:val="none" w:sz="0" w:space="0" w:color="auto"/>
                            <w:bottom w:val="none" w:sz="0" w:space="0" w:color="auto"/>
                            <w:right w:val="none" w:sz="0" w:space="0" w:color="auto"/>
                          </w:divBdr>
                        </w:div>
                      </w:divsChild>
                    </w:div>
                    <w:div w:id="294139964">
                      <w:marLeft w:val="0"/>
                      <w:marRight w:val="0"/>
                      <w:marTop w:val="0"/>
                      <w:marBottom w:val="0"/>
                      <w:divBdr>
                        <w:top w:val="none" w:sz="0" w:space="0" w:color="auto"/>
                        <w:left w:val="none" w:sz="0" w:space="0" w:color="auto"/>
                        <w:bottom w:val="none" w:sz="0" w:space="0" w:color="auto"/>
                        <w:right w:val="none" w:sz="0" w:space="0" w:color="auto"/>
                      </w:divBdr>
                      <w:divsChild>
                        <w:div w:id="294140717">
                          <w:marLeft w:val="0"/>
                          <w:marRight w:val="0"/>
                          <w:marTop w:val="0"/>
                          <w:marBottom w:val="0"/>
                          <w:divBdr>
                            <w:top w:val="none" w:sz="0" w:space="0" w:color="auto"/>
                            <w:left w:val="none" w:sz="0" w:space="0" w:color="auto"/>
                            <w:bottom w:val="none" w:sz="0" w:space="0" w:color="auto"/>
                            <w:right w:val="none" w:sz="0" w:space="0" w:color="auto"/>
                          </w:divBdr>
                        </w:div>
                      </w:divsChild>
                    </w:div>
                    <w:div w:id="294139984">
                      <w:marLeft w:val="0"/>
                      <w:marRight w:val="0"/>
                      <w:marTop w:val="0"/>
                      <w:marBottom w:val="0"/>
                      <w:divBdr>
                        <w:top w:val="none" w:sz="0" w:space="0" w:color="auto"/>
                        <w:left w:val="none" w:sz="0" w:space="0" w:color="auto"/>
                        <w:bottom w:val="none" w:sz="0" w:space="0" w:color="auto"/>
                        <w:right w:val="none" w:sz="0" w:space="0" w:color="auto"/>
                      </w:divBdr>
                    </w:div>
                    <w:div w:id="294140026">
                      <w:marLeft w:val="0"/>
                      <w:marRight w:val="0"/>
                      <w:marTop w:val="0"/>
                      <w:marBottom w:val="0"/>
                      <w:divBdr>
                        <w:top w:val="none" w:sz="0" w:space="0" w:color="auto"/>
                        <w:left w:val="none" w:sz="0" w:space="0" w:color="auto"/>
                        <w:bottom w:val="none" w:sz="0" w:space="0" w:color="auto"/>
                        <w:right w:val="none" w:sz="0" w:space="0" w:color="auto"/>
                      </w:divBdr>
                    </w:div>
                    <w:div w:id="294140158">
                      <w:marLeft w:val="0"/>
                      <w:marRight w:val="0"/>
                      <w:marTop w:val="0"/>
                      <w:marBottom w:val="0"/>
                      <w:divBdr>
                        <w:top w:val="none" w:sz="0" w:space="0" w:color="auto"/>
                        <w:left w:val="none" w:sz="0" w:space="0" w:color="auto"/>
                        <w:bottom w:val="none" w:sz="0" w:space="0" w:color="auto"/>
                        <w:right w:val="none" w:sz="0" w:space="0" w:color="auto"/>
                      </w:divBdr>
                      <w:divsChild>
                        <w:div w:id="294149169">
                          <w:marLeft w:val="0"/>
                          <w:marRight w:val="0"/>
                          <w:marTop w:val="0"/>
                          <w:marBottom w:val="0"/>
                          <w:divBdr>
                            <w:top w:val="none" w:sz="0" w:space="0" w:color="auto"/>
                            <w:left w:val="none" w:sz="0" w:space="0" w:color="auto"/>
                            <w:bottom w:val="none" w:sz="0" w:space="0" w:color="auto"/>
                            <w:right w:val="none" w:sz="0" w:space="0" w:color="auto"/>
                          </w:divBdr>
                        </w:div>
                      </w:divsChild>
                    </w:div>
                    <w:div w:id="294140174">
                      <w:marLeft w:val="0"/>
                      <w:marRight w:val="0"/>
                      <w:marTop w:val="0"/>
                      <w:marBottom w:val="0"/>
                      <w:divBdr>
                        <w:top w:val="none" w:sz="0" w:space="0" w:color="auto"/>
                        <w:left w:val="none" w:sz="0" w:space="0" w:color="auto"/>
                        <w:bottom w:val="none" w:sz="0" w:space="0" w:color="auto"/>
                        <w:right w:val="none" w:sz="0" w:space="0" w:color="auto"/>
                      </w:divBdr>
                    </w:div>
                    <w:div w:id="294140184">
                      <w:marLeft w:val="0"/>
                      <w:marRight w:val="0"/>
                      <w:marTop w:val="0"/>
                      <w:marBottom w:val="0"/>
                      <w:divBdr>
                        <w:top w:val="none" w:sz="0" w:space="0" w:color="auto"/>
                        <w:left w:val="none" w:sz="0" w:space="0" w:color="auto"/>
                        <w:bottom w:val="none" w:sz="0" w:space="0" w:color="auto"/>
                        <w:right w:val="none" w:sz="0" w:space="0" w:color="auto"/>
                      </w:divBdr>
                    </w:div>
                    <w:div w:id="294140190">
                      <w:marLeft w:val="0"/>
                      <w:marRight w:val="0"/>
                      <w:marTop w:val="0"/>
                      <w:marBottom w:val="0"/>
                      <w:divBdr>
                        <w:top w:val="none" w:sz="0" w:space="0" w:color="auto"/>
                        <w:left w:val="none" w:sz="0" w:space="0" w:color="auto"/>
                        <w:bottom w:val="none" w:sz="0" w:space="0" w:color="auto"/>
                        <w:right w:val="none" w:sz="0" w:space="0" w:color="auto"/>
                      </w:divBdr>
                      <w:divsChild>
                        <w:div w:id="294148805">
                          <w:marLeft w:val="0"/>
                          <w:marRight w:val="0"/>
                          <w:marTop w:val="0"/>
                          <w:marBottom w:val="0"/>
                          <w:divBdr>
                            <w:top w:val="none" w:sz="0" w:space="0" w:color="auto"/>
                            <w:left w:val="none" w:sz="0" w:space="0" w:color="auto"/>
                            <w:bottom w:val="none" w:sz="0" w:space="0" w:color="auto"/>
                            <w:right w:val="none" w:sz="0" w:space="0" w:color="auto"/>
                          </w:divBdr>
                        </w:div>
                      </w:divsChild>
                    </w:div>
                    <w:div w:id="294140204">
                      <w:marLeft w:val="0"/>
                      <w:marRight w:val="0"/>
                      <w:marTop w:val="0"/>
                      <w:marBottom w:val="0"/>
                      <w:divBdr>
                        <w:top w:val="none" w:sz="0" w:space="0" w:color="auto"/>
                        <w:left w:val="none" w:sz="0" w:space="0" w:color="auto"/>
                        <w:bottom w:val="none" w:sz="0" w:space="0" w:color="auto"/>
                        <w:right w:val="none" w:sz="0" w:space="0" w:color="auto"/>
                      </w:divBdr>
                      <w:divsChild>
                        <w:div w:id="294146401">
                          <w:marLeft w:val="0"/>
                          <w:marRight w:val="0"/>
                          <w:marTop w:val="0"/>
                          <w:marBottom w:val="0"/>
                          <w:divBdr>
                            <w:top w:val="none" w:sz="0" w:space="0" w:color="auto"/>
                            <w:left w:val="none" w:sz="0" w:space="0" w:color="auto"/>
                            <w:bottom w:val="none" w:sz="0" w:space="0" w:color="auto"/>
                            <w:right w:val="none" w:sz="0" w:space="0" w:color="auto"/>
                          </w:divBdr>
                        </w:div>
                      </w:divsChild>
                    </w:div>
                    <w:div w:id="294140205">
                      <w:marLeft w:val="0"/>
                      <w:marRight w:val="0"/>
                      <w:marTop w:val="0"/>
                      <w:marBottom w:val="0"/>
                      <w:divBdr>
                        <w:top w:val="none" w:sz="0" w:space="0" w:color="auto"/>
                        <w:left w:val="none" w:sz="0" w:space="0" w:color="auto"/>
                        <w:bottom w:val="none" w:sz="0" w:space="0" w:color="auto"/>
                        <w:right w:val="none" w:sz="0" w:space="0" w:color="auto"/>
                      </w:divBdr>
                    </w:div>
                    <w:div w:id="294140313">
                      <w:marLeft w:val="0"/>
                      <w:marRight w:val="0"/>
                      <w:marTop w:val="0"/>
                      <w:marBottom w:val="0"/>
                      <w:divBdr>
                        <w:top w:val="none" w:sz="0" w:space="0" w:color="auto"/>
                        <w:left w:val="none" w:sz="0" w:space="0" w:color="auto"/>
                        <w:bottom w:val="none" w:sz="0" w:space="0" w:color="auto"/>
                        <w:right w:val="none" w:sz="0" w:space="0" w:color="auto"/>
                      </w:divBdr>
                    </w:div>
                    <w:div w:id="294140350">
                      <w:marLeft w:val="0"/>
                      <w:marRight w:val="0"/>
                      <w:marTop w:val="0"/>
                      <w:marBottom w:val="0"/>
                      <w:divBdr>
                        <w:top w:val="none" w:sz="0" w:space="0" w:color="auto"/>
                        <w:left w:val="none" w:sz="0" w:space="0" w:color="auto"/>
                        <w:bottom w:val="none" w:sz="0" w:space="0" w:color="auto"/>
                        <w:right w:val="none" w:sz="0" w:space="0" w:color="auto"/>
                      </w:divBdr>
                      <w:divsChild>
                        <w:div w:id="294142603">
                          <w:marLeft w:val="0"/>
                          <w:marRight w:val="0"/>
                          <w:marTop w:val="0"/>
                          <w:marBottom w:val="0"/>
                          <w:divBdr>
                            <w:top w:val="none" w:sz="0" w:space="0" w:color="auto"/>
                            <w:left w:val="none" w:sz="0" w:space="0" w:color="auto"/>
                            <w:bottom w:val="none" w:sz="0" w:space="0" w:color="auto"/>
                            <w:right w:val="none" w:sz="0" w:space="0" w:color="auto"/>
                          </w:divBdr>
                        </w:div>
                      </w:divsChild>
                    </w:div>
                    <w:div w:id="294140368">
                      <w:marLeft w:val="0"/>
                      <w:marRight w:val="0"/>
                      <w:marTop w:val="0"/>
                      <w:marBottom w:val="0"/>
                      <w:divBdr>
                        <w:top w:val="none" w:sz="0" w:space="0" w:color="auto"/>
                        <w:left w:val="none" w:sz="0" w:space="0" w:color="auto"/>
                        <w:bottom w:val="none" w:sz="0" w:space="0" w:color="auto"/>
                        <w:right w:val="none" w:sz="0" w:space="0" w:color="auto"/>
                      </w:divBdr>
                      <w:divsChild>
                        <w:div w:id="294156046">
                          <w:marLeft w:val="0"/>
                          <w:marRight w:val="0"/>
                          <w:marTop w:val="0"/>
                          <w:marBottom w:val="0"/>
                          <w:divBdr>
                            <w:top w:val="none" w:sz="0" w:space="0" w:color="auto"/>
                            <w:left w:val="none" w:sz="0" w:space="0" w:color="auto"/>
                            <w:bottom w:val="none" w:sz="0" w:space="0" w:color="auto"/>
                            <w:right w:val="none" w:sz="0" w:space="0" w:color="auto"/>
                          </w:divBdr>
                        </w:div>
                      </w:divsChild>
                    </w:div>
                    <w:div w:id="294140373">
                      <w:marLeft w:val="0"/>
                      <w:marRight w:val="0"/>
                      <w:marTop w:val="0"/>
                      <w:marBottom w:val="0"/>
                      <w:divBdr>
                        <w:top w:val="none" w:sz="0" w:space="0" w:color="auto"/>
                        <w:left w:val="none" w:sz="0" w:space="0" w:color="auto"/>
                        <w:bottom w:val="none" w:sz="0" w:space="0" w:color="auto"/>
                        <w:right w:val="none" w:sz="0" w:space="0" w:color="auto"/>
                      </w:divBdr>
                    </w:div>
                    <w:div w:id="294140403">
                      <w:marLeft w:val="0"/>
                      <w:marRight w:val="0"/>
                      <w:marTop w:val="0"/>
                      <w:marBottom w:val="0"/>
                      <w:divBdr>
                        <w:top w:val="none" w:sz="0" w:space="0" w:color="auto"/>
                        <w:left w:val="none" w:sz="0" w:space="0" w:color="auto"/>
                        <w:bottom w:val="none" w:sz="0" w:space="0" w:color="auto"/>
                        <w:right w:val="none" w:sz="0" w:space="0" w:color="auto"/>
                      </w:divBdr>
                    </w:div>
                    <w:div w:id="294140448">
                      <w:marLeft w:val="0"/>
                      <w:marRight w:val="0"/>
                      <w:marTop w:val="0"/>
                      <w:marBottom w:val="0"/>
                      <w:divBdr>
                        <w:top w:val="none" w:sz="0" w:space="0" w:color="auto"/>
                        <w:left w:val="none" w:sz="0" w:space="0" w:color="auto"/>
                        <w:bottom w:val="none" w:sz="0" w:space="0" w:color="auto"/>
                        <w:right w:val="none" w:sz="0" w:space="0" w:color="auto"/>
                      </w:divBdr>
                      <w:divsChild>
                        <w:div w:id="294139410">
                          <w:marLeft w:val="0"/>
                          <w:marRight w:val="0"/>
                          <w:marTop w:val="0"/>
                          <w:marBottom w:val="0"/>
                          <w:divBdr>
                            <w:top w:val="none" w:sz="0" w:space="0" w:color="auto"/>
                            <w:left w:val="none" w:sz="0" w:space="0" w:color="auto"/>
                            <w:bottom w:val="none" w:sz="0" w:space="0" w:color="auto"/>
                            <w:right w:val="none" w:sz="0" w:space="0" w:color="auto"/>
                          </w:divBdr>
                        </w:div>
                      </w:divsChild>
                    </w:div>
                    <w:div w:id="294140450">
                      <w:marLeft w:val="0"/>
                      <w:marRight w:val="0"/>
                      <w:marTop w:val="0"/>
                      <w:marBottom w:val="0"/>
                      <w:divBdr>
                        <w:top w:val="none" w:sz="0" w:space="0" w:color="auto"/>
                        <w:left w:val="none" w:sz="0" w:space="0" w:color="auto"/>
                        <w:bottom w:val="none" w:sz="0" w:space="0" w:color="auto"/>
                        <w:right w:val="none" w:sz="0" w:space="0" w:color="auto"/>
                      </w:divBdr>
                      <w:divsChild>
                        <w:div w:id="294140978">
                          <w:marLeft w:val="0"/>
                          <w:marRight w:val="0"/>
                          <w:marTop w:val="0"/>
                          <w:marBottom w:val="0"/>
                          <w:divBdr>
                            <w:top w:val="none" w:sz="0" w:space="0" w:color="auto"/>
                            <w:left w:val="none" w:sz="0" w:space="0" w:color="auto"/>
                            <w:bottom w:val="none" w:sz="0" w:space="0" w:color="auto"/>
                            <w:right w:val="none" w:sz="0" w:space="0" w:color="auto"/>
                          </w:divBdr>
                        </w:div>
                      </w:divsChild>
                    </w:div>
                    <w:div w:id="294140529">
                      <w:marLeft w:val="0"/>
                      <w:marRight w:val="0"/>
                      <w:marTop w:val="0"/>
                      <w:marBottom w:val="0"/>
                      <w:divBdr>
                        <w:top w:val="none" w:sz="0" w:space="0" w:color="auto"/>
                        <w:left w:val="none" w:sz="0" w:space="0" w:color="auto"/>
                        <w:bottom w:val="none" w:sz="0" w:space="0" w:color="auto"/>
                        <w:right w:val="none" w:sz="0" w:space="0" w:color="auto"/>
                      </w:divBdr>
                      <w:divsChild>
                        <w:div w:id="294152981">
                          <w:marLeft w:val="0"/>
                          <w:marRight w:val="0"/>
                          <w:marTop w:val="0"/>
                          <w:marBottom w:val="0"/>
                          <w:divBdr>
                            <w:top w:val="none" w:sz="0" w:space="0" w:color="auto"/>
                            <w:left w:val="none" w:sz="0" w:space="0" w:color="auto"/>
                            <w:bottom w:val="none" w:sz="0" w:space="0" w:color="auto"/>
                            <w:right w:val="none" w:sz="0" w:space="0" w:color="auto"/>
                          </w:divBdr>
                        </w:div>
                      </w:divsChild>
                    </w:div>
                    <w:div w:id="294140554">
                      <w:marLeft w:val="0"/>
                      <w:marRight w:val="0"/>
                      <w:marTop w:val="0"/>
                      <w:marBottom w:val="0"/>
                      <w:divBdr>
                        <w:top w:val="none" w:sz="0" w:space="0" w:color="auto"/>
                        <w:left w:val="none" w:sz="0" w:space="0" w:color="auto"/>
                        <w:bottom w:val="none" w:sz="0" w:space="0" w:color="auto"/>
                        <w:right w:val="none" w:sz="0" w:space="0" w:color="auto"/>
                      </w:divBdr>
                      <w:divsChild>
                        <w:div w:id="294143173">
                          <w:marLeft w:val="0"/>
                          <w:marRight w:val="0"/>
                          <w:marTop w:val="0"/>
                          <w:marBottom w:val="0"/>
                          <w:divBdr>
                            <w:top w:val="none" w:sz="0" w:space="0" w:color="auto"/>
                            <w:left w:val="none" w:sz="0" w:space="0" w:color="auto"/>
                            <w:bottom w:val="none" w:sz="0" w:space="0" w:color="auto"/>
                            <w:right w:val="none" w:sz="0" w:space="0" w:color="auto"/>
                          </w:divBdr>
                        </w:div>
                      </w:divsChild>
                    </w:div>
                    <w:div w:id="294140559">
                      <w:marLeft w:val="0"/>
                      <w:marRight w:val="0"/>
                      <w:marTop w:val="0"/>
                      <w:marBottom w:val="0"/>
                      <w:divBdr>
                        <w:top w:val="none" w:sz="0" w:space="0" w:color="auto"/>
                        <w:left w:val="none" w:sz="0" w:space="0" w:color="auto"/>
                        <w:bottom w:val="none" w:sz="0" w:space="0" w:color="auto"/>
                        <w:right w:val="none" w:sz="0" w:space="0" w:color="auto"/>
                      </w:divBdr>
                      <w:divsChild>
                        <w:div w:id="294157277">
                          <w:marLeft w:val="0"/>
                          <w:marRight w:val="0"/>
                          <w:marTop w:val="0"/>
                          <w:marBottom w:val="0"/>
                          <w:divBdr>
                            <w:top w:val="none" w:sz="0" w:space="0" w:color="auto"/>
                            <w:left w:val="none" w:sz="0" w:space="0" w:color="auto"/>
                            <w:bottom w:val="none" w:sz="0" w:space="0" w:color="auto"/>
                            <w:right w:val="none" w:sz="0" w:space="0" w:color="auto"/>
                          </w:divBdr>
                        </w:div>
                      </w:divsChild>
                    </w:div>
                    <w:div w:id="294140579">
                      <w:marLeft w:val="0"/>
                      <w:marRight w:val="0"/>
                      <w:marTop w:val="0"/>
                      <w:marBottom w:val="0"/>
                      <w:divBdr>
                        <w:top w:val="none" w:sz="0" w:space="0" w:color="auto"/>
                        <w:left w:val="none" w:sz="0" w:space="0" w:color="auto"/>
                        <w:bottom w:val="none" w:sz="0" w:space="0" w:color="auto"/>
                        <w:right w:val="none" w:sz="0" w:space="0" w:color="auto"/>
                      </w:divBdr>
                    </w:div>
                    <w:div w:id="294140595">
                      <w:marLeft w:val="0"/>
                      <w:marRight w:val="0"/>
                      <w:marTop w:val="0"/>
                      <w:marBottom w:val="0"/>
                      <w:divBdr>
                        <w:top w:val="none" w:sz="0" w:space="0" w:color="auto"/>
                        <w:left w:val="none" w:sz="0" w:space="0" w:color="auto"/>
                        <w:bottom w:val="none" w:sz="0" w:space="0" w:color="auto"/>
                        <w:right w:val="none" w:sz="0" w:space="0" w:color="auto"/>
                      </w:divBdr>
                      <w:divsChild>
                        <w:div w:id="294156118">
                          <w:marLeft w:val="0"/>
                          <w:marRight w:val="0"/>
                          <w:marTop w:val="0"/>
                          <w:marBottom w:val="0"/>
                          <w:divBdr>
                            <w:top w:val="none" w:sz="0" w:space="0" w:color="auto"/>
                            <w:left w:val="none" w:sz="0" w:space="0" w:color="auto"/>
                            <w:bottom w:val="none" w:sz="0" w:space="0" w:color="auto"/>
                            <w:right w:val="none" w:sz="0" w:space="0" w:color="auto"/>
                          </w:divBdr>
                        </w:div>
                      </w:divsChild>
                    </w:div>
                    <w:div w:id="294140862">
                      <w:marLeft w:val="0"/>
                      <w:marRight w:val="0"/>
                      <w:marTop w:val="0"/>
                      <w:marBottom w:val="0"/>
                      <w:divBdr>
                        <w:top w:val="none" w:sz="0" w:space="0" w:color="auto"/>
                        <w:left w:val="none" w:sz="0" w:space="0" w:color="auto"/>
                        <w:bottom w:val="none" w:sz="0" w:space="0" w:color="auto"/>
                        <w:right w:val="none" w:sz="0" w:space="0" w:color="auto"/>
                      </w:divBdr>
                    </w:div>
                    <w:div w:id="294140935">
                      <w:marLeft w:val="0"/>
                      <w:marRight w:val="0"/>
                      <w:marTop w:val="0"/>
                      <w:marBottom w:val="0"/>
                      <w:divBdr>
                        <w:top w:val="none" w:sz="0" w:space="0" w:color="auto"/>
                        <w:left w:val="none" w:sz="0" w:space="0" w:color="auto"/>
                        <w:bottom w:val="none" w:sz="0" w:space="0" w:color="auto"/>
                        <w:right w:val="none" w:sz="0" w:space="0" w:color="auto"/>
                      </w:divBdr>
                    </w:div>
                    <w:div w:id="294141037">
                      <w:marLeft w:val="0"/>
                      <w:marRight w:val="0"/>
                      <w:marTop w:val="0"/>
                      <w:marBottom w:val="0"/>
                      <w:divBdr>
                        <w:top w:val="none" w:sz="0" w:space="0" w:color="auto"/>
                        <w:left w:val="none" w:sz="0" w:space="0" w:color="auto"/>
                        <w:bottom w:val="none" w:sz="0" w:space="0" w:color="auto"/>
                        <w:right w:val="none" w:sz="0" w:space="0" w:color="auto"/>
                      </w:divBdr>
                    </w:div>
                    <w:div w:id="294141087">
                      <w:marLeft w:val="0"/>
                      <w:marRight w:val="0"/>
                      <w:marTop w:val="0"/>
                      <w:marBottom w:val="0"/>
                      <w:divBdr>
                        <w:top w:val="none" w:sz="0" w:space="0" w:color="auto"/>
                        <w:left w:val="none" w:sz="0" w:space="0" w:color="auto"/>
                        <w:bottom w:val="none" w:sz="0" w:space="0" w:color="auto"/>
                        <w:right w:val="none" w:sz="0" w:space="0" w:color="auto"/>
                      </w:divBdr>
                    </w:div>
                    <w:div w:id="294141094">
                      <w:marLeft w:val="0"/>
                      <w:marRight w:val="0"/>
                      <w:marTop w:val="0"/>
                      <w:marBottom w:val="0"/>
                      <w:divBdr>
                        <w:top w:val="none" w:sz="0" w:space="0" w:color="auto"/>
                        <w:left w:val="none" w:sz="0" w:space="0" w:color="auto"/>
                        <w:bottom w:val="none" w:sz="0" w:space="0" w:color="auto"/>
                        <w:right w:val="none" w:sz="0" w:space="0" w:color="auto"/>
                      </w:divBdr>
                    </w:div>
                    <w:div w:id="294141097">
                      <w:marLeft w:val="0"/>
                      <w:marRight w:val="0"/>
                      <w:marTop w:val="0"/>
                      <w:marBottom w:val="0"/>
                      <w:divBdr>
                        <w:top w:val="none" w:sz="0" w:space="0" w:color="auto"/>
                        <w:left w:val="none" w:sz="0" w:space="0" w:color="auto"/>
                        <w:bottom w:val="none" w:sz="0" w:space="0" w:color="auto"/>
                        <w:right w:val="none" w:sz="0" w:space="0" w:color="auto"/>
                      </w:divBdr>
                      <w:divsChild>
                        <w:div w:id="294156012">
                          <w:marLeft w:val="0"/>
                          <w:marRight w:val="0"/>
                          <w:marTop w:val="0"/>
                          <w:marBottom w:val="0"/>
                          <w:divBdr>
                            <w:top w:val="none" w:sz="0" w:space="0" w:color="auto"/>
                            <w:left w:val="none" w:sz="0" w:space="0" w:color="auto"/>
                            <w:bottom w:val="none" w:sz="0" w:space="0" w:color="auto"/>
                            <w:right w:val="none" w:sz="0" w:space="0" w:color="auto"/>
                          </w:divBdr>
                        </w:div>
                      </w:divsChild>
                    </w:div>
                    <w:div w:id="294141112">
                      <w:marLeft w:val="0"/>
                      <w:marRight w:val="0"/>
                      <w:marTop w:val="0"/>
                      <w:marBottom w:val="0"/>
                      <w:divBdr>
                        <w:top w:val="none" w:sz="0" w:space="0" w:color="auto"/>
                        <w:left w:val="none" w:sz="0" w:space="0" w:color="auto"/>
                        <w:bottom w:val="none" w:sz="0" w:space="0" w:color="auto"/>
                        <w:right w:val="none" w:sz="0" w:space="0" w:color="auto"/>
                      </w:divBdr>
                    </w:div>
                    <w:div w:id="294141132">
                      <w:marLeft w:val="0"/>
                      <w:marRight w:val="0"/>
                      <w:marTop w:val="0"/>
                      <w:marBottom w:val="0"/>
                      <w:divBdr>
                        <w:top w:val="none" w:sz="0" w:space="0" w:color="auto"/>
                        <w:left w:val="none" w:sz="0" w:space="0" w:color="auto"/>
                        <w:bottom w:val="none" w:sz="0" w:space="0" w:color="auto"/>
                        <w:right w:val="none" w:sz="0" w:space="0" w:color="auto"/>
                      </w:divBdr>
                      <w:divsChild>
                        <w:div w:id="294153783">
                          <w:marLeft w:val="0"/>
                          <w:marRight w:val="0"/>
                          <w:marTop w:val="0"/>
                          <w:marBottom w:val="0"/>
                          <w:divBdr>
                            <w:top w:val="none" w:sz="0" w:space="0" w:color="auto"/>
                            <w:left w:val="none" w:sz="0" w:space="0" w:color="auto"/>
                            <w:bottom w:val="none" w:sz="0" w:space="0" w:color="auto"/>
                            <w:right w:val="none" w:sz="0" w:space="0" w:color="auto"/>
                          </w:divBdr>
                        </w:div>
                      </w:divsChild>
                    </w:div>
                    <w:div w:id="294141206">
                      <w:marLeft w:val="0"/>
                      <w:marRight w:val="0"/>
                      <w:marTop w:val="0"/>
                      <w:marBottom w:val="0"/>
                      <w:divBdr>
                        <w:top w:val="none" w:sz="0" w:space="0" w:color="auto"/>
                        <w:left w:val="none" w:sz="0" w:space="0" w:color="auto"/>
                        <w:bottom w:val="none" w:sz="0" w:space="0" w:color="auto"/>
                        <w:right w:val="none" w:sz="0" w:space="0" w:color="auto"/>
                      </w:divBdr>
                    </w:div>
                    <w:div w:id="294141275">
                      <w:marLeft w:val="0"/>
                      <w:marRight w:val="0"/>
                      <w:marTop w:val="0"/>
                      <w:marBottom w:val="0"/>
                      <w:divBdr>
                        <w:top w:val="none" w:sz="0" w:space="0" w:color="auto"/>
                        <w:left w:val="none" w:sz="0" w:space="0" w:color="auto"/>
                        <w:bottom w:val="none" w:sz="0" w:space="0" w:color="auto"/>
                        <w:right w:val="none" w:sz="0" w:space="0" w:color="auto"/>
                      </w:divBdr>
                      <w:divsChild>
                        <w:div w:id="294144789">
                          <w:marLeft w:val="0"/>
                          <w:marRight w:val="0"/>
                          <w:marTop w:val="0"/>
                          <w:marBottom w:val="0"/>
                          <w:divBdr>
                            <w:top w:val="none" w:sz="0" w:space="0" w:color="auto"/>
                            <w:left w:val="none" w:sz="0" w:space="0" w:color="auto"/>
                            <w:bottom w:val="none" w:sz="0" w:space="0" w:color="auto"/>
                            <w:right w:val="none" w:sz="0" w:space="0" w:color="auto"/>
                          </w:divBdr>
                        </w:div>
                      </w:divsChild>
                    </w:div>
                    <w:div w:id="294141299">
                      <w:marLeft w:val="0"/>
                      <w:marRight w:val="0"/>
                      <w:marTop w:val="0"/>
                      <w:marBottom w:val="0"/>
                      <w:divBdr>
                        <w:top w:val="none" w:sz="0" w:space="0" w:color="auto"/>
                        <w:left w:val="none" w:sz="0" w:space="0" w:color="auto"/>
                        <w:bottom w:val="none" w:sz="0" w:space="0" w:color="auto"/>
                        <w:right w:val="none" w:sz="0" w:space="0" w:color="auto"/>
                      </w:divBdr>
                    </w:div>
                    <w:div w:id="294141358">
                      <w:marLeft w:val="0"/>
                      <w:marRight w:val="0"/>
                      <w:marTop w:val="0"/>
                      <w:marBottom w:val="0"/>
                      <w:divBdr>
                        <w:top w:val="none" w:sz="0" w:space="0" w:color="auto"/>
                        <w:left w:val="none" w:sz="0" w:space="0" w:color="auto"/>
                        <w:bottom w:val="none" w:sz="0" w:space="0" w:color="auto"/>
                        <w:right w:val="none" w:sz="0" w:space="0" w:color="auto"/>
                      </w:divBdr>
                      <w:divsChild>
                        <w:div w:id="294156344">
                          <w:marLeft w:val="0"/>
                          <w:marRight w:val="0"/>
                          <w:marTop w:val="0"/>
                          <w:marBottom w:val="0"/>
                          <w:divBdr>
                            <w:top w:val="none" w:sz="0" w:space="0" w:color="auto"/>
                            <w:left w:val="none" w:sz="0" w:space="0" w:color="auto"/>
                            <w:bottom w:val="none" w:sz="0" w:space="0" w:color="auto"/>
                            <w:right w:val="none" w:sz="0" w:space="0" w:color="auto"/>
                          </w:divBdr>
                        </w:div>
                      </w:divsChild>
                    </w:div>
                    <w:div w:id="294141436">
                      <w:marLeft w:val="0"/>
                      <w:marRight w:val="0"/>
                      <w:marTop w:val="0"/>
                      <w:marBottom w:val="0"/>
                      <w:divBdr>
                        <w:top w:val="none" w:sz="0" w:space="0" w:color="auto"/>
                        <w:left w:val="none" w:sz="0" w:space="0" w:color="auto"/>
                        <w:bottom w:val="none" w:sz="0" w:space="0" w:color="auto"/>
                        <w:right w:val="none" w:sz="0" w:space="0" w:color="auto"/>
                      </w:divBdr>
                      <w:divsChild>
                        <w:div w:id="294152519">
                          <w:marLeft w:val="0"/>
                          <w:marRight w:val="0"/>
                          <w:marTop w:val="0"/>
                          <w:marBottom w:val="0"/>
                          <w:divBdr>
                            <w:top w:val="none" w:sz="0" w:space="0" w:color="auto"/>
                            <w:left w:val="none" w:sz="0" w:space="0" w:color="auto"/>
                            <w:bottom w:val="none" w:sz="0" w:space="0" w:color="auto"/>
                            <w:right w:val="none" w:sz="0" w:space="0" w:color="auto"/>
                          </w:divBdr>
                        </w:div>
                      </w:divsChild>
                    </w:div>
                    <w:div w:id="294141566">
                      <w:marLeft w:val="0"/>
                      <w:marRight w:val="0"/>
                      <w:marTop w:val="0"/>
                      <w:marBottom w:val="0"/>
                      <w:divBdr>
                        <w:top w:val="none" w:sz="0" w:space="0" w:color="auto"/>
                        <w:left w:val="none" w:sz="0" w:space="0" w:color="auto"/>
                        <w:bottom w:val="none" w:sz="0" w:space="0" w:color="auto"/>
                        <w:right w:val="none" w:sz="0" w:space="0" w:color="auto"/>
                      </w:divBdr>
                    </w:div>
                    <w:div w:id="294141607">
                      <w:marLeft w:val="0"/>
                      <w:marRight w:val="0"/>
                      <w:marTop w:val="0"/>
                      <w:marBottom w:val="0"/>
                      <w:divBdr>
                        <w:top w:val="none" w:sz="0" w:space="0" w:color="auto"/>
                        <w:left w:val="none" w:sz="0" w:space="0" w:color="auto"/>
                        <w:bottom w:val="none" w:sz="0" w:space="0" w:color="auto"/>
                        <w:right w:val="none" w:sz="0" w:space="0" w:color="auto"/>
                      </w:divBdr>
                      <w:divsChild>
                        <w:div w:id="294157346">
                          <w:marLeft w:val="0"/>
                          <w:marRight w:val="0"/>
                          <w:marTop w:val="0"/>
                          <w:marBottom w:val="0"/>
                          <w:divBdr>
                            <w:top w:val="none" w:sz="0" w:space="0" w:color="auto"/>
                            <w:left w:val="none" w:sz="0" w:space="0" w:color="auto"/>
                            <w:bottom w:val="none" w:sz="0" w:space="0" w:color="auto"/>
                            <w:right w:val="none" w:sz="0" w:space="0" w:color="auto"/>
                          </w:divBdr>
                        </w:div>
                      </w:divsChild>
                    </w:div>
                    <w:div w:id="294141759">
                      <w:marLeft w:val="0"/>
                      <w:marRight w:val="0"/>
                      <w:marTop w:val="0"/>
                      <w:marBottom w:val="0"/>
                      <w:divBdr>
                        <w:top w:val="none" w:sz="0" w:space="0" w:color="auto"/>
                        <w:left w:val="none" w:sz="0" w:space="0" w:color="auto"/>
                        <w:bottom w:val="none" w:sz="0" w:space="0" w:color="auto"/>
                        <w:right w:val="none" w:sz="0" w:space="0" w:color="auto"/>
                      </w:divBdr>
                    </w:div>
                    <w:div w:id="294141898">
                      <w:marLeft w:val="0"/>
                      <w:marRight w:val="0"/>
                      <w:marTop w:val="0"/>
                      <w:marBottom w:val="0"/>
                      <w:divBdr>
                        <w:top w:val="none" w:sz="0" w:space="0" w:color="auto"/>
                        <w:left w:val="none" w:sz="0" w:space="0" w:color="auto"/>
                        <w:bottom w:val="none" w:sz="0" w:space="0" w:color="auto"/>
                        <w:right w:val="none" w:sz="0" w:space="0" w:color="auto"/>
                      </w:divBdr>
                      <w:divsChild>
                        <w:div w:id="294138543">
                          <w:marLeft w:val="0"/>
                          <w:marRight w:val="0"/>
                          <w:marTop w:val="0"/>
                          <w:marBottom w:val="0"/>
                          <w:divBdr>
                            <w:top w:val="none" w:sz="0" w:space="0" w:color="auto"/>
                            <w:left w:val="none" w:sz="0" w:space="0" w:color="auto"/>
                            <w:bottom w:val="none" w:sz="0" w:space="0" w:color="auto"/>
                            <w:right w:val="none" w:sz="0" w:space="0" w:color="auto"/>
                          </w:divBdr>
                        </w:div>
                      </w:divsChild>
                    </w:div>
                    <w:div w:id="294141930">
                      <w:marLeft w:val="0"/>
                      <w:marRight w:val="0"/>
                      <w:marTop w:val="0"/>
                      <w:marBottom w:val="0"/>
                      <w:divBdr>
                        <w:top w:val="none" w:sz="0" w:space="0" w:color="auto"/>
                        <w:left w:val="none" w:sz="0" w:space="0" w:color="auto"/>
                        <w:bottom w:val="none" w:sz="0" w:space="0" w:color="auto"/>
                        <w:right w:val="none" w:sz="0" w:space="0" w:color="auto"/>
                      </w:divBdr>
                    </w:div>
                    <w:div w:id="294141932">
                      <w:marLeft w:val="0"/>
                      <w:marRight w:val="0"/>
                      <w:marTop w:val="0"/>
                      <w:marBottom w:val="0"/>
                      <w:divBdr>
                        <w:top w:val="none" w:sz="0" w:space="0" w:color="auto"/>
                        <w:left w:val="none" w:sz="0" w:space="0" w:color="auto"/>
                        <w:bottom w:val="none" w:sz="0" w:space="0" w:color="auto"/>
                        <w:right w:val="none" w:sz="0" w:space="0" w:color="auto"/>
                      </w:divBdr>
                      <w:divsChild>
                        <w:div w:id="294143231">
                          <w:marLeft w:val="0"/>
                          <w:marRight w:val="0"/>
                          <w:marTop w:val="0"/>
                          <w:marBottom w:val="0"/>
                          <w:divBdr>
                            <w:top w:val="none" w:sz="0" w:space="0" w:color="auto"/>
                            <w:left w:val="none" w:sz="0" w:space="0" w:color="auto"/>
                            <w:bottom w:val="none" w:sz="0" w:space="0" w:color="auto"/>
                            <w:right w:val="none" w:sz="0" w:space="0" w:color="auto"/>
                          </w:divBdr>
                        </w:div>
                      </w:divsChild>
                    </w:div>
                    <w:div w:id="294141973">
                      <w:marLeft w:val="0"/>
                      <w:marRight w:val="0"/>
                      <w:marTop w:val="0"/>
                      <w:marBottom w:val="0"/>
                      <w:divBdr>
                        <w:top w:val="none" w:sz="0" w:space="0" w:color="auto"/>
                        <w:left w:val="none" w:sz="0" w:space="0" w:color="auto"/>
                        <w:bottom w:val="none" w:sz="0" w:space="0" w:color="auto"/>
                        <w:right w:val="none" w:sz="0" w:space="0" w:color="auto"/>
                      </w:divBdr>
                      <w:divsChild>
                        <w:div w:id="294152445">
                          <w:marLeft w:val="0"/>
                          <w:marRight w:val="0"/>
                          <w:marTop w:val="0"/>
                          <w:marBottom w:val="0"/>
                          <w:divBdr>
                            <w:top w:val="none" w:sz="0" w:space="0" w:color="auto"/>
                            <w:left w:val="none" w:sz="0" w:space="0" w:color="auto"/>
                            <w:bottom w:val="none" w:sz="0" w:space="0" w:color="auto"/>
                            <w:right w:val="none" w:sz="0" w:space="0" w:color="auto"/>
                          </w:divBdr>
                        </w:div>
                      </w:divsChild>
                    </w:div>
                    <w:div w:id="294142073">
                      <w:marLeft w:val="0"/>
                      <w:marRight w:val="0"/>
                      <w:marTop w:val="0"/>
                      <w:marBottom w:val="0"/>
                      <w:divBdr>
                        <w:top w:val="none" w:sz="0" w:space="0" w:color="auto"/>
                        <w:left w:val="none" w:sz="0" w:space="0" w:color="auto"/>
                        <w:bottom w:val="none" w:sz="0" w:space="0" w:color="auto"/>
                        <w:right w:val="none" w:sz="0" w:space="0" w:color="auto"/>
                      </w:divBdr>
                      <w:divsChild>
                        <w:div w:id="294150503">
                          <w:marLeft w:val="0"/>
                          <w:marRight w:val="0"/>
                          <w:marTop w:val="0"/>
                          <w:marBottom w:val="0"/>
                          <w:divBdr>
                            <w:top w:val="none" w:sz="0" w:space="0" w:color="auto"/>
                            <w:left w:val="none" w:sz="0" w:space="0" w:color="auto"/>
                            <w:bottom w:val="none" w:sz="0" w:space="0" w:color="auto"/>
                            <w:right w:val="none" w:sz="0" w:space="0" w:color="auto"/>
                          </w:divBdr>
                        </w:div>
                      </w:divsChild>
                    </w:div>
                    <w:div w:id="294142081">
                      <w:marLeft w:val="0"/>
                      <w:marRight w:val="0"/>
                      <w:marTop w:val="0"/>
                      <w:marBottom w:val="0"/>
                      <w:divBdr>
                        <w:top w:val="none" w:sz="0" w:space="0" w:color="auto"/>
                        <w:left w:val="none" w:sz="0" w:space="0" w:color="auto"/>
                        <w:bottom w:val="none" w:sz="0" w:space="0" w:color="auto"/>
                        <w:right w:val="none" w:sz="0" w:space="0" w:color="auto"/>
                      </w:divBdr>
                    </w:div>
                    <w:div w:id="294142229">
                      <w:marLeft w:val="0"/>
                      <w:marRight w:val="0"/>
                      <w:marTop w:val="0"/>
                      <w:marBottom w:val="0"/>
                      <w:divBdr>
                        <w:top w:val="none" w:sz="0" w:space="0" w:color="auto"/>
                        <w:left w:val="none" w:sz="0" w:space="0" w:color="auto"/>
                        <w:bottom w:val="none" w:sz="0" w:space="0" w:color="auto"/>
                        <w:right w:val="none" w:sz="0" w:space="0" w:color="auto"/>
                      </w:divBdr>
                    </w:div>
                    <w:div w:id="294142284">
                      <w:marLeft w:val="0"/>
                      <w:marRight w:val="0"/>
                      <w:marTop w:val="0"/>
                      <w:marBottom w:val="0"/>
                      <w:divBdr>
                        <w:top w:val="none" w:sz="0" w:space="0" w:color="auto"/>
                        <w:left w:val="none" w:sz="0" w:space="0" w:color="auto"/>
                        <w:bottom w:val="none" w:sz="0" w:space="0" w:color="auto"/>
                        <w:right w:val="none" w:sz="0" w:space="0" w:color="auto"/>
                      </w:divBdr>
                    </w:div>
                    <w:div w:id="294142296">
                      <w:marLeft w:val="0"/>
                      <w:marRight w:val="0"/>
                      <w:marTop w:val="0"/>
                      <w:marBottom w:val="0"/>
                      <w:divBdr>
                        <w:top w:val="none" w:sz="0" w:space="0" w:color="auto"/>
                        <w:left w:val="none" w:sz="0" w:space="0" w:color="auto"/>
                        <w:bottom w:val="none" w:sz="0" w:space="0" w:color="auto"/>
                        <w:right w:val="none" w:sz="0" w:space="0" w:color="auto"/>
                      </w:divBdr>
                      <w:divsChild>
                        <w:div w:id="294143434">
                          <w:marLeft w:val="0"/>
                          <w:marRight w:val="0"/>
                          <w:marTop w:val="0"/>
                          <w:marBottom w:val="0"/>
                          <w:divBdr>
                            <w:top w:val="none" w:sz="0" w:space="0" w:color="auto"/>
                            <w:left w:val="none" w:sz="0" w:space="0" w:color="auto"/>
                            <w:bottom w:val="none" w:sz="0" w:space="0" w:color="auto"/>
                            <w:right w:val="none" w:sz="0" w:space="0" w:color="auto"/>
                          </w:divBdr>
                        </w:div>
                      </w:divsChild>
                    </w:div>
                    <w:div w:id="294142353">
                      <w:marLeft w:val="0"/>
                      <w:marRight w:val="0"/>
                      <w:marTop w:val="0"/>
                      <w:marBottom w:val="0"/>
                      <w:divBdr>
                        <w:top w:val="none" w:sz="0" w:space="0" w:color="auto"/>
                        <w:left w:val="none" w:sz="0" w:space="0" w:color="auto"/>
                        <w:bottom w:val="none" w:sz="0" w:space="0" w:color="auto"/>
                        <w:right w:val="none" w:sz="0" w:space="0" w:color="auto"/>
                      </w:divBdr>
                      <w:divsChild>
                        <w:div w:id="294148712">
                          <w:marLeft w:val="0"/>
                          <w:marRight w:val="0"/>
                          <w:marTop w:val="0"/>
                          <w:marBottom w:val="0"/>
                          <w:divBdr>
                            <w:top w:val="none" w:sz="0" w:space="0" w:color="auto"/>
                            <w:left w:val="none" w:sz="0" w:space="0" w:color="auto"/>
                            <w:bottom w:val="none" w:sz="0" w:space="0" w:color="auto"/>
                            <w:right w:val="none" w:sz="0" w:space="0" w:color="auto"/>
                          </w:divBdr>
                        </w:div>
                      </w:divsChild>
                    </w:div>
                    <w:div w:id="294142552">
                      <w:marLeft w:val="0"/>
                      <w:marRight w:val="0"/>
                      <w:marTop w:val="0"/>
                      <w:marBottom w:val="0"/>
                      <w:divBdr>
                        <w:top w:val="none" w:sz="0" w:space="0" w:color="auto"/>
                        <w:left w:val="none" w:sz="0" w:space="0" w:color="auto"/>
                        <w:bottom w:val="none" w:sz="0" w:space="0" w:color="auto"/>
                        <w:right w:val="none" w:sz="0" w:space="0" w:color="auto"/>
                      </w:divBdr>
                      <w:divsChild>
                        <w:div w:id="294154386">
                          <w:marLeft w:val="0"/>
                          <w:marRight w:val="0"/>
                          <w:marTop w:val="0"/>
                          <w:marBottom w:val="0"/>
                          <w:divBdr>
                            <w:top w:val="none" w:sz="0" w:space="0" w:color="auto"/>
                            <w:left w:val="none" w:sz="0" w:space="0" w:color="auto"/>
                            <w:bottom w:val="none" w:sz="0" w:space="0" w:color="auto"/>
                            <w:right w:val="none" w:sz="0" w:space="0" w:color="auto"/>
                          </w:divBdr>
                        </w:div>
                      </w:divsChild>
                    </w:div>
                    <w:div w:id="294142558">
                      <w:marLeft w:val="0"/>
                      <w:marRight w:val="0"/>
                      <w:marTop w:val="0"/>
                      <w:marBottom w:val="0"/>
                      <w:divBdr>
                        <w:top w:val="none" w:sz="0" w:space="0" w:color="auto"/>
                        <w:left w:val="none" w:sz="0" w:space="0" w:color="auto"/>
                        <w:bottom w:val="none" w:sz="0" w:space="0" w:color="auto"/>
                        <w:right w:val="none" w:sz="0" w:space="0" w:color="auto"/>
                      </w:divBdr>
                    </w:div>
                    <w:div w:id="294142566">
                      <w:marLeft w:val="0"/>
                      <w:marRight w:val="0"/>
                      <w:marTop w:val="0"/>
                      <w:marBottom w:val="0"/>
                      <w:divBdr>
                        <w:top w:val="none" w:sz="0" w:space="0" w:color="auto"/>
                        <w:left w:val="none" w:sz="0" w:space="0" w:color="auto"/>
                        <w:bottom w:val="none" w:sz="0" w:space="0" w:color="auto"/>
                        <w:right w:val="none" w:sz="0" w:space="0" w:color="auto"/>
                      </w:divBdr>
                    </w:div>
                    <w:div w:id="294142638">
                      <w:marLeft w:val="0"/>
                      <w:marRight w:val="0"/>
                      <w:marTop w:val="0"/>
                      <w:marBottom w:val="0"/>
                      <w:divBdr>
                        <w:top w:val="none" w:sz="0" w:space="0" w:color="auto"/>
                        <w:left w:val="none" w:sz="0" w:space="0" w:color="auto"/>
                        <w:bottom w:val="none" w:sz="0" w:space="0" w:color="auto"/>
                        <w:right w:val="none" w:sz="0" w:space="0" w:color="auto"/>
                      </w:divBdr>
                    </w:div>
                    <w:div w:id="294142654">
                      <w:marLeft w:val="0"/>
                      <w:marRight w:val="0"/>
                      <w:marTop w:val="0"/>
                      <w:marBottom w:val="0"/>
                      <w:divBdr>
                        <w:top w:val="none" w:sz="0" w:space="0" w:color="auto"/>
                        <w:left w:val="none" w:sz="0" w:space="0" w:color="auto"/>
                        <w:bottom w:val="none" w:sz="0" w:space="0" w:color="auto"/>
                        <w:right w:val="none" w:sz="0" w:space="0" w:color="auto"/>
                      </w:divBdr>
                      <w:divsChild>
                        <w:div w:id="294140950">
                          <w:marLeft w:val="0"/>
                          <w:marRight w:val="0"/>
                          <w:marTop w:val="0"/>
                          <w:marBottom w:val="0"/>
                          <w:divBdr>
                            <w:top w:val="none" w:sz="0" w:space="0" w:color="auto"/>
                            <w:left w:val="none" w:sz="0" w:space="0" w:color="auto"/>
                            <w:bottom w:val="none" w:sz="0" w:space="0" w:color="auto"/>
                            <w:right w:val="none" w:sz="0" w:space="0" w:color="auto"/>
                          </w:divBdr>
                        </w:div>
                      </w:divsChild>
                    </w:div>
                    <w:div w:id="294142711">
                      <w:marLeft w:val="0"/>
                      <w:marRight w:val="0"/>
                      <w:marTop w:val="0"/>
                      <w:marBottom w:val="0"/>
                      <w:divBdr>
                        <w:top w:val="none" w:sz="0" w:space="0" w:color="auto"/>
                        <w:left w:val="none" w:sz="0" w:space="0" w:color="auto"/>
                        <w:bottom w:val="none" w:sz="0" w:space="0" w:color="auto"/>
                        <w:right w:val="none" w:sz="0" w:space="0" w:color="auto"/>
                      </w:divBdr>
                      <w:divsChild>
                        <w:div w:id="294145959">
                          <w:marLeft w:val="0"/>
                          <w:marRight w:val="0"/>
                          <w:marTop w:val="0"/>
                          <w:marBottom w:val="0"/>
                          <w:divBdr>
                            <w:top w:val="none" w:sz="0" w:space="0" w:color="auto"/>
                            <w:left w:val="none" w:sz="0" w:space="0" w:color="auto"/>
                            <w:bottom w:val="none" w:sz="0" w:space="0" w:color="auto"/>
                            <w:right w:val="none" w:sz="0" w:space="0" w:color="auto"/>
                          </w:divBdr>
                        </w:div>
                      </w:divsChild>
                    </w:div>
                    <w:div w:id="294142787">
                      <w:marLeft w:val="0"/>
                      <w:marRight w:val="0"/>
                      <w:marTop w:val="0"/>
                      <w:marBottom w:val="0"/>
                      <w:divBdr>
                        <w:top w:val="none" w:sz="0" w:space="0" w:color="auto"/>
                        <w:left w:val="none" w:sz="0" w:space="0" w:color="auto"/>
                        <w:bottom w:val="none" w:sz="0" w:space="0" w:color="auto"/>
                        <w:right w:val="none" w:sz="0" w:space="0" w:color="auto"/>
                      </w:divBdr>
                    </w:div>
                    <w:div w:id="294142810">
                      <w:marLeft w:val="0"/>
                      <w:marRight w:val="0"/>
                      <w:marTop w:val="0"/>
                      <w:marBottom w:val="0"/>
                      <w:divBdr>
                        <w:top w:val="none" w:sz="0" w:space="0" w:color="auto"/>
                        <w:left w:val="none" w:sz="0" w:space="0" w:color="auto"/>
                        <w:bottom w:val="none" w:sz="0" w:space="0" w:color="auto"/>
                        <w:right w:val="none" w:sz="0" w:space="0" w:color="auto"/>
                      </w:divBdr>
                    </w:div>
                    <w:div w:id="294142885">
                      <w:marLeft w:val="0"/>
                      <w:marRight w:val="0"/>
                      <w:marTop w:val="0"/>
                      <w:marBottom w:val="0"/>
                      <w:divBdr>
                        <w:top w:val="none" w:sz="0" w:space="0" w:color="auto"/>
                        <w:left w:val="none" w:sz="0" w:space="0" w:color="auto"/>
                        <w:bottom w:val="none" w:sz="0" w:space="0" w:color="auto"/>
                        <w:right w:val="none" w:sz="0" w:space="0" w:color="auto"/>
                      </w:divBdr>
                      <w:divsChild>
                        <w:div w:id="294157249">
                          <w:marLeft w:val="0"/>
                          <w:marRight w:val="0"/>
                          <w:marTop w:val="0"/>
                          <w:marBottom w:val="0"/>
                          <w:divBdr>
                            <w:top w:val="none" w:sz="0" w:space="0" w:color="auto"/>
                            <w:left w:val="none" w:sz="0" w:space="0" w:color="auto"/>
                            <w:bottom w:val="none" w:sz="0" w:space="0" w:color="auto"/>
                            <w:right w:val="none" w:sz="0" w:space="0" w:color="auto"/>
                          </w:divBdr>
                        </w:div>
                      </w:divsChild>
                    </w:div>
                    <w:div w:id="294142929">
                      <w:marLeft w:val="0"/>
                      <w:marRight w:val="0"/>
                      <w:marTop w:val="0"/>
                      <w:marBottom w:val="0"/>
                      <w:divBdr>
                        <w:top w:val="none" w:sz="0" w:space="0" w:color="auto"/>
                        <w:left w:val="none" w:sz="0" w:space="0" w:color="auto"/>
                        <w:bottom w:val="none" w:sz="0" w:space="0" w:color="auto"/>
                        <w:right w:val="none" w:sz="0" w:space="0" w:color="auto"/>
                      </w:divBdr>
                    </w:div>
                    <w:div w:id="294142935">
                      <w:marLeft w:val="0"/>
                      <w:marRight w:val="0"/>
                      <w:marTop w:val="0"/>
                      <w:marBottom w:val="0"/>
                      <w:divBdr>
                        <w:top w:val="none" w:sz="0" w:space="0" w:color="auto"/>
                        <w:left w:val="none" w:sz="0" w:space="0" w:color="auto"/>
                        <w:bottom w:val="none" w:sz="0" w:space="0" w:color="auto"/>
                        <w:right w:val="none" w:sz="0" w:space="0" w:color="auto"/>
                      </w:divBdr>
                    </w:div>
                    <w:div w:id="294142938">
                      <w:marLeft w:val="0"/>
                      <w:marRight w:val="0"/>
                      <w:marTop w:val="0"/>
                      <w:marBottom w:val="0"/>
                      <w:divBdr>
                        <w:top w:val="none" w:sz="0" w:space="0" w:color="auto"/>
                        <w:left w:val="none" w:sz="0" w:space="0" w:color="auto"/>
                        <w:bottom w:val="none" w:sz="0" w:space="0" w:color="auto"/>
                        <w:right w:val="none" w:sz="0" w:space="0" w:color="auto"/>
                      </w:divBdr>
                      <w:divsChild>
                        <w:div w:id="294153117">
                          <w:marLeft w:val="0"/>
                          <w:marRight w:val="0"/>
                          <w:marTop w:val="0"/>
                          <w:marBottom w:val="0"/>
                          <w:divBdr>
                            <w:top w:val="none" w:sz="0" w:space="0" w:color="auto"/>
                            <w:left w:val="none" w:sz="0" w:space="0" w:color="auto"/>
                            <w:bottom w:val="none" w:sz="0" w:space="0" w:color="auto"/>
                            <w:right w:val="none" w:sz="0" w:space="0" w:color="auto"/>
                          </w:divBdr>
                        </w:div>
                      </w:divsChild>
                    </w:div>
                    <w:div w:id="294142951">
                      <w:marLeft w:val="0"/>
                      <w:marRight w:val="0"/>
                      <w:marTop w:val="0"/>
                      <w:marBottom w:val="0"/>
                      <w:divBdr>
                        <w:top w:val="none" w:sz="0" w:space="0" w:color="auto"/>
                        <w:left w:val="none" w:sz="0" w:space="0" w:color="auto"/>
                        <w:bottom w:val="none" w:sz="0" w:space="0" w:color="auto"/>
                        <w:right w:val="none" w:sz="0" w:space="0" w:color="auto"/>
                      </w:divBdr>
                      <w:divsChild>
                        <w:div w:id="294138734">
                          <w:marLeft w:val="0"/>
                          <w:marRight w:val="0"/>
                          <w:marTop w:val="0"/>
                          <w:marBottom w:val="0"/>
                          <w:divBdr>
                            <w:top w:val="none" w:sz="0" w:space="0" w:color="auto"/>
                            <w:left w:val="none" w:sz="0" w:space="0" w:color="auto"/>
                            <w:bottom w:val="none" w:sz="0" w:space="0" w:color="auto"/>
                            <w:right w:val="none" w:sz="0" w:space="0" w:color="auto"/>
                          </w:divBdr>
                        </w:div>
                      </w:divsChild>
                    </w:div>
                    <w:div w:id="294143154">
                      <w:marLeft w:val="0"/>
                      <w:marRight w:val="0"/>
                      <w:marTop w:val="0"/>
                      <w:marBottom w:val="0"/>
                      <w:divBdr>
                        <w:top w:val="none" w:sz="0" w:space="0" w:color="auto"/>
                        <w:left w:val="none" w:sz="0" w:space="0" w:color="auto"/>
                        <w:bottom w:val="none" w:sz="0" w:space="0" w:color="auto"/>
                        <w:right w:val="none" w:sz="0" w:space="0" w:color="auto"/>
                      </w:divBdr>
                      <w:divsChild>
                        <w:div w:id="294147983">
                          <w:marLeft w:val="0"/>
                          <w:marRight w:val="0"/>
                          <w:marTop w:val="0"/>
                          <w:marBottom w:val="0"/>
                          <w:divBdr>
                            <w:top w:val="none" w:sz="0" w:space="0" w:color="auto"/>
                            <w:left w:val="none" w:sz="0" w:space="0" w:color="auto"/>
                            <w:bottom w:val="none" w:sz="0" w:space="0" w:color="auto"/>
                            <w:right w:val="none" w:sz="0" w:space="0" w:color="auto"/>
                          </w:divBdr>
                        </w:div>
                      </w:divsChild>
                    </w:div>
                    <w:div w:id="294143157">
                      <w:marLeft w:val="0"/>
                      <w:marRight w:val="0"/>
                      <w:marTop w:val="0"/>
                      <w:marBottom w:val="0"/>
                      <w:divBdr>
                        <w:top w:val="none" w:sz="0" w:space="0" w:color="auto"/>
                        <w:left w:val="none" w:sz="0" w:space="0" w:color="auto"/>
                        <w:bottom w:val="none" w:sz="0" w:space="0" w:color="auto"/>
                        <w:right w:val="none" w:sz="0" w:space="0" w:color="auto"/>
                      </w:divBdr>
                      <w:divsChild>
                        <w:div w:id="294142031">
                          <w:marLeft w:val="0"/>
                          <w:marRight w:val="0"/>
                          <w:marTop w:val="0"/>
                          <w:marBottom w:val="0"/>
                          <w:divBdr>
                            <w:top w:val="none" w:sz="0" w:space="0" w:color="auto"/>
                            <w:left w:val="none" w:sz="0" w:space="0" w:color="auto"/>
                            <w:bottom w:val="none" w:sz="0" w:space="0" w:color="auto"/>
                            <w:right w:val="none" w:sz="0" w:space="0" w:color="auto"/>
                          </w:divBdr>
                        </w:div>
                      </w:divsChild>
                    </w:div>
                    <w:div w:id="294143209">
                      <w:marLeft w:val="0"/>
                      <w:marRight w:val="0"/>
                      <w:marTop w:val="0"/>
                      <w:marBottom w:val="0"/>
                      <w:divBdr>
                        <w:top w:val="none" w:sz="0" w:space="0" w:color="auto"/>
                        <w:left w:val="none" w:sz="0" w:space="0" w:color="auto"/>
                        <w:bottom w:val="none" w:sz="0" w:space="0" w:color="auto"/>
                        <w:right w:val="none" w:sz="0" w:space="0" w:color="auto"/>
                      </w:divBdr>
                      <w:divsChild>
                        <w:div w:id="294156867">
                          <w:marLeft w:val="0"/>
                          <w:marRight w:val="0"/>
                          <w:marTop w:val="0"/>
                          <w:marBottom w:val="0"/>
                          <w:divBdr>
                            <w:top w:val="none" w:sz="0" w:space="0" w:color="auto"/>
                            <w:left w:val="none" w:sz="0" w:space="0" w:color="auto"/>
                            <w:bottom w:val="none" w:sz="0" w:space="0" w:color="auto"/>
                            <w:right w:val="none" w:sz="0" w:space="0" w:color="auto"/>
                          </w:divBdr>
                        </w:div>
                      </w:divsChild>
                    </w:div>
                    <w:div w:id="294143216">
                      <w:marLeft w:val="0"/>
                      <w:marRight w:val="0"/>
                      <w:marTop w:val="0"/>
                      <w:marBottom w:val="0"/>
                      <w:divBdr>
                        <w:top w:val="none" w:sz="0" w:space="0" w:color="auto"/>
                        <w:left w:val="none" w:sz="0" w:space="0" w:color="auto"/>
                        <w:bottom w:val="none" w:sz="0" w:space="0" w:color="auto"/>
                        <w:right w:val="none" w:sz="0" w:space="0" w:color="auto"/>
                      </w:divBdr>
                      <w:divsChild>
                        <w:div w:id="294152787">
                          <w:marLeft w:val="0"/>
                          <w:marRight w:val="0"/>
                          <w:marTop w:val="0"/>
                          <w:marBottom w:val="0"/>
                          <w:divBdr>
                            <w:top w:val="none" w:sz="0" w:space="0" w:color="auto"/>
                            <w:left w:val="none" w:sz="0" w:space="0" w:color="auto"/>
                            <w:bottom w:val="none" w:sz="0" w:space="0" w:color="auto"/>
                            <w:right w:val="none" w:sz="0" w:space="0" w:color="auto"/>
                          </w:divBdr>
                        </w:div>
                      </w:divsChild>
                    </w:div>
                    <w:div w:id="294143282">
                      <w:marLeft w:val="0"/>
                      <w:marRight w:val="0"/>
                      <w:marTop w:val="0"/>
                      <w:marBottom w:val="0"/>
                      <w:divBdr>
                        <w:top w:val="none" w:sz="0" w:space="0" w:color="auto"/>
                        <w:left w:val="none" w:sz="0" w:space="0" w:color="auto"/>
                        <w:bottom w:val="none" w:sz="0" w:space="0" w:color="auto"/>
                        <w:right w:val="none" w:sz="0" w:space="0" w:color="auto"/>
                      </w:divBdr>
                      <w:divsChild>
                        <w:div w:id="294144712">
                          <w:marLeft w:val="0"/>
                          <w:marRight w:val="0"/>
                          <w:marTop w:val="0"/>
                          <w:marBottom w:val="0"/>
                          <w:divBdr>
                            <w:top w:val="none" w:sz="0" w:space="0" w:color="auto"/>
                            <w:left w:val="none" w:sz="0" w:space="0" w:color="auto"/>
                            <w:bottom w:val="none" w:sz="0" w:space="0" w:color="auto"/>
                            <w:right w:val="none" w:sz="0" w:space="0" w:color="auto"/>
                          </w:divBdr>
                        </w:div>
                      </w:divsChild>
                    </w:div>
                    <w:div w:id="294143287">
                      <w:marLeft w:val="0"/>
                      <w:marRight w:val="0"/>
                      <w:marTop w:val="0"/>
                      <w:marBottom w:val="0"/>
                      <w:divBdr>
                        <w:top w:val="none" w:sz="0" w:space="0" w:color="auto"/>
                        <w:left w:val="none" w:sz="0" w:space="0" w:color="auto"/>
                        <w:bottom w:val="none" w:sz="0" w:space="0" w:color="auto"/>
                        <w:right w:val="none" w:sz="0" w:space="0" w:color="auto"/>
                      </w:divBdr>
                    </w:div>
                    <w:div w:id="294143288">
                      <w:marLeft w:val="0"/>
                      <w:marRight w:val="0"/>
                      <w:marTop w:val="0"/>
                      <w:marBottom w:val="0"/>
                      <w:divBdr>
                        <w:top w:val="none" w:sz="0" w:space="0" w:color="auto"/>
                        <w:left w:val="none" w:sz="0" w:space="0" w:color="auto"/>
                        <w:bottom w:val="none" w:sz="0" w:space="0" w:color="auto"/>
                        <w:right w:val="none" w:sz="0" w:space="0" w:color="auto"/>
                      </w:divBdr>
                      <w:divsChild>
                        <w:div w:id="294155345">
                          <w:marLeft w:val="0"/>
                          <w:marRight w:val="0"/>
                          <w:marTop w:val="0"/>
                          <w:marBottom w:val="0"/>
                          <w:divBdr>
                            <w:top w:val="none" w:sz="0" w:space="0" w:color="auto"/>
                            <w:left w:val="none" w:sz="0" w:space="0" w:color="auto"/>
                            <w:bottom w:val="none" w:sz="0" w:space="0" w:color="auto"/>
                            <w:right w:val="none" w:sz="0" w:space="0" w:color="auto"/>
                          </w:divBdr>
                        </w:div>
                      </w:divsChild>
                    </w:div>
                    <w:div w:id="294143387">
                      <w:marLeft w:val="0"/>
                      <w:marRight w:val="0"/>
                      <w:marTop w:val="0"/>
                      <w:marBottom w:val="0"/>
                      <w:divBdr>
                        <w:top w:val="none" w:sz="0" w:space="0" w:color="auto"/>
                        <w:left w:val="none" w:sz="0" w:space="0" w:color="auto"/>
                        <w:bottom w:val="none" w:sz="0" w:space="0" w:color="auto"/>
                        <w:right w:val="none" w:sz="0" w:space="0" w:color="auto"/>
                      </w:divBdr>
                      <w:divsChild>
                        <w:div w:id="294138950">
                          <w:marLeft w:val="0"/>
                          <w:marRight w:val="0"/>
                          <w:marTop w:val="0"/>
                          <w:marBottom w:val="0"/>
                          <w:divBdr>
                            <w:top w:val="none" w:sz="0" w:space="0" w:color="auto"/>
                            <w:left w:val="none" w:sz="0" w:space="0" w:color="auto"/>
                            <w:bottom w:val="none" w:sz="0" w:space="0" w:color="auto"/>
                            <w:right w:val="none" w:sz="0" w:space="0" w:color="auto"/>
                          </w:divBdr>
                        </w:div>
                      </w:divsChild>
                    </w:div>
                    <w:div w:id="294143423">
                      <w:marLeft w:val="0"/>
                      <w:marRight w:val="0"/>
                      <w:marTop w:val="0"/>
                      <w:marBottom w:val="0"/>
                      <w:divBdr>
                        <w:top w:val="none" w:sz="0" w:space="0" w:color="auto"/>
                        <w:left w:val="none" w:sz="0" w:space="0" w:color="auto"/>
                        <w:bottom w:val="none" w:sz="0" w:space="0" w:color="auto"/>
                        <w:right w:val="none" w:sz="0" w:space="0" w:color="auto"/>
                      </w:divBdr>
                    </w:div>
                    <w:div w:id="294143454">
                      <w:marLeft w:val="0"/>
                      <w:marRight w:val="0"/>
                      <w:marTop w:val="0"/>
                      <w:marBottom w:val="0"/>
                      <w:divBdr>
                        <w:top w:val="none" w:sz="0" w:space="0" w:color="auto"/>
                        <w:left w:val="none" w:sz="0" w:space="0" w:color="auto"/>
                        <w:bottom w:val="none" w:sz="0" w:space="0" w:color="auto"/>
                        <w:right w:val="none" w:sz="0" w:space="0" w:color="auto"/>
                      </w:divBdr>
                    </w:div>
                    <w:div w:id="294143484">
                      <w:marLeft w:val="0"/>
                      <w:marRight w:val="0"/>
                      <w:marTop w:val="0"/>
                      <w:marBottom w:val="0"/>
                      <w:divBdr>
                        <w:top w:val="none" w:sz="0" w:space="0" w:color="auto"/>
                        <w:left w:val="none" w:sz="0" w:space="0" w:color="auto"/>
                        <w:bottom w:val="none" w:sz="0" w:space="0" w:color="auto"/>
                        <w:right w:val="none" w:sz="0" w:space="0" w:color="auto"/>
                      </w:divBdr>
                      <w:divsChild>
                        <w:div w:id="294145821">
                          <w:marLeft w:val="0"/>
                          <w:marRight w:val="0"/>
                          <w:marTop w:val="0"/>
                          <w:marBottom w:val="0"/>
                          <w:divBdr>
                            <w:top w:val="none" w:sz="0" w:space="0" w:color="auto"/>
                            <w:left w:val="none" w:sz="0" w:space="0" w:color="auto"/>
                            <w:bottom w:val="none" w:sz="0" w:space="0" w:color="auto"/>
                            <w:right w:val="none" w:sz="0" w:space="0" w:color="auto"/>
                          </w:divBdr>
                        </w:div>
                      </w:divsChild>
                    </w:div>
                    <w:div w:id="294143497">
                      <w:marLeft w:val="0"/>
                      <w:marRight w:val="0"/>
                      <w:marTop w:val="0"/>
                      <w:marBottom w:val="0"/>
                      <w:divBdr>
                        <w:top w:val="none" w:sz="0" w:space="0" w:color="auto"/>
                        <w:left w:val="none" w:sz="0" w:space="0" w:color="auto"/>
                        <w:bottom w:val="none" w:sz="0" w:space="0" w:color="auto"/>
                        <w:right w:val="none" w:sz="0" w:space="0" w:color="auto"/>
                      </w:divBdr>
                    </w:div>
                    <w:div w:id="294143589">
                      <w:marLeft w:val="0"/>
                      <w:marRight w:val="0"/>
                      <w:marTop w:val="0"/>
                      <w:marBottom w:val="0"/>
                      <w:divBdr>
                        <w:top w:val="none" w:sz="0" w:space="0" w:color="auto"/>
                        <w:left w:val="none" w:sz="0" w:space="0" w:color="auto"/>
                        <w:bottom w:val="none" w:sz="0" w:space="0" w:color="auto"/>
                        <w:right w:val="none" w:sz="0" w:space="0" w:color="auto"/>
                      </w:divBdr>
                      <w:divsChild>
                        <w:div w:id="294144565">
                          <w:marLeft w:val="0"/>
                          <w:marRight w:val="0"/>
                          <w:marTop w:val="0"/>
                          <w:marBottom w:val="0"/>
                          <w:divBdr>
                            <w:top w:val="none" w:sz="0" w:space="0" w:color="auto"/>
                            <w:left w:val="none" w:sz="0" w:space="0" w:color="auto"/>
                            <w:bottom w:val="none" w:sz="0" w:space="0" w:color="auto"/>
                            <w:right w:val="none" w:sz="0" w:space="0" w:color="auto"/>
                          </w:divBdr>
                        </w:div>
                      </w:divsChild>
                    </w:div>
                    <w:div w:id="294143610">
                      <w:marLeft w:val="0"/>
                      <w:marRight w:val="0"/>
                      <w:marTop w:val="0"/>
                      <w:marBottom w:val="0"/>
                      <w:divBdr>
                        <w:top w:val="none" w:sz="0" w:space="0" w:color="auto"/>
                        <w:left w:val="none" w:sz="0" w:space="0" w:color="auto"/>
                        <w:bottom w:val="none" w:sz="0" w:space="0" w:color="auto"/>
                        <w:right w:val="none" w:sz="0" w:space="0" w:color="auto"/>
                      </w:divBdr>
                    </w:div>
                    <w:div w:id="294143786">
                      <w:marLeft w:val="0"/>
                      <w:marRight w:val="0"/>
                      <w:marTop w:val="0"/>
                      <w:marBottom w:val="0"/>
                      <w:divBdr>
                        <w:top w:val="none" w:sz="0" w:space="0" w:color="auto"/>
                        <w:left w:val="none" w:sz="0" w:space="0" w:color="auto"/>
                        <w:bottom w:val="none" w:sz="0" w:space="0" w:color="auto"/>
                        <w:right w:val="none" w:sz="0" w:space="0" w:color="auto"/>
                      </w:divBdr>
                    </w:div>
                    <w:div w:id="294143824">
                      <w:marLeft w:val="0"/>
                      <w:marRight w:val="0"/>
                      <w:marTop w:val="0"/>
                      <w:marBottom w:val="0"/>
                      <w:divBdr>
                        <w:top w:val="none" w:sz="0" w:space="0" w:color="auto"/>
                        <w:left w:val="none" w:sz="0" w:space="0" w:color="auto"/>
                        <w:bottom w:val="none" w:sz="0" w:space="0" w:color="auto"/>
                        <w:right w:val="none" w:sz="0" w:space="0" w:color="auto"/>
                      </w:divBdr>
                    </w:div>
                    <w:div w:id="294143833">
                      <w:marLeft w:val="0"/>
                      <w:marRight w:val="0"/>
                      <w:marTop w:val="0"/>
                      <w:marBottom w:val="0"/>
                      <w:divBdr>
                        <w:top w:val="none" w:sz="0" w:space="0" w:color="auto"/>
                        <w:left w:val="none" w:sz="0" w:space="0" w:color="auto"/>
                        <w:bottom w:val="none" w:sz="0" w:space="0" w:color="auto"/>
                        <w:right w:val="none" w:sz="0" w:space="0" w:color="auto"/>
                      </w:divBdr>
                      <w:divsChild>
                        <w:div w:id="294146859">
                          <w:marLeft w:val="0"/>
                          <w:marRight w:val="0"/>
                          <w:marTop w:val="0"/>
                          <w:marBottom w:val="0"/>
                          <w:divBdr>
                            <w:top w:val="none" w:sz="0" w:space="0" w:color="auto"/>
                            <w:left w:val="none" w:sz="0" w:space="0" w:color="auto"/>
                            <w:bottom w:val="none" w:sz="0" w:space="0" w:color="auto"/>
                            <w:right w:val="none" w:sz="0" w:space="0" w:color="auto"/>
                          </w:divBdr>
                        </w:div>
                      </w:divsChild>
                    </w:div>
                    <w:div w:id="294143852">
                      <w:marLeft w:val="0"/>
                      <w:marRight w:val="0"/>
                      <w:marTop w:val="0"/>
                      <w:marBottom w:val="0"/>
                      <w:divBdr>
                        <w:top w:val="none" w:sz="0" w:space="0" w:color="auto"/>
                        <w:left w:val="none" w:sz="0" w:space="0" w:color="auto"/>
                        <w:bottom w:val="none" w:sz="0" w:space="0" w:color="auto"/>
                        <w:right w:val="none" w:sz="0" w:space="0" w:color="auto"/>
                      </w:divBdr>
                    </w:div>
                    <w:div w:id="294143906">
                      <w:marLeft w:val="0"/>
                      <w:marRight w:val="0"/>
                      <w:marTop w:val="0"/>
                      <w:marBottom w:val="0"/>
                      <w:divBdr>
                        <w:top w:val="none" w:sz="0" w:space="0" w:color="auto"/>
                        <w:left w:val="none" w:sz="0" w:space="0" w:color="auto"/>
                        <w:bottom w:val="none" w:sz="0" w:space="0" w:color="auto"/>
                        <w:right w:val="none" w:sz="0" w:space="0" w:color="auto"/>
                      </w:divBdr>
                    </w:div>
                    <w:div w:id="294143941">
                      <w:marLeft w:val="0"/>
                      <w:marRight w:val="0"/>
                      <w:marTop w:val="0"/>
                      <w:marBottom w:val="0"/>
                      <w:divBdr>
                        <w:top w:val="none" w:sz="0" w:space="0" w:color="auto"/>
                        <w:left w:val="none" w:sz="0" w:space="0" w:color="auto"/>
                        <w:bottom w:val="none" w:sz="0" w:space="0" w:color="auto"/>
                        <w:right w:val="none" w:sz="0" w:space="0" w:color="auto"/>
                      </w:divBdr>
                      <w:divsChild>
                        <w:div w:id="294152962">
                          <w:marLeft w:val="0"/>
                          <w:marRight w:val="0"/>
                          <w:marTop w:val="0"/>
                          <w:marBottom w:val="0"/>
                          <w:divBdr>
                            <w:top w:val="none" w:sz="0" w:space="0" w:color="auto"/>
                            <w:left w:val="none" w:sz="0" w:space="0" w:color="auto"/>
                            <w:bottom w:val="none" w:sz="0" w:space="0" w:color="auto"/>
                            <w:right w:val="none" w:sz="0" w:space="0" w:color="auto"/>
                          </w:divBdr>
                        </w:div>
                      </w:divsChild>
                    </w:div>
                    <w:div w:id="294144000">
                      <w:marLeft w:val="0"/>
                      <w:marRight w:val="0"/>
                      <w:marTop w:val="0"/>
                      <w:marBottom w:val="0"/>
                      <w:divBdr>
                        <w:top w:val="none" w:sz="0" w:space="0" w:color="auto"/>
                        <w:left w:val="none" w:sz="0" w:space="0" w:color="auto"/>
                        <w:bottom w:val="none" w:sz="0" w:space="0" w:color="auto"/>
                        <w:right w:val="none" w:sz="0" w:space="0" w:color="auto"/>
                      </w:divBdr>
                      <w:divsChild>
                        <w:div w:id="294149917">
                          <w:marLeft w:val="0"/>
                          <w:marRight w:val="0"/>
                          <w:marTop w:val="0"/>
                          <w:marBottom w:val="0"/>
                          <w:divBdr>
                            <w:top w:val="none" w:sz="0" w:space="0" w:color="auto"/>
                            <w:left w:val="none" w:sz="0" w:space="0" w:color="auto"/>
                            <w:bottom w:val="none" w:sz="0" w:space="0" w:color="auto"/>
                            <w:right w:val="none" w:sz="0" w:space="0" w:color="auto"/>
                          </w:divBdr>
                        </w:div>
                      </w:divsChild>
                    </w:div>
                    <w:div w:id="294144039">
                      <w:marLeft w:val="0"/>
                      <w:marRight w:val="0"/>
                      <w:marTop w:val="0"/>
                      <w:marBottom w:val="0"/>
                      <w:divBdr>
                        <w:top w:val="none" w:sz="0" w:space="0" w:color="auto"/>
                        <w:left w:val="none" w:sz="0" w:space="0" w:color="auto"/>
                        <w:bottom w:val="none" w:sz="0" w:space="0" w:color="auto"/>
                        <w:right w:val="none" w:sz="0" w:space="0" w:color="auto"/>
                      </w:divBdr>
                      <w:divsChild>
                        <w:div w:id="294144252">
                          <w:marLeft w:val="0"/>
                          <w:marRight w:val="0"/>
                          <w:marTop w:val="0"/>
                          <w:marBottom w:val="0"/>
                          <w:divBdr>
                            <w:top w:val="none" w:sz="0" w:space="0" w:color="auto"/>
                            <w:left w:val="none" w:sz="0" w:space="0" w:color="auto"/>
                            <w:bottom w:val="none" w:sz="0" w:space="0" w:color="auto"/>
                            <w:right w:val="none" w:sz="0" w:space="0" w:color="auto"/>
                          </w:divBdr>
                        </w:div>
                      </w:divsChild>
                    </w:div>
                    <w:div w:id="294144165">
                      <w:marLeft w:val="0"/>
                      <w:marRight w:val="0"/>
                      <w:marTop w:val="0"/>
                      <w:marBottom w:val="0"/>
                      <w:divBdr>
                        <w:top w:val="none" w:sz="0" w:space="0" w:color="auto"/>
                        <w:left w:val="none" w:sz="0" w:space="0" w:color="auto"/>
                        <w:bottom w:val="none" w:sz="0" w:space="0" w:color="auto"/>
                        <w:right w:val="none" w:sz="0" w:space="0" w:color="auto"/>
                      </w:divBdr>
                    </w:div>
                    <w:div w:id="294144278">
                      <w:marLeft w:val="0"/>
                      <w:marRight w:val="0"/>
                      <w:marTop w:val="0"/>
                      <w:marBottom w:val="0"/>
                      <w:divBdr>
                        <w:top w:val="none" w:sz="0" w:space="0" w:color="auto"/>
                        <w:left w:val="none" w:sz="0" w:space="0" w:color="auto"/>
                        <w:bottom w:val="none" w:sz="0" w:space="0" w:color="auto"/>
                        <w:right w:val="none" w:sz="0" w:space="0" w:color="auto"/>
                      </w:divBdr>
                    </w:div>
                    <w:div w:id="294144283">
                      <w:marLeft w:val="0"/>
                      <w:marRight w:val="0"/>
                      <w:marTop w:val="0"/>
                      <w:marBottom w:val="0"/>
                      <w:divBdr>
                        <w:top w:val="none" w:sz="0" w:space="0" w:color="auto"/>
                        <w:left w:val="none" w:sz="0" w:space="0" w:color="auto"/>
                        <w:bottom w:val="none" w:sz="0" w:space="0" w:color="auto"/>
                        <w:right w:val="none" w:sz="0" w:space="0" w:color="auto"/>
                      </w:divBdr>
                      <w:divsChild>
                        <w:div w:id="294149264">
                          <w:marLeft w:val="0"/>
                          <w:marRight w:val="0"/>
                          <w:marTop w:val="0"/>
                          <w:marBottom w:val="0"/>
                          <w:divBdr>
                            <w:top w:val="none" w:sz="0" w:space="0" w:color="auto"/>
                            <w:left w:val="none" w:sz="0" w:space="0" w:color="auto"/>
                            <w:bottom w:val="none" w:sz="0" w:space="0" w:color="auto"/>
                            <w:right w:val="none" w:sz="0" w:space="0" w:color="auto"/>
                          </w:divBdr>
                        </w:div>
                      </w:divsChild>
                    </w:div>
                    <w:div w:id="294144289">
                      <w:marLeft w:val="0"/>
                      <w:marRight w:val="0"/>
                      <w:marTop w:val="0"/>
                      <w:marBottom w:val="0"/>
                      <w:divBdr>
                        <w:top w:val="none" w:sz="0" w:space="0" w:color="auto"/>
                        <w:left w:val="none" w:sz="0" w:space="0" w:color="auto"/>
                        <w:bottom w:val="none" w:sz="0" w:space="0" w:color="auto"/>
                        <w:right w:val="none" w:sz="0" w:space="0" w:color="auto"/>
                      </w:divBdr>
                    </w:div>
                    <w:div w:id="294144294">
                      <w:marLeft w:val="0"/>
                      <w:marRight w:val="0"/>
                      <w:marTop w:val="0"/>
                      <w:marBottom w:val="0"/>
                      <w:divBdr>
                        <w:top w:val="none" w:sz="0" w:space="0" w:color="auto"/>
                        <w:left w:val="none" w:sz="0" w:space="0" w:color="auto"/>
                        <w:bottom w:val="none" w:sz="0" w:space="0" w:color="auto"/>
                        <w:right w:val="none" w:sz="0" w:space="0" w:color="auto"/>
                      </w:divBdr>
                    </w:div>
                    <w:div w:id="294144320">
                      <w:marLeft w:val="0"/>
                      <w:marRight w:val="0"/>
                      <w:marTop w:val="0"/>
                      <w:marBottom w:val="0"/>
                      <w:divBdr>
                        <w:top w:val="none" w:sz="0" w:space="0" w:color="auto"/>
                        <w:left w:val="none" w:sz="0" w:space="0" w:color="auto"/>
                        <w:bottom w:val="none" w:sz="0" w:space="0" w:color="auto"/>
                        <w:right w:val="none" w:sz="0" w:space="0" w:color="auto"/>
                      </w:divBdr>
                      <w:divsChild>
                        <w:div w:id="294151058">
                          <w:marLeft w:val="0"/>
                          <w:marRight w:val="0"/>
                          <w:marTop w:val="0"/>
                          <w:marBottom w:val="0"/>
                          <w:divBdr>
                            <w:top w:val="none" w:sz="0" w:space="0" w:color="auto"/>
                            <w:left w:val="none" w:sz="0" w:space="0" w:color="auto"/>
                            <w:bottom w:val="none" w:sz="0" w:space="0" w:color="auto"/>
                            <w:right w:val="none" w:sz="0" w:space="0" w:color="auto"/>
                          </w:divBdr>
                        </w:div>
                      </w:divsChild>
                    </w:div>
                    <w:div w:id="294144367">
                      <w:marLeft w:val="0"/>
                      <w:marRight w:val="0"/>
                      <w:marTop w:val="0"/>
                      <w:marBottom w:val="0"/>
                      <w:divBdr>
                        <w:top w:val="none" w:sz="0" w:space="0" w:color="auto"/>
                        <w:left w:val="none" w:sz="0" w:space="0" w:color="auto"/>
                        <w:bottom w:val="none" w:sz="0" w:space="0" w:color="auto"/>
                        <w:right w:val="none" w:sz="0" w:space="0" w:color="auto"/>
                      </w:divBdr>
                      <w:divsChild>
                        <w:div w:id="294141563">
                          <w:marLeft w:val="0"/>
                          <w:marRight w:val="0"/>
                          <w:marTop w:val="0"/>
                          <w:marBottom w:val="0"/>
                          <w:divBdr>
                            <w:top w:val="none" w:sz="0" w:space="0" w:color="auto"/>
                            <w:left w:val="none" w:sz="0" w:space="0" w:color="auto"/>
                            <w:bottom w:val="none" w:sz="0" w:space="0" w:color="auto"/>
                            <w:right w:val="none" w:sz="0" w:space="0" w:color="auto"/>
                          </w:divBdr>
                        </w:div>
                      </w:divsChild>
                    </w:div>
                    <w:div w:id="294144409">
                      <w:marLeft w:val="0"/>
                      <w:marRight w:val="0"/>
                      <w:marTop w:val="0"/>
                      <w:marBottom w:val="0"/>
                      <w:divBdr>
                        <w:top w:val="none" w:sz="0" w:space="0" w:color="auto"/>
                        <w:left w:val="none" w:sz="0" w:space="0" w:color="auto"/>
                        <w:bottom w:val="none" w:sz="0" w:space="0" w:color="auto"/>
                        <w:right w:val="none" w:sz="0" w:space="0" w:color="auto"/>
                      </w:divBdr>
                    </w:div>
                    <w:div w:id="294144438">
                      <w:marLeft w:val="0"/>
                      <w:marRight w:val="0"/>
                      <w:marTop w:val="0"/>
                      <w:marBottom w:val="0"/>
                      <w:divBdr>
                        <w:top w:val="none" w:sz="0" w:space="0" w:color="auto"/>
                        <w:left w:val="none" w:sz="0" w:space="0" w:color="auto"/>
                        <w:bottom w:val="none" w:sz="0" w:space="0" w:color="auto"/>
                        <w:right w:val="none" w:sz="0" w:space="0" w:color="auto"/>
                      </w:divBdr>
                      <w:divsChild>
                        <w:div w:id="294151003">
                          <w:marLeft w:val="0"/>
                          <w:marRight w:val="0"/>
                          <w:marTop w:val="0"/>
                          <w:marBottom w:val="0"/>
                          <w:divBdr>
                            <w:top w:val="none" w:sz="0" w:space="0" w:color="auto"/>
                            <w:left w:val="none" w:sz="0" w:space="0" w:color="auto"/>
                            <w:bottom w:val="none" w:sz="0" w:space="0" w:color="auto"/>
                            <w:right w:val="none" w:sz="0" w:space="0" w:color="auto"/>
                          </w:divBdr>
                        </w:div>
                      </w:divsChild>
                    </w:div>
                    <w:div w:id="294144523">
                      <w:marLeft w:val="0"/>
                      <w:marRight w:val="0"/>
                      <w:marTop w:val="0"/>
                      <w:marBottom w:val="0"/>
                      <w:divBdr>
                        <w:top w:val="none" w:sz="0" w:space="0" w:color="auto"/>
                        <w:left w:val="none" w:sz="0" w:space="0" w:color="auto"/>
                        <w:bottom w:val="none" w:sz="0" w:space="0" w:color="auto"/>
                        <w:right w:val="none" w:sz="0" w:space="0" w:color="auto"/>
                      </w:divBdr>
                      <w:divsChild>
                        <w:div w:id="294153639">
                          <w:marLeft w:val="0"/>
                          <w:marRight w:val="0"/>
                          <w:marTop w:val="0"/>
                          <w:marBottom w:val="0"/>
                          <w:divBdr>
                            <w:top w:val="none" w:sz="0" w:space="0" w:color="auto"/>
                            <w:left w:val="none" w:sz="0" w:space="0" w:color="auto"/>
                            <w:bottom w:val="none" w:sz="0" w:space="0" w:color="auto"/>
                            <w:right w:val="none" w:sz="0" w:space="0" w:color="auto"/>
                          </w:divBdr>
                        </w:div>
                      </w:divsChild>
                    </w:div>
                    <w:div w:id="294144586">
                      <w:marLeft w:val="0"/>
                      <w:marRight w:val="0"/>
                      <w:marTop w:val="0"/>
                      <w:marBottom w:val="0"/>
                      <w:divBdr>
                        <w:top w:val="none" w:sz="0" w:space="0" w:color="auto"/>
                        <w:left w:val="none" w:sz="0" w:space="0" w:color="auto"/>
                        <w:bottom w:val="none" w:sz="0" w:space="0" w:color="auto"/>
                        <w:right w:val="none" w:sz="0" w:space="0" w:color="auto"/>
                      </w:divBdr>
                      <w:divsChild>
                        <w:div w:id="294143511">
                          <w:marLeft w:val="0"/>
                          <w:marRight w:val="0"/>
                          <w:marTop w:val="0"/>
                          <w:marBottom w:val="0"/>
                          <w:divBdr>
                            <w:top w:val="none" w:sz="0" w:space="0" w:color="auto"/>
                            <w:left w:val="none" w:sz="0" w:space="0" w:color="auto"/>
                            <w:bottom w:val="none" w:sz="0" w:space="0" w:color="auto"/>
                            <w:right w:val="none" w:sz="0" w:space="0" w:color="auto"/>
                          </w:divBdr>
                        </w:div>
                      </w:divsChild>
                    </w:div>
                    <w:div w:id="294144610">
                      <w:marLeft w:val="0"/>
                      <w:marRight w:val="0"/>
                      <w:marTop w:val="0"/>
                      <w:marBottom w:val="0"/>
                      <w:divBdr>
                        <w:top w:val="none" w:sz="0" w:space="0" w:color="auto"/>
                        <w:left w:val="none" w:sz="0" w:space="0" w:color="auto"/>
                        <w:bottom w:val="none" w:sz="0" w:space="0" w:color="auto"/>
                        <w:right w:val="none" w:sz="0" w:space="0" w:color="auto"/>
                      </w:divBdr>
                      <w:divsChild>
                        <w:div w:id="294147556">
                          <w:marLeft w:val="0"/>
                          <w:marRight w:val="0"/>
                          <w:marTop w:val="0"/>
                          <w:marBottom w:val="0"/>
                          <w:divBdr>
                            <w:top w:val="none" w:sz="0" w:space="0" w:color="auto"/>
                            <w:left w:val="none" w:sz="0" w:space="0" w:color="auto"/>
                            <w:bottom w:val="none" w:sz="0" w:space="0" w:color="auto"/>
                            <w:right w:val="none" w:sz="0" w:space="0" w:color="auto"/>
                          </w:divBdr>
                        </w:div>
                      </w:divsChild>
                    </w:div>
                    <w:div w:id="294144643">
                      <w:marLeft w:val="0"/>
                      <w:marRight w:val="0"/>
                      <w:marTop w:val="0"/>
                      <w:marBottom w:val="0"/>
                      <w:divBdr>
                        <w:top w:val="none" w:sz="0" w:space="0" w:color="auto"/>
                        <w:left w:val="none" w:sz="0" w:space="0" w:color="auto"/>
                        <w:bottom w:val="none" w:sz="0" w:space="0" w:color="auto"/>
                        <w:right w:val="none" w:sz="0" w:space="0" w:color="auto"/>
                      </w:divBdr>
                      <w:divsChild>
                        <w:div w:id="294139582">
                          <w:marLeft w:val="0"/>
                          <w:marRight w:val="0"/>
                          <w:marTop w:val="0"/>
                          <w:marBottom w:val="0"/>
                          <w:divBdr>
                            <w:top w:val="none" w:sz="0" w:space="0" w:color="auto"/>
                            <w:left w:val="none" w:sz="0" w:space="0" w:color="auto"/>
                            <w:bottom w:val="none" w:sz="0" w:space="0" w:color="auto"/>
                            <w:right w:val="none" w:sz="0" w:space="0" w:color="auto"/>
                          </w:divBdr>
                        </w:div>
                      </w:divsChild>
                    </w:div>
                    <w:div w:id="294144649">
                      <w:marLeft w:val="0"/>
                      <w:marRight w:val="0"/>
                      <w:marTop w:val="0"/>
                      <w:marBottom w:val="0"/>
                      <w:divBdr>
                        <w:top w:val="none" w:sz="0" w:space="0" w:color="auto"/>
                        <w:left w:val="none" w:sz="0" w:space="0" w:color="auto"/>
                        <w:bottom w:val="none" w:sz="0" w:space="0" w:color="auto"/>
                        <w:right w:val="none" w:sz="0" w:space="0" w:color="auto"/>
                      </w:divBdr>
                      <w:divsChild>
                        <w:div w:id="294148171">
                          <w:marLeft w:val="0"/>
                          <w:marRight w:val="0"/>
                          <w:marTop w:val="0"/>
                          <w:marBottom w:val="0"/>
                          <w:divBdr>
                            <w:top w:val="none" w:sz="0" w:space="0" w:color="auto"/>
                            <w:left w:val="none" w:sz="0" w:space="0" w:color="auto"/>
                            <w:bottom w:val="none" w:sz="0" w:space="0" w:color="auto"/>
                            <w:right w:val="none" w:sz="0" w:space="0" w:color="auto"/>
                          </w:divBdr>
                        </w:div>
                      </w:divsChild>
                    </w:div>
                    <w:div w:id="294144758">
                      <w:marLeft w:val="0"/>
                      <w:marRight w:val="0"/>
                      <w:marTop w:val="0"/>
                      <w:marBottom w:val="0"/>
                      <w:divBdr>
                        <w:top w:val="none" w:sz="0" w:space="0" w:color="auto"/>
                        <w:left w:val="none" w:sz="0" w:space="0" w:color="auto"/>
                        <w:bottom w:val="none" w:sz="0" w:space="0" w:color="auto"/>
                        <w:right w:val="none" w:sz="0" w:space="0" w:color="auto"/>
                      </w:divBdr>
                    </w:div>
                    <w:div w:id="294144838">
                      <w:marLeft w:val="0"/>
                      <w:marRight w:val="0"/>
                      <w:marTop w:val="0"/>
                      <w:marBottom w:val="0"/>
                      <w:divBdr>
                        <w:top w:val="none" w:sz="0" w:space="0" w:color="auto"/>
                        <w:left w:val="none" w:sz="0" w:space="0" w:color="auto"/>
                        <w:bottom w:val="none" w:sz="0" w:space="0" w:color="auto"/>
                        <w:right w:val="none" w:sz="0" w:space="0" w:color="auto"/>
                      </w:divBdr>
                      <w:divsChild>
                        <w:div w:id="294151612">
                          <w:marLeft w:val="0"/>
                          <w:marRight w:val="0"/>
                          <w:marTop w:val="0"/>
                          <w:marBottom w:val="0"/>
                          <w:divBdr>
                            <w:top w:val="none" w:sz="0" w:space="0" w:color="auto"/>
                            <w:left w:val="none" w:sz="0" w:space="0" w:color="auto"/>
                            <w:bottom w:val="none" w:sz="0" w:space="0" w:color="auto"/>
                            <w:right w:val="none" w:sz="0" w:space="0" w:color="auto"/>
                          </w:divBdr>
                        </w:div>
                      </w:divsChild>
                    </w:div>
                    <w:div w:id="294144854">
                      <w:marLeft w:val="0"/>
                      <w:marRight w:val="0"/>
                      <w:marTop w:val="0"/>
                      <w:marBottom w:val="0"/>
                      <w:divBdr>
                        <w:top w:val="none" w:sz="0" w:space="0" w:color="auto"/>
                        <w:left w:val="none" w:sz="0" w:space="0" w:color="auto"/>
                        <w:bottom w:val="none" w:sz="0" w:space="0" w:color="auto"/>
                        <w:right w:val="none" w:sz="0" w:space="0" w:color="auto"/>
                      </w:divBdr>
                      <w:divsChild>
                        <w:div w:id="294138896">
                          <w:marLeft w:val="0"/>
                          <w:marRight w:val="0"/>
                          <w:marTop w:val="0"/>
                          <w:marBottom w:val="0"/>
                          <w:divBdr>
                            <w:top w:val="none" w:sz="0" w:space="0" w:color="auto"/>
                            <w:left w:val="none" w:sz="0" w:space="0" w:color="auto"/>
                            <w:bottom w:val="none" w:sz="0" w:space="0" w:color="auto"/>
                            <w:right w:val="none" w:sz="0" w:space="0" w:color="auto"/>
                          </w:divBdr>
                        </w:div>
                      </w:divsChild>
                    </w:div>
                    <w:div w:id="294144867">
                      <w:marLeft w:val="0"/>
                      <w:marRight w:val="0"/>
                      <w:marTop w:val="0"/>
                      <w:marBottom w:val="0"/>
                      <w:divBdr>
                        <w:top w:val="none" w:sz="0" w:space="0" w:color="auto"/>
                        <w:left w:val="none" w:sz="0" w:space="0" w:color="auto"/>
                        <w:bottom w:val="none" w:sz="0" w:space="0" w:color="auto"/>
                        <w:right w:val="none" w:sz="0" w:space="0" w:color="auto"/>
                      </w:divBdr>
                      <w:divsChild>
                        <w:div w:id="294151882">
                          <w:marLeft w:val="0"/>
                          <w:marRight w:val="0"/>
                          <w:marTop w:val="0"/>
                          <w:marBottom w:val="0"/>
                          <w:divBdr>
                            <w:top w:val="none" w:sz="0" w:space="0" w:color="auto"/>
                            <w:left w:val="none" w:sz="0" w:space="0" w:color="auto"/>
                            <w:bottom w:val="none" w:sz="0" w:space="0" w:color="auto"/>
                            <w:right w:val="none" w:sz="0" w:space="0" w:color="auto"/>
                          </w:divBdr>
                        </w:div>
                      </w:divsChild>
                    </w:div>
                    <w:div w:id="294144882">
                      <w:marLeft w:val="0"/>
                      <w:marRight w:val="0"/>
                      <w:marTop w:val="0"/>
                      <w:marBottom w:val="0"/>
                      <w:divBdr>
                        <w:top w:val="none" w:sz="0" w:space="0" w:color="auto"/>
                        <w:left w:val="none" w:sz="0" w:space="0" w:color="auto"/>
                        <w:bottom w:val="none" w:sz="0" w:space="0" w:color="auto"/>
                        <w:right w:val="none" w:sz="0" w:space="0" w:color="auto"/>
                      </w:divBdr>
                      <w:divsChild>
                        <w:div w:id="294148214">
                          <w:marLeft w:val="0"/>
                          <w:marRight w:val="0"/>
                          <w:marTop w:val="0"/>
                          <w:marBottom w:val="0"/>
                          <w:divBdr>
                            <w:top w:val="none" w:sz="0" w:space="0" w:color="auto"/>
                            <w:left w:val="none" w:sz="0" w:space="0" w:color="auto"/>
                            <w:bottom w:val="none" w:sz="0" w:space="0" w:color="auto"/>
                            <w:right w:val="none" w:sz="0" w:space="0" w:color="auto"/>
                          </w:divBdr>
                        </w:div>
                      </w:divsChild>
                    </w:div>
                    <w:div w:id="294144913">
                      <w:marLeft w:val="0"/>
                      <w:marRight w:val="0"/>
                      <w:marTop w:val="0"/>
                      <w:marBottom w:val="0"/>
                      <w:divBdr>
                        <w:top w:val="none" w:sz="0" w:space="0" w:color="auto"/>
                        <w:left w:val="none" w:sz="0" w:space="0" w:color="auto"/>
                        <w:bottom w:val="none" w:sz="0" w:space="0" w:color="auto"/>
                        <w:right w:val="none" w:sz="0" w:space="0" w:color="auto"/>
                      </w:divBdr>
                    </w:div>
                    <w:div w:id="294144922">
                      <w:marLeft w:val="0"/>
                      <w:marRight w:val="0"/>
                      <w:marTop w:val="0"/>
                      <w:marBottom w:val="0"/>
                      <w:divBdr>
                        <w:top w:val="none" w:sz="0" w:space="0" w:color="auto"/>
                        <w:left w:val="none" w:sz="0" w:space="0" w:color="auto"/>
                        <w:bottom w:val="none" w:sz="0" w:space="0" w:color="auto"/>
                        <w:right w:val="none" w:sz="0" w:space="0" w:color="auto"/>
                      </w:divBdr>
                    </w:div>
                    <w:div w:id="294144935">
                      <w:marLeft w:val="0"/>
                      <w:marRight w:val="0"/>
                      <w:marTop w:val="0"/>
                      <w:marBottom w:val="0"/>
                      <w:divBdr>
                        <w:top w:val="none" w:sz="0" w:space="0" w:color="auto"/>
                        <w:left w:val="none" w:sz="0" w:space="0" w:color="auto"/>
                        <w:bottom w:val="none" w:sz="0" w:space="0" w:color="auto"/>
                        <w:right w:val="none" w:sz="0" w:space="0" w:color="auto"/>
                      </w:divBdr>
                    </w:div>
                    <w:div w:id="294144979">
                      <w:marLeft w:val="0"/>
                      <w:marRight w:val="0"/>
                      <w:marTop w:val="0"/>
                      <w:marBottom w:val="0"/>
                      <w:divBdr>
                        <w:top w:val="none" w:sz="0" w:space="0" w:color="auto"/>
                        <w:left w:val="none" w:sz="0" w:space="0" w:color="auto"/>
                        <w:bottom w:val="none" w:sz="0" w:space="0" w:color="auto"/>
                        <w:right w:val="none" w:sz="0" w:space="0" w:color="auto"/>
                      </w:divBdr>
                    </w:div>
                    <w:div w:id="294144995">
                      <w:marLeft w:val="0"/>
                      <w:marRight w:val="0"/>
                      <w:marTop w:val="0"/>
                      <w:marBottom w:val="0"/>
                      <w:divBdr>
                        <w:top w:val="none" w:sz="0" w:space="0" w:color="auto"/>
                        <w:left w:val="none" w:sz="0" w:space="0" w:color="auto"/>
                        <w:bottom w:val="none" w:sz="0" w:space="0" w:color="auto"/>
                        <w:right w:val="none" w:sz="0" w:space="0" w:color="auto"/>
                      </w:divBdr>
                      <w:divsChild>
                        <w:div w:id="294152256">
                          <w:marLeft w:val="0"/>
                          <w:marRight w:val="0"/>
                          <w:marTop w:val="0"/>
                          <w:marBottom w:val="0"/>
                          <w:divBdr>
                            <w:top w:val="none" w:sz="0" w:space="0" w:color="auto"/>
                            <w:left w:val="none" w:sz="0" w:space="0" w:color="auto"/>
                            <w:bottom w:val="none" w:sz="0" w:space="0" w:color="auto"/>
                            <w:right w:val="none" w:sz="0" w:space="0" w:color="auto"/>
                          </w:divBdr>
                        </w:div>
                      </w:divsChild>
                    </w:div>
                    <w:div w:id="294145029">
                      <w:marLeft w:val="0"/>
                      <w:marRight w:val="0"/>
                      <w:marTop w:val="0"/>
                      <w:marBottom w:val="0"/>
                      <w:divBdr>
                        <w:top w:val="none" w:sz="0" w:space="0" w:color="auto"/>
                        <w:left w:val="none" w:sz="0" w:space="0" w:color="auto"/>
                        <w:bottom w:val="none" w:sz="0" w:space="0" w:color="auto"/>
                        <w:right w:val="none" w:sz="0" w:space="0" w:color="auto"/>
                      </w:divBdr>
                    </w:div>
                    <w:div w:id="294145057">
                      <w:marLeft w:val="0"/>
                      <w:marRight w:val="0"/>
                      <w:marTop w:val="0"/>
                      <w:marBottom w:val="0"/>
                      <w:divBdr>
                        <w:top w:val="none" w:sz="0" w:space="0" w:color="auto"/>
                        <w:left w:val="none" w:sz="0" w:space="0" w:color="auto"/>
                        <w:bottom w:val="none" w:sz="0" w:space="0" w:color="auto"/>
                        <w:right w:val="none" w:sz="0" w:space="0" w:color="auto"/>
                      </w:divBdr>
                      <w:divsChild>
                        <w:div w:id="294140171">
                          <w:marLeft w:val="0"/>
                          <w:marRight w:val="0"/>
                          <w:marTop w:val="0"/>
                          <w:marBottom w:val="0"/>
                          <w:divBdr>
                            <w:top w:val="none" w:sz="0" w:space="0" w:color="auto"/>
                            <w:left w:val="none" w:sz="0" w:space="0" w:color="auto"/>
                            <w:bottom w:val="none" w:sz="0" w:space="0" w:color="auto"/>
                            <w:right w:val="none" w:sz="0" w:space="0" w:color="auto"/>
                          </w:divBdr>
                        </w:div>
                      </w:divsChild>
                    </w:div>
                    <w:div w:id="294145095">
                      <w:marLeft w:val="0"/>
                      <w:marRight w:val="0"/>
                      <w:marTop w:val="0"/>
                      <w:marBottom w:val="0"/>
                      <w:divBdr>
                        <w:top w:val="none" w:sz="0" w:space="0" w:color="auto"/>
                        <w:left w:val="none" w:sz="0" w:space="0" w:color="auto"/>
                        <w:bottom w:val="none" w:sz="0" w:space="0" w:color="auto"/>
                        <w:right w:val="none" w:sz="0" w:space="0" w:color="auto"/>
                      </w:divBdr>
                      <w:divsChild>
                        <w:div w:id="294148461">
                          <w:marLeft w:val="0"/>
                          <w:marRight w:val="0"/>
                          <w:marTop w:val="0"/>
                          <w:marBottom w:val="0"/>
                          <w:divBdr>
                            <w:top w:val="none" w:sz="0" w:space="0" w:color="auto"/>
                            <w:left w:val="none" w:sz="0" w:space="0" w:color="auto"/>
                            <w:bottom w:val="none" w:sz="0" w:space="0" w:color="auto"/>
                            <w:right w:val="none" w:sz="0" w:space="0" w:color="auto"/>
                          </w:divBdr>
                        </w:div>
                      </w:divsChild>
                    </w:div>
                    <w:div w:id="294145117">
                      <w:marLeft w:val="0"/>
                      <w:marRight w:val="0"/>
                      <w:marTop w:val="0"/>
                      <w:marBottom w:val="0"/>
                      <w:divBdr>
                        <w:top w:val="none" w:sz="0" w:space="0" w:color="auto"/>
                        <w:left w:val="none" w:sz="0" w:space="0" w:color="auto"/>
                        <w:bottom w:val="none" w:sz="0" w:space="0" w:color="auto"/>
                        <w:right w:val="none" w:sz="0" w:space="0" w:color="auto"/>
                      </w:divBdr>
                    </w:div>
                    <w:div w:id="294145171">
                      <w:marLeft w:val="0"/>
                      <w:marRight w:val="0"/>
                      <w:marTop w:val="0"/>
                      <w:marBottom w:val="0"/>
                      <w:divBdr>
                        <w:top w:val="none" w:sz="0" w:space="0" w:color="auto"/>
                        <w:left w:val="none" w:sz="0" w:space="0" w:color="auto"/>
                        <w:bottom w:val="none" w:sz="0" w:space="0" w:color="auto"/>
                        <w:right w:val="none" w:sz="0" w:space="0" w:color="auto"/>
                      </w:divBdr>
                      <w:divsChild>
                        <w:div w:id="294138783">
                          <w:marLeft w:val="0"/>
                          <w:marRight w:val="0"/>
                          <w:marTop w:val="0"/>
                          <w:marBottom w:val="0"/>
                          <w:divBdr>
                            <w:top w:val="none" w:sz="0" w:space="0" w:color="auto"/>
                            <w:left w:val="none" w:sz="0" w:space="0" w:color="auto"/>
                            <w:bottom w:val="none" w:sz="0" w:space="0" w:color="auto"/>
                            <w:right w:val="none" w:sz="0" w:space="0" w:color="auto"/>
                          </w:divBdr>
                        </w:div>
                      </w:divsChild>
                    </w:div>
                    <w:div w:id="294145229">
                      <w:marLeft w:val="0"/>
                      <w:marRight w:val="0"/>
                      <w:marTop w:val="0"/>
                      <w:marBottom w:val="0"/>
                      <w:divBdr>
                        <w:top w:val="none" w:sz="0" w:space="0" w:color="auto"/>
                        <w:left w:val="none" w:sz="0" w:space="0" w:color="auto"/>
                        <w:bottom w:val="none" w:sz="0" w:space="0" w:color="auto"/>
                        <w:right w:val="none" w:sz="0" w:space="0" w:color="auto"/>
                      </w:divBdr>
                    </w:div>
                    <w:div w:id="294145243">
                      <w:marLeft w:val="0"/>
                      <w:marRight w:val="0"/>
                      <w:marTop w:val="0"/>
                      <w:marBottom w:val="0"/>
                      <w:divBdr>
                        <w:top w:val="none" w:sz="0" w:space="0" w:color="auto"/>
                        <w:left w:val="none" w:sz="0" w:space="0" w:color="auto"/>
                        <w:bottom w:val="none" w:sz="0" w:space="0" w:color="auto"/>
                        <w:right w:val="none" w:sz="0" w:space="0" w:color="auto"/>
                      </w:divBdr>
                    </w:div>
                    <w:div w:id="294145354">
                      <w:marLeft w:val="0"/>
                      <w:marRight w:val="0"/>
                      <w:marTop w:val="0"/>
                      <w:marBottom w:val="0"/>
                      <w:divBdr>
                        <w:top w:val="none" w:sz="0" w:space="0" w:color="auto"/>
                        <w:left w:val="none" w:sz="0" w:space="0" w:color="auto"/>
                        <w:bottom w:val="none" w:sz="0" w:space="0" w:color="auto"/>
                        <w:right w:val="none" w:sz="0" w:space="0" w:color="auto"/>
                      </w:divBdr>
                    </w:div>
                    <w:div w:id="294145439">
                      <w:marLeft w:val="0"/>
                      <w:marRight w:val="0"/>
                      <w:marTop w:val="0"/>
                      <w:marBottom w:val="0"/>
                      <w:divBdr>
                        <w:top w:val="none" w:sz="0" w:space="0" w:color="auto"/>
                        <w:left w:val="none" w:sz="0" w:space="0" w:color="auto"/>
                        <w:bottom w:val="none" w:sz="0" w:space="0" w:color="auto"/>
                        <w:right w:val="none" w:sz="0" w:space="0" w:color="auto"/>
                      </w:divBdr>
                    </w:div>
                    <w:div w:id="294145476">
                      <w:marLeft w:val="0"/>
                      <w:marRight w:val="0"/>
                      <w:marTop w:val="0"/>
                      <w:marBottom w:val="0"/>
                      <w:divBdr>
                        <w:top w:val="none" w:sz="0" w:space="0" w:color="auto"/>
                        <w:left w:val="none" w:sz="0" w:space="0" w:color="auto"/>
                        <w:bottom w:val="none" w:sz="0" w:space="0" w:color="auto"/>
                        <w:right w:val="none" w:sz="0" w:space="0" w:color="auto"/>
                      </w:divBdr>
                    </w:div>
                    <w:div w:id="294145480">
                      <w:marLeft w:val="0"/>
                      <w:marRight w:val="0"/>
                      <w:marTop w:val="0"/>
                      <w:marBottom w:val="0"/>
                      <w:divBdr>
                        <w:top w:val="none" w:sz="0" w:space="0" w:color="auto"/>
                        <w:left w:val="none" w:sz="0" w:space="0" w:color="auto"/>
                        <w:bottom w:val="none" w:sz="0" w:space="0" w:color="auto"/>
                        <w:right w:val="none" w:sz="0" w:space="0" w:color="auto"/>
                      </w:divBdr>
                    </w:div>
                    <w:div w:id="294145525">
                      <w:marLeft w:val="0"/>
                      <w:marRight w:val="0"/>
                      <w:marTop w:val="0"/>
                      <w:marBottom w:val="0"/>
                      <w:divBdr>
                        <w:top w:val="none" w:sz="0" w:space="0" w:color="auto"/>
                        <w:left w:val="none" w:sz="0" w:space="0" w:color="auto"/>
                        <w:bottom w:val="none" w:sz="0" w:space="0" w:color="auto"/>
                        <w:right w:val="none" w:sz="0" w:space="0" w:color="auto"/>
                      </w:divBdr>
                    </w:div>
                    <w:div w:id="294145536">
                      <w:marLeft w:val="0"/>
                      <w:marRight w:val="0"/>
                      <w:marTop w:val="0"/>
                      <w:marBottom w:val="0"/>
                      <w:divBdr>
                        <w:top w:val="none" w:sz="0" w:space="0" w:color="auto"/>
                        <w:left w:val="none" w:sz="0" w:space="0" w:color="auto"/>
                        <w:bottom w:val="none" w:sz="0" w:space="0" w:color="auto"/>
                        <w:right w:val="none" w:sz="0" w:space="0" w:color="auto"/>
                      </w:divBdr>
                    </w:div>
                    <w:div w:id="294145585">
                      <w:marLeft w:val="0"/>
                      <w:marRight w:val="0"/>
                      <w:marTop w:val="0"/>
                      <w:marBottom w:val="0"/>
                      <w:divBdr>
                        <w:top w:val="none" w:sz="0" w:space="0" w:color="auto"/>
                        <w:left w:val="none" w:sz="0" w:space="0" w:color="auto"/>
                        <w:bottom w:val="none" w:sz="0" w:space="0" w:color="auto"/>
                        <w:right w:val="none" w:sz="0" w:space="0" w:color="auto"/>
                      </w:divBdr>
                      <w:divsChild>
                        <w:div w:id="294146402">
                          <w:marLeft w:val="0"/>
                          <w:marRight w:val="0"/>
                          <w:marTop w:val="0"/>
                          <w:marBottom w:val="0"/>
                          <w:divBdr>
                            <w:top w:val="none" w:sz="0" w:space="0" w:color="auto"/>
                            <w:left w:val="none" w:sz="0" w:space="0" w:color="auto"/>
                            <w:bottom w:val="none" w:sz="0" w:space="0" w:color="auto"/>
                            <w:right w:val="none" w:sz="0" w:space="0" w:color="auto"/>
                          </w:divBdr>
                        </w:div>
                      </w:divsChild>
                    </w:div>
                    <w:div w:id="294145637">
                      <w:marLeft w:val="0"/>
                      <w:marRight w:val="0"/>
                      <w:marTop w:val="0"/>
                      <w:marBottom w:val="0"/>
                      <w:divBdr>
                        <w:top w:val="none" w:sz="0" w:space="0" w:color="auto"/>
                        <w:left w:val="none" w:sz="0" w:space="0" w:color="auto"/>
                        <w:bottom w:val="none" w:sz="0" w:space="0" w:color="auto"/>
                        <w:right w:val="none" w:sz="0" w:space="0" w:color="auto"/>
                      </w:divBdr>
                    </w:div>
                    <w:div w:id="294145710">
                      <w:marLeft w:val="0"/>
                      <w:marRight w:val="0"/>
                      <w:marTop w:val="0"/>
                      <w:marBottom w:val="0"/>
                      <w:divBdr>
                        <w:top w:val="none" w:sz="0" w:space="0" w:color="auto"/>
                        <w:left w:val="none" w:sz="0" w:space="0" w:color="auto"/>
                        <w:bottom w:val="none" w:sz="0" w:space="0" w:color="auto"/>
                        <w:right w:val="none" w:sz="0" w:space="0" w:color="auto"/>
                      </w:divBdr>
                    </w:div>
                    <w:div w:id="294145966">
                      <w:marLeft w:val="0"/>
                      <w:marRight w:val="0"/>
                      <w:marTop w:val="0"/>
                      <w:marBottom w:val="0"/>
                      <w:divBdr>
                        <w:top w:val="none" w:sz="0" w:space="0" w:color="auto"/>
                        <w:left w:val="none" w:sz="0" w:space="0" w:color="auto"/>
                        <w:bottom w:val="none" w:sz="0" w:space="0" w:color="auto"/>
                        <w:right w:val="none" w:sz="0" w:space="0" w:color="auto"/>
                      </w:divBdr>
                    </w:div>
                    <w:div w:id="294145986">
                      <w:marLeft w:val="0"/>
                      <w:marRight w:val="0"/>
                      <w:marTop w:val="0"/>
                      <w:marBottom w:val="0"/>
                      <w:divBdr>
                        <w:top w:val="none" w:sz="0" w:space="0" w:color="auto"/>
                        <w:left w:val="none" w:sz="0" w:space="0" w:color="auto"/>
                        <w:bottom w:val="none" w:sz="0" w:space="0" w:color="auto"/>
                        <w:right w:val="none" w:sz="0" w:space="0" w:color="auto"/>
                      </w:divBdr>
                      <w:divsChild>
                        <w:div w:id="294140389">
                          <w:marLeft w:val="0"/>
                          <w:marRight w:val="0"/>
                          <w:marTop w:val="0"/>
                          <w:marBottom w:val="0"/>
                          <w:divBdr>
                            <w:top w:val="none" w:sz="0" w:space="0" w:color="auto"/>
                            <w:left w:val="none" w:sz="0" w:space="0" w:color="auto"/>
                            <w:bottom w:val="none" w:sz="0" w:space="0" w:color="auto"/>
                            <w:right w:val="none" w:sz="0" w:space="0" w:color="auto"/>
                          </w:divBdr>
                        </w:div>
                      </w:divsChild>
                    </w:div>
                    <w:div w:id="294145995">
                      <w:marLeft w:val="0"/>
                      <w:marRight w:val="0"/>
                      <w:marTop w:val="0"/>
                      <w:marBottom w:val="0"/>
                      <w:divBdr>
                        <w:top w:val="none" w:sz="0" w:space="0" w:color="auto"/>
                        <w:left w:val="none" w:sz="0" w:space="0" w:color="auto"/>
                        <w:bottom w:val="none" w:sz="0" w:space="0" w:color="auto"/>
                        <w:right w:val="none" w:sz="0" w:space="0" w:color="auto"/>
                      </w:divBdr>
                      <w:divsChild>
                        <w:div w:id="294152845">
                          <w:marLeft w:val="0"/>
                          <w:marRight w:val="0"/>
                          <w:marTop w:val="0"/>
                          <w:marBottom w:val="0"/>
                          <w:divBdr>
                            <w:top w:val="none" w:sz="0" w:space="0" w:color="auto"/>
                            <w:left w:val="none" w:sz="0" w:space="0" w:color="auto"/>
                            <w:bottom w:val="none" w:sz="0" w:space="0" w:color="auto"/>
                            <w:right w:val="none" w:sz="0" w:space="0" w:color="auto"/>
                          </w:divBdr>
                        </w:div>
                      </w:divsChild>
                    </w:div>
                    <w:div w:id="294146032">
                      <w:marLeft w:val="0"/>
                      <w:marRight w:val="0"/>
                      <w:marTop w:val="0"/>
                      <w:marBottom w:val="0"/>
                      <w:divBdr>
                        <w:top w:val="none" w:sz="0" w:space="0" w:color="auto"/>
                        <w:left w:val="none" w:sz="0" w:space="0" w:color="auto"/>
                        <w:bottom w:val="none" w:sz="0" w:space="0" w:color="auto"/>
                        <w:right w:val="none" w:sz="0" w:space="0" w:color="auto"/>
                      </w:divBdr>
                    </w:div>
                    <w:div w:id="294146057">
                      <w:marLeft w:val="0"/>
                      <w:marRight w:val="0"/>
                      <w:marTop w:val="0"/>
                      <w:marBottom w:val="0"/>
                      <w:divBdr>
                        <w:top w:val="none" w:sz="0" w:space="0" w:color="auto"/>
                        <w:left w:val="none" w:sz="0" w:space="0" w:color="auto"/>
                        <w:bottom w:val="none" w:sz="0" w:space="0" w:color="auto"/>
                        <w:right w:val="none" w:sz="0" w:space="0" w:color="auto"/>
                      </w:divBdr>
                    </w:div>
                    <w:div w:id="294146067">
                      <w:marLeft w:val="0"/>
                      <w:marRight w:val="0"/>
                      <w:marTop w:val="0"/>
                      <w:marBottom w:val="0"/>
                      <w:divBdr>
                        <w:top w:val="none" w:sz="0" w:space="0" w:color="auto"/>
                        <w:left w:val="none" w:sz="0" w:space="0" w:color="auto"/>
                        <w:bottom w:val="none" w:sz="0" w:space="0" w:color="auto"/>
                        <w:right w:val="none" w:sz="0" w:space="0" w:color="auto"/>
                      </w:divBdr>
                    </w:div>
                    <w:div w:id="294146078">
                      <w:marLeft w:val="0"/>
                      <w:marRight w:val="0"/>
                      <w:marTop w:val="0"/>
                      <w:marBottom w:val="0"/>
                      <w:divBdr>
                        <w:top w:val="none" w:sz="0" w:space="0" w:color="auto"/>
                        <w:left w:val="none" w:sz="0" w:space="0" w:color="auto"/>
                        <w:bottom w:val="none" w:sz="0" w:space="0" w:color="auto"/>
                        <w:right w:val="none" w:sz="0" w:space="0" w:color="auto"/>
                      </w:divBdr>
                      <w:divsChild>
                        <w:div w:id="294147889">
                          <w:marLeft w:val="0"/>
                          <w:marRight w:val="0"/>
                          <w:marTop w:val="0"/>
                          <w:marBottom w:val="0"/>
                          <w:divBdr>
                            <w:top w:val="none" w:sz="0" w:space="0" w:color="auto"/>
                            <w:left w:val="none" w:sz="0" w:space="0" w:color="auto"/>
                            <w:bottom w:val="none" w:sz="0" w:space="0" w:color="auto"/>
                            <w:right w:val="none" w:sz="0" w:space="0" w:color="auto"/>
                          </w:divBdr>
                        </w:div>
                      </w:divsChild>
                    </w:div>
                    <w:div w:id="294146123">
                      <w:marLeft w:val="0"/>
                      <w:marRight w:val="0"/>
                      <w:marTop w:val="0"/>
                      <w:marBottom w:val="0"/>
                      <w:divBdr>
                        <w:top w:val="none" w:sz="0" w:space="0" w:color="auto"/>
                        <w:left w:val="none" w:sz="0" w:space="0" w:color="auto"/>
                        <w:bottom w:val="none" w:sz="0" w:space="0" w:color="auto"/>
                        <w:right w:val="none" w:sz="0" w:space="0" w:color="auto"/>
                      </w:divBdr>
                    </w:div>
                    <w:div w:id="294146220">
                      <w:marLeft w:val="0"/>
                      <w:marRight w:val="0"/>
                      <w:marTop w:val="0"/>
                      <w:marBottom w:val="0"/>
                      <w:divBdr>
                        <w:top w:val="none" w:sz="0" w:space="0" w:color="auto"/>
                        <w:left w:val="none" w:sz="0" w:space="0" w:color="auto"/>
                        <w:bottom w:val="none" w:sz="0" w:space="0" w:color="auto"/>
                        <w:right w:val="none" w:sz="0" w:space="0" w:color="auto"/>
                      </w:divBdr>
                    </w:div>
                    <w:div w:id="294146234">
                      <w:marLeft w:val="0"/>
                      <w:marRight w:val="0"/>
                      <w:marTop w:val="0"/>
                      <w:marBottom w:val="0"/>
                      <w:divBdr>
                        <w:top w:val="none" w:sz="0" w:space="0" w:color="auto"/>
                        <w:left w:val="none" w:sz="0" w:space="0" w:color="auto"/>
                        <w:bottom w:val="none" w:sz="0" w:space="0" w:color="auto"/>
                        <w:right w:val="none" w:sz="0" w:space="0" w:color="auto"/>
                      </w:divBdr>
                    </w:div>
                    <w:div w:id="294146254">
                      <w:marLeft w:val="0"/>
                      <w:marRight w:val="0"/>
                      <w:marTop w:val="0"/>
                      <w:marBottom w:val="0"/>
                      <w:divBdr>
                        <w:top w:val="none" w:sz="0" w:space="0" w:color="auto"/>
                        <w:left w:val="none" w:sz="0" w:space="0" w:color="auto"/>
                        <w:bottom w:val="none" w:sz="0" w:space="0" w:color="auto"/>
                        <w:right w:val="none" w:sz="0" w:space="0" w:color="auto"/>
                      </w:divBdr>
                    </w:div>
                    <w:div w:id="294146301">
                      <w:marLeft w:val="0"/>
                      <w:marRight w:val="0"/>
                      <w:marTop w:val="0"/>
                      <w:marBottom w:val="0"/>
                      <w:divBdr>
                        <w:top w:val="none" w:sz="0" w:space="0" w:color="auto"/>
                        <w:left w:val="none" w:sz="0" w:space="0" w:color="auto"/>
                        <w:bottom w:val="none" w:sz="0" w:space="0" w:color="auto"/>
                        <w:right w:val="none" w:sz="0" w:space="0" w:color="auto"/>
                      </w:divBdr>
                      <w:divsChild>
                        <w:div w:id="294151930">
                          <w:marLeft w:val="0"/>
                          <w:marRight w:val="0"/>
                          <w:marTop w:val="0"/>
                          <w:marBottom w:val="0"/>
                          <w:divBdr>
                            <w:top w:val="none" w:sz="0" w:space="0" w:color="auto"/>
                            <w:left w:val="none" w:sz="0" w:space="0" w:color="auto"/>
                            <w:bottom w:val="none" w:sz="0" w:space="0" w:color="auto"/>
                            <w:right w:val="none" w:sz="0" w:space="0" w:color="auto"/>
                          </w:divBdr>
                        </w:div>
                      </w:divsChild>
                    </w:div>
                    <w:div w:id="294146343">
                      <w:marLeft w:val="0"/>
                      <w:marRight w:val="0"/>
                      <w:marTop w:val="0"/>
                      <w:marBottom w:val="0"/>
                      <w:divBdr>
                        <w:top w:val="none" w:sz="0" w:space="0" w:color="auto"/>
                        <w:left w:val="none" w:sz="0" w:space="0" w:color="auto"/>
                        <w:bottom w:val="none" w:sz="0" w:space="0" w:color="auto"/>
                        <w:right w:val="none" w:sz="0" w:space="0" w:color="auto"/>
                      </w:divBdr>
                    </w:div>
                    <w:div w:id="294146359">
                      <w:marLeft w:val="0"/>
                      <w:marRight w:val="0"/>
                      <w:marTop w:val="0"/>
                      <w:marBottom w:val="0"/>
                      <w:divBdr>
                        <w:top w:val="none" w:sz="0" w:space="0" w:color="auto"/>
                        <w:left w:val="none" w:sz="0" w:space="0" w:color="auto"/>
                        <w:bottom w:val="none" w:sz="0" w:space="0" w:color="auto"/>
                        <w:right w:val="none" w:sz="0" w:space="0" w:color="auto"/>
                      </w:divBdr>
                      <w:divsChild>
                        <w:div w:id="294154554">
                          <w:marLeft w:val="0"/>
                          <w:marRight w:val="0"/>
                          <w:marTop w:val="0"/>
                          <w:marBottom w:val="0"/>
                          <w:divBdr>
                            <w:top w:val="none" w:sz="0" w:space="0" w:color="auto"/>
                            <w:left w:val="none" w:sz="0" w:space="0" w:color="auto"/>
                            <w:bottom w:val="none" w:sz="0" w:space="0" w:color="auto"/>
                            <w:right w:val="none" w:sz="0" w:space="0" w:color="auto"/>
                          </w:divBdr>
                        </w:div>
                      </w:divsChild>
                    </w:div>
                    <w:div w:id="294146550">
                      <w:marLeft w:val="0"/>
                      <w:marRight w:val="0"/>
                      <w:marTop w:val="0"/>
                      <w:marBottom w:val="0"/>
                      <w:divBdr>
                        <w:top w:val="none" w:sz="0" w:space="0" w:color="auto"/>
                        <w:left w:val="none" w:sz="0" w:space="0" w:color="auto"/>
                        <w:bottom w:val="none" w:sz="0" w:space="0" w:color="auto"/>
                        <w:right w:val="none" w:sz="0" w:space="0" w:color="auto"/>
                      </w:divBdr>
                      <w:divsChild>
                        <w:div w:id="294148889">
                          <w:marLeft w:val="0"/>
                          <w:marRight w:val="0"/>
                          <w:marTop w:val="0"/>
                          <w:marBottom w:val="0"/>
                          <w:divBdr>
                            <w:top w:val="none" w:sz="0" w:space="0" w:color="auto"/>
                            <w:left w:val="none" w:sz="0" w:space="0" w:color="auto"/>
                            <w:bottom w:val="none" w:sz="0" w:space="0" w:color="auto"/>
                            <w:right w:val="none" w:sz="0" w:space="0" w:color="auto"/>
                          </w:divBdr>
                        </w:div>
                      </w:divsChild>
                    </w:div>
                    <w:div w:id="294146552">
                      <w:marLeft w:val="0"/>
                      <w:marRight w:val="0"/>
                      <w:marTop w:val="0"/>
                      <w:marBottom w:val="0"/>
                      <w:divBdr>
                        <w:top w:val="none" w:sz="0" w:space="0" w:color="auto"/>
                        <w:left w:val="none" w:sz="0" w:space="0" w:color="auto"/>
                        <w:bottom w:val="none" w:sz="0" w:space="0" w:color="auto"/>
                        <w:right w:val="none" w:sz="0" w:space="0" w:color="auto"/>
                      </w:divBdr>
                    </w:div>
                    <w:div w:id="294146575">
                      <w:marLeft w:val="0"/>
                      <w:marRight w:val="0"/>
                      <w:marTop w:val="0"/>
                      <w:marBottom w:val="0"/>
                      <w:divBdr>
                        <w:top w:val="none" w:sz="0" w:space="0" w:color="auto"/>
                        <w:left w:val="none" w:sz="0" w:space="0" w:color="auto"/>
                        <w:bottom w:val="none" w:sz="0" w:space="0" w:color="auto"/>
                        <w:right w:val="none" w:sz="0" w:space="0" w:color="auto"/>
                      </w:divBdr>
                      <w:divsChild>
                        <w:div w:id="294153190">
                          <w:marLeft w:val="0"/>
                          <w:marRight w:val="0"/>
                          <w:marTop w:val="0"/>
                          <w:marBottom w:val="0"/>
                          <w:divBdr>
                            <w:top w:val="none" w:sz="0" w:space="0" w:color="auto"/>
                            <w:left w:val="none" w:sz="0" w:space="0" w:color="auto"/>
                            <w:bottom w:val="none" w:sz="0" w:space="0" w:color="auto"/>
                            <w:right w:val="none" w:sz="0" w:space="0" w:color="auto"/>
                          </w:divBdr>
                        </w:div>
                      </w:divsChild>
                    </w:div>
                    <w:div w:id="294146621">
                      <w:marLeft w:val="0"/>
                      <w:marRight w:val="0"/>
                      <w:marTop w:val="0"/>
                      <w:marBottom w:val="0"/>
                      <w:divBdr>
                        <w:top w:val="none" w:sz="0" w:space="0" w:color="auto"/>
                        <w:left w:val="none" w:sz="0" w:space="0" w:color="auto"/>
                        <w:bottom w:val="none" w:sz="0" w:space="0" w:color="auto"/>
                        <w:right w:val="none" w:sz="0" w:space="0" w:color="auto"/>
                      </w:divBdr>
                      <w:divsChild>
                        <w:div w:id="294149712">
                          <w:marLeft w:val="0"/>
                          <w:marRight w:val="0"/>
                          <w:marTop w:val="0"/>
                          <w:marBottom w:val="0"/>
                          <w:divBdr>
                            <w:top w:val="none" w:sz="0" w:space="0" w:color="auto"/>
                            <w:left w:val="none" w:sz="0" w:space="0" w:color="auto"/>
                            <w:bottom w:val="none" w:sz="0" w:space="0" w:color="auto"/>
                            <w:right w:val="none" w:sz="0" w:space="0" w:color="auto"/>
                          </w:divBdr>
                        </w:div>
                      </w:divsChild>
                    </w:div>
                    <w:div w:id="294146674">
                      <w:marLeft w:val="0"/>
                      <w:marRight w:val="0"/>
                      <w:marTop w:val="0"/>
                      <w:marBottom w:val="0"/>
                      <w:divBdr>
                        <w:top w:val="none" w:sz="0" w:space="0" w:color="auto"/>
                        <w:left w:val="none" w:sz="0" w:space="0" w:color="auto"/>
                        <w:bottom w:val="none" w:sz="0" w:space="0" w:color="auto"/>
                        <w:right w:val="none" w:sz="0" w:space="0" w:color="auto"/>
                      </w:divBdr>
                    </w:div>
                    <w:div w:id="294146683">
                      <w:marLeft w:val="0"/>
                      <w:marRight w:val="0"/>
                      <w:marTop w:val="0"/>
                      <w:marBottom w:val="0"/>
                      <w:divBdr>
                        <w:top w:val="none" w:sz="0" w:space="0" w:color="auto"/>
                        <w:left w:val="none" w:sz="0" w:space="0" w:color="auto"/>
                        <w:bottom w:val="none" w:sz="0" w:space="0" w:color="auto"/>
                        <w:right w:val="none" w:sz="0" w:space="0" w:color="auto"/>
                      </w:divBdr>
                    </w:div>
                    <w:div w:id="294146701">
                      <w:marLeft w:val="0"/>
                      <w:marRight w:val="0"/>
                      <w:marTop w:val="0"/>
                      <w:marBottom w:val="0"/>
                      <w:divBdr>
                        <w:top w:val="none" w:sz="0" w:space="0" w:color="auto"/>
                        <w:left w:val="none" w:sz="0" w:space="0" w:color="auto"/>
                        <w:bottom w:val="none" w:sz="0" w:space="0" w:color="auto"/>
                        <w:right w:val="none" w:sz="0" w:space="0" w:color="auto"/>
                      </w:divBdr>
                    </w:div>
                    <w:div w:id="294146733">
                      <w:marLeft w:val="0"/>
                      <w:marRight w:val="0"/>
                      <w:marTop w:val="0"/>
                      <w:marBottom w:val="0"/>
                      <w:divBdr>
                        <w:top w:val="none" w:sz="0" w:space="0" w:color="auto"/>
                        <w:left w:val="none" w:sz="0" w:space="0" w:color="auto"/>
                        <w:bottom w:val="none" w:sz="0" w:space="0" w:color="auto"/>
                        <w:right w:val="none" w:sz="0" w:space="0" w:color="auto"/>
                      </w:divBdr>
                    </w:div>
                    <w:div w:id="294146738">
                      <w:marLeft w:val="0"/>
                      <w:marRight w:val="0"/>
                      <w:marTop w:val="0"/>
                      <w:marBottom w:val="0"/>
                      <w:divBdr>
                        <w:top w:val="none" w:sz="0" w:space="0" w:color="auto"/>
                        <w:left w:val="none" w:sz="0" w:space="0" w:color="auto"/>
                        <w:bottom w:val="none" w:sz="0" w:space="0" w:color="auto"/>
                        <w:right w:val="none" w:sz="0" w:space="0" w:color="auto"/>
                      </w:divBdr>
                      <w:divsChild>
                        <w:div w:id="294152520">
                          <w:marLeft w:val="0"/>
                          <w:marRight w:val="0"/>
                          <w:marTop w:val="0"/>
                          <w:marBottom w:val="0"/>
                          <w:divBdr>
                            <w:top w:val="none" w:sz="0" w:space="0" w:color="auto"/>
                            <w:left w:val="none" w:sz="0" w:space="0" w:color="auto"/>
                            <w:bottom w:val="none" w:sz="0" w:space="0" w:color="auto"/>
                            <w:right w:val="none" w:sz="0" w:space="0" w:color="auto"/>
                          </w:divBdr>
                        </w:div>
                      </w:divsChild>
                    </w:div>
                    <w:div w:id="294146830">
                      <w:marLeft w:val="0"/>
                      <w:marRight w:val="0"/>
                      <w:marTop w:val="0"/>
                      <w:marBottom w:val="0"/>
                      <w:divBdr>
                        <w:top w:val="none" w:sz="0" w:space="0" w:color="auto"/>
                        <w:left w:val="none" w:sz="0" w:space="0" w:color="auto"/>
                        <w:bottom w:val="none" w:sz="0" w:space="0" w:color="auto"/>
                        <w:right w:val="none" w:sz="0" w:space="0" w:color="auto"/>
                      </w:divBdr>
                    </w:div>
                    <w:div w:id="294146834">
                      <w:marLeft w:val="0"/>
                      <w:marRight w:val="0"/>
                      <w:marTop w:val="0"/>
                      <w:marBottom w:val="0"/>
                      <w:divBdr>
                        <w:top w:val="none" w:sz="0" w:space="0" w:color="auto"/>
                        <w:left w:val="none" w:sz="0" w:space="0" w:color="auto"/>
                        <w:bottom w:val="none" w:sz="0" w:space="0" w:color="auto"/>
                        <w:right w:val="none" w:sz="0" w:space="0" w:color="auto"/>
                      </w:divBdr>
                    </w:div>
                    <w:div w:id="294146897">
                      <w:marLeft w:val="0"/>
                      <w:marRight w:val="0"/>
                      <w:marTop w:val="0"/>
                      <w:marBottom w:val="0"/>
                      <w:divBdr>
                        <w:top w:val="none" w:sz="0" w:space="0" w:color="auto"/>
                        <w:left w:val="none" w:sz="0" w:space="0" w:color="auto"/>
                        <w:bottom w:val="none" w:sz="0" w:space="0" w:color="auto"/>
                        <w:right w:val="none" w:sz="0" w:space="0" w:color="auto"/>
                      </w:divBdr>
                    </w:div>
                    <w:div w:id="294146902">
                      <w:marLeft w:val="0"/>
                      <w:marRight w:val="0"/>
                      <w:marTop w:val="0"/>
                      <w:marBottom w:val="0"/>
                      <w:divBdr>
                        <w:top w:val="none" w:sz="0" w:space="0" w:color="auto"/>
                        <w:left w:val="none" w:sz="0" w:space="0" w:color="auto"/>
                        <w:bottom w:val="none" w:sz="0" w:space="0" w:color="auto"/>
                        <w:right w:val="none" w:sz="0" w:space="0" w:color="auto"/>
                      </w:divBdr>
                      <w:divsChild>
                        <w:div w:id="294152803">
                          <w:marLeft w:val="0"/>
                          <w:marRight w:val="0"/>
                          <w:marTop w:val="0"/>
                          <w:marBottom w:val="0"/>
                          <w:divBdr>
                            <w:top w:val="none" w:sz="0" w:space="0" w:color="auto"/>
                            <w:left w:val="none" w:sz="0" w:space="0" w:color="auto"/>
                            <w:bottom w:val="none" w:sz="0" w:space="0" w:color="auto"/>
                            <w:right w:val="none" w:sz="0" w:space="0" w:color="auto"/>
                          </w:divBdr>
                        </w:div>
                      </w:divsChild>
                    </w:div>
                    <w:div w:id="294146906">
                      <w:marLeft w:val="0"/>
                      <w:marRight w:val="0"/>
                      <w:marTop w:val="0"/>
                      <w:marBottom w:val="0"/>
                      <w:divBdr>
                        <w:top w:val="none" w:sz="0" w:space="0" w:color="auto"/>
                        <w:left w:val="none" w:sz="0" w:space="0" w:color="auto"/>
                        <w:bottom w:val="none" w:sz="0" w:space="0" w:color="auto"/>
                        <w:right w:val="none" w:sz="0" w:space="0" w:color="auto"/>
                      </w:divBdr>
                      <w:divsChild>
                        <w:div w:id="294155322">
                          <w:marLeft w:val="0"/>
                          <w:marRight w:val="0"/>
                          <w:marTop w:val="0"/>
                          <w:marBottom w:val="0"/>
                          <w:divBdr>
                            <w:top w:val="none" w:sz="0" w:space="0" w:color="auto"/>
                            <w:left w:val="none" w:sz="0" w:space="0" w:color="auto"/>
                            <w:bottom w:val="none" w:sz="0" w:space="0" w:color="auto"/>
                            <w:right w:val="none" w:sz="0" w:space="0" w:color="auto"/>
                          </w:divBdr>
                        </w:div>
                      </w:divsChild>
                    </w:div>
                    <w:div w:id="294146935">
                      <w:marLeft w:val="0"/>
                      <w:marRight w:val="0"/>
                      <w:marTop w:val="0"/>
                      <w:marBottom w:val="0"/>
                      <w:divBdr>
                        <w:top w:val="none" w:sz="0" w:space="0" w:color="auto"/>
                        <w:left w:val="none" w:sz="0" w:space="0" w:color="auto"/>
                        <w:bottom w:val="none" w:sz="0" w:space="0" w:color="auto"/>
                        <w:right w:val="none" w:sz="0" w:space="0" w:color="auto"/>
                      </w:divBdr>
                      <w:divsChild>
                        <w:div w:id="294151962">
                          <w:marLeft w:val="0"/>
                          <w:marRight w:val="0"/>
                          <w:marTop w:val="0"/>
                          <w:marBottom w:val="0"/>
                          <w:divBdr>
                            <w:top w:val="none" w:sz="0" w:space="0" w:color="auto"/>
                            <w:left w:val="none" w:sz="0" w:space="0" w:color="auto"/>
                            <w:bottom w:val="none" w:sz="0" w:space="0" w:color="auto"/>
                            <w:right w:val="none" w:sz="0" w:space="0" w:color="auto"/>
                          </w:divBdr>
                        </w:div>
                      </w:divsChild>
                    </w:div>
                    <w:div w:id="294146964">
                      <w:marLeft w:val="0"/>
                      <w:marRight w:val="0"/>
                      <w:marTop w:val="0"/>
                      <w:marBottom w:val="0"/>
                      <w:divBdr>
                        <w:top w:val="none" w:sz="0" w:space="0" w:color="auto"/>
                        <w:left w:val="none" w:sz="0" w:space="0" w:color="auto"/>
                        <w:bottom w:val="none" w:sz="0" w:space="0" w:color="auto"/>
                        <w:right w:val="none" w:sz="0" w:space="0" w:color="auto"/>
                      </w:divBdr>
                    </w:div>
                    <w:div w:id="294147014">
                      <w:marLeft w:val="0"/>
                      <w:marRight w:val="0"/>
                      <w:marTop w:val="0"/>
                      <w:marBottom w:val="0"/>
                      <w:divBdr>
                        <w:top w:val="none" w:sz="0" w:space="0" w:color="auto"/>
                        <w:left w:val="none" w:sz="0" w:space="0" w:color="auto"/>
                        <w:bottom w:val="none" w:sz="0" w:space="0" w:color="auto"/>
                        <w:right w:val="none" w:sz="0" w:space="0" w:color="auto"/>
                      </w:divBdr>
                    </w:div>
                    <w:div w:id="294147060">
                      <w:marLeft w:val="0"/>
                      <w:marRight w:val="0"/>
                      <w:marTop w:val="0"/>
                      <w:marBottom w:val="0"/>
                      <w:divBdr>
                        <w:top w:val="none" w:sz="0" w:space="0" w:color="auto"/>
                        <w:left w:val="none" w:sz="0" w:space="0" w:color="auto"/>
                        <w:bottom w:val="none" w:sz="0" w:space="0" w:color="auto"/>
                        <w:right w:val="none" w:sz="0" w:space="0" w:color="auto"/>
                      </w:divBdr>
                    </w:div>
                    <w:div w:id="294147111">
                      <w:marLeft w:val="0"/>
                      <w:marRight w:val="0"/>
                      <w:marTop w:val="0"/>
                      <w:marBottom w:val="0"/>
                      <w:divBdr>
                        <w:top w:val="none" w:sz="0" w:space="0" w:color="auto"/>
                        <w:left w:val="none" w:sz="0" w:space="0" w:color="auto"/>
                        <w:bottom w:val="none" w:sz="0" w:space="0" w:color="auto"/>
                        <w:right w:val="none" w:sz="0" w:space="0" w:color="auto"/>
                      </w:divBdr>
                      <w:divsChild>
                        <w:div w:id="294156802">
                          <w:marLeft w:val="0"/>
                          <w:marRight w:val="0"/>
                          <w:marTop w:val="0"/>
                          <w:marBottom w:val="0"/>
                          <w:divBdr>
                            <w:top w:val="none" w:sz="0" w:space="0" w:color="auto"/>
                            <w:left w:val="none" w:sz="0" w:space="0" w:color="auto"/>
                            <w:bottom w:val="none" w:sz="0" w:space="0" w:color="auto"/>
                            <w:right w:val="none" w:sz="0" w:space="0" w:color="auto"/>
                          </w:divBdr>
                        </w:div>
                      </w:divsChild>
                    </w:div>
                    <w:div w:id="294147158">
                      <w:marLeft w:val="0"/>
                      <w:marRight w:val="0"/>
                      <w:marTop w:val="0"/>
                      <w:marBottom w:val="0"/>
                      <w:divBdr>
                        <w:top w:val="none" w:sz="0" w:space="0" w:color="auto"/>
                        <w:left w:val="none" w:sz="0" w:space="0" w:color="auto"/>
                        <w:bottom w:val="none" w:sz="0" w:space="0" w:color="auto"/>
                        <w:right w:val="none" w:sz="0" w:space="0" w:color="auto"/>
                      </w:divBdr>
                    </w:div>
                    <w:div w:id="294147206">
                      <w:marLeft w:val="0"/>
                      <w:marRight w:val="0"/>
                      <w:marTop w:val="0"/>
                      <w:marBottom w:val="0"/>
                      <w:divBdr>
                        <w:top w:val="none" w:sz="0" w:space="0" w:color="auto"/>
                        <w:left w:val="none" w:sz="0" w:space="0" w:color="auto"/>
                        <w:bottom w:val="none" w:sz="0" w:space="0" w:color="auto"/>
                        <w:right w:val="none" w:sz="0" w:space="0" w:color="auto"/>
                      </w:divBdr>
                      <w:divsChild>
                        <w:div w:id="294143011">
                          <w:marLeft w:val="0"/>
                          <w:marRight w:val="0"/>
                          <w:marTop w:val="0"/>
                          <w:marBottom w:val="0"/>
                          <w:divBdr>
                            <w:top w:val="none" w:sz="0" w:space="0" w:color="auto"/>
                            <w:left w:val="none" w:sz="0" w:space="0" w:color="auto"/>
                            <w:bottom w:val="none" w:sz="0" w:space="0" w:color="auto"/>
                            <w:right w:val="none" w:sz="0" w:space="0" w:color="auto"/>
                          </w:divBdr>
                        </w:div>
                      </w:divsChild>
                    </w:div>
                    <w:div w:id="294147278">
                      <w:marLeft w:val="0"/>
                      <w:marRight w:val="0"/>
                      <w:marTop w:val="0"/>
                      <w:marBottom w:val="0"/>
                      <w:divBdr>
                        <w:top w:val="none" w:sz="0" w:space="0" w:color="auto"/>
                        <w:left w:val="none" w:sz="0" w:space="0" w:color="auto"/>
                        <w:bottom w:val="none" w:sz="0" w:space="0" w:color="auto"/>
                        <w:right w:val="none" w:sz="0" w:space="0" w:color="auto"/>
                      </w:divBdr>
                      <w:divsChild>
                        <w:div w:id="294149771">
                          <w:marLeft w:val="0"/>
                          <w:marRight w:val="0"/>
                          <w:marTop w:val="0"/>
                          <w:marBottom w:val="0"/>
                          <w:divBdr>
                            <w:top w:val="none" w:sz="0" w:space="0" w:color="auto"/>
                            <w:left w:val="none" w:sz="0" w:space="0" w:color="auto"/>
                            <w:bottom w:val="none" w:sz="0" w:space="0" w:color="auto"/>
                            <w:right w:val="none" w:sz="0" w:space="0" w:color="auto"/>
                          </w:divBdr>
                        </w:div>
                      </w:divsChild>
                    </w:div>
                    <w:div w:id="294147287">
                      <w:marLeft w:val="0"/>
                      <w:marRight w:val="0"/>
                      <w:marTop w:val="0"/>
                      <w:marBottom w:val="0"/>
                      <w:divBdr>
                        <w:top w:val="none" w:sz="0" w:space="0" w:color="auto"/>
                        <w:left w:val="none" w:sz="0" w:space="0" w:color="auto"/>
                        <w:bottom w:val="none" w:sz="0" w:space="0" w:color="auto"/>
                        <w:right w:val="none" w:sz="0" w:space="0" w:color="auto"/>
                      </w:divBdr>
                      <w:divsChild>
                        <w:div w:id="294145258">
                          <w:marLeft w:val="0"/>
                          <w:marRight w:val="0"/>
                          <w:marTop w:val="0"/>
                          <w:marBottom w:val="0"/>
                          <w:divBdr>
                            <w:top w:val="none" w:sz="0" w:space="0" w:color="auto"/>
                            <w:left w:val="none" w:sz="0" w:space="0" w:color="auto"/>
                            <w:bottom w:val="none" w:sz="0" w:space="0" w:color="auto"/>
                            <w:right w:val="none" w:sz="0" w:space="0" w:color="auto"/>
                          </w:divBdr>
                        </w:div>
                      </w:divsChild>
                    </w:div>
                    <w:div w:id="294147333">
                      <w:marLeft w:val="0"/>
                      <w:marRight w:val="0"/>
                      <w:marTop w:val="0"/>
                      <w:marBottom w:val="0"/>
                      <w:divBdr>
                        <w:top w:val="none" w:sz="0" w:space="0" w:color="auto"/>
                        <w:left w:val="none" w:sz="0" w:space="0" w:color="auto"/>
                        <w:bottom w:val="none" w:sz="0" w:space="0" w:color="auto"/>
                        <w:right w:val="none" w:sz="0" w:space="0" w:color="auto"/>
                      </w:divBdr>
                    </w:div>
                    <w:div w:id="294147341">
                      <w:marLeft w:val="0"/>
                      <w:marRight w:val="0"/>
                      <w:marTop w:val="0"/>
                      <w:marBottom w:val="0"/>
                      <w:divBdr>
                        <w:top w:val="none" w:sz="0" w:space="0" w:color="auto"/>
                        <w:left w:val="none" w:sz="0" w:space="0" w:color="auto"/>
                        <w:bottom w:val="none" w:sz="0" w:space="0" w:color="auto"/>
                        <w:right w:val="none" w:sz="0" w:space="0" w:color="auto"/>
                      </w:divBdr>
                    </w:div>
                    <w:div w:id="294147349">
                      <w:marLeft w:val="0"/>
                      <w:marRight w:val="0"/>
                      <w:marTop w:val="0"/>
                      <w:marBottom w:val="0"/>
                      <w:divBdr>
                        <w:top w:val="none" w:sz="0" w:space="0" w:color="auto"/>
                        <w:left w:val="none" w:sz="0" w:space="0" w:color="auto"/>
                        <w:bottom w:val="none" w:sz="0" w:space="0" w:color="auto"/>
                        <w:right w:val="none" w:sz="0" w:space="0" w:color="auto"/>
                      </w:divBdr>
                    </w:div>
                    <w:div w:id="294147415">
                      <w:marLeft w:val="0"/>
                      <w:marRight w:val="0"/>
                      <w:marTop w:val="0"/>
                      <w:marBottom w:val="0"/>
                      <w:divBdr>
                        <w:top w:val="none" w:sz="0" w:space="0" w:color="auto"/>
                        <w:left w:val="none" w:sz="0" w:space="0" w:color="auto"/>
                        <w:bottom w:val="none" w:sz="0" w:space="0" w:color="auto"/>
                        <w:right w:val="none" w:sz="0" w:space="0" w:color="auto"/>
                      </w:divBdr>
                    </w:div>
                    <w:div w:id="294147535">
                      <w:marLeft w:val="0"/>
                      <w:marRight w:val="0"/>
                      <w:marTop w:val="0"/>
                      <w:marBottom w:val="0"/>
                      <w:divBdr>
                        <w:top w:val="none" w:sz="0" w:space="0" w:color="auto"/>
                        <w:left w:val="none" w:sz="0" w:space="0" w:color="auto"/>
                        <w:bottom w:val="none" w:sz="0" w:space="0" w:color="auto"/>
                        <w:right w:val="none" w:sz="0" w:space="0" w:color="auto"/>
                      </w:divBdr>
                    </w:div>
                    <w:div w:id="294147557">
                      <w:marLeft w:val="0"/>
                      <w:marRight w:val="0"/>
                      <w:marTop w:val="0"/>
                      <w:marBottom w:val="0"/>
                      <w:divBdr>
                        <w:top w:val="none" w:sz="0" w:space="0" w:color="auto"/>
                        <w:left w:val="none" w:sz="0" w:space="0" w:color="auto"/>
                        <w:bottom w:val="none" w:sz="0" w:space="0" w:color="auto"/>
                        <w:right w:val="none" w:sz="0" w:space="0" w:color="auto"/>
                      </w:divBdr>
                      <w:divsChild>
                        <w:div w:id="294143863">
                          <w:marLeft w:val="0"/>
                          <w:marRight w:val="0"/>
                          <w:marTop w:val="0"/>
                          <w:marBottom w:val="0"/>
                          <w:divBdr>
                            <w:top w:val="none" w:sz="0" w:space="0" w:color="auto"/>
                            <w:left w:val="none" w:sz="0" w:space="0" w:color="auto"/>
                            <w:bottom w:val="none" w:sz="0" w:space="0" w:color="auto"/>
                            <w:right w:val="none" w:sz="0" w:space="0" w:color="auto"/>
                          </w:divBdr>
                        </w:div>
                      </w:divsChild>
                    </w:div>
                    <w:div w:id="294147605">
                      <w:marLeft w:val="0"/>
                      <w:marRight w:val="0"/>
                      <w:marTop w:val="0"/>
                      <w:marBottom w:val="0"/>
                      <w:divBdr>
                        <w:top w:val="none" w:sz="0" w:space="0" w:color="auto"/>
                        <w:left w:val="none" w:sz="0" w:space="0" w:color="auto"/>
                        <w:bottom w:val="none" w:sz="0" w:space="0" w:color="auto"/>
                        <w:right w:val="none" w:sz="0" w:space="0" w:color="auto"/>
                      </w:divBdr>
                      <w:divsChild>
                        <w:div w:id="294138366">
                          <w:marLeft w:val="0"/>
                          <w:marRight w:val="0"/>
                          <w:marTop w:val="0"/>
                          <w:marBottom w:val="0"/>
                          <w:divBdr>
                            <w:top w:val="none" w:sz="0" w:space="0" w:color="auto"/>
                            <w:left w:val="none" w:sz="0" w:space="0" w:color="auto"/>
                            <w:bottom w:val="none" w:sz="0" w:space="0" w:color="auto"/>
                            <w:right w:val="none" w:sz="0" w:space="0" w:color="auto"/>
                          </w:divBdr>
                        </w:div>
                      </w:divsChild>
                    </w:div>
                    <w:div w:id="294147641">
                      <w:marLeft w:val="0"/>
                      <w:marRight w:val="0"/>
                      <w:marTop w:val="0"/>
                      <w:marBottom w:val="0"/>
                      <w:divBdr>
                        <w:top w:val="none" w:sz="0" w:space="0" w:color="auto"/>
                        <w:left w:val="none" w:sz="0" w:space="0" w:color="auto"/>
                        <w:bottom w:val="none" w:sz="0" w:space="0" w:color="auto"/>
                        <w:right w:val="none" w:sz="0" w:space="0" w:color="auto"/>
                      </w:divBdr>
                    </w:div>
                    <w:div w:id="294147715">
                      <w:marLeft w:val="0"/>
                      <w:marRight w:val="0"/>
                      <w:marTop w:val="0"/>
                      <w:marBottom w:val="0"/>
                      <w:divBdr>
                        <w:top w:val="none" w:sz="0" w:space="0" w:color="auto"/>
                        <w:left w:val="none" w:sz="0" w:space="0" w:color="auto"/>
                        <w:bottom w:val="none" w:sz="0" w:space="0" w:color="auto"/>
                        <w:right w:val="none" w:sz="0" w:space="0" w:color="auto"/>
                      </w:divBdr>
                    </w:div>
                    <w:div w:id="294147821">
                      <w:marLeft w:val="0"/>
                      <w:marRight w:val="0"/>
                      <w:marTop w:val="0"/>
                      <w:marBottom w:val="0"/>
                      <w:divBdr>
                        <w:top w:val="none" w:sz="0" w:space="0" w:color="auto"/>
                        <w:left w:val="none" w:sz="0" w:space="0" w:color="auto"/>
                        <w:bottom w:val="none" w:sz="0" w:space="0" w:color="auto"/>
                        <w:right w:val="none" w:sz="0" w:space="0" w:color="auto"/>
                      </w:divBdr>
                      <w:divsChild>
                        <w:div w:id="294142303">
                          <w:marLeft w:val="0"/>
                          <w:marRight w:val="0"/>
                          <w:marTop w:val="0"/>
                          <w:marBottom w:val="0"/>
                          <w:divBdr>
                            <w:top w:val="none" w:sz="0" w:space="0" w:color="auto"/>
                            <w:left w:val="none" w:sz="0" w:space="0" w:color="auto"/>
                            <w:bottom w:val="none" w:sz="0" w:space="0" w:color="auto"/>
                            <w:right w:val="none" w:sz="0" w:space="0" w:color="auto"/>
                          </w:divBdr>
                        </w:div>
                      </w:divsChild>
                    </w:div>
                    <w:div w:id="294147837">
                      <w:marLeft w:val="0"/>
                      <w:marRight w:val="0"/>
                      <w:marTop w:val="0"/>
                      <w:marBottom w:val="0"/>
                      <w:divBdr>
                        <w:top w:val="none" w:sz="0" w:space="0" w:color="auto"/>
                        <w:left w:val="none" w:sz="0" w:space="0" w:color="auto"/>
                        <w:bottom w:val="none" w:sz="0" w:space="0" w:color="auto"/>
                        <w:right w:val="none" w:sz="0" w:space="0" w:color="auto"/>
                      </w:divBdr>
                      <w:divsChild>
                        <w:div w:id="294147618">
                          <w:marLeft w:val="0"/>
                          <w:marRight w:val="0"/>
                          <w:marTop w:val="0"/>
                          <w:marBottom w:val="0"/>
                          <w:divBdr>
                            <w:top w:val="none" w:sz="0" w:space="0" w:color="auto"/>
                            <w:left w:val="none" w:sz="0" w:space="0" w:color="auto"/>
                            <w:bottom w:val="none" w:sz="0" w:space="0" w:color="auto"/>
                            <w:right w:val="none" w:sz="0" w:space="0" w:color="auto"/>
                          </w:divBdr>
                        </w:div>
                      </w:divsChild>
                    </w:div>
                    <w:div w:id="294147867">
                      <w:marLeft w:val="0"/>
                      <w:marRight w:val="0"/>
                      <w:marTop w:val="0"/>
                      <w:marBottom w:val="0"/>
                      <w:divBdr>
                        <w:top w:val="none" w:sz="0" w:space="0" w:color="auto"/>
                        <w:left w:val="none" w:sz="0" w:space="0" w:color="auto"/>
                        <w:bottom w:val="none" w:sz="0" w:space="0" w:color="auto"/>
                        <w:right w:val="none" w:sz="0" w:space="0" w:color="auto"/>
                      </w:divBdr>
                    </w:div>
                    <w:div w:id="294147956">
                      <w:marLeft w:val="0"/>
                      <w:marRight w:val="0"/>
                      <w:marTop w:val="0"/>
                      <w:marBottom w:val="0"/>
                      <w:divBdr>
                        <w:top w:val="none" w:sz="0" w:space="0" w:color="auto"/>
                        <w:left w:val="none" w:sz="0" w:space="0" w:color="auto"/>
                        <w:bottom w:val="none" w:sz="0" w:space="0" w:color="auto"/>
                        <w:right w:val="none" w:sz="0" w:space="0" w:color="auto"/>
                      </w:divBdr>
                      <w:divsChild>
                        <w:div w:id="294139296">
                          <w:marLeft w:val="0"/>
                          <w:marRight w:val="0"/>
                          <w:marTop w:val="0"/>
                          <w:marBottom w:val="0"/>
                          <w:divBdr>
                            <w:top w:val="none" w:sz="0" w:space="0" w:color="auto"/>
                            <w:left w:val="none" w:sz="0" w:space="0" w:color="auto"/>
                            <w:bottom w:val="none" w:sz="0" w:space="0" w:color="auto"/>
                            <w:right w:val="none" w:sz="0" w:space="0" w:color="auto"/>
                          </w:divBdr>
                        </w:div>
                      </w:divsChild>
                    </w:div>
                    <w:div w:id="294148025">
                      <w:marLeft w:val="0"/>
                      <w:marRight w:val="0"/>
                      <w:marTop w:val="0"/>
                      <w:marBottom w:val="0"/>
                      <w:divBdr>
                        <w:top w:val="none" w:sz="0" w:space="0" w:color="auto"/>
                        <w:left w:val="none" w:sz="0" w:space="0" w:color="auto"/>
                        <w:bottom w:val="none" w:sz="0" w:space="0" w:color="auto"/>
                        <w:right w:val="none" w:sz="0" w:space="0" w:color="auto"/>
                      </w:divBdr>
                    </w:div>
                    <w:div w:id="294148056">
                      <w:marLeft w:val="0"/>
                      <w:marRight w:val="0"/>
                      <w:marTop w:val="0"/>
                      <w:marBottom w:val="0"/>
                      <w:divBdr>
                        <w:top w:val="none" w:sz="0" w:space="0" w:color="auto"/>
                        <w:left w:val="none" w:sz="0" w:space="0" w:color="auto"/>
                        <w:bottom w:val="none" w:sz="0" w:space="0" w:color="auto"/>
                        <w:right w:val="none" w:sz="0" w:space="0" w:color="auto"/>
                      </w:divBdr>
                    </w:div>
                    <w:div w:id="294148124">
                      <w:marLeft w:val="0"/>
                      <w:marRight w:val="0"/>
                      <w:marTop w:val="0"/>
                      <w:marBottom w:val="0"/>
                      <w:divBdr>
                        <w:top w:val="none" w:sz="0" w:space="0" w:color="auto"/>
                        <w:left w:val="none" w:sz="0" w:space="0" w:color="auto"/>
                        <w:bottom w:val="none" w:sz="0" w:space="0" w:color="auto"/>
                        <w:right w:val="none" w:sz="0" w:space="0" w:color="auto"/>
                      </w:divBdr>
                    </w:div>
                    <w:div w:id="294148213">
                      <w:marLeft w:val="0"/>
                      <w:marRight w:val="0"/>
                      <w:marTop w:val="0"/>
                      <w:marBottom w:val="0"/>
                      <w:divBdr>
                        <w:top w:val="none" w:sz="0" w:space="0" w:color="auto"/>
                        <w:left w:val="none" w:sz="0" w:space="0" w:color="auto"/>
                        <w:bottom w:val="none" w:sz="0" w:space="0" w:color="auto"/>
                        <w:right w:val="none" w:sz="0" w:space="0" w:color="auto"/>
                      </w:divBdr>
                      <w:divsChild>
                        <w:div w:id="294156003">
                          <w:marLeft w:val="0"/>
                          <w:marRight w:val="0"/>
                          <w:marTop w:val="0"/>
                          <w:marBottom w:val="0"/>
                          <w:divBdr>
                            <w:top w:val="none" w:sz="0" w:space="0" w:color="auto"/>
                            <w:left w:val="none" w:sz="0" w:space="0" w:color="auto"/>
                            <w:bottom w:val="none" w:sz="0" w:space="0" w:color="auto"/>
                            <w:right w:val="none" w:sz="0" w:space="0" w:color="auto"/>
                          </w:divBdr>
                        </w:div>
                      </w:divsChild>
                    </w:div>
                    <w:div w:id="294148339">
                      <w:marLeft w:val="0"/>
                      <w:marRight w:val="0"/>
                      <w:marTop w:val="0"/>
                      <w:marBottom w:val="0"/>
                      <w:divBdr>
                        <w:top w:val="none" w:sz="0" w:space="0" w:color="auto"/>
                        <w:left w:val="none" w:sz="0" w:space="0" w:color="auto"/>
                        <w:bottom w:val="none" w:sz="0" w:space="0" w:color="auto"/>
                        <w:right w:val="none" w:sz="0" w:space="0" w:color="auto"/>
                      </w:divBdr>
                    </w:div>
                    <w:div w:id="294148403">
                      <w:marLeft w:val="0"/>
                      <w:marRight w:val="0"/>
                      <w:marTop w:val="0"/>
                      <w:marBottom w:val="0"/>
                      <w:divBdr>
                        <w:top w:val="none" w:sz="0" w:space="0" w:color="auto"/>
                        <w:left w:val="none" w:sz="0" w:space="0" w:color="auto"/>
                        <w:bottom w:val="none" w:sz="0" w:space="0" w:color="auto"/>
                        <w:right w:val="none" w:sz="0" w:space="0" w:color="auto"/>
                      </w:divBdr>
                      <w:divsChild>
                        <w:div w:id="294143916">
                          <w:marLeft w:val="0"/>
                          <w:marRight w:val="0"/>
                          <w:marTop w:val="0"/>
                          <w:marBottom w:val="0"/>
                          <w:divBdr>
                            <w:top w:val="none" w:sz="0" w:space="0" w:color="auto"/>
                            <w:left w:val="none" w:sz="0" w:space="0" w:color="auto"/>
                            <w:bottom w:val="none" w:sz="0" w:space="0" w:color="auto"/>
                            <w:right w:val="none" w:sz="0" w:space="0" w:color="auto"/>
                          </w:divBdr>
                        </w:div>
                      </w:divsChild>
                    </w:div>
                    <w:div w:id="294148413">
                      <w:marLeft w:val="0"/>
                      <w:marRight w:val="0"/>
                      <w:marTop w:val="0"/>
                      <w:marBottom w:val="0"/>
                      <w:divBdr>
                        <w:top w:val="none" w:sz="0" w:space="0" w:color="auto"/>
                        <w:left w:val="none" w:sz="0" w:space="0" w:color="auto"/>
                        <w:bottom w:val="none" w:sz="0" w:space="0" w:color="auto"/>
                        <w:right w:val="none" w:sz="0" w:space="0" w:color="auto"/>
                      </w:divBdr>
                      <w:divsChild>
                        <w:div w:id="294142404">
                          <w:marLeft w:val="0"/>
                          <w:marRight w:val="0"/>
                          <w:marTop w:val="0"/>
                          <w:marBottom w:val="0"/>
                          <w:divBdr>
                            <w:top w:val="none" w:sz="0" w:space="0" w:color="auto"/>
                            <w:left w:val="none" w:sz="0" w:space="0" w:color="auto"/>
                            <w:bottom w:val="none" w:sz="0" w:space="0" w:color="auto"/>
                            <w:right w:val="none" w:sz="0" w:space="0" w:color="auto"/>
                          </w:divBdr>
                        </w:div>
                      </w:divsChild>
                    </w:div>
                    <w:div w:id="294148416">
                      <w:marLeft w:val="0"/>
                      <w:marRight w:val="0"/>
                      <w:marTop w:val="0"/>
                      <w:marBottom w:val="0"/>
                      <w:divBdr>
                        <w:top w:val="none" w:sz="0" w:space="0" w:color="auto"/>
                        <w:left w:val="none" w:sz="0" w:space="0" w:color="auto"/>
                        <w:bottom w:val="none" w:sz="0" w:space="0" w:color="auto"/>
                        <w:right w:val="none" w:sz="0" w:space="0" w:color="auto"/>
                      </w:divBdr>
                    </w:div>
                    <w:div w:id="294148419">
                      <w:marLeft w:val="0"/>
                      <w:marRight w:val="0"/>
                      <w:marTop w:val="0"/>
                      <w:marBottom w:val="0"/>
                      <w:divBdr>
                        <w:top w:val="none" w:sz="0" w:space="0" w:color="auto"/>
                        <w:left w:val="none" w:sz="0" w:space="0" w:color="auto"/>
                        <w:bottom w:val="none" w:sz="0" w:space="0" w:color="auto"/>
                        <w:right w:val="none" w:sz="0" w:space="0" w:color="auto"/>
                      </w:divBdr>
                    </w:div>
                    <w:div w:id="294148442">
                      <w:marLeft w:val="0"/>
                      <w:marRight w:val="0"/>
                      <w:marTop w:val="0"/>
                      <w:marBottom w:val="0"/>
                      <w:divBdr>
                        <w:top w:val="none" w:sz="0" w:space="0" w:color="auto"/>
                        <w:left w:val="none" w:sz="0" w:space="0" w:color="auto"/>
                        <w:bottom w:val="none" w:sz="0" w:space="0" w:color="auto"/>
                        <w:right w:val="none" w:sz="0" w:space="0" w:color="auto"/>
                      </w:divBdr>
                      <w:divsChild>
                        <w:div w:id="294147686">
                          <w:marLeft w:val="0"/>
                          <w:marRight w:val="0"/>
                          <w:marTop w:val="0"/>
                          <w:marBottom w:val="0"/>
                          <w:divBdr>
                            <w:top w:val="none" w:sz="0" w:space="0" w:color="auto"/>
                            <w:left w:val="none" w:sz="0" w:space="0" w:color="auto"/>
                            <w:bottom w:val="none" w:sz="0" w:space="0" w:color="auto"/>
                            <w:right w:val="none" w:sz="0" w:space="0" w:color="auto"/>
                          </w:divBdr>
                        </w:div>
                      </w:divsChild>
                    </w:div>
                    <w:div w:id="294148536">
                      <w:marLeft w:val="0"/>
                      <w:marRight w:val="0"/>
                      <w:marTop w:val="0"/>
                      <w:marBottom w:val="0"/>
                      <w:divBdr>
                        <w:top w:val="none" w:sz="0" w:space="0" w:color="auto"/>
                        <w:left w:val="none" w:sz="0" w:space="0" w:color="auto"/>
                        <w:bottom w:val="none" w:sz="0" w:space="0" w:color="auto"/>
                        <w:right w:val="none" w:sz="0" w:space="0" w:color="auto"/>
                      </w:divBdr>
                      <w:divsChild>
                        <w:div w:id="294146101">
                          <w:marLeft w:val="0"/>
                          <w:marRight w:val="0"/>
                          <w:marTop w:val="0"/>
                          <w:marBottom w:val="0"/>
                          <w:divBdr>
                            <w:top w:val="none" w:sz="0" w:space="0" w:color="auto"/>
                            <w:left w:val="none" w:sz="0" w:space="0" w:color="auto"/>
                            <w:bottom w:val="none" w:sz="0" w:space="0" w:color="auto"/>
                            <w:right w:val="none" w:sz="0" w:space="0" w:color="auto"/>
                          </w:divBdr>
                        </w:div>
                      </w:divsChild>
                    </w:div>
                    <w:div w:id="294148568">
                      <w:marLeft w:val="0"/>
                      <w:marRight w:val="0"/>
                      <w:marTop w:val="0"/>
                      <w:marBottom w:val="0"/>
                      <w:divBdr>
                        <w:top w:val="none" w:sz="0" w:space="0" w:color="auto"/>
                        <w:left w:val="none" w:sz="0" w:space="0" w:color="auto"/>
                        <w:bottom w:val="none" w:sz="0" w:space="0" w:color="auto"/>
                        <w:right w:val="none" w:sz="0" w:space="0" w:color="auto"/>
                      </w:divBdr>
                      <w:divsChild>
                        <w:div w:id="294150578">
                          <w:marLeft w:val="0"/>
                          <w:marRight w:val="0"/>
                          <w:marTop w:val="0"/>
                          <w:marBottom w:val="0"/>
                          <w:divBdr>
                            <w:top w:val="none" w:sz="0" w:space="0" w:color="auto"/>
                            <w:left w:val="none" w:sz="0" w:space="0" w:color="auto"/>
                            <w:bottom w:val="none" w:sz="0" w:space="0" w:color="auto"/>
                            <w:right w:val="none" w:sz="0" w:space="0" w:color="auto"/>
                          </w:divBdr>
                        </w:div>
                      </w:divsChild>
                    </w:div>
                    <w:div w:id="294148591">
                      <w:marLeft w:val="0"/>
                      <w:marRight w:val="0"/>
                      <w:marTop w:val="0"/>
                      <w:marBottom w:val="0"/>
                      <w:divBdr>
                        <w:top w:val="none" w:sz="0" w:space="0" w:color="auto"/>
                        <w:left w:val="none" w:sz="0" w:space="0" w:color="auto"/>
                        <w:bottom w:val="none" w:sz="0" w:space="0" w:color="auto"/>
                        <w:right w:val="none" w:sz="0" w:space="0" w:color="auto"/>
                      </w:divBdr>
                      <w:divsChild>
                        <w:div w:id="294143409">
                          <w:marLeft w:val="0"/>
                          <w:marRight w:val="0"/>
                          <w:marTop w:val="0"/>
                          <w:marBottom w:val="0"/>
                          <w:divBdr>
                            <w:top w:val="none" w:sz="0" w:space="0" w:color="auto"/>
                            <w:left w:val="none" w:sz="0" w:space="0" w:color="auto"/>
                            <w:bottom w:val="none" w:sz="0" w:space="0" w:color="auto"/>
                            <w:right w:val="none" w:sz="0" w:space="0" w:color="auto"/>
                          </w:divBdr>
                        </w:div>
                      </w:divsChild>
                    </w:div>
                    <w:div w:id="294148647">
                      <w:marLeft w:val="0"/>
                      <w:marRight w:val="0"/>
                      <w:marTop w:val="0"/>
                      <w:marBottom w:val="0"/>
                      <w:divBdr>
                        <w:top w:val="none" w:sz="0" w:space="0" w:color="auto"/>
                        <w:left w:val="none" w:sz="0" w:space="0" w:color="auto"/>
                        <w:bottom w:val="none" w:sz="0" w:space="0" w:color="auto"/>
                        <w:right w:val="none" w:sz="0" w:space="0" w:color="auto"/>
                      </w:divBdr>
                    </w:div>
                    <w:div w:id="294148654">
                      <w:marLeft w:val="0"/>
                      <w:marRight w:val="0"/>
                      <w:marTop w:val="0"/>
                      <w:marBottom w:val="0"/>
                      <w:divBdr>
                        <w:top w:val="none" w:sz="0" w:space="0" w:color="auto"/>
                        <w:left w:val="none" w:sz="0" w:space="0" w:color="auto"/>
                        <w:bottom w:val="none" w:sz="0" w:space="0" w:color="auto"/>
                        <w:right w:val="none" w:sz="0" w:space="0" w:color="auto"/>
                      </w:divBdr>
                    </w:div>
                    <w:div w:id="294148681">
                      <w:marLeft w:val="0"/>
                      <w:marRight w:val="0"/>
                      <w:marTop w:val="0"/>
                      <w:marBottom w:val="0"/>
                      <w:divBdr>
                        <w:top w:val="none" w:sz="0" w:space="0" w:color="auto"/>
                        <w:left w:val="none" w:sz="0" w:space="0" w:color="auto"/>
                        <w:bottom w:val="none" w:sz="0" w:space="0" w:color="auto"/>
                        <w:right w:val="none" w:sz="0" w:space="0" w:color="auto"/>
                      </w:divBdr>
                    </w:div>
                    <w:div w:id="294148813">
                      <w:marLeft w:val="0"/>
                      <w:marRight w:val="0"/>
                      <w:marTop w:val="0"/>
                      <w:marBottom w:val="0"/>
                      <w:divBdr>
                        <w:top w:val="none" w:sz="0" w:space="0" w:color="auto"/>
                        <w:left w:val="none" w:sz="0" w:space="0" w:color="auto"/>
                        <w:bottom w:val="none" w:sz="0" w:space="0" w:color="auto"/>
                        <w:right w:val="none" w:sz="0" w:space="0" w:color="auto"/>
                      </w:divBdr>
                    </w:div>
                    <w:div w:id="294148887">
                      <w:marLeft w:val="0"/>
                      <w:marRight w:val="0"/>
                      <w:marTop w:val="0"/>
                      <w:marBottom w:val="0"/>
                      <w:divBdr>
                        <w:top w:val="none" w:sz="0" w:space="0" w:color="auto"/>
                        <w:left w:val="none" w:sz="0" w:space="0" w:color="auto"/>
                        <w:bottom w:val="none" w:sz="0" w:space="0" w:color="auto"/>
                        <w:right w:val="none" w:sz="0" w:space="0" w:color="auto"/>
                      </w:divBdr>
                    </w:div>
                    <w:div w:id="294148943">
                      <w:marLeft w:val="0"/>
                      <w:marRight w:val="0"/>
                      <w:marTop w:val="0"/>
                      <w:marBottom w:val="0"/>
                      <w:divBdr>
                        <w:top w:val="none" w:sz="0" w:space="0" w:color="auto"/>
                        <w:left w:val="none" w:sz="0" w:space="0" w:color="auto"/>
                        <w:bottom w:val="none" w:sz="0" w:space="0" w:color="auto"/>
                        <w:right w:val="none" w:sz="0" w:space="0" w:color="auto"/>
                      </w:divBdr>
                      <w:divsChild>
                        <w:div w:id="294147995">
                          <w:marLeft w:val="0"/>
                          <w:marRight w:val="0"/>
                          <w:marTop w:val="0"/>
                          <w:marBottom w:val="0"/>
                          <w:divBdr>
                            <w:top w:val="none" w:sz="0" w:space="0" w:color="auto"/>
                            <w:left w:val="none" w:sz="0" w:space="0" w:color="auto"/>
                            <w:bottom w:val="none" w:sz="0" w:space="0" w:color="auto"/>
                            <w:right w:val="none" w:sz="0" w:space="0" w:color="auto"/>
                          </w:divBdr>
                        </w:div>
                      </w:divsChild>
                    </w:div>
                    <w:div w:id="294148944">
                      <w:marLeft w:val="0"/>
                      <w:marRight w:val="0"/>
                      <w:marTop w:val="0"/>
                      <w:marBottom w:val="0"/>
                      <w:divBdr>
                        <w:top w:val="none" w:sz="0" w:space="0" w:color="auto"/>
                        <w:left w:val="none" w:sz="0" w:space="0" w:color="auto"/>
                        <w:bottom w:val="none" w:sz="0" w:space="0" w:color="auto"/>
                        <w:right w:val="none" w:sz="0" w:space="0" w:color="auto"/>
                      </w:divBdr>
                    </w:div>
                    <w:div w:id="294148971">
                      <w:marLeft w:val="0"/>
                      <w:marRight w:val="0"/>
                      <w:marTop w:val="0"/>
                      <w:marBottom w:val="0"/>
                      <w:divBdr>
                        <w:top w:val="none" w:sz="0" w:space="0" w:color="auto"/>
                        <w:left w:val="none" w:sz="0" w:space="0" w:color="auto"/>
                        <w:bottom w:val="none" w:sz="0" w:space="0" w:color="auto"/>
                        <w:right w:val="none" w:sz="0" w:space="0" w:color="auto"/>
                      </w:divBdr>
                    </w:div>
                    <w:div w:id="294149012">
                      <w:marLeft w:val="0"/>
                      <w:marRight w:val="0"/>
                      <w:marTop w:val="0"/>
                      <w:marBottom w:val="0"/>
                      <w:divBdr>
                        <w:top w:val="none" w:sz="0" w:space="0" w:color="auto"/>
                        <w:left w:val="none" w:sz="0" w:space="0" w:color="auto"/>
                        <w:bottom w:val="none" w:sz="0" w:space="0" w:color="auto"/>
                        <w:right w:val="none" w:sz="0" w:space="0" w:color="auto"/>
                      </w:divBdr>
                      <w:divsChild>
                        <w:div w:id="294150143">
                          <w:marLeft w:val="0"/>
                          <w:marRight w:val="0"/>
                          <w:marTop w:val="0"/>
                          <w:marBottom w:val="0"/>
                          <w:divBdr>
                            <w:top w:val="none" w:sz="0" w:space="0" w:color="auto"/>
                            <w:left w:val="none" w:sz="0" w:space="0" w:color="auto"/>
                            <w:bottom w:val="none" w:sz="0" w:space="0" w:color="auto"/>
                            <w:right w:val="none" w:sz="0" w:space="0" w:color="auto"/>
                          </w:divBdr>
                        </w:div>
                      </w:divsChild>
                    </w:div>
                    <w:div w:id="294149076">
                      <w:marLeft w:val="0"/>
                      <w:marRight w:val="0"/>
                      <w:marTop w:val="0"/>
                      <w:marBottom w:val="0"/>
                      <w:divBdr>
                        <w:top w:val="none" w:sz="0" w:space="0" w:color="auto"/>
                        <w:left w:val="none" w:sz="0" w:space="0" w:color="auto"/>
                        <w:bottom w:val="none" w:sz="0" w:space="0" w:color="auto"/>
                        <w:right w:val="none" w:sz="0" w:space="0" w:color="auto"/>
                      </w:divBdr>
                    </w:div>
                    <w:div w:id="294149079">
                      <w:marLeft w:val="0"/>
                      <w:marRight w:val="0"/>
                      <w:marTop w:val="0"/>
                      <w:marBottom w:val="0"/>
                      <w:divBdr>
                        <w:top w:val="none" w:sz="0" w:space="0" w:color="auto"/>
                        <w:left w:val="none" w:sz="0" w:space="0" w:color="auto"/>
                        <w:bottom w:val="none" w:sz="0" w:space="0" w:color="auto"/>
                        <w:right w:val="none" w:sz="0" w:space="0" w:color="auto"/>
                      </w:divBdr>
                      <w:divsChild>
                        <w:div w:id="294141167">
                          <w:marLeft w:val="0"/>
                          <w:marRight w:val="0"/>
                          <w:marTop w:val="0"/>
                          <w:marBottom w:val="0"/>
                          <w:divBdr>
                            <w:top w:val="none" w:sz="0" w:space="0" w:color="auto"/>
                            <w:left w:val="none" w:sz="0" w:space="0" w:color="auto"/>
                            <w:bottom w:val="none" w:sz="0" w:space="0" w:color="auto"/>
                            <w:right w:val="none" w:sz="0" w:space="0" w:color="auto"/>
                          </w:divBdr>
                        </w:div>
                      </w:divsChild>
                    </w:div>
                    <w:div w:id="294149178">
                      <w:marLeft w:val="0"/>
                      <w:marRight w:val="0"/>
                      <w:marTop w:val="0"/>
                      <w:marBottom w:val="0"/>
                      <w:divBdr>
                        <w:top w:val="none" w:sz="0" w:space="0" w:color="auto"/>
                        <w:left w:val="none" w:sz="0" w:space="0" w:color="auto"/>
                        <w:bottom w:val="none" w:sz="0" w:space="0" w:color="auto"/>
                        <w:right w:val="none" w:sz="0" w:space="0" w:color="auto"/>
                      </w:divBdr>
                    </w:div>
                    <w:div w:id="294149186">
                      <w:marLeft w:val="0"/>
                      <w:marRight w:val="0"/>
                      <w:marTop w:val="0"/>
                      <w:marBottom w:val="0"/>
                      <w:divBdr>
                        <w:top w:val="none" w:sz="0" w:space="0" w:color="auto"/>
                        <w:left w:val="none" w:sz="0" w:space="0" w:color="auto"/>
                        <w:bottom w:val="none" w:sz="0" w:space="0" w:color="auto"/>
                        <w:right w:val="none" w:sz="0" w:space="0" w:color="auto"/>
                      </w:divBdr>
                    </w:div>
                    <w:div w:id="294149299">
                      <w:marLeft w:val="0"/>
                      <w:marRight w:val="0"/>
                      <w:marTop w:val="0"/>
                      <w:marBottom w:val="0"/>
                      <w:divBdr>
                        <w:top w:val="none" w:sz="0" w:space="0" w:color="auto"/>
                        <w:left w:val="none" w:sz="0" w:space="0" w:color="auto"/>
                        <w:bottom w:val="none" w:sz="0" w:space="0" w:color="auto"/>
                        <w:right w:val="none" w:sz="0" w:space="0" w:color="auto"/>
                      </w:divBdr>
                    </w:div>
                    <w:div w:id="294149303">
                      <w:marLeft w:val="0"/>
                      <w:marRight w:val="0"/>
                      <w:marTop w:val="0"/>
                      <w:marBottom w:val="0"/>
                      <w:divBdr>
                        <w:top w:val="none" w:sz="0" w:space="0" w:color="auto"/>
                        <w:left w:val="none" w:sz="0" w:space="0" w:color="auto"/>
                        <w:bottom w:val="none" w:sz="0" w:space="0" w:color="auto"/>
                        <w:right w:val="none" w:sz="0" w:space="0" w:color="auto"/>
                      </w:divBdr>
                      <w:divsChild>
                        <w:div w:id="294148267">
                          <w:marLeft w:val="0"/>
                          <w:marRight w:val="0"/>
                          <w:marTop w:val="0"/>
                          <w:marBottom w:val="0"/>
                          <w:divBdr>
                            <w:top w:val="none" w:sz="0" w:space="0" w:color="auto"/>
                            <w:left w:val="none" w:sz="0" w:space="0" w:color="auto"/>
                            <w:bottom w:val="none" w:sz="0" w:space="0" w:color="auto"/>
                            <w:right w:val="none" w:sz="0" w:space="0" w:color="auto"/>
                          </w:divBdr>
                        </w:div>
                      </w:divsChild>
                    </w:div>
                    <w:div w:id="294149427">
                      <w:marLeft w:val="0"/>
                      <w:marRight w:val="0"/>
                      <w:marTop w:val="0"/>
                      <w:marBottom w:val="0"/>
                      <w:divBdr>
                        <w:top w:val="none" w:sz="0" w:space="0" w:color="auto"/>
                        <w:left w:val="none" w:sz="0" w:space="0" w:color="auto"/>
                        <w:bottom w:val="none" w:sz="0" w:space="0" w:color="auto"/>
                        <w:right w:val="none" w:sz="0" w:space="0" w:color="auto"/>
                      </w:divBdr>
                    </w:div>
                    <w:div w:id="294149549">
                      <w:marLeft w:val="0"/>
                      <w:marRight w:val="0"/>
                      <w:marTop w:val="0"/>
                      <w:marBottom w:val="0"/>
                      <w:divBdr>
                        <w:top w:val="none" w:sz="0" w:space="0" w:color="auto"/>
                        <w:left w:val="none" w:sz="0" w:space="0" w:color="auto"/>
                        <w:bottom w:val="none" w:sz="0" w:space="0" w:color="auto"/>
                        <w:right w:val="none" w:sz="0" w:space="0" w:color="auto"/>
                      </w:divBdr>
                    </w:div>
                    <w:div w:id="294149598">
                      <w:marLeft w:val="0"/>
                      <w:marRight w:val="0"/>
                      <w:marTop w:val="0"/>
                      <w:marBottom w:val="0"/>
                      <w:divBdr>
                        <w:top w:val="none" w:sz="0" w:space="0" w:color="auto"/>
                        <w:left w:val="none" w:sz="0" w:space="0" w:color="auto"/>
                        <w:bottom w:val="none" w:sz="0" w:space="0" w:color="auto"/>
                        <w:right w:val="none" w:sz="0" w:space="0" w:color="auto"/>
                      </w:divBdr>
                      <w:divsChild>
                        <w:div w:id="294149065">
                          <w:marLeft w:val="0"/>
                          <w:marRight w:val="0"/>
                          <w:marTop w:val="0"/>
                          <w:marBottom w:val="0"/>
                          <w:divBdr>
                            <w:top w:val="none" w:sz="0" w:space="0" w:color="auto"/>
                            <w:left w:val="none" w:sz="0" w:space="0" w:color="auto"/>
                            <w:bottom w:val="none" w:sz="0" w:space="0" w:color="auto"/>
                            <w:right w:val="none" w:sz="0" w:space="0" w:color="auto"/>
                          </w:divBdr>
                        </w:div>
                      </w:divsChild>
                    </w:div>
                    <w:div w:id="294149687">
                      <w:marLeft w:val="0"/>
                      <w:marRight w:val="0"/>
                      <w:marTop w:val="0"/>
                      <w:marBottom w:val="0"/>
                      <w:divBdr>
                        <w:top w:val="none" w:sz="0" w:space="0" w:color="auto"/>
                        <w:left w:val="none" w:sz="0" w:space="0" w:color="auto"/>
                        <w:bottom w:val="none" w:sz="0" w:space="0" w:color="auto"/>
                        <w:right w:val="none" w:sz="0" w:space="0" w:color="auto"/>
                      </w:divBdr>
                      <w:divsChild>
                        <w:div w:id="294156463">
                          <w:marLeft w:val="0"/>
                          <w:marRight w:val="0"/>
                          <w:marTop w:val="0"/>
                          <w:marBottom w:val="0"/>
                          <w:divBdr>
                            <w:top w:val="none" w:sz="0" w:space="0" w:color="auto"/>
                            <w:left w:val="none" w:sz="0" w:space="0" w:color="auto"/>
                            <w:bottom w:val="none" w:sz="0" w:space="0" w:color="auto"/>
                            <w:right w:val="none" w:sz="0" w:space="0" w:color="auto"/>
                          </w:divBdr>
                        </w:div>
                      </w:divsChild>
                    </w:div>
                    <w:div w:id="294149734">
                      <w:marLeft w:val="0"/>
                      <w:marRight w:val="0"/>
                      <w:marTop w:val="0"/>
                      <w:marBottom w:val="0"/>
                      <w:divBdr>
                        <w:top w:val="none" w:sz="0" w:space="0" w:color="auto"/>
                        <w:left w:val="none" w:sz="0" w:space="0" w:color="auto"/>
                        <w:bottom w:val="none" w:sz="0" w:space="0" w:color="auto"/>
                        <w:right w:val="none" w:sz="0" w:space="0" w:color="auto"/>
                      </w:divBdr>
                      <w:divsChild>
                        <w:div w:id="294138643">
                          <w:marLeft w:val="0"/>
                          <w:marRight w:val="0"/>
                          <w:marTop w:val="0"/>
                          <w:marBottom w:val="0"/>
                          <w:divBdr>
                            <w:top w:val="none" w:sz="0" w:space="0" w:color="auto"/>
                            <w:left w:val="none" w:sz="0" w:space="0" w:color="auto"/>
                            <w:bottom w:val="none" w:sz="0" w:space="0" w:color="auto"/>
                            <w:right w:val="none" w:sz="0" w:space="0" w:color="auto"/>
                          </w:divBdr>
                        </w:div>
                      </w:divsChild>
                    </w:div>
                    <w:div w:id="294149763">
                      <w:marLeft w:val="0"/>
                      <w:marRight w:val="0"/>
                      <w:marTop w:val="0"/>
                      <w:marBottom w:val="0"/>
                      <w:divBdr>
                        <w:top w:val="none" w:sz="0" w:space="0" w:color="auto"/>
                        <w:left w:val="none" w:sz="0" w:space="0" w:color="auto"/>
                        <w:bottom w:val="none" w:sz="0" w:space="0" w:color="auto"/>
                        <w:right w:val="none" w:sz="0" w:space="0" w:color="auto"/>
                      </w:divBdr>
                    </w:div>
                    <w:div w:id="294149790">
                      <w:marLeft w:val="0"/>
                      <w:marRight w:val="0"/>
                      <w:marTop w:val="0"/>
                      <w:marBottom w:val="0"/>
                      <w:divBdr>
                        <w:top w:val="none" w:sz="0" w:space="0" w:color="auto"/>
                        <w:left w:val="none" w:sz="0" w:space="0" w:color="auto"/>
                        <w:bottom w:val="none" w:sz="0" w:space="0" w:color="auto"/>
                        <w:right w:val="none" w:sz="0" w:space="0" w:color="auto"/>
                      </w:divBdr>
                      <w:divsChild>
                        <w:div w:id="294142301">
                          <w:marLeft w:val="0"/>
                          <w:marRight w:val="0"/>
                          <w:marTop w:val="0"/>
                          <w:marBottom w:val="0"/>
                          <w:divBdr>
                            <w:top w:val="none" w:sz="0" w:space="0" w:color="auto"/>
                            <w:left w:val="none" w:sz="0" w:space="0" w:color="auto"/>
                            <w:bottom w:val="none" w:sz="0" w:space="0" w:color="auto"/>
                            <w:right w:val="none" w:sz="0" w:space="0" w:color="auto"/>
                          </w:divBdr>
                        </w:div>
                      </w:divsChild>
                    </w:div>
                    <w:div w:id="294149840">
                      <w:marLeft w:val="0"/>
                      <w:marRight w:val="0"/>
                      <w:marTop w:val="0"/>
                      <w:marBottom w:val="0"/>
                      <w:divBdr>
                        <w:top w:val="none" w:sz="0" w:space="0" w:color="auto"/>
                        <w:left w:val="none" w:sz="0" w:space="0" w:color="auto"/>
                        <w:bottom w:val="none" w:sz="0" w:space="0" w:color="auto"/>
                        <w:right w:val="none" w:sz="0" w:space="0" w:color="auto"/>
                      </w:divBdr>
                      <w:divsChild>
                        <w:div w:id="294156525">
                          <w:marLeft w:val="0"/>
                          <w:marRight w:val="0"/>
                          <w:marTop w:val="0"/>
                          <w:marBottom w:val="0"/>
                          <w:divBdr>
                            <w:top w:val="none" w:sz="0" w:space="0" w:color="auto"/>
                            <w:left w:val="none" w:sz="0" w:space="0" w:color="auto"/>
                            <w:bottom w:val="none" w:sz="0" w:space="0" w:color="auto"/>
                            <w:right w:val="none" w:sz="0" w:space="0" w:color="auto"/>
                          </w:divBdr>
                        </w:div>
                      </w:divsChild>
                    </w:div>
                    <w:div w:id="294149913">
                      <w:marLeft w:val="0"/>
                      <w:marRight w:val="0"/>
                      <w:marTop w:val="0"/>
                      <w:marBottom w:val="0"/>
                      <w:divBdr>
                        <w:top w:val="none" w:sz="0" w:space="0" w:color="auto"/>
                        <w:left w:val="none" w:sz="0" w:space="0" w:color="auto"/>
                        <w:bottom w:val="none" w:sz="0" w:space="0" w:color="auto"/>
                        <w:right w:val="none" w:sz="0" w:space="0" w:color="auto"/>
                      </w:divBdr>
                    </w:div>
                    <w:div w:id="294149916">
                      <w:marLeft w:val="0"/>
                      <w:marRight w:val="0"/>
                      <w:marTop w:val="0"/>
                      <w:marBottom w:val="0"/>
                      <w:divBdr>
                        <w:top w:val="none" w:sz="0" w:space="0" w:color="auto"/>
                        <w:left w:val="none" w:sz="0" w:space="0" w:color="auto"/>
                        <w:bottom w:val="none" w:sz="0" w:space="0" w:color="auto"/>
                        <w:right w:val="none" w:sz="0" w:space="0" w:color="auto"/>
                      </w:divBdr>
                    </w:div>
                    <w:div w:id="294149970">
                      <w:marLeft w:val="0"/>
                      <w:marRight w:val="0"/>
                      <w:marTop w:val="0"/>
                      <w:marBottom w:val="0"/>
                      <w:divBdr>
                        <w:top w:val="none" w:sz="0" w:space="0" w:color="auto"/>
                        <w:left w:val="none" w:sz="0" w:space="0" w:color="auto"/>
                        <w:bottom w:val="none" w:sz="0" w:space="0" w:color="auto"/>
                        <w:right w:val="none" w:sz="0" w:space="0" w:color="auto"/>
                      </w:divBdr>
                    </w:div>
                    <w:div w:id="294149972">
                      <w:marLeft w:val="0"/>
                      <w:marRight w:val="0"/>
                      <w:marTop w:val="0"/>
                      <w:marBottom w:val="0"/>
                      <w:divBdr>
                        <w:top w:val="none" w:sz="0" w:space="0" w:color="auto"/>
                        <w:left w:val="none" w:sz="0" w:space="0" w:color="auto"/>
                        <w:bottom w:val="none" w:sz="0" w:space="0" w:color="auto"/>
                        <w:right w:val="none" w:sz="0" w:space="0" w:color="auto"/>
                      </w:divBdr>
                    </w:div>
                    <w:div w:id="294150014">
                      <w:marLeft w:val="0"/>
                      <w:marRight w:val="0"/>
                      <w:marTop w:val="0"/>
                      <w:marBottom w:val="0"/>
                      <w:divBdr>
                        <w:top w:val="none" w:sz="0" w:space="0" w:color="auto"/>
                        <w:left w:val="none" w:sz="0" w:space="0" w:color="auto"/>
                        <w:bottom w:val="none" w:sz="0" w:space="0" w:color="auto"/>
                        <w:right w:val="none" w:sz="0" w:space="0" w:color="auto"/>
                      </w:divBdr>
                      <w:divsChild>
                        <w:div w:id="294152383">
                          <w:marLeft w:val="0"/>
                          <w:marRight w:val="0"/>
                          <w:marTop w:val="0"/>
                          <w:marBottom w:val="0"/>
                          <w:divBdr>
                            <w:top w:val="none" w:sz="0" w:space="0" w:color="auto"/>
                            <w:left w:val="none" w:sz="0" w:space="0" w:color="auto"/>
                            <w:bottom w:val="none" w:sz="0" w:space="0" w:color="auto"/>
                            <w:right w:val="none" w:sz="0" w:space="0" w:color="auto"/>
                          </w:divBdr>
                        </w:div>
                      </w:divsChild>
                    </w:div>
                    <w:div w:id="294150078">
                      <w:marLeft w:val="0"/>
                      <w:marRight w:val="0"/>
                      <w:marTop w:val="0"/>
                      <w:marBottom w:val="0"/>
                      <w:divBdr>
                        <w:top w:val="none" w:sz="0" w:space="0" w:color="auto"/>
                        <w:left w:val="none" w:sz="0" w:space="0" w:color="auto"/>
                        <w:bottom w:val="none" w:sz="0" w:space="0" w:color="auto"/>
                        <w:right w:val="none" w:sz="0" w:space="0" w:color="auto"/>
                      </w:divBdr>
                    </w:div>
                    <w:div w:id="294150108">
                      <w:marLeft w:val="0"/>
                      <w:marRight w:val="0"/>
                      <w:marTop w:val="0"/>
                      <w:marBottom w:val="0"/>
                      <w:divBdr>
                        <w:top w:val="none" w:sz="0" w:space="0" w:color="auto"/>
                        <w:left w:val="none" w:sz="0" w:space="0" w:color="auto"/>
                        <w:bottom w:val="none" w:sz="0" w:space="0" w:color="auto"/>
                        <w:right w:val="none" w:sz="0" w:space="0" w:color="auto"/>
                      </w:divBdr>
                      <w:divsChild>
                        <w:div w:id="294143984">
                          <w:marLeft w:val="0"/>
                          <w:marRight w:val="0"/>
                          <w:marTop w:val="0"/>
                          <w:marBottom w:val="0"/>
                          <w:divBdr>
                            <w:top w:val="none" w:sz="0" w:space="0" w:color="auto"/>
                            <w:left w:val="none" w:sz="0" w:space="0" w:color="auto"/>
                            <w:bottom w:val="none" w:sz="0" w:space="0" w:color="auto"/>
                            <w:right w:val="none" w:sz="0" w:space="0" w:color="auto"/>
                          </w:divBdr>
                        </w:div>
                      </w:divsChild>
                    </w:div>
                    <w:div w:id="294150114">
                      <w:marLeft w:val="0"/>
                      <w:marRight w:val="0"/>
                      <w:marTop w:val="0"/>
                      <w:marBottom w:val="0"/>
                      <w:divBdr>
                        <w:top w:val="none" w:sz="0" w:space="0" w:color="auto"/>
                        <w:left w:val="none" w:sz="0" w:space="0" w:color="auto"/>
                        <w:bottom w:val="none" w:sz="0" w:space="0" w:color="auto"/>
                        <w:right w:val="none" w:sz="0" w:space="0" w:color="auto"/>
                      </w:divBdr>
                    </w:div>
                    <w:div w:id="294150137">
                      <w:marLeft w:val="0"/>
                      <w:marRight w:val="0"/>
                      <w:marTop w:val="0"/>
                      <w:marBottom w:val="0"/>
                      <w:divBdr>
                        <w:top w:val="none" w:sz="0" w:space="0" w:color="auto"/>
                        <w:left w:val="none" w:sz="0" w:space="0" w:color="auto"/>
                        <w:bottom w:val="none" w:sz="0" w:space="0" w:color="auto"/>
                        <w:right w:val="none" w:sz="0" w:space="0" w:color="auto"/>
                      </w:divBdr>
                    </w:div>
                    <w:div w:id="294150341">
                      <w:marLeft w:val="0"/>
                      <w:marRight w:val="0"/>
                      <w:marTop w:val="0"/>
                      <w:marBottom w:val="0"/>
                      <w:divBdr>
                        <w:top w:val="none" w:sz="0" w:space="0" w:color="auto"/>
                        <w:left w:val="none" w:sz="0" w:space="0" w:color="auto"/>
                        <w:bottom w:val="none" w:sz="0" w:space="0" w:color="auto"/>
                        <w:right w:val="none" w:sz="0" w:space="0" w:color="auto"/>
                      </w:divBdr>
                      <w:divsChild>
                        <w:div w:id="294139116">
                          <w:marLeft w:val="0"/>
                          <w:marRight w:val="0"/>
                          <w:marTop w:val="0"/>
                          <w:marBottom w:val="0"/>
                          <w:divBdr>
                            <w:top w:val="none" w:sz="0" w:space="0" w:color="auto"/>
                            <w:left w:val="none" w:sz="0" w:space="0" w:color="auto"/>
                            <w:bottom w:val="none" w:sz="0" w:space="0" w:color="auto"/>
                            <w:right w:val="none" w:sz="0" w:space="0" w:color="auto"/>
                          </w:divBdr>
                        </w:div>
                      </w:divsChild>
                    </w:div>
                    <w:div w:id="294150415">
                      <w:marLeft w:val="0"/>
                      <w:marRight w:val="0"/>
                      <w:marTop w:val="0"/>
                      <w:marBottom w:val="0"/>
                      <w:divBdr>
                        <w:top w:val="none" w:sz="0" w:space="0" w:color="auto"/>
                        <w:left w:val="none" w:sz="0" w:space="0" w:color="auto"/>
                        <w:bottom w:val="none" w:sz="0" w:space="0" w:color="auto"/>
                        <w:right w:val="none" w:sz="0" w:space="0" w:color="auto"/>
                      </w:divBdr>
                      <w:divsChild>
                        <w:div w:id="294141323">
                          <w:marLeft w:val="0"/>
                          <w:marRight w:val="0"/>
                          <w:marTop w:val="0"/>
                          <w:marBottom w:val="0"/>
                          <w:divBdr>
                            <w:top w:val="none" w:sz="0" w:space="0" w:color="auto"/>
                            <w:left w:val="none" w:sz="0" w:space="0" w:color="auto"/>
                            <w:bottom w:val="none" w:sz="0" w:space="0" w:color="auto"/>
                            <w:right w:val="none" w:sz="0" w:space="0" w:color="auto"/>
                          </w:divBdr>
                        </w:div>
                      </w:divsChild>
                    </w:div>
                    <w:div w:id="294150474">
                      <w:marLeft w:val="0"/>
                      <w:marRight w:val="0"/>
                      <w:marTop w:val="0"/>
                      <w:marBottom w:val="0"/>
                      <w:divBdr>
                        <w:top w:val="none" w:sz="0" w:space="0" w:color="auto"/>
                        <w:left w:val="none" w:sz="0" w:space="0" w:color="auto"/>
                        <w:bottom w:val="none" w:sz="0" w:space="0" w:color="auto"/>
                        <w:right w:val="none" w:sz="0" w:space="0" w:color="auto"/>
                      </w:divBdr>
                    </w:div>
                    <w:div w:id="294150506">
                      <w:marLeft w:val="0"/>
                      <w:marRight w:val="0"/>
                      <w:marTop w:val="0"/>
                      <w:marBottom w:val="0"/>
                      <w:divBdr>
                        <w:top w:val="none" w:sz="0" w:space="0" w:color="auto"/>
                        <w:left w:val="none" w:sz="0" w:space="0" w:color="auto"/>
                        <w:bottom w:val="none" w:sz="0" w:space="0" w:color="auto"/>
                        <w:right w:val="none" w:sz="0" w:space="0" w:color="auto"/>
                      </w:divBdr>
                    </w:div>
                    <w:div w:id="294150513">
                      <w:marLeft w:val="0"/>
                      <w:marRight w:val="0"/>
                      <w:marTop w:val="0"/>
                      <w:marBottom w:val="0"/>
                      <w:divBdr>
                        <w:top w:val="none" w:sz="0" w:space="0" w:color="auto"/>
                        <w:left w:val="none" w:sz="0" w:space="0" w:color="auto"/>
                        <w:bottom w:val="none" w:sz="0" w:space="0" w:color="auto"/>
                        <w:right w:val="none" w:sz="0" w:space="0" w:color="auto"/>
                      </w:divBdr>
                    </w:div>
                    <w:div w:id="294150539">
                      <w:marLeft w:val="0"/>
                      <w:marRight w:val="0"/>
                      <w:marTop w:val="0"/>
                      <w:marBottom w:val="0"/>
                      <w:divBdr>
                        <w:top w:val="none" w:sz="0" w:space="0" w:color="auto"/>
                        <w:left w:val="none" w:sz="0" w:space="0" w:color="auto"/>
                        <w:bottom w:val="none" w:sz="0" w:space="0" w:color="auto"/>
                        <w:right w:val="none" w:sz="0" w:space="0" w:color="auto"/>
                      </w:divBdr>
                    </w:div>
                    <w:div w:id="294150590">
                      <w:marLeft w:val="0"/>
                      <w:marRight w:val="0"/>
                      <w:marTop w:val="0"/>
                      <w:marBottom w:val="0"/>
                      <w:divBdr>
                        <w:top w:val="none" w:sz="0" w:space="0" w:color="auto"/>
                        <w:left w:val="none" w:sz="0" w:space="0" w:color="auto"/>
                        <w:bottom w:val="none" w:sz="0" w:space="0" w:color="auto"/>
                        <w:right w:val="none" w:sz="0" w:space="0" w:color="auto"/>
                      </w:divBdr>
                    </w:div>
                    <w:div w:id="294150682">
                      <w:marLeft w:val="0"/>
                      <w:marRight w:val="0"/>
                      <w:marTop w:val="0"/>
                      <w:marBottom w:val="0"/>
                      <w:divBdr>
                        <w:top w:val="none" w:sz="0" w:space="0" w:color="auto"/>
                        <w:left w:val="none" w:sz="0" w:space="0" w:color="auto"/>
                        <w:bottom w:val="none" w:sz="0" w:space="0" w:color="auto"/>
                        <w:right w:val="none" w:sz="0" w:space="0" w:color="auto"/>
                      </w:divBdr>
                    </w:div>
                    <w:div w:id="294150690">
                      <w:marLeft w:val="0"/>
                      <w:marRight w:val="0"/>
                      <w:marTop w:val="0"/>
                      <w:marBottom w:val="0"/>
                      <w:divBdr>
                        <w:top w:val="none" w:sz="0" w:space="0" w:color="auto"/>
                        <w:left w:val="none" w:sz="0" w:space="0" w:color="auto"/>
                        <w:bottom w:val="none" w:sz="0" w:space="0" w:color="auto"/>
                        <w:right w:val="none" w:sz="0" w:space="0" w:color="auto"/>
                      </w:divBdr>
                    </w:div>
                    <w:div w:id="294150691">
                      <w:marLeft w:val="0"/>
                      <w:marRight w:val="0"/>
                      <w:marTop w:val="0"/>
                      <w:marBottom w:val="0"/>
                      <w:divBdr>
                        <w:top w:val="none" w:sz="0" w:space="0" w:color="auto"/>
                        <w:left w:val="none" w:sz="0" w:space="0" w:color="auto"/>
                        <w:bottom w:val="none" w:sz="0" w:space="0" w:color="auto"/>
                        <w:right w:val="none" w:sz="0" w:space="0" w:color="auto"/>
                      </w:divBdr>
                    </w:div>
                    <w:div w:id="294150703">
                      <w:marLeft w:val="0"/>
                      <w:marRight w:val="0"/>
                      <w:marTop w:val="0"/>
                      <w:marBottom w:val="0"/>
                      <w:divBdr>
                        <w:top w:val="none" w:sz="0" w:space="0" w:color="auto"/>
                        <w:left w:val="none" w:sz="0" w:space="0" w:color="auto"/>
                        <w:bottom w:val="none" w:sz="0" w:space="0" w:color="auto"/>
                        <w:right w:val="none" w:sz="0" w:space="0" w:color="auto"/>
                      </w:divBdr>
                      <w:divsChild>
                        <w:div w:id="294153072">
                          <w:marLeft w:val="0"/>
                          <w:marRight w:val="0"/>
                          <w:marTop w:val="0"/>
                          <w:marBottom w:val="0"/>
                          <w:divBdr>
                            <w:top w:val="none" w:sz="0" w:space="0" w:color="auto"/>
                            <w:left w:val="none" w:sz="0" w:space="0" w:color="auto"/>
                            <w:bottom w:val="none" w:sz="0" w:space="0" w:color="auto"/>
                            <w:right w:val="none" w:sz="0" w:space="0" w:color="auto"/>
                          </w:divBdr>
                        </w:div>
                      </w:divsChild>
                    </w:div>
                    <w:div w:id="294150735">
                      <w:marLeft w:val="0"/>
                      <w:marRight w:val="0"/>
                      <w:marTop w:val="0"/>
                      <w:marBottom w:val="0"/>
                      <w:divBdr>
                        <w:top w:val="none" w:sz="0" w:space="0" w:color="auto"/>
                        <w:left w:val="none" w:sz="0" w:space="0" w:color="auto"/>
                        <w:bottom w:val="none" w:sz="0" w:space="0" w:color="auto"/>
                        <w:right w:val="none" w:sz="0" w:space="0" w:color="auto"/>
                      </w:divBdr>
                      <w:divsChild>
                        <w:div w:id="294153065">
                          <w:marLeft w:val="0"/>
                          <w:marRight w:val="0"/>
                          <w:marTop w:val="0"/>
                          <w:marBottom w:val="0"/>
                          <w:divBdr>
                            <w:top w:val="none" w:sz="0" w:space="0" w:color="auto"/>
                            <w:left w:val="none" w:sz="0" w:space="0" w:color="auto"/>
                            <w:bottom w:val="none" w:sz="0" w:space="0" w:color="auto"/>
                            <w:right w:val="none" w:sz="0" w:space="0" w:color="auto"/>
                          </w:divBdr>
                        </w:div>
                      </w:divsChild>
                    </w:div>
                    <w:div w:id="294150738">
                      <w:marLeft w:val="0"/>
                      <w:marRight w:val="0"/>
                      <w:marTop w:val="0"/>
                      <w:marBottom w:val="0"/>
                      <w:divBdr>
                        <w:top w:val="none" w:sz="0" w:space="0" w:color="auto"/>
                        <w:left w:val="none" w:sz="0" w:space="0" w:color="auto"/>
                        <w:bottom w:val="none" w:sz="0" w:space="0" w:color="auto"/>
                        <w:right w:val="none" w:sz="0" w:space="0" w:color="auto"/>
                      </w:divBdr>
                    </w:div>
                    <w:div w:id="294150744">
                      <w:marLeft w:val="0"/>
                      <w:marRight w:val="0"/>
                      <w:marTop w:val="0"/>
                      <w:marBottom w:val="0"/>
                      <w:divBdr>
                        <w:top w:val="none" w:sz="0" w:space="0" w:color="auto"/>
                        <w:left w:val="none" w:sz="0" w:space="0" w:color="auto"/>
                        <w:bottom w:val="none" w:sz="0" w:space="0" w:color="auto"/>
                        <w:right w:val="none" w:sz="0" w:space="0" w:color="auto"/>
                      </w:divBdr>
                      <w:divsChild>
                        <w:div w:id="294153415">
                          <w:marLeft w:val="0"/>
                          <w:marRight w:val="0"/>
                          <w:marTop w:val="0"/>
                          <w:marBottom w:val="0"/>
                          <w:divBdr>
                            <w:top w:val="none" w:sz="0" w:space="0" w:color="auto"/>
                            <w:left w:val="none" w:sz="0" w:space="0" w:color="auto"/>
                            <w:bottom w:val="none" w:sz="0" w:space="0" w:color="auto"/>
                            <w:right w:val="none" w:sz="0" w:space="0" w:color="auto"/>
                          </w:divBdr>
                        </w:div>
                      </w:divsChild>
                    </w:div>
                    <w:div w:id="294150755">
                      <w:marLeft w:val="0"/>
                      <w:marRight w:val="0"/>
                      <w:marTop w:val="0"/>
                      <w:marBottom w:val="0"/>
                      <w:divBdr>
                        <w:top w:val="none" w:sz="0" w:space="0" w:color="auto"/>
                        <w:left w:val="none" w:sz="0" w:space="0" w:color="auto"/>
                        <w:bottom w:val="none" w:sz="0" w:space="0" w:color="auto"/>
                        <w:right w:val="none" w:sz="0" w:space="0" w:color="auto"/>
                      </w:divBdr>
                      <w:divsChild>
                        <w:div w:id="294155030">
                          <w:marLeft w:val="0"/>
                          <w:marRight w:val="0"/>
                          <w:marTop w:val="0"/>
                          <w:marBottom w:val="0"/>
                          <w:divBdr>
                            <w:top w:val="none" w:sz="0" w:space="0" w:color="auto"/>
                            <w:left w:val="none" w:sz="0" w:space="0" w:color="auto"/>
                            <w:bottom w:val="none" w:sz="0" w:space="0" w:color="auto"/>
                            <w:right w:val="none" w:sz="0" w:space="0" w:color="auto"/>
                          </w:divBdr>
                        </w:div>
                      </w:divsChild>
                    </w:div>
                    <w:div w:id="294150819">
                      <w:marLeft w:val="0"/>
                      <w:marRight w:val="0"/>
                      <w:marTop w:val="0"/>
                      <w:marBottom w:val="0"/>
                      <w:divBdr>
                        <w:top w:val="none" w:sz="0" w:space="0" w:color="auto"/>
                        <w:left w:val="none" w:sz="0" w:space="0" w:color="auto"/>
                        <w:bottom w:val="none" w:sz="0" w:space="0" w:color="auto"/>
                        <w:right w:val="none" w:sz="0" w:space="0" w:color="auto"/>
                      </w:divBdr>
                      <w:divsChild>
                        <w:div w:id="294152029">
                          <w:marLeft w:val="0"/>
                          <w:marRight w:val="0"/>
                          <w:marTop w:val="0"/>
                          <w:marBottom w:val="0"/>
                          <w:divBdr>
                            <w:top w:val="none" w:sz="0" w:space="0" w:color="auto"/>
                            <w:left w:val="none" w:sz="0" w:space="0" w:color="auto"/>
                            <w:bottom w:val="none" w:sz="0" w:space="0" w:color="auto"/>
                            <w:right w:val="none" w:sz="0" w:space="0" w:color="auto"/>
                          </w:divBdr>
                        </w:div>
                      </w:divsChild>
                    </w:div>
                    <w:div w:id="294150823">
                      <w:marLeft w:val="0"/>
                      <w:marRight w:val="0"/>
                      <w:marTop w:val="0"/>
                      <w:marBottom w:val="0"/>
                      <w:divBdr>
                        <w:top w:val="none" w:sz="0" w:space="0" w:color="auto"/>
                        <w:left w:val="none" w:sz="0" w:space="0" w:color="auto"/>
                        <w:bottom w:val="none" w:sz="0" w:space="0" w:color="auto"/>
                        <w:right w:val="none" w:sz="0" w:space="0" w:color="auto"/>
                      </w:divBdr>
                    </w:div>
                    <w:div w:id="294150858">
                      <w:marLeft w:val="0"/>
                      <w:marRight w:val="0"/>
                      <w:marTop w:val="0"/>
                      <w:marBottom w:val="0"/>
                      <w:divBdr>
                        <w:top w:val="none" w:sz="0" w:space="0" w:color="auto"/>
                        <w:left w:val="none" w:sz="0" w:space="0" w:color="auto"/>
                        <w:bottom w:val="none" w:sz="0" w:space="0" w:color="auto"/>
                        <w:right w:val="none" w:sz="0" w:space="0" w:color="auto"/>
                      </w:divBdr>
                      <w:divsChild>
                        <w:div w:id="294155326">
                          <w:marLeft w:val="0"/>
                          <w:marRight w:val="0"/>
                          <w:marTop w:val="0"/>
                          <w:marBottom w:val="0"/>
                          <w:divBdr>
                            <w:top w:val="none" w:sz="0" w:space="0" w:color="auto"/>
                            <w:left w:val="none" w:sz="0" w:space="0" w:color="auto"/>
                            <w:bottom w:val="none" w:sz="0" w:space="0" w:color="auto"/>
                            <w:right w:val="none" w:sz="0" w:space="0" w:color="auto"/>
                          </w:divBdr>
                        </w:div>
                      </w:divsChild>
                    </w:div>
                    <w:div w:id="294150859">
                      <w:marLeft w:val="0"/>
                      <w:marRight w:val="0"/>
                      <w:marTop w:val="0"/>
                      <w:marBottom w:val="0"/>
                      <w:divBdr>
                        <w:top w:val="none" w:sz="0" w:space="0" w:color="auto"/>
                        <w:left w:val="none" w:sz="0" w:space="0" w:color="auto"/>
                        <w:bottom w:val="none" w:sz="0" w:space="0" w:color="auto"/>
                        <w:right w:val="none" w:sz="0" w:space="0" w:color="auto"/>
                      </w:divBdr>
                    </w:div>
                    <w:div w:id="294150884">
                      <w:marLeft w:val="0"/>
                      <w:marRight w:val="0"/>
                      <w:marTop w:val="0"/>
                      <w:marBottom w:val="0"/>
                      <w:divBdr>
                        <w:top w:val="none" w:sz="0" w:space="0" w:color="auto"/>
                        <w:left w:val="none" w:sz="0" w:space="0" w:color="auto"/>
                        <w:bottom w:val="none" w:sz="0" w:space="0" w:color="auto"/>
                        <w:right w:val="none" w:sz="0" w:space="0" w:color="auto"/>
                      </w:divBdr>
                    </w:div>
                    <w:div w:id="294150904">
                      <w:marLeft w:val="0"/>
                      <w:marRight w:val="0"/>
                      <w:marTop w:val="0"/>
                      <w:marBottom w:val="0"/>
                      <w:divBdr>
                        <w:top w:val="none" w:sz="0" w:space="0" w:color="auto"/>
                        <w:left w:val="none" w:sz="0" w:space="0" w:color="auto"/>
                        <w:bottom w:val="none" w:sz="0" w:space="0" w:color="auto"/>
                        <w:right w:val="none" w:sz="0" w:space="0" w:color="auto"/>
                      </w:divBdr>
                      <w:divsChild>
                        <w:div w:id="294144602">
                          <w:marLeft w:val="0"/>
                          <w:marRight w:val="0"/>
                          <w:marTop w:val="0"/>
                          <w:marBottom w:val="0"/>
                          <w:divBdr>
                            <w:top w:val="none" w:sz="0" w:space="0" w:color="auto"/>
                            <w:left w:val="none" w:sz="0" w:space="0" w:color="auto"/>
                            <w:bottom w:val="none" w:sz="0" w:space="0" w:color="auto"/>
                            <w:right w:val="none" w:sz="0" w:space="0" w:color="auto"/>
                          </w:divBdr>
                        </w:div>
                      </w:divsChild>
                    </w:div>
                    <w:div w:id="294150962">
                      <w:marLeft w:val="0"/>
                      <w:marRight w:val="0"/>
                      <w:marTop w:val="0"/>
                      <w:marBottom w:val="0"/>
                      <w:divBdr>
                        <w:top w:val="none" w:sz="0" w:space="0" w:color="auto"/>
                        <w:left w:val="none" w:sz="0" w:space="0" w:color="auto"/>
                        <w:bottom w:val="none" w:sz="0" w:space="0" w:color="auto"/>
                        <w:right w:val="none" w:sz="0" w:space="0" w:color="auto"/>
                      </w:divBdr>
                      <w:divsChild>
                        <w:div w:id="294144215">
                          <w:marLeft w:val="0"/>
                          <w:marRight w:val="0"/>
                          <w:marTop w:val="0"/>
                          <w:marBottom w:val="0"/>
                          <w:divBdr>
                            <w:top w:val="none" w:sz="0" w:space="0" w:color="auto"/>
                            <w:left w:val="none" w:sz="0" w:space="0" w:color="auto"/>
                            <w:bottom w:val="none" w:sz="0" w:space="0" w:color="auto"/>
                            <w:right w:val="none" w:sz="0" w:space="0" w:color="auto"/>
                          </w:divBdr>
                        </w:div>
                      </w:divsChild>
                    </w:div>
                    <w:div w:id="294151009">
                      <w:marLeft w:val="0"/>
                      <w:marRight w:val="0"/>
                      <w:marTop w:val="0"/>
                      <w:marBottom w:val="0"/>
                      <w:divBdr>
                        <w:top w:val="none" w:sz="0" w:space="0" w:color="auto"/>
                        <w:left w:val="none" w:sz="0" w:space="0" w:color="auto"/>
                        <w:bottom w:val="none" w:sz="0" w:space="0" w:color="auto"/>
                        <w:right w:val="none" w:sz="0" w:space="0" w:color="auto"/>
                      </w:divBdr>
                    </w:div>
                    <w:div w:id="294151071">
                      <w:marLeft w:val="0"/>
                      <w:marRight w:val="0"/>
                      <w:marTop w:val="0"/>
                      <w:marBottom w:val="0"/>
                      <w:divBdr>
                        <w:top w:val="none" w:sz="0" w:space="0" w:color="auto"/>
                        <w:left w:val="none" w:sz="0" w:space="0" w:color="auto"/>
                        <w:bottom w:val="none" w:sz="0" w:space="0" w:color="auto"/>
                        <w:right w:val="none" w:sz="0" w:space="0" w:color="auto"/>
                      </w:divBdr>
                      <w:divsChild>
                        <w:div w:id="294153780">
                          <w:marLeft w:val="0"/>
                          <w:marRight w:val="0"/>
                          <w:marTop w:val="0"/>
                          <w:marBottom w:val="0"/>
                          <w:divBdr>
                            <w:top w:val="none" w:sz="0" w:space="0" w:color="auto"/>
                            <w:left w:val="none" w:sz="0" w:space="0" w:color="auto"/>
                            <w:bottom w:val="none" w:sz="0" w:space="0" w:color="auto"/>
                            <w:right w:val="none" w:sz="0" w:space="0" w:color="auto"/>
                          </w:divBdr>
                        </w:div>
                      </w:divsChild>
                    </w:div>
                    <w:div w:id="294151115">
                      <w:marLeft w:val="0"/>
                      <w:marRight w:val="0"/>
                      <w:marTop w:val="0"/>
                      <w:marBottom w:val="0"/>
                      <w:divBdr>
                        <w:top w:val="none" w:sz="0" w:space="0" w:color="auto"/>
                        <w:left w:val="none" w:sz="0" w:space="0" w:color="auto"/>
                        <w:bottom w:val="none" w:sz="0" w:space="0" w:color="auto"/>
                        <w:right w:val="none" w:sz="0" w:space="0" w:color="auto"/>
                      </w:divBdr>
                      <w:divsChild>
                        <w:div w:id="294152610">
                          <w:marLeft w:val="0"/>
                          <w:marRight w:val="0"/>
                          <w:marTop w:val="0"/>
                          <w:marBottom w:val="0"/>
                          <w:divBdr>
                            <w:top w:val="none" w:sz="0" w:space="0" w:color="auto"/>
                            <w:left w:val="none" w:sz="0" w:space="0" w:color="auto"/>
                            <w:bottom w:val="none" w:sz="0" w:space="0" w:color="auto"/>
                            <w:right w:val="none" w:sz="0" w:space="0" w:color="auto"/>
                          </w:divBdr>
                        </w:div>
                      </w:divsChild>
                    </w:div>
                    <w:div w:id="294151138">
                      <w:marLeft w:val="0"/>
                      <w:marRight w:val="0"/>
                      <w:marTop w:val="0"/>
                      <w:marBottom w:val="0"/>
                      <w:divBdr>
                        <w:top w:val="none" w:sz="0" w:space="0" w:color="auto"/>
                        <w:left w:val="none" w:sz="0" w:space="0" w:color="auto"/>
                        <w:bottom w:val="none" w:sz="0" w:space="0" w:color="auto"/>
                        <w:right w:val="none" w:sz="0" w:space="0" w:color="auto"/>
                      </w:divBdr>
                      <w:divsChild>
                        <w:div w:id="294152937">
                          <w:marLeft w:val="0"/>
                          <w:marRight w:val="0"/>
                          <w:marTop w:val="0"/>
                          <w:marBottom w:val="0"/>
                          <w:divBdr>
                            <w:top w:val="none" w:sz="0" w:space="0" w:color="auto"/>
                            <w:left w:val="none" w:sz="0" w:space="0" w:color="auto"/>
                            <w:bottom w:val="none" w:sz="0" w:space="0" w:color="auto"/>
                            <w:right w:val="none" w:sz="0" w:space="0" w:color="auto"/>
                          </w:divBdr>
                        </w:div>
                      </w:divsChild>
                    </w:div>
                    <w:div w:id="294151142">
                      <w:marLeft w:val="0"/>
                      <w:marRight w:val="0"/>
                      <w:marTop w:val="0"/>
                      <w:marBottom w:val="0"/>
                      <w:divBdr>
                        <w:top w:val="none" w:sz="0" w:space="0" w:color="auto"/>
                        <w:left w:val="none" w:sz="0" w:space="0" w:color="auto"/>
                        <w:bottom w:val="none" w:sz="0" w:space="0" w:color="auto"/>
                        <w:right w:val="none" w:sz="0" w:space="0" w:color="auto"/>
                      </w:divBdr>
                      <w:divsChild>
                        <w:div w:id="294149243">
                          <w:marLeft w:val="0"/>
                          <w:marRight w:val="0"/>
                          <w:marTop w:val="0"/>
                          <w:marBottom w:val="0"/>
                          <w:divBdr>
                            <w:top w:val="none" w:sz="0" w:space="0" w:color="auto"/>
                            <w:left w:val="none" w:sz="0" w:space="0" w:color="auto"/>
                            <w:bottom w:val="none" w:sz="0" w:space="0" w:color="auto"/>
                            <w:right w:val="none" w:sz="0" w:space="0" w:color="auto"/>
                          </w:divBdr>
                        </w:div>
                      </w:divsChild>
                    </w:div>
                    <w:div w:id="294151217">
                      <w:marLeft w:val="0"/>
                      <w:marRight w:val="0"/>
                      <w:marTop w:val="0"/>
                      <w:marBottom w:val="0"/>
                      <w:divBdr>
                        <w:top w:val="none" w:sz="0" w:space="0" w:color="auto"/>
                        <w:left w:val="none" w:sz="0" w:space="0" w:color="auto"/>
                        <w:bottom w:val="none" w:sz="0" w:space="0" w:color="auto"/>
                        <w:right w:val="none" w:sz="0" w:space="0" w:color="auto"/>
                      </w:divBdr>
                    </w:div>
                    <w:div w:id="294151243">
                      <w:marLeft w:val="0"/>
                      <w:marRight w:val="0"/>
                      <w:marTop w:val="0"/>
                      <w:marBottom w:val="0"/>
                      <w:divBdr>
                        <w:top w:val="none" w:sz="0" w:space="0" w:color="auto"/>
                        <w:left w:val="none" w:sz="0" w:space="0" w:color="auto"/>
                        <w:bottom w:val="none" w:sz="0" w:space="0" w:color="auto"/>
                        <w:right w:val="none" w:sz="0" w:space="0" w:color="auto"/>
                      </w:divBdr>
                    </w:div>
                    <w:div w:id="294151274">
                      <w:marLeft w:val="0"/>
                      <w:marRight w:val="0"/>
                      <w:marTop w:val="0"/>
                      <w:marBottom w:val="0"/>
                      <w:divBdr>
                        <w:top w:val="none" w:sz="0" w:space="0" w:color="auto"/>
                        <w:left w:val="none" w:sz="0" w:space="0" w:color="auto"/>
                        <w:bottom w:val="none" w:sz="0" w:space="0" w:color="auto"/>
                        <w:right w:val="none" w:sz="0" w:space="0" w:color="auto"/>
                      </w:divBdr>
                      <w:divsChild>
                        <w:div w:id="294139602">
                          <w:marLeft w:val="0"/>
                          <w:marRight w:val="0"/>
                          <w:marTop w:val="0"/>
                          <w:marBottom w:val="0"/>
                          <w:divBdr>
                            <w:top w:val="none" w:sz="0" w:space="0" w:color="auto"/>
                            <w:left w:val="none" w:sz="0" w:space="0" w:color="auto"/>
                            <w:bottom w:val="none" w:sz="0" w:space="0" w:color="auto"/>
                            <w:right w:val="none" w:sz="0" w:space="0" w:color="auto"/>
                          </w:divBdr>
                        </w:div>
                      </w:divsChild>
                    </w:div>
                    <w:div w:id="294151316">
                      <w:marLeft w:val="0"/>
                      <w:marRight w:val="0"/>
                      <w:marTop w:val="0"/>
                      <w:marBottom w:val="0"/>
                      <w:divBdr>
                        <w:top w:val="none" w:sz="0" w:space="0" w:color="auto"/>
                        <w:left w:val="none" w:sz="0" w:space="0" w:color="auto"/>
                        <w:bottom w:val="none" w:sz="0" w:space="0" w:color="auto"/>
                        <w:right w:val="none" w:sz="0" w:space="0" w:color="auto"/>
                      </w:divBdr>
                    </w:div>
                    <w:div w:id="294151326">
                      <w:marLeft w:val="0"/>
                      <w:marRight w:val="0"/>
                      <w:marTop w:val="0"/>
                      <w:marBottom w:val="0"/>
                      <w:divBdr>
                        <w:top w:val="none" w:sz="0" w:space="0" w:color="auto"/>
                        <w:left w:val="none" w:sz="0" w:space="0" w:color="auto"/>
                        <w:bottom w:val="none" w:sz="0" w:space="0" w:color="auto"/>
                        <w:right w:val="none" w:sz="0" w:space="0" w:color="auto"/>
                      </w:divBdr>
                      <w:divsChild>
                        <w:div w:id="294152189">
                          <w:marLeft w:val="0"/>
                          <w:marRight w:val="0"/>
                          <w:marTop w:val="0"/>
                          <w:marBottom w:val="0"/>
                          <w:divBdr>
                            <w:top w:val="none" w:sz="0" w:space="0" w:color="auto"/>
                            <w:left w:val="none" w:sz="0" w:space="0" w:color="auto"/>
                            <w:bottom w:val="none" w:sz="0" w:space="0" w:color="auto"/>
                            <w:right w:val="none" w:sz="0" w:space="0" w:color="auto"/>
                          </w:divBdr>
                        </w:div>
                      </w:divsChild>
                    </w:div>
                    <w:div w:id="294151363">
                      <w:marLeft w:val="0"/>
                      <w:marRight w:val="0"/>
                      <w:marTop w:val="0"/>
                      <w:marBottom w:val="0"/>
                      <w:divBdr>
                        <w:top w:val="none" w:sz="0" w:space="0" w:color="auto"/>
                        <w:left w:val="none" w:sz="0" w:space="0" w:color="auto"/>
                        <w:bottom w:val="none" w:sz="0" w:space="0" w:color="auto"/>
                        <w:right w:val="none" w:sz="0" w:space="0" w:color="auto"/>
                      </w:divBdr>
                      <w:divsChild>
                        <w:div w:id="294153693">
                          <w:marLeft w:val="0"/>
                          <w:marRight w:val="0"/>
                          <w:marTop w:val="0"/>
                          <w:marBottom w:val="0"/>
                          <w:divBdr>
                            <w:top w:val="none" w:sz="0" w:space="0" w:color="auto"/>
                            <w:left w:val="none" w:sz="0" w:space="0" w:color="auto"/>
                            <w:bottom w:val="none" w:sz="0" w:space="0" w:color="auto"/>
                            <w:right w:val="none" w:sz="0" w:space="0" w:color="auto"/>
                          </w:divBdr>
                        </w:div>
                      </w:divsChild>
                    </w:div>
                    <w:div w:id="294151396">
                      <w:marLeft w:val="0"/>
                      <w:marRight w:val="0"/>
                      <w:marTop w:val="0"/>
                      <w:marBottom w:val="0"/>
                      <w:divBdr>
                        <w:top w:val="none" w:sz="0" w:space="0" w:color="auto"/>
                        <w:left w:val="none" w:sz="0" w:space="0" w:color="auto"/>
                        <w:bottom w:val="none" w:sz="0" w:space="0" w:color="auto"/>
                        <w:right w:val="none" w:sz="0" w:space="0" w:color="auto"/>
                      </w:divBdr>
                      <w:divsChild>
                        <w:div w:id="294152533">
                          <w:marLeft w:val="0"/>
                          <w:marRight w:val="0"/>
                          <w:marTop w:val="0"/>
                          <w:marBottom w:val="0"/>
                          <w:divBdr>
                            <w:top w:val="none" w:sz="0" w:space="0" w:color="auto"/>
                            <w:left w:val="none" w:sz="0" w:space="0" w:color="auto"/>
                            <w:bottom w:val="none" w:sz="0" w:space="0" w:color="auto"/>
                            <w:right w:val="none" w:sz="0" w:space="0" w:color="auto"/>
                          </w:divBdr>
                        </w:div>
                      </w:divsChild>
                    </w:div>
                    <w:div w:id="294151512">
                      <w:marLeft w:val="0"/>
                      <w:marRight w:val="0"/>
                      <w:marTop w:val="0"/>
                      <w:marBottom w:val="0"/>
                      <w:divBdr>
                        <w:top w:val="none" w:sz="0" w:space="0" w:color="auto"/>
                        <w:left w:val="none" w:sz="0" w:space="0" w:color="auto"/>
                        <w:bottom w:val="none" w:sz="0" w:space="0" w:color="auto"/>
                        <w:right w:val="none" w:sz="0" w:space="0" w:color="auto"/>
                      </w:divBdr>
                      <w:divsChild>
                        <w:div w:id="294149954">
                          <w:marLeft w:val="0"/>
                          <w:marRight w:val="0"/>
                          <w:marTop w:val="0"/>
                          <w:marBottom w:val="0"/>
                          <w:divBdr>
                            <w:top w:val="none" w:sz="0" w:space="0" w:color="auto"/>
                            <w:left w:val="none" w:sz="0" w:space="0" w:color="auto"/>
                            <w:bottom w:val="none" w:sz="0" w:space="0" w:color="auto"/>
                            <w:right w:val="none" w:sz="0" w:space="0" w:color="auto"/>
                          </w:divBdr>
                        </w:div>
                      </w:divsChild>
                    </w:div>
                    <w:div w:id="294151538">
                      <w:marLeft w:val="0"/>
                      <w:marRight w:val="0"/>
                      <w:marTop w:val="0"/>
                      <w:marBottom w:val="0"/>
                      <w:divBdr>
                        <w:top w:val="none" w:sz="0" w:space="0" w:color="auto"/>
                        <w:left w:val="none" w:sz="0" w:space="0" w:color="auto"/>
                        <w:bottom w:val="none" w:sz="0" w:space="0" w:color="auto"/>
                        <w:right w:val="none" w:sz="0" w:space="0" w:color="auto"/>
                      </w:divBdr>
                    </w:div>
                    <w:div w:id="294151678">
                      <w:marLeft w:val="0"/>
                      <w:marRight w:val="0"/>
                      <w:marTop w:val="0"/>
                      <w:marBottom w:val="0"/>
                      <w:divBdr>
                        <w:top w:val="none" w:sz="0" w:space="0" w:color="auto"/>
                        <w:left w:val="none" w:sz="0" w:space="0" w:color="auto"/>
                        <w:bottom w:val="none" w:sz="0" w:space="0" w:color="auto"/>
                        <w:right w:val="none" w:sz="0" w:space="0" w:color="auto"/>
                      </w:divBdr>
                      <w:divsChild>
                        <w:div w:id="294149834">
                          <w:marLeft w:val="0"/>
                          <w:marRight w:val="0"/>
                          <w:marTop w:val="0"/>
                          <w:marBottom w:val="0"/>
                          <w:divBdr>
                            <w:top w:val="none" w:sz="0" w:space="0" w:color="auto"/>
                            <w:left w:val="none" w:sz="0" w:space="0" w:color="auto"/>
                            <w:bottom w:val="none" w:sz="0" w:space="0" w:color="auto"/>
                            <w:right w:val="none" w:sz="0" w:space="0" w:color="auto"/>
                          </w:divBdr>
                        </w:div>
                      </w:divsChild>
                    </w:div>
                    <w:div w:id="294151737">
                      <w:marLeft w:val="0"/>
                      <w:marRight w:val="0"/>
                      <w:marTop w:val="0"/>
                      <w:marBottom w:val="0"/>
                      <w:divBdr>
                        <w:top w:val="none" w:sz="0" w:space="0" w:color="auto"/>
                        <w:left w:val="none" w:sz="0" w:space="0" w:color="auto"/>
                        <w:bottom w:val="none" w:sz="0" w:space="0" w:color="auto"/>
                        <w:right w:val="none" w:sz="0" w:space="0" w:color="auto"/>
                      </w:divBdr>
                      <w:divsChild>
                        <w:div w:id="294155365">
                          <w:marLeft w:val="0"/>
                          <w:marRight w:val="0"/>
                          <w:marTop w:val="0"/>
                          <w:marBottom w:val="0"/>
                          <w:divBdr>
                            <w:top w:val="none" w:sz="0" w:space="0" w:color="auto"/>
                            <w:left w:val="none" w:sz="0" w:space="0" w:color="auto"/>
                            <w:bottom w:val="none" w:sz="0" w:space="0" w:color="auto"/>
                            <w:right w:val="none" w:sz="0" w:space="0" w:color="auto"/>
                          </w:divBdr>
                        </w:div>
                      </w:divsChild>
                    </w:div>
                    <w:div w:id="294151795">
                      <w:marLeft w:val="0"/>
                      <w:marRight w:val="0"/>
                      <w:marTop w:val="0"/>
                      <w:marBottom w:val="0"/>
                      <w:divBdr>
                        <w:top w:val="none" w:sz="0" w:space="0" w:color="auto"/>
                        <w:left w:val="none" w:sz="0" w:space="0" w:color="auto"/>
                        <w:bottom w:val="none" w:sz="0" w:space="0" w:color="auto"/>
                        <w:right w:val="none" w:sz="0" w:space="0" w:color="auto"/>
                      </w:divBdr>
                      <w:divsChild>
                        <w:div w:id="294143704">
                          <w:marLeft w:val="0"/>
                          <w:marRight w:val="0"/>
                          <w:marTop w:val="0"/>
                          <w:marBottom w:val="0"/>
                          <w:divBdr>
                            <w:top w:val="none" w:sz="0" w:space="0" w:color="auto"/>
                            <w:left w:val="none" w:sz="0" w:space="0" w:color="auto"/>
                            <w:bottom w:val="none" w:sz="0" w:space="0" w:color="auto"/>
                            <w:right w:val="none" w:sz="0" w:space="0" w:color="auto"/>
                          </w:divBdr>
                        </w:div>
                      </w:divsChild>
                    </w:div>
                    <w:div w:id="294151814">
                      <w:marLeft w:val="0"/>
                      <w:marRight w:val="0"/>
                      <w:marTop w:val="0"/>
                      <w:marBottom w:val="0"/>
                      <w:divBdr>
                        <w:top w:val="none" w:sz="0" w:space="0" w:color="auto"/>
                        <w:left w:val="none" w:sz="0" w:space="0" w:color="auto"/>
                        <w:bottom w:val="none" w:sz="0" w:space="0" w:color="auto"/>
                        <w:right w:val="none" w:sz="0" w:space="0" w:color="auto"/>
                      </w:divBdr>
                    </w:div>
                    <w:div w:id="294151830">
                      <w:marLeft w:val="0"/>
                      <w:marRight w:val="0"/>
                      <w:marTop w:val="0"/>
                      <w:marBottom w:val="0"/>
                      <w:divBdr>
                        <w:top w:val="none" w:sz="0" w:space="0" w:color="auto"/>
                        <w:left w:val="none" w:sz="0" w:space="0" w:color="auto"/>
                        <w:bottom w:val="none" w:sz="0" w:space="0" w:color="auto"/>
                        <w:right w:val="none" w:sz="0" w:space="0" w:color="auto"/>
                      </w:divBdr>
                    </w:div>
                    <w:div w:id="294151852">
                      <w:marLeft w:val="0"/>
                      <w:marRight w:val="0"/>
                      <w:marTop w:val="0"/>
                      <w:marBottom w:val="0"/>
                      <w:divBdr>
                        <w:top w:val="none" w:sz="0" w:space="0" w:color="auto"/>
                        <w:left w:val="none" w:sz="0" w:space="0" w:color="auto"/>
                        <w:bottom w:val="none" w:sz="0" w:space="0" w:color="auto"/>
                        <w:right w:val="none" w:sz="0" w:space="0" w:color="auto"/>
                      </w:divBdr>
                      <w:divsChild>
                        <w:div w:id="294140278">
                          <w:marLeft w:val="0"/>
                          <w:marRight w:val="0"/>
                          <w:marTop w:val="0"/>
                          <w:marBottom w:val="0"/>
                          <w:divBdr>
                            <w:top w:val="none" w:sz="0" w:space="0" w:color="auto"/>
                            <w:left w:val="none" w:sz="0" w:space="0" w:color="auto"/>
                            <w:bottom w:val="none" w:sz="0" w:space="0" w:color="auto"/>
                            <w:right w:val="none" w:sz="0" w:space="0" w:color="auto"/>
                          </w:divBdr>
                        </w:div>
                      </w:divsChild>
                    </w:div>
                    <w:div w:id="294151912">
                      <w:marLeft w:val="0"/>
                      <w:marRight w:val="0"/>
                      <w:marTop w:val="0"/>
                      <w:marBottom w:val="0"/>
                      <w:divBdr>
                        <w:top w:val="none" w:sz="0" w:space="0" w:color="auto"/>
                        <w:left w:val="none" w:sz="0" w:space="0" w:color="auto"/>
                        <w:bottom w:val="none" w:sz="0" w:space="0" w:color="auto"/>
                        <w:right w:val="none" w:sz="0" w:space="0" w:color="auto"/>
                      </w:divBdr>
                    </w:div>
                    <w:div w:id="294151945">
                      <w:marLeft w:val="0"/>
                      <w:marRight w:val="0"/>
                      <w:marTop w:val="0"/>
                      <w:marBottom w:val="0"/>
                      <w:divBdr>
                        <w:top w:val="none" w:sz="0" w:space="0" w:color="auto"/>
                        <w:left w:val="none" w:sz="0" w:space="0" w:color="auto"/>
                        <w:bottom w:val="none" w:sz="0" w:space="0" w:color="auto"/>
                        <w:right w:val="none" w:sz="0" w:space="0" w:color="auto"/>
                      </w:divBdr>
                      <w:divsChild>
                        <w:div w:id="294151688">
                          <w:marLeft w:val="0"/>
                          <w:marRight w:val="0"/>
                          <w:marTop w:val="0"/>
                          <w:marBottom w:val="0"/>
                          <w:divBdr>
                            <w:top w:val="none" w:sz="0" w:space="0" w:color="auto"/>
                            <w:left w:val="none" w:sz="0" w:space="0" w:color="auto"/>
                            <w:bottom w:val="none" w:sz="0" w:space="0" w:color="auto"/>
                            <w:right w:val="none" w:sz="0" w:space="0" w:color="auto"/>
                          </w:divBdr>
                        </w:div>
                      </w:divsChild>
                    </w:div>
                    <w:div w:id="294151980">
                      <w:marLeft w:val="0"/>
                      <w:marRight w:val="0"/>
                      <w:marTop w:val="0"/>
                      <w:marBottom w:val="0"/>
                      <w:divBdr>
                        <w:top w:val="none" w:sz="0" w:space="0" w:color="auto"/>
                        <w:left w:val="none" w:sz="0" w:space="0" w:color="auto"/>
                        <w:bottom w:val="none" w:sz="0" w:space="0" w:color="auto"/>
                        <w:right w:val="none" w:sz="0" w:space="0" w:color="auto"/>
                      </w:divBdr>
                    </w:div>
                    <w:div w:id="294152040">
                      <w:marLeft w:val="0"/>
                      <w:marRight w:val="0"/>
                      <w:marTop w:val="0"/>
                      <w:marBottom w:val="0"/>
                      <w:divBdr>
                        <w:top w:val="none" w:sz="0" w:space="0" w:color="auto"/>
                        <w:left w:val="none" w:sz="0" w:space="0" w:color="auto"/>
                        <w:bottom w:val="none" w:sz="0" w:space="0" w:color="auto"/>
                        <w:right w:val="none" w:sz="0" w:space="0" w:color="auto"/>
                      </w:divBdr>
                      <w:divsChild>
                        <w:div w:id="294139205">
                          <w:marLeft w:val="0"/>
                          <w:marRight w:val="0"/>
                          <w:marTop w:val="0"/>
                          <w:marBottom w:val="0"/>
                          <w:divBdr>
                            <w:top w:val="none" w:sz="0" w:space="0" w:color="auto"/>
                            <w:left w:val="none" w:sz="0" w:space="0" w:color="auto"/>
                            <w:bottom w:val="none" w:sz="0" w:space="0" w:color="auto"/>
                            <w:right w:val="none" w:sz="0" w:space="0" w:color="auto"/>
                          </w:divBdr>
                        </w:div>
                      </w:divsChild>
                    </w:div>
                    <w:div w:id="294152057">
                      <w:marLeft w:val="0"/>
                      <w:marRight w:val="0"/>
                      <w:marTop w:val="0"/>
                      <w:marBottom w:val="0"/>
                      <w:divBdr>
                        <w:top w:val="none" w:sz="0" w:space="0" w:color="auto"/>
                        <w:left w:val="none" w:sz="0" w:space="0" w:color="auto"/>
                        <w:bottom w:val="none" w:sz="0" w:space="0" w:color="auto"/>
                        <w:right w:val="none" w:sz="0" w:space="0" w:color="auto"/>
                      </w:divBdr>
                      <w:divsChild>
                        <w:div w:id="294143279">
                          <w:marLeft w:val="0"/>
                          <w:marRight w:val="0"/>
                          <w:marTop w:val="0"/>
                          <w:marBottom w:val="0"/>
                          <w:divBdr>
                            <w:top w:val="none" w:sz="0" w:space="0" w:color="auto"/>
                            <w:left w:val="none" w:sz="0" w:space="0" w:color="auto"/>
                            <w:bottom w:val="none" w:sz="0" w:space="0" w:color="auto"/>
                            <w:right w:val="none" w:sz="0" w:space="0" w:color="auto"/>
                          </w:divBdr>
                        </w:div>
                      </w:divsChild>
                    </w:div>
                    <w:div w:id="294152059">
                      <w:marLeft w:val="0"/>
                      <w:marRight w:val="0"/>
                      <w:marTop w:val="0"/>
                      <w:marBottom w:val="0"/>
                      <w:divBdr>
                        <w:top w:val="none" w:sz="0" w:space="0" w:color="auto"/>
                        <w:left w:val="none" w:sz="0" w:space="0" w:color="auto"/>
                        <w:bottom w:val="none" w:sz="0" w:space="0" w:color="auto"/>
                        <w:right w:val="none" w:sz="0" w:space="0" w:color="auto"/>
                      </w:divBdr>
                    </w:div>
                    <w:div w:id="294152064">
                      <w:marLeft w:val="0"/>
                      <w:marRight w:val="0"/>
                      <w:marTop w:val="0"/>
                      <w:marBottom w:val="0"/>
                      <w:divBdr>
                        <w:top w:val="none" w:sz="0" w:space="0" w:color="auto"/>
                        <w:left w:val="none" w:sz="0" w:space="0" w:color="auto"/>
                        <w:bottom w:val="none" w:sz="0" w:space="0" w:color="auto"/>
                        <w:right w:val="none" w:sz="0" w:space="0" w:color="auto"/>
                      </w:divBdr>
                      <w:divsChild>
                        <w:div w:id="294142313">
                          <w:marLeft w:val="0"/>
                          <w:marRight w:val="0"/>
                          <w:marTop w:val="0"/>
                          <w:marBottom w:val="0"/>
                          <w:divBdr>
                            <w:top w:val="none" w:sz="0" w:space="0" w:color="auto"/>
                            <w:left w:val="none" w:sz="0" w:space="0" w:color="auto"/>
                            <w:bottom w:val="none" w:sz="0" w:space="0" w:color="auto"/>
                            <w:right w:val="none" w:sz="0" w:space="0" w:color="auto"/>
                          </w:divBdr>
                        </w:div>
                      </w:divsChild>
                    </w:div>
                    <w:div w:id="294152139">
                      <w:marLeft w:val="0"/>
                      <w:marRight w:val="0"/>
                      <w:marTop w:val="0"/>
                      <w:marBottom w:val="0"/>
                      <w:divBdr>
                        <w:top w:val="none" w:sz="0" w:space="0" w:color="auto"/>
                        <w:left w:val="none" w:sz="0" w:space="0" w:color="auto"/>
                        <w:bottom w:val="none" w:sz="0" w:space="0" w:color="auto"/>
                        <w:right w:val="none" w:sz="0" w:space="0" w:color="auto"/>
                      </w:divBdr>
                      <w:divsChild>
                        <w:div w:id="294139592">
                          <w:marLeft w:val="0"/>
                          <w:marRight w:val="0"/>
                          <w:marTop w:val="0"/>
                          <w:marBottom w:val="0"/>
                          <w:divBdr>
                            <w:top w:val="none" w:sz="0" w:space="0" w:color="auto"/>
                            <w:left w:val="none" w:sz="0" w:space="0" w:color="auto"/>
                            <w:bottom w:val="none" w:sz="0" w:space="0" w:color="auto"/>
                            <w:right w:val="none" w:sz="0" w:space="0" w:color="auto"/>
                          </w:divBdr>
                        </w:div>
                      </w:divsChild>
                    </w:div>
                    <w:div w:id="294152230">
                      <w:marLeft w:val="0"/>
                      <w:marRight w:val="0"/>
                      <w:marTop w:val="0"/>
                      <w:marBottom w:val="0"/>
                      <w:divBdr>
                        <w:top w:val="none" w:sz="0" w:space="0" w:color="auto"/>
                        <w:left w:val="none" w:sz="0" w:space="0" w:color="auto"/>
                        <w:bottom w:val="none" w:sz="0" w:space="0" w:color="auto"/>
                        <w:right w:val="none" w:sz="0" w:space="0" w:color="auto"/>
                      </w:divBdr>
                    </w:div>
                    <w:div w:id="294152318">
                      <w:marLeft w:val="0"/>
                      <w:marRight w:val="0"/>
                      <w:marTop w:val="0"/>
                      <w:marBottom w:val="0"/>
                      <w:divBdr>
                        <w:top w:val="none" w:sz="0" w:space="0" w:color="auto"/>
                        <w:left w:val="none" w:sz="0" w:space="0" w:color="auto"/>
                        <w:bottom w:val="none" w:sz="0" w:space="0" w:color="auto"/>
                        <w:right w:val="none" w:sz="0" w:space="0" w:color="auto"/>
                      </w:divBdr>
                      <w:divsChild>
                        <w:div w:id="294142919">
                          <w:marLeft w:val="0"/>
                          <w:marRight w:val="0"/>
                          <w:marTop w:val="0"/>
                          <w:marBottom w:val="0"/>
                          <w:divBdr>
                            <w:top w:val="none" w:sz="0" w:space="0" w:color="auto"/>
                            <w:left w:val="none" w:sz="0" w:space="0" w:color="auto"/>
                            <w:bottom w:val="none" w:sz="0" w:space="0" w:color="auto"/>
                            <w:right w:val="none" w:sz="0" w:space="0" w:color="auto"/>
                          </w:divBdr>
                        </w:div>
                      </w:divsChild>
                    </w:div>
                    <w:div w:id="294152354">
                      <w:marLeft w:val="0"/>
                      <w:marRight w:val="0"/>
                      <w:marTop w:val="0"/>
                      <w:marBottom w:val="0"/>
                      <w:divBdr>
                        <w:top w:val="none" w:sz="0" w:space="0" w:color="auto"/>
                        <w:left w:val="none" w:sz="0" w:space="0" w:color="auto"/>
                        <w:bottom w:val="none" w:sz="0" w:space="0" w:color="auto"/>
                        <w:right w:val="none" w:sz="0" w:space="0" w:color="auto"/>
                      </w:divBdr>
                    </w:div>
                    <w:div w:id="294152418">
                      <w:marLeft w:val="0"/>
                      <w:marRight w:val="0"/>
                      <w:marTop w:val="0"/>
                      <w:marBottom w:val="0"/>
                      <w:divBdr>
                        <w:top w:val="none" w:sz="0" w:space="0" w:color="auto"/>
                        <w:left w:val="none" w:sz="0" w:space="0" w:color="auto"/>
                        <w:bottom w:val="none" w:sz="0" w:space="0" w:color="auto"/>
                        <w:right w:val="none" w:sz="0" w:space="0" w:color="auto"/>
                      </w:divBdr>
                    </w:div>
                    <w:div w:id="294152474">
                      <w:marLeft w:val="0"/>
                      <w:marRight w:val="0"/>
                      <w:marTop w:val="0"/>
                      <w:marBottom w:val="0"/>
                      <w:divBdr>
                        <w:top w:val="none" w:sz="0" w:space="0" w:color="auto"/>
                        <w:left w:val="none" w:sz="0" w:space="0" w:color="auto"/>
                        <w:bottom w:val="none" w:sz="0" w:space="0" w:color="auto"/>
                        <w:right w:val="none" w:sz="0" w:space="0" w:color="auto"/>
                      </w:divBdr>
                    </w:div>
                    <w:div w:id="294152484">
                      <w:marLeft w:val="0"/>
                      <w:marRight w:val="0"/>
                      <w:marTop w:val="0"/>
                      <w:marBottom w:val="0"/>
                      <w:divBdr>
                        <w:top w:val="none" w:sz="0" w:space="0" w:color="auto"/>
                        <w:left w:val="none" w:sz="0" w:space="0" w:color="auto"/>
                        <w:bottom w:val="none" w:sz="0" w:space="0" w:color="auto"/>
                        <w:right w:val="none" w:sz="0" w:space="0" w:color="auto"/>
                      </w:divBdr>
                    </w:div>
                    <w:div w:id="294152602">
                      <w:marLeft w:val="0"/>
                      <w:marRight w:val="0"/>
                      <w:marTop w:val="0"/>
                      <w:marBottom w:val="0"/>
                      <w:divBdr>
                        <w:top w:val="none" w:sz="0" w:space="0" w:color="auto"/>
                        <w:left w:val="none" w:sz="0" w:space="0" w:color="auto"/>
                        <w:bottom w:val="none" w:sz="0" w:space="0" w:color="auto"/>
                        <w:right w:val="none" w:sz="0" w:space="0" w:color="auto"/>
                      </w:divBdr>
                      <w:divsChild>
                        <w:div w:id="294155677">
                          <w:marLeft w:val="0"/>
                          <w:marRight w:val="0"/>
                          <w:marTop w:val="0"/>
                          <w:marBottom w:val="0"/>
                          <w:divBdr>
                            <w:top w:val="none" w:sz="0" w:space="0" w:color="auto"/>
                            <w:left w:val="none" w:sz="0" w:space="0" w:color="auto"/>
                            <w:bottom w:val="none" w:sz="0" w:space="0" w:color="auto"/>
                            <w:right w:val="none" w:sz="0" w:space="0" w:color="auto"/>
                          </w:divBdr>
                        </w:div>
                      </w:divsChild>
                    </w:div>
                    <w:div w:id="294152632">
                      <w:marLeft w:val="0"/>
                      <w:marRight w:val="0"/>
                      <w:marTop w:val="0"/>
                      <w:marBottom w:val="0"/>
                      <w:divBdr>
                        <w:top w:val="none" w:sz="0" w:space="0" w:color="auto"/>
                        <w:left w:val="none" w:sz="0" w:space="0" w:color="auto"/>
                        <w:bottom w:val="none" w:sz="0" w:space="0" w:color="auto"/>
                        <w:right w:val="none" w:sz="0" w:space="0" w:color="auto"/>
                      </w:divBdr>
                    </w:div>
                    <w:div w:id="294152643">
                      <w:marLeft w:val="0"/>
                      <w:marRight w:val="0"/>
                      <w:marTop w:val="0"/>
                      <w:marBottom w:val="0"/>
                      <w:divBdr>
                        <w:top w:val="none" w:sz="0" w:space="0" w:color="auto"/>
                        <w:left w:val="none" w:sz="0" w:space="0" w:color="auto"/>
                        <w:bottom w:val="none" w:sz="0" w:space="0" w:color="auto"/>
                        <w:right w:val="none" w:sz="0" w:space="0" w:color="auto"/>
                      </w:divBdr>
                    </w:div>
                    <w:div w:id="294152665">
                      <w:marLeft w:val="0"/>
                      <w:marRight w:val="0"/>
                      <w:marTop w:val="0"/>
                      <w:marBottom w:val="0"/>
                      <w:divBdr>
                        <w:top w:val="none" w:sz="0" w:space="0" w:color="auto"/>
                        <w:left w:val="none" w:sz="0" w:space="0" w:color="auto"/>
                        <w:bottom w:val="none" w:sz="0" w:space="0" w:color="auto"/>
                        <w:right w:val="none" w:sz="0" w:space="0" w:color="auto"/>
                      </w:divBdr>
                    </w:div>
                    <w:div w:id="294152683">
                      <w:marLeft w:val="0"/>
                      <w:marRight w:val="0"/>
                      <w:marTop w:val="0"/>
                      <w:marBottom w:val="0"/>
                      <w:divBdr>
                        <w:top w:val="none" w:sz="0" w:space="0" w:color="auto"/>
                        <w:left w:val="none" w:sz="0" w:space="0" w:color="auto"/>
                        <w:bottom w:val="none" w:sz="0" w:space="0" w:color="auto"/>
                        <w:right w:val="none" w:sz="0" w:space="0" w:color="auto"/>
                      </w:divBdr>
                    </w:div>
                    <w:div w:id="294152695">
                      <w:marLeft w:val="0"/>
                      <w:marRight w:val="0"/>
                      <w:marTop w:val="0"/>
                      <w:marBottom w:val="0"/>
                      <w:divBdr>
                        <w:top w:val="none" w:sz="0" w:space="0" w:color="auto"/>
                        <w:left w:val="none" w:sz="0" w:space="0" w:color="auto"/>
                        <w:bottom w:val="none" w:sz="0" w:space="0" w:color="auto"/>
                        <w:right w:val="none" w:sz="0" w:space="0" w:color="auto"/>
                      </w:divBdr>
                    </w:div>
                    <w:div w:id="294152724">
                      <w:marLeft w:val="0"/>
                      <w:marRight w:val="0"/>
                      <w:marTop w:val="0"/>
                      <w:marBottom w:val="0"/>
                      <w:divBdr>
                        <w:top w:val="none" w:sz="0" w:space="0" w:color="auto"/>
                        <w:left w:val="none" w:sz="0" w:space="0" w:color="auto"/>
                        <w:bottom w:val="none" w:sz="0" w:space="0" w:color="auto"/>
                        <w:right w:val="none" w:sz="0" w:space="0" w:color="auto"/>
                      </w:divBdr>
                      <w:divsChild>
                        <w:div w:id="294149236">
                          <w:marLeft w:val="0"/>
                          <w:marRight w:val="0"/>
                          <w:marTop w:val="0"/>
                          <w:marBottom w:val="0"/>
                          <w:divBdr>
                            <w:top w:val="none" w:sz="0" w:space="0" w:color="auto"/>
                            <w:left w:val="none" w:sz="0" w:space="0" w:color="auto"/>
                            <w:bottom w:val="none" w:sz="0" w:space="0" w:color="auto"/>
                            <w:right w:val="none" w:sz="0" w:space="0" w:color="auto"/>
                          </w:divBdr>
                        </w:div>
                      </w:divsChild>
                    </w:div>
                    <w:div w:id="294152807">
                      <w:marLeft w:val="0"/>
                      <w:marRight w:val="0"/>
                      <w:marTop w:val="0"/>
                      <w:marBottom w:val="0"/>
                      <w:divBdr>
                        <w:top w:val="none" w:sz="0" w:space="0" w:color="auto"/>
                        <w:left w:val="none" w:sz="0" w:space="0" w:color="auto"/>
                        <w:bottom w:val="none" w:sz="0" w:space="0" w:color="auto"/>
                        <w:right w:val="none" w:sz="0" w:space="0" w:color="auto"/>
                      </w:divBdr>
                      <w:divsChild>
                        <w:div w:id="294155220">
                          <w:marLeft w:val="0"/>
                          <w:marRight w:val="0"/>
                          <w:marTop w:val="0"/>
                          <w:marBottom w:val="0"/>
                          <w:divBdr>
                            <w:top w:val="none" w:sz="0" w:space="0" w:color="auto"/>
                            <w:left w:val="none" w:sz="0" w:space="0" w:color="auto"/>
                            <w:bottom w:val="none" w:sz="0" w:space="0" w:color="auto"/>
                            <w:right w:val="none" w:sz="0" w:space="0" w:color="auto"/>
                          </w:divBdr>
                        </w:div>
                      </w:divsChild>
                    </w:div>
                    <w:div w:id="294152838">
                      <w:marLeft w:val="0"/>
                      <w:marRight w:val="0"/>
                      <w:marTop w:val="0"/>
                      <w:marBottom w:val="0"/>
                      <w:divBdr>
                        <w:top w:val="none" w:sz="0" w:space="0" w:color="auto"/>
                        <w:left w:val="none" w:sz="0" w:space="0" w:color="auto"/>
                        <w:bottom w:val="none" w:sz="0" w:space="0" w:color="auto"/>
                        <w:right w:val="none" w:sz="0" w:space="0" w:color="auto"/>
                      </w:divBdr>
                      <w:divsChild>
                        <w:div w:id="294140723">
                          <w:marLeft w:val="0"/>
                          <w:marRight w:val="0"/>
                          <w:marTop w:val="0"/>
                          <w:marBottom w:val="0"/>
                          <w:divBdr>
                            <w:top w:val="none" w:sz="0" w:space="0" w:color="auto"/>
                            <w:left w:val="none" w:sz="0" w:space="0" w:color="auto"/>
                            <w:bottom w:val="none" w:sz="0" w:space="0" w:color="auto"/>
                            <w:right w:val="none" w:sz="0" w:space="0" w:color="auto"/>
                          </w:divBdr>
                        </w:div>
                      </w:divsChild>
                    </w:div>
                    <w:div w:id="294152946">
                      <w:marLeft w:val="0"/>
                      <w:marRight w:val="0"/>
                      <w:marTop w:val="0"/>
                      <w:marBottom w:val="0"/>
                      <w:divBdr>
                        <w:top w:val="none" w:sz="0" w:space="0" w:color="auto"/>
                        <w:left w:val="none" w:sz="0" w:space="0" w:color="auto"/>
                        <w:bottom w:val="none" w:sz="0" w:space="0" w:color="auto"/>
                        <w:right w:val="none" w:sz="0" w:space="0" w:color="auto"/>
                      </w:divBdr>
                      <w:divsChild>
                        <w:div w:id="294140825">
                          <w:marLeft w:val="0"/>
                          <w:marRight w:val="0"/>
                          <w:marTop w:val="0"/>
                          <w:marBottom w:val="0"/>
                          <w:divBdr>
                            <w:top w:val="none" w:sz="0" w:space="0" w:color="auto"/>
                            <w:left w:val="none" w:sz="0" w:space="0" w:color="auto"/>
                            <w:bottom w:val="none" w:sz="0" w:space="0" w:color="auto"/>
                            <w:right w:val="none" w:sz="0" w:space="0" w:color="auto"/>
                          </w:divBdr>
                        </w:div>
                      </w:divsChild>
                    </w:div>
                    <w:div w:id="294152972">
                      <w:marLeft w:val="0"/>
                      <w:marRight w:val="0"/>
                      <w:marTop w:val="0"/>
                      <w:marBottom w:val="0"/>
                      <w:divBdr>
                        <w:top w:val="none" w:sz="0" w:space="0" w:color="auto"/>
                        <w:left w:val="none" w:sz="0" w:space="0" w:color="auto"/>
                        <w:bottom w:val="none" w:sz="0" w:space="0" w:color="auto"/>
                        <w:right w:val="none" w:sz="0" w:space="0" w:color="auto"/>
                      </w:divBdr>
                      <w:divsChild>
                        <w:div w:id="294157225">
                          <w:marLeft w:val="0"/>
                          <w:marRight w:val="0"/>
                          <w:marTop w:val="0"/>
                          <w:marBottom w:val="0"/>
                          <w:divBdr>
                            <w:top w:val="none" w:sz="0" w:space="0" w:color="auto"/>
                            <w:left w:val="none" w:sz="0" w:space="0" w:color="auto"/>
                            <w:bottom w:val="none" w:sz="0" w:space="0" w:color="auto"/>
                            <w:right w:val="none" w:sz="0" w:space="0" w:color="auto"/>
                          </w:divBdr>
                        </w:div>
                      </w:divsChild>
                    </w:div>
                    <w:div w:id="294153181">
                      <w:marLeft w:val="0"/>
                      <w:marRight w:val="0"/>
                      <w:marTop w:val="0"/>
                      <w:marBottom w:val="0"/>
                      <w:divBdr>
                        <w:top w:val="none" w:sz="0" w:space="0" w:color="auto"/>
                        <w:left w:val="none" w:sz="0" w:space="0" w:color="auto"/>
                        <w:bottom w:val="none" w:sz="0" w:space="0" w:color="auto"/>
                        <w:right w:val="none" w:sz="0" w:space="0" w:color="auto"/>
                      </w:divBdr>
                      <w:divsChild>
                        <w:div w:id="294146713">
                          <w:marLeft w:val="0"/>
                          <w:marRight w:val="0"/>
                          <w:marTop w:val="0"/>
                          <w:marBottom w:val="0"/>
                          <w:divBdr>
                            <w:top w:val="none" w:sz="0" w:space="0" w:color="auto"/>
                            <w:left w:val="none" w:sz="0" w:space="0" w:color="auto"/>
                            <w:bottom w:val="none" w:sz="0" w:space="0" w:color="auto"/>
                            <w:right w:val="none" w:sz="0" w:space="0" w:color="auto"/>
                          </w:divBdr>
                        </w:div>
                      </w:divsChild>
                    </w:div>
                    <w:div w:id="294153186">
                      <w:marLeft w:val="0"/>
                      <w:marRight w:val="0"/>
                      <w:marTop w:val="0"/>
                      <w:marBottom w:val="0"/>
                      <w:divBdr>
                        <w:top w:val="none" w:sz="0" w:space="0" w:color="auto"/>
                        <w:left w:val="none" w:sz="0" w:space="0" w:color="auto"/>
                        <w:bottom w:val="none" w:sz="0" w:space="0" w:color="auto"/>
                        <w:right w:val="none" w:sz="0" w:space="0" w:color="auto"/>
                      </w:divBdr>
                      <w:divsChild>
                        <w:div w:id="294142233">
                          <w:marLeft w:val="0"/>
                          <w:marRight w:val="0"/>
                          <w:marTop w:val="0"/>
                          <w:marBottom w:val="0"/>
                          <w:divBdr>
                            <w:top w:val="none" w:sz="0" w:space="0" w:color="auto"/>
                            <w:left w:val="none" w:sz="0" w:space="0" w:color="auto"/>
                            <w:bottom w:val="none" w:sz="0" w:space="0" w:color="auto"/>
                            <w:right w:val="none" w:sz="0" w:space="0" w:color="auto"/>
                          </w:divBdr>
                        </w:div>
                      </w:divsChild>
                    </w:div>
                    <w:div w:id="294153399">
                      <w:marLeft w:val="0"/>
                      <w:marRight w:val="0"/>
                      <w:marTop w:val="0"/>
                      <w:marBottom w:val="0"/>
                      <w:divBdr>
                        <w:top w:val="none" w:sz="0" w:space="0" w:color="auto"/>
                        <w:left w:val="none" w:sz="0" w:space="0" w:color="auto"/>
                        <w:bottom w:val="none" w:sz="0" w:space="0" w:color="auto"/>
                        <w:right w:val="none" w:sz="0" w:space="0" w:color="auto"/>
                      </w:divBdr>
                      <w:divsChild>
                        <w:div w:id="294139944">
                          <w:marLeft w:val="0"/>
                          <w:marRight w:val="0"/>
                          <w:marTop w:val="0"/>
                          <w:marBottom w:val="0"/>
                          <w:divBdr>
                            <w:top w:val="none" w:sz="0" w:space="0" w:color="auto"/>
                            <w:left w:val="none" w:sz="0" w:space="0" w:color="auto"/>
                            <w:bottom w:val="none" w:sz="0" w:space="0" w:color="auto"/>
                            <w:right w:val="none" w:sz="0" w:space="0" w:color="auto"/>
                          </w:divBdr>
                        </w:div>
                      </w:divsChild>
                    </w:div>
                    <w:div w:id="294153475">
                      <w:marLeft w:val="0"/>
                      <w:marRight w:val="0"/>
                      <w:marTop w:val="0"/>
                      <w:marBottom w:val="0"/>
                      <w:divBdr>
                        <w:top w:val="none" w:sz="0" w:space="0" w:color="auto"/>
                        <w:left w:val="none" w:sz="0" w:space="0" w:color="auto"/>
                        <w:bottom w:val="none" w:sz="0" w:space="0" w:color="auto"/>
                        <w:right w:val="none" w:sz="0" w:space="0" w:color="auto"/>
                      </w:divBdr>
                      <w:divsChild>
                        <w:div w:id="294143903">
                          <w:marLeft w:val="0"/>
                          <w:marRight w:val="0"/>
                          <w:marTop w:val="0"/>
                          <w:marBottom w:val="0"/>
                          <w:divBdr>
                            <w:top w:val="none" w:sz="0" w:space="0" w:color="auto"/>
                            <w:left w:val="none" w:sz="0" w:space="0" w:color="auto"/>
                            <w:bottom w:val="none" w:sz="0" w:space="0" w:color="auto"/>
                            <w:right w:val="none" w:sz="0" w:space="0" w:color="auto"/>
                          </w:divBdr>
                        </w:div>
                      </w:divsChild>
                    </w:div>
                    <w:div w:id="294153493">
                      <w:marLeft w:val="0"/>
                      <w:marRight w:val="0"/>
                      <w:marTop w:val="0"/>
                      <w:marBottom w:val="0"/>
                      <w:divBdr>
                        <w:top w:val="none" w:sz="0" w:space="0" w:color="auto"/>
                        <w:left w:val="none" w:sz="0" w:space="0" w:color="auto"/>
                        <w:bottom w:val="none" w:sz="0" w:space="0" w:color="auto"/>
                        <w:right w:val="none" w:sz="0" w:space="0" w:color="auto"/>
                      </w:divBdr>
                    </w:div>
                    <w:div w:id="294153576">
                      <w:marLeft w:val="0"/>
                      <w:marRight w:val="0"/>
                      <w:marTop w:val="0"/>
                      <w:marBottom w:val="0"/>
                      <w:divBdr>
                        <w:top w:val="none" w:sz="0" w:space="0" w:color="auto"/>
                        <w:left w:val="none" w:sz="0" w:space="0" w:color="auto"/>
                        <w:bottom w:val="none" w:sz="0" w:space="0" w:color="auto"/>
                        <w:right w:val="none" w:sz="0" w:space="0" w:color="auto"/>
                      </w:divBdr>
                      <w:divsChild>
                        <w:div w:id="294140424">
                          <w:marLeft w:val="0"/>
                          <w:marRight w:val="0"/>
                          <w:marTop w:val="0"/>
                          <w:marBottom w:val="0"/>
                          <w:divBdr>
                            <w:top w:val="none" w:sz="0" w:space="0" w:color="auto"/>
                            <w:left w:val="none" w:sz="0" w:space="0" w:color="auto"/>
                            <w:bottom w:val="none" w:sz="0" w:space="0" w:color="auto"/>
                            <w:right w:val="none" w:sz="0" w:space="0" w:color="auto"/>
                          </w:divBdr>
                        </w:div>
                      </w:divsChild>
                    </w:div>
                    <w:div w:id="294153622">
                      <w:marLeft w:val="0"/>
                      <w:marRight w:val="0"/>
                      <w:marTop w:val="0"/>
                      <w:marBottom w:val="0"/>
                      <w:divBdr>
                        <w:top w:val="none" w:sz="0" w:space="0" w:color="auto"/>
                        <w:left w:val="none" w:sz="0" w:space="0" w:color="auto"/>
                        <w:bottom w:val="none" w:sz="0" w:space="0" w:color="auto"/>
                        <w:right w:val="none" w:sz="0" w:space="0" w:color="auto"/>
                      </w:divBdr>
                    </w:div>
                    <w:div w:id="294153743">
                      <w:marLeft w:val="0"/>
                      <w:marRight w:val="0"/>
                      <w:marTop w:val="0"/>
                      <w:marBottom w:val="0"/>
                      <w:divBdr>
                        <w:top w:val="none" w:sz="0" w:space="0" w:color="auto"/>
                        <w:left w:val="none" w:sz="0" w:space="0" w:color="auto"/>
                        <w:bottom w:val="none" w:sz="0" w:space="0" w:color="auto"/>
                        <w:right w:val="none" w:sz="0" w:space="0" w:color="auto"/>
                      </w:divBdr>
                      <w:divsChild>
                        <w:div w:id="294146262">
                          <w:marLeft w:val="0"/>
                          <w:marRight w:val="0"/>
                          <w:marTop w:val="0"/>
                          <w:marBottom w:val="0"/>
                          <w:divBdr>
                            <w:top w:val="none" w:sz="0" w:space="0" w:color="auto"/>
                            <w:left w:val="none" w:sz="0" w:space="0" w:color="auto"/>
                            <w:bottom w:val="none" w:sz="0" w:space="0" w:color="auto"/>
                            <w:right w:val="none" w:sz="0" w:space="0" w:color="auto"/>
                          </w:divBdr>
                        </w:div>
                      </w:divsChild>
                    </w:div>
                    <w:div w:id="294153775">
                      <w:marLeft w:val="0"/>
                      <w:marRight w:val="0"/>
                      <w:marTop w:val="0"/>
                      <w:marBottom w:val="0"/>
                      <w:divBdr>
                        <w:top w:val="none" w:sz="0" w:space="0" w:color="auto"/>
                        <w:left w:val="none" w:sz="0" w:space="0" w:color="auto"/>
                        <w:bottom w:val="none" w:sz="0" w:space="0" w:color="auto"/>
                        <w:right w:val="none" w:sz="0" w:space="0" w:color="auto"/>
                      </w:divBdr>
                      <w:divsChild>
                        <w:div w:id="294141810">
                          <w:marLeft w:val="0"/>
                          <w:marRight w:val="0"/>
                          <w:marTop w:val="0"/>
                          <w:marBottom w:val="0"/>
                          <w:divBdr>
                            <w:top w:val="none" w:sz="0" w:space="0" w:color="auto"/>
                            <w:left w:val="none" w:sz="0" w:space="0" w:color="auto"/>
                            <w:bottom w:val="none" w:sz="0" w:space="0" w:color="auto"/>
                            <w:right w:val="none" w:sz="0" w:space="0" w:color="auto"/>
                          </w:divBdr>
                        </w:div>
                      </w:divsChild>
                    </w:div>
                    <w:div w:id="294153791">
                      <w:marLeft w:val="0"/>
                      <w:marRight w:val="0"/>
                      <w:marTop w:val="0"/>
                      <w:marBottom w:val="0"/>
                      <w:divBdr>
                        <w:top w:val="none" w:sz="0" w:space="0" w:color="auto"/>
                        <w:left w:val="none" w:sz="0" w:space="0" w:color="auto"/>
                        <w:bottom w:val="none" w:sz="0" w:space="0" w:color="auto"/>
                        <w:right w:val="none" w:sz="0" w:space="0" w:color="auto"/>
                      </w:divBdr>
                    </w:div>
                    <w:div w:id="294153810">
                      <w:marLeft w:val="0"/>
                      <w:marRight w:val="0"/>
                      <w:marTop w:val="0"/>
                      <w:marBottom w:val="0"/>
                      <w:divBdr>
                        <w:top w:val="none" w:sz="0" w:space="0" w:color="auto"/>
                        <w:left w:val="none" w:sz="0" w:space="0" w:color="auto"/>
                        <w:bottom w:val="none" w:sz="0" w:space="0" w:color="auto"/>
                        <w:right w:val="none" w:sz="0" w:space="0" w:color="auto"/>
                      </w:divBdr>
                    </w:div>
                    <w:div w:id="294153929">
                      <w:marLeft w:val="0"/>
                      <w:marRight w:val="0"/>
                      <w:marTop w:val="0"/>
                      <w:marBottom w:val="0"/>
                      <w:divBdr>
                        <w:top w:val="none" w:sz="0" w:space="0" w:color="auto"/>
                        <w:left w:val="none" w:sz="0" w:space="0" w:color="auto"/>
                        <w:bottom w:val="none" w:sz="0" w:space="0" w:color="auto"/>
                        <w:right w:val="none" w:sz="0" w:space="0" w:color="auto"/>
                      </w:divBdr>
                      <w:divsChild>
                        <w:div w:id="294142086">
                          <w:marLeft w:val="0"/>
                          <w:marRight w:val="0"/>
                          <w:marTop w:val="0"/>
                          <w:marBottom w:val="0"/>
                          <w:divBdr>
                            <w:top w:val="none" w:sz="0" w:space="0" w:color="auto"/>
                            <w:left w:val="none" w:sz="0" w:space="0" w:color="auto"/>
                            <w:bottom w:val="none" w:sz="0" w:space="0" w:color="auto"/>
                            <w:right w:val="none" w:sz="0" w:space="0" w:color="auto"/>
                          </w:divBdr>
                        </w:div>
                      </w:divsChild>
                    </w:div>
                    <w:div w:id="294153968">
                      <w:marLeft w:val="0"/>
                      <w:marRight w:val="0"/>
                      <w:marTop w:val="0"/>
                      <w:marBottom w:val="0"/>
                      <w:divBdr>
                        <w:top w:val="none" w:sz="0" w:space="0" w:color="auto"/>
                        <w:left w:val="none" w:sz="0" w:space="0" w:color="auto"/>
                        <w:bottom w:val="none" w:sz="0" w:space="0" w:color="auto"/>
                        <w:right w:val="none" w:sz="0" w:space="0" w:color="auto"/>
                      </w:divBdr>
                    </w:div>
                    <w:div w:id="294154049">
                      <w:marLeft w:val="0"/>
                      <w:marRight w:val="0"/>
                      <w:marTop w:val="0"/>
                      <w:marBottom w:val="0"/>
                      <w:divBdr>
                        <w:top w:val="none" w:sz="0" w:space="0" w:color="auto"/>
                        <w:left w:val="none" w:sz="0" w:space="0" w:color="auto"/>
                        <w:bottom w:val="none" w:sz="0" w:space="0" w:color="auto"/>
                        <w:right w:val="none" w:sz="0" w:space="0" w:color="auto"/>
                      </w:divBdr>
                      <w:divsChild>
                        <w:div w:id="294154723">
                          <w:marLeft w:val="0"/>
                          <w:marRight w:val="0"/>
                          <w:marTop w:val="0"/>
                          <w:marBottom w:val="0"/>
                          <w:divBdr>
                            <w:top w:val="none" w:sz="0" w:space="0" w:color="auto"/>
                            <w:left w:val="none" w:sz="0" w:space="0" w:color="auto"/>
                            <w:bottom w:val="none" w:sz="0" w:space="0" w:color="auto"/>
                            <w:right w:val="none" w:sz="0" w:space="0" w:color="auto"/>
                          </w:divBdr>
                        </w:div>
                      </w:divsChild>
                    </w:div>
                    <w:div w:id="294154142">
                      <w:marLeft w:val="0"/>
                      <w:marRight w:val="0"/>
                      <w:marTop w:val="0"/>
                      <w:marBottom w:val="0"/>
                      <w:divBdr>
                        <w:top w:val="none" w:sz="0" w:space="0" w:color="auto"/>
                        <w:left w:val="none" w:sz="0" w:space="0" w:color="auto"/>
                        <w:bottom w:val="none" w:sz="0" w:space="0" w:color="auto"/>
                        <w:right w:val="none" w:sz="0" w:space="0" w:color="auto"/>
                      </w:divBdr>
                    </w:div>
                    <w:div w:id="294154143">
                      <w:marLeft w:val="0"/>
                      <w:marRight w:val="0"/>
                      <w:marTop w:val="0"/>
                      <w:marBottom w:val="0"/>
                      <w:divBdr>
                        <w:top w:val="none" w:sz="0" w:space="0" w:color="auto"/>
                        <w:left w:val="none" w:sz="0" w:space="0" w:color="auto"/>
                        <w:bottom w:val="none" w:sz="0" w:space="0" w:color="auto"/>
                        <w:right w:val="none" w:sz="0" w:space="0" w:color="auto"/>
                      </w:divBdr>
                      <w:divsChild>
                        <w:div w:id="294144025">
                          <w:marLeft w:val="0"/>
                          <w:marRight w:val="0"/>
                          <w:marTop w:val="0"/>
                          <w:marBottom w:val="0"/>
                          <w:divBdr>
                            <w:top w:val="none" w:sz="0" w:space="0" w:color="auto"/>
                            <w:left w:val="none" w:sz="0" w:space="0" w:color="auto"/>
                            <w:bottom w:val="none" w:sz="0" w:space="0" w:color="auto"/>
                            <w:right w:val="none" w:sz="0" w:space="0" w:color="auto"/>
                          </w:divBdr>
                        </w:div>
                      </w:divsChild>
                    </w:div>
                    <w:div w:id="294154165">
                      <w:marLeft w:val="0"/>
                      <w:marRight w:val="0"/>
                      <w:marTop w:val="0"/>
                      <w:marBottom w:val="0"/>
                      <w:divBdr>
                        <w:top w:val="none" w:sz="0" w:space="0" w:color="auto"/>
                        <w:left w:val="none" w:sz="0" w:space="0" w:color="auto"/>
                        <w:bottom w:val="none" w:sz="0" w:space="0" w:color="auto"/>
                        <w:right w:val="none" w:sz="0" w:space="0" w:color="auto"/>
                      </w:divBdr>
                      <w:divsChild>
                        <w:div w:id="294155257">
                          <w:marLeft w:val="0"/>
                          <w:marRight w:val="0"/>
                          <w:marTop w:val="0"/>
                          <w:marBottom w:val="0"/>
                          <w:divBdr>
                            <w:top w:val="none" w:sz="0" w:space="0" w:color="auto"/>
                            <w:left w:val="none" w:sz="0" w:space="0" w:color="auto"/>
                            <w:bottom w:val="none" w:sz="0" w:space="0" w:color="auto"/>
                            <w:right w:val="none" w:sz="0" w:space="0" w:color="auto"/>
                          </w:divBdr>
                        </w:div>
                      </w:divsChild>
                    </w:div>
                    <w:div w:id="294154228">
                      <w:marLeft w:val="0"/>
                      <w:marRight w:val="0"/>
                      <w:marTop w:val="0"/>
                      <w:marBottom w:val="0"/>
                      <w:divBdr>
                        <w:top w:val="none" w:sz="0" w:space="0" w:color="auto"/>
                        <w:left w:val="none" w:sz="0" w:space="0" w:color="auto"/>
                        <w:bottom w:val="none" w:sz="0" w:space="0" w:color="auto"/>
                        <w:right w:val="none" w:sz="0" w:space="0" w:color="auto"/>
                      </w:divBdr>
                      <w:divsChild>
                        <w:div w:id="294149168">
                          <w:marLeft w:val="0"/>
                          <w:marRight w:val="0"/>
                          <w:marTop w:val="0"/>
                          <w:marBottom w:val="0"/>
                          <w:divBdr>
                            <w:top w:val="none" w:sz="0" w:space="0" w:color="auto"/>
                            <w:left w:val="none" w:sz="0" w:space="0" w:color="auto"/>
                            <w:bottom w:val="none" w:sz="0" w:space="0" w:color="auto"/>
                            <w:right w:val="none" w:sz="0" w:space="0" w:color="auto"/>
                          </w:divBdr>
                        </w:div>
                      </w:divsChild>
                    </w:div>
                    <w:div w:id="294154236">
                      <w:marLeft w:val="0"/>
                      <w:marRight w:val="0"/>
                      <w:marTop w:val="0"/>
                      <w:marBottom w:val="0"/>
                      <w:divBdr>
                        <w:top w:val="none" w:sz="0" w:space="0" w:color="auto"/>
                        <w:left w:val="none" w:sz="0" w:space="0" w:color="auto"/>
                        <w:bottom w:val="none" w:sz="0" w:space="0" w:color="auto"/>
                        <w:right w:val="none" w:sz="0" w:space="0" w:color="auto"/>
                      </w:divBdr>
                      <w:divsChild>
                        <w:div w:id="294156734">
                          <w:marLeft w:val="0"/>
                          <w:marRight w:val="0"/>
                          <w:marTop w:val="0"/>
                          <w:marBottom w:val="0"/>
                          <w:divBdr>
                            <w:top w:val="none" w:sz="0" w:space="0" w:color="auto"/>
                            <w:left w:val="none" w:sz="0" w:space="0" w:color="auto"/>
                            <w:bottom w:val="none" w:sz="0" w:space="0" w:color="auto"/>
                            <w:right w:val="none" w:sz="0" w:space="0" w:color="auto"/>
                          </w:divBdr>
                        </w:div>
                      </w:divsChild>
                    </w:div>
                    <w:div w:id="294154313">
                      <w:marLeft w:val="0"/>
                      <w:marRight w:val="0"/>
                      <w:marTop w:val="0"/>
                      <w:marBottom w:val="0"/>
                      <w:divBdr>
                        <w:top w:val="none" w:sz="0" w:space="0" w:color="auto"/>
                        <w:left w:val="none" w:sz="0" w:space="0" w:color="auto"/>
                        <w:bottom w:val="none" w:sz="0" w:space="0" w:color="auto"/>
                        <w:right w:val="none" w:sz="0" w:space="0" w:color="auto"/>
                      </w:divBdr>
                      <w:divsChild>
                        <w:div w:id="294143671">
                          <w:marLeft w:val="0"/>
                          <w:marRight w:val="0"/>
                          <w:marTop w:val="0"/>
                          <w:marBottom w:val="0"/>
                          <w:divBdr>
                            <w:top w:val="none" w:sz="0" w:space="0" w:color="auto"/>
                            <w:left w:val="none" w:sz="0" w:space="0" w:color="auto"/>
                            <w:bottom w:val="none" w:sz="0" w:space="0" w:color="auto"/>
                            <w:right w:val="none" w:sz="0" w:space="0" w:color="auto"/>
                          </w:divBdr>
                        </w:div>
                      </w:divsChild>
                    </w:div>
                    <w:div w:id="294154346">
                      <w:marLeft w:val="0"/>
                      <w:marRight w:val="0"/>
                      <w:marTop w:val="0"/>
                      <w:marBottom w:val="0"/>
                      <w:divBdr>
                        <w:top w:val="none" w:sz="0" w:space="0" w:color="auto"/>
                        <w:left w:val="none" w:sz="0" w:space="0" w:color="auto"/>
                        <w:bottom w:val="none" w:sz="0" w:space="0" w:color="auto"/>
                        <w:right w:val="none" w:sz="0" w:space="0" w:color="auto"/>
                      </w:divBdr>
                    </w:div>
                    <w:div w:id="294154406">
                      <w:marLeft w:val="0"/>
                      <w:marRight w:val="0"/>
                      <w:marTop w:val="0"/>
                      <w:marBottom w:val="0"/>
                      <w:divBdr>
                        <w:top w:val="none" w:sz="0" w:space="0" w:color="auto"/>
                        <w:left w:val="none" w:sz="0" w:space="0" w:color="auto"/>
                        <w:bottom w:val="none" w:sz="0" w:space="0" w:color="auto"/>
                        <w:right w:val="none" w:sz="0" w:space="0" w:color="auto"/>
                      </w:divBdr>
                      <w:divsChild>
                        <w:div w:id="294144161">
                          <w:marLeft w:val="0"/>
                          <w:marRight w:val="0"/>
                          <w:marTop w:val="0"/>
                          <w:marBottom w:val="0"/>
                          <w:divBdr>
                            <w:top w:val="none" w:sz="0" w:space="0" w:color="auto"/>
                            <w:left w:val="none" w:sz="0" w:space="0" w:color="auto"/>
                            <w:bottom w:val="none" w:sz="0" w:space="0" w:color="auto"/>
                            <w:right w:val="none" w:sz="0" w:space="0" w:color="auto"/>
                          </w:divBdr>
                        </w:div>
                      </w:divsChild>
                    </w:div>
                    <w:div w:id="294154516">
                      <w:marLeft w:val="0"/>
                      <w:marRight w:val="0"/>
                      <w:marTop w:val="0"/>
                      <w:marBottom w:val="0"/>
                      <w:divBdr>
                        <w:top w:val="none" w:sz="0" w:space="0" w:color="auto"/>
                        <w:left w:val="none" w:sz="0" w:space="0" w:color="auto"/>
                        <w:bottom w:val="none" w:sz="0" w:space="0" w:color="auto"/>
                        <w:right w:val="none" w:sz="0" w:space="0" w:color="auto"/>
                      </w:divBdr>
                    </w:div>
                    <w:div w:id="294154669">
                      <w:marLeft w:val="0"/>
                      <w:marRight w:val="0"/>
                      <w:marTop w:val="0"/>
                      <w:marBottom w:val="0"/>
                      <w:divBdr>
                        <w:top w:val="none" w:sz="0" w:space="0" w:color="auto"/>
                        <w:left w:val="none" w:sz="0" w:space="0" w:color="auto"/>
                        <w:bottom w:val="none" w:sz="0" w:space="0" w:color="auto"/>
                        <w:right w:val="none" w:sz="0" w:space="0" w:color="auto"/>
                      </w:divBdr>
                      <w:divsChild>
                        <w:div w:id="294152225">
                          <w:marLeft w:val="0"/>
                          <w:marRight w:val="0"/>
                          <w:marTop w:val="0"/>
                          <w:marBottom w:val="0"/>
                          <w:divBdr>
                            <w:top w:val="none" w:sz="0" w:space="0" w:color="auto"/>
                            <w:left w:val="none" w:sz="0" w:space="0" w:color="auto"/>
                            <w:bottom w:val="none" w:sz="0" w:space="0" w:color="auto"/>
                            <w:right w:val="none" w:sz="0" w:space="0" w:color="auto"/>
                          </w:divBdr>
                        </w:div>
                      </w:divsChild>
                    </w:div>
                    <w:div w:id="294154740">
                      <w:marLeft w:val="0"/>
                      <w:marRight w:val="0"/>
                      <w:marTop w:val="0"/>
                      <w:marBottom w:val="0"/>
                      <w:divBdr>
                        <w:top w:val="none" w:sz="0" w:space="0" w:color="auto"/>
                        <w:left w:val="none" w:sz="0" w:space="0" w:color="auto"/>
                        <w:bottom w:val="none" w:sz="0" w:space="0" w:color="auto"/>
                        <w:right w:val="none" w:sz="0" w:space="0" w:color="auto"/>
                      </w:divBdr>
                    </w:div>
                    <w:div w:id="294154800">
                      <w:marLeft w:val="0"/>
                      <w:marRight w:val="0"/>
                      <w:marTop w:val="0"/>
                      <w:marBottom w:val="0"/>
                      <w:divBdr>
                        <w:top w:val="none" w:sz="0" w:space="0" w:color="auto"/>
                        <w:left w:val="none" w:sz="0" w:space="0" w:color="auto"/>
                        <w:bottom w:val="none" w:sz="0" w:space="0" w:color="auto"/>
                        <w:right w:val="none" w:sz="0" w:space="0" w:color="auto"/>
                      </w:divBdr>
                    </w:div>
                    <w:div w:id="294154803">
                      <w:marLeft w:val="0"/>
                      <w:marRight w:val="0"/>
                      <w:marTop w:val="0"/>
                      <w:marBottom w:val="0"/>
                      <w:divBdr>
                        <w:top w:val="none" w:sz="0" w:space="0" w:color="auto"/>
                        <w:left w:val="none" w:sz="0" w:space="0" w:color="auto"/>
                        <w:bottom w:val="none" w:sz="0" w:space="0" w:color="auto"/>
                        <w:right w:val="none" w:sz="0" w:space="0" w:color="auto"/>
                      </w:divBdr>
                      <w:divsChild>
                        <w:div w:id="294145282">
                          <w:marLeft w:val="0"/>
                          <w:marRight w:val="0"/>
                          <w:marTop w:val="0"/>
                          <w:marBottom w:val="0"/>
                          <w:divBdr>
                            <w:top w:val="none" w:sz="0" w:space="0" w:color="auto"/>
                            <w:left w:val="none" w:sz="0" w:space="0" w:color="auto"/>
                            <w:bottom w:val="none" w:sz="0" w:space="0" w:color="auto"/>
                            <w:right w:val="none" w:sz="0" w:space="0" w:color="auto"/>
                          </w:divBdr>
                        </w:div>
                      </w:divsChild>
                    </w:div>
                    <w:div w:id="294154889">
                      <w:marLeft w:val="0"/>
                      <w:marRight w:val="0"/>
                      <w:marTop w:val="0"/>
                      <w:marBottom w:val="0"/>
                      <w:divBdr>
                        <w:top w:val="none" w:sz="0" w:space="0" w:color="auto"/>
                        <w:left w:val="none" w:sz="0" w:space="0" w:color="auto"/>
                        <w:bottom w:val="none" w:sz="0" w:space="0" w:color="auto"/>
                        <w:right w:val="none" w:sz="0" w:space="0" w:color="auto"/>
                      </w:divBdr>
                    </w:div>
                    <w:div w:id="294154981">
                      <w:marLeft w:val="0"/>
                      <w:marRight w:val="0"/>
                      <w:marTop w:val="0"/>
                      <w:marBottom w:val="0"/>
                      <w:divBdr>
                        <w:top w:val="none" w:sz="0" w:space="0" w:color="auto"/>
                        <w:left w:val="none" w:sz="0" w:space="0" w:color="auto"/>
                        <w:bottom w:val="none" w:sz="0" w:space="0" w:color="auto"/>
                        <w:right w:val="none" w:sz="0" w:space="0" w:color="auto"/>
                      </w:divBdr>
                      <w:divsChild>
                        <w:div w:id="294151716">
                          <w:marLeft w:val="0"/>
                          <w:marRight w:val="0"/>
                          <w:marTop w:val="0"/>
                          <w:marBottom w:val="0"/>
                          <w:divBdr>
                            <w:top w:val="none" w:sz="0" w:space="0" w:color="auto"/>
                            <w:left w:val="none" w:sz="0" w:space="0" w:color="auto"/>
                            <w:bottom w:val="none" w:sz="0" w:space="0" w:color="auto"/>
                            <w:right w:val="none" w:sz="0" w:space="0" w:color="auto"/>
                          </w:divBdr>
                        </w:div>
                      </w:divsChild>
                    </w:div>
                    <w:div w:id="294154995">
                      <w:marLeft w:val="0"/>
                      <w:marRight w:val="0"/>
                      <w:marTop w:val="0"/>
                      <w:marBottom w:val="0"/>
                      <w:divBdr>
                        <w:top w:val="none" w:sz="0" w:space="0" w:color="auto"/>
                        <w:left w:val="none" w:sz="0" w:space="0" w:color="auto"/>
                        <w:bottom w:val="none" w:sz="0" w:space="0" w:color="auto"/>
                        <w:right w:val="none" w:sz="0" w:space="0" w:color="auto"/>
                      </w:divBdr>
                    </w:div>
                    <w:div w:id="294155075">
                      <w:marLeft w:val="0"/>
                      <w:marRight w:val="0"/>
                      <w:marTop w:val="0"/>
                      <w:marBottom w:val="0"/>
                      <w:divBdr>
                        <w:top w:val="none" w:sz="0" w:space="0" w:color="auto"/>
                        <w:left w:val="none" w:sz="0" w:space="0" w:color="auto"/>
                        <w:bottom w:val="none" w:sz="0" w:space="0" w:color="auto"/>
                        <w:right w:val="none" w:sz="0" w:space="0" w:color="auto"/>
                      </w:divBdr>
                      <w:divsChild>
                        <w:div w:id="294143449">
                          <w:marLeft w:val="0"/>
                          <w:marRight w:val="0"/>
                          <w:marTop w:val="0"/>
                          <w:marBottom w:val="0"/>
                          <w:divBdr>
                            <w:top w:val="none" w:sz="0" w:space="0" w:color="auto"/>
                            <w:left w:val="none" w:sz="0" w:space="0" w:color="auto"/>
                            <w:bottom w:val="none" w:sz="0" w:space="0" w:color="auto"/>
                            <w:right w:val="none" w:sz="0" w:space="0" w:color="auto"/>
                          </w:divBdr>
                        </w:div>
                      </w:divsChild>
                    </w:div>
                    <w:div w:id="294155076">
                      <w:marLeft w:val="0"/>
                      <w:marRight w:val="0"/>
                      <w:marTop w:val="0"/>
                      <w:marBottom w:val="0"/>
                      <w:divBdr>
                        <w:top w:val="none" w:sz="0" w:space="0" w:color="auto"/>
                        <w:left w:val="none" w:sz="0" w:space="0" w:color="auto"/>
                        <w:bottom w:val="none" w:sz="0" w:space="0" w:color="auto"/>
                        <w:right w:val="none" w:sz="0" w:space="0" w:color="auto"/>
                      </w:divBdr>
                    </w:div>
                    <w:div w:id="294155086">
                      <w:marLeft w:val="0"/>
                      <w:marRight w:val="0"/>
                      <w:marTop w:val="0"/>
                      <w:marBottom w:val="0"/>
                      <w:divBdr>
                        <w:top w:val="none" w:sz="0" w:space="0" w:color="auto"/>
                        <w:left w:val="none" w:sz="0" w:space="0" w:color="auto"/>
                        <w:bottom w:val="none" w:sz="0" w:space="0" w:color="auto"/>
                        <w:right w:val="none" w:sz="0" w:space="0" w:color="auto"/>
                      </w:divBdr>
                      <w:divsChild>
                        <w:div w:id="294155551">
                          <w:marLeft w:val="0"/>
                          <w:marRight w:val="0"/>
                          <w:marTop w:val="0"/>
                          <w:marBottom w:val="0"/>
                          <w:divBdr>
                            <w:top w:val="none" w:sz="0" w:space="0" w:color="auto"/>
                            <w:left w:val="none" w:sz="0" w:space="0" w:color="auto"/>
                            <w:bottom w:val="none" w:sz="0" w:space="0" w:color="auto"/>
                            <w:right w:val="none" w:sz="0" w:space="0" w:color="auto"/>
                          </w:divBdr>
                        </w:div>
                      </w:divsChild>
                    </w:div>
                    <w:div w:id="294155153">
                      <w:marLeft w:val="0"/>
                      <w:marRight w:val="0"/>
                      <w:marTop w:val="0"/>
                      <w:marBottom w:val="0"/>
                      <w:divBdr>
                        <w:top w:val="none" w:sz="0" w:space="0" w:color="auto"/>
                        <w:left w:val="none" w:sz="0" w:space="0" w:color="auto"/>
                        <w:bottom w:val="none" w:sz="0" w:space="0" w:color="auto"/>
                        <w:right w:val="none" w:sz="0" w:space="0" w:color="auto"/>
                      </w:divBdr>
                      <w:divsChild>
                        <w:div w:id="294140227">
                          <w:marLeft w:val="0"/>
                          <w:marRight w:val="0"/>
                          <w:marTop w:val="0"/>
                          <w:marBottom w:val="0"/>
                          <w:divBdr>
                            <w:top w:val="none" w:sz="0" w:space="0" w:color="auto"/>
                            <w:left w:val="none" w:sz="0" w:space="0" w:color="auto"/>
                            <w:bottom w:val="none" w:sz="0" w:space="0" w:color="auto"/>
                            <w:right w:val="none" w:sz="0" w:space="0" w:color="auto"/>
                          </w:divBdr>
                        </w:div>
                      </w:divsChild>
                    </w:div>
                    <w:div w:id="294155160">
                      <w:marLeft w:val="0"/>
                      <w:marRight w:val="0"/>
                      <w:marTop w:val="0"/>
                      <w:marBottom w:val="0"/>
                      <w:divBdr>
                        <w:top w:val="none" w:sz="0" w:space="0" w:color="auto"/>
                        <w:left w:val="none" w:sz="0" w:space="0" w:color="auto"/>
                        <w:bottom w:val="none" w:sz="0" w:space="0" w:color="auto"/>
                        <w:right w:val="none" w:sz="0" w:space="0" w:color="auto"/>
                      </w:divBdr>
                    </w:div>
                    <w:div w:id="294155240">
                      <w:marLeft w:val="0"/>
                      <w:marRight w:val="0"/>
                      <w:marTop w:val="0"/>
                      <w:marBottom w:val="0"/>
                      <w:divBdr>
                        <w:top w:val="none" w:sz="0" w:space="0" w:color="auto"/>
                        <w:left w:val="none" w:sz="0" w:space="0" w:color="auto"/>
                        <w:bottom w:val="none" w:sz="0" w:space="0" w:color="auto"/>
                        <w:right w:val="none" w:sz="0" w:space="0" w:color="auto"/>
                      </w:divBdr>
                    </w:div>
                    <w:div w:id="294155256">
                      <w:marLeft w:val="0"/>
                      <w:marRight w:val="0"/>
                      <w:marTop w:val="0"/>
                      <w:marBottom w:val="0"/>
                      <w:divBdr>
                        <w:top w:val="none" w:sz="0" w:space="0" w:color="auto"/>
                        <w:left w:val="none" w:sz="0" w:space="0" w:color="auto"/>
                        <w:bottom w:val="none" w:sz="0" w:space="0" w:color="auto"/>
                        <w:right w:val="none" w:sz="0" w:space="0" w:color="auto"/>
                      </w:divBdr>
                    </w:div>
                    <w:div w:id="294155356">
                      <w:marLeft w:val="0"/>
                      <w:marRight w:val="0"/>
                      <w:marTop w:val="0"/>
                      <w:marBottom w:val="0"/>
                      <w:divBdr>
                        <w:top w:val="none" w:sz="0" w:space="0" w:color="auto"/>
                        <w:left w:val="none" w:sz="0" w:space="0" w:color="auto"/>
                        <w:bottom w:val="none" w:sz="0" w:space="0" w:color="auto"/>
                        <w:right w:val="none" w:sz="0" w:space="0" w:color="auto"/>
                      </w:divBdr>
                      <w:divsChild>
                        <w:div w:id="294155238">
                          <w:marLeft w:val="0"/>
                          <w:marRight w:val="0"/>
                          <w:marTop w:val="0"/>
                          <w:marBottom w:val="0"/>
                          <w:divBdr>
                            <w:top w:val="none" w:sz="0" w:space="0" w:color="auto"/>
                            <w:left w:val="none" w:sz="0" w:space="0" w:color="auto"/>
                            <w:bottom w:val="none" w:sz="0" w:space="0" w:color="auto"/>
                            <w:right w:val="none" w:sz="0" w:space="0" w:color="auto"/>
                          </w:divBdr>
                        </w:div>
                      </w:divsChild>
                    </w:div>
                    <w:div w:id="294155416">
                      <w:marLeft w:val="0"/>
                      <w:marRight w:val="0"/>
                      <w:marTop w:val="0"/>
                      <w:marBottom w:val="0"/>
                      <w:divBdr>
                        <w:top w:val="none" w:sz="0" w:space="0" w:color="auto"/>
                        <w:left w:val="none" w:sz="0" w:space="0" w:color="auto"/>
                        <w:bottom w:val="none" w:sz="0" w:space="0" w:color="auto"/>
                        <w:right w:val="none" w:sz="0" w:space="0" w:color="auto"/>
                      </w:divBdr>
                    </w:div>
                    <w:div w:id="294155647">
                      <w:marLeft w:val="0"/>
                      <w:marRight w:val="0"/>
                      <w:marTop w:val="0"/>
                      <w:marBottom w:val="0"/>
                      <w:divBdr>
                        <w:top w:val="none" w:sz="0" w:space="0" w:color="auto"/>
                        <w:left w:val="none" w:sz="0" w:space="0" w:color="auto"/>
                        <w:bottom w:val="none" w:sz="0" w:space="0" w:color="auto"/>
                        <w:right w:val="none" w:sz="0" w:space="0" w:color="auto"/>
                      </w:divBdr>
                      <w:divsChild>
                        <w:div w:id="294151253">
                          <w:marLeft w:val="0"/>
                          <w:marRight w:val="0"/>
                          <w:marTop w:val="0"/>
                          <w:marBottom w:val="0"/>
                          <w:divBdr>
                            <w:top w:val="none" w:sz="0" w:space="0" w:color="auto"/>
                            <w:left w:val="none" w:sz="0" w:space="0" w:color="auto"/>
                            <w:bottom w:val="none" w:sz="0" w:space="0" w:color="auto"/>
                            <w:right w:val="none" w:sz="0" w:space="0" w:color="auto"/>
                          </w:divBdr>
                        </w:div>
                      </w:divsChild>
                    </w:div>
                    <w:div w:id="294155656">
                      <w:marLeft w:val="0"/>
                      <w:marRight w:val="0"/>
                      <w:marTop w:val="0"/>
                      <w:marBottom w:val="0"/>
                      <w:divBdr>
                        <w:top w:val="none" w:sz="0" w:space="0" w:color="auto"/>
                        <w:left w:val="none" w:sz="0" w:space="0" w:color="auto"/>
                        <w:bottom w:val="none" w:sz="0" w:space="0" w:color="auto"/>
                        <w:right w:val="none" w:sz="0" w:space="0" w:color="auto"/>
                      </w:divBdr>
                    </w:div>
                    <w:div w:id="294155818">
                      <w:marLeft w:val="0"/>
                      <w:marRight w:val="0"/>
                      <w:marTop w:val="0"/>
                      <w:marBottom w:val="0"/>
                      <w:divBdr>
                        <w:top w:val="none" w:sz="0" w:space="0" w:color="auto"/>
                        <w:left w:val="none" w:sz="0" w:space="0" w:color="auto"/>
                        <w:bottom w:val="none" w:sz="0" w:space="0" w:color="auto"/>
                        <w:right w:val="none" w:sz="0" w:space="0" w:color="auto"/>
                      </w:divBdr>
                    </w:div>
                    <w:div w:id="294155831">
                      <w:marLeft w:val="0"/>
                      <w:marRight w:val="0"/>
                      <w:marTop w:val="0"/>
                      <w:marBottom w:val="0"/>
                      <w:divBdr>
                        <w:top w:val="none" w:sz="0" w:space="0" w:color="auto"/>
                        <w:left w:val="none" w:sz="0" w:space="0" w:color="auto"/>
                        <w:bottom w:val="none" w:sz="0" w:space="0" w:color="auto"/>
                        <w:right w:val="none" w:sz="0" w:space="0" w:color="auto"/>
                      </w:divBdr>
                      <w:divsChild>
                        <w:div w:id="294152657">
                          <w:marLeft w:val="0"/>
                          <w:marRight w:val="0"/>
                          <w:marTop w:val="0"/>
                          <w:marBottom w:val="0"/>
                          <w:divBdr>
                            <w:top w:val="none" w:sz="0" w:space="0" w:color="auto"/>
                            <w:left w:val="none" w:sz="0" w:space="0" w:color="auto"/>
                            <w:bottom w:val="none" w:sz="0" w:space="0" w:color="auto"/>
                            <w:right w:val="none" w:sz="0" w:space="0" w:color="auto"/>
                          </w:divBdr>
                        </w:div>
                      </w:divsChild>
                    </w:div>
                    <w:div w:id="294155854">
                      <w:marLeft w:val="0"/>
                      <w:marRight w:val="0"/>
                      <w:marTop w:val="0"/>
                      <w:marBottom w:val="0"/>
                      <w:divBdr>
                        <w:top w:val="none" w:sz="0" w:space="0" w:color="auto"/>
                        <w:left w:val="none" w:sz="0" w:space="0" w:color="auto"/>
                        <w:bottom w:val="none" w:sz="0" w:space="0" w:color="auto"/>
                        <w:right w:val="none" w:sz="0" w:space="0" w:color="auto"/>
                      </w:divBdr>
                      <w:divsChild>
                        <w:div w:id="294154470">
                          <w:marLeft w:val="0"/>
                          <w:marRight w:val="0"/>
                          <w:marTop w:val="0"/>
                          <w:marBottom w:val="0"/>
                          <w:divBdr>
                            <w:top w:val="none" w:sz="0" w:space="0" w:color="auto"/>
                            <w:left w:val="none" w:sz="0" w:space="0" w:color="auto"/>
                            <w:bottom w:val="none" w:sz="0" w:space="0" w:color="auto"/>
                            <w:right w:val="none" w:sz="0" w:space="0" w:color="auto"/>
                          </w:divBdr>
                        </w:div>
                      </w:divsChild>
                    </w:div>
                    <w:div w:id="294155898">
                      <w:marLeft w:val="0"/>
                      <w:marRight w:val="0"/>
                      <w:marTop w:val="0"/>
                      <w:marBottom w:val="0"/>
                      <w:divBdr>
                        <w:top w:val="none" w:sz="0" w:space="0" w:color="auto"/>
                        <w:left w:val="none" w:sz="0" w:space="0" w:color="auto"/>
                        <w:bottom w:val="none" w:sz="0" w:space="0" w:color="auto"/>
                        <w:right w:val="none" w:sz="0" w:space="0" w:color="auto"/>
                      </w:divBdr>
                      <w:divsChild>
                        <w:div w:id="294148465">
                          <w:marLeft w:val="0"/>
                          <w:marRight w:val="0"/>
                          <w:marTop w:val="0"/>
                          <w:marBottom w:val="0"/>
                          <w:divBdr>
                            <w:top w:val="none" w:sz="0" w:space="0" w:color="auto"/>
                            <w:left w:val="none" w:sz="0" w:space="0" w:color="auto"/>
                            <w:bottom w:val="none" w:sz="0" w:space="0" w:color="auto"/>
                            <w:right w:val="none" w:sz="0" w:space="0" w:color="auto"/>
                          </w:divBdr>
                        </w:div>
                      </w:divsChild>
                    </w:div>
                    <w:div w:id="294155954">
                      <w:marLeft w:val="0"/>
                      <w:marRight w:val="0"/>
                      <w:marTop w:val="0"/>
                      <w:marBottom w:val="0"/>
                      <w:divBdr>
                        <w:top w:val="none" w:sz="0" w:space="0" w:color="auto"/>
                        <w:left w:val="none" w:sz="0" w:space="0" w:color="auto"/>
                        <w:bottom w:val="none" w:sz="0" w:space="0" w:color="auto"/>
                        <w:right w:val="none" w:sz="0" w:space="0" w:color="auto"/>
                      </w:divBdr>
                      <w:divsChild>
                        <w:div w:id="294148796">
                          <w:marLeft w:val="0"/>
                          <w:marRight w:val="0"/>
                          <w:marTop w:val="0"/>
                          <w:marBottom w:val="0"/>
                          <w:divBdr>
                            <w:top w:val="none" w:sz="0" w:space="0" w:color="auto"/>
                            <w:left w:val="none" w:sz="0" w:space="0" w:color="auto"/>
                            <w:bottom w:val="none" w:sz="0" w:space="0" w:color="auto"/>
                            <w:right w:val="none" w:sz="0" w:space="0" w:color="auto"/>
                          </w:divBdr>
                        </w:div>
                      </w:divsChild>
                    </w:div>
                    <w:div w:id="294155961">
                      <w:marLeft w:val="0"/>
                      <w:marRight w:val="0"/>
                      <w:marTop w:val="0"/>
                      <w:marBottom w:val="0"/>
                      <w:divBdr>
                        <w:top w:val="none" w:sz="0" w:space="0" w:color="auto"/>
                        <w:left w:val="none" w:sz="0" w:space="0" w:color="auto"/>
                        <w:bottom w:val="none" w:sz="0" w:space="0" w:color="auto"/>
                        <w:right w:val="none" w:sz="0" w:space="0" w:color="auto"/>
                      </w:divBdr>
                      <w:divsChild>
                        <w:div w:id="294139536">
                          <w:marLeft w:val="0"/>
                          <w:marRight w:val="0"/>
                          <w:marTop w:val="0"/>
                          <w:marBottom w:val="0"/>
                          <w:divBdr>
                            <w:top w:val="none" w:sz="0" w:space="0" w:color="auto"/>
                            <w:left w:val="none" w:sz="0" w:space="0" w:color="auto"/>
                            <w:bottom w:val="none" w:sz="0" w:space="0" w:color="auto"/>
                            <w:right w:val="none" w:sz="0" w:space="0" w:color="auto"/>
                          </w:divBdr>
                        </w:div>
                      </w:divsChild>
                    </w:div>
                    <w:div w:id="294156007">
                      <w:marLeft w:val="0"/>
                      <w:marRight w:val="0"/>
                      <w:marTop w:val="0"/>
                      <w:marBottom w:val="0"/>
                      <w:divBdr>
                        <w:top w:val="none" w:sz="0" w:space="0" w:color="auto"/>
                        <w:left w:val="none" w:sz="0" w:space="0" w:color="auto"/>
                        <w:bottom w:val="none" w:sz="0" w:space="0" w:color="auto"/>
                        <w:right w:val="none" w:sz="0" w:space="0" w:color="auto"/>
                      </w:divBdr>
                    </w:div>
                    <w:div w:id="294156034">
                      <w:marLeft w:val="0"/>
                      <w:marRight w:val="0"/>
                      <w:marTop w:val="0"/>
                      <w:marBottom w:val="0"/>
                      <w:divBdr>
                        <w:top w:val="none" w:sz="0" w:space="0" w:color="auto"/>
                        <w:left w:val="none" w:sz="0" w:space="0" w:color="auto"/>
                        <w:bottom w:val="none" w:sz="0" w:space="0" w:color="auto"/>
                        <w:right w:val="none" w:sz="0" w:space="0" w:color="auto"/>
                      </w:divBdr>
                      <w:divsChild>
                        <w:div w:id="294155174">
                          <w:marLeft w:val="0"/>
                          <w:marRight w:val="0"/>
                          <w:marTop w:val="0"/>
                          <w:marBottom w:val="0"/>
                          <w:divBdr>
                            <w:top w:val="none" w:sz="0" w:space="0" w:color="auto"/>
                            <w:left w:val="none" w:sz="0" w:space="0" w:color="auto"/>
                            <w:bottom w:val="none" w:sz="0" w:space="0" w:color="auto"/>
                            <w:right w:val="none" w:sz="0" w:space="0" w:color="auto"/>
                          </w:divBdr>
                        </w:div>
                      </w:divsChild>
                    </w:div>
                    <w:div w:id="294156128">
                      <w:marLeft w:val="0"/>
                      <w:marRight w:val="0"/>
                      <w:marTop w:val="0"/>
                      <w:marBottom w:val="0"/>
                      <w:divBdr>
                        <w:top w:val="none" w:sz="0" w:space="0" w:color="auto"/>
                        <w:left w:val="none" w:sz="0" w:space="0" w:color="auto"/>
                        <w:bottom w:val="none" w:sz="0" w:space="0" w:color="auto"/>
                        <w:right w:val="none" w:sz="0" w:space="0" w:color="auto"/>
                      </w:divBdr>
                      <w:divsChild>
                        <w:div w:id="294152152">
                          <w:marLeft w:val="0"/>
                          <w:marRight w:val="0"/>
                          <w:marTop w:val="0"/>
                          <w:marBottom w:val="0"/>
                          <w:divBdr>
                            <w:top w:val="none" w:sz="0" w:space="0" w:color="auto"/>
                            <w:left w:val="none" w:sz="0" w:space="0" w:color="auto"/>
                            <w:bottom w:val="none" w:sz="0" w:space="0" w:color="auto"/>
                            <w:right w:val="none" w:sz="0" w:space="0" w:color="auto"/>
                          </w:divBdr>
                        </w:div>
                      </w:divsChild>
                    </w:div>
                    <w:div w:id="294156136">
                      <w:marLeft w:val="0"/>
                      <w:marRight w:val="0"/>
                      <w:marTop w:val="0"/>
                      <w:marBottom w:val="0"/>
                      <w:divBdr>
                        <w:top w:val="none" w:sz="0" w:space="0" w:color="auto"/>
                        <w:left w:val="none" w:sz="0" w:space="0" w:color="auto"/>
                        <w:bottom w:val="none" w:sz="0" w:space="0" w:color="auto"/>
                        <w:right w:val="none" w:sz="0" w:space="0" w:color="auto"/>
                      </w:divBdr>
                      <w:divsChild>
                        <w:div w:id="294147404">
                          <w:marLeft w:val="0"/>
                          <w:marRight w:val="0"/>
                          <w:marTop w:val="0"/>
                          <w:marBottom w:val="0"/>
                          <w:divBdr>
                            <w:top w:val="none" w:sz="0" w:space="0" w:color="auto"/>
                            <w:left w:val="none" w:sz="0" w:space="0" w:color="auto"/>
                            <w:bottom w:val="none" w:sz="0" w:space="0" w:color="auto"/>
                            <w:right w:val="none" w:sz="0" w:space="0" w:color="auto"/>
                          </w:divBdr>
                        </w:div>
                      </w:divsChild>
                    </w:div>
                    <w:div w:id="294156302">
                      <w:marLeft w:val="0"/>
                      <w:marRight w:val="0"/>
                      <w:marTop w:val="0"/>
                      <w:marBottom w:val="0"/>
                      <w:divBdr>
                        <w:top w:val="none" w:sz="0" w:space="0" w:color="auto"/>
                        <w:left w:val="none" w:sz="0" w:space="0" w:color="auto"/>
                        <w:bottom w:val="none" w:sz="0" w:space="0" w:color="auto"/>
                        <w:right w:val="none" w:sz="0" w:space="0" w:color="auto"/>
                      </w:divBdr>
                      <w:divsChild>
                        <w:div w:id="294138592">
                          <w:marLeft w:val="0"/>
                          <w:marRight w:val="0"/>
                          <w:marTop w:val="0"/>
                          <w:marBottom w:val="0"/>
                          <w:divBdr>
                            <w:top w:val="none" w:sz="0" w:space="0" w:color="auto"/>
                            <w:left w:val="none" w:sz="0" w:space="0" w:color="auto"/>
                            <w:bottom w:val="none" w:sz="0" w:space="0" w:color="auto"/>
                            <w:right w:val="none" w:sz="0" w:space="0" w:color="auto"/>
                          </w:divBdr>
                        </w:div>
                      </w:divsChild>
                    </w:div>
                    <w:div w:id="294156320">
                      <w:marLeft w:val="0"/>
                      <w:marRight w:val="0"/>
                      <w:marTop w:val="0"/>
                      <w:marBottom w:val="0"/>
                      <w:divBdr>
                        <w:top w:val="none" w:sz="0" w:space="0" w:color="auto"/>
                        <w:left w:val="none" w:sz="0" w:space="0" w:color="auto"/>
                        <w:bottom w:val="none" w:sz="0" w:space="0" w:color="auto"/>
                        <w:right w:val="none" w:sz="0" w:space="0" w:color="auto"/>
                      </w:divBdr>
                    </w:div>
                    <w:div w:id="294156379">
                      <w:marLeft w:val="0"/>
                      <w:marRight w:val="0"/>
                      <w:marTop w:val="0"/>
                      <w:marBottom w:val="0"/>
                      <w:divBdr>
                        <w:top w:val="none" w:sz="0" w:space="0" w:color="auto"/>
                        <w:left w:val="none" w:sz="0" w:space="0" w:color="auto"/>
                        <w:bottom w:val="none" w:sz="0" w:space="0" w:color="auto"/>
                        <w:right w:val="none" w:sz="0" w:space="0" w:color="auto"/>
                      </w:divBdr>
                    </w:div>
                    <w:div w:id="294156396">
                      <w:marLeft w:val="0"/>
                      <w:marRight w:val="0"/>
                      <w:marTop w:val="0"/>
                      <w:marBottom w:val="0"/>
                      <w:divBdr>
                        <w:top w:val="none" w:sz="0" w:space="0" w:color="auto"/>
                        <w:left w:val="none" w:sz="0" w:space="0" w:color="auto"/>
                        <w:bottom w:val="none" w:sz="0" w:space="0" w:color="auto"/>
                        <w:right w:val="none" w:sz="0" w:space="0" w:color="auto"/>
                      </w:divBdr>
                    </w:div>
                    <w:div w:id="294156418">
                      <w:marLeft w:val="0"/>
                      <w:marRight w:val="0"/>
                      <w:marTop w:val="0"/>
                      <w:marBottom w:val="0"/>
                      <w:divBdr>
                        <w:top w:val="none" w:sz="0" w:space="0" w:color="auto"/>
                        <w:left w:val="none" w:sz="0" w:space="0" w:color="auto"/>
                        <w:bottom w:val="none" w:sz="0" w:space="0" w:color="auto"/>
                        <w:right w:val="none" w:sz="0" w:space="0" w:color="auto"/>
                      </w:divBdr>
                      <w:divsChild>
                        <w:div w:id="294153370">
                          <w:marLeft w:val="0"/>
                          <w:marRight w:val="0"/>
                          <w:marTop w:val="0"/>
                          <w:marBottom w:val="0"/>
                          <w:divBdr>
                            <w:top w:val="none" w:sz="0" w:space="0" w:color="auto"/>
                            <w:left w:val="none" w:sz="0" w:space="0" w:color="auto"/>
                            <w:bottom w:val="none" w:sz="0" w:space="0" w:color="auto"/>
                            <w:right w:val="none" w:sz="0" w:space="0" w:color="auto"/>
                          </w:divBdr>
                        </w:div>
                      </w:divsChild>
                    </w:div>
                    <w:div w:id="294156420">
                      <w:marLeft w:val="0"/>
                      <w:marRight w:val="0"/>
                      <w:marTop w:val="0"/>
                      <w:marBottom w:val="0"/>
                      <w:divBdr>
                        <w:top w:val="none" w:sz="0" w:space="0" w:color="auto"/>
                        <w:left w:val="none" w:sz="0" w:space="0" w:color="auto"/>
                        <w:bottom w:val="none" w:sz="0" w:space="0" w:color="auto"/>
                        <w:right w:val="none" w:sz="0" w:space="0" w:color="auto"/>
                      </w:divBdr>
                      <w:divsChild>
                        <w:div w:id="294142950">
                          <w:marLeft w:val="0"/>
                          <w:marRight w:val="0"/>
                          <w:marTop w:val="0"/>
                          <w:marBottom w:val="0"/>
                          <w:divBdr>
                            <w:top w:val="none" w:sz="0" w:space="0" w:color="auto"/>
                            <w:left w:val="none" w:sz="0" w:space="0" w:color="auto"/>
                            <w:bottom w:val="none" w:sz="0" w:space="0" w:color="auto"/>
                            <w:right w:val="none" w:sz="0" w:space="0" w:color="auto"/>
                          </w:divBdr>
                        </w:div>
                      </w:divsChild>
                    </w:div>
                    <w:div w:id="294156444">
                      <w:marLeft w:val="0"/>
                      <w:marRight w:val="0"/>
                      <w:marTop w:val="0"/>
                      <w:marBottom w:val="0"/>
                      <w:divBdr>
                        <w:top w:val="none" w:sz="0" w:space="0" w:color="auto"/>
                        <w:left w:val="none" w:sz="0" w:space="0" w:color="auto"/>
                        <w:bottom w:val="none" w:sz="0" w:space="0" w:color="auto"/>
                        <w:right w:val="none" w:sz="0" w:space="0" w:color="auto"/>
                      </w:divBdr>
                    </w:div>
                    <w:div w:id="294156498">
                      <w:marLeft w:val="0"/>
                      <w:marRight w:val="0"/>
                      <w:marTop w:val="0"/>
                      <w:marBottom w:val="0"/>
                      <w:divBdr>
                        <w:top w:val="none" w:sz="0" w:space="0" w:color="auto"/>
                        <w:left w:val="none" w:sz="0" w:space="0" w:color="auto"/>
                        <w:bottom w:val="none" w:sz="0" w:space="0" w:color="auto"/>
                        <w:right w:val="none" w:sz="0" w:space="0" w:color="auto"/>
                      </w:divBdr>
                    </w:div>
                    <w:div w:id="294156515">
                      <w:marLeft w:val="0"/>
                      <w:marRight w:val="0"/>
                      <w:marTop w:val="0"/>
                      <w:marBottom w:val="0"/>
                      <w:divBdr>
                        <w:top w:val="none" w:sz="0" w:space="0" w:color="auto"/>
                        <w:left w:val="none" w:sz="0" w:space="0" w:color="auto"/>
                        <w:bottom w:val="none" w:sz="0" w:space="0" w:color="auto"/>
                        <w:right w:val="none" w:sz="0" w:space="0" w:color="auto"/>
                      </w:divBdr>
                    </w:div>
                    <w:div w:id="294156529">
                      <w:marLeft w:val="0"/>
                      <w:marRight w:val="0"/>
                      <w:marTop w:val="0"/>
                      <w:marBottom w:val="0"/>
                      <w:divBdr>
                        <w:top w:val="none" w:sz="0" w:space="0" w:color="auto"/>
                        <w:left w:val="none" w:sz="0" w:space="0" w:color="auto"/>
                        <w:bottom w:val="none" w:sz="0" w:space="0" w:color="auto"/>
                        <w:right w:val="none" w:sz="0" w:space="0" w:color="auto"/>
                      </w:divBdr>
                      <w:divsChild>
                        <w:div w:id="294138231">
                          <w:marLeft w:val="0"/>
                          <w:marRight w:val="0"/>
                          <w:marTop w:val="0"/>
                          <w:marBottom w:val="0"/>
                          <w:divBdr>
                            <w:top w:val="none" w:sz="0" w:space="0" w:color="auto"/>
                            <w:left w:val="none" w:sz="0" w:space="0" w:color="auto"/>
                            <w:bottom w:val="none" w:sz="0" w:space="0" w:color="auto"/>
                            <w:right w:val="none" w:sz="0" w:space="0" w:color="auto"/>
                          </w:divBdr>
                        </w:div>
                      </w:divsChild>
                    </w:div>
                    <w:div w:id="294156531">
                      <w:marLeft w:val="0"/>
                      <w:marRight w:val="0"/>
                      <w:marTop w:val="0"/>
                      <w:marBottom w:val="0"/>
                      <w:divBdr>
                        <w:top w:val="none" w:sz="0" w:space="0" w:color="auto"/>
                        <w:left w:val="none" w:sz="0" w:space="0" w:color="auto"/>
                        <w:bottom w:val="none" w:sz="0" w:space="0" w:color="auto"/>
                        <w:right w:val="none" w:sz="0" w:space="0" w:color="auto"/>
                      </w:divBdr>
                    </w:div>
                    <w:div w:id="294156585">
                      <w:marLeft w:val="0"/>
                      <w:marRight w:val="0"/>
                      <w:marTop w:val="0"/>
                      <w:marBottom w:val="0"/>
                      <w:divBdr>
                        <w:top w:val="none" w:sz="0" w:space="0" w:color="auto"/>
                        <w:left w:val="none" w:sz="0" w:space="0" w:color="auto"/>
                        <w:bottom w:val="none" w:sz="0" w:space="0" w:color="auto"/>
                        <w:right w:val="none" w:sz="0" w:space="0" w:color="auto"/>
                      </w:divBdr>
                      <w:divsChild>
                        <w:div w:id="294155766">
                          <w:marLeft w:val="0"/>
                          <w:marRight w:val="0"/>
                          <w:marTop w:val="0"/>
                          <w:marBottom w:val="0"/>
                          <w:divBdr>
                            <w:top w:val="none" w:sz="0" w:space="0" w:color="auto"/>
                            <w:left w:val="none" w:sz="0" w:space="0" w:color="auto"/>
                            <w:bottom w:val="none" w:sz="0" w:space="0" w:color="auto"/>
                            <w:right w:val="none" w:sz="0" w:space="0" w:color="auto"/>
                          </w:divBdr>
                        </w:div>
                      </w:divsChild>
                    </w:div>
                    <w:div w:id="294156603">
                      <w:marLeft w:val="0"/>
                      <w:marRight w:val="0"/>
                      <w:marTop w:val="0"/>
                      <w:marBottom w:val="0"/>
                      <w:divBdr>
                        <w:top w:val="none" w:sz="0" w:space="0" w:color="auto"/>
                        <w:left w:val="none" w:sz="0" w:space="0" w:color="auto"/>
                        <w:bottom w:val="none" w:sz="0" w:space="0" w:color="auto"/>
                        <w:right w:val="none" w:sz="0" w:space="0" w:color="auto"/>
                      </w:divBdr>
                      <w:divsChild>
                        <w:div w:id="294156445">
                          <w:marLeft w:val="0"/>
                          <w:marRight w:val="0"/>
                          <w:marTop w:val="0"/>
                          <w:marBottom w:val="0"/>
                          <w:divBdr>
                            <w:top w:val="none" w:sz="0" w:space="0" w:color="auto"/>
                            <w:left w:val="none" w:sz="0" w:space="0" w:color="auto"/>
                            <w:bottom w:val="none" w:sz="0" w:space="0" w:color="auto"/>
                            <w:right w:val="none" w:sz="0" w:space="0" w:color="auto"/>
                          </w:divBdr>
                        </w:div>
                      </w:divsChild>
                    </w:div>
                    <w:div w:id="294156647">
                      <w:marLeft w:val="0"/>
                      <w:marRight w:val="0"/>
                      <w:marTop w:val="0"/>
                      <w:marBottom w:val="0"/>
                      <w:divBdr>
                        <w:top w:val="none" w:sz="0" w:space="0" w:color="auto"/>
                        <w:left w:val="none" w:sz="0" w:space="0" w:color="auto"/>
                        <w:bottom w:val="none" w:sz="0" w:space="0" w:color="auto"/>
                        <w:right w:val="none" w:sz="0" w:space="0" w:color="auto"/>
                      </w:divBdr>
                      <w:divsChild>
                        <w:div w:id="294145176">
                          <w:marLeft w:val="0"/>
                          <w:marRight w:val="0"/>
                          <w:marTop w:val="0"/>
                          <w:marBottom w:val="0"/>
                          <w:divBdr>
                            <w:top w:val="none" w:sz="0" w:space="0" w:color="auto"/>
                            <w:left w:val="none" w:sz="0" w:space="0" w:color="auto"/>
                            <w:bottom w:val="none" w:sz="0" w:space="0" w:color="auto"/>
                            <w:right w:val="none" w:sz="0" w:space="0" w:color="auto"/>
                          </w:divBdr>
                        </w:div>
                      </w:divsChild>
                    </w:div>
                    <w:div w:id="294156662">
                      <w:marLeft w:val="0"/>
                      <w:marRight w:val="0"/>
                      <w:marTop w:val="0"/>
                      <w:marBottom w:val="0"/>
                      <w:divBdr>
                        <w:top w:val="none" w:sz="0" w:space="0" w:color="auto"/>
                        <w:left w:val="none" w:sz="0" w:space="0" w:color="auto"/>
                        <w:bottom w:val="none" w:sz="0" w:space="0" w:color="auto"/>
                        <w:right w:val="none" w:sz="0" w:space="0" w:color="auto"/>
                      </w:divBdr>
                    </w:div>
                    <w:div w:id="294156686">
                      <w:marLeft w:val="0"/>
                      <w:marRight w:val="0"/>
                      <w:marTop w:val="0"/>
                      <w:marBottom w:val="0"/>
                      <w:divBdr>
                        <w:top w:val="none" w:sz="0" w:space="0" w:color="auto"/>
                        <w:left w:val="none" w:sz="0" w:space="0" w:color="auto"/>
                        <w:bottom w:val="none" w:sz="0" w:space="0" w:color="auto"/>
                        <w:right w:val="none" w:sz="0" w:space="0" w:color="auto"/>
                      </w:divBdr>
                    </w:div>
                    <w:div w:id="294156695">
                      <w:marLeft w:val="0"/>
                      <w:marRight w:val="0"/>
                      <w:marTop w:val="0"/>
                      <w:marBottom w:val="0"/>
                      <w:divBdr>
                        <w:top w:val="none" w:sz="0" w:space="0" w:color="auto"/>
                        <w:left w:val="none" w:sz="0" w:space="0" w:color="auto"/>
                        <w:bottom w:val="none" w:sz="0" w:space="0" w:color="auto"/>
                        <w:right w:val="none" w:sz="0" w:space="0" w:color="auto"/>
                      </w:divBdr>
                      <w:divsChild>
                        <w:div w:id="294141255">
                          <w:marLeft w:val="0"/>
                          <w:marRight w:val="0"/>
                          <w:marTop w:val="0"/>
                          <w:marBottom w:val="0"/>
                          <w:divBdr>
                            <w:top w:val="none" w:sz="0" w:space="0" w:color="auto"/>
                            <w:left w:val="none" w:sz="0" w:space="0" w:color="auto"/>
                            <w:bottom w:val="none" w:sz="0" w:space="0" w:color="auto"/>
                            <w:right w:val="none" w:sz="0" w:space="0" w:color="auto"/>
                          </w:divBdr>
                        </w:div>
                      </w:divsChild>
                    </w:div>
                    <w:div w:id="294156717">
                      <w:marLeft w:val="0"/>
                      <w:marRight w:val="0"/>
                      <w:marTop w:val="0"/>
                      <w:marBottom w:val="0"/>
                      <w:divBdr>
                        <w:top w:val="none" w:sz="0" w:space="0" w:color="auto"/>
                        <w:left w:val="none" w:sz="0" w:space="0" w:color="auto"/>
                        <w:bottom w:val="none" w:sz="0" w:space="0" w:color="auto"/>
                        <w:right w:val="none" w:sz="0" w:space="0" w:color="auto"/>
                      </w:divBdr>
                      <w:divsChild>
                        <w:div w:id="294148253">
                          <w:marLeft w:val="0"/>
                          <w:marRight w:val="0"/>
                          <w:marTop w:val="0"/>
                          <w:marBottom w:val="0"/>
                          <w:divBdr>
                            <w:top w:val="none" w:sz="0" w:space="0" w:color="auto"/>
                            <w:left w:val="none" w:sz="0" w:space="0" w:color="auto"/>
                            <w:bottom w:val="none" w:sz="0" w:space="0" w:color="auto"/>
                            <w:right w:val="none" w:sz="0" w:space="0" w:color="auto"/>
                          </w:divBdr>
                        </w:div>
                      </w:divsChild>
                    </w:div>
                    <w:div w:id="294156759">
                      <w:marLeft w:val="0"/>
                      <w:marRight w:val="0"/>
                      <w:marTop w:val="0"/>
                      <w:marBottom w:val="0"/>
                      <w:divBdr>
                        <w:top w:val="none" w:sz="0" w:space="0" w:color="auto"/>
                        <w:left w:val="none" w:sz="0" w:space="0" w:color="auto"/>
                        <w:bottom w:val="none" w:sz="0" w:space="0" w:color="auto"/>
                        <w:right w:val="none" w:sz="0" w:space="0" w:color="auto"/>
                      </w:divBdr>
                    </w:div>
                    <w:div w:id="294156807">
                      <w:marLeft w:val="0"/>
                      <w:marRight w:val="0"/>
                      <w:marTop w:val="0"/>
                      <w:marBottom w:val="0"/>
                      <w:divBdr>
                        <w:top w:val="none" w:sz="0" w:space="0" w:color="auto"/>
                        <w:left w:val="none" w:sz="0" w:space="0" w:color="auto"/>
                        <w:bottom w:val="none" w:sz="0" w:space="0" w:color="auto"/>
                        <w:right w:val="none" w:sz="0" w:space="0" w:color="auto"/>
                      </w:divBdr>
                    </w:div>
                    <w:div w:id="294156808">
                      <w:marLeft w:val="0"/>
                      <w:marRight w:val="0"/>
                      <w:marTop w:val="0"/>
                      <w:marBottom w:val="0"/>
                      <w:divBdr>
                        <w:top w:val="none" w:sz="0" w:space="0" w:color="auto"/>
                        <w:left w:val="none" w:sz="0" w:space="0" w:color="auto"/>
                        <w:bottom w:val="none" w:sz="0" w:space="0" w:color="auto"/>
                        <w:right w:val="none" w:sz="0" w:space="0" w:color="auto"/>
                      </w:divBdr>
                      <w:divsChild>
                        <w:div w:id="294142070">
                          <w:marLeft w:val="0"/>
                          <w:marRight w:val="0"/>
                          <w:marTop w:val="0"/>
                          <w:marBottom w:val="0"/>
                          <w:divBdr>
                            <w:top w:val="none" w:sz="0" w:space="0" w:color="auto"/>
                            <w:left w:val="none" w:sz="0" w:space="0" w:color="auto"/>
                            <w:bottom w:val="none" w:sz="0" w:space="0" w:color="auto"/>
                            <w:right w:val="none" w:sz="0" w:space="0" w:color="auto"/>
                          </w:divBdr>
                        </w:div>
                      </w:divsChild>
                    </w:div>
                    <w:div w:id="294156841">
                      <w:marLeft w:val="0"/>
                      <w:marRight w:val="0"/>
                      <w:marTop w:val="0"/>
                      <w:marBottom w:val="0"/>
                      <w:divBdr>
                        <w:top w:val="none" w:sz="0" w:space="0" w:color="auto"/>
                        <w:left w:val="none" w:sz="0" w:space="0" w:color="auto"/>
                        <w:bottom w:val="none" w:sz="0" w:space="0" w:color="auto"/>
                        <w:right w:val="none" w:sz="0" w:space="0" w:color="auto"/>
                      </w:divBdr>
                      <w:divsChild>
                        <w:div w:id="294152447">
                          <w:marLeft w:val="0"/>
                          <w:marRight w:val="0"/>
                          <w:marTop w:val="0"/>
                          <w:marBottom w:val="0"/>
                          <w:divBdr>
                            <w:top w:val="none" w:sz="0" w:space="0" w:color="auto"/>
                            <w:left w:val="none" w:sz="0" w:space="0" w:color="auto"/>
                            <w:bottom w:val="none" w:sz="0" w:space="0" w:color="auto"/>
                            <w:right w:val="none" w:sz="0" w:space="0" w:color="auto"/>
                          </w:divBdr>
                        </w:div>
                      </w:divsChild>
                    </w:div>
                    <w:div w:id="294156866">
                      <w:marLeft w:val="0"/>
                      <w:marRight w:val="0"/>
                      <w:marTop w:val="0"/>
                      <w:marBottom w:val="0"/>
                      <w:divBdr>
                        <w:top w:val="none" w:sz="0" w:space="0" w:color="auto"/>
                        <w:left w:val="none" w:sz="0" w:space="0" w:color="auto"/>
                        <w:bottom w:val="none" w:sz="0" w:space="0" w:color="auto"/>
                        <w:right w:val="none" w:sz="0" w:space="0" w:color="auto"/>
                      </w:divBdr>
                    </w:div>
                    <w:div w:id="294156999">
                      <w:marLeft w:val="0"/>
                      <w:marRight w:val="0"/>
                      <w:marTop w:val="0"/>
                      <w:marBottom w:val="0"/>
                      <w:divBdr>
                        <w:top w:val="none" w:sz="0" w:space="0" w:color="auto"/>
                        <w:left w:val="none" w:sz="0" w:space="0" w:color="auto"/>
                        <w:bottom w:val="none" w:sz="0" w:space="0" w:color="auto"/>
                        <w:right w:val="none" w:sz="0" w:space="0" w:color="auto"/>
                      </w:divBdr>
                    </w:div>
                    <w:div w:id="294157061">
                      <w:marLeft w:val="0"/>
                      <w:marRight w:val="0"/>
                      <w:marTop w:val="0"/>
                      <w:marBottom w:val="0"/>
                      <w:divBdr>
                        <w:top w:val="none" w:sz="0" w:space="0" w:color="auto"/>
                        <w:left w:val="none" w:sz="0" w:space="0" w:color="auto"/>
                        <w:bottom w:val="none" w:sz="0" w:space="0" w:color="auto"/>
                        <w:right w:val="none" w:sz="0" w:space="0" w:color="auto"/>
                      </w:divBdr>
                    </w:div>
                    <w:div w:id="294157077">
                      <w:marLeft w:val="0"/>
                      <w:marRight w:val="0"/>
                      <w:marTop w:val="0"/>
                      <w:marBottom w:val="0"/>
                      <w:divBdr>
                        <w:top w:val="none" w:sz="0" w:space="0" w:color="auto"/>
                        <w:left w:val="none" w:sz="0" w:space="0" w:color="auto"/>
                        <w:bottom w:val="none" w:sz="0" w:space="0" w:color="auto"/>
                        <w:right w:val="none" w:sz="0" w:space="0" w:color="auto"/>
                      </w:divBdr>
                    </w:div>
                    <w:div w:id="294157094">
                      <w:marLeft w:val="0"/>
                      <w:marRight w:val="0"/>
                      <w:marTop w:val="0"/>
                      <w:marBottom w:val="0"/>
                      <w:divBdr>
                        <w:top w:val="none" w:sz="0" w:space="0" w:color="auto"/>
                        <w:left w:val="none" w:sz="0" w:space="0" w:color="auto"/>
                        <w:bottom w:val="none" w:sz="0" w:space="0" w:color="auto"/>
                        <w:right w:val="none" w:sz="0" w:space="0" w:color="auto"/>
                      </w:divBdr>
                      <w:divsChild>
                        <w:div w:id="294151407">
                          <w:marLeft w:val="0"/>
                          <w:marRight w:val="0"/>
                          <w:marTop w:val="0"/>
                          <w:marBottom w:val="0"/>
                          <w:divBdr>
                            <w:top w:val="none" w:sz="0" w:space="0" w:color="auto"/>
                            <w:left w:val="none" w:sz="0" w:space="0" w:color="auto"/>
                            <w:bottom w:val="none" w:sz="0" w:space="0" w:color="auto"/>
                            <w:right w:val="none" w:sz="0" w:space="0" w:color="auto"/>
                          </w:divBdr>
                        </w:div>
                      </w:divsChild>
                    </w:div>
                    <w:div w:id="294157103">
                      <w:marLeft w:val="0"/>
                      <w:marRight w:val="0"/>
                      <w:marTop w:val="0"/>
                      <w:marBottom w:val="0"/>
                      <w:divBdr>
                        <w:top w:val="none" w:sz="0" w:space="0" w:color="auto"/>
                        <w:left w:val="none" w:sz="0" w:space="0" w:color="auto"/>
                        <w:bottom w:val="none" w:sz="0" w:space="0" w:color="auto"/>
                        <w:right w:val="none" w:sz="0" w:space="0" w:color="auto"/>
                      </w:divBdr>
                      <w:divsChild>
                        <w:div w:id="294143400">
                          <w:marLeft w:val="0"/>
                          <w:marRight w:val="0"/>
                          <w:marTop w:val="0"/>
                          <w:marBottom w:val="0"/>
                          <w:divBdr>
                            <w:top w:val="none" w:sz="0" w:space="0" w:color="auto"/>
                            <w:left w:val="none" w:sz="0" w:space="0" w:color="auto"/>
                            <w:bottom w:val="none" w:sz="0" w:space="0" w:color="auto"/>
                            <w:right w:val="none" w:sz="0" w:space="0" w:color="auto"/>
                          </w:divBdr>
                        </w:div>
                      </w:divsChild>
                    </w:div>
                    <w:div w:id="294157134">
                      <w:marLeft w:val="0"/>
                      <w:marRight w:val="0"/>
                      <w:marTop w:val="0"/>
                      <w:marBottom w:val="0"/>
                      <w:divBdr>
                        <w:top w:val="none" w:sz="0" w:space="0" w:color="auto"/>
                        <w:left w:val="none" w:sz="0" w:space="0" w:color="auto"/>
                        <w:bottom w:val="none" w:sz="0" w:space="0" w:color="auto"/>
                        <w:right w:val="none" w:sz="0" w:space="0" w:color="auto"/>
                      </w:divBdr>
                    </w:div>
                    <w:div w:id="294157171">
                      <w:marLeft w:val="0"/>
                      <w:marRight w:val="0"/>
                      <w:marTop w:val="0"/>
                      <w:marBottom w:val="0"/>
                      <w:divBdr>
                        <w:top w:val="none" w:sz="0" w:space="0" w:color="auto"/>
                        <w:left w:val="none" w:sz="0" w:space="0" w:color="auto"/>
                        <w:bottom w:val="none" w:sz="0" w:space="0" w:color="auto"/>
                        <w:right w:val="none" w:sz="0" w:space="0" w:color="auto"/>
                      </w:divBdr>
                      <w:divsChild>
                        <w:div w:id="294145453">
                          <w:marLeft w:val="0"/>
                          <w:marRight w:val="0"/>
                          <w:marTop w:val="0"/>
                          <w:marBottom w:val="0"/>
                          <w:divBdr>
                            <w:top w:val="none" w:sz="0" w:space="0" w:color="auto"/>
                            <w:left w:val="none" w:sz="0" w:space="0" w:color="auto"/>
                            <w:bottom w:val="none" w:sz="0" w:space="0" w:color="auto"/>
                            <w:right w:val="none" w:sz="0" w:space="0" w:color="auto"/>
                          </w:divBdr>
                        </w:div>
                      </w:divsChild>
                    </w:div>
                    <w:div w:id="294157175">
                      <w:marLeft w:val="0"/>
                      <w:marRight w:val="0"/>
                      <w:marTop w:val="0"/>
                      <w:marBottom w:val="0"/>
                      <w:divBdr>
                        <w:top w:val="none" w:sz="0" w:space="0" w:color="auto"/>
                        <w:left w:val="none" w:sz="0" w:space="0" w:color="auto"/>
                        <w:bottom w:val="none" w:sz="0" w:space="0" w:color="auto"/>
                        <w:right w:val="none" w:sz="0" w:space="0" w:color="auto"/>
                      </w:divBdr>
                      <w:divsChild>
                        <w:div w:id="294150599">
                          <w:marLeft w:val="0"/>
                          <w:marRight w:val="0"/>
                          <w:marTop w:val="0"/>
                          <w:marBottom w:val="0"/>
                          <w:divBdr>
                            <w:top w:val="none" w:sz="0" w:space="0" w:color="auto"/>
                            <w:left w:val="none" w:sz="0" w:space="0" w:color="auto"/>
                            <w:bottom w:val="none" w:sz="0" w:space="0" w:color="auto"/>
                            <w:right w:val="none" w:sz="0" w:space="0" w:color="auto"/>
                          </w:divBdr>
                        </w:div>
                      </w:divsChild>
                    </w:div>
                    <w:div w:id="294157180">
                      <w:marLeft w:val="0"/>
                      <w:marRight w:val="0"/>
                      <w:marTop w:val="0"/>
                      <w:marBottom w:val="0"/>
                      <w:divBdr>
                        <w:top w:val="none" w:sz="0" w:space="0" w:color="auto"/>
                        <w:left w:val="none" w:sz="0" w:space="0" w:color="auto"/>
                        <w:bottom w:val="none" w:sz="0" w:space="0" w:color="auto"/>
                        <w:right w:val="none" w:sz="0" w:space="0" w:color="auto"/>
                      </w:divBdr>
                      <w:divsChild>
                        <w:div w:id="294156941">
                          <w:marLeft w:val="0"/>
                          <w:marRight w:val="0"/>
                          <w:marTop w:val="0"/>
                          <w:marBottom w:val="0"/>
                          <w:divBdr>
                            <w:top w:val="none" w:sz="0" w:space="0" w:color="auto"/>
                            <w:left w:val="none" w:sz="0" w:space="0" w:color="auto"/>
                            <w:bottom w:val="none" w:sz="0" w:space="0" w:color="auto"/>
                            <w:right w:val="none" w:sz="0" w:space="0" w:color="auto"/>
                          </w:divBdr>
                        </w:div>
                      </w:divsChild>
                    </w:div>
                    <w:div w:id="294157205">
                      <w:marLeft w:val="0"/>
                      <w:marRight w:val="0"/>
                      <w:marTop w:val="0"/>
                      <w:marBottom w:val="0"/>
                      <w:divBdr>
                        <w:top w:val="none" w:sz="0" w:space="0" w:color="auto"/>
                        <w:left w:val="none" w:sz="0" w:space="0" w:color="auto"/>
                        <w:bottom w:val="none" w:sz="0" w:space="0" w:color="auto"/>
                        <w:right w:val="none" w:sz="0" w:space="0" w:color="auto"/>
                      </w:divBdr>
                    </w:div>
                    <w:div w:id="294157243">
                      <w:marLeft w:val="0"/>
                      <w:marRight w:val="0"/>
                      <w:marTop w:val="0"/>
                      <w:marBottom w:val="0"/>
                      <w:divBdr>
                        <w:top w:val="none" w:sz="0" w:space="0" w:color="auto"/>
                        <w:left w:val="none" w:sz="0" w:space="0" w:color="auto"/>
                        <w:bottom w:val="none" w:sz="0" w:space="0" w:color="auto"/>
                        <w:right w:val="none" w:sz="0" w:space="0" w:color="auto"/>
                      </w:divBdr>
                      <w:divsChild>
                        <w:div w:id="294149682">
                          <w:marLeft w:val="0"/>
                          <w:marRight w:val="0"/>
                          <w:marTop w:val="0"/>
                          <w:marBottom w:val="0"/>
                          <w:divBdr>
                            <w:top w:val="none" w:sz="0" w:space="0" w:color="auto"/>
                            <w:left w:val="none" w:sz="0" w:space="0" w:color="auto"/>
                            <w:bottom w:val="none" w:sz="0" w:space="0" w:color="auto"/>
                            <w:right w:val="none" w:sz="0" w:space="0" w:color="auto"/>
                          </w:divBdr>
                        </w:div>
                      </w:divsChild>
                    </w:div>
                    <w:div w:id="294157260">
                      <w:marLeft w:val="0"/>
                      <w:marRight w:val="0"/>
                      <w:marTop w:val="0"/>
                      <w:marBottom w:val="0"/>
                      <w:divBdr>
                        <w:top w:val="none" w:sz="0" w:space="0" w:color="auto"/>
                        <w:left w:val="none" w:sz="0" w:space="0" w:color="auto"/>
                        <w:bottom w:val="none" w:sz="0" w:space="0" w:color="auto"/>
                        <w:right w:val="none" w:sz="0" w:space="0" w:color="auto"/>
                      </w:divBdr>
                      <w:divsChild>
                        <w:div w:id="294142384">
                          <w:marLeft w:val="0"/>
                          <w:marRight w:val="0"/>
                          <w:marTop w:val="0"/>
                          <w:marBottom w:val="0"/>
                          <w:divBdr>
                            <w:top w:val="none" w:sz="0" w:space="0" w:color="auto"/>
                            <w:left w:val="none" w:sz="0" w:space="0" w:color="auto"/>
                            <w:bottom w:val="none" w:sz="0" w:space="0" w:color="auto"/>
                            <w:right w:val="none" w:sz="0" w:space="0" w:color="auto"/>
                          </w:divBdr>
                        </w:div>
                      </w:divsChild>
                    </w:div>
                    <w:div w:id="294157352">
                      <w:marLeft w:val="0"/>
                      <w:marRight w:val="0"/>
                      <w:marTop w:val="0"/>
                      <w:marBottom w:val="0"/>
                      <w:divBdr>
                        <w:top w:val="none" w:sz="0" w:space="0" w:color="auto"/>
                        <w:left w:val="none" w:sz="0" w:space="0" w:color="auto"/>
                        <w:bottom w:val="none" w:sz="0" w:space="0" w:color="auto"/>
                        <w:right w:val="none" w:sz="0" w:space="0" w:color="auto"/>
                      </w:divBdr>
                      <w:divsChild>
                        <w:div w:id="294138602">
                          <w:marLeft w:val="0"/>
                          <w:marRight w:val="0"/>
                          <w:marTop w:val="0"/>
                          <w:marBottom w:val="0"/>
                          <w:divBdr>
                            <w:top w:val="none" w:sz="0" w:space="0" w:color="auto"/>
                            <w:left w:val="none" w:sz="0" w:space="0" w:color="auto"/>
                            <w:bottom w:val="none" w:sz="0" w:space="0" w:color="auto"/>
                            <w:right w:val="none" w:sz="0" w:space="0" w:color="auto"/>
                          </w:divBdr>
                        </w:div>
                      </w:divsChild>
                    </w:div>
                    <w:div w:id="294157387">
                      <w:marLeft w:val="0"/>
                      <w:marRight w:val="0"/>
                      <w:marTop w:val="0"/>
                      <w:marBottom w:val="0"/>
                      <w:divBdr>
                        <w:top w:val="none" w:sz="0" w:space="0" w:color="auto"/>
                        <w:left w:val="none" w:sz="0" w:space="0" w:color="auto"/>
                        <w:bottom w:val="none" w:sz="0" w:space="0" w:color="auto"/>
                        <w:right w:val="none" w:sz="0" w:space="0" w:color="auto"/>
                      </w:divBdr>
                      <w:divsChild>
                        <w:div w:id="294144732">
                          <w:marLeft w:val="0"/>
                          <w:marRight w:val="0"/>
                          <w:marTop w:val="0"/>
                          <w:marBottom w:val="0"/>
                          <w:divBdr>
                            <w:top w:val="none" w:sz="0" w:space="0" w:color="auto"/>
                            <w:left w:val="none" w:sz="0" w:space="0" w:color="auto"/>
                            <w:bottom w:val="none" w:sz="0" w:space="0" w:color="auto"/>
                            <w:right w:val="none" w:sz="0" w:space="0" w:color="auto"/>
                          </w:divBdr>
                        </w:div>
                      </w:divsChild>
                    </w:div>
                    <w:div w:id="294157416">
                      <w:marLeft w:val="0"/>
                      <w:marRight w:val="0"/>
                      <w:marTop w:val="0"/>
                      <w:marBottom w:val="0"/>
                      <w:divBdr>
                        <w:top w:val="none" w:sz="0" w:space="0" w:color="auto"/>
                        <w:left w:val="none" w:sz="0" w:space="0" w:color="auto"/>
                        <w:bottom w:val="none" w:sz="0" w:space="0" w:color="auto"/>
                        <w:right w:val="none" w:sz="0" w:space="0" w:color="auto"/>
                      </w:divBdr>
                      <w:divsChild>
                        <w:div w:id="294138627">
                          <w:marLeft w:val="0"/>
                          <w:marRight w:val="0"/>
                          <w:marTop w:val="0"/>
                          <w:marBottom w:val="0"/>
                          <w:divBdr>
                            <w:top w:val="none" w:sz="0" w:space="0" w:color="auto"/>
                            <w:left w:val="none" w:sz="0" w:space="0" w:color="auto"/>
                            <w:bottom w:val="none" w:sz="0" w:space="0" w:color="auto"/>
                            <w:right w:val="none" w:sz="0" w:space="0" w:color="auto"/>
                          </w:divBdr>
                        </w:div>
                      </w:divsChild>
                    </w:div>
                    <w:div w:id="294157439">
                      <w:marLeft w:val="0"/>
                      <w:marRight w:val="0"/>
                      <w:marTop w:val="0"/>
                      <w:marBottom w:val="0"/>
                      <w:divBdr>
                        <w:top w:val="none" w:sz="0" w:space="0" w:color="auto"/>
                        <w:left w:val="none" w:sz="0" w:space="0" w:color="auto"/>
                        <w:bottom w:val="none" w:sz="0" w:space="0" w:color="auto"/>
                        <w:right w:val="none" w:sz="0" w:space="0" w:color="auto"/>
                      </w:divBdr>
                    </w:div>
                    <w:div w:id="29415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52666">
      <w:marLeft w:val="0"/>
      <w:marRight w:val="0"/>
      <w:marTop w:val="0"/>
      <w:marBottom w:val="0"/>
      <w:divBdr>
        <w:top w:val="none" w:sz="0" w:space="0" w:color="auto"/>
        <w:left w:val="none" w:sz="0" w:space="0" w:color="auto"/>
        <w:bottom w:val="none" w:sz="0" w:space="0" w:color="auto"/>
        <w:right w:val="none" w:sz="0" w:space="0" w:color="auto"/>
      </w:divBdr>
    </w:div>
    <w:div w:id="294152709">
      <w:marLeft w:val="0"/>
      <w:marRight w:val="0"/>
      <w:marTop w:val="0"/>
      <w:marBottom w:val="0"/>
      <w:divBdr>
        <w:top w:val="none" w:sz="0" w:space="0" w:color="auto"/>
        <w:left w:val="none" w:sz="0" w:space="0" w:color="auto"/>
        <w:bottom w:val="none" w:sz="0" w:space="0" w:color="auto"/>
        <w:right w:val="none" w:sz="0" w:space="0" w:color="auto"/>
      </w:divBdr>
      <w:divsChild>
        <w:div w:id="294147656">
          <w:marLeft w:val="0"/>
          <w:marRight w:val="0"/>
          <w:marTop w:val="0"/>
          <w:marBottom w:val="0"/>
          <w:divBdr>
            <w:top w:val="none" w:sz="0" w:space="0" w:color="auto"/>
            <w:left w:val="none" w:sz="0" w:space="0" w:color="auto"/>
            <w:bottom w:val="none" w:sz="0" w:space="0" w:color="auto"/>
            <w:right w:val="none" w:sz="0" w:space="0" w:color="auto"/>
          </w:divBdr>
        </w:div>
      </w:divsChild>
    </w:div>
    <w:div w:id="294152746">
      <w:marLeft w:val="0"/>
      <w:marRight w:val="0"/>
      <w:marTop w:val="0"/>
      <w:marBottom w:val="0"/>
      <w:divBdr>
        <w:top w:val="none" w:sz="0" w:space="0" w:color="auto"/>
        <w:left w:val="none" w:sz="0" w:space="0" w:color="auto"/>
        <w:bottom w:val="none" w:sz="0" w:space="0" w:color="auto"/>
        <w:right w:val="none" w:sz="0" w:space="0" w:color="auto"/>
      </w:divBdr>
    </w:div>
    <w:div w:id="294152747">
      <w:marLeft w:val="0"/>
      <w:marRight w:val="0"/>
      <w:marTop w:val="0"/>
      <w:marBottom w:val="0"/>
      <w:divBdr>
        <w:top w:val="none" w:sz="0" w:space="0" w:color="auto"/>
        <w:left w:val="none" w:sz="0" w:space="0" w:color="auto"/>
        <w:bottom w:val="none" w:sz="0" w:space="0" w:color="auto"/>
        <w:right w:val="none" w:sz="0" w:space="0" w:color="auto"/>
      </w:divBdr>
    </w:div>
    <w:div w:id="294152882">
      <w:marLeft w:val="0"/>
      <w:marRight w:val="0"/>
      <w:marTop w:val="0"/>
      <w:marBottom w:val="0"/>
      <w:divBdr>
        <w:top w:val="none" w:sz="0" w:space="0" w:color="auto"/>
        <w:left w:val="none" w:sz="0" w:space="0" w:color="auto"/>
        <w:bottom w:val="none" w:sz="0" w:space="0" w:color="auto"/>
        <w:right w:val="none" w:sz="0" w:space="0" w:color="auto"/>
      </w:divBdr>
    </w:div>
    <w:div w:id="294152892">
      <w:marLeft w:val="0"/>
      <w:marRight w:val="0"/>
      <w:marTop w:val="0"/>
      <w:marBottom w:val="0"/>
      <w:divBdr>
        <w:top w:val="none" w:sz="0" w:space="0" w:color="auto"/>
        <w:left w:val="none" w:sz="0" w:space="0" w:color="auto"/>
        <w:bottom w:val="none" w:sz="0" w:space="0" w:color="auto"/>
        <w:right w:val="none" w:sz="0" w:space="0" w:color="auto"/>
      </w:divBdr>
      <w:divsChild>
        <w:div w:id="294143264">
          <w:marLeft w:val="0"/>
          <w:marRight w:val="0"/>
          <w:marTop w:val="0"/>
          <w:marBottom w:val="0"/>
          <w:divBdr>
            <w:top w:val="none" w:sz="0" w:space="0" w:color="auto"/>
            <w:left w:val="none" w:sz="0" w:space="0" w:color="auto"/>
            <w:bottom w:val="none" w:sz="0" w:space="0" w:color="auto"/>
            <w:right w:val="none" w:sz="0" w:space="0" w:color="auto"/>
          </w:divBdr>
          <w:divsChild>
            <w:div w:id="294143035">
              <w:marLeft w:val="0"/>
              <w:marRight w:val="0"/>
              <w:marTop w:val="0"/>
              <w:marBottom w:val="0"/>
              <w:divBdr>
                <w:top w:val="none" w:sz="0" w:space="0" w:color="auto"/>
                <w:left w:val="none" w:sz="0" w:space="0" w:color="auto"/>
                <w:bottom w:val="none" w:sz="0" w:space="0" w:color="auto"/>
                <w:right w:val="none" w:sz="0" w:space="0" w:color="auto"/>
              </w:divBdr>
              <w:divsChild>
                <w:div w:id="294138273">
                  <w:marLeft w:val="0"/>
                  <w:marRight w:val="0"/>
                  <w:marTop w:val="0"/>
                  <w:marBottom w:val="0"/>
                  <w:divBdr>
                    <w:top w:val="none" w:sz="0" w:space="0" w:color="auto"/>
                    <w:left w:val="none" w:sz="0" w:space="0" w:color="auto"/>
                    <w:bottom w:val="none" w:sz="0" w:space="0" w:color="auto"/>
                    <w:right w:val="none" w:sz="0" w:space="0" w:color="auto"/>
                  </w:divBdr>
                </w:div>
                <w:div w:id="294138579">
                  <w:marLeft w:val="0"/>
                  <w:marRight w:val="0"/>
                  <w:marTop w:val="0"/>
                  <w:marBottom w:val="0"/>
                  <w:divBdr>
                    <w:top w:val="none" w:sz="0" w:space="0" w:color="auto"/>
                    <w:left w:val="none" w:sz="0" w:space="0" w:color="auto"/>
                    <w:bottom w:val="none" w:sz="0" w:space="0" w:color="auto"/>
                    <w:right w:val="none" w:sz="0" w:space="0" w:color="auto"/>
                  </w:divBdr>
                </w:div>
                <w:div w:id="294138692">
                  <w:marLeft w:val="0"/>
                  <w:marRight w:val="0"/>
                  <w:marTop w:val="0"/>
                  <w:marBottom w:val="0"/>
                  <w:divBdr>
                    <w:top w:val="none" w:sz="0" w:space="0" w:color="auto"/>
                    <w:left w:val="none" w:sz="0" w:space="0" w:color="auto"/>
                    <w:bottom w:val="none" w:sz="0" w:space="0" w:color="auto"/>
                    <w:right w:val="none" w:sz="0" w:space="0" w:color="auto"/>
                  </w:divBdr>
                </w:div>
                <w:div w:id="294138786">
                  <w:marLeft w:val="0"/>
                  <w:marRight w:val="0"/>
                  <w:marTop w:val="0"/>
                  <w:marBottom w:val="0"/>
                  <w:divBdr>
                    <w:top w:val="none" w:sz="0" w:space="0" w:color="auto"/>
                    <w:left w:val="none" w:sz="0" w:space="0" w:color="auto"/>
                    <w:bottom w:val="none" w:sz="0" w:space="0" w:color="auto"/>
                    <w:right w:val="none" w:sz="0" w:space="0" w:color="auto"/>
                  </w:divBdr>
                </w:div>
                <w:div w:id="294138830">
                  <w:marLeft w:val="0"/>
                  <w:marRight w:val="0"/>
                  <w:marTop w:val="0"/>
                  <w:marBottom w:val="0"/>
                  <w:divBdr>
                    <w:top w:val="none" w:sz="0" w:space="0" w:color="auto"/>
                    <w:left w:val="none" w:sz="0" w:space="0" w:color="auto"/>
                    <w:bottom w:val="none" w:sz="0" w:space="0" w:color="auto"/>
                    <w:right w:val="none" w:sz="0" w:space="0" w:color="auto"/>
                  </w:divBdr>
                </w:div>
                <w:div w:id="294139412">
                  <w:marLeft w:val="0"/>
                  <w:marRight w:val="0"/>
                  <w:marTop w:val="0"/>
                  <w:marBottom w:val="0"/>
                  <w:divBdr>
                    <w:top w:val="none" w:sz="0" w:space="0" w:color="auto"/>
                    <w:left w:val="none" w:sz="0" w:space="0" w:color="auto"/>
                    <w:bottom w:val="none" w:sz="0" w:space="0" w:color="auto"/>
                    <w:right w:val="none" w:sz="0" w:space="0" w:color="auto"/>
                  </w:divBdr>
                </w:div>
                <w:div w:id="294139413">
                  <w:marLeft w:val="0"/>
                  <w:marRight w:val="0"/>
                  <w:marTop w:val="0"/>
                  <w:marBottom w:val="0"/>
                  <w:divBdr>
                    <w:top w:val="none" w:sz="0" w:space="0" w:color="auto"/>
                    <w:left w:val="none" w:sz="0" w:space="0" w:color="auto"/>
                    <w:bottom w:val="none" w:sz="0" w:space="0" w:color="auto"/>
                    <w:right w:val="none" w:sz="0" w:space="0" w:color="auto"/>
                  </w:divBdr>
                </w:div>
                <w:div w:id="294139500">
                  <w:marLeft w:val="0"/>
                  <w:marRight w:val="0"/>
                  <w:marTop w:val="0"/>
                  <w:marBottom w:val="0"/>
                  <w:divBdr>
                    <w:top w:val="none" w:sz="0" w:space="0" w:color="auto"/>
                    <w:left w:val="none" w:sz="0" w:space="0" w:color="auto"/>
                    <w:bottom w:val="none" w:sz="0" w:space="0" w:color="auto"/>
                    <w:right w:val="none" w:sz="0" w:space="0" w:color="auto"/>
                  </w:divBdr>
                </w:div>
                <w:div w:id="294140095">
                  <w:marLeft w:val="0"/>
                  <w:marRight w:val="0"/>
                  <w:marTop w:val="0"/>
                  <w:marBottom w:val="0"/>
                  <w:divBdr>
                    <w:top w:val="none" w:sz="0" w:space="0" w:color="auto"/>
                    <w:left w:val="none" w:sz="0" w:space="0" w:color="auto"/>
                    <w:bottom w:val="none" w:sz="0" w:space="0" w:color="auto"/>
                    <w:right w:val="none" w:sz="0" w:space="0" w:color="auto"/>
                  </w:divBdr>
                </w:div>
                <w:div w:id="294140219">
                  <w:marLeft w:val="0"/>
                  <w:marRight w:val="0"/>
                  <w:marTop w:val="0"/>
                  <w:marBottom w:val="0"/>
                  <w:divBdr>
                    <w:top w:val="none" w:sz="0" w:space="0" w:color="auto"/>
                    <w:left w:val="none" w:sz="0" w:space="0" w:color="auto"/>
                    <w:bottom w:val="none" w:sz="0" w:space="0" w:color="auto"/>
                    <w:right w:val="none" w:sz="0" w:space="0" w:color="auto"/>
                  </w:divBdr>
                </w:div>
                <w:div w:id="294140681">
                  <w:marLeft w:val="0"/>
                  <w:marRight w:val="0"/>
                  <w:marTop w:val="0"/>
                  <w:marBottom w:val="0"/>
                  <w:divBdr>
                    <w:top w:val="none" w:sz="0" w:space="0" w:color="auto"/>
                    <w:left w:val="none" w:sz="0" w:space="0" w:color="auto"/>
                    <w:bottom w:val="none" w:sz="0" w:space="0" w:color="auto"/>
                    <w:right w:val="none" w:sz="0" w:space="0" w:color="auto"/>
                  </w:divBdr>
                </w:div>
                <w:div w:id="294140838">
                  <w:marLeft w:val="0"/>
                  <w:marRight w:val="0"/>
                  <w:marTop w:val="0"/>
                  <w:marBottom w:val="0"/>
                  <w:divBdr>
                    <w:top w:val="none" w:sz="0" w:space="0" w:color="auto"/>
                    <w:left w:val="none" w:sz="0" w:space="0" w:color="auto"/>
                    <w:bottom w:val="none" w:sz="0" w:space="0" w:color="auto"/>
                    <w:right w:val="none" w:sz="0" w:space="0" w:color="auto"/>
                  </w:divBdr>
                </w:div>
                <w:div w:id="294141061">
                  <w:marLeft w:val="0"/>
                  <w:marRight w:val="0"/>
                  <w:marTop w:val="0"/>
                  <w:marBottom w:val="0"/>
                  <w:divBdr>
                    <w:top w:val="none" w:sz="0" w:space="0" w:color="auto"/>
                    <w:left w:val="none" w:sz="0" w:space="0" w:color="auto"/>
                    <w:bottom w:val="none" w:sz="0" w:space="0" w:color="auto"/>
                    <w:right w:val="none" w:sz="0" w:space="0" w:color="auto"/>
                  </w:divBdr>
                </w:div>
                <w:div w:id="294141108">
                  <w:marLeft w:val="0"/>
                  <w:marRight w:val="0"/>
                  <w:marTop w:val="0"/>
                  <w:marBottom w:val="0"/>
                  <w:divBdr>
                    <w:top w:val="none" w:sz="0" w:space="0" w:color="auto"/>
                    <w:left w:val="none" w:sz="0" w:space="0" w:color="auto"/>
                    <w:bottom w:val="none" w:sz="0" w:space="0" w:color="auto"/>
                    <w:right w:val="none" w:sz="0" w:space="0" w:color="auto"/>
                  </w:divBdr>
                </w:div>
                <w:div w:id="294141227">
                  <w:marLeft w:val="0"/>
                  <w:marRight w:val="0"/>
                  <w:marTop w:val="0"/>
                  <w:marBottom w:val="0"/>
                  <w:divBdr>
                    <w:top w:val="none" w:sz="0" w:space="0" w:color="auto"/>
                    <w:left w:val="none" w:sz="0" w:space="0" w:color="auto"/>
                    <w:bottom w:val="none" w:sz="0" w:space="0" w:color="auto"/>
                    <w:right w:val="none" w:sz="0" w:space="0" w:color="auto"/>
                  </w:divBdr>
                </w:div>
                <w:div w:id="294141342">
                  <w:marLeft w:val="0"/>
                  <w:marRight w:val="0"/>
                  <w:marTop w:val="0"/>
                  <w:marBottom w:val="0"/>
                  <w:divBdr>
                    <w:top w:val="none" w:sz="0" w:space="0" w:color="auto"/>
                    <w:left w:val="none" w:sz="0" w:space="0" w:color="auto"/>
                    <w:bottom w:val="none" w:sz="0" w:space="0" w:color="auto"/>
                    <w:right w:val="none" w:sz="0" w:space="0" w:color="auto"/>
                  </w:divBdr>
                </w:div>
                <w:div w:id="294142116">
                  <w:marLeft w:val="0"/>
                  <w:marRight w:val="0"/>
                  <w:marTop w:val="0"/>
                  <w:marBottom w:val="0"/>
                  <w:divBdr>
                    <w:top w:val="none" w:sz="0" w:space="0" w:color="auto"/>
                    <w:left w:val="none" w:sz="0" w:space="0" w:color="auto"/>
                    <w:bottom w:val="none" w:sz="0" w:space="0" w:color="auto"/>
                    <w:right w:val="none" w:sz="0" w:space="0" w:color="auto"/>
                  </w:divBdr>
                </w:div>
                <w:div w:id="294142148">
                  <w:marLeft w:val="0"/>
                  <w:marRight w:val="0"/>
                  <w:marTop w:val="0"/>
                  <w:marBottom w:val="0"/>
                  <w:divBdr>
                    <w:top w:val="none" w:sz="0" w:space="0" w:color="auto"/>
                    <w:left w:val="none" w:sz="0" w:space="0" w:color="auto"/>
                    <w:bottom w:val="none" w:sz="0" w:space="0" w:color="auto"/>
                    <w:right w:val="none" w:sz="0" w:space="0" w:color="auto"/>
                  </w:divBdr>
                </w:div>
                <w:div w:id="294142972">
                  <w:marLeft w:val="0"/>
                  <w:marRight w:val="0"/>
                  <w:marTop w:val="0"/>
                  <w:marBottom w:val="0"/>
                  <w:divBdr>
                    <w:top w:val="none" w:sz="0" w:space="0" w:color="auto"/>
                    <w:left w:val="none" w:sz="0" w:space="0" w:color="auto"/>
                    <w:bottom w:val="none" w:sz="0" w:space="0" w:color="auto"/>
                    <w:right w:val="none" w:sz="0" w:space="0" w:color="auto"/>
                  </w:divBdr>
                </w:div>
                <w:div w:id="294143008">
                  <w:marLeft w:val="0"/>
                  <w:marRight w:val="0"/>
                  <w:marTop w:val="0"/>
                  <w:marBottom w:val="0"/>
                  <w:divBdr>
                    <w:top w:val="none" w:sz="0" w:space="0" w:color="auto"/>
                    <w:left w:val="none" w:sz="0" w:space="0" w:color="auto"/>
                    <w:bottom w:val="none" w:sz="0" w:space="0" w:color="auto"/>
                    <w:right w:val="none" w:sz="0" w:space="0" w:color="auto"/>
                  </w:divBdr>
                </w:div>
                <w:div w:id="294143242">
                  <w:marLeft w:val="0"/>
                  <w:marRight w:val="0"/>
                  <w:marTop w:val="0"/>
                  <w:marBottom w:val="0"/>
                  <w:divBdr>
                    <w:top w:val="none" w:sz="0" w:space="0" w:color="auto"/>
                    <w:left w:val="none" w:sz="0" w:space="0" w:color="auto"/>
                    <w:bottom w:val="none" w:sz="0" w:space="0" w:color="auto"/>
                    <w:right w:val="none" w:sz="0" w:space="0" w:color="auto"/>
                  </w:divBdr>
                </w:div>
                <w:div w:id="294143483">
                  <w:marLeft w:val="0"/>
                  <w:marRight w:val="0"/>
                  <w:marTop w:val="0"/>
                  <w:marBottom w:val="0"/>
                  <w:divBdr>
                    <w:top w:val="none" w:sz="0" w:space="0" w:color="auto"/>
                    <w:left w:val="none" w:sz="0" w:space="0" w:color="auto"/>
                    <w:bottom w:val="none" w:sz="0" w:space="0" w:color="auto"/>
                    <w:right w:val="none" w:sz="0" w:space="0" w:color="auto"/>
                  </w:divBdr>
                </w:div>
                <w:div w:id="294144456">
                  <w:marLeft w:val="0"/>
                  <w:marRight w:val="0"/>
                  <w:marTop w:val="0"/>
                  <w:marBottom w:val="0"/>
                  <w:divBdr>
                    <w:top w:val="none" w:sz="0" w:space="0" w:color="auto"/>
                    <w:left w:val="none" w:sz="0" w:space="0" w:color="auto"/>
                    <w:bottom w:val="none" w:sz="0" w:space="0" w:color="auto"/>
                    <w:right w:val="none" w:sz="0" w:space="0" w:color="auto"/>
                  </w:divBdr>
                </w:div>
                <w:div w:id="294145054">
                  <w:marLeft w:val="0"/>
                  <w:marRight w:val="0"/>
                  <w:marTop w:val="0"/>
                  <w:marBottom w:val="0"/>
                  <w:divBdr>
                    <w:top w:val="none" w:sz="0" w:space="0" w:color="auto"/>
                    <w:left w:val="none" w:sz="0" w:space="0" w:color="auto"/>
                    <w:bottom w:val="none" w:sz="0" w:space="0" w:color="auto"/>
                    <w:right w:val="none" w:sz="0" w:space="0" w:color="auto"/>
                  </w:divBdr>
                </w:div>
                <w:div w:id="294145061">
                  <w:marLeft w:val="0"/>
                  <w:marRight w:val="0"/>
                  <w:marTop w:val="0"/>
                  <w:marBottom w:val="0"/>
                  <w:divBdr>
                    <w:top w:val="none" w:sz="0" w:space="0" w:color="auto"/>
                    <w:left w:val="none" w:sz="0" w:space="0" w:color="auto"/>
                    <w:bottom w:val="none" w:sz="0" w:space="0" w:color="auto"/>
                    <w:right w:val="none" w:sz="0" w:space="0" w:color="auto"/>
                  </w:divBdr>
                </w:div>
                <w:div w:id="294145415">
                  <w:marLeft w:val="0"/>
                  <w:marRight w:val="0"/>
                  <w:marTop w:val="0"/>
                  <w:marBottom w:val="0"/>
                  <w:divBdr>
                    <w:top w:val="none" w:sz="0" w:space="0" w:color="auto"/>
                    <w:left w:val="none" w:sz="0" w:space="0" w:color="auto"/>
                    <w:bottom w:val="none" w:sz="0" w:space="0" w:color="auto"/>
                    <w:right w:val="none" w:sz="0" w:space="0" w:color="auto"/>
                  </w:divBdr>
                </w:div>
                <w:div w:id="294145623">
                  <w:marLeft w:val="0"/>
                  <w:marRight w:val="0"/>
                  <w:marTop w:val="0"/>
                  <w:marBottom w:val="0"/>
                  <w:divBdr>
                    <w:top w:val="none" w:sz="0" w:space="0" w:color="auto"/>
                    <w:left w:val="none" w:sz="0" w:space="0" w:color="auto"/>
                    <w:bottom w:val="none" w:sz="0" w:space="0" w:color="auto"/>
                    <w:right w:val="none" w:sz="0" w:space="0" w:color="auto"/>
                  </w:divBdr>
                </w:div>
                <w:div w:id="294145927">
                  <w:marLeft w:val="0"/>
                  <w:marRight w:val="0"/>
                  <w:marTop w:val="0"/>
                  <w:marBottom w:val="0"/>
                  <w:divBdr>
                    <w:top w:val="none" w:sz="0" w:space="0" w:color="auto"/>
                    <w:left w:val="none" w:sz="0" w:space="0" w:color="auto"/>
                    <w:bottom w:val="none" w:sz="0" w:space="0" w:color="auto"/>
                    <w:right w:val="none" w:sz="0" w:space="0" w:color="auto"/>
                  </w:divBdr>
                </w:div>
                <w:div w:id="294146044">
                  <w:marLeft w:val="0"/>
                  <w:marRight w:val="0"/>
                  <w:marTop w:val="0"/>
                  <w:marBottom w:val="0"/>
                  <w:divBdr>
                    <w:top w:val="none" w:sz="0" w:space="0" w:color="auto"/>
                    <w:left w:val="none" w:sz="0" w:space="0" w:color="auto"/>
                    <w:bottom w:val="none" w:sz="0" w:space="0" w:color="auto"/>
                    <w:right w:val="none" w:sz="0" w:space="0" w:color="auto"/>
                  </w:divBdr>
                </w:div>
                <w:div w:id="294146240">
                  <w:marLeft w:val="0"/>
                  <w:marRight w:val="0"/>
                  <w:marTop w:val="0"/>
                  <w:marBottom w:val="0"/>
                  <w:divBdr>
                    <w:top w:val="none" w:sz="0" w:space="0" w:color="auto"/>
                    <w:left w:val="none" w:sz="0" w:space="0" w:color="auto"/>
                    <w:bottom w:val="none" w:sz="0" w:space="0" w:color="auto"/>
                    <w:right w:val="none" w:sz="0" w:space="0" w:color="auto"/>
                  </w:divBdr>
                </w:div>
                <w:div w:id="294146388">
                  <w:marLeft w:val="0"/>
                  <w:marRight w:val="0"/>
                  <w:marTop w:val="0"/>
                  <w:marBottom w:val="0"/>
                  <w:divBdr>
                    <w:top w:val="none" w:sz="0" w:space="0" w:color="auto"/>
                    <w:left w:val="none" w:sz="0" w:space="0" w:color="auto"/>
                    <w:bottom w:val="none" w:sz="0" w:space="0" w:color="auto"/>
                    <w:right w:val="none" w:sz="0" w:space="0" w:color="auto"/>
                  </w:divBdr>
                </w:div>
                <w:div w:id="294146841">
                  <w:marLeft w:val="0"/>
                  <w:marRight w:val="0"/>
                  <w:marTop w:val="0"/>
                  <w:marBottom w:val="0"/>
                  <w:divBdr>
                    <w:top w:val="none" w:sz="0" w:space="0" w:color="auto"/>
                    <w:left w:val="none" w:sz="0" w:space="0" w:color="auto"/>
                    <w:bottom w:val="none" w:sz="0" w:space="0" w:color="auto"/>
                    <w:right w:val="none" w:sz="0" w:space="0" w:color="auto"/>
                  </w:divBdr>
                </w:div>
                <w:div w:id="294147923">
                  <w:marLeft w:val="0"/>
                  <w:marRight w:val="0"/>
                  <w:marTop w:val="0"/>
                  <w:marBottom w:val="0"/>
                  <w:divBdr>
                    <w:top w:val="none" w:sz="0" w:space="0" w:color="auto"/>
                    <w:left w:val="none" w:sz="0" w:space="0" w:color="auto"/>
                    <w:bottom w:val="none" w:sz="0" w:space="0" w:color="auto"/>
                    <w:right w:val="none" w:sz="0" w:space="0" w:color="auto"/>
                  </w:divBdr>
                </w:div>
                <w:div w:id="294148863">
                  <w:marLeft w:val="0"/>
                  <w:marRight w:val="0"/>
                  <w:marTop w:val="0"/>
                  <w:marBottom w:val="0"/>
                  <w:divBdr>
                    <w:top w:val="none" w:sz="0" w:space="0" w:color="auto"/>
                    <w:left w:val="none" w:sz="0" w:space="0" w:color="auto"/>
                    <w:bottom w:val="none" w:sz="0" w:space="0" w:color="auto"/>
                    <w:right w:val="none" w:sz="0" w:space="0" w:color="auto"/>
                  </w:divBdr>
                </w:div>
                <w:div w:id="294148888">
                  <w:marLeft w:val="0"/>
                  <w:marRight w:val="0"/>
                  <w:marTop w:val="0"/>
                  <w:marBottom w:val="0"/>
                  <w:divBdr>
                    <w:top w:val="none" w:sz="0" w:space="0" w:color="auto"/>
                    <w:left w:val="none" w:sz="0" w:space="0" w:color="auto"/>
                    <w:bottom w:val="none" w:sz="0" w:space="0" w:color="auto"/>
                    <w:right w:val="none" w:sz="0" w:space="0" w:color="auto"/>
                  </w:divBdr>
                </w:div>
                <w:div w:id="294148960">
                  <w:marLeft w:val="0"/>
                  <w:marRight w:val="0"/>
                  <w:marTop w:val="0"/>
                  <w:marBottom w:val="0"/>
                  <w:divBdr>
                    <w:top w:val="none" w:sz="0" w:space="0" w:color="auto"/>
                    <w:left w:val="none" w:sz="0" w:space="0" w:color="auto"/>
                    <w:bottom w:val="none" w:sz="0" w:space="0" w:color="auto"/>
                    <w:right w:val="none" w:sz="0" w:space="0" w:color="auto"/>
                  </w:divBdr>
                </w:div>
                <w:div w:id="294148988">
                  <w:marLeft w:val="0"/>
                  <w:marRight w:val="0"/>
                  <w:marTop w:val="0"/>
                  <w:marBottom w:val="0"/>
                  <w:divBdr>
                    <w:top w:val="none" w:sz="0" w:space="0" w:color="auto"/>
                    <w:left w:val="none" w:sz="0" w:space="0" w:color="auto"/>
                    <w:bottom w:val="none" w:sz="0" w:space="0" w:color="auto"/>
                    <w:right w:val="none" w:sz="0" w:space="0" w:color="auto"/>
                  </w:divBdr>
                </w:div>
                <w:div w:id="294149794">
                  <w:marLeft w:val="0"/>
                  <w:marRight w:val="0"/>
                  <w:marTop w:val="0"/>
                  <w:marBottom w:val="0"/>
                  <w:divBdr>
                    <w:top w:val="none" w:sz="0" w:space="0" w:color="auto"/>
                    <w:left w:val="none" w:sz="0" w:space="0" w:color="auto"/>
                    <w:bottom w:val="none" w:sz="0" w:space="0" w:color="auto"/>
                    <w:right w:val="none" w:sz="0" w:space="0" w:color="auto"/>
                  </w:divBdr>
                </w:div>
                <w:div w:id="294149908">
                  <w:marLeft w:val="0"/>
                  <w:marRight w:val="0"/>
                  <w:marTop w:val="0"/>
                  <w:marBottom w:val="0"/>
                  <w:divBdr>
                    <w:top w:val="none" w:sz="0" w:space="0" w:color="auto"/>
                    <w:left w:val="none" w:sz="0" w:space="0" w:color="auto"/>
                    <w:bottom w:val="none" w:sz="0" w:space="0" w:color="auto"/>
                    <w:right w:val="none" w:sz="0" w:space="0" w:color="auto"/>
                  </w:divBdr>
                </w:div>
                <w:div w:id="294150558">
                  <w:marLeft w:val="0"/>
                  <w:marRight w:val="0"/>
                  <w:marTop w:val="0"/>
                  <w:marBottom w:val="0"/>
                  <w:divBdr>
                    <w:top w:val="none" w:sz="0" w:space="0" w:color="auto"/>
                    <w:left w:val="none" w:sz="0" w:space="0" w:color="auto"/>
                    <w:bottom w:val="none" w:sz="0" w:space="0" w:color="auto"/>
                    <w:right w:val="none" w:sz="0" w:space="0" w:color="auto"/>
                  </w:divBdr>
                </w:div>
                <w:div w:id="294150583">
                  <w:marLeft w:val="0"/>
                  <w:marRight w:val="0"/>
                  <w:marTop w:val="0"/>
                  <w:marBottom w:val="0"/>
                  <w:divBdr>
                    <w:top w:val="none" w:sz="0" w:space="0" w:color="auto"/>
                    <w:left w:val="none" w:sz="0" w:space="0" w:color="auto"/>
                    <w:bottom w:val="none" w:sz="0" w:space="0" w:color="auto"/>
                    <w:right w:val="none" w:sz="0" w:space="0" w:color="auto"/>
                  </w:divBdr>
                </w:div>
                <w:div w:id="294150610">
                  <w:marLeft w:val="0"/>
                  <w:marRight w:val="0"/>
                  <w:marTop w:val="0"/>
                  <w:marBottom w:val="0"/>
                  <w:divBdr>
                    <w:top w:val="none" w:sz="0" w:space="0" w:color="auto"/>
                    <w:left w:val="none" w:sz="0" w:space="0" w:color="auto"/>
                    <w:bottom w:val="none" w:sz="0" w:space="0" w:color="auto"/>
                    <w:right w:val="none" w:sz="0" w:space="0" w:color="auto"/>
                  </w:divBdr>
                </w:div>
                <w:div w:id="294150764">
                  <w:marLeft w:val="0"/>
                  <w:marRight w:val="0"/>
                  <w:marTop w:val="0"/>
                  <w:marBottom w:val="0"/>
                  <w:divBdr>
                    <w:top w:val="none" w:sz="0" w:space="0" w:color="auto"/>
                    <w:left w:val="none" w:sz="0" w:space="0" w:color="auto"/>
                    <w:bottom w:val="none" w:sz="0" w:space="0" w:color="auto"/>
                    <w:right w:val="none" w:sz="0" w:space="0" w:color="auto"/>
                  </w:divBdr>
                </w:div>
                <w:div w:id="294150810">
                  <w:marLeft w:val="0"/>
                  <w:marRight w:val="0"/>
                  <w:marTop w:val="0"/>
                  <w:marBottom w:val="0"/>
                  <w:divBdr>
                    <w:top w:val="none" w:sz="0" w:space="0" w:color="auto"/>
                    <w:left w:val="none" w:sz="0" w:space="0" w:color="auto"/>
                    <w:bottom w:val="none" w:sz="0" w:space="0" w:color="auto"/>
                    <w:right w:val="none" w:sz="0" w:space="0" w:color="auto"/>
                  </w:divBdr>
                </w:div>
                <w:div w:id="294151127">
                  <w:marLeft w:val="0"/>
                  <w:marRight w:val="0"/>
                  <w:marTop w:val="0"/>
                  <w:marBottom w:val="0"/>
                  <w:divBdr>
                    <w:top w:val="none" w:sz="0" w:space="0" w:color="auto"/>
                    <w:left w:val="none" w:sz="0" w:space="0" w:color="auto"/>
                    <w:bottom w:val="none" w:sz="0" w:space="0" w:color="auto"/>
                    <w:right w:val="none" w:sz="0" w:space="0" w:color="auto"/>
                  </w:divBdr>
                </w:div>
                <w:div w:id="294151485">
                  <w:marLeft w:val="0"/>
                  <w:marRight w:val="0"/>
                  <w:marTop w:val="0"/>
                  <w:marBottom w:val="0"/>
                  <w:divBdr>
                    <w:top w:val="none" w:sz="0" w:space="0" w:color="auto"/>
                    <w:left w:val="none" w:sz="0" w:space="0" w:color="auto"/>
                    <w:bottom w:val="none" w:sz="0" w:space="0" w:color="auto"/>
                    <w:right w:val="none" w:sz="0" w:space="0" w:color="auto"/>
                  </w:divBdr>
                </w:div>
                <w:div w:id="294151491">
                  <w:marLeft w:val="0"/>
                  <w:marRight w:val="0"/>
                  <w:marTop w:val="0"/>
                  <w:marBottom w:val="0"/>
                  <w:divBdr>
                    <w:top w:val="none" w:sz="0" w:space="0" w:color="auto"/>
                    <w:left w:val="none" w:sz="0" w:space="0" w:color="auto"/>
                    <w:bottom w:val="none" w:sz="0" w:space="0" w:color="auto"/>
                    <w:right w:val="none" w:sz="0" w:space="0" w:color="auto"/>
                  </w:divBdr>
                </w:div>
                <w:div w:id="294151675">
                  <w:marLeft w:val="0"/>
                  <w:marRight w:val="0"/>
                  <w:marTop w:val="0"/>
                  <w:marBottom w:val="0"/>
                  <w:divBdr>
                    <w:top w:val="none" w:sz="0" w:space="0" w:color="auto"/>
                    <w:left w:val="none" w:sz="0" w:space="0" w:color="auto"/>
                    <w:bottom w:val="none" w:sz="0" w:space="0" w:color="auto"/>
                    <w:right w:val="none" w:sz="0" w:space="0" w:color="auto"/>
                  </w:divBdr>
                </w:div>
                <w:div w:id="294151809">
                  <w:marLeft w:val="0"/>
                  <w:marRight w:val="0"/>
                  <w:marTop w:val="0"/>
                  <w:marBottom w:val="0"/>
                  <w:divBdr>
                    <w:top w:val="none" w:sz="0" w:space="0" w:color="auto"/>
                    <w:left w:val="none" w:sz="0" w:space="0" w:color="auto"/>
                    <w:bottom w:val="none" w:sz="0" w:space="0" w:color="auto"/>
                    <w:right w:val="none" w:sz="0" w:space="0" w:color="auto"/>
                  </w:divBdr>
                </w:div>
                <w:div w:id="294152407">
                  <w:marLeft w:val="0"/>
                  <w:marRight w:val="0"/>
                  <w:marTop w:val="0"/>
                  <w:marBottom w:val="0"/>
                  <w:divBdr>
                    <w:top w:val="none" w:sz="0" w:space="0" w:color="auto"/>
                    <w:left w:val="none" w:sz="0" w:space="0" w:color="auto"/>
                    <w:bottom w:val="none" w:sz="0" w:space="0" w:color="auto"/>
                    <w:right w:val="none" w:sz="0" w:space="0" w:color="auto"/>
                  </w:divBdr>
                </w:div>
                <w:div w:id="294152433">
                  <w:marLeft w:val="0"/>
                  <w:marRight w:val="0"/>
                  <w:marTop w:val="0"/>
                  <w:marBottom w:val="0"/>
                  <w:divBdr>
                    <w:top w:val="none" w:sz="0" w:space="0" w:color="auto"/>
                    <w:left w:val="none" w:sz="0" w:space="0" w:color="auto"/>
                    <w:bottom w:val="none" w:sz="0" w:space="0" w:color="auto"/>
                    <w:right w:val="none" w:sz="0" w:space="0" w:color="auto"/>
                  </w:divBdr>
                </w:div>
                <w:div w:id="294152633">
                  <w:marLeft w:val="0"/>
                  <w:marRight w:val="0"/>
                  <w:marTop w:val="0"/>
                  <w:marBottom w:val="0"/>
                  <w:divBdr>
                    <w:top w:val="none" w:sz="0" w:space="0" w:color="auto"/>
                    <w:left w:val="none" w:sz="0" w:space="0" w:color="auto"/>
                    <w:bottom w:val="none" w:sz="0" w:space="0" w:color="auto"/>
                    <w:right w:val="none" w:sz="0" w:space="0" w:color="auto"/>
                  </w:divBdr>
                </w:div>
                <w:div w:id="294153959">
                  <w:marLeft w:val="0"/>
                  <w:marRight w:val="0"/>
                  <w:marTop w:val="0"/>
                  <w:marBottom w:val="0"/>
                  <w:divBdr>
                    <w:top w:val="none" w:sz="0" w:space="0" w:color="auto"/>
                    <w:left w:val="none" w:sz="0" w:space="0" w:color="auto"/>
                    <w:bottom w:val="none" w:sz="0" w:space="0" w:color="auto"/>
                    <w:right w:val="none" w:sz="0" w:space="0" w:color="auto"/>
                  </w:divBdr>
                </w:div>
                <w:div w:id="294154014">
                  <w:marLeft w:val="0"/>
                  <w:marRight w:val="0"/>
                  <w:marTop w:val="0"/>
                  <w:marBottom w:val="0"/>
                  <w:divBdr>
                    <w:top w:val="none" w:sz="0" w:space="0" w:color="auto"/>
                    <w:left w:val="none" w:sz="0" w:space="0" w:color="auto"/>
                    <w:bottom w:val="none" w:sz="0" w:space="0" w:color="auto"/>
                    <w:right w:val="none" w:sz="0" w:space="0" w:color="auto"/>
                  </w:divBdr>
                </w:div>
                <w:div w:id="294154928">
                  <w:marLeft w:val="0"/>
                  <w:marRight w:val="0"/>
                  <w:marTop w:val="0"/>
                  <w:marBottom w:val="0"/>
                  <w:divBdr>
                    <w:top w:val="none" w:sz="0" w:space="0" w:color="auto"/>
                    <w:left w:val="none" w:sz="0" w:space="0" w:color="auto"/>
                    <w:bottom w:val="none" w:sz="0" w:space="0" w:color="auto"/>
                    <w:right w:val="none" w:sz="0" w:space="0" w:color="auto"/>
                  </w:divBdr>
                </w:div>
                <w:div w:id="294154939">
                  <w:marLeft w:val="0"/>
                  <w:marRight w:val="0"/>
                  <w:marTop w:val="0"/>
                  <w:marBottom w:val="0"/>
                  <w:divBdr>
                    <w:top w:val="none" w:sz="0" w:space="0" w:color="auto"/>
                    <w:left w:val="none" w:sz="0" w:space="0" w:color="auto"/>
                    <w:bottom w:val="none" w:sz="0" w:space="0" w:color="auto"/>
                    <w:right w:val="none" w:sz="0" w:space="0" w:color="auto"/>
                  </w:divBdr>
                </w:div>
                <w:div w:id="294155097">
                  <w:marLeft w:val="0"/>
                  <w:marRight w:val="0"/>
                  <w:marTop w:val="0"/>
                  <w:marBottom w:val="0"/>
                  <w:divBdr>
                    <w:top w:val="none" w:sz="0" w:space="0" w:color="auto"/>
                    <w:left w:val="none" w:sz="0" w:space="0" w:color="auto"/>
                    <w:bottom w:val="none" w:sz="0" w:space="0" w:color="auto"/>
                    <w:right w:val="none" w:sz="0" w:space="0" w:color="auto"/>
                  </w:divBdr>
                </w:div>
                <w:div w:id="294155197">
                  <w:marLeft w:val="0"/>
                  <w:marRight w:val="0"/>
                  <w:marTop w:val="0"/>
                  <w:marBottom w:val="0"/>
                  <w:divBdr>
                    <w:top w:val="none" w:sz="0" w:space="0" w:color="auto"/>
                    <w:left w:val="none" w:sz="0" w:space="0" w:color="auto"/>
                    <w:bottom w:val="none" w:sz="0" w:space="0" w:color="auto"/>
                    <w:right w:val="none" w:sz="0" w:space="0" w:color="auto"/>
                  </w:divBdr>
                </w:div>
                <w:div w:id="294155404">
                  <w:marLeft w:val="0"/>
                  <w:marRight w:val="0"/>
                  <w:marTop w:val="0"/>
                  <w:marBottom w:val="0"/>
                  <w:divBdr>
                    <w:top w:val="none" w:sz="0" w:space="0" w:color="auto"/>
                    <w:left w:val="none" w:sz="0" w:space="0" w:color="auto"/>
                    <w:bottom w:val="none" w:sz="0" w:space="0" w:color="auto"/>
                    <w:right w:val="none" w:sz="0" w:space="0" w:color="auto"/>
                  </w:divBdr>
                </w:div>
                <w:div w:id="294155495">
                  <w:marLeft w:val="0"/>
                  <w:marRight w:val="0"/>
                  <w:marTop w:val="0"/>
                  <w:marBottom w:val="0"/>
                  <w:divBdr>
                    <w:top w:val="none" w:sz="0" w:space="0" w:color="auto"/>
                    <w:left w:val="none" w:sz="0" w:space="0" w:color="auto"/>
                    <w:bottom w:val="none" w:sz="0" w:space="0" w:color="auto"/>
                    <w:right w:val="none" w:sz="0" w:space="0" w:color="auto"/>
                  </w:divBdr>
                </w:div>
                <w:div w:id="294155525">
                  <w:marLeft w:val="0"/>
                  <w:marRight w:val="0"/>
                  <w:marTop w:val="0"/>
                  <w:marBottom w:val="0"/>
                  <w:divBdr>
                    <w:top w:val="none" w:sz="0" w:space="0" w:color="auto"/>
                    <w:left w:val="none" w:sz="0" w:space="0" w:color="auto"/>
                    <w:bottom w:val="none" w:sz="0" w:space="0" w:color="auto"/>
                    <w:right w:val="none" w:sz="0" w:space="0" w:color="auto"/>
                  </w:divBdr>
                </w:div>
                <w:div w:id="294156239">
                  <w:marLeft w:val="0"/>
                  <w:marRight w:val="0"/>
                  <w:marTop w:val="0"/>
                  <w:marBottom w:val="0"/>
                  <w:divBdr>
                    <w:top w:val="none" w:sz="0" w:space="0" w:color="auto"/>
                    <w:left w:val="none" w:sz="0" w:space="0" w:color="auto"/>
                    <w:bottom w:val="none" w:sz="0" w:space="0" w:color="auto"/>
                    <w:right w:val="none" w:sz="0" w:space="0" w:color="auto"/>
                  </w:divBdr>
                </w:div>
                <w:div w:id="2941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9632">
          <w:marLeft w:val="0"/>
          <w:marRight w:val="0"/>
          <w:marTop w:val="0"/>
          <w:marBottom w:val="0"/>
          <w:divBdr>
            <w:top w:val="none" w:sz="0" w:space="0" w:color="auto"/>
            <w:left w:val="none" w:sz="0" w:space="0" w:color="auto"/>
            <w:bottom w:val="none" w:sz="0" w:space="0" w:color="auto"/>
            <w:right w:val="none" w:sz="0" w:space="0" w:color="auto"/>
          </w:divBdr>
          <w:divsChild>
            <w:div w:id="294155107">
              <w:marLeft w:val="0"/>
              <w:marRight w:val="0"/>
              <w:marTop w:val="0"/>
              <w:marBottom w:val="0"/>
              <w:divBdr>
                <w:top w:val="none" w:sz="0" w:space="0" w:color="auto"/>
                <w:left w:val="none" w:sz="0" w:space="0" w:color="auto"/>
                <w:bottom w:val="none" w:sz="0" w:space="0" w:color="auto"/>
                <w:right w:val="none" w:sz="0" w:space="0" w:color="auto"/>
              </w:divBdr>
              <w:divsChild>
                <w:div w:id="2941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6464">
          <w:marLeft w:val="0"/>
          <w:marRight w:val="0"/>
          <w:marTop w:val="0"/>
          <w:marBottom w:val="0"/>
          <w:divBdr>
            <w:top w:val="none" w:sz="0" w:space="0" w:color="auto"/>
            <w:left w:val="none" w:sz="0" w:space="0" w:color="auto"/>
            <w:bottom w:val="none" w:sz="0" w:space="0" w:color="auto"/>
            <w:right w:val="none" w:sz="0" w:space="0" w:color="auto"/>
          </w:divBdr>
          <w:divsChild>
            <w:div w:id="294142827">
              <w:marLeft w:val="0"/>
              <w:marRight w:val="0"/>
              <w:marTop w:val="0"/>
              <w:marBottom w:val="0"/>
              <w:divBdr>
                <w:top w:val="none" w:sz="0" w:space="0" w:color="auto"/>
                <w:left w:val="none" w:sz="0" w:space="0" w:color="auto"/>
                <w:bottom w:val="none" w:sz="0" w:space="0" w:color="auto"/>
                <w:right w:val="none" w:sz="0" w:space="0" w:color="auto"/>
              </w:divBdr>
              <w:divsChild>
                <w:div w:id="294142626">
                  <w:marLeft w:val="0"/>
                  <w:marRight w:val="0"/>
                  <w:marTop w:val="0"/>
                  <w:marBottom w:val="0"/>
                  <w:divBdr>
                    <w:top w:val="none" w:sz="0" w:space="0" w:color="auto"/>
                    <w:left w:val="none" w:sz="0" w:space="0" w:color="auto"/>
                    <w:bottom w:val="none" w:sz="0" w:space="0" w:color="auto"/>
                    <w:right w:val="none" w:sz="0" w:space="0" w:color="auto"/>
                  </w:divBdr>
                  <w:divsChild>
                    <w:div w:id="294138005">
                      <w:marLeft w:val="0"/>
                      <w:marRight w:val="0"/>
                      <w:marTop w:val="0"/>
                      <w:marBottom w:val="0"/>
                      <w:divBdr>
                        <w:top w:val="none" w:sz="0" w:space="0" w:color="auto"/>
                        <w:left w:val="none" w:sz="0" w:space="0" w:color="auto"/>
                        <w:bottom w:val="none" w:sz="0" w:space="0" w:color="auto"/>
                        <w:right w:val="none" w:sz="0" w:space="0" w:color="auto"/>
                      </w:divBdr>
                    </w:div>
                    <w:div w:id="294138322">
                      <w:marLeft w:val="0"/>
                      <w:marRight w:val="0"/>
                      <w:marTop w:val="0"/>
                      <w:marBottom w:val="0"/>
                      <w:divBdr>
                        <w:top w:val="none" w:sz="0" w:space="0" w:color="auto"/>
                        <w:left w:val="none" w:sz="0" w:space="0" w:color="auto"/>
                        <w:bottom w:val="none" w:sz="0" w:space="0" w:color="auto"/>
                        <w:right w:val="none" w:sz="0" w:space="0" w:color="auto"/>
                      </w:divBdr>
                      <w:divsChild>
                        <w:div w:id="294146608">
                          <w:marLeft w:val="0"/>
                          <w:marRight w:val="0"/>
                          <w:marTop w:val="0"/>
                          <w:marBottom w:val="0"/>
                          <w:divBdr>
                            <w:top w:val="none" w:sz="0" w:space="0" w:color="auto"/>
                            <w:left w:val="none" w:sz="0" w:space="0" w:color="auto"/>
                            <w:bottom w:val="none" w:sz="0" w:space="0" w:color="auto"/>
                            <w:right w:val="none" w:sz="0" w:space="0" w:color="auto"/>
                          </w:divBdr>
                        </w:div>
                      </w:divsChild>
                    </w:div>
                    <w:div w:id="294138640">
                      <w:marLeft w:val="0"/>
                      <w:marRight w:val="0"/>
                      <w:marTop w:val="0"/>
                      <w:marBottom w:val="0"/>
                      <w:divBdr>
                        <w:top w:val="none" w:sz="0" w:space="0" w:color="auto"/>
                        <w:left w:val="none" w:sz="0" w:space="0" w:color="auto"/>
                        <w:bottom w:val="none" w:sz="0" w:space="0" w:color="auto"/>
                        <w:right w:val="none" w:sz="0" w:space="0" w:color="auto"/>
                      </w:divBdr>
                    </w:div>
                    <w:div w:id="294138685">
                      <w:marLeft w:val="0"/>
                      <w:marRight w:val="0"/>
                      <w:marTop w:val="0"/>
                      <w:marBottom w:val="0"/>
                      <w:divBdr>
                        <w:top w:val="none" w:sz="0" w:space="0" w:color="auto"/>
                        <w:left w:val="none" w:sz="0" w:space="0" w:color="auto"/>
                        <w:bottom w:val="none" w:sz="0" w:space="0" w:color="auto"/>
                        <w:right w:val="none" w:sz="0" w:space="0" w:color="auto"/>
                      </w:divBdr>
                    </w:div>
                    <w:div w:id="294139062">
                      <w:marLeft w:val="0"/>
                      <w:marRight w:val="0"/>
                      <w:marTop w:val="0"/>
                      <w:marBottom w:val="0"/>
                      <w:divBdr>
                        <w:top w:val="none" w:sz="0" w:space="0" w:color="auto"/>
                        <w:left w:val="none" w:sz="0" w:space="0" w:color="auto"/>
                        <w:bottom w:val="none" w:sz="0" w:space="0" w:color="auto"/>
                        <w:right w:val="none" w:sz="0" w:space="0" w:color="auto"/>
                      </w:divBdr>
                      <w:divsChild>
                        <w:div w:id="294146472">
                          <w:marLeft w:val="0"/>
                          <w:marRight w:val="0"/>
                          <w:marTop w:val="0"/>
                          <w:marBottom w:val="0"/>
                          <w:divBdr>
                            <w:top w:val="none" w:sz="0" w:space="0" w:color="auto"/>
                            <w:left w:val="none" w:sz="0" w:space="0" w:color="auto"/>
                            <w:bottom w:val="none" w:sz="0" w:space="0" w:color="auto"/>
                            <w:right w:val="none" w:sz="0" w:space="0" w:color="auto"/>
                          </w:divBdr>
                        </w:div>
                      </w:divsChild>
                    </w:div>
                    <w:div w:id="294139132">
                      <w:marLeft w:val="0"/>
                      <w:marRight w:val="0"/>
                      <w:marTop w:val="0"/>
                      <w:marBottom w:val="0"/>
                      <w:divBdr>
                        <w:top w:val="none" w:sz="0" w:space="0" w:color="auto"/>
                        <w:left w:val="none" w:sz="0" w:space="0" w:color="auto"/>
                        <w:bottom w:val="none" w:sz="0" w:space="0" w:color="auto"/>
                        <w:right w:val="none" w:sz="0" w:space="0" w:color="auto"/>
                      </w:divBdr>
                    </w:div>
                    <w:div w:id="294139214">
                      <w:marLeft w:val="0"/>
                      <w:marRight w:val="0"/>
                      <w:marTop w:val="0"/>
                      <w:marBottom w:val="0"/>
                      <w:divBdr>
                        <w:top w:val="none" w:sz="0" w:space="0" w:color="auto"/>
                        <w:left w:val="none" w:sz="0" w:space="0" w:color="auto"/>
                        <w:bottom w:val="none" w:sz="0" w:space="0" w:color="auto"/>
                        <w:right w:val="none" w:sz="0" w:space="0" w:color="auto"/>
                      </w:divBdr>
                      <w:divsChild>
                        <w:div w:id="294144688">
                          <w:marLeft w:val="0"/>
                          <w:marRight w:val="0"/>
                          <w:marTop w:val="0"/>
                          <w:marBottom w:val="0"/>
                          <w:divBdr>
                            <w:top w:val="none" w:sz="0" w:space="0" w:color="auto"/>
                            <w:left w:val="none" w:sz="0" w:space="0" w:color="auto"/>
                            <w:bottom w:val="none" w:sz="0" w:space="0" w:color="auto"/>
                            <w:right w:val="none" w:sz="0" w:space="0" w:color="auto"/>
                          </w:divBdr>
                        </w:div>
                      </w:divsChild>
                    </w:div>
                    <w:div w:id="294140023">
                      <w:marLeft w:val="0"/>
                      <w:marRight w:val="0"/>
                      <w:marTop w:val="0"/>
                      <w:marBottom w:val="0"/>
                      <w:divBdr>
                        <w:top w:val="none" w:sz="0" w:space="0" w:color="auto"/>
                        <w:left w:val="none" w:sz="0" w:space="0" w:color="auto"/>
                        <w:bottom w:val="none" w:sz="0" w:space="0" w:color="auto"/>
                        <w:right w:val="none" w:sz="0" w:space="0" w:color="auto"/>
                      </w:divBdr>
                    </w:div>
                    <w:div w:id="294140357">
                      <w:marLeft w:val="0"/>
                      <w:marRight w:val="0"/>
                      <w:marTop w:val="0"/>
                      <w:marBottom w:val="0"/>
                      <w:divBdr>
                        <w:top w:val="none" w:sz="0" w:space="0" w:color="auto"/>
                        <w:left w:val="none" w:sz="0" w:space="0" w:color="auto"/>
                        <w:bottom w:val="none" w:sz="0" w:space="0" w:color="auto"/>
                        <w:right w:val="none" w:sz="0" w:space="0" w:color="auto"/>
                      </w:divBdr>
                      <w:divsChild>
                        <w:div w:id="294153307">
                          <w:marLeft w:val="0"/>
                          <w:marRight w:val="0"/>
                          <w:marTop w:val="0"/>
                          <w:marBottom w:val="0"/>
                          <w:divBdr>
                            <w:top w:val="none" w:sz="0" w:space="0" w:color="auto"/>
                            <w:left w:val="none" w:sz="0" w:space="0" w:color="auto"/>
                            <w:bottom w:val="none" w:sz="0" w:space="0" w:color="auto"/>
                            <w:right w:val="none" w:sz="0" w:space="0" w:color="auto"/>
                          </w:divBdr>
                        </w:div>
                      </w:divsChild>
                    </w:div>
                    <w:div w:id="294140887">
                      <w:marLeft w:val="0"/>
                      <w:marRight w:val="0"/>
                      <w:marTop w:val="0"/>
                      <w:marBottom w:val="0"/>
                      <w:divBdr>
                        <w:top w:val="none" w:sz="0" w:space="0" w:color="auto"/>
                        <w:left w:val="none" w:sz="0" w:space="0" w:color="auto"/>
                        <w:bottom w:val="none" w:sz="0" w:space="0" w:color="auto"/>
                        <w:right w:val="none" w:sz="0" w:space="0" w:color="auto"/>
                      </w:divBdr>
                      <w:divsChild>
                        <w:div w:id="294142501">
                          <w:marLeft w:val="0"/>
                          <w:marRight w:val="0"/>
                          <w:marTop w:val="0"/>
                          <w:marBottom w:val="0"/>
                          <w:divBdr>
                            <w:top w:val="none" w:sz="0" w:space="0" w:color="auto"/>
                            <w:left w:val="none" w:sz="0" w:space="0" w:color="auto"/>
                            <w:bottom w:val="none" w:sz="0" w:space="0" w:color="auto"/>
                            <w:right w:val="none" w:sz="0" w:space="0" w:color="auto"/>
                          </w:divBdr>
                        </w:div>
                      </w:divsChild>
                    </w:div>
                    <w:div w:id="294141130">
                      <w:marLeft w:val="0"/>
                      <w:marRight w:val="0"/>
                      <w:marTop w:val="0"/>
                      <w:marBottom w:val="0"/>
                      <w:divBdr>
                        <w:top w:val="none" w:sz="0" w:space="0" w:color="auto"/>
                        <w:left w:val="none" w:sz="0" w:space="0" w:color="auto"/>
                        <w:bottom w:val="none" w:sz="0" w:space="0" w:color="auto"/>
                        <w:right w:val="none" w:sz="0" w:space="0" w:color="auto"/>
                      </w:divBdr>
                      <w:divsChild>
                        <w:div w:id="294150689">
                          <w:marLeft w:val="0"/>
                          <w:marRight w:val="0"/>
                          <w:marTop w:val="0"/>
                          <w:marBottom w:val="0"/>
                          <w:divBdr>
                            <w:top w:val="none" w:sz="0" w:space="0" w:color="auto"/>
                            <w:left w:val="none" w:sz="0" w:space="0" w:color="auto"/>
                            <w:bottom w:val="none" w:sz="0" w:space="0" w:color="auto"/>
                            <w:right w:val="none" w:sz="0" w:space="0" w:color="auto"/>
                          </w:divBdr>
                        </w:div>
                      </w:divsChild>
                    </w:div>
                    <w:div w:id="294141245">
                      <w:marLeft w:val="0"/>
                      <w:marRight w:val="0"/>
                      <w:marTop w:val="0"/>
                      <w:marBottom w:val="0"/>
                      <w:divBdr>
                        <w:top w:val="none" w:sz="0" w:space="0" w:color="auto"/>
                        <w:left w:val="none" w:sz="0" w:space="0" w:color="auto"/>
                        <w:bottom w:val="none" w:sz="0" w:space="0" w:color="auto"/>
                        <w:right w:val="none" w:sz="0" w:space="0" w:color="auto"/>
                      </w:divBdr>
                    </w:div>
                    <w:div w:id="294142620">
                      <w:marLeft w:val="0"/>
                      <w:marRight w:val="0"/>
                      <w:marTop w:val="0"/>
                      <w:marBottom w:val="0"/>
                      <w:divBdr>
                        <w:top w:val="none" w:sz="0" w:space="0" w:color="auto"/>
                        <w:left w:val="none" w:sz="0" w:space="0" w:color="auto"/>
                        <w:bottom w:val="none" w:sz="0" w:space="0" w:color="auto"/>
                        <w:right w:val="none" w:sz="0" w:space="0" w:color="auto"/>
                      </w:divBdr>
                    </w:div>
                    <w:div w:id="294142937">
                      <w:marLeft w:val="0"/>
                      <w:marRight w:val="0"/>
                      <w:marTop w:val="0"/>
                      <w:marBottom w:val="0"/>
                      <w:divBdr>
                        <w:top w:val="none" w:sz="0" w:space="0" w:color="auto"/>
                        <w:left w:val="none" w:sz="0" w:space="0" w:color="auto"/>
                        <w:bottom w:val="none" w:sz="0" w:space="0" w:color="auto"/>
                        <w:right w:val="none" w:sz="0" w:space="0" w:color="auto"/>
                      </w:divBdr>
                      <w:divsChild>
                        <w:div w:id="294147221">
                          <w:marLeft w:val="0"/>
                          <w:marRight w:val="0"/>
                          <w:marTop w:val="0"/>
                          <w:marBottom w:val="0"/>
                          <w:divBdr>
                            <w:top w:val="none" w:sz="0" w:space="0" w:color="auto"/>
                            <w:left w:val="none" w:sz="0" w:space="0" w:color="auto"/>
                            <w:bottom w:val="none" w:sz="0" w:space="0" w:color="auto"/>
                            <w:right w:val="none" w:sz="0" w:space="0" w:color="auto"/>
                          </w:divBdr>
                        </w:div>
                      </w:divsChild>
                    </w:div>
                    <w:div w:id="294143283">
                      <w:marLeft w:val="0"/>
                      <w:marRight w:val="0"/>
                      <w:marTop w:val="0"/>
                      <w:marBottom w:val="0"/>
                      <w:divBdr>
                        <w:top w:val="none" w:sz="0" w:space="0" w:color="auto"/>
                        <w:left w:val="none" w:sz="0" w:space="0" w:color="auto"/>
                        <w:bottom w:val="none" w:sz="0" w:space="0" w:color="auto"/>
                        <w:right w:val="none" w:sz="0" w:space="0" w:color="auto"/>
                      </w:divBdr>
                    </w:div>
                    <w:div w:id="294143460">
                      <w:marLeft w:val="0"/>
                      <w:marRight w:val="0"/>
                      <w:marTop w:val="0"/>
                      <w:marBottom w:val="0"/>
                      <w:divBdr>
                        <w:top w:val="none" w:sz="0" w:space="0" w:color="auto"/>
                        <w:left w:val="none" w:sz="0" w:space="0" w:color="auto"/>
                        <w:bottom w:val="none" w:sz="0" w:space="0" w:color="auto"/>
                        <w:right w:val="none" w:sz="0" w:space="0" w:color="auto"/>
                      </w:divBdr>
                      <w:divsChild>
                        <w:div w:id="294145331">
                          <w:marLeft w:val="0"/>
                          <w:marRight w:val="0"/>
                          <w:marTop w:val="0"/>
                          <w:marBottom w:val="0"/>
                          <w:divBdr>
                            <w:top w:val="none" w:sz="0" w:space="0" w:color="auto"/>
                            <w:left w:val="none" w:sz="0" w:space="0" w:color="auto"/>
                            <w:bottom w:val="none" w:sz="0" w:space="0" w:color="auto"/>
                            <w:right w:val="none" w:sz="0" w:space="0" w:color="auto"/>
                          </w:divBdr>
                        </w:div>
                      </w:divsChild>
                    </w:div>
                    <w:div w:id="294143619">
                      <w:marLeft w:val="0"/>
                      <w:marRight w:val="0"/>
                      <w:marTop w:val="0"/>
                      <w:marBottom w:val="0"/>
                      <w:divBdr>
                        <w:top w:val="none" w:sz="0" w:space="0" w:color="auto"/>
                        <w:left w:val="none" w:sz="0" w:space="0" w:color="auto"/>
                        <w:bottom w:val="none" w:sz="0" w:space="0" w:color="auto"/>
                        <w:right w:val="none" w:sz="0" w:space="0" w:color="auto"/>
                      </w:divBdr>
                    </w:div>
                    <w:div w:id="294144001">
                      <w:marLeft w:val="0"/>
                      <w:marRight w:val="0"/>
                      <w:marTop w:val="0"/>
                      <w:marBottom w:val="0"/>
                      <w:divBdr>
                        <w:top w:val="none" w:sz="0" w:space="0" w:color="auto"/>
                        <w:left w:val="none" w:sz="0" w:space="0" w:color="auto"/>
                        <w:bottom w:val="none" w:sz="0" w:space="0" w:color="auto"/>
                        <w:right w:val="none" w:sz="0" w:space="0" w:color="auto"/>
                      </w:divBdr>
                    </w:div>
                    <w:div w:id="294144204">
                      <w:marLeft w:val="0"/>
                      <w:marRight w:val="0"/>
                      <w:marTop w:val="0"/>
                      <w:marBottom w:val="0"/>
                      <w:divBdr>
                        <w:top w:val="none" w:sz="0" w:space="0" w:color="auto"/>
                        <w:left w:val="none" w:sz="0" w:space="0" w:color="auto"/>
                        <w:bottom w:val="none" w:sz="0" w:space="0" w:color="auto"/>
                        <w:right w:val="none" w:sz="0" w:space="0" w:color="auto"/>
                      </w:divBdr>
                      <w:divsChild>
                        <w:div w:id="294147961">
                          <w:marLeft w:val="0"/>
                          <w:marRight w:val="0"/>
                          <w:marTop w:val="0"/>
                          <w:marBottom w:val="0"/>
                          <w:divBdr>
                            <w:top w:val="none" w:sz="0" w:space="0" w:color="auto"/>
                            <w:left w:val="none" w:sz="0" w:space="0" w:color="auto"/>
                            <w:bottom w:val="none" w:sz="0" w:space="0" w:color="auto"/>
                            <w:right w:val="none" w:sz="0" w:space="0" w:color="auto"/>
                          </w:divBdr>
                        </w:div>
                      </w:divsChild>
                    </w:div>
                    <w:div w:id="294144617">
                      <w:marLeft w:val="0"/>
                      <w:marRight w:val="0"/>
                      <w:marTop w:val="0"/>
                      <w:marBottom w:val="0"/>
                      <w:divBdr>
                        <w:top w:val="none" w:sz="0" w:space="0" w:color="auto"/>
                        <w:left w:val="none" w:sz="0" w:space="0" w:color="auto"/>
                        <w:bottom w:val="none" w:sz="0" w:space="0" w:color="auto"/>
                        <w:right w:val="none" w:sz="0" w:space="0" w:color="auto"/>
                      </w:divBdr>
                      <w:divsChild>
                        <w:div w:id="294147475">
                          <w:marLeft w:val="0"/>
                          <w:marRight w:val="0"/>
                          <w:marTop w:val="0"/>
                          <w:marBottom w:val="0"/>
                          <w:divBdr>
                            <w:top w:val="none" w:sz="0" w:space="0" w:color="auto"/>
                            <w:left w:val="none" w:sz="0" w:space="0" w:color="auto"/>
                            <w:bottom w:val="none" w:sz="0" w:space="0" w:color="auto"/>
                            <w:right w:val="none" w:sz="0" w:space="0" w:color="auto"/>
                          </w:divBdr>
                        </w:div>
                      </w:divsChild>
                    </w:div>
                    <w:div w:id="294145179">
                      <w:marLeft w:val="0"/>
                      <w:marRight w:val="0"/>
                      <w:marTop w:val="0"/>
                      <w:marBottom w:val="0"/>
                      <w:divBdr>
                        <w:top w:val="none" w:sz="0" w:space="0" w:color="auto"/>
                        <w:left w:val="none" w:sz="0" w:space="0" w:color="auto"/>
                        <w:bottom w:val="none" w:sz="0" w:space="0" w:color="auto"/>
                        <w:right w:val="none" w:sz="0" w:space="0" w:color="auto"/>
                      </w:divBdr>
                    </w:div>
                    <w:div w:id="294145607">
                      <w:marLeft w:val="0"/>
                      <w:marRight w:val="0"/>
                      <w:marTop w:val="0"/>
                      <w:marBottom w:val="0"/>
                      <w:divBdr>
                        <w:top w:val="none" w:sz="0" w:space="0" w:color="auto"/>
                        <w:left w:val="none" w:sz="0" w:space="0" w:color="auto"/>
                        <w:bottom w:val="none" w:sz="0" w:space="0" w:color="auto"/>
                        <w:right w:val="none" w:sz="0" w:space="0" w:color="auto"/>
                      </w:divBdr>
                    </w:div>
                    <w:div w:id="294145898">
                      <w:marLeft w:val="0"/>
                      <w:marRight w:val="0"/>
                      <w:marTop w:val="0"/>
                      <w:marBottom w:val="0"/>
                      <w:divBdr>
                        <w:top w:val="none" w:sz="0" w:space="0" w:color="auto"/>
                        <w:left w:val="none" w:sz="0" w:space="0" w:color="auto"/>
                        <w:bottom w:val="none" w:sz="0" w:space="0" w:color="auto"/>
                        <w:right w:val="none" w:sz="0" w:space="0" w:color="auto"/>
                      </w:divBdr>
                    </w:div>
                    <w:div w:id="294145902">
                      <w:marLeft w:val="0"/>
                      <w:marRight w:val="0"/>
                      <w:marTop w:val="0"/>
                      <w:marBottom w:val="0"/>
                      <w:divBdr>
                        <w:top w:val="none" w:sz="0" w:space="0" w:color="auto"/>
                        <w:left w:val="none" w:sz="0" w:space="0" w:color="auto"/>
                        <w:bottom w:val="none" w:sz="0" w:space="0" w:color="auto"/>
                        <w:right w:val="none" w:sz="0" w:space="0" w:color="auto"/>
                      </w:divBdr>
                    </w:div>
                    <w:div w:id="294147275">
                      <w:marLeft w:val="0"/>
                      <w:marRight w:val="0"/>
                      <w:marTop w:val="0"/>
                      <w:marBottom w:val="0"/>
                      <w:divBdr>
                        <w:top w:val="none" w:sz="0" w:space="0" w:color="auto"/>
                        <w:left w:val="none" w:sz="0" w:space="0" w:color="auto"/>
                        <w:bottom w:val="none" w:sz="0" w:space="0" w:color="auto"/>
                        <w:right w:val="none" w:sz="0" w:space="0" w:color="auto"/>
                      </w:divBdr>
                    </w:div>
                    <w:div w:id="294147503">
                      <w:marLeft w:val="0"/>
                      <w:marRight w:val="0"/>
                      <w:marTop w:val="0"/>
                      <w:marBottom w:val="0"/>
                      <w:divBdr>
                        <w:top w:val="none" w:sz="0" w:space="0" w:color="auto"/>
                        <w:left w:val="none" w:sz="0" w:space="0" w:color="auto"/>
                        <w:bottom w:val="none" w:sz="0" w:space="0" w:color="auto"/>
                        <w:right w:val="none" w:sz="0" w:space="0" w:color="auto"/>
                      </w:divBdr>
                    </w:div>
                    <w:div w:id="294147603">
                      <w:marLeft w:val="0"/>
                      <w:marRight w:val="0"/>
                      <w:marTop w:val="0"/>
                      <w:marBottom w:val="0"/>
                      <w:divBdr>
                        <w:top w:val="none" w:sz="0" w:space="0" w:color="auto"/>
                        <w:left w:val="none" w:sz="0" w:space="0" w:color="auto"/>
                        <w:bottom w:val="none" w:sz="0" w:space="0" w:color="auto"/>
                        <w:right w:val="none" w:sz="0" w:space="0" w:color="auto"/>
                      </w:divBdr>
                    </w:div>
                    <w:div w:id="294149255">
                      <w:marLeft w:val="0"/>
                      <w:marRight w:val="0"/>
                      <w:marTop w:val="0"/>
                      <w:marBottom w:val="0"/>
                      <w:divBdr>
                        <w:top w:val="none" w:sz="0" w:space="0" w:color="auto"/>
                        <w:left w:val="none" w:sz="0" w:space="0" w:color="auto"/>
                        <w:bottom w:val="none" w:sz="0" w:space="0" w:color="auto"/>
                        <w:right w:val="none" w:sz="0" w:space="0" w:color="auto"/>
                      </w:divBdr>
                    </w:div>
                    <w:div w:id="294149847">
                      <w:marLeft w:val="0"/>
                      <w:marRight w:val="0"/>
                      <w:marTop w:val="0"/>
                      <w:marBottom w:val="0"/>
                      <w:divBdr>
                        <w:top w:val="none" w:sz="0" w:space="0" w:color="auto"/>
                        <w:left w:val="none" w:sz="0" w:space="0" w:color="auto"/>
                        <w:bottom w:val="none" w:sz="0" w:space="0" w:color="auto"/>
                        <w:right w:val="none" w:sz="0" w:space="0" w:color="auto"/>
                      </w:divBdr>
                      <w:divsChild>
                        <w:div w:id="294152490">
                          <w:marLeft w:val="0"/>
                          <w:marRight w:val="0"/>
                          <w:marTop w:val="0"/>
                          <w:marBottom w:val="0"/>
                          <w:divBdr>
                            <w:top w:val="none" w:sz="0" w:space="0" w:color="auto"/>
                            <w:left w:val="none" w:sz="0" w:space="0" w:color="auto"/>
                            <w:bottom w:val="none" w:sz="0" w:space="0" w:color="auto"/>
                            <w:right w:val="none" w:sz="0" w:space="0" w:color="auto"/>
                          </w:divBdr>
                        </w:div>
                      </w:divsChild>
                    </w:div>
                    <w:div w:id="294150184">
                      <w:marLeft w:val="0"/>
                      <w:marRight w:val="0"/>
                      <w:marTop w:val="0"/>
                      <w:marBottom w:val="0"/>
                      <w:divBdr>
                        <w:top w:val="none" w:sz="0" w:space="0" w:color="auto"/>
                        <w:left w:val="none" w:sz="0" w:space="0" w:color="auto"/>
                        <w:bottom w:val="none" w:sz="0" w:space="0" w:color="auto"/>
                        <w:right w:val="none" w:sz="0" w:space="0" w:color="auto"/>
                      </w:divBdr>
                      <w:divsChild>
                        <w:div w:id="294145276">
                          <w:marLeft w:val="0"/>
                          <w:marRight w:val="0"/>
                          <w:marTop w:val="0"/>
                          <w:marBottom w:val="0"/>
                          <w:divBdr>
                            <w:top w:val="none" w:sz="0" w:space="0" w:color="auto"/>
                            <w:left w:val="none" w:sz="0" w:space="0" w:color="auto"/>
                            <w:bottom w:val="none" w:sz="0" w:space="0" w:color="auto"/>
                            <w:right w:val="none" w:sz="0" w:space="0" w:color="auto"/>
                          </w:divBdr>
                        </w:div>
                      </w:divsChild>
                    </w:div>
                    <w:div w:id="294150600">
                      <w:marLeft w:val="0"/>
                      <w:marRight w:val="0"/>
                      <w:marTop w:val="0"/>
                      <w:marBottom w:val="0"/>
                      <w:divBdr>
                        <w:top w:val="none" w:sz="0" w:space="0" w:color="auto"/>
                        <w:left w:val="none" w:sz="0" w:space="0" w:color="auto"/>
                        <w:bottom w:val="none" w:sz="0" w:space="0" w:color="auto"/>
                        <w:right w:val="none" w:sz="0" w:space="0" w:color="auto"/>
                      </w:divBdr>
                      <w:divsChild>
                        <w:div w:id="294155542">
                          <w:marLeft w:val="0"/>
                          <w:marRight w:val="0"/>
                          <w:marTop w:val="0"/>
                          <w:marBottom w:val="0"/>
                          <w:divBdr>
                            <w:top w:val="none" w:sz="0" w:space="0" w:color="auto"/>
                            <w:left w:val="none" w:sz="0" w:space="0" w:color="auto"/>
                            <w:bottom w:val="none" w:sz="0" w:space="0" w:color="auto"/>
                            <w:right w:val="none" w:sz="0" w:space="0" w:color="auto"/>
                          </w:divBdr>
                        </w:div>
                      </w:divsChild>
                    </w:div>
                    <w:div w:id="294151051">
                      <w:marLeft w:val="0"/>
                      <w:marRight w:val="0"/>
                      <w:marTop w:val="0"/>
                      <w:marBottom w:val="0"/>
                      <w:divBdr>
                        <w:top w:val="none" w:sz="0" w:space="0" w:color="auto"/>
                        <w:left w:val="none" w:sz="0" w:space="0" w:color="auto"/>
                        <w:bottom w:val="none" w:sz="0" w:space="0" w:color="auto"/>
                        <w:right w:val="none" w:sz="0" w:space="0" w:color="auto"/>
                      </w:divBdr>
                    </w:div>
                    <w:div w:id="294151343">
                      <w:marLeft w:val="0"/>
                      <w:marRight w:val="0"/>
                      <w:marTop w:val="0"/>
                      <w:marBottom w:val="0"/>
                      <w:divBdr>
                        <w:top w:val="none" w:sz="0" w:space="0" w:color="auto"/>
                        <w:left w:val="none" w:sz="0" w:space="0" w:color="auto"/>
                        <w:bottom w:val="none" w:sz="0" w:space="0" w:color="auto"/>
                        <w:right w:val="none" w:sz="0" w:space="0" w:color="auto"/>
                      </w:divBdr>
                      <w:divsChild>
                        <w:div w:id="294141072">
                          <w:marLeft w:val="0"/>
                          <w:marRight w:val="0"/>
                          <w:marTop w:val="0"/>
                          <w:marBottom w:val="0"/>
                          <w:divBdr>
                            <w:top w:val="none" w:sz="0" w:space="0" w:color="auto"/>
                            <w:left w:val="none" w:sz="0" w:space="0" w:color="auto"/>
                            <w:bottom w:val="none" w:sz="0" w:space="0" w:color="auto"/>
                            <w:right w:val="none" w:sz="0" w:space="0" w:color="auto"/>
                          </w:divBdr>
                        </w:div>
                      </w:divsChild>
                    </w:div>
                    <w:div w:id="294152173">
                      <w:marLeft w:val="0"/>
                      <w:marRight w:val="0"/>
                      <w:marTop w:val="0"/>
                      <w:marBottom w:val="0"/>
                      <w:divBdr>
                        <w:top w:val="none" w:sz="0" w:space="0" w:color="auto"/>
                        <w:left w:val="none" w:sz="0" w:space="0" w:color="auto"/>
                        <w:bottom w:val="none" w:sz="0" w:space="0" w:color="auto"/>
                        <w:right w:val="none" w:sz="0" w:space="0" w:color="auto"/>
                      </w:divBdr>
                      <w:divsChild>
                        <w:div w:id="294153474">
                          <w:marLeft w:val="0"/>
                          <w:marRight w:val="0"/>
                          <w:marTop w:val="0"/>
                          <w:marBottom w:val="0"/>
                          <w:divBdr>
                            <w:top w:val="none" w:sz="0" w:space="0" w:color="auto"/>
                            <w:left w:val="none" w:sz="0" w:space="0" w:color="auto"/>
                            <w:bottom w:val="none" w:sz="0" w:space="0" w:color="auto"/>
                            <w:right w:val="none" w:sz="0" w:space="0" w:color="auto"/>
                          </w:divBdr>
                        </w:div>
                      </w:divsChild>
                    </w:div>
                    <w:div w:id="294152175">
                      <w:marLeft w:val="0"/>
                      <w:marRight w:val="0"/>
                      <w:marTop w:val="0"/>
                      <w:marBottom w:val="0"/>
                      <w:divBdr>
                        <w:top w:val="none" w:sz="0" w:space="0" w:color="auto"/>
                        <w:left w:val="none" w:sz="0" w:space="0" w:color="auto"/>
                        <w:bottom w:val="none" w:sz="0" w:space="0" w:color="auto"/>
                        <w:right w:val="none" w:sz="0" w:space="0" w:color="auto"/>
                      </w:divBdr>
                    </w:div>
                    <w:div w:id="294152322">
                      <w:marLeft w:val="0"/>
                      <w:marRight w:val="0"/>
                      <w:marTop w:val="0"/>
                      <w:marBottom w:val="0"/>
                      <w:divBdr>
                        <w:top w:val="none" w:sz="0" w:space="0" w:color="auto"/>
                        <w:left w:val="none" w:sz="0" w:space="0" w:color="auto"/>
                        <w:bottom w:val="none" w:sz="0" w:space="0" w:color="auto"/>
                        <w:right w:val="none" w:sz="0" w:space="0" w:color="auto"/>
                      </w:divBdr>
                    </w:div>
                    <w:div w:id="294152391">
                      <w:marLeft w:val="0"/>
                      <w:marRight w:val="0"/>
                      <w:marTop w:val="0"/>
                      <w:marBottom w:val="0"/>
                      <w:divBdr>
                        <w:top w:val="none" w:sz="0" w:space="0" w:color="auto"/>
                        <w:left w:val="none" w:sz="0" w:space="0" w:color="auto"/>
                        <w:bottom w:val="none" w:sz="0" w:space="0" w:color="auto"/>
                        <w:right w:val="none" w:sz="0" w:space="0" w:color="auto"/>
                      </w:divBdr>
                      <w:divsChild>
                        <w:div w:id="294146358">
                          <w:marLeft w:val="0"/>
                          <w:marRight w:val="0"/>
                          <w:marTop w:val="0"/>
                          <w:marBottom w:val="0"/>
                          <w:divBdr>
                            <w:top w:val="none" w:sz="0" w:space="0" w:color="auto"/>
                            <w:left w:val="none" w:sz="0" w:space="0" w:color="auto"/>
                            <w:bottom w:val="none" w:sz="0" w:space="0" w:color="auto"/>
                            <w:right w:val="none" w:sz="0" w:space="0" w:color="auto"/>
                          </w:divBdr>
                        </w:div>
                      </w:divsChild>
                    </w:div>
                    <w:div w:id="294152572">
                      <w:marLeft w:val="0"/>
                      <w:marRight w:val="0"/>
                      <w:marTop w:val="0"/>
                      <w:marBottom w:val="0"/>
                      <w:divBdr>
                        <w:top w:val="none" w:sz="0" w:space="0" w:color="auto"/>
                        <w:left w:val="none" w:sz="0" w:space="0" w:color="auto"/>
                        <w:bottom w:val="none" w:sz="0" w:space="0" w:color="auto"/>
                        <w:right w:val="none" w:sz="0" w:space="0" w:color="auto"/>
                      </w:divBdr>
                    </w:div>
                    <w:div w:id="294153125">
                      <w:marLeft w:val="0"/>
                      <w:marRight w:val="0"/>
                      <w:marTop w:val="0"/>
                      <w:marBottom w:val="0"/>
                      <w:divBdr>
                        <w:top w:val="none" w:sz="0" w:space="0" w:color="auto"/>
                        <w:left w:val="none" w:sz="0" w:space="0" w:color="auto"/>
                        <w:bottom w:val="none" w:sz="0" w:space="0" w:color="auto"/>
                        <w:right w:val="none" w:sz="0" w:space="0" w:color="auto"/>
                      </w:divBdr>
                      <w:divsChild>
                        <w:div w:id="294143746">
                          <w:marLeft w:val="0"/>
                          <w:marRight w:val="0"/>
                          <w:marTop w:val="0"/>
                          <w:marBottom w:val="0"/>
                          <w:divBdr>
                            <w:top w:val="none" w:sz="0" w:space="0" w:color="auto"/>
                            <w:left w:val="none" w:sz="0" w:space="0" w:color="auto"/>
                            <w:bottom w:val="none" w:sz="0" w:space="0" w:color="auto"/>
                            <w:right w:val="none" w:sz="0" w:space="0" w:color="auto"/>
                          </w:divBdr>
                        </w:div>
                      </w:divsChild>
                    </w:div>
                    <w:div w:id="294153318">
                      <w:marLeft w:val="0"/>
                      <w:marRight w:val="0"/>
                      <w:marTop w:val="0"/>
                      <w:marBottom w:val="0"/>
                      <w:divBdr>
                        <w:top w:val="none" w:sz="0" w:space="0" w:color="auto"/>
                        <w:left w:val="none" w:sz="0" w:space="0" w:color="auto"/>
                        <w:bottom w:val="none" w:sz="0" w:space="0" w:color="auto"/>
                        <w:right w:val="none" w:sz="0" w:space="0" w:color="auto"/>
                      </w:divBdr>
                    </w:div>
                    <w:div w:id="294153797">
                      <w:marLeft w:val="0"/>
                      <w:marRight w:val="0"/>
                      <w:marTop w:val="0"/>
                      <w:marBottom w:val="0"/>
                      <w:divBdr>
                        <w:top w:val="none" w:sz="0" w:space="0" w:color="auto"/>
                        <w:left w:val="none" w:sz="0" w:space="0" w:color="auto"/>
                        <w:bottom w:val="none" w:sz="0" w:space="0" w:color="auto"/>
                        <w:right w:val="none" w:sz="0" w:space="0" w:color="auto"/>
                      </w:divBdr>
                      <w:divsChild>
                        <w:div w:id="294139694">
                          <w:marLeft w:val="0"/>
                          <w:marRight w:val="0"/>
                          <w:marTop w:val="0"/>
                          <w:marBottom w:val="0"/>
                          <w:divBdr>
                            <w:top w:val="none" w:sz="0" w:space="0" w:color="auto"/>
                            <w:left w:val="none" w:sz="0" w:space="0" w:color="auto"/>
                            <w:bottom w:val="none" w:sz="0" w:space="0" w:color="auto"/>
                            <w:right w:val="none" w:sz="0" w:space="0" w:color="auto"/>
                          </w:divBdr>
                        </w:div>
                      </w:divsChild>
                    </w:div>
                    <w:div w:id="294153986">
                      <w:marLeft w:val="0"/>
                      <w:marRight w:val="0"/>
                      <w:marTop w:val="0"/>
                      <w:marBottom w:val="0"/>
                      <w:divBdr>
                        <w:top w:val="none" w:sz="0" w:space="0" w:color="auto"/>
                        <w:left w:val="none" w:sz="0" w:space="0" w:color="auto"/>
                        <w:bottom w:val="none" w:sz="0" w:space="0" w:color="auto"/>
                        <w:right w:val="none" w:sz="0" w:space="0" w:color="auto"/>
                      </w:divBdr>
                      <w:divsChild>
                        <w:div w:id="294139768">
                          <w:marLeft w:val="0"/>
                          <w:marRight w:val="0"/>
                          <w:marTop w:val="0"/>
                          <w:marBottom w:val="0"/>
                          <w:divBdr>
                            <w:top w:val="none" w:sz="0" w:space="0" w:color="auto"/>
                            <w:left w:val="none" w:sz="0" w:space="0" w:color="auto"/>
                            <w:bottom w:val="none" w:sz="0" w:space="0" w:color="auto"/>
                            <w:right w:val="none" w:sz="0" w:space="0" w:color="auto"/>
                          </w:divBdr>
                        </w:div>
                      </w:divsChild>
                    </w:div>
                    <w:div w:id="294154216">
                      <w:marLeft w:val="0"/>
                      <w:marRight w:val="0"/>
                      <w:marTop w:val="0"/>
                      <w:marBottom w:val="0"/>
                      <w:divBdr>
                        <w:top w:val="none" w:sz="0" w:space="0" w:color="auto"/>
                        <w:left w:val="none" w:sz="0" w:space="0" w:color="auto"/>
                        <w:bottom w:val="none" w:sz="0" w:space="0" w:color="auto"/>
                        <w:right w:val="none" w:sz="0" w:space="0" w:color="auto"/>
                      </w:divBdr>
                    </w:div>
                    <w:div w:id="294154253">
                      <w:marLeft w:val="0"/>
                      <w:marRight w:val="0"/>
                      <w:marTop w:val="0"/>
                      <w:marBottom w:val="0"/>
                      <w:divBdr>
                        <w:top w:val="none" w:sz="0" w:space="0" w:color="auto"/>
                        <w:left w:val="none" w:sz="0" w:space="0" w:color="auto"/>
                        <w:bottom w:val="none" w:sz="0" w:space="0" w:color="auto"/>
                        <w:right w:val="none" w:sz="0" w:space="0" w:color="auto"/>
                      </w:divBdr>
                      <w:divsChild>
                        <w:div w:id="294141661">
                          <w:marLeft w:val="0"/>
                          <w:marRight w:val="0"/>
                          <w:marTop w:val="0"/>
                          <w:marBottom w:val="0"/>
                          <w:divBdr>
                            <w:top w:val="none" w:sz="0" w:space="0" w:color="auto"/>
                            <w:left w:val="none" w:sz="0" w:space="0" w:color="auto"/>
                            <w:bottom w:val="none" w:sz="0" w:space="0" w:color="auto"/>
                            <w:right w:val="none" w:sz="0" w:space="0" w:color="auto"/>
                          </w:divBdr>
                        </w:div>
                      </w:divsChild>
                    </w:div>
                    <w:div w:id="294154927">
                      <w:marLeft w:val="0"/>
                      <w:marRight w:val="0"/>
                      <w:marTop w:val="0"/>
                      <w:marBottom w:val="0"/>
                      <w:divBdr>
                        <w:top w:val="none" w:sz="0" w:space="0" w:color="auto"/>
                        <w:left w:val="none" w:sz="0" w:space="0" w:color="auto"/>
                        <w:bottom w:val="none" w:sz="0" w:space="0" w:color="auto"/>
                        <w:right w:val="none" w:sz="0" w:space="0" w:color="auto"/>
                      </w:divBdr>
                      <w:divsChild>
                        <w:div w:id="294152036">
                          <w:marLeft w:val="0"/>
                          <w:marRight w:val="0"/>
                          <w:marTop w:val="0"/>
                          <w:marBottom w:val="0"/>
                          <w:divBdr>
                            <w:top w:val="none" w:sz="0" w:space="0" w:color="auto"/>
                            <w:left w:val="none" w:sz="0" w:space="0" w:color="auto"/>
                            <w:bottom w:val="none" w:sz="0" w:space="0" w:color="auto"/>
                            <w:right w:val="none" w:sz="0" w:space="0" w:color="auto"/>
                          </w:divBdr>
                        </w:div>
                      </w:divsChild>
                    </w:div>
                    <w:div w:id="294155568">
                      <w:marLeft w:val="0"/>
                      <w:marRight w:val="0"/>
                      <w:marTop w:val="0"/>
                      <w:marBottom w:val="0"/>
                      <w:divBdr>
                        <w:top w:val="none" w:sz="0" w:space="0" w:color="auto"/>
                        <w:left w:val="none" w:sz="0" w:space="0" w:color="auto"/>
                        <w:bottom w:val="none" w:sz="0" w:space="0" w:color="auto"/>
                        <w:right w:val="none" w:sz="0" w:space="0" w:color="auto"/>
                      </w:divBdr>
                    </w:div>
                    <w:div w:id="294155636">
                      <w:marLeft w:val="0"/>
                      <w:marRight w:val="0"/>
                      <w:marTop w:val="0"/>
                      <w:marBottom w:val="0"/>
                      <w:divBdr>
                        <w:top w:val="none" w:sz="0" w:space="0" w:color="auto"/>
                        <w:left w:val="none" w:sz="0" w:space="0" w:color="auto"/>
                        <w:bottom w:val="none" w:sz="0" w:space="0" w:color="auto"/>
                        <w:right w:val="none" w:sz="0" w:space="0" w:color="auto"/>
                      </w:divBdr>
                      <w:divsChild>
                        <w:div w:id="294156963">
                          <w:marLeft w:val="0"/>
                          <w:marRight w:val="0"/>
                          <w:marTop w:val="0"/>
                          <w:marBottom w:val="0"/>
                          <w:divBdr>
                            <w:top w:val="none" w:sz="0" w:space="0" w:color="auto"/>
                            <w:left w:val="none" w:sz="0" w:space="0" w:color="auto"/>
                            <w:bottom w:val="none" w:sz="0" w:space="0" w:color="auto"/>
                            <w:right w:val="none" w:sz="0" w:space="0" w:color="auto"/>
                          </w:divBdr>
                        </w:div>
                      </w:divsChild>
                    </w:div>
                    <w:div w:id="294155642">
                      <w:marLeft w:val="0"/>
                      <w:marRight w:val="0"/>
                      <w:marTop w:val="0"/>
                      <w:marBottom w:val="0"/>
                      <w:divBdr>
                        <w:top w:val="none" w:sz="0" w:space="0" w:color="auto"/>
                        <w:left w:val="none" w:sz="0" w:space="0" w:color="auto"/>
                        <w:bottom w:val="none" w:sz="0" w:space="0" w:color="auto"/>
                        <w:right w:val="none" w:sz="0" w:space="0" w:color="auto"/>
                      </w:divBdr>
                      <w:divsChild>
                        <w:div w:id="294140441">
                          <w:marLeft w:val="0"/>
                          <w:marRight w:val="0"/>
                          <w:marTop w:val="0"/>
                          <w:marBottom w:val="0"/>
                          <w:divBdr>
                            <w:top w:val="none" w:sz="0" w:space="0" w:color="auto"/>
                            <w:left w:val="none" w:sz="0" w:space="0" w:color="auto"/>
                            <w:bottom w:val="none" w:sz="0" w:space="0" w:color="auto"/>
                            <w:right w:val="none" w:sz="0" w:space="0" w:color="auto"/>
                          </w:divBdr>
                        </w:div>
                      </w:divsChild>
                    </w:div>
                    <w:div w:id="294156307">
                      <w:marLeft w:val="0"/>
                      <w:marRight w:val="0"/>
                      <w:marTop w:val="0"/>
                      <w:marBottom w:val="0"/>
                      <w:divBdr>
                        <w:top w:val="none" w:sz="0" w:space="0" w:color="auto"/>
                        <w:left w:val="none" w:sz="0" w:space="0" w:color="auto"/>
                        <w:bottom w:val="none" w:sz="0" w:space="0" w:color="auto"/>
                        <w:right w:val="none" w:sz="0" w:space="0" w:color="auto"/>
                      </w:divBdr>
                      <w:divsChild>
                        <w:div w:id="294148523">
                          <w:marLeft w:val="0"/>
                          <w:marRight w:val="0"/>
                          <w:marTop w:val="0"/>
                          <w:marBottom w:val="0"/>
                          <w:divBdr>
                            <w:top w:val="none" w:sz="0" w:space="0" w:color="auto"/>
                            <w:left w:val="none" w:sz="0" w:space="0" w:color="auto"/>
                            <w:bottom w:val="none" w:sz="0" w:space="0" w:color="auto"/>
                            <w:right w:val="none" w:sz="0" w:space="0" w:color="auto"/>
                          </w:divBdr>
                        </w:div>
                      </w:divsChild>
                    </w:div>
                    <w:div w:id="294156569">
                      <w:marLeft w:val="0"/>
                      <w:marRight w:val="0"/>
                      <w:marTop w:val="0"/>
                      <w:marBottom w:val="0"/>
                      <w:divBdr>
                        <w:top w:val="none" w:sz="0" w:space="0" w:color="auto"/>
                        <w:left w:val="none" w:sz="0" w:space="0" w:color="auto"/>
                        <w:bottom w:val="none" w:sz="0" w:space="0" w:color="auto"/>
                        <w:right w:val="none" w:sz="0" w:space="0" w:color="auto"/>
                      </w:divBdr>
                      <w:divsChild>
                        <w:div w:id="29414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152902">
      <w:marLeft w:val="0"/>
      <w:marRight w:val="0"/>
      <w:marTop w:val="0"/>
      <w:marBottom w:val="0"/>
      <w:divBdr>
        <w:top w:val="none" w:sz="0" w:space="0" w:color="auto"/>
        <w:left w:val="none" w:sz="0" w:space="0" w:color="auto"/>
        <w:bottom w:val="none" w:sz="0" w:space="0" w:color="auto"/>
        <w:right w:val="none" w:sz="0" w:space="0" w:color="auto"/>
      </w:divBdr>
    </w:div>
    <w:div w:id="294152953">
      <w:marLeft w:val="0"/>
      <w:marRight w:val="0"/>
      <w:marTop w:val="0"/>
      <w:marBottom w:val="0"/>
      <w:divBdr>
        <w:top w:val="none" w:sz="0" w:space="0" w:color="auto"/>
        <w:left w:val="none" w:sz="0" w:space="0" w:color="auto"/>
        <w:bottom w:val="none" w:sz="0" w:space="0" w:color="auto"/>
        <w:right w:val="none" w:sz="0" w:space="0" w:color="auto"/>
      </w:divBdr>
    </w:div>
    <w:div w:id="294152973">
      <w:marLeft w:val="0"/>
      <w:marRight w:val="0"/>
      <w:marTop w:val="0"/>
      <w:marBottom w:val="0"/>
      <w:divBdr>
        <w:top w:val="none" w:sz="0" w:space="0" w:color="auto"/>
        <w:left w:val="none" w:sz="0" w:space="0" w:color="auto"/>
        <w:bottom w:val="none" w:sz="0" w:space="0" w:color="auto"/>
        <w:right w:val="none" w:sz="0" w:space="0" w:color="auto"/>
      </w:divBdr>
    </w:div>
    <w:div w:id="294153016">
      <w:marLeft w:val="0"/>
      <w:marRight w:val="0"/>
      <w:marTop w:val="0"/>
      <w:marBottom w:val="0"/>
      <w:divBdr>
        <w:top w:val="none" w:sz="0" w:space="0" w:color="auto"/>
        <w:left w:val="none" w:sz="0" w:space="0" w:color="auto"/>
        <w:bottom w:val="none" w:sz="0" w:space="0" w:color="auto"/>
        <w:right w:val="none" w:sz="0" w:space="0" w:color="auto"/>
      </w:divBdr>
      <w:divsChild>
        <w:div w:id="294144623">
          <w:marLeft w:val="0"/>
          <w:marRight w:val="0"/>
          <w:marTop w:val="0"/>
          <w:marBottom w:val="400"/>
          <w:divBdr>
            <w:top w:val="none" w:sz="0" w:space="0" w:color="auto"/>
            <w:left w:val="none" w:sz="0" w:space="0" w:color="auto"/>
            <w:bottom w:val="none" w:sz="0" w:space="0" w:color="auto"/>
            <w:right w:val="none" w:sz="0" w:space="0" w:color="auto"/>
          </w:divBdr>
        </w:div>
      </w:divsChild>
    </w:div>
    <w:div w:id="294153028">
      <w:marLeft w:val="0"/>
      <w:marRight w:val="0"/>
      <w:marTop w:val="0"/>
      <w:marBottom w:val="0"/>
      <w:divBdr>
        <w:top w:val="none" w:sz="0" w:space="0" w:color="auto"/>
        <w:left w:val="none" w:sz="0" w:space="0" w:color="auto"/>
        <w:bottom w:val="none" w:sz="0" w:space="0" w:color="auto"/>
        <w:right w:val="none" w:sz="0" w:space="0" w:color="auto"/>
      </w:divBdr>
    </w:div>
    <w:div w:id="294153042">
      <w:marLeft w:val="0"/>
      <w:marRight w:val="0"/>
      <w:marTop w:val="0"/>
      <w:marBottom w:val="0"/>
      <w:divBdr>
        <w:top w:val="none" w:sz="0" w:space="0" w:color="auto"/>
        <w:left w:val="none" w:sz="0" w:space="0" w:color="auto"/>
        <w:bottom w:val="none" w:sz="0" w:space="0" w:color="auto"/>
        <w:right w:val="none" w:sz="0" w:space="0" w:color="auto"/>
      </w:divBdr>
    </w:div>
    <w:div w:id="294153150">
      <w:marLeft w:val="0"/>
      <w:marRight w:val="0"/>
      <w:marTop w:val="0"/>
      <w:marBottom w:val="0"/>
      <w:divBdr>
        <w:top w:val="none" w:sz="0" w:space="0" w:color="auto"/>
        <w:left w:val="none" w:sz="0" w:space="0" w:color="auto"/>
        <w:bottom w:val="none" w:sz="0" w:space="0" w:color="auto"/>
        <w:right w:val="none" w:sz="0" w:space="0" w:color="auto"/>
      </w:divBdr>
    </w:div>
    <w:div w:id="294153178">
      <w:marLeft w:val="0"/>
      <w:marRight w:val="0"/>
      <w:marTop w:val="0"/>
      <w:marBottom w:val="0"/>
      <w:divBdr>
        <w:top w:val="none" w:sz="0" w:space="0" w:color="auto"/>
        <w:left w:val="none" w:sz="0" w:space="0" w:color="auto"/>
        <w:bottom w:val="none" w:sz="0" w:space="0" w:color="auto"/>
        <w:right w:val="none" w:sz="0" w:space="0" w:color="auto"/>
      </w:divBdr>
    </w:div>
    <w:div w:id="294153195">
      <w:marLeft w:val="0"/>
      <w:marRight w:val="0"/>
      <w:marTop w:val="0"/>
      <w:marBottom w:val="0"/>
      <w:divBdr>
        <w:top w:val="none" w:sz="0" w:space="0" w:color="auto"/>
        <w:left w:val="none" w:sz="0" w:space="0" w:color="auto"/>
        <w:bottom w:val="none" w:sz="0" w:space="0" w:color="auto"/>
        <w:right w:val="none" w:sz="0" w:space="0" w:color="auto"/>
      </w:divBdr>
      <w:divsChild>
        <w:div w:id="294154221">
          <w:marLeft w:val="0"/>
          <w:marRight w:val="0"/>
          <w:marTop w:val="0"/>
          <w:marBottom w:val="0"/>
          <w:divBdr>
            <w:top w:val="none" w:sz="0" w:space="0" w:color="auto"/>
            <w:left w:val="none" w:sz="0" w:space="0" w:color="auto"/>
            <w:bottom w:val="none" w:sz="0" w:space="0" w:color="auto"/>
            <w:right w:val="none" w:sz="0" w:space="0" w:color="auto"/>
          </w:divBdr>
        </w:div>
        <w:div w:id="294157052">
          <w:marLeft w:val="0"/>
          <w:marRight w:val="0"/>
          <w:marTop w:val="0"/>
          <w:marBottom w:val="0"/>
          <w:divBdr>
            <w:top w:val="none" w:sz="0" w:space="0" w:color="auto"/>
            <w:left w:val="none" w:sz="0" w:space="0" w:color="auto"/>
            <w:bottom w:val="none" w:sz="0" w:space="0" w:color="auto"/>
            <w:right w:val="none" w:sz="0" w:space="0" w:color="auto"/>
          </w:divBdr>
          <w:divsChild>
            <w:div w:id="294140212">
              <w:marLeft w:val="0"/>
              <w:marRight w:val="0"/>
              <w:marTop w:val="0"/>
              <w:marBottom w:val="100"/>
              <w:divBdr>
                <w:top w:val="none" w:sz="0" w:space="0" w:color="auto"/>
                <w:left w:val="none" w:sz="0" w:space="0" w:color="auto"/>
                <w:bottom w:val="none" w:sz="0" w:space="0" w:color="auto"/>
                <w:right w:val="none" w:sz="0" w:space="0" w:color="auto"/>
              </w:divBdr>
              <w:divsChild>
                <w:div w:id="294153214">
                  <w:marLeft w:val="0"/>
                  <w:marRight w:val="0"/>
                  <w:marTop w:val="0"/>
                  <w:marBottom w:val="0"/>
                  <w:divBdr>
                    <w:top w:val="none" w:sz="0" w:space="0" w:color="auto"/>
                    <w:left w:val="none" w:sz="0" w:space="0" w:color="auto"/>
                    <w:bottom w:val="none" w:sz="0" w:space="0" w:color="auto"/>
                    <w:right w:val="none" w:sz="0" w:space="0" w:color="auto"/>
                  </w:divBdr>
                  <w:divsChild>
                    <w:div w:id="294142285">
                      <w:marLeft w:val="0"/>
                      <w:marRight w:val="0"/>
                      <w:marTop w:val="0"/>
                      <w:marBottom w:val="0"/>
                      <w:divBdr>
                        <w:top w:val="none" w:sz="0" w:space="0" w:color="auto"/>
                        <w:left w:val="none" w:sz="0" w:space="0" w:color="auto"/>
                        <w:bottom w:val="none" w:sz="0" w:space="0" w:color="auto"/>
                        <w:right w:val="none" w:sz="0" w:space="0" w:color="auto"/>
                      </w:divBdr>
                    </w:div>
                    <w:div w:id="29414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0749">
              <w:marLeft w:val="0"/>
              <w:marRight w:val="0"/>
              <w:marTop w:val="0"/>
              <w:marBottom w:val="0"/>
              <w:divBdr>
                <w:top w:val="none" w:sz="0" w:space="0" w:color="auto"/>
                <w:left w:val="none" w:sz="0" w:space="0" w:color="auto"/>
                <w:bottom w:val="none" w:sz="0" w:space="0" w:color="auto"/>
                <w:right w:val="none" w:sz="0" w:space="0" w:color="auto"/>
              </w:divBdr>
            </w:div>
            <w:div w:id="294141057">
              <w:marLeft w:val="0"/>
              <w:marRight w:val="0"/>
              <w:marTop w:val="0"/>
              <w:marBottom w:val="0"/>
              <w:divBdr>
                <w:top w:val="none" w:sz="0" w:space="0" w:color="auto"/>
                <w:left w:val="none" w:sz="0" w:space="0" w:color="auto"/>
                <w:bottom w:val="none" w:sz="0" w:space="0" w:color="auto"/>
                <w:right w:val="none" w:sz="0" w:space="0" w:color="auto"/>
              </w:divBdr>
            </w:div>
            <w:div w:id="294141585">
              <w:marLeft w:val="0"/>
              <w:marRight w:val="0"/>
              <w:marTop w:val="0"/>
              <w:marBottom w:val="0"/>
              <w:divBdr>
                <w:top w:val="none" w:sz="0" w:space="0" w:color="auto"/>
                <w:left w:val="none" w:sz="0" w:space="0" w:color="auto"/>
                <w:bottom w:val="none" w:sz="0" w:space="0" w:color="auto"/>
                <w:right w:val="none" w:sz="0" w:space="0" w:color="auto"/>
              </w:divBdr>
            </w:div>
            <w:div w:id="294142128">
              <w:marLeft w:val="0"/>
              <w:marRight w:val="0"/>
              <w:marTop w:val="0"/>
              <w:marBottom w:val="0"/>
              <w:divBdr>
                <w:top w:val="none" w:sz="0" w:space="0" w:color="auto"/>
                <w:left w:val="none" w:sz="0" w:space="0" w:color="auto"/>
                <w:bottom w:val="none" w:sz="0" w:space="0" w:color="auto"/>
                <w:right w:val="none" w:sz="0" w:space="0" w:color="auto"/>
              </w:divBdr>
            </w:div>
            <w:div w:id="294142232">
              <w:marLeft w:val="0"/>
              <w:marRight w:val="0"/>
              <w:marTop w:val="0"/>
              <w:marBottom w:val="0"/>
              <w:divBdr>
                <w:top w:val="none" w:sz="0" w:space="0" w:color="auto"/>
                <w:left w:val="none" w:sz="0" w:space="0" w:color="auto"/>
                <w:bottom w:val="none" w:sz="0" w:space="0" w:color="auto"/>
                <w:right w:val="none" w:sz="0" w:space="0" w:color="auto"/>
              </w:divBdr>
            </w:div>
            <w:div w:id="294143584">
              <w:marLeft w:val="0"/>
              <w:marRight w:val="0"/>
              <w:marTop w:val="0"/>
              <w:marBottom w:val="0"/>
              <w:divBdr>
                <w:top w:val="none" w:sz="0" w:space="0" w:color="auto"/>
                <w:left w:val="none" w:sz="0" w:space="0" w:color="auto"/>
                <w:bottom w:val="none" w:sz="0" w:space="0" w:color="auto"/>
                <w:right w:val="none" w:sz="0" w:space="0" w:color="auto"/>
              </w:divBdr>
            </w:div>
            <w:div w:id="294145786">
              <w:marLeft w:val="0"/>
              <w:marRight w:val="0"/>
              <w:marTop w:val="0"/>
              <w:marBottom w:val="0"/>
              <w:divBdr>
                <w:top w:val="none" w:sz="0" w:space="0" w:color="auto"/>
                <w:left w:val="none" w:sz="0" w:space="0" w:color="auto"/>
                <w:bottom w:val="none" w:sz="0" w:space="0" w:color="auto"/>
                <w:right w:val="none" w:sz="0" w:space="0" w:color="auto"/>
              </w:divBdr>
            </w:div>
            <w:div w:id="294147055">
              <w:marLeft w:val="0"/>
              <w:marRight w:val="0"/>
              <w:marTop w:val="0"/>
              <w:marBottom w:val="100"/>
              <w:divBdr>
                <w:top w:val="none" w:sz="0" w:space="0" w:color="auto"/>
                <w:left w:val="none" w:sz="0" w:space="0" w:color="auto"/>
                <w:bottom w:val="none" w:sz="0" w:space="0" w:color="auto"/>
                <w:right w:val="none" w:sz="0" w:space="0" w:color="auto"/>
              </w:divBdr>
              <w:divsChild>
                <w:div w:id="294153317">
                  <w:marLeft w:val="0"/>
                  <w:marRight w:val="0"/>
                  <w:marTop w:val="0"/>
                  <w:marBottom w:val="0"/>
                  <w:divBdr>
                    <w:top w:val="none" w:sz="0" w:space="0" w:color="auto"/>
                    <w:left w:val="none" w:sz="0" w:space="0" w:color="auto"/>
                    <w:bottom w:val="none" w:sz="0" w:space="0" w:color="auto"/>
                    <w:right w:val="none" w:sz="0" w:space="0" w:color="auto"/>
                  </w:divBdr>
                  <w:divsChild>
                    <w:div w:id="294144569">
                      <w:marLeft w:val="0"/>
                      <w:marRight w:val="0"/>
                      <w:marTop w:val="0"/>
                      <w:marBottom w:val="0"/>
                      <w:divBdr>
                        <w:top w:val="none" w:sz="0" w:space="0" w:color="auto"/>
                        <w:left w:val="none" w:sz="0" w:space="0" w:color="auto"/>
                        <w:bottom w:val="none" w:sz="0" w:space="0" w:color="auto"/>
                        <w:right w:val="none" w:sz="0" w:space="0" w:color="auto"/>
                      </w:divBdr>
                    </w:div>
                    <w:div w:id="29414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7137">
              <w:marLeft w:val="0"/>
              <w:marRight w:val="0"/>
              <w:marTop w:val="0"/>
              <w:marBottom w:val="0"/>
              <w:divBdr>
                <w:top w:val="none" w:sz="0" w:space="0" w:color="auto"/>
                <w:left w:val="none" w:sz="0" w:space="0" w:color="auto"/>
                <w:bottom w:val="none" w:sz="0" w:space="0" w:color="auto"/>
                <w:right w:val="none" w:sz="0" w:space="0" w:color="auto"/>
              </w:divBdr>
            </w:div>
            <w:div w:id="294147698">
              <w:marLeft w:val="0"/>
              <w:marRight w:val="0"/>
              <w:marTop w:val="0"/>
              <w:marBottom w:val="0"/>
              <w:divBdr>
                <w:top w:val="none" w:sz="0" w:space="0" w:color="auto"/>
                <w:left w:val="none" w:sz="0" w:space="0" w:color="auto"/>
                <w:bottom w:val="none" w:sz="0" w:space="0" w:color="auto"/>
                <w:right w:val="none" w:sz="0" w:space="0" w:color="auto"/>
              </w:divBdr>
            </w:div>
            <w:div w:id="294148360">
              <w:marLeft w:val="0"/>
              <w:marRight w:val="0"/>
              <w:marTop w:val="0"/>
              <w:marBottom w:val="0"/>
              <w:divBdr>
                <w:top w:val="none" w:sz="0" w:space="0" w:color="auto"/>
                <w:left w:val="none" w:sz="0" w:space="0" w:color="auto"/>
                <w:bottom w:val="none" w:sz="0" w:space="0" w:color="auto"/>
                <w:right w:val="none" w:sz="0" w:space="0" w:color="auto"/>
              </w:divBdr>
            </w:div>
            <w:div w:id="294148415">
              <w:marLeft w:val="0"/>
              <w:marRight w:val="0"/>
              <w:marTop w:val="0"/>
              <w:marBottom w:val="100"/>
              <w:divBdr>
                <w:top w:val="none" w:sz="0" w:space="0" w:color="auto"/>
                <w:left w:val="none" w:sz="0" w:space="0" w:color="auto"/>
                <w:bottom w:val="none" w:sz="0" w:space="0" w:color="auto"/>
                <w:right w:val="none" w:sz="0" w:space="0" w:color="auto"/>
              </w:divBdr>
              <w:divsChild>
                <w:div w:id="294153762">
                  <w:marLeft w:val="0"/>
                  <w:marRight w:val="0"/>
                  <w:marTop w:val="0"/>
                  <w:marBottom w:val="0"/>
                  <w:divBdr>
                    <w:top w:val="none" w:sz="0" w:space="0" w:color="auto"/>
                    <w:left w:val="none" w:sz="0" w:space="0" w:color="auto"/>
                    <w:bottom w:val="none" w:sz="0" w:space="0" w:color="auto"/>
                    <w:right w:val="none" w:sz="0" w:space="0" w:color="auto"/>
                  </w:divBdr>
                  <w:divsChild>
                    <w:div w:id="294142120">
                      <w:marLeft w:val="0"/>
                      <w:marRight w:val="0"/>
                      <w:marTop w:val="0"/>
                      <w:marBottom w:val="0"/>
                      <w:divBdr>
                        <w:top w:val="none" w:sz="0" w:space="0" w:color="auto"/>
                        <w:left w:val="none" w:sz="0" w:space="0" w:color="auto"/>
                        <w:bottom w:val="none" w:sz="0" w:space="0" w:color="auto"/>
                        <w:right w:val="none" w:sz="0" w:space="0" w:color="auto"/>
                      </w:divBdr>
                    </w:div>
                    <w:div w:id="2941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8926">
              <w:marLeft w:val="0"/>
              <w:marRight w:val="0"/>
              <w:marTop w:val="0"/>
              <w:marBottom w:val="0"/>
              <w:divBdr>
                <w:top w:val="none" w:sz="0" w:space="0" w:color="auto"/>
                <w:left w:val="none" w:sz="0" w:space="0" w:color="auto"/>
                <w:bottom w:val="none" w:sz="0" w:space="0" w:color="auto"/>
                <w:right w:val="none" w:sz="0" w:space="0" w:color="auto"/>
              </w:divBdr>
            </w:div>
            <w:div w:id="294149543">
              <w:marLeft w:val="0"/>
              <w:marRight w:val="0"/>
              <w:marTop w:val="0"/>
              <w:marBottom w:val="0"/>
              <w:divBdr>
                <w:top w:val="none" w:sz="0" w:space="0" w:color="auto"/>
                <w:left w:val="none" w:sz="0" w:space="0" w:color="auto"/>
                <w:bottom w:val="none" w:sz="0" w:space="0" w:color="auto"/>
                <w:right w:val="none" w:sz="0" w:space="0" w:color="auto"/>
              </w:divBdr>
            </w:div>
            <w:div w:id="294150411">
              <w:marLeft w:val="0"/>
              <w:marRight w:val="0"/>
              <w:marTop w:val="0"/>
              <w:marBottom w:val="0"/>
              <w:divBdr>
                <w:top w:val="none" w:sz="0" w:space="0" w:color="auto"/>
                <w:left w:val="none" w:sz="0" w:space="0" w:color="auto"/>
                <w:bottom w:val="none" w:sz="0" w:space="0" w:color="auto"/>
                <w:right w:val="none" w:sz="0" w:space="0" w:color="auto"/>
              </w:divBdr>
            </w:div>
            <w:div w:id="294151377">
              <w:marLeft w:val="0"/>
              <w:marRight w:val="0"/>
              <w:marTop w:val="0"/>
              <w:marBottom w:val="0"/>
              <w:divBdr>
                <w:top w:val="none" w:sz="0" w:space="0" w:color="auto"/>
                <w:left w:val="none" w:sz="0" w:space="0" w:color="auto"/>
                <w:bottom w:val="none" w:sz="0" w:space="0" w:color="auto"/>
                <w:right w:val="none" w:sz="0" w:space="0" w:color="auto"/>
              </w:divBdr>
            </w:div>
            <w:div w:id="294153827">
              <w:marLeft w:val="0"/>
              <w:marRight w:val="0"/>
              <w:marTop w:val="0"/>
              <w:marBottom w:val="0"/>
              <w:divBdr>
                <w:top w:val="none" w:sz="0" w:space="0" w:color="auto"/>
                <w:left w:val="none" w:sz="0" w:space="0" w:color="auto"/>
                <w:bottom w:val="none" w:sz="0" w:space="0" w:color="auto"/>
                <w:right w:val="none" w:sz="0" w:space="0" w:color="auto"/>
              </w:divBdr>
            </w:div>
            <w:div w:id="294155805">
              <w:marLeft w:val="0"/>
              <w:marRight w:val="0"/>
              <w:marTop w:val="0"/>
              <w:marBottom w:val="0"/>
              <w:divBdr>
                <w:top w:val="none" w:sz="0" w:space="0" w:color="auto"/>
                <w:left w:val="none" w:sz="0" w:space="0" w:color="auto"/>
                <w:bottom w:val="none" w:sz="0" w:space="0" w:color="auto"/>
                <w:right w:val="none" w:sz="0" w:space="0" w:color="auto"/>
              </w:divBdr>
            </w:div>
            <w:div w:id="294156067">
              <w:marLeft w:val="0"/>
              <w:marRight w:val="0"/>
              <w:marTop w:val="0"/>
              <w:marBottom w:val="0"/>
              <w:divBdr>
                <w:top w:val="none" w:sz="0" w:space="0" w:color="auto"/>
                <w:left w:val="none" w:sz="0" w:space="0" w:color="auto"/>
                <w:bottom w:val="none" w:sz="0" w:space="0" w:color="auto"/>
                <w:right w:val="none" w:sz="0" w:space="0" w:color="auto"/>
              </w:divBdr>
            </w:div>
            <w:div w:id="294157247">
              <w:marLeft w:val="0"/>
              <w:marRight w:val="0"/>
              <w:marTop w:val="0"/>
              <w:marBottom w:val="100"/>
              <w:divBdr>
                <w:top w:val="none" w:sz="0" w:space="0" w:color="auto"/>
                <w:left w:val="none" w:sz="0" w:space="0" w:color="auto"/>
                <w:bottom w:val="none" w:sz="0" w:space="0" w:color="auto"/>
                <w:right w:val="none" w:sz="0" w:space="0" w:color="auto"/>
              </w:divBdr>
              <w:divsChild>
                <w:div w:id="294138666">
                  <w:marLeft w:val="0"/>
                  <w:marRight w:val="0"/>
                  <w:marTop w:val="0"/>
                  <w:marBottom w:val="0"/>
                  <w:divBdr>
                    <w:top w:val="none" w:sz="0" w:space="0" w:color="auto"/>
                    <w:left w:val="none" w:sz="0" w:space="0" w:color="auto"/>
                    <w:bottom w:val="none" w:sz="0" w:space="0" w:color="auto"/>
                    <w:right w:val="none" w:sz="0" w:space="0" w:color="auto"/>
                  </w:divBdr>
                  <w:divsChild>
                    <w:div w:id="294139945">
                      <w:marLeft w:val="0"/>
                      <w:marRight w:val="0"/>
                      <w:marTop w:val="0"/>
                      <w:marBottom w:val="0"/>
                      <w:divBdr>
                        <w:top w:val="none" w:sz="0" w:space="0" w:color="auto"/>
                        <w:left w:val="none" w:sz="0" w:space="0" w:color="auto"/>
                        <w:bottom w:val="none" w:sz="0" w:space="0" w:color="auto"/>
                        <w:right w:val="none" w:sz="0" w:space="0" w:color="auto"/>
                      </w:divBdr>
                    </w:div>
                    <w:div w:id="29415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53238">
      <w:marLeft w:val="0"/>
      <w:marRight w:val="0"/>
      <w:marTop w:val="0"/>
      <w:marBottom w:val="0"/>
      <w:divBdr>
        <w:top w:val="none" w:sz="0" w:space="0" w:color="auto"/>
        <w:left w:val="none" w:sz="0" w:space="0" w:color="auto"/>
        <w:bottom w:val="none" w:sz="0" w:space="0" w:color="auto"/>
        <w:right w:val="none" w:sz="0" w:space="0" w:color="auto"/>
      </w:divBdr>
    </w:div>
    <w:div w:id="294153265">
      <w:marLeft w:val="0"/>
      <w:marRight w:val="0"/>
      <w:marTop w:val="0"/>
      <w:marBottom w:val="0"/>
      <w:divBdr>
        <w:top w:val="none" w:sz="0" w:space="0" w:color="auto"/>
        <w:left w:val="none" w:sz="0" w:space="0" w:color="auto"/>
        <w:bottom w:val="none" w:sz="0" w:space="0" w:color="auto"/>
        <w:right w:val="none" w:sz="0" w:space="0" w:color="auto"/>
      </w:divBdr>
    </w:div>
    <w:div w:id="294153314">
      <w:marLeft w:val="0"/>
      <w:marRight w:val="0"/>
      <w:marTop w:val="0"/>
      <w:marBottom w:val="0"/>
      <w:divBdr>
        <w:top w:val="none" w:sz="0" w:space="0" w:color="auto"/>
        <w:left w:val="none" w:sz="0" w:space="0" w:color="auto"/>
        <w:bottom w:val="none" w:sz="0" w:space="0" w:color="auto"/>
        <w:right w:val="none" w:sz="0" w:space="0" w:color="auto"/>
      </w:divBdr>
    </w:div>
    <w:div w:id="294153315">
      <w:marLeft w:val="0"/>
      <w:marRight w:val="0"/>
      <w:marTop w:val="0"/>
      <w:marBottom w:val="0"/>
      <w:divBdr>
        <w:top w:val="none" w:sz="0" w:space="0" w:color="auto"/>
        <w:left w:val="none" w:sz="0" w:space="0" w:color="auto"/>
        <w:bottom w:val="none" w:sz="0" w:space="0" w:color="auto"/>
        <w:right w:val="none" w:sz="0" w:space="0" w:color="auto"/>
      </w:divBdr>
    </w:div>
    <w:div w:id="294153319">
      <w:marLeft w:val="0"/>
      <w:marRight w:val="0"/>
      <w:marTop w:val="0"/>
      <w:marBottom w:val="0"/>
      <w:divBdr>
        <w:top w:val="none" w:sz="0" w:space="0" w:color="auto"/>
        <w:left w:val="none" w:sz="0" w:space="0" w:color="auto"/>
        <w:bottom w:val="none" w:sz="0" w:space="0" w:color="auto"/>
        <w:right w:val="none" w:sz="0" w:space="0" w:color="auto"/>
      </w:divBdr>
    </w:div>
    <w:div w:id="294153331">
      <w:marLeft w:val="0"/>
      <w:marRight w:val="0"/>
      <w:marTop w:val="0"/>
      <w:marBottom w:val="0"/>
      <w:divBdr>
        <w:top w:val="none" w:sz="0" w:space="0" w:color="auto"/>
        <w:left w:val="none" w:sz="0" w:space="0" w:color="auto"/>
        <w:bottom w:val="none" w:sz="0" w:space="0" w:color="auto"/>
        <w:right w:val="none" w:sz="0" w:space="0" w:color="auto"/>
      </w:divBdr>
    </w:div>
    <w:div w:id="294153343">
      <w:marLeft w:val="0"/>
      <w:marRight w:val="0"/>
      <w:marTop w:val="0"/>
      <w:marBottom w:val="0"/>
      <w:divBdr>
        <w:top w:val="none" w:sz="0" w:space="0" w:color="auto"/>
        <w:left w:val="none" w:sz="0" w:space="0" w:color="auto"/>
        <w:bottom w:val="none" w:sz="0" w:space="0" w:color="auto"/>
        <w:right w:val="none" w:sz="0" w:space="0" w:color="auto"/>
      </w:divBdr>
    </w:div>
    <w:div w:id="294153347">
      <w:marLeft w:val="0"/>
      <w:marRight w:val="0"/>
      <w:marTop w:val="0"/>
      <w:marBottom w:val="0"/>
      <w:divBdr>
        <w:top w:val="none" w:sz="0" w:space="0" w:color="auto"/>
        <w:left w:val="none" w:sz="0" w:space="0" w:color="auto"/>
        <w:bottom w:val="none" w:sz="0" w:space="0" w:color="auto"/>
        <w:right w:val="none" w:sz="0" w:space="0" w:color="auto"/>
      </w:divBdr>
      <w:divsChild>
        <w:div w:id="294141193">
          <w:marLeft w:val="0"/>
          <w:marRight w:val="0"/>
          <w:marTop w:val="0"/>
          <w:marBottom w:val="400"/>
          <w:divBdr>
            <w:top w:val="none" w:sz="0" w:space="0" w:color="auto"/>
            <w:left w:val="none" w:sz="0" w:space="0" w:color="auto"/>
            <w:bottom w:val="none" w:sz="0" w:space="0" w:color="auto"/>
            <w:right w:val="none" w:sz="0" w:space="0" w:color="auto"/>
          </w:divBdr>
        </w:div>
      </w:divsChild>
    </w:div>
    <w:div w:id="294153356">
      <w:marLeft w:val="0"/>
      <w:marRight w:val="0"/>
      <w:marTop w:val="0"/>
      <w:marBottom w:val="0"/>
      <w:divBdr>
        <w:top w:val="none" w:sz="0" w:space="0" w:color="auto"/>
        <w:left w:val="none" w:sz="0" w:space="0" w:color="auto"/>
        <w:bottom w:val="none" w:sz="0" w:space="0" w:color="auto"/>
        <w:right w:val="none" w:sz="0" w:space="0" w:color="auto"/>
      </w:divBdr>
      <w:divsChild>
        <w:div w:id="294142111">
          <w:marLeft w:val="0"/>
          <w:marRight w:val="0"/>
          <w:marTop w:val="0"/>
          <w:marBottom w:val="0"/>
          <w:divBdr>
            <w:top w:val="none" w:sz="0" w:space="0" w:color="auto"/>
            <w:left w:val="none" w:sz="0" w:space="0" w:color="auto"/>
            <w:bottom w:val="none" w:sz="0" w:space="0" w:color="auto"/>
            <w:right w:val="none" w:sz="0" w:space="0" w:color="auto"/>
          </w:divBdr>
        </w:div>
        <w:div w:id="294145555">
          <w:marLeft w:val="0"/>
          <w:marRight w:val="0"/>
          <w:marTop w:val="0"/>
          <w:marBottom w:val="0"/>
          <w:divBdr>
            <w:top w:val="none" w:sz="0" w:space="0" w:color="auto"/>
            <w:left w:val="none" w:sz="0" w:space="0" w:color="auto"/>
            <w:bottom w:val="none" w:sz="0" w:space="0" w:color="auto"/>
            <w:right w:val="none" w:sz="0" w:space="0" w:color="auto"/>
          </w:divBdr>
          <w:divsChild>
            <w:div w:id="294142317">
              <w:marLeft w:val="0"/>
              <w:marRight w:val="0"/>
              <w:marTop w:val="0"/>
              <w:marBottom w:val="0"/>
              <w:divBdr>
                <w:top w:val="none" w:sz="0" w:space="0" w:color="auto"/>
                <w:left w:val="none" w:sz="0" w:space="0" w:color="auto"/>
                <w:bottom w:val="none" w:sz="0" w:space="0" w:color="auto"/>
                <w:right w:val="none" w:sz="0" w:space="0" w:color="auto"/>
              </w:divBdr>
            </w:div>
            <w:div w:id="294142820">
              <w:marLeft w:val="0"/>
              <w:marRight w:val="0"/>
              <w:marTop w:val="0"/>
              <w:marBottom w:val="100"/>
              <w:divBdr>
                <w:top w:val="none" w:sz="0" w:space="0" w:color="auto"/>
                <w:left w:val="none" w:sz="0" w:space="0" w:color="auto"/>
                <w:bottom w:val="none" w:sz="0" w:space="0" w:color="auto"/>
                <w:right w:val="none" w:sz="0" w:space="0" w:color="auto"/>
              </w:divBdr>
              <w:divsChild>
                <w:div w:id="294156036">
                  <w:marLeft w:val="0"/>
                  <w:marRight w:val="0"/>
                  <w:marTop w:val="0"/>
                  <w:marBottom w:val="0"/>
                  <w:divBdr>
                    <w:top w:val="none" w:sz="0" w:space="0" w:color="auto"/>
                    <w:left w:val="none" w:sz="0" w:space="0" w:color="auto"/>
                    <w:bottom w:val="none" w:sz="0" w:space="0" w:color="auto"/>
                    <w:right w:val="none" w:sz="0" w:space="0" w:color="auto"/>
                  </w:divBdr>
                  <w:divsChild>
                    <w:div w:id="294154847">
                      <w:marLeft w:val="0"/>
                      <w:marRight w:val="0"/>
                      <w:marTop w:val="0"/>
                      <w:marBottom w:val="0"/>
                      <w:divBdr>
                        <w:top w:val="none" w:sz="0" w:space="0" w:color="auto"/>
                        <w:left w:val="none" w:sz="0" w:space="0" w:color="auto"/>
                        <w:bottom w:val="none" w:sz="0" w:space="0" w:color="auto"/>
                        <w:right w:val="none" w:sz="0" w:space="0" w:color="auto"/>
                      </w:divBdr>
                    </w:div>
                    <w:div w:id="2941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2871">
              <w:marLeft w:val="0"/>
              <w:marRight w:val="0"/>
              <w:marTop w:val="0"/>
              <w:marBottom w:val="100"/>
              <w:divBdr>
                <w:top w:val="none" w:sz="0" w:space="0" w:color="auto"/>
                <w:left w:val="none" w:sz="0" w:space="0" w:color="auto"/>
                <w:bottom w:val="none" w:sz="0" w:space="0" w:color="auto"/>
                <w:right w:val="none" w:sz="0" w:space="0" w:color="auto"/>
              </w:divBdr>
              <w:divsChild>
                <w:div w:id="294150586">
                  <w:marLeft w:val="0"/>
                  <w:marRight w:val="0"/>
                  <w:marTop w:val="0"/>
                  <w:marBottom w:val="0"/>
                  <w:divBdr>
                    <w:top w:val="none" w:sz="0" w:space="0" w:color="auto"/>
                    <w:left w:val="none" w:sz="0" w:space="0" w:color="auto"/>
                    <w:bottom w:val="none" w:sz="0" w:space="0" w:color="auto"/>
                    <w:right w:val="none" w:sz="0" w:space="0" w:color="auto"/>
                  </w:divBdr>
                  <w:divsChild>
                    <w:div w:id="294146201">
                      <w:marLeft w:val="0"/>
                      <w:marRight w:val="0"/>
                      <w:marTop w:val="0"/>
                      <w:marBottom w:val="0"/>
                      <w:divBdr>
                        <w:top w:val="none" w:sz="0" w:space="0" w:color="auto"/>
                        <w:left w:val="none" w:sz="0" w:space="0" w:color="auto"/>
                        <w:bottom w:val="none" w:sz="0" w:space="0" w:color="auto"/>
                        <w:right w:val="none" w:sz="0" w:space="0" w:color="auto"/>
                      </w:divBdr>
                    </w:div>
                    <w:div w:id="2941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3183">
              <w:marLeft w:val="0"/>
              <w:marRight w:val="0"/>
              <w:marTop w:val="0"/>
              <w:marBottom w:val="0"/>
              <w:divBdr>
                <w:top w:val="none" w:sz="0" w:space="0" w:color="auto"/>
                <w:left w:val="none" w:sz="0" w:space="0" w:color="auto"/>
                <w:bottom w:val="none" w:sz="0" w:space="0" w:color="auto"/>
                <w:right w:val="none" w:sz="0" w:space="0" w:color="auto"/>
              </w:divBdr>
            </w:div>
            <w:div w:id="294143384">
              <w:marLeft w:val="3076"/>
              <w:marRight w:val="0"/>
              <w:marTop w:val="0"/>
              <w:marBottom w:val="0"/>
              <w:divBdr>
                <w:top w:val="none" w:sz="0" w:space="0" w:color="auto"/>
                <w:left w:val="none" w:sz="0" w:space="0" w:color="auto"/>
                <w:bottom w:val="none" w:sz="0" w:space="0" w:color="auto"/>
                <w:right w:val="none" w:sz="0" w:space="0" w:color="auto"/>
              </w:divBdr>
            </w:div>
            <w:div w:id="294146596">
              <w:marLeft w:val="0"/>
              <w:marRight w:val="0"/>
              <w:marTop w:val="0"/>
              <w:marBottom w:val="100"/>
              <w:divBdr>
                <w:top w:val="none" w:sz="0" w:space="0" w:color="auto"/>
                <w:left w:val="none" w:sz="0" w:space="0" w:color="auto"/>
                <w:bottom w:val="none" w:sz="0" w:space="0" w:color="auto"/>
                <w:right w:val="none" w:sz="0" w:space="0" w:color="auto"/>
              </w:divBdr>
              <w:divsChild>
                <w:div w:id="294142982">
                  <w:marLeft w:val="0"/>
                  <w:marRight w:val="0"/>
                  <w:marTop w:val="0"/>
                  <w:marBottom w:val="0"/>
                  <w:divBdr>
                    <w:top w:val="none" w:sz="0" w:space="0" w:color="auto"/>
                    <w:left w:val="none" w:sz="0" w:space="0" w:color="auto"/>
                    <w:bottom w:val="none" w:sz="0" w:space="0" w:color="auto"/>
                    <w:right w:val="none" w:sz="0" w:space="0" w:color="auto"/>
                  </w:divBdr>
                  <w:divsChild>
                    <w:div w:id="294144806">
                      <w:marLeft w:val="0"/>
                      <w:marRight w:val="0"/>
                      <w:marTop w:val="0"/>
                      <w:marBottom w:val="0"/>
                      <w:divBdr>
                        <w:top w:val="none" w:sz="0" w:space="0" w:color="auto"/>
                        <w:left w:val="none" w:sz="0" w:space="0" w:color="auto"/>
                        <w:bottom w:val="none" w:sz="0" w:space="0" w:color="auto"/>
                        <w:right w:val="none" w:sz="0" w:space="0" w:color="auto"/>
                      </w:divBdr>
                    </w:div>
                    <w:div w:id="2941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7979">
              <w:marLeft w:val="0"/>
              <w:marRight w:val="0"/>
              <w:marTop w:val="0"/>
              <w:marBottom w:val="100"/>
              <w:divBdr>
                <w:top w:val="none" w:sz="0" w:space="0" w:color="auto"/>
                <w:left w:val="none" w:sz="0" w:space="0" w:color="auto"/>
                <w:bottom w:val="none" w:sz="0" w:space="0" w:color="auto"/>
                <w:right w:val="none" w:sz="0" w:space="0" w:color="auto"/>
              </w:divBdr>
              <w:divsChild>
                <w:div w:id="294142992">
                  <w:marLeft w:val="0"/>
                  <w:marRight w:val="0"/>
                  <w:marTop w:val="0"/>
                  <w:marBottom w:val="0"/>
                  <w:divBdr>
                    <w:top w:val="none" w:sz="0" w:space="0" w:color="auto"/>
                    <w:left w:val="none" w:sz="0" w:space="0" w:color="auto"/>
                    <w:bottom w:val="none" w:sz="0" w:space="0" w:color="auto"/>
                    <w:right w:val="none" w:sz="0" w:space="0" w:color="auto"/>
                  </w:divBdr>
                  <w:divsChild>
                    <w:div w:id="294145674">
                      <w:marLeft w:val="0"/>
                      <w:marRight w:val="0"/>
                      <w:marTop w:val="0"/>
                      <w:marBottom w:val="0"/>
                      <w:divBdr>
                        <w:top w:val="none" w:sz="0" w:space="0" w:color="auto"/>
                        <w:left w:val="none" w:sz="0" w:space="0" w:color="auto"/>
                        <w:bottom w:val="none" w:sz="0" w:space="0" w:color="auto"/>
                        <w:right w:val="none" w:sz="0" w:space="0" w:color="auto"/>
                      </w:divBdr>
                    </w:div>
                    <w:div w:id="29415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8477">
              <w:marLeft w:val="0"/>
              <w:marRight w:val="0"/>
              <w:marTop w:val="0"/>
              <w:marBottom w:val="100"/>
              <w:divBdr>
                <w:top w:val="none" w:sz="0" w:space="0" w:color="auto"/>
                <w:left w:val="none" w:sz="0" w:space="0" w:color="auto"/>
                <w:bottom w:val="none" w:sz="0" w:space="0" w:color="auto"/>
                <w:right w:val="none" w:sz="0" w:space="0" w:color="auto"/>
              </w:divBdr>
              <w:divsChild>
                <w:div w:id="294155106">
                  <w:marLeft w:val="0"/>
                  <w:marRight w:val="0"/>
                  <w:marTop w:val="0"/>
                  <w:marBottom w:val="0"/>
                  <w:divBdr>
                    <w:top w:val="none" w:sz="0" w:space="0" w:color="auto"/>
                    <w:left w:val="none" w:sz="0" w:space="0" w:color="auto"/>
                    <w:bottom w:val="none" w:sz="0" w:space="0" w:color="auto"/>
                    <w:right w:val="none" w:sz="0" w:space="0" w:color="auto"/>
                  </w:divBdr>
                  <w:divsChild>
                    <w:div w:id="294145293">
                      <w:marLeft w:val="0"/>
                      <w:marRight w:val="0"/>
                      <w:marTop w:val="0"/>
                      <w:marBottom w:val="0"/>
                      <w:divBdr>
                        <w:top w:val="none" w:sz="0" w:space="0" w:color="auto"/>
                        <w:left w:val="none" w:sz="0" w:space="0" w:color="auto"/>
                        <w:bottom w:val="none" w:sz="0" w:space="0" w:color="auto"/>
                        <w:right w:val="none" w:sz="0" w:space="0" w:color="auto"/>
                      </w:divBdr>
                    </w:div>
                    <w:div w:id="29414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9388">
              <w:marLeft w:val="0"/>
              <w:marRight w:val="0"/>
              <w:marTop w:val="0"/>
              <w:marBottom w:val="100"/>
              <w:divBdr>
                <w:top w:val="none" w:sz="0" w:space="0" w:color="auto"/>
                <w:left w:val="none" w:sz="0" w:space="0" w:color="auto"/>
                <w:bottom w:val="none" w:sz="0" w:space="0" w:color="auto"/>
                <w:right w:val="none" w:sz="0" w:space="0" w:color="auto"/>
              </w:divBdr>
              <w:divsChild>
                <w:div w:id="294154172">
                  <w:marLeft w:val="0"/>
                  <w:marRight w:val="0"/>
                  <w:marTop w:val="0"/>
                  <w:marBottom w:val="0"/>
                  <w:divBdr>
                    <w:top w:val="none" w:sz="0" w:space="0" w:color="auto"/>
                    <w:left w:val="none" w:sz="0" w:space="0" w:color="auto"/>
                    <w:bottom w:val="none" w:sz="0" w:space="0" w:color="auto"/>
                    <w:right w:val="none" w:sz="0" w:space="0" w:color="auto"/>
                  </w:divBdr>
                  <w:divsChild>
                    <w:div w:id="294143718">
                      <w:marLeft w:val="0"/>
                      <w:marRight w:val="0"/>
                      <w:marTop w:val="0"/>
                      <w:marBottom w:val="0"/>
                      <w:divBdr>
                        <w:top w:val="none" w:sz="0" w:space="0" w:color="auto"/>
                        <w:left w:val="none" w:sz="0" w:space="0" w:color="auto"/>
                        <w:bottom w:val="none" w:sz="0" w:space="0" w:color="auto"/>
                        <w:right w:val="none" w:sz="0" w:space="0" w:color="auto"/>
                      </w:divBdr>
                    </w:div>
                    <w:div w:id="29414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3523">
              <w:marLeft w:val="0"/>
              <w:marRight w:val="0"/>
              <w:marTop w:val="0"/>
              <w:marBottom w:val="100"/>
              <w:divBdr>
                <w:top w:val="none" w:sz="0" w:space="0" w:color="auto"/>
                <w:left w:val="none" w:sz="0" w:space="0" w:color="auto"/>
                <w:bottom w:val="none" w:sz="0" w:space="0" w:color="auto"/>
                <w:right w:val="none" w:sz="0" w:space="0" w:color="auto"/>
              </w:divBdr>
              <w:divsChild>
                <w:div w:id="294148531">
                  <w:marLeft w:val="0"/>
                  <w:marRight w:val="0"/>
                  <w:marTop w:val="0"/>
                  <w:marBottom w:val="0"/>
                  <w:divBdr>
                    <w:top w:val="none" w:sz="0" w:space="0" w:color="auto"/>
                    <w:left w:val="none" w:sz="0" w:space="0" w:color="auto"/>
                    <w:bottom w:val="none" w:sz="0" w:space="0" w:color="auto"/>
                    <w:right w:val="none" w:sz="0" w:space="0" w:color="auto"/>
                  </w:divBdr>
                  <w:divsChild>
                    <w:div w:id="294143123">
                      <w:marLeft w:val="0"/>
                      <w:marRight w:val="0"/>
                      <w:marTop w:val="0"/>
                      <w:marBottom w:val="0"/>
                      <w:divBdr>
                        <w:top w:val="none" w:sz="0" w:space="0" w:color="auto"/>
                        <w:left w:val="none" w:sz="0" w:space="0" w:color="auto"/>
                        <w:bottom w:val="none" w:sz="0" w:space="0" w:color="auto"/>
                        <w:right w:val="none" w:sz="0" w:space="0" w:color="auto"/>
                      </w:divBdr>
                    </w:div>
                    <w:div w:id="29415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3890">
              <w:marLeft w:val="0"/>
              <w:marRight w:val="0"/>
              <w:marTop w:val="0"/>
              <w:marBottom w:val="100"/>
              <w:divBdr>
                <w:top w:val="none" w:sz="0" w:space="0" w:color="auto"/>
                <w:left w:val="none" w:sz="0" w:space="0" w:color="auto"/>
                <w:bottom w:val="none" w:sz="0" w:space="0" w:color="auto"/>
                <w:right w:val="none" w:sz="0" w:space="0" w:color="auto"/>
              </w:divBdr>
              <w:divsChild>
                <w:div w:id="294139382">
                  <w:marLeft w:val="0"/>
                  <w:marRight w:val="0"/>
                  <w:marTop w:val="0"/>
                  <w:marBottom w:val="0"/>
                  <w:divBdr>
                    <w:top w:val="none" w:sz="0" w:space="0" w:color="auto"/>
                    <w:left w:val="none" w:sz="0" w:space="0" w:color="auto"/>
                    <w:bottom w:val="none" w:sz="0" w:space="0" w:color="auto"/>
                    <w:right w:val="none" w:sz="0" w:space="0" w:color="auto"/>
                  </w:divBdr>
                  <w:divsChild>
                    <w:div w:id="294150267">
                      <w:marLeft w:val="0"/>
                      <w:marRight w:val="0"/>
                      <w:marTop w:val="0"/>
                      <w:marBottom w:val="0"/>
                      <w:divBdr>
                        <w:top w:val="none" w:sz="0" w:space="0" w:color="auto"/>
                        <w:left w:val="none" w:sz="0" w:space="0" w:color="auto"/>
                        <w:bottom w:val="none" w:sz="0" w:space="0" w:color="auto"/>
                        <w:right w:val="none" w:sz="0" w:space="0" w:color="auto"/>
                      </w:divBdr>
                    </w:div>
                    <w:div w:id="29415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4438">
              <w:marLeft w:val="0"/>
              <w:marRight w:val="0"/>
              <w:marTop w:val="0"/>
              <w:marBottom w:val="100"/>
              <w:divBdr>
                <w:top w:val="none" w:sz="0" w:space="0" w:color="auto"/>
                <w:left w:val="none" w:sz="0" w:space="0" w:color="auto"/>
                <w:bottom w:val="none" w:sz="0" w:space="0" w:color="auto"/>
                <w:right w:val="none" w:sz="0" w:space="0" w:color="auto"/>
              </w:divBdr>
              <w:divsChild>
                <w:div w:id="294157245">
                  <w:marLeft w:val="0"/>
                  <w:marRight w:val="0"/>
                  <w:marTop w:val="0"/>
                  <w:marBottom w:val="0"/>
                  <w:divBdr>
                    <w:top w:val="none" w:sz="0" w:space="0" w:color="auto"/>
                    <w:left w:val="none" w:sz="0" w:space="0" w:color="auto"/>
                    <w:bottom w:val="none" w:sz="0" w:space="0" w:color="auto"/>
                    <w:right w:val="none" w:sz="0" w:space="0" w:color="auto"/>
                  </w:divBdr>
                  <w:divsChild>
                    <w:div w:id="294147832">
                      <w:marLeft w:val="0"/>
                      <w:marRight w:val="0"/>
                      <w:marTop w:val="0"/>
                      <w:marBottom w:val="0"/>
                      <w:divBdr>
                        <w:top w:val="none" w:sz="0" w:space="0" w:color="auto"/>
                        <w:left w:val="none" w:sz="0" w:space="0" w:color="auto"/>
                        <w:bottom w:val="none" w:sz="0" w:space="0" w:color="auto"/>
                        <w:right w:val="none" w:sz="0" w:space="0" w:color="auto"/>
                      </w:divBdr>
                    </w:div>
                    <w:div w:id="29415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3416">
      <w:marLeft w:val="0"/>
      <w:marRight w:val="0"/>
      <w:marTop w:val="0"/>
      <w:marBottom w:val="0"/>
      <w:divBdr>
        <w:top w:val="none" w:sz="0" w:space="0" w:color="auto"/>
        <w:left w:val="none" w:sz="0" w:space="0" w:color="auto"/>
        <w:bottom w:val="none" w:sz="0" w:space="0" w:color="auto"/>
        <w:right w:val="none" w:sz="0" w:space="0" w:color="auto"/>
      </w:divBdr>
    </w:div>
    <w:div w:id="294153429">
      <w:marLeft w:val="0"/>
      <w:marRight w:val="0"/>
      <w:marTop w:val="0"/>
      <w:marBottom w:val="0"/>
      <w:divBdr>
        <w:top w:val="none" w:sz="0" w:space="0" w:color="auto"/>
        <w:left w:val="none" w:sz="0" w:space="0" w:color="auto"/>
        <w:bottom w:val="none" w:sz="0" w:space="0" w:color="auto"/>
        <w:right w:val="none" w:sz="0" w:space="0" w:color="auto"/>
      </w:divBdr>
    </w:div>
    <w:div w:id="294153431">
      <w:marLeft w:val="0"/>
      <w:marRight w:val="0"/>
      <w:marTop w:val="0"/>
      <w:marBottom w:val="0"/>
      <w:divBdr>
        <w:top w:val="none" w:sz="0" w:space="0" w:color="auto"/>
        <w:left w:val="none" w:sz="0" w:space="0" w:color="auto"/>
        <w:bottom w:val="none" w:sz="0" w:space="0" w:color="auto"/>
        <w:right w:val="none" w:sz="0" w:space="0" w:color="auto"/>
      </w:divBdr>
    </w:div>
    <w:div w:id="294153478">
      <w:marLeft w:val="0"/>
      <w:marRight w:val="0"/>
      <w:marTop w:val="0"/>
      <w:marBottom w:val="0"/>
      <w:divBdr>
        <w:top w:val="none" w:sz="0" w:space="0" w:color="auto"/>
        <w:left w:val="none" w:sz="0" w:space="0" w:color="auto"/>
        <w:bottom w:val="none" w:sz="0" w:space="0" w:color="auto"/>
        <w:right w:val="none" w:sz="0" w:space="0" w:color="auto"/>
      </w:divBdr>
    </w:div>
    <w:div w:id="294153517">
      <w:marLeft w:val="0"/>
      <w:marRight w:val="0"/>
      <w:marTop w:val="0"/>
      <w:marBottom w:val="0"/>
      <w:divBdr>
        <w:top w:val="none" w:sz="0" w:space="0" w:color="auto"/>
        <w:left w:val="none" w:sz="0" w:space="0" w:color="auto"/>
        <w:bottom w:val="none" w:sz="0" w:space="0" w:color="auto"/>
        <w:right w:val="none" w:sz="0" w:space="0" w:color="auto"/>
      </w:divBdr>
      <w:divsChild>
        <w:div w:id="294140069">
          <w:marLeft w:val="547"/>
          <w:marRight w:val="0"/>
          <w:marTop w:val="77"/>
          <w:marBottom w:val="0"/>
          <w:divBdr>
            <w:top w:val="none" w:sz="0" w:space="0" w:color="auto"/>
            <w:left w:val="none" w:sz="0" w:space="0" w:color="auto"/>
            <w:bottom w:val="none" w:sz="0" w:space="0" w:color="auto"/>
            <w:right w:val="none" w:sz="0" w:space="0" w:color="auto"/>
          </w:divBdr>
        </w:div>
        <w:div w:id="294141242">
          <w:marLeft w:val="547"/>
          <w:marRight w:val="0"/>
          <w:marTop w:val="77"/>
          <w:marBottom w:val="0"/>
          <w:divBdr>
            <w:top w:val="none" w:sz="0" w:space="0" w:color="auto"/>
            <w:left w:val="none" w:sz="0" w:space="0" w:color="auto"/>
            <w:bottom w:val="none" w:sz="0" w:space="0" w:color="auto"/>
            <w:right w:val="none" w:sz="0" w:space="0" w:color="auto"/>
          </w:divBdr>
        </w:div>
        <w:div w:id="294142347">
          <w:marLeft w:val="547"/>
          <w:marRight w:val="0"/>
          <w:marTop w:val="77"/>
          <w:marBottom w:val="0"/>
          <w:divBdr>
            <w:top w:val="none" w:sz="0" w:space="0" w:color="auto"/>
            <w:left w:val="none" w:sz="0" w:space="0" w:color="auto"/>
            <w:bottom w:val="none" w:sz="0" w:space="0" w:color="auto"/>
            <w:right w:val="none" w:sz="0" w:space="0" w:color="auto"/>
          </w:divBdr>
        </w:div>
        <w:div w:id="294142985">
          <w:marLeft w:val="547"/>
          <w:marRight w:val="0"/>
          <w:marTop w:val="77"/>
          <w:marBottom w:val="0"/>
          <w:divBdr>
            <w:top w:val="none" w:sz="0" w:space="0" w:color="auto"/>
            <w:left w:val="none" w:sz="0" w:space="0" w:color="auto"/>
            <w:bottom w:val="none" w:sz="0" w:space="0" w:color="auto"/>
            <w:right w:val="none" w:sz="0" w:space="0" w:color="auto"/>
          </w:divBdr>
        </w:div>
        <w:div w:id="294143370">
          <w:marLeft w:val="547"/>
          <w:marRight w:val="0"/>
          <w:marTop w:val="77"/>
          <w:marBottom w:val="0"/>
          <w:divBdr>
            <w:top w:val="none" w:sz="0" w:space="0" w:color="auto"/>
            <w:left w:val="none" w:sz="0" w:space="0" w:color="auto"/>
            <w:bottom w:val="none" w:sz="0" w:space="0" w:color="auto"/>
            <w:right w:val="none" w:sz="0" w:space="0" w:color="auto"/>
          </w:divBdr>
        </w:div>
        <w:div w:id="294145717">
          <w:marLeft w:val="547"/>
          <w:marRight w:val="0"/>
          <w:marTop w:val="77"/>
          <w:marBottom w:val="0"/>
          <w:divBdr>
            <w:top w:val="none" w:sz="0" w:space="0" w:color="auto"/>
            <w:left w:val="none" w:sz="0" w:space="0" w:color="auto"/>
            <w:bottom w:val="none" w:sz="0" w:space="0" w:color="auto"/>
            <w:right w:val="none" w:sz="0" w:space="0" w:color="auto"/>
          </w:divBdr>
        </w:div>
        <w:div w:id="294148584">
          <w:marLeft w:val="547"/>
          <w:marRight w:val="0"/>
          <w:marTop w:val="77"/>
          <w:marBottom w:val="0"/>
          <w:divBdr>
            <w:top w:val="none" w:sz="0" w:space="0" w:color="auto"/>
            <w:left w:val="none" w:sz="0" w:space="0" w:color="auto"/>
            <w:bottom w:val="none" w:sz="0" w:space="0" w:color="auto"/>
            <w:right w:val="none" w:sz="0" w:space="0" w:color="auto"/>
          </w:divBdr>
        </w:div>
      </w:divsChild>
    </w:div>
    <w:div w:id="294153534">
      <w:marLeft w:val="0"/>
      <w:marRight w:val="0"/>
      <w:marTop w:val="0"/>
      <w:marBottom w:val="0"/>
      <w:divBdr>
        <w:top w:val="none" w:sz="0" w:space="0" w:color="auto"/>
        <w:left w:val="none" w:sz="0" w:space="0" w:color="auto"/>
        <w:bottom w:val="none" w:sz="0" w:space="0" w:color="auto"/>
        <w:right w:val="none" w:sz="0" w:space="0" w:color="auto"/>
      </w:divBdr>
    </w:div>
    <w:div w:id="294153649">
      <w:marLeft w:val="0"/>
      <w:marRight w:val="0"/>
      <w:marTop w:val="0"/>
      <w:marBottom w:val="0"/>
      <w:divBdr>
        <w:top w:val="none" w:sz="0" w:space="0" w:color="auto"/>
        <w:left w:val="none" w:sz="0" w:space="0" w:color="auto"/>
        <w:bottom w:val="none" w:sz="0" w:space="0" w:color="auto"/>
        <w:right w:val="none" w:sz="0" w:space="0" w:color="auto"/>
      </w:divBdr>
    </w:div>
    <w:div w:id="294153652">
      <w:marLeft w:val="0"/>
      <w:marRight w:val="0"/>
      <w:marTop w:val="0"/>
      <w:marBottom w:val="0"/>
      <w:divBdr>
        <w:top w:val="none" w:sz="0" w:space="0" w:color="auto"/>
        <w:left w:val="none" w:sz="0" w:space="0" w:color="auto"/>
        <w:bottom w:val="none" w:sz="0" w:space="0" w:color="auto"/>
        <w:right w:val="none" w:sz="0" w:space="0" w:color="auto"/>
      </w:divBdr>
      <w:divsChild>
        <w:div w:id="294145913">
          <w:marLeft w:val="0"/>
          <w:marRight w:val="0"/>
          <w:marTop w:val="0"/>
          <w:marBottom w:val="0"/>
          <w:divBdr>
            <w:top w:val="none" w:sz="0" w:space="0" w:color="auto"/>
            <w:left w:val="none" w:sz="0" w:space="0" w:color="auto"/>
            <w:bottom w:val="none" w:sz="0" w:space="0" w:color="auto"/>
            <w:right w:val="none" w:sz="0" w:space="0" w:color="auto"/>
          </w:divBdr>
        </w:div>
        <w:div w:id="294151441">
          <w:marLeft w:val="0"/>
          <w:marRight w:val="0"/>
          <w:marTop w:val="0"/>
          <w:marBottom w:val="0"/>
          <w:divBdr>
            <w:top w:val="none" w:sz="0" w:space="0" w:color="auto"/>
            <w:left w:val="none" w:sz="0" w:space="0" w:color="auto"/>
            <w:bottom w:val="none" w:sz="0" w:space="0" w:color="auto"/>
            <w:right w:val="none" w:sz="0" w:space="0" w:color="auto"/>
          </w:divBdr>
          <w:divsChild>
            <w:div w:id="294143363">
              <w:marLeft w:val="0"/>
              <w:marRight w:val="0"/>
              <w:marTop w:val="0"/>
              <w:marBottom w:val="100"/>
              <w:divBdr>
                <w:top w:val="none" w:sz="0" w:space="0" w:color="auto"/>
                <w:left w:val="none" w:sz="0" w:space="0" w:color="auto"/>
                <w:bottom w:val="none" w:sz="0" w:space="0" w:color="auto"/>
                <w:right w:val="none" w:sz="0" w:space="0" w:color="auto"/>
              </w:divBdr>
              <w:divsChild>
                <w:div w:id="294143106">
                  <w:marLeft w:val="0"/>
                  <w:marRight w:val="0"/>
                  <w:marTop w:val="0"/>
                  <w:marBottom w:val="0"/>
                  <w:divBdr>
                    <w:top w:val="none" w:sz="0" w:space="0" w:color="auto"/>
                    <w:left w:val="none" w:sz="0" w:space="0" w:color="auto"/>
                    <w:bottom w:val="none" w:sz="0" w:space="0" w:color="auto"/>
                    <w:right w:val="none" w:sz="0" w:space="0" w:color="auto"/>
                  </w:divBdr>
                  <w:divsChild>
                    <w:div w:id="294147912">
                      <w:marLeft w:val="0"/>
                      <w:marRight w:val="0"/>
                      <w:marTop w:val="0"/>
                      <w:marBottom w:val="0"/>
                      <w:divBdr>
                        <w:top w:val="none" w:sz="0" w:space="0" w:color="auto"/>
                        <w:left w:val="none" w:sz="0" w:space="0" w:color="auto"/>
                        <w:bottom w:val="none" w:sz="0" w:space="0" w:color="auto"/>
                        <w:right w:val="none" w:sz="0" w:space="0" w:color="auto"/>
                      </w:divBdr>
                    </w:div>
                    <w:div w:id="29414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4325">
              <w:marLeft w:val="0"/>
              <w:marRight w:val="0"/>
              <w:marTop w:val="0"/>
              <w:marBottom w:val="100"/>
              <w:divBdr>
                <w:top w:val="none" w:sz="0" w:space="0" w:color="auto"/>
                <w:left w:val="none" w:sz="0" w:space="0" w:color="auto"/>
                <w:bottom w:val="none" w:sz="0" w:space="0" w:color="auto"/>
                <w:right w:val="none" w:sz="0" w:space="0" w:color="auto"/>
              </w:divBdr>
              <w:divsChild>
                <w:div w:id="294151969">
                  <w:marLeft w:val="0"/>
                  <w:marRight w:val="0"/>
                  <w:marTop w:val="0"/>
                  <w:marBottom w:val="0"/>
                  <w:divBdr>
                    <w:top w:val="none" w:sz="0" w:space="0" w:color="auto"/>
                    <w:left w:val="none" w:sz="0" w:space="0" w:color="auto"/>
                    <w:bottom w:val="none" w:sz="0" w:space="0" w:color="auto"/>
                    <w:right w:val="none" w:sz="0" w:space="0" w:color="auto"/>
                  </w:divBdr>
                  <w:divsChild>
                    <w:div w:id="294141758">
                      <w:marLeft w:val="0"/>
                      <w:marRight w:val="0"/>
                      <w:marTop w:val="0"/>
                      <w:marBottom w:val="0"/>
                      <w:divBdr>
                        <w:top w:val="none" w:sz="0" w:space="0" w:color="auto"/>
                        <w:left w:val="none" w:sz="0" w:space="0" w:color="auto"/>
                        <w:bottom w:val="none" w:sz="0" w:space="0" w:color="auto"/>
                        <w:right w:val="none" w:sz="0" w:space="0" w:color="auto"/>
                      </w:divBdr>
                    </w:div>
                    <w:div w:id="29415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7249">
              <w:marLeft w:val="0"/>
              <w:marRight w:val="0"/>
              <w:marTop w:val="0"/>
              <w:marBottom w:val="100"/>
              <w:divBdr>
                <w:top w:val="none" w:sz="0" w:space="0" w:color="auto"/>
                <w:left w:val="none" w:sz="0" w:space="0" w:color="auto"/>
                <w:bottom w:val="none" w:sz="0" w:space="0" w:color="auto"/>
                <w:right w:val="none" w:sz="0" w:space="0" w:color="auto"/>
              </w:divBdr>
              <w:divsChild>
                <w:div w:id="294149660">
                  <w:marLeft w:val="0"/>
                  <w:marRight w:val="0"/>
                  <w:marTop w:val="0"/>
                  <w:marBottom w:val="0"/>
                  <w:divBdr>
                    <w:top w:val="none" w:sz="0" w:space="0" w:color="auto"/>
                    <w:left w:val="none" w:sz="0" w:space="0" w:color="auto"/>
                    <w:bottom w:val="none" w:sz="0" w:space="0" w:color="auto"/>
                    <w:right w:val="none" w:sz="0" w:space="0" w:color="auto"/>
                  </w:divBdr>
                  <w:divsChild>
                    <w:div w:id="294140870">
                      <w:marLeft w:val="0"/>
                      <w:marRight w:val="0"/>
                      <w:marTop w:val="0"/>
                      <w:marBottom w:val="0"/>
                      <w:divBdr>
                        <w:top w:val="none" w:sz="0" w:space="0" w:color="auto"/>
                        <w:left w:val="none" w:sz="0" w:space="0" w:color="auto"/>
                        <w:bottom w:val="none" w:sz="0" w:space="0" w:color="auto"/>
                        <w:right w:val="none" w:sz="0" w:space="0" w:color="auto"/>
                      </w:divBdr>
                    </w:div>
                    <w:div w:id="29415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1388">
              <w:marLeft w:val="0"/>
              <w:marRight w:val="0"/>
              <w:marTop w:val="0"/>
              <w:marBottom w:val="100"/>
              <w:divBdr>
                <w:top w:val="none" w:sz="0" w:space="0" w:color="auto"/>
                <w:left w:val="none" w:sz="0" w:space="0" w:color="auto"/>
                <w:bottom w:val="none" w:sz="0" w:space="0" w:color="auto"/>
                <w:right w:val="none" w:sz="0" w:space="0" w:color="auto"/>
              </w:divBdr>
              <w:divsChild>
                <w:div w:id="294154676">
                  <w:marLeft w:val="0"/>
                  <w:marRight w:val="0"/>
                  <w:marTop w:val="0"/>
                  <w:marBottom w:val="0"/>
                  <w:divBdr>
                    <w:top w:val="none" w:sz="0" w:space="0" w:color="auto"/>
                    <w:left w:val="none" w:sz="0" w:space="0" w:color="auto"/>
                    <w:bottom w:val="none" w:sz="0" w:space="0" w:color="auto"/>
                    <w:right w:val="none" w:sz="0" w:space="0" w:color="auto"/>
                  </w:divBdr>
                  <w:divsChild>
                    <w:div w:id="294144824">
                      <w:marLeft w:val="0"/>
                      <w:marRight w:val="0"/>
                      <w:marTop w:val="0"/>
                      <w:marBottom w:val="0"/>
                      <w:divBdr>
                        <w:top w:val="none" w:sz="0" w:space="0" w:color="auto"/>
                        <w:left w:val="none" w:sz="0" w:space="0" w:color="auto"/>
                        <w:bottom w:val="none" w:sz="0" w:space="0" w:color="auto"/>
                        <w:right w:val="none" w:sz="0" w:space="0" w:color="auto"/>
                      </w:divBdr>
                    </w:div>
                    <w:div w:id="2941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1940">
              <w:marLeft w:val="0"/>
              <w:marRight w:val="0"/>
              <w:marTop w:val="0"/>
              <w:marBottom w:val="100"/>
              <w:divBdr>
                <w:top w:val="none" w:sz="0" w:space="0" w:color="auto"/>
                <w:left w:val="none" w:sz="0" w:space="0" w:color="auto"/>
                <w:bottom w:val="none" w:sz="0" w:space="0" w:color="auto"/>
                <w:right w:val="none" w:sz="0" w:space="0" w:color="auto"/>
              </w:divBdr>
              <w:divsChild>
                <w:div w:id="294155936">
                  <w:marLeft w:val="0"/>
                  <w:marRight w:val="0"/>
                  <w:marTop w:val="0"/>
                  <w:marBottom w:val="0"/>
                  <w:divBdr>
                    <w:top w:val="none" w:sz="0" w:space="0" w:color="auto"/>
                    <w:left w:val="none" w:sz="0" w:space="0" w:color="auto"/>
                    <w:bottom w:val="none" w:sz="0" w:space="0" w:color="auto"/>
                    <w:right w:val="none" w:sz="0" w:space="0" w:color="auto"/>
                  </w:divBdr>
                  <w:divsChild>
                    <w:div w:id="294147358">
                      <w:marLeft w:val="0"/>
                      <w:marRight w:val="0"/>
                      <w:marTop w:val="0"/>
                      <w:marBottom w:val="0"/>
                      <w:divBdr>
                        <w:top w:val="none" w:sz="0" w:space="0" w:color="auto"/>
                        <w:left w:val="none" w:sz="0" w:space="0" w:color="auto"/>
                        <w:bottom w:val="none" w:sz="0" w:space="0" w:color="auto"/>
                        <w:right w:val="none" w:sz="0" w:space="0" w:color="auto"/>
                      </w:divBdr>
                    </w:div>
                    <w:div w:id="29414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4784">
              <w:marLeft w:val="0"/>
              <w:marRight w:val="0"/>
              <w:marTop w:val="0"/>
              <w:marBottom w:val="100"/>
              <w:divBdr>
                <w:top w:val="none" w:sz="0" w:space="0" w:color="auto"/>
                <w:left w:val="none" w:sz="0" w:space="0" w:color="auto"/>
                <w:bottom w:val="none" w:sz="0" w:space="0" w:color="auto"/>
                <w:right w:val="none" w:sz="0" w:space="0" w:color="auto"/>
              </w:divBdr>
              <w:divsChild>
                <w:div w:id="294152818">
                  <w:marLeft w:val="0"/>
                  <w:marRight w:val="0"/>
                  <w:marTop w:val="0"/>
                  <w:marBottom w:val="0"/>
                  <w:divBdr>
                    <w:top w:val="none" w:sz="0" w:space="0" w:color="auto"/>
                    <w:left w:val="none" w:sz="0" w:space="0" w:color="auto"/>
                    <w:bottom w:val="none" w:sz="0" w:space="0" w:color="auto"/>
                    <w:right w:val="none" w:sz="0" w:space="0" w:color="auto"/>
                  </w:divBdr>
                  <w:divsChild>
                    <w:div w:id="294142987">
                      <w:marLeft w:val="0"/>
                      <w:marRight w:val="0"/>
                      <w:marTop w:val="0"/>
                      <w:marBottom w:val="0"/>
                      <w:divBdr>
                        <w:top w:val="none" w:sz="0" w:space="0" w:color="auto"/>
                        <w:left w:val="none" w:sz="0" w:space="0" w:color="auto"/>
                        <w:bottom w:val="none" w:sz="0" w:space="0" w:color="auto"/>
                        <w:right w:val="none" w:sz="0" w:space="0" w:color="auto"/>
                      </w:divBdr>
                    </w:div>
                    <w:div w:id="29415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53664">
      <w:marLeft w:val="0"/>
      <w:marRight w:val="0"/>
      <w:marTop w:val="0"/>
      <w:marBottom w:val="0"/>
      <w:divBdr>
        <w:top w:val="none" w:sz="0" w:space="0" w:color="auto"/>
        <w:left w:val="none" w:sz="0" w:space="0" w:color="auto"/>
        <w:bottom w:val="none" w:sz="0" w:space="0" w:color="auto"/>
        <w:right w:val="none" w:sz="0" w:space="0" w:color="auto"/>
      </w:divBdr>
      <w:divsChild>
        <w:div w:id="294142934">
          <w:marLeft w:val="0"/>
          <w:marRight w:val="0"/>
          <w:marTop w:val="0"/>
          <w:marBottom w:val="0"/>
          <w:divBdr>
            <w:top w:val="none" w:sz="0" w:space="0" w:color="auto"/>
            <w:left w:val="none" w:sz="0" w:space="0" w:color="auto"/>
            <w:bottom w:val="none" w:sz="0" w:space="0" w:color="auto"/>
            <w:right w:val="none" w:sz="0" w:space="0" w:color="auto"/>
          </w:divBdr>
          <w:divsChild>
            <w:div w:id="294146895">
              <w:marLeft w:val="0"/>
              <w:marRight w:val="0"/>
              <w:marTop w:val="0"/>
              <w:marBottom w:val="0"/>
              <w:divBdr>
                <w:top w:val="none" w:sz="0" w:space="0" w:color="auto"/>
                <w:left w:val="none" w:sz="0" w:space="0" w:color="auto"/>
                <w:bottom w:val="none" w:sz="0" w:space="0" w:color="auto"/>
                <w:right w:val="none" w:sz="0" w:space="0" w:color="auto"/>
              </w:divBdr>
              <w:divsChild>
                <w:div w:id="294138097">
                  <w:marLeft w:val="0"/>
                  <w:marRight w:val="0"/>
                  <w:marTop w:val="0"/>
                  <w:marBottom w:val="0"/>
                  <w:divBdr>
                    <w:top w:val="none" w:sz="0" w:space="0" w:color="auto"/>
                    <w:left w:val="none" w:sz="0" w:space="0" w:color="auto"/>
                    <w:bottom w:val="none" w:sz="0" w:space="0" w:color="auto"/>
                    <w:right w:val="none" w:sz="0" w:space="0" w:color="auto"/>
                  </w:divBdr>
                </w:div>
                <w:div w:id="294138437">
                  <w:marLeft w:val="0"/>
                  <w:marRight w:val="0"/>
                  <w:marTop w:val="0"/>
                  <w:marBottom w:val="0"/>
                  <w:divBdr>
                    <w:top w:val="none" w:sz="0" w:space="0" w:color="auto"/>
                    <w:left w:val="none" w:sz="0" w:space="0" w:color="auto"/>
                    <w:bottom w:val="none" w:sz="0" w:space="0" w:color="auto"/>
                    <w:right w:val="none" w:sz="0" w:space="0" w:color="auto"/>
                  </w:divBdr>
                </w:div>
                <w:div w:id="294138577">
                  <w:marLeft w:val="0"/>
                  <w:marRight w:val="0"/>
                  <w:marTop w:val="0"/>
                  <w:marBottom w:val="0"/>
                  <w:divBdr>
                    <w:top w:val="none" w:sz="0" w:space="0" w:color="auto"/>
                    <w:left w:val="none" w:sz="0" w:space="0" w:color="auto"/>
                    <w:bottom w:val="none" w:sz="0" w:space="0" w:color="auto"/>
                    <w:right w:val="none" w:sz="0" w:space="0" w:color="auto"/>
                  </w:divBdr>
                </w:div>
                <w:div w:id="294138630">
                  <w:marLeft w:val="0"/>
                  <w:marRight w:val="0"/>
                  <w:marTop w:val="0"/>
                  <w:marBottom w:val="0"/>
                  <w:divBdr>
                    <w:top w:val="none" w:sz="0" w:space="0" w:color="auto"/>
                    <w:left w:val="none" w:sz="0" w:space="0" w:color="auto"/>
                    <w:bottom w:val="none" w:sz="0" w:space="0" w:color="auto"/>
                    <w:right w:val="none" w:sz="0" w:space="0" w:color="auto"/>
                  </w:divBdr>
                </w:div>
                <w:div w:id="294138826">
                  <w:marLeft w:val="0"/>
                  <w:marRight w:val="0"/>
                  <w:marTop w:val="0"/>
                  <w:marBottom w:val="0"/>
                  <w:divBdr>
                    <w:top w:val="none" w:sz="0" w:space="0" w:color="auto"/>
                    <w:left w:val="none" w:sz="0" w:space="0" w:color="auto"/>
                    <w:bottom w:val="none" w:sz="0" w:space="0" w:color="auto"/>
                    <w:right w:val="none" w:sz="0" w:space="0" w:color="auto"/>
                  </w:divBdr>
                </w:div>
                <w:div w:id="294139340">
                  <w:marLeft w:val="0"/>
                  <w:marRight w:val="0"/>
                  <w:marTop w:val="0"/>
                  <w:marBottom w:val="0"/>
                  <w:divBdr>
                    <w:top w:val="none" w:sz="0" w:space="0" w:color="auto"/>
                    <w:left w:val="none" w:sz="0" w:space="0" w:color="auto"/>
                    <w:bottom w:val="none" w:sz="0" w:space="0" w:color="auto"/>
                    <w:right w:val="none" w:sz="0" w:space="0" w:color="auto"/>
                  </w:divBdr>
                </w:div>
                <w:div w:id="294139354">
                  <w:marLeft w:val="0"/>
                  <w:marRight w:val="0"/>
                  <w:marTop w:val="0"/>
                  <w:marBottom w:val="0"/>
                  <w:divBdr>
                    <w:top w:val="none" w:sz="0" w:space="0" w:color="auto"/>
                    <w:left w:val="none" w:sz="0" w:space="0" w:color="auto"/>
                    <w:bottom w:val="none" w:sz="0" w:space="0" w:color="auto"/>
                    <w:right w:val="none" w:sz="0" w:space="0" w:color="auto"/>
                  </w:divBdr>
                </w:div>
                <w:div w:id="294139405">
                  <w:marLeft w:val="0"/>
                  <w:marRight w:val="0"/>
                  <w:marTop w:val="0"/>
                  <w:marBottom w:val="0"/>
                  <w:divBdr>
                    <w:top w:val="none" w:sz="0" w:space="0" w:color="auto"/>
                    <w:left w:val="none" w:sz="0" w:space="0" w:color="auto"/>
                    <w:bottom w:val="none" w:sz="0" w:space="0" w:color="auto"/>
                    <w:right w:val="none" w:sz="0" w:space="0" w:color="auto"/>
                  </w:divBdr>
                </w:div>
                <w:div w:id="294139968">
                  <w:marLeft w:val="0"/>
                  <w:marRight w:val="0"/>
                  <w:marTop w:val="0"/>
                  <w:marBottom w:val="0"/>
                  <w:divBdr>
                    <w:top w:val="none" w:sz="0" w:space="0" w:color="auto"/>
                    <w:left w:val="none" w:sz="0" w:space="0" w:color="auto"/>
                    <w:bottom w:val="none" w:sz="0" w:space="0" w:color="auto"/>
                    <w:right w:val="none" w:sz="0" w:space="0" w:color="auto"/>
                  </w:divBdr>
                </w:div>
                <w:div w:id="294140100">
                  <w:marLeft w:val="0"/>
                  <w:marRight w:val="0"/>
                  <w:marTop w:val="0"/>
                  <w:marBottom w:val="0"/>
                  <w:divBdr>
                    <w:top w:val="none" w:sz="0" w:space="0" w:color="auto"/>
                    <w:left w:val="none" w:sz="0" w:space="0" w:color="auto"/>
                    <w:bottom w:val="none" w:sz="0" w:space="0" w:color="auto"/>
                    <w:right w:val="none" w:sz="0" w:space="0" w:color="auto"/>
                  </w:divBdr>
                </w:div>
                <w:div w:id="294140110">
                  <w:marLeft w:val="0"/>
                  <w:marRight w:val="0"/>
                  <w:marTop w:val="0"/>
                  <w:marBottom w:val="0"/>
                  <w:divBdr>
                    <w:top w:val="none" w:sz="0" w:space="0" w:color="auto"/>
                    <w:left w:val="none" w:sz="0" w:space="0" w:color="auto"/>
                    <w:bottom w:val="none" w:sz="0" w:space="0" w:color="auto"/>
                    <w:right w:val="none" w:sz="0" w:space="0" w:color="auto"/>
                  </w:divBdr>
                </w:div>
                <w:div w:id="294140160">
                  <w:marLeft w:val="0"/>
                  <w:marRight w:val="0"/>
                  <w:marTop w:val="0"/>
                  <w:marBottom w:val="0"/>
                  <w:divBdr>
                    <w:top w:val="none" w:sz="0" w:space="0" w:color="auto"/>
                    <w:left w:val="none" w:sz="0" w:space="0" w:color="auto"/>
                    <w:bottom w:val="none" w:sz="0" w:space="0" w:color="auto"/>
                    <w:right w:val="none" w:sz="0" w:space="0" w:color="auto"/>
                  </w:divBdr>
                </w:div>
                <w:div w:id="294140319">
                  <w:marLeft w:val="0"/>
                  <w:marRight w:val="0"/>
                  <w:marTop w:val="0"/>
                  <w:marBottom w:val="0"/>
                  <w:divBdr>
                    <w:top w:val="none" w:sz="0" w:space="0" w:color="auto"/>
                    <w:left w:val="none" w:sz="0" w:space="0" w:color="auto"/>
                    <w:bottom w:val="none" w:sz="0" w:space="0" w:color="auto"/>
                    <w:right w:val="none" w:sz="0" w:space="0" w:color="auto"/>
                  </w:divBdr>
                </w:div>
                <w:div w:id="294140383">
                  <w:marLeft w:val="0"/>
                  <w:marRight w:val="0"/>
                  <w:marTop w:val="0"/>
                  <w:marBottom w:val="0"/>
                  <w:divBdr>
                    <w:top w:val="none" w:sz="0" w:space="0" w:color="auto"/>
                    <w:left w:val="none" w:sz="0" w:space="0" w:color="auto"/>
                    <w:bottom w:val="none" w:sz="0" w:space="0" w:color="auto"/>
                    <w:right w:val="none" w:sz="0" w:space="0" w:color="auto"/>
                  </w:divBdr>
                </w:div>
                <w:div w:id="294140466">
                  <w:marLeft w:val="0"/>
                  <w:marRight w:val="0"/>
                  <w:marTop w:val="0"/>
                  <w:marBottom w:val="0"/>
                  <w:divBdr>
                    <w:top w:val="none" w:sz="0" w:space="0" w:color="auto"/>
                    <w:left w:val="none" w:sz="0" w:space="0" w:color="auto"/>
                    <w:bottom w:val="none" w:sz="0" w:space="0" w:color="auto"/>
                    <w:right w:val="none" w:sz="0" w:space="0" w:color="auto"/>
                  </w:divBdr>
                </w:div>
                <w:div w:id="294140776">
                  <w:marLeft w:val="0"/>
                  <w:marRight w:val="0"/>
                  <w:marTop w:val="0"/>
                  <w:marBottom w:val="0"/>
                  <w:divBdr>
                    <w:top w:val="none" w:sz="0" w:space="0" w:color="auto"/>
                    <w:left w:val="none" w:sz="0" w:space="0" w:color="auto"/>
                    <w:bottom w:val="none" w:sz="0" w:space="0" w:color="auto"/>
                    <w:right w:val="none" w:sz="0" w:space="0" w:color="auto"/>
                  </w:divBdr>
                </w:div>
                <w:div w:id="294140799">
                  <w:marLeft w:val="0"/>
                  <w:marRight w:val="0"/>
                  <w:marTop w:val="0"/>
                  <w:marBottom w:val="0"/>
                  <w:divBdr>
                    <w:top w:val="none" w:sz="0" w:space="0" w:color="auto"/>
                    <w:left w:val="none" w:sz="0" w:space="0" w:color="auto"/>
                    <w:bottom w:val="none" w:sz="0" w:space="0" w:color="auto"/>
                    <w:right w:val="none" w:sz="0" w:space="0" w:color="auto"/>
                  </w:divBdr>
                </w:div>
                <w:div w:id="294141160">
                  <w:marLeft w:val="0"/>
                  <w:marRight w:val="0"/>
                  <w:marTop w:val="0"/>
                  <w:marBottom w:val="0"/>
                  <w:divBdr>
                    <w:top w:val="none" w:sz="0" w:space="0" w:color="auto"/>
                    <w:left w:val="none" w:sz="0" w:space="0" w:color="auto"/>
                    <w:bottom w:val="none" w:sz="0" w:space="0" w:color="auto"/>
                    <w:right w:val="none" w:sz="0" w:space="0" w:color="auto"/>
                  </w:divBdr>
                </w:div>
                <w:div w:id="294141188">
                  <w:marLeft w:val="0"/>
                  <w:marRight w:val="0"/>
                  <w:marTop w:val="0"/>
                  <w:marBottom w:val="0"/>
                  <w:divBdr>
                    <w:top w:val="none" w:sz="0" w:space="0" w:color="auto"/>
                    <w:left w:val="none" w:sz="0" w:space="0" w:color="auto"/>
                    <w:bottom w:val="none" w:sz="0" w:space="0" w:color="auto"/>
                    <w:right w:val="none" w:sz="0" w:space="0" w:color="auto"/>
                  </w:divBdr>
                </w:div>
                <w:div w:id="294141405">
                  <w:marLeft w:val="0"/>
                  <w:marRight w:val="0"/>
                  <w:marTop w:val="0"/>
                  <w:marBottom w:val="0"/>
                  <w:divBdr>
                    <w:top w:val="none" w:sz="0" w:space="0" w:color="auto"/>
                    <w:left w:val="none" w:sz="0" w:space="0" w:color="auto"/>
                    <w:bottom w:val="none" w:sz="0" w:space="0" w:color="auto"/>
                    <w:right w:val="none" w:sz="0" w:space="0" w:color="auto"/>
                  </w:divBdr>
                </w:div>
                <w:div w:id="294141859">
                  <w:marLeft w:val="0"/>
                  <w:marRight w:val="0"/>
                  <w:marTop w:val="0"/>
                  <w:marBottom w:val="0"/>
                  <w:divBdr>
                    <w:top w:val="none" w:sz="0" w:space="0" w:color="auto"/>
                    <w:left w:val="none" w:sz="0" w:space="0" w:color="auto"/>
                    <w:bottom w:val="none" w:sz="0" w:space="0" w:color="auto"/>
                    <w:right w:val="none" w:sz="0" w:space="0" w:color="auto"/>
                  </w:divBdr>
                </w:div>
                <w:div w:id="294141949">
                  <w:marLeft w:val="0"/>
                  <w:marRight w:val="0"/>
                  <w:marTop w:val="0"/>
                  <w:marBottom w:val="0"/>
                  <w:divBdr>
                    <w:top w:val="none" w:sz="0" w:space="0" w:color="auto"/>
                    <w:left w:val="none" w:sz="0" w:space="0" w:color="auto"/>
                    <w:bottom w:val="none" w:sz="0" w:space="0" w:color="auto"/>
                    <w:right w:val="none" w:sz="0" w:space="0" w:color="auto"/>
                  </w:divBdr>
                </w:div>
                <w:div w:id="294142367">
                  <w:marLeft w:val="0"/>
                  <w:marRight w:val="0"/>
                  <w:marTop w:val="0"/>
                  <w:marBottom w:val="0"/>
                  <w:divBdr>
                    <w:top w:val="none" w:sz="0" w:space="0" w:color="auto"/>
                    <w:left w:val="none" w:sz="0" w:space="0" w:color="auto"/>
                    <w:bottom w:val="none" w:sz="0" w:space="0" w:color="auto"/>
                    <w:right w:val="none" w:sz="0" w:space="0" w:color="auto"/>
                  </w:divBdr>
                </w:div>
                <w:div w:id="294142679">
                  <w:marLeft w:val="0"/>
                  <w:marRight w:val="0"/>
                  <w:marTop w:val="0"/>
                  <w:marBottom w:val="0"/>
                  <w:divBdr>
                    <w:top w:val="none" w:sz="0" w:space="0" w:color="auto"/>
                    <w:left w:val="none" w:sz="0" w:space="0" w:color="auto"/>
                    <w:bottom w:val="none" w:sz="0" w:space="0" w:color="auto"/>
                    <w:right w:val="none" w:sz="0" w:space="0" w:color="auto"/>
                  </w:divBdr>
                </w:div>
                <w:div w:id="294142708">
                  <w:marLeft w:val="0"/>
                  <w:marRight w:val="0"/>
                  <w:marTop w:val="0"/>
                  <w:marBottom w:val="0"/>
                  <w:divBdr>
                    <w:top w:val="none" w:sz="0" w:space="0" w:color="auto"/>
                    <w:left w:val="none" w:sz="0" w:space="0" w:color="auto"/>
                    <w:bottom w:val="none" w:sz="0" w:space="0" w:color="auto"/>
                    <w:right w:val="none" w:sz="0" w:space="0" w:color="auto"/>
                  </w:divBdr>
                </w:div>
                <w:div w:id="294142970">
                  <w:marLeft w:val="0"/>
                  <w:marRight w:val="0"/>
                  <w:marTop w:val="0"/>
                  <w:marBottom w:val="0"/>
                  <w:divBdr>
                    <w:top w:val="none" w:sz="0" w:space="0" w:color="auto"/>
                    <w:left w:val="none" w:sz="0" w:space="0" w:color="auto"/>
                    <w:bottom w:val="none" w:sz="0" w:space="0" w:color="auto"/>
                    <w:right w:val="none" w:sz="0" w:space="0" w:color="auto"/>
                  </w:divBdr>
                </w:div>
                <w:div w:id="294143463">
                  <w:marLeft w:val="0"/>
                  <w:marRight w:val="0"/>
                  <w:marTop w:val="0"/>
                  <w:marBottom w:val="0"/>
                  <w:divBdr>
                    <w:top w:val="none" w:sz="0" w:space="0" w:color="auto"/>
                    <w:left w:val="none" w:sz="0" w:space="0" w:color="auto"/>
                    <w:bottom w:val="none" w:sz="0" w:space="0" w:color="auto"/>
                    <w:right w:val="none" w:sz="0" w:space="0" w:color="auto"/>
                  </w:divBdr>
                </w:div>
                <w:div w:id="294143741">
                  <w:marLeft w:val="0"/>
                  <w:marRight w:val="0"/>
                  <w:marTop w:val="0"/>
                  <w:marBottom w:val="0"/>
                  <w:divBdr>
                    <w:top w:val="none" w:sz="0" w:space="0" w:color="auto"/>
                    <w:left w:val="none" w:sz="0" w:space="0" w:color="auto"/>
                    <w:bottom w:val="none" w:sz="0" w:space="0" w:color="auto"/>
                    <w:right w:val="none" w:sz="0" w:space="0" w:color="auto"/>
                  </w:divBdr>
                </w:div>
                <w:div w:id="294143772">
                  <w:marLeft w:val="0"/>
                  <w:marRight w:val="0"/>
                  <w:marTop w:val="0"/>
                  <w:marBottom w:val="0"/>
                  <w:divBdr>
                    <w:top w:val="none" w:sz="0" w:space="0" w:color="auto"/>
                    <w:left w:val="none" w:sz="0" w:space="0" w:color="auto"/>
                    <w:bottom w:val="none" w:sz="0" w:space="0" w:color="auto"/>
                    <w:right w:val="none" w:sz="0" w:space="0" w:color="auto"/>
                  </w:divBdr>
                </w:div>
                <w:div w:id="294143873">
                  <w:marLeft w:val="0"/>
                  <w:marRight w:val="0"/>
                  <w:marTop w:val="0"/>
                  <w:marBottom w:val="0"/>
                  <w:divBdr>
                    <w:top w:val="none" w:sz="0" w:space="0" w:color="auto"/>
                    <w:left w:val="none" w:sz="0" w:space="0" w:color="auto"/>
                    <w:bottom w:val="none" w:sz="0" w:space="0" w:color="auto"/>
                    <w:right w:val="none" w:sz="0" w:space="0" w:color="auto"/>
                  </w:divBdr>
                </w:div>
                <w:div w:id="294143940">
                  <w:marLeft w:val="0"/>
                  <w:marRight w:val="0"/>
                  <w:marTop w:val="0"/>
                  <w:marBottom w:val="0"/>
                  <w:divBdr>
                    <w:top w:val="none" w:sz="0" w:space="0" w:color="auto"/>
                    <w:left w:val="none" w:sz="0" w:space="0" w:color="auto"/>
                    <w:bottom w:val="none" w:sz="0" w:space="0" w:color="auto"/>
                    <w:right w:val="none" w:sz="0" w:space="0" w:color="auto"/>
                  </w:divBdr>
                </w:div>
                <w:div w:id="294144093">
                  <w:marLeft w:val="0"/>
                  <w:marRight w:val="0"/>
                  <w:marTop w:val="0"/>
                  <w:marBottom w:val="0"/>
                  <w:divBdr>
                    <w:top w:val="none" w:sz="0" w:space="0" w:color="auto"/>
                    <w:left w:val="none" w:sz="0" w:space="0" w:color="auto"/>
                    <w:bottom w:val="none" w:sz="0" w:space="0" w:color="auto"/>
                    <w:right w:val="none" w:sz="0" w:space="0" w:color="auto"/>
                  </w:divBdr>
                </w:div>
                <w:div w:id="294144115">
                  <w:marLeft w:val="0"/>
                  <w:marRight w:val="0"/>
                  <w:marTop w:val="0"/>
                  <w:marBottom w:val="0"/>
                  <w:divBdr>
                    <w:top w:val="none" w:sz="0" w:space="0" w:color="auto"/>
                    <w:left w:val="none" w:sz="0" w:space="0" w:color="auto"/>
                    <w:bottom w:val="none" w:sz="0" w:space="0" w:color="auto"/>
                    <w:right w:val="none" w:sz="0" w:space="0" w:color="auto"/>
                  </w:divBdr>
                </w:div>
                <w:div w:id="294144480">
                  <w:marLeft w:val="0"/>
                  <w:marRight w:val="0"/>
                  <w:marTop w:val="0"/>
                  <w:marBottom w:val="0"/>
                  <w:divBdr>
                    <w:top w:val="none" w:sz="0" w:space="0" w:color="auto"/>
                    <w:left w:val="none" w:sz="0" w:space="0" w:color="auto"/>
                    <w:bottom w:val="none" w:sz="0" w:space="0" w:color="auto"/>
                    <w:right w:val="none" w:sz="0" w:space="0" w:color="auto"/>
                  </w:divBdr>
                </w:div>
                <w:div w:id="294144558">
                  <w:marLeft w:val="0"/>
                  <w:marRight w:val="0"/>
                  <w:marTop w:val="0"/>
                  <w:marBottom w:val="0"/>
                  <w:divBdr>
                    <w:top w:val="none" w:sz="0" w:space="0" w:color="auto"/>
                    <w:left w:val="none" w:sz="0" w:space="0" w:color="auto"/>
                    <w:bottom w:val="none" w:sz="0" w:space="0" w:color="auto"/>
                    <w:right w:val="none" w:sz="0" w:space="0" w:color="auto"/>
                  </w:divBdr>
                </w:div>
                <w:div w:id="294144598">
                  <w:marLeft w:val="0"/>
                  <w:marRight w:val="0"/>
                  <w:marTop w:val="0"/>
                  <w:marBottom w:val="0"/>
                  <w:divBdr>
                    <w:top w:val="none" w:sz="0" w:space="0" w:color="auto"/>
                    <w:left w:val="none" w:sz="0" w:space="0" w:color="auto"/>
                    <w:bottom w:val="none" w:sz="0" w:space="0" w:color="auto"/>
                    <w:right w:val="none" w:sz="0" w:space="0" w:color="auto"/>
                  </w:divBdr>
                </w:div>
                <w:div w:id="294144648">
                  <w:marLeft w:val="0"/>
                  <w:marRight w:val="0"/>
                  <w:marTop w:val="0"/>
                  <w:marBottom w:val="0"/>
                  <w:divBdr>
                    <w:top w:val="none" w:sz="0" w:space="0" w:color="auto"/>
                    <w:left w:val="none" w:sz="0" w:space="0" w:color="auto"/>
                    <w:bottom w:val="none" w:sz="0" w:space="0" w:color="auto"/>
                    <w:right w:val="none" w:sz="0" w:space="0" w:color="auto"/>
                  </w:divBdr>
                </w:div>
                <w:div w:id="294145006">
                  <w:marLeft w:val="0"/>
                  <w:marRight w:val="0"/>
                  <w:marTop w:val="0"/>
                  <w:marBottom w:val="0"/>
                  <w:divBdr>
                    <w:top w:val="none" w:sz="0" w:space="0" w:color="auto"/>
                    <w:left w:val="none" w:sz="0" w:space="0" w:color="auto"/>
                    <w:bottom w:val="none" w:sz="0" w:space="0" w:color="auto"/>
                    <w:right w:val="none" w:sz="0" w:space="0" w:color="auto"/>
                  </w:divBdr>
                </w:div>
                <w:div w:id="294145059">
                  <w:marLeft w:val="0"/>
                  <w:marRight w:val="0"/>
                  <w:marTop w:val="0"/>
                  <w:marBottom w:val="0"/>
                  <w:divBdr>
                    <w:top w:val="none" w:sz="0" w:space="0" w:color="auto"/>
                    <w:left w:val="none" w:sz="0" w:space="0" w:color="auto"/>
                    <w:bottom w:val="none" w:sz="0" w:space="0" w:color="auto"/>
                    <w:right w:val="none" w:sz="0" w:space="0" w:color="auto"/>
                  </w:divBdr>
                </w:div>
                <w:div w:id="294145540">
                  <w:marLeft w:val="0"/>
                  <w:marRight w:val="0"/>
                  <w:marTop w:val="0"/>
                  <w:marBottom w:val="0"/>
                  <w:divBdr>
                    <w:top w:val="none" w:sz="0" w:space="0" w:color="auto"/>
                    <w:left w:val="none" w:sz="0" w:space="0" w:color="auto"/>
                    <w:bottom w:val="none" w:sz="0" w:space="0" w:color="auto"/>
                    <w:right w:val="none" w:sz="0" w:space="0" w:color="auto"/>
                  </w:divBdr>
                </w:div>
                <w:div w:id="294145685">
                  <w:marLeft w:val="0"/>
                  <w:marRight w:val="0"/>
                  <w:marTop w:val="0"/>
                  <w:marBottom w:val="0"/>
                  <w:divBdr>
                    <w:top w:val="none" w:sz="0" w:space="0" w:color="auto"/>
                    <w:left w:val="none" w:sz="0" w:space="0" w:color="auto"/>
                    <w:bottom w:val="none" w:sz="0" w:space="0" w:color="auto"/>
                    <w:right w:val="none" w:sz="0" w:space="0" w:color="auto"/>
                  </w:divBdr>
                </w:div>
                <w:div w:id="294145761">
                  <w:marLeft w:val="0"/>
                  <w:marRight w:val="0"/>
                  <w:marTop w:val="0"/>
                  <w:marBottom w:val="0"/>
                  <w:divBdr>
                    <w:top w:val="none" w:sz="0" w:space="0" w:color="auto"/>
                    <w:left w:val="none" w:sz="0" w:space="0" w:color="auto"/>
                    <w:bottom w:val="none" w:sz="0" w:space="0" w:color="auto"/>
                    <w:right w:val="none" w:sz="0" w:space="0" w:color="auto"/>
                  </w:divBdr>
                </w:div>
                <w:div w:id="294145865">
                  <w:marLeft w:val="0"/>
                  <w:marRight w:val="0"/>
                  <w:marTop w:val="0"/>
                  <w:marBottom w:val="0"/>
                  <w:divBdr>
                    <w:top w:val="none" w:sz="0" w:space="0" w:color="auto"/>
                    <w:left w:val="none" w:sz="0" w:space="0" w:color="auto"/>
                    <w:bottom w:val="none" w:sz="0" w:space="0" w:color="auto"/>
                    <w:right w:val="none" w:sz="0" w:space="0" w:color="auto"/>
                  </w:divBdr>
                </w:div>
                <w:div w:id="294145900">
                  <w:marLeft w:val="0"/>
                  <w:marRight w:val="0"/>
                  <w:marTop w:val="0"/>
                  <w:marBottom w:val="0"/>
                  <w:divBdr>
                    <w:top w:val="none" w:sz="0" w:space="0" w:color="auto"/>
                    <w:left w:val="none" w:sz="0" w:space="0" w:color="auto"/>
                    <w:bottom w:val="none" w:sz="0" w:space="0" w:color="auto"/>
                    <w:right w:val="none" w:sz="0" w:space="0" w:color="auto"/>
                  </w:divBdr>
                </w:div>
                <w:div w:id="294145917">
                  <w:marLeft w:val="0"/>
                  <w:marRight w:val="0"/>
                  <w:marTop w:val="0"/>
                  <w:marBottom w:val="0"/>
                  <w:divBdr>
                    <w:top w:val="none" w:sz="0" w:space="0" w:color="auto"/>
                    <w:left w:val="none" w:sz="0" w:space="0" w:color="auto"/>
                    <w:bottom w:val="none" w:sz="0" w:space="0" w:color="auto"/>
                    <w:right w:val="none" w:sz="0" w:space="0" w:color="auto"/>
                  </w:divBdr>
                </w:div>
                <w:div w:id="294146531">
                  <w:marLeft w:val="0"/>
                  <w:marRight w:val="0"/>
                  <w:marTop w:val="0"/>
                  <w:marBottom w:val="0"/>
                  <w:divBdr>
                    <w:top w:val="none" w:sz="0" w:space="0" w:color="auto"/>
                    <w:left w:val="none" w:sz="0" w:space="0" w:color="auto"/>
                    <w:bottom w:val="none" w:sz="0" w:space="0" w:color="auto"/>
                    <w:right w:val="none" w:sz="0" w:space="0" w:color="auto"/>
                  </w:divBdr>
                </w:div>
                <w:div w:id="294146845">
                  <w:marLeft w:val="0"/>
                  <w:marRight w:val="0"/>
                  <w:marTop w:val="0"/>
                  <w:marBottom w:val="0"/>
                  <w:divBdr>
                    <w:top w:val="none" w:sz="0" w:space="0" w:color="auto"/>
                    <w:left w:val="none" w:sz="0" w:space="0" w:color="auto"/>
                    <w:bottom w:val="none" w:sz="0" w:space="0" w:color="auto"/>
                    <w:right w:val="none" w:sz="0" w:space="0" w:color="auto"/>
                  </w:divBdr>
                </w:div>
                <w:div w:id="294146850">
                  <w:marLeft w:val="0"/>
                  <w:marRight w:val="0"/>
                  <w:marTop w:val="0"/>
                  <w:marBottom w:val="0"/>
                  <w:divBdr>
                    <w:top w:val="none" w:sz="0" w:space="0" w:color="auto"/>
                    <w:left w:val="none" w:sz="0" w:space="0" w:color="auto"/>
                    <w:bottom w:val="none" w:sz="0" w:space="0" w:color="auto"/>
                    <w:right w:val="none" w:sz="0" w:space="0" w:color="auto"/>
                  </w:divBdr>
                </w:div>
                <w:div w:id="294146867">
                  <w:marLeft w:val="0"/>
                  <w:marRight w:val="0"/>
                  <w:marTop w:val="0"/>
                  <w:marBottom w:val="0"/>
                  <w:divBdr>
                    <w:top w:val="none" w:sz="0" w:space="0" w:color="auto"/>
                    <w:left w:val="none" w:sz="0" w:space="0" w:color="auto"/>
                    <w:bottom w:val="none" w:sz="0" w:space="0" w:color="auto"/>
                    <w:right w:val="none" w:sz="0" w:space="0" w:color="auto"/>
                  </w:divBdr>
                </w:div>
                <w:div w:id="294146876">
                  <w:marLeft w:val="0"/>
                  <w:marRight w:val="0"/>
                  <w:marTop w:val="0"/>
                  <w:marBottom w:val="0"/>
                  <w:divBdr>
                    <w:top w:val="none" w:sz="0" w:space="0" w:color="auto"/>
                    <w:left w:val="none" w:sz="0" w:space="0" w:color="auto"/>
                    <w:bottom w:val="none" w:sz="0" w:space="0" w:color="auto"/>
                    <w:right w:val="none" w:sz="0" w:space="0" w:color="auto"/>
                  </w:divBdr>
                </w:div>
                <w:div w:id="294146980">
                  <w:marLeft w:val="0"/>
                  <w:marRight w:val="0"/>
                  <w:marTop w:val="0"/>
                  <w:marBottom w:val="0"/>
                  <w:divBdr>
                    <w:top w:val="none" w:sz="0" w:space="0" w:color="auto"/>
                    <w:left w:val="none" w:sz="0" w:space="0" w:color="auto"/>
                    <w:bottom w:val="none" w:sz="0" w:space="0" w:color="auto"/>
                    <w:right w:val="none" w:sz="0" w:space="0" w:color="auto"/>
                  </w:divBdr>
                </w:div>
                <w:div w:id="294147051">
                  <w:marLeft w:val="0"/>
                  <w:marRight w:val="0"/>
                  <w:marTop w:val="0"/>
                  <w:marBottom w:val="0"/>
                  <w:divBdr>
                    <w:top w:val="none" w:sz="0" w:space="0" w:color="auto"/>
                    <w:left w:val="none" w:sz="0" w:space="0" w:color="auto"/>
                    <w:bottom w:val="none" w:sz="0" w:space="0" w:color="auto"/>
                    <w:right w:val="none" w:sz="0" w:space="0" w:color="auto"/>
                  </w:divBdr>
                </w:div>
                <w:div w:id="294147146">
                  <w:marLeft w:val="0"/>
                  <w:marRight w:val="0"/>
                  <w:marTop w:val="0"/>
                  <w:marBottom w:val="0"/>
                  <w:divBdr>
                    <w:top w:val="none" w:sz="0" w:space="0" w:color="auto"/>
                    <w:left w:val="none" w:sz="0" w:space="0" w:color="auto"/>
                    <w:bottom w:val="none" w:sz="0" w:space="0" w:color="auto"/>
                    <w:right w:val="none" w:sz="0" w:space="0" w:color="auto"/>
                  </w:divBdr>
                </w:div>
                <w:div w:id="294147179">
                  <w:marLeft w:val="0"/>
                  <w:marRight w:val="0"/>
                  <w:marTop w:val="0"/>
                  <w:marBottom w:val="0"/>
                  <w:divBdr>
                    <w:top w:val="none" w:sz="0" w:space="0" w:color="auto"/>
                    <w:left w:val="none" w:sz="0" w:space="0" w:color="auto"/>
                    <w:bottom w:val="none" w:sz="0" w:space="0" w:color="auto"/>
                    <w:right w:val="none" w:sz="0" w:space="0" w:color="auto"/>
                  </w:divBdr>
                </w:div>
                <w:div w:id="294147277">
                  <w:marLeft w:val="0"/>
                  <w:marRight w:val="0"/>
                  <w:marTop w:val="0"/>
                  <w:marBottom w:val="0"/>
                  <w:divBdr>
                    <w:top w:val="none" w:sz="0" w:space="0" w:color="auto"/>
                    <w:left w:val="none" w:sz="0" w:space="0" w:color="auto"/>
                    <w:bottom w:val="none" w:sz="0" w:space="0" w:color="auto"/>
                    <w:right w:val="none" w:sz="0" w:space="0" w:color="auto"/>
                  </w:divBdr>
                </w:div>
                <w:div w:id="294147306">
                  <w:marLeft w:val="0"/>
                  <w:marRight w:val="0"/>
                  <w:marTop w:val="0"/>
                  <w:marBottom w:val="0"/>
                  <w:divBdr>
                    <w:top w:val="none" w:sz="0" w:space="0" w:color="auto"/>
                    <w:left w:val="none" w:sz="0" w:space="0" w:color="auto"/>
                    <w:bottom w:val="none" w:sz="0" w:space="0" w:color="auto"/>
                    <w:right w:val="none" w:sz="0" w:space="0" w:color="auto"/>
                  </w:divBdr>
                </w:div>
                <w:div w:id="294147667">
                  <w:marLeft w:val="0"/>
                  <w:marRight w:val="0"/>
                  <w:marTop w:val="0"/>
                  <w:marBottom w:val="0"/>
                  <w:divBdr>
                    <w:top w:val="none" w:sz="0" w:space="0" w:color="auto"/>
                    <w:left w:val="none" w:sz="0" w:space="0" w:color="auto"/>
                    <w:bottom w:val="none" w:sz="0" w:space="0" w:color="auto"/>
                    <w:right w:val="none" w:sz="0" w:space="0" w:color="auto"/>
                  </w:divBdr>
                </w:div>
                <w:div w:id="294147728">
                  <w:marLeft w:val="0"/>
                  <w:marRight w:val="0"/>
                  <w:marTop w:val="0"/>
                  <w:marBottom w:val="0"/>
                  <w:divBdr>
                    <w:top w:val="none" w:sz="0" w:space="0" w:color="auto"/>
                    <w:left w:val="none" w:sz="0" w:space="0" w:color="auto"/>
                    <w:bottom w:val="none" w:sz="0" w:space="0" w:color="auto"/>
                    <w:right w:val="none" w:sz="0" w:space="0" w:color="auto"/>
                  </w:divBdr>
                </w:div>
                <w:div w:id="294147906">
                  <w:marLeft w:val="0"/>
                  <w:marRight w:val="0"/>
                  <w:marTop w:val="0"/>
                  <w:marBottom w:val="0"/>
                  <w:divBdr>
                    <w:top w:val="none" w:sz="0" w:space="0" w:color="auto"/>
                    <w:left w:val="none" w:sz="0" w:space="0" w:color="auto"/>
                    <w:bottom w:val="none" w:sz="0" w:space="0" w:color="auto"/>
                    <w:right w:val="none" w:sz="0" w:space="0" w:color="auto"/>
                  </w:divBdr>
                </w:div>
                <w:div w:id="294148411">
                  <w:marLeft w:val="0"/>
                  <w:marRight w:val="0"/>
                  <w:marTop w:val="0"/>
                  <w:marBottom w:val="0"/>
                  <w:divBdr>
                    <w:top w:val="none" w:sz="0" w:space="0" w:color="auto"/>
                    <w:left w:val="none" w:sz="0" w:space="0" w:color="auto"/>
                    <w:bottom w:val="none" w:sz="0" w:space="0" w:color="auto"/>
                    <w:right w:val="none" w:sz="0" w:space="0" w:color="auto"/>
                  </w:divBdr>
                </w:div>
                <w:div w:id="294148471">
                  <w:marLeft w:val="0"/>
                  <w:marRight w:val="0"/>
                  <w:marTop w:val="0"/>
                  <w:marBottom w:val="0"/>
                  <w:divBdr>
                    <w:top w:val="none" w:sz="0" w:space="0" w:color="auto"/>
                    <w:left w:val="none" w:sz="0" w:space="0" w:color="auto"/>
                    <w:bottom w:val="none" w:sz="0" w:space="0" w:color="auto"/>
                    <w:right w:val="none" w:sz="0" w:space="0" w:color="auto"/>
                  </w:divBdr>
                </w:div>
                <w:div w:id="294148551">
                  <w:marLeft w:val="0"/>
                  <w:marRight w:val="0"/>
                  <w:marTop w:val="0"/>
                  <w:marBottom w:val="0"/>
                  <w:divBdr>
                    <w:top w:val="none" w:sz="0" w:space="0" w:color="auto"/>
                    <w:left w:val="none" w:sz="0" w:space="0" w:color="auto"/>
                    <w:bottom w:val="none" w:sz="0" w:space="0" w:color="auto"/>
                    <w:right w:val="none" w:sz="0" w:space="0" w:color="auto"/>
                  </w:divBdr>
                </w:div>
                <w:div w:id="294148631">
                  <w:marLeft w:val="0"/>
                  <w:marRight w:val="0"/>
                  <w:marTop w:val="0"/>
                  <w:marBottom w:val="0"/>
                  <w:divBdr>
                    <w:top w:val="none" w:sz="0" w:space="0" w:color="auto"/>
                    <w:left w:val="none" w:sz="0" w:space="0" w:color="auto"/>
                    <w:bottom w:val="none" w:sz="0" w:space="0" w:color="auto"/>
                    <w:right w:val="none" w:sz="0" w:space="0" w:color="auto"/>
                  </w:divBdr>
                </w:div>
                <w:div w:id="294149082">
                  <w:marLeft w:val="0"/>
                  <w:marRight w:val="0"/>
                  <w:marTop w:val="0"/>
                  <w:marBottom w:val="0"/>
                  <w:divBdr>
                    <w:top w:val="none" w:sz="0" w:space="0" w:color="auto"/>
                    <w:left w:val="none" w:sz="0" w:space="0" w:color="auto"/>
                    <w:bottom w:val="none" w:sz="0" w:space="0" w:color="auto"/>
                    <w:right w:val="none" w:sz="0" w:space="0" w:color="auto"/>
                  </w:divBdr>
                </w:div>
                <w:div w:id="294149090">
                  <w:marLeft w:val="0"/>
                  <w:marRight w:val="0"/>
                  <w:marTop w:val="0"/>
                  <w:marBottom w:val="0"/>
                  <w:divBdr>
                    <w:top w:val="none" w:sz="0" w:space="0" w:color="auto"/>
                    <w:left w:val="none" w:sz="0" w:space="0" w:color="auto"/>
                    <w:bottom w:val="none" w:sz="0" w:space="0" w:color="auto"/>
                    <w:right w:val="none" w:sz="0" w:space="0" w:color="auto"/>
                  </w:divBdr>
                </w:div>
                <w:div w:id="294149324">
                  <w:marLeft w:val="0"/>
                  <w:marRight w:val="0"/>
                  <w:marTop w:val="0"/>
                  <w:marBottom w:val="0"/>
                  <w:divBdr>
                    <w:top w:val="none" w:sz="0" w:space="0" w:color="auto"/>
                    <w:left w:val="none" w:sz="0" w:space="0" w:color="auto"/>
                    <w:bottom w:val="none" w:sz="0" w:space="0" w:color="auto"/>
                    <w:right w:val="none" w:sz="0" w:space="0" w:color="auto"/>
                  </w:divBdr>
                </w:div>
                <w:div w:id="294149570">
                  <w:marLeft w:val="0"/>
                  <w:marRight w:val="0"/>
                  <w:marTop w:val="0"/>
                  <w:marBottom w:val="0"/>
                  <w:divBdr>
                    <w:top w:val="none" w:sz="0" w:space="0" w:color="auto"/>
                    <w:left w:val="none" w:sz="0" w:space="0" w:color="auto"/>
                    <w:bottom w:val="none" w:sz="0" w:space="0" w:color="auto"/>
                    <w:right w:val="none" w:sz="0" w:space="0" w:color="auto"/>
                  </w:divBdr>
                </w:div>
                <w:div w:id="294149805">
                  <w:marLeft w:val="0"/>
                  <w:marRight w:val="0"/>
                  <w:marTop w:val="0"/>
                  <w:marBottom w:val="0"/>
                  <w:divBdr>
                    <w:top w:val="none" w:sz="0" w:space="0" w:color="auto"/>
                    <w:left w:val="none" w:sz="0" w:space="0" w:color="auto"/>
                    <w:bottom w:val="none" w:sz="0" w:space="0" w:color="auto"/>
                    <w:right w:val="none" w:sz="0" w:space="0" w:color="auto"/>
                  </w:divBdr>
                </w:div>
                <w:div w:id="294149882">
                  <w:marLeft w:val="0"/>
                  <w:marRight w:val="0"/>
                  <w:marTop w:val="0"/>
                  <w:marBottom w:val="0"/>
                  <w:divBdr>
                    <w:top w:val="none" w:sz="0" w:space="0" w:color="auto"/>
                    <w:left w:val="none" w:sz="0" w:space="0" w:color="auto"/>
                    <w:bottom w:val="none" w:sz="0" w:space="0" w:color="auto"/>
                    <w:right w:val="none" w:sz="0" w:space="0" w:color="auto"/>
                  </w:divBdr>
                </w:div>
                <w:div w:id="294149932">
                  <w:marLeft w:val="0"/>
                  <w:marRight w:val="0"/>
                  <w:marTop w:val="0"/>
                  <w:marBottom w:val="0"/>
                  <w:divBdr>
                    <w:top w:val="none" w:sz="0" w:space="0" w:color="auto"/>
                    <w:left w:val="none" w:sz="0" w:space="0" w:color="auto"/>
                    <w:bottom w:val="none" w:sz="0" w:space="0" w:color="auto"/>
                    <w:right w:val="none" w:sz="0" w:space="0" w:color="auto"/>
                  </w:divBdr>
                </w:div>
                <w:div w:id="294150204">
                  <w:marLeft w:val="0"/>
                  <w:marRight w:val="0"/>
                  <w:marTop w:val="0"/>
                  <w:marBottom w:val="0"/>
                  <w:divBdr>
                    <w:top w:val="none" w:sz="0" w:space="0" w:color="auto"/>
                    <w:left w:val="none" w:sz="0" w:space="0" w:color="auto"/>
                    <w:bottom w:val="none" w:sz="0" w:space="0" w:color="auto"/>
                    <w:right w:val="none" w:sz="0" w:space="0" w:color="auto"/>
                  </w:divBdr>
                </w:div>
                <w:div w:id="294150221">
                  <w:marLeft w:val="0"/>
                  <w:marRight w:val="0"/>
                  <w:marTop w:val="0"/>
                  <w:marBottom w:val="0"/>
                  <w:divBdr>
                    <w:top w:val="none" w:sz="0" w:space="0" w:color="auto"/>
                    <w:left w:val="none" w:sz="0" w:space="0" w:color="auto"/>
                    <w:bottom w:val="none" w:sz="0" w:space="0" w:color="auto"/>
                    <w:right w:val="none" w:sz="0" w:space="0" w:color="auto"/>
                  </w:divBdr>
                </w:div>
                <w:div w:id="294150277">
                  <w:marLeft w:val="0"/>
                  <w:marRight w:val="0"/>
                  <w:marTop w:val="0"/>
                  <w:marBottom w:val="0"/>
                  <w:divBdr>
                    <w:top w:val="none" w:sz="0" w:space="0" w:color="auto"/>
                    <w:left w:val="none" w:sz="0" w:space="0" w:color="auto"/>
                    <w:bottom w:val="none" w:sz="0" w:space="0" w:color="auto"/>
                    <w:right w:val="none" w:sz="0" w:space="0" w:color="auto"/>
                  </w:divBdr>
                </w:div>
                <w:div w:id="294150455">
                  <w:marLeft w:val="0"/>
                  <w:marRight w:val="0"/>
                  <w:marTop w:val="0"/>
                  <w:marBottom w:val="0"/>
                  <w:divBdr>
                    <w:top w:val="none" w:sz="0" w:space="0" w:color="auto"/>
                    <w:left w:val="none" w:sz="0" w:space="0" w:color="auto"/>
                    <w:bottom w:val="none" w:sz="0" w:space="0" w:color="auto"/>
                    <w:right w:val="none" w:sz="0" w:space="0" w:color="auto"/>
                  </w:divBdr>
                </w:div>
                <w:div w:id="294150493">
                  <w:marLeft w:val="0"/>
                  <w:marRight w:val="0"/>
                  <w:marTop w:val="0"/>
                  <w:marBottom w:val="0"/>
                  <w:divBdr>
                    <w:top w:val="none" w:sz="0" w:space="0" w:color="auto"/>
                    <w:left w:val="none" w:sz="0" w:space="0" w:color="auto"/>
                    <w:bottom w:val="none" w:sz="0" w:space="0" w:color="auto"/>
                    <w:right w:val="none" w:sz="0" w:space="0" w:color="auto"/>
                  </w:divBdr>
                </w:div>
                <w:div w:id="294150862">
                  <w:marLeft w:val="0"/>
                  <w:marRight w:val="0"/>
                  <w:marTop w:val="0"/>
                  <w:marBottom w:val="0"/>
                  <w:divBdr>
                    <w:top w:val="none" w:sz="0" w:space="0" w:color="auto"/>
                    <w:left w:val="none" w:sz="0" w:space="0" w:color="auto"/>
                    <w:bottom w:val="none" w:sz="0" w:space="0" w:color="auto"/>
                    <w:right w:val="none" w:sz="0" w:space="0" w:color="auto"/>
                  </w:divBdr>
                </w:div>
                <w:div w:id="294151037">
                  <w:marLeft w:val="0"/>
                  <w:marRight w:val="0"/>
                  <w:marTop w:val="0"/>
                  <w:marBottom w:val="0"/>
                  <w:divBdr>
                    <w:top w:val="none" w:sz="0" w:space="0" w:color="auto"/>
                    <w:left w:val="none" w:sz="0" w:space="0" w:color="auto"/>
                    <w:bottom w:val="none" w:sz="0" w:space="0" w:color="auto"/>
                    <w:right w:val="none" w:sz="0" w:space="0" w:color="auto"/>
                  </w:divBdr>
                </w:div>
                <w:div w:id="294151294">
                  <w:marLeft w:val="0"/>
                  <w:marRight w:val="0"/>
                  <w:marTop w:val="0"/>
                  <w:marBottom w:val="0"/>
                  <w:divBdr>
                    <w:top w:val="none" w:sz="0" w:space="0" w:color="auto"/>
                    <w:left w:val="none" w:sz="0" w:space="0" w:color="auto"/>
                    <w:bottom w:val="none" w:sz="0" w:space="0" w:color="auto"/>
                    <w:right w:val="none" w:sz="0" w:space="0" w:color="auto"/>
                  </w:divBdr>
                </w:div>
                <w:div w:id="294151824">
                  <w:marLeft w:val="0"/>
                  <w:marRight w:val="0"/>
                  <w:marTop w:val="0"/>
                  <w:marBottom w:val="0"/>
                  <w:divBdr>
                    <w:top w:val="none" w:sz="0" w:space="0" w:color="auto"/>
                    <w:left w:val="none" w:sz="0" w:space="0" w:color="auto"/>
                    <w:bottom w:val="none" w:sz="0" w:space="0" w:color="auto"/>
                    <w:right w:val="none" w:sz="0" w:space="0" w:color="auto"/>
                  </w:divBdr>
                </w:div>
                <w:div w:id="294151851">
                  <w:marLeft w:val="0"/>
                  <w:marRight w:val="0"/>
                  <w:marTop w:val="0"/>
                  <w:marBottom w:val="0"/>
                  <w:divBdr>
                    <w:top w:val="none" w:sz="0" w:space="0" w:color="auto"/>
                    <w:left w:val="none" w:sz="0" w:space="0" w:color="auto"/>
                    <w:bottom w:val="none" w:sz="0" w:space="0" w:color="auto"/>
                    <w:right w:val="none" w:sz="0" w:space="0" w:color="auto"/>
                  </w:divBdr>
                </w:div>
                <w:div w:id="294151939">
                  <w:marLeft w:val="0"/>
                  <w:marRight w:val="0"/>
                  <w:marTop w:val="0"/>
                  <w:marBottom w:val="0"/>
                  <w:divBdr>
                    <w:top w:val="none" w:sz="0" w:space="0" w:color="auto"/>
                    <w:left w:val="none" w:sz="0" w:space="0" w:color="auto"/>
                    <w:bottom w:val="none" w:sz="0" w:space="0" w:color="auto"/>
                    <w:right w:val="none" w:sz="0" w:space="0" w:color="auto"/>
                  </w:divBdr>
                </w:div>
                <w:div w:id="294152146">
                  <w:marLeft w:val="0"/>
                  <w:marRight w:val="0"/>
                  <w:marTop w:val="0"/>
                  <w:marBottom w:val="0"/>
                  <w:divBdr>
                    <w:top w:val="none" w:sz="0" w:space="0" w:color="auto"/>
                    <w:left w:val="none" w:sz="0" w:space="0" w:color="auto"/>
                    <w:bottom w:val="none" w:sz="0" w:space="0" w:color="auto"/>
                    <w:right w:val="none" w:sz="0" w:space="0" w:color="auto"/>
                  </w:divBdr>
                </w:div>
                <w:div w:id="294152333">
                  <w:marLeft w:val="0"/>
                  <w:marRight w:val="0"/>
                  <w:marTop w:val="0"/>
                  <w:marBottom w:val="0"/>
                  <w:divBdr>
                    <w:top w:val="none" w:sz="0" w:space="0" w:color="auto"/>
                    <w:left w:val="none" w:sz="0" w:space="0" w:color="auto"/>
                    <w:bottom w:val="none" w:sz="0" w:space="0" w:color="auto"/>
                    <w:right w:val="none" w:sz="0" w:space="0" w:color="auto"/>
                  </w:divBdr>
                </w:div>
                <w:div w:id="294152919">
                  <w:marLeft w:val="0"/>
                  <w:marRight w:val="0"/>
                  <w:marTop w:val="0"/>
                  <w:marBottom w:val="0"/>
                  <w:divBdr>
                    <w:top w:val="none" w:sz="0" w:space="0" w:color="auto"/>
                    <w:left w:val="none" w:sz="0" w:space="0" w:color="auto"/>
                    <w:bottom w:val="none" w:sz="0" w:space="0" w:color="auto"/>
                    <w:right w:val="none" w:sz="0" w:space="0" w:color="auto"/>
                  </w:divBdr>
                </w:div>
                <w:div w:id="294152954">
                  <w:marLeft w:val="0"/>
                  <w:marRight w:val="0"/>
                  <w:marTop w:val="0"/>
                  <w:marBottom w:val="0"/>
                  <w:divBdr>
                    <w:top w:val="none" w:sz="0" w:space="0" w:color="auto"/>
                    <w:left w:val="none" w:sz="0" w:space="0" w:color="auto"/>
                    <w:bottom w:val="none" w:sz="0" w:space="0" w:color="auto"/>
                    <w:right w:val="none" w:sz="0" w:space="0" w:color="auto"/>
                  </w:divBdr>
                </w:div>
                <w:div w:id="294153048">
                  <w:marLeft w:val="0"/>
                  <w:marRight w:val="0"/>
                  <w:marTop w:val="0"/>
                  <w:marBottom w:val="0"/>
                  <w:divBdr>
                    <w:top w:val="none" w:sz="0" w:space="0" w:color="auto"/>
                    <w:left w:val="none" w:sz="0" w:space="0" w:color="auto"/>
                    <w:bottom w:val="none" w:sz="0" w:space="0" w:color="auto"/>
                    <w:right w:val="none" w:sz="0" w:space="0" w:color="auto"/>
                  </w:divBdr>
                </w:div>
                <w:div w:id="294153144">
                  <w:marLeft w:val="0"/>
                  <w:marRight w:val="0"/>
                  <w:marTop w:val="0"/>
                  <w:marBottom w:val="0"/>
                  <w:divBdr>
                    <w:top w:val="none" w:sz="0" w:space="0" w:color="auto"/>
                    <w:left w:val="none" w:sz="0" w:space="0" w:color="auto"/>
                    <w:bottom w:val="none" w:sz="0" w:space="0" w:color="auto"/>
                    <w:right w:val="none" w:sz="0" w:space="0" w:color="auto"/>
                  </w:divBdr>
                </w:div>
                <w:div w:id="294153171">
                  <w:marLeft w:val="0"/>
                  <w:marRight w:val="0"/>
                  <w:marTop w:val="0"/>
                  <w:marBottom w:val="0"/>
                  <w:divBdr>
                    <w:top w:val="none" w:sz="0" w:space="0" w:color="auto"/>
                    <w:left w:val="none" w:sz="0" w:space="0" w:color="auto"/>
                    <w:bottom w:val="none" w:sz="0" w:space="0" w:color="auto"/>
                    <w:right w:val="none" w:sz="0" w:space="0" w:color="auto"/>
                  </w:divBdr>
                </w:div>
                <w:div w:id="294153324">
                  <w:marLeft w:val="0"/>
                  <w:marRight w:val="0"/>
                  <w:marTop w:val="0"/>
                  <w:marBottom w:val="0"/>
                  <w:divBdr>
                    <w:top w:val="none" w:sz="0" w:space="0" w:color="auto"/>
                    <w:left w:val="none" w:sz="0" w:space="0" w:color="auto"/>
                    <w:bottom w:val="none" w:sz="0" w:space="0" w:color="auto"/>
                    <w:right w:val="none" w:sz="0" w:space="0" w:color="auto"/>
                  </w:divBdr>
                </w:div>
                <w:div w:id="294153348">
                  <w:marLeft w:val="0"/>
                  <w:marRight w:val="0"/>
                  <w:marTop w:val="0"/>
                  <w:marBottom w:val="0"/>
                  <w:divBdr>
                    <w:top w:val="none" w:sz="0" w:space="0" w:color="auto"/>
                    <w:left w:val="none" w:sz="0" w:space="0" w:color="auto"/>
                    <w:bottom w:val="none" w:sz="0" w:space="0" w:color="auto"/>
                    <w:right w:val="none" w:sz="0" w:space="0" w:color="auto"/>
                  </w:divBdr>
                </w:div>
                <w:div w:id="294153461">
                  <w:marLeft w:val="0"/>
                  <w:marRight w:val="0"/>
                  <w:marTop w:val="0"/>
                  <w:marBottom w:val="0"/>
                  <w:divBdr>
                    <w:top w:val="none" w:sz="0" w:space="0" w:color="auto"/>
                    <w:left w:val="none" w:sz="0" w:space="0" w:color="auto"/>
                    <w:bottom w:val="none" w:sz="0" w:space="0" w:color="auto"/>
                    <w:right w:val="none" w:sz="0" w:space="0" w:color="auto"/>
                  </w:divBdr>
                </w:div>
                <w:div w:id="294153711">
                  <w:marLeft w:val="0"/>
                  <w:marRight w:val="0"/>
                  <w:marTop w:val="0"/>
                  <w:marBottom w:val="0"/>
                  <w:divBdr>
                    <w:top w:val="none" w:sz="0" w:space="0" w:color="auto"/>
                    <w:left w:val="none" w:sz="0" w:space="0" w:color="auto"/>
                    <w:bottom w:val="none" w:sz="0" w:space="0" w:color="auto"/>
                    <w:right w:val="none" w:sz="0" w:space="0" w:color="auto"/>
                  </w:divBdr>
                </w:div>
                <w:div w:id="294153917">
                  <w:marLeft w:val="0"/>
                  <w:marRight w:val="0"/>
                  <w:marTop w:val="0"/>
                  <w:marBottom w:val="0"/>
                  <w:divBdr>
                    <w:top w:val="none" w:sz="0" w:space="0" w:color="auto"/>
                    <w:left w:val="none" w:sz="0" w:space="0" w:color="auto"/>
                    <w:bottom w:val="none" w:sz="0" w:space="0" w:color="auto"/>
                    <w:right w:val="none" w:sz="0" w:space="0" w:color="auto"/>
                  </w:divBdr>
                </w:div>
                <w:div w:id="294154291">
                  <w:marLeft w:val="0"/>
                  <w:marRight w:val="0"/>
                  <w:marTop w:val="0"/>
                  <w:marBottom w:val="0"/>
                  <w:divBdr>
                    <w:top w:val="none" w:sz="0" w:space="0" w:color="auto"/>
                    <w:left w:val="none" w:sz="0" w:space="0" w:color="auto"/>
                    <w:bottom w:val="none" w:sz="0" w:space="0" w:color="auto"/>
                    <w:right w:val="none" w:sz="0" w:space="0" w:color="auto"/>
                  </w:divBdr>
                </w:div>
                <w:div w:id="294154362">
                  <w:marLeft w:val="0"/>
                  <w:marRight w:val="0"/>
                  <w:marTop w:val="0"/>
                  <w:marBottom w:val="0"/>
                  <w:divBdr>
                    <w:top w:val="none" w:sz="0" w:space="0" w:color="auto"/>
                    <w:left w:val="none" w:sz="0" w:space="0" w:color="auto"/>
                    <w:bottom w:val="none" w:sz="0" w:space="0" w:color="auto"/>
                    <w:right w:val="none" w:sz="0" w:space="0" w:color="auto"/>
                  </w:divBdr>
                </w:div>
                <w:div w:id="294154393">
                  <w:marLeft w:val="0"/>
                  <w:marRight w:val="0"/>
                  <w:marTop w:val="0"/>
                  <w:marBottom w:val="0"/>
                  <w:divBdr>
                    <w:top w:val="none" w:sz="0" w:space="0" w:color="auto"/>
                    <w:left w:val="none" w:sz="0" w:space="0" w:color="auto"/>
                    <w:bottom w:val="none" w:sz="0" w:space="0" w:color="auto"/>
                    <w:right w:val="none" w:sz="0" w:space="0" w:color="auto"/>
                  </w:divBdr>
                </w:div>
                <w:div w:id="294154788">
                  <w:marLeft w:val="0"/>
                  <w:marRight w:val="0"/>
                  <w:marTop w:val="0"/>
                  <w:marBottom w:val="0"/>
                  <w:divBdr>
                    <w:top w:val="none" w:sz="0" w:space="0" w:color="auto"/>
                    <w:left w:val="none" w:sz="0" w:space="0" w:color="auto"/>
                    <w:bottom w:val="none" w:sz="0" w:space="0" w:color="auto"/>
                    <w:right w:val="none" w:sz="0" w:space="0" w:color="auto"/>
                  </w:divBdr>
                </w:div>
                <w:div w:id="294154861">
                  <w:marLeft w:val="0"/>
                  <w:marRight w:val="0"/>
                  <w:marTop w:val="0"/>
                  <w:marBottom w:val="0"/>
                  <w:divBdr>
                    <w:top w:val="none" w:sz="0" w:space="0" w:color="auto"/>
                    <w:left w:val="none" w:sz="0" w:space="0" w:color="auto"/>
                    <w:bottom w:val="none" w:sz="0" w:space="0" w:color="auto"/>
                    <w:right w:val="none" w:sz="0" w:space="0" w:color="auto"/>
                  </w:divBdr>
                </w:div>
                <w:div w:id="294154914">
                  <w:marLeft w:val="0"/>
                  <w:marRight w:val="0"/>
                  <w:marTop w:val="0"/>
                  <w:marBottom w:val="0"/>
                  <w:divBdr>
                    <w:top w:val="none" w:sz="0" w:space="0" w:color="auto"/>
                    <w:left w:val="none" w:sz="0" w:space="0" w:color="auto"/>
                    <w:bottom w:val="none" w:sz="0" w:space="0" w:color="auto"/>
                    <w:right w:val="none" w:sz="0" w:space="0" w:color="auto"/>
                  </w:divBdr>
                </w:div>
                <w:div w:id="294154969">
                  <w:marLeft w:val="0"/>
                  <w:marRight w:val="0"/>
                  <w:marTop w:val="0"/>
                  <w:marBottom w:val="0"/>
                  <w:divBdr>
                    <w:top w:val="none" w:sz="0" w:space="0" w:color="auto"/>
                    <w:left w:val="none" w:sz="0" w:space="0" w:color="auto"/>
                    <w:bottom w:val="none" w:sz="0" w:space="0" w:color="auto"/>
                    <w:right w:val="none" w:sz="0" w:space="0" w:color="auto"/>
                  </w:divBdr>
                </w:div>
                <w:div w:id="294155095">
                  <w:marLeft w:val="0"/>
                  <w:marRight w:val="0"/>
                  <w:marTop w:val="0"/>
                  <w:marBottom w:val="0"/>
                  <w:divBdr>
                    <w:top w:val="none" w:sz="0" w:space="0" w:color="auto"/>
                    <w:left w:val="none" w:sz="0" w:space="0" w:color="auto"/>
                    <w:bottom w:val="none" w:sz="0" w:space="0" w:color="auto"/>
                    <w:right w:val="none" w:sz="0" w:space="0" w:color="auto"/>
                  </w:divBdr>
                </w:div>
                <w:div w:id="294155216">
                  <w:marLeft w:val="0"/>
                  <w:marRight w:val="0"/>
                  <w:marTop w:val="0"/>
                  <w:marBottom w:val="0"/>
                  <w:divBdr>
                    <w:top w:val="none" w:sz="0" w:space="0" w:color="auto"/>
                    <w:left w:val="none" w:sz="0" w:space="0" w:color="auto"/>
                    <w:bottom w:val="none" w:sz="0" w:space="0" w:color="auto"/>
                    <w:right w:val="none" w:sz="0" w:space="0" w:color="auto"/>
                  </w:divBdr>
                </w:div>
                <w:div w:id="294155291">
                  <w:marLeft w:val="0"/>
                  <w:marRight w:val="0"/>
                  <w:marTop w:val="0"/>
                  <w:marBottom w:val="0"/>
                  <w:divBdr>
                    <w:top w:val="none" w:sz="0" w:space="0" w:color="auto"/>
                    <w:left w:val="none" w:sz="0" w:space="0" w:color="auto"/>
                    <w:bottom w:val="none" w:sz="0" w:space="0" w:color="auto"/>
                    <w:right w:val="none" w:sz="0" w:space="0" w:color="auto"/>
                  </w:divBdr>
                </w:div>
                <w:div w:id="294155441">
                  <w:marLeft w:val="0"/>
                  <w:marRight w:val="0"/>
                  <w:marTop w:val="0"/>
                  <w:marBottom w:val="0"/>
                  <w:divBdr>
                    <w:top w:val="none" w:sz="0" w:space="0" w:color="auto"/>
                    <w:left w:val="none" w:sz="0" w:space="0" w:color="auto"/>
                    <w:bottom w:val="none" w:sz="0" w:space="0" w:color="auto"/>
                    <w:right w:val="none" w:sz="0" w:space="0" w:color="auto"/>
                  </w:divBdr>
                </w:div>
                <w:div w:id="294155484">
                  <w:marLeft w:val="0"/>
                  <w:marRight w:val="0"/>
                  <w:marTop w:val="0"/>
                  <w:marBottom w:val="0"/>
                  <w:divBdr>
                    <w:top w:val="none" w:sz="0" w:space="0" w:color="auto"/>
                    <w:left w:val="none" w:sz="0" w:space="0" w:color="auto"/>
                    <w:bottom w:val="none" w:sz="0" w:space="0" w:color="auto"/>
                    <w:right w:val="none" w:sz="0" w:space="0" w:color="auto"/>
                  </w:divBdr>
                </w:div>
                <w:div w:id="294155573">
                  <w:marLeft w:val="0"/>
                  <w:marRight w:val="0"/>
                  <w:marTop w:val="0"/>
                  <w:marBottom w:val="0"/>
                  <w:divBdr>
                    <w:top w:val="none" w:sz="0" w:space="0" w:color="auto"/>
                    <w:left w:val="none" w:sz="0" w:space="0" w:color="auto"/>
                    <w:bottom w:val="none" w:sz="0" w:space="0" w:color="auto"/>
                    <w:right w:val="none" w:sz="0" w:space="0" w:color="auto"/>
                  </w:divBdr>
                </w:div>
                <w:div w:id="294155660">
                  <w:marLeft w:val="0"/>
                  <w:marRight w:val="0"/>
                  <w:marTop w:val="0"/>
                  <w:marBottom w:val="0"/>
                  <w:divBdr>
                    <w:top w:val="none" w:sz="0" w:space="0" w:color="auto"/>
                    <w:left w:val="none" w:sz="0" w:space="0" w:color="auto"/>
                    <w:bottom w:val="none" w:sz="0" w:space="0" w:color="auto"/>
                    <w:right w:val="none" w:sz="0" w:space="0" w:color="auto"/>
                  </w:divBdr>
                </w:div>
                <w:div w:id="294155751">
                  <w:marLeft w:val="0"/>
                  <w:marRight w:val="0"/>
                  <w:marTop w:val="0"/>
                  <w:marBottom w:val="0"/>
                  <w:divBdr>
                    <w:top w:val="none" w:sz="0" w:space="0" w:color="auto"/>
                    <w:left w:val="none" w:sz="0" w:space="0" w:color="auto"/>
                    <w:bottom w:val="none" w:sz="0" w:space="0" w:color="auto"/>
                    <w:right w:val="none" w:sz="0" w:space="0" w:color="auto"/>
                  </w:divBdr>
                </w:div>
                <w:div w:id="294156016">
                  <w:marLeft w:val="0"/>
                  <w:marRight w:val="0"/>
                  <w:marTop w:val="0"/>
                  <w:marBottom w:val="0"/>
                  <w:divBdr>
                    <w:top w:val="none" w:sz="0" w:space="0" w:color="auto"/>
                    <w:left w:val="none" w:sz="0" w:space="0" w:color="auto"/>
                    <w:bottom w:val="none" w:sz="0" w:space="0" w:color="auto"/>
                    <w:right w:val="none" w:sz="0" w:space="0" w:color="auto"/>
                  </w:divBdr>
                </w:div>
                <w:div w:id="294156164">
                  <w:marLeft w:val="0"/>
                  <w:marRight w:val="0"/>
                  <w:marTop w:val="0"/>
                  <w:marBottom w:val="0"/>
                  <w:divBdr>
                    <w:top w:val="none" w:sz="0" w:space="0" w:color="auto"/>
                    <w:left w:val="none" w:sz="0" w:space="0" w:color="auto"/>
                    <w:bottom w:val="none" w:sz="0" w:space="0" w:color="auto"/>
                    <w:right w:val="none" w:sz="0" w:space="0" w:color="auto"/>
                  </w:divBdr>
                </w:div>
                <w:div w:id="294156197">
                  <w:marLeft w:val="0"/>
                  <w:marRight w:val="0"/>
                  <w:marTop w:val="0"/>
                  <w:marBottom w:val="0"/>
                  <w:divBdr>
                    <w:top w:val="none" w:sz="0" w:space="0" w:color="auto"/>
                    <w:left w:val="none" w:sz="0" w:space="0" w:color="auto"/>
                    <w:bottom w:val="none" w:sz="0" w:space="0" w:color="auto"/>
                    <w:right w:val="none" w:sz="0" w:space="0" w:color="auto"/>
                  </w:divBdr>
                </w:div>
                <w:div w:id="294156281">
                  <w:marLeft w:val="0"/>
                  <w:marRight w:val="0"/>
                  <w:marTop w:val="0"/>
                  <w:marBottom w:val="0"/>
                  <w:divBdr>
                    <w:top w:val="none" w:sz="0" w:space="0" w:color="auto"/>
                    <w:left w:val="none" w:sz="0" w:space="0" w:color="auto"/>
                    <w:bottom w:val="none" w:sz="0" w:space="0" w:color="auto"/>
                    <w:right w:val="none" w:sz="0" w:space="0" w:color="auto"/>
                  </w:divBdr>
                </w:div>
                <w:div w:id="294156291">
                  <w:marLeft w:val="0"/>
                  <w:marRight w:val="0"/>
                  <w:marTop w:val="0"/>
                  <w:marBottom w:val="0"/>
                  <w:divBdr>
                    <w:top w:val="none" w:sz="0" w:space="0" w:color="auto"/>
                    <w:left w:val="none" w:sz="0" w:space="0" w:color="auto"/>
                    <w:bottom w:val="none" w:sz="0" w:space="0" w:color="auto"/>
                    <w:right w:val="none" w:sz="0" w:space="0" w:color="auto"/>
                  </w:divBdr>
                </w:div>
                <w:div w:id="294156604">
                  <w:marLeft w:val="0"/>
                  <w:marRight w:val="0"/>
                  <w:marTop w:val="0"/>
                  <w:marBottom w:val="0"/>
                  <w:divBdr>
                    <w:top w:val="none" w:sz="0" w:space="0" w:color="auto"/>
                    <w:left w:val="none" w:sz="0" w:space="0" w:color="auto"/>
                    <w:bottom w:val="none" w:sz="0" w:space="0" w:color="auto"/>
                    <w:right w:val="none" w:sz="0" w:space="0" w:color="auto"/>
                  </w:divBdr>
                </w:div>
                <w:div w:id="294156670">
                  <w:marLeft w:val="0"/>
                  <w:marRight w:val="0"/>
                  <w:marTop w:val="0"/>
                  <w:marBottom w:val="0"/>
                  <w:divBdr>
                    <w:top w:val="none" w:sz="0" w:space="0" w:color="auto"/>
                    <w:left w:val="none" w:sz="0" w:space="0" w:color="auto"/>
                    <w:bottom w:val="none" w:sz="0" w:space="0" w:color="auto"/>
                    <w:right w:val="none" w:sz="0" w:space="0" w:color="auto"/>
                  </w:divBdr>
                </w:div>
                <w:div w:id="294156870">
                  <w:marLeft w:val="0"/>
                  <w:marRight w:val="0"/>
                  <w:marTop w:val="0"/>
                  <w:marBottom w:val="0"/>
                  <w:divBdr>
                    <w:top w:val="none" w:sz="0" w:space="0" w:color="auto"/>
                    <w:left w:val="none" w:sz="0" w:space="0" w:color="auto"/>
                    <w:bottom w:val="none" w:sz="0" w:space="0" w:color="auto"/>
                    <w:right w:val="none" w:sz="0" w:space="0" w:color="auto"/>
                  </w:divBdr>
                </w:div>
                <w:div w:id="294156872">
                  <w:marLeft w:val="0"/>
                  <w:marRight w:val="0"/>
                  <w:marTop w:val="0"/>
                  <w:marBottom w:val="0"/>
                  <w:divBdr>
                    <w:top w:val="none" w:sz="0" w:space="0" w:color="auto"/>
                    <w:left w:val="none" w:sz="0" w:space="0" w:color="auto"/>
                    <w:bottom w:val="none" w:sz="0" w:space="0" w:color="auto"/>
                    <w:right w:val="none" w:sz="0" w:space="0" w:color="auto"/>
                  </w:divBdr>
                </w:div>
                <w:div w:id="294156989">
                  <w:marLeft w:val="0"/>
                  <w:marRight w:val="0"/>
                  <w:marTop w:val="0"/>
                  <w:marBottom w:val="0"/>
                  <w:divBdr>
                    <w:top w:val="none" w:sz="0" w:space="0" w:color="auto"/>
                    <w:left w:val="none" w:sz="0" w:space="0" w:color="auto"/>
                    <w:bottom w:val="none" w:sz="0" w:space="0" w:color="auto"/>
                    <w:right w:val="none" w:sz="0" w:space="0" w:color="auto"/>
                  </w:divBdr>
                </w:div>
                <w:div w:id="294157050">
                  <w:marLeft w:val="0"/>
                  <w:marRight w:val="0"/>
                  <w:marTop w:val="0"/>
                  <w:marBottom w:val="0"/>
                  <w:divBdr>
                    <w:top w:val="none" w:sz="0" w:space="0" w:color="auto"/>
                    <w:left w:val="none" w:sz="0" w:space="0" w:color="auto"/>
                    <w:bottom w:val="none" w:sz="0" w:space="0" w:color="auto"/>
                    <w:right w:val="none" w:sz="0" w:space="0" w:color="auto"/>
                  </w:divBdr>
                </w:div>
                <w:div w:id="2941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4078">
          <w:marLeft w:val="0"/>
          <w:marRight w:val="0"/>
          <w:marTop w:val="0"/>
          <w:marBottom w:val="0"/>
          <w:divBdr>
            <w:top w:val="none" w:sz="0" w:space="0" w:color="auto"/>
            <w:left w:val="none" w:sz="0" w:space="0" w:color="auto"/>
            <w:bottom w:val="none" w:sz="0" w:space="0" w:color="auto"/>
            <w:right w:val="none" w:sz="0" w:space="0" w:color="auto"/>
          </w:divBdr>
          <w:divsChild>
            <w:div w:id="294153176">
              <w:marLeft w:val="0"/>
              <w:marRight w:val="0"/>
              <w:marTop w:val="0"/>
              <w:marBottom w:val="0"/>
              <w:divBdr>
                <w:top w:val="none" w:sz="0" w:space="0" w:color="auto"/>
                <w:left w:val="none" w:sz="0" w:space="0" w:color="auto"/>
                <w:bottom w:val="none" w:sz="0" w:space="0" w:color="auto"/>
                <w:right w:val="none" w:sz="0" w:space="0" w:color="auto"/>
              </w:divBdr>
              <w:divsChild>
                <w:div w:id="294149114">
                  <w:marLeft w:val="0"/>
                  <w:marRight w:val="0"/>
                  <w:marTop w:val="0"/>
                  <w:marBottom w:val="0"/>
                  <w:divBdr>
                    <w:top w:val="none" w:sz="0" w:space="0" w:color="auto"/>
                    <w:left w:val="none" w:sz="0" w:space="0" w:color="auto"/>
                    <w:bottom w:val="none" w:sz="0" w:space="0" w:color="auto"/>
                    <w:right w:val="none" w:sz="0" w:space="0" w:color="auto"/>
                  </w:divBdr>
                  <w:divsChild>
                    <w:div w:id="294138189">
                      <w:marLeft w:val="0"/>
                      <w:marRight w:val="0"/>
                      <w:marTop w:val="0"/>
                      <w:marBottom w:val="0"/>
                      <w:divBdr>
                        <w:top w:val="none" w:sz="0" w:space="0" w:color="auto"/>
                        <w:left w:val="none" w:sz="0" w:space="0" w:color="auto"/>
                        <w:bottom w:val="none" w:sz="0" w:space="0" w:color="auto"/>
                        <w:right w:val="none" w:sz="0" w:space="0" w:color="auto"/>
                      </w:divBdr>
                    </w:div>
                    <w:div w:id="294138212">
                      <w:marLeft w:val="0"/>
                      <w:marRight w:val="0"/>
                      <w:marTop w:val="0"/>
                      <w:marBottom w:val="0"/>
                      <w:divBdr>
                        <w:top w:val="none" w:sz="0" w:space="0" w:color="auto"/>
                        <w:left w:val="none" w:sz="0" w:space="0" w:color="auto"/>
                        <w:bottom w:val="none" w:sz="0" w:space="0" w:color="auto"/>
                        <w:right w:val="none" w:sz="0" w:space="0" w:color="auto"/>
                      </w:divBdr>
                      <w:divsChild>
                        <w:div w:id="294142374">
                          <w:marLeft w:val="0"/>
                          <w:marRight w:val="0"/>
                          <w:marTop w:val="0"/>
                          <w:marBottom w:val="0"/>
                          <w:divBdr>
                            <w:top w:val="none" w:sz="0" w:space="0" w:color="auto"/>
                            <w:left w:val="none" w:sz="0" w:space="0" w:color="auto"/>
                            <w:bottom w:val="none" w:sz="0" w:space="0" w:color="auto"/>
                            <w:right w:val="none" w:sz="0" w:space="0" w:color="auto"/>
                          </w:divBdr>
                        </w:div>
                      </w:divsChild>
                    </w:div>
                    <w:div w:id="294138623">
                      <w:marLeft w:val="0"/>
                      <w:marRight w:val="0"/>
                      <w:marTop w:val="0"/>
                      <w:marBottom w:val="0"/>
                      <w:divBdr>
                        <w:top w:val="none" w:sz="0" w:space="0" w:color="auto"/>
                        <w:left w:val="none" w:sz="0" w:space="0" w:color="auto"/>
                        <w:bottom w:val="none" w:sz="0" w:space="0" w:color="auto"/>
                        <w:right w:val="none" w:sz="0" w:space="0" w:color="auto"/>
                      </w:divBdr>
                    </w:div>
                    <w:div w:id="294138691">
                      <w:marLeft w:val="0"/>
                      <w:marRight w:val="0"/>
                      <w:marTop w:val="0"/>
                      <w:marBottom w:val="0"/>
                      <w:divBdr>
                        <w:top w:val="none" w:sz="0" w:space="0" w:color="auto"/>
                        <w:left w:val="none" w:sz="0" w:space="0" w:color="auto"/>
                        <w:bottom w:val="none" w:sz="0" w:space="0" w:color="auto"/>
                        <w:right w:val="none" w:sz="0" w:space="0" w:color="auto"/>
                      </w:divBdr>
                    </w:div>
                    <w:div w:id="294138782">
                      <w:marLeft w:val="0"/>
                      <w:marRight w:val="0"/>
                      <w:marTop w:val="0"/>
                      <w:marBottom w:val="0"/>
                      <w:divBdr>
                        <w:top w:val="none" w:sz="0" w:space="0" w:color="auto"/>
                        <w:left w:val="none" w:sz="0" w:space="0" w:color="auto"/>
                        <w:bottom w:val="none" w:sz="0" w:space="0" w:color="auto"/>
                        <w:right w:val="none" w:sz="0" w:space="0" w:color="auto"/>
                      </w:divBdr>
                      <w:divsChild>
                        <w:div w:id="294145267">
                          <w:marLeft w:val="0"/>
                          <w:marRight w:val="0"/>
                          <w:marTop w:val="0"/>
                          <w:marBottom w:val="0"/>
                          <w:divBdr>
                            <w:top w:val="none" w:sz="0" w:space="0" w:color="auto"/>
                            <w:left w:val="none" w:sz="0" w:space="0" w:color="auto"/>
                            <w:bottom w:val="none" w:sz="0" w:space="0" w:color="auto"/>
                            <w:right w:val="none" w:sz="0" w:space="0" w:color="auto"/>
                          </w:divBdr>
                        </w:div>
                      </w:divsChild>
                    </w:div>
                    <w:div w:id="294138955">
                      <w:marLeft w:val="0"/>
                      <w:marRight w:val="0"/>
                      <w:marTop w:val="0"/>
                      <w:marBottom w:val="0"/>
                      <w:divBdr>
                        <w:top w:val="none" w:sz="0" w:space="0" w:color="auto"/>
                        <w:left w:val="none" w:sz="0" w:space="0" w:color="auto"/>
                        <w:bottom w:val="none" w:sz="0" w:space="0" w:color="auto"/>
                        <w:right w:val="none" w:sz="0" w:space="0" w:color="auto"/>
                      </w:divBdr>
                    </w:div>
                    <w:div w:id="294138965">
                      <w:marLeft w:val="0"/>
                      <w:marRight w:val="0"/>
                      <w:marTop w:val="0"/>
                      <w:marBottom w:val="0"/>
                      <w:divBdr>
                        <w:top w:val="none" w:sz="0" w:space="0" w:color="auto"/>
                        <w:left w:val="none" w:sz="0" w:space="0" w:color="auto"/>
                        <w:bottom w:val="none" w:sz="0" w:space="0" w:color="auto"/>
                        <w:right w:val="none" w:sz="0" w:space="0" w:color="auto"/>
                      </w:divBdr>
                      <w:divsChild>
                        <w:div w:id="294149831">
                          <w:marLeft w:val="0"/>
                          <w:marRight w:val="0"/>
                          <w:marTop w:val="0"/>
                          <w:marBottom w:val="0"/>
                          <w:divBdr>
                            <w:top w:val="none" w:sz="0" w:space="0" w:color="auto"/>
                            <w:left w:val="none" w:sz="0" w:space="0" w:color="auto"/>
                            <w:bottom w:val="none" w:sz="0" w:space="0" w:color="auto"/>
                            <w:right w:val="none" w:sz="0" w:space="0" w:color="auto"/>
                          </w:divBdr>
                        </w:div>
                      </w:divsChild>
                    </w:div>
                    <w:div w:id="294139117">
                      <w:marLeft w:val="0"/>
                      <w:marRight w:val="0"/>
                      <w:marTop w:val="0"/>
                      <w:marBottom w:val="0"/>
                      <w:divBdr>
                        <w:top w:val="none" w:sz="0" w:space="0" w:color="auto"/>
                        <w:left w:val="none" w:sz="0" w:space="0" w:color="auto"/>
                        <w:bottom w:val="none" w:sz="0" w:space="0" w:color="auto"/>
                        <w:right w:val="none" w:sz="0" w:space="0" w:color="auto"/>
                      </w:divBdr>
                      <w:divsChild>
                        <w:div w:id="294139977">
                          <w:marLeft w:val="0"/>
                          <w:marRight w:val="0"/>
                          <w:marTop w:val="0"/>
                          <w:marBottom w:val="0"/>
                          <w:divBdr>
                            <w:top w:val="none" w:sz="0" w:space="0" w:color="auto"/>
                            <w:left w:val="none" w:sz="0" w:space="0" w:color="auto"/>
                            <w:bottom w:val="none" w:sz="0" w:space="0" w:color="auto"/>
                            <w:right w:val="none" w:sz="0" w:space="0" w:color="auto"/>
                          </w:divBdr>
                        </w:div>
                      </w:divsChild>
                    </w:div>
                    <w:div w:id="294139207">
                      <w:marLeft w:val="0"/>
                      <w:marRight w:val="0"/>
                      <w:marTop w:val="0"/>
                      <w:marBottom w:val="0"/>
                      <w:divBdr>
                        <w:top w:val="none" w:sz="0" w:space="0" w:color="auto"/>
                        <w:left w:val="none" w:sz="0" w:space="0" w:color="auto"/>
                        <w:bottom w:val="none" w:sz="0" w:space="0" w:color="auto"/>
                        <w:right w:val="none" w:sz="0" w:space="0" w:color="auto"/>
                      </w:divBdr>
                      <w:divsChild>
                        <w:div w:id="294144786">
                          <w:marLeft w:val="0"/>
                          <w:marRight w:val="0"/>
                          <w:marTop w:val="0"/>
                          <w:marBottom w:val="0"/>
                          <w:divBdr>
                            <w:top w:val="none" w:sz="0" w:space="0" w:color="auto"/>
                            <w:left w:val="none" w:sz="0" w:space="0" w:color="auto"/>
                            <w:bottom w:val="none" w:sz="0" w:space="0" w:color="auto"/>
                            <w:right w:val="none" w:sz="0" w:space="0" w:color="auto"/>
                          </w:divBdr>
                        </w:div>
                      </w:divsChild>
                    </w:div>
                    <w:div w:id="294139278">
                      <w:marLeft w:val="0"/>
                      <w:marRight w:val="0"/>
                      <w:marTop w:val="0"/>
                      <w:marBottom w:val="0"/>
                      <w:divBdr>
                        <w:top w:val="none" w:sz="0" w:space="0" w:color="auto"/>
                        <w:left w:val="none" w:sz="0" w:space="0" w:color="auto"/>
                        <w:bottom w:val="none" w:sz="0" w:space="0" w:color="auto"/>
                        <w:right w:val="none" w:sz="0" w:space="0" w:color="auto"/>
                      </w:divBdr>
                    </w:div>
                    <w:div w:id="294139297">
                      <w:marLeft w:val="0"/>
                      <w:marRight w:val="0"/>
                      <w:marTop w:val="0"/>
                      <w:marBottom w:val="0"/>
                      <w:divBdr>
                        <w:top w:val="none" w:sz="0" w:space="0" w:color="auto"/>
                        <w:left w:val="none" w:sz="0" w:space="0" w:color="auto"/>
                        <w:bottom w:val="none" w:sz="0" w:space="0" w:color="auto"/>
                        <w:right w:val="none" w:sz="0" w:space="0" w:color="auto"/>
                      </w:divBdr>
                    </w:div>
                    <w:div w:id="294139396">
                      <w:marLeft w:val="0"/>
                      <w:marRight w:val="0"/>
                      <w:marTop w:val="0"/>
                      <w:marBottom w:val="0"/>
                      <w:divBdr>
                        <w:top w:val="none" w:sz="0" w:space="0" w:color="auto"/>
                        <w:left w:val="none" w:sz="0" w:space="0" w:color="auto"/>
                        <w:bottom w:val="none" w:sz="0" w:space="0" w:color="auto"/>
                        <w:right w:val="none" w:sz="0" w:space="0" w:color="auto"/>
                      </w:divBdr>
                      <w:divsChild>
                        <w:div w:id="294145219">
                          <w:marLeft w:val="0"/>
                          <w:marRight w:val="0"/>
                          <w:marTop w:val="0"/>
                          <w:marBottom w:val="0"/>
                          <w:divBdr>
                            <w:top w:val="none" w:sz="0" w:space="0" w:color="auto"/>
                            <w:left w:val="none" w:sz="0" w:space="0" w:color="auto"/>
                            <w:bottom w:val="none" w:sz="0" w:space="0" w:color="auto"/>
                            <w:right w:val="none" w:sz="0" w:space="0" w:color="auto"/>
                          </w:divBdr>
                        </w:div>
                      </w:divsChild>
                    </w:div>
                    <w:div w:id="294139558">
                      <w:marLeft w:val="0"/>
                      <w:marRight w:val="0"/>
                      <w:marTop w:val="0"/>
                      <w:marBottom w:val="0"/>
                      <w:divBdr>
                        <w:top w:val="none" w:sz="0" w:space="0" w:color="auto"/>
                        <w:left w:val="none" w:sz="0" w:space="0" w:color="auto"/>
                        <w:bottom w:val="none" w:sz="0" w:space="0" w:color="auto"/>
                        <w:right w:val="none" w:sz="0" w:space="0" w:color="auto"/>
                      </w:divBdr>
                    </w:div>
                    <w:div w:id="294139569">
                      <w:marLeft w:val="0"/>
                      <w:marRight w:val="0"/>
                      <w:marTop w:val="0"/>
                      <w:marBottom w:val="0"/>
                      <w:divBdr>
                        <w:top w:val="none" w:sz="0" w:space="0" w:color="auto"/>
                        <w:left w:val="none" w:sz="0" w:space="0" w:color="auto"/>
                        <w:bottom w:val="none" w:sz="0" w:space="0" w:color="auto"/>
                        <w:right w:val="none" w:sz="0" w:space="0" w:color="auto"/>
                      </w:divBdr>
                    </w:div>
                    <w:div w:id="294139737">
                      <w:marLeft w:val="0"/>
                      <w:marRight w:val="0"/>
                      <w:marTop w:val="0"/>
                      <w:marBottom w:val="0"/>
                      <w:divBdr>
                        <w:top w:val="none" w:sz="0" w:space="0" w:color="auto"/>
                        <w:left w:val="none" w:sz="0" w:space="0" w:color="auto"/>
                        <w:bottom w:val="none" w:sz="0" w:space="0" w:color="auto"/>
                        <w:right w:val="none" w:sz="0" w:space="0" w:color="auto"/>
                      </w:divBdr>
                      <w:divsChild>
                        <w:div w:id="294156946">
                          <w:marLeft w:val="0"/>
                          <w:marRight w:val="0"/>
                          <w:marTop w:val="0"/>
                          <w:marBottom w:val="0"/>
                          <w:divBdr>
                            <w:top w:val="none" w:sz="0" w:space="0" w:color="auto"/>
                            <w:left w:val="none" w:sz="0" w:space="0" w:color="auto"/>
                            <w:bottom w:val="none" w:sz="0" w:space="0" w:color="auto"/>
                            <w:right w:val="none" w:sz="0" w:space="0" w:color="auto"/>
                          </w:divBdr>
                        </w:div>
                      </w:divsChild>
                    </w:div>
                    <w:div w:id="294139797">
                      <w:marLeft w:val="0"/>
                      <w:marRight w:val="0"/>
                      <w:marTop w:val="0"/>
                      <w:marBottom w:val="0"/>
                      <w:divBdr>
                        <w:top w:val="none" w:sz="0" w:space="0" w:color="auto"/>
                        <w:left w:val="none" w:sz="0" w:space="0" w:color="auto"/>
                        <w:bottom w:val="none" w:sz="0" w:space="0" w:color="auto"/>
                        <w:right w:val="none" w:sz="0" w:space="0" w:color="auto"/>
                      </w:divBdr>
                    </w:div>
                    <w:div w:id="294139831">
                      <w:marLeft w:val="0"/>
                      <w:marRight w:val="0"/>
                      <w:marTop w:val="0"/>
                      <w:marBottom w:val="0"/>
                      <w:divBdr>
                        <w:top w:val="none" w:sz="0" w:space="0" w:color="auto"/>
                        <w:left w:val="none" w:sz="0" w:space="0" w:color="auto"/>
                        <w:bottom w:val="none" w:sz="0" w:space="0" w:color="auto"/>
                        <w:right w:val="none" w:sz="0" w:space="0" w:color="auto"/>
                      </w:divBdr>
                      <w:divsChild>
                        <w:div w:id="294155098">
                          <w:marLeft w:val="0"/>
                          <w:marRight w:val="0"/>
                          <w:marTop w:val="0"/>
                          <w:marBottom w:val="0"/>
                          <w:divBdr>
                            <w:top w:val="none" w:sz="0" w:space="0" w:color="auto"/>
                            <w:left w:val="none" w:sz="0" w:space="0" w:color="auto"/>
                            <w:bottom w:val="none" w:sz="0" w:space="0" w:color="auto"/>
                            <w:right w:val="none" w:sz="0" w:space="0" w:color="auto"/>
                          </w:divBdr>
                        </w:div>
                      </w:divsChild>
                    </w:div>
                    <w:div w:id="294139891">
                      <w:marLeft w:val="0"/>
                      <w:marRight w:val="0"/>
                      <w:marTop w:val="0"/>
                      <w:marBottom w:val="0"/>
                      <w:divBdr>
                        <w:top w:val="none" w:sz="0" w:space="0" w:color="auto"/>
                        <w:left w:val="none" w:sz="0" w:space="0" w:color="auto"/>
                        <w:bottom w:val="none" w:sz="0" w:space="0" w:color="auto"/>
                        <w:right w:val="none" w:sz="0" w:space="0" w:color="auto"/>
                      </w:divBdr>
                      <w:divsChild>
                        <w:div w:id="294140665">
                          <w:marLeft w:val="0"/>
                          <w:marRight w:val="0"/>
                          <w:marTop w:val="0"/>
                          <w:marBottom w:val="0"/>
                          <w:divBdr>
                            <w:top w:val="none" w:sz="0" w:space="0" w:color="auto"/>
                            <w:left w:val="none" w:sz="0" w:space="0" w:color="auto"/>
                            <w:bottom w:val="none" w:sz="0" w:space="0" w:color="auto"/>
                            <w:right w:val="none" w:sz="0" w:space="0" w:color="auto"/>
                          </w:divBdr>
                        </w:div>
                      </w:divsChild>
                    </w:div>
                    <w:div w:id="294140032">
                      <w:marLeft w:val="0"/>
                      <w:marRight w:val="0"/>
                      <w:marTop w:val="0"/>
                      <w:marBottom w:val="0"/>
                      <w:divBdr>
                        <w:top w:val="none" w:sz="0" w:space="0" w:color="auto"/>
                        <w:left w:val="none" w:sz="0" w:space="0" w:color="auto"/>
                        <w:bottom w:val="none" w:sz="0" w:space="0" w:color="auto"/>
                        <w:right w:val="none" w:sz="0" w:space="0" w:color="auto"/>
                      </w:divBdr>
                    </w:div>
                    <w:div w:id="294140072">
                      <w:marLeft w:val="0"/>
                      <w:marRight w:val="0"/>
                      <w:marTop w:val="0"/>
                      <w:marBottom w:val="0"/>
                      <w:divBdr>
                        <w:top w:val="none" w:sz="0" w:space="0" w:color="auto"/>
                        <w:left w:val="none" w:sz="0" w:space="0" w:color="auto"/>
                        <w:bottom w:val="none" w:sz="0" w:space="0" w:color="auto"/>
                        <w:right w:val="none" w:sz="0" w:space="0" w:color="auto"/>
                      </w:divBdr>
                      <w:divsChild>
                        <w:div w:id="294140942">
                          <w:marLeft w:val="0"/>
                          <w:marRight w:val="0"/>
                          <w:marTop w:val="0"/>
                          <w:marBottom w:val="0"/>
                          <w:divBdr>
                            <w:top w:val="none" w:sz="0" w:space="0" w:color="auto"/>
                            <w:left w:val="none" w:sz="0" w:space="0" w:color="auto"/>
                            <w:bottom w:val="none" w:sz="0" w:space="0" w:color="auto"/>
                            <w:right w:val="none" w:sz="0" w:space="0" w:color="auto"/>
                          </w:divBdr>
                        </w:div>
                      </w:divsChild>
                    </w:div>
                    <w:div w:id="294140178">
                      <w:marLeft w:val="0"/>
                      <w:marRight w:val="0"/>
                      <w:marTop w:val="0"/>
                      <w:marBottom w:val="0"/>
                      <w:divBdr>
                        <w:top w:val="none" w:sz="0" w:space="0" w:color="auto"/>
                        <w:left w:val="none" w:sz="0" w:space="0" w:color="auto"/>
                        <w:bottom w:val="none" w:sz="0" w:space="0" w:color="auto"/>
                        <w:right w:val="none" w:sz="0" w:space="0" w:color="auto"/>
                      </w:divBdr>
                      <w:divsChild>
                        <w:div w:id="294153708">
                          <w:marLeft w:val="0"/>
                          <w:marRight w:val="0"/>
                          <w:marTop w:val="0"/>
                          <w:marBottom w:val="0"/>
                          <w:divBdr>
                            <w:top w:val="none" w:sz="0" w:space="0" w:color="auto"/>
                            <w:left w:val="none" w:sz="0" w:space="0" w:color="auto"/>
                            <w:bottom w:val="none" w:sz="0" w:space="0" w:color="auto"/>
                            <w:right w:val="none" w:sz="0" w:space="0" w:color="auto"/>
                          </w:divBdr>
                        </w:div>
                      </w:divsChild>
                    </w:div>
                    <w:div w:id="294140339">
                      <w:marLeft w:val="0"/>
                      <w:marRight w:val="0"/>
                      <w:marTop w:val="0"/>
                      <w:marBottom w:val="0"/>
                      <w:divBdr>
                        <w:top w:val="none" w:sz="0" w:space="0" w:color="auto"/>
                        <w:left w:val="none" w:sz="0" w:space="0" w:color="auto"/>
                        <w:bottom w:val="none" w:sz="0" w:space="0" w:color="auto"/>
                        <w:right w:val="none" w:sz="0" w:space="0" w:color="auto"/>
                      </w:divBdr>
                    </w:div>
                    <w:div w:id="294140558">
                      <w:marLeft w:val="0"/>
                      <w:marRight w:val="0"/>
                      <w:marTop w:val="0"/>
                      <w:marBottom w:val="0"/>
                      <w:divBdr>
                        <w:top w:val="none" w:sz="0" w:space="0" w:color="auto"/>
                        <w:left w:val="none" w:sz="0" w:space="0" w:color="auto"/>
                        <w:bottom w:val="none" w:sz="0" w:space="0" w:color="auto"/>
                        <w:right w:val="none" w:sz="0" w:space="0" w:color="auto"/>
                      </w:divBdr>
                    </w:div>
                    <w:div w:id="294140754">
                      <w:marLeft w:val="0"/>
                      <w:marRight w:val="0"/>
                      <w:marTop w:val="0"/>
                      <w:marBottom w:val="0"/>
                      <w:divBdr>
                        <w:top w:val="none" w:sz="0" w:space="0" w:color="auto"/>
                        <w:left w:val="none" w:sz="0" w:space="0" w:color="auto"/>
                        <w:bottom w:val="none" w:sz="0" w:space="0" w:color="auto"/>
                        <w:right w:val="none" w:sz="0" w:space="0" w:color="auto"/>
                      </w:divBdr>
                    </w:div>
                    <w:div w:id="294140817">
                      <w:marLeft w:val="0"/>
                      <w:marRight w:val="0"/>
                      <w:marTop w:val="0"/>
                      <w:marBottom w:val="0"/>
                      <w:divBdr>
                        <w:top w:val="none" w:sz="0" w:space="0" w:color="auto"/>
                        <w:left w:val="none" w:sz="0" w:space="0" w:color="auto"/>
                        <w:bottom w:val="none" w:sz="0" w:space="0" w:color="auto"/>
                        <w:right w:val="none" w:sz="0" w:space="0" w:color="auto"/>
                      </w:divBdr>
                    </w:div>
                    <w:div w:id="294140856">
                      <w:marLeft w:val="0"/>
                      <w:marRight w:val="0"/>
                      <w:marTop w:val="0"/>
                      <w:marBottom w:val="0"/>
                      <w:divBdr>
                        <w:top w:val="none" w:sz="0" w:space="0" w:color="auto"/>
                        <w:left w:val="none" w:sz="0" w:space="0" w:color="auto"/>
                        <w:bottom w:val="none" w:sz="0" w:space="0" w:color="auto"/>
                        <w:right w:val="none" w:sz="0" w:space="0" w:color="auto"/>
                      </w:divBdr>
                      <w:divsChild>
                        <w:div w:id="294156235">
                          <w:marLeft w:val="0"/>
                          <w:marRight w:val="0"/>
                          <w:marTop w:val="0"/>
                          <w:marBottom w:val="0"/>
                          <w:divBdr>
                            <w:top w:val="none" w:sz="0" w:space="0" w:color="auto"/>
                            <w:left w:val="none" w:sz="0" w:space="0" w:color="auto"/>
                            <w:bottom w:val="none" w:sz="0" w:space="0" w:color="auto"/>
                            <w:right w:val="none" w:sz="0" w:space="0" w:color="auto"/>
                          </w:divBdr>
                        </w:div>
                      </w:divsChild>
                    </w:div>
                    <w:div w:id="294140899">
                      <w:marLeft w:val="0"/>
                      <w:marRight w:val="0"/>
                      <w:marTop w:val="0"/>
                      <w:marBottom w:val="0"/>
                      <w:divBdr>
                        <w:top w:val="none" w:sz="0" w:space="0" w:color="auto"/>
                        <w:left w:val="none" w:sz="0" w:space="0" w:color="auto"/>
                        <w:bottom w:val="none" w:sz="0" w:space="0" w:color="auto"/>
                        <w:right w:val="none" w:sz="0" w:space="0" w:color="auto"/>
                      </w:divBdr>
                    </w:div>
                    <w:div w:id="294141021">
                      <w:marLeft w:val="0"/>
                      <w:marRight w:val="0"/>
                      <w:marTop w:val="0"/>
                      <w:marBottom w:val="0"/>
                      <w:divBdr>
                        <w:top w:val="none" w:sz="0" w:space="0" w:color="auto"/>
                        <w:left w:val="none" w:sz="0" w:space="0" w:color="auto"/>
                        <w:bottom w:val="none" w:sz="0" w:space="0" w:color="auto"/>
                        <w:right w:val="none" w:sz="0" w:space="0" w:color="auto"/>
                      </w:divBdr>
                    </w:div>
                    <w:div w:id="294141120">
                      <w:marLeft w:val="0"/>
                      <w:marRight w:val="0"/>
                      <w:marTop w:val="0"/>
                      <w:marBottom w:val="0"/>
                      <w:divBdr>
                        <w:top w:val="none" w:sz="0" w:space="0" w:color="auto"/>
                        <w:left w:val="none" w:sz="0" w:space="0" w:color="auto"/>
                        <w:bottom w:val="none" w:sz="0" w:space="0" w:color="auto"/>
                        <w:right w:val="none" w:sz="0" w:space="0" w:color="auto"/>
                      </w:divBdr>
                      <w:divsChild>
                        <w:div w:id="294149561">
                          <w:marLeft w:val="0"/>
                          <w:marRight w:val="0"/>
                          <w:marTop w:val="0"/>
                          <w:marBottom w:val="0"/>
                          <w:divBdr>
                            <w:top w:val="none" w:sz="0" w:space="0" w:color="auto"/>
                            <w:left w:val="none" w:sz="0" w:space="0" w:color="auto"/>
                            <w:bottom w:val="none" w:sz="0" w:space="0" w:color="auto"/>
                            <w:right w:val="none" w:sz="0" w:space="0" w:color="auto"/>
                          </w:divBdr>
                        </w:div>
                      </w:divsChild>
                    </w:div>
                    <w:div w:id="294141375">
                      <w:marLeft w:val="0"/>
                      <w:marRight w:val="0"/>
                      <w:marTop w:val="0"/>
                      <w:marBottom w:val="0"/>
                      <w:divBdr>
                        <w:top w:val="none" w:sz="0" w:space="0" w:color="auto"/>
                        <w:left w:val="none" w:sz="0" w:space="0" w:color="auto"/>
                        <w:bottom w:val="none" w:sz="0" w:space="0" w:color="auto"/>
                        <w:right w:val="none" w:sz="0" w:space="0" w:color="auto"/>
                      </w:divBdr>
                      <w:divsChild>
                        <w:div w:id="294150130">
                          <w:marLeft w:val="0"/>
                          <w:marRight w:val="0"/>
                          <w:marTop w:val="0"/>
                          <w:marBottom w:val="0"/>
                          <w:divBdr>
                            <w:top w:val="none" w:sz="0" w:space="0" w:color="auto"/>
                            <w:left w:val="none" w:sz="0" w:space="0" w:color="auto"/>
                            <w:bottom w:val="none" w:sz="0" w:space="0" w:color="auto"/>
                            <w:right w:val="none" w:sz="0" w:space="0" w:color="auto"/>
                          </w:divBdr>
                        </w:div>
                      </w:divsChild>
                    </w:div>
                    <w:div w:id="294141443">
                      <w:marLeft w:val="0"/>
                      <w:marRight w:val="0"/>
                      <w:marTop w:val="0"/>
                      <w:marBottom w:val="0"/>
                      <w:divBdr>
                        <w:top w:val="none" w:sz="0" w:space="0" w:color="auto"/>
                        <w:left w:val="none" w:sz="0" w:space="0" w:color="auto"/>
                        <w:bottom w:val="none" w:sz="0" w:space="0" w:color="auto"/>
                        <w:right w:val="none" w:sz="0" w:space="0" w:color="auto"/>
                      </w:divBdr>
                      <w:divsChild>
                        <w:div w:id="294144839">
                          <w:marLeft w:val="0"/>
                          <w:marRight w:val="0"/>
                          <w:marTop w:val="0"/>
                          <w:marBottom w:val="0"/>
                          <w:divBdr>
                            <w:top w:val="none" w:sz="0" w:space="0" w:color="auto"/>
                            <w:left w:val="none" w:sz="0" w:space="0" w:color="auto"/>
                            <w:bottom w:val="none" w:sz="0" w:space="0" w:color="auto"/>
                            <w:right w:val="none" w:sz="0" w:space="0" w:color="auto"/>
                          </w:divBdr>
                        </w:div>
                      </w:divsChild>
                    </w:div>
                    <w:div w:id="294141546">
                      <w:marLeft w:val="0"/>
                      <w:marRight w:val="0"/>
                      <w:marTop w:val="0"/>
                      <w:marBottom w:val="0"/>
                      <w:divBdr>
                        <w:top w:val="none" w:sz="0" w:space="0" w:color="auto"/>
                        <w:left w:val="none" w:sz="0" w:space="0" w:color="auto"/>
                        <w:bottom w:val="none" w:sz="0" w:space="0" w:color="auto"/>
                        <w:right w:val="none" w:sz="0" w:space="0" w:color="auto"/>
                      </w:divBdr>
                    </w:div>
                    <w:div w:id="294141584">
                      <w:marLeft w:val="0"/>
                      <w:marRight w:val="0"/>
                      <w:marTop w:val="0"/>
                      <w:marBottom w:val="0"/>
                      <w:divBdr>
                        <w:top w:val="none" w:sz="0" w:space="0" w:color="auto"/>
                        <w:left w:val="none" w:sz="0" w:space="0" w:color="auto"/>
                        <w:bottom w:val="none" w:sz="0" w:space="0" w:color="auto"/>
                        <w:right w:val="none" w:sz="0" w:space="0" w:color="auto"/>
                      </w:divBdr>
                      <w:divsChild>
                        <w:div w:id="294156480">
                          <w:marLeft w:val="0"/>
                          <w:marRight w:val="0"/>
                          <w:marTop w:val="0"/>
                          <w:marBottom w:val="0"/>
                          <w:divBdr>
                            <w:top w:val="none" w:sz="0" w:space="0" w:color="auto"/>
                            <w:left w:val="none" w:sz="0" w:space="0" w:color="auto"/>
                            <w:bottom w:val="none" w:sz="0" w:space="0" w:color="auto"/>
                            <w:right w:val="none" w:sz="0" w:space="0" w:color="auto"/>
                          </w:divBdr>
                        </w:div>
                      </w:divsChild>
                    </w:div>
                    <w:div w:id="294141633">
                      <w:marLeft w:val="0"/>
                      <w:marRight w:val="0"/>
                      <w:marTop w:val="0"/>
                      <w:marBottom w:val="0"/>
                      <w:divBdr>
                        <w:top w:val="none" w:sz="0" w:space="0" w:color="auto"/>
                        <w:left w:val="none" w:sz="0" w:space="0" w:color="auto"/>
                        <w:bottom w:val="none" w:sz="0" w:space="0" w:color="auto"/>
                        <w:right w:val="none" w:sz="0" w:space="0" w:color="auto"/>
                      </w:divBdr>
                      <w:divsChild>
                        <w:div w:id="294143184">
                          <w:marLeft w:val="0"/>
                          <w:marRight w:val="0"/>
                          <w:marTop w:val="0"/>
                          <w:marBottom w:val="0"/>
                          <w:divBdr>
                            <w:top w:val="none" w:sz="0" w:space="0" w:color="auto"/>
                            <w:left w:val="none" w:sz="0" w:space="0" w:color="auto"/>
                            <w:bottom w:val="none" w:sz="0" w:space="0" w:color="auto"/>
                            <w:right w:val="none" w:sz="0" w:space="0" w:color="auto"/>
                          </w:divBdr>
                        </w:div>
                      </w:divsChild>
                    </w:div>
                    <w:div w:id="294141902">
                      <w:marLeft w:val="0"/>
                      <w:marRight w:val="0"/>
                      <w:marTop w:val="0"/>
                      <w:marBottom w:val="0"/>
                      <w:divBdr>
                        <w:top w:val="none" w:sz="0" w:space="0" w:color="auto"/>
                        <w:left w:val="none" w:sz="0" w:space="0" w:color="auto"/>
                        <w:bottom w:val="none" w:sz="0" w:space="0" w:color="auto"/>
                        <w:right w:val="none" w:sz="0" w:space="0" w:color="auto"/>
                      </w:divBdr>
                      <w:divsChild>
                        <w:div w:id="294156803">
                          <w:marLeft w:val="0"/>
                          <w:marRight w:val="0"/>
                          <w:marTop w:val="0"/>
                          <w:marBottom w:val="0"/>
                          <w:divBdr>
                            <w:top w:val="none" w:sz="0" w:space="0" w:color="auto"/>
                            <w:left w:val="none" w:sz="0" w:space="0" w:color="auto"/>
                            <w:bottom w:val="none" w:sz="0" w:space="0" w:color="auto"/>
                            <w:right w:val="none" w:sz="0" w:space="0" w:color="auto"/>
                          </w:divBdr>
                        </w:div>
                      </w:divsChild>
                    </w:div>
                    <w:div w:id="294142392">
                      <w:marLeft w:val="0"/>
                      <w:marRight w:val="0"/>
                      <w:marTop w:val="0"/>
                      <w:marBottom w:val="0"/>
                      <w:divBdr>
                        <w:top w:val="none" w:sz="0" w:space="0" w:color="auto"/>
                        <w:left w:val="none" w:sz="0" w:space="0" w:color="auto"/>
                        <w:bottom w:val="none" w:sz="0" w:space="0" w:color="auto"/>
                        <w:right w:val="none" w:sz="0" w:space="0" w:color="auto"/>
                      </w:divBdr>
                      <w:divsChild>
                        <w:div w:id="294146827">
                          <w:marLeft w:val="0"/>
                          <w:marRight w:val="0"/>
                          <w:marTop w:val="0"/>
                          <w:marBottom w:val="0"/>
                          <w:divBdr>
                            <w:top w:val="none" w:sz="0" w:space="0" w:color="auto"/>
                            <w:left w:val="none" w:sz="0" w:space="0" w:color="auto"/>
                            <w:bottom w:val="none" w:sz="0" w:space="0" w:color="auto"/>
                            <w:right w:val="none" w:sz="0" w:space="0" w:color="auto"/>
                          </w:divBdr>
                        </w:div>
                      </w:divsChild>
                    </w:div>
                    <w:div w:id="294142583">
                      <w:marLeft w:val="0"/>
                      <w:marRight w:val="0"/>
                      <w:marTop w:val="0"/>
                      <w:marBottom w:val="0"/>
                      <w:divBdr>
                        <w:top w:val="none" w:sz="0" w:space="0" w:color="auto"/>
                        <w:left w:val="none" w:sz="0" w:space="0" w:color="auto"/>
                        <w:bottom w:val="none" w:sz="0" w:space="0" w:color="auto"/>
                        <w:right w:val="none" w:sz="0" w:space="0" w:color="auto"/>
                      </w:divBdr>
                      <w:divsChild>
                        <w:div w:id="294149642">
                          <w:marLeft w:val="0"/>
                          <w:marRight w:val="0"/>
                          <w:marTop w:val="0"/>
                          <w:marBottom w:val="0"/>
                          <w:divBdr>
                            <w:top w:val="none" w:sz="0" w:space="0" w:color="auto"/>
                            <w:left w:val="none" w:sz="0" w:space="0" w:color="auto"/>
                            <w:bottom w:val="none" w:sz="0" w:space="0" w:color="auto"/>
                            <w:right w:val="none" w:sz="0" w:space="0" w:color="auto"/>
                          </w:divBdr>
                        </w:div>
                      </w:divsChild>
                    </w:div>
                    <w:div w:id="294142598">
                      <w:marLeft w:val="0"/>
                      <w:marRight w:val="0"/>
                      <w:marTop w:val="0"/>
                      <w:marBottom w:val="0"/>
                      <w:divBdr>
                        <w:top w:val="none" w:sz="0" w:space="0" w:color="auto"/>
                        <w:left w:val="none" w:sz="0" w:space="0" w:color="auto"/>
                        <w:bottom w:val="none" w:sz="0" w:space="0" w:color="auto"/>
                        <w:right w:val="none" w:sz="0" w:space="0" w:color="auto"/>
                      </w:divBdr>
                    </w:div>
                    <w:div w:id="294142684">
                      <w:marLeft w:val="0"/>
                      <w:marRight w:val="0"/>
                      <w:marTop w:val="0"/>
                      <w:marBottom w:val="0"/>
                      <w:divBdr>
                        <w:top w:val="none" w:sz="0" w:space="0" w:color="auto"/>
                        <w:left w:val="none" w:sz="0" w:space="0" w:color="auto"/>
                        <w:bottom w:val="none" w:sz="0" w:space="0" w:color="auto"/>
                        <w:right w:val="none" w:sz="0" w:space="0" w:color="auto"/>
                      </w:divBdr>
                    </w:div>
                    <w:div w:id="294142824">
                      <w:marLeft w:val="0"/>
                      <w:marRight w:val="0"/>
                      <w:marTop w:val="0"/>
                      <w:marBottom w:val="0"/>
                      <w:divBdr>
                        <w:top w:val="none" w:sz="0" w:space="0" w:color="auto"/>
                        <w:left w:val="none" w:sz="0" w:space="0" w:color="auto"/>
                        <w:bottom w:val="none" w:sz="0" w:space="0" w:color="auto"/>
                        <w:right w:val="none" w:sz="0" w:space="0" w:color="auto"/>
                      </w:divBdr>
                      <w:divsChild>
                        <w:div w:id="294143270">
                          <w:marLeft w:val="0"/>
                          <w:marRight w:val="0"/>
                          <w:marTop w:val="0"/>
                          <w:marBottom w:val="0"/>
                          <w:divBdr>
                            <w:top w:val="none" w:sz="0" w:space="0" w:color="auto"/>
                            <w:left w:val="none" w:sz="0" w:space="0" w:color="auto"/>
                            <w:bottom w:val="none" w:sz="0" w:space="0" w:color="auto"/>
                            <w:right w:val="none" w:sz="0" w:space="0" w:color="auto"/>
                          </w:divBdr>
                        </w:div>
                      </w:divsChild>
                    </w:div>
                    <w:div w:id="294143141">
                      <w:marLeft w:val="0"/>
                      <w:marRight w:val="0"/>
                      <w:marTop w:val="0"/>
                      <w:marBottom w:val="0"/>
                      <w:divBdr>
                        <w:top w:val="none" w:sz="0" w:space="0" w:color="auto"/>
                        <w:left w:val="none" w:sz="0" w:space="0" w:color="auto"/>
                        <w:bottom w:val="none" w:sz="0" w:space="0" w:color="auto"/>
                        <w:right w:val="none" w:sz="0" w:space="0" w:color="auto"/>
                      </w:divBdr>
                    </w:div>
                    <w:div w:id="294143149">
                      <w:marLeft w:val="0"/>
                      <w:marRight w:val="0"/>
                      <w:marTop w:val="0"/>
                      <w:marBottom w:val="0"/>
                      <w:divBdr>
                        <w:top w:val="none" w:sz="0" w:space="0" w:color="auto"/>
                        <w:left w:val="none" w:sz="0" w:space="0" w:color="auto"/>
                        <w:bottom w:val="none" w:sz="0" w:space="0" w:color="auto"/>
                        <w:right w:val="none" w:sz="0" w:space="0" w:color="auto"/>
                      </w:divBdr>
                      <w:divsChild>
                        <w:div w:id="294143523">
                          <w:marLeft w:val="0"/>
                          <w:marRight w:val="0"/>
                          <w:marTop w:val="0"/>
                          <w:marBottom w:val="0"/>
                          <w:divBdr>
                            <w:top w:val="none" w:sz="0" w:space="0" w:color="auto"/>
                            <w:left w:val="none" w:sz="0" w:space="0" w:color="auto"/>
                            <w:bottom w:val="none" w:sz="0" w:space="0" w:color="auto"/>
                            <w:right w:val="none" w:sz="0" w:space="0" w:color="auto"/>
                          </w:divBdr>
                        </w:div>
                      </w:divsChild>
                    </w:div>
                    <w:div w:id="294143257">
                      <w:marLeft w:val="0"/>
                      <w:marRight w:val="0"/>
                      <w:marTop w:val="0"/>
                      <w:marBottom w:val="0"/>
                      <w:divBdr>
                        <w:top w:val="none" w:sz="0" w:space="0" w:color="auto"/>
                        <w:left w:val="none" w:sz="0" w:space="0" w:color="auto"/>
                        <w:bottom w:val="none" w:sz="0" w:space="0" w:color="auto"/>
                        <w:right w:val="none" w:sz="0" w:space="0" w:color="auto"/>
                      </w:divBdr>
                    </w:div>
                    <w:div w:id="294143344">
                      <w:marLeft w:val="0"/>
                      <w:marRight w:val="0"/>
                      <w:marTop w:val="0"/>
                      <w:marBottom w:val="0"/>
                      <w:divBdr>
                        <w:top w:val="none" w:sz="0" w:space="0" w:color="auto"/>
                        <w:left w:val="none" w:sz="0" w:space="0" w:color="auto"/>
                        <w:bottom w:val="none" w:sz="0" w:space="0" w:color="auto"/>
                        <w:right w:val="none" w:sz="0" w:space="0" w:color="auto"/>
                      </w:divBdr>
                    </w:div>
                    <w:div w:id="294143391">
                      <w:marLeft w:val="0"/>
                      <w:marRight w:val="0"/>
                      <w:marTop w:val="0"/>
                      <w:marBottom w:val="0"/>
                      <w:divBdr>
                        <w:top w:val="none" w:sz="0" w:space="0" w:color="auto"/>
                        <w:left w:val="none" w:sz="0" w:space="0" w:color="auto"/>
                        <w:bottom w:val="none" w:sz="0" w:space="0" w:color="auto"/>
                        <w:right w:val="none" w:sz="0" w:space="0" w:color="auto"/>
                      </w:divBdr>
                    </w:div>
                    <w:div w:id="294143676">
                      <w:marLeft w:val="0"/>
                      <w:marRight w:val="0"/>
                      <w:marTop w:val="0"/>
                      <w:marBottom w:val="0"/>
                      <w:divBdr>
                        <w:top w:val="none" w:sz="0" w:space="0" w:color="auto"/>
                        <w:left w:val="none" w:sz="0" w:space="0" w:color="auto"/>
                        <w:bottom w:val="none" w:sz="0" w:space="0" w:color="auto"/>
                        <w:right w:val="none" w:sz="0" w:space="0" w:color="auto"/>
                      </w:divBdr>
                    </w:div>
                    <w:div w:id="294143755">
                      <w:marLeft w:val="0"/>
                      <w:marRight w:val="0"/>
                      <w:marTop w:val="0"/>
                      <w:marBottom w:val="0"/>
                      <w:divBdr>
                        <w:top w:val="none" w:sz="0" w:space="0" w:color="auto"/>
                        <w:left w:val="none" w:sz="0" w:space="0" w:color="auto"/>
                        <w:bottom w:val="none" w:sz="0" w:space="0" w:color="auto"/>
                        <w:right w:val="none" w:sz="0" w:space="0" w:color="auto"/>
                      </w:divBdr>
                    </w:div>
                    <w:div w:id="294143822">
                      <w:marLeft w:val="0"/>
                      <w:marRight w:val="0"/>
                      <w:marTop w:val="0"/>
                      <w:marBottom w:val="0"/>
                      <w:divBdr>
                        <w:top w:val="none" w:sz="0" w:space="0" w:color="auto"/>
                        <w:left w:val="none" w:sz="0" w:space="0" w:color="auto"/>
                        <w:bottom w:val="none" w:sz="0" w:space="0" w:color="auto"/>
                        <w:right w:val="none" w:sz="0" w:space="0" w:color="auto"/>
                      </w:divBdr>
                    </w:div>
                    <w:div w:id="294144282">
                      <w:marLeft w:val="0"/>
                      <w:marRight w:val="0"/>
                      <w:marTop w:val="0"/>
                      <w:marBottom w:val="0"/>
                      <w:divBdr>
                        <w:top w:val="none" w:sz="0" w:space="0" w:color="auto"/>
                        <w:left w:val="none" w:sz="0" w:space="0" w:color="auto"/>
                        <w:bottom w:val="none" w:sz="0" w:space="0" w:color="auto"/>
                        <w:right w:val="none" w:sz="0" w:space="0" w:color="auto"/>
                      </w:divBdr>
                    </w:div>
                    <w:div w:id="294144502">
                      <w:marLeft w:val="0"/>
                      <w:marRight w:val="0"/>
                      <w:marTop w:val="0"/>
                      <w:marBottom w:val="0"/>
                      <w:divBdr>
                        <w:top w:val="none" w:sz="0" w:space="0" w:color="auto"/>
                        <w:left w:val="none" w:sz="0" w:space="0" w:color="auto"/>
                        <w:bottom w:val="none" w:sz="0" w:space="0" w:color="auto"/>
                        <w:right w:val="none" w:sz="0" w:space="0" w:color="auto"/>
                      </w:divBdr>
                      <w:divsChild>
                        <w:div w:id="294148131">
                          <w:marLeft w:val="0"/>
                          <w:marRight w:val="0"/>
                          <w:marTop w:val="0"/>
                          <w:marBottom w:val="0"/>
                          <w:divBdr>
                            <w:top w:val="none" w:sz="0" w:space="0" w:color="auto"/>
                            <w:left w:val="none" w:sz="0" w:space="0" w:color="auto"/>
                            <w:bottom w:val="none" w:sz="0" w:space="0" w:color="auto"/>
                            <w:right w:val="none" w:sz="0" w:space="0" w:color="auto"/>
                          </w:divBdr>
                        </w:div>
                      </w:divsChild>
                    </w:div>
                    <w:div w:id="294144683">
                      <w:marLeft w:val="0"/>
                      <w:marRight w:val="0"/>
                      <w:marTop w:val="0"/>
                      <w:marBottom w:val="0"/>
                      <w:divBdr>
                        <w:top w:val="none" w:sz="0" w:space="0" w:color="auto"/>
                        <w:left w:val="none" w:sz="0" w:space="0" w:color="auto"/>
                        <w:bottom w:val="none" w:sz="0" w:space="0" w:color="auto"/>
                        <w:right w:val="none" w:sz="0" w:space="0" w:color="auto"/>
                      </w:divBdr>
                    </w:div>
                    <w:div w:id="294144817">
                      <w:marLeft w:val="0"/>
                      <w:marRight w:val="0"/>
                      <w:marTop w:val="0"/>
                      <w:marBottom w:val="0"/>
                      <w:divBdr>
                        <w:top w:val="none" w:sz="0" w:space="0" w:color="auto"/>
                        <w:left w:val="none" w:sz="0" w:space="0" w:color="auto"/>
                        <w:bottom w:val="none" w:sz="0" w:space="0" w:color="auto"/>
                        <w:right w:val="none" w:sz="0" w:space="0" w:color="auto"/>
                      </w:divBdr>
                    </w:div>
                    <w:div w:id="294144843">
                      <w:marLeft w:val="0"/>
                      <w:marRight w:val="0"/>
                      <w:marTop w:val="0"/>
                      <w:marBottom w:val="0"/>
                      <w:divBdr>
                        <w:top w:val="none" w:sz="0" w:space="0" w:color="auto"/>
                        <w:left w:val="none" w:sz="0" w:space="0" w:color="auto"/>
                        <w:bottom w:val="none" w:sz="0" w:space="0" w:color="auto"/>
                        <w:right w:val="none" w:sz="0" w:space="0" w:color="auto"/>
                      </w:divBdr>
                      <w:divsChild>
                        <w:div w:id="294142349">
                          <w:marLeft w:val="0"/>
                          <w:marRight w:val="0"/>
                          <w:marTop w:val="0"/>
                          <w:marBottom w:val="0"/>
                          <w:divBdr>
                            <w:top w:val="none" w:sz="0" w:space="0" w:color="auto"/>
                            <w:left w:val="none" w:sz="0" w:space="0" w:color="auto"/>
                            <w:bottom w:val="none" w:sz="0" w:space="0" w:color="auto"/>
                            <w:right w:val="none" w:sz="0" w:space="0" w:color="auto"/>
                          </w:divBdr>
                        </w:div>
                      </w:divsChild>
                    </w:div>
                    <w:div w:id="294144848">
                      <w:marLeft w:val="0"/>
                      <w:marRight w:val="0"/>
                      <w:marTop w:val="0"/>
                      <w:marBottom w:val="0"/>
                      <w:divBdr>
                        <w:top w:val="none" w:sz="0" w:space="0" w:color="auto"/>
                        <w:left w:val="none" w:sz="0" w:space="0" w:color="auto"/>
                        <w:bottom w:val="none" w:sz="0" w:space="0" w:color="auto"/>
                        <w:right w:val="none" w:sz="0" w:space="0" w:color="auto"/>
                      </w:divBdr>
                    </w:div>
                    <w:div w:id="294144904">
                      <w:marLeft w:val="0"/>
                      <w:marRight w:val="0"/>
                      <w:marTop w:val="0"/>
                      <w:marBottom w:val="0"/>
                      <w:divBdr>
                        <w:top w:val="none" w:sz="0" w:space="0" w:color="auto"/>
                        <w:left w:val="none" w:sz="0" w:space="0" w:color="auto"/>
                        <w:bottom w:val="none" w:sz="0" w:space="0" w:color="auto"/>
                        <w:right w:val="none" w:sz="0" w:space="0" w:color="auto"/>
                      </w:divBdr>
                      <w:divsChild>
                        <w:div w:id="294147356">
                          <w:marLeft w:val="0"/>
                          <w:marRight w:val="0"/>
                          <w:marTop w:val="0"/>
                          <w:marBottom w:val="0"/>
                          <w:divBdr>
                            <w:top w:val="none" w:sz="0" w:space="0" w:color="auto"/>
                            <w:left w:val="none" w:sz="0" w:space="0" w:color="auto"/>
                            <w:bottom w:val="none" w:sz="0" w:space="0" w:color="auto"/>
                            <w:right w:val="none" w:sz="0" w:space="0" w:color="auto"/>
                          </w:divBdr>
                        </w:div>
                      </w:divsChild>
                    </w:div>
                    <w:div w:id="294144915">
                      <w:marLeft w:val="0"/>
                      <w:marRight w:val="0"/>
                      <w:marTop w:val="0"/>
                      <w:marBottom w:val="0"/>
                      <w:divBdr>
                        <w:top w:val="none" w:sz="0" w:space="0" w:color="auto"/>
                        <w:left w:val="none" w:sz="0" w:space="0" w:color="auto"/>
                        <w:bottom w:val="none" w:sz="0" w:space="0" w:color="auto"/>
                        <w:right w:val="none" w:sz="0" w:space="0" w:color="auto"/>
                      </w:divBdr>
                    </w:div>
                    <w:div w:id="294144930">
                      <w:marLeft w:val="0"/>
                      <w:marRight w:val="0"/>
                      <w:marTop w:val="0"/>
                      <w:marBottom w:val="0"/>
                      <w:divBdr>
                        <w:top w:val="none" w:sz="0" w:space="0" w:color="auto"/>
                        <w:left w:val="none" w:sz="0" w:space="0" w:color="auto"/>
                        <w:bottom w:val="none" w:sz="0" w:space="0" w:color="auto"/>
                        <w:right w:val="none" w:sz="0" w:space="0" w:color="auto"/>
                      </w:divBdr>
                    </w:div>
                    <w:div w:id="294145024">
                      <w:marLeft w:val="0"/>
                      <w:marRight w:val="0"/>
                      <w:marTop w:val="0"/>
                      <w:marBottom w:val="0"/>
                      <w:divBdr>
                        <w:top w:val="none" w:sz="0" w:space="0" w:color="auto"/>
                        <w:left w:val="none" w:sz="0" w:space="0" w:color="auto"/>
                        <w:bottom w:val="none" w:sz="0" w:space="0" w:color="auto"/>
                        <w:right w:val="none" w:sz="0" w:space="0" w:color="auto"/>
                      </w:divBdr>
                      <w:divsChild>
                        <w:div w:id="294152210">
                          <w:marLeft w:val="0"/>
                          <w:marRight w:val="0"/>
                          <w:marTop w:val="0"/>
                          <w:marBottom w:val="0"/>
                          <w:divBdr>
                            <w:top w:val="none" w:sz="0" w:space="0" w:color="auto"/>
                            <w:left w:val="none" w:sz="0" w:space="0" w:color="auto"/>
                            <w:bottom w:val="none" w:sz="0" w:space="0" w:color="auto"/>
                            <w:right w:val="none" w:sz="0" w:space="0" w:color="auto"/>
                          </w:divBdr>
                        </w:div>
                      </w:divsChild>
                    </w:div>
                    <w:div w:id="294145226">
                      <w:marLeft w:val="0"/>
                      <w:marRight w:val="0"/>
                      <w:marTop w:val="0"/>
                      <w:marBottom w:val="0"/>
                      <w:divBdr>
                        <w:top w:val="none" w:sz="0" w:space="0" w:color="auto"/>
                        <w:left w:val="none" w:sz="0" w:space="0" w:color="auto"/>
                        <w:bottom w:val="none" w:sz="0" w:space="0" w:color="auto"/>
                        <w:right w:val="none" w:sz="0" w:space="0" w:color="auto"/>
                      </w:divBdr>
                    </w:div>
                    <w:div w:id="294145334">
                      <w:marLeft w:val="0"/>
                      <w:marRight w:val="0"/>
                      <w:marTop w:val="0"/>
                      <w:marBottom w:val="0"/>
                      <w:divBdr>
                        <w:top w:val="none" w:sz="0" w:space="0" w:color="auto"/>
                        <w:left w:val="none" w:sz="0" w:space="0" w:color="auto"/>
                        <w:bottom w:val="none" w:sz="0" w:space="0" w:color="auto"/>
                        <w:right w:val="none" w:sz="0" w:space="0" w:color="auto"/>
                      </w:divBdr>
                      <w:divsChild>
                        <w:div w:id="294141039">
                          <w:marLeft w:val="0"/>
                          <w:marRight w:val="0"/>
                          <w:marTop w:val="0"/>
                          <w:marBottom w:val="0"/>
                          <w:divBdr>
                            <w:top w:val="none" w:sz="0" w:space="0" w:color="auto"/>
                            <w:left w:val="none" w:sz="0" w:space="0" w:color="auto"/>
                            <w:bottom w:val="none" w:sz="0" w:space="0" w:color="auto"/>
                            <w:right w:val="none" w:sz="0" w:space="0" w:color="auto"/>
                          </w:divBdr>
                        </w:div>
                      </w:divsChild>
                    </w:div>
                    <w:div w:id="294145447">
                      <w:marLeft w:val="0"/>
                      <w:marRight w:val="0"/>
                      <w:marTop w:val="0"/>
                      <w:marBottom w:val="0"/>
                      <w:divBdr>
                        <w:top w:val="none" w:sz="0" w:space="0" w:color="auto"/>
                        <w:left w:val="none" w:sz="0" w:space="0" w:color="auto"/>
                        <w:bottom w:val="none" w:sz="0" w:space="0" w:color="auto"/>
                        <w:right w:val="none" w:sz="0" w:space="0" w:color="auto"/>
                      </w:divBdr>
                    </w:div>
                    <w:div w:id="294145475">
                      <w:marLeft w:val="0"/>
                      <w:marRight w:val="0"/>
                      <w:marTop w:val="0"/>
                      <w:marBottom w:val="0"/>
                      <w:divBdr>
                        <w:top w:val="none" w:sz="0" w:space="0" w:color="auto"/>
                        <w:left w:val="none" w:sz="0" w:space="0" w:color="auto"/>
                        <w:bottom w:val="none" w:sz="0" w:space="0" w:color="auto"/>
                        <w:right w:val="none" w:sz="0" w:space="0" w:color="auto"/>
                      </w:divBdr>
                      <w:divsChild>
                        <w:div w:id="294156959">
                          <w:marLeft w:val="0"/>
                          <w:marRight w:val="0"/>
                          <w:marTop w:val="0"/>
                          <w:marBottom w:val="0"/>
                          <w:divBdr>
                            <w:top w:val="none" w:sz="0" w:space="0" w:color="auto"/>
                            <w:left w:val="none" w:sz="0" w:space="0" w:color="auto"/>
                            <w:bottom w:val="none" w:sz="0" w:space="0" w:color="auto"/>
                            <w:right w:val="none" w:sz="0" w:space="0" w:color="auto"/>
                          </w:divBdr>
                        </w:div>
                      </w:divsChild>
                    </w:div>
                    <w:div w:id="294145510">
                      <w:marLeft w:val="0"/>
                      <w:marRight w:val="0"/>
                      <w:marTop w:val="0"/>
                      <w:marBottom w:val="0"/>
                      <w:divBdr>
                        <w:top w:val="none" w:sz="0" w:space="0" w:color="auto"/>
                        <w:left w:val="none" w:sz="0" w:space="0" w:color="auto"/>
                        <w:bottom w:val="none" w:sz="0" w:space="0" w:color="auto"/>
                        <w:right w:val="none" w:sz="0" w:space="0" w:color="auto"/>
                      </w:divBdr>
                    </w:div>
                    <w:div w:id="294145550">
                      <w:marLeft w:val="0"/>
                      <w:marRight w:val="0"/>
                      <w:marTop w:val="0"/>
                      <w:marBottom w:val="0"/>
                      <w:divBdr>
                        <w:top w:val="none" w:sz="0" w:space="0" w:color="auto"/>
                        <w:left w:val="none" w:sz="0" w:space="0" w:color="auto"/>
                        <w:bottom w:val="none" w:sz="0" w:space="0" w:color="auto"/>
                        <w:right w:val="none" w:sz="0" w:space="0" w:color="auto"/>
                      </w:divBdr>
                      <w:divsChild>
                        <w:div w:id="294144371">
                          <w:marLeft w:val="0"/>
                          <w:marRight w:val="0"/>
                          <w:marTop w:val="0"/>
                          <w:marBottom w:val="0"/>
                          <w:divBdr>
                            <w:top w:val="none" w:sz="0" w:space="0" w:color="auto"/>
                            <w:left w:val="none" w:sz="0" w:space="0" w:color="auto"/>
                            <w:bottom w:val="none" w:sz="0" w:space="0" w:color="auto"/>
                            <w:right w:val="none" w:sz="0" w:space="0" w:color="auto"/>
                          </w:divBdr>
                        </w:div>
                      </w:divsChild>
                    </w:div>
                    <w:div w:id="294145599">
                      <w:marLeft w:val="0"/>
                      <w:marRight w:val="0"/>
                      <w:marTop w:val="0"/>
                      <w:marBottom w:val="0"/>
                      <w:divBdr>
                        <w:top w:val="none" w:sz="0" w:space="0" w:color="auto"/>
                        <w:left w:val="none" w:sz="0" w:space="0" w:color="auto"/>
                        <w:bottom w:val="none" w:sz="0" w:space="0" w:color="auto"/>
                        <w:right w:val="none" w:sz="0" w:space="0" w:color="auto"/>
                      </w:divBdr>
                    </w:div>
                    <w:div w:id="294145609">
                      <w:marLeft w:val="0"/>
                      <w:marRight w:val="0"/>
                      <w:marTop w:val="0"/>
                      <w:marBottom w:val="0"/>
                      <w:divBdr>
                        <w:top w:val="none" w:sz="0" w:space="0" w:color="auto"/>
                        <w:left w:val="none" w:sz="0" w:space="0" w:color="auto"/>
                        <w:bottom w:val="none" w:sz="0" w:space="0" w:color="auto"/>
                        <w:right w:val="none" w:sz="0" w:space="0" w:color="auto"/>
                      </w:divBdr>
                      <w:divsChild>
                        <w:div w:id="294148770">
                          <w:marLeft w:val="0"/>
                          <w:marRight w:val="0"/>
                          <w:marTop w:val="0"/>
                          <w:marBottom w:val="0"/>
                          <w:divBdr>
                            <w:top w:val="none" w:sz="0" w:space="0" w:color="auto"/>
                            <w:left w:val="none" w:sz="0" w:space="0" w:color="auto"/>
                            <w:bottom w:val="none" w:sz="0" w:space="0" w:color="auto"/>
                            <w:right w:val="none" w:sz="0" w:space="0" w:color="auto"/>
                          </w:divBdr>
                        </w:div>
                      </w:divsChild>
                    </w:div>
                    <w:div w:id="294145758">
                      <w:marLeft w:val="0"/>
                      <w:marRight w:val="0"/>
                      <w:marTop w:val="0"/>
                      <w:marBottom w:val="0"/>
                      <w:divBdr>
                        <w:top w:val="none" w:sz="0" w:space="0" w:color="auto"/>
                        <w:left w:val="none" w:sz="0" w:space="0" w:color="auto"/>
                        <w:bottom w:val="none" w:sz="0" w:space="0" w:color="auto"/>
                        <w:right w:val="none" w:sz="0" w:space="0" w:color="auto"/>
                      </w:divBdr>
                    </w:div>
                    <w:div w:id="294145795">
                      <w:marLeft w:val="0"/>
                      <w:marRight w:val="0"/>
                      <w:marTop w:val="0"/>
                      <w:marBottom w:val="0"/>
                      <w:divBdr>
                        <w:top w:val="none" w:sz="0" w:space="0" w:color="auto"/>
                        <w:left w:val="none" w:sz="0" w:space="0" w:color="auto"/>
                        <w:bottom w:val="none" w:sz="0" w:space="0" w:color="auto"/>
                        <w:right w:val="none" w:sz="0" w:space="0" w:color="auto"/>
                      </w:divBdr>
                      <w:divsChild>
                        <w:div w:id="294151672">
                          <w:marLeft w:val="0"/>
                          <w:marRight w:val="0"/>
                          <w:marTop w:val="0"/>
                          <w:marBottom w:val="0"/>
                          <w:divBdr>
                            <w:top w:val="none" w:sz="0" w:space="0" w:color="auto"/>
                            <w:left w:val="none" w:sz="0" w:space="0" w:color="auto"/>
                            <w:bottom w:val="none" w:sz="0" w:space="0" w:color="auto"/>
                            <w:right w:val="none" w:sz="0" w:space="0" w:color="auto"/>
                          </w:divBdr>
                        </w:div>
                      </w:divsChild>
                    </w:div>
                    <w:div w:id="294146299">
                      <w:marLeft w:val="0"/>
                      <w:marRight w:val="0"/>
                      <w:marTop w:val="0"/>
                      <w:marBottom w:val="0"/>
                      <w:divBdr>
                        <w:top w:val="none" w:sz="0" w:space="0" w:color="auto"/>
                        <w:left w:val="none" w:sz="0" w:space="0" w:color="auto"/>
                        <w:bottom w:val="none" w:sz="0" w:space="0" w:color="auto"/>
                        <w:right w:val="none" w:sz="0" w:space="0" w:color="auto"/>
                      </w:divBdr>
                      <w:divsChild>
                        <w:div w:id="294146724">
                          <w:marLeft w:val="0"/>
                          <w:marRight w:val="0"/>
                          <w:marTop w:val="0"/>
                          <w:marBottom w:val="0"/>
                          <w:divBdr>
                            <w:top w:val="none" w:sz="0" w:space="0" w:color="auto"/>
                            <w:left w:val="none" w:sz="0" w:space="0" w:color="auto"/>
                            <w:bottom w:val="none" w:sz="0" w:space="0" w:color="auto"/>
                            <w:right w:val="none" w:sz="0" w:space="0" w:color="auto"/>
                          </w:divBdr>
                        </w:div>
                      </w:divsChild>
                    </w:div>
                    <w:div w:id="294146353">
                      <w:marLeft w:val="0"/>
                      <w:marRight w:val="0"/>
                      <w:marTop w:val="0"/>
                      <w:marBottom w:val="0"/>
                      <w:divBdr>
                        <w:top w:val="none" w:sz="0" w:space="0" w:color="auto"/>
                        <w:left w:val="none" w:sz="0" w:space="0" w:color="auto"/>
                        <w:bottom w:val="none" w:sz="0" w:space="0" w:color="auto"/>
                        <w:right w:val="none" w:sz="0" w:space="0" w:color="auto"/>
                      </w:divBdr>
                      <w:divsChild>
                        <w:div w:id="294156072">
                          <w:marLeft w:val="0"/>
                          <w:marRight w:val="0"/>
                          <w:marTop w:val="0"/>
                          <w:marBottom w:val="0"/>
                          <w:divBdr>
                            <w:top w:val="none" w:sz="0" w:space="0" w:color="auto"/>
                            <w:left w:val="none" w:sz="0" w:space="0" w:color="auto"/>
                            <w:bottom w:val="none" w:sz="0" w:space="0" w:color="auto"/>
                            <w:right w:val="none" w:sz="0" w:space="0" w:color="auto"/>
                          </w:divBdr>
                        </w:div>
                      </w:divsChild>
                    </w:div>
                    <w:div w:id="294146411">
                      <w:marLeft w:val="0"/>
                      <w:marRight w:val="0"/>
                      <w:marTop w:val="0"/>
                      <w:marBottom w:val="0"/>
                      <w:divBdr>
                        <w:top w:val="none" w:sz="0" w:space="0" w:color="auto"/>
                        <w:left w:val="none" w:sz="0" w:space="0" w:color="auto"/>
                        <w:bottom w:val="none" w:sz="0" w:space="0" w:color="auto"/>
                        <w:right w:val="none" w:sz="0" w:space="0" w:color="auto"/>
                      </w:divBdr>
                      <w:divsChild>
                        <w:div w:id="294143017">
                          <w:marLeft w:val="0"/>
                          <w:marRight w:val="0"/>
                          <w:marTop w:val="0"/>
                          <w:marBottom w:val="0"/>
                          <w:divBdr>
                            <w:top w:val="none" w:sz="0" w:space="0" w:color="auto"/>
                            <w:left w:val="none" w:sz="0" w:space="0" w:color="auto"/>
                            <w:bottom w:val="none" w:sz="0" w:space="0" w:color="auto"/>
                            <w:right w:val="none" w:sz="0" w:space="0" w:color="auto"/>
                          </w:divBdr>
                        </w:div>
                      </w:divsChild>
                    </w:div>
                    <w:div w:id="294146580">
                      <w:marLeft w:val="0"/>
                      <w:marRight w:val="0"/>
                      <w:marTop w:val="0"/>
                      <w:marBottom w:val="0"/>
                      <w:divBdr>
                        <w:top w:val="none" w:sz="0" w:space="0" w:color="auto"/>
                        <w:left w:val="none" w:sz="0" w:space="0" w:color="auto"/>
                        <w:bottom w:val="none" w:sz="0" w:space="0" w:color="auto"/>
                        <w:right w:val="none" w:sz="0" w:space="0" w:color="auto"/>
                      </w:divBdr>
                    </w:div>
                    <w:div w:id="294146838">
                      <w:marLeft w:val="0"/>
                      <w:marRight w:val="0"/>
                      <w:marTop w:val="0"/>
                      <w:marBottom w:val="0"/>
                      <w:divBdr>
                        <w:top w:val="none" w:sz="0" w:space="0" w:color="auto"/>
                        <w:left w:val="none" w:sz="0" w:space="0" w:color="auto"/>
                        <w:bottom w:val="none" w:sz="0" w:space="0" w:color="auto"/>
                        <w:right w:val="none" w:sz="0" w:space="0" w:color="auto"/>
                      </w:divBdr>
                      <w:divsChild>
                        <w:div w:id="294143187">
                          <w:marLeft w:val="0"/>
                          <w:marRight w:val="0"/>
                          <w:marTop w:val="0"/>
                          <w:marBottom w:val="0"/>
                          <w:divBdr>
                            <w:top w:val="none" w:sz="0" w:space="0" w:color="auto"/>
                            <w:left w:val="none" w:sz="0" w:space="0" w:color="auto"/>
                            <w:bottom w:val="none" w:sz="0" w:space="0" w:color="auto"/>
                            <w:right w:val="none" w:sz="0" w:space="0" w:color="auto"/>
                          </w:divBdr>
                        </w:div>
                      </w:divsChild>
                    </w:div>
                    <w:div w:id="294146861">
                      <w:marLeft w:val="0"/>
                      <w:marRight w:val="0"/>
                      <w:marTop w:val="0"/>
                      <w:marBottom w:val="0"/>
                      <w:divBdr>
                        <w:top w:val="none" w:sz="0" w:space="0" w:color="auto"/>
                        <w:left w:val="none" w:sz="0" w:space="0" w:color="auto"/>
                        <w:bottom w:val="none" w:sz="0" w:space="0" w:color="auto"/>
                        <w:right w:val="none" w:sz="0" w:space="0" w:color="auto"/>
                      </w:divBdr>
                      <w:divsChild>
                        <w:div w:id="294151909">
                          <w:marLeft w:val="0"/>
                          <w:marRight w:val="0"/>
                          <w:marTop w:val="0"/>
                          <w:marBottom w:val="0"/>
                          <w:divBdr>
                            <w:top w:val="none" w:sz="0" w:space="0" w:color="auto"/>
                            <w:left w:val="none" w:sz="0" w:space="0" w:color="auto"/>
                            <w:bottom w:val="none" w:sz="0" w:space="0" w:color="auto"/>
                            <w:right w:val="none" w:sz="0" w:space="0" w:color="auto"/>
                          </w:divBdr>
                        </w:div>
                      </w:divsChild>
                    </w:div>
                    <w:div w:id="294146988">
                      <w:marLeft w:val="0"/>
                      <w:marRight w:val="0"/>
                      <w:marTop w:val="0"/>
                      <w:marBottom w:val="0"/>
                      <w:divBdr>
                        <w:top w:val="none" w:sz="0" w:space="0" w:color="auto"/>
                        <w:left w:val="none" w:sz="0" w:space="0" w:color="auto"/>
                        <w:bottom w:val="none" w:sz="0" w:space="0" w:color="auto"/>
                        <w:right w:val="none" w:sz="0" w:space="0" w:color="auto"/>
                      </w:divBdr>
                      <w:divsChild>
                        <w:div w:id="294150716">
                          <w:marLeft w:val="0"/>
                          <w:marRight w:val="0"/>
                          <w:marTop w:val="0"/>
                          <w:marBottom w:val="0"/>
                          <w:divBdr>
                            <w:top w:val="none" w:sz="0" w:space="0" w:color="auto"/>
                            <w:left w:val="none" w:sz="0" w:space="0" w:color="auto"/>
                            <w:bottom w:val="none" w:sz="0" w:space="0" w:color="auto"/>
                            <w:right w:val="none" w:sz="0" w:space="0" w:color="auto"/>
                          </w:divBdr>
                        </w:div>
                      </w:divsChild>
                    </w:div>
                    <w:div w:id="294147062">
                      <w:marLeft w:val="0"/>
                      <w:marRight w:val="0"/>
                      <w:marTop w:val="0"/>
                      <w:marBottom w:val="0"/>
                      <w:divBdr>
                        <w:top w:val="none" w:sz="0" w:space="0" w:color="auto"/>
                        <w:left w:val="none" w:sz="0" w:space="0" w:color="auto"/>
                        <w:bottom w:val="none" w:sz="0" w:space="0" w:color="auto"/>
                        <w:right w:val="none" w:sz="0" w:space="0" w:color="auto"/>
                      </w:divBdr>
                      <w:divsChild>
                        <w:div w:id="294152296">
                          <w:marLeft w:val="0"/>
                          <w:marRight w:val="0"/>
                          <w:marTop w:val="0"/>
                          <w:marBottom w:val="0"/>
                          <w:divBdr>
                            <w:top w:val="none" w:sz="0" w:space="0" w:color="auto"/>
                            <w:left w:val="none" w:sz="0" w:space="0" w:color="auto"/>
                            <w:bottom w:val="none" w:sz="0" w:space="0" w:color="auto"/>
                            <w:right w:val="none" w:sz="0" w:space="0" w:color="auto"/>
                          </w:divBdr>
                        </w:div>
                      </w:divsChild>
                    </w:div>
                    <w:div w:id="294147118">
                      <w:marLeft w:val="0"/>
                      <w:marRight w:val="0"/>
                      <w:marTop w:val="0"/>
                      <w:marBottom w:val="0"/>
                      <w:divBdr>
                        <w:top w:val="none" w:sz="0" w:space="0" w:color="auto"/>
                        <w:left w:val="none" w:sz="0" w:space="0" w:color="auto"/>
                        <w:bottom w:val="none" w:sz="0" w:space="0" w:color="auto"/>
                        <w:right w:val="none" w:sz="0" w:space="0" w:color="auto"/>
                      </w:divBdr>
                    </w:div>
                    <w:div w:id="294147190">
                      <w:marLeft w:val="0"/>
                      <w:marRight w:val="0"/>
                      <w:marTop w:val="0"/>
                      <w:marBottom w:val="0"/>
                      <w:divBdr>
                        <w:top w:val="none" w:sz="0" w:space="0" w:color="auto"/>
                        <w:left w:val="none" w:sz="0" w:space="0" w:color="auto"/>
                        <w:bottom w:val="none" w:sz="0" w:space="0" w:color="auto"/>
                        <w:right w:val="none" w:sz="0" w:space="0" w:color="auto"/>
                      </w:divBdr>
                    </w:div>
                    <w:div w:id="294147223">
                      <w:marLeft w:val="0"/>
                      <w:marRight w:val="0"/>
                      <w:marTop w:val="0"/>
                      <w:marBottom w:val="0"/>
                      <w:divBdr>
                        <w:top w:val="none" w:sz="0" w:space="0" w:color="auto"/>
                        <w:left w:val="none" w:sz="0" w:space="0" w:color="auto"/>
                        <w:bottom w:val="none" w:sz="0" w:space="0" w:color="auto"/>
                        <w:right w:val="none" w:sz="0" w:space="0" w:color="auto"/>
                      </w:divBdr>
                    </w:div>
                    <w:div w:id="294147234">
                      <w:marLeft w:val="0"/>
                      <w:marRight w:val="0"/>
                      <w:marTop w:val="0"/>
                      <w:marBottom w:val="0"/>
                      <w:divBdr>
                        <w:top w:val="none" w:sz="0" w:space="0" w:color="auto"/>
                        <w:left w:val="none" w:sz="0" w:space="0" w:color="auto"/>
                        <w:bottom w:val="none" w:sz="0" w:space="0" w:color="auto"/>
                        <w:right w:val="none" w:sz="0" w:space="0" w:color="auto"/>
                      </w:divBdr>
                    </w:div>
                    <w:div w:id="294147367">
                      <w:marLeft w:val="0"/>
                      <w:marRight w:val="0"/>
                      <w:marTop w:val="0"/>
                      <w:marBottom w:val="0"/>
                      <w:divBdr>
                        <w:top w:val="none" w:sz="0" w:space="0" w:color="auto"/>
                        <w:left w:val="none" w:sz="0" w:space="0" w:color="auto"/>
                        <w:bottom w:val="none" w:sz="0" w:space="0" w:color="auto"/>
                        <w:right w:val="none" w:sz="0" w:space="0" w:color="auto"/>
                      </w:divBdr>
                    </w:div>
                    <w:div w:id="294147464">
                      <w:marLeft w:val="0"/>
                      <w:marRight w:val="0"/>
                      <w:marTop w:val="0"/>
                      <w:marBottom w:val="0"/>
                      <w:divBdr>
                        <w:top w:val="none" w:sz="0" w:space="0" w:color="auto"/>
                        <w:left w:val="none" w:sz="0" w:space="0" w:color="auto"/>
                        <w:bottom w:val="none" w:sz="0" w:space="0" w:color="auto"/>
                        <w:right w:val="none" w:sz="0" w:space="0" w:color="auto"/>
                      </w:divBdr>
                      <w:divsChild>
                        <w:div w:id="294154337">
                          <w:marLeft w:val="0"/>
                          <w:marRight w:val="0"/>
                          <w:marTop w:val="0"/>
                          <w:marBottom w:val="0"/>
                          <w:divBdr>
                            <w:top w:val="none" w:sz="0" w:space="0" w:color="auto"/>
                            <w:left w:val="none" w:sz="0" w:space="0" w:color="auto"/>
                            <w:bottom w:val="none" w:sz="0" w:space="0" w:color="auto"/>
                            <w:right w:val="none" w:sz="0" w:space="0" w:color="auto"/>
                          </w:divBdr>
                        </w:div>
                      </w:divsChild>
                    </w:div>
                    <w:div w:id="294147732">
                      <w:marLeft w:val="0"/>
                      <w:marRight w:val="0"/>
                      <w:marTop w:val="0"/>
                      <w:marBottom w:val="0"/>
                      <w:divBdr>
                        <w:top w:val="none" w:sz="0" w:space="0" w:color="auto"/>
                        <w:left w:val="none" w:sz="0" w:space="0" w:color="auto"/>
                        <w:bottom w:val="none" w:sz="0" w:space="0" w:color="auto"/>
                        <w:right w:val="none" w:sz="0" w:space="0" w:color="auto"/>
                      </w:divBdr>
                      <w:divsChild>
                        <w:div w:id="294145141">
                          <w:marLeft w:val="0"/>
                          <w:marRight w:val="0"/>
                          <w:marTop w:val="0"/>
                          <w:marBottom w:val="0"/>
                          <w:divBdr>
                            <w:top w:val="none" w:sz="0" w:space="0" w:color="auto"/>
                            <w:left w:val="none" w:sz="0" w:space="0" w:color="auto"/>
                            <w:bottom w:val="none" w:sz="0" w:space="0" w:color="auto"/>
                            <w:right w:val="none" w:sz="0" w:space="0" w:color="auto"/>
                          </w:divBdr>
                        </w:div>
                      </w:divsChild>
                    </w:div>
                    <w:div w:id="294147781">
                      <w:marLeft w:val="0"/>
                      <w:marRight w:val="0"/>
                      <w:marTop w:val="0"/>
                      <w:marBottom w:val="0"/>
                      <w:divBdr>
                        <w:top w:val="none" w:sz="0" w:space="0" w:color="auto"/>
                        <w:left w:val="none" w:sz="0" w:space="0" w:color="auto"/>
                        <w:bottom w:val="none" w:sz="0" w:space="0" w:color="auto"/>
                        <w:right w:val="none" w:sz="0" w:space="0" w:color="auto"/>
                      </w:divBdr>
                      <w:divsChild>
                        <w:div w:id="294141691">
                          <w:marLeft w:val="0"/>
                          <w:marRight w:val="0"/>
                          <w:marTop w:val="0"/>
                          <w:marBottom w:val="0"/>
                          <w:divBdr>
                            <w:top w:val="none" w:sz="0" w:space="0" w:color="auto"/>
                            <w:left w:val="none" w:sz="0" w:space="0" w:color="auto"/>
                            <w:bottom w:val="none" w:sz="0" w:space="0" w:color="auto"/>
                            <w:right w:val="none" w:sz="0" w:space="0" w:color="auto"/>
                          </w:divBdr>
                        </w:div>
                      </w:divsChild>
                    </w:div>
                    <w:div w:id="294147914">
                      <w:marLeft w:val="0"/>
                      <w:marRight w:val="0"/>
                      <w:marTop w:val="0"/>
                      <w:marBottom w:val="0"/>
                      <w:divBdr>
                        <w:top w:val="none" w:sz="0" w:space="0" w:color="auto"/>
                        <w:left w:val="none" w:sz="0" w:space="0" w:color="auto"/>
                        <w:bottom w:val="none" w:sz="0" w:space="0" w:color="auto"/>
                        <w:right w:val="none" w:sz="0" w:space="0" w:color="auto"/>
                      </w:divBdr>
                    </w:div>
                    <w:div w:id="294148041">
                      <w:marLeft w:val="0"/>
                      <w:marRight w:val="0"/>
                      <w:marTop w:val="0"/>
                      <w:marBottom w:val="0"/>
                      <w:divBdr>
                        <w:top w:val="none" w:sz="0" w:space="0" w:color="auto"/>
                        <w:left w:val="none" w:sz="0" w:space="0" w:color="auto"/>
                        <w:bottom w:val="none" w:sz="0" w:space="0" w:color="auto"/>
                        <w:right w:val="none" w:sz="0" w:space="0" w:color="auto"/>
                      </w:divBdr>
                      <w:divsChild>
                        <w:div w:id="294145639">
                          <w:marLeft w:val="0"/>
                          <w:marRight w:val="0"/>
                          <w:marTop w:val="0"/>
                          <w:marBottom w:val="0"/>
                          <w:divBdr>
                            <w:top w:val="none" w:sz="0" w:space="0" w:color="auto"/>
                            <w:left w:val="none" w:sz="0" w:space="0" w:color="auto"/>
                            <w:bottom w:val="none" w:sz="0" w:space="0" w:color="auto"/>
                            <w:right w:val="none" w:sz="0" w:space="0" w:color="auto"/>
                          </w:divBdr>
                        </w:div>
                      </w:divsChild>
                    </w:div>
                    <w:div w:id="294148101">
                      <w:marLeft w:val="0"/>
                      <w:marRight w:val="0"/>
                      <w:marTop w:val="0"/>
                      <w:marBottom w:val="0"/>
                      <w:divBdr>
                        <w:top w:val="none" w:sz="0" w:space="0" w:color="auto"/>
                        <w:left w:val="none" w:sz="0" w:space="0" w:color="auto"/>
                        <w:bottom w:val="none" w:sz="0" w:space="0" w:color="auto"/>
                        <w:right w:val="none" w:sz="0" w:space="0" w:color="auto"/>
                      </w:divBdr>
                      <w:divsChild>
                        <w:div w:id="294142484">
                          <w:marLeft w:val="0"/>
                          <w:marRight w:val="0"/>
                          <w:marTop w:val="0"/>
                          <w:marBottom w:val="0"/>
                          <w:divBdr>
                            <w:top w:val="none" w:sz="0" w:space="0" w:color="auto"/>
                            <w:left w:val="none" w:sz="0" w:space="0" w:color="auto"/>
                            <w:bottom w:val="none" w:sz="0" w:space="0" w:color="auto"/>
                            <w:right w:val="none" w:sz="0" w:space="0" w:color="auto"/>
                          </w:divBdr>
                        </w:div>
                      </w:divsChild>
                    </w:div>
                    <w:div w:id="294148314">
                      <w:marLeft w:val="0"/>
                      <w:marRight w:val="0"/>
                      <w:marTop w:val="0"/>
                      <w:marBottom w:val="0"/>
                      <w:divBdr>
                        <w:top w:val="none" w:sz="0" w:space="0" w:color="auto"/>
                        <w:left w:val="none" w:sz="0" w:space="0" w:color="auto"/>
                        <w:bottom w:val="none" w:sz="0" w:space="0" w:color="auto"/>
                        <w:right w:val="none" w:sz="0" w:space="0" w:color="auto"/>
                      </w:divBdr>
                      <w:divsChild>
                        <w:div w:id="294144483">
                          <w:marLeft w:val="0"/>
                          <w:marRight w:val="0"/>
                          <w:marTop w:val="0"/>
                          <w:marBottom w:val="0"/>
                          <w:divBdr>
                            <w:top w:val="none" w:sz="0" w:space="0" w:color="auto"/>
                            <w:left w:val="none" w:sz="0" w:space="0" w:color="auto"/>
                            <w:bottom w:val="none" w:sz="0" w:space="0" w:color="auto"/>
                            <w:right w:val="none" w:sz="0" w:space="0" w:color="auto"/>
                          </w:divBdr>
                        </w:div>
                      </w:divsChild>
                    </w:div>
                    <w:div w:id="294148366">
                      <w:marLeft w:val="0"/>
                      <w:marRight w:val="0"/>
                      <w:marTop w:val="0"/>
                      <w:marBottom w:val="0"/>
                      <w:divBdr>
                        <w:top w:val="none" w:sz="0" w:space="0" w:color="auto"/>
                        <w:left w:val="none" w:sz="0" w:space="0" w:color="auto"/>
                        <w:bottom w:val="none" w:sz="0" w:space="0" w:color="auto"/>
                        <w:right w:val="none" w:sz="0" w:space="0" w:color="auto"/>
                      </w:divBdr>
                      <w:divsChild>
                        <w:div w:id="294142715">
                          <w:marLeft w:val="0"/>
                          <w:marRight w:val="0"/>
                          <w:marTop w:val="0"/>
                          <w:marBottom w:val="0"/>
                          <w:divBdr>
                            <w:top w:val="none" w:sz="0" w:space="0" w:color="auto"/>
                            <w:left w:val="none" w:sz="0" w:space="0" w:color="auto"/>
                            <w:bottom w:val="none" w:sz="0" w:space="0" w:color="auto"/>
                            <w:right w:val="none" w:sz="0" w:space="0" w:color="auto"/>
                          </w:divBdr>
                        </w:div>
                      </w:divsChild>
                    </w:div>
                    <w:div w:id="294148398">
                      <w:marLeft w:val="0"/>
                      <w:marRight w:val="0"/>
                      <w:marTop w:val="0"/>
                      <w:marBottom w:val="0"/>
                      <w:divBdr>
                        <w:top w:val="none" w:sz="0" w:space="0" w:color="auto"/>
                        <w:left w:val="none" w:sz="0" w:space="0" w:color="auto"/>
                        <w:bottom w:val="none" w:sz="0" w:space="0" w:color="auto"/>
                        <w:right w:val="none" w:sz="0" w:space="0" w:color="auto"/>
                      </w:divBdr>
                      <w:divsChild>
                        <w:div w:id="294148173">
                          <w:marLeft w:val="0"/>
                          <w:marRight w:val="0"/>
                          <w:marTop w:val="0"/>
                          <w:marBottom w:val="0"/>
                          <w:divBdr>
                            <w:top w:val="none" w:sz="0" w:space="0" w:color="auto"/>
                            <w:left w:val="none" w:sz="0" w:space="0" w:color="auto"/>
                            <w:bottom w:val="none" w:sz="0" w:space="0" w:color="auto"/>
                            <w:right w:val="none" w:sz="0" w:space="0" w:color="auto"/>
                          </w:divBdr>
                        </w:div>
                      </w:divsChild>
                    </w:div>
                    <w:div w:id="294148693">
                      <w:marLeft w:val="0"/>
                      <w:marRight w:val="0"/>
                      <w:marTop w:val="0"/>
                      <w:marBottom w:val="0"/>
                      <w:divBdr>
                        <w:top w:val="none" w:sz="0" w:space="0" w:color="auto"/>
                        <w:left w:val="none" w:sz="0" w:space="0" w:color="auto"/>
                        <w:bottom w:val="none" w:sz="0" w:space="0" w:color="auto"/>
                        <w:right w:val="none" w:sz="0" w:space="0" w:color="auto"/>
                      </w:divBdr>
                      <w:divsChild>
                        <w:div w:id="294157324">
                          <w:marLeft w:val="0"/>
                          <w:marRight w:val="0"/>
                          <w:marTop w:val="0"/>
                          <w:marBottom w:val="0"/>
                          <w:divBdr>
                            <w:top w:val="none" w:sz="0" w:space="0" w:color="auto"/>
                            <w:left w:val="none" w:sz="0" w:space="0" w:color="auto"/>
                            <w:bottom w:val="none" w:sz="0" w:space="0" w:color="auto"/>
                            <w:right w:val="none" w:sz="0" w:space="0" w:color="auto"/>
                          </w:divBdr>
                        </w:div>
                      </w:divsChild>
                    </w:div>
                    <w:div w:id="294148707">
                      <w:marLeft w:val="0"/>
                      <w:marRight w:val="0"/>
                      <w:marTop w:val="0"/>
                      <w:marBottom w:val="0"/>
                      <w:divBdr>
                        <w:top w:val="none" w:sz="0" w:space="0" w:color="auto"/>
                        <w:left w:val="none" w:sz="0" w:space="0" w:color="auto"/>
                        <w:bottom w:val="none" w:sz="0" w:space="0" w:color="auto"/>
                        <w:right w:val="none" w:sz="0" w:space="0" w:color="auto"/>
                      </w:divBdr>
                      <w:divsChild>
                        <w:div w:id="294157191">
                          <w:marLeft w:val="0"/>
                          <w:marRight w:val="0"/>
                          <w:marTop w:val="0"/>
                          <w:marBottom w:val="0"/>
                          <w:divBdr>
                            <w:top w:val="none" w:sz="0" w:space="0" w:color="auto"/>
                            <w:left w:val="none" w:sz="0" w:space="0" w:color="auto"/>
                            <w:bottom w:val="none" w:sz="0" w:space="0" w:color="auto"/>
                            <w:right w:val="none" w:sz="0" w:space="0" w:color="auto"/>
                          </w:divBdr>
                        </w:div>
                      </w:divsChild>
                    </w:div>
                    <w:div w:id="294148711">
                      <w:marLeft w:val="0"/>
                      <w:marRight w:val="0"/>
                      <w:marTop w:val="0"/>
                      <w:marBottom w:val="0"/>
                      <w:divBdr>
                        <w:top w:val="none" w:sz="0" w:space="0" w:color="auto"/>
                        <w:left w:val="none" w:sz="0" w:space="0" w:color="auto"/>
                        <w:bottom w:val="none" w:sz="0" w:space="0" w:color="auto"/>
                        <w:right w:val="none" w:sz="0" w:space="0" w:color="auto"/>
                      </w:divBdr>
                      <w:divsChild>
                        <w:div w:id="294150854">
                          <w:marLeft w:val="0"/>
                          <w:marRight w:val="0"/>
                          <w:marTop w:val="0"/>
                          <w:marBottom w:val="0"/>
                          <w:divBdr>
                            <w:top w:val="none" w:sz="0" w:space="0" w:color="auto"/>
                            <w:left w:val="none" w:sz="0" w:space="0" w:color="auto"/>
                            <w:bottom w:val="none" w:sz="0" w:space="0" w:color="auto"/>
                            <w:right w:val="none" w:sz="0" w:space="0" w:color="auto"/>
                          </w:divBdr>
                        </w:div>
                      </w:divsChild>
                    </w:div>
                    <w:div w:id="294149107">
                      <w:marLeft w:val="0"/>
                      <w:marRight w:val="0"/>
                      <w:marTop w:val="0"/>
                      <w:marBottom w:val="0"/>
                      <w:divBdr>
                        <w:top w:val="none" w:sz="0" w:space="0" w:color="auto"/>
                        <w:left w:val="none" w:sz="0" w:space="0" w:color="auto"/>
                        <w:bottom w:val="none" w:sz="0" w:space="0" w:color="auto"/>
                        <w:right w:val="none" w:sz="0" w:space="0" w:color="auto"/>
                      </w:divBdr>
                      <w:divsChild>
                        <w:div w:id="294148847">
                          <w:marLeft w:val="0"/>
                          <w:marRight w:val="0"/>
                          <w:marTop w:val="0"/>
                          <w:marBottom w:val="0"/>
                          <w:divBdr>
                            <w:top w:val="none" w:sz="0" w:space="0" w:color="auto"/>
                            <w:left w:val="none" w:sz="0" w:space="0" w:color="auto"/>
                            <w:bottom w:val="none" w:sz="0" w:space="0" w:color="auto"/>
                            <w:right w:val="none" w:sz="0" w:space="0" w:color="auto"/>
                          </w:divBdr>
                        </w:div>
                      </w:divsChild>
                    </w:div>
                    <w:div w:id="294149433">
                      <w:marLeft w:val="0"/>
                      <w:marRight w:val="0"/>
                      <w:marTop w:val="0"/>
                      <w:marBottom w:val="0"/>
                      <w:divBdr>
                        <w:top w:val="none" w:sz="0" w:space="0" w:color="auto"/>
                        <w:left w:val="none" w:sz="0" w:space="0" w:color="auto"/>
                        <w:bottom w:val="none" w:sz="0" w:space="0" w:color="auto"/>
                        <w:right w:val="none" w:sz="0" w:space="0" w:color="auto"/>
                      </w:divBdr>
                    </w:div>
                    <w:div w:id="294149685">
                      <w:marLeft w:val="0"/>
                      <w:marRight w:val="0"/>
                      <w:marTop w:val="0"/>
                      <w:marBottom w:val="0"/>
                      <w:divBdr>
                        <w:top w:val="none" w:sz="0" w:space="0" w:color="auto"/>
                        <w:left w:val="none" w:sz="0" w:space="0" w:color="auto"/>
                        <w:bottom w:val="none" w:sz="0" w:space="0" w:color="auto"/>
                        <w:right w:val="none" w:sz="0" w:space="0" w:color="auto"/>
                      </w:divBdr>
                    </w:div>
                    <w:div w:id="294149710">
                      <w:marLeft w:val="0"/>
                      <w:marRight w:val="0"/>
                      <w:marTop w:val="0"/>
                      <w:marBottom w:val="0"/>
                      <w:divBdr>
                        <w:top w:val="none" w:sz="0" w:space="0" w:color="auto"/>
                        <w:left w:val="none" w:sz="0" w:space="0" w:color="auto"/>
                        <w:bottom w:val="none" w:sz="0" w:space="0" w:color="auto"/>
                        <w:right w:val="none" w:sz="0" w:space="0" w:color="auto"/>
                      </w:divBdr>
                    </w:div>
                    <w:div w:id="294149820">
                      <w:marLeft w:val="0"/>
                      <w:marRight w:val="0"/>
                      <w:marTop w:val="0"/>
                      <w:marBottom w:val="0"/>
                      <w:divBdr>
                        <w:top w:val="none" w:sz="0" w:space="0" w:color="auto"/>
                        <w:left w:val="none" w:sz="0" w:space="0" w:color="auto"/>
                        <w:bottom w:val="none" w:sz="0" w:space="0" w:color="auto"/>
                        <w:right w:val="none" w:sz="0" w:space="0" w:color="auto"/>
                      </w:divBdr>
                      <w:divsChild>
                        <w:div w:id="294146326">
                          <w:marLeft w:val="0"/>
                          <w:marRight w:val="0"/>
                          <w:marTop w:val="0"/>
                          <w:marBottom w:val="0"/>
                          <w:divBdr>
                            <w:top w:val="none" w:sz="0" w:space="0" w:color="auto"/>
                            <w:left w:val="none" w:sz="0" w:space="0" w:color="auto"/>
                            <w:bottom w:val="none" w:sz="0" w:space="0" w:color="auto"/>
                            <w:right w:val="none" w:sz="0" w:space="0" w:color="auto"/>
                          </w:divBdr>
                        </w:div>
                      </w:divsChild>
                    </w:div>
                    <w:div w:id="294150028">
                      <w:marLeft w:val="0"/>
                      <w:marRight w:val="0"/>
                      <w:marTop w:val="0"/>
                      <w:marBottom w:val="0"/>
                      <w:divBdr>
                        <w:top w:val="none" w:sz="0" w:space="0" w:color="auto"/>
                        <w:left w:val="none" w:sz="0" w:space="0" w:color="auto"/>
                        <w:bottom w:val="none" w:sz="0" w:space="0" w:color="auto"/>
                        <w:right w:val="none" w:sz="0" w:space="0" w:color="auto"/>
                      </w:divBdr>
                      <w:divsChild>
                        <w:div w:id="294151671">
                          <w:marLeft w:val="0"/>
                          <w:marRight w:val="0"/>
                          <w:marTop w:val="0"/>
                          <w:marBottom w:val="0"/>
                          <w:divBdr>
                            <w:top w:val="none" w:sz="0" w:space="0" w:color="auto"/>
                            <w:left w:val="none" w:sz="0" w:space="0" w:color="auto"/>
                            <w:bottom w:val="none" w:sz="0" w:space="0" w:color="auto"/>
                            <w:right w:val="none" w:sz="0" w:space="0" w:color="auto"/>
                          </w:divBdr>
                        </w:div>
                      </w:divsChild>
                    </w:div>
                    <w:div w:id="294150035">
                      <w:marLeft w:val="0"/>
                      <w:marRight w:val="0"/>
                      <w:marTop w:val="0"/>
                      <w:marBottom w:val="0"/>
                      <w:divBdr>
                        <w:top w:val="none" w:sz="0" w:space="0" w:color="auto"/>
                        <w:left w:val="none" w:sz="0" w:space="0" w:color="auto"/>
                        <w:bottom w:val="none" w:sz="0" w:space="0" w:color="auto"/>
                        <w:right w:val="none" w:sz="0" w:space="0" w:color="auto"/>
                      </w:divBdr>
                      <w:divsChild>
                        <w:div w:id="294154134">
                          <w:marLeft w:val="0"/>
                          <w:marRight w:val="0"/>
                          <w:marTop w:val="0"/>
                          <w:marBottom w:val="0"/>
                          <w:divBdr>
                            <w:top w:val="none" w:sz="0" w:space="0" w:color="auto"/>
                            <w:left w:val="none" w:sz="0" w:space="0" w:color="auto"/>
                            <w:bottom w:val="none" w:sz="0" w:space="0" w:color="auto"/>
                            <w:right w:val="none" w:sz="0" w:space="0" w:color="auto"/>
                          </w:divBdr>
                        </w:div>
                      </w:divsChild>
                    </w:div>
                    <w:div w:id="294150132">
                      <w:marLeft w:val="0"/>
                      <w:marRight w:val="0"/>
                      <w:marTop w:val="0"/>
                      <w:marBottom w:val="0"/>
                      <w:divBdr>
                        <w:top w:val="none" w:sz="0" w:space="0" w:color="auto"/>
                        <w:left w:val="none" w:sz="0" w:space="0" w:color="auto"/>
                        <w:bottom w:val="none" w:sz="0" w:space="0" w:color="auto"/>
                        <w:right w:val="none" w:sz="0" w:space="0" w:color="auto"/>
                      </w:divBdr>
                    </w:div>
                    <w:div w:id="294150269">
                      <w:marLeft w:val="0"/>
                      <w:marRight w:val="0"/>
                      <w:marTop w:val="0"/>
                      <w:marBottom w:val="0"/>
                      <w:divBdr>
                        <w:top w:val="none" w:sz="0" w:space="0" w:color="auto"/>
                        <w:left w:val="none" w:sz="0" w:space="0" w:color="auto"/>
                        <w:bottom w:val="none" w:sz="0" w:space="0" w:color="auto"/>
                        <w:right w:val="none" w:sz="0" w:space="0" w:color="auto"/>
                      </w:divBdr>
                      <w:divsChild>
                        <w:div w:id="294144743">
                          <w:marLeft w:val="0"/>
                          <w:marRight w:val="0"/>
                          <w:marTop w:val="0"/>
                          <w:marBottom w:val="0"/>
                          <w:divBdr>
                            <w:top w:val="none" w:sz="0" w:space="0" w:color="auto"/>
                            <w:left w:val="none" w:sz="0" w:space="0" w:color="auto"/>
                            <w:bottom w:val="none" w:sz="0" w:space="0" w:color="auto"/>
                            <w:right w:val="none" w:sz="0" w:space="0" w:color="auto"/>
                          </w:divBdr>
                        </w:div>
                      </w:divsChild>
                    </w:div>
                    <w:div w:id="294150635">
                      <w:marLeft w:val="0"/>
                      <w:marRight w:val="0"/>
                      <w:marTop w:val="0"/>
                      <w:marBottom w:val="0"/>
                      <w:divBdr>
                        <w:top w:val="none" w:sz="0" w:space="0" w:color="auto"/>
                        <w:left w:val="none" w:sz="0" w:space="0" w:color="auto"/>
                        <w:bottom w:val="none" w:sz="0" w:space="0" w:color="auto"/>
                        <w:right w:val="none" w:sz="0" w:space="0" w:color="auto"/>
                      </w:divBdr>
                    </w:div>
                    <w:div w:id="294150740">
                      <w:marLeft w:val="0"/>
                      <w:marRight w:val="0"/>
                      <w:marTop w:val="0"/>
                      <w:marBottom w:val="0"/>
                      <w:divBdr>
                        <w:top w:val="none" w:sz="0" w:space="0" w:color="auto"/>
                        <w:left w:val="none" w:sz="0" w:space="0" w:color="auto"/>
                        <w:bottom w:val="none" w:sz="0" w:space="0" w:color="auto"/>
                        <w:right w:val="none" w:sz="0" w:space="0" w:color="auto"/>
                      </w:divBdr>
                    </w:div>
                    <w:div w:id="294151360">
                      <w:marLeft w:val="0"/>
                      <w:marRight w:val="0"/>
                      <w:marTop w:val="0"/>
                      <w:marBottom w:val="0"/>
                      <w:divBdr>
                        <w:top w:val="none" w:sz="0" w:space="0" w:color="auto"/>
                        <w:left w:val="none" w:sz="0" w:space="0" w:color="auto"/>
                        <w:bottom w:val="none" w:sz="0" w:space="0" w:color="auto"/>
                        <w:right w:val="none" w:sz="0" w:space="0" w:color="auto"/>
                      </w:divBdr>
                    </w:div>
                    <w:div w:id="294151376">
                      <w:marLeft w:val="0"/>
                      <w:marRight w:val="0"/>
                      <w:marTop w:val="0"/>
                      <w:marBottom w:val="0"/>
                      <w:divBdr>
                        <w:top w:val="none" w:sz="0" w:space="0" w:color="auto"/>
                        <w:left w:val="none" w:sz="0" w:space="0" w:color="auto"/>
                        <w:bottom w:val="none" w:sz="0" w:space="0" w:color="auto"/>
                        <w:right w:val="none" w:sz="0" w:space="0" w:color="auto"/>
                      </w:divBdr>
                    </w:div>
                    <w:div w:id="294151606">
                      <w:marLeft w:val="0"/>
                      <w:marRight w:val="0"/>
                      <w:marTop w:val="0"/>
                      <w:marBottom w:val="0"/>
                      <w:divBdr>
                        <w:top w:val="none" w:sz="0" w:space="0" w:color="auto"/>
                        <w:left w:val="none" w:sz="0" w:space="0" w:color="auto"/>
                        <w:bottom w:val="none" w:sz="0" w:space="0" w:color="auto"/>
                        <w:right w:val="none" w:sz="0" w:space="0" w:color="auto"/>
                      </w:divBdr>
                    </w:div>
                    <w:div w:id="294151952">
                      <w:marLeft w:val="0"/>
                      <w:marRight w:val="0"/>
                      <w:marTop w:val="0"/>
                      <w:marBottom w:val="0"/>
                      <w:divBdr>
                        <w:top w:val="none" w:sz="0" w:space="0" w:color="auto"/>
                        <w:left w:val="none" w:sz="0" w:space="0" w:color="auto"/>
                        <w:bottom w:val="none" w:sz="0" w:space="0" w:color="auto"/>
                        <w:right w:val="none" w:sz="0" w:space="0" w:color="auto"/>
                      </w:divBdr>
                      <w:divsChild>
                        <w:div w:id="294156994">
                          <w:marLeft w:val="0"/>
                          <w:marRight w:val="0"/>
                          <w:marTop w:val="0"/>
                          <w:marBottom w:val="0"/>
                          <w:divBdr>
                            <w:top w:val="none" w:sz="0" w:space="0" w:color="auto"/>
                            <w:left w:val="none" w:sz="0" w:space="0" w:color="auto"/>
                            <w:bottom w:val="none" w:sz="0" w:space="0" w:color="auto"/>
                            <w:right w:val="none" w:sz="0" w:space="0" w:color="auto"/>
                          </w:divBdr>
                        </w:div>
                      </w:divsChild>
                    </w:div>
                    <w:div w:id="294152121">
                      <w:marLeft w:val="0"/>
                      <w:marRight w:val="0"/>
                      <w:marTop w:val="0"/>
                      <w:marBottom w:val="0"/>
                      <w:divBdr>
                        <w:top w:val="none" w:sz="0" w:space="0" w:color="auto"/>
                        <w:left w:val="none" w:sz="0" w:space="0" w:color="auto"/>
                        <w:bottom w:val="none" w:sz="0" w:space="0" w:color="auto"/>
                        <w:right w:val="none" w:sz="0" w:space="0" w:color="auto"/>
                      </w:divBdr>
                    </w:div>
                    <w:div w:id="294152287">
                      <w:marLeft w:val="0"/>
                      <w:marRight w:val="0"/>
                      <w:marTop w:val="0"/>
                      <w:marBottom w:val="0"/>
                      <w:divBdr>
                        <w:top w:val="none" w:sz="0" w:space="0" w:color="auto"/>
                        <w:left w:val="none" w:sz="0" w:space="0" w:color="auto"/>
                        <w:bottom w:val="none" w:sz="0" w:space="0" w:color="auto"/>
                        <w:right w:val="none" w:sz="0" w:space="0" w:color="auto"/>
                      </w:divBdr>
                      <w:divsChild>
                        <w:div w:id="294154309">
                          <w:marLeft w:val="0"/>
                          <w:marRight w:val="0"/>
                          <w:marTop w:val="0"/>
                          <w:marBottom w:val="0"/>
                          <w:divBdr>
                            <w:top w:val="none" w:sz="0" w:space="0" w:color="auto"/>
                            <w:left w:val="none" w:sz="0" w:space="0" w:color="auto"/>
                            <w:bottom w:val="none" w:sz="0" w:space="0" w:color="auto"/>
                            <w:right w:val="none" w:sz="0" w:space="0" w:color="auto"/>
                          </w:divBdr>
                        </w:div>
                      </w:divsChild>
                    </w:div>
                    <w:div w:id="294152357">
                      <w:marLeft w:val="0"/>
                      <w:marRight w:val="0"/>
                      <w:marTop w:val="0"/>
                      <w:marBottom w:val="0"/>
                      <w:divBdr>
                        <w:top w:val="none" w:sz="0" w:space="0" w:color="auto"/>
                        <w:left w:val="none" w:sz="0" w:space="0" w:color="auto"/>
                        <w:bottom w:val="none" w:sz="0" w:space="0" w:color="auto"/>
                        <w:right w:val="none" w:sz="0" w:space="0" w:color="auto"/>
                      </w:divBdr>
                      <w:divsChild>
                        <w:div w:id="294140238">
                          <w:marLeft w:val="0"/>
                          <w:marRight w:val="0"/>
                          <w:marTop w:val="0"/>
                          <w:marBottom w:val="0"/>
                          <w:divBdr>
                            <w:top w:val="none" w:sz="0" w:space="0" w:color="auto"/>
                            <w:left w:val="none" w:sz="0" w:space="0" w:color="auto"/>
                            <w:bottom w:val="none" w:sz="0" w:space="0" w:color="auto"/>
                            <w:right w:val="none" w:sz="0" w:space="0" w:color="auto"/>
                          </w:divBdr>
                        </w:div>
                      </w:divsChild>
                    </w:div>
                    <w:div w:id="294152392">
                      <w:marLeft w:val="0"/>
                      <w:marRight w:val="0"/>
                      <w:marTop w:val="0"/>
                      <w:marBottom w:val="0"/>
                      <w:divBdr>
                        <w:top w:val="none" w:sz="0" w:space="0" w:color="auto"/>
                        <w:left w:val="none" w:sz="0" w:space="0" w:color="auto"/>
                        <w:bottom w:val="none" w:sz="0" w:space="0" w:color="auto"/>
                        <w:right w:val="none" w:sz="0" w:space="0" w:color="auto"/>
                      </w:divBdr>
                      <w:divsChild>
                        <w:div w:id="294147992">
                          <w:marLeft w:val="0"/>
                          <w:marRight w:val="0"/>
                          <w:marTop w:val="0"/>
                          <w:marBottom w:val="0"/>
                          <w:divBdr>
                            <w:top w:val="none" w:sz="0" w:space="0" w:color="auto"/>
                            <w:left w:val="none" w:sz="0" w:space="0" w:color="auto"/>
                            <w:bottom w:val="none" w:sz="0" w:space="0" w:color="auto"/>
                            <w:right w:val="none" w:sz="0" w:space="0" w:color="auto"/>
                          </w:divBdr>
                        </w:div>
                      </w:divsChild>
                    </w:div>
                    <w:div w:id="294152419">
                      <w:marLeft w:val="0"/>
                      <w:marRight w:val="0"/>
                      <w:marTop w:val="0"/>
                      <w:marBottom w:val="0"/>
                      <w:divBdr>
                        <w:top w:val="none" w:sz="0" w:space="0" w:color="auto"/>
                        <w:left w:val="none" w:sz="0" w:space="0" w:color="auto"/>
                        <w:bottom w:val="none" w:sz="0" w:space="0" w:color="auto"/>
                        <w:right w:val="none" w:sz="0" w:space="0" w:color="auto"/>
                      </w:divBdr>
                    </w:div>
                    <w:div w:id="294152744">
                      <w:marLeft w:val="0"/>
                      <w:marRight w:val="0"/>
                      <w:marTop w:val="0"/>
                      <w:marBottom w:val="0"/>
                      <w:divBdr>
                        <w:top w:val="none" w:sz="0" w:space="0" w:color="auto"/>
                        <w:left w:val="none" w:sz="0" w:space="0" w:color="auto"/>
                        <w:bottom w:val="none" w:sz="0" w:space="0" w:color="auto"/>
                        <w:right w:val="none" w:sz="0" w:space="0" w:color="auto"/>
                      </w:divBdr>
                    </w:div>
                    <w:div w:id="294153165">
                      <w:marLeft w:val="0"/>
                      <w:marRight w:val="0"/>
                      <w:marTop w:val="0"/>
                      <w:marBottom w:val="0"/>
                      <w:divBdr>
                        <w:top w:val="none" w:sz="0" w:space="0" w:color="auto"/>
                        <w:left w:val="none" w:sz="0" w:space="0" w:color="auto"/>
                        <w:bottom w:val="none" w:sz="0" w:space="0" w:color="auto"/>
                        <w:right w:val="none" w:sz="0" w:space="0" w:color="auto"/>
                      </w:divBdr>
                      <w:divsChild>
                        <w:div w:id="294154579">
                          <w:marLeft w:val="0"/>
                          <w:marRight w:val="0"/>
                          <w:marTop w:val="0"/>
                          <w:marBottom w:val="0"/>
                          <w:divBdr>
                            <w:top w:val="none" w:sz="0" w:space="0" w:color="auto"/>
                            <w:left w:val="none" w:sz="0" w:space="0" w:color="auto"/>
                            <w:bottom w:val="none" w:sz="0" w:space="0" w:color="auto"/>
                            <w:right w:val="none" w:sz="0" w:space="0" w:color="auto"/>
                          </w:divBdr>
                        </w:div>
                      </w:divsChild>
                    </w:div>
                    <w:div w:id="294153217">
                      <w:marLeft w:val="0"/>
                      <w:marRight w:val="0"/>
                      <w:marTop w:val="0"/>
                      <w:marBottom w:val="0"/>
                      <w:divBdr>
                        <w:top w:val="none" w:sz="0" w:space="0" w:color="auto"/>
                        <w:left w:val="none" w:sz="0" w:space="0" w:color="auto"/>
                        <w:bottom w:val="none" w:sz="0" w:space="0" w:color="auto"/>
                        <w:right w:val="none" w:sz="0" w:space="0" w:color="auto"/>
                      </w:divBdr>
                    </w:div>
                    <w:div w:id="294153297">
                      <w:marLeft w:val="0"/>
                      <w:marRight w:val="0"/>
                      <w:marTop w:val="0"/>
                      <w:marBottom w:val="0"/>
                      <w:divBdr>
                        <w:top w:val="none" w:sz="0" w:space="0" w:color="auto"/>
                        <w:left w:val="none" w:sz="0" w:space="0" w:color="auto"/>
                        <w:bottom w:val="none" w:sz="0" w:space="0" w:color="auto"/>
                        <w:right w:val="none" w:sz="0" w:space="0" w:color="auto"/>
                      </w:divBdr>
                      <w:divsChild>
                        <w:div w:id="294152608">
                          <w:marLeft w:val="0"/>
                          <w:marRight w:val="0"/>
                          <w:marTop w:val="0"/>
                          <w:marBottom w:val="0"/>
                          <w:divBdr>
                            <w:top w:val="none" w:sz="0" w:space="0" w:color="auto"/>
                            <w:left w:val="none" w:sz="0" w:space="0" w:color="auto"/>
                            <w:bottom w:val="none" w:sz="0" w:space="0" w:color="auto"/>
                            <w:right w:val="none" w:sz="0" w:space="0" w:color="auto"/>
                          </w:divBdr>
                        </w:div>
                      </w:divsChild>
                    </w:div>
                    <w:div w:id="294153631">
                      <w:marLeft w:val="0"/>
                      <w:marRight w:val="0"/>
                      <w:marTop w:val="0"/>
                      <w:marBottom w:val="0"/>
                      <w:divBdr>
                        <w:top w:val="none" w:sz="0" w:space="0" w:color="auto"/>
                        <w:left w:val="none" w:sz="0" w:space="0" w:color="auto"/>
                        <w:bottom w:val="none" w:sz="0" w:space="0" w:color="auto"/>
                        <w:right w:val="none" w:sz="0" w:space="0" w:color="auto"/>
                      </w:divBdr>
                    </w:div>
                    <w:div w:id="294153669">
                      <w:marLeft w:val="0"/>
                      <w:marRight w:val="0"/>
                      <w:marTop w:val="0"/>
                      <w:marBottom w:val="0"/>
                      <w:divBdr>
                        <w:top w:val="none" w:sz="0" w:space="0" w:color="auto"/>
                        <w:left w:val="none" w:sz="0" w:space="0" w:color="auto"/>
                        <w:bottom w:val="none" w:sz="0" w:space="0" w:color="auto"/>
                        <w:right w:val="none" w:sz="0" w:space="0" w:color="auto"/>
                      </w:divBdr>
                    </w:div>
                    <w:div w:id="294153756">
                      <w:marLeft w:val="0"/>
                      <w:marRight w:val="0"/>
                      <w:marTop w:val="0"/>
                      <w:marBottom w:val="0"/>
                      <w:divBdr>
                        <w:top w:val="none" w:sz="0" w:space="0" w:color="auto"/>
                        <w:left w:val="none" w:sz="0" w:space="0" w:color="auto"/>
                        <w:bottom w:val="none" w:sz="0" w:space="0" w:color="auto"/>
                        <w:right w:val="none" w:sz="0" w:space="0" w:color="auto"/>
                      </w:divBdr>
                      <w:divsChild>
                        <w:div w:id="294143922">
                          <w:marLeft w:val="0"/>
                          <w:marRight w:val="0"/>
                          <w:marTop w:val="0"/>
                          <w:marBottom w:val="0"/>
                          <w:divBdr>
                            <w:top w:val="none" w:sz="0" w:space="0" w:color="auto"/>
                            <w:left w:val="none" w:sz="0" w:space="0" w:color="auto"/>
                            <w:bottom w:val="none" w:sz="0" w:space="0" w:color="auto"/>
                            <w:right w:val="none" w:sz="0" w:space="0" w:color="auto"/>
                          </w:divBdr>
                        </w:div>
                      </w:divsChild>
                    </w:div>
                    <w:div w:id="294153887">
                      <w:marLeft w:val="0"/>
                      <w:marRight w:val="0"/>
                      <w:marTop w:val="0"/>
                      <w:marBottom w:val="0"/>
                      <w:divBdr>
                        <w:top w:val="none" w:sz="0" w:space="0" w:color="auto"/>
                        <w:left w:val="none" w:sz="0" w:space="0" w:color="auto"/>
                        <w:bottom w:val="none" w:sz="0" w:space="0" w:color="auto"/>
                        <w:right w:val="none" w:sz="0" w:space="0" w:color="auto"/>
                      </w:divBdr>
                    </w:div>
                    <w:div w:id="294153899">
                      <w:marLeft w:val="0"/>
                      <w:marRight w:val="0"/>
                      <w:marTop w:val="0"/>
                      <w:marBottom w:val="0"/>
                      <w:divBdr>
                        <w:top w:val="none" w:sz="0" w:space="0" w:color="auto"/>
                        <w:left w:val="none" w:sz="0" w:space="0" w:color="auto"/>
                        <w:bottom w:val="none" w:sz="0" w:space="0" w:color="auto"/>
                        <w:right w:val="none" w:sz="0" w:space="0" w:color="auto"/>
                      </w:divBdr>
                    </w:div>
                    <w:div w:id="294154164">
                      <w:marLeft w:val="0"/>
                      <w:marRight w:val="0"/>
                      <w:marTop w:val="0"/>
                      <w:marBottom w:val="0"/>
                      <w:divBdr>
                        <w:top w:val="none" w:sz="0" w:space="0" w:color="auto"/>
                        <w:left w:val="none" w:sz="0" w:space="0" w:color="auto"/>
                        <w:bottom w:val="none" w:sz="0" w:space="0" w:color="auto"/>
                        <w:right w:val="none" w:sz="0" w:space="0" w:color="auto"/>
                      </w:divBdr>
                      <w:divsChild>
                        <w:div w:id="294157344">
                          <w:marLeft w:val="0"/>
                          <w:marRight w:val="0"/>
                          <w:marTop w:val="0"/>
                          <w:marBottom w:val="0"/>
                          <w:divBdr>
                            <w:top w:val="none" w:sz="0" w:space="0" w:color="auto"/>
                            <w:left w:val="none" w:sz="0" w:space="0" w:color="auto"/>
                            <w:bottom w:val="none" w:sz="0" w:space="0" w:color="auto"/>
                            <w:right w:val="none" w:sz="0" w:space="0" w:color="auto"/>
                          </w:divBdr>
                        </w:div>
                      </w:divsChild>
                    </w:div>
                    <w:div w:id="294154215">
                      <w:marLeft w:val="0"/>
                      <w:marRight w:val="0"/>
                      <w:marTop w:val="0"/>
                      <w:marBottom w:val="0"/>
                      <w:divBdr>
                        <w:top w:val="none" w:sz="0" w:space="0" w:color="auto"/>
                        <w:left w:val="none" w:sz="0" w:space="0" w:color="auto"/>
                        <w:bottom w:val="none" w:sz="0" w:space="0" w:color="auto"/>
                        <w:right w:val="none" w:sz="0" w:space="0" w:color="auto"/>
                      </w:divBdr>
                      <w:divsChild>
                        <w:div w:id="294148120">
                          <w:marLeft w:val="0"/>
                          <w:marRight w:val="0"/>
                          <w:marTop w:val="0"/>
                          <w:marBottom w:val="0"/>
                          <w:divBdr>
                            <w:top w:val="none" w:sz="0" w:space="0" w:color="auto"/>
                            <w:left w:val="none" w:sz="0" w:space="0" w:color="auto"/>
                            <w:bottom w:val="none" w:sz="0" w:space="0" w:color="auto"/>
                            <w:right w:val="none" w:sz="0" w:space="0" w:color="auto"/>
                          </w:divBdr>
                        </w:div>
                      </w:divsChild>
                    </w:div>
                    <w:div w:id="294154366">
                      <w:marLeft w:val="0"/>
                      <w:marRight w:val="0"/>
                      <w:marTop w:val="0"/>
                      <w:marBottom w:val="0"/>
                      <w:divBdr>
                        <w:top w:val="none" w:sz="0" w:space="0" w:color="auto"/>
                        <w:left w:val="none" w:sz="0" w:space="0" w:color="auto"/>
                        <w:bottom w:val="none" w:sz="0" w:space="0" w:color="auto"/>
                        <w:right w:val="none" w:sz="0" w:space="0" w:color="auto"/>
                      </w:divBdr>
                    </w:div>
                    <w:div w:id="294154437">
                      <w:marLeft w:val="0"/>
                      <w:marRight w:val="0"/>
                      <w:marTop w:val="0"/>
                      <w:marBottom w:val="0"/>
                      <w:divBdr>
                        <w:top w:val="none" w:sz="0" w:space="0" w:color="auto"/>
                        <w:left w:val="none" w:sz="0" w:space="0" w:color="auto"/>
                        <w:bottom w:val="none" w:sz="0" w:space="0" w:color="auto"/>
                        <w:right w:val="none" w:sz="0" w:space="0" w:color="auto"/>
                      </w:divBdr>
                      <w:divsChild>
                        <w:div w:id="294149485">
                          <w:marLeft w:val="0"/>
                          <w:marRight w:val="0"/>
                          <w:marTop w:val="0"/>
                          <w:marBottom w:val="0"/>
                          <w:divBdr>
                            <w:top w:val="none" w:sz="0" w:space="0" w:color="auto"/>
                            <w:left w:val="none" w:sz="0" w:space="0" w:color="auto"/>
                            <w:bottom w:val="none" w:sz="0" w:space="0" w:color="auto"/>
                            <w:right w:val="none" w:sz="0" w:space="0" w:color="auto"/>
                          </w:divBdr>
                        </w:div>
                      </w:divsChild>
                    </w:div>
                    <w:div w:id="294154459">
                      <w:marLeft w:val="0"/>
                      <w:marRight w:val="0"/>
                      <w:marTop w:val="0"/>
                      <w:marBottom w:val="0"/>
                      <w:divBdr>
                        <w:top w:val="none" w:sz="0" w:space="0" w:color="auto"/>
                        <w:left w:val="none" w:sz="0" w:space="0" w:color="auto"/>
                        <w:bottom w:val="none" w:sz="0" w:space="0" w:color="auto"/>
                        <w:right w:val="none" w:sz="0" w:space="0" w:color="auto"/>
                      </w:divBdr>
                    </w:div>
                    <w:div w:id="294154597">
                      <w:marLeft w:val="0"/>
                      <w:marRight w:val="0"/>
                      <w:marTop w:val="0"/>
                      <w:marBottom w:val="0"/>
                      <w:divBdr>
                        <w:top w:val="none" w:sz="0" w:space="0" w:color="auto"/>
                        <w:left w:val="none" w:sz="0" w:space="0" w:color="auto"/>
                        <w:bottom w:val="none" w:sz="0" w:space="0" w:color="auto"/>
                        <w:right w:val="none" w:sz="0" w:space="0" w:color="auto"/>
                      </w:divBdr>
                    </w:div>
                    <w:div w:id="294154705">
                      <w:marLeft w:val="0"/>
                      <w:marRight w:val="0"/>
                      <w:marTop w:val="0"/>
                      <w:marBottom w:val="0"/>
                      <w:divBdr>
                        <w:top w:val="none" w:sz="0" w:space="0" w:color="auto"/>
                        <w:left w:val="none" w:sz="0" w:space="0" w:color="auto"/>
                        <w:bottom w:val="none" w:sz="0" w:space="0" w:color="auto"/>
                        <w:right w:val="none" w:sz="0" w:space="0" w:color="auto"/>
                      </w:divBdr>
                      <w:divsChild>
                        <w:div w:id="294149658">
                          <w:marLeft w:val="0"/>
                          <w:marRight w:val="0"/>
                          <w:marTop w:val="0"/>
                          <w:marBottom w:val="0"/>
                          <w:divBdr>
                            <w:top w:val="none" w:sz="0" w:space="0" w:color="auto"/>
                            <w:left w:val="none" w:sz="0" w:space="0" w:color="auto"/>
                            <w:bottom w:val="none" w:sz="0" w:space="0" w:color="auto"/>
                            <w:right w:val="none" w:sz="0" w:space="0" w:color="auto"/>
                          </w:divBdr>
                        </w:div>
                      </w:divsChild>
                    </w:div>
                    <w:div w:id="294155031">
                      <w:marLeft w:val="0"/>
                      <w:marRight w:val="0"/>
                      <w:marTop w:val="0"/>
                      <w:marBottom w:val="0"/>
                      <w:divBdr>
                        <w:top w:val="none" w:sz="0" w:space="0" w:color="auto"/>
                        <w:left w:val="none" w:sz="0" w:space="0" w:color="auto"/>
                        <w:bottom w:val="none" w:sz="0" w:space="0" w:color="auto"/>
                        <w:right w:val="none" w:sz="0" w:space="0" w:color="auto"/>
                      </w:divBdr>
                    </w:div>
                    <w:div w:id="294155236">
                      <w:marLeft w:val="0"/>
                      <w:marRight w:val="0"/>
                      <w:marTop w:val="0"/>
                      <w:marBottom w:val="0"/>
                      <w:divBdr>
                        <w:top w:val="none" w:sz="0" w:space="0" w:color="auto"/>
                        <w:left w:val="none" w:sz="0" w:space="0" w:color="auto"/>
                        <w:bottom w:val="none" w:sz="0" w:space="0" w:color="auto"/>
                        <w:right w:val="none" w:sz="0" w:space="0" w:color="auto"/>
                      </w:divBdr>
                      <w:divsChild>
                        <w:div w:id="294138217">
                          <w:marLeft w:val="0"/>
                          <w:marRight w:val="0"/>
                          <w:marTop w:val="0"/>
                          <w:marBottom w:val="0"/>
                          <w:divBdr>
                            <w:top w:val="none" w:sz="0" w:space="0" w:color="auto"/>
                            <w:left w:val="none" w:sz="0" w:space="0" w:color="auto"/>
                            <w:bottom w:val="none" w:sz="0" w:space="0" w:color="auto"/>
                            <w:right w:val="none" w:sz="0" w:space="0" w:color="auto"/>
                          </w:divBdr>
                        </w:div>
                      </w:divsChild>
                    </w:div>
                    <w:div w:id="294155267">
                      <w:marLeft w:val="0"/>
                      <w:marRight w:val="0"/>
                      <w:marTop w:val="0"/>
                      <w:marBottom w:val="0"/>
                      <w:divBdr>
                        <w:top w:val="none" w:sz="0" w:space="0" w:color="auto"/>
                        <w:left w:val="none" w:sz="0" w:space="0" w:color="auto"/>
                        <w:bottom w:val="none" w:sz="0" w:space="0" w:color="auto"/>
                        <w:right w:val="none" w:sz="0" w:space="0" w:color="auto"/>
                      </w:divBdr>
                    </w:div>
                    <w:div w:id="294155545">
                      <w:marLeft w:val="0"/>
                      <w:marRight w:val="0"/>
                      <w:marTop w:val="0"/>
                      <w:marBottom w:val="0"/>
                      <w:divBdr>
                        <w:top w:val="none" w:sz="0" w:space="0" w:color="auto"/>
                        <w:left w:val="none" w:sz="0" w:space="0" w:color="auto"/>
                        <w:bottom w:val="none" w:sz="0" w:space="0" w:color="auto"/>
                        <w:right w:val="none" w:sz="0" w:space="0" w:color="auto"/>
                      </w:divBdr>
                      <w:divsChild>
                        <w:div w:id="294146986">
                          <w:marLeft w:val="0"/>
                          <w:marRight w:val="0"/>
                          <w:marTop w:val="0"/>
                          <w:marBottom w:val="0"/>
                          <w:divBdr>
                            <w:top w:val="none" w:sz="0" w:space="0" w:color="auto"/>
                            <w:left w:val="none" w:sz="0" w:space="0" w:color="auto"/>
                            <w:bottom w:val="none" w:sz="0" w:space="0" w:color="auto"/>
                            <w:right w:val="none" w:sz="0" w:space="0" w:color="auto"/>
                          </w:divBdr>
                        </w:div>
                      </w:divsChild>
                    </w:div>
                    <w:div w:id="294155622">
                      <w:marLeft w:val="0"/>
                      <w:marRight w:val="0"/>
                      <w:marTop w:val="0"/>
                      <w:marBottom w:val="0"/>
                      <w:divBdr>
                        <w:top w:val="none" w:sz="0" w:space="0" w:color="auto"/>
                        <w:left w:val="none" w:sz="0" w:space="0" w:color="auto"/>
                        <w:bottom w:val="none" w:sz="0" w:space="0" w:color="auto"/>
                        <w:right w:val="none" w:sz="0" w:space="0" w:color="auto"/>
                      </w:divBdr>
                    </w:div>
                    <w:div w:id="294156018">
                      <w:marLeft w:val="0"/>
                      <w:marRight w:val="0"/>
                      <w:marTop w:val="0"/>
                      <w:marBottom w:val="0"/>
                      <w:divBdr>
                        <w:top w:val="none" w:sz="0" w:space="0" w:color="auto"/>
                        <w:left w:val="none" w:sz="0" w:space="0" w:color="auto"/>
                        <w:bottom w:val="none" w:sz="0" w:space="0" w:color="auto"/>
                        <w:right w:val="none" w:sz="0" w:space="0" w:color="auto"/>
                      </w:divBdr>
                      <w:divsChild>
                        <w:div w:id="294153718">
                          <w:marLeft w:val="0"/>
                          <w:marRight w:val="0"/>
                          <w:marTop w:val="0"/>
                          <w:marBottom w:val="0"/>
                          <w:divBdr>
                            <w:top w:val="none" w:sz="0" w:space="0" w:color="auto"/>
                            <w:left w:val="none" w:sz="0" w:space="0" w:color="auto"/>
                            <w:bottom w:val="none" w:sz="0" w:space="0" w:color="auto"/>
                            <w:right w:val="none" w:sz="0" w:space="0" w:color="auto"/>
                          </w:divBdr>
                        </w:div>
                      </w:divsChild>
                    </w:div>
                    <w:div w:id="294156113">
                      <w:marLeft w:val="0"/>
                      <w:marRight w:val="0"/>
                      <w:marTop w:val="0"/>
                      <w:marBottom w:val="0"/>
                      <w:divBdr>
                        <w:top w:val="none" w:sz="0" w:space="0" w:color="auto"/>
                        <w:left w:val="none" w:sz="0" w:space="0" w:color="auto"/>
                        <w:bottom w:val="none" w:sz="0" w:space="0" w:color="auto"/>
                        <w:right w:val="none" w:sz="0" w:space="0" w:color="auto"/>
                      </w:divBdr>
                      <w:divsChild>
                        <w:div w:id="294140536">
                          <w:marLeft w:val="0"/>
                          <w:marRight w:val="0"/>
                          <w:marTop w:val="0"/>
                          <w:marBottom w:val="0"/>
                          <w:divBdr>
                            <w:top w:val="none" w:sz="0" w:space="0" w:color="auto"/>
                            <w:left w:val="none" w:sz="0" w:space="0" w:color="auto"/>
                            <w:bottom w:val="none" w:sz="0" w:space="0" w:color="auto"/>
                            <w:right w:val="none" w:sz="0" w:space="0" w:color="auto"/>
                          </w:divBdr>
                        </w:div>
                      </w:divsChild>
                    </w:div>
                    <w:div w:id="294156269">
                      <w:marLeft w:val="0"/>
                      <w:marRight w:val="0"/>
                      <w:marTop w:val="0"/>
                      <w:marBottom w:val="0"/>
                      <w:divBdr>
                        <w:top w:val="none" w:sz="0" w:space="0" w:color="auto"/>
                        <w:left w:val="none" w:sz="0" w:space="0" w:color="auto"/>
                        <w:bottom w:val="none" w:sz="0" w:space="0" w:color="auto"/>
                        <w:right w:val="none" w:sz="0" w:space="0" w:color="auto"/>
                      </w:divBdr>
                      <w:divsChild>
                        <w:div w:id="294142146">
                          <w:marLeft w:val="0"/>
                          <w:marRight w:val="0"/>
                          <w:marTop w:val="0"/>
                          <w:marBottom w:val="0"/>
                          <w:divBdr>
                            <w:top w:val="none" w:sz="0" w:space="0" w:color="auto"/>
                            <w:left w:val="none" w:sz="0" w:space="0" w:color="auto"/>
                            <w:bottom w:val="none" w:sz="0" w:space="0" w:color="auto"/>
                            <w:right w:val="none" w:sz="0" w:space="0" w:color="auto"/>
                          </w:divBdr>
                        </w:div>
                      </w:divsChild>
                    </w:div>
                    <w:div w:id="294156478">
                      <w:marLeft w:val="0"/>
                      <w:marRight w:val="0"/>
                      <w:marTop w:val="0"/>
                      <w:marBottom w:val="0"/>
                      <w:divBdr>
                        <w:top w:val="none" w:sz="0" w:space="0" w:color="auto"/>
                        <w:left w:val="none" w:sz="0" w:space="0" w:color="auto"/>
                        <w:bottom w:val="none" w:sz="0" w:space="0" w:color="auto"/>
                        <w:right w:val="none" w:sz="0" w:space="0" w:color="auto"/>
                      </w:divBdr>
                    </w:div>
                    <w:div w:id="294156676">
                      <w:marLeft w:val="0"/>
                      <w:marRight w:val="0"/>
                      <w:marTop w:val="0"/>
                      <w:marBottom w:val="0"/>
                      <w:divBdr>
                        <w:top w:val="none" w:sz="0" w:space="0" w:color="auto"/>
                        <w:left w:val="none" w:sz="0" w:space="0" w:color="auto"/>
                        <w:bottom w:val="none" w:sz="0" w:space="0" w:color="auto"/>
                        <w:right w:val="none" w:sz="0" w:space="0" w:color="auto"/>
                      </w:divBdr>
                    </w:div>
                    <w:div w:id="294157186">
                      <w:marLeft w:val="0"/>
                      <w:marRight w:val="0"/>
                      <w:marTop w:val="0"/>
                      <w:marBottom w:val="0"/>
                      <w:divBdr>
                        <w:top w:val="none" w:sz="0" w:space="0" w:color="auto"/>
                        <w:left w:val="none" w:sz="0" w:space="0" w:color="auto"/>
                        <w:bottom w:val="none" w:sz="0" w:space="0" w:color="auto"/>
                        <w:right w:val="none" w:sz="0" w:space="0" w:color="auto"/>
                      </w:divBdr>
                    </w:div>
                    <w:div w:id="294157408">
                      <w:marLeft w:val="0"/>
                      <w:marRight w:val="0"/>
                      <w:marTop w:val="0"/>
                      <w:marBottom w:val="0"/>
                      <w:divBdr>
                        <w:top w:val="none" w:sz="0" w:space="0" w:color="auto"/>
                        <w:left w:val="none" w:sz="0" w:space="0" w:color="auto"/>
                        <w:bottom w:val="none" w:sz="0" w:space="0" w:color="auto"/>
                        <w:right w:val="none" w:sz="0" w:space="0" w:color="auto"/>
                      </w:divBdr>
                      <w:divsChild>
                        <w:div w:id="294148089">
                          <w:marLeft w:val="0"/>
                          <w:marRight w:val="0"/>
                          <w:marTop w:val="0"/>
                          <w:marBottom w:val="0"/>
                          <w:divBdr>
                            <w:top w:val="none" w:sz="0" w:space="0" w:color="auto"/>
                            <w:left w:val="none" w:sz="0" w:space="0" w:color="auto"/>
                            <w:bottom w:val="none" w:sz="0" w:space="0" w:color="auto"/>
                            <w:right w:val="none" w:sz="0" w:space="0" w:color="auto"/>
                          </w:divBdr>
                        </w:div>
                      </w:divsChild>
                    </w:div>
                    <w:div w:id="2941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44120">
          <w:marLeft w:val="0"/>
          <w:marRight w:val="0"/>
          <w:marTop w:val="0"/>
          <w:marBottom w:val="0"/>
          <w:divBdr>
            <w:top w:val="none" w:sz="0" w:space="0" w:color="auto"/>
            <w:left w:val="none" w:sz="0" w:space="0" w:color="auto"/>
            <w:bottom w:val="none" w:sz="0" w:space="0" w:color="auto"/>
            <w:right w:val="none" w:sz="0" w:space="0" w:color="auto"/>
          </w:divBdr>
          <w:divsChild>
            <w:div w:id="294147330">
              <w:marLeft w:val="0"/>
              <w:marRight w:val="0"/>
              <w:marTop w:val="0"/>
              <w:marBottom w:val="0"/>
              <w:divBdr>
                <w:top w:val="none" w:sz="0" w:space="0" w:color="auto"/>
                <w:left w:val="none" w:sz="0" w:space="0" w:color="auto"/>
                <w:bottom w:val="none" w:sz="0" w:space="0" w:color="auto"/>
                <w:right w:val="none" w:sz="0" w:space="0" w:color="auto"/>
              </w:divBdr>
              <w:divsChild>
                <w:div w:id="29414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1151">
          <w:marLeft w:val="0"/>
          <w:marRight w:val="0"/>
          <w:marTop w:val="0"/>
          <w:marBottom w:val="300"/>
          <w:divBdr>
            <w:top w:val="none" w:sz="0" w:space="0" w:color="auto"/>
            <w:left w:val="none" w:sz="0" w:space="0" w:color="auto"/>
            <w:bottom w:val="none" w:sz="0" w:space="0" w:color="auto"/>
            <w:right w:val="none" w:sz="0" w:space="0" w:color="auto"/>
          </w:divBdr>
        </w:div>
      </w:divsChild>
    </w:div>
    <w:div w:id="294153751">
      <w:marLeft w:val="0"/>
      <w:marRight w:val="0"/>
      <w:marTop w:val="0"/>
      <w:marBottom w:val="0"/>
      <w:divBdr>
        <w:top w:val="none" w:sz="0" w:space="0" w:color="auto"/>
        <w:left w:val="none" w:sz="0" w:space="0" w:color="auto"/>
        <w:bottom w:val="none" w:sz="0" w:space="0" w:color="auto"/>
        <w:right w:val="none" w:sz="0" w:space="0" w:color="auto"/>
      </w:divBdr>
      <w:divsChild>
        <w:div w:id="294148194">
          <w:marLeft w:val="0"/>
          <w:marRight w:val="0"/>
          <w:marTop w:val="0"/>
          <w:marBottom w:val="400"/>
          <w:divBdr>
            <w:top w:val="none" w:sz="0" w:space="0" w:color="auto"/>
            <w:left w:val="none" w:sz="0" w:space="0" w:color="auto"/>
            <w:bottom w:val="none" w:sz="0" w:space="0" w:color="auto"/>
            <w:right w:val="none" w:sz="0" w:space="0" w:color="auto"/>
          </w:divBdr>
        </w:div>
      </w:divsChild>
    </w:div>
    <w:div w:id="294153763">
      <w:marLeft w:val="0"/>
      <w:marRight w:val="0"/>
      <w:marTop w:val="0"/>
      <w:marBottom w:val="0"/>
      <w:divBdr>
        <w:top w:val="none" w:sz="0" w:space="0" w:color="auto"/>
        <w:left w:val="none" w:sz="0" w:space="0" w:color="auto"/>
        <w:bottom w:val="none" w:sz="0" w:space="0" w:color="auto"/>
        <w:right w:val="none" w:sz="0" w:space="0" w:color="auto"/>
      </w:divBdr>
    </w:div>
    <w:div w:id="294153794">
      <w:marLeft w:val="0"/>
      <w:marRight w:val="0"/>
      <w:marTop w:val="0"/>
      <w:marBottom w:val="0"/>
      <w:divBdr>
        <w:top w:val="none" w:sz="0" w:space="0" w:color="auto"/>
        <w:left w:val="none" w:sz="0" w:space="0" w:color="auto"/>
        <w:bottom w:val="none" w:sz="0" w:space="0" w:color="auto"/>
        <w:right w:val="none" w:sz="0" w:space="0" w:color="auto"/>
      </w:divBdr>
    </w:div>
    <w:div w:id="294153813">
      <w:marLeft w:val="0"/>
      <w:marRight w:val="0"/>
      <w:marTop w:val="0"/>
      <w:marBottom w:val="0"/>
      <w:divBdr>
        <w:top w:val="none" w:sz="0" w:space="0" w:color="auto"/>
        <w:left w:val="none" w:sz="0" w:space="0" w:color="auto"/>
        <w:bottom w:val="none" w:sz="0" w:space="0" w:color="auto"/>
        <w:right w:val="none" w:sz="0" w:space="0" w:color="auto"/>
      </w:divBdr>
    </w:div>
    <w:div w:id="294153896">
      <w:marLeft w:val="0"/>
      <w:marRight w:val="0"/>
      <w:marTop w:val="0"/>
      <w:marBottom w:val="0"/>
      <w:divBdr>
        <w:top w:val="none" w:sz="0" w:space="0" w:color="auto"/>
        <w:left w:val="none" w:sz="0" w:space="0" w:color="auto"/>
        <w:bottom w:val="none" w:sz="0" w:space="0" w:color="auto"/>
        <w:right w:val="none" w:sz="0" w:space="0" w:color="auto"/>
      </w:divBdr>
    </w:div>
    <w:div w:id="294153912">
      <w:marLeft w:val="0"/>
      <w:marRight w:val="0"/>
      <w:marTop w:val="0"/>
      <w:marBottom w:val="0"/>
      <w:divBdr>
        <w:top w:val="none" w:sz="0" w:space="0" w:color="auto"/>
        <w:left w:val="none" w:sz="0" w:space="0" w:color="auto"/>
        <w:bottom w:val="none" w:sz="0" w:space="0" w:color="auto"/>
        <w:right w:val="none" w:sz="0" w:space="0" w:color="auto"/>
      </w:divBdr>
      <w:divsChild>
        <w:div w:id="294142168">
          <w:marLeft w:val="0"/>
          <w:marRight w:val="0"/>
          <w:marTop w:val="0"/>
          <w:marBottom w:val="0"/>
          <w:divBdr>
            <w:top w:val="none" w:sz="0" w:space="0" w:color="auto"/>
            <w:left w:val="none" w:sz="0" w:space="0" w:color="auto"/>
            <w:bottom w:val="none" w:sz="0" w:space="0" w:color="auto"/>
            <w:right w:val="none" w:sz="0" w:space="0" w:color="auto"/>
          </w:divBdr>
        </w:div>
        <w:div w:id="294143215">
          <w:marLeft w:val="0"/>
          <w:marRight w:val="0"/>
          <w:marTop w:val="0"/>
          <w:marBottom w:val="0"/>
          <w:divBdr>
            <w:top w:val="none" w:sz="0" w:space="0" w:color="auto"/>
            <w:left w:val="none" w:sz="0" w:space="0" w:color="auto"/>
            <w:bottom w:val="none" w:sz="0" w:space="0" w:color="auto"/>
            <w:right w:val="none" w:sz="0" w:space="0" w:color="auto"/>
          </w:divBdr>
        </w:div>
      </w:divsChild>
    </w:div>
    <w:div w:id="294153924">
      <w:marLeft w:val="0"/>
      <w:marRight w:val="0"/>
      <w:marTop w:val="0"/>
      <w:marBottom w:val="0"/>
      <w:divBdr>
        <w:top w:val="none" w:sz="0" w:space="0" w:color="auto"/>
        <w:left w:val="none" w:sz="0" w:space="0" w:color="auto"/>
        <w:bottom w:val="none" w:sz="0" w:space="0" w:color="auto"/>
        <w:right w:val="none" w:sz="0" w:space="0" w:color="auto"/>
      </w:divBdr>
    </w:div>
    <w:div w:id="294153946">
      <w:marLeft w:val="0"/>
      <w:marRight w:val="0"/>
      <w:marTop w:val="0"/>
      <w:marBottom w:val="0"/>
      <w:divBdr>
        <w:top w:val="none" w:sz="0" w:space="0" w:color="auto"/>
        <w:left w:val="none" w:sz="0" w:space="0" w:color="auto"/>
        <w:bottom w:val="none" w:sz="0" w:space="0" w:color="auto"/>
        <w:right w:val="none" w:sz="0" w:space="0" w:color="auto"/>
      </w:divBdr>
    </w:div>
    <w:div w:id="294153957">
      <w:marLeft w:val="0"/>
      <w:marRight w:val="0"/>
      <w:marTop w:val="0"/>
      <w:marBottom w:val="0"/>
      <w:divBdr>
        <w:top w:val="none" w:sz="0" w:space="0" w:color="auto"/>
        <w:left w:val="none" w:sz="0" w:space="0" w:color="auto"/>
        <w:bottom w:val="none" w:sz="0" w:space="0" w:color="auto"/>
        <w:right w:val="none" w:sz="0" w:space="0" w:color="auto"/>
      </w:divBdr>
    </w:div>
    <w:div w:id="294153974">
      <w:marLeft w:val="0"/>
      <w:marRight w:val="0"/>
      <w:marTop w:val="0"/>
      <w:marBottom w:val="0"/>
      <w:divBdr>
        <w:top w:val="none" w:sz="0" w:space="0" w:color="auto"/>
        <w:left w:val="none" w:sz="0" w:space="0" w:color="auto"/>
        <w:bottom w:val="none" w:sz="0" w:space="0" w:color="auto"/>
        <w:right w:val="none" w:sz="0" w:space="0" w:color="auto"/>
      </w:divBdr>
    </w:div>
    <w:div w:id="294153975">
      <w:marLeft w:val="0"/>
      <w:marRight w:val="0"/>
      <w:marTop w:val="0"/>
      <w:marBottom w:val="0"/>
      <w:divBdr>
        <w:top w:val="none" w:sz="0" w:space="0" w:color="auto"/>
        <w:left w:val="none" w:sz="0" w:space="0" w:color="auto"/>
        <w:bottom w:val="none" w:sz="0" w:space="0" w:color="auto"/>
        <w:right w:val="none" w:sz="0" w:space="0" w:color="auto"/>
      </w:divBdr>
    </w:div>
    <w:div w:id="294153978">
      <w:marLeft w:val="0"/>
      <w:marRight w:val="0"/>
      <w:marTop w:val="0"/>
      <w:marBottom w:val="0"/>
      <w:divBdr>
        <w:top w:val="none" w:sz="0" w:space="0" w:color="auto"/>
        <w:left w:val="none" w:sz="0" w:space="0" w:color="auto"/>
        <w:bottom w:val="none" w:sz="0" w:space="0" w:color="auto"/>
        <w:right w:val="none" w:sz="0" w:space="0" w:color="auto"/>
      </w:divBdr>
      <w:divsChild>
        <w:div w:id="294141320">
          <w:marLeft w:val="0"/>
          <w:marRight w:val="0"/>
          <w:marTop w:val="0"/>
          <w:marBottom w:val="0"/>
          <w:divBdr>
            <w:top w:val="none" w:sz="0" w:space="0" w:color="auto"/>
            <w:left w:val="none" w:sz="0" w:space="0" w:color="auto"/>
            <w:bottom w:val="none" w:sz="0" w:space="0" w:color="auto"/>
            <w:right w:val="none" w:sz="0" w:space="0" w:color="auto"/>
          </w:divBdr>
          <w:divsChild>
            <w:div w:id="294150515">
              <w:marLeft w:val="0"/>
              <w:marRight w:val="0"/>
              <w:marTop w:val="0"/>
              <w:marBottom w:val="0"/>
              <w:divBdr>
                <w:top w:val="none" w:sz="0" w:space="0" w:color="auto"/>
                <w:left w:val="none" w:sz="0" w:space="0" w:color="auto"/>
                <w:bottom w:val="none" w:sz="0" w:space="0" w:color="auto"/>
                <w:right w:val="none" w:sz="0" w:space="0" w:color="auto"/>
              </w:divBdr>
              <w:divsChild>
                <w:div w:id="29414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3812">
          <w:marLeft w:val="0"/>
          <w:marRight w:val="0"/>
          <w:marTop w:val="0"/>
          <w:marBottom w:val="0"/>
          <w:divBdr>
            <w:top w:val="none" w:sz="0" w:space="0" w:color="auto"/>
            <w:left w:val="none" w:sz="0" w:space="0" w:color="auto"/>
            <w:bottom w:val="none" w:sz="0" w:space="0" w:color="auto"/>
            <w:right w:val="none" w:sz="0" w:space="0" w:color="auto"/>
          </w:divBdr>
          <w:divsChild>
            <w:div w:id="294156430">
              <w:marLeft w:val="0"/>
              <w:marRight w:val="0"/>
              <w:marTop w:val="0"/>
              <w:marBottom w:val="0"/>
              <w:divBdr>
                <w:top w:val="none" w:sz="0" w:space="0" w:color="auto"/>
                <w:left w:val="none" w:sz="0" w:space="0" w:color="auto"/>
                <w:bottom w:val="none" w:sz="0" w:space="0" w:color="auto"/>
                <w:right w:val="none" w:sz="0" w:space="0" w:color="auto"/>
              </w:divBdr>
              <w:divsChild>
                <w:div w:id="294138335">
                  <w:marLeft w:val="0"/>
                  <w:marRight w:val="0"/>
                  <w:marTop w:val="0"/>
                  <w:marBottom w:val="0"/>
                  <w:divBdr>
                    <w:top w:val="none" w:sz="0" w:space="0" w:color="auto"/>
                    <w:left w:val="none" w:sz="0" w:space="0" w:color="auto"/>
                    <w:bottom w:val="none" w:sz="0" w:space="0" w:color="auto"/>
                    <w:right w:val="none" w:sz="0" w:space="0" w:color="auto"/>
                  </w:divBdr>
                </w:div>
                <w:div w:id="294138539">
                  <w:marLeft w:val="0"/>
                  <w:marRight w:val="0"/>
                  <w:marTop w:val="0"/>
                  <w:marBottom w:val="0"/>
                  <w:divBdr>
                    <w:top w:val="none" w:sz="0" w:space="0" w:color="auto"/>
                    <w:left w:val="none" w:sz="0" w:space="0" w:color="auto"/>
                    <w:bottom w:val="none" w:sz="0" w:space="0" w:color="auto"/>
                    <w:right w:val="none" w:sz="0" w:space="0" w:color="auto"/>
                  </w:divBdr>
                </w:div>
                <w:div w:id="294138549">
                  <w:marLeft w:val="0"/>
                  <w:marRight w:val="0"/>
                  <w:marTop w:val="0"/>
                  <w:marBottom w:val="0"/>
                  <w:divBdr>
                    <w:top w:val="none" w:sz="0" w:space="0" w:color="auto"/>
                    <w:left w:val="none" w:sz="0" w:space="0" w:color="auto"/>
                    <w:bottom w:val="none" w:sz="0" w:space="0" w:color="auto"/>
                    <w:right w:val="none" w:sz="0" w:space="0" w:color="auto"/>
                  </w:divBdr>
                </w:div>
                <w:div w:id="294138590">
                  <w:marLeft w:val="0"/>
                  <w:marRight w:val="0"/>
                  <w:marTop w:val="0"/>
                  <w:marBottom w:val="0"/>
                  <w:divBdr>
                    <w:top w:val="none" w:sz="0" w:space="0" w:color="auto"/>
                    <w:left w:val="none" w:sz="0" w:space="0" w:color="auto"/>
                    <w:bottom w:val="none" w:sz="0" w:space="0" w:color="auto"/>
                    <w:right w:val="none" w:sz="0" w:space="0" w:color="auto"/>
                  </w:divBdr>
                </w:div>
                <w:div w:id="294138626">
                  <w:marLeft w:val="0"/>
                  <w:marRight w:val="0"/>
                  <w:marTop w:val="0"/>
                  <w:marBottom w:val="0"/>
                  <w:divBdr>
                    <w:top w:val="none" w:sz="0" w:space="0" w:color="auto"/>
                    <w:left w:val="none" w:sz="0" w:space="0" w:color="auto"/>
                    <w:bottom w:val="none" w:sz="0" w:space="0" w:color="auto"/>
                    <w:right w:val="none" w:sz="0" w:space="0" w:color="auto"/>
                  </w:divBdr>
                </w:div>
                <w:div w:id="294138633">
                  <w:marLeft w:val="0"/>
                  <w:marRight w:val="0"/>
                  <w:marTop w:val="0"/>
                  <w:marBottom w:val="0"/>
                  <w:divBdr>
                    <w:top w:val="none" w:sz="0" w:space="0" w:color="auto"/>
                    <w:left w:val="none" w:sz="0" w:space="0" w:color="auto"/>
                    <w:bottom w:val="none" w:sz="0" w:space="0" w:color="auto"/>
                    <w:right w:val="none" w:sz="0" w:space="0" w:color="auto"/>
                  </w:divBdr>
                </w:div>
                <w:div w:id="294138665">
                  <w:marLeft w:val="0"/>
                  <w:marRight w:val="0"/>
                  <w:marTop w:val="0"/>
                  <w:marBottom w:val="0"/>
                  <w:divBdr>
                    <w:top w:val="none" w:sz="0" w:space="0" w:color="auto"/>
                    <w:left w:val="none" w:sz="0" w:space="0" w:color="auto"/>
                    <w:bottom w:val="none" w:sz="0" w:space="0" w:color="auto"/>
                    <w:right w:val="none" w:sz="0" w:space="0" w:color="auto"/>
                  </w:divBdr>
                </w:div>
                <w:div w:id="294138767">
                  <w:marLeft w:val="0"/>
                  <w:marRight w:val="0"/>
                  <w:marTop w:val="0"/>
                  <w:marBottom w:val="0"/>
                  <w:divBdr>
                    <w:top w:val="none" w:sz="0" w:space="0" w:color="auto"/>
                    <w:left w:val="none" w:sz="0" w:space="0" w:color="auto"/>
                    <w:bottom w:val="none" w:sz="0" w:space="0" w:color="auto"/>
                    <w:right w:val="none" w:sz="0" w:space="0" w:color="auto"/>
                  </w:divBdr>
                </w:div>
                <w:div w:id="294139141">
                  <w:marLeft w:val="0"/>
                  <w:marRight w:val="0"/>
                  <w:marTop w:val="0"/>
                  <w:marBottom w:val="0"/>
                  <w:divBdr>
                    <w:top w:val="none" w:sz="0" w:space="0" w:color="auto"/>
                    <w:left w:val="none" w:sz="0" w:space="0" w:color="auto"/>
                    <w:bottom w:val="none" w:sz="0" w:space="0" w:color="auto"/>
                    <w:right w:val="none" w:sz="0" w:space="0" w:color="auto"/>
                  </w:divBdr>
                </w:div>
                <w:div w:id="294139211">
                  <w:marLeft w:val="0"/>
                  <w:marRight w:val="0"/>
                  <w:marTop w:val="0"/>
                  <w:marBottom w:val="0"/>
                  <w:divBdr>
                    <w:top w:val="none" w:sz="0" w:space="0" w:color="auto"/>
                    <w:left w:val="none" w:sz="0" w:space="0" w:color="auto"/>
                    <w:bottom w:val="none" w:sz="0" w:space="0" w:color="auto"/>
                    <w:right w:val="none" w:sz="0" w:space="0" w:color="auto"/>
                  </w:divBdr>
                </w:div>
                <w:div w:id="294139221">
                  <w:marLeft w:val="0"/>
                  <w:marRight w:val="0"/>
                  <w:marTop w:val="0"/>
                  <w:marBottom w:val="0"/>
                  <w:divBdr>
                    <w:top w:val="none" w:sz="0" w:space="0" w:color="auto"/>
                    <w:left w:val="none" w:sz="0" w:space="0" w:color="auto"/>
                    <w:bottom w:val="none" w:sz="0" w:space="0" w:color="auto"/>
                    <w:right w:val="none" w:sz="0" w:space="0" w:color="auto"/>
                  </w:divBdr>
                </w:div>
                <w:div w:id="294139616">
                  <w:marLeft w:val="0"/>
                  <w:marRight w:val="0"/>
                  <w:marTop w:val="0"/>
                  <w:marBottom w:val="0"/>
                  <w:divBdr>
                    <w:top w:val="none" w:sz="0" w:space="0" w:color="auto"/>
                    <w:left w:val="none" w:sz="0" w:space="0" w:color="auto"/>
                    <w:bottom w:val="none" w:sz="0" w:space="0" w:color="auto"/>
                    <w:right w:val="none" w:sz="0" w:space="0" w:color="auto"/>
                  </w:divBdr>
                </w:div>
                <w:div w:id="294139674">
                  <w:marLeft w:val="0"/>
                  <w:marRight w:val="0"/>
                  <w:marTop w:val="0"/>
                  <w:marBottom w:val="0"/>
                  <w:divBdr>
                    <w:top w:val="none" w:sz="0" w:space="0" w:color="auto"/>
                    <w:left w:val="none" w:sz="0" w:space="0" w:color="auto"/>
                    <w:bottom w:val="none" w:sz="0" w:space="0" w:color="auto"/>
                    <w:right w:val="none" w:sz="0" w:space="0" w:color="auto"/>
                  </w:divBdr>
                </w:div>
                <w:div w:id="294139738">
                  <w:marLeft w:val="0"/>
                  <w:marRight w:val="0"/>
                  <w:marTop w:val="0"/>
                  <w:marBottom w:val="0"/>
                  <w:divBdr>
                    <w:top w:val="none" w:sz="0" w:space="0" w:color="auto"/>
                    <w:left w:val="none" w:sz="0" w:space="0" w:color="auto"/>
                    <w:bottom w:val="none" w:sz="0" w:space="0" w:color="auto"/>
                    <w:right w:val="none" w:sz="0" w:space="0" w:color="auto"/>
                  </w:divBdr>
                </w:div>
                <w:div w:id="294139958">
                  <w:marLeft w:val="0"/>
                  <w:marRight w:val="0"/>
                  <w:marTop w:val="0"/>
                  <w:marBottom w:val="0"/>
                  <w:divBdr>
                    <w:top w:val="none" w:sz="0" w:space="0" w:color="auto"/>
                    <w:left w:val="none" w:sz="0" w:space="0" w:color="auto"/>
                    <w:bottom w:val="none" w:sz="0" w:space="0" w:color="auto"/>
                    <w:right w:val="none" w:sz="0" w:space="0" w:color="auto"/>
                  </w:divBdr>
                </w:div>
                <w:div w:id="294139998">
                  <w:marLeft w:val="0"/>
                  <w:marRight w:val="0"/>
                  <w:marTop w:val="0"/>
                  <w:marBottom w:val="0"/>
                  <w:divBdr>
                    <w:top w:val="none" w:sz="0" w:space="0" w:color="auto"/>
                    <w:left w:val="none" w:sz="0" w:space="0" w:color="auto"/>
                    <w:bottom w:val="none" w:sz="0" w:space="0" w:color="auto"/>
                    <w:right w:val="none" w:sz="0" w:space="0" w:color="auto"/>
                  </w:divBdr>
                </w:div>
                <w:div w:id="294140140">
                  <w:marLeft w:val="0"/>
                  <w:marRight w:val="0"/>
                  <w:marTop w:val="0"/>
                  <w:marBottom w:val="0"/>
                  <w:divBdr>
                    <w:top w:val="none" w:sz="0" w:space="0" w:color="auto"/>
                    <w:left w:val="none" w:sz="0" w:space="0" w:color="auto"/>
                    <w:bottom w:val="none" w:sz="0" w:space="0" w:color="auto"/>
                    <w:right w:val="none" w:sz="0" w:space="0" w:color="auto"/>
                  </w:divBdr>
                </w:div>
                <w:div w:id="294140147">
                  <w:marLeft w:val="0"/>
                  <w:marRight w:val="0"/>
                  <w:marTop w:val="0"/>
                  <w:marBottom w:val="0"/>
                  <w:divBdr>
                    <w:top w:val="none" w:sz="0" w:space="0" w:color="auto"/>
                    <w:left w:val="none" w:sz="0" w:space="0" w:color="auto"/>
                    <w:bottom w:val="none" w:sz="0" w:space="0" w:color="auto"/>
                    <w:right w:val="none" w:sz="0" w:space="0" w:color="auto"/>
                  </w:divBdr>
                </w:div>
                <w:div w:id="294140241">
                  <w:marLeft w:val="0"/>
                  <w:marRight w:val="0"/>
                  <w:marTop w:val="0"/>
                  <w:marBottom w:val="0"/>
                  <w:divBdr>
                    <w:top w:val="none" w:sz="0" w:space="0" w:color="auto"/>
                    <w:left w:val="none" w:sz="0" w:space="0" w:color="auto"/>
                    <w:bottom w:val="none" w:sz="0" w:space="0" w:color="auto"/>
                    <w:right w:val="none" w:sz="0" w:space="0" w:color="auto"/>
                  </w:divBdr>
                </w:div>
                <w:div w:id="294141048">
                  <w:marLeft w:val="0"/>
                  <w:marRight w:val="0"/>
                  <w:marTop w:val="0"/>
                  <w:marBottom w:val="0"/>
                  <w:divBdr>
                    <w:top w:val="none" w:sz="0" w:space="0" w:color="auto"/>
                    <w:left w:val="none" w:sz="0" w:space="0" w:color="auto"/>
                    <w:bottom w:val="none" w:sz="0" w:space="0" w:color="auto"/>
                    <w:right w:val="none" w:sz="0" w:space="0" w:color="auto"/>
                  </w:divBdr>
                </w:div>
                <w:div w:id="294141265">
                  <w:marLeft w:val="0"/>
                  <w:marRight w:val="0"/>
                  <w:marTop w:val="0"/>
                  <w:marBottom w:val="0"/>
                  <w:divBdr>
                    <w:top w:val="none" w:sz="0" w:space="0" w:color="auto"/>
                    <w:left w:val="none" w:sz="0" w:space="0" w:color="auto"/>
                    <w:bottom w:val="none" w:sz="0" w:space="0" w:color="auto"/>
                    <w:right w:val="none" w:sz="0" w:space="0" w:color="auto"/>
                  </w:divBdr>
                </w:div>
                <w:div w:id="294141523">
                  <w:marLeft w:val="0"/>
                  <w:marRight w:val="0"/>
                  <w:marTop w:val="0"/>
                  <w:marBottom w:val="0"/>
                  <w:divBdr>
                    <w:top w:val="none" w:sz="0" w:space="0" w:color="auto"/>
                    <w:left w:val="none" w:sz="0" w:space="0" w:color="auto"/>
                    <w:bottom w:val="none" w:sz="0" w:space="0" w:color="auto"/>
                    <w:right w:val="none" w:sz="0" w:space="0" w:color="auto"/>
                  </w:divBdr>
                </w:div>
                <w:div w:id="294141559">
                  <w:marLeft w:val="0"/>
                  <w:marRight w:val="0"/>
                  <w:marTop w:val="0"/>
                  <w:marBottom w:val="0"/>
                  <w:divBdr>
                    <w:top w:val="none" w:sz="0" w:space="0" w:color="auto"/>
                    <w:left w:val="none" w:sz="0" w:space="0" w:color="auto"/>
                    <w:bottom w:val="none" w:sz="0" w:space="0" w:color="auto"/>
                    <w:right w:val="none" w:sz="0" w:space="0" w:color="auto"/>
                  </w:divBdr>
                </w:div>
                <w:div w:id="294141561">
                  <w:marLeft w:val="0"/>
                  <w:marRight w:val="0"/>
                  <w:marTop w:val="0"/>
                  <w:marBottom w:val="0"/>
                  <w:divBdr>
                    <w:top w:val="none" w:sz="0" w:space="0" w:color="auto"/>
                    <w:left w:val="none" w:sz="0" w:space="0" w:color="auto"/>
                    <w:bottom w:val="none" w:sz="0" w:space="0" w:color="auto"/>
                    <w:right w:val="none" w:sz="0" w:space="0" w:color="auto"/>
                  </w:divBdr>
                </w:div>
                <w:div w:id="294141719">
                  <w:marLeft w:val="0"/>
                  <w:marRight w:val="0"/>
                  <w:marTop w:val="0"/>
                  <w:marBottom w:val="0"/>
                  <w:divBdr>
                    <w:top w:val="none" w:sz="0" w:space="0" w:color="auto"/>
                    <w:left w:val="none" w:sz="0" w:space="0" w:color="auto"/>
                    <w:bottom w:val="none" w:sz="0" w:space="0" w:color="auto"/>
                    <w:right w:val="none" w:sz="0" w:space="0" w:color="auto"/>
                  </w:divBdr>
                </w:div>
                <w:div w:id="294141803">
                  <w:marLeft w:val="0"/>
                  <w:marRight w:val="0"/>
                  <w:marTop w:val="0"/>
                  <w:marBottom w:val="0"/>
                  <w:divBdr>
                    <w:top w:val="none" w:sz="0" w:space="0" w:color="auto"/>
                    <w:left w:val="none" w:sz="0" w:space="0" w:color="auto"/>
                    <w:bottom w:val="none" w:sz="0" w:space="0" w:color="auto"/>
                    <w:right w:val="none" w:sz="0" w:space="0" w:color="auto"/>
                  </w:divBdr>
                </w:div>
                <w:div w:id="294141950">
                  <w:marLeft w:val="0"/>
                  <w:marRight w:val="0"/>
                  <w:marTop w:val="0"/>
                  <w:marBottom w:val="0"/>
                  <w:divBdr>
                    <w:top w:val="none" w:sz="0" w:space="0" w:color="auto"/>
                    <w:left w:val="none" w:sz="0" w:space="0" w:color="auto"/>
                    <w:bottom w:val="none" w:sz="0" w:space="0" w:color="auto"/>
                    <w:right w:val="none" w:sz="0" w:space="0" w:color="auto"/>
                  </w:divBdr>
                </w:div>
                <w:div w:id="294142119">
                  <w:marLeft w:val="0"/>
                  <w:marRight w:val="0"/>
                  <w:marTop w:val="0"/>
                  <w:marBottom w:val="0"/>
                  <w:divBdr>
                    <w:top w:val="none" w:sz="0" w:space="0" w:color="auto"/>
                    <w:left w:val="none" w:sz="0" w:space="0" w:color="auto"/>
                    <w:bottom w:val="none" w:sz="0" w:space="0" w:color="auto"/>
                    <w:right w:val="none" w:sz="0" w:space="0" w:color="auto"/>
                  </w:divBdr>
                </w:div>
                <w:div w:id="294142257">
                  <w:marLeft w:val="0"/>
                  <w:marRight w:val="0"/>
                  <w:marTop w:val="0"/>
                  <w:marBottom w:val="0"/>
                  <w:divBdr>
                    <w:top w:val="none" w:sz="0" w:space="0" w:color="auto"/>
                    <w:left w:val="none" w:sz="0" w:space="0" w:color="auto"/>
                    <w:bottom w:val="none" w:sz="0" w:space="0" w:color="auto"/>
                    <w:right w:val="none" w:sz="0" w:space="0" w:color="auto"/>
                  </w:divBdr>
                </w:div>
                <w:div w:id="294142758">
                  <w:marLeft w:val="0"/>
                  <w:marRight w:val="0"/>
                  <w:marTop w:val="0"/>
                  <w:marBottom w:val="0"/>
                  <w:divBdr>
                    <w:top w:val="none" w:sz="0" w:space="0" w:color="auto"/>
                    <w:left w:val="none" w:sz="0" w:space="0" w:color="auto"/>
                    <w:bottom w:val="none" w:sz="0" w:space="0" w:color="auto"/>
                    <w:right w:val="none" w:sz="0" w:space="0" w:color="auto"/>
                  </w:divBdr>
                </w:div>
                <w:div w:id="294142979">
                  <w:marLeft w:val="0"/>
                  <w:marRight w:val="0"/>
                  <w:marTop w:val="0"/>
                  <w:marBottom w:val="0"/>
                  <w:divBdr>
                    <w:top w:val="none" w:sz="0" w:space="0" w:color="auto"/>
                    <w:left w:val="none" w:sz="0" w:space="0" w:color="auto"/>
                    <w:bottom w:val="none" w:sz="0" w:space="0" w:color="auto"/>
                    <w:right w:val="none" w:sz="0" w:space="0" w:color="auto"/>
                  </w:divBdr>
                </w:div>
                <w:div w:id="294142981">
                  <w:marLeft w:val="0"/>
                  <w:marRight w:val="0"/>
                  <w:marTop w:val="0"/>
                  <w:marBottom w:val="0"/>
                  <w:divBdr>
                    <w:top w:val="none" w:sz="0" w:space="0" w:color="auto"/>
                    <w:left w:val="none" w:sz="0" w:space="0" w:color="auto"/>
                    <w:bottom w:val="none" w:sz="0" w:space="0" w:color="auto"/>
                    <w:right w:val="none" w:sz="0" w:space="0" w:color="auto"/>
                  </w:divBdr>
                </w:div>
                <w:div w:id="294143016">
                  <w:marLeft w:val="0"/>
                  <w:marRight w:val="0"/>
                  <w:marTop w:val="0"/>
                  <w:marBottom w:val="0"/>
                  <w:divBdr>
                    <w:top w:val="none" w:sz="0" w:space="0" w:color="auto"/>
                    <w:left w:val="none" w:sz="0" w:space="0" w:color="auto"/>
                    <w:bottom w:val="none" w:sz="0" w:space="0" w:color="auto"/>
                    <w:right w:val="none" w:sz="0" w:space="0" w:color="auto"/>
                  </w:divBdr>
                </w:div>
                <w:div w:id="294143107">
                  <w:marLeft w:val="0"/>
                  <w:marRight w:val="0"/>
                  <w:marTop w:val="0"/>
                  <w:marBottom w:val="0"/>
                  <w:divBdr>
                    <w:top w:val="none" w:sz="0" w:space="0" w:color="auto"/>
                    <w:left w:val="none" w:sz="0" w:space="0" w:color="auto"/>
                    <w:bottom w:val="none" w:sz="0" w:space="0" w:color="auto"/>
                    <w:right w:val="none" w:sz="0" w:space="0" w:color="auto"/>
                  </w:divBdr>
                </w:div>
                <w:div w:id="294143200">
                  <w:marLeft w:val="0"/>
                  <w:marRight w:val="0"/>
                  <w:marTop w:val="0"/>
                  <w:marBottom w:val="0"/>
                  <w:divBdr>
                    <w:top w:val="none" w:sz="0" w:space="0" w:color="auto"/>
                    <w:left w:val="none" w:sz="0" w:space="0" w:color="auto"/>
                    <w:bottom w:val="none" w:sz="0" w:space="0" w:color="auto"/>
                    <w:right w:val="none" w:sz="0" w:space="0" w:color="auto"/>
                  </w:divBdr>
                </w:div>
                <w:div w:id="294143201">
                  <w:marLeft w:val="0"/>
                  <w:marRight w:val="0"/>
                  <w:marTop w:val="0"/>
                  <w:marBottom w:val="0"/>
                  <w:divBdr>
                    <w:top w:val="none" w:sz="0" w:space="0" w:color="auto"/>
                    <w:left w:val="none" w:sz="0" w:space="0" w:color="auto"/>
                    <w:bottom w:val="none" w:sz="0" w:space="0" w:color="auto"/>
                    <w:right w:val="none" w:sz="0" w:space="0" w:color="auto"/>
                  </w:divBdr>
                </w:div>
                <w:div w:id="294143276">
                  <w:marLeft w:val="0"/>
                  <w:marRight w:val="0"/>
                  <w:marTop w:val="0"/>
                  <w:marBottom w:val="0"/>
                  <w:divBdr>
                    <w:top w:val="none" w:sz="0" w:space="0" w:color="auto"/>
                    <w:left w:val="none" w:sz="0" w:space="0" w:color="auto"/>
                    <w:bottom w:val="none" w:sz="0" w:space="0" w:color="auto"/>
                    <w:right w:val="none" w:sz="0" w:space="0" w:color="auto"/>
                  </w:divBdr>
                </w:div>
                <w:div w:id="294143360">
                  <w:marLeft w:val="0"/>
                  <w:marRight w:val="0"/>
                  <w:marTop w:val="0"/>
                  <w:marBottom w:val="0"/>
                  <w:divBdr>
                    <w:top w:val="none" w:sz="0" w:space="0" w:color="auto"/>
                    <w:left w:val="none" w:sz="0" w:space="0" w:color="auto"/>
                    <w:bottom w:val="none" w:sz="0" w:space="0" w:color="auto"/>
                    <w:right w:val="none" w:sz="0" w:space="0" w:color="auto"/>
                  </w:divBdr>
                </w:div>
                <w:div w:id="294143805">
                  <w:marLeft w:val="0"/>
                  <w:marRight w:val="0"/>
                  <w:marTop w:val="0"/>
                  <w:marBottom w:val="0"/>
                  <w:divBdr>
                    <w:top w:val="none" w:sz="0" w:space="0" w:color="auto"/>
                    <w:left w:val="none" w:sz="0" w:space="0" w:color="auto"/>
                    <w:bottom w:val="none" w:sz="0" w:space="0" w:color="auto"/>
                    <w:right w:val="none" w:sz="0" w:space="0" w:color="auto"/>
                  </w:divBdr>
                </w:div>
                <w:div w:id="294143871">
                  <w:marLeft w:val="0"/>
                  <w:marRight w:val="0"/>
                  <w:marTop w:val="0"/>
                  <w:marBottom w:val="0"/>
                  <w:divBdr>
                    <w:top w:val="none" w:sz="0" w:space="0" w:color="auto"/>
                    <w:left w:val="none" w:sz="0" w:space="0" w:color="auto"/>
                    <w:bottom w:val="none" w:sz="0" w:space="0" w:color="auto"/>
                    <w:right w:val="none" w:sz="0" w:space="0" w:color="auto"/>
                  </w:divBdr>
                </w:div>
                <w:div w:id="294144028">
                  <w:marLeft w:val="0"/>
                  <w:marRight w:val="0"/>
                  <w:marTop w:val="0"/>
                  <w:marBottom w:val="0"/>
                  <w:divBdr>
                    <w:top w:val="none" w:sz="0" w:space="0" w:color="auto"/>
                    <w:left w:val="none" w:sz="0" w:space="0" w:color="auto"/>
                    <w:bottom w:val="none" w:sz="0" w:space="0" w:color="auto"/>
                    <w:right w:val="none" w:sz="0" w:space="0" w:color="auto"/>
                  </w:divBdr>
                </w:div>
                <w:div w:id="294144191">
                  <w:marLeft w:val="0"/>
                  <w:marRight w:val="0"/>
                  <w:marTop w:val="0"/>
                  <w:marBottom w:val="0"/>
                  <w:divBdr>
                    <w:top w:val="none" w:sz="0" w:space="0" w:color="auto"/>
                    <w:left w:val="none" w:sz="0" w:space="0" w:color="auto"/>
                    <w:bottom w:val="none" w:sz="0" w:space="0" w:color="auto"/>
                    <w:right w:val="none" w:sz="0" w:space="0" w:color="auto"/>
                  </w:divBdr>
                </w:div>
                <w:div w:id="294144381">
                  <w:marLeft w:val="0"/>
                  <w:marRight w:val="0"/>
                  <w:marTop w:val="0"/>
                  <w:marBottom w:val="0"/>
                  <w:divBdr>
                    <w:top w:val="none" w:sz="0" w:space="0" w:color="auto"/>
                    <w:left w:val="none" w:sz="0" w:space="0" w:color="auto"/>
                    <w:bottom w:val="none" w:sz="0" w:space="0" w:color="auto"/>
                    <w:right w:val="none" w:sz="0" w:space="0" w:color="auto"/>
                  </w:divBdr>
                </w:div>
                <w:div w:id="294144454">
                  <w:marLeft w:val="0"/>
                  <w:marRight w:val="0"/>
                  <w:marTop w:val="0"/>
                  <w:marBottom w:val="0"/>
                  <w:divBdr>
                    <w:top w:val="none" w:sz="0" w:space="0" w:color="auto"/>
                    <w:left w:val="none" w:sz="0" w:space="0" w:color="auto"/>
                    <w:bottom w:val="none" w:sz="0" w:space="0" w:color="auto"/>
                    <w:right w:val="none" w:sz="0" w:space="0" w:color="auto"/>
                  </w:divBdr>
                </w:div>
                <w:div w:id="294144625">
                  <w:marLeft w:val="0"/>
                  <w:marRight w:val="0"/>
                  <w:marTop w:val="0"/>
                  <w:marBottom w:val="0"/>
                  <w:divBdr>
                    <w:top w:val="none" w:sz="0" w:space="0" w:color="auto"/>
                    <w:left w:val="none" w:sz="0" w:space="0" w:color="auto"/>
                    <w:bottom w:val="none" w:sz="0" w:space="0" w:color="auto"/>
                    <w:right w:val="none" w:sz="0" w:space="0" w:color="auto"/>
                  </w:divBdr>
                </w:div>
                <w:div w:id="294145539">
                  <w:marLeft w:val="0"/>
                  <w:marRight w:val="0"/>
                  <w:marTop w:val="0"/>
                  <w:marBottom w:val="0"/>
                  <w:divBdr>
                    <w:top w:val="none" w:sz="0" w:space="0" w:color="auto"/>
                    <w:left w:val="none" w:sz="0" w:space="0" w:color="auto"/>
                    <w:bottom w:val="none" w:sz="0" w:space="0" w:color="auto"/>
                    <w:right w:val="none" w:sz="0" w:space="0" w:color="auto"/>
                  </w:divBdr>
                </w:div>
                <w:div w:id="294145738">
                  <w:marLeft w:val="0"/>
                  <w:marRight w:val="0"/>
                  <w:marTop w:val="0"/>
                  <w:marBottom w:val="0"/>
                  <w:divBdr>
                    <w:top w:val="none" w:sz="0" w:space="0" w:color="auto"/>
                    <w:left w:val="none" w:sz="0" w:space="0" w:color="auto"/>
                    <w:bottom w:val="none" w:sz="0" w:space="0" w:color="auto"/>
                    <w:right w:val="none" w:sz="0" w:space="0" w:color="auto"/>
                  </w:divBdr>
                </w:div>
                <w:div w:id="294145760">
                  <w:marLeft w:val="0"/>
                  <w:marRight w:val="0"/>
                  <w:marTop w:val="0"/>
                  <w:marBottom w:val="0"/>
                  <w:divBdr>
                    <w:top w:val="none" w:sz="0" w:space="0" w:color="auto"/>
                    <w:left w:val="none" w:sz="0" w:space="0" w:color="auto"/>
                    <w:bottom w:val="none" w:sz="0" w:space="0" w:color="auto"/>
                    <w:right w:val="none" w:sz="0" w:space="0" w:color="auto"/>
                  </w:divBdr>
                </w:div>
                <w:div w:id="294146038">
                  <w:marLeft w:val="0"/>
                  <w:marRight w:val="0"/>
                  <w:marTop w:val="0"/>
                  <w:marBottom w:val="0"/>
                  <w:divBdr>
                    <w:top w:val="none" w:sz="0" w:space="0" w:color="auto"/>
                    <w:left w:val="none" w:sz="0" w:space="0" w:color="auto"/>
                    <w:bottom w:val="none" w:sz="0" w:space="0" w:color="auto"/>
                    <w:right w:val="none" w:sz="0" w:space="0" w:color="auto"/>
                  </w:divBdr>
                </w:div>
                <w:div w:id="294146146">
                  <w:marLeft w:val="0"/>
                  <w:marRight w:val="0"/>
                  <w:marTop w:val="0"/>
                  <w:marBottom w:val="0"/>
                  <w:divBdr>
                    <w:top w:val="none" w:sz="0" w:space="0" w:color="auto"/>
                    <w:left w:val="none" w:sz="0" w:space="0" w:color="auto"/>
                    <w:bottom w:val="none" w:sz="0" w:space="0" w:color="auto"/>
                    <w:right w:val="none" w:sz="0" w:space="0" w:color="auto"/>
                  </w:divBdr>
                </w:div>
                <w:div w:id="294146225">
                  <w:marLeft w:val="0"/>
                  <w:marRight w:val="0"/>
                  <w:marTop w:val="0"/>
                  <w:marBottom w:val="0"/>
                  <w:divBdr>
                    <w:top w:val="none" w:sz="0" w:space="0" w:color="auto"/>
                    <w:left w:val="none" w:sz="0" w:space="0" w:color="auto"/>
                    <w:bottom w:val="none" w:sz="0" w:space="0" w:color="auto"/>
                    <w:right w:val="none" w:sz="0" w:space="0" w:color="auto"/>
                  </w:divBdr>
                </w:div>
                <w:div w:id="294146231">
                  <w:marLeft w:val="0"/>
                  <w:marRight w:val="0"/>
                  <w:marTop w:val="0"/>
                  <w:marBottom w:val="0"/>
                  <w:divBdr>
                    <w:top w:val="none" w:sz="0" w:space="0" w:color="auto"/>
                    <w:left w:val="none" w:sz="0" w:space="0" w:color="auto"/>
                    <w:bottom w:val="none" w:sz="0" w:space="0" w:color="auto"/>
                    <w:right w:val="none" w:sz="0" w:space="0" w:color="auto"/>
                  </w:divBdr>
                </w:div>
                <w:div w:id="294146506">
                  <w:marLeft w:val="0"/>
                  <w:marRight w:val="0"/>
                  <w:marTop w:val="0"/>
                  <w:marBottom w:val="0"/>
                  <w:divBdr>
                    <w:top w:val="none" w:sz="0" w:space="0" w:color="auto"/>
                    <w:left w:val="none" w:sz="0" w:space="0" w:color="auto"/>
                    <w:bottom w:val="none" w:sz="0" w:space="0" w:color="auto"/>
                    <w:right w:val="none" w:sz="0" w:space="0" w:color="auto"/>
                  </w:divBdr>
                </w:div>
                <w:div w:id="294146749">
                  <w:marLeft w:val="0"/>
                  <w:marRight w:val="0"/>
                  <w:marTop w:val="0"/>
                  <w:marBottom w:val="0"/>
                  <w:divBdr>
                    <w:top w:val="none" w:sz="0" w:space="0" w:color="auto"/>
                    <w:left w:val="none" w:sz="0" w:space="0" w:color="auto"/>
                    <w:bottom w:val="none" w:sz="0" w:space="0" w:color="auto"/>
                    <w:right w:val="none" w:sz="0" w:space="0" w:color="auto"/>
                  </w:divBdr>
                </w:div>
                <w:div w:id="294146767">
                  <w:marLeft w:val="0"/>
                  <w:marRight w:val="0"/>
                  <w:marTop w:val="0"/>
                  <w:marBottom w:val="0"/>
                  <w:divBdr>
                    <w:top w:val="none" w:sz="0" w:space="0" w:color="auto"/>
                    <w:left w:val="none" w:sz="0" w:space="0" w:color="auto"/>
                    <w:bottom w:val="none" w:sz="0" w:space="0" w:color="auto"/>
                    <w:right w:val="none" w:sz="0" w:space="0" w:color="auto"/>
                  </w:divBdr>
                </w:div>
                <w:div w:id="294147024">
                  <w:marLeft w:val="0"/>
                  <w:marRight w:val="0"/>
                  <w:marTop w:val="0"/>
                  <w:marBottom w:val="0"/>
                  <w:divBdr>
                    <w:top w:val="none" w:sz="0" w:space="0" w:color="auto"/>
                    <w:left w:val="none" w:sz="0" w:space="0" w:color="auto"/>
                    <w:bottom w:val="none" w:sz="0" w:space="0" w:color="auto"/>
                    <w:right w:val="none" w:sz="0" w:space="0" w:color="auto"/>
                  </w:divBdr>
                </w:div>
                <w:div w:id="294147176">
                  <w:marLeft w:val="0"/>
                  <w:marRight w:val="0"/>
                  <w:marTop w:val="0"/>
                  <w:marBottom w:val="0"/>
                  <w:divBdr>
                    <w:top w:val="none" w:sz="0" w:space="0" w:color="auto"/>
                    <w:left w:val="none" w:sz="0" w:space="0" w:color="auto"/>
                    <w:bottom w:val="none" w:sz="0" w:space="0" w:color="auto"/>
                    <w:right w:val="none" w:sz="0" w:space="0" w:color="auto"/>
                  </w:divBdr>
                </w:div>
                <w:div w:id="294147453">
                  <w:marLeft w:val="0"/>
                  <w:marRight w:val="0"/>
                  <w:marTop w:val="0"/>
                  <w:marBottom w:val="0"/>
                  <w:divBdr>
                    <w:top w:val="none" w:sz="0" w:space="0" w:color="auto"/>
                    <w:left w:val="none" w:sz="0" w:space="0" w:color="auto"/>
                    <w:bottom w:val="none" w:sz="0" w:space="0" w:color="auto"/>
                    <w:right w:val="none" w:sz="0" w:space="0" w:color="auto"/>
                  </w:divBdr>
                </w:div>
                <w:div w:id="294147625">
                  <w:marLeft w:val="0"/>
                  <w:marRight w:val="0"/>
                  <w:marTop w:val="0"/>
                  <w:marBottom w:val="0"/>
                  <w:divBdr>
                    <w:top w:val="none" w:sz="0" w:space="0" w:color="auto"/>
                    <w:left w:val="none" w:sz="0" w:space="0" w:color="auto"/>
                    <w:bottom w:val="none" w:sz="0" w:space="0" w:color="auto"/>
                    <w:right w:val="none" w:sz="0" w:space="0" w:color="auto"/>
                  </w:divBdr>
                </w:div>
                <w:div w:id="294147934">
                  <w:marLeft w:val="0"/>
                  <w:marRight w:val="0"/>
                  <w:marTop w:val="0"/>
                  <w:marBottom w:val="0"/>
                  <w:divBdr>
                    <w:top w:val="none" w:sz="0" w:space="0" w:color="auto"/>
                    <w:left w:val="none" w:sz="0" w:space="0" w:color="auto"/>
                    <w:bottom w:val="none" w:sz="0" w:space="0" w:color="auto"/>
                    <w:right w:val="none" w:sz="0" w:space="0" w:color="auto"/>
                  </w:divBdr>
                </w:div>
                <w:div w:id="294148153">
                  <w:marLeft w:val="0"/>
                  <w:marRight w:val="0"/>
                  <w:marTop w:val="0"/>
                  <w:marBottom w:val="0"/>
                  <w:divBdr>
                    <w:top w:val="none" w:sz="0" w:space="0" w:color="auto"/>
                    <w:left w:val="none" w:sz="0" w:space="0" w:color="auto"/>
                    <w:bottom w:val="none" w:sz="0" w:space="0" w:color="auto"/>
                    <w:right w:val="none" w:sz="0" w:space="0" w:color="auto"/>
                  </w:divBdr>
                </w:div>
                <w:div w:id="294148196">
                  <w:marLeft w:val="0"/>
                  <w:marRight w:val="0"/>
                  <w:marTop w:val="0"/>
                  <w:marBottom w:val="0"/>
                  <w:divBdr>
                    <w:top w:val="none" w:sz="0" w:space="0" w:color="auto"/>
                    <w:left w:val="none" w:sz="0" w:space="0" w:color="auto"/>
                    <w:bottom w:val="none" w:sz="0" w:space="0" w:color="auto"/>
                    <w:right w:val="none" w:sz="0" w:space="0" w:color="auto"/>
                  </w:divBdr>
                </w:div>
                <w:div w:id="294148219">
                  <w:marLeft w:val="0"/>
                  <w:marRight w:val="0"/>
                  <w:marTop w:val="0"/>
                  <w:marBottom w:val="0"/>
                  <w:divBdr>
                    <w:top w:val="none" w:sz="0" w:space="0" w:color="auto"/>
                    <w:left w:val="none" w:sz="0" w:space="0" w:color="auto"/>
                    <w:bottom w:val="none" w:sz="0" w:space="0" w:color="auto"/>
                    <w:right w:val="none" w:sz="0" w:space="0" w:color="auto"/>
                  </w:divBdr>
                </w:div>
                <w:div w:id="294148408">
                  <w:marLeft w:val="0"/>
                  <w:marRight w:val="0"/>
                  <w:marTop w:val="0"/>
                  <w:marBottom w:val="0"/>
                  <w:divBdr>
                    <w:top w:val="none" w:sz="0" w:space="0" w:color="auto"/>
                    <w:left w:val="none" w:sz="0" w:space="0" w:color="auto"/>
                    <w:bottom w:val="none" w:sz="0" w:space="0" w:color="auto"/>
                    <w:right w:val="none" w:sz="0" w:space="0" w:color="auto"/>
                  </w:divBdr>
                </w:div>
                <w:div w:id="294148456">
                  <w:marLeft w:val="0"/>
                  <w:marRight w:val="0"/>
                  <w:marTop w:val="0"/>
                  <w:marBottom w:val="0"/>
                  <w:divBdr>
                    <w:top w:val="none" w:sz="0" w:space="0" w:color="auto"/>
                    <w:left w:val="none" w:sz="0" w:space="0" w:color="auto"/>
                    <w:bottom w:val="none" w:sz="0" w:space="0" w:color="auto"/>
                    <w:right w:val="none" w:sz="0" w:space="0" w:color="auto"/>
                  </w:divBdr>
                </w:div>
                <w:div w:id="294148484">
                  <w:marLeft w:val="0"/>
                  <w:marRight w:val="0"/>
                  <w:marTop w:val="0"/>
                  <w:marBottom w:val="0"/>
                  <w:divBdr>
                    <w:top w:val="none" w:sz="0" w:space="0" w:color="auto"/>
                    <w:left w:val="none" w:sz="0" w:space="0" w:color="auto"/>
                    <w:bottom w:val="none" w:sz="0" w:space="0" w:color="auto"/>
                    <w:right w:val="none" w:sz="0" w:space="0" w:color="auto"/>
                  </w:divBdr>
                </w:div>
                <w:div w:id="294148560">
                  <w:marLeft w:val="0"/>
                  <w:marRight w:val="0"/>
                  <w:marTop w:val="0"/>
                  <w:marBottom w:val="0"/>
                  <w:divBdr>
                    <w:top w:val="none" w:sz="0" w:space="0" w:color="auto"/>
                    <w:left w:val="none" w:sz="0" w:space="0" w:color="auto"/>
                    <w:bottom w:val="none" w:sz="0" w:space="0" w:color="auto"/>
                    <w:right w:val="none" w:sz="0" w:space="0" w:color="auto"/>
                  </w:divBdr>
                </w:div>
                <w:div w:id="294148688">
                  <w:marLeft w:val="0"/>
                  <w:marRight w:val="0"/>
                  <w:marTop w:val="0"/>
                  <w:marBottom w:val="0"/>
                  <w:divBdr>
                    <w:top w:val="none" w:sz="0" w:space="0" w:color="auto"/>
                    <w:left w:val="none" w:sz="0" w:space="0" w:color="auto"/>
                    <w:bottom w:val="none" w:sz="0" w:space="0" w:color="auto"/>
                    <w:right w:val="none" w:sz="0" w:space="0" w:color="auto"/>
                  </w:divBdr>
                </w:div>
                <w:div w:id="294148797">
                  <w:marLeft w:val="0"/>
                  <w:marRight w:val="0"/>
                  <w:marTop w:val="0"/>
                  <w:marBottom w:val="0"/>
                  <w:divBdr>
                    <w:top w:val="none" w:sz="0" w:space="0" w:color="auto"/>
                    <w:left w:val="none" w:sz="0" w:space="0" w:color="auto"/>
                    <w:bottom w:val="none" w:sz="0" w:space="0" w:color="auto"/>
                    <w:right w:val="none" w:sz="0" w:space="0" w:color="auto"/>
                  </w:divBdr>
                </w:div>
                <w:div w:id="294149172">
                  <w:marLeft w:val="0"/>
                  <w:marRight w:val="0"/>
                  <w:marTop w:val="0"/>
                  <w:marBottom w:val="0"/>
                  <w:divBdr>
                    <w:top w:val="none" w:sz="0" w:space="0" w:color="auto"/>
                    <w:left w:val="none" w:sz="0" w:space="0" w:color="auto"/>
                    <w:bottom w:val="none" w:sz="0" w:space="0" w:color="auto"/>
                    <w:right w:val="none" w:sz="0" w:space="0" w:color="auto"/>
                  </w:divBdr>
                </w:div>
                <w:div w:id="294149226">
                  <w:marLeft w:val="0"/>
                  <w:marRight w:val="0"/>
                  <w:marTop w:val="0"/>
                  <w:marBottom w:val="0"/>
                  <w:divBdr>
                    <w:top w:val="none" w:sz="0" w:space="0" w:color="auto"/>
                    <w:left w:val="none" w:sz="0" w:space="0" w:color="auto"/>
                    <w:bottom w:val="none" w:sz="0" w:space="0" w:color="auto"/>
                    <w:right w:val="none" w:sz="0" w:space="0" w:color="auto"/>
                  </w:divBdr>
                </w:div>
                <w:div w:id="294149620">
                  <w:marLeft w:val="0"/>
                  <w:marRight w:val="0"/>
                  <w:marTop w:val="0"/>
                  <w:marBottom w:val="0"/>
                  <w:divBdr>
                    <w:top w:val="none" w:sz="0" w:space="0" w:color="auto"/>
                    <w:left w:val="none" w:sz="0" w:space="0" w:color="auto"/>
                    <w:bottom w:val="none" w:sz="0" w:space="0" w:color="auto"/>
                    <w:right w:val="none" w:sz="0" w:space="0" w:color="auto"/>
                  </w:divBdr>
                </w:div>
                <w:div w:id="294149862">
                  <w:marLeft w:val="0"/>
                  <w:marRight w:val="0"/>
                  <w:marTop w:val="0"/>
                  <w:marBottom w:val="0"/>
                  <w:divBdr>
                    <w:top w:val="none" w:sz="0" w:space="0" w:color="auto"/>
                    <w:left w:val="none" w:sz="0" w:space="0" w:color="auto"/>
                    <w:bottom w:val="none" w:sz="0" w:space="0" w:color="auto"/>
                    <w:right w:val="none" w:sz="0" w:space="0" w:color="auto"/>
                  </w:divBdr>
                </w:div>
                <w:div w:id="294150065">
                  <w:marLeft w:val="0"/>
                  <w:marRight w:val="0"/>
                  <w:marTop w:val="0"/>
                  <w:marBottom w:val="0"/>
                  <w:divBdr>
                    <w:top w:val="none" w:sz="0" w:space="0" w:color="auto"/>
                    <w:left w:val="none" w:sz="0" w:space="0" w:color="auto"/>
                    <w:bottom w:val="none" w:sz="0" w:space="0" w:color="auto"/>
                    <w:right w:val="none" w:sz="0" w:space="0" w:color="auto"/>
                  </w:divBdr>
                </w:div>
                <w:div w:id="294150091">
                  <w:marLeft w:val="0"/>
                  <w:marRight w:val="0"/>
                  <w:marTop w:val="0"/>
                  <w:marBottom w:val="0"/>
                  <w:divBdr>
                    <w:top w:val="none" w:sz="0" w:space="0" w:color="auto"/>
                    <w:left w:val="none" w:sz="0" w:space="0" w:color="auto"/>
                    <w:bottom w:val="none" w:sz="0" w:space="0" w:color="auto"/>
                    <w:right w:val="none" w:sz="0" w:space="0" w:color="auto"/>
                  </w:divBdr>
                </w:div>
                <w:div w:id="294150628">
                  <w:marLeft w:val="0"/>
                  <w:marRight w:val="0"/>
                  <w:marTop w:val="0"/>
                  <w:marBottom w:val="0"/>
                  <w:divBdr>
                    <w:top w:val="none" w:sz="0" w:space="0" w:color="auto"/>
                    <w:left w:val="none" w:sz="0" w:space="0" w:color="auto"/>
                    <w:bottom w:val="none" w:sz="0" w:space="0" w:color="auto"/>
                    <w:right w:val="none" w:sz="0" w:space="0" w:color="auto"/>
                  </w:divBdr>
                </w:div>
                <w:div w:id="294150790">
                  <w:marLeft w:val="0"/>
                  <w:marRight w:val="0"/>
                  <w:marTop w:val="0"/>
                  <w:marBottom w:val="0"/>
                  <w:divBdr>
                    <w:top w:val="none" w:sz="0" w:space="0" w:color="auto"/>
                    <w:left w:val="none" w:sz="0" w:space="0" w:color="auto"/>
                    <w:bottom w:val="none" w:sz="0" w:space="0" w:color="auto"/>
                    <w:right w:val="none" w:sz="0" w:space="0" w:color="auto"/>
                  </w:divBdr>
                </w:div>
                <w:div w:id="294150824">
                  <w:marLeft w:val="0"/>
                  <w:marRight w:val="0"/>
                  <w:marTop w:val="0"/>
                  <w:marBottom w:val="0"/>
                  <w:divBdr>
                    <w:top w:val="none" w:sz="0" w:space="0" w:color="auto"/>
                    <w:left w:val="none" w:sz="0" w:space="0" w:color="auto"/>
                    <w:bottom w:val="none" w:sz="0" w:space="0" w:color="auto"/>
                    <w:right w:val="none" w:sz="0" w:space="0" w:color="auto"/>
                  </w:divBdr>
                </w:div>
                <w:div w:id="294150853">
                  <w:marLeft w:val="0"/>
                  <w:marRight w:val="0"/>
                  <w:marTop w:val="0"/>
                  <w:marBottom w:val="0"/>
                  <w:divBdr>
                    <w:top w:val="none" w:sz="0" w:space="0" w:color="auto"/>
                    <w:left w:val="none" w:sz="0" w:space="0" w:color="auto"/>
                    <w:bottom w:val="none" w:sz="0" w:space="0" w:color="auto"/>
                    <w:right w:val="none" w:sz="0" w:space="0" w:color="auto"/>
                  </w:divBdr>
                </w:div>
                <w:div w:id="294151073">
                  <w:marLeft w:val="0"/>
                  <w:marRight w:val="0"/>
                  <w:marTop w:val="0"/>
                  <w:marBottom w:val="0"/>
                  <w:divBdr>
                    <w:top w:val="none" w:sz="0" w:space="0" w:color="auto"/>
                    <w:left w:val="none" w:sz="0" w:space="0" w:color="auto"/>
                    <w:bottom w:val="none" w:sz="0" w:space="0" w:color="auto"/>
                    <w:right w:val="none" w:sz="0" w:space="0" w:color="auto"/>
                  </w:divBdr>
                </w:div>
                <w:div w:id="294151114">
                  <w:marLeft w:val="0"/>
                  <w:marRight w:val="0"/>
                  <w:marTop w:val="0"/>
                  <w:marBottom w:val="0"/>
                  <w:divBdr>
                    <w:top w:val="none" w:sz="0" w:space="0" w:color="auto"/>
                    <w:left w:val="none" w:sz="0" w:space="0" w:color="auto"/>
                    <w:bottom w:val="none" w:sz="0" w:space="0" w:color="auto"/>
                    <w:right w:val="none" w:sz="0" w:space="0" w:color="auto"/>
                  </w:divBdr>
                </w:div>
                <w:div w:id="294151304">
                  <w:marLeft w:val="0"/>
                  <w:marRight w:val="0"/>
                  <w:marTop w:val="0"/>
                  <w:marBottom w:val="0"/>
                  <w:divBdr>
                    <w:top w:val="none" w:sz="0" w:space="0" w:color="auto"/>
                    <w:left w:val="none" w:sz="0" w:space="0" w:color="auto"/>
                    <w:bottom w:val="none" w:sz="0" w:space="0" w:color="auto"/>
                    <w:right w:val="none" w:sz="0" w:space="0" w:color="auto"/>
                  </w:divBdr>
                </w:div>
                <w:div w:id="294151740">
                  <w:marLeft w:val="0"/>
                  <w:marRight w:val="0"/>
                  <w:marTop w:val="0"/>
                  <w:marBottom w:val="0"/>
                  <w:divBdr>
                    <w:top w:val="none" w:sz="0" w:space="0" w:color="auto"/>
                    <w:left w:val="none" w:sz="0" w:space="0" w:color="auto"/>
                    <w:bottom w:val="none" w:sz="0" w:space="0" w:color="auto"/>
                    <w:right w:val="none" w:sz="0" w:space="0" w:color="auto"/>
                  </w:divBdr>
                </w:div>
                <w:div w:id="294151758">
                  <w:marLeft w:val="0"/>
                  <w:marRight w:val="0"/>
                  <w:marTop w:val="0"/>
                  <w:marBottom w:val="0"/>
                  <w:divBdr>
                    <w:top w:val="none" w:sz="0" w:space="0" w:color="auto"/>
                    <w:left w:val="none" w:sz="0" w:space="0" w:color="auto"/>
                    <w:bottom w:val="none" w:sz="0" w:space="0" w:color="auto"/>
                    <w:right w:val="none" w:sz="0" w:space="0" w:color="auto"/>
                  </w:divBdr>
                </w:div>
                <w:div w:id="294151883">
                  <w:marLeft w:val="0"/>
                  <w:marRight w:val="0"/>
                  <w:marTop w:val="0"/>
                  <w:marBottom w:val="0"/>
                  <w:divBdr>
                    <w:top w:val="none" w:sz="0" w:space="0" w:color="auto"/>
                    <w:left w:val="none" w:sz="0" w:space="0" w:color="auto"/>
                    <w:bottom w:val="none" w:sz="0" w:space="0" w:color="auto"/>
                    <w:right w:val="none" w:sz="0" w:space="0" w:color="auto"/>
                  </w:divBdr>
                </w:div>
                <w:div w:id="294152043">
                  <w:marLeft w:val="0"/>
                  <w:marRight w:val="0"/>
                  <w:marTop w:val="0"/>
                  <w:marBottom w:val="0"/>
                  <w:divBdr>
                    <w:top w:val="none" w:sz="0" w:space="0" w:color="auto"/>
                    <w:left w:val="none" w:sz="0" w:space="0" w:color="auto"/>
                    <w:bottom w:val="none" w:sz="0" w:space="0" w:color="auto"/>
                    <w:right w:val="none" w:sz="0" w:space="0" w:color="auto"/>
                  </w:divBdr>
                </w:div>
                <w:div w:id="294152642">
                  <w:marLeft w:val="0"/>
                  <w:marRight w:val="0"/>
                  <w:marTop w:val="0"/>
                  <w:marBottom w:val="0"/>
                  <w:divBdr>
                    <w:top w:val="none" w:sz="0" w:space="0" w:color="auto"/>
                    <w:left w:val="none" w:sz="0" w:space="0" w:color="auto"/>
                    <w:bottom w:val="none" w:sz="0" w:space="0" w:color="auto"/>
                    <w:right w:val="none" w:sz="0" w:space="0" w:color="auto"/>
                  </w:divBdr>
                </w:div>
                <w:div w:id="294152644">
                  <w:marLeft w:val="0"/>
                  <w:marRight w:val="0"/>
                  <w:marTop w:val="0"/>
                  <w:marBottom w:val="0"/>
                  <w:divBdr>
                    <w:top w:val="none" w:sz="0" w:space="0" w:color="auto"/>
                    <w:left w:val="none" w:sz="0" w:space="0" w:color="auto"/>
                    <w:bottom w:val="none" w:sz="0" w:space="0" w:color="auto"/>
                    <w:right w:val="none" w:sz="0" w:space="0" w:color="auto"/>
                  </w:divBdr>
                </w:div>
                <w:div w:id="294152659">
                  <w:marLeft w:val="0"/>
                  <w:marRight w:val="0"/>
                  <w:marTop w:val="0"/>
                  <w:marBottom w:val="0"/>
                  <w:divBdr>
                    <w:top w:val="none" w:sz="0" w:space="0" w:color="auto"/>
                    <w:left w:val="none" w:sz="0" w:space="0" w:color="auto"/>
                    <w:bottom w:val="none" w:sz="0" w:space="0" w:color="auto"/>
                    <w:right w:val="none" w:sz="0" w:space="0" w:color="auto"/>
                  </w:divBdr>
                </w:div>
                <w:div w:id="294152766">
                  <w:marLeft w:val="0"/>
                  <w:marRight w:val="0"/>
                  <w:marTop w:val="0"/>
                  <w:marBottom w:val="0"/>
                  <w:divBdr>
                    <w:top w:val="none" w:sz="0" w:space="0" w:color="auto"/>
                    <w:left w:val="none" w:sz="0" w:space="0" w:color="auto"/>
                    <w:bottom w:val="none" w:sz="0" w:space="0" w:color="auto"/>
                    <w:right w:val="none" w:sz="0" w:space="0" w:color="auto"/>
                  </w:divBdr>
                </w:div>
                <w:div w:id="294152768">
                  <w:marLeft w:val="0"/>
                  <w:marRight w:val="0"/>
                  <w:marTop w:val="0"/>
                  <w:marBottom w:val="0"/>
                  <w:divBdr>
                    <w:top w:val="none" w:sz="0" w:space="0" w:color="auto"/>
                    <w:left w:val="none" w:sz="0" w:space="0" w:color="auto"/>
                    <w:bottom w:val="none" w:sz="0" w:space="0" w:color="auto"/>
                    <w:right w:val="none" w:sz="0" w:space="0" w:color="auto"/>
                  </w:divBdr>
                </w:div>
                <w:div w:id="294153019">
                  <w:marLeft w:val="0"/>
                  <w:marRight w:val="0"/>
                  <w:marTop w:val="0"/>
                  <w:marBottom w:val="0"/>
                  <w:divBdr>
                    <w:top w:val="none" w:sz="0" w:space="0" w:color="auto"/>
                    <w:left w:val="none" w:sz="0" w:space="0" w:color="auto"/>
                    <w:bottom w:val="none" w:sz="0" w:space="0" w:color="auto"/>
                    <w:right w:val="none" w:sz="0" w:space="0" w:color="auto"/>
                  </w:divBdr>
                </w:div>
                <w:div w:id="294153032">
                  <w:marLeft w:val="0"/>
                  <w:marRight w:val="0"/>
                  <w:marTop w:val="0"/>
                  <w:marBottom w:val="0"/>
                  <w:divBdr>
                    <w:top w:val="none" w:sz="0" w:space="0" w:color="auto"/>
                    <w:left w:val="none" w:sz="0" w:space="0" w:color="auto"/>
                    <w:bottom w:val="none" w:sz="0" w:space="0" w:color="auto"/>
                    <w:right w:val="none" w:sz="0" w:space="0" w:color="auto"/>
                  </w:divBdr>
                </w:div>
                <w:div w:id="294153133">
                  <w:marLeft w:val="0"/>
                  <w:marRight w:val="0"/>
                  <w:marTop w:val="0"/>
                  <w:marBottom w:val="0"/>
                  <w:divBdr>
                    <w:top w:val="none" w:sz="0" w:space="0" w:color="auto"/>
                    <w:left w:val="none" w:sz="0" w:space="0" w:color="auto"/>
                    <w:bottom w:val="none" w:sz="0" w:space="0" w:color="auto"/>
                    <w:right w:val="none" w:sz="0" w:space="0" w:color="auto"/>
                  </w:divBdr>
                </w:div>
                <w:div w:id="294153163">
                  <w:marLeft w:val="0"/>
                  <w:marRight w:val="0"/>
                  <w:marTop w:val="0"/>
                  <w:marBottom w:val="0"/>
                  <w:divBdr>
                    <w:top w:val="none" w:sz="0" w:space="0" w:color="auto"/>
                    <w:left w:val="none" w:sz="0" w:space="0" w:color="auto"/>
                    <w:bottom w:val="none" w:sz="0" w:space="0" w:color="auto"/>
                    <w:right w:val="none" w:sz="0" w:space="0" w:color="auto"/>
                  </w:divBdr>
                </w:div>
                <w:div w:id="294153182">
                  <w:marLeft w:val="0"/>
                  <w:marRight w:val="0"/>
                  <w:marTop w:val="0"/>
                  <w:marBottom w:val="0"/>
                  <w:divBdr>
                    <w:top w:val="none" w:sz="0" w:space="0" w:color="auto"/>
                    <w:left w:val="none" w:sz="0" w:space="0" w:color="auto"/>
                    <w:bottom w:val="none" w:sz="0" w:space="0" w:color="auto"/>
                    <w:right w:val="none" w:sz="0" w:space="0" w:color="auto"/>
                  </w:divBdr>
                </w:div>
                <w:div w:id="294153231">
                  <w:marLeft w:val="0"/>
                  <w:marRight w:val="0"/>
                  <w:marTop w:val="0"/>
                  <w:marBottom w:val="0"/>
                  <w:divBdr>
                    <w:top w:val="none" w:sz="0" w:space="0" w:color="auto"/>
                    <w:left w:val="none" w:sz="0" w:space="0" w:color="auto"/>
                    <w:bottom w:val="none" w:sz="0" w:space="0" w:color="auto"/>
                    <w:right w:val="none" w:sz="0" w:space="0" w:color="auto"/>
                  </w:divBdr>
                </w:div>
                <w:div w:id="294153495">
                  <w:marLeft w:val="0"/>
                  <w:marRight w:val="0"/>
                  <w:marTop w:val="0"/>
                  <w:marBottom w:val="0"/>
                  <w:divBdr>
                    <w:top w:val="none" w:sz="0" w:space="0" w:color="auto"/>
                    <w:left w:val="none" w:sz="0" w:space="0" w:color="auto"/>
                    <w:bottom w:val="none" w:sz="0" w:space="0" w:color="auto"/>
                    <w:right w:val="none" w:sz="0" w:space="0" w:color="auto"/>
                  </w:divBdr>
                </w:div>
                <w:div w:id="294153683">
                  <w:marLeft w:val="0"/>
                  <w:marRight w:val="0"/>
                  <w:marTop w:val="0"/>
                  <w:marBottom w:val="0"/>
                  <w:divBdr>
                    <w:top w:val="none" w:sz="0" w:space="0" w:color="auto"/>
                    <w:left w:val="none" w:sz="0" w:space="0" w:color="auto"/>
                    <w:bottom w:val="none" w:sz="0" w:space="0" w:color="auto"/>
                    <w:right w:val="none" w:sz="0" w:space="0" w:color="auto"/>
                  </w:divBdr>
                </w:div>
                <w:div w:id="294153782">
                  <w:marLeft w:val="0"/>
                  <w:marRight w:val="0"/>
                  <w:marTop w:val="0"/>
                  <w:marBottom w:val="0"/>
                  <w:divBdr>
                    <w:top w:val="none" w:sz="0" w:space="0" w:color="auto"/>
                    <w:left w:val="none" w:sz="0" w:space="0" w:color="auto"/>
                    <w:bottom w:val="none" w:sz="0" w:space="0" w:color="auto"/>
                    <w:right w:val="none" w:sz="0" w:space="0" w:color="auto"/>
                  </w:divBdr>
                </w:div>
                <w:div w:id="294154054">
                  <w:marLeft w:val="0"/>
                  <w:marRight w:val="0"/>
                  <w:marTop w:val="0"/>
                  <w:marBottom w:val="0"/>
                  <w:divBdr>
                    <w:top w:val="none" w:sz="0" w:space="0" w:color="auto"/>
                    <w:left w:val="none" w:sz="0" w:space="0" w:color="auto"/>
                    <w:bottom w:val="none" w:sz="0" w:space="0" w:color="auto"/>
                    <w:right w:val="none" w:sz="0" w:space="0" w:color="auto"/>
                  </w:divBdr>
                </w:div>
                <w:div w:id="294154055">
                  <w:marLeft w:val="0"/>
                  <w:marRight w:val="0"/>
                  <w:marTop w:val="0"/>
                  <w:marBottom w:val="0"/>
                  <w:divBdr>
                    <w:top w:val="none" w:sz="0" w:space="0" w:color="auto"/>
                    <w:left w:val="none" w:sz="0" w:space="0" w:color="auto"/>
                    <w:bottom w:val="none" w:sz="0" w:space="0" w:color="auto"/>
                    <w:right w:val="none" w:sz="0" w:space="0" w:color="auto"/>
                  </w:divBdr>
                </w:div>
                <w:div w:id="294154163">
                  <w:marLeft w:val="0"/>
                  <w:marRight w:val="0"/>
                  <w:marTop w:val="0"/>
                  <w:marBottom w:val="0"/>
                  <w:divBdr>
                    <w:top w:val="none" w:sz="0" w:space="0" w:color="auto"/>
                    <w:left w:val="none" w:sz="0" w:space="0" w:color="auto"/>
                    <w:bottom w:val="none" w:sz="0" w:space="0" w:color="auto"/>
                    <w:right w:val="none" w:sz="0" w:space="0" w:color="auto"/>
                  </w:divBdr>
                </w:div>
                <w:div w:id="294154185">
                  <w:marLeft w:val="0"/>
                  <w:marRight w:val="0"/>
                  <w:marTop w:val="0"/>
                  <w:marBottom w:val="0"/>
                  <w:divBdr>
                    <w:top w:val="none" w:sz="0" w:space="0" w:color="auto"/>
                    <w:left w:val="none" w:sz="0" w:space="0" w:color="auto"/>
                    <w:bottom w:val="none" w:sz="0" w:space="0" w:color="auto"/>
                    <w:right w:val="none" w:sz="0" w:space="0" w:color="auto"/>
                  </w:divBdr>
                </w:div>
                <w:div w:id="294154314">
                  <w:marLeft w:val="0"/>
                  <w:marRight w:val="0"/>
                  <w:marTop w:val="0"/>
                  <w:marBottom w:val="0"/>
                  <w:divBdr>
                    <w:top w:val="none" w:sz="0" w:space="0" w:color="auto"/>
                    <w:left w:val="none" w:sz="0" w:space="0" w:color="auto"/>
                    <w:bottom w:val="none" w:sz="0" w:space="0" w:color="auto"/>
                    <w:right w:val="none" w:sz="0" w:space="0" w:color="auto"/>
                  </w:divBdr>
                </w:div>
                <w:div w:id="294154372">
                  <w:marLeft w:val="0"/>
                  <w:marRight w:val="0"/>
                  <w:marTop w:val="0"/>
                  <w:marBottom w:val="0"/>
                  <w:divBdr>
                    <w:top w:val="none" w:sz="0" w:space="0" w:color="auto"/>
                    <w:left w:val="none" w:sz="0" w:space="0" w:color="auto"/>
                    <w:bottom w:val="none" w:sz="0" w:space="0" w:color="auto"/>
                    <w:right w:val="none" w:sz="0" w:space="0" w:color="auto"/>
                  </w:divBdr>
                </w:div>
                <w:div w:id="294154453">
                  <w:marLeft w:val="0"/>
                  <w:marRight w:val="0"/>
                  <w:marTop w:val="0"/>
                  <w:marBottom w:val="0"/>
                  <w:divBdr>
                    <w:top w:val="none" w:sz="0" w:space="0" w:color="auto"/>
                    <w:left w:val="none" w:sz="0" w:space="0" w:color="auto"/>
                    <w:bottom w:val="none" w:sz="0" w:space="0" w:color="auto"/>
                    <w:right w:val="none" w:sz="0" w:space="0" w:color="auto"/>
                  </w:divBdr>
                </w:div>
                <w:div w:id="294154633">
                  <w:marLeft w:val="0"/>
                  <w:marRight w:val="0"/>
                  <w:marTop w:val="0"/>
                  <w:marBottom w:val="0"/>
                  <w:divBdr>
                    <w:top w:val="none" w:sz="0" w:space="0" w:color="auto"/>
                    <w:left w:val="none" w:sz="0" w:space="0" w:color="auto"/>
                    <w:bottom w:val="none" w:sz="0" w:space="0" w:color="auto"/>
                    <w:right w:val="none" w:sz="0" w:space="0" w:color="auto"/>
                  </w:divBdr>
                </w:div>
                <w:div w:id="294154780">
                  <w:marLeft w:val="0"/>
                  <w:marRight w:val="0"/>
                  <w:marTop w:val="0"/>
                  <w:marBottom w:val="0"/>
                  <w:divBdr>
                    <w:top w:val="none" w:sz="0" w:space="0" w:color="auto"/>
                    <w:left w:val="none" w:sz="0" w:space="0" w:color="auto"/>
                    <w:bottom w:val="none" w:sz="0" w:space="0" w:color="auto"/>
                    <w:right w:val="none" w:sz="0" w:space="0" w:color="auto"/>
                  </w:divBdr>
                </w:div>
                <w:div w:id="294155505">
                  <w:marLeft w:val="0"/>
                  <w:marRight w:val="0"/>
                  <w:marTop w:val="0"/>
                  <w:marBottom w:val="0"/>
                  <w:divBdr>
                    <w:top w:val="none" w:sz="0" w:space="0" w:color="auto"/>
                    <w:left w:val="none" w:sz="0" w:space="0" w:color="auto"/>
                    <w:bottom w:val="none" w:sz="0" w:space="0" w:color="auto"/>
                    <w:right w:val="none" w:sz="0" w:space="0" w:color="auto"/>
                  </w:divBdr>
                </w:div>
                <w:div w:id="294155534">
                  <w:marLeft w:val="0"/>
                  <w:marRight w:val="0"/>
                  <w:marTop w:val="0"/>
                  <w:marBottom w:val="0"/>
                  <w:divBdr>
                    <w:top w:val="none" w:sz="0" w:space="0" w:color="auto"/>
                    <w:left w:val="none" w:sz="0" w:space="0" w:color="auto"/>
                    <w:bottom w:val="none" w:sz="0" w:space="0" w:color="auto"/>
                    <w:right w:val="none" w:sz="0" w:space="0" w:color="auto"/>
                  </w:divBdr>
                </w:div>
                <w:div w:id="294155787">
                  <w:marLeft w:val="0"/>
                  <w:marRight w:val="0"/>
                  <w:marTop w:val="0"/>
                  <w:marBottom w:val="0"/>
                  <w:divBdr>
                    <w:top w:val="none" w:sz="0" w:space="0" w:color="auto"/>
                    <w:left w:val="none" w:sz="0" w:space="0" w:color="auto"/>
                    <w:bottom w:val="none" w:sz="0" w:space="0" w:color="auto"/>
                    <w:right w:val="none" w:sz="0" w:space="0" w:color="auto"/>
                  </w:divBdr>
                </w:div>
                <w:div w:id="294155802">
                  <w:marLeft w:val="0"/>
                  <w:marRight w:val="0"/>
                  <w:marTop w:val="0"/>
                  <w:marBottom w:val="0"/>
                  <w:divBdr>
                    <w:top w:val="none" w:sz="0" w:space="0" w:color="auto"/>
                    <w:left w:val="none" w:sz="0" w:space="0" w:color="auto"/>
                    <w:bottom w:val="none" w:sz="0" w:space="0" w:color="auto"/>
                    <w:right w:val="none" w:sz="0" w:space="0" w:color="auto"/>
                  </w:divBdr>
                </w:div>
                <w:div w:id="294156025">
                  <w:marLeft w:val="0"/>
                  <w:marRight w:val="0"/>
                  <w:marTop w:val="0"/>
                  <w:marBottom w:val="0"/>
                  <w:divBdr>
                    <w:top w:val="none" w:sz="0" w:space="0" w:color="auto"/>
                    <w:left w:val="none" w:sz="0" w:space="0" w:color="auto"/>
                    <w:bottom w:val="none" w:sz="0" w:space="0" w:color="auto"/>
                    <w:right w:val="none" w:sz="0" w:space="0" w:color="auto"/>
                  </w:divBdr>
                </w:div>
                <w:div w:id="294156083">
                  <w:marLeft w:val="0"/>
                  <w:marRight w:val="0"/>
                  <w:marTop w:val="0"/>
                  <w:marBottom w:val="0"/>
                  <w:divBdr>
                    <w:top w:val="none" w:sz="0" w:space="0" w:color="auto"/>
                    <w:left w:val="none" w:sz="0" w:space="0" w:color="auto"/>
                    <w:bottom w:val="none" w:sz="0" w:space="0" w:color="auto"/>
                    <w:right w:val="none" w:sz="0" w:space="0" w:color="auto"/>
                  </w:divBdr>
                </w:div>
                <w:div w:id="294156262">
                  <w:marLeft w:val="0"/>
                  <w:marRight w:val="0"/>
                  <w:marTop w:val="0"/>
                  <w:marBottom w:val="0"/>
                  <w:divBdr>
                    <w:top w:val="none" w:sz="0" w:space="0" w:color="auto"/>
                    <w:left w:val="none" w:sz="0" w:space="0" w:color="auto"/>
                    <w:bottom w:val="none" w:sz="0" w:space="0" w:color="auto"/>
                    <w:right w:val="none" w:sz="0" w:space="0" w:color="auto"/>
                  </w:divBdr>
                </w:div>
                <w:div w:id="294156346">
                  <w:marLeft w:val="0"/>
                  <w:marRight w:val="0"/>
                  <w:marTop w:val="0"/>
                  <w:marBottom w:val="0"/>
                  <w:divBdr>
                    <w:top w:val="none" w:sz="0" w:space="0" w:color="auto"/>
                    <w:left w:val="none" w:sz="0" w:space="0" w:color="auto"/>
                    <w:bottom w:val="none" w:sz="0" w:space="0" w:color="auto"/>
                    <w:right w:val="none" w:sz="0" w:space="0" w:color="auto"/>
                  </w:divBdr>
                </w:div>
                <w:div w:id="294156549">
                  <w:marLeft w:val="0"/>
                  <w:marRight w:val="0"/>
                  <w:marTop w:val="0"/>
                  <w:marBottom w:val="0"/>
                  <w:divBdr>
                    <w:top w:val="none" w:sz="0" w:space="0" w:color="auto"/>
                    <w:left w:val="none" w:sz="0" w:space="0" w:color="auto"/>
                    <w:bottom w:val="none" w:sz="0" w:space="0" w:color="auto"/>
                    <w:right w:val="none" w:sz="0" w:space="0" w:color="auto"/>
                  </w:divBdr>
                </w:div>
                <w:div w:id="294156550">
                  <w:marLeft w:val="0"/>
                  <w:marRight w:val="0"/>
                  <w:marTop w:val="0"/>
                  <w:marBottom w:val="0"/>
                  <w:divBdr>
                    <w:top w:val="none" w:sz="0" w:space="0" w:color="auto"/>
                    <w:left w:val="none" w:sz="0" w:space="0" w:color="auto"/>
                    <w:bottom w:val="none" w:sz="0" w:space="0" w:color="auto"/>
                    <w:right w:val="none" w:sz="0" w:space="0" w:color="auto"/>
                  </w:divBdr>
                </w:div>
                <w:div w:id="294157198">
                  <w:marLeft w:val="0"/>
                  <w:marRight w:val="0"/>
                  <w:marTop w:val="0"/>
                  <w:marBottom w:val="0"/>
                  <w:divBdr>
                    <w:top w:val="none" w:sz="0" w:space="0" w:color="auto"/>
                    <w:left w:val="none" w:sz="0" w:space="0" w:color="auto"/>
                    <w:bottom w:val="none" w:sz="0" w:space="0" w:color="auto"/>
                    <w:right w:val="none" w:sz="0" w:space="0" w:color="auto"/>
                  </w:divBdr>
                </w:div>
                <w:div w:id="294157327">
                  <w:marLeft w:val="0"/>
                  <w:marRight w:val="0"/>
                  <w:marTop w:val="0"/>
                  <w:marBottom w:val="0"/>
                  <w:divBdr>
                    <w:top w:val="none" w:sz="0" w:space="0" w:color="auto"/>
                    <w:left w:val="none" w:sz="0" w:space="0" w:color="auto"/>
                    <w:bottom w:val="none" w:sz="0" w:space="0" w:color="auto"/>
                    <w:right w:val="none" w:sz="0" w:space="0" w:color="auto"/>
                  </w:divBdr>
                </w:div>
                <w:div w:id="29415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4479">
          <w:marLeft w:val="0"/>
          <w:marRight w:val="0"/>
          <w:marTop w:val="0"/>
          <w:marBottom w:val="0"/>
          <w:divBdr>
            <w:top w:val="none" w:sz="0" w:space="0" w:color="auto"/>
            <w:left w:val="none" w:sz="0" w:space="0" w:color="auto"/>
            <w:bottom w:val="none" w:sz="0" w:space="0" w:color="auto"/>
            <w:right w:val="none" w:sz="0" w:space="0" w:color="auto"/>
          </w:divBdr>
          <w:divsChild>
            <w:div w:id="294153587">
              <w:marLeft w:val="0"/>
              <w:marRight w:val="0"/>
              <w:marTop w:val="0"/>
              <w:marBottom w:val="0"/>
              <w:divBdr>
                <w:top w:val="none" w:sz="0" w:space="0" w:color="auto"/>
                <w:left w:val="none" w:sz="0" w:space="0" w:color="auto"/>
                <w:bottom w:val="none" w:sz="0" w:space="0" w:color="auto"/>
                <w:right w:val="none" w:sz="0" w:space="0" w:color="auto"/>
              </w:divBdr>
              <w:divsChild>
                <w:div w:id="294145965">
                  <w:marLeft w:val="0"/>
                  <w:marRight w:val="0"/>
                  <w:marTop w:val="0"/>
                  <w:marBottom w:val="0"/>
                  <w:divBdr>
                    <w:top w:val="none" w:sz="0" w:space="0" w:color="auto"/>
                    <w:left w:val="none" w:sz="0" w:space="0" w:color="auto"/>
                    <w:bottom w:val="none" w:sz="0" w:space="0" w:color="auto"/>
                    <w:right w:val="none" w:sz="0" w:space="0" w:color="auto"/>
                  </w:divBdr>
                  <w:divsChild>
                    <w:div w:id="294138030">
                      <w:marLeft w:val="0"/>
                      <w:marRight w:val="0"/>
                      <w:marTop w:val="0"/>
                      <w:marBottom w:val="0"/>
                      <w:divBdr>
                        <w:top w:val="none" w:sz="0" w:space="0" w:color="auto"/>
                        <w:left w:val="none" w:sz="0" w:space="0" w:color="auto"/>
                        <w:bottom w:val="none" w:sz="0" w:space="0" w:color="auto"/>
                        <w:right w:val="none" w:sz="0" w:space="0" w:color="auto"/>
                      </w:divBdr>
                      <w:divsChild>
                        <w:div w:id="294139959">
                          <w:marLeft w:val="0"/>
                          <w:marRight w:val="0"/>
                          <w:marTop w:val="0"/>
                          <w:marBottom w:val="0"/>
                          <w:divBdr>
                            <w:top w:val="none" w:sz="0" w:space="0" w:color="auto"/>
                            <w:left w:val="none" w:sz="0" w:space="0" w:color="auto"/>
                            <w:bottom w:val="none" w:sz="0" w:space="0" w:color="auto"/>
                            <w:right w:val="none" w:sz="0" w:space="0" w:color="auto"/>
                          </w:divBdr>
                        </w:div>
                      </w:divsChild>
                    </w:div>
                    <w:div w:id="294138164">
                      <w:marLeft w:val="0"/>
                      <w:marRight w:val="0"/>
                      <w:marTop w:val="0"/>
                      <w:marBottom w:val="0"/>
                      <w:divBdr>
                        <w:top w:val="none" w:sz="0" w:space="0" w:color="auto"/>
                        <w:left w:val="none" w:sz="0" w:space="0" w:color="auto"/>
                        <w:bottom w:val="none" w:sz="0" w:space="0" w:color="auto"/>
                        <w:right w:val="none" w:sz="0" w:space="0" w:color="auto"/>
                      </w:divBdr>
                      <w:divsChild>
                        <w:div w:id="294150271">
                          <w:marLeft w:val="0"/>
                          <w:marRight w:val="0"/>
                          <w:marTop w:val="0"/>
                          <w:marBottom w:val="0"/>
                          <w:divBdr>
                            <w:top w:val="none" w:sz="0" w:space="0" w:color="auto"/>
                            <w:left w:val="none" w:sz="0" w:space="0" w:color="auto"/>
                            <w:bottom w:val="none" w:sz="0" w:space="0" w:color="auto"/>
                            <w:right w:val="none" w:sz="0" w:space="0" w:color="auto"/>
                          </w:divBdr>
                        </w:div>
                      </w:divsChild>
                    </w:div>
                    <w:div w:id="294138197">
                      <w:marLeft w:val="0"/>
                      <w:marRight w:val="0"/>
                      <w:marTop w:val="0"/>
                      <w:marBottom w:val="0"/>
                      <w:divBdr>
                        <w:top w:val="none" w:sz="0" w:space="0" w:color="auto"/>
                        <w:left w:val="none" w:sz="0" w:space="0" w:color="auto"/>
                        <w:bottom w:val="none" w:sz="0" w:space="0" w:color="auto"/>
                        <w:right w:val="none" w:sz="0" w:space="0" w:color="auto"/>
                      </w:divBdr>
                    </w:div>
                    <w:div w:id="294138214">
                      <w:marLeft w:val="0"/>
                      <w:marRight w:val="0"/>
                      <w:marTop w:val="0"/>
                      <w:marBottom w:val="0"/>
                      <w:divBdr>
                        <w:top w:val="none" w:sz="0" w:space="0" w:color="auto"/>
                        <w:left w:val="none" w:sz="0" w:space="0" w:color="auto"/>
                        <w:bottom w:val="none" w:sz="0" w:space="0" w:color="auto"/>
                        <w:right w:val="none" w:sz="0" w:space="0" w:color="auto"/>
                      </w:divBdr>
                      <w:divsChild>
                        <w:div w:id="294153902">
                          <w:marLeft w:val="0"/>
                          <w:marRight w:val="0"/>
                          <w:marTop w:val="0"/>
                          <w:marBottom w:val="0"/>
                          <w:divBdr>
                            <w:top w:val="none" w:sz="0" w:space="0" w:color="auto"/>
                            <w:left w:val="none" w:sz="0" w:space="0" w:color="auto"/>
                            <w:bottom w:val="none" w:sz="0" w:space="0" w:color="auto"/>
                            <w:right w:val="none" w:sz="0" w:space="0" w:color="auto"/>
                          </w:divBdr>
                        </w:div>
                      </w:divsChild>
                    </w:div>
                    <w:div w:id="294138433">
                      <w:marLeft w:val="0"/>
                      <w:marRight w:val="0"/>
                      <w:marTop w:val="0"/>
                      <w:marBottom w:val="0"/>
                      <w:divBdr>
                        <w:top w:val="none" w:sz="0" w:space="0" w:color="auto"/>
                        <w:left w:val="none" w:sz="0" w:space="0" w:color="auto"/>
                        <w:bottom w:val="none" w:sz="0" w:space="0" w:color="auto"/>
                        <w:right w:val="none" w:sz="0" w:space="0" w:color="auto"/>
                      </w:divBdr>
                    </w:div>
                    <w:div w:id="294138546">
                      <w:marLeft w:val="0"/>
                      <w:marRight w:val="0"/>
                      <w:marTop w:val="0"/>
                      <w:marBottom w:val="0"/>
                      <w:divBdr>
                        <w:top w:val="none" w:sz="0" w:space="0" w:color="auto"/>
                        <w:left w:val="none" w:sz="0" w:space="0" w:color="auto"/>
                        <w:bottom w:val="none" w:sz="0" w:space="0" w:color="auto"/>
                        <w:right w:val="none" w:sz="0" w:space="0" w:color="auto"/>
                      </w:divBdr>
                    </w:div>
                    <w:div w:id="294138598">
                      <w:marLeft w:val="0"/>
                      <w:marRight w:val="0"/>
                      <w:marTop w:val="0"/>
                      <w:marBottom w:val="0"/>
                      <w:divBdr>
                        <w:top w:val="none" w:sz="0" w:space="0" w:color="auto"/>
                        <w:left w:val="none" w:sz="0" w:space="0" w:color="auto"/>
                        <w:bottom w:val="none" w:sz="0" w:space="0" w:color="auto"/>
                        <w:right w:val="none" w:sz="0" w:space="0" w:color="auto"/>
                      </w:divBdr>
                    </w:div>
                    <w:div w:id="294138600">
                      <w:marLeft w:val="0"/>
                      <w:marRight w:val="0"/>
                      <w:marTop w:val="0"/>
                      <w:marBottom w:val="0"/>
                      <w:divBdr>
                        <w:top w:val="none" w:sz="0" w:space="0" w:color="auto"/>
                        <w:left w:val="none" w:sz="0" w:space="0" w:color="auto"/>
                        <w:bottom w:val="none" w:sz="0" w:space="0" w:color="auto"/>
                        <w:right w:val="none" w:sz="0" w:space="0" w:color="auto"/>
                      </w:divBdr>
                      <w:divsChild>
                        <w:div w:id="294142741">
                          <w:marLeft w:val="0"/>
                          <w:marRight w:val="0"/>
                          <w:marTop w:val="0"/>
                          <w:marBottom w:val="0"/>
                          <w:divBdr>
                            <w:top w:val="none" w:sz="0" w:space="0" w:color="auto"/>
                            <w:left w:val="none" w:sz="0" w:space="0" w:color="auto"/>
                            <w:bottom w:val="none" w:sz="0" w:space="0" w:color="auto"/>
                            <w:right w:val="none" w:sz="0" w:space="0" w:color="auto"/>
                          </w:divBdr>
                        </w:div>
                      </w:divsChild>
                    </w:div>
                    <w:div w:id="294138637">
                      <w:marLeft w:val="0"/>
                      <w:marRight w:val="0"/>
                      <w:marTop w:val="0"/>
                      <w:marBottom w:val="0"/>
                      <w:divBdr>
                        <w:top w:val="none" w:sz="0" w:space="0" w:color="auto"/>
                        <w:left w:val="none" w:sz="0" w:space="0" w:color="auto"/>
                        <w:bottom w:val="none" w:sz="0" w:space="0" w:color="auto"/>
                        <w:right w:val="none" w:sz="0" w:space="0" w:color="auto"/>
                      </w:divBdr>
                    </w:div>
                    <w:div w:id="294138664">
                      <w:marLeft w:val="0"/>
                      <w:marRight w:val="0"/>
                      <w:marTop w:val="0"/>
                      <w:marBottom w:val="0"/>
                      <w:divBdr>
                        <w:top w:val="none" w:sz="0" w:space="0" w:color="auto"/>
                        <w:left w:val="none" w:sz="0" w:space="0" w:color="auto"/>
                        <w:bottom w:val="none" w:sz="0" w:space="0" w:color="auto"/>
                        <w:right w:val="none" w:sz="0" w:space="0" w:color="auto"/>
                      </w:divBdr>
                      <w:divsChild>
                        <w:div w:id="294154118">
                          <w:marLeft w:val="0"/>
                          <w:marRight w:val="0"/>
                          <w:marTop w:val="0"/>
                          <w:marBottom w:val="0"/>
                          <w:divBdr>
                            <w:top w:val="none" w:sz="0" w:space="0" w:color="auto"/>
                            <w:left w:val="none" w:sz="0" w:space="0" w:color="auto"/>
                            <w:bottom w:val="none" w:sz="0" w:space="0" w:color="auto"/>
                            <w:right w:val="none" w:sz="0" w:space="0" w:color="auto"/>
                          </w:divBdr>
                        </w:div>
                      </w:divsChild>
                    </w:div>
                    <w:div w:id="294138675">
                      <w:marLeft w:val="0"/>
                      <w:marRight w:val="0"/>
                      <w:marTop w:val="0"/>
                      <w:marBottom w:val="0"/>
                      <w:divBdr>
                        <w:top w:val="none" w:sz="0" w:space="0" w:color="auto"/>
                        <w:left w:val="none" w:sz="0" w:space="0" w:color="auto"/>
                        <w:bottom w:val="none" w:sz="0" w:space="0" w:color="auto"/>
                        <w:right w:val="none" w:sz="0" w:space="0" w:color="auto"/>
                      </w:divBdr>
                      <w:divsChild>
                        <w:div w:id="294154592">
                          <w:marLeft w:val="0"/>
                          <w:marRight w:val="0"/>
                          <w:marTop w:val="0"/>
                          <w:marBottom w:val="0"/>
                          <w:divBdr>
                            <w:top w:val="none" w:sz="0" w:space="0" w:color="auto"/>
                            <w:left w:val="none" w:sz="0" w:space="0" w:color="auto"/>
                            <w:bottom w:val="none" w:sz="0" w:space="0" w:color="auto"/>
                            <w:right w:val="none" w:sz="0" w:space="0" w:color="auto"/>
                          </w:divBdr>
                        </w:div>
                      </w:divsChild>
                    </w:div>
                    <w:div w:id="294138784">
                      <w:marLeft w:val="0"/>
                      <w:marRight w:val="0"/>
                      <w:marTop w:val="0"/>
                      <w:marBottom w:val="0"/>
                      <w:divBdr>
                        <w:top w:val="none" w:sz="0" w:space="0" w:color="auto"/>
                        <w:left w:val="none" w:sz="0" w:space="0" w:color="auto"/>
                        <w:bottom w:val="none" w:sz="0" w:space="0" w:color="auto"/>
                        <w:right w:val="none" w:sz="0" w:space="0" w:color="auto"/>
                      </w:divBdr>
                    </w:div>
                    <w:div w:id="294138794">
                      <w:marLeft w:val="0"/>
                      <w:marRight w:val="0"/>
                      <w:marTop w:val="0"/>
                      <w:marBottom w:val="0"/>
                      <w:divBdr>
                        <w:top w:val="none" w:sz="0" w:space="0" w:color="auto"/>
                        <w:left w:val="none" w:sz="0" w:space="0" w:color="auto"/>
                        <w:bottom w:val="none" w:sz="0" w:space="0" w:color="auto"/>
                        <w:right w:val="none" w:sz="0" w:space="0" w:color="auto"/>
                      </w:divBdr>
                      <w:divsChild>
                        <w:div w:id="294141374">
                          <w:marLeft w:val="0"/>
                          <w:marRight w:val="0"/>
                          <w:marTop w:val="0"/>
                          <w:marBottom w:val="0"/>
                          <w:divBdr>
                            <w:top w:val="none" w:sz="0" w:space="0" w:color="auto"/>
                            <w:left w:val="none" w:sz="0" w:space="0" w:color="auto"/>
                            <w:bottom w:val="none" w:sz="0" w:space="0" w:color="auto"/>
                            <w:right w:val="none" w:sz="0" w:space="0" w:color="auto"/>
                          </w:divBdr>
                        </w:div>
                      </w:divsChild>
                    </w:div>
                    <w:div w:id="294138845">
                      <w:marLeft w:val="0"/>
                      <w:marRight w:val="0"/>
                      <w:marTop w:val="0"/>
                      <w:marBottom w:val="0"/>
                      <w:divBdr>
                        <w:top w:val="none" w:sz="0" w:space="0" w:color="auto"/>
                        <w:left w:val="none" w:sz="0" w:space="0" w:color="auto"/>
                        <w:bottom w:val="none" w:sz="0" w:space="0" w:color="auto"/>
                        <w:right w:val="none" w:sz="0" w:space="0" w:color="auto"/>
                      </w:divBdr>
                      <w:divsChild>
                        <w:div w:id="294149711">
                          <w:marLeft w:val="0"/>
                          <w:marRight w:val="0"/>
                          <w:marTop w:val="0"/>
                          <w:marBottom w:val="0"/>
                          <w:divBdr>
                            <w:top w:val="none" w:sz="0" w:space="0" w:color="auto"/>
                            <w:left w:val="none" w:sz="0" w:space="0" w:color="auto"/>
                            <w:bottom w:val="none" w:sz="0" w:space="0" w:color="auto"/>
                            <w:right w:val="none" w:sz="0" w:space="0" w:color="auto"/>
                          </w:divBdr>
                        </w:div>
                      </w:divsChild>
                    </w:div>
                    <w:div w:id="294138890">
                      <w:marLeft w:val="0"/>
                      <w:marRight w:val="0"/>
                      <w:marTop w:val="0"/>
                      <w:marBottom w:val="0"/>
                      <w:divBdr>
                        <w:top w:val="none" w:sz="0" w:space="0" w:color="auto"/>
                        <w:left w:val="none" w:sz="0" w:space="0" w:color="auto"/>
                        <w:bottom w:val="none" w:sz="0" w:space="0" w:color="auto"/>
                        <w:right w:val="none" w:sz="0" w:space="0" w:color="auto"/>
                      </w:divBdr>
                      <w:divsChild>
                        <w:div w:id="294139475">
                          <w:marLeft w:val="0"/>
                          <w:marRight w:val="0"/>
                          <w:marTop w:val="0"/>
                          <w:marBottom w:val="0"/>
                          <w:divBdr>
                            <w:top w:val="none" w:sz="0" w:space="0" w:color="auto"/>
                            <w:left w:val="none" w:sz="0" w:space="0" w:color="auto"/>
                            <w:bottom w:val="none" w:sz="0" w:space="0" w:color="auto"/>
                            <w:right w:val="none" w:sz="0" w:space="0" w:color="auto"/>
                          </w:divBdr>
                        </w:div>
                      </w:divsChild>
                    </w:div>
                    <w:div w:id="294138906">
                      <w:marLeft w:val="0"/>
                      <w:marRight w:val="0"/>
                      <w:marTop w:val="0"/>
                      <w:marBottom w:val="0"/>
                      <w:divBdr>
                        <w:top w:val="none" w:sz="0" w:space="0" w:color="auto"/>
                        <w:left w:val="none" w:sz="0" w:space="0" w:color="auto"/>
                        <w:bottom w:val="none" w:sz="0" w:space="0" w:color="auto"/>
                        <w:right w:val="none" w:sz="0" w:space="0" w:color="auto"/>
                      </w:divBdr>
                    </w:div>
                    <w:div w:id="294138920">
                      <w:marLeft w:val="0"/>
                      <w:marRight w:val="0"/>
                      <w:marTop w:val="0"/>
                      <w:marBottom w:val="0"/>
                      <w:divBdr>
                        <w:top w:val="none" w:sz="0" w:space="0" w:color="auto"/>
                        <w:left w:val="none" w:sz="0" w:space="0" w:color="auto"/>
                        <w:bottom w:val="none" w:sz="0" w:space="0" w:color="auto"/>
                        <w:right w:val="none" w:sz="0" w:space="0" w:color="auto"/>
                      </w:divBdr>
                    </w:div>
                    <w:div w:id="294139007">
                      <w:marLeft w:val="0"/>
                      <w:marRight w:val="0"/>
                      <w:marTop w:val="0"/>
                      <w:marBottom w:val="0"/>
                      <w:divBdr>
                        <w:top w:val="none" w:sz="0" w:space="0" w:color="auto"/>
                        <w:left w:val="none" w:sz="0" w:space="0" w:color="auto"/>
                        <w:bottom w:val="none" w:sz="0" w:space="0" w:color="auto"/>
                        <w:right w:val="none" w:sz="0" w:space="0" w:color="auto"/>
                      </w:divBdr>
                      <w:divsChild>
                        <w:div w:id="294156471">
                          <w:marLeft w:val="0"/>
                          <w:marRight w:val="0"/>
                          <w:marTop w:val="0"/>
                          <w:marBottom w:val="0"/>
                          <w:divBdr>
                            <w:top w:val="none" w:sz="0" w:space="0" w:color="auto"/>
                            <w:left w:val="none" w:sz="0" w:space="0" w:color="auto"/>
                            <w:bottom w:val="none" w:sz="0" w:space="0" w:color="auto"/>
                            <w:right w:val="none" w:sz="0" w:space="0" w:color="auto"/>
                          </w:divBdr>
                        </w:div>
                      </w:divsChild>
                    </w:div>
                    <w:div w:id="294139102">
                      <w:marLeft w:val="0"/>
                      <w:marRight w:val="0"/>
                      <w:marTop w:val="0"/>
                      <w:marBottom w:val="0"/>
                      <w:divBdr>
                        <w:top w:val="none" w:sz="0" w:space="0" w:color="auto"/>
                        <w:left w:val="none" w:sz="0" w:space="0" w:color="auto"/>
                        <w:bottom w:val="none" w:sz="0" w:space="0" w:color="auto"/>
                        <w:right w:val="none" w:sz="0" w:space="0" w:color="auto"/>
                      </w:divBdr>
                    </w:div>
                    <w:div w:id="294139258">
                      <w:marLeft w:val="0"/>
                      <w:marRight w:val="0"/>
                      <w:marTop w:val="0"/>
                      <w:marBottom w:val="0"/>
                      <w:divBdr>
                        <w:top w:val="none" w:sz="0" w:space="0" w:color="auto"/>
                        <w:left w:val="none" w:sz="0" w:space="0" w:color="auto"/>
                        <w:bottom w:val="none" w:sz="0" w:space="0" w:color="auto"/>
                        <w:right w:val="none" w:sz="0" w:space="0" w:color="auto"/>
                      </w:divBdr>
                      <w:divsChild>
                        <w:div w:id="294148493">
                          <w:marLeft w:val="0"/>
                          <w:marRight w:val="0"/>
                          <w:marTop w:val="0"/>
                          <w:marBottom w:val="0"/>
                          <w:divBdr>
                            <w:top w:val="none" w:sz="0" w:space="0" w:color="auto"/>
                            <w:left w:val="none" w:sz="0" w:space="0" w:color="auto"/>
                            <w:bottom w:val="none" w:sz="0" w:space="0" w:color="auto"/>
                            <w:right w:val="none" w:sz="0" w:space="0" w:color="auto"/>
                          </w:divBdr>
                        </w:div>
                      </w:divsChild>
                    </w:div>
                    <w:div w:id="294139295">
                      <w:marLeft w:val="0"/>
                      <w:marRight w:val="0"/>
                      <w:marTop w:val="0"/>
                      <w:marBottom w:val="0"/>
                      <w:divBdr>
                        <w:top w:val="none" w:sz="0" w:space="0" w:color="auto"/>
                        <w:left w:val="none" w:sz="0" w:space="0" w:color="auto"/>
                        <w:bottom w:val="none" w:sz="0" w:space="0" w:color="auto"/>
                        <w:right w:val="none" w:sz="0" w:space="0" w:color="auto"/>
                      </w:divBdr>
                    </w:div>
                    <w:div w:id="294139329">
                      <w:marLeft w:val="0"/>
                      <w:marRight w:val="0"/>
                      <w:marTop w:val="0"/>
                      <w:marBottom w:val="0"/>
                      <w:divBdr>
                        <w:top w:val="none" w:sz="0" w:space="0" w:color="auto"/>
                        <w:left w:val="none" w:sz="0" w:space="0" w:color="auto"/>
                        <w:bottom w:val="none" w:sz="0" w:space="0" w:color="auto"/>
                        <w:right w:val="none" w:sz="0" w:space="0" w:color="auto"/>
                      </w:divBdr>
                    </w:div>
                    <w:div w:id="294139555">
                      <w:marLeft w:val="0"/>
                      <w:marRight w:val="0"/>
                      <w:marTop w:val="0"/>
                      <w:marBottom w:val="0"/>
                      <w:divBdr>
                        <w:top w:val="none" w:sz="0" w:space="0" w:color="auto"/>
                        <w:left w:val="none" w:sz="0" w:space="0" w:color="auto"/>
                        <w:bottom w:val="none" w:sz="0" w:space="0" w:color="auto"/>
                        <w:right w:val="none" w:sz="0" w:space="0" w:color="auto"/>
                      </w:divBdr>
                    </w:div>
                    <w:div w:id="294139643">
                      <w:marLeft w:val="0"/>
                      <w:marRight w:val="0"/>
                      <w:marTop w:val="0"/>
                      <w:marBottom w:val="0"/>
                      <w:divBdr>
                        <w:top w:val="none" w:sz="0" w:space="0" w:color="auto"/>
                        <w:left w:val="none" w:sz="0" w:space="0" w:color="auto"/>
                        <w:bottom w:val="none" w:sz="0" w:space="0" w:color="auto"/>
                        <w:right w:val="none" w:sz="0" w:space="0" w:color="auto"/>
                      </w:divBdr>
                    </w:div>
                    <w:div w:id="294139648">
                      <w:marLeft w:val="0"/>
                      <w:marRight w:val="0"/>
                      <w:marTop w:val="0"/>
                      <w:marBottom w:val="0"/>
                      <w:divBdr>
                        <w:top w:val="none" w:sz="0" w:space="0" w:color="auto"/>
                        <w:left w:val="none" w:sz="0" w:space="0" w:color="auto"/>
                        <w:bottom w:val="none" w:sz="0" w:space="0" w:color="auto"/>
                        <w:right w:val="none" w:sz="0" w:space="0" w:color="auto"/>
                      </w:divBdr>
                    </w:div>
                    <w:div w:id="294139713">
                      <w:marLeft w:val="0"/>
                      <w:marRight w:val="0"/>
                      <w:marTop w:val="0"/>
                      <w:marBottom w:val="0"/>
                      <w:divBdr>
                        <w:top w:val="none" w:sz="0" w:space="0" w:color="auto"/>
                        <w:left w:val="none" w:sz="0" w:space="0" w:color="auto"/>
                        <w:bottom w:val="none" w:sz="0" w:space="0" w:color="auto"/>
                        <w:right w:val="none" w:sz="0" w:space="0" w:color="auto"/>
                      </w:divBdr>
                      <w:divsChild>
                        <w:div w:id="294140655">
                          <w:marLeft w:val="0"/>
                          <w:marRight w:val="0"/>
                          <w:marTop w:val="0"/>
                          <w:marBottom w:val="0"/>
                          <w:divBdr>
                            <w:top w:val="none" w:sz="0" w:space="0" w:color="auto"/>
                            <w:left w:val="none" w:sz="0" w:space="0" w:color="auto"/>
                            <w:bottom w:val="none" w:sz="0" w:space="0" w:color="auto"/>
                            <w:right w:val="none" w:sz="0" w:space="0" w:color="auto"/>
                          </w:divBdr>
                        </w:div>
                      </w:divsChild>
                    </w:div>
                    <w:div w:id="294139720">
                      <w:marLeft w:val="0"/>
                      <w:marRight w:val="0"/>
                      <w:marTop w:val="0"/>
                      <w:marBottom w:val="0"/>
                      <w:divBdr>
                        <w:top w:val="none" w:sz="0" w:space="0" w:color="auto"/>
                        <w:left w:val="none" w:sz="0" w:space="0" w:color="auto"/>
                        <w:bottom w:val="none" w:sz="0" w:space="0" w:color="auto"/>
                        <w:right w:val="none" w:sz="0" w:space="0" w:color="auto"/>
                      </w:divBdr>
                    </w:div>
                    <w:div w:id="294139742">
                      <w:marLeft w:val="0"/>
                      <w:marRight w:val="0"/>
                      <w:marTop w:val="0"/>
                      <w:marBottom w:val="0"/>
                      <w:divBdr>
                        <w:top w:val="none" w:sz="0" w:space="0" w:color="auto"/>
                        <w:left w:val="none" w:sz="0" w:space="0" w:color="auto"/>
                        <w:bottom w:val="none" w:sz="0" w:space="0" w:color="auto"/>
                        <w:right w:val="none" w:sz="0" w:space="0" w:color="auto"/>
                      </w:divBdr>
                    </w:div>
                    <w:div w:id="294139743">
                      <w:marLeft w:val="0"/>
                      <w:marRight w:val="0"/>
                      <w:marTop w:val="0"/>
                      <w:marBottom w:val="0"/>
                      <w:divBdr>
                        <w:top w:val="none" w:sz="0" w:space="0" w:color="auto"/>
                        <w:left w:val="none" w:sz="0" w:space="0" w:color="auto"/>
                        <w:bottom w:val="none" w:sz="0" w:space="0" w:color="auto"/>
                        <w:right w:val="none" w:sz="0" w:space="0" w:color="auto"/>
                      </w:divBdr>
                      <w:divsChild>
                        <w:div w:id="294156143">
                          <w:marLeft w:val="0"/>
                          <w:marRight w:val="0"/>
                          <w:marTop w:val="0"/>
                          <w:marBottom w:val="0"/>
                          <w:divBdr>
                            <w:top w:val="none" w:sz="0" w:space="0" w:color="auto"/>
                            <w:left w:val="none" w:sz="0" w:space="0" w:color="auto"/>
                            <w:bottom w:val="none" w:sz="0" w:space="0" w:color="auto"/>
                            <w:right w:val="none" w:sz="0" w:space="0" w:color="auto"/>
                          </w:divBdr>
                        </w:div>
                      </w:divsChild>
                    </w:div>
                    <w:div w:id="294139773">
                      <w:marLeft w:val="0"/>
                      <w:marRight w:val="0"/>
                      <w:marTop w:val="0"/>
                      <w:marBottom w:val="0"/>
                      <w:divBdr>
                        <w:top w:val="none" w:sz="0" w:space="0" w:color="auto"/>
                        <w:left w:val="none" w:sz="0" w:space="0" w:color="auto"/>
                        <w:bottom w:val="none" w:sz="0" w:space="0" w:color="auto"/>
                        <w:right w:val="none" w:sz="0" w:space="0" w:color="auto"/>
                      </w:divBdr>
                    </w:div>
                    <w:div w:id="294139779">
                      <w:marLeft w:val="0"/>
                      <w:marRight w:val="0"/>
                      <w:marTop w:val="0"/>
                      <w:marBottom w:val="0"/>
                      <w:divBdr>
                        <w:top w:val="none" w:sz="0" w:space="0" w:color="auto"/>
                        <w:left w:val="none" w:sz="0" w:space="0" w:color="auto"/>
                        <w:bottom w:val="none" w:sz="0" w:space="0" w:color="auto"/>
                        <w:right w:val="none" w:sz="0" w:space="0" w:color="auto"/>
                      </w:divBdr>
                    </w:div>
                    <w:div w:id="294139783">
                      <w:marLeft w:val="0"/>
                      <w:marRight w:val="0"/>
                      <w:marTop w:val="0"/>
                      <w:marBottom w:val="0"/>
                      <w:divBdr>
                        <w:top w:val="none" w:sz="0" w:space="0" w:color="auto"/>
                        <w:left w:val="none" w:sz="0" w:space="0" w:color="auto"/>
                        <w:bottom w:val="none" w:sz="0" w:space="0" w:color="auto"/>
                        <w:right w:val="none" w:sz="0" w:space="0" w:color="auto"/>
                      </w:divBdr>
                    </w:div>
                    <w:div w:id="294139916">
                      <w:marLeft w:val="0"/>
                      <w:marRight w:val="0"/>
                      <w:marTop w:val="0"/>
                      <w:marBottom w:val="0"/>
                      <w:divBdr>
                        <w:top w:val="none" w:sz="0" w:space="0" w:color="auto"/>
                        <w:left w:val="none" w:sz="0" w:space="0" w:color="auto"/>
                        <w:bottom w:val="none" w:sz="0" w:space="0" w:color="auto"/>
                        <w:right w:val="none" w:sz="0" w:space="0" w:color="auto"/>
                      </w:divBdr>
                    </w:div>
                    <w:div w:id="294140082">
                      <w:marLeft w:val="0"/>
                      <w:marRight w:val="0"/>
                      <w:marTop w:val="0"/>
                      <w:marBottom w:val="0"/>
                      <w:divBdr>
                        <w:top w:val="none" w:sz="0" w:space="0" w:color="auto"/>
                        <w:left w:val="none" w:sz="0" w:space="0" w:color="auto"/>
                        <w:bottom w:val="none" w:sz="0" w:space="0" w:color="auto"/>
                        <w:right w:val="none" w:sz="0" w:space="0" w:color="auto"/>
                      </w:divBdr>
                      <w:divsChild>
                        <w:div w:id="294144859">
                          <w:marLeft w:val="0"/>
                          <w:marRight w:val="0"/>
                          <w:marTop w:val="0"/>
                          <w:marBottom w:val="0"/>
                          <w:divBdr>
                            <w:top w:val="none" w:sz="0" w:space="0" w:color="auto"/>
                            <w:left w:val="none" w:sz="0" w:space="0" w:color="auto"/>
                            <w:bottom w:val="none" w:sz="0" w:space="0" w:color="auto"/>
                            <w:right w:val="none" w:sz="0" w:space="0" w:color="auto"/>
                          </w:divBdr>
                        </w:div>
                      </w:divsChild>
                    </w:div>
                    <w:div w:id="294140213">
                      <w:marLeft w:val="0"/>
                      <w:marRight w:val="0"/>
                      <w:marTop w:val="0"/>
                      <w:marBottom w:val="0"/>
                      <w:divBdr>
                        <w:top w:val="none" w:sz="0" w:space="0" w:color="auto"/>
                        <w:left w:val="none" w:sz="0" w:space="0" w:color="auto"/>
                        <w:bottom w:val="none" w:sz="0" w:space="0" w:color="auto"/>
                        <w:right w:val="none" w:sz="0" w:space="0" w:color="auto"/>
                      </w:divBdr>
                      <w:divsChild>
                        <w:div w:id="294140509">
                          <w:marLeft w:val="0"/>
                          <w:marRight w:val="0"/>
                          <w:marTop w:val="0"/>
                          <w:marBottom w:val="0"/>
                          <w:divBdr>
                            <w:top w:val="none" w:sz="0" w:space="0" w:color="auto"/>
                            <w:left w:val="none" w:sz="0" w:space="0" w:color="auto"/>
                            <w:bottom w:val="none" w:sz="0" w:space="0" w:color="auto"/>
                            <w:right w:val="none" w:sz="0" w:space="0" w:color="auto"/>
                          </w:divBdr>
                        </w:div>
                      </w:divsChild>
                    </w:div>
                    <w:div w:id="294140216">
                      <w:marLeft w:val="0"/>
                      <w:marRight w:val="0"/>
                      <w:marTop w:val="0"/>
                      <w:marBottom w:val="0"/>
                      <w:divBdr>
                        <w:top w:val="none" w:sz="0" w:space="0" w:color="auto"/>
                        <w:left w:val="none" w:sz="0" w:space="0" w:color="auto"/>
                        <w:bottom w:val="none" w:sz="0" w:space="0" w:color="auto"/>
                        <w:right w:val="none" w:sz="0" w:space="0" w:color="auto"/>
                      </w:divBdr>
                    </w:div>
                    <w:div w:id="294140228">
                      <w:marLeft w:val="0"/>
                      <w:marRight w:val="0"/>
                      <w:marTop w:val="0"/>
                      <w:marBottom w:val="0"/>
                      <w:divBdr>
                        <w:top w:val="none" w:sz="0" w:space="0" w:color="auto"/>
                        <w:left w:val="none" w:sz="0" w:space="0" w:color="auto"/>
                        <w:bottom w:val="none" w:sz="0" w:space="0" w:color="auto"/>
                        <w:right w:val="none" w:sz="0" w:space="0" w:color="auto"/>
                      </w:divBdr>
                    </w:div>
                    <w:div w:id="294140245">
                      <w:marLeft w:val="0"/>
                      <w:marRight w:val="0"/>
                      <w:marTop w:val="0"/>
                      <w:marBottom w:val="0"/>
                      <w:divBdr>
                        <w:top w:val="none" w:sz="0" w:space="0" w:color="auto"/>
                        <w:left w:val="none" w:sz="0" w:space="0" w:color="auto"/>
                        <w:bottom w:val="none" w:sz="0" w:space="0" w:color="auto"/>
                        <w:right w:val="none" w:sz="0" w:space="0" w:color="auto"/>
                      </w:divBdr>
                      <w:divsChild>
                        <w:div w:id="294147071">
                          <w:marLeft w:val="0"/>
                          <w:marRight w:val="0"/>
                          <w:marTop w:val="0"/>
                          <w:marBottom w:val="0"/>
                          <w:divBdr>
                            <w:top w:val="none" w:sz="0" w:space="0" w:color="auto"/>
                            <w:left w:val="none" w:sz="0" w:space="0" w:color="auto"/>
                            <w:bottom w:val="none" w:sz="0" w:space="0" w:color="auto"/>
                            <w:right w:val="none" w:sz="0" w:space="0" w:color="auto"/>
                          </w:divBdr>
                        </w:div>
                      </w:divsChild>
                    </w:div>
                    <w:div w:id="294140280">
                      <w:marLeft w:val="0"/>
                      <w:marRight w:val="0"/>
                      <w:marTop w:val="0"/>
                      <w:marBottom w:val="0"/>
                      <w:divBdr>
                        <w:top w:val="none" w:sz="0" w:space="0" w:color="auto"/>
                        <w:left w:val="none" w:sz="0" w:space="0" w:color="auto"/>
                        <w:bottom w:val="none" w:sz="0" w:space="0" w:color="auto"/>
                        <w:right w:val="none" w:sz="0" w:space="0" w:color="auto"/>
                      </w:divBdr>
                    </w:div>
                    <w:div w:id="294140293">
                      <w:marLeft w:val="0"/>
                      <w:marRight w:val="0"/>
                      <w:marTop w:val="0"/>
                      <w:marBottom w:val="0"/>
                      <w:divBdr>
                        <w:top w:val="none" w:sz="0" w:space="0" w:color="auto"/>
                        <w:left w:val="none" w:sz="0" w:space="0" w:color="auto"/>
                        <w:bottom w:val="none" w:sz="0" w:space="0" w:color="auto"/>
                        <w:right w:val="none" w:sz="0" w:space="0" w:color="auto"/>
                      </w:divBdr>
                    </w:div>
                    <w:div w:id="294140327">
                      <w:marLeft w:val="0"/>
                      <w:marRight w:val="0"/>
                      <w:marTop w:val="0"/>
                      <w:marBottom w:val="0"/>
                      <w:divBdr>
                        <w:top w:val="none" w:sz="0" w:space="0" w:color="auto"/>
                        <w:left w:val="none" w:sz="0" w:space="0" w:color="auto"/>
                        <w:bottom w:val="none" w:sz="0" w:space="0" w:color="auto"/>
                        <w:right w:val="none" w:sz="0" w:space="0" w:color="auto"/>
                      </w:divBdr>
                    </w:div>
                    <w:div w:id="294140334">
                      <w:marLeft w:val="0"/>
                      <w:marRight w:val="0"/>
                      <w:marTop w:val="0"/>
                      <w:marBottom w:val="0"/>
                      <w:divBdr>
                        <w:top w:val="none" w:sz="0" w:space="0" w:color="auto"/>
                        <w:left w:val="none" w:sz="0" w:space="0" w:color="auto"/>
                        <w:bottom w:val="none" w:sz="0" w:space="0" w:color="auto"/>
                        <w:right w:val="none" w:sz="0" w:space="0" w:color="auto"/>
                      </w:divBdr>
                    </w:div>
                    <w:div w:id="294140370">
                      <w:marLeft w:val="0"/>
                      <w:marRight w:val="0"/>
                      <w:marTop w:val="0"/>
                      <w:marBottom w:val="0"/>
                      <w:divBdr>
                        <w:top w:val="none" w:sz="0" w:space="0" w:color="auto"/>
                        <w:left w:val="none" w:sz="0" w:space="0" w:color="auto"/>
                        <w:bottom w:val="none" w:sz="0" w:space="0" w:color="auto"/>
                        <w:right w:val="none" w:sz="0" w:space="0" w:color="auto"/>
                      </w:divBdr>
                      <w:divsChild>
                        <w:div w:id="294156908">
                          <w:marLeft w:val="0"/>
                          <w:marRight w:val="0"/>
                          <w:marTop w:val="0"/>
                          <w:marBottom w:val="0"/>
                          <w:divBdr>
                            <w:top w:val="none" w:sz="0" w:space="0" w:color="auto"/>
                            <w:left w:val="none" w:sz="0" w:space="0" w:color="auto"/>
                            <w:bottom w:val="none" w:sz="0" w:space="0" w:color="auto"/>
                            <w:right w:val="none" w:sz="0" w:space="0" w:color="auto"/>
                          </w:divBdr>
                        </w:div>
                      </w:divsChild>
                    </w:div>
                    <w:div w:id="294140474">
                      <w:marLeft w:val="0"/>
                      <w:marRight w:val="0"/>
                      <w:marTop w:val="0"/>
                      <w:marBottom w:val="0"/>
                      <w:divBdr>
                        <w:top w:val="none" w:sz="0" w:space="0" w:color="auto"/>
                        <w:left w:val="none" w:sz="0" w:space="0" w:color="auto"/>
                        <w:bottom w:val="none" w:sz="0" w:space="0" w:color="auto"/>
                        <w:right w:val="none" w:sz="0" w:space="0" w:color="auto"/>
                      </w:divBdr>
                    </w:div>
                    <w:div w:id="294140490">
                      <w:marLeft w:val="0"/>
                      <w:marRight w:val="0"/>
                      <w:marTop w:val="0"/>
                      <w:marBottom w:val="0"/>
                      <w:divBdr>
                        <w:top w:val="none" w:sz="0" w:space="0" w:color="auto"/>
                        <w:left w:val="none" w:sz="0" w:space="0" w:color="auto"/>
                        <w:bottom w:val="none" w:sz="0" w:space="0" w:color="auto"/>
                        <w:right w:val="none" w:sz="0" w:space="0" w:color="auto"/>
                      </w:divBdr>
                      <w:divsChild>
                        <w:div w:id="294151923">
                          <w:marLeft w:val="0"/>
                          <w:marRight w:val="0"/>
                          <w:marTop w:val="0"/>
                          <w:marBottom w:val="0"/>
                          <w:divBdr>
                            <w:top w:val="none" w:sz="0" w:space="0" w:color="auto"/>
                            <w:left w:val="none" w:sz="0" w:space="0" w:color="auto"/>
                            <w:bottom w:val="none" w:sz="0" w:space="0" w:color="auto"/>
                            <w:right w:val="none" w:sz="0" w:space="0" w:color="auto"/>
                          </w:divBdr>
                        </w:div>
                      </w:divsChild>
                    </w:div>
                    <w:div w:id="294140507">
                      <w:marLeft w:val="0"/>
                      <w:marRight w:val="0"/>
                      <w:marTop w:val="0"/>
                      <w:marBottom w:val="0"/>
                      <w:divBdr>
                        <w:top w:val="none" w:sz="0" w:space="0" w:color="auto"/>
                        <w:left w:val="none" w:sz="0" w:space="0" w:color="auto"/>
                        <w:bottom w:val="none" w:sz="0" w:space="0" w:color="auto"/>
                        <w:right w:val="none" w:sz="0" w:space="0" w:color="auto"/>
                      </w:divBdr>
                    </w:div>
                    <w:div w:id="294140581">
                      <w:marLeft w:val="0"/>
                      <w:marRight w:val="0"/>
                      <w:marTop w:val="0"/>
                      <w:marBottom w:val="0"/>
                      <w:divBdr>
                        <w:top w:val="none" w:sz="0" w:space="0" w:color="auto"/>
                        <w:left w:val="none" w:sz="0" w:space="0" w:color="auto"/>
                        <w:bottom w:val="none" w:sz="0" w:space="0" w:color="auto"/>
                        <w:right w:val="none" w:sz="0" w:space="0" w:color="auto"/>
                      </w:divBdr>
                    </w:div>
                    <w:div w:id="294140702">
                      <w:marLeft w:val="0"/>
                      <w:marRight w:val="0"/>
                      <w:marTop w:val="0"/>
                      <w:marBottom w:val="0"/>
                      <w:divBdr>
                        <w:top w:val="none" w:sz="0" w:space="0" w:color="auto"/>
                        <w:left w:val="none" w:sz="0" w:space="0" w:color="auto"/>
                        <w:bottom w:val="none" w:sz="0" w:space="0" w:color="auto"/>
                        <w:right w:val="none" w:sz="0" w:space="0" w:color="auto"/>
                      </w:divBdr>
                      <w:divsChild>
                        <w:div w:id="294138870">
                          <w:marLeft w:val="0"/>
                          <w:marRight w:val="0"/>
                          <w:marTop w:val="0"/>
                          <w:marBottom w:val="0"/>
                          <w:divBdr>
                            <w:top w:val="none" w:sz="0" w:space="0" w:color="auto"/>
                            <w:left w:val="none" w:sz="0" w:space="0" w:color="auto"/>
                            <w:bottom w:val="none" w:sz="0" w:space="0" w:color="auto"/>
                            <w:right w:val="none" w:sz="0" w:space="0" w:color="auto"/>
                          </w:divBdr>
                        </w:div>
                      </w:divsChild>
                    </w:div>
                    <w:div w:id="294140759">
                      <w:marLeft w:val="0"/>
                      <w:marRight w:val="0"/>
                      <w:marTop w:val="0"/>
                      <w:marBottom w:val="0"/>
                      <w:divBdr>
                        <w:top w:val="none" w:sz="0" w:space="0" w:color="auto"/>
                        <w:left w:val="none" w:sz="0" w:space="0" w:color="auto"/>
                        <w:bottom w:val="none" w:sz="0" w:space="0" w:color="auto"/>
                        <w:right w:val="none" w:sz="0" w:space="0" w:color="auto"/>
                      </w:divBdr>
                      <w:divsChild>
                        <w:div w:id="294149547">
                          <w:marLeft w:val="0"/>
                          <w:marRight w:val="0"/>
                          <w:marTop w:val="0"/>
                          <w:marBottom w:val="0"/>
                          <w:divBdr>
                            <w:top w:val="none" w:sz="0" w:space="0" w:color="auto"/>
                            <w:left w:val="none" w:sz="0" w:space="0" w:color="auto"/>
                            <w:bottom w:val="none" w:sz="0" w:space="0" w:color="auto"/>
                            <w:right w:val="none" w:sz="0" w:space="0" w:color="auto"/>
                          </w:divBdr>
                        </w:div>
                      </w:divsChild>
                    </w:div>
                    <w:div w:id="294140762">
                      <w:marLeft w:val="0"/>
                      <w:marRight w:val="0"/>
                      <w:marTop w:val="0"/>
                      <w:marBottom w:val="0"/>
                      <w:divBdr>
                        <w:top w:val="none" w:sz="0" w:space="0" w:color="auto"/>
                        <w:left w:val="none" w:sz="0" w:space="0" w:color="auto"/>
                        <w:bottom w:val="none" w:sz="0" w:space="0" w:color="auto"/>
                        <w:right w:val="none" w:sz="0" w:space="0" w:color="auto"/>
                      </w:divBdr>
                    </w:div>
                    <w:div w:id="294140770">
                      <w:marLeft w:val="0"/>
                      <w:marRight w:val="0"/>
                      <w:marTop w:val="0"/>
                      <w:marBottom w:val="0"/>
                      <w:divBdr>
                        <w:top w:val="none" w:sz="0" w:space="0" w:color="auto"/>
                        <w:left w:val="none" w:sz="0" w:space="0" w:color="auto"/>
                        <w:bottom w:val="none" w:sz="0" w:space="0" w:color="auto"/>
                        <w:right w:val="none" w:sz="0" w:space="0" w:color="auto"/>
                      </w:divBdr>
                      <w:divsChild>
                        <w:div w:id="294150244">
                          <w:marLeft w:val="0"/>
                          <w:marRight w:val="0"/>
                          <w:marTop w:val="0"/>
                          <w:marBottom w:val="0"/>
                          <w:divBdr>
                            <w:top w:val="none" w:sz="0" w:space="0" w:color="auto"/>
                            <w:left w:val="none" w:sz="0" w:space="0" w:color="auto"/>
                            <w:bottom w:val="none" w:sz="0" w:space="0" w:color="auto"/>
                            <w:right w:val="none" w:sz="0" w:space="0" w:color="auto"/>
                          </w:divBdr>
                        </w:div>
                      </w:divsChild>
                    </w:div>
                    <w:div w:id="294141003">
                      <w:marLeft w:val="0"/>
                      <w:marRight w:val="0"/>
                      <w:marTop w:val="0"/>
                      <w:marBottom w:val="0"/>
                      <w:divBdr>
                        <w:top w:val="none" w:sz="0" w:space="0" w:color="auto"/>
                        <w:left w:val="none" w:sz="0" w:space="0" w:color="auto"/>
                        <w:bottom w:val="none" w:sz="0" w:space="0" w:color="auto"/>
                        <w:right w:val="none" w:sz="0" w:space="0" w:color="auto"/>
                      </w:divBdr>
                    </w:div>
                    <w:div w:id="294141043">
                      <w:marLeft w:val="0"/>
                      <w:marRight w:val="0"/>
                      <w:marTop w:val="0"/>
                      <w:marBottom w:val="0"/>
                      <w:divBdr>
                        <w:top w:val="none" w:sz="0" w:space="0" w:color="auto"/>
                        <w:left w:val="none" w:sz="0" w:space="0" w:color="auto"/>
                        <w:bottom w:val="none" w:sz="0" w:space="0" w:color="auto"/>
                        <w:right w:val="none" w:sz="0" w:space="0" w:color="auto"/>
                      </w:divBdr>
                    </w:div>
                    <w:div w:id="294141052">
                      <w:marLeft w:val="0"/>
                      <w:marRight w:val="0"/>
                      <w:marTop w:val="0"/>
                      <w:marBottom w:val="0"/>
                      <w:divBdr>
                        <w:top w:val="none" w:sz="0" w:space="0" w:color="auto"/>
                        <w:left w:val="none" w:sz="0" w:space="0" w:color="auto"/>
                        <w:bottom w:val="none" w:sz="0" w:space="0" w:color="auto"/>
                        <w:right w:val="none" w:sz="0" w:space="0" w:color="auto"/>
                      </w:divBdr>
                      <w:divsChild>
                        <w:div w:id="294155704">
                          <w:marLeft w:val="0"/>
                          <w:marRight w:val="0"/>
                          <w:marTop w:val="0"/>
                          <w:marBottom w:val="0"/>
                          <w:divBdr>
                            <w:top w:val="none" w:sz="0" w:space="0" w:color="auto"/>
                            <w:left w:val="none" w:sz="0" w:space="0" w:color="auto"/>
                            <w:bottom w:val="none" w:sz="0" w:space="0" w:color="auto"/>
                            <w:right w:val="none" w:sz="0" w:space="0" w:color="auto"/>
                          </w:divBdr>
                        </w:div>
                      </w:divsChild>
                    </w:div>
                    <w:div w:id="294141125">
                      <w:marLeft w:val="0"/>
                      <w:marRight w:val="0"/>
                      <w:marTop w:val="0"/>
                      <w:marBottom w:val="0"/>
                      <w:divBdr>
                        <w:top w:val="none" w:sz="0" w:space="0" w:color="auto"/>
                        <w:left w:val="none" w:sz="0" w:space="0" w:color="auto"/>
                        <w:bottom w:val="none" w:sz="0" w:space="0" w:color="auto"/>
                        <w:right w:val="none" w:sz="0" w:space="0" w:color="auto"/>
                      </w:divBdr>
                    </w:div>
                    <w:div w:id="294141316">
                      <w:marLeft w:val="0"/>
                      <w:marRight w:val="0"/>
                      <w:marTop w:val="0"/>
                      <w:marBottom w:val="0"/>
                      <w:divBdr>
                        <w:top w:val="none" w:sz="0" w:space="0" w:color="auto"/>
                        <w:left w:val="none" w:sz="0" w:space="0" w:color="auto"/>
                        <w:bottom w:val="none" w:sz="0" w:space="0" w:color="auto"/>
                        <w:right w:val="none" w:sz="0" w:space="0" w:color="auto"/>
                      </w:divBdr>
                    </w:div>
                    <w:div w:id="294141337">
                      <w:marLeft w:val="0"/>
                      <w:marRight w:val="0"/>
                      <w:marTop w:val="0"/>
                      <w:marBottom w:val="0"/>
                      <w:divBdr>
                        <w:top w:val="none" w:sz="0" w:space="0" w:color="auto"/>
                        <w:left w:val="none" w:sz="0" w:space="0" w:color="auto"/>
                        <w:bottom w:val="none" w:sz="0" w:space="0" w:color="auto"/>
                        <w:right w:val="none" w:sz="0" w:space="0" w:color="auto"/>
                      </w:divBdr>
                    </w:div>
                    <w:div w:id="294141437">
                      <w:marLeft w:val="0"/>
                      <w:marRight w:val="0"/>
                      <w:marTop w:val="0"/>
                      <w:marBottom w:val="0"/>
                      <w:divBdr>
                        <w:top w:val="none" w:sz="0" w:space="0" w:color="auto"/>
                        <w:left w:val="none" w:sz="0" w:space="0" w:color="auto"/>
                        <w:bottom w:val="none" w:sz="0" w:space="0" w:color="auto"/>
                        <w:right w:val="none" w:sz="0" w:space="0" w:color="auto"/>
                      </w:divBdr>
                      <w:divsChild>
                        <w:div w:id="294139522">
                          <w:marLeft w:val="0"/>
                          <w:marRight w:val="0"/>
                          <w:marTop w:val="0"/>
                          <w:marBottom w:val="0"/>
                          <w:divBdr>
                            <w:top w:val="none" w:sz="0" w:space="0" w:color="auto"/>
                            <w:left w:val="none" w:sz="0" w:space="0" w:color="auto"/>
                            <w:bottom w:val="none" w:sz="0" w:space="0" w:color="auto"/>
                            <w:right w:val="none" w:sz="0" w:space="0" w:color="auto"/>
                          </w:divBdr>
                        </w:div>
                      </w:divsChild>
                    </w:div>
                    <w:div w:id="294141500">
                      <w:marLeft w:val="0"/>
                      <w:marRight w:val="0"/>
                      <w:marTop w:val="0"/>
                      <w:marBottom w:val="0"/>
                      <w:divBdr>
                        <w:top w:val="none" w:sz="0" w:space="0" w:color="auto"/>
                        <w:left w:val="none" w:sz="0" w:space="0" w:color="auto"/>
                        <w:bottom w:val="none" w:sz="0" w:space="0" w:color="auto"/>
                        <w:right w:val="none" w:sz="0" w:space="0" w:color="auto"/>
                      </w:divBdr>
                      <w:divsChild>
                        <w:div w:id="294149761">
                          <w:marLeft w:val="0"/>
                          <w:marRight w:val="0"/>
                          <w:marTop w:val="0"/>
                          <w:marBottom w:val="0"/>
                          <w:divBdr>
                            <w:top w:val="none" w:sz="0" w:space="0" w:color="auto"/>
                            <w:left w:val="none" w:sz="0" w:space="0" w:color="auto"/>
                            <w:bottom w:val="none" w:sz="0" w:space="0" w:color="auto"/>
                            <w:right w:val="none" w:sz="0" w:space="0" w:color="auto"/>
                          </w:divBdr>
                        </w:div>
                      </w:divsChild>
                    </w:div>
                    <w:div w:id="294141504">
                      <w:marLeft w:val="0"/>
                      <w:marRight w:val="0"/>
                      <w:marTop w:val="0"/>
                      <w:marBottom w:val="0"/>
                      <w:divBdr>
                        <w:top w:val="none" w:sz="0" w:space="0" w:color="auto"/>
                        <w:left w:val="none" w:sz="0" w:space="0" w:color="auto"/>
                        <w:bottom w:val="none" w:sz="0" w:space="0" w:color="auto"/>
                        <w:right w:val="none" w:sz="0" w:space="0" w:color="auto"/>
                      </w:divBdr>
                      <w:divsChild>
                        <w:div w:id="294145752">
                          <w:marLeft w:val="0"/>
                          <w:marRight w:val="0"/>
                          <w:marTop w:val="0"/>
                          <w:marBottom w:val="0"/>
                          <w:divBdr>
                            <w:top w:val="none" w:sz="0" w:space="0" w:color="auto"/>
                            <w:left w:val="none" w:sz="0" w:space="0" w:color="auto"/>
                            <w:bottom w:val="none" w:sz="0" w:space="0" w:color="auto"/>
                            <w:right w:val="none" w:sz="0" w:space="0" w:color="auto"/>
                          </w:divBdr>
                        </w:div>
                      </w:divsChild>
                    </w:div>
                    <w:div w:id="294141547">
                      <w:marLeft w:val="0"/>
                      <w:marRight w:val="0"/>
                      <w:marTop w:val="0"/>
                      <w:marBottom w:val="0"/>
                      <w:divBdr>
                        <w:top w:val="none" w:sz="0" w:space="0" w:color="auto"/>
                        <w:left w:val="none" w:sz="0" w:space="0" w:color="auto"/>
                        <w:bottom w:val="none" w:sz="0" w:space="0" w:color="auto"/>
                        <w:right w:val="none" w:sz="0" w:space="0" w:color="auto"/>
                      </w:divBdr>
                    </w:div>
                    <w:div w:id="294141600">
                      <w:marLeft w:val="0"/>
                      <w:marRight w:val="0"/>
                      <w:marTop w:val="0"/>
                      <w:marBottom w:val="0"/>
                      <w:divBdr>
                        <w:top w:val="none" w:sz="0" w:space="0" w:color="auto"/>
                        <w:left w:val="none" w:sz="0" w:space="0" w:color="auto"/>
                        <w:bottom w:val="none" w:sz="0" w:space="0" w:color="auto"/>
                        <w:right w:val="none" w:sz="0" w:space="0" w:color="auto"/>
                      </w:divBdr>
                    </w:div>
                    <w:div w:id="294141617">
                      <w:marLeft w:val="0"/>
                      <w:marRight w:val="0"/>
                      <w:marTop w:val="0"/>
                      <w:marBottom w:val="0"/>
                      <w:divBdr>
                        <w:top w:val="none" w:sz="0" w:space="0" w:color="auto"/>
                        <w:left w:val="none" w:sz="0" w:space="0" w:color="auto"/>
                        <w:bottom w:val="none" w:sz="0" w:space="0" w:color="auto"/>
                        <w:right w:val="none" w:sz="0" w:space="0" w:color="auto"/>
                      </w:divBdr>
                      <w:divsChild>
                        <w:div w:id="294152853">
                          <w:marLeft w:val="0"/>
                          <w:marRight w:val="0"/>
                          <w:marTop w:val="0"/>
                          <w:marBottom w:val="0"/>
                          <w:divBdr>
                            <w:top w:val="none" w:sz="0" w:space="0" w:color="auto"/>
                            <w:left w:val="none" w:sz="0" w:space="0" w:color="auto"/>
                            <w:bottom w:val="none" w:sz="0" w:space="0" w:color="auto"/>
                            <w:right w:val="none" w:sz="0" w:space="0" w:color="auto"/>
                          </w:divBdr>
                        </w:div>
                      </w:divsChild>
                    </w:div>
                    <w:div w:id="294141625">
                      <w:marLeft w:val="0"/>
                      <w:marRight w:val="0"/>
                      <w:marTop w:val="0"/>
                      <w:marBottom w:val="0"/>
                      <w:divBdr>
                        <w:top w:val="none" w:sz="0" w:space="0" w:color="auto"/>
                        <w:left w:val="none" w:sz="0" w:space="0" w:color="auto"/>
                        <w:bottom w:val="none" w:sz="0" w:space="0" w:color="auto"/>
                        <w:right w:val="none" w:sz="0" w:space="0" w:color="auto"/>
                      </w:divBdr>
                      <w:divsChild>
                        <w:div w:id="294147289">
                          <w:marLeft w:val="0"/>
                          <w:marRight w:val="0"/>
                          <w:marTop w:val="0"/>
                          <w:marBottom w:val="0"/>
                          <w:divBdr>
                            <w:top w:val="none" w:sz="0" w:space="0" w:color="auto"/>
                            <w:left w:val="none" w:sz="0" w:space="0" w:color="auto"/>
                            <w:bottom w:val="none" w:sz="0" w:space="0" w:color="auto"/>
                            <w:right w:val="none" w:sz="0" w:space="0" w:color="auto"/>
                          </w:divBdr>
                        </w:div>
                      </w:divsChild>
                    </w:div>
                    <w:div w:id="294141751">
                      <w:marLeft w:val="0"/>
                      <w:marRight w:val="0"/>
                      <w:marTop w:val="0"/>
                      <w:marBottom w:val="0"/>
                      <w:divBdr>
                        <w:top w:val="none" w:sz="0" w:space="0" w:color="auto"/>
                        <w:left w:val="none" w:sz="0" w:space="0" w:color="auto"/>
                        <w:bottom w:val="none" w:sz="0" w:space="0" w:color="auto"/>
                        <w:right w:val="none" w:sz="0" w:space="0" w:color="auto"/>
                      </w:divBdr>
                    </w:div>
                    <w:div w:id="294141752">
                      <w:marLeft w:val="0"/>
                      <w:marRight w:val="0"/>
                      <w:marTop w:val="0"/>
                      <w:marBottom w:val="0"/>
                      <w:divBdr>
                        <w:top w:val="none" w:sz="0" w:space="0" w:color="auto"/>
                        <w:left w:val="none" w:sz="0" w:space="0" w:color="auto"/>
                        <w:bottom w:val="none" w:sz="0" w:space="0" w:color="auto"/>
                        <w:right w:val="none" w:sz="0" w:space="0" w:color="auto"/>
                      </w:divBdr>
                      <w:divsChild>
                        <w:div w:id="294150166">
                          <w:marLeft w:val="0"/>
                          <w:marRight w:val="0"/>
                          <w:marTop w:val="0"/>
                          <w:marBottom w:val="0"/>
                          <w:divBdr>
                            <w:top w:val="none" w:sz="0" w:space="0" w:color="auto"/>
                            <w:left w:val="none" w:sz="0" w:space="0" w:color="auto"/>
                            <w:bottom w:val="none" w:sz="0" w:space="0" w:color="auto"/>
                            <w:right w:val="none" w:sz="0" w:space="0" w:color="auto"/>
                          </w:divBdr>
                        </w:div>
                      </w:divsChild>
                    </w:div>
                    <w:div w:id="294141769">
                      <w:marLeft w:val="0"/>
                      <w:marRight w:val="0"/>
                      <w:marTop w:val="0"/>
                      <w:marBottom w:val="0"/>
                      <w:divBdr>
                        <w:top w:val="none" w:sz="0" w:space="0" w:color="auto"/>
                        <w:left w:val="none" w:sz="0" w:space="0" w:color="auto"/>
                        <w:bottom w:val="none" w:sz="0" w:space="0" w:color="auto"/>
                        <w:right w:val="none" w:sz="0" w:space="0" w:color="auto"/>
                      </w:divBdr>
                      <w:divsChild>
                        <w:div w:id="294150699">
                          <w:marLeft w:val="0"/>
                          <w:marRight w:val="0"/>
                          <w:marTop w:val="0"/>
                          <w:marBottom w:val="0"/>
                          <w:divBdr>
                            <w:top w:val="none" w:sz="0" w:space="0" w:color="auto"/>
                            <w:left w:val="none" w:sz="0" w:space="0" w:color="auto"/>
                            <w:bottom w:val="none" w:sz="0" w:space="0" w:color="auto"/>
                            <w:right w:val="none" w:sz="0" w:space="0" w:color="auto"/>
                          </w:divBdr>
                        </w:div>
                      </w:divsChild>
                    </w:div>
                    <w:div w:id="294141776">
                      <w:marLeft w:val="0"/>
                      <w:marRight w:val="0"/>
                      <w:marTop w:val="0"/>
                      <w:marBottom w:val="0"/>
                      <w:divBdr>
                        <w:top w:val="none" w:sz="0" w:space="0" w:color="auto"/>
                        <w:left w:val="none" w:sz="0" w:space="0" w:color="auto"/>
                        <w:bottom w:val="none" w:sz="0" w:space="0" w:color="auto"/>
                        <w:right w:val="none" w:sz="0" w:space="0" w:color="auto"/>
                      </w:divBdr>
                      <w:divsChild>
                        <w:div w:id="294154102">
                          <w:marLeft w:val="0"/>
                          <w:marRight w:val="0"/>
                          <w:marTop w:val="0"/>
                          <w:marBottom w:val="0"/>
                          <w:divBdr>
                            <w:top w:val="none" w:sz="0" w:space="0" w:color="auto"/>
                            <w:left w:val="none" w:sz="0" w:space="0" w:color="auto"/>
                            <w:bottom w:val="none" w:sz="0" w:space="0" w:color="auto"/>
                            <w:right w:val="none" w:sz="0" w:space="0" w:color="auto"/>
                          </w:divBdr>
                        </w:div>
                      </w:divsChild>
                    </w:div>
                    <w:div w:id="294141777">
                      <w:marLeft w:val="0"/>
                      <w:marRight w:val="0"/>
                      <w:marTop w:val="0"/>
                      <w:marBottom w:val="0"/>
                      <w:divBdr>
                        <w:top w:val="none" w:sz="0" w:space="0" w:color="auto"/>
                        <w:left w:val="none" w:sz="0" w:space="0" w:color="auto"/>
                        <w:bottom w:val="none" w:sz="0" w:space="0" w:color="auto"/>
                        <w:right w:val="none" w:sz="0" w:space="0" w:color="auto"/>
                      </w:divBdr>
                    </w:div>
                    <w:div w:id="294141877">
                      <w:marLeft w:val="0"/>
                      <w:marRight w:val="0"/>
                      <w:marTop w:val="0"/>
                      <w:marBottom w:val="0"/>
                      <w:divBdr>
                        <w:top w:val="none" w:sz="0" w:space="0" w:color="auto"/>
                        <w:left w:val="none" w:sz="0" w:space="0" w:color="auto"/>
                        <w:bottom w:val="none" w:sz="0" w:space="0" w:color="auto"/>
                        <w:right w:val="none" w:sz="0" w:space="0" w:color="auto"/>
                      </w:divBdr>
                    </w:div>
                    <w:div w:id="294141920">
                      <w:marLeft w:val="0"/>
                      <w:marRight w:val="0"/>
                      <w:marTop w:val="0"/>
                      <w:marBottom w:val="0"/>
                      <w:divBdr>
                        <w:top w:val="none" w:sz="0" w:space="0" w:color="auto"/>
                        <w:left w:val="none" w:sz="0" w:space="0" w:color="auto"/>
                        <w:bottom w:val="none" w:sz="0" w:space="0" w:color="auto"/>
                        <w:right w:val="none" w:sz="0" w:space="0" w:color="auto"/>
                      </w:divBdr>
                      <w:divsChild>
                        <w:div w:id="294155047">
                          <w:marLeft w:val="0"/>
                          <w:marRight w:val="0"/>
                          <w:marTop w:val="0"/>
                          <w:marBottom w:val="0"/>
                          <w:divBdr>
                            <w:top w:val="none" w:sz="0" w:space="0" w:color="auto"/>
                            <w:left w:val="none" w:sz="0" w:space="0" w:color="auto"/>
                            <w:bottom w:val="none" w:sz="0" w:space="0" w:color="auto"/>
                            <w:right w:val="none" w:sz="0" w:space="0" w:color="auto"/>
                          </w:divBdr>
                        </w:div>
                      </w:divsChild>
                    </w:div>
                    <w:div w:id="294141952">
                      <w:marLeft w:val="0"/>
                      <w:marRight w:val="0"/>
                      <w:marTop w:val="0"/>
                      <w:marBottom w:val="0"/>
                      <w:divBdr>
                        <w:top w:val="none" w:sz="0" w:space="0" w:color="auto"/>
                        <w:left w:val="none" w:sz="0" w:space="0" w:color="auto"/>
                        <w:bottom w:val="none" w:sz="0" w:space="0" w:color="auto"/>
                        <w:right w:val="none" w:sz="0" w:space="0" w:color="auto"/>
                      </w:divBdr>
                      <w:divsChild>
                        <w:div w:id="294150379">
                          <w:marLeft w:val="0"/>
                          <w:marRight w:val="0"/>
                          <w:marTop w:val="0"/>
                          <w:marBottom w:val="0"/>
                          <w:divBdr>
                            <w:top w:val="none" w:sz="0" w:space="0" w:color="auto"/>
                            <w:left w:val="none" w:sz="0" w:space="0" w:color="auto"/>
                            <w:bottom w:val="none" w:sz="0" w:space="0" w:color="auto"/>
                            <w:right w:val="none" w:sz="0" w:space="0" w:color="auto"/>
                          </w:divBdr>
                        </w:div>
                      </w:divsChild>
                    </w:div>
                    <w:div w:id="294142043">
                      <w:marLeft w:val="0"/>
                      <w:marRight w:val="0"/>
                      <w:marTop w:val="0"/>
                      <w:marBottom w:val="0"/>
                      <w:divBdr>
                        <w:top w:val="none" w:sz="0" w:space="0" w:color="auto"/>
                        <w:left w:val="none" w:sz="0" w:space="0" w:color="auto"/>
                        <w:bottom w:val="none" w:sz="0" w:space="0" w:color="auto"/>
                        <w:right w:val="none" w:sz="0" w:space="0" w:color="auto"/>
                      </w:divBdr>
                      <w:divsChild>
                        <w:div w:id="294140913">
                          <w:marLeft w:val="0"/>
                          <w:marRight w:val="0"/>
                          <w:marTop w:val="0"/>
                          <w:marBottom w:val="0"/>
                          <w:divBdr>
                            <w:top w:val="none" w:sz="0" w:space="0" w:color="auto"/>
                            <w:left w:val="none" w:sz="0" w:space="0" w:color="auto"/>
                            <w:bottom w:val="none" w:sz="0" w:space="0" w:color="auto"/>
                            <w:right w:val="none" w:sz="0" w:space="0" w:color="auto"/>
                          </w:divBdr>
                        </w:div>
                      </w:divsChild>
                    </w:div>
                    <w:div w:id="294142045">
                      <w:marLeft w:val="0"/>
                      <w:marRight w:val="0"/>
                      <w:marTop w:val="0"/>
                      <w:marBottom w:val="0"/>
                      <w:divBdr>
                        <w:top w:val="none" w:sz="0" w:space="0" w:color="auto"/>
                        <w:left w:val="none" w:sz="0" w:space="0" w:color="auto"/>
                        <w:bottom w:val="none" w:sz="0" w:space="0" w:color="auto"/>
                        <w:right w:val="none" w:sz="0" w:space="0" w:color="auto"/>
                      </w:divBdr>
                      <w:divsChild>
                        <w:div w:id="294139947">
                          <w:marLeft w:val="0"/>
                          <w:marRight w:val="0"/>
                          <w:marTop w:val="0"/>
                          <w:marBottom w:val="0"/>
                          <w:divBdr>
                            <w:top w:val="none" w:sz="0" w:space="0" w:color="auto"/>
                            <w:left w:val="none" w:sz="0" w:space="0" w:color="auto"/>
                            <w:bottom w:val="none" w:sz="0" w:space="0" w:color="auto"/>
                            <w:right w:val="none" w:sz="0" w:space="0" w:color="auto"/>
                          </w:divBdr>
                        </w:div>
                      </w:divsChild>
                    </w:div>
                    <w:div w:id="294142057">
                      <w:marLeft w:val="0"/>
                      <w:marRight w:val="0"/>
                      <w:marTop w:val="0"/>
                      <w:marBottom w:val="0"/>
                      <w:divBdr>
                        <w:top w:val="none" w:sz="0" w:space="0" w:color="auto"/>
                        <w:left w:val="none" w:sz="0" w:space="0" w:color="auto"/>
                        <w:bottom w:val="none" w:sz="0" w:space="0" w:color="auto"/>
                        <w:right w:val="none" w:sz="0" w:space="0" w:color="auto"/>
                      </w:divBdr>
                      <w:divsChild>
                        <w:div w:id="294149117">
                          <w:marLeft w:val="0"/>
                          <w:marRight w:val="0"/>
                          <w:marTop w:val="0"/>
                          <w:marBottom w:val="0"/>
                          <w:divBdr>
                            <w:top w:val="none" w:sz="0" w:space="0" w:color="auto"/>
                            <w:left w:val="none" w:sz="0" w:space="0" w:color="auto"/>
                            <w:bottom w:val="none" w:sz="0" w:space="0" w:color="auto"/>
                            <w:right w:val="none" w:sz="0" w:space="0" w:color="auto"/>
                          </w:divBdr>
                        </w:div>
                      </w:divsChild>
                    </w:div>
                    <w:div w:id="294142164">
                      <w:marLeft w:val="0"/>
                      <w:marRight w:val="0"/>
                      <w:marTop w:val="0"/>
                      <w:marBottom w:val="0"/>
                      <w:divBdr>
                        <w:top w:val="none" w:sz="0" w:space="0" w:color="auto"/>
                        <w:left w:val="none" w:sz="0" w:space="0" w:color="auto"/>
                        <w:bottom w:val="none" w:sz="0" w:space="0" w:color="auto"/>
                        <w:right w:val="none" w:sz="0" w:space="0" w:color="auto"/>
                      </w:divBdr>
                    </w:div>
                    <w:div w:id="294142214">
                      <w:marLeft w:val="0"/>
                      <w:marRight w:val="0"/>
                      <w:marTop w:val="0"/>
                      <w:marBottom w:val="0"/>
                      <w:divBdr>
                        <w:top w:val="none" w:sz="0" w:space="0" w:color="auto"/>
                        <w:left w:val="none" w:sz="0" w:space="0" w:color="auto"/>
                        <w:bottom w:val="none" w:sz="0" w:space="0" w:color="auto"/>
                        <w:right w:val="none" w:sz="0" w:space="0" w:color="auto"/>
                      </w:divBdr>
                      <w:divsChild>
                        <w:div w:id="294144830">
                          <w:marLeft w:val="0"/>
                          <w:marRight w:val="0"/>
                          <w:marTop w:val="0"/>
                          <w:marBottom w:val="0"/>
                          <w:divBdr>
                            <w:top w:val="none" w:sz="0" w:space="0" w:color="auto"/>
                            <w:left w:val="none" w:sz="0" w:space="0" w:color="auto"/>
                            <w:bottom w:val="none" w:sz="0" w:space="0" w:color="auto"/>
                            <w:right w:val="none" w:sz="0" w:space="0" w:color="auto"/>
                          </w:divBdr>
                        </w:div>
                      </w:divsChild>
                    </w:div>
                    <w:div w:id="294142286">
                      <w:marLeft w:val="0"/>
                      <w:marRight w:val="0"/>
                      <w:marTop w:val="0"/>
                      <w:marBottom w:val="0"/>
                      <w:divBdr>
                        <w:top w:val="none" w:sz="0" w:space="0" w:color="auto"/>
                        <w:left w:val="none" w:sz="0" w:space="0" w:color="auto"/>
                        <w:bottom w:val="none" w:sz="0" w:space="0" w:color="auto"/>
                        <w:right w:val="none" w:sz="0" w:space="0" w:color="auto"/>
                      </w:divBdr>
                      <w:divsChild>
                        <w:div w:id="294153430">
                          <w:marLeft w:val="0"/>
                          <w:marRight w:val="0"/>
                          <w:marTop w:val="0"/>
                          <w:marBottom w:val="0"/>
                          <w:divBdr>
                            <w:top w:val="none" w:sz="0" w:space="0" w:color="auto"/>
                            <w:left w:val="none" w:sz="0" w:space="0" w:color="auto"/>
                            <w:bottom w:val="none" w:sz="0" w:space="0" w:color="auto"/>
                            <w:right w:val="none" w:sz="0" w:space="0" w:color="auto"/>
                          </w:divBdr>
                        </w:div>
                      </w:divsChild>
                    </w:div>
                    <w:div w:id="294142298">
                      <w:marLeft w:val="0"/>
                      <w:marRight w:val="0"/>
                      <w:marTop w:val="0"/>
                      <w:marBottom w:val="0"/>
                      <w:divBdr>
                        <w:top w:val="none" w:sz="0" w:space="0" w:color="auto"/>
                        <w:left w:val="none" w:sz="0" w:space="0" w:color="auto"/>
                        <w:bottom w:val="none" w:sz="0" w:space="0" w:color="auto"/>
                        <w:right w:val="none" w:sz="0" w:space="0" w:color="auto"/>
                      </w:divBdr>
                    </w:div>
                    <w:div w:id="294142325">
                      <w:marLeft w:val="0"/>
                      <w:marRight w:val="0"/>
                      <w:marTop w:val="0"/>
                      <w:marBottom w:val="0"/>
                      <w:divBdr>
                        <w:top w:val="none" w:sz="0" w:space="0" w:color="auto"/>
                        <w:left w:val="none" w:sz="0" w:space="0" w:color="auto"/>
                        <w:bottom w:val="none" w:sz="0" w:space="0" w:color="auto"/>
                        <w:right w:val="none" w:sz="0" w:space="0" w:color="auto"/>
                      </w:divBdr>
                      <w:divsChild>
                        <w:div w:id="294139395">
                          <w:marLeft w:val="0"/>
                          <w:marRight w:val="0"/>
                          <w:marTop w:val="0"/>
                          <w:marBottom w:val="0"/>
                          <w:divBdr>
                            <w:top w:val="none" w:sz="0" w:space="0" w:color="auto"/>
                            <w:left w:val="none" w:sz="0" w:space="0" w:color="auto"/>
                            <w:bottom w:val="none" w:sz="0" w:space="0" w:color="auto"/>
                            <w:right w:val="none" w:sz="0" w:space="0" w:color="auto"/>
                          </w:divBdr>
                        </w:div>
                      </w:divsChild>
                    </w:div>
                    <w:div w:id="294142623">
                      <w:marLeft w:val="0"/>
                      <w:marRight w:val="0"/>
                      <w:marTop w:val="0"/>
                      <w:marBottom w:val="0"/>
                      <w:divBdr>
                        <w:top w:val="none" w:sz="0" w:space="0" w:color="auto"/>
                        <w:left w:val="none" w:sz="0" w:space="0" w:color="auto"/>
                        <w:bottom w:val="none" w:sz="0" w:space="0" w:color="auto"/>
                        <w:right w:val="none" w:sz="0" w:space="0" w:color="auto"/>
                      </w:divBdr>
                      <w:divsChild>
                        <w:div w:id="294151113">
                          <w:marLeft w:val="0"/>
                          <w:marRight w:val="0"/>
                          <w:marTop w:val="0"/>
                          <w:marBottom w:val="0"/>
                          <w:divBdr>
                            <w:top w:val="none" w:sz="0" w:space="0" w:color="auto"/>
                            <w:left w:val="none" w:sz="0" w:space="0" w:color="auto"/>
                            <w:bottom w:val="none" w:sz="0" w:space="0" w:color="auto"/>
                            <w:right w:val="none" w:sz="0" w:space="0" w:color="auto"/>
                          </w:divBdr>
                        </w:div>
                      </w:divsChild>
                    </w:div>
                    <w:div w:id="294142625">
                      <w:marLeft w:val="0"/>
                      <w:marRight w:val="0"/>
                      <w:marTop w:val="0"/>
                      <w:marBottom w:val="0"/>
                      <w:divBdr>
                        <w:top w:val="none" w:sz="0" w:space="0" w:color="auto"/>
                        <w:left w:val="none" w:sz="0" w:space="0" w:color="auto"/>
                        <w:bottom w:val="none" w:sz="0" w:space="0" w:color="auto"/>
                        <w:right w:val="none" w:sz="0" w:space="0" w:color="auto"/>
                      </w:divBdr>
                    </w:div>
                    <w:div w:id="294142668">
                      <w:marLeft w:val="0"/>
                      <w:marRight w:val="0"/>
                      <w:marTop w:val="0"/>
                      <w:marBottom w:val="0"/>
                      <w:divBdr>
                        <w:top w:val="none" w:sz="0" w:space="0" w:color="auto"/>
                        <w:left w:val="none" w:sz="0" w:space="0" w:color="auto"/>
                        <w:bottom w:val="none" w:sz="0" w:space="0" w:color="auto"/>
                        <w:right w:val="none" w:sz="0" w:space="0" w:color="auto"/>
                      </w:divBdr>
                    </w:div>
                    <w:div w:id="294142691">
                      <w:marLeft w:val="0"/>
                      <w:marRight w:val="0"/>
                      <w:marTop w:val="0"/>
                      <w:marBottom w:val="0"/>
                      <w:divBdr>
                        <w:top w:val="none" w:sz="0" w:space="0" w:color="auto"/>
                        <w:left w:val="none" w:sz="0" w:space="0" w:color="auto"/>
                        <w:bottom w:val="none" w:sz="0" w:space="0" w:color="auto"/>
                        <w:right w:val="none" w:sz="0" w:space="0" w:color="auto"/>
                      </w:divBdr>
                      <w:divsChild>
                        <w:div w:id="294139575">
                          <w:marLeft w:val="0"/>
                          <w:marRight w:val="0"/>
                          <w:marTop w:val="0"/>
                          <w:marBottom w:val="0"/>
                          <w:divBdr>
                            <w:top w:val="none" w:sz="0" w:space="0" w:color="auto"/>
                            <w:left w:val="none" w:sz="0" w:space="0" w:color="auto"/>
                            <w:bottom w:val="none" w:sz="0" w:space="0" w:color="auto"/>
                            <w:right w:val="none" w:sz="0" w:space="0" w:color="auto"/>
                          </w:divBdr>
                        </w:div>
                      </w:divsChild>
                    </w:div>
                    <w:div w:id="294142696">
                      <w:marLeft w:val="0"/>
                      <w:marRight w:val="0"/>
                      <w:marTop w:val="0"/>
                      <w:marBottom w:val="0"/>
                      <w:divBdr>
                        <w:top w:val="none" w:sz="0" w:space="0" w:color="auto"/>
                        <w:left w:val="none" w:sz="0" w:space="0" w:color="auto"/>
                        <w:bottom w:val="none" w:sz="0" w:space="0" w:color="auto"/>
                        <w:right w:val="none" w:sz="0" w:space="0" w:color="auto"/>
                      </w:divBdr>
                      <w:divsChild>
                        <w:div w:id="294154950">
                          <w:marLeft w:val="0"/>
                          <w:marRight w:val="0"/>
                          <w:marTop w:val="0"/>
                          <w:marBottom w:val="0"/>
                          <w:divBdr>
                            <w:top w:val="none" w:sz="0" w:space="0" w:color="auto"/>
                            <w:left w:val="none" w:sz="0" w:space="0" w:color="auto"/>
                            <w:bottom w:val="none" w:sz="0" w:space="0" w:color="auto"/>
                            <w:right w:val="none" w:sz="0" w:space="0" w:color="auto"/>
                          </w:divBdr>
                        </w:div>
                      </w:divsChild>
                    </w:div>
                    <w:div w:id="294142726">
                      <w:marLeft w:val="0"/>
                      <w:marRight w:val="0"/>
                      <w:marTop w:val="0"/>
                      <w:marBottom w:val="0"/>
                      <w:divBdr>
                        <w:top w:val="none" w:sz="0" w:space="0" w:color="auto"/>
                        <w:left w:val="none" w:sz="0" w:space="0" w:color="auto"/>
                        <w:bottom w:val="none" w:sz="0" w:space="0" w:color="auto"/>
                        <w:right w:val="none" w:sz="0" w:space="0" w:color="auto"/>
                      </w:divBdr>
                    </w:div>
                    <w:div w:id="294142748">
                      <w:marLeft w:val="0"/>
                      <w:marRight w:val="0"/>
                      <w:marTop w:val="0"/>
                      <w:marBottom w:val="0"/>
                      <w:divBdr>
                        <w:top w:val="none" w:sz="0" w:space="0" w:color="auto"/>
                        <w:left w:val="none" w:sz="0" w:space="0" w:color="auto"/>
                        <w:bottom w:val="none" w:sz="0" w:space="0" w:color="auto"/>
                        <w:right w:val="none" w:sz="0" w:space="0" w:color="auto"/>
                      </w:divBdr>
                      <w:divsChild>
                        <w:div w:id="294146833">
                          <w:marLeft w:val="0"/>
                          <w:marRight w:val="0"/>
                          <w:marTop w:val="0"/>
                          <w:marBottom w:val="0"/>
                          <w:divBdr>
                            <w:top w:val="none" w:sz="0" w:space="0" w:color="auto"/>
                            <w:left w:val="none" w:sz="0" w:space="0" w:color="auto"/>
                            <w:bottom w:val="none" w:sz="0" w:space="0" w:color="auto"/>
                            <w:right w:val="none" w:sz="0" w:space="0" w:color="auto"/>
                          </w:divBdr>
                        </w:div>
                      </w:divsChild>
                    </w:div>
                    <w:div w:id="294142752">
                      <w:marLeft w:val="0"/>
                      <w:marRight w:val="0"/>
                      <w:marTop w:val="0"/>
                      <w:marBottom w:val="0"/>
                      <w:divBdr>
                        <w:top w:val="none" w:sz="0" w:space="0" w:color="auto"/>
                        <w:left w:val="none" w:sz="0" w:space="0" w:color="auto"/>
                        <w:bottom w:val="none" w:sz="0" w:space="0" w:color="auto"/>
                        <w:right w:val="none" w:sz="0" w:space="0" w:color="auto"/>
                      </w:divBdr>
                    </w:div>
                    <w:div w:id="294142804">
                      <w:marLeft w:val="0"/>
                      <w:marRight w:val="0"/>
                      <w:marTop w:val="0"/>
                      <w:marBottom w:val="0"/>
                      <w:divBdr>
                        <w:top w:val="none" w:sz="0" w:space="0" w:color="auto"/>
                        <w:left w:val="none" w:sz="0" w:space="0" w:color="auto"/>
                        <w:bottom w:val="none" w:sz="0" w:space="0" w:color="auto"/>
                        <w:right w:val="none" w:sz="0" w:space="0" w:color="auto"/>
                      </w:divBdr>
                      <w:divsChild>
                        <w:div w:id="294147969">
                          <w:marLeft w:val="0"/>
                          <w:marRight w:val="0"/>
                          <w:marTop w:val="0"/>
                          <w:marBottom w:val="0"/>
                          <w:divBdr>
                            <w:top w:val="none" w:sz="0" w:space="0" w:color="auto"/>
                            <w:left w:val="none" w:sz="0" w:space="0" w:color="auto"/>
                            <w:bottom w:val="none" w:sz="0" w:space="0" w:color="auto"/>
                            <w:right w:val="none" w:sz="0" w:space="0" w:color="auto"/>
                          </w:divBdr>
                        </w:div>
                      </w:divsChild>
                    </w:div>
                    <w:div w:id="294142872">
                      <w:marLeft w:val="0"/>
                      <w:marRight w:val="0"/>
                      <w:marTop w:val="0"/>
                      <w:marBottom w:val="0"/>
                      <w:divBdr>
                        <w:top w:val="none" w:sz="0" w:space="0" w:color="auto"/>
                        <w:left w:val="none" w:sz="0" w:space="0" w:color="auto"/>
                        <w:bottom w:val="none" w:sz="0" w:space="0" w:color="auto"/>
                        <w:right w:val="none" w:sz="0" w:space="0" w:color="auto"/>
                      </w:divBdr>
                      <w:divsChild>
                        <w:div w:id="294147265">
                          <w:marLeft w:val="0"/>
                          <w:marRight w:val="0"/>
                          <w:marTop w:val="0"/>
                          <w:marBottom w:val="0"/>
                          <w:divBdr>
                            <w:top w:val="none" w:sz="0" w:space="0" w:color="auto"/>
                            <w:left w:val="none" w:sz="0" w:space="0" w:color="auto"/>
                            <w:bottom w:val="none" w:sz="0" w:space="0" w:color="auto"/>
                            <w:right w:val="none" w:sz="0" w:space="0" w:color="auto"/>
                          </w:divBdr>
                        </w:div>
                      </w:divsChild>
                    </w:div>
                    <w:div w:id="294142889">
                      <w:marLeft w:val="0"/>
                      <w:marRight w:val="0"/>
                      <w:marTop w:val="0"/>
                      <w:marBottom w:val="0"/>
                      <w:divBdr>
                        <w:top w:val="none" w:sz="0" w:space="0" w:color="auto"/>
                        <w:left w:val="none" w:sz="0" w:space="0" w:color="auto"/>
                        <w:bottom w:val="none" w:sz="0" w:space="0" w:color="auto"/>
                        <w:right w:val="none" w:sz="0" w:space="0" w:color="auto"/>
                      </w:divBdr>
                      <w:divsChild>
                        <w:div w:id="294145914">
                          <w:marLeft w:val="0"/>
                          <w:marRight w:val="0"/>
                          <w:marTop w:val="0"/>
                          <w:marBottom w:val="0"/>
                          <w:divBdr>
                            <w:top w:val="none" w:sz="0" w:space="0" w:color="auto"/>
                            <w:left w:val="none" w:sz="0" w:space="0" w:color="auto"/>
                            <w:bottom w:val="none" w:sz="0" w:space="0" w:color="auto"/>
                            <w:right w:val="none" w:sz="0" w:space="0" w:color="auto"/>
                          </w:divBdr>
                        </w:div>
                      </w:divsChild>
                    </w:div>
                    <w:div w:id="294143195">
                      <w:marLeft w:val="0"/>
                      <w:marRight w:val="0"/>
                      <w:marTop w:val="0"/>
                      <w:marBottom w:val="0"/>
                      <w:divBdr>
                        <w:top w:val="none" w:sz="0" w:space="0" w:color="auto"/>
                        <w:left w:val="none" w:sz="0" w:space="0" w:color="auto"/>
                        <w:bottom w:val="none" w:sz="0" w:space="0" w:color="auto"/>
                        <w:right w:val="none" w:sz="0" w:space="0" w:color="auto"/>
                      </w:divBdr>
                      <w:divsChild>
                        <w:div w:id="294139183">
                          <w:marLeft w:val="0"/>
                          <w:marRight w:val="0"/>
                          <w:marTop w:val="0"/>
                          <w:marBottom w:val="0"/>
                          <w:divBdr>
                            <w:top w:val="none" w:sz="0" w:space="0" w:color="auto"/>
                            <w:left w:val="none" w:sz="0" w:space="0" w:color="auto"/>
                            <w:bottom w:val="none" w:sz="0" w:space="0" w:color="auto"/>
                            <w:right w:val="none" w:sz="0" w:space="0" w:color="auto"/>
                          </w:divBdr>
                        </w:div>
                      </w:divsChild>
                    </w:div>
                    <w:div w:id="294143260">
                      <w:marLeft w:val="0"/>
                      <w:marRight w:val="0"/>
                      <w:marTop w:val="0"/>
                      <w:marBottom w:val="0"/>
                      <w:divBdr>
                        <w:top w:val="none" w:sz="0" w:space="0" w:color="auto"/>
                        <w:left w:val="none" w:sz="0" w:space="0" w:color="auto"/>
                        <w:bottom w:val="none" w:sz="0" w:space="0" w:color="auto"/>
                        <w:right w:val="none" w:sz="0" w:space="0" w:color="auto"/>
                      </w:divBdr>
                    </w:div>
                    <w:div w:id="294143281">
                      <w:marLeft w:val="0"/>
                      <w:marRight w:val="0"/>
                      <w:marTop w:val="0"/>
                      <w:marBottom w:val="0"/>
                      <w:divBdr>
                        <w:top w:val="none" w:sz="0" w:space="0" w:color="auto"/>
                        <w:left w:val="none" w:sz="0" w:space="0" w:color="auto"/>
                        <w:bottom w:val="none" w:sz="0" w:space="0" w:color="auto"/>
                        <w:right w:val="none" w:sz="0" w:space="0" w:color="auto"/>
                      </w:divBdr>
                      <w:divsChild>
                        <w:div w:id="294149769">
                          <w:marLeft w:val="0"/>
                          <w:marRight w:val="0"/>
                          <w:marTop w:val="0"/>
                          <w:marBottom w:val="0"/>
                          <w:divBdr>
                            <w:top w:val="none" w:sz="0" w:space="0" w:color="auto"/>
                            <w:left w:val="none" w:sz="0" w:space="0" w:color="auto"/>
                            <w:bottom w:val="none" w:sz="0" w:space="0" w:color="auto"/>
                            <w:right w:val="none" w:sz="0" w:space="0" w:color="auto"/>
                          </w:divBdr>
                        </w:div>
                      </w:divsChild>
                    </w:div>
                    <w:div w:id="294143286">
                      <w:marLeft w:val="0"/>
                      <w:marRight w:val="0"/>
                      <w:marTop w:val="0"/>
                      <w:marBottom w:val="0"/>
                      <w:divBdr>
                        <w:top w:val="none" w:sz="0" w:space="0" w:color="auto"/>
                        <w:left w:val="none" w:sz="0" w:space="0" w:color="auto"/>
                        <w:bottom w:val="none" w:sz="0" w:space="0" w:color="auto"/>
                        <w:right w:val="none" w:sz="0" w:space="0" w:color="auto"/>
                      </w:divBdr>
                    </w:div>
                    <w:div w:id="294143311">
                      <w:marLeft w:val="0"/>
                      <w:marRight w:val="0"/>
                      <w:marTop w:val="0"/>
                      <w:marBottom w:val="0"/>
                      <w:divBdr>
                        <w:top w:val="none" w:sz="0" w:space="0" w:color="auto"/>
                        <w:left w:val="none" w:sz="0" w:space="0" w:color="auto"/>
                        <w:bottom w:val="none" w:sz="0" w:space="0" w:color="auto"/>
                        <w:right w:val="none" w:sz="0" w:space="0" w:color="auto"/>
                      </w:divBdr>
                    </w:div>
                    <w:div w:id="294143389">
                      <w:marLeft w:val="0"/>
                      <w:marRight w:val="0"/>
                      <w:marTop w:val="0"/>
                      <w:marBottom w:val="0"/>
                      <w:divBdr>
                        <w:top w:val="none" w:sz="0" w:space="0" w:color="auto"/>
                        <w:left w:val="none" w:sz="0" w:space="0" w:color="auto"/>
                        <w:bottom w:val="none" w:sz="0" w:space="0" w:color="auto"/>
                        <w:right w:val="none" w:sz="0" w:space="0" w:color="auto"/>
                      </w:divBdr>
                    </w:div>
                    <w:div w:id="294143397">
                      <w:marLeft w:val="0"/>
                      <w:marRight w:val="0"/>
                      <w:marTop w:val="0"/>
                      <w:marBottom w:val="0"/>
                      <w:divBdr>
                        <w:top w:val="none" w:sz="0" w:space="0" w:color="auto"/>
                        <w:left w:val="none" w:sz="0" w:space="0" w:color="auto"/>
                        <w:bottom w:val="none" w:sz="0" w:space="0" w:color="auto"/>
                        <w:right w:val="none" w:sz="0" w:space="0" w:color="auto"/>
                      </w:divBdr>
                      <w:divsChild>
                        <w:div w:id="294138586">
                          <w:marLeft w:val="0"/>
                          <w:marRight w:val="0"/>
                          <w:marTop w:val="0"/>
                          <w:marBottom w:val="0"/>
                          <w:divBdr>
                            <w:top w:val="none" w:sz="0" w:space="0" w:color="auto"/>
                            <w:left w:val="none" w:sz="0" w:space="0" w:color="auto"/>
                            <w:bottom w:val="none" w:sz="0" w:space="0" w:color="auto"/>
                            <w:right w:val="none" w:sz="0" w:space="0" w:color="auto"/>
                          </w:divBdr>
                        </w:div>
                      </w:divsChild>
                    </w:div>
                    <w:div w:id="294143462">
                      <w:marLeft w:val="0"/>
                      <w:marRight w:val="0"/>
                      <w:marTop w:val="0"/>
                      <w:marBottom w:val="0"/>
                      <w:divBdr>
                        <w:top w:val="none" w:sz="0" w:space="0" w:color="auto"/>
                        <w:left w:val="none" w:sz="0" w:space="0" w:color="auto"/>
                        <w:bottom w:val="none" w:sz="0" w:space="0" w:color="auto"/>
                        <w:right w:val="none" w:sz="0" w:space="0" w:color="auto"/>
                      </w:divBdr>
                    </w:div>
                    <w:div w:id="294143488">
                      <w:marLeft w:val="0"/>
                      <w:marRight w:val="0"/>
                      <w:marTop w:val="0"/>
                      <w:marBottom w:val="0"/>
                      <w:divBdr>
                        <w:top w:val="none" w:sz="0" w:space="0" w:color="auto"/>
                        <w:left w:val="none" w:sz="0" w:space="0" w:color="auto"/>
                        <w:bottom w:val="none" w:sz="0" w:space="0" w:color="auto"/>
                        <w:right w:val="none" w:sz="0" w:space="0" w:color="auto"/>
                      </w:divBdr>
                    </w:div>
                    <w:div w:id="294143538">
                      <w:marLeft w:val="0"/>
                      <w:marRight w:val="0"/>
                      <w:marTop w:val="0"/>
                      <w:marBottom w:val="0"/>
                      <w:divBdr>
                        <w:top w:val="none" w:sz="0" w:space="0" w:color="auto"/>
                        <w:left w:val="none" w:sz="0" w:space="0" w:color="auto"/>
                        <w:bottom w:val="none" w:sz="0" w:space="0" w:color="auto"/>
                        <w:right w:val="none" w:sz="0" w:space="0" w:color="auto"/>
                      </w:divBdr>
                    </w:div>
                    <w:div w:id="294143561">
                      <w:marLeft w:val="0"/>
                      <w:marRight w:val="0"/>
                      <w:marTop w:val="0"/>
                      <w:marBottom w:val="0"/>
                      <w:divBdr>
                        <w:top w:val="none" w:sz="0" w:space="0" w:color="auto"/>
                        <w:left w:val="none" w:sz="0" w:space="0" w:color="auto"/>
                        <w:bottom w:val="none" w:sz="0" w:space="0" w:color="auto"/>
                        <w:right w:val="none" w:sz="0" w:space="0" w:color="auto"/>
                      </w:divBdr>
                    </w:div>
                    <w:div w:id="294143615">
                      <w:marLeft w:val="0"/>
                      <w:marRight w:val="0"/>
                      <w:marTop w:val="0"/>
                      <w:marBottom w:val="0"/>
                      <w:divBdr>
                        <w:top w:val="none" w:sz="0" w:space="0" w:color="auto"/>
                        <w:left w:val="none" w:sz="0" w:space="0" w:color="auto"/>
                        <w:bottom w:val="none" w:sz="0" w:space="0" w:color="auto"/>
                        <w:right w:val="none" w:sz="0" w:space="0" w:color="auto"/>
                      </w:divBdr>
                    </w:div>
                    <w:div w:id="294143638">
                      <w:marLeft w:val="0"/>
                      <w:marRight w:val="0"/>
                      <w:marTop w:val="0"/>
                      <w:marBottom w:val="0"/>
                      <w:divBdr>
                        <w:top w:val="none" w:sz="0" w:space="0" w:color="auto"/>
                        <w:left w:val="none" w:sz="0" w:space="0" w:color="auto"/>
                        <w:bottom w:val="none" w:sz="0" w:space="0" w:color="auto"/>
                        <w:right w:val="none" w:sz="0" w:space="0" w:color="auto"/>
                      </w:divBdr>
                      <w:divsChild>
                        <w:div w:id="294143790">
                          <w:marLeft w:val="0"/>
                          <w:marRight w:val="0"/>
                          <w:marTop w:val="0"/>
                          <w:marBottom w:val="0"/>
                          <w:divBdr>
                            <w:top w:val="none" w:sz="0" w:space="0" w:color="auto"/>
                            <w:left w:val="none" w:sz="0" w:space="0" w:color="auto"/>
                            <w:bottom w:val="none" w:sz="0" w:space="0" w:color="auto"/>
                            <w:right w:val="none" w:sz="0" w:space="0" w:color="auto"/>
                          </w:divBdr>
                        </w:div>
                      </w:divsChild>
                    </w:div>
                    <w:div w:id="294143700">
                      <w:marLeft w:val="0"/>
                      <w:marRight w:val="0"/>
                      <w:marTop w:val="0"/>
                      <w:marBottom w:val="0"/>
                      <w:divBdr>
                        <w:top w:val="none" w:sz="0" w:space="0" w:color="auto"/>
                        <w:left w:val="none" w:sz="0" w:space="0" w:color="auto"/>
                        <w:bottom w:val="none" w:sz="0" w:space="0" w:color="auto"/>
                        <w:right w:val="none" w:sz="0" w:space="0" w:color="auto"/>
                      </w:divBdr>
                      <w:divsChild>
                        <w:div w:id="294156231">
                          <w:marLeft w:val="0"/>
                          <w:marRight w:val="0"/>
                          <w:marTop w:val="0"/>
                          <w:marBottom w:val="0"/>
                          <w:divBdr>
                            <w:top w:val="none" w:sz="0" w:space="0" w:color="auto"/>
                            <w:left w:val="none" w:sz="0" w:space="0" w:color="auto"/>
                            <w:bottom w:val="none" w:sz="0" w:space="0" w:color="auto"/>
                            <w:right w:val="none" w:sz="0" w:space="0" w:color="auto"/>
                          </w:divBdr>
                        </w:div>
                      </w:divsChild>
                    </w:div>
                    <w:div w:id="294143783">
                      <w:marLeft w:val="0"/>
                      <w:marRight w:val="0"/>
                      <w:marTop w:val="0"/>
                      <w:marBottom w:val="0"/>
                      <w:divBdr>
                        <w:top w:val="none" w:sz="0" w:space="0" w:color="auto"/>
                        <w:left w:val="none" w:sz="0" w:space="0" w:color="auto"/>
                        <w:bottom w:val="none" w:sz="0" w:space="0" w:color="auto"/>
                        <w:right w:val="none" w:sz="0" w:space="0" w:color="auto"/>
                      </w:divBdr>
                    </w:div>
                    <w:div w:id="294143788">
                      <w:marLeft w:val="0"/>
                      <w:marRight w:val="0"/>
                      <w:marTop w:val="0"/>
                      <w:marBottom w:val="0"/>
                      <w:divBdr>
                        <w:top w:val="none" w:sz="0" w:space="0" w:color="auto"/>
                        <w:left w:val="none" w:sz="0" w:space="0" w:color="auto"/>
                        <w:bottom w:val="none" w:sz="0" w:space="0" w:color="auto"/>
                        <w:right w:val="none" w:sz="0" w:space="0" w:color="auto"/>
                      </w:divBdr>
                    </w:div>
                    <w:div w:id="294143793">
                      <w:marLeft w:val="0"/>
                      <w:marRight w:val="0"/>
                      <w:marTop w:val="0"/>
                      <w:marBottom w:val="0"/>
                      <w:divBdr>
                        <w:top w:val="none" w:sz="0" w:space="0" w:color="auto"/>
                        <w:left w:val="none" w:sz="0" w:space="0" w:color="auto"/>
                        <w:bottom w:val="none" w:sz="0" w:space="0" w:color="auto"/>
                        <w:right w:val="none" w:sz="0" w:space="0" w:color="auto"/>
                      </w:divBdr>
                      <w:divsChild>
                        <w:div w:id="294150397">
                          <w:marLeft w:val="0"/>
                          <w:marRight w:val="0"/>
                          <w:marTop w:val="0"/>
                          <w:marBottom w:val="0"/>
                          <w:divBdr>
                            <w:top w:val="none" w:sz="0" w:space="0" w:color="auto"/>
                            <w:left w:val="none" w:sz="0" w:space="0" w:color="auto"/>
                            <w:bottom w:val="none" w:sz="0" w:space="0" w:color="auto"/>
                            <w:right w:val="none" w:sz="0" w:space="0" w:color="auto"/>
                          </w:divBdr>
                        </w:div>
                      </w:divsChild>
                    </w:div>
                    <w:div w:id="294143806">
                      <w:marLeft w:val="0"/>
                      <w:marRight w:val="0"/>
                      <w:marTop w:val="0"/>
                      <w:marBottom w:val="0"/>
                      <w:divBdr>
                        <w:top w:val="none" w:sz="0" w:space="0" w:color="auto"/>
                        <w:left w:val="none" w:sz="0" w:space="0" w:color="auto"/>
                        <w:bottom w:val="none" w:sz="0" w:space="0" w:color="auto"/>
                        <w:right w:val="none" w:sz="0" w:space="0" w:color="auto"/>
                      </w:divBdr>
                      <w:divsChild>
                        <w:div w:id="294156383">
                          <w:marLeft w:val="0"/>
                          <w:marRight w:val="0"/>
                          <w:marTop w:val="0"/>
                          <w:marBottom w:val="0"/>
                          <w:divBdr>
                            <w:top w:val="none" w:sz="0" w:space="0" w:color="auto"/>
                            <w:left w:val="none" w:sz="0" w:space="0" w:color="auto"/>
                            <w:bottom w:val="none" w:sz="0" w:space="0" w:color="auto"/>
                            <w:right w:val="none" w:sz="0" w:space="0" w:color="auto"/>
                          </w:divBdr>
                        </w:div>
                      </w:divsChild>
                    </w:div>
                    <w:div w:id="294143837">
                      <w:marLeft w:val="0"/>
                      <w:marRight w:val="0"/>
                      <w:marTop w:val="0"/>
                      <w:marBottom w:val="0"/>
                      <w:divBdr>
                        <w:top w:val="none" w:sz="0" w:space="0" w:color="auto"/>
                        <w:left w:val="none" w:sz="0" w:space="0" w:color="auto"/>
                        <w:bottom w:val="none" w:sz="0" w:space="0" w:color="auto"/>
                        <w:right w:val="none" w:sz="0" w:space="0" w:color="auto"/>
                      </w:divBdr>
                      <w:divsChild>
                        <w:div w:id="294143323">
                          <w:marLeft w:val="0"/>
                          <w:marRight w:val="0"/>
                          <w:marTop w:val="0"/>
                          <w:marBottom w:val="0"/>
                          <w:divBdr>
                            <w:top w:val="none" w:sz="0" w:space="0" w:color="auto"/>
                            <w:left w:val="none" w:sz="0" w:space="0" w:color="auto"/>
                            <w:bottom w:val="none" w:sz="0" w:space="0" w:color="auto"/>
                            <w:right w:val="none" w:sz="0" w:space="0" w:color="auto"/>
                          </w:divBdr>
                        </w:div>
                      </w:divsChild>
                    </w:div>
                    <w:div w:id="294143851">
                      <w:marLeft w:val="0"/>
                      <w:marRight w:val="0"/>
                      <w:marTop w:val="0"/>
                      <w:marBottom w:val="0"/>
                      <w:divBdr>
                        <w:top w:val="none" w:sz="0" w:space="0" w:color="auto"/>
                        <w:left w:val="none" w:sz="0" w:space="0" w:color="auto"/>
                        <w:bottom w:val="none" w:sz="0" w:space="0" w:color="auto"/>
                        <w:right w:val="none" w:sz="0" w:space="0" w:color="auto"/>
                      </w:divBdr>
                      <w:divsChild>
                        <w:div w:id="294143876">
                          <w:marLeft w:val="0"/>
                          <w:marRight w:val="0"/>
                          <w:marTop w:val="0"/>
                          <w:marBottom w:val="0"/>
                          <w:divBdr>
                            <w:top w:val="none" w:sz="0" w:space="0" w:color="auto"/>
                            <w:left w:val="none" w:sz="0" w:space="0" w:color="auto"/>
                            <w:bottom w:val="none" w:sz="0" w:space="0" w:color="auto"/>
                            <w:right w:val="none" w:sz="0" w:space="0" w:color="auto"/>
                          </w:divBdr>
                        </w:div>
                      </w:divsChild>
                    </w:div>
                    <w:div w:id="294143945">
                      <w:marLeft w:val="0"/>
                      <w:marRight w:val="0"/>
                      <w:marTop w:val="0"/>
                      <w:marBottom w:val="0"/>
                      <w:divBdr>
                        <w:top w:val="none" w:sz="0" w:space="0" w:color="auto"/>
                        <w:left w:val="none" w:sz="0" w:space="0" w:color="auto"/>
                        <w:bottom w:val="none" w:sz="0" w:space="0" w:color="auto"/>
                        <w:right w:val="none" w:sz="0" w:space="0" w:color="auto"/>
                      </w:divBdr>
                      <w:divsChild>
                        <w:div w:id="294139669">
                          <w:marLeft w:val="0"/>
                          <w:marRight w:val="0"/>
                          <w:marTop w:val="0"/>
                          <w:marBottom w:val="0"/>
                          <w:divBdr>
                            <w:top w:val="none" w:sz="0" w:space="0" w:color="auto"/>
                            <w:left w:val="none" w:sz="0" w:space="0" w:color="auto"/>
                            <w:bottom w:val="none" w:sz="0" w:space="0" w:color="auto"/>
                            <w:right w:val="none" w:sz="0" w:space="0" w:color="auto"/>
                          </w:divBdr>
                        </w:div>
                      </w:divsChild>
                    </w:div>
                    <w:div w:id="294143953">
                      <w:marLeft w:val="0"/>
                      <w:marRight w:val="0"/>
                      <w:marTop w:val="0"/>
                      <w:marBottom w:val="0"/>
                      <w:divBdr>
                        <w:top w:val="none" w:sz="0" w:space="0" w:color="auto"/>
                        <w:left w:val="none" w:sz="0" w:space="0" w:color="auto"/>
                        <w:bottom w:val="none" w:sz="0" w:space="0" w:color="auto"/>
                        <w:right w:val="none" w:sz="0" w:space="0" w:color="auto"/>
                      </w:divBdr>
                    </w:div>
                    <w:div w:id="294144038">
                      <w:marLeft w:val="0"/>
                      <w:marRight w:val="0"/>
                      <w:marTop w:val="0"/>
                      <w:marBottom w:val="0"/>
                      <w:divBdr>
                        <w:top w:val="none" w:sz="0" w:space="0" w:color="auto"/>
                        <w:left w:val="none" w:sz="0" w:space="0" w:color="auto"/>
                        <w:bottom w:val="none" w:sz="0" w:space="0" w:color="auto"/>
                        <w:right w:val="none" w:sz="0" w:space="0" w:color="auto"/>
                      </w:divBdr>
                    </w:div>
                    <w:div w:id="294144058">
                      <w:marLeft w:val="0"/>
                      <w:marRight w:val="0"/>
                      <w:marTop w:val="0"/>
                      <w:marBottom w:val="0"/>
                      <w:divBdr>
                        <w:top w:val="none" w:sz="0" w:space="0" w:color="auto"/>
                        <w:left w:val="none" w:sz="0" w:space="0" w:color="auto"/>
                        <w:bottom w:val="none" w:sz="0" w:space="0" w:color="auto"/>
                        <w:right w:val="none" w:sz="0" w:space="0" w:color="auto"/>
                      </w:divBdr>
                      <w:divsChild>
                        <w:div w:id="294146712">
                          <w:marLeft w:val="0"/>
                          <w:marRight w:val="0"/>
                          <w:marTop w:val="0"/>
                          <w:marBottom w:val="0"/>
                          <w:divBdr>
                            <w:top w:val="none" w:sz="0" w:space="0" w:color="auto"/>
                            <w:left w:val="none" w:sz="0" w:space="0" w:color="auto"/>
                            <w:bottom w:val="none" w:sz="0" w:space="0" w:color="auto"/>
                            <w:right w:val="none" w:sz="0" w:space="0" w:color="auto"/>
                          </w:divBdr>
                        </w:div>
                      </w:divsChild>
                    </w:div>
                    <w:div w:id="294144074">
                      <w:marLeft w:val="0"/>
                      <w:marRight w:val="0"/>
                      <w:marTop w:val="0"/>
                      <w:marBottom w:val="0"/>
                      <w:divBdr>
                        <w:top w:val="none" w:sz="0" w:space="0" w:color="auto"/>
                        <w:left w:val="none" w:sz="0" w:space="0" w:color="auto"/>
                        <w:bottom w:val="none" w:sz="0" w:space="0" w:color="auto"/>
                        <w:right w:val="none" w:sz="0" w:space="0" w:color="auto"/>
                      </w:divBdr>
                      <w:divsChild>
                        <w:div w:id="294145815">
                          <w:marLeft w:val="0"/>
                          <w:marRight w:val="0"/>
                          <w:marTop w:val="0"/>
                          <w:marBottom w:val="0"/>
                          <w:divBdr>
                            <w:top w:val="none" w:sz="0" w:space="0" w:color="auto"/>
                            <w:left w:val="none" w:sz="0" w:space="0" w:color="auto"/>
                            <w:bottom w:val="none" w:sz="0" w:space="0" w:color="auto"/>
                            <w:right w:val="none" w:sz="0" w:space="0" w:color="auto"/>
                          </w:divBdr>
                        </w:div>
                      </w:divsChild>
                    </w:div>
                    <w:div w:id="294144099">
                      <w:marLeft w:val="0"/>
                      <w:marRight w:val="0"/>
                      <w:marTop w:val="0"/>
                      <w:marBottom w:val="0"/>
                      <w:divBdr>
                        <w:top w:val="none" w:sz="0" w:space="0" w:color="auto"/>
                        <w:left w:val="none" w:sz="0" w:space="0" w:color="auto"/>
                        <w:bottom w:val="none" w:sz="0" w:space="0" w:color="auto"/>
                        <w:right w:val="none" w:sz="0" w:space="0" w:color="auto"/>
                      </w:divBdr>
                    </w:div>
                    <w:div w:id="294144112">
                      <w:marLeft w:val="0"/>
                      <w:marRight w:val="0"/>
                      <w:marTop w:val="0"/>
                      <w:marBottom w:val="0"/>
                      <w:divBdr>
                        <w:top w:val="none" w:sz="0" w:space="0" w:color="auto"/>
                        <w:left w:val="none" w:sz="0" w:space="0" w:color="auto"/>
                        <w:bottom w:val="none" w:sz="0" w:space="0" w:color="auto"/>
                        <w:right w:val="none" w:sz="0" w:space="0" w:color="auto"/>
                      </w:divBdr>
                    </w:div>
                    <w:div w:id="294144119">
                      <w:marLeft w:val="0"/>
                      <w:marRight w:val="0"/>
                      <w:marTop w:val="0"/>
                      <w:marBottom w:val="0"/>
                      <w:divBdr>
                        <w:top w:val="none" w:sz="0" w:space="0" w:color="auto"/>
                        <w:left w:val="none" w:sz="0" w:space="0" w:color="auto"/>
                        <w:bottom w:val="none" w:sz="0" w:space="0" w:color="auto"/>
                        <w:right w:val="none" w:sz="0" w:space="0" w:color="auto"/>
                      </w:divBdr>
                      <w:divsChild>
                        <w:div w:id="294149873">
                          <w:marLeft w:val="0"/>
                          <w:marRight w:val="0"/>
                          <w:marTop w:val="0"/>
                          <w:marBottom w:val="0"/>
                          <w:divBdr>
                            <w:top w:val="none" w:sz="0" w:space="0" w:color="auto"/>
                            <w:left w:val="none" w:sz="0" w:space="0" w:color="auto"/>
                            <w:bottom w:val="none" w:sz="0" w:space="0" w:color="auto"/>
                            <w:right w:val="none" w:sz="0" w:space="0" w:color="auto"/>
                          </w:divBdr>
                        </w:div>
                      </w:divsChild>
                    </w:div>
                    <w:div w:id="294144179">
                      <w:marLeft w:val="0"/>
                      <w:marRight w:val="0"/>
                      <w:marTop w:val="0"/>
                      <w:marBottom w:val="0"/>
                      <w:divBdr>
                        <w:top w:val="none" w:sz="0" w:space="0" w:color="auto"/>
                        <w:left w:val="none" w:sz="0" w:space="0" w:color="auto"/>
                        <w:bottom w:val="none" w:sz="0" w:space="0" w:color="auto"/>
                        <w:right w:val="none" w:sz="0" w:space="0" w:color="auto"/>
                      </w:divBdr>
                    </w:div>
                    <w:div w:id="294144182">
                      <w:marLeft w:val="0"/>
                      <w:marRight w:val="0"/>
                      <w:marTop w:val="0"/>
                      <w:marBottom w:val="0"/>
                      <w:divBdr>
                        <w:top w:val="none" w:sz="0" w:space="0" w:color="auto"/>
                        <w:left w:val="none" w:sz="0" w:space="0" w:color="auto"/>
                        <w:bottom w:val="none" w:sz="0" w:space="0" w:color="auto"/>
                        <w:right w:val="none" w:sz="0" w:space="0" w:color="auto"/>
                      </w:divBdr>
                      <w:divsChild>
                        <w:div w:id="294148844">
                          <w:marLeft w:val="0"/>
                          <w:marRight w:val="0"/>
                          <w:marTop w:val="0"/>
                          <w:marBottom w:val="0"/>
                          <w:divBdr>
                            <w:top w:val="none" w:sz="0" w:space="0" w:color="auto"/>
                            <w:left w:val="none" w:sz="0" w:space="0" w:color="auto"/>
                            <w:bottom w:val="none" w:sz="0" w:space="0" w:color="auto"/>
                            <w:right w:val="none" w:sz="0" w:space="0" w:color="auto"/>
                          </w:divBdr>
                        </w:div>
                      </w:divsChild>
                    </w:div>
                    <w:div w:id="294144195">
                      <w:marLeft w:val="0"/>
                      <w:marRight w:val="0"/>
                      <w:marTop w:val="0"/>
                      <w:marBottom w:val="0"/>
                      <w:divBdr>
                        <w:top w:val="none" w:sz="0" w:space="0" w:color="auto"/>
                        <w:left w:val="none" w:sz="0" w:space="0" w:color="auto"/>
                        <w:bottom w:val="none" w:sz="0" w:space="0" w:color="auto"/>
                        <w:right w:val="none" w:sz="0" w:space="0" w:color="auto"/>
                      </w:divBdr>
                    </w:div>
                    <w:div w:id="294144228">
                      <w:marLeft w:val="0"/>
                      <w:marRight w:val="0"/>
                      <w:marTop w:val="0"/>
                      <w:marBottom w:val="0"/>
                      <w:divBdr>
                        <w:top w:val="none" w:sz="0" w:space="0" w:color="auto"/>
                        <w:left w:val="none" w:sz="0" w:space="0" w:color="auto"/>
                        <w:bottom w:val="none" w:sz="0" w:space="0" w:color="auto"/>
                        <w:right w:val="none" w:sz="0" w:space="0" w:color="auto"/>
                      </w:divBdr>
                      <w:divsChild>
                        <w:div w:id="294145967">
                          <w:marLeft w:val="0"/>
                          <w:marRight w:val="0"/>
                          <w:marTop w:val="0"/>
                          <w:marBottom w:val="0"/>
                          <w:divBdr>
                            <w:top w:val="none" w:sz="0" w:space="0" w:color="auto"/>
                            <w:left w:val="none" w:sz="0" w:space="0" w:color="auto"/>
                            <w:bottom w:val="none" w:sz="0" w:space="0" w:color="auto"/>
                            <w:right w:val="none" w:sz="0" w:space="0" w:color="auto"/>
                          </w:divBdr>
                        </w:div>
                      </w:divsChild>
                    </w:div>
                    <w:div w:id="294144272">
                      <w:marLeft w:val="0"/>
                      <w:marRight w:val="0"/>
                      <w:marTop w:val="0"/>
                      <w:marBottom w:val="0"/>
                      <w:divBdr>
                        <w:top w:val="none" w:sz="0" w:space="0" w:color="auto"/>
                        <w:left w:val="none" w:sz="0" w:space="0" w:color="auto"/>
                        <w:bottom w:val="none" w:sz="0" w:space="0" w:color="auto"/>
                        <w:right w:val="none" w:sz="0" w:space="0" w:color="auto"/>
                      </w:divBdr>
                      <w:divsChild>
                        <w:div w:id="294150657">
                          <w:marLeft w:val="0"/>
                          <w:marRight w:val="0"/>
                          <w:marTop w:val="0"/>
                          <w:marBottom w:val="0"/>
                          <w:divBdr>
                            <w:top w:val="none" w:sz="0" w:space="0" w:color="auto"/>
                            <w:left w:val="none" w:sz="0" w:space="0" w:color="auto"/>
                            <w:bottom w:val="none" w:sz="0" w:space="0" w:color="auto"/>
                            <w:right w:val="none" w:sz="0" w:space="0" w:color="auto"/>
                          </w:divBdr>
                        </w:div>
                      </w:divsChild>
                    </w:div>
                    <w:div w:id="294144331">
                      <w:marLeft w:val="0"/>
                      <w:marRight w:val="0"/>
                      <w:marTop w:val="0"/>
                      <w:marBottom w:val="0"/>
                      <w:divBdr>
                        <w:top w:val="none" w:sz="0" w:space="0" w:color="auto"/>
                        <w:left w:val="none" w:sz="0" w:space="0" w:color="auto"/>
                        <w:bottom w:val="none" w:sz="0" w:space="0" w:color="auto"/>
                        <w:right w:val="none" w:sz="0" w:space="0" w:color="auto"/>
                      </w:divBdr>
                      <w:divsChild>
                        <w:div w:id="294156508">
                          <w:marLeft w:val="0"/>
                          <w:marRight w:val="0"/>
                          <w:marTop w:val="0"/>
                          <w:marBottom w:val="0"/>
                          <w:divBdr>
                            <w:top w:val="none" w:sz="0" w:space="0" w:color="auto"/>
                            <w:left w:val="none" w:sz="0" w:space="0" w:color="auto"/>
                            <w:bottom w:val="none" w:sz="0" w:space="0" w:color="auto"/>
                            <w:right w:val="none" w:sz="0" w:space="0" w:color="auto"/>
                          </w:divBdr>
                        </w:div>
                      </w:divsChild>
                    </w:div>
                    <w:div w:id="294144355">
                      <w:marLeft w:val="0"/>
                      <w:marRight w:val="0"/>
                      <w:marTop w:val="0"/>
                      <w:marBottom w:val="0"/>
                      <w:divBdr>
                        <w:top w:val="none" w:sz="0" w:space="0" w:color="auto"/>
                        <w:left w:val="none" w:sz="0" w:space="0" w:color="auto"/>
                        <w:bottom w:val="none" w:sz="0" w:space="0" w:color="auto"/>
                        <w:right w:val="none" w:sz="0" w:space="0" w:color="auto"/>
                      </w:divBdr>
                      <w:divsChild>
                        <w:div w:id="294150198">
                          <w:marLeft w:val="0"/>
                          <w:marRight w:val="0"/>
                          <w:marTop w:val="0"/>
                          <w:marBottom w:val="0"/>
                          <w:divBdr>
                            <w:top w:val="none" w:sz="0" w:space="0" w:color="auto"/>
                            <w:left w:val="none" w:sz="0" w:space="0" w:color="auto"/>
                            <w:bottom w:val="none" w:sz="0" w:space="0" w:color="auto"/>
                            <w:right w:val="none" w:sz="0" w:space="0" w:color="auto"/>
                          </w:divBdr>
                        </w:div>
                      </w:divsChild>
                    </w:div>
                    <w:div w:id="294144575">
                      <w:marLeft w:val="0"/>
                      <w:marRight w:val="0"/>
                      <w:marTop w:val="0"/>
                      <w:marBottom w:val="0"/>
                      <w:divBdr>
                        <w:top w:val="none" w:sz="0" w:space="0" w:color="auto"/>
                        <w:left w:val="none" w:sz="0" w:space="0" w:color="auto"/>
                        <w:bottom w:val="none" w:sz="0" w:space="0" w:color="auto"/>
                        <w:right w:val="none" w:sz="0" w:space="0" w:color="auto"/>
                      </w:divBdr>
                      <w:divsChild>
                        <w:div w:id="294140693">
                          <w:marLeft w:val="0"/>
                          <w:marRight w:val="0"/>
                          <w:marTop w:val="0"/>
                          <w:marBottom w:val="0"/>
                          <w:divBdr>
                            <w:top w:val="none" w:sz="0" w:space="0" w:color="auto"/>
                            <w:left w:val="none" w:sz="0" w:space="0" w:color="auto"/>
                            <w:bottom w:val="none" w:sz="0" w:space="0" w:color="auto"/>
                            <w:right w:val="none" w:sz="0" w:space="0" w:color="auto"/>
                          </w:divBdr>
                        </w:div>
                      </w:divsChild>
                    </w:div>
                    <w:div w:id="294144672">
                      <w:marLeft w:val="0"/>
                      <w:marRight w:val="0"/>
                      <w:marTop w:val="0"/>
                      <w:marBottom w:val="0"/>
                      <w:divBdr>
                        <w:top w:val="none" w:sz="0" w:space="0" w:color="auto"/>
                        <w:left w:val="none" w:sz="0" w:space="0" w:color="auto"/>
                        <w:bottom w:val="none" w:sz="0" w:space="0" w:color="auto"/>
                        <w:right w:val="none" w:sz="0" w:space="0" w:color="auto"/>
                      </w:divBdr>
                    </w:div>
                    <w:div w:id="294144746">
                      <w:marLeft w:val="0"/>
                      <w:marRight w:val="0"/>
                      <w:marTop w:val="0"/>
                      <w:marBottom w:val="0"/>
                      <w:divBdr>
                        <w:top w:val="none" w:sz="0" w:space="0" w:color="auto"/>
                        <w:left w:val="none" w:sz="0" w:space="0" w:color="auto"/>
                        <w:bottom w:val="none" w:sz="0" w:space="0" w:color="auto"/>
                        <w:right w:val="none" w:sz="0" w:space="0" w:color="auto"/>
                      </w:divBdr>
                      <w:divsChild>
                        <w:div w:id="294148261">
                          <w:marLeft w:val="0"/>
                          <w:marRight w:val="0"/>
                          <w:marTop w:val="0"/>
                          <w:marBottom w:val="0"/>
                          <w:divBdr>
                            <w:top w:val="none" w:sz="0" w:space="0" w:color="auto"/>
                            <w:left w:val="none" w:sz="0" w:space="0" w:color="auto"/>
                            <w:bottom w:val="none" w:sz="0" w:space="0" w:color="auto"/>
                            <w:right w:val="none" w:sz="0" w:space="0" w:color="auto"/>
                          </w:divBdr>
                        </w:div>
                      </w:divsChild>
                    </w:div>
                    <w:div w:id="294144748">
                      <w:marLeft w:val="0"/>
                      <w:marRight w:val="0"/>
                      <w:marTop w:val="0"/>
                      <w:marBottom w:val="0"/>
                      <w:divBdr>
                        <w:top w:val="none" w:sz="0" w:space="0" w:color="auto"/>
                        <w:left w:val="none" w:sz="0" w:space="0" w:color="auto"/>
                        <w:bottom w:val="none" w:sz="0" w:space="0" w:color="auto"/>
                        <w:right w:val="none" w:sz="0" w:space="0" w:color="auto"/>
                      </w:divBdr>
                      <w:divsChild>
                        <w:div w:id="294145577">
                          <w:marLeft w:val="0"/>
                          <w:marRight w:val="0"/>
                          <w:marTop w:val="0"/>
                          <w:marBottom w:val="0"/>
                          <w:divBdr>
                            <w:top w:val="none" w:sz="0" w:space="0" w:color="auto"/>
                            <w:left w:val="none" w:sz="0" w:space="0" w:color="auto"/>
                            <w:bottom w:val="none" w:sz="0" w:space="0" w:color="auto"/>
                            <w:right w:val="none" w:sz="0" w:space="0" w:color="auto"/>
                          </w:divBdr>
                        </w:div>
                      </w:divsChild>
                    </w:div>
                    <w:div w:id="294144823">
                      <w:marLeft w:val="0"/>
                      <w:marRight w:val="0"/>
                      <w:marTop w:val="0"/>
                      <w:marBottom w:val="0"/>
                      <w:divBdr>
                        <w:top w:val="none" w:sz="0" w:space="0" w:color="auto"/>
                        <w:left w:val="none" w:sz="0" w:space="0" w:color="auto"/>
                        <w:bottom w:val="none" w:sz="0" w:space="0" w:color="auto"/>
                        <w:right w:val="none" w:sz="0" w:space="0" w:color="auto"/>
                      </w:divBdr>
                    </w:div>
                    <w:div w:id="294144889">
                      <w:marLeft w:val="0"/>
                      <w:marRight w:val="0"/>
                      <w:marTop w:val="0"/>
                      <w:marBottom w:val="0"/>
                      <w:divBdr>
                        <w:top w:val="none" w:sz="0" w:space="0" w:color="auto"/>
                        <w:left w:val="none" w:sz="0" w:space="0" w:color="auto"/>
                        <w:bottom w:val="none" w:sz="0" w:space="0" w:color="auto"/>
                        <w:right w:val="none" w:sz="0" w:space="0" w:color="auto"/>
                      </w:divBdr>
                      <w:divsChild>
                        <w:div w:id="294143974">
                          <w:marLeft w:val="0"/>
                          <w:marRight w:val="0"/>
                          <w:marTop w:val="0"/>
                          <w:marBottom w:val="0"/>
                          <w:divBdr>
                            <w:top w:val="none" w:sz="0" w:space="0" w:color="auto"/>
                            <w:left w:val="none" w:sz="0" w:space="0" w:color="auto"/>
                            <w:bottom w:val="none" w:sz="0" w:space="0" w:color="auto"/>
                            <w:right w:val="none" w:sz="0" w:space="0" w:color="auto"/>
                          </w:divBdr>
                        </w:div>
                      </w:divsChild>
                    </w:div>
                    <w:div w:id="294144905">
                      <w:marLeft w:val="0"/>
                      <w:marRight w:val="0"/>
                      <w:marTop w:val="0"/>
                      <w:marBottom w:val="0"/>
                      <w:divBdr>
                        <w:top w:val="none" w:sz="0" w:space="0" w:color="auto"/>
                        <w:left w:val="none" w:sz="0" w:space="0" w:color="auto"/>
                        <w:bottom w:val="none" w:sz="0" w:space="0" w:color="auto"/>
                        <w:right w:val="none" w:sz="0" w:space="0" w:color="auto"/>
                      </w:divBdr>
                      <w:divsChild>
                        <w:div w:id="294153714">
                          <w:marLeft w:val="0"/>
                          <w:marRight w:val="0"/>
                          <w:marTop w:val="0"/>
                          <w:marBottom w:val="0"/>
                          <w:divBdr>
                            <w:top w:val="none" w:sz="0" w:space="0" w:color="auto"/>
                            <w:left w:val="none" w:sz="0" w:space="0" w:color="auto"/>
                            <w:bottom w:val="none" w:sz="0" w:space="0" w:color="auto"/>
                            <w:right w:val="none" w:sz="0" w:space="0" w:color="auto"/>
                          </w:divBdr>
                        </w:div>
                      </w:divsChild>
                    </w:div>
                    <w:div w:id="294144908">
                      <w:marLeft w:val="0"/>
                      <w:marRight w:val="0"/>
                      <w:marTop w:val="0"/>
                      <w:marBottom w:val="0"/>
                      <w:divBdr>
                        <w:top w:val="none" w:sz="0" w:space="0" w:color="auto"/>
                        <w:left w:val="none" w:sz="0" w:space="0" w:color="auto"/>
                        <w:bottom w:val="none" w:sz="0" w:space="0" w:color="auto"/>
                        <w:right w:val="none" w:sz="0" w:space="0" w:color="auto"/>
                      </w:divBdr>
                      <w:divsChild>
                        <w:div w:id="294156861">
                          <w:marLeft w:val="0"/>
                          <w:marRight w:val="0"/>
                          <w:marTop w:val="0"/>
                          <w:marBottom w:val="0"/>
                          <w:divBdr>
                            <w:top w:val="none" w:sz="0" w:space="0" w:color="auto"/>
                            <w:left w:val="none" w:sz="0" w:space="0" w:color="auto"/>
                            <w:bottom w:val="none" w:sz="0" w:space="0" w:color="auto"/>
                            <w:right w:val="none" w:sz="0" w:space="0" w:color="auto"/>
                          </w:divBdr>
                        </w:div>
                      </w:divsChild>
                    </w:div>
                    <w:div w:id="294144926">
                      <w:marLeft w:val="0"/>
                      <w:marRight w:val="0"/>
                      <w:marTop w:val="0"/>
                      <w:marBottom w:val="0"/>
                      <w:divBdr>
                        <w:top w:val="none" w:sz="0" w:space="0" w:color="auto"/>
                        <w:left w:val="none" w:sz="0" w:space="0" w:color="auto"/>
                        <w:bottom w:val="none" w:sz="0" w:space="0" w:color="auto"/>
                        <w:right w:val="none" w:sz="0" w:space="0" w:color="auto"/>
                      </w:divBdr>
                    </w:div>
                    <w:div w:id="294144980">
                      <w:marLeft w:val="0"/>
                      <w:marRight w:val="0"/>
                      <w:marTop w:val="0"/>
                      <w:marBottom w:val="0"/>
                      <w:divBdr>
                        <w:top w:val="none" w:sz="0" w:space="0" w:color="auto"/>
                        <w:left w:val="none" w:sz="0" w:space="0" w:color="auto"/>
                        <w:bottom w:val="none" w:sz="0" w:space="0" w:color="auto"/>
                        <w:right w:val="none" w:sz="0" w:space="0" w:color="auto"/>
                      </w:divBdr>
                      <w:divsChild>
                        <w:div w:id="294156075">
                          <w:marLeft w:val="0"/>
                          <w:marRight w:val="0"/>
                          <w:marTop w:val="0"/>
                          <w:marBottom w:val="0"/>
                          <w:divBdr>
                            <w:top w:val="none" w:sz="0" w:space="0" w:color="auto"/>
                            <w:left w:val="none" w:sz="0" w:space="0" w:color="auto"/>
                            <w:bottom w:val="none" w:sz="0" w:space="0" w:color="auto"/>
                            <w:right w:val="none" w:sz="0" w:space="0" w:color="auto"/>
                          </w:divBdr>
                        </w:div>
                      </w:divsChild>
                    </w:div>
                    <w:div w:id="294145099">
                      <w:marLeft w:val="0"/>
                      <w:marRight w:val="0"/>
                      <w:marTop w:val="0"/>
                      <w:marBottom w:val="0"/>
                      <w:divBdr>
                        <w:top w:val="none" w:sz="0" w:space="0" w:color="auto"/>
                        <w:left w:val="none" w:sz="0" w:space="0" w:color="auto"/>
                        <w:bottom w:val="none" w:sz="0" w:space="0" w:color="auto"/>
                        <w:right w:val="none" w:sz="0" w:space="0" w:color="auto"/>
                      </w:divBdr>
                    </w:div>
                    <w:div w:id="294145111">
                      <w:marLeft w:val="0"/>
                      <w:marRight w:val="0"/>
                      <w:marTop w:val="0"/>
                      <w:marBottom w:val="0"/>
                      <w:divBdr>
                        <w:top w:val="none" w:sz="0" w:space="0" w:color="auto"/>
                        <w:left w:val="none" w:sz="0" w:space="0" w:color="auto"/>
                        <w:bottom w:val="none" w:sz="0" w:space="0" w:color="auto"/>
                        <w:right w:val="none" w:sz="0" w:space="0" w:color="auto"/>
                      </w:divBdr>
                    </w:div>
                    <w:div w:id="294145146">
                      <w:marLeft w:val="0"/>
                      <w:marRight w:val="0"/>
                      <w:marTop w:val="0"/>
                      <w:marBottom w:val="0"/>
                      <w:divBdr>
                        <w:top w:val="none" w:sz="0" w:space="0" w:color="auto"/>
                        <w:left w:val="none" w:sz="0" w:space="0" w:color="auto"/>
                        <w:bottom w:val="none" w:sz="0" w:space="0" w:color="auto"/>
                        <w:right w:val="none" w:sz="0" w:space="0" w:color="auto"/>
                      </w:divBdr>
                      <w:divsChild>
                        <w:div w:id="294150066">
                          <w:marLeft w:val="0"/>
                          <w:marRight w:val="0"/>
                          <w:marTop w:val="0"/>
                          <w:marBottom w:val="0"/>
                          <w:divBdr>
                            <w:top w:val="none" w:sz="0" w:space="0" w:color="auto"/>
                            <w:left w:val="none" w:sz="0" w:space="0" w:color="auto"/>
                            <w:bottom w:val="none" w:sz="0" w:space="0" w:color="auto"/>
                            <w:right w:val="none" w:sz="0" w:space="0" w:color="auto"/>
                          </w:divBdr>
                        </w:div>
                      </w:divsChild>
                    </w:div>
                    <w:div w:id="294145254">
                      <w:marLeft w:val="0"/>
                      <w:marRight w:val="0"/>
                      <w:marTop w:val="0"/>
                      <w:marBottom w:val="0"/>
                      <w:divBdr>
                        <w:top w:val="none" w:sz="0" w:space="0" w:color="auto"/>
                        <w:left w:val="none" w:sz="0" w:space="0" w:color="auto"/>
                        <w:bottom w:val="none" w:sz="0" w:space="0" w:color="auto"/>
                        <w:right w:val="none" w:sz="0" w:space="0" w:color="auto"/>
                      </w:divBdr>
                    </w:div>
                    <w:div w:id="294145261">
                      <w:marLeft w:val="0"/>
                      <w:marRight w:val="0"/>
                      <w:marTop w:val="0"/>
                      <w:marBottom w:val="0"/>
                      <w:divBdr>
                        <w:top w:val="none" w:sz="0" w:space="0" w:color="auto"/>
                        <w:left w:val="none" w:sz="0" w:space="0" w:color="auto"/>
                        <w:bottom w:val="none" w:sz="0" w:space="0" w:color="auto"/>
                        <w:right w:val="none" w:sz="0" w:space="0" w:color="auto"/>
                      </w:divBdr>
                    </w:div>
                    <w:div w:id="294145319">
                      <w:marLeft w:val="0"/>
                      <w:marRight w:val="0"/>
                      <w:marTop w:val="0"/>
                      <w:marBottom w:val="0"/>
                      <w:divBdr>
                        <w:top w:val="none" w:sz="0" w:space="0" w:color="auto"/>
                        <w:left w:val="none" w:sz="0" w:space="0" w:color="auto"/>
                        <w:bottom w:val="none" w:sz="0" w:space="0" w:color="auto"/>
                        <w:right w:val="none" w:sz="0" w:space="0" w:color="auto"/>
                      </w:divBdr>
                      <w:divsChild>
                        <w:div w:id="294154851">
                          <w:marLeft w:val="0"/>
                          <w:marRight w:val="0"/>
                          <w:marTop w:val="0"/>
                          <w:marBottom w:val="0"/>
                          <w:divBdr>
                            <w:top w:val="none" w:sz="0" w:space="0" w:color="auto"/>
                            <w:left w:val="none" w:sz="0" w:space="0" w:color="auto"/>
                            <w:bottom w:val="none" w:sz="0" w:space="0" w:color="auto"/>
                            <w:right w:val="none" w:sz="0" w:space="0" w:color="auto"/>
                          </w:divBdr>
                        </w:div>
                      </w:divsChild>
                    </w:div>
                    <w:div w:id="294145344">
                      <w:marLeft w:val="0"/>
                      <w:marRight w:val="0"/>
                      <w:marTop w:val="0"/>
                      <w:marBottom w:val="0"/>
                      <w:divBdr>
                        <w:top w:val="none" w:sz="0" w:space="0" w:color="auto"/>
                        <w:left w:val="none" w:sz="0" w:space="0" w:color="auto"/>
                        <w:bottom w:val="none" w:sz="0" w:space="0" w:color="auto"/>
                        <w:right w:val="none" w:sz="0" w:space="0" w:color="auto"/>
                      </w:divBdr>
                    </w:div>
                    <w:div w:id="294145356">
                      <w:marLeft w:val="0"/>
                      <w:marRight w:val="0"/>
                      <w:marTop w:val="0"/>
                      <w:marBottom w:val="0"/>
                      <w:divBdr>
                        <w:top w:val="none" w:sz="0" w:space="0" w:color="auto"/>
                        <w:left w:val="none" w:sz="0" w:space="0" w:color="auto"/>
                        <w:bottom w:val="none" w:sz="0" w:space="0" w:color="auto"/>
                        <w:right w:val="none" w:sz="0" w:space="0" w:color="auto"/>
                      </w:divBdr>
                    </w:div>
                    <w:div w:id="294145409">
                      <w:marLeft w:val="0"/>
                      <w:marRight w:val="0"/>
                      <w:marTop w:val="0"/>
                      <w:marBottom w:val="0"/>
                      <w:divBdr>
                        <w:top w:val="none" w:sz="0" w:space="0" w:color="auto"/>
                        <w:left w:val="none" w:sz="0" w:space="0" w:color="auto"/>
                        <w:bottom w:val="none" w:sz="0" w:space="0" w:color="auto"/>
                        <w:right w:val="none" w:sz="0" w:space="0" w:color="auto"/>
                      </w:divBdr>
                    </w:div>
                    <w:div w:id="294145426">
                      <w:marLeft w:val="0"/>
                      <w:marRight w:val="0"/>
                      <w:marTop w:val="0"/>
                      <w:marBottom w:val="0"/>
                      <w:divBdr>
                        <w:top w:val="none" w:sz="0" w:space="0" w:color="auto"/>
                        <w:left w:val="none" w:sz="0" w:space="0" w:color="auto"/>
                        <w:bottom w:val="none" w:sz="0" w:space="0" w:color="auto"/>
                        <w:right w:val="none" w:sz="0" w:space="0" w:color="auto"/>
                      </w:divBdr>
                      <w:divsChild>
                        <w:div w:id="294143151">
                          <w:marLeft w:val="0"/>
                          <w:marRight w:val="0"/>
                          <w:marTop w:val="0"/>
                          <w:marBottom w:val="0"/>
                          <w:divBdr>
                            <w:top w:val="none" w:sz="0" w:space="0" w:color="auto"/>
                            <w:left w:val="none" w:sz="0" w:space="0" w:color="auto"/>
                            <w:bottom w:val="none" w:sz="0" w:space="0" w:color="auto"/>
                            <w:right w:val="none" w:sz="0" w:space="0" w:color="auto"/>
                          </w:divBdr>
                        </w:div>
                      </w:divsChild>
                    </w:div>
                    <w:div w:id="294145459">
                      <w:marLeft w:val="0"/>
                      <w:marRight w:val="0"/>
                      <w:marTop w:val="0"/>
                      <w:marBottom w:val="0"/>
                      <w:divBdr>
                        <w:top w:val="none" w:sz="0" w:space="0" w:color="auto"/>
                        <w:left w:val="none" w:sz="0" w:space="0" w:color="auto"/>
                        <w:bottom w:val="none" w:sz="0" w:space="0" w:color="auto"/>
                        <w:right w:val="none" w:sz="0" w:space="0" w:color="auto"/>
                      </w:divBdr>
                    </w:div>
                    <w:div w:id="294145473">
                      <w:marLeft w:val="0"/>
                      <w:marRight w:val="0"/>
                      <w:marTop w:val="0"/>
                      <w:marBottom w:val="0"/>
                      <w:divBdr>
                        <w:top w:val="none" w:sz="0" w:space="0" w:color="auto"/>
                        <w:left w:val="none" w:sz="0" w:space="0" w:color="auto"/>
                        <w:bottom w:val="none" w:sz="0" w:space="0" w:color="auto"/>
                        <w:right w:val="none" w:sz="0" w:space="0" w:color="auto"/>
                      </w:divBdr>
                      <w:divsChild>
                        <w:div w:id="294141782">
                          <w:marLeft w:val="0"/>
                          <w:marRight w:val="0"/>
                          <w:marTop w:val="0"/>
                          <w:marBottom w:val="0"/>
                          <w:divBdr>
                            <w:top w:val="none" w:sz="0" w:space="0" w:color="auto"/>
                            <w:left w:val="none" w:sz="0" w:space="0" w:color="auto"/>
                            <w:bottom w:val="none" w:sz="0" w:space="0" w:color="auto"/>
                            <w:right w:val="none" w:sz="0" w:space="0" w:color="auto"/>
                          </w:divBdr>
                        </w:div>
                      </w:divsChild>
                    </w:div>
                    <w:div w:id="294145562">
                      <w:marLeft w:val="0"/>
                      <w:marRight w:val="0"/>
                      <w:marTop w:val="0"/>
                      <w:marBottom w:val="0"/>
                      <w:divBdr>
                        <w:top w:val="none" w:sz="0" w:space="0" w:color="auto"/>
                        <w:left w:val="none" w:sz="0" w:space="0" w:color="auto"/>
                        <w:bottom w:val="none" w:sz="0" w:space="0" w:color="auto"/>
                        <w:right w:val="none" w:sz="0" w:space="0" w:color="auto"/>
                      </w:divBdr>
                      <w:divsChild>
                        <w:div w:id="294140648">
                          <w:marLeft w:val="0"/>
                          <w:marRight w:val="0"/>
                          <w:marTop w:val="0"/>
                          <w:marBottom w:val="0"/>
                          <w:divBdr>
                            <w:top w:val="none" w:sz="0" w:space="0" w:color="auto"/>
                            <w:left w:val="none" w:sz="0" w:space="0" w:color="auto"/>
                            <w:bottom w:val="none" w:sz="0" w:space="0" w:color="auto"/>
                            <w:right w:val="none" w:sz="0" w:space="0" w:color="auto"/>
                          </w:divBdr>
                        </w:div>
                      </w:divsChild>
                    </w:div>
                    <w:div w:id="294145684">
                      <w:marLeft w:val="0"/>
                      <w:marRight w:val="0"/>
                      <w:marTop w:val="0"/>
                      <w:marBottom w:val="0"/>
                      <w:divBdr>
                        <w:top w:val="none" w:sz="0" w:space="0" w:color="auto"/>
                        <w:left w:val="none" w:sz="0" w:space="0" w:color="auto"/>
                        <w:bottom w:val="none" w:sz="0" w:space="0" w:color="auto"/>
                        <w:right w:val="none" w:sz="0" w:space="0" w:color="auto"/>
                      </w:divBdr>
                      <w:divsChild>
                        <w:div w:id="294155388">
                          <w:marLeft w:val="0"/>
                          <w:marRight w:val="0"/>
                          <w:marTop w:val="0"/>
                          <w:marBottom w:val="0"/>
                          <w:divBdr>
                            <w:top w:val="none" w:sz="0" w:space="0" w:color="auto"/>
                            <w:left w:val="none" w:sz="0" w:space="0" w:color="auto"/>
                            <w:bottom w:val="none" w:sz="0" w:space="0" w:color="auto"/>
                            <w:right w:val="none" w:sz="0" w:space="0" w:color="auto"/>
                          </w:divBdr>
                        </w:div>
                      </w:divsChild>
                    </w:div>
                    <w:div w:id="294145783">
                      <w:marLeft w:val="0"/>
                      <w:marRight w:val="0"/>
                      <w:marTop w:val="0"/>
                      <w:marBottom w:val="0"/>
                      <w:divBdr>
                        <w:top w:val="none" w:sz="0" w:space="0" w:color="auto"/>
                        <w:left w:val="none" w:sz="0" w:space="0" w:color="auto"/>
                        <w:bottom w:val="none" w:sz="0" w:space="0" w:color="auto"/>
                        <w:right w:val="none" w:sz="0" w:space="0" w:color="auto"/>
                      </w:divBdr>
                    </w:div>
                    <w:div w:id="294145842">
                      <w:marLeft w:val="0"/>
                      <w:marRight w:val="0"/>
                      <w:marTop w:val="0"/>
                      <w:marBottom w:val="0"/>
                      <w:divBdr>
                        <w:top w:val="none" w:sz="0" w:space="0" w:color="auto"/>
                        <w:left w:val="none" w:sz="0" w:space="0" w:color="auto"/>
                        <w:bottom w:val="none" w:sz="0" w:space="0" w:color="auto"/>
                        <w:right w:val="none" w:sz="0" w:space="0" w:color="auto"/>
                      </w:divBdr>
                    </w:div>
                    <w:div w:id="294145941">
                      <w:marLeft w:val="0"/>
                      <w:marRight w:val="0"/>
                      <w:marTop w:val="0"/>
                      <w:marBottom w:val="0"/>
                      <w:divBdr>
                        <w:top w:val="none" w:sz="0" w:space="0" w:color="auto"/>
                        <w:left w:val="none" w:sz="0" w:space="0" w:color="auto"/>
                        <w:bottom w:val="none" w:sz="0" w:space="0" w:color="auto"/>
                        <w:right w:val="none" w:sz="0" w:space="0" w:color="auto"/>
                      </w:divBdr>
                    </w:div>
                    <w:div w:id="294145950">
                      <w:marLeft w:val="0"/>
                      <w:marRight w:val="0"/>
                      <w:marTop w:val="0"/>
                      <w:marBottom w:val="0"/>
                      <w:divBdr>
                        <w:top w:val="none" w:sz="0" w:space="0" w:color="auto"/>
                        <w:left w:val="none" w:sz="0" w:space="0" w:color="auto"/>
                        <w:bottom w:val="none" w:sz="0" w:space="0" w:color="auto"/>
                        <w:right w:val="none" w:sz="0" w:space="0" w:color="auto"/>
                      </w:divBdr>
                      <w:divsChild>
                        <w:div w:id="294155311">
                          <w:marLeft w:val="0"/>
                          <w:marRight w:val="0"/>
                          <w:marTop w:val="0"/>
                          <w:marBottom w:val="0"/>
                          <w:divBdr>
                            <w:top w:val="none" w:sz="0" w:space="0" w:color="auto"/>
                            <w:left w:val="none" w:sz="0" w:space="0" w:color="auto"/>
                            <w:bottom w:val="none" w:sz="0" w:space="0" w:color="auto"/>
                            <w:right w:val="none" w:sz="0" w:space="0" w:color="auto"/>
                          </w:divBdr>
                        </w:div>
                      </w:divsChild>
                    </w:div>
                    <w:div w:id="294145981">
                      <w:marLeft w:val="0"/>
                      <w:marRight w:val="0"/>
                      <w:marTop w:val="0"/>
                      <w:marBottom w:val="0"/>
                      <w:divBdr>
                        <w:top w:val="none" w:sz="0" w:space="0" w:color="auto"/>
                        <w:left w:val="none" w:sz="0" w:space="0" w:color="auto"/>
                        <w:bottom w:val="none" w:sz="0" w:space="0" w:color="auto"/>
                        <w:right w:val="none" w:sz="0" w:space="0" w:color="auto"/>
                      </w:divBdr>
                      <w:divsChild>
                        <w:div w:id="294152960">
                          <w:marLeft w:val="0"/>
                          <w:marRight w:val="0"/>
                          <w:marTop w:val="0"/>
                          <w:marBottom w:val="0"/>
                          <w:divBdr>
                            <w:top w:val="none" w:sz="0" w:space="0" w:color="auto"/>
                            <w:left w:val="none" w:sz="0" w:space="0" w:color="auto"/>
                            <w:bottom w:val="none" w:sz="0" w:space="0" w:color="auto"/>
                            <w:right w:val="none" w:sz="0" w:space="0" w:color="auto"/>
                          </w:divBdr>
                        </w:div>
                      </w:divsChild>
                    </w:div>
                    <w:div w:id="294145987">
                      <w:marLeft w:val="0"/>
                      <w:marRight w:val="0"/>
                      <w:marTop w:val="0"/>
                      <w:marBottom w:val="0"/>
                      <w:divBdr>
                        <w:top w:val="none" w:sz="0" w:space="0" w:color="auto"/>
                        <w:left w:val="none" w:sz="0" w:space="0" w:color="auto"/>
                        <w:bottom w:val="none" w:sz="0" w:space="0" w:color="auto"/>
                        <w:right w:val="none" w:sz="0" w:space="0" w:color="auto"/>
                      </w:divBdr>
                      <w:divsChild>
                        <w:div w:id="294154383">
                          <w:marLeft w:val="0"/>
                          <w:marRight w:val="0"/>
                          <w:marTop w:val="0"/>
                          <w:marBottom w:val="0"/>
                          <w:divBdr>
                            <w:top w:val="none" w:sz="0" w:space="0" w:color="auto"/>
                            <w:left w:val="none" w:sz="0" w:space="0" w:color="auto"/>
                            <w:bottom w:val="none" w:sz="0" w:space="0" w:color="auto"/>
                            <w:right w:val="none" w:sz="0" w:space="0" w:color="auto"/>
                          </w:divBdr>
                        </w:div>
                      </w:divsChild>
                    </w:div>
                    <w:div w:id="294146006">
                      <w:marLeft w:val="0"/>
                      <w:marRight w:val="0"/>
                      <w:marTop w:val="0"/>
                      <w:marBottom w:val="0"/>
                      <w:divBdr>
                        <w:top w:val="none" w:sz="0" w:space="0" w:color="auto"/>
                        <w:left w:val="none" w:sz="0" w:space="0" w:color="auto"/>
                        <w:bottom w:val="none" w:sz="0" w:space="0" w:color="auto"/>
                        <w:right w:val="none" w:sz="0" w:space="0" w:color="auto"/>
                      </w:divBdr>
                    </w:div>
                    <w:div w:id="294146149">
                      <w:marLeft w:val="0"/>
                      <w:marRight w:val="0"/>
                      <w:marTop w:val="0"/>
                      <w:marBottom w:val="0"/>
                      <w:divBdr>
                        <w:top w:val="none" w:sz="0" w:space="0" w:color="auto"/>
                        <w:left w:val="none" w:sz="0" w:space="0" w:color="auto"/>
                        <w:bottom w:val="none" w:sz="0" w:space="0" w:color="auto"/>
                        <w:right w:val="none" w:sz="0" w:space="0" w:color="auto"/>
                      </w:divBdr>
                      <w:divsChild>
                        <w:div w:id="294140103">
                          <w:marLeft w:val="0"/>
                          <w:marRight w:val="0"/>
                          <w:marTop w:val="0"/>
                          <w:marBottom w:val="0"/>
                          <w:divBdr>
                            <w:top w:val="none" w:sz="0" w:space="0" w:color="auto"/>
                            <w:left w:val="none" w:sz="0" w:space="0" w:color="auto"/>
                            <w:bottom w:val="none" w:sz="0" w:space="0" w:color="auto"/>
                            <w:right w:val="none" w:sz="0" w:space="0" w:color="auto"/>
                          </w:divBdr>
                        </w:div>
                      </w:divsChild>
                    </w:div>
                    <w:div w:id="294146152">
                      <w:marLeft w:val="0"/>
                      <w:marRight w:val="0"/>
                      <w:marTop w:val="0"/>
                      <w:marBottom w:val="0"/>
                      <w:divBdr>
                        <w:top w:val="none" w:sz="0" w:space="0" w:color="auto"/>
                        <w:left w:val="none" w:sz="0" w:space="0" w:color="auto"/>
                        <w:bottom w:val="none" w:sz="0" w:space="0" w:color="auto"/>
                        <w:right w:val="none" w:sz="0" w:space="0" w:color="auto"/>
                      </w:divBdr>
                    </w:div>
                    <w:div w:id="294146228">
                      <w:marLeft w:val="0"/>
                      <w:marRight w:val="0"/>
                      <w:marTop w:val="0"/>
                      <w:marBottom w:val="0"/>
                      <w:divBdr>
                        <w:top w:val="none" w:sz="0" w:space="0" w:color="auto"/>
                        <w:left w:val="none" w:sz="0" w:space="0" w:color="auto"/>
                        <w:bottom w:val="none" w:sz="0" w:space="0" w:color="auto"/>
                        <w:right w:val="none" w:sz="0" w:space="0" w:color="auto"/>
                      </w:divBdr>
                    </w:div>
                    <w:div w:id="294146466">
                      <w:marLeft w:val="0"/>
                      <w:marRight w:val="0"/>
                      <w:marTop w:val="0"/>
                      <w:marBottom w:val="0"/>
                      <w:divBdr>
                        <w:top w:val="none" w:sz="0" w:space="0" w:color="auto"/>
                        <w:left w:val="none" w:sz="0" w:space="0" w:color="auto"/>
                        <w:bottom w:val="none" w:sz="0" w:space="0" w:color="auto"/>
                        <w:right w:val="none" w:sz="0" w:space="0" w:color="auto"/>
                      </w:divBdr>
                      <w:divsChild>
                        <w:div w:id="294153819">
                          <w:marLeft w:val="0"/>
                          <w:marRight w:val="0"/>
                          <w:marTop w:val="0"/>
                          <w:marBottom w:val="0"/>
                          <w:divBdr>
                            <w:top w:val="none" w:sz="0" w:space="0" w:color="auto"/>
                            <w:left w:val="none" w:sz="0" w:space="0" w:color="auto"/>
                            <w:bottom w:val="none" w:sz="0" w:space="0" w:color="auto"/>
                            <w:right w:val="none" w:sz="0" w:space="0" w:color="auto"/>
                          </w:divBdr>
                        </w:div>
                      </w:divsChild>
                    </w:div>
                    <w:div w:id="294146505">
                      <w:marLeft w:val="0"/>
                      <w:marRight w:val="0"/>
                      <w:marTop w:val="0"/>
                      <w:marBottom w:val="0"/>
                      <w:divBdr>
                        <w:top w:val="none" w:sz="0" w:space="0" w:color="auto"/>
                        <w:left w:val="none" w:sz="0" w:space="0" w:color="auto"/>
                        <w:bottom w:val="none" w:sz="0" w:space="0" w:color="auto"/>
                        <w:right w:val="none" w:sz="0" w:space="0" w:color="auto"/>
                      </w:divBdr>
                      <w:divsChild>
                        <w:div w:id="294155753">
                          <w:marLeft w:val="0"/>
                          <w:marRight w:val="0"/>
                          <w:marTop w:val="0"/>
                          <w:marBottom w:val="0"/>
                          <w:divBdr>
                            <w:top w:val="none" w:sz="0" w:space="0" w:color="auto"/>
                            <w:left w:val="none" w:sz="0" w:space="0" w:color="auto"/>
                            <w:bottom w:val="none" w:sz="0" w:space="0" w:color="auto"/>
                            <w:right w:val="none" w:sz="0" w:space="0" w:color="auto"/>
                          </w:divBdr>
                        </w:div>
                      </w:divsChild>
                    </w:div>
                    <w:div w:id="294146532">
                      <w:marLeft w:val="0"/>
                      <w:marRight w:val="0"/>
                      <w:marTop w:val="0"/>
                      <w:marBottom w:val="0"/>
                      <w:divBdr>
                        <w:top w:val="none" w:sz="0" w:space="0" w:color="auto"/>
                        <w:left w:val="none" w:sz="0" w:space="0" w:color="auto"/>
                        <w:bottom w:val="none" w:sz="0" w:space="0" w:color="auto"/>
                        <w:right w:val="none" w:sz="0" w:space="0" w:color="auto"/>
                      </w:divBdr>
                    </w:div>
                    <w:div w:id="294146542">
                      <w:marLeft w:val="0"/>
                      <w:marRight w:val="0"/>
                      <w:marTop w:val="0"/>
                      <w:marBottom w:val="0"/>
                      <w:divBdr>
                        <w:top w:val="none" w:sz="0" w:space="0" w:color="auto"/>
                        <w:left w:val="none" w:sz="0" w:space="0" w:color="auto"/>
                        <w:bottom w:val="none" w:sz="0" w:space="0" w:color="auto"/>
                        <w:right w:val="none" w:sz="0" w:space="0" w:color="auto"/>
                      </w:divBdr>
                    </w:div>
                    <w:div w:id="294146638">
                      <w:marLeft w:val="0"/>
                      <w:marRight w:val="0"/>
                      <w:marTop w:val="0"/>
                      <w:marBottom w:val="0"/>
                      <w:divBdr>
                        <w:top w:val="none" w:sz="0" w:space="0" w:color="auto"/>
                        <w:left w:val="none" w:sz="0" w:space="0" w:color="auto"/>
                        <w:bottom w:val="none" w:sz="0" w:space="0" w:color="auto"/>
                        <w:right w:val="none" w:sz="0" w:space="0" w:color="auto"/>
                      </w:divBdr>
                    </w:div>
                    <w:div w:id="294146667">
                      <w:marLeft w:val="0"/>
                      <w:marRight w:val="0"/>
                      <w:marTop w:val="0"/>
                      <w:marBottom w:val="0"/>
                      <w:divBdr>
                        <w:top w:val="none" w:sz="0" w:space="0" w:color="auto"/>
                        <w:left w:val="none" w:sz="0" w:space="0" w:color="auto"/>
                        <w:bottom w:val="none" w:sz="0" w:space="0" w:color="auto"/>
                        <w:right w:val="none" w:sz="0" w:space="0" w:color="auto"/>
                      </w:divBdr>
                      <w:divsChild>
                        <w:div w:id="294156784">
                          <w:marLeft w:val="0"/>
                          <w:marRight w:val="0"/>
                          <w:marTop w:val="0"/>
                          <w:marBottom w:val="0"/>
                          <w:divBdr>
                            <w:top w:val="none" w:sz="0" w:space="0" w:color="auto"/>
                            <w:left w:val="none" w:sz="0" w:space="0" w:color="auto"/>
                            <w:bottom w:val="none" w:sz="0" w:space="0" w:color="auto"/>
                            <w:right w:val="none" w:sz="0" w:space="0" w:color="auto"/>
                          </w:divBdr>
                        </w:div>
                      </w:divsChild>
                    </w:div>
                    <w:div w:id="294146685">
                      <w:marLeft w:val="0"/>
                      <w:marRight w:val="0"/>
                      <w:marTop w:val="0"/>
                      <w:marBottom w:val="0"/>
                      <w:divBdr>
                        <w:top w:val="none" w:sz="0" w:space="0" w:color="auto"/>
                        <w:left w:val="none" w:sz="0" w:space="0" w:color="auto"/>
                        <w:bottom w:val="none" w:sz="0" w:space="0" w:color="auto"/>
                        <w:right w:val="none" w:sz="0" w:space="0" w:color="auto"/>
                      </w:divBdr>
                    </w:div>
                    <w:div w:id="294146706">
                      <w:marLeft w:val="0"/>
                      <w:marRight w:val="0"/>
                      <w:marTop w:val="0"/>
                      <w:marBottom w:val="0"/>
                      <w:divBdr>
                        <w:top w:val="none" w:sz="0" w:space="0" w:color="auto"/>
                        <w:left w:val="none" w:sz="0" w:space="0" w:color="auto"/>
                        <w:bottom w:val="none" w:sz="0" w:space="0" w:color="auto"/>
                        <w:right w:val="none" w:sz="0" w:space="0" w:color="auto"/>
                      </w:divBdr>
                      <w:divsChild>
                        <w:div w:id="294146647">
                          <w:marLeft w:val="0"/>
                          <w:marRight w:val="0"/>
                          <w:marTop w:val="0"/>
                          <w:marBottom w:val="0"/>
                          <w:divBdr>
                            <w:top w:val="none" w:sz="0" w:space="0" w:color="auto"/>
                            <w:left w:val="none" w:sz="0" w:space="0" w:color="auto"/>
                            <w:bottom w:val="none" w:sz="0" w:space="0" w:color="auto"/>
                            <w:right w:val="none" w:sz="0" w:space="0" w:color="auto"/>
                          </w:divBdr>
                        </w:div>
                      </w:divsChild>
                    </w:div>
                    <w:div w:id="294146775">
                      <w:marLeft w:val="0"/>
                      <w:marRight w:val="0"/>
                      <w:marTop w:val="0"/>
                      <w:marBottom w:val="0"/>
                      <w:divBdr>
                        <w:top w:val="none" w:sz="0" w:space="0" w:color="auto"/>
                        <w:left w:val="none" w:sz="0" w:space="0" w:color="auto"/>
                        <w:bottom w:val="none" w:sz="0" w:space="0" w:color="auto"/>
                        <w:right w:val="none" w:sz="0" w:space="0" w:color="auto"/>
                      </w:divBdr>
                    </w:div>
                    <w:div w:id="294146932">
                      <w:marLeft w:val="0"/>
                      <w:marRight w:val="0"/>
                      <w:marTop w:val="0"/>
                      <w:marBottom w:val="0"/>
                      <w:divBdr>
                        <w:top w:val="none" w:sz="0" w:space="0" w:color="auto"/>
                        <w:left w:val="none" w:sz="0" w:space="0" w:color="auto"/>
                        <w:bottom w:val="none" w:sz="0" w:space="0" w:color="auto"/>
                        <w:right w:val="none" w:sz="0" w:space="0" w:color="auto"/>
                      </w:divBdr>
                    </w:div>
                    <w:div w:id="294146976">
                      <w:marLeft w:val="0"/>
                      <w:marRight w:val="0"/>
                      <w:marTop w:val="0"/>
                      <w:marBottom w:val="0"/>
                      <w:divBdr>
                        <w:top w:val="none" w:sz="0" w:space="0" w:color="auto"/>
                        <w:left w:val="none" w:sz="0" w:space="0" w:color="auto"/>
                        <w:bottom w:val="none" w:sz="0" w:space="0" w:color="auto"/>
                        <w:right w:val="none" w:sz="0" w:space="0" w:color="auto"/>
                      </w:divBdr>
                      <w:divsChild>
                        <w:div w:id="294145627">
                          <w:marLeft w:val="0"/>
                          <w:marRight w:val="0"/>
                          <w:marTop w:val="0"/>
                          <w:marBottom w:val="0"/>
                          <w:divBdr>
                            <w:top w:val="none" w:sz="0" w:space="0" w:color="auto"/>
                            <w:left w:val="none" w:sz="0" w:space="0" w:color="auto"/>
                            <w:bottom w:val="none" w:sz="0" w:space="0" w:color="auto"/>
                            <w:right w:val="none" w:sz="0" w:space="0" w:color="auto"/>
                          </w:divBdr>
                        </w:div>
                      </w:divsChild>
                    </w:div>
                    <w:div w:id="294146990">
                      <w:marLeft w:val="0"/>
                      <w:marRight w:val="0"/>
                      <w:marTop w:val="0"/>
                      <w:marBottom w:val="0"/>
                      <w:divBdr>
                        <w:top w:val="none" w:sz="0" w:space="0" w:color="auto"/>
                        <w:left w:val="none" w:sz="0" w:space="0" w:color="auto"/>
                        <w:bottom w:val="none" w:sz="0" w:space="0" w:color="auto"/>
                        <w:right w:val="none" w:sz="0" w:space="0" w:color="auto"/>
                      </w:divBdr>
                      <w:divsChild>
                        <w:div w:id="294152166">
                          <w:marLeft w:val="0"/>
                          <w:marRight w:val="0"/>
                          <w:marTop w:val="0"/>
                          <w:marBottom w:val="0"/>
                          <w:divBdr>
                            <w:top w:val="none" w:sz="0" w:space="0" w:color="auto"/>
                            <w:left w:val="none" w:sz="0" w:space="0" w:color="auto"/>
                            <w:bottom w:val="none" w:sz="0" w:space="0" w:color="auto"/>
                            <w:right w:val="none" w:sz="0" w:space="0" w:color="auto"/>
                          </w:divBdr>
                        </w:div>
                      </w:divsChild>
                    </w:div>
                    <w:div w:id="294147084">
                      <w:marLeft w:val="0"/>
                      <w:marRight w:val="0"/>
                      <w:marTop w:val="0"/>
                      <w:marBottom w:val="0"/>
                      <w:divBdr>
                        <w:top w:val="none" w:sz="0" w:space="0" w:color="auto"/>
                        <w:left w:val="none" w:sz="0" w:space="0" w:color="auto"/>
                        <w:bottom w:val="none" w:sz="0" w:space="0" w:color="auto"/>
                        <w:right w:val="none" w:sz="0" w:space="0" w:color="auto"/>
                      </w:divBdr>
                    </w:div>
                    <w:div w:id="294147127">
                      <w:marLeft w:val="0"/>
                      <w:marRight w:val="0"/>
                      <w:marTop w:val="0"/>
                      <w:marBottom w:val="0"/>
                      <w:divBdr>
                        <w:top w:val="none" w:sz="0" w:space="0" w:color="auto"/>
                        <w:left w:val="none" w:sz="0" w:space="0" w:color="auto"/>
                        <w:bottom w:val="none" w:sz="0" w:space="0" w:color="auto"/>
                        <w:right w:val="none" w:sz="0" w:space="0" w:color="auto"/>
                      </w:divBdr>
                    </w:div>
                    <w:div w:id="294147149">
                      <w:marLeft w:val="0"/>
                      <w:marRight w:val="0"/>
                      <w:marTop w:val="0"/>
                      <w:marBottom w:val="0"/>
                      <w:divBdr>
                        <w:top w:val="none" w:sz="0" w:space="0" w:color="auto"/>
                        <w:left w:val="none" w:sz="0" w:space="0" w:color="auto"/>
                        <w:bottom w:val="none" w:sz="0" w:space="0" w:color="auto"/>
                        <w:right w:val="none" w:sz="0" w:space="0" w:color="auto"/>
                      </w:divBdr>
                    </w:div>
                    <w:div w:id="294147164">
                      <w:marLeft w:val="0"/>
                      <w:marRight w:val="0"/>
                      <w:marTop w:val="0"/>
                      <w:marBottom w:val="0"/>
                      <w:divBdr>
                        <w:top w:val="none" w:sz="0" w:space="0" w:color="auto"/>
                        <w:left w:val="none" w:sz="0" w:space="0" w:color="auto"/>
                        <w:bottom w:val="none" w:sz="0" w:space="0" w:color="auto"/>
                        <w:right w:val="none" w:sz="0" w:space="0" w:color="auto"/>
                      </w:divBdr>
                      <w:divsChild>
                        <w:div w:id="294141503">
                          <w:marLeft w:val="0"/>
                          <w:marRight w:val="0"/>
                          <w:marTop w:val="0"/>
                          <w:marBottom w:val="0"/>
                          <w:divBdr>
                            <w:top w:val="none" w:sz="0" w:space="0" w:color="auto"/>
                            <w:left w:val="none" w:sz="0" w:space="0" w:color="auto"/>
                            <w:bottom w:val="none" w:sz="0" w:space="0" w:color="auto"/>
                            <w:right w:val="none" w:sz="0" w:space="0" w:color="auto"/>
                          </w:divBdr>
                        </w:div>
                      </w:divsChild>
                    </w:div>
                    <w:div w:id="294147168">
                      <w:marLeft w:val="0"/>
                      <w:marRight w:val="0"/>
                      <w:marTop w:val="0"/>
                      <w:marBottom w:val="0"/>
                      <w:divBdr>
                        <w:top w:val="none" w:sz="0" w:space="0" w:color="auto"/>
                        <w:left w:val="none" w:sz="0" w:space="0" w:color="auto"/>
                        <w:bottom w:val="none" w:sz="0" w:space="0" w:color="auto"/>
                        <w:right w:val="none" w:sz="0" w:space="0" w:color="auto"/>
                      </w:divBdr>
                    </w:div>
                    <w:div w:id="294147169">
                      <w:marLeft w:val="0"/>
                      <w:marRight w:val="0"/>
                      <w:marTop w:val="0"/>
                      <w:marBottom w:val="0"/>
                      <w:divBdr>
                        <w:top w:val="none" w:sz="0" w:space="0" w:color="auto"/>
                        <w:left w:val="none" w:sz="0" w:space="0" w:color="auto"/>
                        <w:bottom w:val="none" w:sz="0" w:space="0" w:color="auto"/>
                        <w:right w:val="none" w:sz="0" w:space="0" w:color="auto"/>
                      </w:divBdr>
                    </w:div>
                    <w:div w:id="294147246">
                      <w:marLeft w:val="0"/>
                      <w:marRight w:val="0"/>
                      <w:marTop w:val="0"/>
                      <w:marBottom w:val="0"/>
                      <w:divBdr>
                        <w:top w:val="none" w:sz="0" w:space="0" w:color="auto"/>
                        <w:left w:val="none" w:sz="0" w:space="0" w:color="auto"/>
                        <w:bottom w:val="none" w:sz="0" w:space="0" w:color="auto"/>
                        <w:right w:val="none" w:sz="0" w:space="0" w:color="auto"/>
                      </w:divBdr>
                      <w:divsChild>
                        <w:div w:id="294147717">
                          <w:marLeft w:val="0"/>
                          <w:marRight w:val="0"/>
                          <w:marTop w:val="0"/>
                          <w:marBottom w:val="0"/>
                          <w:divBdr>
                            <w:top w:val="none" w:sz="0" w:space="0" w:color="auto"/>
                            <w:left w:val="none" w:sz="0" w:space="0" w:color="auto"/>
                            <w:bottom w:val="none" w:sz="0" w:space="0" w:color="auto"/>
                            <w:right w:val="none" w:sz="0" w:space="0" w:color="auto"/>
                          </w:divBdr>
                        </w:div>
                      </w:divsChild>
                    </w:div>
                    <w:div w:id="294147268">
                      <w:marLeft w:val="0"/>
                      <w:marRight w:val="0"/>
                      <w:marTop w:val="0"/>
                      <w:marBottom w:val="0"/>
                      <w:divBdr>
                        <w:top w:val="none" w:sz="0" w:space="0" w:color="auto"/>
                        <w:left w:val="none" w:sz="0" w:space="0" w:color="auto"/>
                        <w:bottom w:val="none" w:sz="0" w:space="0" w:color="auto"/>
                        <w:right w:val="none" w:sz="0" w:space="0" w:color="auto"/>
                      </w:divBdr>
                    </w:div>
                    <w:div w:id="294147355">
                      <w:marLeft w:val="0"/>
                      <w:marRight w:val="0"/>
                      <w:marTop w:val="0"/>
                      <w:marBottom w:val="0"/>
                      <w:divBdr>
                        <w:top w:val="none" w:sz="0" w:space="0" w:color="auto"/>
                        <w:left w:val="none" w:sz="0" w:space="0" w:color="auto"/>
                        <w:bottom w:val="none" w:sz="0" w:space="0" w:color="auto"/>
                        <w:right w:val="none" w:sz="0" w:space="0" w:color="auto"/>
                      </w:divBdr>
                    </w:div>
                    <w:div w:id="294147390">
                      <w:marLeft w:val="0"/>
                      <w:marRight w:val="0"/>
                      <w:marTop w:val="0"/>
                      <w:marBottom w:val="0"/>
                      <w:divBdr>
                        <w:top w:val="none" w:sz="0" w:space="0" w:color="auto"/>
                        <w:left w:val="none" w:sz="0" w:space="0" w:color="auto"/>
                        <w:bottom w:val="none" w:sz="0" w:space="0" w:color="auto"/>
                        <w:right w:val="none" w:sz="0" w:space="0" w:color="auto"/>
                      </w:divBdr>
                    </w:div>
                    <w:div w:id="294147492">
                      <w:marLeft w:val="0"/>
                      <w:marRight w:val="0"/>
                      <w:marTop w:val="0"/>
                      <w:marBottom w:val="0"/>
                      <w:divBdr>
                        <w:top w:val="none" w:sz="0" w:space="0" w:color="auto"/>
                        <w:left w:val="none" w:sz="0" w:space="0" w:color="auto"/>
                        <w:bottom w:val="none" w:sz="0" w:space="0" w:color="auto"/>
                        <w:right w:val="none" w:sz="0" w:space="0" w:color="auto"/>
                      </w:divBdr>
                    </w:div>
                    <w:div w:id="294147567">
                      <w:marLeft w:val="0"/>
                      <w:marRight w:val="0"/>
                      <w:marTop w:val="0"/>
                      <w:marBottom w:val="0"/>
                      <w:divBdr>
                        <w:top w:val="none" w:sz="0" w:space="0" w:color="auto"/>
                        <w:left w:val="none" w:sz="0" w:space="0" w:color="auto"/>
                        <w:bottom w:val="none" w:sz="0" w:space="0" w:color="auto"/>
                        <w:right w:val="none" w:sz="0" w:space="0" w:color="auto"/>
                      </w:divBdr>
                      <w:divsChild>
                        <w:div w:id="294150197">
                          <w:marLeft w:val="0"/>
                          <w:marRight w:val="0"/>
                          <w:marTop w:val="0"/>
                          <w:marBottom w:val="0"/>
                          <w:divBdr>
                            <w:top w:val="none" w:sz="0" w:space="0" w:color="auto"/>
                            <w:left w:val="none" w:sz="0" w:space="0" w:color="auto"/>
                            <w:bottom w:val="none" w:sz="0" w:space="0" w:color="auto"/>
                            <w:right w:val="none" w:sz="0" w:space="0" w:color="auto"/>
                          </w:divBdr>
                        </w:div>
                      </w:divsChild>
                    </w:div>
                    <w:div w:id="294147576">
                      <w:marLeft w:val="0"/>
                      <w:marRight w:val="0"/>
                      <w:marTop w:val="0"/>
                      <w:marBottom w:val="0"/>
                      <w:divBdr>
                        <w:top w:val="none" w:sz="0" w:space="0" w:color="auto"/>
                        <w:left w:val="none" w:sz="0" w:space="0" w:color="auto"/>
                        <w:bottom w:val="none" w:sz="0" w:space="0" w:color="auto"/>
                        <w:right w:val="none" w:sz="0" w:space="0" w:color="auto"/>
                      </w:divBdr>
                      <w:divsChild>
                        <w:div w:id="294138023">
                          <w:marLeft w:val="0"/>
                          <w:marRight w:val="0"/>
                          <w:marTop w:val="0"/>
                          <w:marBottom w:val="0"/>
                          <w:divBdr>
                            <w:top w:val="none" w:sz="0" w:space="0" w:color="auto"/>
                            <w:left w:val="none" w:sz="0" w:space="0" w:color="auto"/>
                            <w:bottom w:val="none" w:sz="0" w:space="0" w:color="auto"/>
                            <w:right w:val="none" w:sz="0" w:space="0" w:color="auto"/>
                          </w:divBdr>
                        </w:div>
                      </w:divsChild>
                    </w:div>
                    <w:div w:id="294147596">
                      <w:marLeft w:val="0"/>
                      <w:marRight w:val="0"/>
                      <w:marTop w:val="0"/>
                      <w:marBottom w:val="0"/>
                      <w:divBdr>
                        <w:top w:val="none" w:sz="0" w:space="0" w:color="auto"/>
                        <w:left w:val="none" w:sz="0" w:space="0" w:color="auto"/>
                        <w:bottom w:val="none" w:sz="0" w:space="0" w:color="auto"/>
                        <w:right w:val="none" w:sz="0" w:space="0" w:color="auto"/>
                      </w:divBdr>
                      <w:divsChild>
                        <w:div w:id="294143218">
                          <w:marLeft w:val="0"/>
                          <w:marRight w:val="0"/>
                          <w:marTop w:val="0"/>
                          <w:marBottom w:val="0"/>
                          <w:divBdr>
                            <w:top w:val="none" w:sz="0" w:space="0" w:color="auto"/>
                            <w:left w:val="none" w:sz="0" w:space="0" w:color="auto"/>
                            <w:bottom w:val="none" w:sz="0" w:space="0" w:color="auto"/>
                            <w:right w:val="none" w:sz="0" w:space="0" w:color="auto"/>
                          </w:divBdr>
                        </w:div>
                      </w:divsChild>
                    </w:div>
                    <w:div w:id="294147780">
                      <w:marLeft w:val="0"/>
                      <w:marRight w:val="0"/>
                      <w:marTop w:val="0"/>
                      <w:marBottom w:val="0"/>
                      <w:divBdr>
                        <w:top w:val="none" w:sz="0" w:space="0" w:color="auto"/>
                        <w:left w:val="none" w:sz="0" w:space="0" w:color="auto"/>
                        <w:bottom w:val="none" w:sz="0" w:space="0" w:color="auto"/>
                        <w:right w:val="none" w:sz="0" w:space="0" w:color="auto"/>
                      </w:divBdr>
                    </w:div>
                    <w:div w:id="294147795">
                      <w:marLeft w:val="0"/>
                      <w:marRight w:val="0"/>
                      <w:marTop w:val="0"/>
                      <w:marBottom w:val="0"/>
                      <w:divBdr>
                        <w:top w:val="none" w:sz="0" w:space="0" w:color="auto"/>
                        <w:left w:val="none" w:sz="0" w:space="0" w:color="auto"/>
                        <w:bottom w:val="none" w:sz="0" w:space="0" w:color="auto"/>
                        <w:right w:val="none" w:sz="0" w:space="0" w:color="auto"/>
                      </w:divBdr>
                    </w:div>
                    <w:div w:id="294147815">
                      <w:marLeft w:val="0"/>
                      <w:marRight w:val="0"/>
                      <w:marTop w:val="0"/>
                      <w:marBottom w:val="0"/>
                      <w:divBdr>
                        <w:top w:val="none" w:sz="0" w:space="0" w:color="auto"/>
                        <w:left w:val="none" w:sz="0" w:space="0" w:color="auto"/>
                        <w:bottom w:val="none" w:sz="0" w:space="0" w:color="auto"/>
                        <w:right w:val="none" w:sz="0" w:space="0" w:color="auto"/>
                      </w:divBdr>
                    </w:div>
                    <w:div w:id="294147852">
                      <w:marLeft w:val="0"/>
                      <w:marRight w:val="0"/>
                      <w:marTop w:val="0"/>
                      <w:marBottom w:val="0"/>
                      <w:divBdr>
                        <w:top w:val="none" w:sz="0" w:space="0" w:color="auto"/>
                        <w:left w:val="none" w:sz="0" w:space="0" w:color="auto"/>
                        <w:bottom w:val="none" w:sz="0" w:space="0" w:color="auto"/>
                        <w:right w:val="none" w:sz="0" w:space="0" w:color="auto"/>
                      </w:divBdr>
                      <w:divsChild>
                        <w:div w:id="294144939">
                          <w:marLeft w:val="0"/>
                          <w:marRight w:val="0"/>
                          <w:marTop w:val="0"/>
                          <w:marBottom w:val="0"/>
                          <w:divBdr>
                            <w:top w:val="none" w:sz="0" w:space="0" w:color="auto"/>
                            <w:left w:val="none" w:sz="0" w:space="0" w:color="auto"/>
                            <w:bottom w:val="none" w:sz="0" w:space="0" w:color="auto"/>
                            <w:right w:val="none" w:sz="0" w:space="0" w:color="auto"/>
                          </w:divBdr>
                        </w:div>
                      </w:divsChild>
                    </w:div>
                    <w:div w:id="294147879">
                      <w:marLeft w:val="0"/>
                      <w:marRight w:val="0"/>
                      <w:marTop w:val="0"/>
                      <w:marBottom w:val="0"/>
                      <w:divBdr>
                        <w:top w:val="none" w:sz="0" w:space="0" w:color="auto"/>
                        <w:left w:val="none" w:sz="0" w:space="0" w:color="auto"/>
                        <w:bottom w:val="none" w:sz="0" w:space="0" w:color="auto"/>
                        <w:right w:val="none" w:sz="0" w:space="0" w:color="auto"/>
                      </w:divBdr>
                    </w:div>
                    <w:div w:id="294147974">
                      <w:marLeft w:val="0"/>
                      <w:marRight w:val="0"/>
                      <w:marTop w:val="0"/>
                      <w:marBottom w:val="0"/>
                      <w:divBdr>
                        <w:top w:val="none" w:sz="0" w:space="0" w:color="auto"/>
                        <w:left w:val="none" w:sz="0" w:space="0" w:color="auto"/>
                        <w:bottom w:val="none" w:sz="0" w:space="0" w:color="auto"/>
                        <w:right w:val="none" w:sz="0" w:space="0" w:color="auto"/>
                      </w:divBdr>
                    </w:div>
                    <w:div w:id="294148021">
                      <w:marLeft w:val="0"/>
                      <w:marRight w:val="0"/>
                      <w:marTop w:val="0"/>
                      <w:marBottom w:val="0"/>
                      <w:divBdr>
                        <w:top w:val="none" w:sz="0" w:space="0" w:color="auto"/>
                        <w:left w:val="none" w:sz="0" w:space="0" w:color="auto"/>
                        <w:bottom w:val="none" w:sz="0" w:space="0" w:color="auto"/>
                        <w:right w:val="none" w:sz="0" w:space="0" w:color="auto"/>
                      </w:divBdr>
                    </w:div>
                    <w:div w:id="294148076">
                      <w:marLeft w:val="0"/>
                      <w:marRight w:val="0"/>
                      <w:marTop w:val="0"/>
                      <w:marBottom w:val="0"/>
                      <w:divBdr>
                        <w:top w:val="none" w:sz="0" w:space="0" w:color="auto"/>
                        <w:left w:val="none" w:sz="0" w:space="0" w:color="auto"/>
                        <w:bottom w:val="none" w:sz="0" w:space="0" w:color="auto"/>
                        <w:right w:val="none" w:sz="0" w:space="0" w:color="auto"/>
                      </w:divBdr>
                    </w:div>
                    <w:div w:id="294148234">
                      <w:marLeft w:val="0"/>
                      <w:marRight w:val="0"/>
                      <w:marTop w:val="0"/>
                      <w:marBottom w:val="0"/>
                      <w:divBdr>
                        <w:top w:val="none" w:sz="0" w:space="0" w:color="auto"/>
                        <w:left w:val="none" w:sz="0" w:space="0" w:color="auto"/>
                        <w:bottom w:val="none" w:sz="0" w:space="0" w:color="auto"/>
                        <w:right w:val="none" w:sz="0" w:space="0" w:color="auto"/>
                      </w:divBdr>
                      <w:divsChild>
                        <w:div w:id="294157113">
                          <w:marLeft w:val="0"/>
                          <w:marRight w:val="0"/>
                          <w:marTop w:val="0"/>
                          <w:marBottom w:val="0"/>
                          <w:divBdr>
                            <w:top w:val="none" w:sz="0" w:space="0" w:color="auto"/>
                            <w:left w:val="none" w:sz="0" w:space="0" w:color="auto"/>
                            <w:bottom w:val="none" w:sz="0" w:space="0" w:color="auto"/>
                            <w:right w:val="none" w:sz="0" w:space="0" w:color="auto"/>
                          </w:divBdr>
                        </w:div>
                      </w:divsChild>
                    </w:div>
                    <w:div w:id="294148304">
                      <w:marLeft w:val="0"/>
                      <w:marRight w:val="0"/>
                      <w:marTop w:val="0"/>
                      <w:marBottom w:val="0"/>
                      <w:divBdr>
                        <w:top w:val="none" w:sz="0" w:space="0" w:color="auto"/>
                        <w:left w:val="none" w:sz="0" w:space="0" w:color="auto"/>
                        <w:bottom w:val="none" w:sz="0" w:space="0" w:color="auto"/>
                        <w:right w:val="none" w:sz="0" w:space="0" w:color="auto"/>
                      </w:divBdr>
                    </w:div>
                    <w:div w:id="294148372">
                      <w:marLeft w:val="0"/>
                      <w:marRight w:val="0"/>
                      <w:marTop w:val="0"/>
                      <w:marBottom w:val="0"/>
                      <w:divBdr>
                        <w:top w:val="none" w:sz="0" w:space="0" w:color="auto"/>
                        <w:left w:val="none" w:sz="0" w:space="0" w:color="auto"/>
                        <w:bottom w:val="none" w:sz="0" w:space="0" w:color="auto"/>
                        <w:right w:val="none" w:sz="0" w:space="0" w:color="auto"/>
                      </w:divBdr>
                      <w:divsChild>
                        <w:div w:id="294149965">
                          <w:marLeft w:val="0"/>
                          <w:marRight w:val="0"/>
                          <w:marTop w:val="0"/>
                          <w:marBottom w:val="0"/>
                          <w:divBdr>
                            <w:top w:val="none" w:sz="0" w:space="0" w:color="auto"/>
                            <w:left w:val="none" w:sz="0" w:space="0" w:color="auto"/>
                            <w:bottom w:val="none" w:sz="0" w:space="0" w:color="auto"/>
                            <w:right w:val="none" w:sz="0" w:space="0" w:color="auto"/>
                          </w:divBdr>
                        </w:div>
                      </w:divsChild>
                    </w:div>
                    <w:div w:id="294148401">
                      <w:marLeft w:val="0"/>
                      <w:marRight w:val="0"/>
                      <w:marTop w:val="0"/>
                      <w:marBottom w:val="0"/>
                      <w:divBdr>
                        <w:top w:val="none" w:sz="0" w:space="0" w:color="auto"/>
                        <w:left w:val="none" w:sz="0" w:space="0" w:color="auto"/>
                        <w:bottom w:val="none" w:sz="0" w:space="0" w:color="auto"/>
                        <w:right w:val="none" w:sz="0" w:space="0" w:color="auto"/>
                      </w:divBdr>
                    </w:div>
                    <w:div w:id="294148445">
                      <w:marLeft w:val="0"/>
                      <w:marRight w:val="0"/>
                      <w:marTop w:val="0"/>
                      <w:marBottom w:val="0"/>
                      <w:divBdr>
                        <w:top w:val="none" w:sz="0" w:space="0" w:color="auto"/>
                        <w:left w:val="none" w:sz="0" w:space="0" w:color="auto"/>
                        <w:bottom w:val="none" w:sz="0" w:space="0" w:color="auto"/>
                        <w:right w:val="none" w:sz="0" w:space="0" w:color="auto"/>
                      </w:divBdr>
                      <w:divsChild>
                        <w:div w:id="294157310">
                          <w:marLeft w:val="0"/>
                          <w:marRight w:val="0"/>
                          <w:marTop w:val="0"/>
                          <w:marBottom w:val="0"/>
                          <w:divBdr>
                            <w:top w:val="none" w:sz="0" w:space="0" w:color="auto"/>
                            <w:left w:val="none" w:sz="0" w:space="0" w:color="auto"/>
                            <w:bottom w:val="none" w:sz="0" w:space="0" w:color="auto"/>
                            <w:right w:val="none" w:sz="0" w:space="0" w:color="auto"/>
                          </w:divBdr>
                        </w:div>
                      </w:divsChild>
                    </w:div>
                    <w:div w:id="294148514">
                      <w:marLeft w:val="0"/>
                      <w:marRight w:val="0"/>
                      <w:marTop w:val="0"/>
                      <w:marBottom w:val="0"/>
                      <w:divBdr>
                        <w:top w:val="none" w:sz="0" w:space="0" w:color="auto"/>
                        <w:left w:val="none" w:sz="0" w:space="0" w:color="auto"/>
                        <w:bottom w:val="none" w:sz="0" w:space="0" w:color="auto"/>
                        <w:right w:val="none" w:sz="0" w:space="0" w:color="auto"/>
                      </w:divBdr>
                    </w:div>
                    <w:div w:id="294148530">
                      <w:marLeft w:val="0"/>
                      <w:marRight w:val="0"/>
                      <w:marTop w:val="0"/>
                      <w:marBottom w:val="0"/>
                      <w:divBdr>
                        <w:top w:val="none" w:sz="0" w:space="0" w:color="auto"/>
                        <w:left w:val="none" w:sz="0" w:space="0" w:color="auto"/>
                        <w:bottom w:val="none" w:sz="0" w:space="0" w:color="auto"/>
                        <w:right w:val="none" w:sz="0" w:space="0" w:color="auto"/>
                      </w:divBdr>
                      <w:divsChild>
                        <w:div w:id="294148071">
                          <w:marLeft w:val="0"/>
                          <w:marRight w:val="0"/>
                          <w:marTop w:val="0"/>
                          <w:marBottom w:val="0"/>
                          <w:divBdr>
                            <w:top w:val="none" w:sz="0" w:space="0" w:color="auto"/>
                            <w:left w:val="none" w:sz="0" w:space="0" w:color="auto"/>
                            <w:bottom w:val="none" w:sz="0" w:space="0" w:color="auto"/>
                            <w:right w:val="none" w:sz="0" w:space="0" w:color="auto"/>
                          </w:divBdr>
                        </w:div>
                      </w:divsChild>
                    </w:div>
                    <w:div w:id="294148558">
                      <w:marLeft w:val="0"/>
                      <w:marRight w:val="0"/>
                      <w:marTop w:val="0"/>
                      <w:marBottom w:val="0"/>
                      <w:divBdr>
                        <w:top w:val="none" w:sz="0" w:space="0" w:color="auto"/>
                        <w:left w:val="none" w:sz="0" w:space="0" w:color="auto"/>
                        <w:bottom w:val="none" w:sz="0" w:space="0" w:color="auto"/>
                        <w:right w:val="none" w:sz="0" w:space="0" w:color="auto"/>
                      </w:divBdr>
                    </w:div>
                    <w:div w:id="294148563">
                      <w:marLeft w:val="0"/>
                      <w:marRight w:val="0"/>
                      <w:marTop w:val="0"/>
                      <w:marBottom w:val="0"/>
                      <w:divBdr>
                        <w:top w:val="none" w:sz="0" w:space="0" w:color="auto"/>
                        <w:left w:val="none" w:sz="0" w:space="0" w:color="auto"/>
                        <w:bottom w:val="none" w:sz="0" w:space="0" w:color="auto"/>
                        <w:right w:val="none" w:sz="0" w:space="0" w:color="auto"/>
                      </w:divBdr>
                    </w:div>
                    <w:div w:id="294148619">
                      <w:marLeft w:val="0"/>
                      <w:marRight w:val="0"/>
                      <w:marTop w:val="0"/>
                      <w:marBottom w:val="0"/>
                      <w:divBdr>
                        <w:top w:val="none" w:sz="0" w:space="0" w:color="auto"/>
                        <w:left w:val="none" w:sz="0" w:space="0" w:color="auto"/>
                        <w:bottom w:val="none" w:sz="0" w:space="0" w:color="auto"/>
                        <w:right w:val="none" w:sz="0" w:space="0" w:color="auto"/>
                      </w:divBdr>
                    </w:div>
                    <w:div w:id="294148644">
                      <w:marLeft w:val="0"/>
                      <w:marRight w:val="0"/>
                      <w:marTop w:val="0"/>
                      <w:marBottom w:val="0"/>
                      <w:divBdr>
                        <w:top w:val="none" w:sz="0" w:space="0" w:color="auto"/>
                        <w:left w:val="none" w:sz="0" w:space="0" w:color="auto"/>
                        <w:bottom w:val="none" w:sz="0" w:space="0" w:color="auto"/>
                        <w:right w:val="none" w:sz="0" w:space="0" w:color="auto"/>
                      </w:divBdr>
                      <w:divsChild>
                        <w:div w:id="294139079">
                          <w:marLeft w:val="0"/>
                          <w:marRight w:val="0"/>
                          <w:marTop w:val="0"/>
                          <w:marBottom w:val="0"/>
                          <w:divBdr>
                            <w:top w:val="none" w:sz="0" w:space="0" w:color="auto"/>
                            <w:left w:val="none" w:sz="0" w:space="0" w:color="auto"/>
                            <w:bottom w:val="none" w:sz="0" w:space="0" w:color="auto"/>
                            <w:right w:val="none" w:sz="0" w:space="0" w:color="auto"/>
                          </w:divBdr>
                        </w:div>
                      </w:divsChild>
                    </w:div>
                    <w:div w:id="294148661">
                      <w:marLeft w:val="0"/>
                      <w:marRight w:val="0"/>
                      <w:marTop w:val="0"/>
                      <w:marBottom w:val="0"/>
                      <w:divBdr>
                        <w:top w:val="none" w:sz="0" w:space="0" w:color="auto"/>
                        <w:left w:val="none" w:sz="0" w:space="0" w:color="auto"/>
                        <w:bottom w:val="none" w:sz="0" w:space="0" w:color="auto"/>
                        <w:right w:val="none" w:sz="0" w:space="0" w:color="auto"/>
                      </w:divBdr>
                      <w:divsChild>
                        <w:div w:id="294155612">
                          <w:marLeft w:val="0"/>
                          <w:marRight w:val="0"/>
                          <w:marTop w:val="0"/>
                          <w:marBottom w:val="0"/>
                          <w:divBdr>
                            <w:top w:val="none" w:sz="0" w:space="0" w:color="auto"/>
                            <w:left w:val="none" w:sz="0" w:space="0" w:color="auto"/>
                            <w:bottom w:val="none" w:sz="0" w:space="0" w:color="auto"/>
                            <w:right w:val="none" w:sz="0" w:space="0" w:color="auto"/>
                          </w:divBdr>
                        </w:div>
                      </w:divsChild>
                    </w:div>
                    <w:div w:id="294148668">
                      <w:marLeft w:val="0"/>
                      <w:marRight w:val="0"/>
                      <w:marTop w:val="0"/>
                      <w:marBottom w:val="0"/>
                      <w:divBdr>
                        <w:top w:val="none" w:sz="0" w:space="0" w:color="auto"/>
                        <w:left w:val="none" w:sz="0" w:space="0" w:color="auto"/>
                        <w:bottom w:val="none" w:sz="0" w:space="0" w:color="auto"/>
                        <w:right w:val="none" w:sz="0" w:space="0" w:color="auto"/>
                      </w:divBdr>
                    </w:div>
                    <w:div w:id="294148689">
                      <w:marLeft w:val="0"/>
                      <w:marRight w:val="0"/>
                      <w:marTop w:val="0"/>
                      <w:marBottom w:val="0"/>
                      <w:divBdr>
                        <w:top w:val="none" w:sz="0" w:space="0" w:color="auto"/>
                        <w:left w:val="none" w:sz="0" w:space="0" w:color="auto"/>
                        <w:bottom w:val="none" w:sz="0" w:space="0" w:color="auto"/>
                        <w:right w:val="none" w:sz="0" w:space="0" w:color="auto"/>
                      </w:divBdr>
                    </w:div>
                    <w:div w:id="294148769">
                      <w:marLeft w:val="0"/>
                      <w:marRight w:val="0"/>
                      <w:marTop w:val="0"/>
                      <w:marBottom w:val="0"/>
                      <w:divBdr>
                        <w:top w:val="none" w:sz="0" w:space="0" w:color="auto"/>
                        <w:left w:val="none" w:sz="0" w:space="0" w:color="auto"/>
                        <w:bottom w:val="none" w:sz="0" w:space="0" w:color="auto"/>
                        <w:right w:val="none" w:sz="0" w:space="0" w:color="auto"/>
                      </w:divBdr>
                    </w:div>
                    <w:div w:id="294148806">
                      <w:marLeft w:val="0"/>
                      <w:marRight w:val="0"/>
                      <w:marTop w:val="0"/>
                      <w:marBottom w:val="0"/>
                      <w:divBdr>
                        <w:top w:val="none" w:sz="0" w:space="0" w:color="auto"/>
                        <w:left w:val="none" w:sz="0" w:space="0" w:color="auto"/>
                        <w:bottom w:val="none" w:sz="0" w:space="0" w:color="auto"/>
                        <w:right w:val="none" w:sz="0" w:space="0" w:color="auto"/>
                      </w:divBdr>
                      <w:divsChild>
                        <w:div w:id="294147312">
                          <w:marLeft w:val="0"/>
                          <w:marRight w:val="0"/>
                          <w:marTop w:val="0"/>
                          <w:marBottom w:val="0"/>
                          <w:divBdr>
                            <w:top w:val="none" w:sz="0" w:space="0" w:color="auto"/>
                            <w:left w:val="none" w:sz="0" w:space="0" w:color="auto"/>
                            <w:bottom w:val="none" w:sz="0" w:space="0" w:color="auto"/>
                            <w:right w:val="none" w:sz="0" w:space="0" w:color="auto"/>
                          </w:divBdr>
                        </w:div>
                      </w:divsChild>
                    </w:div>
                    <w:div w:id="294148904">
                      <w:marLeft w:val="0"/>
                      <w:marRight w:val="0"/>
                      <w:marTop w:val="0"/>
                      <w:marBottom w:val="0"/>
                      <w:divBdr>
                        <w:top w:val="none" w:sz="0" w:space="0" w:color="auto"/>
                        <w:left w:val="none" w:sz="0" w:space="0" w:color="auto"/>
                        <w:bottom w:val="none" w:sz="0" w:space="0" w:color="auto"/>
                        <w:right w:val="none" w:sz="0" w:space="0" w:color="auto"/>
                      </w:divBdr>
                      <w:divsChild>
                        <w:div w:id="294147658">
                          <w:marLeft w:val="0"/>
                          <w:marRight w:val="0"/>
                          <w:marTop w:val="0"/>
                          <w:marBottom w:val="0"/>
                          <w:divBdr>
                            <w:top w:val="none" w:sz="0" w:space="0" w:color="auto"/>
                            <w:left w:val="none" w:sz="0" w:space="0" w:color="auto"/>
                            <w:bottom w:val="none" w:sz="0" w:space="0" w:color="auto"/>
                            <w:right w:val="none" w:sz="0" w:space="0" w:color="auto"/>
                          </w:divBdr>
                        </w:div>
                      </w:divsChild>
                    </w:div>
                    <w:div w:id="294148958">
                      <w:marLeft w:val="0"/>
                      <w:marRight w:val="0"/>
                      <w:marTop w:val="0"/>
                      <w:marBottom w:val="0"/>
                      <w:divBdr>
                        <w:top w:val="none" w:sz="0" w:space="0" w:color="auto"/>
                        <w:left w:val="none" w:sz="0" w:space="0" w:color="auto"/>
                        <w:bottom w:val="none" w:sz="0" w:space="0" w:color="auto"/>
                        <w:right w:val="none" w:sz="0" w:space="0" w:color="auto"/>
                      </w:divBdr>
                      <w:divsChild>
                        <w:div w:id="294154706">
                          <w:marLeft w:val="0"/>
                          <w:marRight w:val="0"/>
                          <w:marTop w:val="0"/>
                          <w:marBottom w:val="0"/>
                          <w:divBdr>
                            <w:top w:val="none" w:sz="0" w:space="0" w:color="auto"/>
                            <w:left w:val="none" w:sz="0" w:space="0" w:color="auto"/>
                            <w:bottom w:val="none" w:sz="0" w:space="0" w:color="auto"/>
                            <w:right w:val="none" w:sz="0" w:space="0" w:color="auto"/>
                          </w:divBdr>
                        </w:div>
                      </w:divsChild>
                    </w:div>
                    <w:div w:id="294148986">
                      <w:marLeft w:val="0"/>
                      <w:marRight w:val="0"/>
                      <w:marTop w:val="0"/>
                      <w:marBottom w:val="0"/>
                      <w:divBdr>
                        <w:top w:val="none" w:sz="0" w:space="0" w:color="auto"/>
                        <w:left w:val="none" w:sz="0" w:space="0" w:color="auto"/>
                        <w:bottom w:val="none" w:sz="0" w:space="0" w:color="auto"/>
                        <w:right w:val="none" w:sz="0" w:space="0" w:color="auto"/>
                      </w:divBdr>
                    </w:div>
                    <w:div w:id="294149022">
                      <w:marLeft w:val="0"/>
                      <w:marRight w:val="0"/>
                      <w:marTop w:val="0"/>
                      <w:marBottom w:val="0"/>
                      <w:divBdr>
                        <w:top w:val="none" w:sz="0" w:space="0" w:color="auto"/>
                        <w:left w:val="none" w:sz="0" w:space="0" w:color="auto"/>
                        <w:bottom w:val="none" w:sz="0" w:space="0" w:color="auto"/>
                        <w:right w:val="none" w:sz="0" w:space="0" w:color="auto"/>
                      </w:divBdr>
                    </w:div>
                    <w:div w:id="294149036">
                      <w:marLeft w:val="0"/>
                      <w:marRight w:val="0"/>
                      <w:marTop w:val="0"/>
                      <w:marBottom w:val="0"/>
                      <w:divBdr>
                        <w:top w:val="none" w:sz="0" w:space="0" w:color="auto"/>
                        <w:left w:val="none" w:sz="0" w:space="0" w:color="auto"/>
                        <w:bottom w:val="none" w:sz="0" w:space="0" w:color="auto"/>
                        <w:right w:val="none" w:sz="0" w:space="0" w:color="auto"/>
                      </w:divBdr>
                    </w:div>
                    <w:div w:id="294149053">
                      <w:marLeft w:val="0"/>
                      <w:marRight w:val="0"/>
                      <w:marTop w:val="0"/>
                      <w:marBottom w:val="0"/>
                      <w:divBdr>
                        <w:top w:val="none" w:sz="0" w:space="0" w:color="auto"/>
                        <w:left w:val="none" w:sz="0" w:space="0" w:color="auto"/>
                        <w:bottom w:val="none" w:sz="0" w:space="0" w:color="auto"/>
                        <w:right w:val="none" w:sz="0" w:space="0" w:color="auto"/>
                      </w:divBdr>
                    </w:div>
                    <w:div w:id="294149298">
                      <w:marLeft w:val="0"/>
                      <w:marRight w:val="0"/>
                      <w:marTop w:val="0"/>
                      <w:marBottom w:val="0"/>
                      <w:divBdr>
                        <w:top w:val="none" w:sz="0" w:space="0" w:color="auto"/>
                        <w:left w:val="none" w:sz="0" w:space="0" w:color="auto"/>
                        <w:bottom w:val="none" w:sz="0" w:space="0" w:color="auto"/>
                        <w:right w:val="none" w:sz="0" w:space="0" w:color="auto"/>
                      </w:divBdr>
                      <w:divsChild>
                        <w:div w:id="294143078">
                          <w:marLeft w:val="0"/>
                          <w:marRight w:val="0"/>
                          <w:marTop w:val="0"/>
                          <w:marBottom w:val="0"/>
                          <w:divBdr>
                            <w:top w:val="none" w:sz="0" w:space="0" w:color="auto"/>
                            <w:left w:val="none" w:sz="0" w:space="0" w:color="auto"/>
                            <w:bottom w:val="none" w:sz="0" w:space="0" w:color="auto"/>
                            <w:right w:val="none" w:sz="0" w:space="0" w:color="auto"/>
                          </w:divBdr>
                        </w:div>
                      </w:divsChild>
                    </w:div>
                    <w:div w:id="294149406">
                      <w:marLeft w:val="0"/>
                      <w:marRight w:val="0"/>
                      <w:marTop w:val="0"/>
                      <w:marBottom w:val="0"/>
                      <w:divBdr>
                        <w:top w:val="none" w:sz="0" w:space="0" w:color="auto"/>
                        <w:left w:val="none" w:sz="0" w:space="0" w:color="auto"/>
                        <w:bottom w:val="none" w:sz="0" w:space="0" w:color="auto"/>
                        <w:right w:val="none" w:sz="0" w:space="0" w:color="auto"/>
                      </w:divBdr>
                    </w:div>
                    <w:div w:id="294149420">
                      <w:marLeft w:val="0"/>
                      <w:marRight w:val="0"/>
                      <w:marTop w:val="0"/>
                      <w:marBottom w:val="0"/>
                      <w:divBdr>
                        <w:top w:val="none" w:sz="0" w:space="0" w:color="auto"/>
                        <w:left w:val="none" w:sz="0" w:space="0" w:color="auto"/>
                        <w:bottom w:val="none" w:sz="0" w:space="0" w:color="auto"/>
                        <w:right w:val="none" w:sz="0" w:space="0" w:color="auto"/>
                      </w:divBdr>
                      <w:divsChild>
                        <w:div w:id="294140805">
                          <w:marLeft w:val="0"/>
                          <w:marRight w:val="0"/>
                          <w:marTop w:val="0"/>
                          <w:marBottom w:val="0"/>
                          <w:divBdr>
                            <w:top w:val="none" w:sz="0" w:space="0" w:color="auto"/>
                            <w:left w:val="none" w:sz="0" w:space="0" w:color="auto"/>
                            <w:bottom w:val="none" w:sz="0" w:space="0" w:color="auto"/>
                            <w:right w:val="none" w:sz="0" w:space="0" w:color="auto"/>
                          </w:divBdr>
                        </w:div>
                      </w:divsChild>
                    </w:div>
                    <w:div w:id="294149489">
                      <w:marLeft w:val="0"/>
                      <w:marRight w:val="0"/>
                      <w:marTop w:val="0"/>
                      <w:marBottom w:val="0"/>
                      <w:divBdr>
                        <w:top w:val="none" w:sz="0" w:space="0" w:color="auto"/>
                        <w:left w:val="none" w:sz="0" w:space="0" w:color="auto"/>
                        <w:bottom w:val="none" w:sz="0" w:space="0" w:color="auto"/>
                        <w:right w:val="none" w:sz="0" w:space="0" w:color="auto"/>
                      </w:divBdr>
                      <w:divsChild>
                        <w:div w:id="294146723">
                          <w:marLeft w:val="0"/>
                          <w:marRight w:val="0"/>
                          <w:marTop w:val="0"/>
                          <w:marBottom w:val="0"/>
                          <w:divBdr>
                            <w:top w:val="none" w:sz="0" w:space="0" w:color="auto"/>
                            <w:left w:val="none" w:sz="0" w:space="0" w:color="auto"/>
                            <w:bottom w:val="none" w:sz="0" w:space="0" w:color="auto"/>
                            <w:right w:val="none" w:sz="0" w:space="0" w:color="auto"/>
                          </w:divBdr>
                        </w:div>
                      </w:divsChild>
                    </w:div>
                    <w:div w:id="294149515">
                      <w:marLeft w:val="0"/>
                      <w:marRight w:val="0"/>
                      <w:marTop w:val="0"/>
                      <w:marBottom w:val="0"/>
                      <w:divBdr>
                        <w:top w:val="none" w:sz="0" w:space="0" w:color="auto"/>
                        <w:left w:val="none" w:sz="0" w:space="0" w:color="auto"/>
                        <w:bottom w:val="none" w:sz="0" w:space="0" w:color="auto"/>
                        <w:right w:val="none" w:sz="0" w:space="0" w:color="auto"/>
                      </w:divBdr>
                      <w:divsChild>
                        <w:div w:id="294153927">
                          <w:marLeft w:val="0"/>
                          <w:marRight w:val="0"/>
                          <w:marTop w:val="0"/>
                          <w:marBottom w:val="0"/>
                          <w:divBdr>
                            <w:top w:val="none" w:sz="0" w:space="0" w:color="auto"/>
                            <w:left w:val="none" w:sz="0" w:space="0" w:color="auto"/>
                            <w:bottom w:val="none" w:sz="0" w:space="0" w:color="auto"/>
                            <w:right w:val="none" w:sz="0" w:space="0" w:color="auto"/>
                          </w:divBdr>
                        </w:div>
                      </w:divsChild>
                    </w:div>
                    <w:div w:id="294149634">
                      <w:marLeft w:val="0"/>
                      <w:marRight w:val="0"/>
                      <w:marTop w:val="0"/>
                      <w:marBottom w:val="0"/>
                      <w:divBdr>
                        <w:top w:val="none" w:sz="0" w:space="0" w:color="auto"/>
                        <w:left w:val="none" w:sz="0" w:space="0" w:color="auto"/>
                        <w:bottom w:val="none" w:sz="0" w:space="0" w:color="auto"/>
                        <w:right w:val="none" w:sz="0" w:space="0" w:color="auto"/>
                      </w:divBdr>
                    </w:div>
                    <w:div w:id="294149675">
                      <w:marLeft w:val="0"/>
                      <w:marRight w:val="0"/>
                      <w:marTop w:val="0"/>
                      <w:marBottom w:val="0"/>
                      <w:divBdr>
                        <w:top w:val="none" w:sz="0" w:space="0" w:color="auto"/>
                        <w:left w:val="none" w:sz="0" w:space="0" w:color="auto"/>
                        <w:bottom w:val="none" w:sz="0" w:space="0" w:color="auto"/>
                        <w:right w:val="none" w:sz="0" w:space="0" w:color="auto"/>
                      </w:divBdr>
                      <w:divsChild>
                        <w:div w:id="294156265">
                          <w:marLeft w:val="0"/>
                          <w:marRight w:val="0"/>
                          <w:marTop w:val="0"/>
                          <w:marBottom w:val="0"/>
                          <w:divBdr>
                            <w:top w:val="none" w:sz="0" w:space="0" w:color="auto"/>
                            <w:left w:val="none" w:sz="0" w:space="0" w:color="auto"/>
                            <w:bottom w:val="none" w:sz="0" w:space="0" w:color="auto"/>
                            <w:right w:val="none" w:sz="0" w:space="0" w:color="auto"/>
                          </w:divBdr>
                        </w:div>
                      </w:divsChild>
                    </w:div>
                    <w:div w:id="294149691">
                      <w:marLeft w:val="0"/>
                      <w:marRight w:val="0"/>
                      <w:marTop w:val="0"/>
                      <w:marBottom w:val="0"/>
                      <w:divBdr>
                        <w:top w:val="none" w:sz="0" w:space="0" w:color="auto"/>
                        <w:left w:val="none" w:sz="0" w:space="0" w:color="auto"/>
                        <w:bottom w:val="none" w:sz="0" w:space="0" w:color="auto"/>
                        <w:right w:val="none" w:sz="0" w:space="0" w:color="auto"/>
                      </w:divBdr>
                      <w:divsChild>
                        <w:div w:id="294156061">
                          <w:marLeft w:val="0"/>
                          <w:marRight w:val="0"/>
                          <w:marTop w:val="0"/>
                          <w:marBottom w:val="0"/>
                          <w:divBdr>
                            <w:top w:val="none" w:sz="0" w:space="0" w:color="auto"/>
                            <w:left w:val="none" w:sz="0" w:space="0" w:color="auto"/>
                            <w:bottom w:val="none" w:sz="0" w:space="0" w:color="auto"/>
                            <w:right w:val="none" w:sz="0" w:space="0" w:color="auto"/>
                          </w:divBdr>
                        </w:div>
                      </w:divsChild>
                    </w:div>
                    <w:div w:id="294149728">
                      <w:marLeft w:val="0"/>
                      <w:marRight w:val="0"/>
                      <w:marTop w:val="0"/>
                      <w:marBottom w:val="0"/>
                      <w:divBdr>
                        <w:top w:val="none" w:sz="0" w:space="0" w:color="auto"/>
                        <w:left w:val="none" w:sz="0" w:space="0" w:color="auto"/>
                        <w:bottom w:val="none" w:sz="0" w:space="0" w:color="auto"/>
                        <w:right w:val="none" w:sz="0" w:space="0" w:color="auto"/>
                      </w:divBdr>
                    </w:div>
                    <w:div w:id="294149767">
                      <w:marLeft w:val="0"/>
                      <w:marRight w:val="0"/>
                      <w:marTop w:val="0"/>
                      <w:marBottom w:val="0"/>
                      <w:divBdr>
                        <w:top w:val="none" w:sz="0" w:space="0" w:color="auto"/>
                        <w:left w:val="none" w:sz="0" w:space="0" w:color="auto"/>
                        <w:bottom w:val="none" w:sz="0" w:space="0" w:color="auto"/>
                        <w:right w:val="none" w:sz="0" w:space="0" w:color="auto"/>
                      </w:divBdr>
                    </w:div>
                    <w:div w:id="294149808">
                      <w:marLeft w:val="0"/>
                      <w:marRight w:val="0"/>
                      <w:marTop w:val="0"/>
                      <w:marBottom w:val="0"/>
                      <w:divBdr>
                        <w:top w:val="none" w:sz="0" w:space="0" w:color="auto"/>
                        <w:left w:val="none" w:sz="0" w:space="0" w:color="auto"/>
                        <w:bottom w:val="none" w:sz="0" w:space="0" w:color="auto"/>
                        <w:right w:val="none" w:sz="0" w:space="0" w:color="auto"/>
                      </w:divBdr>
                    </w:div>
                    <w:div w:id="294149817">
                      <w:marLeft w:val="0"/>
                      <w:marRight w:val="0"/>
                      <w:marTop w:val="0"/>
                      <w:marBottom w:val="0"/>
                      <w:divBdr>
                        <w:top w:val="none" w:sz="0" w:space="0" w:color="auto"/>
                        <w:left w:val="none" w:sz="0" w:space="0" w:color="auto"/>
                        <w:bottom w:val="none" w:sz="0" w:space="0" w:color="auto"/>
                        <w:right w:val="none" w:sz="0" w:space="0" w:color="auto"/>
                      </w:divBdr>
                    </w:div>
                    <w:div w:id="294149920">
                      <w:marLeft w:val="0"/>
                      <w:marRight w:val="0"/>
                      <w:marTop w:val="0"/>
                      <w:marBottom w:val="0"/>
                      <w:divBdr>
                        <w:top w:val="none" w:sz="0" w:space="0" w:color="auto"/>
                        <w:left w:val="none" w:sz="0" w:space="0" w:color="auto"/>
                        <w:bottom w:val="none" w:sz="0" w:space="0" w:color="auto"/>
                        <w:right w:val="none" w:sz="0" w:space="0" w:color="auto"/>
                      </w:divBdr>
                    </w:div>
                    <w:div w:id="294149951">
                      <w:marLeft w:val="0"/>
                      <w:marRight w:val="0"/>
                      <w:marTop w:val="0"/>
                      <w:marBottom w:val="0"/>
                      <w:divBdr>
                        <w:top w:val="none" w:sz="0" w:space="0" w:color="auto"/>
                        <w:left w:val="none" w:sz="0" w:space="0" w:color="auto"/>
                        <w:bottom w:val="none" w:sz="0" w:space="0" w:color="auto"/>
                        <w:right w:val="none" w:sz="0" w:space="0" w:color="auto"/>
                      </w:divBdr>
                      <w:divsChild>
                        <w:div w:id="294140769">
                          <w:marLeft w:val="0"/>
                          <w:marRight w:val="0"/>
                          <w:marTop w:val="0"/>
                          <w:marBottom w:val="0"/>
                          <w:divBdr>
                            <w:top w:val="none" w:sz="0" w:space="0" w:color="auto"/>
                            <w:left w:val="none" w:sz="0" w:space="0" w:color="auto"/>
                            <w:bottom w:val="none" w:sz="0" w:space="0" w:color="auto"/>
                            <w:right w:val="none" w:sz="0" w:space="0" w:color="auto"/>
                          </w:divBdr>
                        </w:div>
                      </w:divsChild>
                    </w:div>
                    <w:div w:id="294150086">
                      <w:marLeft w:val="0"/>
                      <w:marRight w:val="0"/>
                      <w:marTop w:val="0"/>
                      <w:marBottom w:val="0"/>
                      <w:divBdr>
                        <w:top w:val="none" w:sz="0" w:space="0" w:color="auto"/>
                        <w:left w:val="none" w:sz="0" w:space="0" w:color="auto"/>
                        <w:bottom w:val="none" w:sz="0" w:space="0" w:color="auto"/>
                        <w:right w:val="none" w:sz="0" w:space="0" w:color="auto"/>
                      </w:divBdr>
                    </w:div>
                    <w:div w:id="294150117">
                      <w:marLeft w:val="0"/>
                      <w:marRight w:val="0"/>
                      <w:marTop w:val="0"/>
                      <w:marBottom w:val="0"/>
                      <w:divBdr>
                        <w:top w:val="none" w:sz="0" w:space="0" w:color="auto"/>
                        <w:left w:val="none" w:sz="0" w:space="0" w:color="auto"/>
                        <w:bottom w:val="none" w:sz="0" w:space="0" w:color="auto"/>
                        <w:right w:val="none" w:sz="0" w:space="0" w:color="auto"/>
                      </w:divBdr>
                      <w:divsChild>
                        <w:div w:id="294147619">
                          <w:marLeft w:val="0"/>
                          <w:marRight w:val="0"/>
                          <w:marTop w:val="0"/>
                          <w:marBottom w:val="0"/>
                          <w:divBdr>
                            <w:top w:val="none" w:sz="0" w:space="0" w:color="auto"/>
                            <w:left w:val="none" w:sz="0" w:space="0" w:color="auto"/>
                            <w:bottom w:val="none" w:sz="0" w:space="0" w:color="auto"/>
                            <w:right w:val="none" w:sz="0" w:space="0" w:color="auto"/>
                          </w:divBdr>
                        </w:div>
                      </w:divsChild>
                    </w:div>
                    <w:div w:id="294150138">
                      <w:marLeft w:val="0"/>
                      <w:marRight w:val="0"/>
                      <w:marTop w:val="0"/>
                      <w:marBottom w:val="0"/>
                      <w:divBdr>
                        <w:top w:val="none" w:sz="0" w:space="0" w:color="auto"/>
                        <w:left w:val="none" w:sz="0" w:space="0" w:color="auto"/>
                        <w:bottom w:val="none" w:sz="0" w:space="0" w:color="auto"/>
                        <w:right w:val="none" w:sz="0" w:space="0" w:color="auto"/>
                      </w:divBdr>
                    </w:div>
                    <w:div w:id="294150142">
                      <w:marLeft w:val="0"/>
                      <w:marRight w:val="0"/>
                      <w:marTop w:val="0"/>
                      <w:marBottom w:val="0"/>
                      <w:divBdr>
                        <w:top w:val="none" w:sz="0" w:space="0" w:color="auto"/>
                        <w:left w:val="none" w:sz="0" w:space="0" w:color="auto"/>
                        <w:bottom w:val="none" w:sz="0" w:space="0" w:color="auto"/>
                        <w:right w:val="none" w:sz="0" w:space="0" w:color="auto"/>
                      </w:divBdr>
                      <w:divsChild>
                        <w:div w:id="294152159">
                          <w:marLeft w:val="0"/>
                          <w:marRight w:val="0"/>
                          <w:marTop w:val="0"/>
                          <w:marBottom w:val="0"/>
                          <w:divBdr>
                            <w:top w:val="none" w:sz="0" w:space="0" w:color="auto"/>
                            <w:left w:val="none" w:sz="0" w:space="0" w:color="auto"/>
                            <w:bottom w:val="none" w:sz="0" w:space="0" w:color="auto"/>
                            <w:right w:val="none" w:sz="0" w:space="0" w:color="auto"/>
                          </w:divBdr>
                        </w:div>
                      </w:divsChild>
                    </w:div>
                    <w:div w:id="294150178">
                      <w:marLeft w:val="0"/>
                      <w:marRight w:val="0"/>
                      <w:marTop w:val="0"/>
                      <w:marBottom w:val="0"/>
                      <w:divBdr>
                        <w:top w:val="none" w:sz="0" w:space="0" w:color="auto"/>
                        <w:left w:val="none" w:sz="0" w:space="0" w:color="auto"/>
                        <w:bottom w:val="none" w:sz="0" w:space="0" w:color="auto"/>
                        <w:right w:val="none" w:sz="0" w:space="0" w:color="auto"/>
                      </w:divBdr>
                      <w:divsChild>
                        <w:div w:id="294144684">
                          <w:marLeft w:val="0"/>
                          <w:marRight w:val="0"/>
                          <w:marTop w:val="0"/>
                          <w:marBottom w:val="0"/>
                          <w:divBdr>
                            <w:top w:val="none" w:sz="0" w:space="0" w:color="auto"/>
                            <w:left w:val="none" w:sz="0" w:space="0" w:color="auto"/>
                            <w:bottom w:val="none" w:sz="0" w:space="0" w:color="auto"/>
                            <w:right w:val="none" w:sz="0" w:space="0" w:color="auto"/>
                          </w:divBdr>
                        </w:div>
                      </w:divsChild>
                    </w:div>
                    <w:div w:id="294150219">
                      <w:marLeft w:val="0"/>
                      <w:marRight w:val="0"/>
                      <w:marTop w:val="0"/>
                      <w:marBottom w:val="0"/>
                      <w:divBdr>
                        <w:top w:val="none" w:sz="0" w:space="0" w:color="auto"/>
                        <w:left w:val="none" w:sz="0" w:space="0" w:color="auto"/>
                        <w:bottom w:val="none" w:sz="0" w:space="0" w:color="auto"/>
                        <w:right w:val="none" w:sz="0" w:space="0" w:color="auto"/>
                      </w:divBdr>
                      <w:divsChild>
                        <w:div w:id="294148005">
                          <w:marLeft w:val="0"/>
                          <w:marRight w:val="0"/>
                          <w:marTop w:val="0"/>
                          <w:marBottom w:val="0"/>
                          <w:divBdr>
                            <w:top w:val="none" w:sz="0" w:space="0" w:color="auto"/>
                            <w:left w:val="none" w:sz="0" w:space="0" w:color="auto"/>
                            <w:bottom w:val="none" w:sz="0" w:space="0" w:color="auto"/>
                            <w:right w:val="none" w:sz="0" w:space="0" w:color="auto"/>
                          </w:divBdr>
                        </w:div>
                      </w:divsChild>
                    </w:div>
                    <w:div w:id="294150226">
                      <w:marLeft w:val="0"/>
                      <w:marRight w:val="0"/>
                      <w:marTop w:val="0"/>
                      <w:marBottom w:val="0"/>
                      <w:divBdr>
                        <w:top w:val="none" w:sz="0" w:space="0" w:color="auto"/>
                        <w:left w:val="none" w:sz="0" w:space="0" w:color="auto"/>
                        <w:bottom w:val="none" w:sz="0" w:space="0" w:color="auto"/>
                        <w:right w:val="none" w:sz="0" w:space="0" w:color="auto"/>
                      </w:divBdr>
                      <w:divsChild>
                        <w:div w:id="294157104">
                          <w:marLeft w:val="0"/>
                          <w:marRight w:val="0"/>
                          <w:marTop w:val="0"/>
                          <w:marBottom w:val="0"/>
                          <w:divBdr>
                            <w:top w:val="none" w:sz="0" w:space="0" w:color="auto"/>
                            <w:left w:val="none" w:sz="0" w:space="0" w:color="auto"/>
                            <w:bottom w:val="none" w:sz="0" w:space="0" w:color="auto"/>
                            <w:right w:val="none" w:sz="0" w:space="0" w:color="auto"/>
                          </w:divBdr>
                        </w:div>
                      </w:divsChild>
                    </w:div>
                    <w:div w:id="294150227">
                      <w:marLeft w:val="0"/>
                      <w:marRight w:val="0"/>
                      <w:marTop w:val="0"/>
                      <w:marBottom w:val="0"/>
                      <w:divBdr>
                        <w:top w:val="none" w:sz="0" w:space="0" w:color="auto"/>
                        <w:left w:val="none" w:sz="0" w:space="0" w:color="auto"/>
                        <w:bottom w:val="none" w:sz="0" w:space="0" w:color="auto"/>
                        <w:right w:val="none" w:sz="0" w:space="0" w:color="auto"/>
                      </w:divBdr>
                    </w:div>
                    <w:div w:id="294150311">
                      <w:marLeft w:val="0"/>
                      <w:marRight w:val="0"/>
                      <w:marTop w:val="0"/>
                      <w:marBottom w:val="0"/>
                      <w:divBdr>
                        <w:top w:val="none" w:sz="0" w:space="0" w:color="auto"/>
                        <w:left w:val="none" w:sz="0" w:space="0" w:color="auto"/>
                        <w:bottom w:val="none" w:sz="0" w:space="0" w:color="auto"/>
                        <w:right w:val="none" w:sz="0" w:space="0" w:color="auto"/>
                      </w:divBdr>
                      <w:divsChild>
                        <w:div w:id="294147314">
                          <w:marLeft w:val="0"/>
                          <w:marRight w:val="0"/>
                          <w:marTop w:val="0"/>
                          <w:marBottom w:val="0"/>
                          <w:divBdr>
                            <w:top w:val="none" w:sz="0" w:space="0" w:color="auto"/>
                            <w:left w:val="none" w:sz="0" w:space="0" w:color="auto"/>
                            <w:bottom w:val="none" w:sz="0" w:space="0" w:color="auto"/>
                            <w:right w:val="none" w:sz="0" w:space="0" w:color="auto"/>
                          </w:divBdr>
                        </w:div>
                      </w:divsChild>
                    </w:div>
                    <w:div w:id="294150337">
                      <w:marLeft w:val="0"/>
                      <w:marRight w:val="0"/>
                      <w:marTop w:val="0"/>
                      <w:marBottom w:val="0"/>
                      <w:divBdr>
                        <w:top w:val="none" w:sz="0" w:space="0" w:color="auto"/>
                        <w:left w:val="none" w:sz="0" w:space="0" w:color="auto"/>
                        <w:bottom w:val="none" w:sz="0" w:space="0" w:color="auto"/>
                        <w:right w:val="none" w:sz="0" w:space="0" w:color="auto"/>
                      </w:divBdr>
                    </w:div>
                    <w:div w:id="294150417">
                      <w:marLeft w:val="0"/>
                      <w:marRight w:val="0"/>
                      <w:marTop w:val="0"/>
                      <w:marBottom w:val="0"/>
                      <w:divBdr>
                        <w:top w:val="none" w:sz="0" w:space="0" w:color="auto"/>
                        <w:left w:val="none" w:sz="0" w:space="0" w:color="auto"/>
                        <w:bottom w:val="none" w:sz="0" w:space="0" w:color="auto"/>
                        <w:right w:val="none" w:sz="0" w:space="0" w:color="auto"/>
                      </w:divBdr>
                    </w:div>
                    <w:div w:id="294150421">
                      <w:marLeft w:val="0"/>
                      <w:marRight w:val="0"/>
                      <w:marTop w:val="0"/>
                      <w:marBottom w:val="0"/>
                      <w:divBdr>
                        <w:top w:val="none" w:sz="0" w:space="0" w:color="auto"/>
                        <w:left w:val="none" w:sz="0" w:space="0" w:color="auto"/>
                        <w:bottom w:val="none" w:sz="0" w:space="0" w:color="auto"/>
                        <w:right w:val="none" w:sz="0" w:space="0" w:color="auto"/>
                      </w:divBdr>
                    </w:div>
                    <w:div w:id="294150436">
                      <w:marLeft w:val="0"/>
                      <w:marRight w:val="0"/>
                      <w:marTop w:val="0"/>
                      <w:marBottom w:val="0"/>
                      <w:divBdr>
                        <w:top w:val="none" w:sz="0" w:space="0" w:color="auto"/>
                        <w:left w:val="none" w:sz="0" w:space="0" w:color="auto"/>
                        <w:bottom w:val="none" w:sz="0" w:space="0" w:color="auto"/>
                        <w:right w:val="none" w:sz="0" w:space="0" w:color="auto"/>
                      </w:divBdr>
                      <w:divsChild>
                        <w:div w:id="294156722">
                          <w:marLeft w:val="0"/>
                          <w:marRight w:val="0"/>
                          <w:marTop w:val="0"/>
                          <w:marBottom w:val="0"/>
                          <w:divBdr>
                            <w:top w:val="none" w:sz="0" w:space="0" w:color="auto"/>
                            <w:left w:val="none" w:sz="0" w:space="0" w:color="auto"/>
                            <w:bottom w:val="none" w:sz="0" w:space="0" w:color="auto"/>
                            <w:right w:val="none" w:sz="0" w:space="0" w:color="auto"/>
                          </w:divBdr>
                        </w:div>
                      </w:divsChild>
                    </w:div>
                    <w:div w:id="294150460">
                      <w:marLeft w:val="0"/>
                      <w:marRight w:val="0"/>
                      <w:marTop w:val="0"/>
                      <w:marBottom w:val="0"/>
                      <w:divBdr>
                        <w:top w:val="none" w:sz="0" w:space="0" w:color="auto"/>
                        <w:left w:val="none" w:sz="0" w:space="0" w:color="auto"/>
                        <w:bottom w:val="none" w:sz="0" w:space="0" w:color="auto"/>
                        <w:right w:val="none" w:sz="0" w:space="0" w:color="auto"/>
                      </w:divBdr>
                    </w:div>
                    <w:div w:id="294150582">
                      <w:marLeft w:val="0"/>
                      <w:marRight w:val="0"/>
                      <w:marTop w:val="0"/>
                      <w:marBottom w:val="0"/>
                      <w:divBdr>
                        <w:top w:val="none" w:sz="0" w:space="0" w:color="auto"/>
                        <w:left w:val="none" w:sz="0" w:space="0" w:color="auto"/>
                        <w:bottom w:val="none" w:sz="0" w:space="0" w:color="auto"/>
                        <w:right w:val="none" w:sz="0" w:space="0" w:color="auto"/>
                      </w:divBdr>
                      <w:divsChild>
                        <w:div w:id="294146360">
                          <w:marLeft w:val="0"/>
                          <w:marRight w:val="0"/>
                          <w:marTop w:val="0"/>
                          <w:marBottom w:val="0"/>
                          <w:divBdr>
                            <w:top w:val="none" w:sz="0" w:space="0" w:color="auto"/>
                            <w:left w:val="none" w:sz="0" w:space="0" w:color="auto"/>
                            <w:bottom w:val="none" w:sz="0" w:space="0" w:color="auto"/>
                            <w:right w:val="none" w:sz="0" w:space="0" w:color="auto"/>
                          </w:divBdr>
                        </w:div>
                      </w:divsChild>
                    </w:div>
                    <w:div w:id="294150605">
                      <w:marLeft w:val="0"/>
                      <w:marRight w:val="0"/>
                      <w:marTop w:val="0"/>
                      <w:marBottom w:val="0"/>
                      <w:divBdr>
                        <w:top w:val="none" w:sz="0" w:space="0" w:color="auto"/>
                        <w:left w:val="none" w:sz="0" w:space="0" w:color="auto"/>
                        <w:bottom w:val="none" w:sz="0" w:space="0" w:color="auto"/>
                        <w:right w:val="none" w:sz="0" w:space="0" w:color="auto"/>
                      </w:divBdr>
                      <w:divsChild>
                        <w:div w:id="294152895">
                          <w:marLeft w:val="0"/>
                          <w:marRight w:val="0"/>
                          <w:marTop w:val="0"/>
                          <w:marBottom w:val="0"/>
                          <w:divBdr>
                            <w:top w:val="none" w:sz="0" w:space="0" w:color="auto"/>
                            <w:left w:val="none" w:sz="0" w:space="0" w:color="auto"/>
                            <w:bottom w:val="none" w:sz="0" w:space="0" w:color="auto"/>
                            <w:right w:val="none" w:sz="0" w:space="0" w:color="auto"/>
                          </w:divBdr>
                        </w:div>
                      </w:divsChild>
                    </w:div>
                    <w:div w:id="294150624">
                      <w:marLeft w:val="0"/>
                      <w:marRight w:val="0"/>
                      <w:marTop w:val="0"/>
                      <w:marBottom w:val="0"/>
                      <w:divBdr>
                        <w:top w:val="none" w:sz="0" w:space="0" w:color="auto"/>
                        <w:left w:val="none" w:sz="0" w:space="0" w:color="auto"/>
                        <w:bottom w:val="none" w:sz="0" w:space="0" w:color="auto"/>
                        <w:right w:val="none" w:sz="0" w:space="0" w:color="auto"/>
                      </w:divBdr>
                    </w:div>
                    <w:div w:id="294150717">
                      <w:marLeft w:val="0"/>
                      <w:marRight w:val="0"/>
                      <w:marTop w:val="0"/>
                      <w:marBottom w:val="0"/>
                      <w:divBdr>
                        <w:top w:val="none" w:sz="0" w:space="0" w:color="auto"/>
                        <w:left w:val="none" w:sz="0" w:space="0" w:color="auto"/>
                        <w:bottom w:val="none" w:sz="0" w:space="0" w:color="auto"/>
                        <w:right w:val="none" w:sz="0" w:space="0" w:color="auto"/>
                      </w:divBdr>
                      <w:divsChild>
                        <w:div w:id="294156092">
                          <w:marLeft w:val="0"/>
                          <w:marRight w:val="0"/>
                          <w:marTop w:val="0"/>
                          <w:marBottom w:val="0"/>
                          <w:divBdr>
                            <w:top w:val="none" w:sz="0" w:space="0" w:color="auto"/>
                            <w:left w:val="none" w:sz="0" w:space="0" w:color="auto"/>
                            <w:bottom w:val="none" w:sz="0" w:space="0" w:color="auto"/>
                            <w:right w:val="none" w:sz="0" w:space="0" w:color="auto"/>
                          </w:divBdr>
                        </w:div>
                      </w:divsChild>
                    </w:div>
                    <w:div w:id="294150741">
                      <w:marLeft w:val="0"/>
                      <w:marRight w:val="0"/>
                      <w:marTop w:val="0"/>
                      <w:marBottom w:val="0"/>
                      <w:divBdr>
                        <w:top w:val="none" w:sz="0" w:space="0" w:color="auto"/>
                        <w:left w:val="none" w:sz="0" w:space="0" w:color="auto"/>
                        <w:bottom w:val="none" w:sz="0" w:space="0" w:color="auto"/>
                        <w:right w:val="none" w:sz="0" w:space="0" w:color="auto"/>
                      </w:divBdr>
                    </w:div>
                    <w:div w:id="294150828">
                      <w:marLeft w:val="0"/>
                      <w:marRight w:val="0"/>
                      <w:marTop w:val="0"/>
                      <w:marBottom w:val="0"/>
                      <w:divBdr>
                        <w:top w:val="none" w:sz="0" w:space="0" w:color="auto"/>
                        <w:left w:val="none" w:sz="0" w:space="0" w:color="auto"/>
                        <w:bottom w:val="none" w:sz="0" w:space="0" w:color="auto"/>
                        <w:right w:val="none" w:sz="0" w:space="0" w:color="auto"/>
                      </w:divBdr>
                      <w:divsChild>
                        <w:div w:id="294142450">
                          <w:marLeft w:val="0"/>
                          <w:marRight w:val="0"/>
                          <w:marTop w:val="0"/>
                          <w:marBottom w:val="0"/>
                          <w:divBdr>
                            <w:top w:val="none" w:sz="0" w:space="0" w:color="auto"/>
                            <w:left w:val="none" w:sz="0" w:space="0" w:color="auto"/>
                            <w:bottom w:val="none" w:sz="0" w:space="0" w:color="auto"/>
                            <w:right w:val="none" w:sz="0" w:space="0" w:color="auto"/>
                          </w:divBdr>
                        </w:div>
                      </w:divsChild>
                    </w:div>
                    <w:div w:id="294150839">
                      <w:marLeft w:val="0"/>
                      <w:marRight w:val="0"/>
                      <w:marTop w:val="0"/>
                      <w:marBottom w:val="0"/>
                      <w:divBdr>
                        <w:top w:val="none" w:sz="0" w:space="0" w:color="auto"/>
                        <w:left w:val="none" w:sz="0" w:space="0" w:color="auto"/>
                        <w:bottom w:val="none" w:sz="0" w:space="0" w:color="auto"/>
                        <w:right w:val="none" w:sz="0" w:space="0" w:color="auto"/>
                      </w:divBdr>
                    </w:div>
                    <w:div w:id="294150865">
                      <w:marLeft w:val="0"/>
                      <w:marRight w:val="0"/>
                      <w:marTop w:val="0"/>
                      <w:marBottom w:val="0"/>
                      <w:divBdr>
                        <w:top w:val="none" w:sz="0" w:space="0" w:color="auto"/>
                        <w:left w:val="none" w:sz="0" w:space="0" w:color="auto"/>
                        <w:bottom w:val="none" w:sz="0" w:space="0" w:color="auto"/>
                        <w:right w:val="none" w:sz="0" w:space="0" w:color="auto"/>
                      </w:divBdr>
                      <w:divsChild>
                        <w:div w:id="294147761">
                          <w:marLeft w:val="0"/>
                          <w:marRight w:val="0"/>
                          <w:marTop w:val="0"/>
                          <w:marBottom w:val="0"/>
                          <w:divBdr>
                            <w:top w:val="none" w:sz="0" w:space="0" w:color="auto"/>
                            <w:left w:val="none" w:sz="0" w:space="0" w:color="auto"/>
                            <w:bottom w:val="none" w:sz="0" w:space="0" w:color="auto"/>
                            <w:right w:val="none" w:sz="0" w:space="0" w:color="auto"/>
                          </w:divBdr>
                        </w:div>
                      </w:divsChild>
                    </w:div>
                    <w:div w:id="294150881">
                      <w:marLeft w:val="0"/>
                      <w:marRight w:val="0"/>
                      <w:marTop w:val="0"/>
                      <w:marBottom w:val="0"/>
                      <w:divBdr>
                        <w:top w:val="none" w:sz="0" w:space="0" w:color="auto"/>
                        <w:left w:val="none" w:sz="0" w:space="0" w:color="auto"/>
                        <w:bottom w:val="none" w:sz="0" w:space="0" w:color="auto"/>
                        <w:right w:val="none" w:sz="0" w:space="0" w:color="auto"/>
                      </w:divBdr>
                    </w:div>
                    <w:div w:id="294151001">
                      <w:marLeft w:val="0"/>
                      <w:marRight w:val="0"/>
                      <w:marTop w:val="0"/>
                      <w:marBottom w:val="0"/>
                      <w:divBdr>
                        <w:top w:val="none" w:sz="0" w:space="0" w:color="auto"/>
                        <w:left w:val="none" w:sz="0" w:space="0" w:color="auto"/>
                        <w:bottom w:val="none" w:sz="0" w:space="0" w:color="auto"/>
                        <w:right w:val="none" w:sz="0" w:space="0" w:color="auto"/>
                      </w:divBdr>
                      <w:divsChild>
                        <w:div w:id="294145961">
                          <w:marLeft w:val="0"/>
                          <w:marRight w:val="0"/>
                          <w:marTop w:val="0"/>
                          <w:marBottom w:val="0"/>
                          <w:divBdr>
                            <w:top w:val="none" w:sz="0" w:space="0" w:color="auto"/>
                            <w:left w:val="none" w:sz="0" w:space="0" w:color="auto"/>
                            <w:bottom w:val="none" w:sz="0" w:space="0" w:color="auto"/>
                            <w:right w:val="none" w:sz="0" w:space="0" w:color="auto"/>
                          </w:divBdr>
                        </w:div>
                      </w:divsChild>
                    </w:div>
                    <w:div w:id="294151044">
                      <w:marLeft w:val="0"/>
                      <w:marRight w:val="0"/>
                      <w:marTop w:val="0"/>
                      <w:marBottom w:val="0"/>
                      <w:divBdr>
                        <w:top w:val="none" w:sz="0" w:space="0" w:color="auto"/>
                        <w:left w:val="none" w:sz="0" w:space="0" w:color="auto"/>
                        <w:bottom w:val="none" w:sz="0" w:space="0" w:color="auto"/>
                        <w:right w:val="none" w:sz="0" w:space="0" w:color="auto"/>
                      </w:divBdr>
                      <w:divsChild>
                        <w:div w:id="294151789">
                          <w:marLeft w:val="0"/>
                          <w:marRight w:val="0"/>
                          <w:marTop w:val="0"/>
                          <w:marBottom w:val="0"/>
                          <w:divBdr>
                            <w:top w:val="none" w:sz="0" w:space="0" w:color="auto"/>
                            <w:left w:val="none" w:sz="0" w:space="0" w:color="auto"/>
                            <w:bottom w:val="none" w:sz="0" w:space="0" w:color="auto"/>
                            <w:right w:val="none" w:sz="0" w:space="0" w:color="auto"/>
                          </w:divBdr>
                        </w:div>
                      </w:divsChild>
                    </w:div>
                    <w:div w:id="294151066">
                      <w:marLeft w:val="0"/>
                      <w:marRight w:val="0"/>
                      <w:marTop w:val="0"/>
                      <w:marBottom w:val="0"/>
                      <w:divBdr>
                        <w:top w:val="none" w:sz="0" w:space="0" w:color="auto"/>
                        <w:left w:val="none" w:sz="0" w:space="0" w:color="auto"/>
                        <w:bottom w:val="none" w:sz="0" w:space="0" w:color="auto"/>
                        <w:right w:val="none" w:sz="0" w:space="0" w:color="auto"/>
                      </w:divBdr>
                      <w:divsChild>
                        <w:div w:id="294154838">
                          <w:marLeft w:val="0"/>
                          <w:marRight w:val="0"/>
                          <w:marTop w:val="0"/>
                          <w:marBottom w:val="0"/>
                          <w:divBdr>
                            <w:top w:val="none" w:sz="0" w:space="0" w:color="auto"/>
                            <w:left w:val="none" w:sz="0" w:space="0" w:color="auto"/>
                            <w:bottom w:val="none" w:sz="0" w:space="0" w:color="auto"/>
                            <w:right w:val="none" w:sz="0" w:space="0" w:color="auto"/>
                          </w:divBdr>
                        </w:div>
                      </w:divsChild>
                    </w:div>
                    <w:div w:id="294151118">
                      <w:marLeft w:val="0"/>
                      <w:marRight w:val="0"/>
                      <w:marTop w:val="0"/>
                      <w:marBottom w:val="0"/>
                      <w:divBdr>
                        <w:top w:val="none" w:sz="0" w:space="0" w:color="auto"/>
                        <w:left w:val="none" w:sz="0" w:space="0" w:color="auto"/>
                        <w:bottom w:val="none" w:sz="0" w:space="0" w:color="auto"/>
                        <w:right w:val="none" w:sz="0" w:space="0" w:color="auto"/>
                      </w:divBdr>
                    </w:div>
                    <w:div w:id="294151126">
                      <w:marLeft w:val="0"/>
                      <w:marRight w:val="0"/>
                      <w:marTop w:val="0"/>
                      <w:marBottom w:val="0"/>
                      <w:divBdr>
                        <w:top w:val="none" w:sz="0" w:space="0" w:color="auto"/>
                        <w:left w:val="none" w:sz="0" w:space="0" w:color="auto"/>
                        <w:bottom w:val="none" w:sz="0" w:space="0" w:color="auto"/>
                        <w:right w:val="none" w:sz="0" w:space="0" w:color="auto"/>
                      </w:divBdr>
                      <w:divsChild>
                        <w:div w:id="294148969">
                          <w:marLeft w:val="0"/>
                          <w:marRight w:val="0"/>
                          <w:marTop w:val="0"/>
                          <w:marBottom w:val="0"/>
                          <w:divBdr>
                            <w:top w:val="none" w:sz="0" w:space="0" w:color="auto"/>
                            <w:left w:val="none" w:sz="0" w:space="0" w:color="auto"/>
                            <w:bottom w:val="none" w:sz="0" w:space="0" w:color="auto"/>
                            <w:right w:val="none" w:sz="0" w:space="0" w:color="auto"/>
                          </w:divBdr>
                        </w:div>
                      </w:divsChild>
                    </w:div>
                    <w:div w:id="294151137">
                      <w:marLeft w:val="0"/>
                      <w:marRight w:val="0"/>
                      <w:marTop w:val="0"/>
                      <w:marBottom w:val="0"/>
                      <w:divBdr>
                        <w:top w:val="none" w:sz="0" w:space="0" w:color="auto"/>
                        <w:left w:val="none" w:sz="0" w:space="0" w:color="auto"/>
                        <w:bottom w:val="none" w:sz="0" w:space="0" w:color="auto"/>
                        <w:right w:val="none" w:sz="0" w:space="0" w:color="auto"/>
                      </w:divBdr>
                    </w:div>
                    <w:div w:id="294151209">
                      <w:marLeft w:val="0"/>
                      <w:marRight w:val="0"/>
                      <w:marTop w:val="0"/>
                      <w:marBottom w:val="0"/>
                      <w:divBdr>
                        <w:top w:val="none" w:sz="0" w:space="0" w:color="auto"/>
                        <w:left w:val="none" w:sz="0" w:space="0" w:color="auto"/>
                        <w:bottom w:val="none" w:sz="0" w:space="0" w:color="auto"/>
                        <w:right w:val="none" w:sz="0" w:space="0" w:color="auto"/>
                      </w:divBdr>
                      <w:divsChild>
                        <w:div w:id="294141271">
                          <w:marLeft w:val="0"/>
                          <w:marRight w:val="0"/>
                          <w:marTop w:val="0"/>
                          <w:marBottom w:val="0"/>
                          <w:divBdr>
                            <w:top w:val="none" w:sz="0" w:space="0" w:color="auto"/>
                            <w:left w:val="none" w:sz="0" w:space="0" w:color="auto"/>
                            <w:bottom w:val="none" w:sz="0" w:space="0" w:color="auto"/>
                            <w:right w:val="none" w:sz="0" w:space="0" w:color="auto"/>
                          </w:divBdr>
                        </w:div>
                      </w:divsChild>
                    </w:div>
                    <w:div w:id="294151221">
                      <w:marLeft w:val="0"/>
                      <w:marRight w:val="0"/>
                      <w:marTop w:val="0"/>
                      <w:marBottom w:val="0"/>
                      <w:divBdr>
                        <w:top w:val="none" w:sz="0" w:space="0" w:color="auto"/>
                        <w:left w:val="none" w:sz="0" w:space="0" w:color="auto"/>
                        <w:bottom w:val="none" w:sz="0" w:space="0" w:color="auto"/>
                        <w:right w:val="none" w:sz="0" w:space="0" w:color="auto"/>
                      </w:divBdr>
                    </w:div>
                    <w:div w:id="294151404">
                      <w:marLeft w:val="0"/>
                      <w:marRight w:val="0"/>
                      <w:marTop w:val="0"/>
                      <w:marBottom w:val="0"/>
                      <w:divBdr>
                        <w:top w:val="none" w:sz="0" w:space="0" w:color="auto"/>
                        <w:left w:val="none" w:sz="0" w:space="0" w:color="auto"/>
                        <w:bottom w:val="none" w:sz="0" w:space="0" w:color="auto"/>
                        <w:right w:val="none" w:sz="0" w:space="0" w:color="auto"/>
                      </w:divBdr>
                    </w:div>
                    <w:div w:id="294151445">
                      <w:marLeft w:val="0"/>
                      <w:marRight w:val="0"/>
                      <w:marTop w:val="0"/>
                      <w:marBottom w:val="0"/>
                      <w:divBdr>
                        <w:top w:val="none" w:sz="0" w:space="0" w:color="auto"/>
                        <w:left w:val="none" w:sz="0" w:space="0" w:color="auto"/>
                        <w:bottom w:val="none" w:sz="0" w:space="0" w:color="auto"/>
                        <w:right w:val="none" w:sz="0" w:space="0" w:color="auto"/>
                      </w:divBdr>
                      <w:divsChild>
                        <w:div w:id="294140876">
                          <w:marLeft w:val="0"/>
                          <w:marRight w:val="0"/>
                          <w:marTop w:val="0"/>
                          <w:marBottom w:val="0"/>
                          <w:divBdr>
                            <w:top w:val="none" w:sz="0" w:space="0" w:color="auto"/>
                            <w:left w:val="none" w:sz="0" w:space="0" w:color="auto"/>
                            <w:bottom w:val="none" w:sz="0" w:space="0" w:color="auto"/>
                            <w:right w:val="none" w:sz="0" w:space="0" w:color="auto"/>
                          </w:divBdr>
                        </w:div>
                      </w:divsChild>
                    </w:div>
                    <w:div w:id="294151454">
                      <w:marLeft w:val="0"/>
                      <w:marRight w:val="0"/>
                      <w:marTop w:val="0"/>
                      <w:marBottom w:val="0"/>
                      <w:divBdr>
                        <w:top w:val="none" w:sz="0" w:space="0" w:color="auto"/>
                        <w:left w:val="none" w:sz="0" w:space="0" w:color="auto"/>
                        <w:bottom w:val="none" w:sz="0" w:space="0" w:color="auto"/>
                        <w:right w:val="none" w:sz="0" w:space="0" w:color="auto"/>
                      </w:divBdr>
                    </w:div>
                    <w:div w:id="294151629">
                      <w:marLeft w:val="0"/>
                      <w:marRight w:val="0"/>
                      <w:marTop w:val="0"/>
                      <w:marBottom w:val="0"/>
                      <w:divBdr>
                        <w:top w:val="none" w:sz="0" w:space="0" w:color="auto"/>
                        <w:left w:val="none" w:sz="0" w:space="0" w:color="auto"/>
                        <w:bottom w:val="none" w:sz="0" w:space="0" w:color="auto"/>
                        <w:right w:val="none" w:sz="0" w:space="0" w:color="auto"/>
                      </w:divBdr>
                      <w:divsChild>
                        <w:div w:id="294151865">
                          <w:marLeft w:val="0"/>
                          <w:marRight w:val="0"/>
                          <w:marTop w:val="0"/>
                          <w:marBottom w:val="0"/>
                          <w:divBdr>
                            <w:top w:val="none" w:sz="0" w:space="0" w:color="auto"/>
                            <w:left w:val="none" w:sz="0" w:space="0" w:color="auto"/>
                            <w:bottom w:val="none" w:sz="0" w:space="0" w:color="auto"/>
                            <w:right w:val="none" w:sz="0" w:space="0" w:color="auto"/>
                          </w:divBdr>
                        </w:div>
                      </w:divsChild>
                    </w:div>
                    <w:div w:id="294151748">
                      <w:marLeft w:val="0"/>
                      <w:marRight w:val="0"/>
                      <w:marTop w:val="0"/>
                      <w:marBottom w:val="0"/>
                      <w:divBdr>
                        <w:top w:val="none" w:sz="0" w:space="0" w:color="auto"/>
                        <w:left w:val="none" w:sz="0" w:space="0" w:color="auto"/>
                        <w:bottom w:val="none" w:sz="0" w:space="0" w:color="auto"/>
                        <w:right w:val="none" w:sz="0" w:space="0" w:color="auto"/>
                      </w:divBdr>
                      <w:divsChild>
                        <w:div w:id="294141153">
                          <w:marLeft w:val="0"/>
                          <w:marRight w:val="0"/>
                          <w:marTop w:val="0"/>
                          <w:marBottom w:val="0"/>
                          <w:divBdr>
                            <w:top w:val="none" w:sz="0" w:space="0" w:color="auto"/>
                            <w:left w:val="none" w:sz="0" w:space="0" w:color="auto"/>
                            <w:bottom w:val="none" w:sz="0" w:space="0" w:color="auto"/>
                            <w:right w:val="none" w:sz="0" w:space="0" w:color="auto"/>
                          </w:divBdr>
                        </w:div>
                      </w:divsChild>
                    </w:div>
                    <w:div w:id="294151763">
                      <w:marLeft w:val="0"/>
                      <w:marRight w:val="0"/>
                      <w:marTop w:val="0"/>
                      <w:marBottom w:val="0"/>
                      <w:divBdr>
                        <w:top w:val="none" w:sz="0" w:space="0" w:color="auto"/>
                        <w:left w:val="none" w:sz="0" w:space="0" w:color="auto"/>
                        <w:bottom w:val="none" w:sz="0" w:space="0" w:color="auto"/>
                        <w:right w:val="none" w:sz="0" w:space="0" w:color="auto"/>
                      </w:divBdr>
                    </w:div>
                    <w:div w:id="294151792">
                      <w:marLeft w:val="0"/>
                      <w:marRight w:val="0"/>
                      <w:marTop w:val="0"/>
                      <w:marBottom w:val="0"/>
                      <w:divBdr>
                        <w:top w:val="none" w:sz="0" w:space="0" w:color="auto"/>
                        <w:left w:val="none" w:sz="0" w:space="0" w:color="auto"/>
                        <w:bottom w:val="none" w:sz="0" w:space="0" w:color="auto"/>
                        <w:right w:val="none" w:sz="0" w:space="0" w:color="auto"/>
                      </w:divBdr>
                      <w:divsChild>
                        <w:div w:id="294140944">
                          <w:marLeft w:val="0"/>
                          <w:marRight w:val="0"/>
                          <w:marTop w:val="0"/>
                          <w:marBottom w:val="0"/>
                          <w:divBdr>
                            <w:top w:val="none" w:sz="0" w:space="0" w:color="auto"/>
                            <w:left w:val="none" w:sz="0" w:space="0" w:color="auto"/>
                            <w:bottom w:val="none" w:sz="0" w:space="0" w:color="auto"/>
                            <w:right w:val="none" w:sz="0" w:space="0" w:color="auto"/>
                          </w:divBdr>
                        </w:div>
                      </w:divsChild>
                    </w:div>
                    <w:div w:id="294151808">
                      <w:marLeft w:val="0"/>
                      <w:marRight w:val="0"/>
                      <w:marTop w:val="0"/>
                      <w:marBottom w:val="0"/>
                      <w:divBdr>
                        <w:top w:val="none" w:sz="0" w:space="0" w:color="auto"/>
                        <w:left w:val="none" w:sz="0" w:space="0" w:color="auto"/>
                        <w:bottom w:val="none" w:sz="0" w:space="0" w:color="auto"/>
                        <w:right w:val="none" w:sz="0" w:space="0" w:color="auto"/>
                      </w:divBdr>
                      <w:divsChild>
                        <w:div w:id="294138150">
                          <w:marLeft w:val="0"/>
                          <w:marRight w:val="0"/>
                          <w:marTop w:val="0"/>
                          <w:marBottom w:val="0"/>
                          <w:divBdr>
                            <w:top w:val="none" w:sz="0" w:space="0" w:color="auto"/>
                            <w:left w:val="none" w:sz="0" w:space="0" w:color="auto"/>
                            <w:bottom w:val="none" w:sz="0" w:space="0" w:color="auto"/>
                            <w:right w:val="none" w:sz="0" w:space="0" w:color="auto"/>
                          </w:divBdr>
                        </w:div>
                      </w:divsChild>
                    </w:div>
                    <w:div w:id="294151861">
                      <w:marLeft w:val="0"/>
                      <w:marRight w:val="0"/>
                      <w:marTop w:val="0"/>
                      <w:marBottom w:val="0"/>
                      <w:divBdr>
                        <w:top w:val="none" w:sz="0" w:space="0" w:color="auto"/>
                        <w:left w:val="none" w:sz="0" w:space="0" w:color="auto"/>
                        <w:bottom w:val="none" w:sz="0" w:space="0" w:color="auto"/>
                        <w:right w:val="none" w:sz="0" w:space="0" w:color="auto"/>
                      </w:divBdr>
                    </w:div>
                    <w:div w:id="294151862">
                      <w:marLeft w:val="0"/>
                      <w:marRight w:val="0"/>
                      <w:marTop w:val="0"/>
                      <w:marBottom w:val="0"/>
                      <w:divBdr>
                        <w:top w:val="none" w:sz="0" w:space="0" w:color="auto"/>
                        <w:left w:val="none" w:sz="0" w:space="0" w:color="auto"/>
                        <w:bottom w:val="none" w:sz="0" w:space="0" w:color="auto"/>
                        <w:right w:val="none" w:sz="0" w:space="0" w:color="auto"/>
                      </w:divBdr>
                      <w:divsChild>
                        <w:div w:id="294144940">
                          <w:marLeft w:val="0"/>
                          <w:marRight w:val="0"/>
                          <w:marTop w:val="0"/>
                          <w:marBottom w:val="0"/>
                          <w:divBdr>
                            <w:top w:val="none" w:sz="0" w:space="0" w:color="auto"/>
                            <w:left w:val="none" w:sz="0" w:space="0" w:color="auto"/>
                            <w:bottom w:val="none" w:sz="0" w:space="0" w:color="auto"/>
                            <w:right w:val="none" w:sz="0" w:space="0" w:color="auto"/>
                          </w:divBdr>
                        </w:div>
                      </w:divsChild>
                    </w:div>
                    <w:div w:id="294151934">
                      <w:marLeft w:val="0"/>
                      <w:marRight w:val="0"/>
                      <w:marTop w:val="0"/>
                      <w:marBottom w:val="0"/>
                      <w:divBdr>
                        <w:top w:val="none" w:sz="0" w:space="0" w:color="auto"/>
                        <w:left w:val="none" w:sz="0" w:space="0" w:color="auto"/>
                        <w:bottom w:val="none" w:sz="0" w:space="0" w:color="auto"/>
                        <w:right w:val="none" w:sz="0" w:space="0" w:color="auto"/>
                      </w:divBdr>
                      <w:divsChild>
                        <w:div w:id="294151868">
                          <w:marLeft w:val="0"/>
                          <w:marRight w:val="0"/>
                          <w:marTop w:val="0"/>
                          <w:marBottom w:val="0"/>
                          <w:divBdr>
                            <w:top w:val="none" w:sz="0" w:space="0" w:color="auto"/>
                            <w:left w:val="none" w:sz="0" w:space="0" w:color="auto"/>
                            <w:bottom w:val="none" w:sz="0" w:space="0" w:color="auto"/>
                            <w:right w:val="none" w:sz="0" w:space="0" w:color="auto"/>
                          </w:divBdr>
                        </w:div>
                      </w:divsChild>
                    </w:div>
                    <w:div w:id="294151954">
                      <w:marLeft w:val="0"/>
                      <w:marRight w:val="0"/>
                      <w:marTop w:val="0"/>
                      <w:marBottom w:val="0"/>
                      <w:divBdr>
                        <w:top w:val="none" w:sz="0" w:space="0" w:color="auto"/>
                        <w:left w:val="none" w:sz="0" w:space="0" w:color="auto"/>
                        <w:bottom w:val="none" w:sz="0" w:space="0" w:color="auto"/>
                        <w:right w:val="none" w:sz="0" w:space="0" w:color="auto"/>
                      </w:divBdr>
                    </w:div>
                    <w:div w:id="294151955">
                      <w:marLeft w:val="0"/>
                      <w:marRight w:val="0"/>
                      <w:marTop w:val="0"/>
                      <w:marBottom w:val="0"/>
                      <w:divBdr>
                        <w:top w:val="none" w:sz="0" w:space="0" w:color="auto"/>
                        <w:left w:val="none" w:sz="0" w:space="0" w:color="auto"/>
                        <w:bottom w:val="none" w:sz="0" w:space="0" w:color="auto"/>
                        <w:right w:val="none" w:sz="0" w:space="0" w:color="auto"/>
                      </w:divBdr>
                    </w:div>
                    <w:div w:id="294151967">
                      <w:marLeft w:val="0"/>
                      <w:marRight w:val="0"/>
                      <w:marTop w:val="0"/>
                      <w:marBottom w:val="0"/>
                      <w:divBdr>
                        <w:top w:val="none" w:sz="0" w:space="0" w:color="auto"/>
                        <w:left w:val="none" w:sz="0" w:space="0" w:color="auto"/>
                        <w:bottom w:val="none" w:sz="0" w:space="0" w:color="auto"/>
                        <w:right w:val="none" w:sz="0" w:space="0" w:color="auto"/>
                      </w:divBdr>
                      <w:divsChild>
                        <w:div w:id="294144740">
                          <w:marLeft w:val="0"/>
                          <w:marRight w:val="0"/>
                          <w:marTop w:val="0"/>
                          <w:marBottom w:val="0"/>
                          <w:divBdr>
                            <w:top w:val="none" w:sz="0" w:space="0" w:color="auto"/>
                            <w:left w:val="none" w:sz="0" w:space="0" w:color="auto"/>
                            <w:bottom w:val="none" w:sz="0" w:space="0" w:color="auto"/>
                            <w:right w:val="none" w:sz="0" w:space="0" w:color="auto"/>
                          </w:divBdr>
                        </w:div>
                      </w:divsChild>
                    </w:div>
                    <w:div w:id="294152066">
                      <w:marLeft w:val="0"/>
                      <w:marRight w:val="0"/>
                      <w:marTop w:val="0"/>
                      <w:marBottom w:val="0"/>
                      <w:divBdr>
                        <w:top w:val="none" w:sz="0" w:space="0" w:color="auto"/>
                        <w:left w:val="none" w:sz="0" w:space="0" w:color="auto"/>
                        <w:bottom w:val="none" w:sz="0" w:space="0" w:color="auto"/>
                        <w:right w:val="none" w:sz="0" w:space="0" w:color="auto"/>
                      </w:divBdr>
                      <w:divsChild>
                        <w:div w:id="294139996">
                          <w:marLeft w:val="0"/>
                          <w:marRight w:val="0"/>
                          <w:marTop w:val="0"/>
                          <w:marBottom w:val="0"/>
                          <w:divBdr>
                            <w:top w:val="none" w:sz="0" w:space="0" w:color="auto"/>
                            <w:left w:val="none" w:sz="0" w:space="0" w:color="auto"/>
                            <w:bottom w:val="none" w:sz="0" w:space="0" w:color="auto"/>
                            <w:right w:val="none" w:sz="0" w:space="0" w:color="auto"/>
                          </w:divBdr>
                        </w:div>
                      </w:divsChild>
                    </w:div>
                    <w:div w:id="294152084">
                      <w:marLeft w:val="0"/>
                      <w:marRight w:val="0"/>
                      <w:marTop w:val="0"/>
                      <w:marBottom w:val="0"/>
                      <w:divBdr>
                        <w:top w:val="none" w:sz="0" w:space="0" w:color="auto"/>
                        <w:left w:val="none" w:sz="0" w:space="0" w:color="auto"/>
                        <w:bottom w:val="none" w:sz="0" w:space="0" w:color="auto"/>
                        <w:right w:val="none" w:sz="0" w:space="0" w:color="auto"/>
                      </w:divBdr>
                    </w:div>
                    <w:div w:id="294152103">
                      <w:marLeft w:val="0"/>
                      <w:marRight w:val="0"/>
                      <w:marTop w:val="0"/>
                      <w:marBottom w:val="0"/>
                      <w:divBdr>
                        <w:top w:val="none" w:sz="0" w:space="0" w:color="auto"/>
                        <w:left w:val="none" w:sz="0" w:space="0" w:color="auto"/>
                        <w:bottom w:val="none" w:sz="0" w:space="0" w:color="auto"/>
                        <w:right w:val="none" w:sz="0" w:space="0" w:color="auto"/>
                      </w:divBdr>
                      <w:divsChild>
                        <w:div w:id="294151107">
                          <w:marLeft w:val="0"/>
                          <w:marRight w:val="0"/>
                          <w:marTop w:val="0"/>
                          <w:marBottom w:val="0"/>
                          <w:divBdr>
                            <w:top w:val="none" w:sz="0" w:space="0" w:color="auto"/>
                            <w:left w:val="none" w:sz="0" w:space="0" w:color="auto"/>
                            <w:bottom w:val="none" w:sz="0" w:space="0" w:color="auto"/>
                            <w:right w:val="none" w:sz="0" w:space="0" w:color="auto"/>
                          </w:divBdr>
                        </w:div>
                      </w:divsChild>
                    </w:div>
                    <w:div w:id="294152120">
                      <w:marLeft w:val="0"/>
                      <w:marRight w:val="0"/>
                      <w:marTop w:val="0"/>
                      <w:marBottom w:val="0"/>
                      <w:divBdr>
                        <w:top w:val="none" w:sz="0" w:space="0" w:color="auto"/>
                        <w:left w:val="none" w:sz="0" w:space="0" w:color="auto"/>
                        <w:bottom w:val="none" w:sz="0" w:space="0" w:color="auto"/>
                        <w:right w:val="none" w:sz="0" w:space="0" w:color="auto"/>
                      </w:divBdr>
                    </w:div>
                    <w:div w:id="294152182">
                      <w:marLeft w:val="0"/>
                      <w:marRight w:val="0"/>
                      <w:marTop w:val="0"/>
                      <w:marBottom w:val="0"/>
                      <w:divBdr>
                        <w:top w:val="none" w:sz="0" w:space="0" w:color="auto"/>
                        <w:left w:val="none" w:sz="0" w:space="0" w:color="auto"/>
                        <w:bottom w:val="none" w:sz="0" w:space="0" w:color="auto"/>
                        <w:right w:val="none" w:sz="0" w:space="0" w:color="auto"/>
                      </w:divBdr>
                    </w:div>
                    <w:div w:id="294152271">
                      <w:marLeft w:val="0"/>
                      <w:marRight w:val="0"/>
                      <w:marTop w:val="0"/>
                      <w:marBottom w:val="0"/>
                      <w:divBdr>
                        <w:top w:val="none" w:sz="0" w:space="0" w:color="auto"/>
                        <w:left w:val="none" w:sz="0" w:space="0" w:color="auto"/>
                        <w:bottom w:val="none" w:sz="0" w:space="0" w:color="auto"/>
                        <w:right w:val="none" w:sz="0" w:space="0" w:color="auto"/>
                      </w:divBdr>
                    </w:div>
                    <w:div w:id="294152512">
                      <w:marLeft w:val="0"/>
                      <w:marRight w:val="0"/>
                      <w:marTop w:val="0"/>
                      <w:marBottom w:val="0"/>
                      <w:divBdr>
                        <w:top w:val="none" w:sz="0" w:space="0" w:color="auto"/>
                        <w:left w:val="none" w:sz="0" w:space="0" w:color="auto"/>
                        <w:bottom w:val="none" w:sz="0" w:space="0" w:color="auto"/>
                        <w:right w:val="none" w:sz="0" w:space="0" w:color="auto"/>
                      </w:divBdr>
                    </w:div>
                    <w:div w:id="294152517">
                      <w:marLeft w:val="0"/>
                      <w:marRight w:val="0"/>
                      <w:marTop w:val="0"/>
                      <w:marBottom w:val="0"/>
                      <w:divBdr>
                        <w:top w:val="none" w:sz="0" w:space="0" w:color="auto"/>
                        <w:left w:val="none" w:sz="0" w:space="0" w:color="auto"/>
                        <w:bottom w:val="none" w:sz="0" w:space="0" w:color="auto"/>
                        <w:right w:val="none" w:sz="0" w:space="0" w:color="auto"/>
                      </w:divBdr>
                      <w:divsChild>
                        <w:div w:id="294140435">
                          <w:marLeft w:val="0"/>
                          <w:marRight w:val="0"/>
                          <w:marTop w:val="0"/>
                          <w:marBottom w:val="0"/>
                          <w:divBdr>
                            <w:top w:val="none" w:sz="0" w:space="0" w:color="auto"/>
                            <w:left w:val="none" w:sz="0" w:space="0" w:color="auto"/>
                            <w:bottom w:val="none" w:sz="0" w:space="0" w:color="auto"/>
                            <w:right w:val="none" w:sz="0" w:space="0" w:color="auto"/>
                          </w:divBdr>
                        </w:div>
                      </w:divsChild>
                    </w:div>
                    <w:div w:id="294152745">
                      <w:marLeft w:val="0"/>
                      <w:marRight w:val="0"/>
                      <w:marTop w:val="0"/>
                      <w:marBottom w:val="0"/>
                      <w:divBdr>
                        <w:top w:val="none" w:sz="0" w:space="0" w:color="auto"/>
                        <w:left w:val="none" w:sz="0" w:space="0" w:color="auto"/>
                        <w:bottom w:val="none" w:sz="0" w:space="0" w:color="auto"/>
                        <w:right w:val="none" w:sz="0" w:space="0" w:color="auto"/>
                      </w:divBdr>
                      <w:divsChild>
                        <w:div w:id="294141632">
                          <w:marLeft w:val="0"/>
                          <w:marRight w:val="0"/>
                          <w:marTop w:val="0"/>
                          <w:marBottom w:val="0"/>
                          <w:divBdr>
                            <w:top w:val="none" w:sz="0" w:space="0" w:color="auto"/>
                            <w:left w:val="none" w:sz="0" w:space="0" w:color="auto"/>
                            <w:bottom w:val="none" w:sz="0" w:space="0" w:color="auto"/>
                            <w:right w:val="none" w:sz="0" w:space="0" w:color="auto"/>
                          </w:divBdr>
                        </w:div>
                      </w:divsChild>
                    </w:div>
                    <w:div w:id="294152804">
                      <w:marLeft w:val="0"/>
                      <w:marRight w:val="0"/>
                      <w:marTop w:val="0"/>
                      <w:marBottom w:val="0"/>
                      <w:divBdr>
                        <w:top w:val="none" w:sz="0" w:space="0" w:color="auto"/>
                        <w:left w:val="none" w:sz="0" w:space="0" w:color="auto"/>
                        <w:bottom w:val="none" w:sz="0" w:space="0" w:color="auto"/>
                        <w:right w:val="none" w:sz="0" w:space="0" w:color="auto"/>
                      </w:divBdr>
                    </w:div>
                    <w:div w:id="294152814">
                      <w:marLeft w:val="0"/>
                      <w:marRight w:val="0"/>
                      <w:marTop w:val="0"/>
                      <w:marBottom w:val="0"/>
                      <w:divBdr>
                        <w:top w:val="none" w:sz="0" w:space="0" w:color="auto"/>
                        <w:left w:val="none" w:sz="0" w:space="0" w:color="auto"/>
                        <w:bottom w:val="none" w:sz="0" w:space="0" w:color="auto"/>
                        <w:right w:val="none" w:sz="0" w:space="0" w:color="auto"/>
                      </w:divBdr>
                      <w:divsChild>
                        <w:div w:id="294153619">
                          <w:marLeft w:val="0"/>
                          <w:marRight w:val="0"/>
                          <w:marTop w:val="0"/>
                          <w:marBottom w:val="0"/>
                          <w:divBdr>
                            <w:top w:val="none" w:sz="0" w:space="0" w:color="auto"/>
                            <w:left w:val="none" w:sz="0" w:space="0" w:color="auto"/>
                            <w:bottom w:val="none" w:sz="0" w:space="0" w:color="auto"/>
                            <w:right w:val="none" w:sz="0" w:space="0" w:color="auto"/>
                          </w:divBdr>
                        </w:div>
                      </w:divsChild>
                    </w:div>
                    <w:div w:id="294152840">
                      <w:marLeft w:val="0"/>
                      <w:marRight w:val="0"/>
                      <w:marTop w:val="0"/>
                      <w:marBottom w:val="0"/>
                      <w:divBdr>
                        <w:top w:val="none" w:sz="0" w:space="0" w:color="auto"/>
                        <w:left w:val="none" w:sz="0" w:space="0" w:color="auto"/>
                        <w:bottom w:val="none" w:sz="0" w:space="0" w:color="auto"/>
                        <w:right w:val="none" w:sz="0" w:space="0" w:color="auto"/>
                      </w:divBdr>
                      <w:divsChild>
                        <w:div w:id="294140208">
                          <w:marLeft w:val="0"/>
                          <w:marRight w:val="0"/>
                          <w:marTop w:val="0"/>
                          <w:marBottom w:val="0"/>
                          <w:divBdr>
                            <w:top w:val="none" w:sz="0" w:space="0" w:color="auto"/>
                            <w:left w:val="none" w:sz="0" w:space="0" w:color="auto"/>
                            <w:bottom w:val="none" w:sz="0" w:space="0" w:color="auto"/>
                            <w:right w:val="none" w:sz="0" w:space="0" w:color="auto"/>
                          </w:divBdr>
                        </w:div>
                      </w:divsChild>
                    </w:div>
                    <w:div w:id="294152857">
                      <w:marLeft w:val="0"/>
                      <w:marRight w:val="0"/>
                      <w:marTop w:val="0"/>
                      <w:marBottom w:val="0"/>
                      <w:divBdr>
                        <w:top w:val="none" w:sz="0" w:space="0" w:color="auto"/>
                        <w:left w:val="none" w:sz="0" w:space="0" w:color="auto"/>
                        <w:bottom w:val="none" w:sz="0" w:space="0" w:color="auto"/>
                        <w:right w:val="none" w:sz="0" w:space="0" w:color="auto"/>
                      </w:divBdr>
                    </w:div>
                    <w:div w:id="294152955">
                      <w:marLeft w:val="0"/>
                      <w:marRight w:val="0"/>
                      <w:marTop w:val="0"/>
                      <w:marBottom w:val="0"/>
                      <w:divBdr>
                        <w:top w:val="none" w:sz="0" w:space="0" w:color="auto"/>
                        <w:left w:val="none" w:sz="0" w:space="0" w:color="auto"/>
                        <w:bottom w:val="none" w:sz="0" w:space="0" w:color="auto"/>
                        <w:right w:val="none" w:sz="0" w:space="0" w:color="auto"/>
                      </w:divBdr>
                    </w:div>
                    <w:div w:id="294153003">
                      <w:marLeft w:val="0"/>
                      <w:marRight w:val="0"/>
                      <w:marTop w:val="0"/>
                      <w:marBottom w:val="0"/>
                      <w:divBdr>
                        <w:top w:val="none" w:sz="0" w:space="0" w:color="auto"/>
                        <w:left w:val="none" w:sz="0" w:space="0" w:color="auto"/>
                        <w:bottom w:val="none" w:sz="0" w:space="0" w:color="auto"/>
                        <w:right w:val="none" w:sz="0" w:space="0" w:color="auto"/>
                      </w:divBdr>
                      <w:divsChild>
                        <w:div w:id="294149947">
                          <w:marLeft w:val="0"/>
                          <w:marRight w:val="0"/>
                          <w:marTop w:val="0"/>
                          <w:marBottom w:val="0"/>
                          <w:divBdr>
                            <w:top w:val="none" w:sz="0" w:space="0" w:color="auto"/>
                            <w:left w:val="none" w:sz="0" w:space="0" w:color="auto"/>
                            <w:bottom w:val="none" w:sz="0" w:space="0" w:color="auto"/>
                            <w:right w:val="none" w:sz="0" w:space="0" w:color="auto"/>
                          </w:divBdr>
                        </w:div>
                      </w:divsChild>
                    </w:div>
                    <w:div w:id="294153055">
                      <w:marLeft w:val="0"/>
                      <w:marRight w:val="0"/>
                      <w:marTop w:val="0"/>
                      <w:marBottom w:val="0"/>
                      <w:divBdr>
                        <w:top w:val="none" w:sz="0" w:space="0" w:color="auto"/>
                        <w:left w:val="none" w:sz="0" w:space="0" w:color="auto"/>
                        <w:bottom w:val="none" w:sz="0" w:space="0" w:color="auto"/>
                        <w:right w:val="none" w:sz="0" w:space="0" w:color="auto"/>
                      </w:divBdr>
                    </w:div>
                    <w:div w:id="294153057">
                      <w:marLeft w:val="0"/>
                      <w:marRight w:val="0"/>
                      <w:marTop w:val="0"/>
                      <w:marBottom w:val="0"/>
                      <w:divBdr>
                        <w:top w:val="none" w:sz="0" w:space="0" w:color="auto"/>
                        <w:left w:val="none" w:sz="0" w:space="0" w:color="auto"/>
                        <w:bottom w:val="none" w:sz="0" w:space="0" w:color="auto"/>
                        <w:right w:val="none" w:sz="0" w:space="0" w:color="auto"/>
                      </w:divBdr>
                      <w:divsChild>
                        <w:div w:id="294140388">
                          <w:marLeft w:val="0"/>
                          <w:marRight w:val="0"/>
                          <w:marTop w:val="0"/>
                          <w:marBottom w:val="0"/>
                          <w:divBdr>
                            <w:top w:val="none" w:sz="0" w:space="0" w:color="auto"/>
                            <w:left w:val="none" w:sz="0" w:space="0" w:color="auto"/>
                            <w:bottom w:val="none" w:sz="0" w:space="0" w:color="auto"/>
                            <w:right w:val="none" w:sz="0" w:space="0" w:color="auto"/>
                          </w:divBdr>
                        </w:div>
                      </w:divsChild>
                    </w:div>
                    <w:div w:id="294153090">
                      <w:marLeft w:val="0"/>
                      <w:marRight w:val="0"/>
                      <w:marTop w:val="0"/>
                      <w:marBottom w:val="0"/>
                      <w:divBdr>
                        <w:top w:val="none" w:sz="0" w:space="0" w:color="auto"/>
                        <w:left w:val="none" w:sz="0" w:space="0" w:color="auto"/>
                        <w:bottom w:val="none" w:sz="0" w:space="0" w:color="auto"/>
                        <w:right w:val="none" w:sz="0" w:space="0" w:color="auto"/>
                      </w:divBdr>
                    </w:div>
                    <w:div w:id="294153145">
                      <w:marLeft w:val="0"/>
                      <w:marRight w:val="0"/>
                      <w:marTop w:val="0"/>
                      <w:marBottom w:val="0"/>
                      <w:divBdr>
                        <w:top w:val="none" w:sz="0" w:space="0" w:color="auto"/>
                        <w:left w:val="none" w:sz="0" w:space="0" w:color="auto"/>
                        <w:bottom w:val="none" w:sz="0" w:space="0" w:color="auto"/>
                        <w:right w:val="none" w:sz="0" w:space="0" w:color="auto"/>
                      </w:divBdr>
                    </w:div>
                    <w:div w:id="294153208">
                      <w:marLeft w:val="0"/>
                      <w:marRight w:val="0"/>
                      <w:marTop w:val="0"/>
                      <w:marBottom w:val="0"/>
                      <w:divBdr>
                        <w:top w:val="none" w:sz="0" w:space="0" w:color="auto"/>
                        <w:left w:val="none" w:sz="0" w:space="0" w:color="auto"/>
                        <w:bottom w:val="none" w:sz="0" w:space="0" w:color="auto"/>
                        <w:right w:val="none" w:sz="0" w:space="0" w:color="auto"/>
                      </w:divBdr>
                      <w:divsChild>
                        <w:div w:id="294138943">
                          <w:marLeft w:val="0"/>
                          <w:marRight w:val="0"/>
                          <w:marTop w:val="0"/>
                          <w:marBottom w:val="0"/>
                          <w:divBdr>
                            <w:top w:val="none" w:sz="0" w:space="0" w:color="auto"/>
                            <w:left w:val="none" w:sz="0" w:space="0" w:color="auto"/>
                            <w:bottom w:val="none" w:sz="0" w:space="0" w:color="auto"/>
                            <w:right w:val="none" w:sz="0" w:space="0" w:color="auto"/>
                          </w:divBdr>
                        </w:div>
                      </w:divsChild>
                    </w:div>
                    <w:div w:id="294153400">
                      <w:marLeft w:val="0"/>
                      <w:marRight w:val="0"/>
                      <w:marTop w:val="0"/>
                      <w:marBottom w:val="0"/>
                      <w:divBdr>
                        <w:top w:val="none" w:sz="0" w:space="0" w:color="auto"/>
                        <w:left w:val="none" w:sz="0" w:space="0" w:color="auto"/>
                        <w:bottom w:val="none" w:sz="0" w:space="0" w:color="auto"/>
                        <w:right w:val="none" w:sz="0" w:space="0" w:color="auto"/>
                      </w:divBdr>
                      <w:divsChild>
                        <w:div w:id="294140716">
                          <w:marLeft w:val="0"/>
                          <w:marRight w:val="0"/>
                          <w:marTop w:val="0"/>
                          <w:marBottom w:val="0"/>
                          <w:divBdr>
                            <w:top w:val="none" w:sz="0" w:space="0" w:color="auto"/>
                            <w:left w:val="none" w:sz="0" w:space="0" w:color="auto"/>
                            <w:bottom w:val="none" w:sz="0" w:space="0" w:color="auto"/>
                            <w:right w:val="none" w:sz="0" w:space="0" w:color="auto"/>
                          </w:divBdr>
                        </w:div>
                      </w:divsChild>
                    </w:div>
                    <w:div w:id="294153407">
                      <w:marLeft w:val="0"/>
                      <w:marRight w:val="0"/>
                      <w:marTop w:val="0"/>
                      <w:marBottom w:val="0"/>
                      <w:divBdr>
                        <w:top w:val="none" w:sz="0" w:space="0" w:color="auto"/>
                        <w:left w:val="none" w:sz="0" w:space="0" w:color="auto"/>
                        <w:bottom w:val="none" w:sz="0" w:space="0" w:color="auto"/>
                        <w:right w:val="none" w:sz="0" w:space="0" w:color="auto"/>
                      </w:divBdr>
                      <w:divsChild>
                        <w:div w:id="294155910">
                          <w:marLeft w:val="0"/>
                          <w:marRight w:val="0"/>
                          <w:marTop w:val="0"/>
                          <w:marBottom w:val="0"/>
                          <w:divBdr>
                            <w:top w:val="none" w:sz="0" w:space="0" w:color="auto"/>
                            <w:left w:val="none" w:sz="0" w:space="0" w:color="auto"/>
                            <w:bottom w:val="none" w:sz="0" w:space="0" w:color="auto"/>
                            <w:right w:val="none" w:sz="0" w:space="0" w:color="auto"/>
                          </w:divBdr>
                        </w:div>
                      </w:divsChild>
                    </w:div>
                    <w:div w:id="294153463">
                      <w:marLeft w:val="0"/>
                      <w:marRight w:val="0"/>
                      <w:marTop w:val="0"/>
                      <w:marBottom w:val="0"/>
                      <w:divBdr>
                        <w:top w:val="none" w:sz="0" w:space="0" w:color="auto"/>
                        <w:left w:val="none" w:sz="0" w:space="0" w:color="auto"/>
                        <w:bottom w:val="none" w:sz="0" w:space="0" w:color="auto"/>
                        <w:right w:val="none" w:sz="0" w:space="0" w:color="auto"/>
                      </w:divBdr>
                      <w:divsChild>
                        <w:div w:id="294141321">
                          <w:marLeft w:val="0"/>
                          <w:marRight w:val="0"/>
                          <w:marTop w:val="0"/>
                          <w:marBottom w:val="0"/>
                          <w:divBdr>
                            <w:top w:val="none" w:sz="0" w:space="0" w:color="auto"/>
                            <w:left w:val="none" w:sz="0" w:space="0" w:color="auto"/>
                            <w:bottom w:val="none" w:sz="0" w:space="0" w:color="auto"/>
                            <w:right w:val="none" w:sz="0" w:space="0" w:color="auto"/>
                          </w:divBdr>
                        </w:div>
                      </w:divsChild>
                    </w:div>
                    <w:div w:id="294153466">
                      <w:marLeft w:val="0"/>
                      <w:marRight w:val="0"/>
                      <w:marTop w:val="0"/>
                      <w:marBottom w:val="0"/>
                      <w:divBdr>
                        <w:top w:val="none" w:sz="0" w:space="0" w:color="auto"/>
                        <w:left w:val="none" w:sz="0" w:space="0" w:color="auto"/>
                        <w:bottom w:val="none" w:sz="0" w:space="0" w:color="auto"/>
                        <w:right w:val="none" w:sz="0" w:space="0" w:color="auto"/>
                      </w:divBdr>
                      <w:divsChild>
                        <w:div w:id="294143014">
                          <w:marLeft w:val="0"/>
                          <w:marRight w:val="0"/>
                          <w:marTop w:val="0"/>
                          <w:marBottom w:val="0"/>
                          <w:divBdr>
                            <w:top w:val="none" w:sz="0" w:space="0" w:color="auto"/>
                            <w:left w:val="none" w:sz="0" w:space="0" w:color="auto"/>
                            <w:bottom w:val="none" w:sz="0" w:space="0" w:color="auto"/>
                            <w:right w:val="none" w:sz="0" w:space="0" w:color="auto"/>
                          </w:divBdr>
                        </w:div>
                      </w:divsChild>
                    </w:div>
                    <w:div w:id="294153544">
                      <w:marLeft w:val="0"/>
                      <w:marRight w:val="0"/>
                      <w:marTop w:val="0"/>
                      <w:marBottom w:val="0"/>
                      <w:divBdr>
                        <w:top w:val="none" w:sz="0" w:space="0" w:color="auto"/>
                        <w:left w:val="none" w:sz="0" w:space="0" w:color="auto"/>
                        <w:bottom w:val="none" w:sz="0" w:space="0" w:color="auto"/>
                        <w:right w:val="none" w:sz="0" w:space="0" w:color="auto"/>
                      </w:divBdr>
                    </w:div>
                    <w:div w:id="294153562">
                      <w:marLeft w:val="0"/>
                      <w:marRight w:val="0"/>
                      <w:marTop w:val="0"/>
                      <w:marBottom w:val="0"/>
                      <w:divBdr>
                        <w:top w:val="none" w:sz="0" w:space="0" w:color="auto"/>
                        <w:left w:val="none" w:sz="0" w:space="0" w:color="auto"/>
                        <w:bottom w:val="none" w:sz="0" w:space="0" w:color="auto"/>
                        <w:right w:val="none" w:sz="0" w:space="0" w:color="auto"/>
                      </w:divBdr>
                      <w:divsChild>
                        <w:div w:id="294149435">
                          <w:marLeft w:val="0"/>
                          <w:marRight w:val="0"/>
                          <w:marTop w:val="0"/>
                          <w:marBottom w:val="0"/>
                          <w:divBdr>
                            <w:top w:val="none" w:sz="0" w:space="0" w:color="auto"/>
                            <w:left w:val="none" w:sz="0" w:space="0" w:color="auto"/>
                            <w:bottom w:val="none" w:sz="0" w:space="0" w:color="auto"/>
                            <w:right w:val="none" w:sz="0" w:space="0" w:color="auto"/>
                          </w:divBdr>
                        </w:div>
                      </w:divsChild>
                    </w:div>
                    <w:div w:id="294153689">
                      <w:marLeft w:val="0"/>
                      <w:marRight w:val="0"/>
                      <w:marTop w:val="0"/>
                      <w:marBottom w:val="0"/>
                      <w:divBdr>
                        <w:top w:val="none" w:sz="0" w:space="0" w:color="auto"/>
                        <w:left w:val="none" w:sz="0" w:space="0" w:color="auto"/>
                        <w:bottom w:val="none" w:sz="0" w:space="0" w:color="auto"/>
                        <w:right w:val="none" w:sz="0" w:space="0" w:color="auto"/>
                      </w:divBdr>
                    </w:div>
                    <w:div w:id="294153700">
                      <w:marLeft w:val="0"/>
                      <w:marRight w:val="0"/>
                      <w:marTop w:val="0"/>
                      <w:marBottom w:val="0"/>
                      <w:divBdr>
                        <w:top w:val="none" w:sz="0" w:space="0" w:color="auto"/>
                        <w:left w:val="none" w:sz="0" w:space="0" w:color="auto"/>
                        <w:bottom w:val="none" w:sz="0" w:space="0" w:color="auto"/>
                        <w:right w:val="none" w:sz="0" w:space="0" w:color="auto"/>
                      </w:divBdr>
                      <w:divsChild>
                        <w:div w:id="294148069">
                          <w:marLeft w:val="0"/>
                          <w:marRight w:val="0"/>
                          <w:marTop w:val="0"/>
                          <w:marBottom w:val="0"/>
                          <w:divBdr>
                            <w:top w:val="none" w:sz="0" w:space="0" w:color="auto"/>
                            <w:left w:val="none" w:sz="0" w:space="0" w:color="auto"/>
                            <w:bottom w:val="none" w:sz="0" w:space="0" w:color="auto"/>
                            <w:right w:val="none" w:sz="0" w:space="0" w:color="auto"/>
                          </w:divBdr>
                        </w:div>
                      </w:divsChild>
                    </w:div>
                    <w:div w:id="294153773">
                      <w:marLeft w:val="0"/>
                      <w:marRight w:val="0"/>
                      <w:marTop w:val="0"/>
                      <w:marBottom w:val="0"/>
                      <w:divBdr>
                        <w:top w:val="none" w:sz="0" w:space="0" w:color="auto"/>
                        <w:left w:val="none" w:sz="0" w:space="0" w:color="auto"/>
                        <w:bottom w:val="none" w:sz="0" w:space="0" w:color="auto"/>
                        <w:right w:val="none" w:sz="0" w:space="0" w:color="auto"/>
                      </w:divBdr>
                      <w:divsChild>
                        <w:div w:id="294156934">
                          <w:marLeft w:val="0"/>
                          <w:marRight w:val="0"/>
                          <w:marTop w:val="0"/>
                          <w:marBottom w:val="0"/>
                          <w:divBdr>
                            <w:top w:val="none" w:sz="0" w:space="0" w:color="auto"/>
                            <w:left w:val="none" w:sz="0" w:space="0" w:color="auto"/>
                            <w:bottom w:val="none" w:sz="0" w:space="0" w:color="auto"/>
                            <w:right w:val="none" w:sz="0" w:space="0" w:color="auto"/>
                          </w:divBdr>
                        </w:div>
                      </w:divsChild>
                    </w:div>
                    <w:div w:id="294153841">
                      <w:marLeft w:val="0"/>
                      <w:marRight w:val="0"/>
                      <w:marTop w:val="0"/>
                      <w:marBottom w:val="0"/>
                      <w:divBdr>
                        <w:top w:val="none" w:sz="0" w:space="0" w:color="auto"/>
                        <w:left w:val="none" w:sz="0" w:space="0" w:color="auto"/>
                        <w:bottom w:val="none" w:sz="0" w:space="0" w:color="auto"/>
                        <w:right w:val="none" w:sz="0" w:space="0" w:color="auto"/>
                      </w:divBdr>
                    </w:div>
                    <w:div w:id="294153889">
                      <w:marLeft w:val="0"/>
                      <w:marRight w:val="0"/>
                      <w:marTop w:val="0"/>
                      <w:marBottom w:val="0"/>
                      <w:divBdr>
                        <w:top w:val="none" w:sz="0" w:space="0" w:color="auto"/>
                        <w:left w:val="none" w:sz="0" w:space="0" w:color="auto"/>
                        <w:bottom w:val="none" w:sz="0" w:space="0" w:color="auto"/>
                        <w:right w:val="none" w:sz="0" w:space="0" w:color="auto"/>
                      </w:divBdr>
                    </w:div>
                    <w:div w:id="294153898">
                      <w:marLeft w:val="0"/>
                      <w:marRight w:val="0"/>
                      <w:marTop w:val="0"/>
                      <w:marBottom w:val="0"/>
                      <w:divBdr>
                        <w:top w:val="none" w:sz="0" w:space="0" w:color="auto"/>
                        <w:left w:val="none" w:sz="0" w:space="0" w:color="auto"/>
                        <w:bottom w:val="none" w:sz="0" w:space="0" w:color="auto"/>
                        <w:right w:val="none" w:sz="0" w:space="0" w:color="auto"/>
                      </w:divBdr>
                    </w:div>
                    <w:div w:id="294153901">
                      <w:marLeft w:val="0"/>
                      <w:marRight w:val="0"/>
                      <w:marTop w:val="0"/>
                      <w:marBottom w:val="0"/>
                      <w:divBdr>
                        <w:top w:val="none" w:sz="0" w:space="0" w:color="auto"/>
                        <w:left w:val="none" w:sz="0" w:space="0" w:color="auto"/>
                        <w:bottom w:val="none" w:sz="0" w:space="0" w:color="auto"/>
                        <w:right w:val="none" w:sz="0" w:space="0" w:color="auto"/>
                      </w:divBdr>
                      <w:divsChild>
                        <w:div w:id="294152345">
                          <w:marLeft w:val="0"/>
                          <w:marRight w:val="0"/>
                          <w:marTop w:val="0"/>
                          <w:marBottom w:val="0"/>
                          <w:divBdr>
                            <w:top w:val="none" w:sz="0" w:space="0" w:color="auto"/>
                            <w:left w:val="none" w:sz="0" w:space="0" w:color="auto"/>
                            <w:bottom w:val="none" w:sz="0" w:space="0" w:color="auto"/>
                            <w:right w:val="none" w:sz="0" w:space="0" w:color="auto"/>
                          </w:divBdr>
                        </w:div>
                      </w:divsChild>
                    </w:div>
                    <w:div w:id="294154083">
                      <w:marLeft w:val="0"/>
                      <w:marRight w:val="0"/>
                      <w:marTop w:val="0"/>
                      <w:marBottom w:val="0"/>
                      <w:divBdr>
                        <w:top w:val="none" w:sz="0" w:space="0" w:color="auto"/>
                        <w:left w:val="none" w:sz="0" w:space="0" w:color="auto"/>
                        <w:bottom w:val="none" w:sz="0" w:space="0" w:color="auto"/>
                        <w:right w:val="none" w:sz="0" w:space="0" w:color="auto"/>
                      </w:divBdr>
                      <w:divsChild>
                        <w:div w:id="294139122">
                          <w:marLeft w:val="0"/>
                          <w:marRight w:val="0"/>
                          <w:marTop w:val="0"/>
                          <w:marBottom w:val="0"/>
                          <w:divBdr>
                            <w:top w:val="none" w:sz="0" w:space="0" w:color="auto"/>
                            <w:left w:val="none" w:sz="0" w:space="0" w:color="auto"/>
                            <w:bottom w:val="none" w:sz="0" w:space="0" w:color="auto"/>
                            <w:right w:val="none" w:sz="0" w:space="0" w:color="auto"/>
                          </w:divBdr>
                        </w:div>
                      </w:divsChild>
                    </w:div>
                    <w:div w:id="294154095">
                      <w:marLeft w:val="0"/>
                      <w:marRight w:val="0"/>
                      <w:marTop w:val="0"/>
                      <w:marBottom w:val="0"/>
                      <w:divBdr>
                        <w:top w:val="none" w:sz="0" w:space="0" w:color="auto"/>
                        <w:left w:val="none" w:sz="0" w:space="0" w:color="auto"/>
                        <w:bottom w:val="none" w:sz="0" w:space="0" w:color="auto"/>
                        <w:right w:val="none" w:sz="0" w:space="0" w:color="auto"/>
                      </w:divBdr>
                      <w:divsChild>
                        <w:div w:id="294147297">
                          <w:marLeft w:val="0"/>
                          <w:marRight w:val="0"/>
                          <w:marTop w:val="0"/>
                          <w:marBottom w:val="0"/>
                          <w:divBdr>
                            <w:top w:val="none" w:sz="0" w:space="0" w:color="auto"/>
                            <w:left w:val="none" w:sz="0" w:space="0" w:color="auto"/>
                            <w:bottom w:val="none" w:sz="0" w:space="0" w:color="auto"/>
                            <w:right w:val="none" w:sz="0" w:space="0" w:color="auto"/>
                          </w:divBdr>
                        </w:div>
                      </w:divsChild>
                    </w:div>
                    <w:div w:id="294154183">
                      <w:marLeft w:val="0"/>
                      <w:marRight w:val="0"/>
                      <w:marTop w:val="0"/>
                      <w:marBottom w:val="0"/>
                      <w:divBdr>
                        <w:top w:val="none" w:sz="0" w:space="0" w:color="auto"/>
                        <w:left w:val="none" w:sz="0" w:space="0" w:color="auto"/>
                        <w:bottom w:val="none" w:sz="0" w:space="0" w:color="auto"/>
                        <w:right w:val="none" w:sz="0" w:space="0" w:color="auto"/>
                      </w:divBdr>
                    </w:div>
                    <w:div w:id="294154232">
                      <w:marLeft w:val="0"/>
                      <w:marRight w:val="0"/>
                      <w:marTop w:val="0"/>
                      <w:marBottom w:val="0"/>
                      <w:divBdr>
                        <w:top w:val="none" w:sz="0" w:space="0" w:color="auto"/>
                        <w:left w:val="none" w:sz="0" w:space="0" w:color="auto"/>
                        <w:bottom w:val="none" w:sz="0" w:space="0" w:color="auto"/>
                        <w:right w:val="none" w:sz="0" w:space="0" w:color="auto"/>
                      </w:divBdr>
                      <w:divsChild>
                        <w:div w:id="294140729">
                          <w:marLeft w:val="0"/>
                          <w:marRight w:val="0"/>
                          <w:marTop w:val="0"/>
                          <w:marBottom w:val="0"/>
                          <w:divBdr>
                            <w:top w:val="none" w:sz="0" w:space="0" w:color="auto"/>
                            <w:left w:val="none" w:sz="0" w:space="0" w:color="auto"/>
                            <w:bottom w:val="none" w:sz="0" w:space="0" w:color="auto"/>
                            <w:right w:val="none" w:sz="0" w:space="0" w:color="auto"/>
                          </w:divBdr>
                        </w:div>
                      </w:divsChild>
                    </w:div>
                    <w:div w:id="294154254">
                      <w:marLeft w:val="0"/>
                      <w:marRight w:val="0"/>
                      <w:marTop w:val="0"/>
                      <w:marBottom w:val="0"/>
                      <w:divBdr>
                        <w:top w:val="none" w:sz="0" w:space="0" w:color="auto"/>
                        <w:left w:val="none" w:sz="0" w:space="0" w:color="auto"/>
                        <w:bottom w:val="none" w:sz="0" w:space="0" w:color="auto"/>
                        <w:right w:val="none" w:sz="0" w:space="0" w:color="auto"/>
                      </w:divBdr>
                    </w:div>
                    <w:div w:id="294154307">
                      <w:marLeft w:val="0"/>
                      <w:marRight w:val="0"/>
                      <w:marTop w:val="0"/>
                      <w:marBottom w:val="0"/>
                      <w:divBdr>
                        <w:top w:val="none" w:sz="0" w:space="0" w:color="auto"/>
                        <w:left w:val="none" w:sz="0" w:space="0" w:color="auto"/>
                        <w:bottom w:val="none" w:sz="0" w:space="0" w:color="auto"/>
                        <w:right w:val="none" w:sz="0" w:space="0" w:color="auto"/>
                      </w:divBdr>
                      <w:divsChild>
                        <w:div w:id="294146573">
                          <w:marLeft w:val="0"/>
                          <w:marRight w:val="0"/>
                          <w:marTop w:val="0"/>
                          <w:marBottom w:val="0"/>
                          <w:divBdr>
                            <w:top w:val="none" w:sz="0" w:space="0" w:color="auto"/>
                            <w:left w:val="none" w:sz="0" w:space="0" w:color="auto"/>
                            <w:bottom w:val="none" w:sz="0" w:space="0" w:color="auto"/>
                            <w:right w:val="none" w:sz="0" w:space="0" w:color="auto"/>
                          </w:divBdr>
                        </w:div>
                      </w:divsChild>
                    </w:div>
                    <w:div w:id="294154308">
                      <w:marLeft w:val="0"/>
                      <w:marRight w:val="0"/>
                      <w:marTop w:val="0"/>
                      <w:marBottom w:val="0"/>
                      <w:divBdr>
                        <w:top w:val="none" w:sz="0" w:space="0" w:color="auto"/>
                        <w:left w:val="none" w:sz="0" w:space="0" w:color="auto"/>
                        <w:bottom w:val="none" w:sz="0" w:space="0" w:color="auto"/>
                        <w:right w:val="none" w:sz="0" w:space="0" w:color="auto"/>
                      </w:divBdr>
                      <w:divsChild>
                        <w:div w:id="294153800">
                          <w:marLeft w:val="0"/>
                          <w:marRight w:val="0"/>
                          <w:marTop w:val="0"/>
                          <w:marBottom w:val="0"/>
                          <w:divBdr>
                            <w:top w:val="none" w:sz="0" w:space="0" w:color="auto"/>
                            <w:left w:val="none" w:sz="0" w:space="0" w:color="auto"/>
                            <w:bottom w:val="none" w:sz="0" w:space="0" w:color="auto"/>
                            <w:right w:val="none" w:sz="0" w:space="0" w:color="auto"/>
                          </w:divBdr>
                        </w:div>
                      </w:divsChild>
                    </w:div>
                    <w:div w:id="294154341">
                      <w:marLeft w:val="0"/>
                      <w:marRight w:val="0"/>
                      <w:marTop w:val="0"/>
                      <w:marBottom w:val="0"/>
                      <w:divBdr>
                        <w:top w:val="none" w:sz="0" w:space="0" w:color="auto"/>
                        <w:left w:val="none" w:sz="0" w:space="0" w:color="auto"/>
                        <w:bottom w:val="none" w:sz="0" w:space="0" w:color="auto"/>
                        <w:right w:val="none" w:sz="0" w:space="0" w:color="auto"/>
                      </w:divBdr>
                    </w:div>
                    <w:div w:id="294154359">
                      <w:marLeft w:val="0"/>
                      <w:marRight w:val="0"/>
                      <w:marTop w:val="0"/>
                      <w:marBottom w:val="0"/>
                      <w:divBdr>
                        <w:top w:val="none" w:sz="0" w:space="0" w:color="auto"/>
                        <w:left w:val="none" w:sz="0" w:space="0" w:color="auto"/>
                        <w:bottom w:val="none" w:sz="0" w:space="0" w:color="auto"/>
                        <w:right w:val="none" w:sz="0" w:space="0" w:color="auto"/>
                      </w:divBdr>
                      <w:divsChild>
                        <w:div w:id="294155151">
                          <w:marLeft w:val="0"/>
                          <w:marRight w:val="0"/>
                          <w:marTop w:val="0"/>
                          <w:marBottom w:val="0"/>
                          <w:divBdr>
                            <w:top w:val="none" w:sz="0" w:space="0" w:color="auto"/>
                            <w:left w:val="none" w:sz="0" w:space="0" w:color="auto"/>
                            <w:bottom w:val="none" w:sz="0" w:space="0" w:color="auto"/>
                            <w:right w:val="none" w:sz="0" w:space="0" w:color="auto"/>
                          </w:divBdr>
                        </w:div>
                      </w:divsChild>
                    </w:div>
                    <w:div w:id="294154371">
                      <w:marLeft w:val="0"/>
                      <w:marRight w:val="0"/>
                      <w:marTop w:val="0"/>
                      <w:marBottom w:val="0"/>
                      <w:divBdr>
                        <w:top w:val="none" w:sz="0" w:space="0" w:color="auto"/>
                        <w:left w:val="none" w:sz="0" w:space="0" w:color="auto"/>
                        <w:bottom w:val="none" w:sz="0" w:space="0" w:color="auto"/>
                        <w:right w:val="none" w:sz="0" w:space="0" w:color="auto"/>
                      </w:divBdr>
                      <w:divsChild>
                        <w:div w:id="294154424">
                          <w:marLeft w:val="0"/>
                          <w:marRight w:val="0"/>
                          <w:marTop w:val="0"/>
                          <w:marBottom w:val="0"/>
                          <w:divBdr>
                            <w:top w:val="none" w:sz="0" w:space="0" w:color="auto"/>
                            <w:left w:val="none" w:sz="0" w:space="0" w:color="auto"/>
                            <w:bottom w:val="none" w:sz="0" w:space="0" w:color="auto"/>
                            <w:right w:val="none" w:sz="0" w:space="0" w:color="auto"/>
                          </w:divBdr>
                        </w:div>
                      </w:divsChild>
                    </w:div>
                    <w:div w:id="294154382">
                      <w:marLeft w:val="0"/>
                      <w:marRight w:val="0"/>
                      <w:marTop w:val="0"/>
                      <w:marBottom w:val="0"/>
                      <w:divBdr>
                        <w:top w:val="none" w:sz="0" w:space="0" w:color="auto"/>
                        <w:left w:val="none" w:sz="0" w:space="0" w:color="auto"/>
                        <w:bottom w:val="none" w:sz="0" w:space="0" w:color="auto"/>
                        <w:right w:val="none" w:sz="0" w:space="0" w:color="auto"/>
                      </w:divBdr>
                      <w:divsChild>
                        <w:div w:id="294138892">
                          <w:marLeft w:val="0"/>
                          <w:marRight w:val="0"/>
                          <w:marTop w:val="0"/>
                          <w:marBottom w:val="0"/>
                          <w:divBdr>
                            <w:top w:val="none" w:sz="0" w:space="0" w:color="auto"/>
                            <w:left w:val="none" w:sz="0" w:space="0" w:color="auto"/>
                            <w:bottom w:val="none" w:sz="0" w:space="0" w:color="auto"/>
                            <w:right w:val="none" w:sz="0" w:space="0" w:color="auto"/>
                          </w:divBdr>
                        </w:div>
                      </w:divsChild>
                    </w:div>
                    <w:div w:id="294154388">
                      <w:marLeft w:val="0"/>
                      <w:marRight w:val="0"/>
                      <w:marTop w:val="0"/>
                      <w:marBottom w:val="0"/>
                      <w:divBdr>
                        <w:top w:val="none" w:sz="0" w:space="0" w:color="auto"/>
                        <w:left w:val="none" w:sz="0" w:space="0" w:color="auto"/>
                        <w:bottom w:val="none" w:sz="0" w:space="0" w:color="auto"/>
                        <w:right w:val="none" w:sz="0" w:space="0" w:color="auto"/>
                      </w:divBdr>
                      <w:divsChild>
                        <w:div w:id="294139043">
                          <w:marLeft w:val="0"/>
                          <w:marRight w:val="0"/>
                          <w:marTop w:val="0"/>
                          <w:marBottom w:val="0"/>
                          <w:divBdr>
                            <w:top w:val="none" w:sz="0" w:space="0" w:color="auto"/>
                            <w:left w:val="none" w:sz="0" w:space="0" w:color="auto"/>
                            <w:bottom w:val="none" w:sz="0" w:space="0" w:color="auto"/>
                            <w:right w:val="none" w:sz="0" w:space="0" w:color="auto"/>
                          </w:divBdr>
                        </w:div>
                      </w:divsChild>
                    </w:div>
                    <w:div w:id="294154517">
                      <w:marLeft w:val="0"/>
                      <w:marRight w:val="0"/>
                      <w:marTop w:val="0"/>
                      <w:marBottom w:val="0"/>
                      <w:divBdr>
                        <w:top w:val="none" w:sz="0" w:space="0" w:color="auto"/>
                        <w:left w:val="none" w:sz="0" w:space="0" w:color="auto"/>
                        <w:bottom w:val="none" w:sz="0" w:space="0" w:color="auto"/>
                        <w:right w:val="none" w:sz="0" w:space="0" w:color="auto"/>
                      </w:divBdr>
                      <w:divsChild>
                        <w:div w:id="294138487">
                          <w:marLeft w:val="0"/>
                          <w:marRight w:val="0"/>
                          <w:marTop w:val="0"/>
                          <w:marBottom w:val="0"/>
                          <w:divBdr>
                            <w:top w:val="none" w:sz="0" w:space="0" w:color="auto"/>
                            <w:left w:val="none" w:sz="0" w:space="0" w:color="auto"/>
                            <w:bottom w:val="none" w:sz="0" w:space="0" w:color="auto"/>
                            <w:right w:val="none" w:sz="0" w:space="0" w:color="auto"/>
                          </w:divBdr>
                        </w:div>
                      </w:divsChild>
                    </w:div>
                    <w:div w:id="294154580">
                      <w:marLeft w:val="0"/>
                      <w:marRight w:val="0"/>
                      <w:marTop w:val="0"/>
                      <w:marBottom w:val="0"/>
                      <w:divBdr>
                        <w:top w:val="none" w:sz="0" w:space="0" w:color="auto"/>
                        <w:left w:val="none" w:sz="0" w:space="0" w:color="auto"/>
                        <w:bottom w:val="none" w:sz="0" w:space="0" w:color="auto"/>
                        <w:right w:val="none" w:sz="0" w:space="0" w:color="auto"/>
                      </w:divBdr>
                    </w:div>
                    <w:div w:id="294154649">
                      <w:marLeft w:val="0"/>
                      <w:marRight w:val="0"/>
                      <w:marTop w:val="0"/>
                      <w:marBottom w:val="0"/>
                      <w:divBdr>
                        <w:top w:val="none" w:sz="0" w:space="0" w:color="auto"/>
                        <w:left w:val="none" w:sz="0" w:space="0" w:color="auto"/>
                        <w:bottom w:val="none" w:sz="0" w:space="0" w:color="auto"/>
                        <w:right w:val="none" w:sz="0" w:space="0" w:color="auto"/>
                      </w:divBdr>
                      <w:divsChild>
                        <w:div w:id="294151130">
                          <w:marLeft w:val="0"/>
                          <w:marRight w:val="0"/>
                          <w:marTop w:val="0"/>
                          <w:marBottom w:val="0"/>
                          <w:divBdr>
                            <w:top w:val="none" w:sz="0" w:space="0" w:color="auto"/>
                            <w:left w:val="none" w:sz="0" w:space="0" w:color="auto"/>
                            <w:bottom w:val="none" w:sz="0" w:space="0" w:color="auto"/>
                            <w:right w:val="none" w:sz="0" w:space="0" w:color="auto"/>
                          </w:divBdr>
                        </w:div>
                      </w:divsChild>
                    </w:div>
                    <w:div w:id="294154759">
                      <w:marLeft w:val="0"/>
                      <w:marRight w:val="0"/>
                      <w:marTop w:val="0"/>
                      <w:marBottom w:val="0"/>
                      <w:divBdr>
                        <w:top w:val="none" w:sz="0" w:space="0" w:color="auto"/>
                        <w:left w:val="none" w:sz="0" w:space="0" w:color="auto"/>
                        <w:bottom w:val="none" w:sz="0" w:space="0" w:color="auto"/>
                        <w:right w:val="none" w:sz="0" w:space="0" w:color="auto"/>
                      </w:divBdr>
                      <w:divsChild>
                        <w:div w:id="294143015">
                          <w:marLeft w:val="0"/>
                          <w:marRight w:val="0"/>
                          <w:marTop w:val="0"/>
                          <w:marBottom w:val="0"/>
                          <w:divBdr>
                            <w:top w:val="none" w:sz="0" w:space="0" w:color="auto"/>
                            <w:left w:val="none" w:sz="0" w:space="0" w:color="auto"/>
                            <w:bottom w:val="none" w:sz="0" w:space="0" w:color="auto"/>
                            <w:right w:val="none" w:sz="0" w:space="0" w:color="auto"/>
                          </w:divBdr>
                        </w:div>
                      </w:divsChild>
                    </w:div>
                    <w:div w:id="294154854">
                      <w:marLeft w:val="0"/>
                      <w:marRight w:val="0"/>
                      <w:marTop w:val="0"/>
                      <w:marBottom w:val="0"/>
                      <w:divBdr>
                        <w:top w:val="none" w:sz="0" w:space="0" w:color="auto"/>
                        <w:left w:val="none" w:sz="0" w:space="0" w:color="auto"/>
                        <w:bottom w:val="none" w:sz="0" w:space="0" w:color="auto"/>
                        <w:right w:val="none" w:sz="0" w:space="0" w:color="auto"/>
                      </w:divBdr>
                      <w:divsChild>
                        <w:div w:id="294145009">
                          <w:marLeft w:val="0"/>
                          <w:marRight w:val="0"/>
                          <w:marTop w:val="0"/>
                          <w:marBottom w:val="0"/>
                          <w:divBdr>
                            <w:top w:val="none" w:sz="0" w:space="0" w:color="auto"/>
                            <w:left w:val="none" w:sz="0" w:space="0" w:color="auto"/>
                            <w:bottom w:val="none" w:sz="0" w:space="0" w:color="auto"/>
                            <w:right w:val="none" w:sz="0" w:space="0" w:color="auto"/>
                          </w:divBdr>
                        </w:div>
                      </w:divsChild>
                    </w:div>
                    <w:div w:id="294154858">
                      <w:marLeft w:val="0"/>
                      <w:marRight w:val="0"/>
                      <w:marTop w:val="0"/>
                      <w:marBottom w:val="0"/>
                      <w:divBdr>
                        <w:top w:val="none" w:sz="0" w:space="0" w:color="auto"/>
                        <w:left w:val="none" w:sz="0" w:space="0" w:color="auto"/>
                        <w:bottom w:val="none" w:sz="0" w:space="0" w:color="auto"/>
                        <w:right w:val="none" w:sz="0" w:space="0" w:color="auto"/>
                      </w:divBdr>
                      <w:divsChild>
                        <w:div w:id="294138855">
                          <w:marLeft w:val="0"/>
                          <w:marRight w:val="0"/>
                          <w:marTop w:val="0"/>
                          <w:marBottom w:val="0"/>
                          <w:divBdr>
                            <w:top w:val="none" w:sz="0" w:space="0" w:color="auto"/>
                            <w:left w:val="none" w:sz="0" w:space="0" w:color="auto"/>
                            <w:bottom w:val="none" w:sz="0" w:space="0" w:color="auto"/>
                            <w:right w:val="none" w:sz="0" w:space="0" w:color="auto"/>
                          </w:divBdr>
                        </w:div>
                      </w:divsChild>
                    </w:div>
                    <w:div w:id="294154859">
                      <w:marLeft w:val="0"/>
                      <w:marRight w:val="0"/>
                      <w:marTop w:val="0"/>
                      <w:marBottom w:val="0"/>
                      <w:divBdr>
                        <w:top w:val="none" w:sz="0" w:space="0" w:color="auto"/>
                        <w:left w:val="none" w:sz="0" w:space="0" w:color="auto"/>
                        <w:bottom w:val="none" w:sz="0" w:space="0" w:color="auto"/>
                        <w:right w:val="none" w:sz="0" w:space="0" w:color="auto"/>
                      </w:divBdr>
                      <w:divsChild>
                        <w:div w:id="294155471">
                          <w:marLeft w:val="0"/>
                          <w:marRight w:val="0"/>
                          <w:marTop w:val="0"/>
                          <w:marBottom w:val="0"/>
                          <w:divBdr>
                            <w:top w:val="none" w:sz="0" w:space="0" w:color="auto"/>
                            <w:left w:val="none" w:sz="0" w:space="0" w:color="auto"/>
                            <w:bottom w:val="none" w:sz="0" w:space="0" w:color="auto"/>
                            <w:right w:val="none" w:sz="0" w:space="0" w:color="auto"/>
                          </w:divBdr>
                        </w:div>
                      </w:divsChild>
                    </w:div>
                    <w:div w:id="294154860">
                      <w:marLeft w:val="0"/>
                      <w:marRight w:val="0"/>
                      <w:marTop w:val="0"/>
                      <w:marBottom w:val="0"/>
                      <w:divBdr>
                        <w:top w:val="none" w:sz="0" w:space="0" w:color="auto"/>
                        <w:left w:val="none" w:sz="0" w:space="0" w:color="auto"/>
                        <w:bottom w:val="none" w:sz="0" w:space="0" w:color="auto"/>
                        <w:right w:val="none" w:sz="0" w:space="0" w:color="auto"/>
                      </w:divBdr>
                    </w:div>
                    <w:div w:id="294154880">
                      <w:marLeft w:val="0"/>
                      <w:marRight w:val="0"/>
                      <w:marTop w:val="0"/>
                      <w:marBottom w:val="0"/>
                      <w:divBdr>
                        <w:top w:val="none" w:sz="0" w:space="0" w:color="auto"/>
                        <w:left w:val="none" w:sz="0" w:space="0" w:color="auto"/>
                        <w:bottom w:val="none" w:sz="0" w:space="0" w:color="auto"/>
                        <w:right w:val="none" w:sz="0" w:space="0" w:color="auto"/>
                      </w:divBdr>
                    </w:div>
                    <w:div w:id="294154925">
                      <w:marLeft w:val="0"/>
                      <w:marRight w:val="0"/>
                      <w:marTop w:val="0"/>
                      <w:marBottom w:val="0"/>
                      <w:divBdr>
                        <w:top w:val="none" w:sz="0" w:space="0" w:color="auto"/>
                        <w:left w:val="none" w:sz="0" w:space="0" w:color="auto"/>
                        <w:bottom w:val="none" w:sz="0" w:space="0" w:color="auto"/>
                        <w:right w:val="none" w:sz="0" w:space="0" w:color="auto"/>
                      </w:divBdr>
                      <w:divsChild>
                        <w:div w:id="294139048">
                          <w:marLeft w:val="0"/>
                          <w:marRight w:val="0"/>
                          <w:marTop w:val="0"/>
                          <w:marBottom w:val="0"/>
                          <w:divBdr>
                            <w:top w:val="none" w:sz="0" w:space="0" w:color="auto"/>
                            <w:left w:val="none" w:sz="0" w:space="0" w:color="auto"/>
                            <w:bottom w:val="none" w:sz="0" w:space="0" w:color="auto"/>
                            <w:right w:val="none" w:sz="0" w:space="0" w:color="auto"/>
                          </w:divBdr>
                        </w:div>
                      </w:divsChild>
                    </w:div>
                    <w:div w:id="294154932">
                      <w:marLeft w:val="0"/>
                      <w:marRight w:val="0"/>
                      <w:marTop w:val="0"/>
                      <w:marBottom w:val="0"/>
                      <w:divBdr>
                        <w:top w:val="none" w:sz="0" w:space="0" w:color="auto"/>
                        <w:left w:val="none" w:sz="0" w:space="0" w:color="auto"/>
                        <w:bottom w:val="none" w:sz="0" w:space="0" w:color="auto"/>
                        <w:right w:val="none" w:sz="0" w:space="0" w:color="auto"/>
                      </w:divBdr>
                      <w:divsChild>
                        <w:div w:id="294145980">
                          <w:marLeft w:val="0"/>
                          <w:marRight w:val="0"/>
                          <w:marTop w:val="0"/>
                          <w:marBottom w:val="0"/>
                          <w:divBdr>
                            <w:top w:val="none" w:sz="0" w:space="0" w:color="auto"/>
                            <w:left w:val="none" w:sz="0" w:space="0" w:color="auto"/>
                            <w:bottom w:val="none" w:sz="0" w:space="0" w:color="auto"/>
                            <w:right w:val="none" w:sz="0" w:space="0" w:color="auto"/>
                          </w:divBdr>
                        </w:div>
                      </w:divsChild>
                    </w:div>
                    <w:div w:id="294154963">
                      <w:marLeft w:val="0"/>
                      <w:marRight w:val="0"/>
                      <w:marTop w:val="0"/>
                      <w:marBottom w:val="0"/>
                      <w:divBdr>
                        <w:top w:val="none" w:sz="0" w:space="0" w:color="auto"/>
                        <w:left w:val="none" w:sz="0" w:space="0" w:color="auto"/>
                        <w:bottom w:val="none" w:sz="0" w:space="0" w:color="auto"/>
                        <w:right w:val="none" w:sz="0" w:space="0" w:color="auto"/>
                      </w:divBdr>
                    </w:div>
                    <w:div w:id="294155114">
                      <w:marLeft w:val="0"/>
                      <w:marRight w:val="0"/>
                      <w:marTop w:val="0"/>
                      <w:marBottom w:val="0"/>
                      <w:divBdr>
                        <w:top w:val="none" w:sz="0" w:space="0" w:color="auto"/>
                        <w:left w:val="none" w:sz="0" w:space="0" w:color="auto"/>
                        <w:bottom w:val="none" w:sz="0" w:space="0" w:color="auto"/>
                        <w:right w:val="none" w:sz="0" w:space="0" w:color="auto"/>
                      </w:divBdr>
                    </w:div>
                    <w:div w:id="294155232">
                      <w:marLeft w:val="0"/>
                      <w:marRight w:val="0"/>
                      <w:marTop w:val="0"/>
                      <w:marBottom w:val="0"/>
                      <w:divBdr>
                        <w:top w:val="none" w:sz="0" w:space="0" w:color="auto"/>
                        <w:left w:val="none" w:sz="0" w:space="0" w:color="auto"/>
                        <w:bottom w:val="none" w:sz="0" w:space="0" w:color="auto"/>
                        <w:right w:val="none" w:sz="0" w:space="0" w:color="auto"/>
                      </w:divBdr>
                    </w:div>
                    <w:div w:id="294155287">
                      <w:marLeft w:val="0"/>
                      <w:marRight w:val="0"/>
                      <w:marTop w:val="0"/>
                      <w:marBottom w:val="0"/>
                      <w:divBdr>
                        <w:top w:val="none" w:sz="0" w:space="0" w:color="auto"/>
                        <w:left w:val="none" w:sz="0" w:space="0" w:color="auto"/>
                        <w:bottom w:val="none" w:sz="0" w:space="0" w:color="auto"/>
                        <w:right w:val="none" w:sz="0" w:space="0" w:color="auto"/>
                      </w:divBdr>
                    </w:div>
                    <w:div w:id="294155335">
                      <w:marLeft w:val="0"/>
                      <w:marRight w:val="0"/>
                      <w:marTop w:val="0"/>
                      <w:marBottom w:val="0"/>
                      <w:divBdr>
                        <w:top w:val="none" w:sz="0" w:space="0" w:color="auto"/>
                        <w:left w:val="none" w:sz="0" w:space="0" w:color="auto"/>
                        <w:bottom w:val="none" w:sz="0" w:space="0" w:color="auto"/>
                        <w:right w:val="none" w:sz="0" w:space="0" w:color="auto"/>
                      </w:divBdr>
                      <w:divsChild>
                        <w:div w:id="294154397">
                          <w:marLeft w:val="0"/>
                          <w:marRight w:val="0"/>
                          <w:marTop w:val="0"/>
                          <w:marBottom w:val="0"/>
                          <w:divBdr>
                            <w:top w:val="none" w:sz="0" w:space="0" w:color="auto"/>
                            <w:left w:val="none" w:sz="0" w:space="0" w:color="auto"/>
                            <w:bottom w:val="none" w:sz="0" w:space="0" w:color="auto"/>
                            <w:right w:val="none" w:sz="0" w:space="0" w:color="auto"/>
                          </w:divBdr>
                        </w:div>
                      </w:divsChild>
                    </w:div>
                    <w:div w:id="294155436">
                      <w:marLeft w:val="0"/>
                      <w:marRight w:val="0"/>
                      <w:marTop w:val="0"/>
                      <w:marBottom w:val="0"/>
                      <w:divBdr>
                        <w:top w:val="none" w:sz="0" w:space="0" w:color="auto"/>
                        <w:left w:val="none" w:sz="0" w:space="0" w:color="auto"/>
                        <w:bottom w:val="none" w:sz="0" w:space="0" w:color="auto"/>
                        <w:right w:val="none" w:sz="0" w:space="0" w:color="auto"/>
                      </w:divBdr>
                    </w:div>
                    <w:div w:id="294155536">
                      <w:marLeft w:val="0"/>
                      <w:marRight w:val="0"/>
                      <w:marTop w:val="0"/>
                      <w:marBottom w:val="0"/>
                      <w:divBdr>
                        <w:top w:val="none" w:sz="0" w:space="0" w:color="auto"/>
                        <w:left w:val="none" w:sz="0" w:space="0" w:color="auto"/>
                        <w:bottom w:val="none" w:sz="0" w:space="0" w:color="auto"/>
                        <w:right w:val="none" w:sz="0" w:space="0" w:color="auto"/>
                      </w:divBdr>
                    </w:div>
                    <w:div w:id="294155564">
                      <w:marLeft w:val="0"/>
                      <w:marRight w:val="0"/>
                      <w:marTop w:val="0"/>
                      <w:marBottom w:val="0"/>
                      <w:divBdr>
                        <w:top w:val="none" w:sz="0" w:space="0" w:color="auto"/>
                        <w:left w:val="none" w:sz="0" w:space="0" w:color="auto"/>
                        <w:bottom w:val="none" w:sz="0" w:space="0" w:color="auto"/>
                        <w:right w:val="none" w:sz="0" w:space="0" w:color="auto"/>
                      </w:divBdr>
                      <w:divsChild>
                        <w:div w:id="294140821">
                          <w:marLeft w:val="0"/>
                          <w:marRight w:val="0"/>
                          <w:marTop w:val="0"/>
                          <w:marBottom w:val="0"/>
                          <w:divBdr>
                            <w:top w:val="none" w:sz="0" w:space="0" w:color="auto"/>
                            <w:left w:val="none" w:sz="0" w:space="0" w:color="auto"/>
                            <w:bottom w:val="none" w:sz="0" w:space="0" w:color="auto"/>
                            <w:right w:val="none" w:sz="0" w:space="0" w:color="auto"/>
                          </w:divBdr>
                        </w:div>
                      </w:divsChild>
                    </w:div>
                    <w:div w:id="294155565">
                      <w:marLeft w:val="0"/>
                      <w:marRight w:val="0"/>
                      <w:marTop w:val="0"/>
                      <w:marBottom w:val="0"/>
                      <w:divBdr>
                        <w:top w:val="none" w:sz="0" w:space="0" w:color="auto"/>
                        <w:left w:val="none" w:sz="0" w:space="0" w:color="auto"/>
                        <w:bottom w:val="none" w:sz="0" w:space="0" w:color="auto"/>
                        <w:right w:val="none" w:sz="0" w:space="0" w:color="auto"/>
                      </w:divBdr>
                      <w:divsChild>
                        <w:div w:id="294144319">
                          <w:marLeft w:val="0"/>
                          <w:marRight w:val="0"/>
                          <w:marTop w:val="0"/>
                          <w:marBottom w:val="0"/>
                          <w:divBdr>
                            <w:top w:val="none" w:sz="0" w:space="0" w:color="auto"/>
                            <w:left w:val="none" w:sz="0" w:space="0" w:color="auto"/>
                            <w:bottom w:val="none" w:sz="0" w:space="0" w:color="auto"/>
                            <w:right w:val="none" w:sz="0" w:space="0" w:color="auto"/>
                          </w:divBdr>
                        </w:div>
                      </w:divsChild>
                    </w:div>
                    <w:div w:id="294155615">
                      <w:marLeft w:val="0"/>
                      <w:marRight w:val="0"/>
                      <w:marTop w:val="0"/>
                      <w:marBottom w:val="0"/>
                      <w:divBdr>
                        <w:top w:val="none" w:sz="0" w:space="0" w:color="auto"/>
                        <w:left w:val="none" w:sz="0" w:space="0" w:color="auto"/>
                        <w:bottom w:val="none" w:sz="0" w:space="0" w:color="auto"/>
                        <w:right w:val="none" w:sz="0" w:space="0" w:color="auto"/>
                      </w:divBdr>
                      <w:divsChild>
                        <w:div w:id="294143804">
                          <w:marLeft w:val="0"/>
                          <w:marRight w:val="0"/>
                          <w:marTop w:val="0"/>
                          <w:marBottom w:val="0"/>
                          <w:divBdr>
                            <w:top w:val="none" w:sz="0" w:space="0" w:color="auto"/>
                            <w:left w:val="none" w:sz="0" w:space="0" w:color="auto"/>
                            <w:bottom w:val="none" w:sz="0" w:space="0" w:color="auto"/>
                            <w:right w:val="none" w:sz="0" w:space="0" w:color="auto"/>
                          </w:divBdr>
                        </w:div>
                      </w:divsChild>
                    </w:div>
                    <w:div w:id="294155683">
                      <w:marLeft w:val="0"/>
                      <w:marRight w:val="0"/>
                      <w:marTop w:val="0"/>
                      <w:marBottom w:val="0"/>
                      <w:divBdr>
                        <w:top w:val="none" w:sz="0" w:space="0" w:color="auto"/>
                        <w:left w:val="none" w:sz="0" w:space="0" w:color="auto"/>
                        <w:bottom w:val="none" w:sz="0" w:space="0" w:color="auto"/>
                        <w:right w:val="none" w:sz="0" w:space="0" w:color="auto"/>
                      </w:divBdr>
                    </w:div>
                    <w:div w:id="294155690">
                      <w:marLeft w:val="0"/>
                      <w:marRight w:val="0"/>
                      <w:marTop w:val="0"/>
                      <w:marBottom w:val="0"/>
                      <w:divBdr>
                        <w:top w:val="none" w:sz="0" w:space="0" w:color="auto"/>
                        <w:left w:val="none" w:sz="0" w:space="0" w:color="auto"/>
                        <w:bottom w:val="none" w:sz="0" w:space="0" w:color="auto"/>
                        <w:right w:val="none" w:sz="0" w:space="0" w:color="auto"/>
                      </w:divBdr>
                      <w:divsChild>
                        <w:div w:id="294142736">
                          <w:marLeft w:val="0"/>
                          <w:marRight w:val="0"/>
                          <w:marTop w:val="0"/>
                          <w:marBottom w:val="0"/>
                          <w:divBdr>
                            <w:top w:val="none" w:sz="0" w:space="0" w:color="auto"/>
                            <w:left w:val="none" w:sz="0" w:space="0" w:color="auto"/>
                            <w:bottom w:val="none" w:sz="0" w:space="0" w:color="auto"/>
                            <w:right w:val="none" w:sz="0" w:space="0" w:color="auto"/>
                          </w:divBdr>
                        </w:div>
                      </w:divsChild>
                    </w:div>
                    <w:div w:id="294155701">
                      <w:marLeft w:val="0"/>
                      <w:marRight w:val="0"/>
                      <w:marTop w:val="0"/>
                      <w:marBottom w:val="0"/>
                      <w:divBdr>
                        <w:top w:val="none" w:sz="0" w:space="0" w:color="auto"/>
                        <w:left w:val="none" w:sz="0" w:space="0" w:color="auto"/>
                        <w:bottom w:val="none" w:sz="0" w:space="0" w:color="auto"/>
                        <w:right w:val="none" w:sz="0" w:space="0" w:color="auto"/>
                      </w:divBdr>
                    </w:div>
                    <w:div w:id="294155714">
                      <w:marLeft w:val="0"/>
                      <w:marRight w:val="0"/>
                      <w:marTop w:val="0"/>
                      <w:marBottom w:val="0"/>
                      <w:divBdr>
                        <w:top w:val="none" w:sz="0" w:space="0" w:color="auto"/>
                        <w:left w:val="none" w:sz="0" w:space="0" w:color="auto"/>
                        <w:bottom w:val="none" w:sz="0" w:space="0" w:color="auto"/>
                        <w:right w:val="none" w:sz="0" w:space="0" w:color="auto"/>
                      </w:divBdr>
                    </w:div>
                    <w:div w:id="294155741">
                      <w:marLeft w:val="0"/>
                      <w:marRight w:val="0"/>
                      <w:marTop w:val="0"/>
                      <w:marBottom w:val="0"/>
                      <w:divBdr>
                        <w:top w:val="none" w:sz="0" w:space="0" w:color="auto"/>
                        <w:left w:val="none" w:sz="0" w:space="0" w:color="auto"/>
                        <w:bottom w:val="none" w:sz="0" w:space="0" w:color="auto"/>
                        <w:right w:val="none" w:sz="0" w:space="0" w:color="auto"/>
                      </w:divBdr>
                      <w:divsChild>
                        <w:div w:id="294149086">
                          <w:marLeft w:val="0"/>
                          <w:marRight w:val="0"/>
                          <w:marTop w:val="0"/>
                          <w:marBottom w:val="0"/>
                          <w:divBdr>
                            <w:top w:val="none" w:sz="0" w:space="0" w:color="auto"/>
                            <w:left w:val="none" w:sz="0" w:space="0" w:color="auto"/>
                            <w:bottom w:val="none" w:sz="0" w:space="0" w:color="auto"/>
                            <w:right w:val="none" w:sz="0" w:space="0" w:color="auto"/>
                          </w:divBdr>
                        </w:div>
                      </w:divsChild>
                    </w:div>
                    <w:div w:id="294155892">
                      <w:marLeft w:val="0"/>
                      <w:marRight w:val="0"/>
                      <w:marTop w:val="0"/>
                      <w:marBottom w:val="0"/>
                      <w:divBdr>
                        <w:top w:val="none" w:sz="0" w:space="0" w:color="auto"/>
                        <w:left w:val="none" w:sz="0" w:space="0" w:color="auto"/>
                        <w:bottom w:val="none" w:sz="0" w:space="0" w:color="auto"/>
                        <w:right w:val="none" w:sz="0" w:space="0" w:color="auto"/>
                      </w:divBdr>
                      <w:divsChild>
                        <w:div w:id="294151103">
                          <w:marLeft w:val="0"/>
                          <w:marRight w:val="0"/>
                          <w:marTop w:val="0"/>
                          <w:marBottom w:val="0"/>
                          <w:divBdr>
                            <w:top w:val="none" w:sz="0" w:space="0" w:color="auto"/>
                            <w:left w:val="none" w:sz="0" w:space="0" w:color="auto"/>
                            <w:bottom w:val="none" w:sz="0" w:space="0" w:color="auto"/>
                            <w:right w:val="none" w:sz="0" w:space="0" w:color="auto"/>
                          </w:divBdr>
                        </w:div>
                      </w:divsChild>
                    </w:div>
                    <w:div w:id="294155902">
                      <w:marLeft w:val="0"/>
                      <w:marRight w:val="0"/>
                      <w:marTop w:val="0"/>
                      <w:marBottom w:val="0"/>
                      <w:divBdr>
                        <w:top w:val="none" w:sz="0" w:space="0" w:color="auto"/>
                        <w:left w:val="none" w:sz="0" w:space="0" w:color="auto"/>
                        <w:bottom w:val="none" w:sz="0" w:space="0" w:color="auto"/>
                        <w:right w:val="none" w:sz="0" w:space="0" w:color="auto"/>
                      </w:divBdr>
                      <w:divsChild>
                        <w:div w:id="294148254">
                          <w:marLeft w:val="0"/>
                          <w:marRight w:val="0"/>
                          <w:marTop w:val="0"/>
                          <w:marBottom w:val="0"/>
                          <w:divBdr>
                            <w:top w:val="none" w:sz="0" w:space="0" w:color="auto"/>
                            <w:left w:val="none" w:sz="0" w:space="0" w:color="auto"/>
                            <w:bottom w:val="none" w:sz="0" w:space="0" w:color="auto"/>
                            <w:right w:val="none" w:sz="0" w:space="0" w:color="auto"/>
                          </w:divBdr>
                        </w:div>
                      </w:divsChild>
                    </w:div>
                    <w:div w:id="294155903">
                      <w:marLeft w:val="0"/>
                      <w:marRight w:val="0"/>
                      <w:marTop w:val="0"/>
                      <w:marBottom w:val="0"/>
                      <w:divBdr>
                        <w:top w:val="none" w:sz="0" w:space="0" w:color="auto"/>
                        <w:left w:val="none" w:sz="0" w:space="0" w:color="auto"/>
                        <w:bottom w:val="none" w:sz="0" w:space="0" w:color="auto"/>
                        <w:right w:val="none" w:sz="0" w:space="0" w:color="auto"/>
                      </w:divBdr>
                      <w:divsChild>
                        <w:div w:id="294156795">
                          <w:marLeft w:val="0"/>
                          <w:marRight w:val="0"/>
                          <w:marTop w:val="0"/>
                          <w:marBottom w:val="0"/>
                          <w:divBdr>
                            <w:top w:val="none" w:sz="0" w:space="0" w:color="auto"/>
                            <w:left w:val="none" w:sz="0" w:space="0" w:color="auto"/>
                            <w:bottom w:val="none" w:sz="0" w:space="0" w:color="auto"/>
                            <w:right w:val="none" w:sz="0" w:space="0" w:color="auto"/>
                          </w:divBdr>
                        </w:div>
                      </w:divsChild>
                    </w:div>
                    <w:div w:id="294156047">
                      <w:marLeft w:val="0"/>
                      <w:marRight w:val="0"/>
                      <w:marTop w:val="0"/>
                      <w:marBottom w:val="0"/>
                      <w:divBdr>
                        <w:top w:val="none" w:sz="0" w:space="0" w:color="auto"/>
                        <w:left w:val="none" w:sz="0" w:space="0" w:color="auto"/>
                        <w:bottom w:val="none" w:sz="0" w:space="0" w:color="auto"/>
                        <w:right w:val="none" w:sz="0" w:space="0" w:color="auto"/>
                      </w:divBdr>
                    </w:div>
                    <w:div w:id="294156102">
                      <w:marLeft w:val="0"/>
                      <w:marRight w:val="0"/>
                      <w:marTop w:val="0"/>
                      <w:marBottom w:val="0"/>
                      <w:divBdr>
                        <w:top w:val="none" w:sz="0" w:space="0" w:color="auto"/>
                        <w:left w:val="none" w:sz="0" w:space="0" w:color="auto"/>
                        <w:bottom w:val="none" w:sz="0" w:space="0" w:color="auto"/>
                        <w:right w:val="none" w:sz="0" w:space="0" w:color="auto"/>
                      </w:divBdr>
                    </w:div>
                    <w:div w:id="294156124">
                      <w:marLeft w:val="0"/>
                      <w:marRight w:val="0"/>
                      <w:marTop w:val="0"/>
                      <w:marBottom w:val="0"/>
                      <w:divBdr>
                        <w:top w:val="none" w:sz="0" w:space="0" w:color="auto"/>
                        <w:left w:val="none" w:sz="0" w:space="0" w:color="auto"/>
                        <w:bottom w:val="none" w:sz="0" w:space="0" w:color="auto"/>
                        <w:right w:val="none" w:sz="0" w:space="0" w:color="auto"/>
                      </w:divBdr>
                    </w:div>
                    <w:div w:id="294156171">
                      <w:marLeft w:val="0"/>
                      <w:marRight w:val="0"/>
                      <w:marTop w:val="0"/>
                      <w:marBottom w:val="0"/>
                      <w:divBdr>
                        <w:top w:val="none" w:sz="0" w:space="0" w:color="auto"/>
                        <w:left w:val="none" w:sz="0" w:space="0" w:color="auto"/>
                        <w:bottom w:val="none" w:sz="0" w:space="0" w:color="auto"/>
                        <w:right w:val="none" w:sz="0" w:space="0" w:color="auto"/>
                      </w:divBdr>
                      <w:divsChild>
                        <w:div w:id="294156250">
                          <w:marLeft w:val="0"/>
                          <w:marRight w:val="0"/>
                          <w:marTop w:val="0"/>
                          <w:marBottom w:val="0"/>
                          <w:divBdr>
                            <w:top w:val="none" w:sz="0" w:space="0" w:color="auto"/>
                            <w:left w:val="none" w:sz="0" w:space="0" w:color="auto"/>
                            <w:bottom w:val="none" w:sz="0" w:space="0" w:color="auto"/>
                            <w:right w:val="none" w:sz="0" w:space="0" w:color="auto"/>
                          </w:divBdr>
                        </w:div>
                      </w:divsChild>
                    </w:div>
                    <w:div w:id="294156210">
                      <w:marLeft w:val="0"/>
                      <w:marRight w:val="0"/>
                      <w:marTop w:val="0"/>
                      <w:marBottom w:val="0"/>
                      <w:divBdr>
                        <w:top w:val="none" w:sz="0" w:space="0" w:color="auto"/>
                        <w:left w:val="none" w:sz="0" w:space="0" w:color="auto"/>
                        <w:bottom w:val="none" w:sz="0" w:space="0" w:color="auto"/>
                        <w:right w:val="none" w:sz="0" w:space="0" w:color="auto"/>
                      </w:divBdr>
                    </w:div>
                    <w:div w:id="294156243">
                      <w:marLeft w:val="0"/>
                      <w:marRight w:val="0"/>
                      <w:marTop w:val="0"/>
                      <w:marBottom w:val="0"/>
                      <w:divBdr>
                        <w:top w:val="none" w:sz="0" w:space="0" w:color="auto"/>
                        <w:left w:val="none" w:sz="0" w:space="0" w:color="auto"/>
                        <w:bottom w:val="none" w:sz="0" w:space="0" w:color="auto"/>
                        <w:right w:val="none" w:sz="0" w:space="0" w:color="auto"/>
                      </w:divBdr>
                    </w:div>
                    <w:div w:id="294156270">
                      <w:marLeft w:val="0"/>
                      <w:marRight w:val="0"/>
                      <w:marTop w:val="0"/>
                      <w:marBottom w:val="0"/>
                      <w:divBdr>
                        <w:top w:val="none" w:sz="0" w:space="0" w:color="auto"/>
                        <w:left w:val="none" w:sz="0" w:space="0" w:color="auto"/>
                        <w:bottom w:val="none" w:sz="0" w:space="0" w:color="auto"/>
                        <w:right w:val="none" w:sz="0" w:space="0" w:color="auto"/>
                      </w:divBdr>
                    </w:div>
                    <w:div w:id="294156303">
                      <w:marLeft w:val="0"/>
                      <w:marRight w:val="0"/>
                      <w:marTop w:val="0"/>
                      <w:marBottom w:val="0"/>
                      <w:divBdr>
                        <w:top w:val="none" w:sz="0" w:space="0" w:color="auto"/>
                        <w:left w:val="none" w:sz="0" w:space="0" w:color="auto"/>
                        <w:bottom w:val="none" w:sz="0" w:space="0" w:color="auto"/>
                        <w:right w:val="none" w:sz="0" w:space="0" w:color="auto"/>
                      </w:divBdr>
                    </w:div>
                    <w:div w:id="294156407">
                      <w:marLeft w:val="0"/>
                      <w:marRight w:val="0"/>
                      <w:marTop w:val="0"/>
                      <w:marBottom w:val="0"/>
                      <w:divBdr>
                        <w:top w:val="none" w:sz="0" w:space="0" w:color="auto"/>
                        <w:left w:val="none" w:sz="0" w:space="0" w:color="auto"/>
                        <w:bottom w:val="none" w:sz="0" w:space="0" w:color="auto"/>
                        <w:right w:val="none" w:sz="0" w:space="0" w:color="auto"/>
                      </w:divBdr>
                    </w:div>
                    <w:div w:id="294156410">
                      <w:marLeft w:val="0"/>
                      <w:marRight w:val="0"/>
                      <w:marTop w:val="0"/>
                      <w:marBottom w:val="0"/>
                      <w:divBdr>
                        <w:top w:val="none" w:sz="0" w:space="0" w:color="auto"/>
                        <w:left w:val="none" w:sz="0" w:space="0" w:color="auto"/>
                        <w:bottom w:val="none" w:sz="0" w:space="0" w:color="auto"/>
                        <w:right w:val="none" w:sz="0" w:space="0" w:color="auto"/>
                      </w:divBdr>
                      <w:divsChild>
                        <w:div w:id="294144098">
                          <w:marLeft w:val="0"/>
                          <w:marRight w:val="0"/>
                          <w:marTop w:val="0"/>
                          <w:marBottom w:val="0"/>
                          <w:divBdr>
                            <w:top w:val="none" w:sz="0" w:space="0" w:color="auto"/>
                            <w:left w:val="none" w:sz="0" w:space="0" w:color="auto"/>
                            <w:bottom w:val="none" w:sz="0" w:space="0" w:color="auto"/>
                            <w:right w:val="none" w:sz="0" w:space="0" w:color="auto"/>
                          </w:divBdr>
                        </w:div>
                      </w:divsChild>
                    </w:div>
                    <w:div w:id="294156609">
                      <w:marLeft w:val="0"/>
                      <w:marRight w:val="0"/>
                      <w:marTop w:val="0"/>
                      <w:marBottom w:val="0"/>
                      <w:divBdr>
                        <w:top w:val="none" w:sz="0" w:space="0" w:color="auto"/>
                        <w:left w:val="none" w:sz="0" w:space="0" w:color="auto"/>
                        <w:bottom w:val="none" w:sz="0" w:space="0" w:color="auto"/>
                        <w:right w:val="none" w:sz="0" w:space="0" w:color="auto"/>
                      </w:divBdr>
                    </w:div>
                    <w:div w:id="294156636">
                      <w:marLeft w:val="0"/>
                      <w:marRight w:val="0"/>
                      <w:marTop w:val="0"/>
                      <w:marBottom w:val="0"/>
                      <w:divBdr>
                        <w:top w:val="none" w:sz="0" w:space="0" w:color="auto"/>
                        <w:left w:val="none" w:sz="0" w:space="0" w:color="auto"/>
                        <w:bottom w:val="none" w:sz="0" w:space="0" w:color="auto"/>
                        <w:right w:val="none" w:sz="0" w:space="0" w:color="auto"/>
                      </w:divBdr>
                      <w:divsChild>
                        <w:div w:id="294153663">
                          <w:marLeft w:val="0"/>
                          <w:marRight w:val="0"/>
                          <w:marTop w:val="0"/>
                          <w:marBottom w:val="0"/>
                          <w:divBdr>
                            <w:top w:val="none" w:sz="0" w:space="0" w:color="auto"/>
                            <w:left w:val="none" w:sz="0" w:space="0" w:color="auto"/>
                            <w:bottom w:val="none" w:sz="0" w:space="0" w:color="auto"/>
                            <w:right w:val="none" w:sz="0" w:space="0" w:color="auto"/>
                          </w:divBdr>
                        </w:div>
                      </w:divsChild>
                    </w:div>
                    <w:div w:id="294156733">
                      <w:marLeft w:val="0"/>
                      <w:marRight w:val="0"/>
                      <w:marTop w:val="0"/>
                      <w:marBottom w:val="0"/>
                      <w:divBdr>
                        <w:top w:val="none" w:sz="0" w:space="0" w:color="auto"/>
                        <w:left w:val="none" w:sz="0" w:space="0" w:color="auto"/>
                        <w:bottom w:val="none" w:sz="0" w:space="0" w:color="auto"/>
                        <w:right w:val="none" w:sz="0" w:space="0" w:color="auto"/>
                      </w:divBdr>
                      <w:divsChild>
                        <w:div w:id="294144597">
                          <w:marLeft w:val="0"/>
                          <w:marRight w:val="0"/>
                          <w:marTop w:val="0"/>
                          <w:marBottom w:val="0"/>
                          <w:divBdr>
                            <w:top w:val="none" w:sz="0" w:space="0" w:color="auto"/>
                            <w:left w:val="none" w:sz="0" w:space="0" w:color="auto"/>
                            <w:bottom w:val="none" w:sz="0" w:space="0" w:color="auto"/>
                            <w:right w:val="none" w:sz="0" w:space="0" w:color="auto"/>
                          </w:divBdr>
                        </w:div>
                      </w:divsChild>
                    </w:div>
                    <w:div w:id="294156852">
                      <w:marLeft w:val="0"/>
                      <w:marRight w:val="0"/>
                      <w:marTop w:val="0"/>
                      <w:marBottom w:val="0"/>
                      <w:divBdr>
                        <w:top w:val="none" w:sz="0" w:space="0" w:color="auto"/>
                        <w:left w:val="none" w:sz="0" w:space="0" w:color="auto"/>
                        <w:bottom w:val="none" w:sz="0" w:space="0" w:color="auto"/>
                        <w:right w:val="none" w:sz="0" w:space="0" w:color="auto"/>
                      </w:divBdr>
                    </w:div>
                    <w:div w:id="294156869">
                      <w:marLeft w:val="0"/>
                      <w:marRight w:val="0"/>
                      <w:marTop w:val="0"/>
                      <w:marBottom w:val="0"/>
                      <w:divBdr>
                        <w:top w:val="none" w:sz="0" w:space="0" w:color="auto"/>
                        <w:left w:val="none" w:sz="0" w:space="0" w:color="auto"/>
                        <w:bottom w:val="none" w:sz="0" w:space="0" w:color="auto"/>
                        <w:right w:val="none" w:sz="0" w:space="0" w:color="auto"/>
                      </w:divBdr>
                      <w:divsChild>
                        <w:div w:id="294139990">
                          <w:marLeft w:val="0"/>
                          <w:marRight w:val="0"/>
                          <w:marTop w:val="0"/>
                          <w:marBottom w:val="0"/>
                          <w:divBdr>
                            <w:top w:val="none" w:sz="0" w:space="0" w:color="auto"/>
                            <w:left w:val="none" w:sz="0" w:space="0" w:color="auto"/>
                            <w:bottom w:val="none" w:sz="0" w:space="0" w:color="auto"/>
                            <w:right w:val="none" w:sz="0" w:space="0" w:color="auto"/>
                          </w:divBdr>
                        </w:div>
                      </w:divsChild>
                    </w:div>
                    <w:div w:id="294156909">
                      <w:marLeft w:val="0"/>
                      <w:marRight w:val="0"/>
                      <w:marTop w:val="0"/>
                      <w:marBottom w:val="0"/>
                      <w:divBdr>
                        <w:top w:val="none" w:sz="0" w:space="0" w:color="auto"/>
                        <w:left w:val="none" w:sz="0" w:space="0" w:color="auto"/>
                        <w:bottom w:val="none" w:sz="0" w:space="0" w:color="auto"/>
                        <w:right w:val="none" w:sz="0" w:space="0" w:color="auto"/>
                      </w:divBdr>
                      <w:divsChild>
                        <w:div w:id="294138723">
                          <w:marLeft w:val="0"/>
                          <w:marRight w:val="0"/>
                          <w:marTop w:val="0"/>
                          <w:marBottom w:val="0"/>
                          <w:divBdr>
                            <w:top w:val="none" w:sz="0" w:space="0" w:color="auto"/>
                            <w:left w:val="none" w:sz="0" w:space="0" w:color="auto"/>
                            <w:bottom w:val="none" w:sz="0" w:space="0" w:color="auto"/>
                            <w:right w:val="none" w:sz="0" w:space="0" w:color="auto"/>
                          </w:divBdr>
                        </w:div>
                      </w:divsChild>
                    </w:div>
                    <w:div w:id="294157038">
                      <w:marLeft w:val="0"/>
                      <w:marRight w:val="0"/>
                      <w:marTop w:val="0"/>
                      <w:marBottom w:val="0"/>
                      <w:divBdr>
                        <w:top w:val="none" w:sz="0" w:space="0" w:color="auto"/>
                        <w:left w:val="none" w:sz="0" w:space="0" w:color="auto"/>
                        <w:bottom w:val="none" w:sz="0" w:space="0" w:color="auto"/>
                        <w:right w:val="none" w:sz="0" w:space="0" w:color="auto"/>
                      </w:divBdr>
                      <w:divsChild>
                        <w:div w:id="294142492">
                          <w:marLeft w:val="0"/>
                          <w:marRight w:val="0"/>
                          <w:marTop w:val="0"/>
                          <w:marBottom w:val="0"/>
                          <w:divBdr>
                            <w:top w:val="none" w:sz="0" w:space="0" w:color="auto"/>
                            <w:left w:val="none" w:sz="0" w:space="0" w:color="auto"/>
                            <w:bottom w:val="none" w:sz="0" w:space="0" w:color="auto"/>
                            <w:right w:val="none" w:sz="0" w:space="0" w:color="auto"/>
                          </w:divBdr>
                        </w:div>
                      </w:divsChild>
                    </w:div>
                    <w:div w:id="294157123">
                      <w:marLeft w:val="0"/>
                      <w:marRight w:val="0"/>
                      <w:marTop w:val="0"/>
                      <w:marBottom w:val="0"/>
                      <w:divBdr>
                        <w:top w:val="none" w:sz="0" w:space="0" w:color="auto"/>
                        <w:left w:val="none" w:sz="0" w:space="0" w:color="auto"/>
                        <w:bottom w:val="none" w:sz="0" w:space="0" w:color="auto"/>
                        <w:right w:val="none" w:sz="0" w:space="0" w:color="auto"/>
                      </w:divBdr>
                    </w:div>
                    <w:div w:id="294157149">
                      <w:marLeft w:val="0"/>
                      <w:marRight w:val="0"/>
                      <w:marTop w:val="0"/>
                      <w:marBottom w:val="0"/>
                      <w:divBdr>
                        <w:top w:val="none" w:sz="0" w:space="0" w:color="auto"/>
                        <w:left w:val="none" w:sz="0" w:space="0" w:color="auto"/>
                        <w:bottom w:val="none" w:sz="0" w:space="0" w:color="auto"/>
                        <w:right w:val="none" w:sz="0" w:space="0" w:color="auto"/>
                      </w:divBdr>
                      <w:divsChild>
                        <w:div w:id="294149760">
                          <w:marLeft w:val="0"/>
                          <w:marRight w:val="0"/>
                          <w:marTop w:val="0"/>
                          <w:marBottom w:val="0"/>
                          <w:divBdr>
                            <w:top w:val="none" w:sz="0" w:space="0" w:color="auto"/>
                            <w:left w:val="none" w:sz="0" w:space="0" w:color="auto"/>
                            <w:bottom w:val="none" w:sz="0" w:space="0" w:color="auto"/>
                            <w:right w:val="none" w:sz="0" w:space="0" w:color="auto"/>
                          </w:divBdr>
                        </w:div>
                      </w:divsChild>
                    </w:div>
                    <w:div w:id="294157174">
                      <w:marLeft w:val="0"/>
                      <w:marRight w:val="0"/>
                      <w:marTop w:val="0"/>
                      <w:marBottom w:val="0"/>
                      <w:divBdr>
                        <w:top w:val="none" w:sz="0" w:space="0" w:color="auto"/>
                        <w:left w:val="none" w:sz="0" w:space="0" w:color="auto"/>
                        <w:bottom w:val="none" w:sz="0" w:space="0" w:color="auto"/>
                        <w:right w:val="none" w:sz="0" w:space="0" w:color="auto"/>
                      </w:divBdr>
                      <w:divsChild>
                        <w:div w:id="294145275">
                          <w:marLeft w:val="0"/>
                          <w:marRight w:val="0"/>
                          <w:marTop w:val="0"/>
                          <w:marBottom w:val="0"/>
                          <w:divBdr>
                            <w:top w:val="none" w:sz="0" w:space="0" w:color="auto"/>
                            <w:left w:val="none" w:sz="0" w:space="0" w:color="auto"/>
                            <w:bottom w:val="none" w:sz="0" w:space="0" w:color="auto"/>
                            <w:right w:val="none" w:sz="0" w:space="0" w:color="auto"/>
                          </w:divBdr>
                        </w:div>
                      </w:divsChild>
                    </w:div>
                    <w:div w:id="294157179">
                      <w:marLeft w:val="0"/>
                      <w:marRight w:val="0"/>
                      <w:marTop w:val="0"/>
                      <w:marBottom w:val="0"/>
                      <w:divBdr>
                        <w:top w:val="none" w:sz="0" w:space="0" w:color="auto"/>
                        <w:left w:val="none" w:sz="0" w:space="0" w:color="auto"/>
                        <w:bottom w:val="none" w:sz="0" w:space="0" w:color="auto"/>
                        <w:right w:val="none" w:sz="0" w:space="0" w:color="auto"/>
                      </w:divBdr>
                    </w:div>
                    <w:div w:id="294157211">
                      <w:marLeft w:val="0"/>
                      <w:marRight w:val="0"/>
                      <w:marTop w:val="0"/>
                      <w:marBottom w:val="0"/>
                      <w:divBdr>
                        <w:top w:val="none" w:sz="0" w:space="0" w:color="auto"/>
                        <w:left w:val="none" w:sz="0" w:space="0" w:color="auto"/>
                        <w:bottom w:val="none" w:sz="0" w:space="0" w:color="auto"/>
                        <w:right w:val="none" w:sz="0" w:space="0" w:color="auto"/>
                      </w:divBdr>
                    </w:div>
                    <w:div w:id="294157297">
                      <w:marLeft w:val="0"/>
                      <w:marRight w:val="0"/>
                      <w:marTop w:val="0"/>
                      <w:marBottom w:val="0"/>
                      <w:divBdr>
                        <w:top w:val="none" w:sz="0" w:space="0" w:color="auto"/>
                        <w:left w:val="none" w:sz="0" w:space="0" w:color="auto"/>
                        <w:bottom w:val="none" w:sz="0" w:space="0" w:color="auto"/>
                        <w:right w:val="none" w:sz="0" w:space="0" w:color="auto"/>
                      </w:divBdr>
                    </w:div>
                    <w:div w:id="294157361">
                      <w:marLeft w:val="0"/>
                      <w:marRight w:val="0"/>
                      <w:marTop w:val="0"/>
                      <w:marBottom w:val="0"/>
                      <w:divBdr>
                        <w:top w:val="none" w:sz="0" w:space="0" w:color="auto"/>
                        <w:left w:val="none" w:sz="0" w:space="0" w:color="auto"/>
                        <w:bottom w:val="none" w:sz="0" w:space="0" w:color="auto"/>
                        <w:right w:val="none" w:sz="0" w:space="0" w:color="auto"/>
                      </w:divBdr>
                      <w:divsChild>
                        <w:div w:id="294141768">
                          <w:marLeft w:val="0"/>
                          <w:marRight w:val="0"/>
                          <w:marTop w:val="0"/>
                          <w:marBottom w:val="0"/>
                          <w:divBdr>
                            <w:top w:val="none" w:sz="0" w:space="0" w:color="auto"/>
                            <w:left w:val="none" w:sz="0" w:space="0" w:color="auto"/>
                            <w:bottom w:val="none" w:sz="0" w:space="0" w:color="auto"/>
                            <w:right w:val="none" w:sz="0" w:space="0" w:color="auto"/>
                          </w:divBdr>
                        </w:div>
                      </w:divsChild>
                    </w:div>
                    <w:div w:id="294157379">
                      <w:marLeft w:val="0"/>
                      <w:marRight w:val="0"/>
                      <w:marTop w:val="0"/>
                      <w:marBottom w:val="0"/>
                      <w:divBdr>
                        <w:top w:val="none" w:sz="0" w:space="0" w:color="auto"/>
                        <w:left w:val="none" w:sz="0" w:space="0" w:color="auto"/>
                        <w:bottom w:val="none" w:sz="0" w:space="0" w:color="auto"/>
                        <w:right w:val="none" w:sz="0" w:space="0" w:color="auto"/>
                      </w:divBdr>
                      <w:divsChild>
                        <w:div w:id="294144007">
                          <w:marLeft w:val="0"/>
                          <w:marRight w:val="0"/>
                          <w:marTop w:val="0"/>
                          <w:marBottom w:val="0"/>
                          <w:divBdr>
                            <w:top w:val="none" w:sz="0" w:space="0" w:color="auto"/>
                            <w:left w:val="none" w:sz="0" w:space="0" w:color="auto"/>
                            <w:bottom w:val="none" w:sz="0" w:space="0" w:color="auto"/>
                            <w:right w:val="none" w:sz="0" w:space="0" w:color="auto"/>
                          </w:divBdr>
                        </w:div>
                      </w:divsChild>
                    </w:div>
                    <w:div w:id="294157404">
                      <w:marLeft w:val="0"/>
                      <w:marRight w:val="0"/>
                      <w:marTop w:val="0"/>
                      <w:marBottom w:val="0"/>
                      <w:divBdr>
                        <w:top w:val="none" w:sz="0" w:space="0" w:color="auto"/>
                        <w:left w:val="none" w:sz="0" w:space="0" w:color="auto"/>
                        <w:bottom w:val="none" w:sz="0" w:space="0" w:color="auto"/>
                        <w:right w:val="none" w:sz="0" w:space="0" w:color="auto"/>
                      </w:divBdr>
                      <w:divsChild>
                        <w:div w:id="294151101">
                          <w:marLeft w:val="0"/>
                          <w:marRight w:val="0"/>
                          <w:marTop w:val="0"/>
                          <w:marBottom w:val="0"/>
                          <w:divBdr>
                            <w:top w:val="none" w:sz="0" w:space="0" w:color="auto"/>
                            <w:left w:val="none" w:sz="0" w:space="0" w:color="auto"/>
                            <w:bottom w:val="none" w:sz="0" w:space="0" w:color="auto"/>
                            <w:right w:val="none" w:sz="0" w:space="0" w:color="auto"/>
                          </w:divBdr>
                        </w:div>
                      </w:divsChild>
                    </w:div>
                    <w:div w:id="29415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56027">
          <w:marLeft w:val="0"/>
          <w:marRight w:val="0"/>
          <w:marTop w:val="0"/>
          <w:marBottom w:val="0"/>
          <w:divBdr>
            <w:top w:val="none" w:sz="0" w:space="0" w:color="auto"/>
            <w:left w:val="none" w:sz="0" w:space="0" w:color="auto"/>
            <w:bottom w:val="none" w:sz="0" w:space="0" w:color="auto"/>
            <w:right w:val="none" w:sz="0" w:space="0" w:color="auto"/>
          </w:divBdr>
        </w:div>
      </w:divsChild>
    </w:div>
    <w:div w:id="294153980">
      <w:marLeft w:val="0"/>
      <w:marRight w:val="0"/>
      <w:marTop w:val="0"/>
      <w:marBottom w:val="0"/>
      <w:divBdr>
        <w:top w:val="none" w:sz="0" w:space="0" w:color="auto"/>
        <w:left w:val="none" w:sz="0" w:space="0" w:color="auto"/>
        <w:bottom w:val="none" w:sz="0" w:space="0" w:color="auto"/>
        <w:right w:val="none" w:sz="0" w:space="0" w:color="auto"/>
      </w:divBdr>
    </w:div>
    <w:div w:id="294154041">
      <w:marLeft w:val="0"/>
      <w:marRight w:val="0"/>
      <w:marTop w:val="0"/>
      <w:marBottom w:val="0"/>
      <w:divBdr>
        <w:top w:val="none" w:sz="0" w:space="0" w:color="auto"/>
        <w:left w:val="none" w:sz="0" w:space="0" w:color="auto"/>
        <w:bottom w:val="none" w:sz="0" w:space="0" w:color="auto"/>
        <w:right w:val="none" w:sz="0" w:space="0" w:color="auto"/>
      </w:divBdr>
      <w:divsChild>
        <w:div w:id="294156377">
          <w:marLeft w:val="0"/>
          <w:marRight w:val="0"/>
          <w:marTop w:val="0"/>
          <w:marBottom w:val="400"/>
          <w:divBdr>
            <w:top w:val="none" w:sz="0" w:space="0" w:color="auto"/>
            <w:left w:val="none" w:sz="0" w:space="0" w:color="auto"/>
            <w:bottom w:val="none" w:sz="0" w:space="0" w:color="auto"/>
            <w:right w:val="none" w:sz="0" w:space="0" w:color="auto"/>
          </w:divBdr>
        </w:div>
      </w:divsChild>
    </w:div>
    <w:div w:id="294154042">
      <w:marLeft w:val="0"/>
      <w:marRight w:val="0"/>
      <w:marTop w:val="0"/>
      <w:marBottom w:val="0"/>
      <w:divBdr>
        <w:top w:val="none" w:sz="0" w:space="0" w:color="auto"/>
        <w:left w:val="none" w:sz="0" w:space="0" w:color="auto"/>
        <w:bottom w:val="none" w:sz="0" w:space="0" w:color="auto"/>
        <w:right w:val="none" w:sz="0" w:space="0" w:color="auto"/>
      </w:divBdr>
    </w:div>
    <w:div w:id="294154146">
      <w:marLeft w:val="0"/>
      <w:marRight w:val="0"/>
      <w:marTop w:val="0"/>
      <w:marBottom w:val="0"/>
      <w:divBdr>
        <w:top w:val="none" w:sz="0" w:space="0" w:color="auto"/>
        <w:left w:val="none" w:sz="0" w:space="0" w:color="auto"/>
        <w:bottom w:val="none" w:sz="0" w:space="0" w:color="auto"/>
        <w:right w:val="none" w:sz="0" w:space="0" w:color="auto"/>
      </w:divBdr>
    </w:div>
    <w:div w:id="294154167">
      <w:marLeft w:val="0"/>
      <w:marRight w:val="0"/>
      <w:marTop w:val="0"/>
      <w:marBottom w:val="0"/>
      <w:divBdr>
        <w:top w:val="none" w:sz="0" w:space="0" w:color="auto"/>
        <w:left w:val="none" w:sz="0" w:space="0" w:color="auto"/>
        <w:bottom w:val="none" w:sz="0" w:space="0" w:color="auto"/>
        <w:right w:val="none" w:sz="0" w:space="0" w:color="auto"/>
      </w:divBdr>
    </w:div>
    <w:div w:id="294154342">
      <w:marLeft w:val="0"/>
      <w:marRight w:val="0"/>
      <w:marTop w:val="0"/>
      <w:marBottom w:val="0"/>
      <w:divBdr>
        <w:top w:val="none" w:sz="0" w:space="0" w:color="auto"/>
        <w:left w:val="none" w:sz="0" w:space="0" w:color="auto"/>
        <w:bottom w:val="none" w:sz="0" w:space="0" w:color="auto"/>
        <w:right w:val="none" w:sz="0" w:space="0" w:color="auto"/>
      </w:divBdr>
    </w:div>
    <w:div w:id="294154375">
      <w:marLeft w:val="0"/>
      <w:marRight w:val="0"/>
      <w:marTop w:val="0"/>
      <w:marBottom w:val="0"/>
      <w:divBdr>
        <w:top w:val="none" w:sz="0" w:space="0" w:color="auto"/>
        <w:left w:val="none" w:sz="0" w:space="0" w:color="auto"/>
        <w:bottom w:val="none" w:sz="0" w:space="0" w:color="auto"/>
        <w:right w:val="none" w:sz="0" w:space="0" w:color="auto"/>
      </w:divBdr>
    </w:div>
    <w:div w:id="294154380">
      <w:marLeft w:val="0"/>
      <w:marRight w:val="0"/>
      <w:marTop w:val="0"/>
      <w:marBottom w:val="0"/>
      <w:divBdr>
        <w:top w:val="none" w:sz="0" w:space="0" w:color="auto"/>
        <w:left w:val="none" w:sz="0" w:space="0" w:color="auto"/>
        <w:bottom w:val="none" w:sz="0" w:space="0" w:color="auto"/>
        <w:right w:val="none" w:sz="0" w:space="0" w:color="auto"/>
      </w:divBdr>
    </w:div>
    <w:div w:id="294154381">
      <w:marLeft w:val="0"/>
      <w:marRight w:val="0"/>
      <w:marTop w:val="0"/>
      <w:marBottom w:val="0"/>
      <w:divBdr>
        <w:top w:val="none" w:sz="0" w:space="0" w:color="auto"/>
        <w:left w:val="none" w:sz="0" w:space="0" w:color="auto"/>
        <w:bottom w:val="none" w:sz="0" w:space="0" w:color="auto"/>
        <w:right w:val="none" w:sz="0" w:space="0" w:color="auto"/>
      </w:divBdr>
    </w:div>
    <w:div w:id="294154407">
      <w:marLeft w:val="0"/>
      <w:marRight w:val="0"/>
      <w:marTop w:val="0"/>
      <w:marBottom w:val="0"/>
      <w:divBdr>
        <w:top w:val="none" w:sz="0" w:space="0" w:color="auto"/>
        <w:left w:val="none" w:sz="0" w:space="0" w:color="auto"/>
        <w:bottom w:val="none" w:sz="0" w:space="0" w:color="auto"/>
        <w:right w:val="none" w:sz="0" w:space="0" w:color="auto"/>
      </w:divBdr>
    </w:div>
    <w:div w:id="294154418">
      <w:marLeft w:val="0"/>
      <w:marRight w:val="0"/>
      <w:marTop w:val="0"/>
      <w:marBottom w:val="0"/>
      <w:divBdr>
        <w:top w:val="none" w:sz="0" w:space="0" w:color="auto"/>
        <w:left w:val="none" w:sz="0" w:space="0" w:color="auto"/>
        <w:bottom w:val="none" w:sz="0" w:space="0" w:color="auto"/>
        <w:right w:val="none" w:sz="0" w:space="0" w:color="auto"/>
      </w:divBdr>
    </w:div>
    <w:div w:id="294154543">
      <w:marLeft w:val="0"/>
      <w:marRight w:val="0"/>
      <w:marTop w:val="0"/>
      <w:marBottom w:val="0"/>
      <w:divBdr>
        <w:top w:val="none" w:sz="0" w:space="0" w:color="auto"/>
        <w:left w:val="none" w:sz="0" w:space="0" w:color="auto"/>
        <w:bottom w:val="none" w:sz="0" w:space="0" w:color="auto"/>
        <w:right w:val="none" w:sz="0" w:space="0" w:color="auto"/>
      </w:divBdr>
    </w:div>
    <w:div w:id="294154544">
      <w:marLeft w:val="0"/>
      <w:marRight w:val="0"/>
      <w:marTop w:val="0"/>
      <w:marBottom w:val="0"/>
      <w:divBdr>
        <w:top w:val="none" w:sz="0" w:space="0" w:color="auto"/>
        <w:left w:val="none" w:sz="0" w:space="0" w:color="auto"/>
        <w:bottom w:val="none" w:sz="0" w:space="0" w:color="auto"/>
        <w:right w:val="none" w:sz="0" w:space="0" w:color="auto"/>
      </w:divBdr>
    </w:div>
    <w:div w:id="294154553">
      <w:marLeft w:val="0"/>
      <w:marRight w:val="0"/>
      <w:marTop w:val="0"/>
      <w:marBottom w:val="0"/>
      <w:divBdr>
        <w:top w:val="none" w:sz="0" w:space="0" w:color="auto"/>
        <w:left w:val="none" w:sz="0" w:space="0" w:color="auto"/>
        <w:bottom w:val="none" w:sz="0" w:space="0" w:color="auto"/>
        <w:right w:val="none" w:sz="0" w:space="0" w:color="auto"/>
      </w:divBdr>
      <w:divsChild>
        <w:div w:id="294139735">
          <w:marLeft w:val="0"/>
          <w:marRight w:val="0"/>
          <w:marTop w:val="0"/>
          <w:marBottom w:val="0"/>
          <w:divBdr>
            <w:top w:val="none" w:sz="0" w:space="0" w:color="auto"/>
            <w:left w:val="none" w:sz="0" w:space="0" w:color="auto"/>
            <w:bottom w:val="none" w:sz="0" w:space="0" w:color="auto"/>
            <w:right w:val="none" w:sz="0" w:space="0" w:color="auto"/>
          </w:divBdr>
        </w:div>
        <w:div w:id="294148717">
          <w:marLeft w:val="0"/>
          <w:marRight w:val="0"/>
          <w:marTop w:val="0"/>
          <w:marBottom w:val="0"/>
          <w:divBdr>
            <w:top w:val="none" w:sz="0" w:space="0" w:color="auto"/>
            <w:left w:val="none" w:sz="0" w:space="0" w:color="auto"/>
            <w:bottom w:val="none" w:sz="0" w:space="0" w:color="auto"/>
            <w:right w:val="none" w:sz="0" w:space="0" w:color="auto"/>
          </w:divBdr>
        </w:div>
        <w:div w:id="294153506">
          <w:marLeft w:val="0"/>
          <w:marRight w:val="0"/>
          <w:marTop w:val="0"/>
          <w:marBottom w:val="0"/>
          <w:divBdr>
            <w:top w:val="none" w:sz="0" w:space="0" w:color="auto"/>
            <w:left w:val="none" w:sz="0" w:space="0" w:color="auto"/>
            <w:bottom w:val="none" w:sz="0" w:space="0" w:color="auto"/>
            <w:right w:val="none" w:sz="0" w:space="0" w:color="auto"/>
          </w:divBdr>
        </w:div>
        <w:div w:id="294154322">
          <w:marLeft w:val="0"/>
          <w:marRight w:val="0"/>
          <w:marTop w:val="0"/>
          <w:marBottom w:val="0"/>
          <w:divBdr>
            <w:top w:val="none" w:sz="0" w:space="0" w:color="auto"/>
            <w:left w:val="none" w:sz="0" w:space="0" w:color="auto"/>
            <w:bottom w:val="none" w:sz="0" w:space="0" w:color="auto"/>
            <w:right w:val="none" w:sz="0" w:space="0" w:color="auto"/>
          </w:divBdr>
        </w:div>
        <w:div w:id="294155826">
          <w:marLeft w:val="0"/>
          <w:marRight w:val="0"/>
          <w:marTop w:val="0"/>
          <w:marBottom w:val="0"/>
          <w:divBdr>
            <w:top w:val="none" w:sz="0" w:space="0" w:color="auto"/>
            <w:left w:val="none" w:sz="0" w:space="0" w:color="auto"/>
            <w:bottom w:val="none" w:sz="0" w:space="0" w:color="auto"/>
            <w:right w:val="none" w:sz="0" w:space="0" w:color="auto"/>
          </w:divBdr>
        </w:div>
      </w:divsChild>
    </w:div>
    <w:div w:id="294154564">
      <w:marLeft w:val="0"/>
      <w:marRight w:val="0"/>
      <w:marTop w:val="0"/>
      <w:marBottom w:val="0"/>
      <w:divBdr>
        <w:top w:val="none" w:sz="0" w:space="0" w:color="auto"/>
        <w:left w:val="none" w:sz="0" w:space="0" w:color="auto"/>
        <w:bottom w:val="none" w:sz="0" w:space="0" w:color="auto"/>
        <w:right w:val="none" w:sz="0" w:space="0" w:color="auto"/>
      </w:divBdr>
    </w:div>
    <w:div w:id="294154651">
      <w:marLeft w:val="0"/>
      <w:marRight w:val="0"/>
      <w:marTop w:val="0"/>
      <w:marBottom w:val="0"/>
      <w:divBdr>
        <w:top w:val="none" w:sz="0" w:space="0" w:color="auto"/>
        <w:left w:val="none" w:sz="0" w:space="0" w:color="auto"/>
        <w:bottom w:val="none" w:sz="0" w:space="0" w:color="auto"/>
        <w:right w:val="none" w:sz="0" w:space="0" w:color="auto"/>
      </w:divBdr>
    </w:div>
    <w:div w:id="294154815">
      <w:marLeft w:val="0"/>
      <w:marRight w:val="0"/>
      <w:marTop w:val="0"/>
      <w:marBottom w:val="0"/>
      <w:divBdr>
        <w:top w:val="none" w:sz="0" w:space="0" w:color="auto"/>
        <w:left w:val="none" w:sz="0" w:space="0" w:color="auto"/>
        <w:bottom w:val="none" w:sz="0" w:space="0" w:color="auto"/>
        <w:right w:val="none" w:sz="0" w:space="0" w:color="auto"/>
      </w:divBdr>
    </w:div>
    <w:div w:id="294154944">
      <w:marLeft w:val="0"/>
      <w:marRight w:val="0"/>
      <w:marTop w:val="0"/>
      <w:marBottom w:val="0"/>
      <w:divBdr>
        <w:top w:val="none" w:sz="0" w:space="0" w:color="auto"/>
        <w:left w:val="none" w:sz="0" w:space="0" w:color="auto"/>
        <w:bottom w:val="none" w:sz="0" w:space="0" w:color="auto"/>
        <w:right w:val="none" w:sz="0" w:space="0" w:color="auto"/>
      </w:divBdr>
    </w:div>
    <w:div w:id="294154952">
      <w:marLeft w:val="0"/>
      <w:marRight w:val="0"/>
      <w:marTop w:val="0"/>
      <w:marBottom w:val="0"/>
      <w:divBdr>
        <w:top w:val="none" w:sz="0" w:space="0" w:color="auto"/>
        <w:left w:val="none" w:sz="0" w:space="0" w:color="auto"/>
        <w:bottom w:val="none" w:sz="0" w:space="0" w:color="auto"/>
        <w:right w:val="none" w:sz="0" w:space="0" w:color="auto"/>
      </w:divBdr>
    </w:div>
    <w:div w:id="294154957">
      <w:marLeft w:val="0"/>
      <w:marRight w:val="0"/>
      <w:marTop w:val="0"/>
      <w:marBottom w:val="0"/>
      <w:divBdr>
        <w:top w:val="none" w:sz="0" w:space="0" w:color="auto"/>
        <w:left w:val="none" w:sz="0" w:space="0" w:color="auto"/>
        <w:bottom w:val="none" w:sz="0" w:space="0" w:color="auto"/>
        <w:right w:val="none" w:sz="0" w:space="0" w:color="auto"/>
      </w:divBdr>
    </w:div>
    <w:div w:id="294154965">
      <w:marLeft w:val="0"/>
      <w:marRight w:val="0"/>
      <w:marTop w:val="0"/>
      <w:marBottom w:val="0"/>
      <w:divBdr>
        <w:top w:val="none" w:sz="0" w:space="0" w:color="auto"/>
        <w:left w:val="none" w:sz="0" w:space="0" w:color="auto"/>
        <w:bottom w:val="none" w:sz="0" w:space="0" w:color="auto"/>
        <w:right w:val="none" w:sz="0" w:space="0" w:color="auto"/>
      </w:divBdr>
    </w:div>
    <w:div w:id="294154982">
      <w:marLeft w:val="0"/>
      <w:marRight w:val="0"/>
      <w:marTop w:val="0"/>
      <w:marBottom w:val="0"/>
      <w:divBdr>
        <w:top w:val="none" w:sz="0" w:space="0" w:color="auto"/>
        <w:left w:val="none" w:sz="0" w:space="0" w:color="auto"/>
        <w:bottom w:val="none" w:sz="0" w:space="0" w:color="auto"/>
        <w:right w:val="none" w:sz="0" w:space="0" w:color="auto"/>
      </w:divBdr>
      <w:divsChild>
        <w:div w:id="294151143">
          <w:marLeft w:val="0"/>
          <w:marRight w:val="0"/>
          <w:marTop w:val="0"/>
          <w:marBottom w:val="0"/>
          <w:divBdr>
            <w:top w:val="none" w:sz="0" w:space="0" w:color="auto"/>
            <w:left w:val="none" w:sz="0" w:space="0" w:color="auto"/>
            <w:bottom w:val="none" w:sz="0" w:space="0" w:color="auto"/>
            <w:right w:val="none" w:sz="0" w:space="0" w:color="auto"/>
          </w:divBdr>
        </w:div>
        <w:div w:id="294154748">
          <w:marLeft w:val="0"/>
          <w:marRight w:val="0"/>
          <w:marTop w:val="0"/>
          <w:marBottom w:val="0"/>
          <w:divBdr>
            <w:top w:val="none" w:sz="0" w:space="0" w:color="auto"/>
            <w:left w:val="none" w:sz="0" w:space="0" w:color="auto"/>
            <w:bottom w:val="none" w:sz="0" w:space="0" w:color="auto"/>
            <w:right w:val="none" w:sz="0" w:space="0" w:color="auto"/>
          </w:divBdr>
        </w:div>
      </w:divsChild>
    </w:div>
    <w:div w:id="294154985">
      <w:marLeft w:val="0"/>
      <w:marRight w:val="0"/>
      <w:marTop w:val="0"/>
      <w:marBottom w:val="0"/>
      <w:divBdr>
        <w:top w:val="none" w:sz="0" w:space="0" w:color="auto"/>
        <w:left w:val="none" w:sz="0" w:space="0" w:color="auto"/>
        <w:bottom w:val="none" w:sz="0" w:space="0" w:color="auto"/>
        <w:right w:val="none" w:sz="0" w:space="0" w:color="auto"/>
      </w:divBdr>
    </w:div>
    <w:div w:id="294154998">
      <w:marLeft w:val="0"/>
      <w:marRight w:val="0"/>
      <w:marTop w:val="0"/>
      <w:marBottom w:val="0"/>
      <w:divBdr>
        <w:top w:val="none" w:sz="0" w:space="0" w:color="auto"/>
        <w:left w:val="none" w:sz="0" w:space="0" w:color="auto"/>
        <w:bottom w:val="none" w:sz="0" w:space="0" w:color="auto"/>
        <w:right w:val="none" w:sz="0" w:space="0" w:color="auto"/>
      </w:divBdr>
    </w:div>
    <w:div w:id="294155103">
      <w:marLeft w:val="0"/>
      <w:marRight w:val="0"/>
      <w:marTop w:val="0"/>
      <w:marBottom w:val="0"/>
      <w:divBdr>
        <w:top w:val="none" w:sz="0" w:space="0" w:color="auto"/>
        <w:left w:val="none" w:sz="0" w:space="0" w:color="auto"/>
        <w:bottom w:val="none" w:sz="0" w:space="0" w:color="auto"/>
        <w:right w:val="none" w:sz="0" w:space="0" w:color="auto"/>
      </w:divBdr>
    </w:div>
    <w:div w:id="294155143">
      <w:marLeft w:val="0"/>
      <w:marRight w:val="0"/>
      <w:marTop w:val="0"/>
      <w:marBottom w:val="0"/>
      <w:divBdr>
        <w:top w:val="none" w:sz="0" w:space="0" w:color="auto"/>
        <w:left w:val="none" w:sz="0" w:space="0" w:color="auto"/>
        <w:bottom w:val="none" w:sz="0" w:space="0" w:color="auto"/>
        <w:right w:val="none" w:sz="0" w:space="0" w:color="auto"/>
      </w:divBdr>
    </w:div>
    <w:div w:id="294155175">
      <w:marLeft w:val="0"/>
      <w:marRight w:val="0"/>
      <w:marTop w:val="0"/>
      <w:marBottom w:val="0"/>
      <w:divBdr>
        <w:top w:val="none" w:sz="0" w:space="0" w:color="auto"/>
        <w:left w:val="none" w:sz="0" w:space="0" w:color="auto"/>
        <w:bottom w:val="none" w:sz="0" w:space="0" w:color="auto"/>
        <w:right w:val="none" w:sz="0" w:space="0" w:color="auto"/>
      </w:divBdr>
    </w:div>
    <w:div w:id="294155183">
      <w:marLeft w:val="0"/>
      <w:marRight w:val="0"/>
      <w:marTop w:val="0"/>
      <w:marBottom w:val="0"/>
      <w:divBdr>
        <w:top w:val="none" w:sz="0" w:space="0" w:color="auto"/>
        <w:left w:val="none" w:sz="0" w:space="0" w:color="auto"/>
        <w:bottom w:val="none" w:sz="0" w:space="0" w:color="auto"/>
        <w:right w:val="none" w:sz="0" w:space="0" w:color="auto"/>
      </w:divBdr>
    </w:div>
    <w:div w:id="294155271">
      <w:marLeft w:val="0"/>
      <w:marRight w:val="0"/>
      <w:marTop w:val="0"/>
      <w:marBottom w:val="0"/>
      <w:divBdr>
        <w:top w:val="none" w:sz="0" w:space="0" w:color="auto"/>
        <w:left w:val="none" w:sz="0" w:space="0" w:color="auto"/>
        <w:bottom w:val="none" w:sz="0" w:space="0" w:color="auto"/>
        <w:right w:val="none" w:sz="0" w:space="0" w:color="auto"/>
      </w:divBdr>
    </w:div>
    <w:div w:id="294155296">
      <w:marLeft w:val="0"/>
      <w:marRight w:val="0"/>
      <w:marTop w:val="0"/>
      <w:marBottom w:val="0"/>
      <w:divBdr>
        <w:top w:val="none" w:sz="0" w:space="0" w:color="auto"/>
        <w:left w:val="none" w:sz="0" w:space="0" w:color="auto"/>
        <w:bottom w:val="none" w:sz="0" w:space="0" w:color="auto"/>
        <w:right w:val="none" w:sz="0" w:space="0" w:color="auto"/>
      </w:divBdr>
    </w:div>
    <w:div w:id="294155317">
      <w:marLeft w:val="0"/>
      <w:marRight w:val="0"/>
      <w:marTop w:val="0"/>
      <w:marBottom w:val="0"/>
      <w:divBdr>
        <w:top w:val="none" w:sz="0" w:space="0" w:color="auto"/>
        <w:left w:val="none" w:sz="0" w:space="0" w:color="auto"/>
        <w:bottom w:val="none" w:sz="0" w:space="0" w:color="auto"/>
        <w:right w:val="none" w:sz="0" w:space="0" w:color="auto"/>
      </w:divBdr>
    </w:div>
    <w:div w:id="294155375">
      <w:marLeft w:val="0"/>
      <w:marRight w:val="0"/>
      <w:marTop w:val="0"/>
      <w:marBottom w:val="0"/>
      <w:divBdr>
        <w:top w:val="none" w:sz="0" w:space="0" w:color="auto"/>
        <w:left w:val="none" w:sz="0" w:space="0" w:color="auto"/>
        <w:bottom w:val="none" w:sz="0" w:space="0" w:color="auto"/>
        <w:right w:val="none" w:sz="0" w:space="0" w:color="auto"/>
      </w:divBdr>
    </w:div>
    <w:div w:id="294155415">
      <w:marLeft w:val="0"/>
      <w:marRight w:val="0"/>
      <w:marTop w:val="0"/>
      <w:marBottom w:val="0"/>
      <w:divBdr>
        <w:top w:val="none" w:sz="0" w:space="0" w:color="auto"/>
        <w:left w:val="none" w:sz="0" w:space="0" w:color="auto"/>
        <w:bottom w:val="none" w:sz="0" w:space="0" w:color="auto"/>
        <w:right w:val="none" w:sz="0" w:space="0" w:color="auto"/>
      </w:divBdr>
    </w:div>
    <w:div w:id="294155429">
      <w:marLeft w:val="0"/>
      <w:marRight w:val="0"/>
      <w:marTop w:val="0"/>
      <w:marBottom w:val="0"/>
      <w:divBdr>
        <w:top w:val="none" w:sz="0" w:space="0" w:color="auto"/>
        <w:left w:val="none" w:sz="0" w:space="0" w:color="auto"/>
        <w:bottom w:val="none" w:sz="0" w:space="0" w:color="auto"/>
        <w:right w:val="none" w:sz="0" w:space="0" w:color="auto"/>
      </w:divBdr>
    </w:div>
    <w:div w:id="294155443">
      <w:marLeft w:val="0"/>
      <w:marRight w:val="0"/>
      <w:marTop w:val="0"/>
      <w:marBottom w:val="0"/>
      <w:divBdr>
        <w:top w:val="none" w:sz="0" w:space="0" w:color="auto"/>
        <w:left w:val="none" w:sz="0" w:space="0" w:color="auto"/>
        <w:bottom w:val="none" w:sz="0" w:space="0" w:color="auto"/>
        <w:right w:val="none" w:sz="0" w:space="0" w:color="auto"/>
      </w:divBdr>
    </w:div>
    <w:div w:id="294155447">
      <w:marLeft w:val="0"/>
      <w:marRight w:val="0"/>
      <w:marTop w:val="0"/>
      <w:marBottom w:val="0"/>
      <w:divBdr>
        <w:top w:val="none" w:sz="0" w:space="0" w:color="auto"/>
        <w:left w:val="none" w:sz="0" w:space="0" w:color="auto"/>
        <w:bottom w:val="none" w:sz="0" w:space="0" w:color="auto"/>
        <w:right w:val="none" w:sz="0" w:space="0" w:color="auto"/>
      </w:divBdr>
      <w:divsChild>
        <w:div w:id="294141879">
          <w:marLeft w:val="0"/>
          <w:marRight w:val="0"/>
          <w:marTop w:val="0"/>
          <w:marBottom w:val="0"/>
          <w:divBdr>
            <w:top w:val="none" w:sz="0" w:space="0" w:color="auto"/>
            <w:left w:val="none" w:sz="0" w:space="0" w:color="auto"/>
            <w:bottom w:val="none" w:sz="0" w:space="0" w:color="auto"/>
            <w:right w:val="none" w:sz="0" w:space="0" w:color="auto"/>
          </w:divBdr>
        </w:div>
        <w:div w:id="294153075">
          <w:marLeft w:val="0"/>
          <w:marRight w:val="0"/>
          <w:marTop w:val="0"/>
          <w:marBottom w:val="0"/>
          <w:divBdr>
            <w:top w:val="none" w:sz="0" w:space="0" w:color="auto"/>
            <w:left w:val="none" w:sz="0" w:space="0" w:color="auto"/>
            <w:bottom w:val="none" w:sz="0" w:space="0" w:color="auto"/>
            <w:right w:val="none" w:sz="0" w:space="0" w:color="auto"/>
          </w:divBdr>
        </w:div>
        <w:div w:id="294157255">
          <w:marLeft w:val="0"/>
          <w:marRight w:val="0"/>
          <w:marTop w:val="0"/>
          <w:marBottom w:val="0"/>
          <w:divBdr>
            <w:top w:val="none" w:sz="0" w:space="0" w:color="auto"/>
            <w:left w:val="none" w:sz="0" w:space="0" w:color="auto"/>
            <w:bottom w:val="none" w:sz="0" w:space="0" w:color="auto"/>
            <w:right w:val="none" w:sz="0" w:space="0" w:color="auto"/>
          </w:divBdr>
        </w:div>
      </w:divsChild>
    </w:div>
    <w:div w:id="294155477">
      <w:marLeft w:val="0"/>
      <w:marRight w:val="0"/>
      <w:marTop w:val="0"/>
      <w:marBottom w:val="0"/>
      <w:divBdr>
        <w:top w:val="none" w:sz="0" w:space="0" w:color="auto"/>
        <w:left w:val="none" w:sz="0" w:space="0" w:color="auto"/>
        <w:bottom w:val="none" w:sz="0" w:space="0" w:color="auto"/>
        <w:right w:val="none" w:sz="0" w:space="0" w:color="auto"/>
      </w:divBdr>
    </w:div>
    <w:div w:id="294155524">
      <w:marLeft w:val="0"/>
      <w:marRight w:val="0"/>
      <w:marTop w:val="0"/>
      <w:marBottom w:val="0"/>
      <w:divBdr>
        <w:top w:val="none" w:sz="0" w:space="0" w:color="auto"/>
        <w:left w:val="none" w:sz="0" w:space="0" w:color="auto"/>
        <w:bottom w:val="none" w:sz="0" w:space="0" w:color="auto"/>
        <w:right w:val="none" w:sz="0" w:space="0" w:color="auto"/>
      </w:divBdr>
      <w:divsChild>
        <w:div w:id="294145154">
          <w:marLeft w:val="0"/>
          <w:marRight w:val="0"/>
          <w:marTop w:val="0"/>
          <w:marBottom w:val="0"/>
          <w:divBdr>
            <w:top w:val="none" w:sz="0" w:space="0" w:color="auto"/>
            <w:left w:val="none" w:sz="0" w:space="0" w:color="auto"/>
            <w:bottom w:val="none" w:sz="0" w:space="0" w:color="auto"/>
            <w:right w:val="none" w:sz="0" w:space="0" w:color="auto"/>
          </w:divBdr>
        </w:div>
        <w:div w:id="294157058">
          <w:marLeft w:val="0"/>
          <w:marRight w:val="0"/>
          <w:marTop w:val="0"/>
          <w:marBottom w:val="0"/>
          <w:divBdr>
            <w:top w:val="none" w:sz="0" w:space="0" w:color="auto"/>
            <w:left w:val="none" w:sz="0" w:space="0" w:color="auto"/>
            <w:bottom w:val="none" w:sz="0" w:space="0" w:color="auto"/>
            <w:right w:val="none" w:sz="0" w:space="0" w:color="auto"/>
          </w:divBdr>
        </w:div>
      </w:divsChild>
    </w:div>
    <w:div w:id="294155567">
      <w:marLeft w:val="0"/>
      <w:marRight w:val="0"/>
      <w:marTop w:val="0"/>
      <w:marBottom w:val="0"/>
      <w:divBdr>
        <w:top w:val="none" w:sz="0" w:space="0" w:color="auto"/>
        <w:left w:val="none" w:sz="0" w:space="0" w:color="auto"/>
        <w:bottom w:val="none" w:sz="0" w:space="0" w:color="auto"/>
        <w:right w:val="none" w:sz="0" w:space="0" w:color="auto"/>
      </w:divBdr>
    </w:div>
    <w:div w:id="294155570">
      <w:marLeft w:val="0"/>
      <w:marRight w:val="0"/>
      <w:marTop w:val="0"/>
      <w:marBottom w:val="0"/>
      <w:divBdr>
        <w:top w:val="none" w:sz="0" w:space="0" w:color="auto"/>
        <w:left w:val="none" w:sz="0" w:space="0" w:color="auto"/>
        <w:bottom w:val="none" w:sz="0" w:space="0" w:color="auto"/>
        <w:right w:val="none" w:sz="0" w:space="0" w:color="auto"/>
      </w:divBdr>
    </w:div>
    <w:div w:id="294155589">
      <w:marLeft w:val="0"/>
      <w:marRight w:val="0"/>
      <w:marTop w:val="0"/>
      <w:marBottom w:val="0"/>
      <w:divBdr>
        <w:top w:val="none" w:sz="0" w:space="0" w:color="auto"/>
        <w:left w:val="none" w:sz="0" w:space="0" w:color="auto"/>
        <w:bottom w:val="none" w:sz="0" w:space="0" w:color="auto"/>
        <w:right w:val="none" w:sz="0" w:space="0" w:color="auto"/>
      </w:divBdr>
    </w:div>
    <w:div w:id="294155614">
      <w:marLeft w:val="0"/>
      <w:marRight w:val="0"/>
      <w:marTop w:val="0"/>
      <w:marBottom w:val="0"/>
      <w:divBdr>
        <w:top w:val="none" w:sz="0" w:space="0" w:color="auto"/>
        <w:left w:val="none" w:sz="0" w:space="0" w:color="auto"/>
        <w:bottom w:val="none" w:sz="0" w:space="0" w:color="auto"/>
        <w:right w:val="none" w:sz="0" w:space="0" w:color="auto"/>
      </w:divBdr>
    </w:div>
    <w:div w:id="294155616">
      <w:marLeft w:val="0"/>
      <w:marRight w:val="0"/>
      <w:marTop w:val="0"/>
      <w:marBottom w:val="0"/>
      <w:divBdr>
        <w:top w:val="none" w:sz="0" w:space="0" w:color="auto"/>
        <w:left w:val="none" w:sz="0" w:space="0" w:color="auto"/>
        <w:bottom w:val="none" w:sz="0" w:space="0" w:color="auto"/>
        <w:right w:val="none" w:sz="0" w:space="0" w:color="auto"/>
      </w:divBdr>
    </w:div>
    <w:div w:id="294155646">
      <w:marLeft w:val="0"/>
      <w:marRight w:val="0"/>
      <w:marTop w:val="0"/>
      <w:marBottom w:val="0"/>
      <w:divBdr>
        <w:top w:val="none" w:sz="0" w:space="0" w:color="auto"/>
        <w:left w:val="none" w:sz="0" w:space="0" w:color="auto"/>
        <w:bottom w:val="none" w:sz="0" w:space="0" w:color="auto"/>
        <w:right w:val="none" w:sz="0" w:space="0" w:color="auto"/>
      </w:divBdr>
    </w:div>
    <w:div w:id="294155653">
      <w:marLeft w:val="0"/>
      <w:marRight w:val="0"/>
      <w:marTop w:val="0"/>
      <w:marBottom w:val="0"/>
      <w:divBdr>
        <w:top w:val="none" w:sz="0" w:space="0" w:color="auto"/>
        <w:left w:val="none" w:sz="0" w:space="0" w:color="auto"/>
        <w:bottom w:val="none" w:sz="0" w:space="0" w:color="auto"/>
        <w:right w:val="none" w:sz="0" w:space="0" w:color="auto"/>
      </w:divBdr>
    </w:div>
    <w:div w:id="294155667">
      <w:marLeft w:val="0"/>
      <w:marRight w:val="0"/>
      <w:marTop w:val="0"/>
      <w:marBottom w:val="0"/>
      <w:divBdr>
        <w:top w:val="none" w:sz="0" w:space="0" w:color="auto"/>
        <w:left w:val="none" w:sz="0" w:space="0" w:color="auto"/>
        <w:bottom w:val="none" w:sz="0" w:space="0" w:color="auto"/>
        <w:right w:val="none" w:sz="0" w:space="0" w:color="auto"/>
      </w:divBdr>
      <w:divsChild>
        <w:div w:id="294138551">
          <w:marLeft w:val="0"/>
          <w:marRight w:val="0"/>
          <w:marTop w:val="0"/>
          <w:marBottom w:val="0"/>
          <w:divBdr>
            <w:top w:val="none" w:sz="0" w:space="0" w:color="auto"/>
            <w:left w:val="none" w:sz="0" w:space="0" w:color="auto"/>
            <w:bottom w:val="none" w:sz="0" w:space="0" w:color="auto"/>
            <w:right w:val="none" w:sz="0" w:space="0" w:color="auto"/>
          </w:divBdr>
        </w:div>
        <w:div w:id="294138802">
          <w:marLeft w:val="0"/>
          <w:marRight w:val="0"/>
          <w:marTop w:val="0"/>
          <w:marBottom w:val="0"/>
          <w:divBdr>
            <w:top w:val="none" w:sz="0" w:space="0" w:color="auto"/>
            <w:left w:val="none" w:sz="0" w:space="0" w:color="auto"/>
            <w:bottom w:val="none" w:sz="0" w:space="0" w:color="auto"/>
            <w:right w:val="none" w:sz="0" w:space="0" w:color="auto"/>
          </w:divBdr>
        </w:div>
        <w:div w:id="294138922">
          <w:marLeft w:val="0"/>
          <w:marRight w:val="0"/>
          <w:marTop w:val="0"/>
          <w:marBottom w:val="0"/>
          <w:divBdr>
            <w:top w:val="none" w:sz="0" w:space="0" w:color="auto"/>
            <w:left w:val="none" w:sz="0" w:space="0" w:color="auto"/>
            <w:bottom w:val="none" w:sz="0" w:space="0" w:color="auto"/>
            <w:right w:val="none" w:sz="0" w:space="0" w:color="auto"/>
          </w:divBdr>
        </w:div>
        <w:div w:id="294139105">
          <w:marLeft w:val="0"/>
          <w:marRight w:val="0"/>
          <w:marTop w:val="0"/>
          <w:marBottom w:val="0"/>
          <w:divBdr>
            <w:top w:val="none" w:sz="0" w:space="0" w:color="auto"/>
            <w:left w:val="none" w:sz="0" w:space="0" w:color="auto"/>
            <w:bottom w:val="none" w:sz="0" w:space="0" w:color="auto"/>
            <w:right w:val="none" w:sz="0" w:space="0" w:color="auto"/>
          </w:divBdr>
        </w:div>
        <w:div w:id="294139241">
          <w:marLeft w:val="0"/>
          <w:marRight w:val="0"/>
          <w:marTop w:val="0"/>
          <w:marBottom w:val="0"/>
          <w:divBdr>
            <w:top w:val="none" w:sz="0" w:space="0" w:color="auto"/>
            <w:left w:val="none" w:sz="0" w:space="0" w:color="auto"/>
            <w:bottom w:val="none" w:sz="0" w:space="0" w:color="auto"/>
            <w:right w:val="none" w:sz="0" w:space="0" w:color="auto"/>
          </w:divBdr>
        </w:div>
        <w:div w:id="294139252">
          <w:marLeft w:val="0"/>
          <w:marRight w:val="0"/>
          <w:marTop w:val="0"/>
          <w:marBottom w:val="0"/>
          <w:divBdr>
            <w:top w:val="none" w:sz="0" w:space="0" w:color="auto"/>
            <w:left w:val="none" w:sz="0" w:space="0" w:color="auto"/>
            <w:bottom w:val="none" w:sz="0" w:space="0" w:color="auto"/>
            <w:right w:val="none" w:sz="0" w:space="0" w:color="auto"/>
          </w:divBdr>
        </w:div>
        <w:div w:id="294139255">
          <w:marLeft w:val="0"/>
          <w:marRight w:val="0"/>
          <w:marTop w:val="0"/>
          <w:marBottom w:val="0"/>
          <w:divBdr>
            <w:top w:val="none" w:sz="0" w:space="0" w:color="auto"/>
            <w:left w:val="none" w:sz="0" w:space="0" w:color="auto"/>
            <w:bottom w:val="none" w:sz="0" w:space="0" w:color="auto"/>
            <w:right w:val="none" w:sz="0" w:space="0" w:color="auto"/>
          </w:divBdr>
        </w:div>
        <w:div w:id="294139267">
          <w:marLeft w:val="0"/>
          <w:marRight w:val="0"/>
          <w:marTop w:val="0"/>
          <w:marBottom w:val="0"/>
          <w:divBdr>
            <w:top w:val="none" w:sz="0" w:space="0" w:color="auto"/>
            <w:left w:val="none" w:sz="0" w:space="0" w:color="auto"/>
            <w:bottom w:val="none" w:sz="0" w:space="0" w:color="auto"/>
            <w:right w:val="none" w:sz="0" w:space="0" w:color="auto"/>
          </w:divBdr>
        </w:div>
        <w:div w:id="294139286">
          <w:marLeft w:val="0"/>
          <w:marRight w:val="0"/>
          <w:marTop w:val="0"/>
          <w:marBottom w:val="0"/>
          <w:divBdr>
            <w:top w:val="none" w:sz="0" w:space="0" w:color="auto"/>
            <w:left w:val="none" w:sz="0" w:space="0" w:color="auto"/>
            <w:bottom w:val="none" w:sz="0" w:space="0" w:color="auto"/>
            <w:right w:val="none" w:sz="0" w:space="0" w:color="auto"/>
          </w:divBdr>
        </w:div>
        <w:div w:id="294139292">
          <w:marLeft w:val="0"/>
          <w:marRight w:val="0"/>
          <w:marTop w:val="0"/>
          <w:marBottom w:val="0"/>
          <w:divBdr>
            <w:top w:val="none" w:sz="0" w:space="0" w:color="auto"/>
            <w:left w:val="none" w:sz="0" w:space="0" w:color="auto"/>
            <w:bottom w:val="none" w:sz="0" w:space="0" w:color="auto"/>
            <w:right w:val="none" w:sz="0" w:space="0" w:color="auto"/>
          </w:divBdr>
        </w:div>
        <w:div w:id="294139369">
          <w:marLeft w:val="0"/>
          <w:marRight w:val="0"/>
          <w:marTop w:val="0"/>
          <w:marBottom w:val="0"/>
          <w:divBdr>
            <w:top w:val="none" w:sz="0" w:space="0" w:color="auto"/>
            <w:left w:val="none" w:sz="0" w:space="0" w:color="auto"/>
            <w:bottom w:val="none" w:sz="0" w:space="0" w:color="auto"/>
            <w:right w:val="none" w:sz="0" w:space="0" w:color="auto"/>
          </w:divBdr>
        </w:div>
        <w:div w:id="294139417">
          <w:marLeft w:val="0"/>
          <w:marRight w:val="0"/>
          <w:marTop w:val="0"/>
          <w:marBottom w:val="0"/>
          <w:divBdr>
            <w:top w:val="none" w:sz="0" w:space="0" w:color="auto"/>
            <w:left w:val="none" w:sz="0" w:space="0" w:color="auto"/>
            <w:bottom w:val="none" w:sz="0" w:space="0" w:color="auto"/>
            <w:right w:val="none" w:sz="0" w:space="0" w:color="auto"/>
          </w:divBdr>
        </w:div>
        <w:div w:id="294139469">
          <w:marLeft w:val="0"/>
          <w:marRight w:val="0"/>
          <w:marTop w:val="0"/>
          <w:marBottom w:val="0"/>
          <w:divBdr>
            <w:top w:val="none" w:sz="0" w:space="0" w:color="auto"/>
            <w:left w:val="none" w:sz="0" w:space="0" w:color="auto"/>
            <w:bottom w:val="none" w:sz="0" w:space="0" w:color="auto"/>
            <w:right w:val="none" w:sz="0" w:space="0" w:color="auto"/>
          </w:divBdr>
        </w:div>
        <w:div w:id="294139505">
          <w:marLeft w:val="0"/>
          <w:marRight w:val="0"/>
          <w:marTop w:val="0"/>
          <w:marBottom w:val="0"/>
          <w:divBdr>
            <w:top w:val="none" w:sz="0" w:space="0" w:color="auto"/>
            <w:left w:val="none" w:sz="0" w:space="0" w:color="auto"/>
            <w:bottom w:val="none" w:sz="0" w:space="0" w:color="auto"/>
            <w:right w:val="none" w:sz="0" w:space="0" w:color="auto"/>
          </w:divBdr>
        </w:div>
        <w:div w:id="294139632">
          <w:marLeft w:val="0"/>
          <w:marRight w:val="0"/>
          <w:marTop w:val="0"/>
          <w:marBottom w:val="0"/>
          <w:divBdr>
            <w:top w:val="none" w:sz="0" w:space="0" w:color="auto"/>
            <w:left w:val="none" w:sz="0" w:space="0" w:color="auto"/>
            <w:bottom w:val="none" w:sz="0" w:space="0" w:color="auto"/>
            <w:right w:val="none" w:sz="0" w:space="0" w:color="auto"/>
          </w:divBdr>
        </w:div>
        <w:div w:id="294139706">
          <w:marLeft w:val="0"/>
          <w:marRight w:val="0"/>
          <w:marTop w:val="0"/>
          <w:marBottom w:val="0"/>
          <w:divBdr>
            <w:top w:val="none" w:sz="0" w:space="0" w:color="auto"/>
            <w:left w:val="none" w:sz="0" w:space="0" w:color="auto"/>
            <w:bottom w:val="none" w:sz="0" w:space="0" w:color="auto"/>
            <w:right w:val="none" w:sz="0" w:space="0" w:color="auto"/>
          </w:divBdr>
        </w:div>
        <w:div w:id="294139860">
          <w:marLeft w:val="0"/>
          <w:marRight w:val="0"/>
          <w:marTop w:val="0"/>
          <w:marBottom w:val="0"/>
          <w:divBdr>
            <w:top w:val="none" w:sz="0" w:space="0" w:color="auto"/>
            <w:left w:val="none" w:sz="0" w:space="0" w:color="auto"/>
            <w:bottom w:val="none" w:sz="0" w:space="0" w:color="auto"/>
            <w:right w:val="none" w:sz="0" w:space="0" w:color="auto"/>
          </w:divBdr>
        </w:div>
        <w:div w:id="294140176">
          <w:marLeft w:val="0"/>
          <w:marRight w:val="0"/>
          <w:marTop w:val="0"/>
          <w:marBottom w:val="0"/>
          <w:divBdr>
            <w:top w:val="none" w:sz="0" w:space="0" w:color="auto"/>
            <w:left w:val="none" w:sz="0" w:space="0" w:color="auto"/>
            <w:bottom w:val="none" w:sz="0" w:space="0" w:color="auto"/>
            <w:right w:val="none" w:sz="0" w:space="0" w:color="auto"/>
          </w:divBdr>
        </w:div>
        <w:div w:id="294140533">
          <w:marLeft w:val="0"/>
          <w:marRight w:val="0"/>
          <w:marTop w:val="0"/>
          <w:marBottom w:val="0"/>
          <w:divBdr>
            <w:top w:val="none" w:sz="0" w:space="0" w:color="auto"/>
            <w:left w:val="none" w:sz="0" w:space="0" w:color="auto"/>
            <w:bottom w:val="none" w:sz="0" w:space="0" w:color="auto"/>
            <w:right w:val="none" w:sz="0" w:space="0" w:color="auto"/>
          </w:divBdr>
        </w:div>
        <w:div w:id="294140678">
          <w:marLeft w:val="0"/>
          <w:marRight w:val="0"/>
          <w:marTop w:val="0"/>
          <w:marBottom w:val="0"/>
          <w:divBdr>
            <w:top w:val="none" w:sz="0" w:space="0" w:color="auto"/>
            <w:left w:val="none" w:sz="0" w:space="0" w:color="auto"/>
            <w:bottom w:val="none" w:sz="0" w:space="0" w:color="auto"/>
            <w:right w:val="none" w:sz="0" w:space="0" w:color="auto"/>
          </w:divBdr>
        </w:div>
        <w:div w:id="294140741">
          <w:marLeft w:val="0"/>
          <w:marRight w:val="0"/>
          <w:marTop w:val="0"/>
          <w:marBottom w:val="0"/>
          <w:divBdr>
            <w:top w:val="none" w:sz="0" w:space="0" w:color="auto"/>
            <w:left w:val="none" w:sz="0" w:space="0" w:color="auto"/>
            <w:bottom w:val="none" w:sz="0" w:space="0" w:color="auto"/>
            <w:right w:val="none" w:sz="0" w:space="0" w:color="auto"/>
          </w:divBdr>
        </w:div>
        <w:div w:id="294140826">
          <w:marLeft w:val="0"/>
          <w:marRight w:val="0"/>
          <w:marTop w:val="0"/>
          <w:marBottom w:val="0"/>
          <w:divBdr>
            <w:top w:val="none" w:sz="0" w:space="0" w:color="auto"/>
            <w:left w:val="none" w:sz="0" w:space="0" w:color="auto"/>
            <w:bottom w:val="none" w:sz="0" w:space="0" w:color="auto"/>
            <w:right w:val="none" w:sz="0" w:space="0" w:color="auto"/>
          </w:divBdr>
        </w:div>
        <w:div w:id="294140859">
          <w:marLeft w:val="0"/>
          <w:marRight w:val="0"/>
          <w:marTop w:val="0"/>
          <w:marBottom w:val="0"/>
          <w:divBdr>
            <w:top w:val="none" w:sz="0" w:space="0" w:color="auto"/>
            <w:left w:val="none" w:sz="0" w:space="0" w:color="auto"/>
            <w:bottom w:val="none" w:sz="0" w:space="0" w:color="auto"/>
            <w:right w:val="none" w:sz="0" w:space="0" w:color="auto"/>
          </w:divBdr>
        </w:div>
        <w:div w:id="294140905">
          <w:marLeft w:val="0"/>
          <w:marRight w:val="0"/>
          <w:marTop w:val="0"/>
          <w:marBottom w:val="0"/>
          <w:divBdr>
            <w:top w:val="none" w:sz="0" w:space="0" w:color="auto"/>
            <w:left w:val="none" w:sz="0" w:space="0" w:color="auto"/>
            <w:bottom w:val="none" w:sz="0" w:space="0" w:color="auto"/>
            <w:right w:val="none" w:sz="0" w:space="0" w:color="auto"/>
          </w:divBdr>
        </w:div>
        <w:div w:id="294140952">
          <w:marLeft w:val="0"/>
          <w:marRight w:val="0"/>
          <w:marTop w:val="0"/>
          <w:marBottom w:val="0"/>
          <w:divBdr>
            <w:top w:val="none" w:sz="0" w:space="0" w:color="auto"/>
            <w:left w:val="none" w:sz="0" w:space="0" w:color="auto"/>
            <w:bottom w:val="none" w:sz="0" w:space="0" w:color="auto"/>
            <w:right w:val="none" w:sz="0" w:space="0" w:color="auto"/>
          </w:divBdr>
        </w:div>
        <w:div w:id="294140973">
          <w:marLeft w:val="0"/>
          <w:marRight w:val="0"/>
          <w:marTop w:val="0"/>
          <w:marBottom w:val="0"/>
          <w:divBdr>
            <w:top w:val="none" w:sz="0" w:space="0" w:color="auto"/>
            <w:left w:val="none" w:sz="0" w:space="0" w:color="auto"/>
            <w:bottom w:val="none" w:sz="0" w:space="0" w:color="auto"/>
            <w:right w:val="none" w:sz="0" w:space="0" w:color="auto"/>
          </w:divBdr>
        </w:div>
        <w:div w:id="294141196">
          <w:marLeft w:val="0"/>
          <w:marRight w:val="0"/>
          <w:marTop w:val="0"/>
          <w:marBottom w:val="0"/>
          <w:divBdr>
            <w:top w:val="none" w:sz="0" w:space="0" w:color="auto"/>
            <w:left w:val="none" w:sz="0" w:space="0" w:color="auto"/>
            <w:bottom w:val="none" w:sz="0" w:space="0" w:color="auto"/>
            <w:right w:val="none" w:sz="0" w:space="0" w:color="auto"/>
          </w:divBdr>
        </w:div>
        <w:div w:id="294141309">
          <w:marLeft w:val="0"/>
          <w:marRight w:val="0"/>
          <w:marTop w:val="0"/>
          <w:marBottom w:val="0"/>
          <w:divBdr>
            <w:top w:val="none" w:sz="0" w:space="0" w:color="auto"/>
            <w:left w:val="none" w:sz="0" w:space="0" w:color="auto"/>
            <w:bottom w:val="none" w:sz="0" w:space="0" w:color="auto"/>
            <w:right w:val="none" w:sz="0" w:space="0" w:color="auto"/>
          </w:divBdr>
        </w:div>
        <w:div w:id="294141640">
          <w:marLeft w:val="0"/>
          <w:marRight w:val="0"/>
          <w:marTop w:val="0"/>
          <w:marBottom w:val="0"/>
          <w:divBdr>
            <w:top w:val="none" w:sz="0" w:space="0" w:color="auto"/>
            <w:left w:val="none" w:sz="0" w:space="0" w:color="auto"/>
            <w:bottom w:val="none" w:sz="0" w:space="0" w:color="auto"/>
            <w:right w:val="none" w:sz="0" w:space="0" w:color="auto"/>
          </w:divBdr>
        </w:div>
        <w:div w:id="294141854">
          <w:marLeft w:val="0"/>
          <w:marRight w:val="0"/>
          <w:marTop w:val="0"/>
          <w:marBottom w:val="0"/>
          <w:divBdr>
            <w:top w:val="none" w:sz="0" w:space="0" w:color="auto"/>
            <w:left w:val="none" w:sz="0" w:space="0" w:color="auto"/>
            <w:bottom w:val="none" w:sz="0" w:space="0" w:color="auto"/>
            <w:right w:val="none" w:sz="0" w:space="0" w:color="auto"/>
          </w:divBdr>
        </w:div>
        <w:div w:id="294142015">
          <w:marLeft w:val="0"/>
          <w:marRight w:val="0"/>
          <w:marTop w:val="0"/>
          <w:marBottom w:val="0"/>
          <w:divBdr>
            <w:top w:val="none" w:sz="0" w:space="0" w:color="auto"/>
            <w:left w:val="none" w:sz="0" w:space="0" w:color="auto"/>
            <w:bottom w:val="none" w:sz="0" w:space="0" w:color="auto"/>
            <w:right w:val="none" w:sz="0" w:space="0" w:color="auto"/>
          </w:divBdr>
        </w:div>
        <w:div w:id="294142292">
          <w:marLeft w:val="0"/>
          <w:marRight w:val="0"/>
          <w:marTop w:val="0"/>
          <w:marBottom w:val="0"/>
          <w:divBdr>
            <w:top w:val="none" w:sz="0" w:space="0" w:color="auto"/>
            <w:left w:val="none" w:sz="0" w:space="0" w:color="auto"/>
            <w:bottom w:val="none" w:sz="0" w:space="0" w:color="auto"/>
            <w:right w:val="none" w:sz="0" w:space="0" w:color="auto"/>
          </w:divBdr>
        </w:div>
        <w:div w:id="294142324">
          <w:marLeft w:val="0"/>
          <w:marRight w:val="0"/>
          <w:marTop w:val="0"/>
          <w:marBottom w:val="0"/>
          <w:divBdr>
            <w:top w:val="none" w:sz="0" w:space="0" w:color="auto"/>
            <w:left w:val="none" w:sz="0" w:space="0" w:color="auto"/>
            <w:bottom w:val="none" w:sz="0" w:space="0" w:color="auto"/>
            <w:right w:val="none" w:sz="0" w:space="0" w:color="auto"/>
          </w:divBdr>
        </w:div>
        <w:div w:id="294142332">
          <w:marLeft w:val="0"/>
          <w:marRight w:val="0"/>
          <w:marTop w:val="0"/>
          <w:marBottom w:val="0"/>
          <w:divBdr>
            <w:top w:val="none" w:sz="0" w:space="0" w:color="auto"/>
            <w:left w:val="none" w:sz="0" w:space="0" w:color="auto"/>
            <w:bottom w:val="none" w:sz="0" w:space="0" w:color="auto"/>
            <w:right w:val="none" w:sz="0" w:space="0" w:color="auto"/>
          </w:divBdr>
        </w:div>
        <w:div w:id="294142555">
          <w:marLeft w:val="0"/>
          <w:marRight w:val="0"/>
          <w:marTop w:val="0"/>
          <w:marBottom w:val="0"/>
          <w:divBdr>
            <w:top w:val="none" w:sz="0" w:space="0" w:color="auto"/>
            <w:left w:val="none" w:sz="0" w:space="0" w:color="auto"/>
            <w:bottom w:val="none" w:sz="0" w:space="0" w:color="auto"/>
            <w:right w:val="none" w:sz="0" w:space="0" w:color="auto"/>
          </w:divBdr>
        </w:div>
        <w:div w:id="294142681">
          <w:marLeft w:val="0"/>
          <w:marRight w:val="0"/>
          <w:marTop w:val="0"/>
          <w:marBottom w:val="0"/>
          <w:divBdr>
            <w:top w:val="none" w:sz="0" w:space="0" w:color="auto"/>
            <w:left w:val="none" w:sz="0" w:space="0" w:color="auto"/>
            <w:bottom w:val="none" w:sz="0" w:space="0" w:color="auto"/>
            <w:right w:val="none" w:sz="0" w:space="0" w:color="auto"/>
          </w:divBdr>
        </w:div>
        <w:div w:id="294142825">
          <w:marLeft w:val="0"/>
          <w:marRight w:val="0"/>
          <w:marTop w:val="0"/>
          <w:marBottom w:val="0"/>
          <w:divBdr>
            <w:top w:val="none" w:sz="0" w:space="0" w:color="auto"/>
            <w:left w:val="none" w:sz="0" w:space="0" w:color="auto"/>
            <w:bottom w:val="none" w:sz="0" w:space="0" w:color="auto"/>
            <w:right w:val="none" w:sz="0" w:space="0" w:color="auto"/>
          </w:divBdr>
        </w:div>
        <w:div w:id="294142964">
          <w:marLeft w:val="0"/>
          <w:marRight w:val="0"/>
          <w:marTop w:val="0"/>
          <w:marBottom w:val="0"/>
          <w:divBdr>
            <w:top w:val="none" w:sz="0" w:space="0" w:color="auto"/>
            <w:left w:val="none" w:sz="0" w:space="0" w:color="auto"/>
            <w:bottom w:val="none" w:sz="0" w:space="0" w:color="auto"/>
            <w:right w:val="none" w:sz="0" w:space="0" w:color="auto"/>
          </w:divBdr>
        </w:div>
        <w:div w:id="294143071">
          <w:marLeft w:val="0"/>
          <w:marRight w:val="0"/>
          <w:marTop w:val="0"/>
          <w:marBottom w:val="0"/>
          <w:divBdr>
            <w:top w:val="none" w:sz="0" w:space="0" w:color="auto"/>
            <w:left w:val="none" w:sz="0" w:space="0" w:color="auto"/>
            <w:bottom w:val="none" w:sz="0" w:space="0" w:color="auto"/>
            <w:right w:val="none" w:sz="0" w:space="0" w:color="auto"/>
          </w:divBdr>
        </w:div>
        <w:div w:id="294143095">
          <w:marLeft w:val="0"/>
          <w:marRight w:val="0"/>
          <w:marTop w:val="0"/>
          <w:marBottom w:val="0"/>
          <w:divBdr>
            <w:top w:val="none" w:sz="0" w:space="0" w:color="auto"/>
            <w:left w:val="none" w:sz="0" w:space="0" w:color="auto"/>
            <w:bottom w:val="none" w:sz="0" w:space="0" w:color="auto"/>
            <w:right w:val="none" w:sz="0" w:space="0" w:color="auto"/>
          </w:divBdr>
        </w:div>
        <w:div w:id="294143177">
          <w:marLeft w:val="0"/>
          <w:marRight w:val="0"/>
          <w:marTop w:val="0"/>
          <w:marBottom w:val="0"/>
          <w:divBdr>
            <w:top w:val="none" w:sz="0" w:space="0" w:color="auto"/>
            <w:left w:val="none" w:sz="0" w:space="0" w:color="auto"/>
            <w:bottom w:val="none" w:sz="0" w:space="0" w:color="auto"/>
            <w:right w:val="none" w:sz="0" w:space="0" w:color="auto"/>
          </w:divBdr>
        </w:div>
        <w:div w:id="294143346">
          <w:marLeft w:val="0"/>
          <w:marRight w:val="0"/>
          <w:marTop w:val="0"/>
          <w:marBottom w:val="0"/>
          <w:divBdr>
            <w:top w:val="none" w:sz="0" w:space="0" w:color="auto"/>
            <w:left w:val="none" w:sz="0" w:space="0" w:color="auto"/>
            <w:bottom w:val="none" w:sz="0" w:space="0" w:color="auto"/>
            <w:right w:val="none" w:sz="0" w:space="0" w:color="auto"/>
          </w:divBdr>
        </w:div>
        <w:div w:id="294143348">
          <w:marLeft w:val="0"/>
          <w:marRight w:val="0"/>
          <w:marTop w:val="0"/>
          <w:marBottom w:val="0"/>
          <w:divBdr>
            <w:top w:val="none" w:sz="0" w:space="0" w:color="auto"/>
            <w:left w:val="none" w:sz="0" w:space="0" w:color="auto"/>
            <w:bottom w:val="none" w:sz="0" w:space="0" w:color="auto"/>
            <w:right w:val="none" w:sz="0" w:space="0" w:color="auto"/>
          </w:divBdr>
        </w:div>
        <w:div w:id="294143358">
          <w:marLeft w:val="0"/>
          <w:marRight w:val="0"/>
          <w:marTop w:val="0"/>
          <w:marBottom w:val="0"/>
          <w:divBdr>
            <w:top w:val="none" w:sz="0" w:space="0" w:color="auto"/>
            <w:left w:val="none" w:sz="0" w:space="0" w:color="auto"/>
            <w:bottom w:val="none" w:sz="0" w:space="0" w:color="auto"/>
            <w:right w:val="none" w:sz="0" w:space="0" w:color="auto"/>
          </w:divBdr>
        </w:div>
        <w:div w:id="294143604">
          <w:marLeft w:val="0"/>
          <w:marRight w:val="0"/>
          <w:marTop w:val="0"/>
          <w:marBottom w:val="0"/>
          <w:divBdr>
            <w:top w:val="none" w:sz="0" w:space="0" w:color="auto"/>
            <w:left w:val="none" w:sz="0" w:space="0" w:color="auto"/>
            <w:bottom w:val="none" w:sz="0" w:space="0" w:color="auto"/>
            <w:right w:val="none" w:sz="0" w:space="0" w:color="auto"/>
          </w:divBdr>
        </w:div>
        <w:div w:id="294143691">
          <w:marLeft w:val="0"/>
          <w:marRight w:val="0"/>
          <w:marTop w:val="0"/>
          <w:marBottom w:val="0"/>
          <w:divBdr>
            <w:top w:val="none" w:sz="0" w:space="0" w:color="auto"/>
            <w:left w:val="none" w:sz="0" w:space="0" w:color="auto"/>
            <w:bottom w:val="none" w:sz="0" w:space="0" w:color="auto"/>
            <w:right w:val="none" w:sz="0" w:space="0" w:color="auto"/>
          </w:divBdr>
        </w:div>
        <w:div w:id="294143743">
          <w:marLeft w:val="0"/>
          <w:marRight w:val="0"/>
          <w:marTop w:val="0"/>
          <w:marBottom w:val="0"/>
          <w:divBdr>
            <w:top w:val="none" w:sz="0" w:space="0" w:color="auto"/>
            <w:left w:val="none" w:sz="0" w:space="0" w:color="auto"/>
            <w:bottom w:val="none" w:sz="0" w:space="0" w:color="auto"/>
            <w:right w:val="none" w:sz="0" w:space="0" w:color="auto"/>
          </w:divBdr>
        </w:div>
        <w:div w:id="294143770">
          <w:marLeft w:val="0"/>
          <w:marRight w:val="0"/>
          <w:marTop w:val="0"/>
          <w:marBottom w:val="0"/>
          <w:divBdr>
            <w:top w:val="none" w:sz="0" w:space="0" w:color="auto"/>
            <w:left w:val="none" w:sz="0" w:space="0" w:color="auto"/>
            <w:bottom w:val="none" w:sz="0" w:space="0" w:color="auto"/>
            <w:right w:val="none" w:sz="0" w:space="0" w:color="auto"/>
          </w:divBdr>
        </w:div>
        <w:div w:id="294143995">
          <w:marLeft w:val="0"/>
          <w:marRight w:val="0"/>
          <w:marTop w:val="0"/>
          <w:marBottom w:val="0"/>
          <w:divBdr>
            <w:top w:val="none" w:sz="0" w:space="0" w:color="auto"/>
            <w:left w:val="none" w:sz="0" w:space="0" w:color="auto"/>
            <w:bottom w:val="none" w:sz="0" w:space="0" w:color="auto"/>
            <w:right w:val="none" w:sz="0" w:space="0" w:color="auto"/>
          </w:divBdr>
        </w:div>
        <w:div w:id="294144321">
          <w:marLeft w:val="0"/>
          <w:marRight w:val="0"/>
          <w:marTop w:val="0"/>
          <w:marBottom w:val="0"/>
          <w:divBdr>
            <w:top w:val="none" w:sz="0" w:space="0" w:color="auto"/>
            <w:left w:val="none" w:sz="0" w:space="0" w:color="auto"/>
            <w:bottom w:val="none" w:sz="0" w:space="0" w:color="auto"/>
            <w:right w:val="none" w:sz="0" w:space="0" w:color="auto"/>
          </w:divBdr>
        </w:div>
        <w:div w:id="294144421">
          <w:marLeft w:val="0"/>
          <w:marRight w:val="0"/>
          <w:marTop w:val="0"/>
          <w:marBottom w:val="0"/>
          <w:divBdr>
            <w:top w:val="none" w:sz="0" w:space="0" w:color="auto"/>
            <w:left w:val="none" w:sz="0" w:space="0" w:color="auto"/>
            <w:bottom w:val="none" w:sz="0" w:space="0" w:color="auto"/>
            <w:right w:val="none" w:sz="0" w:space="0" w:color="auto"/>
          </w:divBdr>
        </w:div>
        <w:div w:id="294144431">
          <w:marLeft w:val="0"/>
          <w:marRight w:val="0"/>
          <w:marTop w:val="0"/>
          <w:marBottom w:val="0"/>
          <w:divBdr>
            <w:top w:val="none" w:sz="0" w:space="0" w:color="auto"/>
            <w:left w:val="none" w:sz="0" w:space="0" w:color="auto"/>
            <w:bottom w:val="none" w:sz="0" w:space="0" w:color="auto"/>
            <w:right w:val="none" w:sz="0" w:space="0" w:color="auto"/>
          </w:divBdr>
        </w:div>
        <w:div w:id="294144435">
          <w:marLeft w:val="0"/>
          <w:marRight w:val="0"/>
          <w:marTop w:val="0"/>
          <w:marBottom w:val="0"/>
          <w:divBdr>
            <w:top w:val="none" w:sz="0" w:space="0" w:color="auto"/>
            <w:left w:val="none" w:sz="0" w:space="0" w:color="auto"/>
            <w:bottom w:val="none" w:sz="0" w:space="0" w:color="auto"/>
            <w:right w:val="none" w:sz="0" w:space="0" w:color="auto"/>
          </w:divBdr>
        </w:div>
        <w:div w:id="294144530">
          <w:marLeft w:val="0"/>
          <w:marRight w:val="0"/>
          <w:marTop w:val="0"/>
          <w:marBottom w:val="0"/>
          <w:divBdr>
            <w:top w:val="none" w:sz="0" w:space="0" w:color="auto"/>
            <w:left w:val="none" w:sz="0" w:space="0" w:color="auto"/>
            <w:bottom w:val="none" w:sz="0" w:space="0" w:color="auto"/>
            <w:right w:val="none" w:sz="0" w:space="0" w:color="auto"/>
          </w:divBdr>
        </w:div>
        <w:div w:id="294144812">
          <w:marLeft w:val="0"/>
          <w:marRight w:val="0"/>
          <w:marTop w:val="0"/>
          <w:marBottom w:val="0"/>
          <w:divBdr>
            <w:top w:val="none" w:sz="0" w:space="0" w:color="auto"/>
            <w:left w:val="none" w:sz="0" w:space="0" w:color="auto"/>
            <w:bottom w:val="none" w:sz="0" w:space="0" w:color="auto"/>
            <w:right w:val="none" w:sz="0" w:space="0" w:color="auto"/>
          </w:divBdr>
        </w:div>
        <w:div w:id="294144924">
          <w:marLeft w:val="0"/>
          <w:marRight w:val="0"/>
          <w:marTop w:val="0"/>
          <w:marBottom w:val="0"/>
          <w:divBdr>
            <w:top w:val="none" w:sz="0" w:space="0" w:color="auto"/>
            <w:left w:val="none" w:sz="0" w:space="0" w:color="auto"/>
            <w:bottom w:val="none" w:sz="0" w:space="0" w:color="auto"/>
            <w:right w:val="none" w:sz="0" w:space="0" w:color="auto"/>
          </w:divBdr>
        </w:div>
        <w:div w:id="294145150">
          <w:marLeft w:val="0"/>
          <w:marRight w:val="0"/>
          <w:marTop w:val="0"/>
          <w:marBottom w:val="0"/>
          <w:divBdr>
            <w:top w:val="none" w:sz="0" w:space="0" w:color="auto"/>
            <w:left w:val="none" w:sz="0" w:space="0" w:color="auto"/>
            <w:bottom w:val="none" w:sz="0" w:space="0" w:color="auto"/>
            <w:right w:val="none" w:sz="0" w:space="0" w:color="auto"/>
          </w:divBdr>
        </w:div>
        <w:div w:id="294145454">
          <w:marLeft w:val="0"/>
          <w:marRight w:val="0"/>
          <w:marTop w:val="0"/>
          <w:marBottom w:val="0"/>
          <w:divBdr>
            <w:top w:val="none" w:sz="0" w:space="0" w:color="auto"/>
            <w:left w:val="none" w:sz="0" w:space="0" w:color="auto"/>
            <w:bottom w:val="none" w:sz="0" w:space="0" w:color="auto"/>
            <w:right w:val="none" w:sz="0" w:space="0" w:color="auto"/>
          </w:divBdr>
        </w:div>
        <w:div w:id="294145461">
          <w:marLeft w:val="0"/>
          <w:marRight w:val="0"/>
          <w:marTop w:val="0"/>
          <w:marBottom w:val="0"/>
          <w:divBdr>
            <w:top w:val="none" w:sz="0" w:space="0" w:color="auto"/>
            <w:left w:val="none" w:sz="0" w:space="0" w:color="auto"/>
            <w:bottom w:val="none" w:sz="0" w:space="0" w:color="auto"/>
            <w:right w:val="none" w:sz="0" w:space="0" w:color="auto"/>
          </w:divBdr>
        </w:div>
        <w:div w:id="294145570">
          <w:marLeft w:val="0"/>
          <w:marRight w:val="0"/>
          <w:marTop w:val="0"/>
          <w:marBottom w:val="0"/>
          <w:divBdr>
            <w:top w:val="none" w:sz="0" w:space="0" w:color="auto"/>
            <w:left w:val="none" w:sz="0" w:space="0" w:color="auto"/>
            <w:bottom w:val="none" w:sz="0" w:space="0" w:color="auto"/>
            <w:right w:val="none" w:sz="0" w:space="0" w:color="auto"/>
          </w:divBdr>
        </w:div>
        <w:div w:id="294145671">
          <w:marLeft w:val="0"/>
          <w:marRight w:val="0"/>
          <w:marTop w:val="0"/>
          <w:marBottom w:val="0"/>
          <w:divBdr>
            <w:top w:val="none" w:sz="0" w:space="0" w:color="auto"/>
            <w:left w:val="none" w:sz="0" w:space="0" w:color="auto"/>
            <w:bottom w:val="none" w:sz="0" w:space="0" w:color="auto"/>
            <w:right w:val="none" w:sz="0" w:space="0" w:color="auto"/>
          </w:divBdr>
        </w:div>
        <w:div w:id="294145747">
          <w:marLeft w:val="0"/>
          <w:marRight w:val="0"/>
          <w:marTop w:val="0"/>
          <w:marBottom w:val="0"/>
          <w:divBdr>
            <w:top w:val="none" w:sz="0" w:space="0" w:color="auto"/>
            <w:left w:val="none" w:sz="0" w:space="0" w:color="auto"/>
            <w:bottom w:val="none" w:sz="0" w:space="0" w:color="auto"/>
            <w:right w:val="none" w:sz="0" w:space="0" w:color="auto"/>
          </w:divBdr>
        </w:div>
        <w:div w:id="294145826">
          <w:marLeft w:val="0"/>
          <w:marRight w:val="0"/>
          <w:marTop w:val="0"/>
          <w:marBottom w:val="0"/>
          <w:divBdr>
            <w:top w:val="none" w:sz="0" w:space="0" w:color="auto"/>
            <w:left w:val="none" w:sz="0" w:space="0" w:color="auto"/>
            <w:bottom w:val="none" w:sz="0" w:space="0" w:color="auto"/>
            <w:right w:val="none" w:sz="0" w:space="0" w:color="auto"/>
          </w:divBdr>
        </w:div>
        <w:div w:id="294146031">
          <w:marLeft w:val="0"/>
          <w:marRight w:val="0"/>
          <w:marTop w:val="0"/>
          <w:marBottom w:val="0"/>
          <w:divBdr>
            <w:top w:val="none" w:sz="0" w:space="0" w:color="auto"/>
            <w:left w:val="none" w:sz="0" w:space="0" w:color="auto"/>
            <w:bottom w:val="none" w:sz="0" w:space="0" w:color="auto"/>
            <w:right w:val="none" w:sz="0" w:space="0" w:color="auto"/>
          </w:divBdr>
        </w:div>
        <w:div w:id="294146053">
          <w:marLeft w:val="0"/>
          <w:marRight w:val="0"/>
          <w:marTop w:val="0"/>
          <w:marBottom w:val="0"/>
          <w:divBdr>
            <w:top w:val="none" w:sz="0" w:space="0" w:color="auto"/>
            <w:left w:val="none" w:sz="0" w:space="0" w:color="auto"/>
            <w:bottom w:val="none" w:sz="0" w:space="0" w:color="auto"/>
            <w:right w:val="none" w:sz="0" w:space="0" w:color="auto"/>
          </w:divBdr>
        </w:div>
        <w:div w:id="294146180">
          <w:marLeft w:val="0"/>
          <w:marRight w:val="0"/>
          <w:marTop w:val="0"/>
          <w:marBottom w:val="0"/>
          <w:divBdr>
            <w:top w:val="none" w:sz="0" w:space="0" w:color="auto"/>
            <w:left w:val="none" w:sz="0" w:space="0" w:color="auto"/>
            <w:bottom w:val="none" w:sz="0" w:space="0" w:color="auto"/>
            <w:right w:val="none" w:sz="0" w:space="0" w:color="auto"/>
          </w:divBdr>
        </w:div>
        <w:div w:id="294146211">
          <w:marLeft w:val="0"/>
          <w:marRight w:val="0"/>
          <w:marTop w:val="0"/>
          <w:marBottom w:val="0"/>
          <w:divBdr>
            <w:top w:val="none" w:sz="0" w:space="0" w:color="auto"/>
            <w:left w:val="none" w:sz="0" w:space="0" w:color="auto"/>
            <w:bottom w:val="none" w:sz="0" w:space="0" w:color="auto"/>
            <w:right w:val="none" w:sz="0" w:space="0" w:color="auto"/>
          </w:divBdr>
        </w:div>
        <w:div w:id="294146375">
          <w:marLeft w:val="0"/>
          <w:marRight w:val="0"/>
          <w:marTop w:val="0"/>
          <w:marBottom w:val="0"/>
          <w:divBdr>
            <w:top w:val="none" w:sz="0" w:space="0" w:color="auto"/>
            <w:left w:val="none" w:sz="0" w:space="0" w:color="auto"/>
            <w:bottom w:val="none" w:sz="0" w:space="0" w:color="auto"/>
            <w:right w:val="none" w:sz="0" w:space="0" w:color="auto"/>
          </w:divBdr>
        </w:div>
        <w:div w:id="294146414">
          <w:marLeft w:val="0"/>
          <w:marRight w:val="0"/>
          <w:marTop w:val="0"/>
          <w:marBottom w:val="0"/>
          <w:divBdr>
            <w:top w:val="none" w:sz="0" w:space="0" w:color="auto"/>
            <w:left w:val="none" w:sz="0" w:space="0" w:color="auto"/>
            <w:bottom w:val="none" w:sz="0" w:space="0" w:color="auto"/>
            <w:right w:val="none" w:sz="0" w:space="0" w:color="auto"/>
          </w:divBdr>
        </w:div>
        <w:div w:id="294146816">
          <w:marLeft w:val="0"/>
          <w:marRight w:val="0"/>
          <w:marTop w:val="0"/>
          <w:marBottom w:val="0"/>
          <w:divBdr>
            <w:top w:val="none" w:sz="0" w:space="0" w:color="auto"/>
            <w:left w:val="none" w:sz="0" w:space="0" w:color="auto"/>
            <w:bottom w:val="none" w:sz="0" w:space="0" w:color="auto"/>
            <w:right w:val="none" w:sz="0" w:space="0" w:color="auto"/>
          </w:divBdr>
        </w:div>
        <w:div w:id="294146863">
          <w:marLeft w:val="0"/>
          <w:marRight w:val="0"/>
          <w:marTop w:val="0"/>
          <w:marBottom w:val="0"/>
          <w:divBdr>
            <w:top w:val="none" w:sz="0" w:space="0" w:color="auto"/>
            <w:left w:val="none" w:sz="0" w:space="0" w:color="auto"/>
            <w:bottom w:val="none" w:sz="0" w:space="0" w:color="auto"/>
            <w:right w:val="none" w:sz="0" w:space="0" w:color="auto"/>
          </w:divBdr>
        </w:div>
        <w:div w:id="294146933">
          <w:marLeft w:val="0"/>
          <w:marRight w:val="0"/>
          <w:marTop w:val="0"/>
          <w:marBottom w:val="0"/>
          <w:divBdr>
            <w:top w:val="none" w:sz="0" w:space="0" w:color="auto"/>
            <w:left w:val="none" w:sz="0" w:space="0" w:color="auto"/>
            <w:bottom w:val="none" w:sz="0" w:space="0" w:color="auto"/>
            <w:right w:val="none" w:sz="0" w:space="0" w:color="auto"/>
          </w:divBdr>
        </w:div>
        <w:div w:id="294146973">
          <w:marLeft w:val="0"/>
          <w:marRight w:val="0"/>
          <w:marTop w:val="0"/>
          <w:marBottom w:val="0"/>
          <w:divBdr>
            <w:top w:val="none" w:sz="0" w:space="0" w:color="auto"/>
            <w:left w:val="none" w:sz="0" w:space="0" w:color="auto"/>
            <w:bottom w:val="none" w:sz="0" w:space="0" w:color="auto"/>
            <w:right w:val="none" w:sz="0" w:space="0" w:color="auto"/>
          </w:divBdr>
        </w:div>
        <w:div w:id="294146984">
          <w:marLeft w:val="0"/>
          <w:marRight w:val="0"/>
          <w:marTop w:val="0"/>
          <w:marBottom w:val="0"/>
          <w:divBdr>
            <w:top w:val="none" w:sz="0" w:space="0" w:color="auto"/>
            <w:left w:val="none" w:sz="0" w:space="0" w:color="auto"/>
            <w:bottom w:val="none" w:sz="0" w:space="0" w:color="auto"/>
            <w:right w:val="none" w:sz="0" w:space="0" w:color="auto"/>
          </w:divBdr>
        </w:div>
        <w:div w:id="294147443">
          <w:marLeft w:val="0"/>
          <w:marRight w:val="0"/>
          <w:marTop w:val="0"/>
          <w:marBottom w:val="0"/>
          <w:divBdr>
            <w:top w:val="none" w:sz="0" w:space="0" w:color="auto"/>
            <w:left w:val="none" w:sz="0" w:space="0" w:color="auto"/>
            <w:bottom w:val="none" w:sz="0" w:space="0" w:color="auto"/>
            <w:right w:val="none" w:sz="0" w:space="0" w:color="auto"/>
          </w:divBdr>
        </w:div>
        <w:div w:id="294147675">
          <w:marLeft w:val="0"/>
          <w:marRight w:val="0"/>
          <w:marTop w:val="0"/>
          <w:marBottom w:val="0"/>
          <w:divBdr>
            <w:top w:val="none" w:sz="0" w:space="0" w:color="auto"/>
            <w:left w:val="none" w:sz="0" w:space="0" w:color="auto"/>
            <w:bottom w:val="none" w:sz="0" w:space="0" w:color="auto"/>
            <w:right w:val="none" w:sz="0" w:space="0" w:color="auto"/>
          </w:divBdr>
        </w:div>
        <w:div w:id="294147702">
          <w:marLeft w:val="0"/>
          <w:marRight w:val="0"/>
          <w:marTop w:val="0"/>
          <w:marBottom w:val="0"/>
          <w:divBdr>
            <w:top w:val="none" w:sz="0" w:space="0" w:color="auto"/>
            <w:left w:val="none" w:sz="0" w:space="0" w:color="auto"/>
            <w:bottom w:val="none" w:sz="0" w:space="0" w:color="auto"/>
            <w:right w:val="none" w:sz="0" w:space="0" w:color="auto"/>
          </w:divBdr>
        </w:div>
        <w:div w:id="294147729">
          <w:marLeft w:val="0"/>
          <w:marRight w:val="0"/>
          <w:marTop w:val="0"/>
          <w:marBottom w:val="0"/>
          <w:divBdr>
            <w:top w:val="none" w:sz="0" w:space="0" w:color="auto"/>
            <w:left w:val="none" w:sz="0" w:space="0" w:color="auto"/>
            <w:bottom w:val="none" w:sz="0" w:space="0" w:color="auto"/>
            <w:right w:val="none" w:sz="0" w:space="0" w:color="auto"/>
          </w:divBdr>
        </w:div>
        <w:div w:id="294147773">
          <w:marLeft w:val="0"/>
          <w:marRight w:val="0"/>
          <w:marTop w:val="0"/>
          <w:marBottom w:val="0"/>
          <w:divBdr>
            <w:top w:val="none" w:sz="0" w:space="0" w:color="auto"/>
            <w:left w:val="none" w:sz="0" w:space="0" w:color="auto"/>
            <w:bottom w:val="none" w:sz="0" w:space="0" w:color="auto"/>
            <w:right w:val="none" w:sz="0" w:space="0" w:color="auto"/>
          </w:divBdr>
        </w:div>
        <w:div w:id="294147859">
          <w:marLeft w:val="0"/>
          <w:marRight w:val="0"/>
          <w:marTop w:val="0"/>
          <w:marBottom w:val="0"/>
          <w:divBdr>
            <w:top w:val="none" w:sz="0" w:space="0" w:color="auto"/>
            <w:left w:val="none" w:sz="0" w:space="0" w:color="auto"/>
            <w:bottom w:val="none" w:sz="0" w:space="0" w:color="auto"/>
            <w:right w:val="none" w:sz="0" w:space="0" w:color="auto"/>
          </w:divBdr>
        </w:div>
        <w:div w:id="294147962">
          <w:marLeft w:val="0"/>
          <w:marRight w:val="0"/>
          <w:marTop w:val="0"/>
          <w:marBottom w:val="0"/>
          <w:divBdr>
            <w:top w:val="none" w:sz="0" w:space="0" w:color="auto"/>
            <w:left w:val="none" w:sz="0" w:space="0" w:color="auto"/>
            <w:bottom w:val="none" w:sz="0" w:space="0" w:color="auto"/>
            <w:right w:val="none" w:sz="0" w:space="0" w:color="auto"/>
          </w:divBdr>
        </w:div>
        <w:div w:id="294148224">
          <w:marLeft w:val="0"/>
          <w:marRight w:val="0"/>
          <w:marTop w:val="0"/>
          <w:marBottom w:val="0"/>
          <w:divBdr>
            <w:top w:val="none" w:sz="0" w:space="0" w:color="auto"/>
            <w:left w:val="none" w:sz="0" w:space="0" w:color="auto"/>
            <w:bottom w:val="none" w:sz="0" w:space="0" w:color="auto"/>
            <w:right w:val="none" w:sz="0" w:space="0" w:color="auto"/>
          </w:divBdr>
        </w:div>
        <w:div w:id="294148239">
          <w:marLeft w:val="0"/>
          <w:marRight w:val="0"/>
          <w:marTop w:val="0"/>
          <w:marBottom w:val="0"/>
          <w:divBdr>
            <w:top w:val="none" w:sz="0" w:space="0" w:color="auto"/>
            <w:left w:val="none" w:sz="0" w:space="0" w:color="auto"/>
            <w:bottom w:val="none" w:sz="0" w:space="0" w:color="auto"/>
            <w:right w:val="none" w:sz="0" w:space="0" w:color="auto"/>
          </w:divBdr>
        </w:div>
        <w:div w:id="294148316">
          <w:marLeft w:val="0"/>
          <w:marRight w:val="0"/>
          <w:marTop w:val="0"/>
          <w:marBottom w:val="0"/>
          <w:divBdr>
            <w:top w:val="none" w:sz="0" w:space="0" w:color="auto"/>
            <w:left w:val="none" w:sz="0" w:space="0" w:color="auto"/>
            <w:bottom w:val="none" w:sz="0" w:space="0" w:color="auto"/>
            <w:right w:val="none" w:sz="0" w:space="0" w:color="auto"/>
          </w:divBdr>
        </w:div>
        <w:div w:id="294148355">
          <w:marLeft w:val="0"/>
          <w:marRight w:val="0"/>
          <w:marTop w:val="0"/>
          <w:marBottom w:val="0"/>
          <w:divBdr>
            <w:top w:val="none" w:sz="0" w:space="0" w:color="auto"/>
            <w:left w:val="none" w:sz="0" w:space="0" w:color="auto"/>
            <w:bottom w:val="none" w:sz="0" w:space="0" w:color="auto"/>
            <w:right w:val="none" w:sz="0" w:space="0" w:color="auto"/>
          </w:divBdr>
        </w:div>
        <w:div w:id="294148459">
          <w:marLeft w:val="0"/>
          <w:marRight w:val="0"/>
          <w:marTop w:val="0"/>
          <w:marBottom w:val="0"/>
          <w:divBdr>
            <w:top w:val="none" w:sz="0" w:space="0" w:color="auto"/>
            <w:left w:val="none" w:sz="0" w:space="0" w:color="auto"/>
            <w:bottom w:val="none" w:sz="0" w:space="0" w:color="auto"/>
            <w:right w:val="none" w:sz="0" w:space="0" w:color="auto"/>
          </w:divBdr>
        </w:div>
        <w:div w:id="294148554">
          <w:marLeft w:val="0"/>
          <w:marRight w:val="0"/>
          <w:marTop w:val="0"/>
          <w:marBottom w:val="0"/>
          <w:divBdr>
            <w:top w:val="none" w:sz="0" w:space="0" w:color="auto"/>
            <w:left w:val="none" w:sz="0" w:space="0" w:color="auto"/>
            <w:bottom w:val="none" w:sz="0" w:space="0" w:color="auto"/>
            <w:right w:val="none" w:sz="0" w:space="0" w:color="auto"/>
          </w:divBdr>
        </w:div>
        <w:div w:id="294148628">
          <w:marLeft w:val="0"/>
          <w:marRight w:val="0"/>
          <w:marTop w:val="0"/>
          <w:marBottom w:val="0"/>
          <w:divBdr>
            <w:top w:val="none" w:sz="0" w:space="0" w:color="auto"/>
            <w:left w:val="none" w:sz="0" w:space="0" w:color="auto"/>
            <w:bottom w:val="none" w:sz="0" w:space="0" w:color="auto"/>
            <w:right w:val="none" w:sz="0" w:space="0" w:color="auto"/>
          </w:divBdr>
        </w:div>
        <w:div w:id="294148635">
          <w:marLeft w:val="0"/>
          <w:marRight w:val="0"/>
          <w:marTop w:val="0"/>
          <w:marBottom w:val="0"/>
          <w:divBdr>
            <w:top w:val="none" w:sz="0" w:space="0" w:color="auto"/>
            <w:left w:val="none" w:sz="0" w:space="0" w:color="auto"/>
            <w:bottom w:val="none" w:sz="0" w:space="0" w:color="auto"/>
            <w:right w:val="none" w:sz="0" w:space="0" w:color="auto"/>
          </w:divBdr>
        </w:div>
        <w:div w:id="294148639">
          <w:marLeft w:val="0"/>
          <w:marRight w:val="0"/>
          <w:marTop w:val="0"/>
          <w:marBottom w:val="0"/>
          <w:divBdr>
            <w:top w:val="none" w:sz="0" w:space="0" w:color="auto"/>
            <w:left w:val="none" w:sz="0" w:space="0" w:color="auto"/>
            <w:bottom w:val="none" w:sz="0" w:space="0" w:color="auto"/>
            <w:right w:val="none" w:sz="0" w:space="0" w:color="auto"/>
          </w:divBdr>
        </w:div>
        <w:div w:id="294148817">
          <w:marLeft w:val="0"/>
          <w:marRight w:val="0"/>
          <w:marTop w:val="0"/>
          <w:marBottom w:val="0"/>
          <w:divBdr>
            <w:top w:val="none" w:sz="0" w:space="0" w:color="auto"/>
            <w:left w:val="none" w:sz="0" w:space="0" w:color="auto"/>
            <w:bottom w:val="none" w:sz="0" w:space="0" w:color="auto"/>
            <w:right w:val="none" w:sz="0" w:space="0" w:color="auto"/>
          </w:divBdr>
        </w:div>
        <w:div w:id="294148849">
          <w:marLeft w:val="0"/>
          <w:marRight w:val="0"/>
          <w:marTop w:val="0"/>
          <w:marBottom w:val="0"/>
          <w:divBdr>
            <w:top w:val="none" w:sz="0" w:space="0" w:color="auto"/>
            <w:left w:val="none" w:sz="0" w:space="0" w:color="auto"/>
            <w:bottom w:val="none" w:sz="0" w:space="0" w:color="auto"/>
            <w:right w:val="none" w:sz="0" w:space="0" w:color="auto"/>
          </w:divBdr>
        </w:div>
        <w:div w:id="294148875">
          <w:marLeft w:val="0"/>
          <w:marRight w:val="0"/>
          <w:marTop w:val="0"/>
          <w:marBottom w:val="0"/>
          <w:divBdr>
            <w:top w:val="none" w:sz="0" w:space="0" w:color="auto"/>
            <w:left w:val="none" w:sz="0" w:space="0" w:color="auto"/>
            <w:bottom w:val="none" w:sz="0" w:space="0" w:color="auto"/>
            <w:right w:val="none" w:sz="0" w:space="0" w:color="auto"/>
          </w:divBdr>
        </w:div>
        <w:div w:id="294149000">
          <w:marLeft w:val="0"/>
          <w:marRight w:val="0"/>
          <w:marTop w:val="0"/>
          <w:marBottom w:val="0"/>
          <w:divBdr>
            <w:top w:val="none" w:sz="0" w:space="0" w:color="auto"/>
            <w:left w:val="none" w:sz="0" w:space="0" w:color="auto"/>
            <w:bottom w:val="none" w:sz="0" w:space="0" w:color="auto"/>
            <w:right w:val="none" w:sz="0" w:space="0" w:color="auto"/>
          </w:divBdr>
        </w:div>
        <w:div w:id="294149106">
          <w:marLeft w:val="0"/>
          <w:marRight w:val="0"/>
          <w:marTop w:val="0"/>
          <w:marBottom w:val="0"/>
          <w:divBdr>
            <w:top w:val="none" w:sz="0" w:space="0" w:color="auto"/>
            <w:left w:val="none" w:sz="0" w:space="0" w:color="auto"/>
            <w:bottom w:val="none" w:sz="0" w:space="0" w:color="auto"/>
            <w:right w:val="none" w:sz="0" w:space="0" w:color="auto"/>
          </w:divBdr>
        </w:div>
        <w:div w:id="294149119">
          <w:marLeft w:val="0"/>
          <w:marRight w:val="0"/>
          <w:marTop w:val="0"/>
          <w:marBottom w:val="0"/>
          <w:divBdr>
            <w:top w:val="none" w:sz="0" w:space="0" w:color="auto"/>
            <w:left w:val="none" w:sz="0" w:space="0" w:color="auto"/>
            <w:bottom w:val="none" w:sz="0" w:space="0" w:color="auto"/>
            <w:right w:val="none" w:sz="0" w:space="0" w:color="auto"/>
          </w:divBdr>
        </w:div>
        <w:div w:id="294149184">
          <w:marLeft w:val="0"/>
          <w:marRight w:val="0"/>
          <w:marTop w:val="0"/>
          <w:marBottom w:val="0"/>
          <w:divBdr>
            <w:top w:val="none" w:sz="0" w:space="0" w:color="auto"/>
            <w:left w:val="none" w:sz="0" w:space="0" w:color="auto"/>
            <w:bottom w:val="none" w:sz="0" w:space="0" w:color="auto"/>
            <w:right w:val="none" w:sz="0" w:space="0" w:color="auto"/>
          </w:divBdr>
        </w:div>
        <w:div w:id="294149376">
          <w:marLeft w:val="0"/>
          <w:marRight w:val="0"/>
          <w:marTop w:val="0"/>
          <w:marBottom w:val="0"/>
          <w:divBdr>
            <w:top w:val="none" w:sz="0" w:space="0" w:color="auto"/>
            <w:left w:val="none" w:sz="0" w:space="0" w:color="auto"/>
            <w:bottom w:val="none" w:sz="0" w:space="0" w:color="auto"/>
            <w:right w:val="none" w:sz="0" w:space="0" w:color="auto"/>
          </w:divBdr>
        </w:div>
        <w:div w:id="294149495">
          <w:marLeft w:val="0"/>
          <w:marRight w:val="0"/>
          <w:marTop w:val="0"/>
          <w:marBottom w:val="0"/>
          <w:divBdr>
            <w:top w:val="none" w:sz="0" w:space="0" w:color="auto"/>
            <w:left w:val="none" w:sz="0" w:space="0" w:color="auto"/>
            <w:bottom w:val="none" w:sz="0" w:space="0" w:color="auto"/>
            <w:right w:val="none" w:sz="0" w:space="0" w:color="auto"/>
          </w:divBdr>
        </w:div>
        <w:div w:id="294149504">
          <w:marLeft w:val="0"/>
          <w:marRight w:val="0"/>
          <w:marTop w:val="0"/>
          <w:marBottom w:val="0"/>
          <w:divBdr>
            <w:top w:val="none" w:sz="0" w:space="0" w:color="auto"/>
            <w:left w:val="none" w:sz="0" w:space="0" w:color="auto"/>
            <w:bottom w:val="none" w:sz="0" w:space="0" w:color="auto"/>
            <w:right w:val="none" w:sz="0" w:space="0" w:color="auto"/>
          </w:divBdr>
        </w:div>
        <w:div w:id="294149694">
          <w:marLeft w:val="0"/>
          <w:marRight w:val="0"/>
          <w:marTop w:val="0"/>
          <w:marBottom w:val="0"/>
          <w:divBdr>
            <w:top w:val="none" w:sz="0" w:space="0" w:color="auto"/>
            <w:left w:val="none" w:sz="0" w:space="0" w:color="auto"/>
            <w:bottom w:val="none" w:sz="0" w:space="0" w:color="auto"/>
            <w:right w:val="none" w:sz="0" w:space="0" w:color="auto"/>
          </w:divBdr>
        </w:div>
        <w:div w:id="294149800">
          <w:marLeft w:val="0"/>
          <w:marRight w:val="0"/>
          <w:marTop w:val="0"/>
          <w:marBottom w:val="0"/>
          <w:divBdr>
            <w:top w:val="none" w:sz="0" w:space="0" w:color="auto"/>
            <w:left w:val="none" w:sz="0" w:space="0" w:color="auto"/>
            <w:bottom w:val="none" w:sz="0" w:space="0" w:color="auto"/>
            <w:right w:val="none" w:sz="0" w:space="0" w:color="auto"/>
          </w:divBdr>
        </w:div>
        <w:div w:id="294149821">
          <w:marLeft w:val="0"/>
          <w:marRight w:val="0"/>
          <w:marTop w:val="0"/>
          <w:marBottom w:val="0"/>
          <w:divBdr>
            <w:top w:val="none" w:sz="0" w:space="0" w:color="auto"/>
            <w:left w:val="none" w:sz="0" w:space="0" w:color="auto"/>
            <w:bottom w:val="none" w:sz="0" w:space="0" w:color="auto"/>
            <w:right w:val="none" w:sz="0" w:space="0" w:color="auto"/>
          </w:divBdr>
        </w:div>
        <w:div w:id="294149824">
          <w:marLeft w:val="0"/>
          <w:marRight w:val="0"/>
          <w:marTop w:val="0"/>
          <w:marBottom w:val="0"/>
          <w:divBdr>
            <w:top w:val="none" w:sz="0" w:space="0" w:color="auto"/>
            <w:left w:val="none" w:sz="0" w:space="0" w:color="auto"/>
            <w:bottom w:val="none" w:sz="0" w:space="0" w:color="auto"/>
            <w:right w:val="none" w:sz="0" w:space="0" w:color="auto"/>
          </w:divBdr>
        </w:div>
        <w:div w:id="294149843">
          <w:marLeft w:val="0"/>
          <w:marRight w:val="0"/>
          <w:marTop w:val="0"/>
          <w:marBottom w:val="0"/>
          <w:divBdr>
            <w:top w:val="none" w:sz="0" w:space="0" w:color="auto"/>
            <w:left w:val="none" w:sz="0" w:space="0" w:color="auto"/>
            <w:bottom w:val="none" w:sz="0" w:space="0" w:color="auto"/>
            <w:right w:val="none" w:sz="0" w:space="0" w:color="auto"/>
          </w:divBdr>
        </w:div>
        <w:div w:id="294149854">
          <w:marLeft w:val="0"/>
          <w:marRight w:val="0"/>
          <w:marTop w:val="0"/>
          <w:marBottom w:val="0"/>
          <w:divBdr>
            <w:top w:val="none" w:sz="0" w:space="0" w:color="auto"/>
            <w:left w:val="none" w:sz="0" w:space="0" w:color="auto"/>
            <w:bottom w:val="none" w:sz="0" w:space="0" w:color="auto"/>
            <w:right w:val="none" w:sz="0" w:space="0" w:color="auto"/>
          </w:divBdr>
        </w:div>
        <w:div w:id="294150200">
          <w:marLeft w:val="0"/>
          <w:marRight w:val="0"/>
          <w:marTop w:val="0"/>
          <w:marBottom w:val="0"/>
          <w:divBdr>
            <w:top w:val="none" w:sz="0" w:space="0" w:color="auto"/>
            <w:left w:val="none" w:sz="0" w:space="0" w:color="auto"/>
            <w:bottom w:val="none" w:sz="0" w:space="0" w:color="auto"/>
            <w:right w:val="none" w:sz="0" w:space="0" w:color="auto"/>
          </w:divBdr>
        </w:div>
        <w:div w:id="294150303">
          <w:marLeft w:val="0"/>
          <w:marRight w:val="0"/>
          <w:marTop w:val="0"/>
          <w:marBottom w:val="0"/>
          <w:divBdr>
            <w:top w:val="none" w:sz="0" w:space="0" w:color="auto"/>
            <w:left w:val="none" w:sz="0" w:space="0" w:color="auto"/>
            <w:bottom w:val="none" w:sz="0" w:space="0" w:color="auto"/>
            <w:right w:val="none" w:sz="0" w:space="0" w:color="auto"/>
          </w:divBdr>
        </w:div>
        <w:div w:id="294150322">
          <w:marLeft w:val="0"/>
          <w:marRight w:val="0"/>
          <w:marTop w:val="0"/>
          <w:marBottom w:val="0"/>
          <w:divBdr>
            <w:top w:val="none" w:sz="0" w:space="0" w:color="auto"/>
            <w:left w:val="none" w:sz="0" w:space="0" w:color="auto"/>
            <w:bottom w:val="none" w:sz="0" w:space="0" w:color="auto"/>
            <w:right w:val="none" w:sz="0" w:space="0" w:color="auto"/>
          </w:divBdr>
        </w:div>
        <w:div w:id="294150508">
          <w:marLeft w:val="0"/>
          <w:marRight w:val="0"/>
          <w:marTop w:val="0"/>
          <w:marBottom w:val="0"/>
          <w:divBdr>
            <w:top w:val="none" w:sz="0" w:space="0" w:color="auto"/>
            <w:left w:val="none" w:sz="0" w:space="0" w:color="auto"/>
            <w:bottom w:val="none" w:sz="0" w:space="0" w:color="auto"/>
            <w:right w:val="none" w:sz="0" w:space="0" w:color="auto"/>
          </w:divBdr>
        </w:div>
        <w:div w:id="294150639">
          <w:marLeft w:val="0"/>
          <w:marRight w:val="0"/>
          <w:marTop w:val="0"/>
          <w:marBottom w:val="0"/>
          <w:divBdr>
            <w:top w:val="none" w:sz="0" w:space="0" w:color="auto"/>
            <w:left w:val="none" w:sz="0" w:space="0" w:color="auto"/>
            <w:bottom w:val="none" w:sz="0" w:space="0" w:color="auto"/>
            <w:right w:val="none" w:sz="0" w:space="0" w:color="auto"/>
          </w:divBdr>
        </w:div>
        <w:div w:id="294150899">
          <w:marLeft w:val="0"/>
          <w:marRight w:val="0"/>
          <w:marTop w:val="0"/>
          <w:marBottom w:val="0"/>
          <w:divBdr>
            <w:top w:val="none" w:sz="0" w:space="0" w:color="auto"/>
            <w:left w:val="none" w:sz="0" w:space="0" w:color="auto"/>
            <w:bottom w:val="none" w:sz="0" w:space="0" w:color="auto"/>
            <w:right w:val="none" w:sz="0" w:space="0" w:color="auto"/>
          </w:divBdr>
        </w:div>
        <w:div w:id="294151006">
          <w:marLeft w:val="0"/>
          <w:marRight w:val="0"/>
          <w:marTop w:val="0"/>
          <w:marBottom w:val="0"/>
          <w:divBdr>
            <w:top w:val="none" w:sz="0" w:space="0" w:color="auto"/>
            <w:left w:val="none" w:sz="0" w:space="0" w:color="auto"/>
            <w:bottom w:val="none" w:sz="0" w:space="0" w:color="auto"/>
            <w:right w:val="none" w:sz="0" w:space="0" w:color="auto"/>
          </w:divBdr>
        </w:div>
        <w:div w:id="294151210">
          <w:marLeft w:val="0"/>
          <w:marRight w:val="0"/>
          <w:marTop w:val="0"/>
          <w:marBottom w:val="0"/>
          <w:divBdr>
            <w:top w:val="none" w:sz="0" w:space="0" w:color="auto"/>
            <w:left w:val="none" w:sz="0" w:space="0" w:color="auto"/>
            <w:bottom w:val="none" w:sz="0" w:space="0" w:color="auto"/>
            <w:right w:val="none" w:sz="0" w:space="0" w:color="auto"/>
          </w:divBdr>
        </w:div>
        <w:div w:id="294151398">
          <w:marLeft w:val="0"/>
          <w:marRight w:val="0"/>
          <w:marTop w:val="0"/>
          <w:marBottom w:val="0"/>
          <w:divBdr>
            <w:top w:val="none" w:sz="0" w:space="0" w:color="auto"/>
            <w:left w:val="none" w:sz="0" w:space="0" w:color="auto"/>
            <w:bottom w:val="none" w:sz="0" w:space="0" w:color="auto"/>
            <w:right w:val="none" w:sz="0" w:space="0" w:color="auto"/>
          </w:divBdr>
        </w:div>
        <w:div w:id="294151452">
          <w:marLeft w:val="0"/>
          <w:marRight w:val="0"/>
          <w:marTop w:val="0"/>
          <w:marBottom w:val="0"/>
          <w:divBdr>
            <w:top w:val="none" w:sz="0" w:space="0" w:color="auto"/>
            <w:left w:val="none" w:sz="0" w:space="0" w:color="auto"/>
            <w:bottom w:val="none" w:sz="0" w:space="0" w:color="auto"/>
            <w:right w:val="none" w:sz="0" w:space="0" w:color="auto"/>
          </w:divBdr>
        </w:div>
        <w:div w:id="294151458">
          <w:marLeft w:val="0"/>
          <w:marRight w:val="0"/>
          <w:marTop w:val="0"/>
          <w:marBottom w:val="0"/>
          <w:divBdr>
            <w:top w:val="none" w:sz="0" w:space="0" w:color="auto"/>
            <w:left w:val="none" w:sz="0" w:space="0" w:color="auto"/>
            <w:bottom w:val="none" w:sz="0" w:space="0" w:color="auto"/>
            <w:right w:val="none" w:sz="0" w:space="0" w:color="auto"/>
          </w:divBdr>
        </w:div>
        <w:div w:id="294151484">
          <w:marLeft w:val="0"/>
          <w:marRight w:val="0"/>
          <w:marTop w:val="0"/>
          <w:marBottom w:val="0"/>
          <w:divBdr>
            <w:top w:val="none" w:sz="0" w:space="0" w:color="auto"/>
            <w:left w:val="none" w:sz="0" w:space="0" w:color="auto"/>
            <w:bottom w:val="none" w:sz="0" w:space="0" w:color="auto"/>
            <w:right w:val="none" w:sz="0" w:space="0" w:color="auto"/>
          </w:divBdr>
        </w:div>
        <w:div w:id="294151623">
          <w:marLeft w:val="0"/>
          <w:marRight w:val="0"/>
          <w:marTop w:val="0"/>
          <w:marBottom w:val="0"/>
          <w:divBdr>
            <w:top w:val="none" w:sz="0" w:space="0" w:color="auto"/>
            <w:left w:val="none" w:sz="0" w:space="0" w:color="auto"/>
            <w:bottom w:val="none" w:sz="0" w:space="0" w:color="auto"/>
            <w:right w:val="none" w:sz="0" w:space="0" w:color="auto"/>
          </w:divBdr>
        </w:div>
        <w:div w:id="294152000">
          <w:marLeft w:val="0"/>
          <w:marRight w:val="0"/>
          <w:marTop w:val="0"/>
          <w:marBottom w:val="0"/>
          <w:divBdr>
            <w:top w:val="none" w:sz="0" w:space="0" w:color="auto"/>
            <w:left w:val="none" w:sz="0" w:space="0" w:color="auto"/>
            <w:bottom w:val="none" w:sz="0" w:space="0" w:color="auto"/>
            <w:right w:val="none" w:sz="0" w:space="0" w:color="auto"/>
          </w:divBdr>
        </w:div>
        <w:div w:id="294152049">
          <w:marLeft w:val="0"/>
          <w:marRight w:val="0"/>
          <w:marTop w:val="0"/>
          <w:marBottom w:val="0"/>
          <w:divBdr>
            <w:top w:val="none" w:sz="0" w:space="0" w:color="auto"/>
            <w:left w:val="none" w:sz="0" w:space="0" w:color="auto"/>
            <w:bottom w:val="none" w:sz="0" w:space="0" w:color="auto"/>
            <w:right w:val="none" w:sz="0" w:space="0" w:color="auto"/>
          </w:divBdr>
        </w:div>
        <w:div w:id="294152101">
          <w:marLeft w:val="0"/>
          <w:marRight w:val="0"/>
          <w:marTop w:val="0"/>
          <w:marBottom w:val="0"/>
          <w:divBdr>
            <w:top w:val="none" w:sz="0" w:space="0" w:color="auto"/>
            <w:left w:val="none" w:sz="0" w:space="0" w:color="auto"/>
            <w:bottom w:val="none" w:sz="0" w:space="0" w:color="auto"/>
            <w:right w:val="none" w:sz="0" w:space="0" w:color="auto"/>
          </w:divBdr>
        </w:div>
        <w:div w:id="294152194">
          <w:marLeft w:val="0"/>
          <w:marRight w:val="0"/>
          <w:marTop w:val="0"/>
          <w:marBottom w:val="0"/>
          <w:divBdr>
            <w:top w:val="none" w:sz="0" w:space="0" w:color="auto"/>
            <w:left w:val="none" w:sz="0" w:space="0" w:color="auto"/>
            <w:bottom w:val="none" w:sz="0" w:space="0" w:color="auto"/>
            <w:right w:val="none" w:sz="0" w:space="0" w:color="auto"/>
          </w:divBdr>
        </w:div>
        <w:div w:id="294152282">
          <w:marLeft w:val="0"/>
          <w:marRight w:val="0"/>
          <w:marTop w:val="0"/>
          <w:marBottom w:val="0"/>
          <w:divBdr>
            <w:top w:val="none" w:sz="0" w:space="0" w:color="auto"/>
            <w:left w:val="none" w:sz="0" w:space="0" w:color="auto"/>
            <w:bottom w:val="none" w:sz="0" w:space="0" w:color="auto"/>
            <w:right w:val="none" w:sz="0" w:space="0" w:color="auto"/>
          </w:divBdr>
        </w:div>
        <w:div w:id="294152299">
          <w:marLeft w:val="0"/>
          <w:marRight w:val="0"/>
          <w:marTop w:val="0"/>
          <w:marBottom w:val="0"/>
          <w:divBdr>
            <w:top w:val="none" w:sz="0" w:space="0" w:color="auto"/>
            <w:left w:val="none" w:sz="0" w:space="0" w:color="auto"/>
            <w:bottom w:val="none" w:sz="0" w:space="0" w:color="auto"/>
            <w:right w:val="none" w:sz="0" w:space="0" w:color="auto"/>
          </w:divBdr>
        </w:div>
        <w:div w:id="294152494">
          <w:marLeft w:val="0"/>
          <w:marRight w:val="0"/>
          <w:marTop w:val="0"/>
          <w:marBottom w:val="0"/>
          <w:divBdr>
            <w:top w:val="none" w:sz="0" w:space="0" w:color="auto"/>
            <w:left w:val="none" w:sz="0" w:space="0" w:color="auto"/>
            <w:bottom w:val="none" w:sz="0" w:space="0" w:color="auto"/>
            <w:right w:val="none" w:sz="0" w:space="0" w:color="auto"/>
          </w:divBdr>
        </w:div>
        <w:div w:id="294152908">
          <w:marLeft w:val="0"/>
          <w:marRight w:val="0"/>
          <w:marTop w:val="0"/>
          <w:marBottom w:val="0"/>
          <w:divBdr>
            <w:top w:val="none" w:sz="0" w:space="0" w:color="auto"/>
            <w:left w:val="none" w:sz="0" w:space="0" w:color="auto"/>
            <w:bottom w:val="none" w:sz="0" w:space="0" w:color="auto"/>
            <w:right w:val="none" w:sz="0" w:space="0" w:color="auto"/>
          </w:divBdr>
        </w:div>
        <w:div w:id="294152974">
          <w:marLeft w:val="0"/>
          <w:marRight w:val="0"/>
          <w:marTop w:val="0"/>
          <w:marBottom w:val="0"/>
          <w:divBdr>
            <w:top w:val="none" w:sz="0" w:space="0" w:color="auto"/>
            <w:left w:val="none" w:sz="0" w:space="0" w:color="auto"/>
            <w:bottom w:val="none" w:sz="0" w:space="0" w:color="auto"/>
            <w:right w:val="none" w:sz="0" w:space="0" w:color="auto"/>
          </w:divBdr>
        </w:div>
        <w:div w:id="294153305">
          <w:marLeft w:val="0"/>
          <w:marRight w:val="0"/>
          <w:marTop w:val="0"/>
          <w:marBottom w:val="0"/>
          <w:divBdr>
            <w:top w:val="none" w:sz="0" w:space="0" w:color="auto"/>
            <w:left w:val="none" w:sz="0" w:space="0" w:color="auto"/>
            <w:bottom w:val="none" w:sz="0" w:space="0" w:color="auto"/>
            <w:right w:val="none" w:sz="0" w:space="0" w:color="auto"/>
          </w:divBdr>
        </w:div>
        <w:div w:id="294153335">
          <w:marLeft w:val="0"/>
          <w:marRight w:val="0"/>
          <w:marTop w:val="0"/>
          <w:marBottom w:val="0"/>
          <w:divBdr>
            <w:top w:val="none" w:sz="0" w:space="0" w:color="auto"/>
            <w:left w:val="none" w:sz="0" w:space="0" w:color="auto"/>
            <w:bottom w:val="none" w:sz="0" w:space="0" w:color="auto"/>
            <w:right w:val="none" w:sz="0" w:space="0" w:color="auto"/>
          </w:divBdr>
        </w:div>
        <w:div w:id="294153349">
          <w:marLeft w:val="0"/>
          <w:marRight w:val="0"/>
          <w:marTop w:val="0"/>
          <w:marBottom w:val="0"/>
          <w:divBdr>
            <w:top w:val="none" w:sz="0" w:space="0" w:color="auto"/>
            <w:left w:val="none" w:sz="0" w:space="0" w:color="auto"/>
            <w:bottom w:val="none" w:sz="0" w:space="0" w:color="auto"/>
            <w:right w:val="none" w:sz="0" w:space="0" w:color="auto"/>
          </w:divBdr>
        </w:div>
        <w:div w:id="294153444">
          <w:marLeft w:val="0"/>
          <w:marRight w:val="0"/>
          <w:marTop w:val="0"/>
          <w:marBottom w:val="0"/>
          <w:divBdr>
            <w:top w:val="none" w:sz="0" w:space="0" w:color="auto"/>
            <w:left w:val="none" w:sz="0" w:space="0" w:color="auto"/>
            <w:bottom w:val="none" w:sz="0" w:space="0" w:color="auto"/>
            <w:right w:val="none" w:sz="0" w:space="0" w:color="auto"/>
          </w:divBdr>
        </w:div>
        <w:div w:id="294153541">
          <w:marLeft w:val="0"/>
          <w:marRight w:val="0"/>
          <w:marTop w:val="0"/>
          <w:marBottom w:val="0"/>
          <w:divBdr>
            <w:top w:val="none" w:sz="0" w:space="0" w:color="auto"/>
            <w:left w:val="none" w:sz="0" w:space="0" w:color="auto"/>
            <w:bottom w:val="none" w:sz="0" w:space="0" w:color="auto"/>
            <w:right w:val="none" w:sz="0" w:space="0" w:color="auto"/>
          </w:divBdr>
        </w:div>
        <w:div w:id="294153598">
          <w:marLeft w:val="0"/>
          <w:marRight w:val="0"/>
          <w:marTop w:val="0"/>
          <w:marBottom w:val="0"/>
          <w:divBdr>
            <w:top w:val="none" w:sz="0" w:space="0" w:color="auto"/>
            <w:left w:val="none" w:sz="0" w:space="0" w:color="auto"/>
            <w:bottom w:val="none" w:sz="0" w:space="0" w:color="auto"/>
            <w:right w:val="none" w:sz="0" w:space="0" w:color="auto"/>
          </w:divBdr>
        </w:div>
        <w:div w:id="294153677">
          <w:marLeft w:val="0"/>
          <w:marRight w:val="0"/>
          <w:marTop w:val="0"/>
          <w:marBottom w:val="0"/>
          <w:divBdr>
            <w:top w:val="none" w:sz="0" w:space="0" w:color="auto"/>
            <w:left w:val="none" w:sz="0" w:space="0" w:color="auto"/>
            <w:bottom w:val="none" w:sz="0" w:space="0" w:color="auto"/>
            <w:right w:val="none" w:sz="0" w:space="0" w:color="auto"/>
          </w:divBdr>
        </w:div>
        <w:div w:id="294153850">
          <w:marLeft w:val="0"/>
          <w:marRight w:val="0"/>
          <w:marTop w:val="0"/>
          <w:marBottom w:val="0"/>
          <w:divBdr>
            <w:top w:val="none" w:sz="0" w:space="0" w:color="auto"/>
            <w:left w:val="none" w:sz="0" w:space="0" w:color="auto"/>
            <w:bottom w:val="none" w:sz="0" w:space="0" w:color="auto"/>
            <w:right w:val="none" w:sz="0" w:space="0" w:color="auto"/>
          </w:divBdr>
        </w:div>
        <w:div w:id="294153997">
          <w:marLeft w:val="0"/>
          <w:marRight w:val="0"/>
          <w:marTop w:val="0"/>
          <w:marBottom w:val="0"/>
          <w:divBdr>
            <w:top w:val="none" w:sz="0" w:space="0" w:color="auto"/>
            <w:left w:val="none" w:sz="0" w:space="0" w:color="auto"/>
            <w:bottom w:val="none" w:sz="0" w:space="0" w:color="auto"/>
            <w:right w:val="none" w:sz="0" w:space="0" w:color="auto"/>
          </w:divBdr>
        </w:div>
        <w:div w:id="294154018">
          <w:marLeft w:val="0"/>
          <w:marRight w:val="0"/>
          <w:marTop w:val="0"/>
          <w:marBottom w:val="0"/>
          <w:divBdr>
            <w:top w:val="none" w:sz="0" w:space="0" w:color="auto"/>
            <w:left w:val="none" w:sz="0" w:space="0" w:color="auto"/>
            <w:bottom w:val="none" w:sz="0" w:space="0" w:color="auto"/>
            <w:right w:val="none" w:sz="0" w:space="0" w:color="auto"/>
          </w:divBdr>
        </w:div>
        <w:div w:id="294154044">
          <w:marLeft w:val="0"/>
          <w:marRight w:val="0"/>
          <w:marTop w:val="0"/>
          <w:marBottom w:val="0"/>
          <w:divBdr>
            <w:top w:val="none" w:sz="0" w:space="0" w:color="auto"/>
            <w:left w:val="none" w:sz="0" w:space="0" w:color="auto"/>
            <w:bottom w:val="none" w:sz="0" w:space="0" w:color="auto"/>
            <w:right w:val="none" w:sz="0" w:space="0" w:color="auto"/>
          </w:divBdr>
        </w:div>
        <w:div w:id="294154047">
          <w:marLeft w:val="0"/>
          <w:marRight w:val="0"/>
          <w:marTop w:val="0"/>
          <w:marBottom w:val="0"/>
          <w:divBdr>
            <w:top w:val="none" w:sz="0" w:space="0" w:color="auto"/>
            <w:left w:val="none" w:sz="0" w:space="0" w:color="auto"/>
            <w:bottom w:val="none" w:sz="0" w:space="0" w:color="auto"/>
            <w:right w:val="none" w:sz="0" w:space="0" w:color="auto"/>
          </w:divBdr>
        </w:div>
        <w:div w:id="294154333">
          <w:marLeft w:val="0"/>
          <w:marRight w:val="0"/>
          <w:marTop w:val="0"/>
          <w:marBottom w:val="0"/>
          <w:divBdr>
            <w:top w:val="none" w:sz="0" w:space="0" w:color="auto"/>
            <w:left w:val="none" w:sz="0" w:space="0" w:color="auto"/>
            <w:bottom w:val="none" w:sz="0" w:space="0" w:color="auto"/>
            <w:right w:val="none" w:sz="0" w:space="0" w:color="auto"/>
          </w:divBdr>
        </w:div>
        <w:div w:id="294154526">
          <w:marLeft w:val="0"/>
          <w:marRight w:val="0"/>
          <w:marTop w:val="0"/>
          <w:marBottom w:val="0"/>
          <w:divBdr>
            <w:top w:val="none" w:sz="0" w:space="0" w:color="auto"/>
            <w:left w:val="none" w:sz="0" w:space="0" w:color="auto"/>
            <w:bottom w:val="none" w:sz="0" w:space="0" w:color="auto"/>
            <w:right w:val="none" w:sz="0" w:space="0" w:color="auto"/>
          </w:divBdr>
        </w:div>
        <w:div w:id="294154603">
          <w:marLeft w:val="0"/>
          <w:marRight w:val="0"/>
          <w:marTop w:val="0"/>
          <w:marBottom w:val="0"/>
          <w:divBdr>
            <w:top w:val="none" w:sz="0" w:space="0" w:color="auto"/>
            <w:left w:val="none" w:sz="0" w:space="0" w:color="auto"/>
            <w:bottom w:val="none" w:sz="0" w:space="0" w:color="auto"/>
            <w:right w:val="none" w:sz="0" w:space="0" w:color="auto"/>
          </w:divBdr>
        </w:div>
        <w:div w:id="294154806">
          <w:marLeft w:val="0"/>
          <w:marRight w:val="0"/>
          <w:marTop w:val="0"/>
          <w:marBottom w:val="0"/>
          <w:divBdr>
            <w:top w:val="none" w:sz="0" w:space="0" w:color="auto"/>
            <w:left w:val="none" w:sz="0" w:space="0" w:color="auto"/>
            <w:bottom w:val="none" w:sz="0" w:space="0" w:color="auto"/>
            <w:right w:val="none" w:sz="0" w:space="0" w:color="auto"/>
          </w:divBdr>
        </w:div>
        <w:div w:id="294154845">
          <w:marLeft w:val="0"/>
          <w:marRight w:val="0"/>
          <w:marTop w:val="0"/>
          <w:marBottom w:val="0"/>
          <w:divBdr>
            <w:top w:val="none" w:sz="0" w:space="0" w:color="auto"/>
            <w:left w:val="none" w:sz="0" w:space="0" w:color="auto"/>
            <w:bottom w:val="none" w:sz="0" w:space="0" w:color="auto"/>
            <w:right w:val="none" w:sz="0" w:space="0" w:color="auto"/>
          </w:divBdr>
        </w:div>
        <w:div w:id="294154873">
          <w:marLeft w:val="0"/>
          <w:marRight w:val="0"/>
          <w:marTop w:val="0"/>
          <w:marBottom w:val="0"/>
          <w:divBdr>
            <w:top w:val="none" w:sz="0" w:space="0" w:color="auto"/>
            <w:left w:val="none" w:sz="0" w:space="0" w:color="auto"/>
            <w:bottom w:val="none" w:sz="0" w:space="0" w:color="auto"/>
            <w:right w:val="none" w:sz="0" w:space="0" w:color="auto"/>
          </w:divBdr>
        </w:div>
        <w:div w:id="294155090">
          <w:marLeft w:val="0"/>
          <w:marRight w:val="0"/>
          <w:marTop w:val="0"/>
          <w:marBottom w:val="0"/>
          <w:divBdr>
            <w:top w:val="none" w:sz="0" w:space="0" w:color="auto"/>
            <w:left w:val="none" w:sz="0" w:space="0" w:color="auto"/>
            <w:bottom w:val="none" w:sz="0" w:space="0" w:color="auto"/>
            <w:right w:val="none" w:sz="0" w:space="0" w:color="auto"/>
          </w:divBdr>
        </w:div>
        <w:div w:id="294155152">
          <w:marLeft w:val="0"/>
          <w:marRight w:val="0"/>
          <w:marTop w:val="0"/>
          <w:marBottom w:val="0"/>
          <w:divBdr>
            <w:top w:val="none" w:sz="0" w:space="0" w:color="auto"/>
            <w:left w:val="none" w:sz="0" w:space="0" w:color="auto"/>
            <w:bottom w:val="none" w:sz="0" w:space="0" w:color="auto"/>
            <w:right w:val="none" w:sz="0" w:space="0" w:color="auto"/>
          </w:divBdr>
        </w:div>
        <w:div w:id="294155225">
          <w:marLeft w:val="0"/>
          <w:marRight w:val="0"/>
          <w:marTop w:val="0"/>
          <w:marBottom w:val="0"/>
          <w:divBdr>
            <w:top w:val="none" w:sz="0" w:space="0" w:color="auto"/>
            <w:left w:val="none" w:sz="0" w:space="0" w:color="auto"/>
            <w:bottom w:val="none" w:sz="0" w:space="0" w:color="auto"/>
            <w:right w:val="none" w:sz="0" w:space="0" w:color="auto"/>
          </w:divBdr>
        </w:div>
        <w:div w:id="294155362">
          <w:marLeft w:val="0"/>
          <w:marRight w:val="0"/>
          <w:marTop w:val="0"/>
          <w:marBottom w:val="0"/>
          <w:divBdr>
            <w:top w:val="none" w:sz="0" w:space="0" w:color="auto"/>
            <w:left w:val="none" w:sz="0" w:space="0" w:color="auto"/>
            <w:bottom w:val="none" w:sz="0" w:space="0" w:color="auto"/>
            <w:right w:val="none" w:sz="0" w:space="0" w:color="auto"/>
          </w:divBdr>
        </w:div>
        <w:div w:id="294155401">
          <w:marLeft w:val="0"/>
          <w:marRight w:val="0"/>
          <w:marTop w:val="0"/>
          <w:marBottom w:val="0"/>
          <w:divBdr>
            <w:top w:val="none" w:sz="0" w:space="0" w:color="auto"/>
            <w:left w:val="none" w:sz="0" w:space="0" w:color="auto"/>
            <w:bottom w:val="none" w:sz="0" w:space="0" w:color="auto"/>
            <w:right w:val="none" w:sz="0" w:space="0" w:color="auto"/>
          </w:divBdr>
        </w:div>
        <w:div w:id="294155413">
          <w:marLeft w:val="0"/>
          <w:marRight w:val="0"/>
          <w:marTop w:val="0"/>
          <w:marBottom w:val="0"/>
          <w:divBdr>
            <w:top w:val="none" w:sz="0" w:space="0" w:color="auto"/>
            <w:left w:val="none" w:sz="0" w:space="0" w:color="auto"/>
            <w:bottom w:val="none" w:sz="0" w:space="0" w:color="auto"/>
            <w:right w:val="none" w:sz="0" w:space="0" w:color="auto"/>
          </w:divBdr>
        </w:div>
        <w:div w:id="294155479">
          <w:marLeft w:val="0"/>
          <w:marRight w:val="0"/>
          <w:marTop w:val="0"/>
          <w:marBottom w:val="0"/>
          <w:divBdr>
            <w:top w:val="none" w:sz="0" w:space="0" w:color="auto"/>
            <w:left w:val="none" w:sz="0" w:space="0" w:color="auto"/>
            <w:bottom w:val="none" w:sz="0" w:space="0" w:color="auto"/>
            <w:right w:val="none" w:sz="0" w:space="0" w:color="auto"/>
          </w:divBdr>
        </w:div>
        <w:div w:id="294155659">
          <w:marLeft w:val="0"/>
          <w:marRight w:val="0"/>
          <w:marTop w:val="0"/>
          <w:marBottom w:val="0"/>
          <w:divBdr>
            <w:top w:val="none" w:sz="0" w:space="0" w:color="auto"/>
            <w:left w:val="none" w:sz="0" w:space="0" w:color="auto"/>
            <w:bottom w:val="none" w:sz="0" w:space="0" w:color="auto"/>
            <w:right w:val="none" w:sz="0" w:space="0" w:color="auto"/>
          </w:divBdr>
        </w:div>
        <w:div w:id="294155872">
          <w:marLeft w:val="0"/>
          <w:marRight w:val="0"/>
          <w:marTop w:val="0"/>
          <w:marBottom w:val="0"/>
          <w:divBdr>
            <w:top w:val="none" w:sz="0" w:space="0" w:color="auto"/>
            <w:left w:val="none" w:sz="0" w:space="0" w:color="auto"/>
            <w:bottom w:val="none" w:sz="0" w:space="0" w:color="auto"/>
            <w:right w:val="none" w:sz="0" w:space="0" w:color="auto"/>
          </w:divBdr>
        </w:div>
        <w:div w:id="294156086">
          <w:marLeft w:val="0"/>
          <w:marRight w:val="0"/>
          <w:marTop w:val="0"/>
          <w:marBottom w:val="0"/>
          <w:divBdr>
            <w:top w:val="none" w:sz="0" w:space="0" w:color="auto"/>
            <w:left w:val="none" w:sz="0" w:space="0" w:color="auto"/>
            <w:bottom w:val="none" w:sz="0" w:space="0" w:color="auto"/>
            <w:right w:val="none" w:sz="0" w:space="0" w:color="auto"/>
          </w:divBdr>
        </w:div>
        <w:div w:id="294156094">
          <w:marLeft w:val="0"/>
          <w:marRight w:val="0"/>
          <w:marTop w:val="0"/>
          <w:marBottom w:val="0"/>
          <w:divBdr>
            <w:top w:val="none" w:sz="0" w:space="0" w:color="auto"/>
            <w:left w:val="none" w:sz="0" w:space="0" w:color="auto"/>
            <w:bottom w:val="none" w:sz="0" w:space="0" w:color="auto"/>
            <w:right w:val="none" w:sz="0" w:space="0" w:color="auto"/>
          </w:divBdr>
        </w:div>
        <w:div w:id="294156458">
          <w:marLeft w:val="0"/>
          <w:marRight w:val="0"/>
          <w:marTop w:val="0"/>
          <w:marBottom w:val="0"/>
          <w:divBdr>
            <w:top w:val="none" w:sz="0" w:space="0" w:color="auto"/>
            <w:left w:val="none" w:sz="0" w:space="0" w:color="auto"/>
            <w:bottom w:val="none" w:sz="0" w:space="0" w:color="auto"/>
            <w:right w:val="none" w:sz="0" w:space="0" w:color="auto"/>
          </w:divBdr>
        </w:div>
        <w:div w:id="294156486">
          <w:marLeft w:val="0"/>
          <w:marRight w:val="0"/>
          <w:marTop w:val="0"/>
          <w:marBottom w:val="0"/>
          <w:divBdr>
            <w:top w:val="none" w:sz="0" w:space="0" w:color="auto"/>
            <w:left w:val="none" w:sz="0" w:space="0" w:color="auto"/>
            <w:bottom w:val="none" w:sz="0" w:space="0" w:color="auto"/>
            <w:right w:val="none" w:sz="0" w:space="0" w:color="auto"/>
          </w:divBdr>
        </w:div>
        <w:div w:id="294156602">
          <w:marLeft w:val="0"/>
          <w:marRight w:val="0"/>
          <w:marTop w:val="0"/>
          <w:marBottom w:val="0"/>
          <w:divBdr>
            <w:top w:val="none" w:sz="0" w:space="0" w:color="auto"/>
            <w:left w:val="none" w:sz="0" w:space="0" w:color="auto"/>
            <w:bottom w:val="none" w:sz="0" w:space="0" w:color="auto"/>
            <w:right w:val="none" w:sz="0" w:space="0" w:color="auto"/>
          </w:divBdr>
        </w:div>
        <w:div w:id="294156606">
          <w:marLeft w:val="0"/>
          <w:marRight w:val="0"/>
          <w:marTop w:val="0"/>
          <w:marBottom w:val="0"/>
          <w:divBdr>
            <w:top w:val="none" w:sz="0" w:space="0" w:color="auto"/>
            <w:left w:val="none" w:sz="0" w:space="0" w:color="auto"/>
            <w:bottom w:val="none" w:sz="0" w:space="0" w:color="auto"/>
            <w:right w:val="none" w:sz="0" w:space="0" w:color="auto"/>
          </w:divBdr>
        </w:div>
        <w:div w:id="294156614">
          <w:marLeft w:val="0"/>
          <w:marRight w:val="0"/>
          <w:marTop w:val="0"/>
          <w:marBottom w:val="0"/>
          <w:divBdr>
            <w:top w:val="none" w:sz="0" w:space="0" w:color="auto"/>
            <w:left w:val="none" w:sz="0" w:space="0" w:color="auto"/>
            <w:bottom w:val="none" w:sz="0" w:space="0" w:color="auto"/>
            <w:right w:val="none" w:sz="0" w:space="0" w:color="auto"/>
          </w:divBdr>
        </w:div>
        <w:div w:id="294156992">
          <w:marLeft w:val="0"/>
          <w:marRight w:val="0"/>
          <w:marTop w:val="0"/>
          <w:marBottom w:val="0"/>
          <w:divBdr>
            <w:top w:val="none" w:sz="0" w:space="0" w:color="auto"/>
            <w:left w:val="none" w:sz="0" w:space="0" w:color="auto"/>
            <w:bottom w:val="none" w:sz="0" w:space="0" w:color="auto"/>
            <w:right w:val="none" w:sz="0" w:space="0" w:color="auto"/>
          </w:divBdr>
        </w:div>
        <w:div w:id="294157240">
          <w:marLeft w:val="0"/>
          <w:marRight w:val="0"/>
          <w:marTop w:val="0"/>
          <w:marBottom w:val="0"/>
          <w:divBdr>
            <w:top w:val="none" w:sz="0" w:space="0" w:color="auto"/>
            <w:left w:val="none" w:sz="0" w:space="0" w:color="auto"/>
            <w:bottom w:val="none" w:sz="0" w:space="0" w:color="auto"/>
            <w:right w:val="none" w:sz="0" w:space="0" w:color="auto"/>
          </w:divBdr>
        </w:div>
        <w:div w:id="294157383">
          <w:marLeft w:val="0"/>
          <w:marRight w:val="0"/>
          <w:marTop w:val="0"/>
          <w:marBottom w:val="0"/>
          <w:divBdr>
            <w:top w:val="none" w:sz="0" w:space="0" w:color="auto"/>
            <w:left w:val="none" w:sz="0" w:space="0" w:color="auto"/>
            <w:bottom w:val="none" w:sz="0" w:space="0" w:color="auto"/>
            <w:right w:val="none" w:sz="0" w:space="0" w:color="auto"/>
          </w:divBdr>
        </w:div>
      </w:divsChild>
    </w:div>
    <w:div w:id="294155671">
      <w:marLeft w:val="0"/>
      <w:marRight w:val="0"/>
      <w:marTop w:val="0"/>
      <w:marBottom w:val="0"/>
      <w:divBdr>
        <w:top w:val="none" w:sz="0" w:space="0" w:color="auto"/>
        <w:left w:val="none" w:sz="0" w:space="0" w:color="auto"/>
        <w:bottom w:val="none" w:sz="0" w:space="0" w:color="auto"/>
        <w:right w:val="none" w:sz="0" w:space="0" w:color="auto"/>
      </w:divBdr>
      <w:divsChild>
        <w:div w:id="294142707">
          <w:marLeft w:val="0"/>
          <w:marRight w:val="0"/>
          <w:marTop w:val="0"/>
          <w:marBottom w:val="0"/>
          <w:divBdr>
            <w:top w:val="none" w:sz="0" w:space="0" w:color="auto"/>
            <w:left w:val="none" w:sz="0" w:space="0" w:color="auto"/>
            <w:bottom w:val="none" w:sz="0" w:space="0" w:color="auto"/>
            <w:right w:val="none" w:sz="0" w:space="0" w:color="auto"/>
          </w:divBdr>
          <w:divsChild>
            <w:div w:id="294156414">
              <w:marLeft w:val="0"/>
              <w:marRight w:val="0"/>
              <w:marTop w:val="0"/>
              <w:marBottom w:val="0"/>
              <w:divBdr>
                <w:top w:val="none" w:sz="0" w:space="0" w:color="auto"/>
                <w:left w:val="none" w:sz="0" w:space="0" w:color="auto"/>
                <w:bottom w:val="none" w:sz="0" w:space="0" w:color="auto"/>
                <w:right w:val="none" w:sz="0" w:space="0" w:color="auto"/>
              </w:divBdr>
              <w:divsChild>
                <w:div w:id="294138009">
                  <w:marLeft w:val="0"/>
                  <w:marRight w:val="0"/>
                  <w:marTop w:val="0"/>
                  <w:marBottom w:val="0"/>
                  <w:divBdr>
                    <w:top w:val="none" w:sz="0" w:space="0" w:color="auto"/>
                    <w:left w:val="none" w:sz="0" w:space="0" w:color="auto"/>
                    <w:bottom w:val="none" w:sz="0" w:space="0" w:color="auto"/>
                    <w:right w:val="none" w:sz="0" w:space="0" w:color="auto"/>
                  </w:divBdr>
                </w:div>
                <w:div w:id="294138091">
                  <w:marLeft w:val="0"/>
                  <w:marRight w:val="0"/>
                  <w:marTop w:val="0"/>
                  <w:marBottom w:val="0"/>
                  <w:divBdr>
                    <w:top w:val="none" w:sz="0" w:space="0" w:color="auto"/>
                    <w:left w:val="none" w:sz="0" w:space="0" w:color="auto"/>
                    <w:bottom w:val="none" w:sz="0" w:space="0" w:color="auto"/>
                    <w:right w:val="none" w:sz="0" w:space="0" w:color="auto"/>
                  </w:divBdr>
                </w:div>
                <w:div w:id="294138180">
                  <w:marLeft w:val="0"/>
                  <w:marRight w:val="0"/>
                  <w:marTop w:val="0"/>
                  <w:marBottom w:val="0"/>
                  <w:divBdr>
                    <w:top w:val="none" w:sz="0" w:space="0" w:color="auto"/>
                    <w:left w:val="none" w:sz="0" w:space="0" w:color="auto"/>
                    <w:bottom w:val="none" w:sz="0" w:space="0" w:color="auto"/>
                    <w:right w:val="none" w:sz="0" w:space="0" w:color="auto"/>
                  </w:divBdr>
                </w:div>
                <w:div w:id="294138353">
                  <w:marLeft w:val="0"/>
                  <w:marRight w:val="0"/>
                  <w:marTop w:val="0"/>
                  <w:marBottom w:val="0"/>
                  <w:divBdr>
                    <w:top w:val="none" w:sz="0" w:space="0" w:color="auto"/>
                    <w:left w:val="none" w:sz="0" w:space="0" w:color="auto"/>
                    <w:bottom w:val="none" w:sz="0" w:space="0" w:color="auto"/>
                    <w:right w:val="none" w:sz="0" w:space="0" w:color="auto"/>
                  </w:divBdr>
                </w:div>
                <w:div w:id="294138486">
                  <w:marLeft w:val="0"/>
                  <w:marRight w:val="0"/>
                  <w:marTop w:val="0"/>
                  <w:marBottom w:val="0"/>
                  <w:divBdr>
                    <w:top w:val="none" w:sz="0" w:space="0" w:color="auto"/>
                    <w:left w:val="none" w:sz="0" w:space="0" w:color="auto"/>
                    <w:bottom w:val="none" w:sz="0" w:space="0" w:color="auto"/>
                    <w:right w:val="none" w:sz="0" w:space="0" w:color="auto"/>
                  </w:divBdr>
                </w:div>
                <w:div w:id="294138538">
                  <w:marLeft w:val="0"/>
                  <w:marRight w:val="0"/>
                  <w:marTop w:val="0"/>
                  <w:marBottom w:val="0"/>
                  <w:divBdr>
                    <w:top w:val="none" w:sz="0" w:space="0" w:color="auto"/>
                    <w:left w:val="none" w:sz="0" w:space="0" w:color="auto"/>
                    <w:bottom w:val="none" w:sz="0" w:space="0" w:color="auto"/>
                    <w:right w:val="none" w:sz="0" w:space="0" w:color="auto"/>
                  </w:divBdr>
                </w:div>
                <w:div w:id="294138631">
                  <w:marLeft w:val="0"/>
                  <w:marRight w:val="0"/>
                  <w:marTop w:val="0"/>
                  <w:marBottom w:val="0"/>
                  <w:divBdr>
                    <w:top w:val="none" w:sz="0" w:space="0" w:color="auto"/>
                    <w:left w:val="none" w:sz="0" w:space="0" w:color="auto"/>
                    <w:bottom w:val="none" w:sz="0" w:space="0" w:color="auto"/>
                    <w:right w:val="none" w:sz="0" w:space="0" w:color="auto"/>
                  </w:divBdr>
                </w:div>
                <w:div w:id="294138761">
                  <w:marLeft w:val="0"/>
                  <w:marRight w:val="0"/>
                  <w:marTop w:val="0"/>
                  <w:marBottom w:val="0"/>
                  <w:divBdr>
                    <w:top w:val="none" w:sz="0" w:space="0" w:color="auto"/>
                    <w:left w:val="none" w:sz="0" w:space="0" w:color="auto"/>
                    <w:bottom w:val="none" w:sz="0" w:space="0" w:color="auto"/>
                    <w:right w:val="none" w:sz="0" w:space="0" w:color="auto"/>
                  </w:divBdr>
                </w:div>
                <w:div w:id="294138825">
                  <w:marLeft w:val="0"/>
                  <w:marRight w:val="0"/>
                  <w:marTop w:val="0"/>
                  <w:marBottom w:val="0"/>
                  <w:divBdr>
                    <w:top w:val="none" w:sz="0" w:space="0" w:color="auto"/>
                    <w:left w:val="none" w:sz="0" w:space="0" w:color="auto"/>
                    <w:bottom w:val="none" w:sz="0" w:space="0" w:color="auto"/>
                    <w:right w:val="none" w:sz="0" w:space="0" w:color="auto"/>
                  </w:divBdr>
                </w:div>
                <w:div w:id="294138838">
                  <w:marLeft w:val="0"/>
                  <w:marRight w:val="0"/>
                  <w:marTop w:val="0"/>
                  <w:marBottom w:val="0"/>
                  <w:divBdr>
                    <w:top w:val="none" w:sz="0" w:space="0" w:color="auto"/>
                    <w:left w:val="none" w:sz="0" w:space="0" w:color="auto"/>
                    <w:bottom w:val="none" w:sz="0" w:space="0" w:color="auto"/>
                    <w:right w:val="none" w:sz="0" w:space="0" w:color="auto"/>
                  </w:divBdr>
                </w:div>
                <w:div w:id="294139442">
                  <w:marLeft w:val="0"/>
                  <w:marRight w:val="0"/>
                  <w:marTop w:val="0"/>
                  <w:marBottom w:val="0"/>
                  <w:divBdr>
                    <w:top w:val="none" w:sz="0" w:space="0" w:color="auto"/>
                    <w:left w:val="none" w:sz="0" w:space="0" w:color="auto"/>
                    <w:bottom w:val="none" w:sz="0" w:space="0" w:color="auto"/>
                    <w:right w:val="none" w:sz="0" w:space="0" w:color="auto"/>
                  </w:divBdr>
                </w:div>
                <w:div w:id="294139960">
                  <w:marLeft w:val="0"/>
                  <w:marRight w:val="0"/>
                  <w:marTop w:val="0"/>
                  <w:marBottom w:val="0"/>
                  <w:divBdr>
                    <w:top w:val="none" w:sz="0" w:space="0" w:color="auto"/>
                    <w:left w:val="none" w:sz="0" w:space="0" w:color="auto"/>
                    <w:bottom w:val="none" w:sz="0" w:space="0" w:color="auto"/>
                    <w:right w:val="none" w:sz="0" w:space="0" w:color="auto"/>
                  </w:divBdr>
                </w:div>
                <w:div w:id="294140240">
                  <w:marLeft w:val="0"/>
                  <w:marRight w:val="0"/>
                  <w:marTop w:val="0"/>
                  <w:marBottom w:val="0"/>
                  <w:divBdr>
                    <w:top w:val="none" w:sz="0" w:space="0" w:color="auto"/>
                    <w:left w:val="none" w:sz="0" w:space="0" w:color="auto"/>
                    <w:bottom w:val="none" w:sz="0" w:space="0" w:color="auto"/>
                    <w:right w:val="none" w:sz="0" w:space="0" w:color="auto"/>
                  </w:divBdr>
                </w:div>
                <w:div w:id="294140503">
                  <w:marLeft w:val="0"/>
                  <w:marRight w:val="0"/>
                  <w:marTop w:val="0"/>
                  <w:marBottom w:val="0"/>
                  <w:divBdr>
                    <w:top w:val="none" w:sz="0" w:space="0" w:color="auto"/>
                    <w:left w:val="none" w:sz="0" w:space="0" w:color="auto"/>
                    <w:bottom w:val="none" w:sz="0" w:space="0" w:color="auto"/>
                    <w:right w:val="none" w:sz="0" w:space="0" w:color="auto"/>
                  </w:divBdr>
                </w:div>
                <w:div w:id="294140553">
                  <w:marLeft w:val="0"/>
                  <w:marRight w:val="0"/>
                  <w:marTop w:val="0"/>
                  <w:marBottom w:val="0"/>
                  <w:divBdr>
                    <w:top w:val="none" w:sz="0" w:space="0" w:color="auto"/>
                    <w:left w:val="none" w:sz="0" w:space="0" w:color="auto"/>
                    <w:bottom w:val="none" w:sz="0" w:space="0" w:color="auto"/>
                    <w:right w:val="none" w:sz="0" w:space="0" w:color="auto"/>
                  </w:divBdr>
                </w:div>
                <w:div w:id="294140638">
                  <w:marLeft w:val="0"/>
                  <w:marRight w:val="0"/>
                  <w:marTop w:val="0"/>
                  <w:marBottom w:val="0"/>
                  <w:divBdr>
                    <w:top w:val="none" w:sz="0" w:space="0" w:color="auto"/>
                    <w:left w:val="none" w:sz="0" w:space="0" w:color="auto"/>
                    <w:bottom w:val="none" w:sz="0" w:space="0" w:color="auto"/>
                    <w:right w:val="none" w:sz="0" w:space="0" w:color="auto"/>
                  </w:divBdr>
                </w:div>
                <w:div w:id="294140923">
                  <w:marLeft w:val="0"/>
                  <w:marRight w:val="0"/>
                  <w:marTop w:val="0"/>
                  <w:marBottom w:val="0"/>
                  <w:divBdr>
                    <w:top w:val="none" w:sz="0" w:space="0" w:color="auto"/>
                    <w:left w:val="none" w:sz="0" w:space="0" w:color="auto"/>
                    <w:bottom w:val="none" w:sz="0" w:space="0" w:color="auto"/>
                    <w:right w:val="none" w:sz="0" w:space="0" w:color="auto"/>
                  </w:divBdr>
                </w:div>
                <w:div w:id="294141145">
                  <w:marLeft w:val="0"/>
                  <w:marRight w:val="0"/>
                  <w:marTop w:val="0"/>
                  <w:marBottom w:val="0"/>
                  <w:divBdr>
                    <w:top w:val="none" w:sz="0" w:space="0" w:color="auto"/>
                    <w:left w:val="none" w:sz="0" w:space="0" w:color="auto"/>
                    <w:bottom w:val="none" w:sz="0" w:space="0" w:color="auto"/>
                    <w:right w:val="none" w:sz="0" w:space="0" w:color="auto"/>
                  </w:divBdr>
                </w:div>
                <w:div w:id="294141435">
                  <w:marLeft w:val="0"/>
                  <w:marRight w:val="0"/>
                  <w:marTop w:val="0"/>
                  <w:marBottom w:val="0"/>
                  <w:divBdr>
                    <w:top w:val="none" w:sz="0" w:space="0" w:color="auto"/>
                    <w:left w:val="none" w:sz="0" w:space="0" w:color="auto"/>
                    <w:bottom w:val="none" w:sz="0" w:space="0" w:color="auto"/>
                    <w:right w:val="none" w:sz="0" w:space="0" w:color="auto"/>
                  </w:divBdr>
                </w:div>
                <w:div w:id="294141513">
                  <w:marLeft w:val="0"/>
                  <w:marRight w:val="0"/>
                  <w:marTop w:val="0"/>
                  <w:marBottom w:val="0"/>
                  <w:divBdr>
                    <w:top w:val="none" w:sz="0" w:space="0" w:color="auto"/>
                    <w:left w:val="none" w:sz="0" w:space="0" w:color="auto"/>
                    <w:bottom w:val="none" w:sz="0" w:space="0" w:color="auto"/>
                    <w:right w:val="none" w:sz="0" w:space="0" w:color="auto"/>
                  </w:divBdr>
                </w:div>
                <w:div w:id="294141682">
                  <w:marLeft w:val="0"/>
                  <w:marRight w:val="0"/>
                  <w:marTop w:val="0"/>
                  <w:marBottom w:val="0"/>
                  <w:divBdr>
                    <w:top w:val="none" w:sz="0" w:space="0" w:color="auto"/>
                    <w:left w:val="none" w:sz="0" w:space="0" w:color="auto"/>
                    <w:bottom w:val="none" w:sz="0" w:space="0" w:color="auto"/>
                    <w:right w:val="none" w:sz="0" w:space="0" w:color="auto"/>
                  </w:divBdr>
                </w:div>
                <w:div w:id="294141864">
                  <w:marLeft w:val="0"/>
                  <w:marRight w:val="0"/>
                  <w:marTop w:val="0"/>
                  <w:marBottom w:val="0"/>
                  <w:divBdr>
                    <w:top w:val="none" w:sz="0" w:space="0" w:color="auto"/>
                    <w:left w:val="none" w:sz="0" w:space="0" w:color="auto"/>
                    <w:bottom w:val="none" w:sz="0" w:space="0" w:color="auto"/>
                    <w:right w:val="none" w:sz="0" w:space="0" w:color="auto"/>
                  </w:divBdr>
                </w:div>
                <w:div w:id="294141931">
                  <w:marLeft w:val="0"/>
                  <w:marRight w:val="0"/>
                  <w:marTop w:val="0"/>
                  <w:marBottom w:val="0"/>
                  <w:divBdr>
                    <w:top w:val="none" w:sz="0" w:space="0" w:color="auto"/>
                    <w:left w:val="none" w:sz="0" w:space="0" w:color="auto"/>
                    <w:bottom w:val="none" w:sz="0" w:space="0" w:color="auto"/>
                    <w:right w:val="none" w:sz="0" w:space="0" w:color="auto"/>
                  </w:divBdr>
                </w:div>
                <w:div w:id="294141960">
                  <w:marLeft w:val="0"/>
                  <w:marRight w:val="0"/>
                  <w:marTop w:val="0"/>
                  <w:marBottom w:val="0"/>
                  <w:divBdr>
                    <w:top w:val="none" w:sz="0" w:space="0" w:color="auto"/>
                    <w:left w:val="none" w:sz="0" w:space="0" w:color="auto"/>
                    <w:bottom w:val="none" w:sz="0" w:space="0" w:color="auto"/>
                    <w:right w:val="none" w:sz="0" w:space="0" w:color="auto"/>
                  </w:divBdr>
                </w:div>
                <w:div w:id="294141986">
                  <w:marLeft w:val="0"/>
                  <w:marRight w:val="0"/>
                  <w:marTop w:val="0"/>
                  <w:marBottom w:val="0"/>
                  <w:divBdr>
                    <w:top w:val="none" w:sz="0" w:space="0" w:color="auto"/>
                    <w:left w:val="none" w:sz="0" w:space="0" w:color="auto"/>
                    <w:bottom w:val="none" w:sz="0" w:space="0" w:color="auto"/>
                    <w:right w:val="none" w:sz="0" w:space="0" w:color="auto"/>
                  </w:divBdr>
                </w:div>
                <w:div w:id="294142064">
                  <w:marLeft w:val="0"/>
                  <w:marRight w:val="0"/>
                  <w:marTop w:val="0"/>
                  <w:marBottom w:val="0"/>
                  <w:divBdr>
                    <w:top w:val="none" w:sz="0" w:space="0" w:color="auto"/>
                    <w:left w:val="none" w:sz="0" w:space="0" w:color="auto"/>
                    <w:bottom w:val="none" w:sz="0" w:space="0" w:color="auto"/>
                    <w:right w:val="none" w:sz="0" w:space="0" w:color="auto"/>
                  </w:divBdr>
                </w:div>
                <w:div w:id="294142242">
                  <w:marLeft w:val="0"/>
                  <w:marRight w:val="0"/>
                  <w:marTop w:val="0"/>
                  <w:marBottom w:val="0"/>
                  <w:divBdr>
                    <w:top w:val="none" w:sz="0" w:space="0" w:color="auto"/>
                    <w:left w:val="none" w:sz="0" w:space="0" w:color="auto"/>
                    <w:bottom w:val="none" w:sz="0" w:space="0" w:color="auto"/>
                    <w:right w:val="none" w:sz="0" w:space="0" w:color="auto"/>
                  </w:divBdr>
                </w:div>
                <w:div w:id="294142278">
                  <w:marLeft w:val="0"/>
                  <w:marRight w:val="0"/>
                  <w:marTop w:val="0"/>
                  <w:marBottom w:val="0"/>
                  <w:divBdr>
                    <w:top w:val="none" w:sz="0" w:space="0" w:color="auto"/>
                    <w:left w:val="none" w:sz="0" w:space="0" w:color="auto"/>
                    <w:bottom w:val="none" w:sz="0" w:space="0" w:color="auto"/>
                    <w:right w:val="none" w:sz="0" w:space="0" w:color="auto"/>
                  </w:divBdr>
                </w:div>
                <w:div w:id="294142331">
                  <w:marLeft w:val="0"/>
                  <w:marRight w:val="0"/>
                  <w:marTop w:val="0"/>
                  <w:marBottom w:val="0"/>
                  <w:divBdr>
                    <w:top w:val="none" w:sz="0" w:space="0" w:color="auto"/>
                    <w:left w:val="none" w:sz="0" w:space="0" w:color="auto"/>
                    <w:bottom w:val="none" w:sz="0" w:space="0" w:color="auto"/>
                    <w:right w:val="none" w:sz="0" w:space="0" w:color="auto"/>
                  </w:divBdr>
                </w:div>
                <w:div w:id="294142473">
                  <w:marLeft w:val="0"/>
                  <w:marRight w:val="0"/>
                  <w:marTop w:val="0"/>
                  <w:marBottom w:val="0"/>
                  <w:divBdr>
                    <w:top w:val="none" w:sz="0" w:space="0" w:color="auto"/>
                    <w:left w:val="none" w:sz="0" w:space="0" w:color="auto"/>
                    <w:bottom w:val="none" w:sz="0" w:space="0" w:color="auto"/>
                    <w:right w:val="none" w:sz="0" w:space="0" w:color="auto"/>
                  </w:divBdr>
                </w:div>
                <w:div w:id="294142614">
                  <w:marLeft w:val="0"/>
                  <w:marRight w:val="0"/>
                  <w:marTop w:val="0"/>
                  <w:marBottom w:val="0"/>
                  <w:divBdr>
                    <w:top w:val="none" w:sz="0" w:space="0" w:color="auto"/>
                    <w:left w:val="none" w:sz="0" w:space="0" w:color="auto"/>
                    <w:bottom w:val="none" w:sz="0" w:space="0" w:color="auto"/>
                    <w:right w:val="none" w:sz="0" w:space="0" w:color="auto"/>
                  </w:divBdr>
                </w:div>
                <w:div w:id="294142818">
                  <w:marLeft w:val="0"/>
                  <w:marRight w:val="0"/>
                  <w:marTop w:val="0"/>
                  <w:marBottom w:val="0"/>
                  <w:divBdr>
                    <w:top w:val="none" w:sz="0" w:space="0" w:color="auto"/>
                    <w:left w:val="none" w:sz="0" w:space="0" w:color="auto"/>
                    <w:bottom w:val="none" w:sz="0" w:space="0" w:color="auto"/>
                    <w:right w:val="none" w:sz="0" w:space="0" w:color="auto"/>
                  </w:divBdr>
                </w:div>
                <w:div w:id="294143293">
                  <w:marLeft w:val="0"/>
                  <w:marRight w:val="0"/>
                  <w:marTop w:val="0"/>
                  <w:marBottom w:val="0"/>
                  <w:divBdr>
                    <w:top w:val="none" w:sz="0" w:space="0" w:color="auto"/>
                    <w:left w:val="none" w:sz="0" w:space="0" w:color="auto"/>
                    <w:bottom w:val="none" w:sz="0" w:space="0" w:color="auto"/>
                    <w:right w:val="none" w:sz="0" w:space="0" w:color="auto"/>
                  </w:divBdr>
                </w:div>
                <w:div w:id="294143342">
                  <w:marLeft w:val="0"/>
                  <w:marRight w:val="0"/>
                  <w:marTop w:val="0"/>
                  <w:marBottom w:val="0"/>
                  <w:divBdr>
                    <w:top w:val="none" w:sz="0" w:space="0" w:color="auto"/>
                    <w:left w:val="none" w:sz="0" w:space="0" w:color="auto"/>
                    <w:bottom w:val="none" w:sz="0" w:space="0" w:color="auto"/>
                    <w:right w:val="none" w:sz="0" w:space="0" w:color="auto"/>
                  </w:divBdr>
                </w:div>
                <w:div w:id="294143448">
                  <w:marLeft w:val="0"/>
                  <w:marRight w:val="0"/>
                  <w:marTop w:val="0"/>
                  <w:marBottom w:val="0"/>
                  <w:divBdr>
                    <w:top w:val="none" w:sz="0" w:space="0" w:color="auto"/>
                    <w:left w:val="none" w:sz="0" w:space="0" w:color="auto"/>
                    <w:bottom w:val="none" w:sz="0" w:space="0" w:color="auto"/>
                    <w:right w:val="none" w:sz="0" w:space="0" w:color="auto"/>
                  </w:divBdr>
                </w:div>
                <w:div w:id="294143576">
                  <w:marLeft w:val="0"/>
                  <w:marRight w:val="0"/>
                  <w:marTop w:val="0"/>
                  <w:marBottom w:val="0"/>
                  <w:divBdr>
                    <w:top w:val="none" w:sz="0" w:space="0" w:color="auto"/>
                    <w:left w:val="none" w:sz="0" w:space="0" w:color="auto"/>
                    <w:bottom w:val="none" w:sz="0" w:space="0" w:color="auto"/>
                    <w:right w:val="none" w:sz="0" w:space="0" w:color="auto"/>
                  </w:divBdr>
                </w:div>
                <w:div w:id="294143590">
                  <w:marLeft w:val="0"/>
                  <w:marRight w:val="0"/>
                  <w:marTop w:val="0"/>
                  <w:marBottom w:val="0"/>
                  <w:divBdr>
                    <w:top w:val="none" w:sz="0" w:space="0" w:color="auto"/>
                    <w:left w:val="none" w:sz="0" w:space="0" w:color="auto"/>
                    <w:bottom w:val="none" w:sz="0" w:space="0" w:color="auto"/>
                    <w:right w:val="none" w:sz="0" w:space="0" w:color="auto"/>
                  </w:divBdr>
                </w:div>
                <w:div w:id="294143607">
                  <w:marLeft w:val="0"/>
                  <w:marRight w:val="0"/>
                  <w:marTop w:val="0"/>
                  <w:marBottom w:val="0"/>
                  <w:divBdr>
                    <w:top w:val="none" w:sz="0" w:space="0" w:color="auto"/>
                    <w:left w:val="none" w:sz="0" w:space="0" w:color="auto"/>
                    <w:bottom w:val="none" w:sz="0" w:space="0" w:color="auto"/>
                    <w:right w:val="none" w:sz="0" w:space="0" w:color="auto"/>
                  </w:divBdr>
                </w:div>
                <w:div w:id="294143949">
                  <w:marLeft w:val="0"/>
                  <w:marRight w:val="0"/>
                  <w:marTop w:val="0"/>
                  <w:marBottom w:val="0"/>
                  <w:divBdr>
                    <w:top w:val="none" w:sz="0" w:space="0" w:color="auto"/>
                    <w:left w:val="none" w:sz="0" w:space="0" w:color="auto"/>
                    <w:bottom w:val="none" w:sz="0" w:space="0" w:color="auto"/>
                    <w:right w:val="none" w:sz="0" w:space="0" w:color="auto"/>
                  </w:divBdr>
                </w:div>
                <w:div w:id="294144091">
                  <w:marLeft w:val="0"/>
                  <w:marRight w:val="0"/>
                  <w:marTop w:val="0"/>
                  <w:marBottom w:val="0"/>
                  <w:divBdr>
                    <w:top w:val="none" w:sz="0" w:space="0" w:color="auto"/>
                    <w:left w:val="none" w:sz="0" w:space="0" w:color="auto"/>
                    <w:bottom w:val="none" w:sz="0" w:space="0" w:color="auto"/>
                    <w:right w:val="none" w:sz="0" w:space="0" w:color="auto"/>
                  </w:divBdr>
                </w:div>
                <w:div w:id="294144180">
                  <w:marLeft w:val="0"/>
                  <w:marRight w:val="0"/>
                  <w:marTop w:val="0"/>
                  <w:marBottom w:val="0"/>
                  <w:divBdr>
                    <w:top w:val="none" w:sz="0" w:space="0" w:color="auto"/>
                    <w:left w:val="none" w:sz="0" w:space="0" w:color="auto"/>
                    <w:bottom w:val="none" w:sz="0" w:space="0" w:color="auto"/>
                    <w:right w:val="none" w:sz="0" w:space="0" w:color="auto"/>
                  </w:divBdr>
                </w:div>
                <w:div w:id="294144237">
                  <w:marLeft w:val="0"/>
                  <w:marRight w:val="0"/>
                  <w:marTop w:val="0"/>
                  <w:marBottom w:val="0"/>
                  <w:divBdr>
                    <w:top w:val="none" w:sz="0" w:space="0" w:color="auto"/>
                    <w:left w:val="none" w:sz="0" w:space="0" w:color="auto"/>
                    <w:bottom w:val="none" w:sz="0" w:space="0" w:color="auto"/>
                    <w:right w:val="none" w:sz="0" w:space="0" w:color="auto"/>
                  </w:divBdr>
                </w:div>
                <w:div w:id="294144262">
                  <w:marLeft w:val="0"/>
                  <w:marRight w:val="0"/>
                  <w:marTop w:val="0"/>
                  <w:marBottom w:val="0"/>
                  <w:divBdr>
                    <w:top w:val="none" w:sz="0" w:space="0" w:color="auto"/>
                    <w:left w:val="none" w:sz="0" w:space="0" w:color="auto"/>
                    <w:bottom w:val="none" w:sz="0" w:space="0" w:color="auto"/>
                    <w:right w:val="none" w:sz="0" w:space="0" w:color="auto"/>
                  </w:divBdr>
                </w:div>
                <w:div w:id="294144315">
                  <w:marLeft w:val="0"/>
                  <w:marRight w:val="0"/>
                  <w:marTop w:val="0"/>
                  <w:marBottom w:val="0"/>
                  <w:divBdr>
                    <w:top w:val="none" w:sz="0" w:space="0" w:color="auto"/>
                    <w:left w:val="none" w:sz="0" w:space="0" w:color="auto"/>
                    <w:bottom w:val="none" w:sz="0" w:space="0" w:color="auto"/>
                    <w:right w:val="none" w:sz="0" w:space="0" w:color="auto"/>
                  </w:divBdr>
                </w:div>
                <w:div w:id="294144437">
                  <w:marLeft w:val="0"/>
                  <w:marRight w:val="0"/>
                  <w:marTop w:val="0"/>
                  <w:marBottom w:val="0"/>
                  <w:divBdr>
                    <w:top w:val="none" w:sz="0" w:space="0" w:color="auto"/>
                    <w:left w:val="none" w:sz="0" w:space="0" w:color="auto"/>
                    <w:bottom w:val="none" w:sz="0" w:space="0" w:color="auto"/>
                    <w:right w:val="none" w:sz="0" w:space="0" w:color="auto"/>
                  </w:divBdr>
                </w:div>
                <w:div w:id="294144494">
                  <w:marLeft w:val="0"/>
                  <w:marRight w:val="0"/>
                  <w:marTop w:val="0"/>
                  <w:marBottom w:val="0"/>
                  <w:divBdr>
                    <w:top w:val="none" w:sz="0" w:space="0" w:color="auto"/>
                    <w:left w:val="none" w:sz="0" w:space="0" w:color="auto"/>
                    <w:bottom w:val="none" w:sz="0" w:space="0" w:color="auto"/>
                    <w:right w:val="none" w:sz="0" w:space="0" w:color="auto"/>
                  </w:divBdr>
                </w:div>
                <w:div w:id="294144588">
                  <w:marLeft w:val="0"/>
                  <w:marRight w:val="0"/>
                  <w:marTop w:val="0"/>
                  <w:marBottom w:val="0"/>
                  <w:divBdr>
                    <w:top w:val="none" w:sz="0" w:space="0" w:color="auto"/>
                    <w:left w:val="none" w:sz="0" w:space="0" w:color="auto"/>
                    <w:bottom w:val="none" w:sz="0" w:space="0" w:color="auto"/>
                    <w:right w:val="none" w:sz="0" w:space="0" w:color="auto"/>
                  </w:divBdr>
                </w:div>
                <w:div w:id="294144607">
                  <w:marLeft w:val="0"/>
                  <w:marRight w:val="0"/>
                  <w:marTop w:val="0"/>
                  <w:marBottom w:val="0"/>
                  <w:divBdr>
                    <w:top w:val="none" w:sz="0" w:space="0" w:color="auto"/>
                    <w:left w:val="none" w:sz="0" w:space="0" w:color="auto"/>
                    <w:bottom w:val="none" w:sz="0" w:space="0" w:color="auto"/>
                    <w:right w:val="none" w:sz="0" w:space="0" w:color="auto"/>
                  </w:divBdr>
                </w:div>
                <w:div w:id="294144834">
                  <w:marLeft w:val="0"/>
                  <w:marRight w:val="0"/>
                  <w:marTop w:val="0"/>
                  <w:marBottom w:val="0"/>
                  <w:divBdr>
                    <w:top w:val="none" w:sz="0" w:space="0" w:color="auto"/>
                    <w:left w:val="none" w:sz="0" w:space="0" w:color="auto"/>
                    <w:bottom w:val="none" w:sz="0" w:space="0" w:color="auto"/>
                    <w:right w:val="none" w:sz="0" w:space="0" w:color="auto"/>
                  </w:divBdr>
                </w:div>
                <w:div w:id="294145049">
                  <w:marLeft w:val="0"/>
                  <w:marRight w:val="0"/>
                  <w:marTop w:val="0"/>
                  <w:marBottom w:val="0"/>
                  <w:divBdr>
                    <w:top w:val="none" w:sz="0" w:space="0" w:color="auto"/>
                    <w:left w:val="none" w:sz="0" w:space="0" w:color="auto"/>
                    <w:bottom w:val="none" w:sz="0" w:space="0" w:color="auto"/>
                    <w:right w:val="none" w:sz="0" w:space="0" w:color="auto"/>
                  </w:divBdr>
                </w:div>
                <w:div w:id="294145191">
                  <w:marLeft w:val="0"/>
                  <w:marRight w:val="0"/>
                  <w:marTop w:val="0"/>
                  <w:marBottom w:val="0"/>
                  <w:divBdr>
                    <w:top w:val="none" w:sz="0" w:space="0" w:color="auto"/>
                    <w:left w:val="none" w:sz="0" w:space="0" w:color="auto"/>
                    <w:bottom w:val="none" w:sz="0" w:space="0" w:color="auto"/>
                    <w:right w:val="none" w:sz="0" w:space="0" w:color="auto"/>
                  </w:divBdr>
                </w:div>
                <w:div w:id="294145920">
                  <w:marLeft w:val="0"/>
                  <w:marRight w:val="0"/>
                  <w:marTop w:val="0"/>
                  <w:marBottom w:val="0"/>
                  <w:divBdr>
                    <w:top w:val="none" w:sz="0" w:space="0" w:color="auto"/>
                    <w:left w:val="none" w:sz="0" w:space="0" w:color="auto"/>
                    <w:bottom w:val="none" w:sz="0" w:space="0" w:color="auto"/>
                    <w:right w:val="none" w:sz="0" w:space="0" w:color="auto"/>
                  </w:divBdr>
                </w:div>
                <w:div w:id="294146073">
                  <w:marLeft w:val="0"/>
                  <w:marRight w:val="0"/>
                  <w:marTop w:val="0"/>
                  <w:marBottom w:val="0"/>
                  <w:divBdr>
                    <w:top w:val="none" w:sz="0" w:space="0" w:color="auto"/>
                    <w:left w:val="none" w:sz="0" w:space="0" w:color="auto"/>
                    <w:bottom w:val="none" w:sz="0" w:space="0" w:color="auto"/>
                    <w:right w:val="none" w:sz="0" w:space="0" w:color="auto"/>
                  </w:divBdr>
                </w:div>
                <w:div w:id="294146354">
                  <w:marLeft w:val="0"/>
                  <w:marRight w:val="0"/>
                  <w:marTop w:val="0"/>
                  <w:marBottom w:val="0"/>
                  <w:divBdr>
                    <w:top w:val="none" w:sz="0" w:space="0" w:color="auto"/>
                    <w:left w:val="none" w:sz="0" w:space="0" w:color="auto"/>
                    <w:bottom w:val="none" w:sz="0" w:space="0" w:color="auto"/>
                    <w:right w:val="none" w:sz="0" w:space="0" w:color="auto"/>
                  </w:divBdr>
                </w:div>
                <w:div w:id="294146628">
                  <w:marLeft w:val="0"/>
                  <w:marRight w:val="0"/>
                  <w:marTop w:val="0"/>
                  <w:marBottom w:val="0"/>
                  <w:divBdr>
                    <w:top w:val="none" w:sz="0" w:space="0" w:color="auto"/>
                    <w:left w:val="none" w:sz="0" w:space="0" w:color="auto"/>
                    <w:bottom w:val="none" w:sz="0" w:space="0" w:color="auto"/>
                    <w:right w:val="none" w:sz="0" w:space="0" w:color="auto"/>
                  </w:divBdr>
                </w:div>
                <w:div w:id="294146658">
                  <w:marLeft w:val="0"/>
                  <w:marRight w:val="0"/>
                  <w:marTop w:val="0"/>
                  <w:marBottom w:val="0"/>
                  <w:divBdr>
                    <w:top w:val="none" w:sz="0" w:space="0" w:color="auto"/>
                    <w:left w:val="none" w:sz="0" w:space="0" w:color="auto"/>
                    <w:bottom w:val="none" w:sz="0" w:space="0" w:color="auto"/>
                    <w:right w:val="none" w:sz="0" w:space="0" w:color="auto"/>
                  </w:divBdr>
                </w:div>
                <w:div w:id="294147207">
                  <w:marLeft w:val="0"/>
                  <w:marRight w:val="0"/>
                  <w:marTop w:val="0"/>
                  <w:marBottom w:val="0"/>
                  <w:divBdr>
                    <w:top w:val="none" w:sz="0" w:space="0" w:color="auto"/>
                    <w:left w:val="none" w:sz="0" w:space="0" w:color="auto"/>
                    <w:bottom w:val="none" w:sz="0" w:space="0" w:color="auto"/>
                    <w:right w:val="none" w:sz="0" w:space="0" w:color="auto"/>
                  </w:divBdr>
                </w:div>
                <w:div w:id="294147247">
                  <w:marLeft w:val="0"/>
                  <w:marRight w:val="0"/>
                  <w:marTop w:val="0"/>
                  <w:marBottom w:val="0"/>
                  <w:divBdr>
                    <w:top w:val="none" w:sz="0" w:space="0" w:color="auto"/>
                    <w:left w:val="none" w:sz="0" w:space="0" w:color="auto"/>
                    <w:bottom w:val="none" w:sz="0" w:space="0" w:color="auto"/>
                    <w:right w:val="none" w:sz="0" w:space="0" w:color="auto"/>
                  </w:divBdr>
                </w:div>
                <w:div w:id="294147316">
                  <w:marLeft w:val="0"/>
                  <w:marRight w:val="0"/>
                  <w:marTop w:val="0"/>
                  <w:marBottom w:val="0"/>
                  <w:divBdr>
                    <w:top w:val="none" w:sz="0" w:space="0" w:color="auto"/>
                    <w:left w:val="none" w:sz="0" w:space="0" w:color="auto"/>
                    <w:bottom w:val="none" w:sz="0" w:space="0" w:color="auto"/>
                    <w:right w:val="none" w:sz="0" w:space="0" w:color="auto"/>
                  </w:divBdr>
                </w:div>
                <w:div w:id="294147347">
                  <w:marLeft w:val="0"/>
                  <w:marRight w:val="0"/>
                  <w:marTop w:val="0"/>
                  <w:marBottom w:val="0"/>
                  <w:divBdr>
                    <w:top w:val="none" w:sz="0" w:space="0" w:color="auto"/>
                    <w:left w:val="none" w:sz="0" w:space="0" w:color="auto"/>
                    <w:bottom w:val="none" w:sz="0" w:space="0" w:color="auto"/>
                    <w:right w:val="none" w:sz="0" w:space="0" w:color="auto"/>
                  </w:divBdr>
                </w:div>
                <w:div w:id="294147431">
                  <w:marLeft w:val="0"/>
                  <w:marRight w:val="0"/>
                  <w:marTop w:val="0"/>
                  <w:marBottom w:val="0"/>
                  <w:divBdr>
                    <w:top w:val="none" w:sz="0" w:space="0" w:color="auto"/>
                    <w:left w:val="none" w:sz="0" w:space="0" w:color="auto"/>
                    <w:bottom w:val="none" w:sz="0" w:space="0" w:color="auto"/>
                    <w:right w:val="none" w:sz="0" w:space="0" w:color="auto"/>
                  </w:divBdr>
                </w:div>
                <w:div w:id="294147513">
                  <w:marLeft w:val="0"/>
                  <w:marRight w:val="0"/>
                  <w:marTop w:val="0"/>
                  <w:marBottom w:val="0"/>
                  <w:divBdr>
                    <w:top w:val="none" w:sz="0" w:space="0" w:color="auto"/>
                    <w:left w:val="none" w:sz="0" w:space="0" w:color="auto"/>
                    <w:bottom w:val="none" w:sz="0" w:space="0" w:color="auto"/>
                    <w:right w:val="none" w:sz="0" w:space="0" w:color="auto"/>
                  </w:divBdr>
                </w:div>
                <w:div w:id="294148119">
                  <w:marLeft w:val="0"/>
                  <w:marRight w:val="0"/>
                  <w:marTop w:val="0"/>
                  <w:marBottom w:val="0"/>
                  <w:divBdr>
                    <w:top w:val="none" w:sz="0" w:space="0" w:color="auto"/>
                    <w:left w:val="none" w:sz="0" w:space="0" w:color="auto"/>
                    <w:bottom w:val="none" w:sz="0" w:space="0" w:color="auto"/>
                    <w:right w:val="none" w:sz="0" w:space="0" w:color="auto"/>
                  </w:divBdr>
                </w:div>
                <w:div w:id="294148179">
                  <w:marLeft w:val="0"/>
                  <w:marRight w:val="0"/>
                  <w:marTop w:val="0"/>
                  <w:marBottom w:val="0"/>
                  <w:divBdr>
                    <w:top w:val="none" w:sz="0" w:space="0" w:color="auto"/>
                    <w:left w:val="none" w:sz="0" w:space="0" w:color="auto"/>
                    <w:bottom w:val="none" w:sz="0" w:space="0" w:color="auto"/>
                    <w:right w:val="none" w:sz="0" w:space="0" w:color="auto"/>
                  </w:divBdr>
                </w:div>
                <w:div w:id="294148277">
                  <w:marLeft w:val="0"/>
                  <w:marRight w:val="0"/>
                  <w:marTop w:val="0"/>
                  <w:marBottom w:val="0"/>
                  <w:divBdr>
                    <w:top w:val="none" w:sz="0" w:space="0" w:color="auto"/>
                    <w:left w:val="none" w:sz="0" w:space="0" w:color="auto"/>
                    <w:bottom w:val="none" w:sz="0" w:space="0" w:color="auto"/>
                    <w:right w:val="none" w:sz="0" w:space="0" w:color="auto"/>
                  </w:divBdr>
                </w:div>
                <w:div w:id="294148623">
                  <w:marLeft w:val="0"/>
                  <w:marRight w:val="0"/>
                  <w:marTop w:val="0"/>
                  <w:marBottom w:val="0"/>
                  <w:divBdr>
                    <w:top w:val="none" w:sz="0" w:space="0" w:color="auto"/>
                    <w:left w:val="none" w:sz="0" w:space="0" w:color="auto"/>
                    <w:bottom w:val="none" w:sz="0" w:space="0" w:color="auto"/>
                    <w:right w:val="none" w:sz="0" w:space="0" w:color="auto"/>
                  </w:divBdr>
                </w:div>
                <w:div w:id="294148643">
                  <w:marLeft w:val="0"/>
                  <w:marRight w:val="0"/>
                  <w:marTop w:val="0"/>
                  <w:marBottom w:val="0"/>
                  <w:divBdr>
                    <w:top w:val="none" w:sz="0" w:space="0" w:color="auto"/>
                    <w:left w:val="none" w:sz="0" w:space="0" w:color="auto"/>
                    <w:bottom w:val="none" w:sz="0" w:space="0" w:color="auto"/>
                    <w:right w:val="none" w:sz="0" w:space="0" w:color="auto"/>
                  </w:divBdr>
                </w:div>
                <w:div w:id="294148932">
                  <w:marLeft w:val="0"/>
                  <w:marRight w:val="0"/>
                  <w:marTop w:val="0"/>
                  <w:marBottom w:val="0"/>
                  <w:divBdr>
                    <w:top w:val="none" w:sz="0" w:space="0" w:color="auto"/>
                    <w:left w:val="none" w:sz="0" w:space="0" w:color="auto"/>
                    <w:bottom w:val="none" w:sz="0" w:space="0" w:color="auto"/>
                    <w:right w:val="none" w:sz="0" w:space="0" w:color="auto"/>
                  </w:divBdr>
                </w:div>
                <w:div w:id="294149251">
                  <w:marLeft w:val="0"/>
                  <w:marRight w:val="0"/>
                  <w:marTop w:val="0"/>
                  <w:marBottom w:val="0"/>
                  <w:divBdr>
                    <w:top w:val="none" w:sz="0" w:space="0" w:color="auto"/>
                    <w:left w:val="none" w:sz="0" w:space="0" w:color="auto"/>
                    <w:bottom w:val="none" w:sz="0" w:space="0" w:color="auto"/>
                    <w:right w:val="none" w:sz="0" w:space="0" w:color="auto"/>
                  </w:divBdr>
                </w:div>
                <w:div w:id="294149665">
                  <w:marLeft w:val="0"/>
                  <w:marRight w:val="0"/>
                  <w:marTop w:val="0"/>
                  <w:marBottom w:val="0"/>
                  <w:divBdr>
                    <w:top w:val="none" w:sz="0" w:space="0" w:color="auto"/>
                    <w:left w:val="none" w:sz="0" w:space="0" w:color="auto"/>
                    <w:bottom w:val="none" w:sz="0" w:space="0" w:color="auto"/>
                    <w:right w:val="none" w:sz="0" w:space="0" w:color="auto"/>
                  </w:divBdr>
                </w:div>
                <w:div w:id="294149709">
                  <w:marLeft w:val="0"/>
                  <w:marRight w:val="0"/>
                  <w:marTop w:val="0"/>
                  <w:marBottom w:val="0"/>
                  <w:divBdr>
                    <w:top w:val="none" w:sz="0" w:space="0" w:color="auto"/>
                    <w:left w:val="none" w:sz="0" w:space="0" w:color="auto"/>
                    <w:bottom w:val="none" w:sz="0" w:space="0" w:color="auto"/>
                    <w:right w:val="none" w:sz="0" w:space="0" w:color="auto"/>
                  </w:divBdr>
                </w:div>
                <w:div w:id="294149838">
                  <w:marLeft w:val="0"/>
                  <w:marRight w:val="0"/>
                  <w:marTop w:val="0"/>
                  <w:marBottom w:val="0"/>
                  <w:divBdr>
                    <w:top w:val="none" w:sz="0" w:space="0" w:color="auto"/>
                    <w:left w:val="none" w:sz="0" w:space="0" w:color="auto"/>
                    <w:bottom w:val="none" w:sz="0" w:space="0" w:color="auto"/>
                    <w:right w:val="none" w:sz="0" w:space="0" w:color="auto"/>
                  </w:divBdr>
                </w:div>
                <w:div w:id="294149925">
                  <w:marLeft w:val="0"/>
                  <w:marRight w:val="0"/>
                  <w:marTop w:val="0"/>
                  <w:marBottom w:val="0"/>
                  <w:divBdr>
                    <w:top w:val="none" w:sz="0" w:space="0" w:color="auto"/>
                    <w:left w:val="none" w:sz="0" w:space="0" w:color="auto"/>
                    <w:bottom w:val="none" w:sz="0" w:space="0" w:color="auto"/>
                    <w:right w:val="none" w:sz="0" w:space="0" w:color="auto"/>
                  </w:divBdr>
                </w:div>
                <w:div w:id="294149995">
                  <w:marLeft w:val="0"/>
                  <w:marRight w:val="0"/>
                  <w:marTop w:val="0"/>
                  <w:marBottom w:val="0"/>
                  <w:divBdr>
                    <w:top w:val="none" w:sz="0" w:space="0" w:color="auto"/>
                    <w:left w:val="none" w:sz="0" w:space="0" w:color="auto"/>
                    <w:bottom w:val="none" w:sz="0" w:space="0" w:color="auto"/>
                    <w:right w:val="none" w:sz="0" w:space="0" w:color="auto"/>
                  </w:divBdr>
                </w:div>
                <w:div w:id="294150025">
                  <w:marLeft w:val="0"/>
                  <w:marRight w:val="0"/>
                  <w:marTop w:val="0"/>
                  <w:marBottom w:val="0"/>
                  <w:divBdr>
                    <w:top w:val="none" w:sz="0" w:space="0" w:color="auto"/>
                    <w:left w:val="none" w:sz="0" w:space="0" w:color="auto"/>
                    <w:bottom w:val="none" w:sz="0" w:space="0" w:color="auto"/>
                    <w:right w:val="none" w:sz="0" w:space="0" w:color="auto"/>
                  </w:divBdr>
                </w:div>
                <w:div w:id="294150153">
                  <w:marLeft w:val="0"/>
                  <w:marRight w:val="0"/>
                  <w:marTop w:val="0"/>
                  <w:marBottom w:val="0"/>
                  <w:divBdr>
                    <w:top w:val="none" w:sz="0" w:space="0" w:color="auto"/>
                    <w:left w:val="none" w:sz="0" w:space="0" w:color="auto"/>
                    <w:bottom w:val="none" w:sz="0" w:space="0" w:color="auto"/>
                    <w:right w:val="none" w:sz="0" w:space="0" w:color="auto"/>
                  </w:divBdr>
                </w:div>
                <w:div w:id="294150243">
                  <w:marLeft w:val="0"/>
                  <w:marRight w:val="0"/>
                  <w:marTop w:val="0"/>
                  <w:marBottom w:val="0"/>
                  <w:divBdr>
                    <w:top w:val="none" w:sz="0" w:space="0" w:color="auto"/>
                    <w:left w:val="none" w:sz="0" w:space="0" w:color="auto"/>
                    <w:bottom w:val="none" w:sz="0" w:space="0" w:color="auto"/>
                    <w:right w:val="none" w:sz="0" w:space="0" w:color="auto"/>
                  </w:divBdr>
                </w:div>
                <w:div w:id="294150658">
                  <w:marLeft w:val="0"/>
                  <w:marRight w:val="0"/>
                  <w:marTop w:val="0"/>
                  <w:marBottom w:val="0"/>
                  <w:divBdr>
                    <w:top w:val="none" w:sz="0" w:space="0" w:color="auto"/>
                    <w:left w:val="none" w:sz="0" w:space="0" w:color="auto"/>
                    <w:bottom w:val="none" w:sz="0" w:space="0" w:color="auto"/>
                    <w:right w:val="none" w:sz="0" w:space="0" w:color="auto"/>
                  </w:divBdr>
                </w:div>
                <w:div w:id="294150939">
                  <w:marLeft w:val="0"/>
                  <w:marRight w:val="0"/>
                  <w:marTop w:val="0"/>
                  <w:marBottom w:val="0"/>
                  <w:divBdr>
                    <w:top w:val="none" w:sz="0" w:space="0" w:color="auto"/>
                    <w:left w:val="none" w:sz="0" w:space="0" w:color="auto"/>
                    <w:bottom w:val="none" w:sz="0" w:space="0" w:color="auto"/>
                    <w:right w:val="none" w:sz="0" w:space="0" w:color="auto"/>
                  </w:divBdr>
                </w:div>
                <w:div w:id="294150986">
                  <w:marLeft w:val="0"/>
                  <w:marRight w:val="0"/>
                  <w:marTop w:val="0"/>
                  <w:marBottom w:val="0"/>
                  <w:divBdr>
                    <w:top w:val="none" w:sz="0" w:space="0" w:color="auto"/>
                    <w:left w:val="none" w:sz="0" w:space="0" w:color="auto"/>
                    <w:bottom w:val="none" w:sz="0" w:space="0" w:color="auto"/>
                    <w:right w:val="none" w:sz="0" w:space="0" w:color="auto"/>
                  </w:divBdr>
                </w:div>
                <w:div w:id="294151585">
                  <w:marLeft w:val="0"/>
                  <w:marRight w:val="0"/>
                  <w:marTop w:val="0"/>
                  <w:marBottom w:val="0"/>
                  <w:divBdr>
                    <w:top w:val="none" w:sz="0" w:space="0" w:color="auto"/>
                    <w:left w:val="none" w:sz="0" w:space="0" w:color="auto"/>
                    <w:bottom w:val="none" w:sz="0" w:space="0" w:color="auto"/>
                    <w:right w:val="none" w:sz="0" w:space="0" w:color="auto"/>
                  </w:divBdr>
                </w:div>
                <w:div w:id="294151598">
                  <w:marLeft w:val="0"/>
                  <w:marRight w:val="0"/>
                  <w:marTop w:val="0"/>
                  <w:marBottom w:val="0"/>
                  <w:divBdr>
                    <w:top w:val="none" w:sz="0" w:space="0" w:color="auto"/>
                    <w:left w:val="none" w:sz="0" w:space="0" w:color="auto"/>
                    <w:bottom w:val="none" w:sz="0" w:space="0" w:color="auto"/>
                    <w:right w:val="none" w:sz="0" w:space="0" w:color="auto"/>
                  </w:divBdr>
                </w:div>
                <w:div w:id="294151682">
                  <w:marLeft w:val="0"/>
                  <w:marRight w:val="0"/>
                  <w:marTop w:val="0"/>
                  <w:marBottom w:val="0"/>
                  <w:divBdr>
                    <w:top w:val="none" w:sz="0" w:space="0" w:color="auto"/>
                    <w:left w:val="none" w:sz="0" w:space="0" w:color="auto"/>
                    <w:bottom w:val="none" w:sz="0" w:space="0" w:color="auto"/>
                    <w:right w:val="none" w:sz="0" w:space="0" w:color="auto"/>
                  </w:divBdr>
                </w:div>
                <w:div w:id="294151683">
                  <w:marLeft w:val="0"/>
                  <w:marRight w:val="0"/>
                  <w:marTop w:val="0"/>
                  <w:marBottom w:val="0"/>
                  <w:divBdr>
                    <w:top w:val="none" w:sz="0" w:space="0" w:color="auto"/>
                    <w:left w:val="none" w:sz="0" w:space="0" w:color="auto"/>
                    <w:bottom w:val="none" w:sz="0" w:space="0" w:color="auto"/>
                    <w:right w:val="none" w:sz="0" w:space="0" w:color="auto"/>
                  </w:divBdr>
                </w:div>
                <w:div w:id="294151990">
                  <w:marLeft w:val="0"/>
                  <w:marRight w:val="0"/>
                  <w:marTop w:val="0"/>
                  <w:marBottom w:val="0"/>
                  <w:divBdr>
                    <w:top w:val="none" w:sz="0" w:space="0" w:color="auto"/>
                    <w:left w:val="none" w:sz="0" w:space="0" w:color="auto"/>
                    <w:bottom w:val="none" w:sz="0" w:space="0" w:color="auto"/>
                    <w:right w:val="none" w:sz="0" w:space="0" w:color="auto"/>
                  </w:divBdr>
                </w:div>
                <w:div w:id="294152397">
                  <w:marLeft w:val="0"/>
                  <w:marRight w:val="0"/>
                  <w:marTop w:val="0"/>
                  <w:marBottom w:val="0"/>
                  <w:divBdr>
                    <w:top w:val="none" w:sz="0" w:space="0" w:color="auto"/>
                    <w:left w:val="none" w:sz="0" w:space="0" w:color="auto"/>
                    <w:bottom w:val="none" w:sz="0" w:space="0" w:color="auto"/>
                    <w:right w:val="none" w:sz="0" w:space="0" w:color="auto"/>
                  </w:divBdr>
                </w:div>
                <w:div w:id="294152497">
                  <w:marLeft w:val="0"/>
                  <w:marRight w:val="0"/>
                  <w:marTop w:val="0"/>
                  <w:marBottom w:val="0"/>
                  <w:divBdr>
                    <w:top w:val="none" w:sz="0" w:space="0" w:color="auto"/>
                    <w:left w:val="none" w:sz="0" w:space="0" w:color="auto"/>
                    <w:bottom w:val="none" w:sz="0" w:space="0" w:color="auto"/>
                    <w:right w:val="none" w:sz="0" w:space="0" w:color="auto"/>
                  </w:divBdr>
                </w:div>
                <w:div w:id="294152528">
                  <w:marLeft w:val="0"/>
                  <w:marRight w:val="0"/>
                  <w:marTop w:val="0"/>
                  <w:marBottom w:val="0"/>
                  <w:divBdr>
                    <w:top w:val="none" w:sz="0" w:space="0" w:color="auto"/>
                    <w:left w:val="none" w:sz="0" w:space="0" w:color="auto"/>
                    <w:bottom w:val="none" w:sz="0" w:space="0" w:color="auto"/>
                    <w:right w:val="none" w:sz="0" w:space="0" w:color="auto"/>
                  </w:divBdr>
                </w:div>
                <w:div w:id="294152566">
                  <w:marLeft w:val="0"/>
                  <w:marRight w:val="0"/>
                  <w:marTop w:val="0"/>
                  <w:marBottom w:val="0"/>
                  <w:divBdr>
                    <w:top w:val="none" w:sz="0" w:space="0" w:color="auto"/>
                    <w:left w:val="none" w:sz="0" w:space="0" w:color="auto"/>
                    <w:bottom w:val="none" w:sz="0" w:space="0" w:color="auto"/>
                    <w:right w:val="none" w:sz="0" w:space="0" w:color="auto"/>
                  </w:divBdr>
                </w:div>
                <w:div w:id="294152681">
                  <w:marLeft w:val="0"/>
                  <w:marRight w:val="0"/>
                  <w:marTop w:val="0"/>
                  <w:marBottom w:val="0"/>
                  <w:divBdr>
                    <w:top w:val="none" w:sz="0" w:space="0" w:color="auto"/>
                    <w:left w:val="none" w:sz="0" w:space="0" w:color="auto"/>
                    <w:bottom w:val="none" w:sz="0" w:space="0" w:color="auto"/>
                    <w:right w:val="none" w:sz="0" w:space="0" w:color="auto"/>
                  </w:divBdr>
                </w:div>
                <w:div w:id="294152711">
                  <w:marLeft w:val="0"/>
                  <w:marRight w:val="0"/>
                  <w:marTop w:val="0"/>
                  <w:marBottom w:val="0"/>
                  <w:divBdr>
                    <w:top w:val="none" w:sz="0" w:space="0" w:color="auto"/>
                    <w:left w:val="none" w:sz="0" w:space="0" w:color="auto"/>
                    <w:bottom w:val="none" w:sz="0" w:space="0" w:color="auto"/>
                    <w:right w:val="none" w:sz="0" w:space="0" w:color="auto"/>
                  </w:divBdr>
                </w:div>
                <w:div w:id="294152752">
                  <w:marLeft w:val="0"/>
                  <w:marRight w:val="0"/>
                  <w:marTop w:val="0"/>
                  <w:marBottom w:val="0"/>
                  <w:divBdr>
                    <w:top w:val="none" w:sz="0" w:space="0" w:color="auto"/>
                    <w:left w:val="none" w:sz="0" w:space="0" w:color="auto"/>
                    <w:bottom w:val="none" w:sz="0" w:space="0" w:color="auto"/>
                    <w:right w:val="none" w:sz="0" w:space="0" w:color="auto"/>
                  </w:divBdr>
                </w:div>
                <w:div w:id="294152758">
                  <w:marLeft w:val="0"/>
                  <w:marRight w:val="0"/>
                  <w:marTop w:val="0"/>
                  <w:marBottom w:val="0"/>
                  <w:divBdr>
                    <w:top w:val="none" w:sz="0" w:space="0" w:color="auto"/>
                    <w:left w:val="none" w:sz="0" w:space="0" w:color="auto"/>
                    <w:bottom w:val="none" w:sz="0" w:space="0" w:color="auto"/>
                    <w:right w:val="none" w:sz="0" w:space="0" w:color="auto"/>
                  </w:divBdr>
                </w:div>
                <w:div w:id="294152976">
                  <w:marLeft w:val="0"/>
                  <w:marRight w:val="0"/>
                  <w:marTop w:val="0"/>
                  <w:marBottom w:val="0"/>
                  <w:divBdr>
                    <w:top w:val="none" w:sz="0" w:space="0" w:color="auto"/>
                    <w:left w:val="none" w:sz="0" w:space="0" w:color="auto"/>
                    <w:bottom w:val="none" w:sz="0" w:space="0" w:color="auto"/>
                    <w:right w:val="none" w:sz="0" w:space="0" w:color="auto"/>
                  </w:divBdr>
                </w:div>
                <w:div w:id="294152984">
                  <w:marLeft w:val="0"/>
                  <w:marRight w:val="0"/>
                  <w:marTop w:val="0"/>
                  <w:marBottom w:val="0"/>
                  <w:divBdr>
                    <w:top w:val="none" w:sz="0" w:space="0" w:color="auto"/>
                    <w:left w:val="none" w:sz="0" w:space="0" w:color="auto"/>
                    <w:bottom w:val="none" w:sz="0" w:space="0" w:color="auto"/>
                    <w:right w:val="none" w:sz="0" w:space="0" w:color="auto"/>
                  </w:divBdr>
                </w:div>
                <w:div w:id="294153185">
                  <w:marLeft w:val="0"/>
                  <w:marRight w:val="0"/>
                  <w:marTop w:val="0"/>
                  <w:marBottom w:val="0"/>
                  <w:divBdr>
                    <w:top w:val="none" w:sz="0" w:space="0" w:color="auto"/>
                    <w:left w:val="none" w:sz="0" w:space="0" w:color="auto"/>
                    <w:bottom w:val="none" w:sz="0" w:space="0" w:color="auto"/>
                    <w:right w:val="none" w:sz="0" w:space="0" w:color="auto"/>
                  </w:divBdr>
                </w:div>
                <w:div w:id="294153248">
                  <w:marLeft w:val="0"/>
                  <w:marRight w:val="0"/>
                  <w:marTop w:val="0"/>
                  <w:marBottom w:val="0"/>
                  <w:divBdr>
                    <w:top w:val="none" w:sz="0" w:space="0" w:color="auto"/>
                    <w:left w:val="none" w:sz="0" w:space="0" w:color="auto"/>
                    <w:bottom w:val="none" w:sz="0" w:space="0" w:color="auto"/>
                    <w:right w:val="none" w:sz="0" w:space="0" w:color="auto"/>
                  </w:divBdr>
                </w:div>
                <w:div w:id="294153321">
                  <w:marLeft w:val="0"/>
                  <w:marRight w:val="0"/>
                  <w:marTop w:val="0"/>
                  <w:marBottom w:val="0"/>
                  <w:divBdr>
                    <w:top w:val="none" w:sz="0" w:space="0" w:color="auto"/>
                    <w:left w:val="none" w:sz="0" w:space="0" w:color="auto"/>
                    <w:bottom w:val="none" w:sz="0" w:space="0" w:color="auto"/>
                    <w:right w:val="none" w:sz="0" w:space="0" w:color="auto"/>
                  </w:divBdr>
                </w:div>
                <w:div w:id="294153333">
                  <w:marLeft w:val="0"/>
                  <w:marRight w:val="0"/>
                  <w:marTop w:val="0"/>
                  <w:marBottom w:val="0"/>
                  <w:divBdr>
                    <w:top w:val="none" w:sz="0" w:space="0" w:color="auto"/>
                    <w:left w:val="none" w:sz="0" w:space="0" w:color="auto"/>
                    <w:bottom w:val="none" w:sz="0" w:space="0" w:color="auto"/>
                    <w:right w:val="none" w:sz="0" w:space="0" w:color="auto"/>
                  </w:divBdr>
                </w:div>
                <w:div w:id="294153428">
                  <w:marLeft w:val="0"/>
                  <w:marRight w:val="0"/>
                  <w:marTop w:val="0"/>
                  <w:marBottom w:val="0"/>
                  <w:divBdr>
                    <w:top w:val="none" w:sz="0" w:space="0" w:color="auto"/>
                    <w:left w:val="none" w:sz="0" w:space="0" w:color="auto"/>
                    <w:bottom w:val="none" w:sz="0" w:space="0" w:color="auto"/>
                    <w:right w:val="none" w:sz="0" w:space="0" w:color="auto"/>
                  </w:divBdr>
                </w:div>
                <w:div w:id="294153674">
                  <w:marLeft w:val="0"/>
                  <w:marRight w:val="0"/>
                  <w:marTop w:val="0"/>
                  <w:marBottom w:val="0"/>
                  <w:divBdr>
                    <w:top w:val="none" w:sz="0" w:space="0" w:color="auto"/>
                    <w:left w:val="none" w:sz="0" w:space="0" w:color="auto"/>
                    <w:bottom w:val="none" w:sz="0" w:space="0" w:color="auto"/>
                    <w:right w:val="none" w:sz="0" w:space="0" w:color="auto"/>
                  </w:divBdr>
                </w:div>
                <w:div w:id="294153930">
                  <w:marLeft w:val="0"/>
                  <w:marRight w:val="0"/>
                  <w:marTop w:val="0"/>
                  <w:marBottom w:val="0"/>
                  <w:divBdr>
                    <w:top w:val="none" w:sz="0" w:space="0" w:color="auto"/>
                    <w:left w:val="none" w:sz="0" w:space="0" w:color="auto"/>
                    <w:bottom w:val="none" w:sz="0" w:space="0" w:color="auto"/>
                    <w:right w:val="none" w:sz="0" w:space="0" w:color="auto"/>
                  </w:divBdr>
                </w:div>
                <w:div w:id="294154298">
                  <w:marLeft w:val="0"/>
                  <w:marRight w:val="0"/>
                  <w:marTop w:val="0"/>
                  <w:marBottom w:val="0"/>
                  <w:divBdr>
                    <w:top w:val="none" w:sz="0" w:space="0" w:color="auto"/>
                    <w:left w:val="none" w:sz="0" w:space="0" w:color="auto"/>
                    <w:bottom w:val="none" w:sz="0" w:space="0" w:color="auto"/>
                    <w:right w:val="none" w:sz="0" w:space="0" w:color="auto"/>
                  </w:divBdr>
                </w:div>
                <w:div w:id="294154450">
                  <w:marLeft w:val="0"/>
                  <w:marRight w:val="0"/>
                  <w:marTop w:val="0"/>
                  <w:marBottom w:val="0"/>
                  <w:divBdr>
                    <w:top w:val="none" w:sz="0" w:space="0" w:color="auto"/>
                    <w:left w:val="none" w:sz="0" w:space="0" w:color="auto"/>
                    <w:bottom w:val="none" w:sz="0" w:space="0" w:color="auto"/>
                    <w:right w:val="none" w:sz="0" w:space="0" w:color="auto"/>
                  </w:divBdr>
                </w:div>
                <w:div w:id="294154681">
                  <w:marLeft w:val="0"/>
                  <w:marRight w:val="0"/>
                  <w:marTop w:val="0"/>
                  <w:marBottom w:val="0"/>
                  <w:divBdr>
                    <w:top w:val="none" w:sz="0" w:space="0" w:color="auto"/>
                    <w:left w:val="none" w:sz="0" w:space="0" w:color="auto"/>
                    <w:bottom w:val="none" w:sz="0" w:space="0" w:color="auto"/>
                    <w:right w:val="none" w:sz="0" w:space="0" w:color="auto"/>
                  </w:divBdr>
                </w:div>
                <w:div w:id="294154802">
                  <w:marLeft w:val="0"/>
                  <w:marRight w:val="0"/>
                  <w:marTop w:val="0"/>
                  <w:marBottom w:val="0"/>
                  <w:divBdr>
                    <w:top w:val="none" w:sz="0" w:space="0" w:color="auto"/>
                    <w:left w:val="none" w:sz="0" w:space="0" w:color="auto"/>
                    <w:bottom w:val="none" w:sz="0" w:space="0" w:color="auto"/>
                    <w:right w:val="none" w:sz="0" w:space="0" w:color="auto"/>
                  </w:divBdr>
                </w:div>
                <w:div w:id="294154894">
                  <w:marLeft w:val="0"/>
                  <w:marRight w:val="0"/>
                  <w:marTop w:val="0"/>
                  <w:marBottom w:val="0"/>
                  <w:divBdr>
                    <w:top w:val="none" w:sz="0" w:space="0" w:color="auto"/>
                    <w:left w:val="none" w:sz="0" w:space="0" w:color="auto"/>
                    <w:bottom w:val="none" w:sz="0" w:space="0" w:color="auto"/>
                    <w:right w:val="none" w:sz="0" w:space="0" w:color="auto"/>
                  </w:divBdr>
                </w:div>
                <w:div w:id="294155235">
                  <w:marLeft w:val="0"/>
                  <w:marRight w:val="0"/>
                  <w:marTop w:val="0"/>
                  <w:marBottom w:val="0"/>
                  <w:divBdr>
                    <w:top w:val="none" w:sz="0" w:space="0" w:color="auto"/>
                    <w:left w:val="none" w:sz="0" w:space="0" w:color="auto"/>
                    <w:bottom w:val="none" w:sz="0" w:space="0" w:color="auto"/>
                    <w:right w:val="none" w:sz="0" w:space="0" w:color="auto"/>
                  </w:divBdr>
                </w:div>
                <w:div w:id="294155262">
                  <w:marLeft w:val="0"/>
                  <w:marRight w:val="0"/>
                  <w:marTop w:val="0"/>
                  <w:marBottom w:val="0"/>
                  <w:divBdr>
                    <w:top w:val="none" w:sz="0" w:space="0" w:color="auto"/>
                    <w:left w:val="none" w:sz="0" w:space="0" w:color="auto"/>
                    <w:bottom w:val="none" w:sz="0" w:space="0" w:color="auto"/>
                    <w:right w:val="none" w:sz="0" w:space="0" w:color="auto"/>
                  </w:divBdr>
                </w:div>
                <w:div w:id="294155538">
                  <w:marLeft w:val="0"/>
                  <w:marRight w:val="0"/>
                  <w:marTop w:val="0"/>
                  <w:marBottom w:val="0"/>
                  <w:divBdr>
                    <w:top w:val="none" w:sz="0" w:space="0" w:color="auto"/>
                    <w:left w:val="none" w:sz="0" w:space="0" w:color="auto"/>
                    <w:bottom w:val="none" w:sz="0" w:space="0" w:color="auto"/>
                    <w:right w:val="none" w:sz="0" w:space="0" w:color="auto"/>
                  </w:divBdr>
                </w:div>
                <w:div w:id="294155992">
                  <w:marLeft w:val="0"/>
                  <w:marRight w:val="0"/>
                  <w:marTop w:val="0"/>
                  <w:marBottom w:val="0"/>
                  <w:divBdr>
                    <w:top w:val="none" w:sz="0" w:space="0" w:color="auto"/>
                    <w:left w:val="none" w:sz="0" w:space="0" w:color="auto"/>
                    <w:bottom w:val="none" w:sz="0" w:space="0" w:color="auto"/>
                    <w:right w:val="none" w:sz="0" w:space="0" w:color="auto"/>
                  </w:divBdr>
                </w:div>
                <w:div w:id="294156031">
                  <w:marLeft w:val="0"/>
                  <w:marRight w:val="0"/>
                  <w:marTop w:val="0"/>
                  <w:marBottom w:val="0"/>
                  <w:divBdr>
                    <w:top w:val="none" w:sz="0" w:space="0" w:color="auto"/>
                    <w:left w:val="none" w:sz="0" w:space="0" w:color="auto"/>
                    <w:bottom w:val="none" w:sz="0" w:space="0" w:color="auto"/>
                    <w:right w:val="none" w:sz="0" w:space="0" w:color="auto"/>
                  </w:divBdr>
                </w:div>
                <w:div w:id="294156189">
                  <w:marLeft w:val="0"/>
                  <w:marRight w:val="0"/>
                  <w:marTop w:val="0"/>
                  <w:marBottom w:val="0"/>
                  <w:divBdr>
                    <w:top w:val="none" w:sz="0" w:space="0" w:color="auto"/>
                    <w:left w:val="none" w:sz="0" w:space="0" w:color="auto"/>
                    <w:bottom w:val="none" w:sz="0" w:space="0" w:color="auto"/>
                    <w:right w:val="none" w:sz="0" w:space="0" w:color="auto"/>
                  </w:divBdr>
                </w:div>
                <w:div w:id="294156194">
                  <w:marLeft w:val="0"/>
                  <w:marRight w:val="0"/>
                  <w:marTop w:val="0"/>
                  <w:marBottom w:val="0"/>
                  <w:divBdr>
                    <w:top w:val="none" w:sz="0" w:space="0" w:color="auto"/>
                    <w:left w:val="none" w:sz="0" w:space="0" w:color="auto"/>
                    <w:bottom w:val="none" w:sz="0" w:space="0" w:color="auto"/>
                    <w:right w:val="none" w:sz="0" w:space="0" w:color="auto"/>
                  </w:divBdr>
                </w:div>
                <w:div w:id="294156293">
                  <w:marLeft w:val="0"/>
                  <w:marRight w:val="0"/>
                  <w:marTop w:val="0"/>
                  <w:marBottom w:val="0"/>
                  <w:divBdr>
                    <w:top w:val="none" w:sz="0" w:space="0" w:color="auto"/>
                    <w:left w:val="none" w:sz="0" w:space="0" w:color="auto"/>
                    <w:bottom w:val="none" w:sz="0" w:space="0" w:color="auto"/>
                    <w:right w:val="none" w:sz="0" w:space="0" w:color="auto"/>
                  </w:divBdr>
                </w:div>
                <w:div w:id="294156442">
                  <w:marLeft w:val="0"/>
                  <w:marRight w:val="0"/>
                  <w:marTop w:val="0"/>
                  <w:marBottom w:val="0"/>
                  <w:divBdr>
                    <w:top w:val="none" w:sz="0" w:space="0" w:color="auto"/>
                    <w:left w:val="none" w:sz="0" w:space="0" w:color="auto"/>
                    <w:bottom w:val="none" w:sz="0" w:space="0" w:color="auto"/>
                    <w:right w:val="none" w:sz="0" w:space="0" w:color="auto"/>
                  </w:divBdr>
                </w:div>
                <w:div w:id="294156545">
                  <w:marLeft w:val="0"/>
                  <w:marRight w:val="0"/>
                  <w:marTop w:val="0"/>
                  <w:marBottom w:val="0"/>
                  <w:divBdr>
                    <w:top w:val="none" w:sz="0" w:space="0" w:color="auto"/>
                    <w:left w:val="none" w:sz="0" w:space="0" w:color="auto"/>
                    <w:bottom w:val="none" w:sz="0" w:space="0" w:color="auto"/>
                    <w:right w:val="none" w:sz="0" w:space="0" w:color="auto"/>
                  </w:divBdr>
                </w:div>
                <w:div w:id="294156967">
                  <w:marLeft w:val="0"/>
                  <w:marRight w:val="0"/>
                  <w:marTop w:val="0"/>
                  <w:marBottom w:val="0"/>
                  <w:divBdr>
                    <w:top w:val="none" w:sz="0" w:space="0" w:color="auto"/>
                    <w:left w:val="none" w:sz="0" w:space="0" w:color="auto"/>
                    <w:bottom w:val="none" w:sz="0" w:space="0" w:color="auto"/>
                    <w:right w:val="none" w:sz="0" w:space="0" w:color="auto"/>
                  </w:divBdr>
                </w:div>
                <w:div w:id="294157105">
                  <w:marLeft w:val="0"/>
                  <w:marRight w:val="0"/>
                  <w:marTop w:val="0"/>
                  <w:marBottom w:val="0"/>
                  <w:divBdr>
                    <w:top w:val="none" w:sz="0" w:space="0" w:color="auto"/>
                    <w:left w:val="none" w:sz="0" w:space="0" w:color="auto"/>
                    <w:bottom w:val="none" w:sz="0" w:space="0" w:color="auto"/>
                    <w:right w:val="none" w:sz="0" w:space="0" w:color="auto"/>
                  </w:divBdr>
                </w:div>
                <w:div w:id="29415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7230">
          <w:marLeft w:val="0"/>
          <w:marRight w:val="0"/>
          <w:marTop w:val="0"/>
          <w:marBottom w:val="0"/>
          <w:divBdr>
            <w:top w:val="none" w:sz="0" w:space="0" w:color="auto"/>
            <w:left w:val="none" w:sz="0" w:space="0" w:color="auto"/>
            <w:bottom w:val="none" w:sz="0" w:space="0" w:color="auto"/>
            <w:right w:val="none" w:sz="0" w:space="0" w:color="auto"/>
          </w:divBdr>
          <w:divsChild>
            <w:div w:id="294147335">
              <w:marLeft w:val="0"/>
              <w:marRight w:val="0"/>
              <w:marTop w:val="0"/>
              <w:marBottom w:val="0"/>
              <w:divBdr>
                <w:top w:val="none" w:sz="0" w:space="0" w:color="auto"/>
                <w:left w:val="none" w:sz="0" w:space="0" w:color="auto"/>
                <w:bottom w:val="none" w:sz="0" w:space="0" w:color="auto"/>
                <w:right w:val="none" w:sz="0" w:space="0" w:color="auto"/>
              </w:divBdr>
              <w:divsChild>
                <w:div w:id="294146319">
                  <w:marLeft w:val="0"/>
                  <w:marRight w:val="0"/>
                  <w:marTop w:val="0"/>
                  <w:marBottom w:val="0"/>
                  <w:divBdr>
                    <w:top w:val="none" w:sz="0" w:space="0" w:color="auto"/>
                    <w:left w:val="none" w:sz="0" w:space="0" w:color="auto"/>
                    <w:bottom w:val="none" w:sz="0" w:space="0" w:color="auto"/>
                    <w:right w:val="none" w:sz="0" w:space="0" w:color="auto"/>
                  </w:divBdr>
                  <w:divsChild>
                    <w:div w:id="294138074">
                      <w:marLeft w:val="0"/>
                      <w:marRight w:val="0"/>
                      <w:marTop w:val="0"/>
                      <w:marBottom w:val="0"/>
                      <w:divBdr>
                        <w:top w:val="none" w:sz="0" w:space="0" w:color="auto"/>
                        <w:left w:val="none" w:sz="0" w:space="0" w:color="auto"/>
                        <w:bottom w:val="none" w:sz="0" w:space="0" w:color="auto"/>
                        <w:right w:val="none" w:sz="0" w:space="0" w:color="auto"/>
                      </w:divBdr>
                      <w:divsChild>
                        <w:div w:id="294152622">
                          <w:marLeft w:val="0"/>
                          <w:marRight w:val="0"/>
                          <w:marTop w:val="0"/>
                          <w:marBottom w:val="0"/>
                          <w:divBdr>
                            <w:top w:val="none" w:sz="0" w:space="0" w:color="auto"/>
                            <w:left w:val="none" w:sz="0" w:space="0" w:color="auto"/>
                            <w:bottom w:val="none" w:sz="0" w:space="0" w:color="auto"/>
                            <w:right w:val="none" w:sz="0" w:space="0" w:color="auto"/>
                          </w:divBdr>
                        </w:div>
                      </w:divsChild>
                    </w:div>
                    <w:div w:id="294138094">
                      <w:marLeft w:val="0"/>
                      <w:marRight w:val="0"/>
                      <w:marTop w:val="0"/>
                      <w:marBottom w:val="0"/>
                      <w:divBdr>
                        <w:top w:val="none" w:sz="0" w:space="0" w:color="auto"/>
                        <w:left w:val="none" w:sz="0" w:space="0" w:color="auto"/>
                        <w:bottom w:val="none" w:sz="0" w:space="0" w:color="auto"/>
                        <w:right w:val="none" w:sz="0" w:space="0" w:color="auto"/>
                      </w:divBdr>
                    </w:div>
                    <w:div w:id="294138096">
                      <w:marLeft w:val="0"/>
                      <w:marRight w:val="0"/>
                      <w:marTop w:val="0"/>
                      <w:marBottom w:val="0"/>
                      <w:divBdr>
                        <w:top w:val="none" w:sz="0" w:space="0" w:color="auto"/>
                        <w:left w:val="none" w:sz="0" w:space="0" w:color="auto"/>
                        <w:bottom w:val="none" w:sz="0" w:space="0" w:color="auto"/>
                        <w:right w:val="none" w:sz="0" w:space="0" w:color="auto"/>
                      </w:divBdr>
                    </w:div>
                    <w:div w:id="294138112">
                      <w:marLeft w:val="0"/>
                      <w:marRight w:val="0"/>
                      <w:marTop w:val="0"/>
                      <w:marBottom w:val="0"/>
                      <w:divBdr>
                        <w:top w:val="none" w:sz="0" w:space="0" w:color="auto"/>
                        <w:left w:val="none" w:sz="0" w:space="0" w:color="auto"/>
                        <w:bottom w:val="none" w:sz="0" w:space="0" w:color="auto"/>
                        <w:right w:val="none" w:sz="0" w:space="0" w:color="auto"/>
                      </w:divBdr>
                      <w:divsChild>
                        <w:div w:id="294142755">
                          <w:marLeft w:val="0"/>
                          <w:marRight w:val="0"/>
                          <w:marTop w:val="0"/>
                          <w:marBottom w:val="0"/>
                          <w:divBdr>
                            <w:top w:val="none" w:sz="0" w:space="0" w:color="auto"/>
                            <w:left w:val="none" w:sz="0" w:space="0" w:color="auto"/>
                            <w:bottom w:val="none" w:sz="0" w:space="0" w:color="auto"/>
                            <w:right w:val="none" w:sz="0" w:space="0" w:color="auto"/>
                          </w:divBdr>
                        </w:div>
                      </w:divsChild>
                    </w:div>
                    <w:div w:id="294138230">
                      <w:marLeft w:val="0"/>
                      <w:marRight w:val="0"/>
                      <w:marTop w:val="0"/>
                      <w:marBottom w:val="0"/>
                      <w:divBdr>
                        <w:top w:val="none" w:sz="0" w:space="0" w:color="auto"/>
                        <w:left w:val="none" w:sz="0" w:space="0" w:color="auto"/>
                        <w:bottom w:val="none" w:sz="0" w:space="0" w:color="auto"/>
                        <w:right w:val="none" w:sz="0" w:space="0" w:color="auto"/>
                      </w:divBdr>
                      <w:divsChild>
                        <w:div w:id="294148302">
                          <w:marLeft w:val="0"/>
                          <w:marRight w:val="0"/>
                          <w:marTop w:val="0"/>
                          <w:marBottom w:val="0"/>
                          <w:divBdr>
                            <w:top w:val="none" w:sz="0" w:space="0" w:color="auto"/>
                            <w:left w:val="none" w:sz="0" w:space="0" w:color="auto"/>
                            <w:bottom w:val="none" w:sz="0" w:space="0" w:color="auto"/>
                            <w:right w:val="none" w:sz="0" w:space="0" w:color="auto"/>
                          </w:divBdr>
                        </w:div>
                      </w:divsChild>
                    </w:div>
                    <w:div w:id="294138236">
                      <w:marLeft w:val="0"/>
                      <w:marRight w:val="0"/>
                      <w:marTop w:val="0"/>
                      <w:marBottom w:val="0"/>
                      <w:divBdr>
                        <w:top w:val="none" w:sz="0" w:space="0" w:color="auto"/>
                        <w:left w:val="none" w:sz="0" w:space="0" w:color="auto"/>
                        <w:bottom w:val="none" w:sz="0" w:space="0" w:color="auto"/>
                        <w:right w:val="none" w:sz="0" w:space="0" w:color="auto"/>
                      </w:divBdr>
                    </w:div>
                    <w:div w:id="294138291">
                      <w:marLeft w:val="0"/>
                      <w:marRight w:val="0"/>
                      <w:marTop w:val="0"/>
                      <w:marBottom w:val="0"/>
                      <w:divBdr>
                        <w:top w:val="none" w:sz="0" w:space="0" w:color="auto"/>
                        <w:left w:val="none" w:sz="0" w:space="0" w:color="auto"/>
                        <w:bottom w:val="none" w:sz="0" w:space="0" w:color="auto"/>
                        <w:right w:val="none" w:sz="0" w:space="0" w:color="auto"/>
                      </w:divBdr>
                    </w:div>
                    <w:div w:id="294138371">
                      <w:marLeft w:val="0"/>
                      <w:marRight w:val="0"/>
                      <w:marTop w:val="0"/>
                      <w:marBottom w:val="0"/>
                      <w:divBdr>
                        <w:top w:val="none" w:sz="0" w:space="0" w:color="auto"/>
                        <w:left w:val="none" w:sz="0" w:space="0" w:color="auto"/>
                        <w:bottom w:val="none" w:sz="0" w:space="0" w:color="auto"/>
                        <w:right w:val="none" w:sz="0" w:space="0" w:color="auto"/>
                      </w:divBdr>
                    </w:div>
                    <w:div w:id="294138453">
                      <w:marLeft w:val="0"/>
                      <w:marRight w:val="0"/>
                      <w:marTop w:val="0"/>
                      <w:marBottom w:val="0"/>
                      <w:divBdr>
                        <w:top w:val="none" w:sz="0" w:space="0" w:color="auto"/>
                        <w:left w:val="none" w:sz="0" w:space="0" w:color="auto"/>
                        <w:bottom w:val="none" w:sz="0" w:space="0" w:color="auto"/>
                        <w:right w:val="none" w:sz="0" w:space="0" w:color="auto"/>
                      </w:divBdr>
                      <w:divsChild>
                        <w:div w:id="294144142">
                          <w:marLeft w:val="0"/>
                          <w:marRight w:val="0"/>
                          <w:marTop w:val="0"/>
                          <w:marBottom w:val="0"/>
                          <w:divBdr>
                            <w:top w:val="none" w:sz="0" w:space="0" w:color="auto"/>
                            <w:left w:val="none" w:sz="0" w:space="0" w:color="auto"/>
                            <w:bottom w:val="none" w:sz="0" w:space="0" w:color="auto"/>
                            <w:right w:val="none" w:sz="0" w:space="0" w:color="auto"/>
                          </w:divBdr>
                        </w:div>
                      </w:divsChild>
                    </w:div>
                    <w:div w:id="294138533">
                      <w:marLeft w:val="0"/>
                      <w:marRight w:val="0"/>
                      <w:marTop w:val="0"/>
                      <w:marBottom w:val="0"/>
                      <w:divBdr>
                        <w:top w:val="none" w:sz="0" w:space="0" w:color="auto"/>
                        <w:left w:val="none" w:sz="0" w:space="0" w:color="auto"/>
                        <w:bottom w:val="none" w:sz="0" w:space="0" w:color="auto"/>
                        <w:right w:val="none" w:sz="0" w:space="0" w:color="auto"/>
                      </w:divBdr>
                      <w:divsChild>
                        <w:div w:id="294152997">
                          <w:marLeft w:val="0"/>
                          <w:marRight w:val="0"/>
                          <w:marTop w:val="0"/>
                          <w:marBottom w:val="0"/>
                          <w:divBdr>
                            <w:top w:val="none" w:sz="0" w:space="0" w:color="auto"/>
                            <w:left w:val="none" w:sz="0" w:space="0" w:color="auto"/>
                            <w:bottom w:val="none" w:sz="0" w:space="0" w:color="auto"/>
                            <w:right w:val="none" w:sz="0" w:space="0" w:color="auto"/>
                          </w:divBdr>
                        </w:div>
                      </w:divsChild>
                    </w:div>
                    <w:div w:id="294138555">
                      <w:marLeft w:val="0"/>
                      <w:marRight w:val="0"/>
                      <w:marTop w:val="0"/>
                      <w:marBottom w:val="0"/>
                      <w:divBdr>
                        <w:top w:val="none" w:sz="0" w:space="0" w:color="auto"/>
                        <w:left w:val="none" w:sz="0" w:space="0" w:color="auto"/>
                        <w:bottom w:val="none" w:sz="0" w:space="0" w:color="auto"/>
                        <w:right w:val="none" w:sz="0" w:space="0" w:color="auto"/>
                      </w:divBdr>
                    </w:div>
                    <w:div w:id="294138824">
                      <w:marLeft w:val="0"/>
                      <w:marRight w:val="0"/>
                      <w:marTop w:val="0"/>
                      <w:marBottom w:val="0"/>
                      <w:divBdr>
                        <w:top w:val="none" w:sz="0" w:space="0" w:color="auto"/>
                        <w:left w:val="none" w:sz="0" w:space="0" w:color="auto"/>
                        <w:bottom w:val="none" w:sz="0" w:space="0" w:color="auto"/>
                        <w:right w:val="none" w:sz="0" w:space="0" w:color="auto"/>
                      </w:divBdr>
                      <w:divsChild>
                        <w:div w:id="294151631">
                          <w:marLeft w:val="0"/>
                          <w:marRight w:val="0"/>
                          <w:marTop w:val="0"/>
                          <w:marBottom w:val="0"/>
                          <w:divBdr>
                            <w:top w:val="none" w:sz="0" w:space="0" w:color="auto"/>
                            <w:left w:val="none" w:sz="0" w:space="0" w:color="auto"/>
                            <w:bottom w:val="none" w:sz="0" w:space="0" w:color="auto"/>
                            <w:right w:val="none" w:sz="0" w:space="0" w:color="auto"/>
                          </w:divBdr>
                        </w:div>
                      </w:divsChild>
                    </w:div>
                    <w:div w:id="294138901">
                      <w:marLeft w:val="0"/>
                      <w:marRight w:val="0"/>
                      <w:marTop w:val="0"/>
                      <w:marBottom w:val="0"/>
                      <w:divBdr>
                        <w:top w:val="none" w:sz="0" w:space="0" w:color="auto"/>
                        <w:left w:val="none" w:sz="0" w:space="0" w:color="auto"/>
                        <w:bottom w:val="none" w:sz="0" w:space="0" w:color="auto"/>
                        <w:right w:val="none" w:sz="0" w:space="0" w:color="auto"/>
                      </w:divBdr>
                    </w:div>
                    <w:div w:id="294139104">
                      <w:marLeft w:val="0"/>
                      <w:marRight w:val="0"/>
                      <w:marTop w:val="0"/>
                      <w:marBottom w:val="0"/>
                      <w:divBdr>
                        <w:top w:val="none" w:sz="0" w:space="0" w:color="auto"/>
                        <w:left w:val="none" w:sz="0" w:space="0" w:color="auto"/>
                        <w:bottom w:val="none" w:sz="0" w:space="0" w:color="auto"/>
                        <w:right w:val="none" w:sz="0" w:space="0" w:color="auto"/>
                      </w:divBdr>
                      <w:divsChild>
                        <w:div w:id="294157356">
                          <w:marLeft w:val="0"/>
                          <w:marRight w:val="0"/>
                          <w:marTop w:val="0"/>
                          <w:marBottom w:val="0"/>
                          <w:divBdr>
                            <w:top w:val="none" w:sz="0" w:space="0" w:color="auto"/>
                            <w:left w:val="none" w:sz="0" w:space="0" w:color="auto"/>
                            <w:bottom w:val="none" w:sz="0" w:space="0" w:color="auto"/>
                            <w:right w:val="none" w:sz="0" w:space="0" w:color="auto"/>
                          </w:divBdr>
                        </w:div>
                      </w:divsChild>
                    </w:div>
                    <w:div w:id="294139140">
                      <w:marLeft w:val="0"/>
                      <w:marRight w:val="0"/>
                      <w:marTop w:val="0"/>
                      <w:marBottom w:val="0"/>
                      <w:divBdr>
                        <w:top w:val="none" w:sz="0" w:space="0" w:color="auto"/>
                        <w:left w:val="none" w:sz="0" w:space="0" w:color="auto"/>
                        <w:bottom w:val="none" w:sz="0" w:space="0" w:color="auto"/>
                        <w:right w:val="none" w:sz="0" w:space="0" w:color="auto"/>
                      </w:divBdr>
                    </w:div>
                    <w:div w:id="294139242">
                      <w:marLeft w:val="0"/>
                      <w:marRight w:val="0"/>
                      <w:marTop w:val="0"/>
                      <w:marBottom w:val="0"/>
                      <w:divBdr>
                        <w:top w:val="none" w:sz="0" w:space="0" w:color="auto"/>
                        <w:left w:val="none" w:sz="0" w:space="0" w:color="auto"/>
                        <w:bottom w:val="none" w:sz="0" w:space="0" w:color="auto"/>
                        <w:right w:val="none" w:sz="0" w:space="0" w:color="auto"/>
                      </w:divBdr>
                    </w:div>
                    <w:div w:id="294139281">
                      <w:marLeft w:val="0"/>
                      <w:marRight w:val="0"/>
                      <w:marTop w:val="0"/>
                      <w:marBottom w:val="0"/>
                      <w:divBdr>
                        <w:top w:val="none" w:sz="0" w:space="0" w:color="auto"/>
                        <w:left w:val="none" w:sz="0" w:space="0" w:color="auto"/>
                        <w:bottom w:val="none" w:sz="0" w:space="0" w:color="auto"/>
                        <w:right w:val="none" w:sz="0" w:space="0" w:color="auto"/>
                      </w:divBdr>
                    </w:div>
                    <w:div w:id="294139305">
                      <w:marLeft w:val="0"/>
                      <w:marRight w:val="0"/>
                      <w:marTop w:val="0"/>
                      <w:marBottom w:val="0"/>
                      <w:divBdr>
                        <w:top w:val="none" w:sz="0" w:space="0" w:color="auto"/>
                        <w:left w:val="none" w:sz="0" w:space="0" w:color="auto"/>
                        <w:bottom w:val="none" w:sz="0" w:space="0" w:color="auto"/>
                        <w:right w:val="none" w:sz="0" w:space="0" w:color="auto"/>
                      </w:divBdr>
                      <w:divsChild>
                        <w:div w:id="294152412">
                          <w:marLeft w:val="0"/>
                          <w:marRight w:val="0"/>
                          <w:marTop w:val="0"/>
                          <w:marBottom w:val="0"/>
                          <w:divBdr>
                            <w:top w:val="none" w:sz="0" w:space="0" w:color="auto"/>
                            <w:left w:val="none" w:sz="0" w:space="0" w:color="auto"/>
                            <w:bottom w:val="none" w:sz="0" w:space="0" w:color="auto"/>
                            <w:right w:val="none" w:sz="0" w:space="0" w:color="auto"/>
                          </w:divBdr>
                        </w:div>
                      </w:divsChild>
                    </w:div>
                    <w:div w:id="294139747">
                      <w:marLeft w:val="0"/>
                      <w:marRight w:val="0"/>
                      <w:marTop w:val="0"/>
                      <w:marBottom w:val="0"/>
                      <w:divBdr>
                        <w:top w:val="none" w:sz="0" w:space="0" w:color="auto"/>
                        <w:left w:val="none" w:sz="0" w:space="0" w:color="auto"/>
                        <w:bottom w:val="none" w:sz="0" w:space="0" w:color="auto"/>
                        <w:right w:val="none" w:sz="0" w:space="0" w:color="auto"/>
                      </w:divBdr>
                      <w:divsChild>
                        <w:div w:id="294139008">
                          <w:marLeft w:val="0"/>
                          <w:marRight w:val="0"/>
                          <w:marTop w:val="0"/>
                          <w:marBottom w:val="0"/>
                          <w:divBdr>
                            <w:top w:val="none" w:sz="0" w:space="0" w:color="auto"/>
                            <w:left w:val="none" w:sz="0" w:space="0" w:color="auto"/>
                            <w:bottom w:val="none" w:sz="0" w:space="0" w:color="auto"/>
                            <w:right w:val="none" w:sz="0" w:space="0" w:color="auto"/>
                          </w:divBdr>
                        </w:div>
                      </w:divsChild>
                    </w:div>
                    <w:div w:id="294139829">
                      <w:marLeft w:val="0"/>
                      <w:marRight w:val="0"/>
                      <w:marTop w:val="0"/>
                      <w:marBottom w:val="0"/>
                      <w:divBdr>
                        <w:top w:val="none" w:sz="0" w:space="0" w:color="auto"/>
                        <w:left w:val="none" w:sz="0" w:space="0" w:color="auto"/>
                        <w:bottom w:val="none" w:sz="0" w:space="0" w:color="auto"/>
                        <w:right w:val="none" w:sz="0" w:space="0" w:color="auto"/>
                      </w:divBdr>
                      <w:divsChild>
                        <w:div w:id="294153426">
                          <w:marLeft w:val="0"/>
                          <w:marRight w:val="0"/>
                          <w:marTop w:val="0"/>
                          <w:marBottom w:val="0"/>
                          <w:divBdr>
                            <w:top w:val="none" w:sz="0" w:space="0" w:color="auto"/>
                            <w:left w:val="none" w:sz="0" w:space="0" w:color="auto"/>
                            <w:bottom w:val="none" w:sz="0" w:space="0" w:color="auto"/>
                            <w:right w:val="none" w:sz="0" w:space="0" w:color="auto"/>
                          </w:divBdr>
                        </w:div>
                      </w:divsChild>
                    </w:div>
                    <w:div w:id="294140008">
                      <w:marLeft w:val="0"/>
                      <w:marRight w:val="0"/>
                      <w:marTop w:val="0"/>
                      <w:marBottom w:val="0"/>
                      <w:divBdr>
                        <w:top w:val="none" w:sz="0" w:space="0" w:color="auto"/>
                        <w:left w:val="none" w:sz="0" w:space="0" w:color="auto"/>
                        <w:bottom w:val="none" w:sz="0" w:space="0" w:color="auto"/>
                        <w:right w:val="none" w:sz="0" w:space="0" w:color="auto"/>
                      </w:divBdr>
                    </w:div>
                    <w:div w:id="294140092">
                      <w:marLeft w:val="0"/>
                      <w:marRight w:val="0"/>
                      <w:marTop w:val="0"/>
                      <w:marBottom w:val="0"/>
                      <w:divBdr>
                        <w:top w:val="none" w:sz="0" w:space="0" w:color="auto"/>
                        <w:left w:val="none" w:sz="0" w:space="0" w:color="auto"/>
                        <w:bottom w:val="none" w:sz="0" w:space="0" w:color="auto"/>
                        <w:right w:val="none" w:sz="0" w:space="0" w:color="auto"/>
                      </w:divBdr>
                    </w:div>
                    <w:div w:id="294140285">
                      <w:marLeft w:val="0"/>
                      <w:marRight w:val="0"/>
                      <w:marTop w:val="0"/>
                      <w:marBottom w:val="0"/>
                      <w:divBdr>
                        <w:top w:val="none" w:sz="0" w:space="0" w:color="auto"/>
                        <w:left w:val="none" w:sz="0" w:space="0" w:color="auto"/>
                        <w:bottom w:val="none" w:sz="0" w:space="0" w:color="auto"/>
                        <w:right w:val="none" w:sz="0" w:space="0" w:color="auto"/>
                      </w:divBdr>
                    </w:div>
                    <w:div w:id="294140412">
                      <w:marLeft w:val="0"/>
                      <w:marRight w:val="0"/>
                      <w:marTop w:val="0"/>
                      <w:marBottom w:val="0"/>
                      <w:divBdr>
                        <w:top w:val="none" w:sz="0" w:space="0" w:color="auto"/>
                        <w:left w:val="none" w:sz="0" w:space="0" w:color="auto"/>
                        <w:bottom w:val="none" w:sz="0" w:space="0" w:color="auto"/>
                        <w:right w:val="none" w:sz="0" w:space="0" w:color="auto"/>
                      </w:divBdr>
                      <w:divsChild>
                        <w:div w:id="294150667">
                          <w:marLeft w:val="0"/>
                          <w:marRight w:val="0"/>
                          <w:marTop w:val="0"/>
                          <w:marBottom w:val="0"/>
                          <w:divBdr>
                            <w:top w:val="none" w:sz="0" w:space="0" w:color="auto"/>
                            <w:left w:val="none" w:sz="0" w:space="0" w:color="auto"/>
                            <w:bottom w:val="none" w:sz="0" w:space="0" w:color="auto"/>
                            <w:right w:val="none" w:sz="0" w:space="0" w:color="auto"/>
                          </w:divBdr>
                        </w:div>
                      </w:divsChild>
                    </w:div>
                    <w:div w:id="294140442">
                      <w:marLeft w:val="0"/>
                      <w:marRight w:val="0"/>
                      <w:marTop w:val="0"/>
                      <w:marBottom w:val="0"/>
                      <w:divBdr>
                        <w:top w:val="none" w:sz="0" w:space="0" w:color="auto"/>
                        <w:left w:val="none" w:sz="0" w:space="0" w:color="auto"/>
                        <w:bottom w:val="none" w:sz="0" w:space="0" w:color="auto"/>
                        <w:right w:val="none" w:sz="0" w:space="0" w:color="auto"/>
                      </w:divBdr>
                    </w:div>
                    <w:div w:id="294140460">
                      <w:marLeft w:val="0"/>
                      <w:marRight w:val="0"/>
                      <w:marTop w:val="0"/>
                      <w:marBottom w:val="0"/>
                      <w:divBdr>
                        <w:top w:val="none" w:sz="0" w:space="0" w:color="auto"/>
                        <w:left w:val="none" w:sz="0" w:space="0" w:color="auto"/>
                        <w:bottom w:val="none" w:sz="0" w:space="0" w:color="auto"/>
                        <w:right w:val="none" w:sz="0" w:space="0" w:color="auto"/>
                      </w:divBdr>
                    </w:div>
                    <w:div w:id="294140500">
                      <w:marLeft w:val="0"/>
                      <w:marRight w:val="0"/>
                      <w:marTop w:val="0"/>
                      <w:marBottom w:val="0"/>
                      <w:divBdr>
                        <w:top w:val="none" w:sz="0" w:space="0" w:color="auto"/>
                        <w:left w:val="none" w:sz="0" w:space="0" w:color="auto"/>
                        <w:bottom w:val="none" w:sz="0" w:space="0" w:color="auto"/>
                        <w:right w:val="none" w:sz="0" w:space="0" w:color="auto"/>
                      </w:divBdr>
                      <w:divsChild>
                        <w:div w:id="294157348">
                          <w:marLeft w:val="0"/>
                          <w:marRight w:val="0"/>
                          <w:marTop w:val="0"/>
                          <w:marBottom w:val="0"/>
                          <w:divBdr>
                            <w:top w:val="none" w:sz="0" w:space="0" w:color="auto"/>
                            <w:left w:val="none" w:sz="0" w:space="0" w:color="auto"/>
                            <w:bottom w:val="none" w:sz="0" w:space="0" w:color="auto"/>
                            <w:right w:val="none" w:sz="0" w:space="0" w:color="auto"/>
                          </w:divBdr>
                        </w:div>
                      </w:divsChild>
                    </w:div>
                    <w:div w:id="294140674">
                      <w:marLeft w:val="0"/>
                      <w:marRight w:val="0"/>
                      <w:marTop w:val="0"/>
                      <w:marBottom w:val="0"/>
                      <w:divBdr>
                        <w:top w:val="none" w:sz="0" w:space="0" w:color="auto"/>
                        <w:left w:val="none" w:sz="0" w:space="0" w:color="auto"/>
                        <w:bottom w:val="none" w:sz="0" w:space="0" w:color="auto"/>
                        <w:right w:val="none" w:sz="0" w:space="0" w:color="auto"/>
                      </w:divBdr>
                    </w:div>
                    <w:div w:id="294140798">
                      <w:marLeft w:val="0"/>
                      <w:marRight w:val="0"/>
                      <w:marTop w:val="0"/>
                      <w:marBottom w:val="0"/>
                      <w:divBdr>
                        <w:top w:val="none" w:sz="0" w:space="0" w:color="auto"/>
                        <w:left w:val="none" w:sz="0" w:space="0" w:color="auto"/>
                        <w:bottom w:val="none" w:sz="0" w:space="0" w:color="auto"/>
                        <w:right w:val="none" w:sz="0" w:space="0" w:color="auto"/>
                      </w:divBdr>
                      <w:divsChild>
                        <w:div w:id="294140200">
                          <w:marLeft w:val="0"/>
                          <w:marRight w:val="0"/>
                          <w:marTop w:val="0"/>
                          <w:marBottom w:val="0"/>
                          <w:divBdr>
                            <w:top w:val="none" w:sz="0" w:space="0" w:color="auto"/>
                            <w:left w:val="none" w:sz="0" w:space="0" w:color="auto"/>
                            <w:bottom w:val="none" w:sz="0" w:space="0" w:color="auto"/>
                            <w:right w:val="none" w:sz="0" w:space="0" w:color="auto"/>
                          </w:divBdr>
                        </w:div>
                      </w:divsChild>
                    </w:div>
                    <w:div w:id="294140820">
                      <w:marLeft w:val="0"/>
                      <w:marRight w:val="0"/>
                      <w:marTop w:val="0"/>
                      <w:marBottom w:val="0"/>
                      <w:divBdr>
                        <w:top w:val="none" w:sz="0" w:space="0" w:color="auto"/>
                        <w:left w:val="none" w:sz="0" w:space="0" w:color="auto"/>
                        <w:bottom w:val="none" w:sz="0" w:space="0" w:color="auto"/>
                        <w:right w:val="none" w:sz="0" w:space="0" w:color="auto"/>
                      </w:divBdr>
                    </w:div>
                    <w:div w:id="294140836">
                      <w:marLeft w:val="0"/>
                      <w:marRight w:val="0"/>
                      <w:marTop w:val="0"/>
                      <w:marBottom w:val="0"/>
                      <w:divBdr>
                        <w:top w:val="none" w:sz="0" w:space="0" w:color="auto"/>
                        <w:left w:val="none" w:sz="0" w:space="0" w:color="auto"/>
                        <w:bottom w:val="none" w:sz="0" w:space="0" w:color="auto"/>
                        <w:right w:val="none" w:sz="0" w:space="0" w:color="auto"/>
                      </w:divBdr>
                      <w:divsChild>
                        <w:div w:id="294146041">
                          <w:marLeft w:val="0"/>
                          <w:marRight w:val="0"/>
                          <w:marTop w:val="0"/>
                          <w:marBottom w:val="0"/>
                          <w:divBdr>
                            <w:top w:val="none" w:sz="0" w:space="0" w:color="auto"/>
                            <w:left w:val="none" w:sz="0" w:space="0" w:color="auto"/>
                            <w:bottom w:val="none" w:sz="0" w:space="0" w:color="auto"/>
                            <w:right w:val="none" w:sz="0" w:space="0" w:color="auto"/>
                          </w:divBdr>
                        </w:div>
                      </w:divsChild>
                    </w:div>
                    <w:div w:id="294141056">
                      <w:marLeft w:val="0"/>
                      <w:marRight w:val="0"/>
                      <w:marTop w:val="0"/>
                      <w:marBottom w:val="0"/>
                      <w:divBdr>
                        <w:top w:val="none" w:sz="0" w:space="0" w:color="auto"/>
                        <w:left w:val="none" w:sz="0" w:space="0" w:color="auto"/>
                        <w:bottom w:val="none" w:sz="0" w:space="0" w:color="auto"/>
                        <w:right w:val="none" w:sz="0" w:space="0" w:color="auto"/>
                      </w:divBdr>
                      <w:divsChild>
                        <w:div w:id="294148946">
                          <w:marLeft w:val="0"/>
                          <w:marRight w:val="0"/>
                          <w:marTop w:val="0"/>
                          <w:marBottom w:val="0"/>
                          <w:divBdr>
                            <w:top w:val="none" w:sz="0" w:space="0" w:color="auto"/>
                            <w:left w:val="none" w:sz="0" w:space="0" w:color="auto"/>
                            <w:bottom w:val="none" w:sz="0" w:space="0" w:color="auto"/>
                            <w:right w:val="none" w:sz="0" w:space="0" w:color="auto"/>
                          </w:divBdr>
                        </w:div>
                      </w:divsChild>
                    </w:div>
                    <w:div w:id="294141076">
                      <w:marLeft w:val="0"/>
                      <w:marRight w:val="0"/>
                      <w:marTop w:val="0"/>
                      <w:marBottom w:val="0"/>
                      <w:divBdr>
                        <w:top w:val="none" w:sz="0" w:space="0" w:color="auto"/>
                        <w:left w:val="none" w:sz="0" w:space="0" w:color="auto"/>
                        <w:bottom w:val="none" w:sz="0" w:space="0" w:color="auto"/>
                        <w:right w:val="none" w:sz="0" w:space="0" w:color="auto"/>
                      </w:divBdr>
                      <w:divsChild>
                        <w:div w:id="294154702">
                          <w:marLeft w:val="0"/>
                          <w:marRight w:val="0"/>
                          <w:marTop w:val="0"/>
                          <w:marBottom w:val="0"/>
                          <w:divBdr>
                            <w:top w:val="none" w:sz="0" w:space="0" w:color="auto"/>
                            <w:left w:val="none" w:sz="0" w:space="0" w:color="auto"/>
                            <w:bottom w:val="none" w:sz="0" w:space="0" w:color="auto"/>
                            <w:right w:val="none" w:sz="0" w:space="0" w:color="auto"/>
                          </w:divBdr>
                        </w:div>
                      </w:divsChild>
                    </w:div>
                    <w:div w:id="294141091">
                      <w:marLeft w:val="0"/>
                      <w:marRight w:val="0"/>
                      <w:marTop w:val="0"/>
                      <w:marBottom w:val="0"/>
                      <w:divBdr>
                        <w:top w:val="none" w:sz="0" w:space="0" w:color="auto"/>
                        <w:left w:val="none" w:sz="0" w:space="0" w:color="auto"/>
                        <w:bottom w:val="none" w:sz="0" w:space="0" w:color="auto"/>
                        <w:right w:val="none" w:sz="0" w:space="0" w:color="auto"/>
                      </w:divBdr>
                      <w:divsChild>
                        <w:div w:id="294150360">
                          <w:marLeft w:val="0"/>
                          <w:marRight w:val="0"/>
                          <w:marTop w:val="0"/>
                          <w:marBottom w:val="0"/>
                          <w:divBdr>
                            <w:top w:val="none" w:sz="0" w:space="0" w:color="auto"/>
                            <w:left w:val="none" w:sz="0" w:space="0" w:color="auto"/>
                            <w:bottom w:val="none" w:sz="0" w:space="0" w:color="auto"/>
                            <w:right w:val="none" w:sz="0" w:space="0" w:color="auto"/>
                          </w:divBdr>
                        </w:div>
                      </w:divsChild>
                    </w:div>
                    <w:div w:id="294141222">
                      <w:marLeft w:val="0"/>
                      <w:marRight w:val="0"/>
                      <w:marTop w:val="0"/>
                      <w:marBottom w:val="0"/>
                      <w:divBdr>
                        <w:top w:val="none" w:sz="0" w:space="0" w:color="auto"/>
                        <w:left w:val="none" w:sz="0" w:space="0" w:color="auto"/>
                        <w:bottom w:val="none" w:sz="0" w:space="0" w:color="auto"/>
                        <w:right w:val="none" w:sz="0" w:space="0" w:color="auto"/>
                      </w:divBdr>
                      <w:divsChild>
                        <w:div w:id="294156427">
                          <w:marLeft w:val="0"/>
                          <w:marRight w:val="0"/>
                          <w:marTop w:val="0"/>
                          <w:marBottom w:val="0"/>
                          <w:divBdr>
                            <w:top w:val="none" w:sz="0" w:space="0" w:color="auto"/>
                            <w:left w:val="none" w:sz="0" w:space="0" w:color="auto"/>
                            <w:bottom w:val="none" w:sz="0" w:space="0" w:color="auto"/>
                            <w:right w:val="none" w:sz="0" w:space="0" w:color="auto"/>
                          </w:divBdr>
                        </w:div>
                      </w:divsChild>
                    </w:div>
                    <w:div w:id="294141353">
                      <w:marLeft w:val="0"/>
                      <w:marRight w:val="0"/>
                      <w:marTop w:val="0"/>
                      <w:marBottom w:val="0"/>
                      <w:divBdr>
                        <w:top w:val="none" w:sz="0" w:space="0" w:color="auto"/>
                        <w:left w:val="none" w:sz="0" w:space="0" w:color="auto"/>
                        <w:bottom w:val="none" w:sz="0" w:space="0" w:color="auto"/>
                        <w:right w:val="none" w:sz="0" w:space="0" w:color="auto"/>
                      </w:divBdr>
                      <w:divsChild>
                        <w:div w:id="294157062">
                          <w:marLeft w:val="0"/>
                          <w:marRight w:val="0"/>
                          <w:marTop w:val="0"/>
                          <w:marBottom w:val="0"/>
                          <w:divBdr>
                            <w:top w:val="none" w:sz="0" w:space="0" w:color="auto"/>
                            <w:left w:val="none" w:sz="0" w:space="0" w:color="auto"/>
                            <w:bottom w:val="none" w:sz="0" w:space="0" w:color="auto"/>
                            <w:right w:val="none" w:sz="0" w:space="0" w:color="auto"/>
                          </w:divBdr>
                        </w:div>
                      </w:divsChild>
                    </w:div>
                    <w:div w:id="294141466">
                      <w:marLeft w:val="0"/>
                      <w:marRight w:val="0"/>
                      <w:marTop w:val="0"/>
                      <w:marBottom w:val="0"/>
                      <w:divBdr>
                        <w:top w:val="none" w:sz="0" w:space="0" w:color="auto"/>
                        <w:left w:val="none" w:sz="0" w:space="0" w:color="auto"/>
                        <w:bottom w:val="none" w:sz="0" w:space="0" w:color="auto"/>
                        <w:right w:val="none" w:sz="0" w:space="0" w:color="auto"/>
                      </w:divBdr>
                      <w:divsChild>
                        <w:div w:id="294145601">
                          <w:marLeft w:val="0"/>
                          <w:marRight w:val="0"/>
                          <w:marTop w:val="0"/>
                          <w:marBottom w:val="0"/>
                          <w:divBdr>
                            <w:top w:val="none" w:sz="0" w:space="0" w:color="auto"/>
                            <w:left w:val="none" w:sz="0" w:space="0" w:color="auto"/>
                            <w:bottom w:val="none" w:sz="0" w:space="0" w:color="auto"/>
                            <w:right w:val="none" w:sz="0" w:space="0" w:color="auto"/>
                          </w:divBdr>
                        </w:div>
                      </w:divsChild>
                    </w:div>
                    <w:div w:id="294141533">
                      <w:marLeft w:val="0"/>
                      <w:marRight w:val="0"/>
                      <w:marTop w:val="0"/>
                      <w:marBottom w:val="0"/>
                      <w:divBdr>
                        <w:top w:val="none" w:sz="0" w:space="0" w:color="auto"/>
                        <w:left w:val="none" w:sz="0" w:space="0" w:color="auto"/>
                        <w:bottom w:val="none" w:sz="0" w:space="0" w:color="auto"/>
                        <w:right w:val="none" w:sz="0" w:space="0" w:color="auto"/>
                      </w:divBdr>
                    </w:div>
                    <w:div w:id="294141630">
                      <w:marLeft w:val="0"/>
                      <w:marRight w:val="0"/>
                      <w:marTop w:val="0"/>
                      <w:marBottom w:val="0"/>
                      <w:divBdr>
                        <w:top w:val="none" w:sz="0" w:space="0" w:color="auto"/>
                        <w:left w:val="none" w:sz="0" w:space="0" w:color="auto"/>
                        <w:bottom w:val="none" w:sz="0" w:space="0" w:color="auto"/>
                        <w:right w:val="none" w:sz="0" w:space="0" w:color="auto"/>
                      </w:divBdr>
                      <w:divsChild>
                        <w:div w:id="294145825">
                          <w:marLeft w:val="0"/>
                          <w:marRight w:val="0"/>
                          <w:marTop w:val="0"/>
                          <w:marBottom w:val="0"/>
                          <w:divBdr>
                            <w:top w:val="none" w:sz="0" w:space="0" w:color="auto"/>
                            <w:left w:val="none" w:sz="0" w:space="0" w:color="auto"/>
                            <w:bottom w:val="none" w:sz="0" w:space="0" w:color="auto"/>
                            <w:right w:val="none" w:sz="0" w:space="0" w:color="auto"/>
                          </w:divBdr>
                        </w:div>
                      </w:divsChild>
                    </w:div>
                    <w:div w:id="294141808">
                      <w:marLeft w:val="0"/>
                      <w:marRight w:val="0"/>
                      <w:marTop w:val="0"/>
                      <w:marBottom w:val="0"/>
                      <w:divBdr>
                        <w:top w:val="none" w:sz="0" w:space="0" w:color="auto"/>
                        <w:left w:val="none" w:sz="0" w:space="0" w:color="auto"/>
                        <w:bottom w:val="none" w:sz="0" w:space="0" w:color="auto"/>
                        <w:right w:val="none" w:sz="0" w:space="0" w:color="auto"/>
                      </w:divBdr>
                      <w:divsChild>
                        <w:div w:id="294142766">
                          <w:marLeft w:val="0"/>
                          <w:marRight w:val="0"/>
                          <w:marTop w:val="0"/>
                          <w:marBottom w:val="0"/>
                          <w:divBdr>
                            <w:top w:val="none" w:sz="0" w:space="0" w:color="auto"/>
                            <w:left w:val="none" w:sz="0" w:space="0" w:color="auto"/>
                            <w:bottom w:val="none" w:sz="0" w:space="0" w:color="auto"/>
                            <w:right w:val="none" w:sz="0" w:space="0" w:color="auto"/>
                          </w:divBdr>
                        </w:div>
                      </w:divsChild>
                    </w:div>
                    <w:div w:id="294141934">
                      <w:marLeft w:val="0"/>
                      <w:marRight w:val="0"/>
                      <w:marTop w:val="0"/>
                      <w:marBottom w:val="0"/>
                      <w:divBdr>
                        <w:top w:val="none" w:sz="0" w:space="0" w:color="auto"/>
                        <w:left w:val="none" w:sz="0" w:space="0" w:color="auto"/>
                        <w:bottom w:val="none" w:sz="0" w:space="0" w:color="auto"/>
                        <w:right w:val="none" w:sz="0" w:space="0" w:color="auto"/>
                      </w:divBdr>
                      <w:divsChild>
                        <w:div w:id="294141215">
                          <w:marLeft w:val="0"/>
                          <w:marRight w:val="0"/>
                          <w:marTop w:val="0"/>
                          <w:marBottom w:val="0"/>
                          <w:divBdr>
                            <w:top w:val="none" w:sz="0" w:space="0" w:color="auto"/>
                            <w:left w:val="none" w:sz="0" w:space="0" w:color="auto"/>
                            <w:bottom w:val="none" w:sz="0" w:space="0" w:color="auto"/>
                            <w:right w:val="none" w:sz="0" w:space="0" w:color="auto"/>
                          </w:divBdr>
                        </w:div>
                      </w:divsChild>
                    </w:div>
                    <w:div w:id="294141983">
                      <w:marLeft w:val="0"/>
                      <w:marRight w:val="0"/>
                      <w:marTop w:val="0"/>
                      <w:marBottom w:val="0"/>
                      <w:divBdr>
                        <w:top w:val="none" w:sz="0" w:space="0" w:color="auto"/>
                        <w:left w:val="none" w:sz="0" w:space="0" w:color="auto"/>
                        <w:bottom w:val="none" w:sz="0" w:space="0" w:color="auto"/>
                        <w:right w:val="none" w:sz="0" w:space="0" w:color="auto"/>
                      </w:divBdr>
                      <w:divsChild>
                        <w:div w:id="294146323">
                          <w:marLeft w:val="0"/>
                          <w:marRight w:val="0"/>
                          <w:marTop w:val="0"/>
                          <w:marBottom w:val="0"/>
                          <w:divBdr>
                            <w:top w:val="none" w:sz="0" w:space="0" w:color="auto"/>
                            <w:left w:val="none" w:sz="0" w:space="0" w:color="auto"/>
                            <w:bottom w:val="none" w:sz="0" w:space="0" w:color="auto"/>
                            <w:right w:val="none" w:sz="0" w:space="0" w:color="auto"/>
                          </w:divBdr>
                        </w:div>
                      </w:divsChild>
                    </w:div>
                    <w:div w:id="294142071">
                      <w:marLeft w:val="0"/>
                      <w:marRight w:val="0"/>
                      <w:marTop w:val="0"/>
                      <w:marBottom w:val="0"/>
                      <w:divBdr>
                        <w:top w:val="none" w:sz="0" w:space="0" w:color="auto"/>
                        <w:left w:val="none" w:sz="0" w:space="0" w:color="auto"/>
                        <w:bottom w:val="none" w:sz="0" w:space="0" w:color="auto"/>
                        <w:right w:val="none" w:sz="0" w:space="0" w:color="auto"/>
                      </w:divBdr>
                      <w:divsChild>
                        <w:div w:id="294155591">
                          <w:marLeft w:val="0"/>
                          <w:marRight w:val="0"/>
                          <w:marTop w:val="0"/>
                          <w:marBottom w:val="0"/>
                          <w:divBdr>
                            <w:top w:val="none" w:sz="0" w:space="0" w:color="auto"/>
                            <w:left w:val="none" w:sz="0" w:space="0" w:color="auto"/>
                            <w:bottom w:val="none" w:sz="0" w:space="0" w:color="auto"/>
                            <w:right w:val="none" w:sz="0" w:space="0" w:color="auto"/>
                          </w:divBdr>
                        </w:div>
                      </w:divsChild>
                    </w:div>
                    <w:div w:id="294142261">
                      <w:marLeft w:val="0"/>
                      <w:marRight w:val="0"/>
                      <w:marTop w:val="0"/>
                      <w:marBottom w:val="0"/>
                      <w:divBdr>
                        <w:top w:val="none" w:sz="0" w:space="0" w:color="auto"/>
                        <w:left w:val="none" w:sz="0" w:space="0" w:color="auto"/>
                        <w:bottom w:val="none" w:sz="0" w:space="0" w:color="auto"/>
                        <w:right w:val="none" w:sz="0" w:space="0" w:color="auto"/>
                      </w:divBdr>
                    </w:div>
                    <w:div w:id="294142316">
                      <w:marLeft w:val="0"/>
                      <w:marRight w:val="0"/>
                      <w:marTop w:val="0"/>
                      <w:marBottom w:val="0"/>
                      <w:divBdr>
                        <w:top w:val="none" w:sz="0" w:space="0" w:color="auto"/>
                        <w:left w:val="none" w:sz="0" w:space="0" w:color="auto"/>
                        <w:bottom w:val="none" w:sz="0" w:space="0" w:color="auto"/>
                        <w:right w:val="none" w:sz="0" w:space="0" w:color="auto"/>
                      </w:divBdr>
                    </w:div>
                    <w:div w:id="294142323">
                      <w:marLeft w:val="0"/>
                      <w:marRight w:val="0"/>
                      <w:marTop w:val="0"/>
                      <w:marBottom w:val="0"/>
                      <w:divBdr>
                        <w:top w:val="none" w:sz="0" w:space="0" w:color="auto"/>
                        <w:left w:val="none" w:sz="0" w:space="0" w:color="auto"/>
                        <w:bottom w:val="none" w:sz="0" w:space="0" w:color="auto"/>
                        <w:right w:val="none" w:sz="0" w:space="0" w:color="auto"/>
                      </w:divBdr>
                      <w:divsChild>
                        <w:div w:id="294139574">
                          <w:marLeft w:val="0"/>
                          <w:marRight w:val="0"/>
                          <w:marTop w:val="0"/>
                          <w:marBottom w:val="0"/>
                          <w:divBdr>
                            <w:top w:val="none" w:sz="0" w:space="0" w:color="auto"/>
                            <w:left w:val="none" w:sz="0" w:space="0" w:color="auto"/>
                            <w:bottom w:val="none" w:sz="0" w:space="0" w:color="auto"/>
                            <w:right w:val="none" w:sz="0" w:space="0" w:color="auto"/>
                          </w:divBdr>
                        </w:div>
                      </w:divsChild>
                    </w:div>
                    <w:div w:id="294142365">
                      <w:marLeft w:val="0"/>
                      <w:marRight w:val="0"/>
                      <w:marTop w:val="0"/>
                      <w:marBottom w:val="0"/>
                      <w:divBdr>
                        <w:top w:val="none" w:sz="0" w:space="0" w:color="auto"/>
                        <w:left w:val="none" w:sz="0" w:space="0" w:color="auto"/>
                        <w:bottom w:val="none" w:sz="0" w:space="0" w:color="auto"/>
                        <w:right w:val="none" w:sz="0" w:space="0" w:color="auto"/>
                      </w:divBdr>
                    </w:div>
                    <w:div w:id="294142497">
                      <w:marLeft w:val="0"/>
                      <w:marRight w:val="0"/>
                      <w:marTop w:val="0"/>
                      <w:marBottom w:val="0"/>
                      <w:divBdr>
                        <w:top w:val="none" w:sz="0" w:space="0" w:color="auto"/>
                        <w:left w:val="none" w:sz="0" w:space="0" w:color="auto"/>
                        <w:bottom w:val="none" w:sz="0" w:space="0" w:color="auto"/>
                        <w:right w:val="none" w:sz="0" w:space="0" w:color="auto"/>
                      </w:divBdr>
                      <w:divsChild>
                        <w:div w:id="294149092">
                          <w:marLeft w:val="0"/>
                          <w:marRight w:val="0"/>
                          <w:marTop w:val="0"/>
                          <w:marBottom w:val="0"/>
                          <w:divBdr>
                            <w:top w:val="none" w:sz="0" w:space="0" w:color="auto"/>
                            <w:left w:val="none" w:sz="0" w:space="0" w:color="auto"/>
                            <w:bottom w:val="none" w:sz="0" w:space="0" w:color="auto"/>
                            <w:right w:val="none" w:sz="0" w:space="0" w:color="auto"/>
                          </w:divBdr>
                        </w:div>
                      </w:divsChild>
                    </w:div>
                    <w:div w:id="294142533">
                      <w:marLeft w:val="0"/>
                      <w:marRight w:val="0"/>
                      <w:marTop w:val="0"/>
                      <w:marBottom w:val="0"/>
                      <w:divBdr>
                        <w:top w:val="none" w:sz="0" w:space="0" w:color="auto"/>
                        <w:left w:val="none" w:sz="0" w:space="0" w:color="auto"/>
                        <w:bottom w:val="none" w:sz="0" w:space="0" w:color="auto"/>
                        <w:right w:val="none" w:sz="0" w:space="0" w:color="auto"/>
                      </w:divBdr>
                    </w:div>
                    <w:div w:id="294142549">
                      <w:marLeft w:val="0"/>
                      <w:marRight w:val="0"/>
                      <w:marTop w:val="0"/>
                      <w:marBottom w:val="0"/>
                      <w:divBdr>
                        <w:top w:val="none" w:sz="0" w:space="0" w:color="auto"/>
                        <w:left w:val="none" w:sz="0" w:space="0" w:color="auto"/>
                        <w:bottom w:val="none" w:sz="0" w:space="0" w:color="auto"/>
                        <w:right w:val="none" w:sz="0" w:space="0" w:color="auto"/>
                      </w:divBdr>
                    </w:div>
                    <w:div w:id="294142568">
                      <w:marLeft w:val="0"/>
                      <w:marRight w:val="0"/>
                      <w:marTop w:val="0"/>
                      <w:marBottom w:val="0"/>
                      <w:divBdr>
                        <w:top w:val="none" w:sz="0" w:space="0" w:color="auto"/>
                        <w:left w:val="none" w:sz="0" w:space="0" w:color="auto"/>
                        <w:bottom w:val="none" w:sz="0" w:space="0" w:color="auto"/>
                        <w:right w:val="none" w:sz="0" w:space="0" w:color="auto"/>
                      </w:divBdr>
                    </w:div>
                    <w:div w:id="294142960">
                      <w:marLeft w:val="0"/>
                      <w:marRight w:val="0"/>
                      <w:marTop w:val="0"/>
                      <w:marBottom w:val="0"/>
                      <w:divBdr>
                        <w:top w:val="none" w:sz="0" w:space="0" w:color="auto"/>
                        <w:left w:val="none" w:sz="0" w:space="0" w:color="auto"/>
                        <w:bottom w:val="none" w:sz="0" w:space="0" w:color="auto"/>
                        <w:right w:val="none" w:sz="0" w:space="0" w:color="auto"/>
                      </w:divBdr>
                    </w:div>
                    <w:div w:id="294143000">
                      <w:marLeft w:val="0"/>
                      <w:marRight w:val="0"/>
                      <w:marTop w:val="0"/>
                      <w:marBottom w:val="0"/>
                      <w:divBdr>
                        <w:top w:val="none" w:sz="0" w:space="0" w:color="auto"/>
                        <w:left w:val="none" w:sz="0" w:space="0" w:color="auto"/>
                        <w:bottom w:val="none" w:sz="0" w:space="0" w:color="auto"/>
                        <w:right w:val="none" w:sz="0" w:space="0" w:color="auto"/>
                      </w:divBdr>
                      <w:divsChild>
                        <w:div w:id="294147413">
                          <w:marLeft w:val="0"/>
                          <w:marRight w:val="0"/>
                          <w:marTop w:val="0"/>
                          <w:marBottom w:val="0"/>
                          <w:divBdr>
                            <w:top w:val="none" w:sz="0" w:space="0" w:color="auto"/>
                            <w:left w:val="none" w:sz="0" w:space="0" w:color="auto"/>
                            <w:bottom w:val="none" w:sz="0" w:space="0" w:color="auto"/>
                            <w:right w:val="none" w:sz="0" w:space="0" w:color="auto"/>
                          </w:divBdr>
                        </w:div>
                      </w:divsChild>
                    </w:div>
                    <w:div w:id="294143197">
                      <w:marLeft w:val="0"/>
                      <w:marRight w:val="0"/>
                      <w:marTop w:val="0"/>
                      <w:marBottom w:val="0"/>
                      <w:divBdr>
                        <w:top w:val="none" w:sz="0" w:space="0" w:color="auto"/>
                        <w:left w:val="none" w:sz="0" w:space="0" w:color="auto"/>
                        <w:bottom w:val="none" w:sz="0" w:space="0" w:color="auto"/>
                        <w:right w:val="none" w:sz="0" w:space="0" w:color="auto"/>
                      </w:divBdr>
                    </w:div>
                    <w:div w:id="294143251">
                      <w:marLeft w:val="0"/>
                      <w:marRight w:val="0"/>
                      <w:marTop w:val="0"/>
                      <w:marBottom w:val="0"/>
                      <w:divBdr>
                        <w:top w:val="none" w:sz="0" w:space="0" w:color="auto"/>
                        <w:left w:val="none" w:sz="0" w:space="0" w:color="auto"/>
                        <w:bottom w:val="none" w:sz="0" w:space="0" w:color="auto"/>
                        <w:right w:val="none" w:sz="0" w:space="0" w:color="auto"/>
                      </w:divBdr>
                      <w:divsChild>
                        <w:div w:id="294149323">
                          <w:marLeft w:val="0"/>
                          <w:marRight w:val="0"/>
                          <w:marTop w:val="0"/>
                          <w:marBottom w:val="0"/>
                          <w:divBdr>
                            <w:top w:val="none" w:sz="0" w:space="0" w:color="auto"/>
                            <w:left w:val="none" w:sz="0" w:space="0" w:color="auto"/>
                            <w:bottom w:val="none" w:sz="0" w:space="0" w:color="auto"/>
                            <w:right w:val="none" w:sz="0" w:space="0" w:color="auto"/>
                          </w:divBdr>
                        </w:div>
                      </w:divsChild>
                    </w:div>
                    <w:div w:id="294143272">
                      <w:marLeft w:val="0"/>
                      <w:marRight w:val="0"/>
                      <w:marTop w:val="0"/>
                      <w:marBottom w:val="0"/>
                      <w:divBdr>
                        <w:top w:val="none" w:sz="0" w:space="0" w:color="auto"/>
                        <w:left w:val="none" w:sz="0" w:space="0" w:color="auto"/>
                        <w:bottom w:val="none" w:sz="0" w:space="0" w:color="auto"/>
                        <w:right w:val="none" w:sz="0" w:space="0" w:color="auto"/>
                      </w:divBdr>
                    </w:div>
                    <w:div w:id="294143367">
                      <w:marLeft w:val="0"/>
                      <w:marRight w:val="0"/>
                      <w:marTop w:val="0"/>
                      <w:marBottom w:val="0"/>
                      <w:divBdr>
                        <w:top w:val="none" w:sz="0" w:space="0" w:color="auto"/>
                        <w:left w:val="none" w:sz="0" w:space="0" w:color="auto"/>
                        <w:bottom w:val="none" w:sz="0" w:space="0" w:color="auto"/>
                        <w:right w:val="none" w:sz="0" w:space="0" w:color="auto"/>
                      </w:divBdr>
                      <w:divsChild>
                        <w:div w:id="294144971">
                          <w:marLeft w:val="0"/>
                          <w:marRight w:val="0"/>
                          <w:marTop w:val="0"/>
                          <w:marBottom w:val="0"/>
                          <w:divBdr>
                            <w:top w:val="none" w:sz="0" w:space="0" w:color="auto"/>
                            <w:left w:val="none" w:sz="0" w:space="0" w:color="auto"/>
                            <w:bottom w:val="none" w:sz="0" w:space="0" w:color="auto"/>
                            <w:right w:val="none" w:sz="0" w:space="0" w:color="auto"/>
                          </w:divBdr>
                        </w:div>
                      </w:divsChild>
                    </w:div>
                    <w:div w:id="294143726">
                      <w:marLeft w:val="0"/>
                      <w:marRight w:val="0"/>
                      <w:marTop w:val="0"/>
                      <w:marBottom w:val="0"/>
                      <w:divBdr>
                        <w:top w:val="none" w:sz="0" w:space="0" w:color="auto"/>
                        <w:left w:val="none" w:sz="0" w:space="0" w:color="auto"/>
                        <w:bottom w:val="none" w:sz="0" w:space="0" w:color="auto"/>
                        <w:right w:val="none" w:sz="0" w:space="0" w:color="auto"/>
                      </w:divBdr>
                    </w:div>
                    <w:div w:id="294143820">
                      <w:marLeft w:val="0"/>
                      <w:marRight w:val="0"/>
                      <w:marTop w:val="0"/>
                      <w:marBottom w:val="0"/>
                      <w:divBdr>
                        <w:top w:val="none" w:sz="0" w:space="0" w:color="auto"/>
                        <w:left w:val="none" w:sz="0" w:space="0" w:color="auto"/>
                        <w:bottom w:val="none" w:sz="0" w:space="0" w:color="auto"/>
                        <w:right w:val="none" w:sz="0" w:space="0" w:color="auto"/>
                      </w:divBdr>
                    </w:div>
                    <w:div w:id="294143899">
                      <w:marLeft w:val="0"/>
                      <w:marRight w:val="0"/>
                      <w:marTop w:val="0"/>
                      <w:marBottom w:val="0"/>
                      <w:divBdr>
                        <w:top w:val="none" w:sz="0" w:space="0" w:color="auto"/>
                        <w:left w:val="none" w:sz="0" w:space="0" w:color="auto"/>
                        <w:bottom w:val="none" w:sz="0" w:space="0" w:color="auto"/>
                        <w:right w:val="none" w:sz="0" w:space="0" w:color="auto"/>
                      </w:divBdr>
                      <w:divsChild>
                        <w:div w:id="294153281">
                          <w:marLeft w:val="0"/>
                          <w:marRight w:val="0"/>
                          <w:marTop w:val="0"/>
                          <w:marBottom w:val="0"/>
                          <w:divBdr>
                            <w:top w:val="none" w:sz="0" w:space="0" w:color="auto"/>
                            <w:left w:val="none" w:sz="0" w:space="0" w:color="auto"/>
                            <w:bottom w:val="none" w:sz="0" w:space="0" w:color="auto"/>
                            <w:right w:val="none" w:sz="0" w:space="0" w:color="auto"/>
                          </w:divBdr>
                        </w:div>
                      </w:divsChild>
                    </w:div>
                    <w:div w:id="294143985">
                      <w:marLeft w:val="0"/>
                      <w:marRight w:val="0"/>
                      <w:marTop w:val="0"/>
                      <w:marBottom w:val="0"/>
                      <w:divBdr>
                        <w:top w:val="none" w:sz="0" w:space="0" w:color="auto"/>
                        <w:left w:val="none" w:sz="0" w:space="0" w:color="auto"/>
                        <w:bottom w:val="none" w:sz="0" w:space="0" w:color="auto"/>
                        <w:right w:val="none" w:sz="0" w:space="0" w:color="auto"/>
                      </w:divBdr>
                    </w:div>
                    <w:div w:id="294143989">
                      <w:marLeft w:val="0"/>
                      <w:marRight w:val="0"/>
                      <w:marTop w:val="0"/>
                      <w:marBottom w:val="0"/>
                      <w:divBdr>
                        <w:top w:val="none" w:sz="0" w:space="0" w:color="auto"/>
                        <w:left w:val="none" w:sz="0" w:space="0" w:color="auto"/>
                        <w:bottom w:val="none" w:sz="0" w:space="0" w:color="auto"/>
                        <w:right w:val="none" w:sz="0" w:space="0" w:color="auto"/>
                      </w:divBdr>
                      <w:divsChild>
                        <w:div w:id="294148084">
                          <w:marLeft w:val="0"/>
                          <w:marRight w:val="0"/>
                          <w:marTop w:val="0"/>
                          <w:marBottom w:val="0"/>
                          <w:divBdr>
                            <w:top w:val="none" w:sz="0" w:space="0" w:color="auto"/>
                            <w:left w:val="none" w:sz="0" w:space="0" w:color="auto"/>
                            <w:bottom w:val="none" w:sz="0" w:space="0" w:color="auto"/>
                            <w:right w:val="none" w:sz="0" w:space="0" w:color="auto"/>
                          </w:divBdr>
                        </w:div>
                      </w:divsChild>
                    </w:div>
                    <w:div w:id="294144217">
                      <w:marLeft w:val="0"/>
                      <w:marRight w:val="0"/>
                      <w:marTop w:val="0"/>
                      <w:marBottom w:val="0"/>
                      <w:divBdr>
                        <w:top w:val="none" w:sz="0" w:space="0" w:color="auto"/>
                        <w:left w:val="none" w:sz="0" w:space="0" w:color="auto"/>
                        <w:bottom w:val="none" w:sz="0" w:space="0" w:color="auto"/>
                        <w:right w:val="none" w:sz="0" w:space="0" w:color="auto"/>
                      </w:divBdr>
                      <w:divsChild>
                        <w:div w:id="294141216">
                          <w:marLeft w:val="0"/>
                          <w:marRight w:val="0"/>
                          <w:marTop w:val="0"/>
                          <w:marBottom w:val="0"/>
                          <w:divBdr>
                            <w:top w:val="none" w:sz="0" w:space="0" w:color="auto"/>
                            <w:left w:val="none" w:sz="0" w:space="0" w:color="auto"/>
                            <w:bottom w:val="none" w:sz="0" w:space="0" w:color="auto"/>
                            <w:right w:val="none" w:sz="0" w:space="0" w:color="auto"/>
                          </w:divBdr>
                        </w:div>
                      </w:divsChild>
                    </w:div>
                    <w:div w:id="294144300">
                      <w:marLeft w:val="0"/>
                      <w:marRight w:val="0"/>
                      <w:marTop w:val="0"/>
                      <w:marBottom w:val="0"/>
                      <w:divBdr>
                        <w:top w:val="none" w:sz="0" w:space="0" w:color="auto"/>
                        <w:left w:val="none" w:sz="0" w:space="0" w:color="auto"/>
                        <w:bottom w:val="none" w:sz="0" w:space="0" w:color="auto"/>
                        <w:right w:val="none" w:sz="0" w:space="0" w:color="auto"/>
                      </w:divBdr>
                    </w:div>
                    <w:div w:id="294144429">
                      <w:marLeft w:val="0"/>
                      <w:marRight w:val="0"/>
                      <w:marTop w:val="0"/>
                      <w:marBottom w:val="0"/>
                      <w:divBdr>
                        <w:top w:val="none" w:sz="0" w:space="0" w:color="auto"/>
                        <w:left w:val="none" w:sz="0" w:space="0" w:color="auto"/>
                        <w:bottom w:val="none" w:sz="0" w:space="0" w:color="auto"/>
                        <w:right w:val="none" w:sz="0" w:space="0" w:color="auto"/>
                      </w:divBdr>
                      <w:divsChild>
                        <w:div w:id="294148704">
                          <w:marLeft w:val="0"/>
                          <w:marRight w:val="0"/>
                          <w:marTop w:val="0"/>
                          <w:marBottom w:val="0"/>
                          <w:divBdr>
                            <w:top w:val="none" w:sz="0" w:space="0" w:color="auto"/>
                            <w:left w:val="none" w:sz="0" w:space="0" w:color="auto"/>
                            <w:bottom w:val="none" w:sz="0" w:space="0" w:color="auto"/>
                            <w:right w:val="none" w:sz="0" w:space="0" w:color="auto"/>
                          </w:divBdr>
                        </w:div>
                      </w:divsChild>
                    </w:div>
                    <w:div w:id="294144471">
                      <w:marLeft w:val="0"/>
                      <w:marRight w:val="0"/>
                      <w:marTop w:val="0"/>
                      <w:marBottom w:val="0"/>
                      <w:divBdr>
                        <w:top w:val="none" w:sz="0" w:space="0" w:color="auto"/>
                        <w:left w:val="none" w:sz="0" w:space="0" w:color="auto"/>
                        <w:bottom w:val="none" w:sz="0" w:space="0" w:color="auto"/>
                        <w:right w:val="none" w:sz="0" w:space="0" w:color="auto"/>
                      </w:divBdr>
                      <w:divsChild>
                        <w:div w:id="294148511">
                          <w:marLeft w:val="0"/>
                          <w:marRight w:val="0"/>
                          <w:marTop w:val="0"/>
                          <w:marBottom w:val="0"/>
                          <w:divBdr>
                            <w:top w:val="none" w:sz="0" w:space="0" w:color="auto"/>
                            <w:left w:val="none" w:sz="0" w:space="0" w:color="auto"/>
                            <w:bottom w:val="none" w:sz="0" w:space="0" w:color="auto"/>
                            <w:right w:val="none" w:sz="0" w:space="0" w:color="auto"/>
                          </w:divBdr>
                        </w:div>
                      </w:divsChild>
                    </w:div>
                    <w:div w:id="294144681">
                      <w:marLeft w:val="0"/>
                      <w:marRight w:val="0"/>
                      <w:marTop w:val="0"/>
                      <w:marBottom w:val="0"/>
                      <w:divBdr>
                        <w:top w:val="none" w:sz="0" w:space="0" w:color="auto"/>
                        <w:left w:val="none" w:sz="0" w:space="0" w:color="auto"/>
                        <w:bottom w:val="none" w:sz="0" w:space="0" w:color="auto"/>
                        <w:right w:val="none" w:sz="0" w:space="0" w:color="auto"/>
                      </w:divBdr>
                    </w:div>
                    <w:div w:id="294144739">
                      <w:marLeft w:val="0"/>
                      <w:marRight w:val="0"/>
                      <w:marTop w:val="0"/>
                      <w:marBottom w:val="0"/>
                      <w:divBdr>
                        <w:top w:val="none" w:sz="0" w:space="0" w:color="auto"/>
                        <w:left w:val="none" w:sz="0" w:space="0" w:color="auto"/>
                        <w:bottom w:val="none" w:sz="0" w:space="0" w:color="auto"/>
                        <w:right w:val="none" w:sz="0" w:space="0" w:color="auto"/>
                      </w:divBdr>
                      <w:divsChild>
                        <w:div w:id="294143894">
                          <w:marLeft w:val="0"/>
                          <w:marRight w:val="0"/>
                          <w:marTop w:val="0"/>
                          <w:marBottom w:val="0"/>
                          <w:divBdr>
                            <w:top w:val="none" w:sz="0" w:space="0" w:color="auto"/>
                            <w:left w:val="none" w:sz="0" w:space="0" w:color="auto"/>
                            <w:bottom w:val="none" w:sz="0" w:space="0" w:color="auto"/>
                            <w:right w:val="none" w:sz="0" w:space="0" w:color="auto"/>
                          </w:divBdr>
                        </w:div>
                      </w:divsChild>
                    </w:div>
                    <w:div w:id="294144860">
                      <w:marLeft w:val="0"/>
                      <w:marRight w:val="0"/>
                      <w:marTop w:val="0"/>
                      <w:marBottom w:val="0"/>
                      <w:divBdr>
                        <w:top w:val="none" w:sz="0" w:space="0" w:color="auto"/>
                        <w:left w:val="none" w:sz="0" w:space="0" w:color="auto"/>
                        <w:bottom w:val="none" w:sz="0" w:space="0" w:color="auto"/>
                        <w:right w:val="none" w:sz="0" w:space="0" w:color="auto"/>
                      </w:divBdr>
                      <w:divsChild>
                        <w:div w:id="294149720">
                          <w:marLeft w:val="0"/>
                          <w:marRight w:val="0"/>
                          <w:marTop w:val="0"/>
                          <w:marBottom w:val="0"/>
                          <w:divBdr>
                            <w:top w:val="none" w:sz="0" w:space="0" w:color="auto"/>
                            <w:left w:val="none" w:sz="0" w:space="0" w:color="auto"/>
                            <w:bottom w:val="none" w:sz="0" w:space="0" w:color="auto"/>
                            <w:right w:val="none" w:sz="0" w:space="0" w:color="auto"/>
                          </w:divBdr>
                        </w:div>
                      </w:divsChild>
                    </w:div>
                    <w:div w:id="294145160">
                      <w:marLeft w:val="0"/>
                      <w:marRight w:val="0"/>
                      <w:marTop w:val="0"/>
                      <w:marBottom w:val="0"/>
                      <w:divBdr>
                        <w:top w:val="none" w:sz="0" w:space="0" w:color="auto"/>
                        <w:left w:val="none" w:sz="0" w:space="0" w:color="auto"/>
                        <w:bottom w:val="none" w:sz="0" w:space="0" w:color="auto"/>
                        <w:right w:val="none" w:sz="0" w:space="0" w:color="auto"/>
                      </w:divBdr>
                      <w:divsChild>
                        <w:div w:id="294143410">
                          <w:marLeft w:val="0"/>
                          <w:marRight w:val="0"/>
                          <w:marTop w:val="0"/>
                          <w:marBottom w:val="0"/>
                          <w:divBdr>
                            <w:top w:val="none" w:sz="0" w:space="0" w:color="auto"/>
                            <w:left w:val="none" w:sz="0" w:space="0" w:color="auto"/>
                            <w:bottom w:val="none" w:sz="0" w:space="0" w:color="auto"/>
                            <w:right w:val="none" w:sz="0" w:space="0" w:color="auto"/>
                          </w:divBdr>
                        </w:div>
                      </w:divsChild>
                    </w:div>
                    <w:div w:id="294145190">
                      <w:marLeft w:val="0"/>
                      <w:marRight w:val="0"/>
                      <w:marTop w:val="0"/>
                      <w:marBottom w:val="0"/>
                      <w:divBdr>
                        <w:top w:val="none" w:sz="0" w:space="0" w:color="auto"/>
                        <w:left w:val="none" w:sz="0" w:space="0" w:color="auto"/>
                        <w:bottom w:val="none" w:sz="0" w:space="0" w:color="auto"/>
                        <w:right w:val="none" w:sz="0" w:space="0" w:color="auto"/>
                      </w:divBdr>
                    </w:div>
                    <w:div w:id="294145230">
                      <w:marLeft w:val="0"/>
                      <w:marRight w:val="0"/>
                      <w:marTop w:val="0"/>
                      <w:marBottom w:val="0"/>
                      <w:divBdr>
                        <w:top w:val="none" w:sz="0" w:space="0" w:color="auto"/>
                        <w:left w:val="none" w:sz="0" w:space="0" w:color="auto"/>
                        <w:bottom w:val="none" w:sz="0" w:space="0" w:color="auto"/>
                        <w:right w:val="none" w:sz="0" w:space="0" w:color="auto"/>
                      </w:divBdr>
                    </w:div>
                    <w:div w:id="294145382">
                      <w:marLeft w:val="0"/>
                      <w:marRight w:val="0"/>
                      <w:marTop w:val="0"/>
                      <w:marBottom w:val="0"/>
                      <w:divBdr>
                        <w:top w:val="none" w:sz="0" w:space="0" w:color="auto"/>
                        <w:left w:val="none" w:sz="0" w:space="0" w:color="auto"/>
                        <w:bottom w:val="none" w:sz="0" w:space="0" w:color="auto"/>
                        <w:right w:val="none" w:sz="0" w:space="0" w:color="auto"/>
                      </w:divBdr>
                    </w:div>
                    <w:div w:id="294145871">
                      <w:marLeft w:val="0"/>
                      <w:marRight w:val="0"/>
                      <w:marTop w:val="0"/>
                      <w:marBottom w:val="0"/>
                      <w:divBdr>
                        <w:top w:val="none" w:sz="0" w:space="0" w:color="auto"/>
                        <w:left w:val="none" w:sz="0" w:space="0" w:color="auto"/>
                        <w:bottom w:val="none" w:sz="0" w:space="0" w:color="auto"/>
                        <w:right w:val="none" w:sz="0" w:space="0" w:color="auto"/>
                      </w:divBdr>
                    </w:div>
                    <w:div w:id="294145978">
                      <w:marLeft w:val="0"/>
                      <w:marRight w:val="0"/>
                      <w:marTop w:val="0"/>
                      <w:marBottom w:val="0"/>
                      <w:divBdr>
                        <w:top w:val="none" w:sz="0" w:space="0" w:color="auto"/>
                        <w:left w:val="none" w:sz="0" w:space="0" w:color="auto"/>
                        <w:bottom w:val="none" w:sz="0" w:space="0" w:color="auto"/>
                        <w:right w:val="none" w:sz="0" w:space="0" w:color="auto"/>
                      </w:divBdr>
                    </w:div>
                    <w:div w:id="294146005">
                      <w:marLeft w:val="0"/>
                      <w:marRight w:val="0"/>
                      <w:marTop w:val="0"/>
                      <w:marBottom w:val="0"/>
                      <w:divBdr>
                        <w:top w:val="none" w:sz="0" w:space="0" w:color="auto"/>
                        <w:left w:val="none" w:sz="0" w:space="0" w:color="auto"/>
                        <w:bottom w:val="none" w:sz="0" w:space="0" w:color="auto"/>
                        <w:right w:val="none" w:sz="0" w:space="0" w:color="auto"/>
                      </w:divBdr>
                      <w:divsChild>
                        <w:div w:id="294156504">
                          <w:marLeft w:val="0"/>
                          <w:marRight w:val="0"/>
                          <w:marTop w:val="0"/>
                          <w:marBottom w:val="0"/>
                          <w:divBdr>
                            <w:top w:val="none" w:sz="0" w:space="0" w:color="auto"/>
                            <w:left w:val="none" w:sz="0" w:space="0" w:color="auto"/>
                            <w:bottom w:val="none" w:sz="0" w:space="0" w:color="auto"/>
                            <w:right w:val="none" w:sz="0" w:space="0" w:color="auto"/>
                          </w:divBdr>
                        </w:div>
                      </w:divsChild>
                    </w:div>
                    <w:div w:id="294146117">
                      <w:marLeft w:val="0"/>
                      <w:marRight w:val="0"/>
                      <w:marTop w:val="0"/>
                      <w:marBottom w:val="0"/>
                      <w:divBdr>
                        <w:top w:val="none" w:sz="0" w:space="0" w:color="auto"/>
                        <w:left w:val="none" w:sz="0" w:space="0" w:color="auto"/>
                        <w:bottom w:val="none" w:sz="0" w:space="0" w:color="auto"/>
                        <w:right w:val="none" w:sz="0" w:space="0" w:color="auto"/>
                      </w:divBdr>
                    </w:div>
                    <w:div w:id="294146204">
                      <w:marLeft w:val="0"/>
                      <w:marRight w:val="0"/>
                      <w:marTop w:val="0"/>
                      <w:marBottom w:val="0"/>
                      <w:divBdr>
                        <w:top w:val="none" w:sz="0" w:space="0" w:color="auto"/>
                        <w:left w:val="none" w:sz="0" w:space="0" w:color="auto"/>
                        <w:bottom w:val="none" w:sz="0" w:space="0" w:color="auto"/>
                        <w:right w:val="none" w:sz="0" w:space="0" w:color="auto"/>
                      </w:divBdr>
                      <w:divsChild>
                        <w:div w:id="294147649">
                          <w:marLeft w:val="0"/>
                          <w:marRight w:val="0"/>
                          <w:marTop w:val="0"/>
                          <w:marBottom w:val="0"/>
                          <w:divBdr>
                            <w:top w:val="none" w:sz="0" w:space="0" w:color="auto"/>
                            <w:left w:val="none" w:sz="0" w:space="0" w:color="auto"/>
                            <w:bottom w:val="none" w:sz="0" w:space="0" w:color="auto"/>
                            <w:right w:val="none" w:sz="0" w:space="0" w:color="auto"/>
                          </w:divBdr>
                        </w:div>
                      </w:divsChild>
                    </w:div>
                    <w:div w:id="294146219">
                      <w:marLeft w:val="0"/>
                      <w:marRight w:val="0"/>
                      <w:marTop w:val="0"/>
                      <w:marBottom w:val="0"/>
                      <w:divBdr>
                        <w:top w:val="none" w:sz="0" w:space="0" w:color="auto"/>
                        <w:left w:val="none" w:sz="0" w:space="0" w:color="auto"/>
                        <w:bottom w:val="none" w:sz="0" w:space="0" w:color="auto"/>
                        <w:right w:val="none" w:sz="0" w:space="0" w:color="auto"/>
                      </w:divBdr>
                    </w:div>
                    <w:div w:id="294146380">
                      <w:marLeft w:val="0"/>
                      <w:marRight w:val="0"/>
                      <w:marTop w:val="0"/>
                      <w:marBottom w:val="0"/>
                      <w:divBdr>
                        <w:top w:val="none" w:sz="0" w:space="0" w:color="auto"/>
                        <w:left w:val="none" w:sz="0" w:space="0" w:color="auto"/>
                        <w:bottom w:val="none" w:sz="0" w:space="0" w:color="auto"/>
                        <w:right w:val="none" w:sz="0" w:space="0" w:color="auto"/>
                      </w:divBdr>
                    </w:div>
                    <w:div w:id="294146559">
                      <w:marLeft w:val="0"/>
                      <w:marRight w:val="0"/>
                      <w:marTop w:val="0"/>
                      <w:marBottom w:val="0"/>
                      <w:divBdr>
                        <w:top w:val="none" w:sz="0" w:space="0" w:color="auto"/>
                        <w:left w:val="none" w:sz="0" w:space="0" w:color="auto"/>
                        <w:bottom w:val="none" w:sz="0" w:space="0" w:color="auto"/>
                        <w:right w:val="none" w:sz="0" w:space="0" w:color="auto"/>
                      </w:divBdr>
                      <w:divsChild>
                        <w:div w:id="294147939">
                          <w:marLeft w:val="0"/>
                          <w:marRight w:val="0"/>
                          <w:marTop w:val="0"/>
                          <w:marBottom w:val="0"/>
                          <w:divBdr>
                            <w:top w:val="none" w:sz="0" w:space="0" w:color="auto"/>
                            <w:left w:val="none" w:sz="0" w:space="0" w:color="auto"/>
                            <w:bottom w:val="none" w:sz="0" w:space="0" w:color="auto"/>
                            <w:right w:val="none" w:sz="0" w:space="0" w:color="auto"/>
                          </w:divBdr>
                        </w:div>
                      </w:divsChild>
                    </w:div>
                    <w:div w:id="294146587">
                      <w:marLeft w:val="0"/>
                      <w:marRight w:val="0"/>
                      <w:marTop w:val="0"/>
                      <w:marBottom w:val="0"/>
                      <w:divBdr>
                        <w:top w:val="none" w:sz="0" w:space="0" w:color="auto"/>
                        <w:left w:val="none" w:sz="0" w:space="0" w:color="auto"/>
                        <w:bottom w:val="none" w:sz="0" w:space="0" w:color="auto"/>
                        <w:right w:val="none" w:sz="0" w:space="0" w:color="auto"/>
                      </w:divBdr>
                    </w:div>
                    <w:div w:id="294146679">
                      <w:marLeft w:val="0"/>
                      <w:marRight w:val="0"/>
                      <w:marTop w:val="0"/>
                      <w:marBottom w:val="0"/>
                      <w:divBdr>
                        <w:top w:val="none" w:sz="0" w:space="0" w:color="auto"/>
                        <w:left w:val="none" w:sz="0" w:space="0" w:color="auto"/>
                        <w:bottom w:val="none" w:sz="0" w:space="0" w:color="auto"/>
                        <w:right w:val="none" w:sz="0" w:space="0" w:color="auto"/>
                      </w:divBdr>
                      <w:divsChild>
                        <w:div w:id="294154448">
                          <w:marLeft w:val="0"/>
                          <w:marRight w:val="0"/>
                          <w:marTop w:val="0"/>
                          <w:marBottom w:val="0"/>
                          <w:divBdr>
                            <w:top w:val="none" w:sz="0" w:space="0" w:color="auto"/>
                            <w:left w:val="none" w:sz="0" w:space="0" w:color="auto"/>
                            <w:bottom w:val="none" w:sz="0" w:space="0" w:color="auto"/>
                            <w:right w:val="none" w:sz="0" w:space="0" w:color="auto"/>
                          </w:divBdr>
                        </w:div>
                      </w:divsChild>
                    </w:div>
                    <w:div w:id="294146739">
                      <w:marLeft w:val="0"/>
                      <w:marRight w:val="0"/>
                      <w:marTop w:val="0"/>
                      <w:marBottom w:val="0"/>
                      <w:divBdr>
                        <w:top w:val="none" w:sz="0" w:space="0" w:color="auto"/>
                        <w:left w:val="none" w:sz="0" w:space="0" w:color="auto"/>
                        <w:bottom w:val="none" w:sz="0" w:space="0" w:color="auto"/>
                        <w:right w:val="none" w:sz="0" w:space="0" w:color="auto"/>
                      </w:divBdr>
                    </w:div>
                    <w:div w:id="294146884">
                      <w:marLeft w:val="0"/>
                      <w:marRight w:val="0"/>
                      <w:marTop w:val="0"/>
                      <w:marBottom w:val="0"/>
                      <w:divBdr>
                        <w:top w:val="none" w:sz="0" w:space="0" w:color="auto"/>
                        <w:left w:val="none" w:sz="0" w:space="0" w:color="auto"/>
                        <w:bottom w:val="none" w:sz="0" w:space="0" w:color="auto"/>
                        <w:right w:val="none" w:sz="0" w:space="0" w:color="auto"/>
                      </w:divBdr>
                    </w:div>
                    <w:div w:id="294147015">
                      <w:marLeft w:val="0"/>
                      <w:marRight w:val="0"/>
                      <w:marTop w:val="0"/>
                      <w:marBottom w:val="0"/>
                      <w:divBdr>
                        <w:top w:val="none" w:sz="0" w:space="0" w:color="auto"/>
                        <w:left w:val="none" w:sz="0" w:space="0" w:color="auto"/>
                        <w:bottom w:val="none" w:sz="0" w:space="0" w:color="auto"/>
                        <w:right w:val="none" w:sz="0" w:space="0" w:color="auto"/>
                      </w:divBdr>
                    </w:div>
                    <w:div w:id="294147031">
                      <w:marLeft w:val="0"/>
                      <w:marRight w:val="0"/>
                      <w:marTop w:val="0"/>
                      <w:marBottom w:val="0"/>
                      <w:divBdr>
                        <w:top w:val="none" w:sz="0" w:space="0" w:color="auto"/>
                        <w:left w:val="none" w:sz="0" w:space="0" w:color="auto"/>
                        <w:bottom w:val="none" w:sz="0" w:space="0" w:color="auto"/>
                        <w:right w:val="none" w:sz="0" w:space="0" w:color="auto"/>
                      </w:divBdr>
                    </w:div>
                    <w:div w:id="294147126">
                      <w:marLeft w:val="0"/>
                      <w:marRight w:val="0"/>
                      <w:marTop w:val="0"/>
                      <w:marBottom w:val="0"/>
                      <w:divBdr>
                        <w:top w:val="none" w:sz="0" w:space="0" w:color="auto"/>
                        <w:left w:val="none" w:sz="0" w:space="0" w:color="auto"/>
                        <w:bottom w:val="none" w:sz="0" w:space="0" w:color="auto"/>
                        <w:right w:val="none" w:sz="0" w:space="0" w:color="auto"/>
                      </w:divBdr>
                    </w:div>
                    <w:div w:id="294147152">
                      <w:marLeft w:val="0"/>
                      <w:marRight w:val="0"/>
                      <w:marTop w:val="0"/>
                      <w:marBottom w:val="0"/>
                      <w:divBdr>
                        <w:top w:val="none" w:sz="0" w:space="0" w:color="auto"/>
                        <w:left w:val="none" w:sz="0" w:space="0" w:color="auto"/>
                        <w:bottom w:val="none" w:sz="0" w:space="0" w:color="auto"/>
                        <w:right w:val="none" w:sz="0" w:space="0" w:color="auto"/>
                      </w:divBdr>
                    </w:div>
                    <w:div w:id="294147210">
                      <w:marLeft w:val="0"/>
                      <w:marRight w:val="0"/>
                      <w:marTop w:val="0"/>
                      <w:marBottom w:val="0"/>
                      <w:divBdr>
                        <w:top w:val="none" w:sz="0" w:space="0" w:color="auto"/>
                        <w:left w:val="none" w:sz="0" w:space="0" w:color="auto"/>
                        <w:bottom w:val="none" w:sz="0" w:space="0" w:color="auto"/>
                        <w:right w:val="none" w:sz="0" w:space="0" w:color="auto"/>
                      </w:divBdr>
                    </w:div>
                    <w:div w:id="294147526">
                      <w:marLeft w:val="0"/>
                      <w:marRight w:val="0"/>
                      <w:marTop w:val="0"/>
                      <w:marBottom w:val="0"/>
                      <w:divBdr>
                        <w:top w:val="none" w:sz="0" w:space="0" w:color="auto"/>
                        <w:left w:val="none" w:sz="0" w:space="0" w:color="auto"/>
                        <w:bottom w:val="none" w:sz="0" w:space="0" w:color="auto"/>
                        <w:right w:val="none" w:sz="0" w:space="0" w:color="auto"/>
                      </w:divBdr>
                      <w:divsChild>
                        <w:div w:id="294147822">
                          <w:marLeft w:val="0"/>
                          <w:marRight w:val="0"/>
                          <w:marTop w:val="0"/>
                          <w:marBottom w:val="0"/>
                          <w:divBdr>
                            <w:top w:val="none" w:sz="0" w:space="0" w:color="auto"/>
                            <w:left w:val="none" w:sz="0" w:space="0" w:color="auto"/>
                            <w:bottom w:val="none" w:sz="0" w:space="0" w:color="auto"/>
                            <w:right w:val="none" w:sz="0" w:space="0" w:color="auto"/>
                          </w:divBdr>
                        </w:div>
                      </w:divsChild>
                    </w:div>
                    <w:div w:id="294147565">
                      <w:marLeft w:val="0"/>
                      <w:marRight w:val="0"/>
                      <w:marTop w:val="0"/>
                      <w:marBottom w:val="0"/>
                      <w:divBdr>
                        <w:top w:val="none" w:sz="0" w:space="0" w:color="auto"/>
                        <w:left w:val="none" w:sz="0" w:space="0" w:color="auto"/>
                        <w:bottom w:val="none" w:sz="0" w:space="0" w:color="auto"/>
                        <w:right w:val="none" w:sz="0" w:space="0" w:color="auto"/>
                      </w:divBdr>
                      <w:divsChild>
                        <w:div w:id="294155180">
                          <w:marLeft w:val="0"/>
                          <w:marRight w:val="0"/>
                          <w:marTop w:val="0"/>
                          <w:marBottom w:val="0"/>
                          <w:divBdr>
                            <w:top w:val="none" w:sz="0" w:space="0" w:color="auto"/>
                            <w:left w:val="none" w:sz="0" w:space="0" w:color="auto"/>
                            <w:bottom w:val="none" w:sz="0" w:space="0" w:color="auto"/>
                            <w:right w:val="none" w:sz="0" w:space="0" w:color="auto"/>
                          </w:divBdr>
                        </w:div>
                      </w:divsChild>
                    </w:div>
                    <w:div w:id="294147721">
                      <w:marLeft w:val="0"/>
                      <w:marRight w:val="0"/>
                      <w:marTop w:val="0"/>
                      <w:marBottom w:val="0"/>
                      <w:divBdr>
                        <w:top w:val="none" w:sz="0" w:space="0" w:color="auto"/>
                        <w:left w:val="none" w:sz="0" w:space="0" w:color="auto"/>
                        <w:bottom w:val="none" w:sz="0" w:space="0" w:color="auto"/>
                        <w:right w:val="none" w:sz="0" w:space="0" w:color="auto"/>
                      </w:divBdr>
                    </w:div>
                    <w:div w:id="294147731">
                      <w:marLeft w:val="0"/>
                      <w:marRight w:val="0"/>
                      <w:marTop w:val="0"/>
                      <w:marBottom w:val="0"/>
                      <w:divBdr>
                        <w:top w:val="none" w:sz="0" w:space="0" w:color="auto"/>
                        <w:left w:val="none" w:sz="0" w:space="0" w:color="auto"/>
                        <w:bottom w:val="none" w:sz="0" w:space="0" w:color="auto"/>
                        <w:right w:val="none" w:sz="0" w:space="0" w:color="auto"/>
                      </w:divBdr>
                    </w:div>
                    <w:div w:id="294147769">
                      <w:marLeft w:val="0"/>
                      <w:marRight w:val="0"/>
                      <w:marTop w:val="0"/>
                      <w:marBottom w:val="0"/>
                      <w:divBdr>
                        <w:top w:val="none" w:sz="0" w:space="0" w:color="auto"/>
                        <w:left w:val="none" w:sz="0" w:space="0" w:color="auto"/>
                        <w:bottom w:val="none" w:sz="0" w:space="0" w:color="auto"/>
                        <w:right w:val="none" w:sz="0" w:space="0" w:color="auto"/>
                      </w:divBdr>
                      <w:divsChild>
                        <w:div w:id="294145043">
                          <w:marLeft w:val="0"/>
                          <w:marRight w:val="0"/>
                          <w:marTop w:val="0"/>
                          <w:marBottom w:val="0"/>
                          <w:divBdr>
                            <w:top w:val="none" w:sz="0" w:space="0" w:color="auto"/>
                            <w:left w:val="none" w:sz="0" w:space="0" w:color="auto"/>
                            <w:bottom w:val="none" w:sz="0" w:space="0" w:color="auto"/>
                            <w:right w:val="none" w:sz="0" w:space="0" w:color="auto"/>
                          </w:divBdr>
                        </w:div>
                      </w:divsChild>
                    </w:div>
                    <w:div w:id="294147817">
                      <w:marLeft w:val="0"/>
                      <w:marRight w:val="0"/>
                      <w:marTop w:val="0"/>
                      <w:marBottom w:val="0"/>
                      <w:divBdr>
                        <w:top w:val="none" w:sz="0" w:space="0" w:color="auto"/>
                        <w:left w:val="none" w:sz="0" w:space="0" w:color="auto"/>
                        <w:bottom w:val="none" w:sz="0" w:space="0" w:color="auto"/>
                        <w:right w:val="none" w:sz="0" w:space="0" w:color="auto"/>
                      </w:divBdr>
                      <w:divsChild>
                        <w:div w:id="294156253">
                          <w:marLeft w:val="0"/>
                          <w:marRight w:val="0"/>
                          <w:marTop w:val="0"/>
                          <w:marBottom w:val="0"/>
                          <w:divBdr>
                            <w:top w:val="none" w:sz="0" w:space="0" w:color="auto"/>
                            <w:left w:val="none" w:sz="0" w:space="0" w:color="auto"/>
                            <w:bottom w:val="none" w:sz="0" w:space="0" w:color="auto"/>
                            <w:right w:val="none" w:sz="0" w:space="0" w:color="auto"/>
                          </w:divBdr>
                        </w:div>
                      </w:divsChild>
                    </w:div>
                    <w:div w:id="294147965">
                      <w:marLeft w:val="0"/>
                      <w:marRight w:val="0"/>
                      <w:marTop w:val="0"/>
                      <w:marBottom w:val="0"/>
                      <w:divBdr>
                        <w:top w:val="none" w:sz="0" w:space="0" w:color="auto"/>
                        <w:left w:val="none" w:sz="0" w:space="0" w:color="auto"/>
                        <w:bottom w:val="none" w:sz="0" w:space="0" w:color="auto"/>
                        <w:right w:val="none" w:sz="0" w:space="0" w:color="auto"/>
                      </w:divBdr>
                      <w:divsChild>
                        <w:div w:id="294155173">
                          <w:marLeft w:val="0"/>
                          <w:marRight w:val="0"/>
                          <w:marTop w:val="0"/>
                          <w:marBottom w:val="0"/>
                          <w:divBdr>
                            <w:top w:val="none" w:sz="0" w:space="0" w:color="auto"/>
                            <w:left w:val="none" w:sz="0" w:space="0" w:color="auto"/>
                            <w:bottom w:val="none" w:sz="0" w:space="0" w:color="auto"/>
                            <w:right w:val="none" w:sz="0" w:space="0" w:color="auto"/>
                          </w:divBdr>
                        </w:div>
                      </w:divsChild>
                    </w:div>
                    <w:div w:id="294147972">
                      <w:marLeft w:val="0"/>
                      <w:marRight w:val="0"/>
                      <w:marTop w:val="0"/>
                      <w:marBottom w:val="0"/>
                      <w:divBdr>
                        <w:top w:val="none" w:sz="0" w:space="0" w:color="auto"/>
                        <w:left w:val="none" w:sz="0" w:space="0" w:color="auto"/>
                        <w:bottom w:val="none" w:sz="0" w:space="0" w:color="auto"/>
                        <w:right w:val="none" w:sz="0" w:space="0" w:color="auto"/>
                      </w:divBdr>
                    </w:div>
                    <w:div w:id="294148900">
                      <w:marLeft w:val="0"/>
                      <w:marRight w:val="0"/>
                      <w:marTop w:val="0"/>
                      <w:marBottom w:val="0"/>
                      <w:divBdr>
                        <w:top w:val="none" w:sz="0" w:space="0" w:color="auto"/>
                        <w:left w:val="none" w:sz="0" w:space="0" w:color="auto"/>
                        <w:bottom w:val="none" w:sz="0" w:space="0" w:color="auto"/>
                        <w:right w:val="none" w:sz="0" w:space="0" w:color="auto"/>
                      </w:divBdr>
                      <w:divsChild>
                        <w:div w:id="294147445">
                          <w:marLeft w:val="0"/>
                          <w:marRight w:val="0"/>
                          <w:marTop w:val="0"/>
                          <w:marBottom w:val="0"/>
                          <w:divBdr>
                            <w:top w:val="none" w:sz="0" w:space="0" w:color="auto"/>
                            <w:left w:val="none" w:sz="0" w:space="0" w:color="auto"/>
                            <w:bottom w:val="none" w:sz="0" w:space="0" w:color="auto"/>
                            <w:right w:val="none" w:sz="0" w:space="0" w:color="auto"/>
                          </w:divBdr>
                        </w:div>
                      </w:divsChild>
                    </w:div>
                    <w:div w:id="294149214">
                      <w:marLeft w:val="0"/>
                      <w:marRight w:val="0"/>
                      <w:marTop w:val="0"/>
                      <w:marBottom w:val="0"/>
                      <w:divBdr>
                        <w:top w:val="none" w:sz="0" w:space="0" w:color="auto"/>
                        <w:left w:val="none" w:sz="0" w:space="0" w:color="auto"/>
                        <w:bottom w:val="none" w:sz="0" w:space="0" w:color="auto"/>
                        <w:right w:val="none" w:sz="0" w:space="0" w:color="auto"/>
                      </w:divBdr>
                    </w:div>
                    <w:div w:id="294149471">
                      <w:marLeft w:val="0"/>
                      <w:marRight w:val="0"/>
                      <w:marTop w:val="0"/>
                      <w:marBottom w:val="0"/>
                      <w:divBdr>
                        <w:top w:val="none" w:sz="0" w:space="0" w:color="auto"/>
                        <w:left w:val="none" w:sz="0" w:space="0" w:color="auto"/>
                        <w:bottom w:val="none" w:sz="0" w:space="0" w:color="auto"/>
                        <w:right w:val="none" w:sz="0" w:space="0" w:color="auto"/>
                      </w:divBdr>
                      <w:divsChild>
                        <w:div w:id="294143530">
                          <w:marLeft w:val="0"/>
                          <w:marRight w:val="0"/>
                          <w:marTop w:val="0"/>
                          <w:marBottom w:val="0"/>
                          <w:divBdr>
                            <w:top w:val="none" w:sz="0" w:space="0" w:color="auto"/>
                            <w:left w:val="none" w:sz="0" w:space="0" w:color="auto"/>
                            <w:bottom w:val="none" w:sz="0" w:space="0" w:color="auto"/>
                            <w:right w:val="none" w:sz="0" w:space="0" w:color="auto"/>
                          </w:divBdr>
                        </w:div>
                      </w:divsChild>
                    </w:div>
                    <w:div w:id="294149552">
                      <w:marLeft w:val="0"/>
                      <w:marRight w:val="0"/>
                      <w:marTop w:val="0"/>
                      <w:marBottom w:val="0"/>
                      <w:divBdr>
                        <w:top w:val="none" w:sz="0" w:space="0" w:color="auto"/>
                        <w:left w:val="none" w:sz="0" w:space="0" w:color="auto"/>
                        <w:bottom w:val="none" w:sz="0" w:space="0" w:color="auto"/>
                        <w:right w:val="none" w:sz="0" w:space="0" w:color="auto"/>
                      </w:divBdr>
                      <w:divsChild>
                        <w:div w:id="294143780">
                          <w:marLeft w:val="0"/>
                          <w:marRight w:val="0"/>
                          <w:marTop w:val="0"/>
                          <w:marBottom w:val="0"/>
                          <w:divBdr>
                            <w:top w:val="none" w:sz="0" w:space="0" w:color="auto"/>
                            <w:left w:val="none" w:sz="0" w:space="0" w:color="auto"/>
                            <w:bottom w:val="none" w:sz="0" w:space="0" w:color="auto"/>
                            <w:right w:val="none" w:sz="0" w:space="0" w:color="auto"/>
                          </w:divBdr>
                        </w:div>
                      </w:divsChild>
                    </w:div>
                    <w:div w:id="294149569">
                      <w:marLeft w:val="0"/>
                      <w:marRight w:val="0"/>
                      <w:marTop w:val="0"/>
                      <w:marBottom w:val="0"/>
                      <w:divBdr>
                        <w:top w:val="none" w:sz="0" w:space="0" w:color="auto"/>
                        <w:left w:val="none" w:sz="0" w:space="0" w:color="auto"/>
                        <w:bottom w:val="none" w:sz="0" w:space="0" w:color="auto"/>
                        <w:right w:val="none" w:sz="0" w:space="0" w:color="auto"/>
                      </w:divBdr>
                      <w:divsChild>
                        <w:div w:id="294150855">
                          <w:marLeft w:val="0"/>
                          <w:marRight w:val="0"/>
                          <w:marTop w:val="0"/>
                          <w:marBottom w:val="0"/>
                          <w:divBdr>
                            <w:top w:val="none" w:sz="0" w:space="0" w:color="auto"/>
                            <w:left w:val="none" w:sz="0" w:space="0" w:color="auto"/>
                            <w:bottom w:val="none" w:sz="0" w:space="0" w:color="auto"/>
                            <w:right w:val="none" w:sz="0" w:space="0" w:color="auto"/>
                          </w:divBdr>
                        </w:div>
                      </w:divsChild>
                    </w:div>
                    <w:div w:id="294149583">
                      <w:marLeft w:val="0"/>
                      <w:marRight w:val="0"/>
                      <w:marTop w:val="0"/>
                      <w:marBottom w:val="0"/>
                      <w:divBdr>
                        <w:top w:val="none" w:sz="0" w:space="0" w:color="auto"/>
                        <w:left w:val="none" w:sz="0" w:space="0" w:color="auto"/>
                        <w:bottom w:val="none" w:sz="0" w:space="0" w:color="auto"/>
                        <w:right w:val="none" w:sz="0" w:space="0" w:color="auto"/>
                      </w:divBdr>
                      <w:divsChild>
                        <w:div w:id="294140011">
                          <w:marLeft w:val="0"/>
                          <w:marRight w:val="0"/>
                          <w:marTop w:val="0"/>
                          <w:marBottom w:val="0"/>
                          <w:divBdr>
                            <w:top w:val="none" w:sz="0" w:space="0" w:color="auto"/>
                            <w:left w:val="none" w:sz="0" w:space="0" w:color="auto"/>
                            <w:bottom w:val="none" w:sz="0" w:space="0" w:color="auto"/>
                            <w:right w:val="none" w:sz="0" w:space="0" w:color="auto"/>
                          </w:divBdr>
                        </w:div>
                      </w:divsChild>
                    </w:div>
                    <w:div w:id="294149648">
                      <w:marLeft w:val="0"/>
                      <w:marRight w:val="0"/>
                      <w:marTop w:val="0"/>
                      <w:marBottom w:val="0"/>
                      <w:divBdr>
                        <w:top w:val="none" w:sz="0" w:space="0" w:color="auto"/>
                        <w:left w:val="none" w:sz="0" w:space="0" w:color="auto"/>
                        <w:bottom w:val="none" w:sz="0" w:space="0" w:color="auto"/>
                        <w:right w:val="none" w:sz="0" w:space="0" w:color="auto"/>
                      </w:divBdr>
                      <w:divsChild>
                        <w:div w:id="294150439">
                          <w:marLeft w:val="0"/>
                          <w:marRight w:val="0"/>
                          <w:marTop w:val="0"/>
                          <w:marBottom w:val="0"/>
                          <w:divBdr>
                            <w:top w:val="none" w:sz="0" w:space="0" w:color="auto"/>
                            <w:left w:val="none" w:sz="0" w:space="0" w:color="auto"/>
                            <w:bottom w:val="none" w:sz="0" w:space="0" w:color="auto"/>
                            <w:right w:val="none" w:sz="0" w:space="0" w:color="auto"/>
                          </w:divBdr>
                        </w:div>
                      </w:divsChild>
                    </w:div>
                    <w:div w:id="294149669">
                      <w:marLeft w:val="0"/>
                      <w:marRight w:val="0"/>
                      <w:marTop w:val="0"/>
                      <w:marBottom w:val="0"/>
                      <w:divBdr>
                        <w:top w:val="none" w:sz="0" w:space="0" w:color="auto"/>
                        <w:left w:val="none" w:sz="0" w:space="0" w:color="auto"/>
                        <w:bottom w:val="none" w:sz="0" w:space="0" w:color="auto"/>
                        <w:right w:val="none" w:sz="0" w:space="0" w:color="auto"/>
                      </w:divBdr>
                      <w:divsChild>
                        <w:div w:id="294144470">
                          <w:marLeft w:val="0"/>
                          <w:marRight w:val="0"/>
                          <w:marTop w:val="0"/>
                          <w:marBottom w:val="0"/>
                          <w:divBdr>
                            <w:top w:val="none" w:sz="0" w:space="0" w:color="auto"/>
                            <w:left w:val="none" w:sz="0" w:space="0" w:color="auto"/>
                            <w:bottom w:val="none" w:sz="0" w:space="0" w:color="auto"/>
                            <w:right w:val="none" w:sz="0" w:space="0" w:color="auto"/>
                          </w:divBdr>
                        </w:div>
                      </w:divsChild>
                    </w:div>
                    <w:div w:id="294149738">
                      <w:marLeft w:val="0"/>
                      <w:marRight w:val="0"/>
                      <w:marTop w:val="0"/>
                      <w:marBottom w:val="0"/>
                      <w:divBdr>
                        <w:top w:val="none" w:sz="0" w:space="0" w:color="auto"/>
                        <w:left w:val="none" w:sz="0" w:space="0" w:color="auto"/>
                        <w:bottom w:val="none" w:sz="0" w:space="0" w:color="auto"/>
                        <w:right w:val="none" w:sz="0" w:space="0" w:color="auto"/>
                      </w:divBdr>
                    </w:div>
                    <w:div w:id="294149830">
                      <w:marLeft w:val="0"/>
                      <w:marRight w:val="0"/>
                      <w:marTop w:val="0"/>
                      <w:marBottom w:val="0"/>
                      <w:divBdr>
                        <w:top w:val="none" w:sz="0" w:space="0" w:color="auto"/>
                        <w:left w:val="none" w:sz="0" w:space="0" w:color="auto"/>
                        <w:bottom w:val="none" w:sz="0" w:space="0" w:color="auto"/>
                        <w:right w:val="none" w:sz="0" w:space="0" w:color="auto"/>
                      </w:divBdr>
                      <w:divsChild>
                        <w:div w:id="294142171">
                          <w:marLeft w:val="0"/>
                          <w:marRight w:val="0"/>
                          <w:marTop w:val="0"/>
                          <w:marBottom w:val="0"/>
                          <w:divBdr>
                            <w:top w:val="none" w:sz="0" w:space="0" w:color="auto"/>
                            <w:left w:val="none" w:sz="0" w:space="0" w:color="auto"/>
                            <w:bottom w:val="none" w:sz="0" w:space="0" w:color="auto"/>
                            <w:right w:val="none" w:sz="0" w:space="0" w:color="auto"/>
                          </w:divBdr>
                        </w:div>
                      </w:divsChild>
                    </w:div>
                    <w:div w:id="294149833">
                      <w:marLeft w:val="0"/>
                      <w:marRight w:val="0"/>
                      <w:marTop w:val="0"/>
                      <w:marBottom w:val="0"/>
                      <w:divBdr>
                        <w:top w:val="none" w:sz="0" w:space="0" w:color="auto"/>
                        <w:left w:val="none" w:sz="0" w:space="0" w:color="auto"/>
                        <w:bottom w:val="none" w:sz="0" w:space="0" w:color="auto"/>
                        <w:right w:val="none" w:sz="0" w:space="0" w:color="auto"/>
                      </w:divBdr>
                    </w:div>
                    <w:div w:id="294149860">
                      <w:marLeft w:val="0"/>
                      <w:marRight w:val="0"/>
                      <w:marTop w:val="0"/>
                      <w:marBottom w:val="0"/>
                      <w:divBdr>
                        <w:top w:val="none" w:sz="0" w:space="0" w:color="auto"/>
                        <w:left w:val="none" w:sz="0" w:space="0" w:color="auto"/>
                        <w:bottom w:val="none" w:sz="0" w:space="0" w:color="auto"/>
                        <w:right w:val="none" w:sz="0" w:space="0" w:color="auto"/>
                      </w:divBdr>
                      <w:divsChild>
                        <w:div w:id="294145973">
                          <w:marLeft w:val="0"/>
                          <w:marRight w:val="0"/>
                          <w:marTop w:val="0"/>
                          <w:marBottom w:val="0"/>
                          <w:divBdr>
                            <w:top w:val="none" w:sz="0" w:space="0" w:color="auto"/>
                            <w:left w:val="none" w:sz="0" w:space="0" w:color="auto"/>
                            <w:bottom w:val="none" w:sz="0" w:space="0" w:color="auto"/>
                            <w:right w:val="none" w:sz="0" w:space="0" w:color="auto"/>
                          </w:divBdr>
                        </w:div>
                      </w:divsChild>
                    </w:div>
                    <w:div w:id="294149871">
                      <w:marLeft w:val="0"/>
                      <w:marRight w:val="0"/>
                      <w:marTop w:val="0"/>
                      <w:marBottom w:val="0"/>
                      <w:divBdr>
                        <w:top w:val="none" w:sz="0" w:space="0" w:color="auto"/>
                        <w:left w:val="none" w:sz="0" w:space="0" w:color="auto"/>
                        <w:bottom w:val="none" w:sz="0" w:space="0" w:color="auto"/>
                        <w:right w:val="none" w:sz="0" w:space="0" w:color="auto"/>
                      </w:divBdr>
                    </w:div>
                    <w:div w:id="294149991">
                      <w:marLeft w:val="0"/>
                      <w:marRight w:val="0"/>
                      <w:marTop w:val="0"/>
                      <w:marBottom w:val="0"/>
                      <w:divBdr>
                        <w:top w:val="none" w:sz="0" w:space="0" w:color="auto"/>
                        <w:left w:val="none" w:sz="0" w:space="0" w:color="auto"/>
                        <w:bottom w:val="none" w:sz="0" w:space="0" w:color="auto"/>
                        <w:right w:val="none" w:sz="0" w:space="0" w:color="auto"/>
                      </w:divBdr>
                    </w:div>
                    <w:div w:id="294149994">
                      <w:marLeft w:val="0"/>
                      <w:marRight w:val="0"/>
                      <w:marTop w:val="0"/>
                      <w:marBottom w:val="0"/>
                      <w:divBdr>
                        <w:top w:val="none" w:sz="0" w:space="0" w:color="auto"/>
                        <w:left w:val="none" w:sz="0" w:space="0" w:color="auto"/>
                        <w:bottom w:val="none" w:sz="0" w:space="0" w:color="auto"/>
                        <w:right w:val="none" w:sz="0" w:space="0" w:color="auto"/>
                      </w:divBdr>
                    </w:div>
                    <w:div w:id="294150009">
                      <w:marLeft w:val="0"/>
                      <w:marRight w:val="0"/>
                      <w:marTop w:val="0"/>
                      <w:marBottom w:val="0"/>
                      <w:divBdr>
                        <w:top w:val="none" w:sz="0" w:space="0" w:color="auto"/>
                        <w:left w:val="none" w:sz="0" w:space="0" w:color="auto"/>
                        <w:bottom w:val="none" w:sz="0" w:space="0" w:color="auto"/>
                        <w:right w:val="none" w:sz="0" w:space="0" w:color="auto"/>
                      </w:divBdr>
                      <w:divsChild>
                        <w:div w:id="294146051">
                          <w:marLeft w:val="0"/>
                          <w:marRight w:val="0"/>
                          <w:marTop w:val="0"/>
                          <w:marBottom w:val="0"/>
                          <w:divBdr>
                            <w:top w:val="none" w:sz="0" w:space="0" w:color="auto"/>
                            <w:left w:val="none" w:sz="0" w:space="0" w:color="auto"/>
                            <w:bottom w:val="none" w:sz="0" w:space="0" w:color="auto"/>
                            <w:right w:val="none" w:sz="0" w:space="0" w:color="auto"/>
                          </w:divBdr>
                        </w:div>
                      </w:divsChild>
                    </w:div>
                    <w:div w:id="294150056">
                      <w:marLeft w:val="0"/>
                      <w:marRight w:val="0"/>
                      <w:marTop w:val="0"/>
                      <w:marBottom w:val="0"/>
                      <w:divBdr>
                        <w:top w:val="none" w:sz="0" w:space="0" w:color="auto"/>
                        <w:left w:val="none" w:sz="0" w:space="0" w:color="auto"/>
                        <w:bottom w:val="none" w:sz="0" w:space="0" w:color="auto"/>
                        <w:right w:val="none" w:sz="0" w:space="0" w:color="auto"/>
                      </w:divBdr>
                    </w:div>
                    <w:div w:id="294150282">
                      <w:marLeft w:val="0"/>
                      <w:marRight w:val="0"/>
                      <w:marTop w:val="0"/>
                      <w:marBottom w:val="0"/>
                      <w:divBdr>
                        <w:top w:val="none" w:sz="0" w:space="0" w:color="auto"/>
                        <w:left w:val="none" w:sz="0" w:space="0" w:color="auto"/>
                        <w:bottom w:val="none" w:sz="0" w:space="0" w:color="auto"/>
                        <w:right w:val="none" w:sz="0" w:space="0" w:color="auto"/>
                      </w:divBdr>
                      <w:divsChild>
                        <w:div w:id="294152684">
                          <w:marLeft w:val="0"/>
                          <w:marRight w:val="0"/>
                          <w:marTop w:val="0"/>
                          <w:marBottom w:val="0"/>
                          <w:divBdr>
                            <w:top w:val="none" w:sz="0" w:space="0" w:color="auto"/>
                            <w:left w:val="none" w:sz="0" w:space="0" w:color="auto"/>
                            <w:bottom w:val="none" w:sz="0" w:space="0" w:color="auto"/>
                            <w:right w:val="none" w:sz="0" w:space="0" w:color="auto"/>
                          </w:divBdr>
                        </w:div>
                      </w:divsChild>
                    </w:div>
                    <w:div w:id="294150429">
                      <w:marLeft w:val="0"/>
                      <w:marRight w:val="0"/>
                      <w:marTop w:val="0"/>
                      <w:marBottom w:val="0"/>
                      <w:divBdr>
                        <w:top w:val="none" w:sz="0" w:space="0" w:color="auto"/>
                        <w:left w:val="none" w:sz="0" w:space="0" w:color="auto"/>
                        <w:bottom w:val="none" w:sz="0" w:space="0" w:color="auto"/>
                        <w:right w:val="none" w:sz="0" w:space="0" w:color="auto"/>
                      </w:divBdr>
                      <w:divsChild>
                        <w:div w:id="294138193">
                          <w:marLeft w:val="0"/>
                          <w:marRight w:val="0"/>
                          <w:marTop w:val="0"/>
                          <w:marBottom w:val="0"/>
                          <w:divBdr>
                            <w:top w:val="none" w:sz="0" w:space="0" w:color="auto"/>
                            <w:left w:val="none" w:sz="0" w:space="0" w:color="auto"/>
                            <w:bottom w:val="none" w:sz="0" w:space="0" w:color="auto"/>
                            <w:right w:val="none" w:sz="0" w:space="0" w:color="auto"/>
                          </w:divBdr>
                        </w:div>
                      </w:divsChild>
                    </w:div>
                    <w:div w:id="294150666">
                      <w:marLeft w:val="0"/>
                      <w:marRight w:val="0"/>
                      <w:marTop w:val="0"/>
                      <w:marBottom w:val="0"/>
                      <w:divBdr>
                        <w:top w:val="none" w:sz="0" w:space="0" w:color="auto"/>
                        <w:left w:val="none" w:sz="0" w:space="0" w:color="auto"/>
                        <w:bottom w:val="none" w:sz="0" w:space="0" w:color="auto"/>
                        <w:right w:val="none" w:sz="0" w:space="0" w:color="auto"/>
                      </w:divBdr>
                      <w:divsChild>
                        <w:div w:id="294143976">
                          <w:marLeft w:val="0"/>
                          <w:marRight w:val="0"/>
                          <w:marTop w:val="0"/>
                          <w:marBottom w:val="0"/>
                          <w:divBdr>
                            <w:top w:val="none" w:sz="0" w:space="0" w:color="auto"/>
                            <w:left w:val="none" w:sz="0" w:space="0" w:color="auto"/>
                            <w:bottom w:val="none" w:sz="0" w:space="0" w:color="auto"/>
                            <w:right w:val="none" w:sz="0" w:space="0" w:color="auto"/>
                          </w:divBdr>
                        </w:div>
                      </w:divsChild>
                    </w:div>
                    <w:div w:id="294150771">
                      <w:marLeft w:val="0"/>
                      <w:marRight w:val="0"/>
                      <w:marTop w:val="0"/>
                      <w:marBottom w:val="0"/>
                      <w:divBdr>
                        <w:top w:val="none" w:sz="0" w:space="0" w:color="auto"/>
                        <w:left w:val="none" w:sz="0" w:space="0" w:color="auto"/>
                        <w:bottom w:val="none" w:sz="0" w:space="0" w:color="auto"/>
                        <w:right w:val="none" w:sz="0" w:space="0" w:color="auto"/>
                      </w:divBdr>
                      <w:divsChild>
                        <w:div w:id="294148481">
                          <w:marLeft w:val="0"/>
                          <w:marRight w:val="0"/>
                          <w:marTop w:val="0"/>
                          <w:marBottom w:val="0"/>
                          <w:divBdr>
                            <w:top w:val="none" w:sz="0" w:space="0" w:color="auto"/>
                            <w:left w:val="none" w:sz="0" w:space="0" w:color="auto"/>
                            <w:bottom w:val="none" w:sz="0" w:space="0" w:color="auto"/>
                            <w:right w:val="none" w:sz="0" w:space="0" w:color="auto"/>
                          </w:divBdr>
                        </w:div>
                      </w:divsChild>
                    </w:div>
                    <w:div w:id="294150779">
                      <w:marLeft w:val="0"/>
                      <w:marRight w:val="0"/>
                      <w:marTop w:val="0"/>
                      <w:marBottom w:val="0"/>
                      <w:divBdr>
                        <w:top w:val="none" w:sz="0" w:space="0" w:color="auto"/>
                        <w:left w:val="none" w:sz="0" w:space="0" w:color="auto"/>
                        <w:bottom w:val="none" w:sz="0" w:space="0" w:color="auto"/>
                        <w:right w:val="none" w:sz="0" w:space="0" w:color="auto"/>
                      </w:divBdr>
                    </w:div>
                    <w:div w:id="294150817">
                      <w:marLeft w:val="0"/>
                      <w:marRight w:val="0"/>
                      <w:marTop w:val="0"/>
                      <w:marBottom w:val="0"/>
                      <w:divBdr>
                        <w:top w:val="none" w:sz="0" w:space="0" w:color="auto"/>
                        <w:left w:val="none" w:sz="0" w:space="0" w:color="auto"/>
                        <w:bottom w:val="none" w:sz="0" w:space="0" w:color="auto"/>
                        <w:right w:val="none" w:sz="0" w:space="0" w:color="auto"/>
                      </w:divBdr>
                    </w:div>
                    <w:div w:id="294150960">
                      <w:marLeft w:val="0"/>
                      <w:marRight w:val="0"/>
                      <w:marTop w:val="0"/>
                      <w:marBottom w:val="0"/>
                      <w:divBdr>
                        <w:top w:val="none" w:sz="0" w:space="0" w:color="auto"/>
                        <w:left w:val="none" w:sz="0" w:space="0" w:color="auto"/>
                        <w:bottom w:val="none" w:sz="0" w:space="0" w:color="auto"/>
                        <w:right w:val="none" w:sz="0" w:space="0" w:color="auto"/>
                      </w:divBdr>
                      <w:divsChild>
                        <w:div w:id="294142144">
                          <w:marLeft w:val="0"/>
                          <w:marRight w:val="0"/>
                          <w:marTop w:val="0"/>
                          <w:marBottom w:val="0"/>
                          <w:divBdr>
                            <w:top w:val="none" w:sz="0" w:space="0" w:color="auto"/>
                            <w:left w:val="none" w:sz="0" w:space="0" w:color="auto"/>
                            <w:bottom w:val="none" w:sz="0" w:space="0" w:color="auto"/>
                            <w:right w:val="none" w:sz="0" w:space="0" w:color="auto"/>
                          </w:divBdr>
                        </w:div>
                      </w:divsChild>
                    </w:div>
                    <w:div w:id="294151045">
                      <w:marLeft w:val="0"/>
                      <w:marRight w:val="0"/>
                      <w:marTop w:val="0"/>
                      <w:marBottom w:val="0"/>
                      <w:divBdr>
                        <w:top w:val="none" w:sz="0" w:space="0" w:color="auto"/>
                        <w:left w:val="none" w:sz="0" w:space="0" w:color="auto"/>
                        <w:bottom w:val="none" w:sz="0" w:space="0" w:color="auto"/>
                        <w:right w:val="none" w:sz="0" w:space="0" w:color="auto"/>
                      </w:divBdr>
                    </w:div>
                    <w:div w:id="294151154">
                      <w:marLeft w:val="0"/>
                      <w:marRight w:val="0"/>
                      <w:marTop w:val="0"/>
                      <w:marBottom w:val="0"/>
                      <w:divBdr>
                        <w:top w:val="none" w:sz="0" w:space="0" w:color="auto"/>
                        <w:left w:val="none" w:sz="0" w:space="0" w:color="auto"/>
                        <w:bottom w:val="none" w:sz="0" w:space="0" w:color="auto"/>
                        <w:right w:val="none" w:sz="0" w:space="0" w:color="auto"/>
                      </w:divBdr>
                      <w:divsChild>
                        <w:div w:id="294152956">
                          <w:marLeft w:val="0"/>
                          <w:marRight w:val="0"/>
                          <w:marTop w:val="0"/>
                          <w:marBottom w:val="0"/>
                          <w:divBdr>
                            <w:top w:val="none" w:sz="0" w:space="0" w:color="auto"/>
                            <w:left w:val="none" w:sz="0" w:space="0" w:color="auto"/>
                            <w:bottom w:val="none" w:sz="0" w:space="0" w:color="auto"/>
                            <w:right w:val="none" w:sz="0" w:space="0" w:color="auto"/>
                          </w:divBdr>
                        </w:div>
                      </w:divsChild>
                    </w:div>
                    <w:div w:id="294151412">
                      <w:marLeft w:val="0"/>
                      <w:marRight w:val="0"/>
                      <w:marTop w:val="0"/>
                      <w:marBottom w:val="0"/>
                      <w:divBdr>
                        <w:top w:val="none" w:sz="0" w:space="0" w:color="auto"/>
                        <w:left w:val="none" w:sz="0" w:space="0" w:color="auto"/>
                        <w:bottom w:val="none" w:sz="0" w:space="0" w:color="auto"/>
                        <w:right w:val="none" w:sz="0" w:space="0" w:color="auto"/>
                      </w:divBdr>
                    </w:div>
                    <w:div w:id="294151616">
                      <w:marLeft w:val="0"/>
                      <w:marRight w:val="0"/>
                      <w:marTop w:val="0"/>
                      <w:marBottom w:val="0"/>
                      <w:divBdr>
                        <w:top w:val="none" w:sz="0" w:space="0" w:color="auto"/>
                        <w:left w:val="none" w:sz="0" w:space="0" w:color="auto"/>
                        <w:bottom w:val="none" w:sz="0" w:space="0" w:color="auto"/>
                        <w:right w:val="none" w:sz="0" w:space="0" w:color="auto"/>
                      </w:divBdr>
                    </w:div>
                    <w:div w:id="294151766">
                      <w:marLeft w:val="0"/>
                      <w:marRight w:val="0"/>
                      <w:marTop w:val="0"/>
                      <w:marBottom w:val="0"/>
                      <w:divBdr>
                        <w:top w:val="none" w:sz="0" w:space="0" w:color="auto"/>
                        <w:left w:val="none" w:sz="0" w:space="0" w:color="auto"/>
                        <w:bottom w:val="none" w:sz="0" w:space="0" w:color="auto"/>
                        <w:right w:val="none" w:sz="0" w:space="0" w:color="auto"/>
                      </w:divBdr>
                      <w:divsChild>
                        <w:div w:id="294156639">
                          <w:marLeft w:val="0"/>
                          <w:marRight w:val="0"/>
                          <w:marTop w:val="0"/>
                          <w:marBottom w:val="0"/>
                          <w:divBdr>
                            <w:top w:val="none" w:sz="0" w:space="0" w:color="auto"/>
                            <w:left w:val="none" w:sz="0" w:space="0" w:color="auto"/>
                            <w:bottom w:val="none" w:sz="0" w:space="0" w:color="auto"/>
                            <w:right w:val="none" w:sz="0" w:space="0" w:color="auto"/>
                          </w:divBdr>
                        </w:div>
                      </w:divsChild>
                    </w:div>
                    <w:div w:id="294151881">
                      <w:marLeft w:val="0"/>
                      <w:marRight w:val="0"/>
                      <w:marTop w:val="0"/>
                      <w:marBottom w:val="0"/>
                      <w:divBdr>
                        <w:top w:val="none" w:sz="0" w:space="0" w:color="auto"/>
                        <w:left w:val="none" w:sz="0" w:space="0" w:color="auto"/>
                        <w:bottom w:val="none" w:sz="0" w:space="0" w:color="auto"/>
                        <w:right w:val="none" w:sz="0" w:space="0" w:color="auto"/>
                      </w:divBdr>
                    </w:div>
                    <w:div w:id="294152138">
                      <w:marLeft w:val="0"/>
                      <w:marRight w:val="0"/>
                      <w:marTop w:val="0"/>
                      <w:marBottom w:val="0"/>
                      <w:divBdr>
                        <w:top w:val="none" w:sz="0" w:space="0" w:color="auto"/>
                        <w:left w:val="none" w:sz="0" w:space="0" w:color="auto"/>
                        <w:bottom w:val="none" w:sz="0" w:space="0" w:color="auto"/>
                        <w:right w:val="none" w:sz="0" w:space="0" w:color="auto"/>
                      </w:divBdr>
                    </w:div>
                    <w:div w:id="294152169">
                      <w:marLeft w:val="0"/>
                      <w:marRight w:val="0"/>
                      <w:marTop w:val="0"/>
                      <w:marBottom w:val="0"/>
                      <w:divBdr>
                        <w:top w:val="none" w:sz="0" w:space="0" w:color="auto"/>
                        <w:left w:val="none" w:sz="0" w:space="0" w:color="auto"/>
                        <w:bottom w:val="none" w:sz="0" w:space="0" w:color="auto"/>
                        <w:right w:val="none" w:sz="0" w:space="0" w:color="auto"/>
                      </w:divBdr>
                    </w:div>
                    <w:div w:id="294152274">
                      <w:marLeft w:val="0"/>
                      <w:marRight w:val="0"/>
                      <w:marTop w:val="0"/>
                      <w:marBottom w:val="0"/>
                      <w:divBdr>
                        <w:top w:val="none" w:sz="0" w:space="0" w:color="auto"/>
                        <w:left w:val="none" w:sz="0" w:space="0" w:color="auto"/>
                        <w:bottom w:val="none" w:sz="0" w:space="0" w:color="auto"/>
                        <w:right w:val="none" w:sz="0" w:space="0" w:color="auto"/>
                      </w:divBdr>
                    </w:div>
                    <w:div w:id="294152503">
                      <w:marLeft w:val="0"/>
                      <w:marRight w:val="0"/>
                      <w:marTop w:val="0"/>
                      <w:marBottom w:val="0"/>
                      <w:divBdr>
                        <w:top w:val="none" w:sz="0" w:space="0" w:color="auto"/>
                        <w:left w:val="none" w:sz="0" w:space="0" w:color="auto"/>
                        <w:bottom w:val="none" w:sz="0" w:space="0" w:color="auto"/>
                        <w:right w:val="none" w:sz="0" w:space="0" w:color="auto"/>
                      </w:divBdr>
                      <w:divsChild>
                        <w:div w:id="294155581">
                          <w:marLeft w:val="0"/>
                          <w:marRight w:val="0"/>
                          <w:marTop w:val="0"/>
                          <w:marBottom w:val="0"/>
                          <w:divBdr>
                            <w:top w:val="none" w:sz="0" w:space="0" w:color="auto"/>
                            <w:left w:val="none" w:sz="0" w:space="0" w:color="auto"/>
                            <w:bottom w:val="none" w:sz="0" w:space="0" w:color="auto"/>
                            <w:right w:val="none" w:sz="0" w:space="0" w:color="auto"/>
                          </w:divBdr>
                        </w:div>
                      </w:divsChild>
                    </w:div>
                    <w:div w:id="294152619">
                      <w:marLeft w:val="0"/>
                      <w:marRight w:val="0"/>
                      <w:marTop w:val="0"/>
                      <w:marBottom w:val="0"/>
                      <w:divBdr>
                        <w:top w:val="none" w:sz="0" w:space="0" w:color="auto"/>
                        <w:left w:val="none" w:sz="0" w:space="0" w:color="auto"/>
                        <w:bottom w:val="none" w:sz="0" w:space="0" w:color="auto"/>
                        <w:right w:val="none" w:sz="0" w:space="0" w:color="auto"/>
                      </w:divBdr>
                    </w:div>
                    <w:div w:id="294153179">
                      <w:marLeft w:val="0"/>
                      <w:marRight w:val="0"/>
                      <w:marTop w:val="0"/>
                      <w:marBottom w:val="0"/>
                      <w:divBdr>
                        <w:top w:val="none" w:sz="0" w:space="0" w:color="auto"/>
                        <w:left w:val="none" w:sz="0" w:space="0" w:color="auto"/>
                        <w:bottom w:val="none" w:sz="0" w:space="0" w:color="auto"/>
                        <w:right w:val="none" w:sz="0" w:space="0" w:color="auto"/>
                      </w:divBdr>
                      <w:divsChild>
                        <w:div w:id="294152213">
                          <w:marLeft w:val="0"/>
                          <w:marRight w:val="0"/>
                          <w:marTop w:val="0"/>
                          <w:marBottom w:val="0"/>
                          <w:divBdr>
                            <w:top w:val="none" w:sz="0" w:space="0" w:color="auto"/>
                            <w:left w:val="none" w:sz="0" w:space="0" w:color="auto"/>
                            <w:bottom w:val="none" w:sz="0" w:space="0" w:color="auto"/>
                            <w:right w:val="none" w:sz="0" w:space="0" w:color="auto"/>
                          </w:divBdr>
                        </w:div>
                      </w:divsChild>
                    </w:div>
                    <w:div w:id="294153188">
                      <w:marLeft w:val="0"/>
                      <w:marRight w:val="0"/>
                      <w:marTop w:val="0"/>
                      <w:marBottom w:val="0"/>
                      <w:divBdr>
                        <w:top w:val="none" w:sz="0" w:space="0" w:color="auto"/>
                        <w:left w:val="none" w:sz="0" w:space="0" w:color="auto"/>
                        <w:bottom w:val="none" w:sz="0" w:space="0" w:color="auto"/>
                        <w:right w:val="none" w:sz="0" w:space="0" w:color="auto"/>
                      </w:divBdr>
                      <w:divsChild>
                        <w:div w:id="294140757">
                          <w:marLeft w:val="0"/>
                          <w:marRight w:val="0"/>
                          <w:marTop w:val="0"/>
                          <w:marBottom w:val="0"/>
                          <w:divBdr>
                            <w:top w:val="none" w:sz="0" w:space="0" w:color="auto"/>
                            <w:left w:val="none" w:sz="0" w:space="0" w:color="auto"/>
                            <w:bottom w:val="none" w:sz="0" w:space="0" w:color="auto"/>
                            <w:right w:val="none" w:sz="0" w:space="0" w:color="auto"/>
                          </w:divBdr>
                        </w:div>
                      </w:divsChild>
                    </w:div>
                    <w:div w:id="294153295">
                      <w:marLeft w:val="0"/>
                      <w:marRight w:val="0"/>
                      <w:marTop w:val="0"/>
                      <w:marBottom w:val="0"/>
                      <w:divBdr>
                        <w:top w:val="none" w:sz="0" w:space="0" w:color="auto"/>
                        <w:left w:val="none" w:sz="0" w:space="0" w:color="auto"/>
                        <w:bottom w:val="none" w:sz="0" w:space="0" w:color="auto"/>
                        <w:right w:val="none" w:sz="0" w:space="0" w:color="auto"/>
                      </w:divBdr>
                    </w:div>
                    <w:div w:id="294153338">
                      <w:marLeft w:val="0"/>
                      <w:marRight w:val="0"/>
                      <w:marTop w:val="0"/>
                      <w:marBottom w:val="0"/>
                      <w:divBdr>
                        <w:top w:val="none" w:sz="0" w:space="0" w:color="auto"/>
                        <w:left w:val="none" w:sz="0" w:space="0" w:color="auto"/>
                        <w:bottom w:val="none" w:sz="0" w:space="0" w:color="auto"/>
                        <w:right w:val="none" w:sz="0" w:space="0" w:color="auto"/>
                      </w:divBdr>
                      <w:divsChild>
                        <w:div w:id="294144538">
                          <w:marLeft w:val="0"/>
                          <w:marRight w:val="0"/>
                          <w:marTop w:val="0"/>
                          <w:marBottom w:val="0"/>
                          <w:divBdr>
                            <w:top w:val="none" w:sz="0" w:space="0" w:color="auto"/>
                            <w:left w:val="none" w:sz="0" w:space="0" w:color="auto"/>
                            <w:bottom w:val="none" w:sz="0" w:space="0" w:color="auto"/>
                            <w:right w:val="none" w:sz="0" w:space="0" w:color="auto"/>
                          </w:divBdr>
                        </w:div>
                      </w:divsChild>
                    </w:div>
                    <w:div w:id="294153559">
                      <w:marLeft w:val="0"/>
                      <w:marRight w:val="0"/>
                      <w:marTop w:val="0"/>
                      <w:marBottom w:val="0"/>
                      <w:divBdr>
                        <w:top w:val="none" w:sz="0" w:space="0" w:color="auto"/>
                        <w:left w:val="none" w:sz="0" w:space="0" w:color="auto"/>
                        <w:bottom w:val="none" w:sz="0" w:space="0" w:color="auto"/>
                        <w:right w:val="none" w:sz="0" w:space="0" w:color="auto"/>
                      </w:divBdr>
                      <w:divsChild>
                        <w:div w:id="294153104">
                          <w:marLeft w:val="0"/>
                          <w:marRight w:val="0"/>
                          <w:marTop w:val="0"/>
                          <w:marBottom w:val="0"/>
                          <w:divBdr>
                            <w:top w:val="none" w:sz="0" w:space="0" w:color="auto"/>
                            <w:left w:val="none" w:sz="0" w:space="0" w:color="auto"/>
                            <w:bottom w:val="none" w:sz="0" w:space="0" w:color="auto"/>
                            <w:right w:val="none" w:sz="0" w:space="0" w:color="auto"/>
                          </w:divBdr>
                        </w:div>
                      </w:divsChild>
                    </w:div>
                    <w:div w:id="294153653">
                      <w:marLeft w:val="0"/>
                      <w:marRight w:val="0"/>
                      <w:marTop w:val="0"/>
                      <w:marBottom w:val="0"/>
                      <w:divBdr>
                        <w:top w:val="none" w:sz="0" w:space="0" w:color="auto"/>
                        <w:left w:val="none" w:sz="0" w:space="0" w:color="auto"/>
                        <w:bottom w:val="none" w:sz="0" w:space="0" w:color="auto"/>
                        <w:right w:val="none" w:sz="0" w:space="0" w:color="auto"/>
                      </w:divBdr>
                      <w:divsChild>
                        <w:div w:id="294145922">
                          <w:marLeft w:val="0"/>
                          <w:marRight w:val="0"/>
                          <w:marTop w:val="0"/>
                          <w:marBottom w:val="0"/>
                          <w:divBdr>
                            <w:top w:val="none" w:sz="0" w:space="0" w:color="auto"/>
                            <w:left w:val="none" w:sz="0" w:space="0" w:color="auto"/>
                            <w:bottom w:val="none" w:sz="0" w:space="0" w:color="auto"/>
                            <w:right w:val="none" w:sz="0" w:space="0" w:color="auto"/>
                          </w:divBdr>
                        </w:div>
                      </w:divsChild>
                    </w:div>
                    <w:div w:id="294153684">
                      <w:marLeft w:val="0"/>
                      <w:marRight w:val="0"/>
                      <w:marTop w:val="0"/>
                      <w:marBottom w:val="0"/>
                      <w:divBdr>
                        <w:top w:val="none" w:sz="0" w:space="0" w:color="auto"/>
                        <w:left w:val="none" w:sz="0" w:space="0" w:color="auto"/>
                        <w:bottom w:val="none" w:sz="0" w:space="0" w:color="auto"/>
                        <w:right w:val="none" w:sz="0" w:space="0" w:color="auto"/>
                      </w:divBdr>
                    </w:div>
                    <w:div w:id="294153760">
                      <w:marLeft w:val="0"/>
                      <w:marRight w:val="0"/>
                      <w:marTop w:val="0"/>
                      <w:marBottom w:val="0"/>
                      <w:divBdr>
                        <w:top w:val="none" w:sz="0" w:space="0" w:color="auto"/>
                        <w:left w:val="none" w:sz="0" w:space="0" w:color="auto"/>
                        <w:bottom w:val="none" w:sz="0" w:space="0" w:color="auto"/>
                        <w:right w:val="none" w:sz="0" w:space="0" w:color="auto"/>
                      </w:divBdr>
                    </w:div>
                    <w:div w:id="294153945">
                      <w:marLeft w:val="0"/>
                      <w:marRight w:val="0"/>
                      <w:marTop w:val="0"/>
                      <w:marBottom w:val="0"/>
                      <w:divBdr>
                        <w:top w:val="none" w:sz="0" w:space="0" w:color="auto"/>
                        <w:left w:val="none" w:sz="0" w:space="0" w:color="auto"/>
                        <w:bottom w:val="none" w:sz="0" w:space="0" w:color="auto"/>
                        <w:right w:val="none" w:sz="0" w:space="0" w:color="auto"/>
                      </w:divBdr>
                      <w:divsChild>
                        <w:div w:id="294154501">
                          <w:marLeft w:val="0"/>
                          <w:marRight w:val="0"/>
                          <w:marTop w:val="0"/>
                          <w:marBottom w:val="0"/>
                          <w:divBdr>
                            <w:top w:val="none" w:sz="0" w:space="0" w:color="auto"/>
                            <w:left w:val="none" w:sz="0" w:space="0" w:color="auto"/>
                            <w:bottom w:val="none" w:sz="0" w:space="0" w:color="auto"/>
                            <w:right w:val="none" w:sz="0" w:space="0" w:color="auto"/>
                          </w:divBdr>
                        </w:div>
                      </w:divsChild>
                    </w:div>
                    <w:div w:id="294153954">
                      <w:marLeft w:val="0"/>
                      <w:marRight w:val="0"/>
                      <w:marTop w:val="0"/>
                      <w:marBottom w:val="0"/>
                      <w:divBdr>
                        <w:top w:val="none" w:sz="0" w:space="0" w:color="auto"/>
                        <w:left w:val="none" w:sz="0" w:space="0" w:color="auto"/>
                        <w:bottom w:val="none" w:sz="0" w:space="0" w:color="auto"/>
                        <w:right w:val="none" w:sz="0" w:space="0" w:color="auto"/>
                      </w:divBdr>
                    </w:div>
                    <w:div w:id="294154061">
                      <w:marLeft w:val="0"/>
                      <w:marRight w:val="0"/>
                      <w:marTop w:val="0"/>
                      <w:marBottom w:val="0"/>
                      <w:divBdr>
                        <w:top w:val="none" w:sz="0" w:space="0" w:color="auto"/>
                        <w:left w:val="none" w:sz="0" w:space="0" w:color="auto"/>
                        <w:bottom w:val="none" w:sz="0" w:space="0" w:color="auto"/>
                        <w:right w:val="none" w:sz="0" w:space="0" w:color="auto"/>
                      </w:divBdr>
                      <w:divsChild>
                        <w:div w:id="294155640">
                          <w:marLeft w:val="0"/>
                          <w:marRight w:val="0"/>
                          <w:marTop w:val="0"/>
                          <w:marBottom w:val="0"/>
                          <w:divBdr>
                            <w:top w:val="none" w:sz="0" w:space="0" w:color="auto"/>
                            <w:left w:val="none" w:sz="0" w:space="0" w:color="auto"/>
                            <w:bottom w:val="none" w:sz="0" w:space="0" w:color="auto"/>
                            <w:right w:val="none" w:sz="0" w:space="0" w:color="auto"/>
                          </w:divBdr>
                        </w:div>
                      </w:divsChild>
                    </w:div>
                    <w:div w:id="294154239">
                      <w:marLeft w:val="0"/>
                      <w:marRight w:val="0"/>
                      <w:marTop w:val="0"/>
                      <w:marBottom w:val="0"/>
                      <w:divBdr>
                        <w:top w:val="none" w:sz="0" w:space="0" w:color="auto"/>
                        <w:left w:val="none" w:sz="0" w:space="0" w:color="auto"/>
                        <w:bottom w:val="none" w:sz="0" w:space="0" w:color="auto"/>
                        <w:right w:val="none" w:sz="0" w:space="0" w:color="auto"/>
                      </w:divBdr>
                    </w:div>
                    <w:div w:id="294154301">
                      <w:marLeft w:val="0"/>
                      <w:marRight w:val="0"/>
                      <w:marTop w:val="0"/>
                      <w:marBottom w:val="0"/>
                      <w:divBdr>
                        <w:top w:val="none" w:sz="0" w:space="0" w:color="auto"/>
                        <w:left w:val="none" w:sz="0" w:space="0" w:color="auto"/>
                        <w:bottom w:val="none" w:sz="0" w:space="0" w:color="auto"/>
                        <w:right w:val="none" w:sz="0" w:space="0" w:color="auto"/>
                      </w:divBdr>
                      <w:divsChild>
                        <w:div w:id="294139822">
                          <w:marLeft w:val="0"/>
                          <w:marRight w:val="0"/>
                          <w:marTop w:val="0"/>
                          <w:marBottom w:val="0"/>
                          <w:divBdr>
                            <w:top w:val="none" w:sz="0" w:space="0" w:color="auto"/>
                            <w:left w:val="none" w:sz="0" w:space="0" w:color="auto"/>
                            <w:bottom w:val="none" w:sz="0" w:space="0" w:color="auto"/>
                            <w:right w:val="none" w:sz="0" w:space="0" w:color="auto"/>
                          </w:divBdr>
                        </w:div>
                      </w:divsChild>
                    </w:div>
                    <w:div w:id="294154384">
                      <w:marLeft w:val="0"/>
                      <w:marRight w:val="0"/>
                      <w:marTop w:val="0"/>
                      <w:marBottom w:val="0"/>
                      <w:divBdr>
                        <w:top w:val="none" w:sz="0" w:space="0" w:color="auto"/>
                        <w:left w:val="none" w:sz="0" w:space="0" w:color="auto"/>
                        <w:bottom w:val="none" w:sz="0" w:space="0" w:color="auto"/>
                        <w:right w:val="none" w:sz="0" w:space="0" w:color="auto"/>
                      </w:divBdr>
                    </w:div>
                    <w:div w:id="294154410">
                      <w:marLeft w:val="0"/>
                      <w:marRight w:val="0"/>
                      <w:marTop w:val="0"/>
                      <w:marBottom w:val="0"/>
                      <w:divBdr>
                        <w:top w:val="none" w:sz="0" w:space="0" w:color="auto"/>
                        <w:left w:val="none" w:sz="0" w:space="0" w:color="auto"/>
                        <w:bottom w:val="none" w:sz="0" w:space="0" w:color="auto"/>
                        <w:right w:val="none" w:sz="0" w:space="0" w:color="auto"/>
                      </w:divBdr>
                      <w:divsChild>
                        <w:div w:id="294142714">
                          <w:marLeft w:val="0"/>
                          <w:marRight w:val="0"/>
                          <w:marTop w:val="0"/>
                          <w:marBottom w:val="0"/>
                          <w:divBdr>
                            <w:top w:val="none" w:sz="0" w:space="0" w:color="auto"/>
                            <w:left w:val="none" w:sz="0" w:space="0" w:color="auto"/>
                            <w:bottom w:val="none" w:sz="0" w:space="0" w:color="auto"/>
                            <w:right w:val="none" w:sz="0" w:space="0" w:color="auto"/>
                          </w:divBdr>
                        </w:div>
                      </w:divsChild>
                    </w:div>
                    <w:div w:id="294154491">
                      <w:marLeft w:val="0"/>
                      <w:marRight w:val="0"/>
                      <w:marTop w:val="0"/>
                      <w:marBottom w:val="0"/>
                      <w:divBdr>
                        <w:top w:val="none" w:sz="0" w:space="0" w:color="auto"/>
                        <w:left w:val="none" w:sz="0" w:space="0" w:color="auto"/>
                        <w:bottom w:val="none" w:sz="0" w:space="0" w:color="auto"/>
                        <w:right w:val="none" w:sz="0" w:space="0" w:color="auto"/>
                      </w:divBdr>
                      <w:divsChild>
                        <w:div w:id="294149811">
                          <w:marLeft w:val="0"/>
                          <w:marRight w:val="0"/>
                          <w:marTop w:val="0"/>
                          <w:marBottom w:val="0"/>
                          <w:divBdr>
                            <w:top w:val="none" w:sz="0" w:space="0" w:color="auto"/>
                            <w:left w:val="none" w:sz="0" w:space="0" w:color="auto"/>
                            <w:bottom w:val="none" w:sz="0" w:space="0" w:color="auto"/>
                            <w:right w:val="none" w:sz="0" w:space="0" w:color="auto"/>
                          </w:divBdr>
                        </w:div>
                      </w:divsChild>
                    </w:div>
                    <w:div w:id="294154612">
                      <w:marLeft w:val="0"/>
                      <w:marRight w:val="0"/>
                      <w:marTop w:val="0"/>
                      <w:marBottom w:val="0"/>
                      <w:divBdr>
                        <w:top w:val="none" w:sz="0" w:space="0" w:color="auto"/>
                        <w:left w:val="none" w:sz="0" w:space="0" w:color="auto"/>
                        <w:bottom w:val="none" w:sz="0" w:space="0" w:color="auto"/>
                        <w:right w:val="none" w:sz="0" w:space="0" w:color="auto"/>
                      </w:divBdr>
                    </w:div>
                    <w:div w:id="294154821">
                      <w:marLeft w:val="0"/>
                      <w:marRight w:val="0"/>
                      <w:marTop w:val="0"/>
                      <w:marBottom w:val="0"/>
                      <w:divBdr>
                        <w:top w:val="none" w:sz="0" w:space="0" w:color="auto"/>
                        <w:left w:val="none" w:sz="0" w:space="0" w:color="auto"/>
                        <w:bottom w:val="none" w:sz="0" w:space="0" w:color="auto"/>
                        <w:right w:val="none" w:sz="0" w:space="0" w:color="auto"/>
                      </w:divBdr>
                      <w:divsChild>
                        <w:div w:id="294151729">
                          <w:marLeft w:val="0"/>
                          <w:marRight w:val="0"/>
                          <w:marTop w:val="0"/>
                          <w:marBottom w:val="0"/>
                          <w:divBdr>
                            <w:top w:val="none" w:sz="0" w:space="0" w:color="auto"/>
                            <w:left w:val="none" w:sz="0" w:space="0" w:color="auto"/>
                            <w:bottom w:val="none" w:sz="0" w:space="0" w:color="auto"/>
                            <w:right w:val="none" w:sz="0" w:space="0" w:color="auto"/>
                          </w:divBdr>
                        </w:div>
                      </w:divsChild>
                    </w:div>
                    <w:div w:id="294154933">
                      <w:marLeft w:val="0"/>
                      <w:marRight w:val="0"/>
                      <w:marTop w:val="0"/>
                      <w:marBottom w:val="0"/>
                      <w:divBdr>
                        <w:top w:val="none" w:sz="0" w:space="0" w:color="auto"/>
                        <w:left w:val="none" w:sz="0" w:space="0" w:color="auto"/>
                        <w:bottom w:val="none" w:sz="0" w:space="0" w:color="auto"/>
                        <w:right w:val="none" w:sz="0" w:space="0" w:color="auto"/>
                      </w:divBdr>
                    </w:div>
                    <w:div w:id="294155340">
                      <w:marLeft w:val="0"/>
                      <w:marRight w:val="0"/>
                      <w:marTop w:val="0"/>
                      <w:marBottom w:val="0"/>
                      <w:divBdr>
                        <w:top w:val="none" w:sz="0" w:space="0" w:color="auto"/>
                        <w:left w:val="none" w:sz="0" w:space="0" w:color="auto"/>
                        <w:bottom w:val="none" w:sz="0" w:space="0" w:color="auto"/>
                        <w:right w:val="none" w:sz="0" w:space="0" w:color="auto"/>
                      </w:divBdr>
                      <w:divsChild>
                        <w:div w:id="294143626">
                          <w:marLeft w:val="0"/>
                          <w:marRight w:val="0"/>
                          <w:marTop w:val="0"/>
                          <w:marBottom w:val="0"/>
                          <w:divBdr>
                            <w:top w:val="none" w:sz="0" w:space="0" w:color="auto"/>
                            <w:left w:val="none" w:sz="0" w:space="0" w:color="auto"/>
                            <w:bottom w:val="none" w:sz="0" w:space="0" w:color="auto"/>
                            <w:right w:val="none" w:sz="0" w:space="0" w:color="auto"/>
                          </w:divBdr>
                        </w:div>
                      </w:divsChild>
                    </w:div>
                    <w:div w:id="294155360">
                      <w:marLeft w:val="0"/>
                      <w:marRight w:val="0"/>
                      <w:marTop w:val="0"/>
                      <w:marBottom w:val="0"/>
                      <w:divBdr>
                        <w:top w:val="none" w:sz="0" w:space="0" w:color="auto"/>
                        <w:left w:val="none" w:sz="0" w:space="0" w:color="auto"/>
                        <w:bottom w:val="none" w:sz="0" w:space="0" w:color="auto"/>
                        <w:right w:val="none" w:sz="0" w:space="0" w:color="auto"/>
                      </w:divBdr>
                    </w:div>
                    <w:div w:id="294155431">
                      <w:marLeft w:val="0"/>
                      <w:marRight w:val="0"/>
                      <w:marTop w:val="0"/>
                      <w:marBottom w:val="0"/>
                      <w:divBdr>
                        <w:top w:val="none" w:sz="0" w:space="0" w:color="auto"/>
                        <w:left w:val="none" w:sz="0" w:space="0" w:color="auto"/>
                        <w:bottom w:val="none" w:sz="0" w:space="0" w:color="auto"/>
                        <w:right w:val="none" w:sz="0" w:space="0" w:color="auto"/>
                      </w:divBdr>
                    </w:div>
                    <w:div w:id="294155603">
                      <w:marLeft w:val="0"/>
                      <w:marRight w:val="0"/>
                      <w:marTop w:val="0"/>
                      <w:marBottom w:val="0"/>
                      <w:divBdr>
                        <w:top w:val="none" w:sz="0" w:space="0" w:color="auto"/>
                        <w:left w:val="none" w:sz="0" w:space="0" w:color="auto"/>
                        <w:bottom w:val="none" w:sz="0" w:space="0" w:color="auto"/>
                        <w:right w:val="none" w:sz="0" w:space="0" w:color="auto"/>
                      </w:divBdr>
                      <w:divsChild>
                        <w:div w:id="294143325">
                          <w:marLeft w:val="0"/>
                          <w:marRight w:val="0"/>
                          <w:marTop w:val="0"/>
                          <w:marBottom w:val="0"/>
                          <w:divBdr>
                            <w:top w:val="none" w:sz="0" w:space="0" w:color="auto"/>
                            <w:left w:val="none" w:sz="0" w:space="0" w:color="auto"/>
                            <w:bottom w:val="none" w:sz="0" w:space="0" w:color="auto"/>
                            <w:right w:val="none" w:sz="0" w:space="0" w:color="auto"/>
                          </w:divBdr>
                        </w:div>
                      </w:divsChild>
                    </w:div>
                    <w:div w:id="294155823">
                      <w:marLeft w:val="0"/>
                      <w:marRight w:val="0"/>
                      <w:marTop w:val="0"/>
                      <w:marBottom w:val="0"/>
                      <w:divBdr>
                        <w:top w:val="none" w:sz="0" w:space="0" w:color="auto"/>
                        <w:left w:val="none" w:sz="0" w:space="0" w:color="auto"/>
                        <w:bottom w:val="none" w:sz="0" w:space="0" w:color="auto"/>
                        <w:right w:val="none" w:sz="0" w:space="0" w:color="auto"/>
                      </w:divBdr>
                      <w:divsChild>
                        <w:div w:id="294151046">
                          <w:marLeft w:val="0"/>
                          <w:marRight w:val="0"/>
                          <w:marTop w:val="0"/>
                          <w:marBottom w:val="0"/>
                          <w:divBdr>
                            <w:top w:val="none" w:sz="0" w:space="0" w:color="auto"/>
                            <w:left w:val="none" w:sz="0" w:space="0" w:color="auto"/>
                            <w:bottom w:val="none" w:sz="0" w:space="0" w:color="auto"/>
                            <w:right w:val="none" w:sz="0" w:space="0" w:color="auto"/>
                          </w:divBdr>
                        </w:div>
                      </w:divsChild>
                    </w:div>
                    <w:div w:id="294155891">
                      <w:marLeft w:val="0"/>
                      <w:marRight w:val="0"/>
                      <w:marTop w:val="0"/>
                      <w:marBottom w:val="0"/>
                      <w:divBdr>
                        <w:top w:val="none" w:sz="0" w:space="0" w:color="auto"/>
                        <w:left w:val="none" w:sz="0" w:space="0" w:color="auto"/>
                        <w:bottom w:val="none" w:sz="0" w:space="0" w:color="auto"/>
                        <w:right w:val="none" w:sz="0" w:space="0" w:color="auto"/>
                      </w:divBdr>
                    </w:div>
                    <w:div w:id="294155934">
                      <w:marLeft w:val="0"/>
                      <w:marRight w:val="0"/>
                      <w:marTop w:val="0"/>
                      <w:marBottom w:val="0"/>
                      <w:divBdr>
                        <w:top w:val="none" w:sz="0" w:space="0" w:color="auto"/>
                        <w:left w:val="none" w:sz="0" w:space="0" w:color="auto"/>
                        <w:bottom w:val="none" w:sz="0" w:space="0" w:color="auto"/>
                        <w:right w:val="none" w:sz="0" w:space="0" w:color="auto"/>
                      </w:divBdr>
                      <w:divsChild>
                        <w:div w:id="294148940">
                          <w:marLeft w:val="0"/>
                          <w:marRight w:val="0"/>
                          <w:marTop w:val="0"/>
                          <w:marBottom w:val="0"/>
                          <w:divBdr>
                            <w:top w:val="none" w:sz="0" w:space="0" w:color="auto"/>
                            <w:left w:val="none" w:sz="0" w:space="0" w:color="auto"/>
                            <w:bottom w:val="none" w:sz="0" w:space="0" w:color="auto"/>
                            <w:right w:val="none" w:sz="0" w:space="0" w:color="auto"/>
                          </w:divBdr>
                        </w:div>
                      </w:divsChild>
                    </w:div>
                    <w:div w:id="294155958">
                      <w:marLeft w:val="0"/>
                      <w:marRight w:val="0"/>
                      <w:marTop w:val="0"/>
                      <w:marBottom w:val="0"/>
                      <w:divBdr>
                        <w:top w:val="none" w:sz="0" w:space="0" w:color="auto"/>
                        <w:left w:val="none" w:sz="0" w:space="0" w:color="auto"/>
                        <w:bottom w:val="none" w:sz="0" w:space="0" w:color="auto"/>
                        <w:right w:val="none" w:sz="0" w:space="0" w:color="auto"/>
                      </w:divBdr>
                      <w:divsChild>
                        <w:div w:id="294138450">
                          <w:marLeft w:val="0"/>
                          <w:marRight w:val="0"/>
                          <w:marTop w:val="0"/>
                          <w:marBottom w:val="0"/>
                          <w:divBdr>
                            <w:top w:val="none" w:sz="0" w:space="0" w:color="auto"/>
                            <w:left w:val="none" w:sz="0" w:space="0" w:color="auto"/>
                            <w:bottom w:val="none" w:sz="0" w:space="0" w:color="auto"/>
                            <w:right w:val="none" w:sz="0" w:space="0" w:color="auto"/>
                          </w:divBdr>
                        </w:div>
                      </w:divsChild>
                    </w:div>
                    <w:div w:id="294156064">
                      <w:marLeft w:val="0"/>
                      <w:marRight w:val="0"/>
                      <w:marTop w:val="0"/>
                      <w:marBottom w:val="0"/>
                      <w:divBdr>
                        <w:top w:val="none" w:sz="0" w:space="0" w:color="auto"/>
                        <w:left w:val="none" w:sz="0" w:space="0" w:color="auto"/>
                        <w:bottom w:val="none" w:sz="0" w:space="0" w:color="auto"/>
                        <w:right w:val="none" w:sz="0" w:space="0" w:color="auto"/>
                      </w:divBdr>
                    </w:div>
                    <w:div w:id="294156149">
                      <w:marLeft w:val="0"/>
                      <w:marRight w:val="0"/>
                      <w:marTop w:val="0"/>
                      <w:marBottom w:val="0"/>
                      <w:divBdr>
                        <w:top w:val="none" w:sz="0" w:space="0" w:color="auto"/>
                        <w:left w:val="none" w:sz="0" w:space="0" w:color="auto"/>
                        <w:bottom w:val="none" w:sz="0" w:space="0" w:color="auto"/>
                        <w:right w:val="none" w:sz="0" w:space="0" w:color="auto"/>
                      </w:divBdr>
                      <w:divsChild>
                        <w:div w:id="294138536">
                          <w:marLeft w:val="0"/>
                          <w:marRight w:val="0"/>
                          <w:marTop w:val="0"/>
                          <w:marBottom w:val="0"/>
                          <w:divBdr>
                            <w:top w:val="none" w:sz="0" w:space="0" w:color="auto"/>
                            <w:left w:val="none" w:sz="0" w:space="0" w:color="auto"/>
                            <w:bottom w:val="none" w:sz="0" w:space="0" w:color="auto"/>
                            <w:right w:val="none" w:sz="0" w:space="0" w:color="auto"/>
                          </w:divBdr>
                        </w:div>
                      </w:divsChild>
                    </w:div>
                    <w:div w:id="294156710">
                      <w:marLeft w:val="0"/>
                      <w:marRight w:val="0"/>
                      <w:marTop w:val="0"/>
                      <w:marBottom w:val="0"/>
                      <w:divBdr>
                        <w:top w:val="none" w:sz="0" w:space="0" w:color="auto"/>
                        <w:left w:val="none" w:sz="0" w:space="0" w:color="auto"/>
                        <w:bottom w:val="none" w:sz="0" w:space="0" w:color="auto"/>
                        <w:right w:val="none" w:sz="0" w:space="0" w:color="auto"/>
                      </w:divBdr>
                      <w:divsChild>
                        <w:div w:id="294155680">
                          <w:marLeft w:val="0"/>
                          <w:marRight w:val="0"/>
                          <w:marTop w:val="0"/>
                          <w:marBottom w:val="0"/>
                          <w:divBdr>
                            <w:top w:val="none" w:sz="0" w:space="0" w:color="auto"/>
                            <w:left w:val="none" w:sz="0" w:space="0" w:color="auto"/>
                            <w:bottom w:val="none" w:sz="0" w:space="0" w:color="auto"/>
                            <w:right w:val="none" w:sz="0" w:space="0" w:color="auto"/>
                          </w:divBdr>
                        </w:div>
                      </w:divsChild>
                    </w:div>
                    <w:div w:id="294156740">
                      <w:marLeft w:val="0"/>
                      <w:marRight w:val="0"/>
                      <w:marTop w:val="0"/>
                      <w:marBottom w:val="0"/>
                      <w:divBdr>
                        <w:top w:val="none" w:sz="0" w:space="0" w:color="auto"/>
                        <w:left w:val="none" w:sz="0" w:space="0" w:color="auto"/>
                        <w:bottom w:val="none" w:sz="0" w:space="0" w:color="auto"/>
                        <w:right w:val="none" w:sz="0" w:space="0" w:color="auto"/>
                      </w:divBdr>
                    </w:div>
                    <w:div w:id="294156773">
                      <w:marLeft w:val="0"/>
                      <w:marRight w:val="0"/>
                      <w:marTop w:val="0"/>
                      <w:marBottom w:val="0"/>
                      <w:divBdr>
                        <w:top w:val="none" w:sz="0" w:space="0" w:color="auto"/>
                        <w:left w:val="none" w:sz="0" w:space="0" w:color="auto"/>
                        <w:bottom w:val="none" w:sz="0" w:space="0" w:color="auto"/>
                        <w:right w:val="none" w:sz="0" w:space="0" w:color="auto"/>
                      </w:divBdr>
                      <w:divsChild>
                        <w:div w:id="294156474">
                          <w:marLeft w:val="0"/>
                          <w:marRight w:val="0"/>
                          <w:marTop w:val="0"/>
                          <w:marBottom w:val="0"/>
                          <w:divBdr>
                            <w:top w:val="none" w:sz="0" w:space="0" w:color="auto"/>
                            <w:left w:val="none" w:sz="0" w:space="0" w:color="auto"/>
                            <w:bottom w:val="none" w:sz="0" w:space="0" w:color="auto"/>
                            <w:right w:val="none" w:sz="0" w:space="0" w:color="auto"/>
                          </w:divBdr>
                        </w:div>
                      </w:divsChild>
                    </w:div>
                    <w:div w:id="294157033">
                      <w:marLeft w:val="0"/>
                      <w:marRight w:val="0"/>
                      <w:marTop w:val="0"/>
                      <w:marBottom w:val="0"/>
                      <w:divBdr>
                        <w:top w:val="none" w:sz="0" w:space="0" w:color="auto"/>
                        <w:left w:val="none" w:sz="0" w:space="0" w:color="auto"/>
                        <w:bottom w:val="none" w:sz="0" w:space="0" w:color="auto"/>
                        <w:right w:val="none" w:sz="0" w:space="0" w:color="auto"/>
                      </w:divBdr>
                    </w:div>
                    <w:div w:id="294157039">
                      <w:marLeft w:val="0"/>
                      <w:marRight w:val="0"/>
                      <w:marTop w:val="0"/>
                      <w:marBottom w:val="0"/>
                      <w:divBdr>
                        <w:top w:val="none" w:sz="0" w:space="0" w:color="auto"/>
                        <w:left w:val="none" w:sz="0" w:space="0" w:color="auto"/>
                        <w:bottom w:val="none" w:sz="0" w:space="0" w:color="auto"/>
                        <w:right w:val="none" w:sz="0" w:space="0" w:color="auto"/>
                      </w:divBdr>
                    </w:div>
                    <w:div w:id="294157155">
                      <w:marLeft w:val="0"/>
                      <w:marRight w:val="0"/>
                      <w:marTop w:val="0"/>
                      <w:marBottom w:val="0"/>
                      <w:divBdr>
                        <w:top w:val="none" w:sz="0" w:space="0" w:color="auto"/>
                        <w:left w:val="none" w:sz="0" w:space="0" w:color="auto"/>
                        <w:bottom w:val="none" w:sz="0" w:space="0" w:color="auto"/>
                        <w:right w:val="none" w:sz="0" w:space="0" w:color="auto"/>
                      </w:divBdr>
                    </w:div>
                    <w:div w:id="294157231">
                      <w:marLeft w:val="0"/>
                      <w:marRight w:val="0"/>
                      <w:marTop w:val="0"/>
                      <w:marBottom w:val="0"/>
                      <w:divBdr>
                        <w:top w:val="none" w:sz="0" w:space="0" w:color="auto"/>
                        <w:left w:val="none" w:sz="0" w:space="0" w:color="auto"/>
                        <w:bottom w:val="none" w:sz="0" w:space="0" w:color="auto"/>
                        <w:right w:val="none" w:sz="0" w:space="0" w:color="auto"/>
                      </w:divBdr>
                    </w:div>
                    <w:div w:id="294157253">
                      <w:marLeft w:val="0"/>
                      <w:marRight w:val="0"/>
                      <w:marTop w:val="0"/>
                      <w:marBottom w:val="0"/>
                      <w:divBdr>
                        <w:top w:val="none" w:sz="0" w:space="0" w:color="auto"/>
                        <w:left w:val="none" w:sz="0" w:space="0" w:color="auto"/>
                        <w:bottom w:val="none" w:sz="0" w:space="0" w:color="auto"/>
                        <w:right w:val="none" w:sz="0" w:space="0" w:color="auto"/>
                      </w:divBdr>
                    </w:div>
                    <w:div w:id="294157290">
                      <w:marLeft w:val="0"/>
                      <w:marRight w:val="0"/>
                      <w:marTop w:val="0"/>
                      <w:marBottom w:val="0"/>
                      <w:divBdr>
                        <w:top w:val="none" w:sz="0" w:space="0" w:color="auto"/>
                        <w:left w:val="none" w:sz="0" w:space="0" w:color="auto"/>
                        <w:bottom w:val="none" w:sz="0" w:space="0" w:color="auto"/>
                        <w:right w:val="none" w:sz="0" w:space="0" w:color="auto"/>
                      </w:divBdr>
                      <w:divsChild>
                        <w:div w:id="294140077">
                          <w:marLeft w:val="0"/>
                          <w:marRight w:val="0"/>
                          <w:marTop w:val="0"/>
                          <w:marBottom w:val="0"/>
                          <w:divBdr>
                            <w:top w:val="none" w:sz="0" w:space="0" w:color="auto"/>
                            <w:left w:val="none" w:sz="0" w:space="0" w:color="auto"/>
                            <w:bottom w:val="none" w:sz="0" w:space="0" w:color="auto"/>
                            <w:right w:val="none" w:sz="0" w:space="0" w:color="auto"/>
                          </w:divBdr>
                        </w:div>
                      </w:divsChild>
                    </w:div>
                    <w:div w:id="294157299">
                      <w:marLeft w:val="0"/>
                      <w:marRight w:val="0"/>
                      <w:marTop w:val="0"/>
                      <w:marBottom w:val="0"/>
                      <w:divBdr>
                        <w:top w:val="none" w:sz="0" w:space="0" w:color="auto"/>
                        <w:left w:val="none" w:sz="0" w:space="0" w:color="auto"/>
                        <w:bottom w:val="none" w:sz="0" w:space="0" w:color="auto"/>
                        <w:right w:val="none" w:sz="0" w:space="0" w:color="auto"/>
                      </w:divBdr>
                    </w:div>
                    <w:div w:id="294157328">
                      <w:marLeft w:val="0"/>
                      <w:marRight w:val="0"/>
                      <w:marTop w:val="0"/>
                      <w:marBottom w:val="0"/>
                      <w:divBdr>
                        <w:top w:val="none" w:sz="0" w:space="0" w:color="auto"/>
                        <w:left w:val="none" w:sz="0" w:space="0" w:color="auto"/>
                        <w:bottom w:val="none" w:sz="0" w:space="0" w:color="auto"/>
                        <w:right w:val="none" w:sz="0" w:space="0" w:color="auto"/>
                      </w:divBdr>
                      <w:divsChild>
                        <w:div w:id="294152675">
                          <w:marLeft w:val="0"/>
                          <w:marRight w:val="0"/>
                          <w:marTop w:val="0"/>
                          <w:marBottom w:val="0"/>
                          <w:divBdr>
                            <w:top w:val="none" w:sz="0" w:space="0" w:color="auto"/>
                            <w:left w:val="none" w:sz="0" w:space="0" w:color="auto"/>
                            <w:bottom w:val="none" w:sz="0" w:space="0" w:color="auto"/>
                            <w:right w:val="none" w:sz="0" w:space="0" w:color="auto"/>
                          </w:divBdr>
                        </w:div>
                      </w:divsChild>
                    </w:div>
                    <w:div w:id="294157417">
                      <w:marLeft w:val="0"/>
                      <w:marRight w:val="0"/>
                      <w:marTop w:val="0"/>
                      <w:marBottom w:val="0"/>
                      <w:divBdr>
                        <w:top w:val="none" w:sz="0" w:space="0" w:color="auto"/>
                        <w:left w:val="none" w:sz="0" w:space="0" w:color="auto"/>
                        <w:bottom w:val="none" w:sz="0" w:space="0" w:color="auto"/>
                        <w:right w:val="none" w:sz="0" w:space="0" w:color="auto"/>
                      </w:divBdr>
                      <w:divsChild>
                        <w:div w:id="29415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48723">
          <w:marLeft w:val="0"/>
          <w:marRight w:val="0"/>
          <w:marTop w:val="0"/>
          <w:marBottom w:val="0"/>
          <w:divBdr>
            <w:top w:val="none" w:sz="0" w:space="0" w:color="auto"/>
            <w:left w:val="none" w:sz="0" w:space="0" w:color="auto"/>
            <w:bottom w:val="none" w:sz="0" w:space="0" w:color="auto"/>
            <w:right w:val="none" w:sz="0" w:space="0" w:color="auto"/>
          </w:divBdr>
          <w:divsChild>
            <w:div w:id="294150276">
              <w:marLeft w:val="0"/>
              <w:marRight w:val="0"/>
              <w:marTop w:val="0"/>
              <w:marBottom w:val="0"/>
              <w:divBdr>
                <w:top w:val="none" w:sz="0" w:space="0" w:color="auto"/>
                <w:left w:val="none" w:sz="0" w:space="0" w:color="auto"/>
                <w:bottom w:val="none" w:sz="0" w:space="0" w:color="auto"/>
                <w:right w:val="none" w:sz="0" w:space="0" w:color="auto"/>
              </w:divBdr>
              <w:divsChild>
                <w:div w:id="29414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55692">
      <w:marLeft w:val="0"/>
      <w:marRight w:val="0"/>
      <w:marTop w:val="0"/>
      <w:marBottom w:val="0"/>
      <w:divBdr>
        <w:top w:val="none" w:sz="0" w:space="0" w:color="auto"/>
        <w:left w:val="none" w:sz="0" w:space="0" w:color="auto"/>
        <w:bottom w:val="none" w:sz="0" w:space="0" w:color="auto"/>
        <w:right w:val="none" w:sz="0" w:space="0" w:color="auto"/>
      </w:divBdr>
    </w:div>
    <w:div w:id="294155695">
      <w:marLeft w:val="0"/>
      <w:marRight w:val="0"/>
      <w:marTop w:val="0"/>
      <w:marBottom w:val="0"/>
      <w:divBdr>
        <w:top w:val="none" w:sz="0" w:space="0" w:color="auto"/>
        <w:left w:val="none" w:sz="0" w:space="0" w:color="auto"/>
        <w:bottom w:val="none" w:sz="0" w:space="0" w:color="auto"/>
        <w:right w:val="none" w:sz="0" w:space="0" w:color="auto"/>
      </w:divBdr>
    </w:div>
    <w:div w:id="294155705">
      <w:marLeft w:val="0"/>
      <w:marRight w:val="0"/>
      <w:marTop w:val="0"/>
      <w:marBottom w:val="0"/>
      <w:divBdr>
        <w:top w:val="none" w:sz="0" w:space="0" w:color="auto"/>
        <w:left w:val="none" w:sz="0" w:space="0" w:color="auto"/>
        <w:bottom w:val="none" w:sz="0" w:space="0" w:color="auto"/>
        <w:right w:val="none" w:sz="0" w:space="0" w:color="auto"/>
      </w:divBdr>
    </w:div>
    <w:div w:id="294155716">
      <w:marLeft w:val="0"/>
      <w:marRight w:val="0"/>
      <w:marTop w:val="0"/>
      <w:marBottom w:val="0"/>
      <w:divBdr>
        <w:top w:val="none" w:sz="0" w:space="0" w:color="auto"/>
        <w:left w:val="none" w:sz="0" w:space="0" w:color="auto"/>
        <w:bottom w:val="none" w:sz="0" w:space="0" w:color="auto"/>
        <w:right w:val="none" w:sz="0" w:space="0" w:color="auto"/>
      </w:divBdr>
      <w:divsChild>
        <w:div w:id="294144057">
          <w:marLeft w:val="0"/>
          <w:marRight w:val="0"/>
          <w:marTop w:val="0"/>
          <w:marBottom w:val="0"/>
          <w:divBdr>
            <w:top w:val="none" w:sz="0" w:space="0" w:color="auto"/>
            <w:left w:val="none" w:sz="0" w:space="0" w:color="auto"/>
            <w:bottom w:val="none" w:sz="0" w:space="0" w:color="auto"/>
            <w:right w:val="none" w:sz="0" w:space="0" w:color="auto"/>
          </w:divBdr>
        </w:div>
      </w:divsChild>
    </w:div>
    <w:div w:id="294155812">
      <w:marLeft w:val="0"/>
      <w:marRight w:val="0"/>
      <w:marTop w:val="0"/>
      <w:marBottom w:val="0"/>
      <w:divBdr>
        <w:top w:val="none" w:sz="0" w:space="0" w:color="auto"/>
        <w:left w:val="none" w:sz="0" w:space="0" w:color="auto"/>
        <w:bottom w:val="none" w:sz="0" w:space="0" w:color="auto"/>
        <w:right w:val="none" w:sz="0" w:space="0" w:color="auto"/>
      </w:divBdr>
    </w:div>
    <w:div w:id="294155890">
      <w:marLeft w:val="0"/>
      <w:marRight w:val="0"/>
      <w:marTop w:val="0"/>
      <w:marBottom w:val="0"/>
      <w:divBdr>
        <w:top w:val="none" w:sz="0" w:space="0" w:color="auto"/>
        <w:left w:val="none" w:sz="0" w:space="0" w:color="auto"/>
        <w:bottom w:val="none" w:sz="0" w:space="0" w:color="auto"/>
        <w:right w:val="none" w:sz="0" w:space="0" w:color="auto"/>
      </w:divBdr>
    </w:div>
    <w:div w:id="294155900">
      <w:marLeft w:val="0"/>
      <w:marRight w:val="0"/>
      <w:marTop w:val="0"/>
      <w:marBottom w:val="0"/>
      <w:divBdr>
        <w:top w:val="none" w:sz="0" w:space="0" w:color="auto"/>
        <w:left w:val="none" w:sz="0" w:space="0" w:color="auto"/>
        <w:bottom w:val="none" w:sz="0" w:space="0" w:color="auto"/>
        <w:right w:val="none" w:sz="0" w:space="0" w:color="auto"/>
      </w:divBdr>
    </w:div>
    <w:div w:id="294156071">
      <w:marLeft w:val="0"/>
      <w:marRight w:val="0"/>
      <w:marTop w:val="0"/>
      <w:marBottom w:val="0"/>
      <w:divBdr>
        <w:top w:val="none" w:sz="0" w:space="0" w:color="auto"/>
        <w:left w:val="none" w:sz="0" w:space="0" w:color="auto"/>
        <w:bottom w:val="none" w:sz="0" w:space="0" w:color="auto"/>
        <w:right w:val="none" w:sz="0" w:space="0" w:color="auto"/>
      </w:divBdr>
    </w:div>
    <w:div w:id="294156125">
      <w:marLeft w:val="0"/>
      <w:marRight w:val="0"/>
      <w:marTop w:val="0"/>
      <w:marBottom w:val="0"/>
      <w:divBdr>
        <w:top w:val="none" w:sz="0" w:space="0" w:color="auto"/>
        <w:left w:val="none" w:sz="0" w:space="0" w:color="auto"/>
        <w:bottom w:val="none" w:sz="0" w:space="0" w:color="auto"/>
        <w:right w:val="none" w:sz="0" w:space="0" w:color="auto"/>
      </w:divBdr>
    </w:div>
    <w:div w:id="294156148">
      <w:marLeft w:val="0"/>
      <w:marRight w:val="0"/>
      <w:marTop w:val="0"/>
      <w:marBottom w:val="0"/>
      <w:divBdr>
        <w:top w:val="none" w:sz="0" w:space="0" w:color="auto"/>
        <w:left w:val="none" w:sz="0" w:space="0" w:color="auto"/>
        <w:bottom w:val="none" w:sz="0" w:space="0" w:color="auto"/>
        <w:right w:val="none" w:sz="0" w:space="0" w:color="auto"/>
      </w:divBdr>
    </w:div>
    <w:div w:id="294156223">
      <w:marLeft w:val="0"/>
      <w:marRight w:val="0"/>
      <w:marTop w:val="0"/>
      <w:marBottom w:val="0"/>
      <w:divBdr>
        <w:top w:val="none" w:sz="0" w:space="0" w:color="auto"/>
        <w:left w:val="none" w:sz="0" w:space="0" w:color="auto"/>
        <w:bottom w:val="none" w:sz="0" w:space="0" w:color="auto"/>
        <w:right w:val="none" w:sz="0" w:space="0" w:color="auto"/>
      </w:divBdr>
      <w:divsChild>
        <w:div w:id="294138318">
          <w:marLeft w:val="0"/>
          <w:marRight w:val="0"/>
          <w:marTop w:val="0"/>
          <w:marBottom w:val="0"/>
          <w:divBdr>
            <w:top w:val="none" w:sz="0" w:space="0" w:color="auto"/>
            <w:left w:val="none" w:sz="0" w:space="0" w:color="auto"/>
            <w:bottom w:val="none" w:sz="0" w:space="0" w:color="auto"/>
            <w:right w:val="none" w:sz="0" w:space="0" w:color="auto"/>
          </w:divBdr>
        </w:div>
        <w:div w:id="294139384">
          <w:marLeft w:val="0"/>
          <w:marRight w:val="0"/>
          <w:marTop w:val="0"/>
          <w:marBottom w:val="0"/>
          <w:divBdr>
            <w:top w:val="none" w:sz="0" w:space="0" w:color="auto"/>
            <w:left w:val="none" w:sz="0" w:space="0" w:color="auto"/>
            <w:bottom w:val="none" w:sz="0" w:space="0" w:color="auto"/>
            <w:right w:val="none" w:sz="0" w:space="0" w:color="auto"/>
          </w:divBdr>
        </w:div>
        <w:div w:id="294139403">
          <w:marLeft w:val="0"/>
          <w:marRight w:val="0"/>
          <w:marTop w:val="0"/>
          <w:marBottom w:val="0"/>
          <w:divBdr>
            <w:top w:val="none" w:sz="0" w:space="0" w:color="auto"/>
            <w:left w:val="none" w:sz="0" w:space="0" w:color="auto"/>
            <w:bottom w:val="none" w:sz="0" w:space="0" w:color="auto"/>
            <w:right w:val="none" w:sz="0" w:space="0" w:color="auto"/>
          </w:divBdr>
        </w:div>
        <w:div w:id="294139657">
          <w:marLeft w:val="0"/>
          <w:marRight w:val="0"/>
          <w:marTop w:val="0"/>
          <w:marBottom w:val="0"/>
          <w:divBdr>
            <w:top w:val="none" w:sz="0" w:space="0" w:color="auto"/>
            <w:left w:val="none" w:sz="0" w:space="0" w:color="auto"/>
            <w:bottom w:val="none" w:sz="0" w:space="0" w:color="auto"/>
            <w:right w:val="none" w:sz="0" w:space="0" w:color="auto"/>
          </w:divBdr>
        </w:div>
        <w:div w:id="294139705">
          <w:marLeft w:val="0"/>
          <w:marRight w:val="0"/>
          <w:marTop w:val="0"/>
          <w:marBottom w:val="0"/>
          <w:divBdr>
            <w:top w:val="none" w:sz="0" w:space="0" w:color="auto"/>
            <w:left w:val="none" w:sz="0" w:space="0" w:color="auto"/>
            <w:bottom w:val="none" w:sz="0" w:space="0" w:color="auto"/>
            <w:right w:val="none" w:sz="0" w:space="0" w:color="auto"/>
          </w:divBdr>
        </w:div>
        <w:div w:id="294140066">
          <w:marLeft w:val="0"/>
          <w:marRight w:val="0"/>
          <w:marTop w:val="0"/>
          <w:marBottom w:val="0"/>
          <w:divBdr>
            <w:top w:val="none" w:sz="0" w:space="0" w:color="auto"/>
            <w:left w:val="none" w:sz="0" w:space="0" w:color="auto"/>
            <w:bottom w:val="none" w:sz="0" w:space="0" w:color="auto"/>
            <w:right w:val="none" w:sz="0" w:space="0" w:color="auto"/>
          </w:divBdr>
        </w:div>
        <w:div w:id="294140107">
          <w:marLeft w:val="0"/>
          <w:marRight w:val="0"/>
          <w:marTop w:val="0"/>
          <w:marBottom w:val="0"/>
          <w:divBdr>
            <w:top w:val="none" w:sz="0" w:space="0" w:color="auto"/>
            <w:left w:val="none" w:sz="0" w:space="0" w:color="auto"/>
            <w:bottom w:val="none" w:sz="0" w:space="0" w:color="auto"/>
            <w:right w:val="none" w:sz="0" w:space="0" w:color="auto"/>
          </w:divBdr>
        </w:div>
        <w:div w:id="294140454">
          <w:marLeft w:val="0"/>
          <w:marRight w:val="0"/>
          <w:marTop w:val="0"/>
          <w:marBottom w:val="0"/>
          <w:divBdr>
            <w:top w:val="none" w:sz="0" w:space="0" w:color="auto"/>
            <w:left w:val="none" w:sz="0" w:space="0" w:color="auto"/>
            <w:bottom w:val="none" w:sz="0" w:space="0" w:color="auto"/>
            <w:right w:val="none" w:sz="0" w:space="0" w:color="auto"/>
          </w:divBdr>
        </w:div>
        <w:div w:id="294140526">
          <w:marLeft w:val="0"/>
          <w:marRight w:val="0"/>
          <w:marTop w:val="0"/>
          <w:marBottom w:val="0"/>
          <w:divBdr>
            <w:top w:val="none" w:sz="0" w:space="0" w:color="auto"/>
            <w:left w:val="none" w:sz="0" w:space="0" w:color="auto"/>
            <w:bottom w:val="none" w:sz="0" w:space="0" w:color="auto"/>
            <w:right w:val="none" w:sz="0" w:space="0" w:color="auto"/>
          </w:divBdr>
        </w:div>
        <w:div w:id="294141074">
          <w:marLeft w:val="0"/>
          <w:marRight w:val="0"/>
          <w:marTop w:val="0"/>
          <w:marBottom w:val="0"/>
          <w:divBdr>
            <w:top w:val="none" w:sz="0" w:space="0" w:color="auto"/>
            <w:left w:val="none" w:sz="0" w:space="0" w:color="auto"/>
            <w:bottom w:val="none" w:sz="0" w:space="0" w:color="auto"/>
            <w:right w:val="none" w:sz="0" w:space="0" w:color="auto"/>
          </w:divBdr>
        </w:div>
        <w:div w:id="294141338">
          <w:marLeft w:val="0"/>
          <w:marRight w:val="0"/>
          <w:marTop w:val="0"/>
          <w:marBottom w:val="0"/>
          <w:divBdr>
            <w:top w:val="none" w:sz="0" w:space="0" w:color="auto"/>
            <w:left w:val="none" w:sz="0" w:space="0" w:color="auto"/>
            <w:bottom w:val="none" w:sz="0" w:space="0" w:color="auto"/>
            <w:right w:val="none" w:sz="0" w:space="0" w:color="auto"/>
          </w:divBdr>
        </w:div>
        <w:div w:id="294141381">
          <w:marLeft w:val="0"/>
          <w:marRight w:val="0"/>
          <w:marTop w:val="0"/>
          <w:marBottom w:val="0"/>
          <w:divBdr>
            <w:top w:val="none" w:sz="0" w:space="0" w:color="auto"/>
            <w:left w:val="none" w:sz="0" w:space="0" w:color="auto"/>
            <w:bottom w:val="none" w:sz="0" w:space="0" w:color="auto"/>
            <w:right w:val="none" w:sz="0" w:space="0" w:color="auto"/>
          </w:divBdr>
        </w:div>
        <w:div w:id="294141524">
          <w:marLeft w:val="0"/>
          <w:marRight w:val="0"/>
          <w:marTop w:val="0"/>
          <w:marBottom w:val="0"/>
          <w:divBdr>
            <w:top w:val="none" w:sz="0" w:space="0" w:color="auto"/>
            <w:left w:val="none" w:sz="0" w:space="0" w:color="auto"/>
            <w:bottom w:val="none" w:sz="0" w:space="0" w:color="auto"/>
            <w:right w:val="none" w:sz="0" w:space="0" w:color="auto"/>
          </w:divBdr>
        </w:div>
        <w:div w:id="294141689">
          <w:marLeft w:val="0"/>
          <w:marRight w:val="0"/>
          <w:marTop w:val="0"/>
          <w:marBottom w:val="0"/>
          <w:divBdr>
            <w:top w:val="none" w:sz="0" w:space="0" w:color="auto"/>
            <w:left w:val="none" w:sz="0" w:space="0" w:color="auto"/>
            <w:bottom w:val="none" w:sz="0" w:space="0" w:color="auto"/>
            <w:right w:val="none" w:sz="0" w:space="0" w:color="auto"/>
          </w:divBdr>
        </w:div>
        <w:div w:id="294141844">
          <w:marLeft w:val="0"/>
          <w:marRight w:val="0"/>
          <w:marTop w:val="0"/>
          <w:marBottom w:val="0"/>
          <w:divBdr>
            <w:top w:val="none" w:sz="0" w:space="0" w:color="auto"/>
            <w:left w:val="none" w:sz="0" w:space="0" w:color="auto"/>
            <w:bottom w:val="none" w:sz="0" w:space="0" w:color="auto"/>
            <w:right w:val="none" w:sz="0" w:space="0" w:color="auto"/>
          </w:divBdr>
        </w:div>
        <w:div w:id="294142201">
          <w:marLeft w:val="0"/>
          <w:marRight w:val="0"/>
          <w:marTop w:val="0"/>
          <w:marBottom w:val="0"/>
          <w:divBdr>
            <w:top w:val="none" w:sz="0" w:space="0" w:color="auto"/>
            <w:left w:val="none" w:sz="0" w:space="0" w:color="auto"/>
            <w:bottom w:val="none" w:sz="0" w:space="0" w:color="auto"/>
            <w:right w:val="none" w:sz="0" w:space="0" w:color="auto"/>
          </w:divBdr>
        </w:div>
        <w:div w:id="294142532">
          <w:marLeft w:val="0"/>
          <w:marRight w:val="0"/>
          <w:marTop w:val="0"/>
          <w:marBottom w:val="0"/>
          <w:divBdr>
            <w:top w:val="none" w:sz="0" w:space="0" w:color="auto"/>
            <w:left w:val="none" w:sz="0" w:space="0" w:color="auto"/>
            <w:bottom w:val="none" w:sz="0" w:space="0" w:color="auto"/>
            <w:right w:val="none" w:sz="0" w:space="0" w:color="auto"/>
          </w:divBdr>
        </w:div>
        <w:div w:id="294143373">
          <w:marLeft w:val="0"/>
          <w:marRight w:val="0"/>
          <w:marTop w:val="0"/>
          <w:marBottom w:val="0"/>
          <w:divBdr>
            <w:top w:val="none" w:sz="0" w:space="0" w:color="auto"/>
            <w:left w:val="none" w:sz="0" w:space="0" w:color="auto"/>
            <w:bottom w:val="none" w:sz="0" w:space="0" w:color="auto"/>
            <w:right w:val="none" w:sz="0" w:space="0" w:color="auto"/>
          </w:divBdr>
        </w:div>
        <w:div w:id="294143433">
          <w:marLeft w:val="0"/>
          <w:marRight w:val="0"/>
          <w:marTop w:val="0"/>
          <w:marBottom w:val="0"/>
          <w:divBdr>
            <w:top w:val="none" w:sz="0" w:space="0" w:color="auto"/>
            <w:left w:val="none" w:sz="0" w:space="0" w:color="auto"/>
            <w:bottom w:val="none" w:sz="0" w:space="0" w:color="auto"/>
            <w:right w:val="none" w:sz="0" w:space="0" w:color="auto"/>
          </w:divBdr>
        </w:div>
        <w:div w:id="294143641">
          <w:marLeft w:val="0"/>
          <w:marRight w:val="0"/>
          <w:marTop w:val="0"/>
          <w:marBottom w:val="0"/>
          <w:divBdr>
            <w:top w:val="none" w:sz="0" w:space="0" w:color="auto"/>
            <w:left w:val="none" w:sz="0" w:space="0" w:color="auto"/>
            <w:bottom w:val="none" w:sz="0" w:space="0" w:color="auto"/>
            <w:right w:val="none" w:sz="0" w:space="0" w:color="auto"/>
          </w:divBdr>
        </w:div>
        <w:div w:id="294143666">
          <w:marLeft w:val="0"/>
          <w:marRight w:val="0"/>
          <w:marTop w:val="0"/>
          <w:marBottom w:val="0"/>
          <w:divBdr>
            <w:top w:val="none" w:sz="0" w:space="0" w:color="auto"/>
            <w:left w:val="none" w:sz="0" w:space="0" w:color="auto"/>
            <w:bottom w:val="none" w:sz="0" w:space="0" w:color="auto"/>
            <w:right w:val="none" w:sz="0" w:space="0" w:color="auto"/>
          </w:divBdr>
        </w:div>
        <w:div w:id="294143763">
          <w:marLeft w:val="0"/>
          <w:marRight w:val="0"/>
          <w:marTop w:val="0"/>
          <w:marBottom w:val="0"/>
          <w:divBdr>
            <w:top w:val="none" w:sz="0" w:space="0" w:color="auto"/>
            <w:left w:val="none" w:sz="0" w:space="0" w:color="auto"/>
            <w:bottom w:val="none" w:sz="0" w:space="0" w:color="auto"/>
            <w:right w:val="none" w:sz="0" w:space="0" w:color="auto"/>
          </w:divBdr>
        </w:div>
        <w:div w:id="294145587">
          <w:marLeft w:val="0"/>
          <w:marRight w:val="0"/>
          <w:marTop w:val="0"/>
          <w:marBottom w:val="0"/>
          <w:divBdr>
            <w:top w:val="none" w:sz="0" w:space="0" w:color="auto"/>
            <w:left w:val="none" w:sz="0" w:space="0" w:color="auto"/>
            <w:bottom w:val="none" w:sz="0" w:space="0" w:color="auto"/>
            <w:right w:val="none" w:sz="0" w:space="0" w:color="auto"/>
          </w:divBdr>
        </w:div>
        <w:div w:id="294146018">
          <w:marLeft w:val="0"/>
          <w:marRight w:val="0"/>
          <w:marTop w:val="0"/>
          <w:marBottom w:val="0"/>
          <w:divBdr>
            <w:top w:val="none" w:sz="0" w:space="0" w:color="auto"/>
            <w:left w:val="none" w:sz="0" w:space="0" w:color="auto"/>
            <w:bottom w:val="none" w:sz="0" w:space="0" w:color="auto"/>
            <w:right w:val="none" w:sz="0" w:space="0" w:color="auto"/>
          </w:divBdr>
        </w:div>
        <w:div w:id="294146109">
          <w:marLeft w:val="0"/>
          <w:marRight w:val="0"/>
          <w:marTop w:val="0"/>
          <w:marBottom w:val="0"/>
          <w:divBdr>
            <w:top w:val="none" w:sz="0" w:space="0" w:color="auto"/>
            <w:left w:val="none" w:sz="0" w:space="0" w:color="auto"/>
            <w:bottom w:val="none" w:sz="0" w:space="0" w:color="auto"/>
            <w:right w:val="none" w:sz="0" w:space="0" w:color="auto"/>
          </w:divBdr>
        </w:div>
        <w:div w:id="294146127">
          <w:marLeft w:val="0"/>
          <w:marRight w:val="0"/>
          <w:marTop w:val="0"/>
          <w:marBottom w:val="0"/>
          <w:divBdr>
            <w:top w:val="none" w:sz="0" w:space="0" w:color="auto"/>
            <w:left w:val="none" w:sz="0" w:space="0" w:color="auto"/>
            <w:bottom w:val="none" w:sz="0" w:space="0" w:color="auto"/>
            <w:right w:val="none" w:sz="0" w:space="0" w:color="auto"/>
          </w:divBdr>
        </w:div>
        <w:div w:id="294146490">
          <w:marLeft w:val="0"/>
          <w:marRight w:val="0"/>
          <w:marTop w:val="0"/>
          <w:marBottom w:val="0"/>
          <w:divBdr>
            <w:top w:val="none" w:sz="0" w:space="0" w:color="auto"/>
            <w:left w:val="none" w:sz="0" w:space="0" w:color="auto"/>
            <w:bottom w:val="none" w:sz="0" w:space="0" w:color="auto"/>
            <w:right w:val="none" w:sz="0" w:space="0" w:color="auto"/>
          </w:divBdr>
        </w:div>
        <w:div w:id="294146570">
          <w:marLeft w:val="0"/>
          <w:marRight w:val="0"/>
          <w:marTop w:val="0"/>
          <w:marBottom w:val="0"/>
          <w:divBdr>
            <w:top w:val="none" w:sz="0" w:space="0" w:color="auto"/>
            <w:left w:val="none" w:sz="0" w:space="0" w:color="auto"/>
            <w:bottom w:val="none" w:sz="0" w:space="0" w:color="auto"/>
            <w:right w:val="none" w:sz="0" w:space="0" w:color="auto"/>
          </w:divBdr>
        </w:div>
        <w:div w:id="294146795">
          <w:marLeft w:val="0"/>
          <w:marRight w:val="0"/>
          <w:marTop w:val="0"/>
          <w:marBottom w:val="0"/>
          <w:divBdr>
            <w:top w:val="none" w:sz="0" w:space="0" w:color="auto"/>
            <w:left w:val="none" w:sz="0" w:space="0" w:color="auto"/>
            <w:bottom w:val="none" w:sz="0" w:space="0" w:color="auto"/>
            <w:right w:val="none" w:sz="0" w:space="0" w:color="auto"/>
          </w:divBdr>
        </w:div>
        <w:div w:id="294147677">
          <w:marLeft w:val="0"/>
          <w:marRight w:val="0"/>
          <w:marTop w:val="0"/>
          <w:marBottom w:val="0"/>
          <w:divBdr>
            <w:top w:val="none" w:sz="0" w:space="0" w:color="auto"/>
            <w:left w:val="none" w:sz="0" w:space="0" w:color="auto"/>
            <w:bottom w:val="none" w:sz="0" w:space="0" w:color="auto"/>
            <w:right w:val="none" w:sz="0" w:space="0" w:color="auto"/>
          </w:divBdr>
        </w:div>
        <w:div w:id="294147716">
          <w:marLeft w:val="0"/>
          <w:marRight w:val="0"/>
          <w:marTop w:val="0"/>
          <w:marBottom w:val="0"/>
          <w:divBdr>
            <w:top w:val="none" w:sz="0" w:space="0" w:color="auto"/>
            <w:left w:val="none" w:sz="0" w:space="0" w:color="auto"/>
            <w:bottom w:val="none" w:sz="0" w:space="0" w:color="auto"/>
            <w:right w:val="none" w:sz="0" w:space="0" w:color="auto"/>
          </w:divBdr>
        </w:div>
        <w:div w:id="294148264">
          <w:marLeft w:val="0"/>
          <w:marRight w:val="0"/>
          <w:marTop w:val="0"/>
          <w:marBottom w:val="0"/>
          <w:divBdr>
            <w:top w:val="none" w:sz="0" w:space="0" w:color="auto"/>
            <w:left w:val="none" w:sz="0" w:space="0" w:color="auto"/>
            <w:bottom w:val="none" w:sz="0" w:space="0" w:color="auto"/>
            <w:right w:val="none" w:sz="0" w:space="0" w:color="auto"/>
          </w:divBdr>
        </w:div>
        <w:div w:id="294148324">
          <w:marLeft w:val="0"/>
          <w:marRight w:val="0"/>
          <w:marTop w:val="0"/>
          <w:marBottom w:val="0"/>
          <w:divBdr>
            <w:top w:val="none" w:sz="0" w:space="0" w:color="auto"/>
            <w:left w:val="none" w:sz="0" w:space="0" w:color="auto"/>
            <w:bottom w:val="none" w:sz="0" w:space="0" w:color="auto"/>
            <w:right w:val="none" w:sz="0" w:space="0" w:color="auto"/>
          </w:divBdr>
        </w:div>
        <w:div w:id="294148385">
          <w:marLeft w:val="0"/>
          <w:marRight w:val="0"/>
          <w:marTop w:val="0"/>
          <w:marBottom w:val="0"/>
          <w:divBdr>
            <w:top w:val="none" w:sz="0" w:space="0" w:color="auto"/>
            <w:left w:val="none" w:sz="0" w:space="0" w:color="auto"/>
            <w:bottom w:val="none" w:sz="0" w:space="0" w:color="auto"/>
            <w:right w:val="none" w:sz="0" w:space="0" w:color="auto"/>
          </w:divBdr>
        </w:div>
        <w:div w:id="294148784">
          <w:marLeft w:val="0"/>
          <w:marRight w:val="0"/>
          <w:marTop w:val="0"/>
          <w:marBottom w:val="0"/>
          <w:divBdr>
            <w:top w:val="none" w:sz="0" w:space="0" w:color="auto"/>
            <w:left w:val="none" w:sz="0" w:space="0" w:color="auto"/>
            <w:bottom w:val="none" w:sz="0" w:space="0" w:color="auto"/>
            <w:right w:val="none" w:sz="0" w:space="0" w:color="auto"/>
          </w:divBdr>
        </w:div>
        <w:div w:id="294148835">
          <w:marLeft w:val="0"/>
          <w:marRight w:val="0"/>
          <w:marTop w:val="0"/>
          <w:marBottom w:val="0"/>
          <w:divBdr>
            <w:top w:val="none" w:sz="0" w:space="0" w:color="auto"/>
            <w:left w:val="none" w:sz="0" w:space="0" w:color="auto"/>
            <w:bottom w:val="none" w:sz="0" w:space="0" w:color="auto"/>
            <w:right w:val="none" w:sz="0" w:space="0" w:color="auto"/>
          </w:divBdr>
        </w:div>
        <w:div w:id="294148883">
          <w:marLeft w:val="0"/>
          <w:marRight w:val="0"/>
          <w:marTop w:val="0"/>
          <w:marBottom w:val="0"/>
          <w:divBdr>
            <w:top w:val="none" w:sz="0" w:space="0" w:color="auto"/>
            <w:left w:val="none" w:sz="0" w:space="0" w:color="auto"/>
            <w:bottom w:val="none" w:sz="0" w:space="0" w:color="auto"/>
            <w:right w:val="none" w:sz="0" w:space="0" w:color="auto"/>
          </w:divBdr>
        </w:div>
        <w:div w:id="294148924">
          <w:marLeft w:val="0"/>
          <w:marRight w:val="0"/>
          <w:marTop w:val="0"/>
          <w:marBottom w:val="0"/>
          <w:divBdr>
            <w:top w:val="none" w:sz="0" w:space="0" w:color="auto"/>
            <w:left w:val="none" w:sz="0" w:space="0" w:color="auto"/>
            <w:bottom w:val="none" w:sz="0" w:space="0" w:color="auto"/>
            <w:right w:val="none" w:sz="0" w:space="0" w:color="auto"/>
          </w:divBdr>
        </w:div>
        <w:div w:id="294149349">
          <w:marLeft w:val="0"/>
          <w:marRight w:val="0"/>
          <w:marTop w:val="0"/>
          <w:marBottom w:val="0"/>
          <w:divBdr>
            <w:top w:val="none" w:sz="0" w:space="0" w:color="auto"/>
            <w:left w:val="none" w:sz="0" w:space="0" w:color="auto"/>
            <w:bottom w:val="none" w:sz="0" w:space="0" w:color="auto"/>
            <w:right w:val="none" w:sz="0" w:space="0" w:color="auto"/>
          </w:divBdr>
        </w:div>
        <w:div w:id="294149507">
          <w:marLeft w:val="0"/>
          <w:marRight w:val="0"/>
          <w:marTop w:val="0"/>
          <w:marBottom w:val="0"/>
          <w:divBdr>
            <w:top w:val="none" w:sz="0" w:space="0" w:color="auto"/>
            <w:left w:val="none" w:sz="0" w:space="0" w:color="auto"/>
            <w:bottom w:val="none" w:sz="0" w:space="0" w:color="auto"/>
            <w:right w:val="none" w:sz="0" w:space="0" w:color="auto"/>
          </w:divBdr>
        </w:div>
        <w:div w:id="294151202">
          <w:marLeft w:val="0"/>
          <w:marRight w:val="0"/>
          <w:marTop w:val="0"/>
          <w:marBottom w:val="0"/>
          <w:divBdr>
            <w:top w:val="none" w:sz="0" w:space="0" w:color="auto"/>
            <w:left w:val="none" w:sz="0" w:space="0" w:color="auto"/>
            <w:bottom w:val="none" w:sz="0" w:space="0" w:color="auto"/>
            <w:right w:val="none" w:sz="0" w:space="0" w:color="auto"/>
          </w:divBdr>
        </w:div>
        <w:div w:id="294151835">
          <w:marLeft w:val="0"/>
          <w:marRight w:val="0"/>
          <w:marTop w:val="0"/>
          <w:marBottom w:val="0"/>
          <w:divBdr>
            <w:top w:val="none" w:sz="0" w:space="0" w:color="auto"/>
            <w:left w:val="none" w:sz="0" w:space="0" w:color="auto"/>
            <w:bottom w:val="none" w:sz="0" w:space="0" w:color="auto"/>
            <w:right w:val="none" w:sz="0" w:space="0" w:color="auto"/>
          </w:divBdr>
        </w:div>
        <w:div w:id="294151896">
          <w:marLeft w:val="0"/>
          <w:marRight w:val="0"/>
          <w:marTop w:val="0"/>
          <w:marBottom w:val="0"/>
          <w:divBdr>
            <w:top w:val="none" w:sz="0" w:space="0" w:color="auto"/>
            <w:left w:val="none" w:sz="0" w:space="0" w:color="auto"/>
            <w:bottom w:val="none" w:sz="0" w:space="0" w:color="auto"/>
            <w:right w:val="none" w:sz="0" w:space="0" w:color="auto"/>
          </w:divBdr>
        </w:div>
        <w:div w:id="294152356">
          <w:marLeft w:val="0"/>
          <w:marRight w:val="0"/>
          <w:marTop w:val="0"/>
          <w:marBottom w:val="0"/>
          <w:divBdr>
            <w:top w:val="none" w:sz="0" w:space="0" w:color="auto"/>
            <w:left w:val="none" w:sz="0" w:space="0" w:color="auto"/>
            <w:bottom w:val="none" w:sz="0" w:space="0" w:color="auto"/>
            <w:right w:val="none" w:sz="0" w:space="0" w:color="auto"/>
          </w:divBdr>
        </w:div>
        <w:div w:id="294152640">
          <w:marLeft w:val="0"/>
          <w:marRight w:val="0"/>
          <w:marTop w:val="0"/>
          <w:marBottom w:val="0"/>
          <w:divBdr>
            <w:top w:val="none" w:sz="0" w:space="0" w:color="auto"/>
            <w:left w:val="none" w:sz="0" w:space="0" w:color="auto"/>
            <w:bottom w:val="none" w:sz="0" w:space="0" w:color="auto"/>
            <w:right w:val="none" w:sz="0" w:space="0" w:color="auto"/>
          </w:divBdr>
        </w:div>
        <w:div w:id="294152698">
          <w:marLeft w:val="0"/>
          <w:marRight w:val="0"/>
          <w:marTop w:val="0"/>
          <w:marBottom w:val="0"/>
          <w:divBdr>
            <w:top w:val="none" w:sz="0" w:space="0" w:color="auto"/>
            <w:left w:val="none" w:sz="0" w:space="0" w:color="auto"/>
            <w:bottom w:val="none" w:sz="0" w:space="0" w:color="auto"/>
            <w:right w:val="none" w:sz="0" w:space="0" w:color="auto"/>
          </w:divBdr>
        </w:div>
        <w:div w:id="294152780">
          <w:marLeft w:val="0"/>
          <w:marRight w:val="0"/>
          <w:marTop w:val="0"/>
          <w:marBottom w:val="0"/>
          <w:divBdr>
            <w:top w:val="none" w:sz="0" w:space="0" w:color="auto"/>
            <w:left w:val="none" w:sz="0" w:space="0" w:color="auto"/>
            <w:bottom w:val="none" w:sz="0" w:space="0" w:color="auto"/>
            <w:right w:val="none" w:sz="0" w:space="0" w:color="auto"/>
          </w:divBdr>
        </w:div>
        <w:div w:id="294152825">
          <w:marLeft w:val="0"/>
          <w:marRight w:val="0"/>
          <w:marTop w:val="0"/>
          <w:marBottom w:val="0"/>
          <w:divBdr>
            <w:top w:val="none" w:sz="0" w:space="0" w:color="auto"/>
            <w:left w:val="none" w:sz="0" w:space="0" w:color="auto"/>
            <w:bottom w:val="none" w:sz="0" w:space="0" w:color="auto"/>
            <w:right w:val="none" w:sz="0" w:space="0" w:color="auto"/>
          </w:divBdr>
        </w:div>
        <w:div w:id="294153011">
          <w:marLeft w:val="0"/>
          <w:marRight w:val="0"/>
          <w:marTop w:val="0"/>
          <w:marBottom w:val="0"/>
          <w:divBdr>
            <w:top w:val="none" w:sz="0" w:space="0" w:color="auto"/>
            <w:left w:val="none" w:sz="0" w:space="0" w:color="auto"/>
            <w:bottom w:val="none" w:sz="0" w:space="0" w:color="auto"/>
            <w:right w:val="none" w:sz="0" w:space="0" w:color="auto"/>
          </w:divBdr>
        </w:div>
        <w:div w:id="294153099">
          <w:marLeft w:val="0"/>
          <w:marRight w:val="0"/>
          <w:marTop w:val="0"/>
          <w:marBottom w:val="0"/>
          <w:divBdr>
            <w:top w:val="none" w:sz="0" w:space="0" w:color="auto"/>
            <w:left w:val="none" w:sz="0" w:space="0" w:color="auto"/>
            <w:bottom w:val="none" w:sz="0" w:space="0" w:color="auto"/>
            <w:right w:val="none" w:sz="0" w:space="0" w:color="auto"/>
          </w:divBdr>
        </w:div>
        <w:div w:id="294153173">
          <w:marLeft w:val="0"/>
          <w:marRight w:val="0"/>
          <w:marTop w:val="0"/>
          <w:marBottom w:val="0"/>
          <w:divBdr>
            <w:top w:val="none" w:sz="0" w:space="0" w:color="auto"/>
            <w:left w:val="none" w:sz="0" w:space="0" w:color="auto"/>
            <w:bottom w:val="none" w:sz="0" w:space="0" w:color="auto"/>
            <w:right w:val="none" w:sz="0" w:space="0" w:color="auto"/>
          </w:divBdr>
        </w:div>
        <w:div w:id="294153526">
          <w:marLeft w:val="0"/>
          <w:marRight w:val="0"/>
          <w:marTop w:val="0"/>
          <w:marBottom w:val="0"/>
          <w:divBdr>
            <w:top w:val="none" w:sz="0" w:space="0" w:color="auto"/>
            <w:left w:val="none" w:sz="0" w:space="0" w:color="auto"/>
            <w:bottom w:val="none" w:sz="0" w:space="0" w:color="auto"/>
            <w:right w:val="none" w:sz="0" w:space="0" w:color="auto"/>
          </w:divBdr>
        </w:div>
        <w:div w:id="294154112">
          <w:marLeft w:val="0"/>
          <w:marRight w:val="0"/>
          <w:marTop w:val="0"/>
          <w:marBottom w:val="0"/>
          <w:divBdr>
            <w:top w:val="none" w:sz="0" w:space="0" w:color="auto"/>
            <w:left w:val="none" w:sz="0" w:space="0" w:color="auto"/>
            <w:bottom w:val="none" w:sz="0" w:space="0" w:color="auto"/>
            <w:right w:val="none" w:sz="0" w:space="0" w:color="auto"/>
          </w:divBdr>
        </w:div>
        <w:div w:id="294154385">
          <w:marLeft w:val="0"/>
          <w:marRight w:val="0"/>
          <w:marTop w:val="0"/>
          <w:marBottom w:val="0"/>
          <w:divBdr>
            <w:top w:val="none" w:sz="0" w:space="0" w:color="auto"/>
            <w:left w:val="none" w:sz="0" w:space="0" w:color="auto"/>
            <w:bottom w:val="none" w:sz="0" w:space="0" w:color="auto"/>
            <w:right w:val="none" w:sz="0" w:space="0" w:color="auto"/>
          </w:divBdr>
        </w:div>
        <w:div w:id="294155828">
          <w:marLeft w:val="0"/>
          <w:marRight w:val="0"/>
          <w:marTop w:val="0"/>
          <w:marBottom w:val="0"/>
          <w:divBdr>
            <w:top w:val="none" w:sz="0" w:space="0" w:color="auto"/>
            <w:left w:val="none" w:sz="0" w:space="0" w:color="auto"/>
            <w:bottom w:val="none" w:sz="0" w:space="0" w:color="auto"/>
            <w:right w:val="none" w:sz="0" w:space="0" w:color="auto"/>
          </w:divBdr>
        </w:div>
        <w:div w:id="294156842">
          <w:marLeft w:val="0"/>
          <w:marRight w:val="0"/>
          <w:marTop w:val="0"/>
          <w:marBottom w:val="0"/>
          <w:divBdr>
            <w:top w:val="none" w:sz="0" w:space="0" w:color="auto"/>
            <w:left w:val="none" w:sz="0" w:space="0" w:color="auto"/>
            <w:bottom w:val="none" w:sz="0" w:space="0" w:color="auto"/>
            <w:right w:val="none" w:sz="0" w:space="0" w:color="auto"/>
          </w:divBdr>
        </w:div>
        <w:div w:id="294156965">
          <w:marLeft w:val="0"/>
          <w:marRight w:val="0"/>
          <w:marTop w:val="0"/>
          <w:marBottom w:val="0"/>
          <w:divBdr>
            <w:top w:val="none" w:sz="0" w:space="0" w:color="auto"/>
            <w:left w:val="none" w:sz="0" w:space="0" w:color="auto"/>
            <w:bottom w:val="none" w:sz="0" w:space="0" w:color="auto"/>
            <w:right w:val="none" w:sz="0" w:space="0" w:color="auto"/>
          </w:divBdr>
        </w:div>
        <w:div w:id="294157111">
          <w:marLeft w:val="0"/>
          <w:marRight w:val="0"/>
          <w:marTop w:val="0"/>
          <w:marBottom w:val="0"/>
          <w:divBdr>
            <w:top w:val="none" w:sz="0" w:space="0" w:color="auto"/>
            <w:left w:val="none" w:sz="0" w:space="0" w:color="auto"/>
            <w:bottom w:val="none" w:sz="0" w:space="0" w:color="auto"/>
            <w:right w:val="none" w:sz="0" w:space="0" w:color="auto"/>
          </w:divBdr>
        </w:div>
      </w:divsChild>
    </w:div>
    <w:div w:id="294156240">
      <w:marLeft w:val="0"/>
      <w:marRight w:val="0"/>
      <w:marTop w:val="0"/>
      <w:marBottom w:val="0"/>
      <w:divBdr>
        <w:top w:val="none" w:sz="0" w:space="0" w:color="auto"/>
        <w:left w:val="none" w:sz="0" w:space="0" w:color="auto"/>
        <w:bottom w:val="none" w:sz="0" w:space="0" w:color="auto"/>
        <w:right w:val="none" w:sz="0" w:space="0" w:color="auto"/>
      </w:divBdr>
    </w:div>
    <w:div w:id="294156297">
      <w:marLeft w:val="0"/>
      <w:marRight w:val="0"/>
      <w:marTop w:val="0"/>
      <w:marBottom w:val="0"/>
      <w:divBdr>
        <w:top w:val="none" w:sz="0" w:space="0" w:color="auto"/>
        <w:left w:val="none" w:sz="0" w:space="0" w:color="auto"/>
        <w:bottom w:val="none" w:sz="0" w:space="0" w:color="auto"/>
        <w:right w:val="none" w:sz="0" w:space="0" w:color="auto"/>
      </w:divBdr>
    </w:div>
    <w:div w:id="294156305">
      <w:marLeft w:val="0"/>
      <w:marRight w:val="0"/>
      <w:marTop w:val="0"/>
      <w:marBottom w:val="0"/>
      <w:divBdr>
        <w:top w:val="none" w:sz="0" w:space="0" w:color="auto"/>
        <w:left w:val="none" w:sz="0" w:space="0" w:color="auto"/>
        <w:bottom w:val="none" w:sz="0" w:space="0" w:color="auto"/>
        <w:right w:val="none" w:sz="0" w:space="0" w:color="auto"/>
      </w:divBdr>
      <w:divsChild>
        <w:div w:id="294151601">
          <w:marLeft w:val="0"/>
          <w:marRight w:val="0"/>
          <w:marTop w:val="0"/>
          <w:marBottom w:val="0"/>
          <w:divBdr>
            <w:top w:val="none" w:sz="0" w:space="0" w:color="auto"/>
            <w:left w:val="none" w:sz="0" w:space="0" w:color="auto"/>
            <w:bottom w:val="none" w:sz="0" w:space="0" w:color="auto"/>
            <w:right w:val="none" w:sz="0" w:space="0" w:color="auto"/>
          </w:divBdr>
        </w:div>
      </w:divsChild>
    </w:div>
    <w:div w:id="294156311">
      <w:marLeft w:val="0"/>
      <w:marRight w:val="0"/>
      <w:marTop w:val="0"/>
      <w:marBottom w:val="0"/>
      <w:divBdr>
        <w:top w:val="none" w:sz="0" w:space="0" w:color="auto"/>
        <w:left w:val="none" w:sz="0" w:space="0" w:color="auto"/>
        <w:bottom w:val="none" w:sz="0" w:space="0" w:color="auto"/>
        <w:right w:val="none" w:sz="0" w:space="0" w:color="auto"/>
      </w:divBdr>
    </w:div>
    <w:div w:id="294156495">
      <w:marLeft w:val="0"/>
      <w:marRight w:val="0"/>
      <w:marTop w:val="0"/>
      <w:marBottom w:val="0"/>
      <w:divBdr>
        <w:top w:val="none" w:sz="0" w:space="0" w:color="auto"/>
        <w:left w:val="none" w:sz="0" w:space="0" w:color="auto"/>
        <w:bottom w:val="none" w:sz="0" w:space="0" w:color="auto"/>
        <w:right w:val="none" w:sz="0" w:space="0" w:color="auto"/>
      </w:divBdr>
    </w:div>
    <w:div w:id="294156507">
      <w:marLeft w:val="0"/>
      <w:marRight w:val="0"/>
      <w:marTop w:val="0"/>
      <w:marBottom w:val="0"/>
      <w:divBdr>
        <w:top w:val="none" w:sz="0" w:space="0" w:color="auto"/>
        <w:left w:val="none" w:sz="0" w:space="0" w:color="auto"/>
        <w:bottom w:val="none" w:sz="0" w:space="0" w:color="auto"/>
        <w:right w:val="none" w:sz="0" w:space="0" w:color="auto"/>
      </w:divBdr>
    </w:div>
    <w:div w:id="294156519">
      <w:marLeft w:val="0"/>
      <w:marRight w:val="0"/>
      <w:marTop w:val="0"/>
      <w:marBottom w:val="0"/>
      <w:divBdr>
        <w:top w:val="none" w:sz="0" w:space="0" w:color="auto"/>
        <w:left w:val="none" w:sz="0" w:space="0" w:color="auto"/>
        <w:bottom w:val="none" w:sz="0" w:space="0" w:color="auto"/>
        <w:right w:val="none" w:sz="0" w:space="0" w:color="auto"/>
      </w:divBdr>
    </w:div>
    <w:div w:id="294156556">
      <w:marLeft w:val="0"/>
      <w:marRight w:val="0"/>
      <w:marTop w:val="0"/>
      <w:marBottom w:val="0"/>
      <w:divBdr>
        <w:top w:val="none" w:sz="0" w:space="0" w:color="auto"/>
        <w:left w:val="none" w:sz="0" w:space="0" w:color="auto"/>
        <w:bottom w:val="none" w:sz="0" w:space="0" w:color="auto"/>
        <w:right w:val="none" w:sz="0" w:space="0" w:color="auto"/>
      </w:divBdr>
      <w:divsChild>
        <w:div w:id="294138915">
          <w:marLeft w:val="0"/>
          <w:marRight w:val="0"/>
          <w:marTop w:val="0"/>
          <w:marBottom w:val="0"/>
          <w:divBdr>
            <w:top w:val="none" w:sz="0" w:space="0" w:color="auto"/>
            <w:left w:val="none" w:sz="0" w:space="0" w:color="auto"/>
            <w:bottom w:val="none" w:sz="0" w:space="0" w:color="auto"/>
            <w:right w:val="none" w:sz="0" w:space="0" w:color="auto"/>
          </w:divBdr>
        </w:div>
      </w:divsChild>
    </w:div>
    <w:div w:id="294156559">
      <w:marLeft w:val="0"/>
      <w:marRight w:val="0"/>
      <w:marTop w:val="0"/>
      <w:marBottom w:val="0"/>
      <w:divBdr>
        <w:top w:val="none" w:sz="0" w:space="0" w:color="auto"/>
        <w:left w:val="none" w:sz="0" w:space="0" w:color="auto"/>
        <w:bottom w:val="none" w:sz="0" w:space="0" w:color="auto"/>
        <w:right w:val="none" w:sz="0" w:space="0" w:color="auto"/>
      </w:divBdr>
    </w:div>
    <w:div w:id="294156563">
      <w:marLeft w:val="0"/>
      <w:marRight w:val="0"/>
      <w:marTop w:val="0"/>
      <w:marBottom w:val="0"/>
      <w:divBdr>
        <w:top w:val="none" w:sz="0" w:space="0" w:color="auto"/>
        <w:left w:val="none" w:sz="0" w:space="0" w:color="auto"/>
        <w:bottom w:val="none" w:sz="0" w:space="0" w:color="auto"/>
        <w:right w:val="none" w:sz="0" w:space="0" w:color="auto"/>
      </w:divBdr>
      <w:divsChild>
        <w:div w:id="294138503">
          <w:marLeft w:val="0"/>
          <w:marRight w:val="0"/>
          <w:marTop w:val="0"/>
          <w:marBottom w:val="0"/>
          <w:divBdr>
            <w:top w:val="none" w:sz="0" w:space="0" w:color="auto"/>
            <w:left w:val="none" w:sz="0" w:space="0" w:color="auto"/>
            <w:bottom w:val="none" w:sz="0" w:space="0" w:color="auto"/>
            <w:right w:val="none" w:sz="0" w:space="0" w:color="auto"/>
          </w:divBdr>
        </w:div>
        <w:div w:id="294138739">
          <w:marLeft w:val="0"/>
          <w:marRight w:val="0"/>
          <w:marTop w:val="0"/>
          <w:marBottom w:val="0"/>
          <w:divBdr>
            <w:top w:val="none" w:sz="0" w:space="0" w:color="auto"/>
            <w:left w:val="none" w:sz="0" w:space="0" w:color="auto"/>
            <w:bottom w:val="none" w:sz="0" w:space="0" w:color="auto"/>
            <w:right w:val="none" w:sz="0" w:space="0" w:color="auto"/>
          </w:divBdr>
        </w:div>
        <w:div w:id="294139248">
          <w:marLeft w:val="0"/>
          <w:marRight w:val="0"/>
          <w:marTop w:val="0"/>
          <w:marBottom w:val="0"/>
          <w:divBdr>
            <w:top w:val="none" w:sz="0" w:space="0" w:color="auto"/>
            <w:left w:val="none" w:sz="0" w:space="0" w:color="auto"/>
            <w:bottom w:val="none" w:sz="0" w:space="0" w:color="auto"/>
            <w:right w:val="none" w:sz="0" w:space="0" w:color="auto"/>
          </w:divBdr>
        </w:div>
        <w:div w:id="294139283">
          <w:marLeft w:val="0"/>
          <w:marRight w:val="0"/>
          <w:marTop w:val="0"/>
          <w:marBottom w:val="0"/>
          <w:divBdr>
            <w:top w:val="none" w:sz="0" w:space="0" w:color="auto"/>
            <w:left w:val="none" w:sz="0" w:space="0" w:color="auto"/>
            <w:bottom w:val="none" w:sz="0" w:space="0" w:color="auto"/>
            <w:right w:val="none" w:sz="0" w:space="0" w:color="auto"/>
          </w:divBdr>
        </w:div>
        <w:div w:id="294139653">
          <w:marLeft w:val="0"/>
          <w:marRight w:val="0"/>
          <w:marTop w:val="0"/>
          <w:marBottom w:val="0"/>
          <w:divBdr>
            <w:top w:val="none" w:sz="0" w:space="0" w:color="auto"/>
            <w:left w:val="none" w:sz="0" w:space="0" w:color="auto"/>
            <w:bottom w:val="none" w:sz="0" w:space="0" w:color="auto"/>
            <w:right w:val="none" w:sz="0" w:space="0" w:color="auto"/>
          </w:divBdr>
        </w:div>
        <w:div w:id="294139879">
          <w:marLeft w:val="0"/>
          <w:marRight w:val="0"/>
          <w:marTop w:val="0"/>
          <w:marBottom w:val="0"/>
          <w:divBdr>
            <w:top w:val="none" w:sz="0" w:space="0" w:color="auto"/>
            <w:left w:val="none" w:sz="0" w:space="0" w:color="auto"/>
            <w:bottom w:val="none" w:sz="0" w:space="0" w:color="auto"/>
            <w:right w:val="none" w:sz="0" w:space="0" w:color="auto"/>
          </w:divBdr>
        </w:div>
        <w:div w:id="294139914">
          <w:marLeft w:val="0"/>
          <w:marRight w:val="0"/>
          <w:marTop w:val="0"/>
          <w:marBottom w:val="0"/>
          <w:divBdr>
            <w:top w:val="none" w:sz="0" w:space="0" w:color="auto"/>
            <w:left w:val="none" w:sz="0" w:space="0" w:color="auto"/>
            <w:bottom w:val="none" w:sz="0" w:space="0" w:color="auto"/>
            <w:right w:val="none" w:sz="0" w:space="0" w:color="auto"/>
          </w:divBdr>
        </w:div>
        <w:div w:id="294140218">
          <w:marLeft w:val="0"/>
          <w:marRight w:val="0"/>
          <w:marTop w:val="0"/>
          <w:marBottom w:val="0"/>
          <w:divBdr>
            <w:top w:val="none" w:sz="0" w:space="0" w:color="auto"/>
            <w:left w:val="none" w:sz="0" w:space="0" w:color="auto"/>
            <w:bottom w:val="none" w:sz="0" w:space="0" w:color="auto"/>
            <w:right w:val="none" w:sz="0" w:space="0" w:color="auto"/>
          </w:divBdr>
        </w:div>
        <w:div w:id="294140779">
          <w:marLeft w:val="0"/>
          <w:marRight w:val="0"/>
          <w:marTop w:val="0"/>
          <w:marBottom w:val="0"/>
          <w:divBdr>
            <w:top w:val="none" w:sz="0" w:space="0" w:color="auto"/>
            <w:left w:val="none" w:sz="0" w:space="0" w:color="auto"/>
            <w:bottom w:val="none" w:sz="0" w:space="0" w:color="auto"/>
            <w:right w:val="none" w:sz="0" w:space="0" w:color="auto"/>
          </w:divBdr>
        </w:div>
        <w:div w:id="294140969">
          <w:marLeft w:val="0"/>
          <w:marRight w:val="0"/>
          <w:marTop w:val="0"/>
          <w:marBottom w:val="0"/>
          <w:divBdr>
            <w:top w:val="none" w:sz="0" w:space="0" w:color="auto"/>
            <w:left w:val="none" w:sz="0" w:space="0" w:color="auto"/>
            <w:bottom w:val="none" w:sz="0" w:space="0" w:color="auto"/>
            <w:right w:val="none" w:sz="0" w:space="0" w:color="auto"/>
          </w:divBdr>
        </w:div>
        <w:div w:id="294141263">
          <w:marLeft w:val="0"/>
          <w:marRight w:val="0"/>
          <w:marTop w:val="0"/>
          <w:marBottom w:val="0"/>
          <w:divBdr>
            <w:top w:val="none" w:sz="0" w:space="0" w:color="auto"/>
            <w:left w:val="none" w:sz="0" w:space="0" w:color="auto"/>
            <w:bottom w:val="none" w:sz="0" w:space="0" w:color="auto"/>
            <w:right w:val="none" w:sz="0" w:space="0" w:color="auto"/>
          </w:divBdr>
        </w:div>
        <w:div w:id="294141496">
          <w:marLeft w:val="0"/>
          <w:marRight w:val="0"/>
          <w:marTop w:val="0"/>
          <w:marBottom w:val="0"/>
          <w:divBdr>
            <w:top w:val="none" w:sz="0" w:space="0" w:color="auto"/>
            <w:left w:val="none" w:sz="0" w:space="0" w:color="auto"/>
            <w:bottom w:val="none" w:sz="0" w:space="0" w:color="auto"/>
            <w:right w:val="none" w:sz="0" w:space="0" w:color="auto"/>
          </w:divBdr>
        </w:div>
        <w:div w:id="294141747">
          <w:marLeft w:val="0"/>
          <w:marRight w:val="0"/>
          <w:marTop w:val="0"/>
          <w:marBottom w:val="0"/>
          <w:divBdr>
            <w:top w:val="none" w:sz="0" w:space="0" w:color="auto"/>
            <w:left w:val="none" w:sz="0" w:space="0" w:color="auto"/>
            <w:bottom w:val="none" w:sz="0" w:space="0" w:color="auto"/>
            <w:right w:val="none" w:sz="0" w:space="0" w:color="auto"/>
          </w:divBdr>
        </w:div>
        <w:div w:id="294141765">
          <w:marLeft w:val="0"/>
          <w:marRight w:val="0"/>
          <w:marTop w:val="0"/>
          <w:marBottom w:val="0"/>
          <w:divBdr>
            <w:top w:val="none" w:sz="0" w:space="0" w:color="auto"/>
            <w:left w:val="none" w:sz="0" w:space="0" w:color="auto"/>
            <w:bottom w:val="none" w:sz="0" w:space="0" w:color="auto"/>
            <w:right w:val="none" w:sz="0" w:space="0" w:color="auto"/>
          </w:divBdr>
        </w:div>
        <w:div w:id="294141786">
          <w:marLeft w:val="0"/>
          <w:marRight w:val="0"/>
          <w:marTop w:val="0"/>
          <w:marBottom w:val="0"/>
          <w:divBdr>
            <w:top w:val="none" w:sz="0" w:space="0" w:color="auto"/>
            <w:left w:val="none" w:sz="0" w:space="0" w:color="auto"/>
            <w:bottom w:val="none" w:sz="0" w:space="0" w:color="auto"/>
            <w:right w:val="none" w:sz="0" w:space="0" w:color="auto"/>
          </w:divBdr>
        </w:div>
        <w:div w:id="294142258">
          <w:marLeft w:val="0"/>
          <w:marRight w:val="0"/>
          <w:marTop w:val="0"/>
          <w:marBottom w:val="0"/>
          <w:divBdr>
            <w:top w:val="none" w:sz="0" w:space="0" w:color="auto"/>
            <w:left w:val="none" w:sz="0" w:space="0" w:color="auto"/>
            <w:bottom w:val="none" w:sz="0" w:space="0" w:color="auto"/>
            <w:right w:val="none" w:sz="0" w:space="0" w:color="auto"/>
          </w:divBdr>
        </w:div>
        <w:div w:id="294143039">
          <w:marLeft w:val="0"/>
          <w:marRight w:val="0"/>
          <w:marTop w:val="0"/>
          <w:marBottom w:val="0"/>
          <w:divBdr>
            <w:top w:val="none" w:sz="0" w:space="0" w:color="auto"/>
            <w:left w:val="none" w:sz="0" w:space="0" w:color="auto"/>
            <w:bottom w:val="none" w:sz="0" w:space="0" w:color="auto"/>
            <w:right w:val="none" w:sz="0" w:space="0" w:color="auto"/>
          </w:divBdr>
        </w:div>
        <w:div w:id="294143670">
          <w:marLeft w:val="0"/>
          <w:marRight w:val="0"/>
          <w:marTop w:val="0"/>
          <w:marBottom w:val="0"/>
          <w:divBdr>
            <w:top w:val="none" w:sz="0" w:space="0" w:color="auto"/>
            <w:left w:val="none" w:sz="0" w:space="0" w:color="auto"/>
            <w:bottom w:val="none" w:sz="0" w:space="0" w:color="auto"/>
            <w:right w:val="none" w:sz="0" w:space="0" w:color="auto"/>
          </w:divBdr>
        </w:div>
        <w:div w:id="294143744">
          <w:marLeft w:val="0"/>
          <w:marRight w:val="0"/>
          <w:marTop w:val="0"/>
          <w:marBottom w:val="0"/>
          <w:divBdr>
            <w:top w:val="none" w:sz="0" w:space="0" w:color="auto"/>
            <w:left w:val="none" w:sz="0" w:space="0" w:color="auto"/>
            <w:bottom w:val="none" w:sz="0" w:space="0" w:color="auto"/>
            <w:right w:val="none" w:sz="0" w:space="0" w:color="auto"/>
          </w:divBdr>
        </w:div>
        <w:div w:id="294143853">
          <w:marLeft w:val="0"/>
          <w:marRight w:val="0"/>
          <w:marTop w:val="0"/>
          <w:marBottom w:val="0"/>
          <w:divBdr>
            <w:top w:val="none" w:sz="0" w:space="0" w:color="auto"/>
            <w:left w:val="none" w:sz="0" w:space="0" w:color="auto"/>
            <w:bottom w:val="none" w:sz="0" w:space="0" w:color="auto"/>
            <w:right w:val="none" w:sz="0" w:space="0" w:color="auto"/>
          </w:divBdr>
        </w:div>
        <w:div w:id="294143864">
          <w:marLeft w:val="0"/>
          <w:marRight w:val="0"/>
          <w:marTop w:val="0"/>
          <w:marBottom w:val="0"/>
          <w:divBdr>
            <w:top w:val="none" w:sz="0" w:space="0" w:color="auto"/>
            <w:left w:val="none" w:sz="0" w:space="0" w:color="auto"/>
            <w:bottom w:val="none" w:sz="0" w:space="0" w:color="auto"/>
            <w:right w:val="none" w:sz="0" w:space="0" w:color="auto"/>
          </w:divBdr>
        </w:div>
        <w:div w:id="294144166">
          <w:marLeft w:val="0"/>
          <w:marRight w:val="0"/>
          <w:marTop w:val="0"/>
          <w:marBottom w:val="0"/>
          <w:divBdr>
            <w:top w:val="none" w:sz="0" w:space="0" w:color="auto"/>
            <w:left w:val="none" w:sz="0" w:space="0" w:color="auto"/>
            <w:bottom w:val="none" w:sz="0" w:space="0" w:color="auto"/>
            <w:right w:val="none" w:sz="0" w:space="0" w:color="auto"/>
          </w:divBdr>
        </w:div>
        <w:div w:id="294144370">
          <w:marLeft w:val="0"/>
          <w:marRight w:val="0"/>
          <w:marTop w:val="0"/>
          <w:marBottom w:val="0"/>
          <w:divBdr>
            <w:top w:val="none" w:sz="0" w:space="0" w:color="auto"/>
            <w:left w:val="none" w:sz="0" w:space="0" w:color="auto"/>
            <w:bottom w:val="none" w:sz="0" w:space="0" w:color="auto"/>
            <w:right w:val="none" w:sz="0" w:space="0" w:color="auto"/>
          </w:divBdr>
        </w:div>
        <w:div w:id="294144516">
          <w:marLeft w:val="0"/>
          <w:marRight w:val="0"/>
          <w:marTop w:val="0"/>
          <w:marBottom w:val="0"/>
          <w:divBdr>
            <w:top w:val="none" w:sz="0" w:space="0" w:color="auto"/>
            <w:left w:val="none" w:sz="0" w:space="0" w:color="auto"/>
            <w:bottom w:val="none" w:sz="0" w:space="0" w:color="auto"/>
            <w:right w:val="none" w:sz="0" w:space="0" w:color="auto"/>
          </w:divBdr>
        </w:div>
        <w:div w:id="294144797">
          <w:marLeft w:val="0"/>
          <w:marRight w:val="0"/>
          <w:marTop w:val="0"/>
          <w:marBottom w:val="0"/>
          <w:divBdr>
            <w:top w:val="none" w:sz="0" w:space="0" w:color="auto"/>
            <w:left w:val="none" w:sz="0" w:space="0" w:color="auto"/>
            <w:bottom w:val="none" w:sz="0" w:space="0" w:color="auto"/>
            <w:right w:val="none" w:sz="0" w:space="0" w:color="auto"/>
          </w:divBdr>
        </w:div>
        <w:div w:id="294144951">
          <w:marLeft w:val="0"/>
          <w:marRight w:val="0"/>
          <w:marTop w:val="0"/>
          <w:marBottom w:val="0"/>
          <w:divBdr>
            <w:top w:val="none" w:sz="0" w:space="0" w:color="auto"/>
            <w:left w:val="none" w:sz="0" w:space="0" w:color="auto"/>
            <w:bottom w:val="none" w:sz="0" w:space="0" w:color="auto"/>
            <w:right w:val="none" w:sz="0" w:space="0" w:color="auto"/>
          </w:divBdr>
        </w:div>
        <w:div w:id="294145244">
          <w:marLeft w:val="0"/>
          <w:marRight w:val="0"/>
          <w:marTop w:val="0"/>
          <w:marBottom w:val="0"/>
          <w:divBdr>
            <w:top w:val="none" w:sz="0" w:space="0" w:color="auto"/>
            <w:left w:val="none" w:sz="0" w:space="0" w:color="auto"/>
            <w:bottom w:val="none" w:sz="0" w:space="0" w:color="auto"/>
            <w:right w:val="none" w:sz="0" w:space="0" w:color="auto"/>
          </w:divBdr>
        </w:div>
        <w:div w:id="294145694">
          <w:marLeft w:val="0"/>
          <w:marRight w:val="0"/>
          <w:marTop w:val="0"/>
          <w:marBottom w:val="0"/>
          <w:divBdr>
            <w:top w:val="none" w:sz="0" w:space="0" w:color="auto"/>
            <w:left w:val="none" w:sz="0" w:space="0" w:color="auto"/>
            <w:bottom w:val="none" w:sz="0" w:space="0" w:color="auto"/>
            <w:right w:val="none" w:sz="0" w:space="0" w:color="auto"/>
          </w:divBdr>
        </w:div>
        <w:div w:id="294146107">
          <w:marLeft w:val="0"/>
          <w:marRight w:val="0"/>
          <w:marTop w:val="0"/>
          <w:marBottom w:val="0"/>
          <w:divBdr>
            <w:top w:val="none" w:sz="0" w:space="0" w:color="auto"/>
            <w:left w:val="none" w:sz="0" w:space="0" w:color="auto"/>
            <w:bottom w:val="none" w:sz="0" w:space="0" w:color="auto"/>
            <w:right w:val="none" w:sz="0" w:space="0" w:color="auto"/>
          </w:divBdr>
        </w:div>
        <w:div w:id="294146160">
          <w:marLeft w:val="0"/>
          <w:marRight w:val="0"/>
          <w:marTop w:val="0"/>
          <w:marBottom w:val="0"/>
          <w:divBdr>
            <w:top w:val="none" w:sz="0" w:space="0" w:color="auto"/>
            <w:left w:val="none" w:sz="0" w:space="0" w:color="auto"/>
            <w:bottom w:val="none" w:sz="0" w:space="0" w:color="auto"/>
            <w:right w:val="none" w:sz="0" w:space="0" w:color="auto"/>
          </w:divBdr>
        </w:div>
        <w:div w:id="294146953">
          <w:marLeft w:val="0"/>
          <w:marRight w:val="0"/>
          <w:marTop w:val="0"/>
          <w:marBottom w:val="0"/>
          <w:divBdr>
            <w:top w:val="none" w:sz="0" w:space="0" w:color="auto"/>
            <w:left w:val="none" w:sz="0" w:space="0" w:color="auto"/>
            <w:bottom w:val="none" w:sz="0" w:space="0" w:color="auto"/>
            <w:right w:val="none" w:sz="0" w:space="0" w:color="auto"/>
          </w:divBdr>
        </w:div>
        <w:div w:id="294147378">
          <w:marLeft w:val="0"/>
          <w:marRight w:val="0"/>
          <w:marTop w:val="0"/>
          <w:marBottom w:val="0"/>
          <w:divBdr>
            <w:top w:val="none" w:sz="0" w:space="0" w:color="auto"/>
            <w:left w:val="none" w:sz="0" w:space="0" w:color="auto"/>
            <w:bottom w:val="none" w:sz="0" w:space="0" w:color="auto"/>
            <w:right w:val="none" w:sz="0" w:space="0" w:color="auto"/>
          </w:divBdr>
        </w:div>
        <w:div w:id="294148040">
          <w:marLeft w:val="0"/>
          <w:marRight w:val="0"/>
          <w:marTop w:val="0"/>
          <w:marBottom w:val="0"/>
          <w:divBdr>
            <w:top w:val="none" w:sz="0" w:space="0" w:color="auto"/>
            <w:left w:val="none" w:sz="0" w:space="0" w:color="auto"/>
            <w:bottom w:val="none" w:sz="0" w:space="0" w:color="auto"/>
            <w:right w:val="none" w:sz="0" w:space="0" w:color="auto"/>
          </w:divBdr>
        </w:div>
        <w:div w:id="294148127">
          <w:marLeft w:val="0"/>
          <w:marRight w:val="0"/>
          <w:marTop w:val="0"/>
          <w:marBottom w:val="0"/>
          <w:divBdr>
            <w:top w:val="none" w:sz="0" w:space="0" w:color="auto"/>
            <w:left w:val="none" w:sz="0" w:space="0" w:color="auto"/>
            <w:bottom w:val="none" w:sz="0" w:space="0" w:color="auto"/>
            <w:right w:val="none" w:sz="0" w:space="0" w:color="auto"/>
          </w:divBdr>
        </w:div>
        <w:div w:id="294148140">
          <w:marLeft w:val="0"/>
          <w:marRight w:val="0"/>
          <w:marTop w:val="0"/>
          <w:marBottom w:val="0"/>
          <w:divBdr>
            <w:top w:val="none" w:sz="0" w:space="0" w:color="auto"/>
            <w:left w:val="none" w:sz="0" w:space="0" w:color="auto"/>
            <w:bottom w:val="none" w:sz="0" w:space="0" w:color="auto"/>
            <w:right w:val="none" w:sz="0" w:space="0" w:color="auto"/>
          </w:divBdr>
        </w:div>
        <w:div w:id="294148352">
          <w:marLeft w:val="0"/>
          <w:marRight w:val="0"/>
          <w:marTop w:val="0"/>
          <w:marBottom w:val="0"/>
          <w:divBdr>
            <w:top w:val="none" w:sz="0" w:space="0" w:color="auto"/>
            <w:left w:val="none" w:sz="0" w:space="0" w:color="auto"/>
            <w:bottom w:val="none" w:sz="0" w:space="0" w:color="auto"/>
            <w:right w:val="none" w:sz="0" w:space="0" w:color="auto"/>
          </w:divBdr>
        </w:div>
        <w:div w:id="294148395">
          <w:marLeft w:val="0"/>
          <w:marRight w:val="0"/>
          <w:marTop w:val="0"/>
          <w:marBottom w:val="0"/>
          <w:divBdr>
            <w:top w:val="none" w:sz="0" w:space="0" w:color="auto"/>
            <w:left w:val="none" w:sz="0" w:space="0" w:color="auto"/>
            <w:bottom w:val="none" w:sz="0" w:space="0" w:color="auto"/>
            <w:right w:val="none" w:sz="0" w:space="0" w:color="auto"/>
          </w:divBdr>
        </w:div>
        <w:div w:id="294148962">
          <w:marLeft w:val="0"/>
          <w:marRight w:val="0"/>
          <w:marTop w:val="0"/>
          <w:marBottom w:val="0"/>
          <w:divBdr>
            <w:top w:val="none" w:sz="0" w:space="0" w:color="auto"/>
            <w:left w:val="none" w:sz="0" w:space="0" w:color="auto"/>
            <w:bottom w:val="none" w:sz="0" w:space="0" w:color="auto"/>
            <w:right w:val="none" w:sz="0" w:space="0" w:color="auto"/>
          </w:divBdr>
        </w:div>
        <w:div w:id="294149110">
          <w:marLeft w:val="0"/>
          <w:marRight w:val="0"/>
          <w:marTop w:val="0"/>
          <w:marBottom w:val="0"/>
          <w:divBdr>
            <w:top w:val="none" w:sz="0" w:space="0" w:color="auto"/>
            <w:left w:val="none" w:sz="0" w:space="0" w:color="auto"/>
            <w:bottom w:val="none" w:sz="0" w:space="0" w:color="auto"/>
            <w:right w:val="none" w:sz="0" w:space="0" w:color="auto"/>
          </w:divBdr>
        </w:div>
        <w:div w:id="294149424">
          <w:marLeft w:val="0"/>
          <w:marRight w:val="0"/>
          <w:marTop w:val="0"/>
          <w:marBottom w:val="0"/>
          <w:divBdr>
            <w:top w:val="none" w:sz="0" w:space="0" w:color="auto"/>
            <w:left w:val="none" w:sz="0" w:space="0" w:color="auto"/>
            <w:bottom w:val="none" w:sz="0" w:space="0" w:color="auto"/>
            <w:right w:val="none" w:sz="0" w:space="0" w:color="auto"/>
          </w:divBdr>
        </w:div>
        <w:div w:id="294149663">
          <w:marLeft w:val="0"/>
          <w:marRight w:val="0"/>
          <w:marTop w:val="0"/>
          <w:marBottom w:val="0"/>
          <w:divBdr>
            <w:top w:val="none" w:sz="0" w:space="0" w:color="auto"/>
            <w:left w:val="none" w:sz="0" w:space="0" w:color="auto"/>
            <w:bottom w:val="none" w:sz="0" w:space="0" w:color="auto"/>
            <w:right w:val="none" w:sz="0" w:space="0" w:color="auto"/>
          </w:divBdr>
        </w:div>
        <w:div w:id="294150096">
          <w:marLeft w:val="0"/>
          <w:marRight w:val="0"/>
          <w:marTop w:val="0"/>
          <w:marBottom w:val="0"/>
          <w:divBdr>
            <w:top w:val="none" w:sz="0" w:space="0" w:color="auto"/>
            <w:left w:val="none" w:sz="0" w:space="0" w:color="auto"/>
            <w:bottom w:val="none" w:sz="0" w:space="0" w:color="auto"/>
            <w:right w:val="none" w:sz="0" w:space="0" w:color="auto"/>
          </w:divBdr>
        </w:div>
        <w:div w:id="294150215">
          <w:marLeft w:val="0"/>
          <w:marRight w:val="0"/>
          <w:marTop w:val="0"/>
          <w:marBottom w:val="0"/>
          <w:divBdr>
            <w:top w:val="none" w:sz="0" w:space="0" w:color="auto"/>
            <w:left w:val="none" w:sz="0" w:space="0" w:color="auto"/>
            <w:bottom w:val="none" w:sz="0" w:space="0" w:color="auto"/>
            <w:right w:val="none" w:sz="0" w:space="0" w:color="auto"/>
          </w:divBdr>
        </w:div>
        <w:div w:id="294150469">
          <w:marLeft w:val="0"/>
          <w:marRight w:val="0"/>
          <w:marTop w:val="0"/>
          <w:marBottom w:val="0"/>
          <w:divBdr>
            <w:top w:val="none" w:sz="0" w:space="0" w:color="auto"/>
            <w:left w:val="none" w:sz="0" w:space="0" w:color="auto"/>
            <w:bottom w:val="none" w:sz="0" w:space="0" w:color="auto"/>
            <w:right w:val="none" w:sz="0" w:space="0" w:color="auto"/>
          </w:divBdr>
        </w:div>
        <w:div w:id="294150786">
          <w:marLeft w:val="0"/>
          <w:marRight w:val="0"/>
          <w:marTop w:val="0"/>
          <w:marBottom w:val="0"/>
          <w:divBdr>
            <w:top w:val="none" w:sz="0" w:space="0" w:color="auto"/>
            <w:left w:val="none" w:sz="0" w:space="0" w:color="auto"/>
            <w:bottom w:val="none" w:sz="0" w:space="0" w:color="auto"/>
            <w:right w:val="none" w:sz="0" w:space="0" w:color="auto"/>
          </w:divBdr>
        </w:div>
        <w:div w:id="294151877">
          <w:marLeft w:val="0"/>
          <w:marRight w:val="0"/>
          <w:marTop w:val="0"/>
          <w:marBottom w:val="0"/>
          <w:divBdr>
            <w:top w:val="none" w:sz="0" w:space="0" w:color="auto"/>
            <w:left w:val="none" w:sz="0" w:space="0" w:color="auto"/>
            <w:bottom w:val="none" w:sz="0" w:space="0" w:color="auto"/>
            <w:right w:val="none" w:sz="0" w:space="0" w:color="auto"/>
          </w:divBdr>
        </w:div>
        <w:div w:id="294152154">
          <w:marLeft w:val="0"/>
          <w:marRight w:val="0"/>
          <w:marTop w:val="0"/>
          <w:marBottom w:val="0"/>
          <w:divBdr>
            <w:top w:val="none" w:sz="0" w:space="0" w:color="auto"/>
            <w:left w:val="none" w:sz="0" w:space="0" w:color="auto"/>
            <w:bottom w:val="none" w:sz="0" w:space="0" w:color="auto"/>
            <w:right w:val="none" w:sz="0" w:space="0" w:color="auto"/>
          </w:divBdr>
        </w:div>
        <w:div w:id="294152410">
          <w:marLeft w:val="0"/>
          <w:marRight w:val="0"/>
          <w:marTop w:val="0"/>
          <w:marBottom w:val="0"/>
          <w:divBdr>
            <w:top w:val="none" w:sz="0" w:space="0" w:color="auto"/>
            <w:left w:val="none" w:sz="0" w:space="0" w:color="auto"/>
            <w:bottom w:val="none" w:sz="0" w:space="0" w:color="auto"/>
            <w:right w:val="none" w:sz="0" w:space="0" w:color="auto"/>
          </w:divBdr>
        </w:div>
        <w:div w:id="294152678">
          <w:marLeft w:val="0"/>
          <w:marRight w:val="0"/>
          <w:marTop w:val="0"/>
          <w:marBottom w:val="0"/>
          <w:divBdr>
            <w:top w:val="none" w:sz="0" w:space="0" w:color="auto"/>
            <w:left w:val="none" w:sz="0" w:space="0" w:color="auto"/>
            <w:bottom w:val="none" w:sz="0" w:space="0" w:color="auto"/>
            <w:right w:val="none" w:sz="0" w:space="0" w:color="auto"/>
          </w:divBdr>
        </w:div>
        <w:div w:id="294152693">
          <w:marLeft w:val="0"/>
          <w:marRight w:val="0"/>
          <w:marTop w:val="0"/>
          <w:marBottom w:val="0"/>
          <w:divBdr>
            <w:top w:val="none" w:sz="0" w:space="0" w:color="auto"/>
            <w:left w:val="none" w:sz="0" w:space="0" w:color="auto"/>
            <w:bottom w:val="none" w:sz="0" w:space="0" w:color="auto"/>
            <w:right w:val="none" w:sz="0" w:space="0" w:color="auto"/>
          </w:divBdr>
        </w:div>
        <w:div w:id="294152789">
          <w:marLeft w:val="0"/>
          <w:marRight w:val="0"/>
          <w:marTop w:val="0"/>
          <w:marBottom w:val="0"/>
          <w:divBdr>
            <w:top w:val="none" w:sz="0" w:space="0" w:color="auto"/>
            <w:left w:val="none" w:sz="0" w:space="0" w:color="auto"/>
            <w:bottom w:val="none" w:sz="0" w:space="0" w:color="auto"/>
            <w:right w:val="none" w:sz="0" w:space="0" w:color="auto"/>
          </w:divBdr>
        </w:div>
        <w:div w:id="294152830">
          <w:marLeft w:val="0"/>
          <w:marRight w:val="0"/>
          <w:marTop w:val="0"/>
          <w:marBottom w:val="0"/>
          <w:divBdr>
            <w:top w:val="none" w:sz="0" w:space="0" w:color="auto"/>
            <w:left w:val="none" w:sz="0" w:space="0" w:color="auto"/>
            <w:bottom w:val="none" w:sz="0" w:space="0" w:color="auto"/>
            <w:right w:val="none" w:sz="0" w:space="0" w:color="auto"/>
          </w:divBdr>
        </w:div>
        <w:div w:id="294153094">
          <w:marLeft w:val="0"/>
          <w:marRight w:val="0"/>
          <w:marTop w:val="0"/>
          <w:marBottom w:val="0"/>
          <w:divBdr>
            <w:top w:val="none" w:sz="0" w:space="0" w:color="auto"/>
            <w:left w:val="none" w:sz="0" w:space="0" w:color="auto"/>
            <w:bottom w:val="none" w:sz="0" w:space="0" w:color="auto"/>
            <w:right w:val="none" w:sz="0" w:space="0" w:color="auto"/>
          </w:divBdr>
        </w:div>
        <w:div w:id="294153823">
          <w:marLeft w:val="0"/>
          <w:marRight w:val="0"/>
          <w:marTop w:val="0"/>
          <w:marBottom w:val="0"/>
          <w:divBdr>
            <w:top w:val="none" w:sz="0" w:space="0" w:color="auto"/>
            <w:left w:val="none" w:sz="0" w:space="0" w:color="auto"/>
            <w:bottom w:val="none" w:sz="0" w:space="0" w:color="auto"/>
            <w:right w:val="none" w:sz="0" w:space="0" w:color="auto"/>
          </w:divBdr>
        </w:div>
        <w:div w:id="294153932">
          <w:marLeft w:val="0"/>
          <w:marRight w:val="0"/>
          <w:marTop w:val="0"/>
          <w:marBottom w:val="0"/>
          <w:divBdr>
            <w:top w:val="none" w:sz="0" w:space="0" w:color="auto"/>
            <w:left w:val="none" w:sz="0" w:space="0" w:color="auto"/>
            <w:bottom w:val="none" w:sz="0" w:space="0" w:color="auto"/>
            <w:right w:val="none" w:sz="0" w:space="0" w:color="auto"/>
          </w:divBdr>
        </w:div>
        <w:div w:id="294154117">
          <w:marLeft w:val="0"/>
          <w:marRight w:val="0"/>
          <w:marTop w:val="0"/>
          <w:marBottom w:val="0"/>
          <w:divBdr>
            <w:top w:val="none" w:sz="0" w:space="0" w:color="auto"/>
            <w:left w:val="none" w:sz="0" w:space="0" w:color="auto"/>
            <w:bottom w:val="none" w:sz="0" w:space="0" w:color="auto"/>
            <w:right w:val="none" w:sz="0" w:space="0" w:color="auto"/>
          </w:divBdr>
        </w:div>
        <w:div w:id="294154273">
          <w:marLeft w:val="0"/>
          <w:marRight w:val="0"/>
          <w:marTop w:val="0"/>
          <w:marBottom w:val="0"/>
          <w:divBdr>
            <w:top w:val="none" w:sz="0" w:space="0" w:color="auto"/>
            <w:left w:val="none" w:sz="0" w:space="0" w:color="auto"/>
            <w:bottom w:val="none" w:sz="0" w:space="0" w:color="auto"/>
            <w:right w:val="none" w:sz="0" w:space="0" w:color="auto"/>
          </w:divBdr>
        </w:div>
        <w:div w:id="294154628">
          <w:marLeft w:val="0"/>
          <w:marRight w:val="0"/>
          <w:marTop w:val="0"/>
          <w:marBottom w:val="0"/>
          <w:divBdr>
            <w:top w:val="none" w:sz="0" w:space="0" w:color="auto"/>
            <w:left w:val="none" w:sz="0" w:space="0" w:color="auto"/>
            <w:bottom w:val="none" w:sz="0" w:space="0" w:color="auto"/>
            <w:right w:val="none" w:sz="0" w:space="0" w:color="auto"/>
          </w:divBdr>
        </w:div>
        <w:div w:id="294154661">
          <w:marLeft w:val="0"/>
          <w:marRight w:val="0"/>
          <w:marTop w:val="0"/>
          <w:marBottom w:val="0"/>
          <w:divBdr>
            <w:top w:val="none" w:sz="0" w:space="0" w:color="auto"/>
            <w:left w:val="none" w:sz="0" w:space="0" w:color="auto"/>
            <w:bottom w:val="none" w:sz="0" w:space="0" w:color="auto"/>
            <w:right w:val="none" w:sz="0" w:space="0" w:color="auto"/>
          </w:divBdr>
        </w:div>
        <w:div w:id="294154749">
          <w:marLeft w:val="0"/>
          <w:marRight w:val="0"/>
          <w:marTop w:val="0"/>
          <w:marBottom w:val="0"/>
          <w:divBdr>
            <w:top w:val="none" w:sz="0" w:space="0" w:color="auto"/>
            <w:left w:val="none" w:sz="0" w:space="0" w:color="auto"/>
            <w:bottom w:val="none" w:sz="0" w:space="0" w:color="auto"/>
            <w:right w:val="none" w:sz="0" w:space="0" w:color="auto"/>
          </w:divBdr>
        </w:div>
        <w:div w:id="294154996">
          <w:marLeft w:val="0"/>
          <w:marRight w:val="0"/>
          <w:marTop w:val="0"/>
          <w:marBottom w:val="0"/>
          <w:divBdr>
            <w:top w:val="none" w:sz="0" w:space="0" w:color="auto"/>
            <w:left w:val="none" w:sz="0" w:space="0" w:color="auto"/>
            <w:bottom w:val="none" w:sz="0" w:space="0" w:color="auto"/>
            <w:right w:val="none" w:sz="0" w:space="0" w:color="auto"/>
          </w:divBdr>
        </w:div>
        <w:div w:id="294155078">
          <w:marLeft w:val="0"/>
          <w:marRight w:val="0"/>
          <w:marTop w:val="0"/>
          <w:marBottom w:val="0"/>
          <w:divBdr>
            <w:top w:val="none" w:sz="0" w:space="0" w:color="auto"/>
            <w:left w:val="none" w:sz="0" w:space="0" w:color="auto"/>
            <w:bottom w:val="none" w:sz="0" w:space="0" w:color="auto"/>
            <w:right w:val="none" w:sz="0" w:space="0" w:color="auto"/>
          </w:divBdr>
        </w:div>
        <w:div w:id="294155147">
          <w:marLeft w:val="0"/>
          <w:marRight w:val="0"/>
          <w:marTop w:val="0"/>
          <w:marBottom w:val="0"/>
          <w:divBdr>
            <w:top w:val="none" w:sz="0" w:space="0" w:color="auto"/>
            <w:left w:val="none" w:sz="0" w:space="0" w:color="auto"/>
            <w:bottom w:val="none" w:sz="0" w:space="0" w:color="auto"/>
            <w:right w:val="none" w:sz="0" w:space="0" w:color="auto"/>
          </w:divBdr>
        </w:div>
        <w:div w:id="294155658">
          <w:marLeft w:val="0"/>
          <w:marRight w:val="0"/>
          <w:marTop w:val="0"/>
          <w:marBottom w:val="0"/>
          <w:divBdr>
            <w:top w:val="none" w:sz="0" w:space="0" w:color="auto"/>
            <w:left w:val="none" w:sz="0" w:space="0" w:color="auto"/>
            <w:bottom w:val="none" w:sz="0" w:space="0" w:color="auto"/>
            <w:right w:val="none" w:sz="0" w:space="0" w:color="auto"/>
          </w:divBdr>
        </w:div>
        <w:div w:id="294156470">
          <w:marLeft w:val="0"/>
          <w:marRight w:val="0"/>
          <w:marTop w:val="0"/>
          <w:marBottom w:val="0"/>
          <w:divBdr>
            <w:top w:val="none" w:sz="0" w:space="0" w:color="auto"/>
            <w:left w:val="none" w:sz="0" w:space="0" w:color="auto"/>
            <w:bottom w:val="none" w:sz="0" w:space="0" w:color="auto"/>
            <w:right w:val="none" w:sz="0" w:space="0" w:color="auto"/>
          </w:divBdr>
        </w:div>
        <w:div w:id="294156629">
          <w:marLeft w:val="0"/>
          <w:marRight w:val="0"/>
          <w:marTop w:val="0"/>
          <w:marBottom w:val="0"/>
          <w:divBdr>
            <w:top w:val="none" w:sz="0" w:space="0" w:color="auto"/>
            <w:left w:val="none" w:sz="0" w:space="0" w:color="auto"/>
            <w:bottom w:val="none" w:sz="0" w:space="0" w:color="auto"/>
            <w:right w:val="none" w:sz="0" w:space="0" w:color="auto"/>
          </w:divBdr>
        </w:div>
        <w:div w:id="294157360">
          <w:marLeft w:val="0"/>
          <w:marRight w:val="0"/>
          <w:marTop w:val="0"/>
          <w:marBottom w:val="0"/>
          <w:divBdr>
            <w:top w:val="none" w:sz="0" w:space="0" w:color="auto"/>
            <w:left w:val="none" w:sz="0" w:space="0" w:color="auto"/>
            <w:bottom w:val="none" w:sz="0" w:space="0" w:color="auto"/>
            <w:right w:val="none" w:sz="0" w:space="0" w:color="auto"/>
          </w:divBdr>
        </w:div>
        <w:div w:id="294157460">
          <w:marLeft w:val="0"/>
          <w:marRight w:val="0"/>
          <w:marTop w:val="0"/>
          <w:marBottom w:val="0"/>
          <w:divBdr>
            <w:top w:val="none" w:sz="0" w:space="0" w:color="auto"/>
            <w:left w:val="none" w:sz="0" w:space="0" w:color="auto"/>
            <w:bottom w:val="none" w:sz="0" w:space="0" w:color="auto"/>
            <w:right w:val="none" w:sz="0" w:space="0" w:color="auto"/>
          </w:divBdr>
        </w:div>
      </w:divsChild>
    </w:div>
    <w:div w:id="294156617">
      <w:marLeft w:val="0"/>
      <w:marRight w:val="0"/>
      <w:marTop w:val="0"/>
      <w:marBottom w:val="0"/>
      <w:divBdr>
        <w:top w:val="none" w:sz="0" w:space="0" w:color="auto"/>
        <w:left w:val="none" w:sz="0" w:space="0" w:color="auto"/>
        <w:bottom w:val="none" w:sz="0" w:space="0" w:color="auto"/>
        <w:right w:val="none" w:sz="0" w:space="0" w:color="auto"/>
      </w:divBdr>
    </w:div>
    <w:div w:id="294156690">
      <w:marLeft w:val="0"/>
      <w:marRight w:val="0"/>
      <w:marTop w:val="0"/>
      <w:marBottom w:val="0"/>
      <w:divBdr>
        <w:top w:val="none" w:sz="0" w:space="0" w:color="auto"/>
        <w:left w:val="none" w:sz="0" w:space="0" w:color="auto"/>
        <w:bottom w:val="none" w:sz="0" w:space="0" w:color="auto"/>
        <w:right w:val="none" w:sz="0" w:space="0" w:color="auto"/>
      </w:divBdr>
    </w:div>
    <w:div w:id="294156704">
      <w:marLeft w:val="0"/>
      <w:marRight w:val="0"/>
      <w:marTop w:val="0"/>
      <w:marBottom w:val="0"/>
      <w:divBdr>
        <w:top w:val="none" w:sz="0" w:space="0" w:color="auto"/>
        <w:left w:val="none" w:sz="0" w:space="0" w:color="auto"/>
        <w:bottom w:val="none" w:sz="0" w:space="0" w:color="auto"/>
        <w:right w:val="none" w:sz="0" w:space="0" w:color="auto"/>
      </w:divBdr>
    </w:div>
    <w:div w:id="294156762">
      <w:marLeft w:val="0"/>
      <w:marRight w:val="0"/>
      <w:marTop w:val="0"/>
      <w:marBottom w:val="0"/>
      <w:divBdr>
        <w:top w:val="none" w:sz="0" w:space="0" w:color="auto"/>
        <w:left w:val="none" w:sz="0" w:space="0" w:color="auto"/>
        <w:bottom w:val="none" w:sz="0" w:space="0" w:color="auto"/>
        <w:right w:val="none" w:sz="0" w:space="0" w:color="auto"/>
      </w:divBdr>
    </w:div>
    <w:div w:id="294156793">
      <w:marLeft w:val="0"/>
      <w:marRight w:val="0"/>
      <w:marTop w:val="0"/>
      <w:marBottom w:val="0"/>
      <w:divBdr>
        <w:top w:val="none" w:sz="0" w:space="0" w:color="auto"/>
        <w:left w:val="none" w:sz="0" w:space="0" w:color="auto"/>
        <w:bottom w:val="none" w:sz="0" w:space="0" w:color="auto"/>
        <w:right w:val="none" w:sz="0" w:space="0" w:color="auto"/>
      </w:divBdr>
    </w:div>
    <w:div w:id="294156876">
      <w:marLeft w:val="0"/>
      <w:marRight w:val="0"/>
      <w:marTop w:val="0"/>
      <w:marBottom w:val="0"/>
      <w:divBdr>
        <w:top w:val="none" w:sz="0" w:space="0" w:color="auto"/>
        <w:left w:val="none" w:sz="0" w:space="0" w:color="auto"/>
        <w:bottom w:val="none" w:sz="0" w:space="0" w:color="auto"/>
        <w:right w:val="none" w:sz="0" w:space="0" w:color="auto"/>
      </w:divBdr>
    </w:div>
    <w:div w:id="294156911">
      <w:marLeft w:val="0"/>
      <w:marRight w:val="0"/>
      <w:marTop w:val="0"/>
      <w:marBottom w:val="0"/>
      <w:divBdr>
        <w:top w:val="none" w:sz="0" w:space="0" w:color="auto"/>
        <w:left w:val="none" w:sz="0" w:space="0" w:color="auto"/>
        <w:bottom w:val="none" w:sz="0" w:space="0" w:color="auto"/>
        <w:right w:val="none" w:sz="0" w:space="0" w:color="auto"/>
      </w:divBdr>
    </w:div>
    <w:div w:id="294156918">
      <w:marLeft w:val="0"/>
      <w:marRight w:val="0"/>
      <w:marTop w:val="0"/>
      <w:marBottom w:val="0"/>
      <w:divBdr>
        <w:top w:val="none" w:sz="0" w:space="0" w:color="auto"/>
        <w:left w:val="none" w:sz="0" w:space="0" w:color="auto"/>
        <w:bottom w:val="none" w:sz="0" w:space="0" w:color="auto"/>
        <w:right w:val="none" w:sz="0" w:space="0" w:color="auto"/>
      </w:divBdr>
      <w:divsChild>
        <w:div w:id="294149120">
          <w:marLeft w:val="0"/>
          <w:marRight w:val="0"/>
          <w:marTop w:val="0"/>
          <w:marBottom w:val="0"/>
          <w:divBdr>
            <w:top w:val="none" w:sz="0" w:space="0" w:color="auto"/>
            <w:left w:val="none" w:sz="0" w:space="0" w:color="auto"/>
            <w:bottom w:val="none" w:sz="0" w:space="0" w:color="auto"/>
            <w:right w:val="none" w:sz="0" w:space="0" w:color="auto"/>
          </w:divBdr>
          <w:divsChild>
            <w:div w:id="294143810">
              <w:marLeft w:val="0"/>
              <w:marRight w:val="0"/>
              <w:marTop w:val="0"/>
              <w:marBottom w:val="0"/>
              <w:divBdr>
                <w:top w:val="none" w:sz="0" w:space="0" w:color="auto"/>
                <w:left w:val="none" w:sz="0" w:space="0" w:color="auto"/>
                <w:bottom w:val="none" w:sz="0" w:space="0" w:color="auto"/>
                <w:right w:val="none" w:sz="0" w:space="0" w:color="auto"/>
              </w:divBdr>
              <w:divsChild>
                <w:div w:id="294137996">
                  <w:marLeft w:val="0"/>
                  <w:marRight w:val="0"/>
                  <w:marTop w:val="0"/>
                  <w:marBottom w:val="0"/>
                  <w:divBdr>
                    <w:top w:val="none" w:sz="0" w:space="0" w:color="auto"/>
                    <w:left w:val="none" w:sz="0" w:space="0" w:color="auto"/>
                    <w:bottom w:val="none" w:sz="0" w:space="0" w:color="auto"/>
                    <w:right w:val="none" w:sz="0" w:space="0" w:color="auto"/>
                  </w:divBdr>
                </w:div>
                <w:div w:id="294138089">
                  <w:marLeft w:val="0"/>
                  <w:marRight w:val="0"/>
                  <w:marTop w:val="0"/>
                  <w:marBottom w:val="0"/>
                  <w:divBdr>
                    <w:top w:val="none" w:sz="0" w:space="0" w:color="auto"/>
                    <w:left w:val="none" w:sz="0" w:space="0" w:color="auto"/>
                    <w:bottom w:val="none" w:sz="0" w:space="0" w:color="auto"/>
                    <w:right w:val="none" w:sz="0" w:space="0" w:color="auto"/>
                  </w:divBdr>
                </w:div>
                <w:div w:id="294138173">
                  <w:marLeft w:val="0"/>
                  <w:marRight w:val="0"/>
                  <w:marTop w:val="0"/>
                  <w:marBottom w:val="0"/>
                  <w:divBdr>
                    <w:top w:val="none" w:sz="0" w:space="0" w:color="auto"/>
                    <w:left w:val="none" w:sz="0" w:space="0" w:color="auto"/>
                    <w:bottom w:val="none" w:sz="0" w:space="0" w:color="auto"/>
                    <w:right w:val="none" w:sz="0" w:space="0" w:color="auto"/>
                  </w:divBdr>
                </w:div>
                <w:div w:id="294138319">
                  <w:marLeft w:val="0"/>
                  <w:marRight w:val="0"/>
                  <w:marTop w:val="0"/>
                  <w:marBottom w:val="0"/>
                  <w:divBdr>
                    <w:top w:val="none" w:sz="0" w:space="0" w:color="auto"/>
                    <w:left w:val="none" w:sz="0" w:space="0" w:color="auto"/>
                    <w:bottom w:val="none" w:sz="0" w:space="0" w:color="auto"/>
                    <w:right w:val="none" w:sz="0" w:space="0" w:color="auto"/>
                  </w:divBdr>
                </w:div>
                <w:div w:id="294138425">
                  <w:marLeft w:val="0"/>
                  <w:marRight w:val="0"/>
                  <w:marTop w:val="0"/>
                  <w:marBottom w:val="0"/>
                  <w:divBdr>
                    <w:top w:val="none" w:sz="0" w:space="0" w:color="auto"/>
                    <w:left w:val="none" w:sz="0" w:space="0" w:color="auto"/>
                    <w:bottom w:val="none" w:sz="0" w:space="0" w:color="auto"/>
                    <w:right w:val="none" w:sz="0" w:space="0" w:color="auto"/>
                  </w:divBdr>
                </w:div>
                <w:div w:id="294138497">
                  <w:marLeft w:val="0"/>
                  <w:marRight w:val="0"/>
                  <w:marTop w:val="0"/>
                  <w:marBottom w:val="0"/>
                  <w:divBdr>
                    <w:top w:val="none" w:sz="0" w:space="0" w:color="auto"/>
                    <w:left w:val="none" w:sz="0" w:space="0" w:color="auto"/>
                    <w:bottom w:val="none" w:sz="0" w:space="0" w:color="auto"/>
                    <w:right w:val="none" w:sz="0" w:space="0" w:color="auto"/>
                  </w:divBdr>
                </w:div>
                <w:div w:id="294138717">
                  <w:marLeft w:val="0"/>
                  <w:marRight w:val="0"/>
                  <w:marTop w:val="0"/>
                  <w:marBottom w:val="0"/>
                  <w:divBdr>
                    <w:top w:val="none" w:sz="0" w:space="0" w:color="auto"/>
                    <w:left w:val="none" w:sz="0" w:space="0" w:color="auto"/>
                    <w:bottom w:val="none" w:sz="0" w:space="0" w:color="auto"/>
                    <w:right w:val="none" w:sz="0" w:space="0" w:color="auto"/>
                  </w:divBdr>
                </w:div>
                <w:div w:id="294138773">
                  <w:marLeft w:val="0"/>
                  <w:marRight w:val="0"/>
                  <w:marTop w:val="0"/>
                  <w:marBottom w:val="0"/>
                  <w:divBdr>
                    <w:top w:val="none" w:sz="0" w:space="0" w:color="auto"/>
                    <w:left w:val="none" w:sz="0" w:space="0" w:color="auto"/>
                    <w:bottom w:val="none" w:sz="0" w:space="0" w:color="auto"/>
                    <w:right w:val="none" w:sz="0" w:space="0" w:color="auto"/>
                  </w:divBdr>
                </w:div>
                <w:div w:id="294139376">
                  <w:marLeft w:val="0"/>
                  <w:marRight w:val="0"/>
                  <w:marTop w:val="0"/>
                  <w:marBottom w:val="0"/>
                  <w:divBdr>
                    <w:top w:val="none" w:sz="0" w:space="0" w:color="auto"/>
                    <w:left w:val="none" w:sz="0" w:space="0" w:color="auto"/>
                    <w:bottom w:val="none" w:sz="0" w:space="0" w:color="auto"/>
                    <w:right w:val="none" w:sz="0" w:space="0" w:color="auto"/>
                  </w:divBdr>
                </w:div>
                <w:div w:id="294139529">
                  <w:marLeft w:val="0"/>
                  <w:marRight w:val="0"/>
                  <w:marTop w:val="0"/>
                  <w:marBottom w:val="0"/>
                  <w:divBdr>
                    <w:top w:val="none" w:sz="0" w:space="0" w:color="auto"/>
                    <w:left w:val="none" w:sz="0" w:space="0" w:color="auto"/>
                    <w:bottom w:val="none" w:sz="0" w:space="0" w:color="auto"/>
                    <w:right w:val="none" w:sz="0" w:space="0" w:color="auto"/>
                  </w:divBdr>
                </w:div>
                <w:div w:id="294139741">
                  <w:marLeft w:val="0"/>
                  <w:marRight w:val="0"/>
                  <w:marTop w:val="0"/>
                  <w:marBottom w:val="0"/>
                  <w:divBdr>
                    <w:top w:val="none" w:sz="0" w:space="0" w:color="auto"/>
                    <w:left w:val="none" w:sz="0" w:space="0" w:color="auto"/>
                    <w:bottom w:val="none" w:sz="0" w:space="0" w:color="auto"/>
                    <w:right w:val="none" w:sz="0" w:space="0" w:color="auto"/>
                  </w:divBdr>
                </w:div>
                <w:div w:id="294140052">
                  <w:marLeft w:val="0"/>
                  <w:marRight w:val="0"/>
                  <w:marTop w:val="0"/>
                  <w:marBottom w:val="0"/>
                  <w:divBdr>
                    <w:top w:val="none" w:sz="0" w:space="0" w:color="auto"/>
                    <w:left w:val="none" w:sz="0" w:space="0" w:color="auto"/>
                    <w:bottom w:val="none" w:sz="0" w:space="0" w:color="auto"/>
                    <w:right w:val="none" w:sz="0" w:space="0" w:color="auto"/>
                  </w:divBdr>
                </w:div>
                <w:div w:id="294140189">
                  <w:marLeft w:val="0"/>
                  <w:marRight w:val="0"/>
                  <w:marTop w:val="0"/>
                  <w:marBottom w:val="0"/>
                  <w:divBdr>
                    <w:top w:val="none" w:sz="0" w:space="0" w:color="auto"/>
                    <w:left w:val="none" w:sz="0" w:space="0" w:color="auto"/>
                    <w:bottom w:val="none" w:sz="0" w:space="0" w:color="auto"/>
                    <w:right w:val="none" w:sz="0" w:space="0" w:color="auto"/>
                  </w:divBdr>
                </w:div>
                <w:div w:id="294140513">
                  <w:marLeft w:val="0"/>
                  <w:marRight w:val="0"/>
                  <w:marTop w:val="0"/>
                  <w:marBottom w:val="0"/>
                  <w:divBdr>
                    <w:top w:val="none" w:sz="0" w:space="0" w:color="auto"/>
                    <w:left w:val="none" w:sz="0" w:space="0" w:color="auto"/>
                    <w:bottom w:val="none" w:sz="0" w:space="0" w:color="auto"/>
                    <w:right w:val="none" w:sz="0" w:space="0" w:color="auto"/>
                  </w:divBdr>
                </w:div>
                <w:div w:id="294140792">
                  <w:marLeft w:val="0"/>
                  <w:marRight w:val="0"/>
                  <w:marTop w:val="0"/>
                  <w:marBottom w:val="0"/>
                  <w:divBdr>
                    <w:top w:val="none" w:sz="0" w:space="0" w:color="auto"/>
                    <w:left w:val="none" w:sz="0" w:space="0" w:color="auto"/>
                    <w:bottom w:val="none" w:sz="0" w:space="0" w:color="auto"/>
                    <w:right w:val="none" w:sz="0" w:space="0" w:color="auto"/>
                  </w:divBdr>
                </w:div>
                <w:div w:id="294140892">
                  <w:marLeft w:val="0"/>
                  <w:marRight w:val="0"/>
                  <w:marTop w:val="0"/>
                  <w:marBottom w:val="0"/>
                  <w:divBdr>
                    <w:top w:val="none" w:sz="0" w:space="0" w:color="auto"/>
                    <w:left w:val="none" w:sz="0" w:space="0" w:color="auto"/>
                    <w:bottom w:val="none" w:sz="0" w:space="0" w:color="auto"/>
                    <w:right w:val="none" w:sz="0" w:space="0" w:color="auto"/>
                  </w:divBdr>
                </w:div>
                <w:div w:id="294140982">
                  <w:marLeft w:val="0"/>
                  <w:marRight w:val="0"/>
                  <w:marTop w:val="0"/>
                  <w:marBottom w:val="0"/>
                  <w:divBdr>
                    <w:top w:val="none" w:sz="0" w:space="0" w:color="auto"/>
                    <w:left w:val="none" w:sz="0" w:space="0" w:color="auto"/>
                    <w:bottom w:val="none" w:sz="0" w:space="0" w:color="auto"/>
                    <w:right w:val="none" w:sz="0" w:space="0" w:color="auto"/>
                  </w:divBdr>
                </w:div>
                <w:div w:id="294141213">
                  <w:marLeft w:val="0"/>
                  <w:marRight w:val="0"/>
                  <w:marTop w:val="0"/>
                  <w:marBottom w:val="0"/>
                  <w:divBdr>
                    <w:top w:val="none" w:sz="0" w:space="0" w:color="auto"/>
                    <w:left w:val="none" w:sz="0" w:space="0" w:color="auto"/>
                    <w:bottom w:val="none" w:sz="0" w:space="0" w:color="auto"/>
                    <w:right w:val="none" w:sz="0" w:space="0" w:color="auto"/>
                  </w:divBdr>
                </w:div>
                <w:div w:id="294141253">
                  <w:marLeft w:val="0"/>
                  <w:marRight w:val="0"/>
                  <w:marTop w:val="0"/>
                  <w:marBottom w:val="0"/>
                  <w:divBdr>
                    <w:top w:val="none" w:sz="0" w:space="0" w:color="auto"/>
                    <w:left w:val="none" w:sz="0" w:space="0" w:color="auto"/>
                    <w:bottom w:val="none" w:sz="0" w:space="0" w:color="auto"/>
                    <w:right w:val="none" w:sz="0" w:space="0" w:color="auto"/>
                  </w:divBdr>
                </w:div>
                <w:div w:id="294141304">
                  <w:marLeft w:val="0"/>
                  <w:marRight w:val="0"/>
                  <w:marTop w:val="0"/>
                  <w:marBottom w:val="0"/>
                  <w:divBdr>
                    <w:top w:val="none" w:sz="0" w:space="0" w:color="auto"/>
                    <w:left w:val="none" w:sz="0" w:space="0" w:color="auto"/>
                    <w:bottom w:val="none" w:sz="0" w:space="0" w:color="auto"/>
                    <w:right w:val="none" w:sz="0" w:space="0" w:color="auto"/>
                  </w:divBdr>
                </w:div>
                <w:div w:id="294141540">
                  <w:marLeft w:val="0"/>
                  <w:marRight w:val="0"/>
                  <w:marTop w:val="0"/>
                  <w:marBottom w:val="0"/>
                  <w:divBdr>
                    <w:top w:val="none" w:sz="0" w:space="0" w:color="auto"/>
                    <w:left w:val="none" w:sz="0" w:space="0" w:color="auto"/>
                    <w:bottom w:val="none" w:sz="0" w:space="0" w:color="auto"/>
                    <w:right w:val="none" w:sz="0" w:space="0" w:color="auto"/>
                  </w:divBdr>
                </w:div>
                <w:div w:id="294141627">
                  <w:marLeft w:val="0"/>
                  <w:marRight w:val="0"/>
                  <w:marTop w:val="0"/>
                  <w:marBottom w:val="0"/>
                  <w:divBdr>
                    <w:top w:val="none" w:sz="0" w:space="0" w:color="auto"/>
                    <w:left w:val="none" w:sz="0" w:space="0" w:color="auto"/>
                    <w:bottom w:val="none" w:sz="0" w:space="0" w:color="auto"/>
                    <w:right w:val="none" w:sz="0" w:space="0" w:color="auto"/>
                  </w:divBdr>
                </w:div>
                <w:div w:id="294142002">
                  <w:marLeft w:val="0"/>
                  <w:marRight w:val="0"/>
                  <w:marTop w:val="0"/>
                  <w:marBottom w:val="0"/>
                  <w:divBdr>
                    <w:top w:val="none" w:sz="0" w:space="0" w:color="auto"/>
                    <w:left w:val="none" w:sz="0" w:space="0" w:color="auto"/>
                    <w:bottom w:val="none" w:sz="0" w:space="0" w:color="auto"/>
                    <w:right w:val="none" w:sz="0" w:space="0" w:color="auto"/>
                  </w:divBdr>
                </w:div>
                <w:div w:id="294142096">
                  <w:marLeft w:val="0"/>
                  <w:marRight w:val="0"/>
                  <w:marTop w:val="0"/>
                  <w:marBottom w:val="0"/>
                  <w:divBdr>
                    <w:top w:val="none" w:sz="0" w:space="0" w:color="auto"/>
                    <w:left w:val="none" w:sz="0" w:space="0" w:color="auto"/>
                    <w:bottom w:val="none" w:sz="0" w:space="0" w:color="auto"/>
                    <w:right w:val="none" w:sz="0" w:space="0" w:color="auto"/>
                  </w:divBdr>
                </w:div>
                <w:div w:id="294142263">
                  <w:marLeft w:val="0"/>
                  <w:marRight w:val="0"/>
                  <w:marTop w:val="0"/>
                  <w:marBottom w:val="0"/>
                  <w:divBdr>
                    <w:top w:val="none" w:sz="0" w:space="0" w:color="auto"/>
                    <w:left w:val="none" w:sz="0" w:space="0" w:color="auto"/>
                    <w:bottom w:val="none" w:sz="0" w:space="0" w:color="auto"/>
                    <w:right w:val="none" w:sz="0" w:space="0" w:color="auto"/>
                  </w:divBdr>
                </w:div>
                <w:div w:id="294142482">
                  <w:marLeft w:val="0"/>
                  <w:marRight w:val="0"/>
                  <w:marTop w:val="0"/>
                  <w:marBottom w:val="0"/>
                  <w:divBdr>
                    <w:top w:val="none" w:sz="0" w:space="0" w:color="auto"/>
                    <w:left w:val="none" w:sz="0" w:space="0" w:color="auto"/>
                    <w:bottom w:val="none" w:sz="0" w:space="0" w:color="auto"/>
                    <w:right w:val="none" w:sz="0" w:space="0" w:color="auto"/>
                  </w:divBdr>
                </w:div>
                <w:div w:id="294142536">
                  <w:marLeft w:val="0"/>
                  <w:marRight w:val="0"/>
                  <w:marTop w:val="0"/>
                  <w:marBottom w:val="0"/>
                  <w:divBdr>
                    <w:top w:val="none" w:sz="0" w:space="0" w:color="auto"/>
                    <w:left w:val="none" w:sz="0" w:space="0" w:color="auto"/>
                    <w:bottom w:val="none" w:sz="0" w:space="0" w:color="auto"/>
                    <w:right w:val="none" w:sz="0" w:space="0" w:color="auto"/>
                  </w:divBdr>
                </w:div>
                <w:div w:id="294142588">
                  <w:marLeft w:val="0"/>
                  <w:marRight w:val="0"/>
                  <w:marTop w:val="0"/>
                  <w:marBottom w:val="0"/>
                  <w:divBdr>
                    <w:top w:val="none" w:sz="0" w:space="0" w:color="auto"/>
                    <w:left w:val="none" w:sz="0" w:space="0" w:color="auto"/>
                    <w:bottom w:val="none" w:sz="0" w:space="0" w:color="auto"/>
                    <w:right w:val="none" w:sz="0" w:space="0" w:color="auto"/>
                  </w:divBdr>
                </w:div>
                <w:div w:id="294142642">
                  <w:marLeft w:val="0"/>
                  <w:marRight w:val="0"/>
                  <w:marTop w:val="0"/>
                  <w:marBottom w:val="0"/>
                  <w:divBdr>
                    <w:top w:val="none" w:sz="0" w:space="0" w:color="auto"/>
                    <w:left w:val="none" w:sz="0" w:space="0" w:color="auto"/>
                    <w:bottom w:val="none" w:sz="0" w:space="0" w:color="auto"/>
                    <w:right w:val="none" w:sz="0" w:space="0" w:color="auto"/>
                  </w:divBdr>
                </w:div>
                <w:div w:id="294142644">
                  <w:marLeft w:val="0"/>
                  <w:marRight w:val="0"/>
                  <w:marTop w:val="0"/>
                  <w:marBottom w:val="0"/>
                  <w:divBdr>
                    <w:top w:val="none" w:sz="0" w:space="0" w:color="auto"/>
                    <w:left w:val="none" w:sz="0" w:space="0" w:color="auto"/>
                    <w:bottom w:val="none" w:sz="0" w:space="0" w:color="auto"/>
                    <w:right w:val="none" w:sz="0" w:space="0" w:color="auto"/>
                  </w:divBdr>
                </w:div>
                <w:div w:id="294142697">
                  <w:marLeft w:val="0"/>
                  <w:marRight w:val="0"/>
                  <w:marTop w:val="0"/>
                  <w:marBottom w:val="0"/>
                  <w:divBdr>
                    <w:top w:val="none" w:sz="0" w:space="0" w:color="auto"/>
                    <w:left w:val="none" w:sz="0" w:space="0" w:color="auto"/>
                    <w:bottom w:val="none" w:sz="0" w:space="0" w:color="auto"/>
                    <w:right w:val="none" w:sz="0" w:space="0" w:color="auto"/>
                  </w:divBdr>
                </w:div>
                <w:div w:id="294142977">
                  <w:marLeft w:val="0"/>
                  <w:marRight w:val="0"/>
                  <w:marTop w:val="0"/>
                  <w:marBottom w:val="0"/>
                  <w:divBdr>
                    <w:top w:val="none" w:sz="0" w:space="0" w:color="auto"/>
                    <w:left w:val="none" w:sz="0" w:space="0" w:color="auto"/>
                    <w:bottom w:val="none" w:sz="0" w:space="0" w:color="auto"/>
                    <w:right w:val="none" w:sz="0" w:space="0" w:color="auto"/>
                  </w:divBdr>
                </w:div>
                <w:div w:id="294143001">
                  <w:marLeft w:val="0"/>
                  <w:marRight w:val="0"/>
                  <w:marTop w:val="0"/>
                  <w:marBottom w:val="0"/>
                  <w:divBdr>
                    <w:top w:val="none" w:sz="0" w:space="0" w:color="auto"/>
                    <w:left w:val="none" w:sz="0" w:space="0" w:color="auto"/>
                    <w:bottom w:val="none" w:sz="0" w:space="0" w:color="auto"/>
                    <w:right w:val="none" w:sz="0" w:space="0" w:color="auto"/>
                  </w:divBdr>
                </w:div>
                <w:div w:id="294143375">
                  <w:marLeft w:val="0"/>
                  <w:marRight w:val="0"/>
                  <w:marTop w:val="0"/>
                  <w:marBottom w:val="0"/>
                  <w:divBdr>
                    <w:top w:val="none" w:sz="0" w:space="0" w:color="auto"/>
                    <w:left w:val="none" w:sz="0" w:space="0" w:color="auto"/>
                    <w:bottom w:val="none" w:sz="0" w:space="0" w:color="auto"/>
                    <w:right w:val="none" w:sz="0" w:space="0" w:color="auto"/>
                  </w:divBdr>
                </w:div>
                <w:div w:id="294143450">
                  <w:marLeft w:val="0"/>
                  <w:marRight w:val="0"/>
                  <w:marTop w:val="0"/>
                  <w:marBottom w:val="0"/>
                  <w:divBdr>
                    <w:top w:val="none" w:sz="0" w:space="0" w:color="auto"/>
                    <w:left w:val="none" w:sz="0" w:space="0" w:color="auto"/>
                    <w:bottom w:val="none" w:sz="0" w:space="0" w:color="auto"/>
                    <w:right w:val="none" w:sz="0" w:space="0" w:color="auto"/>
                  </w:divBdr>
                </w:div>
                <w:div w:id="294143478">
                  <w:marLeft w:val="0"/>
                  <w:marRight w:val="0"/>
                  <w:marTop w:val="0"/>
                  <w:marBottom w:val="0"/>
                  <w:divBdr>
                    <w:top w:val="none" w:sz="0" w:space="0" w:color="auto"/>
                    <w:left w:val="none" w:sz="0" w:space="0" w:color="auto"/>
                    <w:bottom w:val="none" w:sz="0" w:space="0" w:color="auto"/>
                    <w:right w:val="none" w:sz="0" w:space="0" w:color="auto"/>
                  </w:divBdr>
                </w:div>
                <w:div w:id="294143683">
                  <w:marLeft w:val="0"/>
                  <w:marRight w:val="0"/>
                  <w:marTop w:val="0"/>
                  <w:marBottom w:val="0"/>
                  <w:divBdr>
                    <w:top w:val="none" w:sz="0" w:space="0" w:color="auto"/>
                    <w:left w:val="none" w:sz="0" w:space="0" w:color="auto"/>
                    <w:bottom w:val="none" w:sz="0" w:space="0" w:color="auto"/>
                    <w:right w:val="none" w:sz="0" w:space="0" w:color="auto"/>
                  </w:divBdr>
                </w:div>
                <w:div w:id="294143723">
                  <w:marLeft w:val="0"/>
                  <w:marRight w:val="0"/>
                  <w:marTop w:val="0"/>
                  <w:marBottom w:val="0"/>
                  <w:divBdr>
                    <w:top w:val="none" w:sz="0" w:space="0" w:color="auto"/>
                    <w:left w:val="none" w:sz="0" w:space="0" w:color="auto"/>
                    <w:bottom w:val="none" w:sz="0" w:space="0" w:color="auto"/>
                    <w:right w:val="none" w:sz="0" w:space="0" w:color="auto"/>
                  </w:divBdr>
                </w:div>
                <w:div w:id="294143733">
                  <w:marLeft w:val="0"/>
                  <w:marRight w:val="0"/>
                  <w:marTop w:val="0"/>
                  <w:marBottom w:val="0"/>
                  <w:divBdr>
                    <w:top w:val="none" w:sz="0" w:space="0" w:color="auto"/>
                    <w:left w:val="none" w:sz="0" w:space="0" w:color="auto"/>
                    <w:bottom w:val="none" w:sz="0" w:space="0" w:color="auto"/>
                    <w:right w:val="none" w:sz="0" w:space="0" w:color="auto"/>
                  </w:divBdr>
                </w:div>
                <w:div w:id="294144086">
                  <w:marLeft w:val="0"/>
                  <w:marRight w:val="0"/>
                  <w:marTop w:val="0"/>
                  <w:marBottom w:val="0"/>
                  <w:divBdr>
                    <w:top w:val="none" w:sz="0" w:space="0" w:color="auto"/>
                    <w:left w:val="none" w:sz="0" w:space="0" w:color="auto"/>
                    <w:bottom w:val="none" w:sz="0" w:space="0" w:color="auto"/>
                    <w:right w:val="none" w:sz="0" w:space="0" w:color="auto"/>
                  </w:divBdr>
                </w:div>
                <w:div w:id="294144113">
                  <w:marLeft w:val="0"/>
                  <w:marRight w:val="0"/>
                  <w:marTop w:val="0"/>
                  <w:marBottom w:val="0"/>
                  <w:divBdr>
                    <w:top w:val="none" w:sz="0" w:space="0" w:color="auto"/>
                    <w:left w:val="none" w:sz="0" w:space="0" w:color="auto"/>
                    <w:bottom w:val="none" w:sz="0" w:space="0" w:color="auto"/>
                    <w:right w:val="none" w:sz="0" w:space="0" w:color="auto"/>
                  </w:divBdr>
                </w:div>
                <w:div w:id="294144248">
                  <w:marLeft w:val="0"/>
                  <w:marRight w:val="0"/>
                  <w:marTop w:val="0"/>
                  <w:marBottom w:val="0"/>
                  <w:divBdr>
                    <w:top w:val="none" w:sz="0" w:space="0" w:color="auto"/>
                    <w:left w:val="none" w:sz="0" w:space="0" w:color="auto"/>
                    <w:bottom w:val="none" w:sz="0" w:space="0" w:color="auto"/>
                    <w:right w:val="none" w:sz="0" w:space="0" w:color="auto"/>
                  </w:divBdr>
                </w:div>
                <w:div w:id="294144814">
                  <w:marLeft w:val="0"/>
                  <w:marRight w:val="0"/>
                  <w:marTop w:val="0"/>
                  <w:marBottom w:val="0"/>
                  <w:divBdr>
                    <w:top w:val="none" w:sz="0" w:space="0" w:color="auto"/>
                    <w:left w:val="none" w:sz="0" w:space="0" w:color="auto"/>
                    <w:bottom w:val="none" w:sz="0" w:space="0" w:color="auto"/>
                    <w:right w:val="none" w:sz="0" w:space="0" w:color="auto"/>
                  </w:divBdr>
                </w:div>
                <w:div w:id="294145129">
                  <w:marLeft w:val="0"/>
                  <w:marRight w:val="0"/>
                  <w:marTop w:val="0"/>
                  <w:marBottom w:val="0"/>
                  <w:divBdr>
                    <w:top w:val="none" w:sz="0" w:space="0" w:color="auto"/>
                    <w:left w:val="none" w:sz="0" w:space="0" w:color="auto"/>
                    <w:bottom w:val="none" w:sz="0" w:space="0" w:color="auto"/>
                    <w:right w:val="none" w:sz="0" w:space="0" w:color="auto"/>
                  </w:divBdr>
                </w:div>
                <w:div w:id="294145557">
                  <w:marLeft w:val="0"/>
                  <w:marRight w:val="0"/>
                  <w:marTop w:val="0"/>
                  <w:marBottom w:val="0"/>
                  <w:divBdr>
                    <w:top w:val="none" w:sz="0" w:space="0" w:color="auto"/>
                    <w:left w:val="none" w:sz="0" w:space="0" w:color="auto"/>
                    <w:bottom w:val="none" w:sz="0" w:space="0" w:color="auto"/>
                    <w:right w:val="none" w:sz="0" w:space="0" w:color="auto"/>
                  </w:divBdr>
                </w:div>
                <w:div w:id="294145739">
                  <w:marLeft w:val="0"/>
                  <w:marRight w:val="0"/>
                  <w:marTop w:val="0"/>
                  <w:marBottom w:val="0"/>
                  <w:divBdr>
                    <w:top w:val="none" w:sz="0" w:space="0" w:color="auto"/>
                    <w:left w:val="none" w:sz="0" w:space="0" w:color="auto"/>
                    <w:bottom w:val="none" w:sz="0" w:space="0" w:color="auto"/>
                    <w:right w:val="none" w:sz="0" w:space="0" w:color="auto"/>
                  </w:divBdr>
                </w:div>
                <w:div w:id="294145820">
                  <w:marLeft w:val="0"/>
                  <w:marRight w:val="0"/>
                  <w:marTop w:val="0"/>
                  <w:marBottom w:val="0"/>
                  <w:divBdr>
                    <w:top w:val="none" w:sz="0" w:space="0" w:color="auto"/>
                    <w:left w:val="none" w:sz="0" w:space="0" w:color="auto"/>
                    <w:bottom w:val="none" w:sz="0" w:space="0" w:color="auto"/>
                    <w:right w:val="none" w:sz="0" w:space="0" w:color="auto"/>
                  </w:divBdr>
                </w:div>
                <w:div w:id="294146011">
                  <w:marLeft w:val="0"/>
                  <w:marRight w:val="0"/>
                  <w:marTop w:val="0"/>
                  <w:marBottom w:val="0"/>
                  <w:divBdr>
                    <w:top w:val="none" w:sz="0" w:space="0" w:color="auto"/>
                    <w:left w:val="none" w:sz="0" w:space="0" w:color="auto"/>
                    <w:bottom w:val="none" w:sz="0" w:space="0" w:color="auto"/>
                    <w:right w:val="none" w:sz="0" w:space="0" w:color="auto"/>
                  </w:divBdr>
                </w:div>
                <w:div w:id="294146088">
                  <w:marLeft w:val="0"/>
                  <w:marRight w:val="0"/>
                  <w:marTop w:val="0"/>
                  <w:marBottom w:val="0"/>
                  <w:divBdr>
                    <w:top w:val="none" w:sz="0" w:space="0" w:color="auto"/>
                    <w:left w:val="none" w:sz="0" w:space="0" w:color="auto"/>
                    <w:bottom w:val="none" w:sz="0" w:space="0" w:color="auto"/>
                    <w:right w:val="none" w:sz="0" w:space="0" w:color="auto"/>
                  </w:divBdr>
                </w:div>
                <w:div w:id="294146277">
                  <w:marLeft w:val="0"/>
                  <w:marRight w:val="0"/>
                  <w:marTop w:val="0"/>
                  <w:marBottom w:val="0"/>
                  <w:divBdr>
                    <w:top w:val="none" w:sz="0" w:space="0" w:color="auto"/>
                    <w:left w:val="none" w:sz="0" w:space="0" w:color="auto"/>
                    <w:bottom w:val="none" w:sz="0" w:space="0" w:color="auto"/>
                    <w:right w:val="none" w:sz="0" w:space="0" w:color="auto"/>
                  </w:divBdr>
                </w:div>
                <w:div w:id="294146499">
                  <w:marLeft w:val="0"/>
                  <w:marRight w:val="0"/>
                  <w:marTop w:val="0"/>
                  <w:marBottom w:val="0"/>
                  <w:divBdr>
                    <w:top w:val="none" w:sz="0" w:space="0" w:color="auto"/>
                    <w:left w:val="none" w:sz="0" w:space="0" w:color="auto"/>
                    <w:bottom w:val="none" w:sz="0" w:space="0" w:color="auto"/>
                    <w:right w:val="none" w:sz="0" w:space="0" w:color="auto"/>
                  </w:divBdr>
                </w:div>
                <w:div w:id="294146690">
                  <w:marLeft w:val="0"/>
                  <w:marRight w:val="0"/>
                  <w:marTop w:val="0"/>
                  <w:marBottom w:val="0"/>
                  <w:divBdr>
                    <w:top w:val="none" w:sz="0" w:space="0" w:color="auto"/>
                    <w:left w:val="none" w:sz="0" w:space="0" w:color="auto"/>
                    <w:bottom w:val="none" w:sz="0" w:space="0" w:color="auto"/>
                    <w:right w:val="none" w:sz="0" w:space="0" w:color="auto"/>
                  </w:divBdr>
                </w:div>
                <w:div w:id="294146700">
                  <w:marLeft w:val="0"/>
                  <w:marRight w:val="0"/>
                  <w:marTop w:val="0"/>
                  <w:marBottom w:val="0"/>
                  <w:divBdr>
                    <w:top w:val="none" w:sz="0" w:space="0" w:color="auto"/>
                    <w:left w:val="none" w:sz="0" w:space="0" w:color="auto"/>
                    <w:bottom w:val="none" w:sz="0" w:space="0" w:color="auto"/>
                    <w:right w:val="none" w:sz="0" w:space="0" w:color="auto"/>
                  </w:divBdr>
                </w:div>
                <w:div w:id="294146968">
                  <w:marLeft w:val="0"/>
                  <w:marRight w:val="0"/>
                  <w:marTop w:val="0"/>
                  <w:marBottom w:val="0"/>
                  <w:divBdr>
                    <w:top w:val="none" w:sz="0" w:space="0" w:color="auto"/>
                    <w:left w:val="none" w:sz="0" w:space="0" w:color="auto"/>
                    <w:bottom w:val="none" w:sz="0" w:space="0" w:color="auto"/>
                    <w:right w:val="none" w:sz="0" w:space="0" w:color="auto"/>
                  </w:divBdr>
                </w:div>
                <w:div w:id="294146981">
                  <w:marLeft w:val="0"/>
                  <w:marRight w:val="0"/>
                  <w:marTop w:val="0"/>
                  <w:marBottom w:val="0"/>
                  <w:divBdr>
                    <w:top w:val="none" w:sz="0" w:space="0" w:color="auto"/>
                    <w:left w:val="none" w:sz="0" w:space="0" w:color="auto"/>
                    <w:bottom w:val="none" w:sz="0" w:space="0" w:color="auto"/>
                    <w:right w:val="none" w:sz="0" w:space="0" w:color="auto"/>
                  </w:divBdr>
                </w:div>
                <w:div w:id="294147020">
                  <w:marLeft w:val="0"/>
                  <w:marRight w:val="0"/>
                  <w:marTop w:val="0"/>
                  <w:marBottom w:val="0"/>
                  <w:divBdr>
                    <w:top w:val="none" w:sz="0" w:space="0" w:color="auto"/>
                    <w:left w:val="none" w:sz="0" w:space="0" w:color="auto"/>
                    <w:bottom w:val="none" w:sz="0" w:space="0" w:color="auto"/>
                    <w:right w:val="none" w:sz="0" w:space="0" w:color="auto"/>
                  </w:divBdr>
                </w:div>
                <w:div w:id="294147346">
                  <w:marLeft w:val="0"/>
                  <w:marRight w:val="0"/>
                  <w:marTop w:val="0"/>
                  <w:marBottom w:val="0"/>
                  <w:divBdr>
                    <w:top w:val="none" w:sz="0" w:space="0" w:color="auto"/>
                    <w:left w:val="none" w:sz="0" w:space="0" w:color="auto"/>
                    <w:bottom w:val="none" w:sz="0" w:space="0" w:color="auto"/>
                    <w:right w:val="none" w:sz="0" w:space="0" w:color="auto"/>
                  </w:divBdr>
                </w:div>
                <w:div w:id="294147422">
                  <w:marLeft w:val="0"/>
                  <w:marRight w:val="0"/>
                  <w:marTop w:val="0"/>
                  <w:marBottom w:val="0"/>
                  <w:divBdr>
                    <w:top w:val="none" w:sz="0" w:space="0" w:color="auto"/>
                    <w:left w:val="none" w:sz="0" w:space="0" w:color="auto"/>
                    <w:bottom w:val="none" w:sz="0" w:space="0" w:color="auto"/>
                    <w:right w:val="none" w:sz="0" w:space="0" w:color="auto"/>
                  </w:divBdr>
                </w:div>
                <w:div w:id="294147524">
                  <w:marLeft w:val="0"/>
                  <w:marRight w:val="0"/>
                  <w:marTop w:val="0"/>
                  <w:marBottom w:val="0"/>
                  <w:divBdr>
                    <w:top w:val="none" w:sz="0" w:space="0" w:color="auto"/>
                    <w:left w:val="none" w:sz="0" w:space="0" w:color="auto"/>
                    <w:bottom w:val="none" w:sz="0" w:space="0" w:color="auto"/>
                    <w:right w:val="none" w:sz="0" w:space="0" w:color="auto"/>
                  </w:divBdr>
                </w:div>
                <w:div w:id="294147561">
                  <w:marLeft w:val="0"/>
                  <w:marRight w:val="0"/>
                  <w:marTop w:val="0"/>
                  <w:marBottom w:val="0"/>
                  <w:divBdr>
                    <w:top w:val="none" w:sz="0" w:space="0" w:color="auto"/>
                    <w:left w:val="none" w:sz="0" w:space="0" w:color="auto"/>
                    <w:bottom w:val="none" w:sz="0" w:space="0" w:color="auto"/>
                    <w:right w:val="none" w:sz="0" w:space="0" w:color="auto"/>
                  </w:divBdr>
                </w:div>
                <w:div w:id="294147734">
                  <w:marLeft w:val="0"/>
                  <w:marRight w:val="0"/>
                  <w:marTop w:val="0"/>
                  <w:marBottom w:val="0"/>
                  <w:divBdr>
                    <w:top w:val="none" w:sz="0" w:space="0" w:color="auto"/>
                    <w:left w:val="none" w:sz="0" w:space="0" w:color="auto"/>
                    <w:bottom w:val="none" w:sz="0" w:space="0" w:color="auto"/>
                    <w:right w:val="none" w:sz="0" w:space="0" w:color="auto"/>
                  </w:divBdr>
                </w:div>
                <w:div w:id="294147803">
                  <w:marLeft w:val="0"/>
                  <w:marRight w:val="0"/>
                  <w:marTop w:val="0"/>
                  <w:marBottom w:val="0"/>
                  <w:divBdr>
                    <w:top w:val="none" w:sz="0" w:space="0" w:color="auto"/>
                    <w:left w:val="none" w:sz="0" w:space="0" w:color="auto"/>
                    <w:bottom w:val="none" w:sz="0" w:space="0" w:color="auto"/>
                    <w:right w:val="none" w:sz="0" w:space="0" w:color="auto"/>
                  </w:divBdr>
                </w:div>
                <w:div w:id="294147810">
                  <w:marLeft w:val="0"/>
                  <w:marRight w:val="0"/>
                  <w:marTop w:val="0"/>
                  <w:marBottom w:val="0"/>
                  <w:divBdr>
                    <w:top w:val="none" w:sz="0" w:space="0" w:color="auto"/>
                    <w:left w:val="none" w:sz="0" w:space="0" w:color="auto"/>
                    <w:bottom w:val="none" w:sz="0" w:space="0" w:color="auto"/>
                    <w:right w:val="none" w:sz="0" w:space="0" w:color="auto"/>
                  </w:divBdr>
                </w:div>
                <w:div w:id="294147850">
                  <w:marLeft w:val="0"/>
                  <w:marRight w:val="0"/>
                  <w:marTop w:val="0"/>
                  <w:marBottom w:val="0"/>
                  <w:divBdr>
                    <w:top w:val="none" w:sz="0" w:space="0" w:color="auto"/>
                    <w:left w:val="none" w:sz="0" w:space="0" w:color="auto"/>
                    <w:bottom w:val="none" w:sz="0" w:space="0" w:color="auto"/>
                    <w:right w:val="none" w:sz="0" w:space="0" w:color="auto"/>
                  </w:divBdr>
                </w:div>
                <w:div w:id="294148045">
                  <w:marLeft w:val="0"/>
                  <w:marRight w:val="0"/>
                  <w:marTop w:val="0"/>
                  <w:marBottom w:val="0"/>
                  <w:divBdr>
                    <w:top w:val="none" w:sz="0" w:space="0" w:color="auto"/>
                    <w:left w:val="none" w:sz="0" w:space="0" w:color="auto"/>
                    <w:bottom w:val="none" w:sz="0" w:space="0" w:color="auto"/>
                    <w:right w:val="none" w:sz="0" w:space="0" w:color="auto"/>
                  </w:divBdr>
                </w:div>
                <w:div w:id="294148107">
                  <w:marLeft w:val="0"/>
                  <w:marRight w:val="0"/>
                  <w:marTop w:val="0"/>
                  <w:marBottom w:val="0"/>
                  <w:divBdr>
                    <w:top w:val="none" w:sz="0" w:space="0" w:color="auto"/>
                    <w:left w:val="none" w:sz="0" w:space="0" w:color="auto"/>
                    <w:bottom w:val="none" w:sz="0" w:space="0" w:color="auto"/>
                    <w:right w:val="none" w:sz="0" w:space="0" w:color="auto"/>
                  </w:divBdr>
                </w:div>
                <w:div w:id="294148240">
                  <w:marLeft w:val="0"/>
                  <w:marRight w:val="0"/>
                  <w:marTop w:val="0"/>
                  <w:marBottom w:val="0"/>
                  <w:divBdr>
                    <w:top w:val="none" w:sz="0" w:space="0" w:color="auto"/>
                    <w:left w:val="none" w:sz="0" w:space="0" w:color="auto"/>
                    <w:bottom w:val="none" w:sz="0" w:space="0" w:color="auto"/>
                    <w:right w:val="none" w:sz="0" w:space="0" w:color="auto"/>
                  </w:divBdr>
                </w:div>
                <w:div w:id="294148246">
                  <w:marLeft w:val="0"/>
                  <w:marRight w:val="0"/>
                  <w:marTop w:val="0"/>
                  <w:marBottom w:val="0"/>
                  <w:divBdr>
                    <w:top w:val="none" w:sz="0" w:space="0" w:color="auto"/>
                    <w:left w:val="none" w:sz="0" w:space="0" w:color="auto"/>
                    <w:bottom w:val="none" w:sz="0" w:space="0" w:color="auto"/>
                    <w:right w:val="none" w:sz="0" w:space="0" w:color="auto"/>
                  </w:divBdr>
                </w:div>
                <w:div w:id="294148256">
                  <w:marLeft w:val="0"/>
                  <w:marRight w:val="0"/>
                  <w:marTop w:val="0"/>
                  <w:marBottom w:val="0"/>
                  <w:divBdr>
                    <w:top w:val="none" w:sz="0" w:space="0" w:color="auto"/>
                    <w:left w:val="none" w:sz="0" w:space="0" w:color="auto"/>
                    <w:bottom w:val="none" w:sz="0" w:space="0" w:color="auto"/>
                    <w:right w:val="none" w:sz="0" w:space="0" w:color="auto"/>
                  </w:divBdr>
                </w:div>
                <w:div w:id="294148371">
                  <w:marLeft w:val="0"/>
                  <w:marRight w:val="0"/>
                  <w:marTop w:val="0"/>
                  <w:marBottom w:val="0"/>
                  <w:divBdr>
                    <w:top w:val="none" w:sz="0" w:space="0" w:color="auto"/>
                    <w:left w:val="none" w:sz="0" w:space="0" w:color="auto"/>
                    <w:bottom w:val="none" w:sz="0" w:space="0" w:color="auto"/>
                    <w:right w:val="none" w:sz="0" w:space="0" w:color="auto"/>
                  </w:divBdr>
                </w:div>
                <w:div w:id="294148700">
                  <w:marLeft w:val="0"/>
                  <w:marRight w:val="0"/>
                  <w:marTop w:val="0"/>
                  <w:marBottom w:val="0"/>
                  <w:divBdr>
                    <w:top w:val="none" w:sz="0" w:space="0" w:color="auto"/>
                    <w:left w:val="none" w:sz="0" w:space="0" w:color="auto"/>
                    <w:bottom w:val="none" w:sz="0" w:space="0" w:color="auto"/>
                    <w:right w:val="none" w:sz="0" w:space="0" w:color="auto"/>
                  </w:divBdr>
                </w:div>
                <w:div w:id="294148975">
                  <w:marLeft w:val="0"/>
                  <w:marRight w:val="0"/>
                  <w:marTop w:val="0"/>
                  <w:marBottom w:val="0"/>
                  <w:divBdr>
                    <w:top w:val="none" w:sz="0" w:space="0" w:color="auto"/>
                    <w:left w:val="none" w:sz="0" w:space="0" w:color="auto"/>
                    <w:bottom w:val="none" w:sz="0" w:space="0" w:color="auto"/>
                    <w:right w:val="none" w:sz="0" w:space="0" w:color="auto"/>
                  </w:divBdr>
                </w:div>
                <w:div w:id="294149072">
                  <w:marLeft w:val="0"/>
                  <w:marRight w:val="0"/>
                  <w:marTop w:val="0"/>
                  <w:marBottom w:val="0"/>
                  <w:divBdr>
                    <w:top w:val="none" w:sz="0" w:space="0" w:color="auto"/>
                    <w:left w:val="none" w:sz="0" w:space="0" w:color="auto"/>
                    <w:bottom w:val="none" w:sz="0" w:space="0" w:color="auto"/>
                    <w:right w:val="none" w:sz="0" w:space="0" w:color="auto"/>
                  </w:divBdr>
                </w:div>
                <w:div w:id="294149572">
                  <w:marLeft w:val="0"/>
                  <w:marRight w:val="0"/>
                  <w:marTop w:val="0"/>
                  <w:marBottom w:val="0"/>
                  <w:divBdr>
                    <w:top w:val="none" w:sz="0" w:space="0" w:color="auto"/>
                    <w:left w:val="none" w:sz="0" w:space="0" w:color="auto"/>
                    <w:bottom w:val="none" w:sz="0" w:space="0" w:color="auto"/>
                    <w:right w:val="none" w:sz="0" w:space="0" w:color="auto"/>
                  </w:divBdr>
                </w:div>
                <w:div w:id="294149573">
                  <w:marLeft w:val="0"/>
                  <w:marRight w:val="0"/>
                  <w:marTop w:val="0"/>
                  <w:marBottom w:val="0"/>
                  <w:divBdr>
                    <w:top w:val="none" w:sz="0" w:space="0" w:color="auto"/>
                    <w:left w:val="none" w:sz="0" w:space="0" w:color="auto"/>
                    <w:bottom w:val="none" w:sz="0" w:space="0" w:color="auto"/>
                    <w:right w:val="none" w:sz="0" w:space="0" w:color="auto"/>
                  </w:divBdr>
                </w:div>
                <w:div w:id="294149737">
                  <w:marLeft w:val="0"/>
                  <w:marRight w:val="0"/>
                  <w:marTop w:val="0"/>
                  <w:marBottom w:val="0"/>
                  <w:divBdr>
                    <w:top w:val="none" w:sz="0" w:space="0" w:color="auto"/>
                    <w:left w:val="none" w:sz="0" w:space="0" w:color="auto"/>
                    <w:bottom w:val="none" w:sz="0" w:space="0" w:color="auto"/>
                    <w:right w:val="none" w:sz="0" w:space="0" w:color="auto"/>
                  </w:divBdr>
                </w:div>
                <w:div w:id="294149773">
                  <w:marLeft w:val="0"/>
                  <w:marRight w:val="0"/>
                  <w:marTop w:val="0"/>
                  <w:marBottom w:val="0"/>
                  <w:divBdr>
                    <w:top w:val="none" w:sz="0" w:space="0" w:color="auto"/>
                    <w:left w:val="none" w:sz="0" w:space="0" w:color="auto"/>
                    <w:bottom w:val="none" w:sz="0" w:space="0" w:color="auto"/>
                    <w:right w:val="none" w:sz="0" w:space="0" w:color="auto"/>
                  </w:divBdr>
                </w:div>
                <w:div w:id="294149897">
                  <w:marLeft w:val="0"/>
                  <w:marRight w:val="0"/>
                  <w:marTop w:val="0"/>
                  <w:marBottom w:val="0"/>
                  <w:divBdr>
                    <w:top w:val="none" w:sz="0" w:space="0" w:color="auto"/>
                    <w:left w:val="none" w:sz="0" w:space="0" w:color="auto"/>
                    <w:bottom w:val="none" w:sz="0" w:space="0" w:color="auto"/>
                    <w:right w:val="none" w:sz="0" w:space="0" w:color="auto"/>
                  </w:divBdr>
                </w:div>
                <w:div w:id="294150121">
                  <w:marLeft w:val="0"/>
                  <w:marRight w:val="0"/>
                  <w:marTop w:val="0"/>
                  <w:marBottom w:val="0"/>
                  <w:divBdr>
                    <w:top w:val="none" w:sz="0" w:space="0" w:color="auto"/>
                    <w:left w:val="none" w:sz="0" w:space="0" w:color="auto"/>
                    <w:bottom w:val="none" w:sz="0" w:space="0" w:color="auto"/>
                    <w:right w:val="none" w:sz="0" w:space="0" w:color="auto"/>
                  </w:divBdr>
                </w:div>
                <w:div w:id="294150433">
                  <w:marLeft w:val="0"/>
                  <w:marRight w:val="0"/>
                  <w:marTop w:val="0"/>
                  <w:marBottom w:val="0"/>
                  <w:divBdr>
                    <w:top w:val="none" w:sz="0" w:space="0" w:color="auto"/>
                    <w:left w:val="none" w:sz="0" w:space="0" w:color="auto"/>
                    <w:bottom w:val="none" w:sz="0" w:space="0" w:color="auto"/>
                    <w:right w:val="none" w:sz="0" w:space="0" w:color="auto"/>
                  </w:divBdr>
                </w:div>
                <w:div w:id="294150481">
                  <w:marLeft w:val="0"/>
                  <w:marRight w:val="0"/>
                  <w:marTop w:val="0"/>
                  <w:marBottom w:val="0"/>
                  <w:divBdr>
                    <w:top w:val="none" w:sz="0" w:space="0" w:color="auto"/>
                    <w:left w:val="none" w:sz="0" w:space="0" w:color="auto"/>
                    <w:bottom w:val="none" w:sz="0" w:space="0" w:color="auto"/>
                    <w:right w:val="none" w:sz="0" w:space="0" w:color="auto"/>
                  </w:divBdr>
                </w:div>
                <w:div w:id="294150509">
                  <w:marLeft w:val="0"/>
                  <w:marRight w:val="0"/>
                  <w:marTop w:val="0"/>
                  <w:marBottom w:val="0"/>
                  <w:divBdr>
                    <w:top w:val="none" w:sz="0" w:space="0" w:color="auto"/>
                    <w:left w:val="none" w:sz="0" w:space="0" w:color="auto"/>
                    <w:bottom w:val="none" w:sz="0" w:space="0" w:color="auto"/>
                    <w:right w:val="none" w:sz="0" w:space="0" w:color="auto"/>
                  </w:divBdr>
                </w:div>
                <w:div w:id="294150625">
                  <w:marLeft w:val="0"/>
                  <w:marRight w:val="0"/>
                  <w:marTop w:val="0"/>
                  <w:marBottom w:val="0"/>
                  <w:divBdr>
                    <w:top w:val="none" w:sz="0" w:space="0" w:color="auto"/>
                    <w:left w:val="none" w:sz="0" w:space="0" w:color="auto"/>
                    <w:bottom w:val="none" w:sz="0" w:space="0" w:color="auto"/>
                    <w:right w:val="none" w:sz="0" w:space="0" w:color="auto"/>
                  </w:divBdr>
                </w:div>
                <w:div w:id="294150726">
                  <w:marLeft w:val="0"/>
                  <w:marRight w:val="0"/>
                  <w:marTop w:val="0"/>
                  <w:marBottom w:val="0"/>
                  <w:divBdr>
                    <w:top w:val="none" w:sz="0" w:space="0" w:color="auto"/>
                    <w:left w:val="none" w:sz="0" w:space="0" w:color="auto"/>
                    <w:bottom w:val="none" w:sz="0" w:space="0" w:color="auto"/>
                    <w:right w:val="none" w:sz="0" w:space="0" w:color="auto"/>
                  </w:divBdr>
                </w:div>
                <w:div w:id="294150770">
                  <w:marLeft w:val="0"/>
                  <w:marRight w:val="0"/>
                  <w:marTop w:val="0"/>
                  <w:marBottom w:val="0"/>
                  <w:divBdr>
                    <w:top w:val="none" w:sz="0" w:space="0" w:color="auto"/>
                    <w:left w:val="none" w:sz="0" w:space="0" w:color="auto"/>
                    <w:bottom w:val="none" w:sz="0" w:space="0" w:color="auto"/>
                    <w:right w:val="none" w:sz="0" w:space="0" w:color="auto"/>
                  </w:divBdr>
                </w:div>
                <w:div w:id="294151086">
                  <w:marLeft w:val="0"/>
                  <w:marRight w:val="0"/>
                  <w:marTop w:val="0"/>
                  <w:marBottom w:val="0"/>
                  <w:divBdr>
                    <w:top w:val="none" w:sz="0" w:space="0" w:color="auto"/>
                    <w:left w:val="none" w:sz="0" w:space="0" w:color="auto"/>
                    <w:bottom w:val="none" w:sz="0" w:space="0" w:color="auto"/>
                    <w:right w:val="none" w:sz="0" w:space="0" w:color="auto"/>
                  </w:divBdr>
                </w:div>
                <w:div w:id="294151110">
                  <w:marLeft w:val="0"/>
                  <w:marRight w:val="0"/>
                  <w:marTop w:val="0"/>
                  <w:marBottom w:val="0"/>
                  <w:divBdr>
                    <w:top w:val="none" w:sz="0" w:space="0" w:color="auto"/>
                    <w:left w:val="none" w:sz="0" w:space="0" w:color="auto"/>
                    <w:bottom w:val="none" w:sz="0" w:space="0" w:color="auto"/>
                    <w:right w:val="none" w:sz="0" w:space="0" w:color="auto"/>
                  </w:divBdr>
                </w:div>
                <w:div w:id="294151570">
                  <w:marLeft w:val="0"/>
                  <w:marRight w:val="0"/>
                  <w:marTop w:val="0"/>
                  <w:marBottom w:val="0"/>
                  <w:divBdr>
                    <w:top w:val="none" w:sz="0" w:space="0" w:color="auto"/>
                    <w:left w:val="none" w:sz="0" w:space="0" w:color="auto"/>
                    <w:bottom w:val="none" w:sz="0" w:space="0" w:color="auto"/>
                    <w:right w:val="none" w:sz="0" w:space="0" w:color="auto"/>
                  </w:divBdr>
                </w:div>
                <w:div w:id="294151609">
                  <w:marLeft w:val="0"/>
                  <w:marRight w:val="0"/>
                  <w:marTop w:val="0"/>
                  <w:marBottom w:val="0"/>
                  <w:divBdr>
                    <w:top w:val="none" w:sz="0" w:space="0" w:color="auto"/>
                    <w:left w:val="none" w:sz="0" w:space="0" w:color="auto"/>
                    <w:bottom w:val="none" w:sz="0" w:space="0" w:color="auto"/>
                    <w:right w:val="none" w:sz="0" w:space="0" w:color="auto"/>
                  </w:divBdr>
                </w:div>
                <w:div w:id="294151831">
                  <w:marLeft w:val="0"/>
                  <w:marRight w:val="0"/>
                  <w:marTop w:val="0"/>
                  <w:marBottom w:val="0"/>
                  <w:divBdr>
                    <w:top w:val="none" w:sz="0" w:space="0" w:color="auto"/>
                    <w:left w:val="none" w:sz="0" w:space="0" w:color="auto"/>
                    <w:bottom w:val="none" w:sz="0" w:space="0" w:color="auto"/>
                    <w:right w:val="none" w:sz="0" w:space="0" w:color="auto"/>
                  </w:divBdr>
                </w:div>
                <w:div w:id="294151921">
                  <w:marLeft w:val="0"/>
                  <w:marRight w:val="0"/>
                  <w:marTop w:val="0"/>
                  <w:marBottom w:val="0"/>
                  <w:divBdr>
                    <w:top w:val="none" w:sz="0" w:space="0" w:color="auto"/>
                    <w:left w:val="none" w:sz="0" w:space="0" w:color="auto"/>
                    <w:bottom w:val="none" w:sz="0" w:space="0" w:color="auto"/>
                    <w:right w:val="none" w:sz="0" w:space="0" w:color="auto"/>
                  </w:divBdr>
                </w:div>
                <w:div w:id="294152046">
                  <w:marLeft w:val="0"/>
                  <w:marRight w:val="0"/>
                  <w:marTop w:val="0"/>
                  <w:marBottom w:val="0"/>
                  <w:divBdr>
                    <w:top w:val="none" w:sz="0" w:space="0" w:color="auto"/>
                    <w:left w:val="none" w:sz="0" w:space="0" w:color="auto"/>
                    <w:bottom w:val="none" w:sz="0" w:space="0" w:color="auto"/>
                    <w:right w:val="none" w:sz="0" w:space="0" w:color="auto"/>
                  </w:divBdr>
                </w:div>
                <w:div w:id="294152291">
                  <w:marLeft w:val="0"/>
                  <w:marRight w:val="0"/>
                  <w:marTop w:val="0"/>
                  <w:marBottom w:val="0"/>
                  <w:divBdr>
                    <w:top w:val="none" w:sz="0" w:space="0" w:color="auto"/>
                    <w:left w:val="none" w:sz="0" w:space="0" w:color="auto"/>
                    <w:bottom w:val="none" w:sz="0" w:space="0" w:color="auto"/>
                    <w:right w:val="none" w:sz="0" w:space="0" w:color="auto"/>
                  </w:divBdr>
                </w:div>
                <w:div w:id="294152353">
                  <w:marLeft w:val="0"/>
                  <w:marRight w:val="0"/>
                  <w:marTop w:val="0"/>
                  <w:marBottom w:val="0"/>
                  <w:divBdr>
                    <w:top w:val="none" w:sz="0" w:space="0" w:color="auto"/>
                    <w:left w:val="none" w:sz="0" w:space="0" w:color="auto"/>
                    <w:bottom w:val="none" w:sz="0" w:space="0" w:color="auto"/>
                    <w:right w:val="none" w:sz="0" w:space="0" w:color="auto"/>
                  </w:divBdr>
                </w:div>
                <w:div w:id="294152715">
                  <w:marLeft w:val="0"/>
                  <w:marRight w:val="0"/>
                  <w:marTop w:val="0"/>
                  <w:marBottom w:val="0"/>
                  <w:divBdr>
                    <w:top w:val="none" w:sz="0" w:space="0" w:color="auto"/>
                    <w:left w:val="none" w:sz="0" w:space="0" w:color="auto"/>
                    <w:bottom w:val="none" w:sz="0" w:space="0" w:color="auto"/>
                    <w:right w:val="none" w:sz="0" w:space="0" w:color="auto"/>
                  </w:divBdr>
                </w:div>
                <w:div w:id="294152969">
                  <w:marLeft w:val="0"/>
                  <w:marRight w:val="0"/>
                  <w:marTop w:val="0"/>
                  <w:marBottom w:val="0"/>
                  <w:divBdr>
                    <w:top w:val="none" w:sz="0" w:space="0" w:color="auto"/>
                    <w:left w:val="none" w:sz="0" w:space="0" w:color="auto"/>
                    <w:bottom w:val="none" w:sz="0" w:space="0" w:color="auto"/>
                    <w:right w:val="none" w:sz="0" w:space="0" w:color="auto"/>
                  </w:divBdr>
                </w:div>
                <w:div w:id="294153142">
                  <w:marLeft w:val="0"/>
                  <w:marRight w:val="0"/>
                  <w:marTop w:val="0"/>
                  <w:marBottom w:val="0"/>
                  <w:divBdr>
                    <w:top w:val="none" w:sz="0" w:space="0" w:color="auto"/>
                    <w:left w:val="none" w:sz="0" w:space="0" w:color="auto"/>
                    <w:bottom w:val="none" w:sz="0" w:space="0" w:color="auto"/>
                    <w:right w:val="none" w:sz="0" w:space="0" w:color="auto"/>
                  </w:divBdr>
                </w:div>
                <w:div w:id="294153149">
                  <w:marLeft w:val="0"/>
                  <w:marRight w:val="0"/>
                  <w:marTop w:val="0"/>
                  <w:marBottom w:val="0"/>
                  <w:divBdr>
                    <w:top w:val="none" w:sz="0" w:space="0" w:color="auto"/>
                    <w:left w:val="none" w:sz="0" w:space="0" w:color="auto"/>
                    <w:bottom w:val="none" w:sz="0" w:space="0" w:color="auto"/>
                    <w:right w:val="none" w:sz="0" w:space="0" w:color="auto"/>
                  </w:divBdr>
                </w:div>
                <w:div w:id="294153252">
                  <w:marLeft w:val="0"/>
                  <w:marRight w:val="0"/>
                  <w:marTop w:val="0"/>
                  <w:marBottom w:val="0"/>
                  <w:divBdr>
                    <w:top w:val="none" w:sz="0" w:space="0" w:color="auto"/>
                    <w:left w:val="none" w:sz="0" w:space="0" w:color="auto"/>
                    <w:bottom w:val="none" w:sz="0" w:space="0" w:color="auto"/>
                    <w:right w:val="none" w:sz="0" w:space="0" w:color="auto"/>
                  </w:divBdr>
                </w:div>
                <w:div w:id="294153342">
                  <w:marLeft w:val="0"/>
                  <w:marRight w:val="0"/>
                  <w:marTop w:val="0"/>
                  <w:marBottom w:val="0"/>
                  <w:divBdr>
                    <w:top w:val="none" w:sz="0" w:space="0" w:color="auto"/>
                    <w:left w:val="none" w:sz="0" w:space="0" w:color="auto"/>
                    <w:bottom w:val="none" w:sz="0" w:space="0" w:color="auto"/>
                    <w:right w:val="none" w:sz="0" w:space="0" w:color="auto"/>
                  </w:divBdr>
                </w:div>
                <w:div w:id="294153368">
                  <w:marLeft w:val="0"/>
                  <w:marRight w:val="0"/>
                  <w:marTop w:val="0"/>
                  <w:marBottom w:val="0"/>
                  <w:divBdr>
                    <w:top w:val="none" w:sz="0" w:space="0" w:color="auto"/>
                    <w:left w:val="none" w:sz="0" w:space="0" w:color="auto"/>
                    <w:bottom w:val="none" w:sz="0" w:space="0" w:color="auto"/>
                    <w:right w:val="none" w:sz="0" w:space="0" w:color="auto"/>
                  </w:divBdr>
                </w:div>
                <w:div w:id="294153699">
                  <w:marLeft w:val="0"/>
                  <w:marRight w:val="0"/>
                  <w:marTop w:val="0"/>
                  <w:marBottom w:val="0"/>
                  <w:divBdr>
                    <w:top w:val="none" w:sz="0" w:space="0" w:color="auto"/>
                    <w:left w:val="none" w:sz="0" w:space="0" w:color="auto"/>
                    <w:bottom w:val="none" w:sz="0" w:space="0" w:color="auto"/>
                    <w:right w:val="none" w:sz="0" w:space="0" w:color="auto"/>
                  </w:divBdr>
                </w:div>
                <w:div w:id="294153936">
                  <w:marLeft w:val="0"/>
                  <w:marRight w:val="0"/>
                  <w:marTop w:val="0"/>
                  <w:marBottom w:val="0"/>
                  <w:divBdr>
                    <w:top w:val="none" w:sz="0" w:space="0" w:color="auto"/>
                    <w:left w:val="none" w:sz="0" w:space="0" w:color="auto"/>
                    <w:bottom w:val="none" w:sz="0" w:space="0" w:color="auto"/>
                    <w:right w:val="none" w:sz="0" w:space="0" w:color="auto"/>
                  </w:divBdr>
                </w:div>
                <w:div w:id="294154113">
                  <w:marLeft w:val="0"/>
                  <w:marRight w:val="0"/>
                  <w:marTop w:val="0"/>
                  <w:marBottom w:val="0"/>
                  <w:divBdr>
                    <w:top w:val="none" w:sz="0" w:space="0" w:color="auto"/>
                    <w:left w:val="none" w:sz="0" w:space="0" w:color="auto"/>
                    <w:bottom w:val="none" w:sz="0" w:space="0" w:color="auto"/>
                    <w:right w:val="none" w:sz="0" w:space="0" w:color="auto"/>
                  </w:divBdr>
                </w:div>
                <w:div w:id="294154567">
                  <w:marLeft w:val="0"/>
                  <w:marRight w:val="0"/>
                  <w:marTop w:val="0"/>
                  <w:marBottom w:val="0"/>
                  <w:divBdr>
                    <w:top w:val="none" w:sz="0" w:space="0" w:color="auto"/>
                    <w:left w:val="none" w:sz="0" w:space="0" w:color="auto"/>
                    <w:bottom w:val="none" w:sz="0" w:space="0" w:color="auto"/>
                    <w:right w:val="none" w:sz="0" w:space="0" w:color="auto"/>
                  </w:divBdr>
                </w:div>
                <w:div w:id="294154793">
                  <w:marLeft w:val="0"/>
                  <w:marRight w:val="0"/>
                  <w:marTop w:val="0"/>
                  <w:marBottom w:val="0"/>
                  <w:divBdr>
                    <w:top w:val="none" w:sz="0" w:space="0" w:color="auto"/>
                    <w:left w:val="none" w:sz="0" w:space="0" w:color="auto"/>
                    <w:bottom w:val="none" w:sz="0" w:space="0" w:color="auto"/>
                    <w:right w:val="none" w:sz="0" w:space="0" w:color="auto"/>
                  </w:divBdr>
                </w:div>
                <w:div w:id="294155083">
                  <w:marLeft w:val="0"/>
                  <w:marRight w:val="0"/>
                  <w:marTop w:val="0"/>
                  <w:marBottom w:val="0"/>
                  <w:divBdr>
                    <w:top w:val="none" w:sz="0" w:space="0" w:color="auto"/>
                    <w:left w:val="none" w:sz="0" w:space="0" w:color="auto"/>
                    <w:bottom w:val="none" w:sz="0" w:space="0" w:color="auto"/>
                    <w:right w:val="none" w:sz="0" w:space="0" w:color="auto"/>
                  </w:divBdr>
                </w:div>
                <w:div w:id="294155184">
                  <w:marLeft w:val="0"/>
                  <w:marRight w:val="0"/>
                  <w:marTop w:val="0"/>
                  <w:marBottom w:val="0"/>
                  <w:divBdr>
                    <w:top w:val="none" w:sz="0" w:space="0" w:color="auto"/>
                    <w:left w:val="none" w:sz="0" w:space="0" w:color="auto"/>
                    <w:bottom w:val="none" w:sz="0" w:space="0" w:color="auto"/>
                    <w:right w:val="none" w:sz="0" w:space="0" w:color="auto"/>
                  </w:divBdr>
                </w:div>
                <w:div w:id="294155372">
                  <w:marLeft w:val="0"/>
                  <w:marRight w:val="0"/>
                  <w:marTop w:val="0"/>
                  <w:marBottom w:val="0"/>
                  <w:divBdr>
                    <w:top w:val="none" w:sz="0" w:space="0" w:color="auto"/>
                    <w:left w:val="none" w:sz="0" w:space="0" w:color="auto"/>
                    <w:bottom w:val="none" w:sz="0" w:space="0" w:color="auto"/>
                    <w:right w:val="none" w:sz="0" w:space="0" w:color="auto"/>
                  </w:divBdr>
                </w:div>
                <w:div w:id="294155428">
                  <w:marLeft w:val="0"/>
                  <w:marRight w:val="0"/>
                  <w:marTop w:val="0"/>
                  <w:marBottom w:val="0"/>
                  <w:divBdr>
                    <w:top w:val="none" w:sz="0" w:space="0" w:color="auto"/>
                    <w:left w:val="none" w:sz="0" w:space="0" w:color="auto"/>
                    <w:bottom w:val="none" w:sz="0" w:space="0" w:color="auto"/>
                    <w:right w:val="none" w:sz="0" w:space="0" w:color="auto"/>
                  </w:divBdr>
                </w:div>
                <w:div w:id="294155584">
                  <w:marLeft w:val="0"/>
                  <w:marRight w:val="0"/>
                  <w:marTop w:val="0"/>
                  <w:marBottom w:val="0"/>
                  <w:divBdr>
                    <w:top w:val="none" w:sz="0" w:space="0" w:color="auto"/>
                    <w:left w:val="none" w:sz="0" w:space="0" w:color="auto"/>
                    <w:bottom w:val="none" w:sz="0" w:space="0" w:color="auto"/>
                    <w:right w:val="none" w:sz="0" w:space="0" w:color="auto"/>
                  </w:divBdr>
                </w:div>
                <w:div w:id="294155654">
                  <w:marLeft w:val="0"/>
                  <w:marRight w:val="0"/>
                  <w:marTop w:val="0"/>
                  <w:marBottom w:val="0"/>
                  <w:divBdr>
                    <w:top w:val="none" w:sz="0" w:space="0" w:color="auto"/>
                    <w:left w:val="none" w:sz="0" w:space="0" w:color="auto"/>
                    <w:bottom w:val="none" w:sz="0" w:space="0" w:color="auto"/>
                    <w:right w:val="none" w:sz="0" w:space="0" w:color="auto"/>
                  </w:divBdr>
                </w:div>
                <w:div w:id="294156236">
                  <w:marLeft w:val="0"/>
                  <w:marRight w:val="0"/>
                  <w:marTop w:val="0"/>
                  <w:marBottom w:val="0"/>
                  <w:divBdr>
                    <w:top w:val="none" w:sz="0" w:space="0" w:color="auto"/>
                    <w:left w:val="none" w:sz="0" w:space="0" w:color="auto"/>
                    <w:bottom w:val="none" w:sz="0" w:space="0" w:color="auto"/>
                    <w:right w:val="none" w:sz="0" w:space="0" w:color="auto"/>
                  </w:divBdr>
                </w:div>
                <w:div w:id="294156611">
                  <w:marLeft w:val="0"/>
                  <w:marRight w:val="0"/>
                  <w:marTop w:val="0"/>
                  <w:marBottom w:val="0"/>
                  <w:divBdr>
                    <w:top w:val="none" w:sz="0" w:space="0" w:color="auto"/>
                    <w:left w:val="none" w:sz="0" w:space="0" w:color="auto"/>
                    <w:bottom w:val="none" w:sz="0" w:space="0" w:color="auto"/>
                    <w:right w:val="none" w:sz="0" w:space="0" w:color="auto"/>
                  </w:divBdr>
                </w:div>
                <w:div w:id="294156665">
                  <w:marLeft w:val="0"/>
                  <w:marRight w:val="0"/>
                  <w:marTop w:val="0"/>
                  <w:marBottom w:val="0"/>
                  <w:divBdr>
                    <w:top w:val="none" w:sz="0" w:space="0" w:color="auto"/>
                    <w:left w:val="none" w:sz="0" w:space="0" w:color="auto"/>
                    <w:bottom w:val="none" w:sz="0" w:space="0" w:color="auto"/>
                    <w:right w:val="none" w:sz="0" w:space="0" w:color="auto"/>
                  </w:divBdr>
                </w:div>
                <w:div w:id="294156953">
                  <w:marLeft w:val="0"/>
                  <w:marRight w:val="0"/>
                  <w:marTop w:val="0"/>
                  <w:marBottom w:val="0"/>
                  <w:divBdr>
                    <w:top w:val="none" w:sz="0" w:space="0" w:color="auto"/>
                    <w:left w:val="none" w:sz="0" w:space="0" w:color="auto"/>
                    <w:bottom w:val="none" w:sz="0" w:space="0" w:color="auto"/>
                    <w:right w:val="none" w:sz="0" w:space="0" w:color="auto"/>
                  </w:divBdr>
                </w:div>
                <w:div w:id="294157100">
                  <w:marLeft w:val="0"/>
                  <w:marRight w:val="0"/>
                  <w:marTop w:val="0"/>
                  <w:marBottom w:val="0"/>
                  <w:divBdr>
                    <w:top w:val="none" w:sz="0" w:space="0" w:color="auto"/>
                    <w:left w:val="none" w:sz="0" w:space="0" w:color="auto"/>
                    <w:bottom w:val="none" w:sz="0" w:space="0" w:color="auto"/>
                    <w:right w:val="none" w:sz="0" w:space="0" w:color="auto"/>
                  </w:divBdr>
                </w:div>
                <w:div w:id="294157153">
                  <w:marLeft w:val="0"/>
                  <w:marRight w:val="0"/>
                  <w:marTop w:val="0"/>
                  <w:marBottom w:val="0"/>
                  <w:divBdr>
                    <w:top w:val="none" w:sz="0" w:space="0" w:color="auto"/>
                    <w:left w:val="none" w:sz="0" w:space="0" w:color="auto"/>
                    <w:bottom w:val="none" w:sz="0" w:space="0" w:color="auto"/>
                    <w:right w:val="none" w:sz="0" w:space="0" w:color="auto"/>
                  </w:divBdr>
                </w:div>
                <w:div w:id="294157228">
                  <w:marLeft w:val="0"/>
                  <w:marRight w:val="0"/>
                  <w:marTop w:val="0"/>
                  <w:marBottom w:val="0"/>
                  <w:divBdr>
                    <w:top w:val="none" w:sz="0" w:space="0" w:color="auto"/>
                    <w:left w:val="none" w:sz="0" w:space="0" w:color="auto"/>
                    <w:bottom w:val="none" w:sz="0" w:space="0" w:color="auto"/>
                    <w:right w:val="none" w:sz="0" w:space="0" w:color="auto"/>
                  </w:divBdr>
                </w:div>
                <w:div w:id="294157326">
                  <w:marLeft w:val="0"/>
                  <w:marRight w:val="0"/>
                  <w:marTop w:val="0"/>
                  <w:marBottom w:val="0"/>
                  <w:divBdr>
                    <w:top w:val="none" w:sz="0" w:space="0" w:color="auto"/>
                    <w:left w:val="none" w:sz="0" w:space="0" w:color="auto"/>
                    <w:bottom w:val="none" w:sz="0" w:space="0" w:color="auto"/>
                    <w:right w:val="none" w:sz="0" w:space="0" w:color="auto"/>
                  </w:divBdr>
                </w:div>
                <w:div w:id="294157386">
                  <w:marLeft w:val="0"/>
                  <w:marRight w:val="0"/>
                  <w:marTop w:val="0"/>
                  <w:marBottom w:val="0"/>
                  <w:divBdr>
                    <w:top w:val="none" w:sz="0" w:space="0" w:color="auto"/>
                    <w:left w:val="none" w:sz="0" w:space="0" w:color="auto"/>
                    <w:bottom w:val="none" w:sz="0" w:space="0" w:color="auto"/>
                    <w:right w:val="none" w:sz="0" w:space="0" w:color="auto"/>
                  </w:divBdr>
                </w:div>
                <w:div w:id="29415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9707">
          <w:marLeft w:val="0"/>
          <w:marRight w:val="0"/>
          <w:marTop w:val="0"/>
          <w:marBottom w:val="0"/>
          <w:divBdr>
            <w:top w:val="none" w:sz="0" w:space="0" w:color="auto"/>
            <w:left w:val="none" w:sz="0" w:space="0" w:color="auto"/>
            <w:bottom w:val="none" w:sz="0" w:space="0" w:color="auto"/>
            <w:right w:val="none" w:sz="0" w:space="0" w:color="auto"/>
          </w:divBdr>
          <w:divsChild>
            <w:div w:id="294146243">
              <w:marLeft w:val="0"/>
              <w:marRight w:val="0"/>
              <w:marTop w:val="0"/>
              <w:marBottom w:val="0"/>
              <w:divBdr>
                <w:top w:val="none" w:sz="0" w:space="0" w:color="auto"/>
                <w:left w:val="none" w:sz="0" w:space="0" w:color="auto"/>
                <w:bottom w:val="none" w:sz="0" w:space="0" w:color="auto"/>
                <w:right w:val="none" w:sz="0" w:space="0" w:color="auto"/>
              </w:divBdr>
              <w:divsChild>
                <w:div w:id="29413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6596">
          <w:marLeft w:val="0"/>
          <w:marRight w:val="0"/>
          <w:marTop w:val="0"/>
          <w:marBottom w:val="0"/>
          <w:divBdr>
            <w:top w:val="none" w:sz="0" w:space="0" w:color="auto"/>
            <w:left w:val="none" w:sz="0" w:space="0" w:color="auto"/>
            <w:bottom w:val="none" w:sz="0" w:space="0" w:color="auto"/>
            <w:right w:val="none" w:sz="0" w:space="0" w:color="auto"/>
          </w:divBdr>
          <w:divsChild>
            <w:div w:id="294154256">
              <w:marLeft w:val="0"/>
              <w:marRight w:val="0"/>
              <w:marTop w:val="0"/>
              <w:marBottom w:val="0"/>
              <w:divBdr>
                <w:top w:val="none" w:sz="0" w:space="0" w:color="auto"/>
                <w:left w:val="none" w:sz="0" w:space="0" w:color="auto"/>
                <w:bottom w:val="none" w:sz="0" w:space="0" w:color="auto"/>
                <w:right w:val="none" w:sz="0" w:space="0" w:color="auto"/>
              </w:divBdr>
              <w:divsChild>
                <w:div w:id="294155913">
                  <w:marLeft w:val="0"/>
                  <w:marRight w:val="0"/>
                  <w:marTop w:val="0"/>
                  <w:marBottom w:val="0"/>
                  <w:divBdr>
                    <w:top w:val="none" w:sz="0" w:space="0" w:color="auto"/>
                    <w:left w:val="none" w:sz="0" w:space="0" w:color="auto"/>
                    <w:bottom w:val="none" w:sz="0" w:space="0" w:color="auto"/>
                    <w:right w:val="none" w:sz="0" w:space="0" w:color="auto"/>
                  </w:divBdr>
                  <w:divsChild>
                    <w:div w:id="294138051">
                      <w:marLeft w:val="0"/>
                      <w:marRight w:val="0"/>
                      <w:marTop w:val="0"/>
                      <w:marBottom w:val="0"/>
                      <w:divBdr>
                        <w:top w:val="none" w:sz="0" w:space="0" w:color="auto"/>
                        <w:left w:val="none" w:sz="0" w:space="0" w:color="auto"/>
                        <w:bottom w:val="none" w:sz="0" w:space="0" w:color="auto"/>
                        <w:right w:val="none" w:sz="0" w:space="0" w:color="auto"/>
                      </w:divBdr>
                      <w:divsChild>
                        <w:div w:id="294149014">
                          <w:marLeft w:val="0"/>
                          <w:marRight w:val="0"/>
                          <w:marTop w:val="0"/>
                          <w:marBottom w:val="0"/>
                          <w:divBdr>
                            <w:top w:val="none" w:sz="0" w:space="0" w:color="auto"/>
                            <w:left w:val="none" w:sz="0" w:space="0" w:color="auto"/>
                            <w:bottom w:val="none" w:sz="0" w:space="0" w:color="auto"/>
                            <w:right w:val="none" w:sz="0" w:space="0" w:color="auto"/>
                          </w:divBdr>
                        </w:div>
                      </w:divsChild>
                    </w:div>
                    <w:div w:id="294138121">
                      <w:marLeft w:val="0"/>
                      <w:marRight w:val="0"/>
                      <w:marTop w:val="0"/>
                      <w:marBottom w:val="0"/>
                      <w:divBdr>
                        <w:top w:val="none" w:sz="0" w:space="0" w:color="auto"/>
                        <w:left w:val="none" w:sz="0" w:space="0" w:color="auto"/>
                        <w:bottom w:val="none" w:sz="0" w:space="0" w:color="auto"/>
                        <w:right w:val="none" w:sz="0" w:space="0" w:color="auto"/>
                      </w:divBdr>
                    </w:div>
                    <w:div w:id="294138159">
                      <w:marLeft w:val="0"/>
                      <w:marRight w:val="0"/>
                      <w:marTop w:val="0"/>
                      <w:marBottom w:val="0"/>
                      <w:divBdr>
                        <w:top w:val="none" w:sz="0" w:space="0" w:color="auto"/>
                        <w:left w:val="none" w:sz="0" w:space="0" w:color="auto"/>
                        <w:bottom w:val="none" w:sz="0" w:space="0" w:color="auto"/>
                        <w:right w:val="none" w:sz="0" w:space="0" w:color="auto"/>
                      </w:divBdr>
                      <w:divsChild>
                        <w:div w:id="294145465">
                          <w:marLeft w:val="0"/>
                          <w:marRight w:val="0"/>
                          <w:marTop w:val="0"/>
                          <w:marBottom w:val="0"/>
                          <w:divBdr>
                            <w:top w:val="none" w:sz="0" w:space="0" w:color="auto"/>
                            <w:left w:val="none" w:sz="0" w:space="0" w:color="auto"/>
                            <w:bottom w:val="none" w:sz="0" w:space="0" w:color="auto"/>
                            <w:right w:val="none" w:sz="0" w:space="0" w:color="auto"/>
                          </w:divBdr>
                        </w:div>
                      </w:divsChild>
                    </w:div>
                    <w:div w:id="294138183">
                      <w:marLeft w:val="0"/>
                      <w:marRight w:val="0"/>
                      <w:marTop w:val="0"/>
                      <w:marBottom w:val="0"/>
                      <w:divBdr>
                        <w:top w:val="none" w:sz="0" w:space="0" w:color="auto"/>
                        <w:left w:val="none" w:sz="0" w:space="0" w:color="auto"/>
                        <w:bottom w:val="none" w:sz="0" w:space="0" w:color="auto"/>
                        <w:right w:val="none" w:sz="0" w:space="0" w:color="auto"/>
                      </w:divBdr>
                    </w:div>
                    <w:div w:id="294138276">
                      <w:marLeft w:val="0"/>
                      <w:marRight w:val="0"/>
                      <w:marTop w:val="0"/>
                      <w:marBottom w:val="0"/>
                      <w:divBdr>
                        <w:top w:val="none" w:sz="0" w:space="0" w:color="auto"/>
                        <w:left w:val="none" w:sz="0" w:space="0" w:color="auto"/>
                        <w:bottom w:val="none" w:sz="0" w:space="0" w:color="auto"/>
                        <w:right w:val="none" w:sz="0" w:space="0" w:color="auto"/>
                      </w:divBdr>
                    </w:div>
                    <w:div w:id="294138312">
                      <w:marLeft w:val="0"/>
                      <w:marRight w:val="0"/>
                      <w:marTop w:val="0"/>
                      <w:marBottom w:val="0"/>
                      <w:divBdr>
                        <w:top w:val="none" w:sz="0" w:space="0" w:color="auto"/>
                        <w:left w:val="none" w:sz="0" w:space="0" w:color="auto"/>
                        <w:bottom w:val="none" w:sz="0" w:space="0" w:color="auto"/>
                        <w:right w:val="none" w:sz="0" w:space="0" w:color="auto"/>
                      </w:divBdr>
                      <w:divsChild>
                        <w:div w:id="294143004">
                          <w:marLeft w:val="0"/>
                          <w:marRight w:val="0"/>
                          <w:marTop w:val="0"/>
                          <w:marBottom w:val="0"/>
                          <w:divBdr>
                            <w:top w:val="none" w:sz="0" w:space="0" w:color="auto"/>
                            <w:left w:val="none" w:sz="0" w:space="0" w:color="auto"/>
                            <w:bottom w:val="none" w:sz="0" w:space="0" w:color="auto"/>
                            <w:right w:val="none" w:sz="0" w:space="0" w:color="auto"/>
                          </w:divBdr>
                        </w:div>
                      </w:divsChild>
                    </w:div>
                    <w:div w:id="294138354">
                      <w:marLeft w:val="0"/>
                      <w:marRight w:val="0"/>
                      <w:marTop w:val="0"/>
                      <w:marBottom w:val="0"/>
                      <w:divBdr>
                        <w:top w:val="none" w:sz="0" w:space="0" w:color="auto"/>
                        <w:left w:val="none" w:sz="0" w:space="0" w:color="auto"/>
                        <w:bottom w:val="none" w:sz="0" w:space="0" w:color="auto"/>
                        <w:right w:val="none" w:sz="0" w:space="0" w:color="auto"/>
                      </w:divBdr>
                      <w:divsChild>
                        <w:div w:id="294144133">
                          <w:marLeft w:val="0"/>
                          <w:marRight w:val="0"/>
                          <w:marTop w:val="0"/>
                          <w:marBottom w:val="0"/>
                          <w:divBdr>
                            <w:top w:val="none" w:sz="0" w:space="0" w:color="auto"/>
                            <w:left w:val="none" w:sz="0" w:space="0" w:color="auto"/>
                            <w:bottom w:val="none" w:sz="0" w:space="0" w:color="auto"/>
                            <w:right w:val="none" w:sz="0" w:space="0" w:color="auto"/>
                          </w:divBdr>
                        </w:div>
                      </w:divsChild>
                    </w:div>
                    <w:div w:id="294138357">
                      <w:marLeft w:val="0"/>
                      <w:marRight w:val="0"/>
                      <w:marTop w:val="0"/>
                      <w:marBottom w:val="0"/>
                      <w:divBdr>
                        <w:top w:val="none" w:sz="0" w:space="0" w:color="auto"/>
                        <w:left w:val="none" w:sz="0" w:space="0" w:color="auto"/>
                        <w:bottom w:val="none" w:sz="0" w:space="0" w:color="auto"/>
                        <w:right w:val="none" w:sz="0" w:space="0" w:color="auto"/>
                      </w:divBdr>
                    </w:div>
                    <w:div w:id="294138377">
                      <w:marLeft w:val="0"/>
                      <w:marRight w:val="0"/>
                      <w:marTop w:val="0"/>
                      <w:marBottom w:val="0"/>
                      <w:divBdr>
                        <w:top w:val="none" w:sz="0" w:space="0" w:color="auto"/>
                        <w:left w:val="none" w:sz="0" w:space="0" w:color="auto"/>
                        <w:bottom w:val="none" w:sz="0" w:space="0" w:color="auto"/>
                        <w:right w:val="none" w:sz="0" w:space="0" w:color="auto"/>
                      </w:divBdr>
                      <w:divsChild>
                        <w:div w:id="294145345">
                          <w:marLeft w:val="0"/>
                          <w:marRight w:val="0"/>
                          <w:marTop w:val="0"/>
                          <w:marBottom w:val="0"/>
                          <w:divBdr>
                            <w:top w:val="none" w:sz="0" w:space="0" w:color="auto"/>
                            <w:left w:val="none" w:sz="0" w:space="0" w:color="auto"/>
                            <w:bottom w:val="none" w:sz="0" w:space="0" w:color="auto"/>
                            <w:right w:val="none" w:sz="0" w:space="0" w:color="auto"/>
                          </w:divBdr>
                        </w:div>
                      </w:divsChild>
                    </w:div>
                    <w:div w:id="294138416">
                      <w:marLeft w:val="0"/>
                      <w:marRight w:val="0"/>
                      <w:marTop w:val="0"/>
                      <w:marBottom w:val="0"/>
                      <w:divBdr>
                        <w:top w:val="none" w:sz="0" w:space="0" w:color="auto"/>
                        <w:left w:val="none" w:sz="0" w:space="0" w:color="auto"/>
                        <w:bottom w:val="none" w:sz="0" w:space="0" w:color="auto"/>
                        <w:right w:val="none" w:sz="0" w:space="0" w:color="auto"/>
                      </w:divBdr>
                      <w:divsChild>
                        <w:div w:id="294149765">
                          <w:marLeft w:val="0"/>
                          <w:marRight w:val="0"/>
                          <w:marTop w:val="0"/>
                          <w:marBottom w:val="0"/>
                          <w:divBdr>
                            <w:top w:val="none" w:sz="0" w:space="0" w:color="auto"/>
                            <w:left w:val="none" w:sz="0" w:space="0" w:color="auto"/>
                            <w:bottom w:val="none" w:sz="0" w:space="0" w:color="auto"/>
                            <w:right w:val="none" w:sz="0" w:space="0" w:color="auto"/>
                          </w:divBdr>
                        </w:div>
                      </w:divsChild>
                    </w:div>
                    <w:div w:id="294138418">
                      <w:marLeft w:val="0"/>
                      <w:marRight w:val="0"/>
                      <w:marTop w:val="0"/>
                      <w:marBottom w:val="0"/>
                      <w:divBdr>
                        <w:top w:val="none" w:sz="0" w:space="0" w:color="auto"/>
                        <w:left w:val="none" w:sz="0" w:space="0" w:color="auto"/>
                        <w:bottom w:val="none" w:sz="0" w:space="0" w:color="auto"/>
                        <w:right w:val="none" w:sz="0" w:space="0" w:color="auto"/>
                      </w:divBdr>
                      <w:divsChild>
                        <w:div w:id="294139289">
                          <w:marLeft w:val="0"/>
                          <w:marRight w:val="0"/>
                          <w:marTop w:val="0"/>
                          <w:marBottom w:val="0"/>
                          <w:divBdr>
                            <w:top w:val="none" w:sz="0" w:space="0" w:color="auto"/>
                            <w:left w:val="none" w:sz="0" w:space="0" w:color="auto"/>
                            <w:bottom w:val="none" w:sz="0" w:space="0" w:color="auto"/>
                            <w:right w:val="none" w:sz="0" w:space="0" w:color="auto"/>
                          </w:divBdr>
                        </w:div>
                      </w:divsChild>
                    </w:div>
                    <w:div w:id="294138444">
                      <w:marLeft w:val="0"/>
                      <w:marRight w:val="0"/>
                      <w:marTop w:val="0"/>
                      <w:marBottom w:val="0"/>
                      <w:divBdr>
                        <w:top w:val="none" w:sz="0" w:space="0" w:color="auto"/>
                        <w:left w:val="none" w:sz="0" w:space="0" w:color="auto"/>
                        <w:bottom w:val="none" w:sz="0" w:space="0" w:color="auto"/>
                        <w:right w:val="none" w:sz="0" w:space="0" w:color="auto"/>
                      </w:divBdr>
                      <w:divsChild>
                        <w:div w:id="294144566">
                          <w:marLeft w:val="0"/>
                          <w:marRight w:val="0"/>
                          <w:marTop w:val="0"/>
                          <w:marBottom w:val="0"/>
                          <w:divBdr>
                            <w:top w:val="none" w:sz="0" w:space="0" w:color="auto"/>
                            <w:left w:val="none" w:sz="0" w:space="0" w:color="auto"/>
                            <w:bottom w:val="none" w:sz="0" w:space="0" w:color="auto"/>
                            <w:right w:val="none" w:sz="0" w:space="0" w:color="auto"/>
                          </w:divBdr>
                        </w:div>
                      </w:divsChild>
                    </w:div>
                    <w:div w:id="294138467">
                      <w:marLeft w:val="0"/>
                      <w:marRight w:val="0"/>
                      <w:marTop w:val="0"/>
                      <w:marBottom w:val="0"/>
                      <w:divBdr>
                        <w:top w:val="none" w:sz="0" w:space="0" w:color="auto"/>
                        <w:left w:val="none" w:sz="0" w:space="0" w:color="auto"/>
                        <w:bottom w:val="none" w:sz="0" w:space="0" w:color="auto"/>
                        <w:right w:val="none" w:sz="0" w:space="0" w:color="auto"/>
                      </w:divBdr>
                      <w:divsChild>
                        <w:div w:id="294152260">
                          <w:marLeft w:val="0"/>
                          <w:marRight w:val="0"/>
                          <w:marTop w:val="0"/>
                          <w:marBottom w:val="0"/>
                          <w:divBdr>
                            <w:top w:val="none" w:sz="0" w:space="0" w:color="auto"/>
                            <w:left w:val="none" w:sz="0" w:space="0" w:color="auto"/>
                            <w:bottom w:val="none" w:sz="0" w:space="0" w:color="auto"/>
                            <w:right w:val="none" w:sz="0" w:space="0" w:color="auto"/>
                          </w:divBdr>
                        </w:div>
                      </w:divsChild>
                    </w:div>
                    <w:div w:id="294138474">
                      <w:marLeft w:val="0"/>
                      <w:marRight w:val="0"/>
                      <w:marTop w:val="0"/>
                      <w:marBottom w:val="0"/>
                      <w:divBdr>
                        <w:top w:val="none" w:sz="0" w:space="0" w:color="auto"/>
                        <w:left w:val="none" w:sz="0" w:space="0" w:color="auto"/>
                        <w:bottom w:val="none" w:sz="0" w:space="0" w:color="auto"/>
                        <w:right w:val="none" w:sz="0" w:space="0" w:color="auto"/>
                      </w:divBdr>
                      <w:divsChild>
                        <w:div w:id="294157462">
                          <w:marLeft w:val="0"/>
                          <w:marRight w:val="0"/>
                          <w:marTop w:val="0"/>
                          <w:marBottom w:val="0"/>
                          <w:divBdr>
                            <w:top w:val="none" w:sz="0" w:space="0" w:color="auto"/>
                            <w:left w:val="none" w:sz="0" w:space="0" w:color="auto"/>
                            <w:bottom w:val="none" w:sz="0" w:space="0" w:color="auto"/>
                            <w:right w:val="none" w:sz="0" w:space="0" w:color="auto"/>
                          </w:divBdr>
                        </w:div>
                      </w:divsChild>
                    </w:div>
                    <w:div w:id="294138490">
                      <w:marLeft w:val="0"/>
                      <w:marRight w:val="0"/>
                      <w:marTop w:val="0"/>
                      <w:marBottom w:val="0"/>
                      <w:divBdr>
                        <w:top w:val="none" w:sz="0" w:space="0" w:color="auto"/>
                        <w:left w:val="none" w:sz="0" w:space="0" w:color="auto"/>
                        <w:bottom w:val="none" w:sz="0" w:space="0" w:color="auto"/>
                        <w:right w:val="none" w:sz="0" w:space="0" w:color="auto"/>
                      </w:divBdr>
                    </w:div>
                    <w:div w:id="294138518">
                      <w:marLeft w:val="0"/>
                      <w:marRight w:val="0"/>
                      <w:marTop w:val="0"/>
                      <w:marBottom w:val="0"/>
                      <w:divBdr>
                        <w:top w:val="none" w:sz="0" w:space="0" w:color="auto"/>
                        <w:left w:val="none" w:sz="0" w:space="0" w:color="auto"/>
                        <w:bottom w:val="none" w:sz="0" w:space="0" w:color="auto"/>
                        <w:right w:val="none" w:sz="0" w:space="0" w:color="auto"/>
                      </w:divBdr>
                    </w:div>
                    <w:div w:id="294138522">
                      <w:marLeft w:val="0"/>
                      <w:marRight w:val="0"/>
                      <w:marTop w:val="0"/>
                      <w:marBottom w:val="0"/>
                      <w:divBdr>
                        <w:top w:val="none" w:sz="0" w:space="0" w:color="auto"/>
                        <w:left w:val="none" w:sz="0" w:space="0" w:color="auto"/>
                        <w:bottom w:val="none" w:sz="0" w:space="0" w:color="auto"/>
                        <w:right w:val="none" w:sz="0" w:space="0" w:color="auto"/>
                      </w:divBdr>
                      <w:divsChild>
                        <w:div w:id="294142839">
                          <w:marLeft w:val="0"/>
                          <w:marRight w:val="0"/>
                          <w:marTop w:val="0"/>
                          <w:marBottom w:val="0"/>
                          <w:divBdr>
                            <w:top w:val="none" w:sz="0" w:space="0" w:color="auto"/>
                            <w:left w:val="none" w:sz="0" w:space="0" w:color="auto"/>
                            <w:bottom w:val="none" w:sz="0" w:space="0" w:color="auto"/>
                            <w:right w:val="none" w:sz="0" w:space="0" w:color="auto"/>
                          </w:divBdr>
                        </w:div>
                      </w:divsChild>
                    </w:div>
                    <w:div w:id="294138553">
                      <w:marLeft w:val="0"/>
                      <w:marRight w:val="0"/>
                      <w:marTop w:val="0"/>
                      <w:marBottom w:val="0"/>
                      <w:divBdr>
                        <w:top w:val="none" w:sz="0" w:space="0" w:color="auto"/>
                        <w:left w:val="none" w:sz="0" w:space="0" w:color="auto"/>
                        <w:bottom w:val="none" w:sz="0" w:space="0" w:color="auto"/>
                        <w:right w:val="none" w:sz="0" w:space="0" w:color="auto"/>
                      </w:divBdr>
                      <w:divsChild>
                        <w:div w:id="294143392">
                          <w:marLeft w:val="0"/>
                          <w:marRight w:val="0"/>
                          <w:marTop w:val="0"/>
                          <w:marBottom w:val="0"/>
                          <w:divBdr>
                            <w:top w:val="none" w:sz="0" w:space="0" w:color="auto"/>
                            <w:left w:val="none" w:sz="0" w:space="0" w:color="auto"/>
                            <w:bottom w:val="none" w:sz="0" w:space="0" w:color="auto"/>
                            <w:right w:val="none" w:sz="0" w:space="0" w:color="auto"/>
                          </w:divBdr>
                        </w:div>
                      </w:divsChild>
                    </w:div>
                    <w:div w:id="294138614">
                      <w:marLeft w:val="0"/>
                      <w:marRight w:val="0"/>
                      <w:marTop w:val="0"/>
                      <w:marBottom w:val="0"/>
                      <w:divBdr>
                        <w:top w:val="none" w:sz="0" w:space="0" w:color="auto"/>
                        <w:left w:val="none" w:sz="0" w:space="0" w:color="auto"/>
                        <w:bottom w:val="none" w:sz="0" w:space="0" w:color="auto"/>
                        <w:right w:val="none" w:sz="0" w:space="0" w:color="auto"/>
                      </w:divBdr>
                    </w:div>
                    <w:div w:id="294138700">
                      <w:marLeft w:val="0"/>
                      <w:marRight w:val="0"/>
                      <w:marTop w:val="0"/>
                      <w:marBottom w:val="0"/>
                      <w:divBdr>
                        <w:top w:val="none" w:sz="0" w:space="0" w:color="auto"/>
                        <w:left w:val="none" w:sz="0" w:space="0" w:color="auto"/>
                        <w:bottom w:val="none" w:sz="0" w:space="0" w:color="auto"/>
                        <w:right w:val="none" w:sz="0" w:space="0" w:color="auto"/>
                      </w:divBdr>
                      <w:divsChild>
                        <w:div w:id="294156548">
                          <w:marLeft w:val="0"/>
                          <w:marRight w:val="0"/>
                          <w:marTop w:val="0"/>
                          <w:marBottom w:val="0"/>
                          <w:divBdr>
                            <w:top w:val="none" w:sz="0" w:space="0" w:color="auto"/>
                            <w:left w:val="none" w:sz="0" w:space="0" w:color="auto"/>
                            <w:bottom w:val="none" w:sz="0" w:space="0" w:color="auto"/>
                            <w:right w:val="none" w:sz="0" w:space="0" w:color="auto"/>
                          </w:divBdr>
                        </w:div>
                      </w:divsChild>
                    </w:div>
                    <w:div w:id="294138710">
                      <w:marLeft w:val="0"/>
                      <w:marRight w:val="0"/>
                      <w:marTop w:val="0"/>
                      <w:marBottom w:val="0"/>
                      <w:divBdr>
                        <w:top w:val="none" w:sz="0" w:space="0" w:color="auto"/>
                        <w:left w:val="none" w:sz="0" w:space="0" w:color="auto"/>
                        <w:bottom w:val="none" w:sz="0" w:space="0" w:color="auto"/>
                        <w:right w:val="none" w:sz="0" w:space="0" w:color="auto"/>
                      </w:divBdr>
                      <w:divsChild>
                        <w:div w:id="294140085">
                          <w:marLeft w:val="0"/>
                          <w:marRight w:val="0"/>
                          <w:marTop w:val="0"/>
                          <w:marBottom w:val="0"/>
                          <w:divBdr>
                            <w:top w:val="none" w:sz="0" w:space="0" w:color="auto"/>
                            <w:left w:val="none" w:sz="0" w:space="0" w:color="auto"/>
                            <w:bottom w:val="none" w:sz="0" w:space="0" w:color="auto"/>
                            <w:right w:val="none" w:sz="0" w:space="0" w:color="auto"/>
                          </w:divBdr>
                        </w:div>
                      </w:divsChild>
                    </w:div>
                    <w:div w:id="294138735">
                      <w:marLeft w:val="0"/>
                      <w:marRight w:val="0"/>
                      <w:marTop w:val="0"/>
                      <w:marBottom w:val="0"/>
                      <w:divBdr>
                        <w:top w:val="none" w:sz="0" w:space="0" w:color="auto"/>
                        <w:left w:val="none" w:sz="0" w:space="0" w:color="auto"/>
                        <w:bottom w:val="none" w:sz="0" w:space="0" w:color="auto"/>
                        <w:right w:val="none" w:sz="0" w:space="0" w:color="auto"/>
                      </w:divBdr>
                    </w:div>
                    <w:div w:id="294138754">
                      <w:marLeft w:val="0"/>
                      <w:marRight w:val="0"/>
                      <w:marTop w:val="0"/>
                      <w:marBottom w:val="0"/>
                      <w:divBdr>
                        <w:top w:val="none" w:sz="0" w:space="0" w:color="auto"/>
                        <w:left w:val="none" w:sz="0" w:space="0" w:color="auto"/>
                        <w:bottom w:val="none" w:sz="0" w:space="0" w:color="auto"/>
                        <w:right w:val="none" w:sz="0" w:space="0" w:color="auto"/>
                      </w:divBdr>
                    </w:div>
                    <w:div w:id="294138764">
                      <w:marLeft w:val="0"/>
                      <w:marRight w:val="0"/>
                      <w:marTop w:val="0"/>
                      <w:marBottom w:val="0"/>
                      <w:divBdr>
                        <w:top w:val="none" w:sz="0" w:space="0" w:color="auto"/>
                        <w:left w:val="none" w:sz="0" w:space="0" w:color="auto"/>
                        <w:bottom w:val="none" w:sz="0" w:space="0" w:color="auto"/>
                        <w:right w:val="none" w:sz="0" w:space="0" w:color="auto"/>
                      </w:divBdr>
                      <w:divsChild>
                        <w:div w:id="294144450">
                          <w:marLeft w:val="0"/>
                          <w:marRight w:val="0"/>
                          <w:marTop w:val="0"/>
                          <w:marBottom w:val="0"/>
                          <w:divBdr>
                            <w:top w:val="none" w:sz="0" w:space="0" w:color="auto"/>
                            <w:left w:val="none" w:sz="0" w:space="0" w:color="auto"/>
                            <w:bottom w:val="none" w:sz="0" w:space="0" w:color="auto"/>
                            <w:right w:val="none" w:sz="0" w:space="0" w:color="auto"/>
                          </w:divBdr>
                        </w:div>
                      </w:divsChild>
                    </w:div>
                    <w:div w:id="294138772">
                      <w:marLeft w:val="0"/>
                      <w:marRight w:val="0"/>
                      <w:marTop w:val="0"/>
                      <w:marBottom w:val="0"/>
                      <w:divBdr>
                        <w:top w:val="none" w:sz="0" w:space="0" w:color="auto"/>
                        <w:left w:val="none" w:sz="0" w:space="0" w:color="auto"/>
                        <w:bottom w:val="none" w:sz="0" w:space="0" w:color="auto"/>
                        <w:right w:val="none" w:sz="0" w:space="0" w:color="auto"/>
                      </w:divBdr>
                      <w:divsChild>
                        <w:div w:id="294151415">
                          <w:marLeft w:val="0"/>
                          <w:marRight w:val="0"/>
                          <w:marTop w:val="0"/>
                          <w:marBottom w:val="0"/>
                          <w:divBdr>
                            <w:top w:val="none" w:sz="0" w:space="0" w:color="auto"/>
                            <w:left w:val="none" w:sz="0" w:space="0" w:color="auto"/>
                            <w:bottom w:val="none" w:sz="0" w:space="0" w:color="auto"/>
                            <w:right w:val="none" w:sz="0" w:space="0" w:color="auto"/>
                          </w:divBdr>
                        </w:div>
                      </w:divsChild>
                    </w:div>
                    <w:div w:id="294138781">
                      <w:marLeft w:val="0"/>
                      <w:marRight w:val="0"/>
                      <w:marTop w:val="0"/>
                      <w:marBottom w:val="0"/>
                      <w:divBdr>
                        <w:top w:val="none" w:sz="0" w:space="0" w:color="auto"/>
                        <w:left w:val="none" w:sz="0" w:space="0" w:color="auto"/>
                        <w:bottom w:val="none" w:sz="0" w:space="0" w:color="auto"/>
                        <w:right w:val="none" w:sz="0" w:space="0" w:color="auto"/>
                      </w:divBdr>
                    </w:div>
                    <w:div w:id="294138787">
                      <w:marLeft w:val="0"/>
                      <w:marRight w:val="0"/>
                      <w:marTop w:val="0"/>
                      <w:marBottom w:val="0"/>
                      <w:divBdr>
                        <w:top w:val="none" w:sz="0" w:space="0" w:color="auto"/>
                        <w:left w:val="none" w:sz="0" w:space="0" w:color="auto"/>
                        <w:bottom w:val="none" w:sz="0" w:space="0" w:color="auto"/>
                        <w:right w:val="none" w:sz="0" w:space="0" w:color="auto"/>
                      </w:divBdr>
                      <w:divsChild>
                        <w:div w:id="294139093">
                          <w:marLeft w:val="0"/>
                          <w:marRight w:val="0"/>
                          <w:marTop w:val="0"/>
                          <w:marBottom w:val="0"/>
                          <w:divBdr>
                            <w:top w:val="none" w:sz="0" w:space="0" w:color="auto"/>
                            <w:left w:val="none" w:sz="0" w:space="0" w:color="auto"/>
                            <w:bottom w:val="none" w:sz="0" w:space="0" w:color="auto"/>
                            <w:right w:val="none" w:sz="0" w:space="0" w:color="auto"/>
                          </w:divBdr>
                        </w:div>
                      </w:divsChild>
                    </w:div>
                    <w:div w:id="294138801">
                      <w:marLeft w:val="0"/>
                      <w:marRight w:val="0"/>
                      <w:marTop w:val="0"/>
                      <w:marBottom w:val="0"/>
                      <w:divBdr>
                        <w:top w:val="none" w:sz="0" w:space="0" w:color="auto"/>
                        <w:left w:val="none" w:sz="0" w:space="0" w:color="auto"/>
                        <w:bottom w:val="none" w:sz="0" w:space="0" w:color="auto"/>
                        <w:right w:val="none" w:sz="0" w:space="0" w:color="auto"/>
                      </w:divBdr>
                      <w:divsChild>
                        <w:div w:id="294146735">
                          <w:marLeft w:val="0"/>
                          <w:marRight w:val="0"/>
                          <w:marTop w:val="0"/>
                          <w:marBottom w:val="0"/>
                          <w:divBdr>
                            <w:top w:val="none" w:sz="0" w:space="0" w:color="auto"/>
                            <w:left w:val="none" w:sz="0" w:space="0" w:color="auto"/>
                            <w:bottom w:val="none" w:sz="0" w:space="0" w:color="auto"/>
                            <w:right w:val="none" w:sz="0" w:space="0" w:color="auto"/>
                          </w:divBdr>
                        </w:div>
                      </w:divsChild>
                    </w:div>
                    <w:div w:id="294138803">
                      <w:marLeft w:val="0"/>
                      <w:marRight w:val="0"/>
                      <w:marTop w:val="0"/>
                      <w:marBottom w:val="0"/>
                      <w:divBdr>
                        <w:top w:val="none" w:sz="0" w:space="0" w:color="auto"/>
                        <w:left w:val="none" w:sz="0" w:space="0" w:color="auto"/>
                        <w:bottom w:val="none" w:sz="0" w:space="0" w:color="auto"/>
                        <w:right w:val="none" w:sz="0" w:space="0" w:color="auto"/>
                      </w:divBdr>
                      <w:divsChild>
                        <w:div w:id="294147870">
                          <w:marLeft w:val="0"/>
                          <w:marRight w:val="0"/>
                          <w:marTop w:val="0"/>
                          <w:marBottom w:val="0"/>
                          <w:divBdr>
                            <w:top w:val="none" w:sz="0" w:space="0" w:color="auto"/>
                            <w:left w:val="none" w:sz="0" w:space="0" w:color="auto"/>
                            <w:bottom w:val="none" w:sz="0" w:space="0" w:color="auto"/>
                            <w:right w:val="none" w:sz="0" w:space="0" w:color="auto"/>
                          </w:divBdr>
                        </w:div>
                      </w:divsChild>
                    </w:div>
                    <w:div w:id="294138857">
                      <w:marLeft w:val="0"/>
                      <w:marRight w:val="0"/>
                      <w:marTop w:val="0"/>
                      <w:marBottom w:val="0"/>
                      <w:divBdr>
                        <w:top w:val="none" w:sz="0" w:space="0" w:color="auto"/>
                        <w:left w:val="none" w:sz="0" w:space="0" w:color="auto"/>
                        <w:bottom w:val="none" w:sz="0" w:space="0" w:color="auto"/>
                        <w:right w:val="none" w:sz="0" w:space="0" w:color="auto"/>
                      </w:divBdr>
                    </w:div>
                    <w:div w:id="294138862">
                      <w:marLeft w:val="0"/>
                      <w:marRight w:val="0"/>
                      <w:marTop w:val="0"/>
                      <w:marBottom w:val="0"/>
                      <w:divBdr>
                        <w:top w:val="none" w:sz="0" w:space="0" w:color="auto"/>
                        <w:left w:val="none" w:sz="0" w:space="0" w:color="auto"/>
                        <w:bottom w:val="none" w:sz="0" w:space="0" w:color="auto"/>
                        <w:right w:val="none" w:sz="0" w:space="0" w:color="auto"/>
                      </w:divBdr>
                    </w:div>
                    <w:div w:id="294138867">
                      <w:marLeft w:val="0"/>
                      <w:marRight w:val="0"/>
                      <w:marTop w:val="0"/>
                      <w:marBottom w:val="0"/>
                      <w:divBdr>
                        <w:top w:val="none" w:sz="0" w:space="0" w:color="auto"/>
                        <w:left w:val="none" w:sz="0" w:space="0" w:color="auto"/>
                        <w:bottom w:val="none" w:sz="0" w:space="0" w:color="auto"/>
                        <w:right w:val="none" w:sz="0" w:space="0" w:color="auto"/>
                      </w:divBdr>
                    </w:div>
                    <w:div w:id="294138888">
                      <w:marLeft w:val="0"/>
                      <w:marRight w:val="0"/>
                      <w:marTop w:val="0"/>
                      <w:marBottom w:val="0"/>
                      <w:divBdr>
                        <w:top w:val="none" w:sz="0" w:space="0" w:color="auto"/>
                        <w:left w:val="none" w:sz="0" w:space="0" w:color="auto"/>
                        <w:bottom w:val="none" w:sz="0" w:space="0" w:color="auto"/>
                        <w:right w:val="none" w:sz="0" w:space="0" w:color="auto"/>
                      </w:divBdr>
                    </w:div>
                    <w:div w:id="294139046">
                      <w:marLeft w:val="0"/>
                      <w:marRight w:val="0"/>
                      <w:marTop w:val="0"/>
                      <w:marBottom w:val="0"/>
                      <w:divBdr>
                        <w:top w:val="none" w:sz="0" w:space="0" w:color="auto"/>
                        <w:left w:val="none" w:sz="0" w:space="0" w:color="auto"/>
                        <w:bottom w:val="none" w:sz="0" w:space="0" w:color="auto"/>
                        <w:right w:val="none" w:sz="0" w:space="0" w:color="auto"/>
                      </w:divBdr>
                    </w:div>
                    <w:div w:id="294139167">
                      <w:marLeft w:val="0"/>
                      <w:marRight w:val="0"/>
                      <w:marTop w:val="0"/>
                      <w:marBottom w:val="0"/>
                      <w:divBdr>
                        <w:top w:val="none" w:sz="0" w:space="0" w:color="auto"/>
                        <w:left w:val="none" w:sz="0" w:space="0" w:color="auto"/>
                        <w:bottom w:val="none" w:sz="0" w:space="0" w:color="auto"/>
                        <w:right w:val="none" w:sz="0" w:space="0" w:color="auto"/>
                      </w:divBdr>
                    </w:div>
                    <w:div w:id="294139299">
                      <w:marLeft w:val="0"/>
                      <w:marRight w:val="0"/>
                      <w:marTop w:val="0"/>
                      <w:marBottom w:val="0"/>
                      <w:divBdr>
                        <w:top w:val="none" w:sz="0" w:space="0" w:color="auto"/>
                        <w:left w:val="none" w:sz="0" w:space="0" w:color="auto"/>
                        <w:bottom w:val="none" w:sz="0" w:space="0" w:color="auto"/>
                        <w:right w:val="none" w:sz="0" w:space="0" w:color="auto"/>
                      </w:divBdr>
                    </w:div>
                    <w:div w:id="294139310">
                      <w:marLeft w:val="0"/>
                      <w:marRight w:val="0"/>
                      <w:marTop w:val="0"/>
                      <w:marBottom w:val="0"/>
                      <w:divBdr>
                        <w:top w:val="none" w:sz="0" w:space="0" w:color="auto"/>
                        <w:left w:val="none" w:sz="0" w:space="0" w:color="auto"/>
                        <w:bottom w:val="none" w:sz="0" w:space="0" w:color="auto"/>
                        <w:right w:val="none" w:sz="0" w:space="0" w:color="auto"/>
                      </w:divBdr>
                      <w:divsChild>
                        <w:div w:id="294151784">
                          <w:marLeft w:val="0"/>
                          <w:marRight w:val="0"/>
                          <w:marTop w:val="0"/>
                          <w:marBottom w:val="0"/>
                          <w:divBdr>
                            <w:top w:val="none" w:sz="0" w:space="0" w:color="auto"/>
                            <w:left w:val="none" w:sz="0" w:space="0" w:color="auto"/>
                            <w:bottom w:val="none" w:sz="0" w:space="0" w:color="auto"/>
                            <w:right w:val="none" w:sz="0" w:space="0" w:color="auto"/>
                          </w:divBdr>
                        </w:div>
                      </w:divsChild>
                    </w:div>
                    <w:div w:id="294139328">
                      <w:marLeft w:val="0"/>
                      <w:marRight w:val="0"/>
                      <w:marTop w:val="0"/>
                      <w:marBottom w:val="0"/>
                      <w:divBdr>
                        <w:top w:val="none" w:sz="0" w:space="0" w:color="auto"/>
                        <w:left w:val="none" w:sz="0" w:space="0" w:color="auto"/>
                        <w:bottom w:val="none" w:sz="0" w:space="0" w:color="auto"/>
                        <w:right w:val="none" w:sz="0" w:space="0" w:color="auto"/>
                      </w:divBdr>
                    </w:div>
                    <w:div w:id="294139471">
                      <w:marLeft w:val="0"/>
                      <w:marRight w:val="0"/>
                      <w:marTop w:val="0"/>
                      <w:marBottom w:val="0"/>
                      <w:divBdr>
                        <w:top w:val="none" w:sz="0" w:space="0" w:color="auto"/>
                        <w:left w:val="none" w:sz="0" w:space="0" w:color="auto"/>
                        <w:bottom w:val="none" w:sz="0" w:space="0" w:color="auto"/>
                        <w:right w:val="none" w:sz="0" w:space="0" w:color="auto"/>
                      </w:divBdr>
                    </w:div>
                    <w:div w:id="294139485">
                      <w:marLeft w:val="0"/>
                      <w:marRight w:val="0"/>
                      <w:marTop w:val="0"/>
                      <w:marBottom w:val="0"/>
                      <w:divBdr>
                        <w:top w:val="none" w:sz="0" w:space="0" w:color="auto"/>
                        <w:left w:val="none" w:sz="0" w:space="0" w:color="auto"/>
                        <w:bottom w:val="none" w:sz="0" w:space="0" w:color="auto"/>
                        <w:right w:val="none" w:sz="0" w:space="0" w:color="auto"/>
                      </w:divBdr>
                      <w:divsChild>
                        <w:div w:id="294149551">
                          <w:marLeft w:val="0"/>
                          <w:marRight w:val="0"/>
                          <w:marTop w:val="0"/>
                          <w:marBottom w:val="0"/>
                          <w:divBdr>
                            <w:top w:val="none" w:sz="0" w:space="0" w:color="auto"/>
                            <w:left w:val="none" w:sz="0" w:space="0" w:color="auto"/>
                            <w:bottom w:val="none" w:sz="0" w:space="0" w:color="auto"/>
                            <w:right w:val="none" w:sz="0" w:space="0" w:color="auto"/>
                          </w:divBdr>
                        </w:div>
                      </w:divsChild>
                    </w:div>
                    <w:div w:id="294139526">
                      <w:marLeft w:val="0"/>
                      <w:marRight w:val="0"/>
                      <w:marTop w:val="0"/>
                      <w:marBottom w:val="0"/>
                      <w:divBdr>
                        <w:top w:val="none" w:sz="0" w:space="0" w:color="auto"/>
                        <w:left w:val="none" w:sz="0" w:space="0" w:color="auto"/>
                        <w:bottom w:val="none" w:sz="0" w:space="0" w:color="auto"/>
                        <w:right w:val="none" w:sz="0" w:space="0" w:color="auto"/>
                      </w:divBdr>
                      <w:divsChild>
                        <w:div w:id="294150291">
                          <w:marLeft w:val="0"/>
                          <w:marRight w:val="0"/>
                          <w:marTop w:val="0"/>
                          <w:marBottom w:val="0"/>
                          <w:divBdr>
                            <w:top w:val="none" w:sz="0" w:space="0" w:color="auto"/>
                            <w:left w:val="none" w:sz="0" w:space="0" w:color="auto"/>
                            <w:bottom w:val="none" w:sz="0" w:space="0" w:color="auto"/>
                            <w:right w:val="none" w:sz="0" w:space="0" w:color="auto"/>
                          </w:divBdr>
                        </w:div>
                      </w:divsChild>
                    </w:div>
                    <w:div w:id="294139530">
                      <w:marLeft w:val="0"/>
                      <w:marRight w:val="0"/>
                      <w:marTop w:val="0"/>
                      <w:marBottom w:val="0"/>
                      <w:divBdr>
                        <w:top w:val="none" w:sz="0" w:space="0" w:color="auto"/>
                        <w:left w:val="none" w:sz="0" w:space="0" w:color="auto"/>
                        <w:bottom w:val="none" w:sz="0" w:space="0" w:color="auto"/>
                        <w:right w:val="none" w:sz="0" w:space="0" w:color="auto"/>
                      </w:divBdr>
                      <w:divsChild>
                        <w:div w:id="294145696">
                          <w:marLeft w:val="0"/>
                          <w:marRight w:val="0"/>
                          <w:marTop w:val="0"/>
                          <w:marBottom w:val="0"/>
                          <w:divBdr>
                            <w:top w:val="none" w:sz="0" w:space="0" w:color="auto"/>
                            <w:left w:val="none" w:sz="0" w:space="0" w:color="auto"/>
                            <w:bottom w:val="none" w:sz="0" w:space="0" w:color="auto"/>
                            <w:right w:val="none" w:sz="0" w:space="0" w:color="auto"/>
                          </w:divBdr>
                        </w:div>
                      </w:divsChild>
                    </w:div>
                    <w:div w:id="294139539">
                      <w:marLeft w:val="0"/>
                      <w:marRight w:val="0"/>
                      <w:marTop w:val="0"/>
                      <w:marBottom w:val="0"/>
                      <w:divBdr>
                        <w:top w:val="none" w:sz="0" w:space="0" w:color="auto"/>
                        <w:left w:val="none" w:sz="0" w:space="0" w:color="auto"/>
                        <w:bottom w:val="none" w:sz="0" w:space="0" w:color="auto"/>
                        <w:right w:val="none" w:sz="0" w:space="0" w:color="auto"/>
                      </w:divBdr>
                    </w:div>
                    <w:div w:id="294139583">
                      <w:marLeft w:val="0"/>
                      <w:marRight w:val="0"/>
                      <w:marTop w:val="0"/>
                      <w:marBottom w:val="0"/>
                      <w:divBdr>
                        <w:top w:val="none" w:sz="0" w:space="0" w:color="auto"/>
                        <w:left w:val="none" w:sz="0" w:space="0" w:color="auto"/>
                        <w:bottom w:val="none" w:sz="0" w:space="0" w:color="auto"/>
                        <w:right w:val="none" w:sz="0" w:space="0" w:color="auto"/>
                      </w:divBdr>
                    </w:div>
                    <w:div w:id="294139627">
                      <w:marLeft w:val="0"/>
                      <w:marRight w:val="0"/>
                      <w:marTop w:val="0"/>
                      <w:marBottom w:val="0"/>
                      <w:divBdr>
                        <w:top w:val="none" w:sz="0" w:space="0" w:color="auto"/>
                        <w:left w:val="none" w:sz="0" w:space="0" w:color="auto"/>
                        <w:bottom w:val="none" w:sz="0" w:space="0" w:color="auto"/>
                        <w:right w:val="none" w:sz="0" w:space="0" w:color="auto"/>
                      </w:divBdr>
                      <w:divsChild>
                        <w:div w:id="294153221">
                          <w:marLeft w:val="0"/>
                          <w:marRight w:val="0"/>
                          <w:marTop w:val="0"/>
                          <w:marBottom w:val="0"/>
                          <w:divBdr>
                            <w:top w:val="none" w:sz="0" w:space="0" w:color="auto"/>
                            <w:left w:val="none" w:sz="0" w:space="0" w:color="auto"/>
                            <w:bottom w:val="none" w:sz="0" w:space="0" w:color="auto"/>
                            <w:right w:val="none" w:sz="0" w:space="0" w:color="auto"/>
                          </w:divBdr>
                        </w:div>
                      </w:divsChild>
                    </w:div>
                    <w:div w:id="294139655">
                      <w:marLeft w:val="0"/>
                      <w:marRight w:val="0"/>
                      <w:marTop w:val="0"/>
                      <w:marBottom w:val="0"/>
                      <w:divBdr>
                        <w:top w:val="none" w:sz="0" w:space="0" w:color="auto"/>
                        <w:left w:val="none" w:sz="0" w:space="0" w:color="auto"/>
                        <w:bottom w:val="none" w:sz="0" w:space="0" w:color="auto"/>
                        <w:right w:val="none" w:sz="0" w:space="0" w:color="auto"/>
                      </w:divBdr>
                      <w:divsChild>
                        <w:div w:id="294149750">
                          <w:marLeft w:val="0"/>
                          <w:marRight w:val="0"/>
                          <w:marTop w:val="0"/>
                          <w:marBottom w:val="0"/>
                          <w:divBdr>
                            <w:top w:val="none" w:sz="0" w:space="0" w:color="auto"/>
                            <w:left w:val="none" w:sz="0" w:space="0" w:color="auto"/>
                            <w:bottom w:val="none" w:sz="0" w:space="0" w:color="auto"/>
                            <w:right w:val="none" w:sz="0" w:space="0" w:color="auto"/>
                          </w:divBdr>
                        </w:div>
                      </w:divsChild>
                    </w:div>
                    <w:div w:id="294139686">
                      <w:marLeft w:val="0"/>
                      <w:marRight w:val="0"/>
                      <w:marTop w:val="0"/>
                      <w:marBottom w:val="0"/>
                      <w:divBdr>
                        <w:top w:val="none" w:sz="0" w:space="0" w:color="auto"/>
                        <w:left w:val="none" w:sz="0" w:space="0" w:color="auto"/>
                        <w:bottom w:val="none" w:sz="0" w:space="0" w:color="auto"/>
                        <w:right w:val="none" w:sz="0" w:space="0" w:color="auto"/>
                      </w:divBdr>
                      <w:divsChild>
                        <w:div w:id="294156267">
                          <w:marLeft w:val="0"/>
                          <w:marRight w:val="0"/>
                          <w:marTop w:val="0"/>
                          <w:marBottom w:val="0"/>
                          <w:divBdr>
                            <w:top w:val="none" w:sz="0" w:space="0" w:color="auto"/>
                            <w:left w:val="none" w:sz="0" w:space="0" w:color="auto"/>
                            <w:bottom w:val="none" w:sz="0" w:space="0" w:color="auto"/>
                            <w:right w:val="none" w:sz="0" w:space="0" w:color="auto"/>
                          </w:divBdr>
                        </w:div>
                      </w:divsChild>
                    </w:div>
                    <w:div w:id="294139721">
                      <w:marLeft w:val="0"/>
                      <w:marRight w:val="0"/>
                      <w:marTop w:val="0"/>
                      <w:marBottom w:val="0"/>
                      <w:divBdr>
                        <w:top w:val="none" w:sz="0" w:space="0" w:color="auto"/>
                        <w:left w:val="none" w:sz="0" w:space="0" w:color="auto"/>
                        <w:bottom w:val="none" w:sz="0" w:space="0" w:color="auto"/>
                        <w:right w:val="none" w:sz="0" w:space="0" w:color="auto"/>
                      </w:divBdr>
                      <w:divsChild>
                        <w:div w:id="294151324">
                          <w:marLeft w:val="0"/>
                          <w:marRight w:val="0"/>
                          <w:marTop w:val="0"/>
                          <w:marBottom w:val="0"/>
                          <w:divBdr>
                            <w:top w:val="none" w:sz="0" w:space="0" w:color="auto"/>
                            <w:left w:val="none" w:sz="0" w:space="0" w:color="auto"/>
                            <w:bottom w:val="none" w:sz="0" w:space="0" w:color="auto"/>
                            <w:right w:val="none" w:sz="0" w:space="0" w:color="auto"/>
                          </w:divBdr>
                        </w:div>
                      </w:divsChild>
                    </w:div>
                    <w:div w:id="294139729">
                      <w:marLeft w:val="0"/>
                      <w:marRight w:val="0"/>
                      <w:marTop w:val="0"/>
                      <w:marBottom w:val="0"/>
                      <w:divBdr>
                        <w:top w:val="none" w:sz="0" w:space="0" w:color="auto"/>
                        <w:left w:val="none" w:sz="0" w:space="0" w:color="auto"/>
                        <w:bottom w:val="none" w:sz="0" w:space="0" w:color="auto"/>
                        <w:right w:val="none" w:sz="0" w:space="0" w:color="auto"/>
                      </w:divBdr>
                      <w:divsChild>
                        <w:div w:id="294153641">
                          <w:marLeft w:val="0"/>
                          <w:marRight w:val="0"/>
                          <w:marTop w:val="0"/>
                          <w:marBottom w:val="0"/>
                          <w:divBdr>
                            <w:top w:val="none" w:sz="0" w:space="0" w:color="auto"/>
                            <w:left w:val="none" w:sz="0" w:space="0" w:color="auto"/>
                            <w:bottom w:val="none" w:sz="0" w:space="0" w:color="auto"/>
                            <w:right w:val="none" w:sz="0" w:space="0" w:color="auto"/>
                          </w:divBdr>
                        </w:div>
                      </w:divsChild>
                    </w:div>
                    <w:div w:id="294139736">
                      <w:marLeft w:val="0"/>
                      <w:marRight w:val="0"/>
                      <w:marTop w:val="0"/>
                      <w:marBottom w:val="0"/>
                      <w:divBdr>
                        <w:top w:val="none" w:sz="0" w:space="0" w:color="auto"/>
                        <w:left w:val="none" w:sz="0" w:space="0" w:color="auto"/>
                        <w:bottom w:val="none" w:sz="0" w:space="0" w:color="auto"/>
                        <w:right w:val="none" w:sz="0" w:space="0" w:color="auto"/>
                      </w:divBdr>
                      <w:divsChild>
                        <w:div w:id="294144769">
                          <w:marLeft w:val="0"/>
                          <w:marRight w:val="0"/>
                          <w:marTop w:val="0"/>
                          <w:marBottom w:val="0"/>
                          <w:divBdr>
                            <w:top w:val="none" w:sz="0" w:space="0" w:color="auto"/>
                            <w:left w:val="none" w:sz="0" w:space="0" w:color="auto"/>
                            <w:bottom w:val="none" w:sz="0" w:space="0" w:color="auto"/>
                            <w:right w:val="none" w:sz="0" w:space="0" w:color="auto"/>
                          </w:divBdr>
                        </w:div>
                      </w:divsChild>
                    </w:div>
                    <w:div w:id="294139863">
                      <w:marLeft w:val="0"/>
                      <w:marRight w:val="0"/>
                      <w:marTop w:val="0"/>
                      <w:marBottom w:val="0"/>
                      <w:divBdr>
                        <w:top w:val="none" w:sz="0" w:space="0" w:color="auto"/>
                        <w:left w:val="none" w:sz="0" w:space="0" w:color="auto"/>
                        <w:bottom w:val="none" w:sz="0" w:space="0" w:color="auto"/>
                        <w:right w:val="none" w:sz="0" w:space="0" w:color="auto"/>
                      </w:divBdr>
                    </w:div>
                    <w:div w:id="294139939">
                      <w:marLeft w:val="0"/>
                      <w:marRight w:val="0"/>
                      <w:marTop w:val="0"/>
                      <w:marBottom w:val="0"/>
                      <w:divBdr>
                        <w:top w:val="none" w:sz="0" w:space="0" w:color="auto"/>
                        <w:left w:val="none" w:sz="0" w:space="0" w:color="auto"/>
                        <w:bottom w:val="none" w:sz="0" w:space="0" w:color="auto"/>
                        <w:right w:val="none" w:sz="0" w:space="0" w:color="auto"/>
                      </w:divBdr>
                      <w:divsChild>
                        <w:div w:id="294144855">
                          <w:marLeft w:val="0"/>
                          <w:marRight w:val="0"/>
                          <w:marTop w:val="0"/>
                          <w:marBottom w:val="0"/>
                          <w:divBdr>
                            <w:top w:val="none" w:sz="0" w:space="0" w:color="auto"/>
                            <w:left w:val="none" w:sz="0" w:space="0" w:color="auto"/>
                            <w:bottom w:val="none" w:sz="0" w:space="0" w:color="auto"/>
                            <w:right w:val="none" w:sz="0" w:space="0" w:color="auto"/>
                          </w:divBdr>
                        </w:div>
                      </w:divsChild>
                    </w:div>
                    <w:div w:id="294140006">
                      <w:marLeft w:val="0"/>
                      <w:marRight w:val="0"/>
                      <w:marTop w:val="0"/>
                      <w:marBottom w:val="0"/>
                      <w:divBdr>
                        <w:top w:val="none" w:sz="0" w:space="0" w:color="auto"/>
                        <w:left w:val="none" w:sz="0" w:space="0" w:color="auto"/>
                        <w:bottom w:val="none" w:sz="0" w:space="0" w:color="auto"/>
                        <w:right w:val="none" w:sz="0" w:space="0" w:color="auto"/>
                      </w:divBdr>
                      <w:divsChild>
                        <w:div w:id="294143925">
                          <w:marLeft w:val="0"/>
                          <w:marRight w:val="0"/>
                          <w:marTop w:val="0"/>
                          <w:marBottom w:val="0"/>
                          <w:divBdr>
                            <w:top w:val="none" w:sz="0" w:space="0" w:color="auto"/>
                            <w:left w:val="none" w:sz="0" w:space="0" w:color="auto"/>
                            <w:bottom w:val="none" w:sz="0" w:space="0" w:color="auto"/>
                            <w:right w:val="none" w:sz="0" w:space="0" w:color="auto"/>
                          </w:divBdr>
                        </w:div>
                      </w:divsChild>
                    </w:div>
                    <w:div w:id="294140044">
                      <w:marLeft w:val="0"/>
                      <w:marRight w:val="0"/>
                      <w:marTop w:val="0"/>
                      <w:marBottom w:val="0"/>
                      <w:divBdr>
                        <w:top w:val="none" w:sz="0" w:space="0" w:color="auto"/>
                        <w:left w:val="none" w:sz="0" w:space="0" w:color="auto"/>
                        <w:bottom w:val="none" w:sz="0" w:space="0" w:color="auto"/>
                        <w:right w:val="none" w:sz="0" w:space="0" w:color="auto"/>
                      </w:divBdr>
                      <w:divsChild>
                        <w:div w:id="294152776">
                          <w:marLeft w:val="0"/>
                          <w:marRight w:val="0"/>
                          <w:marTop w:val="0"/>
                          <w:marBottom w:val="0"/>
                          <w:divBdr>
                            <w:top w:val="none" w:sz="0" w:space="0" w:color="auto"/>
                            <w:left w:val="none" w:sz="0" w:space="0" w:color="auto"/>
                            <w:bottom w:val="none" w:sz="0" w:space="0" w:color="auto"/>
                            <w:right w:val="none" w:sz="0" w:space="0" w:color="auto"/>
                          </w:divBdr>
                        </w:div>
                      </w:divsChild>
                    </w:div>
                    <w:div w:id="294140063">
                      <w:marLeft w:val="0"/>
                      <w:marRight w:val="0"/>
                      <w:marTop w:val="0"/>
                      <w:marBottom w:val="0"/>
                      <w:divBdr>
                        <w:top w:val="none" w:sz="0" w:space="0" w:color="auto"/>
                        <w:left w:val="none" w:sz="0" w:space="0" w:color="auto"/>
                        <w:bottom w:val="none" w:sz="0" w:space="0" w:color="auto"/>
                        <w:right w:val="none" w:sz="0" w:space="0" w:color="auto"/>
                      </w:divBdr>
                      <w:divsChild>
                        <w:div w:id="294154977">
                          <w:marLeft w:val="0"/>
                          <w:marRight w:val="0"/>
                          <w:marTop w:val="0"/>
                          <w:marBottom w:val="0"/>
                          <w:divBdr>
                            <w:top w:val="none" w:sz="0" w:space="0" w:color="auto"/>
                            <w:left w:val="none" w:sz="0" w:space="0" w:color="auto"/>
                            <w:bottom w:val="none" w:sz="0" w:space="0" w:color="auto"/>
                            <w:right w:val="none" w:sz="0" w:space="0" w:color="auto"/>
                          </w:divBdr>
                        </w:div>
                      </w:divsChild>
                    </w:div>
                    <w:div w:id="294140101">
                      <w:marLeft w:val="0"/>
                      <w:marRight w:val="0"/>
                      <w:marTop w:val="0"/>
                      <w:marBottom w:val="0"/>
                      <w:divBdr>
                        <w:top w:val="none" w:sz="0" w:space="0" w:color="auto"/>
                        <w:left w:val="none" w:sz="0" w:space="0" w:color="auto"/>
                        <w:bottom w:val="none" w:sz="0" w:space="0" w:color="auto"/>
                        <w:right w:val="none" w:sz="0" w:space="0" w:color="auto"/>
                      </w:divBdr>
                    </w:div>
                    <w:div w:id="294140126">
                      <w:marLeft w:val="0"/>
                      <w:marRight w:val="0"/>
                      <w:marTop w:val="0"/>
                      <w:marBottom w:val="0"/>
                      <w:divBdr>
                        <w:top w:val="none" w:sz="0" w:space="0" w:color="auto"/>
                        <w:left w:val="none" w:sz="0" w:space="0" w:color="auto"/>
                        <w:bottom w:val="none" w:sz="0" w:space="0" w:color="auto"/>
                        <w:right w:val="none" w:sz="0" w:space="0" w:color="auto"/>
                      </w:divBdr>
                      <w:divsChild>
                        <w:div w:id="294143910">
                          <w:marLeft w:val="0"/>
                          <w:marRight w:val="0"/>
                          <w:marTop w:val="0"/>
                          <w:marBottom w:val="0"/>
                          <w:divBdr>
                            <w:top w:val="none" w:sz="0" w:space="0" w:color="auto"/>
                            <w:left w:val="none" w:sz="0" w:space="0" w:color="auto"/>
                            <w:bottom w:val="none" w:sz="0" w:space="0" w:color="auto"/>
                            <w:right w:val="none" w:sz="0" w:space="0" w:color="auto"/>
                          </w:divBdr>
                        </w:div>
                      </w:divsChild>
                    </w:div>
                    <w:div w:id="294140150">
                      <w:marLeft w:val="0"/>
                      <w:marRight w:val="0"/>
                      <w:marTop w:val="0"/>
                      <w:marBottom w:val="0"/>
                      <w:divBdr>
                        <w:top w:val="none" w:sz="0" w:space="0" w:color="auto"/>
                        <w:left w:val="none" w:sz="0" w:space="0" w:color="auto"/>
                        <w:bottom w:val="none" w:sz="0" w:space="0" w:color="auto"/>
                        <w:right w:val="none" w:sz="0" w:space="0" w:color="auto"/>
                      </w:divBdr>
                    </w:div>
                    <w:div w:id="294140185">
                      <w:marLeft w:val="0"/>
                      <w:marRight w:val="0"/>
                      <w:marTop w:val="0"/>
                      <w:marBottom w:val="0"/>
                      <w:divBdr>
                        <w:top w:val="none" w:sz="0" w:space="0" w:color="auto"/>
                        <w:left w:val="none" w:sz="0" w:space="0" w:color="auto"/>
                        <w:bottom w:val="none" w:sz="0" w:space="0" w:color="auto"/>
                        <w:right w:val="none" w:sz="0" w:space="0" w:color="auto"/>
                      </w:divBdr>
                    </w:div>
                    <w:div w:id="294140235">
                      <w:marLeft w:val="0"/>
                      <w:marRight w:val="0"/>
                      <w:marTop w:val="0"/>
                      <w:marBottom w:val="0"/>
                      <w:divBdr>
                        <w:top w:val="none" w:sz="0" w:space="0" w:color="auto"/>
                        <w:left w:val="none" w:sz="0" w:space="0" w:color="auto"/>
                        <w:bottom w:val="none" w:sz="0" w:space="0" w:color="auto"/>
                        <w:right w:val="none" w:sz="0" w:space="0" w:color="auto"/>
                      </w:divBdr>
                      <w:divsChild>
                        <w:div w:id="294151607">
                          <w:marLeft w:val="0"/>
                          <w:marRight w:val="0"/>
                          <w:marTop w:val="0"/>
                          <w:marBottom w:val="0"/>
                          <w:divBdr>
                            <w:top w:val="none" w:sz="0" w:space="0" w:color="auto"/>
                            <w:left w:val="none" w:sz="0" w:space="0" w:color="auto"/>
                            <w:bottom w:val="none" w:sz="0" w:space="0" w:color="auto"/>
                            <w:right w:val="none" w:sz="0" w:space="0" w:color="auto"/>
                          </w:divBdr>
                        </w:div>
                      </w:divsChild>
                    </w:div>
                    <w:div w:id="294140305">
                      <w:marLeft w:val="0"/>
                      <w:marRight w:val="0"/>
                      <w:marTop w:val="0"/>
                      <w:marBottom w:val="0"/>
                      <w:divBdr>
                        <w:top w:val="none" w:sz="0" w:space="0" w:color="auto"/>
                        <w:left w:val="none" w:sz="0" w:space="0" w:color="auto"/>
                        <w:bottom w:val="none" w:sz="0" w:space="0" w:color="auto"/>
                        <w:right w:val="none" w:sz="0" w:space="0" w:color="auto"/>
                      </w:divBdr>
                    </w:div>
                    <w:div w:id="294140306">
                      <w:marLeft w:val="0"/>
                      <w:marRight w:val="0"/>
                      <w:marTop w:val="0"/>
                      <w:marBottom w:val="0"/>
                      <w:divBdr>
                        <w:top w:val="none" w:sz="0" w:space="0" w:color="auto"/>
                        <w:left w:val="none" w:sz="0" w:space="0" w:color="auto"/>
                        <w:bottom w:val="none" w:sz="0" w:space="0" w:color="auto"/>
                        <w:right w:val="none" w:sz="0" w:space="0" w:color="auto"/>
                      </w:divBdr>
                      <w:divsChild>
                        <w:div w:id="294155127">
                          <w:marLeft w:val="0"/>
                          <w:marRight w:val="0"/>
                          <w:marTop w:val="0"/>
                          <w:marBottom w:val="0"/>
                          <w:divBdr>
                            <w:top w:val="none" w:sz="0" w:space="0" w:color="auto"/>
                            <w:left w:val="none" w:sz="0" w:space="0" w:color="auto"/>
                            <w:bottom w:val="none" w:sz="0" w:space="0" w:color="auto"/>
                            <w:right w:val="none" w:sz="0" w:space="0" w:color="auto"/>
                          </w:divBdr>
                        </w:div>
                      </w:divsChild>
                    </w:div>
                    <w:div w:id="294140311">
                      <w:marLeft w:val="0"/>
                      <w:marRight w:val="0"/>
                      <w:marTop w:val="0"/>
                      <w:marBottom w:val="0"/>
                      <w:divBdr>
                        <w:top w:val="none" w:sz="0" w:space="0" w:color="auto"/>
                        <w:left w:val="none" w:sz="0" w:space="0" w:color="auto"/>
                        <w:bottom w:val="none" w:sz="0" w:space="0" w:color="auto"/>
                        <w:right w:val="none" w:sz="0" w:space="0" w:color="auto"/>
                      </w:divBdr>
                      <w:divsChild>
                        <w:div w:id="294150007">
                          <w:marLeft w:val="0"/>
                          <w:marRight w:val="0"/>
                          <w:marTop w:val="0"/>
                          <w:marBottom w:val="0"/>
                          <w:divBdr>
                            <w:top w:val="none" w:sz="0" w:space="0" w:color="auto"/>
                            <w:left w:val="none" w:sz="0" w:space="0" w:color="auto"/>
                            <w:bottom w:val="none" w:sz="0" w:space="0" w:color="auto"/>
                            <w:right w:val="none" w:sz="0" w:space="0" w:color="auto"/>
                          </w:divBdr>
                        </w:div>
                      </w:divsChild>
                    </w:div>
                    <w:div w:id="294140356">
                      <w:marLeft w:val="0"/>
                      <w:marRight w:val="0"/>
                      <w:marTop w:val="0"/>
                      <w:marBottom w:val="0"/>
                      <w:divBdr>
                        <w:top w:val="none" w:sz="0" w:space="0" w:color="auto"/>
                        <w:left w:val="none" w:sz="0" w:space="0" w:color="auto"/>
                        <w:bottom w:val="none" w:sz="0" w:space="0" w:color="auto"/>
                        <w:right w:val="none" w:sz="0" w:space="0" w:color="auto"/>
                      </w:divBdr>
                    </w:div>
                    <w:div w:id="294140361">
                      <w:marLeft w:val="0"/>
                      <w:marRight w:val="0"/>
                      <w:marTop w:val="0"/>
                      <w:marBottom w:val="0"/>
                      <w:divBdr>
                        <w:top w:val="none" w:sz="0" w:space="0" w:color="auto"/>
                        <w:left w:val="none" w:sz="0" w:space="0" w:color="auto"/>
                        <w:bottom w:val="none" w:sz="0" w:space="0" w:color="auto"/>
                        <w:right w:val="none" w:sz="0" w:space="0" w:color="auto"/>
                      </w:divBdr>
                      <w:divsChild>
                        <w:div w:id="294148033">
                          <w:marLeft w:val="0"/>
                          <w:marRight w:val="0"/>
                          <w:marTop w:val="0"/>
                          <w:marBottom w:val="0"/>
                          <w:divBdr>
                            <w:top w:val="none" w:sz="0" w:space="0" w:color="auto"/>
                            <w:left w:val="none" w:sz="0" w:space="0" w:color="auto"/>
                            <w:bottom w:val="none" w:sz="0" w:space="0" w:color="auto"/>
                            <w:right w:val="none" w:sz="0" w:space="0" w:color="auto"/>
                          </w:divBdr>
                        </w:div>
                      </w:divsChild>
                    </w:div>
                    <w:div w:id="294140452">
                      <w:marLeft w:val="0"/>
                      <w:marRight w:val="0"/>
                      <w:marTop w:val="0"/>
                      <w:marBottom w:val="0"/>
                      <w:divBdr>
                        <w:top w:val="none" w:sz="0" w:space="0" w:color="auto"/>
                        <w:left w:val="none" w:sz="0" w:space="0" w:color="auto"/>
                        <w:bottom w:val="none" w:sz="0" w:space="0" w:color="auto"/>
                        <w:right w:val="none" w:sz="0" w:space="0" w:color="auto"/>
                      </w:divBdr>
                      <w:divsChild>
                        <w:div w:id="294147353">
                          <w:marLeft w:val="0"/>
                          <w:marRight w:val="0"/>
                          <w:marTop w:val="0"/>
                          <w:marBottom w:val="0"/>
                          <w:divBdr>
                            <w:top w:val="none" w:sz="0" w:space="0" w:color="auto"/>
                            <w:left w:val="none" w:sz="0" w:space="0" w:color="auto"/>
                            <w:bottom w:val="none" w:sz="0" w:space="0" w:color="auto"/>
                            <w:right w:val="none" w:sz="0" w:space="0" w:color="auto"/>
                          </w:divBdr>
                        </w:div>
                      </w:divsChild>
                    </w:div>
                    <w:div w:id="294140483">
                      <w:marLeft w:val="0"/>
                      <w:marRight w:val="0"/>
                      <w:marTop w:val="0"/>
                      <w:marBottom w:val="0"/>
                      <w:divBdr>
                        <w:top w:val="none" w:sz="0" w:space="0" w:color="auto"/>
                        <w:left w:val="none" w:sz="0" w:space="0" w:color="auto"/>
                        <w:bottom w:val="none" w:sz="0" w:space="0" w:color="auto"/>
                        <w:right w:val="none" w:sz="0" w:space="0" w:color="auto"/>
                      </w:divBdr>
                      <w:divsChild>
                        <w:div w:id="294142870">
                          <w:marLeft w:val="0"/>
                          <w:marRight w:val="0"/>
                          <w:marTop w:val="0"/>
                          <w:marBottom w:val="0"/>
                          <w:divBdr>
                            <w:top w:val="none" w:sz="0" w:space="0" w:color="auto"/>
                            <w:left w:val="none" w:sz="0" w:space="0" w:color="auto"/>
                            <w:bottom w:val="none" w:sz="0" w:space="0" w:color="auto"/>
                            <w:right w:val="none" w:sz="0" w:space="0" w:color="auto"/>
                          </w:divBdr>
                        </w:div>
                      </w:divsChild>
                    </w:div>
                    <w:div w:id="294140519">
                      <w:marLeft w:val="0"/>
                      <w:marRight w:val="0"/>
                      <w:marTop w:val="0"/>
                      <w:marBottom w:val="0"/>
                      <w:divBdr>
                        <w:top w:val="none" w:sz="0" w:space="0" w:color="auto"/>
                        <w:left w:val="none" w:sz="0" w:space="0" w:color="auto"/>
                        <w:bottom w:val="none" w:sz="0" w:space="0" w:color="auto"/>
                        <w:right w:val="none" w:sz="0" w:space="0" w:color="auto"/>
                      </w:divBdr>
                      <w:divsChild>
                        <w:div w:id="294156285">
                          <w:marLeft w:val="0"/>
                          <w:marRight w:val="0"/>
                          <w:marTop w:val="0"/>
                          <w:marBottom w:val="0"/>
                          <w:divBdr>
                            <w:top w:val="none" w:sz="0" w:space="0" w:color="auto"/>
                            <w:left w:val="none" w:sz="0" w:space="0" w:color="auto"/>
                            <w:bottom w:val="none" w:sz="0" w:space="0" w:color="auto"/>
                            <w:right w:val="none" w:sz="0" w:space="0" w:color="auto"/>
                          </w:divBdr>
                        </w:div>
                      </w:divsChild>
                    </w:div>
                    <w:div w:id="294140520">
                      <w:marLeft w:val="0"/>
                      <w:marRight w:val="0"/>
                      <w:marTop w:val="0"/>
                      <w:marBottom w:val="0"/>
                      <w:divBdr>
                        <w:top w:val="none" w:sz="0" w:space="0" w:color="auto"/>
                        <w:left w:val="none" w:sz="0" w:space="0" w:color="auto"/>
                        <w:bottom w:val="none" w:sz="0" w:space="0" w:color="auto"/>
                        <w:right w:val="none" w:sz="0" w:space="0" w:color="auto"/>
                      </w:divBdr>
                    </w:div>
                    <w:div w:id="294140523">
                      <w:marLeft w:val="0"/>
                      <w:marRight w:val="0"/>
                      <w:marTop w:val="0"/>
                      <w:marBottom w:val="0"/>
                      <w:divBdr>
                        <w:top w:val="none" w:sz="0" w:space="0" w:color="auto"/>
                        <w:left w:val="none" w:sz="0" w:space="0" w:color="auto"/>
                        <w:bottom w:val="none" w:sz="0" w:space="0" w:color="auto"/>
                        <w:right w:val="none" w:sz="0" w:space="0" w:color="auto"/>
                      </w:divBdr>
                      <w:divsChild>
                        <w:div w:id="294140141">
                          <w:marLeft w:val="0"/>
                          <w:marRight w:val="0"/>
                          <w:marTop w:val="0"/>
                          <w:marBottom w:val="0"/>
                          <w:divBdr>
                            <w:top w:val="none" w:sz="0" w:space="0" w:color="auto"/>
                            <w:left w:val="none" w:sz="0" w:space="0" w:color="auto"/>
                            <w:bottom w:val="none" w:sz="0" w:space="0" w:color="auto"/>
                            <w:right w:val="none" w:sz="0" w:space="0" w:color="auto"/>
                          </w:divBdr>
                        </w:div>
                      </w:divsChild>
                    </w:div>
                    <w:div w:id="294140574">
                      <w:marLeft w:val="0"/>
                      <w:marRight w:val="0"/>
                      <w:marTop w:val="0"/>
                      <w:marBottom w:val="0"/>
                      <w:divBdr>
                        <w:top w:val="none" w:sz="0" w:space="0" w:color="auto"/>
                        <w:left w:val="none" w:sz="0" w:space="0" w:color="auto"/>
                        <w:bottom w:val="none" w:sz="0" w:space="0" w:color="auto"/>
                        <w:right w:val="none" w:sz="0" w:space="0" w:color="auto"/>
                      </w:divBdr>
                      <w:divsChild>
                        <w:div w:id="294144432">
                          <w:marLeft w:val="0"/>
                          <w:marRight w:val="0"/>
                          <w:marTop w:val="0"/>
                          <w:marBottom w:val="0"/>
                          <w:divBdr>
                            <w:top w:val="none" w:sz="0" w:space="0" w:color="auto"/>
                            <w:left w:val="none" w:sz="0" w:space="0" w:color="auto"/>
                            <w:bottom w:val="none" w:sz="0" w:space="0" w:color="auto"/>
                            <w:right w:val="none" w:sz="0" w:space="0" w:color="auto"/>
                          </w:divBdr>
                        </w:div>
                      </w:divsChild>
                    </w:div>
                    <w:div w:id="294140610">
                      <w:marLeft w:val="0"/>
                      <w:marRight w:val="0"/>
                      <w:marTop w:val="0"/>
                      <w:marBottom w:val="0"/>
                      <w:divBdr>
                        <w:top w:val="none" w:sz="0" w:space="0" w:color="auto"/>
                        <w:left w:val="none" w:sz="0" w:space="0" w:color="auto"/>
                        <w:bottom w:val="none" w:sz="0" w:space="0" w:color="auto"/>
                        <w:right w:val="none" w:sz="0" w:space="0" w:color="auto"/>
                      </w:divBdr>
                    </w:div>
                    <w:div w:id="294140616">
                      <w:marLeft w:val="0"/>
                      <w:marRight w:val="0"/>
                      <w:marTop w:val="0"/>
                      <w:marBottom w:val="0"/>
                      <w:divBdr>
                        <w:top w:val="none" w:sz="0" w:space="0" w:color="auto"/>
                        <w:left w:val="none" w:sz="0" w:space="0" w:color="auto"/>
                        <w:bottom w:val="none" w:sz="0" w:space="0" w:color="auto"/>
                        <w:right w:val="none" w:sz="0" w:space="0" w:color="auto"/>
                      </w:divBdr>
                    </w:div>
                    <w:div w:id="294140639">
                      <w:marLeft w:val="0"/>
                      <w:marRight w:val="0"/>
                      <w:marTop w:val="0"/>
                      <w:marBottom w:val="0"/>
                      <w:divBdr>
                        <w:top w:val="none" w:sz="0" w:space="0" w:color="auto"/>
                        <w:left w:val="none" w:sz="0" w:space="0" w:color="auto"/>
                        <w:bottom w:val="none" w:sz="0" w:space="0" w:color="auto"/>
                        <w:right w:val="none" w:sz="0" w:space="0" w:color="auto"/>
                      </w:divBdr>
                    </w:div>
                    <w:div w:id="294140755">
                      <w:marLeft w:val="0"/>
                      <w:marRight w:val="0"/>
                      <w:marTop w:val="0"/>
                      <w:marBottom w:val="0"/>
                      <w:divBdr>
                        <w:top w:val="none" w:sz="0" w:space="0" w:color="auto"/>
                        <w:left w:val="none" w:sz="0" w:space="0" w:color="auto"/>
                        <w:bottom w:val="none" w:sz="0" w:space="0" w:color="auto"/>
                        <w:right w:val="none" w:sz="0" w:space="0" w:color="auto"/>
                      </w:divBdr>
                    </w:div>
                    <w:div w:id="294140807">
                      <w:marLeft w:val="0"/>
                      <w:marRight w:val="0"/>
                      <w:marTop w:val="0"/>
                      <w:marBottom w:val="0"/>
                      <w:divBdr>
                        <w:top w:val="none" w:sz="0" w:space="0" w:color="auto"/>
                        <w:left w:val="none" w:sz="0" w:space="0" w:color="auto"/>
                        <w:bottom w:val="none" w:sz="0" w:space="0" w:color="auto"/>
                        <w:right w:val="none" w:sz="0" w:space="0" w:color="auto"/>
                      </w:divBdr>
                    </w:div>
                    <w:div w:id="294140808">
                      <w:marLeft w:val="0"/>
                      <w:marRight w:val="0"/>
                      <w:marTop w:val="0"/>
                      <w:marBottom w:val="0"/>
                      <w:divBdr>
                        <w:top w:val="none" w:sz="0" w:space="0" w:color="auto"/>
                        <w:left w:val="none" w:sz="0" w:space="0" w:color="auto"/>
                        <w:bottom w:val="none" w:sz="0" w:space="0" w:color="auto"/>
                        <w:right w:val="none" w:sz="0" w:space="0" w:color="auto"/>
                      </w:divBdr>
                      <w:divsChild>
                        <w:div w:id="294146407">
                          <w:marLeft w:val="0"/>
                          <w:marRight w:val="0"/>
                          <w:marTop w:val="0"/>
                          <w:marBottom w:val="0"/>
                          <w:divBdr>
                            <w:top w:val="none" w:sz="0" w:space="0" w:color="auto"/>
                            <w:left w:val="none" w:sz="0" w:space="0" w:color="auto"/>
                            <w:bottom w:val="none" w:sz="0" w:space="0" w:color="auto"/>
                            <w:right w:val="none" w:sz="0" w:space="0" w:color="auto"/>
                          </w:divBdr>
                        </w:div>
                      </w:divsChild>
                    </w:div>
                    <w:div w:id="294140827">
                      <w:marLeft w:val="0"/>
                      <w:marRight w:val="0"/>
                      <w:marTop w:val="0"/>
                      <w:marBottom w:val="0"/>
                      <w:divBdr>
                        <w:top w:val="none" w:sz="0" w:space="0" w:color="auto"/>
                        <w:left w:val="none" w:sz="0" w:space="0" w:color="auto"/>
                        <w:bottom w:val="none" w:sz="0" w:space="0" w:color="auto"/>
                        <w:right w:val="none" w:sz="0" w:space="0" w:color="auto"/>
                      </w:divBdr>
                      <w:divsChild>
                        <w:div w:id="294140144">
                          <w:marLeft w:val="0"/>
                          <w:marRight w:val="0"/>
                          <w:marTop w:val="0"/>
                          <w:marBottom w:val="0"/>
                          <w:divBdr>
                            <w:top w:val="none" w:sz="0" w:space="0" w:color="auto"/>
                            <w:left w:val="none" w:sz="0" w:space="0" w:color="auto"/>
                            <w:bottom w:val="none" w:sz="0" w:space="0" w:color="auto"/>
                            <w:right w:val="none" w:sz="0" w:space="0" w:color="auto"/>
                          </w:divBdr>
                        </w:div>
                      </w:divsChild>
                    </w:div>
                    <w:div w:id="294140830">
                      <w:marLeft w:val="0"/>
                      <w:marRight w:val="0"/>
                      <w:marTop w:val="0"/>
                      <w:marBottom w:val="0"/>
                      <w:divBdr>
                        <w:top w:val="none" w:sz="0" w:space="0" w:color="auto"/>
                        <w:left w:val="none" w:sz="0" w:space="0" w:color="auto"/>
                        <w:bottom w:val="none" w:sz="0" w:space="0" w:color="auto"/>
                        <w:right w:val="none" w:sz="0" w:space="0" w:color="auto"/>
                      </w:divBdr>
                    </w:div>
                    <w:div w:id="294140974">
                      <w:marLeft w:val="0"/>
                      <w:marRight w:val="0"/>
                      <w:marTop w:val="0"/>
                      <w:marBottom w:val="0"/>
                      <w:divBdr>
                        <w:top w:val="none" w:sz="0" w:space="0" w:color="auto"/>
                        <w:left w:val="none" w:sz="0" w:space="0" w:color="auto"/>
                        <w:bottom w:val="none" w:sz="0" w:space="0" w:color="auto"/>
                        <w:right w:val="none" w:sz="0" w:space="0" w:color="auto"/>
                      </w:divBdr>
                    </w:div>
                    <w:div w:id="294141012">
                      <w:marLeft w:val="0"/>
                      <w:marRight w:val="0"/>
                      <w:marTop w:val="0"/>
                      <w:marBottom w:val="0"/>
                      <w:divBdr>
                        <w:top w:val="none" w:sz="0" w:space="0" w:color="auto"/>
                        <w:left w:val="none" w:sz="0" w:space="0" w:color="auto"/>
                        <w:bottom w:val="none" w:sz="0" w:space="0" w:color="auto"/>
                        <w:right w:val="none" w:sz="0" w:space="0" w:color="auto"/>
                      </w:divBdr>
                      <w:divsChild>
                        <w:div w:id="294142010">
                          <w:marLeft w:val="0"/>
                          <w:marRight w:val="0"/>
                          <w:marTop w:val="0"/>
                          <w:marBottom w:val="0"/>
                          <w:divBdr>
                            <w:top w:val="none" w:sz="0" w:space="0" w:color="auto"/>
                            <w:left w:val="none" w:sz="0" w:space="0" w:color="auto"/>
                            <w:bottom w:val="none" w:sz="0" w:space="0" w:color="auto"/>
                            <w:right w:val="none" w:sz="0" w:space="0" w:color="auto"/>
                          </w:divBdr>
                        </w:div>
                      </w:divsChild>
                    </w:div>
                    <w:div w:id="294141028">
                      <w:marLeft w:val="0"/>
                      <w:marRight w:val="0"/>
                      <w:marTop w:val="0"/>
                      <w:marBottom w:val="0"/>
                      <w:divBdr>
                        <w:top w:val="none" w:sz="0" w:space="0" w:color="auto"/>
                        <w:left w:val="none" w:sz="0" w:space="0" w:color="auto"/>
                        <w:bottom w:val="none" w:sz="0" w:space="0" w:color="auto"/>
                        <w:right w:val="none" w:sz="0" w:space="0" w:color="auto"/>
                      </w:divBdr>
                    </w:div>
                    <w:div w:id="294141041">
                      <w:marLeft w:val="0"/>
                      <w:marRight w:val="0"/>
                      <w:marTop w:val="0"/>
                      <w:marBottom w:val="0"/>
                      <w:divBdr>
                        <w:top w:val="none" w:sz="0" w:space="0" w:color="auto"/>
                        <w:left w:val="none" w:sz="0" w:space="0" w:color="auto"/>
                        <w:bottom w:val="none" w:sz="0" w:space="0" w:color="auto"/>
                        <w:right w:val="none" w:sz="0" w:space="0" w:color="auto"/>
                      </w:divBdr>
                    </w:div>
                    <w:div w:id="294141062">
                      <w:marLeft w:val="0"/>
                      <w:marRight w:val="0"/>
                      <w:marTop w:val="0"/>
                      <w:marBottom w:val="0"/>
                      <w:divBdr>
                        <w:top w:val="none" w:sz="0" w:space="0" w:color="auto"/>
                        <w:left w:val="none" w:sz="0" w:space="0" w:color="auto"/>
                        <w:bottom w:val="none" w:sz="0" w:space="0" w:color="auto"/>
                        <w:right w:val="none" w:sz="0" w:space="0" w:color="auto"/>
                      </w:divBdr>
                    </w:div>
                    <w:div w:id="294141065">
                      <w:marLeft w:val="0"/>
                      <w:marRight w:val="0"/>
                      <w:marTop w:val="0"/>
                      <w:marBottom w:val="0"/>
                      <w:divBdr>
                        <w:top w:val="none" w:sz="0" w:space="0" w:color="auto"/>
                        <w:left w:val="none" w:sz="0" w:space="0" w:color="auto"/>
                        <w:bottom w:val="none" w:sz="0" w:space="0" w:color="auto"/>
                        <w:right w:val="none" w:sz="0" w:space="0" w:color="auto"/>
                      </w:divBdr>
                    </w:div>
                    <w:div w:id="294141086">
                      <w:marLeft w:val="0"/>
                      <w:marRight w:val="0"/>
                      <w:marTop w:val="0"/>
                      <w:marBottom w:val="0"/>
                      <w:divBdr>
                        <w:top w:val="none" w:sz="0" w:space="0" w:color="auto"/>
                        <w:left w:val="none" w:sz="0" w:space="0" w:color="auto"/>
                        <w:bottom w:val="none" w:sz="0" w:space="0" w:color="auto"/>
                        <w:right w:val="none" w:sz="0" w:space="0" w:color="auto"/>
                      </w:divBdr>
                      <w:divsChild>
                        <w:div w:id="294146957">
                          <w:marLeft w:val="0"/>
                          <w:marRight w:val="0"/>
                          <w:marTop w:val="0"/>
                          <w:marBottom w:val="0"/>
                          <w:divBdr>
                            <w:top w:val="none" w:sz="0" w:space="0" w:color="auto"/>
                            <w:left w:val="none" w:sz="0" w:space="0" w:color="auto"/>
                            <w:bottom w:val="none" w:sz="0" w:space="0" w:color="auto"/>
                            <w:right w:val="none" w:sz="0" w:space="0" w:color="auto"/>
                          </w:divBdr>
                        </w:div>
                      </w:divsChild>
                    </w:div>
                    <w:div w:id="294141092">
                      <w:marLeft w:val="0"/>
                      <w:marRight w:val="0"/>
                      <w:marTop w:val="0"/>
                      <w:marBottom w:val="0"/>
                      <w:divBdr>
                        <w:top w:val="none" w:sz="0" w:space="0" w:color="auto"/>
                        <w:left w:val="none" w:sz="0" w:space="0" w:color="auto"/>
                        <w:bottom w:val="none" w:sz="0" w:space="0" w:color="auto"/>
                        <w:right w:val="none" w:sz="0" w:space="0" w:color="auto"/>
                      </w:divBdr>
                    </w:div>
                    <w:div w:id="294141123">
                      <w:marLeft w:val="0"/>
                      <w:marRight w:val="0"/>
                      <w:marTop w:val="0"/>
                      <w:marBottom w:val="0"/>
                      <w:divBdr>
                        <w:top w:val="none" w:sz="0" w:space="0" w:color="auto"/>
                        <w:left w:val="none" w:sz="0" w:space="0" w:color="auto"/>
                        <w:bottom w:val="none" w:sz="0" w:space="0" w:color="auto"/>
                        <w:right w:val="none" w:sz="0" w:space="0" w:color="auto"/>
                      </w:divBdr>
                    </w:div>
                    <w:div w:id="294141137">
                      <w:marLeft w:val="0"/>
                      <w:marRight w:val="0"/>
                      <w:marTop w:val="0"/>
                      <w:marBottom w:val="0"/>
                      <w:divBdr>
                        <w:top w:val="none" w:sz="0" w:space="0" w:color="auto"/>
                        <w:left w:val="none" w:sz="0" w:space="0" w:color="auto"/>
                        <w:bottom w:val="none" w:sz="0" w:space="0" w:color="auto"/>
                        <w:right w:val="none" w:sz="0" w:space="0" w:color="auto"/>
                      </w:divBdr>
                    </w:div>
                    <w:div w:id="294141147">
                      <w:marLeft w:val="0"/>
                      <w:marRight w:val="0"/>
                      <w:marTop w:val="0"/>
                      <w:marBottom w:val="0"/>
                      <w:divBdr>
                        <w:top w:val="none" w:sz="0" w:space="0" w:color="auto"/>
                        <w:left w:val="none" w:sz="0" w:space="0" w:color="auto"/>
                        <w:bottom w:val="none" w:sz="0" w:space="0" w:color="auto"/>
                        <w:right w:val="none" w:sz="0" w:space="0" w:color="auto"/>
                      </w:divBdr>
                    </w:div>
                    <w:div w:id="294141149">
                      <w:marLeft w:val="0"/>
                      <w:marRight w:val="0"/>
                      <w:marTop w:val="0"/>
                      <w:marBottom w:val="0"/>
                      <w:divBdr>
                        <w:top w:val="none" w:sz="0" w:space="0" w:color="auto"/>
                        <w:left w:val="none" w:sz="0" w:space="0" w:color="auto"/>
                        <w:bottom w:val="none" w:sz="0" w:space="0" w:color="auto"/>
                        <w:right w:val="none" w:sz="0" w:space="0" w:color="auto"/>
                      </w:divBdr>
                    </w:div>
                    <w:div w:id="294141163">
                      <w:marLeft w:val="0"/>
                      <w:marRight w:val="0"/>
                      <w:marTop w:val="0"/>
                      <w:marBottom w:val="0"/>
                      <w:divBdr>
                        <w:top w:val="none" w:sz="0" w:space="0" w:color="auto"/>
                        <w:left w:val="none" w:sz="0" w:space="0" w:color="auto"/>
                        <w:bottom w:val="none" w:sz="0" w:space="0" w:color="auto"/>
                        <w:right w:val="none" w:sz="0" w:space="0" w:color="auto"/>
                      </w:divBdr>
                      <w:divsChild>
                        <w:div w:id="294146557">
                          <w:marLeft w:val="0"/>
                          <w:marRight w:val="0"/>
                          <w:marTop w:val="0"/>
                          <w:marBottom w:val="0"/>
                          <w:divBdr>
                            <w:top w:val="none" w:sz="0" w:space="0" w:color="auto"/>
                            <w:left w:val="none" w:sz="0" w:space="0" w:color="auto"/>
                            <w:bottom w:val="none" w:sz="0" w:space="0" w:color="auto"/>
                            <w:right w:val="none" w:sz="0" w:space="0" w:color="auto"/>
                          </w:divBdr>
                        </w:div>
                      </w:divsChild>
                    </w:div>
                    <w:div w:id="294141204">
                      <w:marLeft w:val="0"/>
                      <w:marRight w:val="0"/>
                      <w:marTop w:val="0"/>
                      <w:marBottom w:val="0"/>
                      <w:divBdr>
                        <w:top w:val="none" w:sz="0" w:space="0" w:color="auto"/>
                        <w:left w:val="none" w:sz="0" w:space="0" w:color="auto"/>
                        <w:bottom w:val="none" w:sz="0" w:space="0" w:color="auto"/>
                        <w:right w:val="none" w:sz="0" w:space="0" w:color="auto"/>
                      </w:divBdr>
                    </w:div>
                    <w:div w:id="294141234">
                      <w:marLeft w:val="0"/>
                      <w:marRight w:val="0"/>
                      <w:marTop w:val="0"/>
                      <w:marBottom w:val="0"/>
                      <w:divBdr>
                        <w:top w:val="none" w:sz="0" w:space="0" w:color="auto"/>
                        <w:left w:val="none" w:sz="0" w:space="0" w:color="auto"/>
                        <w:bottom w:val="none" w:sz="0" w:space="0" w:color="auto"/>
                        <w:right w:val="none" w:sz="0" w:space="0" w:color="auto"/>
                      </w:divBdr>
                    </w:div>
                    <w:div w:id="294141343">
                      <w:marLeft w:val="0"/>
                      <w:marRight w:val="0"/>
                      <w:marTop w:val="0"/>
                      <w:marBottom w:val="0"/>
                      <w:divBdr>
                        <w:top w:val="none" w:sz="0" w:space="0" w:color="auto"/>
                        <w:left w:val="none" w:sz="0" w:space="0" w:color="auto"/>
                        <w:bottom w:val="none" w:sz="0" w:space="0" w:color="auto"/>
                        <w:right w:val="none" w:sz="0" w:space="0" w:color="auto"/>
                      </w:divBdr>
                      <w:divsChild>
                        <w:div w:id="294139679">
                          <w:marLeft w:val="0"/>
                          <w:marRight w:val="0"/>
                          <w:marTop w:val="0"/>
                          <w:marBottom w:val="0"/>
                          <w:divBdr>
                            <w:top w:val="none" w:sz="0" w:space="0" w:color="auto"/>
                            <w:left w:val="none" w:sz="0" w:space="0" w:color="auto"/>
                            <w:bottom w:val="none" w:sz="0" w:space="0" w:color="auto"/>
                            <w:right w:val="none" w:sz="0" w:space="0" w:color="auto"/>
                          </w:divBdr>
                        </w:div>
                      </w:divsChild>
                    </w:div>
                    <w:div w:id="294141395">
                      <w:marLeft w:val="0"/>
                      <w:marRight w:val="0"/>
                      <w:marTop w:val="0"/>
                      <w:marBottom w:val="0"/>
                      <w:divBdr>
                        <w:top w:val="none" w:sz="0" w:space="0" w:color="auto"/>
                        <w:left w:val="none" w:sz="0" w:space="0" w:color="auto"/>
                        <w:bottom w:val="none" w:sz="0" w:space="0" w:color="auto"/>
                        <w:right w:val="none" w:sz="0" w:space="0" w:color="auto"/>
                      </w:divBdr>
                      <w:divsChild>
                        <w:div w:id="294138282">
                          <w:marLeft w:val="0"/>
                          <w:marRight w:val="0"/>
                          <w:marTop w:val="0"/>
                          <w:marBottom w:val="0"/>
                          <w:divBdr>
                            <w:top w:val="none" w:sz="0" w:space="0" w:color="auto"/>
                            <w:left w:val="none" w:sz="0" w:space="0" w:color="auto"/>
                            <w:bottom w:val="none" w:sz="0" w:space="0" w:color="auto"/>
                            <w:right w:val="none" w:sz="0" w:space="0" w:color="auto"/>
                          </w:divBdr>
                        </w:div>
                      </w:divsChild>
                    </w:div>
                    <w:div w:id="294141400">
                      <w:marLeft w:val="0"/>
                      <w:marRight w:val="0"/>
                      <w:marTop w:val="0"/>
                      <w:marBottom w:val="0"/>
                      <w:divBdr>
                        <w:top w:val="none" w:sz="0" w:space="0" w:color="auto"/>
                        <w:left w:val="none" w:sz="0" w:space="0" w:color="auto"/>
                        <w:bottom w:val="none" w:sz="0" w:space="0" w:color="auto"/>
                        <w:right w:val="none" w:sz="0" w:space="0" w:color="auto"/>
                      </w:divBdr>
                    </w:div>
                    <w:div w:id="294141416">
                      <w:marLeft w:val="0"/>
                      <w:marRight w:val="0"/>
                      <w:marTop w:val="0"/>
                      <w:marBottom w:val="0"/>
                      <w:divBdr>
                        <w:top w:val="none" w:sz="0" w:space="0" w:color="auto"/>
                        <w:left w:val="none" w:sz="0" w:space="0" w:color="auto"/>
                        <w:bottom w:val="none" w:sz="0" w:space="0" w:color="auto"/>
                        <w:right w:val="none" w:sz="0" w:space="0" w:color="auto"/>
                      </w:divBdr>
                    </w:div>
                    <w:div w:id="294141477">
                      <w:marLeft w:val="0"/>
                      <w:marRight w:val="0"/>
                      <w:marTop w:val="0"/>
                      <w:marBottom w:val="0"/>
                      <w:divBdr>
                        <w:top w:val="none" w:sz="0" w:space="0" w:color="auto"/>
                        <w:left w:val="none" w:sz="0" w:space="0" w:color="auto"/>
                        <w:bottom w:val="none" w:sz="0" w:space="0" w:color="auto"/>
                        <w:right w:val="none" w:sz="0" w:space="0" w:color="auto"/>
                      </w:divBdr>
                    </w:div>
                    <w:div w:id="294141499">
                      <w:marLeft w:val="0"/>
                      <w:marRight w:val="0"/>
                      <w:marTop w:val="0"/>
                      <w:marBottom w:val="0"/>
                      <w:divBdr>
                        <w:top w:val="none" w:sz="0" w:space="0" w:color="auto"/>
                        <w:left w:val="none" w:sz="0" w:space="0" w:color="auto"/>
                        <w:bottom w:val="none" w:sz="0" w:space="0" w:color="auto"/>
                        <w:right w:val="none" w:sz="0" w:space="0" w:color="auto"/>
                      </w:divBdr>
                    </w:div>
                    <w:div w:id="294141673">
                      <w:marLeft w:val="0"/>
                      <w:marRight w:val="0"/>
                      <w:marTop w:val="0"/>
                      <w:marBottom w:val="0"/>
                      <w:divBdr>
                        <w:top w:val="none" w:sz="0" w:space="0" w:color="auto"/>
                        <w:left w:val="none" w:sz="0" w:space="0" w:color="auto"/>
                        <w:bottom w:val="none" w:sz="0" w:space="0" w:color="auto"/>
                        <w:right w:val="none" w:sz="0" w:space="0" w:color="auto"/>
                      </w:divBdr>
                      <w:divsChild>
                        <w:div w:id="294143975">
                          <w:marLeft w:val="0"/>
                          <w:marRight w:val="0"/>
                          <w:marTop w:val="0"/>
                          <w:marBottom w:val="0"/>
                          <w:divBdr>
                            <w:top w:val="none" w:sz="0" w:space="0" w:color="auto"/>
                            <w:left w:val="none" w:sz="0" w:space="0" w:color="auto"/>
                            <w:bottom w:val="none" w:sz="0" w:space="0" w:color="auto"/>
                            <w:right w:val="none" w:sz="0" w:space="0" w:color="auto"/>
                          </w:divBdr>
                        </w:div>
                      </w:divsChild>
                    </w:div>
                    <w:div w:id="294141693">
                      <w:marLeft w:val="0"/>
                      <w:marRight w:val="0"/>
                      <w:marTop w:val="0"/>
                      <w:marBottom w:val="0"/>
                      <w:divBdr>
                        <w:top w:val="none" w:sz="0" w:space="0" w:color="auto"/>
                        <w:left w:val="none" w:sz="0" w:space="0" w:color="auto"/>
                        <w:bottom w:val="none" w:sz="0" w:space="0" w:color="auto"/>
                        <w:right w:val="none" w:sz="0" w:space="0" w:color="auto"/>
                      </w:divBdr>
                      <w:divsChild>
                        <w:div w:id="294144820">
                          <w:marLeft w:val="0"/>
                          <w:marRight w:val="0"/>
                          <w:marTop w:val="0"/>
                          <w:marBottom w:val="0"/>
                          <w:divBdr>
                            <w:top w:val="none" w:sz="0" w:space="0" w:color="auto"/>
                            <w:left w:val="none" w:sz="0" w:space="0" w:color="auto"/>
                            <w:bottom w:val="none" w:sz="0" w:space="0" w:color="auto"/>
                            <w:right w:val="none" w:sz="0" w:space="0" w:color="auto"/>
                          </w:divBdr>
                        </w:div>
                      </w:divsChild>
                    </w:div>
                    <w:div w:id="294141699">
                      <w:marLeft w:val="0"/>
                      <w:marRight w:val="0"/>
                      <w:marTop w:val="0"/>
                      <w:marBottom w:val="0"/>
                      <w:divBdr>
                        <w:top w:val="none" w:sz="0" w:space="0" w:color="auto"/>
                        <w:left w:val="none" w:sz="0" w:space="0" w:color="auto"/>
                        <w:bottom w:val="none" w:sz="0" w:space="0" w:color="auto"/>
                        <w:right w:val="none" w:sz="0" w:space="0" w:color="auto"/>
                      </w:divBdr>
                      <w:divsChild>
                        <w:div w:id="294145919">
                          <w:marLeft w:val="0"/>
                          <w:marRight w:val="0"/>
                          <w:marTop w:val="0"/>
                          <w:marBottom w:val="0"/>
                          <w:divBdr>
                            <w:top w:val="none" w:sz="0" w:space="0" w:color="auto"/>
                            <w:left w:val="none" w:sz="0" w:space="0" w:color="auto"/>
                            <w:bottom w:val="none" w:sz="0" w:space="0" w:color="auto"/>
                            <w:right w:val="none" w:sz="0" w:space="0" w:color="auto"/>
                          </w:divBdr>
                        </w:div>
                      </w:divsChild>
                    </w:div>
                    <w:div w:id="294141732">
                      <w:marLeft w:val="0"/>
                      <w:marRight w:val="0"/>
                      <w:marTop w:val="0"/>
                      <w:marBottom w:val="0"/>
                      <w:divBdr>
                        <w:top w:val="none" w:sz="0" w:space="0" w:color="auto"/>
                        <w:left w:val="none" w:sz="0" w:space="0" w:color="auto"/>
                        <w:bottom w:val="none" w:sz="0" w:space="0" w:color="auto"/>
                        <w:right w:val="none" w:sz="0" w:space="0" w:color="auto"/>
                      </w:divBdr>
                    </w:div>
                    <w:div w:id="294141733">
                      <w:marLeft w:val="0"/>
                      <w:marRight w:val="0"/>
                      <w:marTop w:val="0"/>
                      <w:marBottom w:val="0"/>
                      <w:divBdr>
                        <w:top w:val="none" w:sz="0" w:space="0" w:color="auto"/>
                        <w:left w:val="none" w:sz="0" w:space="0" w:color="auto"/>
                        <w:bottom w:val="none" w:sz="0" w:space="0" w:color="auto"/>
                        <w:right w:val="none" w:sz="0" w:space="0" w:color="auto"/>
                      </w:divBdr>
                    </w:div>
                    <w:div w:id="294141791">
                      <w:marLeft w:val="0"/>
                      <w:marRight w:val="0"/>
                      <w:marTop w:val="0"/>
                      <w:marBottom w:val="0"/>
                      <w:divBdr>
                        <w:top w:val="none" w:sz="0" w:space="0" w:color="auto"/>
                        <w:left w:val="none" w:sz="0" w:space="0" w:color="auto"/>
                        <w:bottom w:val="none" w:sz="0" w:space="0" w:color="auto"/>
                        <w:right w:val="none" w:sz="0" w:space="0" w:color="auto"/>
                      </w:divBdr>
                    </w:div>
                    <w:div w:id="294141815">
                      <w:marLeft w:val="0"/>
                      <w:marRight w:val="0"/>
                      <w:marTop w:val="0"/>
                      <w:marBottom w:val="0"/>
                      <w:divBdr>
                        <w:top w:val="none" w:sz="0" w:space="0" w:color="auto"/>
                        <w:left w:val="none" w:sz="0" w:space="0" w:color="auto"/>
                        <w:bottom w:val="none" w:sz="0" w:space="0" w:color="auto"/>
                        <w:right w:val="none" w:sz="0" w:space="0" w:color="auto"/>
                      </w:divBdr>
                    </w:div>
                    <w:div w:id="294141832">
                      <w:marLeft w:val="0"/>
                      <w:marRight w:val="0"/>
                      <w:marTop w:val="0"/>
                      <w:marBottom w:val="0"/>
                      <w:divBdr>
                        <w:top w:val="none" w:sz="0" w:space="0" w:color="auto"/>
                        <w:left w:val="none" w:sz="0" w:space="0" w:color="auto"/>
                        <w:bottom w:val="none" w:sz="0" w:space="0" w:color="auto"/>
                        <w:right w:val="none" w:sz="0" w:space="0" w:color="auto"/>
                      </w:divBdr>
                      <w:divsChild>
                        <w:div w:id="294142519">
                          <w:marLeft w:val="0"/>
                          <w:marRight w:val="0"/>
                          <w:marTop w:val="0"/>
                          <w:marBottom w:val="0"/>
                          <w:divBdr>
                            <w:top w:val="none" w:sz="0" w:space="0" w:color="auto"/>
                            <w:left w:val="none" w:sz="0" w:space="0" w:color="auto"/>
                            <w:bottom w:val="none" w:sz="0" w:space="0" w:color="auto"/>
                            <w:right w:val="none" w:sz="0" w:space="0" w:color="auto"/>
                          </w:divBdr>
                        </w:div>
                      </w:divsChild>
                    </w:div>
                    <w:div w:id="294141862">
                      <w:marLeft w:val="0"/>
                      <w:marRight w:val="0"/>
                      <w:marTop w:val="0"/>
                      <w:marBottom w:val="0"/>
                      <w:divBdr>
                        <w:top w:val="none" w:sz="0" w:space="0" w:color="auto"/>
                        <w:left w:val="none" w:sz="0" w:space="0" w:color="auto"/>
                        <w:bottom w:val="none" w:sz="0" w:space="0" w:color="auto"/>
                        <w:right w:val="none" w:sz="0" w:space="0" w:color="auto"/>
                      </w:divBdr>
                      <w:divsChild>
                        <w:div w:id="294138065">
                          <w:marLeft w:val="0"/>
                          <w:marRight w:val="0"/>
                          <w:marTop w:val="0"/>
                          <w:marBottom w:val="0"/>
                          <w:divBdr>
                            <w:top w:val="none" w:sz="0" w:space="0" w:color="auto"/>
                            <w:left w:val="none" w:sz="0" w:space="0" w:color="auto"/>
                            <w:bottom w:val="none" w:sz="0" w:space="0" w:color="auto"/>
                            <w:right w:val="none" w:sz="0" w:space="0" w:color="auto"/>
                          </w:divBdr>
                        </w:div>
                      </w:divsChild>
                    </w:div>
                    <w:div w:id="294141917">
                      <w:marLeft w:val="0"/>
                      <w:marRight w:val="0"/>
                      <w:marTop w:val="0"/>
                      <w:marBottom w:val="0"/>
                      <w:divBdr>
                        <w:top w:val="none" w:sz="0" w:space="0" w:color="auto"/>
                        <w:left w:val="none" w:sz="0" w:space="0" w:color="auto"/>
                        <w:bottom w:val="none" w:sz="0" w:space="0" w:color="auto"/>
                        <w:right w:val="none" w:sz="0" w:space="0" w:color="auto"/>
                      </w:divBdr>
                    </w:div>
                    <w:div w:id="294141955">
                      <w:marLeft w:val="0"/>
                      <w:marRight w:val="0"/>
                      <w:marTop w:val="0"/>
                      <w:marBottom w:val="0"/>
                      <w:divBdr>
                        <w:top w:val="none" w:sz="0" w:space="0" w:color="auto"/>
                        <w:left w:val="none" w:sz="0" w:space="0" w:color="auto"/>
                        <w:bottom w:val="none" w:sz="0" w:space="0" w:color="auto"/>
                        <w:right w:val="none" w:sz="0" w:space="0" w:color="auto"/>
                      </w:divBdr>
                      <w:divsChild>
                        <w:div w:id="294146169">
                          <w:marLeft w:val="0"/>
                          <w:marRight w:val="0"/>
                          <w:marTop w:val="0"/>
                          <w:marBottom w:val="0"/>
                          <w:divBdr>
                            <w:top w:val="none" w:sz="0" w:space="0" w:color="auto"/>
                            <w:left w:val="none" w:sz="0" w:space="0" w:color="auto"/>
                            <w:bottom w:val="none" w:sz="0" w:space="0" w:color="auto"/>
                            <w:right w:val="none" w:sz="0" w:space="0" w:color="auto"/>
                          </w:divBdr>
                        </w:div>
                      </w:divsChild>
                    </w:div>
                    <w:div w:id="294141956">
                      <w:marLeft w:val="0"/>
                      <w:marRight w:val="0"/>
                      <w:marTop w:val="0"/>
                      <w:marBottom w:val="0"/>
                      <w:divBdr>
                        <w:top w:val="none" w:sz="0" w:space="0" w:color="auto"/>
                        <w:left w:val="none" w:sz="0" w:space="0" w:color="auto"/>
                        <w:bottom w:val="none" w:sz="0" w:space="0" w:color="auto"/>
                        <w:right w:val="none" w:sz="0" w:space="0" w:color="auto"/>
                      </w:divBdr>
                      <w:divsChild>
                        <w:div w:id="294155102">
                          <w:marLeft w:val="0"/>
                          <w:marRight w:val="0"/>
                          <w:marTop w:val="0"/>
                          <w:marBottom w:val="0"/>
                          <w:divBdr>
                            <w:top w:val="none" w:sz="0" w:space="0" w:color="auto"/>
                            <w:left w:val="none" w:sz="0" w:space="0" w:color="auto"/>
                            <w:bottom w:val="none" w:sz="0" w:space="0" w:color="auto"/>
                            <w:right w:val="none" w:sz="0" w:space="0" w:color="auto"/>
                          </w:divBdr>
                        </w:div>
                      </w:divsChild>
                    </w:div>
                    <w:div w:id="294142061">
                      <w:marLeft w:val="0"/>
                      <w:marRight w:val="0"/>
                      <w:marTop w:val="0"/>
                      <w:marBottom w:val="0"/>
                      <w:divBdr>
                        <w:top w:val="none" w:sz="0" w:space="0" w:color="auto"/>
                        <w:left w:val="none" w:sz="0" w:space="0" w:color="auto"/>
                        <w:bottom w:val="none" w:sz="0" w:space="0" w:color="auto"/>
                        <w:right w:val="none" w:sz="0" w:space="0" w:color="auto"/>
                      </w:divBdr>
                      <w:divsChild>
                        <w:div w:id="294151550">
                          <w:marLeft w:val="0"/>
                          <w:marRight w:val="0"/>
                          <w:marTop w:val="0"/>
                          <w:marBottom w:val="0"/>
                          <w:divBdr>
                            <w:top w:val="none" w:sz="0" w:space="0" w:color="auto"/>
                            <w:left w:val="none" w:sz="0" w:space="0" w:color="auto"/>
                            <w:bottom w:val="none" w:sz="0" w:space="0" w:color="auto"/>
                            <w:right w:val="none" w:sz="0" w:space="0" w:color="auto"/>
                          </w:divBdr>
                        </w:div>
                      </w:divsChild>
                    </w:div>
                    <w:div w:id="294142065">
                      <w:marLeft w:val="0"/>
                      <w:marRight w:val="0"/>
                      <w:marTop w:val="0"/>
                      <w:marBottom w:val="0"/>
                      <w:divBdr>
                        <w:top w:val="none" w:sz="0" w:space="0" w:color="auto"/>
                        <w:left w:val="none" w:sz="0" w:space="0" w:color="auto"/>
                        <w:bottom w:val="none" w:sz="0" w:space="0" w:color="auto"/>
                        <w:right w:val="none" w:sz="0" w:space="0" w:color="auto"/>
                      </w:divBdr>
                    </w:div>
                    <w:div w:id="294142083">
                      <w:marLeft w:val="0"/>
                      <w:marRight w:val="0"/>
                      <w:marTop w:val="0"/>
                      <w:marBottom w:val="0"/>
                      <w:divBdr>
                        <w:top w:val="none" w:sz="0" w:space="0" w:color="auto"/>
                        <w:left w:val="none" w:sz="0" w:space="0" w:color="auto"/>
                        <w:bottom w:val="none" w:sz="0" w:space="0" w:color="auto"/>
                        <w:right w:val="none" w:sz="0" w:space="0" w:color="auto"/>
                      </w:divBdr>
                    </w:div>
                    <w:div w:id="294142118">
                      <w:marLeft w:val="0"/>
                      <w:marRight w:val="0"/>
                      <w:marTop w:val="0"/>
                      <w:marBottom w:val="0"/>
                      <w:divBdr>
                        <w:top w:val="none" w:sz="0" w:space="0" w:color="auto"/>
                        <w:left w:val="none" w:sz="0" w:space="0" w:color="auto"/>
                        <w:bottom w:val="none" w:sz="0" w:space="0" w:color="auto"/>
                        <w:right w:val="none" w:sz="0" w:space="0" w:color="auto"/>
                      </w:divBdr>
                    </w:div>
                    <w:div w:id="294142124">
                      <w:marLeft w:val="0"/>
                      <w:marRight w:val="0"/>
                      <w:marTop w:val="0"/>
                      <w:marBottom w:val="0"/>
                      <w:divBdr>
                        <w:top w:val="none" w:sz="0" w:space="0" w:color="auto"/>
                        <w:left w:val="none" w:sz="0" w:space="0" w:color="auto"/>
                        <w:bottom w:val="none" w:sz="0" w:space="0" w:color="auto"/>
                        <w:right w:val="none" w:sz="0" w:space="0" w:color="auto"/>
                      </w:divBdr>
                      <w:divsChild>
                        <w:div w:id="294150656">
                          <w:marLeft w:val="0"/>
                          <w:marRight w:val="0"/>
                          <w:marTop w:val="0"/>
                          <w:marBottom w:val="0"/>
                          <w:divBdr>
                            <w:top w:val="none" w:sz="0" w:space="0" w:color="auto"/>
                            <w:left w:val="none" w:sz="0" w:space="0" w:color="auto"/>
                            <w:bottom w:val="none" w:sz="0" w:space="0" w:color="auto"/>
                            <w:right w:val="none" w:sz="0" w:space="0" w:color="auto"/>
                          </w:divBdr>
                        </w:div>
                      </w:divsChild>
                    </w:div>
                    <w:div w:id="294142131">
                      <w:marLeft w:val="0"/>
                      <w:marRight w:val="0"/>
                      <w:marTop w:val="0"/>
                      <w:marBottom w:val="0"/>
                      <w:divBdr>
                        <w:top w:val="none" w:sz="0" w:space="0" w:color="auto"/>
                        <w:left w:val="none" w:sz="0" w:space="0" w:color="auto"/>
                        <w:bottom w:val="none" w:sz="0" w:space="0" w:color="auto"/>
                        <w:right w:val="none" w:sz="0" w:space="0" w:color="auto"/>
                      </w:divBdr>
                    </w:div>
                    <w:div w:id="294142152">
                      <w:marLeft w:val="0"/>
                      <w:marRight w:val="0"/>
                      <w:marTop w:val="0"/>
                      <w:marBottom w:val="0"/>
                      <w:divBdr>
                        <w:top w:val="none" w:sz="0" w:space="0" w:color="auto"/>
                        <w:left w:val="none" w:sz="0" w:space="0" w:color="auto"/>
                        <w:bottom w:val="none" w:sz="0" w:space="0" w:color="auto"/>
                        <w:right w:val="none" w:sz="0" w:space="0" w:color="auto"/>
                      </w:divBdr>
                      <w:divsChild>
                        <w:div w:id="294140318">
                          <w:marLeft w:val="0"/>
                          <w:marRight w:val="0"/>
                          <w:marTop w:val="0"/>
                          <w:marBottom w:val="0"/>
                          <w:divBdr>
                            <w:top w:val="none" w:sz="0" w:space="0" w:color="auto"/>
                            <w:left w:val="none" w:sz="0" w:space="0" w:color="auto"/>
                            <w:bottom w:val="none" w:sz="0" w:space="0" w:color="auto"/>
                            <w:right w:val="none" w:sz="0" w:space="0" w:color="auto"/>
                          </w:divBdr>
                        </w:div>
                      </w:divsChild>
                    </w:div>
                    <w:div w:id="294142247">
                      <w:marLeft w:val="0"/>
                      <w:marRight w:val="0"/>
                      <w:marTop w:val="0"/>
                      <w:marBottom w:val="0"/>
                      <w:divBdr>
                        <w:top w:val="none" w:sz="0" w:space="0" w:color="auto"/>
                        <w:left w:val="none" w:sz="0" w:space="0" w:color="auto"/>
                        <w:bottom w:val="none" w:sz="0" w:space="0" w:color="auto"/>
                        <w:right w:val="none" w:sz="0" w:space="0" w:color="auto"/>
                      </w:divBdr>
                    </w:div>
                    <w:div w:id="294142254">
                      <w:marLeft w:val="0"/>
                      <w:marRight w:val="0"/>
                      <w:marTop w:val="0"/>
                      <w:marBottom w:val="0"/>
                      <w:divBdr>
                        <w:top w:val="none" w:sz="0" w:space="0" w:color="auto"/>
                        <w:left w:val="none" w:sz="0" w:space="0" w:color="auto"/>
                        <w:bottom w:val="none" w:sz="0" w:space="0" w:color="auto"/>
                        <w:right w:val="none" w:sz="0" w:space="0" w:color="auto"/>
                      </w:divBdr>
                    </w:div>
                    <w:div w:id="294142350">
                      <w:marLeft w:val="0"/>
                      <w:marRight w:val="0"/>
                      <w:marTop w:val="0"/>
                      <w:marBottom w:val="0"/>
                      <w:divBdr>
                        <w:top w:val="none" w:sz="0" w:space="0" w:color="auto"/>
                        <w:left w:val="none" w:sz="0" w:space="0" w:color="auto"/>
                        <w:bottom w:val="none" w:sz="0" w:space="0" w:color="auto"/>
                        <w:right w:val="none" w:sz="0" w:space="0" w:color="auto"/>
                      </w:divBdr>
                    </w:div>
                    <w:div w:id="294142387">
                      <w:marLeft w:val="0"/>
                      <w:marRight w:val="0"/>
                      <w:marTop w:val="0"/>
                      <w:marBottom w:val="0"/>
                      <w:divBdr>
                        <w:top w:val="none" w:sz="0" w:space="0" w:color="auto"/>
                        <w:left w:val="none" w:sz="0" w:space="0" w:color="auto"/>
                        <w:bottom w:val="none" w:sz="0" w:space="0" w:color="auto"/>
                        <w:right w:val="none" w:sz="0" w:space="0" w:color="auto"/>
                      </w:divBdr>
                    </w:div>
                    <w:div w:id="294142407">
                      <w:marLeft w:val="0"/>
                      <w:marRight w:val="0"/>
                      <w:marTop w:val="0"/>
                      <w:marBottom w:val="0"/>
                      <w:divBdr>
                        <w:top w:val="none" w:sz="0" w:space="0" w:color="auto"/>
                        <w:left w:val="none" w:sz="0" w:space="0" w:color="auto"/>
                        <w:bottom w:val="none" w:sz="0" w:space="0" w:color="auto"/>
                        <w:right w:val="none" w:sz="0" w:space="0" w:color="auto"/>
                      </w:divBdr>
                    </w:div>
                    <w:div w:id="294142458">
                      <w:marLeft w:val="0"/>
                      <w:marRight w:val="0"/>
                      <w:marTop w:val="0"/>
                      <w:marBottom w:val="0"/>
                      <w:divBdr>
                        <w:top w:val="none" w:sz="0" w:space="0" w:color="auto"/>
                        <w:left w:val="none" w:sz="0" w:space="0" w:color="auto"/>
                        <w:bottom w:val="none" w:sz="0" w:space="0" w:color="auto"/>
                        <w:right w:val="none" w:sz="0" w:space="0" w:color="auto"/>
                      </w:divBdr>
                    </w:div>
                    <w:div w:id="294142495">
                      <w:marLeft w:val="0"/>
                      <w:marRight w:val="0"/>
                      <w:marTop w:val="0"/>
                      <w:marBottom w:val="0"/>
                      <w:divBdr>
                        <w:top w:val="none" w:sz="0" w:space="0" w:color="auto"/>
                        <w:left w:val="none" w:sz="0" w:space="0" w:color="auto"/>
                        <w:bottom w:val="none" w:sz="0" w:space="0" w:color="auto"/>
                        <w:right w:val="none" w:sz="0" w:space="0" w:color="auto"/>
                      </w:divBdr>
                      <w:divsChild>
                        <w:div w:id="294145305">
                          <w:marLeft w:val="0"/>
                          <w:marRight w:val="0"/>
                          <w:marTop w:val="0"/>
                          <w:marBottom w:val="0"/>
                          <w:divBdr>
                            <w:top w:val="none" w:sz="0" w:space="0" w:color="auto"/>
                            <w:left w:val="none" w:sz="0" w:space="0" w:color="auto"/>
                            <w:bottom w:val="none" w:sz="0" w:space="0" w:color="auto"/>
                            <w:right w:val="none" w:sz="0" w:space="0" w:color="auto"/>
                          </w:divBdr>
                        </w:div>
                      </w:divsChild>
                    </w:div>
                    <w:div w:id="294142511">
                      <w:marLeft w:val="0"/>
                      <w:marRight w:val="0"/>
                      <w:marTop w:val="0"/>
                      <w:marBottom w:val="0"/>
                      <w:divBdr>
                        <w:top w:val="none" w:sz="0" w:space="0" w:color="auto"/>
                        <w:left w:val="none" w:sz="0" w:space="0" w:color="auto"/>
                        <w:bottom w:val="none" w:sz="0" w:space="0" w:color="auto"/>
                        <w:right w:val="none" w:sz="0" w:space="0" w:color="auto"/>
                      </w:divBdr>
                      <w:divsChild>
                        <w:div w:id="294150249">
                          <w:marLeft w:val="0"/>
                          <w:marRight w:val="0"/>
                          <w:marTop w:val="0"/>
                          <w:marBottom w:val="0"/>
                          <w:divBdr>
                            <w:top w:val="none" w:sz="0" w:space="0" w:color="auto"/>
                            <w:left w:val="none" w:sz="0" w:space="0" w:color="auto"/>
                            <w:bottom w:val="none" w:sz="0" w:space="0" w:color="auto"/>
                            <w:right w:val="none" w:sz="0" w:space="0" w:color="auto"/>
                          </w:divBdr>
                        </w:div>
                      </w:divsChild>
                    </w:div>
                    <w:div w:id="294142513">
                      <w:marLeft w:val="0"/>
                      <w:marRight w:val="0"/>
                      <w:marTop w:val="0"/>
                      <w:marBottom w:val="0"/>
                      <w:divBdr>
                        <w:top w:val="none" w:sz="0" w:space="0" w:color="auto"/>
                        <w:left w:val="none" w:sz="0" w:space="0" w:color="auto"/>
                        <w:bottom w:val="none" w:sz="0" w:space="0" w:color="auto"/>
                        <w:right w:val="none" w:sz="0" w:space="0" w:color="auto"/>
                      </w:divBdr>
                    </w:div>
                    <w:div w:id="294142562">
                      <w:marLeft w:val="0"/>
                      <w:marRight w:val="0"/>
                      <w:marTop w:val="0"/>
                      <w:marBottom w:val="0"/>
                      <w:divBdr>
                        <w:top w:val="none" w:sz="0" w:space="0" w:color="auto"/>
                        <w:left w:val="none" w:sz="0" w:space="0" w:color="auto"/>
                        <w:bottom w:val="none" w:sz="0" w:space="0" w:color="auto"/>
                        <w:right w:val="none" w:sz="0" w:space="0" w:color="auto"/>
                      </w:divBdr>
                      <w:divsChild>
                        <w:div w:id="294142535">
                          <w:marLeft w:val="0"/>
                          <w:marRight w:val="0"/>
                          <w:marTop w:val="0"/>
                          <w:marBottom w:val="0"/>
                          <w:divBdr>
                            <w:top w:val="none" w:sz="0" w:space="0" w:color="auto"/>
                            <w:left w:val="none" w:sz="0" w:space="0" w:color="auto"/>
                            <w:bottom w:val="none" w:sz="0" w:space="0" w:color="auto"/>
                            <w:right w:val="none" w:sz="0" w:space="0" w:color="auto"/>
                          </w:divBdr>
                        </w:div>
                      </w:divsChild>
                    </w:div>
                    <w:div w:id="294142570">
                      <w:marLeft w:val="0"/>
                      <w:marRight w:val="0"/>
                      <w:marTop w:val="0"/>
                      <w:marBottom w:val="0"/>
                      <w:divBdr>
                        <w:top w:val="none" w:sz="0" w:space="0" w:color="auto"/>
                        <w:left w:val="none" w:sz="0" w:space="0" w:color="auto"/>
                        <w:bottom w:val="none" w:sz="0" w:space="0" w:color="auto"/>
                        <w:right w:val="none" w:sz="0" w:space="0" w:color="auto"/>
                      </w:divBdr>
                      <w:divsChild>
                        <w:div w:id="294156788">
                          <w:marLeft w:val="0"/>
                          <w:marRight w:val="0"/>
                          <w:marTop w:val="0"/>
                          <w:marBottom w:val="0"/>
                          <w:divBdr>
                            <w:top w:val="none" w:sz="0" w:space="0" w:color="auto"/>
                            <w:left w:val="none" w:sz="0" w:space="0" w:color="auto"/>
                            <w:bottom w:val="none" w:sz="0" w:space="0" w:color="auto"/>
                            <w:right w:val="none" w:sz="0" w:space="0" w:color="auto"/>
                          </w:divBdr>
                        </w:div>
                      </w:divsChild>
                    </w:div>
                    <w:div w:id="294142594">
                      <w:marLeft w:val="0"/>
                      <w:marRight w:val="0"/>
                      <w:marTop w:val="0"/>
                      <w:marBottom w:val="0"/>
                      <w:divBdr>
                        <w:top w:val="none" w:sz="0" w:space="0" w:color="auto"/>
                        <w:left w:val="none" w:sz="0" w:space="0" w:color="auto"/>
                        <w:bottom w:val="none" w:sz="0" w:space="0" w:color="auto"/>
                        <w:right w:val="none" w:sz="0" w:space="0" w:color="auto"/>
                      </w:divBdr>
                    </w:div>
                    <w:div w:id="294142605">
                      <w:marLeft w:val="0"/>
                      <w:marRight w:val="0"/>
                      <w:marTop w:val="0"/>
                      <w:marBottom w:val="0"/>
                      <w:divBdr>
                        <w:top w:val="none" w:sz="0" w:space="0" w:color="auto"/>
                        <w:left w:val="none" w:sz="0" w:space="0" w:color="auto"/>
                        <w:bottom w:val="none" w:sz="0" w:space="0" w:color="auto"/>
                        <w:right w:val="none" w:sz="0" w:space="0" w:color="auto"/>
                      </w:divBdr>
                    </w:div>
                    <w:div w:id="294142618">
                      <w:marLeft w:val="0"/>
                      <w:marRight w:val="0"/>
                      <w:marTop w:val="0"/>
                      <w:marBottom w:val="0"/>
                      <w:divBdr>
                        <w:top w:val="none" w:sz="0" w:space="0" w:color="auto"/>
                        <w:left w:val="none" w:sz="0" w:space="0" w:color="auto"/>
                        <w:bottom w:val="none" w:sz="0" w:space="0" w:color="auto"/>
                        <w:right w:val="none" w:sz="0" w:space="0" w:color="auto"/>
                      </w:divBdr>
                      <w:divsChild>
                        <w:div w:id="294140829">
                          <w:marLeft w:val="0"/>
                          <w:marRight w:val="0"/>
                          <w:marTop w:val="0"/>
                          <w:marBottom w:val="0"/>
                          <w:divBdr>
                            <w:top w:val="none" w:sz="0" w:space="0" w:color="auto"/>
                            <w:left w:val="none" w:sz="0" w:space="0" w:color="auto"/>
                            <w:bottom w:val="none" w:sz="0" w:space="0" w:color="auto"/>
                            <w:right w:val="none" w:sz="0" w:space="0" w:color="auto"/>
                          </w:divBdr>
                        </w:div>
                      </w:divsChild>
                    </w:div>
                    <w:div w:id="294142649">
                      <w:marLeft w:val="0"/>
                      <w:marRight w:val="0"/>
                      <w:marTop w:val="0"/>
                      <w:marBottom w:val="0"/>
                      <w:divBdr>
                        <w:top w:val="none" w:sz="0" w:space="0" w:color="auto"/>
                        <w:left w:val="none" w:sz="0" w:space="0" w:color="auto"/>
                        <w:bottom w:val="none" w:sz="0" w:space="0" w:color="auto"/>
                        <w:right w:val="none" w:sz="0" w:space="0" w:color="auto"/>
                      </w:divBdr>
                      <w:divsChild>
                        <w:div w:id="294145274">
                          <w:marLeft w:val="0"/>
                          <w:marRight w:val="0"/>
                          <w:marTop w:val="0"/>
                          <w:marBottom w:val="0"/>
                          <w:divBdr>
                            <w:top w:val="none" w:sz="0" w:space="0" w:color="auto"/>
                            <w:left w:val="none" w:sz="0" w:space="0" w:color="auto"/>
                            <w:bottom w:val="none" w:sz="0" w:space="0" w:color="auto"/>
                            <w:right w:val="none" w:sz="0" w:space="0" w:color="auto"/>
                          </w:divBdr>
                        </w:div>
                      </w:divsChild>
                    </w:div>
                    <w:div w:id="294142680">
                      <w:marLeft w:val="0"/>
                      <w:marRight w:val="0"/>
                      <w:marTop w:val="0"/>
                      <w:marBottom w:val="0"/>
                      <w:divBdr>
                        <w:top w:val="none" w:sz="0" w:space="0" w:color="auto"/>
                        <w:left w:val="none" w:sz="0" w:space="0" w:color="auto"/>
                        <w:bottom w:val="none" w:sz="0" w:space="0" w:color="auto"/>
                        <w:right w:val="none" w:sz="0" w:space="0" w:color="auto"/>
                      </w:divBdr>
                    </w:div>
                    <w:div w:id="294142815">
                      <w:marLeft w:val="0"/>
                      <w:marRight w:val="0"/>
                      <w:marTop w:val="0"/>
                      <w:marBottom w:val="0"/>
                      <w:divBdr>
                        <w:top w:val="none" w:sz="0" w:space="0" w:color="auto"/>
                        <w:left w:val="none" w:sz="0" w:space="0" w:color="auto"/>
                        <w:bottom w:val="none" w:sz="0" w:space="0" w:color="auto"/>
                        <w:right w:val="none" w:sz="0" w:space="0" w:color="auto"/>
                      </w:divBdr>
                    </w:div>
                    <w:div w:id="294142866">
                      <w:marLeft w:val="0"/>
                      <w:marRight w:val="0"/>
                      <w:marTop w:val="0"/>
                      <w:marBottom w:val="0"/>
                      <w:divBdr>
                        <w:top w:val="none" w:sz="0" w:space="0" w:color="auto"/>
                        <w:left w:val="none" w:sz="0" w:space="0" w:color="auto"/>
                        <w:bottom w:val="none" w:sz="0" w:space="0" w:color="auto"/>
                        <w:right w:val="none" w:sz="0" w:space="0" w:color="auto"/>
                      </w:divBdr>
                    </w:div>
                    <w:div w:id="294142925">
                      <w:marLeft w:val="0"/>
                      <w:marRight w:val="0"/>
                      <w:marTop w:val="0"/>
                      <w:marBottom w:val="0"/>
                      <w:divBdr>
                        <w:top w:val="none" w:sz="0" w:space="0" w:color="auto"/>
                        <w:left w:val="none" w:sz="0" w:space="0" w:color="auto"/>
                        <w:bottom w:val="none" w:sz="0" w:space="0" w:color="auto"/>
                        <w:right w:val="none" w:sz="0" w:space="0" w:color="auto"/>
                      </w:divBdr>
                      <w:divsChild>
                        <w:div w:id="294148877">
                          <w:marLeft w:val="0"/>
                          <w:marRight w:val="0"/>
                          <w:marTop w:val="0"/>
                          <w:marBottom w:val="0"/>
                          <w:divBdr>
                            <w:top w:val="none" w:sz="0" w:space="0" w:color="auto"/>
                            <w:left w:val="none" w:sz="0" w:space="0" w:color="auto"/>
                            <w:bottom w:val="none" w:sz="0" w:space="0" w:color="auto"/>
                            <w:right w:val="none" w:sz="0" w:space="0" w:color="auto"/>
                          </w:divBdr>
                        </w:div>
                      </w:divsChild>
                    </w:div>
                    <w:div w:id="294142949">
                      <w:marLeft w:val="0"/>
                      <w:marRight w:val="0"/>
                      <w:marTop w:val="0"/>
                      <w:marBottom w:val="0"/>
                      <w:divBdr>
                        <w:top w:val="none" w:sz="0" w:space="0" w:color="auto"/>
                        <w:left w:val="none" w:sz="0" w:space="0" w:color="auto"/>
                        <w:bottom w:val="none" w:sz="0" w:space="0" w:color="auto"/>
                        <w:right w:val="none" w:sz="0" w:space="0" w:color="auto"/>
                      </w:divBdr>
                      <w:divsChild>
                        <w:div w:id="294145612">
                          <w:marLeft w:val="0"/>
                          <w:marRight w:val="0"/>
                          <w:marTop w:val="0"/>
                          <w:marBottom w:val="0"/>
                          <w:divBdr>
                            <w:top w:val="none" w:sz="0" w:space="0" w:color="auto"/>
                            <w:left w:val="none" w:sz="0" w:space="0" w:color="auto"/>
                            <w:bottom w:val="none" w:sz="0" w:space="0" w:color="auto"/>
                            <w:right w:val="none" w:sz="0" w:space="0" w:color="auto"/>
                          </w:divBdr>
                        </w:div>
                      </w:divsChild>
                    </w:div>
                    <w:div w:id="294143002">
                      <w:marLeft w:val="0"/>
                      <w:marRight w:val="0"/>
                      <w:marTop w:val="0"/>
                      <w:marBottom w:val="0"/>
                      <w:divBdr>
                        <w:top w:val="none" w:sz="0" w:space="0" w:color="auto"/>
                        <w:left w:val="none" w:sz="0" w:space="0" w:color="auto"/>
                        <w:bottom w:val="none" w:sz="0" w:space="0" w:color="auto"/>
                        <w:right w:val="none" w:sz="0" w:space="0" w:color="auto"/>
                      </w:divBdr>
                    </w:div>
                    <w:div w:id="294143022">
                      <w:marLeft w:val="0"/>
                      <w:marRight w:val="0"/>
                      <w:marTop w:val="0"/>
                      <w:marBottom w:val="0"/>
                      <w:divBdr>
                        <w:top w:val="none" w:sz="0" w:space="0" w:color="auto"/>
                        <w:left w:val="none" w:sz="0" w:space="0" w:color="auto"/>
                        <w:bottom w:val="none" w:sz="0" w:space="0" w:color="auto"/>
                        <w:right w:val="none" w:sz="0" w:space="0" w:color="auto"/>
                      </w:divBdr>
                    </w:div>
                    <w:div w:id="294143086">
                      <w:marLeft w:val="0"/>
                      <w:marRight w:val="0"/>
                      <w:marTop w:val="0"/>
                      <w:marBottom w:val="0"/>
                      <w:divBdr>
                        <w:top w:val="none" w:sz="0" w:space="0" w:color="auto"/>
                        <w:left w:val="none" w:sz="0" w:space="0" w:color="auto"/>
                        <w:bottom w:val="none" w:sz="0" w:space="0" w:color="auto"/>
                        <w:right w:val="none" w:sz="0" w:space="0" w:color="auto"/>
                      </w:divBdr>
                    </w:div>
                    <w:div w:id="294143104">
                      <w:marLeft w:val="0"/>
                      <w:marRight w:val="0"/>
                      <w:marTop w:val="0"/>
                      <w:marBottom w:val="0"/>
                      <w:divBdr>
                        <w:top w:val="none" w:sz="0" w:space="0" w:color="auto"/>
                        <w:left w:val="none" w:sz="0" w:space="0" w:color="auto"/>
                        <w:bottom w:val="none" w:sz="0" w:space="0" w:color="auto"/>
                        <w:right w:val="none" w:sz="0" w:space="0" w:color="auto"/>
                      </w:divBdr>
                    </w:div>
                    <w:div w:id="294143128">
                      <w:marLeft w:val="0"/>
                      <w:marRight w:val="0"/>
                      <w:marTop w:val="0"/>
                      <w:marBottom w:val="0"/>
                      <w:divBdr>
                        <w:top w:val="none" w:sz="0" w:space="0" w:color="auto"/>
                        <w:left w:val="none" w:sz="0" w:space="0" w:color="auto"/>
                        <w:bottom w:val="none" w:sz="0" w:space="0" w:color="auto"/>
                        <w:right w:val="none" w:sz="0" w:space="0" w:color="auto"/>
                      </w:divBdr>
                      <w:divsChild>
                        <w:div w:id="294140744">
                          <w:marLeft w:val="0"/>
                          <w:marRight w:val="0"/>
                          <w:marTop w:val="0"/>
                          <w:marBottom w:val="0"/>
                          <w:divBdr>
                            <w:top w:val="none" w:sz="0" w:space="0" w:color="auto"/>
                            <w:left w:val="none" w:sz="0" w:space="0" w:color="auto"/>
                            <w:bottom w:val="none" w:sz="0" w:space="0" w:color="auto"/>
                            <w:right w:val="none" w:sz="0" w:space="0" w:color="auto"/>
                          </w:divBdr>
                        </w:div>
                      </w:divsChild>
                    </w:div>
                    <w:div w:id="294143144">
                      <w:marLeft w:val="0"/>
                      <w:marRight w:val="0"/>
                      <w:marTop w:val="0"/>
                      <w:marBottom w:val="0"/>
                      <w:divBdr>
                        <w:top w:val="none" w:sz="0" w:space="0" w:color="auto"/>
                        <w:left w:val="none" w:sz="0" w:space="0" w:color="auto"/>
                        <w:bottom w:val="none" w:sz="0" w:space="0" w:color="auto"/>
                        <w:right w:val="none" w:sz="0" w:space="0" w:color="auto"/>
                      </w:divBdr>
                    </w:div>
                    <w:div w:id="294143341">
                      <w:marLeft w:val="0"/>
                      <w:marRight w:val="0"/>
                      <w:marTop w:val="0"/>
                      <w:marBottom w:val="0"/>
                      <w:divBdr>
                        <w:top w:val="none" w:sz="0" w:space="0" w:color="auto"/>
                        <w:left w:val="none" w:sz="0" w:space="0" w:color="auto"/>
                        <w:bottom w:val="none" w:sz="0" w:space="0" w:color="auto"/>
                        <w:right w:val="none" w:sz="0" w:space="0" w:color="auto"/>
                      </w:divBdr>
                    </w:div>
                    <w:div w:id="294143343">
                      <w:marLeft w:val="0"/>
                      <w:marRight w:val="0"/>
                      <w:marTop w:val="0"/>
                      <w:marBottom w:val="0"/>
                      <w:divBdr>
                        <w:top w:val="none" w:sz="0" w:space="0" w:color="auto"/>
                        <w:left w:val="none" w:sz="0" w:space="0" w:color="auto"/>
                        <w:bottom w:val="none" w:sz="0" w:space="0" w:color="auto"/>
                        <w:right w:val="none" w:sz="0" w:space="0" w:color="auto"/>
                      </w:divBdr>
                      <w:divsChild>
                        <w:div w:id="294147188">
                          <w:marLeft w:val="0"/>
                          <w:marRight w:val="0"/>
                          <w:marTop w:val="0"/>
                          <w:marBottom w:val="0"/>
                          <w:divBdr>
                            <w:top w:val="none" w:sz="0" w:space="0" w:color="auto"/>
                            <w:left w:val="none" w:sz="0" w:space="0" w:color="auto"/>
                            <w:bottom w:val="none" w:sz="0" w:space="0" w:color="auto"/>
                            <w:right w:val="none" w:sz="0" w:space="0" w:color="auto"/>
                          </w:divBdr>
                        </w:div>
                      </w:divsChild>
                    </w:div>
                    <w:div w:id="294143445">
                      <w:marLeft w:val="0"/>
                      <w:marRight w:val="0"/>
                      <w:marTop w:val="0"/>
                      <w:marBottom w:val="0"/>
                      <w:divBdr>
                        <w:top w:val="none" w:sz="0" w:space="0" w:color="auto"/>
                        <w:left w:val="none" w:sz="0" w:space="0" w:color="auto"/>
                        <w:bottom w:val="none" w:sz="0" w:space="0" w:color="auto"/>
                        <w:right w:val="none" w:sz="0" w:space="0" w:color="auto"/>
                      </w:divBdr>
                    </w:div>
                    <w:div w:id="294143501">
                      <w:marLeft w:val="0"/>
                      <w:marRight w:val="0"/>
                      <w:marTop w:val="0"/>
                      <w:marBottom w:val="0"/>
                      <w:divBdr>
                        <w:top w:val="none" w:sz="0" w:space="0" w:color="auto"/>
                        <w:left w:val="none" w:sz="0" w:space="0" w:color="auto"/>
                        <w:bottom w:val="none" w:sz="0" w:space="0" w:color="auto"/>
                        <w:right w:val="none" w:sz="0" w:space="0" w:color="auto"/>
                      </w:divBdr>
                    </w:div>
                    <w:div w:id="294143506">
                      <w:marLeft w:val="0"/>
                      <w:marRight w:val="0"/>
                      <w:marTop w:val="0"/>
                      <w:marBottom w:val="0"/>
                      <w:divBdr>
                        <w:top w:val="none" w:sz="0" w:space="0" w:color="auto"/>
                        <w:left w:val="none" w:sz="0" w:space="0" w:color="auto"/>
                        <w:bottom w:val="none" w:sz="0" w:space="0" w:color="auto"/>
                        <w:right w:val="none" w:sz="0" w:space="0" w:color="auto"/>
                      </w:divBdr>
                    </w:div>
                    <w:div w:id="294143509">
                      <w:marLeft w:val="0"/>
                      <w:marRight w:val="0"/>
                      <w:marTop w:val="0"/>
                      <w:marBottom w:val="0"/>
                      <w:divBdr>
                        <w:top w:val="none" w:sz="0" w:space="0" w:color="auto"/>
                        <w:left w:val="none" w:sz="0" w:space="0" w:color="auto"/>
                        <w:bottom w:val="none" w:sz="0" w:space="0" w:color="auto"/>
                        <w:right w:val="none" w:sz="0" w:space="0" w:color="auto"/>
                      </w:divBdr>
                    </w:div>
                    <w:div w:id="294143535">
                      <w:marLeft w:val="0"/>
                      <w:marRight w:val="0"/>
                      <w:marTop w:val="0"/>
                      <w:marBottom w:val="0"/>
                      <w:divBdr>
                        <w:top w:val="none" w:sz="0" w:space="0" w:color="auto"/>
                        <w:left w:val="none" w:sz="0" w:space="0" w:color="auto"/>
                        <w:bottom w:val="none" w:sz="0" w:space="0" w:color="auto"/>
                        <w:right w:val="none" w:sz="0" w:space="0" w:color="auto"/>
                      </w:divBdr>
                    </w:div>
                    <w:div w:id="294143544">
                      <w:marLeft w:val="0"/>
                      <w:marRight w:val="0"/>
                      <w:marTop w:val="0"/>
                      <w:marBottom w:val="0"/>
                      <w:divBdr>
                        <w:top w:val="none" w:sz="0" w:space="0" w:color="auto"/>
                        <w:left w:val="none" w:sz="0" w:space="0" w:color="auto"/>
                        <w:bottom w:val="none" w:sz="0" w:space="0" w:color="auto"/>
                        <w:right w:val="none" w:sz="0" w:space="0" w:color="auto"/>
                      </w:divBdr>
                    </w:div>
                    <w:div w:id="294143556">
                      <w:marLeft w:val="0"/>
                      <w:marRight w:val="0"/>
                      <w:marTop w:val="0"/>
                      <w:marBottom w:val="0"/>
                      <w:divBdr>
                        <w:top w:val="none" w:sz="0" w:space="0" w:color="auto"/>
                        <w:left w:val="none" w:sz="0" w:space="0" w:color="auto"/>
                        <w:bottom w:val="none" w:sz="0" w:space="0" w:color="auto"/>
                        <w:right w:val="none" w:sz="0" w:space="0" w:color="auto"/>
                      </w:divBdr>
                    </w:div>
                    <w:div w:id="294143729">
                      <w:marLeft w:val="0"/>
                      <w:marRight w:val="0"/>
                      <w:marTop w:val="0"/>
                      <w:marBottom w:val="0"/>
                      <w:divBdr>
                        <w:top w:val="none" w:sz="0" w:space="0" w:color="auto"/>
                        <w:left w:val="none" w:sz="0" w:space="0" w:color="auto"/>
                        <w:bottom w:val="none" w:sz="0" w:space="0" w:color="auto"/>
                        <w:right w:val="none" w:sz="0" w:space="0" w:color="auto"/>
                      </w:divBdr>
                      <w:divsChild>
                        <w:div w:id="294153200">
                          <w:marLeft w:val="0"/>
                          <w:marRight w:val="0"/>
                          <w:marTop w:val="0"/>
                          <w:marBottom w:val="0"/>
                          <w:divBdr>
                            <w:top w:val="none" w:sz="0" w:space="0" w:color="auto"/>
                            <w:left w:val="none" w:sz="0" w:space="0" w:color="auto"/>
                            <w:bottom w:val="none" w:sz="0" w:space="0" w:color="auto"/>
                            <w:right w:val="none" w:sz="0" w:space="0" w:color="auto"/>
                          </w:divBdr>
                        </w:div>
                      </w:divsChild>
                    </w:div>
                    <w:div w:id="294143734">
                      <w:marLeft w:val="0"/>
                      <w:marRight w:val="0"/>
                      <w:marTop w:val="0"/>
                      <w:marBottom w:val="0"/>
                      <w:divBdr>
                        <w:top w:val="none" w:sz="0" w:space="0" w:color="auto"/>
                        <w:left w:val="none" w:sz="0" w:space="0" w:color="auto"/>
                        <w:bottom w:val="none" w:sz="0" w:space="0" w:color="auto"/>
                        <w:right w:val="none" w:sz="0" w:space="0" w:color="auto"/>
                      </w:divBdr>
                    </w:div>
                    <w:div w:id="294143776">
                      <w:marLeft w:val="0"/>
                      <w:marRight w:val="0"/>
                      <w:marTop w:val="0"/>
                      <w:marBottom w:val="0"/>
                      <w:divBdr>
                        <w:top w:val="none" w:sz="0" w:space="0" w:color="auto"/>
                        <w:left w:val="none" w:sz="0" w:space="0" w:color="auto"/>
                        <w:bottom w:val="none" w:sz="0" w:space="0" w:color="auto"/>
                        <w:right w:val="none" w:sz="0" w:space="0" w:color="auto"/>
                      </w:divBdr>
                      <w:divsChild>
                        <w:div w:id="294153767">
                          <w:marLeft w:val="0"/>
                          <w:marRight w:val="0"/>
                          <w:marTop w:val="0"/>
                          <w:marBottom w:val="0"/>
                          <w:divBdr>
                            <w:top w:val="none" w:sz="0" w:space="0" w:color="auto"/>
                            <w:left w:val="none" w:sz="0" w:space="0" w:color="auto"/>
                            <w:bottom w:val="none" w:sz="0" w:space="0" w:color="auto"/>
                            <w:right w:val="none" w:sz="0" w:space="0" w:color="auto"/>
                          </w:divBdr>
                        </w:div>
                      </w:divsChild>
                    </w:div>
                    <w:div w:id="294143799">
                      <w:marLeft w:val="0"/>
                      <w:marRight w:val="0"/>
                      <w:marTop w:val="0"/>
                      <w:marBottom w:val="0"/>
                      <w:divBdr>
                        <w:top w:val="none" w:sz="0" w:space="0" w:color="auto"/>
                        <w:left w:val="none" w:sz="0" w:space="0" w:color="auto"/>
                        <w:bottom w:val="none" w:sz="0" w:space="0" w:color="auto"/>
                        <w:right w:val="none" w:sz="0" w:space="0" w:color="auto"/>
                      </w:divBdr>
                    </w:div>
                    <w:div w:id="294143829">
                      <w:marLeft w:val="0"/>
                      <w:marRight w:val="0"/>
                      <w:marTop w:val="0"/>
                      <w:marBottom w:val="0"/>
                      <w:divBdr>
                        <w:top w:val="none" w:sz="0" w:space="0" w:color="auto"/>
                        <w:left w:val="none" w:sz="0" w:space="0" w:color="auto"/>
                        <w:bottom w:val="none" w:sz="0" w:space="0" w:color="auto"/>
                        <w:right w:val="none" w:sz="0" w:space="0" w:color="auto"/>
                      </w:divBdr>
                      <w:divsChild>
                        <w:div w:id="294149121">
                          <w:marLeft w:val="0"/>
                          <w:marRight w:val="0"/>
                          <w:marTop w:val="0"/>
                          <w:marBottom w:val="0"/>
                          <w:divBdr>
                            <w:top w:val="none" w:sz="0" w:space="0" w:color="auto"/>
                            <w:left w:val="none" w:sz="0" w:space="0" w:color="auto"/>
                            <w:bottom w:val="none" w:sz="0" w:space="0" w:color="auto"/>
                            <w:right w:val="none" w:sz="0" w:space="0" w:color="auto"/>
                          </w:divBdr>
                        </w:div>
                      </w:divsChild>
                    </w:div>
                    <w:div w:id="294143893">
                      <w:marLeft w:val="0"/>
                      <w:marRight w:val="0"/>
                      <w:marTop w:val="0"/>
                      <w:marBottom w:val="0"/>
                      <w:divBdr>
                        <w:top w:val="none" w:sz="0" w:space="0" w:color="auto"/>
                        <w:left w:val="none" w:sz="0" w:space="0" w:color="auto"/>
                        <w:bottom w:val="none" w:sz="0" w:space="0" w:color="auto"/>
                        <w:right w:val="none" w:sz="0" w:space="0" w:color="auto"/>
                      </w:divBdr>
                      <w:divsChild>
                        <w:div w:id="294146975">
                          <w:marLeft w:val="0"/>
                          <w:marRight w:val="0"/>
                          <w:marTop w:val="0"/>
                          <w:marBottom w:val="0"/>
                          <w:divBdr>
                            <w:top w:val="none" w:sz="0" w:space="0" w:color="auto"/>
                            <w:left w:val="none" w:sz="0" w:space="0" w:color="auto"/>
                            <w:bottom w:val="none" w:sz="0" w:space="0" w:color="auto"/>
                            <w:right w:val="none" w:sz="0" w:space="0" w:color="auto"/>
                          </w:divBdr>
                        </w:div>
                      </w:divsChild>
                    </w:div>
                    <w:div w:id="294143913">
                      <w:marLeft w:val="0"/>
                      <w:marRight w:val="0"/>
                      <w:marTop w:val="0"/>
                      <w:marBottom w:val="0"/>
                      <w:divBdr>
                        <w:top w:val="none" w:sz="0" w:space="0" w:color="auto"/>
                        <w:left w:val="none" w:sz="0" w:space="0" w:color="auto"/>
                        <w:bottom w:val="none" w:sz="0" w:space="0" w:color="auto"/>
                        <w:right w:val="none" w:sz="0" w:space="0" w:color="auto"/>
                      </w:divBdr>
                    </w:div>
                    <w:div w:id="294144027">
                      <w:marLeft w:val="0"/>
                      <w:marRight w:val="0"/>
                      <w:marTop w:val="0"/>
                      <w:marBottom w:val="0"/>
                      <w:divBdr>
                        <w:top w:val="none" w:sz="0" w:space="0" w:color="auto"/>
                        <w:left w:val="none" w:sz="0" w:space="0" w:color="auto"/>
                        <w:bottom w:val="none" w:sz="0" w:space="0" w:color="auto"/>
                        <w:right w:val="none" w:sz="0" w:space="0" w:color="auto"/>
                      </w:divBdr>
                    </w:div>
                    <w:div w:id="294144031">
                      <w:marLeft w:val="0"/>
                      <w:marRight w:val="0"/>
                      <w:marTop w:val="0"/>
                      <w:marBottom w:val="0"/>
                      <w:divBdr>
                        <w:top w:val="none" w:sz="0" w:space="0" w:color="auto"/>
                        <w:left w:val="none" w:sz="0" w:space="0" w:color="auto"/>
                        <w:bottom w:val="none" w:sz="0" w:space="0" w:color="auto"/>
                        <w:right w:val="none" w:sz="0" w:space="0" w:color="auto"/>
                      </w:divBdr>
                    </w:div>
                    <w:div w:id="294144037">
                      <w:marLeft w:val="0"/>
                      <w:marRight w:val="0"/>
                      <w:marTop w:val="0"/>
                      <w:marBottom w:val="0"/>
                      <w:divBdr>
                        <w:top w:val="none" w:sz="0" w:space="0" w:color="auto"/>
                        <w:left w:val="none" w:sz="0" w:space="0" w:color="auto"/>
                        <w:bottom w:val="none" w:sz="0" w:space="0" w:color="auto"/>
                        <w:right w:val="none" w:sz="0" w:space="0" w:color="auto"/>
                      </w:divBdr>
                    </w:div>
                    <w:div w:id="294144071">
                      <w:marLeft w:val="0"/>
                      <w:marRight w:val="0"/>
                      <w:marTop w:val="0"/>
                      <w:marBottom w:val="0"/>
                      <w:divBdr>
                        <w:top w:val="none" w:sz="0" w:space="0" w:color="auto"/>
                        <w:left w:val="none" w:sz="0" w:space="0" w:color="auto"/>
                        <w:bottom w:val="none" w:sz="0" w:space="0" w:color="auto"/>
                        <w:right w:val="none" w:sz="0" w:space="0" w:color="auto"/>
                      </w:divBdr>
                      <w:divsChild>
                        <w:div w:id="294138249">
                          <w:marLeft w:val="0"/>
                          <w:marRight w:val="0"/>
                          <w:marTop w:val="0"/>
                          <w:marBottom w:val="0"/>
                          <w:divBdr>
                            <w:top w:val="none" w:sz="0" w:space="0" w:color="auto"/>
                            <w:left w:val="none" w:sz="0" w:space="0" w:color="auto"/>
                            <w:bottom w:val="none" w:sz="0" w:space="0" w:color="auto"/>
                            <w:right w:val="none" w:sz="0" w:space="0" w:color="auto"/>
                          </w:divBdr>
                        </w:div>
                      </w:divsChild>
                    </w:div>
                    <w:div w:id="294144232">
                      <w:marLeft w:val="0"/>
                      <w:marRight w:val="0"/>
                      <w:marTop w:val="0"/>
                      <w:marBottom w:val="0"/>
                      <w:divBdr>
                        <w:top w:val="none" w:sz="0" w:space="0" w:color="auto"/>
                        <w:left w:val="none" w:sz="0" w:space="0" w:color="auto"/>
                        <w:bottom w:val="none" w:sz="0" w:space="0" w:color="auto"/>
                        <w:right w:val="none" w:sz="0" w:space="0" w:color="auto"/>
                      </w:divBdr>
                    </w:div>
                    <w:div w:id="294144255">
                      <w:marLeft w:val="0"/>
                      <w:marRight w:val="0"/>
                      <w:marTop w:val="0"/>
                      <w:marBottom w:val="0"/>
                      <w:divBdr>
                        <w:top w:val="none" w:sz="0" w:space="0" w:color="auto"/>
                        <w:left w:val="none" w:sz="0" w:space="0" w:color="auto"/>
                        <w:bottom w:val="none" w:sz="0" w:space="0" w:color="auto"/>
                        <w:right w:val="none" w:sz="0" w:space="0" w:color="auto"/>
                      </w:divBdr>
                      <w:divsChild>
                        <w:div w:id="294140738">
                          <w:marLeft w:val="0"/>
                          <w:marRight w:val="0"/>
                          <w:marTop w:val="0"/>
                          <w:marBottom w:val="0"/>
                          <w:divBdr>
                            <w:top w:val="none" w:sz="0" w:space="0" w:color="auto"/>
                            <w:left w:val="none" w:sz="0" w:space="0" w:color="auto"/>
                            <w:bottom w:val="none" w:sz="0" w:space="0" w:color="auto"/>
                            <w:right w:val="none" w:sz="0" w:space="0" w:color="auto"/>
                          </w:divBdr>
                        </w:div>
                      </w:divsChild>
                    </w:div>
                    <w:div w:id="294144287">
                      <w:marLeft w:val="0"/>
                      <w:marRight w:val="0"/>
                      <w:marTop w:val="0"/>
                      <w:marBottom w:val="0"/>
                      <w:divBdr>
                        <w:top w:val="none" w:sz="0" w:space="0" w:color="auto"/>
                        <w:left w:val="none" w:sz="0" w:space="0" w:color="auto"/>
                        <w:bottom w:val="none" w:sz="0" w:space="0" w:color="auto"/>
                        <w:right w:val="none" w:sz="0" w:space="0" w:color="auto"/>
                      </w:divBdr>
                      <w:divsChild>
                        <w:div w:id="294153514">
                          <w:marLeft w:val="0"/>
                          <w:marRight w:val="0"/>
                          <w:marTop w:val="0"/>
                          <w:marBottom w:val="0"/>
                          <w:divBdr>
                            <w:top w:val="none" w:sz="0" w:space="0" w:color="auto"/>
                            <w:left w:val="none" w:sz="0" w:space="0" w:color="auto"/>
                            <w:bottom w:val="none" w:sz="0" w:space="0" w:color="auto"/>
                            <w:right w:val="none" w:sz="0" w:space="0" w:color="auto"/>
                          </w:divBdr>
                        </w:div>
                      </w:divsChild>
                    </w:div>
                    <w:div w:id="294144333">
                      <w:marLeft w:val="0"/>
                      <w:marRight w:val="0"/>
                      <w:marTop w:val="0"/>
                      <w:marBottom w:val="0"/>
                      <w:divBdr>
                        <w:top w:val="none" w:sz="0" w:space="0" w:color="auto"/>
                        <w:left w:val="none" w:sz="0" w:space="0" w:color="auto"/>
                        <w:bottom w:val="none" w:sz="0" w:space="0" w:color="auto"/>
                        <w:right w:val="none" w:sz="0" w:space="0" w:color="auto"/>
                      </w:divBdr>
                      <w:divsChild>
                        <w:div w:id="294144041">
                          <w:marLeft w:val="0"/>
                          <w:marRight w:val="0"/>
                          <w:marTop w:val="0"/>
                          <w:marBottom w:val="0"/>
                          <w:divBdr>
                            <w:top w:val="none" w:sz="0" w:space="0" w:color="auto"/>
                            <w:left w:val="none" w:sz="0" w:space="0" w:color="auto"/>
                            <w:bottom w:val="none" w:sz="0" w:space="0" w:color="auto"/>
                            <w:right w:val="none" w:sz="0" w:space="0" w:color="auto"/>
                          </w:divBdr>
                        </w:div>
                      </w:divsChild>
                    </w:div>
                    <w:div w:id="294144363">
                      <w:marLeft w:val="0"/>
                      <w:marRight w:val="0"/>
                      <w:marTop w:val="0"/>
                      <w:marBottom w:val="0"/>
                      <w:divBdr>
                        <w:top w:val="none" w:sz="0" w:space="0" w:color="auto"/>
                        <w:left w:val="none" w:sz="0" w:space="0" w:color="auto"/>
                        <w:bottom w:val="none" w:sz="0" w:space="0" w:color="auto"/>
                        <w:right w:val="none" w:sz="0" w:space="0" w:color="auto"/>
                      </w:divBdr>
                    </w:div>
                    <w:div w:id="294144369">
                      <w:marLeft w:val="0"/>
                      <w:marRight w:val="0"/>
                      <w:marTop w:val="0"/>
                      <w:marBottom w:val="0"/>
                      <w:divBdr>
                        <w:top w:val="none" w:sz="0" w:space="0" w:color="auto"/>
                        <w:left w:val="none" w:sz="0" w:space="0" w:color="auto"/>
                        <w:bottom w:val="none" w:sz="0" w:space="0" w:color="auto"/>
                        <w:right w:val="none" w:sz="0" w:space="0" w:color="auto"/>
                      </w:divBdr>
                      <w:divsChild>
                        <w:div w:id="294152583">
                          <w:marLeft w:val="0"/>
                          <w:marRight w:val="0"/>
                          <w:marTop w:val="0"/>
                          <w:marBottom w:val="0"/>
                          <w:divBdr>
                            <w:top w:val="none" w:sz="0" w:space="0" w:color="auto"/>
                            <w:left w:val="none" w:sz="0" w:space="0" w:color="auto"/>
                            <w:bottom w:val="none" w:sz="0" w:space="0" w:color="auto"/>
                            <w:right w:val="none" w:sz="0" w:space="0" w:color="auto"/>
                          </w:divBdr>
                        </w:div>
                      </w:divsChild>
                    </w:div>
                    <w:div w:id="294144408">
                      <w:marLeft w:val="0"/>
                      <w:marRight w:val="0"/>
                      <w:marTop w:val="0"/>
                      <w:marBottom w:val="0"/>
                      <w:divBdr>
                        <w:top w:val="none" w:sz="0" w:space="0" w:color="auto"/>
                        <w:left w:val="none" w:sz="0" w:space="0" w:color="auto"/>
                        <w:bottom w:val="none" w:sz="0" w:space="0" w:color="auto"/>
                        <w:right w:val="none" w:sz="0" w:space="0" w:color="auto"/>
                      </w:divBdr>
                    </w:div>
                    <w:div w:id="294144449">
                      <w:marLeft w:val="0"/>
                      <w:marRight w:val="0"/>
                      <w:marTop w:val="0"/>
                      <w:marBottom w:val="0"/>
                      <w:divBdr>
                        <w:top w:val="none" w:sz="0" w:space="0" w:color="auto"/>
                        <w:left w:val="none" w:sz="0" w:space="0" w:color="auto"/>
                        <w:bottom w:val="none" w:sz="0" w:space="0" w:color="auto"/>
                        <w:right w:val="none" w:sz="0" w:space="0" w:color="auto"/>
                      </w:divBdr>
                      <w:divsChild>
                        <w:div w:id="294149174">
                          <w:marLeft w:val="0"/>
                          <w:marRight w:val="0"/>
                          <w:marTop w:val="0"/>
                          <w:marBottom w:val="0"/>
                          <w:divBdr>
                            <w:top w:val="none" w:sz="0" w:space="0" w:color="auto"/>
                            <w:left w:val="none" w:sz="0" w:space="0" w:color="auto"/>
                            <w:bottom w:val="none" w:sz="0" w:space="0" w:color="auto"/>
                            <w:right w:val="none" w:sz="0" w:space="0" w:color="auto"/>
                          </w:divBdr>
                        </w:div>
                      </w:divsChild>
                    </w:div>
                    <w:div w:id="294144476">
                      <w:marLeft w:val="0"/>
                      <w:marRight w:val="0"/>
                      <w:marTop w:val="0"/>
                      <w:marBottom w:val="0"/>
                      <w:divBdr>
                        <w:top w:val="none" w:sz="0" w:space="0" w:color="auto"/>
                        <w:left w:val="none" w:sz="0" w:space="0" w:color="auto"/>
                        <w:bottom w:val="none" w:sz="0" w:space="0" w:color="auto"/>
                        <w:right w:val="none" w:sz="0" w:space="0" w:color="auto"/>
                      </w:divBdr>
                    </w:div>
                    <w:div w:id="294144496">
                      <w:marLeft w:val="0"/>
                      <w:marRight w:val="0"/>
                      <w:marTop w:val="0"/>
                      <w:marBottom w:val="0"/>
                      <w:divBdr>
                        <w:top w:val="none" w:sz="0" w:space="0" w:color="auto"/>
                        <w:left w:val="none" w:sz="0" w:space="0" w:color="auto"/>
                        <w:bottom w:val="none" w:sz="0" w:space="0" w:color="auto"/>
                        <w:right w:val="none" w:sz="0" w:space="0" w:color="auto"/>
                      </w:divBdr>
                    </w:div>
                    <w:div w:id="294144515">
                      <w:marLeft w:val="0"/>
                      <w:marRight w:val="0"/>
                      <w:marTop w:val="0"/>
                      <w:marBottom w:val="0"/>
                      <w:divBdr>
                        <w:top w:val="none" w:sz="0" w:space="0" w:color="auto"/>
                        <w:left w:val="none" w:sz="0" w:space="0" w:color="auto"/>
                        <w:bottom w:val="none" w:sz="0" w:space="0" w:color="auto"/>
                        <w:right w:val="none" w:sz="0" w:space="0" w:color="auto"/>
                      </w:divBdr>
                      <w:divsChild>
                        <w:div w:id="294155775">
                          <w:marLeft w:val="0"/>
                          <w:marRight w:val="0"/>
                          <w:marTop w:val="0"/>
                          <w:marBottom w:val="0"/>
                          <w:divBdr>
                            <w:top w:val="none" w:sz="0" w:space="0" w:color="auto"/>
                            <w:left w:val="none" w:sz="0" w:space="0" w:color="auto"/>
                            <w:bottom w:val="none" w:sz="0" w:space="0" w:color="auto"/>
                            <w:right w:val="none" w:sz="0" w:space="0" w:color="auto"/>
                          </w:divBdr>
                        </w:div>
                      </w:divsChild>
                    </w:div>
                    <w:div w:id="294144535">
                      <w:marLeft w:val="0"/>
                      <w:marRight w:val="0"/>
                      <w:marTop w:val="0"/>
                      <w:marBottom w:val="0"/>
                      <w:divBdr>
                        <w:top w:val="none" w:sz="0" w:space="0" w:color="auto"/>
                        <w:left w:val="none" w:sz="0" w:space="0" w:color="auto"/>
                        <w:bottom w:val="none" w:sz="0" w:space="0" w:color="auto"/>
                        <w:right w:val="none" w:sz="0" w:space="0" w:color="auto"/>
                      </w:divBdr>
                    </w:div>
                    <w:div w:id="294144604">
                      <w:marLeft w:val="0"/>
                      <w:marRight w:val="0"/>
                      <w:marTop w:val="0"/>
                      <w:marBottom w:val="0"/>
                      <w:divBdr>
                        <w:top w:val="none" w:sz="0" w:space="0" w:color="auto"/>
                        <w:left w:val="none" w:sz="0" w:space="0" w:color="auto"/>
                        <w:bottom w:val="none" w:sz="0" w:space="0" w:color="auto"/>
                        <w:right w:val="none" w:sz="0" w:space="0" w:color="auto"/>
                      </w:divBdr>
                    </w:div>
                    <w:div w:id="294144671">
                      <w:marLeft w:val="0"/>
                      <w:marRight w:val="0"/>
                      <w:marTop w:val="0"/>
                      <w:marBottom w:val="0"/>
                      <w:divBdr>
                        <w:top w:val="none" w:sz="0" w:space="0" w:color="auto"/>
                        <w:left w:val="none" w:sz="0" w:space="0" w:color="auto"/>
                        <w:bottom w:val="none" w:sz="0" w:space="0" w:color="auto"/>
                        <w:right w:val="none" w:sz="0" w:space="0" w:color="auto"/>
                      </w:divBdr>
                    </w:div>
                    <w:div w:id="294144690">
                      <w:marLeft w:val="0"/>
                      <w:marRight w:val="0"/>
                      <w:marTop w:val="0"/>
                      <w:marBottom w:val="0"/>
                      <w:divBdr>
                        <w:top w:val="none" w:sz="0" w:space="0" w:color="auto"/>
                        <w:left w:val="none" w:sz="0" w:space="0" w:color="auto"/>
                        <w:bottom w:val="none" w:sz="0" w:space="0" w:color="auto"/>
                        <w:right w:val="none" w:sz="0" w:space="0" w:color="auto"/>
                      </w:divBdr>
                    </w:div>
                    <w:div w:id="294144715">
                      <w:marLeft w:val="0"/>
                      <w:marRight w:val="0"/>
                      <w:marTop w:val="0"/>
                      <w:marBottom w:val="0"/>
                      <w:divBdr>
                        <w:top w:val="none" w:sz="0" w:space="0" w:color="auto"/>
                        <w:left w:val="none" w:sz="0" w:space="0" w:color="auto"/>
                        <w:bottom w:val="none" w:sz="0" w:space="0" w:color="auto"/>
                        <w:right w:val="none" w:sz="0" w:space="0" w:color="auto"/>
                      </w:divBdr>
                      <w:divsChild>
                        <w:div w:id="294154810">
                          <w:marLeft w:val="0"/>
                          <w:marRight w:val="0"/>
                          <w:marTop w:val="0"/>
                          <w:marBottom w:val="0"/>
                          <w:divBdr>
                            <w:top w:val="none" w:sz="0" w:space="0" w:color="auto"/>
                            <w:left w:val="none" w:sz="0" w:space="0" w:color="auto"/>
                            <w:bottom w:val="none" w:sz="0" w:space="0" w:color="auto"/>
                            <w:right w:val="none" w:sz="0" w:space="0" w:color="auto"/>
                          </w:divBdr>
                        </w:div>
                      </w:divsChild>
                    </w:div>
                    <w:div w:id="294144785">
                      <w:marLeft w:val="0"/>
                      <w:marRight w:val="0"/>
                      <w:marTop w:val="0"/>
                      <w:marBottom w:val="0"/>
                      <w:divBdr>
                        <w:top w:val="none" w:sz="0" w:space="0" w:color="auto"/>
                        <w:left w:val="none" w:sz="0" w:space="0" w:color="auto"/>
                        <w:bottom w:val="none" w:sz="0" w:space="0" w:color="auto"/>
                        <w:right w:val="none" w:sz="0" w:space="0" w:color="auto"/>
                      </w:divBdr>
                      <w:divsChild>
                        <w:div w:id="294143432">
                          <w:marLeft w:val="0"/>
                          <w:marRight w:val="0"/>
                          <w:marTop w:val="0"/>
                          <w:marBottom w:val="0"/>
                          <w:divBdr>
                            <w:top w:val="none" w:sz="0" w:space="0" w:color="auto"/>
                            <w:left w:val="none" w:sz="0" w:space="0" w:color="auto"/>
                            <w:bottom w:val="none" w:sz="0" w:space="0" w:color="auto"/>
                            <w:right w:val="none" w:sz="0" w:space="0" w:color="auto"/>
                          </w:divBdr>
                        </w:div>
                      </w:divsChild>
                    </w:div>
                    <w:div w:id="294144805">
                      <w:marLeft w:val="0"/>
                      <w:marRight w:val="0"/>
                      <w:marTop w:val="0"/>
                      <w:marBottom w:val="0"/>
                      <w:divBdr>
                        <w:top w:val="none" w:sz="0" w:space="0" w:color="auto"/>
                        <w:left w:val="none" w:sz="0" w:space="0" w:color="auto"/>
                        <w:bottom w:val="none" w:sz="0" w:space="0" w:color="auto"/>
                        <w:right w:val="none" w:sz="0" w:space="0" w:color="auto"/>
                      </w:divBdr>
                    </w:div>
                    <w:div w:id="294144909">
                      <w:marLeft w:val="0"/>
                      <w:marRight w:val="0"/>
                      <w:marTop w:val="0"/>
                      <w:marBottom w:val="0"/>
                      <w:divBdr>
                        <w:top w:val="none" w:sz="0" w:space="0" w:color="auto"/>
                        <w:left w:val="none" w:sz="0" w:space="0" w:color="auto"/>
                        <w:bottom w:val="none" w:sz="0" w:space="0" w:color="auto"/>
                        <w:right w:val="none" w:sz="0" w:space="0" w:color="auto"/>
                      </w:divBdr>
                    </w:div>
                    <w:div w:id="294144936">
                      <w:marLeft w:val="0"/>
                      <w:marRight w:val="0"/>
                      <w:marTop w:val="0"/>
                      <w:marBottom w:val="0"/>
                      <w:divBdr>
                        <w:top w:val="none" w:sz="0" w:space="0" w:color="auto"/>
                        <w:left w:val="none" w:sz="0" w:space="0" w:color="auto"/>
                        <w:bottom w:val="none" w:sz="0" w:space="0" w:color="auto"/>
                        <w:right w:val="none" w:sz="0" w:space="0" w:color="auto"/>
                      </w:divBdr>
                    </w:div>
                    <w:div w:id="294144945">
                      <w:marLeft w:val="0"/>
                      <w:marRight w:val="0"/>
                      <w:marTop w:val="0"/>
                      <w:marBottom w:val="0"/>
                      <w:divBdr>
                        <w:top w:val="none" w:sz="0" w:space="0" w:color="auto"/>
                        <w:left w:val="none" w:sz="0" w:space="0" w:color="auto"/>
                        <w:bottom w:val="none" w:sz="0" w:space="0" w:color="auto"/>
                        <w:right w:val="none" w:sz="0" w:space="0" w:color="auto"/>
                      </w:divBdr>
                      <w:divsChild>
                        <w:div w:id="294139425">
                          <w:marLeft w:val="0"/>
                          <w:marRight w:val="0"/>
                          <w:marTop w:val="0"/>
                          <w:marBottom w:val="0"/>
                          <w:divBdr>
                            <w:top w:val="none" w:sz="0" w:space="0" w:color="auto"/>
                            <w:left w:val="none" w:sz="0" w:space="0" w:color="auto"/>
                            <w:bottom w:val="none" w:sz="0" w:space="0" w:color="auto"/>
                            <w:right w:val="none" w:sz="0" w:space="0" w:color="auto"/>
                          </w:divBdr>
                        </w:div>
                      </w:divsChild>
                    </w:div>
                    <w:div w:id="294144988">
                      <w:marLeft w:val="0"/>
                      <w:marRight w:val="0"/>
                      <w:marTop w:val="0"/>
                      <w:marBottom w:val="0"/>
                      <w:divBdr>
                        <w:top w:val="none" w:sz="0" w:space="0" w:color="auto"/>
                        <w:left w:val="none" w:sz="0" w:space="0" w:color="auto"/>
                        <w:bottom w:val="none" w:sz="0" w:space="0" w:color="auto"/>
                        <w:right w:val="none" w:sz="0" w:space="0" w:color="auto"/>
                      </w:divBdr>
                      <w:divsChild>
                        <w:div w:id="294140582">
                          <w:marLeft w:val="0"/>
                          <w:marRight w:val="0"/>
                          <w:marTop w:val="0"/>
                          <w:marBottom w:val="0"/>
                          <w:divBdr>
                            <w:top w:val="none" w:sz="0" w:space="0" w:color="auto"/>
                            <w:left w:val="none" w:sz="0" w:space="0" w:color="auto"/>
                            <w:bottom w:val="none" w:sz="0" w:space="0" w:color="auto"/>
                            <w:right w:val="none" w:sz="0" w:space="0" w:color="auto"/>
                          </w:divBdr>
                        </w:div>
                      </w:divsChild>
                    </w:div>
                    <w:div w:id="294145074">
                      <w:marLeft w:val="0"/>
                      <w:marRight w:val="0"/>
                      <w:marTop w:val="0"/>
                      <w:marBottom w:val="0"/>
                      <w:divBdr>
                        <w:top w:val="none" w:sz="0" w:space="0" w:color="auto"/>
                        <w:left w:val="none" w:sz="0" w:space="0" w:color="auto"/>
                        <w:bottom w:val="none" w:sz="0" w:space="0" w:color="auto"/>
                        <w:right w:val="none" w:sz="0" w:space="0" w:color="auto"/>
                      </w:divBdr>
                      <w:divsChild>
                        <w:div w:id="294145380">
                          <w:marLeft w:val="0"/>
                          <w:marRight w:val="0"/>
                          <w:marTop w:val="0"/>
                          <w:marBottom w:val="0"/>
                          <w:divBdr>
                            <w:top w:val="none" w:sz="0" w:space="0" w:color="auto"/>
                            <w:left w:val="none" w:sz="0" w:space="0" w:color="auto"/>
                            <w:bottom w:val="none" w:sz="0" w:space="0" w:color="auto"/>
                            <w:right w:val="none" w:sz="0" w:space="0" w:color="auto"/>
                          </w:divBdr>
                        </w:div>
                      </w:divsChild>
                    </w:div>
                    <w:div w:id="294145112">
                      <w:marLeft w:val="0"/>
                      <w:marRight w:val="0"/>
                      <w:marTop w:val="0"/>
                      <w:marBottom w:val="0"/>
                      <w:divBdr>
                        <w:top w:val="none" w:sz="0" w:space="0" w:color="auto"/>
                        <w:left w:val="none" w:sz="0" w:space="0" w:color="auto"/>
                        <w:bottom w:val="none" w:sz="0" w:space="0" w:color="auto"/>
                        <w:right w:val="none" w:sz="0" w:space="0" w:color="auto"/>
                      </w:divBdr>
                      <w:divsChild>
                        <w:div w:id="294141396">
                          <w:marLeft w:val="0"/>
                          <w:marRight w:val="0"/>
                          <w:marTop w:val="0"/>
                          <w:marBottom w:val="0"/>
                          <w:divBdr>
                            <w:top w:val="none" w:sz="0" w:space="0" w:color="auto"/>
                            <w:left w:val="none" w:sz="0" w:space="0" w:color="auto"/>
                            <w:bottom w:val="none" w:sz="0" w:space="0" w:color="auto"/>
                            <w:right w:val="none" w:sz="0" w:space="0" w:color="auto"/>
                          </w:divBdr>
                        </w:div>
                      </w:divsChild>
                    </w:div>
                    <w:div w:id="294145127">
                      <w:marLeft w:val="0"/>
                      <w:marRight w:val="0"/>
                      <w:marTop w:val="0"/>
                      <w:marBottom w:val="0"/>
                      <w:divBdr>
                        <w:top w:val="none" w:sz="0" w:space="0" w:color="auto"/>
                        <w:left w:val="none" w:sz="0" w:space="0" w:color="auto"/>
                        <w:bottom w:val="none" w:sz="0" w:space="0" w:color="auto"/>
                        <w:right w:val="none" w:sz="0" w:space="0" w:color="auto"/>
                      </w:divBdr>
                      <w:divsChild>
                        <w:div w:id="294155445">
                          <w:marLeft w:val="0"/>
                          <w:marRight w:val="0"/>
                          <w:marTop w:val="0"/>
                          <w:marBottom w:val="0"/>
                          <w:divBdr>
                            <w:top w:val="none" w:sz="0" w:space="0" w:color="auto"/>
                            <w:left w:val="none" w:sz="0" w:space="0" w:color="auto"/>
                            <w:bottom w:val="none" w:sz="0" w:space="0" w:color="auto"/>
                            <w:right w:val="none" w:sz="0" w:space="0" w:color="auto"/>
                          </w:divBdr>
                        </w:div>
                      </w:divsChild>
                    </w:div>
                    <w:div w:id="294145206">
                      <w:marLeft w:val="0"/>
                      <w:marRight w:val="0"/>
                      <w:marTop w:val="0"/>
                      <w:marBottom w:val="0"/>
                      <w:divBdr>
                        <w:top w:val="none" w:sz="0" w:space="0" w:color="auto"/>
                        <w:left w:val="none" w:sz="0" w:space="0" w:color="auto"/>
                        <w:bottom w:val="none" w:sz="0" w:space="0" w:color="auto"/>
                        <w:right w:val="none" w:sz="0" w:space="0" w:color="auto"/>
                      </w:divBdr>
                    </w:div>
                    <w:div w:id="294145232">
                      <w:marLeft w:val="0"/>
                      <w:marRight w:val="0"/>
                      <w:marTop w:val="0"/>
                      <w:marBottom w:val="0"/>
                      <w:divBdr>
                        <w:top w:val="none" w:sz="0" w:space="0" w:color="auto"/>
                        <w:left w:val="none" w:sz="0" w:space="0" w:color="auto"/>
                        <w:bottom w:val="none" w:sz="0" w:space="0" w:color="auto"/>
                        <w:right w:val="none" w:sz="0" w:space="0" w:color="auto"/>
                      </w:divBdr>
                    </w:div>
                    <w:div w:id="294145378">
                      <w:marLeft w:val="0"/>
                      <w:marRight w:val="0"/>
                      <w:marTop w:val="0"/>
                      <w:marBottom w:val="0"/>
                      <w:divBdr>
                        <w:top w:val="none" w:sz="0" w:space="0" w:color="auto"/>
                        <w:left w:val="none" w:sz="0" w:space="0" w:color="auto"/>
                        <w:bottom w:val="none" w:sz="0" w:space="0" w:color="auto"/>
                        <w:right w:val="none" w:sz="0" w:space="0" w:color="auto"/>
                      </w:divBdr>
                      <w:divsChild>
                        <w:div w:id="294148657">
                          <w:marLeft w:val="0"/>
                          <w:marRight w:val="0"/>
                          <w:marTop w:val="0"/>
                          <w:marBottom w:val="0"/>
                          <w:divBdr>
                            <w:top w:val="none" w:sz="0" w:space="0" w:color="auto"/>
                            <w:left w:val="none" w:sz="0" w:space="0" w:color="auto"/>
                            <w:bottom w:val="none" w:sz="0" w:space="0" w:color="auto"/>
                            <w:right w:val="none" w:sz="0" w:space="0" w:color="auto"/>
                          </w:divBdr>
                        </w:div>
                      </w:divsChild>
                    </w:div>
                    <w:div w:id="294145381">
                      <w:marLeft w:val="0"/>
                      <w:marRight w:val="0"/>
                      <w:marTop w:val="0"/>
                      <w:marBottom w:val="0"/>
                      <w:divBdr>
                        <w:top w:val="none" w:sz="0" w:space="0" w:color="auto"/>
                        <w:left w:val="none" w:sz="0" w:space="0" w:color="auto"/>
                        <w:bottom w:val="none" w:sz="0" w:space="0" w:color="auto"/>
                        <w:right w:val="none" w:sz="0" w:space="0" w:color="auto"/>
                      </w:divBdr>
                    </w:div>
                    <w:div w:id="294145384">
                      <w:marLeft w:val="0"/>
                      <w:marRight w:val="0"/>
                      <w:marTop w:val="0"/>
                      <w:marBottom w:val="0"/>
                      <w:divBdr>
                        <w:top w:val="none" w:sz="0" w:space="0" w:color="auto"/>
                        <w:left w:val="none" w:sz="0" w:space="0" w:color="auto"/>
                        <w:bottom w:val="none" w:sz="0" w:space="0" w:color="auto"/>
                        <w:right w:val="none" w:sz="0" w:space="0" w:color="auto"/>
                      </w:divBdr>
                      <w:divsChild>
                        <w:div w:id="294143711">
                          <w:marLeft w:val="0"/>
                          <w:marRight w:val="0"/>
                          <w:marTop w:val="0"/>
                          <w:marBottom w:val="0"/>
                          <w:divBdr>
                            <w:top w:val="none" w:sz="0" w:space="0" w:color="auto"/>
                            <w:left w:val="none" w:sz="0" w:space="0" w:color="auto"/>
                            <w:bottom w:val="none" w:sz="0" w:space="0" w:color="auto"/>
                            <w:right w:val="none" w:sz="0" w:space="0" w:color="auto"/>
                          </w:divBdr>
                        </w:div>
                      </w:divsChild>
                    </w:div>
                    <w:div w:id="294145422">
                      <w:marLeft w:val="0"/>
                      <w:marRight w:val="0"/>
                      <w:marTop w:val="0"/>
                      <w:marBottom w:val="0"/>
                      <w:divBdr>
                        <w:top w:val="none" w:sz="0" w:space="0" w:color="auto"/>
                        <w:left w:val="none" w:sz="0" w:space="0" w:color="auto"/>
                        <w:bottom w:val="none" w:sz="0" w:space="0" w:color="auto"/>
                        <w:right w:val="none" w:sz="0" w:space="0" w:color="auto"/>
                      </w:divBdr>
                      <w:divsChild>
                        <w:div w:id="294155023">
                          <w:marLeft w:val="0"/>
                          <w:marRight w:val="0"/>
                          <w:marTop w:val="0"/>
                          <w:marBottom w:val="0"/>
                          <w:divBdr>
                            <w:top w:val="none" w:sz="0" w:space="0" w:color="auto"/>
                            <w:left w:val="none" w:sz="0" w:space="0" w:color="auto"/>
                            <w:bottom w:val="none" w:sz="0" w:space="0" w:color="auto"/>
                            <w:right w:val="none" w:sz="0" w:space="0" w:color="auto"/>
                          </w:divBdr>
                        </w:div>
                      </w:divsChild>
                    </w:div>
                    <w:div w:id="294145427">
                      <w:marLeft w:val="0"/>
                      <w:marRight w:val="0"/>
                      <w:marTop w:val="0"/>
                      <w:marBottom w:val="0"/>
                      <w:divBdr>
                        <w:top w:val="none" w:sz="0" w:space="0" w:color="auto"/>
                        <w:left w:val="none" w:sz="0" w:space="0" w:color="auto"/>
                        <w:bottom w:val="none" w:sz="0" w:space="0" w:color="auto"/>
                        <w:right w:val="none" w:sz="0" w:space="0" w:color="auto"/>
                      </w:divBdr>
                    </w:div>
                    <w:div w:id="294145519">
                      <w:marLeft w:val="0"/>
                      <w:marRight w:val="0"/>
                      <w:marTop w:val="0"/>
                      <w:marBottom w:val="0"/>
                      <w:divBdr>
                        <w:top w:val="none" w:sz="0" w:space="0" w:color="auto"/>
                        <w:left w:val="none" w:sz="0" w:space="0" w:color="auto"/>
                        <w:bottom w:val="none" w:sz="0" w:space="0" w:color="auto"/>
                        <w:right w:val="none" w:sz="0" w:space="0" w:color="auto"/>
                      </w:divBdr>
                      <w:divsChild>
                        <w:div w:id="294140921">
                          <w:marLeft w:val="0"/>
                          <w:marRight w:val="0"/>
                          <w:marTop w:val="0"/>
                          <w:marBottom w:val="0"/>
                          <w:divBdr>
                            <w:top w:val="none" w:sz="0" w:space="0" w:color="auto"/>
                            <w:left w:val="none" w:sz="0" w:space="0" w:color="auto"/>
                            <w:bottom w:val="none" w:sz="0" w:space="0" w:color="auto"/>
                            <w:right w:val="none" w:sz="0" w:space="0" w:color="auto"/>
                          </w:divBdr>
                        </w:div>
                      </w:divsChild>
                    </w:div>
                    <w:div w:id="294145533">
                      <w:marLeft w:val="0"/>
                      <w:marRight w:val="0"/>
                      <w:marTop w:val="0"/>
                      <w:marBottom w:val="0"/>
                      <w:divBdr>
                        <w:top w:val="none" w:sz="0" w:space="0" w:color="auto"/>
                        <w:left w:val="none" w:sz="0" w:space="0" w:color="auto"/>
                        <w:bottom w:val="none" w:sz="0" w:space="0" w:color="auto"/>
                        <w:right w:val="none" w:sz="0" w:space="0" w:color="auto"/>
                      </w:divBdr>
                    </w:div>
                    <w:div w:id="294145575">
                      <w:marLeft w:val="0"/>
                      <w:marRight w:val="0"/>
                      <w:marTop w:val="0"/>
                      <w:marBottom w:val="0"/>
                      <w:divBdr>
                        <w:top w:val="none" w:sz="0" w:space="0" w:color="auto"/>
                        <w:left w:val="none" w:sz="0" w:space="0" w:color="auto"/>
                        <w:bottom w:val="none" w:sz="0" w:space="0" w:color="auto"/>
                        <w:right w:val="none" w:sz="0" w:space="0" w:color="auto"/>
                      </w:divBdr>
                    </w:div>
                    <w:div w:id="294145578">
                      <w:marLeft w:val="0"/>
                      <w:marRight w:val="0"/>
                      <w:marTop w:val="0"/>
                      <w:marBottom w:val="0"/>
                      <w:divBdr>
                        <w:top w:val="none" w:sz="0" w:space="0" w:color="auto"/>
                        <w:left w:val="none" w:sz="0" w:space="0" w:color="auto"/>
                        <w:bottom w:val="none" w:sz="0" w:space="0" w:color="auto"/>
                        <w:right w:val="none" w:sz="0" w:space="0" w:color="auto"/>
                      </w:divBdr>
                    </w:div>
                    <w:div w:id="294145595">
                      <w:marLeft w:val="0"/>
                      <w:marRight w:val="0"/>
                      <w:marTop w:val="0"/>
                      <w:marBottom w:val="0"/>
                      <w:divBdr>
                        <w:top w:val="none" w:sz="0" w:space="0" w:color="auto"/>
                        <w:left w:val="none" w:sz="0" w:space="0" w:color="auto"/>
                        <w:bottom w:val="none" w:sz="0" w:space="0" w:color="auto"/>
                        <w:right w:val="none" w:sz="0" w:space="0" w:color="auto"/>
                      </w:divBdr>
                    </w:div>
                    <w:div w:id="294145631">
                      <w:marLeft w:val="0"/>
                      <w:marRight w:val="0"/>
                      <w:marTop w:val="0"/>
                      <w:marBottom w:val="0"/>
                      <w:divBdr>
                        <w:top w:val="none" w:sz="0" w:space="0" w:color="auto"/>
                        <w:left w:val="none" w:sz="0" w:space="0" w:color="auto"/>
                        <w:bottom w:val="none" w:sz="0" w:space="0" w:color="auto"/>
                        <w:right w:val="none" w:sz="0" w:space="0" w:color="auto"/>
                      </w:divBdr>
                      <w:divsChild>
                        <w:div w:id="294142554">
                          <w:marLeft w:val="0"/>
                          <w:marRight w:val="0"/>
                          <w:marTop w:val="0"/>
                          <w:marBottom w:val="0"/>
                          <w:divBdr>
                            <w:top w:val="none" w:sz="0" w:space="0" w:color="auto"/>
                            <w:left w:val="none" w:sz="0" w:space="0" w:color="auto"/>
                            <w:bottom w:val="none" w:sz="0" w:space="0" w:color="auto"/>
                            <w:right w:val="none" w:sz="0" w:space="0" w:color="auto"/>
                          </w:divBdr>
                        </w:div>
                      </w:divsChild>
                    </w:div>
                    <w:div w:id="294145646">
                      <w:marLeft w:val="0"/>
                      <w:marRight w:val="0"/>
                      <w:marTop w:val="0"/>
                      <w:marBottom w:val="0"/>
                      <w:divBdr>
                        <w:top w:val="none" w:sz="0" w:space="0" w:color="auto"/>
                        <w:left w:val="none" w:sz="0" w:space="0" w:color="auto"/>
                        <w:bottom w:val="none" w:sz="0" w:space="0" w:color="auto"/>
                        <w:right w:val="none" w:sz="0" w:space="0" w:color="auto"/>
                      </w:divBdr>
                    </w:div>
                    <w:div w:id="294145690">
                      <w:marLeft w:val="0"/>
                      <w:marRight w:val="0"/>
                      <w:marTop w:val="0"/>
                      <w:marBottom w:val="0"/>
                      <w:divBdr>
                        <w:top w:val="none" w:sz="0" w:space="0" w:color="auto"/>
                        <w:left w:val="none" w:sz="0" w:space="0" w:color="auto"/>
                        <w:bottom w:val="none" w:sz="0" w:space="0" w:color="auto"/>
                        <w:right w:val="none" w:sz="0" w:space="0" w:color="auto"/>
                      </w:divBdr>
                    </w:div>
                    <w:div w:id="294145699">
                      <w:marLeft w:val="0"/>
                      <w:marRight w:val="0"/>
                      <w:marTop w:val="0"/>
                      <w:marBottom w:val="0"/>
                      <w:divBdr>
                        <w:top w:val="none" w:sz="0" w:space="0" w:color="auto"/>
                        <w:left w:val="none" w:sz="0" w:space="0" w:color="auto"/>
                        <w:bottom w:val="none" w:sz="0" w:space="0" w:color="auto"/>
                        <w:right w:val="none" w:sz="0" w:space="0" w:color="auto"/>
                      </w:divBdr>
                    </w:div>
                    <w:div w:id="294145706">
                      <w:marLeft w:val="0"/>
                      <w:marRight w:val="0"/>
                      <w:marTop w:val="0"/>
                      <w:marBottom w:val="0"/>
                      <w:divBdr>
                        <w:top w:val="none" w:sz="0" w:space="0" w:color="auto"/>
                        <w:left w:val="none" w:sz="0" w:space="0" w:color="auto"/>
                        <w:bottom w:val="none" w:sz="0" w:space="0" w:color="auto"/>
                        <w:right w:val="none" w:sz="0" w:space="0" w:color="auto"/>
                      </w:divBdr>
                    </w:div>
                    <w:div w:id="294145843">
                      <w:marLeft w:val="0"/>
                      <w:marRight w:val="0"/>
                      <w:marTop w:val="0"/>
                      <w:marBottom w:val="0"/>
                      <w:divBdr>
                        <w:top w:val="none" w:sz="0" w:space="0" w:color="auto"/>
                        <w:left w:val="none" w:sz="0" w:space="0" w:color="auto"/>
                        <w:bottom w:val="none" w:sz="0" w:space="0" w:color="auto"/>
                        <w:right w:val="none" w:sz="0" w:space="0" w:color="auto"/>
                      </w:divBdr>
                    </w:div>
                    <w:div w:id="294145872">
                      <w:marLeft w:val="0"/>
                      <w:marRight w:val="0"/>
                      <w:marTop w:val="0"/>
                      <w:marBottom w:val="0"/>
                      <w:divBdr>
                        <w:top w:val="none" w:sz="0" w:space="0" w:color="auto"/>
                        <w:left w:val="none" w:sz="0" w:space="0" w:color="auto"/>
                        <w:bottom w:val="none" w:sz="0" w:space="0" w:color="auto"/>
                        <w:right w:val="none" w:sz="0" w:space="0" w:color="auto"/>
                      </w:divBdr>
                      <w:divsChild>
                        <w:div w:id="294153250">
                          <w:marLeft w:val="0"/>
                          <w:marRight w:val="0"/>
                          <w:marTop w:val="0"/>
                          <w:marBottom w:val="0"/>
                          <w:divBdr>
                            <w:top w:val="none" w:sz="0" w:space="0" w:color="auto"/>
                            <w:left w:val="none" w:sz="0" w:space="0" w:color="auto"/>
                            <w:bottom w:val="none" w:sz="0" w:space="0" w:color="auto"/>
                            <w:right w:val="none" w:sz="0" w:space="0" w:color="auto"/>
                          </w:divBdr>
                        </w:div>
                      </w:divsChild>
                    </w:div>
                    <w:div w:id="294145874">
                      <w:marLeft w:val="0"/>
                      <w:marRight w:val="0"/>
                      <w:marTop w:val="0"/>
                      <w:marBottom w:val="0"/>
                      <w:divBdr>
                        <w:top w:val="none" w:sz="0" w:space="0" w:color="auto"/>
                        <w:left w:val="none" w:sz="0" w:space="0" w:color="auto"/>
                        <w:bottom w:val="none" w:sz="0" w:space="0" w:color="auto"/>
                        <w:right w:val="none" w:sz="0" w:space="0" w:color="auto"/>
                      </w:divBdr>
                      <w:divsChild>
                        <w:div w:id="294141590">
                          <w:marLeft w:val="0"/>
                          <w:marRight w:val="0"/>
                          <w:marTop w:val="0"/>
                          <w:marBottom w:val="0"/>
                          <w:divBdr>
                            <w:top w:val="none" w:sz="0" w:space="0" w:color="auto"/>
                            <w:left w:val="none" w:sz="0" w:space="0" w:color="auto"/>
                            <w:bottom w:val="none" w:sz="0" w:space="0" w:color="auto"/>
                            <w:right w:val="none" w:sz="0" w:space="0" w:color="auto"/>
                          </w:divBdr>
                        </w:div>
                      </w:divsChild>
                    </w:div>
                    <w:div w:id="294145946">
                      <w:marLeft w:val="0"/>
                      <w:marRight w:val="0"/>
                      <w:marTop w:val="0"/>
                      <w:marBottom w:val="0"/>
                      <w:divBdr>
                        <w:top w:val="none" w:sz="0" w:space="0" w:color="auto"/>
                        <w:left w:val="none" w:sz="0" w:space="0" w:color="auto"/>
                        <w:bottom w:val="none" w:sz="0" w:space="0" w:color="auto"/>
                        <w:right w:val="none" w:sz="0" w:space="0" w:color="auto"/>
                      </w:divBdr>
                      <w:divsChild>
                        <w:div w:id="294149438">
                          <w:marLeft w:val="0"/>
                          <w:marRight w:val="0"/>
                          <w:marTop w:val="0"/>
                          <w:marBottom w:val="0"/>
                          <w:divBdr>
                            <w:top w:val="none" w:sz="0" w:space="0" w:color="auto"/>
                            <w:left w:val="none" w:sz="0" w:space="0" w:color="auto"/>
                            <w:bottom w:val="none" w:sz="0" w:space="0" w:color="auto"/>
                            <w:right w:val="none" w:sz="0" w:space="0" w:color="auto"/>
                          </w:divBdr>
                        </w:div>
                      </w:divsChild>
                    </w:div>
                    <w:div w:id="294146079">
                      <w:marLeft w:val="0"/>
                      <w:marRight w:val="0"/>
                      <w:marTop w:val="0"/>
                      <w:marBottom w:val="0"/>
                      <w:divBdr>
                        <w:top w:val="none" w:sz="0" w:space="0" w:color="auto"/>
                        <w:left w:val="none" w:sz="0" w:space="0" w:color="auto"/>
                        <w:bottom w:val="none" w:sz="0" w:space="0" w:color="auto"/>
                        <w:right w:val="none" w:sz="0" w:space="0" w:color="auto"/>
                      </w:divBdr>
                    </w:div>
                    <w:div w:id="294146125">
                      <w:marLeft w:val="0"/>
                      <w:marRight w:val="0"/>
                      <w:marTop w:val="0"/>
                      <w:marBottom w:val="0"/>
                      <w:divBdr>
                        <w:top w:val="none" w:sz="0" w:space="0" w:color="auto"/>
                        <w:left w:val="none" w:sz="0" w:space="0" w:color="auto"/>
                        <w:bottom w:val="none" w:sz="0" w:space="0" w:color="auto"/>
                        <w:right w:val="none" w:sz="0" w:space="0" w:color="auto"/>
                      </w:divBdr>
                      <w:divsChild>
                        <w:div w:id="294154452">
                          <w:marLeft w:val="0"/>
                          <w:marRight w:val="0"/>
                          <w:marTop w:val="0"/>
                          <w:marBottom w:val="0"/>
                          <w:divBdr>
                            <w:top w:val="none" w:sz="0" w:space="0" w:color="auto"/>
                            <w:left w:val="none" w:sz="0" w:space="0" w:color="auto"/>
                            <w:bottom w:val="none" w:sz="0" w:space="0" w:color="auto"/>
                            <w:right w:val="none" w:sz="0" w:space="0" w:color="auto"/>
                          </w:divBdr>
                        </w:div>
                      </w:divsChild>
                    </w:div>
                    <w:div w:id="294146158">
                      <w:marLeft w:val="0"/>
                      <w:marRight w:val="0"/>
                      <w:marTop w:val="0"/>
                      <w:marBottom w:val="0"/>
                      <w:divBdr>
                        <w:top w:val="none" w:sz="0" w:space="0" w:color="auto"/>
                        <w:left w:val="none" w:sz="0" w:space="0" w:color="auto"/>
                        <w:bottom w:val="none" w:sz="0" w:space="0" w:color="auto"/>
                        <w:right w:val="none" w:sz="0" w:space="0" w:color="auto"/>
                      </w:divBdr>
                    </w:div>
                    <w:div w:id="294146162">
                      <w:marLeft w:val="0"/>
                      <w:marRight w:val="0"/>
                      <w:marTop w:val="0"/>
                      <w:marBottom w:val="0"/>
                      <w:divBdr>
                        <w:top w:val="none" w:sz="0" w:space="0" w:color="auto"/>
                        <w:left w:val="none" w:sz="0" w:space="0" w:color="auto"/>
                        <w:bottom w:val="none" w:sz="0" w:space="0" w:color="auto"/>
                        <w:right w:val="none" w:sz="0" w:space="0" w:color="auto"/>
                      </w:divBdr>
                    </w:div>
                    <w:div w:id="294146197">
                      <w:marLeft w:val="0"/>
                      <w:marRight w:val="0"/>
                      <w:marTop w:val="0"/>
                      <w:marBottom w:val="0"/>
                      <w:divBdr>
                        <w:top w:val="none" w:sz="0" w:space="0" w:color="auto"/>
                        <w:left w:val="none" w:sz="0" w:space="0" w:color="auto"/>
                        <w:bottom w:val="none" w:sz="0" w:space="0" w:color="auto"/>
                        <w:right w:val="none" w:sz="0" w:space="0" w:color="auto"/>
                      </w:divBdr>
                      <w:divsChild>
                        <w:div w:id="294149249">
                          <w:marLeft w:val="0"/>
                          <w:marRight w:val="0"/>
                          <w:marTop w:val="0"/>
                          <w:marBottom w:val="0"/>
                          <w:divBdr>
                            <w:top w:val="none" w:sz="0" w:space="0" w:color="auto"/>
                            <w:left w:val="none" w:sz="0" w:space="0" w:color="auto"/>
                            <w:bottom w:val="none" w:sz="0" w:space="0" w:color="auto"/>
                            <w:right w:val="none" w:sz="0" w:space="0" w:color="auto"/>
                          </w:divBdr>
                        </w:div>
                      </w:divsChild>
                    </w:div>
                    <w:div w:id="294146273">
                      <w:marLeft w:val="0"/>
                      <w:marRight w:val="0"/>
                      <w:marTop w:val="0"/>
                      <w:marBottom w:val="0"/>
                      <w:divBdr>
                        <w:top w:val="none" w:sz="0" w:space="0" w:color="auto"/>
                        <w:left w:val="none" w:sz="0" w:space="0" w:color="auto"/>
                        <w:bottom w:val="none" w:sz="0" w:space="0" w:color="auto"/>
                        <w:right w:val="none" w:sz="0" w:space="0" w:color="auto"/>
                      </w:divBdr>
                    </w:div>
                    <w:div w:id="294146280">
                      <w:marLeft w:val="0"/>
                      <w:marRight w:val="0"/>
                      <w:marTop w:val="0"/>
                      <w:marBottom w:val="0"/>
                      <w:divBdr>
                        <w:top w:val="none" w:sz="0" w:space="0" w:color="auto"/>
                        <w:left w:val="none" w:sz="0" w:space="0" w:color="auto"/>
                        <w:bottom w:val="none" w:sz="0" w:space="0" w:color="auto"/>
                        <w:right w:val="none" w:sz="0" w:space="0" w:color="auto"/>
                      </w:divBdr>
                      <w:divsChild>
                        <w:div w:id="294144714">
                          <w:marLeft w:val="0"/>
                          <w:marRight w:val="0"/>
                          <w:marTop w:val="0"/>
                          <w:marBottom w:val="0"/>
                          <w:divBdr>
                            <w:top w:val="none" w:sz="0" w:space="0" w:color="auto"/>
                            <w:left w:val="none" w:sz="0" w:space="0" w:color="auto"/>
                            <w:bottom w:val="none" w:sz="0" w:space="0" w:color="auto"/>
                            <w:right w:val="none" w:sz="0" w:space="0" w:color="auto"/>
                          </w:divBdr>
                        </w:div>
                      </w:divsChild>
                    </w:div>
                    <w:div w:id="294146286">
                      <w:marLeft w:val="0"/>
                      <w:marRight w:val="0"/>
                      <w:marTop w:val="0"/>
                      <w:marBottom w:val="0"/>
                      <w:divBdr>
                        <w:top w:val="none" w:sz="0" w:space="0" w:color="auto"/>
                        <w:left w:val="none" w:sz="0" w:space="0" w:color="auto"/>
                        <w:bottom w:val="none" w:sz="0" w:space="0" w:color="auto"/>
                        <w:right w:val="none" w:sz="0" w:space="0" w:color="auto"/>
                      </w:divBdr>
                      <w:divsChild>
                        <w:div w:id="294138856">
                          <w:marLeft w:val="0"/>
                          <w:marRight w:val="0"/>
                          <w:marTop w:val="0"/>
                          <w:marBottom w:val="0"/>
                          <w:divBdr>
                            <w:top w:val="none" w:sz="0" w:space="0" w:color="auto"/>
                            <w:left w:val="none" w:sz="0" w:space="0" w:color="auto"/>
                            <w:bottom w:val="none" w:sz="0" w:space="0" w:color="auto"/>
                            <w:right w:val="none" w:sz="0" w:space="0" w:color="auto"/>
                          </w:divBdr>
                        </w:div>
                      </w:divsChild>
                    </w:div>
                    <w:div w:id="294146352">
                      <w:marLeft w:val="0"/>
                      <w:marRight w:val="0"/>
                      <w:marTop w:val="0"/>
                      <w:marBottom w:val="0"/>
                      <w:divBdr>
                        <w:top w:val="none" w:sz="0" w:space="0" w:color="auto"/>
                        <w:left w:val="none" w:sz="0" w:space="0" w:color="auto"/>
                        <w:bottom w:val="none" w:sz="0" w:space="0" w:color="auto"/>
                        <w:right w:val="none" w:sz="0" w:space="0" w:color="auto"/>
                      </w:divBdr>
                    </w:div>
                    <w:div w:id="294146399">
                      <w:marLeft w:val="0"/>
                      <w:marRight w:val="0"/>
                      <w:marTop w:val="0"/>
                      <w:marBottom w:val="0"/>
                      <w:divBdr>
                        <w:top w:val="none" w:sz="0" w:space="0" w:color="auto"/>
                        <w:left w:val="none" w:sz="0" w:space="0" w:color="auto"/>
                        <w:bottom w:val="none" w:sz="0" w:space="0" w:color="auto"/>
                        <w:right w:val="none" w:sz="0" w:space="0" w:color="auto"/>
                      </w:divBdr>
                      <w:divsChild>
                        <w:div w:id="294144773">
                          <w:marLeft w:val="0"/>
                          <w:marRight w:val="0"/>
                          <w:marTop w:val="0"/>
                          <w:marBottom w:val="0"/>
                          <w:divBdr>
                            <w:top w:val="none" w:sz="0" w:space="0" w:color="auto"/>
                            <w:left w:val="none" w:sz="0" w:space="0" w:color="auto"/>
                            <w:bottom w:val="none" w:sz="0" w:space="0" w:color="auto"/>
                            <w:right w:val="none" w:sz="0" w:space="0" w:color="auto"/>
                          </w:divBdr>
                        </w:div>
                      </w:divsChild>
                    </w:div>
                    <w:div w:id="294146430">
                      <w:marLeft w:val="0"/>
                      <w:marRight w:val="0"/>
                      <w:marTop w:val="0"/>
                      <w:marBottom w:val="0"/>
                      <w:divBdr>
                        <w:top w:val="none" w:sz="0" w:space="0" w:color="auto"/>
                        <w:left w:val="none" w:sz="0" w:space="0" w:color="auto"/>
                        <w:bottom w:val="none" w:sz="0" w:space="0" w:color="auto"/>
                        <w:right w:val="none" w:sz="0" w:space="0" w:color="auto"/>
                      </w:divBdr>
                    </w:div>
                    <w:div w:id="294146433">
                      <w:marLeft w:val="0"/>
                      <w:marRight w:val="0"/>
                      <w:marTop w:val="0"/>
                      <w:marBottom w:val="0"/>
                      <w:divBdr>
                        <w:top w:val="none" w:sz="0" w:space="0" w:color="auto"/>
                        <w:left w:val="none" w:sz="0" w:space="0" w:color="auto"/>
                        <w:bottom w:val="none" w:sz="0" w:space="0" w:color="auto"/>
                        <w:right w:val="none" w:sz="0" w:space="0" w:color="auto"/>
                      </w:divBdr>
                      <w:divsChild>
                        <w:div w:id="294151289">
                          <w:marLeft w:val="0"/>
                          <w:marRight w:val="0"/>
                          <w:marTop w:val="0"/>
                          <w:marBottom w:val="0"/>
                          <w:divBdr>
                            <w:top w:val="none" w:sz="0" w:space="0" w:color="auto"/>
                            <w:left w:val="none" w:sz="0" w:space="0" w:color="auto"/>
                            <w:bottom w:val="none" w:sz="0" w:space="0" w:color="auto"/>
                            <w:right w:val="none" w:sz="0" w:space="0" w:color="auto"/>
                          </w:divBdr>
                        </w:div>
                      </w:divsChild>
                    </w:div>
                    <w:div w:id="294146444">
                      <w:marLeft w:val="0"/>
                      <w:marRight w:val="0"/>
                      <w:marTop w:val="0"/>
                      <w:marBottom w:val="0"/>
                      <w:divBdr>
                        <w:top w:val="none" w:sz="0" w:space="0" w:color="auto"/>
                        <w:left w:val="none" w:sz="0" w:space="0" w:color="auto"/>
                        <w:bottom w:val="none" w:sz="0" w:space="0" w:color="auto"/>
                        <w:right w:val="none" w:sz="0" w:space="0" w:color="auto"/>
                      </w:divBdr>
                    </w:div>
                    <w:div w:id="294146541">
                      <w:marLeft w:val="0"/>
                      <w:marRight w:val="0"/>
                      <w:marTop w:val="0"/>
                      <w:marBottom w:val="0"/>
                      <w:divBdr>
                        <w:top w:val="none" w:sz="0" w:space="0" w:color="auto"/>
                        <w:left w:val="none" w:sz="0" w:space="0" w:color="auto"/>
                        <w:bottom w:val="none" w:sz="0" w:space="0" w:color="auto"/>
                        <w:right w:val="none" w:sz="0" w:space="0" w:color="auto"/>
                      </w:divBdr>
                    </w:div>
                    <w:div w:id="294146603">
                      <w:marLeft w:val="0"/>
                      <w:marRight w:val="0"/>
                      <w:marTop w:val="0"/>
                      <w:marBottom w:val="0"/>
                      <w:divBdr>
                        <w:top w:val="none" w:sz="0" w:space="0" w:color="auto"/>
                        <w:left w:val="none" w:sz="0" w:space="0" w:color="auto"/>
                        <w:bottom w:val="none" w:sz="0" w:space="0" w:color="auto"/>
                        <w:right w:val="none" w:sz="0" w:space="0" w:color="auto"/>
                      </w:divBdr>
                      <w:divsChild>
                        <w:div w:id="294148985">
                          <w:marLeft w:val="0"/>
                          <w:marRight w:val="0"/>
                          <w:marTop w:val="0"/>
                          <w:marBottom w:val="0"/>
                          <w:divBdr>
                            <w:top w:val="none" w:sz="0" w:space="0" w:color="auto"/>
                            <w:left w:val="none" w:sz="0" w:space="0" w:color="auto"/>
                            <w:bottom w:val="none" w:sz="0" w:space="0" w:color="auto"/>
                            <w:right w:val="none" w:sz="0" w:space="0" w:color="auto"/>
                          </w:divBdr>
                        </w:div>
                      </w:divsChild>
                    </w:div>
                    <w:div w:id="294146612">
                      <w:marLeft w:val="0"/>
                      <w:marRight w:val="0"/>
                      <w:marTop w:val="0"/>
                      <w:marBottom w:val="0"/>
                      <w:divBdr>
                        <w:top w:val="none" w:sz="0" w:space="0" w:color="auto"/>
                        <w:left w:val="none" w:sz="0" w:space="0" w:color="auto"/>
                        <w:bottom w:val="none" w:sz="0" w:space="0" w:color="auto"/>
                        <w:right w:val="none" w:sz="0" w:space="0" w:color="auto"/>
                      </w:divBdr>
                      <w:divsChild>
                        <w:div w:id="294154073">
                          <w:marLeft w:val="0"/>
                          <w:marRight w:val="0"/>
                          <w:marTop w:val="0"/>
                          <w:marBottom w:val="0"/>
                          <w:divBdr>
                            <w:top w:val="none" w:sz="0" w:space="0" w:color="auto"/>
                            <w:left w:val="none" w:sz="0" w:space="0" w:color="auto"/>
                            <w:bottom w:val="none" w:sz="0" w:space="0" w:color="auto"/>
                            <w:right w:val="none" w:sz="0" w:space="0" w:color="auto"/>
                          </w:divBdr>
                        </w:div>
                      </w:divsChild>
                    </w:div>
                    <w:div w:id="294146623">
                      <w:marLeft w:val="0"/>
                      <w:marRight w:val="0"/>
                      <w:marTop w:val="0"/>
                      <w:marBottom w:val="0"/>
                      <w:divBdr>
                        <w:top w:val="none" w:sz="0" w:space="0" w:color="auto"/>
                        <w:left w:val="none" w:sz="0" w:space="0" w:color="auto"/>
                        <w:bottom w:val="none" w:sz="0" w:space="0" w:color="auto"/>
                        <w:right w:val="none" w:sz="0" w:space="0" w:color="auto"/>
                      </w:divBdr>
                    </w:div>
                    <w:div w:id="294146639">
                      <w:marLeft w:val="0"/>
                      <w:marRight w:val="0"/>
                      <w:marTop w:val="0"/>
                      <w:marBottom w:val="0"/>
                      <w:divBdr>
                        <w:top w:val="none" w:sz="0" w:space="0" w:color="auto"/>
                        <w:left w:val="none" w:sz="0" w:space="0" w:color="auto"/>
                        <w:bottom w:val="none" w:sz="0" w:space="0" w:color="auto"/>
                        <w:right w:val="none" w:sz="0" w:space="0" w:color="auto"/>
                      </w:divBdr>
                      <w:divsChild>
                        <w:div w:id="294144194">
                          <w:marLeft w:val="0"/>
                          <w:marRight w:val="0"/>
                          <w:marTop w:val="0"/>
                          <w:marBottom w:val="0"/>
                          <w:divBdr>
                            <w:top w:val="none" w:sz="0" w:space="0" w:color="auto"/>
                            <w:left w:val="none" w:sz="0" w:space="0" w:color="auto"/>
                            <w:bottom w:val="none" w:sz="0" w:space="0" w:color="auto"/>
                            <w:right w:val="none" w:sz="0" w:space="0" w:color="auto"/>
                          </w:divBdr>
                        </w:div>
                      </w:divsChild>
                    </w:div>
                    <w:div w:id="294146644">
                      <w:marLeft w:val="0"/>
                      <w:marRight w:val="0"/>
                      <w:marTop w:val="0"/>
                      <w:marBottom w:val="0"/>
                      <w:divBdr>
                        <w:top w:val="none" w:sz="0" w:space="0" w:color="auto"/>
                        <w:left w:val="none" w:sz="0" w:space="0" w:color="auto"/>
                        <w:bottom w:val="none" w:sz="0" w:space="0" w:color="auto"/>
                        <w:right w:val="none" w:sz="0" w:space="0" w:color="auto"/>
                      </w:divBdr>
                    </w:div>
                    <w:div w:id="294146681">
                      <w:marLeft w:val="0"/>
                      <w:marRight w:val="0"/>
                      <w:marTop w:val="0"/>
                      <w:marBottom w:val="0"/>
                      <w:divBdr>
                        <w:top w:val="none" w:sz="0" w:space="0" w:color="auto"/>
                        <w:left w:val="none" w:sz="0" w:space="0" w:color="auto"/>
                        <w:bottom w:val="none" w:sz="0" w:space="0" w:color="auto"/>
                        <w:right w:val="none" w:sz="0" w:space="0" w:color="auto"/>
                      </w:divBdr>
                    </w:div>
                    <w:div w:id="294146716">
                      <w:marLeft w:val="0"/>
                      <w:marRight w:val="0"/>
                      <w:marTop w:val="0"/>
                      <w:marBottom w:val="0"/>
                      <w:divBdr>
                        <w:top w:val="none" w:sz="0" w:space="0" w:color="auto"/>
                        <w:left w:val="none" w:sz="0" w:space="0" w:color="auto"/>
                        <w:bottom w:val="none" w:sz="0" w:space="0" w:color="auto"/>
                        <w:right w:val="none" w:sz="0" w:space="0" w:color="auto"/>
                      </w:divBdr>
                    </w:div>
                    <w:div w:id="294146745">
                      <w:marLeft w:val="0"/>
                      <w:marRight w:val="0"/>
                      <w:marTop w:val="0"/>
                      <w:marBottom w:val="0"/>
                      <w:divBdr>
                        <w:top w:val="none" w:sz="0" w:space="0" w:color="auto"/>
                        <w:left w:val="none" w:sz="0" w:space="0" w:color="auto"/>
                        <w:bottom w:val="none" w:sz="0" w:space="0" w:color="auto"/>
                        <w:right w:val="none" w:sz="0" w:space="0" w:color="auto"/>
                      </w:divBdr>
                    </w:div>
                    <w:div w:id="294146756">
                      <w:marLeft w:val="0"/>
                      <w:marRight w:val="0"/>
                      <w:marTop w:val="0"/>
                      <w:marBottom w:val="0"/>
                      <w:divBdr>
                        <w:top w:val="none" w:sz="0" w:space="0" w:color="auto"/>
                        <w:left w:val="none" w:sz="0" w:space="0" w:color="auto"/>
                        <w:bottom w:val="none" w:sz="0" w:space="0" w:color="auto"/>
                        <w:right w:val="none" w:sz="0" w:space="0" w:color="auto"/>
                      </w:divBdr>
                    </w:div>
                    <w:div w:id="294146796">
                      <w:marLeft w:val="0"/>
                      <w:marRight w:val="0"/>
                      <w:marTop w:val="0"/>
                      <w:marBottom w:val="0"/>
                      <w:divBdr>
                        <w:top w:val="none" w:sz="0" w:space="0" w:color="auto"/>
                        <w:left w:val="none" w:sz="0" w:space="0" w:color="auto"/>
                        <w:bottom w:val="none" w:sz="0" w:space="0" w:color="auto"/>
                        <w:right w:val="none" w:sz="0" w:space="0" w:color="auto"/>
                      </w:divBdr>
                    </w:div>
                    <w:div w:id="294146924">
                      <w:marLeft w:val="0"/>
                      <w:marRight w:val="0"/>
                      <w:marTop w:val="0"/>
                      <w:marBottom w:val="0"/>
                      <w:divBdr>
                        <w:top w:val="none" w:sz="0" w:space="0" w:color="auto"/>
                        <w:left w:val="none" w:sz="0" w:space="0" w:color="auto"/>
                        <w:bottom w:val="none" w:sz="0" w:space="0" w:color="auto"/>
                        <w:right w:val="none" w:sz="0" w:space="0" w:color="auto"/>
                      </w:divBdr>
                    </w:div>
                    <w:div w:id="294146927">
                      <w:marLeft w:val="0"/>
                      <w:marRight w:val="0"/>
                      <w:marTop w:val="0"/>
                      <w:marBottom w:val="0"/>
                      <w:divBdr>
                        <w:top w:val="none" w:sz="0" w:space="0" w:color="auto"/>
                        <w:left w:val="none" w:sz="0" w:space="0" w:color="auto"/>
                        <w:bottom w:val="none" w:sz="0" w:space="0" w:color="auto"/>
                        <w:right w:val="none" w:sz="0" w:space="0" w:color="auto"/>
                      </w:divBdr>
                    </w:div>
                    <w:div w:id="294146936">
                      <w:marLeft w:val="0"/>
                      <w:marRight w:val="0"/>
                      <w:marTop w:val="0"/>
                      <w:marBottom w:val="0"/>
                      <w:divBdr>
                        <w:top w:val="none" w:sz="0" w:space="0" w:color="auto"/>
                        <w:left w:val="none" w:sz="0" w:space="0" w:color="auto"/>
                        <w:bottom w:val="none" w:sz="0" w:space="0" w:color="auto"/>
                        <w:right w:val="none" w:sz="0" w:space="0" w:color="auto"/>
                      </w:divBdr>
                      <w:divsChild>
                        <w:div w:id="294146092">
                          <w:marLeft w:val="0"/>
                          <w:marRight w:val="0"/>
                          <w:marTop w:val="0"/>
                          <w:marBottom w:val="0"/>
                          <w:divBdr>
                            <w:top w:val="none" w:sz="0" w:space="0" w:color="auto"/>
                            <w:left w:val="none" w:sz="0" w:space="0" w:color="auto"/>
                            <w:bottom w:val="none" w:sz="0" w:space="0" w:color="auto"/>
                            <w:right w:val="none" w:sz="0" w:space="0" w:color="auto"/>
                          </w:divBdr>
                        </w:div>
                      </w:divsChild>
                    </w:div>
                    <w:div w:id="294147093">
                      <w:marLeft w:val="0"/>
                      <w:marRight w:val="0"/>
                      <w:marTop w:val="0"/>
                      <w:marBottom w:val="0"/>
                      <w:divBdr>
                        <w:top w:val="none" w:sz="0" w:space="0" w:color="auto"/>
                        <w:left w:val="none" w:sz="0" w:space="0" w:color="auto"/>
                        <w:bottom w:val="none" w:sz="0" w:space="0" w:color="auto"/>
                        <w:right w:val="none" w:sz="0" w:space="0" w:color="auto"/>
                      </w:divBdr>
                    </w:div>
                    <w:div w:id="294147145">
                      <w:marLeft w:val="0"/>
                      <w:marRight w:val="0"/>
                      <w:marTop w:val="0"/>
                      <w:marBottom w:val="0"/>
                      <w:divBdr>
                        <w:top w:val="none" w:sz="0" w:space="0" w:color="auto"/>
                        <w:left w:val="none" w:sz="0" w:space="0" w:color="auto"/>
                        <w:bottom w:val="none" w:sz="0" w:space="0" w:color="auto"/>
                        <w:right w:val="none" w:sz="0" w:space="0" w:color="auto"/>
                      </w:divBdr>
                      <w:divsChild>
                        <w:div w:id="294155799">
                          <w:marLeft w:val="0"/>
                          <w:marRight w:val="0"/>
                          <w:marTop w:val="0"/>
                          <w:marBottom w:val="0"/>
                          <w:divBdr>
                            <w:top w:val="none" w:sz="0" w:space="0" w:color="auto"/>
                            <w:left w:val="none" w:sz="0" w:space="0" w:color="auto"/>
                            <w:bottom w:val="none" w:sz="0" w:space="0" w:color="auto"/>
                            <w:right w:val="none" w:sz="0" w:space="0" w:color="auto"/>
                          </w:divBdr>
                        </w:div>
                      </w:divsChild>
                    </w:div>
                    <w:div w:id="294147369">
                      <w:marLeft w:val="0"/>
                      <w:marRight w:val="0"/>
                      <w:marTop w:val="0"/>
                      <w:marBottom w:val="0"/>
                      <w:divBdr>
                        <w:top w:val="none" w:sz="0" w:space="0" w:color="auto"/>
                        <w:left w:val="none" w:sz="0" w:space="0" w:color="auto"/>
                        <w:bottom w:val="none" w:sz="0" w:space="0" w:color="auto"/>
                        <w:right w:val="none" w:sz="0" w:space="0" w:color="auto"/>
                      </w:divBdr>
                      <w:divsChild>
                        <w:div w:id="294139508">
                          <w:marLeft w:val="0"/>
                          <w:marRight w:val="0"/>
                          <w:marTop w:val="0"/>
                          <w:marBottom w:val="0"/>
                          <w:divBdr>
                            <w:top w:val="none" w:sz="0" w:space="0" w:color="auto"/>
                            <w:left w:val="none" w:sz="0" w:space="0" w:color="auto"/>
                            <w:bottom w:val="none" w:sz="0" w:space="0" w:color="auto"/>
                            <w:right w:val="none" w:sz="0" w:space="0" w:color="auto"/>
                          </w:divBdr>
                        </w:div>
                      </w:divsChild>
                    </w:div>
                    <w:div w:id="294147386">
                      <w:marLeft w:val="0"/>
                      <w:marRight w:val="0"/>
                      <w:marTop w:val="0"/>
                      <w:marBottom w:val="0"/>
                      <w:divBdr>
                        <w:top w:val="none" w:sz="0" w:space="0" w:color="auto"/>
                        <w:left w:val="none" w:sz="0" w:space="0" w:color="auto"/>
                        <w:bottom w:val="none" w:sz="0" w:space="0" w:color="auto"/>
                        <w:right w:val="none" w:sz="0" w:space="0" w:color="auto"/>
                      </w:divBdr>
                    </w:div>
                    <w:div w:id="294147463">
                      <w:marLeft w:val="0"/>
                      <w:marRight w:val="0"/>
                      <w:marTop w:val="0"/>
                      <w:marBottom w:val="0"/>
                      <w:divBdr>
                        <w:top w:val="none" w:sz="0" w:space="0" w:color="auto"/>
                        <w:left w:val="none" w:sz="0" w:space="0" w:color="auto"/>
                        <w:bottom w:val="none" w:sz="0" w:space="0" w:color="auto"/>
                        <w:right w:val="none" w:sz="0" w:space="0" w:color="auto"/>
                      </w:divBdr>
                    </w:div>
                    <w:div w:id="294147502">
                      <w:marLeft w:val="0"/>
                      <w:marRight w:val="0"/>
                      <w:marTop w:val="0"/>
                      <w:marBottom w:val="0"/>
                      <w:divBdr>
                        <w:top w:val="none" w:sz="0" w:space="0" w:color="auto"/>
                        <w:left w:val="none" w:sz="0" w:space="0" w:color="auto"/>
                        <w:bottom w:val="none" w:sz="0" w:space="0" w:color="auto"/>
                        <w:right w:val="none" w:sz="0" w:space="0" w:color="auto"/>
                      </w:divBdr>
                      <w:divsChild>
                        <w:div w:id="294144021">
                          <w:marLeft w:val="0"/>
                          <w:marRight w:val="0"/>
                          <w:marTop w:val="0"/>
                          <w:marBottom w:val="0"/>
                          <w:divBdr>
                            <w:top w:val="none" w:sz="0" w:space="0" w:color="auto"/>
                            <w:left w:val="none" w:sz="0" w:space="0" w:color="auto"/>
                            <w:bottom w:val="none" w:sz="0" w:space="0" w:color="auto"/>
                            <w:right w:val="none" w:sz="0" w:space="0" w:color="auto"/>
                          </w:divBdr>
                        </w:div>
                      </w:divsChild>
                    </w:div>
                    <w:div w:id="294147517">
                      <w:marLeft w:val="0"/>
                      <w:marRight w:val="0"/>
                      <w:marTop w:val="0"/>
                      <w:marBottom w:val="0"/>
                      <w:divBdr>
                        <w:top w:val="none" w:sz="0" w:space="0" w:color="auto"/>
                        <w:left w:val="none" w:sz="0" w:space="0" w:color="auto"/>
                        <w:bottom w:val="none" w:sz="0" w:space="0" w:color="auto"/>
                        <w:right w:val="none" w:sz="0" w:space="0" w:color="auto"/>
                      </w:divBdr>
                    </w:div>
                    <w:div w:id="294147522">
                      <w:marLeft w:val="0"/>
                      <w:marRight w:val="0"/>
                      <w:marTop w:val="0"/>
                      <w:marBottom w:val="0"/>
                      <w:divBdr>
                        <w:top w:val="none" w:sz="0" w:space="0" w:color="auto"/>
                        <w:left w:val="none" w:sz="0" w:space="0" w:color="auto"/>
                        <w:bottom w:val="none" w:sz="0" w:space="0" w:color="auto"/>
                        <w:right w:val="none" w:sz="0" w:space="0" w:color="auto"/>
                      </w:divBdr>
                      <w:divsChild>
                        <w:div w:id="294155193">
                          <w:marLeft w:val="0"/>
                          <w:marRight w:val="0"/>
                          <w:marTop w:val="0"/>
                          <w:marBottom w:val="0"/>
                          <w:divBdr>
                            <w:top w:val="none" w:sz="0" w:space="0" w:color="auto"/>
                            <w:left w:val="none" w:sz="0" w:space="0" w:color="auto"/>
                            <w:bottom w:val="none" w:sz="0" w:space="0" w:color="auto"/>
                            <w:right w:val="none" w:sz="0" w:space="0" w:color="auto"/>
                          </w:divBdr>
                        </w:div>
                      </w:divsChild>
                    </w:div>
                    <w:div w:id="294147530">
                      <w:marLeft w:val="0"/>
                      <w:marRight w:val="0"/>
                      <w:marTop w:val="0"/>
                      <w:marBottom w:val="0"/>
                      <w:divBdr>
                        <w:top w:val="none" w:sz="0" w:space="0" w:color="auto"/>
                        <w:left w:val="none" w:sz="0" w:space="0" w:color="auto"/>
                        <w:bottom w:val="none" w:sz="0" w:space="0" w:color="auto"/>
                        <w:right w:val="none" w:sz="0" w:space="0" w:color="auto"/>
                      </w:divBdr>
                    </w:div>
                    <w:div w:id="294147536">
                      <w:marLeft w:val="0"/>
                      <w:marRight w:val="0"/>
                      <w:marTop w:val="0"/>
                      <w:marBottom w:val="0"/>
                      <w:divBdr>
                        <w:top w:val="none" w:sz="0" w:space="0" w:color="auto"/>
                        <w:left w:val="none" w:sz="0" w:space="0" w:color="auto"/>
                        <w:bottom w:val="none" w:sz="0" w:space="0" w:color="auto"/>
                        <w:right w:val="none" w:sz="0" w:space="0" w:color="auto"/>
                      </w:divBdr>
                      <w:divsChild>
                        <w:div w:id="294149842">
                          <w:marLeft w:val="0"/>
                          <w:marRight w:val="0"/>
                          <w:marTop w:val="0"/>
                          <w:marBottom w:val="0"/>
                          <w:divBdr>
                            <w:top w:val="none" w:sz="0" w:space="0" w:color="auto"/>
                            <w:left w:val="none" w:sz="0" w:space="0" w:color="auto"/>
                            <w:bottom w:val="none" w:sz="0" w:space="0" w:color="auto"/>
                            <w:right w:val="none" w:sz="0" w:space="0" w:color="auto"/>
                          </w:divBdr>
                        </w:div>
                      </w:divsChild>
                    </w:div>
                    <w:div w:id="294147609">
                      <w:marLeft w:val="0"/>
                      <w:marRight w:val="0"/>
                      <w:marTop w:val="0"/>
                      <w:marBottom w:val="0"/>
                      <w:divBdr>
                        <w:top w:val="none" w:sz="0" w:space="0" w:color="auto"/>
                        <w:left w:val="none" w:sz="0" w:space="0" w:color="auto"/>
                        <w:bottom w:val="none" w:sz="0" w:space="0" w:color="auto"/>
                        <w:right w:val="none" w:sz="0" w:space="0" w:color="auto"/>
                      </w:divBdr>
                    </w:div>
                    <w:div w:id="294147665">
                      <w:marLeft w:val="0"/>
                      <w:marRight w:val="0"/>
                      <w:marTop w:val="0"/>
                      <w:marBottom w:val="0"/>
                      <w:divBdr>
                        <w:top w:val="none" w:sz="0" w:space="0" w:color="auto"/>
                        <w:left w:val="none" w:sz="0" w:space="0" w:color="auto"/>
                        <w:bottom w:val="none" w:sz="0" w:space="0" w:color="auto"/>
                        <w:right w:val="none" w:sz="0" w:space="0" w:color="auto"/>
                      </w:divBdr>
                    </w:div>
                    <w:div w:id="294147672">
                      <w:marLeft w:val="0"/>
                      <w:marRight w:val="0"/>
                      <w:marTop w:val="0"/>
                      <w:marBottom w:val="0"/>
                      <w:divBdr>
                        <w:top w:val="none" w:sz="0" w:space="0" w:color="auto"/>
                        <w:left w:val="none" w:sz="0" w:space="0" w:color="auto"/>
                        <w:bottom w:val="none" w:sz="0" w:space="0" w:color="auto"/>
                        <w:right w:val="none" w:sz="0" w:space="0" w:color="auto"/>
                      </w:divBdr>
                      <w:divsChild>
                        <w:div w:id="294146208">
                          <w:marLeft w:val="0"/>
                          <w:marRight w:val="0"/>
                          <w:marTop w:val="0"/>
                          <w:marBottom w:val="0"/>
                          <w:divBdr>
                            <w:top w:val="none" w:sz="0" w:space="0" w:color="auto"/>
                            <w:left w:val="none" w:sz="0" w:space="0" w:color="auto"/>
                            <w:bottom w:val="none" w:sz="0" w:space="0" w:color="auto"/>
                            <w:right w:val="none" w:sz="0" w:space="0" w:color="auto"/>
                          </w:divBdr>
                        </w:div>
                      </w:divsChild>
                    </w:div>
                    <w:div w:id="294147683">
                      <w:marLeft w:val="0"/>
                      <w:marRight w:val="0"/>
                      <w:marTop w:val="0"/>
                      <w:marBottom w:val="0"/>
                      <w:divBdr>
                        <w:top w:val="none" w:sz="0" w:space="0" w:color="auto"/>
                        <w:left w:val="none" w:sz="0" w:space="0" w:color="auto"/>
                        <w:bottom w:val="none" w:sz="0" w:space="0" w:color="auto"/>
                        <w:right w:val="none" w:sz="0" w:space="0" w:color="auto"/>
                      </w:divBdr>
                      <w:divsChild>
                        <w:div w:id="294154570">
                          <w:marLeft w:val="0"/>
                          <w:marRight w:val="0"/>
                          <w:marTop w:val="0"/>
                          <w:marBottom w:val="0"/>
                          <w:divBdr>
                            <w:top w:val="none" w:sz="0" w:space="0" w:color="auto"/>
                            <w:left w:val="none" w:sz="0" w:space="0" w:color="auto"/>
                            <w:bottom w:val="none" w:sz="0" w:space="0" w:color="auto"/>
                            <w:right w:val="none" w:sz="0" w:space="0" w:color="auto"/>
                          </w:divBdr>
                        </w:div>
                      </w:divsChild>
                    </w:div>
                    <w:div w:id="294147739">
                      <w:marLeft w:val="0"/>
                      <w:marRight w:val="0"/>
                      <w:marTop w:val="0"/>
                      <w:marBottom w:val="0"/>
                      <w:divBdr>
                        <w:top w:val="none" w:sz="0" w:space="0" w:color="auto"/>
                        <w:left w:val="none" w:sz="0" w:space="0" w:color="auto"/>
                        <w:bottom w:val="none" w:sz="0" w:space="0" w:color="auto"/>
                        <w:right w:val="none" w:sz="0" w:space="0" w:color="auto"/>
                      </w:divBdr>
                    </w:div>
                    <w:div w:id="294147742">
                      <w:marLeft w:val="0"/>
                      <w:marRight w:val="0"/>
                      <w:marTop w:val="0"/>
                      <w:marBottom w:val="0"/>
                      <w:divBdr>
                        <w:top w:val="none" w:sz="0" w:space="0" w:color="auto"/>
                        <w:left w:val="none" w:sz="0" w:space="0" w:color="auto"/>
                        <w:bottom w:val="none" w:sz="0" w:space="0" w:color="auto"/>
                        <w:right w:val="none" w:sz="0" w:space="0" w:color="auto"/>
                      </w:divBdr>
                      <w:divsChild>
                        <w:div w:id="294142175">
                          <w:marLeft w:val="0"/>
                          <w:marRight w:val="0"/>
                          <w:marTop w:val="0"/>
                          <w:marBottom w:val="0"/>
                          <w:divBdr>
                            <w:top w:val="none" w:sz="0" w:space="0" w:color="auto"/>
                            <w:left w:val="none" w:sz="0" w:space="0" w:color="auto"/>
                            <w:bottom w:val="none" w:sz="0" w:space="0" w:color="auto"/>
                            <w:right w:val="none" w:sz="0" w:space="0" w:color="auto"/>
                          </w:divBdr>
                        </w:div>
                      </w:divsChild>
                    </w:div>
                    <w:div w:id="294147744">
                      <w:marLeft w:val="0"/>
                      <w:marRight w:val="0"/>
                      <w:marTop w:val="0"/>
                      <w:marBottom w:val="0"/>
                      <w:divBdr>
                        <w:top w:val="none" w:sz="0" w:space="0" w:color="auto"/>
                        <w:left w:val="none" w:sz="0" w:space="0" w:color="auto"/>
                        <w:bottom w:val="none" w:sz="0" w:space="0" w:color="auto"/>
                        <w:right w:val="none" w:sz="0" w:space="0" w:color="auto"/>
                      </w:divBdr>
                    </w:div>
                    <w:div w:id="294147751">
                      <w:marLeft w:val="0"/>
                      <w:marRight w:val="0"/>
                      <w:marTop w:val="0"/>
                      <w:marBottom w:val="0"/>
                      <w:divBdr>
                        <w:top w:val="none" w:sz="0" w:space="0" w:color="auto"/>
                        <w:left w:val="none" w:sz="0" w:space="0" w:color="auto"/>
                        <w:bottom w:val="none" w:sz="0" w:space="0" w:color="auto"/>
                        <w:right w:val="none" w:sz="0" w:space="0" w:color="auto"/>
                      </w:divBdr>
                      <w:divsChild>
                        <w:div w:id="294147105">
                          <w:marLeft w:val="0"/>
                          <w:marRight w:val="0"/>
                          <w:marTop w:val="0"/>
                          <w:marBottom w:val="0"/>
                          <w:divBdr>
                            <w:top w:val="none" w:sz="0" w:space="0" w:color="auto"/>
                            <w:left w:val="none" w:sz="0" w:space="0" w:color="auto"/>
                            <w:bottom w:val="none" w:sz="0" w:space="0" w:color="auto"/>
                            <w:right w:val="none" w:sz="0" w:space="0" w:color="auto"/>
                          </w:divBdr>
                        </w:div>
                      </w:divsChild>
                    </w:div>
                    <w:div w:id="294147776">
                      <w:marLeft w:val="0"/>
                      <w:marRight w:val="0"/>
                      <w:marTop w:val="0"/>
                      <w:marBottom w:val="0"/>
                      <w:divBdr>
                        <w:top w:val="none" w:sz="0" w:space="0" w:color="auto"/>
                        <w:left w:val="none" w:sz="0" w:space="0" w:color="auto"/>
                        <w:bottom w:val="none" w:sz="0" w:space="0" w:color="auto"/>
                        <w:right w:val="none" w:sz="0" w:space="0" w:color="auto"/>
                      </w:divBdr>
                      <w:divsChild>
                        <w:div w:id="294143466">
                          <w:marLeft w:val="0"/>
                          <w:marRight w:val="0"/>
                          <w:marTop w:val="0"/>
                          <w:marBottom w:val="0"/>
                          <w:divBdr>
                            <w:top w:val="none" w:sz="0" w:space="0" w:color="auto"/>
                            <w:left w:val="none" w:sz="0" w:space="0" w:color="auto"/>
                            <w:bottom w:val="none" w:sz="0" w:space="0" w:color="auto"/>
                            <w:right w:val="none" w:sz="0" w:space="0" w:color="auto"/>
                          </w:divBdr>
                        </w:div>
                      </w:divsChild>
                    </w:div>
                    <w:div w:id="294147788">
                      <w:marLeft w:val="0"/>
                      <w:marRight w:val="0"/>
                      <w:marTop w:val="0"/>
                      <w:marBottom w:val="0"/>
                      <w:divBdr>
                        <w:top w:val="none" w:sz="0" w:space="0" w:color="auto"/>
                        <w:left w:val="none" w:sz="0" w:space="0" w:color="auto"/>
                        <w:bottom w:val="none" w:sz="0" w:space="0" w:color="auto"/>
                        <w:right w:val="none" w:sz="0" w:space="0" w:color="auto"/>
                      </w:divBdr>
                      <w:divsChild>
                        <w:div w:id="294140989">
                          <w:marLeft w:val="0"/>
                          <w:marRight w:val="0"/>
                          <w:marTop w:val="0"/>
                          <w:marBottom w:val="0"/>
                          <w:divBdr>
                            <w:top w:val="none" w:sz="0" w:space="0" w:color="auto"/>
                            <w:left w:val="none" w:sz="0" w:space="0" w:color="auto"/>
                            <w:bottom w:val="none" w:sz="0" w:space="0" w:color="auto"/>
                            <w:right w:val="none" w:sz="0" w:space="0" w:color="auto"/>
                          </w:divBdr>
                        </w:div>
                      </w:divsChild>
                    </w:div>
                    <w:div w:id="294147790">
                      <w:marLeft w:val="0"/>
                      <w:marRight w:val="0"/>
                      <w:marTop w:val="0"/>
                      <w:marBottom w:val="0"/>
                      <w:divBdr>
                        <w:top w:val="none" w:sz="0" w:space="0" w:color="auto"/>
                        <w:left w:val="none" w:sz="0" w:space="0" w:color="auto"/>
                        <w:bottom w:val="none" w:sz="0" w:space="0" w:color="auto"/>
                        <w:right w:val="none" w:sz="0" w:space="0" w:color="auto"/>
                      </w:divBdr>
                    </w:div>
                    <w:div w:id="294147849">
                      <w:marLeft w:val="0"/>
                      <w:marRight w:val="0"/>
                      <w:marTop w:val="0"/>
                      <w:marBottom w:val="0"/>
                      <w:divBdr>
                        <w:top w:val="none" w:sz="0" w:space="0" w:color="auto"/>
                        <w:left w:val="none" w:sz="0" w:space="0" w:color="auto"/>
                        <w:bottom w:val="none" w:sz="0" w:space="0" w:color="auto"/>
                        <w:right w:val="none" w:sz="0" w:space="0" w:color="auto"/>
                      </w:divBdr>
                    </w:div>
                    <w:div w:id="294147855">
                      <w:marLeft w:val="0"/>
                      <w:marRight w:val="0"/>
                      <w:marTop w:val="0"/>
                      <w:marBottom w:val="0"/>
                      <w:divBdr>
                        <w:top w:val="none" w:sz="0" w:space="0" w:color="auto"/>
                        <w:left w:val="none" w:sz="0" w:space="0" w:color="auto"/>
                        <w:bottom w:val="none" w:sz="0" w:space="0" w:color="auto"/>
                        <w:right w:val="none" w:sz="0" w:space="0" w:color="auto"/>
                      </w:divBdr>
                      <w:divsChild>
                        <w:div w:id="294153787">
                          <w:marLeft w:val="0"/>
                          <w:marRight w:val="0"/>
                          <w:marTop w:val="0"/>
                          <w:marBottom w:val="0"/>
                          <w:divBdr>
                            <w:top w:val="none" w:sz="0" w:space="0" w:color="auto"/>
                            <w:left w:val="none" w:sz="0" w:space="0" w:color="auto"/>
                            <w:bottom w:val="none" w:sz="0" w:space="0" w:color="auto"/>
                            <w:right w:val="none" w:sz="0" w:space="0" w:color="auto"/>
                          </w:divBdr>
                        </w:div>
                      </w:divsChild>
                    </w:div>
                    <w:div w:id="294147858">
                      <w:marLeft w:val="0"/>
                      <w:marRight w:val="0"/>
                      <w:marTop w:val="0"/>
                      <w:marBottom w:val="0"/>
                      <w:divBdr>
                        <w:top w:val="none" w:sz="0" w:space="0" w:color="auto"/>
                        <w:left w:val="none" w:sz="0" w:space="0" w:color="auto"/>
                        <w:bottom w:val="none" w:sz="0" w:space="0" w:color="auto"/>
                        <w:right w:val="none" w:sz="0" w:space="0" w:color="auto"/>
                      </w:divBdr>
                      <w:divsChild>
                        <w:div w:id="294149334">
                          <w:marLeft w:val="0"/>
                          <w:marRight w:val="0"/>
                          <w:marTop w:val="0"/>
                          <w:marBottom w:val="0"/>
                          <w:divBdr>
                            <w:top w:val="none" w:sz="0" w:space="0" w:color="auto"/>
                            <w:left w:val="none" w:sz="0" w:space="0" w:color="auto"/>
                            <w:bottom w:val="none" w:sz="0" w:space="0" w:color="auto"/>
                            <w:right w:val="none" w:sz="0" w:space="0" w:color="auto"/>
                          </w:divBdr>
                        </w:div>
                      </w:divsChild>
                    </w:div>
                    <w:div w:id="294147905">
                      <w:marLeft w:val="0"/>
                      <w:marRight w:val="0"/>
                      <w:marTop w:val="0"/>
                      <w:marBottom w:val="0"/>
                      <w:divBdr>
                        <w:top w:val="none" w:sz="0" w:space="0" w:color="auto"/>
                        <w:left w:val="none" w:sz="0" w:space="0" w:color="auto"/>
                        <w:bottom w:val="none" w:sz="0" w:space="0" w:color="auto"/>
                        <w:right w:val="none" w:sz="0" w:space="0" w:color="auto"/>
                      </w:divBdr>
                    </w:div>
                    <w:div w:id="294147913">
                      <w:marLeft w:val="0"/>
                      <w:marRight w:val="0"/>
                      <w:marTop w:val="0"/>
                      <w:marBottom w:val="0"/>
                      <w:divBdr>
                        <w:top w:val="none" w:sz="0" w:space="0" w:color="auto"/>
                        <w:left w:val="none" w:sz="0" w:space="0" w:color="auto"/>
                        <w:bottom w:val="none" w:sz="0" w:space="0" w:color="auto"/>
                        <w:right w:val="none" w:sz="0" w:space="0" w:color="auto"/>
                      </w:divBdr>
                      <w:divsChild>
                        <w:div w:id="294146926">
                          <w:marLeft w:val="0"/>
                          <w:marRight w:val="0"/>
                          <w:marTop w:val="0"/>
                          <w:marBottom w:val="0"/>
                          <w:divBdr>
                            <w:top w:val="none" w:sz="0" w:space="0" w:color="auto"/>
                            <w:left w:val="none" w:sz="0" w:space="0" w:color="auto"/>
                            <w:bottom w:val="none" w:sz="0" w:space="0" w:color="auto"/>
                            <w:right w:val="none" w:sz="0" w:space="0" w:color="auto"/>
                          </w:divBdr>
                        </w:div>
                      </w:divsChild>
                    </w:div>
                    <w:div w:id="294147959">
                      <w:marLeft w:val="0"/>
                      <w:marRight w:val="0"/>
                      <w:marTop w:val="0"/>
                      <w:marBottom w:val="0"/>
                      <w:divBdr>
                        <w:top w:val="none" w:sz="0" w:space="0" w:color="auto"/>
                        <w:left w:val="none" w:sz="0" w:space="0" w:color="auto"/>
                        <w:bottom w:val="none" w:sz="0" w:space="0" w:color="auto"/>
                        <w:right w:val="none" w:sz="0" w:space="0" w:color="auto"/>
                      </w:divBdr>
                    </w:div>
                    <w:div w:id="294147980">
                      <w:marLeft w:val="0"/>
                      <w:marRight w:val="0"/>
                      <w:marTop w:val="0"/>
                      <w:marBottom w:val="0"/>
                      <w:divBdr>
                        <w:top w:val="none" w:sz="0" w:space="0" w:color="auto"/>
                        <w:left w:val="none" w:sz="0" w:space="0" w:color="auto"/>
                        <w:bottom w:val="none" w:sz="0" w:space="0" w:color="auto"/>
                        <w:right w:val="none" w:sz="0" w:space="0" w:color="auto"/>
                      </w:divBdr>
                    </w:div>
                    <w:div w:id="294147987">
                      <w:marLeft w:val="0"/>
                      <w:marRight w:val="0"/>
                      <w:marTop w:val="0"/>
                      <w:marBottom w:val="0"/>
                      <w:divBdr>
                        <w:top w:val="none" w:sz="0" w:space="0" w:color="auto"/>
                        <w:left w:val="none" w:sz="0" w:space="0" w:color="auto"/>
                        <w:bottom w:val="none" w:sz="0" w:space="0" w:color="auto"/>
                        <w:right w:val="none" w:sz="0" w:space="0" w:color="auto"/>
                      </w:divBdr>
                    </w:div>
                    <w:div w:id="294147993">
                      <w:marLeft w:val="0"/>
                      <w:marRight w:val="0"/>
                      <w:marTop w:val="0"/>
                      <w:marBottom w:val="0"/>
                      <w:divBdr>
                        <w:top w:val="none" w:sz="0" w:space="0" w:color="auto"/>
                        <w:left w:val="none" w:sz="0" w:space="0" w:color="auto"/>
                        <w:bottom w:val="none" w:sz="0" w:space="0" w:color="auto"/>
                        <w:right w:val="none" w:sz="0" w:space="0" w:color="auto"/>
                      </w:divBdr>
                    </w:div>
                    <w:div w:id="294148060">
                      <w:marLeft w:val="0"/>
                      <w:marRight w:val="0"/>
                      <w:marTop w:val="0"/>
                      <w:marBottom w:val="0"/>
                      <w:divBdr>
                        <w:top w:val="none" w:sz="0" w:space="0" w:color="auto"/>
                        <w:left w:val="none" w:sz="0" w:space="0" w:color="auto"/>
                        <w:bottom w:val="none" w:sz="0" w:space="0" w:color="auto"/>
                        <w:right w:val="none" w:sz="0" w:space="0" w:color="auto"/>
                      </w:divBdr>
                    </w:div>
                    <w:div w:id="294148081">
                      <w:marLeft w:val="0"/>
                      <w:marRight w:val="0"/>
                      <w:marTop w:val="0"/>
                      <w:marBottom w:val="0"/>
                      <w:divBdr>
                        <w:top w:val="none" w:sz="0" w:space="0" w:color="auto"/>
                        <w:left w:val="none" w:sz="0" w:space="0" w:color="auto"/>
                        <w:bottom w:val="none" w:sz="0" w:space="0" w:color="auto"/>
                        <w:right w:val="none" w:sz="0" w:space="0" w:color="auto"/>
                      </w:divBdr>
                      <w:divsChild>
                        <w:div w:id="294153245">
                          <w:marLeft w:val="0"/>
                          <w:marRight w:val="0"/>
                          <w:marTop w:val="0"/>
                          <w:marBottom w:val="0"/>
                          <w:divBdr>
                            <w:top w:val="none" w:sz="0" w:space="0" w:color="auto"/>
                            <w:left w:val="none" w:sz="0" w:space="0" w:color="auto"/>
                            <w:bottom w:val="none" w:sz="0" w:space="0" w:color="auto"/>
                            <w:right w:val="none" w:sz="0" w:space="0" w:color="auto"/>
                          </w:divBdr>
                        </w:div>
                      </w:divsChild>
                    </w:div>
                    <w:div w:id="294148145">
                      <w:marLeft w:val="0"/>
                      <w:marRight w:val="0"/>
                      <w:marTop w:val="0"/>
                      <w:marBottom w:val="0"/>
                      <w:divBdr>
                        <w:top w:val="none" w:sz="0" w:space="0" w:color="auto"/>
                        <w:left w:val="none" w:sz="0" w:space="0" w:color="auto"/>
                        <w:bottom w:val="none" w:sz="0" w:space="0" w:color="auto"/>
                        <w:right w:val="none" w:sz="0" w:space="0" w:color="auto"/>
                      </w:divBdr>
                      <w:divsChild>
                        <w:div w:id="294138132">
                          <w:marLeft w:val="0"/>
                          <w:marRight w:val="0"/>
                          <w:marTop w:val="0"/>
                          <w:marBottom w:val="0"/>
                          <w:divBdr>
                            <w:top w:val="none" w:sz="0" w:space="0" w:color="auto"/>
                            <w:left w:val="none" w:sz="0" w:space="0" w:color="auto"/>
                            <w:bottom w:val="none" w:sz="0" w:space="0" w:color="auto"/>
                            <w:right w:val="none" w:sz="0" w:space="0" w:color="auto"/>
                          </w:divBdr>
                        </w:div>
                      </w:divsChild>
                    </w:div>
                    <w:div w:id="294148177">
                      <w:marLeft w:val="0"/>
                      <w:marRight w:val="0"/>
                      <w:marTop w:val="0"/>
                      <w:marBottom w:val="0"/>
                      <w:divBdr>
                        <w:top w:val="none" w:sz="0" w:space="0" w:color="auto"/>
                        <w:left w:val="none" w:sz="0" w:space="0" w:color="auto"/>
                        <w:bottom w:val="none" w:sz="0" w:space="0" w:color="auto"/>
                        <w:right w:val="none" w:sz="0" w:space="0" w:color="auto"/>
                      </w:divBdr>
                      <w:divsChild>
                        <w:div w:id="294146714">
                          <w:marLeft w:val="0"/>
                          <w:marRight w:val="0"/>
                          <w:marTop w:val="0"/>
                          <w:marBottom w:val="0"/>
                          <w:divBdr>
                            <w:top w:val="none" w:sz="0" w:space="0" w:color="auto"/>
                            <w:left w:val="none" w:sz="0" w:space="0" w:color="auto"/>
                            <w:bottom w:val="none" w:sz="0" w:space="0" w:color="auto"/>
                            <w:right w:val="none" w:sz="0" w:space="0" w:color="auto"/>
                          </w:divBdr>
                        </w:div>
                      </w:divsChild>
                    </w:div>
                    <w:div w:id="294148281">
                      <w:marLeft w:val="0"/>
                      <w:marRight w:val="0"/>
                      <w:marTop w:val="0"/>
                      <w:marBottom w:val="0"/>
                      <w:divBdr>
                        <w:top w:val="none" w:sz="0" w:space="0" w:color="auto"/>
                        <w:left w:val="none" w:sz="0" w:space="0" w:color="auto"/>
                        <w:bottom w:val="none" w:sz="0" w:space="0" w:color="auto"/>
                        <w:right w:val="none" w:sz="0" w:space="0" w:color="auto"/>
                      </w:divBdr>
                      <w:divsChild>
                        <w:div w:id="294150309">
                          <w:marLeft w:val="0"/>
                          <w:marRight w:val="0"/>
                          <w:marTop w:val="0"/>
                          <w:marBottom w:val="0"/>
                          <w:divBdr>
                            <w:top w:val="none" w:sz="0" w:space="0" w:color="auto"/>
                            <w:left w:val="none" w:sz="0" w:space="0" w:color="auto"/>
                            <w:bottom w:val="none" w:sz="0" w:space="0" w:color="auto"/>
                            <w:right w:val="none" w:sz="0" w:space="0" w:color="auto"/>
                          </w:divBdr>
                        </w:div>
                      </w:divsChild>
                    </w:div>
                    <w:div w:id="294148295">
                      <w:marLeft w:val="0"/>
                      <w:marRight w:val="0"/>
                      <w:marTop w:val="0"/>
                      <w:marBottom w:val="0"/>
                      <w:divBdr>
                        <w:top w:val="none" w:sz="0" w:space="0" w:color="auto"/>
                        <w:left w:val="none" w:sz="0" w:space="0" w:color="auto"/>
                        <w:bottom w:val="none" w:sz="0" w:space="0" w:color="auto"/>
                        <w:right w:val="none" w:sz="0" w:space="0" w:color="auto"/>
                      </w:divBdr>
                    </w:div>
                    <w:div w:id="294148318">
                      <w:marLeft w:val="0"/>
                      <w:marRight w:val="0"/>
                      <w:marTop w:val="0"/>
                      <w:marBottom w:val="0"/>
                      <w:divBdr>
                        <w:top w:val="none" w:sz="0" w:space="0" w:color="auto"/>
                        <w:left w:val="none" w:sz="0" w:space="0" w:color="auto"/>
                        <w:bottom w:val="none" w:sz="0" w:space="0" w:color="auto"/>
                        <w:right w:val="none" w:sz="0" w:space="0" w:color="auto"/>
                      </w:divBdr>
                    </w:div>
                    <w:div w:id="294148327">
                      <w:marLeft w:val="0"/>
                      <w:marRight w:val="0"/>
                      <w:marTop w:val="0"/>
                      <w:marBottom w:val="0"/>
                      <w:divBdr>
                        <w:top w:val="none" w:sz="0" w:space="0" w:color="auto"/>
                        <w:left w:val="none" w:sz="0" w:space="0" w:color="auto"/>
                        <w:bottom w:val="none" w:sz="0" w:space="0" w:color="auto"/>
                        <w:right w:val="none" w:sz="0" w:space="0" w:color="auto"/>
                      </w:divBdr>
                    </w:div>
                    <w:div w:id="294148497">
                      <w:marLeft w:val="0"/>
                      <w:marRight w:val="0"/>
                      <w:marTop w:val="0"/>
                      <w:marBottom w:val="0"/>
                      <w:divBdr>
                        <w:top w:val="none" w:sz="0" w:space="0" w:color="auto"/>
                        <w:left w:val="none" w:sz="0" w:space="0" w:color="auto"/>
                        <w:bottom w:val="none" w:sz="0" w:space="0" w:color="auto"/>
                        <w:right w:val="none" w:sz="0" w:space="0" w:color="auto"/>
                      </w:divBdr>
                      <w:divsChild>
                        <w:div w:id="294149562">
                          <w:marLeft w:val="0"/>
                          <w:marRight w:val="0"/>
                          <w:marTop w:val="0"/>
                          <w:marBottom w:val="0"/>
                          <w:divBdr>
                            <w:top w:val="none" w:sz="0" w:space="0" w:color="auto"/>
                            <w:left w:val="none" w:sz="0" w:space="0" w:color="auto"/>
                            <w:bottom w:val="none" w:sz="0" w:space="0" w:color="auto"/>
                            <w:right w:val="none" w:sz="0" w:space="0" w:color="auto"/>
                          </w:divBdr>
                        </w:div>
                      </w:divsChild>
                    </w:div>
                    <w:div w:id="294148507">
                      <w:marLeft w:val="0"/>
                      <w:marRight w:val="0"/>
                      <w:marTop w:val="0"/>
                      <w:marBottom w:val="0"/>
                      <w:divBdr>
                        <w:top w:val="none" w:sz="0" w:space="0" w:color="auto"/>
                        <w:left w:val="none" w:sz="0" w:space="0" w:color="auto"/>
                        <w:bottom w:val="none" w:sz="0" w:space="0" w:color="auto"/>
                        <w:right w:val="none" w:sz="0" w:space="0" w:color="auto"/>
                      </w:divBdr>
                      <w:divsChild>
                        <w:div w:id="294152530">
                          <w:marLeft w:val="0"/>
                          <w:marRight w:val="0"/>
                          <w:marTop w:val="0"/>
                          <w:marBottom w:val="0"/>
                          <w:divBdr>
                            <w:top w:val="none" w:sz="0" w:space="0" w:color="auto"/>
                            <w:left w:val="none" w:sz="0" w:space="0" w:color="auto"/>
                            <w:bottom w:val="none" w:sz="0" w:space="0" w:color="auto"/>
                            <w:right w:val="none" w:sz="0" w:space="0" w:color="auto"/>
                          </w:divBdr>
                        </w:div>
                      </w:divsChild>
                    </w:div>
                    <w:div w:id="294148543">
                      <w:marLeft w:val="0"/>
                      <w:marRight w:val="0"/>
                      <w:marTop w:val="0"/>
                      <w:marBottom w:val="0"/>
                      <w:divBdr>
                        <w:top w:val="none" w:sz="0" w:space="0" w:color="auto"/>
                        <w:left w:val="none" w:sz="0" w:space="0" w:color="auto"/>
                        <w:bottom w:val="none" w:sz="0" w:space="0" w:color="auto"/>
                        <w:right w:val="none" w:sz="0" w:space="0" w:color="auto"/>
                      </w:divBdr>
                    </w:div>
                    <w:div w:id="294148561">
                      <w:marLeft w:val="0"/>
                      <w:marRight w:val="0"/>
                      <w:marTop w:val="0"/>
                      <w:marBottom w:val="0"/>
                      <w:divBdr>
                        <w:top w:val="none" w:sz="0" w:space="0" w:color="auto"/>
                        <w:left w:val="none" w:sz="0" w:space="0" w:color="auto"/>
                        <w:bottom w:val="none" w:sz="0" w:space="0" w:color="auto"/>
                        <w:right w:val="none" w:sz="0" w:space="0" w:color="auto"/>
                      </w:divBdr>
                      <w:divsChild>
                        <w:div w:id="294151625">
                          <w:marLeft w:val="0"/>
                          <w:marRight w:val="0"/>
                          <w:marTop w:val="0"/>
                          <w:marBottom w:val="0"/>
                          <w:divBdr>
                            <w:top w:val="none" w:sz="0" w:space="0" w:color="auto"/>
                            <w:left w:val="none" w:sz="0" w:space="0" w:color="auto"/>
                            <w:bottom w:val="none" w:sz="0" w:space="0" w:color="auto"/>
                            <w:right w:val="none" w:sz="0" w:space="0" w:color="auto"/>
                          </w:divBdr>
                        </w:div>
                      </w:divsChild>
                    </w:div>
                    <w:div w:id="294148589">
                      <w:marLeft w:val="0"/>
                      <w:marRight w:val="0"/>
                      <w:marTop w:val="0"/>
                      <w:marBottom w:val="0"/>
                      <w:divBdr>
                        <w:top w:val="none" w:sz="0" w:space="0" w:color="auto"/>
                        <w:left w:val="none" w:sz="0" w:space="0" w:color="auto"/>
                        <w:bottom w:val="none" w:sz="0" w:space="0" w:color="auto"/>
                        <w:right w:val="none" w:sz="0" w:space="0" w:color="auto"/>
                      </w:divBdr>
                      <w:divsChild>
                        <w:div w:id="294150720">
                          <w:marLeft w:val="0"/>
                          <w:marRight w:val="0"/>
                          <w:marTop w:val="0"/>
                          <w:marBottom w:val="0"/>
                          <w:divBdr>
                            <w:top w:val="none" w:sz="0" w:space="0" w:color="auto"/>
                            <w:left w:val="none" w:sz="0" w:space="0" w:color="auto"/>
                            <w:bottom w:val="none" w:sz="0" w:space="0" w:color="auto"/>
                            <w:right w:val="none" w:sz="0" w:space="0" w:color="auto"/>
                          </w:divBdr>
                        </w:div>
                      </w:divsChild>
                    </w:div>
                    <w:div w:id="294148593">
                      <w:marLeft w:val="0"/>
                      <w:marRight w:val="0"/>
                      <w:marTop w:val="0"/>
                      <w:marBottom w:val="0"/>
                      <w:divBdr>
                        <w:top w:val="none" w:sz="0" w:space="0" w:color="auto"/>
                        <w:left w:val="none" w:sz="0" w:space="0" w:color="auto"/>
                        <w:bottom w:val="none" w:sz="0" w:space="0" w:color="auto"/>
                        <w:right w:val="none" w:sz="0" w:space="0" w:color="auto"/>
                      </w:divBdr>
                      <w:divsChild>
                        <w:div w:id="294142791">
                          <w:marLeft w:val="0"/>
                          <w:marRight w:val="0"/>
                          <w:marTop w:val="0"/>
                          <w:marBottom w:val="0"/>
                          <w:divBdr>
                            <w:top w:val="none" w:sz="0" w:space="0" w:color="auto"/>
                            <w:left w:val="none" w:sz="0" w:space="0" w:color="auto"/>
                            <w:bottom w:val="none" w:sz="0" w:space="0" w:color="auto"/>
                            <w:right w:val="none" w:sz="0" w:space="0" w:color="auto"/>
                          </w:divBdr>
                        </w:div>
                      </w:divsChild>
                    </w:div>
                    <w:div w:id="294148620">
                      <w:marLeft w:val="0"/>
                      <w:marRight w:val="0"/>
                      <w:marTop w:val="0"/>
                      <w:marBottom w:val="0"/>
                      <w:divBdr>
                        <w:top w:val="none" w:sz="0" w:space="0" w:color="auto"/>
                        <w:left w:val="none" w:sz="0" w:space="0" w:color="auto"/>
                        <w:bottom w:val="none" w:sz="0" w:space="0" w:color="auto"/>
                        <w:right w:val="none" w:sz="0" w:space="0" w:color="auto"/>
                      </w:divBdr>
                    </w:div>
                    <w:div w:id="294148758">
                      <w:marLeft w:val="0"/>
                      <w:marRight w:val="0"/>
                      <w:marTop w:val="0"/>
                      <w:marBottom w:val="0"/>
                      <w:divBdr>
                        <w:top w:val="none" w:sz="0" w:space="0" w:color="auto"/>
                        <w:left w:val="none" w:sz="0" w:space="0" w:color="auto"/>
                        <w:bottom w:val="none" w:sz="0" w:space="0" w:color="auto"/>
                        <w:right w:val="none" w:sz="0" w:space="0" w:color="auto"/>
                      </w:divBdr>
                    </w:div>
                    <w:div w:id="294148788">
                      <w:marLeft w:val="0"/>
                      <w:marRight w:val="0"/>
                      <w:marTop w:val="0"/>
                      <w:marBottom w:val="0"/>
                      <w:divBdr>
                        <w:top w:val="none" w:sz="0" w:space="0" w:color="auto"/>
                        <w:left w:val="none" w:sz="0" w:space="0" w:color="auto"/>
                        <w:bottom w:val="none" w:sz="0" w:space="0" w:color="auto"/>
                        <w:right w:val="none" w:sz="0" w:space="0" w:color="auto"/>
                      </w:divBdr>
                      <w:divsChild>
                        <w:div w:id="294138263">
                          <w:marLeft w:val="0"/>
                          <w:marRight w:val="0"/>
                          <w:marTop w:val="0"/>
                          <w:marBottom w:val="0"/>
                          <w:divBdr>
                            <w:top w:val="none" w:sz="0" w:space="0" w:color="auto"/>
                            <w:left w:val="none" w:sz="0" w:space="0" w:color="auto"/>
                            <w:bottom w:val="none" w:sz="0" w:space="0" w:color="auto"/>
                            <w:right w:val="none" w:sz="0" w:space="0" w:color="auto"/>
                          </w:divBdr>
                        </w:div>
                      </w:divsChild>
                    </w:div>
                    <w:div w:id="294148810">
                      <w:marLeft w:val="0"/>
                      <w:marRight w:val="0"/>
                      <w:marTop w:val="0"/>
                      <w:marBottom w:val="0"/>
                      <w:divBdr>
                        <w:top w:val="none" w:sz="0" w:space="0" w:color="auto"/>
                        <w:left w:val="none" w:sz="0" w:space="0" w:color="auto"/>
                        <w:bottom w:val="none" w:sz="0" w:space="0" w:color="auto"/>
                        <w:right w:val="none" w:sz="0" w:space="0" w:color="auto"/>
                      </w:divBdr>
                    </w:div>
                    <w:div w:id="294148818">
                      <w:marLeft w:val="0"/>
                      <w:marRight w:val="0"/>
                      <w:marTop w:val="0"/>
                      <w:marBottom w:val="0"/>
                      <w:divBdr>
                        <w:top w:val="none" w:sz="0" w:space="0" w:color="auto"/>
                        <w:left w:val="none" w:sz="0" w:space="0" w:color="auto"/>
                        <w:bottom w:val="none" w:sz="0" w:space="0" w:color="auto"/>
                        <w:right w:val="none" w:sz="0" w:space="0" w:color="auto"/>
                      </w:divBdr>
                    </w:div>
                    <w:div w:id="294148939">
                      <w:marLeft w:val="0"/>
                      <w:marRight w:val="0"/>
                      <w:marTop w:val="0"/>
                      <w:marBottom w:val="0"/>
                      <w:divBdr>
                        <w:top w:val="none" w:sz="0" w:space="0" w:color="auto"/>
                        <w:left w:val="none" w:sz="0" w:space="0" w:color="auto"/>
                        <w:bottom w:val="none" w:sz="0" w:space="0" w:color="auto"/>
                        <w:right w:val="none" w:sz="0" w:space="0" w:color="auto"/>
                      </w:divBdr>
                      <w:divsChild>
                        <w:div w:id="294146456">
                          <w:marLeft w:val="0"/>
                          <w:marRight w:val="0"/>
                          <w:marTop w:val="0"/>
                          <w:marBottom w:val="0"/>
                          <w:divBdr>
                            <w:top w:val="none" w:sz="0" w:space="0" w:color="auto"/>
                            <w:left w:val="none" w:sz="0" w:space="0" w:color="auto"/>
                            <w:bottom w:val="none" w:sz="0" w:space="0" w:color="auto"/>
                            <w:right w:val="none" w:sz="0" w:space="0" w:color="auto"/>
                          </w:divBdr>
                        </w:div>
                      </w:divsChild>
                    </w:div>
                    <w:div w:id="294148945">
                      <w:marLeft w:val="0"/>
                      <w:marRight w:val="0"/>
                      <w:marTop w:val="0"/>
                      <w:marBottom w:val="0"/>
                      <w:divBdr>
                        <w:top w:val="none" w:sz="0" w:space="0" w:color="auto"/>
                        <w:left w:val="none" w:sz="0" w:space="0" w:color="auto"/>
                        <w:bottom w:val="none" w:sz="0" w:space="0" w:color="auto"/>
                        <w:right w:val="none" w:sz="0" w:space="0" w:color="auto"/>
                      </w:divBdr>
                      <w:divsChild>
                        <w:div w:id="294146328">
                          <w:marLeft w:val="0"/>
                          <w:marRight w:val="0"/>
                          <w:marTop w:val="0"/>
                          <w:marBottom w:val="0"/>
                          <w:divBdr>
                            <w:top w:val="none" w:sz="0" w:space="0" w:color="auto"/>
                            <w:left w:val="none" w:sz="0" w:space="0" w:color="auto"/>
                            <w:bottom w:val="none" w:sz="0" w:space="0" w:color="auto"/>
                            <w:right w:val="none" w:sz="0" w:space="0" w:color="auto"/>
                          </w:divBdr>
                        </w:div>
                      </w:divsChild>
                    </w:div>
                    <w:div w:id="294149025">
                      <w:marLeft w:val="0"/>
                      <w:marRight w:val="0"/>
                      <w:marTop w:val="0"/>
                      <w:marBottom w:val="0"/>
                      <w:divBdr>
                        <w:top w:val="none" w:sz="0" w:space="0" w:color="auto"/>
                        <w:left w:val="none" w:sz="0" w:space="0" w:color="auto"/>
                        <w:bottom w:val="none" w:sz="0" w:space="0" w:color="auto"/>
                        <w:right w:val="none" w:sz="0" w:space="0" w:color="auto"/>
                      </w:divBdr>
                    </w:div>
                    <w:div w:id="294149058">
                      <w:marLeft w:val="0"/>
                      <w:marRight w:val="0"/>
                      <w:marTop w:val="0"/>
                      <w:marBottom w:val="0"/>
                      <w:divBdr>
                        <w:top w:val="none" w:sz="0" w:space="0" w:color="auto"/>
                        <w:left w:val="none" w:sz="0" w:space="0" w:color="auto"/>
                        <w:bottom w:val="none" w:sz="0" w:space="0" w:color="auto"/>
                        <w:right w:val="none" w:sz="0" w:space="0" w:color="auto"/>
                      </w:divBdr>
                    </w:div>
                    <w:div w:id="294149139">
                      <w:marLeft w:val="0"/>
                      <w:marRight w:val="0"/>
                      <w:marTop w:val="0"/>
                      <w:marBottom w:val="0"/>
                      <w:divBdr>
                        <w:top w:val="none" w:sz="0" w:space="0" w:color="auto"/>
                        <w:left w:val="none" w:sz="0" w:space="0" w:color="auto"/>
                        <w:bottom w:val="none" w:sz="0" w:space="0" w:color="auto"/>
                        <w:right w:val="none" w:sz="0" w:space="0" w:color="auto"/>
                      </w:divBdr>
                      <w:divsChild>
                        <w:div w:id="294154010">
                          <w:marLeft w:val="0"/>
                          <w:marRight w:val="0"/>
                          <w:marTop w:val="0"/>
                          <w:marBottom w:val="0"/>
                          <w:divBdr>
                            <w:top w:val="none" w:sz="0" w:space="0" w:color="auto"/>
                            <w:left w:val="none" w:sz="0" w:space="0" w:color="auto"/>
                            <w:bottom w:val="none" w:sz="0" w:space="0" w:color="auto"/>
                            <w:right w:val="none" w:sz="0" w:space="0" w:color="auto"/>
                          </w:divBdr>
                        </w:div>
                      </w:divsChild>
                    </w:div>
                    <w:div w:id="294149153">
                      <w:marLeft w:val="0"/>
                      <w:marRight w:val="0"/>
                      <w:marTop w:val="0"/>
                      <w:marBottom w:val="0"/>
                      <w:divBdr>
                        <w:top w:val="none" w:sz="0" w:space="0" w:color="auto"/>
                        <w:left w:val="none" w:sz="0" w:space="0" w:color="auto"/>
                        <w:bottom w:val="none" w:sz="0" w:space="0" w:color="auto"/>
                        <w:right w:val="none" w:sz="0" w:space="0" w:color="auto"/>
                      </w:divBdr>
                      <w:divsChild>
                        <w:div w:id="294147317">
                          <w:marLeft w:val="0"/>
                          <w:marRight w:val="0"/>
                          <w:marTop w:val="0"/>
                          <w:marBottom w:val="0"/>
                          <w:divBdr>
                            <w:top w:val="none" w:sz="0" w:space="0" w:color="auto"/>
                            <w:left w:val="none" w:sz="0" w:space="0" w:color="auto"/>
                            <w:bottom w:val="none" w:sz="0" w:space="0" w:color="auto"/>
                            <w:right w:val="none" w:sz="0" w:space="0" w:color="auto"/>
                          </w:divBdr>
                        </w:div>
                      </w:divsChild>
                    </w:div>
                    <w:div w:id="294149199">
                      <w:marLeft w:val="0"/>
                      <w:marRight w:val="0"/>
                      <w:marTop w:val="0"/>
                      <w:marBottom w:val="0"/>
                      <w:divBdr>
                        <w:top w:val="none" w:sz="0" w:space="0" w:color="auto"/>
                        <w:left w:val="none" w:sz="0" w:space="0" w:color="auto"/>
                        <w:bottom w:val="none" w:sz="0" w:space="0" w:color="auto"/>
                        <w:right w:val="none" w:sz="0" w:space="0" w:color="auto"/>
                      </w:divBdr>
                    </w:div>
                    <w:div w:id="294149267">
                      <w:marLeft w:val="0"/>
                      <w:marRight w:val="0"/>
                      <w:marTop w:val="0"/>
                      <w:marBottom w:val="0"/>
                      <w:divBdr>
                        <w:top w:val="none" w:sz="0" w:space="0" w:color="auto"/>
                        <w:left w:val="none" w:sz="0" w:space="0" w:color="auto"/>
                        <w:bottom w:val="none" w:sz="0" w:space="0" w:color="auto"/>
                        <w:right w:val="none" w:sz="0" w:space="0" w:color="auto"/>
                      </w:divBdr>
                    </w:div>
                    <w:div w:id="294149382">
                      <w:marLeft w:val="0"/>
                      <w:marRight w:val="0"/>
                      <w:marTop w:val="0"/>
                      <w:marBottom w:val="0"/>
                      <w:divBdr>
                        <w:top w:val="none" w:sz="0" w:space="0" w:color="auto"/>
                        <w:left w:val="none" w:sz="0" w:space="0" w:color="auto"/>
                        <w:bottom w:val="none" w:sz="0" w:space="0" w:color="auto"/>
                        <w:right w:val="none" w:sz="0" w:space="0" w:color="auto"/>
                      </w:divBdr>
                    </w:div>
                    <w:div w:id="294149392">
                      <w:marLeft w:val="0"/>
                      <w:marRight w:val="0"/>
                      <w:marTop w:val="0"/>
                      <w:marBottom w:val="0"/>
                      <w:divBdr>
                        <w:top w:val="none" w:sz="0" w:space="0" w:color="auto"/>
                        <w:left w:val="none" w:sz="0" w:space="0" w:color="auto"/>
                        <w:bottom w:val="none" w:sz="0" w:space="0" w:color="auto"/>
                        <w:right w:val="none" w:sz="0" w:space="0" w:color="auto"/>
                      </w:divBdr>
                    </w:div>
                    <w:div w:id="294149403">
                      <w:marLeft w:val="0"/>
                      <w:marRight w:val="0"/>
                      <w:marTop w:val="0"/>
                      <w:marBottom w:val="0"/>
                      <w:divBdr>
                        <w:top w:val="none" w:sz="0" w:space="0" w:color="auto"/>
                        <w:left w:val="none" w:sz="0" w:space="0" w:color="auto"/>
                        <w:bottom w:val="none" w:sz="0" w:space="0" w:color="auto"/>
                        <w:right w:val="none" w:sz="0" w:space="0" w:color="auto"/>
                      </w:divBdr>
                      <w:divsChild>
                        <w:div w:id="294142339">
                          <w:marLeft w:val="0"/>
                          <w:marRight w:val="0"/>
                          <w:marTop w:val="0"/>
                          <w:marBottom w:val="0"/>
                          <w:divBdr>
                            <w:top w:val="none" w:sz="0" w:space="0" w:color="auto"/>
                            <w:left w:val="none" w:sz="0" w:space="0" w:color="auto"/>
                            <w:bottom w:val="none" w:sz="0" w:space="0" w:color="auto"/>
                            <w:right w:val="none" w:sz="0" w:space="0" w:color="auto"/>
                          </w:divBdr>
                        </w:div>
                      </w:divsChild>
                    </w:div>
                    <w:div w:id="294149447">
                      <w:marLeft w:val="0"/>
                      <w:marRight w:val="0"/>
                      <w:marTop w:val="0"/>
                      <w:marBottom w:val="0"/>
                      <w:divBdr>
                        <w:top w:val="none" w:sz="0" w:space="0" w:color="auto"/>
                        <w:left w:val="none" w:sz="0" w:space="0" w:color="auto"/>
                        <w:bottom w:val="none" w:sz="0" w:space="0" w:color="auto"/>
                        <w:right w:val="none" w:sz="0" w:space="0" w:color="auto"/>
                      </w:divBdr>
                    </w:div>
                    <w:div w:id="294149565">
                      <w:marLeft w:val="0"/>
                      <w:marRight w:val="0"/>
                      <w:marTop w:val="0"/>
                      <w:marBottom w:val="0"/>
                      <w:divBdr>
                        <w:top w:val="none" w:sz="0" w:space="0" w:color="auto"/>
                        <w:left w:val="none" w:sz="0" w:space="0" w:color="auto"/>
                        <w:bottom w:val="none" w:sz="0" w:space="0" w:color="auto"/>
                        <w:right w:val="none" w:sz="0" w:space="0" w:color="auto"/>
                      </w:divBdr>
                      <w:divsChild>
                        <w:div w:id="294141827">
                          <w:marLeft w:val="0"/>
                          <w:marRight w:val="0"/>
                          <w:marTop w:val="0"/>
                          <w:marBottom w:val="0"/>
                          <w:divBdr>
                            <w:top w:val="none" w:sz="0" w:space="0" w:color="auto"/>
                            <w:left w:val="none" w:sz="0" w:space="0" w:color="auto"/>
                            <w:bottom w:val="none" w:sz="0" w:space="0" w:color="auto"/>
                            <w:right w:val="none" w:sz="0" w:space="0" w:color="auto"/>
                          </w:divBdr>
                        </w:div>
                      </w:divsChild>
                    </w:div>
                    <w:div w:id="294149566">
                      <w:marLeft w:val="0"/>
                      <w:marRight w:val="0"/>
                      <w:marTop w:val="0"/>
                      <w:marBottom w:val="0"/>
                      <w:divBdr>
                        <w:top w:val="none" w:sz="0" w:space="0" w:color="auto"/>
                        <w:left w:val="none" w:sz="0" w:space="0" w:color="auto"/>
                        <w:bottom w:val="none" w:sz="0" w:space="0" w:color="auto"/>
                        <w:right w:val="none" w:sz="0" w:space="0" w:color="auto"/>
                      </w:divBdr>
                      <w:divsChild>
                        <w:div w:id="294139762">
                          <w:marLeft w:val="0"/>
                          <w:marRight w:val="0"/>
                          <w:marTop w:val="0"/>
                          <w:marBottom w:val="0"/>
                          <w:divBdr>
                            <w:top w:val="none" w:sz="0" w:space="0" w:color="auto"/>
                            <w:left w:val="none" w:sz="0" w:space="0" w:color="auto"/>
                            <w:bottom w:val="none" w:sz="0" w:space="0" w:color="auto"/>
                            <w:right w:val="none" w:sz="0" w:space="0" w:color="auto"/>
                          </w:divBdr>
                        </w:div>
                      </w:divsChild>
                    </w:div>
                    <w:div w:id="294149586">
                      <w:marLeft w:val="0"/>
                      <w:marRight w:val="0"/>
                      <w:marTop w:val="0"/>
                      <w:marBottom w:val="0"/>
                      <w:divBdr>
                        <w:top w:val="none" w:sz="0" w:space="0" w:color="auto"/>
                        <w:left w:val="none" w:sz="0" w:space="0" w:color="auto"/>
                        <w:bottom w:val="none" w:sz="0" w:space="0" w:color="auto"/>
                        <w:right w:val="none" w:sz="0" w:space="0" w:color="auto"/>
                      </w:divBdr>
                      <w:divsChild>
                        <w:div w:id="294141231">
                          <w:marLeft w:val="0"/>
                          <w:marRight w:val="0"/>
                          <w:marTop w:val="0"/>
                          <w:marBottom w:val="0"/>
                          <w:divBdr>
                            <w:top w:val="none" w:sz="0" w:space="0" w:color="auto"/>
                            <w:left w:val="none" w:sz="0" w:space="0" w:color="auto"/>
                            <w:bottom w:val="none" w:sz="0" w:space="0" w:color="auto"/>
                            <w:right w:val="none" w:sz="0" w:space="0" w:color="auto"/>
                          </w:divBdr>
                        </w:div>
                      </w:divsChild>
                    </w:div>
                    <w:div w:id="294149680">
                      <w:marLeft w:val="0"/>
                      <w:marRight w:val="0"/>
                      <w:marTop w:val="0"/>
                      <w:marBottom w:val="0"/>
                      <w:divBdr>
                        <w:top w:val="none" w:sz="0" w:space="0" w:color="auto"/>
                        <w:left w:val="none" w:sz="0" w:space="0" w:color="auto"/>
                        <w:bottom w:val="none" w:sz="0" w:space="0" w:color="auto"/>
                        <w:right w:val="none" w:sz="0" w:space="0" w:color="auto"/>
                      </w:divBdr>
                      <w:divsChild>
                        <w:div w:id="294142953">
                          <w:marLeft w:val="0"/>
                          <w:marRight w:val="0"/>
                          <w:marTop w:val="0"/>
                          <w:marBottom w:val="0"/>
                          <w:divBdr>
                            <w:top w:val="none" w:sz="0" w:space="0" w:color="auto"/>
                            <w:left w:val="none" w:sz="0" w:space="0" w:color="auto"/>
                            <w:bottom w:val="none" w:sz="0" w:space="0" w:color="auto"/>
                            <w:right w:val="none" w:sz="0" w:space="0" w:color="auto"/>
                          </w:divBdr>
                        </w:div>
                      </w:divsChild>
                    </w:div>
                    <w:div w:id="294149782">
                      <w:marLeft w:val="0"/>
                      <w:marRight w:val="0"/>
                      <w:marTop w:val="0"/>
                      <w:marBottom w:val="0"/>
                      <w:divBdr>
                        <w:top w:val="none" w:sz="0" w:space="0" w:color="auto"/>
                        <w:left w:val="none" w:sz="0" w:space="0" w:color="auto"/>
                        <w:bottom w:val="none" w:sz="0" w:space="0" w:color="auto"/>
                        <w:right w:val="none" w:sz="0" w:space="0" w:color="auto"/>
                      </w:divBdr>
                      <w:divsChild>
                        <w:div w:id="294152496">
                          <w:marLeft w:val="0"/>
                          <w:marRight w:val="0"/>
                          <w:marTop w:val="0"/>
                          <w:marBottom w:val="0"/>
                          <w:divBdr>
                            <w:top w:val="none" w:sz="0" w:space="0" w:color="auto"/>
                            <w:left w:val="none" w:sz="0" w:space="0" w:color="auto"/>
                            <w:bottom w:val="none" w:sz="0" w:space="0" w:color="auto"/>
                            <w:right w:val="none" w:sz="0" w:space="0" w:color="auto"/>
                          </w:divBdr>
                        </w:div>
                      </w:divsChild>
                    </w:div>
                    <w:div w:id="294149869">
                      <w:marLeft w:val="0"/>
                      <w:marRight w:val="0"/>
                      <w:marTop w:val="0"/>
                      <w:marBottom w:val="0"/>
                      <w:divBdr>
                        <w:top w:val="none" w:sz="0" w:space="0" w:color="auto"/>
                        <w:left w:val="none" w:sz="0" w:space="0" w:color="auto"/>
                        <w:bottom w:val="none" w:sz="0" w:space="0" w:color="auto"/>
                        <w:right w:val="none" w:sz="0" w:space="0" w:color="auto"/>
                      </w:divBdr>
                    </w:div>
                    <w:div w:id="294149896">
                      <w:marLeft w:val="0"/>
                      <w:marRight w:val="0"/>
                      <w:marTop w:val="0"/>
                      <w:marBottom w:val="0"/>
                      <w:divBdr>
                        <w:top w:val="none" w:sz="0" w:space="0" w:color="auto"/>
                        <w:left w:val="none" w:sz="0" w:space="0" w:color="auto"/>
                        <w:bottom w:val="none" w:sz="0" w:space="0" w:color="auto"/>
                        <w:right w:val="none" w:sz="0" w:space="0" w:color="auto"/>
                      </w:divBdr>
                      <w:divsChild>
                        <w:div w:id="294156819">
                          <w:marLeft w:val="0"/>
                          <w:marRight w:val="0"/>
                          <w:marTop w:val="0"/>
                          <w:marBottom w:val="0"/>
                          <w:divBdr>
                            <w:top w:val="none" w:sz="0" w:space="0" w:color="auto"/>
                            <w:left w:val="none" w:sz="0" w:space="0" w:color="auto"/>
                            <w:bottom w:val="none" w:sz="0" w:space="0" w:color="auto"/>
                            <w:right w:val="none" w:sz="0" w:space="0" w:color="auto"/>
                          </w:divBdr>
                        </w:div>
                      </w:divsChild>
                    </w:div>
                    <w:div w:id="294149900">
                      <w:marLeft w:val="0"/>
                      <w:marRight w:val="0"/>
                      <w:marTop w:val="0"/>
                      <w:marBottom w:val="0"/>
                      <w:divBdr>
                        <w:top w:val="none" w:sz="0" w:space="0" w:color="auto"/>
                        <w:left w:val="none" w:sz="0" w:space="0" w:color="auto"/>
                        <w:bottom w:val="none" w:sz="0" w:space="0" w:color="auto"/>
                        <w:right w:val="none" w:sz="0" w:space="0" w:color="auto"/>
                      </w:divBdr>
                    </w:div>
                    <w:div w:id="294149940">
                      <w:marLeft w:val="0"/>
                      <w:marRight w:val="0"/>
                      <w:marTop w:val="0"/>
                      <w:marBottom w:val="0"/>
                      <w:divBdr>
                        <w:top w:val="none" w:sz="0" w:space="0" w:color="auto"/>
                        <w:left w:val="none" w:sz="0" w:space="0" w:color="auto"/>
                        <w:bottom w:val="none" w:sz="0" w:space="0" w:color="auto"/>
                        <w:right w:val="none" w:sz="0" w:space="0" w:color="auto"/>
                      </w:divBdr>
                      <w:divsChild>
                        <w:div w:id="294146497">
                          <w:marLeft w:val="0"/>
                          <w:marRight w:val="0"/>
                          <w:marTop w:val="0"/>
                          <w:marBottom w:val="0"/>
                          <w:divBdr>
                            <w:top w:val="none" w:sz="0" w:space="0" w:color="auto"/>
                            <w:left w:val="none" w:sz="0" w:space="0" w:color="auto"/>
                            <w:bottom w:val="none" w:sz="0" w:space="0" w:color="auto"/>
                            <w:right w:val="none" w:sz="0" w:space="0" w:color="auto"/>
                          </w:divBdr>
                        </w:div>
                      </w:divsChild>
                    </w:div>
                    <w:div w:id="294149963">
                      <w:marLeft w:val="0"/>
                      <w:marRight w:val="0"/>
                      <w:marTop w:val="0"/>
                      <w:marBottom w:val="0"/>
                      <w:divBdr>
                        <w:top w:val="none" w:sz="0" w:space="0" w:color="auto"/>
                        <w:left w:val="none" w:sz="0" w:space="0" w:color="auto"/>
                        <w:bottom w:val="none" w:sz="0" w:space="0" w:color="auto"/>
                        <w:right w:val="none" w:sz="0" w:space="0" w:color="auto"/>
                      </w:divBdr>
                    </w:div>
                    <w:div w:id="294150010">
                      <w:marLeft w:val="0"/>
                      <w:marRight w:val="0"/>
                      <w:marTop w:val="0"/>
                      <w:marBottom w:val="0"/>
                      <w:divBdr>
                        <w:top w:val="none" w:sz="0" w:space="0" w:color="auto"/>
                        <w:left w:val="none" w:sz="0" w:space="0" w:color="auto"/>
                        <w:bottom w:val="none" w:sz="0" w:space="0" w:color="auto"/>
                        <w:right w:val="none" w:sz="0" w:space="0" w:color="auto"/>
                      </w:divBdr>
                      <w:divsChild>
                        <w:div w:id="294139249">
                          <w:marLeft w:val="0"/>
                          <w:marRight w:val="0"/>
                          <w:marTop w:val="0"/>
                          <w:marBottom w:val="0"/>
                          <w:divBdr>
                            <w:top w:val="none" w:sz="0" w:space="0" w:color="auto"/>
                            <w:left w:val="none" w:sz="0" w:space="0" w:color="auto"/>
                            <w:bottom w:val="none" w:sz="0" w:space="0" w:color="auto"/>
                            <w:right w:val="none" w:sz="0" w:space="0" w:color="auto"/>
                          </w:divBdr>
                        </w:div>
                      </w:divsChild>
                    </w:div>
                    <w:div w:id="294150020">
                      <w:marLeft w:val="0"/>
                      <w:marRight w:val="0"/>
                      <w:marTop w:val="0"/>
                      <w:marBottom w:val="0"/>
                      <w:divBdr>
                        <w:top w:val="none" w:sz="0" w:space="0" w:color="auto"/>
                        <w:left w:val="none" w:sz="0" w:space="0" w:color="auto"/>
                        <w:bottom w:val="none" w:sz="0" w:space="0" w:color="auto"/>
                        <w:right w:val="none" w:sz="0" w:space="0" w:color="auto"/>
                      </w:divBdr>
                      <w:divsChild>
                        <w:div w:id="294154327">
                          <w:marLeft w:val="0"/>
                          <w:marRight w:val="0"/>
                          <w:marTop w:val="0"/>
                          <w:marBottom w:val="0"/>
                          <w:divBdr>
                            <w:top w:val="none" w:sz="0" w:space="0" w:color="auto"/>
                            <w:left w:val="none" w:sz="0" w:space="0" w:color="auto"/>
                            <w:bottom w:val="none" w:sz="0" w:space="0" w:color="auto"/>
                            <w:right w:val="none" w:sz="0" w:space="0" w:color="auto"/>
                          </w:divBdr>
                        </w:div>
                      </w:divsChild>
                    </w:div>
                    <w:div w:id="294150180">
                      <w:marLeft w:val="0"/>
                      <w:marRight w:val="0"/>
                      <w:marTop w:val="0"/>
                      <w:marBottom w:val="0"/>
                      <w:divBdr>
                        <w:top w:val="none" w:sz="0" w:space="0" w:color="auto"/>
                        <w:left w:val="none" w:sz="0" w:space="0" w:color="auto"/>
                        <w:bottom w:val="none" w:sz="0" w:space="0" w:color="auto"/>
                        <w:right w:val="none" w:sz="0" w:space="0" w:color="auto"/>
                      </w:divBdr>
                      <w:divsChild>
                        <w:div w:id="294150443">
                          <w:marLeft w:val="0"/>
                          <w:marRight w:val="0"/>
                          <w:marTop w:val="0"/>
                          <w:marBottom w:val="0"/>
                          <w:divBdr>
                            <w:top w:val="none" w:sz="0" w:space="0" w:color="auto"/>
                            <w:left w:val="none" w:sz="0" w:space="0" w:color="auto"/>
                            <w:bottom w:val="none" w:sz="0" w:space="0" w:color="auto"/>
                            <w:right w:val="none" w:sz="0" w:space="0" w:color="auto"/>
                          </w:divBdr>
                        </w:div>
                      </w:divsChild>
                    </w:div>
                    <w:div w:id="294150195">
                      <w:marLeft w:val="0"/>
                      <w:marRight w:val="0"/>
                      <w:marTop w:val="0"/>
                      <w:marBottom w:val="0"/>
                      <w:divBdr>
                        <w:top w:val="none" w:sz="0" w:space="0" w:color="auto"/>
                        <w:left w:val="none" w:sz="0" w:space="0" w:color="auto"/>
                        <w:bottom w:val="none" w:sz="0" w:space="0" w:color="auto"/>
                        <w:right w:val="none" w:sz="0" w:space="0" w:color="auto"/>
                      </w:divBdr>
                    </w:div>
                    <w:div w:id="294150270">
                      <w:marLeft w:val="0"/>
                      <w:marRight w:val="0"/>
                      <w:marTop w:val="0"/>
                      <w:marBottom w:val="0"/>
                      <w:divBdr>
                        <w:top w:val="none" w:sz="0" w:space="0" w:color="auto"/>
                        <w:left w:val="none" w:sz="0" w:space="0" w:color="auto"/>
                        <w:bottom w:val="none" w:sz="0" w:space="0" w:color="auto"/>
                        <w:right w:val="none" w:sz="0" w:space="0" w:color="auto"/>
                      </w:divBdr>
                      <w:divsChild>
                        <w:div w:id="294155528">
                          <w:marLeft w:val="0"/>
                          <w:marRight w:val="0"/>
                          <w:marTop w:val="0"/>
                          <w:marBottom w:val="0"/>
                          <w:divBdr>
                            <w:top w:val="none" w:sz="0" w:space="0" w:color="auto"/>
                            <w:left w:val="none" w:sz="0" w:space="0" w:color="auto"/>
                            <w:bottom w:val="none" w:sz="0" w:space="0" w:color="auto"/>
                            <w:right w:val="none" w:sz="0" w:space="0" w:color="auto"/>
                          </w:divBdr>
                        </w:div>
                      </w:divsChild>
                    </w:div>
                    <w:div w:id="294150304">
                      <w:marLeft w:val="0"/>
                      <w:marRight w:val="0"/>
                      <w:marTop w:val="0"/>
                      <w:marBottom w:val="0"/>
                      <w:divBdr>
                        <w:top w:val="none" w:sz="0" w:space="0" w:color="auto"/>
                        <w:left w:val="none" w:sz="0" w:space="0" w:color="auto"/>
                        <w:bottom w:val="none" w:sz="0" w:space="0" w:color="auto"/>
                        <w:right w:val="none" w:sz="0" w:space="0" w:color="auto"/>
                      </w:divBdr>
                    </w:div>
                    <w:div w:id="294150318">
                      <w:marLeft w:val="0"/>
                      <w:marRight w:val="0"/>
                      <w:marTop w:val="0"/>
                      <w:marBottom w:val="0"/>
                      <w:divBdr>
                        <w:top w:val="none" w:sz="0" w:space="0" w:color="auto"/>
                        <w:left w:val="none" w:sz="0" w:space="0" w:color="auto"/>
                        <w:bottom w:val="none" w:sz="0" w:space="0" w:color="auto"/>
                        <w:right w:val="none" w:sz="0" w:space="0" w:color="auto"/>
                      </w:divBdr>
                      <w:divsChild>
                        <w:div w:id="294153715">
                          <w:marLeft w:val="0"/>
                          <w:marRight w:val="0"/>
                          <w:marTop w:val="0"/>
                          <w:marBottom w:val="0"/>
                          <w:divBdr>
                            <w:top w:val="none" w:sz="0" w:space="0" w:color="auto"/>
                            <w:left w:val="none" w:sz="0" w:space="0" w:color="auto"/>
                            <w:bottom w:val="none" w:sz="0" w:space="0" w:color="auto"/>
                            <w:right w:val="none" w:sz="0" w:space="0" w:color="auto"/>
                          </w:divBdr>
                        </w:div>
                      </w:divsChild>
                    </w:div>
                    <w:div w:id="294150403">
                      <w:marLeft w:val="0"/>
                      <w:marRight w:val="0"/>
                      <w:marTop w:val="0"/>
                      <w:marBottom w:val="0"/>
                      <w:divBdr>
                        <w:top w:val="none" w:sz="0" w:space="0" w:color="auto"/>
                        <w:left w:val="none" w:sz="0" w:space="0" w:color="auto"/>
                        <w:bottom w:val="none" w:sz="0" w:space="0" w:color="auto"/>
                        <w:right w:val="none" w:sz="0" w:space="0" w:color="auto"/>
                      </w:divBdr>
                    </w:div>
                    <w:div w:id="294150410">
                      <w:marLeft w:val="0"/>
                      <w:marRight w:val="0"/>
                      <w:marTop w:val="0"/>
                      <w:marBottom w:val="0"/>
                      <w:divBdr>
                        <w:top w:val="none" w:sz="0" w:space="0" w:color="auto"/>
                        <w:left w:val="none" w:sz="0" w:space="0" w:color="auto"/>
                        <w:bottom w:val="none" w:sz="0" w:space="0" w:color="auto"/>
                        <w:right w:val="none" w:sz="0" w:space="0" w:color="auto"/>
                      </w:divBdr>
                      <w:divsChild>
                        <w:div w:id="294147334">
                          <w:marLeft w:val="0"/>
                          <w:marRight w:val="0"/>
                          <w:marTop w:val="0"/>
                          <w:marBottom w:val="0"/>
                          <w:divBdr>
                            <w:top w:val="none" w:sz="0" w:space="0" w:color="auto"/>
                            <w:left w:val="none" w:sz="0" w:space="0" w:color="auto"/>
                            <w:bottom w:val="none" w:sz="0" w:space="0" w:color="auto"/>
                            <w:right w:val="none" w:sz="0" w:space="0" w:color="auto"/>
                          </w:divBdr>
                        </w:div>
                      </w:divsChild>
                    </w:div>
                    <w:div w:id="294150449">
                      <w:marLeft w:val="0"/>
                      <w:marRight w:val="0"/>
                      <w:marTop w:val="0"/>
                      <w:marBottom w:val="0"/>
                      <w:divBdr>
                        <w:top w:val="none" w:sz="0" w:space="0" w:color="auto"/>
                        <w:left w:val="none" w:sz="0" w:space="0" w:color="auto"/>
                        <w:bottom w:val="none" w:sz="0" w:space="0" w:color="auto"/>
                        <w:right w:val="none" w:sz="0" w:space="0" w:color="auto"/>
                      </w:divBdr>
                      <w:divsChild>
                        <w:div w:id="294141560">
                          <w:marLeft w:val="0"/>
                          <w:marRight w:val="0"/>
                          <w:marTop w:val="0"/>
                          <w:marBottom w:val="0"/>
                          <w:divBdr>
                            <w:top w:val="none" w:sz="0" w:space="0" w:color="auto"/>
                            <w:left w:val="none" w:sz="0" w:space="0" w:color="auto"/>
                            <w:bottom w:val="none" w:sz="0" w:space="0" w:color="auto"/>
                            <w:right w:val="none" w:sz="0" w:space="0" w:color="auto"/>
                          </w:divBdr>
                        </w:div>
                      </w:divsChild>
                    </w:div>
                    <w:div w:id="294150486">
                      <w:marLeft w:val="0"/>
                      <w:marRight w:val="0"/>
                      <w:marTop w:val="0"/>
                      <w:marBottom w:val="0"/>
                      <w:divBdr>
                        <w:top w:val="none" w:sz="0" w:space="0" w:color="auto"/>
                        <w:left w:val="none" w:sz="0" w:space="0" w:color="auto"/>
                        <w:bottom w:val="none" w:sz="0" w:space="0" w:color="auto"/>
                        <w:right w:val="none" w:sz="0" w:space="0" w:color="auto"/>
                      </w:divBdr>
                    </w:div>
                    <w:div w:id="294150547">
                      <w:marLeft w:val="0"/>
                      <w:marRight w:val="0"/>
                      <w:marTop w:val="0"/>
                      <w:marBottom w:val="0"/>
                      <w:divBdr>
                        <w:top w:val="none" w:sz="0" w:space="0" w:color="auto"/>
                        <w:left w:val="none" w:sz="0" w:space="0" w:color="auto"/>
                        <w:bottom w:val="none" w:sz="0" w:space="0" w:color="auto"/>
                        <w:right w:val="none" w:sz="0" w:space="0" w:color="auto"/>
                      </w:divBdr>
                    </w:div>
                    <w:div w:id="294150571">
                      <w:marLeft w:val="0"/>
                      <w:marRight w:val="0"/>
                      <w:marTop w:val="0"/>
                      <w:marBottom w:val="0"/>
                      <w:divBdr>
                        <w:top w:val="none" w:sz="0" w:space="0" w:color="auto"/>
                        <w:left w:val="none" w:sz="0" w:space="0" w:color="auto"/>
                        <w:bottom w:val="none" w:sz="0" w:space="0" w:color="auto"/>
                        <w:right w:val="none" w:sz="0" w:space="0" w:color="auto"/>
                      </w:divBdr>
                    </w:div>
                    <w:div w:id="294150613">
                      <w:marLeft w:val="0"/>
                      <w:marRight w:val="0"/>
                      <w:marTop w:val="0"/>
                      <w:marBottom w:val="0"/>
                      <w:divBdr>
                        <w:top w:val="none" w:sz="0" w:space="0" w:color="auto"/>
                        <w:left w:val="none" w:sz="0" w:space="0" w:color="auto"/>
                        <w:bottom w:val="none" w:sz="0" w:space="0" w:color="auto"/>
                        <w:right w:val="none" w:sz="0" w:space="0" w:color="auto"/>
                      </w:divBdr>
                      <w:divsChild>
                        <w:div w:id="294143458">
                          <w:marLeft w:val="0"/>
                          <w:marRight w:val="0"/>
                          <w:marTop w:val="0"/>
                          <w:marBottom w:val="0"/>
                          <w:divBdr>
                            <w:top w:val="none" w:sz="0" w:space="0" w:color="auto"/>
                            <w:left w:val="none" w:sz="0" w:space="0" w:color="auto"/>
                            <w:bottom w:val="none" w:sz="0" w:space="0" w:color="auto"/>
                            <w:right w:val="none" w:sz="0" w:space="0" w:color="auto"/>
                          </w:divBdr>
                        </w:div>
                      </w:divsChild>
                    </w:div>
                    <w:div w:id="294150632">
                      <w:marLeft w:val="0"/>
                      <w:marRight w:val="0"/>
                      <w:marTop w:val="0"/>
                      <w:marBottom w:val="0"/>
                      <w:divBdr>
                        <w:top w:val="none" w:sz="0" w:space="0" w:color="auto"/>
                        <w:left w:val="none" w:sz="0" w:space="0" w:color="auto"/>
                        <w:bottom w:val="none" w:sz="0" w:space="0" w:color="auto"/>
                        <w:right w:val="none" w:sz="0" w:space="0" w:color="auto"/>
                      </w:divBdr>
                    </w:div>
                    <w:div w:id="294150653">
                      <w:marLeft w:val="0"/>
                      <w:marRight w:val="0"/>
                      <w:marTop w:val="0"/>
                      <w:marBottom w:val="0"/>
                      <w:divBdr>
                        <w:top w:val="none" w:sz="0" w:space="0" w:color="auto"/>
                        <w:left w:val="none" w:sz="0" w:space="0" w:color="auto"/>
                        <w:bottom w:val="none" w:sz="0" w:space="0" w:color="auto"/>
                        <w:right w:val="none" w:sz="0" w:space="0" w:color="auto"/>
                      </w:divBdr>
                    </w:div>
                    <w:div w:id="294150774">
                      <w:marLeft w:val="0"/>
                      <w:marRight w:val="0"/>
                      <w:marTop w:val="0"/>
                      <w:marBottom w:val="0"/>
                      <w:divBdr>
                        <w:top w:val="none" w:sz="0" w:space="0" w:color="auto"/>
                        <w:left w:val="none" w:sz="0" w:space="0" w:color="auto"/>
                        <w:bottom w:val="none" w:sz="0" w:space="0" w:color="auto"/>
                        <w:right w:val="none" w:sz="0" w:space="0" w:color="auto"/>
                      </w:divBdr>
                      <w:divsChild>
                        <w:div w:id="294148015">
                          <w:marLeft w:val="0"/>
                          <w:marRight w:val="0"/>
                          <w:marTop w:val="0"/>
                          <w:marBottom w:val="0"/>
                          <w:divBdr>
                            <w:top w:val="none" w:sz="0" w:space="0" w:color="auto"/>
                            <w:left w:val="none" w:sz="0" w:space="0" w:color="auto"/>
                            <w:bottom w:val="none" w:sz="0" w:space="0" w:color="auto"/>
                            <w:right w:val="none" w:sz="0" w:space="0" w:color="auto"/>
                          </w:divBdr>
                        </w:div>
                      </w:divsChild>
                    </w:div>
                    <w:div w:id="294150845">
                      <w:marLeft w:val="0"/>
                      <w:marRight w:val="0"/>
                      <w:marTop w:val="0"/>
                      <w:marBottom w:val="0"/>
                      <w:divBdr>
                        <w:top w:val="none" w:sz="0" w:space="0" w:color="auto"/>
                        <w:left w:val="none" w:sz="0" w:space="0" w:color="auto"/>
                        <w:bottom w:val="none" w:sz="0" w:space="0" w:color="auto"/>
                        <w:right w:val="none" w:sz="0" w:space="0" w:color="auto"/>
                      </w:divBdr>
                    </w:div>
                    <w:div w:id="294150869">
                      <w:marLeft w:val="0"/>
                      <w:marRight w:val="0"/>
                      <w:marTop w:val="0"/>
                      <w:marBottom w:val="0"/>
                      <w:divBdr>
                        <w:top w:val="none" w:sz="0" w:space="0" w:color="auto"/>
                        <w:left w:val="none" w:sz="0" w:space="0" w:color="auto"/>
                        <w:bottom w:val="none" w:sz="0" w:space="0" w:color="auto"/>
                        <w:right w:val="none" w:sz="0" w:space="0" w:color="auto"/>
                      </w:divBdr>
                      <w:divsChild>
                        <w:div w:id="294150846">
                          <w:marLeft w:val="0"/>
                          <w:marRight w:val="0"/>
                          <w:marTop w:val="0"/>
                          <w:marBottom w:val="0"/>
                          <w:divBdr>
                            <w:top w:val="none" w:sz="0" w:space="0" w:color="auto"/>
                            <w:left w:val="none" w:sz="0" w:space="0" w:color="auto"/>
                            <w:bottom w:val="none" w:sz="0" w:space="0" w:color="auto"/>
                            <w:right w:val="none" w:sz="0" w:space="0" w:color="auto"/>
                          </w:divBdr>
                        </w:div>
                      </w:divsChild>
                    </w:div>
                    <w:div w:id="294150943">
                      <w:marLeft w:val="0"/>
                      <w:marRight w:val="0"/>
                      <w:marTop w:val="0"/>
                      <w:marBottom w:val="0"/>
                      <w:divBdr>
                        <w:top w:val="none" w:sz="0" w:space="0" w:color="auto"/>
                        <w:left w:val="none" w:sz="0" w:space="0" w:color="auto"/>
                        <w:bottom w:val="none" w:sz="0" w:space="0" w:color="auto"/>
                        <w:right w:val="none" w:sz="0" w:space="0" w:color="auto"/>
                      </w:divBdr>
                      <w:divsChild>
                        <w:div w:id="294149494">
                          <w:marLeft w:val="0"/>
                          <w:marRight w:val="0"/>
                          <w:marTop w:val="0"/>
                          <w:marBottom w:val="0"/>
                          <w:divBdr>
                            <w:top w:val="none" w:sz="0" w:space="0" w:color="auto"/>
                            <w:left w:val="none" w:sz="0" w:space="0" w:color="auto"/>
                            <w:bottom w:val="none" w:sz="0" w:space="0" w:color="auto"/>
                            <w:right w:val="none" w:sz="0" w:space="0" w:color="auto"/>
                          </w:divBdr>
                        </w:div>
                      </w:divsChild>
                    </w:div>
                    <w:div w:id="294150947">
                      <w:marLeft w:val="0"/>
                      <w:marRight w:val="0"/>
                      <w:marTop w:val="0"/>
                      <w:marBottom w:val="0"/>
                      <w:divBdr>
                        <w:top w:val="none" w:sz="0" w:space="0" w:color="auto"/>
                        <w:left w:val="none" w:sz="0" w:space="0" w:color="auto"/>
                        <w:bottom w:val="none" w:sz="0" w:space="0" w:color="auto"/>
                        <w:right w:val="none" w:sz="0" w:space="0" w:color="auto"/>
                      </w:divBdr>
                      <w:divsChild>
                        <w:div w:id="294155631">
                          <w:marLeft w:val="0"/>
                          <w:marRight w:val="0"/>
                          <w:marTop w:val="0"/>
                          <w:marBottom w:val="0"/>
                          <w:divBdr>
                            <w:top w:val="none" w:sz="0" w:space="0" w:color="auto"/>
                            <w:left w:val="none" w:sz="0" w:space="0" w:color="auto"/>
                            <w:bottom w:val="none" w:sz="0" w:space="0" w:color="auto"/>
                            <w:right w:val="none" w:sz="0" w:space="0" w:color="auto"/>
                          </w:divBdr>
                        </w:div>
                      </w:divsChild>
                    </w:div>
                    <w:div w:id="294150950">
                      <w:marLeft w:val="0"/>
                      <w:marRight w:val="0"/>
                      <w:marTop w:val="0"/>
                      <w:marBottom w:val="0"/>
                      <w:divBdr>
                        <w:top w:val="none" w:sz="0" w:space="0" w:color="auto"/>
                        <w:left w:val="none" w:sz="0" w:space="0" w:color="auto"/>
                        <w:bottom w:val="none" w:sz="0" w:space="0" w:color="auto"/>
                        <w:right w:val="none" w:sz="0" w:space="0" w:color="auto"/>
                      </w:divBdr>
                      <w:divsChild>
                        <w:div w:id="294155795">
                          <w:marLeft w:val="0"/>
                          <w:marRight w:val="0"/>
                          <w:marTop w:val="0"/>
                          <w:marBottom w:val="0"/>
                          <w:divBdr>
                            <w:top w:val="none" w:sz="0" w:space="0" w:color="auto"/>
                            <w:left w:val="none" w:sz="0" w:space="0" w:color="auto"/>
                            <w:bottom w:val="none" w:sz="0" w:space="0" w:color="auto"/>
                            <w:right w:val="none" w:sz="0" w:space="0" w:color="auto"/>
                          </w:divBdr>
                        </w:div>
                      </w:divsChild>
                    </w:div>
                    <w:div w:id="294151027">
                      <w:marLeft w:val="0"/>
                      <w:marRight w:val="0"/>
                      <w:marTop w:val="0"/>
                      <w:marBottom w:val="0"/>
                      <w:divBdr>
                        <w:top w:val="none" w:sz="0" w:space="0" w:color="auto"/>
                        <w:left w:val="none" w:sz="0" w:space="0" w:color="auto"/>
                        <w:bottom w:val="none" w:sz="0" w:space="0" w:color="auto"/>
                        <w:right w:val="none" w:sz="0" w:space="0" w:color="auto"/>
                      </w:divBdr>
                      <w:divsChild>
                        <w:div w:id="294139566">
                          <w:marLeft w:val="0"/>
                          <w:marRight w:val="0"/>
                          <w:marTop w:val="0"/>
                          <w:marBottom w:val="0"/>
                          <w:divBdr>
                            <w:top w:val="none" w:sz="0" w:space="0" w:color="auto"/>
                            <w:left w:val="none" w:sz="0" w:space="0" w:color="auto"/>
                            <w:bottom w:val="none" w:sz="0" w:space="0" w:color="auto"/>
                            <w:right w:val="none" w:sz="0" w:space="0" w:color="auto"/>
                          </w:divBdr>
                        </w:div>
                      </w:divsChild>
                    </w:div>
                    <w:div w:id="294151120">
                      <w:marLeft w:val="0"/>
                      <w:marRight w:val="0"/>
                      <w:marTop w:val="0"/>
                      <w:marBottom w:val="0"/>
                      <w:divBdr>
                        <w:top w:val="none" w:sz="0" w:space="0" w:color="auto"/>
                        <w:left w:val="none" w:sz="0" w:space="0" w:color="auto"/>
                        <w:bottom w:val="none" w:sz="0" w:space="0" w:color="auto"/>
                        <w:right w:val="none" w:sz="0" w:space="0" w:color="auto"/>
                      </w:divBdr>
                      <w:divsChild>
                        <w:div w:id="294154478">
                          <w:marLeft w:val="0"/>
                          <w:marRight w:val="0"/>
                          <w:marTop w:val="0"/>
                          <w:marBottom w:val="0"/>
                          <w:divBdr>
                            <w:top w:val="none" w:sz="0" w:space="0" w:color="auto"/>
                            <w:left w:val="none" w:sz="0" w:space="0" w:color="auto"/>
                            <w:bottom w:val="none" w:sz="0" w:space="0" w:color="auto"/>
                            <w:right w:val="none" w:sz="0" w:space="0" w:color="auto"/>
                          </w:divBdr>
                        </w:div>
                      </w:divsChild>
                    </w:div>
                    <w:div w:id="294151150">
                      <w:marLeft w:val="0"/>
                      <w:marRight w:val="0"/>
                      <w:marTop w:val="0"/>
                      <w:marBottom w:val="0"/>
                      <w:divBdr>
                        <w:top w:val="none" w:sz="0" w:space="0" w:color="auto"/>
                        <w:left w:val="none" w:sz="0" w:space="0" w:color="auto"/>
                        <w:bottom w:val="none" w:sz="0" w:space="0" w:color="auto"/>
                        <w:right w:val="none" w:sz="0" w:space="0" w:color="auto"/>
                      </w:divBdr>
                    </w:div>
                    <w:div w:id="294151176">
                      <w:marLeft w:val="0"/>
                      <w:marRight w:val="0"/>
                      <w:marTop w:val="0"/>
                      <w:marBottom w:val="0"/>
                      <w:divBdr>
                        <w:top w:val="none" w:sz="0" w:space="0" w:color="auto"/>
                        <w:left w:val="none" w:sz="0" w:space="0" w:color="auto"/>
                        <w:bottom w:val="none" w:sz="0" w:space="0" w:color="auto"/>
                        <w:right w:val="none" w:sz="0" w:space="0" w:color="auto"/>
                      </w:divBdr>
                      <w:divsChild>
                        <w:div w:id="294140105">
                          <w:marLeft w:val="0"/>
                          <w:marRight w:val="0"/>
                          <w:marTop w:val="0"/>
                          <w:marBottom w:val="0"/>
                          <w:divBdr>
                            <w:top w:val="none" w:sz="0" w:space="0" w:color="auto"/>
                            <w:left w:val="none" w:sz="0" w:space="0" w:color="auto"/>
                            <w:bottom w:val="none" w:sz="0" w:space="0" w:color="auto"/>
                            <w:right w:val="none" w:sz="0" w:space="0" w:color="auto"/>
                          </w:divBdr>
                        </w:div>
                      </w:divsChild>
                    </w:div>
                    <w:div w:id="294151204">
                      <w:marLeft w:val="0"/>
                      <w:marRight w:val="0"/>
                      <w:marTop w:val="0"/>
                      <w:marBottom w:val="0"/>
                      <w:divBdr>
                        <w:top w:val="none" w:sz="0" w:space="0" w:color="auto"/>
                        <w:left w:val="none" w:sz="0" w:space="0" w:color="auto"/>
                        <w:bottom w:val="none" w:sz="0" w:space="0" w:color="auto"/>
                        <w:right w:val="none" w:sz="0" w:space="0" w:color="auto"/>
                      </w:divBdr>
                    </w:div>
                    <w:div w:id="294151208">
                      <w:marLeft w:val="0"/>
                      <w:marRight w:val="0"/>
                      <w:marTop w:val="0"/>
                      <w:marBottom w:val="0"/>
                      <w:divBdr>
                        <w:top w:val="none" w:sz="0" w:space="0" w:color="auto"/>
                        <w:left w:val="none" w:sz="0" w:space="0" w:color="auto"/>
                        <w:bottom w:val="none" w:sz="0" w:space="0" w:color="auto"/>
                        <w:right w:val="none" w:sz="0" w:space="0" w:color="auto"/>
                      </w:divBdr>
                    </w:div>
                    <w:div w:id="294151246">
                      <w:marLeft w:val="0"/>
                      <w:marRight w:val="0"/>
                      <w:marTop w:val="0"/>
                      <w:marBottom w:val="0"/>
                      <w:divBdr>
                        <w:top w:val="none" w:sz="0" w:space="0" w:color="auto"/>
                        <w:left w:val="none" w:sz="0" w:space="0" w:color="auto"/>
                        <w:bottom w:val="none" w:sz="0" w:space="0" w:color="auto"/>
                        <w:right w:val="none" w:sz="0" w:space="0" w:color="auto"/>
                      </w:divBdr>
                    </w:div>
                    <w:div w:id="294151314">
                      <w:marLeft w:val="0"/>
                      <w:marRight w:val="0"/>
                      <w:marTop w:val="0"/>
                      <w:marBottom w:val="0"/>
                      <w:divBdr>
                        <w:top w:val="none" w:sz="0" w:space="0" w:color="auto"/>
                        <w:left w:val="none" w:sz="0" w:space="0" w:color="auto"/>
                        <w:bottom w:val="none" w:sz="0" w:space="0" w:color="auto"/>
                        <w:right w:val="none" w:sz="0" w:space="0" w:color="auto"/>
                      </w:divBdr>
                    </w:div>
                    <w:div w:id="294151332">
                      <w:marLeft w:val="0"/>
                      <w:marRight w:val="0"/>
                      <w:marTop w:val="0"/>
                      <w:marBottom w:val="0"/>
                      <w:divBdr>
                        <w:top w:val="none" w:sz="0" w:space="0" w:color="auto"/>
                        <w:left w:val="none" w:sz="0" w:space="0" w:color="auto"/>
                        <w:bottom w:val="none" w:sz="0" w:space="0" w:color="auto"/>
                        <w:right w:val="none" w:sz="0" w:space="0" w:color="auto"/>
                      </w:divBdr>
                    </w:div>
                    <w:div w:id="294151338">
                      <w:marLeft w:val="0"/>
                      <w:marRight w:val="0"/>
                      <w:marTop w:val="0"/>
                      <w:marBottom w:val="0"/>
                      <w:divBdr>
                        <w:top w:val="none" w:sz="0" w:space="0" w:color="auto"/>
                        <w:left w:val="none" w:sz="0" w:space="0" w:color="auto"/>
                        <w:bottom w:val="none" w:sz="0" w:space="0" w:color="auto"/>
                        <w:right w:val="none" w:sz="0" w:space="0" w:color="auto"/>
                      </w:divBdr>
                      <w:divsChild>
                        <w:div w:id="294157212">
                          <w:marLeft w:val="0"/>
                          <w:marRight w:val="0"/>
                          <w:marTop w:val="0"/>
                          <w:marBottom w:val="0"/>
                          <w:divBdr>
                            <w:top w:val="none" w:sz="0" w:space="0" w:color="auto"/>
                            <w:left w:val="none" w:sz="0" w:space="0" w:color="auto"/>
                            <w:bottom w:val="none" w:sz="0" w:space="0" w:color="auto"/>
                            <w:right w:val="none" w:sz="0" w:space="0" w:color="auto"/>
                          </w:divBdr>
                        </w:div>
                      </w:divsChild>
                    </w:div>
                    <w:div w:id="294151397">
                      <w:marLeft w:val="0"/>
                      <w:marRight w:val="0"/>
                      <w:marTop w:val="0"/>
                      <w:marBottom w:val="0"/>
                      <w:divBdr>
                        <w:top w:val="none" w:sz="0" w:space="0" w:color="auto"/>
                        <w:left w:val="none" w:sz="0" w:space="0" w:color="auto"/>
                        <w:bottom w:val="none" w:sz="0" w:space="0" w:color="auto"/>
                        <w:right w:val="none" w:sz="0" w:space="0" w:color="auto"/>
                      </w:divBdr>
                    </w:div>
                    <w:div w:id="294151427">
                      <w:marLeft w:val="0"/>
                      <w:marRight w:val="0"/>
                      <w:marTop w:val="0"/>
                      <w:marBottom w:val="0"/>
                      <w:divBdr>
                        <w:top w:val="none" w:sz="0" w:space="0" w:color="auto"/>
                        <w:left w:val="none" w:sz="0" w:space="0" w:color="auto"/>
                        <w:bottom w:val="none" w:sz="0" w:space="0" w:color="auto"/>
                        <w:right w:val="none" w:sz="0" w:space="0" w:color="auto"/>
                      </w:divBdr>
                      <w:divsChild>
                        <w:div w:id="294139042">
                          <w:marLeft w:val="0"/>
                          <w:marRight w:val="0"/>
                          <w:marTop w:val="0"/>
                          <w:marBottom w:val="0"/>
                          <w:divBdr>
                            <w:top w:val="none" w:sz="0" w:space="0" w:color="auto"/>
                            <w:left w:val="none" w:sz="0" w:space="0" w:color="auto"/>
                            <w:bottom w:val="none" w:sz="0" w:space="0" w:color="auto"/>
                            <w:right w:val="none" w:sz="0" w:space="0" w:color="auto"/>
                          </w:divBdr>
                        </w:div>
                      </w:divsChild>
                    </w:div>
                    <w:div w:id="294151453">
                      <w:marLeft w:val="0"/>
                      <w:marRight w:val="0"/>
                      <w:marTop w:val="0"/>
                      <w:marBottom w:val="0"/>
                      <w:divBdr>
                        <w:top w:val="none" w:sz="0" w:space="0" w:color="auto"/>
                        <w:left w:val="none" w:sz="0" w:space="0" w:color="auto"/>
                        <w:bottom w:val="none" w:sz="0" w:space="0" w:color="auto"/>
                        <w:right w:val="none" w:sz="0" w:space="0" w:color="auto"/>
                      </w:divBdr>
                      <w:divsChild>
                        <w:div w:id="294153352">
                          <w:marLeft w:val="0"/>
                          <w:marRight w:val="0"/>
                          <w:marTop w:val="0"/>
                          <w:marBottom w:val="0"/>
                          <w:divBdr>
                            <w:top w:val="none" w:sz="0" w:space="0" w:color="auto"/>
                            <w:left w:val="none" w:sz="0" w:space="0" w:color="auto"/>
                            <w:bottom w:val="none" w:sz="0" w:space="0" w:color="auto"/>
                            <w:right w:val="none" w:sz="0" w:space="0" w:color="auto"/>
                          </w:divBdr>
                        </w:div>
                      </w:divsChild>
                    </w:div>
                    <w:div w:id="294151463">
                      <w:marLeft w:val="0"/>
                      <w:marRight w:val="0"/>
                      <w:marTop w:val="0"/>
                      <w:marBottom w:val="0"/>
                      <w:divBdr>
                        <w:top w:val="none" w:sz="0" w:space="0" w:color="auto"/>
                        <w:left w:val="none" w:sz="0" w:space="0" w:color="auto"/>
                        <w:bottom w:val="none" w:sz="0" w:space="0" w:color="auto"/>
                        <w:right w:val="none" w:sz="0" w:space="0" w:color="auto"/>
                      </w:divBdr>
                      <w:divsChild>
                        <w:div w:id="294152549">
                          <w:marLeft w:val="0"/>
                          <w:marRight w:val="0"/>
                          <w:marTop w:val="0"/>
                          <w:marBottom w:val="0"/>
                          <w:divBdr>
                            <w:top w:val="none" w:sz="0" w:space="0" w:color="auto"/>
                            <w:left w:val="none" w:sz="0" w:space="0" w:color="auto"/>
                            <w:bottom w:val="none" w:sz="0" w:space="0" w:color="auto"/>
                            <w:right w:val="none" w:sz="0" w:space="0" w:color="auto"/>
                          </w:divBdr>
                        </w:div>
                      </w:divsChild>
                    </w:div>
                    <w:div w:id="294151469">
                      <w:marLeft w:val="0"/>
                      <w:marRight w:val="0"/>
                      <w:marTop w:val="0"/>
                      <w:marBottom w:val="0"/>
                      <w:divBdr>
                        <w:top w:val="none" w:sz="0" w:space="0" w:color="auto"/>
                        <w:left w:val="none" w:sz="0" w:space="0" w:color="auto"/>
                        <w:bottom w:val="none" w:sz="0" w:space="0" w:color="auto"/>
                        <w:right w:val="none" w:sz="0" w:space="0" w:color="auto"/>
                      </w:divBdr>
                      <w:divsChild>
                        <w:div w:id="294151197">
                          <w:marLeft w:val="0"/>
                          <w:marRight w:val="0"/>
                          <w:marTop w:val="0"/>
                          <w:marBottom w:val="0"/>
                          <w:divBdr>
                            <w:top w:val="none" w:sz="0" w:space="0" w:color="auto"/>
                            <w:left w:val="none" w:sz="0" w:space="0" w:color="auto"/>
                            <w:bottom w:val="none" w:sz="0" w:space="0" w:color="auto"/>
                            <w:right w:val="none" w:sz="0" w:space="0" w:color="auto"/>
                          </w:divBdr>
                        </w:div>
                      </w:divsChild>
                    </w:div>
                    <w:div w:id="294151479">
                      <w:marLeft w:val="0"/>
                      <w:marRight w:val="0"/>
                      <w:marTop w:val="0"/>
                      <w:marBottom w:val="0"/>
                      <w:divBdr>
                        <w:top w:val="none" w:sz="0" w:space="0" w:color="auto"/>
                        <w:left w:val="none" w:sz="0" w:space="0" w:color="auto"/>
                        <w:bottom w:val="none" w:sz="0" w:space="0" w:color="auto"/>
                        <w:right w:val="none" w:sz="0" w:space="0" w:color="auto"/>
                      </w:divBdr>
                      <w:divsChild>
                        <w:div w:id="294157406">
                          <w:marLeft w:val="0"/>
                          <w:marRight w:val="0"/>
                          <w:marTop w:val="0"/>
                          <w:marBottom w:val="0"/>
                          <w:divBdr>
                            <w:top w:val="none" w:sz="0" w:space="0" w:color="auto"/>
                            <w:left w:val="none" w:sz="0" w:space="0" w:color="auto"/>
                            <w:bottom w:val="none" w:sz="0" w:space="0" w:color="auto"/>
                            <w:right w:val="none" w:sz="0" w:space="0" w:color="auto"/>
                          </w:divBdr>
                        </w:div>
                      </w:divsChild>
                    </w:div>
                    <w:div w:id="294151532">
                      <w:marLeft w:val="0"/>
                      <w:marRight w:val="0"/>
                      <w:marTop w:val="0"/>
                      <w:marBottom w:val="0"/>
                      <w:divBdr>
                        <w:top w:val="none" w:sz="0" w:space="0" w:color="auto"/>
                        <w:left w:val="none" w:sz="0" w:space="0" w:color="auto"/>
                        <w:bottom w:val="none" w:sz="0" w:space="0" w:color="auto"/>
                        <w:right w:val="none" w:sz="0" w:space="0" w:color="auto"/>
                      </w:divBdr>
                    </w:div>
                    <w:div w:id="294151547">
                      <w:marLeft w:val="0"/>
                      <w:marRight w:val="0"/>
                      <w:marTop w:val="0"/>
                      <w:marBottom w:val="0"/>
                      <w:divBdr>
                        <w:top w:val="none" w:sz="0" w:space="0" w:color="auto"/>
                        <w:left w:val="none" w:sz="0" w:space="0" w:color="auto"/>
                        <w:bottom w:val="none" w:sz="0" w:space="0" w:color="auto"/>
                        <w:right w:val="none" w:sz="0" w:space="0" w:color="auto"/>
                      </w:divBdr>
                      <w:divsChild>
                        <w:div w:id="294156288">
                          <w:marLeft w:val="0"/>
                          <w:marRight w:val="0"/>
                          <w:marTop w:val="0"/>
                          <w:marBottom w:val="0"/>
                          <w:divBdr>
                            <w:top w:val="none" w:sz="0" w:space="0" w:color="auto"/>
                            <w:left w:val="none" w:sz="0" w:space="0" w:color="auto"/>
                            <w:bottom w:val="none" w:sz="0" w:space="0" w:color="auto"/>
                            <w:right w:val="none" w:sz="0" w:space="0" w:color="auto"/>
                          </w:divBdr>
                        </w:div>
                      </w:divsChild>
                    </w:div>
                    <w:div w:id="294151562">
                      <w:marLeft w:val="0"/>
                      <w:marRight w:val="0"/>
                      <w:marTop w:val="0"/>
                      <w:marBottom w:val="0"/>
                      <w:divBdr>
                        <w:top w:val="none" w:sz="0" w:space="0" w:color="auto"/>
                        <w:left w:val="none" w:sz="0" w:space="0" w:color="auto"/>
                        <w:bottom w:val="none" w:sz="0" w:space="0" w:color="auto"/>
                        <w:right w:val="none" w:sz="0" w:space="0" w:color="auto"/>
                      </w:divBdr>
                      <w:divsChild>
                        <w:div w:id="294154961">
                          <w:marLeft w:val="0"/>
                          <w:marRight w:val="0"/>
                          <w:marTop w:val="0"/>
                          <w:marBottom w:val="0"/>
                          <w:divBdr>
                            <w:top w:val="none" w:sz="0" w:space="0" w:color="auto"/>
                            <w:left w:val="none" w:sz="0" w:space="0" w:color="auto"/>
                            <w:bottom w:val="none" w:sz="0" w:space="0" w:color="auto"/>
                            <w:right w:val="none" w:sz="0" w:space="0" w:color="auto"/>
                          </w:divBdr>
                        </w:div>
                      </w:divsChild>
                    </w:div>
                    <w:div w:id="294151633">
                      <w:marLeft w:val="0"/>
                      <w:marRight w:val="0"/>
                      <w:marTop w:val="0"/>
                      <w:marBottom w:val="0"/>
                      <w:divBdr>
                        <w:top w:val="none" w:sz="0" w:space="0" w:color="auto"/>
                        <w:left w:val="none" w:sz="0" w:space="0" w:color="auto"/>
                        <w:bottom w:val="none" w:sz="0" w:space="0" w:color="auto"/>
                        <w:right w:val="none" w:sz="0" w:space="0" w:color="auto"/>
                      </w:divBdr>
                      <w:divsChild>
                        <w:div w:id="294156544">
                          <w:marLeft w:val="0"/>
                          <w:marRight w:val="0"/>
                          <w:marTop w:val="0"/>
                          <w:marBottom w:val="0"/>
                          <w:divBdr>
                            <w:top w:val="none" w:sz="0" w:space="0" w:color="auto"/>
                            <w:left w:val="none" w:sz="0" w:space="0" w:color="auto"/>
                            <w:bottom w:val="none" w:sz="0" w:space="0" w:color="auto"/>
                            <w:right w:val="none" w:sz="0" w:space="0" w:color="auto"/>
                          </w:divBdr>
                        </w:div>
                      </w:divsChild>
                    </w:div>
                    <w:div w:id="294151705">
                      <w:marLeft w:val="0"/>
                      <w:marRight w:val="0"/>
                      <w:marTop w:val="0"/>
                      <w:marBottom w:val="0"/>
                      <w:divBdr>
                        <w:top w:val="none" w:sz="0" w:space="0" w:color="auto"/>
                        <w:left w:val="none" w:sz="0" w:space="0" w:color="auto"/>
                        <w:bottom w:val="none" w:sz="0" w:space="0" w:color="auto"/>
                        <w:right w:val="none" w:sz="0" w:space="0" w:color="auto"/>
                      </w:divBdr>
                    </w:div>
                    <w:div w:id="294151728">
                      <w:marLeft w:val="0"/>
                      <w:marRight w:val="0"/>
                      <w:marTop w:val="0"/>
                      <w:marBottom w:val="0"/>
                      <w:divBdr>
                        <w:top w:val="none" w:sz="0" w:space="0" w:color="auto"/>
                        <w:left w:val="none" w:sz="0" w:space="0" w:color="auto"/>
                        <w:bottom w:val="none" w:sz="0" w:space="0" w:color="auto"/>
                        <w:right w:val="none" w:sz="0" w:space="0" w:color="auto"/>
                      </w:divBdr>
                      <w:divsChild>
                        <w:div w:id="294138305">
                          <w:marLeft w:val="0"/>
                          <w:marRight w:val="0"/>
                          <w:marTop w:val="0"/>
                          <w:marBottom w:val="0"/>
                          <w:divBdr>
                            <w:top w:val="none" w:sz="0" w:space="0" w:color="auto"/>
                            <w:left w:val="none" w:sz="0" w:space="0" w:color="auto"/>
                            <w:bottom w:val="none" w:sz="0" w:space="0" w:color="auto"/>
                            <w:right w:val="none" w:sz="0" w:space="0" w:color="auto"/>
                          </w:divBdr>
                        </w:div>
                      </w:divsChild>
                    </w:div>
                    <w:div w:id="294151802">
                      <w:marLeft w:val="0"/>
                      <w:marRight w:val="0"/>
                      <w:marTop w:val="0"/>
                      <w:marBottom w:val="0"/>
                      <w:divBdr>
                        <w:top w:val="none" w:sz="0" w:space="0" w:color="auto"/>
                        <w:left w:val="none" w:sz="0" w:space="0" w:color="auto"/>
                        <w:bottom w:val="none" w:sz="0" w:space="0" w:color="auto"/>
                        <w:right w:val="none" w:sz="0" w:space="0" w:color="auto"/>
                      </w:divBdr>
                    </w:div>
                    <w:div w:id="294151856">
                      <w:marLeft w:val="0"/>
                      <w:marRight w:val="0"/>
                      <w:marTop w:val="0"/>
                      <w:marBottom w:val="0"/>
                      <w:divBdr>
                        <w:top w:val="none" w:sz="0" w:space="0" w:color="auto"/>
                        <w:left w:val="none" w:sz="0" w:space="0" w:color="auto"/>
                        <w:bottom w:val="none" w:sz="0" w:space="0" w:color="auto"/>
                        <w:right w:val="none" w:sz="0" w:space="0" w:color="auto"/>
                      </w:divBdr>
                      <w:divsChild>
                        <w:div w:id="294146460">
                          <w:marLeft w:val="0"/>
                          <w:marRight w:val="0"/>
                          <w:marTop w:val="0"/>
                          <w:marBottom w:val="0"/>
                          <w:divBdr>
                            <w:top w:val="none" w:sz="0" w:space="0" w:color="auto"/>
                            <w:left w:val="none" w:sz="0" w:space="0" w:color="auto"/>
                            <w:bottom w:val="none" w:sz="0" w:space="0" w:color="auto"/>
                            <w:right w:val="none" w:sz="0" w:space="0" w:color="auto"/>
                          </w:divBdr>
                        </w:div>
                      </w:divsChild>
                    </w:div>
                    <w:div w:id="294151871">
                      <w:marLeft w:val="0"/>
                      <w:marRight w:val="0"/>
                      <w:marTop w:val="0"/>
                      <w:marBottom w:val="0"/>
                      <w:divBdr>
                        <w:top w:val="none" w:sz="0" w:space="0" w:color="auto"/>
                        <w:left w:val="none" w:sz="0" w:space="0" w:color="auto"/>
                        <w:bottom w:val="none" w:sz="0" w:space="0" w:color="auto"/>
                        <w:right w:val="none" w:sz="0" w:space="0" w:color="auto"/>
                      </w:divBdr>
                      <w:divsChild>
                        <w:div w:id="294152196">
                          <w:marLeft w:val="0"/>
                          <w:marRight w:val="0"/>
                          <w:marTop w:val="0"/>
                          <w:marBottom w:val="0"/>
                          <w:divBdr>
                            <w:top w:val="none" w:sz="0" w:space="0" w:color="auto"/>
                            <w:left w:val="none" w:sz="0" w:space="0" w:color="auto"/>
                            <w:bottom w:val="none" w:sz="0" w:space="0" w:color="auto"/>
                            <w:right w:val="none" w:sz="0" w:space="0" w:color="auto"/>
                          </w:divBdr>
                        </w:div>
                      </w:divsChild>
                    </w:div>
                    <w:div w:id="294151889">
                      <w:marLeft w:val="0"/>
                      <w:marRight w:val="0"/>
                      <w:marTop w:val="0"/>
                      <w:marBottom w:val="0"/>
                      <w:divBdr>
                        <w:top w:val="none" w:sz="0" w:space="0" w:color="auto"/>
                        <w:left w:val="none" w:sz="0" w:space="0" w:color="auto"/>
                        <w:bottom w:val="none" w:sz="0" w:space="0" w:color="auto"/>
                        <w:right w:val="none" w:sz="0" w:space="0" w:color="auto"/>
                      </w:divBdr>
                    </w:div>
                    <w:div w:id="294151891">
                      <w:marLeft w:val="0"/>
                      <w:marRight w:val="0"/>
                      <w:marTop w:val="0"/>
                      <w:marBottom w:val="0"/>
                      <w:divBdr>
                        <w:top w:val="none" w:sz="0" w:space="0" w:color="auto"/>
                        <w:left w:val="none" w:sz="0" w:space="0" w:color="auto"/>
                        <w:bottom w:val="none" w:sz="0" w:space="0" w:color="auto"/>
                        <w:right w:val="none" w:sz="0" w:space="0" w:color="auto"/>
                      </w:divBdr>
                    </w:div>
                    <w:div w:id="294151985">
                      <w:marLeft w:val="0"/>
                      <w:marRight w:val="0"/>
                      <w:marTop w:val="0"/>
                      <w:marBottom w:val="0"/>
                      <w:divBdr>
                        <w:top w:val="none" w:sz="0" w:space="0" w:color="auto"/>
                        <w:left w:val="none" w:sz="0" w:space="0" w:color="auto"/>
                        <w:bottom w:val="none" w:sz="0" w:space="0" w:color="auto"/>
                        <w:right w:val="none" w:sz="0" w:space="0" w:color="auto"/>
                      </w:divBdr>
                      <w:divsChild>
                        <w:div w:id="294139327">
                          <w:marLeft w:val="0"/>
                          <w:marRight w:val="0"/>
                          <w:marTop w:val="0"/>
                          <w:marBottom w:val="0"/>
                          <w:divBdr>
                            <w:top w:val="none" w:sz="0" w:space="0" w:color="auto"/>
                            <w:left w:val="none" w:sz="0" w:space="0" w:color="auto"/>
                            <w:bottom w:val="none" w:sz="0" w:space="0" w:color="auto"/>
                            <w:right w:val="none" w:sz="0" w:space="0" w:color="auto"/>
                          </w:divBdr>
                        </w:div>
                      </w:divsChild>
                    </w:div>
                    <w:div w:id="294152032">
                      <w:marLeft w:val="0"/>
                      <w:marRight w:val="0"/>
                      <w:marTop w:val="0"/>
                      <w:marBottom w:val="0"/>
                      <w:divBdr>
                        <w:top w:val="none" w:sz="0" w:space="0" w:color="auto"/>
                        <w:left w:val="none" w:sz="0" w:space="0" w:color="auto"/>
                        <w:bottom w:val="none" w:sz="0" w:space="0" w:color="auto"/>
                        <w:right w:val="none" w:sz="0" w:space="0" w:color="auto"/>
                      </w:divBdr>
                    </w:div>
                    <w:div w:id="294152052">
                      <w:marLeft w:val="0"/>
                      <w:marRight w:val="0"/>
                      <w:marTop w:val="0"/>
                      <w:marBottom w:val="0"/>
                      <w:divBdr>
                        <w:top w:val="none" w:sz="0" w:space="0" w:color="auto"/>
                        <w:left w:val="none" w:sz="0" w:space="0" w:color="auto"/>
                        <w:bottom w:val="none" w:sz="0" w:space="0" w:color="auto"/>
                        <w:right w:val="none" w:sz="0" w:space="0" w:color="auto"/>
                      </w:divBdr>
                    </w:div>
                    <w:div w:id="294152067">
                      <w:marLeft w:val="0"/>
                      <w:marRight w:val="0"/>
                      <w:marTop w:val="0"/>
                      <w:marBottom w:val="0"/>
                      <w:divBdr>
                        <w:top w:val="none" w:sz="0" w:space="0" w:color="auto"/>
                        <w:left w:val="none" w:sz="0" w:space="0" w:color="auto"/>
                        <w:bottom w:val="none" w:sz="0" w:space="0" w:color="auto"/>
                        <w:right w:val="none" w:sz="0" w:space="0" w:color="auto"/>
                      </w:divBdr>
                    </w:div>
                    <w:div w:id="294152071">
                      <w:marLeft w:val="0"/>
                      <w:marRight w:val="0"/>
                      <w:marTop w:val="0"/>
                      <w:marBottom w:val="0"/>
                      <w:divBdr>
                        <w:top w:val="none" w:sz="0" w:space="0" w:color="auto"/>
                        <w:left w:val="none" w:sz="0" w:space="0" w:color="auto"/>
                        <w:bottom w:val="none" w:sz="0" w:space="0" w:color="auto"/>
                        <w:right w:val="none" w:sz="0" w:space="0" w:color="auto"/>
                      </w:divBdr>
                      <w:divsChild>
                        <w:div w:id="294138412">
                          <w:marLeft w:val="0"/>
                          <w:marRight w:val="0"/>
                          <w:marTop w:val="0"/>
                          <w:marBottom w:val="0"/>
                          <w:divBdr>
                            <w:top w:val="none" w:sz="0" w:space="0" w:color="auto"/>
                            <w:left w:val="none" w:sz="0" w:space="0" w:color="auto"/>
                            <w:bottom w:val="none" w:sz="0" w:space="0" w:color="auto"/>
                            <w:right w:val="none" w:sz="0" w:space="0" w:color="auto"/>
                          </w:divBdr>
                        </w:div>
                      </w:divsChild>
                    </w:div>
                    <w:div w:id="294152204">
                      <w:marLeft w:val="0"/>
                      <w:marRight w:val="0"/>
                      <w:marTop w:val="0"/>
                      <w:marBottom w:val="0"/>
                      <w:divBdr>
                        <w:top w:val="none" w:sz="0" w:space="0" w:color="auto"/>
                        <w:left w:val="none" w:sz="0" w:space="0" w:color="auto"/>
                        <w:bottom w:val="none" w:sz="0" w:space="0" w:color="auto"/>
                        <w:right w:val="none" w:sz="0" w:space="0" w:color="auto"/>
                      </w:divBdr>
                    </w:div>
                    <w:div w:id="294152214">
                      <w:marLeft w:val="0"/>
                      <w:marRight w:val="0"/>
                      <w:marTop w:val="0"/>
                      <w:marBottom w:val="0"/>
                      <w:divBdr>
                        <w:top w:val="none" w:sz="0" w:space="0" w:color="auto"/>
                        <w:left w:val="none" w:sz="0" w:space="0" w:color="auto"/>
                        <w:bottom w:val="none" w:sz="0" w:space="0" w:color="auto"/>
                        <w:right w:val="none" w:sz="0" w:space="0" w:color="auto"/>
                      </w:divBdr>
                    </w:div>
                    <w:div w:id="294152245">
                      <w:marLeft w:val="0"/>
                      <w:marRight w:val="0"/>
                      <w:marTop w:val="0"/>
                      <w:marBottom w:val="0"/>
                      <w:divBdr>
                        <w:top w:val="none" w:sz="0" w:space="0" w:color="auto"/>
                        <w:left w:val="none" w:sz="0" w:space="0" w:color="auto"/>
                        <w:bottom w:val="none" w:sz="0" w:space="0" w:color="auto"/>
                        <w:right w:val="none" w:sz="0" w:space="0" w:color="auto"/>
                      </w:divBdr>
                      <w:divsChild>
                        <w:div w:id="294142391">
                          <w:marLeft w:val="0"/>
                          <w:marRight w:val="0"/>
                          <w:marTop w:val="0"/>
                          <w:marBottom w:val="0"/>
                          <w:divBdr>
                            <w:top w:val="none" w:sz="0" w:space="0" w:color="auto"/>
                            <w:left w:val="none" w:sz="0" w:space="0" w:color="auto"/>
                            <w:bottom w:val="none" w:sz="0" w:space="0" w:color="auto"/>
                            <w:right w:val="none" w:sz="0" w:space="0" w:color="auto"/>
                          </w:divBdr>
                        </w:div>
                      </w:divsChild>
                    </w:div>
                    <w:div w:id="294152265">
                      <w:marLeft w:val="0"/>
                      <w:marRight w:val="0"/>
                      <w:marTop w:val="0"/>
                      <w:marBottom w:val="0"/>
                      <w:divBdr>
                        <w:top w:val="none" w:sz="0" w:space="0" w:color="auto"/>
                        <w:left w:val="none" w:sz="0" w:space="0" w:color="auto"/>
                        <w:bottom w:val="none" w:sz="0" w:space="0" w:color="auto"/>
                        <w:right w:val="none" w:sz="0" w:space="0" w:color="auto"/>
                      </w:divBdr>
                      <w:divsChild>
                        <w:div w:id="294153728">
                          <w:marLeft w:val="0"/>
                          <w:marRight w:val="0"/>
                          <w:marTop w:val="0"/>
                          <w:marBottom w:val="0"/>
                          <w:divBdr>
                            <w:top w:val="none" w:sz="0" w:space="0" w:color="auto"/>
                            <w:left w:val="none" w:sz="0" w:space="0" w:color="auto"/>
                            <w:bottom w:val="none" w:sz="0" w:space="0" w:color="auto"/>
                            <w:right w:val="none" w:sz="0" w:space="0" w:color="auto"/>
                          </w:divBdr>
                        </w:div>
                      </w:divsChild>
                    </w:div>
                    <w:div w:id="294152272">
                      <w:marLeft w:val="0"/>
                      <w:marRight w:val="0"/>
                      <w:marTop w:val="0"/>
                      <w:marBottom w:val="0"/>
                      <w:divBdr>
                        <w:top w:val="none" w:sz="0" w:space="0" w:color="auto"/>
                        <w:left w:val="none" w:sz="0" w:space="0" w:color="auto"/>
                        <w:bottom w:val="none" w:sz="0" w:space="0" w:color="auto"/>
                        <w:right w:val="none" w:sz="0" w:space="0" w:color="auto"/>
                      </w:divBdr>
                      <w:divsChild>
                        <w:div w:id="294145984">
                          <w:marLeft w:val="0"/>
                          <w:marRight w:val="0"/>
                          <w:marTop w:val="0"/>
                          <w:marBottom w:val="0"/>
                          <w:divBdr>
                            <w:top w:val="none" w:sz="0" w:space="0" w:color="auto"/>
                            <w:left w:val="none" w:sz="0" w:space="0" w:color="auto"/>
                            <w:bottom w:val="none" w:sz="0" w:space="0" w:color="auto"/>
                            <w:right w:val="none" w:sz="0" w:space="0" w:color="auto"/>
                          </w:divBdr>
                        </w:div>
                      </w:divsChild>
                    </w:div>
                    <w:div w:id="294152277">
                      <w:marLeft w:val="0"/>
                      <w:marRight w:val="0"/>
                      <w:marTop w:val="0"/>
                      <w:marBottom w:val="0"/>
                      <w:divBdr>
                        <w:top w:val="none" w:sz="0" w:space="0" w:color="auto"/>
                        <w:left w:val="none" w:sz="0" w:space="0" w:color="auto"/>
                        <w:bottom w:val="none" w:sz="0" w:space="0" w:color="auto"/>
                        <w:right w:val="none" w:sz="0" w:space="0" w:color="auto"/>
                      </w:divBdr>
                    </w:div>
                    <w:div w:id="294152328">
                      <w:marLeft w:val="0"/>
                      <w:marRight w:val="0"/>
                      <w:marTop w:val="0"/>
                      <w:marBottom w:val="0"/>
                      <w:divBdr>
                        <w:top w:val="none" w:sz="0" w:space="0" w:color="auto"/>
                        <w:left w:val="none" w:sz="0" w:space="0" w:color="auto"/>
                        <w:bottom w:val="none" w:sz="0" w:space="0" w:color="auto"/>
                        <w:right w:val="none" w:sz="0" w:space="0" w:color="auto"/>
                      </w:divBdr>
                    </w:div>
                    <w:div w:id="294152337">
                      <w:marLeft w:val="0"/>
                      <w:marRight w:val="0"/>
                      <w:marTop w:val="0"/>
                      <w:marBottom w:val="0"/>
                      <w:divBdr>
                        <w:top w:val="none" w:sz="0" w:space="0" w:color="auto"/>
                        <w:left w:val="none" w:sz="0" w:space="0" w:color="auto"/>
                        <w:bottom w:val="none" w:sz="0" w:space="0" w:color="auto"/>
                        <w:right w:val="none" w:sz="0" w:space="0" w:color="auto"/>
                      </w:divBdr>
                      <w:divsChild>
                        <w:div w:id="294143246">
                          <w:marLeft w:val="0"/>
                          <w:marRight w:val="0"/>
                          <w:marTop w:val="0"/>
                          <w:marBottom w:val="0"/>
                          <w:divBdr>
                            <w:top w:val="none" w:sz="0" w:space="0" w:color="auto"/>
                            <w:left w:val="none" w:sz="0" w:space="0" w:color="auto"/>
                            <w:bottom w:val="none" w:sz="0" w:space="0" w:color="auto"/>
                            <w:right w:val="none" w:sz="0" w:space="0" w:color="auto"/>
                          </w:divBdr>
                        </w:div>
                      </w:divsChild>
                    </w:div>
                    <w:div w:id="294152363">
                      <w:marLeft w:val="0"/>
                      <w:marRight w:val="0"/>
                      <w:marTop w:val="0"/>
                      <w:marBottom w:val="0"/>
                      <w:divBdr>
                        <w:top w:val="none" w:sz="0" w:space="0" w:color="auto"/>
                        <w:left w:val="none" w:sz="0" w:space="0" w:color="auto"/>
                        <w:bottom w:val="none" w:sz="0" w:space="0" w:color="auto"/>
                        <w:right w:val="none" w:sz="0" w:space="0" w:color="auto"/>
                      </w:divBdr>
                      <w:divsChild>
                        <w:div w:id="294145168">
                          <w:marLeft w:val="0"/>
                          <w:marRight w:val="0"/>
                          <w:marTop w:val="0"/>
                          <w:marBottom w:val="0"/>
                          <w:divBdr>
                            <w:top w:val="none" w:sz="0" w:space="0" w:color="auto"/>
                            <w:left w:val="none" w:sz="0" w:space="0" w:color="auto"/>
                            <w:bottom w:val="none" w:sz="0" w:space="0" w:color="auto"/>
                            <w:right w:val="none" w:sz="0" w:space="0" w:color="auto"/>
                          </w:divBdr>
                        </w:div>
                      </w:divsChild>
                    </w:div>
                    <w:div w:id="294152377">
                      <w:marLeft w:val="0"/>
                      <w:marRight w:val="0"/>
                      <w:marTop w:val="0"/>
                      <w:marBottom w:val="0"/>
                      <w:divBdr>
                        <w:top w:val="none" w:sz="0" w:space="0" w:color="auto"/>
                        <w:left w:val="none" w:sz="0" w:space="0" w:color="auto"/>
                        <w:bottom w:val="none" w:sz="0" w:space="0" w:color="auto"/>
                        <w:right w:val="none" w:sz="0" w:space="0" w:color="auto"/>
                      </w:divBdr>
                    </w:div>
                    <w:div w:id="294152435">
                      <w:marLeft w:val="0"/>
                      <w:marRight w:val="0"/>
                      <w:marTop w:val="0"/>
                      <w:marBottom w:val="0"/>
                      <w:divBdr>
                        <w:top w:val="none" w:sz="0" w:space="0" w:color="auto"/>
                        <w:left w:val="none" w:sz="0" w:space="0" w:color="auto"/>
                        <w:bottom w:val="none" w:sz="0" w:space="0" w:color="auto"/>
                        <w:right w:val="none" w:sz="0" w:space="0" w:color="auto"/>
                      </w:divBdr>
                      <w:divsChild>
                        <w:div w:id="294149526">
                          <w:marLeft w:val="0"/>
                          <w:marRight w:val="0"/>
                          <w:marTop w:val="0"/>
                          <w:marBottom w:val="0"/>
                          <w:divBdr>
                            <w:top w:val="none" w:sz="0" w:space="0" w:color="auto"/>
                            <w:left w:val="none" w:sz="0" w:space="0" w:color="auto"/>
                            <w:bottom w:val="none" w:sz="0" w:space="0" w:color="auto"/>
                            <w:right w:val="none" w:sz="0" w:space="0" w:color="auto"/>
                          </w:divBdr>
                        </w:div>
                      </w:divsChild>
                    </w:div>
                    <w:div w:id="294152443">
                      <w:marLeft w:val="0"/>
                      <w:marRight w:val="0"/>
                      <w:marTop w:val="0"/>
                      <w:marBottom w:val="0"/>
                      <w:divBdr>
                        <w:top w:val="none" w:sz="0" w:space="0" w:color="auto"/>
                        <w:left w:val="none" w:sz="0" w:space="0" w:color="auto"/>
                        <w:bottom w:val="none" w:sz="0" w:space="0" w:color="auto"/>
                        <w:right w:val="none" w:sz="0" w:space="0" w:color="auto"/>
                      </w:divBdr>
                      <w:divsChild>
                        <w:div w:id="294142719">
                          <w:marLeft w:val="0"/>
                          <w:marRight w:val="0"/>
                          <w:marTop w:val="0"/>
                          <w:marBottom w:val="0"/>
                          <w:divBdr>
                            <w:top w:val="none" w:sz="0" w:space="0" w:color="auto"/>
                            <w:left w:val="none" w:sz="0" w:space="0" w:color="auto"/>
                            <w:bottom w:val="none" w:sz="0" w:space="0" w:color="auto"/>
                            <w:right w:val="none" w:sz="0" w:space="0" w:color="auto"/>
                          </w:divBdr>
                        </w:div>
                      </w:divsChild>
                    </w:div>
                    <w:div w:id="294152461">
                      <w:marLeft w:val="0"/>
                      <w:marRight w:val="0"/>
                      <w:marTop w:val="0"/>
                      <w:marBottom w:val="0"/>
                      <w:divBdr>
                        <w:top w:val="none" w:sz="0" w:space="0" w:color="auto"/>
                        <w:left w:val="none" w:sz="0" w:space="0" w:color="auto"/>
                        <w:bottom w:val="none" w:sz="0" w:space="0" w:color="auto"/>
                        <w:right w:val="none" w:sz="0" w:space="0" w:color="auto"/>
                      </w:divBdr>
                    </w:div>
                    <w:div w:id="294152538">
                      <w:marLeft w:val="0"/>
                      <w:marRight w:val="0"/>
                      <w:marTop w:val="0"/>
                      <w:marBottom w:val="0"/>
                      <w:divBdr>
                        <w:top w:val="none" w:sz="0" w:space="0" w:color="auto"/>
                        <w:left w:val="none" w:sz="0" w:space="0" w:color="auto"/>
                        <w:bottom w:val="none" w:sz="0" w:space="0" w:color="auto"/>
                        <w:right w:val="none" w:sz="0" w:space="0" w:color="auto"/>
                      </w:divBdr>
                    </w:div>
                    <w:div w:id="294152548">
                      <w:marLeft w:val="0"/>
                      <w:marRight w:val="0"/>
                      <w:marTop w:val="0"/>
                      <w:marBottom w:val="0"/>
                      <w:divBdr>
                        <w:top w:val="none" w:sz="0" w:space="0" w:color="auto"/>
                        <w:left w:val="none" w:sz="0" w:space="0" w:color="auto"/>
                        <w:bottom w:val="none" w:sz="0" w:space="0" w:color="auto"/>
                        <w:right w:val="none" w:sz="0" w:space="0" w:color="auto"/>
                      </w:divBdr>
                    </w:div>
                    <w:div w:id="294152554">
                      <w:marLeft w:val="0"/>
                      <w:marRight w:val="0"/>
                      <w:marTop w:val="0"/>
                      <w:marBottom w:val="0"/>
                      <w:divBdr>
                        <w:top w:val="none" w:sz="0" w:space="0" w:color="auto"/>
                        <w:left w:val="none" w:sz="0" w:space="0" w:color="auto"/>
                        <w:bottom w:val="none" w:sz="0" w:space="0" w:color="auto"/>
                        <w:right w:val="none" w:sz="0" w:space="0" w:color="auto"/>
                      </w:divBdr>
                      <w:divsChild>
                        <w:div w:id="294142819">
                          <w:marLeft w:val="0"/>
                          <w:marRight w:val="0"/>
                          <w:marTop w:val="0"/>
                          <w:marBottom w:val="0"/>
                          <w:divBdr>
                            <w:top w:val="none" w:sz="0" w:space="0" w:color="auto"/>
                            <w:left w:val="none" w:sz="0" w:space="0" w:color="auto"/>
                            <w:bottom w:val="none" w:sz="0" w:space="0" w:color="auto"/>
                            <w:right w:val="none" w:sz="0" w:space="0" w:color="auto"/>
                          </w:divBdr>
                        </w:div>
                      </w:divsChild>
                    </w:div>
                    <w:div w:id="294152563">
                      <w:marLeft w:val="0"/>
                      <w:marRight w:val="0"/>
                      <w:marTop w:val="0"/>
                      <w:marBottom w:val="0"/>
                      <w:divBdr>
                        <w:top w:val="none" w:sz="0" w:space="0" w:color="auto"/>
                        <w:left w:val="none" w:sz="0" w:space="0" w:color="auto"/>
                        <w:bottom w:val="none" w:sz="0" w:space="0" w:color="auto"/>
                        <w:right w:val="none" w:sz="0" w:space="0" w:color="auto"/>
                      </w:divBdr>
                      <w:divsChild>
                        <w:div w:id="294144265">
                          <w:marLeft w:val="0"/>
                          <w:marRight w:val="0"/>
                          <w:marTop w:val="0"/>
                          <w:marBottom w:val="0"/>
                          <w:divBdr>
                            <w:top w:val="none" w:sz="0" w:space="0" w:color="auto"/>
                            <w:left w:val="none" w:sz="0" w:space="0" w:color="auto"/>
                            <w:bottom w:val="none" w:sz="0" w:space="0" w:color="auto"/>
                            <w:right w:val="none" w:sz="0" w:space="0" w:color="auto"/>
                          </w:divBdr>
                        </w:div>
                      </w:divsChild>
                    </w:div>
                    <w:div w:id="294152571">
                      <w:marLeft w:val="0"/>
                      <w:marRight w:val="0"/>
                      <w:marTop w:val="0"/>
                      <w:marBottom w:val="0"/>
                      <w:divBdr>
                        <w:top w:val="none" w:sz="0" w:space="0" w:color="auto"/>
                        <w:left w:val="none" w:sz="0" w:space="0" w:color="auto"/>
                        <w:bottom w:val="none" w:sz="0" w:space="0" w:color="auto"/>
                        <w:right w:val="none" w:sz="0" w:space="0" w:color="auto"/>
                      </w:divBdr>
                      <w:divsChild>
                        <w:div w:id="294154689">
                          <w:marLeft w:val="0"/>
                          <w:marRight w:val="0"/>
                          <w:marTop w:val="0"/>
                          <w:marBottom w:val="0"/>
                          <w:divBdr>
                            <w:top w:val="none" w:sz="0" w:space="0" w:color="auto"/>
                            <w:left w:val="none" w:sz="0" w:space="0" w:color="auto"/>
                            <w:bottom w:val="none" w:sz="0" w:space="0" w:color="auto"/>
                            <w:right w:val="none" w:sz="0" w:space="0" w:color="auto"/>
                          </w:divBdr>
                        </w:div>
                      </w:divsChild>
                    </w:div>
                    <w:div w:id="294152738">
                      <w:marLeft w:val="0"/>
                      <w:marRight w:val="0"/>
                      <w:marTop w:val="0"/>
                      <w:marBottom w:val="0"/>
                      <w:divBdr>
                        <w:top w:val="none" w:sz="0" w:space="0" w:color="auto"/>
                        <w:left w:val="none" w:sz="0" w:space="0" w:color="auto"/>
                        <w:bottom w:val="none" w:sz="0" w:space="0" w:color="auto"/>
                        <w:right w:val="none" w:sz="0" w:space="0" w:color="auto"/>
                      </w:divBdr>
                    </w:div>
                    <w:div w:id="294152739">
                      <w:marLeft w:val="0"/>
                      <w:marRight w:val="0"/>
                      <w:marTop w:val="0"/>
                      <w:marBottom w:val="0"/>
                      <w:divBdr>
                        <w:top w:val="none" w:sz="0" w:space="0" w:color="auto"/>
                        <w:left w:val="none" w:sz="0" w:space="0" w:color="auto"/>
                        <w:bottom w:val="none" w:sz="0" w:space="0" w:color="auto"/>
                        <w:right w:val="none" w:sz="0" w:space="0" w:color="auto"/>
                      </w:divBdr>
                    </w:div>
                    <w:div w:id="294152762">
                      <w:marLeft w:val="0"/>
                      <w:marRight w:val="0"/>
                      <w:marTop w:val="0"/>
                      <w:marBottom w:val="0"/>
                      <w:divBdr>
                        <w:top w:val="none" w:sz="0" w:space="0" w:color="auto"/>
                        <w:left w:val="none" w:sz="0" w:space="0" w:color="auto"/>
                        <w:bottom w:val="none" w:sz="0" w:space="0" w:color="auto"/>
                        <w:right w:val="none" w:sz="0" w:space="0" w:color="auto"/>
                      </w:divBdr>
                      <w:divsChild>
                        <w:div w:id="294154898">
                          <w:marLeft w:val="0"/>
                          <w:marRight w:val="0"/>
                          <w:marTop w:val="0"/>
                          <w:marBottom w:val="0"/>
                          <w:divBdr>
                            <w:top w:val="none" w:sz="0" w:space="0" w:color="auto"/>
                            <w:left w:val="none" w:sz="0" w:space="0" w:color="auto"/>
                            <w:bottom w:val="none" w:sz="0" w:space="0" w:color="auto"/>
                            <w:right w:val="none" w:sz="0" w:space="0" w:color="auto"/>
                          </w:divBdr>
                        </w:div>
                      </w:divsChild>
                    </w:div>
                    <w:div w:id="294152819">
                      <w:marLeft w:val="0"/>
                      <w:marRight w:val="0"/>
                      <w:marTop w:val="0"/>
                      <w:marBottom w:val="0"/>
                      <w:divBdr>
                        <w:top w:val="none" w:sz="0" w:space="0" w:color="auto"/>
                        <w:left w:val="none" w:sz="0" w:space="0" w:color="auto"/>
                        <w:bottom w:val="none" w:sz="0" w:space="0" w:color="auto"/>
                        <w:right w:val="none" w:sz="0" w:space="0" w:color="auto"/>
                      </w:divBdr>
                      <w:divsChild>
                        <w:div w:id="294153323">
                          <w:marLeft w:val="0"/>
                          <w:marRight w:val="0"/>
                          <w:marTop w:val="0"/>
                          <w:marBottom w:val="0"/>
                          <w:divBdr>
                            <w:top w:val="none" w:sz="0" w:space="0" w:color="auto"/>
                            <w:left w:val="none" w:sz="0" w:space="0" w:color="auto"/>
                            <w:bottom w:val="none" w:sz="0" w:space="0" w:color="auto"/>
                            <w:right w:val="none" w:sz="0" w:space="0" w:color="auto"/>
                          </w:divBdr>
                        </w:div>
                      </w:divsChild>
                    </w:div>
                    <w:div w:id="294152829">
                      <w:marLeft w:val="0"/>
                      <w:marRight w:val="0"/>
                      <w:marTop w:val="0"/>
                      <w:marBottom w:val="0"/>
                      <w:divBdr>
                        <w:top w:val="none" w:sz="0" w:space="0" w:color="auto"/>
                        <w:left w:val="none" w:sz="0" w:space="0" w:color="auto"/>
                        <w:bottom w:val="none" w:sz="0" w:space="0" w:color="auto"/>
                        <w:right w:val="none" w:sz="0" w:space="0" w:color="auto"/>
                      </w:divBdr>
                    </w:div>
                    <w:div w:id="294152876">
                      <w:marLeft w:val="0"/>
                      <w:marRight w:val="0"/>
                      <w:marTop w:val="0"/>
                      <w:marBottom w:val="0"/>
                      <w:divBdr>
                        <w:top w:val="none" w:sz="0" w:space="0" w:color="auto"/>
                        <w:left w:val="none" w:sz="0" w:space="0" w:color="auto"/>
                        <w:bottom w:val="none" w:sz="0" w:space="0" w:color="auto"/>
                        <w:right w:val="none" w:sz="0" w:space="0" w:color="auto"/>
                      </w:divBdr>
                      <w:divsChild>
                        <w:div w:id="294141413">
                          <w:marLeft w:val="0"/>
                          <w:marRight w:val="0"/>
                          <w:marTop w:val="0"/>
                          <w:marBottom w:val="0"/>
                          <w:divBdr>
                            <w:top w:val="none" w:sz="0" w:space="0" w:color="auto"/>
                            <w:left w:val="none" w:sz="0" w:space="0" w:color="auto"/>
                            <w:bottom w:val="none" w:sz="0" w:space="0" w:color="auto"/>
                            <w:right w:val="none" w:sz="0" w:space="0" w:color="auto"/>
                          </w:divBdr>
                        </w:div>
                      </w:divsChild>
                    </w:div>
                    <w:div w:id="294152896">
                      <w:marLeft w:val="0"/>
                      <w:marRight w:val="0"/>
                      <w:marTop w:val="0"/>
                      <w:marBottom w:val="0"/>
                      <w:divBdr>
                        <w:top w:val="none" w:sz="0" w:space="0" w:color="auto"/>
                        <w:left w:val="none" w:sz="0" w:space="0" w:color="auto"/>
                        <w:bottom w:val="none" w:sz="0" w:space="0" w:color="auto"/>
                        <w:right w:val="none" w:sz="0" w:space="0" w:color="auto"/>
                      </w:divBdr>
                      <w:divsChild>
                        <w:div w:id="294142865">
                          <w:marLeft w:val="0"/>
                          <w:marRight w:val="0"/>
                          <w:marTop w:val="0"/>
                          <w:marBottom w:val="0"/>
                          <w:divBdr>
                            <w:top w:val="none" w:sz="0" w:space="0" w:color="auto"/>
                            <w:left w:val="none" w:sz="0" w:space="0" w:color="auto"/>
                            <w:bottom w:val="none" w:sz="0" w:space="0" w:color="auto"/>
                            <w:right w:val="none" w:sz="0" w:space="0" w:color="auto"/>
                          </w:divBdr>
                        </w:div>
                      </w:divsChild>
                    </w:div>
                    <w:div w:id="294153024">
                      <w:marLeft w:val="0"/>
                      <w:marRight w:val="0"/>
                      <w:marTop w:val="0"/>
                      <w:marBottom w:val="0"/>
                      <w:divBdr>
                        <w:top w:val="none" w:sz="0" w:space="0" w:color="auto"/>
                        <w:left w:val="none" w:sz="0" w:space="0" w:color="auto"/>
                        <w:bottom w:val="none" w:sz="0" w:space="0" w:color="auto"/>
                        <w:right w:val="none" w:sz="0" w:space="0" w:color="auto"/>
                      </w:divBdr>
                      <w:divsChild>
                        <w:div w:id="294148757">
                          <w:marLeft w:val="0"/>
                          <w:marRight w:val="0"/>
                          <w:marTop w:val="0"/>
                          <w:marBottom w:val="0"/>
                          <w:divBdr>
                            <w:top w:val="none" w:sz="0" w:space="0" w:color="auto"/>
                            <w:left w:val="none" w:sz="0" w:space="0" w:color="auto"/>
                            <w:bottom w:val="none" w:sz="0" w:space="0" w:color="auto"/>
                            <w:right w:val="none" w:sz="0" w:space="0" w:color="auto"/>
                          </w:divBdr>
                        </w:div>
                      </w:divsChild>
                    </w:div>
                    <w:div w:id="294153039">
                      <w:marLeft w:val="0"/>
                      <w:marRight w:val="0"/>
                      <w:marTop w:val="0"/>
                      <w:marBottom w:val="0"/>
                      <w:divBdr>
                        <w:top w:val="none" w:sz="0" w:space="0" w:color="auto"/>
                        <w:left w:val="none" w:sz="0" w:space="0" w:color="auto"/>
                        <w:bottom w:val="none" w:sz="0" w:space="0" w:color="auto"/>
                        <w:right w:val="none" w:sz="0" w:space="0" w:color="auto"/>
                      </w:divBdr>
                      <w:divsChild>
                        <w:div w:id="294138969">
                          <w:marLeft w:val="0"/>
                          <w:marRight w:val="0"/>
                          <w:marTop w:val="0"/>
                          <w:marBottom w:val="0"/>
                          <w:divBdr>
                            <w:top w:val="none" w:sz="0" w:space="0" w:color="auto"/>
                            <w:left w:val="none" w:sz="0" w:space="0" w:color="auto"/>
                            <w:bottom w:val="none" w:sz="0" w:space="0" w:color="auto"/>
                            <w:right w:val="none" w:sz="0" w:space="0" w:color="auto"/>
                          </w:divBdr>
                        </w:div>
                      </w:divsChild>
                    </w:div>
                    <w:div w:id="294153058">
                      <w:marLeft w:val="0"/>
                      <w:marRight w:val="0"/>
                      <w:marTop w:val="0"/>
                      <w:marBottom w:val="0"/>
                      <w:divBdr>
                        <w:top w:val="none" w:sz="0" w:space="0" w:color="auto"/>
                        <w:left w:val="none" w:sz="0" w:space="0" w:color="auto"/>
                        <w:bottom w:val="none" w:sz="0" w:space="0" w:color="auto"/>
                        <w:right w:val="none" w:sz="0" w:space="0" w:color="auto"/>
                      </w:divBdr>
                      <w:divsChild>
                        <w:div w:id="294153230">
                          <w:marLeft w:val="0"/>
                          <w:marRight w:val="0"/>
                          <w:marTop w:val="0"/>
                          <w:marBottom w:val="0"/>
                          <w:divBdr>
                            <w:top w:val="none" w:sz="0" w:space="0" w:color="auto"/>
                            <w:left w:val="none" w:sz="0" w:space="0" w:color="auto"/>
                            <w:bottom w:val="none" w:sz="0" w:space="0" w:color="auto"/>
                            <w:right w:val="none" w:sz="0" w:space="0" w:color="auto"/>
                          </w:divBdr>
                        </w:div>
                      </w:divsChild>
                    </w:div>
                    <w:div w:id="294153086">
                      <w:marLeft w:val="0"/>
                      <w:marRight w:val="0"/>
                      <w:marTop w:val="0"/>
                      <w:marBottom w:val="0"/>
                      <w:divBdr>
                        <w:top w:val="none" w:sz="0" w:space="0" w:color="auto"/>
                        <w:left w:val="none" w:sz="0" w:space="0" w:color="auto"/>
                        <w:bottom w:val="none" w:sz="0" w:space="0" w:color="auto"/>
                        <w:right w:val="none" w:sz="0" w:space="0" w:color="auto"/>
                      </w:divBdr>
                      <w:divsChild>
                        <w:div w:id="294148278">
                          <w:marLeft w:val="0"/>
                          <w:marRight w:val="0"/>
                          <w:marTop w:val="0"/>
                          <w:marBottom w:val="0"/>
                          <w:divBdr>
                            <w:top w:val="none" w:sz="0" w:space="0" w:color="auto"/>
                            <w:left w:val="none" w:sz="0" w:space="0" w:color="auto"/>
                            <w:bottom w:val="none" w:sz="0" w:space="0" w:color="auto"/>
                            <w:right w:val="none" w:sz="0" w:space="0" w:color="auto"/>
                          </w:divBdr>
                        </w:div>
                      </w:divsChild>
                    </w:div>
                    <w:div w:id="294153106">
                      <w:marLeft w:val="0"/>
                      <w:marRight w:val="0"/>
                      <w:marTop w:val="0"/>
                      <w:marBottom w:val="0"/>
                      <w:divBdr>
                        <w:top w:val="none" w:sz="0" w:space="0" w:color="auto"/>
                        <w:left w:val="none" w:sz="0" w:space="0" w:color="auto"/>
                        <w:bottom w:val="none" w:sz="0" w:space="0" w:color="auto"/>
                        <w:right w:val="none" w:sz="0" w:space="0" w:color="auto"/>
                      </w:divBdr>
                      <w:divsChild>
                        <w:div w:id="294147741">
                          <w:marLeft w:val="0"/>
                          <w:marRight w:val="0"/>
                          <w:marTop w:val="0"/>
                          <w:marBottom w:val="0"/>
                          <w:divBdr>
                            <w:top w:val="none" w:sz="0" w:space="0" w:color="auto"/>
                            <w:left w:val="none" w:sz="0" w:space="0" w:color="auto"/>
                            <w:bottom w:val="none" w:sz="0" w:space="0" w:color="auto"/>
                            <w:right w:val="none" w:sz="0" w:space="0" w:color="auto"/>
                          </w:divBdr>
                        </w:div>
                      </w:divsChild>
                    </w:div>
                    <w:div w:id="294153166">
                      <w:marLeft w:val="0"/>
                      <w:marRight w:val="0"/>
                      <w:marTop w:val="0"/>
                      <w:marBottom w:val="0"/>
                      <w:divBdr>
                        <w:top w:val="none" w:sz="0" w:space="0" w:color="auto"/>
                        <w:left w:val="none" w:sz="0" w:space="0" w:color="auto"/>
                        <w:bottom w:val="none" w:sz="0" w:space="0" w:color="auto"/>
                        <w:right w:val="none" w:sz="0" w:space="0" w:color="auto"/>
                      </w:divBdr>
                      <w:divsChild>
                        <w:div w:id="294140548">
                          <w:marLeft w:val="0"/>
                          <w:marRight w:val="0"/>
                          <w:marTop w:val="0"/>
                          <w:marBottom w:val="0"/>
                          <w:divBdr>
                            <w:top w:val="none" w:sz="0" w:space="0" w:color="auto"/>
                            <w:left w:val="none" w:sz="0" w:space="0" w:color="auto"/>
                            <w:bottom w:val="none" w:sz="0" w:space="0" w:color="auto"/>
                            <w:right w:val="none" w:sz="0" w:space="0" w:color="auto"/>
                          </w:divBdr>
                        </w:div>
                      </w:divsChild>
                    </w:div>
                    <w:div w:id="294153244">
                      <w:marLeft w:val="0"/>
                      <w:marRight w:val="0"/>
                      <w:marTop w:val="0"/>
                      <w:marBottom w:val="0"/>
                      <w:divBdr>
                        <w:top w:val="none" w:sz="0" w:space="0" w:color="auto"/>
                        <w:left w:val="none" w:sz="0" w:space="0" w:color="auto"/>
                        <w:bottom w:val="none" w:sz="0" w:space="0" w:color="auto"/>
                        <w:right w:val="none" w:sz="0" w:space="0" w:color="auto"/>
                      </w:divBdr>
                      <w:divsChild>
                        <w:div w:id="294145216">
                          <w:marLeft w:val="0"/>
                          <w:marRight w:val="0"/>
                          <w:marTop w:val="0"/>
                          <w:marBottom w:val="0"/>
                          <w:divBdr>
                            <w:top w:val="none" w:sz="0" w:space="0" w:color="auto"/>
                            <w:left w:val="none" w:sz="0" w:space="0" w:color="auto"/>
                            <w:bottom w:val="none" w:sz="0" w:space="0" w:color="auto"/>
                            <w:right w:val="none" w:sz="0" w:space="0" w:color="auto"/>
                          </w:divBdr>
                        </w:div>
                      </w:divsChild>
                    </w:div>
                    <w:div w:id="294153262">
                      <w:marLeft w:val="0"/>
                      <w:marRight w:val="0"/>
                      <w:marTop w:val="0"/>
                      <w:marBottom w:val="0"/>
                      <w:divBdr>
                        <w:top w:val="none" w:sz="0" w:space="0" w:color="auto"/>
                        <w:left w:val="none" w:sz="0" w:space="0" w:color="auto"/>
                        <w:bottom w:val="none" w:sz="0" w:space="0" w:color="auto"/>
                        <w:right w:val="none" w:sz="0" w:space="0" w:color="auto"/>
                      </w:divBdr>
                    </w:div>
                    <w:div w:id="294153346">
                      <w:marLeft w:val="0"/>
                      <w:marRight w:val="0"/>
                      <w:marTop w:val="0"/>
                      <w:marBottom w:val="0"/>
                      <w:divBdr>
                        <w:top w:val="none" w:sz="0" w:space="0" w:color="auto"/>
                        <w:left w:val="none" w:sz="0" w:space="0" w:color="auto"/>
                        <w:bottom w:val="none" w:sz="0" w:space="0" w:color="auto"/>
                        <w:right w:val="none" w:sz="0" w:space="0" w:color="auto"/>
                      </w:divBdr>
                    </w:div>
                    <w:div w:id="294153403">
                      <w:marLeft w:val="0"/>
                      <w:marRight w:val="0"/>
                      <w:marTop w:val="0"/>
                      <w:marBottom w:val="0"/>
                      <w:divBdr>
                        <w:top w:val="none" w:sz="0" w:space="0" w:color="auto"/>
                        <w:left w:val="none" w:sz="0" w:space="0" w:color="auto"/>
                        <w:bottom w:val="none" w:sz="0" w:space="0" w:color="auto"/>
                        <w:right w:val="none" w:sz="0" w:space="0" w:color="auto"/>
                      </w:divBdr>
                      <w:divsChild>
                        <w:div w:id="294152714">
                          <w:marLeft w:val="0"/>
                          <w:marRight w:val="0"/>
                          <w:marTop w:val="0"/>
                          <w:marBottom w:val="0"/>
                          <w:divBdr>
                            <w:top w:val="none" w:sz="0" w:space="0" w:color="auto"/>
                            <w:left w:val="none" w:sz="0" w:space="0" w:color="auto"/>
                            <w:bottom w:val="none" w:sz="0" w:space="0" w:color="auto"/>
                            <w:right w:val="none" w:sz="0" w:space="0" w:color="auto"/>
                          </w:divBdr>
                        </w:div>
                      </w:divsChild>
                    </w:div>
                    <w:div w:id="294153449">
                      <w:marLeft w:val="0"/>
                      <w:marRight w:val="0"/>
                      <w:marTop w:val="0"/>
                      <w:marBottom w:val="0"/>
                      <w:divBdr>
                        <w:top w:val="none" w:sz="0" w:space="0" w:color="auto"/>
                        <w:left w:val="none" w:sz="0" w:space="0" w:color="auto"/>
                        <w:bottom w:val="none" w:sz="0" w:space="0" w:color="auto"/>
                        <w:right w:val="none" w:sz="0" w:space="0" w:color="auto"/>
                      </w:divBdr>
                    </w:div>
                    <w:div w:id="294153533">
                      <w:marLeft w:val="0"/>
                      <w:marRight w:val="0"/>
                      <w:marTop w:val="0"/>
                      <w:marBottom w:val="0"/>
                      <w:divBdr>
                        <w:top w:val="none" w:sz="0" w:space="0" w:color="auto"/>
                        <w:left w:val="none" w:sz="0" w:space="0" w:color="auto"/>
                        <w:bottom w:val="none" w:sz="0" w:space="0" w:color="auto"/>
                        <w:right w:val="none" w:sz="0" w:space="0" w:color="auto"/>
                      </w:divBdr>
                      <w:divsChild>
                        <w:div w:id="294144473">
                          <w:marLeft w:val="0"/>
                          <w:marRight w:val="0"/>
                          <w:marTop w:val="0"/>
                          <w:marBottom w:val="0"/>
                          <w:divBdr>
                            <w:top w:val="none" w:sz="0" w:space="0" w:color="auto"/>
                            <w:left w:val="none" w:sz="0" w:space="0" w:color="auto"/>
                            <w:bottom w:val="none" w:sz="0" w:space="0" w:color="auto"/>
                            <w:right w:val="none" w:sz="0" w:space="0" w:color="auto"/>
                          </w:divBdr>
                        </w:div>
                      </w:divsChild>
                    </w:div>
                    <w:div w:id="294153554">
                      <w:marLeft w:val="0"/>
                      <w:marRight w:val="0"/>
                      <w:marTop w:val="0"/>
                      <w:marBottom w:val="0"/>
                      <w:divBdr>
                        <w:top w:val="none" w:sz="0" w:space="0" w:color="auto"/>
                        <w:left w:val="none" w:sz="0" w:space="0" w:color="auto"/>
                        <w:bottom w:val="none" w:sz="0" w:space="0" w:color="auto"/>
                        <w:right w:val="none" w:sz="0" w:space="0" w:color="auto"/>
                      </w:divBdr>
                      <w:divsChild>
                        <w:div w:id="294146461">
                          <w:marLeft w:val="0"/>
                          <w:marRight w:val="0"/>
                          <w:marTop w:val="0"/>
                          <w:marBottom w:val="0"/>
                          <w:divBdr>
                            <w:top w:val="none" w:sz="0" w:space="0" w:color="auto"/>
                            <w:left w:val="none" w:sz="0" w:space="0" w:color="auto"/>
                            <w:bottom w:val="none" w:sz="0" w:space="0" w:color="auto"/>
                            <w:right w:val="none" w:sz="0" w:space="0" w:color="auto"/>
                          </w:divBdr>
                        </w:div>
                      </w:divsChild>
                    </w:div>
                    <w:div w:id="294153648">
                      <w:marLeft w:val="0"/>
                      <w:marRight w:val="0"/>
                      <w:marTop w:val="0"/>
                      <w:marBottom w:val="0"/>
                      <w:divBdr>
                        <w:top w:val="none" w:sz="0" w:space="0" w:color="auto"/>
                        <w:left w:val="none" w:sz="0" w:space="0" w:color="auto"/>
                        <w:bottom w:val="none" w:sz="0" w:space="0" w:color="auto"/>
                        <w:right w:val="none" w:sz="0" w:space="0" w:color="auto"/>
                      </w:divBdr>
                      <w:divsChild>
                        <w:div w:id="294144702">
                          <w:marLeft w:val="0"/>
                          <w:marRight w:val="0"/>
                          <w:marTop w:val="0"/>
                          <w:marBottom w:val="0"/>
                          <w:divBdr>
                            <w:top w:val="none" w:sz="0" w:space="0" w:color="auto"/>
                            <w:left w:val="none" w:sz="0" w:space="0" w:color="auto"/>
                            <w:bottom w:val="none" w:sz="0" w:space="0" w:color="auto"/>
                            <w:right w:val="none" w:sz="0" w:space="0" w:color="auto"/>
                          </w:divBdr>
                        </w:div>
                      </w:divsChild>
                    </w:div>
                    <w:div w:id="294153650">
                      <w:marLeft w:val="0"/>
                      <w:marRight w:val="0"/>
                      <w:marTop w:val="0"/>
                      <w:marBottom w:val="0"/>
                      <w:divBdr>
                        <w:top w:val="none" w:sz="0" w:space="0" w:color="auto"/>
                        <w:left w:val="none" w:sz="0" w:space="0" w:color="auto"/>
                        <w:bottom w:val="none" w:sz="0" w:space="0" w:color="auto"/>
                        <w:right w:val="none" w:sz="0" w:space="0" w:color="auto"/>
                      </w:divBdr>
                    </w:div>
                    <w:div w:id="294153707">
                      <w:marLeft w:val="0"/>
                      <w:marRight w:val="0"/>
                      <w:marTop w:val="0"/>
                      <w:marBottom w:val="0"/>
                      <w:divBdr>
                        <w:top w:val="none" w:sz="0" w:space="0" w:color="auto"/>
                        <w:left w:val="none" w:sz="0" w:space="0" w:color="auto"/>
                        <w:bottom w:val="none" w:sz="0" w:space="0" w:color="auto"/>
                        <w:right w:val="none" w:sz="0" w:space="0" w:color="auto"/>
                      </w:divBdr>
                    </w:div>
                    <w:div w:id="294153795">
                      <w:marLeft w:val="0"/>
                      <w:marRight w:val="0"/>
                      <w:marTop w:val="0"/>
                      <w:marBottom w:val="0"/>
                      <w:divBdr>
                        <w:top w:val="none" w:sz="0" w:space="0" w:color="auto"/>
                        <w:left w:val="none" w:sz="0" w:space="0" w:color="auto"/>
                        <w:bottom w:val="none" w:sz="0" w:space="0" w:color="auto"/>
                        <w:right w:val="none" w:sz="0" w:space="0" w:color="auto"/>
                      </w:divBdr>
                      <w:divsChild>
                        <w:div w:id="294154287">
                          <w:marLeft w:val="0"/>
                          <w:marRight w:val="0"/>
                          <w:marTop w:val="0"/>
                          <w:marBottom w:val="0"/>
                          <w:divBdr>
                            <w:top w:val="none" w:sz="0" w:space="0" w:color="auto"/>
                            <w:left w:val="none" w:sz="0" w:space="0" w:color="auto"/>
                            <w:bottom w:val="none" w:sz="0" w:space="0" w:color="auto"/>
                            <w:right w:val="none" w:sz="0" w:space="0" w:color="auto"/>
                          </w:divBdr>
                        </w:div>
                      </w:divsChild>
                    </w:div>
                    <w:div w:id="294153854">
                      <w:marLeft w:val="0"/>
                      <w:marRight w:val="0"/>
                      <w:marTop w:val="0"/>
                      <w:marBottom w:val="0"/>
                      <w:divBdr>
                        <w:top w:val="none" w:sz="0" w:space="0" w:color="auto"/>
                        <w:left w:val="none" w:sz="0" w:space="0" w:color="auto"/>
                        <w:bottom w:val="none" w:sz="0" w:space="0" w:color="auto"/>
                        <w:right w:val="none" w:sz="0" w:space="0" w:color="auto"/>
                      </w:divBdr>
                      <w:divsChild>
                        <w:div w:id="294143147">
                          <w:marLeft w:val="0"/>
                          <w:marRight w:val="0"/>
                          <w:marTop w:val="0"/>
                          <w:marBottom w:val="0"/>
                          <w:divBdr>
                            <w:top w:val="none" w:sz="0" w:space="0" w:color="auto"/>
                            <w:left w:val="none" w:sz="0" w:space="0" w:color="auto"/>
                            <w:bottom w:val="none" w:sz="0" w:space="0" w:color="auto"/>
                            <w:right w:val="none" w:sz="0" w:space="0" w:color="auto"/>
                          </w:divBdr>
                        </w:div>
                      </w:divsChild>
                    </w:div>
                    <w:div w:id="294153909">
                      <w:marLeft w:val="0"/>
                      <w:marRight w:val="0"/>
                      <w:marTop w:val="0"/>
                      <w:marBottom w:val="0"/>
                      <w:divBdr>
                        <w:top w:val="none" w:sz="0" w:space="0" w:color="auto"/>
                        <w:left w:val="none" w:sz="0" w:space="0" w:color="auto"/>
                        <w:bottom w:val="none" w:sz="0" w:space="0" w:color="auto"/>
                        <w:right w:val="none" w:sz="0" w:space="0" w:color="auto"/>
                      </w:divBdr>
                      <w:divsChild>
                        <w:div w:id="294156987">
                          <w:marLeft w:val="0"/>
                          <w:marRight w:val="0"/>
                          <w:marTop w:val="0"/>
                          <w:marBottom w:val="0"/>
                          <w:divBdr>
                            <w:top w:val="none" w:sz="0" w:space="0" w:color="auto"/>
                            <w:left w:val="none" w:sz="0" w:space="0" w:color="auto"/>
                            <w:bottom w:val="none" w:sz="0" w:space="0" w:color="auto"/>
                            <w:right w:val="none" w:sz="0" w:space="0" w:color="auto"/>
                          </w:divBdr>
                        </w:div>
                      </w:divsChild>
                    </w:div>
                    <w:div w:id="294153939">
                      <w:marLeft w:val="0"/>
                      <w:marRight w:val="0"/>
                      <w:marTop w:val="0"/>
                      <w:marBottom w:val="0"/>
                      <w:divBdr>
                        <w:top w:val="none" w:sz="0" w:space="0" w:color="auto"/>
                        <w:left w:val="none" w:sz="0" w:space="0" w:color="auto"/>
                        <w:bottom w:val="none" w:sz="0" w:space="0" w:color="auto"/>
                        <w:right w:val="none" w:sz="0" w:space="0" w:color="auto"/>
                      </w:divBdr>
                    </w:div>
                    <w:div w:id="294153989">
                      <w:marLeft w:val="0"/>
                      <w:marRight w:val="0"/>
                      <w:marTop w:val="0"/>
                      <w:marBottom w:val="0"/>
                      <w:divBdr>
                        <w:top w:val="none" w:sz="0" w:space="0" w:color="auto"/>
                        <w:left w:val="none" w:sz="0" w:space="0" w:color="auto"/>
                        <w:bottom w:val="none" w:sz="0" w:space="0" w:color="auto"/>
                        <w:right w:val="none" w:sz="0" w:space="0" w:color="auto"/>
                      </w:divBdr>
                    </w:div>
                    <w:div w:id="294154031">
                      <w:marLeft w:val="0"/>
                      <w:marRight w:val="0"/>
                      <w:marTop w:val="0"/>
                      <w:marBottom w:val="0"/>
                      <w:divBdr>
                        <w:top w:val="none" w:sz="0" w:space="0" w:color="auto"/>
                        <w:left w:val="none" w:sz="0" w:space="0" w:color="auto"/>
                        <w:bottom w:val="none" w:sz="0" w:space="0" w:color="auto"/>
                        <w:right w:val="none" w:sz="0" w:space="0" w:color="auto"/>
                      </w:divBdr>
                    </w:div>
                    <w:div w:id="294154039">
                      <w:marLeft w:val="0"/>
                      <w:marRight w:val="0"/>
                      <w:marTop w:val="0"/>
                      <w:marBottom w:val="0"/>
                      <w:divBdr>
                        <w:top w:val="none" w:sz="0" w:space="0" w:color="auto"/>
                        <w:left w:val="none" w:sz="0" w:space="0" w:color="auto"/>
                        <w:bottom w:val="none" w:sz="0" w:space="0" w:color="auto"/>
                        <w:right w:val="none" w:sz="0" w:space="0" w:color="auto"/>
                      </w:divBdr>
                    </w:div>
                    <w:div w:id="294154070">
                      <w:marLeft w:val="0"/>
                      <w:marRight w:val="0"/>
                      <w:marTop w:val="0"/>
                      <w:marBottom w:val="0"/>
                      <w:divBdr>
                        <w:top w:val="none" w:sz="0" w:space="0" w:color="auto"/>
                        <w:left w:val="none" w:sz="0" w:space="0" w:color="auto"/>
                        <w:bottom w:val="none" w:sz="0" w:space="0" w:color="auto"/>
                        <w:right w:val="none" w:sz="0" w:space="0" w:color="auto"/>
                      </w:divBdr>
                      <w:divsChild>
                        <w:div w:id="294153392">
                          <w:marLeft w:val="0"/>
                          <w:marRight w:val="0"/>
                          <w:marTop w:val="0"/>
                          <w:marBottom w:val="0"/>
                          <w:divBdr>
                            <w:top w:val="none" w:sz="0" w:space="0" w:color="auto"/>
                            <w:left w:val="none" w:sz="0" w:space="0" w:color="auto"/>
                            <w:bottom w:val="none" w:sz="0" w:space="0" w:color="auto"/>
                            <w:right w:val="none" w:sz="0" w:space="0" w:color="auto"/>
                          </w:divBdr>
                        </w:div>
                      </w:divsChild>
                    </w:div>
                    <w:div w:id="294154071">
                      <w:marLeft w:val="0"/>
                      <w:marRight w:val="0"/>
                      <w:marTop w:val="0"/>
                      <w:marBottom w:val="0"/>
                      <w:divBdr>
                        <w:top w:val="none" w:sz="0" w:space="0" w:color="auto"/>
                        <w:left w:val="none" w:sz="0" w:space="0" w:color="auto"/>
                        <w:bottom w:val="none" w:sz="0" w:space="0" w:color="auto"/>
                        <w:right w:val="none" w:sz="0" w:space="0" w:color="auto"/>
                      </w:divBdr>
                      <w:divsChild>
                        <w:div w:id="294148989">
                          <w:marLeft w:val="0"/>
                          <w:marRight w:val="0"/>
                          <w:marTop w:val="0"/>
                          <w:marBottom w:val="0"/>
                          <w:divBdr>
                            <w:top w:val="none" w:sz="0" w:space="0" w:color="auto"/>
                            <w:left w:val="none" w:sz="0" w:space="0" w:color="auto"/>
                            <w:bottom w:val="none" w:sz="0" w:space="0" w:color="auto"/>
                            <w:right w:val="none" w:sz="0" w:space="0" w:color="auto"/>
                          </w:divBdr>
                        </w:div>
                      </w:divsChild>
                    </w:div>
                    <w:div w:id="294154114">
                      <w:marLeft w:val="0"/>
                      <w:marRight w:val="0"/>
                      <w:marTop w:val="0"/>
                      <w:marBottom w:val="0"/>
                      <w:divBdr>
                        <w:top w:val="none" w:sz="0" w:space="0" w:color="auto"/>
                        <w:left w:val="none" w:sz="0" w:space="0" w:color="auto"/>
                        <w:bottom w:val="none" w:sz="0" w:space="0" w:color="auto"/>
                        <w:right w:val="none" w:sz="0" w:space="0" w:color="auto"/>
                      </w:divBdr>
                      <w:divsChild>
                        <w:div w:id="294138548">
                          <w:marLeft w:val="0"/>
                          <w:marRight w:val="0"/>
                          <w:marTop w:val="0"/>
                          <w:marBottom w:val="0"/>
                          <w:divBdr>
                            <w:top w:val="none" w:sz="0" w:space="0" w:color="auto"/>
                            <w:left w:val="none" w:sz="0" w:space="0" w:color="auto"/>
                            <w:bottom w:val="none" w:sz="0" w:space="0" w:color="auto"/>
                            <w:right w:val="none" w:sz="0" w:space="0" w:color="auto"/>
                          </w:divBdr>
                        </w:div>
                      </w:divsChild>
                    </w:div>
                    <w:div w:id="294154144">
                      <w:marLeft w:val="0"/>
                      <w:marRight w:val="0"/>
                      <w:marTop w:val="0"/>
                      <w:marBottom w:val="0"/>
                      <w:divBdr>
                        <w:top w:val="none" w:sz="0" w:space="0" w:color="auto"/>
                        <w:left w:val="none" w:sz="0" w:space="0" w:color="auto"/>
                        <w:bottom w:val="none" w:sz="0" w:space="0" w:color="auto"/>
                        <w:right w:val="none" w:sz="0" w:space="0" w:color="auto"/>
                      </w:divBdr>
                      <w:divsChild>
                        <w:div w:id="294145310">
                          <w:marLeft w:val="0"/>
                          <w:marRight w:val="0"/>
                          <w:marTop w:val="0"/>
                          <w:marBottom w:val="0"/>
                          <w:divBdr>
                            <w:top w:val="none" w:sz="0" w:space="0" w:color="auto"/>
                            <w:left w:val="none" w:sz="0" w:space="0" w:color="auto"/>
                            <w:bottom w:val="none" w:sz="0" w:space="0" w:color="auto"/>
                            <w:right w:val="none" w:sz="0" w:space="0" w:color="auto"/>
                          </w:divBdr>
                        </w:div>
                      </w:divsChild>
                    </w:div>
                    <w:div w:id="294154151">
                      <w:marLeft w:val="0"/>
                      <w:marRight w:val="0"/>
                      <w:marTop w:val="0"/>
                      <w:marBottom w:val="0"/>
                      <w:divBdr>
                        <w:top w:val="none" w:sz="0" w:space="0" w:color="auto"/>
                        <w:left w:val="none" w:sz="0" w:space="0" w:color="auto"/>
                        <w:bottom w:val="none" w:sz="0" w:space="0" w:color="auto"/>
                        <w:right w:val="none" w:sz="0" w:space="0" w:color="auto"/>
                      </w:divBdr>
                      <w:divsChild>
                        <w:div w:id="294138911">
                          <w:marLeft w:val="0"/>
                          <w:marRight w:val="0"/>
                          <w:marTop w:val="0"/>
                          <w:marBottom w:val="0"/>
                          <w:divBdr>
                            <w:top w:val="none" w:sz="0" w:space="0" w:color="auto"/>
                            <w:left w:val="none" w:sz="0" w:space="0" w:color="auto"/>
                            <w:bottom w:val="none" w:sz="0" w:space="0" w:color="auto"/>
                            <w:right w:val="none" w:sz="0" w:space="0" w:color="auto"/>
                          </w:divBdr>
                        </w:div>
                      </w:divsChild>
                    </w:div>
                    <w:div w:id="294154187">
                      <w:marLeft w:val="0"/>
                      <w:marRight w:val="0"/>
                      <w:marTop w:val="0"/>
                      <w:marBottom w:val="0"/>
                      <w:divBdr>
                        <w:top w:val="none" w:sz="0" w:space="0" w:color="auto"/>
                        <w:left w:val="none" w:sz="0" w:space="0" w:color="auto"/>
                        <w:bottom w:val="none" w:sz="0" w:space="0" w:color="auto"/>
                        <w:right w:val="none" w:sz="0" w:space="0" w:color="auto"/>
                      </w:divBdr>
                    </w:div>
                    <w:div w:id="294154189">
                      <w:marLeft w:val="0"/>
                      <w:marRight w:val="0"/>
                      <w:marTop w:val="0"/>
                      <w:marBottom w:val="0"/>
                      <w:divBdr>
                        <w:top w:val="none" w:sz="0" w:space="0" w:color="auto"/>
                        <w:left w:val="none" w:sz="0" w:space="0" w:color="auto"/>
                        <w:bottom w:val="none" w:sz="0" w:space="0" w:color="auto"/>
                        <w:right w:val="none" w:sz="0" w:space="0" w:color="auto"/>
                      </w:divBdr>
                      <w:divsChild>
                        <w:div w:id="294147765">
                          <w:marLeft w:val="0"/>
                          <w:marRight w:val="0"/>
                          <w:marTop w:val="0"/>
                          <w:marBottom w:val="0"/>
                          <w:divBdr>
                            <w:top w:val="none" w:sz="0" w:space="0" w:color="auto"/>
                            <w:left w:val="none" w:sz="0" w:space="0" w:color="auto"/>
                            <w:bottom w:val="none" w:sz="0" w:space="0" w:color="auto"/>
                            <w:right w:val="none" w:sz="0" w:space="0" w:color="auto"/>
                          </w:divBdr>
                        </w:div>
                      </w:divsChild>
                    </w:div>
                    <w:div w:id="294154247">
                      <w:marLeft w:val="0"/>
                      <w:marRight w:val="0"/>
                      <w:marTop w:val="0"/>
                      <w:marBottom w:val="0"/>
                      <w:divBdr>
                        <w:top w:val="none" w:sz="0" w:space="0" w:color="auto"/>
                        <w:left w:val="none" w:sz="0" w:space="0" w:color="auto"/>
                        <w:bottom w:val="none" w:sz="0" w:space="0" w:color="auto"/>
                        <w:right w:val="none" w:sz="0" w:space="0" w:color="auto"/>
                      </w:divBdr>
                      <w:divsChild>
                        <w:div w:id="294147901">
                          <w:marLeft w:val="0"/>
                          <w:marRight w:val="0"/>
                          <w:marTop w:val="0"/>
                          <w:marBottom w:val="0"/>
                          <w:divBdr>
                            <w:top w:val="none" w:sz="0" w:space="0" w:color="auto"/>
                            <w:left w:val="none" w:sz="0" w:space="0" w:color="auto"/>
                            <w:bottom w:val="none" w:sz="0" w:space="0" w:color="auto"/>
                            <w:right w:val="none" w:sz="0" w:space="0" w:color="auto"/>
                          </w:divBdr>
                        </w:div>
                      </w:divsChild>
                    </w:div>
                    <w:div w:id="294154272">
                      <w:marLeft w:val="0"/>
                      <w:marRight w:val="0"/>
                      <w:marTop w:val="0"/>
                      <w:marBottom w:val="0"/>
                      <w:divBdr>
                        <w:top w:val="none" w:sz="0" w:space="0" w:color="auto"/>
                        <w:left w:val="none" w:sz="0" w:space="0" w:color="auto"/>
                        <w:bottom w:val="none" w:sz="0" w:space="0" w:color="auto"/>
                        <w:right w:val="none" w:sz="0" w:space="0" w:color="auto"/>
                      </w:divBdr>
                      <w:divsChild>
                        <w:div w:id="294142796">
                          <w:marLeft w:val="0"/>
                          <w:marRight w:val="0"/>
                          <w:marTop w:val="0"/>
                          <w:marBottom w:val="0"/>
                          <w:divBdr>
                            <w:top w:val="none" w:sz="0" w:space="0" w:color="auto"/>
                            <w:left w:val="none" w:sz="0" w:space="0" w:color="auto"/>
                            <w:bottom w:val="none" w:sz="0" w:space="0" w:color="auto"/>
                            <w:right w:val="none" w:sz="0" w:space="0" w:color="auto"/>
                          </w:divBdr>
                        </w:div>
                      </w:divsChild>
                    </w:div>
                    <w:div w:id="294154275">
                      <w:marLeft w:val="0"/>
                      <w:marRight w:val="0"/>
                      <w:marTop w:val="0"/>
                      <w:marBottom w:val="0"/>
                      <w:divBdr>
                        <w:top w:val="none" w:sz="0" w:space="0" w:color="auto"/>
                        <w:left w:val="none" w:sz="0" w:space="0" w:color="auto"/>
                        <w:bottom w:val="none" w:sz="0" w:space="0" w:color="auto"/>
                        <w:right w:val="none" w:sz="0" w:space="0" w:color="auto"/>
                      </w:divBdr>
                      <w:divsChild>
                        <w:div w:id="294142341">
                          <w:marLeft w:val="0"/>
                          <w:marRight w:val="0"/>
                          <w:marTop w:val="0"/>
                          <w:marBottom w:val="0"/>
                          <w:divBdr>
                            <w:top w:val="none" w:sz="0" w:space="0" w:color="auto"/>
                            <w:left w:val="none" w:sz="0" w:space="0" w:color="auto"/>
                            <w:bottom w:val="none" w:sz="0" w:space="0" w:color="auto"/>
                            <w:right w:val="none" w:sz="0" w:space="0" w:color="auto"/>
                          </w:divBdr>
                        </w:div>
                      </w:divsChild>
                    </w:div>
                    <w:div w:id="294154338">
                      <w:marLeft w:val="0"/>
                      <w:marRight w:val="0"/>
                      <w:marTop w:val="0"/>
                      <w:marBottom w:val="0"/>
                      <w:divBdr>
                        <w:top w:val="none" w:sz="0" w:space="0" w:color="auto"/>
                        <w:left w:val="none" w:sz="0" w:space="0" w:color="auto"/>
                        <w:bottom w:val="none" w:sz="0" w:space="0" w:color="auto"/>
                        <w:right w:val="none" w:sz="0" w:space="0" w:color="auto"/>
                      </w:divBdr>
                    </w:div>
                    <w:div w:id="294154354">
                      <w:marLeft w:val="0"/>
                      <w:marRight w:val="0"/>
                      <w:marTop w:val="0"/>
                      <w:marBottom w:val="0"/>
                      <w:divBdr>
                        <w:top w:val="none" w:sz="0" w:space="0" w:color="auto"/>
                        <w:left w:val="none" w:sz="0" w:space="0" w:color="auto"/>
                        <w:bottom w:val="none" w:sz="0" w:space="0" w:color="auto"/>
                        <w:right w:val="none" w:sz="0" w:space="0" w:color="auto"/>
                      </w:divBdr>
                      <w:divsChild>
                        <w:div w:id="294151352">
                          <w:marLeft w:val="0"/>
                          <w:marRight w:val="0"/>
                          <w:marTop w:val="0"/>
                          <w:marBottom w:val="0"/>
                          <w:divBdr>
                            <w:top w:val="none" w:sz="0" w:space="0" w:color="auto"/>
                            <w:left w:val="none" w:sz="0" w:space="0" w:color="auto"/>
                            <w:bottom w:val="none" w:sz="0" w:space="0" w:color="auto"/>
                            <w:right w:val="none" w:sz="0" w:space="0" w:color="auto"/>
                          </w:divBdr>
                        </w:div>
                      </w:divsChild>
                    </w:div>
                    <w:div w:id="294154356">
                      <w:marLeft w:val="0"/>
                      <w:marRight w:val="0"/>
                      <w:marTop w:val="0"/>
                      <w:marBottom w:val="0"/>
                      <w:divBdr>
                        <w:top w:val="none" w:sz="0" w:space="0" w:color="auto"/>
                        <w:left w:val="none" w:sz="0" w:space="0" w:color="auto"/>
                        <w:bottom w:val="none" w:sz="0" w:space="0" w:color="auto"/>
                        <w:right w:val="none" w:sz="0" w:space="0" w:color="auto"/>
                      </w:divBdr>
                      <w:divsChild>
                        <w:div w:id="294151600">
                          <w:marLeft w:val="0"/>
                          <w:marRight w:val="0"/>
                          <w:marTop w:val="0"/>
                          <w:marBottom w:val="0"/>
                          <w:divBdr>
                            <w:top w:val="none" w:sz="0" w:space="0" w:color="auto"/>
                            <w:left w:val="none" w:sz="0" w:space="0" w:color="auto"/>
                            <w:bottom w:val="none" w:sz="0" w:space="0" w:color="auto"/>
                            <w:right w:val="none" w:sz="0" w:space="0" w:color="auto"/>
                          </w:divBdr>
                        </w:div>
                      </w:divsChild>
                    </w:div>
                    <w:div w:id="294154367">
                      <w:marLeft w:val="0"/>
                      <w:marRight w:val="0"/>
                      <w:marTop w:val="0"/>
                      <w:marBottom w:val="0"/>
                      <w:divBdr>
                        <w:top w:val="none" w:sz="0" w:space="0" w:color="auto"/>
                        <w:left w:val="none" w:sz="0" w:space="0" w:color="auto"/>
                        <w:bottom w:val="none" w:sz="0" w:space="0" w:color="auto"/>
                        <w:right w:val="none" w:sz="0" w:space="0" w:color="auto"/>
                      </w:divBdr>
                      <w:divsChild>
                        <w:div w:id="294151885">
                          <w:marLeft w:val="0"/>
                          <w:marRight w:val="0"/>
                          <w:marTop w:val="0"/>
                          <w:marBottom w:val="0"/>
                          <w:divBdr>
                            <w:top w:val="none" w:sz="0" w:space="0" w:color="auto"/>
                            <w:left w:val="none" w:sz="0" w:space="0" w:color="auto"/>
                            <w:bottom w:val="none" w:sz="0" w:space="0" w:color="auto"/>
                            <w:right w:val="none" w:sz="0" w:space="0" w:color="auto"/>
                          </w:divBdr>
                        </w:div>
                      </w:divsChild>
                    </w:div>
                    <w:div w:id="294154463">
                      <w:marLeft w:val="0"/>
                      <w:marRight w:val="0"/>
                      <w:marTop w:val="0"/>
                      <w:marBottom w:val="0"/>
                      <w:divBdr>
                        <w:top w:val="none" w:sz="0" w:space="0" w:color="auto"/>
                        <w:left w:val="none" w:sz="0" w:space="0" w:color="auto"/>
                        <w:bottom w:val="none" w:sz="0" w:space="0" w:color="auto"/>
                        <w:right w:val="none" w:sz="0" w:space="0" w:color="auto"/>
                      </w:divBdr>
                    </w:div>
                    <w:div w:id="294154476">
                      <w:marLeft w:val="0"/>
                      <w:marRight w:val="0"/>
                      <w:marTop w:val="0"/>
                      <w:marBottom w:val="0"/>
                      <w:divBdr>
                        <w:top w:val="none" w:sz="0" w:space="0" w:color="auto"/>
                        <w:left w:val="none" w:sz="0" w:space="0" w:color="auto"/>
                        <w:bottom w:val="none" w:sz="0" w:space="0" w:color="auto"/>
                        <w:right w:val="none" w:sz="0" w:space="0" w:color="auto"/>
                      </w:divBdr>
                    </w:div>
                    <w:div w:id="294154521">
                      <w:marLeft w:val="0"/>
                      <w:marRight w:val="0"/>
                      <w:marTop w:val="0"/>
                      <w:marBottom w:val="0"/>
                      <w:divBdr>
                        <w:top w:val="none" w:sz="0" w:space="0" w:color="auto"/>
                        <w:left w:val="none" w:sz="0" w:space="0" w:color="auto"/>
                        <w:bottom w:val="none" w:sz="0" w:space="0" w:color="auto"/>
                        <w:right w:val="none" w:sz="0" w:space="0" w:color="auto"/>
                      </w:divBdr>
                    </w:div>
                    <w:div w:id="294154535">
                      <w:marLeft w:val="0"/>
                      <w:marRight w:val="0"/>
                      <w:marTop w:val="0"/>
                      <w:marBottom w:val="0"/>
                      <w:divBdr>
                        <w:top w:val="none" w:sz="0" w:space="0" w:color="auto"/>
                        <w:left w:val="none" w:sz="0" w:space="0" w:color="auto"/>
                        <w:bottom w:val="none" w:sz="0" w:space="0" w:color="auto"/>
                        <w:right w:val="none" w:sz="0" w:space="0" w:color="auto"/>
                      </w:divBdr>
                      <w:divsChild>
                        <w:div w:id="294140309">
                          <w:marLeft w:val="0"/>
                          <w:marRight w:val="0"/>
                          <w:marTop w:val="0"/>
                          <w:marBottom w:val="0"/>
                          <w:divBdr>
                            <w:top w:val="none" w:sz="0" w:space="0" w:color="auto"/>
                            <w:left w:val="none" w:sz="0" w:space="0" w:color="auto"/>
                            <w:bottom w:val="none" w:sz="0" w:space="0" w:color="auto"/>
                            <w:right w:val="none" w:sz="0" w:space="0" w:color="auto"/>
                          </w:divBdr>
                        </w:div>
                      </w:divsChild>
                    </w:div>
                    <w:div w:id="294154546">
                      <w:marLeft w:val="0"/>
                      <w:marRight w:val="0"/>
                      <w:marTop w:val="0"/>
                      <w:marBottom w:val="0"/>
                      <w:divBdr>
                        <w:top w:val="none" w:sz="0" w:space="0" w:color="auto"/>
                        <w:left w:val="none" w:sz="0" w:space="0" w:color="auto"/>
                        <w:bottom w:val="none" w:sz="0" w:space="0" w:color="auto"/>
                        <w:right w:val="none" w:sz="0" w:space="0" w:color="auto"/>
                      </w:divBdr>
                      <w:divsChild>
                        <w:div w:id="294138927">
                          <w:marLeft w:val="0"/>
                          <w:marRight w:val="0"/>
                          <w:marTop w:val="0"/>
                          <w:marBottom w:val="0"/>
                          <w:divBdr>
                            <w:top w:val="none" w:sz="0" w:space="0" w:color="auto"/>
                            <w:left w:val="none" w:sz="0" w:space="0" w:color="auto"/>
                            <w:bottom w:val="none" w:sz="0" w:space="0" w:color="auto"/>
                            <w:right w:val="none" w:sz="0" w:space="0" w:color="auto"/>
                          </w:divBdr>
                        </w:div>
                      </w:divsChild>
                    </w:div>
                    <w:div w:id="294154601">
                      <w:marLeft w:val="0"/>
                      <w:marRight w:val="0"/>
                      <w:marTop w:val="0"/>
                      <w:marBottom w:val="0"/>
                      <w:divBdr>
                        <w:top w:val="none" w:sz="0" w:space="0" w:color="auto"/>
                        <w:left w:val="none" w:sz="0" w:space="0" w:color="auto"/>
                        <w:bottom w:val="none" w:sz="0" w:space="0" w:color="auto"/>
                        <w:right w:val="none" w:sz="0" w:space="0" w:color="auto"/>
                      </w:divBdr>
                      <w:divsChild>
                        <w:div w:id="294145126">
                          <w:marLeft w:val="0"/>
                          <w:marRight w:val="0"/>
                          <w:marTop w:val="0"/>
                          <w:marBottom w:val="0"/>
                          <w:divBdr>
                            <w:top w:val="none" w:sz="0" w:space="0" w:color="auto"/>
                            <w:left w:val="none" w:sz="0" w:space="0" w:color="auto"/>
                            <w:bottom w:val="none" w:sz="0" w:space="0" w:color="auto"/>
                            <w:right w:val="none" w:sz="0" w:space="0" w:color="auto"/>
                          </w:divBdr>
                        </w:div>
                      </w:divsChild>
                    </w:div>
                    <w:div w:id="294154618">
                      <w:marLeft w:val="0"/>
                      <w:marRight w:val="0"/>
                      <w:marTop w:val="0"/>
                      <w:marBottom w:val="0"/>
                      <w:divBdr>
                        <w:top w:val="none" w:sz="0" w:space="0" w:color="auto"/>
                        <w:left w:val="none" w:sz="0" w:space="0" w:color="auto"/>
                        <w:bottom w:val="none" w:sz="0" w:space="0" w:color="auto"/>
                        <w:right w:val="none" w:sz="0" w:space="0" w:color="auto"/>
                      </w:divBdr>
                      <w:divsChild>
                        <w:div w:id="294138608">
                          <w:marLeft w:val="0"/>
                          <w:marRight w:val="0"/>
                          <w:marTop w:val="0"/>
                          <w:marBottom w:val="0"/>
                          <w:divBdr>
                            <w:top w:val="none" w:sz="0" w:space="0" w:color="auto"/>
                            <w:left w:val="none" w:sz="0" w:space="0" w:color="auto"/>
                            <w:bottom w:val="none" w:sz="0" w:space="0" w:color="auto"/>
                            <w:right w:val="none" w:sz="0" w:space="0" w:color="auto"/>
                          </w:divBdr>
                        </w:div>
                      </w:divsChild>
                    </w:div>
                    <w:div w:id="294154687">
                      <w:marLeft w:val="0"/>
                      <w:marRight w:val="0"/>
                      <w:marTop w:val="0"/>
                      <w:marBottom w:val="0"/>
                      <w:divBdr>
                        <w:top w:val="none" w:sz="0" w:space="0" w:color="auto"/>
                        <w:left w:val="none" w:sz="0" w:space="0" w:color="auto"/>
                        <w:bottom w:val="none" w:sz="0" w:space="0" w:color="auto"/>
                        <w:right w:val="none" w:sz="0" w:space="0" w:color="auto"/>
                      </w:divBdr>
                      <w:divsChild>
                        <w:div w:id="294152775">
                          <w:marLeft w:val="0"/>
                          <w:marRight w:val="0"/>
                          <w:marTop w:val="0"/>
                          <w:marBottom w:val="0"/>
                          <w:divBdr>
                            <w:top w:val="none" w:sz="0" w:space="0" w:color="auto"/>
                            <w:left w:val="none" w:sz="0" w:space="0" w:color="auto"/>
                            <w:bottom w:val="none" w:sz="0" w:space="0" w:color="auto"/>
                            <w:right w:val="none" w:sz="0" w:space="0" w:color="auto"/>
                          </w:divBdr>
                        </w:div>
                      </w:divsChild>
                    </w:div>
                    <w:div w:id="294154714">
                      <w:marLeft w:val="0"/>
                      <w:marRight w:val="0"/>
                      <w:marTop w:val="0"/>
                      <w:marBottom w:val="0"/>
                      <w:divBdr>
                        <w:top w:val="none" w:sz="0" w:space="0" w:color="auto"/>
                        <w:left w:val="none" w:sz="0" w:space="0" w:color="auto"/>
                        <w:bottom w:val="none" w:sz="0" w:space="0" w:color="auto"/>
                        <w:right w:val="none" w:sz="0" w:space="0" w:color="auto"/>
                      </w:divBdr>
                      <w:divsChild>
                        <w:div w:id="294152142">
                          <w:marLeft w:val="0"/>
                          <w:marRight w:val="0"/>
                          <w:marTop w:val="0"/>
                          <w:marBottom w:val="0"/>
                          <w:divBdr>
                            <w:top w:val="none" w:sz="0" w:space="0" w:color="auto"/>
                            <w:left w:val="none" w:sz="0" w:space="0" w:color="auto"/>
                            <w:bottom w:val="none" w:sz="0" w:space="0" w:color="auto"/>
                            <w:right w:val="none" w:sz="0" w:space="0" w:color="auto"/>
                          </w:divBdr>
                        </w:div>
                      </w:divsChild>
                    </w:div>
                    <w:div w:id="294154745">
                      <w:marLeft w:val="0"/>
                      <w:marRight w:val="0"/>
                      <w:marTop w:val="0"/>
                      <w:marBottom w:val="0"/>
                      <w:divBdr>
                        <w:top w:val="none" w:sz="0" w:space="0" w:color="auto"/>
                        <w:left w:val="none" w:sz="0" w:space="0" w:color="auto"/>
                        <w:bottom w:val="none" w:sz="0" w:space="0" w:color="auto"/>
                        <w:right w:val="none" w:sz="0" w:space="0" w:color="auto"/>
                      </w:divBdr>
                    </w:div>
                    <w:div w:id="294154770">
                      <w:marLeft w:val="0"/>
                      <w:marRight w:val="0"/>
                      <w:marTop w:val="0"/>
                      <w:marBottom w:val="0"/>
                      <w:divBdr>
                        <w:top w:val="none" w:sz="0" w:space="0" w:color="auto"/>
                        <w:left w:val="none" w:sz="0" w:space="0" w:color="auto"/>
                        <w:bottom w:val="none" w:sz="0" w:space="0" w:color="auto"/>
                        <w:right w:val="none" w:sz="0" w:space="0" w:color="auto"/>
                      </w:divBdr>
                    </w:div>
                    <w:div w:id="294154818">
                      <w:marLeft w:val="0"/>
                      <w:marRight w:val="0"/>
                      <w:marTop w:val="0"/>
                      <w:marBottom w:val="0"/>
                      <w:divBdr>
                        <w:top w:val="none" w:sz="0" w:space="0" w:color="auto"/>
                        <w:left w:val="none" w:sz="0" w:space="0" w:color="auto"/>
                        <w:bottom w:val="none" w:sz="0" w:space="0" w:color="auto"/>
                        <w:right w:val="none" w:sz="0" w:space="0" w:color="auto"/>
                      </w:divBdr>
                    </w:div>
                    <w:div w:id="294154948">
                      <w:marLeft w:val="0"/>
                      <w:marRight w:val="0"/>
                      <w:marTop w:val="0"/>
                      <w:marBottom w:val="0"/>
                      <w:divBdr>
                        <w:top w:val="none" w:sz="0" w:space="0" w:color="auto"/>
                        <w:left w:val="none" w:sz="0" w:space="0" w:color="auto"/>
                        <w:bottom w:val="none" w:sz="0" w:space="0" w:color="auto"/>
                        <w:right w:val="none" w:sz="0" w:space="0" w:color="auto"/>
                      </w:divBdr>
                      <w:divsChild>
                        <w:div w:id="294142091">
                          <w:marLeft w:val="0"/>
                          <w:marRight w:val="0"/>
                          <w:marTop w:val="0"/>
                          <w:marBottom w:val="0"/>
                          <w:divBdr>
                            <w:top w:val="none" w:sz="0" w:space="0" w:color="auto"/>
                            <w:left w:val="none" w:sz="0" w:space="0" w:color="auto"/>
                            <w:bottom w:val="none" w:sz="0" w:space="0" w:color="auto"/>
                            <w:right w:val="none" w:sz="0" w:space="0" w:color="auto"/>
                          </w:divBdr>
                        </w:div>
                      </w:divsChild>
                    </w:div>
                    <w:div w:id="294155010">
                      <w:marLeft w:val="0"/>
                      <w:marRight w:val="0"/>
                      <w:marTop w:val="0"/>
                      <w:marBottom w:val="0"/>
                      <w:divBdr>
                        <w:top w:val="none" w:sz="0" w:space="0" w:color="auto"/>
                        <w:left w:val="none" w:sz="0" w:space="0" w:color="auto"/>
                        <w:bottom w:val="none" w:sz="0" w:space="0" w:color="auto"/>
                        <w:right w:val="none" w:sz="0" w:space="0" w:color="auto"/>
                      </w:divBdr>
                    </w:div>
                    <w:div w:id="294155055">
                      <w:marLeft w:val="0"/>
                      <w:marRight w:val="0"/>
                      <w:marTop w:val="0"/>
                      <w:marBottom w:val="0"/>
                      <w:divBdr>
                        <w:top w:val="none" w:sz="0" w:space="0" w:color="auto"/>
                        <w:left w:val="none" w:sz="0" w:space="0" w:color="auto"/>
                        <w:bottom w:val="none" w:sz="0" w:space="0" w:color="auto"/>
                        <w:right w:val="none" w:sz="0" w:space="0" w:color="auto"/>
                      </w:divBdr>
                    </w:div>
                    <w:div w:id="294155134">
                      <w:marLeft w:val="0"/>
                      <w:marRight w:val="0"/>
                      <w:marTop w:val="0"/>
                      <w:marBottom w:val="0"/>
                      <w:divBdr>
                        <w:top w:val="none" w:sz="0" w:space="0" w:color="auto"/>
                        <w:left w:val="none" w:sz="0" w:space="0" w:color="auto"/>
                        <w:bottom w:val="none" w:sz="0" w:space="0" w:color="auto"/>
                        <w:right w:val="none" w:sz="0" w:space="0" w:color="auto"/>
                      </w:divBdr>
                    </w:div>
                    <w:div w:id="294155191">
                      <w:marLeft w:val="0"/>
                      <w:marRight w:val="0"/>
                      <w:marTop w:val="0"/>
                      <w:marBottom w:val="0"/>
                      <w:divBdr>
                        <w:top w:val="none" w:sz="0" w:space="0" w:color="auto"/>
                        <w:left w:val="none" w:sz="0" w:space="0" w:color="auto"/>
                        <w:bottom w:val="none" w:sz="0" w:space="0" w:color="auto"/>
                        <w:right w:val="none" w:sz="0" w:space="0" w:color="auto"/>
                      </w:divBdr>
                    </w:div>
                    <w:div w:id="294155226">
                      <w:marLeft w:val="0"/>
                      <w:marRight w:val="0"/>
                      <w:marTop w:val="0"/>
                      <w:marBottom w:val="0"/>
                      <w:divBdr>
                        <w:top w:val="none" w:sz="0" w:space="0" w:color="auto"/>
                        <w:left w:val="none" w:sz="0" w:space="0" w:color="auto"/>
                        <w:bottom w:val="none" w:sz="0" w:space="0" w:color="auto"/>
                        <w:right w:val="none" w:sz="0" w:space="0" w:color="auto"/>
                      </w:divBdr>
                    </w:div>
                    <w:div w:id="294155265">
                      <w:marLeft w:val="0"/>
                      <w:marRight w:val="0"/>
                      <w:marTop w:val="0"/>
                      <w:marBottom w:val="0"/>
                      <w:divBdr>
                        <w:top w:val="none" w:sz="0" w:space="0" w:color="auto"/>
                        <w:left w:val="none" w:sz="0" w:space="0" w:color="auto"/>
                        <w:bottom w:val="none" w:sz="0" w:space="0" w:color="auto"/>
                        <w:right w:val="none" w:sz="0" w:space="0" w:color="auto"/>
                      </w:divBdr>
                    </w:div>
                    <w:div w:id="294155284">
                      <w:marLeft w:val="0"/>
                      <w:marRight w:val="0"/>
                      <w:marTop w:val="0"/>
                      <w:marBottom w:val="0"/>
                      <w:divBdr>
                        <w:top w:val="none" w:sz="0" w:space="0" w:color="auto"/>
                        <w:left w:val="none" w:sz="0" w:space="0" w:color="auto"/>
                        <w:bottom w:val="none" w:sz="0" w:space="0" w:color="auto"/>
                        <w:right w:val="none" w:sz="0" w:space="0" w:color="auto"/>
                      </w:divBdr>
                      <w:divsChild>
                        <w:div w:id="294141605">
                          <w:marLeft w:val="0"/>
                          <w:marRight w:val="0"/>
                          <w:marTop w:val="0"/>
                          <w:marBottom w:val="0"/>
                          <w:divBdr>
                            <w:top w:val="none" w:sz="0" w:space="0" w:color="auto"/>
                            <w:left w:val="none" w:sz="0" w:space="0" w:color="auto"/>
                            <w:bottom w:val="none" w:sz="0" w:space="0" w:color="auto"/>
                            <w:right w:val="none" w:sz="0" w:space="0" w:color="auto"/>
                          </w:divBdr>
                        </w:div>
                      </w:divsChild>
                    </w:div>
                    <w:div w:id="294155295">
                      <w:marLeft w:val="0"/>
                      <w:marRight w:val="0"/>
                      <w:marTop w:val="0"/>
                      <w:marBottom w:val="0"/>
                      <w:divBdr>
                        <w:top w:val="none" w:sz="0" w:space="0" w:color="auto"/>
                        <w:left w:val="none" w:sz="0" w:space="0" w:color="auto"/>
                        <w:bottom w:val="none" w:sz="0" w:space="0" w:color="auto"/>
                        <w:right w:val="none" w:sz="0" w:space="0" w:color="auto"/>
                      </w:divBdr>
                      <w:divsChild>
                        <w:div w:id="294151936">
                          <w:marLeft w:val="0"/>
                          <w:marRight w:val="0"/>
                          <w:marTop w:val="0"/>
                          <w:marBottom w:val="0"/>
                          <w:divBdr>
                            <w:top w:val="none" w:sz="0" w:space="0" w:color="auto"/>
                            <w:left w:val="none" w:sz="0" w:space="0" w:color="auto"/>
                            <w:bottom w:val="none" w:sz="0" w:space="0" w:color="auto"/>
                            <w:right w:val="none" w:sz="0" w:space="0" w:color="auto"/>
                          </w:divBdr>
                        </w:div>
                      </w:divsChild>
                    </w:div>
                    <w:div w:id="294155309">
                      <w:marLeft w:val="0"/>
                      <w:marRight w:val="0"/>
                      <w:marTop w:val="0"/>
                      <w:marBottom w:val="0"/>
                      <w:divBdr>
                        <w:top w:val="none" w:sz="0" w:space="0" w:color="auto"/>
                        <w:left w:val="none" w:sz="0" w:space="0" w:color="auto"/>
                        <w:bottom w:val="none" w:sz="0" w:space="0" w:color="auto"/>
                        <w:right w:val="none" w:sz="0" w:space="0" w:color="auto"/>
                      </w:divBdr>
                    </w:div>
                    <w:div w:id="294155324">
                      <w:marLeft w:val="0"/>
                      <w:marRight w:val="0"/>
                      <w:marTop w:val="0"/>
                      <w:marBottom w:val="0"/>
                      <w:divBdr>
                        <w:top w:val="none" w:sz="0" w:space="0" w:color="auto"/>
                        <w:left w:val="none" w:sz="0" w:space="0" w:color="auto"/>
                        <w:bottom w:val="none" w:sz="0" w:space="0" w:color="auto"/>
                        <w:right w:val="none" w:sz="0" w:space="0" w:color="auto"/>
                      </w:divBdr>
                    </w:div>
                    <w:div w:id="294155330">
                      <w:marLeft w:val="0"/>
                      <w:marRight w:val="0"/>
                      <w:marTop w:val="0"/>
                      <w:marBottom w:val="0"/>
                      <w:divBdr>
                        <w:top w:val="none" w:sz="0" w:space="0" w:color="auto"/>
                        <w:left w:val="none" w:sz="0" w:space="0" w:color="auto"/>
                        <w:bottom w:val="none" w:sz="0" w:space="0" w:color="auto"/>
                        <w:right w:val="none" w:sz="0" w:space="0" w:color="auto"/>
                      </w:divBdr>
                      <w:divsChild>
                        <w:div w:id="294153302">
                          <w:marLeft w:val="0"/>
                          <w:marRight w:val="0"/>
                          <w:marTop w:val="0"/>
                          <w:marBottom w:val="0"/>
                          <w:divBdr>
                            <w:top w:val="none" w:sz="0" w:space="0" w:color="auto"/>
                            <w:left w:val="none" w:sz="0" w:space="0" w:color="auto"/>
                            <w:bottom w:val="none" w:sz="0" w:space="0" w:color="auto"/>
                            <w:right w:val="none" w:sz="0" w:space="0" w:color="auto"/>
                          </w:divBdr>
                        </w:div>
                      </w:divsChild>
                    </w:div>
                    <w:div w:id="294155339">
                      <w:marLeft w:val="0"/>
                      <w:marRight w:val="0"/>
                      <w:marTop w:val="0"/>
                      <w:marBottom w:val="0"/>
                      <w:divBdr>
                        <w:top w:val="none" w:sz="0" w:space="0" w:color="auto"/>
                        <w:left w:val="none" w:sz="0" w:space="0" w:color="auto"/>
                        <w:bottom w:val="none" w:sz="0" w:space="0" w:color="auto"/>
                        <w:right w:val="none" w:sz="0" w:space="0" w:color="auto"/>
                      </w:divBdr>
                      <w:divsChild>
                        <w:div w:id="294145779">
                          <w:marLeft w:val="0"/>
                          <w:marRight w:val="0"/>
                          <w:marTop w:val="0"/>
                          <w:marBottom w:val="0"/>
                          <w:divBdr>
                            <w:top w:val="none" w:sz="0" w:space="0" w:color="auto"/>
                            <w:left w:val="none" w:sz="0" w:space="0" w:color="auto"/>
                            <w:bottom w:val="none" w:sz="0" w:space="0" w:color="auto"/>
                            <w:right w:val="none" w:sz="0" w:space="0" w:color="auto"/>
                          </w:divBdr>
                        </w:div>
                      </w:divsChild>
                    </w:div>
                    <w:div w:id="294155390">
                      <w:marLeft w:val="0"/>
                      <w:marRight w:val="0"/>
                      <w:marTop w:val="0"/>
                      <w:marBottom w:val="0"/>
                      <w:divBdr>
                        <w:top w:val="none" w:sz="0" w:space="0" w:color="auto"/>
                        <w:left w:val="none" w:sz="0" w:space="0" w:color="auto"/>
                        <w:bottom w:val="none" w:sz="0" w:space="0" w:color="auto"/>
                        <w:right w:val="none" w:sz="0" w:space="0" w:color="auto"/>
                      </w:divBdr>
                    </w:div>
                    <w:div w:id="294155439">
                      <w:marLeft w:val="0"/>
                      <w:marRight w:val="0"/>
                      <w:marTop w:val="0"/>
                      <w:marBottom w:val="0"/>
                      <w:divBdr>
                        <w:top w:val="none" w:sz="0" w:space="0" w:color="auto"/>
                        <w:left w:val="none" w:sz="0" w:space="0" w:color="auto"/>
                        <w:bottom w:val="none" w:sz="0" w:space="0" w:color="auto"/>
                        <w:right w:val="none" w:sz="0" w:space="0" w:color="auto"/>
                      </w:divBdr>
                    </w:div>
                    <w:div w:id="294155490">
                      <w:marLeft w:val="0"/>
                      <w:marRight w:val="0"/>
                      <w:marTop w:val="0"/>
                      <w:marBottom w:val="0"/>
                      <w:divBdr>
                        <w:top w:val="none" w:sz="0" w:space="0" w:color="auto"/>
                        <w:left w:val="none" w:sz="0" w:space="0" w:color="auto"/>
                        <w:bottom w:val="none" w:sz="0" w:space="0" w:color="auto"/>
                        <w:right w:val="none" w:sz="0" w:space="0" w:color="auto"/>
                      </w:divBdr>
                    </w:div>
                    <w:div w:id="294155500">
                      <w:marLeft w:val="0"/>
                      <w:marRight w:val="0"/>
                      <w:marTop w:val="0"/>
                      <w:marBottom w:val="0"/>
                      <w:divBdr>
                        <w:top w:val="none" w:sz="0" w:space="0" w:color="auto"/>
                        <w:left w:val="none" w:sz="0" w:space="0" w:color="auto"/>
                        <w:bottom w:val="none" w:sz="0" w:space="0" w:color="auto"/>
                        <w:right w:val="none" w:sz="0" w:space="0" w:color="auto"/>
                      </w:divBdr>
                      <w:divsChild>
                        <w:div w:id="294146113">
                          <w:marLeft w:val="0"/>
                          <w:marRight w:val="0"/>
                          <w:marTop w:val="0"/>
                          <w:marBottom w:val="0"/>
                          <w:divBdr>
                            <w:top w:val="none" w:sz="0" w:space="0" w:color="auto"/>
                            <w:left w:val="none" w:sz="0" w:space="0" w:color="auto"/>
                            <w:bottom w:val="none" w:sz="0" w:space="0" w:color="auto"/>
                            <w:right w:val="none" w:sz="0" w:space="0" w:color="auto"/>
                          </w:divBdr>
                        </w:div>
                      </w:divsChild>
                    </w:div>
                    <w:div w:id="294155513">
                      <w:marLeft w:val="0"/>
                      <w:marRight w:val="0"/>
                      <w:marTop w:val="0"/>
                      <w:marBottom w:val="0"/>
                      <w:divBdr>
                        <w:top w:val="none" w:sz="0" w:space="0" w:color="auto"/>
                        <w:left w:val="none" w:sz="0" w:space="0" w:color="auto"/>
                        <w:bottom w:val="none" w:sz="0" w:space="0" w:color="auto"/>
                        <w:right w:val="none" w:sz="0" w:space="0" w:color="auto"/>
                      </w:divBdr>
                    </w:div>
                    <w:div w:id="294155623">
                      <w:marLeft w:val="0"/>
                      <w:marRight w:val="0"/>
                      <w:marTop w:val="0"/>
                      <w:marBottom w:val="0"/>
                      <w:divBdr>
                        <w:top w:val="none" w:sz="0" w:space="0" w:color="auto"/>
                        <w:left w:val="none" w:sz="0" w:space="0" w:color="auto"/>
                        <w:bottom w:val="none" w:sz="0" w:space="0" w:color="auto"/>
                        <w:right w:val="none" w:sz="0" w:space="0" w:color="auto"/>
                      </w:divBdr>
                    </w:div>
                    <w:div w:id="294155729">
                      <w:marLeft w:val="0"/>
                      <w:marRight w:val="0"/>
                      <w:marTop w:val="0"/>
                      <w:marBottom w:val="0"/>
                      <w:divBdr>
                        <w:top w:val="none" w:sz="0" w:space="0" w:color="auto"/>
                        <w:left w:val="none" w:sz="0" w:space="0" w:color="auto"/>
                        <w:bottom w:val="none" w:sz="0" w:space="0" w:color="auto"/>
                        <w:right w:val="none" w:sz="0" w:space="0" w:color="auto"/>
                      </w:divBdr>
                      <w:divsChild>
                        <w:div w:id="294141514">
                          <w:marLeft w:val="0"/>
                          <w:marRight w:val="0"/>
                          <w:marTop w:val="0"/>
                          <w:marBottom w:val="0"/>
                          <w:divBdr>
                            <w:top w:val="none" w:sz="0" w:space="0" w:color="auto"/>
                            <w:left w:val="none" w:sz="0" w:space="0" w:color="auto"/>
                            <w:bottom w:val="none" w:sz="0" w:space="0" w:color="auto"/>
                            <w:right w:val="none" w:sz="0" w:space="0" w:color="auto"/>
                          </w:divBdr>
                        </w:div>
                      </w:divsChild>
                    </w:div>
                    <w:div w:id="294155779">
                      <w:marLeft w:val="0"/>
                      <w:marRight w:val="0"/>
                      <w:marTop w:val="0"/>
                      <w:marBottom w:val="0"/>
                      <w:divBdr>
                        <w:top w:val="none" w:sz="0" w:space="0" w:color="auto"/>
                        <w:left w:val="none" w:sz="0" w:space="0" w:color="auto"/>
                        <w:bottom w:val="none" w:sz="0" w:space="0" w:color="auto"/>
                        <w:right w:val="none" w:sz="0" w:space="0" w:color="auto"/>
                      </w:divBdr>
                    </w:div>
                    <w:div w:id="294155791">
                      <w:marLeft w:val="0"/>
                      <w:marRight w:val="0"/>
                      <w:marTop w:val="0"/>
                      <w:marBottom w:val="0"/>
                      <w:divBdr>
                        <w:top w:val="none" w:sz="0" w:space="0" w:color="auto"/>
                        <w:left w:val="none" w:sz="0" w:space="0" w:color="auto"/>
                        <w:bottom w:val="none" w:sz="0" w:space="0" w:color="auto"/>
                        <w:right w:val="none" w:sz="0" w:space="0" w:color="auto"/>
                      </w:divBdr>
                    </w:div>
                    <w:div w:id="294155822">
                      <w:marLeft w:val="0"/>
                      <w:marRight w:val="0"/>
                      <w:marTop w:val="0"/>
                      <w:marBottom w:val="0"/>
                      <w:divBdr>
                        <w:top w:val="none" w:sz="0" w:space="0" w:color="auto"/>
                        <w:left w:val="none" w:sz="0" w:space="0" w:color="auto"/>
                        <w:bottom w:val="none" w:sz="0" w:space="0" w:color="auto"/>
                        <w:right w:val="none" w:sz="0" w:space="0" w:color="auto"/>
                      </w:divBdr>
                      <w:divsChild>
                        <w:div w:id="294142130">
                          <w:marLeft w:val="0"/>
                          <w:marRight w:val="0"/>
                          <w:marTop w:val="0"/>
                          <w:marBottom w:val="0"/>
                          <w:divBdr>
                            <w:top w:val="none" w:sz="0" w:space="0" w:color="auto"/>
                            <w:left w:val="none" w:sz="0" w:space="0" w:color="auto"/>
                            <w:bottom w:val="none" w:sz="0" w:space="0" w:color="auto"/>
                            <w:right w:val="none" w:sz="0" w:space="0" w:color="auto"/>
                          </w:divBdr>
                        </w:div>
                      </w:divsChild>
                    </w:div>
                    <w:div w:id="294155967">
                      <w:marLeft w:val="0"/>
                      <w:marRight w:val="0"/>
                      <w:marTop w:val="0"/>
                      <w:marBottom w:val="0"/>
                      <w:divBdr>
                        <w:top w:val="none" w:sz="0" w:space="0" w:color="auto"/>
                        <w:left w:val="none" w:sz="0" w:space="0" w:color="auto"/>
                        <w:bottom w:val="none" w:sz="0" w:space="0" w:color="auto"/>
                        <w:right w:val="none" w:sz="0" w:space="0" w:color="auto"/>
                      </w:divBdr>
                    </w:div>
                    <w:div w:id="294156015">
                      <w:marLeft w:val="0"/>
                      <w:marRight w:val="0"/>
                      <w:marTop w:val="0"/>
                      <w:marBottom w:val="0"/>
                      <w:divBdr>
                        <w:top w:val="none" w:sz="0" w:space="0" w:color="auto"/>
                        <w:left w:val="none" w:sz="0" w:space="0" w:color="auto"/>
                        <w:bottom w:val="none" w:sz="0" w:space="0" w:color="auto"/>
                        <w:right w:val="none" w:sz="0" w:space="0" w:color="auto"/>
                      </w:divBdr>
                      <w:divsChild>
                        <w:div w:id="294141843">
                          <w:marLeft w:val="0"/>
                          <w:marRight w:val="0"/>
                          <w:marTop w:val="0"/>
                          <w:marBottom w:val="0"/>
                          <w:divBdr>
                            <w:top w:val="none" w:sz="0" w:space="0" w:color="auto"/>
                            <w:left w:val="none" w:sz="0" w:space="0" w:color="auto"/>
                            <w:bottom w:val="none" w:sz="0" w:space="0" w:color="auto"/>
                            <w:right w:val="none" w:sz="0" w:space="0" w:color="auto"/>
                          </w:divBdr>
                        </w:div>
                      </w:divsChild>
                    </w:div>
                    <w:div w:id="294156051">
                      <w:marLeft w:val="0"/>
                      <w:marRight w:val="0"/>
                      <w:marTop w:val="0"/>
                      <w:marBottom w:val="0"/>
                      <w:divBdr>
                        <w:top w:val="none" w:sz="0" w:space="0" w:color="auto"/>
                        <w:left w:val="none" w:sz="0" w:space="0" w:color="auto"/>
                        <w:bottom w:val="none" w:sz="0" w:space="0" w:color="auto"/>
                        <w:right w:val="none" w:sz="0" w:space="0" w:color="auto"/>
                      </w:divBdr>
                      <w:divsChild>
                        <w:div w:id="294147008">
                          <w:marLeft w:val="0"/>
                          <w:marRight w:val="0"/>
                          <w:marTop w:val="0"/>
                          <w:marBottom w:val="0"/>
                          <w:divBdr>
                            <w:top w:val="none" w:sz="0" w:space="0" w:color="auto"/>
                            <w:left w:val="none" w:sz="0" w:space="0" w:color="auto"/>
                            <w:bottom w:val="none" w:sz="0" w:space="0" w:color="auto"/>
                            <w:right w:val="none" w:sz="0" w:space="0" w:color="auto"/>
                          </w:divBdr>
                        </w:div>
                      </w:divsChild>
                    </w:div>
                    <w:div w:id="294156063">
                      <w:marLeft w:val="0"/>
                      <w:marRight w:val="0"/>
                      <w:marTop w:val="0"/>
                      <w:marBottom w:val="0"/>
                      <w:divBdr>
                        <w:top w:val="none" w:sz="0" w:space="0" w:color="auto"/>
                        <w:left w:val="none" w:sz="0" w:space="0" w:color="auto"/>
                        <w:bottom w:val="none" w:sz="0" w:space="0" w:color="auto"/>
                        <w:right w:val="none" w:sz="0" w:space="0" w:color="auto"/>
                      </w:divBdr>
                    </w:div>
                    <w:div w:id="294156076">
                      <w:marLeft w:val="0"/>
                      <w:marRight w:val="0"/>
                      <w:marTop w:val="0"/>
                      <w:marBottom w:val="0"/>
                      <w:divBdr>
                        <w:top w:val="none" w:sz="0" w:space="0" w:color="auto"/>
                        <w:left w:val="none" w:sz="0" w:space="0" w:color="auto"/>
                        <w:bottom w:val="none" w:sz="0" w:space="0" w:color="auto"/>
                        <w:right w:val="none" w:sz="0" w:space="0" w:color="auto"/>
                      </w:divBdr>
                      <w:divsChild>
                        <w:div w:id="294143361">
                          <w:marLeft w:val="0"/>
                          <w:marRight w:val="0"/>
                          <w:marTop w:val="0"/>
                          <w:marBottom w:val="0"/>
                          <w:divBdr>
                            <w:top w:val="none" w:sz="0" w:space="0" w:color="auto"/>
                            <w:left w:val="none" w:sz="0" w:space="0" w:color="auto"/>
                            <w:bottom w:val="none" w:sz="0" w:space="0" w:color="auto"/>
                            <w:right w:val="none" w:sz="0" w:space="0" w:color="auto"/>
                          </w:divBdr>
                        </w:div>
                      </w:divsChild>
                    </w:div>
                    <w:div w:id="294156097">
                      <w:marLeft w:val="0"/>
                      <w:marRight w:val="0"/>
                      <w:marTop w:val="0"/>
                      <w:marBottom w:val="0"/>
                      <w:divBdr>
                        <w:top w:val="none" w:sz="0" w:space="0" w:color="auto"/>
                        <w:left w:val="none" w:sz="0" w:space="0" w:color="auto"/>
                        <w:bottom w:val="none" w:sz="0" w:space="0" w:color="auto"/>
                        <w:right w:val="none" w:sz="0" w:space="0" w:color="auto"/>
                      </w:divBdr>
                    </w:div>
                    <w:div w:id="294156100">
                      <w:marLeft w:val="0"/>
                      <w:marRight w:val="0"/>
                      <w:marTop w:val="0"/>
                      <w:marBottom w:val="0"/>
                      <w:divBdr>
                        <w:top w:val="none" w:sz="0" w:space="0" w:color="auto"/>
                        <w:left w:val="none" w:sz="0" w:space="0" w:color="auto"/>
                        <w:bottom w:val="none" w:sz="0" w:space="0" w:color="auto"/>
                        <w:right w:val="none" w:sz="0" w:space="0" w:color="auto"/>
                      </w:divBdr>
                    </w:div>
                    <w:div w:id="294156109">
                      <w:marLeft w:val="0"/>
                      <w:marRight w:val="0"/>
                      <w:marTop w:val="0"/>
                      <w:marBottom w:val="0"/>
                      <w:divBdr>
                        <w:top w:val="none" w:sz="0" w:space="0" w:color="auto"/>
                        <w:left w:val="none" w:sz="0" w:space="0" w:color="auto"/>
                        <w:bottom w:val="none" w:sz="0" w:space="0" w:color="auto"/>
                        <w:right w:val="none" w:sz="0" w:space="0" w:color="auto"/>
                      </w:divBdr>
                    </w:div>
                    <w:div w:id="294156132">
                      <w:marLeft w:val="0"/>
                      <w:marRight w:val="0"/>
                      <w:marTop w:val="0"/>
                      <w:marBottom w:val="0"/>
                      <w:divBdr>
                        <w:top w:val="none" w:sz="0" w:space="0" w:color="auto"/>
                        <w:left w:val="none" w:sz="0" w:space="0" w:color="auto"/>
                        <w:bottom w:val="none" w:sz="0" w:space="0" w:color="auto"/>
                        <w:right w:val="none" w:sz="0" w:space="0" w:color="auto"/>
                      </w:divBdr>
                      <w:divsChild>
                        <w:div w:id="294138818">
                          <w:marLeft w:val="0"/>
                          <w:marRight w:val="0"/>
                          <w:marTop w:val="0"/>
                          <w:marBottom w:val="0"/>
                          <w:divBdr>
                            <w:top w:val="none" w:sz="0" w:space="0" w:color="auto"/>
                            <w:left w:val="none" w:sz="0" w:space="0" w:color="auto"/>
                            <w:bottom w:val="none" w:sz="0" w:space="0" w:color="auto"/>
                            <w:right w:val="none" w:sz="0" w:space="0" w:color="auto"/>
                          </w:divBdr>
                        </w:div>
                      </w:divsChild>
                    </w:div>
                    <w:div w:id="294156161">
                      <w:marLeft w:val="0"/>
                      <w:marRight w:val="0"/>
                      <w:marTop w:val="0"/>
                      <w:marBottom w:val="0"/>
                      <w:divBdr>
                        <w:top w:val="none" w:sz="0" w:space="0" w:color="auto"/>
                        <w:left w:val="none" w:sz="0" w:space="0" w:color="auto"/>
                        <w:bottom w:val="none" w:sz="0" w:space="0" w:color="auto"/>
                        <w:right w:val="none" w:sz="0" w:space="0" w:color="auto"/>
                      </w:divBdr>
                    </w:div>
                    <w:div w:id="294156181">
                      <w:marLeft w:val="0"/>
                      <w:marRight w:val="0"/>
                      <w:marTop w:val="0"/>
                      <w:marBottom w:val="0"/>
                      <w:divBdr>
                        <w:top w:val="none" w:sz="0" w:space="0" w:color="auto"/>
                        <w:left w:val="none" w:sz="0" w:space="0" w:color="auto"/>
                        <w:bottom w:val="none" w:sz="0" w:space="0" w:color="auto"/>
                        <w:right w:val="none" w:sz="0" w:space="0" w:color="auto"/>
                      </w:divBdr>
                      <w:divsChild>
                        <w:div w:id="294146303">
                          <w:marLeft w:val="0"/>
                          <w:marRight w:val="0"/>
                          <w:marTop w:val="0"/>
                          <w:marBottom w:val="0"/>
                          <w:divBdr>
                            <w:top w:val="none" w:sz="0" w:space="0" w:color="auto"/>
                            <w:left w:val="none" w:sz="0" w:space="0" w:color="auto"/>
                            <w:bottom w:val="none" w:sz="0" w:space="0" w:color="auto"/>
                            <w:right w:val="none" w:sz="0" w:space="0" w:color="auto"/>
                          </w:divBdr>
                        </w:div>
                      </w:divsChild>
                    </w:div>
                    <w:div w:id="294156225">
                      <w:marLeft w:val="0"/>
                      <w:marRight w:val="0"/>
                      <w:marTop w:val="0"/>
                      <w:marBottom w:val="0"/>
                      <w:divBdr>
                        <w:top w:val="none" w:sz="0" w:space="0" w:color="auto"/>
                        <w:left w:val="none" w:sz="0" w:space="0" w:color="auto"/>
                        <w:bottom w:val="none" w:sz="0" w:space="0" w:color="auto"/>
                        <w:right w:val="none" w:sz="0" w:space="0" w:color="auto"/>
                      </w:divBdr>
                      <w:divsChild>
                        <w:div w:id="294142709">
                          <w:marLeft w:val="0"/>
                          <w:marRight w:val="0"/>
                          <w:marTop w:val="0"/>
                          <w:marBottom w:val="0"/>
                          <w:divBdr>
                            <w:top w:val="none" w:sz="0" w:space="0" w:color="auto"/>
                            <w:left w:val="none" w:sz="0" w:space="0" w:color="auto"/>
                            <w:bottom w:val="none" w:sz="0" w:space="0" w:color="auto"/>
                            <w:right w:val="none" w:sz="0" w:space="0" w:color="auto"/>
                          </w:divBdr>
                        </w:div>
                      </w:divsChild>
                    </w:div>
                    <w:div w:id="294156241">
                      <w:marLeft w:val="0"/>
                      <w:marRight w:val="0"/>
                      <w:marTop w:val="0"/>
                      <w:marBottom w:val="0"/>
                      <w:divBdr>
                        <w:top w:val="none" w:sz="0" w:space="0" w:color="auto"/>
                        <w:left w:val="none" w:sz="0" w:space="0" w:color="auto"/>
                        <w:bottom w:val="none" w:sz="0" w:space="0" w:color="auto"/>
                        <w:right w:val="none" w:sz="0" w:space="0" w:color="auto"/>
                      </w:divBdr>
                      <w:divsChild>
                        <w:div w:id="294153605">
                          <w:marLeft w:val="0"/>
                          <w:marRight w:val="0"/>
                          <w:marTop w:val="0"/>
                          <w:marBottom w:val="0"/>
                          <w:divBdr>
                            <w:top w:val="none" w:sz="0" w:space="0" w:color="auto"/>
                            <w:left w:val="none" w:sz="0" w:space="0" w:color="auto"/>
                            <w:bottom w:val="none" w:sz="0" w:space="0" w:color="auto"/>
                            <w:right w:val="none" w:sz="0" w:space="0" w:color="auto"/>
                          </w:divBdr>
                        </w:div>
                      </w:divsChild>
                    </w:div>
                    <w:div w:id="294156325">
                      <w:marLeft w:val="0"/>
                      <w:marRight w:val="0"/>
                      <w:marTop w:val="0"/>
                      <w:marBottom w:val="0"/>
                      <w:divBdr>
                        <w:top w:val="none" w:sz="0" w:space="0" w:color="auto"/>
                        <w:left w:val="none" w:sz="0" w:space="0" w:color="auto"/>
                        <w:bottom w:val="none" w:sz="0" w:space="0" w:color="auto"/>
                        <w:right w:val="none" w:sz="0" w:space="0" w:color="auto"/>
                      </w:divBdr>
                      <w:divsChild>
                        <w:div w:id="294148175">
                          <w:marLeft w:val="0"/>
                          <w:marRight w:val="0"/>
                          <w:marTop w:val="0"/>
                          <w:marBottom w:val="0"/>
                          <w:divBdr>
                            <w:top w:val="none" w:sz="0" w:space="0" w:color="auto"/>
                            <w:left w:val="none" w:sz="0" w:space="0" w:color="auto"/>
                            <w:bottom w:val="none" w:sz="0" w:space="0" w:color="auto"/>
                            <w:right w:val="none" w:sz="0" w:space="0" w:color="auto"/>
                          </w:divBdr>
                        </w:div>
                      </w:divsChild>
                    </w:div>
                    <w:div w:id="294156329">
                      <w:marLeft w:val="0"/>
                      <w:marRight w:val="0"/>
                      <w:marTop w:val="0"/>
                      <w:marBottom w:val="0"/>
                      <w:divBdr>
                        <w:top w:val="none" w:sz="0" w:space="0" w:color="auto"/>
                        <w:left w:val="none" w:sz="0" w:space="0" w:color="auto"/>
                        <w:bottom w:val="none" w:sz="0" w:space="0" w:color="auto"/>
                        <w:right w:val="none" w:sz="0" w:space="0" w:color="auto"/>
                      </w:divBdr>
                      <w:divsChild>
                        <w:div w:id="294156321">
                          <w:marLeft w:val="0"/>
                          <w:marRight w:val="0"/>
                          <w:marTop w:val="0"/>
                          <w:marBottom w:val="0"/>
                          <w:divBdr>
                            <w:top w:val="none" w:sz="0" w:space="0" w:color="auto"/>
                            <w:left w:val="none" w:sz="0" w:space="0" w:color="auto"/>
                            <w:bottom w:val="none" w:sz="0" w:space="0" w:color="auto"/>
                            <w:right w:val="none" w:sz="0" w:space="0" w:color="auto"/>
                          </w:divBdr>
                        </w:div>
                      </w:divsChild>
                    </w:div>
                    <w:div w:id="294156359">
                      <w:marLeft w:val="0"/>
                      <w:marRight w:val="0"/>
                      <w:marTop w:val="0"/>
                      <w:marBottom w:val="0"/>
                      <w:divBdr>
                        <w:top w:val="none" w:sz="0" w:space="0" w:color="auto"/>
                        <w:left w:val="none" w:sz="0" w:space="0" w:color="auto"/>
                        <w:bottom w:val="none" w:sz="0" w:space="0" w:color="auto"/>
                        <w:right w:val="none" w:sz="0" w:space="0" w:color="auto"/>
                      </w:divBdr>
                      <w:divsChild>
                        <w:div w:id="294149698">
                          <w:marLeft w:val="0"/>
                          <w:marRight w:val="0"/>
                          <w:marTop w:val="0"/>
                          <w:marBottom w:val="0"/>
                          <w:divBdr>
                            <w:top w:val="none" w:sz="0" w:space="0" w:color="auto"/>
                            <w:left w:val="none" w:sz="0" w:space="0" w:color="auto"/>
                            <w:bottom w:val="none" w:sz="0" w:space="0" w:color="auto"/>
                            <w:right w:val="none" w:sz="0" w:space="0" w:color="auto"/>
                          </w:divBdr>
                        </w:div>
                      </w:divsChild>
                    </w:div>
                    <w:div w:id="294156371">
                      <w:marLeft w:val="0"/>
                      <w:marRight w:val="0"/>
                      <w:marTop w:val="0"/>
                      <w:marBottom w:val="0"/>
                      <w:divBdr>
                        <w:top w:val="none" w:sz="0" w:space="0" w:color="auto"/>
                        <w:left w:val="none" w:sz="0" w:space="0" w:color="auto"/>
                        <w:bottom w:val="none" w:sz="0" w:space="0" w:color="auto"/>
                        <w:right w:val="none" w:sz="0" w:space="0" w:color="auto"/>
                      </w:divBdr>
                      <w:divsChild>
                        <w:div w:id="294148815">
                          <w:marLeft w:val="0"/>
                          <w:marRight w:val="0"/>
                          <w:marTop w:val="0"/>
                          <w:marBottom w:val="0"/>
                          <w:divBdr>
                            <w:top w:val="none" w:sz="0" w:space="0" w:color="auto"/>
                            <w:left w:val="none" w:sz="0" w:space="0" w:color="auto"/>
                            <w:bottom w:val="none" w:sz="0" w:space="0" w:color="auto"/>
                            <w:right w:val="none" w:sz="0" w:space="0" w:color="auto"/>
                          </w:divBdr>
                        </w:div>
                      </w:divsChild>
                    </w:div>
                    <w:div w:id="294156428">
                      <w:marLeft w:val="0"/>
                      <w:marRight w:val="0"/>
                      <w:marTop w:val="0"/>
                      <w:marBottom w:val="0"/>
                      <w:divBdr>
                        <w:top w:val="none" w:sz="0" w:space="0" w:color="auto"/>
                        <w:left w:val="none" w:sz="0" w:space="0" w:color="auto"/>
                        <w:bottom w:val="none" w:sz="0" w:space="0" w:color="auto"/>
                        <w:right w:val="none" w:sz="0" w:space="0" w:color="auto"/>
                      </w:divBdr>
                      <w:divsChild>
                        <w:div w:id="294141317">
                          <w:marLeft w:val="0"/>
                          <w:marRight w:val="0"/>
                          <w:marTop w:val="0"/>
                          <w:marBottom w:val="0"/>
                          <w:divBdr>
                            <w:top w:val="none" w:sz="0" w:space="0" w:color="auto"/>
                            <w:left w:val="none" w:sz="0" w:space="0" w:color="auto"/>
                            <w:bottom w:val="none" w:sz="0" w:space="0" w:color="auto"/>
                            <w:right w:val="none" w:sz="0" w:space="0" w:color="auto"/>
                          </w:divBdr>
                        </w:div>
                      </w:divsChild>
                    </w:div>
                    <w:div w:id="294156497">
                      <w:marLeft w:val="0"/>
                      <w:marRight w:val="0"/>
                      <w:marTop w:val="0"/>
                      <w:marBottom w:val="0"/>
                      <w:divBdr>
                        <w:top w:val="none" w:sz="0" w:space="0" w:color="auto"/>
                        <w:left w:val="none" w:sz="0" w:space="0" w:color="auto"/>
                        <w:bottom w:val="none" w:sz="0" w:space="0" w:color="auto"/>
                        <w:right w:val="none" w:sz="0" w:space="0" w:color="auto"/>
                      </w:divBdr>
                      <w:divsChild>
                        <w:div w:id="294149490">
                          <w:marLeft w:val="0"/>
                          <w:marRight w:val="0"/>
                          <w:marTop w:val="0"/>
                          <w:marBottom w:val="0"/>
                          <w:divBdr>
                            <w:top w:val="none" w:sz="0" w:space="0" w:color="auto"/>
                            <w:left w:val="none" w:sz="0" w:space="0" w:color="auto"/>
                            <w:bottom w:val="none" w:sz="0" w:space="0" w:color="auto"/>
                            <w:right w:val="none" w:sz="0" w:space="0" w:color="auto"/>
                          </w:divBdr>
                        </w:div>
                      </w:divsChild>
                    </w:div>
                    <w:div w:id="294156528">
                      <w:marLeft w:val="0"/>
                      <w:marRight w:val="0"/>
                      <w:marTop w:val="0"/>
                      <w:marBottom w:val="0"/>
                      <w:divBdr>
                        <w:top w:val="none" w:sz="0" w:space="0" w:color="auto"/>
                        <w:left w:val="none" w:sz="0" w:space="0" w:color="auto"/>
                        <w:bottom w:val="none" w:sz="0" w:space="0" w:color="auto"/>
                        <w:right w:val="none" w:sz="0" w:space="0" w:color="auto"/>
                      </w:divBdr>
                    </w:div>
                    <w:div w:id="294156553">
                      <w:marLeft w:val="0"/>
                      <w:marRight w:val="0"/>
                      <w:marTop w:val="0"/>
                      <w:marBottom w:val="0"/>
                      <w:divBdr>
                        <w:top w:val="none" w:sz="0" w:space="0" w:color="auto"/>
                        <w:left w:val="none" w:sz="0" w:space="0" w:color="auto"/>
                        <w:bottom w:val="none" w:sz="0" w:space="0" w:color="auto"/>
                        <w:right w:val="none" w:sz="0" w:space="0" w:color="auto"/>
                      </w:divBdr>
                      <w:divsChild>
                        <w:div w:id="294142427">
                          <w:marLeft w:val="0"/>
                          <w:marRight w:val="0"/>
                          <w:marTop w:val="0"/>
                          <w:marBottom w:val="0"/>
                          <w:divBdr>
                            <w:top w:val="none" w:sz="0" w:space="0" w:color="auto"/>
                            <w:left w:val="none" w:sz="0" w:space="0" w:color="auto"/>
                            <w:bottom w:val="none" w:sz="0" w:space="0" w:color="auto"/>
                            <w:right w:val="none" w:sz="0" w:space="0" w:color="auto"/>
                          </w:divBdr>
                        </w:div>
                      </w:divsChild>
                    </w:div>
                    <w:div w:id="294156574">
                      <w:marLeft w:val="0"/>
                      <w:marRight w:val="0"/>
                      <w:marTop w:val="0"/>
                      <w:marBottom w:val="0"/>
                      <w:divBdr>
                        <w:top w:val="none" w:sz="0" w:space="0" w:color="auto"/>
                        <w:left w:val="none" w:sz="0" w:space="0" w:color="auto"/>
                        <w:bottom w:val="none" w:sz="0" w:space="0" w:color="auto"/>
                        <w:right w:val="none" w:sz="0" w:space="0" w:color="auto"/>
                      </w:divBdr>
                      <w:divsChild>
                        <w:div w:id="294141008">
                          <w:marLeft w:val="0"/>
                          <w:marRight w:val="0"/>
                          <w:marTop w:val="0"/>
                          <w:marBottom w:val="0"/>
                          <w:divBdr>
                            <w:top w:val="none" w:sz="0" w:space="0" w:color="auto"/>
                            <w:left w:val="none" w:sz="0" w:space="0" w:color="auto"/>
                            <w:bottom w:val="none" w:sz="0" w:space="0" w:color="auto"/>
                            <w:right w:val="none" w:sz="0" w:space="0" w:color="auto"/>
                          </w:divBdr>
                        </w:div>
                      </w:divsChild>
                    </w:div>
                    <w:div w:id="294156578">
                      <w:marLeft w:val="0"/>
                      <w:marRight w:val="0"/>
                      <w:marTop w:val="0"/>
                      <w:marBottom w:val="0"/>
                      <w:divBdr>
                        <w:top w:val="none" w:sz="0" w:space="0" w:color="auto"/>
                        <w:left w:val="none" w:sz="0" w:space="0" w:color="auto"/>
                        <w:bottom w:val="none" w:sz="0" w:space="0" w:color="auto"/>
                        <w:right w:val="none" w:sz="0" w:space="0" w:color="auto"/>
                      </w:divBdr>
                    </w:div>
                    <w:div w:id="294156608">
                      <w:marLeft w:val="0"/>
                      <w:marRight w:val="0"/>
                      <w:marTop w:val="0"/>
                      <w:marBottom w:val="0"/>
                      <w:divBdr>
                        <w:top w:val="none" w:sz="0" w:space="0" w:color="auto"/>
                        <w:left w:val="none" w:sz="0" w:space="0" w:color="auto"/>
                        <w:bottom w:val="none" w:sz="0" w:space="0" w:color="auto"/>
                        <w:right w:val="none" w:sz="0" w:space="0" w:color="auto"/>
                      </w:divBdr>
                      <w:divsChild>
                        <w:div w:id="294156095">
                          <w:marLeft w:val="0"/>
                          <w:marRight w:val="0"/>
                          <w:marTop w:val="0"/>
                          <w:marBottom w:val="0"/>
                          <w:divBdr>
                            <w:top w:val="none" w:sz="0" w:space="0" w:color="auto"/>
                            <w:left w:val="none" w:sz="0" w:space="0" w:color="auto"/>
                            <w:bottom w:val="none" w:sz="0" w:space="0" w:color="auto"/>
                            <w:right w:val="none" w:sz="0" w:space="0" w:color="auto"/>
                          </w:divBdr>
                        </w:div>
                      </w:divsChild>
                    </w:div>
                    <w:div w:id="294156631">
                      <w:marLeft w:val="0"/>
                      <w:marRight w:val="0"/>
                      <w:marTop w:val="0"/>
                      <w:marBottom w:val="0"/>
                      <w:divBdr>
                        <w:top w:val="none" w:sz="0" w:space="0" w:color="auto"/>
                        <w:left w:val="none" w:sz="0" w:space="0" w:color="auto"/>
                        <w:bottom w:val="none" w:sz="0" w:space="0" w:color="auto"/>
                        <w:right w:val="none" w:sz="0" w:space="0" w:color="auto"/>
                      </w:divBdr>
                    </w:div>
                    <w:div w:id="294156664">
                      <w:marLeft w:val="0"/>
                      <w:marRight w:val="0"/>
                      <w:marTop w:val="0"/>
                      <w:marBottom w:val="0"/>
                      <w:divBdr>
                        <w:top w:val="none" w:sz="0" w:space="0" w:color="auto"/>
                        <w:left w:val="none" w:sz="0" w:space="0" w:color="auto"/>
                        <w:bottom w:val="none" w:sz="0" w:space="0" w:color="auto"/>
                        <w:right w:val="none" w:sz="0" w:space="0" w:color="auto"/>
                      </w:divBdr>
                    </w:div>
                    <w:div w:id="294156744">
                      <w:marLeft w:val="0"/>
                      <w:marRight w:val="0"/>
                      <w:marTop w:val="0"/>
                      <w:marBottom w:val="0"/>
                      <w:divBdr>
                        <w:top w:val="none" w:sz="0" w:space="0" w:color="auto"/>
                        <w:left w:val="none" w:sz="0" w:space="0" w:color="auto"/>
                        <w:bottom w:val="none" w:sz="0" w:space="0" w:color="auto"/>
                        <w:right w:val="none" w:sz="0" w:space="0" w:color="auto"/>
                      </w:divBdr>
                      <w:divsChild>
                        <w:div w:id="294151128">
                          <w:marLeft w:val="0"/>
                          <w:marRight w:val="0"/>
                          <w:marTop w:val="0"/>
                          <w:marBottom w:val="0"/>
                          <w:divBdr>
                            <w:top w:val="none" w:sz="0" w:space="0" w:color="auto"/>
                            <w:left w:val="none" w:sz="0" w:space="0" w:color="auto"/>
                            <w:bottom w:val="none" w:sz="0" w:space="0" w:color="auto"/>
                            <w:right w:val="none" w:sz="0" w:space="0" w:color="auto"/>
                          </w:divBdr>
                        </w:div>
                      </w:divsChild>
                    </w:div>
                    <w:div w:id="294156789">
                      <w:marLeft w:val="0"/>
                      <w:marRight w:val="0"/>
                      <w:marTop w:val="0"/>
                      <w:marBottom w:val="0"/>
                      <w:divBdr>
                        <w:top w:val="none" w:sz="0" w:space="0" w:color="auto"/>
                        <w:left w:val="none" w:sz="0" w:space="0" w:color="auto"/>
                        <w:bottom w:val="none" w:sz="0" w:space="0" w:color="auto"/>
                        <w:right w:val="none" w:sz="0" w:space="0" w:color="auto"/>
                      </w:divBdr>
                      <w:divsChild>
                        <w:div w:id="294145953">
                          <w:marLeft w:val="0"/>
                          <w:marRight w:val="0"/>
                          <w:marTop w:val="0"/>
                          <w:marBottom w:val="0"/>
                          <w:divBdr>
                            <w:top w:val="none" w:sz="0" w:space="0" w:color="auto"/>
                            <w:left w:val="none" w:sz="0" w:space="0" w:color="auto"/>
                            <w:bottom w:val="none" w:sz="0" w:space="0" w:color="auto"/>
                            <w:right w:val="none" w:sz="0" w:space="0" w:color="auto"/>
                          </w:divBdr>
                        </w:div>
                      </w:divsChild>
                    </w:div>
                    <w:div w:id="294156827">
                      <w:marLeft w:val="0"/>
                      <w:marRight w:val="0"/>
                      <w:marTop w:val="0"/>
                      <w:marBottom w:val="0"/>
                      <w:divBdr>
                        <w:top w:val="none" w:sz="0" w:space="0" w:color="auto"/>
                        <w:left w:val="none" w:sz="0" w:space="0" w:color="auto"/>
                        <w:bottom w:val="none" w:sz="0" w:space="0" w:color="auto"/>
                        <w:right w:val="none" w:sz="0" w:space="0" w:color="auto"/>
                      </w:divBdr>
                      <w:divsChild>
                        <w:div w:id="294151627">
                          <w:marLeft w:val="0"/>
                          <w:marRight w:val="0"/>
                          <w:marTop w:val="0"/>
                          <w:marBottom w:val="0"/>
                          <w:divBdr>
                            <w:top w:val="none" w:sz="0" w:space="0" w:color="auto"/>
                            <w:left w:val="none" w:sz="0" w:space="0" w:color="auto"/>
                            <w:bottom w:val="none" w:sz="0" w:space="0" w:color="auto"/>
                            <w:right w:val="none" w:sz="0" w:space="0" w:color="auto"/>
                          </w:divBdr>
                        </w:div>
                      </w:divsChild>
                    </w:div>
                    <w:div w:id="294156840">
                      <w:marLeft w:val="0"/>
                      <w:marRight w:val="0"/>
                      <w:marTop w:val="0"/>
                      <w:marBottom w:val="0"/>
                      <w:divBdr>
                        <w:top w:val="none" w:sz="0" w:space="0" w:color="auto"/>
                        <w:left w:val="none" w:sz="0" w:space="0" w:color="auto"/>
                        <w:bottom w:val="none" w:sz="0" w:space="0" w:color="auto"/>
                        <w:right w:val="none" w:sz="0" w:space="0" w:color="auto"/>
                      </w:divBdr>
                    </w:div>
                    <w:div w:id="294156932">
                      <w:marLeft w:val="0"/>
                      <w:marRight w:val="0"/>
                      <w:marTop w:val="0"/>
                      <w:marBottom w:val="0"/>
                      <w:divBdr>
                        <w:top w:val="none" w:sz="0" w:space="0" w:color="auto"/>
                        <w:left w:val="none" w:sz="0" w:space="0" w:color="auto"/>
                        <w:bottom w:val="none" w:sz="0" w:space="0" w:color="auto"/>
                        <w:right w:val="none" w:sz="0" w:space="0" w:color="auto"/>
                      </w:divBdr>
                    </w:div>
                    <w:div w:id="294156954">
                      <w:marLeft w:val="0"/>
                      <w:marRight w:val="0"/>
                      <w:marTop w:val="0"/>
                      <w:marBottom w:val="0"/>
                      <w:divBdr>
                        <w:top w:val="none" w:sz="0" w:space="0" w:color="auto"/>
                        <w:left w:val="none" w:sz="0" w:space="0" w:color="auto"/>
                        <w:bottom w:val="none" w:sz="0" w:space="0" w:color="auto"/>
                        <w:right w:val="none" w:sz="0" w:space="0" w:color="auto"/>
                      </w:divBdr>
                    </w:div>
                    <w:div w:id="294156958">
                      <w:marLeft w:val="0"/>
                      <w:marRight w:val="0"/>
                      <w:marTop w:val="0"/>
                      <w:marBottom w:val="0"/>
                      <w:divBdr>
                        <w:top w:val="none" w:sz="0" w:space="0" w:color="auto"/>
                        <w:left w:val="none" w:sz="0" w:space="0" w:color="auto"/>
                        <w:bottom w:val="none" w:sz="0" w:space="0" w:color="auto"/>
                        <w:right w:val="none" w:sz="0" w:space="0" w:color="auto"/>
                      </w:divBdr>
                      <w:divsChild>
                        <w:div w:id="294152810">
                          <w:marLeft w:val="0"/>
                          <w:marRight w:val="0"/>
                          <w:marTop w:val="0"/>
                          <w:marBottom w:val="0"/>
                          <w:divBdr>
                            <w:top w:val="none" w:sz="0" w:space="0" w:color="auto"/>
                            <w:left w:val="none" w:sz="0" w:space="0" w:color="auto"/>
                            <w:bottom w:val="none" w:sz="0" w:space="0" w:color="auto"/>
                            <w:right w:val="none" w:sz="0" w:space="0" w:color="auto"/>
                          </w:divBdr>
                        </w:div>
                      </w:divsChild>
                    </w:div>
                    <w:div w:id="294157026">
                      <w:marLeft w:val="0"/>
                      <w:marRight w:val="0"/>
                      <w:marTop w:val="0"/>
                      <w:marBottom w:val="0"/>
                      <w:divBdr>
                        <w:top w:val="none" w:sz="0" w:space="0" w:color="auto"/>
                        <w:left w:val="none" w:sz="0" w:space="0" w:color="auto"/>
                        <w:bottom w:val="none" w:sz="0" w:space="0" w:color="auto"/>
                        <w:right w:val="none" w:sz="0" w:space="0" w:color="auto"/>
                      </w:divBdr>
                      <w:divsChild>
                        <w:div w:id="294138493">
                          <w:marLeft w:val="0"/>
                          <w:marRight w:val="0"/>
                          <w:marTop w:val="0"/>
                          <w:marBottom w:val="0"/>
                          <w:divBdr>
                            <w:top w:val="none" w:sz="0" w:space="0" w:color="auto"/>
                            <w:left w:val="none" w:sz="0" w:space="0" w:color="auto"/>
                            <w:bottom w:val="none" w:sz="0" w:space="0" w:color="auto"/>
                            <w:right w:val="none" w:sz="0" w:space="0" w:color="auto"/>
                          </w:divBdr>
                        </w:div>
                      </w:divsChild>
                    </w:div>
                    <w:div w:id="294157030">
                      <w:marLeft w:val="0"/>
                      <w:marRight w:val="0"/>
                      <w:marTop w:val="0"/>
                      <w:marBottom w:val="0"/>
                      <w:divBdr>
                        <w:top w:val="none" w:sz="0" w:space="0" w:color="auto"/>
                        <w:left w:val="none" w:sz="0" w:space="0" w:color="auto"/>
                        <w:bottom w:val="none" w:sz="0" w:space="0" w:color="auto"/>
                        <w:right w:val="none" w:sz="0" w:space="0" w:color="auto"/>
                      </w:divBdr>
                      <w:divsChild>
                        <w:div w:id="294150235">
                          <w:marLeft w:val="0"/>
                          <w:marRight w:val="0"/>
                          <w:marTop w:val="0"/>
                          <w:marBottom w:val="0"/>
                          <w:divBdr>
                            <w:top w:val="none" w:sz="0" w:space="0" w:color="auto"/>
                            <w:left w:val="none" w:sz="0" w:space="0" w:color="auto"/>
                            <w:bottom w:val="none" w:sz="0" w:space="0" w:color="auto"/>
                            <w:right w:val="none" w:sz="0" w:space="0" w:color="auto"/>
                          </w:divBdr>
                        </w:div>
                      </w:divsChild>
                    </w:div>
                    <w:div w:id="294157079">
                      <w:marLeft w:val="0"/>
                      <w:marRight w:val="0"/>
                      <w:marTop w:val="0"/>
                      <w:marBottom w:val="0"/>
                      <w:divBdr>
                        <w:top w:val="none" w:sz="0" w:space="0" w:color="auto"/>
                        <w:left w:val="none" w:sz="0" w:space="0" w:color="auto"/>
                        <w:bottom w:val="none" w:sz="0" w:space="0" w:color="auto"/>
                        <w:right w:val="none" w:sz="0" w:space="0" w:color="auto"/>
                      </w:divBdr>
                      <w:divsChild>
                        <w:div w:id="294157182">
                          <w:marLeft w:val="0"/>
                          <w:marRight w:val="0"/>
                          <w:marTop w:val="0"/>
                          <w:marBottom w:val="0"/>
                          <w:divBdr>
                            <w:top w:val="none" w:sz="0" w:space="0" w:color="auto"/>
                            <w:left w:val="none" w:sz="0" w:space="0" w:color="auto"/>
                            <w:bottom w:val="none" w:sz="0" w:space="0" w:color="auto"/>
                            <w:right w:val="none" w:sz="0" w:space="0" w:color="auto"/>
                          </w:divBdr>
                        </w:div>
                      </w:divsChild>
                    </w:div>
                    <w:div w:id="294157127">
                      <w:marLeft w:val="0"/>
                      <w:marRight w:val="0"/>
                      <w:marTop w:val="0"/>
                      <w:marBottom w:val="0"/>
                      <w:divBdr>
                        <w:top w:val="none" w:sz="0" w:space="0" w:color="auto"/>
                        <w:left w:val="none" w:sz="0" w:space="0" w:color="auto"/>
                        <w:bottom w:val="none" w:sz="0" w:space="0" w:color="auto"/>
                        <w:right w:val="none" w:sz="0" w:space="0" w:color="auto"/>
                      </w:divBdr>
                      <w:divsChild>
                        <w:div w:id="294144412">
                          <w:marLeft w:val="0"/>
                          <w:marRight w:val="0"/>
                          <w:marTop w:val="0"/>
                          <w:marBottom w:val="0"/>
                          <w:divBdr>
                            <w:top w:val="none" w:sz="0" w:space="0" w:color="auto"/>
                            <w:left w:val="none" w:sz="0" w:space="0" w:color="auto"/>
                            <w:bottom w:val="none" w:sz="0" w:space="0" w:color="auto"/>
                            <w:right w:val="none" w:sz="0" w:space="0" w:color="auto"/>
                          </w:divBdr>
                        </w:div>
                      </w:divsChild>
                    </w:div>
                    <w:div w:id="294157139">
                      <w:marLeft w:val="0"/>
                      <w:marRight w:val="0"/>
                      <w:marTop w:val="0"/>
                      <w:marBottom w:val="0"/>
                      <w:divBdr>
                        <w:top w:val="none" w:sz="0" w:space="0" w:color="auto"/>
                        <w:left w:val="none" w:sz="0" w:space="0" w:color="auto"/>
                        <w:bottom w:val="none" w:sz="0" w:space="0" w:color="auto"/>
                        <w:right w:val="none" w:sz="0" w:space="0" w:color="auto"/>
                      </w:divBdr>
                    </w:div>
                    <w:div w:id="294157146">
                      <w:marLeft w:val="0"/>
                      <w:marRight w:val="0"/>
                      <w:marTop w:val="0"/>
                      <w:marBottom w:val="0"/>
                      <w:divBdr>
                        <w:top w:val="none" w:sz="0" w:space="0" w:color="auto"/>
                        <w:left w:val="none" w:sz="0" w:space="0" w:color="auto"/>
                        <w:bottom w:val="none" w:sz="0" w:space="0" w:color="auto"/>
                        <w:right w:val="none" w:sz="0" w:space="0" w:color="auto"/>
                      </w:divBdr>
                    </w:div>
                    <w:div w:id="294157204">
                      <w:marLeft w:val="0"/>
                      <w:marRight w:val="0"/>
                      <w:marTop w:val="0"/>
                      <w:marBottom w:val="0"/>
                      <w:divBdr>
                        <w:top w:val="none" w:sz="0" w:space="0" w:color="auto"/>
                        <w:left w:val="none" w:sz="0" w:space="0" w:color="auto"/>
                        <w:bottom w:val="none" w:sz="0" w:space="0" w:color="auto"/>
                        <w:right w:val="none" w:sz="0" w:space="0" w:color="auto"/>
                      </w:divBdr>
                    </w:div>
                    <w:div w:id="294157218">
                      <w:marLeft w:val="0"/>
                      <w:marRight w:val="0"/>
                      <w:marTop w:val="0"/>
                      <w:marBottom w:val="0"/>
                      <w:divBdr>
                        <w:top w:val="none" w:sz="0" w:space="0" w:color="auto"/>
                        <w:left w:val="none" w:sz="0" w:space="0" w:color="auto"/>
                        <w:bottom w:val="none" w:sz="0" w:space="0" w:color="auto"/>
                        <w:right w:val="none" w:sz="0" w:space="0" w:color="auto"/>
                      </w:divBdr>
                      <w:divsChild>
                        <w:div w:id="294147006">
                          <w:marLeft w:val="0"/>
                          <w:marRight w:val="0"/>
                          <w:marTop w:val="0"/>
                          <w:marBottom w:val="0"/>
                          <w:divBdr>
                            <w:top w:val="none" w:sz="0" w:space="0" w:color="auto"/>
                            <w:left w:val="none" w:sz="0" w:space="0" w:color="auto"/>
                            <w:bottom w:val="none" w:sz="0" w:space="0" w:color="auto"/>
                            <w:right w:val="none" w:sz="0" w:space="0" w:color="auto"/>
                          </w:divBdr>
                        </w:div>
                      </w:divsChild>
                    </w:div>
                    <w:div w:id="294157275">
                      <w:marLeft w:val="0"/>
                      <w:marRight w:val="0"/>
                      <w:marTop w:val="0"/>
                      <w:marBottom w:val="0"/>
                      <w:divBdr>
                        <w:top w:val="none" w:sz="0" w:space="0" w:color="auto"/>
                        <w:left w:val="none" w:sz="0" w:space="0" w:color="auto"/>
                        <w:bottom w:val="none" w:sz="0" w:space="0" w:color="auto"/>
                        <w:right w:val="none" w:sz="0" w:space="0" w:color="auto"/>
                      </w:divBdr>
                      <w:divsChild>
                        <w:div w:id="294153355">
                          <w:marLeft w:val="0"/>
                          <w:marRight w:val="0"/>
                          <w:marTop w:val="0"/>
                          <w:marBottom w:val="0"/>
                          <w:divBdr>
                            <w:top w:val="none" w:sz="0" w:space="0" w:color="auto"/>
                            <w:left w:val="none" w:sz="0" w:space="0" w:color="auto"/>
                            <w:bottom w:val="none" w:sz="0" w:space="0" w:color="auto"/>
                            <w:right w:val="none" w:sz="0" w:space="0" w:color="auto"/>
                          </w:divBdr>
                        </w:div>
                      </w:divsChild>
                    </w:div>
                    <w:div w:id="294157337">
                      <w:marLeft w:val="0"/>
                      <w:marRight w:val="0"/>
                      <w:marTop w:val="0"/>
                      <w:marBottom w:val="0"/>
                      <w:divBdr>
                        <w:top w:val="none" w:sz="0" w:space="0" w:color="auto"/>
                        <w:left w:val="none" w:sz="0" w:space="0" w:color="auto"/>
                        <w:bottom w:val="none" w:sz="0" w:space="0" w:color="auto"/>
                        <w:right w:val="none" w:sz="0" w:space="0" w:color="auto"/>
                      </w:divBdr>
                    </w:div>
                    <w:div w:id="29415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56925">
      <w:marLeft w:val="0"/>
      <w:marRight w:val="0"/>
      <w:marTop w:val="0"/>
      <w:marBottom w:val="0"/>
      <w:divBdr>
        <w:top w:val="none" w:sz="0" w:space="0" w:color="auto"/>
        <w:left w:val="none" w:sz="0" w:space="0" w:color="auto"/>
        <w:bottom w:val="none" w:sz="0" w:space="0" w:color="auto"/>
        <w:right w:val="none" w:sz="0" w:space="0" w:color="auto"/>
      </w:divBdr>
      <w:divsChild>
        <w:div w:id="294144726">
          <w:marLeft w:val="200"/>
          <w:marRight w:val="0"/>
          <w:marTop w:val="0"/>
          <w:marBottom w:val="0"/>
          <w:divBdr>
            <w:top w:val="none" w:sz="0" w:space="0" w:color="auto"/>
            <w:left w:val="single" w:sz="8" w:space="10" w:color="DFDFDF"/>
            <w:bottom w:val="none" w:sz="0" w:space="0" w:color="auto"/>
            <w:right w:val="none" w:sz="0" w:space="0" w:color="auto"/>
          </w:divBdr>
          <w:divsChild>
            <w:div w:id="294139193">
              <w:marLeft w:val="0"/>
              <w:marRight w:val="0"/>
              <w:marTop w:val="0"/>
              <w:marBottom w:val="0"/>
              <w:divBdr>
                <w:top w:val="none" w:sz="0" w:space="0" w:color="auto"/>
                <w:left w:val="none" w:sz="0" w:space="0" w:color="auto"/>
                <w:bottom w:val="none" w:sz="0" w:space="0" w:color="auto"/>
                <w:right w:val="none" w:sz="0" w:space="0" w:color="auto"/>
              </w:divBdr>
              <w:divsChild>
                <w:div w:id="294155283">
                  <w:marLeft w:val="300"/>
                  <w:marRight w:val="0"/>
                  <w:marTop w:val="60"/>
                  <w:marBottom w:val="0"/>
                  <w:divBdr>
                    <w:top w:val="none" w:sz="0" w:space="0" w:color="auto"/>
                    <w:left w:val="none" w:sz="0" w:space="0" w:color="auto"/>
                    <w:bottom w:val="none" w:sz="0" w:space="0" w:color="auto"/>
                    <w:right w:val="none" w:sz="0" w:space="0" w:color="auto"/>
                  </w:divBdr>
                </w:div>
                <w:div w:id="294157055">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sChild>
    </w:div>
    <w:div w:id="294157056">
      <w:marLeft w:val="0"/>
      <w:marRight w:val="0"/>
      <w:marTop w:val="0"/>
      <w:marBottom w:val="0"/>
      <w:divBdr>
        <w:top w:val="none" w:sz="0" w:space="0" w:color="auto"/>
        <w:left w:val="none" w:sz="0" w:space="0" w:color="auto"/>
        <w:bottom w:val="none" w:sz="0" w:space="0" w:color="auto"/>
        <w:right w:val="none" w:sz="0" w:space="0" w:color="auto"/>
      </w:divBdr>
      <w:divsChild>
        <w:div w:id="294139532">
          <w:marLeft w:val="0"/>
          <w:marRight w:val="0"/>
          <w:marTop w:val="0"/>
          <w:marBottom w:val="0"/>
          <w:divBdr>
            <w:top w:val="none" w:sz="0" w:space="0" w:color="auto"/>
            <w:left w:val="none" w:sz="0" w:space="0" w:color="auto"/>
            <w:bottom w:val="none" w:sz="0" w:space="0" w:color="auto"/>
            <w:right w:val="none" w:sz="0" w:space="0" w:color="auto"/>
          </w:divBdr>
          <w:divsChild>
            <w:div w:id="294138134">
              <w:marLeft w:val="0"/>
              <w:marRight w:val="0"/>
              <w:marTop w:val="0"/>
              <w:marBottom w:val="0"/>
              <w:divBdr>
                <w:top w:val="none" w:sz="0" w:space="0" w:color="auto"/>
                <w:left w:val="none" w:sz="0" w:space="0" w:color="auto"/>
                <w:bottom w:val="none" w:sz="0" w:space="0" w:color="auto"/>
                <w:right w:val="none" w:sz="0" w:space="0" w:color="auto"/>
              </w:divBdr>
            </w:div>
            <w:div w:id="294139210">
              <w:marLeft w:val="0"/>
              <w:marRight w:val="0"/>
              <w:marTop w:val="0"/>
              <w:marBottom w:val="0"/>
              <w:divBdr>
                <w:top w:val="none" w:sz="0" w:space="0" w:color="auto"/>
                <w:left w:val="none" w:sz="0" w:space="0" w:color="auto"/>
                <w:bottom w:val="none" w:sz="0" w:space="0" w:color="auto"/>
                <w:right w:val="none" w:sz="0" w:space="0" w:color="auto"/>
              </w:divBdr>
            </w:div>
            <w:div w:id="294139392">
              <w:marLeft w:val="0"/>
              <w:marRight w:val="0"/>
              <w:marTop w:val="0"/>
              <w:marBottom w:val="0"/>
              <w:divBdr>
                <w:top w:val="none" w:sz="0" w:space="0" w:color="auto"/>
                <w:left w:val="none" w:sz="0" w:space="0" w:color="auto"/>
                <w:bottom w:val="none" w:sz="0" w:space="0" w:color="auto"/>
                <w:right w:val="none" w:sz="0" w:space="0" w:color="auto"/>
              </w:divBdr>
            </w:div>
            <w:div w:id="294143271">
              <w:marLeft w:val="0"/>
              <w:marRight w:val="0"/>
              <w:marTop w:val="0"/>
              <w:marBottom w:val="0"/>
              <w:divBdr>
                <w:top w:val="none" w:sz="0" w:space="0" w:color="auto"/>
                <w:left w:val="none" w:sz="0" w:space="0" w:color="auto"/>
                <w:bottom w:val="none" w:sz="0" w:space="0" w:color="auto"/>
                <w:right w:val="none" w:sz="0" w:space="0" w:color="auto"/>
              </w:divBdr>
            </w:div>
            <w:div w:id="294143481">
              <w:marLeft w:val="0"/>
              <w:marRight w:val="0"/>
              <w:marTop w:val="0"/>
              <w:marBottom w:val="0"/>
              <w:divBdr>
                <w:top w:val="none" w:sz="0" w:space="0" w:color="auto"/>
                <w:left w:val="none" w:sz="0" w:space="0" w:color="auto"/>
                <w:bottom w:val="none" w:sz="0" w:space="0" w:color="auto"/>
                <w:right w:val="none" w:sz="0" w:space="0" w:color="auto"/>
              </w:divBdr>
            </w:div>
            <w:div w:id="294143882">
              <w:marLeft w:val="0"/>
              <w:marRight w:val="0"/>
              <w:marTop w:val="0"/>
              <w:marBottom w:val="0"/>
              <w:divBdr>
                <w:top w:val="none" w:sz="0" w:space="0" w:color="auto"/>
                <w:left w:val="none" w:sz="0" w:space="0" w:color="auto"/>
                <w:bottom w:val="none" w:sz="0" w:space="0" w:color="auto"/>
                <w:right w:val="none" w:sz="0" w:space="0" w:color="auto"/>
              </w:divBdr>
            </w:div>
            <w:div w:id="294146491">
              <w:marLeft w:val="0"/>
              <w:marRight w:val="0"/>
              <w:marTop w:val="0"/>
              <w:marBottom w:val="0"/>
              <w:divBdr>
                <w:top w:val="none" w:sz="0" w:space="0" w:color="auto"/>
                <w:left w:val="none" w:sz="0" w:space="0" w:color="auto"/>
                <w:bottom w:val="none" w:sz="0" w:space="0" w:color="auto"/>
                <w:right w:val="none" w:sz="0" w:space="0" w:color="auto"/>
              </w:divBdr>
            </w:div>
            <w:div w:id="294146900">
              <w:marLeft w:val="0"/>
              <w:marRight w:val="0"/>
              <w:marTop w:val="0"/>
              <w:marBottom w:val="0"/>
              <w:divBdr>
                <w:top w:val="none" w:sz="0" w:space="0" w:color="auto"/>
                <w:left w:val="none" w:sz="0" w:space="0" w:color="auto"/>
                <w:bottom w:val="none" w:sz="0" w:space="0" w:color="auto"/>
                <w:right w:val="none" w:sz="0" w:space="0" w:color="auto"/>
              </w:divBdr>
            </w:div>
            <w:div w:id="294149980">
              <w:marLeft w:val="0"/>
              <w:marRight w:val="0"/>
              <w:marTop w:val="0"/>
              <w:marBottom w:val="0"/>
              <w:divBdr>
                <w:top w:val="none" w:sz="0" w:space="0" w:color="auto"/>
                <w:left w:val="none" w:sz="0" w:space="0" w:color="auto"/>
                <w:bottom w:val="none" w:sz="0" w:space="0" w:color="auto"/>
                <w:right w:val="none" w:sz="0" w:space="0" w:color="auto"/>
              </w:divBdr>
            </w:div>
            <w:div w:id="294150101">
              <w:marLeft w:val="0"/>
              <w:marRight w:val="0"/>
              <w:marTop w:val="0"/>
              <w:marBottom w:val="0"/>
              <w:divBdr>
                <w:top w:val="none" w:sz="0" w:space="0" w:color="auto"/>
                <w:left w:val="none" w:sz="0" w:space="0" w:color="auto"/>
                <w:bottom w:val="none" w:sz="0" w:space="0" w:color="auto"/>
                <w:right w:val="none" w:sz="0" w:space="0" w:color="auto"/>
              </w:divBdr>
            </w:div>
            <w:div w:id="294151839">
              <w:marLeft w:val="0"/>
              <w:marRight w:val="0"/>
              <w:marTop w:val="0"/>
              <w:marBottom w:val="0"/>
              <w:divBdr>
                <w:top w:val="none" w:sz="0" w:space="0" w:color="auto"/>
                <w:left w:val="none" w:sz="0" w:space="0" w:color="auto"/>
                <w:bottom w:val="none" w:sz="0" w:space="0" w:color="auto"/>
                <w:right w:val="none" w:sz="0" w:space="0" w:color="auto"/>
              </w:divBdr>
            </w:div>
            <w:div w:id="294153044">
              <w:marLeft w:val="0"/>
              <w:marRight w:val="0"/>
              <w:marTop w:val="0"/>
              <w:marBottom w:val="0"/>
              <w:divBdr>
                <w:top w:val="none" w:sz="0" w:space="0" w:color="auto"/>
                <w:left w:val="none" w:sz="0" w:space="0" w:color="auto"/>
                <w:bottom w:val="none" w:sz="0" w:space="0" w:color="auto"/>
                <w:right w:val="none" w:sz="0" w:space="0" w:color="auto"/>
              </w:divBdr>
            </w:div>
            <w:div w:id="294156024">
              <w:marLeft w:val="0"/>
              <w:marRight w:val="0"/>
              <w:marTop w:val="0"/>
              <w:marBottom w:val="0"/>
              <w:divBdr>
                <w:top w:val="none" w:sz="0" w:space="0" w:color="auto"/>
                <w:left w:val="none" w:sz="0" w:space="0" w:color="auto"/>
                <w:bottom w:val="none" w:sz="0" w:space="0" w:color="auto"/>
                <w:right w:val="none" w:sz="0" w:space="0" w:color="auto"/>
              </w:divBdr>
            </w:div>
            <w:div w:id="294156152">
              <w:marLeft w:val="0"/>
              <w:marRight w:val="0"/>
              <w:marTop w:val="0"/>
              <w:marBottom w:val="0"/>
              <w:divBdr>
                <w:top w:val="none" w:sz="0" w:space="0" w:color="auto"/>
                <w:left w:val="none" w:sz="0" w:space="0" w:color="auto"/>
                <w:bottom w:val="none" w:sz="0" w:space="0" w:color="auto"/>
                <w:right w:val="none" w:sz="0" w:space="0" w:color="auto"/>
              </w:divBdr>
            </w:div>
          </w:divsChild>
        </w:div>
        <w:div w:id="294139593">
          <w:marLeft w:val="0"/>
          <w:marRight w:val="0"/>
          <w:marTop w:val="0"/>
          <w:marBottom w:val="0"/>
          <w:divBdr>
            <w:top w:val="none" w:sz="0" w:space="0" w:color="auto"/>
            <w:left w:val="none" w:sz="0" w:space="0" w:color="auto"/>
            <w:bottom w:val="none" w:sz="0" w:space="0" w:color="auto"/>
            <w:right w:val="none" w:sz="0" w:space="0" w:color="auto"/>
          </w:divBdr>
          <w:divsChild>
            <w:div w:id="294138010">
              <w:marLeft w:val="0"/>
              <w:marRight w:val="0"/>
              <w:marTop w:val="0"/>
              <w:marBottom w:val="0"/>
              <w:divBdr>
                <w:top w:val="none" w:sz="0" w:space="0" w:color="auto"/>
                <w:left w:val="none" w:sz="0" w:space="0" w:color="auto"/>
                <w:bottom w:val="none" w:sz="0" w:space="0" w:color="auto"/>
                <w:right w:val="none" w:sz="0" w:space="0" w:color="auto"/>
              </w:divBdr>
            </w:div>
            <w:div w:id="294138172">
              <w:marLeft w:val="0"/>
              <w:marRight w:val="0"/>
              <w:marTop w:val="0"/>
              <w:marBottom w:val="0"/>
              <w:divBdr>
                <w:top w:val="none" w:sz="0" w:space="0" w:color="auto"/>
                <w:left w:val="none" w:sz="0" w:space="0" w:color="auto"/>
                <w:bottom w:val="none" w:sz="0" w:space="0" w:color="auto"/>
                <w:right w:val="none" w:sz="0" w:space="0" w:color="auto"/>
              </w:divBdr>
            </w:div>
            <w:div w:id="294138622">
              <w:marLeft w:val="0"/>
              <w:marRight w:val="0"/>
              <w:marTop w:val="0"/>
              <w:marBottom w:val="0"/>
              <w:divBdr>
                <w:top w:val="none" w:sz="0" w:space="0" w:color="auto"/>
                <w:left w:val="none" w:sz="0" w:space="0" w:color="auto"/>
                <w:bottom w:val="none" w:sz="0" w:space="0" w:color="auto"/>
                <w:right w:val="none" w:sz="0" w:space="0" w:color="auto"/>
              </w:divBdr>
            </w:div>
            <w:div w:id="294139227">
              <w:marLeft w:val="0"/>
              <w:marRight w:val="0"/>
              <w:marTop w:val="0"/>
              <w:marBottom w:val="0"/>
              <w:divBdr>
                <w:top w:val="none" w:sz="0" w:space="0" w:color="auto"/>
                <w:left w:val="none" w:sz="0" w:space="0" w:color="auto"/>
                <w:bottom w:val="none" w:sz="0" w:space="0" w:color="auto"/>
                <w:right w:val="none" w:sz="0" w:space="0" w:color="auto"/>
              </w:divBdr>
            </w:div>
            <w:div w:id="294139399">
              <w:marLeft w:val="0"/>
              <w:marRight w:val="0"/>
              <w:marTop w:val="0"/>
              <w:marBottom w:val="0"/>
              <w:divBdr>
                <w:top w:val="none" w:sz="0" w:space="0" w:color="auto"/>
                <w:left w:val="none" w:sz="0" w:space="0" w:color="auto"/>
                <w:bottom w:val="none" w:sz="0" w:space="0" w:color="auto"/>
                <w:right w:val="none" w:sz="0" w:space="0" w:color="auto"/>
              </w:divBdr>
            </w:div>
            <w:div w:id="294139541">
              <w:marLeft w:val="0"/>
              <w:marRight w:val="0"/>
              <w:marTop w:val="0"/>
              <w:marBottom w:val="0"/>
              <w:divBdr>
                <w:top w:val="none" w:sz="0" w:space="0" w:color="auto"/>
                <w:left w:val="none" w:sz="0" w:space="0" w:color="auto"/>
                <w:bottom w:val="none" w:sz="0" w:space="0" w:color="auto"/>
                <w:right w:val="none" w:sz="0" w:space="0" w:color="auto"/>
              </w:divBdr>
            </w:div>
            <w:div w:id="294139993">
              <w:marLeft w:val="0"/>
              <w:marRight w:val="0"/>
              <w:marTop w:val="0"/>
              <w:marBottom w:val="0"/>
              <w:divBdr>
                <w:top w:val="none" w:sz="0" w:space="0" w:color="auto"/>
                <w:left w:val="none" w:sz="0" w:space="0" w:color="auto"/>
                <w:bottom w:val="none" w:sz="0" w:space="0" w:color="auto"/>
                <w:right w:val="none" w:sz="0" w:space="0" w:color="auto"/>
              </w:divBdr>
            </w:div>
            <w:div w:id="294140215">
              <w:marLeft w:val="0"/>
              <w:marRight w:val="0"/>
              <w:marTop w:val="0"/>
              <w:marBottom w:val="0"/>
              <w:divBdr>
                <w:top w:val="none" w:sz="0" w:space="0" w:color="auto"/>
                <w:left w:val="none" w:sz="0" w:space="0" w:color="auto"/>
                <w:bottom w:val="none" w:sz="0" w:space="0" w:color="auto"/>
                <w:right w:val="none" w:sz="0" w:space="0" w:color="auto"/>
              </w:divBdr>
            </w:div>
            <w:div w:id="294140225">
              <w:marLeft w:val="0"/>
              <w:marRight w:val="0"/>
              <w:marTop w:val="0"/>
              <w:marBottom w:val="0"/>
              <w:divBdr>
                <w:top w:val="none" w:sz="0" w:space="0" w:color="auto"/>
                <w:left w:val="none" w:sz="0" w:space="0" w:color="auto"/>
                <w:bottom w:val="none" w:sz="0" w:space="0" w:color="auto"/>
                <w:right w:val="none" w:sz="0" w:space="0" w:color="auto"/>
              </w:divBdr>
            </w:div>
            <w:div w:id="294140562">
              <w:marLeft w:val="0"/>
              <w:marRight w:val="0"/>
              <w:marTop w:val="0"/>
              <w:marBottom w:val="0"/>
              <w:divBdr>
                <w:top w:val="none" w:sz="0" w:space="0" w:color="auto"/>
                <w:left w:val="none" w:sz="0" w:space="0" w:color="auto"/>
                <w:bottom w:val="none" w:sz="0" w:space="0" w:color="auto"/>
                <w:right w:val="none" w:sz="0" w:space="0" w:color="auto"/>
              </w:divBdr>
            </w:div>
            <w:div w:id="294140591">
              <w:marLeft w:val="0"/>
              <w:marRight w:val="0"/>
              <w:marTop w:val="0"/>
              <w:marBottom w:val="0"/>
              <w:divBdr>
                <w:top w:val="none" w:sz="0" w:space="0" w:color="auto"/>
                <w:left w:val="none" w:sz="0" w:space="0" w:color="auto"/>
                <w:bottom w:val="none" w:sz="0" w:space="0" w:color="auto"/>
                <w:right w:val="none" w:sz="0" w:space="0" w:color="auto"/>
              </w:divBdr>
            </w:div>
            <w:div w:id="294140634">
              <w:marLeft w:val="0"/>
              <w:marRight w:val="0"/>
              <w:marTop w:val="0"/>
              <w:marBottom w:val="0"/>
              <w:divBdr>
                <w:top w:val="none" w:sz="0" w:space="0" w:color="auto"/>
                <w:left w:val="none" w:sz="0" w:space="0" w:color="auto"/>
                <w:bottom w:val="none" w:sz="0" w:space="0" w:color="auto"/>
                <w:right w:val="none" w:sz="0" w:space="0" w:color="auto"/>
              </w:divBdr>
            </w:div>
            <w:div w:id="294140668">
              <w:marLeft w:val="0"/>
              <w:marRight w:val="0"/>
              <w:marTop w:val="0"/>
              <w:marBottom w:val="0"/>
              <w:divBdr>
                <w:top w:val="none" w:sz="0" w:space="0" w:color="auto"/>
                <w:left w:val="none" w:sz="0" w:space="0" w:color="auto"/>
                <w:bottom w:val="none" w:sz="0" w:space="0" w:color="auto"/>
                <w:right w:val="none" w:sz="0" w:space="0" w:color="auto"/>
              </w:divBdr>
            </w:div>
            <w:div w:id="294140791">
              <w:marLeft w:val="0"/>
              <w:marRight w:val="0"/>
              <w:marTop w:val="0"/>
              <w:marBottom w:val="0"/>
              <w:divBdr>
                <w:top w:val="none" w:sz="0" w:space="0" w:color="auto"/>
                <w:left w:val="none" w:sz="0" w:space="0" w:color="auto"/>
                <w:bottom w:val="none" w:sz="0" w:space="0" w:color="auto"/>
                <w:right w:val="none" w:sz="0" w:space="0" w:color="auto"/>
              </w:divBdr>
            </w:div>
            <w:div w:id="294141439">
              <w:marLeft w:val="0"/>
              <w:marRight w:val="0"/>
              <w:marTop w:val="0"/>
              <w:marBottom w:val="0"/>
              <w:divBdr>
                <w:top w:val="none" w:sz="0" w:space="0" w:color="auto"/>
                <w:left w:val="none" w:sz="0" w:space="0" w:color="auto"/>
                <w:bottom w:val="none" w:sz="0" w:space="0" w:color="auto"/>
                <w:right w:val="none" w:sz="0" w:space="0" w:color="auto"/>
              </w:divBdr>
            </w:div>
            <w:div w:id="294142264">
              <w:marLeft w:val="0"/>
              <w:marRight w:val="0"/>
              <w:marTop w:val="0"/>
              <w:marBottom w:val="0"/>
              <w:divBdr>
                <w:top w:val="none" w:sz="0" w:space="0" w:color="auto"/>
                <w:left w:val="none" w:sz="0" w:space="0" w:color="auto"/>
                <w:bottom w:val="none" w:sz="0" w:space="0" w:color="auto"/>
                <w:right w:val="none" w:sz="0" w:space="0" w:color="auto"/>
              </w:divBdr>
            </w:div>
            <w:div w:id="294142516">
              <w:marLeft w:val="0"/>
              <w:marRight w:val="0"/>
              <w:marTop w:val="0"/>
              <w:marBottom w:val="0"/>
              <w:divBdr>
                <w:top w:val="none" w:sz="0" w:space="0" w:color="auto"/>
                <w:left w:val="none" w:sz="0" w:space="0" w:color="auto"/>
                <w:bottom w:val="none" w:sz="0" w:space="0" w:color="auto"/>
                <w:right w:val="none" w:sz="0" w:space="0" w:color="auto"/>
              </w:divBdr>
            </w:div>
            <w:div w:id="294142546">
              <w:marLeft w:val="0"/>
              <w:marRight w:val="0"/>
              <w:marTop w:val="0"/>
              <w:marBottom w:val="0"/>
              <w:divBdr>
                <w:top w:val="none" w:sz="0" w:space="0" w:color="auto"/>
                <w:left w:val="none" w:sz="0" w:space="0" w:color="auto"/>
                <w:bottom w:val="none" w:sz="0" w:space="0" w:color="auto"/>
                <w:right w:val="none" w:sz="0" w:space="0" w:color="auto"/>
              </w:divBdr>
            </w:div>
            <w:div w:id="294142646">
              <w:marLeft w:val="0"/>
              <w:marRight w:val="0"/>
              <w:marTop w:val="0"/>
              <w:marBottom w:val="0"/>
              <w:divBdr>
                <w:top w:val="none" w:sz="0" w:space="0" w:color="auto"/>
                <w:left w:val="none" w:sz="0" w:space="0" w:color="auto"/>
                <w:bottom w:val="none" w:sz="0" w:space="0" w:color="auto"/>
                <w:right w:val="none" w:sz="0" w:space="0" w:color="auto"/>
              </w:divBdr>
            </w:div>
            <w:div w:id="294142945">
              <w:marLeft w:val="0"/>
              <w:marRight w:val="0"/>
              <w:marTop w:val="0"/>
              <w:marBottom w:val="0"/>
              <w:divBdr>
                <w:top w:val="none" w:sz="0" w:space="0" w:color="auto"/>
                <w:left w:val="none" w:sz="0" w:space="0" w:color="auto"/>
                <w:bottom w:val="none" w:sz="0" w:space="0" w:color="auto"/>
                <w:right w:val="none" w:sz="0" w:space="0" w:color="auto"/>
              </w:divBdr>
            </w:div>
            <w:div w:id="294143033">
              <w:marLeft w:val="0"/>
              <w:marRight w:val="0"/>
              <w:marTop w:val="0"/>
              <w:marBottom w:val="0"/>
              <w:divBdr>
                <w:top w:val="none" w:sz="0" w:space="0" w:color="auto"/>
                <w:left w:val="none" w:sz="0" w:space="0" w:color="auto"/>
                <w:bottom w:val="none" w:sz="0" w:space="0" w:color="auto"/>
                <w:right w:val="none" w:sz="0" w:space="0" w:color="auto"/>
              </w:divBdr>
            </w:div>
            <w:div w:id="294143546">
              <w:marLeft w:val="0"/>
              <w:marRight w:val="0"/>
              <w:marTop w:val="0"/>
              <w:marBottom w:val="0"/>
              <w:divBdr>
                <w:top w:val="none" w:sz="0" w:space="0" w:color="auto"/>
                <w:left w:val="none" w:sz="0" w:space="0" w:color="auto"/>
                <w:bottom w:val="none" w:sz="0" w:space="0" w:color="auto"/>
                <w:right w:val="none" w:sz="0" w:space="0" w:color="auto"/>
              </w:divBdr>
            </w:div>
            <w:div w:id="294143692">
              <w:marLeft w:val="0"/>
              <w:marRight w:val="0"/>
              <w:marTop w:val="0"/>
              <w:marBottom w:val="0"/>
              <w:divBdr>
                <w:top w:val="none" w:sz="0" w:space="0" w:color="auto"/>
                <w:left w:val="none" w:sz="0" w:space="0" w:color="auto"/>
                <w:bottom w:val="none" w:sz="0" w:space="0" w:color="auto"/>
                <w:right w:val="none" w:sz="0" w:space="0" w:color="auto"/>
              </w:divBdr>
            </w:div>
            <w:div w:id="294144353">
              <w:marLeft w:val="0"/>
              <w:marRight w:val="0"/>
              <w:marTop w:val="0"/>
              <w:marBottom w:val="0"/>
              <w:divBdr>
                <w:top w:val="none" w:sz="0" w:space="0" w:color="auto"/>
                <w:left w:val="none" w:sz="0" w:space="0" w:color="auto"/>
                <w:bottom w:val="none" w:sz="0" w:space="0" w:color="auto"/>
                <w:right w:val="none" w:sz="0" w:space="0" w:color="auto"/>
              </w:divBdr>
            </w:div>
            <w:div w:id="294144486">
              <w:marLeft w:val="0"/>
              <w:marRight w:val="0"/>
              <w:marTop w:val="0"/>
              <w:marBottom w:val="0"/>
              <w:divBdr>
                <w:top w:val="none" w:sz="0" w:space="0" w:color="auto"/>
                <w:left w:val="none" w:sz="0" w:space="0" w:color="auto"/>
                <w:bottom w:val="none" w:sz="0" w:space="0" w:color="auto"/>
                <w:right w:val="none" w:sz="0" w:space="0" w:color="auto"/>
              </w:divBdr>
            </w:div>
            <w:div w:id="294144630">
              <w:marLeft w:val="0"/>
              <w:marRight w:val="0"/>
              <w:marTop w:val="0"/>
              <w:marBottom w:val="0"/>
              <w:divBdr>
                <w:top w:val="none" w:sz="0" w:space="0" w:color="auto"/>
                <w:left w:val="none" w:sz="0" w:space="0" w:color="auto"/>
                <w:bottom w:val="none" w:sz="0" w:space="0" w:color="auto"/>
                <w:right w:val="none" w:sz="0" w:space="0" w:color="auto"/>
              </w:divBdr>
            </w:div>
            <w:div w:id="294144818">
              <w:marLeft w:val="0"/>
              <w:marRight w:val="0"/>
              <w:marTop w:val="0"/>
              <w:marBottom w:val="0"/>
              <w:divBdr>
                <w:top w:val="none" w:sz="0" w:space="0" w:color="auto"/>
                <w:left w:val="none" w:sz="0" w:space="0" w:color="auto"/>
                <w:bottom w:val="none" w:sz="0" w:space="0" w:color="auto"/>
                <w:right w:val="none" w:sz="0" w:space="0" w:color="auto"/>
              </w:divBdr>
            </w:div>
            <w:div w:id="294145070">
              <w:marLeft w:val="0"/>
              <w:marRight w:val="0"/>
              <w:marTop w:val="0"/>
              <w:marBottom w:val="0"/>
              <w:divBdr>
                <w:top w:val="none" w:sz="0" w:space="0" w:color="auto"/>
                <w:left w:val="none" w:sz="0" w:space="0" w:color="auto"/>
                <w:bottom w:val="none" w:sz="0" w:space="0" w:color="auto"/>
                <w:right w:val="none" w:sz="0" w:space="0" w:color="auto"/>
              </w:divBdr>
            </w:div>
            <w:div w:id="294145131">
              <w:marLeft w:val="0"/>
              <w:marRight w:val="0"/>
              <w:marTop w:val="0"/>
              <w:marBottom w:val="0"/>
              <w:divBdr>
                <w:top w:val="none" w:sz="0" w:space="0" w:color="auto"/>
                <w:left w:val="none" w:sz="0" w:space="0" w:color="auto"/>
                <w:bottom w:val="none" w:sz="0" w:space="0" w:color="auto"/>
                <w:right w:val="none" w:sz="0" w:space="0" w:color="auto"/>
              </w:divBdr>
            </w:div>
            <w:div w:id="294145361">
              <w:marLeft w:val="0"/>
              <w:marRight w:val="0"/>
              <w:marTop w:val="0"/>
              <w:marBottom w:val="0"/>
              <w:divBdr>
                <w:top w:val="none" w:sz="0" w:space="0" w:color="auto"/>
                <w:left w:val="none" w:sz="0" w:space="0" w:color="auto"/>
                <w:bottom w:val="none" w:sz="0" w:space="0" w:color="auto"/>
                <w:right w:val="none" w:sz="0" w:space="0" w:color="auto"/>
              </w:divBdr>
            </w:div>
            <w:div w:id="294145661">
              <w:marLeft w:val="0"/>
              <w:marRight w:val="0"/>
              <w:marTop w:val="0"/>
              <w:marBottom w:val="0"/>
              <w:divBdr>
                <w:top w:val="none" w:sz="0" w:space="0" w:color="auto"/>
                <w:left w:val="none" w:sz="0" w:space="0" w:color="auto"/>
                <w:bottom w:val="none" w:sz="0" w:space="0" w:color="auto"/>
                <w:right w:val="none" w:sz="0" w:space="0" w:color="auto"/>
              </w:divBdr>
            </w:div>
            <w:div w:id="294145793">
              <w:marLeft w:val="0"/>
              <w:marRight w:val="0"/>
              <w:marTop w:val="0"/>
              <w:marBottom w:val="0"/>
              <w:divBdr>
                <w:top w:val="none" w:sz="0" w:space="0" w:color="auto"/>
                <w:left w:val="none" w:sz="0" w:space="0" w:color="auto"/>
                <w:bottom w:val="none" w:sz="0" w:space="0" w:color="auto"/>
                <w:right w:val="none" w:sz="0" w:space="0" w:color="auto"/>
              </w:divBdr>
            </w:div>
            <w:div w:id="294146455">
              <w:marLeft w:val="0"/>
              <w:marRight w:val="0"/>
              <w:marTop w:val="0"/>
              <w:marBottom w:val="0"/>
              <w:divBdr>
                <w:top w:val="none" w:sz="0" w:space="0" w:color="auto"/>
                <w:left w:val="none" w:sz="0" w:space="0" w:color="auto"/>
                <w:bottom w:val="none" w:sz="0" w:space="0" w:color="auto"/>
                <w:right w:val="none" w:sz="0" w:space="0" w:color="auto"/>
              </w:divBdr>
            </w:div>
            <w:div w:id="294146635">
              <w:marLeft w:val="0"/>
              <w:marRight w:val="0"/>
              <w:marTop w:val="0"/>
              <w:marBottom w:val="0"/>
              <w:divBdr>
                <w:top w:val="none" w:sz="0" w:space="0" w:color="auto"/>
                <w:left w:val="none" w:sz="0" w:space="0" w:color="auto"/>
                <w:bottom w:val="none" w:sz="0" w:space="0" w:color="auto"/>
                <w:right w:val="none" w:sz="0" w:space="0" w:color="auto"/>
              </w:divBdr>
            </w:div>
            <w:div w:id="294147416">
              <w:marLeft w:val="0"/>
              <w:marRight w:val="0"/>
              <w:marTop w:val="0"/>
              <w:marBottom w:val="0"/>
              <w:divBdr>
                <w:top w:val="none" w:sz="0" w:space="0" w:color="auto"/>
                <w:left w:val="none" w:sz="0" w:space="0" w:color="auto"/>
                <w:bottom w:val="none" w:sz="0" w:space="0" w:color="auto"/>
                <w:right w:val="none" w:sz="0" w:space="0" w:color="auto"/>
              </w:divBdr>
            </w:div>
            <w:div w:id="294147648">
              <w:marLeft w:val="0"/>
              <w:marRight w:val="0"/>
              <w:marTop w:val="0"/>
              <w:marBottom w:val="0"/>
              <w:divBdr>
                <w:top w:val="none" w:sz="0" w:space="0" w:color="auto"/>
                <w:left w:val="none" w:sz="0" w:space="0" w:color="auto"/>
                <w:bottom w:val="none" w:sz="0" w:space="0" w:color="auto"/>
                <w:right w:val="none" w:sz="0" w:space="0" w:color="auto"/>
              </w:divBdr>
            </w:div>
            <w:div w:id="294148000">
              <w:marLeft w:val="0"/>
              <w:marRight w:val="0"/>
              <w:marTop w:val="0"/>
              <w:marBottom w:val="0"/>
              <w:divBdr>
                <w:top w:val="none" w:sz="0" w:space="0" w:color="auto"/>
                <w:left w:val="none" w:sz="0" w:space="0" w:color="auto"/>
                <w:bottom w:val="none" w:sz="0" w:space="0" w:color="auto"/>
                <w:right w:val="none" w:sz="0" w:space="0" w:color="auto"/>
              </w:divBdr>
            </w:div>
            <w:div w:id="294148080">
              <w:marLeft w:val="0"/>
              <w:marRight w:val="0"/>
              <w:marTop w:val="0"/>
              <w:marBottom w:val="0"/>
              <w:divBdr>
                <w:top w:val="none" w:sz="0" w:space="0" w:color="auto"/>
                <w:left w:val="none" w:sz="0" w:space="0" w:color="auto"/>
                <w:bottom w:val="none" w:sz="0" w:space="0" w:color="auto"/>
                <w:right w:val="none" w:sz="0" w:space="0" w:color="auto"/>
              </w:divBdr>
            </w:div>
            <w:div w:id="294148155">
              <w:marLeft w:val="0"/>
              <w:marRight w:val="0"/>
              <w:marTop w:val="0"/>
              <w:marBottom w:val="0"/>
              <w:divBdr>
                <w:top w:val="none" w:sz="0" w:space="0" w:color="auto"/>
                <w:left w:val="none" w:sz="0" w:space="0" w:color="auto"/>
                <w:bottom w:val="none" w:sz="0" w:space="0" w:color="auto"/>
                <w:right w:val="none" w:sz="0" w:space="0" w:color="auto"/>
              </w:divBdr>
            </w:div>
            <w:div w:id="294148405">
              <w:marLeft w:val="0"/>
              <w:marRight w:val="0"/>
              <w:marTop w:val="0"/>
              <w:marBottom w:val="0"/>
              <w:divBdr>
                <w:top w:val="none" w:sz="0" w:space="0" w:color="auto"/>
                <w:left w:val="none" w:sz="0" w:space="0" w:color="auto"/>
                <w:bottom w:val="none" w:sz="0" w:space="0" w:color="auto"/>
                <w:right w:val="none" w:sz="0" w:space="0" w:color="auto"/>
              </w:divBdr>
            </w:div>
            <w:div w:id="294148492">
              <w:marLeft w:val="0"/>
              <w:marRight w:val="0"/>
              <w:marTop w:val="0"/>
              <w:marBottom w:val="0"/>
              <w:divBdr>
                <w:top w:val="none" w:sz="0" w:space="0" w:color="auto"/>
                <w:left w:val="none" w:sz="0" w:space="0" w:color="auto"/>
                <w:bottom w:val="none" w:sz="0" w:space="0" w:color="auto"/>
                <w:right w:val="none" w:sz="0" w:space="0" w:color="auto"/>
              </w:divBdr>
            </w:div>
            <w:div w:id="294149198">
              <w:marLeft w:val="0"/>
              <w:marRight w:val="0"/>
              <w:marTop w:val="0"/>
              <w:marBottom w:val="0"/>
              <w:divBdr>
                <w:top w:val="none" w:sz="0" w:space="0" w:color="auto"/>
                <w:left w:val="none" w:sz="0" w:space="0" w:color="auto"/>
                <w:bottom w:val="none" w:sz="0" w:space="0" w:color="auto"/>
                <w:right w:val="none" w:sz="0" w:space="0" w:color="auto"/>
              </w:divBdr>
            </w:div>
            <w:div w:id="294149252">
              <w:marLeft w:val="0"/>
              <w:marRight w:val="0"/>
              <w:marTop w:val="0"/>
              <w:marBottom w:val="0"/>
              <w:divBdr>
                <w:top w:val="none" w:sz="0" w:space="0" w:color="auto"/>
                <w:left w:val="none" w:sz="0" w:space="0" w:color="auto"/>
                <w:bottom w:val="none" w:sz="0" w:space="0" w:color="auto"/>
                <w:right w:val="none" w:sz="0" w:space="0" w:color="auto"/>
              </w:divBdr>
            </w:div>
            <w:div w:id="294149428">
              <w:marLeft w:val="0"/>
              <w:marRight w:val="0"/>
              <w:marTop w:val="0"/>
              <w:marBottom w:val="0"/>
              <w:divBdr>
                <w:top w:val="none" w:sz="0" w:space="0" w:color="auto"/>
                <w:left w:val="none" w:sz="0" w:space="0" w:color="auto"/>
                <w:bottom w:val="none" w:sz="0" w:space="0" w:color="auto"/>
                <w:right w:val="none" w:sz="0" w:space="0" w:color="auto"/>
              </w:divBdr>
            </w:div>
            <w:div w:id="294149464">
              <w:marLeft w:val="0"/>
              <w:marRight w:val="0"/>
              <w:marTop w:val="0"/>
              <w:marBottom w:val="0"/>
              <w:divBdr>
                <w:top w:val="none" w:sz="0" w:space="0" w:color="auto"/>
                <w:left w:val="none" w:sz="0" w:space="0" w:color="auto"/>
                <w:bottom w:val="none" w:sz="0" w:space="0" w:color="auto"/>
                <w:right w:val="none" w:sz="0" w:space="0" w:color="auto"/>
              </w:divBdr>
            </w:div>
            <w:div w:id="294149799">
              <w:marLeft w:val="0"/>
              <w:marRight w:val="0"/>
              <w:marTop w:val="0"/>
              <w:marBottom w:val="0"/>
              <w:divBdr>
                <w:top w:val="none" w:sz="0" w:space="0" w:color="auto"/>
                <w:left w:val="none" w:sz="0" w:space="0" w:color="auto"/>
                <w:bottom w:val="none" w:sz="0" w:space="0" w:color="auto"/>
                <w:right w:val="none" w:sz="0" w:space="0" w:color="auto"/>
              </w:divBdr>
            </w:div>
            <w:div w:id="294150043">
              <w:marLeft w:val="0"/>
              <w:marRight w:val="0"/>
              <w:marTop w:val="0"/>
              <w:marBottom w:val="0"/>
              <w:divBdr>
                <w:top w:val="none" w:sz="0" w:space="0" w:color="auto"/>
                <w:left w:val="none" w:sz="0" w:space="0" w:color="auto"/>
                <w:bottom w:val="none" w:sz="0" w:space="0" w:color="auto"/>
                <w:right w:val="none" w:sz="0" w:space="0" w:color="auto"/>
              </w:divBdr>
            </w:div>
            <w:div w:id="294150441">
              <w:marLeft w:val="0"/>
              <w:marRight w:val="0"/>
              <w:marTop w:val="0"/>
              <w:marBottom w:val="0"/>
              <w:divBdr>
                <w:top w:val="none" w:sz="0" w:space="0" w:color="auto"/>
                <w:left w:val="none" w:sz="0" w:space="0" w:color="auto"/>
                <w:bottom w:val="none" w:sz="0" w:space="0" w:color="auto"/>
                <w:right w:val="none" w:sz="0" w:space="0" w:color="auto"/>
              </w:divBdr>
            </w:div>
            <w:div w:id="294150719">
              <w:marLeft w:val="0"/>
              <w:marRight w:val="0"/>
              <w:marTop w:val="0"/>
              <w:marBottom w:val="0"/>
              <w:divBdr>
                <w:top w:val="none" w:sz="0" w:space="0" w:color="auto"/>
                <w:left w:val="none" w:sz="0" w:space="0" w:color="auto"/>
                <w:bottom w:val="none" w:sz="0" w:space="0" w:color="auto"/>
                <w:right w:val="none" w:sz="0" w:space="0" w:color="auto"/>
              </w:divBdr>
            </w:div>
            <w:div w:id="294150768">
              <w:marLeft w:val="0"/>
              <w:marRight w:val="0"/>
              <w:marTop w:val="0"/>
              <w:marBottom w:val="0"/>
              <w:divBdr>
                <w:top w:val="none" w:sz="0" w:space="0" w:color="auto"/>
                <w:left w:val="none" w:sz="0" w:space="0" w:color="auto"/>
                <w:bottom w:val="none" w:sz="0" w:space="0" w:color="auto"/>
                <w:right w:val="none" w:sz="0" w:space="0" w:color="auto"/>
              </w:divBdr>
            </w:div>
            <w:div w:id="294150882">
              <w:marLeft w:val="0"/>
              <w:marRight w:val="0"/>
              <w:marTop w:val="0"/>
              <w:marBottom w:val="0"/>
              <w:divBdr>
                <w:top w:val="none" w:sz="0" w:space="0" w:color="auto"/>
                <w:left w:val="none" w:sz="0" w:space="0" w:color="auto"/>
                <w:bottom w:val="none" w:sz="0" w:space="0" w:color="auto"/>
                <w:right w:val="none" w:sz="0" w:space="0" w:color="auto"/>
              </w:divBdr>
            </w:div>
            <w:div w:id="294150988">
              <w:marLeft w:val="0"/>
              <w:marRight w:val="0"/>
              <w:marTop w:val="0"/>
              <w:marBottom w:val="0"/>
              <w:divBdr>
                <w:top w:val="none" w:sz="0" w:space="0" w:color="auto"/>
                <w:left w:val="none" w:sz="0" w:space="0" w:color="auto"/>
                <w:bottom w:val="none" w:sz="0" w:space="0" w:color="auto"/>
                <w:right w:val="none" w:sz="0" w:space="0" w:color="auto"/>
              </w:divBdr>
            </w:div>
            <w:div w:id="294151085">
              <w:marLeft w:val="0"/>
              <w:marRight w:val="0"/>
              <w:marTop w:val="0"/>
              <w:marBottom w:val="0"/>
              <w:divBdr>
                <w:top w:val="none" w:sz="0" w:space="0" w:color="auto"/>
                <w:left w:val="none" w:sz="0" w:space="0" w:color="auto"/>
                <w:bottom w:val="none" w:sz="0" w:space="0" w:color="auto"/>
                <w:right w:val="none" w:sz="0" w:space="0" w:color="auto"/>
              </w:divBdr>
            </w:div>
            <w:div w:id="294151325">
              <w:marLeft w:val="0"/>
              <w:marRight w:val="0"/>
              <w:marTop w:val="0"/>
              <w:marBottom w:val="0"/>
              <w:divBdr>
                <w:top w:val="none" w:sz="0" w:space="0" w:color="auto"/>
                <w:left w:val="none" w:sz="0" w:space="0" w:color="auto"/>
                <w:bottom w:val="none" w:sz="0" w:space="0" w:color="auto"/>
                <w:right w:val="none" w:sz="0" w:space="0" w:color="auto"/>
              </w:divBdr>
            </w:div>
            <w:div w:id="294151478">
              <w:marLeft w:val="0"/>
              <w:marRight w:val="0"/>
              <w:marTop w:val="0"/>
              <w:marBottom w:val="0"/>
              <w:divBdr>
                <w:top w:val="none" w:sz="0" w:space="0" w:color="auto"/>
                <w:left w:val="none" w:sz="0" w:space="0" w:color="auto"/>
                <w:bottom w:val="none" w:sz="0" w:space="0" w:color="auto"/>
                <w:right w:val="none" w:sz="0" w:space="0" w:color="auto"/>
              </w:divBdr>
            </w:div>
            <w:div w:id="294151760">
              <w:marLeft w:val="0"/>
              <w:marRight w:val="0"/>
              <w:marTop w:val="0"/>
              <w:marBottom w:val="0"/>
              <w:divBdr>
                <w:top w:val="none" w:sz="0" w:space="0" w:color="auto"/>
                <w:left w:val="none" w:sz="0" w:space="0" w:color="auto"/>
                <w:bottom w:val="none" w:sz="0" w:space="0" w:color="auto"/>
                <w:right w:val="none" w:sz="0" w:space="0" w:color="auto"/>
              </w:divBdr>
            </w:div>
            <w:div w:id="294152015">
              <w:marLeft w:val="0"/>
              <w:marRight w:val="0"/>
              <w:marTop w:val="0"/>
              <w:marBottom w:val="0"/>
              <w:divBdr>
                <w:top w:val="none" w:sz="0" w:space="0" w:color="auto"/>
                <w:left w:val="none" w:sz="0" w:space="0" w:color="auto"/>
                <w:bottom w:val="none" w:sz="0" w:space="0" w:color="auto"/>
                <w:right w:val="none" w:sz="0" w:space="0" w:color="auto"/>
              </w:divBdr>
            </w:div>
            <w:div w:id="294152056">
              <w:marLeft w:val="0"/>
              <w:marRight w:val="0"/>
              <w:marTop w:val="0"/>
              <w:marBottom w:val="0"/>
              <w:divBdr>
                <w:top w:val="none" w:sz="0" w:space="0" w:color="auto"/>
                <w:left w:val="none" w:sz="0" w:space="0" w:color="auto"/>
                <w:bottom w:val="none" w:sz="0" w:space="0" w:color="auto"/>
                <w:right w:val="none" w:sz="0" w:space="0" w:color="auto"/>
              </w:divBdr>
            </w:div>
            <w:div w:id="294153095">
              <w:marLeft w:val="0"/>
              <w:marRight w:val="0"/>
              <w:marTop w:val="0"/>
              <w:marBottom w:val="0"/>
              <w:divBdr>
                <w:top w:val="none" w:sz="0" w:space="0" w:color="auto"/>
                <w:left w:val="none" w:sz="0" w:space="0" w:color="auto"/>
                <w:bottom w:val="none" w:sz="0" w:space="0" w:color="auto"/>
                <w:right w:val="none" w:sz="0" w:space="0" w:color="auto"/>
              </w:divBdr>
            </w:div>
            <w:div w:id="294154107">
              <w:marLeft w:val="0"/>
              <w:marRight w:val="0"/>
              <w:marTop w:val="0"/>
              <w:marBottom w:val="0"/>
              <w:divBdr>
                <w:top w:val="none" w:sz="0" w:space="0" w:color="auto"/>
                <w:left w:val="none" w:sz="0" w:space="0" w:color="auto"/>
                <w:bottom w:val="none" w:sz="0" w:space="0" w:color="auto"/>
                <w:right w:val="none" w:sz="0" w:space="0" w:color="auto"/>
              </w:divBdr>
            </w:div>
            <w:div w:id="294154971">
              <w:marLeft w:val="0"/>
              <w:marRight w:val="0"/>
              <w:marTop w:val="0"/>
              <w:marBottom w:val="0"/>
              <w:divBdr>
                <w:top w:val="none" w:sz="0" w:space="0" w:color="auto"/>
                <w:left w:val="none" w:sz="0" w:space="0" w:color="auto"/>
                <w:bottom w:val="none" w:sz="0" w:space="0" w:color="auto"/>
                <w:right w:val="none" w:sz="0" w:space="0" w:color="auto"/>
              </w:divBdr>
            </w:div>
            <w:div w:id="294155321">
              <w:marLeft w:val="0"/>
              <w:marRight w:val="0"/>
              <w:marTop w:val="0"/>
              <w:marBottom w:val="0"/>
              <w:divBdr>
                <w:top w:val="none" w:sz="0" w:space="0" w:color="auto"/>
                <w:left w:val="none" w:sz="0" w:space="0" w:color="auto"/>
                <w:bottom w:val="none" w:sz="0" w:space="0" w:color="auto"/>
                <w:right w:val="none" w:sz="0" w:space="0" w:color="auto"/>
              </w:divBdr>
            </w:div>
            <w:div w:id="294156230">
              <w:marLeft w:val="0"/>
              <w:marRight w:val="0"/>
              <w:marTop w:val="0"/>
              <w:marBottom w:val="0"/>
              <w:divBdr>
                <w:top w:val="none" w:sz="0" w:space="0" w:color="auto"/>
                <w:left w:val="none" w:sz="0" w:space="0" w:color="auto"/>
                <w:bottom w:val="none" w:sz="0" w:space="0" w:color="auto"/>
                <w:right w:val="none" w:sz="0" w:space="0" w:color="auto"/>
              </w:divBdr>
            </w:div>
          </w:divsChild>
        </w:div>
        <w:div w:id="294148402">
          <w:marLeft w:val="0"/>
          <w:marRight w:val="0"/>
          <w:marTop w:val="0"/>
          <w:marBottom w:val="0"/>
          <w:divBdr>
            <w:top w:val="none" w:sz="0" w:space="0" w:color="auto"/>
            <w:left w:val="none" w:sz="0" w:space="0" w:color="auto"/>
            <w:bottom w:val="none" w:sz="0" w:space="0" w:color="auto"/>
            <w:right w:val="none" w:sz="0" w:space="0" w:color="auto"/>
          </w:divBdr>
          <w:divsChild>
            <w:div w:id="294138187">
              <w:marLeft w:val="0"/>
              <w:marRight w:val="0"/>
              <w:marTop w:val="0"/>
              <w:marBottom w:val="0"/>
              <w:divBdr>
                <w:top w:val="none" w:sz="0" w:space="0" w:color="auto"/>
                <w:left w:val="none" w:sz="0" w:space="0" w:color="auto"/>
                <w:bottom w:val="none" w:sz="0" w:space="0" w:color="auto"/>
                <w:right w:val="none" w:sz="0" w:space="0" w:color="auto"/>
              </w:divBdr>
            </w:div>
            <w:div w:id="294138328">
              <w:marLeft w:val="0"/>
              <w:marRight w:val="0"/>
              <w:marTop w:val="0"/>
              <w:marBottom w:val="0"/>
              <w:divBdr>
                <w:top w:val="none" w:sz="0" w:space="0" w:color="auto"/>
                <w:left w:val="none" w:sz="0" w:space="0" w:color="auto"/>
                <w:bottom w:val="none" w:sz="0" w:space="0" w:color="auto"/>
                <w:right w:val="none" w:sz="0" w:space="0" w:color="auto"/>
              </w:divBdr>
            </w:div>
            <w:div w:id="294138530">
              <w:marLeft w:val="0"/>
              <w:marRight w:val="0"/>
              <w:marTop w:val="0"/>
              <w:marBottom w:val="0"/>
              <w:divBdr>
                <w:top w:val="none" w:sz="0" w:space="0" w:color="auto"/>
                <w:left w:val="none" w:sz="0" w:space="0" w:color="auto"/>
                <w:bottom w:val="none" w:sz="0" w:space="0" w:color="auto"/>
                <w:right w:val="none" w:sz="0" w:space="0" w:color="auto"/>
              </w:divBdr>
            </w:div>
            <w:div w:id="294138595">
              <w:marLeft w:val="0"/>
              <w:marRight w:val="0"/>
              <w:marTop w:val="0"/>
              <w:marBottom w:val="0"/>
              <w:divBdr>
                <w:top w:val="none" w:sz="0" w:space="0" w:color="auto"/>
                <w:left w:val="none" w:sz="0" w:space="0" w:color="auto"/>
                <w:bottom w:val="none" w:sz="0" w:space="0" w:color="auto"/>
                <w:right w:val="none" w:sz="0" w:space="0" w:color="auto"/>
              </w:divBdr>
            </w:div>
            <w:div w:id="294139182">
              <w:marLeft w:val="0"/>
              <w:marRight w:val="0"/>
              <w:marTop w:val="0"/>
              <w:marBottom w:val="0"/>
              <w:divBdr>
                <w:top w:val="none" w:sz="0" w:space="0" w:color="auto"/>
                <w:left w:val="none" w:sz="0" w:space="0" w:color="auto"/>
                <w:bottom w:val="none" w:sz="0" w:space="0" w:color="auto"/>
                <w:right w:val="none" w:sz="0" w:space="0" w:color="auto"/>
              </w:divBdr>
            </w:div>
            <w:div w:id="294139419">
              <w:marLeft w:val="0"/>
              <w:marRight w:val="0"/>
              <w:marTop w:val="0"/>
              <w:marBottom w:val="0"/>
              <w:divBdr>
                <w:top w:val="none" w:sz="0" w:space="0" w:color="auto"/>
                <w:left w:val="none" w:sz="0" w:space="0" w:color="auto"/>
                <w:bottom w:val="none" w:sz="0" w:space="0" w:color="auto"/>
                <w:right w:val="none" w:sz="0" w:space="0" w:color="auto"/>
              </w:divBdr>
            </w:div>
            <w:div w:id="294139597">
              <w:marLeft w:val="0"/>
              <w:marRight w:val="0"/>
              <w:marTop w:val="0"/>
              <w:marBottom w:val="0"/>
              <w:divBdr>
                <w:top w:val="none" w:sz="0" w:space="0" w:color="auto"/>
                <w:left w:val="none" w:sz="0" w:space="0" w:color="auto"/>
                <w:bottom w:val="none" w:sz="0" w:space="0" w:color="auto"/>
                <w:right w:val="none" w:sz="0" w:space="0" w:color="auto"/>
              </w:divBdr>
            </w:div>
            <w:div w:id="294140756">
              <w:marLeft w:val="0"/>
              <w:marRight w:val="0"/>
              <w:marTop w:val="0"/>
              <w:marBottom w:val="0"/>
              <w:divBdr>
                <w:top w:val="none" w:sz="0" w:space="0" w:color="auto"/>
                <w:left w:val="none" w:sz="0" w:space="0" w:color="auto"/>
                <w:bottom w:val="none" w:sz="0" w:space="0" w:color="auto"/>
                <w:right w:val="none" w:sz="0" w:space="0" w:color="auto"/>
              </w:divBdr>
            </w:div>
            <w:div w:id="294140794">
              <w:marLeft w:val="0"/>
              <w:marRight w:val="0"/>
              <w:marTop w:val="0"/>
              <w:marBottom w:val="0"/>
              <w:divBdr>
                <w:top w:val="none" w:sz="0" w:space="0" w:color="auto"/>
                <w:left w:val="none" w:sz="0" w:space="0" w:color="auto"/>
                <w:bottom w:val="none" w:sz="0" w:space="0" w:color="auto"/>
                <w:right w:val="none" w:sz="0" w:space="0" w:color="auto"/>
              </w:divBdr>
            </w:div>
            <w:div w:id="294141010">
              <w:marLeft w:val="0"/>
              <w:marRight w:val="0"/>
              <w:marTop w:val="0"/>
              <w:marBottom w:val="0"/>
              <w:divBdr>
                <w:top w:val="none" w:sz="0" w:space="0" w:color="auto"/>
                <w:left w:val="none" w:sz="0" w:space="0" w:color="auto"/>
                <w:bottom w:val="none" w:sz="0" w:space="0" w:color="auto"/>
                <w:right w:val="none" w:sz="0" w:space="0" w:color="auto"/>
              </w:divBdr>
            </w:div>
            <w:div w:id="294141110">
              <w:marLeft w:val="0"/>
              <w:marRight w:val="0"/>
              <w:marTop w:val="0"/>
              <w:marBottom w:val="0"/>
              <w:divBdr>
                <w:top w:val="none" w:sz="0" w:space="0" w:color="auto"/>
                <w:left w:val="none" w:sz="0" w:space="0" w:color="auto"/>
                <w:bottom w:val="none" w:sz="0" w:space="0" w:color="auto"/>
                <w:right w:val="none" w:sz="0" w:space="0" w:color="auto"/>
              </w:divBdr>
            </w:div>
            <w:div w:id="294141692">
              <w:marLeft w:val="0"/>
              <w:marRight w:val="0"/>
              <w:marTop w:val="0"/>
              <w:marBottom w:val="0"/>
              <w:divBdr>
                <w:top w:val="none" w:sz="0" w:space="0" w:color="auto"/>
                <w:left w:val="none" w:sz="0" w:space="0" w:color="auto"/>
                <w:bottom w:val="none" w:sz="0" w:space="0" w:color="auto"/>
                <w:right w:val="none" w:sz="0" w:space="0" w:color="auto"/>
              </w:divBdr>
            </w:div>
            <w:div w:id="294141753">
              <w:marLeft w:val="0"/>
              <w:marRight w:val="0"/>
              <w:marTop w:val="0"/>
              <w:marBottom w:val="0"/>
              <w:divBdr>
                <w:top w:val="none" w:sz="0" w:space="0" w:color="auto"/>
                <w:left w:val="none" w:sz="0" w:space="0" w:color="auto"/>
                <w:bottom w:val="none" w:sz="0" w:space="0" w:color="auto"/>
                <w:right w:val="none" w:sz="0" w:space="0" w:color="auto"/>
              </w:divBdr>
            </w:div>
            <w:div w:id="294142659">
              <w:marLeft w:val="0"/>
              <w:marRight w:val="0"/>
              <w:marTop w:val="0"/>
              <w:marBottom w:val="0"/>
              <w:divBdr>
                <w:top w:val="none" w:sz="0" w:space="0" w:color="auto"/>
                <w:left w:val="none" w:sz="0" w:space="0" w:color="auto"/>
                <w:bottom w:val="none" w:sz="0" w:space="0" w:color="auto"/>
                <w:right w:val="none" w:sz="0" w:space="0" w:color="auto"/>
              </w:divBdr>
            </w:div>
            <w:div w:id="294142869">
              <w:marLeft w:val="0"/>
              <w:marRight w:val="0"/>
              <w:marTop w:val="0"/>
              <w:marBottom w:val="0"/>
              <w:divBdr>
                <w:top w:val="none" w:sz="0" w:space="0" w:color="auto"/>
                <w:left w:val="none" w:sz="0" w:space="0" w:color="auto"/>
                <w:bottom w:val="none" w:sz="0" w:space="0" w:color="auto"/>
                <w:right w:val="none" w:sz="0" w:space="0" w:color="auto"/>
              </w:divBdr>
            </w:div>
            <w:div w:id="294142883">
              <w:marLeft w:val="0"/>
              <w:marRight w:val="0"/>
              <w:marTop w:val="0"/>
              <w:marBottom w:val="0"/>
              <w:divBdr>
                <w:top w:val="none" w:sz="0" w:space="0" w:color="auto"/>
                <w:left w:val="none" w:sz="0" w:space="0" w:color="auto"/>
                <w:bottom w:val="none" w:sz="0" w:space="0" w:color="auto"/>
                <w:right w:val="none" w:sz="0" w:space="0" w:color="auto"/>
              </w:divBdr>
            </w:div>
            <w:div w:id="294142954">
              <w:marLeft w:val="0"/>
              <w:marRight w:val="0"/>
              <w:marTop w:val="0"/>
              <w:marBottom w:val="0"/>
              <w:divBdr>
                <w:top w:val="none" w:sz="0" w:space="0" w:color="auto"/>
                <w:left w:val="none" w:sz="0" w:space="0" w:color="auto"/>
                <w:bottom w:val="none" w:sz="0" w:space="0" w:color="auto"/>
                <w:right w:val="none" w:sz="0" w:space="0" w:color="auto"/>
              </w:divBdr>
            </w:div>
            <w:div w:id="294143678">
              <w:marLeft w:val="0"/>
              <w:marRight w:val="0"/>
              <w:marTop w:val="0"/>
              <w:marBottom w:val="0"/>
              <w:divBdr>
                <w:top w:val="none" w:sz="0" w:space="0" w:color="auto"/>
                <w:left w:val="none" w:sz="0" w:space="0" w:color="auto"/>
                <w:bottom w:val="none" w:sz="0" w:space="0" w:color="auto"/>
                <w:right w:val="none" w:sz="0" w:space="0" w:color="auto"/>
              </w:divBdr>
            </w:div>
            <w:div w:id="294144052">
              <w:marLeft w:val="0"/>
              <w:marRight w:val="0"/>
              <w:marTop w:val="0"/>
              <w:marBottom w:val="0"/>
              <w:divBdr>
                <w:top w:val="none" w:sz="0" w:space="0" w:color="auto"/>
                <w:left w:val="none" w:sz="0" w:space="0" w:color="auto"/>
                <w:bottom w:val="none" w:sz="0" w:space="0" w:color="auto"/>
                <w:right w:val="none" w:sz="0" w:space="0" w:color="auto"/>
              </w:divBdr>
            </w:div>
            <w:div w:id="294144138">
              <w:marLeft w:val="0"/>
              <w:marRight w:val="0"/>
              <w:marTop w:val="0"/>
              <w:marBottom w:val="0"/>
              <w:divBdr>
                <w:top w:val="none" w:sz="0" w:space="0" w:color="auto"/>
                <w:left w:val="none" w:sz="0" w:space="0" w:color="auto"/>
                <w:bottom w:val="none" w:sz="0" w:space="0" w:color="auto"/>
                <w:right w:val="none" w:sz="0" w:space="0" w:color="auto"/>
              </w:divBdr>
            </w:div>
            <w:div w:id="294144467">
              <w:marLeft w:val="0"/>
              <w:marRight w:val="0"/>
              <w:marTop w:val="0"/>
              <w:marBottom w:val="0"/>
              <w:divBdr>
                <w:top w:val="none" w:sz="0" w:space="0" w:color="auto"/>
                <w:left w:val="none" w:sz="0" w:space="0" w:color="auto"/>
                <w:bottom w:val="none" w:sz="0" w:space="0" w:color="auto"/>
                <w:right w:val="none" w:sz="0" w:space="0" w:color="auto"/>
              </w:divBdr>
            </w:div>
            <w:div w:id="294145148">
              <w:marLeft w:val="0"/>
              <w:marRight w:val="0"/>
              <w:marTop w:val="0"/>
              <w:marBottom w:val="0"/>
              <w:divBdr>
                <w:top w:val="none" w:sz="0" w:space="0" w:color="auto"/>
                <w:left w:val="none" w:sz="0" w:space="0" w:color="auto"/>
                <w:bottom w:val="none" w:sz="0" w:space="0" w:color="auto"/>
                <w:right w:val="none" w:sz="0" w:space="0" w:color="auto"/>
              </w:divBdr>
            </w:div>
            <w:div w:id="294145353">
              <w:marLeft w:val="0"/>
              <w:marRight w:val="0"/>
              <w:marTop w:val="0"/>
              <w:marBottom w:val="0"/>
              <w:divBdr>
                <w:top w:val="none" w:sz="0" w:space="0" w:color="auto"/>
                <w:left w:val="none" w:sz="0" w:space="0" w:color="auto"/>
                <w:bottom w:val="none" w:sz="0" w:space="0" w:color="auto"/>
                <w:right w:val="none" w:sz="0" w:space="0" w:color="auto"/>
              </w:divBdr>
            </w:div>
            <w:div w:id="294145620">
              <w:marLeft w:val="0"/>
              <w:marRight w:val="0"/>
              <w:marTop w:val="0"/>
              <w:marBottom w:val="0"/>
              <w:divBdr>
                <w:top w:val="none" w:sz="0" w:space="0" w:color="auto"/>
                <w:left w:val="none" w:sz="0" w:space="0" w:color="auto"/>
                <w:bottom w:val="none" w:sz="0" w:space="0" w:color="auto"/>
                <w:right w:val="none" w:sz="0" w:space="0" w:color="auto"/>
              </w:divBdr>
            </w:div>
            <w:div w:id="294145926">
              <w:marLeft w:val="0"/>
              <w:marRight w:val="0"/>
              <w:marTop w:val="0"/>
              <w:marBottom w:val="0"/>
              <w:divBdr>
                <w:top w:val="none" w:sz="0" w:space="0" w:color="auto"/>
                <w:left w:val="none" w:sz="0" w:space="0" w:color="auto"/>
                <w:bottom w:val="none" w:sz="0" w:space="0" w:color="auto"/>
                <w:right w:val="none" w:sz="0" w:space="0" w:color="auto"/>
              </w:divBdr>
            </w:div>
            <w:div w:id="294146062">
              <w:marLeft w:val="0"/>
              <w:marRight w:val="0"/>
              <w:marTop w:val="0"/>
              <w:marBottom w:val="0"/>
              <w:divBdr>
                <w:top w:val="none" w:sz="0" w:space="0" w:color="auto"/>
                <w:left w:val="none" w:sz="0" w:space="0" w:color="auto"/>
                <w:bottom w:val="none" w:sz="0" w:space="0" w:color="auto"/>
                <w:right w:val="none" w:sz="0" w:space="0" w:color="auto"/>
              </w:divBdr>
            </w:div>
            <w:div w:id="294146265">
              <w:marLeft w:val="0"/>
              <w:marRight w:val="0"/>
              <w:marTop w:val="0"/>
              <w:marBottom w:val="0"/>
              <w:divBdr>
                <w:top w:val="none" w:sz="0" w:space="0" w:color="auto"/>
                <w:left w:val="none" w:sz="0" w:space="0" w:color="auto"/>
                <w:bottom w:val="none" w:sz="0" w:space="0" w:color="auto"/>
                <w:right w:val="none" w:sz="0" w:space="0" w:color="auto"/>
              </w:divBdr>
            </w:div>
            <w:div w:id="294146271">
              <w:marLeft w:val="0"/>
              <w:marRight w:val="0"/>
              <w:marTop w:val="0"/>
              <w:marBottom w:val="0"/>
              <w:divBdr>
                <w:top w:val="none" w:sz="0" w:space="0" w:color="auto"/>
                <w:left w:val="none" w:sz="0" w:space="0" w:color="auto"/>
                <w:bottom w:val="none" w:sz="0" w:space="0" w:color="auto"/>
                <w:right w:val="none" w:sz="0" w:space="0" w:color="auto"/>
              </w:divBdr>
            </w:div>
            <w:div w:id="294146632">
              <w:marLeft w:val="0"/>
              <w:marRight w:val="0"/>
              <w:marTop w:val="0"/>
              <w:marBottom w:val="0"/>
              <w:divBdr>
                <w:top w:val="none" w:sz="0" w:space="0" w:color="auto"/>
                <w:left w:val="none" w:sz="0" w:space="0" w:color="auto"/>
                <w:bottom w:val="none" w:sz="0" w:space="0" w:color="auto"/>
                <w:right w:val="none" w:sz="0" w:space="0" w:color="auto"/>
              </w:divBdr>
            </w:div>
            <w:div w:id="294146650">
              <w:marLeft w:val="0"/>
              <w:marRight w:val="0"/>
              <w:marTop w:val="0"/>
              <w:marBottom w:val="0"/>
              <w:divBdr>
                <w:top w:val="none" w:sz="0" w:space="0" w:color="auto"/>
                <w:left w:val="none" w:sz="0" w:space="0" w:color="auto"/>
                <w:bottom w:val="none" w:sz="0" w:space="0" w:color="auto"/>
                <w:right w:val="none" w:sz="0" w:space="0" w:color="auto"/>
              </w:divBdr>
            </w:div>
            <w:div w:id="294147011">
              <w:marLeft w:val="0"/>
              <w:marRight w:val="0"/>
              <w:marTop w:val="0"/>
              <w:marBottom w:val="0"/>
              <w:divBdr>
                <w:top w:val="none" w:sz="0" w:space="0" w:color="auto"/>
                <w:left w:val="none" w:sz="0" w:space="0" w:color="auto"/>
                <w:bottom w:val="none" w:sz="0" w:space="0" w:color="auto"/>
                <w:right w:val="none" w:sz="0" w:space="0" w:color="auto"/>
              </w:divBdr>
            </w:div>
            <w:div w:id="294147486">
              <w:marLeft w:val="0"/>
              <w:marRight w:val="0"/>
              <w:marTop w:val="0"/>
              <w:marBottom w:val="0"/>
              <w:divBdr>
                <w:top w:val="none" w:sz="0" w:space="0" w:color="auto"/>
                <w:left w:val="none" w:sz="0" w:space="0" w:color="auto"/>
                <w:bottom w:val="none" w:sz="0" w:space="0" w:color="auto"/>
                <w:right w:val="none" w:sz="0" w:space="0" w:color="auto"/>
              </w:divBdr>
            </w:div>
            <w:div w:id="294148023">
              <w:marLeft w:val="0"/>
              <w:marRight w:val="0"/>
              <w:marTop w:val="0"/>
              <w:marBottom w:val="0"/>
              <w:divBdr>
                <w:top w:val="none" w:sz="0" w:space="0" w:color="auto"/>
                <w:left w:val="none" w:sz="0" w:space="0" w:color="auto"/>
                <w:bottom w:val="none" w:sz="0" w:space="0" w:color="auto"/>
                <w:right w:val="none" w:sz="0" w:space="0" w:color="auto"/>
              </w:divBdr>
            </w:div>
            <w:div w:id="294148859">
              <w:marLeft w:val="0"/>
              <w:marRight w:val="0"/>
              <w:marTop w:val="0"/>
              <w:marBottom w:val="0"/>
              <w:divBdr>
                <w:top w:val="none" w:sz="0" w:space="0" w:color="auto"/>
                <w:left w:val="none" w:sz="0" w:space="0" w:color="auto"/>
                <w:bottom w:val="none" w:sz="0" w:space="0" w:color="auto"/>
                <w:right w:val="none" w:sz="0" w:space="0" w:color="auto"/>
              </w:divBdr>
            </w:div>
            <w:div w:id="294149098">
              <w:marLeft w:val="0"/>
              <w:marRight w:val="0"/>
              <w:marTop w:val="0"/>
              <w:marBottom w:val="0"/>
              <w:divBdr>
                <w:top w:val="none" w:sz="0" w:space="0" w:color="auto"/>
                <w:left w:val="none" w:sz="0" w:space="0" w:color="auto"/>
                <w:bottom w:val="none" w:sz="0" w:space="0" w:color="auto"/>
                <w:right w:val="none" w:sz="0" w:space="0" w:color="auto"/>
              </w:divBdr>
            </w:div>
            <w:div w:id="294149708">
              <w:marLeft w:val="0"/>
              <w:marRight w:val="0"/>
              <w:marTop w:val="0"/>
              <w:marBottom w:val="0"/>
              <w:divBdr>
                <w:top w:val="none" w:sz="0" w:space="0" w:color="auto"/>
                <w:left w:val="none" w:sz="0" w:space="0" w:color="auto"/>
                <w:bottom w:val="none" w:sz="0" w:space="0" w:color="auto"/>
                <w:right w:val="none" w:sz="0" w:space="0" w:color="auto"/>
              </w:divBdr>
            </w:div>
            <w:div w:id="294150049">
              <w:marLeft w:val="0"/>
              <w:marRight w:val="0"/>
              <w:marTop w:val="0"/>
              <w:marBottom w:val="0"/>
              <w:divBdr>
                <w:top w:val="none" w:sz="0" w:space="0" w:color="auto"/>
                <w:left w:val="none" w:sz="0" w:space="0" w:color="auto"/>
                <w:bottom w:val="none" w:sz="0" w:space="0" w:color="auto"/>
                <w:right w:val="none" w:sz="0" w:space="0" w:color="auto"/>
              </w:divBdr>
            </w:div>
            <w:div w:id="294150084">
              <w:marLeft w:val="0"/>
              <w:marRight w:val="0"/>
              <w:marTop w:val="0"/>
              <w:marBottom w:val="0"/>
              <w:divBdr>
                <w:top w:val="none" w:sz="0" w:space="0" w:color="auto"/>
                <w:left w:val="none" w:sz="0" w:space="0" w:color="auto"/>
                <w:bottom w:val="none" w:sz="0" w:space="0" w:color="auto"/>
                <w:right w:val="none" w:sz="0" w:space="0" w:color="auto"/>
              </w:divBdr>
            </w:div>
            <w:div w:id="294150283">
              <w:marLeft w:val="0"/>
              <w:marRight w:val="0"/>
              <w:marTop w:val="0"/>
              <w:marBottom w:val="0"/>
              <w:divBdr>
                <w:top w:val="none" w:sz="0" w:space="0" w:color="auto"/>
                <w:left w:val="none" w:sz="0" w:space="0" w:color="auto"/>
                <w:bottom w:val="none" w:sz="0" w:space="0" w:color="auto"/>
                <w:right w:val="none" w:sz="0" w:space="0" w:color="auto"/>
              </w:divBdr>
            </w:div>
            <w:div w:id="294150536">
              <w:marLeft w:val="0"/>
              <w:marRight w:val="0"/>
              <w:marTop w:val="0"/>
              <w:marBottom w:val="0"/>
              <w:divBdr>
                <w:top w:val="none" w:sz="0" w:space="0" w:color="auto"/>
                <w:left w:val="none" w:sz="0" w:space="0" w:color="auto"/>
                <w:bottom w:val="none" w:sz="0" w:space="0" w:color="auto"/>
                <w:right w:val="none" w:sz="0" w:space="0" w:color="auto"/>
              </w:divBdr>
            </w:div>
            <w:div w:id="294150637">
              <w:marLeft w:val="0"/>
              <w:marRight w:val="0"/>
              <w:marTop w:val="0"/>
              <w:marBottom w:val="0"/>
              <w:divBdr>
                <w:top w:val="none" w:sz="0" w:space="0" w:color="auto"/>
                <w:left w:val="none" w:sz="0" w:space="0" w:color="auto"/>
                <w:bottom w:val="none" w:sz="0" w:space="0" w:color="auto"/>
                <w:right w:val="none" w:sz="0" w:space="0" w:color="auto"/>
              </w:divBdr>
            </w:div>
            <w:div w:id="294150721">
              <w:marLeft w:val="0"/>
              <w:marRight w:val="0"/>
              <w:marTop w:val="0"/>
              <w:marBottom w:val="0"/>
              <w:divBdr>
                <w:top w:val="none" w:sz="0" w:space="0" w:color="auto"/>
                <w:left w:val="none" w:sz="0" w:space="0" w:color="auto"/>
                <w:bottom w:val="none" w:sz="0" w:space="0" w:color="auto"/>
                <w:right w:val="none" w:sz="0" w:space="0" w:color="auto"/>
              </w:divBdr>
            </w:div>
            <w:div w:id="294150775">
              <w:marLeft w:val="0"/>
              <w:marRight w:val="0"/>
              <w:marTop w:val="0"/>
              <w:marBottom w:val="0"/>
              <w:divBdr>
                <w:top w:val="none" w:sz="0" w:space="0" w:color="auto"/>
                <w:left w:val="none" w:sz="0" w:space="0" w:color="auto"/>
                <w:bottom w:val="none" w:sz="0" w:space="0" w:color="auto"/>
                <w:right w:val="none" w:sz="0" w:space="0" w:color="auto"/>
              </w:divBdr>
            </w:div>
            <w:div w:id="294151423">
              <w:marLeft w:val="0"/>
              <w:marRight w:val="0"/>
              <w:marTop w:val="0"/>
              <w:marBottom w:val="0"/>
              <w:divBdr>
                <w:top w:val="none" w:sz="0" w:space="0" w:color="auto"/>
                <w:left w:val="none" w:sz="0" w:space="0" w:color="auto"/>
                <w:bottom w:val="none" w:sz="0" w:space="0" w:color="auto"/>
                <w:right w:val="none" w:sz="0" w:space="0" w:color="auto"/>
              </w:divBdr>
            </w:div>
            <w:div w:id="294151429">
              <w:marLeft w:val="0"/>
              <w:marRight w:val="0"/>
              <w:marTop w:val="0"/>
              <w:marBottom w:val="0"/>
              <w:divBdr>
                <w:top w:val="none" w:sz="0" w:space="0" w:color="auto"/>
                <w:left w:val="none" w:sz="0" w:space="0" w:color="auto"/>
                <w:bottom w:val="none" w:sz="0" w:space="0" w:color="auto"/>
                <w:right w:val="none" w:sz="0" w:space="0" w:color="auto"/>
              </w:divBdr>
            </w:div>
            <w:div w:id="294151520">
              <w:marLeft w:val="0"/>
              <w:marRight w:val="0"/>
              <w:marTop w:val="0"/>
              <w:marBottom w:val="0"/>
              <w:divBdr>
                <w:top w:val="none" w:sz="0" w:space="0" w:color="auto"/>
                <w:left w:val="none" w:sz="0" w:space="0" w:color="auto"/>
                <w:bottom w:val="none" w:sz="0" w:space="0" w:color="auto"/>
                <w:right w:val="none" w:sz="0" w:space="0" w:color="auto"/>
              </w:divBdr>
            </w:div>
            <w:div w:id="294151880">
              <w:marLeft w:val="0"/>
              <w:marRight w:val="0"/>
              <w:marTop w:val="0"/>
              <w:marBottom w:val="0"/>
              <w:divBdr>
                <w:top w:val="none" w:sz="0" w:space="0" w:color="auto"/>
                <w:left w:val="none" w:sz="0" w:space="0" w:color="auto"/>
                <w:bottom w:val="none" w:sz="0" w:space="0" w:color="auto"/>
                <w:right w:val="none" w:sz="0" w:space="0" w:color="auto"/>
              </w:divBdr>
            </w:div>
            <w:div w:id="294152155">
              <w:marLeft w:val="0"/>
              <w:marRight w:val="0"/>
              <w:marTop w:val="0"/>
              <w:marBottom w:val="0"/>
              <w:divBdr>
                <w:top w:val="none" w:sz="0" w:space="0" w:color="auto"/>
                <w:left w:val="none" w:sz="0" w:space="0" w:color="auto"/>
                <w:bottom w:val="none" w:sz="0" w:space="0" w:color="auto"/>
                <w:right w:val="none" w:sz="0" w:space="0" w:color="auto"/>
              </w:divBdr>
            </w:div>
            <w:div w:id="294152303">
              <w:marLeft w:val="0"/>
              <w:marRight w:val="0"/>
              <w:marTop w:val="0"/>
              <w:marBottom w:val="0"/>
              <w:divBdr>
                <w:top w:val="none" w:sz="0" w:space="0" w:color="auto"/>
                <w:left w:val="none" w:sz="0" w:space="0" w:color="auto"/>
                <w:bottom w:val="none" w:sz="0" w:space="0" w:color="auto"/>
                <w:right w:val="none" w:sz="0" w:space="0" w:color="auto"/>
              </w:divBdr>
            </w:div>
            <w:div w:id="294152351">
              <w:marLeft w:val="0"/>
              <w:marRight w:val="0"/>
              <w:marTop w:val="0"/>
              <w:marBottom w:val="0"/>
              <w:divBdr>
                <w:top w:val="none" w:sz="0" w:space="0" w:color="auto"/>
                <w:left w:val="none" w:sz="0" w:space="0" w:color="auto"/>
                <w:bottom w:val="none" w:sz="0" w:space="0" w:color="auto"/>
                <w:right w:val="none" w:sz="0" w:space="0" w:color="auto"/>
              </w:divBdr>
            </w:div>
            <w:div w:id="294152716">
              <w:marLeft w:val="0"/>
              <w:marRight w:val="0"/>
              <w:marTop w:val="0"/>
              <w:marBottom w:val="0"/>
              <w:divBdr>
                <w:top w:val="none" w:sz="0" w:space="0" w:color="auto"/>
                <w:left w:val="none" w:sz="0" w:space="0" w:color="auto"/>
                <w:bottom w:val="none" w:sz="0" w:space="0" w:color="auto"/>
                <w:right w:val="none" w:sz="0" w:space="0" w:color="auto"/>
              </w:divBdr>
            </w:div>
            <w:div w:id="294152990">
              <w:marLeft w:val="0"/>
              <w:marRight w:val="0"/>
              <w:marTop w:val="0"/>
              <w:marBottom w:val="0"/>
              <w:divBdr>
                <w:top w:val="none" w:sz="0" w:space="0" w:color="auto"/>
                <w:left w:val="none" w:sz="0" w:space="0" w:color="auto"/>
                <w:bottom w:val="none" w:sz="0" w:space="0" w:color="auto"/>
                <w:right w:val="none" w:sz="0" w:space="0" w:color="auto"/>
              </w:divBdr>
            </w:div>
            <w:div w:id="294153211">
              <w:marLeft w:val="0"/>
              <w:marRight w:val="0"/>
              <w:marTop w:val="0"/>
              <w:marBottom w:val="0"/>
              <w:divBdr>
                <w:top w:val="none" w:sz="0" w:space="0" w:color="auto"/>
                <w:left w:val="none" w:sz="0" w:space="0" w:color="auto"/>
                <w:bottom w:val="none" w:sz="0" w:space="0" w:color="auto"/>
                <w:right w:val="none" w:sz="0" w:space="0" w:color="auto"/>
              </w:divBdr>
            </w:div>
            <w:div w:id="294154274">
              <w:marLeft w:val="0"/>
              <w:marRight w:val="0"/>
              <w:marTop w:val="0"/>
              <w:marBottom w:val="0"/>
              <w:divBdr>
                <w:top w:val="none" w:sz="0" w:space="0" w:color="auto"/>
                <w:left w:val="none" w:sz="0" w:space="0" w:color="auto"/>
                <w:bottom w:val="none" w:sz="0" w:space="0" w:color="auto"/>
                <w:right w:val="none" w:sz="0" w:space="0" w:color="auto"/>
              </w:divBdr>
            </w:div>
            <w:div w:id="294154340">
              <w:marLeft w:val="0"/>
              <w:marRight w:val="0"/>
              <w:marTop w:val="0"/>
              <w:marBottom w:val="0"/>
              <w:divBdr>
                <w:top w:val="none" w:sz="0" w:space="0" w:color="auto"/>
                <w:left w:val="none" w:sz="0" w:space="0" w:color="auto"/>
                <w:bottom w:val="none" w:sz="0" w:space="0" w:color="auto"/>
                <w:right w:val="none" w:sz="0" w:space="0" w:color="auto"/>
              </w:divBdr>
            </w:div>
            <w:div w:id="294154936">
              <w:marLeft w:val="0"/>
              <w:marRight w:val="0"/>
              <w:marTop w:val="0"/>
              <w:marBottom w:val="0"/>
              <w:divBdr>
                <w:top w:val="none" w:sz="0" w:space="0" w:color="auto"/>
                <w:left w:val="none" w:sz="0" w:space="0" w:color="auto"/>
                <w:bottom w:val="none" w:sz="0" w:space="0" w:color="auto"/>
                <w:right w:val="none" w:sz="0" w:space="0" w:color="auto"/>
              </w:divBdr>
            </w:div>
            <w:div w:id="294155008">
              <w:marLeft w:val="0"/>
              <w:marRight w:val="0"/>
              <w:marTop w:val="0"/>
              <w:marBottom w:val="0"/>
              <w:divBdr>
                <w:top w:val="none" w:sz="0" w:space="0" w:color="auto"/>
                <w:left w:val="none" w:sz="0" w:space="0" w:color="auto"/>
                <w:bottom w:val="none" w:sz="0" w:space="0" w:color="auto"/>
                <w:right w:val="none" w:sz="0" w:space="0" w:color="auto"/>
              </w:divBdr>
            </w:div>
            <w:div w:id="294155223">
              <w:marLeft w:val="0"/>
              <w:marRight w:val="0"/>
              <w:marTop w:val="0"/>
              <w:marBottom w:val="0"/>
              <w:divBdr>
                <w:top w:val="none" w:sz="0" w:space="0" w:color="auto"/>
                <w:left w:val="none" w:sz="0" w:space="0" w:color="auto"/>
                <w:bottom w:val="none" w:sz="0" w:space="0" w:color="auto"/>
                <w:right w:val="none" w:sz="0" w:space="0" w:color="auto"/>
              </w:divBdr>
            </w:div>
            <w:div w:id="294155453">
              <w:marLeft w:val="0"/>
              <w:marRight w:val="0"/>
              <w:marTop w:val="0"/>
              <w:marBottom w:val="0"/>
              <w:divBdr>
                <w:top w:val="none" w:sz="0" w:space="0" w:color="auto"/>
                <w:left w:val="none" w:sz="0" w:space="0" w:color="auto"/>
                <w:bottom w:val="none" w:sz="0" w:space="0" w:color="auto"/>
                <w:right w:val="none" w:sz="0" w:space="0" w:color="auto"/>
              </w:divBdr>
            </w:div>
            <w:div w:id="294155556">
              <w:marLeft w:val="0"/>
              <w:marRight w:val="0"/>
              <w:marTop w:val="0"/>
              <w:marBottom w:val="0"/>
              <w:divBdr>
                <w:top w:val="none" w:sz="0" w:space="0" w:color="auto"/>
                <w:left w:val="none" w:sz="0" w:space="0" w:color="auto"/>
                <w:bottom w:val="none" w:sz="0" w:space="0" w:color="auto"/>
                <w:right w:val="none" w:sz="0" w:space="0" w:color="auto"/>
              </w:divBdr>
            </w:div>
            <w:div w:id="294155972">
              <w:marLeft w:val="0"/>
              <w:marRight w:val="0"/>
              <w:marTop w:val="0"/>
              <w:marBottom w:val="0"/>
              <w:divBdr>
                <w:top w:val="none" w:sz="0" w:space="0" w:color="auto"/>
                <w:left w:val="none" w:sz="0" w:space="0" w:color="auto"/>
                <w:bottom w:val="none" w:sz="0" w:space="0" w:color="auto"/>
                <w:right w:val="none" w:sz="0" w:space="0" w:color="auto"/>
              </w:divBdr>
            </w:div>
            <w:div w:id="294156877">
              <w:marLeft w:val="0"/>
              <w:marRight w:val="0"/>
              <w:marTop w:val="0"/>
              <w:marBottom w:val="0"/>
              <w:divBdr>
                <w:top w:val="none" w:sz="0" w:space="0" w:color="auto"/>
                <w:left w:val="none" w:sz="0" w:space="0" w:color="auto"/>
                <w:bottom w:val="none" w:sz="0" w:space="0" w:color="auto"/>
                <w:right w:val="none" w:sz="0" w:space="0" w:color="auto"/>
              </w:divBdr>
            </w:div>
            <w:div w:id="294156882">
              <w:marLeft w:val="0"/>
              <w:marRight w:val="0"/>
              <w:marTop w:val="0"/>
              <w:marBottom w:val="0"/>
              <w:divBdr>
                <w:top w:val="none" w:sz="0" w:space="0" w:color="auto"/>
                <w:left w:val="none" w:sz="0" w:space="0" w:color="auto"/>
                <w:bottom w:val="none" w:sz="0" w:space="0" w:color="auto"/>
                <w:right w:val="none" w:sz="0" w:space="0" w:color="auto"/>
              </w:divBdr>
            </w:div>
            <w:div w:id="294157120">
              <w:marLeft w:val="0"/>
              <w:marRight w:val="0"/>
              <w:marTop w:val="0"/>
              <w:marBottom w:val="0"/>
              <w:divBdr>
                <w:top w:val="none" w:sz="0" w:space="0" w:color="auto"/>
                <w:left w:val="none" w:sz="0" w:space="0" w:color="auto"/>
                <w:bottom w:val="none" w:sz="0" w:space="0" w:color="auto"/>
                <w:right w:val="none" w:sz="0" w:space="0" w:color="auto"/>
              </w:divBdr>
            </w:div>
          </w:divsChild>
        </w:div>
        <w:div w:id="294154285">
          <w:marLeft w:val="0"/>
          <w:marRight w:val="0"/>
          <w:marTop w:val="0"/>
          <w:marBottom w:val="0"/>
          <w:divBdr>
            <w:top w:val="none" w:sz="0" w:space="0" w:color="auto"/>
            <w:left w:val="none" w:sz="0" w:space="0" w:color="auto"/>
            <w:bottom w:val="none" w:sz="0" w:space="0" w:color="auto"/>
            <w:right w:val="none" w:sz="0" w:space="0" w:color="auto"/>
          </w:divBdr>
          <w:divsChild>
            <w:div w:id="294138258">
              <w:marLeft w:val="0"/>
              <w:marRight w:val="0"/>
              <w:marTop w:val="0"/>
              <w:marBottom w:val="0"/>
              <w:divBdr>
                <w:top w:val="none" w:sz="0" w:space="0" w:color="auto"/>
                <w:left w:val="none" w:sz="0" w:space="0" w:color="auto"/>
                <w:bottom w:val="none" w:sz="0" w:space="0" w:color="auto"/>
                <w:right w:val="none" w:sz="0" w:space="0" w:color="auto"/>
              </w:divBdr>
            </w:div>
            <w:div w:id="294139754">
              <w:marLeft w:val="0"/>
              <w:marRight w:val="0"/>
              <w:marTop w:val="0"/>
              <w:marBottom w:val="0"/>
              <w:divBdr>
                <w:top w:val="none" w:sz="0" w:space="0" w:color="auto"/>
                <w:left w:val="none" w:sz="0" w:space="0" w:color="auto"/>
                <w:bottom w:val="none" w:sz="0" w:space="0" w:color="auto"/>
                <w:right w:val="none" w:sz="0" w:space="0" w:color="auto"/>
              </w:divBdr>
            </w:div>
            <w:div w:id="294140494">
              <w:marLeft w:val="0"/>
              <w:marRight w:val="0"/>
              <w:marTop w:val="0"/>
              <w:marBottom w:val="0"/>
              <w:divBdr>
                <w:top w:val="none" w:sz="0" w:space="0" w:color="auto"/>
                <w:left w:val="none" w:sz="0" w:space="0" w:color="auto"/>
                <w:bottom w:val="none" w:sz="0" w:space="0" w:color="auto"/>
                <w:right w:val="none" w:sz="0" w:space="0" w:color="auto"/>
              </w:divBdr>
            </w:div>
            <w:div w:id="294141681">
              <w:marLeft w:val="0"/>
              <w:marRight w:val="0"/>
              <w:marTop w:val="0"/>
              <w:marBottom w:val="0"/>
              <w:divBdr>
                <w:top w:val="none" w:sz="0" w:space="0" w:color="auto"/>
                <w:left w:val="none" w:sz="0" w:space="0" w:color="auto"/>
                <w:bottom w:val="none" w:sz="0" w:space="0" w:color="auto"/>
                <w:right w:val="none" w:sz="0" w:space="0" w:color="auto"/>
              </w:divBdr>
            </w:div>
            <w:div w:id="294142337">
              <w:marLeft w:val="0"/>
              <w:marRight w:val="0"/>
              <w:marTop w:val="0"/>
              <w:marBottom w:val="0"/>
              <w:divBdr>
                <w:top w:val="none" w:sz="0" w:space="0" w:color="auto"/>
                <w:left w:val="none" w:sz="0" w:space="0" w:color="auto"/>
                <w:bottom w:val="none" w:sz="0" w:space="0" w:color="auto"/>
                <w:right w:val="none" w:sz="0" w:space="0" w:color="auto"/>
              </w:divBdr>
            </w:div>
            <w:div w:id="294144106">
              <w:marLeft w:val="0"/>
              <w:marRight w:val="0"/>
              <w:marTop w:val="0"/>
              <w:marBottom w:val="0"/>
              <w:divBdr>
                <w:top w:val="none" w:sz="0" w:space="0" w:color="auto"/>
                <w:left w:val="none" w:sz="0" w:space="0" w:color="auto"/>
                <w:bottom w:val="none" w:sz="0" w:space="0" w:color="auto"/>
                <w:right w:val="none" w:sz="0" w:space="0" w:color="auto"/>
              </w:divBdr>
            </w:div>
            <w:div w:id="294145108">
              <w:marLeft w:val="0"/>
              <w:marRight w:val="0"/>
              <w:marTop w:val="0"/>
              <w:marBottom w:val="0"/>
              <w:divBdr>
                <w:top w:val="none" w:sz="0" w:space="0" w:color="auto"/>
                <w:left w:val="none" w:sz="0" w:space="0" w:color="auto"/>
                <w:bottom w:val="none" w:sz="0" w:space="0" w:color="auto"/>
                <w:right w:val="none" w:sz="0" w:space="0" w:color="auto"/>
              </w:divBdr>
            </w:div>
            <w:div w:id="294145596">
              <w:marLeft w:val="0"/>
              <w:marRight w:val="0"/>
              <w:marTop w:val="0"/>
              <w:marBottom w:val="0"/>
              <w:divBdr>
                <w:top w:val="none" w:sz="0" w:space="0" w:color="auto"/>
                <w:left w:val="none" w:sz="0" w:space="0" w:color="auto"/>
                <w:bottom w:val="none" w:sz="0" w:space="0" w:color="auto"/>
                <w:right w:val="none" w:sz="0" w:space="0" w:color="auto"/>
              </w:divBdr>
            </w:div>
            <w:div w:id="294146825">
              <w:marLeft w:val="0"/>
              <w:marRight w:val="0"/>
              <w:marTop w:val="0"/>
              <w:marBottom w:val="0"/>
              <w:divBdr>
                <w:top w:val="none" w:sz="0" w:space="0" w:color="auto"/>
                <w:left w:val="none" w:sz="0" w:space="0" w:color="auto"/>
                <w:bottom w:val="none" w:sz="0" w:space="0" w:color="auto"/>
                <w:right w:val="none" w:sz="0" w:space="0" w:color="auto"/>
              </w:divBdr>
            </w:div>
            <w:div w:id="294148520">
              <w:marLeft w:val="0"/>
              <w:marRight w:val="0"/>
              <w:marTop w:val="0"/>
              <w:marBottom w:val="0"/>
              <w:divBdr>
                <w:top w:val="none" w:sz="0" w:space="0" w:color="auto"/>
                <w:left w:val="none" w:sz="0" w:space="0" w:color="auto"/>
                <w:bottom w:val="none" w:sz="0" w:space="0" w:color="auto"/>
                <w:right w:val="none" w:sz="0" w:space="0" w:color="auto"/>
              </w:divBdr>
            </w:div>
            <w:div w:id="294149176">
              <w:marLeft w:val="0"/>
              <w:marRight w:val="0"/>
              <w:marTop w:val="0"/>
              <w:marBottom w:val="0"/>
              <w:divBdr>
                <w:top w:val="none" w:sz="0" w:space="0" w:color="auto"/>
                <w:left w:val="none" w:sz="0" w:space="0" w:color="auto"/>
                <w:bottom w:val="none" w:sz="0" w:space="0" w:color="auto"/>
                <w:right w:val="none" w:sz="0" w:space="0" w:color="auto"/>
              </w:divBdr>
            </w:div>
            <w:div w:id="294151474">
              <w:marLeft w:val="0"/>
              <w:marRight w:val="0"/>
              <w:marTop w:val="0"/>
              <w:marBottom w:val="0"/>
              <w:divBdr>
                <w:top w:val="none" w:sz="0" w:space="0" w:color="auto"/>
                <w:left w:val="none" w:sz="0" w:space="0" w:color="auto"/>
                <w:bottom w:val="none" w:sz="0" w:space="0" w:color="auto"/>
                <w:right w:val="none" w:sz="0" w:space="0" w:color="auto"/>
              </w:divBdr>
            </w:div>
            <w:div w:id="294151684">
              <w:marLeft w:val="0"/>
              <w:marRight w:val="0"/>
              <w:marTop w:val="0"/>
              <w:marBottom w:val="0"/>
              <w:divBdr>
                <w:top w:val="none" w:sz="0" w:space="0" w:color="auto"/>
                <w:left w:val="none" w:sz="0" w:space="0" w:color="auto"/>
                <w:bottom w:val="none" w:sz="0" w:space="0" w:color="auto"/>
                <w:right w:val="none" w:sz="0" w:space="0" w:color="auto"/>
              </w:divBdr>
            </w:div>
            <w:div w:id="294152068">
              <w:marLeft w:val="0"/>
              <w:marRight w:val="0"/>
              <w:marTop w:val="0"/>
              <w:marBottom w:val="0"/>
              <w:divBdr>
                <w:top w:val="none" w:sz="0" w:space="0" w:color="auto"/>
                <w:left w:val="none" w:sz="0" w:space="0" w:color="auto"/>
                <w:bottom w:val="none" w:sz="0" w:space="0" w:color="auto"/>
                <w:right w:val="none" w:sz="0" w:space="0" w:color="auto"/>
              </w:divBdr>
            </w:div>
            <w:div w:id="294152921">
              <w:marLeft w:val="0"/>
              <w:marRight w:val="0"/>
              <w:marTop w:val="0"/>
              <w:marBottom w:val="0"/>
              <w:divBdr>
                <w:top w:val="none" w:sz="0" w:space="0" w:color="auto"/>
                <w:left w:val="none" w:sz="0" w:space="0" w:color="auto"/>
                <w:bottom w:val="none" w:sz="0" w:space="0" w:color="auto"/>
                <w:right w:val="none" w:sz="0" w:space="0" w:color="auto"/>
              </w:divBdr>
            </w:div>
            <w:div w:id="294153503">
              <w:marLeft w:val="0"/>
              <w:marRight w:val="0"/>
              <w:marTop w:val="0"/>
              <w:marBottom w:val="0"/>
              <w:divBdr>
                <w:top w:val="none" w:sz="0" w:space="0" w:color="auto"/>
                <w:left w:val="none" w:sz="0" w:space="0" w:color="auto"/>
                <w:bottom w:val="none" w:sz="0" w:space="0" w:color="auto"/>
                <w:right w:val="none" w:sz="0" w:space="0" w:color="auto"/>
              </w:divBdr>
            </w:div>
            <w:div w:id="294153853">
              <w:marLeft w:val="0"/>
              <w:marRight w:val="0"/>
              <w:marTop w:val="0"/>
              <w:marBottom w:val="0"/>
              <w:divBdr>
                <w:top w:val="none" w:sz="0" w:space="0" w:color="auto"/>
                <w:left w:val="none" w:sz="0" w:space="0" w:color="auto"/>
                <w:bottom w:val="none" w:sz="0" w:space="0" w:color="auto"/>
                <w:right w:val="none" w:sz="0" w:space="0" w:color="auto"/>
              </w:divBdr>
            </w:div>
            <w:div w:id="294155932">
              <w:marLeft w:val="0"/>
              <w:marRight w:val="0"/>
              <w:marTop w:val="0"/>
              <w:marBottom w:val="0"/>
              <w:divBdr>
                <w:top w:val="none" w:sz="0" w:space="0" w:color="auto"/>
                <w:left w:val="none" w:sz="0" w:space="0" w:color="auto"/>
                <w:bottom w:val="none" w:sz="0" w:space="0" w:color="auto"/>
                <w:right w:val="none" w:sz="0" w:space="0" w:color="auto"/>
              </w:divBdr>
            </w:div>
            <w:div w:id="29415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7096">
      <w:marLeft w:val="0"/>
      <w:marRight w:val="0"/>
      <w:marTop w:val="0"/>
      <w:marBottom w:val="0"/>
      <w:divBdr>
        <w:top w:val="none" w:sz="0" w:space="0" w:color="auto"/>
        <w:left w:val="none" w:sz="0" w:space="0" w:color="auto"/>
        <w:bottom w:val="none" w:sz="0" w:space="0" w:color="auto"/>
        <w:right w:val="none" w:sz="0" w:space="0" w:color="auto"/>
      </w:divBdr>
    </w:div>
    <w:div w:id="294157122">
      <w:marLeft w:val="0"/>
      <w:marRight w:val="0"/>
      <w:marTop w:val="0"/>
      <w:marBottom w:val="0"/>
      <w:divBdr>
        <w:top w:val="none" w:sz="0" w:space="0" w:color="auto"/>
        <w:left w:val="none" w:sz="0" w:space="0" w:color="auto"/>
        <w:bottom w:val="none" w:sz="0" w:space="0" w:color="auto"/>
        <w:right w:val="none" w:sz="0" w:space="0" w:color="auto"/>
      </w:divBdr>
    </w:div>
    <w:div w:id="294157128">
      <w:marLeft w:val="0"/>
      <w:marRight w:val="0"/>
      <w:marTop w:val="0"/>
      <w:marBottom w:val="0"/>
      <w:divBdr>
        <w:top w:val="none" w:sz="0" w:space="0" w:color="auto"/>
        <w:left w:val="none" w:sz="0" w:space="0" w:color="auto"/>
        <w:bottom w:val="none" w:sz="0" w:space="0" w:color="auto"/>
        <w:right w:val="none" w:sz="0" w:space="0" w:color="auto"/>
      </w:divBdr>
    </w:div>
    <w:div w:id="294157132">
      <w:marLeft w:val="0"/>
      <w:marRight w:val="0"/>
      <w:marTop w:val="0"/>
      <w:marBottom w:val="0"/>
      <w:divBdr>
        <w:top w:val="none" w:sz="0" w:space="0" w:color="auto"/>
        <w:left w:val="none" w:sz="0" w:space="0" w:color="auto"/>
        <w:bottom w:val="none" w:sz="0" w:space="0" w:color="auto"/>
        <w:right w:val="none" w:sz="0" w:space="0" w:color="auto"/>
      </w:divBdr>
      <w:divsChild>
        <w:div w:id="294138179">
          <w:marLeft w:val="0"/>
          <w:marRight w:val="0"/>
          <w:marTop w:val="0"/>
          <w:marBottom w:val="0"/>
          <w:divBdr>
            <w:top w:val="none" w:sz="0" w:space="0" w:color="auto"/>
            <w:left w:val="none" w:sz="0" w:space="0" w:color="auto"/>
            <w:bottom w:val="none" w:sz="0" w:space="0" w:color="auto"/>
            <w:right w:val="none" w:sz="0" w:space="0" w:color="auto"/>
          </w:divBdr>
          <w:divsChild>
            <w:div w:id="294154472">
              <w:marLeft w:val="0"/>
              <w:marRight w:val="0"/>
              <w:marTop w:val="0"/>
              <w:marBottom w:val="0"/>
              <w:divBdr>
                <w:top w:val="none" w:sz="0" w:space="0" w:color="auto"/>
                <w:left w:val="none" w:sz="0" w:space="0" w:color="auto"/>
                <w:bottom w:val="none" w:sz="0" w:space="0" w:color="auto"/>
                <w:right w:val="none" w:sz="0" w:space="0" w:color="auto"/>
              </w:divBdr>
              <w:divsChild>
                <w:div w:id="294138363">
                  <w:marLeft w:val="0"/>
                  <w:marRight w:val="0"/>
                  <w:marTop w:val="0"/>
                  <w:marBottom w:val="0"/>
                  <w:divBdr>
                    <w:top w:val="none" w:sz="0" w:space="0" w:color="auto"/>
                    <w:left w:val="none" w:sz="0" w:space="0" w:color="auto"/>
                    <w:bottom w:val="none" w:sz="0" w:space="0" w:color="auto"/>
                    <w:right w:val="none" w:sz="0" w:space="0" w:color="auto"/>
                  </w:divBdr>
                </w:div>
                <w:div w:id="294138382">
                  <w:marLeft w:val="0"/>
                  <w:marRight w:val="0"/>
                  <w:marTop w:val="0"/>
                  <w:marBottom w:val="0"/>
                  <w:divBdr>
                    <w:top w:val="none" w:sz="0" w:space="0" w:color="auto"/>
                    <w:left w:val="none" w:sz="0" w:space="0" w:color="auto"/>
                    <w:bottom w:val="none" w:sz="0" w:space="0" w:color="auto"/>
                    <w:right w:val="none" w:sz="0" w:space="0" w:color="auto"/>
                  </w:divBdr>
                </w:div>
                <w:div w:id="294138488">
                  <w:marLeft w:val="0"/>
                  <w:marRight w:val="0"/>
                  <w:marTop w:val="0"/>
                  <w:marBottom w:val="0"/>
                  <w:divBdr>
                    <w:top w:val="none" w:sz="0" w:space="0" w:color="auto"/>
                    <w:left w:val="none" w:sz="0" w:space="0" w:color="auto"/>
                    <w:bottom w:val="none" w:sz="0" w:space="0" w:color="auto"/>
                    <w:right w:val="none" w:sz="0" w:space="0" w:color="auto"/>
                  </w:divBdr>
                </w:div>
                <w:div w:id="294138582">
                  <w:marLeft w:val="0"/>
                  <w:marRight w:val="0"/>
                  <w:marTop w:val="0"/>
                  <w:marBottom w:val="0"/>
                  <w:divBdr>
                    <w:top w:val="none" w:sz="0" w:space="0" w:color="auto"/>
                    <w:left w:val="none" w:sz="0" w:space="0" w:color="auto"/>
                    <w:bottom w:val="none" w:sz="0" w:space="0" w:color="auto"/>
                    <w:right w:val="none" w:sz="0" w:space="0" w:color="auto"/>
                  </w:divBdr>
                </w:div>
                <w:div w:id="294138903">
                  <w:marLeft w:val="0"/>
                  <w:marRight w:val="0"/>
                  <w:marTop w:val="0"/>
                  <w:marBottom w:val="0"/>
                  <w:divBdr>
                    <w:top w:val="none" w:sz="0" w:space="0" w:color="auto"/>
                    <w:left w:val="none" w:sz="0" w:space="0" w:color="auto"/>
                    <w:bottom w:val="none" w:sz="0" w:space="0" w:color="auto"/>
                    <w:right w:val="none" w:sz="0" w:space="0" w:color="auto"/>
                  </w:divBdr>
                </w:div>
                <w:div w:id="294139076">
                  <w:marLeft w:val="0"/>
                  <w:marRight w:val="0"/>
                  <w:marTop w:val="0"/>
                  <w:marBottom w:val="0"/>
                  <w:divBdr>
                    <w:top w:val="none" w:sz="0" w:space="0" w:color="auto"/>
                    <w:left w:val="none" w:sz="0" w:space="0" w:color="auto"/>
                    <w:bottom w:val="none" w:sz="0" w:space="0" w:color="auto"/>
                    <w:right w:val="none" w:sz="0" w:space="0" w:color="auto"/>
                  </w:divBdr>
                </w:div>
                <w:div w:id="294139288">
                  <w:marLeft w:val="0"/>
                  <w:marRight w:val="0"/>
                  <w:marTop w:val="0"/>
                  <w:marBottom w:val="0"/>
                  <w:divBdr>
                    <w:top w:val="none" w:sz="0" w:space="0" w:color="auto"/>
                    <w:left w:val="none" w:sz="0" w:space="0" w:color="auto"/>
                    <w:bottom w:val="none" w:sz="0" w:space="0" w:color="auto"/>
                    <w:right w:val="none" w:sz="0" w:space="0" w:color="auto"/>
                  </w:divBdr>
                </w:div>
                <w:div w:id="294139326">
                  <w:marLeft w:val="0"/>
                  <w:marRight w:val="0"/>
                  <w:marTop w:val="0"/>
                  <w:marBottom w:val="0"/>
                  <w:divBdr>
                    <w:top w:val="none" w:sz="0" w:space="0" w:color="auto"/>
                    <w:left w:val="none" w:sz="0" w:space="0" w:color="auto"/>
                    <w:bottom w:val="none" w:sz="0" w:space="0" w:color="auto"/>
                    <w:right w:val="none" w:sz="0" w:space="0" w:color="auto"/>
                  </w:divBdr>
                </w:div>
                <w:div w:id="294139477">
                  <w:marLeft w:val="0"/>
                  <w:marRight w:val="0"/>
                  <w:marTop w:val="0"/>
                  <w:marBottom w:val="0"/>
                  <w:divBdr>
                    <w:top w:val="none" w:sz="0" w:space="0" w:color="auto"/>
                    <w:left w:val="none" w:sz="0" w:space="0" w:color="auto"/>
                    <w:bottom w:val="none" w:sz="0" w:space="0" w:color="auto"/>
                    <w:right w:val="none" w:sz="0" w:space="0" w:color="auto"/>
                  </w:divBdr>
                </w:div>
                <w:div w:id="294140019">
                  <w:marLeft w:val="0"/>
                  <w:marRight w:val="0"/>
                  <w:marTop w:val="0"/>
                  <w:marBottom w:val="0"/>
                  <w:divBdr>
                    <w:top w:val="none" w:sz="0" w:space="0" w:color="auto"/>
                    <w:left w:val="none" w:sz="0" w:space="0" w:color="auto"/>
                    <w:bottom w:val="none" w:sz="0" w:space="0" w:color="auto"/>
                    <w:right w:val="none" w:sz="0" w:space="0" w:color="auto"/>
                  </w:divBdr>
                </w:div>
                <w:div w:id="294140459">
                  <w:marLeft w:val="0"/>
                  <w:marRight w:val="0"/>
                  <w:marTop w:val="0"/>
                  <w:marBottom w:val="0"/>
                  <w:divBdr>
                    <w:top w:val="none" w:sz="0" w:space="0" w:color="auto"/>
                    <w:left w:val="none" w:sz="0" w:space="0" w:color="auto"/>
                    <w:bottom w:val="none" w:sz="0" w:space="0" w:color="auto"/>
                    <w:right w:val="none" w:sz="0" w:space="0" w:color="auto"/>
                  </w:divBdr>
                </w:div>
                <w:div w:id="294140958">
                  <w:marLeft w:val="0"/>
                  <w:marRight w:val="0"/>
                  <w:marTop w:val="0"/>
                  <w:marBottom w:val="0"/>
                  <w:divBdr>
                    <w:top w:val="none" w:sz="0" w:space="0" w:color="auto"/>
                    <w:left w:val="none" w:sz="0" w:space="0" w:color="auto"/>
                    <w:bottom w:val="none" w:sz="0" w:space="0" w:color="auto"/>
                    <w:right w:val="none" w:sz="0" w:space="0" w:color="auto"/>
                  </w:divBdr>
                </w:div>
                <w:div w:id="294141071">
                  <w:marLeft w:val="0"/>
                  <w:marRight w:val="0"/>
                  <w:marTop w:val="0"/>
                  <w:marBottom w:val="0"/>
                  <w:divBdr>
                    <w:top w:val="none" w:sz="0" w:space="0" w:color="auto"/>
                    <w:left w:val="none" w:sz="0" w:space="0" w:color="auto"/>
                    <w:bottom w:val="none" w:sz="0" w:space="0" w:color="auto"/>
                    <w:right w:val="none" w:sz="0" w:space="0" w:color="auto"/>
                  </w:divBdr>
                </w:div>
                <w:div w:id="294141105">
                  <w:marLeft w:val="0"/>
                  <w:marRight w:val="0"/>
                  <w:marTop w:val="0"/>
                  <w:marBottom w:val="0"/>
                  <w:divBdr>
                    <w:top w:val="none" w:sz="0" w:space="0" w:color="auto"/>
                    <w:left w:val="none" w:sz="0" w:space="0" w:color="auto"/>
                    <w:bottom w:val="none" w:sz="0" w:space="0" w:color="auto"/>
                    <w:right w:val="none" w:sz="0" w:space="0" w:color="auto"/>
                  </w:divBdr>
                </w:div>
                <w:div w:id="294141468">
                  <w:marLeft w:val="0"/>
                  <w:marRight w:val="0"/>
                  <w:marTop w:val="0"/>
                  <w:marBottom w:val="0"/>
                  <w:divBdr>
                    <w:top w:val="none" w:sz="0" w:space="0" w:color="auto"/>
                    <w:left w:val="none" w:sz="0" w:space="0" w:color="auto"/>
                    <w:bottom w:val="none" w:sz="0" w:space="0" w:color="auto"/>
                    <w:right w:val="none" w:sz="0" w:space="0" w:color="auto"/>
                  </w:divBdr>
                </w:div>
                <w:div w:id="294141476">
                  <w:marLeft w:val="0"/>
                  <w:marRight w:val="0"/>
                  <w:marTop w:val="0"/>
                  <w:marBottom w:val="0"/>
                  <w:divBdr>
                    <w:top w:val="none" w:sz="0" w:space="0" w:color="auto"/>
                    <w:left w:val="none" w:sz="0" w:space="0" w:color="auto"/>
                    <w:bottom w:val="none" w:sz="0" w:space="0" w:color="auto"/>
                    <w:right w:val="none" w:sz="0" w:space="0" w:color="auto"/>
                  </w:divBdr>
                </w:div>
                <w:div w:id="294141606">
                  <w:marLeft w:val="0"/>
                  <w:marRight w:val="0"/>
                  <w:marTop w:val="0"/>
                  <w:marBottom w:val="0"/>
                  <w:divBdr>
                    <w:top w:val="none" w:sz="0" w:space="0" w:color="auto"/>
                    <w:left w:val="none" w:sz="0" w:space="0" w:color="auto"/>
                    <w:bottom w:val="none" w:sz="0" w:space="0" w:color="auto"/>
                    <w:right w:val="none" w:sz="0" w:space="0" w:color="auto"/>
                  </w:divBdr>
                </w:div>
                <w:div w:id="294141780">
                  <w:marLeft w:val="0"/>
                  <w:marRight w:val="0"/>
                  <w:marTop w:val="0"/>
                  <w:marBottom w:val="0"/>
                  <w:divBdr>
                    <w:top w:val="none" w:sz="0" w:space="0" w:color="auto"/>
                    <w:left w:val="none" w:sz="0" w:space="0" w:color="auto"/>
                    <w:bottom w:val="none" w:sz="0" w:space="0" w:color="auto"/>
                    <w:right w:val="none" w:sz="0" w:space="0" w:color="auto"/>
                  </w:divBdr>
                </w:div>
                <w:div w:id="294141830">
                  <w:marLeft w:val="0"/>
                  <w:marRight w:val="0"/>
                  <w:marTop w:val="0"/>
                  <w:marBottom w:val="0"/>
                  <w:divBdr>
                    <w:top w:val="none" w:sz="0" w:space="0" w:color="auto"/>
                    <w:left w:val="none" w:sz="0" w:space="0" w:color="auto"/>
                    <w:bottom w:val="none" w:sz="0" w:space="0" w:color="auto"/>
                    <w:right w:val="none" w:sz="0" w:space="0" w:color="auto"/>
                  </w:divBdr>
                </w:div>
                <w:div w:id="294141916">
                  <w:marLeft w:val="0"/>
                  <w:marRight w:val="0"/>
                  <w:marTop w:val="0"/>
                  <w:marBottom w:val="0"/>
                  <w:divBdr>
                    <w:top w:val="none" w:sz="0" w:space="0" w:color="auto"/>
                    <w:left w:val="none" w:sz="0" w:space="0" w:color="auto"/>
                    <w:bottom w:val="none" w:sz="0" w:space="0" w:color="auto"/>
                    <w:right w:val="none" w:sz="0" w:space="0" w:color="auto"/>
                  </w:divBdr>
                </w:div>
                <w:div w:id="294142421">
                  <w:marLeft w:val="0"/>
                  <w:marRight w:val="0"/>
                  <w:marTop w:val="0"/>
                  <w:marBottom w:val="0"/>
                  <w:divBdr>
                    <w:top w:val="none" w:sz="0" w:space="0" w:color="auto"/>
                    <w:left w:val="none" w:sz="0" w:space="0" w:color="auto"/>
                    <w:bottom w:val="none" w:sz="0" w:space="0" w:color="auto"/>
                    <w:right w:val="none" w:sz="0" w:space="0" w:color="auto"/>
                  </w:divBdr>
                </w:div>
                <w:div w:id="294142429">
                  <w:marLeft w:val="0"/>
                  <w:marRight w:val="0"/>
                  <w:marTop w:val="0"/>
                  <w:marBottom w:val="0"/>
                  <w:divBdr>
                    <w:top w:val="none" w:sz="0" w:space="0" w:color="auto"/>
                    <w:left w:val="none" w:sz="0" w:space="0" w:color="auto"/>
                    <w:bottom w:val="none" w:sz="0" w:space="0" w:color="auto"/>
                    <w:right w:val="none" w:sz="0" w:space="0" w:color="auto"/>
                  </w:divBdr>
                </w:div>
                <w:div w:id="294142449">
                  <w:marLeft w:val="0"/>
                  <w:marRight w:val="0"/>
                  <w:marTop w:val="0"/>
                  <w:marBottom w:val="0"/>
                  <w:divBdr>
                    <w:top w:val="none" w:sz="0" w:space="0" w:color="auto"/>
                    <w:left w:val="none" w:sz="0" w:space="0" w:color="auto"/>
                    <w:bottom w:val="none" w:sz="0" w:space="0" w:color="auto"/>
                    <w:right w:val="none" w:sz="0" w:space="0" w:color="auto"/>
                  </w:divBdr>
                </w:div>
                <w:div w:id="294142765">
                  <w:marLeft w:val="0"/>
                  <w:marRight w:val="0"/>
                  <w:marTop w:val="0"/>
                  <w:marBottom w:val="0"/>
                  <w:divBdr>
                    <w:top w:val="none" w:sz="0" w:space="0" w:color="auto"/>
                    <w:left w:val="none" w:sz="0" w:space="0" w:color="auto"/>
                    <w:bottom w:val="none" w:sz="0" w:space="0" w:color="auto"/>
                    <w:right w:val="none" w:sz="0" w:space="0" w:color="auto"/>
                  </w:divBdr>
                </w:div>
                <w:div w:id="294143376">
                  <w:marLeft w:val="0"/>
                  <w:marRight w:val="0"/>
                  <w:marTop w:val="0"/>
                  <w:marBottom w:val="0"/>
                  <w:divBdr>
                    <w:top w:val="none" w:sz="0" w:space="0" w:color="auto"/>
                    <w:left w:val="none" w:sz="0" w:space="0" w:color="auto"/>
                    <w:bottom w:val="none" w:sz="0" w:space="0" w:color="auto"/>
                    <w:right w:val="none" w:sz="0" w:space="0" w:color="auto"/>
                  </w:divBdr>
                </w:div>
                <w:div w:id="294143528">
                  <w:marLeft w:val="0"/>
                  <w:marRight w:val="0"/>
                  <w:marTop w:val="0"/>
                  <w:marBottom w:val="0"/>
                  <w:divBdr>
                    <w:top w:val="none" w:sz="0" w:space="0" w:color="auto"/>
                    <w:left w:val="none" w:sz="0" w:space="0" w:color="auto"/>
                    <w:bottom w:val="none" w:sz="0" w:space="0" w:color="auto"/>
                    <w:right w:val="none" w:sz="0" w:space="0" w:color="auto"/>
                  </w:divBdr>
                </w:div>
                <w:div w:id="294143542">
                  <w:marLeft w:val="0"/>
                  <w:marRight w:val="0"/>
                  <w:marTop w:val="0"/>
                  <w:marBottom w:val="0"/>
                  <w:divBdr>
                    <w:top w:val="none" w:sz="0" w:space="0" w:color="auto"/>
                    <w:left w:val="none" w:sz="0" w:space="0" w:color="auto"/>
                    <w:bottom w:val="none" w:sz="0" w:space="0" w:color="auto"/>
                    <w:right w:val="none" w:sz="0" w:space="0" w:color="auto"/>
                  </w:divBdr>
                </w:div>
                <w:div w:id="294143831">
                  <w:marLeft w:val="0"/>
                  <w:marRight w:val="0"/>
                  <w:marTop w:val="0"/>
                  <w:marBottom w:val="0"/>
                  <w:divBdr>
                    <w:top w:val="none" w:sz="0" w:space="0" w:color="auto"/>
                    <w:left w:val="none" w:sz="0" w:space="0" w:color="auto"/>
                    <w:bottom w:val="none" w:sz="0" w:space="0" w:color="auto"/>
                    <w:right w:val="none" w:sz="0" w:space="0" w:color="auto"/>
                  </w:divBdr>
                </w:div>
                <w:div w:id="294143958">
                  <w:marLeft w:val="0"/>
                  <w:marRight w:val="0"/>
                  <w:marTop w:val="0"/>
                  <w:marBottom w:val="0"/>
                  <w:divBdr>
                    <w:top w:val="none" w:sz="0" w:space="0" w:color="auto"/>
                    <w:left w:val="none" w:sz="0" w:space="0" w:color="auto"/>
                    <w:bottom w:val="none" w:sz="0" w:space="0" w:color="auto"/>
                    <w:right w:val="none" w:sz="0" w:space="0" w:color="auto"/>
                  </w:divBdr>
                </w:div>
                <w:div w:id="294144447">
                  <w:marLeft w:val="0"/>
                  <w:marRight w:val="0"/>
                  <w:marTop w:val="0"/>
                  <w:marBottom w:val="0"/>
                  <w:divBdr>
                    <w:top w:val="none" w:sz="0" w:space="0" w:color="auto"/>
                    <w:left w:val="none" w:sz="0" w:space="0" w:color="auto"/>
                    <w:bottom w:val="none" w:sz="0" w:space="0" w:color="auto"/>
                    <w:right w:val="none" w:sz="0" w:space="0" w:color="auto"/>
                  </w:divBdr>
                </w:div>
                <w:div w:id="294144492">
                  <w:marLeft w:val="0"/>
                  <w:marRight w:val="0"/>
                  <w:marTop w:val="0"/>
                  <w:marBottom w:val="0"/>
                  <w:divBdr>
                    <w:top w:val="none" w:sz="0" w:space="0" w:color="auto"/>
                    <w:left w:val="none" w:sz="0" w:space="0" w:color="auto"/>
                    <w:bottom w:val="none" w:sz="0" w:space="0" w:color="auto"/>
                    <w:right w:val="none" w:sz="0" w:space="0" w:color="auto"/>
                  </w:divBdr>
                </w:div>
                <w:div w:id="294144864">
                  <w:marLeft w:val="0"/>
                  <w:marRight w:val="0"/>
                  <w:marTop w:val="0"/>
                  <w:marBottom w:val="0"/>
                  <w:divBdr>
                    <w:top w:val="none" w:sz="0" w:space="0" w:color="auto"/>
                    <w:left w:val="none" w:sz="0" w:space="0" w:color="auto"/>
                    <w:bottom w:val="none" w:sz="0" w:space="0" w:color="auto"/>
                    <w:right w:val="none" w:sz="0" w:space="0" w:color="auto"/>
                  </w:divBdr>
                </w:div>
                <w:div w:id="294144888">
                  <w:marLeft w:val="0"/>
                  <w:marRight w:val="0"/>
                  <w:marTop w:val="0"/>
                  <w:marBottom w:val="0"/>
                  <w:divBdr>
                    <w:top w:val="none" w:sz="0" w:space="0" w:color="auto"/>
                    <w:left w:val="none" w:sz="0" w:space="0" w:color="auto"/>
                    <w:bottom w:val="none" w:sz="0" w:space="0" w:color="auto"/>
                    <w:right w:val="none" w:sz="0" w:space="0" w:color="auto"/>
                  </w:divBdr>
                </w:div>
                <w:div w:id="294145302">
                  <w:marLeft w:val="0"/>
                  <w:marRight w:val="0"/>
                  <w:marTop w:val="0"/>
                  <w:marBottom w:val="0"/>
                  <w:divBdr>
                    <w:top w:val="none" w:sz="0" w:space="0" w:color="auto"/>
                    <w:left w:val="none" w:sz="0" w:space="0" w:color="auto"/>
                    <w:bottom w:val="none" w:sz="0" w:space="0" w:color="auto"/>
                    <w:right w:val="none" w:sz="0" w:space="0" w:color="auto"/>
                  </w:divBdr>
                </w:div>
                <w:div w:id="294145364">
                  <w:marLeft w:val="0"/>
                  <w:marRight w:val="0"/>
                  <w:marTop w:val="0"/>
                  <w:marBottom w:val="0"/>
                  <w:divBdr>
                    <w:top w:val="none" w:sz="0" w:space="0" w:color="auto"/>
                    <w:left w:val="none" w:sz="0" w:space="0" w:color="auto"/>
                    <w:bottom w:val="none" w:sz="0" w:space="0" w:color="auto"/>
                    <w:right w:val="none" w:sz="0" w:space="0" w:color="auto"/>
                  </w:divBdr>
                </w:div>
                <w:div w:id="294145629">
                  <w:marLeft w:val="0"/>
                  <w:marRight w:val="0"/>
                  <w:marTop w:val="0"/>
                  <w:marBottom w:val="0"/>
                  <w:divBdr>
                    <w:top w:val="none" w:sz="0" w:space="0" w:color="auto"/>
                    <w:left w:val="none" w:sz="0" w:space="0" w:color="auto"/>
                    <w:bottom w:val="none" w:sz="0" w:space="0" w:color="auto"/>
                    <w:right w:val="none" w:sz="0" w:space="0" w:color="auto"/>
                  </w:divBdr>
                </w:div>
                <w:div w:id="294145907">
                  <w:marLeft w:val="0"/>
                  <w:marRight w:val="0"/>
                  <w:marTop w:val="0"/>
                  <w:marBottom w:val="0"/>
                  <w:divBdr>
                    <w:top w:val="none" w:sz="0" w:space="0" w:color="auto"/>
                    <w:left w:val="none" w:sz="0" w:space="0" w:color="auto"/>
                    <w:bottom w:val="none" w:sz="0" w:space="0" w:color="auto"/>
                    <w:right w:val="none" w:sz="0" w:space="0" w:color="auto"/>
                  </w:divBdr>
                </w:div>
                <w:div w:id="294146122">
                  <w:marLeft w:val="0"/>
                  <w:marRight w:val="0"/>
                  <w:marTop w:val="0"/>
                  <w:marBottom w:val="0"/>
                  <w:divBdr>
                    <w:top w:val="none" w:sz="0" w:space="0" w:color="auto"/>
                    <w:left w:val="none" w:sz="0" w:space="0" w:color="auto"/>
                    <w:bottom w:val="none" w:sz="0" w:space="0" w:color="auto"/>
                    <w:right w:val="none" w:sz="0" w:space="0" w:color="auto"/>
                  </w:divBdr>
                </w:div>
                <w:div w:id="294146364">
                  <w:marLeft w:val="0"/>
                  <w:marRight w:val="0"/>
                  <w:marTop w:val="0"/>
                  <w:marBottom w:val="0"/>
                  <w:divBdr>
                    <w:top w:val="none" w:sz="0" w:space="0" w:color="auto"/>
                    <w:left w:val="none" w:sz="0" w:space="0" w:color="auto"/>
                    <w:bottom w:val="none" w:sz="0" w:space="0" w:color="auto"/>
                    <w:right w:val="none" w:sz="0" w:space="0" w:color="auto"/>
                  </w:divBdr>
                </w:div>
                <w:div w:id="294146447">
                  <w:marLeft w:val="0"/>
                  <w:marRight w:val="0"/>
                  <w:marTop w:val="0"/>
                  <w:marBottom w:val="0"/>
                  <w:divBdr>
                    <w:top w:val="none" w:sz="0" w:space="0" w:color="auto"/>
                    <w:left w:val="none" w:sz="0" w:space="0" w:color="auto"/>
                    <w:bottom w:val="none" w:sz="0" w:space="0" w:color="auto"/>
                    <w:right w:val="none" w:sz="0" w:space="0" w:color="auto"/>
                  </w:divBdr>
                </w:div>
                <w:div w:id="294146533">
                  <w:marLeft w:val="0"/>
                  <w:marRight w:val="0"/>
                  <w:marTop w:val="0"/>
                  <w:marBottom w:val="0"/>
                  <w:divBdr>
                    <w:top w:val="none" w:sz="0" w:space="0" w:color="auto"/>
                    <w:left w:val="none" w:sz="0" w:space="0" w:color="auto"/>
                    <w:bottom w:val="none" w:sz="0" w:space="0" w:color="auto"/>
                    <w:right w:val="none" w:sz="0" w:space="0" w:color="auto"/>
                  </w:divBdr>
                </w:div>
                <w:div w:id="294146645">
                  <w:marLeft w:val="0"/>
                  <w:marRight w:val="0"/>
                  <w:marTop w:val="0"/>
                  <w:marBottom w:val="0"/>
                  <w:divBdr>
                    <w:top w:val="none" w:sz="0" w:space="0" w:color="auto"/>
                    <w:left w:val="none" w:sz="0" w:space="0" w:color="auto"/>
                    <w:bottom w:val="none" w:sz="0" w:space="0" w:color="auto"/>
                    <w:right w:val="none" w:sz="0" w:space="0" w:color="auto"/>
                  </w:divBdr>
                </w:div>
                <w:div w:id="294146776">
                  <w:marLeft w:val="0"/>
                  <w:marRight w:val="0"/>
                  <w:marTop w:val="0"/>
                  <w:marBottom w:val="0"/>
                  <w:divBdr>
                    <w:top w:val="none" w:sz="0" w:space="0" w:color="auto"/>
                    <w:left w:val="none" w:sz="0" w:space="0" w:color="auto"/>
                    <w:bottom w:val="none" w:sz="0" w:space="0" w:color="auto"/>
                    <w:right w:val="none" w:sz="0" w:space="0" w:color="auto"/>
                  </w:divBdr>
                </w:div>
                <w:div w:id="294146998">
                  <w:marLeft w:val="0"/>
                  <w:marRight w:val="0"/>
                  <w:marTop w:val="0"/>
                  <w:marBottom w:val="0"/>
                  <w:divBdr>
                    <w:top w:val="none" w:sz="0" w:space="0" w:color="auto"/>
                    <w:left w:val="none" w:sz="0" w:space="0" w:color="auto"/>
                    <w:bottom w:val="none" w:sz="0" w:space="0" w:color="auto"/>
                    <w:right w:val="none" w:sz="0" w:space="0" w:color="auto"/>
                  </w:divBdr>
                </w:div>
                <w:div w:id="294147186">
                  <w:marLeft w:val="0"/>
                  <w:marRight w:val="0"/>
                  <w:marTop w:val="0"/>
                  <w:marBottom w:val="0"/>
                  <w:divBdr>
                    <w:top w:val="none" w:sz="0" w:space="0" w:color="auto"/>
                    <w:left w:val="none" w:sz="0" w:space="0" w:color="auto"/>
                    <w:bottom w:val="none" w:sz="0" w:space="0" w:color="auto"/>
                    <w:right w:val="none" w:sz="0" w:space="0" w:color="auto"/>
                  </w:divBdr>
                </w:div>
                <w:div w:id="294147259">
                  <w:marLeft w:val="0"/>
                  <w:marRight w:val="0"/>
                  <w:marTop w:val="0"/>
                  <w:marBottom w:val="0"/>
                  <w:divBdr>
                    <w:top w:val="none" w:sz="0" w:space="0" w:color="auto"/>
                    <w:left w:val="none" w:sz="0" w:space="0" w:color="auto"/>
                    <w:bottom w:val="none" w:sz="0" w:space="0" w:color="auto"/>
                    <w:right w:val="none" w:sz="0" w:space="0" w:color="auto"/>
                  </w:divBdr>
                </w:div>
                <w:div w:id="294147984">
                  <w:marLeft w:val="0"/>
                  <w:marRight w:val="0"/>
                  <w:marTop w:val="0"/>
                  <w:marBottom w:val="0"/>
                  <w:divBdr>
                    <w:top w:val="none" w:sz="0" w:space="0" w:color="auto"/>
                    <w:left w:val="none" w:sz="0" w:space="0" w:color="auto"/>
                    <w:bottom w:val="none" w:sz="0" w:space="0" w:color="auto"/>
                    <w:right w:val="none" w:sz="0" w:space="0" w:color="auto"/>
                  </w:divBdr>
                </w:div>
                <w:div w:id="294148093">
                  <w:marLeft w:val="0"/>
                  <w:marRight w:val="0"/>
                  <w:marTop w:val="0"/>
                  <w:marBottom w:val="0"/>
                  <w:divBdr>
                    <w:top w:val="none" w:sz="0" w:space="0" w:color="auto"/>
                    <w:left w:val="none" w:sz="0" w:space="0" w:color="auto"/>
                    <w:bottom w:val="none" w:sz="0" w:space="0" w:color="auto"/>
                    <w:right w:val="none" w:sz="0" w:space="0" w:color="auto"/>
                  </w:divBdr>
                </w:div>
                <w:div w:id="294148570">
                  <w:marLeft w:val="0"/>
                  <w:marRight w:val="0"/>
                  <w:marTop w:val="0"/>
                  <w:marBottom w:val="0"/>
                  <w:divBdr>
                    <w:top w:val="none" w:sz="0" w:space="0" w:color="auto"/>
                    <w:left w:val="none" w:sz="0" w:space="0" w:color="auto"/>
                    <w:bottom w:val="none" w:sz="0" w:space="0" w:color="auto"/>
                    <w:right w:val="none" w:sz="0" w:space="0" w:color="auto"/>
                  </w:divBdr>
                </w:div>
                <w:div w:id="294148634">
                  <w:marLeft w:val="0"/>
                  <w:marRight w:val="0"/>
                  <w:marTop w:val="0"/>
                  <w:marBottom w:val="0"/>
                  <w:divBdr>
                    <w:top w:val="none" w:sz="0" w:space="0" w:color="auto"/>
                    <w:left w:val="none" w:sz="0" w:space="0" w:color="auto"/>
                    <w:bottom w:val="none" w:sz="0" w:space="0" w:color="auto"/>
                    <w:right w:val="none" w:sz="0" w:space="0" w:color="auto"/>
                  </w:divBdr>
                </w:div>
                <w:div w:id="294148716">
                  <w:marLeft w:val="0"/>
                  <w:marRight w:val="0"/>
                  <w:marTop w:val="0"/>
                  <w:marBottom w:val="0"/>
                  <w:divBdr>
                    <w:top w:val="none" w:sz="0" w:space="0" w:color="auto"/>
                    <w:left w:val="none" w:sz="0" w:space="0" w:color="auto"/>
                    <w:bottom w:val="none" w:sz="0" w:space="0" w:color="auto"/>
                    <w:right w:val="none" w:sz="0" w:space="0" w:color="auto"/>
                  </w:divBdr>
                </w:div>
                <w:div w:id="294148845">
                  <w:marLeft w:val="0"/>
                  <w:marRight w:val="0"/>
                  <w:marTop w:val="0"/>
                  <w:marBottom w:val="0"/>
                  <w:divBdr>
                    <w:top w:val="none" w:sz="0" w:space="0" w:color="auto"/>
                    <w:left w:val="none" w:sz="0" w:space="0" w:color="auto"/>
                    <w:bottom w:val="none" w:sz="0" w:space="0" w:color="auto"/>
                    <w:right w:val="none" w:sz="0" w:space="0" w:color="auto"/>
                  </w:divBdr>
                </w:div>
                <w:div w:id="294148860">
                  <w:marLeft w:val="0"/>
                  <w:marRight w:val="0"/>
                  <w:marTop w:val="0"/>
                  <w:marBottom w:val="0"/>
                  <w:divBdr>
                    <w:top w:val="none" w:sz="0" w:space="0" w:color="auto"/>
                    <w:left w:val="none" w:sz="0" w:space="0" w:color="auto"/>
                    <w:bottom w:val="none" w:sz="0" w:space="0" w:color="auto"/>
                    <w:right w:val="none" w:sz="0" w:space="0" w:color="auto"/>
                  </w:divBdr>
                </w:div>
                <w:div w:id="294148870">
                  <w:marLeft w:val="0"/>
                  <w:marRight w:val="0"/>
                  <w:marTop w:val="0"/>
                  <w:marBottom w:val="0"/>
                  <w:divBdr>
                    <w:top w:val="none" w:sz="0" w:space="0" w:color="auto"/>
                    <w:left w:val="none" w:sz="0" w:space="0" w:color="auto"/>
                    <w:bottom w:val="none" w:sz="0" w:space="0" w:color="auto"/>
                    <w:right w:val="none" w:sz="0" w:space="0" w:color="auto"/>
                  </w:divBdr>
                </w:div>
                <w:div w:id="294148881">
                  <w:marLeft w:val="0"/>
                  <w:marRight w:val="0"/>
                  <w:marTop w:val="0"/>
                  <w:marBottom w:val="0"/>
                  <w:divBdr>
                    <w:top w:val="none" w:sz="0" w:space="0" w:color="auto"/>
                    <w:left w:val="none" w:sz="0" w:space="0" w:color="auto"/>
                    <w:bottom w:val="none" w:sz="0" w:space="0" w:color="auto"/>
                    <w:right w:val="none" w:sz="0" w:space="0" w:color="auto"/>
                  </w:divBdr>
                </w:div>
                <w:div w:id="294149063">
                  <w:marLeft w:val="0"/>
                  <w:marRight w:val="0"/>
                  <w:marTop w:val="0"/>
                  <w:marBottom w:val="0"/>
                  <w:divBdr>
                    <w:top w:val="none" w:sz="0" w:space="0" w:color="auto"/>
                    <w:left w:val="none" w:sz="0" w:space="0" w:color="auto"/>
                    <w:bottom w:val="none" w:sz="0" w:space="0" w:color="auto"/>
                    <w:right w:val="none" w:sz="0" w:space="0" w:color="auto"/>
                  </w:divBdr>
                </w:div>
                <w:div w:id="294149375">
                  <w:marLeft w:val="0"/>
                  <w:marRight w:val="0"/>
                  <w:marTop w:val="0"/>
                  <w:marBottom w:val="0"/>
                  <w:divBdr>
                    <w:top w:val="none" w:sz="0" w:space="0" w:color="auto"/>
                    <w:left w:val="none" w:sz="0" w:space="0" w:color="auto"/>
                    <w:bottom w:val="none" w:sz="0" w:space="0" w:color="auto"/>
                    <w:right w:val="none" w:sz="0" w:space="0" w:color="auto"/>
                  </w:divBdr>
                </w:div>
                <w:div w:id="294149408">
                  <w:marLeft w:val="0"/>
                  <w:marRight w:val="0"/>
                  <w:marTop w:val="0"/>
                  <w:marBottom w:val="0"/>
                  <w:divBdr>
                    <w:top w:val="none" w:sz="0" w:space="0" w:color="auto"/>
                    <w:left w:val="none" w:sz="0" w:space="0" w:color="auto"/>
                    <w:bottom w:val="none" w:sz="0" w:space="0" w:color="auto"/>
                    <w:right w:val="none" w:sz="0" w:space="0" w:color="auto"/>
                  </w:divBdr>
                </w:div>
                <w:div w:id="294149793">
                  <w:marLeft w:val="0"/>
                  <w:marRight w:val="0"/>
                  <w:marTop w:val="0"/>
                  <w:marBottom w:val="0"/>
                  <w:divBdr>
                    <w:top w:val="none" w:sz="0" w:space="0" w:color="auto"/>
                    <w:left w:val="none" w:sz="0" w:space="0" w:color="auto"/>
                    <w:bottom w:val="none" w:sz="0" w:space="0" w:color="auto"/>
                    <w:right w:val="none" w:sz="0" w:space="0" w:color="auto"/>
                  </w:divBdr>
                </w:div>
                <w:div w:id="294150241">
                  <w:marLeft w:val="0"/>
                  <w:marRight w:val="0"/>
                  <w:marTop w:val="0"/>
                  <w:marBottom w:val="0"/>
                  <w:divBdr>
                    <w:top w:val="none" w:sz="0" w:space="0" w:color="auto"/>
                    <w:left w:val="none" w:sz="0" w:space="0" w:color="auto"/>
                    <w:bottom w:val="none" w:sz="0" w:space="0" w:color="auto"/>
                    <w:right w:val="none" w:sz="0" w:space="0" w:color="auto"/>
                  </w:divBdr>
                </w:div>
                <w:div w:id="294150873">
                  <w:marLeft w:val="0"/>
                  <w:marRight w:val="0"/>
                  <w:marTop w:val="0"/>
                  <w:marBottom w:val="0"/>
                  <w:divBdr>
                    <w:top w:val="none" w:sz="0" w:space="0" w:color="auto"/>
                    <w:left w:val="none" w:sz="0" w:space="0" w:color="auto"/>
                    <w:bottom w:val="none" w:sz="0" w:space="0" w:color="auto"/>
                    <w:right w:val="none" w:sz="0" w:space="0" w:color="auto"/>
                  </w:divBdr>
                </w:div>
                <w:div w:id="294151267">
                  <w:marLeft w:val="0"/>
                  <w:marRight w:val="0"/>
                  <w:marTop w:val="0"/>
                  <w:marBottom w:val="0"/>
                  <w:divBdr>
                    <w:top w:val="none" w:sz="0" w:space="0" w:color="auto"/>
                    <w:left w:val="none" w:sz="0" w:space="0" w:color="auto"/>
                    <w:bottom w:val="none" w:sz="0" w:space="0" w:color="auto"/>
                    <w:right w:val="none" w:sz="0" w:space="0" w:color="auto"/>
                  </w:divBdr>
                </w:div>
                <w:div w:id="294151345">
                  <w:marLeft w:val="0"/>
                  <w:marRight w:val="0"/>
                  <w:marTop w:val="0"/>
                  <w:marBottom w:val="0"/>
                  <w:divBdr>
                    <w:top w:val="none" w:sz="0" w:space="0" w:color="auto"/>
                    <w:left w:val="none" w:sz="0" w:space="0" w:color="auto"/>
                    <w:bottom w:val="none" w:sz="0" w:space="0" w:color="auto"/>
                    <w:right w:val="none" w:sz="0" w:space="0" w:color="auto"/>
                  </w:divBdr>
                </w:div>
                <w:div w:id="294151362">
                  <w:marLeft w:val="0"/>
                  <w:marRight w:val="0"/>
                  <w:marTop w:val="0"/>
                  <w:marBottom w:val="0"/>
                  <w:divBdr>
                    <w:top w:val="none" w:sz="0" w:space="0" w:color="auto"/>
                    <w:left w:val="none" w:sz="0" w:space="0" w:color="auto"/>
                    <w:bottom w:val="none" w:sz="0" w:space="0" w:color="auto"/>
                    <w:right w:val="none" w:sz="0" w:space="0" w:color="auto"/>
                  </w:divBdr>
                </w:div>
                <w:div w:id="294151380">
                  <w:marLeft w:val="0"/>
                  <w:marRight w:val="0"/>
                  <w:marTop w:val="0"/>
                  <w:marBottom w:val="0"/>
                  <w:divBdr>
                    <w:top w:val="none" w:sz="0" w:space="0" w:color="auto"/>
                    <w:left w:val="none" w:sz="0" w:space="0" w:color="auto"/>
                    <w:bottom w:val="none" w:sz="0" w:space="0" w:color="auto"/>
                    <w:right w:val="none" w:sz="0" w:space="0" w:color="auto"/>
                  </w:divBdr>
                </w:div>
                <w:div w:id="294151437">
                  <w:marLeft w:val="0"/>
                  <w:marRight w:val="0"/>
                  <w:marTop w:val="0"/>
                  <w:marBottom w:val="0"/>
                  <w:divBdr>
                    <w:top w:val="none" w:sz="0" w:space="0" w:color="auto"/>
                    <w:left w:val="none" w:sz="0" w:space="0" w:color="auto"/>
                    <w:bottom w:val="none" w:sz="0" w:space="0" w:color="auto"/>
                    <w:right w:val="none" w:sz="0" w:space="0" w:color="auto"/>
                  </w:divBdr>
                </w:div>
                <w:div w:id="294151636">
                  <w:marLeft w:val="0"/>
                  <w:marRight w:val="0"/>
                  <w:marTop w:val="0"/>
                  <w:marBottom w:val="0"/>
                  <w:divBdr>
                    <w:top w:val="none" w:sz="0" w:space="0" w:color="auto"/>
                    <w:left w:val="none" w:sz="0" w:space="0" w:color="auto"/>
                    <w:bottom w:val="none" w:sz="0" w:space="0" w:color="auto"/>
                    <w:right w:val="none" w:sz="0" w:space="0" w:color="auto"/>
                  </w:divBdr>
                </w:div>
                <w:div w:id="294151668">
                  <w:marLeft w:val="0"/>
                  <w:marRight w:val="0"/>
                  <w:marTop w:val="0"/>
                  <w:marBottom w:val="0"/>
                  <w:divBdr>
                    <w:top w:val="none" w:sz="0" w:space="0" w:color="auto"/>
                    <w:left w:val="none" w:sz="0" w:space="0" w:color="auto"/>
                    <w:bottom w:val="none" w:sz="0" w:space="0" w:color="auto"/>
                    <w:right w:val="none" w:sz="0" w:space="0" w:color="auto"/>
                  </w:divBdr>
                </w:div>
                <w:div w:id="294151950">
                  <w:marLeft w:val="0"/>
                  <w:marRight w:val="0"/>
                  <w:marTop w:val="0"/>
                  <w:marBottom w:val="0"/>
                  <w:divBdr>
                    <w:top w:val="none" w:sz="0" w:space="0" w:color="auto"/>
                    <w:left w:val="none" w:sz="0" w:space="0" w:color="auto"/>
                    <w:bottom w:val="none" w:sz="0" w:space="0" w:color="auto"/>
                    <w:right w:val="none" w:sz="0" w:space="0" w:color="auto"/>
                  </w:divBdr>
                </w:div>
                <w:div w:id="294152005">
                  <w:marLeft w:val="0"/>
                  <w:marRight w:val="0"/>
                  <w:marTop w:val="0"/>
                  <w:marBottom w:val="0"/>
                  <w:divBdr>
                    <w:top w:val="none" w:sz="0" w:space="0" w:color="auto"/>
                    <w:left w:val="none" w:sz="0" w:space="0" w:color="auto"/>
                    <w:bottom w:val="none" w:sz="0" w:space="0" w:color="auto"/>
                    <w:right w:val="none" w:sz="0" w:space="0" w:color="auto"/>
                  </w:divBdr>
                </w:div>
                <w:div w:id="294152006">
                  <w:marLeft w:val="0"/>
                  <w:marRight w:val="0"/>
                  <w:marTop w:val="0"/>
                  <w:marBottom w:val="0"/>
                  <w:divBdr>
                    <w:top w:val="none" w:sz="0" w:space="0" w:color="auto"/>
                    <w:left w:val="none" w:sz="0" w:space="0" w:color="auto"/>
                    <w:bottom w:val="none" w:sz="0" w:space="0" w:color="auto"/>
                    <w:right w:val="none" w:sz="0" w:space="0" w:color="auto"/>
                  </w:divBdr>
                </w:div>
                <w:div w:id="294152556">
                  <w:marLeft w:val="0"/>
                  <w:marRight w:val="0"/>
                  <w:marTop w:val="0"/>
                  <w:marBottom w:val="0"/>
                  <w:divBdr>
                    <w:top w:val="none" w:sz="0" w:space="0" w:color="auto"/>
                    <w:left w:val="none" w:sz="0" w:space="0" w:color="auto"/>
                    <w:bottom w:val="none" w:sz="0" w:space="0" w:color="auto"/>
                    <w:right w:val="none" w:sz="0" w:space="0" w:color="auto"/>
                  </w:divBdr>
                </w:div>
                <w:div w:id="294152639">
                  <w:marLeft w:val="0"/>
                  <w:marRight w:val="0"/>
                  <w:marTop w:val="0"/>
                  <w:marBottom w:val="0"/>
                  <w:divBdr>
                    <w:top w:val="none" w:sz="0" w:space="0" w:color="auto"/>
                    <w:left w:val="none" w:sz="0" w:space="0" w:color="auto"/>
                    <w:bottom w:val="none" w:sz="0" w:space="0" w:color="auto"/>
                    <w:right w:val="none" w:sz="0" w:space="0" w:color="auto"/>
                  </w:divBdr>
                </w:div>
                <w:div w:id="294152660">
                  <w:marLeft w:val="0"/>
                  <w:marRight w:val="0"/>
                  <w:marTop w:val="0"/>
                  <w:marBottom w:val="0"/>
                  <w:divBdr>
                    <w:top w:val="none" w:sz="0" w:space="0" w:color="auto"/>
                    <w:left w:val="none" w:sz="0" w:space="0" w:color="auto"/>
                    <w:bottom w:val="none" w:sz="0" w:space="0" w:color="auto"/>
                    <w:right w:val="none" w:sz="0" w:space="0" w:color="auto"/>
                  </w:divBdr>
                </w:div>
                <w:div w:id="294152732">
                  <w:marLeft w:val="0"/>
                  <w:marRight w:val="0"/>
                  <w:marTop w:val="0"/>
                  <w:marBottom w:val="0"/>
                  <w:divBdr>
                    <w:top w:val="none" w:sz="0" w:space="0" w:color="auto"/>
                    <w:left w:val="none" w:sz="0" w:space="0" w:color="auto"/>
                    <w:bottom w:val="none" w:sz="0" w:space="0" w:color="auto"/>
                    <w:right w:val="none" w:sz="0" w:space="0" w:color="auto"/>
                  </w:divBdr>
                </w:div>
                <w:div w:id="294152885">
                  <w:marLeft w:val="0"/>
                  <w:marRight w:val="0"/>
                  <w:marTop w:val="0"/>
                  <w:marBottom w:val="0"/>
                  <w:divBdr>
                    <w:top w:val="none" w:sz="0" w:space="0" w:color="auto"/>
                    <w:left w:val="none" w:sz="0" w:space="0" w:color="auto"/>
                    <w:bottom w:val="none" w:sz="0" w:space="0" w:color="auto"/>
                    <w:right w:val="none" w:sz="0" w:space="0" w:color="auto"/>
                  </w:divBdr>
                </w:div>
                <w:div w:id="294152948">
                  <w:marLeft w:val="0"/>
                  <w:marRight w:val="0"/>
                  <w:marTop w:val="0"/>
                  <w:marBottom w:val="0"/>
                  <w:divBdr>
                    <w:top w:val="none" w:sz="0" w:space="0" w:color="auto"/>
                    <w:left w:val="none" w:sz="0" w:space="0" w:color="auto"/>
                    <w:bottom w:val="none" w:sz="0" w:space="0" w:color="auto"/>
                    <w:right w:val="none" w:sz="0" w:space="0" w:color="auto"/>
                  </w:divBdr>
                </w:div>
                <w:div w:id="294153015">
                  <w:marLeft w:val="0"/>
                  <w:marRight w:val="0"/>
                  <w:marTop w:val="0"/>
                  <w:marBottom w:val="0"/>
                  <w:divBdr>
                    <w:top w:val="none" w:sz="0" w:space="0" w:color="auto"/>
                    <w:left w:val="none" w:sz="0" w:space="0" w:color="auto"/>
                    <w:bottom w:val="none" w:sz="0" w:space="0" w:color="auto"/>
                    <w:right w:val="none" w:sz="0" w:space="0" w:color="auto"/>
                  </w:divBdr>
                </w:div>
                <w:div w:id="294153500">
                  <w:marLeft w:val="0"/>
                  <w:marRight w:val="0"/>
                  <w:marTop w:val="0"/>
                  <w:marBottom w:val="0"/>
                  <w:divBdr>
                    <w:top w:val="none" w:sz="0" w:space="0" w:color="auto"/>
                    <w:left w:val="none" w:sz="0" w:space="0" w:color="auto"/>
                    <w:bottom w:val="none" w:sz="0" w:space="0" w:color="auto"/>
                    <w:right w:val="none" w:sz="0" w:space="0" w:color="auto"/>
                  </w:divBdr>
                </w:div>
                <w:div w:id="294153606">
                  <w:marLeft w:val="0"/>
                  <w:marRight w:val="0"/>
                  <w:marTop w:val="0"/>
                  <w:marBottom w:val="0"/>
                  <w:divBdr>
                    <w:top w:val="none" w:sz="0" w:space="0" w:color="auto"/>
                    <w:left w:val="none" w:sz="0" w:space="0" w:color="auto"/>
                    <w:bottom w:val="none" w:sz="0" w:space="0" w:color="auto"/>
                    <w:right w:val="none" w:sz="0" w:space="0" w:color="auto"/>
                  </w:divBdr>
                </w:div>
                <w:div w:id="294153995">
                  <w:marLeft w:val="0"/>
                  <w:marRight w:val="0"/>
                  <w:marTop w:val="0"/>
                  <w:marBottom w:val="0"/>
                  <w:divBdr>
                    <w:top w:val="none" w:sz="0" w:space="0" w:color="auto"/>
                    <w:left w:val="none" w:sz="0" w:space="0" w:color="auto"/>
                    <w:bottom w:val="none" w:sz="0" w:space="0" w:color="auto"/>
                    <w:right w:val="none" w:sz="0" w:space="0" w:color="auto"/>
                  </w:divBdr>
                </w:div>
                <w:div w:id="294154068">
                  <w:marLeft w:val="0"/>
                  <w:marRight w:val="0"/>
                  <w:marTop w:val="0"/>
                  <w:marBottom w:val="0"/>
                  <w:divBdr>
                    <w:top w:val="none" w:sz="0" w:space="0" w:color="auto"/>
                    <w:left w:val="none" w:sz="0" w:space="0" w:color="auto"/>
                    <w:bottom w:val="none" w:sz="0" w:space="0" w:color="auto"/>
                    <w:right w:val="none" w:sz="0" w:space="0" w:color="auto"/>
                  </w:divBdr>
                </w:div>
                <w:div w:id="294154233">
                  <w:marLeft w:val="0"/>
                  <w:marRight w:val="0"/>
                  <w:marTop w:val="0"/>
                  <w:marBottom w:val="0"/>
                  <w:divBdr>
                    <w:top w:val="none" w:sz="0" w:space="0" w:color="auto"/>
                    <w:left w:val="none" w:sz="0" w:space="0" w:color="auto"/>
                    <w:bottom w:val="none" w:sz="0" w:space="0" w:color="auto"/>
                    <w:right w:val="none" w:sz="0" w:space="0" w:color="auto"/>
                  </w:divBdr>
                </w:div>
                <w:div w:id="294154530">
                  <w:marLeft w:val="0"/>
                  <w:marRight w:val="0"/>
                  <w:marTop w:val="0"/>
                  <w:marBottom w:val="0"/>
                  <w:divBdr>
                    <w:top w:val="none" w:sz="0" w:space="0" w:color="auto"/>
                    <w:left w:val="none" w:sz="0" w:space="0" w:color="auto"/>
                    <w:bottom w:val="none" w:sz="0" w:space="0" w:color="auto"/>
                    <w:right w:val="none" w:sz="0" w:space="0" w:color="auto"/>
                  </w:divBdr>
                </w:div>
                <w:div w:id="294154551">
                  <w:marLeft w:val="0"/>
                  <w:marRight w:val="0"/>
                  <w:marTop w:val="0"/>
                  <w:marBottom w:val="0"/>
                  <w:divBdr>
                    <w:top w:val="none" w:sz="0" w:space="0" w:color="auto"/>
                    <w:left w:val="none" w:sz="0" w:space="0" w:color="auto"/>
                    <w:bottom w:val="none" w:sz="0" w:space="0" w:color="auto"/>
                    <w:right w:val="none" w:sz="0" w:space="0" w:color="auto"/>
                  </w:divBdr>
                </w:div>
                <w:div w:id="294154555">
                  <w:marLeft w:val="0"/>
                  <w:marRight w:val="0"/>
                  <w:marTop w:val="0"/>
                  <w:marBottom w:val="0"/>
                  <w:divBdr>
                    <w:top w:val="none" w:sz="0" w:space="0" w:color="auto"/>
                    <w:left w:val="none" w:sz="0" w:space="0" w:color="auto"/>
                    <w:bottom w:val="none" w:sz="0" w:space="0" w:color="auto"/>
                    <w:right w:val="none" w:sz="0" w:space="0" w:color="auto"/>
                  </w:divBdr>
                </w:div>
                <w:div w:id="294154596">
                  <w:marLeft w:val="0"/>
                  <w:marRight w:val="0"/>
                  <w:marTop w:val="0"/>
                  <w:marBottom w:val="0"/>
                  <w:divBdr>
                    <w:top w:val="none" w:sz="0" w:space="0" w:color="auto"/>
                    <w:left w:val="none" w:sz="0" w:space="0" w:color="auto"/>
                    <w:bottom w:val="none" w:sz="0" w:space="0" w:color="auto"/>
                    <w:right w:val="none" w:sz="0" w:space="0" w:color="auto"/>
                  </w:divBdr>
                </w:div>
                <w:div w:id="294154626">
                  <w:marLeft w:val="0"/>
                  <w:marRight w:val="0"/>
                  <w:marTop w:val="0"/>
                  <w:marBottom w:val="0"/>
                  <w:divBdr>
                    <w:top w:val="none" w:sz="0" w:space="0" w:color="auto"/>
                    <w:left w:val="none" w:sz="0" w:space="0" w:color="auto"/>
                    <w:bottom w:val="none" w:sz="0" w:space="0" w:color="auto"/>
                    <w:right w:val="none" w:sz="0" w:space="0" w:color="auto"/>
                  </w:divBdr>
                </w:div>
                <w:div w:id="294154645">
                  <w:marLeft w:val="0"/>
                  <w:marRight w:val="0"/>
                  <w:marTop w:val="0"/>
                  <w:marBottom w:val="0"/>
                  <w:divBdr>
                    <w:top w:val="none" w:sz="0" w:space="0" w:color="auto"/>
                    <w:left w:val="none" w:sz="0" w:space="0" w:color="auto"/>
                    <w:bottom w:val="none" w:sz="0" w:space="0" w:color="auto"/>
                    <w:right w:val="none" w:sz="0" w:space="0" w:color="auto"/>
                  </w:divBdr>
                </w:div>
                <w:div w:id="294154870">
                  <w:marLeft w:val="0"/>
                  <w:marRight w:val="0"/>
                  <w:marTop w:val="0"/>
                  <w:marBottom w:val="0"/>
                  <w:divBdr>
                    <w:top w:val="none" w:sz="0" w:space="0" w:color="auto"/>
                    <w:left w:val="none" w:sz="0" w:space="0" w:color="auto"/>
                    <w:bottom w:val="none" w:sz="0" w:space="0" w:color="auto"/>
                    <w:right w:val="none" w:sz="0" w:space="0" w:color="auto"/>
                  </w:divBdr>
                </w:div>
                <w:div w:id="294154888">
                  <w:marLeft w:val="0"/>
                  <w:marRight w:val="0"/>
                  <w:marTop w:val="0"/>
                  <w:marBottom w:val="0"/>
                  <w:divBdr>
                    <w:top w:val="none" w:sz="0" w:space="0" w:color="auto"/>
                    <w:left w:val="none" w:sz="0" w:space="0" w:color="auto"/>
                    <w:bottom w:val="none" w:sz="0" w:space="0" w:color="auto"/>
                    <w:right w:val="none" w:sz="0" w:space="0" w:color="auto"/>
                  </w:divBdr>
                </w:div>
                <w:div w:id="294155108">
                  <w:marLeft w:val="0"/>
                  <w:marRight w:val="0"/>
                  <w:marTop w:val="0"/>
                  <w:marBottom w:val="0"/>
                  <w:divBdr>
                    <w:top w:val="none" w:sz="0" w:space="0" w:color="auto"/>
                    <w:left w:val="none" w:sz="0" w:space="0" w:color="auto"/>
                    <w:bottom w:val="none" w:sz="0" w:space="0" w:color="auto"/>
                    <w:right w:val="none" w:sz="0" w:space="0" w:color="auto"/>
                  </w:divBdr>
                </w:div>
                <w:div w:id="294155310">
                  <w:marLeft w:val="0"/>
                  <w:marRight w:val="0"/>
                  <w:marTop w:val="0"/>
                  <w:marBottom w:val="0"/>
                  <w:divBdr>
                    <w:top w:val="none" w:sz="0" w:space="0" w:color="auto"/>
                    <w:left w:val="none" w:sz="0" w:space="0" w:color="auto"/>
                    <w:bottom w:val="none" w:sz="0" w:space="0" w:color="auto"/>
                    <w:right w:val="none" w:sz="0" w:space="0" w:color="auto"/>
                  </w:divBdr>
                </w:div>
                <w:div w:id="294156038">
                  <w:marLeft w:val="0"/>
                  <w:marRight w:val="0"/>
                  <w:marTop w:val="0"/>
                  <w:marBottom w:val="0"/>
                  <w:divBdr>
                    <w:top w:val="none" w:sz="0" w:space="0" w:color="auto"/>
                    <w:left w:val="none" w:sz="0" w:space="0" w:color="auto"/>
                    <w:bottom w:val="none" w:sz="0" w:space="0" w:color="auto"/>
                    <w:right w:val="none" w:sz="0" w:space="0" w:color="auto"/>
                  </w:divBdr>
                </w:div>
                <w:div w:id="294156044">
                  <w:marLeft w:val="0"/>
                  <w:marRight w:val="0"/>
                  <w:marTop w:val="0"/>
                  <w:marBottom w:val="0"/>
                  <w:divBdr>
                    <w:top w:val="none" w:sz="0" w:space="0" w:color="auto"/>
                    <w:left w:val="none" w:sz="0" w:space="0" w:color="auto"/>
                    <w:bottom w:val="none" w:sz="0" w:space="0" w:color="auto"/>
                    <w:right w:val="none" w:sz="0" w:space="0" w:color="auto"/>
                  </w:divBdr>
                </w:div>
                <w:div w:id="294156180">
                  <w:marLeft w:val="0"/>
                  <w:marRight w:val="0"/>
                  <w:marTop w:val="0"/>
                  <w:marBottom w:val="0"/>
                  <w:divBdr>
                    <w:top w:val="none" w:sz="0" w:space="0" w:color="auto"/>
                    <w:left w:val="none" w:sz="0" w:space="0" w:color="auto"/>
                    <w:bottom w:val="none" w:sz="0" w:space="0" w:color="auto"/>
                    <w:right w:val="none" w:sz="0" w:space="0" w:color="auto"/>
                  </w:divBdr>
                </w:div>
                <w:div w:id="294156323">
                  <w:marLeft w:val="0"/>
                  <w:marRight w:val="0"/>
                  <w:marTop w:val="0"/>
                  <w:marBottom w:val="0"/>
                  <w:divBdr>
                    <w:top w:val="none" w:sz="0" w:space="0" w:color="auto"/>
                    <w:left w:val="none" w:sz="0" w:space="0" w:color="auto"/>
                    <w:bottom w:val="none" w:sz="0" w:space="0" w:color="auto"/>
                    <w:right w:val="none" w:sz="0" w:space="0" w:color="auto"/>
                  </w:divBdr>
                </w:div>
                <w:div w:id="294156865">
                  <w:marLeft w:val="0"/>
                  <w:marRight w:val="0"/>
                  <w:marTop w:val="0"/>
                  <w:marBottom w:val="0"/>
                  <w:divBdr>
                    <w:top w:val="none" w:sz="0" w:space="0" w:color="auto"/>
                    <w:left w:val="none" w:sz="0" w:space="0" w:color="auto"/>
                    <w:bottom w:val="none" w:sz="0" w:space="0" w:color="auto"/>
                    <w:right w:val="none" w:sz="0" w:space="0" w:color="auto"/>
                  </w:divBdr>
                </w:div>
                <w:div w:id="294156878">
                  <w:marLeft w:val="0"/>
                  <w:marRight w:val="0"/>
                  <w:marTop w:val="0"/>
                  <w:marBottom w:val="0"/>
                  <w:divBdr>
                    <w:top w:val="none" w:sz="0" w:space="0" w:color="auto"/>
                    <w:left w:val="none" w:sz="0" w:space="0" w:color="auto"/>
                    <w:bottom w:val="none" w:sz="0" w:space="0" w:color="auto"/>
                    <w:right w:val="none" w:sz="0" w:space="0" w:color="auto"/>
                  </w:divBdr>
                </w:div>
                <w:div w:id="294157455">
                  <w:marLeft w:val="0"/>
                  <w:marRight w:val="0"/>
                  <w:marTop w:val="0"/>
                  <w:marBottom w:val="0"/>
                  <w:divBdr>
                    <w:top w:val="none" w:sz="0" w:space="0" w:color="auto"/>
                    <w:left w:val="none" w:sz="0" w:space="0" w:color="auto"/>
                    <w:bottom w:val="none" w:sz="0" w:space="0" w:color="auto"/>
                    <w:right w:val="none" w:sz="0" w:space="0" w:color="auto"/>
                  </w:divBdr>
                </w:div>
                <w:div w:id="29415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3012">
          <w:marLeft w:val="0"/>
          <w:marRight w:val="0"/>
          <w:marTop w:val="0"/>
          <w:marBottom w:val="0"/>
          <w:divBdr>
            <w:top w:val="none" w:sz="0" w:space="0" w:color="auto"/>
            <w:left w:val="none" w:sz="0" w:space="0" w:color="auto"/>
            <w:bottom w:val="none" w:sz="0" w:space="0" w:color="auto"/>
            <w:right w:val="none" w:sz="0" w:space="0" w:color="auto"/>
          </w:divBdr>
          <w:divsChild>
            <w:div w:id="294146193">
              <w:marLeft w:val="0"/>
              <w:marRight w:val="0"/>
              <w:marTop w:val="0"/>
              <w:marBottom w:val="0"/>
              <w:divBdr>
                <w:top w:val="none" w:sz="0" w:space="0" w:color="auto"/>
                <w:left w:val="none" w:sz="0" w:space="0" w:color="auto"/>
                <w:bottom w:val="none" w:sz="0" w:space="0" w:color="auto"/>
                <w:right w:val="none" w:sz="0" w:space="0" w:color="auto"/>
              </w:divBdr>
              <w:divsChild>
                <w:div w:id="29415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55776">
          <w:marLeft w:val="0"/>
          <w:marRight w:val="0"/>
          <w:marTop w:val="0"/>
          <w:marBottom w:val="0"/>
          <w:divBdr>
            <w:top w:val="none" w:sz="0" w:space="0" w:color="auto"/>
            <w:left w:val="none" w:sz="0" w:space="0" w:color="auto"/>
            <w:bottom w:val="none" w:sz="0" w:space="0" w:color="auto"/>
            <w:right w:val="none" w:sz="0" w:space="0" w:color="auto"/>
          </w:divBdr>
          <w:divsChild>
            <w:div w:id="294153402">
              <w:marLeft w:val="0"/>
              <w:marRight w:val="0"/>
              <w:marTop w:val="0"/>
              <w:marBottom w:val="0"/>
              <w:divBdr>
                <w:top w:val="none" w:sz="0" w:space="0" w:color="auto"/>
                <w:left w:val="none" w:sz="0" w:space="0" w:color="auto"/>
                <w:bottom w:val="none" w:sz="0" w:space="0" w:color="auto"/>
                <w:right w:val="none" w:sz="0" w:space="0" w:color="auto"/>
              </w:divBdr>
              <w:divsChild>
                <w:div w:id="294145813">
                  <w:marLeft w:val="0"/>
                  <w:marRight w:val="0"/>
                  <w:marTop w:val="0"/>
                  <w:marBottom w:val="0"/>
                  <w:divBdr>
                    <w:top w:val="none" w:sz="0" w:space="0" w:color="auto"/>
                    <w:left w:val="none" w:sz="0" w:space="0" w:color="auto"/>
                    <w:bottom w:val="none" w:sz="0" w:space="0" w:color="auto"/>
                    <w:right w:val="none" w:sz="0" w:space="0" w:color="auto"/>
                  </w:divBdr>
                  <w:divsChild>
                    <w:div w:id="294138045">
                      <w:marLeft w:val="0"/>
                      <w:marRight w:val="0"/>
                      <w:marTop w:val="0"/>
                      <w:marBottom w:val="0"/>
                      <w:divBdr>
                        <w:top w:val="none" w:sz="0" w:space="0" w:color="auto"/>
                        <w:left w:val="none" w:sz="0" w:space="0" w:color="auto"/>
                        <w:bottom w:val="none" w:sz="0" w:space="0" w:color="auto"/>
                        <w:right w:val="none" w:sz="0" w:space="0" w:color="auto"/>
                      </w:divBdr>
                    </w:div>
                    <w:div w:id="294138709">
                      <w:marLeft w:val="0"/>
                      <w:marRight w:val="0"/>
                      <w:marTop w:val="0"/>
                      <w:marBottom w:val="0"/>
                      <w:divBdr>
                        <w:top w:val="none" w:sz="0" w:space="0" w:color="auto"/>
                        <w:left w:val="none" w:sz="0" w:space="0" w:color="auto"/>
                        <w:bottom w:val="none" w:sz="0" w:space="0" w:color="auto"/>
                        <w:right w:val="none" w:sz="0" w:space="0" w:color="auto"/>
                      </w:divBdr>
                      <w:divsChild>
                        <w:div w:id="294150923">
                          <w:marLeft w:val="0"/>
                          <w:marRight w:val="0"/>
                          <w:marTop w:val="0"/>
                          <w:marBottom w:val="0"/>
                          <w:divBdr>
                            <w:top w:val="none" w:sz="0" w:space="0" w:color="auto"/>
                            <w:left w:val="none" w:sz="0" w:space="0" w:color="auto"/>
                            <w:bottom w:val="none" w:sz="0" w:space="0" w:color="auto"/>
                            <w:right w:val="none" w:sz="0" w:space="0" w:color="auto"/>
                          </w:divBdr>
                        </w:div>
                      </w:divsChild>
                    </w:div>
                    <w:div w:id="294139118">
                      <w:marLeft w:val="0"/>
                      <w:marRight w:val="0"/>
                      <w:marTop w:val="0"/>
                      <w:marBottom w:val="0"/>
                      <w:divBdr>
                        <w:top w:val="none" w:sz="0" w:space="0" w:color="auto"/>
                        <w:left w:val="none" w:sz="0" w:space="0" w:color="auto"/>
                        <w:bottom w:val="none" w:sz="0" w:space="0" w:color="auto"/>
                        <w:right w:val="none" w:sz="0" w:space="0" w:color="auto"/>
                      </w:divBdr>
                    </w:div>
                    <w:div w:id="294139311">
                      <w:marLeft w:val="0"/>
                      <w:marRight w:val="0"/>
                      <w:marTop w:val="0"/>
                      <w:marBottom w:val="0"/>
                      <w:divBdr>
                        <w:top w:val="none" w:sz="0" w:space="0" w:color="auto"/>
                        <w:left w:val="none" w:sz="0" w:space="0" w:color="auto"/>
                        <w:bottom w:val="none" w:sz="0" w:space="0" w:color="auto"/>
                        <w:right w:val="none" w:sz="0" w:space="0" w:color="auto"/>
                      </w:divBdr>
                      <w:divsChild>
                        <w:div w:id="294154659">
                          <w:marLeft w:val="0"/>
                          <w:marRight w:val="0"/>
                          <w:marTop w:val="0"/>
                          <w:marBottom w:val="0"/>
                          <w:divBdr>
                            <w:top w:val="none" w:sz="0" w:space="0" w:color="auto"/>
                            <w:left w:val="none" w:sz="0" w:space="0" w:color="auto"/>
                            <w:bottom w:val="none" w:sz="0" w:space="0" w:color="auto"/>
                            <w:right w:val="none" w:sz="0" w:space="0" w:color="auto"/>
                          </w:divBdr>
                        </w:div>
                      </w:divsChild>
                    </w:div>
                    <w:div w:id="294139625">
                      <w:marLeft w:val="0"/>
                      <w:marRight w:val="0"/>
                      <w:marTop w:val="0"/>
                      <w:marBottom w:val="0"/>
                      <w:divBdr>
                        <w:top w:val="none" w:sz="0" w:space="0" w:color="auto"/>
                        <w:left w:val="none" w:sz="0" w:space="0" w:color="auto"/>
                        <w:bottom w:val="none" w:sz="0" w:space="0" w:color="auto"/>
                        <w:right w:val="none" w:sz="0" w:space="0" w:color="auto"/>
                      </w:divBdr>
                      <w:divsChild>
                        <w:div w:id="294147515">
                          <w:marLeft w:val="0"/>
                          <w:marRight w:val="0"/>
                          <w:marTop w:val="0"/>
                          <w:marBottom w:val="0"/>
                          <w:divBdr>
                            <w:top w:val="none" w:sz="0" w:space="0" w:color="auto"/>
                            <w:left w:val="none" w:sz="0" w:space="0" w:color="auto"/>
                            <w:bottom w:val="none" w:sz="0" w:space="0" w:color="auto"/>
                            <w:right w:val="none" w:sz="0" w:space="0" w:color="auto"/>
                          </w:divBdr>
                        </w:div>
                      </w:divsChild>
                    </w:div>
                    <w:div w:id="294139995">
                      <w:marLeft w:val="0"/>
                      <w:marRight w:val="0"/>
                      <w:marTop w:val="0"/>
                      <w:marBottom w:val="0"/>
                      <w:divBdr>
                        <w:top w:val="none" w:sz="0" w:space="0" w:color="auto"/>
                        <w:left w:val="none" w:sz="0" w:space="0" w:color="auto"/>
                        <w:bottom w:val="none" w:sz="0" w:space="0" w:color="auto"/>
                        <w:right w:val="none" w:sz="0" w:space="0" w:color="auto"/>
                      </w:divBdr>
                      <w:divsChild>
                        <w:div w:id="294151994">
                          <w:marLeft w:val="0"/>
                          <w:marRight w:val="0"/>
                          <w:marTop w:val="0"/>
                          <w:marBottom w:val="0"/>
                          <w:divBdr>
                            <w:top w:val="none" w:sz="0" w:space="0" w:color="auto"/>
                            <w:left w:val="none" w:sz="0" w:space="0" w:color="auto"/>
                            <w:bottom w:val="none" w:sz="0" w:space="0" w:color="auto"/>
                            <w:right w:val="none" w:sz="0" w:space="0" w:color="auto"/>
                          </w:divBdr>
                        </w:div>
                      </w:divsChild>
                    </w:div>
                    <w:div w:id="294140071">
                      <w:marLeft w:val="0"/>
                      <w:marRight w:val="0"/>
                      <w:marTop w:val="0"/>
                      <w:marBottom w:val="0"/>
                      <w:divBdr>
                        <w:top w:val="none" w:sz="0" w:space="0" w:color="auto"/>
                        <w:left w:val="none" w:sz="0" w:space="0" w:color="auto"/>
                        <w:bottom w:val="none" w:sz="0" w:space="0" w:color="auto"/>
                        <w:right w:val="none" w:sz="0" w:space="0" w:color="auto"/>
                      </w:divBdr>
                    </w:div>
                    <w:div w:id="294140161">
                      <w:marLeft w:val="0"/>
                      <w:marRight w:val="0"/>
                      <w:marTop w:val="0"/>
                      <w:marBottom w:val="0"/>
                      <w:divBdr>
                        <w:top w:val="none" w:sz="0" w:space="0" w:color="auto"/>
                        <w:left w:val="none" w:sz="0" w:space="0" w:color="auto"/>
                        <w:bottom w:val="none" w:sz="0" w:space="0" w:color="auto"/>
                        <w:right w:val="none" w:sz="0" w:space="0" w:color="auto"/>
                      </w:divBdr>
                      <w:divsChild>
                        <w:div w:id="294144724">
                          <w:marLeft w:val="0"/>
                          <w:marRight w:val="0"/>
                          <w:marTop w:val="0"/>
                          <w:marBottom w:val="0"/>
                          <w:divBdr>
                            <w:top w:val="none" w:sz="0" w:space="0" w:color="auto"/>
                            <w:left w:val="none" w:sz="0" w:space="0" w:color="auto"/>
                            <w:bottom w:val="none" w:sz="0" w:space="0" w:color="auto"/>
                            <w:right w:val="none" w:sz="0" w:space="0" w:color="auto"/>
                          </w:divBdr>
                        </w:div>
                      </w:divsChild>
                    </w:div>
                    <w:div w:id="294140233">
                      <w:marLeft w:val="0"/>
                      <w:marRight w:val="0"/>
                      <w:marTop w:val="0"/>
                      <w:marBottom w:val="0"/>
                      <w:divBdr>
                        <w:top w:val="none" w:sz="0" w:space="0" w:color="auto"/>
                        <w:left w:val="none" w:sz="0" w:space="0" w:color="auto"/>
                        <w:bottom w:val="none" w:sz="0" w:space="0" w:color="auto"/>
                        <w:right w:val="none" w:sz="0" w:space="0" w:color="auto"/>
                      </w:divBdr>
                    </w:div>
                    <w:div w:id="294140320">
                      <w:marLeft w:val="0"/>
                      <w:marRight w:val="0"/>
                      <w:marTop w:val="0"/>
                      <w:marBottom w:val="0"/>
                      <w:divBdr>
                        <w:top w:val="none" w:sz="0" w:space="0" w:color="auto"/>
                        <w:left w:val="none" w:sz="0" w:space="0" w:color="auto"/>
                        <w:bottom w:val="none" w:sz="0" w:space="0" w:color="auto"/>
                        <w:right w:val="none" w:sz="0" w:space="0" w:color="auto"/>
                      </w:divBdr>
                    </w:div>
                    <w:div w:id="294140380">
                      <w:marLeft w:val="0"/>
                      <w:marRight w:val="0"/>
                      <w:marTop w:val="0"/>
                      <w:marBottom w:val="0"/>
                      <w:divBdr>
                        <w:top w:val="none" w:sz="0" w:space="0" w:color="auto"/>
                        <w:left w:val="none" w:sz="0" w:space="0" w:color="auto"/>
                        <w:bottom w:val="none" w:sz="0" w:space="0" w:color="auto"/>
                        <w:right w:val="none" w:sz="0" w:space="0" w:color="auto"/>
                      </w:divBdr>
                    </w:div>
                    <w:div w:id="294140411">
                      <w:marLeft w:val="0"/>
                      <w:marRight w:val="0"/>
                      <w:marTop w:val="0"/>
                      <w:marBottom w:val="0"/>
                      <w:divBdr>
                        <w:top w:val="none" w:sz="0" w:space="0" w:color="auto"/>
                        <w:left w:val="none" w:sz="0" w:space="0" w:color="auto"/>
                        <w:bottom w:val="none" w:sz="0" w:space="0" w:color="auto"/>
                        <w:right w:val="none" w:sz="0" w:space="0" w:color="auto"/>
                      </w:divBdr>
                    </w:div>
                    <w:div w:id="294141403">
                      <w:marLeft w:val="0"/>
                      <w:marRight w:val="0"/>
                      <w:marTop w:val="0"/>
                      <w:marBottom w:val="0"/>
                      <w:divBdr>
                        <w:top w:val="none" w:sz="0" w:space="0" w:color="auto"/>
                        <w:left w:val="none" w:sz="0" w:space="0" w:color="auto"/>
                        <w:bottom w:val="none" w:sz="0" w:space="0" w:color="auto"/>
                        <w:right w:val="none" w:sz="0" w:space="0" w:color="auto"/>
                      </w:divBdr>
                    </w:div>
                    <w:div w:id="294141706">
                      <w:marLeft w:val="0"/>
                      <w:marRight w:val="0"/>
                      <w:marTop w:val="0"/>
                      <w:marBottom w:val="0"/>
                      <w:divBdr>
                        <w:top w:val="none" w:sz="0" w:space="0" w:color="auto"/>
                        <w:left w:val="none" w:sz="0" w:space="0" w:color="auto"/>
                        <w:bottom w:val="none" w:sz="0" w:space="0" w:color="auto"/>
                        <w:right w:val="none" w:sz="0" w:space="0" w:color="auto"/>
                      </w:divBdr>
                      <w:divsChild>
                        <w:div w:id="294140464">
                          <w:marLeft w:val="0"/>
                          <w:marRight w:val="0"/>
                          <w:marTop w:val="0"/>
                          <w:marBottom w:val="0"/>
                          <w:divBdr>
                            <w:top w:val="none" w:sz="0" w:space="0" w:color="auto"/>
                            <w:left w:val="none" w:sz="0" w:space="0" w:color="auto"/>
                            <w:bottom w:val="none" w:sz="0" w:space="0" w:color="auto"/>
                            <w:right w:val="none" w:sz="0" w:space="0" w:color="auto"/>
                          </w:divBdr>
                        </w:div>
                      </w:divsChild>
                    </w:div>
                    <w:div w:id="294141725">
                      <w:marLeft w:val="0"/>
                      <w:marRight w:val="0"/>
                      <w:marTop w:val="0"/>
                      <w:marBottom w:val="0"/>
                      <w:divBdr>
                        <w:top w:val="none" w:sz="0" w:space="0" w:color="auto"/>
                        <w:left w:val="none" w:sz="0" w:space="0" w:color="auto"/>
                        <w:bottom w:val="none" w:sz="0" w:space="0" w:color="auto"/>
                        <w:right w:val="none" w:sz="0" w:space="0" w:color="auto"/>
                      </w:divBdr>
                    </w:div>
                    <w:div w:id="294142112">
                      <w:marLeft w:val="0"/>
                      <w:marRight w:val="0"/>
                      <w:marTop w:val="0"/>
                      <w:marBottom w:val="0"/>
                      <w:divBdr>
                        <w:top w:val="none" w:sz="0" w:space="0" w:color="auto"/>
                        <w:left w:val="none" w:sz="0" w:space="0" w:color="auto"/>
                        <w:bottom w:val="none" w:sz="0" w:space="0" w:color="auto"/>
                        <w:right w:val="none" w:sz="0" w:space="0" w:color="auto"/>
                      </w:divBdr>
                      <w:divsChild>
                        <w:div w:id="294156688">
                          <w:marLeft w:val="0"/>
                          <w:marRight w:val="0"/>
                          <w:marTop w:val="0"/>
                          <w:marBottom w:val="0"/>
                          <w:divBdr>
                            <w:top w:val="none" w:sz="0" w:space="0" w:color="auto"/>
                            <w:left w:val="none" w:sz="0" w:space="0" w:color="auto"/>
                            <w:bottom w:val="none" w:sz="0" w:space="0" w:color="auto"/>
                            <w:right w:val="none" w:sz="0" w:space="0" w:color="auto"/>
                          </w:divBdr>
                        </w:div>
                      </w:divsChild>
                    </w:div>
                    <w:div w:id="294142336">
                      <w:marLeft w:val="0"/>
                      <w:marRight w:val="0"/>
                      <w:marTop w:val="0"/>
                      <w:marBottom w:val="0"/>
                      <w:divBdr>
                        <w:top w:val="none" w:sz="0" w:space="0" w:color="auto"/>
                        <w:left w:val="none" w:sz="0" w:space="0" w:color="auto"/>
                        <w:bottom w:val="none" w:sz="0" w:space="0" w:color="auto"/>
                        <w:right w:val="none" w:sz="0" w:space="0" w:color="auto"/>
                      </w:divBdr>
                    </w:div>
                    <w:div w:id="294142357">
                      <w:marLeft w:val="0"/>
                      <w:marRight w:val="0"/>
                      <w:marTop w:val="0"/>
                      <w:marBottom w:val="0"/>
                      <w:divBdr>
                        <w:top w:val="none" w:sz="0" w:space="0" w:color="auto"/>
                        <w:left w:val="none" w:sz="0" w:space="0" w:color="auto"/>
                        <w:bottom w:val="none" w:sz="0" w:space="0" w:color="auto"/>
                        <w:right w:val="none" w:sz="0" w:space="0" w:color="auto"/>
                      </w:divBdr>
                      <w:divsChild>
                        <w:div w:id="294151375">
                          <w:marLeft w:val="0"/>
                          <w:marRight w:val="0"/>
                          <w:marTop w:val="0"/>
                          <w:marBottom w:val="0"/>
                          <w:divBdr>
                            <w:top w:val="none" w:sz="0" w:space="0" w:color="auto"/>
                            <w:left w:val="none" w:sz="0" w:space="0" w:color="auto"/>
                            <w:bottom w:val="none" w:sz="0" w:space="0" w:color="auto"/>
                            <w:right w:val="none" w:sz="0" w:space="0" w:color="auto"/>
                          </w:divBdr>
                        </w:div>
                      </w:divsChild>
                    </w:div>
                    <w:div w:id="294142452">
                      <w:marLeft w:val="0"/>
                      <w:marRight w:val="0"/>
                      <w:marTop w:val="0"/>
                      <w:marBottom w:val="0"/>
                      <w:divBdr>
                        <w:top w:val="none" w:sz="0" w:space="0" w:color="auto"/>
                        <w:left w:val="none" w:sz="0" w:space="0" w:color="auto"/>
                        <w:bottom w:val="none" w:sz="0" w:space="0" w:color="auto"/>
                        <w:right w:val="none" w:sz="0" w:space="0" w:color="auto"/>
                      </w:divBdr>
                    </w:div>
                    <w:div w:id="294142526">
                      <w:marLeft w:val="0"/>
                      <w:marRight w:val="0"/>
                      <w:marTop w:val="0"/>
                      <w:marBottom w:val="0"/>
                      <w:divBdr>
                        <w:top w:val="none" w:sz="0" w:space="0" w:color="auto"/>
                        <w:left w:val="none" w:sz="0" w:space="0" w:color="auto"/>
                        <w:bottom w:val="none" w:sz="0" w:space="0" w:color="auto"/>
                        <w:right w:val="none" w:sz="0" w:space="0" w:color="auto"/>
                      </w:divBdr>
                      <w:divsChild>
                        <w:div w:id="294152298">
                          <w:marLeft w:val="0"/>
                          <w:marRight w:val="0"/>
                          <w:marTop w:val="0"/>
                          <w:marBottom w:val="0"/>
                          <w:divBdr>
                            <w:top w:val="none" w:sz="0" w:space="0" w:color="auto"/>
                            <w:left w:val="none" w:sz="0" w:space="0" w:color="auto"/>
                            <w:bottom w:val="none" w:sz="0" w:space="0" w:color="auto"/>
                            <w:right w:val="none" w:sz="0" w:space="0" w:color="auto"/>
                          </w:divBdr>
                        </w:div>
                      </w:divsChild>
                    </w:div>
                    <w:div w:id="294143563">
                      <w:marLeft w:val="0"/>
                      <w:marRight w:val="0"/>
                      <w:marTop w:val="0"/>
                      <w:marBottom w:val="0"/>
                      <w:divBdr>
                        <w:top w:val="none" w:sz="0" w:space="0" w:color="auto"/>
                        <w:left w:val="none" w:sz="0" w:space="0" w:color="auto"/>
                        <w:bottom w:val="none" w:sz="0" w:space="0" w:color="auto"/>
                        <w:right w:val="none" w:sz="0" w:space="0" w:color="auto"/>
                      </w:divBdr>
                      <w:divsChild>
                        <w:div w:id="294140971">
                          <w:marLeft w:val="0"/>
                          <w:marRight w:val="0"/>
                          <w:marTop w:val="0"/>
                          <w:marBottom w:val="0"/>
                          <w:divBdr>
                            <w:top w:val="none" w:sz="0" w:space="0" w:color="auto"/>
                            <w:left w:val="none" w:sz="0" w:space="0" w:color="auto"/>
                            <w:bottom w:val="none" w:sz="0" w:space="0" w:color="auto"/>
                            <w:right w:val="none" w:sz="0" w:space="0" w:color="auto"/>
                          </w:divBdr>
                        </w:div>
                      </w:divsChild>
                    </w:div>
                    <w:div w:id="294143814">
                      <w:marLeft w:val="0"/>
                      <w:marRight w:val="0"/>
                      <w:marTop w:val="0"/>
                      <w:marBottom w:val="0"/>
                      <w:divBdr>
                        <w:top w:val="none" w:sz="0" w:space="0" w:color="auto"/>
                        <w:left w:val="none" w:sz="0" w:space="0" w:color="auto"/>
                        <w:bottom w:val="none" w:sz="0" w:space="0" w:color="auto"/>
                        <w:right w:val="none" w:sz="0" w:space="0" w:color="auto"/>
                      </w:divBdr>
                    </w:div>
                    <w:div w:id="294144772">
                      <w:marLeft w:val="0"/>
                      <w:marRight w:val="0"/>
                      <w:marTop w:val="0"/>
                      <w:marBottom w:val="0"/>
                      <w:divBdr>
                        <w:top w:val="none" w:sz="0" w:space="0" w:color="auto"/>
                        <w:left w:val="none" w:sz="0" w:space="0" w:color="auto"/>
                        <w:bottom w:val="none" w:sz="0" w:space="0" w:color="auto"/>
                        <w:right w:val="none" w:sz="0" w:space="0" w:color="auto"/>
                      </w:divBdr>
                      <w:divsChild>
                        <w:div w:id="294156889">
                          <w:marLeft w:val="0"/>
                          <w:marRight w:val="0"/>
                          <w:marTop w:val="0"/>
                          <w:marBottom w:val="0"/>
                          <w:divBdr>
                            <w:top w:val="none" w:sz="0" w:space="0" w:color="auto"/>
                            <w:left w:val="none" w:sz="0" w:space="0" w:color="auto"/>
                            <w:bottom w:val="none" w:sz="0" w:space="0" w:color="auto"/>
                            <w:right w:val="none" w:sz="0" w:space="0" w:color="auto"/>
                          </w:divBdr>
                        </w:div>
                      </w:divsChild>
                    </w:div>
                    <w:div w:id="294144832">
                      <w:marLeft w:val="0"/>
                      <w:marRight w:val="0"/>
                      <w:marTop w:val="0"/>
                      <w:marBottom w:val="0"/>
                      <w:divBdr>
                        <w:top w:val="none" w:sz="0" w:space="0" w:color="auto"/>
                        <w:left w:val="none" w:sz="0" w:space="0" w:color="auto"/>
                        <w:bottom w:val="none" w:sz="0" w:space="0" w:color="auto"/>
                        <w:right w:val="none" w:sz="0" w:space="0" w:color="auto"/>
                      </w:divBdr>
                      <w:divsChild>
                        <w:div w:id="294146427">
                          <w:marLeft w:val="0"/>
                          <w:marRight w:val="0"/>
                          <w:marTop w:val="0"/>
                          <w:marBottom w:val="0"/>
                          <w:divBdr>
                            <w:top w:val="none" w:sz="0" w:space="0" w:color="auto"/>
                            <w:left w:val="none" w:sz="0" w:space="0" w:color="auto"/>
                            <w:bottom w:val="none" w:sz="0" w:space="0" w:color="auto"/>
                            <w:right w:val="none" w:sz="0" w:space="0" w:color="auto"/>
                          </w:divBdr>
                        </w:div>
                      </w:divsChild>
                    </w:div>
                    <w:div w:id="294144962">
                      <w:marLeft w:val="0"/>
                      <w:marRight w:val="0"/>
                      <w:marTop w:val="0"/>
                      <w:marBottom w:val="0"/>
                      <w:divBdr>
                        <w:top w:val="none" w:sz="0" w:space="0" w:color="auto"/>
                        <w:left w:val="none" w:sz="0" w:space="0" w:color="auto"/>
                        <w:bottom w:val="none" w:sz="0" w:space="0" w:color="auto"/>
                        <w:right w:val="none" w:sz="0" w:space="0" w:color="auto"/>
                      </w:divBdr>
                    </w:div>
                    <w:div w:id="294145019">
                      <w:marLeft w:val="0"/>
                      <w:marRight w:val="0"/>
                      <w:marTop w:val="0"/>
                      <w:marBottom w:val="0"/>
                      <w:divBdr>
                        <w:top w:val="none" w:sz="0" w:space="0" w:color="auto"/>
                        <w:left w:val="none" w:sz="0" w:space="0" w:color="auto"/>
                        <w:bottom w:val="none" w:sz="0" w:space="0" w:color="auto"/>
                        <w:right w:val="none" w:sz="0" w:space="0" w:color="auto"/>
                      </w:divBdr>
                      <w:divsChild>
                        <w:div w:id="294146331">
                          <w:marLeft w:val="0"/>
                          <w:marRight w:val="0"/>
                          <w:marTop w:val="0"/>
                          <w:marBottom w:val="0"/>
                          <w:divBdr>
                            <w:top w:val="none" w:sz="0" w:space="0" w:color="auto"/>
                            <w:left w:val="none" w:sz="0" w:space="0" w:color="auto"/>
                            <w:bottom w:val="none" w:sz="0" w:space="0" w:color="auto"/>
                            <w:right w:val="none" w:sz="0" w:space="0" w:color="auto"/>
                          </w:divBdr>
                        </w:div>
                      </w:divsChild>
                    </w:div>
                    <w:div w:id="294145116">
                      <w:marLeft w:val="0"/>
                      <w:marRight w:val="0"/>
                      <w:marTop w:val="0"/>
                      <w:marBottom w:val="0"/>
                      <w:divBdr>
                        <w:top w:val="none" w:sz="0" w:space="0" w:color="auto"/>
                        <w:left w:val="none" w:sz="0" w:space="0" w:color="auto"/>
                        <w:bottom w:val="none" w:sz="0" w:space="0" w:color="auto"/>
                        <w:right w:val="none" w:sz="0" w:space="0" w:color="auto"/>
                      </w:divBdr>
                      <w:divsChild>
                        <w:div w:id="294147720">
                          <w:marLeft w:val="0"/>
                          <w:marRight w:val="0"/>
                          <w:marTop w:val="0"/>
                          <w:marBottom w:val="0"/>
                          <w:divBdr>
                            <w:top w:val="none" w:sz="0" w:space="0" w:color="auto"/>
                            <w:left w:val="none" w:sz="0" w:space="0" w:color="auto"/>
                            <w:bottom w:val="none" w:sz="0" w:space="0" w:color="auto"/>
                            <w:right w:val="none" w:sz="0" w:space="0" w:color="auto"/>
                          </w:divBdr>
                        </w:div>
                      </w:divsChild>
                    </w:div>
                    <w:div w:id="294146252">
                      <w:marLeft w:val="0"/>
                      <w:marRight w:val="0"/>
                      <w:marTop w:val="0"/>
                      <w:marBottom w:val="0"/>
                      <w:divBdr>
                        <w:top w:val="none" w:sz="0" w:space="0" w:color="auto"/>
                        <w:left w:val="none" w:sz="0" w:space="0" w:color="auto"/>
                        <w:bottom w:val="none" w:sz="0" w:space="0" w:color="auto"/>
                        <w:right w:val="none" w:sz="0" w:space="0" w:color="auto"/>
                      </w:divBdr>
                      <w:divsChild>
                        <w:div w:id="294146467">
                          <w:marLeft w:val="0"/>
                          <w:marRight w:val="0"/>
                          <w:marTop w:val="0"/>
                          <w:marBottom w:val="0"/>
                          <w:divBdr>
                            <w:top w:val="none" w:sz="0" w:space="0" w:color="auto"/>
                            <w:left w:val="none" w:sz="0" w:space="0" w:color="auto"/>
                            <w:bottom w:val="none" w:sz="0" w:space="0" w:color="auto"/>
                            <w:right w:val="none" w:sz="0" w:space="0" w:color="auto"/>
                          </w:divBdr>
                        </w:div>
                      </w:divsChild>
                    </w:div>
                    <w:div w:id="294146330">
                      <w:marLeft w:val="0"/>
                      <w:marRight w:val="0"/>
                      <w:marTop w:val="0"/>
                      <w:marBottom w:val="0"/>
                      <w:divBdr>
                        <w:top w:val="none" w:sz="0" w:space="0" w:color="auto"/>
                        <w:left w:val="none" w:sz="0" w:space="0" w:color="auto"/>
                        <w:bottom w:val="none" w:sz="0" w:space="0" w:color="auto"/>
                        <w:right w:val="none" w:sz="0" w:space="0" w:color="auto"/>
                      </w:divBdr>
                    </w:div>
                    <w:div w:id="294146828">
                      <w:marLeft w:val="0"/>
                      <w:marRight w:val="0"/>
                      <w:marTop w:val="0"/>
                      <w:marBottom w:val="0"/>
                      <w:divBdr>
                        <w:top w:val="none" w:sz="0" w:space="0" w:color="auto"/>
                        <w:left w:val="none" w:sz="0" w:space="0" w:color="auto"/>
                        <w:bottom w:val="none" w:sz="0" w:space="0" w:color="auto"/>
                        <w:right w:val="none" w:sz="0" w:space="0" w:color="auto"/>
                      </w:divBdr>
                      <w:divsChild>
                        <w:div w:id="294147626">
                          <w:marLeft w:val="0"/>
                          <w:marRight w:val="0"/>
                          <w:marTop w:val="0"/>
                          <w:marBottom w:val="0"/>
                          <w:divBdr>
                            <w:top w:val="none" w:sz="0" w:space="0" w:color="auto"/>
                            <w:left w:val="none" w:sz="0" w:space="0" w:color="auto"/>
                            <w:bottom w:val="none" w:sz="0" w:space="0" w:color="auto"/>
                            <w:right w:val="none" w:sz="0" w:space="0" w:color="auto"/>
                          </w:divBdr>
                        </w:div>
                      </w:divsChild>
                    </w:div>
                    <w:div w:id="294147053">
                      <w:marLeft w:val="0"/>
                      <w:marRight w:val="0"/>
                      <w:marTop w:val="0"/>
                      <w:marBottom w:val="0"/>
                      <w:divBdr>
                        <w:top w:val="none" w:sz="0" w:space="0" w:color="auto"/>
                        <w:left w:val="none" w:sz="0" w:space="0" w:color="auto"/>
                        <w:bottom w:val="none" w:sz="0" w:space="0" w:color="auto"/>
                        <w:right w:val="none" w:sz="0" w:space="0" w:color="auto"/>
                      </w:divBdr>
                    </w:div>
                    <w:div w:id="294147348">
                      <w:marLeft w:val="0"/>
                      <w:marRight w:val="0"/>
                      <w:marTop w:val="0"/>
                      <w:marBottom w:val="0"/>
                      <w:divBdr>
                        <w:top w:val="none" w:sz="0" w:space="0" w:color="auto"/>
                        <w:left w:val="none" w:sz="0" w:space="0" w:color="auto"/>
                        <w:bottom w:val="none" w:sz="0" w:space="0" w:color="auto"/>
                        <w:right w:val="none" w:sz="0" w:space="0" w:color="auto"/>
                      </w:divBdr>
                    </w:div>
                    <w:div w:id="294147384">
                      <w:marLeft w:val="0"/>
                      <w:marRight w:val="0"/>
                      <w:marTop w:val="0"/>
                      <w:marBottom w:val="0"/>
                      <w:divBdr>
                        <w:top w:val="none" w:sz="0" w:space="0" w:color="auto"/>
                        <w:left w:val="none" w:sz="0" w:space="0" w:color="auto"/>
                        <w:bottom w:val="none" w:sz="0" w:space="0" w:color="auto"/>
                        <w:right w:val="none" w:sz="0" w:space="0" w:color="auto"/>
                      </w:divBdr>
                      <w:divsChild>
                        <w:div w:id="294145383">
                          <w:marLeft w:val="0"/>
                          <w:marRight w:val="0"/>
                          <w:marTop w:val="0"/>
                          <w:marBottom w:val="0"/>
                          <w:divBdr>
                            <w:top w:val="none" w:sz="0" w:space="0" w:color="auto"/>
                            <w:left w:val="none" w:sz="0" w:space="0" w:color="auto"/>
                            <w:bottom w:val="none" w:sz="0" w:space="0" w:color="auto"/>
                            <w:right w:val="none" w:sz="0" w:space="0" w:color="auto"/>
                          </w:divBdr>
                        </w:div>
                      </w:divsChild>
                    </w:div>
                    <w:div w:id="294147592">
                      <w:marLeft w:val="0"/>
                      <w:marRight w:val="0"/>
                      <w:marTop w:val="0"/>
                      <w:marBottom w:val="0"/>
                      <w:divBdr>
                        <w:top w:val="none" w:sz="0" w:space="0" w:color="auto"/>
                        <w:left w:val="none" w:sz="0" w:space="0" w:color="auto"/>
                        <w:bottom w:val="none" w:sz="0" w:space="0" w:color="auto"/>
                        <w:right w:val="none" w:sz="0" w:space="0" w:color="auto"/>
                      </w:divBdr>
                    </w:div>
                    <w:div w:id="294147633">
                      <w:marLeft w:val="0"/>
                      <w:marRight w:val="0"/>
                      <w:marTop w:val="0"/>
                      <w:marBottom w:val="0"/>
                      <w:divBdr>
                        <w:top w:val="none" w:sz="0" w:space="0" w:color="auto"/>
                        <w:left w:val="none" w:sz="0" w:space="0" w:color="auto"/>
                        <w:bottom w:val="none" w:sz="0" w:space="0" w:color="auto"/>
                        <w:right w:val="none" w:sz="0" w:space="0" w:color="auto"/>
                      </w:divBdr>
                    </w:div>
                    <w:div w:id="294148038">
                      <w:marLeft w:val="0"/>
                      <w:marRight w:val="0"/>
                      <w:marTop w:val="0"/>
                      <w:marBottom w:val="0"/>
                      <w:divBdr>
                        <w:top w:val="none" w:sz="0" w:space="0" w:color="auto"/>
                        <w:left w:val="none" w:sz="0" w:space="0" w:color="auto"/>
                        <w:bottom w:val="none" w:sz="0" w:space="0" w:color="auto"/>
                        <w:right w:val="none" w:sz="0" w:space="0" w:color="auto"/>
                      </w:divBdr>
                      <w:divsChild>
                        <w:div w:id="294145921">
                          <w:marLeft w:val="0"/>
                          <w:marRight w:val="0"/>
                          <w:marTop w:val="0"/>
                          <w:marBottom w:val="0"/>
                          <w:divBdr>
                            <w:top w:val="none" w:sz="0" w:space="0" w:color="auto"/>
                            <w:left w:val="none" w:sz="0" w:space="0" w:color="auto"/>
                            <w:bottom w:val="none" w:sz="0" w:space="0" w:color="auto"/>
                            <w:right w:val="none" w:sz="0" w:space="0" w:color="auto"/>
                          </w:divBdr>
                        </w:div>
                      </w:divsChild>
                    </w:div>
                    <w:div w:id="294148242">
                      <w:marLeft w:val="0"/>
                      <w:marRight w:val="0"/>
                      <w:marTop w:val="0"/>
                      <w:marBottom w:val="0"/>
                      <w:divBdr>
                        <w:top w:val="none" w:sz="0" w:space="0" w:color="auto"/>
                        <w:left w:val="none" w:sz="0" w:space="0" w:color="auto"/>
                        <w:bottom w:val="none" w:sz="0" w:space="0" w:color="auto"/>
                        <w:right w:val="none" w:sz="0" w:space="0" w:color="auto"/>
                      </w:divBdr>
                    </w:div>
                    <w:div w:id="294148388">
                      <w:marLeft w:val="0"/>
                      <w:marRight w:val="0"/>
                      <w:marTop w:val="0"/>
                      <w:marBottom w:val="0"/>
                      <w:divBdr>
                        <w:top w:val="none" w:sz="0" w:space="0" w:color="auto"/>
                        <w:left w:val="none" w:sz="0" w:space="0" w:color="auto"/>
                        <w:bottom w:val="none" w:sz="0" w:space="0" w:color="auto"/>
                        <w:right w:val="none" w:sz="0" w:space="0" w:color="auto"/>
                      </w:divBdr>
                    </w:div>
                    <w:div w:id="294148391">
                      <w:marLeft w:val="0"/>
                      <w:marRight w:val="0"/>
                      <w:marTop w:val="0"/>
                      <w:marBottom w:val="0"/>
                      <w:divBdr>
                        <w:top w:val="none" w:sz="0" w:space="0" w:color="auto"/>
                        <w:left w:val="none" w:sz="0" w:space="0" w:color="auto"/>
                        <w:bottom w:val="none" w:sz="0" w:space="0" w:color="auto"/>
                        <w:right w:val="none" w:sz="0" w:space="0" w:color="auto"/>
                      </w:divBdr>
                      <w:divsChild>
                        <w:div w:id="294141438">
                          <w:marLeft w:val="0"/>
                          <w:marRight w:val="0"/>
                          <w:marTop w:val="0"/>
                          <w:marBottom w:val="0"/>
                          <w:divBdr>
                            <w:top w:val="none" w:sz="0" w:space="0" w:color="auto"/>
                            <w:left w:val="none" w:sz="0" w:space="0" w:color="auto"/>
                            <w:bottom w:val="none" w:sz="0" w:space="0" w:color="auto"/>
                            <w:right w:val="none" w:sz="0" w:space="0" w:color="auto"/>
                          </w:divBdr>
                        </w:div>
                      </w:divsChild>
                    </w:div>
                    <w:div w:id="294149085">
                      <w:marLeft w:val="0"/>
                      <w:marRight w:val="0"/>
                      <w:marTop w:val="0"/>
                      <w:marBottom w:val="0"/>
                      <w:divBdr>
                        <w:top w:val="none" w:sz="0" w:space="0" w:color="auto"/>
                        <w:left w:val="none" w:sz="0" w:space="0" w:color="auto"/>
                        <w:bottom w:val="none" w:sz="0" w:space="0" w:color="auto"/>
                        <w:right w:val="none" w:sz="0" w:space="0" w:color="auto"/>
                      </w:divBdr>
                    </w:div>
                    <w:div w:id="294149212">
                      <w:marLeft w:val="0"/>
                      <w:marRight w:val="0"/>
                      <w:marTop w:val="0"/>
                      <w:marBottom w:val="0"/>
                      <w:divBdr>
                        <w:top w:val="none" w:sz="0" w:space="0" w:color="auto"/>
                        <w:left w:val="none" w:sz="0" w:space="0" w:color="auto"/>
                        <w:bottom w:val="none" w:sz="0" w:space="0" w:color="auto"/>
                        <w:right w:val="none" w:sz="0" w:space="0" w:color="auto"/>
                      </w:divBdr>
                      <w:divsChild>
                        <w:div w:id="294151557">
                          <w:marLeft w:val="0"/>
                          <w:marRight w:val="0"/>
                          <w:marTop w:val="0"/>
                          <w:marBottom w:val="0"/>
                          <w:divBdr>
                            <w:top w:val="none" w:sz="0" w:space="0" w:color="auto"/>
                            <w:left w:val="none" w:sz="0" w:space="0" w:color="auto"/>
                            <w:bottom w:val="none" w:sz="0" w:space="0" w:color="auto"/>
                            <w:right w:val="none" w:sz="0" w:space="0" w:color="auto"/>
                          </w:divBdr>
                        </w:div>
                      </w:divsChild>
                    </w:div>
                    <w:div w:id="294149401">
                      <w:marLeft w:val="0"/>
                      <w:marRight w:val="0"/>
                      <w:marTop w:val="0"/>
                      <w:marBottom w:val="0"/>
                      <w:divBdr>
                        <w:top w:val="none" w:sz="0" w:space="0" w:color="auto"/>
                        <w:left w:val="none" w:sz="0" w:space="0" w:color="auto"/>
                        <w:bottom w:val="none" w:sz="0" w:space="0" w:color="auto"/>
                        <w:right w:val="none" w:sz="0" w:space="0" w:color="auto"/>
                      </w:divBdr>
                      <w:divsChild>
                        <w:div w:id="294145063">
                          <w:marLeft w:val="0"/>
                          <w:marRight w:val="0"/>
                          <w:marTop w:val="0"/>
                          <w:marBottom w:val="0"/>
                          <w:divBdr>
                            <w:top w:val="none" w:sz="0" w:space="0" w:color="auto"/>
                            <w:left w:val="none" w:sz="0" w:space="0" w:color="auto"/>
                            <w:bottom w:val="none" w:sz="0" w:space="0" w:color="auto"/>
                            <w:right w:val="none" w:sz="0" w:space="0" w:color="auto"/>
                          </w:divBdr>
                        </w:div>
                      </w:divsChild>
                    </w:div>
                    <w:div w:id="294149523">
                      <w:marLeft w:val="0"/>
                      <w:marRight w:val="0"/>
                      <w:marTop w:val="0"/>
                      <w:marBottom w:val="0"/>
                      <w:divBdr>
                        <w:top w:val="none" w:sz="0" w:space="0" w:color="auto"/>
                        <w:left w:val="none" w:sz="0" w:space="0" w:color="auto"/>
                        <w:bottom w:val="none" w:sz="0" w:space="0" w:color="auto"/>
                        <w:right w:val="none" w:sz="0" w:space="0" w:color="auto"/>
                      </w:divBdr>
                      <w:divsChild>
                        <w:div w:id="294139806">
                          <w:marLeft w:val="0"/>
                          <w:marRight w:val="0"/>
                          <w:marTop w:val="0"/>
                          <w:marBottom w:val="0"/>
                          <w:divBdr>
                            <w:top w:val="none" w:sz="0" w:space="0" w:color="auto"/>
                            <w:left w:val="none" w:sz="0" w:space="0" w:color="auto"/>
                            <w:bottom w:val="none" w:sz="0" w:space="0" w:color="auto"/>
                            <w:right w:val="none" w:sz="0" w:space="0" w:color="auto"/>
                          </w:divBdr>
                        </w:div>
                      </w:divsChild>
                    </w:div>
                    <w:div w:id="294149600">
                      <w:marLeft w:val="0"/>
                      <w:marRight w:val="0"/>
                      <w:marTop w:val="0"/>
                      <w:marBottom w:val="0"/>
                      <w:divBdr>
                        <w:top w:val="none" w:sz="0" w:space="0" w:color="auto"/>
                        <w:left w:val="none" w:sz="0" w:space="0" w:color="auto"/>
                        <w:bottom w:val="none" w:sz="0" w:space="0" w:color="auto"/>
                        <w:right w:val="none" w:sz="0" w:space="0" w:color="auto"/>
                      </w:divBdr>
                      <w:divsChild>
                        <w:div w:id="294140381">
                          <w:marLeft w:val="0"/>
                          <w:marRight w:val="0"/>
                          <w:marTop w:val="0"/>
                          <w:marBottom w:val="0"/>
                          <w:divBdr>
                            <w:top w:val="none" w:sz="0" w:space="0" w:color="auto"/>
                            <w:left w:val="none" w:sz="0" w:space="0" w:color="auto"/>
                            <w:bottom w:val="none" w:sz="0" w:space="0" w:color="auto"/>
                            <w:right w:val="none" w:sz="0" w:space="0" w:color="auto"/>
                          </w:divBdr>
                        </w:div>
                      </w:divsChild>
                    </w:div>
                    <w:div w:id="294149770">
                      <w:marLeft w:val="0"/>
                      <w:marRight w:val="0"/>
                      <w:marTop w:val="0"/>
                      <w:marBottom w:val="0"/>
                      <w:divBdr>
                        <w:top w:val="none" w:sz="0" w:space="0" w:color="auto"/>
                        <w:left w:val="none" w:sz="0" w:space="0" w:color="auto"/>
                        <w:bottom w:val="none" w:sz="0" w:space="0" w:color="auto"/>
                        <w:right w:val="none" w:sz="0" w:space="0" w:color="auto"/>
                      </w:divBdr>
                    </w:div>
                    <w:div w:id="294150423">
                      <w:marLeft w:val="0"/>
                      <w:marRight w:val="0"/>
                      <w:marTop w:val="0"/>
                      <w:marBottom w:val="0"/>
                      <w:divBdr>
                        <w:top w:val="none" w:sz="0" w:space="0" w:color="auto"/>
                        <w:left w:val="none" w:sz="0" w:space="0" w:color="auto"/>
                        <w:bottom w:val="none" w:sz="0" w:space="0" w:color="auto"/>
                        <w:right w:val="none" w:sz="0" w:space="0" w:color="auto"/>
                      </w:divBdr>
                    </w:div>
                    <w:div w:id="294151860">
                      <w:marLeft w:val="0"/>
                      <w:marRight w:val="0"/>
                      <w:marTop w:val="0"/>
                      <w:marBottom w:val="0"/>
                      <w:divBdr>
                        <w:top w:val="none" w:sz="0" w:space="0" w:color="auto"/>
                        <w:left w:val="none" w:sz="0" w:space="0" w:color="auto"/>
                        <w:bottom w:val="none" w:sz="0" w:space="0" w:color="auto"/>
                        <w:right w:val="none" w:sz="0" w:space="0" w:color="auto"/>
                      </w:divBdr>
                    </w:div>
                    <w:div w:id="294152115">
                      <w:marLeft w:val="0"/>
                      <w:marRight w:val="0"/>
                      <w:marTop w:val="0"/>
                      <w:marBottom w:val="0"/>
                      <w:divBdr>
                        <w:top w:val="none" w:sz="0" w:space="0" w:color="auto"/>
                        <w:left w:val="none" w:sz="0" w:space="0" w:color="auto"/>
                        <w:bottom w:val="none" w:sz="0" w:space="0" w:color="auto"/>
                        <w:right w:val="none" w:sz="0" w:space="0" w:color="auto"/>
                      </w:divBdr>
                      <w:divsChild>
                        <w:div w:id="294149362">
                          <w:marLeft w:val="0"/>
                          <w:marRight w:val="0"/>
                          <w:marTop w:val="0"/>
                          <w:marBottom w:val="0"/>
                          <w:divBdr>
                            <w:top w:val="none" w:sz="0" w:space="0" w:color="auto"/>
                            <w:left w:val="none" w:sz="0" w:space="0" w:color="auto"/>
                            <w:bottom w:val="none" w:sz="0" w:space="0" w:color="auto"/>
                            <w:right w:val="none" w:sz="0" w:space="0" w:color="auto"/>
                          </w:divBdr>
                        </w:div>
                      </w:divsChild>
                    </w:div>
                    <w:div w:id="294152555">
                      <w:marLeft w:val="0"/>
                      <w:marRight w:val="0"/>
                      <w:marTop w:val="0"/>
                      <w:marBottom w:val="0"/>
                      <w:divBdr>
                        <w:top w:val="none" w:sz="0" w:space="0" w:color="auto"/>
                        <w:left w:val="none" w:sz="0" w:space="0" w:color="auto"/>
                        <w:bottom w:val="none" w:sz="0" w:space="0" w:color="auto"/>
                        <w:right w:val="none" w:sz="0" w:space="0" w:color="auto"/>
                      </w:divBdr>
                      <w:divsChild>
                        <w:div w:id="294146342">
                          <w:marLeft w:val="0"/>
                          <w:marRight w:val="0"/>
                          <w:marTop w:val="0"/>
                          <w:marBottom w:val="0"/>
                          <w:divBdr>
                            <w:top w:val="none" w:sz="0" w:space="0" w:color="auto"/>
                            <w:left w:val="none" w:sz="0" w:space="0" w:color="auto"/>
                            <w:bottom w:val="none" w:sz="0" w:space="0" w:color="auto"/>
                            <w:right w:val="none" w:sz="0" w:space="0" w:color="auto"/>
                          </w:divBdr>
                        </w:div>
                      </w:divsChild>
                    </w:div>
                    <w:div w:id="294152793">
                      <w:marLeft w:val="0"/>
                      <w:marRight w:val="0"/>
                      <w:marTop w:val="0"/>
                      <w:marBottom w:val="0"/>
                      <w:divBdr>
                        <w:top w:val="none" w:sz="0" w:space="0" w:color="auto"/>
                        <w:left w:val="none" w:sz="0" w:space="0" w:color="auto"/>
                        <w:bottom w:val="none" w:sz="0" w:space="0" w:color="auto"/>
                        <w:right w:val="none" w:sz="0" w:space="0" w:color="auto"/>
                      </w:divBdr>
                    </w:div>
                    <w:div w:id="294153174">
                      <w:marLeft w:val="0"/>
                      <w:marRight w:val="0"/>
                      <w:marTop w:val="0"/>
                      <w:marBottom w:val="0"/>
                      <w:divBdr>
                        <w:top w:val="none" w:sz="0" w:space="0" w:color="auto"/>
                        <w:left w:val="none" w:sz="0" w:space="0" w:color="auto"/>
                        <w:bottom w:val="none" w:sz="0" w:space="0" w:color="auto"/>
                        <w:right w:val="none" w:sz="0" w:space="0" w:color="auto"/>
                      </w:divBdr>
                    </w:div>
                    <w:div w:id="294153749">
                      <w:marLeft w:val="0"/>
                      <w:marRight w:val="0"/>
                      <w:marTop w:val="0"/>
                      <w:marBottom w:val="0"/>
                      <w:divBdr>
                        <w:top w:val="none" w:sz="0" w:space="0" w:color="auto"/>
                        <w:left w:val="none" w:sz="0" w:space="0" w:color="auto"/>
                        <w:bottom w:val="none" w:sz="0" w:space="0" w:color="auto"/>
                        <w:right w:val="none" w:sz="0" w:space="0" w:color="auto"/>
                      </w:divBdr>
                    </w:div>
                    <w:div w:id="294154045">
                      <w:marLeft w:val="0"/>
                      <w:marRight w:val="0"/>
                      <w:marTop w:val="0"/>
                      <w:marBottom w:val="0"/>
                      <w:divBdr>
                        <w:top w:val="none" w:sz="0" w:space="0" w:color="auto"/>
                        <w:left w:val="none" w:sz="0" w:space="0" w:color="auto"/>
                        <w:bottom w:val="none" w:sz="0" w:space="0" w:color="auto"/>
                        <w:right w:val="none" w:sz="0" w:space="0" w:color="auto"/>
                      </w:divBdr>
                    </w:div>
                    <w:div w:id="294154211">
                      <w:marLeft w:val="0"/>
                      <w:marRight w:val="0"/>
                      <w:marTop w:val="0"/>
                      <w:marBottom w:val="0"/>
                      <w:divBdr>
                        <w:top w:val="none" w:sz="0" w:space="0" w:color="auto"/>
                        <w:left w:val="none" w:sz="0" w:space="0" w:color="auto"/>
                        <w:bottom w:val="none" w:sz="0" w:space="0" w:color="auto"/>
                        <w:right w:val="none" w:sz="0" w:space="0" w:color="auto"/>
                      </w:divBdr>
                    </w:div>
                    <w:div w:id="294154799">
                      <w:marLeft w:val="0"/>
                      <w:marRight w:val="0"/>
                      <w:marTop w:val="0"/>
                      <w:marBottom w:val="0"/>
                      <w:divBdr>
                        <w:top w:val="none" w:sz="0" w:space="0" w:color="auto"/>
                        <w:left w:val="none" w:sz="0" w:space="0" w:color="auto"/>
                        <w:bottom w:val="none" w:sz="0" w:space="0" w:color="auto"/>
                        <w:right w:val="none" w:sz="0" w:space="0" w:color="auto"/>
                      </w:divBdr>
                    </w:div>
                    <w:div w:id="294154912">
                      <w:marLeft w:val="0"/>
                      <w:marRight w:val="0"/>
                      <w:marTop w:val="0"/>
                      <w:marBottom w:val="0"/>
                      <w:divBdr>
                        <w:top w:val="none" w:sz="0" w:space="0" w:color="auto"/>
                        <w:left w:val="none" w:sz="0" w:space="0" w:color="auto"/>
                        <w:bottom w:val="none" w:sz="0" w:space="0" w:color="auto"/>
                        <w:right w:val="none" w:sz="0" w:space="0" w:color="auto"/>
                      </w:divBdr>
                    </w:div>
                    <w:div w:id="294155014">
                      <w:marLeft w:val="0"/>
                      <w:marRight w:val="0"/>
                      <w:marTop w:val="0"/>
                      <w:marBottom w:val="0"/>
                      <w:divBdr>
                        <w:top w:val="none" w:sz="0" w:space="0" w:color="auto"/>
                        <w:left w:val="none" w:sz="0" w:space="0" w:color="auto"/>
                        <w:bottom w:val="none" w:sz="0" w:space="0" w:color="auto"/>
                        <w:right w:val="none" w:sz="0" w:space="0" w:color="auto"/>
                      </w:divBdr>
                      <w:divsChild>
                        <w:div w:id="294156532">
                          <w:marLeft w:val="0"/>
                          <w:marRight w:val="0"/>
                          <w:marTop w:val="0"/>
                          <w:marBottom w:val="0"/>
                          <w:divBdr>
                            <w:top w:val="none" w:sz="0" w:space="0" w:color="auto"/>
                            <w:left w:val="none" w:sz="0" w:space="0" w:color="auto"/>
                            <w:bottom w:val="none" w:sz="0" w:space="0" w:color="auto"/>
                            <w:right w:val="none" w:sz="0" w:space="0" w:color="auto"/>
                          </w:divBdr>
                        </w:div>
                      </w:divsChild>
                    </w:div>
                    <w:div w:id="294155051">
                      <w:marLeft w:val="0"/>
                      <w:marRight w:val="0"/>
                      <w:marTop w:val="0"/>
                      <w:marBottom w:val="0"/>
                      <w:divBdr>
                        <w:top w:val="none" w:sz="0" w:space="0" w:color="auto"/>
                        <w:left w:val="none" w:sz="0" w:space="0" w:color="auto"/>
                        <w:bottom w:val="none" w:sz="0" w:space="0" w:color="auto"/>
                        <w:right w:val="none" w:sz="0" w:space="0" w:color="auto"/>
                      </w:divBdr>
                      <w:divsChild>
                        <w:div w:id="294139805">
                          <w:marLeft w:val="0"/>
                          <w:marRight w:val="0"/>
                          <w:marTop w:val="0"/>
                          <w:marBottom w:val="0"/>
                          <w:divBdr>
                            <w:top w:val="none" w:sz="0" w:space="0" w:color="auto"/>
                            <w:left w:val="none" w:sz="0" w:space="0" w:color="auto"/>
                            <w:bottom w:val="none" w:sz="0" w:space="0" w:color="auto"/>
                            <w:right w:val="none" w:sz="0" w:space="0" w:color="auto"/>
                          </w:divBdr>
                        </w:div>
                      </w:divsChild>
                    </w:div>
                    <w:div w:id="294155422">
                      <w:marLeft w:val="0"/>
                      <w:marRight w:val="0"/>
                      <w:marTop w:val="0"/>
                      <w:marBottom w:val="0"/>
                      <w:divBdr>
                        <w:top w:val="none" w:sz="0" w:space="0" w:color="auto"/>
                        <w:left w:val="none" w:sz="0" w:space="0" w:color="auto"/>
                        <w:bottom w:val="none" w:sz="0" w:space="0" w:color="auto"/>
                        <w:right w:val="none" w:sz="0" w:space="0" w:color="auto"/>
                      </w:divBdr>
                      <w:divsChild>
                        <w:div w:id="294138687">
                          <w:marLeft w:val="0"/>
                          <w:marRight w:val="0"/>
                          <w:marTop w:val="0"/>
                          <w:marBottom w:val="0"/>
                          <w:divBdr>
                            <w:top w:val="none" w:sz="0" w:space="0" w:color="auto"/>
                            <w:left w:val="none" w:sz="0" w:space="0" w:color="auto"/>
                            <w:bottom w:val="none" w:sz="0" w:space="0" w:color="auto"/>
                            <w:right w:val="none" w:sz="0" w:space="0" w:color="auto"/>
                          </w:divBdr>
                        </w:div>
                      </w:divsChild>
                    </w:div>
                    <w:div w:id="294155497">
                      <w:marLeft w:val="0"/>
                      <w:marRight w:val="0"/>
                      <w:marTop w:val="0"/>
                      <w:marBottom w:val="0"/>
                      <w:divBdr>
                        <w:top w:val="none" w:sz="0" w:space="0" w:color="auto"/>
                        <w:left w:val="none" w:sz="0" w:space="0" w:color="auto"/>
                        <w:bottom w:val="none" w:sz="0" w:space="0" w:color="auto"/>
                        <w:right w:val="none" w:sz="0" w:space="0" w:color="auto"/>
                      </w:divBdr>
                    </w:div>
                    <w:div w:id="294155600">
                      <w:marLeft w:val="0"/>
                      <w:marRight w:val="0"/>
                      <w:marTop w:val="0"/>
                      <w:marBottom w:val="0"/>
                      <w:divBdr>
                        <w:top w:val="none" w:sz="0" w:space="0" w:color="auto"/>
                        <w:left w:val="none" w:sz="0" w:space="0" w:color="auto"/>
                        <w:bottom w:val="none" w:sz="0" w:space="0" w:color="auto"/>
                        <w:right w:val="none" w:sz="0" w:space="0" w:color="auto"/>
                      </w:divBdr>
                    </w:div>
                    <w:div w:id="294155773">
                      <w:marLeft w:val="0"/>
                      <w:marRight w:val="0"/>
                      <w:marTop w:val="0"/>
                      <w:marBottom w:val="0"/>
                      <w:divBdr>
                        <w:top w:val="none" w:sz="0" w:space="0" w:color="auto"/>
                        <w:left w:val="none" w:sz="0" w:space="0" w:color="auto"/>
                        <w:bottom w:val="none" w:sz="0" w:space="0" w:color="auto"/>
                        <w:right w:val="none" w:sz="0" w:space="0" w:color="auto"/>
                      </w:divBdr>
                      <w:divsChild>
                        <w:div w:id="294138294">
                          <w:marLeft w:val="0"/>
                          <w:marRight w:val="0"/>
                          <w:marTop w:val="0"/>
                          <w:marBottom w:val="0"/>
                          <w:divBdr>
                            <w:top w:val="none" w:sz="0" w:space="0" w:color="auto"/>
                            <w:left w:val="none" w:sz="0" w:space="0" w:color="auto"/>
                            <w:bottom w:val="none" w:sz="0" w:space="0" w:color="auto"/>
                            <w:right w:val="none" w:sz="0" w:space="0" w:color="auto"/>
                          </w:divBdr>
                        </w:div>
                      </w:divsChild>
                    </w:div>
                    <w:div w:id="294155839">
                      <w:marLeft w:val="0"/>
                      <w:marRight w:val="0"/>
                      <w:marTop w:val="0"/>
                      <w:marBottom w:val="0"/>
                      <w:divBdr>
                        <w:top w:val="none" w:sz="0" w:space="0" w:color="auto"/>
                        <w:left w:val="none" w:sz="0" w:space="0" w:color="auto"/>
                        <w:bottom w:val="none" w:sz="0" w:space="0" w:color="auto"/>
                        <w:right w:val="none" w:sz="0" w:space="0" w:color="auto"/>
                      </w:divBdr>
                    </w:div>
                    <w:div w:id="294155879">
                      <w:marLeft w:val="0"/>
                      <w:marRight w:val="0"/>
                      <w:marTop w:val="0"/>
                      <w:marBottom w:val="0"/>
                      <w:divBdr>
                        <w:top w:val="none" w:sz="0" w:space="0" w:color="auto"/>
                        <w:left w:val="none" w:sz="0" w:space="0" w:color="auto"/>
                        <w:bottom w:val="none" w:sz="0" w:space="0" w:color="auto"/>
                        <w:right w:val="none" w:sz="0" w:space="0" w:color="auto"/>
                      </w:divBdr>
                    </w:div>
                    <w:div w:id="294156077">
                      <w:marLeft w:val="0"/>
                      <w:marRight w:val="0"/>
                      <w:marTop w:val="0"/>
                      <w:marBottom w:val="0"/>
                      <w:divBdr>
                        <w:top w:val="none" w:sz="0" w:space="0" w:color="auto"/>
                        <w:left w:val="none" w:sz="0" w:space="0" w:color="auto"/>
                        <w:bottom w:val="none" w:sz="0" w:space="0" w:color="auto"/>
                        <w:right w:val="none" w:sz="0" w:space="0" w:color="auto"/>
                      </w:divBdr>
                      <w:divsChild>
                        <w:div w:id="294139387">
                          <w:marLeft w:val="0"/>
                          <w:marRight w:val="0"/>
                          <w:marTop w:val="0"/>
                          <w:marBottom w:val="0"/>
                          <w:divBdr>
                            <w:top w:val="none" w:sz="0" w:space="0" w:color="auto"/>
                            <w:left w:val="none" w:sz="0" w:space="0" w:color="auto"/>
                            <w:bottom w:val="none" w:sz="0" w:space="0" w:color="auto"/>
                            <w:right w:val="none" w:sz="0" w:space="0" w:color="auto"/>
                          </w:divBdr>
                        </w:div>
                      </w:divsChild>
                    </w:div>
                    <w:div w:id="294156327">
                      <w:marLeft w:val="0"/>
                      <w:marRight w:val="0"/>
                      <w:marTop w:val="0"/>
                      <w:marBottom w:val="0"/>
                      <w:divBdr>
                        <w:top w:val="none" w:sz="0" w:space="0" w:color="auto"/>
                        <w:left w:val="none" w:sz="0" w:space="0" w:color="auto"/>
                        <w:bottom w:val="none" w:sz="0" w:space="0" w:color="auto"/>
                        <w:right w:val="none" w:sz="0" w:space="0" w:color="auto"/>
                      </w:divBdr>
                      <w:divsChild>
                        <w:div w:id="294151641">
                          <w:marLeft w:val="0"/>
                          <w:marRight w:val="0"/>
                          <w:marTop w:val="0"/>
                          <w:marBottom w:val="0"/>
                          <w:divBdr>
                            <w:top w:val="none" w:sz="0" w:space="0" w:color="auto"/>
                            <w:left w:val="none" w:sz="0" w:space="0" w:color="auto"/>
                            <w:bottom w:val="none" w:sz="0" w:space="0" w:color="auto"/>
                            <w:right w:val="none" w:sz="0" w:space="0" w:color="auto"/>
                          </w:divBdr>
                        </w:div>
                      </w:divsChild>
                    </w:div>
                    <w:div w:id="294156373">
                      <w:marLeft w:val="0"/>
                      <w:marRight w:val="0"/>
                      <w:marTop w:val="0"/>
                      <w:marBottom w:val="0"/>
                      <w:divBdr>
                        <w:top w:val="none" w:sz="0" w:space="0" w:color="auto"/>
                        <w:left w:val="none" w:sz="0" w:space="0" w:color="auto"/>
                        <w:bottom w:val="none" w:sz="0" w:space="0" w:color="auto"/>
                        <w:right w:val="none" w:sz="0" w:space="0" w:color="auto"/>
                      </w:divBdr>
                      <w:divsChild>
                        <w:div w:id="294154246">
                          <w:marLeft w:val="0"/>
                          <w:marRight w:val="0"/>
                          <w:marTop w:val="0"/>
                          <w:marBottom w:val="0"/>
                          <w:divBdr>
                            <w:top w:val="none" w:sz="0" w:space="0" w:color="auto"/>
                            <w:left w:val="none" w:sz="0" w:space="0" w:color="auto"/>
                            <w:bottom w:val="none" w:sz="0" w:space="0" w:color="auto"/>
                            <w:right w:val="none" w:sz="0" w:space="0" w:color="auto"/>
                          </w:divBdr>
                        </w:div>
                      </w:divsChild>
                    </w:div>
                    <w:div w:id="294156708">
                      <w:marLeft w:val="0"/>
                      <w:marRight w:val="0"/>
                      <w:marTop w:val="0"/>
                      <w:marBottom w:val="0"/>
                      <w:divBdr>
                        <w:top w:val="none" w:sz="0" w:space="0" w:color="auto"/>
                        <w:left w:val="none" w:sz="0" w:space="0" w:color="auto"/>
                        <w:bottom w:val="none" w:sz="0" w:space="0" w:color="auto"/>
                        <w:right w:val="none" w:sz="0" w:space="0" w:color="auto"/>
                      </w:divBdr>
                    </w:div>
                    <w:div w:id="294156971">
                      <w:marLeft w:val="0"/>
                      <w:marRight w:val="0"/>
                      <w:marTop w:val="0"/>
                      <w:marBottom w:val="0"/>
                      <w:divBdr>
                        <w:top w:val="none" w:sz="0" w:space="0" w:color="auto"/>
                        <w:left w:val="none" w:sz="0" w:space="0" w:color="auto"/>
                        <w:bottom w:val="none" w:sz="0" w:space="0" w:color="auto"/>
                        <w:right w:val="none" w:sz="0" w:space="0" w:color="auto"/>
                      </w:divBdr>
                      <w:divsChild>
                        <w:div w:id="294138871">
                          <w:marLeft w:val="0"/>
                          <w:marRight w:val="0"/>
                          <w:marTop w:val="0"/>
                          <w:marBottom w:val="0"/>
                          <w:divBdr>
                            <w:top w:val="none" w:sz="0" w:space="0" w:color="auto"/>
                            <w:left w:val="none" w:sz="0" w:space="0" w:color="auto"/>
                            <w:bottom w:val="none" w:sz="0" w:space="0" w:color="auto"/>
                            <w:right w:val="none" w:sz="0" w:space="0" w:color="auto"/>
                          </w:divBdr>
                        </w:div>
                      </w:divsChild>
                    </w:div>
                    <w:div w:id="294156985">
                      <w:marLeft w:val="0"/>
                      <w:marRight w:val="0"/>
                      <w:marTop w:val="0"/>
                      <w:marBottom w:val="0"/>
                      <w:divBdr>
                        <w:top w:val="none" w:sz="0" w:space="0" w:color="auto"/>
                        <w:left w:val="none" w:sz="0" w:space="0" w:color="auto"/>
                        <w:bottom w:val="none" w:sz="0" w:space="0" w:color="auto"/>
                        <w:right w:val="none" w:sz="0" w:space="0" w:color="auto"/>
                      </w:divBdr>
                      <w:divsChild>
                        <w:div w:id="294144678">
                          <w:marLeft w:val="0"/>
                          <w:marRight w:val="0"/>
                          <w:marTop w:val="0"/>
                          <w:marBottom w:val="0"/>
                          <w:divBdr>
                            <w:top w:val="none" w:sz="0" w:space="0" w:color="auto"/>
                            <w:left w:val="none" w:sz="0" w:space="0" w:color="auto"/>
                            <w:bottom w:val="none" w:sz="0" w:space="0" w:color="auto"/>
                            <w:right w:val="none" w:sz="0" w:space="0" w:color="auto"/>
                          </w:divBdr>
                        </w:div>
                      </w:divsChild>
                    </w:div>
                    <w:div w:id="294157054">
                      <w:marLeft w:val="0"/>
                      <w:marRight w:val="0"/>
                      <w:marTop w:val="0"/>
                      <w:marBottom w:val="0"/>
                      <w:divBdr>
                        <w:top w:val="none" w:sz="0" w:space="0" w:color="auto"/>
                        <w:left w:val="none" w:sz="0" w:space="0" w:color="auto"/>
                        <w:bottom w:val="none" w:sz="0" w:space="0" w:color="auto"/>
                        <w:right w:val="none" w:sz="0" w:space="0" w:color="auto"/>
                      </w:divBdr>
                      <w:divsChild>
                        <w:div w:id="294139841">
                          <w:marLeft w:val="0"/>
                          <w:marRight w:val="0"/>
                          <w:marTop w:val="0"/>
                          <w:marBottom w:val="0"/>
                          <w:divBdr>
                            <w:top w:val="none" w:sz="0" w:space="0" w:color="auto"/>
                            <w:left w:val="none" w:sz="0" w:space="0" w:color="auto"/>
                            <w:bottom w:val="none" w:sz="0" w:space="0" w:color="auto"/>
                            <w:right w:val="none" w:sz="0" w:space="0" w:color="auto"/>
                          </w:divBdr>
                        </w:div>
                      </w:divsChild>
                    </w:div>
                    <w:div w:id="294157233">
                      <w:marLeft w:val="0"/>
                      <w:marRight w:val="0"/>
                      <w:marTop w:val="0"/>
                      <w:marBottom w:val="0"/>
                      <w:divBdr>
                        <w:top w:val="none" w:sz="0" w:space="0" w:color="auto"/>
                        <w:left w:val="none" w:sz="0" w:space="0" w:color="auto"/>
                        <w:bottom w:val="none" w:sz="0" w:space="0" w:color="auto"/>
                        <w:right w:val="none" w:sz="0" w:space="0" w:color="auto"/>
                      </w:divBdr>
                      <w:divsChild>
                        <w:div w:id="294144051">
                          <w:marLeft w:val="0"/>
                          <w:marRight w:val="0"/>
                          <w:marTop w:val="0"/>
                          <w:marBottom w:val="0"/>
                          <w:divBdr>
                            <w:top w:val="none" w:sz="0" w:space="0" w:color="auto"/>
                            <w:left w:val="none" w:sz="0" w:space="0" w:color="auto"/>
                            <w:bottom w:val="none" w:sz="0" w:space="0" w:color="auto"/>
                            <w:right w:val="none" w:sz="0" w:space="0" w:color="auto"/>
                          </w:divBdr>
                        </w:div>
                      </w:divsChild>
                    </w:div>
                    <w:div w:id="294157331">
                      <w:marLeft w:val="0"/>
                      <w:marRight w:val="0"/>
                      <w:marTop w:val="0"/>
                      <w:marBottom w:val="0"/>
                      <w:divBdr>
                        <w:top w:val="none" w:sz="0" w:space="0" w:color="auto"/>
                        <w:left w:val="none" w:sz="0" w:space="0" w:color="auto"/>
                        <w:bottom w:val="none" w:sz="0" w:space="0" w:color="auto"/>
                        <w:right w:val="none" w:sz="0" w:space="0" w:color="auto"/>
                      </w:divBdr>
                      <w:divsChild>
                        <w:div w:id="294152661">
                          <w:marLeft w:val="0"/>
                          <w:marRight w:val="0"/>
                          <w:marTop w:val="0"/>
                          <w:marBottom w:val="0"/>
                          <w:divBdr>
                            <w:top w:val="none" w:sz="0" w:space="0" w:color="auto"/>
                            <w:left w:val="none" w:sz="0" w:space="0" w:color="auto"/>
                            <w:bottom w:val="none" w:sz="0" w:space="0" w:color="auto"/>
                            <w:right w:val="none" w:sz="0" w:space="0" w:color="auto"/>
                          </w:divBdr>
                        </w:div>
                      </w:divsChild>
                    </w:div>
                    <w:div w:id="29415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57168">
      <w:marLeft w:val="0"/>
      <w:marRight w:val="0"/>
      <w:marTop w:val="0"/>
      <w:marBottom w:val="0"/>
      <w:divBdr>
        <w:top w:val="none" w:sz="0" w:space="0" w:color="auto"/>
        <w:left w:val="none" w:sz="0" w:space="0" w:color="auto"/>
        <w:bottom w:val="none" w:sz="0" w:space="0" w:color="auto"/>
        <w:right w:val="none" w:sz="0" w:space="0" w:color="auto"/>
      </w:divBdr>
    </w:div>
    <w:div w:id="294157169">
      <w:marLeft w:val="0"/>
      <w:marRight w:val="0"/>
      <w:marTop w:val="0"/>
      <w:marBottom w:val="0"/>
      <w:divBdr>
        <w:top w:val="none" w:sz="0" w:space="0" w:color="auto"/>
        <w:left w:val="none" w:sz="0" w:space="0" w:color="auto"/>
        <w:bottom w:val="none" w:sz="0" w:space="0" w:color="auto"/>
        <w:right w:val="none" w:sz="0" w:space="0" w:color="auto"/>
      </w:divBdr>
      <w:divsChild>
        <w:div w:id="294141308">
          <w:marLeft w:val="0"/>
          <w:marRight w:val="0"/>
          <w:marTop w:val="0"/>
          <w:marBottom w:val="400"/>
          <w:divBdr>
            <w:top w:val="none" w:sz="0" w:space="0" w:color="auto"/>
            <w:left w:val="none" w:sz="0" w:space="0" w:color="auto"/>
            <w:bottom w:val="none" w:sz="0" w:space="0" w:color="auto"/>
            <w:right w:val="none" w:sz="0" w:space="0" w:color="auto"/>
          </w:divBdr>
        </w:div>
      </w:divsChild>
    </w:div>
    <w:div w:id="294157178">
      <w:marLeft w:val="0"/>
      <w:marRight w:val="0"/>
      <w:marTop w:val="0"/>
      <w:marBottom w:val="0"/>
      <w:divBdr>
        <w:top w:val="none" w:sz="0" w:space="0" w:color="auto"/>
        <w:left w:val="none" w:sz="0" w:space="0" w:color="auto"/>
        <w:bottom w:val="none" w:sz="0" w:space="0" w:color="auto"/>
        <w:right w:val="none" w:sz="0" w:space="0" w:color="auto"/>
      </w:divBdr>
    </w:div>
    <w:div w:id="294157254">
      <w:marLeft w:val="0"/>
      <w:marRight w:val="0"/>
      <w:marTop w:val="0"/>
      <w:marBottom w:val="0"/>
      <w:divBdr>
        <w:top w:val="none" w:sz="0" w:space="0" w:color="auto"/>
        <w:left w:val="none" w:sz="0" w:space="0" w:color="auto"/>
        <w:bottom w:val="none" w:sz="0" w:space="0" w:color="auto"/>
        <w:right w:val="none" w:sz="0" w:space="0" w:color="auto"/>
      </w:divBdr>
    </w:div>
    <w:div w:id="294157269">
      <w:marLeft w:val="0"/>
      <w:marRight w:val="0"/>
      <w:marTop w:val="0"/>
      <w:marBottom w:val="0"/>
      <w:divBdr>
        <w:top w:val="none" w:sz="0" w:space="0" w:color="auto"/>
        <w:left w:val="none" w:sz="0" w:space="0" w:color="auto"/>
        <w:bottom w:val="none" w:sz="0" w:space="0" w:color="auto"/>
        <w:right w:val="none" w:sz="0" w:space="0" w:color="auto"/>
      </w:divBdr>
    </w:div>
    <w:div w:id="294157350">
      <w:marLeft w:val="0"/>
      <w:marRight w:val="0"/>
      <w:marTop w:val="0"/>
      <w:marBottom w:val="0"/>
      <w:divBdr>
        <w:top w:val="none" w:sz="0" w:space="0" w:color="auto"/>
        <w:left w:val="none" w:sz="0" w:space="0" w:color="auto"/>
        <w:bottom w:val="none" w:sz="0" w:space="0" w:color="auto"/>
        <w:right w:val="none" w:sz="0" w:space="0" w:color="auto"/>
      </w:divBdr>
      <w:divsChild>
        <w:div w:id="294144129">
          <w:marLeft w:val="0"/>
          <w:marRight w:val="0"/>
          <w:marTop w:val="0"/>
          <w:marBottom w:val="0"/>
          <w:divBdr>
            <w:top w:val="none" w:sz="0" w:space="0" w:color="auto"/>
            <w:left w:val="none" w:sz="0" w:space="0" w:color="auto"/>
            <w:bottom w:val="none" w:sz="0" w:space="0" w:color="auto"/>
            <w:right w:val="none" w:sz="0" w:space="0" w:color="auto"/>
          </w:divBdr>
        </w:div>
      </w:divsChild>
    </w:div>
    <w:div w:id="294157451">
      <w:marLeft w:val="0"/>
      <w:marRight w:val="0"/>
      <w:marTop w:val="0"/>
      <w:marBottom w:val="0"/>
      <w:divBdr>
        <w:top w:val="none" w:sz="0" w:space="0" w:color="auto"/>
        <w:left w:val="none" w:sz="0" w:space="0" w:color="auto"/>
        <w:bottom w:val="none" w:sz="0" w:space="0" w:color="auto"/>
        <w:right w:val="none" w:sz="0" w:space="0" w:color="auto"/>
      </w:divBdr>
    </w:div>
    <w:div w:id="294157481">
      <w:marLeft w:val="0"/>
      <w:marRight w:val="0"/>
      <w:marTop w:val="0"/>
      <w:marBottom w:val="0"/>
      <w:divBdr>
        <w:top w:val="none" w:sz="0" w:space="0" w:color="auto"/>
        <w:left w:val="none" w:sz="0" w:space="0" w:color="auto"/>
        <w:bottom w:val="none" w:sz="0" w:space="0" w:color="auto"/>
        <w:right w:val="none" w:sz="0" w:space="0" w:color="auto"/>
      </w:divBdr>
    </w:div>
    <w:div w:id="294157482">
      <w:marLeft w:val="0"/>
      <w:marRight w:val="0"/>
      <w:marTop w:val="0"/>
      <w:marBottom w:val="0"/>
      <w:divBdr>
        <w:top w:val="none" w:sz="0" w:space="0" w:color="auto"/>
        <w:left w:val="none" w:sz="0" w:space="0" w:color="auto"/>
        <w:bottom w:val="none" w:sz="0" w:space="0" w:color="auto"/>
        <w:right w:val="none" w:sz="0" w:space="0" w:color="auto"/>
      </w:divBdr>
    </w:div>
    <w:div w:id="294157483">
      <w:marLeft w:val="0"/>
      <w:marRight w:val="0"/>
      <w:marTop w:val="0"/>
      <w:marBottom w:val="0"/>
      <w:divBdr>
        <w:top w:val="none" w:sz="0" w:space="0" w:color="auto"/>
        <w:left w:val="none" w:sz="0" w:space="0" w:color="auto"/>
        <w:bottom w:val="none" w:sz="0" w:space="0" w:color="auto"/>
        <w:right w:val="none" w:sz="0" w:space="0" w:color="auto"/>
      </w:divBdr>
    </w:div>
    <w:div w:id="294157484">
      <w:marLeft w:val="0"/>
      <w:marRight w:val="0"/>
      <w:marTop w:val="0"/>
      <w:marBottom w:val="0"/>
      <w:divBdr>
        <w:top w:val="none" w:sz="0" w:space="0" w:color="auto"/>
        <w:left w:val="none" w:sz="0" w:space="0" w:color="auto"/>
        <w:bottom w:val="none" w:sz="0" w:space="0" w:color="auto"/>
        <w:right w:val="none" w:sz="0" w:space="0" w:color="auto"/>
      </w:divBdr>
    </w:div>
    <w:div w:id="294157485">
      <w:marLeft w:val="0"/>
      <w:marRight w:val="0"/>
      <w:marTop w:val="0"/>
      <w:marBottom w:val="0"/>
      <w:divBdr>
        <w:top w:val="none" w:sz="0" w:space="0" w:color="auto"/>
        <w:left w:val="none" w:sz="0" w:space="0" w:color="auto"/>
        <w:bottom w:val="none" w:sz="0" w:space="0" w:color="auto"/>
        <w:right w:val="none" w:sz="0" w:space="0" w:color="auto"/>
      </w:divBdr>
    </w:div>
    <w:div w:id="294157493">
      <w:marLeft w:val="0"/>
      <w:marRight w:val="0"/>
      <w:marTop w:val="0"/>
      <w:marBottom w:val="0"/>
      <w:divBdr>
        <w:top w:val="none" w:sz="0" w:space="0" w:color="auto"/>
        <w:left w:val="none" w:sz="0" w:space="0" w:color="auto"/>
        <w:bottom w:val="none" w:sz="0" w:space="0" w:color="auto"/>
        <w:right w:val="none" w:sz="0" w:space="0" w:color="auto"/>
      </w:divBdr>
    </w:div>
    <w:div w:id="294157496">
      <w:marLeft w:val="0"/>
      <w:marRight w:val="0"/>
      <w:marTop w:val="0"/>
      <w:marBottom w:val="0"/>
      <w:divBdr>
        <w:top w:val="none" w:sz="0" w:space="0" w:color="auto"/>
        <w:left w:val="none" w:sz="0" w:space="0" w:color="auto"/>
        <w:bottom w:val="none" w:sz="0" w:space="0" w:color="auto"/>
        <w:right w:val="none" w:sz="0" w:space="0" w:color="auto"/>
      </w:divBdr>
    </w:div>
    <w:div w:id="294157499">
      <w:marLeft w:val="0"/>
      <w:marRight w:val="0"/>
      <w:marTop w:val="0"/>
      <w:marBottom w:val="0"/>
      <w:divBdr>
        <w:top w:val="none" w:sz="0" w:space="0" w:color="auto"/>
        <w:left w:val="none" w:sz="0" w:space="0" w:color="auto"/>
        <w:bottom w:val="none" w:sz="0" w:space="0" w:color="auto"/>
        <w:right w:val="none" w:sz="0" w:space="0" w:color="auto"/>
      </w:divBdr>
      <w:divsChild>
        <w:div w:id="294137983">
          <w:marLeft w:val="490"/>
          <w:marRight w:val="0"/>
          <w:marTop w:val="60"/>
          <w:marBottom w:val="0"/>
          <w:divBdr>
            <w:top w:val="none" w:sz="0" w:space="0" w:color="auto"/>
            <w:left w:val="none" w:sz="0" w:space="0" w:color="auto"/>
            <w:bottom w:val="none" w:sz="0" w:space="0" w:color="auto"/>
            <w:right w:val="none" w:sz="0" w:space="0" w:color="auto"/>
          </w:divBdr>
        </w:div>
        <w:div w:id="294157487">
          <w:marLeft w:val="547"/>
          <w:marRight w:val="0"/>
          <w:marTop w:val="140"/>
          <w:marBottom w:val="0"/>
          <w:divBdr>
            <w:top w:val="none" w:sz="0" w:space="0" w:color="auto"/>
            <w:left w:val="none" w:sz="0" w:space="0" w:color="auto"/>
            <w:bottom w:val="none" w:sz="0" w:space="0" w:color="auto"/>
            <w:right w:val="none" w:sz="0" w:space="0" w:color="auto"/>
          </w:divBdr>
        </w:div>
        <w:div w:id="294157491">
          <w:marLeft w:val="490"/>
          <w:marRight w:val="0"/>
          <w:marTop w:val="60"/>
          <w:marBottom w:val="0"/>
          <w:divBdr>
            <w:top w:val="none" w:sz="0" w:space="0" w:color="auto"/>
            <w:left w:val="none" w:sz="0" w:space="0" w:color="auto"/>
            <w:bottom w:val="none" w:sz="0" w:space="0" w:color="auto"/>
            <w:right w:val="none" w:sz="0" w:space="0" w:color="auto"/>
          </w:divBdr>
        </w:div>
        <w:div w:id="294157494">
          <w:marLeft w:val="547"/>
          <w:marRight w:val="0"/>
          <w:marTop w:val="60"/>
          <w:marBottom w:val="0"/>
          <w:divBdr>
            <w:top w:val="none" w:sz="0" w:space="0" w:color="auto"/>
            <w:left w:val="none" w:sz="0" w:space="0" w:color="auto"/>
            <w:bottom w:val="none" w:sz="0" w:space="0" w:color="auto"/>
            <w:right w:val="none" w:sz="0" w:space="0" w:color="auto"/>
          </w:divBdr>
        </w:div>
        <w:div w:id="294157500">
          <w:marLeft w:val="547"/>
          <w:marRight w:val="0"/>
          <w:marTop w:val="60"/>
          <w:marBottom w:val="0"/>
          <w:divBdr>
            <w:top w:val="none" w:sz="0" w:space="0" w:color="auto"/>
            <w:left w:val="none" w:sz="0" w:space="0" w:color="auto"/>
            <w:bottom w:val="none" w:sz="0" w:space="0" w:color="auto"/>
            <w:right w:val="none" w:sz="0" w:space="0" w:color="auto"/>
          </w:divBdr>
        </w:div>
        <w:div w:id="294157503">
          <w:marLeft w:val="547"/>
          <w:marRight w:val="0"/>
          <w:marTop w:val="60"/>
          <w:marBottom w:val="0"/>
          <w:divBdr>
            <w:top w:val="none" w:sz="0" w:space="0" w:color="auto"/>
            <w:left w:val="none" w:sz="0" w:space="0" w:color="auto"/>
            <w:bottom w:val="none" w:sz="0" w:space="0" w:color="auto"/>
            <w:right w:val="none" w:sz="0" w:space="0" w:color="auto"/>
          </w:divBdr>
        </w:div>
      </w:divsChild>
    </w:div>
    <w:div w:id="294157506">
      <w:marLeft w:val="0"/>
      <w:marRight w:val="0"/>
      <w:marTop w:val="0"/>
      <w:marBottom w:val="0"/>
      <w:divBdr>
        <w:top w:val="none" w:sz="0" w:space="0" w:color="auto"/>
        <w:left w:val="none" w:sz="0" w:space="0" w:color="auto"/>
        <w:bottom w:val="none" w:sz="0" w:space="0" w:color="auto"/>
        <w:right w:val="none" w:sz="0" w:space="0" w:color="auto"/>
      </w:divBdr>
      <w:divsChild>
        <w:div w:id="294137981">
          <w:marLeft w:val="490"/>
          <w:marRight w:val="0"/>
          <w:marTop w:val="60"/>
          <w:marBottom w:val="0"/>
          <w:divBdr>
            <w:top w:val="none" w:sz="0" w:space="0" w:color="auto"/>
            <w:left w:val="none" w:sz="0" w:space="0" w:color="auto"/>
            <w:bottom w:val="none" w:sz="0" w:space="0" w:color="auto"/>
            <w:right w:val="none" w:sz="0" w:space="0" w:color="auto"/>
          </w:divBdr>
        </w:div>
        <w:div w:id="294157486">
          <w:marLeft w:val="490"/>
          <w:marRight w:val="0"/>
          <w:marTop w:val="60"/>
          <w:marBottom w:val="0"/>
          <w:divBdr>
            <w:top w:val="none" w:sz="0" w:space="0" w:color="auto"/>
            <w:left w:val="none" w:sz="0" w:space="0" w:color="auto"/>
            <w:bottom w:val="none" w:sz="0" w:space="0" w:color="auto"/>
            <w:right w:val="none" w:sz="0" w:space="0" w:color="auto"/>
          </w:divBdr>
        </w:div>
        <w:div w:id="294157492">
          <w:marLeft w:val="490"/>
          <w:marRight w:val="0"/>
          <w:marTop w:val="60"/>
          <w:marBottom w:val="0"/>
          <w:divBdr>
            <w:top w:val="none" w:sz="0" w:space="0" w:color="auto"/>
            <w:left w:val="none" w:sz="0" w:space="0" w:color="auto"/>
            <w:bottom w:val="none" w:sz="0" w:space="0" w:color="auto"/>
            <w:right w:val="none" w:sz="0" w:space="0" w:color="auto"/>
          </w:divBdr>
        </w:div>
        <w:div w:id="294157502">
          <w:marLeft w:val="490"/>
          <w:marRight w:val="0"/>
          <w:marTop w:val="60"/>
          <w:marBottom w:val="0"/>
          <w:divBdr>
            <w:top w:val="none" w:sz="0" w:space="0" w:color="auto"/>
            <w:left w:val="none" w:sz="0" w:space="0" w:color="auto"/>
            <w:bottom w:val="none" w:sz="0" w:space="0" w:color="auto"/>
            <w:right w:val="none" w:sz="0" w:space="0" w:color="auto"/>
          </w:divBdr>
        </w:div>
        <w:div w:id="294157504">
          <w:marLeft w:val="490"/>
          <w:marRight w:val="0"/>
          <w:marTop w:val="60"/>
          <w:marBottom w:val="0"/>
          <w:divBdr>
            <w:top w:val="none" w:sz="0" w:space="0" w:color="auto"/>
            <w:left w:val="none" w:sz="0" w:space="0" w:color="auto"/>
            <w:bottom w:val="none" w:sz="0" w:space="0" w:color="auto"/>
            <w:right w:val="none" w:sz="0" w:space="0" w:color="auto"/>
          </w:divBdr>
        </w:div>
        <w:div w:id="294157507">
          <w:marLeft w:val="490"/>
          <w:marRight w:val="0"/>
          <w:marTop w:val="60"/>
          <w:marBottom w:val="0"/>
          <w:divBdr>
            <w:top w:val="none" w:sz="0" w:space="0" w:color="auto"/>
            <w:left w:val="none" w:sz="0" w:space="0" w:color="auto"/>
            <w:bottom w:val="none" w:sz="0" w:space="0" w:color="auto"/>
            <w:right w:val="none" w:sz="0" w:space="0" w:color="auto"/>
          </w:divBdr>
        </w:div>
        <w:div w:id="294157511">
          <w:marLeft w:val="490"/>
          <w:marRight w:val="0"/>
          <w:marTop w:val="60"/>
          <w:marBottom w:val="0"/>
          <w:divBdr>
            <w:top w:val="none" w:sz="0" w:space="0" w:color="auto"/>
            <w:left w:val="none" w:sz="0" w:space="0" w:color="auto"/>
            <w:bottom w:val="none" w:sz="0" w:space="0" w:color="auto"/>
            <w:right w:val="none" w:sz="0" w:space="0" w:color="auto"/>
          </w:divBdr>
        </w:div>
      </w:divsChild>
    </w:div>
    <w:div w:id="294157508">
      <w:marLeft w:val="0"/>
      <w:marRight w:val="0"/>
      <w:marTop w:val="0"/>
      <w:marBottom w:val="0"/>
      <w:divBdr>
        <w:top w:val="none" w:sz="0" w:space="0" w:color="auto"/>
        <w:left w:val="none" w:sz="0" w:space="0" w:color="auto"/>
        <w:bottom w:val="none" w:sz="0" w:space="0" w:color="auto"/>
        <w:right w:val="none" w:sz="0" w:space="0" w:color="auto"/>
      </w:divBdr>
    </w:div>
    <w:div w:id="294157512">
      <w:marLeft w:val="0"/>
      <w:marRight w:val="0"/>
      <w:marTop w:val="0"/>
      <w:marBottom w:val="0"/>
      <w:divBdr>
        <w:top w:val="none" w:sz="0" w:space="0" w:color="auto"/>
        <w:left w:val="none" w:sz="0" w:space="0" w:color="auto"/>
        <w:bottom w:val="none" w:sz="0" w:space="0" w:color="auto"/>
        <w:right w:val="none" w:sz="0" w:space="0" w:color="auto"/>
      </w:divBdr>
      <w:divsChild>
        <w:div w:id="294137982">
          <w:marLeft w:val="547"/>
          <w:marRight w:val="0"/>
          <w:marTop w:val="140"/>
          <w:marBottom w:val="0"/>
          <w:divBdr>
            <w:top w:val="none" w:sz="0" w:space="0" w:color="auto"/>
            <w:left w:val="none" w:sz="0" w:space="0" w:color="auto"/>
            <w:bottom w:val="none" w:sz="0" w:space="0" w:color="auto"/>
            <w:right w:val="none" w:sz="0" w:space="0" w:color="auto"/>
          </w:divBdr>
        </w:div>
        <w:div w:id="294157489">
          <w:marLeft w:val="547"/>
          <w:marRight w:val="0"/>
          <w:marTop w:val="60"/>
          <w:marBottom w:val="0"/>
          <w:divBdr>
            <w:top w:val="none" w:sz="0" w:space="0" w:color="auto"/>
            <w:left w:val="none" w:sz="0" w:space="0" w:color="auto"/>
            <w:bottom w:val="none" w:sz="0" w:space="0" w:color="auto"/>
            <w:right w:val="none" w:sz="0" w:space="0" w:color="auto"/>
          </w:divBdr>
        </w:div>
        <w:div w:id="294157495">
          <w:marLeft w:val="547"/>
          <w:marRight w:val="0"/>
          <w:marTop w:val="60"/>
          <w:marBottom w:val="0"/>
          <w:divBdr>
            <w:top w:val="none" w:sz="0" w:space="0" w:color="auto"/>
            <w:left w:val="none" w:sz="0" w:space="0" w:color="auto"/>
            <w:bottom w:val="none" w:sz="0" w:space="0" w:color="auto"/>
            <w:right w:val="none" w:sz="0" w:space="0" w:color="auto"/>
          </w:divBdr>
        </w:div>
        <w:div w:id="294157501">
          <w:marLeft w:val="490"/>
          <w:marRight w:val="0"/>
          <w:marTop w:val="60"/>
          <w:marBottom w:val="0"/>
          <w:divBdr>
            <w:top w:val="none" w:sz="0" w:space="0" w:color="auto"/>
            <w:left w:val="none" w:sz="0" w:space="0" w:color="auto"/>
            <w:bottom w:val="none" w:sz="0" w:space="0" w:color="auto"/>
            <w:right w:val="none" w:sz="0" w:space="0" w:color="auto"/>
          </w:divBdr>
        </w:div>
        <w:div w:id="294157505">
          <w:marLeft w:val="490"/>
          <w:marRight w:val="0"/>
          <w:marTop w:val="60"/>
          <w:marBottom w:val="0"/>
          <w:divBdr>
            <w:top w:val="none" w:sz="0" w:space="0" w:color="auto"/>
            <w:left w:val="none" w:sz="0" w:space="0" w:color="auto"/>
            <w:bottom w:val="none" w:sz="0" w:space="0" w:color="auto"/>
            <w:right w:val="none" w:sz="0" w:space="0" w:color="auto"/>
          </w:divBdr>
        </w:div>
        <w:div w:id="294157510">
          <w:marLeft w:val="547"/>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4.png"/><Relationship Id="rId21" Type="http://schemas.openxmlformats.org/officeDocument/2006/relationships/image" Target="media/image11.emf"/><Relationship Id="rId34" Type="http://schemas.openxmlformats.org/officeDocument/2006/relationships/hyperlink" Target="http://science-education.ru/ru/article/view?id=26661"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image" Target="media/image13.png"/><Relationship Id="rId33" Type="http://schemas.openxmlformats.org/officeDocument/2006/relationships/hyperlink" Target="https://cyberleninka.ru/article/n/study-of-microbic-spectrum-and-definition-of-resistance-of-microbes-to-antibiotics-during-acute-odontogeneous-processes-of-maxillofacia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oleObject" Target="embeddings/oleObject2.bin"/><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jpe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57BD4-D436-4589-9D87-56BB4D9E6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8975</TotalTime>
  <Pages>302</Pages>
  <Words>83007</Words>
  <Characters>473145</Characters>
  <Application>Microsoft Office Word</Application>
  <DocSecurity>0</DocSecurity>
  <Lines>3942</Lines>
  <Paragraphs>1110</Paragraphs>
  <ScaleCrop>false</ScaleCrop>
  <HeadingPairs>
    <vt:vector size="2" baseType="variant">
      <vt:variant>
        <vt:lpstr>Название</vt:lpstr>
      </vt:variant>
      <vt:variant>
        <vt:i4>1</vt:i4>
      </vt:variant>
    </vt:vector>
  </HeadingPairs>
  <TitlesOfParts>
    <vt:vector size="1" baseType="lpstr">
      <vt:lpstr>BOOK-4</vt:lpstr>
    </vt:vector>
  </TitlesOfParts>
  <Company>ОАУ РАН</Company>
  <LinksUpToDate>false</LinksUpToDate>
  <CharactersWithSpaces>555042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BOOK-4</dc:title>
  <dc:subject/>
  <dc:creator>Михаил Георгиевич Ерошенков</dc:creator>
  <cp:keywords/>
  <dc:description/>
  <cp:lastModifiedBy>user</cp:lastModifiedBy>
  <cp:revision>704</cp:revision>
  <cp:lastPrinted>2021-03-02T07:06:00Z</cp:lastPrinted>
  <dcterms:created xsi:type="dcterms:W3CDTF">2020-12-13T19:51:00Z</dcterms:created>
  <dcterms:modified xsi:type="dcterms:W3CDTF">2021-09-15T13:59:00Z</dcterms:modified>
</cp:coreProperties>
</file>